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23"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883"/>
        <w:gridCol w:w="5540"/>
      </w:tblGrid>
      <w:tr w:rsidR="009854B2" w14:paraId="25281D76" w14:textId="77777777" w:rsidTr="006660C4">
        <w:tc>
          <w:tcPr>
            <w:tcW w:w="10423" w:type="dxa"/>
            <w:gridSpan w:val="2"/>
            <w:shd w:val="clear" w:color="auto" w:fill="auto"/>
          </w:tcPr>
          <w:p w14:paraId="62A9BF98" w14:textId="0EC7CB6B" w:rsidR="009854B2" w:rsidRPr="001F716A" w:rsidRDefault="009854B2" w:rsidP="006660C4">
            <w:pPr>
              <w:pStyle w:val="ZA"/>
              <w:framePr w:w="0" w:hRule="auto" w:wrap="auto" w:vAnchor="margin" w:hAnchor="text" w:yAlign="inline"/>
            </w:pPr>
            <w:bookmarkStart w:id="0" w:name="page1"/>
            <w:r w:rsidRPr="001F716A">
              <w:rPr>
                <w:sz w:val="64"/>
              </w:rPr>
              <w:t xml:space="preserve">3GPP </w:t>
            </w:r>
            <w:bookmarkStart w:id="1" w:name="specType1"/>
            <w:r w:rsidRPr="001F716A">
              <w:rPr>
                <w:sz w:val="64"/>
              </w:rPr>
              <w:t>TS</w:t>
            </w:r>
            <w:bookmarkEnd w:id="1"/>
            <w:r w:rsidRPr="001F716A">
              <w:rPr>
                <w:sz w:val="64"/>
              </w:rPr>
              <w:t xml:space="preserve"> </w:t>
            </w:r>
            <w:bookmarkStart w:id="2" w:name="specNumber"/>
            <w:r w:rsidRPr="001F716A">
              <w:rPr>
                <w:sz w:val="64"/>
              </w:rPr>
              <w:t>38.</w:t>
            </w:r>
            <w:bookmarkEnd w:id="2"/>
            <w:r w:rsidRPr="001F716A">
              <w:rPr>
                <w:sz w:val="64"/>
              </w:rPr>
              <w:t xml:space="preserve">174 </w:t>
            </w:r>
            <w:bookmarkStart w:id="3" w:name="specVersion"/>
            <w:r w:rsidR="00716915" w:rsidRPr="001F716A">
              <w:t>V1</w:t>
            </w:r>
            <w:r w:rsidR="00716915">
              <w:t>7</w:t>
            </w:r>
            <w:r w:rsidRPr="001F716A">
              <w:t>.</w:t>
            </w:r>
            <w:r w:rsidR="000A3435">
              <w:t>2</w:t>
            </w:r>
            <w:r w:rsidRPr="001F716A">
              <w:t>.</w:t>
            </w:r>
            <w:bookmarkEnd w:id="3"/>
            <w:r w:rsidR="00716915">
              <w:t>0</w:t>
            </w:r>
            <w:r w:rsidRPr="001F716A">
              <w:t xml:space="preserve"> </w:t>
            </w:r>
            <w:r w:rsidRPr="001F716A">
              <w:rPr>
                <w:sz w:val="32"/>
              </w:rPr>
              <w:t>(</w:t>
            </w:r>
            <w:bookmarkStart w:id="4" w:name="issueDate"/>
            <w:r w:rsidR="00A83D76" w:rsidRPr="001F716A">
              <w:rPr>
                <w:sz w:val="32"/>
              </w:rPr>
              <w:t>202</w:t>
            </w:r>
            <w:r w:rsidR="00A83D76">
              <w:rPr>
                <w:sz w:val="32"/>
              </w:rPr>
              <w:t>2</w:t>
            </w:r>
            <w:r w:rsidRPr="001F716A">
              <w:rPr>
                <w:sz w:val="32"/>
              </w:rPr>
              <w:t>-</w:t>
            </w:r>
            <w:bookmarkEnd w:id="4"/>
            <w:r w:rsidR="000A3435">
              <w:rPr>
                <w:sz w:val="32"/>
              </w:rPr>
              <w:t>12</w:t>
            </w:r>
            <w:r w:rsidRPr="001F716A">
              <w:rPr>
                <w:sz w:val="32"/>
              </w:rPr>
              <w:t>)</w:t>
            </w:r>
          </w:p>
        </w:tc>
      </w:tr>
      <w:tr w:rsidR="009854B2" w14:paraId="3D8C3CA2" w14:textId="77777777" w:rsidTr="006660C4">
        <w:trPr>
          <w:trHeight w:hRule="exact" w:val="1134"/>
        </w:trPr>
        <w:tc>
          <w:tcPr>
            <w:tcW w:w="10423" w:type="dxa"/>
            <w:gridSpan w:val="2"/>
            <w:shd w:val="clear" w:color="auto" w:fill="auto"/>
          </w:tcPr>
          <w:p w14:paraId="0EFEF948" w14:textId="77777777" w:rsidR="009854B2" w:rsidRPr="001F716A" w:rsidRDefault="009854B2" w:rsidP="006660C4">
            <w:pPr>
              <w:pStyle w:val="ZB"/>
              <w:framePr w:w="0" w:hRule="auto" w:wrap="auto" w:vAnchor="margin" w:hAnchor="text" w:yAlign="inline"/>
            </w:pPr>
            <w:r w:rsidRPr="001F716A">
              <w:t xml:space="preserve">Technical </w:t>
            </w:r>
            <w:bookmarkStart w:id="5" w:name="spectype2"/>
            <w:r w:rsidRPr="001F716A">
              <w:t>Specification</w:t>
            </w:r>
            <w:bookmarkEnd w:id="5"/>
          </w:p>
          <w:p w14:paraId="66AE0895" w14:textId="77777777" w:rsidR="009854B2" w:rsidRPr="001F716A" w:rsidRDefault="009854B2" w:rsidP="006660C4">
            <w:pPr>
              <w:pStyle w:val="Guidance"/>
            </w:pPr>
            <w:r w:rsidRPr="001F716A">
              <w:br/>
            </w:r>
            <w:r w:rsidRPr="001F716A">
              <w:br/>
            </w:r>
            <w:r w:rsidRPr="001F716A">
              <w:br/>
            </w:r>
          </w:p>
        </w:tc>
      </w:tr>
      <w:tr w:rsidR="009854B2" w14:paraId="2005FD2B" w14:textId="77777777" w:rsidTr="006660C4">
        <w:trPr>
          <w:trHeight w:hRule="exact" w:val="3686"/>
        </w:trPr>
        <w:tc>
          <w:tcPr>
            <w:tcW w:w="10423" w:type="dxa"/>
            <w:gridSpan w:val="2"/>
            <w:shd w:val="clear" w:color="auto" w:fill="auto"/>
          </w:tcPr>
          <w:p w14:paraId="47FEDA09" w14:textId="77777777" w:rsidR="009854B2" w:rsidRPr="001F716A" w:rsidRDefault="009854B2" w:rsidP="006660C4">
            <w:pPr>
              <w:pStyle w:val="ZT"/>
              <w:framePr w:wrap="auto" w:hAnchor="text" w:yAlign="inline"/>
            </w:pPr>
            <w:r w:rsidRPr="001F716A">
              <w:t>3rd Generation Partnership Project;</w:t>
            </w:r>
          </w:p>
          <w:p w14:paraId="16FF542D" w14:textId="77777777" w:rsidR="009854B2" w:rsidRPr="001F716A" w:rsidRDefault="009854B2" w:rsidP="006660C4">
            <w:pPr>
              <w:pStyle w:val="ZT"/>
              <w:framePr w:wrap="auto" w:hAnchor="text" w:yAlign="inline"/>
            </w:pPr>
            <w:r w:rsidRPr="001F716A">
              <w:t xml:space="preserve">Technical Specification Group </w:t>
            </w:r>
            <w:bookmarkStart w:id="6" w:name="specTitle"/>
            <w:r w:rsidRPr="001F716A">
              <w:t>Radio Access Network;</w:t>
            </w:r>
          </w:p>
          <w:bookmarkEnd w:id="6"/>
          <w:p w14:paraId="5C4D1212" w14:textId="77777777" w:rsidR="009854B2" w:rsidRPr="001F716A" w:rsidRDefault="009854B2" w:rsidP="006660C4">
            <w:pPr>
              <w:widowControl w:val="0"/>
              <w:spacing w:after="0" w:line="240" w:lineRule="atLeast"/>
              <w:jc w:val="right"/>
              <w:rPr>
                <w:rFonts w:ascii="Arial" w:hAnsi="Arial"/>
                <w:b/>
                <w:sz w:val="34"/>
              </w:rPr>
            </w:pPr>
            <w:r w:rsidRPr="001F716A">
              <w:rPr>
                <w:rFonts w:ascii="Arial" w:eastAsiaTheme="minorEastAsia" w:hAnsi="Arial" w:hint="eastAsia"/>
                <w:b/>
                <w:sz w:val="34"/>
                <w:lang w:eastAsia="zh-CN"/>
              </w:rPr>
              <w:t>NR</w:t>
            </w:r>
            <w:r w:rsidRPr="001F716A">
              <w:rPr>
                <w:rFonts w:ascii="Arial" w:hAnsi="Arial"/>
                <w:b/>
                <w:sz w:val="34"/>
              </w:rPr>
              <w:t>;</w:t>
            </w:r>
          </w:p>
          <w:p w14:paraId="13BB2092" w14:textId="77777777" w:rsidR="009854B2" w:rsidRPr="001F716A" w:rsidRDefault="009854B2" w:rsidP="006660C4">
            <w:pPr>
              <w:widowControl w:val="0"/>
              <w:spacing w:after="0" w:line="240" w:lineRule="atLeast"/>
              <w:jc w:val="right"/>
              <w:rPr>
                <w:rFonts w:ascii="Arial" w:hAnsi="Arial"/>
                <w:b/>
                <w:sz w:val="34"/>
              </w:rPr>
            </w:pPr>
            <w:r w:rsidRPr="001F716A">
              <w:rPr>
                <w:rFonts w:ascii="Arial" w:hAnsi="Arial"/>
                <w:b/>
                <w:sz w:val="34"/>
              </w:rPr>
              <w:t>Integrated access and backhaul radio transmission and reception</w:t>
            </w:r>
          </w:p>
          <w:p w14:paraId="0CDD4753" w14:textId="0A4CC22C" w:rsidR="009854B2" w:rsidRPr="001F716A" w:rsidRDefault="009854B2" w:rsidP="006660C4">
            <w:pPr>
              <w:pStyle w:val="ZT"/>
              <w:framePr w:wrap="auto" w:hAnchor="text" w:yAlign="inline"/>
              <w:rPr>
                <w:i/>
                <w:sz w:val="28"/>
              </w:rPr>
            </w:pPr>
            <w:r w:rsidRPr="001F716A">
              <w:t>(</w:t>
            </w:r>
            <w:r w:rsidRPr="001F716A">
              <w:rPr>
                <w:rStyle w:val="ZGSM"/>
              </w:rPr>
              <w:t xml:space="preserve">Release </w:t>
            </w:r>
            <w:bookmarkStart w:id="7" w:name="specRelease"/>
            <w:r w:rsidRPr="001F716A">
              <w:rPr>
                <w:rStyle w:val="ZGSM"/>
              </w:rPr>
              <w:t>1</w:t>
            </w:r>
            <w:bookmarkEnd w:id="7"/>
            <w:r w:rsidR="00716915">
              <w:rPr>
                <w:rStyle w:val="ZGSM"/>
              </w:rPr>
              <w:t>7</w:t>
            </w:r>
            <w:r w:rsidRPr="001F716A">
              <w:t>)</w:t>
            </w:r>
          </w:p>
        </w:tc>
      </w:tr>
      <w:tr w:rsidR="009854B2" w14:paraId="1C250513" w14:textId="77777777" w:rsidTr="006660C4">
        <w:tc>
          <w:tcPr>
            <w:tcW w:w="10423" w:type="dxa"/>
            <w:gridSpan w:val="2"/>
            <w:shd w:val="clear" w:color="auto" w:fill="auto"/>
          </w:tcPr>
          <w:p w14:paraId="20CE0F13" w14:textId="77777777" w:rsidR="009854B2" w:rsidRPr="00133525" w:rsidRDefault="009854B2" w:rsidP="006660C4">
            <w:pPr>
              <w:pStyle w:val="ZU"/>
              <w:framePr w:w="0" w:wrap="auto" w:vAnchor="margin" w:hAnchor="text" w:yAlign="inline"/>
              <w:tabs>
                <w:tab w:val="right" w:pos="10206"/>
              </w:tabs>
              <w:jc w:val="left"/>
              <w:rPr>
                <w:color w:val="0000FF"/>
              </w:rPr>
            </w:pPr>
            <w:r w:rsidRPr="00133525">
              <w:rPr>
                <w:color w:val="0000FF"/>
              </w:rPr>
              <w:tab/>
            </w:r>
          </w:p>
        </w:tc>
      </w:tr>
      <w:tr w:rsidR="009854B2" w14:paraId="4E04CFE8" w14:textId="77777777" w:rsidTr="006660C4">
        <w:trPr>
          <w:trHeight w:hRule="exact" w:val="1531"/>
        </w:trPr>
        <w:tc>
          <w:tcPr>
            <w:tcW w:w="4883" w:type="dxa"/>
            <w:shd w:val="clear" w:color="auto" w:fill="auto"/>
          </w:tcPr>
          <w:p w14:paraId="53407415" w14:textId="77777777" w:rsidR="009854B2" w:rsidRDefault="009854B2" w:rsidP="006660C4">
            <w:r>
              <w:rPr>
                <w:i/>
                <w:noProof/>
              </w:rPr>
              <w:drawing>
                <wp:inline distT="0" distB="0" distL="0" distR="0" wp14:anchorId="61CA700D" wp14:editId="2E399E0E">
                  <wp:extent cx="1212850" cy="838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12850" cy="838200"/>
                          </a:xfrm>
                          <a:prstGeom prst="rect">
                            <a:avLst/>
                          </a:prstGeom>
                          <a:noFill/>
                          <a:ln>
                            <a:noFill/>
                          </a:ln>
                        </pic:spPr>
                      </pic:pic>
                    </a:graphicData>
                  </a:graphic>
                </wp:inline>
              </w:drawing>
            </w:r>
          </w:p>
        </w:tc>
        <w:tc>
          <w:tcPr>
            <w:tcW w:w="5540" w:type="dxa"/>
            <w:shd w:val="clear" w:color="auto" w:fill="auto"/>
          </w:tcPr>
          <w:p w14:paraId="6AB21CB9" w14:textId="77777777" w:rsidR="009854B2" w:rsidRDefault="009854B2" w:rsidP="006660C4">
            <w:pPr>
              <w:jc w:val="right"/>
            </w:pPr>
            <w:bookmarkStart w:id="8" w:name="logos"/>
            <w:r>
              <w:rPr>
                <w:noProof/>
              </w:rPr>
              <w:drawing>
                <wp:inline distT="0" distB="0" distL="0" distR="0" wp14:anchorId="7371582C" wp14:editId="5E508F10">
                  <wp:extent cx="1619250" cy="958850"/>
                  <wp:effectExtent l="0" t="0" r="0" b="0"/>
                  <wp:docPr id="3147" name="Picture 3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19250" cy="958850"/>
                          </a:xfrm>
                          <a:prstGeom prst="rect">
                            <a:avLst/>
                          </a:prstGeom>
                          <a:noFill/>
                          <a:ln>
                            <a:noFill/>
                          </a:ln>
                        </pic:spPr>
                      </pic:pic>
                    </a:graphicData>
                  </a:graphic>
                </wp:inline>
              </w:drawing>
            </w:r>
            <w:bookmarkEnd w:id="8"/>
          </w:p>
        </w:tc>
      </w:tr>
      <w:tr w:rsidR="009854B2" w14:paraId="4A717AB2" w14:textId="77777777" w:rsidTr="006660C4">
        <w:trPr>
          <w:trHeight w:hRule="exact" w:val="5783"/>
        </w:trPr>
        <w:tc>
          <w:tcPr>
            <w:tcW w:w="10423" w:type="dxa"/>
            <w:gridSpan w:val="2"/>
            <w:shd w:val="clear" w:color="auto" w:fill="auto"/>
          </w:tcPr>
          <w:p w14:paraId="29A8C3EF" w14:textId="77777777" w:rsidR="009854B2" w:rsidRPr="00C074DD" w:rsidRDefault="009854B2" w:rsidP="006660C4">
            <w:pPr>
              <w:pStyle w:val="Guidance"/>
              <w:rPr>
                <w:b/>
              </w:rPr>
            </w:pPr>
          </w:p>
        </w:tc>
      </w:tr>
      <w:tr w:rsidR="009854B2" w14:paraId="23FC532C" w14:textId="77777777" w:rsidTr="006660C4">
        <w:trPr>
          <w:cantSplit/>
          <w:trHeight w:hRule="exact" w:val="964"/>
        </w:trPr>
        <w:tc>
          <w:tcPr>
            <w:tcW w:w="10423" w:type="dxa"/>
            <w:gridSpan w:val="2"/>
            <w:shd w:val="clear" w:color="auto" w:fill="auto"/>
          </w:tcPr>
          <w:p w14:paraId="7E7CD474" w14:textId="77777777" w:rsidR="009854B2" w:rsidRPr="00133525" w:rsidRDefault="009854B2" w:rsidP="006660C4">
            <w:pPr>
              <w:rPr>
                <w:sz w:val="16"/>
              </w:rPr>
            </w:pPr>
            <w:bookmarkStart w:id="9" w:name="warningNotice"/>
            <w:r w:rsidRPr="00133525">
              <w:rPr>
                <w:sz w:val="16"/>
              </w:rPr>
              <w:t>The present document has been developed within the 3rd Generation Partnership Project (3GPP</w:t>
            </w:r>
            <w:r w:rsidRPr="00133525">
              <w:rPr>
                <w:sz w:val="16"/>
                <w:vertAlign w:val="superscript"/>
              </w:rPr>
              <w:t xml:space="preserve"> TM</w:t>
            </w:r>
            <w:r w:rsidRPr="00133525">
              <w:rPr>
                <w:sz w:val="16"/>
              </w:rPr>
              <w:t>) and may be further elaborated for the purposes of 3GPP.</w:t>
            </w:r>
            <w:r w:rsidRPr="00133525">
              <w:rPr>
                <w:sz w:val="16"/>
              </w:rPr>
              <w:br/>
              <w:t>The present document has not been subject to any approval process by the 3GPP</w:t>
            </w:r>
            <w:r w:rsidRPr="00133525">
              <w:rPr>
                <w:sz w:val="16"/>
                <w:vertAlign w:val="superscript"/>
              </w:rPr>
              <w:t xml:space="preserve"> </w:t>
            </w:r>
            <w:r w:rsidRPr="00133525">
              <w:rPr>
                <w:sz w:val="16"/>
              </w:rPr>
              <w:t>Organizational Partners and shall not be implemented.</w:t>
            </w:r>
            <w:r w:rsidRPr="00133525">
              <w:rPr>
                <w:sz w:val="16"/>
              </w:rPr>
              <w:br/>
              <w:t>This Specification is provided for future development work within 3GPP</w:t>
            </w:r>
            <w:r w:rsidRPr="00133525">
              <w:rPr>
                <w:sz w:val="16"/>
                <w:vertAlign w:val="superscript"/>
              </w:rPr>
              <w:t xml:space="preserve"> </w:t>
            </w:r>
            <w:r w:rsidRPr="00133525">
              <w:rPr>
                <w:sz w:val="16"/>
              </w:rPr>
              <w:t>only. The Organizational Partners accept no liability for any use of this Specification.</w:t>
            </w:r>
            <w:r w:rsidRPr="00133525">
              <w:rPr>
                <w:sz w:val="16"/>
              </w:rPr>
              <w:br/>
              <w:t>Specifications and Reports for implementation of the 3GPP</w:t>
            </w:r>
            <w:r w:rsidRPr="00133525">
              <w:rPr>
                <w:sz w:val="16"/>
                <w:vertAlign w:val="superscript"/>
              </w:rPr>
              <w:t xml:space="preserve"> TM</w:t>
            </w:r>
            <w:r w:rsidRPr="00133525">
              <w:rPr>
                <w:sz w:val="16"/>
              </w:rPr>
              <w:t xml:space="preserve"> system should be obtained via the 3GPP Organizational Partners' Publications Offices.</w:t>
            </w:r>
            <w:bookmarkEnd w:id="9"/>
          </w:p>
          <w:p w14:paraId="15EF6586" w14:textId="77777777" w:rsidR="009854B2" w:rsidRPr="004D3578" w:rsidRDefault="009854B2" w:rsidP="006660C4">
            <w:pPr>
              <w:pStyle w:val="ZV"/>
              <w:framePr w:w="0" w:wrap="auto" w:vAnchor="margin" w:hAnchor="text" w:yAlign="inline"/>
            </w:pPr>
          </w:p>
          <w:p w14:paraId="1C167111" w14:textId="77777777" w:rsidR="009854B2" w:rsidRPr="00133525" w:rsidRDefault="009854B2" w:rsidP="006660C4">
            <w:pPr>
              <w:rPr>
                <w:sz w:val="16"/>
              </w:rPr>
            </w:pPr>
          </w:p>
        </w:tc>
      </w:tr>
    </w:tbl>
    <w:p w14:paraId="220F8917" w14:textId="77777777" w:rsidR="009854B2" w:rsidRPr="004D3578" w:rsidRDefault="009854B2" w:rsidP="009854B2">
      <w:pPr>
        <w:sectPr w:rsidR="009854B2" w:rsidRPr="004D3578" w:rsidSect="009114D7">
          <w:footnotePr>
            <w:numRestart w:val="eachSect"/>
          </w:footnotePr>
          <w:pgSz w:w="11907" w:h="16840" w:code="9"/>
          <w:pgMar w:top="1134" w:right="851" w:bottom="397" w:left="851" w:header="0" w:footer="0" w:gutter="0"/>
          <w:cols w:space="720"/>
        </w:sectPr>
      </w:pPr>
    </w:p>
    <w:tbl>
      <w:tblPr>
        <w:tblW w:w="10423" w:type="dxa"/>
        <w:tblLook w:val="04A0" w:firstRow="1" w:lastRow="0" w:firstColumn="1" w:lastColumn="0" w:noHBand="0" w:noVBand="1"/>
      </w:tblPr>
      <w:tblGrid>
        <w:gridCol w:w="10423"/>
      </w:tblGrid>
      <w:tr w:rsidR="009854B2" w14:paraId="46917481" w14:textId="77777777" w:rsidTr="006660C4">
        <w:trPr>
          <w:trHeight w:hRule="exact" w:val="5670"/>
        </w:trPr>
        <w:tc>
          <w:tcPr>
            <w:tcW w:w="10423" w:type="dxa"/>
            <w:shd w:val="clear" w:color="auto" w:fill="auto"/>
          </w:tcPr>
          <w:p w14:paraId="490B037B" w14:textId="77777777" w:rsidR="009854B2" w:rsidRDefault="009854B2" w:rsidP="006660C4">
            <w:pPr>
              <w:pStyle w:val="Guidance"/>
            </w:pPr>
          </w:p>
        </w:tc>
      </w:tr>
      <w:tr w:rsidR="009854B2" w14:paraId="481F248E" w14:textId="77777777" w:rsidTr="006660C4">
        <w:trPr>
          <w:trHeight w:hRule="exact" w:val="5387"/>
        </w:trPr>
        <w:tc>
          <w:tcPr>
            <w:tcW w:w="10423" w:type="dxa"/>
            <w:shd w:val="clear" w:color="auto" w:fill="auto"/>
          </w:tcPr>
          <w:p w14:paraId="552F4524" w14:textId="77777777" w:rsidR="009854B2" w:rsidRPr="00133525" w:rsidRDefault="009854B2" w:rsidP="006660C4">
            <w:pPr>
              <w:pStyle w:val="FP"/>
              <w:spacing w:after="240"/>
              <w:ind w:left="2835" w:right="2835"/>
              <w:jc w:val="center"/>
              <w:rPr>
                <w:rFonts w:ascii="Arial" w:hAnsi="Arial"/>
                <w:b/>
                <w:i/>
              </w:rPr>
            </w:pPr>
            <w:bookmarkStart w:id="10" w:name="coords3gpp"/>
            <w:r w:rsidRPr="00133525">
              <w:rPr>
                <w:rFonts w:ascii="Arial" w:hAnsi="Arial"/>
                <w:b/>
                <w:i/>
              </w:rPr>
              <w:t>3GPP</w:t>
            </w:r>
          </w:p>
          <w:p w14:paraId="117C4C79" w14:textId="77777777" w:rsidR="009854B2" w:rsidRPr="004D3578" w:rsidRDefault="009854B2" w:rsidP="006660C4">
            <w:pPr>
              <w:pStyle w:val="FP"/>
              <w:pBdr>
                <w:bottom w:val="single" w:sz="6" w:space="1" w:color="auto"/>
              </w:pBdr>
              <w:ind w:left="2835" w:right="2835"/>
              <w:jc w:val="center"/>
            </w:pPr>
            <w:r w:rsidRPr="004D3578">
              <w:t>Postal address</w:t>
            </w:r>
          </w:p>
          <w:p w14:paraId="688E81FD" w14:textId="77777777" w:rsidR="009854B2" w:rsidRPr="00133525" w:rsidRDefault="009854B2" w:rsidP="006660C4">
            <w:pPr>
              <w:pStyle w:val="FP"/>
              <w:ind w:left="2835" w:right="2835"/>
              <w:jc w:val="center"/>
              <w:rPr>
                <w:rFonts w:ascii="Arial" w:hAnsi="Arial"/>
                <w:sz w:val="18"/>
              </w:rPr>
            </w:pPr>
          </w:p>
          <w:p w14:paraId="3E1DC46A" w14:textId="77777777" w:rsidR="009854B2" w:rsidRPr="004D3578" w:rsidRDefault="009854B2" w:rsidP="006660C4">
            <w:pPr>
              <w:pStyle w:val="FP"/>
              <w:pBdr>
                <w:bottom w:val="single" w:sz="6" w:space="1" w:color="auto"/>
              </w:pBdr>
              <w:spacing w:before="240"/>
              <w:ind w:left="2835" w:right="2835"/>
              <w:jc w:val="center"/>
            </w:pPr>
            <w:r w:rsidRPr="004D3578">
              <w:t>3GPP support office address</w:t>
            </w:r>
          </w:p>
          <w:p w14:paraId="1704F9DE" w14:textId="77777777" w:rsidR="009854B2" w:rsidRPr="008E2D68" w:rsidRDefault="009854B2" w:rsidP="006660C4">
            <w:pPr>
              <w:pStyle w:val="FP"/>
              <w:ind w:left="2835" w:right="2835"/>
              <w:jc w:val="center"/>
              <w:rPr>
                <w:rFonts w:ascii="Arial" w:hAnsi="Arial"/>
                <w:sz w:val="18"/>
                <w:lang w:val="fr-FR"/>
              </w:rPr>
            </w:pPr>
            <w:r w:rsidRPr="008E2D68">
              <w:rPr>
                <w:rFonts w:ascii="Arial" w:hAnsi="Arial"/>
                <w:sz w:val="18"/>
                <w:lang w:val="fr-FR"/>
              </w:rPr>
              <w:t>650 Route des Lucioles - Sophia Antipolis</w:t>
            </w:r>
          </w:p>
          <w:p w14:paraId="34F26795" w14:textId="77777777" w:rsidR="009854B2" w:rsidRPr="008E2D68" w:rsidRDefault="009854B2" w:rsidP="006660C4">
            <w:pPr>
              <w:pStyle w:val="FP"/>
              <w:ind w:left="2835" w:right="2835"/>
              <w:jc w:val="center"/>
              <w:rPr>
                <w:rFonts w:ascii="Arial" w:hAnsi="Arial"/>
                <w:sz w:val="18"/>
                <w:lang w:val="fr-FR"/>
              </w:rPr>
            </w:pPr>
            <w:r w:rsidRPr="008E2D68">
              <w:rPr>
                <w:rFonts w:ascii="Arial" w:hAnsi="Arial"/>
                <w:sz w:val="18"/>
                <w:lang w:val="fr-FR"/>
              </w:rPr>
              <w:t>Valbonne - FRANCE</w:t>
            </w:r>
          </w:p>
          <w:p w14:paraId="527C7FDE" w14:textId="77777777" w:rsidR="009854B2" w:rsidRPr="00133525" w:rsidRDefault="009854B2" w:rsidP="006660C4">
            <w:pPr>
              <w:pStyle w:val="FP"/>
              <w:spacing w:after="20"/>
              <w:ind w:left="2835" w:right="2835"/>
              <w:jc w:val="center"/>
              <w:rPr>
                <w:rFonts w:ascii="Arial" w:hAnsi="Arial"/>
                <w:sz w:val="18"/>
              </w:rPr>
            </w:pPr>
            <w:r w:rsidRPr="00133525">
              <w:rPr>
                <w:rFonts w:ascii="Arial" w:hAnsi="Arial"/>
                <w:sz w:val="18"/>
              </w:rPr>
              <w:t>Tel.: +33 4 92 94 42 00 Fax: +33 4 93 65 47 16</w:t>
            </w:r>
          </w:p>
          <w:p w14:paraId="0D423F18" w14:textId="77777777" w:rsidR="009854B2" w:rsidRPr="004D3578" w:rsidRDefault="009854B2" w:rsidP="006660C4">
            <w:pPr>
              <w:pStyle w:val="FP"/>
              <w:pBdr>
                <w:bottom w:val="single" w:sz="6" w:space="1" w:color="auto"/>
              </w:pBdr>
              <w:spacing w:before="240"/>
              <w:ind w:left="2835" w:right="2835"/>
              <w:jc w:val="center"/>
            </w:pPr>
            <w:r w:rsidRPr="004D3578">
              <w:t>Internet</w:t>
            </w:r>
          </w:p>
          <w:p w14:paraId="417B2E38" w14:textId="77777777" w:rsidR="009854B2" w:rsidRPr="00133525" w:rsidRDefault="009854B2" w:rsidP="006660C4">
            <w:pPr>
              <w:pStyle w:val="FP"/>
              <w:ind w:left="2835" w:right="2835"/>
              <w:jc w:val="center"/>
              <w:rPr>
                <w:rFonts w:ascii="Arial" w:hAnsi="Arial"/>
                <w:sz w:val="18"/>
              </w:rPr>
            </w:pPr>
            <w:r w:rsidRPr="00133525">
              <w:rPr>
                <w:rFonts w:ascii="Arial" w:hAnsi="Arial"/>
                <w:sz w:val="18"/>
              </w:rPr>
              <w:t>http://www.3gpp.org</w:t>
            </w:r>
            <w:bookmarkEnd w:id="10"/>
          </w:p>
          <w:p w14:paraId="2DA90485" w14:textId="77777777" w:rsidR="009854B2" w:rsidRDefault="009854B2" w:rsidP="006660C4"/>
        </w:tc>
      </w:tr>
      <w:tr w:rsidR="009854B2" w14:paraId="44AAA6B6" w14:textId="77777777" w:rsidTr="006660C4">
        <w:tc>
          <w:tcPr>
            <w:tcW w:w="10423" w:type="dxa"/>
            <w:shd w:val="clear" w:color="auto" w:fill="auto"/>
            <w:vAlign w:val="bottom"/>
          </w:tcPr>
          <w:p w14:paraId="6DCA24F0" w14:textId="77777777" w:rsidR="009854B2" w:rsidRPr="00133525" w:rsidRDefault="009854B2" w:rsidP="006660C4">
            <w:pPr>
              <w:pStyle w:val="FP"/>
              <w:pBdr>
                <w:bottom w:val="single" w:sz="6" w:space="1" w:color="auto"/>
              </w:pBdr>
              <w:spacing w:after="240"/>
              <w:jc w:val="center"/>
              <w:rPr>
                <w:rFonts w:ascii="Arial" w:hAnsi="Arial"/>
                <w:b/>
                <w:i/>
                <w:noProof/>
              </w:rPr>
            </w:pPr>
            <w:bookmarkStart w:id="11" w:name="copyrightNotification"/>
            <w:r w:rsidRPr="00133525">
              <w:rPr>
                <w:rFonts w:ascii="Arial" w:hAnsi="Arial"/>
                <w:b/>
                <w:i/>
                <w:noProof/>
              </w:rPr>
              <w:t>Copyright Notification</w:t>
            </w:r>
          </w:p>
          <w:p w14:paraId="7EF804B8" w14:textId="77777777" w:rsidR="009854B2" w:rsidRPr="004D3578" w:rsidRDefault="009854B2" w:rsidP="006660C4">
            <w:pPr>
              <w:pStyle w:val="FP"/>
              <w:jc w:val="center"/>
              <w:rPr>
                <w:noProof/>
              </w:rPr>
            </w:pPr>
            <w:r w:rsidRPr="004D3578">
              <w:rPr>
                <w:noProof/>
              </w:rPr>
              <w:t>No part may be reproduced except as authorized by written permission.</w:t>
            </w:r>
            <w:r w:rsidRPr="004D3578">
              <w:rPr>
                <w:noProof/>
              </w:rPr>
              <w:br/>
              <w:t>The copyright and the foregoing restriction extend to reproduction in all media.</w:t>
            </w:r>
          </w:p>
          <w:p w14:paraId="0BD9F8AA" w14:textId="77777777" w:rsidR="009854B2" w:rsidRPr="004D3578" w:rsidRDefault="009854B2" w:rsidP="006660C4">
            <w:pPr>
              <w:pStyle w:val="FP"/>
              <w:jc w:val="center"/>
              <w:rPr>
                <w:noProof/>
              </w:rPr>
            </w:pPr>
          </w:p>
          <w:p w14:paraId="442541F0" w14:textId="77777777" w:rsidR="009854B2" w:rsidRPr="00133525" w:rsidRDefault="009854B2" w:rsidP="006660C4">
            <w:pPr>
              <w:pStyle w:val="FP"/>
              <w:jc w:val="center"/>
              <w:rPr>
                <w:noProof/>
                <w:sz w:val="18"/>
              </w:rPr>
            </w:pPr>
            <w:r w:rsidRPr="002C05B2">
              <w:rPr>
                <w:noProof/>
                <w:sz w:val="18"/>
              </w:rPr>
              <w:t xml:space="preserve">© </w:t>
            </w:r>
            <w:bookmarkStart w:id="12" w:name="copyrightDate"/>
            <w:r w:rsidRPr="002C05B2">
              <w:rPr>
                <w:noProof/>
                <w:sz w:val="18"/>
              </w:rPr>
              <w:t>202</w:t>
            </w:r>
            <w:bookmarkEnd w:id="12"/>
            <w:r w:rsidRPr="002C05B2">
              <w:rPr>
                <w:noProof/>
                <w:sz w:val="18"/>
              </w:rPr>
              <w:t>2, 3GP</w:t>
            </w:r>
            <w:r w:rsidRPr="00133525">
              <w:rPr>
                <w:noProof/>
                <w:sz w:val="18"/>
              </w:rPr>
              <w:t>P Organizational Partners (ARIB, ATIS, CCSA, ETSI, TSDSI, TTA, TTC).</w:t>
            </w:r>
            <w:bookmarkStart w:id="13" w:name="copyrightaddon"/>
            <w:bookmarkEnd w:id="13"/>
          </w:p>
          <w:p w14:paraId="645F6628" w14:textId="77777777" w:rsidR="009854B2" w:rsidRPr="00133525" w:rsidRDefault="009854B2" w:rsidP="006660C4">
            <w:pPr>
              <w:pStyle w:val="FP"/>
              <w:jc w:val="center"/>
              <w:rPr>
                <w:noProof/>
                <w:sz w:val="18"/>
              </w:rPr>
            </w:pPr>
            <w:r w:rsidRPr="00133525">
              <w:rPr>
                <w:noProof/>
                <w:sz w:val="18"/>
              </w:rPr>
              <w:t>All rights reserved.</w:t>
            </w:r>
          </w:p>
          <w:p w14:paraId="3ADF01CB" w14:textId="77777777" w:rsidR="009854B2" w:rsidRPr="00133525" w:rsidRDefault="009854B2" w:rsidP="006660C4">
            <w:pPr>
              <w:pStyle w:val="FP"/>
              <w:rPr>
                <w:noProof/>
                <w:sz w:val="18"/>
              </w:rPr>
            </w:pPr>
          </w:p>
          <w:p w14:paraId="1854ACDA" w14:textId="77777777" w:rsidR="009854B2" w:rsidRPr="00133525" w:rsidRDefault="009854B2" w:rsidP="006660C4">
            <w:pPr>
              <w:pStyle w:val="FP"/>
              <w:rPr>
                <w:noProof/>
                <w:sz w:val="18"/>
              </w:rPr>
            </w:pPr>
            <w:r w:rsidRPr="00133525">
              <w:rPr>
                <w:noProof/>
                <w:sz w:val="18"/>
              </w:rPr>
              <w:t>UMTS™ is a Trade Mark of ETSI registered for the benefit of its members</w:t>
            </w:r>
          </w:p>
          <w:p w14:paraId="0377F473" w14:textId="77777777" w:rsidR="009854B2" w:rsidRPr="00133525" w:rsidRDefault="009854B2" w:rsidP="006660C4">
            <w:pPr>
              <w:pStyle w:val="FP"/>
              <w:rPr>
                <w:noProof/>
                <w:sz w:val="18"/>
              </w:rPr>
            </w:pPr>
            <w:r w:rsidRPr="00133525">
              <w:rPr>
                <w:noProof/>
                <w:sz w:val="18"/>
              </w:rPr>
              <w:t>3GPP™ is a Trade Mark of ETSI registered for the benefit of its Members and of the 3GPP Organizational Partners</w:t>
            </w:r>
            <w:r w:rsidRPr="00133525">
              <w:rPr>
                <w:noProof/>
                <w:sz w:val="18"/>
              </w:rPr>
              <w:br/>
              <w:t>LTE™ is a Trade Mark of ETSI registered for the benefit of its Members and of the 3GPP Organizational Partners</w:t>
            </w:r>
          </w:p>
          <w:p w14:paraId="2BE99DAB" w14:textId="77777777" w:rsidR="009854B2" w:rsidRPr="00133525" w:rsidRDefault="009854B2" w:rsidP="006660C4">
            <w:pPr>
              <w:pStyle w:val="FP"/>
              <w:rPr>
                <w:noProof/>
                <w:sz w:val="18"/>
              </w:rPr>
            </w:pPr>
            <w:r w:rsidRPr="00133525">
              <w:rPr>
                <w:noProof/>
                <w:sz w:val="18"/>
              </w:rPr>
              <w:t>GSM® and the GSM logo are registered and owned by the GSM Association</w:t>
            </w:r>
            <w:bookmarkEnd w:id="11"/>
          </w:p>
          <w:p w14:paraId="3C52844F" w14:textId="77777777" w:rsidR="009854B2" w:rsidRDefault="009854B2" w:rsidP="006660C4"/>
        </w:tc>
      </w:tr>
    </w:tbl>
    <w:p w14:paraId="5A04AF21" w14:textId="77777777" w:rsidR="00077B6E" w:rsidRDefault="00AD5C59" w:rsidP="00077B6E">
      <w:pPr>
        <w:pStyle w:val="TT"/>
        <w:outlineLvl w:val="0"/>
      </w:pPr>
      <w:bookmarkStart w:id="14" w:name="page2"/>
      <w:bookmarkEnd w:id="0"/>
      <w:r w:rsidRPr="004D3578">
        <w:br w:type="page"/>
      </w:r>
      <w:bookmarkEnd w:id="14"/>
      <w:r w:rsidR="00077B6E" w:rsidRPr="007E346D">
        <w:lastRenderedPageBreak/>
        <w:t>Contents</w:t>
      </w:r>
    </w:p>
    <w:p w14:paraId="6AD86D16" w14:textId="227C3946" w:rsidR="003C625C" w:rsidRDefault="003C625C">
      <w:pPr>
        <w:pStyle w:val="TOC1"/>
        <w:rPr>
          <w:rFonts w:asciiTheme="minorHAnsi" w:eastAsiaTheme="minorEastAsia" w:hAnsiTheme="minorHAnsi" w:cstheme="minorBidi"/>
          <w:szCs w:val="22"/>
        </w:rPr>
      </w:pPr>
      <w:r>
        <w:fldChar w:fldCharType="begin"/>
      </w:r>
      <w:r>
        <w:instrText xml:space="preserve"> TOC \o "1-9" </w:instrText>
      </w:r>
      <w:r>
        <w:fldChar w:fldCharType="separate"/>
      </w:r>
      <w:r>
        <w:t>Foreword</w:t>
      </w:r>
      <w:r>
        <w:tab/>
      </w:r>
      <w:r>
        <w:fldChar w:fldCharType="begin"/>
      </w:r>
      <w:r>
        <w:instrText xml:space="preserve"> PAGEREF _Toc106183813 \h </w:instrText>
      </w:r>
      <w:r>
        <w:fldChar w:fldCharType="separate"/>
      </w:r>
      <w:r>
        <w:t>15</w:t>
      </w:r>
      <w:r>
        <w:fldChar w:fldCharType="end"/>
      </w:r>
    </w:p>
    <w:p w14:paraId="0BDDCA60" w14:textId="5ED72F37" w:rsidR="003C625C" w:rsidRDefault="003C625C">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r>
      <w:r>
        <w:instrText xml:space="preserve"> PAGEREF _Toc106183814 \h </w:instrText>
      </w:r>
      <w:r>
        <w:fldChar w:fldCharType="separate"/>
      </w:r>
      <w:r>
        <w:t>17</w:t>
      </w:r>
      <w:r>
        <w:fldChar w:fldCharType="end"/>
      </w:r>
    </w:p>
    <w:p w14:paraId="56A96F35" w14:textId="6EAEF492" w:rsidR="003C625C" w:rsidRDefault="003C625C">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r>
      <w:r>
        <w:instrText xml:space="preserve"> PAGEREF _Toc106183815 \h </w:instrText>
      </w:r>
      <w:r>
        <w:fldChar w:fldCharType="separate"/>
      </w:r>
      <w:r>
        <w:t>17</w:t>
      </w:r>
      <w:r>
        <w:fldChar w:fldCharType="end"/>
      </w:r>
    </w:p>
    <w:p w14:paraId="3D1C3625" w14:textId="58F77A54" w:rsidR="003C625C" w:rsidRDefault="003C625C">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symbols and abbreviations</w:t>
      </w:r>
      <w:r>
        <w:tab/>
      </w:r>
      <w:r>
        <w:fldChar w:fldCharType="begin"/>
      </w:r>
      <w:r>
        <w:instrText xml:space="preserve"> PAGEREF _Toc106183816 \h </w:instrText>
      </w:r>
      <w:r>
        <w:fldChar w:fldCharType="separate"/>
      </w:r>
      <w:r>
        <w:t>18</w:t>
      </w:r>
      <w:r>
        <w:fldChar w:fldCharType="end"/>
      </w:r>
    </w:p>
    <w:p w14:paraId="7E5606E0" w14:textId="6A9891D2" w:rsidR="003C625C" w:rsidRDefault="003C625C">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r>
      <w:r>
        <w:instrText xml:space="preserve"> PAGEREF _Toc106183817 \h </w:instrText>
      </w:r>
      <w:r>
        <w:fldChar w:fldCharType="separate"/>
      </w:r>
      <w:r>
        <w:t>18</w:t>
      </w:r>
      <w:r>
        <w:fldChar w:fldCharType="end"/>
      </w:r>
    </w:p>
    <w:p w14:paraId="4552AC9F" w14:textId="4D591455" w:rsidR="003C625C" w:rsidRDefault="003C625C">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Symbols</w:t>
      </w:r>
      <w:r>
        <w:tab/>
      </w:r>
      <w:r>
        <w:fldChar w:fldCharType="begin"/>
      </w:r>
      <w:r>
        <w:instrText xml:space="preserve"> PAGEREF _Toc106183818 \h </w:instrText>
      </w:r>
      <w:r>
        <w:fldChar w:fldCharType="separate"/>
      </w:r>
      <w:r>
        <w:t>22</w:t>
      </w:r>
      <w:r>
        <w:fldChar w:fldCharType="end"/>
      </w:r>
    </w:p>
    <w:p w14:paraId="0FB5234F" w14:textId="32A9D177" w:rsidR="003C625C" w:rsidRDefault="003C625C">
      <w:pPr>
        <w:pStyle w:val="TOC2"/>
        <w:rPr>
          <w:rFonts w:asciiTheme="minorHAnsi" w:eastAsiaTheme="minorEastAsia" w:hAnsiTheme="minorHAnsi" w:cstheme="minorBidi"/>
          <w:sz w:val="22"/>
          <w:szCs w:val="22"/>
        </w:rPr>
      </w:pPr>
      <w:r>
        <w:t>3.3</w:t>
      </w:r>
      <w:r>
        <w:rPr>
          <w:rFonts w:asciiTheme="minorHAnsi" w:eastAsiaTheme="minorEastAsia" w:hAnsiTheme="minorHAnsi" w:cstheme="minorBidi"/>
          <w:sz w:val="22"/>
          <w:szCs w:val="22"/>
        </w:rPr>
        <w:tab/>
      </w:r>
      <w:r>
        <w:t>Abbreviations</w:t>
      </w:r>
      <w:r>
        <w:tab/>
      </w:r>
      <w:r>
        <w:fldChar w:fldCharType="begin"/>
      </w:r>
      <w:r>
        <w:instrText xml:space="preserve"> PAGEREF _Toc106183819 \h </w:instrText>
      </w:r>
      <w:r>
        <w:fldChar w:fldCharType="separate"/>
      </w:r>
      <w:r>
        <w:t>24</w:t>
      </w:r>
      <w:r>
        <w:fldChar w:fldCharType="end"/>
      </w:r>
    </w:p>
    <w:p w14:paraId="3318557B" w14:textId="46433603" w:rsidR="003C625C" w:rsidRDefault="003C625C">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r>
      <w:r>
        <w:instrText xml:space="preserve"> PAGEREF _Toc106183820 \h </w:instrText>
      </w:r>
      <w:r>
        <w:fldChar w:fldCharType="separate"/>
      </w:r>
      <w:r>
        <w:t>26</w:t>
      </w:r>
      <w:r>
        <w:fldChar w:fldCharType="end"/>
      </w:r>
    </w:p>
    <w:p w14:paraId="479429F9" w14:textId="384C1BC7" w:rsidR="003C625C" w:rsidRDefault="003C625C">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Relationship with other core specifications</w:t>
      </w:r>
      <w:r>
        <w:tab/>
      </w:r>
      <w:r>
        <w:fldChar w:fldCharType="begin"/>
      </w:r>
      <w:r>
        <w:instrText xml:space="preserve"> PAGEREF _Toc106183821 \h </w:instrText>
      </w:r>
      <w:r>
        <w:fldChar w:fldCharType="separate"/>
      </w:r>
      <w:r>
        <w:t>26</w:t>
      </w:r>
      <w:r>
        <w:fldChar w:fldCharType="end"/>
      </w:r>
    </w:p>
    <w:p w14:paraId="1A1B0A94" w14:textId="23F7CD93" w:rsidR="003C625C" w:rsidRDefault="003C625C">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Relationship between minimum requirements and test requirements</w:t>
      </w:r>
      <w:r>
        <w:tab/>
      </w:r>
      <w:r>
        <w:fldChar w:fldCharType="begin"/>
      </w:r>
      <w:r>
        <w:instrText xml:space="preserve"> PAGEREF _Toc106183822 \h </w:instrText>
      </w:r>
      <w:r>
        <w:fldChar w:fldCharType="separate"/>
      </w:r>
      <w:r>
        <w:t>26</w:t>
      </w:r>
      <w:r>
        <w:fldChar w:fldCharType="end"/>
      </w:r>
    </w:p>
    <w:p w14:paraId="1A71906E" w14:textId="7151A591" w:rsidR="003C625C" w:rsidRDefault="003C625C">
      <w:pPr>
        <w:pStyle w:val="TOC2"/>
        <w:rPr>
          <w:rFonts w:asciiTheme="minorHAnsi" w:eastAsiaTheme="minorEastAsia" w:hAnsiTheme="minorHAnsi" w:cstheme="minorBidi"/>
          <w:sz w:val="22"/>
          <w:szCs w:val="22"/>
        </w:rPr>
      </w:pPr>
      <w:r>
        <w:rPr>
          <w:lang w:eastAsia="zh-CN"/>
        </w:rPr>
        <w:t>4.3</w:t>
      </w:r>
      <w:r>
        <w:rPr>
          <w:rFonts w:asciiTheme="minorHAnsi" w:eastAsiaTheme="minorEastAsia" w:hAnsiTheme="minorHAnsi" w:cstheme="minorBidi"/>
          <w:sz w:val="22"/>
          <w:szCs w:val="22"/>
        </w:rPr>
        <w:tab/>
      </w:r>
      <w:r>
        <w:rPr>
          <w:lang w:eastAsia="zh-CN"/>
        </w:rPr>
        <w:t>Conducted and radiated requirement reference points</w:t>
      </w:r>
      <w:r>
        <w:tab/>
      </w:r>
      <w:r>
        <w:fldChar w:fldCharType="begin"/>
      </w:r>
      <w:r>
        <w:instrText xml:space="preserve"> PAGEREF _Toc106183823 \h </w:instrText>
      </w:r>
      <w:r>
        <w:fldChar w:fldCharType="separate"/>
      </w:r>
      <w:r>
        <w:t>26</w:t>
      </w:r>
      <w:r>
        <w:fldChar w:fldCharType="end"/>
      </w:r>
    </w:p>
    <w:p w14:paraId="11BE9C70" w14:textId="2BAC67D0" w:rsidR="003C625C" w:rsidRDefault="003C625C">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t>IAB type 1-H</w:t>
      </w:r>
      <w:r>
        <w:tab/>
      </w:r>
      <w:r>
        <w:fldChar w:fldCharType="begin"/>
      </w:r>
      <w:r>
        <w:instrText xml:space="preserve"> PAGEREF _Toc106183824 \h </w:instrText>
      </w:r>
      <w:r>
        <w:fldChar w:fldCharType="separate"/>
      </w:r>
      <w:r>
        <w:t>26</w:t>
      </w:r>
      <w:r>
        <w:fldChar w:fldCharType="end"/>
      </w:r>
    </w:p>
    <w:p w14:paraId="58842B4F" w14:textId="5D439C3E" w:rsidR="003C625C" w:rsidRDefault="003C625C">
      <w:pPr>
        <w:pStyle w:val="TOC3"/>
        <w:rPr>
          <w:rFonts w:asciiTheme="minorHAnsi" w:eastAsiaTheme="minorEastAsia" w:hAnsiTheme="minorHAnsi" w:cstheme="minorBidi"/>
          <w:sz w:val="22"/>
          <w:szCs w:val="22"/>
        </w:rPr>
      </w:pPr>
      <w:r>
        <w:t>4.3.3</w:t>
      </w:r>
      <w:r>
        <w:rPr>
          <w:rFonts w:asciiTheme="minorHAnsi" w:eastAsiaTheme="minorEastAsia" w:hAnsiTheme="minorHAnsi" w:cstheme="minorBidi"/>
          <w:sz w:val="22"/>
          <w:szCs w:val="22"/>
        </w:rPr>
        <w:tab/>
      </w:r>
      <w:r>
        <w:t>IAB type 1-O and IAB type 2-O</w:t>
      </w:r>
      <w:r>
        <w:tab/>
      </w:r>
      <w:r>
        <w:fldChar w:fldCharType="begin"/>
      </w:r>
      <w:r>
        <w:instrText xml:space="preserve"> PAGEREF _Toc106183825 \h </w:instrText>
      </w:r>
      <w:r>
        <w:fldChar w:fldCharType="separate"/>
      </w:r>
      <w:r>
        <w:t>27</w:t>
      </w:r>
      <w:r>
        <w:fldChar w:fldCharType="end"/>
      </w:r>
    </w:p>
    <w:p w14:paraId="617E5F7F" w14:textId="681AB53E" w:rsidR="003C625C" w:rsidRDefault="003C625C">
      <w:pPr>
        <w:pStyle w:val="TOC2"/>
        <w:rPr>
          <w:rFonts w:asciiTheme="minorHAnsi" w:eastAsiaTheme="minorEastAsia" w:hAnsiTheme="minorHAnsi" w:cstheme="minorBidi"/>
          <w:sz w:val="22"/>
          <w:szCs w:val="22"/>
        </w:rPr>
      </w:pPr>
      <w:r>
        <w:t>4.4</w:t>
      </w:r>
      <w:r>
        <w:rPr>
          <w:rFonts w:asciiTheme="minorHAnsi" w:eastAsiaTheme="minorEastAsia" w:hAnsiTheme="minorHAnsi" w:cstheme="minorBidi"/>
          <w:sz w:val="22"/>
          <w:szCs w:val="22"/>
        </w:rPr>
        <w:tab/>
      </w:r>
      <w:r w:rsidRPr="00DD4EB8">
        <w:rPr>
          <w:rFonts w:eastAsiaTheme="minorEastAsia"/>
          <w:lang w:eastAsia="zh-CN"/>
        </w:rPr>
        <w:t>IAB</w:t>
      </w:r>
      <w:r>
        <w:t xml:space="preserve"> classes</w:t>
      </w:r>
      <w:r>
        <w:tab/>
      </w:r>
      <w:r>
        <w:fldChar w:fldCharType="begin"/>
      </w:r>
      <w:r>
        <w:instrText xml:space="preserve"> PAGEREF _Toc106183826 \h </w:instrText>
      </w:r>
      <w:r>
        <w:fldChar w:fldCharType="separate"/>
      </w:r>
      <w:r>
        <w:t>28</w:t>
      </w:r>
      <w:r>
        <w:fldChar w:fldCharType="end"/>
      </w:r>
    </w:p>
    <w:p w14:paraId="48227742" w14:textId="1D37E694" w:rsidR="003C625C" w:rsidRDefault="003C625C">
      <w:pPr>
        <w:pStyle w:val="TOC3"/>
        <w:rPr>
          <w:rFonts w:asciiTheme="minorHAnsi" w:eastAsiaTheme="minorEastAsia" w:hAnsiTheme="minorHAnsi" w:cstheme="minorBidi"/>
          <w:sz w:val="22"/>
          <w:szCs w:val="22"/>
        </w:rPr>
      </w:pPr>
      <w:r>
        <w:t>4.4.1</w:t>
      </w:r>
      <w:r>
        <w:rPr>
          <w:rFonts w:asciiTheme="minorHAnsi" w:eastAsiaTheme="minorEastAsia" w:hAnsiTheme="minorHAnsi" w:cstheme="minorBidi"/>
          <w:sz w:val="22"/>
          <w:szCs w:val="22"/>
        </w:rPr>
        <w:tab/>
      </w:r>
      <w:r>
        <w:t>IAB-DU classes</w:t>
      </w:r>
      <w:r>
        <w:tab/>
      </w:r>
      <w:r>
        <w:fldChar w:fldCharType="begin"/>
      </w:r>
      <w:r>
        <w:instrText xml:space="preserve"> PAGEREF _Toc106183827 \h </w:instrText>
      </w:r>
      <w:r>
        <w:fldChar w:fldCharType="separate"/>
      </w:r>
      <w:r>
        <w:t>28</w:t>
      </w:r>
      <w:r>
        <w:fldChar w:fldCharType="end"/>
      </w:r>
    </w:p>
    <w:p w14:paraId="6D45FCEF" w14:textId="477802E2" w:rsidR="003C625C" w:rsidRDefault="003C625C">
      <w:pPr>
        <w:pStyle w:val="TOC3"/>
        <w:rPr>
          <w:rFonts w:asciiTheme="minorHAnsi" w:eastAsiaTheme="minorEastAsia" w:hAnsiTheme="minorHAnsi" w:cstheme="minorBidi"/>
          <w:sz w:val="22"/>
          <w:szCs w:val="22"/>
        </w:rPr>
      </w:pPr>
      <w:r>
        <w:t>4.4.2</w:t>
      </w:r>
      <w:r>
        <w:rPr>
          <w:rFonts w:asciiTheme="minorHAnsi" w:eastAsiaTheme="minorEastAsia" w:hAnsiTheme="minorHAnsi" w:cstheme="minorBidi"/>
          <w:sz w:val="22"/>
          <w:szCs w:val="22"/>
        </w:rPr>
        <w:tab/>
      </w:r>
      <w:r>
        <w:t>IAB-MT classes</w:t>
      </w:r>
      <w:r>
        <w:tab/>
      </w:r>
      <w:r>
        <w:fldChar w:fldCharType="begin"/>
      </w:r>
      <w:r>
        <w:instrText xml:space="preserve"> PAGEREF _Toc106183828 \h </w:instrText>
      </w:r>
      <w:r>
        <w:fldChar w:fldCharType="separate"/>
      </w:r>
      <w:r>
        <w:t>28</w:t>
      </w:r>
      <w:r>
        <w:fldChar w:fldCharType="end"/>
      </w:r>
    </w:p>
    <w:p w14:paraId="3105547C" w14:textId="6FF9D680" w:rsidR="003C625C" w:rsidRDefault="003C625C">
      <w:pPr>
        <w:pStyle w:val="TOC2"/>
        <w:rPr>
          <w:rFonts w:asciiTheme="minorHAnsi" w:eastAsiaTheme="minorEastAsia" w:hAnsiTheme="minorHAnsi" w:cstheme="minorBidi"/>
          <w:sz w:val="22"/>
          <w:szCs w:val="22"/>
        </w:rPr>
      </w:pPr>
      <w:r>
        <w:t>4.5</w:t>
      </w:r>
      <w:r>
        <w:rPr>
          <w:rFonts w:asciiTheme="minorHAnsi" w:eastAsiaTheme="minorEastAsia" w:hAnsiTheme="minorHAnsi" w:cstheme="minorBidi"/>
          <w:sz w:val="22"/>
          <w:szCs w:val="22"/>
        </w:rPr>
        <w:tab/>
      </w:r>
      <w:r>
        <w:t>Regional requirements</w:t>
      </w:r>
      <w:r>
        <w:tab/>
      </w:r>
      <w:r>
        <w:fldChar w:fldCharType="begin"/>
      </w:r>
      <w:r>
        <w:instrText xml:space="preserve"> PAGEREF _Toc106183829 \h </w:instrText>
      </w:r>
      <w:r>
        <w:fldChar w:fldCharType="separate"/>
      </w:r>
      <w:r>
        <w:t>29</w:t>
      </w:r>
      <w:r>
        <w:fldChar w:fldCharType="end"/>
      </w:r>
    </w:p>
    <w:p w14:paraId="3486F609" w14:textId="5B136CEB" w:rsidR="003C625C" w:rsidRDefault="003C625C">
      <w:pPr>
        <w:pStyle w:val="TOC2"/>
        <w:rPr>
          <w:rFonts w:asciiTheme="minorHAnsi" w:eastAsiaTheme="minorEastAsia" w:hAnsiTheme="minorHAnsi" w:cstheme="minorBidi"/>
          <w:sz w:val="22"/>
          <w:szCs w:val="22"/>
        </w:rPr>
      </w:pPr>
      <w:r>
        <w:t>4.6</w:t>
      </w:r>
      <w:r>
        <w:rPr>
          <w:rFonts w:asciiTheme="minorHAnsi" w:eastAsiaTheme="minorEastAsia" w:hAnsiTheme="minorHAnsi" w:cstheme="minorBidi"/>
          <w:sz w:val="22"/>
          <w:szCs w:val="22"/>
        </w:rPr>
        <w:tab/>
      </w:r>
      <w:r>
        <w:t>Applicability of requirements</w:t>
      </w:r>
      <w:r>
        <w:tab/>
      </w:r>
      <w:r>
        <w:fldChar w:fldCharType="begin"/>
      </w:r>
      <w:r>
        <w:instrText xml:space="preserve"> PAGEREF _Toc106183830 \h </w:instrText>
      </w:r>
      <w:r>
        <w:fldChar w:fldCharType="separate"/>
      </w:r>
      <w:r>
        <w:t>29</w:t>
      </w:r>
      <w:r>
        <w:fldChar w:fldCharType="end"/>
      </w:r>
    </w:p>
    <w:p w14:paraId="38997AB5" w14:textId="4577B42D" w:rsidR="003C625C" w:rsidRDefault="003C625C">
      <w:pPr>
        <w:pStyle w:val="TOC2"/>
        <w:rPr>
          <w:rFonts w:asciiTheme="minorHAnsi" w:eastAsiaTheme="minorEastAsia" w:hAnsiTheme="minorHAnsi" w:cstheme="minorBidi"/>
          <w:sz w:val="22"/>
          <w:szCs w:val="22"/>
        </w:rPr>
      </w:pPr>
      <w:r>
        <w:t>4.7</w:t>
      </w:r>
      <w:r>
        <w:rPr>
          <w:rFonts w:asciiTheme="minorHAnsi" w:eastAsiaTheme="minorEastAsia" w:hAnsiTheme="minorHAnsi" w:cstheme="minorBidi"/>
          <w:sz w:val="22"/>
          <w:szCs w:val="22"/>
        </w:rPr>
        <w:tab/>
      </w:r>
      <w:r>
        <w:t>Applicability of RRM requirements in this specification</w:t>
      </w:r>
      <w:r>
        <w:tab/>
      </w:r>
      <w:r>
        <w:fldChar w:fldCharType="begin"/>
      </w:r>
      <w:r>
        <w:instrText xml:space="preserve"> PAGEREF _Toc106183831 \h </w:instrText>
      </w:r>
      <w:r>
        <w:fldChar w:fldCharType="separate"/>
      </w:r>
      <w:r>
        <w:t>31</w:t>
      </w:r>
      <w:r>
        <w:fldChar w:fldCharType="end"/>
      </w:r>
    </w:p>
    <w:p w14:paraId="73053782" w14:textId="4146FB0D" w:rsidR="003C625C" w:rsidRDefault="003C625C">
      <w:pPr>
        <w:pStyle w:val="TOC3"/>
        <w:rPr>
          <w:rFonts w:asciiTheme="minorHAnsi" w:eastAsiaTheme="minorEastAsia" w:hAnsiTheme="minorHAnsi" w:cstheme="minorBidi"/>
          <w:sz w:val="22"/>
          <w:szCs w:val="22"/>
        </w:rPr>
      </w:pPr>
      <w:r>
        <w:t>4.7.1</w:t>
      </w:r>
      <w:r>
        <w:rPr>
          <w:rFonts w:asciiTheme="minorHAnsi" w:eastAsiaTheme="minorEastAsia" w:hAnsiTheme="minorHAnsi" w:cstheme="minorBidi"/>
          <w:sz w:val="22"/>
          <w:szCs w:val="22"/>
        </w:rPr>
        <w:tab/>
      </w:r>
      <w:r>
        <w:t>Applicability of signalling characteristics related RRM requirements</w:t>
      </w:r>
      <w:r>
        <w:tab/>
      </w:r>
      <w:r>
        <w:fldChar w:fldCharType="begin"/>
      </w:r>
      <w:r>
        <w:instrText xml:space="preserve"> PAGEREF _Toc106183832 \h </w:instrText>
      </w:r>
      <w:r>
        <w:fldChar w:fldCharType="separate"/>
      </w:r>
      <w:r>
        <w:t>31</w:t>
      </w:r>
      <w:r>
        <w:fldChar w:fldCharType="end"/>
      </w:r>
    </w:p>
    <w:p w14:paraId="2A2F7A8D" w14:textId="1C946A4E" w:rsidR="003C625C" w:rsidRDefault="003C625C">
      <w:pPr>
        <w:pStyle w:val="TOC2"/>
        <w:rPr>
          <w:rFonts w:asciiTheme="minorHAnsi" w:eastAsiaTheme="minorEastAsia" w:hAnsiTheme="minorHAnsi" w:cstheme="minorBidi"/>
          <w:sz w:val="22"/>
          <w:szCs w:val="22"/>
        </w:rPr>
      </w:pPr>
      <w:r>
        <w:t>4.8</w:t>
      </w:r>
      <w:r>
        <w:rPr>
          <w:rFonts w:asciiTheme="minorHAnsi" w:eastAsiaTheme="minorEastAsia" w:hAnsiTheme="minorHAnsi" w:cstheme="minorBidi"/>
          <w:sz w:val="22"/>
          <w:szCs w:val="22"/>
        </w:rPr>
        <w:tab/>
      </w:r>
      <w:r>
        <w:t>Requirements for contiguous and non-contiguous spectrum</w:t>
      </w:r>
      <w:r>
        <w:tab/>
      </w:r>
      <w:r>
        <w:fldChar w:fldCharType="begin"/>
      </w:r>
      <w:r>
        <w:instrText xml:space="preserve"> PAGEREF _Toc106183833 \h </w:instrText>
      </w:r>
      <w:r>
        <w:fldChar w:fldCharType="separate"/>
      </w:r>
      <w:r>
        <w:t>32</w:t>
      </w:r>
      <w:r>
        <w:fldChar w:fldCharType="end"/>
      </w:r>
    </w:p>
    <w:p w14:paraId="7A7D44AB" w14:textId="385AF706" w:rsidR="003C625C" w:rsidRDefault="003C625C">
      <w:pPr>
        <w:pStyle w:val="TOC2"/>
        <w:rPr>
          <w:rFonts w:asciiTheme="minorHAnsi" w:eastAsiaTheme="minorEastAsia" w:hAnsiTheme="minorHAnsi" w:cstheme="minorBidi"/>
          <w:sz w:val="22"/>
          <w:szCs w:val="22"/>
        </w:rPr>
      </w:pPr>
      <w:r>
        <w:t>4.</w:t>
      </w:r>
      <w:r w:rsidRPr="00DD4EB8">
        <w:rPr>
          <w:rFonts w:eastAsia="SimSun"/>
          <w:lang w:val="en-US" w:eastAsia="zh-CN"/>
        </w:rPr>
        <w:t>9</w:t>
      </w:r>
      <w:r>
        <w:rPr>
          <w:rFonts w:asciiTheme="minorHAnsi" w:eastAsiaTheme="minorEastAsia" w:hAnsiTheme="minorHAnsi" w:cstheme="minorBidi"/>
          <w:sz w:val="22"/>
          <w:szCs w:val="22"/>
        </w:rPr>
        <w:tab/>
      </w:r>
      <w:r>
        <w:t xml:space="preserve">Requirements for </w:t>
      </w:r>
      <w:r w:rsidRPr="00DD4EB8">
        <w:rPr>
          <w:rFonts w:eastAsia="SimSun"/>
          <w:lang w:val="en-US" w:eastAsia="zh-CN"/>
        </w:rPr>
        <w:t xml:space="preserve">IAB-DU and IAB-MT </w:t>
      </w:r>
      <w:r>
        <w:t>capable of multi-band operation</w:t>
      </w:r>
      <w:r>
        <w:tab/>
      </w:r>
      <w:r>
        <w:fldChar w:fldCharType="begin"/>
      </w:r>
      <w:r>
        <w:instrText xml:space="preserve"> PAGEREF _Toc106183834 \h </w:instrText>
      </w:r>
      <w:r>
        <w:fldChar w:fldCharType="separate"/>
      </w:r>
      <w:r>
        <w:t>32</w:t>
      </w:r>
      <w:r>
        <w:fldChar w:fldCharType="end"/>
      </w:r>
    </w:p>
    <w:p w14:paraId="32C03EF8" w14:textId="768338E3" w:rsidR="003C625C" w:rsidRDefault="003C625C">
      <w:pPr>
        <w:pStyle w:val="TOC2"/>
        <w:rPr>
          <w:rFonts w:asciiTheme="minorHAnsi" w:eastAsiaTheme="minorEastAsia" w:hAnsiTheme="minorHAnsi" w:cstheme="minorBidi"/>
          <w:sz w:val="22"/>
          <w:szCs w:val="22"/>
        </w:rPr>
      </w:pPr>
      <w:r>
        <w:t>4.</w:t>
      </w:r>
      <w:r w:rsidRPr="00DD4EB8">
        <w:rPr>
          <w:rFonts w:eastAsia="SimSun"/>
          <w:lang w:val="en-US" w:eastAsia="zh-CN"/>
        </w:rPr>
        <w:t>10</w:t>
      </w:r>
      <w:r>
        <w:rPr>
          <w:rFonts w:asciiTheme="minorHAnsi" w:eastAsiaTheme="minorEastAsia" w:hAnsiTheme="minorHAnsi" w:cstheme="minorBidi"/>
          <w:sz w:val="22"/>
          <w:szCs w:val="22"/>
        </w:rPr>
        <w:tab/>
      </w:r>
      <w:r>
        <w:t>OTA co-location with other base stations</w:t>
      </w:r>
      <w:r>
        <w:tab/>
      </w:r>
      <w:r>
        <w:fldChar w:fldCharType="begin"/>
      </w:r>
      <w:r>
        <w:instrText xml:space="preserve"> PAGEREF _Toc106183835 \h </w:instrText>
      </w:r>
      <w:r>
        <w:fldChar w:fldCharType="separate"/>
      </w:r>
      <w:r>
        <w:t>33</w:t>
      </w:r>
      <w:r>
        <w:fldChar w:fldCharType="end"/>
      </w:r>
    </w:p>
    <w:p w14:paraId="143C8AD6" w14:textId="1988ED4D" w:rsidR="003C625C" w:rsidRDefault="003C625C">
      <w:pPr>
        <w:pStyle w:val="TOC2"/>
        <w:rPr>
          <w:rFonts w:asciiTheme="minorHAnsi" w:eastAsiaTheme="minorEastAsia" w:hAnsiTheme="minorHAnsi" w:cstheme="minorBidi"/>
          <w:sz w:val="22"/>
          <w:szCs w:val="22"/>
        </w:rPr>
      </w:pPr>
      <w:r w:rsidRPr="00DD4EB8">
        <w:rPr>
          <w:rFonts w:cs="Arial"/>
        </w:rPr>
        <w:t>4.11</w:t>
      </w:r>
      <w:r>
        <w:rPr>
          <w:rFonts w:asciiTheme="minorHAnsi" w:eastAsiaTheme="minorEastAsia" w:hAnsiTheme="minorHAnsi" w:cstheme="minorBidi"/>
          <w:sz w:val="22"/>
          <w:szCs w:val="22"/>
        </w:rPr>
        <w:tab/>
      </w:r>
      <w:r w:rsidRPr="00DD4EB8">
        <w:rPr>
          <w:rFonts w:cs="Arial"/>
        </w:rPr>
        <w:t>Requirements for IAB-DU and IAB-MT capable of simultaneous operation</w:t>
      </w:r>
      <w:r>
        <w:tab/>
      </w:r>
      <w:r>
        <w:fldChar w:fldCharType="begin"/>
      </w:r>
      <w:r>
        <w:instrText xml:space="preserve"> PAGEREF _Toc106183836 \h </w:instrText>
      </w:r>
      <w:r>
        <w:fldChar w:fldCharType="separate"/>
      </w:r>
      <w:r>
        <w:t>34</w:t>
      </w:r>
      <w:r>
        <w:fldChar w:fldCharType="end"/>
      </w:r>
    </w:p>
    <w:p w14:paraId="71A6E5F1" w14:textId="4EEB9C44" w:rsidR="003C625C" w:rsidRDefault="003C625C">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Operating bands and channel arrangement</w:t>
      </w:r>
      <w:r>
        <w:tab/>
      </w:r>
      <w:r>
        <w:fldChar w:fldCharType="begin"/>
      </w:r>
      <w:r>
        <w:instrText xml:space="preserve"> PAGEREF _Toc106183837 \h </w:instrText>
      </w:r>
      <w:r>
        <w:fldChar w:fldCharType="separate"/>
      </w:r>
      <w:r>
        <w:t>35</w:t>
      </w:r>
      <w:r>
        <w:fldChar w:fldCharType="end"/>
      </w:r>
    </w:p>
    <w:p w14:paraId="2AD04337" w14:textId="0FBA0272" w:rsidR="003C625C" w:rsidRDefault="003C625C">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General</w:t>
      </w:r>
      <w:r>
        <w:tab/>
      </w:r>
      <w:r>
        <w:fldChar w:fldCharType="begin"/>
      </w:r>
      <w:r>
        <w:instrText xml:space="preserve"> PAGEREF _Toc106183838 \h </w:instrText>
      </w:r>
      <w:r>
        <w:fldChar w:fldCharType="separate"/>
      </w:r>
      <w:r>
        <w:t>35</w:t>
      </w:r>
      <w:r>
        <w:fldChar w:fldCharType="end"/>
      </w:r>
    </w:p>
    <w:p w14:paraId="12AF67C8" w14:textId="3BBC8A1B" w:rsidR="003C625C" w:rsidRDefault="003C625C">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Operating bands</w:t>
      </w:r>
      <w:r>
        <w:tab/>
      </w:r>
      <w:r>
        <w:fldChar w:fldCharType="begin"/>
      </w:r>
      <w:r>
        <w:instrText xml:space="preserve"> PAGEREF _Toc106183839 \h </w:instrText>
      </w:r>
      <w:r>
        <w:fldChar w:fldCharType="separate"/>
      </w:r>
      <w:r>
        <w:t>35</w:t>
      </w:r>
      <w:r>
        <w:fldChar w:fldCharType="end"/>
      </w:r>
    </w:p>
    <w:p w14:paraId="6E2D0C1D" w14:textId="30329B1F" w:rsidR="003C625C" w:rsidRDefault="003C625C">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rsidRPr="00DD4EB8">
        <w:rPr>
          <w:rFonts w:eastAsiaTheme="minorEastAsia"/>
          <w:lang w:eastAsia="zh-CN"/>
        </w:rPr>
        <w:t>C</w:t>
      </w:r>
      <w:r>
        <w:t>hannel bandwidth</w:t>
      </w:r>
      <w:r>
        <w:tab/>
      </w:r>
      <w:r>
        <w:fldChar w:fldCharType="begin"/>
      </w:r>
      <w:r>
        <w:instrText xml:space="preserve"> PAGEREF _Toc106183840 \h </w:instrText>
      </w:r>
      <w:r>
        <w:fldChar w:fldCharType="separate"/>
      </w:r>
      <w:r>
        <w:t>35</w:t>
      </w:r>
      <w:r>
        <w:fldChar w:fldCharType="end"/>
      </w:r>
    </w:p>
    <w:p w14:paraId="5136B809" w14:textId="28C746D9" w:rsidR="003C625C" w:rsidRDefault="003C625C">
      <w:pPr>
        <w:pStyle w:val="TOC3"/>
        <w:rPr>
          <w:rFonts w:asciiTheme="minorHAnsi" w:eastAsiaTheme="minorEastAsia" w:hAnsiTheme="minorHAnsi" w:cstheme="minorBidi"/>
          <w:sz w:val="22"/>
          <w:szCs w:val="22"/>
        </w:rPr>
      </w:pPr>
      <w:r w:rsidRPr="00DD4EB8">
        <w:rPr>
          <w:rFonts w:eastAsia="SimSun"/>
        </w:rPr>
        <w:t>5.3.1</w:t>
      </w:r>
      <w:r>
        <w:rPr>
          <w:rFonts w:asciiTheme="minorHAnsi" w:eastAsiaTheme="minorEastAsia" w:hAnsiTheme="minorHAnsi" w:cstheme="minorBidi"/>
          <w:sz w:val="22"/>
          <w:szCs w:val="22"/>
        </w:rPr>
        <w:tab/>
      </w:r>
      <w:r w:rsidRPr="00DD4EB8">
        <w:rPr>
          <w:rFonts w:eastAsia="SimSun"/>
        </w:rPr>
        <w:t>General</w:t>
      </w:r>
      <w:r>
        <w:tab/>
      </w:r>
      <w:r>
        <w:fldChar w:fldCharType="begin"/>
      </w:r>
      <w:r>
        <w:instrText xml:space="preserve"> PAGEREF _Toc106183841 \h </w:instrText>
      </w:r>
      <w:r>
        <w:fldChar w:fldCharType="separate"/>
      </w:r>
      <w:r>
        <w:t>35</w:t>
      </w:r>
      <w:r>
        <w:fldChar w:fldCharType="end"/>
      </w:r>
    </w:p>
    <w:p w14:paraId="3B3F02B8" w14:textId="0BEA72C1" w:rsidR="003C625C" w:rsidRDefault="003C625C">
      <w:pPr>
        <w:pStyle w:val="TOC3"/>
        <w:rPr>
          <w:rFonts w:asciiTheme="minorHAnsi" w:eastAsiaTheme="minorEastAsia" w:hAnsiTheme="minorHAnsi" w:cstheme="minorBidi"/>
          <w:sz w:val="22"/>
          <w:szCs w:val="22"/>
        </w:rPr>
      </w:pPr>
      <w:r w:rsidRPr="00DD4EB8">
        <w:rPr>
          <w:rFonts w:eastAsia="Yu Mincho"/>
        </w:rPr>
        <w:t>5.3.2</w:t>
      </w:r>
      <w:r>
        <w:rPr>
          <w:rFonts w:asciiTheme="minorHAnsi" w:eastAsiaTheme="minorEastAsia" w:hAnsiTheme="minorHAnsi" w:cstheme="minorBidi"/>
          <w:sz w:val="22"/>
          <w:szCs w:val="22"/>
        </w:rPr>
        <w:tab/>
      </w:r>
      <w:r w:rsidRPr="00DD4EB8">
        <w:rPr>
          <w:rFonts w:eastAsia="Yu Mincho"/>
        </w:rPr>
        <w:t>Transmission bandwidth configuration</w:t>
      </w:r>
      <w:r>
        <w:tab/>
      </w:r>
      <w:r>
        <w:fldChar w:fldCharType="begin"/>
      </w:r>
      <w:r>
        <w:instrText xml:space="preserve"> PAGEREF _Toc106183842 \h </w:instrText>
      </w:r>
      <w:r>
        <w:fldChar w:fldCharType="separate"/>
      </w:r>
      <w:r>
        <w:t>36</w:t>
      </w:r>
      <w:r>
        <w:fldChar w:fldCharType="end"/>
      </w:r>
    </w:p>
    <w:p w14:paraId="7B581153" w14:textId="415E540C" w:rsidR="003C625C" w:rsidRDefault="003C625C">
      <w:pPr>
        <w:pStyle w:val="TOC3"/>
        <w:rPr>
          <w:rFonts w:asciiTheme="minorHAnsi" w:eastAsiaTheme="minorEastAsia" w:hAnsiTheme="minorHAnsi" w:cstheme="minorBidi"/>
          <w:sz w:val="22"/>
          <w:szCs w:val="22"/>
        </w:rPr>
      </w:pPr>
      <w:r w:rsidRPr="00DD4EB8">
        <w:rPr>
          <w:rFonts w:eastAsia="Yu Mincho"/>
        </w:rPr>
        <w:t>5.3.3</w:t>
      </w:r>
      <w:r>
        <w:rPr>
          <w:rFonts w:asciiTheme="minorHAnsi" w:eastAsiaTheme="minorEastAsia" w:hAnsiTheme="minorHAnsi" w:cstheme="minorBidi"/>
          <w:sz w:val="22"/>
          <w:szCs w:val="22"/>
        </w:rPr>
        <w:tab/>
      </w:r>
      <w:r w:rsidRPr="00DD4EB8">
        <w:rPr>
          <w:rFonts w:eastAsia="Yu Mincho"/>
        </w:rPr>
        <w:t>Minimum guardband and transmission bandwidth configuration</w:t>
      </w:r>
      <w:r>
        <w:tab/>
      </w:r>
      <w:r>
        <w:fldChar w:fldCharType="begin"/>
      </w:r>
      <w:r>
        <w:instrText xml:space="preserve"> PAGEREF _Toc106183843 \h </w:instrText>
      </w:r>
      <w:r>
        <w:fldChar w:fldCharType="separate"/>
      </w:r>
      <w:r>
        <w:t>36</w:t>
      </w:r>
      <w:r>
        <w:fldChar w:fldCharType="end"/>
      </w:r>
    </w:p>
    <w:p w14:paraId="7C9D9E1A" w14:textId="3BC247EC" w:rsidR="003C625C" w:rsidRDefault="003C625C">
      <w:pPr>
        <w:pStyle w:val="TOC3"/>
        <w:rPr>
          <w:rFonts w:asciiTheme="minorHAnsi" w:eastAsiaTheme="minorEastAsia" w:hAnsiTheme="minorHAnsi" w:cstheme="minorBidi"/>
          <w:sz w:val="22"/>
          <w:szCs w:val="22"/>
        </w:rPr>
      </w:pPr>
      <w:r w:rsidRPr="00DD4EB8">
        <w:rPr>
          <w:rFonts w:eastAsia="Yu Mincho"/>
        </w:rPr>
        <w:t>5.3.4</w:t>
      </w:r>
      <w:r>
        <w:rPr>
          <w:rFonts w:asciiTheme="minorHAnsi" w:eastAsiaTheme="minorEastAsia" w:hAnsiTheme="minorHAnsi" w:cstheme="minorBidi"/>
          <w:sz w:val="22"/>
          <w:szCs w:val="22"/>
        </w:rPr>
        <w:tab/>
      </w:r>
      <w:r w:rsidRPr="00DD4EB8">
        <w:rPr>
          <w:rFonts w:eastAsia="Yu Mincho"/>
        </w:rPr>
        <w:t>RB alignment</w:t>
      </w:r>
      <w:r>
        <w:tab/>
      </w:r>
      <w:r>
        <w:fldChar w:fldCharType="begin"/>
      </w:r>
      <w:r>
        <w:instrText xml:space="preserve"> PAGEREF _Toc106183844 \h </w:instrText>
      </w:r>
      <w:r>
        <w:fldChar w:fldCharType="separate"/>
      </w:r>
      <w:r>
        <w:t>36</w:t>
      </w:r>
      <w:r>
        <w:fldChar w:fldCharType="end"/>
      </w:r>
    </w:p>
    <w:p w14:paraId="45C73C83" w14:textId="733AEE3E" w:rsidR="003C625C" w:rsidRDefault="003C625C">
      <w:pPr>
        <w:pStyle w:val="TOC3"/>
        <w:rPr>
          <w:rFonts w:asciiTheme="minorHAnsi" w:eastAsiaTheme="minorEastAsia" w:hAnsiTheme="minorHAnsi" w:cstheme="minorBidi"/>
          <w:sz w:val="22"/>
          <w:szCs w:val="22"/>
        </w:rPr>
      </w:pPr>
      <w:r w:rsidRPr="00DD4EB8">
        <w:rPr>
          <w:rFonts w:eastAsia="Yu Mincho"/>
        </w:rPr>
        <w:t>5.3.5</w:t>
      </w:r>
      <w:r>
        <w:rPr>
          <w:rFonts w:asciiTheme="minorHAnsi" w:eastAsiaTheme="minorEastAsia" w:hAnsiTheme="minorHAnsi" w:cstheme="minorBidi"/>
          <w:sz w:val="22"/>
          <w:szCs w:val="22"/>
        </w:rPr>
        <w:tab/>
      </w:r>
      <w:r w:rsidRPr="00DD4EB8">
        <w:rPr>
          <w:rFonts w:eastAsia="Yu Mincho"/>
        </w:rPr>
        <w:t>IAB-DU and IAB-MT channel bandwidth per operating band</w:t>
      </w:r>
      <w:r>
        <w:tab/>
      </w:r>
      <w:r>
        <w:fldChar w:fldCharType="begin"/>
      </w:r>
      <w:r>
        <w:instrText xml:space="preserve"> PAGEREF _Toc106183845 \h </w:instrText>
      </w:r>
      <w:r>
        <w:fldChar w:fldCharType="separate"/>
      </w:r>
      <w:r>
        <w:t>37</w:t>
      </w:r>
      <w:r>
        <w:fldChar w:fldCharType="end"/>
      </w:r>
    </w:p>
    <w:p w14:paraId="07694B2E" w14:textId="5728F046" w:rsidR="003C625C" w:rsidRDefault="003C625C">
      <w:pPr>
        <w:pStyle w:val="TOC2"/>
        <w:rPr>
          <w:rFonts w:asciiTheme="minorHAnsi" w:eastAsiaTheme="minorEastAsia" w:hAnsiTheme="minorHAnsi" w:cstheme="minorBidi"/>
          <w:sz w:val="22"/>
          <w:szCs w:val="22"/>
        </w:rPr>
      </w:pPr>
      <w:r>
        <w:t>5.3A</w:t>
      </w:r>
      <w:r>
        <w:rPr>
          <w:rFonts w:asciiTheme="minorHAnsi" w:eastAsiaTheme="minorEastAsia" w:hAnsiTheme="minorHAnsi" w:cstheme="minorBidi"/>
          <w:sz w:val="22"/>
          <w:szCs w:val="22"/>
        </w:rPr>
        <w:tab/>
      </w:r>
      <w:r>
        <w:t>IAB-DU and</w:t>
      </w:r>
      <w:r>
        <w:rPr>
          <w:lang w:eastAsia="zh-CN"/>
        </w:rPr>
        <w:t xml:space="preserve"> IAB-MT </w:t>
      </w:r>
      <w:r>
        <w:t>channel bandwidth for CA</w:t>
      </w:r>
      <w:r>
        <w:tab/>
      </w:r>
      <w:r>
        <w:fldChar w:fldCharType="begin"/>
      </w:r>
      <w:r>
        <w:instrText xml:space="preserve"> PAGEREF _Toc106183846 \h </w:instrText>
      </w:r>
      <w:r>
        <w:fldChar w:fldCharType="separate"/>
      </w:r>
      <w:r>
        <w:t>37</w:t>
      </w:r>
      <w:r>
        <w:fldChar w:fldCharType="end"/>
      </w:r>
    </w:p>
    <w:p w14:paraId="6D75D22A" w14:textId="30028B84" w:rsidR="003C625C" w:rsidRDefault="003C625C">
      <w:pPr>
        <w:pStyle w:val="TOC2"/>
        <w:rPr>
          <w:rFonts w:asciiTheme="minorHAnsi" w:eastAsiaTheme="minorEastAsia" w:hAnsiTheme="minorHAnsi" w:cstheme="minorBidi"/>
          <w:sz w:val="22"/>
          <w:szCs w:val="22"/>
        </w:rPr>
      </w:pPr>
      <w:r>
        <w:t>5.4</w:t>
      </w:r>
      <w:r>
        <w:rPr>
          <w:rFonts w:asciiTheme="minorHAnsi" w:eastAsiaTheme="minorEastAsia" w:hAnsiTheme="minorHAnsi" w:cstheme="minorBidi"/>
          <w:sz w:val="22"/>
          <w:szCs w:val="22"/>
        </w:rPr>
        <w:tab/>
      </w:r>
      <w:r>
        <w:t>Channel arrangement</w:t>
      </w:r>
      <w:r>
        <w:tab/>
      </w:r>
      <w:r>
        <w:fldChar w:fldCharType="begin"/>
      </w:r>
      <w:r>
        <w:instrText xml:space="preserve"> PAGEREF _Toc106183847 \h </w:instrText>
      </w:r>
      <w:r>
        <w:fldChar w:fldCharType="separate"/>
      </w:r>
      <w:r>
        <w:t>37</w:t>
      </w:r>
      <w:r>
        <w:fldChar w:fldCharType="end"/>
      </w:r>
    </w:p>
    <w:p w14:paraId="5C0C86C6" w14:textId="246A10A0" w:rsidR="003C625C" w:rsidRDefault="003C625C">
      <w:pPr>
        <w:pStyle w:val="TOC3"/>
        <w:rPr>
          <w:rFonts w:asciiTheme="minorHAnsi" w:eastAsiaTheme="minorEastAsia" w:hAnsiTheme="minorHAnsi" w:cstheme="minorBidi"/>
          <w:sz w:val="22"/>
          <w:szCs w:val="22"/>
        </w:rPr>
      </w:pPr>
      <w:r w:rsidRPr="00DD4EB8">
        <w:rPr>
          <w:rFonts w:eastAsiaTheme="minorEastAsia"/>
        </w:rPr>
        <w:t>5.4.1</w:t>
      </w:r>
      <w:r>
        <w:rPr>
          <w:rFonts w:asciiTheme="minorHAnsi" w:eastAsiaTheme="minorEastAsia" w:hAnsiTheme="minorHAnsi" w:cstheme="minorBidi"/>
          <w:sz w:val="22"/>
          <w:szCs w:val="22"/>
        </w:rPr>
        <w:tab/>
      </w:r>
      <w:r w:rsidRPr="00DD4EB8">
        <w:rPr>
          <w:rFonts w:eastAsiaTheme="minorEastAsia"/>
        </w:rPr>
        <w:t>Channel spacing</w:t>
      </w:r>
      <w:r>
        <w:tab/>
      </w:r>
      <w:r>
        <w:fldChar w:fldCharType="begin"/>
      </w:r>
      <w:r>
        <w:instrText xml:space="preserve"> PAGEREF _Toc106183848 \h </w:instrText>
      </w:r>
      <w:r>
        <w:fldChar w:fldCharType="separate"/>
      </w:r>
      <w:r>
        <w:t>37</w:t>
      </w:r>
      <w:r>
        <w:fldChar w:fldCharType="end"/>
      </w:r>
    </w:p>
    <w:p w14:paraId="679B3AF6" w14:textId="32C30A12" w:rsidR="003C625C" w:rsidRDefault="003C625C">
      <w:pPr>
        <w:pStyle w:val="TOC3"/>
        <w:rPr>
          <w:rFonts w:asciiTheme="minorHAnsi" w:eastAsiaTheme="minorEastAsia" w:hAnsiTheme="minorHAnsi" w:cstheme="minorBidi"/>
          <w:sz w:val="22"/>
          <w:szCs w:val="22"/>
        </w:rPr>
      </w:pPr>
      <w:r w:rsidRPr="00DD4EB8">
        <w:rPr>
          <w:rFonts w:eastAsia="Yu Mincho"/>
        </w:rPr>
        <w:t>5.4.2</w:t>
      </w:r>
      <w:r>
        <w:rPr>
          <w:rFonts w:asciiTheme="minorHAnsi" w:eastAsiaTheme="minorEastAsia" w:hAnsiTheme="minorHAnsi" w:cstheme="minorBidi"/>
          <w:sz w:val="22"/>
          <w:szCs w:val="22"/>
        </w:rPr>
        <w:tab/>
      </w:r>
      <w:r w:rsidRPr="00DD4EB8">
        <w:rPr>
          <w:rFonts w:eastAsia="Yu Mincho"/>
        </w:rPr>
        <w:t>Channel raster</w:t>
      </w:r>
      <w:r>
        <w:tab/>
      </w:r>
      <w:r>
        <w:fldChar w:fldCharType="begin"/>
      </w:r>
      <w:r>
        <w:instrText xml:space="preserve"> PAGEREF _Toc106183849 \h </w:instrText>
      </w:r>
      <w:r>
        <w:fldChar w:fldCharType="separate"/>
      </w:r>
      <w:r>
        <w:t>37</w:t>
      </w:r>
      <w:r>
        <w:fldChar w:fldCharType="end"/>
      </w:r>
    </w:p>
    <w:p w14:paraId="4931D1D3" w14:textId="3D36394F" w:rsidR="003C625C" w:rsidRDefault="003C625C">
      <w:pPr>
        <w:pStyle w:val="TOC4"/>
        <w:rPr>
          <w:rFonts w:asciiTheme="minorHAnsi" w:eastAsiaTheme="minorEastAsia" w:hAnsiTheme="minorHAnsi" w:cstheme="minorBidi"/>
          <w:sz w:val="22"/>
          <w:szCs w:val="22"/>
        </w:rPr>
      </w:pPr>
      <w:r w:rsidRPr="00DD4EB8">
        <w:rPr>
          <w:rFonts w:eastAsia="Yu Mincho"/>
        </w:rPr>
        <w:t>5.4.2.1</w:t>
      </w:r>
      <w:r>
        <w:rPr>
          <w:rFonts w:asciiTheme="minorHAnsi" w:eastAsiaTheme="minorEastAsia" w:hAnsiTheme="minorHAnsi" w:cstheme="minorBidi"/>
          <w:sz w:val="22"/>
          <w:szCs w:val="22"/>
        </w:rPr>
        <w:tab/>
      </w:r>
      <w:r w:rsidRPr="00DD4EB8">
        <w:rPr>
          <w:rFonts w:eastAsia="Yu Mincho"/>
        </w:rPr>
        <w:t>NR-ARFCN and channel raster</w:t>
      </w:r>
      <w:r>
        <w:tab/>
      </w:r>
      <w:r>
        <w:fldChar w:fldCharType="begin"/>
      </w:r>
      <w:r>
        <w:instrText xml:space="preserve"> PAGEREF _Toc106183850 \h </w:instrText>
      </w:r>
      <w:r>
        <w:fldChar w:fldCharType="separate"/>
      </w:r>
      <w:r>
        <w:t>37</w:t>
      </w:r>
      <w:r>
        <w:fldChar w:fldCharType="end"/>
      </w:r>
    </w:p>
    <w:p w14:paraId="174B590E" w14:textId="50D4D596" w:rsidR="003C625C" w:rsidRDefault="003C625C">
      <w:pPr>
        <w:pStyle w:val="TOC4"/>
        <w:rPr>
          <w:rFonts w:asciiTheme="minorHAnsi" w:eastAsiaTheme="minorEastAsia" w:hAnsiTheme="minorHAnsi" w:cstheme="minorBidi"/>
          <w:sz w:val="22"/>
          <w:szCs w:val="22"/>
        </w:rPr>
      </w:pPr>
      <w:r w:rsidRPr="00DD4EB8">
        <w:rPr>
          <w:rFonts w:eastAsia="Yu Mincho"/>
        </w:rPr>
        <w:t>5.4.2.2</w:t>
      </w:r>
      <w:r>
        <w:rPr>
          <w:rFonts w:asciiTheme="minorHAnsi" w:eastAsiaTheme="minorEastAsia" w:hAnsiTheme="minorHAnsi" w:cstheme="minorBidi"/>
          <w:sz w:val="22"/>
          <w:szCs w:val="22"/>
        </w:rPr>
        <w:tab/>
      </w:r>
      <w:r w:rsidRPr="00DD4EB8">
        <w:rPr>
          <w:rFonts w:eastAsia="Yu Mincho"/>
        </w:rPr>
        <w:t>Channel raster to resource element mapping</w:t>
      </w:r>
      <w:r>
        <w:tab/>
      </w:r>
      <w:r>
        <w:fldChar w:fldCharType="begin"/>
      </w:r>
      <w:r>
        <w:instrText xml:space="preserve"> PAGEREF _Toc106183851 \h </w:instrText>
      </w:r>
      <w:r>
        <w:fldChar w:fldCharType="separate"/>
      </w:r>
      <w:r>
        <w:t>37</w:t>
      </w:r>
      <w:r>
        <w:fldChar w:fldCharType="end"/>
      </w:r>
    </w:p>
    <w:p w14:paraId="40A439EA" w14:textId="19D2F360" w:rsidR="003C625C" w:rsidRDefault="003C625C">
      <w:pPr>
        <w:pStyle w:val="TOC4"/>
        <w:rPr>
          <w:rFonts w:asciiTheme="minorHAnsi" w:eastAsiaTheme="minorEastAsia" w:hAnsiTheme="minorHAnsi" w:cstheme="minorBidi"/>
          <w:sz w:val="22"/>
          <w:szCs w:val="22"/>
        </w:rPr>
      </w:pPr>
      <w:r w:rsidRPr="00DD4EB8">
        <w:rPr>
          <w:rFonts w:eastAsia="Yu Mincho"/>
        </w:rPr>
        <w:t>5.4.2.3</w:t>
      </w:r>
      <w:r>
        <w:rPr>
          <w:rFonts w:asciiTheme="minorHAnsi" w:eastAsiaTheme="minorEastAsia" w:hAnsiTheme="minorHAnsi" w:cstheme="minorBidi"/>
          <w:sz w:val="22"/>
          <w:szCs w:val="22"/>
        </w:rPr>
        <w:tab/>
      </w:r>
      <w:r w:rsidRPr="00DD4EB8">
        <w:rPr>
          <w:rFonts w:eastAsia="Yu Mincho"/>
        </w:rPr>
        <w:t xml:space="preserve">Channel raster entries for each </w:t>
      </w:r>
      <w:r w:rsidRPr="00DD4EB8">
        <w:rPr>
          <w:rFonts w:eastAsia="Yu Mincho"/>
          <w:i/>
        </w:rPr>
        <w:t>operating band</w:t>
      </w:r>
      <w:r>
        <w:tab/>
      </w:r>
      <w:r>
        <w:fldChar w:fldCharType="begin"/>
      </w:r>
      <w:r>
        <w:instrText xml:space="preserve"> PAGEREF _Toc106183852 \h </w:instrText>
      </w:r>
      <w:r>
        <w:fldChar w:fldCharType="separate"/>
      </w:r>
      <w:r>
        <w:t>37</w:t>
      </w:r>
      <w:r>
        <w:fldChar w:fldCharType="end"/>
      </w:r>
    </w:p>
    <w:p w14:paraId="774E98F3" w14:textId="307CFA3E" w:rsidR="003C625C" w:rsidRDefault="003C625C">
      <w:pPr>
        <w:pStyle w:val="TOC3"/>
        <w:rPr>
          <w:rFonts w:asciiTheme="minorHAnsi" w:eastAsiaTheme="minorEastAsia" w:hAnsiTheme="minorHAnsi" w:cstheme="minorBidi"/>
          <w:sz w:val="22"/>
          <w:szCs w:val="22"/>
        </w:rPr>
      </w:pPr>
      <w:r w:rsidRPr="00DD4EB8">
        <w:rPr>
          <w:rFonts w:eastAsia="Yu Mincho"/>
        </w:rPr>
        <w:t>5.4.3</w:t>
      </w:r>
      <w:r>
        <w:rPr>
          <w:rFonts w:asciiTheme="minorHAnsi" w:eastAsiaTheme="minorEastAsia" w:hAnsiTheme="minorHAnsi" w:cstheme="minorBidi"/>
          <w:sz w:val="22"/>
          <w:szCs w:val="22"/>
        </w:rPr>
        <w:tab/>
      </w:r>
      <w:r w:rsidRPr="00DD4EB8">
        <w:rPr>
          <w:rFonts w:eastAsia="Yu Mincho"/>
        </w:rPr>
        <w:t>Synchronization raster</w:t>
      </w:r>
      <w:r>
        <w:tab/>
      </w:r>
      <w:r>
        <w:fldChar w:fldCharType="begin"/>
      </w:r>
      <w:r>
        <w:instrText xml:space="preserve"> PAGEREF _Toc106183853 \h </w:instrText>
      </w:r>
      <w:r>
        <w:fldChar w:fldCharType="separate"/>
      </w:r>
      <w:r>
        <w:t>37</w:t>
      </w:r>
      <w:r>
        <w:fldChar w:fldCharType="end"/>
      </w:r>
    </w:p>
    <w:p w14:paraId="1D4EA568" w14:textId="7F72F65B" w:rsidR="003C625C" w:rsidRDefault="003C625C">
      <w:pPr>
        <w:pStyle w:val="TOC4"/>
        <w:rPr>
          <w:rFonts w:asciiTheme="minorHAnsi" w:eastAsiaTheme="minorEastAsia" w:hAnsiTheme="minorHAnsi" w:cstheme="minorBidi"/>
          <w:sz w:val="22"/>
          <w:szCs w:val="22"/>
        </w:rPr>
      </w:pPr>
      <w:r w:rsidRPr="00DD4EB8">
        <w:rPr>
          <w:rFonts w:eastAsia="Yu Mincho"/>
        </w:rPr>
        <w:t>5.4.3.1</w:t>
      </w:r>
      <w:r>
        <w:rPr>
          <w:rFonts w:asciiTheme="minorHAnsi" w:eastAsiaTheme="minorEastAsia" w:hAnsiTheme="minorHAnsi" w:cstheme="minorBidi"/>
          <w:sz w:val="22"/>
          <w:szCs w:val="22"/>
        </w:rPr>
        <w:tab/>
      </w:r>
      <w:r w:rsidRPr="00DD4EB8">
        <w:rPr>
          <w:rFonts w:eastAsia="Yu Mincho"/>
        </w:rPr>
        <w:t>Synchronization raster and numbering</w:t>
      </w:r>
      <w:r>
        <w:tab/>
      </w:r>
      <w:r>
        <w:fldChar w:fldCharType="begin"/>
      </w:r>
      <w:r>
        <w:instrText xml:space="preserve"> PAGEREF _Toc106183854 \h </w:instrText>
      </w:r>
      <w:r>
        <w:fldChar w:fldCharType="separate"/>
      </w:r>
      <w:r>
        <w:t>37</w:t>
      </w:r>
      <w:r>
        <w:fldChar w:fldCharType="end"/>
      </w:r>
    </w:p>
    <w:p w14:paraId="6D2C3576" w14:textId="0D27039A" w:rsidR="003C625C" w:rsidRDefault="003C625C">
      <w:pPr>
        <w:pStyle w:val="TOC4"/>
        <w:rPr>
          <w:rFonts w:asciiTheme="minorHAnsi" w:eastAsiaTheme="minorEastAsia" w:hAnsiTheme="minorHAnsi" w:cstheme="minorBidi"/>
          <w:sz w:val="22"/>
          <w:szCs w:val="22"/>
        </w:rPr>
      </w:pPr>
      <w:r w:rsidRPr="00DD4EB8">
        <w:rPr>
          <w:rFonts w:eastAsia="Yu Mincho"/>
        </w:rPr>
        <w:t>5.4.3.2</w:t>
      </w:r>
      <w:r>
        <w:rPr>
          <w:rFonts w:asciiTheme="minorHAnsi" w:eastAsiaTheme="minorEastAsia" w:hAnsiTheme="minorHAnsi" w:cstheme="minorBidi"/>
          <w:sz w:val="22"/>
          <w:szCs w:val="22"/>
        </w:rPr>
        <w:tab/>
      </w:r>
      <w:r w:rsidRPr="00DD4EB8">
        <w:rPr>
          <w:rFonts w:eastAsia="Yu Mincho"/>
        </w:rPr>
        <w:t>Synchronization raster to synchronization block resource element mapping</w:t>
      </w:r>
      <w:r>
        <w:tab/>
      </w:r>
      <w:r>
        <w:fldChar w:fldCharType="begin"/>
      </w:r>
      <w:r>
        <w:instrText xml:space="preserve"> PAGEREF _Toc106183855 \h </w:instrText>
      </w:r>
      <w:r>
        <w:fldChar w:fldCharType="separate"/>
      </w:r>
      <w:r>
        <w:t>38</w:t>
      </w:r>
      <w:r>
        <w:fldChar w:fldCharType="end"/>
      </w:r>
    </w:p>
    <w:p w14:paraId="540BCFED" w14:textId="7ADA49F5" w:rsidR="003C625C" w:rsidRDefault="003C625C">
      <w:pPr>
        <w:pStyle w:val="TOC4"/>
        <w:rPr>
          <w:rFonts w:asciiTheme="minorHAnsi" w:eastAsiaTheme="minorEastAsia" w:hAnsiTheme="minorHAnsi" w:cstheme="minorBidi"/>
          <w:sz w:val="22"/>
          <w:szCs w:val="22"/>
        </w:rPr>
      </w:pPr>
      <w:r w:rsidRPr="00DD4EB8">
        <w:rPr>
          <w:rFonts w:eastAsia="Yu Mincho"/>
        </w:rPr>
        <w:t>5.4.3.3</w:t>
      </w:r>
      <w:r>
        <w:rPr>
          <w:rFonts w:asciiTheme="minorHAnsi" w:eastAsiaTheme="minorEastAsia" w:hAnsiTheme="minorHAnsi" w:cstheme="minorBidi"/>
          <w:sz w:val="22"/>
          <w:szCs w:val="22"/>
        </w:rPr>
        <w:tab/>
      </w:r>
      <w:r w:rsidRPr="00DD4EB8">
        <w:rPr>
          <w:rFonts w:eastAsia="Yu Mincho"/>
        </w:rPr>
        <w:t>Synchronization raster entries for each operating band</w:t>
      </w:r>
      <w:r>
        <w:tab/>
      </w:r>
      <w:r>
        <w:fldChar w:fldCharType="begin"/>
      </w:r>
      <w:r>
        <w:instrText xml:space="preserve"> PAGEREF _Toc106183856 \h </w:instrText>
      </w:r>
      <w:r>
        <w:fldChar w:fldCharType="separate"/>
      </w:r>
      <w:r>
        <w:t>38</w:t>
      </w:r>
      <w:r>
        <w:fldChar w:fldCharType="end"/>
      </w:r>
    </w:p>
    <w:p w14:paraId="64348BD7" w14:textId="22141DCD" w:rsidR="003C625C" w:rsidRDefault="003C625C">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Conducted transmitter characteristics</w:t>
      </w:r>
      <w:r>
        <w:tab/>
      </w:r>
      <w:r>
        <w:fldChar w:fldCharType="begin"/>
      </w:r>
      <w:r>
        <w:instrText xml:space="preserve"> PAGEREF _Toc106183857 \h </w:instrText>
      </w:r>
      <w:r>
        <w:fldChar w:fldCharType="separate"/>
      </w:r>
      <w:r>
        <w:t>38</w:t>
      </w:r>
      <w:r>
        <w:fldChar w:fldCharType="end"/>
      </w:r>
    </w:p>
    <w:p w14:paraId="4EE5A1A7" w14:textId="444AB1C5" w:rsidR="003C625C" w:rsidRDefault="003C625C">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General</w:t>
      </w:r>
      <w:r>
        <w:tab/>
      </w:r>
      <w:r>
        <w:fldChar w:fldCharType="begin"/>
      </w:r>
      <w:r>
        <w:instrText xml:space="preserve"> PAGEREF _Toc106183858 \h </w:instrText>
      </w:r>
      <w:r>
        <w:fldChar w:fldCharType="separate"/>
      </w:r>
      <w:r>
        <w:t>38</w:t>
      </w:r>
      <w:r>
        <w:fldChar w:fldCharType="end"/>
      </w:r>
    </w:p>
    <w:p w14:paraId="5A7768BF" w14:textId="41B27BD4" w:rsidR="003C625C" w:rsidRDefault="003C625C">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rsidRPr="00DD4EB8">
        <w:rPr>
          <w:rFonts w:eastAsiaTheme="minorEastAsia"/>
          <w:lang w:eastAsia="zh-CN"/>
        </w:rPr>
        <w:t xml:space="preserve">IAB </w:t>
      </w:r>
      <w:r>
        <w:t>output power</w:t>
      </w:r>
      <w:r>
        <w:tab/>
      </w:r>
      <w:r>
        <w:fldChar w:fldCharType="begin"/>
      </w:r>
      <w:r>
        <w:instrText xml:space="preserve"> PAGEREF _Toc106183859 \h </w:instrText>
      </w:r>
      <w:r>
        <w:fldChar w:fldCharType="separate"/>
      </w:r>
      <w:r>
        <w:t>38</w:t>
      </w:r>
      <w:r>
        <w:fldChar w:fldCharType="end"/>
      </w:r>
    </w:p>
    <w:p w14:paraId="31FA4280" w14:textId="7AD91C90" w:rsidR="003C625C" w:rsidRDefault="003C625C">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General</w:t>
      </w:r>
      <w:r>
        <w:tab/>
      </w:r>
      <w:r>
        <w:fldChar w:fldCharType="begin"/>
      </w:r>
      <w:r>
        <w:instrText xml:space="preserve"> PAGEREF _Toc106183860 \h </w:instrText>
      </w:r>
      <w:r>
        <w:fldChar w:fldCharType="separate"/>
      </w:r>
      <w:r>
        <w:t>38</w:t>
      </w:r>
      <w:r>
        <w:fldChar w:fldCharType="end"/>
      </w:r>
    </w:p>
    <w:p w14:paraId="68D5FD8B" w14:textId="1EC3752F" w:rsidR="003C625C" w:rsidRDefault="003C625C">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Minimum requirement for IAB type 1-H</w:t>
      </w:r>
      <w:r>
        <w:tab/>
      </w:r>
      <w:r>
        <w:fldChar w:fldCharType="begin"/>
      </w:r>
      <w:r>
        <w:instrText xml:space="preserve"> PAGEREF _Toc106183861 \h </w:instrText>
      </w:r>
      <w:r>
        <w:fldChar w:fldCharType="separate"/>
      </w:r>
      <w:r>
        <w:t>39</w:t>
      </w:r>
      <w:r>
        <w:fldChar w:fldCharType="end"/>
      </w:r>
    </w:p>
    <w:p w14:paraId="746C9D8D" w14:textId="3E2D7EB4" w:rsidR="003C625C" w:rsidRDefault="003C625C">
      <w:pPr>
        <w:pStyle w:val="TOC3"/>
        <w:rPr>
          <w:rFonts w:asciiTheme="minorHAnsi" w:eastAsiaTheme="minorEastAsia" w:hAnsiTheme="minorHAnsi" w:cstheme="minorBidi"/>
          <w:sz w:val="22"/>
          <w:szCs w:val="22"/>
        </w:rPr>
      </w:pPr>
      <w:r>
        <w:t>6.2.3</w:t>
      </w:r>
      <w:r>
        <w:rPr>
          <w:rFonts w:asciiTheme="minorHAnsi" w:eastAsiaTheme="minorEastAsia" w:hAnsiTheme="minorHAnsi" w:cstheme="minorBidi"/>
          <w:sz w:val="22"/>
          <w:szCs w:val="22"/>
        </w:rPr>
        <w:tab/>
      </w:r>
      <w:r>
        <w:t>Additional requirements (regional)</w:t>
      </w:r>
      <w:r>
        <w:tab/>
      </w:r>
      <w:r>
        <w:fldChar w:fldCharType="begin"/>
      </w:r>
      <w:r>
        <w:instrText xml:space="preserve"> PAGEREF _Toc106183862 \h </w:instrText>
      </w:r>
      <w:r>
        <w:fldChar w:fldCharType="separate"/>
      </w:r>
      <w:r>
        <w:t>39</w:t>
      </w:r>
      <w:r>
        <w:fldChar w:fldCharType="end"/>
      </w:r>
    </w:p>
    <w:p w14:paraId="05E5252F" w14:textId="0FFCB5D9" w:rsidR="003C625C" w:rsidRDefault="003C625C">
      <w:pPr>
        <w:pStyle w:val="TOC2"/>
        <w:rPr>
          <w:rFonts w:asciiTheme="minorHAnsi" w:eastAsiaTheme="minorEastAsia" w:hAnsiTheme="minorHAnsi" w:cstheme="minorBidi"/>
          <w:sz w:val="22"/>
          <w:szCs w:val="22"/>
        </w:rPr>
      </w:pPr>
      <w:r>
        <w:t>6.3</w:t>
      </w:r>
      <w:r>
        <w:rPr>
          <w:rFonts w:asciiTheme="minorHAnsi" w:eastAsiaTheme="minorEastAsia" w:hAnsiTheme="minorHAnsi" w:cstheme="minorBidi"/>
          <w:sz w:val="22"/>
          <w:szCs w:val="22"/>
        </w:rPr>
        <w:tab/>
      </w:r>
      <w:r>
        <w:t>Output power dynamics</w:t>
      </w:r>
      <w:r>
        <w:tab/>
      </w:r>
      <w:r>
        <w:fldChar w:fldCharType="begin"/>
      </w:r>
      <w:r>
        <w:instrText xml:space="preserve"> PAGEREF _Toc106183863 \h </w:instrText>
      </w:r>
      <w:r>
        <w:fldChar w:fldCharType="separate"/>
      </w:r>
      <w:r>
        <w:t>39</w:t>
      </w:r>
      <w:r>
        <w:fldChar w:fldCharType="end"/>
      </w:r>
    </w:p>
    <w:p w14:paraId="42D03266" w14:textId="2C84AE17" w:rsidR="003C625C" w:rsidRDefault="003C625C">
      <w:pPr>
        <w:pStyle w:val="TOC3"/>
        <w:rPr>
          <w:rFonts w:asciiTheme="minorHAnsi" w:eastAsiaTheme="minorEastAsia" w:hAnsiTheme="minorHAnsi" w:cstheme="minorBidi"/>
          <w:sz w:val="22"/>
          <w:szCs w:val="22"/>
        </w:rPr>
      </w:pPr>
      <w:r>
        <w:t>6.3.1</w:t>
      </w:r>
      <w:r>
        <w:rPr>
          <w:rFonts w:asciiTheme="minorHAnsi" w:eastAsiaTheme="minorEastAsia" w:hAnsiTheme="minorHAnsi" w:cstheme="minorBidi"/>
          <w:sz w:val="22"/>
          <w:szCs w:val="22"/>
        </w:rPr>
        <w:tab/>
      </w:r>
      <w:r>
        <w:t>IAB-DU Output Power Dynamics</w:t>
      </w:r>
      <w:r>
        <w:tab/>
      </w:r>
      <w:r>
        <w:fldChar w:fldCharType="begin"/>
      </w:r>
      <w:r>
        <w:instrText xml:space="preserve"> PAGEREF _Toc106183864 \h </w:instrText>
      </w:r>
      <w:r>
        <w:fldChar w:fldCharType="separate"/>
      </w:r>
      <w:r>
        <w:t>39</w:t>
      </w:r>
      <w:r>
        <w:fldChar w:fldCharType="end"/>
      </w:r>
    </w:p>
    <w:p w14:paraId="482A40FB" w14:textId="50798E86" w:rsidR="003C625C" w:rsidRDefault="003C625C">
      <w:pPr>
        <w:pStyle w:val="TOC4"/>
        <w:rPr>
          <w:rFonts w:asciiTheme="minorHAnsi" w:eastAsiaTheme="minorEastAsia" w:hAnsiTheme="minorHAnsi" w:cstheme="minorBidi"/>
          <w:sz w:val="22"/>
          <w:szCs w:val="22"/>
        </w:rPr>
      </w:pPr>
      <w:r>
        <w:t>6.3.1.1</w:t>
      </w:r>
      <w:r>
        <w:rPr>
          <w:rFonts w:asciiTheme="minorHAnsi" w:eastAsiaTheme="minorEastAsia" w:hAnsiTheme="minorHAnsi" w:cstheme="minorBidi"/>
          <w:sz w:val="22"/>
          <w:szCs w:val="22"/>
        </w:rPr>
        <w:tab/>
      </w:r>
      <w:r>
        <w:t>General</w:t>
      </w:r>
      <w:r>
        <w:tab/>
      </w:r>
      <w:r>
        <w:fldChar w:fldCharType="begin"/>
      </w:r>
      <w:r>
        <w:instrText xml:space="preserve"> PAGEREF _Toc106183865 \h </w:instrText>
      </w:r>
      <w:r>
        <w:fldChar w:fldCharType="separate"/>
      </w:r>
      <w:r>
        <w:t>39</w:t>
      </w:r>
      <w:r>
        <w:fldChar w:fldCharType="end"/>
      </w:r>
    </w:p>
    <w:p w14:paraId="180BB36E" w14:textId="2F8ED4BB" w:rsidR="003C625C" w:rsidRDefault="003C625C">
      <w:pPr>
        <w:pStyle w:val="TOC4"/>
        <w:rPr>
          <w:rFonts w:asciiTheme="minorHAnsi" w:eastAsiaTheme="minorEastAsia" w:hAnsiTheme="minorHAnsi" w:cstheme="minorBidi"/>
          <w:sz w:val="22"/>
          <w:szCs w:val="22"/>
        </w:rPr>
      </w:pPr>
      <w:r>
        <w:t>6.3.1.2</w:t>
      </w:r>
      <w:r>
        <w:rPr>
          <w:rFonts w:asciiTheme="minorHAnsi" w:eastAsiaTheme="minorEastAsia" w:hAnsiTheme="minorHAnsi" w:cstheme="minorBidi"/>
          <w:sz w:val="22"/>
          <w:szCs w:val="22"/>
        </w:rPr>
        <w:tab/>
      </w:r>
      <w:r>
        <w:t>RE power control dynamic range</w:t>
      </w:r>
      <w:r>
        <w:tab/>
      </w:r>
      <w:r>
        <w:fldChar w:fldCharType="begin"/>
      </w:r>
      <w:r>
        <w:instrText xml:space="preserve"> PAGEREF _Toc106183866 \h </w:instrText>
      </w:r>
      <w:r>
        <w:fldChar w:fldCharType="separate"/>
      </w:r>
      <w:r>
        <w:t>39</w:t>
      </w:r>
      <w:r>
        <w:fldChar w:fldCharType="end"/>
      </w:r>
    </w:p>
    <w:p w14:paraId="13EF3910" w14:textId="12281864" w:rsidR="003C625C" w:rsidRDefault="003C625C">
      <w:pPr>
        <w:pStyle w:val="TOC5"/>
        <w:rPr>
          <w:rFonts w:asciiTheme="minorHAnsi" w:eastAsiaTheme="minorEastAsia" w:hAnsiTheme="minorHAnsi" w:cstheme="minorBidi"/>
          <w:sz w:val="22"/>
          <w:szCs w:val="22"/>
        </w:rPr>
      </w:pPr>
      <w:r>
        <w:t>6.3.1.2.1</w:t>
      </w:r>
      <w:r>
        <w:rPr>
          <w:rFonts w:asciiTheme="minorHAnsi" w:eastAsiaTheme="minorEastAsia" w:hAnsiTheme="minorHAnsi" w:cstheme="minorBidi"/>
          <w:sz w:val="22"/>
          <w:szCs w:val="22"/>
        </w:rPr>
        <w:tab/>
      </w:r>
      <w:r>
        <w:t>General</w:t>
      </w:r>
      <w:r>
        <w:tab/>
      </w:r>
      <w:r>
        <w:fldChar w:fldCharType="begin"/>
      </w:r>
      <w:r>
        <w:instrText xml:space="preserve"> PAGEREF _Toc106183867 \h </w:instrText>
      </w:r>
      <w:r>
        <w:fldChar w:fldCharType="separate"/>
      </w:r>
      <w:r>
        <w:t>39</w:t>
      </w:r>
      <w:r>
        <w:fldChar w:fldCharType="end"/>
      </w:r>
    </w:p>
    <w:p w14:paraId="5B6CD3D5" w14:textId="57236BC5" w:rsidR="003C625C" w:rsidRDefault="003C625C">
      <w:pPr>
        <w:pStyle w:val="TOC5"/>
        <w:rPr>
          <w:rFonts w:asciiTheme="minorHAnsi" w:eastAsiaTheme="minorEastAsia" w:hAnsiTheme="minorHAnsi" w:cstheme="minorBidi"/>
          <w:sz w:val="22"/>
          <w:szCs w:val="22"/>
        </w:rPr>
      </w:pPr>
      <w:r>
        <w:lastRenderedPageBreak/>
        <w:t>6.3.1.2.2</w:t>
      </w:r>
      <w:r>
        <w:rPr>
          <w:rFonts w:asciiTheme="minorHAnsi" w:eastAsiaTheme="minorEastAsia" w:hAnsiTheme="minorHAnsi" w:cstheme="minorBidi"/>
          <w:sz w:val="22"/>
          <w:szCs w:val="22"/>
        </w:rPr>
        <w:tab/>
      </w:r>
      <w:r>
        <w:t xml:space="preserve">Minimum requirement for </w:t>
      </w:r>
      <w:r w:rsidRPr="00DD4EB8">
        <w:rPr>
          <w:i/>
        </w:rPr>
        <w:t>IAB-DU type 1-H</w:t>
      </w:r>
      <w:r>
        <w:tab/>
      </w:r>
      <w:r>
        <w:fldChar w:fldCharType="begin"/>
      </w:r>
      <w:r>
        <w:instrText xml:space="preserve"> PAGEREF _Toc106183868 \h </w:instrText>
      </w:r>
      <w:r>
        <w:fldChar w:fldCharType="separate"/>
      </w:r>
      <w:r>
        <w:t>39</w:t>
      </w:r>
      <w:r>
        <w:fldChar w:fldCharType="end"/>
      </w:r>
    </w:p>
    <w:p w14:paraId="790774FB" w14:textId="29596846" w:rsidR="003C625C" w:rsidRDefault="003C625C">
      <w:pPr>
        <w:pStyle w:val="TOC4"/>
        <w:rPr>
          <w:rFonts w:asciiTheme="minorHAnsi" w:eastAsiaTheme="minorEastAsia" w:hAnsiTheme="minorHAnsi" w:cstheme="minorBidi"/>
          <w:sz w:val="22"/>
          <w:szCs w:val="22"/>
        </w:rPr>
      </w:pPr>
      <w:r>
        <w:t>6.3.1.3</w:t>
      </w:r>
      <w:r>
        <w:rPr>
          <w:rFonts w:asciiTheme="minorHAnsi" w:eastAsiaTheme="minorEastAsia" w:hAnsiTheme="minorHAnsi" w:cstheme="minorBidi"/>
          <w:sz w:val="22"/>
          <w:szCs w:val="22"/>
        </w:rPr>
        <w:tab/>
      </w:r>
      <w:r>
        <w:t>Total power dynamic range</w:t>
      </w:r>
      <w:r>
        <w:tab/>
      </w:r>
      <w:r>
        <w:fldChar w:fldCharType="begin"/>
      </w:r>
      <w:r>
        <w:instrText xml:space="preserve"> PAGEREF _Toc106183869 \h </w:instrText>
      </w:r>
      <w:r>
        <w:fldChar w:fldCharType="separate"/>
      </w:r>
      <w:r>
        <w:t>39</w:t>
      </w:r>
      <w:r>
        <w:fldChar w:fldCharType="end"/>
      </w:r>
    </w:p>
    <w:p w14:paraId="2E1FC2E3" w14:textId="7D71C0A8" w:rsidR="003C625C" w:rsidRDefault="003C625C">
      <w:pPr>
        <w:pStyle w:val="TOC5"/>
        <w:rPr>
          <w:rFonts w:asciiTheme="minorHAnsi" w:eastAsiaTheme="minorEastAsia" w:hAnsiTheme="minorHAnsi" w:cstheme="minorBidi"/>
          <w:sz w:val="22"/>
          <w:szCs w:val="22"/>
        </w:rPr>
      </w:pPr>
      <w:r>
        <w:t>6.3.1.3.1</w:t>
      </w:r>
      <w:r>
        <w:rPr>
          <w:rFonts w:asciiTheme="minorHAnsi" w:eastAsiaTheme="minorEastAsia" w:hAnsiTheme="minorHAnsi" w:cstheme="minorBidi"/>
          <w:sz w:val="22"/>
          <w:szCs w:val="22"/>
        </w:rPr>
        <w:tab/>
      </w:r>
      <w:r>
        <w:t>General</w:t>
      </w:r>
      <w:r>
        <w:tab/>
      </w:r>
      <w:r>
        <w:fldChar w:fldCharType="begin"/>
      </w:r>
      <w:r>
        <w:instrText xml:space="preserve"> PAGEREF _Toc106183870 \h </w:instrText>
      </w:r>
      <w:r>
        <w:fldChar w:fldCharType="separate"/>
      </w:r>
      <w:r>
        <w:t>39</w:t>
      </w:r>
      <w:r>
        <w:fldChar w:fldCharType="end"/>
      </w:r>
    </w:p>
    <w:p w14:paraId="13844221" w14:textId="470EF5D4" w:rsidR="003C625C" w:rsidRDefault="003C625C">
      <w:pPr>
        <w:pStyle w:val="TOC5"/>
        <w:rPr>
          <w:rFonts w:asciiTheme="minorHAnsi" w:eastAsiaTheme="minorEastAsia" w:hAnsiTheme="minorHAnsi" w:cstheme="minorBidi"/>
          <w:sz w:val="22"/>
          <w:szCs w:val="22"/>
        </w:rPr>
      </w:pPr>
      <w:r>
        <w:t>6.3.1.3.2</w:t>
      </w:r>
      <w:r>
        <w:rPr>
          <w:rFonts w:asciiTheme="minorHAnsi" w:eastAsiaTheme="minorEastAsia" w:hAnsiTheme="minorHAnsi" w:cstheme="minorBidi"/>
          <w:sz w:val="22"/>
          <w:szCs w:val="22"/>
        </w:rPr>
        <w:tab/>
      </w:r>
      <w:r>
        <w:t>Minimum requirement for IAB-DU</w:t>
      </w:r>
      <w:r w:rsidRPr="00DD4EB8">
        <w:rPr>
          <w:i/>
        </w:rPr>
        <w:t xml:space="preserve"> type 1-H</w:t>
      </w:r>
      <w:r>
        <w:tab/>
      </w:r>
      <w:r>
        <w:fldChar w:fldCharType="begin"/>
      </w:r>
      <w:r>
        <w:instrText xml:space="preserve"> PAGEREF _Toc106183871 \h </w:instrText>
      </w:r>
      <w:r>
        <w:fldChar w:fldCharType="separate"/>
      </w:r>
      <w:r>
        <w:t>40</w:t>
      </w:r>
      <w:r>
        <w:fldChar w:fldCharType="end"/>
      </w:r>
    </w:p>
    <w:p w14:paraId="53E9A04A" w14:textId="2BF1F6A5" w:rsidR="003C625C" w:rsidRDefault="003C625C">
      <w:pPr>
        <w:pStyle w:val="TOC3"/>
        <w:rPr>
          <w:rFonts w:asciiTheme="minorHAnsi" w:eastAsiaTheme="minorEastAsia" w:hAnsiTheme="minorHAnsi" w:cstheme="minorBidi"/>
          <w:sz w:val="22"/>
          <w:szCs w:val="22"/>
        </w:rPr>
      </w:pPr>
      <w:r>
        <w:t>6.3.2</w:t>
      </w:r>
      <w:r>
        <w:rPr>
          <w:rFonts w:asciiTheme="minorHAnsi" w:eastAsiaTheme="minorEastAsia" w:hAnsiTheme="minorHAnsi" w:cstheme="minorBidi"/>
          <w:sz w:val="22"/>
          <w:szCs w:val="22"/>
        </w:rPr>
        <w:tab/>
      </w:r>
      <w:r>
        <w:t>IAB-MT Output Power Dynamics</w:t>
      </w:r>
      <w:r>
        <w:tab/>
      </w:r>
      <w:r>
        <w:fldChar w:fldCharType="begin"/>
      </w:r>
      <w:r>
        <w:instrText xml:space="preserve"> PAGEREF _Toc106183872 \h </w:instrText>
      </w:r>
      <w:r>
        <w:fldChar w:fldCharType="separate"/>
      </w:r>
      <w:r>
        <w:t>40</w:t>
      </w:r>
      <w:r>
        <w:fldChar w:fldCharType="end"/>
      </w:r>
    </w:p>
    <w:p w14:paraId="44B7087B" w14:textId="19D274FB" w:rsidR="003C625C" w:rsidRDefault="003C625C">
      <w:pPr>
        <w:pStyle w:val="TOC4"/>
        <w:rPr>
          <w:rFonts w:asciiTheme="minorHAnsi" w:eastAsiaTheme="minorEastAsia" w:hAnsiTheme="minorHAnsi" w:cstheme="minorBidi"/>
          <w:sz w:val="22"/>
          <w:szCs w:val="22"/>
        </w:rPr>
      </w:pPr>
      <w:r>
        <w:t>6.3.2.1</w:t>
      </w:r>
      <w:r>
        <w:rPr>
          <w:rFonts w:asciiTheme="minorHAnsi" w:eastAsiaTheme="minorEastAsia" w:hAnsiTheme="minorHAnsi" w:cstheme="minorBidi"/>
          <w:sz w:val="22"/>
          <w:szCs w:val="22"/>
        </w:rPr>
        <w:tab/>
      </w:r>
      <w:r>
        <w:t>Total power dynamic range</w:t>
      </w:r>
      <w:r>
        <w:tab/>
      </w:r>
      <w:r>
        <w:fldChar w:fldCharType="begin"/>
      </w:r>
      <w:r>
        <w:instrText xml:space="preserve"> PAGEREF _Toc106183873 \h </w:instrText>
      </w:r>
      <w:r>
        <w:fldChar w:fldCharType="separate"/>
      </w:r>
      <w:r>
        <w:t>40</w:t>
      </w:r>
      <w:r>
        <w:fldChar w:fldCharType="end"/>
      </w:r>
    </w:p>
    <w:p w14:paraId="3CCD291B" w14:textId="5E0D3F6F" w:rsidR="003C625C" w:rsidRDefault="003C625C">
      <w:pPr>
        <w:pStyle w:val="TOC5"/>
        <w:rPr>
          <w:rFonts w:asciiTheme="minorHAnsi" w:eastAsiaTheme="minorEastAsia" w:hAnsiTheme="minorHAnsi" w:cstheme="minorBidi"/>
          <w:sz w:val="22"/>
          <w:szCs w:val="22"/>
        </w:rPr>
      </w:pPr>
      <w:r>
        <w:t>6.3.2.1.1</w:t>
      </w:r>
      <w:r>
        <w:rPr>
          <w:rFonts w:asciiTheme="minorHAnsi" w:eastAsiaTheme="minorEastAsia" w:hAnsiTheme="minorHAnsi" w:cstheme="minorBidi"/>
          <w:sz w:val="22"/>
          <w:szCs w:val="22"/>
        </w:rPr>
        <w:tab/>
      </w:r>
      <w:r>
        <w:t>General</w:t>
      </w:r>
      <w:r>
        <w:tab/>
      </w:r>
      <w:r>
        <w:fldChar w:fldCharType="begin"/>
      </w:r>
      <w:r>
        <w:instrText xml:space="preserve"> PAGEREF _Toc106183874 \h </w:instrText>
      </w:r>
      <w:r>
        <w:fldChar w:fldCharType="separate"/>
      </w:r>
      <w:r>
        <w:t>40</w:t>
      </w:r>
      <w:r>
        <w:fldChar w:fldCharType="end"/>
      </w:r>
    </w:p>
    <w:p w14:paraId="25AEC328" w14:textId="32E1421D" w:rsidR="003C625C" w:rsidRDefault="003C625C">
      <w:pPr>
        <w:pStyle w:val="TOC5"/>
        <w:rPr>
          <w:rFonts w:asciiTheme="minorHAnsi" w:eastAsiaTheme="minorEastAsia" w:hAnsiTheme="minorHAnsi" w:cstheme="minorBidi"/>
          <w:sz w:val="22"/>
          <w:szCs w:val="22"/>
        </w:rPr>
      </w:pPr>
      <w:r>
        <w:t>6.3.2.1.2</w:t>
      </w:r>
      <w:r>
        <w:rPr>
          <w:rFonts w:asciiTheme="minorHAnsi" w:eastAsiaTheme="minorEastAsia" w:hAnsiTheme="minorHAnsi" w:cstheme="minorBidi"/>
          <w:sz w:val="22"/>
          <w:szCs w:val="22"/>
        </w:rPr>
        <w:tab/>
      </w:r>
      <w:r>
        <w:t>Minimum requirement for IAB-MT</w:t>
      </w:r>
      <w:r w:rsidRPr="00DD4EB8">
        <w:rPr>
          <w:i/>
        </w:rPr>
        <w:t xml:space="preserve"> type 1-H</w:t>
      </w:r>
      <w:r>
        <w:tab/>
      </w:r>
      <w:r>
        <w:fldChar w:fldCharType="begin"/>
      </w:r>
      <w:r>
        <w:instrText xml:space="preserve"> PAGEREF _Toc106183875 \h </w:instrText>
      </w:r>
      <w:r>
        <w:fldChar w:fldCharType="separate"/>
      </w:r>
      <w:r>
        <w:t>40</w:t>
      </w:r>
      <w:r>
        <w:fldChar w:fldCharType="end"/>
      </w:r>
    </w:p>
    <w:p w14:paraId="3C81A0E9" w14:textId="4F5C2157" w:rsidR="003C625C" w:rsidRDefault="003C625C">
      <w:pPr>
        <w:pStyle w:val="TOC3"/>
        <w:rPr>
          <w:rFonts w:asciiTheme="minorHAnsi" w:eastAsiaTheme="minorEastAsia" w:hAnsiTheme="minorHAnsi" w:cstheme="minorBidi"/>
          <w:sz w:val="22"/>
          <w:szCs w:val="22"/>
        </w:rPr>
      </w:pPr>
      <w:r>
        <w:t>6.3.3</w:t>
      </w:r>
      <w:r>
        <w:rPr>
          <w:rFonts w:asciiTheme="minorHAnsi" w:eastAsiaTheme="minorEastAsia" w:hAnsiTheme="minorHAnsi" w:cstheme="minorBidi"/>
          <w:sz w:val="22"/>
          <w:szCs w:val="22"/>
        </w:rPr>
        <w:tab/>
      </w:r>
      <w:r>
        <w:t>Power control</w:t>
      </w:r>
      <w:r>
        <w:tab/>
      </w:r>
      <w:r>
        <w:fldChar w:fldCharType="begin"/>
      </w:r>
      <w:r>
        <w:instrText xml:space="preserve"> PAGEREF _Toc106183876 \h </w:instrText>
      </w:r>
      <w:r>
        <w:fldChar w:fldCharType="separate"/>
      </w:r>
      <w:r>
        <w:t>40</w:t>
      </w:r>
      <w:r>
        <w:fldChar w:fldCharType="end"/>
      </w:r>
    </w:p>
    <w:p w14:paraId="5406DA24" w14:textId="0C6D56B6" w:rsidR="003C625C" w:rsidRDefault="003C625C">
      <w:pPr>
        <w:pStyle w:val="TOC4"/>
        <w:rPr>
          <w:rFonts w:asciiTheme="minorHAnsi" w:eastAsiaTheme="minorEastAsia" w:hAnsiTheme="minorHAnsi" w:cstheme="minorBidi"/>
          <w:sz w:val="22"/>
          <w:szCs w:val="22"/>
        </w:rPr>
      </w:pPr>
      <w:r w:rsidRPr="00DD4EB8">
        <w:rPr>
          <w:rFonts w:eastAsia="MS Mincho"/>
        </w:rPr>
        <w:t>6.3.3.1</w:t>
      </w:r>
      <w:r>
        <w:rPr>
          <w:rFonts w:asciiTheme="minorHAnsi" w:eastAsiaTheme="minorEastAsia" w:hAnsiTheme="minorHAnsi" w:cstheme="minorBidi"/>
          <w:sz w:val="22"/>
          <w:szCs w:val="22"/>
        </w:rPr>
        <w:tab/>
      </w:r>
      <w:r w:rsidRPr="00DD4EB8">
        <w:rPr>
          <w:rFonts w:eastAsia="MS Mincho"/>
        </w:rPr>
        <w:t>Relative power tolerance for local area IAB-MT type 1-H</w:t>
      </w:r>
      <w:r>
        <w:tab/>
      </w:r>
      <w:r>
        <w:fldChar w:fldCharType="begin"/>
      </w:r>
      <w:r>
        <w:instrText xml:space="preserve"> PAGEREF _Toc106183877 \h </w:instrText>
      </w:r>
      <w:r>
        <w:fldChar w:fldCharType="separate"/>
      </w:r>
      <w:r>
        <w:t>40</w:t>
      </w:r>
      <w:r>
        <w:fldChar w:fldCharType="end"/>
      </w:r>
    </w:p>
    <w:p w14:paraId="25EB8C91" w14:textId="5BAEF5BA" w:rsidR="003C625C" w:rsidRDefault="003C625C">
      <w:pPr>
        <w:pStyle w:val="TOC4"/>
        <w:rPr>
          <w:rFonts w:asciiTheme="minorHAnsi" w:eastAsiaTheme="minorEastAsia" w:hAnsiTheme="minorHAnsi" w:cstheme="minorBidi"/>
          <w:sz w:val="22"/>
          <w:szCs w:val="22"/>
        </w:rPr>
      </w:pPr>
      <w:r w:rsidRPr="00DD4EB8">
        <w:rPr>
          <w:rFonts w:eastAsia="MS Mincho"/>
        </w:rPr>
        <w:t>6.3.3.2</w:t>
      </w:r>
      <w:r>
        <w:rPr>
          <w:rFonts w:asciiTheme="minorHAnsi" w:eastAsiaTheme="minorEastAsia" w:hAnsiTheme="minorHAnsi" w:cstheme="minorBidi"/>
          <w:sz w:val="22"/>
          <w:szCs w:val="22"/>
        </w:rPr>
        <w:tab/>
      </w:r>
      <w:r w:rsidRPr="00DD4EB8">
        <w:rPr>
          <w:rFonts w:eastAsia="MS Mincho"/>
        </w:rPr>
        <w:t>Aggregate power tolerance for local area IAB-MT type 1-H</w:t>
      </w:r>
      <w:r>
        <w:tab/>
      </w:r>
      <w:r>
        <w:fldChar w:fldCharType="begin"/>
      </w:r>
      <w:r>
        <w:instrText xml:space="preserve"> PAGEREF _Toc106183878 \h </w:instrText>
      </w:r>
      <w:r>
        <w:fldChar w:fldCharType="separate"/>
      </w:r>
      <w:r>
        <w:t>40</w:t>
      </w:r>
      <w:r>
        <w:fldChar w:fldCharType="end"/>
      </w:r>
    </w:p>
    <w:p w14:paraId="587C6952" w14:textId="203595DA" w:rsidR="003C625C" w:rsidRDefault="003C625C">
      <w:pPr>
        <w:pStyle w:val="TOC2"/>
        <w:rPr>
          <w:rFonts w:asciiTheme="minorHAnsi" w:eastAsiaTheme="minorEastAsia" w:hAnsiTheme="minorHAnsi" w:cstheme="minorBidi"/>
          <w:sz w:val="22"/>
          <w:szCs w:val="22"/>
        </w:rPr>
      </w:pPr>
      <w:r>
        <w:t>6.4</w:t>
      </w:r>
      <w:r>
        <w:rPr>
          <w:rFonts w:asciiTheme="minorHAnsi" w:eastAsiaTheme="minorEastAsia" w:hAnsiTheme="minorHAnsi" w:cstheme="minorBidi"/>
          <w:sz w:val="22"/>
          <w:szCs w:val="22"/>
        </w:rPr>
        <w:tab/>
      </w:r>
      <w:r>
        <w:t>Transmit ON/OFF power</w:t>
      </w:r>
      <w:r>
        <w:tab/>
      </w:r>
      <w:r>
        <w:fldChar w:fldCharType="begin"/>
      </w:r>
      <w:r>
        <w:instrText xml:space="preserve"> PAGEREF _Toc106183879 \h </w:instrText>
      </w:r>
      <w:r>
        <w:fldChar w:fldCharType="separate"/>
      </w:r>
      <w:r>
        <w:t>41</w:t>
      </w:r>
      <w:r>
        <w:fldChar w:fldCharType="end"/>
      </w:r>
    </w:p>
    <w:p w14:paraId="37E1560B" w14:textId="288CD970" w:rsidR="003C625C" w:rsidRDefault="003C625C">
      <w:pPr>
        <w:pStyle w:val="TOC3"/>
        <w:rPr>
          <w:rFonts w:asciiTheme="minorHAnsi" w:eastAsiaTheme="minorEastAsia" w:hAnsiTheme="minorHAnsi" w:cstheme="minorBidi"/>
          <w:sz w:val="22"/>
          <w:szCs w:val="22"/>
        </w:rPr>
      </w:pPr>
      <w:r>
        <w:t>6.4.1</w:t>
      </w:r>
      <w:r>
        <w:rPr>
          <w:rFonts w:asciiTheme="minorHAnsi" w:eastAsiaTheme="minorEastAsia" w:hAnsiTheme="minorHAnsi" w:cstheme="minorBidi"/>
          <w:sz w:val="22"/>
          <w:szCs w:val="22"/>
        </w:rPr>
        <w:tab/>
      </w:r>
      <w:r>
        <w:t>Transmitter OFF power</w:t>
      </w:r>
      <w:r>
        <w:tab/>
      </w:r>
      <w:r>
        <w:fldChar w:fldCharType="begin"/>
      </w:r>
      <w:r>
        <w:instrText xml:space="preserve"> PAGEREF _Toc106183880 \h </w:instrText>
      </w:r>
      <w:r>
        <w:fldChar w:fldCharType="separate"/>
      </w:r>
      <w:r>
        <w:t>41</w:t>
      </w:r>
      <w:r>
        <w:fldChar w:fldCharType="end"/>
      </w:r>
    </w:p>
    <w:p w14:paraId="5AAEA302" w14:textId="1A433052" w:rsidR="003C625C" w:rsidRDefault="003C625C">
      <w:pPr>
        <w:pStyle w:val="TOC4"/>
        <w:rPr>
          <w:rFonts w:asciiTheme="minorHAnsi" w:eastAsiaTheme="minorEastAsia" w:hAnsiTheme="minorHAnsi" w:cstheme="minorBidi"/>
          <w:sz w:val="22"/>
          <w:szCs w:val="22"/>
        </w:rPr>
      </w:pPr>
      <w:r>
        <w:t>6.4.1.1</w:t>
      </w:r>
      <w:r>
        <w:rPr>
          <w:rFonts w:asciiTheme="minorHAnsi" w:eastAsiaTheme="minorEastAsia" w:hAnsiTheme="minorHAnsi" w:cstheme="minorBidi"/>
          <w:sz w:val="22"/>
          <w:szCs w:val="22"/>
        </w:rPr>
        <w:tab/>
      </w:r>
      <w:r>
        <w:t>General</w:t>
      </w:r>
      <w:r>
        <w:tab/>
      </w:r>
      <w:r>
        <w:fldChar w:fldCharType="begin"/>
      </w:r>
      <w:r>
        <w:instrText xml:space="preserve"> PAGEREF _Toc106183881 \h </w:instrText>
      </w:r>
      <w:r>
        <w:fldChar w:fldCharType="separate"/>
      </w:r>
      <w:r>
        <w:t>41</w:t>
      </w:r>
      <w:r>
        <w:fldChar w:fldCharType="end"/>
      </w:r>
    </w:p>
    <w:p w14:paraId="78B07AB6" w14:textId="53D79B7E" w:rsidR="003C625C" w:rsidRDefault="003C625C">
      <w:pPr>
        <w:pStyle w:val="TOC4"/>
        <w:rPr>
          <w:rFonts w:asciiTheme="minorHAnsi" w:eastAsiaTheme="minorEastAsia" w:hAnsiTheme="minorHAnsi" w:cstheme="minorBidi"/>
          <w:sz w:val="22"/>
          <w:szCs w:val="22"/>
        </w:rPr>
      </w:pPr>
      <w:r>
        <w:t>6.4.1.3</w:t>
      </w:r>
      <w:r>
        <w:rPr>
          <w:rFonts w:asciiTheme="minorHAnsi" w:eastAsiaTheme="minorEastAsia" w:hAnsiTheme="minorHAnsi" w:cstheme="minorBidi"/>
          <w:sz w:val="22"/>
          <w:szCs w:val="22"/>
        </w:rPr>
        <w:tab/>
      </w:r>
      <w:r>
        <w:t xml:space="preserve">Minimum requirement for </w:t>
      </w:r>
      <w:r w:rsidRPr="00DD4EB8">
        <w:rPr>
          <w:i/>
        </w:rPr>
        <w:t>IAB-DU type 1-H</w:t>
      </w:r>
      <w:r>
        <w:tab/>
      </w:r>
      <w:r>
        <w:fldChar w:fldCharType="begin"/>
      </w:r>
      <w:r>
        <w:instrText xml:space="preserve"> PAGEREF _Toc106183882 \h </w:instrText>
      </w:r>
      <w:r>
        <w:fldChar w:fldCharType="separate"/>
      </w:r>
      <w:r>
        <w:t>41</w:t>
      </w:r>
      <w:r>
        <w:fldChar w:fldCharType="end"/>
      </w:r>
    </w:p>
    <w:p w14:paraId="2560830B" w14:textId="22BA6F32" w:rsidR="003C625C" w:rsidRDefault="003C625C">
      <w:pPr>
        <w:pStyle w:val="TOC4"/>
        <w:rPr>
          <w:rFonts w:asciiTheme="minorHAnsi" w:eastAsiaTheme="minorEastAsia" w:hAnsiTheme="minorHAnsi" w:cstheme="minorBidi"/>
          <w:sz w:val="22"/>
          <w:szCs w:val="22"/>
        </w:rPr>
      </w:pPr>
      <w:r>
        <w:t>6.4.1.4</w:t>
      </w:r>
      <w:r>
        <w:rPr>
          <w:rFonts w:asciiTheme="minorHAnsi" w:eastAsiaTheme="minorEastAsia" w:hAnsiTheme="minorHAnsi" w:cstheme="minorBidi"/>
          <w:sz w:val="22"/>
          <w:szCs w:val="22"/>
        </w:rPr>
        <w:tab/>
      </w:r>
      <w:r>
        <w:t xml:space="preserve">Minimum requirement for </w:t>
      </w:r>
      <w:r w:rsidRPr="00DD4EB8">
        <w:rPr>
          <w:i/>
        </w:rPr>
        <w:t>IAB-MT type 1-H</w:t>
      </w:r>
      <w:r>
        <w:tab/>
      </w:r>
      <w:r>
        <w:fldChar w:fldCharType="begin"/>
      </w:r>
      <w:r>
        <w:instrText xml:space="preserve"> PAGEREF _Toc106183883 \h </w:instrText>
      </w:r>
      <w:r>
        <w:fldChar w:fldCharType="separate"/>
      </w:r>
      <w:r>
        <w:t>41</w:t>
      </w:r>
      <w:r>
        <w:fldChar w:fldCharType="end"/>
      </w:r>
    </w:p>
    <w:p w14:paraId="028FF845" w14:textId="4A91DCD7" w:rsidR="003C625C" w:rsidRDefault="003C625C">
      <w:pPr>
        <w:pStyle w:val="TOC3"/>
        <w:rPr>
          <w:rFonts w:asciiTheme="minorHAnsi" w:eastAsiaTheme="minorEastAsia" w:hAnsiTheme="minorHAnsi" w:cstheme="minorBidi"/>
          <w:sz w:val="22"/>
          <w:szCs w:val="22"/>
        </w:rPr>
      </w:pPr>
      <w:r>
        <w:t>6.4.2</w:t>
      </w:r>
      <w:r>
        <w:rPr>
          <w:rFonts w:asciiTheme="minorHAnsi" w:eastAsiaTheme="minorEastAsia" w:hAnsiTheme="minorHAnsi" w:cstheme="minorBidi"/>
          <w:sz w:val="22"/>
          <w:szCs w:val="22"/>
        </w:rPr>
        <w:tab/>
      </w:r>
      <w:r>
        <w:t>Transmitter transient period</w:t>
      </w:r>
      <w:r>
        <w:tab/>
      </w:r>
      <w:r>
        <w:fldChar w:fldCharType="begin"/>
      </w:r>
      <w:r>
        <w:instrText xml:space="preserve"> PAGEREF _Toc106183884 \h </w:instrText>
      </w:r>
      <w:r>
        <w:fldChar w:fldCharType="separate"/>
      </w:r>
      <w:r>
        <w:t>41</w:t>
      </w:r>
      <w:r>
        <w:fldChar w:fldCharType="end"/>
      </w:r>
    </w:p>
    <w:p w14:paraId="6834162D" w14:textId="063598C5" w:rsidR="003C625C" w:rsidRDefault="003C625C">
      <w:pPr>
        <w:pStyle w:val="TOC4"/>
        <w:rPr>
          <w:rFonts w:asciiTheme="minorHAnsi" w:eastAsiaTheme="minorEastAsia" w:hAnsiTheme="minorHAnsi" w:cstheme="minorBidi"/>
          <w:sz w:val="22"/>
          <w:szCs w:val="22"/>
        </w:rPr>
      </w:pPr>
      <w:r>
        <w:t>6.4.2.1</w:t>
      </w:r>
      <w:r>
        <w:rPr>
          <w:rFonts w:asciiTheme="minorHAnsi" w:eastAsiaTheme="minorEastAsia" w:hAnsiTheme="minorHAnsi" w:cstheme="minorBidi"/>
          <w:sz w:val="22"/>
          <w:szCs w:val="22"/>
        </w:rPr>
        <w:tab/>
      </w:r>
      <w:r>
        <w:t>General</w:t>
      </w:r>
      <w:r>
        <w:tab/>
      </w:r>
      <w:r>
        <w:fldChar w:fldCharType="begin"/>
      </w:r>
      <w:r>
        <w:instrText xml:space="preserve"> PAGEREF _Toc106183885 \h </w:instrText>
      </w:r>
      <w:r>
        <w:fldChar w:fldCharType="separate"/>
      </w:r>
      <w:r>
        <w:t>41</w:t>
      </w:r>
      <w:r>
        <w:fldChar w:fldCharType="end"/>
      </w:r>
    </w:p>
    <w:p w14:paraId="3143B583" w14:textId="5671DAEA" w:rsidR="003C625C" w:rsidRDefault="003C625C">
      <w:pPr>
        <w:pStyle w:val="TOC4"/>
        <w:rPr>
          <w:rFonts w:asciiTheme="minorHAnsi" w:eastAsiaTheme="minorEastAsia" w:hAnsiTheme="minorHAnsi" w:cstheme="minorBidi"/>
          <w:sz w:val="22"/>
          <w:szCs w:val="22"/>
        </w:rPr>
      </w:pPr>
      <w:r>
        <w:t>6.4.2.2</w:t>
      </w:r>
      <w:r>
        <w:rPr>
          <w:rFonts w:asciiTheme="minorHAnsi" w:eastAsiaTheme="minorEastAsia" w:hAnsiTheme="minorHAnsi" w:cstheme="minorBidi"/>
          <w:sz w:val="22"/>
          <w:szCs w:val="22"/>
        </w:rPr>
        <w:tab/>
      </w:r>
      <w:r>
        <w:t>Minimum requirement for IAB-DU type 1-H</w:t>
      </w:r>
      <w:r>
        <w:tab/>
      </w:r>
      <w:r>
        <w:fldChar w:fldCharType="begin"/>
      </w:r>
      <w:r>
        <w:instrText xml:space="preserve"> PAGEREF _Toc106183886 \h </w:instrText>
      </w:r>
      <w:r>
        <w:fldChar w:fldCharType="separate"/>
      </w:r>
      <w:r>
        <w:t>42</w:t>
      </w:r>
      <w:r>
        <w:fldChar w:fldCharType="end"/>
      </w:r>
    </w:p>
    <w:p w14:paraId="0D97220F" w14:textId="6232363C" w:rsidR="003C625C" w:rsidRDefault="003C625C">
      <w:pPr>
        <w:pStyle w:val="TOC4"/>
        <w:rPr>
          <w:rFonts w:asciiTheme="minorHAnsi" w:eastAsiaTheme="minorEastAsia" w:hAnsiTheme="minorHAnsi" w:cstheme="minorBidi"/>
          <w:sz w:val="22"/>
          <w:szCs w:val="22"/>
        </w:rPr>
      </w:pPr>
      <w:r>
        <w:t>6.4.2.3</w:t>
      </w:r>
      <w:r>
        <w:rPr>
          <w:rFonts w:asciiTheme="minorHAnsi" w:eastAsiaTheme="minorEastAsia" w:hAnsiTheme="minorHAnsi" w:cstheme="minorBidi"/>
          <w:sz w:val="22"/>
          <w:szCs w:val="22"/>
        </w:rPr>
        <w:tab/>
      </w:r>
      <w:r>
        <w:t>Minimum requirement for IAB-MT type 1-H</w:t>
      </w:r>
      <w:r>
        <w:tab/>
      </w:r>
      <w:r>
        <w:fldChar w:fldCharType="begin"/>
      </w:r>
      <w:r>
        <w:instrText xml:space="preserve"> PAGEREF _Toc106183887 \h </w:instrText>
      </w:r>
      <w:r>
        <w:fldChar w:fldCharType="separate"/>
      </w:r>
      <w:r>
        <w:t>42</w:t>
      </w:r>
      <w:r>
        <w:fldChar w:fldCharType="end"/>
      </w:r>
    </w:p>
    <w:p w14:paraId="7A024727" w14:textId="00C2F1BC" w:rsidR="003C625C" w:rsidRDefault="003C625C">
      <w:pPr>
        <w:pStyle w:val="TOC2"/>
        <w:rPr>
          <w:rFonts w:asciiTheme="minorHAnsi" w:eastAsiaTheme="minorEastAsia" w:hAnsiTheme="minorHAnsi" w:cstheme="minorBidi"/>
          <w:sz w:val="22"/>
          <w:szCs w:val="22"/>
        </w:rPr>
      </w:pPr>
      <w:r>
        <w:t>6.5</w:t>
      </w:r>
      <w:r>
        <w:rPr>
          <w:rFonts w:asciiTheme="minorHAnsi" w:eastAsiaTheme="minorEastAsia" w:hAnsiTheme="minorHAnsi" w:cstheme="minorBidi"/>
          <w:sz w:val="22"/>
          <w:szCs w:val="22"/>
        </w:rPr>
        <w:tab/>
      </w:r>
      <w:r>
        <w:t>Transmitted signal quality</w:t>
      </w:r>
      <w:r>
        <w:tab/>
      </w:r>
      <w:r>
        <w:fldChar w:fldCharType="begin"/>
      </w:r>
      <w:r>
        <w:instrText xml:space="preserve"> PAGEREF _Toc106183888 \h </w:instrText>
      </w:r>
      <w:r>
        <w:fldChar w:fldCharType="separate"/>
      </w:r>
      <w:r>
        <w:t>42</w:t>
      </w:r>
      <w:r>
        <w:fldChar w:fldCharType="end"/>
      </w:r>
    </w:p>
    <w:p w14:paraId="44709BBA" w14:textId="1C4F851F" w:rsidR="003C625C" w:rsidRDefault="003C625C">
      <w:pPr>
        <w:pStyle w:val="TOC3"/>
        <w:rPr>
          <w:rFonts w:asciiTheme="minorHAnsi" w:eastAsiaTheme="minorEastAsia" w:hAnsiTheme="minorHAnsi" w:cstheme="minorBidi"/>
          <w:sz w:val="22"/>
          <w:szCs w:val="22"/>
        </w:rPr>
      </w:pPr>
      <w:r>
        <w:t>6.5.1</w:t>
      </w:r>
      <w:r>
        <w:rPr>
          <w:rFonts w:asciiTheme="minorHAnsi" w:eastAsiaTheme="minorEastAsia" w:hAnsiTheme="minorHAnsi" w:cstheme="minorBidi"/>
          <w:sz w:val="22"/>
          <w:szCs w:val="22"/>
        </w:rPr>
        <w:tab/>
      </w:r>
      <w:r>
        <w:t>Frequency error</w:t>
      </w:r>
      <w:r>
        <w:tab/>
      </w:r>
      <w:r>
        <w:fldChar w:fldCharType="begin"/>
      </w:r>
      <w:r>
        <w:instrText xml:space="preserve"> PAGEREF _Toc106183889 \h </w:instrText>
      </w:r>
      <w:r>
        <w:fldChar w:fldCharType="separate"/>
      </w:r>
      <w:r>
        <w:t>42</w:t>
      </w:r>
      <w:r>
        <w:fldChar w:fldCharType="end"/>
      </w:r>
    </w:p>
    <w:p w14:paraId="2F131273" w14:textId="63AD0893" w:rsidR="003C625C" w:rsidRDefault="003C625C">
      <w:pPr>
        <w:pStyle w:val="TOC4"/>
        <w:rPr>
          <w:rFonts w:asciiTheme="minorHAnsi" w:eastAsiaTheme="minorEastAsia" w:hAnsiTheme="minorHAnsi" w:cstheme="minorBidi"/>
          <w:sz w:val="22"/>
          <w:szCs w:val="22"/>
        </w:rPr>
      </w:pPr>
      <w:r>
        <w:t>6.5.1.1</w:t>
      </w:r>
      <w:r>
        <w:rPr>
          <w:rFonts w:asciiTheme="minorHAnsi" w:eastAsiaTheme="minorEastAsia" w:hAnsiTheme="minorHAnsi" w:cstheme="minorBidi"/>
          <w:sz w:val="22"/>
          <w:szCs w:val="22"/>
        </w:rPr>
        <w:tab/>
      </w:r>
      <w:r>
        <w:t>IAB-DU frequency error</w:t>
      </w:r>
      <w:r>
        <w:tab/>
      </w:r>
      <w:r>
        <w:fldChar w:fldCharType="begin"/>
      </w:r>
      <w:r>
        <w:instrText xml:space="preserve"> PAGEREF _Toc106183890 \h </w:instrText>
      </w:r>
      <w:r>
        <w:fldChar w:fldCharType="separate"/>
      </w:r>
      <w:r>
        <w:t>42</w:t>
      </w:r>
      <w:r>
        <w:fldChar w:fldCharType="end"/>
      </w:r>
    </w:p>
    <w:p w14:paraId="09B7A47E" w14:textId="7F500A00" w:rsidR="003C625C" w:rsidRDefault="003C625C">
      <w:pPr>
        <w:pStyle w:val="TOC4"/>
        <w:rPr>
          <w:rFonts w:asciiTheme="minorHAnsi" w:eastAsiaTheme="minorEastAsia" w:hAnsiTheme="minorHAnsi" w:cstheme="minorBidi"/>
          <w:sz w:val="22"/>
          <w:szCs w:val="22"/>
        </w:rPr>
      </w:pPr>
      <w:r>
        <w:t>6.5.1.2</w:t>
      </w:r>
      <w:r>
        <w:rPr>
          <w:rFonts w:asciiTheme="minorHAnsi" w:eastAsiaTheme="minorEastAsia" w:hAnsiTheme="minorHAnsi" w:cstheme="minorBidi"/>
          <w:sz w:val="22"/>
          <w:szCs w:val="22"/>
        </w:rPr>
        <w:tab/>
      </w:r>
      <w:r>
        <w:t>IAB-MT frequency error</w:t>
      </w:r>
      <w:r>
        <w:tab/>
      </w:r>
      <w:r>
        <w:fldChar w:fldCharType="begin"/>
      </w:r>
      <w:r>
        <w:instrText xml:space="preserve"> PAGEREF _Toc106183891 \h </w:instrText>
      </w:r>
      <w:r>
        <w:fldChar w:fldCharType="separate"/>
      </w:r>
      <w:r>
        <w:t>42</w:t>
      </w:r>
      <w:r>
        <w:fldChar w:fldCharType="end"/>
      </w:r>
    </w:p>
    <w:p w14:paraId="652E19AA" w14:textId="7DA3CCD8" w:rsidR="003C625C" w:rsidRDefault="003C625C">
      <w:pPr>
        <w:pStyle w:val="TOC3"/>
        <w:rPr>
          <w:rFonts w:asciiTheme="minorHAnsi" w:eastAsiaTheme="minorEastAsia" w:hAnsiTheme="minorHAnsi" w:cstheme="minorBidi"/>
          <w:sz w:val="22"/>
          <w:szCs w:val="22"/>
        </w:rPr>
      </w:pPr>
      <w:r>
        <w:t>6.5.2</w:t>
      </w:r>
      <w:r>
        <w:rPr>
          <w:rFonts w:asciiTheme="minorHAnsi" w:eastAsiaTheme="minorEastAsia" w:hAnsiTheme="minorHAnsi" w:cstheme="minorBidi"/>
          <w:sz w:val="22"/>
          <w:szCs w:val="22"/>
        </w:rPr>
        <w:tab/>
      </w:r>
      <w:r>
        <w:t>Modulation quality</w:t>
      </w:r>
      <w:r>
        <w:tab/>
      </w:r>
      <w:r>
        <w:fldChar w:fldCharType="begin"/>
      </w:r>
      <w:r>
        <w:instrText xml:space="preserve"> PAGEREF _Toc106183892 \h </w:instrText>
      </w:r>
      <w:r>
        <w:fldChar w:fldCharType="separate"/>
      </w:r>
      <w:r>
        <w:t>42</w:t>
      </w:r>
      <w:r>
        <w:fldChar w:fldCharType="end"/>
      </w:r>
    </w:p>
    <w:p w14:paraId="349B68D3" w14:textId="5D325A70" w:rsidR="003C625C" w:rsidRDefault="003C625C">
      <w:pPr>
        <w:pStyle w:val="TOC4"/>
        <w:rPr>
          <w:rFonts w:asciiTheme="minorHAnsi" w:eastAsiaTheme="minorEastAsia" w:hAnsiTheme="minorHAnsi" w:cstheme="minorBidi"/>
          <w:sz w:val="22"/>
          <w:szCs w:val="22"/>
        </w:rPr>
      </w:pPr>
      <w:r>
        <w:t>6.5.2.1</w:t>
      </w:r>
      <w:r>
        <w:rPr>
          <w:rFonts w:asciiTheme="minorHAnsi" w:eastAsiaTheme="minorEastAsia" w:hAnsiTheme="minorHAnsi" w:cstheme="minorBidi"/>
          <w:sz w:val="22"/>
          <w:szCs w:val="22"/>
        </w:rPr>
        <w:tab/>
      </w:r>
      <w:r>
        <w:t>IAB-DU modulation quality</w:t>
      </w:r>
      <w:r>
        <w:tab/>
      </w:r>
      <w:r>
        <w:fldChar w:fldCharType="begin"/>
      </w:r>
      <w:r>
        <w:instrText xml:space="preserve"> PAGEREF _Toc106183893 \h </w:instrText>
      </w:r>
      <w:r>
        <w:fldChar w:fldCharType="separate"/>
      </w:r>
      <w:r>
        <w:t>42</w:t>
      </w:r>
      <w:r>
        <w:fldChar w:fldCharType="end"/>
      </w:r>
    </w:p>
    <w:p w14:paraId="491126DE" w14:textId="21823446" w:rsidR="003C625C" w:rsidRDefault="003C625C">
      <w:pPr>
        <w:pStyle w:val="TOC4"/>
        <w:rPr>
          <w:rFonts w:asciiTheme="minorHAnsi" w:eastAsiaTheme="minorEastAsia" w:hAnsiTheme="minorHAnsi" w:cstheme="minorBidi"/>
          <w:sz w:val="22"/>
          <w:szCs w:val="22"/>
        </w:rPr>
      </w:pPr>
      <w:r>
        <w:t>6.5.2.2</w:t>
      </w:r>
      <w:r>
        <w:rPr>
          <w:rFonts w:asciiTheme="minorHAnsi" w:eastAsiaTheme="minorEastAsia" w:hAnsiTheme="minorHAnsi" w:cstheme="minorBidi"/>
          <w:sz w:val="22"/>
          <w:szCs w:val="22"/>
        </w:rPr>
        <w:tab/>
      </w:r>
      <w:r>
        <w:t>IAB-MT modulation quality</w:t>
      </w:r>
      <w:r>
        <w:tab/>
      </w:r>
      <w:r>
        <w:fldChar w:fldCharType="begin"/>
      </w:r>
      <w:r>
        <w:instrText xml:space="preserve"> PAGEREF _Toc106183894 \h </w:instrText>
      </w:r>
      <w:r>
        <w:fldChar w:fldCharType="separate"/>
      </w:r>
      <w:r>
        <w:t>43</w:t>
      </w:r>
      <w:r>
        <w:fldChar w:fldCharType="end"/>
      </w:r>
    </w:p>
    <w:p w14:paraId="320CDFAD" w14:textId="4BF028E5" w:rsidR="003C625C" w:rsidRDefault="003C625C">
      <w:pPr>
        <w:pStyle w:val="TOC5"/>
        <w:rPr>
          <w:rFonts w:asciiTheme="minorHAnsi" w:eastAsiaTheme="minorEastAsia" w:hAnsiTheme="minorHAnsi" w:cstheme="minorBidi"/>
          <w:sz w:val="22"/>
          <w:szCs w:val="22"/>
        </w:rPr>
      </w:pPr>
      <w:r w:rsidRPr="00DD4EB8">
        <w:rPr>
          <w:rFonts w:eastAsiaTheme="minorEastAsia"/>
          <w:lang w:eastAsia="zh-CN"/>
        </w:rPr>
        <w:t>6.5.2.2.1</w:t>
      </w:r>
      <w:r>
        <w:rPr>
          <w:rFonts w:asciiTheme="minorHAnsi" w:eastAsiaTheme="minorEastAsia" w:hAnsiTheme="minorHAnsi" w:cstheme="minorBidi"/>
          <w:sz w:val="22"/>
          <w:szCs w:val="22"/>
        </w:rPr>
        <w:tab/>
      </w:r>
      <w:r w:rsidRPr="00DD4EB8">
        <w:rPr>
          <w:rFonts w:eastAsia="MS Mincho"/>
          <w:lang w:eastAsia="en-US"/>
        </w:rPr>
        <w:t>General</w:t>
      </w:r>
      <w:r>
        <w:tab/>
      </w:r>
      <w:r>
        <w:fldChar w:fldCharType="begin"/>
      </w:r>
      <w:r>
        <w:instrText xml:space="preserve"> PAGEREF _Toc106183895 \h </w:instrText>
      </w:r>
      <w:r>
        <w:fldChar w:fldCharType="separate"/>
      </w:r>
      <w:r>
        <w:t>43</w:t>
      </w:r>
      <w:r>
        <w:fldChar w:fldCharType="end"/>
      </w:r>
    </w:p>
    <w:p w14:paraId="32EDBF33" w14:textId="17BCB267" w:rsidR="003C625C" w:rsidRDefault="003C625C">
      <w:pPr>
        <w:pStyle w:val="TOC5"/>
        <w:rPr>
          <w:rFonts w:asciiTheme="minorHAnsi" w:eastAsiaTheme="minorEastAsia" w:hAnsiTheme="minorHAnsi" w:cstheme="minorBidi"/>
          <w:sz w:val="22"/>
          <w:szCs w:val="22"/>
        </w:rPr>
      </w:pPr>
      <w:r w:rsidRPr="00DD4EB8">
        <w:rPr>
          <w:rFonts w:eastAsia="MS Mincho"/>
          <w:lang w:eastAsia="en-US"/>
        </w:rPr>
        <w:t>6.5.2.2.</w:t>
      </w:r>
      <w:r w:rsidRPr="00DD4EB8">
        <w:rPr>
          <w:rFonts w:eastAsiaTheme="minorEastAsia"/>
          <w:lang w:eastAsia="zh-CN"/>
        </w:rPr>
        <w:t>2</w:t>
      </w:r>
      <w:r>
        <w:rPr>
          <w:rFonts w:asciiTheme="minorHAnsi" w:eastAsiaTheme="minorEastAsia" w:hAnsiTheme="minorHAnsi" w:cstheme="minorBidi"/>
          <w:sz w:val="22"/>
          <w:szCs w:val="22"/>
        </w:rPr>
        <w:tab/>
      </w:r>
      <w:r w:rsidRPr="00DD4EB8">
        <w:rPr>
          <w:rFonts w:eastAsiaTheme="minorEastAsia"/>
          <w:lang w:eastAsia="zh-CN"/>
        </w:rPr>
        <w:t>Minimum requirements for IAB-MT type 1-H</w:t>
      </w:r>
      <w:r>
        <w:tab/>
      </w:r>
      <w:r>
        <w:fldChar w:fldCharType="begin"/>
      </w:r>
      <w:r>
        <w:instrText xml:space="preserve"> PAGEREF _Toc106183896 \h </w:instrText>
      </w:r>
      <w:r>
        <w:fldChar w:fldCharType="separate"/>
      </w:r>
      <w:r>
        <w:t>43</w:t>
      </w:r>
      <w:r>
        <w:fldChar w:fldCharType="end"/>
      </w:r>
    </w:p>
    <w:p w14:paraId="65CCC8B7" w14:textId="19474DE4" w:rsidR="003C625C" w:rsidRDefault="003C625C">
      <w:pPr>
        <w:pStyle w:val="TOC5"/>
        <w:rPr>
          <w:rFonts w:asciiTheme="minorHAnsi" w:eastAsiaTheme="minorEastAsia" w:hAnsiTheme="minorHAnsi" w:cstheme="minorBidi"/>
          <w:sz w:val="22"/>
          <w:szCs w:val="22"/>
        </w:rPr>
      </w:pPr>
      <w:r w:rsidRPr="00DD4EB8">
        <w:rPr>
          <w:rFonts w:eastAsia="MS Mincho"/>
          <w:lang w:eastAsia="en-US"/>
        </w:rPr>
        <w:t>6.5.2.2.3</w:t>
      </w:r>
      <w:r>
        <w:rPr>
          <w:rFonts w:asciiTheme="minorHAnsi" w:eastAsiaTheme="minorEastAsia" w:hAnsiTheme="minorHAnsi" w:cstheme="minorBidi"/>
          <w:sz w:val="22"/>
          <w:szCs w:val="22"/>
        </w:rPr>
        <w:tab/>
      </w:r>
      <w:r w:rsidRPr="00DD4EB8">
        <w:rPr>
          <w:rFonts w:eastAsia="MS Mincho"/>
          <w:lang w:eastAsia="en-US"/>
        </w:rPr>
        <w:t>EVM frame structure for measurement</w:t>
      </w:r>
      <w:r>
        <w:tab/>
      </w:r>
      <w:r>
        <w:fldChar w:fldCharType="begin"/>
      </w:r>
      <w:r>
        <w:instrText xml:space="preserve"> PAGEREF _Toc106183897 \h </w:instrText>
      </w:r>
      <w:r>
        <w:fldChar w:fldCharType="separate"/>
      </w:r>
      <w:r>
        <w:t>43</w:t>
      </w:r>
      <w:r>
        <w:fldChar w:fldCharType="end"/>
      </w:r>
    </w:p>
    <w:p w14:paraId="7C3CEF5D" w14:textId="7C2A9318" w:rsidR="003C625C" w:rsidRDefault="003C625C">
      <w:pPr>
        <w:pStyle w:val="TOC3"/>
        <w:rPr>
          <w:rFonts w:asciiTheme="minorHAnsi" w:eastAsiaTheme="minorEastAsia" w:hAnsiTheme="minorHAnsi" w:cstheme="minorBidi"/>
          <w:sz w:val="22"/>
          <w:szCs w:val="22"/>
        </w:rPr>
      </w:pPr>
      <w:r>
        <w:t>6.5.3</w:t>
      </w:r>
      <w:r>
        <w:rPr>
          <w:rFonts w:asciiTheme="minorHAnsi" w:eastAsiaTheme="minorEastAsia" w:hAnsiTheme="minorHAnsi" w:cstheme="minorBidi"/>
          <w:sz w:val="22"/>
          <w:szCs w:val="22"/>
        </w:rPr>
        <w:tab/>
      </w:r>
      <w:r>
        <w:t>Time alignment error</w:t>
      </w:r>
      <w:r>
        <w:tab/>
      </w:r>
      <w:r>
        <w:fldChar w:fldCharType="begin"/>
      </w:r>
      <w:r>
        <w:instrText xml:space="preserve"> PAGEREF _Toc106183898 \h </w:instrText>
      </w:r>
      <w:r>
        <w:fldChar w:fldCharType="separate"/>
      </w:r>
      <w:r>
        <w:t>43</w:t>
      </w:r>
      <w:r>
        <w:fldChar w:fldCharType="end"/>
      </w:r>
    </w:p>
    <w:p w14:paraId="48B7CFA6" w14:textId="43C4F7B7" w:rsidR="003C625C" w:rsidRDefault="003C625C">
      <w:pPr>
        <w:pStyle w:val="TOC4"/>
        <w:rPr>
          <w:rFonts w:asciiTheme="minorHAnsi" w:eastAsiaTheme="minorEastAsia" w:hAnsiTheme="minorHAnsi" w:cstheme="minorBidi"/>
          <w:sz w:val="22"/>
          <w:szCs w:val="22"/>
        </w:rPr>
      </w:pPr>
      <w:r>
        <w:t>6.5.3.1</w:t>
      </w:r>
      <w:r>
        <w:rPr>
          <w:rFonts w:asciiTheme="minorHAnsi" w:eastAsiaTheme="minorEastAsia" w:hAnsiTheme="minorHAnsi" w:cstheme="minorBidi"/>
          <w:sz w:val="22"/>
          <w:szCs w:val="22"/>
        </w:rPr>
        <w:tab/>
      </w:r>
      <w:r>
        <w:t>IAB-DU time alignment error</w:t>
      </w:r>
      <w:r>
        <w:tab/>
      </w:r>
      <w:r>
        <w:fldChar w:fldCharType="begin"/>
      </w:r>
      <w:r>
        <w:instrText xml:space="preserve"> PAGEREF _Toc106183899 \h </w:instrText>
      </w:r>
      <w:r>
        <w:fldChar w:fldCharType="separate"/>
      </w:r>
      <w:r>
        <w:t>43</w:t>
      </w:r>
      <w:r>
        <w:fldChar w:fldCharType="end"/>
      </w:r>
    </w:p>
    <w:p w14:paraId="4EA5FFBA" w14:textId="6D870182" w:rsidR="003C625C" w:rsidRDefault="003C625C">
      <w:pPr>
        <w:pStyle w:val="TOC3"/>
        <w:rPr>
          <w:rFonts w:asciiTheme="minorHAnsi" w:eastAsiaTheme="minorEastAsia" w:hAnsiTheme="minorHAnsi" w:cstheme="minorBidi"/>
          <w:sz w:val="22"/>
          <w:szCs w:val="22"/>
        </w:rPr>
      </w:pPr>
      <w:r>
        <w:t>6.5.4</w:t>
      </w:r>
      <w:r>
        <w:rPr>
          <w:rFonts w:asciiTheme="minorHAnsi" w:eastAsiaTheme="minorEastAsia" w:hAnsiTheme="minorHAnsi" w:cstheme="minorBidi"/>
          <w:sz w:val="22"/>
          <w:szCs w:val="22"/>
        </w:rPr>
        <w:tab/>
      </w:r>
      <w:r>
        <w:t>Timing error between IAB-DU and IAB-MT of the same IAB-Node</w:t>
      </w:r>
      <w:r>
        <w:tab/>
      </w:r>
      <w:r>
        <w:fldChar w:fldCharType="begin"/>
      </w:r>
      <w:r>
        <w:instrText xml:space="preserve"> PAGEREF _Toc106183900 \h </w:instrText>
      </w:r>
      <w:r>
        <w:fldChar w:fldCharType="separate"/>
      </w:r>
      <w:r>
        <w:t>43</w:t>
      </w:r>
      <w:r>
        <w:fldChar w:fldCharType="end"/>
      </w:r>
    </w:p>
    <w:p w14:paraId="5150560A" w14:textId="759CFF52" w:rsidR="003C625C" w:rsidRDefault="003C625C">
      <w:pPr>
        <w:pStyle w:val="TOC2"/>
        <w:rPr>
          <w:rFonts w:asciiTheme="minorHAnsi" w:eastAsiaTheme="minorEastAsia" w:hAnsiTheme="minorHAnsi" w:cstheme="minorBidi"/>
          <w:sz w:val="22"/>
          <w:szCs w:val="22"/>
        </w:rPr>
      </w:pPr>
      <w:r>
        <w:t>6.6</w:t>
      </w:r>
      <w:r>
        <w:rPr>
          <w:rFonts w:asciiTheme="minorHAnsi" w:eastAsiaTheme="minorEastAsia" w:hAnsiTheme="minorHAnsi" w:cstheme="minorBidi"/>
          <w:sz w:val="22"/>
          <w:szCs w:val="22"/>
        </w:rPr>
        <w:tab/>
      </w:r>
      <w:r>
        <w:t>Unwanted emissions</w:t>
      </w:r>
      <w:r>
        <w:tab/>
      </w:r>
      <w:r>
        <w:fldChar w:fldCharType="begin"/>
      </w:r>
      <w:r>
        <w:instrText xml:space="preserve"> PAGEREF _Toc106183901 \h </w:instrText>
      </w:r>
      <w:r>
        <w:fldChar w:fldCharType="separate"/>
      </w:r>
      <w:r>
        <w:t>43</w:t>
      </w:r>
      <w:r>
        <w:fldChar w:fldCharType="end"/>
      </w:r>
    </w:p>
    <w:p w14:paraId="1201A4D0" w14:textId="520E56E8" w:rsidR="003C625C" w:rsidRDefault="003C625C">
      <w:pPr>
        <w:pStyle w:val="TOC3"/>
        <w:rPr>
          <w:rFonts w:asciiTheme="minorHAnsi" w:eastAsiaTheme="minorEastAsia" w:hAnsiTheme="minorHAnsi" w:cstheme="minorBidi"/>
          <w:sz w:val="22"/>
          <w:szCs w:val="22"/>
        </w:rPr>
      </w:pPr>
      <w:r>
        <w:t>6.6.1</w:t>
      </w:r>
      <w:r>
        <w:rPr>
          <w:rFonts w:asciiTheme="minorHAnsi" w:eastAsiaTheme="minorEastAsia" w:hAnsiTheme="minorHAnsi" w:cstheme="minorBidi"/>
          <w:sz w:val="22"/>
          <w:szCs w:val="22"/>
        </w:rPr>
        <w:tab/>
      </w:r>
      <w:r>
        <w:t>General</w:t>
      </w:r>
      <w:r>
        <w:tab/>
      </w:r>
      <w:r>
        <w:fldChar w:fldCharType="begin"/>
      </w:r>
      <w:r>
        <w:instrText xml:space="preserve"> PAGEREF _Toc106183902 \h </w:instrText>
      </w:r>
      <w:r>
        <w:fldChar w:fldCharType="separate"/>
      </w:r>
      <w:r>
        <w:t>43</w:t>
      </w:r>
      <w:r>
        <w:fldChar w:fldCharType="end"/>
      </w:r>
    </w:p>
    <w:p w14:paraId="641C779B" w14:textId="2D4CDB7F" w:rsidR="003C625C" w:rsidRDefault="003C625C">
      <w:pPr>
        <w:pStyle w:val="TOC3"/>
        <w:rPr>
          <w:rFonts w:asciiTheme="minorHAnsi" w:eastAsiaTheme="minorEastAsia" w:hAnsiTheme="minorHAnsi" w:cstheme="minorBidi"/>
          <w:sz w:val="22"/>
          <w:szCs w:val="22"/>
        </w:rPr>
      </w:pPr>
      <w:r>
        <w:t>6.6.2</w:t>
      </w:r>
      <w:r>
        <w:rPr>
          <w:rFonts w:asciiTheme="minorHAnsi" w:eastAsiaTheme="minorEastAsia" w:hAnsiTheme="minorHAnsi" w:cstheme="minorBidi"/>
          <w:sz w:val="22"/>
          <w:szCs w:val="22"/>
        </w:rPr>
        <w:tab/>
      </w:r>
      <w:r>
        <w:t>Occupied bandwidth</w:t>
      </w:r>
      <w:r>
        <w:tab/>
      </w:r>
      <w:r>
        <w:fldChar w:fldCharType="begin"/>
      </w:r>
      <w:r>
        <w:instrText xml:space="preserve"> PAGEREF _Toc106183903 \h </w:instrText>
      </w:r>
      <w:r>
        <w:fldChar w:fldCharType="separate"/>
      </w:r>
      <w:r>
        <w:t>44</w:t>
      </w:r>
      <w:r>
        <w:fldChar w:fldCharType="end"/>
      </w:r>
    </w:p>
    <w:p w14:paraId="3325706B" w14:textId="33ECAA96" w:rsidR="003C625C" w:rsidRDefault="003C625C">
      <w:pPr>
        <w:pStyle w:val="TOC4"/>
        <w:rPr>
          <w:rFonts w:asciiTheme="minorHAnsi" w:eastAsiaTheme="minorEastAsia" w:hAnsiTheme="minorHAnsi" w:cstheme="minorBidi"/>
          <w:sz w:val="22"/>
          <w:szCs w:val="22"/>
        </w:rPr>
      </w:pPr>
      <w:r>
        <w:t>6.6.2.1</w:t>
      </w:r>
      <w:r>
        <w:rPr>
          <w:rFonts w:asciiTheme="minorHAnsi" w:eastAsiaTheme="minorEastAsia" w:hAnsiTheme="minorHAnsi" w:cstheme="minorBidi"/>
          <w:sz w:val="22"/>
          <w:szCs w:val="22"/>
        </w:rPr>
        <w:tab/>
      </w:r>
      <w:r>
        <w:t>General</w:t>
      </w:r>
      <w:r>
        <w:tab/>
      </w:r>
      <w:r>
        <w:fldChar w:fldCharType="begin"/>
      </w:r>
      <w:r>
        <w:instrText xml:space="preserve"> PAGEREF _Toc106183904 \h </w:instrText>
      </w:r>
      <w:r>
        <w:fldChar w:fldCharType="separate"/>
      </w:r>
      <w:r>
        <w:t>44</w:t>
      </w:r>
      <w:r>
        <w:fldChar w:fldCharType="end"/>
      </w:r>
    </w:p>
    <w:p w14:paraId="3E567D0E" w14:textId="5CA7BE30" w:rsidR="003C625C" w:rsidRDefault="003C625C">
      <w:pPr>
        <w:pStyle w:val="TOC4"/>
        <w:rPr>
          <w:rFonts w:asciiTheme="minorHAnsi" w:eastAsiaTheme="minorEastAsia" w:hAnsiTheme="minorHAnsi" w:cstheme="minorBidi"/>
          <w:sz w:val="22"/>
          <w:szCs w:val="22"/>
        </w:rPr>
      </w:pPr>
      <w:r>
        <w:t>6.6.2.2</w:t>
      </w:r>
      <w:r>
        <w:rPr>
          <w:rFonts w:asciiTheme="minorHAnsi" w:eastAsiaTheme="minorEastAsia" w:hAnsiTheme="minorHAnsi" w:cstheme="minorBidi"/>
          <w:sz w:val="22"/>
          <w:szCs w:val="22"/>
        </w:rPr>
        <w:tab/>
      </w:r>
      <w:r>
        <w:t xml:space="preserve">Minimum requirement for </w:t>
      </w:r>
      <w:r w:rsidRPr="00DD4EB8">
        <w:rPr>
          <w:i/>
        </w:rPr>
        <w:t xml:space="preserve">IAB-DU </w:t>
      </w:r>
      <w:r w:rsidRPr="00DD4EB8">
        <w:rPr>
          <w:rFonts w:eastAsia="SimSun"/>
          <w:i/>
          <w:iCs/>
          <w:lang w:val="en-US" w:eastAsia="zh-CN"/>
        </w:rPr>
        <w:t xml:space="preserve">type </w:t>
      </w:r>
      <w:r w:rsidRPr="00DD4EB8">
        <w:rPr>
          <w:i/>
        </w:rPr>
        <w:t>1-H</w:t>
      </w:r>
      <w:r>
        <w:tab/>
      </w:r>
      <w:r>
        <w:fldChar w:fldCharType="begin"/>
      </w:r>
      <w:r>
        <w:instrText xml:space="preserve"> PAGEREF _Toc106183905 \h </w:instrText>
      </w:r>
      <w:r>
        <w:fldChar w:fldCharType="separate"/>
      </w:r>
      <w:r>
        <w:t>44</w:t>
      </w:r>
      <w:r>
        <w:fldChar w:fldCharType="end"/>
      </w:r>
    </w:p>
    <w:p w14:paraId="1708672B" w14:textId="17A2B978" w:rsidR="003C625C" w:rsidRDefault="003C625C">
      <w:pPr>
        <w:pStyle w:val="TOC4"/>
        <w:rPr>
          <w:rFonts w:asciiTheme="minorHAnsi" w:eastAsiaTheme="minorEastAsia" w:hAnsiTheme="minorHAnsi" w:cstheme="minorBidi"/>
          <w:sz w:val="22"/>
          <w:szCs w:val="22"/>
        </w:rPr>
      </w:pPr>
      <w:r>
        <w:t>6.6.2.3</w:t>
      </w:r>
      <w:r>
        <w:rPr>
          <w:rFonts w:asciiTheme="minorHAnsi" w:eastAsiaTheme="minorEastAsia" w:hAnsiTheme="minorHAnsi" w:cstheme="minorBidi"/>
          <w:sz w:val="22"/>
          <w:szCs w:val="22"/>
        </w:rPr>
        <w:tab/>
      </w:r>
      <w:r>
        <w:t xml:space="preserve">Minimum requirement for </w:t>
      </w:r>
      <w:r w:rsidRPr="00DD4EB8">
        <w:rPr>
          <w:i/>
        </w:rPr>
        <w:t xml:space="preserve">IAB-MT </w:t>
      </w:r>
      <w:r w:rsidRPr="00DD4EB8">
        <w:rPr>
          <w:rFonts w:eastAsia="SimSun"/>
          <w:i/>
          <w:iCs/>
          <w:lang w:val="en-US" w:eastAsia="zh-CN"/>
        </w:rPr>
        <w:t xml:space="preserve">type </w:t>
      </w:r>
      <w:r w:rsidRPr="00DD4EB8">
        <w:rPr>
          <w:i/>
        </w:rPr>
        <w:t>1-H</w:t>
      </w:r>
      <w:r>
        <w:tab/>
      </w:r>
      <w:r>
        <w:fldChar w:fldCharType="begin"/>
      </w:r>
      <w:r>
        <w:instrText xml:space="preserve"> PAGEREF _Toc106183906 \h </w:instrText>
      </w:r>
      <w:r>
        <w:fldChar w:fldCharType="separate"/>
      </w:r>
      <w:r>
        <w:t>44</w:t>
      </w:r>
      <w:r>
        <w:fldChar w:fldCharType="end"/>
      </w:r>
    </w:p>
    <w:p w14:paraId="386A915F" w14:textId="3DF4C031" w:rsidR="003C625C" w:rsidRDefault="003C625C">
      <w:pPr>
        <w:pStyle w:val="TOC3"/>
        <w:rPr>
          <w:rFonts w:asciiTheme="minorHAnsi" w:eastAsiaTheme="minorEastAsia" w:hAnsiTheme="minorHAnsi" w:cstheme="minorBidi"/>
          <w:sz w:val="22"/>
          <w:szCs w:val="22"/>
        </w:rPr>
      </w:pPr>
      <w:r>
        <w:t>6.6.3</w:t>
      </w:r>
      <w:r>
        <w:rPr>
          <w:rFonts w:asciiTheme="minorHAnsi" w:eastAsiaTheme="minorEastAsia" w:hAnsiTheme="minorHAnsi" w:cstheme="minorBidi"/>
          <w:sz w:val="22"/>
          <w:szCs w:val="22"/>
        </w:rPr>
        <w:tab/>
      </w:r>
      <w:r>
        <w:t>Adjacent Channel Leakage Power Ratio</w:t>
      </w:r>
      <w:r>
        <w:tab/>
      </w:r>
      <w:r>
        <w:fldChar w:fldCharType="begin"/>
      </w:r>
      <w:r>
        <w:instrText xml:space="preserve"> PAGEREF _Toc106183907 \h </w:instrText>
      </w:r>
      <w:r>
        <w:fldChar w:fldCharType="separate"/>
      </w:r>
      <w:r>
        <w:t>45</w:t>
      </w:r>
      <w:r>
        <w:fldChar w:fldCharType="end"/>
      </w:r>
    </w:p>
    <w:p w14:paraId="6B57BE8E" w14:textId="1994199C" w:rsidR="003C625C" w:rsidRDefault="003C625C">
      <w:pPr>
        <w:pStyle w:val="TOC4"/>
        <w:rPr>
          <w:rFonts w:asciiTheme="minorHAnsi" w:eastAsiaTheme="minorEastAsia" w:hAnsiTheme="minorHAnsi" w:cstheme="minorBidi"/>
          <w:sz w:val="22"/>
          <w:szCs w:val="22"/>
        </w:rPr>
      </w:pPr>
      <w:r>
        <w:t>6.6.3.1</w:t>
      </w:r>
      <w:r>
        <w:rPr>
          <w:rFonts w:asciiTheme="minorHAnsi" w:eastAsiaTheme="minorEastAsia" w:hAnsiTheme="minorHAnsi" w:cstheme="minorBidi"/>
          <w:sz w:val="22"/>
          <w:szCs w:val="22"/>
        </w:rPr>
        <w:tab/>
      </w:r>
      <w:r>
        <w:t>General</w:t>
      </w:r>
      <w:r>
        <w:tab/>
      </w:r>
      <w:r>
        <w:fldChar w:fldCharType="begin"/>
      </w:r>
      <w:r>
        <w:instrText xml:space="preserve"> PAGEREF _Toc106183908 \h </w:instrText>
      </w:r>
      <w:r>
        <w:fldChar w:fldCharType="separate"/>
      </w:r>
      <w:r>
        <w:t>45</w:t>
      </w:r>
      <w:r>
        <w:fldChar w:fldCharType="end"/>
      </w:r>
    </w:p>
    <w:p w14:paraId="20362DA5" w14:textId="1607AE62" w:rsidR="003C625C" w:rsidRDefault="003C625C">
      <w:pPr>
        <w:pStyle w:val="TOC4"/>
        <w:rPr>
          <w:rFonts w:asciiTheme="minorHAnsi" w:eastAsiaTheme="minorEastAsia" w:hAnsiTheme="minorHAnsi" w:cstheme="minorBidi"/>
          <w:sz w:val="22"/>
          <w:szCs w:val="22"/>
        </w:rPr>
      </w:pPr>
      <w:r>
        <w:t>6.6.3.2</w:t>
      </w:r>
      <w:r>
        <w:rPr>
          <w:rFonts w:asciiTheme="minorHAnsi" w:eastAsiaTheme="minorEastAsia" w:hAnsiTheme="minorHAnsi" w:cstheme="minorBidi"/>
          <w:sz w:val="22"/>
          <w:szCs w:val="22"/>
        </w:rPr>
        <w:tab/>
      </w:r>
      <w:r w:rsidRPr="00DD4EB8">
        <w:rPr>
          <w:lang w:val="en-US" w:eastAsia="zh-CN"/>
        </w:rPr>
        <w:t xml:space="preserve">Limits and </w:t>
      </w:r>
      <w:r w:rsidRPr="00DD4EB8">
        <w:rPr>
          <w:i/>
        </w:rPr>
        <w:t>Basic limits</w:t>
      </w:r>
      <w:r>
        <w:tab/>
      </w:r>
      <w:r>
        <w:fldChar w:fldCharType="begin"/>
      </w:r>
      <w:r>
        <w:instrText xml:space="preserve"> PAGEREF _Toc106183909 \h </w:instrText>
      </w:r>
      <w:r>
        <w:fldChar w:fldCharType="separate"/>
      </w:r>
      <w:r>
        <w:t>45</w:t>
      </w:r>
      <w:r>
        <w:fldChar w:fldCharType="end"/>
      </w:r>
    </w:p>
    <w:p w14:paraId="5981E7AF" w14:textId="64CB03E4" w:rsidR="003C625C" w:rsidRDefault="003C625C">
      <w:pPr>
        <w:pStyle w:val="TOC4"/>
        <w:rPr>
          <w:rFonts w:asciiTheme="minorHAnsi" w:eastAsiaTheme="minorEastAsia" w:hAnsiTheme="minorHAnsi" w:cstheme="minorBidi"/>
          <w:sz w:val="22"/>
          <w:szCs w:val="22"/>
        </w:rPr>
      </w:pPr>
      <w:r>
        <w:t>6.6.3.3</w:t>
      </w:r>
      <w:r>
        <w:rPr>
          <w:rFonts w:asciiTheme="minorHAnsi" w:eastAsiaTheme="minorEastAsia" w:hAnsiTheme="minorHAnsi" w:cstheme="minorBidi"/>
          <w:sz w:val="22"/>
          <w:szCs w:val="22"/>
        </w:rPr>
        <w:tab/>
      </w:r>
      <w:r>
        <w:t xml:space="preserve">Minimum requirement for </w:t>
      </w:r>
      <w:r w:rsidRPr="00DD4EB8">
        <w:rPr>
          <w:i/>
        </w:rPr>
        <w:t xml:space="preserve">IAB-DU type 1-H </w:t>
      </w:r>
      <w:r w:rsidRPr="00DD4EB8">
        <w:rPr>
          <w:iCs/>
        </w:rPr>
        <w:t>and</w:t>
      </w:r>
      <w:r w:rsidRPr="00DD4EB8">
        <w:rPr>
          <w:i/>
        </w:rPr>
        <w:t xml:space="preserve"> IAB-MT type 1-H</w:t>
      </w:r>
      <w:r>
        <w:tab/>
      </w:r>
      <w:r>
        <w:fldChar w:fldCharType="begin"/>
      </w:r>
      <w:r>
        <w:instrText xml:space="preserve"> PAGEREF _Toc106183910 \h </w:instrText>
      </w:r>
      <w:r>
        <w:fldChar w:fldCharType="separate"/>
      </w:r>
      <w:r>
        <w:t>47</w:t>
      </w:r>
      <w:r>
        <w:fldChar w:fldCharType="end"/>
      </w:r>
    </w:p>
    <w:p w14:paraId="67A20F1F" w14:textId="7CF6F3A7" w:rsidR="003C625C" w:rsidRDefault="003C625C">
      <w:pPr>
        <w:pStyle w:val="TOC3"/>
        <w:rPr>
          <w:rFonts w:asciiTheme="minorHAnsi" w:eastAsiaTheme="minorEastAsia" w:hAnsiTheme="minorHAnsi" w:cstheme="minorBidi"/>
          <w:sz w:val="22"/>
          <w:szCs w:val="22"/>
        </w:rPr>
      </w:pPr>
      <w:r>
        <w:t>6.6.4</w:t>
      </w:r>
      <w:r>
        <w:rPr>
          <w:rFonts w:asciiTheme="minorHAnsi" w:eastAsiaTheme="minorEastAsia" w:hAnsiTheme="minorHAnsi" w:cstheme="minorBidi"/>
          <w:sz w:val="22"/>
          <w:szCs w:val="22"/>
        </w:rPr>
        <w:tab/>
      </w:r>
      <w:r>
        <w:t>Operating band unwanted emissions</w:t>
      </w:r>
      <w:r>
        <w:tab/>
      </w:r>
      <w:r>
        <w:fldChar w:fldCharType="begin"/>
      </w:r>
      <w:r>
        <w:instrText xml:space="preserve"> PAGEREF _Toc106183911 \h </w:instrText>
      </w:r>
      <w:r>
        <w:fldChar w:fldCharType="separate"/>
      </w:r>
      <w:r>
        <w:t>48</w:t>
      </w:r>
      <w:r>
        <w:fldChar w:fldCharType="end"/>
      </w:r>
    </w:p>
    <w:p w14:paraId="4F2AFD57" w14:textId="31C2775D" w:rsidR="003C625C" w:rsidRDefault="003C625C">
      <w:pPr>
        <w:pStyle w:val="TOC4"/>
        <w:rPr>
          <w:rFonts w:asciiTheme="minorHAnsi" w:eastAsiaTheme="minorEastAsia" w:hAnsiTheme="minorHAnsi" w:cstheme="minorBidi"/>
          <w:sz w:val="22"/>
          <w:szCs w:val="22"/>
        </w:rPr>
      </w:pPr>
      <w:r>
        <w:t>6.6.4.1</w:t>
      </w:r>
      <w:r>
        <w:rPr>
          <w:rFonts w:asciiTheme="minorHAnsi" w:eastAsiaTheme="minorEastAsia" w:hAnsiTheme="minorHAnsi" w:cstheme="minorBidi"/>
          <w:sz w:val="22"/>
          <w:szCs w:val="22"/>
        </w:rPr>
        <w:tab/>
      </w:r>
      <w:r>
        <w:t>General</w:t>
      </w:r>
      <w:r>
        <w:tab/>
      </w:r>
      <w:r>
        <w:fldChar w:fldCharType="begin"/>
      </w:r>
      <w:r>
        <w:instrText xml:space="preserve"> PAGEREF _Toc106183912 \h </w:instrText>
      </w:r>
      <w:r>
        <w:fldChar w:fldCharType="separate"/>
      </w:r>
      <w:r>
        <w:t>48</w:t>
      </w:r>
      <w:r>
        <w:fldChar w:fldCharType="end"/>
      </w:r>
    </w:p>
    <w:p w14:paraId="3F45CDB8" w14:textId="2DA38B1C" w:rsidR="003C625C" w:rsidRDefault="003C625C">
      <w:pPr>
        <w:pStyle w:val="TOC4"/>
        <w:rPr>
          <w:rFonts w:asciiTheme="minorHAnsi" w:eastAsiaTheme="minorEastAsia" w:hAnsiTheme="minorHAnsi" w:cstheme="minorBidi"/>
          <w:sz w:val="22"/>
          <w:szCs w:val="22"/>
        </w:rPr>
      </w:pPr>
      <w:r>
        <w:t>6.6.4.2</w:t>
      </w:r>
      <w:r>
        <w:rPr>
          <w:rFonts w:asciiTheme="minorHAnsi" w:eastAsiaTheme="minorEastAsia" w:hAnsiTheme="minorHAnsi" w:cstheme="minorBidi"/>
          <w:sz w:val="22"/>
          <w:szCs w:val="22"/>
        </w:rPr>
        <w:tab/>
      </w:r>
      <w:r w:rsidRPr="00DD4EB8">
        <w:rPr>
          <w:i/>
        </w:rPr>
        <w:t>Basic limits</w:t>
      </w:r>
      <w:r>
        <w:tab/>
      </w:r>
      <w:r>
        <w:fldChar w:fldCharType="begin"/>
      </w:r>
      <w:r>
        <w:instrText xml:space="preserve"> PAGEREF _Toc106183913 \h </w:instrText>
      </w:r>
      <w:r>
        <w:fldChar w:fldCharType="separate"/>
      </w:r>
      <w:r>
        <w:t>50</w:t>
      </w:r>
      <w:r>
        <w:fldChar w:fldCharType="end"/>
      </w:r>
    </w:p>
    <w:p w14:paraId="73F1E0E2" w14:textId="18AD1B61" w:rsidR="003C625C" w:rsidRDefault="003C625C">
      <w:pPr>
        <w:pStyle w:val="TOC5"/>
        <w:rPr>
          <w:rFonts w:asciiTheme="minorHAnsi" w:eastAsiaTheme="minorEastAsia" w:hAnsiTheme="minorHAnsi" w:cstheme="minorBidi"/>
          <w:sz w:val="22"/>
          <w:szCs w:val="22"/>
        </w:rPr>
      </w:pPr>
      <w:r>
        <w:t>6.6.4.2.1</w:t>
      </w:r>
      <w:r>
        <w:rPr>
          <w:rFonts w:asciiTheme="minorHAnsi" w:eastAsiaTheme="minorEastAsia" w:hAnsiTheme="minorHAnsi" w:cstheme="minorBidi"/>
          <w:sz w:val="22"/>
          <w:szCs w:val="22"/>
        </w:rPr>
        <w:tab/>
      </w:r>
      <w:r w:rsidRPr="00DD4EB8">
        <w:rPr>
          <w:i/>
        </w:rPr>
        <w:t>Basic limits</w:t>
      </w:r>
      <w:r>
        <w:t xml:space="preserve"> </w:t>
      </w:r>
      <w:r>
        <w:rPr>
          <w:lang w:eastAsia="zh-CN"/>
        </w:rPr>
        <w:t>for Wide Area IAB-DU and Wide Area IAB-MT (Category A)</w:t>
      </w:r>
      <w:r>
        <w:tab/>
      </w:r>
      <w:r>
        <w:fldChar w:fldCharType="begin"/>
      </w:r>
      <w:r>
        <w:instrText xml:space="preserve"> PAGEREF _Toc106183914 \h </w:instrText>
      </w:r>
      <w:r>
        <w:fldChar w:fldCharType="separate"/>
      </w:r>
      <w:r>
        <w:t>50</w:t>
      </w:r>
      <w:r>
        <w:fldChar w:fldCharType="end"/>
      </w:r>
    </w:p>
    <w:p w14:paraId="214D4486" w14:textId="5B7CBFBD" w:rsidR="003C625C" w:rsidRDefault="003C625C">
      <w:pPr>
        <w:pStyle w:val="TOC5"/>
        <w:rPr>
          <w:rFonts w:asciiTheme="minorHAnsi" w:eastAsiaTheme="minorEastAsia" w:hAnsiTheme="minorHAnsi" w:cstheme="minorBidi"/>
          <w:sz w:val="22"/>
          <w:szCs w:val="22"/>
        </w:rPr>
      </w:pPr>
      <w:r>
        <w:t>6.6.4.2.2</w:t>
      </w:r>
      <w:r>
        <w:rPr>
          <w:rFonts w:asciiTheme="minorHAnsi" w:eastAsiaTheme="minorEastAsia" w:hAnsiTheme="minorHAnsi" w:cstheme="minorBidi"/>
          <w:sz w:val="22"/>
          <w:szCs w:val="22"/>
        </w:rPr>
        <w:tab/>
      </w:r>
      <w:r>
        <w:t xml:space="preserve">Basic limits </w:t>
      </w:r>
      <w:r>
        <w:rPr>
          <w:lang w:eastAsia="zh-CN"/>
        </w:rPr>
        <w:t>for Wide Area IAB-DU and Wide Area IAB-MT</w:t>
      </w:r>
      <w:r>
        <w:t xml:space="preserve"> (Category B)</w:t>
      </w:r>
      <w:r>
        <w:tab/>
      </w:r>
      <w:r>
        <w:fldChar w:fldCharType="begin"/>
      </w:r>
      <w:r>
        <w:instrText xml:space="preserve"> PAGEREF _Toc106183915 \h </w:instrText>
      </w:r>
      <w:r>
        <w:fldChar w:fldCharType="separate"/>
      </w:r>
      <w:r>
        <w:t>50</w:t>
      </w:r>
      <w:r>
        <w:fldChar w:fldCharType="end"/>
      </w:r>
    </w:p>
    <w:p w14:paraId="2C4A9D6D" w14:textId="7A10852E" w:rsidR="003C625C" w:rsidRDefault="003C625C">
      <w:pPr>
        <w:pStyle w:val="TOC6"/>
        <w:rPr>
          <w:rFonts w:asciiTheme="minorHAnsi" w:eastAsiaTheme="minorEastAsia" w:hAnsiTheme="minorHAnsi" w:cstheme="minorBidi"/>
          <w:sz w:val="22"/>
          <w:szCs w:val="22"/>
        </w:rPr>
      </w:pPr>
      <w:r>
        <w:t>6.6.4.2.2.1</w:t>
      </w:r>
      <w:r>
        <w:rPr>
          <w:rFonts w:asciiTheme="minorHAnsi" w:eastAsiaTheme="minorEastAsia" w:hAnsiTheme="minorHAnsi" w:cstheme="minorBidi"/>
          <w:sz w:val="22"/>
          <w:szCs w:val="22"/>
        </w:rPr>
        <w:tab/>
      </w:r>
      <w:r>
        <w:t>Category B</w:t>
      </w:r>
      <w:r>
        <w:rPr>
          <w:lang w:eastAsia="zh-CN"/>
        </w:rPr>
        <w:t xml:space="preserve"> requirements</w:t>
      </w:r>
      <w:r>
        <w:tab/>
      </w:r>
      <w:r>
        <w:fldChar w:fldCharType="begin"/>
      </w:r>
      <w:r>
        <w:instrText xml:space="preserve"> PAGEREF _Toc106183916 \h </w:instrText>
      </w:r>
      <w:r>
        <w:fldChar w:fldCharType="separate"/>
      </w:r>
      <w:r>
        <w:t>50</w:t>
      </w:r>
      <w:r>
        <w:fldChar w:fldCharType="end"/>
      </w:r>
    </w:p>
    <w:p w14:paraId="458622C8" w14:textId="11F34EA0" w:rsidR="003C625C" w:rsidRDefault="003C625C">
      <w:pPr>
        <w:pStyle w:val="TOC5"/>
        <w:rPr>
          <w:rFonts w:asciiTheme="minorHAnsi" w:eastAsiaTheme="minorEastAsia" w:hAnsiTheme="minorHAnsi" w:cstheme="minorBidi"/>
          <w:sz w:val="22"/>
          <w:szCs w:val="22"/>
        </w:rPr>
      </w:pPr>
      <w:r>
        <w:t>6.6.4.2.3</w:t>
      </w:r>
      <w:r>
        <w:rPr>
          <w:rFonts w:asciiTheme="minorHAnsi" w:eastAsiaTheme="minorEastAsia" w:hAnsiTheme="minorHAnsi" w:cstheme="minorBidi"/>
          <w:sz w:val="22"/>
          <w:szCs w:val="22"/>
        </w:rPr>
        <w:tab/>
      </w:r>
      <w:r w:rsidRPr="00DD4EB8">
        <w:rPr>
          <w:i/>
        </w:rPr>
        <w:t>Basic limits</w:t>
      </w:r>
      <w:r>
        <w:t xml:space="preserve"> for Medium Range IAB-DU (Category A and B)</w:t>
      </w:r>
      <w:r>
        <w:tab/>
      </w:r>
      <w:r>
        <w:fldChar w:fldCharType="begin"/>
      </w:r>
      <w:r>
        <w:instrText xml:space="preserve"> PAGEREF _Toc106183917 \h </w:instrText>
      </w:r>
      <w:r>
        <w:fldChar w:fldCharType="separate"/>
      </w:r>
      <w:r>
        <w:t>51</w:t>
      </w:r>
      <w:r>
        <w:fldChar w:fldCharType="end"/>
      </w:r>
    </w:p>
    <w:p w14:paraId="45F137BC" w14:textId="3B5584D2" w:rsidR="003C625C" w:rsidRDefault="003C625C">
      <w:pPr>
        <w:pStyle w:val="TOC5"/>
        <w:rPr>
          <w:rFonts w:asciiTheme="minorHAnsi" w:eastAsiaTheme="minorEastAsia" w:hAnsiTheme="minorHAnsi" w:cstheme="minorBidi"/>
          <w:sz w:val="22"/>
          <w:szCs w:val="22"/>
        </w:rPr>
      </w:pPr>
      <w:r>
        <w:t>6.6.4.2.4</w:t>
      </w:r>
      <w:r>
        <w:rPr>
          <w:rFonts w:asciiTheme="minorHAnsi" w:eastAsiaTheme="minorEastAsia" w:hAnsiTheme="minorHAnsi" w:cstheme="minorBidi"/>
          <w:sz w:val="22"/>
          <w:szCs w:val="22"/>
        </w:rPr>
        <w:tab/>
      </w:r>
      <w:r w:rsidRPr="00DD4EB8">
        <w:rPr>
          <w:i/>
        </w:rPr>
        <w:t>Basic limits</w:t>
      </w:r>
      <w:r>
        <w:t xml:space="preserve"> </w:t>
      </w:r>
      <w:r>
        <w:rPr>
          <w:lang w:eastAsia="zh-CN"/>
        </w:rPr>
        <w:t>for Local Area IAB-DU and Local Area IAB-MT (Category A and B)</w:t>
      </w:r>
      <w:r>
        <w:tab/>
      </w:r>
      <w:r>
        <w:fldChar w:fldCharType="begin"/>
      </w:r>
      <w:r>
        <w:instrText xml:space="preserve"> PAGEREF _Toc106183918 \h </w:instrText>
      </w:r>
      <w:r>
        <w:fldChar w:fldCharType="separate"/>
      </w:r>
      <w:r>
        <w:t>52</w:t>
      </w:r>
      <w:r>
        <w:fldChar w:fldCharType="end"/>
      </w:r>
    </w:p>
    <w:p w14:paraId="51F40269" w14:textId="13CD16E5" w:rsidR="003C625C" w:rsidRDefault="003C625C">
      <w:pPr>
        <w:pStyle w:val="TOC5"/>
        <w:rPr>
          <w:rFonts w:asciiTheme="minorHAnsi" w:eastAsiaTheme="minorEastAsia" w:hAnsiTheme="minorHAnsi" w:cstheme="minorBidi"/>
          <w:sz w:val="22"/>
          <w:szCs w:val="22"/>
        </w:rPr>
      </w:pPr>
      <w:r>
        <w:t>6.6.4.2.5</w:t>
      </w:r>
      <w:r>
        <w:rPr>
          <w:rFonts w:asciiTheme="minorHAnsi" w:eastAsiaTheme="minorEastAsia" w:hAnsiTheme="minorHAnsi" w:cstheme="minorBidi"/>
          <w:sz w:val="22"/>
          <w:szCs w:val="22"/>
        </w:rPr>
        <w:tab/>
      </w:r>
      <w:r w:rsidRPr="00DD4EB8">
        <w:rPr>
          <w:i/>
        </w:rPr>
        <w:t>Basic limits</w:t>
      </w:r>
      <w:r>
        <w:t xml:space="preserve"> for additional requirements</w:t>
      </w:r>
      <w:r>
        <w:tab/>
      </w:r>
      <w:r>
        <w:fldChar w:fldCharType="begin"/>
      </w:r>
      <w:r>
        <w:instrText xml:space="preserve"> PAGEREF _Toc106183919 \h </w:instrText>
      </w:r>
      <w:r>
        <w:fldChar w:fldCharType="separate"/>
      </w:r>
      <w:r>
        <w:t>52</w:t>
      </w:r>
      <w:r>
        <w:fldChar w:fldCharType="end"/>
      </w:r>
    </w:p>
    <w:p w14:paraId="190D4B31" w14:textId="3DC520A3" w:rsidR="003C625C" w:rsidRDefault="003C625C">
      <w:pPr>
        <w:pStyle w:val="TOC6"/>
        <w:rPr>
          <w:rFonts w:asciiTheme="minorHAnsi" w:eastAsiaTheme="minorEastAsia" w:hAnsiTheme="minorHAnsi" w:cstheme="minorBidi"/>
          <w:sz w:val="22"/>
          <w:szCs w:val="22"/>
        </w:rPr>
      </w:pPr>
      <w:r>
        <w:t>6.6.4.2.5.1</w:t>
      </w:r>
      <w:r>
        <w:rPr>
          <w:rFonts w:asciiTheme="minorHAnsi" w:eastAsiaTheme="minorEastAsia" w:hAnsiTheme="minorHAnsi" w:cstheme="minorBidi"/>
          <w:sz w:val="22"/>
          <w:szCs w:val="22"/>
        </w:rPr>
        <w:tab/>
      </w:r>
      <w:r>
        <w:t>Limits in FCC Title 47</w:t>
      </w:r>
      <w:r>
        <w:tab/>
      </w:r>
      <w:r>
        <w:fldChar w:fldCharType="begin"/>
      </w:r>
      <w:r>
        <w:instrText xml:space="preserve"> PAGEREF _Toc106183920 \h </w:instrText>
      </w:r>
      <w:r>
        <w:fldChar w:fldCharType="separate"/>
      </w:r>
      <w:r>
        <w:t>52</w:t>
      </w:r>
      <w:r>
        <w:fldChar w:fldCharType="end"/>
      </w:r>
    </w:p>
    <w:p w14:paraId="2E0A507F" w14:textId="323A5E52" w:rsidR="003C625C" w:rsidRDefault="003C625C">
      <w:pPr>
        <w:pStyle w:val="TOC4"/>
        <w:rPr>
          <w:rFonts w:asciiTheme="minorHAnsi" w:eastAsiaTheme="minorEastAsia" w:hAnsiTheme="minorHAnsi" w:cstheme="minorBidi"/>
          <w:sz w:val="22"/>
          <w:szCs w:val="22"/>
        </w:rPr>
      </w:pPr>
      <w:r>
        <w:t>6.6.4.3</w:t>
      </w:r>
      <w:r>
        <w:rPr>
          <w:rFonts w:asciiTheme="minorHAnsi" w:eastAsiaTheme="minorEastAsia" w:hAnsiTheme="minorHAnsi" w:cstheme="minorBidi"/>
          <w:sz w:val="22"/>
          <w:szCs w:val="22"/>
        </w:rPr>
        <w:tab/>
      </w:r>
      <w:r>
        <w:t xml:space="preserve">Minimum requirements for </w:t>
      </w:r>
      <w:r w:rsidRPr="00DD4EB8">
        <w:rPr>
          <w:i/>
        </w:rPr>
        <w:t xml:space="preserve">IAB-DU type 1-H </w:t>
      </w:r>
      <w:r w:rsidRPr="00DD4EB8">
        <w:rPr>
          <w:iCs/>
        </w:rPr>
        <w:t>and</w:t>
      </w:r>
      <w:r w:rsidRPr="00DD4EB8">
        <w:rPr>
          <w:i/>
        </w:rPr>
        <w:t xml:space="preserve"> IAB-MT type 1-H</w:t>
      </w:r>
      <w:r>
        <w:tab/>
      </w:r>
      <w:r>
        <w:fldChar w:fldCharType="begin"/>
      </w:r>
      <w:r>
        <w:instrText xml:space="preserve"> PAGEREF _Toc106183921 \h </w:instrText>
      </w:r>
      <w:r>
        <w:fldChar w:fldCharType="separate"/>
      </w:r>
      <w:r>
        <w:t>52</w:t>
      </w:r>
      <w:r>
        <w:fldChar w:fldCharType="end"/>
      </w:r>
    </w:p>
    <w:p w14:paraId="5CBEECBB" w14:textId="74D0737F" w:rsidR="003C625C" w:rsidRDefault="003C625C">
      <w:pPr>
        <w:pStyle w:val="TOC3"/>
        <w:rPr>
          <w:rFonts w:asciiTheme="minorHAnsi" w:eastAsiaTheme="minorEastAsia" w:hAnsiTheme="minorHAnsi" w:cstheme="minorBidi"/>
          <w:sz w:val="22"/>
          <w:szCs w:val="22"/>
        </w:rPr>
      </w:pPr>
      <w:r>
        <w:t>6.6.5</w:t>
      </w:r>
      <w:r>
        <w:rPr>
          <w:rFonts w:asciiTheme="minorHAnsi" w:eastAsiaTheme="minorEastAsia" w:hAnsiTheme="minorHAnsi" w:cstheme="minorBidi"/>
          <w:sz w:val="22"/>
          <w:szCs w:val="22"/>
        </w:rPr>
        <w:tab/>
      </w:r>
      <w:r>
        <w:t>Transmitter spurious emissions</w:t>
      </w:r>
      <w:r>
        <w:tab/>
      </w:r>
      <w:r>
        <w:fldChar w:fldCharType="begin"/>
      </w:r>
      <w:r>
        <w:instrText xml:space="preserve"> PAGEREF _Toc106183922 \h </w:instrText>
      </w:r>
      <w:r>
        <w:fldChar w:fldCharType="separate"/>
      </w:r>
      <w:r>
        <w:t>53</w:t>
      </w:r>
      <w:r>
        <w:fldChar w:fldCharType="end"/>
      </w:r>
    </w:p>
    <w:p w14:paraId="238C9E8C" w14:textId="68652108" w:rsidR="003C625C" w:rsidRDefault="003C625C">
      <w:pPr>
        <w:pStyle w:val="TOC4"/>
        <w:rPr>
          <w:rFonts w:asciiTheme="minorHAnsi" w:eastAsiaTheme="minorEastAsia" w:hAnsiTheme="minorHAnsi" w:cstheme="minorBidi"/>
          <w:sz w:val="22"/>
          <w:szCs w:val="22"/>
        </w:rPr>
      </w:pPr>
      <w:r>
        <w:t>6.6.5.1</w:t>
      </w:r>
      <w:r>
        <w:rPr>
          <w:rFonts w:asciiTheme="minorHAnsi" w:eastAsiaTheme="minorEastAsia" w:hAnsiTheme="minorHAnsi" w:cstheme="minorBidi"/>
          <w:sz w:val="22"/>
          <w:szCs w:val="22"/>
        </w:rPr>
        <w:tab/>
      </w:r>
      <w:r>
        <w:t>General</w:t>
      </w:r>
      <w:r>
        <w:tab/>
      </w:r>
      <w:r>
        <w:fldChar w:fldCharType="begin"/>
      </w:r>
      <w:r>
        <w:instrText xml:space="preserve"> PAGEREF _Toc106183923 \h </w:instrText>
      </w:r>
      <w:r>
        <w:fldChar w:fldCharType="separate"/>
      </w:r>
      <w:r>
        <w:t>53</w:t>
      </w:r>
      <w:r>
        <w:fldChar w:fldCharType="end"/>
      </w:r>
    </w:p>
    <w:p w14:paraId="64AB27D1" w14:textId="7A9437E6" w:rsidR="003C625C" w:rsidRDefault="003C625C">
      <w:pPr>
        <w:pStyle w:val="TOC4"/>
        <w:rPr>
          <w:rFonts w:asciiTheme="minorHAnsi" w:eastAsiaTheme="minorEastAsia" w:hAnsiTheme="minorHAnsi" w:cstheme="minorBidi"/>
          <w:sz w:val="22"/>
          <w:szCs w:val="22"/>
        </w:rPr>
      </w:pPr>
      <w:r>
        <w:t>6.6.5.2</w:t>
      </w:r>
      <w:r>
        <w:rPr>
          <w:rFonts w:asciiTheme="minorHAnsi" w:eastAsiaTheme="minorEastAsia" w:hAnsiTheme="minorHAnsi" w:cstheme="minorBidi"/>
          <w:sz w:val="22"/>
          <w:szCs w:val="22"/>
        </w:rPr>
        <w:tab/>
      </w:r>
      <w:r>
        <w:t>Basic limits</w:t>
      </w:r>
      <w:r>
        <w:tab/>
      </w:r>
      <w:r>
        <w:fldChar w:fldCharType="begin"/>
      </w:r>
      <w:r>
        <w:instrText xml:space="preserve"> PAGEREF _Toc106183924 \h </w:instrText>
      </w:r>
      <w:r>
        <w:fldChar w:fldCharType="separate"/>
      </w:r>
      <w:r>
        <w:t>54</w:t>
      </w:r>
      <w:r>
        <w:fldChar w:fldCharType="end"/>
      </w:r>
    </w:p>
    <w:p w14:paraId="1523574B" w14:textId="216C8940" w:rsidR="003C625C" w:rsidRDefault="003C625C">
      <w:pPr>
        <w:pStyle w:val="TOC5"/>
        <w:rPr>
          <w:rFonts w:asciiTheme="minorHAnsi" w:eastAsiaTheme="minorEastAsia" w:hAnsiTheme="minorHAnsi" w:cstheme="minorBidi"/>
          <w:sz w:val="22"/>
          <w:szCs w:val="22"/>
        </w:rPr>
      </w:pPr>
      <w:r>
        <w:t>6.6.5.2.1</w:t>
      </w:r>
      <w:r>
        <w:rPr>
          <w:rFonts w:asciiTheme="minorHAnsi" w:eastAsiaTheme="minorEastAsia" w:hAnsiTheme="minorHAnsi" w:cstheme="minorBidi"/>
          <w:sz w:val="22"/>
          <w:szCs w:val="22"/>
        </w:rPr>
        <w:tab/>
      </w:r>
      <w:r>
        <w:t>General transmitter spurious emissions requirements</w:t>
      </w:r>
      <w:r>
        <w:tab/>
      </w:r>
      <w:r>
        <w:fldChar w:fldCharType="begin"/>
      </w:r>
      <w:r>
        <w:instrText xml:space="preserve"> PAGEREF _Toc106183925 \h </w:instrText>
      </w:r>
      <w:r>
        <w:fldChar w:fldCharType="separate"/>
      </w:r>
      <w:r>
        <w:t>54</w:t>
      </w:r>
      <w:r>
        <w:fldChar w:fldCharType="end"/>
      </w:r>
    </w:p>
    <w:p w14:paraId="07D88DF9" w14:textId="2FC7D3D3" w:rsidR="003C625C" w:rsidRDefault="003C625C">
      <w:pPr>
        <w:pStyle w:val="TOC5"/>
        <w:rPr>
          <w:rFonts w:asciiTheme="minorHAnsi" w:eastAsiaTheme="minorEastAsia" w:hAnsiTheme="minorHAnsi" w:cstheme="minorBidi"/>
          <w:sz w:val="22"/>
          <w:szCs w:val="22"/>
        </w:rPr>
      </w:pPr>
      <w:r>
        <w:t>6.6.5.2.2</w:t>
      </w:r>
      <w:r>
        <w:rPr>
          <w:rFonts w:asciiTheme="minorHAnsi" w:eastAsiaTheme="minorEastAsia" w:hAnsiTheme="minorHAnsi" w:cstheme="minorBidi"/>
          <w:sz w:val="22"/>
          <w:szCs w:val="22"/>
        </w:rPr>
        <w:tab/>
      </w:r>
      <w:r>
        <w:t>Additional spurious emissions requirements</w:t>
      </w:r>
      <w:r>
        <w:tab/>
      </w:r>
      <w:r>
        <w:fldChar w:fldCharType="begin"/>
      </w:r>
      <w:r>
        <w:instrText xml:space="preserve"> PAGEREF _Toc106183926 \h </w:instrText>
      </w:r>
      <w:r>
        <w:fldChar w:fldCharType="separate"/>
      </w:r>
      <w:r>
        <w:t>54</w:t>
      </w:r>
      <w:r>
        <w:fldChar w:fldCharType="end"/>
      </w:r>
    </w:p>
    <w:p w14:paraId="19CB4600" w14:textId="61C47346" w:rsidR="003C625C" w:rsidRDefault="003C625C">
      <w:pPr>
        <w:pStyle w:val="TOC5"/>
        <w:rPr>
          <w:rFonts w:asciiTheme="minorHAnsi" w:eastAsiaTheme="minorEastAsia" w:hAnsiTheme="minorHAnsi" w:cstheme="minorBidi"/>
          <w:sz w:val="22"/>
          <w:szCs w:val="22"/>
        </w:rPr>
      </w:pPr>
      <w:r>
        <w:t>6.6.5.2.3</w:t>
      </w:r>
      <w:r>
        <w:rPr>
          <w:rFonts w:asciiTheme="minorHAnsi" w:eastAsiaTheme="minorEastAsia" w:hAnsiTheme="minorHAnsi" w:cstheme="minorBidi"/>
          <w:sz w:val="22"/>
          <w:szCs w:val="22"/>
        </w:rPr>
        <w:tab/>
      </w:r>
      <w:r>
        <w:t>Co-location with base stations and IAB-Nodes</w:t>
      </w:r>
      <w:r>
        <w:tab/>
      </w:r>
      <w:r>
        <w:fldChar w:fldCharType="begin"/>
      </w:r>
      <w:r>
        <w:instrText xml:space="preserve"> PAGEREF _Toc106183927 \h </w:instrText>
      </w:r>
      <w:r>
        <w:fldChar w:fldCharType="separate"/>
      </w:r>
      <w:r>
        <w:t>60</w:t>
      </w:r>
      <w:r>
        <w:fldChar w:fldCharType="end"/>
      </w:r>
    </w:p>
    <w:p w14:paraId="26493ED9" w14:textId="37F80571" w:rsidR="003C625C" w:rsidRDefault="003C625C">
      <w:pPr>
        <w:pStyle w:val="TOC4"/>
        <w:rPr>
          <w:rFonts w:asciiTheme="minorHAnsi" w:eastAsiaTheme="minorEastAsia" w:hAnsiTheme="minorHAnsi" w:cstheme="minorBidi"/>
          <w:sz w:val="22"/>
          <w:szCs w:val="22"/>
        </w:rPr>
      </w:pPr>
      <w:r>
        <w:t>6.6.5.3</w:t>
      </w:r>
      <w:r>
        <w:rPr>
          <w:rFonts w:asciiTheme="minorHAnsi" w:eastAsiaTheme="minorEastAsia" w:hAnsiTheme="minorHAnsi" w:cstheme="minorBidi"/>
          <w:sz w:val="22"/>
          <w:szCs w:val="22"/>
        </w:rPr>
        <w:tab/>
      </w:r>
      <w:r>
        <w:t xml:space="preserve">Minimum requirements for </w:t>
      </w:r>
      <w:r w:rsidRPr="00DD4EB8">
        <w:rPr>
          <w:i/>
        </w:rPr>
        <w:t xml:space="preserve">IAB-DU </w:t>
      </w:r>
      <w:r w:rsidRPr="00DD4EB8">
        <w:rPr>
          <w:iCs/>
        </w:rPr>
        <w:t>and</w:t>
      </w:r>
      <w:r w:rsidRPr="00DD4EB8">
        <w:rPr>
          <w:i/>
        </w:rPr>
        <w:t xml:space="preserve"> IAB-MT type 1-H</w:t>
      </w:r>
      <w:r>
        <w:tab/>
      </w:r>
      <w:r>
        <w:fldChar w:fldCharType="begin"/>
      </w:r>
      <w:r>
        <w:instrText xml:space="preserve"> PAGEREF _Toc106183928 \h </w:instrText>
      </w:r>
      <w:r>
        <w:fldChar w:fldCharType="separate"/>
      </w:r>
      <w:r>
        <w:t>65</w:t>
      </w:r>
      <w:r>
        <w:fldChar w:fldCharType="end"/>
      </w:r>
    </w:p>
    <w:p w14:paraId="62FCE44B" w14:textId="378E48B6" w:rsidR="003C625C" w:rsidRDefault="003C625C">
      <w:pPr>
        <w:pStyle w:val="TOC2"/>
        <w:rPr>
          <w:rFonts w:asciiTheme="minorHAnsi" w:eastAsiaTheme="minorEastAsia" w:hAnsiTheme="minorHAnsi" w:cstheme="minorBidi"/>
          <w:sz w:val="22"/>
          <w:szCs w:val="22"/>
        </w:rPr>
      </w:pPr>
      <w:r w:rsidRPr="00DD4EB8">
        <w:rPr>
          <w:lang w:val="de-DE"/>
        </w:rPr>
        <w:lastRenderedPageBreak/>
        <w:t>6.7</w:t>
      </w:r>
      <w:r>
        <w:rPr>
          <w:rFonts w:asciiTheme="minorHAnsi" w:eastAsiaTheme="minorEastAsia" w:hAnsiTheme="minorHAnsi" w:cstheme="minorBidi"/>
          <w:sz w:val="22"/>
          <w:szCs w:val="22"/>
        </w:rPr>
        <w:tab/>
      </w:r>
      <w:r w:rsidRPr="00DD4EB8">
        <w:rPr>
          <w:lang w:val="de-DE"/>
        </w:rPr>
        <w:t>Transmitter intermodulation</w:t>
      </w:r>
      <w:r>
        <w:tab/>
      </w:r>
      <w:r>
        <w:fldChar w:fldCharType="begin"/>
      </w:r>
      <w:r>
        <w:instrText xml:space="preserve"> PAGEREF _Toc106183929 \h </w:instrText>
      </w:r>
      <w:r>
        <w:fldChar w:fldCharType="separate"/>
      </w:r>
      <w:r>
        <w:t>65</w:t>
      </w:r>
      <w:r>
        <w:fldChar w:fldCharType="end"/>
      </w:r>
    </w:p>
    <w:p w14:paraId="1ACF0CCE" w14:textId="419A4355" w:rsidR="003C625C" w:rsidRDefault="003C625C">
      <w:pPr>
        <w:pStyle w:val="TOC3"/>
        <w:rPr>
          <w:rFonts w:asciiTheme="minorHAnsi" w:eastAsiaTheme="minorEastAsia" w:hAnsiTheme="minorHAnsi" w:cstheme="minorBidi"/>
          <w:sz w:val="22"/>
          <w:szCs w:val="22"/>
        </w:rPr>
      </w:pPr>
      <w:r>
        <w:t>6.7.1</w:t>
      </w:r>
      <w:r>
        <w:rPr>
          <w:rFonts w:asciiTheme="minorHAnsi" w:eastAsiaTheme="minorEastAsia" w:hAnsiTheme="minorHAnsi" w:cstheme="minorBidi"/>
          <w:sz w:val="22"/>
          <w:szCs w:val="22"/>
        </w:rPr>
        <w:tab/>
      </w:r>
      <w:r>
        <w:t>General</w:t>
      </w:r>
      <w:r>
        <w:tab/>
      </w:r>
      <w:r>
        <w:fldChar w:fldCharType="begin"/>
      </w:r>
      <w:r>
        <w:instrText xml:space="preserve"> PAGEREF _Toc106183930 \h </w:instrText>
      </w:r>
      <w:r>
        <w:fldChar w:fldCharType="separate"/>
      </w:r>
      <w:r>
        <w:t>65</w:t>
      </w:r>
      <w:r>
        <w:fldChar w:fldCharType="end"/>
      </w:r>
    </w:p>
    <w:p w14:paraId="142B0278" w14:textId="1B769BC5" w:rsidR="003C625C" w:rsidRDefault="003C625C">
      <w:pPr>
        <w:pStyle w:val="TOC3"/>
        <w:rPr>
          <w:rFonts w:asciiTheme="minorHAnsi" w:eastAsiaTheme="minorEastAsia" w:hAnsiTheme="minorHAnsi" w:cstheme="minorBidi"/>
          <w:sz w:val="22"/>
          <w:szCs w:val="22"/>
        </w:rPr>
      </w:pPr>
      <w:r>
        <w:t>6.7.2</w:t>
      </w:r>
      <w:r>
        <w:rPr>
          <w:rFonts w:asciiTheme="minorHAnsi" w:eastAsiaTheme="minorEastAsia" w:hAnsiTheme="minorHAnsi" w:cstheme="minorBidi"/>
          <w:sz w:val="22"/>
          <w:szCs w:val="22"/>
        </w:rPr>
        <w:tab/>
      </w:r>
      <w:r>
        <w:t xml:space="preserve">Minimum requirements for </w:t>
      </w:r>
      <w:r w:rsidRPr="00DD4EB8">
        <w:rPr>
          <w:i/>
        </w:rPr>
        <w:t>IAB</w:t>
      </w:r>
      <w:r w:rsidRPr="00DD4EB8">
        <w:rPr>
          <w:i/>
          <w:lang w:val="en-US" w:eastAsia="zh-CN"/>
        </w:rPr>
        <w:t>-DU</w:t>
      </w:r>
      <w:r w:rsidRPr="00DD4EB8">
        <w:rPr>
          <w:i/>
        </w:rPr>
        <w:t xml:space="preserve"> type 1-H</w:t>
      </w:r>
      <w:r w:rsidRPr="00DD4EB8">
        <w:rPr>
          <w:i/>
          <w:lang w:val="en-US" w:eastAsia="zh-CN"/>
        </w:rPr>
        <w:t xml:space="preserve"> </w:t>
      </w:r>
      <w:r w:rsidRPr="00DD4EB8">
        <w:rPr>
          <w:iCs/>
          <w:lang w:val="en-US" w:eastAsia="zh-CN"/>
        </w:rPr>
        <w:t>and</w:t>
      </w:r>
      <w:r w:rsidRPr="00DD4EB8">
        <w:rPr>
          <w:i/>
          <w:lang w:val="en-US" w:eastAsia="zh-CN"/>
        </w:rPr>
        <w:t xml:space="preserve"> IAB-MT type 1-H</w:t>
      </w:r>
      <w:r>
        <w:tab/>
      </w:r>
      <w:r>
        <w:fldChar w:fldCharType="begin"/>
      </w:r>
      <w:r>
        <w:instrText xml:space="preserve"> PAGEREF _Toc106183931 \h </w:instrText>
      </w:r>
      <w:r>
        <w:fldChar w:fldCharType="separate"/>
      </w:r>
      <w:r>
        <w:t>66</w:t>
      </w:r>
      <w:r>
        <w:fldChar w:fldCharType="end"/>
      </w:r>
    </w:p>
    <w:p w14:paraId="510A81F2" w14:textId="7B3C3696" w:rsidR="003C625C" w:rsidRDefault="003C625C">
      <w:pPr>
        <w:pStyle w:val="TOC4"/>
        <w:rPr>
          <w:rFonts w:asciiTheme="minorHAnsi" w:eastAsiaTheme="minorEastAsia" w:hAnsiTheme="minorHAnsi" w:cstheme="minorBidi"/>
          <w:sz w:val="22"/>
          <w:szCs w:val="22"/>
        </w:rPr>
      </w:pPr>
      <w:r>
        <w:t>6.7.2.1</w:t>
      </w:r>
      <w:r>
        <w:rPr>
          <w:rFonts w:asciiTheme="minorHAnsi" w:eastAsiaTheme="minorEastAsia" w:hAnsiTheme="minorHAnsi" w:cstheme="minorBidi"/>
          <w:sz w:val="22"/>
          <w:szCs w:val="22"/>
        </w:rPr>
        <w:tab/>
      </w:r>
      <w:r>
        <w:t>Co-location minimum requirements</w:t>
      </w:r>
      <w:r>
        <w:tab/>
      </w:r>
      <w:r>
        <w:fldChar w:fldCharType="begin"/>
      </w:r>
      <w:r>
        <w:instrText xml:space="preserve"> PAGEREF _Toc106183932 \h </w:instrText>
      </w:r>
      <w:r>
        <w:fldChar w:fldCharType="separate"/>
      </w:r>
      <w:r>
        <w:t>66</w:t>
      </w:r>
      <w:r>
        <w:fldChar w:fldCharType="end"/>
      </w:r>
    </w:p>
    <w:p w14:paraId="1B27FE47" w14:textId="711BBFE4" w:rsidR="003C625C" w:rsidRDefault="003C625C">
      <w:pPr>
        <w:pStyle w:val="TOC4"/>
        <w:rPr>
          <w:rFonts w:asciiTheme="minorHAnsi" w:eastAsiaTheme="minorEastAsia" w:hAnsiTheme="minorHAnsi" w:cstheme="minorBidi"/>
          <w:sz w:val="22"/>
          <w:szCs w:val="22"/>
        </w:rPr>
      </w:pPr>
      <w:r>
        <w:t>6.7.2.2</w:t>
      </w:r>
      <w:r>
        <w:rPr>
          <w:rFonts w:asciiTheme="minorHAnsi" w:eastAsiaTheme="minorEastAsia" w:hAnsiTheme="minorHAnsi" w:cstheme="minorBidi"/>
          <w:sz w:val="22"/>
          <w:szCs w:val="22"/>
        </w:rPr>
        <w:tab/>
      </w:r>
      <w:r>
        <w:t>Intra-system minimum requirements</w:t>
      </w:r>
      <w:r>
        <w:tab/>
      </w:r>
      <w:r>
        <w:fldChar w:fldCharType="begin"/>
      </w:r>
      <w:r>
        <w:instrText xml:space="preserve"> PAGEREF _Toc106183933 \h </w:instrText>
      </w:r>
      <w:r>
        <w:fldChar w:fldCharType="separate"/>
      </w:r>
      <w:r>
        <w:t>66</w:t>
      </w:r>
      <w:r>
        <w:fldChar w:fldCharType="end"/>
      </w:r>
    </w:p>
    <w:p w14:paraId="6852A9B4" w14:textId="03EA7E4E" w:rsidR="003C625C" w:rsidRDefault="003C625C">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Conducted receiver characteristics</w:t>
      </w:r>
      <w:r>
        <w:tab/>
      </w:r>
      <w:r>
        <w:fldChar w:fldCharType="begin"/>
      </w:r>
      <w:r>
        <w:instrText xml:space="preserve"> PAGEREF _Toc106183934 \h </w:instrText>
      </w:r>
      <w:r>
        <w:fldChar w:fldCharType="separate"/>
      </w:r>
      <w:r>
        <w:t>67</w:t>
      </w:r>
      <w:r>
        <w:fldChar w:fldCharType="end"/>
      </w:r>
    </w:p>
    <w:p w14:paraId="46455C45" w14:textId="1C79DE91" w:rsidR="003C625C" w:rsidRDefault="003C625C">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General</w:t>
      </w:r>
      <w:r>
        <w:tab/>
      </w:r>
      <w:r>
        <w:fldChar w:fldCharType="begin"/>
      </w:r>
      <w:r>
        <w:instrText xml:space="preserve"> PAGEREF _Toc106183935 \h </w:instrText>
      </w:r>
      <w:r>
        <w:fldChar w:fldCharType="separate"/>
      </w:r>
      <w:r>
        <w:t>67</w:t>
      </w:r>
      <w:r>
        <w:fldChar w:fldCharType="end"/>
      </w:r>
    </w:p>
    <w:p w14:paraId="6DF1A2E6" w14:textId="2B79B053" w:rsidR="003C625C" w:rsidRDefault="003C625C">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Reference sensitivity level</w:t>
      </w:r>
      <w:r>
        <w:tab/>
      </w:r>
      <w:r>
        <w:fldChar w:fldCharType="begin"/>
      </w:r>
      <w:r>
        <w:instrText xml:space="preserve"> PAGEREF _Toc106183936 \h </w:instrText>
      </w:r>
      <w:r>
        <w:fldChar w:fldCharType="separate"/>
      </w:r>
      <w:r>
        <w:t>67</w:t>
      </w:r>
      <w:r>
        <w:fldChar w:fldCharType="end"/>
      </w:r>
    </w:p>
    <w:p w14:paraId="6A03379B" w14:textId="46EE1B62" w:rsidR="003C625C" w:rsidRDefault="003C625C">
      <w:pPr>
        <w:pStyle w:val="TOC3"/>
        <w:rPr>
          <w:rFonts w:asciiTheme="minorHAnsi" w:eastAsiaTheme="minorEastAsia" w:hAnsiTheme="minorHAnsi" w:cstheme="minorBidi"/>
          <w:sz w:val="22"/>
          <w:szCs w:val="22"/>
        </w:rPr>
      </w:pPr>
      <w:r>
        <w:t>7.2.1</w:t>
      </w:r>
      <w:r>
        <w:rPr>
          <w:rFonts w:asciiTheme="minorHAnsi" w:eastAsiaTheme="minorEastAsia" w:hAnsiTheme="minorHAnsi" w:cstheme="minorBidi"/>
          <w:sz w:val="22"/>
          <w:szCs w:val="22"/>
        </w:rPr>
        <w:tab/>
      </w:r>
      <w:r>
        <w:t>IAB-DU reference sensitivity level</w:t>
      </w:r>
      <w:r>
        <w:tab/>
      </w:r>
      <w:r>
        <w:fldChar w:fldCharType="begin"/>
      </w:r>
      <w:r>
        <w:instrText xml:space="preserve"> PAGEREF _Toc106183937 \h </w:instrText>
      </w:r>
      <w:r>
        <w:fldChar w:fldCharType="separate"/>
      </w:r>
      <w:r>
        <w:t>67</w:t>
      </w:r>
      <w:r>
        <w:fldChar w:fldCharType="end"/>
      </w:r>
    </w:p>
    <w:p w14:paraId="18791E70" w14:textId="771657EA" w:rsidR="003C625C" w:rsidRDefault="003C625C">
      <w:pPr>
        <w:pStyle w:val="TOC4"/>
        <w:rPr>
          <w:rFonts w:asciiTheme="minorHAnsi" w:eastAsiaTheme="minorEastAsia" w:hAnsiTheme="minorHAnsi" w:cstheme="minorBidi"/>
          <w:sz w:val="22"/>
          <w:szCs w:val="22"/>
        </w:rPr>
      </w:pPr>
      <w:r>
        <w:t>7.2.1.1</w:t>
      </w:r>
      <w:r>
        <w:rPr>
          <w:rFonts w:asciiTheme="minorHAnsi" w:eastAsiaTheme="minorEastAsia" w:hAnsiTheme="minorHAnsi" w:cstheme="minorBidi"/>
          <w:sz w:val="22"/>
          <w:szCs w:val="22"/>
        </w:rPr>
        <w:tab/>
      </w:r>
      <w:r>
        <w:t>General</w:t>
      </w:r>
      <w:r>
        <w:tab/>
      </w:r>
      <w:r>
        <w:fldChar w:fldCharType="begin"/>
      </w:r>
      <w:r>
        <w:instrText xml:space="preserve"> PAGEREF _Toc106183938 \h </w:instrText>
      </w:r>
      <w:r>
        <w:fldChar w:fldCharType="separate"/>
      </w:r>
      <w:r>
        <w:t>67</w:t>
      </w:r>
      <w:r>
        <w:fldChar w:fldCharType="end"/>
      </w:r>
    </w:p>
    <w:p w14:paraId="79915C17" w14:textId="363F96CA" w:rsidR="003C625C" w:rsidRDefault="003C625C">
      <w:pPr>
        <w:pStyle w:val="TOC4"/>
        <w:rPr>
          <w:rFonts w:asciiTheme="minorHAnsi" w:eastAsiaTheme="minorEastAsia" w:hAnsiTheme="minorHAnsi" w:cstheme="minorBidi"/>
          <w:sz w:val="22"/>
          <w:szCs w:val="22"/>
        </w:rPr>
      </w:pPr>
      <w:r>
        <w:t>7.2.1.2</w:t>
      </w:r>
      <w:r>
        <w:rPr>
          <w:rFonts w:asciiTheme="minorHAnsi" w:eastAsiaTheme="minorEastAsia" w:hAnsiTheme="minorHAnsi" w:cstheme="minorBidi"/>
          <w:sz w:val="22"/>
          <w:szCs w:val="22"/>
        </w:rPr>
        <w:tab/>
      </w:r>
      <w:r>
        <w:t xml:space="preserve">Minimum requirements for </w:t>
      </w:r>
      <w:r w:rsidRPr="00DD4EB8">
        <w:rPr>
          <w:i/>
        </w:rPr>
        <w:t>IAB-DU type 1-H</w:t>
      </w:r>
      <w:r>
        <w:tab/>
      </w:r>
      <w:r>
        <w:fldChar w:fldCharType="begin"/>
      </w:r>
      <w:r>
        <w:instrText xml:space="preserve"> PAGEREF _Toc106183939 \h </w:instrText>
      </w:r>
      <w:r>
        <w:fldChar w:fldCharType="separate"/>
      </w:r>
      <w:r>
        <w:t>67</w:t>
      </w:r>
      <w:r>
        <w:fldChar w:fldCharType="end"/>
      </w:r>
    </w:p>
    <w:p w14:paraId="5886E167" w14:textId="5172C229" w:rsidR="003C625C" w:rsidRDefault="003C625C">
      <w:pPr>
        <w:pStyle w:val="TOC3"/>
        <w:rPr>
          <w:rFonts w:asciiTheme="minorHAnsi" w:eastAsiaTheme="minorEastAsia" w:hAnsiTheme="minorHAnsi" w:cstheme="minorBidi"/>
          <w:sz w:val="22"/>
          <w:szCs w:val="22"/>
        </w:rPr>
      </w:pPr>
      <w:r>
        <w:t>7.2.2</w:t>
      </w:r>
      <w:r>
        <w:rPr>
          <w:rFonts w:asciiTheme="minorHAnsi" w:eastAsiaTheme="minorEastAsia" w:hAnsiTheme="minorHAnsi" w:cstheme="minorBidi"/>
          <w:sz w:val="22"/>
          <w:szCs w:val="22"/>
        </w:rPr>
        <w:tab/>
      </w:r>
      <w:r>
        <w:t>IAB-MT reference sensitivity level</w:t>
      </w:r>
      <w:r>
        <w:tab/>
      </w:r>
      <w:r>
        <w:fldChar w:fldCharType="begin"/>
      </w:r>
      <w:r>
        <w:instrText xml:space="preserve"> PAGEREF _Toc106183940 \h </w:instrText>
      </w:r>
      <w:r>
        <w:fldChar w:fldCharType="separate"/>
      </w:r>
      <w:r>
        <w:t>68</w:t>
      </w:r>
      <w:r>
        <w:fldChar w:fldCharType="end"/>
      </w:r>
    </w:p>
    <w:p w14:paraId="498220C8" w14:textId="69027018" w:rsidR="003C625C" w:rsidRDefault="003C625C">
      <w:pPr>
        <w:pStyle w:val="TOC4"/>
        <w:rPr>
          <w:rFonts w:asciiTheme="minorHAnsi" w:eastAsiaTheme="minorEastAsia" w:hAnsiTheme="minorHAnsi" w:cstheme="minorBidi"/>
          <w:sz w:val="22"/>
          <w:szCs w:val="22"/>
        </w:rPr>
      </w:pPr>
      <w:r w:rsidRPr="00DD4EB8">
        <w:rPr>
          <w:b/>
          <w:bCs/>
        </w:rPr>
        <w:t>Table 7.2.2-2: Void</w:t>
      </w:r>
      <w:r>
        <w:tab/>
      </w:r>
      <w:r>
        <w:fldChar w:fldCharType="begin"/>
      </w:r>
      <w:r>
        <w:instrText xml:space="preserve"> PAGEREF _Toc106183941 \h </w:instrText>
      </w:r>
      <w:r>
        <w:fldChar w:fldCharType="separate"/>
      </w:r>
      <w:r>
        <w:t>68</w:t>
      </w:r>
      <w:r>
        <w:fldChar w:fldCharType="end"/>
      </w:r>
    </w:p>
    <w:p w14:paraId="203075DF" w14:textId="1A939F2A" w:rsidR="003C625C" w:rsidRDefault="003C625C">
      <w:pPr>
        <w:pStyle w:val="TOC4"/>
        <w:rPr>
          <w:rFonts w:asciiTheme="minorHAnsi" w:eastAsiaTheme="minorEastAsia" w:hAnsiTheme="minorHAnsi" w:cstheme="minorBidi"/>
          <w:sz w:val="22"/>
          <w:szCs w:val="22"/>
        </w:rPr>
      </w:pPr>
      <w:r>
        <w:t>7.2.</w:t>
      </w:r>
      <w:r w:rsidRPr="00DD4EB8">
        <w:rPr>
          <w:rFonts w:eastAsia="SimSun"/>
          <w:lang w:val="en-US" w:eastAsia="zh-CN"/>
        </w:rPr>
        <w:t>2</w:t>
      </w:r>
      <w:r>
        <w:t>.1</w:t>
      </w:r>
      <w:r>
        <w:rPr>
          <w:rFonts w:asciiTheme="minorHAnsi" w:eastAsiaTheme="minorEastAsia" w:hAnsiTheme="minorHAnsi" w:cstheme="minorBidi"/>
          <w:sz w:val="22"/>
          <w:szCs w:val="22"/>
        </w:rPr>
        <w:tab/>
      </w:r>
      <w:r>
        <w:t>General</w:t>
      </w:r>
      <w:r>
        <w:tab/>
      </w:r>
      <w:r>
        <w:fldChar w:fldCharType="begin"/>
      </w:r>
      <w:r>
        <w:instrText xml:space="preserve"> PAGEREF _Toc106183942 \h </w:instrText>
      </w:r>
      <w:r>
        <w:fldChar w:fldCharType="separate"/>
      </w:r>
      <w:r>
        <w:t>68</w:t>
      </w:r>
      <w:r>
        <w:fldChar w:fldCharType="end"/>
      </w:r>
    </w:p>
    <w:p w14:paraId="7E269DFC" w14:textId="17F99975" w:rsidR="003C625C" w:rsidRDefault="003C625C">
      <w:pPr>
        <w:pStyle w:val="TOC4"/>
        <w:rPr>
          <w:rFonts w:asciiTheme="minorHAnsi" w:eastAsiaTheme="minorEastAsia" w:hAnsiTheme="minorHAnsi" w:cstheme="minorBidi"/>
          <w:sz w:val="22"/>
          <w:szCs w:val="22"/>
        </w:rPr>
      </w:pPr>
      <w:r>
        <w:t>7.2.</w:t>
      </w:r>
      <w:r w:rsidRPr="00DD4EB8">
        <w:rPr>
          <w:rFonts w:eastAsia="SimSun"/>
          <w:lang w:val="en-US" w:eastAsia="zh-CN"/>
        </w:rPr>
        <w:t>2</w:t>
      </w:r>
      <w:r>
        <w:t>.2</w:t>
      </w:r>
      <w:r>
        <w:rPr>
          <w:rFonts w:asciiTheme="minorHAnsi" w:eastAsiaTheme="minorEastAsia" w:hAnsiTheme="minorHAnsi" w:cstheme="minorBidi"/>
          <w:sz w:val="22"/>
          <w:szCs w:val="22"/>
        </w:rPr>
        <w:tab/>
      </w:r>
      <w:r>
        <w:t xml:space="preserve">Minimum requirements for </w:t>
      </w:r>
      <w:r w:rsidRPr="00DD4EB8">
        <w:rPr>
          <w:i/>
        </w:rPr>
        <w:t>IAB-</w:t>
      </w:r>
      <w:r w:rsidRPr="00DD4EB8">
        <w:rPr>
          <w:rFonts w:eastAsia="SimSun"/>
          <w:i/>
          <w:lang w:val="en-US" w:eastAsia="zh-CN"/>
        </w:rPr>
        <w:t>MT</w:t>
      </w:r>
      <w:r w:rsidRPr="00DD4EB8">
        <w:rPr>
          <w:i/>
        </w:rPr>
        <w:t xml:space="preserve"> type 1-H</w:t>
      </w:r>
      <w:r>
        <w:tab/>
      </w:r>
      <w:r>
        <w:fldChar w:fldCharType="begin"/>
      </w:r>
      <w:r>
        <w:instrText xml:space="preserve"> PAGEREF _Toc106183943 \h </w:instrText>
      </w:r>
      <w:r>
        <w:fldChar w:fldCharType="separate"/>
      </w:r>
      <w:r>
        <w:t>68</w:t>
      </w:r>
      <w:r>
        <w:fldChar w:fldCharType="end"/>
      </w:r>
    </w:p>
    <w:p w14:paraId="2A87D2AC" w14:textId="759267A9" w:rsidR="003C625C" w:rsidRDefault="003C625C">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Dynamic range</w:t>
      </w:r>
      <w:r>
        <w:tab/>
      </w:r>
      <w:r>
        <w:fldChar w:fldCharType="begin"/>
      </w:r>
      <w:r>
        <w:instrText xml:space="preserve"> PAGEREF _Toc106183944 \h </w:instrText>
      </w:r>
      <w:r>
        <w:fldChar w:fldCharType="separate"/>
      </w:r>
      <w:r>
        <w:t>69</w:t>
      </w:r>
      <w:r>
        <w:fldChar w:fldCharType="end"/>
      </w:r>
    </w:p>
    <w:p w14:paraId="37A9C95B" w14:textId="158FE44A" w:rsidR="003C625C" w:rsidRDefault="003C625C">
      <w:pPr>
        <w:pStyle w:val="TOC3"/>
        <w:rPr>
          <w:rFonts w:asciiTheme="minorHAnsi" w:eastAsiaTheme="minorEastAsia" w:hAnsiTheme="minorHAnsi" w:cstheme="minorBidi"/>
          <w:sz w:val="22"/>
          <w:szCs w:val="22"/>
        </w:rPr>
      </w:pPr>
      <w:r>
        <w:t>7.3.1</w:t>
      </w:r>
      <w:r>
        <w:rPr>
          <w:rFonts w:asciiTheme="minorHAnsi" w:eastAsiaTheme="minorEastAsia" w:hAnsiTheme="minorHAnsi" w:cstheme="minorBidi"/>
          <w:sz w:val="22"/>
          <w:szCs w:val="22"/>
        </w:rPr>
        <w:tab/>
      </w:r>
      <w:r>
        <w:t>IAB-DU dynamic range</w:t>
      </w:r>
      <w:r>
        <w:tab/>
      </w:r>
      <w:r>
        <w:fldChar w:fldCharType="begin"/>
      </w:r>
      <w:r>
        <w:instrText xml:space="preserve"> PAGEREF _Toc106183945 \h </w:instrText>
      </w:r>
      <w:r>
        <w:fldChar w:fldCharType="separate"/>
      </w:r>
      <w:r>
        <w:t>69</w:t>
      </w:r>
      <w:r>
        <w:fldChar w:fldCharType="end"/>
      </w:r>
    </w:p>
    <w:p w14:paraId="079E7CBB" w14:textId="3256B0D5" w:rsidR="003C625C" w:rsidRDefault="003C625C">
      <w:pPr>
        <w:pStyle w:val="TOC4"/>
        <w:rPr>
          <w:rFonts w:asciiTheme="minorHAnsi" w:eastAsiaTheme="minorEastAsia" w:hAnsiTheme="minorHAnsi" w:cstheme="minorBidi"/>
          <w:sz w:val="22"/>
          <w:szCs w:val="22"/>
        </w:rPr>
      </w:pPr>
      <w:r>
        <w:t>7.3.1.1</w:t>
      </w:r>
      <w:r>
        <w:rPr>
          <w:rFonts w:asciiTheme="minorHAnsi" w:eastAsiaTheme="minorEastAsia" w:hAnsiTheme="minorHAnsi" w:cstheme="minorBidi"/>
          <w:sz w:val="22"/>
          <w:szCs w:val="22"/>
        </w:rPr>
        <w:tab/>
      </w:r>
      <w:r>
        <w:t>General</w:t>
      </w:r>
      <w:r>
        <w:tab/>
      </w:r>
      <w:r>
        <w:fldChar w:fldCharType="begin"/>
      </w:r>
      <w:r>
        <w:instrText xml:space="preserve"> PAGEREF _Toc106183946 \h </w:instrText>
      </w:r>
      <w:r>
        <w:fldChar w:fldCharType="separate"/>
      </w:r>
      <w:r>
        <w:t>69</w:t>
      </w:r>
      <w:r>
        <w:fldChar w:fldCharType="end"/>
      </w:r>
    </w:p>
    <w:p w14:paraId="6623CF26" w14:textId="5F5FB161" w:rsidR="003C625C" w:rsidRDefault="003C625C">
      <w:pPr>
        <w:pStyle w:val="TOC4"/>
        <w:rPr>
          <w:rFonts w:asciiTheme="minorHAnsi" w:eastAsiaTheme="minorEastAsia" w:hAnsiTheme="minorHAnsi" w:cstheme="minorBidi"/>
          <w:sz w:val="22"/>
          <w:szCs w:val="22"/>
        </w:rPr>
      </w:pPr>
      <w:r>
        <w:t>7.3.1.2</w:t>
      </w:r>
      <w:r>
        <w:rPr>
          <w:rFonts w:asciiTheme="minorHAnsi" w:eastAsiaTheme="minorEastAsia" w:hAnsiTheme="minorHAnsi" w:cstheme="minorBidi"/>
          <w:sz w:val="22"/>
          <w:szCs w:val="22"/>
        </w:rPr>
        <w:tab/>
      </w:r>
      <w:r>
        <w:t xml:space="preserve">Minimum requirement for </w:t>
      </w:r>
      <w:r w:rsidRPr="00DD4EB8">
        <w:rPr>
          <w:i/>
        </w:rPr>
        <w:t>IAB-DU type 1-H</w:t>
      </w:r>
      <w:r>
        <w:tab/>
      </w:r>
      <w:r>
        <w:fldChar w:fldCharType="begin"/>
      </w:r>
      <w:r>
        <w:instrText xml:space="preserve"> PAGEREF _Toc106183947 \h </w:instrText>
      </w:r>
      <w:r>
        <w:fldChar w:fldCharType="separate"/>
      </w:r>
      <w:r>
        <w:t>69</w:t>
      </w:r>
      <w:r>
        <w:fldChar w:fldCharType="end"/>
      </w:r>
    </w:p>
    <w:p w14:paraId="06CECE02" w14:textId="3D795D6E" w:rsidR="003C625C" w:rsidRDefault="003C625C">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In-band selectivity and blocking</w:t>
      </w:r>
      <w:r>
        <w:tab/>
      </w:r>
      <w:r>
        <w:fldChar w:fldCharType="begin"/>
      </w:r>
      <w:r>
        <w:instrText xml:space="preserve"> PAGEREF _Toc106183948 \h </w:instrText>
      </w:r>
      <w:r>
        <w:fldChar w:fldCharType="separate"/>
      </w:r>
      <w:r>
        <w:t>69</w:t>
      </w:r>
      <w:r>
        <w:fldChar w:fldCharType="end"/>
      </w:r>
    </w:p>
    <w:p w14:paraId="46C1D71A" w14:textId="0801C6F4" w:rsidR="003C625C" w:rsidRDefault="003C625C">
      <w:pPr>
        <w:pStyle w:val="TOC3"/>
        <w:rPr>
          <w:rFonts w:asciiTheme="minorHAnsi" w:eastAsiaTheme="minorEastAsia" w:hAnsiTheme="minorHAnsi" w:cstheme="minorBidi"/>
          <w:sz w:val="22"/>
          <w:szCs w:val="22"/>
        </w:rPr>
      </w:pPr>
      <w:r>
        <w:t>7.4.1</w:t>
      </w:r>
      <w:r>
        <w:rPr>
          <w:rFonts w:asciiTheme="minorHAnsi" w:eastAsiaTheme="minorEastAsia" w:hAnsiTheme="minorHAnsi" w:cstheme="minorBidi"/>
          <w:sz w:val="22"/>
          <w:szCs w:val="22"/>
        </w:rPr>
        <w:tab/>
      </w:r>
      <w:r>
        <w:t>Adjacent Channel Selectivity (ACS)</w:t>
      </w:r>
      <w:r>
        <w:tab/>
      </w:r>
      <w:r>
        <w:fldChar w:fldCharType="begin"/>
      </w:r>
      <w:r>
        <w:instrText xml:space="preserve"> PAGEREF _Toc106183949 \h </w:instrText>
      </w:r>
      <w:r>
        <w:fldChar w:fldCharType="separate"/>
      </w:r>
      <w:r>
        <w:t>69</w:t>
      </w:r>
      <w:r>
        <w:fldChar w:fldCharType="end"/>
      </w:r>
    </w:p>
    <w:p w14:paraId="1565D903" w14:textId="5ACBA974" w:rsidR="003C625C" w:rsidRDefault="003C625C">
      <w:pPr>
        <w:pStyle w:val="TOC4"/>
        <w:rPr>
          <w:rFonts w:asciiTheme="minorHAnsi" w:eastAsiaTheme="minorEastAsia" w:hAnsiTheme="minorHAnsi" w:cstheme="minorBidi"/>
          <w:sz w:val="22"/>
          <w:szCs w:val="22"/>
        </w:rPr>
      </w:pPr>
      <w:r>
        <w:t>7.4.1.1</w:t>
      </w:r>
      <w:r>
        <w:rPr>
          <w:rFonts w:asciiTheme="minorHAnsi" w:eastAsiaTheme="minorEastAsia" w:hAnsiTheme="minorHAnsi" w:cstheme="minorBidi"/>
          <w:sz w:val="22"/>
          <w:szCs w:val="22"/>
        </w:rPr>
        <w:tab/>
      </w:r>
      <w:r>
        <w:t>General</w:t>
      </w:r>
      <w:r>
        <w:tab/>
      </w:r>
      <w:r>
        <w:fldChar w:fldCharType="begin"/>
      </w:r>
      <w:r>
        <w:instrText xml:space="preserve"> PAGEREF _Toc106183950 \h </w:instrText>
      </w:r>
      <w:r>
        <w:fldChar w:fldCharType="separate"/>
      </w:r>
      <w:r>
        <w:t>69</w:t>
      </w:r>
      <w:r>
        <w:fldChar w:fldCharType="end"/>
      </w:r>
    </w:p>
    <w:p w14:paraId="7F431663" w14:textId="2B49A4FD" w:rsidR="003C625C" w:rsidRDefault="003C625C">
      <w:pPr>
        <w:pStyle w:val="TOC4"/>
        <w:rPr>
          <w:rFonts w:asciiTheme="minorHAnsi" w:eastAsiaTheme="minorEastAsia" w:hAnsiTheme="minorHAnsi" w:cstheme="minorBidi"/>
          <w:sz w:val="22"/>
          <w:szCs w:val="22"/>
        </w:rPr>
      </w:pPr>
      <w:r>
        <w:t>7.4.1.2</w:t>
      </w:r>
      <w:r>
        <w:rPr>
          <w:rFonts w:asciiTheme="minorHAnsi" w:eastAsiaTheme="minorEastAsia" w:hAnsiTheme="minorHAnsi" w:cstheme="minorBidi"/>
          <w:sz w:val="22"/>
          <w:szCs w:val="22"/>
        </w:rPr>
        <w:tab/>
      </w:r>
      <w:r>
        <w:t xml:space="preserve">Minimum requirement for </w:t>
      </w:r>
      <w:r w:rsidRPr="00DD4EB8">
        <w:rPr>
          <w:i/>
        </w:rPr>
        <w:t>IAB-DU type 1-H</w:t>
      </w:r>
      <w:r>
        <w:tab/>
      </w:r>
      <w:r>
        <w:fldChar w:fldCharType="begin"/>
      </w:r>
      <w:r>
        <w:instrText xml:space="preserve"> PAGEREF _Toc106183951 \h </w:instrText>
      </w:r>
      <w:r>
        <w:fldChar w:fldCharType="separate"/>
      </w:r>
      <w:r>
        <w:t>69</w:t>
      </w:r>
      <w:r>
        <w:fldChar w:fldCharType="end"/>
      </w:r>
    </w:p>
    <w:p w14:paraId="4BBECD0C" w14:textId="1A8579B8" w:rsidR="003C625C" w:rsidRDefault="003C625C">
      <w:pPr>
        <w:pStyle w:val="TOC4"/>
        <w:rPr>
          <w:rFonts w:asciiTheme="minorHAnsi" w:eastAsiaTheme="minorEastAsia" w:hAnsiTheme="minorHAnsi" w:cstheme="minorBidi"/>
          <w:sz w:val="22"/>
          <w:szCs w:val="22"/>
        </w:rPr>
      </w:pPr>
      <w:r>
        <w:t>7.4.1.3</w:t>
      </w:r>
      <w:r>
        <w:rPr>
          <w:rFonts w:asciiTheme="minorHAnsi" w:eastAsiaTheme="minorEastAsia" w:hAnsiTheme="minorHAnsi" w:cstheme="minorBidi"/>
          <w:sz w:val="22"/>
          <w:szCs w:val="22"/>
        </w:rPr>
        <w:tab/>
      </w:r>
      <w:r>
        <w:t xml:space="preserve">Minimum requirement for </w:t>
      </w:r>
      <w:r w:rsidRPr="00DD4EB8">
        <w:rPr>
          <w:i/>
        </w:rPr>
        <w:t>IAB-MT type 1-H</w:t>
      </w:r>
      <w:r>
        <w:tab/>
      </w:r>
      <w:r>
        <w:fldChar w:fldCharType="begin"/>
      </w:r>
      <w:r>
        <w:instrText xml:space="preserve"> PAGEREF _Toc106183952 \h </w:instrText>
      </w:r>
      <w:r>
        <w:fldChar w:fldCharType="separate"/>
      </w:r>
      <w:r>
        <w:t>69</w:t>
      </w:r>
      <w:r>
        <w:fldChar w:fldCharType="end"/>
      </w:r>
    </w:p>
    <w:p w14:paraId="71CD3394" w14:textId="67B1D8C3" w:rsidR="003C625C" w:rsidRDefault="003C625C">
      <w:pPr>
        <w:pStyle w:val="TOC3"/>
        <w:rPr>
          <w:rFonts w:asciiTheme="minorHAnsi" w:eastAsiaTheme="minorEastAsia" w:hAnsiTheme="minorHAnsi" w:cstheme="minorBidi"/>
          <w:sz w:val="22"/>
          <w:szCs w:val="22"/>
        </w:rPr>
      </w:pPr>
      <w:r>
        <w:t>7.4.2</w:t>
      </w:r>
      <w:r>
        <w:rPr>
          <w:rFonts w:asciiTheme="minorHAnsi" w:eastAsiaTheme="minorEastAsia" w:hAnsiTheme="minorHAnsi" w:cstheme="minorBidi"/>
          <w:sz w:val="22"/>
          <w:szCs w:val="22"/>
        </w:rPr>
        <w:tab/>
      </w:r>
      <w:r w:rsidRPr="00DD4EB8">
        <w:rPr>
          <w:rFonts w:eastAsia="DengXian"/>
        </w:rPr>
        <w:t>In-band blocking</w:t>
      </w:r>
      <w:r>
        <w:tab/>
      </w:r>
      <w:r>
        <w:fldChar w:fldCharType="begin"/>
      </w:r>
      <w:r>
        <w:instrText xml:space="preserve"> PAGEREF _Toc106183953 \h </w:instrText>
      </w:r>
      <w:r>
        <w:fldChar w:fldCharType="separate"/>
      </w:r>
      <w:r>
        <w:t>70</w:t>
      </w:r>
      <w:r>
        <w:fldChar w:fldCharType="end"/>
      </w:r>
    </w:p>
    <w:p w14:paraId="68409605" w14:textId="5947E8F3" w:rsidR="003C625C" w:rsidRDefault="003C625C">
      <w:pPr>
        <w:pStyle w:val="TOC4"/>
        <w:rPr>
          <w:rFonts w:asciiTheme="minorHAnsi" w:eastAsiaTheme="minorEastAsia" w:hAnsiTheme="minorHAnsi" w:cstheme="minorBidi"/>
          <w:sz w:val="22"/>
          <w:szCs w:val="22"/>
        </w:rPr>
      </w:pPr>
      <w:r>
        <w:t>7.4.2.1</w:t>
      </w:r>
      <w:r>
        <w:rPr>
          <w:rFonts w:asciiTheme="minorHAnsi" w:eastAsiaTheme="minorEastAsia" w:hAnsiTheme="minorHAnsi" w:cstheme="minorBidi"/>
          <w:sz w:val="22"/>
          <w:szCs w:val="22"/>
        </w:rPr>
        <w:tab/>
      </w:r>
      <w:r>
        <w:t>General</w:t>
      </w:r>
      <w:r>
        <w:tab/>
      </w:r>
      <w:r>
        <w:fldChar w:fldCharType="begin"/>
      </w:r>
      <w:r>
        <w:instrText xml:space="preserve"> PAGEREF _Toc106183954 \h </w:instrText>
      </w:r>
      <w:r>
        <w:fldChar w:fldCharType="separate"/>
      </w:r>
      <w:r>
        <w:t>70</w:t>
      </w:r>
      <w:r>
        <w:fldChar w:fldCharType="end"/>
      </w:r>
    </w:p>
    <w:p w14:paraId="10C83555" w14:textId="3E49E2A6" w:rsidR="003C625C" w:rsidRDefault="003C625C">
      <w:pPr>
        <w:pStyle w:val="TOC4"/>
        <w:rPr>
          <w:rFonts w:asciiTheme="minorHAnsi" w:eastAsiaTheme="minorEastAsia" w:hAnsiTheme="minorHAnsi" w:cstheme="minorBidi"/>
          <w:sz w:val="22"/>
          <w:szCs w:val="22"/>
        </w:rPr>
      </w:pPr>
      <w:r>
        <w:t>7.4.2.2</w:t>
      </w:r>
      <w:r>
        <w:rPr>
          <w:rFonts w:asciiTheme="minorHAnsi" w:eastAsiaTheme="minorEastAsia" w:hAnsiTheme="minorHAnsi" w:cstheme="minorBidi"/>
          <w:sz w:val="22"/>
          <w:szCs w:val="22"/>
        </w:rPr>
        <w:tab/>
      </w:r>
      <w:r>
        <w:t>Minimum requirement for IAB-DU type 1-H</w:t>
      </w:r>
      <w:r>
        <w:tab/>
      </w:r>
      <w:r>
        <w:fldChar w:fldCharType="begin"/>
      </w:r>
      <w:r>
        <w:instrText xml:space="preserve"> PAGEREF _Toc106183955 \h </w:instrText>
      </w:r>
      <w:r>
        <w:fldChar w:fldCharType="separate"/>
      </w:r>
      <w:r>
        <w:t>70</w:t>
      </w:r>
      <w:r>
        <w:fldChar w:fldCharType="end"/>
      </w:r>
    </w:p>
    <w:p w14:paraId="6BB2A67D" w14:textId="3E1B2EF7" w:rsidR="003C625C" w:rsidRDefault="003C625C">
      <w:pPr>
        <w:pStyle w:val="TOC4"/>
        <w:rPr>
          <w:rFonts w:asciiTheme="minorHAnsi" w:eastAsiaTheme="minorEastAsia" w:hAnsiTheme="minorHAnsi" w:cstheme="minorBidi"/>
          <w:sz w:val="22"/>
          <w:szCs w:val="22"/>
        </w:rPr>
      </w:pPr>
      <w:r>
        <w:t>7.4.2.3</w:t>
      </w:r>
      <w:r>
        <w:rPr>
          <w:rFonts w:asciiTheme="minorHAnsi" w:eastAsiaTheme="minorEastAsia" w:hAnsiTheme="minorHAnsi" w:cstheme="minorBidi"/>
          <w:sz w:val="22"/>
          <w:szCs w:val="22"/>
        </w:rPr>
        <w:tab/>
      </w:r>
      <w:r>
        <w:t>Minimum requirement for IAB-MT type 1-H</w:t>
      </w:r>
      <w:r>
        <w:tab/>
      </w:r>
      <w:r>
        <w:fldChar w:fldCharType="begin"/>
      </w:r>
      <w:r>
        <w:instrText xml:space="preserve"> PAGEREF _Toc106183956 \h </w:instrText>
      </w:r>
      <w:r>
        <w:fldChar w:fldCharType="separate"/>
      </w:r>
      <w:r>
        <w:t>70</w:t>
      </w:r>
      <w:r>
        <w:fldChar w:fldCharType="end"/>
      </w:r>
    </w:p>
    <w:p w14:paraId="3FA9F47C" w14:textId="7B1067B1" w:rsidR="003C625C" w:rsidRDefault="003C625C">
      <w:pPr>
        <w:pStyle w:val="TOC2"/>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Out-of-band blocking</w:t>
      </w:r>
      <w:r>
        <w:tab/>
      </w:r>
      <w:r>
        <w:fldChar w:fldCharType="begin"/>
      </w:r>
      <w:r>
        <w:instrText xml:space="preserve"> PAGEREF _Toc106183957 \h </w:instrText>
      </w:r>
      <w:r>
        <w:fldChar w:fldCharType="separate"/>
      </w:r>
      <w:r>
        <w:t>73</w:t>
      </w:r>
      <w:r>
        <w:fldChar w:fldCharType="end"/>
      </w:r>
    </w:p>
    <w:p w14:paraId="76150240" w14:textId="52144B0D" w:rsidR="003C625C" w:rsidRDefault="003C625C">
      <w:pPr>
        <w:pStyle w:val="TOC3"/>
        <w:rPr>
          <w:rFonts w:asciiTheme="minorHAnsi" w:eastAsiaTheme="minorEastAsia" w:hAnsiTheme="minorHAnsi" w:cstheme="minorBidi"/>
          <w:sz w:val="22"/>
          <w:szCs w:val="22"/>
        </w:rPr>
      </w:pPr>
      <w:r>
        <w:t>7.5.1</w:t>
      </w:r>
      <w:r>
        <w:rPr>
          <w:rFonts w:asciiTheme="minorHAnsi" w:eastAsiaTheme="minorEastAsia" w:hAnsiTheme="minorHAnsi" w:cstheme="minorBidi"/>
          <w:sz w:val="22"/>
          <w:szCs w:val="22"/>
        </w:rPr>
        <w:tab/>
      </w:r>
      <w:r>
        <w:t>General</w:t>
      </w:r>
      <w:r>
        <w:tab/>
      </w:r>
      <w:r>
        <w:fldChar w:fldCharType="begin"/>
      </w:r>
      <w:r>
        <w:instrText xml:space="preserve"> PAGEREF _Toc106183958 \h </w:instrText>
      </w:r>
      <w:r>
        <w:fldChar w:fldCharType="separate"/>
      </w:r>
      <w:r>
        <w:t>73</w:t>
      </w:r>
      <w:r>
        <w:fldChar w:fldCharType="end"/>
      </w:r>
    </w:p>
    <w:p w14:paraId="1F043CD9" w14:textId="4E361648" w:rsidR="003C625C" w:rsidRDefault="003C625C">
      <w:pPr>
        <w:pStyle w:val="TOC3"/>
        <w:rPr>
          <w:rFonts w:asciiTheme="minorHAnsi" w:eastAsiaTheme="minorEastAsia" w:hAnsiTheme="minorHAnsi" w:cstheme="minorBidi"/>
          <w:sz w:val="22"/>
          <w:szCs w:val="22"/>
        </w:rPr>
      </w:pPr>
      <w:r>
        <w:t>7.5.2</w:t>
      </w:r>
      <w:r>
        <w:rPr>
          <w:rFonts w:asciiTheme="minorHAnsi" w:eastAsiaTheme="minorEastAsia" w:hAnsiTheme="minorHAnsi" w:cstheme="minorBidi"/>
          <w:sz w:val="22"/>
          <w:szCs w:val="22"/>
        </w:rPr>
        <w:tab/>
      </w:r>
      <w:r>
        <w:t>Void</w:t>
      </w:r>
      <w:r>
        <w:tab/>
      </w:r>
      <w:r>
        <w:fldChar w:fldCharType="begin"/>
      </w:r>
      <w:r>
        <w:instrText xml:space="preserve"> PAGEREF _Toc106183959 \h </w:instrText>
      </w:r>
      <w:r>
        <w:fldChar w:fldCharType="separate"/>
      </w:r>
      <w:r>
        <w:t>73</w:t>
      </w:r>
      <w:r>
        <w:fldChar w:fldCharType="end"/>
      </w:r>
    </w:p>
    <w:p w14:paraId="009F2462" w14:textId="0561FDA2" w:rsidR="003C625C" w:rsidRDefault="003C625C">
      <w:pPr>
        <w:pStyle w:val="TOC3"/>
        <w:rPr>
          <w:rFonts w:asciiTheme="minorHAnsi" w:eastAsiaTheme="minorEastAsia" w:hAnsiTheme="minorHAnsi" w:cstheme="minorBidi"/>
          <w:sz w:val="22"/>
          <w:szCs w:val="22"/>
        </w:rPr>
      </w:pPr>
      <w:r w:rsidRPr="00DD4EB8">
        <w:rPr>
          <w:lang w:val="en-US" w:eastAsia="zh-CN"/>
        </w:rPr>
        <w:t>7.5.3</w:t>
      </w:r>
      <w:r>
        <w:rPr>
          <w:rFonts w:asciiTheme="minorHAnsi" w:eastAsiaTheme="minorEastAsia" w:hAnsiTheme="minorHAnsi" w:cstheme="minorBidi"/>
          <w:sz w:val="22"/>
          <w:szCs w:val="22"/>
        </w:rPr>
        <w:tab/>
      </w:r>
      <w:r>
        <w:t xml:space="preserve"> Minimum requirement for IAB-DU type 1-H</w:t>
      </w:r>
      <w:r>
        <w:tab/>
      </w:r>
      <w:r>
        <w:fldChar w:fldCharType="begin"/>
      </w:r>
      <w:r>
        <w:instrText xml:space="preserve"> PAGEREF _Toc106183960 \h </w:instrText>
      </w:r>
      <w:r>
        <w:fldChar w:fldCharType="separate"/>
      </w:r>
      <w:r>
        <w:t>73</w:t>
      </w:r>
      <w:r>
        <w:fldChar w:fldCharType="end"/>
      </w:r>
    </w:p>
    <w:p w14:paraId="74436504" w14:textId="6B076F85" w:rsidR="003C625C" w:rsidRDefault="003C625C">
      <w:pPr>
        <w:pStyle w:val="TOC3"/>
        <w:rPr>
          <w:rFonts w:asciiTheme="minorHAnsi" w:eastAsiaTheme="minorEastAsia" w:hAnsiTheme="minorHAnsi" w:cstheme="minorBidi"/>
          <w:sz w:val="22"/>
          <w:szCs w:val="22"/>
        </w:rPr>
      </w:pPr>
      <w:r>
        <w:t>7.5.4</w:t>
      </w:r>
      <w:r>
        <w:rPr>
          <w:rFonts w:asciiTheme="minorHAnsi" w:eastAsiaTheme="minorEastAsia" w:hAnsiTheme="minorHAnsi" w:cstheme="minorBidi"/>
          <w:sz w:val="22"/>
          <w:szCs w:val="22"/>
        </w:rPr>
        <w:tab/>
      </w:r>
      <w:r>
        <w:t>Co-location minimum requirements for IAB-DU type 1-H</w:t>
      </w:r>
      <w:r>
        <w:tab/>
      </w:r>
      <w:r>
        <w:fldChar w:fldCharType="begin"/>
      </w:r>
      <w:r>
        <w:instrText xml:space="preserve"> PAGEREF _Toc106183961 \h </w:instrText>
      </w:r>
      <w:r>
        <w:fldChar w:fldCharType="separate"/>
      </w:r>
      <w:r>
        <w:t>73</w:t>
      </w:r>
      <w:r>
        <w:fldChar w:fldCharType="end"/>
      </w:r>
    </w:p>
    <w:p w14:paraId="58874B1B" w14:textId="66246AAF" w:rsidR="003C625C" w:rsidRDefault="003C625C">
      <w:pPr>
        <w:pStyle w:val="TOC3"/>
        <w:rPr>
          <w:rFonts w:asciiTheme="minorHAnsi" w:eastAsiaTheme="minorEastAsia" w:hAnsiTheme="minorHAnsi" w:cstheme="minorBidi"/>
          <w:sz w:val="22"/>
          <w:szCs w:val="22"/>
        </w:rPr>
      </w:pPr>
      <w:r>
        <w:t>7.5.5</w:t>
      </w:r>
      <w:r>
        <w:rPr>
          <w:rFonts w:asciiTheme="minorHAnsi" w:eastAsiaTheme="minorEastAsia" w:hAnsiTheme="minorHAnsi" w:cstheme="minorBidi"/>
          <w:sz w:val="22"/>
          <w:szCs w:val="22"/>
        </w:rPr>
        <w:tab/>
      </w:r>
      <w:r>
        <w:t>Minimum requirement for IAB-MT type 1-H</w:t>
      </w:r>
      <w:r>
        <w:tab/>
      </w:r>
      <w:r>
        <w:fldChar w:fldCharType="begin"/>
      </w:r>
      <w:r>
        <w:instrText xml:space="preserve"> PAGEREF _Toc106183962 \h </w:instrText>
      </w:r>
      <w:r>
        <w:fldChar w:fldCharType="separate"/>
      </w:r>
      <w:r>
        <w:t>73</w:t>
      </w:r>
      <w:r>
        <w:fldChar w:fldCharType="end"/>
      </w:r>
    </w:p>
    <w:p w14:paraId="59592B8A" w14:textId="3ECEBB03" w:rsidR="003C625C" w:rsidRDefault="003C625C">
      <w:pPr>
        <w:pStyle w:val="TOC3"/>
        <w:rPr>
          <w:rFonts w:asciiTheme="minorHAnsi" w:eastAsiaTheme="minorEastAsia" w:hAnsiTheme="minorHAnsi" w:cstheme="minorBidi"/>
          <w:sz w:val="22"/>
          <w:szCs w:val="22"/>
        </w:rPr>
      </w:pPr>
      <w:r>
        <w:t>7.5.6</w:t>
      </w:r>
      <w:r>
        <w:rPr>
          <w:rFonts w:asciiTheme="minorHAnsi" w:eastAsiaTheme="minorEastAsia" w:hAnsiTheme="minorHAnsi" w:cstheme="minorBidi"/>
          <w:sz w:val="22"/>
          <w:szCs w:val="22"/>
        </w:rPr>
        <w:tab/>
      </w:r>
      <w:r>
        <w:t xml:space="preserve">Co-location </w:t>
      </w:r>
      <w:r w:rsidRPr="00DD4EB8">
        <w:rPr>
          <w:lang w:val="en-US" w:eastAsia="zh-CN"/>
        </w:rPr>
        <w:t>minimum requirements</w:t>
      </w:r>
      <w:r>
        <w:t xml:space="preserve"> for </w:t>
      </w:r>
      <w:r w:rsidRPr="00DD4EB8">
        <w:rPr>
          <w:i/>
        </w:rPr>
        <w:t>IAB-MT type 1-H</w:t>
      </w:r>
      <w:r>
        <w:tab/>
      </w:r>
      <w:r>
        <w:fldChar w:fldCharType="begin"/>
      </w:r>
      <w:r>
        <w:instrText xml:space="preserve"> PAGEREF _Toc106183963 \h </w:instrText>
      </w:r>
      <w:r>
        <w:fldChar w:fldCharType="separate"/>
      </w:r>
      <w:r>
        <w:t>73</w:t>
      </w:r>
      <w:r>
        <w:fldChar w:fldCharType="end"/>
      </w:r>
    </w:p>
    <w:p w14:paraId="4CE83A14" w14:textId="4C5AE11B" w:rsidR="003C625C" w:rsidRDefault="003C625C">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Receiver spurious emissions</w:t>
      </w:r>
      <w:r>
        <w:tab/>
      </w:r>
      <w:r>
        <w:fldChar w:fldCharType="begin"/>
      </w:r>
      <w:r>
        <w:instrText xml:space="preserve"> PAGEREF _Toc106183964 \h </w:instrText>
      </w:r>
      <w:r>
        <w:fldChar w:fldCharType="separate"/>
      </w:r>
      <w:r>
        <w:t>74</w:t>
      </w:r>
      <w:r>
        <w:fldChar w:fldCharType="end"/>
      </w:r>
    </w:p>
    <w:p w14:paraId="0408EF28" w14:textId="6FD1DC08" w:rsidR="003C625C" w:rsidRDefault="003C625C">
      <w:pPr>
        <w:pStyle w:val="TOC3"/>
        <w:rPr>
          <w:rFonts w:asciiTheme="minorHAnsi" w:eastAsiaTheme="minorEastAsia" w:hAnsiTheme="minorHAnsi" w:cstheme="minorBidi"/>
          <w:sz w:val="22"/>
          <w:szCs w:val="22"/>
        </w:rPr>
      </w:pPr>
      <w:r>
        <w:t>7.6.1</w:t>
      </w:r>
      <w:r>
        <w:rPr>
          <w:rFonts w:asciiTheme="minorHAnsi" w:eastAsiaTheme="minorEastAsia" w:hAnsiTheme="minorHAnsi" w:cstheme="minorBidi"/>
          <w:sz w:val="22"/>
          <w:szCs w:val="22"/>
        </w:rPr>
        <w:tab/>
      </w:r>
      <w:r>
        <w:t>General</w:t>
      </w:r>
      <w:r>
        <w:tab/>
      </w:r>
      <w:r>
        <w:fldChar w:fldCharType="begin"/>
      </w:r>
      <w:r>
        <w:instrText xml:space="preserve"> PAGEREF _Toc106183965 \h </w:instrText>
      </w:r>
      <w:r>
        <w:fldChar w:fldCharType="separate"/>
      </w:r>
      <w:r>
        <w:t>74</w:t>
      </w:r>
      <w:r>
        <w:fldChar w:fldCharType="end"/>
      </w:r>
    </w:p>
    <w:p w14:paraId="65CB757F" w14:textId="42A170D1" w:rsidR="003C625C" w:rsidRDefault="003C625C">
      <w:pPr>
        <w:pStyle w:val="TOC3"/>
        <w:rPr>
          <w:rFonts w:asciiTheme="minorHAnsi" w:eastAsiaTheme="minorEastAsia" w:hAnsiTheme="minorHAnsi" w:cstheme="minorBidi"/>
          <w:sz w:val="22"/>
          <w:szCs w:val="22"/>
        </w:rPr>
      </w:pPr>
      <w:r>
        <w:t>7.6.2</w:t>
      </w:r>
      <w:r>
        <w:rPr>
          <w:rFonts w:asciiTheme="minorHAnsi" w:eastAsiaTheme="minorEastAsia" w:hAnsiTheme="minorHAnsi" w:cstheme="minorBidi"/>
          <w:sz w:val="22"/>
          <w:szCs w:val="22"/>
        </w:rPr>
        <w:tab/>
      </w:r>
      <w:r>
        <w:t>IAB-DU receiver spurious emissions</w:t>
      </w:r>
      <w:r>
        <w:tab/>
      </w:r>
      <w:r>
        <w:fldChar w:fldCharType="begin"/>
      </w:r>
      <w:r>
        <w:instrText xml:space="preserve"> PAGEREF _Toc106183966 \h </w:instrText>
      </w:r>
      <w:r>
        <w:fldChar w:fldCharType="separate"/>
      </w:r>
      <w:r>
        <w:t>75</w:t>
      </w:r>
      <w:r>
        <w:fldChar w:fldCharType="end"/>
      </w:r>
    </w:p>
    <w:p w14:paraId="49676A2B" w14:textId="69D11834" w:rsidR="003C625C" w:rsidRDefault="003C625C">
      <w:pPr>
        <w:pStyle w:val="TOC4"/>
        <w:rPr>
          <w:rFonts w:asciiTheme="minorHAnsi" w:eastAsiaTheme="minorEastAsia" w:hAnsiTheme="minorHAnsi" w:cstheme="minorBidi"/>
          <w:sz w:val="22"/>
          <w:szCs w:val="22"/>
        </w:rPr>
      </w:pPr>
      <w:r w:rsidRPr="00DD4EB8">
        <w:rPr>
          <w:rFonts w:eastAsia="SimSun"/>
        </w:rPr>
        <w:t>7.6.2</w:t>
      </w:r>
      <w:r>
        <w:t>.1</w:t>
      </w:r>
      <w:r>
        <w:rPr>
          <w:rFonts w:asciiTheme="minorHAnsi" w:eastAsiaTheme="minorEastAsia" w:hAnsiTheme="minorHAnsi" w:cstheme="minorBidi"/>
          <w:sz w:val="22"/>
          <w:szCs w:val="22"/>
        </w:rPr>
        <w:tab/>
      </w:r>
      <w:r w:rsidRPr="00DD4EB8">
        <w:rPr>
          <w:rFonts w:eastAsia="SimSun"/>
        </w:rPr>
        <w:t>Basic limits</w:t>
      </w:r>
      <w:r>
        <w:tab/>
      </w:r>
      <w:r>
        <w:fldChar w:fldCharType="begin"/>
      </w:r>
      <w:r>
        <w:instrText xml:space="preserve"> PAGEREF _Toc106183967 \h </w:instrText>
      </w:r>
      <w:r>
        <w:fldChar w:fldCharType="separate"/>
      </w:r>
      <w:r>
        <w:t>75</w:t>
      </w:r>
      <w:r>
        <w:fldChar w:fldCharType="end"/>
      </w:r>
    </w:p>
    <w:p w14:paraId="1F60D614" w14:textId="66E8C1DB" w:rsidR="003C625C" w:rsidRDefault="003C625C">
      <w:pPr>
        <w:pStyle w:val="TOC4"/>
        <w:rPr>
          <w:rFonts w:asciiTheme="minorHAnsi" w:eastAsiaTheme="minorEastAsia" w:hAnsiTheme="minorHAnsi" w:cstheme="minorBidi"/>
          <w:sz w:val="22"/>
          <w:szCs w:val="22"/>
        </w:rPr>
      </w:pPr>
      <w:r>
        <w:t>7.6.2.2</w:t>
      </w:r>
      <w:r>
        <w:rPr>
          <w:rFonts w:asciiTheme="minorHAnsi" w:eastAsiaTheme="minorEastAsia" w:hAnsiTheme="minorHAnsi" w:cstheme="minorBidi"/>
          <w:sz w:val="22"/>
          <w:szCs w:val="22"/>
        </w:rPr>
        <w:tab/>
      </w:r>
      <w:r>
        <w:t>Minimum requirement for IAB-DU type 1-H</w:t>
      </w:r>
      <w:r>
        <w:tab/>
      </w:r>
      <w:r>
        <w:fldChar w:fldCharType="begin"/>
      </w:r>
      <w:r>
        <w:instrText xml:space="preserve"> PAGEREF _Toc106183968 \h </w:instrText>
      </w:r>
      <w:r>
        <w:fldChar w:fldCharType="separate"/>
      </w:r>
      <w:r>
        <w:t>75</w:t>
      </w:r>
      <w:r>
        <w:fldChar w:fldCharType="end"/>
      </w:r>
    </w:p>
    <w:p w14:paraId="61018AAA" w14:textId="3D36A99F" w:rsidR="003C625C" w:rsidRDefault="003C625C">
      <w:pPr>
        <w:pStyle w:val="TOC3"/>
        <w:rPr>
          <w:rFonts w:asciiTheme="minorHAnsi" w:eastAsiaTheme="minorEastAsia" w:hAnsiTheme="minorHAnsi" w:cstheme="minorBidi"/>
          <w:sz w:val="22"/>
          <w:szCs w:val="22"/>
        </w:rPr>
      </w:pPr>
      <w:r>
        <w:t>7.6.3</w:t>
      </w:r>
      <w:r>
        <w:rPr>
          <w:rFonts w:asciiTheme="minorHAnsi" w:eastAsiaTheme="minorEastAsia" w:hAnsiTheme="minorHAnsi" w:cstheme="minorBidi"/>
          <w:sz w:val="22"/>
          <w:szCs w:val="22"/>
        </w:rPr>
        <w:tab/>
      </w:r>
      <w:r>
        <w:t>IAB-MT receiver spurious emissions</w:t>
      </w:r>
      <w:r>
        <w:tab/>
      </w:r>
      <w:r>
        <w:fldChar w:fldCharType="begin"/>
      </w:r>
      <w:r>
        <w:instrText xml:space="preserve"> PAGEREF _Toc106183969 \h </w:instrText>
      </w:r>
      <w:r>
        <w:fldChar w:fldCharType="separate"/>
      </w:r>
      <w:r>
        <w:t>75</w:t>
      </w:r>
      <w:r>
        <w:fldChar w:fldCharType="end"/>
      </w:r>
    </w:p>
    <w:p w14:paraId="13318DF4" w14:textId="651D4618" w:rsidR="003C625C" w:rsidRDefault="003C625C">
      <w:pPr>
        <w:pStyle w:val="TOC4"/>
        <w:rPr>
          <w:rFonts w:asciiTheme="minorHAnsi" w:eastAsiaTheme="minorEastAsia" w:hAnsiTheme="minorHAnsi" w:cstheme="minorBidi"/>
          <w:sz w:val="22"/>
          <w:szCs w:val="22"/>
        </w:rPr>
      </w:pPr>
      <w:r>
        <w:t>7.6.3.1</w:t>
      </w:r>
      <w:r>
        <w:rPr>
          <w:rFonts w:asciiTheme="minorHAnsi" w:eastAsiaTheme="minorEastAsia" w:hAnsiTheme="minorHAnsi" w:cstheme="minorBidi"/>
          <w:sz w:val="22"/>
          <w:szCs w:val="22"/>
        </w:rPr>
        <w:tab/>
      </w:r>
      <w:r>
        <w:t>Basic limits</w:t>
      </w:r>
      <w:r>
        <w:tab/>
      </w:r>
      <w:r>
        <w:fldChar w:fldCharType="begin"/>
      </w:r>
      <w:r>
        <w:instrText xml:space="preserve"> PAGEREF _Toc106183970 \h </w:instrText>
      </w:r>
      <w:r>
        <w:fldChar w:fldCharType="separate"/>
      </w:r>
      <w:r>
        <w:t>75</w:t>
      </w:r>
      <w:r>
        <w:fldChar w:fldCharType="end"/>
      </w:r>
    </w:p>
    <w:p w14:paraId="6F1F7638" w14:textId="1BA7B01D" w:rsidR="003C625C" w:rsidRDefault="003C625C">
      <w:pPr>
        <w:pStyle w:val="TOC4"/>
        <w:rPr>
          <w:rFonts w:asciiTheme="minorHAnsi" w:eastAsiaTheme="minorEastAsia" w:hAnsiTheme="minorHAnsi" w:cstheme="minorBidi"/>
          <w:sz w:val="22"/>
          <w:szCs w:val="22"/>
        </w:rPr>
      </w:pPr>
      <w:r>
        <w:t>7.6.3.2</w:t>
      </w:r>
      <w:r>
        <w:rPr>
          <w:rFonts w:asciiTheme="minorHAnsi" w:eastAsiaTheme="minorEastAsia" w:hAnsiTheme="minorHAnsi" w:cstheme="minorBidi"/>
          <w:sz w:val="22"/>
          <w:szCs w:val="22"/>
        </w:rPr>
        <w:tab/>
      </w:r>
      <w:r>
        <w:t>Minimum requirement for IAB-MT type 1-H</w:t>
      </w:r>
      <w:r>
        <w:tab/>
      </w:r>
      <w:r>
        <w:fldChar w:fldCharType="begin"/>
      </w:r>
      <w:r>
        <w:instrText xml:space="preserve"> PAGEREF _Toc106183971 \h </w:instrText>
      </w:r>
      <w:r>
        <w:fldChar w:fldCharType="separate"/>
      </w:r>
      <w:r>
        <w:t>76</w:t>
      </w:r>
      <w:r>
        <w:fldChar w:fldCharType="end"/>
      </w:r>
    </w:p>
    <w:p w14:paraId="25074578" w14:textId="5C8DFCF4" w:rsidR="003C625C" w:rsidRDefault="003C625C">
      <w:pPr>
        <w:pStyle w:val="TOC2"/>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Receiver intermodulation</w:t>
      </w:r>
      <w:r>
        <w:tab/>
      </w:r>
      <w:r>
        <w:fldChar w:fldCharType="begin"/>
      </w:r>
      <w:r>
        <w:instrText xml:space="preserve"> PAGEREF _Toc106183972 \h </w:instrText>
      </w:r>
      <w:r>
        <w:fldChar w:fldCharType="separate"/>
      </w:r>
      <w:r>
        <w:t>76</w:t>
      </w:r>
      <w:r>
        <w:fldChar w:fldCharType="end"/>
      </w:r>
    </w:p>
    <w:p w14:paraId="2300E1A4" w14:textId="6F7DC2FF" w:rsidR="003C625C" w:rsidRDefault="003C625C">
      <w:pPr>
        <w:pStyle w:val="TOC3"/>
        <w:rPr>
          <w:rFonts w:asciiTheme="minorHAnsi" w:eastAsiaTheme="minorEastAsia" w:hAnsiTheme="minorHAnsi" w:cstheme="minorBidi"/>
          <w:sz w:val="22"/>
          <w:szCs w:val="22"/>
        </w:rPr>
      </w:pPr>
      <w:r>
        <w:t>7.7.</w:t>
      </w:r>
      <w:r w:rsidRPr="00DD4EB8">
        <w:rPr>
          <w:rFonts w:eastAsia="SimSun"/>
          <w:lang w:val="en-US" w:eastAsia="zh-CN"/>
        </w:rPr>
        <w:t>1</w:t>
      </w:r>
      <w:r>
        <w:rPr>
          <w:rFonts w:asciiTheme="minorHAnsi" w:eastAsiaTheme="minorEastAsia" w:hAnsiTheme="minorHAnsi" w:cstheme="minorBidi"/>
          <w:sz w:val="22"/>
          <w:szCs w:val="22"/>
        </w:rPr>
        <w:tab/>
      </w:r>
      <w:r w:rsidRPr="00DD4EB8">
        <w:rPr>
          <w:rFonts w:eastAsia="SimSun"/>
          <w:lang w:val="en-US" w:eastAsia="zh-CN"/>
        </w:rPr>
        <w:t>General</w:t>
      </w:r>
      <w:r>
        <w:tab/>
      </w:r>
      <w:r>
        <w:fldChar w:fldCharType="begin"/>
      </w:r>
      <w:r>
        <w:instrText xml:space="preserve"> PAGEREF _Toc106183973 \h </w:instrText>
      </w:r>
      <w:r>
        <w:fldChar w:fldCharType="separate"/>
      </w:r>
      <w:r>
        <w:t>76</w:t>
      </w:r>
      <w:r>
        <w:fldChar w:fldCharType="end"/>
      </w:r>
    </w:p>
    <w:p w14:paraId="73DD0A45" w14:textId="0AAA7E3E" w:rsidR="003C625C" w:rsidRDefault="003C625C">
      <w:pPr>
        <w:pStyle w:val="TOC3"/>
        <w:rPr>
          <w:rFonts w:asciiTheme="minorHAnsi" w:eastAsiaTheme="minorEastAsia" w:hAnsiTheme="minorHAnsi" w:cstheme="minorBidi"/>
          <w:sz w:val="22"/>
          <w:szCs w:val="22"/>
        </w:rPr>
      </w:pPr>
      <w:r>
        <w:t>7.7.2</w:t>
      </w:r>
      <w:r>
        <w:rPr>
          <w:rFonts w:asciiTheme="minorHAnsi" w:eastAsiaTheme="minorEastAsia" w:hAnsiTheme="minorHAnsi" w:cstheme="minorBidi"/>
          <w:sz w:val="22"/>
          <w:szCs w:val="22"/>
        </w:rPr>
        <w:tab/>
      </w:r>
      <w:r w:rsidRPr="00DD4EB8">
        <w:rPr>
          <w:rFonts w:eastAsia="SimSun"/>
          <w:lang w:val="en-US" w:eastAsia="zh-CN"/>
        </w:rPr>
        <w:t xml:space="preserve">Minimum requirement for </w:t>
      </w:r>
      <w:r w:rsidRPr="00DD4EB8">
        <w:rPr>
          <w:i/>
          <w:iCs/>
        </w:rPr>
        <w:t>IAB-DU</w:t>
      </w:r>
      <w:r w:rsidRPr="00DD4EB8">
        <w:rPr>
          <w:rFonts w:eastAsia="SimSun"/>
          <w:i/>
          <w:iCs/>
          <w:lang w:val="en-US" w:eastAsia="zh-CN"/>
        </w:rPr>
        <w:t xml:space="preserve"> type 1-H</w:t>
      </w:r>
      <w:r>
        <w:tab/>
      </w:r>
      <w:r>
        <w:fldChar w:fldCharType="begin"/>
      </w:r>
      <w:r>
        <w:instrText xml:space="preserve"> PAGEREF _Toc106183974 \h </w:instrText>
      </w:r>
      <w:r>
        <w:fldChar w:fldCharType="separate"/>
      </w:r>
      <w:r>
        <w:t>76</w:t>
      </w:r>
      <w:r>
        <w:fldChar w:fldCharType="end"/>
      </w:r>
    </w:p>
    <w:p w14:paraId="01DFF407" w14:textId="31F0D048" w:rsidR="003C625C" w:rsidRDefault="003C625C">
      <w:pPr>
        <w:pStyle w:val="TOC3"/>
        <w:rPr>
          <w:rFonts w:asciiTheme="minorHAnsi" w:eastAsiaTheme="minorEastAsia" w:hAnsiTheme="minorHAnsi" w:cstheme="minorBidi"/>
          <w:sz w:val="22"/>
          <w:szCs w:val="22"/>
        </w:rPr>
      </w:pPr>
      <w:r>
        <w:t>7.7.3</w:t>
      </w:r>
      <w:r>
        <w:rPr>
          <w:rFonts w:asciiTheme="minorHAnsi" w:eastAsiaTheme="minorEastAsia" w:hAnsiTheme="minorHAnsi" w:cstheme="minorBidi"/>
          <w:sz w:val="22"/>
          <w:szCs w:val="22"/>
        </w:rPr>
        <w:tab/>
      </w:r>
      <w:r w:rsidRPr="00DD4EB8">
        <w:rPr>
          <w:rFonts w:eastAsia="SimSun"/>
          <w:lang w:val="en-US" w:eastAsia="zh-CN"/>
        </w:rPr>
        <w:t>Minimum requirement for</w:t>
      </w:r>
      <w:r w:rsidRPr="00DD4EB8">
        <w:rPr>
          <w:rFonts w:eastAsia="SimSun"/>
          <w:i/>
          <w:iCs/>
          <w:lang w:val="en-US" w:eastAsia="zh-CN"/>
        </w:rPr>
        <w:t xml:space="preserve"> </w:t>
      </w:r>
      <w:r w:rsidRPr="00DD4EB8">
        <w:rPr>
          <w:i/>
          <w:iCs/>
        </w:rPr>
        <w:t>IAB-MT</w:t>
      </w:r>
      <w:r w:rsidRPr="00DD4EB8">
        <w:rPr>
          <w:rFonts w:eastAsia="SimSun"/>
          <w:i/>
          <w:iCs/>
          <w:lang w:val="en-US" w:eastAsia="zh-CN"/>
        </w:rPr>
        <w:t xml:space="preserve"> type 1-H</w:t>
      </w:r>
      <w:r>
        <w:tab/>
      </w:r>
      <w:r>
        <w:fldChar w:fldCharType="begin"/>
      </w:r>
      <w:r>
        <w:instrText xml:space="preserve"> PAGEREF _Toc106183975 \h </w:instrText>
      </w:r>
      <w:r>
        <w:fldChar w:fldCharType="separate"/>
      </w:r>
      <w:r>
        <w:t>77</w:t>
      </w:r>
      <w:r>
        <w:fldChar w:fldCharType="end"/>
      </w:r>
    </w:p>
    <w:p w14:paraId="07A166DF" w14:textId="1153CD1E" w:rsidR="003C625C" w:rsidRDefault="003C625C">
      <w:pPr>
        <w:pStyle w:val="TOC2"/>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t>In-channel selectivity</w:t>
      </w:r>
      <w:r>
        <w:tab/>
      </w:r>
      <w:r>
        <w:fldChar w:fldCharType="begin"/>
      </w:r>
      <w:r>
        <w:instrText xml:space="preserve"> PAGEREF _Toc106183976 \h </w:instrText>
      </w:r>
      <w:r>
        <w:fldChar w:fldCharType="separate"/>
      </w:r>
      <w:r>
        <w:t>77</w:t>
      </w:r>
      <w:r>
        <w:fldChar w:fldCharType="end"/>
      </w:r>
    </w:p>
    <w:p w14:paraId="55F42093" w14:textId="7B7B9F3E" w:rsidR="003C625C" w:rsidRDefault="003C625C">
      <w:pPr>
        <w:pStyle w:val="TOC3"/>
        <w:rPr>
          <w:rFonts w:asciiTheme="minorHAnsi" w:eastAsiaTheme="minorEastAsia" w:hAnsiTheme="minorHAnsi" w:cstheme="minorBidi"/>
          <w:sz w:val="22"/>
          <w:szCs w:val="22"/>
        </w:rPr>
      </w:pPr>
      <w:r w:rsidRPr="00DD4EB8">
        <w:rPr>
          <w:rFonts w:eastAsia="SimSun"/>
          <w:lang w:val="en-US" w:eastAsia="zh-CN"/>
        </w:rPr>
        <w:t>7</w:t>
      </w:r>
      <w:r>
        <w:t>.</w:t>
      </w:r>
      <w:r w:rsidRPr="00DD4EB8">
        <w:rPr>
          <w:rFonts w:eastAsia="SimSun"/>
          <w:lang w:val="en-US" w:eastAsia="zh-CN"/>
        </w:rPr>
        <w:t>8</w:t>
      </w:r>
      <w:r>
        <w:t>.1</w:t>
      </w:r>
      <w:r>
        <w:rPr>
          <w:rFonts w:asciiTheme="minorHAnsi" w:eastAsiaTheme="minorEastAsia" w:hAnsiTheme="minorHAnsi" w:cstheme="minorBidi"/>
          <w:sz w:val="22"/>
          <w:szCs w:val="22"/>
        </w:rPr>
        <w:tab/>
      </w:r>
      <w:r w:rsidRPr="00DD4EB8">
        <w:rPr>
          <w:rFonts w:eastAsia="SimSun"/>
          <w:lang w:val="en-US" w:eastAsia="zh-CN"/>
        </w:rPr>
        <w:t>General</w:t>
      </w:r>
      <w:r>
        <w:tab/>
      </w:r>
      <w:r>
        <w:fldChar w:fldCharType="begin"/>
      </w:r>
      <w:r>
        <w:instrText xml:space="preserve"> PAGEREF _Toc106183977 \h </w:instrText>
      </w:r>
      <w:r>
        <w:fldChar w:fldCharType="separate"/>
      </w:r>
      <w:r>
        <w:t>77</w:t>
      </w:r>
      <w:r>
        <w:fldChar w:fldCharType="end"/>
      </w:r>
    </w:p>
    <w:p w14:paraId="119294A4" w14:textId="678344A7" w:rsidR="003C625C" w:rsidRDefault="003C625C">
      <w:pPr>
        <w:pStyle w:val="TOC3"/>
        <w:rPr>
          <w:rFonts w:asciiTheme="minorHAnsi" w:eastAsiaTheme="minorEastAsia" w:hAnsiTheme="minorHAnsi" w:cstheme="minorBidi"/>
          <w:sz w:val="22"/>
          <w:szCs w:val="22"/>
        </w:rPr>
      </w:pPr>
      <w:r w:rsidRPr="00DD4EB8">
        <w:rPr>
          <w:rFonts w:eastAsia="SimSun"/>
          <w:lang w:val="en-US" w:eastAsia="zh-CN"/>
        </w:rPr>
        <w:t>7</w:t>
      </w:r>
      <w:r>
        <w:t>.</w:t>
      </w:r>
      <w:r w:rsidRPr="00DD4EB8">
        <w:rPr>
          <w:rFonts w:eastAsia="SimSun"/>
          <w:lang w:val="en-US" w:eastAsia="zh-CN"/>
        </w:rPr>
        <w:t>8</w:t>
      </w:r>
      <w:r>
        <w:t>.</w:t>
      </w:r>
      <w:r w:rsidRPr="00DD4EB8">
        <w:rPr>
          <w:rFonts w:eastAsia="SimSun"/>
          <w:lang w:val="en-US" w:eastAsia="zh-CN"/>
        </w:rPr>
        <w:t>2</w:t>
      </w:r>
      <w:r>
        <w:rPr>
          <w:rFonts w:asciiTheme="minorHAnsi" w:eastAsiaTheme="minorEastAsia" w:hAnsiTheme="minorHAnsi" w:cstheme="minorBidi"/>
          <w:sz w:val="22"/>
          <w:szCs w:val="22"/>
        </w:rPr>
        <w:tab/>
      </w:r>
      <w:r w:rsidRPr="00DD4EB8">
        <w:rPr>
          <w:rFonts w:eastAsia="SimSun"/>
          <w:lang w:val="en-US" w:eastAsia="zh-CN"/>
        </w:rPr>
        <w:t xml:space="preserve">Minimum requirement for </w:t>
      </w:r>
      <w:r w:rsidRPr="00DD4EB8">
        <w:rPr>
          <w:rFonts w:eastAsia="SimSun"/>
          <w:i/>
          <w:iCs/>
          <w:lang w:val="en-US" w:eastAsia="zh-CN"/>
        </w:rPr>
        <w:t xml:space="preserve">IAB-DU </w:t>
      </w:r>
      <w:r w:rsidRPr="00DD4EB8">
        <w:rPr>
          <w:rFonts w:eastAsia="SimSun"/>
          <w:i/>
          <w:iCs/>
          <w:lang w:eastAsia="zh-CN"/>
        </w:rPr>
        <w:t>type</w:t>
      </w:r>
      <w:r w:rsidRPr="00DD4EB8">
        <w:rPr>
          <w:rFonts w:eastAsia="SimSun"/>
          <w:i/>
          <w:lang w:eastAsia="zh-CN"/>
        </w:rPr>
        <w:t xml:space="preserve"> 1-H</w:t>
      </w:r>
      <w:r>
        <w:tab/>
      </w:r>
      <w:r>
        <w:fldChar w:fldCharType="begin"/>
      </w:r>
      <w:r>
        <w:instrText xml:space="preserve"> PAGEREF _Toc106183978 \h </w:instrText>
      </w:r>
      <w:r>
        <w:fldChar w:fldCharType="separate"/>
      </w:r>
      <w:r>
        <w:t>77</w:t>
      </w:r>
      <w:r>
        <w:fldChar w:fldCharType="end"/>
      </w:r>
    </w:p>
    <w:p w14:paraId="3F5D1BB0" w14:textId="7FDB8E4A" w:rsidR="003C625C" w:rsidRDefault="003C625C">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Conducted performance requirements</w:t>
      </w:r>
      <w:r>
        <w:tab/>
      </w:r>
      <w:r>
        <w:fldChar w:fldCharType="begin"/>
      </w:r>
      <w:r>
        <w:instrText xml:space="preserve"> PAGEREF _Toc106183979 \h </w:instrText>
      </w:r>
      <w:r>
        <w:fldChar w:fldCharType="separate"/>
      </w:r>
      <w:r>
        <w:t>77</w:t>
      </w:r>
      <w:r>
        <w:fldChar w:fldCharType="end"/>
      </w:r>
    </w:p>
    <w:p w14:paraId="71FC0D0B" w14:textId="6746AE8F" w:rsidR="003C625C" w:rsidRDefault="003C625C">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IAB-DU performance requirements</w:t>
      </w:r>
      <w:r>
        <w:tab/>
      </w:r>
      <w:r>
        <w:fldChar w:fldCharType="begin"/>
      </w:r>
      <w:r>
        <w:instrText xml:space="preserve"> PAGEREF _Toc106183980 \h </w:instrText>
      </w:r>
      <w:r>
        <w:fldChar w:fldCharType="separate"/>
      </w:r>
      <w:r>
        <w:t>77</w:t>
      </w:r>
      <w:r>
        <w:fldChar w:fldCharType="end"/>
      </w:r>
    </w:p>
    <w:p w14:paraId="6D8D6497" w14:textId="5363A59C" w:rsidR="003C625C" w:rsidRDefault="003C625C">
      <w:pPr>
        <w:pStyle w:val="TOC3"/>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t>General</w:t>
      </w:r>
      <w:r>
        <w:tab/>
      </w:r>
      <w:r>
        <w:fldChar w:fldCharType="begin"/>
      </w:r>
      <w:r>
        <w:instrText xml:space="preserve"> PAGEREF _Toc106183981 \h </w:instrText>
      </w:r>
      <w:r>
        <w:fldChar w:fldCharType="separate"/>
      </w:r>
      <w:r>
        <w:t>77</w:t>
      </w:r>
      <w:r>
        <w:fldChar w:fldCharType="end"/>
      </w:r>
    </w:p>
    <w:p w14:paraId="6458EFF6" w14:textId="50D8C050" w:rsidR="003C625C" w:rsidRDefault="003C625C">
      <w:pPr>
        <w:pStyle w:val="TOC3"/>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t>Performance requirements for PUSCH</w:t>
      </w:r>
      <w:r>
        <w:tab/>
      </w:r>
      <w:r>
        <w:fldChar w:fldCharType="begin"/>
      </w:r>
      <w:r>
        <w:instrText xml:space="preserve"> PAGEREF _Toc106183982 \h </w:instrText>
      </w:r>
      <w:r>
        <w:fldChar w:fldCharType="separate"/>
      </w:r>
      <w:r>
        <w:t>78</w:t>
      </w:r>
      <w:r>
        <w:fldChar w:fldCharType="end"/>
      </w:r>
    </w:p>
    <w:p w14:paraId="42FA9AFE" w14:textId="31931EDF" w:rsidR="003C625C" w:rsidRDefault="003C625C">
      <w:pPr>
        <w:pStyle w:val="TOC4"/>
        <w:rPr>
          <w:rFonts w:asciiTheme="minorHAnsi" w:eastAsiaTheme="minorEastAsia" w:hAnsiTheme="minorHAnsi" w:cstheme="minorBidi"/>
          <w:sz w:val="22"/>
          <w:szCs w:val="22"/>
        </w:rPr>
      </w:pPr>
      <w:r w:rsidRPr="00DD4EB8">
        <w:rPr>
          <w:rFonts w:eastAsia="Malgun Gothic"/>
        </w:rPr>
        <w:t>8.1.2.1</w:t>
      </w:r>
      <w:r>
        <w:rPr>
          <w:rFonts w:asciiTheme="minorHAnsi" w:eastAsiaTheme="minorEastAsia" w:hAnsiTheme="minorHAnsi" w:cstheme="minorBidi"/>
          <w:sz w:val="22"/>
          <w:szCs w:val="22"/>
        </w:rPr>
        <w:tab/>
      </w:r>
      <w:r w:rsidRPr="00DD4EB8">
        <w:rPr>
          <w:rFonts w:eastAsia="Malgun Gothic"/>
        </w:rPr>
        <w:t>Requirements for PUSCH with transform precoding disabled</w:t>
      </w:r>
      <w:r>
        <w:tab/>
      </w:r>
      <w:r>
        <w:fldChar w:fldCharType="begin"/>
      </w:r>
      <w:r>
        <w:instrText xml:space="preserve"> PAGEREF _Toc106183983 \h </w:instrText>
      </w:r>
      <w:r>
        <w:fldChar w:fldCharType="separate"/>
      </w:r>
      <w:r>
        <w:t>78</w:t>
      </w:r>
      <w:r>
        <w:fldChar w:fldCharType="end"/>
      </w:r>
    </w:p>
    <w:p w14:paraId="2318C7F5" w14:textId="7A53C130" w:rsidR="003C625C" w:rsidRDefault="003C625C">
      <w:pPr>
        <w:pStyle w:val="TOC5"/>
        <w:rPr>
          <w:rFonts w:asciiTheme="minorHAnsi" w:eastAsiaTheme="minorEastAsia" w:hAnsiTheme="minorHAnsi" w:cstheme="minorBidi"/>
          <w:sz w:val="22"/>
          <w:szCs w:val="22"/>
        </w:rPr>
      </w:pPr>
      <w:r>
        <w:t>8.1.2.1.1</w:t>
      </w:r>
      <w:r>
        <w:rPr>
          <w:rFonts w:asciiTheme="minorHAnsi" w:eastAsiaTheme="minorEastAsia" w:hAnsiTheme="minorHAnsi" w:cstheme="minorBidi"/>
          <w:sz w:val="22"/>
          <w:szCs w:val="22"/>
        </w:rPr>
        <w:tab/>
      </w:r>
      <w:r>
        <w:t>General</w:t>
      </w:r>
      <w:r>
        <w:tab/>
      </w:r>
      <w:r>
        <w:fldChar w:fldCharType="begin"/>
      </w:r>
      <w:r>
        <w:instrText xml:space="preserve"> PAGEREF _Toc106183984 \h </w:instrText>
      </w:r>
      <w:r>
        <w:fldChar w:fldCharType="separate"/>
      </w:r>
      <w:r>
        <w:t>78</w:t>
      </w:r>
      <w:r>
        <w:fldChar w:fldCharType="end"/>
      </w:r>
    </w:p>
    <w:p w14:paraId="08BBD900" w14:textId="5AF78BA2" w:rsidR="003C625C" w:rsidRDefault="003C625C">
      <w:pPr>
        <w:pStyle w:val="TOC5"/>
        <w:rPr>
          <w:rFonts w:asciiTheme="minorHAnsi" w:eastAsiaTheme="minorEastAsia" w:hAnsiTheme="minorHAnsi" w:cstheme="minorBidi"/>
          <w:sz w:val="22"/>
          <w:szCs w:val="22"/>
        </w:rPr>
      </w:pPr>
      <w:r>
        <w:t>8.1.2.1.</w:t>
      </w:r>
      <w:r>
        <w:rPr>
          <w:rFonts w:asciiTheme="minorHAnsi" w:eastAsiaTheme="minorEastAsia" w:hAnsiTheme="minorHAnsi" w:cstheme="minorBidi"/>
          <w:sz w:val="22"/>
          <w:szCs w:val="22"/>
        </w:rPr>
        <w:tab/>
      </w:r>
      <w:r>
        <w:t>Minimum requirements</w:t>
      </w:r>
      <w:r>
        <w:tab/>
      </w:r>
      <w:r>
        <w:fldChar w:fldCharType="begin"/>
      </w:r>
      <w:r>
        <w:instrText xml:space="preserve"> PAGEREF _Toc106183985 \h </w:instrText>
      </w:r>
      <w:r>
        <w:fldChar w:fldCharType="separate"/>
      </w:r>
      <w:r>
        <w:t>78</w:t>
      </w:r>
      <w:r>
        <w:fldChar w:fldCharType="end"/>
      </w:r>
    </w:p>
    <w:p w14:paraId="2980840F" w14:textId="12A2CB87" w:rsidR="003C625C" w:rsidRDefault="003C625C">
      <w:pPr>
        <w:pStyle w:val="TOC4"/>
        <w:rPr>
          <w:rFonts w:asciiTheme="minorHAnsi" w:eastAsiaTheme="minorEastAsia" w:hAnsiTheme="minorHAnsi" w:cstheme="minorBidi"/>
          <w:sz w:val="22"/>
          <w:szCs w:val="22"/>
        </w:rPr>
      </w:pPr>
      <w:r w:rsidRPr="00DD4EB8">
        <w:rPr>
          <w:rFonts w:eastAsia="Malgun Gothic"/>
        </w:rPr>
        <w:t>8.1.2.2</w:t>
      </w:r>
      <w:r>
        <w:rPr>
          <w:rFonts w:asciiTheme="minorHAnsi" w:eastAsiaTheme="minorEastAsia" w:hAnsiTheme="minorHAnsi" w:cstheme="minorBidi"/>
          <w:sz w:val="22"/>
          <w:szCs w:val="22"/>
        </w:rPr>
        <w:tab/>
      </w:r>
      <w:r w:rsidRPr="00DD4EB8">
        <w:rPr>
          <w:rFonts w:eastAsia="Malgun Gothic"/>
        </w:rPr>
        <w:t>Requirements for PUSCH with transform precoding enabled</w:t>
      </w:r>
      <w:r>
        <w:tab/>
      </w:r>
      <w:r>
        <w:fldChar w:fldCharType="begin"/>
      </w:r>
      <w:r>
        <w:instrText xml:space="preserve"> PAGEREF _Toc106183986 \h </w:instrText>
      </w:r>
      <w:r>
        <w:fldChar w:fldCharType="separate"/>
      </w:r>
      <w:r>
        <w:t>85</w:t>
      </w:r>
      <w:r>
        <w:fldChar w:fldCharType="end"/>
      </w:r>
    </w:p>
    <w:p w14:paraId="4256E99F" w14:textId="327C049D" w:rsidR="003C625C" w:rsidRDefault="003C625C">
      <w:pPr>
        <w:pStyle w:val="TOC5"/>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General</w:t>
      </w:r>
      <w:r>
        <w:tab/>
      </w:r>
      <w:r>
        <w:fldChar w:fldCharType="begin"/>
      </w:r>
      <w:r>
        <w:instrText xml:space="preserve"> PAGEREF _Toc106183987 \h </w:instrText>
      </w:r>
      <w:r>
        <w:fldChar w:fldCharType="separate"/>
      </w:r>
      <w:r>
        <w:t>85</w:t>
      </w:r>
      <w:r>
        <w:fldChar w:fldCharType="end"/>
      </w:r>
    </w:p>
    <w:p w14:paraId="1B4D5F1E" w14:textId="36732242" w:rsidR="003C625C" w:rsidRDefault="003C625C">
      <w:pPr>
        <w:pStyle w:val="TOC5"/>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Minimum requirements</w:t>
      </w:r>
      <w:r>
        <w:tab/>
      </w:r>
      <w:r>
        <w:fldChar w:fldCharType="begin"/>
      </w:r>
      <w:r>
        <w:instrText xml:space="preserve"> PAGEREF _Toc106183988 \h </w:instrText>
      </w:r>
      <w:r>
        <w:fldChar w:fldCharType="separate"/>
      </w:r>
      <w:r>
        <w:t>86</w:t>
      </w:r>
      <w:r>
        <w:fldChar w:fldCharType="end"/>
      </w:r>
    </w:p>
    <w:p w14:paraId="0246BA06" w14:textId="64E8577E" w:rsidR="003C625C" w:rsidRDefault="003C625C">
      <w:pPr>
        <w:pStyle w:val="TOC4"/>
        <w:rPr>
          <w:rFonts w:asciiTheme="minorHAnsi" w:eastAsiaTheme="minorEastAsia" w:hAnsiTheme="minorHAnsi" w:cstheme="minorBidi"/>
          <w:sz w:val="22"/>
          <w:szCs w:val="22"/>
        </w:rPr>
      </w:pPr>
      <w:r w:rsidRPr="00DD4EB8">
        <w:rPr>
          <w:rFonts w:eastAsia="Malgun Gothic"/>
        </w:rPr>
        <w:lastRenderedPageBreak/>
        <w:t>8.1.2.3</w:t>
      </w:r>
      <w:r>
        <w:rPr>
          <w:rFonts w:asciiTheme="minorHAnsi" w:eastAsiaTheme="minorEastAsia" w:hAnsiTheme="minorHAnsi" w:cstheme="minorBidi"/>
          <w:sz w:val="22"/>
          <w:szCs w:val="22"/>
        </w:rPr>
        <w:tab/>
      </w:r>
      <w:r w:rsidRPr="00DD4EB8">
        <w:rPr>
          <w:rFonts w:eastAsia="Malgun Gothic"/>
        </w:rPr>
        <w:t>Requirements for UCI multiplexed on PUSCH</w:t>
      </w:r>
      <w:r>
        <w:tab/>
      </w:r>
      <w:r>
        <w:fldChar w:fldCharType="begin"/>
      </w:r>
      <w:r>
        <w:instrText xml:space="preserve"> PAGEREF _Toc106183989 \h </w:instrText>
      </w:r>
      <w:r>
        <w:fldChar w:fldCharType="separate"/>
      </w:r>
      <w:r>
        <w:t>87</w:t>
      </w:r>
      <w:r>
        <w:fldChar w:fldCharType="end"/>
      </w:r>
    </w:p>
    <w:p w14:paraId="6E5B2D87" w14:textId="6CB810A8" w:rsidR="003C625C" w:rsidRDefault="003C625C">
      <w:pPr>
        <w:pStyle w:val="TOC5"/>
        <w:rPr>
          <w:rFonts w:asciiTheme="minorHAnsi" w:eastAsiaTheme="minorEastAsia" w:hAnsiTheme="minorHAnsi" w:cstheme="minorBidi"/>
          <w:sz w:val="22"/>
          <w:szCs w:val="22"/>
        </w:rPr>
      </w:pPr>
      <w:r>
        <w:t>8.1.2.3.1</w:t>
      </w:r>
      <w:r>
        <w:rPr>
          <w:rFonts w:asciiTheme="minorHAnsi" w:eastAsiaTheme="minorEastAsia" w:hAnsiTheme="minorHAnsi" w:cstheme="minorBidi"/>
          <w:sz w:val="22"/>
          <w:szCs w:val="22"/>
        </w:rPr>
        <w:tab/>
      </w:r>
      <w:r>
        <w:t>General</w:t>
      </w:r>
      <w:r>
        <w:tab/>
      </w:r>
      <w:r>
        <w:fldChar w:fldCharType="begin"/>
      </w:r>
      <w:r>
        <w:instrText xml:space="preserve"> PAGEREF _Toc106183990 \h </w:instrText>
      </w:r>
      <w:r>
        <w:fldChar w:fldCharType="separate"/>
      </w:r>
      <w:r>
        <w:t>87</w:t>
      </w:r>
      <w:r>
        <w:fldChar w:fldCharType="end"/>
      </w:r>
    </w:p>
    <w:p w14:paraId="3AEE7A79" w14:textId="0A366F7F" w:rsidR="003C625C" w:rsidRDefault="003C625C">
      <w:pPr>
        <w:pStyle w:val="TOC5"/>
        <w:rPr>
          <w:rFonts w:asciiTheme="minorHAnsi" w:eastAsiaTheme="minorEastAsia" w:hAnsiTheme="minorHAnsi" w:cstheme="minorBidi"/>
          <w:sz w:val="22"/>
          <w:szCs w:val="22"/>
        </w:rPr>
      </w:pPr>
      <w:r>
        <w:t>8.1.2.3.2</w:t>
      </w:r>
      <w:r>
        <w:rPr>
          <w:rFonts w:asciiTheme="minorHAnsi" w:eastAsiaTheme="minorEastAsia" w:hAnsiTheme="minorHAnsi" w:cstheme="minorBidi"/>
          <w:sz w:val="22"/>
          <w:szCs w:val="22"/>
        </w:rPr>
        <w:tab/>
      </w:r>
      <w:r>
        <w:t>Minimum requirements</w:t>
      </w:r>
      <w:r>
        <w:tab/>
      </w:r>
      <w:r>
        <w:fldChar w:fldCharType="begin"/>
      </w:r>
      <w:r>
        <w:instrText xml:space="preserve"> PAGEREF _Toc106183991 \h </w:instrText>
      </w:r>
      <w:r>
        <w:fldChar w:fldCharType="separate"/>
      </w:r>
      <w:r>
        <w:t>88</w:t>
      </w:r>
      <w:r>
        <w:fldChar w:fldCharType="end"/>
      </w:r>
    </w:p>
    <w:p w14:paraId="69DD4A0C" w14:textId="3903FE34" w:rsidR="003C625C" w:rsidRDefault="003C625C">
      <w:pPr>
        <w:pStyle w:val="TOC3"/>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Performance requirements for PUCCH</w:t>
      </w:r>
      <w:r>
        <w:tab/>
      </w:r>
      <w:r>
        <w:fldChar w:fldCharType="begin"/>
      </w:r>
      <w:r>
        <w:instrText xml:space="preserve"> PAGEREF _Toc106183992 \h </w:instrText>
      </w:r>
      <w:r>
        <w:fldChar w:fldCharType="separate"/>
      </w:r>
      <w:r>
        <w:t>89</w:t>
      </w:r>
      <w:r>
        <w:fldChar w:fldCharType="end"/>
      </w:r>
    </w:p>
    <w:p w14:paraId="696EA33F" w14:textId="16C6BEE1" w:rsidR="003C625C" w:rsidRDefault="003C625C">
      <w:pPr>
        <w:pStyle w:val="TOC4"/>
        <w:rPr>
          <w:rFonts w:asciiTheme="minorHAnsi" w:eastAsiaTheme="minorEastAsia" w:hAnsiTheme="minorHAnsi" w:cstheme="minorBidi"/>
          <w:sz w:val="22"/>
          <w:szCs w:val="22"/>
        </w:rPr>
      </w:pPr>
      <w:r w:rsidRPr="00DD4EB8">
        <w:rPr>
          <w:rFonts w:eastAsia="Malgun Gothic"/>
        </w:rPr>
        <w:t>8.1.3.1</w:t>
      </w:r>
      <w:r>
        <w:rPr>
          <w:rFonts w:asciiTheme="minorHAnsi" w:eastAsiaTheme="minorEastAsia" w:hAnsiTheme="minorHAnsi" w:cstheme="minorBidi"/>
          <w:sz w:val="22"/>
          <w:szCs w:val="22"/>
        </w:rPr>
        <w:tab/>
      </w:r>
      <w:r w:rsidRPr="00DD4EB8">
        <w:rPr>
          <w:rFonts w:eastAsia="Malgun Gothic"/>
        </w:rPr>
        <w:t>DTX to ACK probability</w:t>
      </w:r>
      <w:r>
        <w:tab/>
      </w:r>
      <w:r>
        <w:fldChar w:fldCharType="begin"/>
      </w:r>
      <w:r>
        <w:instrText xml:space="preserve"> PAGEREF _Toc106183993 \h </w:instrText>
      </w:r>
      <w:r>
        <w:fldChar w:fldCharType="separate"/>
      </w:r>
      <w:r>
        <w:t>89</w:t>
      </w:r>
      <w:r>
        <w:fldChar w:fldCharType="end"/>
      </w:r>
    </w:p>
    <w:p w14:paraId="54798F83" w14:textId="420F75F3" w:rsidR="003C625C" w:rsidRDefault="003C625C">
      <w:pPr>
        <w:pStyle w:val="TOC5"/>
        <w:rPr>
          <w:rFonts w:asciiTheme="minorHAnsi" w:eastAsiaTheme="minorEastAsia" w:hAnsiTheme="minorHAnsi" w:cstheme="minorBidi"/>
          <w:sz w:val="22"/>
          <w:szCs w:val="22"/>
        </w:rPr>
      </w:pPr>
      <w:r>
        <w:t>8.1.3.1.1</w:t>
      </w:r>
      <w:r>
        <w:rPr>
          <w:rFonts w:asciiTheme="minorHAnsi" w:eastAsiaTheme="minorEastAsia" w:hAnsiTheme="minorHAnsi" w:cstheme="minorBidi"/>
          <w:sz w:val="22"/>
          <w:szCs w:val="22"/>
        </w:rPr>
        <w:tab/>
      </w:r>
      <w:r>
        <w:t>General</w:t>
      </w:r>
      <w:r>
        <w:tab/>
      </w:r>
      <w:r>
        <w:fldChar w:fldCharType="begin"/>
      </w:r>
      <w:r>
        <w:instrText xml:space="preserve"> PAGEREF _Toc106183994 \h </w:instrText>
      </w:r>
      <w:r>
        <w:fldChar w:fldCharType="separate"/>
      </w:r>
      <w:r>
        <w:t>89</w:t>
      </w:r>
      <w:r>
        <w:fldChar w:fldCharType="end"/>
      </w:r>
    </w:p>
    <w:p w14:paraId="56837672" w14:textId="26A26BD5" w:rsidR="003C625C" w:rsidRDefault="003C625C">
      <w:pPr>
        <w:pStyle w:val="TOC5"/>
        <w:rPr>
          <w:rFonts w:asciiTheme="minorHAnsi" w:eastAsiaTheme="minorEastAsia" w:hAnsiTheme="minorHAnsi" w:cstheme="minorBidi"/>
          <w:sz w:val="22"/>
          <w:szCs w:val="22"/>
        </w:rPr>
      </w:pPr>
      <w:r>
        <w:t>8.1.3.1.2     Minimum requirement</w:t>
      </w:r>
      <w:r>
        <w:tab/>
      </w:r>
      <w:r>
        <w:fldChar w:fldCharType="begin"/>
      </w:r>
      <w:r>
        <w:instrText xml:space="preserve"> PAGEREF _Toc106183995 \h </w:instrText>
      </w:r>
      <w:r>
        <w:fldChar w:fldCharType="separate"/>
      </w:r>
      <w:r>
        <w:t>89</w:t>
      </w:r>
      <w:r>
        <w:fldChar w:fldCharType="end"/>
      </w:r>
    </w:p>
    <w:p w14:paraId="0C63D5CC" w14:textId="020945D1" w:rsidR="003C625C" w:rsidRDefault="003C625C">
      <w:pPr>
        <w:pStyle w:val="TOC4"/>
        <w:rPr>
          <w:rFonts w:asciiTheme="minorHAnsi" w:eastAsiaTheme="minorEastAsia" w:hAnsiTheme="minorHAnsi" w:cstheme="minorBidi"/>
          <w:sz w:val="22"/>
          <w:szCs w:val="22"/>
        </w:rPr>
      </w:pPr>
      <w:r w:rsidRPr="00DD4EB8">
        <w:rPr>
          <w:rFonts w:eastAsia="Malgun Gothic"/>
        </w:rPr>
        <w:t>8.1.3.2</w:t>
      </w:r>
      <w:r>
        <w:rPr>
          <w:rFonts w:asciiTheme="minorHAnsi" w:eastAsiaTheme="minorEastAsia" w:hAnsiTheme="minorHAnsi" w:cstheme="minorBidi"/>
          <w:sz w:val="22"/>
          <w:szCs w:val="22"/>
        </w:rPr>
        <w:tab/>
      </w:r>
      <w:r w:rsidRPr="00DD4EB8">
        <w:rPr>
          <w:rFonts w:eastAsia="Malgun Gothic"/>
        </w:rPr>
        <w:t>Performance requirements for PUCCH format 0</w:t>
      </w:r>
      <w:r>
        <w:tab/>
      </w:r>
      <w:r>
        <w:fldChar w:fldCharType="begin"/>
      </w:r>
      <w:r>
        <w:instrText xml:space="preserve"> PAGEREF _Toc106183996 \h </w:instrText>
      </w:r>
      <w:r>
        <w:fldChar w:fldCharType="separate"/>
      </w:r>
      <w:r>
        <w:t>89</w:t>
      </w:r>
      <w:r>
        <w:fldChar w:fldCharType="end"/>
      </w:r>
    </w:p>
    <w:p w14:paraId="6D0DB98A" w14:textId="59837D9E" w:rsidR="003C625C" w:rsidRDefault="003C625C">
      <w:pPr>
        <w:pStyle w:val="TOC5"/>
        <w:rPr>
          <w:rFonts w:asciiTheme="minorHAnsi" w:eastAsiaTheme="minorEastAsia" w:hAnsiTheme="minorHAnsi" w:cstheme="minorBidi"/>
          <w:sz w:val="22"/>
          <w:szCs w:val="22"/>
        </w:rPr>
      </w:pPr>
      <w:r>
        <w:t>8.1.3.2.1</w:t>
      </w:r>
      <w:r>
        <w:rPr>
          <w:rFonts w:asciiTheme="minorHAnsi" w:eastAsiaTheme="minorEastAsia" w:hAnsiTheme="minorHAnsi" w:cstheme="minorBidi"/>
          <w:sz w:val="22"/>
          <w:szCs w:val="22"/>
        </w:rPr>
        <w:tab/>
      </w:r>
      <w:r>
        <w:t>General</w:t>
      </w:r>
      <w:r>
        <w:tab/>
      </w:r>
      <w:r>
        <w:fldChar w:fldCharType="begin"/>
      </w:r>
      <w:r>
        <w:instrText xml:space="preserve"> PAGEREF _Toc106183997 \h </w:instrText>
      </w:r>
      <w:r>
        <w:fldChar w:fldCharType="separate"/>
      </w:r>
      <w:r>
        <w:t>89</w:t>
      </w:r>
      <w:r>
        <w:fldChar w:fldCharType="end"/>
      </w:r>
    </w:p>
    <w:p w14:paraId="4293D972" w14:textId="57CFB358" w:rsidR="003C625C" w:rsidRDefault="003C625C">
      <w:pPr>
        <w:pStyle w:val="TOC5"/>
        <w:rPr>
          <w:rFonts w:asciiTheme="minorHAnsi" w:eastAsiaTheme="minorEastAsia" w:hAnsiTheme="minorHAnsi" w:cstheme="minorBidi"/>
          <w:sz w:val="22"/>
          <w:szCs w:val="22"/>
        </w:rPr>
      </w:pPr>
      <w:r>
        <w:t>8.1.3.2.2</w:t>
      </w:r>
      <w:r>
        <w:rPr>
          <w:rFonts w:asciiTheme="minorHAnsi" w:eastAsiaTheme="minorEastAsia" w:hAnsiTheme="minorHAnsi" w:cstheme="minorBidi"/>
          <w:sz w:val="22"/>
          <w:szCs w:val="22"/>
        </w:rPr>
        <w:tab/>
      </w:r>
      <w:r>
        <w:t>Minimum requirement</w:t>
      </w:r>
      <w:r>
        <w:tab/>
      </w:r>
      <w:r>
        <w:fldChar w:fldCharType="begin"/>
      </w:r>
      <w:r>
        <w:instrText xml:space="preserve"> PAGEREF _Toc106183998 \h </w:instrText>
      </w:r>
      <w:r>
        <w:fldChar w:fldCharType="separate"/>
      </w:r>
      <w:r>
        <w:t>90</w:t>
      </w:r>
      <w:r>
        <w:fldChar w:fldCharType="end"/>
      </w:r>
    </w:p>
    <w:p w14:paraId="3D09BD0F" w14:textId="7958912C" w:rsidR="003C625C" w:rsidRDefault="003C625C">
      <w:pPr>
        <w:pStyle w:val="TOC4"/>
        <w:rPr>
          <w:rFonts w:asciiTheme="minorHAnsi" w:eastAsiaTheme="minorEastAsia" w:hAnsiTheme="minorHAnsi" w:cstheme="minorBidi"/>
          <w:sz w:val="22"/>
          <w:szCs w:val="22"/>
        </w:rPr>
      </w:pPr>
      <w:r w:rsidRPr="00DD4EB8">
        <w:rPr>
          <w:rFonts w:eastAsia="Malgun Gothic"/>
        </w:rPr>
        <w:t>8.1.3.3</w:t>
      </w:r>
      <w:r>
        <w:rPr>
          <w:rFonts w:asciiTheme="minorHAnsi" w:eastAsiaTheme="minorEastAsia" w:hAnsiTheme="minorHAnsi" w:cstheme="minorBidi"/>
          <w:sz w:val="22"/>
          <w:szCs w:val="22"/>
        </w:rPr>
        <w:tab/>
      </w:r>
      <w:r w:rsidRPr="00DD4EB8">
        <w:rPr>
          <w:rFonts w:eastAsia="Malgun Gothic"/>
        </w:rPr>
        <w:t>Performance requirements for PUCCH format 1</w:t>
      </w:r>
      <w:r>
        <w:tab/>
      </w:r>
      <w:r>
        <w:fldChar w:fldCharType="begin"/>
      </w:r>
      <w:r>
        <w:instrText xml:space="preserve"> PAGEREF _Toc106183999 \h </w:instrText>
      </w:r>
      <w:r>
        <w:fldChar w:fldCharType="separate"/>
      </w:r>
      <w:r>
        <w:t>90</w:t>
      </w:r>
      <w:r>
        <w:fldChar w:fldCharType="end"/>
      </w:r>
    </w:p>
    <w:p w14:paraId="39A6CFB3" w14:textId="0C8F7C38" w:rsidR="003C625C" w:rsidRDefault="003C625C">
      <w:pPr>
        <w:pStyle w:val="TOC5"/>
        <w:rPr>
          <w:rFonts w:asciiTheme="minorHAnsi" w:eastAsiaTheme="minorEastAsia" w:hAnsiTheme="minorHAnsi" w:cstheme="minorBidi"/>
          <w:sz w:val="22"/>
          <w:szCs w:val="22"/>
        </w:rPr>
      </w:pPr>
      <w:r>
        <w:t>8.1.3.3.1</w:t>
      </w:r>
      <w:r>
        <w:rPr>
          <w:rFonts w:asciiTheme="minorHAnsi" w:eastAsiaTheme="minorEastAsia" w:hAnsiTheme="minorHAnsi" w:cstheme="minorBidi"/>
          <w:sz w:val="22"/>
          <w:szCs w:val="22"/>
        </w:rPr>
        <w:tab/>
      </w:r>
      <w:r>
        <w:t>NACK to ACK requirements</w:t>
      </w:r>
      <w:r>
        <w:tab/>
      </w:r>
      <w:r>
        <w:fldChar w:fldCharType="begin"/>
      </w:r>
      <w:r>
        <w:instrText xml:space="preserve"> PAGEREF _Toc106184000 \h </w:instrText>
      </w:r>
      <w:r>
        <w:fldChar w:fldCharType="separate"/>
      </w:r>
      <w:r>
        <w:t>90</w:t>
      </w:r>
      <w:r>
        <w:fldChar w:fldCharType="end"/>
      </w:r>
    </w:p>
    <w:p w14:paraId="4F7AEB68" w14:textId="485759C9" w:rsidR="003C625C" w:rsidRDefault="003C625C">
      <w:pPr>
        <w:pStyle w:val="TOC5"/>
        <w:rPr>
          <w:rFonts w:asciiTheme="minorHAnsi" w:eastAsiaTheme="minorEastAsia" w:hAnsiTheme="minorHAnsi" w:cstheme="minorBidi"/>
          <w:sz w:val="22"/>
          <w:szCs w:val="22"/>
        </w:rPr>
      </w:pPr>
      <w:r>
        <w:t>8.1.3.3.2</w:t>
      </w:r>
      <w:r>
        <w:rPr>
          <w:rFonts w:asciiTheme="minorHAnsi" w:eastAsiaTheme="minorEastAsia" w:hAnsiTheme="minorHAnsi" w:cstheme="minorBidi"/>
          <w:sz w:val="22"/>
          <w:szCs w:val="22"/>
        </w:rPr>
        <w:tab/>
      </w:r>
      <w:r>
        <w:t>ACK missed detection requirements</w:t>
      </w:r>
      <w:r>
        <w:tab/>
      </w:r>
      <w:r>
        <w:fldChar w:fldCharType="begin"/>
      </w:r>
      <w:r>
        <w:instrText xml:space="preserve"> PAGEREF _Toc106184001 \h </w:instrText>
      </w:r>
      <w:r>
        <w:fldChar w:fldCharType="separate"/>
      </w:r>
      <w:r>
        <w:t>92</w:t>
      </w:r>
      <w:r>
        <w:fldChar w:fldCharType="end"/>
      </w:r>
    </w:p>
    <w:p w14:paraId="39A5C568" w14:textId="21685399" w:rsidR="003C625C" w:rsidRDefault="003C625C">
      <w:pPr>
        <w:pStyle w:val="TOC4"/>
        <w:rPr>
          <w:rFonts w:asciiTheme="minorHAnsi" w:eastAsiaTheme="minorEastAsia" w:hAnsiTheme="minorHAnsi" w:cstheme="minorBidi"/>
          <w:sz w:val="22"/>
          <w:szCs w:val="22"/>
        </w:rPr>
      </w:pPr>
      <w:r w:rsidRPr="00DD4EB8">
        <w:rPr>
          <w:rFonts w:eastAsia="Malgun Gothic"/>
        </w:rPr>
        <w:t>8.1.3.4</w:t>
      </w:r>
      <w:r>
        <w:rPr>
          <w:rFonts w:asciiTheme="minorHAnsi" w:eastAsiaTheme="minorEastAsia" w:hAnsiTheme="minorHAnsi" w:cstheme="minorBidi"/>
          <w:sz w:val="22"/>
          <w:szCs w:val="22"/>
        </w:rPr>
        <w:tab/>
      </w:r>
      <w:r w:rsidRPr="00DD4EB8">
        <w:rPr>
          <w:rFonts w:eastAsia="Malgun Gothic"/>
        </w:rPr>
        <w:t>Performance requirements for PUCCH format 2</w:t>
      </w:r>
      <w:r>
        <w:tab/>
      </w:r>
      <w:r>
        <w:fldChar w:fldCharType="begin"/>
      </w:r>
      <w:r>
        <w:instrText xml:space="preserve"> PAGEREF _Toc106184002 \h </w:instrText>
      </w:r>
      <w:r>
        <w:fldChar w:fldCharType="separate"/>
      </w:r>
      <w:r>
        <w:t>93</w:t>
      </w:r>
      <w:r>
        <w:fldChar w:fldCharType="end"/>
      </w:r>
    </w:p>
    <w:p w14:paraId="2792EB58" w14:textId="01CEB38C" w:rsidR="003C625C" w:rsidRDefault="003C625C">
      <w:pPr>
        <w:pStyle w:val="TOC5"/>
        <w:rPr>
          <w:rFonts w:asciiTheme="minorHAnsi" w:eastAsiaTheme="minorEastAsia" w:hAnsiTheme="minorHAnsi" w:cstheme="minorBidi"/>
          <w:sz w:val="22"/>
          <w:szCs w:val="22"/>
        </w:rPr>
      </w:pPr>
      <w:r>
        <w:t>8.1.3.4.1</w:t>
      </w:r>
      <w:r>
        <w:rPr>
          <w:rFonts w:asciiTheme="minorHAnsi" w:eastAsiaTheme="minorEastAsia" w:hAnsiTheme="minorHAnsi" w:cstheme="minorBidi"/>
          <w:sz w:val="22"/>
          <w:szCs w:val="22"/>
        </w:rPr>
        <w:tab/>
      </w:r>
      <w:r>
        <w:t>NACK to ACK requirements</w:t>
      </w:r>
      <w:r>
        <w:tab/>
      </w:r>
      <w:r>
        <w:fldChar w:fldCharType="begin"/>
      </w:r>
      <w:r>
        <w:instrText xml:space="preserve"> PAGEREF _Toc106184003 \h </w:instrText>
      </w:r>
      <w:r>
        <w:fldChar w:fldCharType="separate"/>
      </w:r>
      <w:r>
        <w:t>93</w:t>
      </w:r>
      <w:r>
        <w:fldChar w:fldCharType="end"/>
      </w:r>
    </w:p>
    <w:p w14:paraId="4A5B4A29" w14:textId="727AAEB1" w:rsidR="003C625C" w:rsidRDefault="003C625C">
      <w:pPr>
        <w:pStyle w:val="TOC5"/>
        <w:rPr>
          <w:rFonts w:asciiTheme="minorHAnsi" w:eastAsiaTheme="minorEastAsia" w:hAnsiTheme="minorHAnsi" w:cstheme="minorBidi"/>
          <w:sz w:val="22"/>
          <w:szCs w:val="22"/>
        </w:rPr>
      </w:pPr>
      <w:r>
        <w:t>8.1.3.4.2</w:t>
      </w:r>
      <w:r>
        <w:rPr>
          <w:rFonts w:asciiTheme="minorHAnsi" w:eastAsiaTheme="minorEastAsia" w:hAnsiTheme="minorHAnsi" w:cstheme="minorBidi"/>
          <w:sz w:val="22"/>
          <w:szCs w:val="22"/>
        </w:rPr>
        <w:tab/>
      </w:r>
      <w:r>
        <w:t>UCI BLER performance requirements</w:t>
      </w:r>
      <w:r>
        <w:tab/>
      </w:r>
      <w:r>
        <w:fldChar w:fldCharType="begin"/>
      </w:r>
      <w:r>
        <w:instrText xml:space="preserve"> PAGEREF _Toc106184004 \h </w:instrText>
      </w:r>
      <w:r>
        <w:fldChar w:fldCharType="separate"/>
      </w:r>
      <w:r>
        <w:t>94</w:t>
      </w:r>
      <w:r>
        <w:fldChar w:fldCharType="end"/>
      </w:r>
    </w:p>
    <w:p w14:paraId="2B38F3C4" w14:textId="10AEB601" w:rsidR="003C625C" w:rsidRDefault="003C625C">
      <w:pPr>
        <w:pStyle w:val="TOC4"/>
        <w:rPr>
          <w:rFonts w:asciiTheme="minorHAnsi" w:eastAsiaTheme="minorEastAsia" w:hAnsiTheme="minorHAnsi" w:cstheme="minorBidi"/>
          <w:sz w:val="22"/>
          <w:szCs w:val="22"/>
        </w:rPr>
      </w:pPr>
      <w:r w:rsidRPr="00DD4EB8">
        <w:rPr>
          <w:rFonts w:eastAsia="Malgun Gothic"/>
        </w:rPr>
        <w:t>8.1.3.5</w:t>
      </w:r>
      <w:r>
        <w:rPr>
          <w:rFonts w:asciiTheme="minorHAnsi" w:eastAsiaTheme="minorEastAsia" w:hAnsiTheme="minorHAnsi" w:cstheme="minorBidi"/>
          <w:sz w:val="22"/>
          <w:szCs w:val="22"/>
        </w:rPr>
        <w:tab/>
      </w:r>
      <w:r w:rsidRPr="00DD4EB8">
        <w:rPr>
          <w:rFonts w:eastAsia="Malgun Gothic"/>
        </w:rPr>
        <w:t>Performance requirements for PUCCH format 3</w:t>
      </w:r>
      <w:r>
        <w:tab/>
      </w:r>
      <w:r>
        <w:fldChar w:fldCharType="begin"/>
      </w:r>
      <w:r>
        <w:instrText xml:space="preserve"> PAGEREF _Toc106184005 \h </w:instrText>
      </w:r>
      <w:r>
        <w:fldChar w:fldCharType="separate"/>
      </w:r>
      <w:r>
        <w:t>95</w:t>
      </w:r>
      <w:r>
        <w:fldChar w:fldCharType="end"/>
      </w:r>
    </w:p>
    <w:p w14:paraId="42EC7D1F" w14:textId="6DEC7239" w:rsidR="003C625C" w:rsidRDefault="003C625C">
      <w:pPr>
        <w:pStyle w:val="TOC5"/>
        <w:rPr>
          <w:rFonts w:asciiTheme="minorHAnsi" w:eastAsiaTheme="minorEastAsia" w:hAnsiTheme="minorHAnsi" w:cstheme="minorBidi"/>
          <w:sz w:val="22"/>
          <w:szCs w:val="22"/>
        </w:rPr>
      </w:pPr>
      <w:r>
        <w:t>8.1.3.5.1</w:t>
      </w:r>
      <w:r>
        <w:rPr>
          <w:rFonts w:asciiTheme="minorHAnsi" w:eastAsiaTheme="minorEastAsia" w:hAnsiTheme="minorHAnsi" w:cstheme="minorBidi"/>
          <w:sz w:val="22"/>
          <w:szCs w:val="22"/>
        </w:rPr>
        <w:tab/>
      </w:r>
      <w:r>
        <w:t>General</w:t>
      </w:r>
      <w:r>
        <w:tab/>
      </w:r>
      <w:r>
        <w:fldChar w:fldCharType="begin"/>
      </w:r>
      <w:r>
        <w:instrText xml:space="preserve"> PAGEREF _Toc106184006 \h </w:instrText>
      </w:r>
      <w:r>
        <w:fldChar w:fldCharType="separate"/>
      </w:r>
      <w:r>
        <w:t>95</w:t>
      </w:r>
      <w:r>
        <w:fldChar w:fldCharType="end"/>
      </w:r>
    </w:p>
    <w:p w14:paraId="0588DCB7" w14:textId="2C8F0429" w:rsidR="003C625C" w:rsidRDefault="003C625C">
      <w:pPr>
        <w:pStyle w:val="TOC5"/>
        <w:rPr>
          <w:rFonts w:asciiTheme="minorHAnsi" w:eastAsiaTheme="minorEastAsia" w:hAnsiTheme="minorHAnsi" w:cstheme="minorBidi"/>
          <w:sz w:val="22"/>
          <w:szCs w:val="22"/>
        </w:rPr>
      </w:pPr>
      <w:r>
        <w:t>8.1.3.5.2</w:t>
      </w:r>
      <w:r>
        <w:rPr>
          <w:rFonts w:asciiTheme="minorHAnsi" w:eastAsiaTheme="minorEastAsia" w:hAnsiTheme="minorHAnsi" w:cstheme="minorBidi"/>
          <w:sz w:val="22"/>
          <w:szCs w:val="22"/>
        </w:rPr>
        <w:tab/>
      </w:r>
      <w:r>
        <w:t>Minimum requirements</w:t>
      </w:r>
      <w:r>
        <w:tab/>
      </w:r>
      <w:r>
        <w:fldChar w:fldCharType="begin"/>
      </w:r>
      <w:r>
        <w:instrText xml:space="preserve"> PAGEREF _Toc106184007 \h </w:instrText>
      </w:r>
      <w:r>
        <w:fldChar w:fldCharType="separate"/>
      </w:r>
      <w:r>
        <w:t>95</w:t>
      </w:r>
      <w:r>
        <w:fldChar w:fldCharType="end"/>
      </w:r>
    </w:p>
    <w:p w14:paraId="6E8812C6" w14:textId="6D576783" w:rsidR="003C625C" w:rsidRDefault="003C625C">
      <w:pPr>
        <w:pStyle w:val="TOC4"/>
        <w:rPr>
          <w:rFonts w:asciiTheme="minorHAnsi" w:eastAsiaTheme="minorEastAsia" w:hAnsiTheme="minorHAnsi" w:cstheme="minorBidi"/>
          <w:sz w:val="22"/>
          <w:szCs w:val="22"/>
        </w:rPr>
      </w:pPr>
      <w:r w:rsidRPr="00DD4EB8">
        <w:rPr>
          <w:rFonts w:eastAsia="Malgun Gothic"/>
        </w:rPr>
        <w:t>8.1.3.6</w:t>
      </w:r>
      <w:r>
        <w:rPr>
          <w:rFonts w:asciiTheme="minorHAnsi" w:eastAsiaTheme="minorEastAsia" w:hAnsiTheme="minorHAnsi" w:cstheme="minorBidi"/>
          <w:sz w:val="22"/>
          <w:szCs w:val="22"/>
        </w:rPr>
        <w:tab/>
      </w:r>
      <w:r w:rsidRPr="00DD4EB8">
        <w:rPr>
          <w:rFonts w:eastAsia="Malgun Gothic"/>
        </w:rPr>
        <w:t>Performance requirements for PUCCH format 4</w:t>
      </w:r>
      <w:r>
        <w:tab/>
      </w:r>
      <w:r>
        <w:fldChar w:fldCharType="begin"/>
      </w:r>
      <w:r>
        <w:instrText xml:space="preserve"> PAGEREF _Toc106184008 \h </w:instrText>
      </w:r>
      <w:r>
        <w:fldChar w:fldCharType="separate"/>
      </w:r>
      <w:r>
        <w:t>96</w:t>
      </w:r>
      <w:r>
        <w:fldChar w:fldCharType="end"/>
      </w:r>
    </w:p>
    <w:p w14:paraId="75451BE7" w14:textId="5FA8F718" w:rsidR="003C625C" w:rsidRDefault="003C625C">
      <w:pPr>
        <w:pStyle w:val="TOC5"/>
        <w:rPr>
          <w:rFonts w:asciiTheme="minorHAnsi" w:eastAsiaTheme="minorEastAsia" w:hAnsiTheme="minorHAnsi" w:cstheme="minorBidi"/>
          <w:sz w:val="22"/>
          <w:szCs w:val="22"/>
        </w:rPr>
      </w:pPr>
      <w:r>
        <w:t>8.1.3.6.1</w:t>
      </w:r>
      <w:r>
        <w:rPr>
          <w:rFonts w:asciiTheme="minorHAnsi" w:eastAsiaTheme="minorEastAsia" w:hAnsiTheme="minorHAnsi" w:cstheme="minorBidi"/>
          <w:sz w:val="22"/>
          <w:szCs w:val="22"/>
        </w:rPr>
        <w:tab/>
      </w:r>
      <w:r>
        <w:t>General</w:t>
      </w:r>
      <w:r>
        <w:tab/>
      </w:r>
      <w:r>
        <w:fldChar w:fldCharType="begin"/>
      </w:r>
      <w:r>
        <w:instrText xml:space="preserve"> PAGEREF _Toc106184009 \h </w:instrText>
      </w:r>
      <w:r>
        <w:fldChar w:fldCharType="separate"/>
      </w:r>
      <w:r>
        <w:t>96</w:t>
      </w:r>
      <w:r>
        <w:fldChar w:fldCharType="end"/>
      </w:r>
    </w:p>
    <w:p w14:paraId="774C755C" w14:textId="577F6911" w:rsidR="003C625C" w:rsidRDefault="003C625C">
      <w:pPr>
        <w:pStyle w:val="TOC5"/>
        <w:rPr>
          <w:rFonts w:asciiTheme="minorHAnsi" w:eastAsiaTheme="minorEastAsia" w:hAnsiTheme="minorHAnsi" w:cstheme="minorBidi"/>
          <w:sz w:val="22"/>
          <w:szCs w:val="22"/>
        </w:rPr>
      </w:pPr>
      <w:r>
        <w:t>8.1.3.6.2</w:t>
      </w:r>
      <w:r>
        <w:rPr>
          <w:rFonts w:asciiTheme="minorHAnsi" w:eastAsiaTheme="minorEastAsia" w:hAnsiTheme="minorHAnsi" w:cstheme="minorBidi"/>
          <w:sz w:val="22"/>
          <w:szCs w:val="22"/>
        </w:rPr>
        <w:tab/>
      </w:r>
      <w:r>
        <w:t>Minimum requirement</w:t>
      </w:r>
      <w:r>
        <w:tab/>
      </w:r>
      <w:r>
        <w:fldChar w:fldCharType="begin"/>
      </w:r>
      <w:r>
        <w:instrText xml:space="preserve"> PAGEREF _Toc106184010 \h </w:instrText>
      </w:r>
      <w:r>
        <w:fldChar w:fldCharType="separate"/>
      </w:r>
      <w:r>
        <w:t>97</w:t>
      </w:r>
      <w:r>
        <w:fldChar w:fldCharType="end"/>
      </w:r>
    </w:p>
    <w:p w14:paraId="4B3F41C8" w14:textId="39147042" w:rsidR="003C625C" w:rsidRDefault="003C625C">
      <w:pPr>
        <w:pStyle w:val="TOC4"/>
        <w:rPr>
          <w:rFonts w:asciiTheme="minorHAnsi" w:eastAsiaTheme="minorEastAsia" w:hAnsiTheme="minorHAnsi" w:cstheme="minorBidi"/>
          <w:sz w:val="22"/>
          <w:szCs w:val="22"/>
        </w:rPr>
      </w:pPr>
      <w:r w:rsidRPr="00DD4EB8">
        <w:rPr>
          <w:rFonts w:eastAsia="Malgun Gothic"/>
        </w:rPr>
        <w:t>8.1.3.7</w:t>
      </w:r>
      <w:r>
        <w:rPr>
          <w:rFonts w:asciiTheme="minorHAnsi" w:eastAsiaTheme="minorEastAsia" w:hAnsiTheme="minorHAnsi" w:cstheme="minorBidi"/>
          <w:sz w:val="22"/>
          <w:szCs w:val="22"/>
        </w:rPr>
        <w:tab/>
      </w:r>
      <w:r w:rsidRPr="00DD4EB8">
        <w:rPr>
          <w:rFonts w:eastAsia="Malgun Gothic"/>
        </w:rPr>
        <w:t>Performance requirements for multi-slot PUCCH</w:t>
      </w:r>
      <w:r>
        <w:tab/>
      </w:r>
      <w:r>
        <w:fldChar w:fldCharType="begin"/>
      </w:r>
      <w:r>
        <w:instrText xml:space="preserve"> PAGEREF _Toc106184011 \h </w:instrText>
      </w:r>
      <w:r>
        <w:fldChar w:fldCharType="separate"/>
      </w:r>
      <w:r>
        <w:t>98</w:t>
      </w:r>
      <w:r>
        <w:fldChar w:fldCharType="end"/>
      </w:r>
    </w:p>
    <w:p w14:paraId="54CB7D22" w14:textId="1310541B" w:rsidR="003C625C" w:rsidRDefault="003C625C">
      <w:pPr>
        <w:pStyle w:val="TOC5"/>
        <w:rPr>
          <w:rFonts w:asciiTheme="minorHAnsi" w:eastAsiaTheme="minorEastAsia" w:hAnsiTheme="minorHAnsi" w:cstheme="minorBidi"/>
          <w:sz w:val="22"/>
          <w:szCs w:val="22"/>
        </w:rPr>
      </w:pPr>
      <w:r>
        <w:t>8.1.3.7.1</w:t>
      </w:r>
      <w:r>
        <w:rPr>
          <w:rFonts w:asciiTheme="minorHAnsi" w:eastAsiaTheme="minorEastAsia" w:hAnsiTheme="minorHAnsi" w:cstheme="minorBidi"/>
          <w:sz w:val="22"/>
          <w:szCs w:val="22"/>
        </w:rPr>
        <w:tab/>
      </w:r>
      <w:r>
        <w:t>General</w:t>
      </w:r>
      <w:r>
        <w:tab/>
      </w:r>
      <w:r>
        <w:fldChar w:fldCharType="begin"/>
      </w:r>
      <w:r>
        <w:instrText xml:space="preserve"> PAGEREF _Toc106184012 \h </w:instrText>
      </w:r>
      <w:r>
        <w:fldChar w:fldCharType="separate"/>
      </w:r>
      <w:r>
        <w:t>98</w:t>
      </w:r>
      <w:r>
        <w:fldChar w:fldCharType="end"/>
      </w:r>
    </w:p>
    <w:p w14:paraId="1D8C5546" w14:textId="0E2FA6D9" w:rsidR="003C625C" w:rsidRDefault="003C625C">
      <w:pPr>
        <w:pStyle w:val="TOC5"/>
        <w:rPr>
          <w:rFonts w:asciiTheme="minorHAnsi" w:eastAsiaTheme="minorEastAsia" w:hAnsiTheme="minorHAnsi" w:cstheme="minorBidi"/>
          <w:sz w:val="22"/>
          <w:szCs w:val="22"/>
        </w:rPr>
      </w:pPr>
      <w:r>
        <w:t>8.1.3.7.2</w:t>
      </w:r>
      <w:r>
        <w:rPr>
          <w:rFonts w:asciiTheme="minorHAnsi" w:eastAsiaTheme="minorEastAsia" w:hAnsiTheme="minorHAnsi" w:cstheme="minorBidi"/>
          <w:sz w:val="22"/>
          <w:szCs w:val="22"/>
        </w:rPr>
        <w:tab/>
      </w:r>
      <w:r>
        <w:t>Performance requirements for multi-slot PUCCH format 1</w:t>
      </w:r>
      <w:r>
        <w:tab/>
      </w:r>
      <w:r>
        <w:fldChar w:fldCharType="begin"/>
      </w:r>
      <w:r>
        <w:instrText xml:space="preserve"> PAGEREF _Toc106184013 \h </w:instrText>
      </w:r>
      <w:r>
        <w:fldChar w:fldCharType="separate"/>
      </w:r>
      <w:r>
        <w:t>98</w:t>
      </w:r>
      <w:r>
        <w:fldChar w:fldCharType="end"/>
      </w:r>
    </w:p>
    <w:p w14:paraId="2BB022B1" w14:textId="3A4A9193" w:rsidR="003C625C" w:rsidRDefault="003C625C">
      <w:pPr>
        <w:pStyle w:val="TOC3"/>
        <w:rPr>
          <w:rFonts w:asciiTheme="minorHAnsi" w:eastAsiaTheme="minorEastAsia" w:hAnsiTheme="minorHAnsi" w:cstheme="minorBidi"/>
          <w:sz w:val="22"/>
          <w:szCs w:val="22"/>
        </w:rPr>
      </w:pPr>
      <w:r>
        <w:t>8.1.4</w:t>
      </w:r>
      <w:r>
        <w:rPr>
          <w:rFonts w:asciiTheme="minorHAnsi" w:eastAsiaTheme="minorEastAsia" w:hAnsiTheme="minorHAnsi" w:cstheme="minorBidi"/>
          <w:sz w:val="22"/>
          <w:szCs w:val="22"/>
        </w:rPr>
        <w:tab/>
      </w:r>
      <w:r>
        <w:t>Performance requirements for PRACH</w:t>
      </w:r>
      <w:r>
        <w:tab/>
      </w:r>
      <w:r>
        <w:fldChar w:fldCharType="begin"/>
      </w:r>
      <w:r>
        <w:instrText xml:space="preserve"> PAGEREF _Toc106184014 \h </w:instrText>
      </w:r>
      <w:r>
        <w:fldChar w:fldCharType="separate"/>
      </w:r>
      <w:r>
        <w:t>99</w:t>
      </w:r>
      <w:r>
        <w:fldChar w:fldCharType="end"/>
      </w:r>
    </w:p>
    <w:p w14:paraId="1F2FA5FD" w14:textId="40FF18DC" w:rsidR="003C625C" w:rsidRDefault="003C625C">
      <w:pPr>
        <w:pStyle w:val="TOC4"/>
        <w:rPr>
          <w:rFonts w:asciiTheme="minorHAnsi" w:eastAsiaTheme="minorEastAsia" w:hAnsiTheme="minorHAnsi" w:cstheme="minorBidi"/>
          <w:sz w:val="22"/>
          <w:szCs w:val="22"/>
        </w:rPr>
      </w:pPr>
      <w:r w:rsidRPr="00DD4EB8">
        <w:rPr>
          <w:rFonts w:eastAsia="Malgun Gothic"/>
        </w:rPr>
        <w:t>8.1.4.1</w:t>
      </w:r>
      <w:r>
        <w:rPr>
          <w:rFonts w:asciiTheme="minorHAnsi" w:eastAsiaTheme="minorEastAsia" w:hAnsiTheme="minorHAnsi" w:cstheme="minorBidi"/>
          <w:sz w:val="22"/>
          <w:szCs w:val="22"/>
        </w:rPr>
        <w:tab/>
      </w:r>
      <w:r w:rsidRPr="00DD4EB8">
        <w:rPr>
          <w:rFonts w:eastAsia="Malgun Gothic"/>
        </w:rPr>
        <w:t>PRACH false alarm probability</w:t>
      </w:r>
      <w:r>
        <w:tab/>
      </w:r>
      <w:r>
        <w:fldChar w:fldCharType="begin"/>
      </w:r>
      <w:r>
        <w:instrText xml:space="preserve"> PAGEREF _Toc106184015 \h </w:instrText>
      </w:r>
      <w:r>
        <w:fldChar w:fldCharType="separate"/>
      </w:r>
      <w:r>
        <w:t>99</w:t>
      </w:r>
      <w:r>
        <w:fldChar w:fldCharType="end"/>
      </w:r>
    </w:p>
    <w:p w14:paraId="01FF8B8B" w14:textId="745F9580" w:rsidR="003C625C" w:rsidRDefault="003C625C">
      <w:pPr>
        <w:pStyle w:val="TOC5"/>
        <w:rPr>
          <w:rFonts w:asciiTheme="minorHAnsi" w:eastAsiaTheme="minorEastAsia" w:hAnsiTheme="minorHAnsi" w:cstheme="minorBidi"/>
          <w:sz w:val="22"/>
          <w:szCs w:val="22"/>
        </w:rPr>
      </w:pPr>
      <w:r>
        <w:t>8.1.4.1.1</w:t>
      </w:r>
      <w:r>
        <w:rPr>
          <w:rFonts w:asciiTheme="minorHAnsi" w:eastAsiaTheme="minorEastAsia" w:hAnsiTheme="minorHAnsi" w:cstheme="minorBidi"/>
          <w:sz w:val="22"/>
          <w:szCs w:val="22"/>
        </w:rPr>
        <w:tab/>
      </w:r>
      <w:r>
        <w:t>General</w:t>
      </w:r>
      <w:r>
        <w:tab/>
      </w:r>
      <w:r>
        <w:fldChar w:fldCharType="begin"/>
      </w:r>
      <w:r>
        <w:instrText xml:space="preserve"> PAGEREF _Toc106184016 \h </w:instrText>
      </w:r>
      <w:r>
        <w:fldChar w:fldCharType="separate"/>
      </w:r>
      <w:r>
        <w:t>99</w:t>
      </w:r>
      <w:r>
        <w:fldChar w:fldCharType="end"/>
      </w:r>
    </w:p>
    <w:p w14:paraId="4399028D" w14:textId="224ABD98" w:rsidR="003C625C" w:rsidRDefault="003C625C">
      <w:pPr>
        <w:pStyle w:val="TOC5"/>
        <w:rPr>
          <w:rFonts w:asciiTheme="minorHAnsi" w:eastAsiaTheme="minorEastAsia" w:hAnsiTheme="minorHAnsi" w:cstheme="minorBidi"/>
          <w:sz w:val="22"/>
          <w:szCs w:val="22"/>
        </w:rPr>
      </w:pPr>
      <w:r>
        <w:t>8.1.4.1.2</w:t>
      </w:r>
      <w:r>
        <w:rPr>
          <w:rFonts w:asciiTheme="minorHAnsi" w:eastAsiaTheme="minorEastAsia" w:hAnsiTheme="minorHAnsi" w:cstheme="minorBidi"/>
          <w:sz w:val="22"/>
          <w:szCs w:val="22"/>
        </w:rPr>
        <w:tab/>
      </w:r>
      <w:r>
        <w:t>Minimum requirement</w:t>
      </w:r>
      <w:r>
        <w:tab/>
      </w:r>
      <w:r>
        <w:fldChar w:fldCharType="begin"/>
      </w:r>
      <w:r>
        <w:instrText xml:space="preserve"> PAGEREF _Toc106184017 \h </w:instrText>
      </w:r>
      <w:r>
        <w:fldChar w:fldCharType="separate"/>
      </w:r>
      <w:r>
        <w:t>99</w:t>
      </w:r>
      <w:r>
        <w:fldChar w:fldCharType="end"/>
      </w:r>
    </w:p>
    <w:p w14:paraId="6003B7C3" w14:textId="0F667B44" w:rsidR="003C625C" w:rsidRDefault="003C625C">
      <w:pPr>
        <w:pStyle w:val="TOC4"/>
        <w:rPr>
          <w:rFonts w:asciiTheme="minorHAnsi" w:eastAsiaTheme="minorEastAsia" w:hAnsiTheme="minorHAnsi" w:cstheme="minorBidi"/>
          <w:sz w:val="22"/>
          <w:szCs w:val="22"/>
        </w:rPr>
      </w:pPr>
      <w:r w:rsidRPr="00DD4EB8">
        <w:rPr>
          <w:rFonts w:eastAsia="Malgun Gothic"/>
        </w:rPr>
        <w:t>8.1.4.2</w:t>
      </w:r>
      <w:r>
        <w:rPr>
          <w:rFonts w:asciiTheme="minorHAnsi" w:eastAsiaTheme="minorEastAsia" w:hAnsiTheme="minorHAnsi" w:cstheme="minorBidi"/>
          <w:sz w:val="22"/>
          <w:szCs w:val="22"/>
        </w:rPr>
        <w:tab/>
      </w:r>
      <w:r w:rsidRPr="00DD4EB8">
        <w:rPr>
          <w:rFonts w:eastAsia="Malgun Gothic"/>
        </w:rPr>
        <w:t>PRACH detection requirements</w:t>
      </w:r>
      <w:r>
        <w:tab/>
      </w:r>
      <w:r>
        <w:fldChar w:fldCharType="begin"/>
      </w:r>
      <w:r>
        <w:instrText xml:space="preserve"> PAGEREF _Toc106184018 \h </w:instrText>
      </w:r>
      <w:r>
        <w:fldChar w:fldCharType="separate"/>
      </w:r>
      <w:r>
        <w:t>100</w:t>
      </w:r>
      <w:r>
        <w:fldChar w:fldCharType="end"/>
      </w:r>
    </w:p>
    <w:p w14:paraId="09AD8AD6" w14:textId="6943A113" w:rsidR="003C625C" w:rsidRDefault="003C625C">
      <w:pPr>
        <w:pStyle w:val="TOC5"/>
        <w:rPr>
          <w:rFonts w:asciiTheme="minorHAnsi" w:eastAsiaTheme="minorEastAsia" w:hAnsiTheme="minorHAnsi" w:cstheme="minorBidi"/>
          <w:sz w:val="22"/>
          <w:szCs w:val="22"/>
        </w:rPr>
      </w:pPr>
      <w:r>
        <w:t>8.1.4.2.1</w:t>
      </w:r>
      <w:r>
        <w:rPr>
          <w:rFonts w:asciiTheme="minorHAnsi" w:eastAsiaTheme="minorEastAsia" w:hAnsiTheme="minorHAnsi" w:cstheme="minorBidi"/>
          <w:sz w:val="22"/>
          <w:szCs w:val="22"/>
        </w:rPr>
        <w:tab/>
      </w:r>
      <w:r>
        <w:t>General</w:t>
      </w:r>
      <w:r>
        <w:tab/>
      </w:r>
      <w:r>
        <w:fldChar w:fldCharType="begin"/>
      </w:r>
      <w:r>
        <w:instrText xml:space="preserve"> PAGEREF _Toc106184019 \h </w:instrText>
      </w:r>
      <w:r>
        <w:fldChar w:fldCharType="separate"/>
      </w:r>
      <w:r>
        <w:t>100</w:t>
      </w:r>
      <w:r>
        <w:fldChar w:fldCharType="end"/>
      </w:r>
    </w:p>
    <w:p w14:paraId="61B3E2CC" w14:textId="1F703568" w:rsidR="003C625C" w:rsidRDefault="003C625C">
      <w:pPr>
        <w:pStyle w:val="TOC5"/>
        <w:rPr>
          <w:rFonts w:asciiTheme="minorHAnsi" w:eastAsiaTheme="minorEastAsia" w:hAnsiTheme="minorHAnsi" w:cstheme="minorBidi"/>
          <w:sz w:val="22"/>
          <w:szCs w:val="22"/>
        </w:rPr>
      </w:pPr>
      <w:r>
        <w:t>8.1.4.2.2</w:t>
      </w:r>
      <w:r>
        <w:rPr>
          <w:rFonts w:asciiTheme="minorHAnsi" w:eastAsiaTheme="minorEastAsia" w:hAnsiTheme="minorHAnsi" w:cstheme="minorBidi"/>
          <w:sz w:val="22"/>
          <w:szCs w:val="22"/>
        </w:rPr>
        <w:tab/>
      </w:r>
      <w:r>
        <w:t>Minimum requirements for normal mode</w:t>
      </w:r>
      <w:r>
        <w:tab/>
      </w:r>
      <w:r>
        <w:fldChar w:fldCharType="begin"/>
      </w:r>
      <w:r>
        <w:instrText xml:space="preserve"> PAGEREF _Toc106184020 \h </w:instrText>
      </w:r>
      <w:r>
        <w:fldChar w:fldCharType="separate"/>
      </w:r>
      <w:r>
        <w:t>100</w:t>
      </w:r>
      <w:r>
        <w:fldChar w:fldCharType="end"/>
      </w:r>
    </w:p>
    <w:p w14:paraId="4D1088A5" w14:textId="7A14D944" w:rsidR="003C625C" w:rsidRDefault="003C625C">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IAB-MT requirements</w:t>
      </w:r>
      <w:r>
        <w:tab/>
      </w:r>
      <w:r>
        <w:fldChar w:fldCharType="begin"/>
      </w:r>
      <w:r>
        <w:instrText xml:space="preserve"> PAGEREF _Toc106184021 \h </w:instrText>
      </w:r>
      <w:r>
        <w:fldChar w:fldCharType="separate"/>
      </w:r>
      <w:r>
        <w:t>101</w:t>
      </w:r>
      <w:r>
        <w:fldChar w:fldCharType="end"/>
      </w:r>
    </w:p>
    <w:p w14:paraId="0E57084C" w14:textId="30A619CB" w:rsidR="003C625C" w:rsidRDefault="003C625C">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General</w:t>
      </w:r>
      <w:r>
        <w:tab/>
      </w:r>
      <w:r>
        <w:fldChar w:fldCharType="begin"/>
      </w:r>
      <w:r>
        <w:instrText xml:space="preserve"> PAGEREF _Toc106184022 \h </w:instrText>
      </w:r>
      <w:r>
        <w:fldChar w:fldCharType="separate"/>
      </w:r>
      <w:r>
        <w:t>101</w:t>
      </w:r>
      <w:r>
        <w:fldChar w:fldCharType="end"/>
      </w:r>
    </w:p>
    <w:p w14:paraId="3BE603BB" w14:textId="246B3E6E" w:rsidR="003C625C" w:rsidRDefault="003C625C">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Demodulation performance requirements</w:t>
      </w:r>
      <w:r>
        <w:tab/>
      </w:r>
      <w:r>
        <w:fldChar w:fldCharType="begin"/>
      </w:r>
      <w:r>
        <w:instrText xml:space="preserve"> PAGEREF _Toc106184023 \h </w:instrText>
      </w:r>
      <w:r>
        <w:fldChar w:fldCharType="separate"/>
      </w:r>
      <w:r>
        <w:t>101</w:t>
      </w:r>
      <w:r>
        <w:fldChar w:fldCharType="end"/>
      </w:r>
    </w:p>
    <w:p w14:paraId="0229F8A6" w14:textId="6FCE7FAF" w:rsidR="003C625C" w:rsidRDefault="003C625C">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Performance requirements for PDSCH</w:t>
      </w:r>
      <w:r>
        <w:tab/>
      </w:r>
      <w:r>
        <w:fldChar w:fldCharType="begin"/>
      </w:r>
      <w:r>
        <w:instrText xml:space="preserve"> PAGEREF _Toc106184024 \h </w:instrText>
      </w:r>
      <w:r>
        <w:fldChar w:fldCharType="separate"/>
      </w:r>
      <w:r>
        <w:t>101</w:t>
      </w:r>
      <w:r>
        <w:fldChar w:fldCharType="end"/>
      </w:r>
    </w:p>
    <w:p w14:paraId="1F34B85F" w14:textId="45CCF83A" w:rsidR="003C625C" w:rsidRDefault="003C625C">
      <w:pPr>
        <w:pStyle w:val="TOC5"/>
        <w:rPr>
          <w:rFonts w:asciiTheme="minorHAnsi" w:eastAsiaTheme="minorEastAsia" w:hAnsiTheme="minorHAnsi" w:cstheme="minorBidi"/>
          <w:sz w:val="22"/>
          <w:szCs w:val="22"/>
        </w:rPr>
      </w:pPr>
      <w:r>
        <w:rPr>
          <w:lang w:eastAsia="zh-CN"/>
        </w:rPr>
        <w:t>8.2.2.1.1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_Toc106184025 \h </w:instrText>
      </w:r>
      <w:r>
        <w:fldChar w:fldCharType="separate"/>
      </w:r>
      <w:r>
        <w:t>101</w:t>
      </w:r>
      <w:r>
        <w:fldChar w:fldCharType="end"/>
      </w:r>
    </w:p>
    <w:p w14:paraId="4491D39B" w14:textId="3C57A709" w:rsidR="003C625C" w:rsidRDefault="003C625C">
      <w:pPr>
        <w:pStyle w:val="TOC5"/>
        <w:rPr>
          <w:rFonts w:asciiTheme="minorHAnsi" w:eastAsiaTheme="minorEastAsia" w:hAnsiTheme="minorHAnsi" w:cstheme="minorBidi"/>
          <w:sz w:val="22"/>
          <w:szCs w:val="22"/>
        </w:rPr>
      </w:pPr>
      <w:r>
        <w:rPr>
          <w:lang w:eastAsia="zh-CN"/>
        </w:rPr>
        <w:t>8.2.2.1.2</w:t>
      </w:r>
      <w:r>
        <w:rPr>
          <w:rFonts w:asciiTheme="minorHAnsi" w:eastAsiaTheme="minorEastAsia" w:hAnsiTheme="minorHAnsi" w:cstheme="minorBidi"/>
          <w:sz w:val="22"/>
          <w:szCs w:val="22"/>
        </w:rPr>
        <w:tab/>
      </w:r>
      <w:r>
        <w:rPr>
          <w:lang w:eastAsia="zh-CN"/>
        </w:rPr>
        <w:t>Minimum requirements</w:t>
      </w:r>
      <w:r>
        <w:tab/>
      </w:r>
      <w:r>
        <w:fldChar w:fldCharType="begin"/>
      </w:r>
      <w:r>
        <w:instrText xml:space="preserve"> PAGEREF _Toc106184026 \h </w:instrText>
      </w:r>
      <w:r>
        <w:fldChar w:fldCharType="separate"/>
      </w:r>
      <w:r>
        <w:t>102</w:t>
      </w:r>
      <w:r>
        <w:fldChar w:fldCharType="end"/>
      </w:r>
    </w:p>
    <w:p w14:paraId="296FA98B" w14:textId="77665CE5" w:rsidR="003C625C" w:rsidRDefault="003C625C">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Performance requirements for PDCCH</w:t>
      </w:r>
      <w:r>
        <w:tab/>
      </w:r>
      <w:r>
        <w:fldChar w:fldCharType="begin"/>
      </w:r>
      <w:r>
        <w:instrText xml:space="preserve"> PAGEREF _Toc106184027 \h </w:instrText>
      </w:r>
      <w:r>
        <w:fldChar w:fldCharType="separate"/>
      </w:r>
      <w:r>
        <w:t>103</w:t>
      </w:r>
      <w:r>
        <w:fldChar w:fldCharType="end"/>
      </w:r>
    </w:p>
    <w:p w14:paraId="3BC7F0DE" w14:textId="656AE53C" w:rsidR="003C625C" w:rsidRDefault="003C625C">
      <w:pPr>
        <w:pStyle w:val="TOC5"/>
        <w:rPr>
          <w:rFonts w:asciiTheme="minorHAnsi" w:eastAsiaTheme="minorEastAsia" w:hAnsiTheme="minorHAnsi" w:cstheme="minorBidi"/>
          <w:sz w:val="22"/>
          <w:szCs w:val="22"/>
        </w:rPr>
      </w:pPr>
      <w:r>
        <w:rPr>
          <w:lang w:eastAsia="zh-CN"/>
        </w:rPr>
        <w:t>8.2.2.2.1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_Toc106184028 \h </w:instrText>
      </w:r>
      <w:r>
        <w:fldChar w:fldCharType="separate"/>
      </w:r>
      <w:r>
        <w:t>103</w:t>
      </w:r>
      <w:r>
        <w:fldChar w:fldCharType="end"/>
      </w:r>
    </w:p>
    <w:p w14:paraId="00705768" w14:textId="3416A28B" w:rsidR="003C625C" w:rsidRDefault="003C625C">
      <w:pPr>
        <w:pStyle w:val="TOC5"/>
        <w:rPr>
          <w:rFonts w:asciiTheme="minorHAnsi" w:eastAsiaTheme="minorEastAsia" w:hAnsiTheme="minorHAnsi" w:cstheme="minorBidi"/>
          <w:sz w:val="22"/>
          <w:szCs w:val="22"/>
        </w:rPr>
      </w:pPr>
      <w:r>
        <w:t>8.2.2.2.2</w:t>
      </w:r>
      <w:r>
        <w:rPr>
          <w:rFonts w:asciiTheme="minorHAnsi" w:eastAsiaTheme="minorEastAsia" w:hAnsiTheme="minorHAnsi" w:cstheme="minorBidi"/>
          <w:sz w:val="22"/>
          <w:szCs w:val="22"/>
        </w:rPr>
        <w:tab/>
      </w:r>
      <w:r>
        <w:rPr>
          <w:lang w:eastAsia="zh-CN"/>
        </w:rPr>
        <w:t>Minimum requirements</w:t>
      </w:r>
      <w:r>
        <w:tab/>
      </w:r>
      <w:r>
        <w:fldChar w:fldCharType="begin"/>
      </w:r>
      <w:r>
        <w:instrText xml:space="preserve"> PAGEREF _Toc106184029 \h </w:instrText>
      </w:r>
      <w:r>
        <w:fldChar w:fldCharType="separate"/>
      </w:r>
      <w:r>
        <w:t>103</w:t>
      </w:r>
      <w:r>
        <w:fldChar w:fldCharType="end"/>
      </w:r>
    </w:p>
    <w:p w14:paraId="70D5F3B1" w14:textId="0E05CACA" w:rsidR="003C625C" w:rsidRDefault="003C625C">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CSI reporting requirements</w:t>
      </w:r>
      <w:r>
        <w:tab/>
      </w:r>
      <w:r>
        <w:fldChar w:fldCharType="begin"/>
      </w:r>
      <w:r>
        <w:instrText xml:space="preserve"> PAGEREF _Toc106184030 \h </w:instrText>
      </w:r>
      <w:r>
        <w:fldChar w:fldCharType="separate"/>
      </w:r>
      <w:r>
        <w:t>103</w:t>
      </w:r>
      <w:r>
        <w:fldChar w:fldCharType="end"/>
      </w:r>
    </w:p>
    <w:p w14:paraId="5AF2AF02" w14:textId="2E75544B" w:rsidR="003C625C" w:rsidRDefault="003C625C">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General</w:t>
      </w:r>
      <w:r>
        <w:tab/>
      </w:r>
      <w:r>
        <w:fldChar w:fldCharType="begin"/>
      </w:r>
      <w:r>
        <w:instrText xml:space="preserve"> PAGEREF _Toc106184031 \h </w:instrText>
      </w:r>
      <w:r>
        <w:fldChar w:fldCharType="separate"/>
      </w:r>
      <w:r>
        <w:t>103</w:t>
      </w:r>
      <w:r>
        <w:fldChar w:fldCharType="end"/>
      </w:r>
    </w:p>
    <w:p w14:paraId="2B30BFB6" w14:textId="4AC85187" w:rsidR="003C625C" w:rsidRDefault="003C625C">
      <w:pPr>
        <w:pStyle w:val="TOC5"/>
        <w:rPr>
          <w:rFonts w:asciiTheme="minorHAnsi" w:eastAsiaTheme="minorEastAsia" w:hAnsiTheme="minorHAnsi" w:cstheme="minorBidi"/>
          <w:sz w:val="22"/>
          <w:szCs w:val="22"/>
        </w:rPr>
      </w:pPr>
      <w:r>
        <w:t>8.2.3.1.1</w:t>
      </w:r>
      <w:r>
        <w:rPr>
          <w:rFonts w:asciiTheme="minorHAnsi" w:eastAsiaTheme="minorEastAsia" w:hAnsiTheme="minorHAnsi" w:cstheme="minorBidi"/>
          <w:sz w:val="22"/>
          <w:szCs w:val="22"/>
        </w:rPr>
        <w:tab/>
      </w:r>
      <w:r>
        <w:t>Common test parameters</w:t>
      </w:r>
      <w:r>
        <w:tab/>
      </w:r>
      <w:r>
        <w:fldChar w:fldCharType="begin"/>
      </w:r>
      <w:r>
        <w:instrText xml:space="preserve"> PAGEREF _Toc106184032 \h </w:instrText>
      </w:r>
      <w:r>
        <w:fldChar w:fldCharType="separate"/>
      </w:r>
      <w:r>
        <w:t>103</w:t>
      </w:r>
      <w:r>
        <w:fldChar w:fldCharType="end"/>
      </w:r>
    </w:p>
    <w:p w14:paraId="083776BF" w14:textId="5B32683D" w:rsidR="003C625C" w:rsidRDefault="003C625C">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Reporting of Channel Quality Indicator (CQI)</w:t>
      </w:r>
      <w:r>
        <w:tab/>
      </w:r>
      <w:r>
        <w:fldChar w:fldCharType="begin"/>
      </w:r>
      <w:r>
        <w:instrText xml:space="preserve"> PAGEREF _Toc106184033 \h </w:instrText>
      </w:r>
      <w:r>
        <w:fldChar w:fldCharType="separate"/>
      </w:r>
      <w:r>
        <w:t>106</w:t>
      </w:r>
      <w:r>
        <w:fldChar w:fldCharType="end"/>
      </w:r>
    </w:p>
    <w:p w14:paraId="52D337C1" w14:textId="7700ACC6" w:rsidR="003C625C" w:rsidRDefault="003C625C">
      <w:pPr>
        <w:pStyle w:val="TOC5"/>
        <w:rPr>
          <w:rFonts w:asciiTheme="minorHAnsi" w:eastAsiaTheme="minorEastAsia" w:hAnsiTheme="minorHAnsi" w:cstheme="minorBidi"/>
          <w:sz w:val="22"/>
          <w:szCs w:val="22"/>
        </w:rPr>
      </w:pPr>
      <w:r>
        <w:t>8.2.3.2.1</w:t>
      </w:r>
      <w:r>
        <w:rPr>
          <w:rFonts w:asciiTheme="minorHAnsi" w:eastAsiaTheme="minorEastAsia" w:hAnsiTheme="minorHAnsi" w:cstheme="minorBidi"/>
          <w:sz w:val="22"/>
          <w:szCs w:val="22"/>
        </w:rPr>
        <w:tab/>
      </w:r>
      <w:r>
        <w:t>General</w:t>
      </w:r>
      <w:r>
        <w:tab/>
      </w:r>
      <w:r>
        <w:fldChar w:fldCharType="begin"/>
      </w:r>
      <w:r>
        <w:instrText xml:space="preserve"> PAGEREF _Toc106184034 \h </w:instrText>
      </w:r>
      <w:r>
        <w:fldChar w:fldCharType="separate"/>
      </w:r>
      <w:r>
        <w:t>106</w:t>
      </w:r>
      <w:r>
        <w:fldChar w:fldCharType="end"/>
      </w:r>
    </w:p>
    <w:p w14:paraId="0C0ED410" w14:textId="5A1FE5DF" w:rsidR="003C625C" w:rsidRDefault="003C625C">
      <w:pPr>
        <w:pStyle w:val="TOC5"/>
        <w:rPr>
          <w:rFonts w:asciiTheme="minorHAnsi" w:eastAsiaTheme="minorEastAsia" w:hAnsiTheme="minorHAnsi" w:cstheme="minorBidi"/>
          <w:sz w:val="22"/>
          <w:szCs w:val="22"/>
        </w:rPr>
      </w:pPr>
      <w:r>
        <w:t>8.2.3.2.2</w:t>
      </w:r>
      <w:r>
        <w:rPr>
          <w:rFonts w:asciiTheme="minorHAnsi" w:eastAsiaTheme="minorEastAsia" w:hAnsiTheme="minorHAnsi" w:cstheme="minorBidi"/>
          <w:sz w:val="22"/>
          <w:szCs w:val="22"/>
        </w:rPr>
        <w:tab/>
      </w:r>
      <w:r>
        <w:t>Minimum requirements</w:t>
      </w:r>
      <w:r>
        <w:tab/>
      </w:r>
      <w:r>
        <w:fldChar w:fldCharType="begin"/>
      </w:r>
      <w:r>
        <w:instrText xml:space="preserve"> PAGEREF _Toc106184035 \h </w:instrText>
      </w:r>
      <w:r>
        <w:fldChar w:fldCharType="separate"/>
      </w:r>
      <w:r>
        <w:t>106</w:t>
      </w:r>
      <w:r>
        <w:fldChar w:fldCharType="end"/>
      </w:r>
    </w:p>
    <w:p w14:paraId="2FEA2156" w14:textId="2D81D049" w:rsidR="003C625C" w:rsidRDefault="003C625C">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Reporting of Precoding Matrix Indicator (PMI)</w:t>
      </w:r>
      <w:r>
        <w:tab/>
      </w:r>
      <w:r>
        <w:fldChar w:fldCharType="begin"/>
      </w:r>
      <w:r>
        <w:instrText xml:space="preserve"> PAGEREF _Toc106184036 \h </w:instrText>
      </w:r>
      <w:r>
        <w:fldChar w:fldCharType="separate"/>
      </w:r>
      <w:r>
        <w:t>107</w:t>
      </w:r>
      <w:r>
        <w:fldChar w:fldCharType="end"/>
      </w:r>
    </w:p>
    <w:p w14:paraId="440DAA92" w14:textId="3929E438" w:rsidR="003C625C" w:rsidRDefault="003C625C">
      <w:pPr>
        <w:pStyle w:val="TOC5"/>
        <w:rPr>
          <w:rFonts w:asciiTheme="minorHAnsi" w:eastAsiaTheme="minorEastAsia" w:hAnsiTheme="minorHAnsi" w:cstheme="minorBidi"/>
          <w:sz w:val="22"/>
          <w:szCs w:val="22"/>
        </w:rPr>
      </w:pPr>
      <w:r>
        <w:t>8.2.3.3.1</w:t>
      </w:r>
      <w:r>
        <w:rPr>
          <w:rFonts w:asciiTheme="minorHAnsi" w:eastAsiaTheme="minorEastAsia" w:hAnsiTheme="minorHAnsi" w:cstheme="minorBidi"/>
          <w:sz w:val="22"/>
          <w:szCs w:val="22"/>
        </w:rPr>
        <w:tab/>
      </w:r>
      <w:r>
        <w:t>General</w:t>
      </w:r>
      <w:r>
        <w:tab/>
      </w:r>
      <w:r>
        <w:fldChar w:fldCharType="begin"/>
      </w:r>
      <w:r>
        <w:instrText xml:space="preserve"> PAGEREF _Toc106184037 \h </w:instrText>
      </w:r>
      <w:r>
        <w:fldChar w:fldCharType="separate"/>
      </w:r>
      <w:r>
        <w:t>107</w:t>
      </w:r>
      <w:r>
        <w:fldChar w:fldCharType="end"/>
      </w:r>
    </w:p>
    <w:p w14:paraId="5B558412" w14:textId="7600E75A" w:rsidR="003C625C" w:rsidRDefault="003C625C">
      <w:pPr>
        <w:pStyle w:val="TOC5"/>
        <w:rPr>
          <w:rFonts w:asciiTheme="minorHAnsi" w:eastAsiaTheme="minorEastAsia" w:hAnsiTheme="minorHAnsi" w:cstheme="minorBidi"/>
          <w:sz w:val="22"/>
          <w:szCs w:val="22"/>
        </w:rPr>
      </w:pPr>
      <w:r>
        <w:t>8.2.3.3.2</w:t>
      </w:r>
      <w:r>
        <w:rPr>
          <w:rFonts w:asciiTheme="minorHAnsi" w:eastAsiaTheme="minorEastAsia" w:hAnsiTheme="minorHAnsi" w:cstheme="minorBidi"/>
          <w:sz w:val="22"/>
          <w:szCs w:val="22"/>
        </w:rPr>
        <w:tab/>
      </w:r>
      <w:r>
        <w:t>Minimum requirements</w:t>
      </w:r>
      <w:r>
        <w:tab/>
      </w:r>
      <w:r>
        <w:fldChar w:fldCharType="begin"/>
      </w:r>
      <w:r>
        <w:instrText xml:space="preserve"> PAGEREF _Toc106184038 \h </w:instrText>
      </w:r>
      <w:r>
        <w:fldChar w:fldCharType="separate"/>
      </w:r>
      <w:r>
        <w:t>109</w:t>
      </w:r>
      <w:r>
        <w:fldChar w:fldCharType="end"/>
      </w:r>
    </w:p>
    <w:p w14:paraId="7AB888FE" w14:textId="7C2E942B" w:rsidR="003C625C" w:rsidRDefault="003C625C">
      <w:pPr>
        <w:pStyle w:val="TOC4"/>
        <w:rPr>
          <w:rFonts w:asciiTheme="minorHAnsi" w:eastAsiaTheme="minorEastAsia" w:hAnsiTheme="minorHAnsi" w:cstheme="minorBidi"/>
          <w:sz w:val="22"/>
          <w:szCs w:val="22"/>
        </w:rPr>
      </w:pPr>
      <w:r>
        <w:t>8.2.3.4</w:t>
      </w:r>
      <w:r>
        <w:rPr>
          <w:rFonts w:asciiTheme="minorHAnsi" w:eastAsiaTheme="minorEastAsia" w:hAnsiTheme="minorHAnsi" w:cstheme="minorBidi"/>
          <w:sz w:val="22"/>
          <w:szCs w:val="22"/>
        </w:rPr>
        <w:tab/>
      </w:r>
      <w:r>
        <w:t>Reporting of Rank Indicator (RI)</w:t>
      </w:r>
      <w:r>
        <w:tab/>
      </w:r>
      <w:r>
        <w:fldChar w:fldCharType="begin"/>
      </w:r>
      <w:r>
        <w:instrText xml:space="preserve"> PAGEREF _Toc106184039 \h </w:instrText>
      </w:r>
      <w:r>
        <w:fldChar w:fldCharType="separate"/>
      </w:r>
      <w:r>
        <w:t>109</w:t>
      </w:r>
      <w:r>
        <w:fldChar w:fldCharType="end"/>
      </w:r>
    </w:p>
    <w:p w14:paraId="146C6C0A" w14:textId="0A653E99" w:rsidR="003C625C" w:rsidRDefault="003C625C">
      <w:pPr>
        <w:pStyle w:val="TOC5"/>
        <w:rPr>
          <w:rFonts w:asciiTheme="minorHAnsi" w:eastAsiaTheme="minorEastAsia" w:hAnsiTheme="minorHAnsi" w:cstheme="minorBidi"/>
          <w:sz w:val="22"/>
          <w:szCs w:val="22"/>
        </w:rPr>
      </w:pPr>
      <w:r>
        <w:t>8.2.3.4.1</w:t>
      </w:r>
      <w:r>
        <w:rPr>
          <w:rFonts w:asciiTheme="minorHAnsi" w:eastAsiaTheme="minorEastAsia" w:hAnsiTheme="minorHAnsi" w:cstheme="minorBidi"/>
          <w:sz w:val="22"/>
          <w:szCs w:val="22"/>
        </w:rPr>
        <w:tab/>
      </w:r>
      <w:r>
        <w:t>General</w:t>
      </w:r>
      <w:r>
        <w:tab/>
      </w:r>
      <w:r>
        <w:fldChar w:fldCharType="begin"/>
      </w:r>
      <w:r>
        <w:instrText xml:space="preserve"> PAGEREF _Toc106184040 \h </w:instrText>
      </w:r>
      <w:r>
        <w:fldChar w:fldCharType="separate"/>
      </w:r>
      <w:r>
        <w:t>109</w:t>
      </w:r>
      <w:r>
        <w:fldChar w:fldCharType="end"/>
      </w:r>
    </w:p>
    <w:p w14:paraId="1E79878A" w14:textId="2EABE690" w:rsidR="003C625C" w:rsidRDefault="003C625C">
      <w:pPr>
        <w:pStyle w:val="TOC5"/>
        <w:rPr>
          <w:rFonts w:asciiTheme="minorHAnsi" w:eastAsiaTheme="minorEastAsia" w:hAnsiTheme="minorHAnsi" w:cstheme="minorBidi"/>
          <w:sz w:val="22"/>
          <w:szCs w:val="22"/>
        </w:rPr>
      </w:pPr>
      <w:r>
        <w:t>8.2.3.4.2</w:t>
      </w:r>
      <w:r>
        <w:rPr>
          <w:rFonts w:asciiTheme="minorHAnsi" w:eastAsiaTheme="minorEastAsia" w:hAnsiTheme="minorHAnsi" w:cstheme="minorBidi"/>
          <w:sz w:val="22"/>
          <w:szCs w:val="22"/>
        </w:rPr>
        <w:tab/>
      </w:r>
      <w:r>
        <w:t>Minimum requirements</w:t>
      </w:r>
      <w:r>
        <w:tab/>
      </w:r>
      <w:r>
        <w:fldChar w:fldCharType="begin"/>
      </w:r>
      <w:r>
        <w:instrText xml:space="preserve"> PAGEREF _Toc106184041 \h </w:instrText>
      </w:r>
      <w:r>
        <w:fldChar w:fldCharType="separate"/>
      </w:r>
      <w:r>
        <w:t>110</w:t>
      </w:r>
      <w:r>
        <w:fldChar w:fldCharType="end"/>
      </w:r>
    </w:p>
    <w:p w14:paraId="37516CAF" w14:textId="46E9E2DC" w:rsidR="003C625C" w:rsidRDefault="003C625C">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Radiated transmitter characteristics</w:t>
      </w:r>
      <w:r>
        <w:tab/>
      </w:r>
      <w:r>
        <w:fldChar w:fldCharType="begin"/>
      </w:r>
      <w:r>
        <w:instrText xml:space="preserve"> PAGEREF _Toc106184042 \h </w:instrText>
      </w:r>
      <w:r>
        <w:fldChar w:fldCharType="separate"/>
      </w:r>
      <w:r>
        <w:t>111</w:t>
      </w:r>
      <w:r>
        <w:fldChar w:fldCharType="end"/>
      </w:r>
    </w:p>
    <w:p w14:paraId="49C34E37" w14:textId="0C0EACCF" w:rsidR="003C625C" w:rsidRDefault="003C625C">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General</w:t>
      </w:r>
      <w:r>
        <w:tab/>
      </w:r>
      <w:r>
        <w:fldChar w:fldCharType="begin"/>
      </w:r>
      <w:r>
        <w:instrText xml:space="preserve"> PAGEREF _Toc106184043 \h </w:instrText>
      </w:r>
      <w:r>
        <w:fldChar w:fldCharType="separate"/>
      </w:r>
      <w:r>
        <w:t>111</w:t>
      </w:r>
      <w:r>
        <w:fldChar w:fldCharType="end"/>
      </w:r>
    </w:p>
    <w:p w14:paraId="649C693F" w14:textId="21478CCC" w:rsidR="003C625C" w:rsidRDefault="003C625C">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Radiated transmit power</w:t>
      </w:r>
      <w:r>
        <w:tab/>
      </w:r>
      <w:r>
        <w:fldChar w:fldCharType="begin"/>
      </w:r>
      <w:r>
        <w:instrText xml:space="preserve"> PAGEREF _Toc106184044 \h </w:instrText>
      </w:r>
      <w:r>
        <w:fldChar w:fldCharType="separate"/>
      </w:r>
      <w:r>
        <w:t>111</w:t>
      </w:r>
      <w:r>
        <w:fldChar w:fldCharType="end"/>
      </w:r>
    </w:p>
    <w:p w14:paraId="5F7E8AD9" w14:textId="0119B415" w:rsidR="003C625C" w:rsidRDefault="003C625C">
      <w:pPr>
        <w:pStyle w:val="TOC3"/>
        <w:rPr>
          <w:rFonts w:asciiTheme="minorHAnsi" w:eastAsiaTheme="minorEastAsia" w:hAnsiTheme="minorHAnsi" w:cstheme="minorBidi"/>
          <w:sz w:val="22"/>
          <w:szCs w:val="22"/>
        </w:rPr>
      </w:pPr>
      <w:r>
        <w:t>9.2.1</w:t>
      </w:r>
      <w:r>
        <w:rPr>
          <w:rFonts w:asciiTheme="minorHAnsi" w:eastAsiaTheme="minorEastAsia" w:hAnsiTheme="minorHAnsi" w:cstheme="minorBidi"/>
          <w:sz w:val="22"/>
          <w:szCs w:val="22"/>
        </w:rPr>
        <w:tab/>
      </w:r>
      <w:r>
        <w:t>General</w:t>
      </w:r>
      <w:r>
        <w:tab/>
      </w:r>
      <w:r>
        <w:fldChar w:fldCharType="begin"/>
      </w:r>
      <w:r>
        <w:instrText xml:space="preserve"> PAGEREF _Toc106184045 \h </w:instrText>
      </w:r>
      <w:r>
        <w:fldChar w:fldCharType="separate"/>
      </w:r>
      <w:r>
        <w:t>111</w:t>
      </w:r>
      <w:r>
        <w:fldChar w:fldCharType="end"/>
      </w:r>
    </w:p>
    <w:p w14:paraId="14A1956E" w14:textId="6AB70896" w:rsidR="003C625C" w:rsidRDefault="003C625C">
      <w:pPr>
        <w:pStyle w:val="TOC3"/>
        <w:rPr>
          <w:rFonts w:asciiTheme="minorHAnsi" w:eastAsiaTheme="minorEastAsia" w:hAnsiTheme="minorHAnsi" w:cstheme="minorBidi"/>
          <w:sz w:val="22"/>
          <w:szCs w:val="22"/>
        </w:rPr>
      </w:pPr>
      <w:r>
        <w:t>9.2.2</w:t>
      </w:r>
      <w:r>
        <w:rPr>
          <w:rFonts w:asciiTheme="minorHAnsi" w:eastAsiaTheme="minorEastAsia" w:hAnsiTheme="minorHAnsi" w:cstheme="minorBidi"/>
          <w:sz w:val="22"/>
          <w:szCs w:val="22"/>
        </w:rPr>
        <w:tab/>
      </w:r>
      <w:r>
        <w:t>Minimum requirement for IAB-DU type 1-H, IAB-DU type 1-O, IAB-MT type 1-H and IAB-MT type 1-O</w:t>
      </w:r>
      <w:r>
        <w:tab/>
      </w:r>
      <w:r>
        <w:fldChar w:fldCharType="begin"/>
      </w:r>
      <w:r>
        <w:instrText xml:space="preserve"> PAGEREF _Toc106184046 \h </w:instrText>
      </w:r>
      <w:r>
        <w:fldChar w:fldCharType="separate"/>
      </w:r>
      <w:r>
        <w:t>112</w:t>
      </w:r>
      <w:r>
        <w:fldChar w:fldCharType="end"/>
      </w:r>
    </w:p>
    <w:p w14:paraId="15EE5456" w14:textId="22BE1099" w:rsidR="003C625C" w:rsidRDefault="003C625C">
      <w:pPr>
        <w:pStyle w:val="TOC3"/>
        <w:rPr>
          <w:rFonts w:asciiTheme="minorHAnsi" w:eastAsiaTheme="minorEastAsia" w:hAnsiTheme="minorHAnsi" w:cstheme="minorBidi"/>
          <w:sz w:val="22"/>
          <w:szCs w:val="22"/>
        </w:rPr>
      </w:pPr>
      <w:r>
        <w:t>9.2.3</w:t>
      </w:r>
      <w:r>
        <w:rPr>
          <w:rFonts w:asciiTheme="minorHAnsi" w:eastAsiaTheme="minorEastAsia" w:hAnsiTheme="minorHAnsi" w:cstheme="minorBidi"/>
          <w:sz w:val="22"/>
          <w:szCs w:val="22"/>
        </w:rPr>
        <w:tab/>
      </w:r>
      <w:r>
        <w:t>Minimum requirement for IAB-DU type 2-O and IAB-MT type 2-O</w:t>
      </w:r>
      <w:r>
        <w:tab/>
      </w:r>
      <w:r>
        <w:fldChar w:fldCharType="begin"/>
      </w:r>
      <w:r>
        <w:instrText xml:space="preserve"> PAGEREF _Toc106184047 \h </w:instrText>
      </w:r>
      <w:r>
        <w:fldChar w:fldCharType="separate"/>
      </w:r>
      <w:r>
        <w:t>112</w:t>
      </w:r>
      <w:r>
        <w:fldChar w:fldCharType="end"/>
      </w:r>
    </w:p>
    <w:p w14:paraId="732623A2" w14:textId="2258E388" w:rsidR="003C625C" w:rsidRDefault="003C625C">
      <w:pPr>
        <w:pStyle w:val="TOC3"/>
        <w:rPr>
          <w:rFonts w:asciiTheme="minorHAnsi" w:eastAsiaTheme="minorEastAsia" w:hAnsiTheme="minorHAnsi" w:cstheme="minorBidi"/>
          <w:sz w:val="22"/>
          <w:szCs w:val="22"/>
        </w:rPr>
      </w:pPr>
      <w:r w:rsidRPr="00DD4EB8">
        <w:rPr>
          <w:rFonts w:eastAsia="MS Mincho"/>
        </w:rPr>
        <w:t>9.2.4</w:t>
      </w:r>
      <w:r>
        <w:rPr>
          <w:rFonts w:asciiTheme="minorHAnsi" w:eastAsiaTheme="minorEastAsia" w:hAnsiTheme="minorHAnsi" w:cstheme="minorBidi"/>
          <w:sz w:val="22"/>
          <w:szCs w:val="22"/>
        </w:rPr>
        <w:tab/>
      </w:r>
      <w:r w:rsidRPr="00DD4EB8">
        <w:rPr>
          <w:rFonts w:eastAsia="MS Mincho"/>
        </w:rPr>
        <w:t>Configured radiated output power</w:t>
      </w:r>
      <w:r>
        <w:tab/>
      </w:r>
      <w:r>
        <w:fldChar w:fldCharType="begin"/>
      </w:r>
      <w:r>
        <w:instrText xml:space="preserve"> PAGEREF _Toc106184048 \h </w:instrText>
      </w:r>
      <w:r>
        <w:fldChar w:fldCharType="separate"/>
      </w:r>
      <w:r>
        <w:t>112</w:t>
      </w:r>
      <w:r>
        <w:fldChar w:fldCharType="end"/>
      </w:r>
    </w:p>
    <w:p w14:paraId="1931E721" w14:textId="63334816" w:rsidR="003C625C" w:rsidRDefault="003C625C">
      <w:pPr>
        <w:pStyle w:val="TOC4"/>
        <w:rPr>
          <w:rFonts w:asciiTheme="minorHAnsi" w:eastAsiaTheme="minorEastAsia" w:hAnsiTheme="minorHAnsi" w:cstheme="minorBidi"/>
          <w:sz w:val="22"/>
          <w:szCs w:val="22"/>
        </w:rPr>
      </w:pPr>
      <w:r w:rsidRPr="00DD4EB8">
        <w:rPr>
          <w:rFonts w:eastAsia="MS Mincho"/>
        </w:rPr>
        <w:lastRenderedPageBreak/>
        <w:t>9.2.4.1</w:t>
      </w:r>
      <w:r>
        <w:rPr>
          <w:rFonts w:asciiTheme="minorHAnsi" w:eastAsiaTheme="minorEastAsia" w:hAnsiTheme="minorHAnsi" w:cstheme="minorBidi"/>
          <w:sz w:val="22"/>
          <w:szCs w:val="22"/>
        </w:rPr>
        <w:tab/>
      </w:r>
      <w:r w:rsidRPr="00DD4EB8">
        <w:rPr>
          <w:rFonts w:eastAsia="MS Mincho"/>
        </w:rPr>
        <w:t>IAB-MT configured output power for IAB-MT type 1-H, 1-O and 2-O</w:t>
      </w:r>
      <w:r>
        <w:tab/>
      </w:r>
      <w:r>
        <w:fldChar w:fldCharType="begin"/>
      </w:r>
      <w:r>
        <w:instrText xml:space="preserve"> PAGEREF _Toc106184049 \h </w:instrText>
      </w:r>
      <w:r>
        <w:fldChar w:fldCharType="separate"/>
      </w:r>
      <w:r>
        <w:t>112</w:t>
      </w:r>
      <w:r>
        <w:fldChar w:fldCharType="end"/>
      </w:r>
    </w:p>
    <w:p w14:paraId="2A7C9868" w14:textId="14620CEA" w:rsidR="003C625C" w:rsidRDefault="003C625C">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 xml:space="preserve">OTA </w:t>
      </w:r>
      <w:r>
        <w:rPr>
          <w:lang w:eastAsia="zh-CN"/>
        </w:rPr>
        <w:t>IAB</w:t>
      </w:r>
      <w:r>
        <w:t xml:space="preserve"> output power</w:t>
      </w:r>
      <w:r>
        <w:tab/>
      </w:r>
      <w:r>
        <w:fldChar w:fldCharType="begin"/>
      </w:r>
      <w:r>
        <w:instrText xml:space="preserve"> PAGEREF _Toc106184050 \h </w:instrText>
      </w:r>
      <w:r>
        <w:fldChar w:fldCharType="separate"/>
      </w:r>
      <w:r>
        <w:t>112</w:t>
      </w:r>
      <w:r>
        <w:fldChar w:fldCharType="end"/>
      </w:r>
    </w:p>
    <w:p w14:paraId="08EFA933" w14:textId="19210B19" w:rsidR="003C625C" w:rsidRDefault="003C625C">
      <w:pPr>
        <w:pStyle w:val="TOC3"/>
        <w:rPr>
          <w:rFonts w:asciiTheme="minorHAnsi" w:eastAsiaTheme="minorEastAsia" w:hAnsiTheme="minorHAnsi" w:cstheme="minorBidi"/>
          <w:sz w:val="22"/>
          <w:szCs w:val="22"/>
        </w:rPr>
      </w:pPr>
      <w:r>
        <w:t>9.3.1</w:t>
      </w:r>
      <w:r>
        <w:rPr>
          <w:rFonts w:asciiTheme="minorHAnsi" w:eastAsiaTheme="minorEastAsia" w:hAnsiTheme="minorHAnsi" w:cstheme="minorBidi"/>
          <w:sz w:val="22"/>
          <w:szCs w:val="22"/>
        </w:rPr>
        <w:tab/>
      </w:r>
      <w:r>
        <w:t>General</w:t>
      </w:r>
      <w:r>
        <w:tab/>
      </w:r>
      <w:r>
        <w:fldChar w:fldCharType="begin"/>
      </w:r>
      <w:r>
        <w:instrText xml:space="preserve"> PAGEREF _Toc106184051 \h </w:instrText>
      </w:r>
      <w:r>
        <w:fldChar w:fldCharType="separate"/>
      </w:r>
      <w:r>
        <w:t>112</w:t>
      </w:r>
      <w:r>
        <w:fldChar w:fldCharType="end"/>
      </w:r>
    </w:p>
    <w:p w14:paraId="6D3AADB7" w14:textId="53416067" w:rsidR="003C625C" w:rsidRDefault="003C625C">
      <w:pPr>
        <w:pStyle w:val="TOC3"/>
        <w:rPr>
          <w:rFonts w:asciiTheme="minorHAnsi" w:eastAsiaTheme="minorEastAsia" w:hAnsiTheme="minorHAnsi" w:cstheme="minorBidi"/>
          <w:sz w:val="22"/>
          <w:szCs w:val="22"/>
        </w:rPr>
      </w:pPr>
      <w:r>
        <w:t>9.3.2</w:t>
      </w:r>
      <w:r>
        <w:rPr>
          <w:rFonts w:asciiTheme="minorHAnsi" w:eastAsiaTheme="minorEastAsia" w:hAnsiTheme="minorHAnsi" w:cstheme="minorBidi"/>
          <w:sz w:val="22"/>
          <w:szCs w:val="22"/>
        </w:rPr>
        <w:tab/>
      </w:r>
      <w:r>
        <w:t>Minimum requirement for IAB-DU type 1-O and IAB-MT type 1-O</w:t>
      </w:r>
      <w:r>
        <w:tab/>
      </w:r>
      <w:r>
        <w:fldChar w:fldCharType="begin"/>
      </w:r>
      <w:r>
        <w:instrText xml:space="preserve"> PAGEREF _Toc106184052 \h </w:instrText>
      </w:r>
      <w:r>
        <w:fldChar w:fldCharType="separate"/>
      </w:r>
      <w:r>
        <w:t>113</w:t>
      </w:r>
      <w:r>
        <w:fldChar w:fldCharType="end"/>
      </w:r>
    </w:p>
    <w:p w14:paraId="7F273B6A" w14:textId="500802E8" w:rsidR="003C625C" w:rsidRDefault="003C625C">
      <w:pPr>
        <w:pStyle w:val="TOC3"/>
        <w:rPr>
          <w:rFonts w:asciiTheme="minorHAnsi" w:eastAsiaTheme="minorEastAsia" w:hAnsiTheme="minorHAnsi" w:cstheme="minorBidi"/>
          <w:sz w:val="22"/>
          <w:szCs w:val="22"/>
        </w:rPr>
      </w:pPr>
      <w:r>
        <w:t>9.3.3</w:t>
      </w:r>
      <w:r>
        <w:rPr>
          <w:rFonts w:asciiTheme="minorHAnsi" w:eastAsiaTheme="minorEastAsia" w:hAnsiTheme="minorHAnsi" w:cstheme="minorBidi"/>
          <w:sz w:val="22"/>
          <w:szCs w:val="22"/>
        </w:rPr>
        <w:tab/>
      </w:r>
      <w:r>
        <w:t>Minimum requirement for IAB type 2-O</w:t>
      </w:r>
      <w:r>
        <w:tab/>
      </w:r>
      <w:r>
        <w:fldChar w:fldCharType="begin"/>
      </w:r>
      <w:r>
        <w:instrText xml:space="preserve"> PAGEREF _Toc106184053 \h </w:instrText>
      </w:r>
      <w:r>
        <w:fldChar w:fldCharType="separate"/>
      </w:r>
      <w:r>
        <w:t>113</w:t>
      </w:r>
      <w:r>
        <w:fldChar w:fldCharType="end"/>
      </w:r>
    </w:p>
    <w:p w14:paraId="1F1F4E1E" w14:textId="0F017AF8" w:rsidR="003C625C" w:rsidRDefault="003C625C">
      <w:pPr>
        <w:pStyle w:val="TOC2"/>
        <w:rPr>
          <w:rFonts w:asciiTheme="minorHAnsi" w:eastAsiaTheme="minorEastAsia" w:hAnsiTheme="minorHAnsi" w:cstheme="minorBidi"/>
          <w:sz w:val="22"/>
          <w:szCs w:val="22"/>
        </w:rPr>
      </w:pPr>
      <w:r>
        <w:t>9.4</w:t>
      </w:r>
      <w:r>
        <w:rPr>
          <w:rFonts w:asciiTheme="minorHAnsi" w:eastAsiaTheme="minorEastAsia" w:hAnsiTheme="minorHAnsi" w:cstheme="minorBidi"/>
          <w:sz w:val="22"/>
          <w:szCs w:val="22"/>
        </w:rPr>
        <w:tab/>
      </w:r>
      <w:r>
        <w:t>OTA output power dynamics</w:t>
      </w:r>
      <w:r>
        <w:tab/>
      </w:r>
      <w:r>
        <w:fldChar w:fldCharType="begin"/>
      </w:r>
      <w:r>
        <w:instrText xml:space="preserve"> PAGEREF _Toc106184054 \h </w:instrText>
      </w:r>
      <w:r>
        <w:fldChar w:fldCharType="separate"/>
      </w:r>
      <w:r>
        <w:t>113</w:t>
      </w:r>
      <w:r>
        <w:fldChar w:fldCharType="end"/>
      </w:r>
    </w:p>
    <w:p w14:paraId="0F048B13" w14:textId="4836D936" w:rsidR="003C625C" w:rsidRDefault="003C625C">
      <w:pPr>
        <w:pStyle w:val="TOC3"/>
        <w:rPr>
          <w:rFonts w:asciiTheme="minorHAnsi" w:eastAsiaTheme="minorEastAsia" w:hAnsiTheme="minorHAnsi" w:cstheme="minorBidi"/>
          <w:sz w:val="22"/>
          <w:szCs w:val="22"/>
        </w:rPr>
      </w:pPr>
      <w:r>
        <w:t>9.4.1</w:t>
      </w:r>
      <w:r>
        <w:rPr>
          <w:rFonts w:asciiTheme="minorHAnsi" w:eastAsiaTheme="minorEastAsia" w:hAnsiTheme="minorHAnsi" w:cstheme="minorBidi"/>
          <w:sz w:val="22"/>
          <w:szCs w:val="22"/>
        </w:rPr>
        <w:tab/>
      </w:r>
      <w:r>
        <w:t>IAB-DU OTA Output Power Dynamics</w:t>
      </w:r>
      <w:r>
        <w:tab/>
      </w:r>
      <w:r>
        <w:fldChar w:fldCharType="begin"/>
      </w:r>
      <w:r>
        <w:instrText xml:space="preserve"> PAGEREF _Toc106184055 \h </w:instrText>
      </w:r>
      <w:r>
        <w:fldChar w:fldCharType="separate"/>
      </w:r>
      <w:r>
        <w:t>113</w:t>
      </w:r>
      <w:r>
        <w:fldChar w:fldCharType="end"/>
      </w:r>
    </w:p>
    <w:p w14:paraId="3C5817E4" w14:textId="6AB26E37" w:rsidR="003C625C" w:rsidRDefault="003C625C">
      <w:pPr>
        <w:pStyle w:val="TOC4"/>
        <w:rPr>
          <w:rFonts w:asciiTheme="minorHAnsi" w:eastAsiaTheme="minorEastAsia" w:hAnsiTheme="minorHAnsi" w:cstheme="minorBidi"/>
          <w:sz w:val="22"/>
          <w:szCs w:val="22"/>
        </w:rPr>
      </w:pPr>
      <w:r>
        <w:t>9.4.1.1</w:t>
      </w:r>
      <w:r>
        <w:rPr>
          <w:rFonts w:asciiTheme="minorHAnsi" w:eastAsiaTheme="minorEastAsia" w:hAnsiTheme="minorHAnsi" w:cstheme="minorBidi"/>
          <w:sz w:val="22"/>
          <w:szCs w:val="22"/>
        </w:rPr>
        <w:tab/>
      </w:r>
      <w:r>
        <w:t>General</w:t>
      </w:r>
      <w:r>
        <w:tab/>
      </w:r>
      <w:r>
        <w:fldChar w:fldCharType="begin"/>
      </w:r>
      <w:r>
        <w:instrText xml:space="preserve"> PAGEREF _Toc106184056 \h </w:instrText>
      </w:r>
      <w:r>
        <w:fldChar w:fldCharType="separate"/>
      </w:r>
      <w:r>
        <w:t>113</w:t>
      </w:r>
      <w:r>
        <w:fldChar w:fldCharType="end"/>
      </w:r>
    </w:p>
    <w:p w14:paraId="1A996451" w14:textId="5A1D2C0F" w:rsidR="003C625C" w:rsidRDefault="003C625C">
      <w:pPr>
        <w:pStyle w:val="TOC4"/>
        <w:rPr>
          <w:rFonts w:asciiTheme="minorHAnsi" w:eastAsiaTheme="minorEastAsia" w:hAnsiTheme="minorHAnsi" w:cstheme="minorBidi"/>
          <w:sz w:val="22"/>
          <w:szCs w:val="22"/>
        </w:rPr>
      </w:pPr>
      <w:r>
        <w:t>9.4.1.2</w:t>
      </w:r>
      <w:r>
        <w:rPr>
          <w:rFonts w:asciiTheme="minorHAnsi" w:eastAsiaTheme="minorEastAsia" w:hAnsiTheme="minorHAnsi" w:cstheme="minorBidi"/>
          <w:sz w:val="22"/>
          <w:szCs w:val="22"/>
        </w:rPr>
        <w:tab/>
      </w:r>
      <w:r>
        <w:t>OTA RE power control dynamic range</w:t>
      </w:r>
      <w:r>
        <w:tab/>
      </w:r>
      <w:r>
        <w:fldChar w:fldCharType="begin"/>
      </w:r>
      <w:r>
        <w:instrText xml:space="preserve"> PAGEREF _Toc106184057 \h </w:instrText>
      </w:r>
      <w:r>
        <w:fldChar w:fldCharType="separate"/>
      </w:r>
      <w:r>
        <w:t>113</w:t>
      </w:r>
      <w:r>
        <w:fldChar w:fldCharType="end"/>
      </w:r>
    </w:p>
    <w:p w14:paraId="09AA2CC7" w14:textId="5738A96B" w:rsidR="003C625C" w:rsidRDefault="003C625C">
      <w:pPr>
        <w:pStyle w:val="TOC5"/>
        <w:rPr>
          <w:rFonts w:asciiTheme="minorHAnsi" w:eastAsiaTheme="minorEastAsia" w:hAnsiTheme="minorHAnsi" w:cstheme="minorBidi"/>
          <w:sz w:val="22"/>
          <w:szCs w:val="22"/>
        </w:rPr>
      </w:pPr>
      <w:r>
        <w:t>9.4.1.2.1</w:t>
      </w:r>
      <w:r>
        <w:rPr>
          <w:rFonts w:asciiTheme="minorHAnsi" w:eastAsiaTheme="minorEastAsia" w:hAnsiTheme="minorHAnsi" w:cstheme="minorBidi"/>
          <w:sz w:val="22"/>
          <w:szCs w:val="22"/>
        </w:rPr>
        <w:tab/>
      </w:r>
      <w:r>
        <w:t>General</w:t>
      </w:r>
      <w:r>
        <w:tab/>
      </w:r>
      <w:r>
        <w:fldChar w:fldCharType="begin"/>
      </w:r>
      <w:r>
        <w:instrText xml:space="preserve"> PAGEREF _Toc106184058 \h </w:instrText>
      </w:r>
      <w:r>
        <w:fldChar w:fldCharType="separate"/>
      </w:r>
      <w:r>
        <w:t>113</w:t>
      </w:r>
      <w:r>
        <w:fldChar w:fldCharType="end"/>
      </w:r>
    </w:p>
    <w:p w14:paraId="60848E5B" w14:textId="02E724ED" w:rsidR="003C625C" w:rsidRDefault="003C625C">
      <w:pPr>
        <w:pStyle w:val="TOC5"/>
        <w:rPr>
          <w:rFonts w:asciiTheme="minorHAnsi" w:eastAsiaTheme="minorEastAsia" w:hAnsiTheme="minorHAnsi" w:cstheme="minorBidi"/>
          <w:sz w:val="22"/>
          <w:szCs w:val="22"/>
        </w:rPr>
      </w:pPr>
      <w:r>
        <w:t>9.4.1.2.2</w:t>
      </w:r>
      <w:r>
        <w:rPr>
          <w:rFonts w:asciiTheme="minorHAnsi" w:eastAsiaTheme="minorEastAsia" w:hAnsiTheme="minorHAnsi" w:cstheme="minorBidi"/>
          <w:sz w:val="22"/>
          <w:szCs w:val="22"/>
        </w:rPr>
        <w:tab/>
      </w:r>
      <w:r>
        <w:t xml:space="preserve">Minimum requirement for </w:t>
      </w:r>
      <w:r w:rsidRPr="00DD4EB8">
        <w:rPr>
          <w:i/>
        </w:rPr>
        <w:t>IAB-DU type 1-O</w:t>
      </w:r>
      <w:r>
        <w:tab/>
      </w:r>
      <w:r>
        <w:fldChar w:fldCharType="begin"/>
      </w:r>
      <w:r>
        <w:instrText xml:space="preserve"> PAGEREF _Toc106184059 \h </w:instrText>
      </w:r>
      <w:r>
        <w:fldChar w:fldCharType="separate"/>
      </w:r>
      <w:r>
        <w:t>113</w:t>
      </w:r>
      <w:r>
        <w:fldChar w:fldCharType="end"/>
      </w:r>
    </w:p>
    <w:p w14:paraId="58561E83" w14:textId="0B317109" w:rsidR="003C625C" w:rsidRDefault="003C625C">
      <w:pPr>
        <w:pStyle w:val="TOC4"/>
        <w:rPr>
          <w:rFonts w:asciiTheme="minorHAnsi" w:eastAsiaTheme="minorEastAsia" w:hAnsiTheme="minorHAnsi" w:cstheme="minorBidi"/>
          <w:sz w:val="22"/>
          <w:szCs w:val="22"/>
        </w:rPr>
      </w:pPr>
      <w:r>
        <w:t>9.4.1.3</w:t>
      </w:r>
      <w:r>
        <w:rPr>
          <w:rFonts w:asciiTheme="minorHAnsi" w:eastAsiaTheme="minorEastAsia" w:hAnsiTheme="minorHAnsi" w:cstheme="minorBidi"/>
          <w:sz w:val="22"/>
          <w:szCs w:val="22"/>
        </w:rPr>
        <w:tab/>
      </w:r>
      <w:r>
        <w:t>OTA total power dynamic range</w:t>
      </w:r>
      <w:r>
        <w:tab/>
      </w:r>
      <w:r>
        <w:fldChar w:fldCharType="begin"/>
      </w:r>
      <w:r>
        <w:instrText xml:space="preserve"> PAGEREF _Toc106184060 \h </w:instrText>
      </w:r>
      <w:r>
        <w:fldChar w:fldCharType="separate"/>
      </w:r>
      <w:r>
        <w:t>114</w:t>
      </w:r>
      <w:r>
        <w:fldChar w:fldCharType="end"/>
      </w:r>
    </w:p>
    <w:p w14:paraId="7ADD5F2E" w14:textId="54EF6509" w:rsidR="003C625C" w:rsidRDefault="003C625C">
      <w:pPr>
        <w:pStyle w:val="TOC5"/>
        <w:rPr>
          <w:rFonts w:asciiTheme="minorHAnsi" w:eastAsiaTheme="minorEastAsia" w:hAnsiTheme="minorHAnsi" w:cstheme="minorBidi"/>
          <w:sz w:val="22"/>
          <w:szCs w:val="22"/>
        </w:rPr>
      </w:pPr>
      <w:r>
        <w:t>9.4.1.3.1</w:t>
      </w:r>
      <w:r>
        <w:rPr>
          <w:rFonts w:asciiTheme="minorHAnsi" w:eastAsiaTheme="minorEastAsia" w:hAnsiTheme="minorHAnsi" w:cstheme="minorBidi"/>
          <w:sz w:val="22"/>
          <w:szCs w:val="22"/>
        </w:rPr>
        <w:tab/>
      </w:r>
      <w:r>
        <w:t>General</w:t>
      </w:r>
      <w:r>
        <w:tab/>
      </w:r>
      <w:r>
        <w:fldChar w:fldCharType="begin"/>
      </w:r>
      <w:r>
        <w:instrText xml:space="preserve"> PAGEREF _Toc106184061 \h </w:instrText>
      </w:r>
      <w:r>
        <w:fldChar w:fldCharType="separate"/>
      </w:r>
      <w:r>
        <w:t>114</w:t>
      </w:r>
      <w:r>
        <w:fldChar w:fldCharType="end"/>
      </w:r>
    </w:p>
    <w:p w14:paraId="19994E84" w14:textId="58E6B955" w:rsidR="003C625C" w:rsidRDefault="003C625C">
      <w:pPr>
        <w:pStyle w:val="TOC5"/>
        <w:rPr>
          <w:rFonts w:asciiTheme="minorHAnsi" w:eastAsiaTheme="minorEastAsia" w:hAnsiTheme="minorHAnsi" w:cstheme="minorBidi"/>
          <w:sz w:val="22"/>
          <w:szCs w:val="22"/>
        </w:rPr>
      </w:pPr>
      <w:r>
        <w:t>9.4.1.3.2</w:t>
      </w:r>
      <w:r>
        <w:rPr>
          <w:rFonts w:asciiTheme="minorHAnsi" w:eastAsiaTheme="minorEastAsia" w:hAnsiTheme="minorHAnsi" w:cstheme="minorBidi"/>
          <w:sz w:val="22"/>
          <w:szCs w:val="22"/>
        </w:rPr>
        <w:tab/>
      </w:r>
      <w:r>
        <w:t xml:space="preserve">Minimum requirement for </w:t>
      </w:r>
      <w:r w:rsidRPr="00DD4EB8">
        <w:rPr>
          <w:i/>
        </w:rPr>
        <w:t>IAB-DU type 1-O</w:t>
      </w:r>
      <w:r>
        <w:tab/>
      </w:r>
      <w:r>
        <w:fldChar w:fldCharType="begin"/>
      </w:r>
      <w:r>
        <w:instrText xml:space="preserve"> PAGEREF _Toc106184062 \h </w:instrText>
      </w:r>
      <w:r>
        <w:fldChar w:fldCharType="separate"/>
      </w:r>
      <w:r>
        <w:t>114</w:t>
      </w:r>
      <w:r>
        <w:fldChar w:fldCharType="end"/>
      </w:r>
    </w:p>
    <w:p w14:paraId="2965D986" w14:textId="1823D285" w:rsidR="003C625C" w:rsidRDefault="003C625C">
      <w:pPr>
        <w:pStyle w:val="TOC5"/>
        <w:rPr>
          <w:rFonts w:asciiTheme="minorHAnsi" w:eastAsiaTheme="minorEastAsia" w:hAnsiTheme="minorHAnsi" w:cstheme="minorBidi"/>
          <w:sz w:val="22"/>
          <w:szCs w:val="22"/>
        </w:rPr>
      </w:pPr>
      <w:r>
        <w:t>9.4.1.3.3</w:t>
      </w:r>
      <w:r>
        <w:rPr>
          <w:rFonts w:asciiTheme="minorHAnsi" w:eastAsiaTheme="minorEastAsia" w:hAnsiTheme="minorHAnsi" w:cstheme="minorBidi"/>
          <w:sz w:val="22"/>
          <w:szCs w:val="22"/>
        </w:rPr>
        <w:tab/>
      </w:r>
      <w:r>
        <w:t xml:space="preserve">Minimum requirement for </w:t>
      </w:r>
      <w:r w:rsidRPr="00DD4EB8">
        <w:rPr>
          <w:i/>
        </w:rPr>
        <w:t>IAB-DU type 2-O</w:t>
      </w:r>
      <w:r>
        <w:tab/>
      </w:r>
      <w:r>
        <w:fldChar w:fldCharType="begin"/>
      </w:r>
      <w:r>
        <w:instrText xml:space="preserve"> PAGEREF _Toc106184063 \h </w:instrText>
      </w:r>
      <w:r>
        <w:fldChar w:fldCharType="separate"/>
      </w:r>
      <w:r>
        <w:t>114</w:t>
      </w:r>
      <w:r>
        <w:fldChar w:fldCharType="end"/>
      </w:r>
    </w:p>
    <w:p w14:paraId="4356ACAA" w14:textId="0F9ED414" w:rsidR="003C625C" w:rsidRDefault="003C625C">
      <w:pPr>
        <w:pStyle w:val="TOC3"/>
        <w:rPr>
          <w:rFonts w:asciiTheme="minorHAnsi" w:eastAsiaTheme="minorEastAsia" w:hAnsiTheme="minorHAnsi" w:cstheme="minorBidi"/>
          <w:sz w:val="22"/>
          <w:szCs w:val="22"/>
        </w:rPr>
      </w:pPr>
      <w:r>
        <w:t>9.4.2</w:t>
      </w:r>
      <w:r>
        <w:rPr>
          <w:rFonts w:asciiTheme="minorHAnsi" w:eastAsiaTheme="minorEastAsia" w:hAnsiTheme="minorHAnsi" w:cstheme="minorBidi"/>
          <w:sz w:val="22"/>
          <w:szCs w:val="22"/>
        </w:rPr>
        <w:tab/>
      </w:r>
      <w:r>
        <w:t>IAB-MT OTA Output Power Dynamics</w:t>
      </w:r>
      <w:r>
        <w:tab/>
      </w:r>
      <w:r>
        <w:fldChar w:fldCharType="begin"/>
      </w:r>
      <w:r>
        <w:instrText xml:space="preserve"> PAGEREF _Toc106184064 \h </w:instrText>
      </w:r>
      <w:r>
        <w:fldChar w:fldCharType="separate"/>
      </w:r>
      <w:r>
        <w:t>114</w:t>
      </w:r>
      <w:r>
        <w:fldChar w:fldCharType="end"/>
      </w:r>
    </w:p>
    <w:p w14:paraId="6F2ADE6E" w14:textId="2C798E12" w:rsidR="003C625C" w:rsidRDefault="003C625C">
      <w:pPr>
        <w:pStyle w:val="TOC4"/>
        <w:rPr>
          <w:rFonts w:asciiTheme="minorHAnsi" w:eastAsiaTheme="minorEastAsia" w:hAnsiTheme="minorHAnsi" w:cstheme="minorBidi"/>
          <w:sz w:val="22"/>
          <w:szCs w:val="22"/>
        </w:rPr>
      </w:pPr>
      <w:r>
        <w:t>9.4.2.1</w:t>
      </w:r>
      <w:r>
        <w:rPr>
          <w:rFonts w:asciiTheme="minorHAnsi" w:eastAsiaTheme="minorEastAsia" w:hAnsiTheme="minorHAnsi" w:cstheme="minorBidi"/>
          <w:sz w:val="22"/>
          <w:szCs w:val="22"/>
        </w:rPr>
        <w:tab/>
      </w:r>
      <w:r>
        <w:t>OTA total power dynamic range</w:t>
      </w:r>
      <w:r>
        <w:tab/>
      </w:r>
      <w:r>
        <w:fldChar w:fldCharType="begin"/>
      </w:r>
      <w:r>
        <w:instrText xml:space="preserve"> PAGEREF _Toc106184065 \h </w:instrText>
      </w:r>
      <w:r>
        <w:fldChar w:fldCharType="separate"/>
      </w:r>
      <w:r>
        <w:t>114</w:t>
      </w:r>
      <w:r>
        <w:fldChar w:fldCharType="end"/>
      </w:r>
    </w:p>
    <w:p w14:paraId="5AA418A5" w14:textId="32A31ED5" w:rsidR="003C625C" w:rsidRDefault="003C625C">
      <w:pPr>
        <w:pStyle w:val="TOC5"/>
        <w:rPr>
          <w:rFonts w:asciiTheme="minorHAnsi" w:eastAsiaTheme="minorEastAsia" w:hAnsiTheme="minorHAnsi" w:cstheme="minorBidi"/>
          <w:sz w:val="22"/>
          <w:szCs w:val="22"/>
        </w:rPr>
      </w:pPr>
      <w:r>
        <w:t>9.4.2.1.1</w:t>
      </w:r>
      <w:r>
        <w:rPr>
          <w:rFonts w:asciiTheme="minorHAnsi" w:eastAsiaTheme="minorEastAsia" w:hAnsiTheme="minorHAnsi" w:cstheme="minorBidi"/>
          <w:sz w:val="22"/>
          <w:szCs w:val="22"/>
        </w:rPr>
        <w:tab/>
      </w:r>
      <w:r>
        <w:t>General</w:t>
      </w:r>
      <w:r>
        <w:tab/>
      </w:r>
      <w:r>
        <w:fldChar w:fldCharType="begin"/>
      </w:r>
      <w:r>
        <w:instrText xml:space="preserve"> PAGEREF _Toc106184066 \h </w:instrText>
      </w:r>
      <w:r>
        <w:fldChar w:fldCharType="separate"/>
      </w:r>
      <w:r>
        <w:t>114</w:t>
      </w:r>
      <w:r>
        <w:fldChar w:fldCharType="end"/>
      </w:r>
    </w:p>
    <w:p w14:paraId="6452675A" w14:textId="370D28DA" w:rsidR="003C625C" w:rsidRDefault="003C625C">
      <w:pPr>
        <w:pStyle w:val="TOC5"/>
        <w:rPr>
          <w:rFonts w:asciiTheme="minorHAnsi" w:eastAsiaTheme="minorEastAsia" w:hAnsiTheme="minorHAnsi" w:cstheme="minorBidi"/>
          <w:sz w:val="22"/>
          <w:szCs w:val="22"/>
        </w:rPr>
      </w:pPr>
      <w:r>
        <w:t>9.4.2.1.2</w:t>
      </w:r>
      <w:r>
        <w:rPr>
          <w:rFonts w:asciiTheme="minorHAnsi" w:eastAsiaTheme="minorEastAsia" w:hAnsiTheme="minorHAnsi" w:cstheme="minorBidi"/>
          <w:sz w:val="22"/>
          <w:szCs w:val="22"/>
        </w:rPr>
        <w:tab/>
      </w:r>
      <w:r>
        <w:t>Minimum requirement for IAB-MT type 1-O</w:t>
      </w:r>
      <w:r>
        <w:tab/>
      </w:r>
      <w:r>
        <w:fldChar w:fldCharType="begin"/>
      </w:r>
      <w:r>
        <w:instrText xml:space="preserve"> PAGEREF _Toc106184067 \h </w:instrText>
      </w:r>
      <w:r>
        <w:fldChar w:fldCharType="separate"/>
      </w:r>
      <w:r>
        <w:t>114</w:t>
      </w:r>
      <w:r>
        <w:fldChar w:fldCharType="end"/>
      </w:r>
    </w:p>
    <w:p w14:paraId="4853D9BC" w14:textId="605709F5" w:rsidR="003C625C" w:rsidRDefault="003C625C">
      <w:pPr>
        <w:pStyle w:val="TOC5"/>
        <w:rPr>
          <w:rFonts w:asciiTheme="minorHAnsi" w:eastAsiaTheme="minorEastAsia" w:hAnsiTheme="minorHAnsi" w:cstheme="minorBidi"/>
          <w:sz w:val="22"/>
          <w:szCs w:val="22"/>
        </w:rPr>
      </w:pPr>
      <w:r>
        <w:t>9.4.2.1.3</w:t>
      </w:r>
      <w:r>
        <w:rPr>
          <w:rFonts w:asciiTheme="minorHAnsi" w:eastAsiaTheme="minorEastAsia" w:hAnsiTheme="minorHAnsi" w:cstheme="minorBidi"/>
          <w:sz w:val="22"/>
          <w:szCs w:val="22"/>
        </w:rPr>
        <w:tab/>
      </w:r>
      <w:r>
        <w:t>Minimum requirement for IAB-MT type 2-O</w:t>
      </w:r>
      <w:r>
        <w:tab/>
      </w:r>
      <w:r>
        <w:fldChar w:fldCharType="begin"/>
      </w:r>
      <w:r>
        <w:instrText xml:space="preserve"> PAGEREF _Toc106184068 \h </w:instrText>
      </w:r>
      <w:r>
        <w:fldChar w:fldCharType="separate"/>
      </w:r>
      <w:r>
        <w:t>114</w:t>
      </w:r>
      <w:r>
        <w:fldChar w:fldCharType="end"/>
      </w:r>
    </w:p>
    <w:p w14:paraId="53D4ECAB" w14:textId="01F1230C" w:rsidR="003C625C" w:rsidRDefault="003C625C">
      <w:pPr>
        <w:pStyle w:val="TOC3"/>
        <w:rPr>
          <w:rFonts w:asciiTheme="minorHAnsi" w:eastAsiaTheme="minorEastAsia" w:hAnsiTheme="minorHAnsi" w:cstheme="minorBidi"/>
          <w:sz w:val="22"/>
          <w:szCs w:val="22"/>
        </w:rPr>
      </w:pPr>
      <w:r w:rsidRPr="00DD4EB8">
        <w:rPr>
          <w:rFonts w:eastAsia="MS Mincho"/>
        </w:rPr>
        <w:t>9.4.3</w:t>
      </w:r>
      <w:r>
        <w:rPr>
          <w:rFonts w:asciiTheme="minorHAnsi" w:eastAsiaTheme="minorEastAsia" w:hAnsiTheme="minorHAnsi" w:cstheme="minorBidi"/>
          <w:sz w:val="22"/>
          <w:szCs w:val="22"/>
        </w:rPr>
        <w:tab/>
      </w:r>
      <w:r w:rsidRPr="00DD4EB8">
        <w:rPr>
          <w:rFonts w:eastAsia="MS Mincho"/>
        </w:rPr>
        <w:t>Power control</w:t>
      </w:r>
      <w:r>
        <w:tab/>
      </w:r>
      <w:r>
        <w:fldChar w:fldCharType="begin"/>
      </w:r>
      <w:r>
        <w:instrText xml:space="preserve"> PAGEREF _Toc106184069 \h </w:instrText>
      </w:r>
      <w:r>
        <w:fldChar w:fldCharType="separate"/>
      </w:r>
      <w:r>
        <w:t>114</w:t>
      </w:r>
      <w:r>
        <w:fldChar w:fldCharType="end"/>
      </w:r>
    </w:p>
    <w:p w14:paraId="2A884120" w14:textId="6C4E0D05" w:rsidR="003C625C" w:rsidRDefault="003C625C">
      <w:pPr>
        <w:pStyle w:val="TOC4"/>
        <w:rPr>
          <w:rFonts w:asciiTheme="minorHAnsi" w:eastAsiaTheme="minorEastAsia" w:hAnsiTheme="minorHAnsi" w:cstheme="minorBidi"/>
          <w:sz w:val="22"/>
          <w:szCs w:val="22"/>
        </w:rPr>
      </w:pPr>
      <w:r w:rsidRPr="00DD4EB8">
        <w:rPr>
          <w:rFonts w:eastAsia="MS Mincho"/>
        </w:rPr>
        <w:t>9.4.3.1</w:t>
      </w:r>
      <w:r>
        <w:rPr>
          <w:rFonts w:asciiTheme="minorHAnsi" w:eastAsiaTheme="minorEastAsia" w:hAnsiTheme="minorHAnsi" w:cstheme="minorBidi"/>
          <w:sz w:val="22"/>
          <w:szCs w:val="22"/>
        </w:rPr>
        <w:tab/>
      </w:r>
      <w:r w:rsidRPr="00DD4EB8">
        <w:rPr>
          <w:rFonts w:eastAsia="MS Mincho"/>
        </w:rPr>
        <w:t>Power control for local area IAB-MT type 1-O</w:t>
      </w:r>
      <w:r>
        <w:tab/>
      </w:r>
      <w:r>
        <w:fldChar w:fldCharType="begin"/>
      </w:r>
      <w:r>
        <w:instrText xml:space="preserve"> PAGEREF _Toc106184070 \h </w:instrText>
      </w:r>
      <w:r>
        <w:fldChar w:fldCharType="separate"/>
      </w:r>
      <w:r>
        <w:t>114</w:t>
      </w:r>
      <w:r>
        <w:fldChar w:fldCharType="end"/>
      </w:r>
    </w:p>
    <w:p w14:paraId="48373CC5" w14:textId="19B19279" w:rsidR="003C625C" w:rsidRDefault="003C625C">
      <w:pPr>
        <w:pStyle w:val="TOC5"/>
        <w:rPr>
          <w:rFonts w:asciiTheme="minorHAnsi" w:eastAsiaTheme="minorEastAsia" w:hAnsiTheme="minorHAnsi" w:cstheme="minorBidi"/>
          <w:sz w:val="22"/>
          <w:szCs w:val="22"/>
        </w:rPr>
      </w:pPr>
      <w:r>
        <w:t>9.4.3.1.1</w:t>
      </w:r>
      <w:r>
        <w:rPr>
          <w:rFonts w:asciiTheme="minorHAnsi" w:eastAsiaTheme="minorEastAsia" w:hAnsiTheme="minorHAnsi" w:cstheme="minorBidi"/>
          <w:sz w:val="22"/>
          <w:szCs w:val="22"/>
        </w:rPr>
        <w:tab/>
      </w:r>
      <w:r>
        <w:t>Relative EIRP tolerance for local area IAB-MT type 1-O</w:t>
      </w:r>
      <w:r>
        <w:tab/>
      </w:r>
      <w:r>
        <w:fldChar w:fldCharType="begin"/>
      </w:r>
      <w:r>
        <w:instrText xml:space="preserve"> PAGEREF _Toc106184071 \h </w:instrText>
      </w:r>
      <w:r>
        <w:fldChar w:fldCharType="separate"/>
      </w:r>
      <w:r>
        <w:t>114</w:t>
      </w:r>
      <w:r>
        <w:fldChar w:fldCharType="end"/>
      </w:r>
    </w:p>
    <w:p w14:paraId="0A232ABC" w14:textId="1EE9600F" w:rsidR="003C625C" w:rsidRDefault="003C625C">
      <w:pPr>
        <w:pStyle w:val="TOC5"/>
        <w:rPr>
          <w:rFonts w:asciiTheme="minorHAnsi" w:eastAsiaTheme="minorEastAsia" w:hAnsiTheme="minorHAnsi" w:cstheme="minorBidi"/>
          <w:sz w:val="22"/>
          <w:szCs w:val="22"/>
        </w:rPr>
      </w:pPr>
      <w:r>
        <w:t>9.4.3.1.2</w:t>
      </w:r>
      <w:r>
        <w:rPr>
          <w:rFonts w:asciiTheme="minorHAnsi" w:eastAsiaTheme="minorEastAsia" w:hAnsiTheme="minorHAnsi" w:cstheme="minorBidi"/>
          <w:sz w:val="22"/>
          <w:szCs w:val="22"/>
        </w:rPr>
        <w:tab/>
      </w:r>
      <w:r>
        <w:t>Aggregate EIRP tolerance for local area IAB-MT type 1-O</w:t>
      </w:r>
      <w:r>
        <w:tab/>
      </w:r>
      <w:r>
        <w:fldChar w:fldCharType="begin"/>
      </w:r>
      <w:r>
        <w:instrText xml:space="preserve"> PAGEREF _Toc106184072 \h </w:instrText>
      </w:r>
      <w:r>
        <w:fldChar w:fldCharType="separate"/>
      </w:r>
      <w:r>
        <w:t>115</w:t>
      </w:r>
      <w:r>
        <w:fldChar w:fldCharType="end"/>
      </w:r>
    </w:p>
    <w:p w14:paraId="022B279F" w14:textId="183F0729" w:rsidR="003C625C" w:rsidRDefault="003C625C">
      <w:pPr>
        <w:pStyle w:val="TOC4"/>
        <w:rPr>
          <w:rFonts w:asciiTheme="minorHAnsi" w:eastAsiaTheme="minorEastAsia" w:hAnsiTheme="minorHAnsi" w:cstheme="minorBidi"/>
          <w:sz w:val="22"/>
          <w:szCs w:val="22"/>
        </w:rPr>
      </w:pPr>
      <w:r w:rsidRPr="00DD4EB8">
        <w:rPr>
          <w:rFonts w:eastAsia="MS Mincho"/>
        </w:rPr>
        <w:t>9.4.3.2</w:t>
      </w:r>
      <w:r>
        <w:rPr>
          <w:rFonts w:asciiTheme="minorHAnsi" w:eastAsiaTheme="minorEastAsia" w:hAnsiTheme="minorHAnsi" w:cstheme="minorBidi"/>
          <w:sz w:val="22"/>
          <w:szCs w:val="22"/>
        </w:rPr>
        <w:tab/>
      </w:r>
      <w:r w:rsidRPr="00DD4EB8">
        <w:rPr>
          <w:rFonts w:eastAsia="MS Mincho"/>
        </w:rPr>
        <w:t>Power control for local area IAB-MT type 2-O</w:t>
      </w:r>
      <w:r>
        <w:tab/>
      </w:r>
      <w:r>
        <w:fldChar w:fldCharType="begin"/>
      </w:r>
      <w:r>
        <w:instrText xml:space="preserve"> PAGEREF _Toc106184073 \h </w:instrText>
      </w:r>
      <w:r>
        <w:fldChar w:fldCharType="separate"/>
      </w:r>
      <w:r>
        <w:t>115</w:t>
      </w:r>
      <w:r>
        <w:fldChar w:fldCharType="end"/>
      </w:r>
    </w:p>
    <w:p w14:paraId="4C9BB083" w14:textId="1F5469CD" w:rsidR="003C625C" w:rsidRDefault="003C625C">
      <w:pPr>
        <w:pStyle w:val="TOC5"/>
        <w:rPr>
          <w:rFonts w:asciiTheme="minorHAnsi" w:eastAsiaTheme="minorEastAsia" w:hAnsiTheme="minorHAnsi" w:cstheme="minorBidi"/>
          <w:sz w:val="22"/>
          <w:szCs w:val="22"/>
        </w:rPr>
      </w:pPr>
      <w:r>
        <w:t>9.4.3.2.1</w:t>
      </w:r>
      <w:r>
        <w:rPr>
          <w:rFonts w:asciiTheme="minorHAnsi" w:eastAsiaTheme="minorEastAsia" w:hAnsiTheme="minorHAnsi" w:cstheme="minorBidi"/>
          <w:sz w:val="22"/>
          <w:szCs w:val="22"/>
        </w:rPr>
        <w:tab/>
      </w:r>
      <w:r>
        <w:t>Relative EIRP tolerance for local area IAB-MT type 2-O</w:t>
      </w:r>
      <w:r>
        <w:tab/>
      </w:r>
      <w:r>
        <w:fldChar w:fldCharType="begin"/>
      </w:r>
      <w:r>
        <w:instrText xml:space="preserve"> PAGEREF _Toc106184074 \h </w:instrText>
      </w:r>
      <w:r>
        <w:fldChar w:fldCharType="separate"/>
      </w:r>
      <w:r>
        <w:t>115</w:t>
      </w:r>
      <w:r>
        <w:fldChar w:fldCharType="end"/>
      </w:r>
    </w:p>
    <w:p w14:paraId="0BCF82D0" w14:textId="050C6343" w:rsidR="003C625C" w:rsidRDefault="003C625C">
      <w:pPr>
        <w:pStyle w:val="TOC5"/>
        <w:rPr>
          <w:rFonts w:asciiTheme="minorHAnsi" w:eastAsiaTheme="minorEastAsia" w:hAnsiTheme="minorHAnsi" w:cstheme="minorBidi"/>
          <w:sz w:val="22"/>
          <w:szCs w:val="22"/>
        </w:rPr>
      </w:pPr>
      <w:r>
        <w:t>9.4.3.2.2</w:t>
      </w:r>
      <w:r>
        <w:rPr>
          <w:rFonts w:asciiTheme="minorHAnsi" w:eastAsiaTheme="minorEastAsia" w:hAnsiTheme="minorHAnsi" w:cstheme="minorBidi"/>
          <w:sz w:val="22"/>
          <w:szCs w:val="22"/>
        </w:rPr>
        <w:tab/>
      </w:r>
      <w:r>
        <w:t>Aggregate EIRP tolerance for local area IAB-MT type 2-O</w:t>
      </w:r>
      <w:r>
        <w:tab/>
      </w:r>
      <w:r>
        <w:fldChar w:fldCharType="begin"/>
      </w:r>
      <w:r>
        <w:instrText xml:space="preserve"> PAGEREF _Toc106184075 \h </w:instrText>
      </w:r>
      <w:r>
        <w:fldChar w:fldCharType="separate"/>
      </w:r>
      <w:r>
        <w:t>115</w:t>
      </w:r>
      <w:r>
        <w:fldChar w:fldCharType="end"/>
      </w:r>
    </w:p>
    <w:p w14:paraId="32DA1B4A" w14:textId="4AC69FE6" w:rsidR="003C625C" w:rsidRDefault="003C625C">
      <w:pPr>
        <w:pStyle w:val="TOC2"/>
        <w:rPr>
          <w:rFonts w:asciiTheme="minorHAnsi" w:eastAsiaTheme="minorEastAsia" w:hAnsiTheme="minorHAnsi" w:cstheme="minorBidi"/>
          <w:sz w:val="22"/>
          <w:szCs w:val="22"/>
        </w:rPr>
      </w:pPr>
      <w:r>
        <w:t>9.5</w:t>
      </w:r>
      <w:r>
        <w:rPr>
          <w:rFonts w:asciiTheme="minorHAnsi" w:eastAsiaTheme="minorEastAsia" w:hAnsiTheme="minorHAnsi" w:cstheme="minorBidi"/>
          <w:sz w:val="22"/>
          <w:szCs w:val="22"/>
        </w:rPr>
        <w:tab/>
      </w:r>
      <w:r>
        <w:t>OTA transmit ON/OFF power</w:t>
      </w:r>
      <w:r>
        <w:tab/>
      </w:r>
      <w:r>
        <w:fldChar w:fldCharType="begin"/>
      </w:r>
      <w:r>
        <w:instrText xml:space="preserve"> PAGEREF _Toc106184076 \h </w:instrText>
      </w:r>
      <w:r>
        <w:fldChar w:fldCharType="separate"/>
      </w:r>
      <w:r>
        <w:t>116</w:t>
      </w:r>
      <w:r>
        <w:fldChar w:fldCharType="end"/>
      </w:r>
    </w:p>
    <w:p w14:paraId="7455A26C" w14:textId="4A3B41BD" w:rsidR="003C625C" w:rsidRDefault="003C625C">
      <w:pPr>
        <w:pStyle w:val="TOC3"/>
        <w:rPr>
          <w:rFonts w:asciiTheme="minorHAnsi" w:eastAsiaTheme="minorEastAsia" w:hAnsiTheme="minorHAnsi" w:cstheme="minorBidi"/>
          <w:sz w:val="22"/>
          <w:szCs w:val="22"/>
        </w:rPr>
      </w:pPr>
      <w:r>
        <w:t>9.5.1</w:t>
      </w:r>
      <w:r>
        <w:rPr>
          <w:rFonts w:asciiTheme="minorHAnsi" w:eastAsiaTheme="minorEastAsia" w:hAnsiTheme="minorHAnsi" w:cstheme="minorBidi"/>
          <w:sz w:val="22"/>
          <w:szCs w:val="22"/>
        </w:rPr>
        <w:tab/>
      </w:r>
      <w:r>
        <w:t>General</w:t>
      </w:r>
      <w:r>
        <w:tab/>
      </w:r>
      <w:r>
        <w:fldChar w:fldCharType="begin"/>
      </w:r>
      <w:r>
        <w:instrText xml:space="preserve"> PAGEREF _Toc106184077 \h </w:instrText>
      </w:r>
      <w:r>
        <w:fldChar w:fldCharType="separate"/>
      </w:r>
      <w:r>
        <w:t>116</w:t>
      </w:r>
      <w:r>
        <w:fldChar w:fldCharType="end"/>
      </w:r>
    </w:p>
    <w:p w14:paraId="14450073" w14:textId="329C320A" w:rsidR="003C625C" w:rsidRDefault="003C625C">
      <w:pPr>
        <w:pStyle w:val="TOC3"/>
        <w:rPr>
          <w:rFonts w:asciiTheme="minorHAnsi" w:eastAsiaTheme="minorEastAsia" w:hAnsiTheme="minorHAnsi" w:cstheme="minorBidi"/>
          <w:sz w:val="22"/>
          <w:szCs w:val="22"/>
        </w:rPr>
      </w:pPr>
      <w:r>
        <w:t>9.5.2</w:t>
      </w:r>
      <w:r>
        <w:rPr>
          <w:rFonts w:asciiTheme="minorHAnsi" w:eastAsiaTheme="minorEastAsia" w:hAnsiTheme="minorHAnsi" w:cstheme="minorBidi"/>
          <w:sz w:val="22"/>
          <w:szCs w:val="22"/>
        </w:rPr>
        <w:tab/>
      </w:r>
      <w:r>
        <w:t>OTA transmitter OFF power</w:t>
      </w:r>
      <w:r>
        <w:tab/>
      </w:r>
      <w:r>
        <w:fldChar w:fldCharType="begin"/>
      </w:r>
      <w:r>
        <w:instrText xml:space="preserve"> PAGEREF _Toc106184078 \h </w:instrText>
      </w:r>
      <w:r>
        <w:fldChar w:fldCharType="separate"/>
      </w:r>
      <w:r>
        <w:t>116</w:t>
      </w:r>
      <w:r>
        <w:fldChar w:fldCharType="end"/>
      </w:r>
    </w:p>
    <w:p w14:paraId="362EEEF4" w14:textId="420E1D1A" w:rsidR="003C625C" w:rsidRDefault="003C625C">
      <w:pPr>
        <w:pStyle w:val="TOC4"/>
        <w:rPr>
          <w:rFonts w:asciiTheme="minorHAnsi" w:eastAsiaTheme="minorEastAsia" w:hAnsiTheme="minorHAnsi" w:cstheme="minorBidi"/>
          <w:sz w:val="22"/>
          <w:szCs w:val="22"/>
        </w:rPr>
      </w:pPr>
      <w:r>
        <w:t>9.5.2.1</w:t>
      </w:r>
      <w:r>
        <w:rPr>
          <w:rFonts w:asciiTheme="minorHAnsi" w:eastAsiaTheme="minorEastAsia" w:hAnsiTheme="minorHAnsi" w:cstheme="minorBidi"/>
          <w:sz w:val="22"/>
          <w:szCs w:val="22"/>
        </w:rPr>
        <w:tab/>
      </w:r>
      <w:r>
        <w:t>General</w:t>
      </w:r>
      <w:r>
        <w:tab/>
      </w:r>
      <w:r>
        <w:fldChar w:fldCharType="begin"/>
      </w:r>
      <w:r>
        <w:instrText xml:space="preserve"> PAGEREF _Toc106184079 \h </w:instrText>
      </w:r>
      <w:r>
        <w:fldChar w:fldCharType="separate"/>
      </w:r>
      <w:r>
        <w:t>116</w:t>
      </w:r>
      <w:r>
        <w:fldChar w:fldCharType="end"/>
      </w:r>
    </w:p>
    <w:p w14:paraId="4191E2CD" w14:textId="65017452" w:rsidR="003C625C" w:rsidRDefault="003C625C">
      <w:pPr>
        <w:pStyle w:val="TOC4"/>
        <w:rPr>
          <w:rFonts w:asciiTheme="minorHAnsi" w:eastAsiaTheme="minorEastAsia" w:hAnsiTheme="minorHAnsi" w:cstheme="minorBidi"/>
          <w:sz w:val="22"/>
          <w:szCs w:val="22"/>
        </w:rPr>
      </w:pPr>
      <w:r>
        <w:t>9.5.2.2</w:t>
      </w:r>
      <w:r>
        <w:rPr>
          <w:rFonts w:asciiTheme="minorHAnsi" w:eastAsiaTheme="minorEastAsia" w:hAnsiTheme="minorHAnsi" w:cstheme="minorBidi"/>
          <w:sz w:val="22"/>
          <w:szCs w:val="22"/>
        </w:rPr>
        <w:tab/>
      </w:r>
      <w:r>
        <w:t>Minimum requirement for IAB-DU type 1-O</w:t>
      </w:r>
      <w:r>
        <w:tab/>
      </w:r>
      <w:r>
        <w:fldChar w:fldCharType="begin"/>
      </w:r>
      <w:r>
        <w:instrText xml:space="preserve"> PAGEREF _Toc106184080 \h </w:instrText>
      </w:r>
      <w:r>
        <w:fldChar w:fldCharType="separate"/>
      </w:r>
      <w:r>
        <w:t>116</w:t>
      </w:r>
      <w:r>
        <w:fldChar w:fldCharType="end"/>
      </w:r>
    </w:p>
    <w:p w14:paraId="14B6BC59" w14:textId="373907DD" w:rsidR="003C625C" w:rsidRDefault="003C625C">
      <w:pPr>
        <w:pStyle w:val="TOC4"/>
        <w:rPr>
          <w:rFonts w:asciiTheme="minorHAnsi" w:eastAsiaTheme="minorEastAsia" w:hAnsiTheme="minorHAnsi" w:cstheme="minorBidi"/>
          <w:sz w:val="22"/>
          <w:szCs w:val="22"/>
        </w:rPr>
      </w:pPr>
      <w:r>
        <w:t>9.5.2.3</w:t>
      </w:r>
      <w:r>
        <w:rPr>
          <w:rFonts w:asciiTheme="minorHAnsi" w:eastAsiaTheme="minorEastAsia" w:hAnsiTheme="minorHAnsi" w:cstheme="minorBidi"/>
          <w:sz w:val="22"/>
          <w:szCs w:val="22"/>
        </w:rPr>
        <w:tab/>
      </w:r>
      <w:r>
        <w:t>Minimum requirement for IAB-DU type 2-O</w:t>
      </w:r>
      <w:r>
        <w:tab/>
      </w:r>
      <w:r>
        <w:fldChar w:fldCharType="begin"/>
      </w:r>
      <w:r>
        <w:instrText xml:space="preserve"> PAGEREF _Toc106184081 \h </w:instrText>
      </w:r>
      <w:r>
        <w:fldChar w:fldCharType="separate"/>
      </w:r>
      <w:r>
        <w:t>116</w:t>
      </w:r>
      <w:r>
        <w:fldChar w:fldCharType="end"/>
      </w:r>
    </w:p>
    <w:p w14:paraId="41646F0F" w14:textId="7ECFE6D6" w:rsidR="003C625C" w:rsidRDefault="003C625C">
      <w:pPr>
        <w:pStyle w:val="TOC4"/>
        <w:rPr>
          <w:rFonts w:asciiTheme="minorHAnsi" w:eastAsiaTheme="minorEastAsia" w:hAnsiTheme="minorHAnsi" w:cstheme="minorBidi"/>
          <w:sz w:val="22"/>
          <w:szCs w:val="22"/>
        </w:rPr>
      </w:pPr>
      <w:r>
        <w:t>9.5.2.4</w:t>
      </w:r>
      <w:r>
        <w:rPr>
          <w:rFonts w:asciiTheme="minorHAnsi" w:eastAsiaTheme="minorEastAsia" w:hAnsiTheme="minorHAnsi" w:cstheme="minorBidi"/>
          <w:sz w:val="22"/>
          <w:szCs w:val="22"/>
        </w:rPr>
        <w:tab/>
      </w:r>
      <w:r>
        <w:t>Minimum requirement for IAB-MT type 1-O</w:t>
      </w:r>
      <w:r>
        <w:tab/>
      </w:r>
      <w:r>
        <w:fldChar w:fldCharType="begin"/>
      </w:r>
      <w:r>
        <w:instrText xml:space="preserve"> PAGEREF _Toc106184082 \h </w:instrText>
      </w:r>
      <w:r>
        <w:fldChar w:fldCharType="separate"/>
      </w:r>
      <w:r>
        <w:t>116</w:t>
      </w:r>
      <w:r>
        <w:fldChar w:fldCharType="end"/>
      </w:r>
    </w:p>
    <w:p w14:paraId="45056C4A" w14:textId="66799DCF" w:rsidR="003C625C" w:rsidRDefault="003C625C">
      <w:pPr>
        <w:pStyle w:val="TOC4"/>
        <w:rPr>
          <w:rFonts w:asciiTheme="minorHAnsi" w:eastAsiaTheme="minorEastAsia" w:hAnsiTheme="minorHAnsi" w:cstheme="minorBidi"/>
          <w:sz w:val="22"/>
          <w:szCs w:val="22"/>
        </w:rPr>
      </w:pPr>
      <w:r>
        <w:t>9.5.2.5</w:t>
      </w:r>
      <w:r>
        <w:rPr>
          <w:rFonts w:asciiTheme="minorHAnsi" w:eastAsiaTheme="minorEastAsia" w:hAnsiTheme="minorHAnsi" w:cstheme="minorBidi"/>
          <w:sz w:val="22"/>
          <w:szCs w:val="22"/>
        </w:rPr>
        <w:tab/>
      </w:r>
      <w:r>
        <w:t>Minimum requirement for IAB-MT type 2-O</w:t>
      </w:r>
      <w:r>
        <w:tab/>
      </w:r>
      <w:r>
        <w:fldChar w:fldCharType="begin"/>
      </w:r>
      <w:r>
        <w:instrText xml:space="preserve"> PAGEREF _Toc106184083 \h </w:instrText>
      </w:r>
      <w:r>
        <w:fldChar w:fldCharType="separate"/>
      </w:r>
      <w:r>
        <w:t>116</w:t>
      </w:r>
      <w:r>
        <w:fldChar w:fldCharType="end"/>
      </w:r>
    </w:p>
    <w:p w14:paraId="7C18248D" w14:textId="10CD8C06" w:rsidR="003C625C" w:rsidRDefault="003C625C">
      <w:pPr>
        <w:pStyle w:val="TOC3"/>
        <w:rPr>
          <w:rFonts w:asciiTheme="minorHAnsi" w:eastAsiaTheme="minorEastAsia" w:hAnsiTheme="minorHAnsi" w:cstheme="minorBidi"/>
          <w:sz w:val="22"/>
          <w:szCs w:val="22"/>
        </w:rPr>
      </w:pPr>
      <w:r>
        <w:t>9.5.3</w:t>
      </w:r>
      <w:r>
        <w:rPr>
          <w:rFonts w:asciiTheme="minorHAnsi" w:eastAsiaTheme="minorEastAsia" w:hAnsiTheme="minorHAnsi" w:cstheme="minorBidi"/>
          <w:sz w:val="22"/>
          <w:szCs w:val="22"/>
        </w:rPr>
        <w:tab/>
      </w:r>
      <w:r>
        <w:t>OTA transient period</w:t>
      </w:r>
      <w:r>
        <w:tab/>
      </w:r>
      <w:r>
        <w:fldChar w:fldCharType="begin"/>
      </w:r>
      <w:r>
        <w:instrText xml:space="preserve"> PAGEREF _Toc106184084 \h </w:instrText>
      </w:r>
      <w:r>
        <w:fldChar w:fldCharType="separate"/>
      </w:r>
      <w:r>
        <w:t>116</w:t>
      </w:r>
      <w:r>
        <w:fldChar w:fldCharType="end"/>
      </w:r>
    </w:p>
    <w:p w14:paraId="453F34FA" w14:textId="5F69A324" w:rsidR="003C625C" w:rsidRDefault="003C625C">
      <w:pPr>
        <w:pStyle w:val="TOC4"/>
        <w:rPr>
          <w:rFonts w:asciiTheme="minorHAnsi" w:eastAsiaTheme="minorEastAsia" w:hAnsiTheme="minorHAnsi" w:cstheme="minorBidi"/>
          <w:sz w:val="22"/>
          <w:szCs w:val="22"/>
        </w:rPr>
      </w:pPr>
      <w:r>
        <w:t>9.5.3.1</w:t>
      </w:r>
      <w:r>
        <w:rPr>
          <w:rFonts w:asciiTheme="minorHAnsi" w:eastAsiaTheme="minorEastAsia" w:hAnsiTheme="minorHAnsi" w:cstheme="minorBidi"/>
          <w:sz w:val="22"/>
          <w:szCs w:val="22"/>
        </w:rPr>
        <w:tab/>
      </w:r>
      <w:r>
        <w:t>General</w:t>
      </w:r>
      <w:r>
        <w:tab/>
      </w:r>
      <w:r>
        <w:fldChar w:fldCharType="begin"/>
      </w:r>
      <w:r>
        <w:instrText xml:space="preserve"> PAGEREF _Toc106184085 \h </w:instrText>
      </w:r>
      <w:r>
        <w:fldChar w:fldCharType="separate"/>
      </w:r>
      <w:r>
        <w:t>116</w:t>
      </w:r>
      <w:r>
        <w:fldChar w:fldCharType="end"/>
      </w:r>
    </w:p>
    <w:p w14:paraId="24E0291F" w14:textId="375BE74C" w:rsidR="003C625C" w:rsidRDefault="003C625C">
      <w:pPr>
        <w:pStyle w:val="TOC4"/>
        <w:rPr>
          <w:rFonts w:asciiTheme="minorHAnsi" w:eastAsiaTheme="minorEastAsia" w:hAnsiTheme="minorHAnsi" w:cstheme="minorBidi"/>
          <w:sz w:val="22"/>
          <w:szCs w:val="22"/>
        </w:rPr>
      </w:pPr>
      <w:r>
        <w:t>9.5.3.2</w:t>
      </w:r>
      <w:r>
        <w:rPr>
          <w:rFonts w:asciiTheme="minorHAnsi" w:eastAsiaTheme="minorEastAsia" w:hAnsiTheme="minorHAnsi" w:cstheme="minorBidi"/>
          <w:sz w:val="22"/>
          <w:szCs w:val="22"/>
        </w:rPr>
        <w:tab/>
      </w:r>
      <w:r>
        <w:t>Minimum requirement for IAB-DU type 1-O</w:t>
      </w:r>
      <w:r>
        <w:tab/>
      </w:r>
      <w:r>
        <w:fldChar w:fldCharType="begin"/>
      </w:r>
      <w:r>
        <w:instrText xml:space="preserve"> PAGEREF _Toc106184086 \h </w:instrText>
      </w:r>
      <w:r>
        <w:fldChar w:fldCharType="separate"/>
      </w:r>
      <w:r>
        <w:t>116</w:t>
      </w:r>
      <w:r>
        <w:fldChar w:fldCharType="end"/>
      </w:r>
    </w:p>
    <w:p w14:paraId="46965CFC" w14:textId="7D670D83" w:rsidR="003C625C" w:rsidRDefault="003C625C">
      <w:pPr>
        <w:pStyle w:val="TOC4"/>
        <w:rPr>
          <w:rFonts w:asciiTheme="minorHAnsi" w:eastAsiaTheme="minorEastAsia" w:hAnsiTheme="minorHAnsi" w:cstheme="minorBidi"/>
          <w:sz w:val="22"/>
          <w:szCs w:val="22"/>
        </w:rPr>
      </w:pPr>
      <w:r>
        <w:t>9.5.3.3</w:t>
      </w:r>
      <w:r>
        <w:rPr>
          <w:rFonts w:asciiTheme="minorHAnsi" w:eastAsiaTheme="minorEastAsia" w:hAnsiTheme="minorHAnsi" w:cstheme="minorBidi"/>
          <w:sz w:val="22"/>
          <w:szCs w:val="22"/>
        </w:rPr>
        <w:tab/>
      </w:r>
      <w:r>
        <w:t>Minimum requirement for IAB-DU type 2-O</w:t>
      </w:r>
      <w:r>
        <w:tab/>
      </w:r>
      <w:r>
        <w:fldChar w:fldCharType="begin"/>
      </w:r>
      <w:r>
        <w:instrText xml:space="preserve"> PAGEREF _Toc106184087 \h </w:instrText>
      </w:r>
      <w:r>
        <w:fldChar w:fldCharType="separate"/>
      </w:r>
      <w:r>
        <w:t>117</w:t>
      </w:r>
      <w:r>
        <w:fldChar w:fldCharType="end"/>
      </w:r>
    </w:p>
    <w:p w14:paraId="1179F768" w14:textId="0BEE04F4" w:rsidR="003C625C" w:rsidRDefault="003C625C">
      <w:pPr>
        <w:pStyle w:val="TOC4"/>
        <w:rPr>
          <w:rFonts w:asciiTheme="minorHAnsi" w:eastAsiaTheme="minorEastAsia" w:hAnsiTheme="minorHAnsi" w:cstheme="minorBidi"/>
          <w:sz w:val="22"/>
          <w:szCs w:val="22"/>
        </w:rPr>
      </w:pPr>
      <w:r>
        <w:t>9.5.3.4</w:t>
      </w:r>
      <w:r>
        <w:rPr>
          <w:rFonts w:asciiTheme="minorHAnsi" w:eastAsiaTheme="minorEastAsia" w:hAnsiTheme="minorHAnsi" w:cstheme="minorBidi"/>
          <w:sz w:val="22"/>
          <w:szCs w:val="22"/>
        </w:rPr>
        <w:tab/>
      </w:r>
      <w:r>
        <w:t>Minimum requirement for IAB-MT type 1-O</w:t>
      </w:r>
      <w:r>
        <w:tab/>
      </w:r>
      <w:r>
        <w:fldChar w:fldCharType="begin"/>
      </w:r>
      <w:r>
        <w:instrText xml:space="preserve"> PAGEREF _Toc106184088 \h </w:instrText>
      </w:r>
      <w:r>
        <w:fldChar w:fldCharType="separate"/>
      </w:r>
      <w:r>
        <w:t>117</w:t>
      </w:r>
      <w:r>
        <w:fldChar w:fldCharType="end"/>
      </w:r>
    </w:p>
    <w:p w14:paraId="0F150BAE" w14:textId="7F649BFB" w:rsidR="003C625C" w:rsidRDefault="003C625C">
      <w:pPr>
        <w:pStyle w:val="TOC4"/>
        <w:rPr>
          <w:rFonts w:asciiTheme="minorHAnsi" w:eastAsiaTheme="minorEastAsia" w:hAnsiTheme="minorHAnsi" w:cstheme="minorBidi"/>
          <w:sz w:val="22"/>
          <w:szCs w:val="22"/>
        </w:rPr>
      </w:pPr>
      <w:r>
        <w:t>9.5.3.5</w:t>
      </w:r>
      <w:r>
        <w:rPr>
          <w:rFonts w:asciiTheme="minorHAnsi" w:eastAsiaTheme="minorEastAsia" w:hAnsiTheme="minorHAnsi" w:cstheme="minorBidi"/>
          <w:sz w:val="22"/>
          <w:szCs w:val="22"/>
        </w:rPr>
        <w:tab/>
      </w:r>
      <w:r>
        <w:t>Minimum requirement for IAB-MT type 2-O</w:t>
      </w:r>
      <w:r>
        <w:tab/>
      </w:r>
      <w:r>
        <w:fldChar w:fldCharType="begin"/>
      </w:r>
      <w:r>
        <w:instrText xml:space="preserve"> PAGEREF _Toc106184089 \h </w:instrText>
      </w:r>
      <w:r>
        <w:fldChar w:fldCharType="separate"/>
      </w:r>
      <w:r>
        <w:t>117</w:t>
      </w:r>
      <w:r>
        <w:fldChar w:fldCharType="end"/>
      </w:r>
    </w:p>
    <w:p w14:paraId="356DBCD9" w14:textId="26963028" w:rsidR="003C625C" w:rsidRDefault="003C625C">
      <w:pPr>
        <w:pStyle w:val="TOC2"/>
        <w:rPr>
          <w:rFonts w:asciiTheme="minorHAnsi" w:eastAsiaTheme="minorEastAsia" w:hAnsiTheme="minorHAnsi" w:cstheme="minorBidi"/>
          <w:sz w:val="22"/>
          <w:szCs w:val="22"/>
        </w:rPr>
      </w:pPr>
      <w:r>
        <w:t>9.6</w:t>
      </w:r>
      <w:r>
        <w:rPr>
          <w:rFonts w:asciiTheme="minorHAnsi" w:eastAsiaTheme="minorEastAsia" w:hAnsiTheme="minorHAnsi" w:cstheme="minorBidi"/>
          <w:sz w:val="22"/>
          <w:szCs w:val="22"/>
        </w:rPr>
        <w:tab/>
      </w:r>
      <w:r>
        <w:t>OTA transmitted signal quality</w:t>
      </w:r>
      <w:r>
        <w:tab/>
      </w:r>
      <w:r>
        <w:fldChar w:fldCharType="begin"/>
      </w:r>
      <w:r>
        <w:instrText xml:space="preserve"> PAGEREF _Toc106184090 \h </w:instrText>
      </w:r>
      <w:r>
        <w:fldChar w:fldCharType="separate"/>
      </w:r>
      <w:r>
        <w:t>117</w:t>
      </w:r>
      <w:r>
        <w:fldChar w:fldCharType="end"/>
      </w:r>
    </w:p>
    <w:p w14:paraId="4DF291DF" w14:textId="6A8F66A2" w:rsidR="003C625C" w:rsidRDefault="003C625C">
      <w:pPr>
        <w:pStyle w:val="TOC3"/>
        <w:rPr>
          <w:rFonts w:asciiTheme="minorHAnsi" w:eastAsiaTheme="minorEastAsia" w:hAnsiTheme="minorHAnsi" w:cstheme="minorBidi"/>
          <w:sz w:val="22"/>
          <w:szCs w:val="22"/>
        </w:rPr>
      </w:pPr>
      <w:r>
        <w:t>9.6.1</w:t>
      </w:r>
      <w:r>
        <w:rPr>
          <w:rFonts w:asciiTheme="minorHAnsi" w:eastAsiaTheme="minorEastAsia" w:hAnsiTheme="minorHAnsi" w:cstheme="minorBidi"/>
          <w:sz w:val="22"/>
          <w:szCs w:val="22"/>
        </w:rPr>
        <w:tab/>
      </w:r>
      <w:r>
        <w:t>OTA frequency error</w:t>
      </w:r>
      <w:r>
        <w:tab/>
      </w:r>
      <w:r>
        <w:fldChar w:fldCharType="begin"/>
      </w:r>
      <w:r>
        <w:instrText xml:space="preserve"> PAGEREF _Toc106184091 \h </w:instrText>
      </w:r>
      <w:r>
        <w:fldChar w:fldCharType="separate"/>
      </w:r>
      <w:r>
        <w:t>117</w:t>
      </w:r>
      <w:r>
        <w:fldChar w:fldCharType="end"/>
      </w:r>
    </w:p>
    <w:p w14:paraId="6DD2E4F6" w14:textId="6E8F22C0" w:rsidR="003C625C" w:rsidRDefault="003C625C">
      <w:pPr>
        <w:pStyle w:val="TOC4"/>
        <w:rPr>
          <w:rFonts w:asciiTheme="minorHAnsi" w:eastAsiaTheme="minorEastAsia" w:hAnsiTheme="minorHAnsi" w:cstheme="minorBidi"/>
          <w:sz w:val="22"/>
          <w:szCs w:val="22"/>
        </w:rPr>
      </w:pPr>
      <w:r>
        <w:t>9.6.1.1</w:t>
      </w:r>
      <w:r>
        <w:rPr>
          <w:rFonts w:asciiTheme="minorHAnsi" w:eastAsiaTheme="minorEastAsia" w:hAnsiTheme="minorHAnsi" w:cstheme="minorBidi"/>
          <w:sz w:val="22"/>
          <w:szCs w:val="22"/>
        </w:rPr>
        <w:tab/>
      </w:r>
      <w:r>
        <w:t>IAB-DU OTA frequency error</w:t>
      </w:r>
      <w:r>
        <w:tab/>
      </w:r>
      <w:r>
        <w:fldChar w:fldCharType="begin"/>
      </w:r>
      <w:r>
        <w:instrText xml:space="preserve"> PAGEREF _Toc106184092 \h </w:instrText>
      </w:r>
      <w:r>
        <w:fldChar w:fldCharType="separate"/>
      </w:r>
      <w:r>
        <w:t>117</w:t>
      </w:r>
      <w:r>
        <w:fldChar w:fldCharType="end"/>
      </w:r>
    </w:p>
    <w:p w14:paraId="4EA6A01C" w14:textId="36B9A9B8" w:rsidR="003C625C" w:rsidRDefault="003C625C">
      <w:pPr>
        <w:pStyle w:val="TOC4"/>
        <w:rPr>
          <w:rFonts w:asciiTheme="minorHAnsi" w:eastAsiaTheme="minorEastAsia" w:hAnsiTheme="minorHAnsi" w:cstheme="minorBidi"/>
          <w:sz w:val="22"/>
          <w:szCs w:val="22"/>
        </w:rPr>
      </w:pPr>
      <w:r>
        <w:t>9.6.1.2</w:t>
      </w:r>
      <w:r>
        <w:rPr>
          <w:rFonts w:asciiTheme="minorHAnsi" w:eastAsiaTheme="minorEastAsia" w:hAnsiTheme="minorHAnsi" w:cstheme="minorBidi"/>
          <w:sz w:val="22"/>
          <w:szCs w:val="22"/>
        </w:rPr>
        <w:tab/>
      </w:r>
      <w:r>
        <w:t>IAB-MT OTA frequency error</w:t>
      </w:r>
      <w:r>
        <w:tab/>
      </w:r>
      <w:r>
        <w:fldChar w:fldCharType="begin"/>
      </w:r>
      <w:r>
        <w:instrText xml:space="preserve"> PAGEREF _Toc106184093 \h </w:instrText>
      </w:r>
      <w:r>
        <w:fldChar w:fldCharType="separate"/>
      </w:r>
      <w:r>
        <w:t>117</w:t>
      </w:r>
      <w:r>
        <w:fldChar w:fldCharType="end"/>
      </w:r>
    </w:p>
    <w:p w14:paraId="69593DFE" w14:textId="5CE06192" w:rsidR="003C625C" w:rsidRDefault="003C625C">
      <w:pPr>
        <w:pStyle w:val="TOC5"/>
        <w:rPr>
          <w:rFonts w:asciiTheme="minorHAnsi" w:eastAsiaTheme="minorEastAsia" w:hAnsiTheme="minorHAnsi" w:cstheme="minorBidi"/>
          <w:sz w:val="22"/>
          <w:szCs w:val="22"/>
        </w:rPr>
      </w:pPr>
      <w:r>
        <w:t>9.6.1.2.1</w:t>
      </w:r>
      <w:r>
        <w:rPr>
          <w:rFonts w:asciiTheme="minorHAnsi" w:eastAsiaTheme="minorEastAsia" w:hAnsiTheme="minorHAnsi" w:cstheme="minorBidi"/>
          <w:sz w:val="22"/>
          <w:szCs w:val="22"/>
        </w:rPr>
        <w:tab/>
      </w:r>
      <w:r>
        <w:t>General</w:t>
      </w:r>
      <w:r>
        <w:tab/>
      </w:r>
      <w:r>
        <w:fldChar w:fldCharType="begin"/>
      </w:r>
      <w:r>
        <w:instrText xml:space="preserve"> PAGEREF _Toc106184094 \h </w:instrText>
      </w:r>
      <w:r>
        <w:fldChar w:fldCharType="separate"/>
      </w:r>
      <w:r>
        <w:t>117</w:t>
      </w:r>
      <w:r>
        <w:fldChar w:fldCharType="end"/>
      </w:r>
    </w:p>
    <w:p w14:paraId="1FAC21BA" w14:textId="574E2449" w:rsidR="003C625C" w:rsidRDefault="003C625C">
      <w:pPr>
        <w:pStyle w:val="TOC5"/>
        <w:rPr>
          <w:rFonts w:asciiTheme="minorHAnsi" w:eastAsiaTheme="minorEastAsia" w:hAnsiTheme="minorHAnsi" w:cstheme="minorBidi"/>
          <w:sz w:val="22"/>
          <w:szCs w:val="22"/>
        </w:rPr>
      </w:pPr>
      <w:r>
        <w:t>9.6.1.2.2</w:t>
      </w:r>
      <w:r>
        <w:rPr>
          <w:rFonts w:asciiTheme="minorHAnsi" w:eastAsiaTheme="minorEastAsia" w:hAnsiTheme="minorHAnsi" w:cstheme="minorBidi"/>
          <w:sz w:val="22"/>
          <w:szCs w:val="22"/>
        </w:rPr>
        <w:tab/>
      </w:r>
      <w:r>
        <w:t>Minimum requirement for IAB-MT type 1-O</w:t>
      </w:r>
      <w:r>
        <w:tab/>
      </w:r>
      <w:r>
        <w:fldChar w:fldCharType="begin"/>
      </w:r>
      <w:r>
        <w:instrText xml:space="preserve"> PAGEREF _Toc106184095 \h </w:instrText>
      </w:r>
      <w:r>
        <w:fldChar w:fldCharType="separate"/>
      </w:r>
      <w:r>
        <w:t>117</w:t>
      </w:r>
      <w:r>
        <w:fldChar w:fldCharType="end"/>
      </w:r>
    </w:p>
    <w:p w14:paraId="299697FD" w14:textId="7C9437E3" w:rsidR="003C625C" w:rsidRDefault="003C625C">
      <w:pPr>
        <w:pStyle w:val="TOC5"/>
        <w:rPr>
          <w:rFonts w:asciiTheme="minorHAnsi" w:eastAsiaTheme="minorEastAsia" w:hAnsiTheme="minorHAnsi" w:cstheme="minorBidi"/>
          <w:sz w:val="22"/>
          <w:szCs w:val="22"/>
        </w:rPr>
      </w:pPr>
      <w:r>
        <w:t>9.6.1.2.3</w:t>
      </w:r>
      <w:r>
        <w:rPr>
          <w:rFonts w:asciiTheme="minorHAnsi" w:eastAsiaTheme="minorEastAsia" w:hAnsiTheme="minorHAnsi" w:cstheme="minorBidi"/>
          <w:sz w:val="22"/>
          <w:szCs w:val="22"/>
        </w:rPr>
        <w:tab/>
      </w:r>
      <w:r>
        <w:t>Minimum requirement for IAB-MT type 2-O</w:t>
      </w:r>
      <w:r>
        <w:tab/>
      </w:r>
      <w:r>
        <w:fldChar w:fldCharType="begin"/>
      </w:r>
      <w:r>
        <w:instrText xml:space="preserve"> PAGEREF _Toc106184096 \h </w:instrText>
      </w:r>
      <w:r>
        <w:fldChar w:fldCharType="separate"/>
      </w:r>
      <w:r>
        <w:t>117</w:t>
      </w:r>
      <w:r>
        <w:fldChar w:fldCharType="end"/>
      </w:r>
    </w:p>
    <w:p w14:paraId="1151A053" w14:textId="16ADA72C" w:rsidR="003C625C" w:rsidRDefault="003C625C">
      <w:pPr>
        <w:pStyle w:val="TOC3"/>
        <w:rPr>
          <w:rFonts w:asciiTheme="minorHAnsi" w:eastAsiaTheme="minorEastAsia" w:hAnsiTheme="minorHAnsi" w:cstheme="minorBidi"/>
          <w:sz w:val="22"/>
          <w:szCs w:val="22"/>
        </w:rPr>
      </w:pPr>
      <w:r>
        <w:t>9.6.2</w:t>
      </w:r>
      <w:r>
        <w:rPr>
          <w:rFonts w:asciiTheme="minorHAnsi" w:eastAsiaTheme="minorEastAsia" w:hAnsiTheme="minorHAnsi" w:cstheme="minorBidi"/>
          <w:sz w:val="22"/>
          <w:szCs w:val="22"/>
        </w:rPr>
        <w:tab/>
      </w:r>
      <w:r>
        <w:t>OTA modulation quality</w:t>
      </w:r>
      <w:r>
        <w:tab/>
      </w:r>
      <w:r>
        <w:fldChar w:fldCharType="begin"/>
      </w:r>
      <w:r>
        <w:instrText xml:space="preserve"> PAGEREF _Toc106184097 \h </w:instrText>
      </w:r>
      <w:r>
        <w:fldChar w:fldCharType="separate"/>
      </w:r>
      <w:r>
        <w:t>117</w:t>
      </w:r>
      <w:r>
        <w:fldChar w:fldCharType="end"/>
      </w:r>
    </w:p>
    <w:p w14:paraId="03805AB6" w14:textId="3A70F7FE" w:rsidR="003C625C" w:rsidRDefault="003C625C">
      <w:pPr>
        <w:pStyle w:val="TOC4"/>
        <w:rPr>
          <w:rFonts w:asciiTheme="minorHAnsi" w:eastAsiaTheme="minorEastAsia" w:hAnsiTheme="minorHAnsi" w:cstheme="minorBidi"/>
          <w:sz w:val="22"/>
          <w:szCs w:val="22"/>
        </w:rPr>
      </w:pPr>
      <w:r>
        <w:t>9.6.2.1</w:t>
      </w:r>
      <w:r>
        <w:rPr>
          <w:rFonts w:asciiTheme="minorHAnsi" w:eastAsiaTheme="minorEastAsia" w:hAnsiTheme="minorHAnsi" w:cstheme="minorBidi"/>
          <w:sz w:val="22"/>
          <w:szCs w:val="22"/>
        </w:rPr>
        <w:tab/>
      </w:r>
      <w:r>
        <w:t>IAB-DU OTA modulation quality</w:t>
      </w:r>
      <w:r>
        <w:tab/>
      </w:r>
      <w:r>
        <w:fldChar w:fldCharType="begin"/>
      </w:r>
      <w:r>
        <w:instrText xml:space="preserve"> PAGEREF _Toc106184098 \h </w:instrText>
      </w:r>
      <w:r>
        <w:fldChar w:fldCharType="separate"/>
      </w:r>
      <w:r>
        <w:t>117</w:t>
      </w:r>
      <w:r>
        <w:fldChar w:fldCharType="end"/>
      </w:r>
    </w:p>
    <w:p w14:paraId="6E24A153" w14:textId="611470EF" w:rsidR="003C625C" w:rsidRDefault="003C625C">
      <w:pPr>
        <w:pStyle w:val="TOC4"/>
        <w:rPr>
          <w:rFonts w:asciiTheme="minorHAnsi" w:eastAsiaTheme="minorEastAsia" w:hAnsiTheme="minorHAnsi" w:cstheme="minorBidi"/>
          <w:sz w:val="22"/>
          <w:szCs w:val="22"/>
        </w:rPr>
      </w:pPr>
      <w:r>
        <w:t>9.6.2.2</w:t>
      </w:r>
      <w:r>
        <w:rPr>
          <w:rFonts w:asciiTheme="minorHAnsi" w:eastAsiaTheme="minorEastAsia" w:hAnsiTheme="minorHAnsi" w:cstheme="minorBidi"/>
          <w:sz w:val="22"/>
          <w:szCs w:val="22"/>
        </w:rPr>
        <w:tab/>
      </w:r>
      <w:r>
        <w:t>IAB-MT OTA modulation quality</w:t>
      </w:r>
      <w:r>
        <w:tab/>
      </w:r>
      <w:r>
        <w:fldChar w:fldCharType="begin"/>
      </w:r>
      <w:r>
        <w:instrText xml:space="preserve"> PAGEREF _Toc106184099 \h </w:instrText>
      </w:r>
      <w:r>
        <w:fldChar w:fldCharType="separate"/>
      </w:r>
      <w:r>
        <w:t>117</w:t>
      </w:r>
      <w:r>
        <w:fldChar w:fldCharType="end"/>
      </w:r>
    </w:p>
    <w:p w14:paraId="0E4DE99D" w14:textId="32E5E5CE" w:rsidR="003C625C" w:rsidRDefault="003C625C">
      <w:pPr>
        <w:pStyle w:val="TOC5"/>
        <w:rPr>
          <w:rFonts w:asciiTheme="minorHAnsi" w:eastAsiaTheme="minorEastAsia" w:hAnsiTheme="minorHAnsi" w:cstheme="minorBidi"/>
          <w:sz w:val="22"/>
          <w:szCs w:val="22"/>
        </w:rPr>
      </w:pPr>
      <w:r w:rsidRPr="00DD4EB8">
        <w:rPr>
          <w:rFonts w:eastAsia="MS Mincho"/>
          <w:lang w:eastAsia="en-US"/>
        </w:rPr>
        <w:t>9.6.2.2.1</w:t>
      </w:r>
      <w:r>
        <w:rPr>
          <w:rFonts w:asciiTheme="minorHAnsi" w:eastAsiaTheme="minorEastAsia" w:hAnsiTheme="minorHAnsi" w:cstheme="minorBidi"/>
          <w:sz w:val="22"/>
          <w:szCs w:val="22"/>
        </w:rPr>
        <w:tab/>
      </w:r>
      <w:r w:rsidRPr="00DD4EB8">
        <w:rPr>
          <w:rFonts w:eastAsia="MS Mincho"/>
          <w:lang w:eastAsia="en-US"/>
        </w:rPr>
        <w:t>General</w:t>
      </w:r>
      <w:r>
        <w:tab/>
      </w:r>
      <w:r>
        <w:fldChar w:fldCharType="begin"/>
      </w:r>
      <w:r>
        <w:instrText xml:space="preserve"> PAGEREF _Toc106184100 \h </w:instrText>
      </w:r>
      <w:r>
        <w:fldChar w:fldCharType="separate"/>
      </w:r>
      <w:r>
        <w:t>117</w:t>
      </w:r>
      <w:r>
        <w:fldChar w:fldCharType="end"/>
      </w:r>
    </w:p>
    <w:p w14:paraId="5E07D445" w14:textId="47A5C6D9" w:rsidR="003C625C" w:rsidRDefault="003C625C">
      <w:pPr>
        <w:pStyle w:val="TOC5"/>
        <w:rPr>
          <w:rFonts w:asciiTheme="minorHAnsi" w:eastAsiaTheme="minorEastAsia" w:hAnsiTheme="minorHAnsi" w:cstheme="minorBidi"/>
          <w:sz w:val="22"/>
          <w:szCs w:val="22"/>
        </w:rPr>
      </w:pPr>
      <w:r w:rsidRPr="00DD4EB8">
        <w:rPr>
          <w:rFonts w:eastAsia="MS Mincho"/>
          <w:lang w:eastAsia="en-US"/>
        </w:rPr>
        <w:t>9.6.2.2.2</w:t>
      </w:r>
      <w:r>
        <w:rPr>
          <w:rFonts w:asciiTheme="minorHAnsi" w:eastAsiaTheme="minorEastAsia" w:hAnsiTheme="minorHAnsi" w:cstheme="minorBidi"/>
          <w:sz w:val="22"/>
          <w:szCs w:val="22"/>
        </w:rPr>
        <w:tab/>
      </w:r>
      <w:r w:rsidRPr="00DD4EB8">
        <w:rPr>
          <w:rFonts w:eastAsia="MS Mincho"/>
          <w:lang w:eastAsia="en-US"/>
        </w:rPr>
        <w:t>Minimum requirement for IAB-MT type 1-O</w:t>
      </w:r>
      <w:r>
        <w:tab/>
      </w:r>
      <w:r>
        <w:fldChar w:fldCharType="begin"/>
      </w:r>
      <w:r>
        <w:instrText xml:space="preserve"> PAGEREF _Toc106184101 \h </w:instrText>
      </w:r>
      <w:r>
        <w:fldChar w:fldCharType="separate"/>
      </w:r>
      <w:r>
        <w:t>118</w:t>
      </w:r>
      <w:r>
        <w:fldChar w:fldCharType="end"/>
      </w:r>
    </w:p>
    <w:p w14:paraId="6D6749A8" w14:textId="20CB3FE0" w:rsidR="003C625C" w:rsidRDefault="003C625C">
      <w:pPr>
        <w:pStyle w:val="TOC5"/>
        <w:rPr>
          <w:rFonts w:asciiTheme="minorHAnsi" w:eastAsiaTheme="minorEastAsia" w:hAnsiTheme="minorHAnsi" w:cstheme="minorBidi"/>
          <w:sz w:val="22"/>
          <w:szCs w:val="22"/>
        </w:rPr>
      </w:pPr>
      <w:r w:rsidRPr="00DD4EB8">
        <w:rPr>
          <w:rFonts w:eastAsia="MS Mincho"/>
          <w:lang w:eastAsia="en-US"/>
        </w:rPr>
        <w:t>9.6.2.2.3</w:t>
      </w:r>
      <w:r>
        <w:rPr>
          <w:rFonts w:asciiTheme="minorHAnsi" w:eastAsiaTheme="minorEastAsia" w:hAnsiTheme="minorHAnsi" w:cstheme="minorBidi"/>
          <w:sz w:val="22"/>
          <w:szCs w:val="22"/>
        </w:rPr>
        <w:tab/>
      </w:r>
      <w:r w:rsidRPr="00DD4EB8">
        <w:rPr>
          <w:rFonts w:eastAsia="MS Mincho"/>
          <w:lang w:eastAsia="en-US"/>
        </w:rPr>
        <w:t>Minimum requirement for IAB-MT type 2-O</w:t>
      </w:r>
      <w:r>
        <w:tab/>
      </w:r>
      <w:r>
        <w:fldChar w:fldCharType="begin"/>
      </w:r>
      <w:r>
        <w:instrText xml:space="preserve"> PAGEREF _Toc106184102 \h </w:instrText>
      </w:r>
      <w:r>
        <w:fldChar w:fldCharType="separate"/>
      </w:r>
      <w:r>
        <w:t>118</w:t>
      </w:r>
      <w:r>
        <w:fldChar w:fldCharType="end"/>
      </w:r>
    </w:p>
    <w:p w14:paraId="2E81B622" w14:textId="11C73B13" w:rsidR="003C625C" w:rsidRDefault="003C625C">
      <w:pPr>
        <w:pStyle w:val="TOC5"/>
        <w:rPr>
          <w:rFonts w:asciiTheme="minorHAnsi" w:eastAsiaTheme="minorEastAsia" w:hAnsiTheme="minorHAnsi" w:cstheme="minorBidi"/>
          <w:sz w:val="22"/>
          <w:szCs w:val="22"/>
        </w:rPr>
      </w:pPr>
      <w:r w:rsidRPr="00DD4EB8">
        <w:rPr>
          <w:rFonts w:eastAsia="MS Mincho" w:cs="Arial"/>
        </w:rPr>
        <w:t>9.6.2.2.</w:t>
      </w:r>
      <w:r w:rsidRPr="00DD4EB8">
        <w:rPr>
          <w:rFonts w:cs="Arial"/>
          <w:lang w:eastAsia="zh-CN"/>
        </w:rPr>
        <w:t>4</w:t>
      </w:r>
      <w:r>
        <w:rPr>
          <w:rFonts w:asciiTheme="minorHAnsi" w:eastAsiaTheme="minorEastAsia" w:hAnsiTheme="minorHAnsi" w:cstheme="minorBidi"/>
          <w:sz w:val="22"/>
          <w:szCs w:val="22"/>
        </w:rPr>
        <w:tab/>
      </w:r>
      <w:r>
        <w:t>EVM frame structure for measurement</w:t>
      </w:r>
      <w:r>
        <w:tab/>
      </w:r>
      <w:r>
        <w:fldChar w:fldCharType="begin"/>
      </w:r>
      <w:r>
        <w:instrText xml:space="preserve"> PAGEREF _Toc106184103 \h </w:instrText>
      </w:r>
      <w:r>
        <w:fldChar w:fldCharType="separate"/>
      </w:r>
      <w:r>
        <w:t>118</w:t>
      </w:r>
      <w:r>
        <w:fldChar w:fldCharType="end"/>
      </w:r>
    </w:p>
    <w:p w14:paraId="4134F2D2" w14:textId="5127A624" w:rsidR="003C625C" w:rsidRDefault="003C625C">
      <w:pPr>
        <w:pStyle w:val="TOC3"/>
        <w:rPr>
          <w:rFonts w:asciiTheme="minorHAnsi" w:eastAsiaTheme="minorEastAsia" w:hAnsiTheme="minorHAnsi" w:cstheme="minorBidi"/>
          <w:sz w:val="22"/>
          <w:szCs w:val="22"/>
        </w:rPr>
      </w:pPr>
      <w:r w:rsidRPr="00DD4EB8">
        <w:rPr>
          <w:lang w:val="en-US"/>
        </w:rPr>
        <w:t>9.6.3</w:t>
      </w:r>
      <w:r>
        <w:rPr>
          <w:rFonts w:asciiTheme="minorHAnsi" w:eastAsiaTheme="minorEastAsia" w:hAnsiTheme="minorHAnsi" w:cstheme="minorBidi"/>
          <w:sz w:val="22"/>
          <w:szCs w:val="22"/>
        </w:rPr>
        <w:tab/>
      </w:r>
      <w:r w:rsidRPr="00DD4EB8">
        <w:rPr>
          <w:lang w:val="en-US"/>
        </w:rPr>
        <w:t>OTA time alignment error</w:t>
      </w:r>
      <w:r>
        <w:tab/>
      </w:r>
      <w:r>
        <w:fldChar w:fldCharType="begin"/>
      </w:r>
      <w:r>
        <w:instrText xml:space="preserve"> PAGEREF _Toc106184104 \h </w:instrText>
      </w:r>
      <w:r>
        <w:fldChar w:fldCharType="separate"/>
      </w:r>
      <w:r>
        <w:t>118</w:t>
      </w:r>
      <w:r>
        <w:fldChar w:fldCharType="end"/>
      </w:r>
    </w:p>
    <w:p w14:paraId="27542C2C" w14:textId="4233ED09" w:rsidR="003C625C" w:rsidRDefault="003C625C">
      <w:pPr>
        <w:pStyle w:val="TOC4"/>
        <w:rPr>
          <w:rFonts w:asciiTheme="minorHAnsi" w:eastAsiaTheme="minorEastAsia" w:hAnsiTheme="minorHAnsi" w:cstheme="minorBidi"/>
          <w:sz w:val="22"/>
          <w:szCs w:val="22"/>
        </w:rPr>
      </w:pPr>
      <w:r>
        <w:t>9.6.3.1</w:t>
      </w:r>
      <w:r>
        <w:rPr>
          <w:rFonts w:asciiTheme="minorHAnsi" w:eastAsiaTheme="minorEastAsia" w:hAnsiTheme="minorHAnsi" w:cstheme="minorBidi"/>
          <w:sz w:val="22"/>
          <w:szCs w:val="22"/>
        </w:rPr>
        <w:tab/>
      </w:r>
      <w:r>
        <w:t>IAB-DU OTA time alignment error</w:t>
      </w:r>
      <w:r>
        <w:tab/>
      </w:r>
      <w:r>
        <w:fldChar w:fldCharType="begin"/>
      </w:r>
      <w:r>
        <w:instrText xml:space="preserve"> PAGEREF _Toc106184105 \h </w:instrText>
      </w:r>
      <w:r>
        <w:fldChar w:fldCharType="separate"/>
      </w:r>
      <w:r>
        <w:t>118</w:t>
      </w:r>
      <w:r>
        <w:fldChar w:fldCharType="end"/>
      </w:r>
    </w:p>
    <w:p w14:paraId="632F4B34" w14:textId="259565DE" w:rsidR="003C625C" w:rsidRDefault="003C625C">
      <w:pPr>
        <w:pStyle w:val="TOC3"/>
        <w:rPr>
          <w:rFonts w:asciiTheme="minorHAnsi" w:eastAsiaTheme="minorEastAsia" w:hAnsiTheme="minorHAnsi" w:cstheme="minorBidi"/>
          <w:sz w:val="22"/>
          <w:szCs w:val="22"/>
        </w:rPr>
      </w:pPr>
      <w:r>
        <w:t>9.6.4</w:t>
      </w:r>
      <w:r>
        <w:rPr>
          <w:rFonts w:asciiTheme="minorHAnsi" w:eastAsiaTheme="minorEastAsia" w:hAnsiTheme="minorHAnsi" w:cstheme="minorBidi"/>
          <w:sz w:val="22"/>
          <w:szCs w:val="22"/>
        </w:rPr>
        <w:tab/>
      </w:r>
      <w:r>
        <w:t>Timing error between IAB-DU and IAB-MT of the same IAB-Node</w:t>
      </w:r>
      <w:r>
        <w:tab/>
      </w:r>
      <w:r>
        <w:fldChar w:fldCharType="begin"/>
      </w:r>
      <w:r>
        <w:instrText xml:space="preserve"> PAGEREF _Toc106184106 \h </w:instrText>
      </w:r>
      <w:r>
        <w:fldChar w:fldCharType="separate"/>
      </w:r>
      <w:r>
        <w:t>118</w:t>
      </w:r>
      <w:r>
        <w:fldChar w:fldCharType="end"/>
      </w:r>
    </w:p>
    <w:p w14:paraId="28650513" w14:textId="4566290A" w:rsidR="003C625C" w:rsidRDefault="003C625C">
      <w:pPr>
        <w:pStyle w:val="TOC2"/>
        <w:rPr>
          <w:rFonts w:asciiTheme="minorHAnsi" w:eastAsiaTheme="minorEastAsia" w:hAnsiTheme="minorHAnsi" w:cstheme="minorBidi"/>
          <w:sz w:val="22"/>
          <w:szCs w:val="22"/>
        </w:rPr>
      </w:pPr>
      <w:r>
        <w:t>9.7</w:t>
      </w:r>
      <w:r>
        <w:rPr>
          <w:rFonts w:asciiTheme="minorHAnsi" w:eastAsiaTheme="minorEastAsia" w:hAnsiTheme="minorHAnsi" w:cstheme="minorBidi"/>
          <w:sz w:val="22"/>
          <w:szCs w:val="22"/>
        </w:rPr>
        <w:tab/>
      </w:r>
      <w:r>
        <w:t>OTA unwanted emissions</w:t>
      </w:r>
      <w:r>
        <w:tab/>
      </w:r>
      <w:r>
        <w:fldChar w:fldCharType="begin"/>
      </w:r>
      <w:r>
        <w:instrText xml:space="preserve"> PAGEREF _Toc106184107 \h </w:instrText>
      </w:r>
      <w:r>
        <w:fldChar w:fldCharType="separate"/>
      </w:r>
      <w:r>
        <w:t>118</w:t>
      </w:r>
      <w:r>
        <w:fldChar w:fldCharType="end"/>
      </w:r>
    </w:p>
    <w:p w14:paraId="4680750E" w14:textId="64265575" w:rsidR="003C625C" w:rsidRDefault="003C625C">
      <w:pPr>
        <w:pStyle w:val="TOC3"/>
        <w:rPr>
          <w:rFonts w:asciiTheme="minorHAnsi" w:eastAsiaTheme="minorEastAsia" w:hAnsiTheme="minorHAnsi" w:cstheme="minorBidi"/>
          <w:sz w:val="22"/>
          <w:szCs w:val="22"/>
        </w:rPr>
      </w:pPr>
      <w:r>
        <w:t>9.7.1</w:t>
      </w:r>
      <w:r>
        <w:rPr>
          <w:rFonts w:asciiTheme="minorHAnsi" w:eastAsiaTheme="minorEastAsia" w:hAnsiTheme="minorHAnsi" w:cstheme="minorBidi"/>
          <w:sz w:val="22"/>
          <w:szCs w:val="22"/>
        </w:rPr>
        <w:tab/>
      </w:r>
      <w:r>
        <w:t>General</w:t>
      </w:r>
      <w:r>
        <w:tab/>
      </w:r>
      <w:r>
        <w:fldChar w:fldCharType="begin"/>
      </w:r>
      <w:r>
        <w:instrText xml:space="preserve"> PAGEREF _Toc106184108 \h </w:instrText>
      </w:r>
      <w:r>
        <w:fldChar w:fldCharType="separate"/>
      </w:r>
      <w:r>
        <w:t>118</w:t>
      </w:r>
      <w:r>
        <w:fldChar w:fldCharType="end"/>
      </w:r>
    </w:p>
    <w:p w14:paraId="49177B0B" w14:textId="43BFC7C8" w:rsidR="003C625C" w:rsidRDefault="003C625C">
      <w:pPr>
        <w:pStyle w:val="TOC3"/>
        <w:rPr>
          <w:rFonts w:asciiTheme="minorHAnsi" w:eastAsiaTheme="minorEastAsia" w:hAnsiTheme="minorHAnsi" w:cstheme="minorBidi"/>
          <w:sz w:val="22"/>
          <w:szCs w:val="22"/>
        </w:rPr>
      </w:pPr>
      <w:r>
        <w:t>9.7.2</w:t>
      </w:r>
      <w:r>
        <w:rPr>
          <w:rFonts w:asciiTheme="minorHAnsi" w:eastAsiaTheme="minorEastAsia" w:hAnsiTheme="minorHAnsi" w:cstheme="minorBidi"/>
          <w:sz w:val="22"/>
          <w:szCs w:val="22"/>
        </w:rPr>
        <w:tab/>
      </w:r>
      <w:r>
        <w:t>OTA occupied bandwidth</w:t>
      </w:r>
      <w:r>
        <w:tab/>
      </w:r>
      <w:r>
        <w:fldChar w:fldCharType="begin"/>
      </w:r>
      <w:r>
        <w:instrText xml:space="preserve"> PAGEREF _Toc106184109 \h </w:instrText>
      </w:r>
      <w:r>
        <w:fldChar w:fldCharType="separate"/>
      </w:r>
      <w:r>
        <w:t>119</w:t>
      </w:r>
      <w:r>
        <w:fldChar w:fldCharType="end"/>
      </w:r>
    </w:p>
    <w:p w14:paraId="24D8307C" w14:textId="441D2984" w:rsidR="003C625C" w:rsidRDefault="003C625C">
      <w:pPr>
        <w:pStyle w:val="TOC4"/>
        <w:rPr>
          <w:rFonts w:asciiTheme="minorHAnsi" w:eastAsiaTheme="minorEastAsia" w:hAnsiTheme="minorHAnsi" w:cstheme="minorBidi"/>
          <w:sz w:val="22"/>
          <w:szCs w:val="22"/>
        </w:rPr>
      </w:pPr>
      <w:r>
        <w:lastRenderedPageBreak/>
        <w:t>9.7.2.1</w:t>
      </w:r>
      <w:r>
        <w:rPr>
          <w:rFonts w:asciiTheme="minorHAnsi" w:eastAsiaTheme="minorEastAsia" w:hAnsiTheme="minorHAnsi" w:cstheme="minorBidi"/>
          <w:sz w:val="22"/>
          <w:szCs w:val="22"/>
        </w:rPr>
        <w:tab/>
      </w:r>
      <w:r>
        <w:t>General</w:t>
      </w:r>
      <w:r>
        <w:tab/>
      </w:r>
      <w:r>
        <w:fldChar w:fldCharType="begin"/>
      </w:r>
      <w:r>
        <w:instrText xml:space="preserve"> PAGEREF _Toc106184110 \h </w:instrText>
      </w:r>
      <w:r>
        <w:fldChar w:fldCharType="separate"/>
      </w:r>
      <w:r>
        <w:t>119</w:t>
      </w:r>
      <w:r>
        <w:fldChar w:fldCharType="end"/>
      </w:r>
    </w:p>
    <w:p w14:paraId="14C8D692" w14:textId="1F3EF0EA" w:rsidR="003C625C" w:rsidRDefault="003C625C">
      <w:pPr>
        <w:pStyle w:val="TOC4"/>
        <w:rPr>
          <w:rFonts w:asciiTheme="minorHAnsi" w:eastAsiaTheme="minorEastAsia" w:hAnsiTheme="minorHAnsi" w:cstheme="minorBidi"/>
          <w:sz w:val="22"/>
          <w:szCs w:val="22"/>
        </w:rPr>
      </w:pPr>
      <w:r>
        <w:t>9.7.2.2</w:t>
      </w:r>
      <w:r>
        <w:rPr>
          <w:rFonts w:asciiTheme="minorHAnsi" w:eastAsiaTheme="minorEastAsia" w:hAnsiTheme="minorHAnsi" w:cstheme="minorBidi"/>
          <w:sz w:val="22"/>
          <w:szCs w:val="22"/>
        </w:rPr>
        <w:tab/>
      </w:r>
      <w:r>
        <w:t>Minimum requirement</w:t>
      </w:r>
      <w:r>
        <w:rPr>
          <w:lang w:eastAsia="zh-CN"/>
        </w:rPr>
        <w:t xml:space="preserve"> for </w:t>
      </w:r>
      <w:r w:rsidRPr="00DD4EB8">
        <w:rPr>
          <w:i/>
          <w:lang w:eastAsia="zh-CN"/>
        </w:rPr>
        <w:t>IAB-DU type 1-O</w:t>
      </w:r>
      <w:r>
        <w:rPr>
          <w:lang w:eastAsia="zh-CN"/>
        </w:rPr>
        <w:t xml:space="preserve"> and </w:t>
      </w:r>
      <w:r w:rsidRPr="00DD4EB8">
        <w:rPr>
          <w:i/>
          <w:iCs/>
          <w:lang w:val="en-US" w:eastAsia="zh-CN"/>
        </w:rPr>
        <w:t xml:space="preserve">IAB-DU type </w:t>
      </w:r>
      <w:r>
        <w:rPr>
          <w:lang w:eastAsia="zh-CN"/>
        </w:rPr>
        <w:t>2-O</w:t>
      </w:r>
      <w:r>
        <w:tab/>
      </w:r>
      <w:r>
        <w:fldChar w:fldCharType="begin"/>
      </w:r>
      <w:r>
        <w:instrText xml:space="preserve"> PAGEREF _Toc106184111 \h </w:instrText>
      </w:r>
      <w:r>
        <w:fldChar w:fldCharType="separate"/>
      </w:r>
      <w:r>
        <w:t>119</w:t>
      </w:r>
      <w:r>
        <w:fldChar w:fldCharType="end"/>
      </w:r>
    </w:p>
    <w:p w14:paraId="77DC6A7D" w14:textId="41CACF64" w:rsidR="003C625C" w:rsidRDefault="003C625C">
      <w:pPr>
        <w:pStyle w:val="TOC4"/>
        <w:rPr>
          <w:rFonts w:asciiTheme="minorHAnsi" w:eastAsiaTheme="minorEastAsia" w:hAnsiTheme="minorHAnsi" w:cstheme="minorBidi"/>
          <w:sz w:val="22"/>
          <w:szCs w:val="22"/>
        </w:rPr>
      </w:pPr>
      <w:r>
        <w:t>9.7.2.3</w:t>
      </w:r>
      <w:r>
        <w:rPr>
          <w:rFonts w:asciiTheme="minorHAnsi" w:eastAsiaTheme="minorEastAsia" w:hAnsiTheme="minorHAnsi" w:cstheme="minorBidi"/>
          <w:sz w:val="22"/>
          <w:szCs w:val="22"/>
        </w:rPr>
        <w:tab/>
      </w:r>
      <w:r>
        <w:t>Minimum requirement</w:t>
      </w:r>
      <w:r>
        <w:rPr>
          <w:lang w:eastAsia="zh-CN"/>
        </w:rPr>
        <w:t xml:space="preserve"> for </w:t>
      </w:r>
      <w:r w:rsidRPr="00DD4EB8">
        <w:rPr>
          <w:i/>
          <w:lang w:eastAsia="zh-CN"/>
        </w:rPr>
        <w:t>IAB-MT type 1-O</w:t>
      </w:r>
      <w:r>
        <w:rPr>
          <w:lang w:eastAsia="zh-CN"/>
        </w:rPr>
        <w:t xml:space="preserve"> and </w:t>
      </w:r>
      <w:r w:rsidRPr="00DD4EB8">
        <w:rPr>
          <w:i/>
          <w:iCs/>
          <w:lang w:val="en-US" w:eastAsia="zh-CN"/>
        </w:rPr>
        <w:t xml:space="preserve">IAB-MT type </w:t>
      </w:r>
      <w:r>
        <w:rPr>
          <w:lang w:eastAsia="zh-CN"/>
        </w:rPr>
        <w:t>2-O</w:t>
      </w:r>
      <w:r>
        <w:tab/>
      </w:r>
      <w:r>
        <w:fldChar w:fldCharType="begin"/>
      </w:r>
      <w:r>
        <w:instrText xml:space="preserve"> PAGEREF _Toc106184112 \h </w:instrText>
      </w:r>
      <w:r>
        <w:fldChar w:fldCharType="separate"/>
      </w:r>
      <w:r>
        <w:t>119</w:t>
      </w:r>
      <w:r>
        <w:fldChar w:fldCharType="end"/>
      </w:r>
    </w:p>
    <w:p w14:paraId="5DEE3A3D" w14:textId="5FB0275E" w:rsidR="003C625C" w:rsidRDefault="003C625C">
      <w:pPr>
        <w:pStyle w:val="TOC3"/>
        <w:rPr>
          <w:rFonts w:asciiTheme="minorHAnsi" w:eastAsiaTheme="minorEastAsia" w:hAnsiTheme="minorHAnsi" w:cstheme="minorBidi"/>
          <w:sz w:val="22"/>
          <w:szCs w:val="22"/>
        </w:rPr>
      </w:pPr>
      <w:r>
        <w:t>9.7.3</w:t>
      </w:r>
      <w:r>
        <w:rPr>
          <w:rFonts w:asciiTheme="minorHAnsi" w:eastAsiaTheme="minorEastAsia" w:hAnsiTheme="minorHAnsi" w:cstheme="minorBidi"/>
          <w:sz w:val="22"/>
          <w:szCs w:val="22"/>
        </w:rPr>
        <w:tab/>
      </w:r>
      <w:r>
        <w:t>OTA Adjacent Channel Leakage Power Ratio (ACLR)</w:t>
      </w:r>
      <w:r>
        <w:tab/>
      </w:r>
      <w:r>
        <w:fldChar w:fldCharType="begin"/>
      </w:r>
      <w:r>
        <w:instrText xml:space="preserve"> PAGEREF _Toc106184113 \h </w:instrText>
      </w:r>
      <w:r>
        <w:fldChar w:fldCharType="separate"/>
      </w:r>
      <w:r>
        <w:t>119</w:t>
      </w:r>
      <w:r>
        <w:fldChar w:fldCharType="end"/>
      </w:r>
    </w:p>
    <w:p w14:paraId="173D27AE" w14:textId="11A47D28" w:rsidR="003C625C" w:rsidRDefault="003C625C">
      <w:pPr>
        <w:pStyle w:val="TOC4"/>
        <w:rPr>
          <w:rFonts w:asciiTheme="minorHAnsi" w:eastAsiaTheme="minorEastAsia" w:hAnsiTheme="minorHAnsi" w:cstheme="minorBidi"/>
          <w:sz w:val="22"/>
          <w:szCs w:val="22"/>
        </w:rPr>
      </w:pPr>
      <w:r>
        <w:t>9.7.3.1</w:t>
      </w:r>
      <w:r>
        <w:rPr>
          <w:rFonts w:asciiTheme="minorHAnsi" w:eastAsiaTheme="minorEastAsia" w:hAnsiTheme="minorHAnsi" w:cstheme="minorBidi"/>
          <w:sz w:val="22"/>
          <w:szCs w:val="22"/>
        </w:rPr>
        <w:tab/>
      </w:r>
      <w:r>
        <w:t>General</w:t>
      </w:r>
      <w:r>
        <w:tab/>
      </w:r>
      <w:r>
        <w:fldChar w:fldCharType="begin"/>
      </w:r>
      <w:r>
        <w:instrText xml:space="preserve"> PAGEREF _Toc106184114 \h </w:instrText>
      </w:r>
      <w:r>
        <w:fldChar w:fldCharType="separate"/>
      </w:r>
      <w:r>
        <w:t>119</w:t>
      </w:r>
      <w:r>
        <w:fldChar w:fldCharType="end"/>
      </w:r>
    </w:p>
    <w:p w14:paraId="2027F8CF" w14:textId="70105F98" w:rsidR="003C625C" w:rsidRDefault="003C625C">
      <w:pPr>
        <w:pStyle w:val="TOC4"/>
        <w:rPr>
          <w:rFonts w:asciiTheme="minorHAnsi" w:eastAsiaTheme="minorEastAsia" w:hAnsiTheme="minorHAnsi" w:cstheme="minorBidi"/>
          <w:sz w:val="22"/>
          <w:szCs w:val="22"/>
        </w:rPr>
      </w:pPr>
      <w:r>
        <w:t>9.7.3.2</w:t>
      </w:r>
      <w:r>
        <w:rPr>
          <w:rFonts w:asciiTheme="minorHAnsi" w:eastAsiaTheme="minorEastAsia" w:hAnsiTheme="minorHAnsi" w:cstheme="minorBidi"/>
          <w:sz w:val="22"/>
          <w:szCs w:val="22"/>
        </w:rPr>
        <w:tab/>
      </w:r>
      <w:r>
        <w:t xml:space="preserve">Minimum requirement for </w:t>
      </w:r>
      <w:r w:rsidRPr="00DD4EB8">
        <w:rPr>
          <w:i/>
        </w:rPr>
        <w:t>IAB-DU type 1-O and IAB-MT type 1-O</w:t>
      </w:r>
      <w:r>
        <w:tab/>
      </w:r>
      <w:r>
        <w:fldChar w:fldCharType="begin"/>
      </w:r>
      <w:r>
        <w:instrText xml:space="preserve"> PAGEREF _Toc106184115 \h </w:instrText>
      </w:r>
      <w:r>
        <w:fldChar w:fldCharType="separate"/>
      </w:r>
      <w:r>
        <w:t>120</w:t>
      </w:r>
      <w:r>
        <w:fldChar w:fldCharType="end"/>
      </w:r>
    </w:p>
    <w:p w14:paraId="3880D253" w14:textId="1B1B8695" w:rsidR="003C625C" w:rsidRDefault="003C625C">
      <w:pPr>
        <w:pStyle w:val="TOC4"/>
        <w:rPr>
          <w:rFonts w:asciiTheme="minorHAnsi" w:eastAsiaTheme="minorEastAsia" w:hAnsiTheme="minorHAnsi" w:cstheme="minorBidi"/>
          <w:sz w:val="22"/>
          <w:szCs w:val="22"/>
        </w:rPr>
      </w:pPr>
      <w:r>
        <w:t>9.7.3.3</w:t>
      </w:r>
      <w:r>
        <w:rPr>
          <w:rFonts w:asciiTheme="minorHAnsi" w:eastAsiaTheme="minorEastAsia" w:hAnsiTheme="minorHAnsi" w:cstheme="minorBidi"/>
          <w:sz w:val="22"/>
          <w:szCs w:val="22"/>
        </w:rPr>
        <w:tab/>
      </w:r>
      <w:r>
        <w:t xml:space="preserve">Minimum requirement for </w:t>
      </w:r>
      <w:r w:rsidRPr="00DD4EB8">
        <w:rPr>
          <w:i/>
        </w:rPr>
        <w:t xml:space="preserve">IAB-DU type 2-O </w:t>
      </w:r>
      <w:r w:rsidRPr="00DD4EB8">
        <w:rPr>
          <w:iCs/>
        </w:rPr>
        <w:t>and</w:t>
      </w:r>
      <w:r w:rsidRPr="00DD4EB8">
        <w:rPr>
          <w:i/>
        </w:rPr>
        <w:t xml:space="preserve"> Wide Area IAB-MT type 2-O</w:t>
      </w:r>
      <w:r>
        <w:tab/>
      </w:r>
      <w:r>
        <w:fldChar w:fldCharType="begin"/>
      </w:r>
      <w:r>
        <w:instrText xml:space="preserve"> PAGEREF _Toc106184116 \h </w:instrText>
      </w:r>
      <w:r>
        <w:fldChar w:fldCharType="separate"/>
      </w:r>
      <w:r>
        <w:t>120</w:t>
      </w:r>
      <w:r>
        <w:fldChar w:fldCharType="end"/>
      </w:r>
    </w:p>
    <w:p w14:paraId="41118BAD" w14:textId="7BAAD16A" w:rsidR="003C625C" w:rsidRDefault="003C625C">
      <w:pPr>
        <w:pStyle w:val="TOC4"/>
        <w:rPr>
          <w:rFonts w:asciiTheme="minorHAnsi" w:eastAsiaTheme="minorEastAsia" w:hAnsiTheme="minorHAnsi" w:cstheme="minorBidi"/>
          <w:sz w:val="22"/>
          <w:szCs w:val="22"/>
        </w:rPr>
      </w:pPr>
      <w:r>
        <w:t>9.7.3.4</w:t>
      </w:r>
      <w:r>
        <w:rPr>
          <w:rFonts w:asciiTheme="minorHAnsi" w:eastAsiaTheme="minorEastAsia" w:hAnsiTheme="minorHAnsi" w:cstheme="minorBidi"/>
          <w:sz w:val="22"/>
          <w:szCs w:val="22"/>
        </w:rPr>
        <w:tab/>
      </w:r>
      <w:r>
        <w:t xml:space="preserve">Minimum requirement for </w:t>
      </w:r>
      <w:r w:rsidRPr="00DD4EB8">
        <w:rPr>
          <w:i/>
        </w:rPr>
        <w:t>Local Area IAB-MT type 2-O</w:t>
      </w:r>
      <w:r>
        <w:tab/>
      </w:r>
      <w:r>
        <w:fldChar w:fldCharType="begin"/>
      </w:r>
      <w:r>
        <w:instrText xml:space="preserve"> PAGEREF _Toc106184117 \h </w:instrText>
      </w:r>
      <w:r>
        <w:fldChar w:fldCharType="separate"/>
      </w:r>
      <w:r>
        <w:t>122</w:t>
      </w:r>
      <w:r>
        <w:fldChar w:fldCharType="end"/>
      </w:r>
    </w:p>
    <w:p w14:paraId="5928374D" w14:textId="02ECDDAE" w:rsidR="003C625C" w:rsidRDefault="003C625C">
      <w:pPr>
        <w:pStyle w:val="TOC3"/>
        <w:rPr>
          <w:rFonts w:asciiTheme="minorHAnsi" w:eastAsiaTheme="minorEastAsia" w:hAnsiTheme="minorHAnsi" w:cstheme="minorBidi"/>
          <w:sz w:val="22"/>
          <w:szCs w:val="22"/>
        </w:rPr>
      </w:pPr>
      <w:r>
        <w:t>9.7.4</w:t>
      </w:r>
      <w:r>
        <w:rPr>
          <w:rFonts w:asciiTheme="minorHAnsi" w:eastAsiaTheme="minorEastAsia" w:hAnsiTheme="minorHAnsi" w:cstheme="minorBidi"/>
          <w:sz w:val="22"/>
          <w:szCs w:val="22"/>
        </w:rPr>
        <w:tab/>
      </w:r>
      <w:r>
        <w:t>OTA operating band unwanted emissions</w:t>
      </w:r>
      <w:r>
        <w:tab/>
      </w:r>
      <w:r>
        <w:fldChar w:fldCharType="begin"/>
      </w:r>
      <w:r>
        <w:instrText xml:space="preserve"> PAGEREF _Toc106184118 \h </w:instrText>
      </w:r>
      <w:r>
        <w:fldChar w:fldCharType="separate"/>
      </w:r>
      <w:r>
        <w:t>124</w:t>
      </w:r>
      <w:r>
        <w:fldChar w:fldCharType="end"/>
      </w:r>
    </w:p>
    <w:p w14:paraId="76DE5B70" w14:textId="613331E7" w:rsidR="003C625C" w:rsidRDefault="003C625C">
      <w:pPr>
        <w:pStyle w:val="TOC4"/>
        <w:rPr>
          <w:rFonts w:asciiTheme="minorHAnsi" w:eastAsiaTheme="minorEastAsia" w:hAnsiTheme="minorHAnsi" w:cstheme="minorBidi"/>
          <w:sz w:val="22"/>
          <w:szCs w:val="22"/>
        </w:rPr>
      </w:pPr>
      <w:r>
        <w:t>9.7.4.1</w:t>
      </w:r>
      <w:r>
        <w:rPr>
          <w:rFonts w:asciiTheme="minorHAnsi" w:eastAsiaTheme="minorEastAsia" w:hAnsiTheme="minorHAnsi" w:cstheme="minorBidi"/>
          <w:sz w:val="22"/>
          <w:szCs w:val="22"/>
        </w:rPr>
        <w:tab/>
      </w:r>
      <w:r>
        <w:t>General</w:t>
      </w:r>
      <w:r>
        <w:tab/>
      </w:r>
      <w:r>
        <w:fldChar w:fldCharType="begin"/>
      </w:r>
      <w:r>
        <w:instrText xml:space="preserve"> PAGEREF _Toc106184119 \h </w:instrText>
      </w:r>
      <w:r>
        <w:fldChar w:fldCharType="separate"/>
      </w:r>
      <w:r>
        <w:t>124</w:t>
      </w:r>
      <w:r>
        <w:fldChar w:fldCharType="end"/>
      </w:r>
    </w:p>
    <w:p w14:paraId="4B66C90E" w14:textId="2A7CA99A" w:rsidR="003C625C" w:rsidRDefault="003C625C">
      <w:pPr>
        <w:pStyle w:val="TOC4"/>
        <w:rPr>
          <w:rFonts w:asciiTheme="minorHAnsi" w:eastAsiaTheme="minorEastAsia" w:hAnsiTheme="minorHAnsi" w:cstheme="minorBidi"/>
          <w:sz w:val="22"/>
          <w:szCs w:val="22"/>
        </w:rPr>
      </w:pPr>
      <w:r>
        <w:t>9.7.4.2</w:t>
      </w:r>
      <w:r>
        <w:rPr>
          <w:rFonts w:asciiTheme="minorHAnsi" w:eastAsiaTheme="minorEastAsia" w:hAnsiTheme="minorHAnsi" w:cstheme="minorBidi"/>
          <w:sz w:val="22"/>
          <w:szCs w:val="22"/>
        </w:rPr>
        <w:tab/>
      </w:r>
      <w:r>
        <w:t xml:space="preserve">Minimum requirement for </w:t>
      </w:r>
      <w:r w:rsidRPr="00DD4EB8">
        <w:rPr>
          <w:i/>
        </w:rPr>
        <w:t>IAB-DU type 1-O</w:t>
      </w:r>
      <w:r>
        <w:tab/>
      </w:r>
      <w:r>
        <w:fldChar w:fldCharType="begin"/>
      </w:r>
      <w:r>
        <w:instrText xml:space="preserve"> PAGEREF _Toc106184120 \h </w:instrText>
      </w:r>
      <w:r>
        <w:fldChar w:fldCharType="separate"/>
      </w:r>
      <w:r>
        <w:t>124</w:t>
      </w:r>
      <w:r>
        <w:fldChar w:fldCharType="end"/>
      </w:r>
    </w:p>
    <w:p w14:paraId="413BF12F" w14:textId="5E2254AA" w:rsidR="003C625C" w:rsidRDefault="003C625C">
      <w:pPr>
        <w:pStyle w:val="TOC4"/>
        <w:rPr>
          <w:rFonts w:asciiTheme="minorHAnsi" w:eastAsiaTheme="minorEastAsia" w:hAnsiTheme="minorHAnsi" w:cstheme="minorBidi"/>
          <w:sz w:val="22"/>
          <w:szCs w:val="22"/>
        </w:rPr>
      </w:pPr>
      <w:r>
        <w:t>9.7.4.3</w:t>
      </w:r>
      <w:r>
        <w:rPr>
          <w:rFonts w:asciiTheme="minorHAnsi" w:eastAsiaTheme="minorEastAsia" w:hAnsiTheme="minorHAnsi" w:cstheme="minorBidi"/>
          <w:sz w:val="22"/>
          <w:szCs w:val="22"/>
        </w:rPr>
        <w:tab/>
      </w:r>
      <w:r>
        <w:t xml:space="preserve">Minimum requirement for </w:t>
      </w:r>
      <w:r w:rsidRPr="00DD4EB8">
        <w:rPr>
          <w:i/>
        </w:rPr>
        <w:t>IAB-MT type 1-O</w:t>
      </w:r>
      <w:r>
        <w:tab/>
      </w:r>
      <w:r>
        <w:fldChar w:fldCharType="begin"/>
      </w:r>
      <w:r>
        <w:instrText xml:space="preserve"> PAGEREF _Toc106184121 \h </w:instrText>
      </w:r>
      <w:r>
        <w:fldChar w:fldCharType="separate"/>
      </w:r>
      <w:r>
        <w:t>124</w:t>
      </w:r>
      <w:r>
        <w:fldChar w:fldCharType="end"/>
      </w:r>
    </w:p>
    <w:p w14:paraId="33A05C69" w14:textId="527DF2E1" w:rsidR="003C625C" w:rsidRDefault="003C625C">
      <w:pPr>
        <w:pStyle w:val="TOC4"/>
        <w:rPr>
          <w:rFonts w:asciiTheme="minorHAnsi" w:eastAsiaTheme="minorEastAsia" w:hAnsiTheme="minorHAnsi" w:cstheme="minorBidi"/>
          <w:sz w:val="22"/>
          <w:szCs w:val="22"/>
        </w:rPr>
      </w:pPr>
      <w:r>
        <w:t>9.7.4.4</w:t>
      </w:r>
      <w:r>
        <w:rPr>
          <w:rFonts w:asciiTheme="minorHAnsi" w:eastAsiaTheme="minorEastAsia" w:hAnsiTheme="minorHAnsi" w:cstheme="minorBidi"/>
          <w:sz w:val="22"/>
          <w:szCs w:val="22"/>
        </w:rPr>
        <w:tab/>
      </w:r>
      <w:r>
        <w:t>Additional requirements</w:t>
      </w:r>
      <w:r>
        <w:tab/>
      </w:r>
      <w:r>
        <w:fldChar w:fldCharType="begin"/>
      </w:r>
      <w:r>
        <w:instrText xml:space="preserve"> PAGEREF _Toc106184122 \h </w:instrText>
      </w:r>
      <w:r>
        <w:fldChar w:fldCharType="separate"/>
      </w:r>
      <w:r>
        <w:t>124</w:t>
      </w:r>
      <w:r>
        <w:fldChar w:fldCharType="end"/>
      </w:r>
    </w:p>
    <w:p w14:paraId="2A05F4CC" w14:textId="60328C69" w:rsidR="003C625C" w:rsidRDefault="003C625C">
      <w:pPr>
        <w:pStyle w:val="TOC5"/>
        <w:rPr>
          <w:rFonts w:asciiTheme="minorHAnsi" w:eastAsiaTheme="minorEastAsia" w:hAnsiTheme="minorHAnsi" w:cstheme="minorBidi"/>
          <w:sz w:val="22"/>
          <w:szCs w:val="22"/>
        </w:rPr>
      </w:pPr>
      <w:r>
        <w:t>9.7.4.4.1</w:t>
      </w:r>
      <w:r>
        <w:rPr>
          <w:rFonts w:asciiTheme="minorHAnsi" w:eastAsiaTheme="minorEastAsia" w:hAnsiTheme="minorHAnsi" w:cstheme="minorBidi"/>
          <w:sz w:val="22"/>
          <w:szCs w:val="22"/>
        </w:rPr>
        <w:tab/>
      </w:r>
      <w:r>
        <w:t>Limits in FCC Title 47</w:t>
      </w:r>
      <w:r>
        <w:tab/>
      </w:r>
      <w:r>
        <w:fldChar w:fldCharType="begin"/>
      </w:r>
      <w:r>
        <w:instrText xml:space="preserve"> PAGEREF _Toc106184123 \h </w:instrText>
      </w:r>
      <w:r>
        <w:fldChar w:fldCharType="separate"/>
      </w:r>
      <w:r>
        <w:t>124</w:t>
      </w:r>
      <w:r>
        <w:fldChar w:fldCharType="end"/>
      </w:r>
    </w:p>
    <w:p w14:paraId="418D08FB" w14:textId="37D4B854" w:rsidR="003C625C" w:rsidRDefault="003C625C">
      <w:pPr>
        <w:pStyle w:val="TOC4"/>
        <w:rPr>
          <w:rFonts w:asciiTheme="minorHAnsi" w:eastAsiaTheme="minorEastAsia" w:hAnsiTheme="minorHAnsi" w:cstheme="minorBidi"/>
          <w:sz w:val="22"/>
          <w:szCs w:val="22"/>
        </w:rPr>
      </w:pPr>
      <w:r>
        <w:t>9.7.4.5</w:t>
      </w:r>
      <w:r>
        <w:rPr>
          <w:rFonts w:asciiTheme="minorHAnsi" w:eastAsiaTheme="minorEastAsia" w:hAnsiTheme="minorHAnsi" w:cstheme="minorBidi"/>
          <w:sz w:val="22"/>
          <w:szCs w:val="22"/>
        </w:rPr>
        <w:tab/>
      </w:r>
      <w:r>
        <w:t xml:space="preserve">Minimum requirement for </w:t>
      </w:r>
      <w:r w:rsidRPr="00DD4EB8">
        <w:rPr>
          <w:i/>
        </w:rPr>
        <w:t xml:space="preserve">IAB-DU type 2-O </w:t>
      </w:r>
      <w:r w:rsidRPr="00DD4EB8">
        <w:rPr>
          <w:iCs/>
        </w:rPr>
        <w:t>and</w:t>
      </w:r>
      <w:r w:rsidRPr="00DD4EB8">
        <w:rPr>
          <w:i/>
        </w:rPr>
        <w:t xml:space="preserve"> IAB-MT type 2-O</w:t>
      </w:r>
      <w:r>
        <w:tab/>
      </w:r>
      <w:r>
        <w:fldChar w:fldCharType="begin"/>
      </w:r>
      <w:r>
        <w:instrText xml:space="preserve"> PAGEREF _Toc106184124 \h </w:instrText>
      </w:r>
      <w:r>
        <w:fldChar w:fldCharType="separate"/>
      </w:r>
      <w:r>
        <w:t>125</w:t>
      </w:r>
      <w:r>
        <w:fldChar w:fldCharType="end"/>
      </w:r>
    </w:p>
    <w:p w14:paraId="5A9E5AFA" w14:textId="226EFB46" w:rsidR="003C625C" w:rsidRDefault="003C625C">
      <w:pPr>
        <w:pStyle w:val="TOC5"/>
        <w:rPr>
          <w:rFonts w:asciiTheme="minorHAnsi" w:eastAsiaTheme="minorEastAsia" w:hAnsiTheme="minorHAnsi" w:cstheme="minorBidi"/>
          <w:sz w:val="22"/>
          <w:szCs w:val="22"/>
        </w:rPr>
      </w:pPr>
      <w:r>
        <w:t>9.7.4.5.1</w:t>
      </w:r>
      <w:r>
        <w:rPr>
          <w:rFonts w:asciiTheme="minorHAnsi" w:eastAsiaTheme="minorEastAsia" w:hAnsiTheme="minorHAnsi" w:cstheme="minorBidi"/>
          <w:sz w:val="22"/>
          <w:szCs w:val="22"/>
        </w:rPr>
        <w:tab/>
      </w:r>
      <w:r>
        <w:t>General</w:t>
      </w:r>
      <w:r>
        <w:tab/>
      </w:r>
      <w:r>
        <w:fldChar w:fldCharType="begin"/>
      </w:r>
      <w:r>
        <w:instrText xml:space="preserve"> PAGEREF _Toc106184125 \h </w:instrText>
      </w:r>
      <w:r>
        <w:fldChar w:fldCharType="separate"/>
      </w:r>
      <w:r>
        <w:t>125</w:t>
      </w:r>
      <w:r>
        <w:fldChar w:fldCharType="end"/>
      </w:r>
    </w:p>
    <w:p w14:paraId="081501D7" w14:textId="11BD43B7" w:rsidR="003C625C" w:rsidRDefault="003C625C">
      <w:pPr>
        <w:pStyle w:val="TOC5"/>
        <w:rPr>
          <w:rFonts w:asciiTheme="minorHAnsi" w:eastAsiaTheme="minorEastAsia" w:hAnsiTheme="minorHAnsi" w:cstheme="minorBidi"/>
          <w:sz w:val="22"/>
          <w:szCs w:val="22"/>
        </w:rPr>
      </w:pPr>
      <w:r>
        <w:t>9.7.4.5.2</w:t>
      </w:r>
      <w:r>
        <w:rPr>
          <w:rFonts w:asciiTheme="minorHAnsi" w:eastAsiaTheme="minorEastAsia" w:hAnsiTheme="minorHAnsi" w:cstheme="minorBidi"/>
          <w:sz w:val="22"/>
          <w:szCs w:val="22"/>
        </w:rPr>
        <w:tab/>
      </w:r>
      <w:r>
        <w:t xml:space="preserve">OTA </w:t>
      </w:r>
      <w:r w:rsidRPr="00DD4EB8">
        <w:rPr>
          <w:rFonts w:eastAsia="Malgun Gothic"/>
        </w:rPr>
        <w:t>operating band unwanted emission limits (Category A)</w:t>
      </w:r>
      <w:r>
        <w:tab/>
      </w:r>
      <w:r>
        <w:fldChar w:fldCharType="begin"/>
      </w:r>
      <w:r>
        <w:instrText xml:space="preserve"> PAGEREF _Toc106184126 \h </w:instrText>
      </w:r>
      <w:r>
        <w:fldChar w:fldCharType="separate"/>
      </w:r>
      <w:r>
        <w:t>126</w:t>
      </w:r>
      <w:r>
        <w:fldChar w:fldCharType="end"/>
      </w:r>
    </w:p>
    <w:p w14:paraId="28F4407E" w14:textId="4EAACF8E" w:rsidR="003C625C" w:rsidRDefault="003C625C">
      <w:pPr>
        <w:pStyle w:val="TOC5"/>
        <w:rPr>
          <w:rFonts w:asciiTheme="minorHAnsi" w:eastAsiaTheme="minorEastAsia" w:hAnsiTheme="minorHAnsi" w:cstheme="minorBidi"/>
          <w:sz w:val="22"/>
          <w:szCs w:val="22"/>
        </w:rPr>
      </w:pPr>
      <w:r>
        <w:t>9.7.4.5.3</w:t>
      </w:r>
      <w:r>
        <w:rPr>
          <w:rFonts w:asciiTheme="minorHAnsi" w:eastAsiaTheme="minorEastAsia" w:hAnsiTheme="minorHAnsi" w:cstheme="minorBidi"/>
          <w:sz w:val="22"/>
          <w:szCs w:val="22"/>
        </w:rPr>
        <w:tab/>
      </w:r>
      <w:r>
        <w:t xml:space="preserve">OTA </w:t>
      </w:r>
      <w:r w:rsidRPr="00DD4EB8">
        <w:rPr>
          <w:rFonts w:eastAsia="Malgun Gothic"/>
        </w:rPr>
        <w:t>operating band unwanted emission limits (Category B)</w:t>
      </w:r>
      <w:r>
        <w:tab/>
      </w:r>
      <w:r>
        <w:fldChar w:fldCharType="begin"/>
      </w:r>
      <w:r>
        <w:instrText xml:space="preserve"> PAGEREF _Toc106184127 \h </w:instrText>
      </w:r>
      <w:r>
        <w:fldChar w:fldCharType="separate"/>
      </w:r>
      <w:r>
        <w:t>126</w:t>
      </w:r>
      <w:r>
        <w:fldChar w:fldCharType="end"/>
      </w:r>
    </w:p>
    <w:p w14:paraId="3D5ADBC5" w14:textId="05C152F9" w:rsidR="003C625C" w:rsidRDefault="003C625C">
      <w:pPr>
        <w:pStyle w:val="TOC5"/>
        <w:rPr>
          <w:rFonts w:asciiTheme="minorHAnsi" w:eastAsiaTheme="minorEastAsia" w:hAnsiTheme="minorHAnsi" w:cstheme="minorBidi"/>
          <w:sz w:val="22"/>
          <w:szCs w:val="22"/>
        </w:rPr>
      </w:pPr>
      <w:r>
        <w:t>9.7.4.5.4</w:t>
      </w:r>
      <w:r>
        <w:rPr>
          <w:rFonts w:asciiTheme="minorHAnsi" w:eastAsiaTheme="minorEastAsia" w:hAnsiTheme="minorHAnsi" w:cstheme="minorBidi"/>
          <w:sz w:val="22"/>
          <w:szCs w:val="22"/>
        </w:rPr>
        <w:tab/>
      </w:r>
      <w:r>
        <w:t>Additional OTA operating band unwanted emission requirements</w:t>
      </w:r>
      <w:r>
        <w:tab/>
      </w:r>
      <w:r>
        <w:fldChar w:fldCharType="begin"/>
      </w:r>
      <w:r>
        <w:instrText xml:space="preserve"> PAGEREF _Toc106184128 \h </w:instrText>
      </w:r>
      <w:r>
        <w:fldChar w:fldCharType="separate"/>
      </w:r>
      <w:r>
        <w:t>127</w:t>
      </w:r>
      <w:r>
        <w:fldChar w:fldCharType="end"/>
      </w:r>
    </w:p>
    <w:p w14:paraId="61ADDEAB" w14:textId="58B46D0E" w:rsidR="003C625C" w:rsidRDefault="003C625C">
      <w:pPr>
        <w:pStyle w:val="TOC3"/>
        <w:rPr>
          <w:rFonts w:asciiTheme="minorHAnsi" w:eastAsiaTheme="minorEastAsia" w:hAnsiTheme="minorHAnsi" w:cstheme="minorBidi"/>
          <w:sz w:val="22"/>
          <w:szCs w:val="22"/>
        </w:rPr>
      </w:pPr>
      <w:r>
        <w:t>9.7.5</w:t>
      </w:r>
      <w:r>
        <w:rPr>
          <w:rFonts w:asciiTheme="minorHAnsi" w:eastAsiaTheme="minorEastAsia" w:hAnsiTheme="minorHAnsi" w:cstheme="minorBidi"/>
          <w:sz w:val="22"/>
          <w:szCs w:val="22"/>
        </w:rPr>
        <w:tab/>
      </w:r>
      <w:r>
        <w:t>OTA transmitter spurious emissions</w:t>
      </w:r>
      <w:r>
        <w:tab/>
      </w:r>
      <w:r>
        <w:fldChar w:fldCharType="begin"/>
      </w:r>
      <w:r>
        <w:instrText xml:space="preserve"> PAGEREF _Toc106184129 \h </w:instrText>
      </w:r>
      <w:r>
        <w:fldChar w:fldCharType="separate"/>
      </w:r>
      <w:r>
        <w:t>127</w:t>
      </w:r>
      <w:r>
        <w:fldChar w:fldCharType="end"/>
      </w:r>
    </w:p>
    <w:p w14:paraId="6644389C" w14:textId="4E57BC90" w:rsidR="003C625C" w:rsidRDefault="003C625C">
      <w:pPr>
        <w:pStyle w:val="TOC4"/>
        <w:rPr>
          <w:rFonts w:asciiTheme="minorHAnsi" w:eastAsiaTheme="minorEastAsia" w:hAnsiTheme="minorHAnsi" w:cstheme="minorBidi"/>
          <w:sz w:val="22"/>
          <w:szCs w:val="22"/>
        </w:rPr>
      </w:pPr>
      <w:r>
        <w:t>9.7.5.1</w:t>
      </w:r>
      <w:r>
        <w:rPr>
          <w:rFonts w:asciiTheme="minorHAnsi" w:eastAsiaTheme="minorEastAsia" w:hAnsiTheme="minorHAnsi" w:cstheme="minorBidi"/>
          <w:sz w:val="22"/>
          <w:szCs w:val="22"/>
        </w:rPr>
        <w:tab/>
      </w:r>
      <w:r>
        <w:t>General</w:t>
      </w:r>
      <w:r>
        <w:tab/>
      </w:r>
      <w:r>
        <w:fldChar w:fldCharType="begin"/>
      </w:r>
      <w:r>
        <w:instrText xml:space="preserve"> PAGEREF _Toc106184130 \h </w:instrText>
      </w:r>
      <w:r>
        <w:fldChar w:fldCharType="separate"/>
      </w:r>
      <w:r>
        <w:t>127</w:t>
      </w:r>
      <w:r>
        <w:fldChar w:fldCharType="end"/>
      </w:r>
    </w:p>
    <w:p w14:paraId="623CA77D" w14:textId="3CAEEB81" w:rsidR="003C625C" w:rsidRDefault="003C625C">
      <w:pPr>
        <w:pStyle w:val="TOC4"/>
        <w:rPr>
          <w:rFonts w:asciiTheme="minorHAnsi" w:eastAsiaTheme="minorEastAsia" w:hAnsiTheme="minorHAnsi" w:cstheme="minorBidi"/>
          <w:sz w:val="22"/>
          <w:szCs w:val="22"/>
        </w:rPr>
      </w:pPr>
      <w:r>
        <w:t>9.7.5.2</w:t>
      </w:r>
      <w:r>
        <w:rPr>
          <w:rFonts w:asciiTheme="minorHAnsi" w:eastAsiaTheme="minorEastAsia" w:hAnsiTheme="minorHAnsi" w:cstheme="minorBidi"/>
          <w:sz w:val="22"/>
          <w:szCs w:val="22"/>
        </w:rPr>
        <w:tab/>
      </w:r>
      <w:r>
        <w:t xml:space="preserve">Minimum requirement for </w:t>
      </w:r>
      <w:r w:rsidRPr="00DD4EB8">
        <w:rPr>
          <w:i/>
        </w:rPr>
        <w:t>IAB-DU type 1-O and IAB-MT type 1-O</w:t>
      </w:r>
      <w:r>
        <w:tab/>
      </w:r>
      <w:r>
        <w:fldChar w:fldCharType="begin"/>
      </w:r>
      <w:r>
        <w:instrText xml:space="preserve"> PAGEREF _Toc106184131 \h </w:instrText>
      </w:r>
      <w:r>
        <w:fldChar w:fldCharType="separate"/>
      </w:r>
      <w:r>
        <w:t>127</w:t>
      </w:r>
      <w:r>
        <w:fldChar w:fldCharType="end"/>
      </w:r>
    </w:p>
    <w:p w14:paraId="4BF2590D" w14:textId="72A61D25" w:rsidR="003C625C" w:rsidRDefault="003C625C">
      <w:pPr>
        <w:pStyle w:val="TOC5"/>
        <w:rPr>
          <w:rFonts w:asciiTheme="minorHAnsi" w:eastAsiaTheme="minorEastAsia" w:hAnsiTheme="minorHAnsi" w:cstheme="minorBidi"/>
          <w:sz w:val="22"/>
          <w:szCs w:val="22"/>
        </w:rPr>
      </w:pPr>
      <w:r>
        <w:rPr>
          <w:lang w:eastAsia="zh-CN"/>
        </w:rPr>
        <w:t>9.7.5.2.1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_Toc106184132 \h </w:instrText>
      </w:r>
      <w:r>
        <w:fldChar w:fldCharType="separate"/>
      </w:r>
      <w:r>
        <w:t>127</w:t>
      </w:r>
      <w:r>
        <w:fldChar w:fldCharType="end"/>
      </w:r>
    </w:p>
    <w:p w14:paraId="2B4F1E1E" w14:textId="4257F801" w:rsidR="003C625C" w:rsidRDefault="003C625C">
      <w:pPr>
        <w:pStyle w:val="TOC5"/>
        <w:rPr>
          <w:rFonts w:asciiTheme="minorHAnsi" w:eastAsiaTheme="minorEastAsia" w:hAnsiTheme="minorHAnsi" w:cstheme="minorBidi"/>
          <w:sz w:val="22"/>
          <w:szCs w:val="22"/>
        </w:rPr>
      </w:pPr>
      <w:r>
        <w:rPr>
          <w:lang w:eastAsia="zh-CN"/>
        </w:rPr>
        <w:t>9.7.5.2.2</w:t>
      </w:r>
      <w:r>
        <w:rPr>
          <w:rFonts w:asciiTheme="minorHAnsi" w:eastAsiaTheme="minorEastAsia" w:hAnsiTheme="minorHAnsi" w:cstheme="minorBidi"/>
          <w:sz w:val="22"/>
          <w:szCs w:val="22"/>
        </w:rPr>
        <w:tab/>
      </w:r>
      <w:r>
        <w:rPr>
          <w:lang w:eastAsia="zh-CN"/>
        </w:rPr>
        <w:t>General OTA transmitter spurious emissions requirements</w:t>
      </w:r>
      <w:r>
        <w:tab/>
      </w:r>
      <w:r>
        <w:fldChar w:fldCharType="begin"/>
      </w:r>
      <w:r>
        <w:instrText xml:space="preserve"> PAGEREF _Toc106184133 \h </w:instrText>
      </w:r>
      <w:r>
        <w:fldChar w:fldCharType="separate"/>
      </w:r>
      <w:r>
        <w:t>128</w:t>
      </w:r>
      <w:r>
        <w:fldChar w:fldCharType="end"/>
      </w:r>
    </w:p>
    <w:p w14:paraId="154328F0" w14:textId="325D0446" w:rsidR="003C625C" w:rsidRDefault="003C625C">
      <w:pPr>
        <w:pStyle w:val="TOC5"/>
        <w:rPr>
          <w:rFonts w:asciiTheme="minorHAnsi" w:eastAsiaTheme="minorEastAsia" w:hAnsiTheme="minorHAnsi" w:cstheme="minorBidi"/>
          <w:sz w:val="22"/>
          <w:szCs w:val="22"/>
        </w:rPr>
      </w:pPr>
      <w:r>
        <w:rPr>
          <w:lang w:eastAsia="zh-CN"/>
        </w:rPr>
        <w:t>9.7.5.2.3</w:t>
      </w:r>
      <w:r>
        <w:rPr>
          <w:rFonts w:asciiTheme="minorHAnsi" w:eastAsiaTheme="minorEastAsia" w:hAnsiTheme="minorHAnsi" w:cstheme="minorBidi"/>
          <w:sz w:val="22"/>
          <w:szCs w:val="22"/>
        </w:rPr>
        <w:tab/>
      </w:r>
      <w:r>
        <w:rPr>
          <w:lang w:eastAsia="zh-CN"/>
        </w:rPr>
        <w:t>Additional spurious emissions requirements</w:t>
      </w:r>
      <w:r>
        <w:tab/>
      </w:r>
      <w:r>
        <w:fldChar w:fldCharType="begin"/>
      </w:r>
      <w:r>
        <w:instrText xml:space="preserve"> PAGEREF _Toc106184134 \h </w:instrText>
      </w:r>
      <w:r>
        <w:fldChar w:fldCharType="separate"/>
      </w:r>
      <w:r>
        <w:t>128</w:t>
      </w:r>
      <w:r>
        <w:fldChar w:fldCharType="end"/>
      </w:r>
    </w:p>
    <w:p w14:paraId="4C862FF7" w14:textId="748C30B2" w:rsidR="003C625C" w:rsidRDefault="003C625C">
      <w:pPr>
        <w:pStyle w:val="TOC5"/>
        <w:rPr>
          <w:rFonts w:asciiTheme="minorHAnsi" w:eastAsiaTheme="minorEastAsia" w:hAnsiTheme="minorHAnsi" w:cstheme="minorBidi"/>
          <w:sz w:val="22"/>
          <w:szCs w:val="22"/>
        </w:rPr>
      </w:pPr>
      <w:r>
        <w:rPr>
          <w:lang w:eastAsia="zh-CN"/>
        </w:rPr>
        <w:t>9.7.5.2.4</w:t>
      </w:r>
      <w:r>
        <w:rPr>
          <w:rFonts w:asciiTheme="minorHAnsi" w:eastAsiaTheme="minorEastAsia" w:hAnsiTheme="minorHAnsi" w:cstheme="minorBidi"/>
          <w:sz w:val="22"/>
          <w:szCs w:val="22"/>
        </w:rPr>
        <w:tab/>
      </w:r>
      <w:r>
        <w:rPr>
          <w:lang w:eastAsia="zh-CN"/>
        </w:rPr>
        <w:t>Co-location with other base stations and IAB-Nodes</w:t>
      </w:r>
      <w:r>
        <w:tab/>
      </w:r>
      <w:r>
        <w:fldChar w:fldCharType="begin"/>
      </w:r>
      <w:r>
        <w:instrText xml:space="preserve"> PAGEREF _Toc106184135 \h </w:instrText>
      </w:r>
      <w:r>
        <w:fldChar w:fldCharType="separate"/>
      </w:r>
      <w:r>
        <w:t>128</w:t>
      </w:r>
      <w:r>
        <w:fldChar w:fldCharType="end"/>
      </w:r>
    </w:p>
    <w:p w14:paraId="52EAFA16" w14:textId="7F37D025" w:rsidR="003C625C" w:rsidRDefault="003C625C">
      <w:pPr>
        <w:pStyle w:val="TOC4"/>
        <w:rPr>
          <w:rFonts w:asciiTheme="minorHAnsi" w:eastAsiaTheme="minorEastAsia" w:hAnsiTheme="minorHAnsi" w:cstheme="minorBidi"/>
          <w:sz w:val="22"/>
          <w:szCs w:val="22"/>
        </w:rPr>
      </w:pPr>
      <w:r>
        <w:t>9.7.5.3</w:t>
      </w:r>
      <w:r>
        <w:rPr>
          <w:rFonts w:asciiTheme="minorHAnsi" w:eastAsiaTheme="minorEastAsia" w:hAnsiTheme="minorHAnsi" w:cstheme="minorBidi"/>
          <w:sz w:val="22"/>
          <w:szCs w:val="22"/>
        </w:rPr>
        <w:tab/>
      </w:r>
      <w:r>
        <w:t xml:space="preserve">Minimum requirement for </w:t>
      </w:r>
      <w:r w:rsidRPr="00DD4EB8">
        <w:rPr>
          <w:i/>
        </w:rPr>
        <w:t>IAB-DU type 2-O and IAB-MT type 2-O</w:t>
      </w:r>
      <w:r>
        <w:tab/>
      </w:r>
      <w:r>
        <w:fldChar w:fldCharType="begin"/>
      </w:r>
      <w:r>
        <w:instrText xml:space="preserve"> PAGEREF _Toc106184136 \h </w:instrText>
      </w:r>
      <w:r>
        <w:fldChar w:fldCharType="separate"/>
      </w:r>
      <w:r>
        <w:t>128</w:t>
      </w:r>
      <w:r>
        <w:fldChar w:fldCharType="end"/>
      </w:r>
    </w:p>
    <w:p w14:paraId="1B88F24A" w14:textId="0E8DA576" w:rsidR="003C625C" w:rsidRDefault="003C625C">
      <w:pPr>
        <w:pStyle w:val="TOC5"/>
        <w:rPr>
          <w:rFonts w:asciiTheme="minorHAnsi" w:eastAsiaTheme="minorEastAsia" w:hAnsiTheme="minorHAnsi" w:cstheme="minorBidi"/>
          <w:sz w:val="22"/>
          <w:szCs w:val="22"/>
        </w:rPr>
      </w:pPr>
      <w:r>
        <w:t>9.7.5.3.1</w:t>
      </w:r>
      <w:r>
        <w:rPr>
          <w:rFonts w:asciiTheme="minorHAnsi" w:eastAsiaTheme="minorEastAsia" w:hAnsiTheme="minorHAnsi" w:cstheme="minorBidi"/>
          <w:sz w:val="22"/>
          <w:szCs w:val="22"/>
        </w:rPr>
        <w:tab/>
      </w:r>
      <w:r>
        <w:t>General</w:t>
      </w:r>
      <w:r>
        <w:tab/>
      </w:r>
      <w:r>
        <w:fldChar w:fldCharType="begin"/>
      </w:r>
      <w:r>
        <w:instrText xml:space="preserve"> PAGEREF _Toc106184137 \h </w:instrText>
      </w:r>
      <w:r>
        <w:fldChar w:fldCharType="separate"/>
      </w:r>
      <w:r>
        <w:t>128</w:t>
      </w:r>
      <w:r>
        <w:fldChar w:fldCharType="end"/>
      </w:r>
    </w:p>
    <w:p w14:paraId="6FC3C19E" w14:textId="44D2CFDF" w:rsidR="003C625C" w:rsidRDefault="003C625C">
      <w:pPr>
        <w:pStyle w:val="TOC5"/>
        <w:rPr>
          <w:rFonts w:asciiTheme="minorHAnsi" w:eastAsiaTheme="minorEastAsia" w:hAnsiTheme="minorHAnsi" w:cstheme="minorBidi"/>
          <w:sz w:val="22"/>
          <w:szCs w:val="22"/>
        </w:rPr>
      </w:pPr>
      <w:r>
        <w:t>9.7.5.3.2</w:t>
      </w:r>
      <w:r>
        <w:rPr>
          <w:rFonts w:asciiTheme="minorHAnsi" w:eastAsiaTheme="minorEastAsia" w:hAnsiTheme="minorHAnsi" w:cstheme="minorBidi"/>
          <w:sz w:val="22"/>
          <w:szCs w:val="22"/>
        </w:rPr>
        <w:tab/>
      </w:r>
      <w:r>
        <w:t>General OTA transmitter spurious emissions requirements</w:t>
      </w:r>
      <w:r>
        <w:tab/>
      </w:r>
      <w:r>
        <w:fldChar w:fldCharType="begin"/>
      </w:r>
      <w:r>
        <w:instrText xml:space="preserve"> PAGEREF _Toc106184138 \h </w:instrText>
      </w:r>
      <w:r>
        <w:fldChar w:fldCharType="separate"/>
      </w:r>
      <w:r>
        <w:t>129</w:t>
      </w:r>
      <w:r>
        <w:fldChar w:fldCharType="end"/>
      </w:r>
    </w:p>
    <w:p w14:paraId="43E7C834" w14:textId="4D2FE963" w:rsidR="003C625C" w:rsidRDefault="003C625C">
      <w:pPr>
        <w:pStyle w:val="TOC6"/>
        <w:rPr>
          <w:rFonts w:asciiTheme="minorHAnsi" w:eastAsiaTheme="minorEastAsia" w:hAnsiTheme="minorHAnsi" w:cstheme="minorBidi"/>
          <w:sz w:val="22"/>
          <w:szCs w:val="22"/>
        </w:rPr>
      </w:pPr>
      <w:r>
        <w:t>9.7.5.3.2.1</w:t>
      </w:r>
      <w:r>
        <w:rPr>
          <w:rFonts w:asciiTheme="minorHAnsi" w:eastAsiaTheme="minorEastAsia" w:hAnsiTheme="minorHAnsi" w:cstheme="minorBidi"/>
          <w:sz w:val="22"/>
          <w:szCs w:val="22"/>
        </w:rPr>
        <w:tab/>
      </w:r>
      <w:r>
        <w:t>General</w:t>
      </w:r>
      <w:r>
        <w:tab/>
      </w:r>
      <w:r>
        <w:fldChar w:fldCharType="begin"/>
      </w:r>
      <w:r>
        <w:instrText xml:space="preserve"> PAGEREF _Toc106184139 \h </w:instrText>
      </w:r>
      <w:r>
        <w:fldChar w:fldCharType="separate"/>
      </w:r>
      <w:r>
        <w:t>129</w:t>
      </w:r>
      <w:r>
        <w:fldChar w:fldCharType="end"/>
      </w:r>
    </w:p>
    <w:p w14:paraId="2DF84BD5" w14:textId="0B6F0560" w:rsidR="003C625C" w:rsidRDefault="003C625C">
      <w:pPr>
        <w:pStyle w:val="TOC6"/>
        <w:rPr>
          <w:rFonts w:asciiTheme="minorHAnsi" w:eastAsiaTheme="minorEastAsia" w:hAnsiTheme="minorHAnsi" w:cstheme="minorBidi"/>
          <w:sz w:val="22"/>
          <w:szCs w:val="22"/>
        </w:rPr>
      </w:pPr>
      <w:r>
        <w:t>9.7.5.3.2.2</w:t>
      </w:r>
      <w:r>
        <w:rPr>
          <w:rFonts w:asciiTheme="minorHAnsi" w:eastAsiaTheme="minorEastAsia" w:hAnsiTheme="minorHAnsi" w:cstheme="minorBidi"/>
          <w:sz w:val="22"/>
          <w:szCs w:val="22"/>
        </w:rPr>
        <w:tab/>
      </w:r>
      <w:r>
        <w:t>OTA transmitter spurious emissions (Category A)</w:t>
      </w:r>
      <w:r>
        <w:tab/>
      </w:r>
      <w:r>
        <w:fldChar w:fldCharType="begin"/>
      </w:r>
      <w:r>
        <w:instrText xml:space="preserve"> PAGEREF _Toc106184140 \h </w:instrText>
      </w:r>
      <w:r>
        <w:fldChar w:fldCharType="separate"/>
      </w:r>
      <w:r>
        <w:t>129</w:t>
      </w:r>
      <w:r>
        <w:fldChar w:fldCharType="end"/>
      </w:r>
    </w:p>
    <w:p w14:paraId="2981F529" w14:textId="6168BF3F" w:rsidR="003C625C" w:rsidRDefault="003C625C">
      <w:pPr>
        <w:pStyle w:val="TOC6"/>
        <w:rPr>
          <w:rFonts w:asciiTheme="minorHAnsi" w:eastAsiaTheme="minorEastAsia" w:hAnsiTheme="minorHAnsi" w:cstheme="minorBidi"/>
          <w:sz w:val="22"/>
          <w:szCs w:val="22"/>
        </w:rPr>
      </w:pPr>
      <w:r>
        <w:t>9.7.5.3.2.3</w:t>
      </w:r>
      <w:r>
        <w:rPr>
          <w:rFonts w:asciiTheme="minorHAnsi" w:eastAsiaTheme="minorEastAsia" w:hAnsiTheme="minorHAnsi" w:cstheme="minorBidi"/>
          <w:sz w:val="22"/>
          <w:szCs w:val="22"/>
        </w:rPr>
        <w:tab/>
      </w:r>
      <w:r>
        <w:t>OTA transmitter spurious emissions (Category B)</w:t>
      </w:r>
      <w:r>
        <w:tab/>
      </w:r>
      <w:r>
        <w:fldChar w:fldCharType="begin"/>
      </w:r>
      <w:r>
        <w:instrText xml:space="preserve"> PAGEREF _Toc106184141 \h </w:instrText>
      </w:r>
      <w:r>
        <w:fldChar w:fldCharType="separate"/>
      </w:r>
      <w:r>
        <w:t>129</w:t>
      </w:r>
      <w:r>
        <w:fldChar w:fldCharType="end"/>
      </w:r>
    </w:p>
    <w:p w14:paraId="79A6E402" w14:textId="0D02E666" w:rsidR="003C625C" w:rsidRDefault="003C625C">
      <w:pPr>
        <w:pStyle w:val="TOC5"/>
        <w:rPr>
          <w:rFonts w:asciiTheme="minorHAnsi" w:eastAsiaTheme="minorEastAsia" w:hAnsiTheme="minorHAnsi" w:cstheme="minorBidi"/>
          <w:sz w:val="22"/>
          <w:szCs w:val="22"/>
        </w:rPr>
      </w:pPr>
      <w:r>
        <w:t>9.7.5.3.3</w:t>
      </w:r>
      <w:r>
        <w:rPr>
          <w:rFonts w:asciiTheme="minorHAnsi" w:eastAsiaTheme="minorEastAsia" w:hAnsiTheme="minorHAnsi" w:cstheme="minorBidi"/>
          <w:sz w:val="22"/>
          <w:szCs w:val="22"/>
        </w:rPr>
        <w:tab/>
      </w:r>
      <w:r>
        <w:t>Additional OTA transmitter spurious emissions requirements</w:t>
      </w:r>
      <w:r>
        <w:tab/>
      </w:r>
      <w:r>
        <w:fldChar w:fldCharType="begin"/>
      </w:r>
      <w:r>
        <w:instrText xml:space="preserve"> PAGEREF _Toc106184142 \h </w:instrText>
      </w:r>
      <w:r>
        <w:fldChar w:fldCharType="separate"/>
      </w:r>
      <w:r>
        <w:t>129</w:t>
      </w:r>
      <w:r>
        <w:fldChar w:fldCharType="end"/>
      </w:r>
    </w:p>
    <w:p w14:paraId="128610D3" w14:textId="3CB266F7" w:rsidR="003C625C" w:rsidRDefault="003C625C">
      <w:pPr>
        <w:pStyle w:val="TOC6"/>
        <w:rPr>
          <w:rFonts w:asciiTheme="minorHAnsi" w:eastAsiaTheme="minorEastAsia" w:hAnsiTheme="minorHAnsi" w:cstheme="minorBidi"/>
          <w:sz w:val="22"/>
          <w:szCs w:val="22"/>
        </w:rPr>
      </w:pPr>
      <w:r>
        <w:t>9.7.5.3.3.1</w:t>
      </w:r>
      <w:r>
        <w:rPr>
          <w:rFonts w:asciiTheme="minorHAnsi" w:eastAsiaTheme="minorEastAsia" w:hAnsiTheme="minorHAnsi" w:cstheme="minorBidi"/>
          <w:sz w:val="22"/>
          <w:szCs w:val="22"/>
        </w:rPr>
        <w:tab/>
      </w:r>
      <w:r>
        <w:t>Limits for protection of Earth Exploration Satellite Service</w:t>
      </w:r>
      <w:r>
        <w:tab/>
      </w:r>
      <w:r>
        <w:fldChar w:fldCharType="begin"/>
      </w:r>
      <w:r>
        <w:instrText xml:space="preserve"> PAGEREF _Toc106184143 \h </w:instrText>
      </w:r>
      <w:r>
        <w:fldChar w:fldCharType="separate"/>
      </w:r>
      <w:r>
        <w:t>130</w:t>
      </w:r>
      <w:r>
        <w:fldChar w:fldCharType="end"/>
      </w:r>
    </w:p>
    <w:p w14:paraId="3C4017F0" w14:textId="5DC139EF" w:rsidR="003C625C" w:rsidRDefault="003C625C">
      <w:pPr>
        <w:pStyle w:val="TOC2"/>
        <w:rPr>
          <w:rFonts w:asciiTheme="minorHAnsi" w:eastAsiaTheme="minorEastAsia" w:hAnsiTheme="minorHAnsi" w:cstheme="minorBidi"/>
          <w:sz w:val="22"/>
          <w:szCs w:val="22"/>
        </w:rPr>
      </w:pPr>
      <w:r>
        <w:t>9.8</w:t>
      </w:r>
      <w:r>
        <w:rPr>
          <w:rFonts w:asciiTheme="minorHAnsi" w:eastAsiaTheme="minorEastAsia" w:hAnsiTheme="minorHAnsi" w:cstheme="minorBidi"/>
          <w:sz w:val="22"/>
          <w:szCs w:val="22"/>
        </w:rPr>
        <w:tab/>
      </w:r>
      <w:r>
        <w:t>OTA transmitter intermodulation</w:t>
      </w:r>
      <w:r>
        <w:tab/>
      </w:r>
      <w:r>
        <w:fldChar w:fldCharType="begin"/>
      </w:r>
      <w:r>
        <w:instrText xml:space="preserve"> PAGEREF _Toc106184144 \h </w:instrText>
      </w:r>
      <w:r>
        <w:fldChar w:fldCharType="separate"/>
      </w:r>
      <w:r>
        <w:t>130</w:t>
      </w:r>
      <w:r>
        <w:fldChar w:fldCharType="end"/>
      </w:r>
    </w:p>
    <w:p w14:paraId="01E32F41" w14:textId="447A0982" w:rsidR="003C625C" w:rsidRDefault="003C625C">
      <w:pPr>
        <w:pStyle w:val="TOC3"/>
        <w:rPr>
          <w:rFonts w:asciiTheme="minorHAnsi" w:eastAsiaTheme="minorEastAsia" w:hAnsiTheme="minorHAnsi" w:cstheme="minorBidi"/>
          <w:sz w:val="22"/>
          <w:szCs w:val="22"/>
        </w:rPr>
      </w:pPr>
      <w:r>
        <w:t>9.8.1</w:t>
      </w:r>
      <w:r>
        <w:rPr>
          <w:rFonts w:asciiTheme="minorHAnsi" w:eastAsiaTheme="minorEastAsia" w:hAnsiTheme="minorHAnsi" w:cstheme="minorBidi"/>
          <w:sz w:val="22"/>
          <w:szCs w:val="22"/>
        </w:rPr>
        <w:tab/>
      </w:r>
      <w:r>
        <w:t>General</w:t>
      </w:r>
      <w:r>
        <w:tab/>
      </w:r>
      <w:r>
        <w:fldChar w:fldCharType="begin"/>
      </w:r>
      <w:r>
        <w:instrText xml:space="preserve"> PAGEREF _Toc106184145 \h </w:instrText>
      </w:r>
      <w:r>
        <w:fldChar w:fldCharType="separate"/>
      </w:r>
      <w:r>
        <w:t>130</w:t>
      </w:r>
      <w:r>
        <w:fldChar w:fldCharType="end"/>
      </w:r>
    </w:p>
    <w:p w14:paraId="039874A8" w14:textId="1BA82ADF" w:rsidR="003C625C" w:rsidRDefault="003C625C">
      <w:pPr>
        <w:pStyle w:val="TOC3"/>
        <w:rPr>
          <w:rFonts w:asciiTheme="minorHAnsi" w:eastAsiaTheme="minorEastAsia" w:hAnsiTheme="minorHAnsi" w:cstheme="minorBidi"/>
          <w:sz w:val="22"/>
          <w:szCs w:val="22"/>
        </w:rPr>
      </w:pPr>
      <w:r>
        <w:t>9.8.2</w:t>
      </w:r>
      <w:r>
        <w:rPr>
          <w:rFonts w:asciiTheme="minorHAnsi" w:eastAsiaTheme="minorEastAsia" w:hAnsiTheme="minorHAnsi" w:cstheme="minorBidi"/>
          <w:sz w:val="22"/>
          <w:szCs w:val="22"/>
        </w:rPr>
        <w:tab/>
      </w:r>
      <w:r>
        <w:t xml:space="preserve">Minimum requirement for </w:t>
      </w:r>
      <w:r w:rsidRPr="00DD4EB8">
        <w:rPr>
          <w:i/>
          <w:iCs/>
        </w:rPr>
        <w:t>IAB</w:t>
      </w:r>
      <w:r w:rsidRPr="00DD4EB8">
        <w:rPr>
          <w:i/>
          <w:iCs/>
          <w:lang w:val="en-US" w:eastAsia="zh-CN"/>
        </w:rPr>
        <w:t>-DU</w:t>
      </w:r>
      <w:r w:rsidRPr="00DD4EB8">
        <w:rPr>
          <w:i/>
          <w:iCs/>
        </w:rPr>
        <w:t xml:space="preserve"> type 1-O</w:t>
      </w:r>
      <w:r w:rsidRPr="00DD4EB8">
        <w:rPr>
          <w:i/>
          <w:iCs/>
          <w:lang w:val="en-US" w:eastAsia="zh-CN"/>
        </w:rPr>
        <w:t xml:space="preserve"> </w:t>
      </w:r>
      <w:r w:rsidRPr="00DD4EB8">
        <w:rPr>
          <w:lang w:val="en-US" w:eastAsia="zh-CN"/>
        </w:rPr>
        <w:t>and</w:t>
      </w:r>
      <w:r w:rsidRPr="00DD4EB8">
        <w:rPr>
          <w:i/>
          <w:iCs/>
          <w:lang w:val="en-US" w:eastAsia="zh-CN"/>
        </w:rPr>
        <w:t xml:space="preserve"> IAB-MT type 1-O</w:t>
      </w:r>
      <w:r>
        <w:tab/>
      </w:r>
      <w:r>
        <w:fldChar w:fldCharType="begin"/>
      </w:r>
      <w:r>
        <w:instrText xml:space="preserve"> PAGEREF _Toc106184146 \h </w:instrText>
      </w:r>
      <w:r>
        <w:fldChar w:fldCharType="separate"/>
      </w:r>
      <w:r>
        <w:t>130</w:t>
      </w:r>
      <w:r>
        <w:fldChar w:fldCharType="end"/>
      </w:r>
    </w:p>
    <w:p w14:paraId="0AC012AD" w14:textId="60745344" w:rsidR="003C625C" w:rsidRDefault="003C625C">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Radiated receiver characteristics</w:t>
      </w:r>
      <w:r>
        <w:tab/>
      </w:r>
      <w:r>
        <w:fldChar w:fldCharType="begin"/>
      </w:r>
      <w:r>
        <w:instrText xml:space="preserve"> PAGEREF _Toc106184147 \h </w:instrText>
      </w:r>
      <w:r>
        <w:fldChar w:fldCharType="separate"/>
      </w:r>
      <w:r>
        <w:t>131</w:t>
      </w:r>
      <w:r>
        <w:fldChar w:fldCharType="end"/>
      </w:r>
    </w:p>
    <w:p w14:paraId="05991F74" w14:textId="17244526" w:rsidR="003C625C" w:rsidRDefault="003C625C">
      <w:pPr>
        <w:pStyle w:val="TOC2"/>
        <w:rPr>
          <w:rFonts w:asciiTheme="minorHAnsi" w:eastAsiaTheme="minorEastAsia" w:hAnsiTheme="minorHAnsi" w:cstheme="minorBidi"/>
          <w:sz w:val="22"/>
          <w:szCs w:val="22"/>
        </w:rPr>
      </w:pPr>
      <w:r>
        <w:t>10.1</w:t>
      </w:r>
      <w:r>
        <w:rPr>
          <w:rFonts w:asciiTheme="minorHAnsi" w:eastAsiaTheme="minorEastAsia" w:hAnsiTheme="minorHAnsi" w:cstheme="minorBidi"/>
          <w:sz w:val="22"/>
          <w:szCs w:val="22"/>
        </w:rPr>
        <w:tab/>
      </w:r>
      <w:r>
        <w:t>General</w:t>
      </w:r>
      <w:r>
        <w:tab/>
      </w:r>
      <w:r>
        <w:fldChar w:fldCharType="begin"/>
      </w:r>
      <w:r>
        <w:instrText xml:space="preserve"> PAGEREF _Toc106184148 \h </w:instrText>
      </w:r>
      <w:r>
        <w:fldChar w:fldCharType="separate"/>
      </w:r>
      <w:r>
        <w:t>131</w:t>
      </w:r>
      <w:r>
        <w:fldChar w:fldCharType="end"/>
      </w:r>
    </w:p>
    <w:p w14:paraId="5E585A97" w14:textId="0A29E5FE" w:rsidR="003C625C" w:rsidRDefault="003C625C">
      <w:pPr>
        <w:pStyle w:val="TOC2"/>
        <w:rPr>
          <w:rFonts w:asciiTheme="minorHAnsi" w:eastAsiaTheme="minorEastAsia" w:hAnsiTheme="minorHAnsi" w:cstheme="minorBidi"/>
          <w:sz w:val="22"/>
          <w:szCs w:val="22"/>
        </w:rPr>
      </w:pPr>
      <w:r w:rsidRPr="00DD4EB8">
        <w:rPr>
          <w:lang w:val="fi-FI"/>
        </w:rPr>
        <w:t>10.2</w:t>
      </w:r>
      <w:r>
        <w:rPr>
          <w:rFonts w:asciiTheme="minorHAnsi" w:eastAsiaTheme="minorEastAsia" w:hAnsiTheme="minorHAnsi" w:cstheme="minorBidi"/>
          <w:sz w:val="22"/>
          <w:szCs w:val="22"/>
        </w:rPr>
        <w:tab/>
      </w:r>
      <w:r w:rsidRPr="00DD4EB8">
        <w:rPr>
          <w:lang w:val="fi-FI"/>
        </w:rPr>
        <w:t>OTA sensitivity</w:t>
      </w:r>
      <w:r>
        <w:tab/>
      </w:r>
      <w:r>
        <w:fldChar w:fldCharType="begin"/>
      </w:r>
      <w:r>
        <w:instrText xml:space="preserve"> PAGEREF _Toc106184149 \h </w:instrText>
      </w:r>
      <w:r>
        <w:fldChar w:fldCharType="separate"/>
      </w:r>
      <w:r>
        <w:t>132</w:t>
      </w:r>
      <w:r>
        <w:fldChar w:fldCharType="end"/>
      </w:r>
    </w:p>
    <w:p w14:paraId="7E9847A8" w14:textId="02A22F79" w:rsidR="003C625C" w:rsidRDefault="003C625C">
      <w:pPr>
        <w:pStyle w:val="TOC3"/>
        <w:rPr>
          <w:rFonts w:asciiTheme="minorHAnsi" w:eastAsiaTheme="minorEastAsia" w:hAnsiTheme="minorHAnsi" w:cstheme="minorBidi"/>
          <w:sz w:val="22"/>
          <w:szCs w:val="22"/>
        </w:rPr>
      </w:pPr>
      <w:r w:rsidRPr="00DD4EB8">
        <w:rPr>
          <w:lang w:val="fi-FI"/>
        </w:rPr>
        <w:t>10.2.1</w:t>
      </w:r>
      <w:r>
        <w:rPr>
          <w:rFonts w:asciiTheme="minorHAnsi" w:eastAsiaTheme="minorEastAsia" w:hAnsiTheme="minorHAnsi" w:cstheme="minorBidi"/>
          <w:sz w:val="22"/>
          <w:szCs w:val="22"/>
        </w:rPr>
        <w:tab/>
      </w:r>
      <w:r w:rsidRPr="00DD4EB8">
        <w:rPr>
          <w:lang w:val="fi-FI"/>
        </w:rPr>
        <w:t>IAB-DU OTA sensitivity</w:t>
      </w:r>
      <w:r>
        <w:tab/>
      </w:r>
      <w:r>
        <w:fldChar w:fldCharType="begin"/>
      </w:r>
      <w:r>
        <w:instrText xml:space="preserve"> PAGEREF _Toc106184150 \h </w:instrText>
      </w:r>
      <w:r>
        <w:fldChar w:fldCharType="separate"/>
      </w:r>
      <w:r>
        <w:t>132</w:t>
      </w:r>
      <w:r>
        <w:fldChar w:fldCharType="end"/>
      </w:r>
    </w:p>
    <w:p w14:paraId="3301EFC5" w14:textId="5FF19033" w:rsidR="003C625C" w:rsidRDefault="003C625C">
      <w:pPr>
        <w:pStyle w:val="TOC4"/>
        <w:rPr>
          <w:rFonts w:asciiTheme="minorHAnsi" w:eastAsiaTheme="minorEastAsia" w:hAnsiTheme="minorHAnsi" w:cstheme="minorBidi"/>
          <w:sz w:val="22"/>
          <w:szCs w:val="22"/>
        </w:rPr>
      </w:pPr>
      <w:r>
        <w:t>10.2.1.1</w:t>
      </w:r>
      <w:r>
        <w:rPr>
          <w:rFonts w:asciiTheme="minorHAnsi" w:eastAsiaTheme="minorEastAsia" w:hAnsiTheme="minorHAnsi" w:cstheme="minorBidi"/>
          <w:sz w:val="22"/>
          <w:szCs w:val="22"/>
        </w:rPr>
        <w:tab/>
      </w:r>
      <w:r>
        <w:t>IAB-DU type 1-H and IAB-DU type 1-O</w:t>
      </w:r>
      <w:r>
        <w:tab/>
      </w:r>
      <w:r>
        <w:fldChar w:fldCharType="begin"/>
      </w:r>
      <w:r>
        <w:instrText xml:space="preserve"> PAGEREF _Toc106184151 \h </w:instrText>
      </w:r>
      <w:r>
        <w:fldChar w:fldCharType="separate"/>
      </w:r>
      <w:r>
        <w:t>132</w:t>
      </w:r>
      <w:r>
        <w:fldChar w:fldCharType="end"/>
      </w:r>
    </w:p>
    <w:p w14:paraId="6C58163B" w14:textId="2B9CFBBE" w:rsidR="003C625C" w:rsidRDefault="003C625C">
      <w:pPr>
        <w:pStyle w:val="TOC4"/>
        <w:rPr>
          <w:rFonts w:asciiTheme="minorHAnsi" w:eastAsiaTheme="minorEastAsia" w:hAnsiTheme="minorHAnsi" w:cstheme="minorBidi"/>
          <w:sz w:val="22"/>
          <w:szCs w:val="22"/>
        </w:rPr>
      </w:pPr>
      <w:r>
        <w:t>10.2.1.2</w:t>
      </w:r>
      <w:r>
        <w:rPr>
          <w:rFonts w:asciiTheme="minorHAnsi" w:eastAsiaTheme="minorEastAsia" w:hAnsiTheme="minorHAnsi" w:cstheme="minorBidi"/>
          <w:sz w:val="22"/>
          <w:szCs w:val="22"/>
        </w:rPr>
        <w:tab/>
      </w:r>
      <w:r>
        <w:t>IAB-DU type 2-O</w:t>
      </w:r>
      <w:r>
        <w:tab/>
      </w:r>
      <w:r>
        <w:fldChar w:fldCharType="begin"/>
      </w:r>
      <w:r>
        <w:instrText xml:space="preserve"> PAGEREF _Toc106184152 \h </w:instrText>
      </w:r>
      <w:r>
        <w:fldChar w:fldCharType="separate"/>
      </w:r>
      <w:r>
        <w:t>132</w:t>
      </w:r>
      <w:r>
        <w:fldChar w:fldCharType="end"/>
      </w:r>
    </w:p>
    <w:p w14:paraId="0A59C215" w14:textId="6DCA7493" w:rsidR="003C625C" w:rsidRDefault="003C625C">
      <w:pPr>
        <w:pStyle w:val="TOC3"/>
        <w:rPr>
          <w:rFonts w:asciiTheme="minorHAnsi" w:eastAsiaTheme="minorEastAsia" w:hAnsiTheme="minorHAnsi" w:cstheme="minorBidi"/>
          <w:sz w:val="22"/>
          <w:szCs w:val="22"/>
        </w:rPr>
      </w:pPr>
      <w:r>
        <w:t>10.2.2</w:t>
      </w:r>
      <w:r>
        <w:rPr>
          <w:rFonts w:asciiTheme="minorHAnsi" w:eastAsiaTheme="minorEastAsia" w:hAnsiTheme="minorHAnsi" w:cstheme="minorBidi"/>
          <w:sz w:val="22"/>
          <w:szCs w:val="22"/>
        </w:rPr>
        <w:tab/>
      </w:r>
      <w:r>
        <w:t>IAB-MT OTA sensitivity</w:t>
      </w:r>
      <w:r>
        <w:tab/>
      </w:r>
      <w:r>
        <w:fldChar w:fldCharType="begin"/>
      </w:r>
      <w:r>
        <w:instrText xml:space="preserve"> PAGEREF _Toc106184153 \h </w:instrText>
      </w:r>
      <w:r>
        <w:fldChar w:fldCharType="separate"/>
      </w:r>
      <w:r>
        <w:t>132</w:t>
      </w:r>
      <w:r>
        <w:fldChar w:fldCharType="end"/>
      </w:r>
    </w:p>
    <w:p w14:paraId="307761CB" w14:textId="2849249E" w:rsidR="003C625C" w:rsidRDefault="003C625C">
      <w:pPr>
        <w:pStyle w:val="TOC4"/>
        <w:rPr>
          <w:rFonts w:asciiTheme="minorHAnsi" w:eastAsiaTheme="minorEastAsia" w:hAnsiTheme="minorHAnsi" w:cstheme="minorBidi"/>
          <w:sz w:val="22"/>
          <w:szCs w:val="22"/>
        </w:rPr>
      </w:pPr>
      <w:r>
        <w:t>10.2.2.1</w:t>
      </w:r>
      <w:r>
        <w:rPr>
          <w:rFonts w:asciiTheme="minorHAnsi" w:eastAsiaTheme="minorEastAsia" w:hAnsiTheme="minorHAnsi" w:cstheme="minorBidi"/>
          <w:sz w:val="22"/>
          <w:szCs w:val="22"/>
        </w:rPr>
        <w:tab/>
      </w:r>
      <w:r>
        <w:t>IAB-MT type 1-H and IAB-MT type 1-O</w:t>
      </w:r>
      <w:r>
        <w:tab/>
      </w:r>
      <w:r>
        <w:fldChar w:fldCharType="begin"/>
      </w:r>
      <w:r>
        <w:instrText xml:space="preserve"> PAGEREF _Toc106184154 \h </w:instrText>
      </w:r>
      <w:r>
        <w:fldChar w:fldCharType="separate"/>
      </w:r>
      <w:r>
        <w:t>132</w:t>
      </w:r>
      <w:r>
        <w:fldChar w:fldCharType="end"/>
      </w:r>
    </w:p>
    <w:p w14:paraId="6EEF6B21" w14:textId="60442BFC" w:rsidR="003C625C" w:rsidRDefault="003C625C">
      <w:pPr>
        <w:pStyle w:val="TOC6"/>
        <w:rPr>
          <w:rFonts w:asciiTheme="minorHAnsi" w:eastAsiaTheme="minorEastAsia" w:hAnsiTheme="minorHAnsi" w:cstheme="minorBidi"/>
          <w:sz w:val="22"/>
          <w:szCs w:val="22"/>
        </w:rPr>
      </w:pPr>
      <w:r>
        <w:t>10.2.2.1.1</w:t>
      </w:r>
      <w:r>
        <w:rPr>
          <w:rFonts w:asciiTheme="minorHAnsi" w:eastAsiaTheme="minorEastAsia" w:hAnsiTheme="minorHAnsi" w:cstheme="minorBidi"/>
          <w:sz w:val="22"/>
          <w:szCs w:val="22"/>
        </w:rPr>
        <w:tab/>
      </w:r>
      <w:r>
        <w:t>General</w:t>
      </w:r>
      <w:r>
        <w:tab/>
      </w:r>
      <w:r>
        <w:fldChar w:fldCharType="begin"/>
      </w:r>
      <w:r>
        <w:instrText xml:space="preserve"> PAGEREF _Toc106184155 \h </w:instrText>
      </w:r>
      <w:r>
        <w:fldChar w:fldCharType="separate"/>
      </w:r>
      <w:r>
        <w:t>132</w:t>
      </w:r>
      <w:r>
        <w:fldChar w:fldCharType="end"/>
      </w:r>
    </w:p>
    <w:p w14:paraId="71EDCEA4" w14:textId="1FFB38A8" w:rsidR="003C625C" w:rsidRDefault="003C625C">
      <w:pPr>
        <w:pStyle w:val="TOC6"/>
        <w:rPr>
          <w:rFonts w:asciiTheme="minorHAnsi" w:eastAsiaTheme="minorEastAsia" w:hAnsiTheme="minorHAnsi" w:cstheme="minorBidi"/>
          <w:sz w:val="22"/>
          <w:szCs w:val="22"/>
        </w:rPr>
      </w:pPr>
      <w:r>
        <w:t>10.2.2.1.2</w:t>
      </w:r>
      <w:r>
        <w:rPr>
          <w:rFonts w:asciiTheme="minorHAnsi" w:eastAsiaTheme="minorEastAsia" w:hAnsiTheme="minorHAnsi" w:cstheme="minorBidi"/>
          <w:sz w:val="22"/>
          <w:szCs w:val="22"/>
        </w:rPr>
        <w:tab/>
      </w:r>
      <w:r>
        <w:t>Minimum requirement</w:t>
      </w:r>
      <w:r>
        <w:tab/>
      </w:r>
      <w:r>
        <w:fldChar w:fldCharType="begin"/>
      </w:r>
      <w:r>
        <w:instrText xml:space="preserve"> PAGEREF _Toc106184156 \h </w:instrText>
      </w:r>
      <w:r>
        <w:fldChar w:fldCharType="separate"/>
      </w:r>
      <w:r>
        <w:t>133</w:t>
      </w:r>
      <w:r>
        <w:fldChar w:fldCharType="end"/>
      </w:r>
    </w:p>
    <w:p w14:paraId="4B1D5AF2" w14:textId="16779F22" w:rsidR="003C625C" w:rsidRDefault="003C625C">
      <w:pPr>
        <w:pStyle w:val="TOC4"/>
        <w:rPr>
          <w:rFonts w:asciiTheme="minorHAnsi" w:eastAsiaTheme="minorEastAsia" w:hAnsiTheme="minorHAnsi" w:cstheme="minorBidi"/>
          <w:sz w:val="22"/>
          <w:szCs w:val="22"/>
        </w:rPr>
      </w:pPr>
      <w:r>
        <w:t>10.2.2.2</w:t>
      </w:r>
      <w:r>
        <w:rPr>
          <w:rFonts w:asciiTheme="minorHAnsi" w:eastAsiaTheme="minorEastAsia" w:hAnsiTheme="minorHAnsi" w:cstheme="minorBidi"/>
          <w:sz w:val="22"/>
          <w:szCs w:val="22"/>
        </w:rPr>
        <w:tab/>
      </w:r>
      <w:r>
        <w:t>IAB-MT type 2-O</w:t>
      </w:r>
      <w:r>
        <w:tab/>
      </w:r>
      <w:r>
        <w:fldChar w:fldCharType="begin"/>
      </w:r>
      <w:r>
        <w:instrText xml:space="preserve"> PAGEREF _Toc106184157 \h </w:instrText>
      </w:r>
      <w:r>
        <w:fldChar w:fldCharType="separate"/>
      </w:r>
      <w:r>
        <w:t>133</w:t>
      </w:r>
      <w:r>
        <w:fldChar w:fldCharType="end"/>
      </w:r>
    </w:p>
    <w:p w14:paraId="4036C903" w14:textId="05F9ED1F" w:rsidR="003C625C" w:rsidRDefault="003C625C">
      <w:pPr>
        <w:pStyle w:val="TOC2"/>
        <w:rPr>
          <w:rFonts w:asciiTheme="minorHAnsi" w:eastAsiaTheme="minorEastAsia" w:hAnsiTheme="minorHAnsi" w:cstheme="minorBidi"/>
          <w:sz w:val="22"/>
          <w:szCs w:val="22"/>
        </w:rPr>
      </w:pPr>
      <w:r>
        <w:t>10.3</w:t>
      </w:r>
      <w:r>
        <w:rPr>
          <w:rFonts w:asciiTheme="minorHAnsi" w:eastAsiaTheme="minorEastAsia" w:hAnsiTheme="minorHAnsi" w:cstheme="minorBidi"/>
          <w:sz w:val="22"/>
          <w:szCs w:val="22"/>
        </w:rPr>
        <w:tab/>
      </w:r>
      <w:r>
        <w:t>OTA reference sensitivity level</w:t>
      </w:r>
      <w:r>
        <w:tab/>
      </w:r>
      <w:r>
        <w:fldChar w:fldCharType="begin"/>
      </w:r>
      <w:r>
        <w:instrText xml:space="preserve"> PAGEREF _Toc106184158 \h </w:instrText>
      </w:r>
      <w:r>
        <w:fldChar w:fldCharType="separate"/>
      </w:r>
      <w:r>
        <w:t>133</w:t>
      </w:r>
      <w:r>
        <w:fldChar w:fldCharType="end"/>
      </w:r>
    </w:p>
    <w:p w14:paraId="10CA3C6D" w14:textId="518B4D22" w:rsidR="003C625C" w:rsidRDefault="003C625C">
      <w:pPr>
        <w:pStyle w:val="TOC3"/>
        <w:rPr>
          <w:rFonts w:asciiTheme="minorHAnsi" w:eastAsiaTheme="minorEastAsia" w:hAnsiTheme="minorHAnsi" w:cstheme="minorBidi"/>
          <w:sz w:val="22"/>
          <w:szCs w:val="22"/>
        </w:rPr>
      </w:pPr>
      <w:r>
        <w:t>10.3.1</w:t>
      </w:r>
      <w:r>
        <w:rPr>
          <w:rFonts w:asciiTheme="minorHAnsi" w:eastAsiaTheme="minorEastAsia" w:hAnsiTheme="minorHAnsi" w:cstheme="minorBidi"/>
          <w:sz w:val="22"/>
          <w:szCs w:val="22"/>
        </w:rPr>
        <w:tab/>
      </w:r>
      <w:r>
        <w:t>General</w:t>
      </w:r>
      <w:r>
        <w:tab/>
      </w:r>
      <w:r>
        <w:fldChar w:fldCharType="begin"/>
      </w:r>
      <w:r>
        <w:instrText xml:space="preserve"> PAGEREF _Toc106184159 \h </w:instrText>
      </w:r>
      <w:r>
        <w:fldChar w:fldCharType="separate"/>
      </w:r>
      <w:r>
        <w:t>133</w:t>
      </w:r>
      <w:r>
        <w:fldChar w:fldCharType="end"/>
      </w:r>
    </w:p>
    <w:p w14:paraId="397CEE40" w14:textId="225B0F98" w:rsidR="003C625C" w:rsidRDefault="003C625C">
      <w:pPr>
        <w:pStyle w:val="TOC3"/>
        <w:rPr>
          <w:rFonts w:asciiTheme="minorHAnsi" w:eastAsiaTheme="minorEastAsia" w:hAnsiTheme="minorHAnsi" w:cstheme="minorBidi"/>
          <w:sz w:val="22"/>
          <w:szCs w:val="22"/>
        </w:rPr>
      </w:pPr>
      <w:r>
        <w:t>10.3.2</w:t>
      </w:r>
      <w:r>
        <w:rPr>
          <w:rFonts w:asciiTheme="minorHAnsi" w:eastAsiaTheme="minorEastAsia" w:hAnsiTheme="minorHAnsi" w:cstheme="minorBidi"/>
          <w:sz w:val="22"/>
          <w:szCs w:val="22"/>
        </w:rPr>
        <w:tab/>
      </w:r>
      <w:r>
        <w:t>IAB-DU OTA reference sensitivity level</w:t>
      </w:r>
      <w:r>
        <w:tab/>
      </w:r>
      <w:r>
        <w:fldChar w:fldCharType="begin"/>
      </w:r>
      <w:r>
        <w:instrText xml:space="preserve"> PAGEREF _Toc106184160 \h </w:instrText>
      </w:r>
      <w:r>
        <w:fldChar w:fldCharType="separate"/>
      </w:r>
      <w:r>
        <w:t>133</w:t>
      </w:r>
      <w:r>
        <w:fldChar w:fldCharType="end"/>
      </w:r>
    </w:p>
    <w:p w14:paraId="08CCE020" w14:textId="229067D9" w:rsidR="003C625C" w:rsidRDefault="003C625C">
      <w:pPr>
        <w:pStyle w:val="TOC4"/>
        <w:rPr>
          <w:rFonts w:asciiTheme="minorHAnsi" w:eastAsiaTheme="minorEastAsia" w:hAnsiTheme="minorHAnsi" w:cstheme="minorBidi"/>
          <w:sz w:val="22"/>
          <w:szCs w:val="22"/>
        </w:rPr>
      </w:pPr>
      <w:r>
        <w:t>10.3.2.1</w:t>
      </w:r>
      <w:r>
        <w:rPr>
          <w:rFonts w:asciiTheme="minorHAnsi" w:eastAsiaTheme="minorEastAsia" w:hAnsiTheme="minorHAnsi" w:cstheme="minorBidi"/>
          <w:sz w:val="22"/>
          <w:szCs w:val="22"/>
        </w:rPr>
        <w:tab/>
      </w:r>
      <w:r>
        <w:t xml:space="preserve">Minimum requirement for </w:t>
      </w:r>
      <w:r w:rsidRPr="00DD4EB8">
        <w:rPr>
          <w:i/>
        </w:rPr>
        <w:t>IAB-DU type 1-O</w:t>
      </w:r>
      <w:r>
        <w:tab/>
      </w:r>
      <w:r>
        <w:fldChar w:fldCharType="begin"/>
      </w:r>
      <w:r>
        <w:instrText xml:space="preserve"> PAGEREF _Toc106184161 \h </w:instrText>
      </w:r>
      <w:r>
        <w:fldChar w:fldCharType="separate"/>
      </w:r>
      <w:r>
        <w:t>133</w:t>
      </w:r>
      <w:r>
        <w:fldChar w:fldCharType="end"/>
      </w:r>
    </w:p>
    <w:p w14:paraId="36BEDB0E" w14:textId="27CE7CE3" w:rsidR="003C625C" w:rsidRDefault="003C625C">
      <w:pPr>
        <w:pStyle w:val="TOC4"/>
        <w:rPr>
          <w:rFonts w:asciiTheme="minorHAnsi" w:eastAsiaTheme="minorEastAsia" w:hAnsiTheme="minorHAnsi" w:cstheme="minorBidi"/>
          <w:sz w:val="22"/>
          <w:szCs w:val="22"/>
        </w:rPr>
      </w:pPr>
      <w:r>
        <w:t>10.3.2.2</w:t>
      </w:r>
      <w:r>
        <w:rPr>
          <w:rFonts w:asciiTheme="minorHAnsi" w:eastAsiaTheme="minorEastAsia" w:hAnsiTheme="minorHAnsi" w:cstheme="minorBidi"/>
          <w:sz w:val="22"/>
          <w:szCs w:val="22"/>
        </w:rPr>
        <w:tab/>
      </w:r>
      <w:r>
        <w:t xml:space="preserve">Minimum requirement for </w:t>
      </w:r>
      <w:r w:rsidRPr="00DD4EB8">
        <w:rPr>
          <w:i/>
        </w:rPr>
        <w:t>IAB-DU type 2-O</w:t>
      </w:r>
      <w:r>
        <w:tab/>
      </w:r>
      <w:r>
        <w:fldChar w:fldCharType="begin"/>
      </w:r>
      <w:r>
        <w:instrText xml:space="preserve"> PAGEREF _Toc106184162 \h </w:instrText>
      </w:r>
      <w:r>
        <w:fldChar w:fldCharType="separate"/>
      </w:r>
      <w:r>
        <w:t>133</w:t>
      </w:r>
      <w:r>
        <w:fldChar w:fldCharType="end"/>
      </w:r>
    </w:p>
    <w:p w14:paraId="52E6811A" w14:textId="4942D0E6" w:rsidR="003C625C" w:rsidRDefault="003C625C">
      <w:pPr>
        <w:pStyle w:val="TOC3"/>
        <w:rPr>
          <w:rFonts w:asciiTheme="minorHAnsi" w:eastAsiaTheme="minorEastAsia" w:hAnsiTheme="minorHAnsi" w:cstheme="minorBidi"/>
          <w:sz w:val="22"/>
          <w:szCs w:val="22"/>
        </w:rPr>
      </w:pPr>
      <w:r>
        <w:t>10.3.3</w:t>
      </w:r>
      <w:r>
        <w:rPr>
          <w:rFonts w:asciiTheme="minorHAnsi" w:eastAsiaTheme="minorEastAsia" w:hAnsiTheme="minorHAnsi" w:cstheme="minorBidi"/>
          <w:sz w:val="22"/>
          <w:szCs w:val="22"/>
        </w:rPr>
        <w:tab/>
      </w:r>
      <w:r>
        <w:t>IAB-MT OTA reference sensitivity level</w:t>
      </w:r>
      <w:r>
        <w:tab/>
      </w:r>
      <w:r>
        <w:fldChar w:fldCharType="begin"/>
      </w:r>
      <w:r>
        <w:instrText xml:space="preserve"> PAGEREF _Toc106184163 \h </w:instrText>
      </w:r>
      <w:r>
        <w:fldChar w:fldCharType="separate"/>
      </w:r>
      <w:r>
        <w:t>134</w:t>
      </w:r>
      <w:r>
        <w:fldChar w:fldCharType="end"/>
      </w:r>
    </w:p>
    <w:p w14:paraId="6FF39431" w14:textId="70EFAB1C" w:rsidR="003C625C" w:rsidRDefault="003C625C">
      <w:pPr>
        <w:pStyle w:val="TOC4"/>
        <w:rPr>
          <w:rFonts w:asciiTheme="minorHAnsi" w:eastAsiaTheme="minorEastAsia" w:hAnsiTheme="minorHAnsi" w:cstheme="minorBidi"/>
          <w:sz w:val="22"/>
          <w:szCs w:val="22"/>
        </w:rPr>
      </w:pPr>
      <w:r>
        <w:t>10.3.3.1</w:t>
      </w:r>
      <w:r>
        <w:rPr>
          <w:rFonts w:asciiTheme="minorHAnsi" w:eastAsiaTheme="minorEastAsia" w:hAnsiTheme="minorHAnsi" w:cstheme="minorBidi"/>
          <w:sz w:val="22"/>
          <w:szCs w:val="22"/>
        </w:rPr>
        <w:tab/>
      </w:r>
      <w:r>
        <w:t xml:space="preserve">Minimum requirement for </w:t>
      </w:r>
      <w:r w:rsidRPr="00DD4EB8">
        <w:rPr>
          <w:i/>
        </w:rPr>
        <w:t>IAB-MT type 1-O</w:t>
      </w:r>
      <w:r>
        <w:tab/>
      </w:r>
      <w:r>
        <w:fldChar w:fldCharType="begin"/>
      </w:r>
      <w:r>
        <w:instrText xml:space="preserve"> PAGEREF _Toc106184164 \h </w:instrText>
      </w:r>
      <w:r>
        <w:fldChar w:fldCharType="separate"/>
      </w:r>
      <w:r>
        <w:t>134</w:t>
      </w:r>
      <w:r>
        <w:fldChar w:fldCharType="end"/>
      </w:r>
    </w:p>
    <w:p w14:paraId="6E88FC28" w14:textId="2B4C1CE4" w:rsidR="003C625C" w:rsidRDefault="003C625C">
      <w:pPr>
        <w:pStyle w:val="TOC4"/>
        <w:rPr>
          <w:rFonts w:asciiTheme="minorHAnsi" w:eastAsiaTheme="minorEastAsia" w:hAnsiTheme="minorHAnsi" w:cstheme="minorBidi"/>
          <w:sz w:val="22"/>
          <w:szCs w:val="22"/>
        </w:rPr>
      </w:pPr>
      <w:r>
        <w:t>10.3.3.2</w:t>
      </w:r>
      <w:r>
        <w:rPr>
          <w:rFonts w:asciiTheme="minorHAnsi" w:eastAsiaTheme="minorEastAsia" w:hAnsiTheme="minorHAnsi" w:cstheme="minorBidi"/>
          <w:sz w:val="22"/>
          <w:szCs w:val="22"/>
        </w:rPr>
        <w:tab/>
      </w:r>
      <w:r>
        <w:t xml:space="preserve">Minimum requirement for </w:t>
      </w:r>
      <w:r w:rsidRPr="00DD4EB8">
        <w:rPr>
          <w:i/>
        </w:rPr>
        <w:t>IAB-MT type 1-O</w:t>
      </w:r>
      <w:r>
        <w:tab/>
      </w:r>
      <w:r>
        <w:fldChar w:fldCharType="begin"/>
      </w:r>
      <w:r>
        <w:instrText xml:space="preserve"> PAGEREF _Toc106184165 \h </w:instrText>
      </w:r>
      <w:r>
        <w:fldChar w:fldCharType="separate"/>
      </w:r>
      <w:r>
        <w:t>134</w:t>
      </w:r>
      <w:r>
        <w:fldChar w:fldCharType="end"/>
      </w:r>
    </w:p>
    <w:p w14:paraId="183E7B27" w14:textId="05DFDF49" w:rsidR="003C625C" w:rsidRDefault="003C625C">
      <w:pPr>
        <w:pStyle w:val="TOC4"/>
        <w:rPr>
          <w:rFonts w:asciiTheme="minorHAnsi" w:eastAsiaTheme="minorEastAsia" w:hAnsiTheme="minorHAnsi" w:cstheme="minorBidi"/>
          <w:sz w:val="22"/>
          <w:szCs w:val="22"/>
        </w:rPr>
      </w:pPr>
      <w:r>
        <w:t>10.3.3.3</w:t>
      </w:r>
      <w:r>
        <w:rPr>
          <w:rFonts w:asciiTheme="minorHAnsi" w:eastAsiaTheme="minorEastAsia" w:hAnsiTheme="minorHAnsi" w:cstheme="minorBidi"/>
          <w:sz w:val="22"/>
          <w:szCs w:val="22"/>
        </w:rPr>
        <w:tab/>
      </w:r>
      <w:r>
        <w:t xml:space="preserve">Minimum requirement for </w:t>
      </w:r>
      <w:r w:rsidRPr="00DD4EB8">
        <w:rPr>
          <w:i/>
        </w:rPr>
        <w:t>IAB-MT type 2-O</w:t>
      </w:r>
      <w:r>
        <w:tab/>
      </w:r>
      <w:r>
        <w:fldChar w:fldCharType="begin"/>
      </w:r>
      <w:r>
        <w:instrText xml:space="preserve"> PAGEREF _Toc106184166 \h </w:instrText>
      </w:r>
      <w:r>
        <w:fldChar w:fldCharType="separate"/>
      </w:r>
      <w:r>
        <w:t>134</w:t>
      </w:r>
      <w:r>
        <w:fldChar w:fldCharType="end"/>
      </w:r>
    </w:p>
    <w:p w14:paraId="30073AF2" w14:textId="37D97AE8" w:rsidR="003C625C" w:rsidRDefault="003C625C">
      <w:pPr>
        <w:pStyle w:val="TOC2"/>
        <w:rPr>
          <w:rFonts w:asciiTheme="minorHAnsi" w:eastAsiaTheme="minorEastAsia" w:hAnsiTheme="minorHAnsi" w:cstheme="minorBidi"/>
          <w:sz w:val="22"/>
          <w:szCs w:val="22"/>
        </w:rPr>
      </w:pPr>
      <w:r>
        <w:t>10.4</w:t>
      </w:r>
      <w:r>
        <w:rPr>
          <w:rFonts w:asciiTheme="minorHAnsi" w:eastAsiaTheme="minorEastAsia" w:hAnsiTheme="minorHAnsi" w:cstheme="minorBidi"/>
          <w:sz w:val="22"/>
          <w:szCs w:val="22"/>
        </w:rPr>
        <w:tab/>
      </w:r>
      <w:r>
        <w:t>OTA Dynamic range</w:t>
      </w:r>
      <w:r>
        <w:tab/>
      </w:r>
      <w:r>
        <w:fldChar w:fldCharType="begin"/>
      </w:r>
      <w:r>
        <w:instrText xml:space="preserve"> PAGEREF _Toc106184167 \h </w:instrText>
      </w:r>
      <w:r>
        <w:fldChar w:fldCharType="separate"/>
      </w:r>
      <w:r>
        <w:t>135</w:t>
      </w:r>
      <w:r>
        <w:fldChar w:fldCharType="end"/>
      </w:r>
    </w:p>
    <w:p w14:paraId="206D1D19" w14:textId="2F9F82AC" w:rsidR="003C625C" w:rsidRDefault="003C625C">
      <w:pPr>
        <w:pStyle w:val="TOC3"/>
        <w:rPr>
          <w:rFonts w:asciiTheme="minorHAnsi" w:eastAsiaTheme="minorEastAsia" w:hAnsiTheme="minorHAnsi" w:cstheme="minorBidi"/>
          <w:sz w:val="22"/>
          <w:szCs w:val="22"/>
        </w:rPr>
      </w:pPr>
      <w:r>
        <w:t>10.4.1</w:t>
      </w:r>
      <w:r>
        <w:rPr>
          <w:rFonts w:asciiTheme="minorHAnsi" w:eastAsiaTheme="minorEastAsia" w:hAnsiTheme="minorHAnsi" w:cstheme="minorBidi"/>
          <w:sz w:val="22"/>
          <w:szCs w:val="22"/>
        </w:rPr>
        <w:tab/>
      </w:r>
      <w:r>
        <w:t>IAB-DU OTA dynamic range</w:t>
      </w:r>
      <w:r>
        <w:tab/>
      </w:r>
      <w:r>
        <w:fldChar w:fldCharType="begin"/>
      </w:r>
      <w:r>
        <w:instrText xml:space="preserve"> PAGEREF _Toc106184168 \h </w:instrText>
      </w:r>
      <w:r>
        <w:fldChar w:fldCharType="separate"/>
      </w:r>
      <w:r>
        <w:t>135</w:t>
      </w:r>
      <w:r>
        <w:fldChar w:fldCharType="end"/>
      </w:r>
    </w:p>
    <w:p w14:paraId="150210FD" w14:textId="421BE208" w:rsidR="003C625C" w:rsidRDefault="003C625C">
      <w:pPr>
        <w:pStyle w:val="TOC4"/>
        <w:rPr>
          <w:rFonts w:asciiTheme="minorHAnsi" w:eastAsiaTheme="minorEastAsia" w:hAnsiTheme="minorHAnsi" w:cstheme="minorBidi"/>
          <w:sz w:val="22"/>
          <w:szCs w:val="22"/>
        </w:rPr>
      </w:pPr>
      <w:r>
        <w:t>10.4.1.1</w:t>
      </w:r>
      <w:r>
        <w:rPr>
          <w:rFonts w:asciiTheme="minorHAnsi" w:eastAsiaTheme="minorEastAsia" w:hAnsiTheme="minorHAnsi" w:cstheme="minorBidi"/>
          <w:sz w:val="22"/>
          <w:szCs w:val="22"/>
        </w:rPr>
        <w:tab/>
      </w:r>
      <w:r>
        <w:t>General</w:t>
      </w:r>
      <w:r>
        <w:tab/>
      </w:r>
      <w:r>
        <w:fldChar w:fldCharType="begin"/>
      </w:r>
      <w:r>
        <w:instrText xml:space="preserve"> PAGEREF _Toc106184169 \h </w:instrText>
      </w:r>
      <w:r>
        <w:fldChar w:fldCharType="separate"/>
      </w:r>
      <w:r>
        <w:t>135</w:t>
      </w:r>
      <w:r>
        <w:fldChar w:fldCharType="end"/>
      </w:r>
    </w:p>
    <w:p w14:paraId="0B5289A3" w14:textId="33A565C9" w:rsidR="003C625C" w:rsidRDefault="003C625C">
      <w:pPr>
        <w:pStyle w:val="TOC4"/>
        <w:rPr>
          <w:rFonts w:asciiTheme="minorHAnsi" w:eastAsiaTheme="minorEastAsia" w:hAnsiTheme="minorHAnsi" w:cstheme="minorBidi"/>
          <w:sz w:val="22"/>
          <w:szCs w:val="22"/>
        </w:rPr>
      </w:pPr>
      <w:r>
        <w:t>10.4.1.2</w:t>
      </w:r>
      <w:r>
        <w:rPr>
          <w:rFonts w:asciiTheme="minorHAnsi" w:eastAsiaTheme="minorEastAsia" w:hAnsiTheme="minorHAnsi" w:cstheme="minorBidi"/>
          <w:sz w:val="22"/>
          <w:szCs w:val="22"/>
        </w:rPr>
        <w:tab/>
      </w:r>
      <w:r>
        <w:t xml:space="preserve">Minimum requirement for </w:t>
      </w:r>
      <w:r w:rsidRPr="00DD4EB8">
        <w:rPr>
          <w:i/>
        </w:rPr>
        <w:t>IAB-DU type 1-O</w:t>
      </w:r>
      <w:r>
        <w:tab/>
      </w:r>
      <w:r>
        <w:fldChar w:fldCharType="begin"/>
      </w:r>
      <w:r>
        <w:instrText xml:space="preserve"> PAGEREF _Toc106184170 \h </w:instrText>
      </w:r>
      <w:r>
        <w:fldChar w:fldCharType="separate"/>
      </w:r>
      <w:r>
        <w:t>135</w:t>
      </w:r>
      <w:r>
        <w:fldChar w:fldCharType="end"/>
      </w:r>
    </w:p>
    <w:p w14:paraId="7876EFE1" w14:textId="7A69DB51" w:rsidR="003C625C" w:rsidRDefault="003C625C">
      <w:pPr>
        <w:pStyle w:val="TOC2"/>
        <w:rPr>
          <w:rFonts w:asciiTheme="minorHAnsi" w:eastAsiaTheme="minorEastAsia" w:hAnsiTheme="minorHAnsi" w:cstheme="minorBidi"/>
          <w:sz w:val="22"/>
          <w:szCs w:val="22"/>
        </w:rPr>
      </w:pPr>
      <w:r>
        <w:lastRenderedPageBreak/>
        <w:t>10.5</w:t>
      </w:r>
      <w:r>
        <w:rPr>
          <w:rFonts w:asciiTheme="minorHAnsi" w:eastAsiaTheme="minorEastAsia" w:hAnsiTheme="minorHAnsi" w:cstheme="minorBidi"/>
          <w:sz w:val="22"/>
          <w:szCs w:val="22"/>
        </w:rPr>
        <w:tab/>
      </w:r>
      <w:r>
        <w:t>OTA in-band selectivity and blocking</w:t>
      </w:r>
      <w:r>
        <w:tab/>
      </w:r>
      <w:r>
        <w:fldChar w:fldCharType="begin"/>
      </w:r>
      <w:r>
        <w:instrText xml:space="preserve"> PAGEREF _Toc106184171 \h </w:instrText>
      </w:r>
      <w:r>
        <w:fldChar w:fldCharType="separate"/>
      </w:r>
      <w:r>
        <w:t>135</w:t>
      </w:r>
      <w:r>
        <w:fldChar w:fldCharType="end"/>
      </w:r>
    </w:p>
    <w:p w14:paraId="05DD7763" w14:textId="10637491" w:rsidR="003C625C" w:rsidRDefault="003C625C">
      <w:pPr>
        <w:pStyle w:val="TOC3"/>
        <w:rPr>
          <w:rFonts w:asciiTheme="minorHAnsi" w:eastAsiaTheme="minorEastAsia" w:hAnsiTheme="minorHAnsi" w:cstheme="minorBidi"/>
          <w:sz w:val="22"/>
          <w:szCs w:val="22"/>
        </w:rPr>
      </w:pPr>
      <w:r>
        <w:t>10.5.1</w:t>
      </w:r>
      <w:r>
        <w:rPr>
          <w:rFonts w:asciiTheme="minorHAnsi" w:eastAsiaTheme="minorEastAsia" w:hAnsiTheme="minorHAnsi" w:cstheme="minorBidi"/>
          <w:sz w:val="22"/>
          <w:szCs w:val="22"/>
        </w:rPr>
        <w:tab/>
      </w:r>
      <w:r>
        <w:t>OTA adjacent channel selectivity</w:t>
      </w:r>
      <w:r>
        <w:tab/>
      </w:r>
      <w:r>
        <w:fldChar w:fldCharType="begin"/>
      </w:r>
      <w:r>
        <w:instrText xml:space="preserve"> PAGEREF _Toc106184172 \h </w:instrText>
      </w:r>
      <w:r>
        <w:fldChar w:fldCharType="separate"/>
      </w:r>
      <w:r>
        <w:t>135</w:t>
      </w:r>
      <w:r>
        <w:fldChar w:fldCharType="end"/>
      </w:r>
    </w:p>
    <w:p w14:paraId="1C39D321" w14:textId="7C800836" w:rsidR="003C625C" w:rsidRDefault="003C625C">
      <w:pPr>
        <w:pStyle w:val="TOC4"/>
        <w:rPr>
          <w:rFonts w:asciiTheme="minorHAnsi" w:eastAsiaTheme="minorEastAsia" w:hAnsiTheme="minorHAnsi" w:cstheme="minorBidi"/>
          <w:sz w:val="22"/>
          <w:szCs w:val="22"/>
        </w:rPr>
      </w:pPr>
      <w:r>
        <w:t>10.5.1.1</w:t>
      </w:r>
      <w:r>
        <w:rPr>
          <w:rFonts w:asciiTheme="minorHAnsi" w:eastAsiaTheme="minorEastAsia" w:hAnsiTheme="minorHAnsi" w:cstheme="minorBidi"/>
          <w:sz w:val="22"/>
          <w:szCs w:val="22"/>
        </w:rPr>
        <w:tab/>
      </w:r>
      <w:r>
        <w:t>General</w:t>
      </w:r>
      <w:r>
        <w:tab/>
      </w:r>
      <w:r>
        <w:fldChar w:fldCharType="begin"/>
      </w:r>
      <w:r>
        <w:instrText xml:space="preserve"> PAGEREF _Toc106184173 \h </w:instrText>
      </w:r>
      <w:r>
        <w:fldChar w:fldCharType="separate"/>
      </w:r>
      <w:r>
        <w:t>135</w:t>
      </w:r>
      <w:r>
        <w:fldChar w:fldCharType="end"/>
      </w:r>
    </w:p>
    <w:p w14:paraId="71655B5F" w14:textId="1909C409" w:rsidR="003C625C" w:rsidRDefault="003C625C">
      <w:pPr>
        <w:pStyle w:val="TOC4"/>
        <w:rPr>
          <w:rFonts w:asciiTheme="minorHAnsi" w:eastAsiaTheme="minorEastAsia" w:hAnsiTheme="minorHAnsi" w:cstheme="minorBidi"/>
          <w:sz w:val="22"/>
          <w:szCs w:val="22"/>
        </w:rPr>
      </w:pPr>
      <w:r>
        <w:t>10.5.1.2</w:t>
      </w:r>
      <w:r>
        <w:rPr>
          <w:rFonts w:asciiTheme="minorHAnsi" w:eastAsiaTheme="minorEastAsia" w:hAnsiTheme="minorHAnsi" w:cstheme="minorBidi"/>
          <w:sz w:val="22"/>
          <w:szCs w:val="22"/>
        </w:rPr>
        <w:tab/>
      </w:r>
      <w:r>
        <w:t xml:space="preserve">Minimum requirement for </w:t>
      </w:r>
      <w:r w:rsidRPr="00DD4EB8">
        <w:rPr>
          <w:i/>
        </w:rPr>
        <w:t>IAB-DU type 1-O</w:t>
      </w:r>
      <w:r>
        <w:tab/>
      </w:r>
      <w:r>
        <w:fldChar w:fldCharType="begin"/>
      </w:r>
      <w:r>
        <w:instrText xml:space="preserve"> PAGEREF _Toc106184174 \h </w:instrText>
      </w:r>
      <w:r>
        <w:fldChar w:fldCharType="separate"/>
      </w:r>
      <w:r>
        <w:t>136</w:t>
      </w:r>
      <w:r>
        <w:fldChar w:fldCharType="end"/>
      </w:r>
    </w:p>
    <w:p w14:paraId="586F492A" w14:textId="6A8CC090" w:rsidR="003C625C" w:rsidRDefault="003C625C">
      <w:pPr>
        <w:pStyle w:val="TOC4"/>
        <w:rPr>
          <w:rFonts w:asciiTheme="minorHAnsi" w:eastAsiaTheme="minorEastAsia" w:hAnsiTheme="minorHAnsi" w:cstheme="minorBidi"/>
          <w:sz w:val="22"/>
          <w:szCs w:val="22"/>
        </w:rPr>
      </w:pPr>
      <w:r>
        <w:t>10.5.1.3</w:t>
      </w:r>
      <w:r>
        <w:rPr>
          <w:rFonts w:asciiTheme="minorHAnsi" w:eastAsiaTheme="minorEastAsia" w:hAnsiTheme="minorHAnsi" w:cstheme="minorBidi"/>
          <w:sz w:val="22"/>
          <w:szCs w:val="22"/>
        </w:rPr>
        <w:tab/>
      </w:r>
      <w:r>
        <w:t xml:space="preserve">Minimum requirement for </w:t>
      </w:r>
      <w:r w:rsidRPr="00DD4EB8">
        <w:rPr>
          <w:i/>
        </w:rPr>
        <w:t>IAB-DU type 2-O</w:t>
      </w:r>
      <w:r>
        <w:tab/>
      </w:r>
      <w:r>
        <w:fldChar w:fldCharType="begin"/>
      </w:r>
      <w:r>
        <w:instrText xml:space="preserve"> PAGEREF _Toc106184175 \h </w:instrText>
      </w:r>
      <w:r>
        <w:fldChar w:fldCharType="separate"/>
      </w:r>
      <w:r>
        <w:t>136</w:t>
      </w:r>
      <w:r>
        <w:fldChar w:fldCharType="end"/>
      </w:r>
    </w:p>
    <w:p w14:paraId="4056C1A0" w14:textId="47DD750C" w:rsidR="003C625C" w:rsidRDefault="003C625C">
      <w:pPr>
        <w:pStyle w:val="TOC4"/>
        <w:rPr>
          <w:rFonts w:asciiTheme="minorHAnsi" w:eastAsiaTheme="minorEastAsia" w:hAnsiTheme="minorHAnsi" w:cstheme="minorBidi"/>
          <w:sz w:val="22"/>
          <w:szCs w:val="22"/>
        </w:rPr>
      </w:pPr>
      <w:r>
        <w:t>10.5.1.4</w:t>
      </w:r>
      <w:r>
        <w:rPr>
          <w:rFonts w:asciiTheme="minorHAnsi" w:eastAsiaTheme="minorEastAsia" w:hAnsiTheme="minorHAnsi" w:cstheme="minorBidi"/>
          <w:sz w:val="22"/>
          <w:szCs w:val="22"/>
        </w:rPr>
        <w:tab/>
      </w:r>
      <w:r>
        <w:t xml:space="preserve">Minimum requirement for </w:t>
      </w:r>
      <w:r w:rsidRPr="00DD4EB8">
        <w:rPr>
          <w:i/>
        </w:rPr>
        <w:t>IAB-MT type 2-O</w:t>
      </w:r>
      <w:r>
        <w:tab/>
      </w:r>
      <w:r>
        <w:fldChar w:fldCharType="begin"/>
      </w:r>
      <w:r>
        <w:instrText xml:space="preserve"> PAGEREF _Toc106184176 \h </w:instrText>
      </w:r>
      <w:r>
        <w:fldChar w:fldCharType="separate"/>
      </w:r>
      <w:r>
        <w:t>136</w:t>
      </w:r>
      <w:r>
        <w:fldChar w:fldCharType="end"/>
      </w:r>
    </w:p>
    <w:p w14:paraId="5B4EEA25" w14:textId="5783789A" w:rsidR="003C625C" w:rsidRDefault="003C625C">
      <w:pPr>
        <w:pStyle w:val="TOC4"/>
        <w:rPr>
          <w:rFonts w:asciiTheme="minorHAnsi" w:eastAsiaTheme="minorEastAsia" w:hAnsiTheme="minorHAnsi" w:cstheme="minorBidi"/>
          <w:sz w:val="22"/>
          <w:szCs w:val="22"/>
        </w:rPr>
      </w:pPr>
      <w:r>
        <w:t>10.5.1.5</w:t>
      </w:r>
      <w:r>
        <w:rPr>
          <w:rFonts w:asciiTheme="minorHAnsi" w:eastAsiaTheme="minorEastAsia" w:hAnsiTheme="minorHAnsi" w:cstheme="minorBidi"/>
          <w:sz w:val="22"/>
          <w:szCs w:val="22"/>
        </w:rPr>
        <w:tab/>
      </w:r>
      <w:r>
        <w:t xml:space="preserve"> Minimum requirement for </w:t>
      </w:r>
      <w:r w:rsidRPr="00DD4EB8">
        <w:rPr>
          <w:i/>
        </w:rPr>
        <w:t>IAB-MT type 1-O</w:t>
      </w:r>
      <w:r>
        <w:tab/>
      </w:r>
      <w:r>
        <w:fldChar w:fldCharType="begin"/>
      </w:r>
      <w:r>
        <w:instrText xml:space="preserve"> PAGEREF _Toc106184177 \h </w:instrText>
      </w:r>
      <w:r>
        <w:fldChar w:fldCharType="separate"/>
      </w:r>
      <w:r>
        <w:t>136</w:t>
      </w:r>
      <w:r>
        <w:fldChar w:fldCharType="end"/>
      </w:r>
    </w:p>
    <w:p w14:paraId="7D79712B" w14:textId="1D8E1C16" w:rsidR="003C625C" w:rsidRDefault="003C625C">
      <w:pPr>
        <w:pStyle w:val="TOC3"/>
        <w:rPr>
          <w:rFonts w:asciiTheme="minorHAnsi" w:eastAsiaTheme="minorEastAsia" w:hAnsiTheme="minorHAnsi" w:cstheme="minorBidi"/>
          <w:sz w:val="22"/>
          <w:szCs w:val="22"/>
        </w:rPr>
      </w:pPr>
      <w:r>
        <w:t>10.5.2</w:t>
      </w:r>
      <w:r>
        <w:rPr>
          <w:rFonts w:asciiTheme="minorHAnsi" w:eastAsiaTheme="minorEastAsia" w:hAnsiTheme="minorHAnsi" w:cstheme="minorBidi"/>
          <w:sz w:val="22"/>
          <w:szCs w:val="22"/>
        </w:rPr>
        <w:tab/>
      </w:r>
      <w:r>
        <w:t>OTA in-band blocking</w:t>
      </w:r>
      <w:r>
        <w:tab/>
      </w:r>
      <w:r>
        <w:fldChar w:fldCharType="begin"/>
      </w:r>
      <w:r>
        <w:instrText xml:space="preserve"> PAGEREF _Toc106184178 \h </w:instrText>
      </w:r>
      <w:r>
        <w:fldChar w:fldCharType="separate"/>
      </w:r>
      <w:r>
        <w:t>137</w:t>
      </w:r>
      <w:r>
        <w:fldChar w:fldCharType="end"/>
      </w:r>
    </w:p>
    <w:p w14:paraId="36F775C2" w14:textId="2BF2C603" w:rsidR="003C625C" w:rsidRDefault="003C625C">
      <w:pPr>
        <w:pStyle w:val="TOC2"/>
        <w:rPr>
          <w:rFonts w:asciiTheme="minorHAnsi" w:eastAsiaTheme="minorEastAsia" w:hAnsiTheme="minorHAnsi" w:cstheme="minorBidi"/>
          <w:sz w:val="22"/>
          <w:szCs w:val="22"/>
        </w:rPr>
      </w:pPr>
      <w:r>
        <w:t>10.6</w:t>
      </w:r>
      <w:r>
        <w:rPr>
          <w:rFonts w:asciiTheme="minorHAnsi" w:eastAsiaTheme="minorEastAsia" w:hAnsiTheme="minorHAnsi" w:cstheme="minorBidi"/>
          <w:sz w:val="22"/>
          <w:szCs w:val="22"/>
        </w:rPr>
        <w:tab/>
      </w:r>
      <w:r>
        <w:t>OTA out-of-band blocking</w:t>
      </w:r>
      <w:r>
        <w:tab/>
      </w:r>
      <w:r>
        <w:fldChar w:fldCharType="begin"/>
      </w:r>
      <w:r>
        <w:instrText xml:space="preserve"> PAGEREF _Toc106184179 \h </w:instrText>
      </w:r>
      <w:r>
        <w:fldChar w:fldCharType="separate"/>
      </w:r>
      <w:r>
        <w:t>141</w:t>
      </w:r>
      <w:r>
        <w:fldChar w:fldCharType="end"/>
      </w:r>
    </w:p>
    <w:p w14:paraId="4E6D661F" w14:textId="7FCA9238" w:rsidR="003C625C" w:rsidRDefault="003C625C">
      <w:pPr>
        <w:pStyle w:val="TOC3"/>
        <w:rPr>
          <w:rFonts w:asciiTheme="minorHAnsi" w:eastAsiaTheme="minorEastAsia" w:hAnsiTheme="minorHAnsi" w:cstheme="minorBidi"/>
          <w:sz w:val="22"/>
          <w:szCs w:val="22"/>
        </w:rPr>
      </w:pPr>
      <w:r>
        <w:t>10.6.1</w:t>
      </w:r>
      <w:r>
        <w:rPr>
          <w:rFonts w:asciiTheme="minorHAnsi" w:eastAsiaTheme="minorEastAsia" w:hAnsiTheme="minorHAnsi" w:cstheme="minorBidi"/>
          <w:sz w:val="22"/>
          <w:szCs w:val="22"/>
        </w:rPr>
        <w:tab/>
      </w:r>
      <w:r>
        <w:t>General</w:t>
      </w:r>
      <w:r>
        <w:tab/>
      </w:r>
      <w:r>
        <w:fldChar w:fldCharType="begin"/>
      </w:r>
      <w:r>
        <w:instrText xml:space="preserve"> PAGEREF _Toc106184180 \h </w:instrText>
      </w:r>
      <w:r>
        <w:fldChar w:fldCharType="separate"/>
      </w:r>
      <w:r>
        <w:t>141</w:t>
      </w:r>
      <w:r>
        <w:fldChar w:fldCharType="end"/>
      </w:r>
    </w:p>
    <w:p w14:paraId="55F39A83" w14:textId="3626740C" w:rsidR="003C625C" w:rsidRDefault="003C625C">
      <w:pPr>
        <w:pStyle w:val="TOC3"/>
        <w:rPr>
          <w:rFonts w:asciiTheme="minorHAnsi" w:eastAsiaTheme="minorEastAsia" w:hAnsiTheme="minorHAnsi" w:cstheme="minorBidi"/>
          <w:sz w:val="22"/>
          <w:szCs w:val="22"/>
        </w:rPr>
      </w:pPr>
      <w:r>
        <w:t>10.6.2</w:t>
      </w:r>
      <w:r>
        <w:rPr>
          <w:rFonts w:asciiTheme="minorHAnsi" w:eastAsiaTheme="minorEastAsia" w:hAnsiTheme="minorHAnsi" w:cstheme="minorBidi"/>
          <w:sz w:val="22"/>
          <w:szCs w:val="22"/>
        </w:rPr>
        <w:tab/>
      </w:r>
      <w:r>
        <w:t>Minimum requirement for IAB-MT type 1-O and IAB-DU type 1-O</w:t>
      </w:r>
      <w:r>
        <w:tab/>
      </w:r>
      <w:r>
        <w:fldChar w:fldCharType="begin"/>
      </w:r>
      <w:r>
        <w:instrText xml:space="preserve"> PAGEREF _Toc106184181 \h </w:instrText>
      </w:r>
      <w:r>
        <w:fldChar w:fldCharType="separate"/>
      </w:r>
      <w:r>
        <w:t>141</w:t>
      </w:r>
      <w:r>
        <w:fldChar w:fldCharType="end"/>
      </w:r>
    </w:p>
    <w:p w14:paraId="7D7B78F7" w14:textId="547681B1" w:rsidR="003C625C" w:rsidRDefault="003C625C">
      <w:pPr>
        <w:pStyle w:val="TOC3"/>
        <w:rPr>
          <w:rFonts w:asciiTheme="minorHAnsi" w:eastAsiaTheme="minorEastAsia" w:hAnsiTheme="minorHAnsi" w:cstheme="minorBidi"/>
          <w:sz w:val="22"/>
          <w:szCs w:val="22"/>
        </w:rPr>
      </w:pPr>
      <w:r>
        <w:t>10.6.3</w:t>
      </w:r>
      <w:r>
        <w:rPr>
          <w:rFonts w:asciiTheme="minorHAnsi" w:eastAsiaTheme="minorEastAsia" w:hAnsiTheme="minorHAnsi" w:cstheme="minorBidi"/>
          <w:sz w:val="22"/>
          <w:szCs w:val="22"/>
        </w:rPr>
        <w:tab/>
      </w:r>
      <w:r>
        <w:t>Minimum requirement for IAB-MT type 2-O and IAB-DU type 2-O</w:t>
      </w:r>
      <w:r>
        <w:tab/>
      </w:r>
      <w:r>
        <w:fldChar w:fldCharType="begin"/>
      </w:r>
      <w:r>
        <w:instrText xml:space="preserve"> PAGEREF _Toc106184182 \h </w:instrText>
      </w:r>
      <w:r>
        <w:fldChar w:fldCharType="separate"/>
      </w:r>
      <w:r>
        <w:t>142</w:t>
      </w:r>
      <w:r>
        <w:fldChar w:fldCharType="end"/>
      </w:r>
    </w:p>
    <w:p w14:paraId="04DC92B8" w14:textId="3837AEE2" w:rsidR="003C625C" w:rsidRDefault="003C625C">
      <w:pPr>
        <w:pStyle w:val="TOC3"/>
        <w:rPr>
          <w:rFonts w:asciiTheme="minorHAnsi" w:eastAsiaTheme="minorEastAsia" w:hAnsiTheme="minorHAnsi" w:cstheme="minorBidi"/>
          <w:sz w:val="22"/>
          <w:szCs w:val="22"/>
        </w:rPr>
      </w:pPr>
      <w:r>
        <w:t>10.6.4</w:t>
      </w:r>
      <w:r>
        <w:rPr>
          <w:rFonts w:asciiTheme="minorHAnsi" w:eastAsiaTheme="minorEastAsia" w:hAnsiTheme="minorHAnsi" w:cstheme="minorBidi"/>
          <w:sz w:val="22"/>
          <w:szCs w:val="22"/>
        </w:rPr>
        <w:tab/>
      </w:r>
      <w:r>
        <w:t>Co-location minimum requirement for IAB-MT type 1-O and IAB-DU type 1-O</w:t>
      </w:r>
      <w:r>
        <w:tab/>
      </w:r>
      <w:r>
        <w:fldChar w:fldCharType="begin"/>
      </w:r>
      <w:r>
        <w:instrText xml:space="preserve"> PAGEREF _Toc106184183 \h </w:instrText>
      </w:r>
      <w:r>
        <w:fldChar w:fldCharType="separate"/>
      </w:r>
      <w:r>
        <w:t>142</w:t>
      </w:r>
      <w:r>
        <w:fldChar w:fldCharType="end"/>
      </w:r>
    </w:p>
    <w:p w14:paraId="1CF56168" w14:textId="498B5EB8" w:rsidR="003C625C" w:rsidRDefault="003C625C">
      <w:pPr>
        <w:pStyle w:val="TOC2"/>
        <w:rPr>
          <w:rFonts w:asciiTheme="minorHAnsi" w:eastAsiaTheme="minorEastAsia" w:hAnsiTheme="minorHAnsi" w:cstheme="minorBidi"/>
          <w:sz w:val="22"/>
          <w:szCs w:val="22"/>
        </w:rPr>
      </w:pPr>
      <w:r>
        <w:t>10.7</w:t>
      </w:r>
      <w:r>
        <w:rPr>
          <w:rFonts w:asciiTheme="minorHAnsi" w:eastAsiaTheme="minorEastAsia" w:hAnsiTheme="minorHAnsi" w:cstheme="minorBidi"/>
          <w:sz w:val="22"/>
          <w:szCs w:val="22"/>
        </w:rPr>
        <w:tab/>
      </w:r>
      <w:r>
        <w:t>OTA receiver spurious emissions</w:t>
      </w:r>
      <w:r>
        <w:tab/>
      </w:r>
      <w:r>
        <w:fldChar w:fldCharType="begin"/>
      </w:r>
      <w:r>
        <w:instrText xml:space="preserve"> PAGEREF _Toc106184184 \h </w:instrText>
      </w:r>
      <w:r>
        <w:fldChar w:fldCharType="separate"/>
      </w:r>
      <w:r>
        <w:t>143</w:t>
      </w:r>
      <w:r>
        <w:fldChar w:fldCharType="end"/>
      </w:r>
    </w:p>
    <w:p w14:paraId="0CA68DFA" w14:textId="52FF5D41" w:rsidR="003C625C" w:rsidRDefault="003C625C">
      <w:pPr>
        <w:pStyle w:val="TOC3"/>
        <w:rPr>
          <w:rFonts w:asciiTheme="minorHAnsi" w:eastAsiaTheme="minorEastAsia" w:hAnsiTheme="minorHAnsi" w:cstheme="minorBidi"/>
          <w:sz w:val="22"/>
          <w:szCs w:val="22"/>
        </w:rPr>
      </w:pPr>
      <w:r>
        <w:t>10.7.1</w:t>
      </w:r>
      <w:r>
        <w:rPr>
          <w:rFonts w:asciiTheme="minorHAnsi" w:eastAsiaTheme="minorEastAsia" w:hAnsiTheme="minorHAnsi" w:cstheme="minorBidi"/>
          <w:sz w:val="22"/>
          <w:szCs w:val="22"/>
        </w:rPr>
        <w:tab/>
      </w:r>
      <w:r>
        <w:t>General</w:t>
      </w:r>
      <w:r>
        <w:tab/>
      </w:r>
      <w:r>
        <w:fldChar w:fldCharType="begin"/>
      </w:r>
      <w:r>
        <w:instrText xml:space="preserve"> PAGEREF _Toc106184185 \h </w:instrText>
      </w:r>
      <w:r>
        <w:fldChar w:fldCharType="separate"/>
      </w:r>
      <w:r>
        <w:t>143</w:t>
      </w:r>
      <w:r>
        <w:fldChar w:fldCharType="end"/>
      </w:r>
    </w:p>
    <w:p w14:paraId="6CA17653" w14:textId="4E0A752F" w:rsidR="003C625C" w:rsidRDefault="003C625C">
      <w:pPr>
        <w:pStyle w:val="TOC3"/>
        <w:rPr>
          <w:rFonts w:asciiTheme="minorHAnsi" w:eastAsiaTheme="minorEastAsia" w:hAnsiTheme="minorHAnsi" w:cstheme="minorBidi"/>
          <w:sz w:val="22"/>
          <w:szCs w:val="22"/>
        </w:rPr>
      </w:pPr>
      <w:r>
        <w:t>10.7.2</w:t>
      </w:r>
      <w:r>
        <w:rPr>
          <w:rFonts w:asciiTheme="minorHAnsi" w:eastAsiaTheme="minorEastAsia" w:hAnsiTheme="minorHAnsi" w:cstheme="minorBidi"/>
          <w:sz w:val="22"/>
          <w:szCs w:val="22"/>
        </w:rPr>
        <w:tab/>
      </w:r>
      <w:r>
        <w:t>IAB-DU OTA receiver spurious emissions</w:t>
      </w:r>
      <w:r>
        <w:tab/>
      </w:r>
      <w:r>
        <w:fldChar w:fldCharType="begin"/>
      </w:r>
      <w:r>
        <w:instrText xml:space="preserve"> PAGEREF _Toc106184186 \h </w:instrText>
      </w:r>
      <w:r>
        <w:fldChar w:fldCharType="separate"/>
      </w:r>
      <w:r>
        <w:t>143</w:t>
      </w:r>
      <w:r>
        <w:fldChar w:fldCharType="end"/>
      </w:r>
    </w:p>
    <w:p w14:paraId="09454B70" w14:textId="43DE8CA5" w:rsidR="003C625C" w:rsidRDefault="003C625C">
      <w:pPr>
        <w:pStyle w:val="TOC4"/>
        <w:rPr>
          <w:rFonts w:asciiTheme="minorHAnsi" w:eastAsiaTheme="minorEastAsia" w:hAnsiTheme="minorHAnsi" w:cstheme="minorBidi"/>
          <w:sz w:val="22"/>
          <w:szCs w:val="22"/>
        </w:rPr>
      </w:pPr>
      <w:r>
        <w:t>10.7.2.1</w:t>
      </w:r>
      <w:r>
        <w:rPr>
          <w:rFonts w:asciiTheme="minorHAnsi" w:eastAsiaTheme="minorEastAsia" w:hAnsiTheme="minorHAnsi" w:cstheme="minorBidi"/>
          <w:sz w:val="22"/>
          <w:szCs w:val="22"/>
        </w:rPr>
        <w:tab/>
      </w:r>
      <w:r>
        <w:t>Minimum requirement for IAB-DU type 1-O</w:t>
      </w:r>
      <w:r>
        <w:tab/>
      </w:r>
      <w:r>
        <w:fldChar w:fldCharType="begin"/>
      </w:r>
      <w:r>
        <w:instrText xml:space="preserve"> PAGEREF _Toc106184187 \h </w:instrText>
      </w:r>
      <w:r>
        <w:fldChar w:fldCharType="separate"/>
      </w:r>
      <w:r>
        <w:t>143</w:t>
      </w:r>
      <w:r>
        <w:fldChar w:fldCharType="end"/>
      </w:r>
    </w:p>
    <w:p w14:paraId="426BAFC6" w14:textId="211CBD86" w:rsidR="003C625C" w:rsidRDefault="003C625C">
      <w:pPr>
        <w:pStyle w:val="TOC4"/>
        <w:rPr>
          <w:rFonts w:asciiTheme="minorHAnsi" w:eastAsiaTheme="minorEastAsia" w:hAnsiTheme="minorHAnsi" w:cstheme="minorBidi"/>
          <w:sz w:val="22"/>
          <w:szCs w:val="22"/>
        </w:rPr>
      </w:pPr>
      <w:r>
        <w:t>10.7.2.2</w:t>
      </w:r>
      <w:r>
        <w:rPr>
          <w:rFonts w:asciiTheme="minorHAnsi" w:eastAsiaTheme="minorEastAsia" w:hAnsiTheme="minorHAnsi" w:cstheme="minorBidi"/>
          <w:sz w:val="22"/>
          <w:szCs w:val="22"/>
        </w:rPr>
        <w:tab/>
      </w:r>
      <w:r>
        <w:t>Minimum requirement for IAB-DU type 2-O</w:t>
      </w:r>
      <w:r>
        <w:tab/>
      </w:r>
      <w:r>
        <w:fldChar w:fldCharType="begin"/>
      </w:r>
      <w:r>
        <w:instrText xml:space="preserve"> PAGEREF _Toc106184188 \h </w:instrText>
      </w:r>
      <w:r>
        <w:fldChar w:fldCharType="separate"/>
      </w:r>
      <w:r>
        <w:t>143</w:t>
      </w:r>
      <w:r>
        <w:fldChar w:fldCharType="end"/>
      </w:r>
    </w:p>
    <w:p w14:paraId="38431F97" w14:textId="779BDF48" w:rsidR="003C625C" w:rsidRDefault="003C625C">
      <w:pPr>
        <w:pStyle w:val="TOC3"/>
        <w:rPr>
          <w:rFonts w:asciiTheme="minorHAnsi" w:eastAsiaTheme="minorEastAsia" w:hAnsiTheme="minorHAnsi" w:cstheme="minorBidi"/>
          <w:sz w:val="22"/>
          <w:szCs w:val="22"/>
        </w:rPr>
      </w:pPr>
      <w:r>
        <w:t>10.7.3</w:t>
      </w:r>
      <w:r>
        <w:rPr>
          <w:rFonts w:asciiTheme="minorHAnsi" w:eastAsiaTheme="minorEastAsia" w:hAnsiTheme="minorHAnsi" w:cstheme="minorBidi"/>
          <w:sz w:val="22"/>
          <w:szCs w:val="22"/>
        </w:rPr>
        <w:tab/>
      </w:r>
      <w:r>
        <w:t>IAB-MT OTA receiver spurious emissions</w:t>
      </w:r>
      <w:r>
        <w:tab/>
      </w:r>
      <w:r>
        <w:fldChar w:fldCharType="begin"/>
      </w:r>
      <w:r>
        <w:instrText xml:space="preserve"> PAGEREF _Toc106184189 \h </w:instrText>
      </w:r>
      <w:r>
        <w:fldChar w:fldCharType="separate"/>
      </w:r>
      <w:r>
        <w:t>143</w:t>
      </w:r>
      <w:r>
        <w:fldChar w:fldCharType="end"/>
      </w:r>
    </w:p>
    <w:p w14:paraId="021FA379" w14:textId="3A628B10" w:rsidR="003C625C" w:rsidRDefault="003C625C">
      <w:pPr>
        <w:pStyle w:val="TOC4"/>
        <w:rPr>
          <w:rFonts w:asciiTheme="minorHAnsi" w:eastAsiaTheme="minorEastAsia" w:hAnsiTheme="minorHAnsi" w:cstheme="minorBidi"/>
          <w:sz w:val="22"/>
          <w:szCs w:val="22"/>
        </w:rPr>
      </w:pPr>
      <w:r>
        <w:t>10.7.3.1</w:t>
      </w:r>
      <w:r>
        <w:rPr>
          <w:rFonts w:asciiTheme="minorHAnsi" w:eastAsiaTheme="minorEastAsia" w:hAnsiTheme="minorHAnsi" w:cstheme="minorBidi"/>
          <w:sz w:val="22"/>
          <w:szCs w:val="22"/>
        </w:rPr>
        <w:tab/>
      </w:r>
      <w:r>
        <w:t>Minimum requirement for IAB-MT type 1-O</w:t>
      </w:r>
      <w:r>
        <w:tab/>
      </w:r>
      <w:r>
        <w:fldChar w:fldCharType="begin"/>
      </w:r>
      <w:r>
        <w:instrText xml:space="preserve"> PAGEREF _Toc106184190 \h </w:instrText>
      </w:r>
      <w:r>
        <w:fldChar w:fldCharType="separate"/>
      </w:r>
      <w:r>
        <w:t>143</w:t>
      </w:r>
      <w:r>
        <w:fldChar w:fldCharType="end"/>
      </w:r>
    </w:p>
    <w:p w14:paraId="12CF149A" w14:textId="5D2594B3" w:rsidR="003C625C" w:rsidRDefault="003C625C">
      <w:pPr>
        <w:pStyle w:val="TOC4"/>
        <w:rPr>
          <w:rFonts w:asciiTheme="minorHAnsi" w:eastAsiaTheme="minorEastAsia" w:hAnsiTheme="minorHAnsi" w:cstheme="minorBidi"/>
          <w:sz w:val="22"/>
          <w:szCs w:val="22"/>
        </w:rPr>
      </w:pPr>
      <w:r>
        <w:t>10.7.3.2</w:t>
      </w:r>
      <w:r>
        <w:rPr>
          <w:rFonts w:asciiTheme="minorHAnsi" w:eastAsiaTheme="minorEastAsia" w:hAnsiTheme="minorHAnsi" w:cstheme="minorBidi"/>
          <w:sz w:val="22"/>
          <w:szCs w:val="22"/>
        </w:rPr>
        <w:tab/>
      </w:r>
      <w:r>
        <w:t>Minimum requirement for IAB-MT type 2-O</w:t>
      </w:r>
      <w:r>
        <w:tab/>
      </w:r>
      <w:r>
        <w:fldChar w:fldCharType="begin"/>
      </w:r>
      <w:r>
        <w:instrText xml:space="preserve"> PAGEREF _Toc106184191 \h </w:instrText>
      </w:r>
      <w:r>
        <w:fldChar w:fldCharType="separate"/>
      </w:r>
      <w:r>
        <w:t>144</w:t>
      </w:r>
      <w:r>
        <w:fldChar w:fldCharType="end"/>
      </w:r>
    </w:p>
    <w:p w14:paraId="2D5621E7" w14:textId="2DB8B8A2" w:rsidR="003C625C" w:rsidRDefault="003C625C">
      <w:pPr>
        <w:pStyle w:val="TOC2"/>
        <w:rPr>
          <w:rFonts w:asciiTheme="minorHAnsi" w:eastAsiaTheme="minorEastAsia" w:hAnsiTheme="minorHAnsi" w:cstheme="minorBidi"/>
          <w:sz w:val="22"/>
          <w:szCs w:val="22"/>
        </w:rPr>
      </w:pPr>
      <w:r>
        <w:t>10.8</w:t>
      </w:r>
      <w:r>
        <w:rPr>
          <w:rFonts w:asciiTheme="minorHAnsi" w:eastAsiaTheme="minorEastAsia" w:hAnsiTheme="minorHAnsi" w:cstheme="minorBidi"/>
          <w:sz w:val="22"/>
          <w:szCs w:val="22"/>
        </w:rPr>
        <w:tab/>
      </w:r>
      <w:r>
        <w:t>OTA receiver intermodulation</w:t>
      </w:r>
      <w:r>
        <w:tab/>
      </w:r>
      <w:r>
        <w:fldChar w:fldCharType="begin"/>
      </w:r>
      <w:r>
        <w:instrText xml:space="preserve"> PAGEREF _Toc106184192 \h </w:instrText>
      </w:r>
      <w:r>
        <w:fldChar w:fldCharType="separate"/>
      </w:r>
      <w:r>
        <w:t>145</w:t>
      </w:r>
      <w:r>
        <w:fldChar w:fldCharType="end"/>
      </w:r>
    </w:p>
    <w:p w14:paraId="5C5F701C" w14:textId="173584FE" w:rsidR="003C625C" w:rsidRDefault="003C625C">
      <w:pPr>
        <w:pStyle w:val="TOC3"/>
        <w:rPr>
          <w:rFonts w:asciiTheme="minorHAnsi" w:eastAsiaTheme="minorEastAsia" w:hAnsiTheme="minorHAnsi" w:cstheme="minorBidi"/>
          <w:sz w:val="22"/>
          <w:szCs w:val="22"/>
        </w:rPr>
      </w:pPr>
      <w:r>
        <w:t>10.8.1</w:t>
      </w:r>
      <w:r>
        <w:rPr>
          <w:rFonts w:asciiTheme="minorHAnsi" w:eastAsiaTheme="minorEastAsia" w:hAnsiTheme="minorHAnsi" w:cstheme="minorBidi"/>
          <w:sz w:val="22"/>
          <w:szCs w:val="22"/>
        </w:rPr>
        <w:tab/>
      </w:r>
      <w:r w:rsidRPr="00DD4EB8">
        <w:rPr>
          <w:rFonts w:eastAsia="SimSun"/>
          <w:lang w:val="en-US" w:eastAsia="zh-CN"/>
        </w:rPr>
        <w:t>General</w:t>
      </w:r>
      <w:r>
        <w:tab/>
      </w:r>
      <w:r>
        <w:fldChar w:fldCharType="begin"/>
      </w:r>
      <w:r>
        <w:instrText xml:space="preserve"> PAGEREF _Toc106184193 \h </w:instrText>
      </w:r>
      <w:r>
        <w:fldChar w:fldCharType="separate"/>
      </w:r>
      <w:r>
        <w:t>145</w:t>
      </w:r>
      <w:r>
        <w:fldChar w:fldCharType="end"/>
      </w:r>
    </w:p>
    <w:p w14:paraId="545CD02A" w14:textId="5F5F9E47" w:rsidR="003C625C" w:rsidRDefault="003C625C">
      <w:pPr>
        <w:pStyle w:val="TOC3"/>
        <w:rPr>
          <w:rFonts w:asciiTheme="minorHAnsi" w:eastAsiaTheme="minorEastAsia" w:hAnsiTheme="minorHAnsi" w:cstheme="minorBidi"/>
          <w:sz w:val="22"/>
          <w:szCs w:val="22"/>
        </w:rPr>
      </w:pPr>
      <w:r>
        <w:t>10.8.2</w:t>
      </w:r>
      <w:r>
        <w:rPr>
          <w:rFonts w:asciiTheme="minorHAnsi" w:eastAsiaTheme="minorEastAsia" w:hAnsiTheme="minorHAnsi" w:cstheme="minorBidi"/>
          <w:sz w:val="22"/>
          <w:szCs w:val="22"/>
        </w:rPr>
        <w:tab/>
      </w:r>
      <w:r w:rsidRPr="00DD4EB8">
        <w:rPr>
          <w:rFonts w:eastAsia="SimSun"/>
          <w:lang w:val="en-US" w:eastAsia="zh-CN"/>
        </w:rPr>
        <w:t>Minimum requirement for</w:t>
      </w:r>
      <w:r>
        <w:t xml:space="preserve"> </w:t>
      </w:r>
      <w:r w:rsidRPr="00DD4EB8">
        <w:rPr>
          <w:i/>
          <w:iCs/>
        </w:rPr>
        <w:t xml:space="preserve">IAB-DU </w:t>
      </w:r>
      <w:r w:rsidRPr="00DD4EB8">
        <w:rPr>
          <w:rFonts w:eastAsia="SimSun"/>
          <w:i/>
          <w:iCs/>
          <w:lang w:val="en-US" w:eastAsia="zh-CN"/>
        </w:rPr>
        <w:t>type 1-O</w:t>
      </w:r>
      <w:r>
        <w:tab/>
      </w:r>
      <w:r>
        <w:fldChar w:fldCharType="begin"/>
      </w:r>
      <w:r>
        <w:instrText xml:space="preserve"> PAGEREF _Toc106184194 \h </w:instrText>
      </w:r>
      <w:r>
        <w:fldChar w:fldCharType="separate"/>
      </w:r>
      <w:r>
        <w:t>145</w:t>
      </w:r>
      <w:r>
        <w:fldChar w:fldCharType="end"/>
      </w:r>
    </w:p>
    <w:p w14:paraId="07AACDFA" w14:textId="271FC661" w:rsidR="003C625C" w:rsidRDefault="003C625C">
      <w:pPr>
        <w:pStyle w:val="TOC3"/>
        <w:rPr>
          <w:rFonts w:asciiTheme="minorHAnsi" w:eastAsiaTheme="minorEastAsia" w:hAnsiTheme="minorHAnsi" w:cstheme="minorBidi"/>
          <w:sz w:val="22"/>
          <w:szCs w:val="22"/>
        </w:rPr>
      </w:pPr>
      <w:r>
        <w:t>10.8.3</w:t>
      </w:r>
      <w:r>
        <w:rPr>
          <w:rFonts w:asciiTheme="minorHAnsi" w:eastAsiaTheme="minorEastAsia" w:hAnsiTheme="minorHAnsi" w:cstheme="minorBidi"/>
          <w:sz w:val="22"/>
          <w:szCs w:val="22"/>
        </w:rPr>
        <w:tab/>
      </w:r>
      <w:r w:rsidRPr="00DD4EB8">
        <w:rPr>
          <w:rFonts w:eastAsia="SimSun"/>
          <w:lang w:val="en-US" w:eastAsia="zh-CN"/>
        </w:rPr>
        <w:t>Minimum requirement for</w:t>
      </w:r>
      <w:r>
        <w:t xml:space="preserve"> </w:t>
      </w:r>
      <w:r w:rsidRPr="00DD4EB8">
        <w:rPr>
          <w:i/>
          <w:iCs/>
        </w:rPr>
        <w:t xml:space="preserve">IAB-DU </w:t>
      </w:r>
      <w:r w:rsidRPr="00DD4EB8">
        <w:rPr>
          <w:rFonts w:eastAsia="SimSun"/>
          <w:i/>
          <w:iCs/>
          <w:lang w:val="en-US" w:eastAsia="zh-CN"/>
        </w:rPr>
        <w:t>type 2-O</w:t>
      </w:r>
      <w:r>
        <w:tab/>
      </w:r>
      <w:r>
        <w:fldChar w:fldCharType="begin"/>
      </w:r>
      <w:r>
        <w:instrText xml:space="preserve"> PAGEREF _Toc106184195 \h </w:instrText>
      </w:r>
      <w:r>
        <w:fldChar w:fldCharType="separate"/>
      </w:r>
      <w:r>
        <w:t>145</w:t>
      </w:r>
      <w:r>
        <w:fldChar w:fldCharType="end"/>
      </w:r>
    </w:p>
    <w:p w14:paraId="3EACA6D1" w14:textId="4D48CE87" w:rsidR="003C625C" w:rsidRDefault="003C625C">
      <w:pPr>
        <w:pStyle w:val="TOC3"/>
        <w:rPr>
          <w:rFonts w:asciiTheme="minorHAnsi" w:eastAsiaTheme="minorEastAsia" w:hAnsiTheme="minorHAnsi" w:cstheme="minorBidi"/>
          <w:sz w:val="22"/>
          <w:szCs w:val="22"/>
        </w:rPr>
      </w:pPr>
      <w:r>
        <w:t>10.8.4</w:t>
      </w:r>
      <w:r>
        <w:rPr>
          <w:rFonts w:asciiTheme="minorHAnsi" w:eastAsiaTheme="minorEastAsia" w:hAnsiTheme="minorHAnsi" w:cstheme="minorBidi"/>
          <w:sz w:val="22"/>
          <w:szCs w:val="22"/>
        </w:rPr>
        <w:tab/>
      </w:r>
      <w:r w:rsidRPr="00DD4EB8">
        <w:rPr>
          <w:rFonts w:eastAsia="SimSun"/>
          <w:lang w:val="en-US" w:eastAsia="zh-CN"/>
        </w:rPr>
        <w:t>Minimum requirement for</w:t>
      </w:r>
      <w:r>
        <w:t xml:space="preserve"> </w:t>
      </w:r>
      <w:r w:rsidRPr="00DD4EB8">
        <w:rPr>
          <w:i/>
          <w:iCs/>
        </w:rPr>
        <w:t>IAB-</w:t>
      </w:r>
      <w:r w:rsidRPr="00DD4EB8">
        <w:rPr>
          <w:rFonts w:eastAsia="SimSun"/>
          <w:i/>
          <w:iCs/>
          <w:lang w:val="en-US" w:eastAsia="zh-CN"/>
        </w:rPr>
        <w:t>MT</w:t>
      </w:r>
      <w:r w:rsidRPr="00DD4EB8">
        <w:rPr>
          <w:i/>
          <w:iCs/>
        </w:rPr>
        <w:t xml:space="preserve"> </w:t>
      </w:r>
      <w:r w:rsidRPr="00DD4EB8">
        <w:rPr>
          <w:rFonts w:eastAsia="SimSun"/>
          <w:i/>
          <w:iCs/>
          <w:lang w:val="en-US" w:eastAsia="zh-CN"/>
        </w:rPr>
        <w:t>type 1-O</w:t>
      </w:r>
      <w:r>
        <w:tab/>
      </w:r>
      <w:r>
        <w:fldChar w:fldCharType="begin"/>
      </w:r>
      <w:r>
        <w:instrText xml:space="preserve"> PAGEREF _Toc106184196 \h </w:instrText>
      </w:r>
      <w:r>
        <w:fldChar w:fldCharType="separate"/>
      </w:r>
      <w:r>
        <w:t>145</w:t>
      </w:r>
      <w:r>
        <w:fldChar w:fldCharType="end"/>
      </w:r>
    </w:p>
    <w:p w14:paraId="00888635" w14:textId="38CF79FA" w:rsidR="003C625C" w:rsidRDefault="003C625C">
      <w:pPr>
        <w:pStyle w:val="TOC2"/>
        <w:rPr>
          <w:rFonts w:asciiTheme="minorHAnsi" w:eastAsiaTheme="minorEastAsia" w:hAnsiTheme="minorHAnsi" w:cstheme="minorBidi"/>
          <w:sz w:val="22"/>
          <w:szCs w:val="22"/>
        </w:rPr>
      </w:pPr>
      <w:r>
        <w:t>10.9</w:t>
      </w:r>
      <w:r>
        <w:rPr>
          <w:rFonts w:asciiTheme="minorHAnsi" w:eastAsiaTheme="minorEastAsia" w:hAnsiTheme="minorHAnsi" w:cstheme="minorBidi"/>
          <w:sz w:val="22"/>
          <w:szCs w:val="22"/>
        </w:rPr>
        <w:tab/>
      </w:r>
      <w:r>
        <w:t>OTA in-channel selectivity</w:t>
      </w:r>
      <w:r>
        <w:tab/>
      </w:r>
      <w:r>
        <w:fldChar w:fldCharType="begin"/>
      </w:r>
      <w:r>
        <w:instrText xml:space="preserve"> PAGEREF _Toc106184197 \h </w:instrText>
      </w:r>
      <w:r>
        <w:fldChar w:fldCharType="separate"/>
      </w:r>
      <w:r>
        <w:t>145</w:t>
      </w:r>
      <w:r>
        <w:fldChar w:fldCharType="end"/>
      </w:r>
    </w:p>
    <w:p w14:paraId="10915069" w14:textId="76F003F9" w:rsidR="003C625C" w:rsidRDefault="003C625C">
      <w:pPr>
        <w:pStyle w:val="TOC3"/>
        <w:rPr>
          <w:rFonts w:asciiTheme="minorHAnsi" w:eastAsiaTheme="minorEastAsia" w:hAnsiTheme="minorHAnsi" w:cstheme="minorBidi"/>
          <w:sz w:val="22"/>
          <w:szCs w:val="22"/>
        </w:rPr>
      </w:pPr>
      <w:r>
        <w:t>10.9.1</w:t>
      </w:r>
      <w:r>
        <w:rPr>
          <w:rFonts w:asciiTheme="minorHAnsi" w:eastAsiaTheme="minorEastAsia" w:hAnsiTheme="minorHAnsi" w:cstheme="minorBidi"/>
          <w:sz w:val="22"/>
          <w:szCs w:val="22"/>
        </w:rPr>
        <w:tab/>
      </w:r>
      <w:r w:rsidRPr="00DD4EB8">
        <w:rPr>
          <w:rFonts w:eastAsia="SimSun"/>
          <w:lang w:val="en-US" w:eastAsia="zh-CN"/>
        </w:rPr>
        <w:t>General</w:t>
      </w:r>
      <w:r>
        <w:tab/>
      </w:r>
      <w:r>
        <w:fldChar w:fldCharType="begin"/>
      </w:r>
      <w:r>
        <w:instrText xml:space="preserve"> PAGEREF _Toc106184198 \h </w:instrText>
      </w:r>
      <w:r>
        <w:fldChar w:fldCharType="separate"/>
      </w:r>
      <w:r>
        <w:t>145</w:t>
      </w:r>
      <w:r>
        <w:fldChar w:fldCharType="end"/>
      </w:r>
    </w:p>
    <w:p w14:paraId="31C6859E" w14:textId="1340C5AE" w:rsidR="003C625C" w:rsidRDefault="003C625C">
      <w:pPr>
        <w:pStyle w:val="TOC3"/>
        <w:rPr>
          <w:rFonts w:asciiTheme="minorHAnsi" w:eastAsiaTheme="minorEastAsia" w:hAnsiTheme="minorHAnsi" w:cstheme="minorBidi"/>
          <w:sz w:val="22"/>
          <w:szCs w:val="22"/>
        </w:rPr>
      </w:pPr>
      <w:r>
        <w:t>10.9.2</w:t>
      </w:r>
      <w:r>
        <w:rPr>
          <w:rFonts w:asciiTheme="minorHAnsi" w:eastAsiaTheme="minorEastAsia" w:hAnsiTheme="minorHAnsi" w:cstheme="minorBidi"/>
          <w:sz w:val="22"/>
          <w:szCs w:val="22"/>
        </w:rPr>
        <w:tab/>
      </w:r>
      <w:r w:rsidRPr="00DD4EB8">
        <w:rPr>
          <w:rFonts w:eastAsia="SimSun"/>
          <w:lang w:val="en-US" w:eastAsia="zh-CN"/>
        </w:rPr>
        <w:t xml:space="preserve">Minimum requirement for </w:t>
      </w:r>
      <w:r w:rsidRPr="00DD4EB8">
        <w:rPr>
          <w:rFonts w:eastAsia="SimSun"/>
          <w:i/>
          <w:iCs/>
          <w:lang w:val="en-US" w:eastAsia="zh-CN"/>
        </w:rPr>
        <w:t xml:space="preserve">IAB-DU </w:t>
      </w:r>
      <w:r w:rsidRPr="00DD4EB8">
        <w:rPr>
          <w:rFonts w:eastAsia="SimSun"/>
          <w:lang w:val="en-US" w:eastAsia="zh-CN"/>
        </w:rPr>
        <w:t>type 1-O</w:t>
      </w:r>
      <w:r>
        <w:tab/>
      </w:r>
      <w:r>
        <w:fldChar w:fldCharType="begin"/>
      </w:r>
      <w:r>
        <w:instrText xml:space="preserve"> PAGEREF _Toc106184199 \h </w:instrText>
      </w:r>
      <w:r>
        <w:fldChar w:fldCharType="separate"/>
      </w:r>
      <w:r>
        <w:t>146</w:t>
      </w:r>
      <w:r>
        <w:fldChar w:fldCharType="end"/>
      </w:r>
    </w:p>
    <w:p w14:paraId="2800C997" w14:textId="09158A5F" w:rsidR="003C625C" w:rsidRDefault="003C625C">
      <w:pPr>
        <w:pStyle w:val="TOC3"/>
        <w:rPr>
          <w:rFonts w:asciiTheme="minorHAnsi" w:eastAsiaTheme="minorEastAsia" w:hAnsiTheme="minorHAnsi" w:cstheme="minorBidi"/>
          <w:sz w:val="22"/>
          <w:szCs w:val="22"/>
        </w:rPr>
      </w:pPr>
      <w:r>
        <w:t>10.9.</w:t>
      </w:r>
      <w:r w:rsidRPr="00DD4EB8">
        <w:rPr>
          <w:rFonts w:eastAsia="SimSun"/>
          <w:lang w:val="en-US" w:eastAsia="zh-CN"/>
        </w:rPr>
        <w:t>3</w:t>
      </w:r>
      <w:r>
        <w:rPr>
          <w:rFonts w:asciiTheme="minorHAnsi" w:eastAsiaTheme="minorEastAsia" w:hAnsiTheme="minorHAnsi" w:cstheme="minorBidi"/>
          <w:sz w:val="22"/>
          <w:szCs w:val="22"/>
        </w:rPr>
        <w:tab/>
      </w:r>
      <w:r w:rsidRPr="00DD4EB8">
        <w:rPr>
          <w:rFonts w:eastAsia="SimSun"/>
          <w:lang w:val="en-US" w:eastAsia="zh-CN"/>
        </w:rPr>
        <w:t xml:space="preserve">Minimum requirement for </w:t>
      </w:r>
      <w:r w:rsidRPr="00DD4EB8">
        <w:rPr>
          <w:rFonts w:eastAsia="SimSun"/>
          <w:i/>
          <w:iCs/>
          <w:lang w:val="en-US" w:eastAsia="zh-CN"/>
        </w:rPr>
        <w:t>IAB-DU type 2-O</w:t>
      </w:r>
      <w:r>
        <w:tab/>
      </w:r>
      <w:r>
        <w:fldChar w:fldCharType="begin"/>
      </w:r>
      <w:r>
        <w:instrText xml:space="preserve"> PAGEREF _Toc106184200 \h </w:instrText>
      </w:r>
      <w:r>
        <w:fldChar w:fldCharType="separate"/>
      </w:r>
      <w:r>
        <w:t>146</w:t>
      </w:r>
      <w:r>
        <w:fldChar w:fldCharType="end"/>
      </w:r>
    </w:p>
    <w:p w14:paraId="4142771E" w14:textId="060DCDF6" w:rsidR="003C625C" w:rsidRDefault="003C625C">
      <w:pPr>
        <w:pStyle w:val="TOC1"/>
        <w:rPr>
          <w:rFonts w:asciiTheme="minorHAnsi" w:eastAsiaTheme="minorEastAsia" w:hAnsiTheme="minorHAnsi" w:cstheme="minorBidi"/>
          <w:szCs w:val="22"/>
        </w:rPr>
      </w:pPr>
      <w:r>
        <w:t>11</w:t>
      </w:r>
      <w:r>
        <w:rPr>
          <w:rFonts w:asciiTheme="minorHAnsi" w:eastAsiaTheme="minorEastAsia" w:hAnsiTheme="minorHAnsi" w:cstheme="minorBidi"/>
          <w:szCs w:val="22"/>
        </w:rPr>
        <w:tab/>
      </w:r>
      <w:r>
        <w:t>Radiated performance requirements</w:t>
      </w:r>
      <w:r>
        <w:tab/>
      </w:r>
      <w:r>
        <w:fldChar w:fldCharType="begin"/>
      </w:r>
      <w:r>
        <w:instrText xml:space="preserve"> PAGEREF _Toc106184201 \h </w:instrText>
      </w:r>
      <w:r>
        <w:fldChar w:fldCharType="separate"/>
      </w:r>
      <w:r>
        <w:t>146</w:t>
      </w:r>
      <w:r>
        <w:fldChar w:fldCharType="end"/>
      </w:r>
    </w:p>
    <w:p w14:paraId="2DE08025" w14:textId="7A67C67D" w:rsidR="003C625C" w:rsidRDefault="003C625C">
      <w:pPr>
        <w:pStyle w:val="TOC2"/>
        <w:rPr>
          <w:rFonts w:asciiTheme="minorHAnsi" w:eastAsiaTheme="minorEastAsia" w:hAnsiTheme="minorHAnsi" w:cstheme="minorBidi"/>
          <w:sz w:val="22"/>
          <w:szCs w:val="22"/>
        </w:rPr>
      </w:pPr>
      <w:r>
        <w:t>11.1</w:t>
      </w:r>
      <w:r>
        <w:rPr>
          <w:rFonts w:asciiTheme="minorHAnsi" w:eastAsiaTheme="minorEastAsia" w:hAnsiTheme="minorHAnsi" w:cstheme="minorBidi"/>
          <w:sz w:val="22"/>
          <w:szCs w:val="22"/>
        </w:rPr>
        <w:tab/>
      </w:r>
      <w:r>
        <w:t>IAB-DU performance requirements</w:t>
      </w:r>
      <w:r>
        <w:tab/>
      </w:r>
      <w:r>
        <w:fldChar w:fldCharType="begin"/>
      </w:r>
      <w:r>
        <w:instrText xml:space="preserve"> PAGEREF _Toc106184202 \h </w:instrText>
      </w:r>
      <w:r>
        <w:fldChar w:fldCharType="separate"/>
      </w:r>
      <w:r>
        <w:t>146</w:t>
      </w:r>
      <w:r>
        <w:fldChar w:fldCharType="end"/>
      </w:r>
    </w:p>
    <w:p w14:paraId="18A0DD1E" w14:textId="54DAF811" w:rsidR="003C625C" w:rsidRDefault="003C625C">
      <w:pPr>
        <w:pStyle w:val="TOC3"/>
        <w:rPr>
          <w:rFonts w:asciiTheme="minorHAnsi" w:eastAsiaTheme="minorEastAsia" w:hAnsiTheme="minorHAnsi" w:cstheme="minorBidi"/>
          <w:sz w:val="22"/>
          <w:szCs w:val="22"/>
        </w:rPr>
      </w:pPr>
      <w:r>
        <w:rPr>
          <w:lang w:eastAsia="zh-CN"/>
        </w:rPr>
        <w:t>11.1.1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_Toc106184203 \h </w:instrText>
      </w:r>
      <w:r>
        <w:fldChar w:fldCharType="separate"/>
      </w:r>
      <w:r>
        <w:t>146</w:t>
      </w:r>
      <w:r>
        <w:fldChar w:fldCharType="end"/>
      </w:r>
    </w:p>
    <w:p w14:paraId="6E4F7AEC" w14:textId="14640377" w:rsidR="003C625C" w:rsidRDefault="003C625C">
      <w:pPr>
        <w:pStyle w:val="TOC3"/>
        <w:rPr>
          <w:rFonts w:asciiTheme="minorHAnsi" w:eastAsiaTheme="minorEastAsia" w:hAnsiTheme="minorHAnsi" w:cstheme="minorBidi"/>
          <w:sz w:val="22"/>
          <w:szCs w:val="22"/>
        </w:rPr>
      </w:pPr>
      <w:r>
        <w:rPr>
          <w:lang w:eastAsia="zh-CN"/>
        </w:rPr>
        <w:t>11.1.2</w:t>
      </w:r>
      <w:r>
        <w:rPr>
          <w:rFonts w:asciiTheme="minorHAnsi" w:eastAsiaTheme="minorEastAsia" w:hAnsiTheme="minorHAnsi" w:cstheme="minorBidi"/>
          <w:sz w:val="22"/>
          <w:szCs w:val="22"/>
        </w:rPr>
        <w:tab/>
      </w:r>
      <w:r>
        <w:rPr>
          <w:lang w:eastAsia="zh-CN"/>
        </w:rPr>
        <w:t>OTA demodulation branches</w:t>
      </w:r>
      <w:r>
        <w:tab/>
      </w:r>
      <w:r>
        <w:fldChar w:fldCharType="begin"/>
      </w:r>
      <w:r>
        <w:instrText xml:space="preserve"> PAGEREF _Toc106184204 \h </w:instrText>
      </w:r>
      <w:r>
        <w:fldChar w:fldCharType="separate"/>
      </w:r>
      <w:r>
        <w:t>147</w:t>
      </w:r>
      <w:r>
        <w:fldChar w:fldCharType="end"/>
      </w:r>
    </w:p>
    <w:p w14:paraId="7A2BA452" w14:textId="60406C91" w:rsidR="003C625C" w:rsidRDefault="003C625C">
      <w:pPr>
        <w:pStyle w:val="TOC3"/>
        <w:rPr>
          <w:rFonts w:asciiTheme="minorHAnsi" w:eastAsiaTheme="minorEastAsia" w:hAnsiTheme="minorHAnsi" w:cstheme="minorBidi"/>
          <w:sz w:val="22"/>
          <w:szCs w:val="22"/>
        </w:rPr>
      </w:pPr>
      <w:r>
        <w:rPr>
          <w:lang w:eastAsia="zh-CN"/>
        </w:rPr>
        <w:t>11.1.2</w:t>
      </w:r>
      <w:r>
        <w:rPr>
          <w:rFonts w:asciiTheme="minorHAnsi" w:eastAsiaTheme="minorEastAsia" w:hAnsiTheme="minorHAnsi" w:cstheme="minorBidi"/>
          <w:sz w:val="22"/>
          <w:szCs w:val="22"/>
        </w:rPr>
        <w:tab/>
      </w:r>
      <w:r w:rsidRPr="00DD4EB8">
        <w:rPr>
          <w:lang w:val="sv-SE" w:eastAsia="zh-CN"/>
        </w:rPr>
        <w:t>Performance requirements for PUSCH</w:t>
      </w:r>
      <w:r>
        <w:tab/>
      </w:r>
      <w:r>
        <w:fldChar w:fldCharType="begin"/>
      </w:r>
      <w:r>
        <w:instrText xml:space="preserve"> PAGEREF _Toc106184205 \h </w:instrText>
      </w:r>
      <w:r>
        <w:fldChar w:fldCharType="separate"/>
      </w:r>
      <w:r>
        <w:t>147</w:t>
      </w:r>
      <w:r>
        <w:fldChar w:fldCharType="end"/>
      </w:r>
    </w:p>
    <w:p w14:paraId="774BCFE7" w14:textId="5B01DB5E" w:rsidR="003C625C" w:rsidRDefault="003C625C">
      <w:pPr>
        <w:pStyle w:val="TOC4"/>
        <w:rPr>
          <w:rFonts w:asciiTheme="minorHAnsi" w:eastAsiaTheme="minorEastAsia" w:hAnsiTheme="minorHAnsi" w:cstheme="minorBidi"/>
          <w:sz w:val="22"/>
          <w:szCs w:val="22"/>
        </w:rPr>
      </w:pPr>
      <w:r>
        <w:t>11.1.</w:t>
      </w:r>
      <w:r w:rsidRPr="00DD4EB8">
        <w:rPr>
          <w:rFonts w:eastAsia="DengXian"/>
          <w:lang w:eastAsia="zh-CN"/>
        </w:rPr>
        <w:t>2</w:t>
      </w:r>
      <w:r>
        <w:t>.1</w:t>
      </w:r>
      <w:r>
        <w:rPr>
          <w:rFonts w:asciiTheme="minorHAnsi" w:eastAsiaTheme="minorEastAsia" w:hAnsiTheme="minorHAnsi" w:cstheme="minorBidi"/>
          <w:sz w:val="22"/>
          <w:szCs w:val="22"/>
        </w:rPr>
        <w:tab/>
      </w:r>
      <w:r>
        <w:t xml:space="preserve">Performance requirements for </w:t>
      </w:r>
      <w:r w:rsidRPr="00DD4EB8">
        <w:rPr>
          <w:i/>
        </w:rPr>
        <w:t>IAB type 1-O</w:t>
      </w:r>
      <w:r>
        <w:tab/>
      </w:r>
      <w:r>
        <w:fldChar w:fldCharType="begin"/>
      </w:r>
      <w:r>
        <w:instrText xml:space="preserve"> PAGEREF _Toc106184206 \h </w:instrText>
      </w:r>
      <w:r>
        <w:fldChar w:fldCharType="separate"/>
      </w:r>
      <w:r>
        <w:t>147</w:t>
      </w:r>
      <w:r>
        <w:fldChar w:fldCharType="end"/>
      </w:r>
    </w:p>
    <w:p w14:paraId="3273C356" w14:textId="3D130BC4" w:rsidR="003C625C" w:rsidRDefault="003C625C">
      <w:pPr>
        <w:pStyle w:val="TOC5"/>
        <w:rPr>
          <w:rFonts w:asciiTheme="minorHAnsi" w:eastAsiaTheme="minorEastAsia" w:hAnsiTheme="minorHAnsi" w:cstheme="minorBidi"/>
          <w:sz w:val="22"/>
          <w:szCs w:val="22"/>
        </w:rPr>
      </w:pPr>
      <w:r>
        <w:t>11.1.2.1.1</w:t>
      </w:r>
      <w:r>
        <w:rPr>
          <w:rFonts w:asciiTheme="minorHAnsi" w:eastAsiaTheme="minorEastAsia" w:hAnsiTheme="minorHAnsi" w:cstheme="minorBidi"/>
          <w:sz w:val="22"/>
          <w:szCs w:val="22"/>
        </w:rPr>
        <w:tab/>
      </w:r>
      <w:r>
        <w:t>Performance requirements for PUSCH with transform precoding disabled</w:t>
      </w:r>
      <w:r>
        <w:tab/>
      </w:r>
      <w:r>
        <w:fldChar w:fldCharType="begin"/>
      </w:r>
      <w:r>
        <w:instrText xml:space="preserve"> PAGEREF _Toc106184207 \h </w:instrText>
      </w:r>
      <w:r>
        <w:fldChar w:fldCharType="separate"/>
      </w:r>
      <w:r>
        <w:t>147</w:t>
      </w:r>
      <w:r>
        <w:fldChar w:fldCharType="end"/>
      </w:r>
    </w:p>
    <w:p w14:paraId="1E197BCF" w14:textId="14550D25" w:rsidR="003C625C" w:rsidRDefault="003C625C">
      <w:pPr>
        <w:pStyle w:val="TOC5"/>
        <w:rPr>
          <w:rFonts w:asciiTheme="minorHAnsi" w:eastAsiaTheme="minorEastAsia" w:hAnsiTheme="minorHAnsi" w:cstheme="minorBidi"/>
          <w:sz w:val="22"/>
          <w:szCs w:val="22"/>
        </w:rPr>
      </w:pPr>
      <w:r>
        <w:rPr>
          <w:lang w:eastAsia="ko-KR"/>
        </w:rPr>
        <w:t>11.1.2.</w:t>
      </w:r>
      <w:r>
        <w:rPr>
          <w:lang w:eastAsia="zh-CN"/>
        </w:rPr>
        <w:t>1</w:t>
      </w:r>
      <w:r>
        <w:rPr>
          <w:lang w:eastAsia="ko-KR"/>
        </w:rPr>
        <w:t>.</w:t>
      </w:r>
      <w:r>
        <w:rPr>
          <w:lang w:eastAsia="zh-CN"/>
        </w:rPr>
        <w:t>2</w:t>
      </w:r>
      <w:r>
        <w:rPr>
          <w:rFonts w:asciiTheme="minorHAnsi" w:eastAsiaTheme="minorEastAsia" w:hAnsiTheme="minorHAnsi" w:cstheme="minorBidi"/>
          <w:sz w:val="22"/>
          <w:szCs w:val="22"/>
        </w:rPr>
        <w:tab/>
      </w:r>
      <w:r>
        <w:rPr>
          <w:lang w:eastAsia="ko-KR"/>
        </w:rPr>
        <w:t>Performance requirmements for PUSCH with transform precoding enabled</w:t>
      </w:r>
      <w:r>
        <w:tab/>
      </w:r>
      <w:r>
        <w:fldChar w:fldCharType="begin"/>
      </w:r>
      <w:r>
        <w:instrText xml:space="preserve"> PAGEREF _Toc106184208 \h </w:instrText>
      </w:r>
      <w:r>
        <w:fldChar w:fldCharType="separate"/>
      </w:r>
      <w:r>
        <w:t>147</w:t>
      </w:r>
      <w:r>
        <w:fldChar w:fldCharType="end"/>
      </w:r>
    </w:p>
    <w:p w14:paraId="52AF6534" w14:textId="0E79A557" w:rsidR="003C625C" w:rsidRDefault="003C625C">
      <w:pPr>
        <w:pStyle w:val="TOC5"/>
        <w:rPr>
          <w:rFonts w:asciiTheme="minorHAnsi" w:eastAsiaTheme="minorEastAsia" w:hAnsiTheme="minorHAnsi" w:cstheme="minorBidi"/>
          <w:sz w:val="22"/>
          <w:szCs w:val="22"/>
        </w:rPr>
      </w:pPr>
      <w:r>
        <w:rPr>
          <w:lang w:eastAsia="ko-KR"/>
        </w:rPr>
        <w:t>11.1.2.</w:t>
      </w:r>
      <w:r>
        <w:rPr>
          <w:lang w:eastAsia="zh-CN"/>
        </w:rPr>
        <w:t>1</w:t>
      </w:r>
      <w:r>
        <w:rPr>
          <w:lang w:eastAsia="ko-KR"/>
        </w:rPr>
        <w:t>.</w:t>
      </w:r>
      <w:r>
        <w:rPr>
          <w:lang w:eastAsia="zh-CN"/>
        </w:rPr>
        <w:t>3</w:t>
      </w:r>
      <w:r>
        <w:rPr>
          <w:rFonts w:asciiTheme="minorHAnsi" w:eastAsiaTheme="minorEastAsia" w:hAnsiTheme="minorHAnsi" w:cstheme="minorBidi"/>
          <w:sz w:val="22"/>
          <w:szCs w:val="22"/>
        </w:rPr>
        <w:tab/>
      </w:r>
      <w:r>
        <w:rPr>
          <w:lang w:eastAsia="ko-KR"/>
        </w:rPr>
        <w:t>Performance requirements for UCI multiplexed on PUSCH</w:t>
      </w:r>
      <w:r>
        <w:tab/>
      </w:r>
      <w:r>
        <w:fldChar w:fldCharType="begin"/>
      </w:r>
      <w:r>
        <w:instrText xml:space="preserve"> PAGEREF _Toc106184209 \h </w:instrText>
      </w:r>
      <w:r>
        <w:fldChar w:fldCharType="separate"/>
      </w:r>
      <w:r>
        <w:t>147</w:t>
      </w:r>
      <w:r>
        <w:fldChar w:fldCharType="end"/>
      </w:r>
    </w:p>
    <w:p w14:paraId="2DCA4DCA" w14:textId="05100115" w:rsidR="003C625C" w:rsidRDefault="003C625C">
      <w:pPr>
        <w:pStyle w:val="TOC4"/>
        <w:rPr>
          <w:rFonts w:asciiTheme="minorHAnsi" w:eastAsiaTheme="minorEastAsia" w:hAnsiTheme="minorHAnsi" w:cstheme="minorBidi"/>
          <w:sz w:val="22"/>
          <w:szCs w:val="22"/>
        </w:rPr>
      </w:pPr>
      <w:r>
        <w:t>11.1.</w:t>
      </w:r>
      <w:r w:rsidRPr="00DD4EB8">
        <w:rPr>
          <w:rFonts w:eastAsia="DengXian"/>
          <w:lang w:eastAsia="zh-CN"/>
        </w:rPr>
        <w:t>2</w:t>
      </w:r>
      <w:r>
        <w:t>.2</w:t>
      </w:r>
      <w:r>
        <w:rPr>
          <w:rFonts w:asciiTheme="minorHAnsi" w:eastAsiaTheme="minorEastAsia" w:hAnsiTheme="minorHAnsi" w:cstheme="minorBidi"/>
          <w:sz w:val="22"/>
          <w:szCs w:val="22"/>
        </w:rPr>
        <w:tab/>
      </w:r>
      <w:r>
        <w:t>Performance requirements for IAB type 2-O</w:t>
      </w:r>
      <w:r>
        <w:tab/>
      </w:r>
      <w:r>
        <w:fldChar w:fldCharType="begin"/>
      </w:r>
      <w:r>
        <w:instrText xml:space="preserve"> PAGEREF _Toc106184210 \h </w:instrText>
      </w:r>
      <w:r>
        <w:fldChar w:fldCharType="separate"/>
      </w:r>
      <w:r>
        <w:t>147</w:t>
      </w:r>
      <w:r>
        <w:fldChar w:fldCharType="end"/>
      </w:r>
    </w:p>
    <w:p w14:paraId="45170650" w14:textId="0C21A911" w:rsidR="003C625C" w:rsidRDefault="003C625C">
      <w:pPr>
        <w:pStyle w:val="TOC5"/>
        <w:rPr>
          <w:rFonts w:asciiTheme="minorHAnsi" w:eastAsiaTheme="minorEastAsia" w:hAnsiTheme="minorHAnsi" w:cstheme="minorBidi"/>
          <w:sz w:val="22"/>
          <w:szCs w:val="22"/>
        </w:rPr>
      </w:pPr>
      <w:r>
        <w:t>11.1.2.2.1</w:t>
      </w:r>
      <w:r>
        <w:rPr>
          <w:rFonts w:asciiTheme="minorHAnsi" w:eastAsiaTheme="minorEastAsia" w:hAnsiTheme="minorHAnsi" w:cstheme="minorBidi"/>
          <w:sz w:val="22"/>
          <w:szCs w:val="22"/>
        </w:rPr>
        <w:tab/>
      </w:r>
      <w:r>
        <w:t>Performance requirmements for PUSCH with transform precoding disabled</w:t>
      </w:r>
      <w:r>
        <w:tab/>
      </w:r>
      <w:r>
        <w:fldChar w:fldCharType="begin"/>
      </w:r>
      <w:r>
        <w:instrText xml:space="preserve"> PAGEREF _Toc106184211 \h </w:instrText>
      </w:r>
      <w:r>
        <w:fldChar w:fldCharType="separate"/>
      </w:r>
      <w:r>
        <w:t>147</w:t>
      </w:r>
      <w:r>
        <w:fldChar w:fldCharType="end"/>
      </w:r>
    </w:p>
    <w:p w14:paraId="1F5A134A" w14:textId="3F4BB3E2" w:rsidR="003C625C" w:rsidRDefault="003C625C">
      <w:pPr>
        <w:pStyle w:val="TOC5"/>
        <w:rPr>
          <w:rFonts w:asciiTheme="minorHAnsi" w:eastAsiaTheme="minorEastAsia" w:hAnsiTheme="minorHAnsi" w:cstheme="minorBidi"/>
          <w:sz w:val="22"/>
          <w:szCs w:val="22"/>
        </w:rPr>
      </w:pPr>
      <w:r>
        <w:rPr>
          <w:lang w:eastAsia="ko-KR"/>
        </w:rPr>
        <w:t>11.1.2.</w:t>
      </w:r>
      <w:r>
        <w:rPr>
          <w:lang w:eastAsia="zh-CN"/>
        </w:rPr>
        <w:t>2</w:t>
      </w:r>
      <w:r>
        <w:rPr>
          <w:lang w:eastAsia="ko-KR"/>
        </w:rPr>
        <w:t>.</w:t>
      </w:r>
      <w:r>
        <w:rPr>
          <w:lang w:eastAsia="zh-CN"/>
        </w:rPr>
        <w:t>2</w:t>
      </w:r>
      <w:r>
        <w:rPr>
          <w:rFonts w:asciiTheme="minorHAnsi" w:eastAsiaTheme="minorEastAsia" w:hAnsiTheme="minorHAnsi" w:cstheme="minorBidi"/>
          <w:sz w:val="22"/>
          <w:szCs w:val="22"/>
        </w:rPr>
        <w:tab/>
      </w:r>
      <w:r>
        <w:rPr>
          <w:lang w:eastAsia="ko-KR"/>
        </w:rPr>
        <w:t>Performance requirmements for PUSCH with transform precoding enabled</w:t>
      </w:r>
      <w:r>
        <w:tab/>
      </w:r>
      <w:r>
        <w:fldChar w:fldCharType="begin"/>
      </w:r>
      <w:r>
        <w:instrText xml:space="preserve"> PAGEREF _Toc106184212 \h </w:instrText>
      </w:r>
      <w:r>
        <w:fldChar w:fldCharType="separate"/>
      </w:r>
      <w:r>
        <w:t>150</w:t>
      </w:r>
      <w:r>
        <w:fldChar w:fldCharType="end"/>
      </w:r>
    </w:p>
    <w:p w14:paraId="5DA2CAC2" w14:textId="7ED5D4D6" w:rsidR="003C625C" w:rsidRDefault="003C625C">
      <w:pPr>
        <w:pStyle w:val="TOC5"/>
        <w:rPr>
          <w:rFonts w:asciiTheme="minorHAnsi" w:eastAsiaTheme="minorEastAsia" w:hAnsiTheme="minorHAnsi" w:cstheme="minorBidi"/>
          <w:sz w:val="22"/>
          <w:szCs w:val="22"/>
        </w:rPr>
      </w:pPr>
      <w:r>
        <w:rPr>
          <w:lang w:eastAsia="ko-KR"/>
        </w:rPr>
        <w:t>11.1.2.</w:t>
      </w:r>
      <w:r>
        <w:rPr>
          <w:lang w:eastAsia="zh-CN"/>
        </w:rPr>
        <w:t>2</w:t>
      </w:r>
      <w:r>
        <w:rPr>
          <w:lang w:eastAsia="ko-KR"/>
        </w:rPr>
        <w:t>.</w:t>
      </w:r>
      <w:r>
        <w:rPr>
          <w:lang w:eastAsia="zh-CN"/>
        </w:rPr>
        <w:t>3</w:t>
      </w:r>
      <w:r>
        <w:rPr>
          <w:rFonts w:asciiTheme="minorHAnsi" w:eastAsiaTheme="minorEastAsia" w:hAnsiTheme="minorHAnsi" w:cstheme="minorBidi"/>
          <w:sz w:val="22"/>
          <w:szCs w:val="22"/>
        </w:rPr>
        <w:tab/>
      </w:r>
      <w:r>
        <w:rPr>
          <w:lang w:eastAsia="ko-KR"/>
        </w:rPr>
        <w:t>Performance requirements for UCI multiplexed on PUSCH</w:t>
      </w:r>
      <w:r>
        <w:tab/>
      </w:r>
      <w:r>
        <w:fldChar w:fldCharType="begin"/>
      </w:r>
      <w:r>
        <w:instrText xml:space="preserve"> PAGEREF _Toc106184213 \h </w:instrText>
      </w:r>
      <w:r>
        <w:fldChar w:fldCharType="separate"/>
      </w:r>
      <w:r>
        <w:t>151</w:t>
      </w:r>
      <w:r>
        <w:fldChar w:fldCharType="end"/>
      </w:r>
    </w:p>
    <w:p w14:paraId="49495C41" w14:textId="02CE13AB" w:rsidR="003C625C" w:rsidRDefault="003C625C">
      <w:pPr>
        <w:pStyle w:val="TOC3"/>
        <w:rPr>
          <w:rFonts w:asciiTheme="minorHAnsi" w:eastAsiaTheme="minorEastAsia" w:hAnsiTheme="minorHAnsi" w:cstheme="minorBidi"/>
          <w:sz w:val="22"/>
          <w:szCs w:val="22"/>
        </w:rPr>
      </w:pPr>
      <w:r>
        <w:t>11.1.</w:t>
      </w:r>
      <w:r w:rsidRPr="00DD4EB8">
        <w:rPr>
          <w:rFonts w:eastAsia="DengXian"/>
          <w:lang w:eastAsia="zh-CN"/>
        </w:rPr>
        <w:t>3</w:t>
      </w:r>
      <w:r>
        <w:rPr>
          <w:rFonts w:asciiTheme="minorHAnsi" w:eastAsiaTheme="minorEastAsia" w:hAnsiTheme="minorHAnsi" w:cstheme="minorBidi"/>
          <w:sz w:val="22"/>
          <w:szCs w:val="22"/>
        </w:rPr>
        <w:tab/>
      </w:r>
      <w:r>
        <w:t>Performance requirements for PUCCH</w:t>
      </w:r>
      <w:r>
        <w:tab/>
      </w:r>
      <w:r>
        <w:fldChar w:fldCharType="begin"/>
      </w:r>
      <w:r>
        <w:instrText xml:space="preserve"> PAGEREF _Toc106184214 \h </w:instrText>
      </w:r>
      <w:r>
        <w:fldChar w:fldCharType="separate"/>
      </w:r>
      <w:r>
        <w:t>154</w:t>
      </w:r>
      <w:r>
        <w:fldChar w:fldCharType="end"/>
      </w:r>
    </w:p>
    <w:p w14:paraId="1E64F30C" w14:textId="2DB25650" w:rsidR="003C625C" w:rsidRDefault="003C625C">
      <w:pPr>
        <w:pStyle w:val="TOC4"/>
        <w:rPr>
          <w:rFonts w:asciiTheme="minorHAnsi" w:eastAsiaTheme="minorEastAsia" w:hAnsiTheme="minorHAnsi" w:cstheme="minorBidi"/>
          <w:sz w:val="22"/>
          <w:szCs w:val="22"/>
        </w:rPr>
      </w:pPr>
      <w:r>
        <w:t>11.1.</w:t>
      </w:r>
      <w:r w:rsidRPr="00DD4EB8">
        <w:rPr>
          <w:rFonts w:eastAsia="DengXian"/>
          <w:lang w:eastAsia="zh-CN"/>
        </w:rPr>
        <w:t>3</w:t>
      </w:r>
      <w:r>
        <w:t>.1</w:t>
      </w:r>
      <w:r>
        <w:rPr>
          <w:rFonts w:asciiTheme="minorHAnsi" w:eastAsiaTheme="minorEastAsia" w:hAnsiTheme="minorHAnsi" w:cstheme="minorBidi"/>
          <w:sz w:val="22"/>
          <w:szCs w:val="22"/>
        </w:rPr>
        <w:tab/>
      </w:r>
      <w:r>
        <w:t xml:space="preserve">Performance requirements for </w:t>
      </w:r>
      <w:r w:rsidRPr="00DD4EB8">
        <w:rPr>
          <w:i/>
        </w:rPr>
        <w:t>IAB type 1-O</w:t>
      </w:r>
      <w:r>
        <w:tab/>
      </w:r>
      <w:r>
        <w:fldChar w:fldCharType="begin"/>
      </w:r>
      <w:r>
        <w:instrText xml:space="preserve"> PAGEREF _Toc106184215 \h </w:instrText>
      </w:r>
      <w:r>
        <w:fldChar w:fldCharType="separate"/>
      </w:r>
      <w:r>
        <w:t>154</w:t>
      </w:r>
      <w:r>
        <w:fldChar w:fldCharType="end"/>
      </w:r>
    </w:p>
    <w:p w14:paraId="21CCC723" w14:textId="359C6FE7" w:rsidR="003C625C" w:rsidRDefault="003C625C">
      <w:pPr>
        <w:pStyle w:val="TOC5"/>
        <w:rPr>
          <w:rFonts w:asciiTheme="minorHAnsi" w:eastAsiaTheme="minorEastAsia" w:hAnsiTheme="minorHAnsi" w:cstheme="minorBidi"/>
          <w:sz w:val="22"/>
          <w:szCs w:val="22"/>
        </w:rPr>
      </w:pPr>
      <w:r>
        <w:t>11.1.3.1.1</w:t>
      </w:r>
      <w:r>
        <w:rPr>
          <w:rFonts w:asciiTheme="minorHAnsi" w:eastAsiaTheme="minorEastAsia" w:hAnsiTheme="minorHAnsi" w:cstheme="minorBidi"/>
          <w:sz w:val="22"/>
          <w:szCs w:val="22"/>
        </w:rPr>
        <w:tab/>
      </w:r>
      <w:r>
        <w:t>DTX to ACK probability</w:t>
      </w:r>
      <w:r>
        <w:tab/>
      </w:r>
      <w:r>
        <w:fldChar w:fldCharType="begin"/>
      </w:r>
      <w:r>
        <w:instrText xml:space="preserve"> PAGEREF _Toc106184216 \h </w:instrText>
      </w:r>
      <w:r>
        <w:fldChar w:fldCharType="separate"/>
      </w:r>
      <w:r>
        <w:t>154</w:t>
      </w:r>
      <w:r>
        <w:fldChar w:fldCharType="end"/>
      </w:r>
    </w:p>
    <w:p w14:paraId="480050E6" w14:textId="19B6A57F" w:rsidR="003C625C" w:rsidRDefault="003C625C">
      <w:pPr>
        <w:pStyle w:val="TOC5"/>
        <w:rPr>
          <w:rFonts w:asciiTheme="minorHAnsi" w:eastAsiaTheme="minorEastAsia" w:hAnsiTheme="minorHAnsi" w:cstheme="minorBidi"/>
          <w:sz w:val="22"/>
          <w:szCs w:val="22"/>
        </w:rPr>
      </w:pPr>
      <w:r>
        <w:t>11.1.3.1.2</w:t>
      </w:r>
      <w:r>
        <w:rPr>
          <w:rFonts w:asciiTheme="minorHAnsi" w:eastAsiaTheme="minorEastAsia" w:hAnsiTheme="minorHAnsi" w:cstheme="minorBidi"/>
          <w:sz w:val="22"/>
          <w:szCs w:val="22"/>
        </w:rPr>
        <w:tab/>
      </w:r>
      <w:r>
        <w:t>Performance requirements for PUCCH format 0</w:t>
      </w:r>
      <w:r>
        <w:tab/>
      </w:r>
      <w:r>
        <w:fldChar w:fldCharType="begin"/>
      </w:r>
      <w:r>
        <w:instrText xml:space="preserve"> PAGEREF _Toc106184217 \h </w:instrText>
      </w:r>
      <w:r>
        <w:fldChar w:fldCharType="separate"/>
      </w:r>
      <w:r>
        <w:t>154</w:t>
      </w:r>
      <w:r>
        <w:fldChar w:fldCharType="end"/>
      </w:r>
    </w:p>
    <w:p w14:paraId="4F2C5076" w14:textId="28F45DAB" w:rsidR="003C625C" w:rsidRDefault="003C625C">
      <w:pPr>
        <w:pStyle w:val="TOC5"/>
        <w:rPr>
          <w:rFonts w:asciiTheme="minorHAnsi" w:eastAsiaTheme="minorEastAsia" w:hAnsiTheme="minorHAnsi" w:cstheme="minorBidi"/>
          <w:sz w:val="22"/>
          <w:szCs w:val="22"/>
        </w:rPr>
      </w:pPr>
      <w:r>
        <w:t>11.1.3.1.</w:t>
      </w:r>
      <w:r>
        <w:rPr>
          <w:lang w:eastAsia="zh-CN"/>
        </w:rPr>
        <w:t>3</w:t>
      </w:r>
      <w:r>
        <w:rPr>
          <w:rFonts w:asciiTheme="minorHAnsi" w:eastAsiaTheme="minorEastAsia" w:hAnsiTheme="minorHAnsi" w:cstheme="minorBidi"/>
          <w:sz w:val="22"/>
          <w:szCs w:val="22"/>
        </w:rPr>
        <w:tab/>
      </w:r>
      <w:r>
        <w:t>Performance requirements for PUCCH format 1</w:t>
      </w:r>
      <w:r>
        <w:tab/>
      </w:r>
      <w:r>
        <w:fldChar w:fldCharType="begin"/>
      </w:r>
      <w:r>
        <w:instrText xml:space="preserve"> PAGEREF _Toc106184218 \h </w:instrText>
      </w:r>
      <w:r>
        <w:fldChar w:fldCharType="separate"/>
      </w:r>
      <w:r>
        <w:t>154</w:t>
      </w:r>
      <w:r>
        <w:fldChar w:fldCharType="end"/>
      </w:r>
    </w:p>
    <w:p w14:paraId="72178E97" w14:textId="3032F38E" w:rsidR="003C625C" w:rsidRDefault="003C625C">
      <w:pPr>
        <w:pStyle w:val="TOC5"/>
        <w:rPr>
          <w:rFonts w:asciiTheme="minorHAnsi" w:eastAsiaTheme="minorEastAsia" w:hAnsiTheme="minorHAnsi" w:cstheme="minorBidi"/>
          <w:sz w:val="22"/>
          <w:szCs w:val="22"/>
        </w:rPr>
      </w:pPr>
      <w:r>
        <w:t>11.1.</w:t>
      </w:r>
      <w:r>
        <w:rPr>
          <w:lang w:eastAsia="zh-CN"/>
        </w:rPr>
        <w:t>3</w:t>
      </w:r>
      <w:r>
        <w:t>.</w:t>
      </w:r>
      <w:r>
        <w:rPr>
          <w:lang w:eastAsia="zh-CN"/>
        </w:rPr>
        <w:t>1</w:t>
      </w:r>
      <w:r>
        <w:t>.</w:t>
      </w:r>
      <w:r>
        <w:rPr>
          <w:lang w:eastAsia="zh-CN"/>
        </w:rPr>
        <w:t>4</w:t>
      </w:r>
      <w:r>
        <w:rPr>
          <w:rFonts w:asciiTheme="minorHAnsi" w:eastAsiaTheme="minorEastAsia" w:hAnsiTheme="minorHAnsi" w:cstheme="minorBidi"/>
          <w:sz w:val="22"/>
          <w:szCs w:val="22"/>
        </w:rPr>
        <w:tab/>
      </w:r>
      <w:r>
        <w:rPr>
          <w:lang w:eastAsia="zh-CN"/>
        </w:rPr>
        <w:t>Performance requirements for PUCCH format 2</w:t>
      </w:r>
      <w:r>
        <w:tab/>
      </w:r>
      <w:r>
        <w:fldChar w:fldCharType="begin"/>
      </w:r>
      <w:r>
        <w:instrText xml:space="preserve"> PAGEREF _Toc106184219 \h </w:instrText>
      </w:r>
      <w:r>
        <w:fldChar w:fldCharType="separate"/>
      </w:r>
      <w:r>
        <w:t>154</w:t>
      </w:r>
      <w:r>
        <w:fldChar w:fldCharType="end"/>
      </w:r>
    </w:p>
    <w:p w14:paraId="0CC61AE3" w14:textId="0394F210" w:rsidR="003C625C" w:rsidRDefault="003C625C">
      <w:pPr>
        <w:pStyle w:val="TOC5"/>
        <w:rPr>
          <w:rFonts w:asciiTheme="minorHAnsi" w:eastAsiaTheme="minorEastAsia" w:hAnsiTheme="minorHAnsi" w:cstheme="minorBidi"/>
          <w:sz w:val="22"/>
          <w:szCs w:val="22"/>
        </w:rPr>
      </w:pPr>
      <w:r>
        <w:t>11.1.3.1.5</w:t>
      </w:r>
      <w:r>
        <w:rPr>
          <w:rFonts w:asciiTheme="minorHAnsi" w:eastAsiaTheme="minorEastAsia" w:hAnsiTheme="minorHAnsi" w:cstheme="minorBidi"/>
          <w:sz w:val="22"/>
          <w:szCs w:val="22"/>
        </w:rPr>
        <w:tab/>
      </w:r>
      <w:r>
        <w:t>Performance requirements for PUCCH format 3</w:t>
      </w:r>
      <w:r>
        <w:tab/>
      </w:r>
      <w:r>
        <w:fldChar w:fldCharType="begin"/>
      </w:r>
      <w:r>
        <w:instrText xml:space="preserve"> PAGEREF _Toc106184220 \h </w:instrText>
      </w:r>
      <w:r>
        <w:fldChar w:fldCharType="separate"/>
      </w:r>
      <w:r>
        <w:t>154</w:t>
      </w:r>
      <w:r>
        <w:fldChar w:fldCharType="end"/>
      </w:r>
    </w:p>
    <w:p w14:paraId="27023CD3" w14:textId="291FDFF8" w:rsidR="003C625C" w:rsidRDefault="003C625C">
      <w:pPr>
        <w:pStyle w:val="TOC5"/>
        <w:rPr>
          <w:rFonts w:asciiTheme="minorHAnsi" w:eastAsiaTheme="minorEastAsia" w:hAnsiTheme="minorHAnsi" w:cstheme="minorBidi"/>
          <w:sz w:val="22"/>
          <w:szCs w:val="22"/>
        </w:rPr>
      </w:pPr>
      <w:r>
        <w:t>11.1.3.1.6</w:t>
      </w:r>
      <w:r>
        <w:rPr>
          <w:rFonts w:asciiTheme="minorHAnsi" w:eastAsiaTheme="minorEastAsia" w:hAnsiTheme="minorHAnsi" w:cstheme="minorBidi"/>
          <w:sz w:val="22"/>
          <w:szCs w:val="22"/>
        </w:rPr>
        <w:tab/>
      </w:r>
      <w:r>
        <w:t>Performance requirements for PUCCH format 4</w:t>
      </w:r>
      <w:r>
        <w:tab/>
      </w:r>
      <w:r>
        <w:fldChar w:fldCharType="begin"/>
      </w:r>
      <w:r>
        <w:instrText xml:space="preserve"> PAGEREF _Toc106184221 \h </w:instrText>
      </w:r>
      <w:r>
        <w:fldChar w:fldCharType="separate"/>
      </w:r>
      <w:r>
        <w:t>155</w:t>
      </w:r>
      <w:r>
        <w:fldChar w:fldCharType="end"/>
      </w:r>
    </w:p>
    <w:p w14:paraId="1BE433A3" w14:textId="1B63DA5B" w:rsidR="003C625C" w:rsidRDefault="003C625C">
      <w:pPr>
        <w:pStyle w:val="TOC5"/>
        <w:rPr>
          <w:rFonts w:asciiTheme="minorHAnsi" w:eastAsiaTheme="minorEastAsia" w:hAnsiTheme="minorHAnsi" w:cstheme="minorBidi"/>
          <w:sz w:val="22"/>
          <w:szCs w:val="22"/>
        </w:rPr>
      </w:pPr>
      <w:r>
        <w:t>11.1.3.1.7</w:t>
      </w:r>
      <w:r>
        <w:rPr>
          <w:rFonts w:asciiTheme="minorHAnsi" w:eastAsiaTheme="minorEastAsia" w:hAnsiTheme="minorHAnsi" w:cstheme="minorBidi"/>
          <w:sz w:val="22"/>
          <w:szCs w:val="22"/>
        </w:rPr>
        <w:tab/>
      </w:r>
      <w:r>
        <w:t>Performance requirements for multi-slot PUCCH</w:t>
      </w:r>
      <w:r>
        <w:tab/>
      </w:r>
      <w:r>
        <w:fldChar w:fldCharType="begin"/>
      </w:r>
      <w:r>
        <w:instrText xml:space="preserve"> PAGEREF _Toc106184222 \h </w:instrText>
      </w:r>
      <w:r>
        <w:fldChar w:fldCharType="separate"/>
      </w:r>
      <w:r>
        <w:t>155</w:t>
      </w:r>
      <w:r>
        <w:fldChar w:fldCharType="end"/>
      </w:r>
    </w:p>
    <w:p w14:paraId="1C9DA48C" w14:textId="7184BC9F" w:rsidR="003C625C" w:rsidRDefault="003C625C">
      <w:pPr>
        <w:pStyle w:val="TOC4"/>
        <w:rPr>
          <w:rFonts w:asciiTheme="minorHAnsi" w:eastAsiaTheme="minorEastAsia" w:hAnsiTheme="minorHAnsi" w:cstheme="minorBidi"/>
          <w:sz w:val="22"/>
          <w:szCs w:val="22"/>
        </w:rPr>
      </w:pPr>
      <w:r>
        <w:t>11.1.</w:t>
      </w:r>
      <w:r w:rsidRPr="00DD4EB8">
        <w:rPr>
          <w:rFonts w:eastAsia="DengXian"/>
          <w:lang w:eastAsia="zh-CN"/>
        </w:rPr>
        <w:t>3</w:t>
      </w:r>
      <w:r>
        <w:t>.2</w:t>
      </w:r>
      <w:r>
        <w:rPr>
          <w:rFonts w:asciiTheme="minorHAnsi" w:eastAsiaTheme="minorEastAsia" w:hAnsiTheme="minorHAnsi" w:cstheme="minorBidi"/>
          <w:sz w:val="22"/>
          <w:szCs w:val="22"/>
        </w:rPr>
        <w:tab/>
      </w:r>
      <w:r>
        <w:t xml:space="preserve">Performance requirements for </w:t>
      </w:r>
      <w:r w:rsidRPr="00DD4EB8">
        <w:rPr>
          <w:i/>
        </w:rPr>
        <w:t xml:space="preserve">IAB type </w:t>
      </w:r>
      <w:r w:rsidRPr="00DD4EB8">
        <w:rPr>
          <w:rFonts w:eastAsia="DengXian"/>
          <w:i/>
          <w:lang w:eastAsia="zh-CN"/>
        </w:rPr>
        <w:t>2</w:t>
      </w:r>
      <w:r w:rsidRPr="00DD4EB8">
        <w:rPr>
          <w:i/>
        </w:rPr>
        <w:t>-O</w:t>
      </w:r>
      <w:r>
        <w:tab/>
      </w:r>
      <w:r>
        <w:fldChar w:fldCharType="begin"/>
      </w:r>
      <w:r>
        <w:instrText xml:space="preserve"> PAGEREF _Toc106184223 \h </w:instrText>
      </w:r>
      <w:r>
        <w:fldChar w:fldCharType="separate"/>
      </w:r>
      <w:r>
        <w:t>155</w:t>
      </w:r>
      <w:r>
        <w:fldChar w:fldCharType="end"/>
      </w:r>
    </w:p>
    <w:p w14:paraId="66BE4867" w14:textId="5C1A9F7E" w:rsidR="003C625C" w:rsidRDefault="003C625C">
      <w:pPr>
        <w:pStyle w:val="TOC5"/>
        <w:rPr>
          <w:rFonts w:asciiTheme="minorHAnsi" w:eastAsiaTheme="minorEastAsia" w:hAnsiTheme="minorHAnsi" w:cstheme="minorBidi"/>
          <w:sz w:val="22"/>
          <w:szCs w:val="22"/>
        </w:rPr>
      </w:pPr>
      <w:r>
        <w:t>11.1.3.2.1</w:t>
      </w:r>
      <w:r>
        <w:rPr>
          <w:rFonts w:asciiTheme="minorHAnsi" w:eastAsiaTheme="minorEastAsia" w:hAnsiTheme="minorHAnsi" w:cstheme="minorBidi"/>
          <w:sz w:val="22"/>
          <w:szCs w:val="22"/>
        </w:rPr>
        <w:tab/>
      </w:r>
      <w:r>
        <w:t>DTX to ACK probability</w:t>
      </w:r>
      <w:r>
        <w:tab/>
      </w:r>
      <w:r>
        <w:fldChar w:fldCharType="begin"/>
      </w:r>
      <w:r>
        <w:instrText xml:space="preserve"> PAGEREF _Toc106184224 \h </w:instrText>
      </w:r>
      <w:r>
        <w:fldChar w:fldCharType="separate"/>
      </w:r>
      <w:r>
        <w:t>155</w:t>
      </w:r>
      <w:r>
        <w:fldChar w:fldCharType="end"/>
      </w:r>
    </w:p>
    <w:p w14:paraId="2CEC8471" w14:textId="35E4BC2F" w:rsidR="003C625C" w:rsidRDefault="003C625C">
      <w:pPr>
        <w:pStyle w:val="TOC5"/>
        <w:rPr>
          <w:rFonts w:asciiTheme="minorHAnsi" w:eastAsiaTheme="minorEastAsia" w:hAnsiTheme="minorHAnsi" w:cstheme="minorBidi"/>
          <w:sz w:val="22"/>
          <w:szCs w:val="22"/>
        </w:rPr>
      </w:pPr>
      <w:r>
        <w:t>11.1.3.2.2</w:t>
      </w:r>
      <w:r>
        <w:rPr>
          <w:rFonts w:asciiTheme="minorHAnsi" w:eastAsiaTheme="minorEastAsia" w:hAnsiTheme="minorHAnsi" w:cstheme="minorBidi"/>
          <w:sz w:val="22"/>
          <w:szCs w:val="22"/>
        </w:rPr>
        <w:tab/>
      </w:r>
      <w:r>
        <w:t>Performance requirements for PUCCH format 0</w:t>
      </w:r>
      <w:r>
        <w:tab/>
      </w:r>
      <w:r>
        <w:fldChar w:fldCharType="begin"/>
      </w:r>
      <w:r>
        <w:instrText xml:space="preserve"> PAGEREF _Toc106184225 \h </w:instrText>
      </w:r>
      <w:r>
        <w:fldChar w:fldCharType="separate"/>
      </w:r>
      <w:r>
        <w:t>155</w:t>
      </w:r>
      <w:r>
        <w:fldChar w:fldCharType="end"/>
      </w:r>
    </w:p>
    <w:p w14:paraId="08A1A18B" w14:textId="47E65AB4" w:rsidR="003C625C" w:rsidRDefault="003C625C">
      <w:pPr>
        <w:pStyle w:val="TOC5"/>
        <w:rPr>
          <w:rFonts w:asciiTheme="minorHAnsi" w:eastAsiaTheme="minorEastAsia" w:hAnsiTheme="minorHAnsi" w:cstheme="minorBidi"/>
          <w:sz w:val="22"/>
          <w:szCs w:val="22"/>
        </w:rPr>
      </w:pPr>
      <w:r>
        <w:t>11.1.3.2.3</w:t>
      </w:r>
      <w:r>
        <w:rPr>
          <w:rFonts w:asciiTheme="minorHAnsi" w:eastAsiaTheme="minorEastAsia" w:hAnsiTheme="minorHAnsi" w:cstheme="minorBidi"/>
          <w:sz w:val="22"/>
          <w:szCs w:val="22"/>
        </w:rPr>
        <w:tab/>
      </w:r>
      <w:r>
        <w:t>Performance requirements for PUCCH format 1</w:t>
      </w:r>
      <w:r>
        <w:tab/>
      </w:r>
      <w:r>
        <w:fldChar w:fldCharType="begin"/>
      </w:r>
      <w:r>
        <w:instrText xml:space="preserve"> PAGEREF _Toc106184226 \h </w:instrText>
      </w:r>
      <w:r>
        <w:fldChar w:fldCharType="separate"/>
      </w:r>
      <w:r>
        <w:t>156</w:t>
      </w:r>
      <w:r>
        <w:fldChar w:fldCharType="end"/>
      </w:r>
    </w:p>
    <w:p w14:paraId="3BBF17B4" w14:textId="587D5EDB" w:rsidR="003C625C" w:rsidRDefault="003C625C">
      <w:pPr>
        <w:pStyle w:val="TOC5"/>
        <w:rPr>
          <w:rFonts w:asciiTheme="minorHAnsi" w:eastAsiaTheme="minorEastAsia" w:hAnsiTheme="minorHAnsi" w:cstheme="minorBidi"/>
          <w:sz w:val="22"/>
          <w:szCs w:val="22"/>
        </w:rPr>
      </w:pPr>
      <w:r>
        <w:t>11.1.</w:t>
      </w:r>
      <w:r>
        <w:rPr>
          <w:lang w:eastAsia="zh-CN"/>
        </w:rPr>
        <w:t>3</w:t>
      </w:r>
      <w:r>
        <w:t>.2.</w:t>
      </w:r>
      <w:r>
        <w:rPr>
          <w:lang w:eastAsia="zh-CN"/>
        </w:rPr>
        <w:t>4</w:t>
      </w:r>
      <w:r>
        <w:rPr>
          <w:rFonts w:asciiTheme="minorHAnsi" w:eastAsiaTheme="minorEastAsia" w:hAnsiTheme="minorHAnsi" w:cstheme="minorBidi"/>
          <w:sz w:val="22"/>
          <w:szCs w:val="22"/>
        </w:rPr>
        <w:tab/>
      </w:r>
      <w:r>
        <w:rPr>
          <w:lang w:eastAsia="zh-CN"/>
        </w:rPr>
        <w:t>Performance requirements for PUCCH format 2</w:t>
      </w:r>
      <w:r>
        <w:tab/>
      </w:r>
      <w:r>
        <w:fldChar w:fldCharType="begin"/>
      </w:r>
      <w:r>
        <w:instrText xml:space="preserve"> PAGEREF _Toc106184227 \h </w:instrText>
      </w:r>
      <w:r>
        <w:fldChar w:fldCharType="separate"/>
      </w:r>
      <w:r>
        <w:t>157</w:t>
      </w:r>
      <w:r>
        <w:fldChar w:fldCharType="end"/>
      </w:r>
    </w:p>
    <w:p w14:paraId="2CFD35CD" w14:textId="1E25CC14" w:rsidR="003C625C" w:rsidRDefault="003C625C">
      <w:pPr>
        <w:pStyle w:val="TOC5"/>
        <w:rPr>
          <w:rFonts w:asciiTheme="minorHAnsi" w:eastAsiaTheme="minorEastAsia" w:hAnsiTheme="minorHAnsi" w:cstheme="minorBidi"/>
          <w:sz w:val="22"/>
          <w:szCs w:val="22"/>
        </w:rPr>
      </w:pPr>
      <w:r>
        <w:t>11.1.3.2.5</w:t>
      </w:r>
      <w:r>
        <w:rPr>
          <w:rFonts w:asciiTheme="minorHAnsi" w:eastAsiaTheme="minorEastAsia" w:hAnsiTheme="minorHAnsi" w:cstheme="minorBidi"/>
          <w:sz w:val="22"/>
          <w:szCs w:val="22"/>
        </w:rPr>
        <w:tab/>
      </w:r>
      <w:r>
        <w:t>Performance requirements for PUCCH format 3</w:t>
      </w:r>
      <w:r>
        <w:tab/>
      </w:r>
      <w:r>
        <w:fldChar w:fldCharType="begin"/>
      </w:r>
      <w:r>
        <w:instrText xml:space="preserve"> PAGEREF _Toc106184228 \h </w:instrText>
      </w:r>
      <w:r>
        <w:fldChar w:fldCharType="separate"/>
      </w:r>
      <w:r>
        <w:t>159</w:t>
      </w:r>
      <w:r>
        <w:fldChar w:fldCharType="end"/>
      </w:r>
    </w:p>
    <w:p w14:paraId="0905B20C" w14:textId="372FE98E" w:rsidR="003C625C" w:rsidRDefault="003C625C">
      <w:pPr>
        <w:pStyle w:val="TOC5"/>
        <w:rPr>
          <w:rFonts w:asciiTheme="minorHAnsi" w:eastAsiaTheme="minorEastAsia" w:hAnsiTheme="minorHAnsi" w:cstheme="minorBidi"/>
          <w:sz w:val="22"/>
          <w:szCs w:val="22"/>
        </w:rPr>
      </w:pPr>
      <w:r>
        <w:t>11.1.3.2.6</w:t>
      </w:r>
      <w:r>
        <w:rPr>
          <w:rFonts w:asciiTheme="minorHAnsi" w:eastAsiaTheme="minorEastAsia" w:hAnsiTheme="minorHAnsi" w:cstheme="minorBidi"/>
          <w:sz w:val="22"/>
          <w:szCs w:val="22"/>
        </w:rPr>
        <w:tab/>
      </w:r>
      <w:r>
        <w:t>Performance requirements for PUCCH format 4</w:t>
      </w:r>
      <w:r>
        <w:tab/>
      </w:r>
      <w:r>
        <w:fldChar w:fldCharType="begin"/>
      </w:r>
      <w:r>
        <w:instrText xml:space="preserve"> PAGEREF _Toc106184229 \h </w:instrText>
      </w:r>
      <w:r>
        <w:fldChar w:fldCharType="separate"/>
      </w:r>
      <w:r>
        <w:t>160</w:t>
      </w:r>
      <w:r>
        <w:fldChar w:fldCharType="end"/>
      </w:r>
    </w:p>
    <w:p w14:paraId="3A8C2F28" w14:textId="43F485E6" w:rsidR="003C625C" w:rsidRDefault="003C625C">
      <w:pPr>
        <w:pStyle w:val="TOC3"/>
        <w:rPr>
          <w:rFonts w:asciiTheme="minorHAnsi" w:eastAsiaTheme="minorEastAsia" w:hAnsiTheme="minorHAnsi" w:cstheme="minorBidi"/>
          <w:sz w:val="22"/>
          <w:szCs w:val="22"/>
        </w:rPr>
      </w:pPr>
      <w:r>
        <w:t>11.1.</w:t>
      </w:r>
      <w:r w:rsidRPr="00DD4EB8">
        <w:rPr>
          <w:rFonts w:eastAsia="DengXian"/>
          <w:lang w:eastAsia="zh-CN"/>
        </w:rPr>
        <w:t>4</w:t>
      </w:r>
      <w:r>
        <w:rPr>
          <w:rFonts w:asciiTheme="minorHAnsi" w:eastAsiaTheme="minorEastAsia" w:hAnsiTheme="minorHAnsi" w:cstheme="minorBidi"/>
          <w:sz w:val="22"/>
          <w:szCs w:val="22"/>
        </w:rPr>
        <w:tab/>
      </w:r>
      <w:r>
        <w:t>Performance requirements for PRACH</w:t>
      </w:r>
      <w:r>
        <w:tab/>
      </w:r>
      <w:r>
        <w:fldChar w:fldCharType="begin"/>
      </w:r>
      <w:r>
        <w:instrText xml:space="preserve"> PAGEREF _Toc106184230 \h </w:instrText>
      </w:r>
      <w:r>
        <w:fldChar w:fldCharType="separate"/>
      </w:r>
      <w:r>
        <w:t>160</w:t>
      </w:r>
      <w:r>
        <w:fldChar w:fldCharType="end"/>
      </w:r>
    </w:p>
    <w:p w14:paraId="2EF9DF3C" w14:textId="39C06063" w:rsidR="003C625C" w:rsidRDefault="003C625C">
      <w:pPr>
        <w:pStyle w:val="TOC4"/>
        <w:rPr>
          <w:rFonts w:asciiTheme="minorHAnsi" w:eastAsiaTheme="minorEastAsia" w:hAnsiTheme="minorHAnsi" w:cstheme="minorBidi"/>
          <w:sz w:val="22"/>
          <w:szCs w:val="22"/>
        </w:rPr>
      </w:pPr>
      <w:r>
        <w:t>11.1.</w:t>
      </w:r>
      <w:r w:rsidRPr="00DD4EB8">
        <w:rPr>
          <w:rFonts w:eastAsia="DengXian"/>
          <w:lang w:eastAsia="zh-CN"/>
        </w:rPr>
        <w:t>4</w:t>
      </w:r>
      <w:r>
        <w:t>.1</w:t>
      </w:r>
      <w:r>
        <w:rPr>
          <w:rFonts w:asciiTheme="minorHAnsi" w:eastAsiaTheme="minorEastAsia" w:hAnsiTheme="minorHAnsi" w:cstheme="minorBidi"/>
          <w:sz w:val="22"/>
          <w:szCs w:val="22"/>
        </w:rPr>
        <w:tab/>
      </w:r>
      <w:r>
        <w:t xml:space="preserve">Performance requirements for </w:t>
      </w:r>
      <w:r w:rsidRPr="00DD4EB8">
        <w:rPr>
          <w:i/>
          <w:lang w:eastAsia="zh-CN"/>
        </w:rPr>
        <w:t>IAB</w:t>
      </w:r>
      <w:r w:rsidRPr="00DD4EB8">
        <w:rPr>
          <w:i/>
        </w:rPr>
        <w:t xml:space="preserve"> type 1-O</w:t>
      </w:r>
      <w:r>
        <w:tab/>
      </w:r>
      <w:r>
        <w:fldChar w:fldCharType="begin"/>
      </w:r>
      <w:r>
        <w:instrText xml:space="preserve"> PAGEREF _Toc106184231 \h </w:instrText>
      </w:r>
      <w:r>
        <w:fldChar w:fldCharType="separate"/>
      </w:r>
      <w:r>
        <w:t>160</w:t>
      </w:r>
      <w:r>
        <w:fldChar w:fldCharType="end"/>
      </w:r>
    </w:p>
    <w:p w14:paraId="42F5C222" w14:textId="4A08C4A9" w:rsidR="003C625C" w:rsidRDefault="003C625C">
      <w:pPr>
        <w:pStyle w:val="TOC5"/>
        <w:rPr>
          <w:rFonts w:asciiTheme="minorHAnsi" w:eastAsiaTheme="minorEastAsia" w:hAnsiTheme="minorHAnsi" w:cstheme="minorBidi"/>
          <w:sz w:val="22"/>
          <w:szCs w:val="22"/>
        </w:rPr>
      </w:pPr>
      <w:r>
        <w:lastRenderedPageBreak/>
        <w:t>11.1.</w:t>
      </w:r>
      <w:r>
        <w:rPr>
          <w:lang w:eastAsia="zh-CN"/>
        </w:rPr>
        <w:t>4</w:t>
      </w:r>
      <w:r>
        <w:t>.1.</w:t>
      </w:r>
      <w:r>
        <w:rPr>
          <w:lang w:eastAsia="zh-CN"/>
        </w:rPr>
        <w:t>1</w:t>
      </w:r>
      <w:r>
        <w:rPr>
          <w:rFonts w:asciiTheme="minorHAnsi" w:eastAsiaTheme="minorEastAsia" w:hAnsiTheme="minorHAnsi" w:cstheme="minorBidi"/>
          <w:sz w:val="22"/>
          <w:szCs w:val="22"/>
        </w:rPr>
        <w:tab/>
      </w:r>
      <w:r>
        <w:t>PRACH False alarm probability</w:t>
      </w:r>
      <w:r>
        <w:tab/>
      </w:r>
      <w:r>
        <w:fldChar w:fldCharType="begin"/>
      </w:r>
      <w:r>
        <w:instrText xml:space="preserve"> PAGEREF _Toc106184232 \h </w:instrText>
      </w:r>
      <w:r>
        <w:fldChar w:fldCharType="separate"/>
      </w:r>
      <w:r>
        <w:t>160</w:t>
      </w:r>
      <w:r>
        <w:fldChar w:fldCharType="end"/>
      </w:r>
    </w:p>
    <w:p w14:paraId="69257B2D" w14:textId="588DF92A" w:rsidR="003C625C" w:rsidRDefault="003C625C">
      <w:pPr>
        <w:pStyle w:val="TOC5"/>
        <w:rPr>
          <w:rFonts w:asciiTheme="minorHAnsi" w:eastAsiaTheme="minorEastAsia" w:hAnsiTheme="minorHAnsi" w:cstheme="minorBidi"/>
          <w:sz w:val="22"/>
          <w:szCs w:val="22"/>
        </w:rPr>
      </w:pPr>
      <w:r>
        <w:t>11.1.</w:t>
      </w:r>
      <w:r>
        <w:rPr>
          <w:lang w:eastAsia="zh-CN"/>
        </w:rPr>
        <w:t>4</w:t>
      </w:r>
      <w:r>
        <w:t>.1.</w:t>
      </w:r>
      <w:r>
        <w:rPr>
          <w:lang w:eastAsia="zh-CN"/>
        </w:rPr>
        <w:t>2</w:t>
      </w:r>
      <w:r>
        <w:rPr>
          <w:rFonts w:asciiTheme="minorHAnsi" w:eastAsiaTheme="minorEastAsia" w:hAnsiTheme="minorHAnsi" w:cstheme="minorBidi"/>
          <w:sz w:val="22"/>
          <w:szCs w:val="22"/>
        </w:rPr>
        <w:tab/>
      </w:r>
      <w:r>
        <w:t>PRACH detection requirements</w:t>
      </w:r>
      <w:r>
        <w:tab/>
      </w:r>
      <w:r>
        <w:fldChar w:fldCharType="begin"/>
      </w:r>
      <w:r>
        <w:instrText xml:space="preserve"> PAGEREF _Toc106184233 \h </w:instrText>
      </w:r>
      <w:r>
        <w:fldChar w:fldCharType="separate"/>
      </w:r>
      <w:r>
        <w:t>160</w:t>
      </w:r>
      <w:r>
        <w:fldChar w:fldCharType="end"/>
      </w:r>
    </w:p>
    <w:p w14:paraId="5DF34B9B" w14:textId="44F6C54A" w:rsidR="003C625C" w:rsidRDefault="003C625C">
      <w:pPr>
        <w:pStyle w:val="TOC4"/>
        <w:rPr>
          <w:rFonts w:asciiTheme="minorHAnsi" w:eastAsiaTheme="minorEastAsia" w:hAnsiTheme="minorHAnsi" w:cstheme="minorBidi"/>
          <w:sz w:val="22"/>
          <w:szCs w:val="22"/>
        </w:rPr>
      </w:pPr>
      <w:r>
        <w:t>11.1.</w:t>
      </w:r>
      <w:r w:rsidRPr="00DD4EB8">
        <w:rPr>
          <w:rFonts w:eastAsia="DengXian"/>
          <w:lang w:eastAsia="zh-CN"/>
        </w:rPr>
        <w:t>4</w:t>
      </w:r>
      <w:r>
        <w:t>.2</w:t>
      </w:r>
      <w:r>
        <w:rPr>
          <w:rFonts w:asciiTheme="minorHAnsi" w:eastAsiaTheme="minorEastAsia" w:hAnsiTheme="minorHAnsi" w:cstheme="minorBidi"/>
          <w:sz w:val="22"/>
          <w:szCs w:val="22"/>
        </w:rPr>
        <w:tab/>
      </w:r>
      <w:r w:rsidRPr="00DD4EB8">
        <w:rPr>
          <w:lang w:val="sv-SE"/>
        </w:rPr>
        <w:t>Performance r</w:t>
      </w:r>
      <w:r>
        <w:t xml:space="preserve">equirements for </w:t>
      </w:r>
      <w:r w:rsidRPr="00DD4EB8">
        <w:rPr>
          <w:i/>
        </w:rPr>
        <w:t xml:space="preserve">IAB type </w:t>
      </w:r>
      <w:r w:rsidRPr="00DD4EB8">
        <w:rPr>
          <w:rFonts w:eastAsia="DengXian"/>
          <w:i/>
          <w:lang w:eastAsia="zh-CN"/>
        </w:rPr>
        <w:t>2</w:t>
      </w:r>
      <w:r w:rsidRPr="00DD4EB8">
        <w:rPr>
          <w:i/>
        </w:rPr>
        <w:t>-O</w:t>
      </w:r>
      <w:r>
        <w:tab/>
      </w:r>
      <w:r>
        <w:fldChar w:fldCharType="begin"/>
      </w:r>
      <w:r>
        <w:instrText xml:space="preserve"> PAGEREF _Toc106184234 \h </w:instrText>
      </w:r>
      <w:r>
        <w:fldChar w:fldCharType="separate"/>
      </w:r>
      <w:r>
        <w:t>161</w:t>
      </w:r>
      <w:r>
        <w:fldChar w:fldCharType="end"/>
      </w:r>
    </w:p>
    <w:p w14:paraId="59A8667A" w14:textId="2E6CF3FD" w:rsidR="003C625C" w:rsidRDefault="003C625C">
      <w:pPr>
        <w:pStyle w:val="TOC5"/>
        <w:rPr>
          <w:rFonts w:asciiTheme="minorHAnsi" w:eastAsiaTheme="minorEastAsia" w:hAnsiTheme="minorHAnsi" w:cstheme="minorBidi"/>
          <w:sz w:val="22"/>
          <w:szCs w:val="22"/>
        </w:rPr>
      </w:pPr>
      <w:r>
        <w:t>11.1.</w:t>
      </w:r>
      <w:r>
        <w:rPr>
          <w:lang w:eastAsia="zh-CN"/>
        </w:rPr>
        <w:t>4</w:t>
      </w:r>
      <w:r>
        <w:t>.</w:t>
      </w:r>
      <w:r>
        <w:rPr>
          <w:lang w:eastAsia="zh-CN"/>
        </w:rPr>
        <w:t>2</w:t>
      </w:r>
      <w:r>
        <w:t>.</w:t>
      </w:r>
      <w:r>
        <w:rPr>
          <w:lang w:eastAsia="zh-CN"/>
        </w:rPr>
        <w:t>1</w:t>
      </w:r>
      <w:r>
        <w:rPr>
          <w:rFonts w:asciiTheme="minorHAnsi" w:eastAsiaTheme="minorEastAsia" w:hAnsiTheme="minorHAnsi" w:cstheme="minorBidi"/>
          <w:sz w:val="22"/>
          <w:szCs w:val="22"/>
        </w:rPr>
        <w:tab/>
      </w:r>
      <w:r>
        <w:t>PRACH false alarm probability</w:t>
      </w:r>
      <w:r>
        <w:tab/>
      </w:r>
      <w:r>
        <w:fldChar w:fldCharType="begin"/>
      </w:r>
      <w:r>
        <w:instrText xml:space="preserve"> PAGEREF _Toc106184235 \h </w:instrText>
      </w:r>
      <w:r>
        <w:fldChar w:fldCharType="separate"/>
      </w:r>
      <w:r>
        <w:t>161</w:t>
      </w:r>
      <w:r>
        <w:fldChar w:fldCharType="end"/>
      </w:r>
    </w:p>
    <w:p w14:paraId="2C70491D" w14:textId="646A77DD" w:rsidR="003C625C" w:rsidRDefault="003C625C">
      <w:pPr>
        <w:pStyle w:val="TOC5"/>
        <w:rPr>
          <w:rFonts w:asciiTheme="minorHAnsi" w:eastAsiaTheme="minorEastAsia" w:hAnsiTheme="minorHAnsi" w:cstheme="minorBidi"/>
          <w:sz w:val="22"/>
          <w:szCs w:val="22"/>
        </w:rPr>
      </w:pPr>
      <w:r>
        <w:t>11.1.</w:t>
      </w:r>
      <w:r>
        <w:rPr>
          <w:lang w:eastAsia="zh-CN"/>
        </w:rPr>
        <w:t>4</w:t>
      </w:r>
      <w:r>
        <w:t>.</w:t>
      </w:r>
      <w:r>
        <w:rPr>
          <w:lang w:eastAsia="zh-CN"/>
        </w:rPr>
        <w:t>2</w:t>
      </w:r>
      <w:r>
        <w:t>.</w:t>
      </w:r>
      <w:r>
        <w:rPr>
          <w:lang w:eastAsia="zh-CN"/>
        </w:rPr>
        <w:t>2</w:t>
      </w:r>
      <w:r>
        <w:rPr>
          <w:rFonts w:asciiTheme="minorHAnsi" w:eastAsiaTheme="minorEastAsia" w:hAnsiTheme="minorHAnsi" w:cstheme="minorBidi"/>
          <w:sz w:val="22"/>
          <w:szCs w:val="22"/>
        </w:rPr>
        <w:tab/>
      </w:r>
      <w:r>
        <w:t>PRACH missed detection requirements</w:t>
      </w:r>
      <w:r>
        <w:tab/>
      </w:r>
      <w:r>
        <w:fldChar w:fldCharType="begin"/>
      </w:r>
      <w:r>
        <w:instrText xml:space="preserve"> PAGEREF _Toc106184236 \h </w:instrText>
      </w:r>
      <w:r>
        <w:fldChar w:fldCharType="separate"/>
      </w:r>
      <w:r>
        <w:t>161</w:t>
      </w:r>
      <w:r>
        <w:fldChar w:fldCharType="end"/>
      </w:r>
    </w:p>
    <w:p w14:paraId="6AB19B80" w14:textId="0CD12F36" w:rsidR="003C625C" w:rsidRDefault="003C625C">
      <w:pPr>
        <w:pStyle w:val="TOC2"/>
        <w:rPr>
          <w:rFonts w:asciiTheme="minorHAnsi" w:eastAsiaTheme="minorEastAsia" w:hAnsiTheme="minorHAnsi" w:cstheme="minorBidi"/>
          <w:sz w:val="22"/>
          <w:szCs w:val="22"/>
        </w:rPr>
      </w:pPr>
      <w:r w:rsidRPr="00DD4EB8">
        <w:rPr>
          <w:lang w:val="nb-NO" w:eastAsia="zh-CN"/>
        </w:rPr>
        <w:t>11.2</w:t>
      </w:r>
      <w:r>
        <w:rPr>
          <w:rFonts w:asciiTheme="minorHAnsi" w:eastAsiaTheme="minorEastAsia" w:hAnsiTheme="minorHAnsi" w:cstheme="minorBidi"/>
          <w:sz w:val="22"/>
          <w:szCs w:val="22"/>
        </w:rPr>
        <w:tab/>
      </w:r>
      <w:r w:rsidRPr="00DD4EB8">
        <w:rPr>
          <w:lang w:val="nb-NO" w:eastAsia="zh-CN"/>
        </w:rPr>
        <w:t>IAB-MT performance requirements</w:t>
      </w:r>
      <w:r>
        <w:tab/>
      </w:r>
      <w:r>
        <w:fldChar w:fldCharType="begin"/>
      </w:r>
      <w:r>
        <w:instrText xml:space="preserve"> PAGEREF _Toc106184237 \h </w:instrText>
      </w:r>
      <w:r>
        <w:fldChar w:fldCharType="separate"/>
      </w:r>
      <w:r>
        <w:t>162</w:t>
      </w:r>
      <w:r>
        <w:fldChar w:fldCharType="end"/>
      </w:r>
    </w:p>
    <w:p w14:paraId="3AA75FA8" w14:textId="614517B2" w:rsidR="003C625C" w:rsidRDefault="003C625C">
      <w:pPr>
        <w:pStyle w:val="TOC3"/>
        <w:rPr>
          <w:rFonts w:asciiTheme="minorHAnsi" w:eastAsiaTheme="minorEastAsia" w:hAnsiTheme="minorHAnsi" w:cstheme="minorBidi"/>
          <w:sz w:val="22"/>
          <w:szCs w:val="22"/>
        </w:rPr>
      </w:pPr>
      <w:r w:rsidRPr="00DD4EB8">
        <w:rPr>
          <w:lang w:val="nb-NO" w:eastAsia="zh-CN"/>
        </w:rPr>
        <w:t>11.2.1</w:t>
      </w:r>
      <w:r>
        <w:rPr>
          <w:rFonts w:asciiTheme="minorHAnsi" w:eastAsiaTheme="minorEastAsia" w:hAnsiTheme="minorHAnsi" w:cstheme="minorBidi"/>
          <w:sz w:val="22"/>
          <w:szCs w:val="22"/>
        </w:rPr>
        <w:tab/>
      </w:r>
      <w:r w:rsidRPr="00DD4EB8">
        <w:rPr>
          <w:lang w:val="nb-NO" w:eastAsia="zh-CN"/>
        </w:rPr>
        <w:t>General</w:t>
      </w:r>
      <w:r>
        <w:tab/>
      </w:r>
      <w:r>
        <w:fldChar w:fldCharType="begin"/>
      </w:r>
      <w:r>
        <w:instrText xml:space="preserve"> PAGEREF _Toc106184238 \h </w:instrText>
      </w:r>
      <w:r>
        <w:fldChar w:fldCharType="separate"/>
      </w:r>
      <w:r>
        <w:t>162</w:t>
      </w:r>
      <w:r>
        <w:fldChar w:fldCharType="end"/>
      </w:r>
    </w:p>
    <w:p w14:paraId="420D87EC" w14:textId="47C164F5" w:rsidR="003C625C" w:rsidRDefault="003C625C">
      <w:pPr>
        <w:pStyle w:val="TOC3"/>
        <w:rPr>
          <w:rFonts w:asciiTheme="minorHAnsi" w:eastAsiaTheme="minorEastAsia" w:hAnsiTheme="minorHAnsi" w:cstheme="minorBidi"/>
          <w:sz w:val="22"/>
          <w:szCs w:val="22"/>
        </w:rPr>
      </w:pPr>
      <w:r w:rsidRPr="00DD4EB8">
        <w:rPr>
          <w:lang w:val="nb-NO" w:eastAsia="zh-CN"/>
        </w:rPr>
        <w:t>11.2.2</w:t>
      </w:r>
      <w:r>
        <w:rPr>
          <w:rFonts w:asciiTheme="minorHAnsi" w:eastAsiaTheme="minorEastAsia" w:hAnsiTheme="minorHAnsi" w:cstheme="minorBidi"/>
          <w:sz w:val="22"/>
          <w:szCs w:val="22"/>
        </w:rPr>
        <w:tab/>
      </w:r>
      <w:r w:rsidRPr="00DD4EB8">
        <w:rPr>
          <w:lang w:val="nb-NO" w:eastAsia="zh-CN"/>
        </w:rPr>
        <w:t>OTA demodulation branches</w:t>
      </w:r>
      <w:r>
        <w:tab/>
      </w:r>
      <w:r>
        <w:fldChar w:fldCharType="begin"/>
      </w:r>
      <w:r>
        <w:instrText xml:space="preserve"> PAGEREF _Toc106184239 \h </w:instrText>
      </w:r>
      <w:r>
        <w:fldChar w:fldCharType="separate"/>
      </w:r>
      <w:r>
        <w:t>162</w:t>
      </w:r>
      <w:r>
        <w:fldChar w:fldCharType="end"/>
      </w:r>
    </w:p>
    <w:p w14:paraId="1C24450C" w14:textId="663C5566" w:rsidR="003C625C" w:rsidRDefault="003C625C">
      <w:pPr>
        <w:pStyle w:val="TOC3"/>
        <w:rPr>
          <w:rFonts w:asciiTheme="minorHAnsi" w:eastAsiaTheme="minorEastAsia" w:hAnsiTheme="minorHAnsi" w:cstheme="minorBidi"/>
          <w:sz w:val="22"/>
          <w:szCs w:val="22"/>
        </w:rPr>
      </w:pPr>
      <w:r w:rsidRPr="00DD4EB8">
        <w:rPr>
          <w:lang w:val="nb-NO" w:eastAsia="zh-CN"/>
        </w:rPr>
        <w:t>11.2.2</w:t>
      </w:r>
      <w:r>
        <w:rPr>
          <w:rFonts w:asciiTheme="minorHAnsi" w:eastAsiaTheme="minorEastAsia" w:hAnsiTheme="minorHAnsi" w:cstheme="minorBidi"/>
          <w:sz w:val="22"/>
          <w:szCs w:val="22"/>
        </w:rPr>
        <w:tab/>
      </w:r>
      <w:r w:rsidRPr="00DD4EB8">
        <w:rPr>
          <w:lang w:val="nb-NO" w:eastAsia="zh-CN"/>
        </w:rPr>
        <w:t>Demodulation performance requirements</w:t>
      </w:r>
      <w:r>
        <w:tab/>
      </w:r>
      <w:r>
        <w:fldChar w:fldCharType="begin"/>
      </w:r>
      <w:r>
        <w:instrText xml:space="preserve"> PAGEREF _Toc106184240 \h </w:instrText>
      </w:r>
      <w:r>
        <w:fldChar w:fldCharType="separate"/>
      </w:r>
      <w:r>
        <w:t>162</w:t>
      </w:r>
      <w:r>
        <w:fldChar w:fldCharType="end"/>
      </w:r>
    </w:p>
    <w:p w14:paraId="3679AECF" w14:textId="0A9E4E55" w:rsidR="003C625C" w:rsidRDefault="003C625C">
      <w:pPr>
        <w:pStyle w:val="TOC4"/>
        <w:rPr>
          <w:rFonts w:asciiTheme="minorHAnsi" w:eastAsiaTheme="minorEastAsia" w:hAnsiTheme="minorHAnsi" w:cstheme="minorBidi"/>
          <w:sz w:val="22"/>
          <w:szCs w:val="22"/>
        </w:rPr>
      </w:pPr>
      <w:r w:rsidRPr="00DD4EB8">
        <w:rPr>
          <w:lang w:val="nb-NO" w:eastAsia="zh-CN"/>
        </w:rPr>
        <w:t>11.2.2.1</w:t>
      </w:r>
      <w:r>
        <w:rPr>
          <w:rFonts w:asciiTheme="minorHAnsi" w:eastAsiaTheme="minorEastAsia" w:hAnsiTheme="minorHAnsi" w:cstheme="minorBidi"/>
          <w:sz w:val="22"/>
          <w:szCs w:val="22"/>
        </w:rPr>
        <w:tab/>
      </w:r>
      <w:r w:rsidRPr="00DD4EB8">
        <w:rPr>
          <w:lang w:val="nb-NO" w:eastAsia="zh-CN"/>
        </w:rPr>
        <w:t>Performance requireements for IAB type 1-O</w:t>
      </w:r>
      <w:r>
        <w:tab/>
      </w:r>
      <w:r>
        <w:fldChar w:fldCharType="begin"/>
      </w:r>
      <w:r>
        <w:instrText xml:space="preserve"> PAGEREF _Toc106184241 \h </w:instrText>
      </w:r>
      <w:r>
        <w:fldChar w:fldCharType="separate"/>
      </w:r>
      <w:r>
        <w:t>162</w:t>
      </w:r>
      <w:r>
        <w:fldChar w:fldCharType="end"/>
      </w:r>
    </w:p>
    <w:p w14:paraId="7533FFAE" w14:textId="02092C7D" w:rsidR="003C625C" w:rsidRDefault="003C625C">
      <w:pPr>
        <w:pStyle w:val="TOC5"/>
        <w:rPr>
          <w:rFonts w:asciiTheme="minorHAnsi" w:eastAsiaTheme="minorEastAsia" w:hAnsiTheme="minorHAnsi" w:cstheme="minorBidi"/>
          <w:sz w:val="22"/>
          <w:szCs w:val="22"/>
        </w:rPr>
      </w:pPr>
      <w:r w:rsidRPr="00DD4EB8">
        <w:rPr>
          <w:lang w:val="nb-NO" w:eastAsia="zh-CN"/>
        </w:rPr>
        <w:t>11.2.2.1.1</w:t>
      </w:r>
      <w:r>
        <w:rPr>
          <w:rFonts w:asciiTheme="minorHAnsi" w:eastAsiaTheme="minorEastAsia" w:hAnsiTheme="minorHAnsi" w:cstheme="minorBidi"/>
          <w:sz w:val="22"/>
          <w:szCs w:val="22"/>
        </w:rPr>
        <w:tab/>
      </w:r>
      <w:r w:rsidRPr="00DD4EB8">
        <w:rPr>
          <w:lang w:val="nb-NO" w:eastAsia="zh-CN"/>
        </w:rPr>
        <w:t>Performance requirements for PDSCH</w:t>
      </w:r>
      <w:r>
        <w:tab/>
      </w:r>
      <w:r>
        <w:fldChar w:fldCharType="begin"/>
      </w:r>
      <w:r>
        <w:instrText xml:space="preserve"> PAGEREF _Toc106184242 \h </w:instrText>
      </w:r>
      <w:r>
        <w:fldChar w:fldCharType="separate"/>
      </w:r>
      <w:r>
        <w:t>162</w:t>
      </w:r>
      <w:r>
        <w:fldChar w:fldCharType="end"/>
      </w:r>
    </w:p>
    <w:p w14:paraId="66E4B729" w14:textId="579FC1D8" w:rsidR="003C625C" w:rsidRDefault="003C625C">
      <w:pPr>
        <w:pStyle w:val="TOC5"/>
        <w:rPr>
          <w:rFonts w:asciiTheme="minorHAnsi" w:eastAsiaTheme="minorEastAsia" w:hAnsiTheme="minorHAnsi" w:cstheme="minorBidi"/>
          <w:sz w:val="22"/>
          <w:szCs w:val="22"/>
        </w:rPr>
      </w:pPr>
      <w:r w:rsidRPr="00DD4EB8">
        <w:rPr>
          <w:lang w:val="nb-NO" w:eastAsia="zh-CN"/>
        </w:rPr>
        <w:t>11.2.2.1.2</w:t>
      </w:r>
      <w:r>
        <w:rPr>
          <w:rFonts w:asciiTheme="minorHAnsi" w:eastAsiaTheme="minorEastAsia" w:hAnsiTheme="minorHAnsi" w:cstheme="minorBidi"/>
          <w:sz w:val="22"/>
          <w:szCs w:val="22"/>
        </w:rPr>
        <w:tab/>
      </w:r>
      <w:r w:rsidRPr="00DD4EB8">
        <w:rPr>
          <w:lang w:val="nb-NO" w:eastAsia="zh-CN"/>
        </w:rPr>
        <w:t>Performance requirements for PDCCH</w:t>
      </w:r>
      <w:r>
        <w:tab/>
      </w:r>
      <w:r>
        <w:fldChar w:fldCharType="begin"/>
      </w:r>
      <w:r>
        <w:instrText xml:space="preserve"> PAGEREF _Toc106184243 \h </w:instrText>
      </w:r>
      <w:r>
        <w:fldChar w:fldCharType="separate"/>
      </w:r>
      <w:r>
        <w:t>164</w:t>
      </w:r>
      <w:r>
        <w:fldChar w:fldCharType="end"/>
      </w:r>
    </w:p>
    <w:p w14:paraId="6F5390F5" w14:textId="287CB6C5" w:rsidR="003C625C" w:rsidRDefault="003C625C">
      <w:pPr>
        <w:pStyle w:val="TOC4"/>
        <w:rPr>
          <w:rFonts w:asciiTheme="minorHAnsi" w:eastAsiaTheme="minorEastAsia" w:hAnsiTheme="minorHAnsi" w:cstheme="minorBidi"/>
          <w:sz w:val="22"/>
          <w:szCs w:val="22"/>
        </w:rPr>
      </w:pPr>
      <w:r w:rsidRPr="00DD4EB8">
        <w:rPr>
          <w:lang w:val="nb-NO" w:eastAsia="zh-CN"/>
        </w:rPr>
        <w:t>11.2.2.2</w:t>
      </w:r>
      <w:r>
        <w:rPr>
          <w:rFonts w:asciiTheme="minorHAnsi" w:eastAsiaTheme="minorEastAsia" w:hAnsiTheme="minorHAnsi" w:cstheme="minorBidi"/>
          <w:sz w:val="22"/>
          <w:szCs w:val="22"/>
        </w:rPr>
        <w:tab/>
      </w:r>
      <w:r w:rsidRPr="00DD4EB8">
        <w:rPr>
          <w:lang w:val="nb-NO" w:eastAsia="zh-CN"/>
        </w:rPr>
        <w:t>Performance requirements for IAB type 2-O</w:t>
      </w:r>
      <w:r>
        <w:tab/>
      </w:r>
      <w:r>
        <w:fldChar w:fldCharType="begin"/>
      </w:r>
      <w:r>
        <w:instrText xml:space="preserve"> PAGEREF _Toc106184244 \h </w:instrText>
      </w:r>
      <w:r>
        <w:fldChar w:fldCharType="separate"/>
      </w:r>
      <w:r>
        <w:t>165</w:t>
      </w:r>
      <w:r>
        <w:fldChar w:fldCharType="end"/>
      </w:r>
    </w:p>
    <w:p w14:paraId="73ED0AE0" w14:textId="482769C8" w:rsidR="003C625C" w:rsidRDefault="003C625C">
      <w:pPr>
        <w:pStyle w:val="TOC5"/>
        <w:rPr>
          <w:rFonts w:asciiTheme="minorHAnsi" w:eastAsiaTheme="minorEastAsia" w:hAnsiTheme="minorHAnsi" w:cstheme="minorBidi"/>
          <w:sz w:val="22"/>
          <w:szCs w:val="22"/>
        </w:rPr>
      </w:pPr>
      <w:r w:rsidRPr="00DD4EB8">
        <w:rPr>
          <w:lang w:val="nb-NO" w:eastAsia="zh-CN"/>
        </w:rPr>
        <w:t>11.2.2.2.1</w:t>
      </w:r>
      <w:r>
        <w:rPr>
          <w:rFonts w:asciiTheme="minorHAnsi" w:eastAsiaTheme="minorEastAsia" w:hAnsiTheme="minorHAnsi" w:cstheme="minorBidi"/>
          <w:sz w:val="22"/>
          <w:szCs w:val="22"/>
        </w:rPr>
        <w:tab/>
      </w:r>
      <w:r w:rsidRPr="00DD4EB8">
        <w:rPr>
          <w:lang w:val="nb-NO" w:eastAsia="zh-CN"/>
        </w:rPr>
        <w:t>Performance requirements for PDSCH</w:t>
      </w:r>
      <w:r>
        <w:tab/>
      </w:r>
      <w:r>
        <w:fldChar w:fldCharType="begin"/>
      </w:r>
      <w:r>
        <w:instrText xml:space="preserve"> PAGEREF _Toc106184245 \h </w:instrText>
      </w:r>
      <w:r>
        <w:fldChar w:fldCharType="separate"/>
      </w:r>
      <w:r>
        <w:t>165</w:t>
      </w:r>
      <w:r>
        <w:fldChar w:fldCharType="end"/>
      </w:r>
    </w:p>
    <w:p w14:paraId="67C72796" w14:textId="3EC89CCA" w:rsidR="003C625C" w:rsidRDefault="003C625C">
      <w:pPr>
        <w:pStyle w:val="TOC5"/>
        <w:rPr>
          <w:rFonts w:asciiTheme="minorHAnsi" w:eastAsiaTheme="minorEastAsia" w:hAnsiTheme="minorHAnsi" w:cstheme="minorBidi"/>
          <w:sz w:val="22"/>
          <w:szCs w:val="22"/>
        </w:rPr>
      </w:pPr>
      <w:r w:rsidRPr="00DD4EB8">
        <w:rPr>
          <w:lang w:val="nb-NO" w:eastAsia="zh-CN"/>
        </w:rPr>
        <w:t>11.2.2.2.2</w:t>
      </w:r>
      <w:r>
        <w:rPr>
          <w:rFonts w:asciiTheme="minorHAnsi" w:eastAsiaTheme="minorEastAsia" w:hAnsiTheme="minorHAnsi" w:cstheme="minorBidi"/>
          <w:sz w:val="22"/>
          <w:szCs w:val="22"/>
        </w:rPr>
        <w:tab/>
      </w:r>
      <w:r w:rsidRPr="00DD4EB8">
        <w:rPr>
          <w:lang w:val="nb-NO" w:eastAsia="zh-CN"/>
        </w:rPr>
        <w:t>Performance requirements for PDCCH</w:t>
      </w:r>
      <w:r>
        <w:tab/>
      </w:r>
      <w:r>
        <w:fldChar w:fldCharType="begin"/>
      </w:r>
      <w:r>
        <w:instrText xml:space="preserve"> PAGEREF _Toc106184246 \h </w:instrText>
      </w:r>
      <w:r>
        <w:fldChar w:fldCharType="separate"/>
      </w:r>
      <w:r>
        <w:t>166</w:t>
      </w:r>
      <w:r>
        <w:fldChar w:fldCharType="end"/>
      </w:r>
    </w:p>
    <w:p w14:paraId="5E469B34" w14:textId="301BBF99" w:rsidR="003C625C" w:rsidRDefault="003C625C">
      <w:pPr>
        <w:pStyle w:val="TOC3"/>
        <w:rPr>
          <w:rFonts w:asciiTheme="minorHAnsi" w:eastAsiaTheme="minorEastAsia" w:hAnsiTheme="minorHAnsi" w:cstheme="minorBidi"/>
          <w:sz w:val="22"/>
          <w:szCs w:val="22"/>
        </w:rPr>
      </w:pPr>
      <w:r w:rsidRPr="00DD4EB8">
        <w:rPr>
          <w:lang w:val="en-US" w:eastAsia="zh-CN"/>
        </w:rPr>
        <w:t>11.2.3</w:t>
      </w:r>
      <w:r>
        <w:rPr>
          <w:rFonts w:asciiTheme="minorHAnsi" w:eastAsiaTheme="minorEastAsia" w:hAnsiTheme="minorHAnsi" w:cstheme="minorBidi"/>
          <w:sz w:val="22"/>
          <w:szCs w:val="22"/>
        </w:rPr>
        <w:tab/>
      </w:r>
      <w:r w:rsidRPr="00DD4EB8">
        <w:rPr>
          <w:lang w:val="en-US" w:eastAsia="zh-CN"/>
        </w:rPr>
        <w:t>CSI reporting requirements</w:t>
      </w:r>
      <w:r>
        <w:tab/>
      </w:r>
      <w:r>
        <w:fldChar w:fldCharType="begin"/>
      </w:r>
      <w:r>
        <w:instrText xml:space="preserve"> PAGEREF _Toc106184247 \h </w:instrText>
      </w:r>
      <w:r>
        <w:fldChar w:fldCharType="separate"/>
      </w:r>
      <w:r>
        <w:t>167</w:t>
      </w:r>
      <w:r>
        <w:fldChar w:fldCharType="end"/>
      </w:r>
    </w:p>
    <w:p w14:paraId="55BD0171" w14:textId="761A4075" w:rsidR="003C625C" w:rsidRDefault="003C625C">
      <w:pPr>
        <w:pStyle w:val="TOC4"/>
        <w:rPr>
          <w:rFonts w:asciiTheme="minorHAnsi" w:eastAsiaTheme="minorEastAsia" w:hAnsiTheme="minorHAnsi" w:cstheme="minorBidi"/>
          <w:sz w:val="22"/>
          <w:szCs w:val="22"/>
        </w:rPr>
      </w:pPr>
      <w:r w:rsidRPr="00DD4EB8">
        <w:rPr>
          <w:lang w:val="en-US" w:eastAsia="zh-CN"/>
        </w:rPr>
        <w:t>11.2.3.1</w:t>
      </w:r>
      <w:r>
        <w:rPr>
          <w:rFonts w:asciiTheme="minorHAnsi" w:eastAsiaTheme="minorEastAsia" w:hAnsiTheme="minorHAnsi" w:cstheme="minorBidi"/>
          <w:sz w:val="22"/>
          <w:szCs w:val="22"/>
        </w:rPr>
        <w:tab/>
      </w:r>
      <w:r w:rsidRPr="00DD4EB8">
        <w:rPr>
          <w:lang w:val="en-US" w:eastAsia="zh-CN"/>
        </w:rPr>
        <w:t>Performance requirements for IAB type 1-O</w:t>
      </w:r>
      <w:r>
        <w:tab/>
      </w:r>
      <w:r>
        <w:fldChar w:fldCharType="begin"/>
      </w:r>
      <w:r>
        <w:instrText xml:space="preserve"> PAGEREF _Toc106184248 \h </w:instrText>
      </w:r>
      <w:r>
        <w:fldChar w:fldCharType="separate"/>
      </w:r>
      <w:r>
        <w:t>167</w:t>
      </w:r>
      <w:r>
        <w:fldChar w:fldCharType="end"/>
      </w:r>
    </w:p>
    <w:p w14:paraId="4EED26F0" w14:textId="6A6162C8" w:rsidR="003C625C" w:rsidRDefault="003C625C">
      <w:pPr>
        <w:pStyle w:val="TOC5"/>
        <w:rPr>
          <w:rFonts w:asciiTheme="minorHAnsi" w:eastAsiaTheme="minorEastAsia" w:hAnsiTheme="minorHAnsi" w:cstheme="minorBidi"/>
          <w:sz w:val="22"/>
          <w:szCs w:val="22"/>
        </w:rPr>
      </w:pPr>
      <w:r w:rsidRPr="00DD4EB8">
        <w:rPr>
          <w:lang w:val="en-US" w:eastAsia="zh-CN"/>
        </w:rPr>
        <w:t>11.2.3.1.1</w:t>
      </w:r>
      <w:r>
        <w:rPr>
          <w:rFonts w:asciiTheme="minorHAnsi" w:eastAsiaTheme="minorEastAsia" w:hAnsiTheme="minorHAnsi" w:cstheme="minorBidi"/>
          <w:sz w:val="22"/>
          <w:szCs w:val="22"/>
        </w:rPr>
        <w:tab/>
      </w:r>
      <w:r w:rsidRPr="00DD4EB8">
        <w:rPr>
          <w:lang w:val="en-US" w:eastAsia="zh-CN"/>
        </w:rPr>
        <w:t>Reporting of Channel Quality Indicator (CQI)</w:t>
      </w:r>
      <w:r>
        <w:tab/>
      </w:r>
      <w:r>
        <w:fldChar w:fldCharType="begin"/>
      </w:r>
      <w:r>
        <w:instrText xml:space="preserve"> PAGEREF _Toc106184249 \h </w:instrText>
      </w:r>
      <w:r>
        <w:fldChar w:fldCharType="separate"/>
      </w:r>
      <w:r>
        <w:t>167</w:t>
      </w:r>
      <w:r>
        <w:fldChar w:fldCharType="end"/>
      </w:r>
    </w:p>
    <w:p w14:paraId="7AFBABB0" w14:textId="3A077D3F" w:rsidR="003C625C" w:rsidRDefault="003C625C">
      <w:pPr>
        <w:pStyle w:val="TOC5"/>
        <w:rPr>
          <w:rFonts w:asciiTheme="minorHAnsi" w:eastAsiaTheme="minorEastAsia" w:hAnsiTheme="minorHAnsi" w:cstheme="minorBidi"/>
          <w:sz w:val="22"/>
          <w:szCs w:val="22"/>
        </w:rPr>
      </w:pPr>
      <w:r w:rsidRPr="00DD4EB8">
        <w:rPr>
          <w:lang w:val="en-US" w:eastAsia="zh-CN"/>
        </w:rPr>
        <w:t>11.2.3.1.2</w:t>
      </w:r>
      <w:r>
        <w:rPr>
          <w:rFonts w:asciiTheme="minorHAnsi" w:eastAsiaTheme="minorEastAsia" w:hAnsiTheme="minorHAnsi" w:cstheme="minorBidi"/>
          <w:sz w:val="22"/>
          <w:szCs w:val="22"/>
        </w:rPr>
        <w:tab/>
      </w:r>
      <w:r w:rsidRPr="00DD4EB8">
        <w:rPr>
          <w:lang w:val="en-US" w:eastAsia="zh-CN"/>
        </w:rPr>
        <w:t>Reporting of Precoding Matrix Indicator (PMI)</w:t>
      </w:r>
      <w:r>
        <w:tab/>
      </w:r>
      <w:r>
        <w:fldChar w:fldCharType="begin"/>
      </w:r>
      <w:r>
        <w:instrText xml:space="preserve"> PAGEREF _Toc106184250 \h </w:instrText>
      </w:r>
      <w:r>
        <w:fldChar w:fldCharType="separate"/>
      </w:r>
      <w:r>
        <w:t>167</w:t>
      </w:r>
      <w:r>
        <w:fldChar w:fldCharType="end"/>
      </w:r>
    </w:p>
    <w:p w14:paraId="23F66B5C" w14:textId="1C35D328" w:rsidR="003C625C" w:rsidRDefault="003C625C">
      <w:pPr>
        <w:pStyle w:val="TOC5"/>
        <w:rPr>
          <w:rFonts w:asciiTheme="minorHAnsi" w:eastAsiaTheme="minorEastAsia" w:hAnsiTheme="minorHAnsi" w:cstheme="minorBidi"/>
          <w:sz w:val="22"/>
          <w:szCs w:val="22"/>
        </w:rPr>
      </w:pPr>
      <w:r w:rsidRPr="00DD4EB8">
        <w:rPr>
          <w:lang w:val="en-US" w:eastAsia="zh-CN"/>
        </w:rPr>
        <w:t>11.2.3.1.3</w:t>
      </w:r>
      <w:r>
        <w:rPr>
          <w:rFonts w:asciiTheme="minorHAnsi" w:eastAsiaTheme="minorEastAsia" w:hAnsiTheme="minorHAnsi" w:cstheme="minorBidi"/>
          <w:sz w:val="22"/>
          <w:szCs w:val="22"/>
        </w:rPr>
        <w:tab/>
      </w:r>
      <w:r w:rsidRPr="00DD4EB8">
        <w:rPr>
          <w:lang w:val="en-US" w:eastAsia="zh-CN"/>
        </w:rPr>
        <w:t>Reporting of Rank Indicator (RI)</w:t>
      </w:r>
      <w:r>
        <w:tab/>
      </w:r>
      <w:r>
        <w:fldChar w:fldCharType="begin"/>
      </w:r>
      <w:r>
        <w:instrText xml:space="preserve"> PAGEREF _Toc106184251 \h </w:instrText>
      </w:r>
      <w:r>
        <w:fldChar w:fldCharType="separate"/>
      </w:r>
      <w:r>
        <w:t>167</w:t>
      </w:r>
      <w:r>
        <w:fldChar w:fldCharType="end"/>
      </w:r>
    </w:p>
    <w:p w14:paraId="3F817BF8" w14:textId="33843892" w:rsidR="003C625C" w:rsidRDefault="003C625C">
      <w:pPr>
        <w:pStyle w:val="TOC4"/>
        <w:rPr>
          <w:rFonts w:asciiTheme="minorHAnsi" w:eastAsiaTheme="minorEastAsia" w:hAnsiTheme="minorHAnsi" w:cstheme="minorBidi"/>
          <w:sz w:val="22"/>
          <w:szCs w:val="22"/>
        </w:rPr>
      </w:pPr>
      <w:r w:rsidRPr="00DD4EB8">
        <w:rPr>
          <w:lang w:val="en-US" w:eastAsia="zh-CN"/>
        </w:rPr>
        <w:t>11.2.3.2</w:t>
      </w:r>
      <w:r>
        <w:rPr>
          <w:rFonts w:asciiTheme="minorHAnsi" w:eastAsiaTheme="minorEastAsia" w:hAnsiTheme="minorHAnsi" w:cstheme="minorBidi"/>
          <w:sz w:val="22"/>
          <w:szCs w:val="22"/>
        </w:rPr>
        <w:tab/>
      </w:r>
      <w:r w:rsidRPr="00DD4EB8">
        <w:rPr>
          <w:lang w:val="en-US" w:eastAsia="zh-CN"/>
        </w:rPr>
        <w:t>Performance requirements for IAB type 2-O</w:t>
      </w:r>
      <w:r>
        <w:tab/>
      </w:r>
      <w:r>
        <w:fldChar w:fldCharType="begin"/>
      </w:r>
      <w:r>
        <w:instrText xml:space="preserve"> PAGEREF _Toc106184252 \h </w:instrText>
      </w:r>
      <w:r>
        <w:fldChar w:fldCharType="separate"/>
      </w:r>
      <w:r>
        <w:t>168</w:t>
      </w:r>
      <w:r>
        <w:fldChar w:fldCharType="end"/>
      </w:r>
    </w:p>
    <w:p w14:paraId="657DA0E0" w14:textId="06A3EB30" w:rsidR="003C625C" w:rsidRDefault="003C625C">
      <w:pPr>
        <w:pStyle w:val="TOC5"/>
        <w:rPr>
          <w:rFonts w:asciiTheme="minorHAnsi" w:eastAsiaTheme="minorEastAsia" w:hAnsiTheme="minorHAnsi" w:cstheme="minorBidi"/>
          <w:sz w:val="22"/>
          <w:szCs w:val="22"/>
        </w:rPr>
      </w:pPr>
      <w:r w:rsidRPr="00DD4EB8">
        <w:rPr>
          <w:lang w:val="en-US" w:eastAsia="zh-CN"/>
        </w:rPr>
        <w:t>11.2.3.2</w:t>
      </w:r>
      <w:r>
        <w:rPr>
          <w:lang w:eastAsia="zh-CN"/>
        </w:rPr>
        <w:t>.1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_Toc106184253 \h </w:instrText>
      </w:r>
      <w:r>
        <w:fldChar w:fldCharType="separate"/>
      </w:r>
      <w:r>
        <w:t>168</w:t>
      </w:r>
      <w:r>
        <w:fldChar w:fldCharType="end"/>
      </w:r>
    </w:p>
    <w:p w14:paraId="1F918BAA" w14:textId="1CBA5729" w:rsidR="003C625C" w:rsidRDefault="003C625C">
      <w:pPr>
        <w:pStyle w:val="TOC5"/>
        <w:rPr>
          <w:rFonts w:asciiTheme="minorHAnsi" w:eastAsiaTheme="minorEastAsia" w:hAnsiTheme="minorHAnsi" w:cstheme="minorBidi"/>
          <w:sz w:val="22"/>
          <w:szCs w:val="22"/>
        </w:rPr>
      </w:pPr>
      <w:r w:rsidRPr="00DD4EB8">
        <w:rPr>
          <w:lang w:val="en-US" w:eastAsia="zh-CN"/>
        </w:rPr>
        <w:t>11.2.3.2.</w:t>
      </w:r>
      <w:r>
        <w:rPr>
          <w:lang w:eastAsia="zh-CN"/>
        </w:rPr>
        <w:t>2</w:t>
      </w:r>
      <w:r>
        <w:rPr>
          <w:rFonts w:asciiTheme="minorHAnsi" w:eastAsiaTheme="minorEastAsia" w:hAnsiTheme="minorHAnsi" w:cstheme="minorBidi"/>
          <w:sz w:val="22"/>
          <w:szCs w:val="22"/>
        </w:rPr>
        <w:tab/>
      </w:r>
      <w:r w:rsidRPr="00DD4EB8">
        <w:rPr>
          <w:lang w:val="en-US" w:eastAsia="zh-CN"/>
        </w:rPr>
        <w:t>Reporting of Channel Quality Indicator (CQI)</w:t>
      </w:r>
      <w:r>
        <w:tab/>
      </w:r>
      <w:r>
        <w:fldChar w:fldCharType="begin"/>
      </w:r>
      <w:r>
        <w:instrText xml:space="preserve"> PAGEREF _Toc106184254 \h </w:instrText>
      </w:r>
      <w:r>
        <w:fldChar w:fldCharType="separate"/>
      </w:r>
      <w:r>
        <w:t>170</w:t>
      </w:r>
      <w:r>
        <w:fldChar w:fldCharType="end"/>
      </w:r>
    </w:p>
    <w:p w14:paraId="2DA7CDE1" w14:textId="549EAE21" w:rsidR="003C625C" w:rsidRDefault="003C625C">
      <w:pPr>
        <w:pStyle w:val="TOC5"/>
        <w:rPr>
          <w:rFonts w:asciiTheme="minorHAnsi" w:eastAsiaTheme="minorEastAsia" w:hAnsiTheme="minorHAnsi" w:cstheme="minorBidi"/>
          <w:sz w:val="22"/>
          <w:szCs w:val="22"/>
        </w:rPr>
      </w:pPr>
      <w:r w:rsidRPr="00DD4EB8">
        <w:rPr>
          <w:lang w:val="en-US" w:eastAsia="zh-CN"/>
        </w:rPr>
        <w:t>11.2.3.2.</w:t>
      </w:r>
      <w:r>
        <w:rPr>
          <w:lang w:eastAsia="zh-CN"/>
        </w:rPr>
        <w:t>3</w:t>
      </w:r>
      <w:r>
        <w:rPr>
          <w:rFonts w:asciiTheme="minorHAnsi" w:eastAsiaTheme="minorEastAsia" w:hAnsiTheme="minorHAnsi" w:cstheme="minorBidi"/>
          <w:sz w:val="22"/>
          <w:szCs w:val="22"/>
        </w:rPr>
        <w:tab/>
      </w:r>
      <w:r w:rsidRPr="00DD4EB8">
        <w:rPr>
          <w:lang w:val="en-US" w:eastAsia="zh-CN"/>
        </w:rPr>
        <w:t>Reporting of Precoding Matrix Indicator (PMI)</w:t>
      </w:r>
      <w:r>
        <w:tab/>
      </w:r>
      <w:r>
        <w:fldChar w:fldCharType="begin"/>
      </w:r>
      <w:r>
        <w:instrText xml:space="preserve"> PAGEREF _Toc106184255 \h </w:instrText>
      </w:r>
      <w:r>
        <w:fldChar w:fldCharType="separate"/>
      </w:r>
      <w:r>
        <w:t>171</w:t>
      </w:r>
      <w:r>
        <w:fldChar w:fldCharType="end"/>
      </w:r>
    </w:p>
    <w:p w14:paraId="1991F167" w14:textId="1005DE91" w:rsidR="003C625C" w:rsidRDefault="003C625C">
      <w:pPr>
        <w:pStyle w:val="TOC5"/>
        <w:rPr>
          <w:rFonts w:asciiTheme="minorHAnsi" w:eastAsiaTheme="minorEastAsia" w:hAnsiTheme="minorHAnsi" w:cstheme="minorBidi"/>
          <w:sz w:val="22"/>
          <w:szCs w:val="22"/>
        </w:rPr>
      </w:pPr>
      <w:r w:rsidRPr="00DD4EB8">
        <w:rPr>
          <w:lang w:val="en-US" w:eastAsia="zh-CN"/>
        </w:rPr>
        <w:t>11.2.3.2.</w:t>
      </w:r>
      <w:r>
        <w:rPr>
          <w:lang w:eastAsia="zh-CN"/>
        </w:rPr>
        <w:t>4</w:t>
      </w:r>
      <w:r>
        <w:rPr>
          <w:rFonts w:asciiTheme="minorHAnsi" w:eastAsiaTheme="minorEastAsia" w:hAnsiTheme="minorHAnsi" w:cstheme="minorBidi"/>
          <w:sz w:val="22"/>
          <w:szCs w:val="22"/>
        </w:rPr>
        <w:tab/>
      </w:r>
      <w:r w:rsidRPr="00DD4EB8">
        <w:rPr>
          <w:lang w:val="en-US" w:eastAsia="zh-CN"/>
        </w:rPr>
        <w:t>Reporting of Rank Indicator (RI)</w:t>
      </w:r>
      <w:r>
        <w:tab/>
      </w:r>
      <w:r>
        <w:fldChar w:fldCharType="begin"/>
      </w:r>
      <w:r>
        <w:instrText xml:space="preserve"> PAGEREF _Toc106184256 \h </w:instrText>
      </w:r>
      <w:r>
        <w:fldChar w:fldCharType="separate"/>
      </w:r>
      <w:r>
        <w:t>173</w:t>
      </w:r>
      <w:r>
        <w:fldChar w:fldCharType="end"/>
      </w:r>
    </w:p>
    <w:p w14:paraId="0EE6CCE5" w14:textId="07D8E4A2" w:rsidR="003C625C" w:rsidRDefault="003C625C">
      <w:pPr>
        <w:pStyle w:val="TOC1"/>
        <w:rPr>
          <w:rFonts w:asciiTheme="minorHAnsi" w:eastAsiaTheme="minorEastAsia" w:hAnsiTheme="minorHAnsi" w:cstheme="minorBidi"/>
          <w:szCs w:val="22"/>
        </w:rPr>
      </w:pPr>
      <w:r>
        <w:t>12</w:t>
      </w:r>
      <w:r>
        <w:rPr>
          <w:rFonts w:asciiTheme="minorHAnsi" w:eastAsiaTheme="minorEastAsia" w:hAnsiTheme="minorHAnsi" w:cstheme="minorBidi"/>
          <w:szCs w:val="22"/>
        </w:rPr>
        <w:tab/>
      </w:r>
      <w:r>
        <w:t>Radio Resource Management requirements</w:t>
      </w:r>
      <w:r>
        <w:tab/>
      </w:r>
      <w:r>
        <w:fldChar w:fldCharType="begin"/>
      </w:r>
      <w:r>
        <w:instrText xml:space="preserve"> PAGEREF _Toc106184257 \h </w:instrText>
      </w:r>
      <w:r>
        <w:fldChar w:fldCharType="separate"/>
      </w:r>
      <w:r>
        <w:t>175</w:t>
      </w:r>
      <w:r>
        <w:fldChar w:fldCharType="end"/>
      </w:r>
    </w:p>
    <w:p w14:paraId="474F23D0" w14:textId="45798666" w:rsidR="003C625C" w:rsidRDefault="003C625C">
      <w:pPr>
        <w:pStyle w:val="TOC2"/>
        <w:rPr>
          <w:rFonts w:asciiTheme="minorHAnsi" w:eastAsiaTheme="minorEastAsia" w:hAnsiTheme="minorHAnsi" w:cstheme="minorBidi"/>
          <w:sz w:val="22"/>
          <w:szCs w:val="22"/>
        </w:rPr>
      </w:pPr>
      <w:r>
        <w:t>12.1</w:t>
      </w:r>
      <w:r>
        <w:rPr>
          <w:rFonts w:asciiTheme="minorHAnsi" w:eastAsiaTheme="minorEastAsia" w:hAnsiTheme="minorHAnsi" w:cstheme="minorBidi"/>
          <w:sz w:val="22"/>
          <w:szCs w:val="22"/>
        </w:rPr>
        <w:tab/>
      </w:r>
      <w:r>
        <w:t>RRC_CONNECTED state mobility for IAB-MTs</w:t>
      </w:r>
      <w:r>
        <w:tab/>
      </w:r>
      <w:r>
        <w:fldChar w:fldCharType="begin"/>
      </w:r>
      <w:r>
        <w:instrText xml:space="preserve"> PAGEREF _Toc106184258 \h </w:instrText>
      </w:r>
      <w:r>
        <w:fldChar w:fldCharType="separate"/>
      </w:r>
      <w:r>
        <w:t>175</w:t>
      </w:r>
      <w:r>
        <w:fldChar w:fldCharType="end"/>
      </w:r>
    </w:p>
    <w:p w14:paraId="421DCC5D" w14:textId="7172E084" w:rsidR="003C625C" w:rsidRDefault="003C625C">
      <w:pPr>
        <w:pStyle w:val="TOC3"/>
        <w:rPr>
          <w:rFonts w:asciiTheme="minorHAnsi" w:eastAsiaTheme="minorEastAsia" w:hAnsiTheme="minorHAnsi" w:cstheme="minorBidi"/>
          <w:sz w:val="22"/>
          <w:szCs w:val="22"/>
        </w:rPr>
      </w:pPr>
      <w:r>
        <w:t>12.1.1</w:t>
      </w:r>
      <w:r>
        <w:rPr>
          <w:rFonts w:asciiTheme="minorHAnsi" w:eastAsiaTheme="minorEastAsia" w:hAnsiTheme="minorHAnsi" w:cstheme="minorBidi"/>
          <w:sz w:val="22"/>
          <w:szCs w:val="22"/>
        </w:rPr>
        <w:tab/>
      </w:r>
      <w:r>
        <w:t>RRC Connection Mobility Control</w:t>
      </w:r>
      <w:r>
        <w:tab/>
      </w:r>
      <w:r>
        <w:fldChar w:fldCharType="begin"/>
      </w:r>
      <w:r>
        <w:instrText xml:space="preserve"> PAGEREF _Toc106184259 \h </w:instrText>
      </w:r>
      <w:r>
        <w:fldChar w:fldCharType="separate"/>
      </w:r>
      <w:r>
        <w:t>175</w:t>
      </w:r>
      <w:r>
        <w:fldChar w:fldCharType="end"/>
      </w:r>
    </w:p>
    <w:p w14:paraId="0C35D18C" w14:textId="460F792F" w:rsidR="003C625C" w:rsidRDefault="003C625C">
      <w:pPr>
        <w:pStyle w:val="TOC4"/>
        <w:rPr>
          <w:rFonts w:asciiTheme="minorHAnsi" w:eastAsiaTheme="minorEastAsia" w:hAnsiTheme="minorHAnsi" w:cstheme="minorBidi"/>
          <w:sz w:val="22"/>
          <w:szCs w:val="22"/>
        </w:rPr>
      </w:pPr>
      <w:r>
        <w:t>12.1.1.1</w:t>
      </w:r>
      <w:r>
        <w:rPr>
          <w:rFonts w:asciiTheme="minorHAnsi" w:eastAsiaTheme="minorEastAsia" w:hAnsiTheme="minorHAnsi" w:cstheme="minorBidi"/>
          <w:sz w:val="22"/>
          <w:szCs w:val="22"/>
        </w:rPr>
        <w:tab/>
      </w:r>
      <w:r>
        <w:t>SA: RRC Re-establishment</w:t>
      </w:r>
      <w:r>
        <w:tab/>
      </w:r>
      <w:r>
        <w:fldChar w:fldCharType="begin"/>
      </w:r>
      <w:r>
        <w:instrText xml:space="preserve"> PAGEREF _Toc106184260 \h </w:instrText>
      </w:r>
      <w:r>
        <w:fldChar w:fldCharType="separate"/>
      </w:r>
      <w:r>
        <w:t>175</w:t>
      </w:r>
      <w:r>
        <w:fldChar w:fldCharType="end"/>
      </w:r>
    </w:p>
    <w:p w14:paraId="07B49F76" w14:textId="7E83B46F" w:rsidR="003C625C" w:rsidRDefault="003C625C">
      <w:pPr>
        <w:pStyle w:val="TOC5"/>
        <w:rPr>
          <w:rFonts w:asciiTheme="minorHAnsi" w:eastAsiaTheme="minorEastAsia" w:hAnsiTheme="minorHAnsi" w:cstheme="minorBidi"/>
          <w:sz w:val="22"/>
          <w:szCs w:val="22"/>
        </w:rPr>
      </w:pPr>
      <w:r w:rsidRPr="00DD4EB8">
        <w:rPr>
          <w:rFonts w:eastAsia="SimSun"/>
        </w:rPr>
        <w:t>12.1.1.1.1</w:t>
      </w:r>
      <w:r>
        <w:rPr>
          <w:rFonts w:asciiTheme="minorHAnsi" w:eastAsiaTheme="minorEastAsia" w:hAnsiTheme="minorHAnsi" w:cstheme="minorBidi"/>
          <w:sz w:val="22"/>
          <w:szCs w:val="22"/>
        </w:rPr>
        <w:tab/>
      </w:r>
      <w:r>
        <w:t>Introduction</w:t>
      </w:r>
      <w:r>
        <w:tab/>
      </w:r>
      <w:r>
        <w:fldChar w:fldCharType="begin"/>
      </w:r>
      <w:r>
        <w:instrText xml:space="preserve"> PAGEREF _Toc106184261 \h </w:instrText>
      </w:r>
      <w:r>
        <w:fldChar w:fldCharType="separate"/>
      </w:r>
      <w:r>
        <w:t>175</w:t>
      </w:r>
      <w:r>
        <w:fldChar w:fldCharType="end"/>
      </w:r>
    </w:p>
    <w:p w14:paraId="37561CCD" w14:textId="45430AC9" w:rsidR="003C625C" w:rsidRDefault="003C625C">
      <w:pPr>
        <w:pStyle w:val="TOC5"/>
        <w:rPr>
          <w:rFonts w:asciiTheme="minorHAnsi" w:eastAsiaTheme="minorEastAsia" w:hAnsiTheme="minorHAnsi" w:cstheme="minorBidi"/>
          <w:sz w:val="22"/>
          <w:szCs w:val="22"/>
        </w:rPr>
      </w:pPr>
      <w:r w:rsidRPr="00DD4EB8">
        <w:rPr>
          <w:rFonts w:eastAsia="SimSun"/>
        </w:rPr>
        <w:t>12.1.1.1.2</w:t>
      </w:r>
      <w:r>
        <w:rPr>
          <w:rFonts w:asciiTheme="minorHAnsi" w:eastAsiaTheme="minorEastAsia" w:hAnsiTheme="minorHAnsi" w:cstheme="minorBidi"/>
          <w:sz w:val="22"/>
          <w:szCs w:val="22"/>
        </w:rPr>
        <w:tab/>
      </w:r>
      <w:r>
        <w:t>Requirements</w:t>
      </w:r>
      <w:r>
        <w:tab/>
      </w:r>
      <w:r>
        <w:fldChar w:fldCharType="begin"/>
      </w:r>
      <w:r>
        <w:instrText xml:space="preserve"> PAGEREF _Toc106184262 \h </w:instrText>
      </w:r>
      <w:r>
        <w:fldChar w:fldCharType="separate"/>
      </w:r>
      <w:r>
        <w:t>175</w:t>
      </w:r>
      <w:r>
        <w:fldChar w:fldCharType="end"/>
      </w:r>
    </w:p>
    <w:p w14:paraId="7D9BC161" w14:textId="67D2B275" w:rsidR="003C625C" w:rsidRDefault="003C625C">
      <w:pPr>
        <w:pStyle w:val="TOC6"/>
        <w:rPr>
          <w:rFonts w:asciiTheme="minorHAnsi" w:eastAsiaTheme="minorEastAsia" w:hAnsiTheme="minorHAnsi" w:cstheme="minorBidi"/>
          <w:sz w:val="22"/>
          <w:szCs w:val="22"/>
        </w:rPr>
      </w:pPr>
      <w:r w:rsidRPr="00DD4EB8">
        <w:rPr>
          <w:rFonts w:eastAsia="SimSun"/>
        </w:rPr>
        <w:t>12.1.1.1.2.1</w:t>
      </w:r>
      <w:r>
        <w:rPr>
          <w:rFonts w:asciiTheme="minorHAnsi" w:eastAsiaTheme="minorEastAsia" w:hAnsiTheme="minorHAnsi" w:cstheme="minorBidi"/>
          <w:sz w:val="22"/>
          <w:szCs w:val="22"/>
        </w:rPr>
        <w:tab/>
      </w:r>
      <w:r>
        <w:t>IAB MT Re-establishment delay requirement</w:t>
      </w:r>
      <w:r>
        <w:tab/>
      </w:r>
      <w:r>
        <w:fldChar w:fldCharType="begin"/>
      </w:r>
      <w:r>
        <w:instrText xml:space="preserve"> PAGEREF _Toc106184263 \h </w:instrText>
      </w:r>
      <w:r>
        <w:fldChar w:fldCharType="separate"/>
      </w:r>
      <w:r>
        <w:t>175</w:t>
      </w:r>
      <w:r>
        <w:fldChar w:fldCharType="end"/>
      </w:r>
    </w:p>
    <w:p w14:paraId="5B56AF6E" w14:textId="0DF9FF29" w:rsidR="003C625C" w:rsidRDefault="003C625C">
      <w:pPr>
        <w:pStyle w:val="TOC4"/>
        <w:rPr>
          <w:rFonts w:asciiTheme="minorHAnsi" w:eastAsiaTheme="minorEastAsia" w:hAnsiTheme="minorHAnsi" w:cstheme="minorBidi"/>
          <w:sz w:val="22"/>
          <w:szCs w:val="22"/>
        </w:rPr>
      </w:pPr>
      <w:r>
        <w:t>12.1.1.2</w:t>
      </w:r>
      <w:r>
        <w:rPr>
          <w:rFonts w:asciiTheme="minorHAnsi" w:eastAsiaTheme="minorEastAsia" w:hAnsiTheme="minorHAnsi" w:cstheme="minorBidi"/>
          <w:sz w:val="22"/>
          <w:szCs w:val="22"/>
        </w:rPr>
        <w:tab/>
      </w:r>
      <w:r>
        <w:t>Random access</w:t>
      </w:r>
      <w:r>
        <w:tab/>
      </w:r>
      <w:r>
        <w:fldChar w:fldCharType="begin"/>
      </w:r>
      <w:r>
        <w:instrText xml:space="preserve"> PAGEREF _Toc106184264 \h </w:instrText>
      </w:r>
      <w:r>
        <w:fldChar w:fldCharType="separate"/>
      </w:r>
      <w:r>
        <w:t>176</w:t>
      </w:r>
      <w:r>
        <w:fldChar w:fldCharType="end"/>
      </w:r>
    </w:p>
    <w:p w14:paraId="2794FF48" w14:textId="5FA93E48" w:rsidR="003C625C" w:rsidRDefault="003C625C">
      <w:pPr>
        <w:pStyle w:val="TOC4"/>
        <w:rPr>
          <w:rFonts w:asciiTheme="minorHAnsi" w:eastAsiaTheme="minorEastAsia" w:hAnsiTheme="minorHAnsi" w:cstheme="minorBidi"/>
          <w:sz w:val="22"/>
          <w:szCs w:val="22"/>
        </w:rPr>
      </w:pPr>
      <w:r>
        <w:t>12.1.1.3</w:t>
      </w:r>
      <w:r>
        <w:rPr>
          <w:rFonts w:asciiTheme="minorHAnsi" w:eastAsiaTheme="minorEastAsia" w:hAnsiTheme="minorHAnsi" w:cstheme="minorBidi"/>
          <w:sz w:val="22"/>
          <w:szCs w:val="22"/>
        </w:rPr>
        <w:tab/>
      </w:r>
      <w:r>
        <w:t>SA: RRC Connection Release with Redirection</w:t>
      </w:r>
      <w:r>
        <w:tab/>
      </w:r>
      <w:r>
        <w:fldChar w:fldCharType="begin"/>
      </w:r>
      <w:r>
        <w:instrText xml:space="preserve"> PAGEREF _Toc106184265 \h </w:instrText>
      </w:r>
      <w:r>
        <w:fldChar w:fldCharType="separate"/>
      </w:r>
      <w:r>
        <w:t>177</w:t>
      </w:r>
      <w:r>
        <w:fldChar w:fldCharType="end"/>
      </w:r>
    </w:p>
    <w:p w14:paraId="1A122B59" w14:textId="608F5831" w:rsidR="003C625C" w:rsidRDefault="003C625C">
      <w:pPr>
        <w:pStyle w:val="TOC5"/>
        <w:rPr>
          <w:rFonts w:asciiTheme="minorHAnsi" w:eastAsiaTheme="minorEastAsia" w:hAnsiTheme="minorHAnsi" w:cstheme="minorBidi"/>
          <w:sz w:val="22"/>
          <w:szCs w:val="22"/>
        </w:rPr>
      </w:pPr>
      <w:r>
        <w:t>12.1.1.3.1</w:t>
      </w:r>
      <w:r>
        <w:rPr>
          <w:rFonts w:asciiTheme="minorHAnsi" w:eastAsiaTheme="minorEastAsia" w:hAnsiTheme="minorHAnsi" w:cstheme="minorBidi"/>
          <w:sz w:val="22"/>
          <w:szCs w:val="22"/>
        </w:rPr>
        <w:tab/>
      </w:r>
      <w:r>
        <w:t>Introduction</w:t>
      </w:r>
      <w:r>
        <w:tab/>
      </w:r>
      <w:r>
        <w:fldChar w:fldCharType="begin"/>
      </w:r>
      <w:r>
        <w:instrText xml:space="preserve"> PAGEREF _Toc106184266 \h </w:instrText>
      </w:r>
      <w:r>
        <w:fldChar w:fldCharType="separate"/>
      </w:r>
      <w:r>
        <w:t>177</w:t>
      </w:r>
      <w:r>
        <w:fldChar w:fldCharType="end"/>
      </w:r>
    </w:p>
    <w:p w14:paraId="4615C608" w14:textId="3D302097" w:rsidR="003C625C" w:rsidRDefault="003C625C">
      <w:pPr>
        <w:pStyle w:val="TOC5"/>
        <w:rPr>
          <w:rFonts w:asciiTheme="minorHAnsi" w:eastAsiaTheme="minorEastAsia" w:hAnsiTheme="minorHAnsi" w:cstheme="minorBidi"/>
          <w:sz w:val="22"/>
          <w:szCs w:val="22"/>
        </w:rPr>
      </w:pPr>
      <w:r>
        <w:t>12.1.1.3.2</w:t>
      </w:r>
      <w:r>
        <w:rPr>
          <w:rFonts w:asciiTheme="minorHAnsi" w:eastAsiaTheme="minorEastAsia" w:hAnsiTheme="minorHAnsi" w:cstheme="minorBidi"/>
          <w:sz w:val="22"/>
          <w:szCs w:val="22"/>
        </w:rPr>
        <w:tab/>
      </w:r>
      <w:r>
        <w:t>Requirements</w:t>
      </w:r>
      <w:r>
        <w:tab/>
      </w:r>
      <w:r>
        <w:fldChar w:fldCharType="begin"/>
      </w:r>
      <w:r>
        <w:instrText xml:space="preserve"> PAGEREF _Toc106184267 \h </w:instrText>
      </w:r>
      <w:r>
        <w:fldChar w:fldCharType="separate"/>
      </w:r>
      <w:r>
        <w:t>177</w:t>
      </w:r>
      <w:r>
        <w:fldChar w:fldCharType="end"/>
      </w:r>
    </w:p>
    <w:p w14:paraId="4C5AEC6F" w14:textId="10602CC7" w:rsidR="003C625C" w:rsidRDefault="003C625C">
      <w:pPr>
        <w:pStyle w:val="TOC6"/>
        <w:rPr>
          <w:rFonts w:asciiTheme="minorHAnsi" w:eastAsiaTheme="minorEastAsia" w:hAnsiTheme="minorHAnsi" w:cstheme="minorBidi"/>
          <w:sz w:val="22"/>
          <w:szCs w:val="22"/>
        </w:rPr>
      </w:pPr>
      <w:r>
        <w:t>12.1.1.3.2.1</w:t>
      </w:r>
      <w:r>
        <w:rPr>
          <w:rFonts w:asciiTheme="minorHAnsi" w:eastAsiaTheme="minorEastAsia" w:hAnsiTheme="minorHAnsi" w:cstheme="minorBidi"/>
          <w:sz w:val="22"/>
          <w:szCs w:val="22"/>
        </w:rPr>
        <w:tab/>
      </w:r>
      <w:r>
        <w:t>RRC connection release with redirection to NR</w:t>
      </w:r>
      <w:r>
        <w:tab/>
      </w:r>
      <w:r>
        <w:fldChar w:fldCharType="begin"/>
      </w:r>
      <w:r>
        <w:instrText xml:space="preserve"> PAGEREF _Toc106184268 \h </w:instrText>
      </w:r>
      <w:r>
        <w:fldChar w:fldCharType="separate"/>
      </w:r>
      <w:r>
        <w:t>177</w:t>
      </w:r>
      <w:r>
        <w:fldChar w:fldCharType="end"/>
      </w:r>
    </w:p>
    <w:p w14:paraId="572D3BC2" w14:textId="1370D4BA" w:rsidR="003C625C" w:rsidRDefault="003C625C">
      <w:pPr>
        <w:pStyle w:val="TOC2"/>
        <w:rPr>
          <w:rFonts w:asciiTheme="minorHAnsi" w:eastAsiaTheme="minorEastAsia" w:hAnsiTheme="minorHAnsi" w:cstheme="minorBidi"/>
          <w:sz w:val="22"/>
          <w:szCs w:val="22"/>
        </w:rPr>
      </w:pPr>
      <w:r>
        <w:t>12.2</w:t>
      </w:r>
      <w:r>
        <w:rPr>
          <w:rFonts w:asciiTheme="minorHAnsi" w:eastAsiaTheme="minorEastAsia" w:hAnsiTheme="minorHAnsi" w:cstheme="minorBidi"/>
          <w:sz w:val="22"/>
          <w:szCs w:val="22"/>
        </w:rPr>
        <w:tab/>
      </w:r>
      <w:r>
        <w:t>Timing</w:t>
      </w:r>
      <w:r>
        <w:tab/>
      </w:r>
      <w:r>
        <w:fldChar w:fldCharType="begin"/>
      </w:r>
      <w:r>
        <w:instrText xml:space="preserve"> PAGEREF _Toc106184269 \h </w:instrText>
      </w:r>
      <w:r>
        <w:fldChar w:fldCharType="separate"/>
      </w:r>
      <w:r>
        <w:t>178</w:t>
      </w:r>
      <w:r>
        <w:fldChar w:fldCharType="end"/>
      </w:r>
    </w:p>
    <w:p w14:paraId="7D5A6EB8" w14:textId="478CA41F" w:rsidR="003C625C" w:rsidRDefault="003C625C">
      <w:pPr>
        <w:pStyle w:val="TOC3"/>
        <w:rPr>
          <w:rFonts w:asciiTheme="minorHAnsi" w:eastAsiaTheme="minorEastAsia" w:hAnsiTheme="minorHAnsi" w:cstheme="minorBidi"/>
          <w:sz w:val="22"/>
          <w:szCs w:val="22"/>
        </w:rPr>
      </w:pPr>
      <w:r>
        <w:t>12.2.1</w:t>
      </w:r>
      <w:r>
        <w:rPr>
          <w:rFonts w:asciiTheme="minorHAnsi" w:eastAsiaTheme="minorEastAsia" w:hAnsiTheme="minorHAnsi" w:cstheme="minorBidi"/>
          <w:sz w:val="22"/>
          <w:szCs w:val="22"/>
        </w:rPr>
        <w:tab/>
      </w:r>
      <w:r>
        <w:t>IAB-MT transmit timing</w:t>
      </w:r>
      <w:r>
        <w:tab/>
      </w:r>
      <w:r>
        <w:fldChar w:fldCharType="begin"/>
      </w:r>
      <w:r>
        <w:instrText xml:space="preserve"> PAGEREF _Toc106184270 \h </w:instrText>
      </w:r>
      <w:r>
        <w:fldChar w:fldCharType="separate"/>
      </w:r>
      <w:r>
        <w:t>178</w:t>
      </w:r>
      <w:r>
        <w:fldChar w:fldCharType="end"/>
      </w:r>
    </w:p>
    <w:p w14:paraId="1156829B" w14:textId="2A267761" w:rsidR="003C625C" w:rsidRDefault="003C625C">
      <w:pPr>
        <w:pStyle w:val="TOC4"/>
        <w:rPr>
          <w:rFonts w:asciiTheme="minorHAnsi" w:eastAsiaTheme="minorEastAsia" w:hAnsiTheme="minorHAnsi" w:cstheme="minorBidi"/>
          <w:sz w:val="22"/>
          <w:szCs w:val="22"/>
        </w:rPr>
      </w:pPr>
      <w:r w:rsidRPr="00DD4EB8">
        <w:rPr>
          <w:rFonts w:eastAsia="SimSun"/>
        </w:rPr>
        <w:t>12.2.1.1</w:t>
      </w:r>
      <w:r>
        <w:rPr>
          <w:rFonts w:asciiTheme="minorHAnsi" w:eastAsiaTheme="minorEastAsia" w:hAnsiTheme="minorHAnsi" w:cstheme="minorBidi"/>
          <w:sz w:val="22"/>
          <w:szCs w:val="22"/>
        </w:rPr>
        <w:tab/>
      </w:r>
      <w:r w:rsidRPr="00DD4EB8">
        <w:rPr>
          <w:rFonts w:eastAsia="SimSun"/>
        </w:rPr>
        <w:t>Introduction</w:t>
      </w:r>
      <w:r>
        <w:tab/>
      </w:r>
      <w:r>
        <w:fldChar w:fldCharType="begin"/>
      </w:r>
      <w:r>
        <w:instrText xml:space="preserve"> PAGEREF _Toc106184271 \h </w:instrText>
      </w:r>
      <w:r>
        <w:fldChar w:fldCharType="separate"/>
      </w:r>
      <w:r>
        <w:t>178</w:t>
      </w:r>
      <w:r>
        <w:fldChar w:fldCharType="end"/>
      </w:r>
    </w:p>
    <w:p w14:paraId="3EDD2E3B" w14:textId="4872666F" w:rsidR="003C625C" w:rsidRDefault="003C625C">
      <w:pPr>
        <w:pStyle w:val="TOC4"/>
        <w:rPr>
          <w:rFonts w:asciiTheme="minorHAnsi" w:eastAsiaTheme="minorEastAsia" w:hAnsiTheme="minorHAnsi" w:cstheme="minorBidi"/>
          <w:sz w:val="22"/>
          <w:szCs w:val="22"/>
        </w:rPr>
      </w:pPr>
      <w:r w:rsidRPr="00DD4EB8">
        <w:rPr>
          <w:rFonts w:eastAsia="SimSun"/>
        </w:rPr>
        <w:t>12.2.1.2</w:t>
      </w:r>
      <w:r>
        <w:rPr>
          <w:rFonts w:asciiTheme="minorHAnsi" w:eastAsiaTheme="minorEastAsia" w:hAnsiTheme="minorHAnsi" w:cstheme="minorBidi"/>
          <w:sz w:val="22"/>
          <w:szCs w:val="22"/>
        </w:rPr>
        <w:tab/>
      </w:r>
      <w:r w:rsidRPr="00DD4EB8">
        <w:rPr>
          <w:rFonts w:eastAsia="SimSun"/>
        </w:rPr>
        <w:t>Requirements</w:t>
      </w:r>
      <w:r>
        <w:tab/>
      </w:r>
      <w:r>
        <w:fldChar w:fldCharType="begin"/>
      </w:r>
      <w:r>
        <w:instrText xml:space="preserve"> PAGEREF _Toc106184272 \h </w:instrText>
      </w:r>
      <w:r>
        <w:fldChar w:fldCharType="separate"/>
      </w:r>
      <w:r>
        <w:t>178</w:t>
      </w:r>
      <w:r>
        <w:fldChar w:fldCharType="end"/>
      </w:r>
    </w:p>
    <w:p w14:paraId="46435092" w14:textId="60B88C1C" w:rsidR="003C625C" w:rsidRDefault="003C625C">
      <w:pPr>
        <w:pStyle w:val="TOC5"/>
        <w:rPr>
          <w:rFonts w:asciiTheme="minorHAnsi" w:eastAsiaTheme="minorEastAsia" w:hAnsiTheme="minorHAnsi" w:cstheme="minorBidi"/>
          <w:sz w:val="22"/>
          <w:szCs w:val="22"/>
        </w:rPr>
      </w:pPr>
      <w:r w:rsidRPr="00DD4EB8">
        <w:rPr>
          <w:rFonts w:eastAsia="SimSun"/>
          <w:lang w:eastAsia="zh-CN"/>
        </w:rPr>
        <w:t>12.2.1.2.1</w:t>
      </w:r>
      <w:r>
        <w:rPr>
          <w:rFonts w:asciiTheme="minorHAnsi" w:eastAsiaTheme="minorEastAsia" w:hAnsiTheme="minorHAnsi" w:cstheme="minorBidi"/>
          <w:sz w:val="22"/>
          <w:szCs w:val="22"/>
        </w:rPr>
        <w:tab/>
      </w:r>
      <w:r w:rsidRPr="00DD4EB8">
        <w:rPr>
          <w:rFonts w:eastAsia="SimSun"/>
          <w:lang w:eastAsia="zh-CN"/>
        </w:rPr>
        <w:t>Gradual timing adjustment</w:t>
      </w:r>
      <w:r>
        <w:tab/>
      </w:r>
      <w:r>
        <w:fldChar w:fldCharType="begin"/>
      </w:r>
      <w:r>
        <w:instrText xml:space="preserve"> PAGEREF _Toc106184273 \h </w:instrText>
      </w:r>
      <w:r>
        <w:fldChar w:fldCharType="separate"/>
      </w:r>
      <w:r>
        <w:t>179</w:t>
      </w:r>
      <w:r>
        <w:fldChar w:fldCharType="end"/>
      </w:r>
    </w:p>
    <w:p w14:paraId="1F76C14A" w14:textId="1E15CC71" w:rsidR="003C625C" w:rsidRDefault="003C625C">
      <w:pPr>
        <w:pStyle w:val="TOC3"/>
        <w:rPr>
          <w:rFonts w:asciiTheme="minorHAnsi" w:eastAsiaTheme="minorEastAsia" w:hAnsiTheme="minorHAnsi" w:cstheme="minorBidi"/>
          <w:sz w:val="22"/>
          <w:szCs w:val="22"/>
        </w:rPr>
      </w:pPr>
      <w:r>
        <w:t>12.2.3</w:t>
      </w:r>
      <w:r>
        <w:rPr>
          <w:rFonts w:asciiTheme="minorHAnsi" w:eastAsiaTheme="minorEastAsia" w:hAnsiTheme="minorHAnsi" w:cstheme="minorBidi"/>
          <w:sz w:val="22"/>
          <w:szCs w:val="22"/>
        </w:rPr>
        <w:tab/>
      </w:r>
      <w:r>
        <w:t>IAB-MT timing advance</w:t>
      </w:r>
      <w:r>
        <w:tab/>
      </w:r>
      <w:r>
        <w:fldChar w:fldCharType="begin"/>
      </w:r>
      <w:r>
        <w:instrText xml:space="preserve"> PAGEREF _Toc106184274 \h </w:instrText>
      </w:r>
      <w:r>
        <w:fldChar w:fldCharType="separate"/>
      </w:r>
      <w:r>
        <w:t>179</w:t>
      </w:r>
      <w:r>
        <w:fldChar w:fldCharType="end"/>
      </w:r>
    </w:p>
    <w:p w14:paraId="29E1FBF7" w14:textId="2E1341D9" w:rsidR="003C625C" w:rsidRDefault="003C625C">
      <w:pPr>
        <w:pStyle w:val="TOC3"/>
        <w:rPr>
          <w:rFonts w:asciiTheme="minorHAnsi" w:eastAsiaTheme="minorEastAsia" w:hAnsiTheme="minorHAnsi" w:cstheme="minorBidi"/>
          <w:sz w:val="22"/>
          <w:szCs w:val="22"/>
        </w:rPr>
      </w:pPr>
      <w:r>
        <w:t>12.2.4</w:t>
      </w:r>
      <w:r>
        <w:rPr>
          <w:rFonts w:asciiTheme="minorHAnsi" w:eastAsiaTheme="minorEastAsia" w:hAnsiTheme="minorHAnsi" w:cstheme="minorBidi"/>
          <w:sz w:val="22"/>
          <w:szCs w:val="22"/>
        </w:rPr>
        <w:tab/>
      </w:r>
      <w:r>
        <w:t>Cell phase synchronization accuracy</w:t>
      </w:r>
      <w:r>
        <w:tab/>
      </w:r>
      <w:r>
        <w:fldChar w:fldCharType="begin"/>
      </w:r>
      <w:r>
        <w:instrText xml:space="preserve"> PAGEREF _Toc106184275 \h </w:instrText>
      </w:r>
      <w:r>
        <w:fldChar w:fldCharType="separate"/>
      </w:r>
      <w:r>
        <w:t>179</w:t>
      </w:r>
      <w:r>
        <w:fldChar w:fldCharType="end"/>
      </w:r>
    </w:p>
    <w:p w14:paraId="5D8C0287" w14:textId="6ADBAFB7" w:rsidR="003C625C" w:rsidRDefault="003C625C">
      <w:pPr>
        <w:pStyle w:val="TOC4"/>
        <w:rPr>
          <w:rFonts w:asciiTheme="minorHAnsi" w:eastAsiaTheme="minorEastAsia" w:hAnsiTheme="minorHAnsi" w:cstheme="minorBidi"/>
          <w:sz w:val="22"/>
          <w:szCs w:val="22"/>
        </w:rPr>
      </w:pPr>
      <w:r>
        <w:t>12.2.4.1</w:t>
      </w:r>
      <w:r>
        <w:rPr>
          <w:rFonts w:asciiTheme="minorHAnsi" w:eastAsiaTheme="minorEastAsia" w:hAnsiTheme="minorHAnsi" w:cstheme="minorBidi"/>
          <w:sz w:val="22"/>
          <w:szCs w:val="22"/>
        </w:rPr>
        <w:tab/>
      </w:r>
      <w:r>
        <w:t>Introduction</w:t>
      </w:r>
      <w:r>
        <w:tab/>
      </w:r>
      <w:r>
        <w:fldChar w:fldCharType="begin"/>
      </w:r>
      <w:r>
        <w:instrText xml:space="preserve"> PAGEREF _Toc106184276 \h </w:instrText>
      </w:r>
      <w:r>
        <w:fldChar w:fldCharType="separate"/>
      </w:r>
      <w:r>
        <w:t>179</w:t>
      </w:r>
      <w:r>
        <w:fldChar w:fldCharType="end"/>
      </w:r>
    </w:p>
    <w:p w14:paraId="5F49E00A" w14:textId="62E40314" w:rsidR="003C625C" w:rsidRDefault="003C625C">
      <w:pPr>
        <w:pStyle w:val="TOC4"/>
        <w:rPr>
          <w:rFonts w:asciiTheme="minorHAnsi" w:eastAsiaTheme="minorEastAsia" w:hAnsiTheme="minorHAnsi" w:cstheme="minorBidi"/>
          <w:sz w:val="22"/>
          <w:szCs w:val="22"/>
        </w:rPr>
      </w:pPr>
      <w:r>
        <w:t>12.2.4.2</w:t>
      </w:r>
      <w:r>
        <w:rPr>
          <w:rFonts w:asciiTheme="minorHAnsi" w:eastAsiaTheme="minorEastAsia" w:hAnsiTheme="minorHAnsi" w:cstheme="minorBidi"/>
          <w:sz w:val="22"/>
          <w:szCs w:val="22"/>
        </w:rPr>
        <w:tab/>
      </w:r>
      <w:r>
        <w:t>Requirements</w:t>
      </w:r>
      <w:r>
        <w:tab/>
      </w:r>
      <w:r>
        <w:fldChar w:fldCharType="begin"/>
      </w:r>
      <w:r>
        <w:instrText xml:space="preserve"> PAGEREF _Toc106184277 \h </w:instrText>
      </w:r>
      <w:r>
        <w:fldChar w:fldCharType="separate"/>
      </w:r>
      <w:r>
        <w:t>179</w:t>
      </w:r>
      <w:r>
        <w:fldChar w:fldCharType="end"/>
      </w:r>
    </w:p>
    <w:p w14:paraId="3024C829" w14:textId="16DDE2BE" w:rsidR="003C625C" w:rsidRDefault="003C625C">
      <w:pPr>
        <w:pStyle w:val="TOC2"/>
        <w:rPr>
          <w:rFonts w:asciiTheme="minorHAnsi" w:eastAsiaTheme="minorEastAsia" w:hAnsiTheme="minorHAnsi" w:cstheme="minorBidi"/>
          <w:sz w:val="22"/>
          <w:szCs w:val="22"/>
        </w:rPr>
      </w:pPr>
      <w:r>
        <w:t>12.3</w:t>
      </w:r>
      <w:r>
        <w:rPr>
          <w:rFonts w:asciiTheme="minorHAnsi" w:eastAsiaTheme="minorEastAsia" w:hAnsiTheme="minorHAnsi" w:cstheme="minorBidi"/>
          <w:sz w:val="22"/>
          <w:szCs w:val="22"/>
        </w:rPr>
        <w:tab/>
      </w:r>
      <w:r>
        <w:t>Signalling Characteristics for IAB MTs</w:t>
      </w:r>
      <w:r>
        <w:tab/>
      </w:r>
      <w:r>
        <w:fldChar w:fldCharType="begin"/>
      </w:r>
      <w:r>
        <w:instrText xml:space="preserve"> PAGEREF _Toc106184278 \h </w:instrText>
      </w:r>
      <w:r>
        <w:fldChar w:fldCharType="separate"/>
      </w:r>
      <w:r>
        <w:t>179</w:t>
      </w:r>
      <w:r>
        <w:fldChar w:fldCharType="end"/>
      </w:r>
    </w:p>
    <w:p w14:paraId="0E1F8F49" w14:textId="40F422A0" w:rsidR="003C625C" w:rsidRDefault="003C625C">
      <w:pPr>
        <w:pStyle w:val="TOC3"/>
        <w:rPr>
          <w:rFonts w:asciiTheme="minorHAnsi" w:eastAsiaTheme="minorEastAsia" w:hAnsiTheme="minorHAnsi" w:cstheme="minorBidi"/>
          <w:sz w:val="22"/>
          <w:szCs w:val="22"/>
        </w:rPr>
      </w:pPr>
      <w:r>
        <w:t>12.3.1</w:t>
      </w:r>
      <w:r>
        <w:rPr>
          <w:rFonts w:asciiTheme="minorHAnsi" w:eastAsiaTheme="minorEastAsia" w:hAnsiTheme="minorHAnsi" w:cstheme="minorBidi"/>
          <w:sz w:val="22"/>
          <w:szCs w:val="22"/>
        </w:rPr>
        <w:tab/>
      </w:r>
      <w:r>
        <w:t>Radio Link Monitoring</w:t>
      </w:r>
      <w:r>
        <w:tab/>
      </w:r>
      <w:r>
        <w:fldChar w:fldCharType="begin"/>
      </w:r>
      <w:r>
        <w:instrText xml:space="preserve"> PAGEREF _Toc106184279 \h </w:instrText>
      </w:r>
      <w:r>
        <w:fldChar w:fldCharType="separate"/>
      </w:r>
      <w:r>
        <w:t>179</w:t>
      </w:r>
      <w:r>
        <w:fldChar w:fldCharType="end"/>
      </w:r>
    </w:p>
    <w:p w14:paraId="6BC89472" w14:textId="7FA36A12" w:rsidR="003C625C" w:rsidRDefault="003C625C">
      <w:pPr>
        <w:pStyle w:val="TOC4"/>
        <w:rPr>
          <w:rFonts w:asciiTheme="minorHAnsi" w:eastAsiaTheme="minorEastAsia" w:hAnsiTheme="minorHAnsi" w:cstheme="minorBidi"/>
          <w:sz w:val="22"/>
          <w:szCs w:val="22"/>
        </w:rPr>
      </w:pPr>
      <w:r>
        <w:t>12.3.1.1</w:t>
      </w:r>
      <w:r>
        <w:rPr>
          <w:rFonts w:asciiTheme="minorHAnsi" w:eastAsiaTheme="minorEastAsia" w:hAnsiTheme="minorHAnsi" w:cstheme="minorBidi"/>
          <w:sz w:val="22"/>
          <w:szCs w:val="22"/>
        </w:rPr>
        <w:tab/>
      </w:r>
      <w:r>
        <w:t>Introduction</w:t>
      </w:r>
      <w:r>
        <w:tab/>
      </w:r>
      <w:r>
        <w:fldChar w:fldCharType="begin"/>
      </w:r>
      <w:r>
        <w:instrText xml:space="preserve"> PAGEREF _Toc106184280 \h </w:instrText>
      </w:r>
      <w:r>
        <w:fldChar w:fldCharType="separate"/>
      </w:r>
      <w:r>
        <w:t>179</w:t>
      </w:r>
      <w:r>
        <w:fldChar w:fldCharType="end"/>
      </w:r>
    </w:p>
    <w:p w14:paraId="08F3CAB6" w14:textId="14047606" w:rsidR="003C625C" w:rsidRDefault="003C625C">
      <w:pPr>
        <w:pStyle w:val="TOC4"/>
        <w:rPr>
          <w:rFonts w:asciiTheme="minorHAnsi" w:eastAsiaTheme="minorEastAsia" w:hAnsiTheme="minorHAnsi" w:cstheme="minorBidi"/>
          <w:sz w:val="22"/>
          <w:szCs w:val="22"/>
        </w:rPr>
      </w:pPr>
      <w:r>
        <w:t>12.3.1.2</w:t>
      </w:r>
      <w:r>
        <w:rPr>
          <w:rFonts w:asciiTheme="minorHAnsi" w:eastAsiaTheme="minorEastAsia" w:hAnsiTheme="minorHAnsi" w:cstheme="minorBidi"/>
          <w:sz w:val="22"/>
          <w:szCs w:val="22"/>
        </w:rPr>
        <w:tab/>
      </w:r>
      <w:r>
        <w:t>Requirements for SSB based radio link monitoring</w:t>
      </w:r>
      <w:r>
        <w:tab/>
      </w:r>
      <w:r>
        <w:fldChar w:fldCharType="begin"/>
      </w:r>
      <w:r>
        <w:instrText xml:space="preserve"> PAGEREF _Toc106184281 \h </w:instrText>
      </w:r>
      <w:r>
        <w:fldChar w:fldCharType="separate"/>
      </w:r>
      <w:r>
        <w:t>180</w:t>
      </w:r>
      <w:r>
        <w:fldChar w:fldCharType="end"/>
      </w:r>
    </w:p>
    <w:p w14:paraId="0BB44DCF" w14:textId="37BCA5F3" w:rsidR="003C625C" w:rsidRDefault="003C625C">
      <w:pPr>
        <w:pStyle w:val="TOC5"/>
        <w:rPr>
          <w:rFonts w:asciiTheme="minorHAnsi" w:eastAsiaTheme="minorEastAsia" w:hAnsiTheme="minorHAnsi" w:cstheme="minorBidi"/>
          <w:sz w:val="22"/>
          <w:szCs w:val="22"/>
        </w:rPr>
      </w:pPr>
      <w:r>
        <w:t>12.3.1.2.1</w:t>
      </w:r>
      <w:r>
        <w:rPr>
          <w:rFonts w:asciiTheme="minorHAnsi" w:eastAsiaTheme="minorEastAsia" w:hAnsiTheme="minorHAnsi" w:cstheme="minorBidi"/>
          <w:sz w:val="22"/>
          <w:szCs w:val="22"/>
        </w:rPr>
        <w:tab/>
      </w:r>
      <w:r w:rsidRPr="00DD4EB8">
        <w:rPr>
          <w:rFonts w:eastAsia="SimSun"/>
        </w:rPr>
        <w:t>Introduction</w:t>
      </w:r>
      <w:r>
        <w:tab/>
      </w:r>
      <w:r>
        <w:fldChar w:fldCharType="begin"/>
      </w:r>
      <w:r>
        <w:instrText xml:space="preserve"> PAGEREF _Toc106184282 \h </w:instrText>
      </w:r>
      <w:r>
        <w:fldChar w:fldCharType="separate"/>
      </w:r>
      <w:r>
        <w:t>180</w:t>
      </w:r>
      <w:r>
        <w:fldChar w:fldCharType="end"/>
      </w:r>
    </w:p>
    <w:p w14:paraId="1F19BFB0" w14:textId="3A80892A" w:rsidR="003C625C" w:rsidRDefault="003C625C">
      <w:pPr>
        <w:pStyle w:val="TOC5"/>
        <w:rPr>
          <w:rFonts w:asciiTheme="minorHAnsi" w:eastAsiaTheme="minorEastAsia" w:hAnsiTheme="minorHAnsi" w:cstheme="minorBidi"/>
          <w:sz w:val="22"/>
          <w:szCs w:val="22"/>
        </w:rPr>
      </w:pPr>
      <w:r>
        <w:t>12.3.1.2.2</w:t>
      </w:r>
      <w:r>
        <w:rPr>
          <w:rFonts w:asciiTheme="minorHAnsi" w:eastAsiaTheme="minorEastAsia" w:hAnsiTheme="minorHAnsi" w:cstheme="minorBidi"/>
          <w:sz w:val="22"/>
          <w:szCs w:val="22"/>
        </w:rPr>
        <w:tab/>
      </w:r>
      <w:r>
        <w:t>Minimum requirement</w:t>
      </w:r>
      <w:r>
        <w:tab/>
      </w:r>
      <w:r>
        <w:fldChar w:fldCharType="begin"/>
      </w:r>
      <w:r>
        <w:instrText xml:space="preserve"> PAGEREF _Toc106184283 \h </w:instrText>
      </w:r>
      <w:r>
        <w:fldChar w:fldCharType="separate"/>
      </w:r>
      <w:r>
        <w:t>180</w:t>
      </w:r>
      <w:r>
        <w:fldChar w:fldCharType="end"/>
      </w:r>
    </w:p>
    <w:p w14:paraId="39DB9356" w14:textId="1A725B48" w:rsidR="003C625C" w:rsidRDefault="003C625C">
      <w:pPr>
        <w:pStyle w:val="TOC5"/>
        <w:rPr>
          <w:rFonts w:asciiTheme="minorHAnsi" w:eastAsiaTheme="minorEastAsia" w:hAnsiTheme="minorHAnsi" w:cstheme="minorBidi"/>
          <w:sz w:val="22"/>
          <w:szCs w:val="22"/>
        </w:rPr>
      </w:pPr>
      <w:r>
        <w:t>12.3.1.2.3</w:t>
      </w:r>
      <w:r>
        <w:rPr>
          <w:rFonts w:asciiTheme="minorHAnsi" w:eastAsiaTheme="minorEastAsia" w:hAnsiTheme="minorHAnsi" w:cstheme="minorBidi"/>
          <w:sz w:val="22"/>
          <w:szCs w:val="22"/>
        </w:rPr>
        <w:tab/>
      </w:r>
      <w:r>
        <w:t>Measurement restrictions for SSB based RLM</w:t>
      </w:r>
      <w:r>
        <w:tab/>
      </w:r>
      <w:r>
        <w:fldChar w:fldCharType="begin"/>
      </w:r>
      <w:r>
        <w:instrText xml:space="preserve"> PAGEREF _Toc106184284 \h </w:instrText>
      </w:r>
      <w:r>
        <w:fldChar w:fldCharType="separate"/>
      </w:r>
      <w:r>
        <w:t>181</w:t>
      </w:r>
      <w:r>
        <w:fldChar w:fldCharType="end"/>
      </w:r>
    </w:p>
    <w:p w14:paraId="37B02043" w14:textId="36C21ED0" w:rsidR="003C625C" w:rsidRDefault="003C625C">
      <w:pPr>
        <w:pStyle w:val="TOC4"/>
        <w:rPr>
          <w:rFonts w:asciiTheme="minorHAnsi" w:eastAsiaTheme="minorEastAsia" w:hAnsiTheme="minorHAnsi" w:cstheme="minorBidi"/>
          <w:sz w:val="22"/>
          <w:szCs w:val="22"/>
        </w:rPr>
      </w:pPr>
      <w:r>
        <w:t>12.3.1.3</w:t>
      </w:r>
      <w:r>
        <w:rPr>
          <w:rFonts w:asciiTheme="minorHAnsi" w:eastAsiaTheme="minorEastAsia" w:hAnsiTheme="minorHAnsi" w:cstheme="minorBidi"/>
          <w:sz w:val="22"/>
          <w:szCs w:val="22"/>
        </w:rPr>
        <w:tab/>
      </w:r>
      <w:r>
        <w:t>Requirements for CSI-RS based radio link monitoring</w:t>
      </w:r>
      <w:r>
        <w:tab/>
      </w:r>
      <w:r>
        <w:fldChar w:fldCharType="begin"/>
      </w:r>
      <w:r>
        <w:instrText xml:space="preserve"> PAGEREF _Toc106184285 \h </w:instrText>
      </w:r>
      <w:r>
        <w:fldChar w:fldCharType="separate"/>
      </w:r>
      <w:r>
        <w:t>181</w:t>
      </w:r>
      <w:r>
        <w:fldChar w:fldCharType="end"/>
      </w:r>
    </w:p>
    <w:p w14:paraId="7AD271E5" w14:textId="52DB7E5E" w:rsidR="003C625C" w:rsidRDefault="003C625C">
      <w:pPr>
        <w:pStyle w:val="TOC5"/>
        <w:rPr>
          <w:rFonts w:asciiTheme="minorHAnsi" w:eastAsiaTheme="minorEastAsia" w:hAnsiTheme="minorHAnsi" w:cstheme="minorBidi"/>
          <w:sz w:val="22"/>
          <w:szCs w:val="22"/>
        </w:rPr>
      </w:pPr>
      <w:r>
        <w:t>12.3.1.3.1</w:t>
      </w:r>
      <w:r>
        <w:rPr>
          <w:rFonts w:asciiTheme="minorHAnsi" w:eastAsiaTheme="minorEastAsia" w:hAnsiTheme="minorHAnsi" w:cstheme="minorBidi"/>
          <w:sz w:val="22"/>
          <w:szCs w:val="22"/>
        </w:rPr>
        <w:tab/>
      </w:r>
      <w:r>
        <w:t>Introduction</w:t>
      </w:r>
      <w:r>
        <w:tab/>
      </w:r>
      <w:r>
        <w:fldChar w:fldCharType="begin"/>
      </w:r>
      <w:r>
        <w:instrText xml:space="preserve"> PAGEREF _Toc106184286 \h </w:instrText>
      </w:r>
      <w:r>
        <w:fldChar w:fldCharType="separate"/>
      </w:r>
      <w:r>
        <w:t>181</w:t>
      </w:r>
      <w:r>
        <w:fldChar w:fldCharType="end"/>
      </w:r>
    </w:p>
    <w:p w14:paraId="766849EF" w14:textId="09D5419C" w:rsidR="003C625C" w:rsidRDefault="003C625C">
      <w:pPr>
        <w:pStyle w:val="TOC5"/>
        <w:rPr>
          <w:rFonts w:asciiTheme="minorHAnsi" w:eastAsiaTheme="minorEastAsia" w:hAnsiTheme="minorHAnsi" w:cstheme="minorBidi"/>
          <w:sz w:val="22"/>
          <w:szCs w:val="22"/>
        </w:rPr>
      </w:pPr>
      <w:r>
        <w:t>12.3.1.3.2</w:t>
      </w:r>
      <w:r>
        <w:rPr>
          <w:rFonts w:asciiTheme="minorHAnsi" w:eastAsiaTheme="minorEastAsia" w:hAnsiTheme="minorHAnsi" w:cstheme="minorBidi"/>
          <w:sz w:val="22"/>
          <w:szCs w:val="22"/>
        </w:rPr>
        <w:tab/>
      </w:r>
      <w:r>
        <w:t>Minimum requirement</w:t>
      </w:r>
      <w:r>
        <w:tab/>
      </w:r>
      <w:r>
        <w:fldChar w:fldCharType="begin"/>
      </w:r>
      <w:r>
        <w:instrText xml:space="preserve"> PAGEREF _Toc106184287 \h </w:instrText>
      </w:r>
      <w:r>
        <w:fldChar w:fldCharType="separate"/>
      </w:r>
      <w:r>
        <w:t>182</w:t>
      </w:r>
      <w:r>
        <w:fldChar w:fldCharType="end"/>
      </w:r>
    </w:p>
    <w:p w14:paraId="19E95DD2" w14:textId="02FB2D0F" w:rsidR="003C625C" w:rsidRDefault="003C625C">
      <w:pPr>
        <w:pStyle w:val="TOC5"/>
        <w:rPr>
          <w:rFonts w:asciiTheme="minorHAnsi" w:eastAsiaTheme="minorEastAsia" w:hAnsiTheme="minorHAnsi" w:cstheme="minorBidi"/>
          <w:sz w:val="22"/>
          <w:szCs w:val="22"/>
        </w:rPr>
      </w:pPr>
      <w:r>
        <w:t>12.3.1.3.3</w:t>
      </w:r>
      <w:r>
        <w:rPr>
          <w:rFonts w:asciiTheme="minorHAnsi" w:eastAsiaTheme="minorEastAsia" w:hAnsiTheme="minorHAnsi" w:cstheme="minorBidi"/>
          <w:sz w:val="22"/>
          <w:szCs w:val="22"/>
        </w:rPr>
        <w:tab/>
      </w:r>
      <w:r>
        <w:t>Measurement restrictions for CSI-RS based RLM</w:t>
      </w:r>
      <w:r>
        <w:tab/>
      </w:r>
      <w:r>
        <w:fldChar w:fldCharType="begin"/>
      </w:r>
      <w:r>
        <w:instrText xml:space="preserve"> PAGEREF _Toc106184288 \h </w:instrText>
      </w:r>
      <w:r>
        <w:fldChar w:fldCharType="separate"/>
      </w:r>
      <w:r>
        <w:t>183</w:t>
      </w:r>
      <w:r>
        <w:fldChar w:fldCharType="end"/>
      </w:r>
    </w:p>
    <w:p w14:paraId="28C10ED7" w14:textId="74B1EF97" w:rsidR="003C625C" w:rsidRDefault="003C625C">
      <w:pPr>
        <w:pStyle w:val="TOC4"/>
        <w:rPr>
          <w:rFonts w:asciiTheme="minorHAnsi" w:eastAsiaTheme="minorEastAsia" w:hAnsiTheme="minorHAnsi" w:cstheme="minorBidi"/>
          <w:sz w:val="22"/>
          <w:szCs w:val="22"/>
        </w:rPr>
      </w:pPr>
      <w:r>
        <w:t>12.3.1.4</w:t>
      </w:r>
      <w:r>
        <w:rPr>
          <w:rFonts w:asciiTheme="minorHAnsi" w:eastAsiaTheme="minorEastAsia" w:hAnsiTheme="minorHAnsi" w:cstheme="minorBidi"/>
          <w:sz w:val="22"/>
          <w:szCs w:val="22"/>
        </w:rPr>
        <w:tab/>
      </w:r>
      <w:r>
        <w:t>Minimum requirement for IAB-MT turning off the transmitter</w:t>
      </w:r>
      <w:r>
        <w:tab/>
      </w:r>
      <w:r>
        <w:fldChar w:fldCharType="begin"/>
      </w:r>
      <w:r>
        <w:instrText xml:space="preserve"> PAGEREF _Toc106184289 \h </w:instrText>
      </w:r>
      <w:r>
        <w:fldChar w:fldCharType="separate"/>
      </w:r>
      <w:r>
        <w:t>183</w:t>
      </w:r>
      <w:r>
        <w:fldChar w:fldCharType="end"/>
      </w:r>
    </w:p>
    <w:p w14:paraId="116327DF" w14:textId="56C90D8D" w:rsidR="003C625C" w:rsidRDefault="003C625C">
      <w:pPr>
        <w:pStyle w:val="TOC4"/>
        <w:rPr>
          <w:rFonts w:asciiTheme="minorHAnsi" w:eastAsiaTheme="minorEastAsia" w:hAnsiTheme="minorHAnsi" w:cstheme="minorBidi"/>
          <w:sz w:val="22"/>
          <w:szCs w:val="22"/>
        </w:rPr>
      </w:pPr>
      <w:r>
        <w:t>12.3.1.5</w:t>
      </w:r>
      <w:r>
        <w:rPr>
          <w:rFonts w:asciiTheme="minorHAnsi" w:eastAsiaTheme="minorEastAsia" w:hAnsiTheme="minorHAnsi" w:cstheme="minorBidi"/>
          <w:sz w:val="22"/>
          <w:szCs w:val="22"/>
        </w:rPr>
        <w:tab/>
      </w:r>
      <w:r>
        <w:t>Minimum requirement for L1 indication</w:t>
      </w:r>
      <w:r>
        <w:tab/>
      </w:r>
      <w:r>
        <w:fldChar w:fldCharType="begin"/>
      </w:r>
      <w:r>
        <w:instrText xml:space="preserve"> PAGEREF _Toc106184290 \h </w:instrText>
      </w:r>
      <w:r>
        <w:fldChar w:fldCharType="separate"/>
      </w:r>
      <w:r>
        <w:t>183</w:t>
      </w:r>
      <w:r>
        <w:fldChar w:fldCharType="end"/>
      </w:r>
    </w:p>
    <w:p w14:paraId="23FD60B8" w14:textId="41E4EC18" w:rsidR="003C625C" w:rsidRDefault="003C625C">
      <w:pPr>
        <w:pStyle w:val="TOC4"/>
        <w:rPr>
          <w:rFonts w:asciiTheme="minorHAnsi" w:eastAsiaTheme="minorEastAsia" w:hAnsiTheme="minorHAnsi" w:cstheme="minorBidi"/>
          <w:sz w:val="22"/>
          <w:szCs w:val="22"/>
        </w:rPr>
      </w:pPr>
      <w:r>
        <w:t>12.3.1.6</w:t>
      </w:r>
      <w:r>
        <w:rPr>
          <w:rFonts w:asciiTheme="minorHAnsi" w:eastAsiaTheme="minorEastAsia" w:hAnsiTheme="minorHAnsi" w:cstheme="minorBidi"/>
          <w:sz w:val="22"/>
          <w:szCs w:val="22"/>
        </w:rPr>
        <w:tab/>
      </w:r>
      <w:r>
        <w:t>Scheduling availability of IAB-MT during radio link monitoring</w:t>
      </w:r>
      <w:r>
        <w:tab/>
      </w:r>
      <w:r>
        <w:fldChar w:fldCharType="begin"/>
      </w:r>
      <w:r>
        <w:instrText xml:space="preserve"> PAGEREF _Toc106184291 \h </w:instrText>
      </w:r>
      <w:r>
        <w:fldChar w:fldCharType="separate"/>
      </w:r>
      <w:r>
        <w:t>184</w:t>
      </w:r>
      <w:r>
        <w:fldChar w:fldCharType="end"/>
      </w:r>
    </w:p>
    <w:p w14:paraId="4A7429FE" w14:textId="00C5D942" w:rsidR="003C625C" w:rsidRDefault="003C625C">
      <w:pPr>
        <w:pStyle w:val="TOC3"/>
        <w:rPr>
          <w:rFonts w:asciiTheme="minorHAnsi" w:eastAsiaTheme="minorEastAsia" w:hAnsiTheme="minorHAnsi" w:cstheme="minorBidi"/>
          <w:sz w:val="22"/>
          <w:szCs w:val="22"/>
        </w:rPr>
      </w:pPr>
      <w:r>
        <w:t>12.3.2</w:t>
      </w:r>
      <w:r>
        <w:rPr>
          <w:rFonts w:asciiTheme="minorHAnsi" w:eastAsiaTheme="minorEastAsia" w:hAnsiTheme="minorHAnsi" w:cstheme="minorBidi"/>
          <w:sz w:val="22"/>
          <w:szCs w:val="22"/>
        </w:rPr>
        <w:tab/>
      </w:r>
      <w:r>
        <w:t>Link Recovery Procedure</w:t>
      </w:r>
      <w:r>
        <w:tab/>
      </w:r>
      <w:r>
        <w:fldChar w:fldCharType="begin"/>
      </w:r>
      <w:r>
        <w:instrText xml:space="preserve"> PAGEREF _Toc106184292 \h </w:instrText>
      </w:r>
      <w:r>
        <w:fldChar w:fldCharType="separate"/>
      </w:r>
      <w:r>
        <w:t>184</w:t>
      </w:r>
      <w:r>
        <w:fldChar w:fldCharType="end"/>
      </w:r>
    </w:p>
    <w:p w14:paraId="657BC31F" w14:textId="21EBADEA" w:rsidR="003C625C" w:rsidRDefault="003C625C">
      <w:pPr>
        <w:pStyle w:val="TOC4"/>
        <w:rPr>
          <w:rFonts w:asciiTheme="minorHAnsi" w:eastAsiaTheme="minorEastAsia" w:hAnsiTheme="minorHAnsi" w:cstheme="minorBidi"/>
          <w:sz w:val="22"/>
          <w:szCs w:val="22"/>
        </w:rPr>
      </w:pPr>
      <w:r>
        <w:lastRenderedPageBreak/>
        <w:t>12.3.2.1</w:t>
      </w:r>
      <w:r>
        <w:rPr>
          <w:rFonts w:asciiTheme="minorHAnsi" w:eastAsiaTheme="minorEastAsia" w:hAnsiTheme="minorHAnsi" w:cstheme="minorBidi"/>
          <w:sz w:val="22"/>
          <w:szCs w:val="22"/>
        </w:rPr>
        <w:tab/>
      </w:r>
      <w:r>
        <w:t>Introduction</w:t>
      </w:r>
      <w:r>
        <w:tab/>
      </w:r>
      <w:r>
        <w:fldChar w:fldCharType="begin"/>
      </w:r>
      <w:r>
        <w:instrText xml:space="preserve"> PAGEREF _Toc106184293 \h </w:instrText>
      </w:r>
      <w:r>
        <w:fldChar w:fldCharType="separate"/>
      </w:r>
      <w:r>
        <w:t>184</w:t>
      </w:r>
      <w:r>
        <w:fldChar w:fldCharType="end"/>
      </w:r>
    </w:p>
    <w:p w14:paraId="57F971E6" w14:textId="503C6466" w:rsidR="003C625C" w:rsidRDefault="003C625C">
      <w:pPr>
        <w:pStyle w:val="TOC4"/>
        <w:rPr>
          <w:rFonts w:asciiTheme="minorHAnsi" w:eastAsiaTheme="minorEastAsia" w:hAnsiTheme="minorHAnsi" w:cstheme="minorBidi"/>
          <w:sz w:val="22"/>
          <w:szCs w:val="22"/>
        </w:rPr>
      </w:pPr>
      <w:r>
        <w:t>12.3.2.2</w:t>
      </w:r>
      <w:r>
        <w:rPr>
          <w:rFonts w:asciiTheme="minorHAnsi" w:eastAsiaTheme="minorEastAsia" w:hAnsiTheme="minorHAnsi" w:cstheme="minorBidi"/>
          <w:sz w:val="22"/>
          <w:szCs w:val="22"/>
        </w:rPr>
        <w:tab/>
      </w:r>
      <w:r>
        <w:t>Requirements for SSB based beam failure detection</w:t>
      </w:r>
      <w:r>
        <w:tab/>
      </w:r>
      <w:r>
        <w:fldChar w:fldCharType="begin"/>
      </w:r>
      <w:r>
        <w:instrText xml:space="preserve"> PAGEREF _Toc106184294 \h </w:instrText>
      </w:r>
      <w:r>
        <w:fldChar w:fldCharType="separate"/>
      </w:r>
      <w:r>
        <w:t>184</w:t>
      </w:r>
      <w:r>
        <w:fldChar w:fldCharType="end"/>
      </w:r>
    </w:p>
    <w:p w14:paraId="17936524" w14:textId="1361846C" w:rsidR="003C625C" w:rsidRDefault="003C625C">
      <w:pPr>
        <w:pStyle w:val="TOC5"/>
        <w:rPr>
          <w:rFonts w:asciiTheme="minorHAnsi" w:eastAsiaTheme="minorEastAsia" w:hAnsiTheme="minorHAnsi" w:cstheme="minorBidi"/>
          <w:sz w:val="22"/>
          <w:szCs w:val="22"/>
        </w:rPr>
      </w:pPr>
      <w:r>
        <w:t>12.3.2.2.1</w:t>
      </w:r>
      <w:r>
        <w:rPr>
          <w:rFonts w:asciiTheme="minorHAnsi" w:eastAsiaTheme="minorEastAsia" w:hAnsiTheme="minorHAnsi" w:cstheme="minorBidi"/>
          <w:sz w:val="22"/>
          <w:szCs w:val="22"/>
        </w:rPr>
        <w:tab/>
      </w:r>
      <w:r>
        <w:t>Introduction</w:t>
      </w:r>
      <w:r>
        <w:tab/>
      </w:r>
      <w:r>
        <w:fldChar w:fldCharType="begin"/>
      </w:r>
      <w:r>
        <w:instrText xml:space="preserve"> PAGEREF _Toc106184295 \h </w:instrText>
      </w:r>
      <w:r>
        <w:fldChar w:fldCharType="separate"/>
      </w:r>
      <w:r>
        <w:t>184</w:t>
      </w:r>
      <w:r>
        <w:fldChar w:fldCharType="end"/>
      </w:r>
    </w:p>
    <w:p w14:paraId="0C9BCEBA" w14:textId="2C1A9266" w:rsidR="003C625C" w:rsidRDefault="003C625C">
      <w:pPr>
        <w:pStyle w:val="TOC5"/>
        <w:rPr>
          <w:rFonts w:asciiTheme="minorHAnsi" w:eastAsiaTheme="minorEastAsia" w:hAnsiTheme="minorHAnsi" w:cstheme="minorBidi"/>
          <w:sz w:val="22"/>
          <w:szCs w:val="22"/>
        </w:rPr>
      </w:pPr>
      <w:r>
        <w:t>12.3.2.2.2</w:t>
      </w:r>
      <w:r>
        <w:rPr>
          <w:rFonts w:asciiTheme="minorHAnsi" w:eastAsiaTheme="minorEastAsia" w:hAnsiTheme="minorHAnsi" w:cstheme="minorBidi"/>
          <w:sz w:val="22"/>
          <w:szCs w:val="22"/>
        </w:rPr>
        <w:tab/>
      </w:r>
      <w:r>
        <w:t>Minimum requirement</w:t>
      </w:r>
      <w:r>
        <w:tab/>
      </w:r>
      <w:r>
        <w:fldChar w:fldCharType="begin"/>
      </w:r>
      <w:r>
        <w:instrText xml:space="preserve"> PAGEREF _Toc106184296 \h </w:instrText>
      </w:r>
      <w:r>
        <w:fldChar w:fldCharType="separate"/>
      </w:r>
      <w:r>
        <w:t>184</w:t>
      </w:r>
      <w:r>
        <w:fldChar w:fldCharType="end"/>
      </w:r>
    </w:p>
    <w:p w14:paraId="50567555" w14:textId="53C187A2" w:rsidR="003C625C" w:rsidRDefault="003C625C">
      <w:pPr>
        <w:pStyle w:val="TOC5"/>
        <w:rPr>
          <w:rFonts w:asciiTheme="minorHAnsi" w:eastAsiaTheme="minorEastAsia" w:hAnsiTheme="minorHAnsi" w:cstheme="minorBidi"/>
          <w:sz w:val="22"/>
          <w:szCs w:val="22"/>
        </w:rPr>
      </w:pPr>
      <w:r>
        <w:t>12.3.2.2.3</w:t>
      </w:r>
      <w:r>
        <w:rPr>
          <w:rFonts w:asciiTheme="minorHAnsi" w:eastAsiaTheme="minorEastAsia" w:hAnsiTheme="minorHAnsi" w:cstheme="minorBidi"/>
          <w:sz w:val="22"/>
          <w:szCs w:val="22"/>
        </w:rPr>
        <w:tab/>
      </w:r>
      <w:r>
        <w:t>Measurement restriction for SSB based beam failure detection</w:t>
      </w:r>
      <w:r>
        <w:tab/>
      </w:r>
      <w:r>
        <w:fldChar w:fldCharType="begin"/>
      </w:r>
      <w:r>
        <w:instrText xml:space="preserve"> PAGEREF _Toc106184297 \h </w:instrText>
      </w:r>
      <w:r>
        <w:fldChar w:fldCharType="separate"/>
      </w:r>
      <w:r>
        <w:t>185</w:t>
      </w:r>
      <w:r>
        <w:fldChar w:fldCharType="end"/>
      </w:r>
    </w:p>
    <w:p w14:paraId="1FE02DD3" w14:textId="3E7314A5" w:rsidR="003C625C" w:rsidRDefault="003C625C">
      <w:pPr>
        <w:pStyle w:val="TOC4"/>
        <w:rPr>
          <w:rFonts w:asciiTheme="minorHAnsi" w:eastAsiaTheme="minorEastAsia" w:hAnsiTheme="minorHAnsi" w:cstheme="minorBidi"/>
          <w:sz w:val="22"/>
          <w:szCs w:val="22"/>
        </w:rPr>
      </w:pPr>
      <w:r>
        <w:t>12.3.2.3</w:t>
      </w:r>
      <w:r>
        <w:rPr>
          <w:rFonts w:asciiTheme="minorHAnsi" w:eastAsiaTheme="minorEastAsia" w:hAnsiTheme="minorHAnsi" w:cstheme="minorBidi"/>
          <w:sz w:val="22"/>
          <w:szCs w:val="22"/>
        </w:rPr>
        <w:tab/>
      </w:r>
      <w:r>
        <w:t>Requirements for CSI-RS based beam failure detection</w:t>
      </w:r>
      <w:r>
        <w:tab/>
      </w:r>
      <w:r>
        <w:fldChar w:fldCharType="begin"/>
      </w:r>
      <w:r>
        <w:instrText xml:space="preserve"> PAGEREF _Toc106184298 \h </w:instrText>
      </w:r>
      <w:r>
        <w:fldChar w:fldCharType="separate"/>
      </w:r>
      <w:r>
        <w:t>185</w:t>
      </w:r>
      <w:r>
        <w:fldChar w:fldCharType="end"/>
      </w:r>
    </w:p>
    <w:p w14:paraId="764AB95D" w14:textId="170643D7" w:rsidR="003C625C" w:rsidRDefault="003C625C">
      <w:pPr>
        <w:pStyle w:val="TOC5"/>
        <w:rPr>
          <w:rFonts w:asciiTheme="minorHAnsi" w:eastAsiaTheme="minorEastAsia" w:hAnsiTheme="minorHAnsi" w:cstheme="minorBidi"/>
          <w:sz w:val="22"/>
          <w:szCs w:val="22"/>
        </w:rPr>
      </w:pPr>
      <w:r>
        <w:t>12.3.2.3.1</w:t>
      </w:r>
      <w:r>
        <w:rPr>
          <w:rFonts w:asciiTheme="minorHAnsi" w:eastAsiaTheme="minorEastAsia" w:hAnsiTheme="minorHAnsi" w:cstheme="minorBidi"/>
          <w:sz w:val="22"/>
          <w:szCs w:val="22"/>
        </w:rPr>
        <w:tab/>
      </w:r>
      <w:r>
        <w:t>Introduction</w:t>
      </w:r>
      <w:r>
        <w:tab/>
      </w:r>
      <w:r>
        <w:fldChar w:fldCharType="begin"/>
      </w:r>
      <w:r>
        <w:instrText xml:space="preserve"> PAGEREF _Toc106184299 \h </w:instrText>
      </w:r>
      <w:r>
        <w:fldChar w:fldCharType="separate"/>
      </w:r>
      <w:r>
        <w:t>185</w:t>
      </w:r>
      <w:r>
        <w:fldChar w:fldCharType="end"/>
      </w:r>
    </w:p>
    <w:p w14:paraId="2BB60A17" w14:textId="756DE068" w:rsidR="003C625C" w:rsidRDefault="003C625C">
      <w:pPr>
        <w:pStyle w:val="TOC5"/>
        <w:rPr>
          <w:rFonts w:asciiTheme="minorHAnsi" w:eastAsiaTheme="minorEastAsia" w:hAnsiTheme="minorHAnsi" w:cstheme="minorBidi"/>
          <w:sz w:val="22"/>
          <w:szCs w:val="22"/>
        </w:rPr>
      </w:pPr>
      <w:r>
        <w:t>12.3.2.3.2</w:t>
      </w:r>
      <w:r>
        <w:rPr>
          <w:rFonts w:asciiTheme="minorHAnsi" w:eastAsiaTheme="minorEastAsia" w:hAnsiTheme="minorHAnsi" w:cstheme="minorBidi"/>
          <w:sz w:val="22"/>
          <w:szCs w:val="22"/>
        </w:rPr>
        <w:tab/>
      </w:r>
      <w:r>
        <w:t>Minimum requirement</w:t>
      </w:r>
      <w:r>
        <w:tab/>
      </w:r>
      <w:r>
        <w:fldChar w:fldCharType="begin"/>
      </w:r>
      <w:r>
        <w:instrText xml:space="preserve"> PAGEREF _Toc106184300 \h </w:instrText>
      </w:r>
      <w:r>
        <w:fldChar w:fldCharType="separate"/>
      </w:r>
      <w:r>
        <w:t>185</w:t>
      </w:r>
      <w:r>
        <w:fldChar w:fldCharType="end"/>
      </w:r>
    </w:p>
    <w:p w14:paraId="01ADDE04" w14:textId="40187812" w:rsidR="003C625C" w:rsidRDefault="003C625C">
      <w:pPr>
        <w:pStyle w:val="TOC5"/>
        <w:rPr>
          <w:rFonts w:asciiTheme="minorHAnsi" w:eastAsiaTheme="minorEastAsia" w:hAnsiTheme="minorHAnsi" w:cstheme="minorBidi"/>
          <w:sz w:val="22"/>
          <w:szCs w:val="22"/>
        </w:rPr>
      </w:pPr>
      <w:r>
        <w:t>12.3.2.3.3</w:t>
      </w:r>
      <w:r>
        <w:rPr>
          <w:rFonts w:asciiTheme="minorHAnsi" w:eastAsiaTheme="minorEastAsia" w:hAnsiTheme="minorHAnsi" w:cstheme="minorBidi"/>
          <w:sz w:val="22"/>
          <w:szCs w:val="22"/>
        </w:rPr>
        <w:tab/>
      </w:r>
      <w:r>
        <w:t>Measurement restrictions for CSI-RS based beam failure detection</w:t>
      </w:r>
      <w:r>
        <w:tab/>
      </w:r>
      <w:r>
        <w:fldChar w:fldCharType="begin"/>
      </w:r>
      <w:r>
        <w:instrText xml:space="preserve"> PAGEREF _Toc106184301 \h </w:instrText>
      </w:r>
      <w:r>
        <w:fldChar w:fldCharType="separate"/>
      </w:r>
      <w:r>
        <w:t>186</w:t>
      </w:r>
      <w:r>
        <w:fldChar w:fldCharType="end"/>
      </w:r>
    </w:p>
    <w:p w14:paraId="062AE1C6" w14:textId="383A2C11" w:rsidR="003C625C" w:rsidRDefault="003C625C">
      <w:pPr>
        <w:pStyle w:val="TOC4"/>
        <w:rPr>
          <w:rFonts w:asciiTheme="minorHAnsi" w:eastAsiaTheme="minorEastAsia" w:hAnsiTheme="minorHAnsi" w:cstheme="minorBidi"/>
          <w:sz w:val="22"/>
          <w:szCs w:val="22"/>
        </w:rPr>
      </w:pPr>
      <w:r>
        <w:t>12.3.2.4</w:t>
      </w:r>
      <w:r>
        <w:rPr>
          <w:rFonts w:asciiTheme="minorHAnsi" w:eastAsiaTheme="minorEastAsia" w:hAnsiTheme="minorHAnsi" w:cstheme="minorBidi"/>
          <w:sz w:val="22"/>
          <w:szCs w:val="22"/>
        </w:rPr>
        <w:tab/>
      </w:r>
      <w:r>
        <w:t>Minimum requirement for L1 indication</w:t>
      </w:r>
      <w:r>
        <w:tab/>
      </w:r>
      <w:r>
        <w:fldChar w:fldCharType="begin"/>
      </w:r>
      <w:r>
        <w:instrText xml:space="preserve"> PAGEREF _Toc106184302 \h </w:instrText>
      </w:r>
      <w:r>
        <w:fldChar w:fldCharType="separate"/>
      </w:r>
      <w:r>
        <w:t>186</w:t>
      </w:r>
      <w:r>
        <w:fldChar w:fldCharType="end"/>
      </w:r>
    </w:p>
    <w:p w14:paraId="362423C0" w14:textId="73DA931E" w:rsidR="003C625C" w:rsidRDefault="003C625C">
      <w:pPr>
        <w:pStyle w:val="TOC4"/>
        <w:rPr>
          <w:rFonts w:asciiTheme="minorHAnsi" w:eastAsiaTheme="minorEastAsia" w:hAnsiTheme="minorHAnsi" w:cstheme="minorBidi"/>
          <w:sz w:val="22"/>
          <w:szCs w:val="22"/>
        </w:rPr>
      </w:pPr>
      <w:r>
        <w:t>12.3.2.5</w:t>
      </w:r>
      <w:r>
        <w:rPr>
          <w:rFonts w:asciiTheme="minorHAnsi" w:eastAsiaTheme="minorEastAsia" w:hAnsiTheme="minorHAnsi" w:cstheme="minorBidi"/>
          <w:sz w:val="22"/>
          <w:szCs w:val="22"/>
        </w:rPr>
        <w:tab/>
      </w:r>
      <w:r>
        <w:t>Requirements for SSB based candidate beam detection</w:t>
      </w:r>
      <w:r>
        <w:tab/>
      </w:r>
      <w:r>
        <w:fldChar w:fldCharType="begin"/>
      </w:r>
      <w:r>
        <w:instrText xml:space="preserve"> PAGEREF _Toc106184303 \h </w:instrText>
      </w:r>
      <w:r>
        <w:fldChar w:fldCharType="separate"/>
      </w:r>
      <w:r>
        <w:t>186</w:t>
      </w:r>
      <w:r>
        <w:fldChar w:fldCharType="end"/>
      </w:r>
    </w:p>
    <w:p w14:paraId="237C5DC6" w14:textId="4FBA85A9" w:rsidR="003C625C" w:rsidRDefault="003C625C">
      <w:pPr>
        <w:pStyle w:val="TOC5"/>
        <w:rPr>
          <w:rFonts w:asciiTheme="minorHAnsi" w:eastAsiaTheme="minorEastAsia" w:hAnsiTheme="minorHAnsi" w:cstheme="minorBidi"/>
          <w:sz w:val="22"/>
          <w:szCs w:val="22"/>
        </w:rPr>
      </w:pPr>
      <w:r>
        <w:t>12.3.2.5.1</w:t>
      </w:r>
      <w:r>
        <w:rPr>
          <w:rFonts w:asciiTheme="minorHAnsi" w:eastAsiaTheme="minorEastAsia" w:hAnsiTheme="minorHAnsi" w:cstheme="minorBidi"/>
          <w:sz w:val="22"/>
          <w:szCs w:val="22"/>
        </w:rPr>
        <w:tab/>
      </w:r>
      <w:r>
        <w:t>Introduction</w:t>
      </w:r>
      <w:r>
        <w:tab/>
      </w:r>
      <w:r>
        <w:fldChar w:fldCharType="begin"/>
      </w:r>
      <w:r>
        <w:instrText xml:space="preserve"> PAGEREF _Toc106184304 \h </w:instrText>
      </w:r>
      <w:r>
        <w:fldChar w:fldCharType="separate"/>
      </w:r>
      <w:r>
        <w:t>186</w:t>
      </w:r>
      <w:r>
        <w:fldChar w:fldCharType="end"/>
      </w:r>
    </w:p>
    <w:p w14:paraId="75264819" w14:textId="1DC34774" w:rsidR="003C625C" w:rsidRDefault="003C625C">
      <w:pPr>
        <w:pStyle w:val="TOC5"/>
        <w:rPr>
          <w:rFonts w:asciiTheme="minorHAnsi" w:eastAsiaTheme="minorEastAsia" w:hAnsiTheme="minorHAnsi" w:cstheme="minorBidi"/>
          <w:sz w:val="22"/>
          <w:szCs w:val="22"/>
        </w:rPr>
      </w:pPr>
      <w:r>
        <w:t>12.3.2.5.2</w:t>
      </w:r>
      <w:r>
        <w:rPr>
          <w:rFonts w:asciiTheme="minorHAnsi" w:eastAsiaTheme="minorEastAsia" w:hAnsiTheme="minorHAnsi" w:cstheme="minorBidi"/>
          <w:sz w:val="22"/>
          <w:szCs w:val="22"/>
        </w:rPr>
        <w:tab/>
      </w:r>
      <w:r>
        <w:t>Minimum requirement</w:t>
      </w:r>
      <w:r>
        <w:tab/>
      </w:r>
      <w:r>
        <w:fldChar w:fldCharType="begin"/>
      </w:r>
      <w:r>
        <w:instrText xml:space="preserve"> PAGEREF _Toc106184305 \h </w:instrText>
      </w:r>
      <w:r>
        <w:fldChar w:fldCharType="separate"/>
      </w:r>
      <w:r>
        <w:t>186</w:t>
      </w:r>
      <w:r>
        <w:fldChar w:fldCharType="end"/>
      </w:r>
    </w:p>
    <w:p w14:paraId="58A8D8BF" w14:textId="4E01D13B" w:rsidR="003C625C" w:rsidRDefault="003C625C">
      <w:pPr>
        <w:pStyle w:val="TOC5"/>
        <w:rPr>
          <w:rFonts w:asciiTheme="minorHAnsi" w:eastAsiaTheme="minorEastAsia" w:hAnsiTheme="minorHAnsi" w:cstheme="minorBidi"/>
          <w:sz w:val="22"/>
          <w:szCs w:val="22"/>
        </w:rPr>
      </w:pPr>
      <w:r w:rsidRPr="00DD4EB8">
        <w:rPr>
          <w:rFonts w:eastAsia="?? ??"/>
        </w:rPr>
        <w:t>12.3.2.5.3</w:t>
      </w:r>
      <w:r>
        <w:rPr>
          <w:rFonts w:asciiTheme="minorHAnsi" w:eastAsiaTheme="minorEastAsia" w:hAnsiTheme="minorHAnsi" w:cstheme="minorBidi"/>
          <w:sz w:val="22"/>
          <w:szCs w:val="22"/>
        </w:rPr>
        <w:tab/>
      </w:r>
      <w:r w:rsidRPr="00DD4EB8">
        <w:rPr>
          <w:rFonts w:eastAsia="?? ??"/>
        </w:rPr>
        <w:t>Measurement restriction for SSB based candidate beam detection</w:t>
      </w:r>
      <w:r>
        <w:tab/>
      </w:r>
      <w:r>
        <w:fldChar w:fldCharType="begin"/>
      </w:r>
      <w:r>
        <w:instrText xml:space="preserve"> PAGEREF _Toc106184306 \h </w:instrText>
      </w:r>
      <w:r>
        <w:fldChar w:fldCharType="separate"/>
      </w:r>
      <w:r>
        <w:t>187</w:t>
      </w:r>
      <w:r>
        <w:fldChar w:fldCharType="end"/>
      </w:r>
    </w:p>
    <w:p w14:paraId="6090065B" w14:textId="16F9E645" w:rsidR="003C625C" w:rsidRDefault="003C625C">
      <w:pPr>
        <w:pStyle w:val="TOC4"/>
        <w:rPr>
          <w:rFonts w:asciiTheme="minorHAnsi" w:eastAsiaTheme="minorEastAsia" w:hAnsiTheme="minorHAnsi" w:cstheme="minorBidi"/>
          <w:sz w:val="22"/>
          <w:szCs w:val="22"/>
        </w:rPr>
      </w:pPr>
      <w:r>
        <w:t>12.3.2.6</w:t>
      </w:r>
      <w:r>
        <w:rPr>
          <w:rFonts w:asciiTheme="minorHAnsi" w:eastAsiaTheme="minorEastAsia" w:hAnsiTheme="minorHAnsi" w:cstheme="minorBidi"/>
          <w:sz w:val="22"/>
          <w:szCs w:val="22"/>
        </w:rPr>
        <w:tab/>
      </w:r>
      <w:r>
        <w:t>Requirements for CSI-RS based candidate beam detection</w:t>
      </w:r>
      <w:r>
        <w:tab/>
      </w:r>
      <w:r>
        <w:fldChar w:fldCharType="begin"/>
      </w:r>
      <w:r>
        <w:instrText xml:space="preserve"> PAGEREF _Toc106184307 \h </w:instrText>
      </w:r>
      <w:r>
        <w:fldChar w:fldCharType="separate"/>
      </w:r>
      <w:r>
        <w:t>187</w:t>
      </w:r>
      <w:r>
        <w:fldChar w:fldCharType="end"/>
      </w:r>
    </w:p>
    <w:p w14:paraId="1050AB47" w14:textId="7A776428" w:rsidR="003C625C" w:rsidRDefault="003C625C">
      <w:pPr>
        <w:pStyle w:val="TOC5"/>
        <w:rPr>
          <w:rFonts w:asciiTheme="minorHAnsi" w:eastAsiaTheme="minorEastAsia" w:hAnsiTheme="minorHAnsi" w:cstheme="minorBidi"/>
          <w:sz w:val="22"/>
          <w:szCs w:val="22"/>
        </w:rPr>
      </w:pPr>
      <w:r>
        <w:t>12.3.2.6.1</w:t>
      </w:r>
      <w:r>
        <w:rPr>
          <w:rFonts w:asciiTheme="minorHAnsi" w:eastAsiaTheme="minorEastAsia" w:hAnsiTheme="minorHAnsi" w:cstheme="minorBidi"/>
          <w:sz w:val="22"/>
          <w:szCs w:val="22"/>
        </w:rPr>
        <w:tab/>
      </w:r>
      <w:r>
        <w:t>Introduction</w:t>
      </w:r>
      <w:r>
        <w:tab/>
      </w:r>
      <w:r>
        <w:fldChar w:fldCharType="begin"/>
      </w:r>
      <w:r>
        <w:instrText xml:space="preserve"> PAGEREF _Toc106184308 \h </w:instrText>
      </w:r>
      <w:r>
        <w:fldChar w:fldCharType="separate"/>
      </w:r>
      <w:r>
        <w:t>187</w:t>
      </w:r>
      <w:r>
        <w:fldChar w:fldCharType="end"/>
      </w:r>
    </w:p>
    <w:p w14:paraId="01C76A96" w14:textId="35AFC102" w:rsidR="003C625C" w:rsidRDefault="003C625C">
      <w:pPr>
        <w:pStyle w:val="TOC5"/>
        <w:rPr>
          <w:rFonts w:asciiTheme="minorHAnsi" w:eastAsiaTheme="minorEastAsia" w:hAnsiTheme="minorHAnsi" w:cstheme="minorBidi"/>
          <w:sz w:val="22"/>
          <w:szCs w:val="22"/>
        </w:rPr>
      </w:pPr>
      <w:r>
        <w:t>12.3.2.6.2</w:t>
      </w:r>
      <w:r>
        <w:rPr>
          <w:rFonts w:asciiTheme="minorHAnsi" w:eastAsiaTheme="minorEastAsia" w:hAnsiTheme="minorHAnsi" w:cstheme="minorBidi"/>
          <w:sz w:val="22"/>
          <w:szCs w:val="22"/>
        </w:rPr>
        <w:tab/>
      </w:r>
      <w:r>
        <w:t>Minimum requirement</w:t>
      </w:r>
      <w:r>
        <w:tab/>
      </w:r>
      <w:r>
        <w:fldChar w:fldCharType="begin"/>
      </w:r>
      <w:r>
        <w:instrText xml:space="preserve"> PAGEREF _Toc106184309 \h </w:instrText>
      </w:r>
      <w:r>
        <w:fldChar w:fldCharType="separate"/>
      </w:r>
      <w:r>
        <w:t>187</w:t>
      </w:r>
      <w:r>
        <w:fldChar w:fldCharType="end"/>
      </w:r>
    </w:p>
    <w:p w14:paraId="5A509AE9" w14:textId="4CCE6EF5" w:rsidR="003C625C" w:rsidRDefault="003C625C">
      <w:pPr>
        <w:pStyle w:val="TOC5"/>
        <w:rPr>
          <w:rFonts w:asciiTheme="minorHAnsi" w:eastAsiaTheme="minorEastAsia" w:hAnsiTheme="minorHAnsi" w:cstheme="minorBidi"/>
          <w:sz w:val="22"/>
          <w:szCs w:val="22"/>
        </w:rPr>
      </w:pPr>
      <w:r w:rsidRPr="00DD4EB8">
        <w:rPr>
          <w:rFonts w:eastAsia="?? ??"/>
        </w:rPr>
        <w:t>12.3.2.6.3</w:t>
      </w:r>
      <w:r>
        <w:rPr>
          <w:rFonts w:asciiTheme="minorHAnsi" w:eastAsiaTheme="minorEastAsia" w:hAnsiTheme="minorHAnsi" w:cstheme="minorBidi"/>
          <w:sz w:val="22"/>
          <w:szCs w:val="22"/>
        </w:rPr>
        <w:tab/>
      </w:r>
      <w:r w:rsidRPr="00DD4EB8">
        <w:rPr>
          <w:rFonts w:eastAsia="?? ??"/>
        </w:rPr>
        <w:t>Measurement restriction for CSI-RS based candidate beam detection</w:t>
      </w:r>
      <w:r>
        <w:tab/>
      </w:r>
      <w:r>
        <w:fldChar w:fldCharType="begin"/>
      </w:r>
      <w:r>
        <w:instrText xml:space="preserve"> PAGEREF _Toc106184310 \h </w:instrText>
      </w:r>
      <w:r>
        <w:fldChar w:fldCharType="separate"/>
      </w:r>
      <w:r>
        <w:t>188</w:t>
      </w:r>
      <w:r>
        <w:fldChar w:fldCharType="end"/>
      </w:r>
    </w:p>
    <w:p w14:paraId="6153D31B" w14:textId="5562D0AC" w:rsidR="003C625C" w:rsidRDefault="003C625C">
      <w:pPr>
        <w:pStyle w:val="TOC4"/>
        <w:rPr>
          <w:rFonts w:asciiTheme="minorHAnsi" w:eastAsiaTheme="minorEastAsia" w:hAnsiTheme="minorHAnsi" w:cstheme="minorBidi"/>
          <w:sz w:val="22"/>
          <w:szCs w:val="22"/>
        </w:rPr>
      </w:pPr>
      <w:r>
        <w:t>12.3.2.7</w:t>
      </w:r>
      <w:r>
        <w:rPr>
          <w:rFonts w:asciiTheme="minorHAnsi" w:eastAsiaTheme="minorEastAsia" w:hAnsiTheme="minorHAnsi" w:cstheme="minorBidi"/>
          <w:sz w:val="22"/>
          <w:szCs w:val="22"/>
        </w:rPr>
        <w:tab/>
      </w:r>
      <w:r>
        <w:t>Scheduling availability of IAB-MT during beam failure detection</w:t>
      </w:r>
      <w:r>
        <w:tab/>
      </w:r>
      <w:r>
        <w:fldChar w:fldCharType="begin"/>
      </w:r>
      <w:r>
        <w:instrText xml:space="preserve"> PAGEREF _Toc106184311 \h </w:instrText>
      </w:r>
      <w:r>
        <w:fldChar w:fldCharType="separate"/>
      </w:r>
      <w:r>
        <w:t>188</w:t>
      </w:r>
      <w:r>
        <w:fldChar w:fldCharType="end"/>
      </w:r>
    </w:p>
    <w:p w14:paraId="67D6AA51" w14:textId="18224504" w:rsidR="003C625C" w:rsidRDefault="003C625C">
      <w:pPr>
        <w:pStyle w:val="TOC4"/>
        <w:rPr>
          <w:rFonts w:asciiTheme="minorHAnsi" w:eastAsiaTheme="minorEastAsia" w:hAnsiTheme="minorHAnsi" w:cstheme="minorBidi"/>
          <w:sz w:val="22"/>
          <w:szCs w:val="22"/>
        </w:rPr>
      </w:pPr>
      <w:r>
        <w:t>12.3.2.8</w:t>
      </w:r>
      <w:r>
        <w:rPr>
          <w:rFonts w:asciiTheme="minorHAnsi" w:eastAsiaTheme="minorEastAsia" w:hAnsiTheme="minorHAnsi" w:cstheme="minorBidi"/>
          <w:sz w:val="22"/>
          <w:szCs w:val="22"/>
        </w:rPr>
        <w:tab/>
      </w:r>
      <w:r>
        <w:t>Scheduling availability of IAB-MT during candidate beam detection</w:t>
      </w:r>
      <w:r>
        <w:tab/>
      </w:r>
      <w:r>
        <w:fldChar w:fldCharType="begin"/>
      </w:r>
      <w:r>
        <w:instrText xml:space="preserve"> PAGEREF _Toc106184312 \h </w:instrText>
      </w:r>
      <w:r>
        <w:fldChar w:fldCharType="separate"/>
      </w:r>
      <w:r>
        <w:t>188</w:t>
      </w:r>
      <w:r>
        <w:fldChar w:fldCharType="end"/>
      </w:r>
    </w:p>
    <w:p w14:paraId="3150DAC4" w14:textId="34DC65A1" w:rsidR="003C625C" w:rsidRDefault="003C625C">
      <w:pPr>
        <w:pStyle w:val="TOC8"/>
        <w:rPr>
          <w:rFonts w:asciiTheme="minorHAnsi" w:eastAsiaTheme="minorEastAsia" w:hAnsiTheme="minorHAnsi" w:cstheme="minorBidi"/>
          <w:b w:val="0"/>
          <w:szCs w:val="22"/>
        </w:rPr>
      </w:pPr>
      <w:r>
        <w:t>Annex A (normative): IAB-MT Reference measurement channels</w:t>
      </w:r>
      <w:r>
        <w:tab/>
      </w:r>
      <w:r>
        <w:fldChar w:fldCharType="begin"/>
      </w:r>
      <w:r>
        <w:instrText xml:space="preserve"> PAGEREF _Toc106184313 \h </w:instrText>
      </w:r>
      <w:r>
        <w:fldChar w:fldCharType="separate"/>
      </w:r>
      <w:r>
        <w:t>189</w:t>
      </w:r>
      <w:r>
        <w:fldChar w:fldCharType="end"/>
      </w:r>
    </w:p>
    <w:p w14:paraId="05E555EB" w14:textId="2A6D3E97" w:rsidR="003C625C" w:rsidRDefault="003C625C">
      <w:pPr>
        <w:pStyle w:val="TOC2"/>
        <w:rPr>
          <w:rFonts w:asciiTheme="minorHAnsi" w:eastAsiaTheme="minorEastAsia" w:hAnsiTheme="minorHAnsi" w:cstheme="minorBidi"/>
          <w:sz w:val="22"/>
          <w:szCs w:val="22"/>
        </w:rPr>
      </w:pPr>
      <w:r>
        <w:t>A.1</w:t>
      </w:r>
      <w:r>
        <w:rPr>
          <w:rFonts w:asciiTheme="minorHAnsi" w:eastAsiaTheme="minorEastAsia" w:hAnsiTheme="minorHAnsi" w:cstheme="minorBidi"/>
          <w:sz w:val="22"/>
          <w:szCs w:val="22"/>
        </w:rPr>
        <w:tab/>
      </w:r>
      <w:r>
        <w:t>Fixed Reference Channels for reference sensitivity level, ACS, in-band blocking, out-of-band blocking and receiver intermodulation (QPSK, R=1/3)</w:t>
      </w:r>
      <w:r>
        <w:tab/>
      </w:r>
      <w:r>
        <w:fldChar w:fldCharType="begin"/>
      </w:r>
      <w:r>
        <w:instrText xml:space="preserve"> PAGEREF _Toc106184314 \h </w:instrText>
      </w:r>
      <w:r>
        <w:fldChar w:fldCharType="separate"/>
      </w:r>
      <w:r>
        <w:t>189</w:t>
      </w:r>
      <w:r>
        <w:fldChar w:fldCharType="end"/>
      </w:r>
    </w:p>
    <w:p w14:paraId="4A1DBB23" w14:textId="262DF967" w:rsidR="003C625C" w:rsidRDefault="003C625C">
      <w:pPr>
        <w:pStyle w:val="TOC2"/>
        <w:rPr>
          <w:rFonts w:asciiTheme="minorHAnsi" w:eastAsiaTheme="minorEastAsia" w:hAnsiTheme="minorHAnsi" w:cstheme="minorBidi"/>
          <w:sz w:val="22"/>
          <w:szCs w:val="22"/>
        </w:rPr>
      </w:pPr>
      <w:r w:rsidRPr="00DD4EB8">
        <w:rPr>
          <w:lang w:val="en-US"/>
        </w:rPr>
        <w:t>A.2</w:t>
      </w:r>
      <w:r>
        <w:rPr>
          <w:rFonts w:asciiTheme="minorHAnsi" w:eastAsiaTheme="minorEastAsia" w:hAnsiTheme="minorHAnsi" w:cstheme="minorBidi"/>
          <w:sz w:val="22"/>
          <w:szCs w:val="22"/>
        </w:rPr>
        <w:tab/>
      </w:r>
      <w:r w:rsidRPr="00DD4EB8">
        <w:rPr>
          <w:lang w:val="en-US"/>
        </w:rPr>
        <w:t>IAB-DU Fixed Reference Channels</w:t>
      </w:r>
      <w:r>
        <w:tab/>
      </w:r>
      <w:r>
        <w:fldChar w:fldCharType="begin"/>
      </w:r>
      <w:r>
        <w:instrText xml:space="preserve"> PAGEREF _Toc106184315 \h </w:instrText>
      </w:r>
      <w:r>
        <w:fldChar w:fldCharType="separate"/>
      </w:r>
      <w:r>
        <w:t>189</w:t>
      </w:r>
      <w:r>
        <w:fldChar w:fldCharType="end"/>
      </w:r>
    </w:p>
    <w:p w14:paraId="71A11257" w14:textId="3E959F70" w:rsidR="003C625C" w:rsidRDefault="003C625C">
      <w:pPr>
        <w:pStyle w:val="TOC3"/>
        <w:rPr>
          <w:rFonts w:asciiTheme="minorHAnsi" w:eastAsiaTheme="minorEastAsia" w:hAnsiTheme="minorHAnsi" w:cstheme="minorBidi"/>
          <w:sz w:val="22"/>
          <w:szCs w:val="22"/>
        </w:rPr>
      </w:pPr>
      <w:r>
        <w:t>A.</w:t>
      </w:r>
      <w:r>
        <w:rPr>
          <w:lang w:eastAsia="zh-CN"/>
        </w:rPr>
        <w:t>2.1</w:t>
      </w:r>
      <w:r>
        <w:rPr>
          <w:rFonts w:asciiTheme="minorHAnsi" w:eastAsiaTheme="minorEastAsia" w:hAnsiTheme="minorHAnsi" w:cstheme="minorBidi"/>
          <w:sz w:val="22"/>
          <w:szCs w:val="22"/>
        </w:rPr>
        <w:tab/>
      </w:r>
      <w:r>
        <w:t>Fixed Reference Channels for PUSCH performance requirements (</w:t>
      </w:r>
      <w:r>
        <w:rPr>
          <w:lang w:eastAsia="zh-CN"/>
        </w:rPr>
        <w:t>QPSK</w:t>
      </w:r>
      <w:r>
        <w:t>, R=193/</w:t>
      </w:r>
      <w:r>
        <w:rPr>
          <w:lang w:eastAsia="zh-CN"/>
        </w:rPr>
        <w:t>1024</w:t>
      </w:r>
      <w:r>
        <w:t>)</w:t>
      </w:r>
      <w:r>
        <w:tab/>
      </w:r>
      <w:r>
        <w:fldChar w:fldCharType="begin"/>
      </w:r>
      <w:r>
        <w:instrText xml:space="preserve"> PAGEREF _Toc106184316 \h </w:instrText>
      </w:r>
      <w:r>
        <w:fldChar w:fldCharType="separate"/>
      </w:r>
      <w:r>
        <w:t>189</w:t>
      </w:r>
      <w:r>
        <w:fldChar w:fldCharType="end"/>
      </w:r>
    </w:p>
    <w:p w14:paraId="4B4991A2" w14:textId="67EB3390" w:rsidR="003C625C" w:rsidRDefault="003C625C">
      <w:pPr>
        <w:pStyle w:val="TOC3"/>
        <w:rPr>
          <w:rFonts w:asciiTheme="minorHAnsi" w:eastAsiaTheme="minorEastAsia" w:hAnsiTheme="minorHAnsi" w:cstheme="minorBidi"/>
          <w:sz w:val="22"/>
          <w:szCs w:val="22"/>
        </w:rPr>
      </w:pPr>
      <w:r>
        <w:t>A.</w:t>
      </w:r>
      <w:r>
        <w:rPr>
          <w:lang w:eastAsia="zh-CN"/>
        </w:rPr>
        <w:t>2.2</w:t>
      </w:r>
      <w:r>
        <w:rPr>
          <w:rFonts w:asciiTheme="minorHAnsi" w:eastAsiaTheme="minorEastAsia" w:hAnsiTheme="minorHAnsi" w:cstheme="minorBidi"/>
          <w:sz w:val="22"/>
          <w:szCs w:val="22"/>
        </w:rPr>
        <w:tab/>
      </w:r>
      <w:r>
        <w:t>Fixed Reference Channels for PUSCH performance requirements (</w:t>
      </w:r>
      <w:r>
        <w:rPr>
          <w:lang w:eastAsia="zh-CN"/>
        </w:rPr>
        <w:t>16QAM, R=434/1024</w:t>
      </w:r>
      <w:r>
        <w:t>)</w:t>
      </w:r>
      <w:r>
        <w:tab/>
      </w:r>
      <w:r>
        <w:fldChar w:fldCharType="begin"/>
      </w:r>
      <w:r>
        <w:instrText xml:space="preserve"> PAGEREF _Toc106184317 \h </w:instrText>
      </w:r>
      <w:r>
        <w:fldChar w:fldCharType="separate"/>
      </w:r>
      <w:r>
        <w:t>194</w:t>
      </w:r>
      <w:r>
        <w:fldChar w:fldCharType="end"/>
      </w:r>
    </w:p>
    <w:p w14:paraId="6064E1C5" w14:textId="666665FB" w:rsidR="003C625C" w:rsidRDefault="003C625C">
      <w:pPr>
        <w:pStyle w:val="TOC3"/>
        <w:rPr>
          <w:rFonts w:asciiTheme="minorHAnsi" w:eastAsiaTheme="minorEastAsia" w:hAnsiTheme="minorHAnsi" w:cstheme="minorBidi"/>
          <w:sz w:val="22"/>
          <w:szCs w:val="22"/>
        </w:rPr>
      </w:pPr>
      <w:r>
        <w:t>A.2.</w:t>
      </w:r>
      <w:r>
        <w:rPr>
          <w:lang w:eastAsia="zh-CN"/>
        </w:rPr>
        <w:t>3</w:t>
      </w:r>
      <w:r>
        <w:rPr>
          <w:rFonts w:asciiTheme="minorHAnsi" w:eastAsiaTheme="minorEastAsia" w:hAnsiTheme="minorHAnsi" w:cstheme="minorBidi"/>
          <w:sz w:val="22"/>
          <w:szCs w:val="22"/>
        </w:rPr>
        <w:tab/>
      </w:r>
      <w:r>
        <w:t>Fixed Reference Channels for PUSCH performance requirements (</w:t>
      </w:r>
      <w:r>
        <w:rPr>
          <w:lang w:eastAsia="zh-CN"/>
        </w:rPr>
        <w:t>16QAM, R=658/1024</w:t>
      </w:r>
      <w:r>
        <w:t>)</w:t>
      </w:r>
      <w:r>
        <w:tab/>
      </w:r>
      <w:r>
        <w:fldChar w:fldCharType="begin"/>
      </w:r>
      <w:r>
        <w:instrText xml:space="preserve"> PAGEREF _Toc106184318 \h </w:instrText>
      </w:r>
      <w:r>
        <w:fldChar w:fldCharType="separate"/>
      </w:r>
      <w:r>
        <w:t>195</w:t>
      </w:r>
      <w:r>
        <w:fldChar w:fldCharType="end"/>
      </w:r>
    </w:p>
    <w:p w14:paraId="19362E51" w14:textId="0B2806E7" w:rsidR="003C625C" w:rsidRDefault="003C625C">
      <w:pPr>
        <w:pStyle w:val="TOC3"/>
        <w:rPr>
          <w:rFonts w:asciiTheme="minorHAnsi" w:eastAsiaTheme="minorEastAsia" w:hAnsiTheme="minorHAnsi" w:cstheme="minorBidi"/>
          <w:sz w:val="22"/>
          <w:szCs w:val="22"/>
        </w:rPr>
      </w:pPr>
      <w:r>
        <w:t>A.2.</w:t>
      </w:r>
      <w:r>
        <w:rPr>
          <w:lang w:eastAsia="zh-CN"/>
        </w:rPr>
        <w:t>4</w:t>
      </w:r>
      <w:r>
        <w:rPr>
          <w:rFonts w:asciiTheme="minorHAnsi" w:eastAsiaTheme="minorEastAsia" w:hAnsiTheme="minorHAnsi" w:cstheme="minorBidi"/>
          <w:sz w:val="22"/>
          <w:szCs w:val="22"/>
        </w:rPr>
        <w:tab/>
      </w:r>
      <w:r>
        <w:t>Fixed Reference Channels for PUSCH performance requirements (</w:t>
      </w:r>
      <w:r>
        <w:rPr>
          <w:lang w:eastAsia="zh-CN"/>
        </w:rPr>
        <w:t>64QAM, R=567/1024</w:t>
      </w:r>
      <w:r>
        <w:t>)</w:t>
      </w:r>
      <w:r>
        <w:tab/>
      </w:r>
      <w:r>
        <w:fldChar w:fldCharType="begin"/>
      </w:r>
      <w:r>
        <w:instrText xml:space="preserve"> PAGEREF _Toc106184319 \h </w:instrText>
      </w:r>
      <w:r>
        <w:fldChar w:fldCharType="separate"/>
      </w:r>
      <w:r>
        <w:t>198</w:t>
      </w:r>
      <w:r>
        <w:fldChar w:fldCharType="end"/>
      </w:r>
    </w:p>
    <w:p w14:paraId="4E9B948B" w14:textId="5C474CE1" w:rsidR="003C625C" w:rsidRDefault="003C625C">
      <w:pPr>
        <w:pStyle w:val="TOC3"/>
        <w:rPr>
          <w:rFonts w:asciiTheme="minorHAnsi" w:eastAsiaTheme="minorEastAsia" w:hAnsiTheme="minorHAnsi" w:cstheme="minorBidi"/>
          <w:sz w:val="22"/>
          <w:szCs w:val="22"/>
        </w:rPr>
      </w:pPr>
      <w:r>
        <w:t>A.2.5</w:t>
      </w:r>
      <w:r>
        <w:rPr>
          <w:rFonts w:asciiTheme="minorHAnsi" w:eastAsiaTheme="minorEastAsia" w:hAnsiTheme="minorHAnsi" w:cstheme="minorBidi"/>
          <w:sz w:val="22"/>
          <w:szCs w:val="22"/>
        </w:rPr>
        <w:tab/>
      </w:r>
      <w:r>
        <w:t>PRACH Test preambles</w:t>
      </w:r>
      <w:r>
        <w:tab/>
      </w:r>
      <w:r>
        <w:fldChar w:fldCharType="begin"/>
      </w:r>
      <w:r>
        <w:instrText xml:space="preserve"> PAGEREF _Toc106184320 \h </w:instrText>
      </w:r>
      <w:r>
        <w:fldChar w:fldCharType="separate"/>
      </w:r>
      <w:r>
        <w:t>200</w:t>
      </w:r>
      <w:r>
        <w:fldChar w:fldCharType="end"/>
      </w:r>
    </w:p>
    <w:p w14:paraId="419E7E66" w14:textId="0353488F" w:rsidR="003C625C" w:rsidRDefault="003C625C">
      <w:pPr>
        <w:pStyle w:val="TOC2"/>
        <w:rPr>
          <w:rFonts w:asciiTheme="minorHAnsi" w:eastAsiaTheme="minorEastAsia" w:hAnsiTheme="minorHAnsi" w:cstheme="minorBidi"/>
          <w:sz w:val="22"/>
          <w:szCs w:val="22"/>
        </w:rPr>
      </w:pPr>
      <w:r>
        <w:t>A.3</w:t>
      </w:r>
      <w:r>
        <w:rPr>
          <w:rFonts w:asciiTheme="minorHAnsi" w:eastAsiaTheme="minorEastAsia" w:hAnsiTheme="minorHAnsi" w:cstheme="minorBidi"/>
          <w:sz w:val="22"/>
          <w:szCs w:val="22"/>
        </w:rPr>
        <w:tab/>
      </w:r>
      <w:r>
        <w:t>IAB-MT Fixed Reference Channels</w:t>
      </w:r>
      <w:r>
        <w:tab/>
      </w:r>
      <w:r>
        <w:fldChar w:fldCharType="begin"/>
      </w:r>
      <w:r>
        <w:instrText xml:space="preserve"> PAGEREF _Toc106184321 \h </w:instrText>
      </w:r>
      <w:r>
        <w:fldChar w:fldCharType="separate"/>
      </w:r>
      <w:r>
        <w:t>200</w:t>
      </w:r>
      <w:r>
        <w:fldChar w:fldCharType="end"/>
      </w:r>
    </w:p>
    <w:p w14:paraId="7863EA17" w14:textId="098A7EC4" w:rsidR="003C625C" w:rsidRDefault="003C625C">
      <w:pPr>
        <w:pStyle w:val="TOC3"/>
        <w:rPr>
          <w:rFonts w:asciiTheme="minorHAnsi" w:eastAsiaTheme="minorEastAsia" w:hAnsiTheme="minorHAnsi" w:cstheme="minorBidi"/>
          <w:sz w:val="22"/>
          <w:szCs w:val="22"/>
        </w:rPr>
      </w:pPr>
      <w:r>
        <w:t>A.3.1</w:t>
      </w:r>
      <w:r>
        <w:rPr>
          <w:rFonts w:asciiTheme="minorHAnsi" w:eastAsiaTheme="minorEastAsia" w:hAnsiTheme="minorHAnsi" w:cstheme="minorBidi"/>
          <w:sz w:val="22"/>
          <w:szCs w:val="22"/>
        </w:rPr>
        <w:tab/>
      </w:r>
      <w:r>
        <w:t>Fixed Reference Channels for PDSCH performance requirements (</w:t>
      </w:r>
      <w:r>
        <w:rPr>
          <w:lang w:eastAsia="zh-CN"/>
        </w:rPr>
        <w:t>16QAM)</w:t>
      </w:r>
      <w:r>
        <w:tab/>
      </w:r>
      <w:r>
        <w:fldChar w:fldCharType="begin"/>
      </w:r>
      <w:r>
        <w:instrText xml:space="preserve"> PAGEREF _Toc106184322 \h </w:instrText>
      </w:r>
      <w:r>
        <w:fldChar w:fldCharType="separate"/>
      </w:r>
      <w:r>
        <w:t>200</w:t>
      </w:r>
      <w:r>
        <w:fldChar w:fldCharType="end"/>
      </w:r>
    </w:p>
    <w:p w14:paraId="2C1868CC" w14:textId="280BDA2B" w:rsidR="003C625C" w:rsidRDefault="003C625C">
      <w:pPr>
        <w:pStyle w:val="TOC3"/>
        <w:rPr>
          <w:rFonts w:asciiTheme="minorHAnsi" w:eastAsiaTheme="minorEastAsia" w:hAnsiTheme="minorHAnsi" w:cstheme="minorBidi"/>
          <w:sz w:val="22"/>
          <w:szCs w:val="22"/>
        </w:rPr>
      </w:pPr>
      <w:r>
        <w:t>A.3.2</w:t>
      </w:r>
      <w:r>
        <w:rPr>
          <w:rFonts w:asciiTheme="minorHAnsi" w:eastAsiaTheme="minorEastAsia" w:hAnsiTheme="minorHAnsi" w:cstheme="minorBidi"/>
          <w:sz w:val="22"/>
          <w:szCs w:val="22"/>
        </w:rPr>
        <w:tab/>
      </w:r>
      <w:r>
        <w:t>Fixed Reference Channels for PDSCH performance requirements (</w:t>
      </w:r>
      <w:r>
        <w:rPr>
          <w:lang w:eastAsia="zh-CN"/>
        </w:rPr>
        <w:t>64QAM)</w:t>
      </w:r>
      <w:r>
        <w:tab/>
      </w:r>
      <w:r>
        <w:fldChar w:fldCharType="begin"/>
      </w:r>
      <w:r>
        <w:instrText xml:space="preserve"> PAGEREF _Toc106184323 \h </w:instrText>
      </w:r>
      <w:r>
        <w:fldChar w:fldCharType="separate"/>
      </w:r>
      <w:r>
        <w:t>201</w:t>
      </w:r>
      <w:r>
        <w:fldChar w:fldCharType="end"/>
      </w:r>
    </w:p>
    <w:p w14:paraId="3F791813" w14:textId="26F4D8D3" w:rsidR="003C625C" w:rsidRDefault="003C625C">
      <w:pPr>
        <w:pStyle w:val="TOC3"/>
        <w:rPr>
          <w:rFonts w:asciiTheme="minorHAnsi" w:eastAsiaTheme="minorEastAsia" w:hAnsiTheme="minorHAnsi" w:cstheme="minorBidi"/>
          <w:sz w:val="22"/>
          <w:szCs w:val="22"/>
        </w:rPr>
      </w:pPr>
      <w:r>
        <w:t>A.3.3</w:t>
      </w:r>
      <w:r>
        <w:rPr>
          <w:rFonts w:asciiTheme="minorHAnsi" w:eastAsiaTheme="minorEastAsia" w:hAnsiTheme="minorHAnsi" w:cstheme="minorBidi"/>
          <w:sz w:val="22"/>
          <w:szCs w:val="22"/>
        </w:rPr>
        <w:tab/>
      </w:r>
      <w:r>
        <w:t>Fixed Reference Channels for PDSCH performance requirements (</w:t>
      </w:r>
      <w:r>
        <w:rPr>
          <w:lang w:eastAsia="zh-CN"/>
        </w:rPr>
        <w:t>256QAM)</w:t>
      </w:r>
      <w:r>
        <w:tab/>
      </w:r>
      <w:r>
        <w:fldChar w:fldCharType="begin"/>
      </w:r>
      <w:r>
        <w:instrText xml:space="preserve"> PAGEREF _Toc106184324 \h </w:instrText>
      </w:r>
      <w:r>
        <w:fldChar w:fldCharType="separate"/>
      </w:r>
      <w:r>
        <w:t>202</w:t>
      </w:r>
      <w:r>
        <w:fldChar w:fldCharType="end"/>
      </w:r>
    </w:p>
    <w:p w14:paraId="239D730F" w14:textId="4180FE4F" w:rsidR="003C625C" w:rsidRDefault="003C625C">
      <w:pPr>
        <w:pStyle w:val="TOC3"/>
        <w:rPr>
          <w:rFonts w:asciiTheme="minorHAnsi" w:eastAsiaTheme="minorEastAsia" w:hAnsiTheme="minorHAnsi" w:cstheme="minorBidi"/>
          <w:sz w:val="22"/>
          <w:szCs w:val="22"/>
        </w:rPr>
      </w:pPr>
      <w:r>
        <w:t>A.3.4</w:t>
      </w:r>
      <w:r>
        <w:rPr>
          <w:rFonts w:asciiTheme="minorHAnsi" w:eastAsiaTheme="minorEastAsia" w:hAnsiTheme="minorHAnsi" w:cstheme="minorBidi"/>
          <w:sz w:val="22"/>
          <w:szCs w:val="22"/>
        </w:rPr>
        <w:tab/>
      </w:r>
      <w:r>
        <w:t>Fixed Reference Channels for PDCCH performance requirements</w:t>
      </w:r>
      <w:r>
        <w:tab/>
      </w:r>
      <w:r>
        <w:fldChar w:fldCharType="begin"/>
      </w:r>
      <w:r>
        <w:instrText xml:space="preserve"> PAGEREF _Toc106184325 \h </w:instrText>
      </w:r>
      <w:r>
        <w:fldChar w:fldCharType="separate"/>
      </w:r>
      <w:r>
        <w:t>203</w:t>
      </w:r>
      <w:r>
        <w:fldChar w:fldCharType="end"/>
      </w:r>
    </w:p>
    <w:p w14:paraId="6A53DE56" w14:textId="1F9E36C2" w:rsidR="003C625C" w:rsidRDefault="003C625C">
      <w:pPr>
        <w:pStyle w:val="TOC3"/>
        <w:rPr>
          <w:rFonts w:asciiTheme="minorHAnsi" w:eastAsiaTheme="minorEastAsia" w:hAnsiTheme="minorHAnsi" w:cstheme="minorBidi"/>
          <w:sz w:val="22"/>
          <w:szCs w:val="22"/>
        </w:rPr>
      </w:pPr>
      <w:r>
        <w:t>A.3.5</w:t>
      </w:r>
      <w:r>
        <w:rPr>
          <w:rFonts w:asciiTheme="minorHAnsi" w:eastAsiaTheme="minorEastAsia" w:hAnsiTheme="minorHAnsi" w:cstheme="minorBidi"/>
          <w:sz w:val="22"/>
          <w:szCs w:val="22"/>
        </w:rPr>
        <w:tab/>
      </w:r>
      <w:r>
        <w:t>Fixed Reference Channels for CSI reporting performance</w:t>
      </w:r>
      <w:r>
        <w:tab/>
      </w:r>
      <w:r>
        <w:fldChar w:fldCharType="begin"/>
      </w:r>
      <w:r>
        <w:instrText xml:space="preserve"> PAGEREF _Toc106184326 \h </w:instrText>
      </w:r>
      <w:r>
        <w:fldChar w:fldCharType="separate"/>
      </w:r>
      <w:r>
        <w:t>204</w:t>
      </w:r>
      <w:r>
        <w:fldChar w:fldCharType="end"/>
      </w:r>
    </w:p>
    <w:p w14:paraId="2E858BEB" w14:textId="5109E212" w:rsidR="003C625C" w:rsidRDefault="003C625C">
      <w:pPr>
        <w:pStyle w:val="TOC8"/>
        <w:rPr>
          <w:rFonts w:asciiTheme="minorHAnsi" w:eastAsiaTheme="minorEastAsia" w:hAnsiTheme="minorHAnsi" w:cstheme="minorBidi"/>
          <w:b w:val="0"/>
          <w:szCs w:val="22"/>
        </w:rPr>
      </w:pPr>
      <w:r>
        <w:t>Annex B (normative):</w:t>
      </w:r>
      <w:r>
        <w:rPr>
          <w:lang w:eastAsia="en-CA"/>
        </w:rPr>
        <w:t xml:space="preserve">  </w:t>
      </w:r>
      <w:r>
        <w:rPr>
          <w:lang w:eastAsia="zh-CN"/>
        </w:rPr>
        <w:t xml:space="preserve">IAB-DU </w:t>
      </w:r>
      <w:r>
        <w:t>Error Vector Magnitude (FR1)</w:t>
      </w:r>
      <w:r>
        <w:tab/>
      </w:r>
      <w:r>
        <w:fldChar w:fldCharType="begin"/>
      </w:r>
      <w:r>
        <w:instrText xml:space="preserve"> PAGEREF _Toc106184327 \h </w:instrText>
      </w:r>
      <w:r>
        <w:fldChar w:fldCharType="separate"/>
      </w:r>
      <w:r>
        <w:t>206</w:t>
      </w:r>
      <w:r>
        <w:fldChar w:fldCharType="end"/>
      </w:r>
    </w:p>
    <w:p w14:paraId="545587D1" w14:textId="0B37B00D" w:rsidR="003C625C" w:rsidRDefault="003C625C">
      <w:pPr>
        <w:pStyle w:val="TOC8"/>
        <w:rPr>
          <w:rFonts w:asciiTheme="minorHAnsi" w:eastAsiaTheme="minorEastAsia" w:hAnsiTheme="minorHAnsi" w:cstheme="minorBidi"/>
          <w:b w:val="0"/>
          <w:szCs w:val="22"/>
        </w:rPr>
      </w:pPr>
      <w:r>
        <w:rPr>
          <w:lang w:eastAsia="en-CA"/>
        </w:rPr>
        <w:t xml:space="preserve">Annex </w:t>
      </w:r>
      <w:r>
        <w:rPr>
          <w:lang w:eastAsia="zh-CN"/>
        </w:rPr>
        <w:t>C</w:t>
      </w:r>
      <w:r>
        <w:rPr>
          <w:lang w:eastAsia="en-CA"/>
        </w:rPr>
        <w:t xml:space="preserve"> (normative):  </w:t>
      </w:r>
      <w:r>
        <w:rPr>
          <w:lang w:eastAsia="zh-CN"/>
        </w:rPr>
        <w:t xml:space="preserve">IAB-DU </w:t>
      </w:r>
      <w:r>
        <w:rPr>
          <w:lang w:eastAsia="en-CA"/>
        </w:rPr>
        <w:t>Error Vector Magnitude (FR2)</w:t>
      </w:r>
      <w:r>
        <w:tab/>
      </w:r>
      <w:r>
        <w:fldChar w:fldCharType="begin"/>
      </w:r>
      <w:r>
        <w:instrText xml:space="preserve"> PAGEREF _Toc106184328 \h </w:instrText>
      </w:r>
      <w:r>
        <w:fldChar w:fldCharType="separate"/>
      </w:r>
      <w:r>
        <w:t>206</w:t>
      </w:r>
      <w:r>
        <w:fldChar w:fldCharType="end"/>
      </w:r>
    </w:p>
    <w:p w14:paraId="704847C5" w14:textId="61111D70" w:rsidR="003C625C" w:rsidRDefault="003C625C">
      <w:pPr>
        <w:pStyle w:val="TOC8"/>
        <w:rPr>
          <w:rFonts w:asciiTheme="minorHAnsi" w:eastAsiaTheme="minorEastAsia" w:hAnsiTheme="minorHAnsi" w:cstheme="minorBidi"/>
          <w:b w:val="0"/>
          <w:szCs w:val="22"/>
        </w:rPr>
      </w:pPr>
      <w:r>
        <w:rPr>
          <w:lang w:eastAsia="en-CA"/>
        </w:rPr>
        <w:t xml:space="preserve">Annex </w:t>
      </w:r>
      <w:r>
        <w:rPr>
          <w:lang w:eastAsia="zh-CN"/>
        </w:rPr>
        <w:t>D</w:t>
      </w:r>
      <w:r>
        <w:rPr>
          <w:lang w:eastAsia="en-CA"/>
        </w:rPr>
        <w:t xml:space="preserve"> (normative):  </w:t>
      </w:r>
      <w:r>
        <w:rPr>
          <w:lang w:eastAsia="zh-CN"/>
        </w:rPr>
        <w:t xml:space="preserve">IAB-MT </w:t>
      </w:r>
      <w:r>
        <w:rPr>
          <w:lang w:eastAsia="en-CA"/>
        </w:rPr>
        <w:t>Error Vector Magnitude</w:t>
      </w:r>
      <w:r>
        <w:t xml:space="preserve"> (FR1)</w:t>
      </w:r>
      <w:r>
        <w:tab/>
      </w:r>
      <w:r>
        <w:fldChar w:fldCharType="begin"/>
      </w:r>
      <w:r>
        <w:instrText xml:space="preserve"> PAGEREF _Toc106184329 \h </w:instrText>
      </w:r>
      <w:r>
        <w:fldChar w:fldCharType="separate"/>
      </w:r>
      <w:r>
        <w:t>206</w:t>
      </w:r>
      <w:r>
        <w:fldChar w:fldCharType="end"/>
      </w:r>
    </w:p>
    <w:p w14:paraId="1FF65185" w14:textId="7A20E85A" w:rsidR="003C625C" w:rsidRDefault="003C625C">
      <w:pPr>
        <w:pStyle w:val="TOC2"/>
        <w:rPr>
          <w:rFonts w:asciiTheme="minorHAnsi" w:eastAsiaTheme="minorEastAsia" w:hAnsiTheme="minorHAnsi" w:cstheme="minorBidi"/>
          <w:sz w:val="22"/>
          <w:szCs w:val="22"/>
        </w:rPr>
      </w:pPr>
      <w:r>
        <w:rPr>
          <w:lang w:eastAsia="zh-CN"/>
        </w:rPr>
        <w:t>D</w:t>
      </w:r>
      <w:r>
        <w:rPr>
          <w:lang w:eastAsia="en-CA"/>
        </w:rPr>
        <w:t>.</w:t>
      </w:r>
      <w:r>
        <w:rPr>
          <w:lang w:eastAsia="zh-CN"/>
        </w:rPr>
        <w:t>0</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_Toc106184330 \h </w:instrText>
      </w:r>
      <w:r>
        <w:fldChar w:fldCharType="separate"/>
      </w:r>
      <w:r>
        <w:t>206</w:t>
      </w:r>
      <w:r>
        <w:fldChar w:fldCharType="end"/>
      </w:r>
    </w:p>
    <w:p w14:paraId="47A22605" w14:textId="6E5747B4" w:rsidR="003C625C" w:rsidRDefault="003C625C">
      <w:pPr>
        <w:pStyle w:val="TOC2"/>
        <w:rPr>
          <w:rFonts w:asciiTheme="minorHAnsi" w:eastAsiaTheme="minorEastAsia" w:hAnsiTheme="minorHAnsi" w:cstheme="minorBidi"/>
          <w:sz w:val="22"/>
          <w:szCs w:val="22"/>
        </w:rPr>
      </w:pPr>
      <w:r>
        <w:rPr>
          <w:lang w:eastAsia="zh-CN"/>
        </w:rPr>
        <w:t>D</w:t>
      </w:r>
      <w:r>
        <w:rPr>
          <w:lang w:eastAsia="en-CA"/>
        </w:rPr>
        <w:t>.1</w:t>
      </w:r>
      <w:r>
        <w:rPr>
          <w:rFonts w:asciiTheme="minorHAnsi" w:eastAsiaTheme="minorEastAsia" w:hAnsiTheme="minorHAnsi" w:cstheme="minorBidi"/>
          <w:sz w:val="22"/>
          <w:szCs w:val="22"/>
        </w:rPr>
        <w:tab/>
      </w:r>
      <w:r>
        <w:rPr>
          <w:lang w:eastAsia="en-CA"/>
        </w:rPr>
        <w:t>Reference point for measurement</w:t>
      </w:r>
      <w:r>
        <w:tab/>
      </w:r>
      <w:r>
        <w:fldChar w:fldCharType="begin"/>
      </w:r>
      <w:r>
        <w:instrText xml:space="preserve"> PAGEREF _Toc106184331 \h </w:instrText>
      </w:r>
      <w:r>
        <w:fldChar w:fldCharType="separate"/>
      </w:r>
      <w:r>
        <w:t>206</w:t>
      </w:r>
      <w:r>
        <w:fldChar w:fldCharType="end"/>
      </w:r>
    </w:p>
    <w:p w14:paraId="32996B54" w14:textId="1B4E68EB" w:rsidR="003C625C" w:rsidRDefault="003C625C">
      <w:pPr>
        <w:pStyle w:val="TOC2"/>
        <w:rPr>
          <w:rFonts w:asciiTheme="minorHAnsi" w:eastAsiaTheme="minorEastAsia" w:hAnsiTheme="minorHAnsi" w:cstheme="minorBidi"/>
          <w:sz w:val="22"/>
          <w:szCs w:val="22"/>
        </w:rPr>
      </w:pPr>
      <w:r>
        <w:rPr>
          <w:lang w:eastAsia="zh-CN"/>
        </w:rPr>
        <w:t>D</w:t>
      </w:r>
      <w:r>
        <w:rPr>
          <w:lang w:eastAsia="en-CA"/>
        </w:rPr>
        <w:t>.2</w:t>
      </w:r>
      <w:r>
        <w:rPr>
          <w:rFonts w:asciiTheme="minorHAnsi" w:eastAsiaTheme="minorEastAsia" w:hAnsiTheme="minorHAnsi" w:cstheme="minorBidi"/>
          <w:sz w:val="22"/>
          <w:szCs w:val="22"/>
        </w:rPr>
        <w:tab/>
      </w:r>
      <w:r>
        <w:rPr>
          <w:lang w:eastAsia="en-CA"/>
        </w:rPr>
        <w:t>Basic unit of measurement</w:t>
      </w:r>
      <w:r>
        <w:tab/>
      </w:r>
      <w:r>
        <w:fldChar w:fldCharType="begin"/>
      </w:r>
      <w:r>
        <w:instrText xml:space="preserve"> PAGEREF _Toc106184332 \h </w:instrText>
      </w:r>
      <w:r>
        <w:fldChar w:fldCharType="separate"/>
      </w:r>
      <w:r>
        <w:t>206</w:t>
      </w:r>
      <w:r>
        <w:fldChar w:fldCharType="end"/>
      </w:r>
    </w:p>
    <w:p w14:paraId="42B7435E" w14:textId="40094574" w:rsidR="003C625C" w:rsidRDefault="003C625C">
      <w:pPr>
        <w:pStyle w:val="TOC2"/>
        <w:rPr>
          <w:rFonts w:asciiTheme="minorHAnsi" w:eastAsiaTheme="minorEastAsia" w:hAnsiTheme="minorHAnsi" w:cstheme="minorBidi"/>
          <w:sz w:val="22"/>
          <w:szCs w:val="22"/>
        </w:rPr>
      </w:pPr>
      <w:r>
        <w:rPr>
          <w:lang w:eastAsia="zh-CN"/>
        </w:rPr>
        <w:t>D</w:t>
      </w:r>
      <w:r>
        <w:rPr>
          <w:lang w:eastAsia="en-CA"/>
        </w:rPr>
        <w:t>.3</w:t>
      </w:r>
      <w:r>
        <w:rPr>
          <w:rFonts w:asciiTheme="minorHAnsi" w:eastAsiaTheme="minorEastAsia" w:hAnsiTheme="minorHAnsi" w:cstheme="minorBidi"/>
          <w:sz w:val="22"/>
          <w:szCs w:val="22"/>
        </w:rPr>
        <w:tab/>
      </w:r>
      <w:r>
        <w:rPr>
          <w:lang w:eastAsia="en-CA"/>
        </w:rPr>
        <w:t>Modified signal under test</w:t>
      </w:r>
      <w:r>
        <w:tab/>
      </w:r>
      <w:r>
        <w:fldChar w:fldCharType="begin"/>
      </w:r>
      <w:r>
        <w:instrText xml:space="preserve"> PAGEREF _Toc106184333 \h </w:instrText>
      </w:r>
      <w:r>
        <w:fldChar w:fldCharType="separate"/>
      </w:r>
      <w:r>
        <w:t>206</w:t>
      </w:r>
      <w:r>
        <w:fldChar w:fldCharType="end"/>
      </w:r>
    </w:p>
    <w:p w14:paraId="0BA03C6D" w14:textId="30AC4BD5" w:rsidR="003C625C" w:rsidRDefault="003C625C">
      <w:pPr>
        <w:pStyle w:val="TOC2"/>
        <w:rPr>
          <w:rFonts w:asciiTheme="minorHAnsi" w:eastAsiaTheme="minorEastAsia" w:hAnsiTheme="minorHAnsi" w:cstheme="minorBidi"/>
          <w:sz w:val="22"/>
          <w:szCs w:val="22"/>
        </w:rPr>
      </w:pPr>
      <w:r>
        <w:rPr>
          <w:lang w:eastAsia="zh-CN"/>
        </w:rPr>
        <w:t>D</w:t>
      </w:r>
      <w:r>
        <w:rPr>
          <w:lang w:eastAsia="en-CA"/>
        </w:rPr>
        <w:t>.4</w:t>
      </w:r>
      <w:r>
        <w:rPr>
          <w:rFonts w:asciiTheme="minorHAnsi" w:eastAsiaTheme="minorEastAsia" w:hAnsiTheme="minorHAnsi" w:cstheme="minorBidi"/>
          <w:sz w:val="22"/>
          <w:szCs w:val="22"/>
        </w:rPr>
        <w:tab/>
      </w:r>
      <w:r>
        <w:rPr>
          <w:lang w:eastAsia="en-CA"/>
        </w:rPr>
        <w:t>Estimation of frequency offset</w:t>
      </w:r>
      <w:r>
        <w:tab/>
      </w:r>
      <w:r>
        <w:fldChar w:fldCharType="begin"/>
      </w:r>
      <w:r>
        <w:instrText xml:space="preserve"> PAGEREF _Toc106184334 \h </w:instrText>
      </w:r>
      <w:r>
        <w:fldChar w:fldCharType="separate"/>
      </w:r>
      <w:r>
        <w:t>207</w:t>
      </w:r>
      <w:r>
        <w:fldChar w:fldCharType="end"/>
      </w:r>
    </w:p>
    <w:p w14:paraId="1D3ADBD2" w14:textId="49ABA23F" w:rsidR="003C625C" w:rsidRDefault="003C625C">
      <w:pPr>
        <w:pStyle w:val="TOC2"/>
        <w:rPr>
          <w:rFonts w:asciiTheme="minorHAnsi" w:eastAsiaTheme="minorEastAsia" w:hAnsiTheme="minorHAnsi" w:cstheme="minorBidi"/>
          <w:sz w:val="22"/>
          <w:szCs w:val="22"/>
        </w:rPr>
      </w:pPr>
      <w:r>
        <w:rPr>
          <w:lang w:eastAsia="zh-CN"/>
        </w:rPr>
        <w:t>D</w:t>
      </w:r>
      <w:r>
        <w:rPr>
          <w:lang w:eastAsia="en-CA"/>
        </w:rPr>
        <w:t>.5</w:t>
      </w:r>
      <w:r>
        <w:rPr>
          <w:rFonts w:asciiTheme="minorHAnsi" w:eastAsiaTheme="minorEastAsia" w:hAnsiTheme="minorHAnsi" w:cstheme="minorBidi"/>
          <w:sz w:val="22"/>
          <w:szCs w:val="22"/>
        </w:rPr>
        <w:tab/>
      </w:r>
      <w:r>
        <w:rPr>
          <w:lang w:eastAsia="en-CA"/>
        </w:rPr>
        <w:t>Estimation of time offset</w:t>
      </w:r>
      <w:r>
        <w:tab/>
      </w:r>
      <w:r>
        <w:fldChar w:fldCharType="begin"/>
      </w:r>
      <w:r>
        <w:instrText xml:space="preserve"> PAGEREF _Toc106184335 \h </w:instrText>
      </w:r>
      <w:r>
        <w:fldChar w:fldCharType="separate"/>
      </w:r>
      <w:r>
        <w:t>207</w:t>
      </w:r>
      <w:r>
        <w:fldChar w:fldCharType="end"/>
      </w:r>
    </w:p>
    <w:p w14:paraId="760FBFEF" w14:textId="7B62ECC8" w:rsidR="003C625C" w:rsidRDefault="003C625C">
      <w:pPr>
        <w:pStyle w:val="TOC2"/>
        <w:rPr>
          <w:rFonts w:asciiTheme="minorHAnsi" w:eastAsiaTheme="minorEastAsia" w:hAnsiTheme="minorHAnsi" w:cstheme="minorBidi"/>
          <w:sz w:val="22"/>
          <w:szCs w:val="22"/>
        </w:rPr>
      </w:pPr>
      <w:r>
        <w:rPr>
          <w:lang w:eastAsia="zh-CN"/>
        </w:rPr>
        <w:t>D</w:t>
      </w:r>
      <w:r>
        <w:rPr>
          <w:lang w:eastAsia="en-CA"/>
        </w:rPr>
        <w:t>.6</w:t>
      </w:r>
      <w:r>
        <w:rPr>
          <w:rFonts w:asciiTheme="minorHAnsi" w:eastAsiaTheme="minorEastAsia" w:hAnsiTheme="minorHAnsi" w:cstheme="minorBidi"/>
          <w:sz w:val="22"/>
          <w:szCs w:val="22"/>
        </w:rPr>
        <w:tab/>
      </w:r>
      <w:r>
        <w:rPr>
          <w:lang w:eastAsia="en-CA"/>
        </w:rPr>
        <w:t>Estimation of TX chain amplitude and frequency response parameters</w:t>
      </w:r>
      <w:r>
        <w:tab/>
      </w:r>
      <w:r>
        <w:fldChar w:fldCharType="begin"/>
      </w:r>
      <w:r>
        <w:instrText xml:space="preserve"> PAGEREF _Toc106184336 \h </w:instrText>
      </w:r>
      <w:r>
        <w:fldChar w:fldCharType="separate"/>
      </w:r>
      <w:r>
        <w:t>207</w:t>
      </w:r>
      <w:r>
        <w:fldChar w:fldCharType="end"/>
      </w:r>
    </w:p>
    <w:p w14:paraId="554319F3" w14:textId="46EBBBF0" w:rsidR="003C625C" w:rsidRDefault="003C625C">
      <w:pPr>
        <w:pStyle w:val="TOC2"/>
        <w:rPr>
          <w:rFonts w:asciiTheme="minorHAnsi" w:eastAsiaTheme="minorEastAsia" w:hAnsiTheme="minorHAnsi" w:cstheme="minorBidi"/>
          <w:sz w:val="22"/>
          <w:szCs w:val="22"/>
        </w:rPr>
      </w:pPr>
      <w:r>
        <w:rPr>
          <w:lang w:eastAsia="zh-CN"/>
        </w:rPr>
        <w:t>D</w:t>
      </w:r>
      <w:r>
        <w:rPr>
          <w:lang w:eastAsia="en-CA"/>
        </w:rPr>
        <w:t>.7</w:t>
      </w:r>
      <w:r>
        <w:rPr>
          <w:rFonts w:asciiTheme="minorHAnsi" w:eastAsiaTheme="minorEastAsia" w:hAnsiTheme="minorHAnsi" w:cstheme="minorBidi"/>
          <w:sz w:val="22"/>
          <w:szCs w:val="22"/>
        </w:rPr>
        <w:tab/>
      </w:r>
      <w:r>
        <w:rPr>
          <w:lang w:eastAsia="en-CA"/>
        </w:rPr>
        <w:t>Averaged EVM</w:t>
      </w:r>
      <w:r>
        <w:tab/>
      </w:r>
      <w:r>
        <w:fldChar w:fldCharType="begin"/>
      </w:r>
      <w:r>
        <w:instrText xml:space="preserve"> PAGEREF _Toc106184337 \h </w:instrText>
      </w:r>
      <w:r>
        <w:fldChar w:fldCharType="separate"/>
      </w:r>
      <w:r>
        <w:t>207</w:t>
      </w:r>
      <w:r>
        <w:fldChar w:fldCharType="end"/>
      </w:r>
    </w:p>
    <w:p w14:paraId="0A476F4C" w14:textId="43A42BF5" w:rsidR="003C625C" w:rsidRDefault="003C625C">
      <w:pPr>
        <w:pStyle w:val="TOC8"/>
        <w:rPr>
          <w:rFonts w:asciiTheme="minorHAnsi" w:eastAsiaTheme="minorEastAsia" w:hAnsiTheme="minorHAnsi" w:cstheme="minorBidi"/>
          <w:b w:val="0"/>
          <w:szCs w:val="22"/>
        </w:rPr>
      </w:pPr>
      <w:r>
        <w:rPr>
          <w:lang w:eastAsia="en-CA"/>
        </w:rPr>
        <w:t xml:space="preserve">Annex </w:t>
      </w:r>
      <w:r>
        <w:rPr>
          <w:lang w:eastAsia="zh-CN"/>
        </w:rPr>
        <w:t>E</w:t>
      </w:r>
      <w:r>
        <w:rPr>
          <w:lang w:eastAsia="en-CA"/>
        </w:rPr>
        <w:t xml:space="preserve"> (normative):  </w:t>
      </w:r>
      <w:r>
        <w:rPr>
          <w:lang w:eastAsia="zh-CN"/>
        </w:rPr>
        <w:t xml:space="preserve">IAB-MT </w:t>
      </w:r>
      <w:r>
        <w:rPr>
          <w:lang w:eastAsia="en-CA"/>
        </w:rPr>
        <w:t>Error Vector Magnitude</w:t>
      </w:r>
      <w:r>
        <w:t xml:space="preserve"> (FR</w:t>
      </w:r>
      <w:r>
        <w:rPr>
          <w:lang w:eastAsia="zh-CN"/>
        </w:rPr>
        <w:t>2</w:t>
      </w:r>
      <w:r>
        <w:t>)</w:t>
      </w:r>
      <w:r>
        <w:tab/>
      </w:r>
      <w:r>
        <w:fldChar w:fldCharType="begin"/>
      </w:r>
      <w:r>
        <w:instrText xml:space="preserve"> PAGEREF _Toc106184338 \h </w:instrText>
      </w:r>
      <w:r>
        <w:fldChar w:fldCharType="separate"/>
      </w:r>
      <w:r>
        <w:t>207</w:t>
      </w:r>
      <w:r>
        <w:fldChar w:fldCharType="end"/>
      </w:r>
    </w:p>
    <w:p w14:paraId="71857F4A" w14:textId="3323DB48" w:rsidR="003C625C" w:rsidRDefault="003C625C">
      <w:pPr>
        <w:pStyle w:val="TOC2"/>
        <w:rPr>
          <w:rFonts w:asciiTheme="minorHAnsi" w:eastAsiaTheme="minorEastAsia" w:hAnsiTheme="minorHAnsi" w:cstheme="minorBidi"/>
          <w:sz w:val="22"/>
          <w:szCs w:val="22"/>
        </w:rPr>
      </w:pPr>
      <w:r>
        <w:rPr>
          <w:lang w:eastAsia="zh-CN"/>
        </w:rPr>
        <w:t>E</w:t>
      </w:r>
      <w:r>
        <w:rPr>
          <w:lang w:eastAsia="en-CA"/>
        </w:rPr>
        <w:t>.</w:t>
      </w:r>
      <w:r>
        <w:rPr>
          <w:lang w:eastAsia="zh-CN"/>
        </w:rPr>
        <w:t>0</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_Toc106184339 \h </w:instrText>
      </w:r>
      <w:r>
        <w:fldChar w:fldCharType="separate"/>
      </w:r>
      <w:r>
        <w:t>208</w:t>
      </w:r>
      <w:r>
        <w:fldChar w:fldCharType="end"/>
      </w:r>
    </w:p>
    <w:p w14:paraId="29711B11" w14:textId="38631A1B" w:rsidR="003C625C" w:rsidRDefault="003C625C">
      <w:pPr>
        <w:pStyle w:val="TOC2"/>
        <w:rPr>
          <w:rFonts w:asciiTheme="minorHAnsi" w:eastAsiaTheme="minorEastAsia" w:hAnsiTheme="minorHAnsi" w:cstheme="minorBidi"/>
          <w:sz w:val="22"/>
          <w:szCs w:val="22"/>
        </w:rPr>
      </w:pPr>
      <w:r>
        <w:rPr>
          <w:lang w:eastAsia="zh-CN"/>
        </w:rPr>
        <w:t>E</w:t>
      </w:r>
      <w:r>
        <w:rPr>
          <w:lang w:eastAsia="en-CA"/>
        </w:rPr>
        <w:t>.1</w:t>
      </w:r>
      <w:r>
        <w:rPr>
          <w:rFonts w:asciiTheme="minorHAnsi" w:eastAsiaTheme="minorEastAsia" w:hAnsiTheme="minorHAnsi" w:cstheme="minorBidi"/>
          <w:sz w:val="22"/>
          <w:szCs w:val="22"/>
        </w:rPr>
        <w:tab/>
      </w:r>
      <w:r>
        <w:rPr>
          <w:lang w:eastAsia="en-CA"/>
        </w:rPr>
        <w:t>Reference point for measurement</w:t>
      </w:r>
      <w:r>
        <w:tab/>
      </w:r>
      <w:r>
        <w:fldChar w:fldCharType="begin"/>
      </w:r>
      <w:r>
        <w:instrText xml:space="preserve"> PAGEREF _Toc106184340 \h </w:instrText>
      </w:r>
      <w:r>
        <w:fldChar w:fldCharType="separate"/>
      </w:r>
      <w:r>
        <w:t>208</w:t>
      </w:r>
      <w:r>
        <w:fldChar w:fldCharType="end"/>
      </w:r>
    </w:p>
    <w:p w14:paraId="73282547" w14:textId="34D3C263" w:rsidR="003C625C" w:rsidRDefault="003C625C">
      <w:pPr>
        <w:pStyle w:val="TOC2"/>
        <w:rPr>
          <w:rFonts w:asciiTheme="minorHAnsi" w:eastAsiaTheme="minorEastAsia" w:hAnsiTheme="minorHAnsi" w:cstheme="minorBidi"/>
          <w:sz w:val="22"/>
          <w:szCs w:val="22"/>
        </w:rPr>
      </w:pPr>
      <w:r>
        <w:rPr>
          <w:lang w:eastAsia="zh-CN"/>
        </w:rPr>
        <w:t>E</w:t>
      </w:r>
      <w:r>
        <w:rPr>
          <w:lang w:eastAsia="en-CA"/>
        </w:rPr>
        <w:t>.2</w:t>
      </w:r>
      <w:r>
        <w:rPr>
          <w:rFonts w:asciiTheme="minorHAnsi" w:eastAsiaTheme="minorEastAsia" w:hAnsiTheme="minorHAnsi" w:cstheme="minorBidi"/>
          <w:sz w:val="22"/>
          <w:szCs w:val="22"/>
        </w:rPr>
        <w:tab/>
      </w:r>
      <w:r>
        <w:rPr>
          <w:lang w:eastAsia="en-CA"/>
        </w:rPr>
        <w:t>Basic unit of measurement</w:t>
      </w:r>
      <w:r>
        <w:tab/>
      </w:r>
      <w:r>
        <w:fldChar w:fldCharType="begin"/>
      </w:r>
      <w:r>
        <w:instrText xml:space="preserve"> PAGEREF _Toc106184341 \h </w:instrText>
      </w:r>
      <w:r>
        <w:fldChar w:fldCharType="separate"/>
      </w:r>
      <w:r>
        <w:t>208</w:t>
      </w:r>
      <w:r>
        <w:fldChar w:fldCharType="end"/>
      </w:r>
    </w:p>
    <w:p w14:paraId="662B0748" w14:textId="0C07DF83" w:rsidR="003C625C" w:rsidRDefault="003C625C">
      <w:pPr>
        <w:pStyle w:val="TOC2"/>
        <w:rPr>
          <w:rFonts w:asciiTheme="minorHAnsi" w:eastAsiaTheme="minorEastAsia" w:hAnsiTheme="minorHAnsi" w:cstheme="minorBidi"/>
          <w:sz w:val="22"/>
          <w:szCs w:val="22"/>
        </w:rPr>
      </w:pPr>
      <w:r>
        <w:rPr>
          <w:lang w:eastAsia="zh-CN"/>
        </w:rPr>
        <w:t>E</w:t>
      </w:r>
      <w:r>
        <w:rPr>
          <w:lang w:eastAsia="en-CA"/>
        </w:rPr>
        <w:t>.3</w:t>
      </w:r>
      <w:r>
        <w:rPr>
          <w:rFonts w:asciiTheme="minorHAnsi" w:eastAsiaTheme="minorEastAsia" w:hAnsiTheme="minorHAnsi" w:cstheme="minorBidi"/>
          <w:sz w:val="22"/>
          <w:szCs w:val="22"/>
        </w:rPr>
        <w:tab/>
      </w:r>
      <w:r>
        <w:rPr>
          <w:lang w:eastAsia="en-CA"/>
        </w:rPr>
        <w:t>Modified signal under test</w:t>
      </w:r>
      <w:r>
        <w:tab/>
      </w:r>
      <w:r>
        <w:fldChar w:fldCharType="begin"/>
      </w:r>
      <w:r>
        <w:instrText xml:space="preserve"> PAGEREF _Toc106184342 \h </w:instrText>
      </w:r>
      <w:r>
        <w:fldChar w:fldCharType="separate"/>
      </w:r>
      <w:r>
        <w:t>208</w:t>
      </w:r>
      <w:r>
        <w:fldChar w:fldCharType="end"/>
      </w:r>
    </w:p>
    <w:p w14:paraId="1BC343FA" w14:textId="5FD1339F" w:rsidR="003C625C" w:rsidRDefault="003C625C">
      <w:pPr>
        <w:pStyle w:val="TOC2"/>
        <w:rPr>
          <w:rFonts w:asciiTheme="minorHAnsi" w:eastAsiaTheme="minorEastAsia" w:hAnsiTheme="minorHAnsi" w:cstheme="minorBidi"/>
          <w:sz w:val="22"/>
          <w:szCs w:val="22"/>
        </w:rPr>
      </w:pPr>
      <w:r>
        <w:rPr>
          <w:lang w:eastAsia="zh-CN"/>
        </w:rPr>
        <w:t>E</w:t>
      </w:r>
      <w:r>
        <w:rPr>
          <w:lang w:eastAsia="en-CA"/>
        </w:rPr>
        <w:t>.4</w:t>
      </w:r>
      <w:r>
        <w:rPr>
          <w:rFonts w:asciiTheme="minorHAnsi" w:eastAsiaTheme="minorEastAsia" w:hAnsiTheme="minorHAnsi" w:cstheme="minorBidi"/>
          <w:sz w:val="22"/>
          <w:szCs w:val="22"/>
        </w:rPr>
        <w:tab/>
      </w:r>
      <w:r>
        <w:rPr>
          <w:lang w:eastAsia="en-CA"/>
        </w:rPr>
        <w:t>Estimation of frequency offset</w:t>
      </w:r>
      <w:r>
        <w:tab/>
      </w:r>
      <w:r>
        <w:fldChar w:fldCharType="begin"/>
      </w:r>
      <w:r>
        <w:instrText xml:space="preserve"> PAGEREF _Toc106184343 \h </w:instrText>
      </w:r>
      <w:r>
        <w:fldChar w:fldCharType="separate"/>
      </w:r>
      <w:r>
        <w:t>208</w:t>
      </w:r>
      <w:r>
        <w:fldChar w:fldCharType="end"/>
      </w:r>
    </w:p>
    <w:p w14:paraId="2D139A19" w14:textId="5C5AC4DA" w:rsidR="003C625C" w:rsidRDefault="003C625C">
      <w:pPr>
        <w:pStyle w:val="TOC2"/>
        <w:rPr>
          <w:rFonts w:asciiTheme="minorHAnsi" w:eastAsiaTheme="minorEastAsia" w:hAnsiTheme="minorHAnsi" w:cstheme="minorBidi"/>
          <w:sz w:val="22"/>
          <w:szCs w:val="22"/>
        </w:rPr>
      </w:pPr>
      <w:r>
        <w:rPr>
          <w:lang w:eastAsia="zh-CN"/>
        </w:rPr>
        <w:t>E</w:t>
      </w:r>
      <w:r>
        <w:rPr>
          <w:lang w:eastAsia="en-CA"/>
        </w:rPr>
        <w:t>.5</w:t>
      </w:r>
      <w:r>
        <w:rPr>
          <w:rFonts w:asciiTheme="minorHAnsi" w:eastAsiaTheme="minorEastAsia" w:hAnsiTheme="minorHAnsi" w:cstheme="minorBidi"/>
          <w:sz w:val="22"/>
          <w:szCs w:val="22"/>
        </w:rPr>
        <w:tab/>
      </w:r>
      <w:r>
        <w:rPr>
          <w:lang w:eastAsia="en-CA"/>
        </w:rPr>
        <w:t>Estimation of time offset</w:t>
      </w:r>
      <w:r>
        <w:tab/>
      </w:r>
      <w:r>
        <w:fldChar w:fldCharType="begin"/>
      </w:r>
      <w:r>
        <w:instrText xml:space="preserve"> PAGEREF _Toc106184344 \h </w:instrText>
      </w:r>
      <w:r>
        <w:fldChar w:fldCharType="separate"/>
      </w:r>
      <w:r>
        <w:t>208</w:t>
      </w:r>
      <w:r>
        <w:fldChar w:fldCharType="end"/>
      </w:r>
    </w:p>
    <w:p w14:paraId="640B8779" w14:textId="052D29A6" w:rsidR="003C625C" w:rsidRDefault="003C625C">
      <w:pPr>
        <w:pStyle w:val="TOC2"/>
        <w:rPr>
          <w:rFonts w:asciiTheme="minorHAnsi" w:eastAsiaTheme="minorEastAsia" w:hAnsiTheme="minorHAnsi" w:cstheme="minorBidi"/>
          <w:sz w:val="22"/>
          <w:szCs w:val="22"/>
        </w:rPr>
      </w:pPr>
      <w:r>
        <w:rPr>
          <w:lang w:eastAsia="zh-CN"/>
        </w:rPr>
        <w:t>E</w:t>
      </w:r>
      <w:r>
        <w:rPr>
          <w:lang w:eastAsia="en-CA"/>
        </w:rPr>
        <w:t>.6</w:t>
      </w:r>
      <w:r>
        <w:rPr>
          <w:rFonts w:asciiTheme="minorHAnsi" w:eastAsiaTheme="minorEastAsia" w:hAnsiTheme="minorHAnsi" w:cstheme="minorBidi"/>
          <w:sz w:val="22"/>
          <w:szCs w:val="22"/>
        </w:rPr>
        <w:tab/>
      </w:r>
      <w:r>
        <w:rPr>
          <w:lang w:eastAsia="en-CA"/>
        </w:rPr>
        <w:t>Estimation of TX chain amplitude and frequency response parameters</w:t>
      </w:r>
      <w:r>
        <w:tab/>
      </w:r>
      <w:r>
        <w:fldChar w:fldCharType="begin"/>
      </w:r>
      <w:r>
        <w:instrText xml:space="preserve"> PAGEREF _Toc106184345 \h </w:instrText>
      </w:r>
      <w:r>
        <w:fldChar w:fldCharType="separate"/>
      </w:r>
      <w:r>
        <w:t>208</w:t>
      </w:r>
      <w:r>
        <w:fldChar w:fldCharType="end"/>
      </w:r>
    </w:p>
    <w:p w14:paraId="2959175B" w14:textId="0E5E2F28" w:rsidR="003C625C" w:rsidRDefault="003C625C">
      <w:pPr>
        <w:pStyle w:val="TOC2"/>
        <w:rPr>
          <w:rFonts w:asciiTheme="minorHAnsi" w:eastAsiaTheme="minorEastAsia" w:hAnsiTheme="minorHAnsi" w:cstheme="minorBidi"/>
          <w:sz w:val="22"/>
          <w:szCs w:val="22"/>
        </w:rPr>
      </w:pPr>
      <w:r>
        <w:rPr>
          <w:lang w:eastAsia="zh-CN"/>
        </w:rPr>
        <w:t>E</w:t>
      </w:r>
      <w:r>
        <w:rPr>
          <w:lang w:eastAsia="en-CA"/>
        </w:rPr>
        <w:t>.7</w:t>
      </w:r>
      <w:r>
        <w:rPr>
          <w:rFonts w:asciiTheme="minorHAnsi" w:eastAsiaTheme="minorEastAsia" w:hAnsiTheme="minorHAnsi" w:cstheme="minorBidi"/>
          <w:sz w:val="22"/>
          <w:szCs w:val="22"/>
        </w:rPr>
        <w:tab/>
      </w:r>
      <w:r>
        <w:rPr>
          <w:lang w:eastAsia="en-CA"/>
        </w:rPr>
        <w:t>Averaged EVM</w:t>
      </w:r>
      <w:r>
        <w:tab/>
      </w:r>
      <w:r>
        <w:fldChar w:fldCharType="begin"/>
      </w:r>
      <w:r>
        <w:instrText xml:space="preserve"> PAGEREF _Toc106184346 \h </w:instrText>
      </w:r>
      <w:r>
        <w:fldChar w:fldCharType="separate"/>
      </w:r>
      <w:r>
        <w:t>208</w:t>
      </w:r>
      <w:r>
        <w:fldChar w:fldCharType="end"/>
      </w:r>
    </w:p>
    <w:p w14:paraId="59E1D533" w14:textId="3E291AA7" w:rsidR="003C625C" w:rsidRDefault="003C625C">
      <w:pPr>
        <w:pStyle w:val="TOC8"/>
        <w:rPr>
          <w:rFonts w:asciiTheme="minorHAnsi" w:eastAsiaTheme="minorEastAsia" w:hAnsiTheme="minorHAnsi" w:cstheme="minorBidi"/>
          <w:b w:val="0"/>
          <w:szCs w:val="22"/>
        </w:rPr>
      </w:pPr>
      <w:r>
        <w:rPr>
          <w:lang w:eastAsia="en-CA"/>
        </w:rPr>
        <w:lastRenderedPageBreak/>
        <w:t xml:space="preserve">Annex </w:t>
      </w:r>
      <w:r>
        <w:rPr>
          <w:lang w:eastAsia="zh-CN"/>
        </w:rPr>
        <w:t>F</w:t>
      </w:r>
      <w:r>
        <w:rPr>
          <w:lang w:eastAsia="en-CA"/>
        </w:rPr>
        <w:t xml:space="preserve"> (normative):</w:t>
      </w:r>
      <w:r>
        <w:tab/>
      </w:r>
      <w:r>
        <w:fldChar w:fldCharType="begin"/>
      </w:r>
      <w:r>
        <w:instrText xml:space="preserve"> PAGEREF _Toc106184347 \h </w:instrText>
      </w:r>
      <w:r>
        <w:fldChar w:fldCharType="separate"/>
      </w:r>
      <w:r>
        <w:t>209</w:t>
      </w:r>
      <w:r>
        <w:fldChar w:fldCharType="end"/>
      </w:r>
    </w:p>
    <w:p w14:paraId="47BCE8E2" w14:textId="16DF63EA" w:rsidR="003C625C" w:rsidRDefault="003C625C">
      <w:pPr>
        <w:pStyle w:val="TOC2"/>
        <w:rPr>
          <w:rFonts w:asciiTheme="minorHAnsi" w:eastAsiaTheme="minorEastAsia" w:hAnsiTheme="minorHAnsi" w:cstheme="minorBidi"/>
          <w:sz w:val="22"/>
          <w:szCs w:val="22"/>
        </w:rPr>
      </w:pPr>
      <w:r>
        <w:t>F.1 Characteristics of the interfering signals for IAB-DU</w:t>
      </w:r>
      <w:r>
        <w:tab/>
      </w:r>
      <w:r>
        <w:fldChar w:fldCharType="begin"/>
      </w:r>
      <w:r>
        <w:instrText xml:space="preserve"> PAGEREF _Toc106184348 \h </w:instrText>
      </w:r>
      <w:r>
        <w:fldChar w:fldCharType="separate"/>
      </w:r>
      <w:r>
        <w:t>209</w:t>
      </w:r>
      <w:r>
        <w:fldChar w:fldCharType="end"/>
      </w:r>
    </w:p>
    <w:p w14:paraId="353EFA66" w14:textId="330A6107" w:rsidR="003C625C" w:rsidRDefault="003C625C">
      <w:pPr>
        <w:pStyle w:val="TOC2"/>
        <w:rPr>
          <w:rFonts w:asciiTheme="minorHAnsi" w:eastAsiaTheme="minorEastAsia" w:hAnsiTheme="minorHAnsi" w:cstheme="minorBidi"/>
          <w:sz w:val="22"/>
          <w:szCs w:val="22"/>
        </w:rPr>
      </w:pPr>
      <w:r>
        <w:t>F.2 Characteristics of the interfering signals for IAB-MT</w:t>
      </w:r>
      <w:r>
        <w:tab/>
      </w:r>
      <w:r>
        <w:fldChar w:fldCharType="begin"/>
      </w:r>
      <w:r>
        <w:instrText xml:space="preserve"> PAGEREF _Toc106184349 \h </w:instrText>
      </w:r>
      <w:r>
        <w:fldChar w:fldCharType="separate"/>
      </w:r>
      <w:r>
        <w:t>209</w:t>
      </w:r>
      <w:r>
        <w:fldChar w:fldCharType="end"/>
      </w:r>
    </w:p>
    <w:p w14:paraId="4C18DBCB" w14:textId="533CBCC2" w:rsidR="003C625C" w:rsidRDefault="003C625C">
      <w:pPr>
        <w:pStyle w:val="TOC8"/>
        <w:rPr>
          <w:rFonts w:asciiTheme="minorHAnsi" w:eastAsiaTheme="minorEastAsia" w:hAnsiTheme="minorHAnsi" w:cstheme="minorBidi"/>
          <w:b w:val="0"/>
          <w:szCs w:val="22"/>
        </w:rPr>
      </w:pPr>
      <w:r>
        <w:t>Annex G (normative): IAB-MT RRM Testing</w:t>
      </w:r>
      <w:r>
        <w:tab/>
      </w:r>
      <w:r>
        <w:fldChar w:fldCharType="begin"/>
      </w:r>
      <w:r>
        <w:instrText xml:space="preserve"> PAGEREF _Toc106184350 \h </w:instrText>
      </w:r>
      <w:r>
        <w:fldChar w:fldCharType="separate"/>
      </w:r>
      <w:r>
        <w:t>209</w:t>
      </w:r>
      <w:r>
        <w:fldChar w:fldCharType="end"/>
      </w:r>
    </w:p>
    <w:p w14:paraId="70B4D22F" w14:textId="6B99BA1F" w:rsidR="003C625C" w:rsidRDefault="003C625C">
      <w:pPr>
        <w:pStyle w:val="TOC2"/>
        <w:rPr>
          <w:rFonts w:asciiTheme="minorHAnsi" w:eastAsiaTheme="minorEastAsia" w:hAnsiTheme="minorHAnsi" w:cstheme="minorBidi"/>
          <w:sz w:val="22"/>
          <w:szCs w:val="22"/>
        </w:rPr>
      </w:pPr>
      <w:r w:rsidRPr="00DD4EB8">
        <w:rPr>
          <w:rFonts w:eastAsia="SimSun"/>
        </w:rPr>
        <w:t>G.1</w:t>
      </w:r>
      <w:r>
        <w:rPr>
          <w:rFonts w:asciiTheme="minorHAnsi" w:eastAsiaTheme="minorEastAsia" w:hAnsiTheme="minorHAnsi" w:cstheme="minorBidi"/>
          <w:sz w:val="22"/>
          <w:szCs w:val="22"/>
        </w:rPr>
        <w:tab/>
      </w:r>
      <w:r w:rsidRPr="00DD4EB8">
        <w:rPr>
          <w:rFonts w:eastAsia="SimSun"/>
        </w:rPr>
        <w:t>IAB-MT RRM test configurations</w:t>
      </w:r>
      <w:r>
        <w:tab/>
      </w:r>
      <w:r>
        <w:fldChar w:fldCharType="begin"/>
      </w:r>
      <w:r>
        <w:instrText xml:space="preserve"> PAGEREF _Toc106184351 \h </w:instrText>
      </w:r>
      <w:r>
        <w:fldChar w:fldCharType="separate"/>
      </w:r>
      <w:r>
        <w:t>211</w:t>
      </w:r>
      <w:r>
        <w:fldChar w:fldCharType="end"/>
      </w:r>
    </w:p>
    <w:p w14:paraId="63F0544D" w14:textId="644C2A53" w:rsidR="003C625C" w:rsidRDefault="003C625C">
      <w:pPr>
        <w:pStyle w:val="TOC3"/>
        <w:rPr>
          <w:rFonts w:asciiTheme="minorHAnsi" w:eastAsiaTheme="minorEastAsia" w:hAnsiTheme="minorHAnsi" w:cstheme="minorBidi"/>
          <w:sz w:val="22"/>
          <w:szCs w:val="22"/>
        </w:rPr>
      </w:pPr>
      <w:r w:rsidRPr="00DD4EB8">
        <w:rPr>
          <w:rFonts w:eastAsiaTheme="minorEastAsia"/>
        </w:rPr>
        <w:t>G.1.1</w:t>
      </w:r>
      <w:r>
        <w:rPr>
          <w:rFonts w:asciiTheme="minorHAnsi" w:eastAsiaTheme="minorEastAsia" w:hAnsiTheme="minorHAnsi" w:cstheme="minorBidi"/>
          <w:sz w:val="22"/>
          <w:szCs w:val="22"/>
        </w:rPr>
        <w:tab/>
      </w:r>
      <w:r w:rsidRPr="00DD4EB8">
        <w:rPr>
          <w:rFonts w:eastAsiaTheme="minorEastAsia"/>
        </w:rPr>
        <w:t>Reference measurement channels</w:t>
      </w:r>
      <w:r>
        <w:tab/>
      </w:r>
      <w:r>
        <w:fldChar w:fldCharType="begin"/>
      </w:r>
      <w:r>
        <w:instrText xml:space="preserve"> PAGEREF _Toc106184352 \h </w:instrText>
      </w:r>
      <w:r>
        <w:fldChar w:fldCharType="separate"/>
      </w:r>
      <w:r>
        <w:t>211</w:t>
      </w:r>
      <w:r>
        <w:fldChar w:fldCharType="end"/>
      </w:r>
    </w:p>
    <w:p w14:paraId="15DEF84C" w14:textId="2F8C2713"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G.1.1.1</w:t>
      </w:r>
      <w:r>
        <w:rPr>
          <w:rFonts w:asciiTheme="minorHAnsi" w:eastAsiaTheme="minorEastAsia" w:hAnsiTheme="minorHAnsi" w:cstheme="minorBidi"/>
          <w:sz w:val="22"/>
          <w:szCs w:val="22"/>
        </w:rPr>
        <w:tab/>
      </w:r>
      <w:r w:rsidRPr="00DD4EB8">
        <w:rPr>
          <w:rFonts w:eastAsiaTheme="minorEastAsia"/>
          <w:snapToGrid w:val="0"/>
        </w:rPr>
        <w:t>PDSCH</w:t>
      </w:r>
      <w:r>
        <w:tab/>
      </w:r>
      <w:r>
        <w:fldChar w:fldCharType="begin"/>
      </w:r>
      <w:r>
        <w:instrText xml:space="preserve"> PAGEREF _Toc106184353 \h </w:instrText>
      </w:r>
      <w:r>
        <w:fldChar w:fldCharType="separate"/>
      </w:r>
      <w:r>
        <w:t>211</w:t>
      </w:r>
      <w:r>
        <w:fldChar w:fldCharType="end"/>
      </w:r>
    </w:p>
    <w:p w14:paraId="25E84BC9" w14:textId="1471B8C0" w:rsidR="003C625C" w:rsidRDefault="003C625C">
      <w:pPr>
        <w:pStyle w:val="TOC5"/>
        <w:rPr>
          <w:rFonts w:asciiTheme="minorHAnsi" w:eastAsiaTheme="minorEastAsia" w:hAnsiTheme="minorHAnsi" w:cstheme="minorBidi"/>
          <w:sz w:val="22"/>
          <w:szCs w:val="22"/>
        </w:rPr>
      </w:pPr>
      <w:r w:rsidRPr="00DD4EB8">
        <w:rPr>
          <w:rFonts w:eastAsiaTheme="minorEastAsia"/>
          <w:snapToGrid w:val="0"/>
        </w:rPr>
        <w:t>G.1.1.1.1</w:t>
      </w:r>
      <w:r>
        <w:rPr>
          <w:rFonts w:asciiTheme="minorHAnsi" w:eastAsiaTheme="minorEastAsia" w:hAnsiTheme="minorHAnsi" w:cstheme="minorBidi"/>
          <w:sz w:val="22"/>
          <w:szCs w:val="22"/>
        </w:rPr>
        <w:tab/>
      </w:r>
      <w:r w:rsidRPr="00DD4EB8">
        <w:rPr>
          <w:rFonts w:eastAsiaTheme="minorEastAsia"/>
          <w:snapToGrid w:val="0"/>
        </w:rPr>
        <w:t>TDD</w:t>
      </w:r>
      <w:r>
        <w:tab/>
      </w:r>
      <w:r>
        <w:fldChar w:fldCharType="begin"/>
      </w:r>
      <w:r>
        <w:instrText xml:space="preserve"> PAGEREF _Toc106184354 \h </w:instrText>
      </w:r>
      <w:r>
        <w:fldChar w:fldCharType="separate"/>
      </w:r>
      <w:r>
        <w:t>211</w:t>
      </w:r>
      <w:r>
        <w:fldChar w:fldCharType="end"/>
      </w:r>
    </w:p>
    <w:p w14:paraId="5BB01F21" w14:textId="7ECC5AE3"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G.1.1.2</w:t>
      </w:r>
      <w:r>
        <w:rPr>
          <w:rFonts w:asciiTheme="minorHAnsi" w:eastAsiaTheme="minorEastAsia" w:hAnsiTheme="minorHAnsi" w:cstheme="minorBidi"/>
          <w:sz w:val="22"/>
          <w:szCs w:val="22"/>
        </w:rPr>
        <w:tab/>
      </w:r>
      <w:r w:rsidRPr="00DD4EB8">
        <w:rPr>
          <w:rFonts w:eastAsiaTheme="minorEastAsia"/>
          <w:snapToGrid w:val="0"/>
        </w:rPr>
        <w:t>CORESET</w:t>
      </w:r>
      <w:r w:rsidRPr="00DD4EB8">
        <w:rPr>
          <w:rFonts w:eastAsiaTheme="minorEastAsia"/>
          <w:snapToGrid w:val="0"/>
          <w:lang w:eastAsia="zh-CN"/>
        </w:rPr>
        <w:t xml:space="preserve"> for RMSI scheduling</w:t>
      </w:r>
      <w:r>
        <w:tab/>
      </w:r>
      <w:r>
        <w:fldChar w:fldCharType="begin"/>
      </w:r>
      <w:r>
        <w:instrText xml:space="preserve"> PAGEREF _Toc106184355 \h </w:instrText>
      </w:r>
      <w:r>
        <w:fldChar w:fldCharType="separate"/>
      </w:r>
      <w:r>
        <w:t>214</w:t>
      </w:r>
      <w:r>
        <w:fldChar w:fldCharType="end"/>
      </w:r>
    </w:p>
    <w:p w14:paraId="0EA72F46" w14:textId="4461E030" w:rsidR="003C625C" w:rsidRDefault="003C625C">
      <w:pPr>
        <w:pStyle w:val="TOC5"/>
        <w:rPr>
          <w:rFonts w:asciiTheme="minorHAnsi" w:eastAsiaTheme="minorEastAsia" w:hAnsiTheme="minorHAnsi" w:cstheme="minorBidi"/>
          <w:sz w:val="22"/>
          <w:szCs w:val="22"/>
        </w:rPr>
      </w:pPr>
      <w:r w:rsidRPr="00DD4EB8">
        <w:rPr>
          <w:rFonts w:eastAsiaTheme="minorEastAsia"/>
          <w:snapToGrid w:val="0"/>
        </w:rPr>
        <w:t>G.1.1.2.1</w:t>
      </w:r>
      <w:r>
        <w:rPr>
          <w:rFonts w:asciiTheme="minorHAnsi" w:eastAsiaTheme="minorEastAsia" w:hAnsiTheme="minorHAnsi" w:cstheme="minorBidi"/>
          <w:sz w:val="22"/>
          <w:szCs w:val="22"/>
        </w:rPr>
        <w:tab/>
      </w:r>
      <w:r w:rsidRPr="00DD4EB8">
        <w:rPr>
          <w:rFonts w:eastAsiaTheme="minorEastAsia"/>
          <w:snapToGrid w:val="0"/>
        </w:rPr>
        <w:t>TDD</w:t>
      </w:r>
      <w:r>
        <w:tab/>
      </w:r>
      <w:r>
        <w:fldChar w:fldCharType="begin"/>
      </w:r>
      <w:r>
        <w:instrText xml:space="preserve"> PAGEREF _Toc106184356 \h </w:instrText>
      </w:r>
      <w:r>
        <w:fldChar w:fldCharType="separate"/>
      </w:r>
      <w:r>
        <w:t>214</w:t>
      </w:r>
      <w:r>
        <w:fldChar w:fldCharType="end"/>
      </w:r>
    </w:p>
    <w:p w14:paraId="3ECD54B1" w14:textId="1E5BBCAF"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G.1.1.3</w:t>
      </w:r>
      <w:r>
        <w:rPr>
          <w:rFonts w:asciiTheme="minorHAnsi" w:eastAsiaTheme="minorEastAsia" w:hAnsiTheme="minorHAnsi" w:cstheme="minorBidi"/>
          <w:sz w:val="22"/>
          <w:szCs w:val="22"/>
        </w:rPr>
        <w:tab/>
      </w:r>
      <w:r w:rsidRPr="00DD4EB8">
        <w:rPr>
          <w:rFonts w:eastAsiaTheme="minorEastAsia"/>
          <w:snapToGrid w:val="0"/>
        </w:rPr>
        <w:t>CORESET for RMC scheduling</w:t>
      </w:r>
      <w:r>
        <w:tab/>
      </w:r>
      <w:r>
        <w:fldChar w:fldCharType="begin"/>
      </w:r>
      <w:r>
        <w:instrText xml:space="preserve"> PAGEREF _Toc106184357 \h </w:instrText>
      </w:r>
      <w:r>
        <w:fldChar w:fldCharType="separate"/>
      </w:r>
      <w:r>
        <w:t>217</w:t>
      </w:r>
      <w:r>
        <w:fldChar w:fldCharType="end"/>
      </w:r>
    </w:p>
    <w:p w14:paraId="6636CFFB" w14:textId="47ED86D2" w:rsidR="003C625C" w:rsidRDefault="003C625C">
      <w:pPr>
        <w:pStyle w:val="TOC5"/>
        <w:rPr>
          <w:rFonts w:asciiTheme="minorHAnsi" w:eastAsiaTheme="minorEastAsia" w:hAnsiTheme="minorHAnsi" w:cstheme="minorBidi"/>
          <w:sz w:val="22"/>
          <w:szCs w:val="22"/>
        </w:rPr>
      </w:pPr>
      <w:r w:rsidRPr="00DD4EB8">
        <w:rPr>
          <w:rFonts w:eastAsiaTheme="minorEastAsia"/>
          <w:snapToGrid w:val="0"/>
        </w:rPr>
        <w:t>G.1.1.3.1</w:t>
      </w:r>
      <w:r>
        <w:rPr>
          <w:rFonts w:asciiTheme="minorHAnsi" w:eastAsiaTheme="minorEastAsia" w:hAnsiTheme="minorHAnsi" w:cstheme="minorBidi"/>
          <w:sz w:val="22"/>
          <w:szCs w:val="22"/>
        </w:rPr>
        <w:tab/>
      </w:r>
      <w:r w:rsidRPr="00DD4EB8">
        <w:rPr>
          <w:rFonts w:eastAsiaTheme="minorEastAsia"/>
          <w:snapToGrid w:val="0"/>
        </w:rPr>
        <w:t>TDD</w:t>
      </w:r>
      <w:r>
        <w:tab/>
      </w:r>
      <w:r>
        <w:fldChar w:fldCharType="begin"/>
      </w:r>
      <w:r>
        <w:instrText xml:space="preserve"> PAGEREF _Toc106184358 \h </w:instrText>
      </w:r>
      <w:r>
        <w:fldChar w:fldCharType="separate"/>
      </w:r>
      <w:r>
        <w:t>217</w:t>
      </w:r>
      <w:r>
        <w:fldChar w:fldCharType="end"/>
      </w:r>
    </w:p>
    <w:p w14:paraId="5FD5CD89" w14:textId="4BD07CF0" w:rsidR="003C625C" w:rsidRDefault="003C625C">
      <w:pPr>
        <w:pStyle w:val="TOC3"/>
        <w:rPr>
          <w:rFonts w:asciiTheme="minorHAnsi" w:eastAsiaTheme="minorEastAsia" w:hAnsiTheme="minorHAnsi" w:cstheme="minorBidi"/>
          <w:sz w:val="22"/>
          <w:szCs w:val="22"/>
        </w:rPr>
      </w:pPr>
      <w:r w:rsidRPr="00DD4EB8">
        <w:rPr>
          <w:rFonts w:eastAsiaTheme="minorEastAsia"/>
        </w:rPr>
        <w:t>G.1.2</w:t>
      </w:r>
      <w:r>
        <w:rPr>
          <w:rFonts w:asciiTheme="minorHAnsi" w:eastAsiaTheme="minorEastAsia" w:hAnsiTheme="minorHAnsi" w:cstheme="minorBidi"/>
          <w:sz w:val="22"/>
          <w:szCs w:val="22"/>
        </w:rPr>
        <w:tab/>
      </w:r>
      <w:r w:rsidRPr="00DD4EB8">
        <w:rPr>
          <w:rFonts w:eastAsiaTheme="minorEastAsia"/>
        </w:rPr>
        <w:t>OFDMA channel noise generator (OCNG)</w:t>
      </w:r>
      <w:r>
        <w:tab/>
      </w:r>
      <w:r>
        <w:fldChar w:fldCharType="begin"/>
      </w:r>
      <w:r>
        <w:instrText xml:space="preserve"> PAGEREF _Toc106184359 \h </w:instrText>
      </w:r>
      <w:r>
        <w:fldChar w:fldCharType="separate"/>
      </w:r>
      <w:r>
        <w:t>218</w:t>
      </w:r>
      <w:r>
        <w:fldChar w:fldCharType="end"/>
      </w:r>
    </w:p>
    <w:p w14:paraId="283AFC8E" w14:textId="065DA9FA" w:rsidR="003C625C" w:rsidRDefault="003C625C">
      <w:pPr>
        <w:pStyle w:val="TOC4"/>
        <w:rPr>
          <w:rFonts w:asciiTheme="minorHAnsi" w:eastAsiaTheme="minorEastAsia" w:hAnsiTheme="minorHAnsi" w:cstheme="minorBidi"/>
          <w:sz w:val="22"/>
          <w:szCs w:val="22"/>
        </w:rPr>
      </w:pPr>
      <w:r w:rsidRPr="00DD4EB8">
        <w:rPr>
          <w:rFonts w:eastAsiaTheme="minorEastAsia"/>
        </w:rPr>
        <w:t>G.1.2.1</w:t>
      </w:r>
      <w:r>
        <w:rPr>
          <w:rFonts w:asciiTheme="minorHAnsi" w:eastAsiaTheme="minorEastAsia" w:hAnsiTheme="minorHAnsi" w:cstheme="minorBidi"/>
          <w:sz w:val="22"/>
          <w:szCs w:val="22"/>
        </w:rPr>
        <w:tab/>
      </w:r>
      <w:r w:rsidRPr="00DD4EB8">
        <w:rPr>
          <w:rFonts w:eastAsiaTheme="minorEastAsia"/>
        </w:rPr>
        <w:t>Generic OFDMA Channel Noise Generator (OCNG)</w:t>
      </w:r>
      <w:r>
        <w:tab/>
      </w:r>
      <w:r>
        <w:fldChar w:fldCharType="begin"/>
      </w:r>
      <w:r>
        <w:instrText xml:space="preserve"> PAGEREF _Toc106184360 \h </w:instrText>
      </w:r>
      <w:r>
        <w:fldChar w:fldCharType="separate"/>
      </w:r>
      <w:r>
        <w:t>218</w:t>
      </w:r>
      <w:r>
        <w:fldChar w:fldCharType="end"/>
      </w:r>
    </w:p>
    <w:p w14:paraId="79F789C2" w14:textId="6C9CA48C" w:rsidR="003C625C" w:rsidRDefault="003C625C">
      <w:pPr>
        <w:pStyle w:val="TOC5"/>
        <w:rPr>
          <w:rFonts w:asciiTheme="minorHAnsi" w:eastAsiaTheme="minorEastAsia" w:hAnsiTheme="minorHAnsi" w:cstheme="minorBidi"/>
          <w:sz w:val="22"/>
          <w:szCs w:val="22"/>
        </w:rPr>
      </w:pPr>
      <w:r w:rsidRPr="00DD4EB8">
        <w:rPr>
          <w:rFonts w:eastAsiaTheme="minorEastAsia"/>
          <w:snapToGrid w:val="0"/>
        </w:rPr>
        <w:t>G.1.2.1.1</w:t>
      </w:r>
      <w:r>
        <w:rPr>
          <w:rFonts w:asciiTheme="minorHAnsi" w:eastAsiaTheme="minorEastAsia" w:hAnsiTheme="minorHAnsi" w:cstheme="minorBidi"/>
          <w:sz w:val="22"/>
          <w:szCs w:val="22"/>
        </w:rPr>
        <w:tab/>
      </w:r>
      <w:r w:rsidRPr="00DD4EB8">
        <w:rPr>
          <w:rFonts w:eastAsiaTheme="minorEastAsia"/>
          <w:snapToGrid w:val="0"/>
        </w:rPr>
        <w:t>OCNG pattern 1: Generic OCNG pattern for all unused REs</w:t>
      </w:r>
      <w:r>
        <w:tab/>
      </w:r>
      <w:r>
        <w:fldChar w:fldCharType="begin"/>
      </w:r>
      <w:r>
        <w:instrText xml:space="preserve"> PAGEREF _Toc106184361 \h </w:instrText>
      </w:r>
      <w:r>
        <w:fldChar w:fldCharType="separate"/>
      </w:r>
      <w:r>
        <w:t>218</w:t>
      </w:r>
      <w:r>
        <w:fldChar w:fldCharType="end"/>
      </w:r>
    </w:p>
    <w:p w14:paraId="286CBDD5" w14:textId="0C8B2861" w:rsidR="003C625C" w:rsidRDefault="003C625C">
      <w:pPr>
        <w:pStyle w:val="TOC5"/>
        <w:rPr>
          <w:rFonts w:asciiTheme="minorHAnsi" w:eastAsiaTheme="minorEastAsia" w:hAnsiTheme="minorHAnsi" w:cstheme="minorBidi"/>
          <w:sz w:val="22"/>
          <w:szCs w:val="22"/>
        </w:rPr>
      </w:pPr>
      <w:r w:rsidRPr="00DD4EB8">
        <w:rPr>
          <w:rFonts w:eastAsiaTheme="minorEastAsia"/>
          <w:snapToGrid w:val="0"/>
        </w:rPr>
        <w:t>G.1.2.1.2</w:t>
      </w:r>
      <w:r>
        <w:rPr>
          <w:rFonts w:asciiTheme="minorHAnsi" w:eastAsiaTheme="minorEastAsia" w:hAnsiTheme="minorHAnsi" w:cstheme="minorBidi"/>
          <w:sz w:val="22"/>
          <w:szCs w:val="22"/>
        </w:rPr>
        <w:tab/>
      </w:r>
      <w:r w:rsidRPr="00DD4EB8">
        <w:rPr>
          <w:rFonts w:eastAsiaTheme="minorEastAsia"/>
          <w:snapToGrid w:val="0"/>
        </w:rPr>
        <w:t>OCNG pattern 2: Generic OCNG pattern for all unused REs for 2AoA setup</w:t>
      </w:r>
      <w:r>
        <w:tab/>
      </w:r>
      <w:r>
        <w:fldChar w:fldCharType="begin"/>
      </w:r>
      <w:r>
        <w:instrText xml:space="preserve"> PAGEREF _Toc106184362 \h </w:instrText>
      </w:r>
      <w:r>
        <w:fldChar w:fldCharType="separate"/>
      </w:r>
      <w:r>
        <w:t>219</w:t>
      </w:r>
      <w:r>
        <w:fldChar w:fldCharType="end"/>
      </w:r>
    </w:p>
    <w:p w14:paraId="6EBB4CA6" w14:textId="17007649" w:rsidR="003C625C" w:rsidRDefault="003C625C">
      <w:pPr>
        <w:pStyle w:val="TOC5"/>
        <w:rPr>
          <w:rFonts w:asciiTheme="minorHAnsi" w:eastAsiaTheme="minorEastAsia" w:hAnsiTheme="minorHAnsi" w:cstheme="minorBidi"/>
          <w:sz w:val="22"/>
          <w:szCs w:val="22"/>
        </w:rPr>
      </w:pPr>
      <w:r w:rsidRPr="00DD4EB8">
        <w:rPr>
          <w:rFonts w:eastAsiaTheme="minorEastAsia"/>
          <w:snapToGrid w:val="0"/>
        </w:rPr>
        <w:t>G.1.2.1.3</w:t>
      </w:r>
      <w:r>
        <w:rPr>
          <w:rFonts w:asciiTheme="minorHAnsi" w:eastAsiaTheme="minorEastAsia" w:hAnsiTheme="minorHAnsi" w:cstheme="minorBidi"/>
          <w:sz w:val="22"/>
          <w:szCs w:val="22"/>
        </w:rPr>
        <w:tab/>
      </w:r>
      <w:r w:rsidRPr="00DD4EB8">
        <w:rPr>
          <w:rFonts w:eastAsiaTheme="minorEastAsia"/>
          <w:snapToGrid w:val="0"/>
        </w:rPr>
        <w:t>OCNG pattern 3: Generic OCNG pattern for unused REs in the same bandwidth as PDSCH RMC</w:t>
      </w:r>
      <w:r>
        <w:tab/>
      </w:r>
      <w:r>
        <w:fldChar w:fldCharType="begin"/>
      </w:r>
      <w:r>
        <w:instrText xml:space="preserve"> PAGEREF _Toc106184363 \h </w:instrText>
      </w:r>
      <w:r>
        <w:fldChar w:fldCharType="separate"/>
      </w:r>
      <w:r>
        <w:t>219</w:t>
      </w:r>
      <w:r>
        <w:fldChar w:fldCharType="end"/>
      </w:r>
    </w:p>
    <w:p w14:paraId="227865F5" w14:textId="61062B87" w:rsidR="003C625C" w:rsidRDefault="003C625C">
      <w:pPr>
        <w:pStyle w:val="TOC5"/>
        <w:rPr>
          <w:rFonts w:asciiTheme="minorHAnsi" w:eastAsiaTheme="minorEastAsia" w:hAnsiTheme="minorHAnsi" w:cstheme="minorBidi"/>
          <w:sz w:val="22"/>
          <w:szCs w:val="22"/>
        </w:rPr>
      </w:pPr>
      <w:r w:rsidRPr="00DD4EB8">
        <w:rPr>
          <w:rFonts w:eastAsiaTheme="minorEastAsia"/>
          <w:snapToGrid w:val="0"/>
        </w:rPr>
        <w:t>G.1.2.1.4</w:t>
      </w:r>
      <w:r>
        <w:rPr>
          <w:rFonts w:asciiTheme="minorHAnsi" w:eastAsiaTheme="minorEastAsia" w:hAnsiTheme="minorHAnsi" w:cstheme="minorBidi"/>
          <w:sz w:val="22"/>
          <w:szCs w:val="22"/>
        </w:rPr>
        <w:tab/>
      </w:r>
      <w:r w:rsidRPr="00DD4EB8">
        <w:rPr>
          <w:rFonts w:eastAsiaTheme="minorEastAsia"/>
          <w:snapToGrid w:val="0"/>
        </w:rPr>
        <w:t>OCNG pattern 4: Generic OCNG pattern for all unused REs outside SSB slot(s)</w:t>
      </w:r>
      <w:r>
        <w:tab/>
      </w:r>
      <w:r>
        <w:fldChar w:fldCharType="begin"/>
      </w:r>
      <w:r>
        <w:instrText xml:space="preserve"> PAGEREF _Toc106184364 \h </w:instrText>
      </w:r>
      <w:r>
        <w:fldChar w:fldCharType="separate"/>
      </w:r>
      <w:r>
        <w:t>220</w:t>
      </w:r>
      <w:r>
        <w:fldChar w:fldCharType="end"/>
      </w:r>
    </w:p>
    <w:p w14:paraId="7FEC1FF9" w14:textId="0373FA7B" w:rsidR="003C625C" w:rsidRDefault="003C625C">
      <w:pPr>
        <w:pStyle w:val="TOC3"/>
        <w:rPr>
          <w:rFonts w:asciiTheme="minorHAnsi" w:eastAsiaTheme="minorEastAsia" w:hAnsiTheme="minorHAnsi" w:cstheme="minorBidi"/>
          <w:sz w:val="22"/>
          <w:szCs w:val="22"/>
        </w:rPr>
      </w:pPr>
      <w:r w:rsidRPr="00DD4EB8">
        <w:rPr>
          <w:rFonts w:eastAsiaTheme="minorEastAsia"/>
        </w:rPr>
        <w:t>G.1.3</w:t>
      </w:r>
      <w:r>
        <w:rPr>
          <w:rFonts w:asciiTheme="minorHAnsi" w:eastAsiaTheme="minorEastAsia" w:hAnsiTheme="minorHAnsi" w:cstheme="minorBidi"/>
          <w:sz w:val="22"/>
          <w:szCs w:val="22"/>
        </w:rPr>
        <w:tab/>
      </w:r>
      <w:r w:rsidRPr="00DD4EB8">
        <w:rPr>
          <w:rFonts w:eastAsiaTheme="minorEastAsia"/>
        </w:rPr>
        <w:t>Antenna configurations</w:t>
      </w:r>
      <w:r>
        <w:tab/>
      </w:r>
      <w:r>
        <w:fldChar w:fldCharType="begin"/>
      </w:r>
      <w:r>
        <w:instrText xml:space="preserve"> PAGEREF _Toc106184365 \h </w:instrText>
      </w:r>
      <w:r>
        <w:fldChar w:fldCharType="separate"/>
      </w:r>
      <w:r>
        <w:t>220</w:t>
      </w:r>
      <w:r>
        <w:fldChar w:fldCharType="end"/>
      </w:r>
    </w:p>
    <w:p w14:paraId="20938799" w14:textId="2F37FCBA"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G.1.3.1</w:t>
      </w:r>
      <w:r>
        <w:rPr>
          <w:rFonts w:asciiTheme="minorHAnsi" w:eastAsiaTheme="minorEastAsia" w:hAnsiTheme="minorHAnsi" w:cstheme="minorBidi"/>
          <w:sz w:val="22"/>
          <w:szCs w:val="22"/>
        </w:rPr>
        <w:tab/>
      </w:r>
      <w:r w:rsidRPr="00DD4EB8">
        <w:rPr>
          <w:rFonts w:eastAsiaTheme="minorEastAsia"/>
          <w:snapToGrid w:val="0"/>
        </w:rPr>
        <w:t>Antenna configurations for FR1</w:t>
      </w:r>
      <w:r>
        <w:tab/>
      </w:r>
      <w:r>
        <w:fldChar w:fldCharType="begin"/>
      </w:r>
      <w:r>
        <w:instrText xml:space="preserve"> PAGEREF _Toc106184366 \h </w:instrText>
      </w:r>
      <w:r>
        <w:fldChar w:fldCharType="separate"/>
      </w:r>
      <w:r>
        <w:t>220</w:t>
      </w:r>
      <w:r>
        <w:fldChar w:fldCharType="end"/>
      </w:r>
    </w:p>
    <w:p w14:paraId="56C5C109" w14:textId="59986770" w:rsidR="003C625C" w:rsidRDefault="003C625C">
      <w:pPr>
        <w:pStyle w:val="TOC5"/>
        <w:rPr>
          <w:rFonts w:asciiTheme="minorHAnsi" w:eastAsiaTheme="minorEastAsia" w:hAnsiTheme="minorHAnsi" w:cstheme="minorBidi"/>
          <w:sz w:val="22"/>
          <w:szCs w:val="22"/>
        </w:rPr>
      </w:pPr>
      <w:r w:rsidRPr="00DD4EB8">
        <w:rPr>
          <w:rFonts w:eastAsiaTheme="minorEastAsia"/>
          <w:snapToGrid w:val="0"/>
        </w:rPr>
        <w:t>G.1.3.1.1</w:t>
      </w:r>
      <w:r>
        <w:rPr>
          <w:rFonts w:asciiTheme="minorHAnsi" w:eastAsiaTheme="minorEastAsia" w:hAnsiTheme="minorHAnsi" w:cstheme="minorBidi"/>
          <w:sz w:val="22"/>
          <w:szCs w:val="22"/>
        </w:rPr>
        <w:tab/>
      </w:r>
      <w:r w:rsidRPr="00DD4EB8">
        <w:rPr>
          <w:rFonts w:eastAsiaTheme="minorEastAsia"/>
          <w:snapToGrid w:val="0"/>
        </w:rPr>
        <w:t>Antenna connection</w:t>
      </w:r>
      <w:r w:rsidRPr="00DD4EB8">
        <w:rPr>
          <w:rFonts w:eastAsiaTheme="minorEastAsia"/>
          <w:snapToGrid w:val="0"/>
          <w:lang w:eastAsia="zh-CN"/>
        </w:rPr>
        <w:t xml:space="preserve"> for 4 Rx capable IAB-MT</w:t>
      </w:r>
      <w:r>
        <w:tab/>
      </w:r>
      <w:r>
        <w:fldChar w:fldCharType="begin"/>
      </w:r>
      <w:r>
        <w:instrText xml:space="preserve"> PAGEREF _Toc106184367 \h </w:instrText>
      </w:r>
      <w:r>
        <w:fldChar w:fldCharType="separate"/>
      </w:r>
      <w:r>
        <w:t>220</w:t>
      </w:r>
      <w:r>
        <w:fldChar w:fldCharType="end"/>
      </w:r>
    </w:p>
    <w:p w14:paraId="7B8B68E8" w14:textId="35B61A58"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G.1.3.2</w:t>
      </w:r>
      <w:r>
        <w:rPr>
          <w:rFonts w:asciiTheme="minorHAnsi" w:eastAsiaTheme="minorEastAsia" w:hAnsiTheme="minorHAnsi" w:cstheme="minorBidi"/>
          <w:sz w:val="22"/>
          <w:szCs w:val="22"/>
        </w:rPr>
        <w:tab/>
      </w:r>
      <w:r w:rsidRPr="00DD4EB8">
        <w:rPr>
          <w:rFonts w:eastAsiaTheme="minorEastAsia"/>
          <w:snapToGrid w:val="0"/>
        </w:rPr>
        <w:t>Antenna configurations for FR2</w:t>
      </w:r>
      <w:r>
        <w:tab/>
      </w:r>
      <w:r>
        <w:fldChar w:fldCharType="begin"/>
      </w:r>
      <w:r>
        <w:instrText xml:space="preserve"> PAGEREF _Toc106184368 \h </w:instrText>
      </w:r>
      <w:r>
        <w:fldChar w:fldCharType="separate"/>
      </w:r>
      <w:r>
        <w:t>221</w:t>
      </w:r>
      <w:r>
        <w:fldChar w:fldCharType="end"/>
      </w:r>
    </w:p>
    <w:p w14:paraId="2E44890A" w14:textId="1FA301B1" w:rsidR="003C625C" w:rsidRDefault="003C625C">
      <w:pPr>
        <w:pStyle w:val="TOC3"/>
        <w:rPr>
          <w:rFonts w:asciiTheme="minorHAnsi" w:eastAsiaTheme="minorEastAsia" w:hAnsiTheme="minorHAnsi" w:cstheme="minorBidi"/>
          <w:sz w:val="22"/>
          <w:szCs w:val="22"/>
        </w:rPr>
      </w:pPr>
      <w:r w:rsidRPr="00DD4EB8">
        <w:rPr>
          <w:rFonts w:eastAsiaTheme="minorEastAsia"/>
        </w:rPr>
        <w:t>G.1.4</w:t>
      </w:r>
      <w:r>
        <w:rPr>
          <w:rFonts w:asciiTheme="minorHAnsi" w:eastAsiaTheme="minorEastAsia" w:hAnsiTheme="minorHAnsi" w:cstheme="minorBidi"/>
          <w:sz w:val="22"/>
          <w:szCs w:val="22"/>
        </w:rPr>
        <w:tab/>
      </w:r>
      <w:r w:rsidRPr="00DD4EB8">
        <w:rPr>
          <w:rFonts w:eastAsiaTheme="minorEastAsia"/>
        </w:rPr>
        <w:t>BWP configurations</w:t>
      </w:r>
      <w:r>
        <w:tab/>
      </w:r>
      <w:r>
        <w:fldChar w:fldCharType="begin"/>
      </w:r>
      <w:r>
        <w:instrText xml:space="preserve"> PAGEREF _Toc106184369 \h </w:instrText>
      </w:r>
      <w:r>
        <w:fldChar w:fldCharType="separate"/>
      </w:r>
      <w:r>
        <w:t>221</w:t>
      </w:r>
      <w:r>
        <w:fldChar w:fldCharType="end"/>
      </w:r>
    </w:p>
    <w:p w14:paraId="164A08BF" w14:textId="2C9F328F"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G.1.4.1</w:t>
      </w:r>
      <w:r>
        <w:rPr>
          <w:rFonts w:asciiTheme="minorHAnsi" w:eastAsiaTheme="minorEastAsia" w:hAnsiTheme="minorHAnsi" w:cstheme="minorBidi"/>
          <w:sz w:val="22"/>
          <w:szCs w:val="22"/>
        </w:rPr>
        <w:tab/>
      </w:r>
      <w:r w:rsidRPr="00DD4EB8">
        <w:rPr>
          <w:rFonts w:eastAsiaTheme="minorEastAsia"/>
          <w:snapToGrid w:val="0"/>
        </w:rPr>
        <w:t>Introduction</w:t>
      </w:r>
      <w:r>
        <w:tab/>
      </w:r>
      <w:r>
        <w:fldChar w:fldCharType="begin"/>
      </w:r>
      <w:r>
        <w:instrText xml:space="preserve"> PAGEREF _Toc106184370 \h </w:instrText>
      </w:r>
      <w:r>
        <w:fldChar w:fldCharType="separate"/>
      </w:r>
      <w:r>
        <w:t>221</w:t>
      </w:r>
      <w:r>
        <w:fldChar w:fldCharType="end"/>
      </w:r>
    </w:p>
    <w:p w14:paraId="313E3F22" w14:textId="067EA3B0"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G.1.4.2</w:t>
      </w:r>
      <w:r>
        <w:rPr>
          <w:rFonts w:asciiTheme="minorHAnsi" w:eastAsiaTheme="minorEastAsia" w:hAnsiTheme="minorHAnsi" w:cstheme="minorBidi"/>
          <w:sz w:val="22"/>
          <w:szCs w:val="22"/>
        </w:rPr>
        <w:tab/>
      </w:r>
      <w:r w:rsidRPr="00DD4EB8">
        <w:rPr>
          <w:rFonts w:eastAsiaTheme="minorEastAsia"/>
          <w:snapToGrid w:val="0"/>
        </w:rPr>
        <w:t>Downlink BWP configurations</w:t>
      </w:r>
      <w:r>
        <w:tab/>
      </w:r>
      <w:r>
        <w:fldChar w:fldCharType="begin"/>
      </w:r>
      <w:r>
        <w:instrText xml:space="preserve"> PAGEREF _Toc106184371 \h </w:instrText>
      </w:r>
      <w:r>
        <w:fldChar w:fldCharType="separate"/>
      </w:r>
      <w:r>
        <w:t>222</w:t>
      </w:r>
      <w:r>
        <w:fldChar w:fldCharType="end"/>
      </w:r>
    </w:p>
    <w:p w14:paraId="3C08DA96" w14:textId="71AD3896" w:rsidR="003C625C" w:rsidRDefault="003C625C">
      <w:pPr>
        <w:pStyle w:val="TOC5"/>
        <w:rPr>
          <w:rFonts w:asciiTheme="minorHAnsi" w:eastAsiaTheme="minorEastAsia" w:hAnsiTheme="minorHAnsi" w:cstheme="minorBidi"/>
          <w:sz w:val="22"/>
          <w:szCs w:val="22"/>
        </w:rPr>
      </w:pPr>
      <w:r w:rsidRPr="00DD4EB8">
        <w:rPr>
          <w:rFonts w:eastAsiaTheme="minorEastAsia"/>
          <w:snapToGrid w:val="0"/>
        </w:rPr>
        <w:t>G.1.4.2.1</w:t>
      </w:r>
      <w:r>
        <w:rPr>
          <w:rFonts w:asciiTheme="minorHAnsi" w:eastAsiaTheme="minorEastAsia" w:hAnsiTheme="minorHAnsi" w:cstheme="minorBidi"/>
          <w:sz w:val="22"/>
          <w:szCs w:val="22"/>
        </w:rPr>
        <w:tab/>
      </w:r>
      <w:r w:rsidRPr="00DD4EB8">
        <w:rPr>
          <w:rFonts w:eastAsiaTheme="minorEastAsia"/>
          <w:snapToGrid w:val="0"/>
        </w:rPr>
        <w:t>Initial BWP</w:t>
      </w:r>
      <w:r>
        <w:tab/>
      </w:r>
      <w:r>
        <w:fldChar w:fldCharType="begin"/>
      </w:r>
      <w:r>
        <w:instrText xml:space="preserve"> PAGEREF _Toc106184372 \h </w:instrText>
      </w:r>
      <w:r>
        <w:fldChar w:fldCharType="separate"/>
      </w:r>
      <w:r>
        <w:t>222</w:t>
      </w:r>
      <w:r>
        <w:fldChar w:fldCharType="end"/>
      </w:r>
    </w:p>
    <w:p w14:paraId="3AB68129" w14:textId="1F684DDF" w:rsidR="003C625C" w:rsidRDefault="003C625C">
      <w:pPr>
        <w:pStyle w:val="TOC5"/>
        <w:rPr>
          <w:rFonts w:asciiTheme="minorHAnsi" w:eastAsiaTheme="minorEastAsia" w:hAnsiTheme="minorHAnsi" w:cstheme="minorBidi"/>
          <w:sz w:val="22"/>
          <w:szCs w:val="22"/>
        </w:rPr>
      </w:pPr>
      <w:r w:rsidRPr="00DD4EB8">
        <w:rPr>
          <w:rFonts w:eastAsiaTheme="minorEastAsia"/>
          <w:snapToGrid w:val="0"/>
        </w:rPr>
        <w:t>G.1.4.2.2</w:t>
      </w:r>
      <w:r>
        <w:rPr>
          <w:rFonts w:asciiTheme="minorHAnsi" w:eastAsiaTheme="minorEastAsia" w:hAnsiTheme="minorHAnsi" w:cstheme="minorBidi"/>
          <w:sz w:val="22"/>
          <w:szCs w:val="22"/>
        </w:rPr>
        <w:tab/>
      </w:r>
      <w:r w:rsidRPr="00DD4EB8">
        <w:rPr>
          <w:rFonts w:eastAsiaTheme="minorEastAsia"/>
          <w:snapToGrid w:val="0"/>
        </w:rPr>
        <w:t>Dedicated BWP</w:t>
      </w:r>
      <w:r>
        <w:tab/>
      </w:r>
      <w:r>
        <w:fldChar w:fldCharType="begin"/>
      </w:r>
      <w:r>
        <w:instrText xml:space="preserve"> PAGEREF _Toc106184373 \h </w:instrText>
      </w:r>
      <w:r>
        <w:fldChar w:fldCharType="separate"/>
      </w:r>
      <w:r>
        <w:t>222</w:t>
      </w:r>
      <w:r>
        <w:fldChar w:fldCharType="end"/>
      </w:r>
    </w:p>
    <w:p w14:paraId="0685E57A" w14:textId="7BA9F0DD"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G.1.4.3</w:t>
      </w:r>
      <w:r>
        <w:rPr>
          <w:rFonts w:asciiTheme="minorHAnsi" w:eastAsiaTheme="minorEastAsia" w:hAnsiTheme="minorHAnsi" w:cstheme="minorBidi"/>
          <w:sz w:val="22"/>
          <w:szCs w:val="22"/>
        </w:rPr>
        <w:tab/>
      </w:r>
      <w:r w:rsidRPr="00DD4EB8">
        <w:rPr>
          <w:rFonts w:eastAsiaTheme="minorEastAsia"/>
          <w:snapToGrid w:val="0"/>
        </w:rPr>
        <w:t>Uplink BWP configurations</w:t>
      </w:r>
      <w:r>
        <w:tab/>
      </w:r>
      <w:r>
        <w:fldChar w:fldCharType="begin"/>
      </w:r>
      <w:r>
        <w:instrText xml:space="preserve"> PAGEREF _Toc106184374 \h </w:instrText>
      </w:r>
      <w:r>
        <w:fldChar w:fldCharType="separate"/>
      </w:r>
      <w:r>
        <w:t>222</w:t>
      </w:r>
      <w:r>
        <w:fldChar w:fldCharType="end"/>
      </w:r>
    </w:p>
    <w:p w14:paraId="59C13C28" w14:textId="0CC02BF6" w:rsidR="003C625C" w:rsidRDefault="003C625C">
      <w:pPr>
        <w:pStyle w:val="TOC5"/>
        <w:rPr>
          <w:rFonts w:asciiTheme="minorHAnsi" w:eastAsiaTheme="minorEastAsia" w:hAnsiTheme="minorHAnsi" w:cstheme="minorBidi"/>
          <w:sz w:val="22"/>
          <w:szCs w:val="22"/>
        </w:rPr>
      </w:pPr>
      <w:r w:rsidRPr="00DD4EB8">
        <w:rPr>
          <w:rFonts w:eastAsiaTheme="minorEastAsia"/>
          <w:snapToGrid w:val="0"/>
        </w:rPr>
        <w:t>G.1.4.3.1</w:t>
      </w:r>
      <w:r>
        <w:rPr>
          <w:rFonts w:asciiTheme="minorHAnsi" w:eastAsiaTheme="minorEastAsia" w:hAnsiTheme="minorHAnsi" w:cstheme="minorBidi"/>
          <w:sz w:val="22"/>
          <w:szCs w:val="22"/>
        </w:rPr>
        <w:tab/>
      </w:r>
      <w:r w:rsidRPr="00DD4EB8">
        <w:rPr>
          <w:rFonts w:eastAsiaTheme="minorEastAsia"/>
          <w:snapToGrid w:val="0"/>
        </w:rPr>
        <w:t>Initial BWP</w:t>
      </w:r>
      <w:r>
        <w:tab/>
      </w:r>
      <w:r>
        <w:fldChar w:fldCharType="begin"/>
      </w:r>
      <w:r>
        <w:instrText xml:space="preserve"> PAGEREF _Toc106184375 \h </w:instrText>
      </w:r>
      <w:r>
        <w:fldChar w:fldCharType="separate"/>
      </w:r>
      <w:r>
        <w:t>222</w:t>
      </w:r>
      <w:r>
        <w:fldChar w:fldCharType="end"/>
      </w:r>
    </w:p>
    <w:p w14:paraId="652DA544" w14:textId="76B0F288" w:rsidR="003C625C" w:rsidRDefault="003C625C">
      <w:pPr>
        <w:pStyle w:val="TOC5"/>
        <w:rPr>
          <w:rFonts w:asciiTheme="minorHAnsi" w:eastAsiaTheme="minorEastAsia" w:hAnsiTheme="minorHAnsi" w:cstheme="minorBidi"/>
          <w:sz w:val="22"/>
          <w:szCs w:val="22"/>
        </w:rPr>
      </w:pPr>
      <w:r w:rsidRPr="00DD4EB8">
        <w:rPr>
          <w:rFonts w:eastAsiaTheme="minorEastAsia"/>
          <w:snapToGrid w:val="0"/>
        </w:rPr>
        <w:t>G.1.4.3.2</w:t>
      </w:r>
      <w:r>
        <w:rPr>
          <w:rFonts w:asciiTheme="minorHAnsi" w:eastAsiaTheme="minorEastAsia" w:hAnsiTheme="minorHAnsi" w:cstheme="minorBidi"/>
          <w:sz w:val="22"/>
          <w:szCs w:val="22"/>
        </w:rPr>
        <w:tab/>
      </w:r>
      <w:r w:rsidRPr="00DD4EB8">
        <w:rPr>
          <w:rFonts w:eastAsiaTheme="minorEastAsia"/>
          <w:snapToGrid w:val="0"/>
        </w:rPr>
        <w:t>Dedicated BWP</w:t>
      </w:r>
      <w:r>
        <w:tab/>
      </w:r>
      <w:r>
        <w:fldChar w:fldCharType="begin"/>
      </w:r>
      <w:r>
        <w:instrText xml:space="preserve"> PAGEREF _Toc106184376 \h </w:instrText>
      </w:r>
      <w:r>
        <w:fldChar w:fldCharType="separate"/>
      </w:r>
      <w:r>
        <w:t>223</w:t>
      </w:r>
      <w:r>
        <w:fldChar w:fldCharType="end"/>
      </w:r>
    </w:p>
    <w:p w14:paraId="232A20A2" w14:textId="3C1402B1" w:rsidR="003C625C" w:rsidRDefault="003C625C">
      <w:pPr>
        <w:pStyle w:val="TOC3"/>
        <w:rPr>
          <w:rFonts w:asciiTheme="minorHAnsi" w:eastAsiaTheme="minorEastAsia" w:hAnsiTheme="minorHAnsi" w:cstheme="minorBidi"/>
          <w:sz w:val="22"/>
          <w:szCs w:val="22"/>
        </w:rPr>
      </w:pPr>
      <w:r w:rsidRPr="00DD4EB8">
        <w:rPr>
          <w:rFonts w:eastAsiaTheme="minorEastAsia"/>
        </w:rPr>
        <w:t>G.1.5</w:t>
      </w:r>
      <w:r>
        <w:rPr>
          <w:rFonts w:asciiTheme="minorHAnsi" w:eastAsiaTheme="minorEastAsia" w:hAnsiTheme="minorHAnsi" w:cstheme="minorBidi"/>
          <w:sz w:val="22"/>
          <w:szCs w:val="22"/>
        </w:rPr>
        <w:tab/>
      </w:r>
      <w:r w:rsidRPr="00DD4EB8">
        <w:rPr>
          <w:rFonts w:eastAsiaTheme="minorEastAsia"/>
        </w:rPr>
        <w:t>SSB Configurations</w:t>
      </w:r>
      <w:r>
        <w:tab/>
      </w:r>
      <w:r>
        <w:fldChar w:fldCharType="begin"/>
      </w:r>
      <w:r>
        <w:instrText xml:space="preserve"> PAGEREF _Toc106184377 \h </w:instrText>
      </w:r>
      <w:r>
        <w:fldChar w:fldCharType="separate"/>
      </w:r>
      <w:r>
        <w:t>223</w:t>
      </w:r>
      <w:r>
        <w:fldChar w:fldCharType="end"/>
      </w:r>
    </w:p>
    <w:p w14:paraId="2232B527" w14:textId="51782F41" w:rsidR="003C625C" w:rsidRDefault="003C625C">
      <w:pPr>
        <w:pStyle w:val="TOC4"/>
        <w:rPr>
          <w:rFonts w:asciiTheme="minorHAnsi" w:eastAsiaTheme="minorEastAsia" w:hAnsiTheme="minorHAnsi" w:cstheme="minorBidi"/>
          <w:sz w:val="22"/>
          <w:szCs w:val="22"/>
        </w:rPr>
      </w:pPr>
      <w:r w:rsidRPr="00DD4EB8">
        <w:rPr>
          <w:rFonts w:eastAsiaTheme="minorEastAsia"/>
        </w:rPr>
        <w:t>G.1.5.1</w:t>
      </w:r>
      <w:r>
        <w:rPr>
          <w:rFonts w:asciiTheme="minorHAnsi" w:eastAsiaTheme="minorEastAsia" w:hAnsiTheme="minorHAnsi" w:cstheme="minorBidi"/>
          <w:sz w:val="22"/>
          <w:szCs w:val="22"/>
        </w:rPr>
        <w:tab/>
      </w:r>
      <w:r w:rsidRPr="00DD4EB8">
        <w:rPr>
          <w:rFonts w:eastAsiaTheme="minorEastAsia"/>
        </w:rPr>
        <w:t>SSB Configurations for FR1</w:t>
      </w:r>
      <w:r>
        <w:tab/>
      </w:r>
      <w:r>
        <w:fldChar w:fldCharType="begin"/>
      </w:r>
      <w:r>
        <w:instrText xml:space="preserve"> PAGEREF _Toc106184378 \h </w:instrText>
      </w:r>
      <w:r>
        <w:fldChar w:fldCharType="separate"/>
      </w:r>
      <w:r>
        <w:t>223</w:t>
      </w:r>
      <w:r>
        <w:fldChar w:fldCharType="end"/>
      </w:r>
    </w:p>
    <w:p w14:paraId="0E5C6BE4" w14:textId="7C31C973" w:rsidR="003C625C" w:rsidRDefault="003C625C">
      <w:pPr>
        <w:pStyle w:val="TOC5"/>
        <w:rPr>
          <w:rFonts w:asciiTheme="minorHAnsi" w:eastAsiaTheme="minorEastAsia" w:hAnsiTheme="minorHAnsi" w:cstheme="minorBidi"/>
          <w:sz w:val="22"/>
          <w:szCs w:val="22"/>
        </w:rPr>
      </w:pPr>
      <w:r w:rsidRPr="00DD4EB8">
        <w:rPr>
          <w:rFonts w:eastAsiaTheme="minorEastAsia"/>
        </w:rPr>
        <w:t>G.1.5.1.1</w:t>
      </w:r>
      <w:r>
        <w:rPr>
          <w:rFonts w:asciiTheme="minorHAnsi" w:eastAsiaTheme="minorEastAsia" w:hAnsiTheme="minorHAnsi" w:cstheme="minorBidi"/>
          <w:sz w:val="22"/>
          <w:szCs w:val="22"/>
        </w:rPr>
        <w:tab/>
      </w:r>
      <w:r w:rsidRPr="00DD4EB8">
        <w:rPr>
          <w:rFonts w:eastAsiaTheme="minorEastAsia"/>
        </w:rPr>
        <w:t>SSB pattern 1 in FR1: SSB allocation for SSB SCS=15 kHz</w:t>
      </w:r>
      <w:r>
        <w:tab/>
      </w:r>
      <w:r>
        <w:fldChar w:fldCharType="begin"/>
      </w:r>
      <w:r>
        <w:instrText xml:space="preserve"> PAGEREF _Toc106184379 \h </w:instrText>
      </w:r>
      <w:r>
        <w:fldChar w:fldCharType="separate"/>
      </w:r>
      <w:r>
        <w:t>223</w:t>
      </w:r>
      <w:r>
        <w:fldChar w:fldCharType="end"/>
      </w:r>
    </w:p>
    <w:p w14:paraId="0AA3D1B0" w14:textId="667B9563" w:rsidR="003C625C" w:rsidRDefault="003C625C">
      <w:pPr>
        <w:pStyle w:val="TOC5"/>
        <w:rPr>
          <w:rFonts w:asciiTheme="minorHAnsi" w:eastAsiaTheme="minorEastAsia" w:hAnsiTheme="minorHAnsi" w:cstheme="minorBidi"/>
          <w:sz w:val="22"/>
          <w:szCs w:val="22"/>
        </w:rPr>
      </w:pPr>
      <w:r w:rsidRPr="00DD4EB8">
        <w:rPr>
          <w:rFonts w:eastAsiaTheme="minorEastAsia"/>
        </w:rPr>
        <w:t>G.1.5.1.2</w:t>
      </w:r>
      <w:r>
        <w:rPr>
          <w:rFonts w:asciiTheme="minorHAnsi" w:eastAsiaTheme="minorEastAsia" w:hAnsiTheme="minorHAnsi" w:cstheme="minorBidi"/>
          <w:sz w:val="22"/>
          <w:szCs w:val="22"/>
        </w:rPr>
        <w:tab/>
      </w:r>
      <w:r w:rsidRPr="00DD4EB8">
        <w:rPr>
          <w:rFonts w:eastAsiaTheme="minorEastAsia"/>
        </w:rPr>
        <w:t>SSB pattern 2 in FR1: SSB allocation for SSB SCS=30 kHz</w:t>
      </w:r>
      <w:r>
        <w:tab/>
      </w:r>
      <w:r>
        <w:fldChar w:fldCharType="begin"/>
      </w:r>
      <w:r>
        <w:instrText xml:space="preserve"> PAGEREF _Toc106184380 \h </w:instrText>
      </w:r>
      <w:r>
        <w:fldChar w:fldCharType="separate"/>
      </w:r>
      <w:r>
        <w:t>223</w:t>
      </w:r>
      <w:r>
        <w:fldChar w:fldCharType="end"/>
      </w:r>
    </w:p>
    <w:p w14:paraId="49B007D5" w14:textId="17581DDA" w:rsidR="003C625C" w:rsidRDefault="003C625C">
      <w:pPr>
        <w:pStyle w:val="TOC5"/>
        <w:rPr>
          <w:rFonts w:asciiTheme="minorHAnsi" w:eastAsiaTheme="minorEastAsia" w:hAnsiTheme="minorHAnsi" w:cstheme="minorBidi"/>
          <w:sz w:val="22"/>
          <w:szCs w:val="22"/>
        </w:rPr>
      </w:pPr>
      <w:r w:rsidRPr="00DD4EB8">
        <w:rPr>
          <w:rFonts w:eastAsiaTheme="minorEastAsia"/>
        </w:rPr>
        <w:t>G.1.5.1.3</w:t>
      </w:r>
      <w:r>
        <w:rPr>
          <w:rFonts w:asciiTheme="minorHAnsi" w:eastAsiaTheme="minorEastAsia" w:hAnsiTheme="minorHAnsi" w:cstheme="minorBidi"/>
          <w:sz w:val="22"/>
          <w:szCs w:val="22"/>
        </w:rPr>
        <w:tab/>
      </w:r>
      <w:r w:rsidRPr="00DD4EB8">
        <w:rPr>
          <w:rFonts w:eastAsiaTheme="minorEastAsia"/>
        </w:rPr>
        <w:t>SSB pattern 3 in FR1: SSB allocation for SSB SCS=15 kHz</w:t>
      </w:r>
      <w:r>
        <w:tab/>
      </w:r>
      <w:r>
        <w:fldChar w:fldCharType="begin"/>
      </w:r>
      <w:r>
        <w:instrText xml:space="preserve"> PAGEREF _Toc106184381 \h </w:instrText>
      </w:r>
      <w:r>
        <w:fldChar w:fldCharType="separate"/>
      </w:r>
      <w:r>
        <w:t>224</w:t>
      </w:r>
      <w:r>
        <w:fldChar w:fldCharType="end"/>
      </w:r>
    </w:p>
    <w:p w14:paraId="01294761" w14:textId="488C11DB" w:rsidR="003C625C" w:rsidRDefault="003C625C">
      <w:pPr>
        <w:pStyle w:val="TOC5"/>
        <w:rPr>
          <w:rFonts w:asciiTheme="minorHAnsi" w:eastAsiaTheme="minorEastAsia" w:hAnsiTheme="minorHAnsi" w:cstheme="minorBidi"/>
          <w:sz w:val="22"/>
          <w:szCs w:val="22"/>
        </w:rPr>
      </w:pPr>
      <w:r w:rsidRPr="00DD4EB8">
        <w:rPr>
          <w:rFonts w:eastAsiaTheme="minorEastAsia"/>
        </w:rPr>
        <w:t>G.1.5.1.4</w:t>
      </w:r>
      <w:r>
        <w:rPr>
          <w:rFonts w:asciiTheme="minorHAnsi" w:eastAsiaTheme="minorEastAsia" w:hAnsiTheme="minorHAnsi" w:cstheme="minorBidi"/>
          <w:sz w:val="22"/>
          <w:szCs w:val="22"/>
        </w:rPr>
        <w:tab/>
      </w:r>
      <w:r w:rsidRPr="00DD4EB8">
        <w:rPr>
          <w:rFonts w:eastAsiaTheme="minorEastAsia"/>
        </w:rPr>
        <w:t>SSB pattern 4 in FR1: SSB allocation for SSB SCS=30 kHz</w:t>
      </w:r>
      <w:r>
        <w:tab/>
      </w:r>
      <w:r>
        <w:fldChar w:fldCharType="begin"/>
      </w:r>
      <w:r>
        <w:instrText xml:space="preserve"> PAGEREF _Toc106184382 \h </w:instrText>
      </w:r>
      <w:r>
        <w:fldChar w:fldCharType="separate"/>
      </w:r>
      <w:r>
        <w:t>224</w:t>
      </w:r>
      <w:r>
        <w:fldChar w:fldCharType="end"/>
      </w:r>
    </w:p>
    <w:p w14:paraId="27A41547" w14:textId="05039C99" w:rsidR="003C625C" w:rsidRDefault="003C625C">
      <w:pPr>
        <w:pStyle w:val="TOC5"/>
        <w:rPr>
          <w:rFonts w:asciiTheme="minorHAnsi" w:eastAsiaTheme="minorEastAsia" w:hAnsiTheme="minorHAnsi" w:cstheme="minorBidi"/>
          <w:sz w:val="22"/>
          <w:szCs w:val="22"/>
        </w:rPr>
      </w:pPr>
      <w:r w:rsidRPr="00DD4EB8">
        <w:rPr>
          <w:rFonts w:eastAsiaTheme="minorEastAsia"/>
        </w:rPr>
        <w:t>G.1.5.1.5</w:t>
      </w:r>
      <w:r>
        <w:rPr>
          <w:rFonts w:asciiTheme="minorHAnsi" w:eastAsiaTheme="minorEastAsia" w:hAnsiTheme="minorHAnsi" w:cstheme="minorBidi"/>
          <w:sz w:val="22"/>
          <w:szCs w:val="22"/>
        </w:rPr>
        <w:tab/>
      </w:r>
      <w:r w:rsidRPr="00DD4EB8">
        <w:rPr>
          <w:rFonts w:eastAsiaTheme="minorEastAsia"/>
        </w:rPr>
        <w:t xml:space="preserve">SSB pattern 5 in FR1: </w:t>
      </w:r>
      <w:r w:rsidRPr="00DD4EB8">
        <w:rPr>
          <w:rFonts w:eastAsiaTheme="minorEastAsia"/>
          <w:lang w:eastAsia="ja-JP"/>
        </w:rPr>
        <w:t xml:space="preserve">SSB </w:t>
      </w:r>
      <w:r w:rsidRPr="00DD4EB8">
        <w:rPr>
          <w:rFonts w:eastAsiaTheme="minorEastAsia"/>
        </w:rPr>
        <w:t>allocation</w:t>
      </w:r>
      <w:r w:rsidRPr="00DD4EB8">
        <w:rPr>
          <w:rFonts w:eastAsiaTheme="minorEastAsia"/>
          <w:lang w:eastAsia="ja-JP"/>
        </w:rPr>
        <w:t xml:space="preserve"> for SSB SCS=15 kHz starting from odd SFN</w:t>
      </w:r>
      <w:r>
        <w:tab/>
      </w:r>
      <w:r>
        <w:fldChar w:fldCharType="begin"/>
      </w:r>
      <w:r>
        <w:instrText xml:space="preserve"> PAGEREF _Toc106184383 \h </w:instrText>
      </w:r>
      <w:r>
        <w:fldChar w:fldCharType="separate"/>
      </w:r>
      <w:r>
        <w:t>224</w:t>
      </w:r>
      <w:r>
        <w:fldChar w:fldCharType="end"/>
      </w:r>
    </w:p>
    <w:p w14:paraId="5CD111BE" w14:textId="3D34D3D0" w:rsidR="003C625C" w:rsidRDefault="003C625C">
      <w:pPr>
        <w:pStyle w:val="TOC5"/>
        <w:rPr>
          <w:rFonts w:asciiTheme="minorHAnsi" w:eastAsiaTheme="minorEastAsia" w:hAnsiTheme="minorHAnsi" w:cstheme="minorBidi"/>
          <w:sz w:val="22"/>
          <w:szCs w:val="22"/>
        </w:rPr>
      </w:pPr>
      <w:r w:rsidRPr="00DD4EB8">
        <w:rPr>
          <w:rFonts w:eastAsiaTheme="minorEastAsia"/>
        </w:rPr>
        <w:t>G.1.5.1.6</w:t>
      </w:r>
      <w:r>
        <w:rPr>
          <w:rFonts w:asciiTheme="minorHAnsi" w:eastAsiaTheme="minorEastAsia" w:hAnsiTheme="minorHAnsi" w:cstheme="minorBidi"/>
          <w:sz w:val="22"/>
          <w:szCs w:val="22"/>
        </w:rPr>
        <w:tab/>
      </w:r>
      <w:r w:rsidRPr="00DD4EB8">
        <w:rPr>
          <w:rFonts w:eastAsiaTheme="minorEastAsia"/>
        </w:rPr>
        <w:t>SSB pattern 6 in FR1: SSB allocation for SSB SCS=30 kHz starting from odd SFN</w:t>
      </w:r>
      <w:r>
        <w:tab/>
      </w:r>
      <w:r>
        <w:fldChar w:fldCharType="begin"/>
      </w:r>
      <w:r>
        <w:instrText xml:space="preserve"> PAGEREF _Toc106184384 \h </w:instrText>
      </w:r>
      <w:r>
        <w:fldChar w:fldCharType="separate"/>
      </w:r>
      <w:r>
        <w:t>225</w:t>
      </w:r>
      <w:r>
        <w:fldChar w:fldCharType="end"/>
      </w:r>
    </w:p>
    <w:p w14:paraId="5BA2A044" w14:textId="746F8F7B" w:rsidR="003C625C" w:rsidRDefault="003C625C">
      <w:pPr>
        <w:pStyle w:val="TOC4"/>
        <w:rPr>
          <w:rFonts w:asciiTheme="minorHAnsi" w:eastAsiaTheme="minorEastAsia" w:hAnsiTheme="minorHAnsi" w:cstheme="minorBidi"/>
          <w:sz w:val="22"/>
          <w:szCs w:val="22"/>
        </w:rPr>
      </w:pPr>
      <w:r w:rsidRPr="00DD4EB8">
        <w:rPr>
          <w:rFonts w:eastAsiaTheme="minorEastAsia"/>
        </w:rPr>
        <w:t>G.1.5.2</w:t>
      </w:r>
      <w:r>
        <w:rPr>
          <w:rFonts w:asciiTheme="minorHAnsi" w:eastAsiaTheme="minorEastAsia" w:hAnsiTheme="minorHAnsi" w:cstheme="minorBidi"/>
          <w:sz w:val="22"/>
          <w:szCs w:val="22"/>
        </w:rPr>
        <w:tab/>
      </w:r>
      <w:r w:rsidRPr="00DD4EB8">
        <w:rPr>
          <w:rFonts w:eastAsiaTheme="minorEastAsia"/>
        </w:rPr>
        <w:t>SSB Configurations for FR2</w:t>
      </w:r>
      <w:r>
        <w:tab/>
      </w:r>
      <w:r>
        <w:fldChar w:fldCharType="begin"/>
      </w:r>
      <w:r>
        <w:instrText xml:space="preserve"> PAGEREF _Toc106184385 \h </w:instrText>
      </w:r>
      <w:r>
        <w:fldChar w:fldCharType="separate"/>
      </w:r>
      <w:r>
        <w:t>225</w:t>
      </w:r>
      <w:r>
        <w:fldChar w:fldCharType="end"/>
      </w:r>
    </w:p>
    <w:p w14:paraId="08EB4AFD" w14:textId="51D6FFAB" w:rsidR="003C625C" w:rsidRDefault="003C625C">
      <w:pPr>
        <w:pStyle w:val="TOC5"/>
        <w:rPr>
          <w:rFonts w:asciiTheme="minorHAnsi" w:eastAsiaTheme="minorEastAsia" w:hAnsiTheme="minorHAnsi" w:cstheme="minorBidi"/>
          <w:sz w:val="22"/>
          <w:szCs w:val="22"/>
        </w:rPr>
      </w:pPr>
      <w:r w:rsidRPr="00DD4EB8">
        <w:rPr>
          <w:rFonts w:eastAsiaTheme="minorEastAsia"/>
        </w:rPr>
        <w:t>G.1.5.2.1</w:t>
      </w:r>
      <w:r>
        <w:rPr>
          <w:rFonts w:asciiTheme="minorHAnsi" w:eastAsiaTheme="minorEastAsia" w:hAnsiTheme="minorHAnsi" w:cstheme="minorBidi"/>
          <w:sz w:val="22"/>
          <w:szCs w:val="22"/>
        </w:rPr>
        <w:tab/>
      </w:r>
      <w:r w:rsidRPr="00DD4EB8">
        <w:rPr>
          <w:rFonts w:eastAsiaTheme="minorEastAsia"/>
        </w:rPr>
        <w:t>SSB pattern 1 in FR2: SSB allocation for SSB SCS=120 kHz</w:t>
      </w:r>
      <w:r>
        <w:tab/>
      </w:r>
      <w:r>
        <w:fldChar w:fldCharType="begin"/>
      </w:r>
      <w:r>
        <w:instrText xml:space="preserve"> PAGEREF _Toc106184386 \h </w:instrText>
      </w:r>
      <w:r>
        <w:fldChar w:fldCharType="separate"/>
      </w:r>
      <w:r>
        <w:t>225</w:t>
      </w:r>
      <w:r>
        <w:fldChar w:fldCharType="end"/>
      </w:r>
    </w:p>
    <w:p w14:paraId="45A8902B" w14:textId="6B78B5F3" w:rsidR="003C625C" w:rsidRDefault="003C625C">
      <w:pPr>
        <w:pStyle w:val="TOC5"/>
        <w:rPr>
          <w:rFonts w:asciiTheme="minorHAnsi" w:eastAsiaTheme="minorEastAsia" w:hAnsiTheme="minorHAnsi" w:cstheme="minorBidi"/>
          <w:sz w:val="22"/>
          <w:szCs w:val="22"/>
        </w:rPr>
      </w:pPr>
      <w:r w:rsidRPr="00DD4EB8">
        <w:rPr>
          <w:rFonts w:eastAsiaTheme="minorEastAsia"/>
        </w:rPr>
        <w:t>G.1.5.2.2</w:t>
      </w:r>
      <w:r>
        <w:rPr>
          <w:rFonts w:asciiTheme="minorHAnsi" w:eastAsiaTheme="minorEastAsia" w:hAnsiTheme="minorHAnsi" w:cstheme="minorBidi"/>
          <w:sz w:val="22"/>
          <w:szCs w:val="22"/>
        </w:rPr>
        <w:tab/>
      </w:r>
      <w:r w:rsidRPr="00DD4EB8">
        <w:rPr>
          <w:rFonts w:eastAsiaTheme="minorEastAsia"/>
        </w:rPr>
        <w:t>SSB pattern 2 in FR2: SSB allocation for SSB SCS=240 kHz</w:t>
      </w:r>
      <w:r>
        <w:tab/>
      </w:r>
      <w:r>
        <w:fldChar w:fldCharType="begin"/>
      </w:r>
      <w:r>
        <w:instrText xml:space="preserve"> PAGEREF _Toc106184387 \h </w:instrText>
      </w:r>
      <w:r>
        <w:fldChar w:fldCharType="separate"/>
      </w:r>
      <w:r>
        <w:t>225</w:t>
      </w:r>
      <w:r>
        <w:fldChar w:fldCharType="end"/>
      </w:r>
    </w:p>
    <w:p w14:paraId="6EAFADAA" w14:textId="57A9B7DD" w:rsidR="003C625C" w:rsidRDefault="003C625C">
      <w:pPr>
        <w:pStyle w:val="TOC5"/>
        <w:rPr>
          <w:rFonts w:asciiTheme="minorHAnsi" w:eastAsiaTheme="minorEastAsia" w:hAnsiTheme="minorHAnsi" w:cstheme="minorBidi"/>
          <w:sz w:val="22"/>
          <w:szCs w:val="22"/>
        </w:rPr>
      </w:pPr>
      <w:r w:rsidRPr="00DD4EB8">
        <w:rPr>
          <w:rFonts w:eastAsiaTheme="minorEastAsia"/>
        </w:rPr>
        <w:t>G.1.5.2.3</w:t>
      </w:r>
      <w:r>
        <w:rPr>
          <w:rFonts w:asciiTheme="minorHAnsi" w:eastAsiaTheme="minorEastAsia" w:hAnsiTheme="minorHAnsi" w:cstheme="minorBidi"/>
          <w:sz w:val="22"/>
          <w:szCs w:val="22"/>
        </w:rPr>
        <w:tab/>
      </w:r>
      <w:r w:rsidRPr="00DD4EB8">
        <w:rPr>
          <w:rFonts w:eastAsiaTheme="minorEastAsia"/>
        </w:rPr>
        <w:t>SSB pattern 3 in FR2: SSB allocation for SSB SCS=120 kHz</w:t>
      </w:r>
      <w:r>
        <w:tab/>
      </w:r>
      <w:r>
        <w:fldChar w:fldCharType="begin"/>
      </w:r>
      <w:r>
        <w:instrText xml:space="preserve"> PAGEREF _Toc106184388 \h </w:instrText>
      </w:r>
      <w:r>
        <w:fldChar w:fldCharType="separate"/>
      </w:r>
      <w:r>
        <w:t>226</w:t>
      </w:r>
      <w:r>
        <w:fldChar w:fldCharType="end"/>
      </w:r>
    </w:p>
    <w:p w14:paraId="64A6501C" w14:textId="7F0656C8" w:rsidR="003C625C" w:rsidRDefault="003C625C">
      <w:pPr>
        <w:pStyle w:val="TOC5"/>
        <w:rPr>
          <w:rFonts w:asciiTheme="minorHAnsi" w:eastAsiaTheme="minorEastAsia" w:hAnsiTheme="minorHAnsi" w:cstheme="minorBidi"/>
          <w:sz w:val="22"/>
          <w:szCs w:val="22"/>
        </w:rPr>
      </w:pPr>
      <w:r w:rsidRPr="00DD4EB8">
        <w:rPr>
          <w:rFonts w:eastAsiaTheme="minorEastAsia"/>
        </w:rPr>
        <w:t>G.1.5.2.4</w:t>
      </w:r>
      <w:r>
        <w:rPr>
          <w:rFonts w:asciiTheme="minorHAnsi" w:eastAsiaTheme="minorEastAsia" w:hAnsiTheme="minorHAnsi" w:cstheme="minorBidi"/>
          <w:sz w:val="22"/>
          <w:szCs w:val="22"/>
        </w:rPr>
        <w:tab/>
      </w:r>
      <w:r w:rsidRPr="00DD4EB8">
        <w:rPr>
          <w:rFonts w:eastAsiaTheme="minorEastAsia"/>
        </w:rPr>
        <w:t>SSB pattern 4 in FR2: SSB allocation for SSB SCS=240 kHz</w:t>
      </w:r>
      <w:r>
        <w:tab/>
      </w:r>
      <w:r>
        <w:fldChar w:fldCharType="begin"/>
      </w:r>
      <w:r>
        <w:instrText xml:space="preserve"> PAGEREF _Toc106184389 \h </w:instrText>
      </w:r>
      <w:r>
        <w:fldChar w:fldCharType="separate"/>
      </w:r>
      <w:r>
        <w:t>226</w:t>
      </w:r>
      <w:r>
        <w:fldChar w:fldCharType="end"/>
      </w:r>
    </w:p>
    <w:p w14:paraId="5B5C3E07" w14:textId="485C4D3A" w:rsidR="003C625C" w:rsidRDefault="003C625C">
      <w:pPr>
        <w:pStyle w:val="TOC5"/>
        <w:rPr>
          <w:rFonts w:asciiTheme="minorHAnsi" w:eastAsiaTheme="minorEastAsia" w:hAnsiTheme="minorHAnsi" w:cstheme="minorBidi"/>
          <w:sz w:val="22"/>
          <w:szCs w:val="22"/>
        </w:rPr>
      </w:pPr>
      <w:r w:rsidRPr="00DD4EB8">
        <w:rPr>
          <w:rFonts w:eastAsiaTheme="minorEastAsia"/>
        </w:rPr>
        <w:t>G.1.5.2.5</w:t>
      </w:r>
      <w:r>
        <w:rPr>
          <w:rFonts w:asciiTheme="minorHAnsi" w:eastAsiaTheme="minorEastAsia" w:hAnsiTheme="minorHAnsi" w:cstheme="minorBidi"/>
          <w:sz w:val="22"/>
          <w:szCs w:val="22"/>
        </w:rPr>
        <w:tab/>
      </w:r>
      <w:r w:rsidRPr="00DD4EB8">
        <w:rPr>
          <w:rFonts w:eastAsiaTheme="minorEastAsia"/>
        </w:rPr>
        <w:t>SSB pattern 5 in FR2: SSB allocation for SSB SCS=120 kHz</w:t>
      </w:r>
      <w:r>
        <w:tab/>
      </w:r>
      <w:r>
        <w:fldChar w:fldCharType="begin"/>
      </w:r>
      <w:r>
        <w:instrText xml:space="preserve"> PAGEREF _Toc106184390 \h </w:instrText>
      </w:r>
      <w:r>
        <w:fldChar w:fldCharType="separate"/>
      </w:r>
      <w:r>
        <w:t>226</w:t>
      </w:r>
      <w:r>
        <w:fldChar w:fldCharType="end"/>
      </w:r>
    </w:p>
    <w:p w14:paraId="7CC4760B" w14:textId="2CB5CB53" w:rsidR="003C625C" w:rsidRDefault="003C625C">
      <w:pPr>
        <w:pStyle w:val="TOC5"/>
        <w:rPr>
          <w:rFonts w:asciiTheme="minorHAnsi" w:eastAsiaTheme="minorEastAsia" w:hAnsiTheme="minorHAnsi" w:cstheme="minorBidi"/>
          <w:sz w:val="22"/>
          <w:szCs w:val="22"/>
        </w:rPr>
      </w:pPr>
      <w:r w:rsidRPr="00DD4EB8">
        <w:rPr>
          <w:rFonts w:eastAsiaTheme="minorEastAsia"/>
        </w:rPr>
        <w:t>G.1.5.2.6</w:t>
      </w:r>
      <w:r>
        <w:rPr>
          <w:rFonts w:asciiTheme="minorHAnsi" w:eastAsiaTheme="minorEastAsia" w:hAnsiTheme="minorHAnsi" w:cstheme="minorBidi"/>
          <w:sz w:val="22"/>
          <w:szCs w:val="22"/>
        </w:rPr>
        <w:tab/>
      </w:r>
      <w:r w:rsidRPr="00DD4EB8">
        <w:rPr>
          <w:rFonts w:eastAsiaTheme="minorEastAsia"/>
        </w:rPr>
        <w:t>SSB pattern 6 in FR2: SSB allocation for SSB SCS=240 kHz</w:t>
      </w:r>
      <w:r>
        <w:tab/>
      </w:r>
      <w:r>
        <w:fldChar w:fldCharType="begin"/>
      </w:r>
      <w:r>
        <w:instrText xml:space="preserve"> PAGEREF _Toc106184391 \h </w:instrText>
      </w:r>
      <w:r>
        <w:fldChar w:fldCharType="separate"/>
      </w:r>
      <w:r>
        <w:t>227</w:t>
      </w:r>
      <w:r>
        <w:fldChar w:fldCharType="end"/>
      </w:r>
    </w:p>
    <w:p w14:paraId="17F18C98" w14:textId="3FBCBAC1" w:rsidR="003C625C" w:rsidRDefault="003C625C">
      <w:pPr>
        <w:pStyle w:val="TOC5"/>
        <w:rPr>
          <w:rFonts w:asciiTheme="minorHAnsi" w:eastAsiaTheme="minorEastAsia" w:hAnsiTheme="minorHAnsi" w:cstheme="minorBidi"/>
          <w:sz w:val="22"/>
          <w:szCs w:val="22"/>
        </w:rPr>
      </w:pPr>
      <w:r w:rsidRPr="00DD4EB8">
        <w:rPr>
          <w:rFonts w:eastAsiaTheme="minorEastAsia"/>
        </w:rPr>
        <w:t>G.1.5.2.7</w:t>
      </w:r>
      <w:r>
        <w:rPr>
          <w:rFonts w:asciiTheme="minorHAnsi" w:eastAsiaTheme="minorEastAsia" w:hAnsiTheme="minorHAnsi" w:cstheme="minorBidi"/>
          <w:sz w:val="22"/>
          <w:szCs w:val="22"/>
        </w:rPr>
        <w:tab/>
      </w:r>
      <w:r w:rsidRPr="00DD4EB8">
        <w:rPr>
          <w:rFonts w:eastAsiaTheme="minorEastAsia"/>
        </w:rPr>
        <w:t>SSB pattern 7 in FR2: SSB allocation for SSB SCS=120 kHz</w:t>
      </w:r>
      <w:r>
        <w:tab/>
      </w:r>
      <w:r>
        <w:fldChar w:fldCharType="begin"/>
      </w:r>
      <w:r>
        <w:instrText xml:space="preserve"> PAGEREF _Toc106184392 \h </w:instrText>
      </w:r>
      <w:r>
        <w:fldChar w:fldCharType="separate"/>
      </w:r>
      <w:r>
        <w:t>227</w:t>
      </w:r>
      <w:r>
        <w:fldChar w:fldCharType="end"/>
      </w:r>
    </w:p>
    <w:p w14:paraId="28AB5BCB" w14:textId="056C3875" w:rsidR="003C625C" w:rsidRDefault="003C625C">
      <w:pPr>
        <w:pStyle w:val="TOC5"/>
        <w:rPr>
          <w:rFonts w:asciiTheme="minorHAnsi" w:eastAsiaTheme="minorEastAsia" w:hAnsiTheme="minorHAnsi" w:cstheme="minorBidi"/>
          <w:sz w:val="22"/>
          <w:szCs w:val="22"/>
        </w:rPr>
      </w:pPr>
      <w:r w:rsidRPr="00DD4EB8">
        <w:rPr>
          <w:rFonts w:eastAsiaTheme="minorEastAsia"/>
        </w:rPr>
        <w:t>G.1.5.2.8</w:t>
      </w:r>
      <w:r>
        <w:rPr>
          <w:rFonts w:asciiTheme="minorHAnsi" w:eastAsiaTheme="minorEastAsia" w:hAnsiTheme="minorHAnsi" w:cstheme="minorBidi"/>
          <w:sz w:val="22"/>
          <w:szCs w:val="22"/>
        </w:rPr>
        <w:tab/>
      </w:r>
      <w:r w:rsidRPr="00DD4EB8">
        <w:rPr>
          <w:rFonts w:eastAsiaTheme="minorEastAsia"/>
        </w:rPr>
        <w:t>SSB pattern 8 in FR2: SSB allocation for SSB SCS=240 kHz</w:t>
      </w:r>
      <w:r>
        <w:tab/>
      </w:r>
      <w:r>
        <w:fldChar w:fldCharType="begin"/>
      </w:r>
      <w:r>
        <w:instrText xml:space="preserve"> PAGEREF _Toc106184393 \h </w:instrText>
      </w:r>
      <w:r>
        <w:fldChar w:fldCharType="separate"/>
      </w:r>
      <w:r>
        <w:t>227</w:t>
      </w:r>
      <w:r>
        <w:fldChar w:fldCharType="end"/>
      </w:r>
    </w:p>
    <w:p w14:paraId="50ED338B" w14:textId="7C5E4BE7" w:rsidR="003C625C" w:rsidRDefault="003C625C">
      <w:pPr>
        <w:pStyle w:val="TOC3"/>
        <w:rPr>
          <w:rFonts w:asciiTheme="minorHAnsi" w:eastAsiaTheme="minorEastAsia" w:hAnsiTheme="minorHAnsi" w:cstheme="minorBidi"/>
          <w:sz w:val="22"/>
          <w:szCs w:val="22"/>
        </w:rPr>
      </w:pPr>
      <w:r w:rsidRPr="00DD4EB8">
        <w:rPr>
          <w:rFonts w:eastAsiaTheme="minorEastAsia"/>
        </w:rPr>
        <w:t>G.1.6</w:t>
      </w:r>
      <w:r>
        <w:rPr>
          <w:rFonts w:asciiTheme="minorHAnsi" w:eastAsiaTheme="minorEastAsia" w:hAnsiTheme="minorHAnsi" w:cstheme="minorBidi"/>
          <w:sz w:val="22"/>
          <w:szCs w:val="22"/>
        </w:rPr>
        <w:tab/>
      </w:r>
      <w:r w:rsidRPr="00DD4EB8">
        <w:rPr>
          <w:rFonts w:eastAsiaTheme="minorEastAsia"/>
        </w:rPr>
        <w:t>SMTC Configurations</w:t>
      </w:r>
      <w:r>
        <w:tab/>
      </w:r>
      <w:r>
        <w:fldChar w:fldCharType="begin"/>
      </w:r>
      <w:r>
        <w:instrText xml:space="preserve"> PAGEREF _Toc106184394 \h </w:instrText>
      </w:r>
      <w:r>
        <w:fldChar w:fldCharType="separate"/>
      </w:r>
      <w:r>
        <w:t>228</w:t>
      </w:r>
      <w:r>
        <w:fldChar w:fldCharType="end"/>
      </w:r>
    </w:p>
    <w:p w14:paraId="36DF2933" w14:textId="62FD47CF" w:rsidR="003C625C" w:rsidRDefault="003C625C">
      <w:pPr>
        <w:pStyle w:val="TOC4"/>
        <w:rPr>
          <w:rFonts w:asciiTheme="minorHAnsi" w:eastAsiaTheme="minorEastAsia" w:hAnsiTheme="minorHAnsi" w:cstheme="minorBidi"/>
          <w:sz w:val="22"/>
          <w:szCs w:val="22"/>
        </w:rPr>
      </w:pPr>
      <w:r w:rsidRPr="00DD4EB8">
        <w:rPr>
          <w:rFonts w:eastAsiaTheme="minorEastAsia"/>
          <w:lang w:val="en-US"/>
        </w:rPr>
        <w:t>G.1.6.2</w:t>
      </w:r>
      <w:r>
        <w:rPr>
          <w:rFonts w:asciiTheme="minorHAnsi" w:eastAsiaTheme="minorEastAsia" w:hAnsiTheme="minorHAnsi" w:cstheme="minorBidi"/>
          <w:sz w:val="22"/>
          <w:szCs w:val="22"/>
        </w:rPr>
        <w:tab/>
      </w:r>
      <w:r w:rsidRPr="00DD4EB8">
        <w:rPr>
          <w:rFonts w:eastAsiaTheme="minorEastAsia"/>
          <w:lang w:val="en-US"/>
        </w:rPr>
        <w:t>SMTC pattern 2: SMTC period = 20 ms with SMTC duration = 5 ms</w:t>
      </w:r>
      <w:r>
        <w:tab/>
      </w:r>
      <w:r>
        <w:fldChar w:fldCharType="begin"/>
      </w:r>
      <w:r>
        <w:instrText xml:space="preserve"> PAGEREF _Toc106184395 \h </w:instrText>
      </w:r>
      <w:r>
        <w:fldChar w:fldCharType="separate"/>
      </w:r>
      <w:r>
        <w:t>228</w:t>
      </w:r>
      <w:r>
        <w:fldChar w:fldCharType="end"/>
      </w:r>
    </w:p>
    <w:p w14:paraId="2A3C4ADE" w14:textId="4785914A" w:rsidR="003C625C" w:rsidRDefault="003C625C">
      <w:pPr>
        <w:pStyle w:val="TOC4"/>
        <w:rPr>
          <w:rFonts w:asciiTheme="minorHAnsi" w:eastAsiaTheme="minorEastAsia" w:hAnsiTheme="minorHAnsi" w:cstheme="minorBidi"/>
          <w:sz w:val="22"/>
          <w:szCs w:val="22"/>
        </w:rPr>
      </w:pPr>
      <w:r w:rsidRPr="00DD4EB8">
        <w:rPr>
          <w:rFonts w:eastAsiaTheme="minorEastAsia"/>
          <w:lang w:val="en-US"/>
        </w:rPr>
        <w:t>G.1.6.3</w:t>
      </w:r>
      <w:r>
        <w:rPr>
          <w:rFonts w:asciiTheme="minorHAnsi" w:eastAsiaTheme="minorEastAsia" w:hAnsiTheme="minorHAnsi" w:cstheme="minorBidi"/>
          <w:sz w:val="22"/>
          <w:szCs w:val="22"/>
        </w:rPr>
        <w:tab/>
      </w:r>
      <w:r w:rsidRPr="00DD4EB8">
        <w:rPr>
          <w:rFonts w:eastAsiaTheme="minorEastAsia"/>
          <w:lang w:val="en-US"/>
        </w:rPr>
        <w:t>SMTC pattern 3: SMTC period = 160 ms with SMTC duration = 1 ms</w:t>
      </w:r>
      <w:r>
        <w:tab/>
      </w:r>
      <w:r>
        <w:fldChar w:fldCharType="begin"/>
      </w:r>
      <w:r>
        <w:instrText xml:space="preserve"> PAGEREF _Toc106184396 \h </w:instrText>
      </w:r>
      <w:r>
        <w:fldChar w:fldCharType="separate"/>
      </w:r>
      <w:r>
        <w:t>228</w:t>
      </w:r>
      <w:r>
        <w:fldChar w:fldCharType="end"/>
      </w:r>
    </w:p>
    <w:p w14:paraId="6610E91C" w14:textId="72267DE6" w:rsidR="003C625C" w:rsidRDefault="003C625C">
      <w:pPr>
        <w:pStyle w:val="TOC4"/>
        <w:rPr>
          <w:rFonts w:asciiTheme="minorHAnsi" w:eastAsiaTheme="minorEastAsia" w:hAnsiTheme="minorHAnsi" w:cstheme="minorBidi"/>
          <w:sz w:val="22"/>
          <w:szCs w:val="22"/>
        </w:rPr>
      </w:pPr>
      <w:r w:rsidRPr="00DD4EB8">
        <w:rPr>
          <w:rFonts w:eastAsiaTheme="minorEastAsia"/>
          <w:lang w:val="en-US"/>
        </w:rPr>
        <w:t>G.1.6.4</w:t>
      </w:r>
      <w:r>
        <w:rPr>
          <w:rFonts w:asciiTheme="minorHAnsi" w:eastAsiaTheme="minorEastAsia" w:hAnsiTheme="minorHAnsi" w:cstheme="minorBidi"/>
          <w:sz w:val="22"/>
          <w:szCs w:val="22"/>
        </w:rPr>
        <w:tab/>
      </w:r>
      <w:r w:rsidRPr="00DD4EB8">
        <w:rPr>
          <w:rFonts w:eastAsiaTheme="minorEastAsia"/>
          <w:lang w:val="en-US"/>
        </w:rPr>
        <w:t>SMTC pattern 4: SMTC period = 20 ms with SMTC duration = 1 ms</w:t>
      </w:r>
      <w:r>
        <w:tab/>
      </w:r>
      <w:r>
        <w:fldChar w:fldCharType="begin"/>
      </w:r>
      <w:r>
        <w:instrText xml:space="preserve"> PAGEREF _Toc106184397 \h </w:instrText>
      </w:r>
      <w:r>
        <w:fldChar w:fldCharType="separate"/>
      </w:r>
      <w:r>
        <w:t>228</w:t>
      </w:r>
      <w:r>
        <w:fldChar w:fldCharType="end"/>
      </w:r>
    </w:p>
    <w:p w14:paraId="31CBB56F" w14:textId="235CE29F" w:rsidR="003C625C" w:rsidRDefault="003C625C">
      <w:pPr>
        <w:pStyle w:val="TOC4"/>
        <w:rPr>
          <w:rFonts w:asciiTheme="minorHAnsi" w:eastAsiaTheme="minorEastAsia" w:hAnsiTheme="minorHAnsi" w:cstheme="minorBidi"/>
          <w:sz w:val="22"/>
          <w:szCs w:val="22"/>
        </w:rPr>
      </w:pPr>
      <w:r w:rsidRPr="00DD4EB8">
        <w:rPr>
          <w:rFonts w:eastAsiaTheme="minorEastAsia"/>
          <w:lang w:val="en-US"/>
        </w:rPr>
        <w:t>G.1.6.5</w:t>
      </w:r>
      <w:r>
        <w:rPr>
          <w:rFonts w:asciiTheme="minorHAnsi" w:eastAsiaTheme="minorEastAsia" w:hAnsiTheme="minorHAnsi" w:cstheme="minorBidi"/>
          <w:sz w:val="22"/>
          <w:szCs w:val="22"/>
        </w:rPr>
        <w:tab/>
      </w:r>
      <w:r w:rsidRPr="00DD4EB8">
        <w:rPr>
          <w:rFonts w:eastAsiaTheme="minorEastAsia"/>
          <w:lang w:val="en-US"/>
        </w:rPr>
        <w:t>SMTC pattern 5: SMTC period = 20 ms with SMTC duration = 5 ms</w:t>
      </w:r>
      <w:r>
        <w:tab/>
      </w:r>
      <w:r>
        <w:fldChar w:fldCharType="begin"/>
      </w:r>
      <w:r>
        <w:instrText xml:space="preserve"> PAGEREF _Toc106184398 \h </w:instrText>
      </w:r>
      <w:r>
        <w:fldChar w:fldCharType="separate"/>
      </w:r>
      <w:r>
        <w:t>228</w:t>
      </w:r>
      <w:r>
        <w:fldChar w:fldCharType="end"/>
      </w:r>
    </w:p>
    <w:p w14:paraId="6EFC2A21" w14:textId="2A657B8E" w:rsidR="003C625C" w:rsidRDefault="003C625C">
      <w:pPr>
        <w:pStyle w:val="TOC3"/>
        <w:rPr>
          <w:rFonts w:asciiTheme="minorHAnsi" w:eastAsiaTheme="minorEastAsia" w:hAnsiTheme="minorHAnsi" w:cstheme="minorBidi"/>
          <w:sz w:val="22"/>
          <w:szCs w:val="22"/>
        </w:rPr>
      </w:pPr>
      <w:r w:rsidRPr="00DD4EB8">
        <w:rPr>
          <w:rFonts w:eastAsiaTheme="minorEastAsia"/>
        </w:rPr>
        <w:t>G.1.7</w:t>
      </w:r>
      <w:r>
        <w:rPr>
          <w:rFonts w:asciiTheme="minorHAnsi" w:eastAsiaTheme="minorEastAsia" w:hAnsiTheme="minorHAnsi" w:cstheme="minorBidi"/>
          <w:sz w:val="22"/>
          <w:szCs w:val="22"/>
        </w:rPr>
        <w:tab/>
      </w:r>
      <w:r w:rsidRPr="00DD4EB8">
        <w:rPr>
          <w:rFonts w:eastAsiaTheme="minorEastAsia"/>
        </w:rPr>
        <w:t>CSI-RS configurations</w:t>
      </w:r>
      <w:r>
        <w:tab/>
      </w:r>
      <w:r>
        <w:fldChar w:fldCharType="begin"/>
      </w:r>
      <w:r>
        <w:instrText xml:space="preserve"> PAGEREF _Toc106184399 \h </w:instrText>
      </w:r>
      <w:r>
        <w:fldChar w:fldCharType="separate"/>
      </w:r>
      <w:r>
        <w:t>229</w:t>
      </w:r>
      <w:r>
        <w:fldChar w:fldCharType="end"/>
      </w:r>
    </w:p>
    <w:p w14:paraId="5AE926C7" w14:textId="3A03464E" w:rsidR="003C625C" w:rsidRDefault="003C625C">
      <w:pPr>
        <w:pStyle w:val="TOC4"/>
        <w:rPr>
          <w:rFonts w:asciiTheme="minorHAnsi" w:eastAsiaTheme="minorEastAsia" w:hAnsiTheme="minorHAnsi" w:cstheme="minorBidi"/>
          <w:sz w:val="22"/>
          <w:szCs w:val="22"/>
        </w:rPr>
      </w:pPr>
      <w:r w:rsidRPr="00DD4EB8">
        <w:rPr>
          <w:rFonts w:eastAsiaTheme="minorEastAsia"/>
        </w:rPr>
        <w:t>G.1.7.1</w:t>
      </w:r>
      <w:r>
        <w:rPr>
          <w:rFonts w:asciiTheme="minorHAnsi" w:eastAsiaTheme="minorEastAsia" w:hAnsiTheme="minorHAnsi" w:cstheme="minorBidi"/>
          <w:sz w:val="22"/>
          <w:szCs w:val="22"/>
        </w:rPr>
        <w:tab/>
      </w:r>
      <w:r w:rsidRPr="00DD4EB8">
        <w:rPr>
          <w:rFonts w:eastAsiaTheme="minorEastAsia"/>
        </w:rPr>
        <w:t>TDD</w:t>
      </w:r>
      <w:r>
        <w:tab/>
      </w:r>
      <w:r>
        <w:fldChar w:fldCharType="begin"/>
      </w:r>
      <w:r>
        <w:instrText xml:space="preserve"> PAGEREF _Toc106184400 \h </w:instrText>
      </w:r>
      <w:r>
        <w:fldChar w:fldCharType="separate"/>
      </w:r>
      <w:r>
        <w:t>229</w:t>
      </w:r>
      <w:r>
        <w:fldChar w:fldCharType="end"/>
      </w:r>
    </w:p>
    <w:p w14:paraId="3D81849F" w14:textId="21D1E272" w:rsidR="003C625C" w:rsidRDefault="003C625C">
      <w:pPr>
        <w:pStyle w:val="TOC3"/>
        <w:rPr>
          <w:rFonts w:asciiTheme="minorHAnsi" w:eastAsiaTheme="minorEastAsia" w:hAnsiTheme="minorHAnsi" w:cstheme="minorBidi"/>
          <w:sz w:val="22"/>
          <w:szCs w:val="22"/>
        </w:rPr>
      </w:pPr>
      <w:r w:rsidRPr="00DD4EB8">
        <w:rPr>
          <w:rFonts w:eastAsiaTheme="minorEastAsia"/>
          <w:snapToGrid w:val="0"/>
        </w:rPr>
        <w:t>G.1.8</w:t>
      </w:r>
      <w:r>
        <w:rPr>
          <w:rFonts w:asciiTheme="minorHAnsi" w:eastAsiaTheme="minorEastAsia" w:hAnsiTheme="minorHAnsi" w:cstheme="minorBidi"/>
          <w:sz w:val="22"/>
          <w:szCs w:val="22"/>
        </w:rPr>
        <w:tab/>
      </w:r>
      <w:r w:rsidRPr="00DD4EB8">
        <w:rPr>
          <w:rFonts w:eastAsiaTheme="minorEastAsia"/>
          <w:snapToGrid w:val="0"/>
        </w:rPr>
        <w:t>Angle of Arrival (AoA) for FR2 RRM test cases</w:t>
      </w:r>
      <w:r>
        <w:tab/>
      </w:r>
      <w:r>
        <w:fldChar w:fldCharType="begin"/>
      </w:r>
      <w:r>
        <w:instrText xml:space="preserve"> PAGEREF _Toc106184401 \h </w:instrText>
      </w:r>
      <w:r>
        <w:fldChar w:fldCharType="separate"/>
      </w:r>
      <w:r>
        <w:t>231</w:t>
      </w:r>
      <w:r>
        <w:fldChar w:fldCharType="end"/>
      </w:r>
    </w:p>
    <w:p w14:paraId="2CC9A9EB" w14:textId="07E54F1C"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G.1.8.1</w:t>
      </w:r>
      <w:r>
        <w:rPr>
          <w:rFonts w:asciiTheme="minorHAnsi" w:eastAsiaTheme="minorEastAsia" w:hAnsiTheme="minorHAnsi" w:cstheme="minorBidi"/>
          <w:sz w:val="22"/>
          <w:szCs w:val="22"/>
        </w:rPr>
        <w:tab/>
      </w:r>
      <w:r w:rsidRPr="00DD4EB8">
        <w:rPr>
          <w:rFonts w:eastAsiaTheme="minorEastAsia"/>
          <w:snapToGrid w:val="0"/>
        </w:rPr>
        <w:t>Setup 1: Single AoA</w:t>
      </w:r>
      <w:r>
        <w:tab/>
      </w:r>
      <w:r>
        <w:fldChar w:fldCharType="begin"/>
      </w:r>
      <w:r>
        <w:instrText xml:space="preserve"> PAGEREF _Toc106184402 \h </w:instrText>
      </w:r>
      <w:r>
        <w:fldChar w:fldCharType="separate"/>
      </w:r>
      <w:r>
        <w:t>231</w:t>
      </w:r>
      <w:r>
        <w:fldChar w:fldCharType="end"/>
      </w:r>
    </w:p>
    <w:p w14:paraId="4F887443" w14:textId="028CEE31"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G.1.8.2</w:t>
      </w:r>
      <w:r>
        <w:rPr>
          <w:rFonts w:asciiTheme="minorHAnsi" w:eastAsiaTheme="minorEastAsia" w:hAnsiTheme="minorHAnsi" w:cstheme="minorBidi"/>
          <w:sz w:val="22"/>
          <w:szCs w:val="22"/>
        </w:rPr>
        <w:tab/>
      </w:r>
      <w:r w:rsidRPr="00DD4EB8">
        <w:rPr>
          <w:rFonts w:eastAsiaTheme="minorEastAsia"/>
          <w:snapToGrid w:val="0"/>
        </w:rPr>
        <w:t>Setup 2: 2 AoAs</w:t>
      </w:r>
      <w:r>
        <w:tab/>
      </w:r>
      <w:r>
        <w:fldChar w:fldCharType="begin"/>
      </w:r>
      <w:r>
        <w:instrText xml:space="preserve"> PAGEREF _Toc106184403 \h </w:instrText>
      </w:r>
      <w:r>
        <w:fldChar w:fldCharType="separate"/>
      </w:r>
      <w:r>
        <w:t>231</w:t>
      </w:r>
      <w:r>
        <w:fldChar w:fldCharType="end"/>
      </w:r>
    </w:p>
    <w:p w14:paraId="40E10AA7" w14:textId="2601BBEB" w:rsidR="003C625C" w:rsidRDefault="003C625C">
      <w:pPr>
        <w:pStyle w:val="TOC3"/>
        <w:rPr>
          <w:rFonts w:asciiTheme="minorHAnsi" w:eastAsiaTheme="minorEastAsia" w:hAnsiTheme="minorHAnsi" w:cstheme="minorBidi"/>
          <w:sz w:val="22"/>
          <w:szCs w:val="22"/>
        </w:rPr>
      </w:pPr>
      <w:r w:rsidRPr="00DD4EB8">
        <w:rPr>
          <w:rFonts w:eastAsiaTheme="minorEastAsia"/>
        </w:rPr>
        <w:t>G.1.9</w:t>
      </w:r>
      <w:r>
        <w:rPr>
          <w:rFonts w:asciiTheme="minorHAnsi" w:eastAsiaTheme="minorEastAsia" w:hAnsiTheme="minorHAnsi" w:cstheme="minorBidi"/>
          <w:sz w:val="22"/>
          <w:szCs w:val="22"/>
        </w:rPr>
        <w:tab/>
      </w:r>
      <w:r w:rsidRPr="00DD4EB8">
        <w:rPr>
          <w:rFonts w:eastAsiaTheme="minorEastAsia"/>
        </w:rPr>
        <w:t>TCI State Configuration</w:t>
      </w:r>
      <w:r>
        <w:tab/>
      </w:r>
      <w:r>
        <w:fldChar w:fldCharType="begin"/>
      </w:r>
      <w:r>
        <w:instrText xml:space="preserve"> PAGEREF _Toc106184404 \h </w:instrText>
      </w:r>
      <w:r>
        <w:fldChar w:fldCharType="separate"/>
      </w:r>
      <w:r>
        <w:t>232</w:t>
      </w:r>
      <w:r>
        <w:fldChar w:fldCharType="end"/>
      </w:r>
    </w:p>
    <w:p w14:paraId="14627A1E" w14:textId="269BC060" w:rsidR="003C625C" w:rsidRDefault="003C625C">
      <w:pPr>
        <w:pStyle w:val="TOC4"/>
        <w:rPr>
          <w:rFonts w:asciiTheme="minorHAnsi" w:eastAsiaTheme="minorEastAsia" w:hAnsiTheme="minorHAnsi" w:cstheme="minorBidi"/>
          <w:sz w:val="22"/>
          <w:szCs w:val="22"/>
        </w:rPr>
      </w:pPr>
      <w:r w:rsidRPr="00DD4EB8">
        <w:rPr>
          <w:rFonts w:eastAsiaTheme="minorEastAsia"/>
        </w:rPr>
        <w:t>G.1.9.1</w:t>
      </w:r>
      <w:r>
        <w:rPr>
          <w:rFonts w:asciiTheme="minorHAnsi" w:eastAsiaTheme="minorEastAsia" w:hAnsiTheme="minorHAnsi" w:cstheme="minorBidi"/>
          <w:sz w:val="22"/>
          <w:szCs w:val="22"/>
        </w:rPr>
        <w:tab/>
      </w:r>
      <w:r w:rsidRPr="00DD4EB8">
        <w:rPr>
          <w:rFonts w:eastAsiaTheme="minorEastAsia"/>
        </w:rPr>
        <w:t>Introduction</w:t>
      </w:r>
      <w:r>
        <w:tab/>
      </w:r>
      <w:r>
        <w:fldChar w:fldCharType="begin"/>
      </w:r>
      <w:r>
        <w:instrText xml:space="preserve"> PAGEREF _Toc106184405 \h </w:instrText>
      </w:r>
      <w:r>
        <w:fldChar w:fldCharType="separate"/>
      </w:r>
      <w:r>
        <w:t>232</w:t>
      </w:r>
      <w:r>
        <w:fldChar w:fldCharType="end"/>
      </w:r>
    </w:p>
    <w:p w14:paraId="20F39563" w14:textId="6E365E0D" w:rsidR="003C625C" w:rsidRDefault="003C625C">
      <w:pPr>
        <w:pStyle w:val="TOC4"/>
        <w:rPr>
          <w:rFonts w:asciiTheme="minorHAnsi" w:eastAsiaTheme="minorEastAsia" w:hAnsiTheme="minorHAnsi" w:cstheme="minorBidi"/>
          <w:sz w:val="22"/>
          <w:szCs w:val="22"/>
        </w:rPr>
      </w:pPr>
      <w:r w:rsidRPr="00DD4EB8">
        <w:rPr>
          <w:rFonts w:eastAsiaTheme="minorEastAsia"/>
        </w:rPr>
        <w:lastRenderedPageBreak/>
        <w:t>G.1.9.2</w:t>
      </w:r>
      <w:r>
        <w:rPr>
          <w:rFonts w:asciiTheme="minorHAnsi" w:eastAsiaTheme="minorEastAsia" w:hAnsiTheme="minorHAnsi" w:cstheme="minorBidi"/>
          <w:sz w:val="22"/>
          <w:szCs w:val="22"/>
        </w:rPr>
        <w:tab/>
      </w:r>
      <w:r w:rsidRPr="00DD4EB8">
        <w:rPr>
          <w:rFonts w:eastAsiaTheme="minorEastAsia"/>
        </w:rPr>
        <w:t>TCI states</w:t>
      </w:r>
      <w:r>
        <w:tab/>
      </w:r>
      <w:r>
        <w:fldChar w:fldCharType="begin"/>
      </w:r>
      <w:r>
        <w:instrText xml:space="preserve"> PAGEREF _Toc106184406 \h </w:instrText>
      </w:r>
      <w:r>
        <w:fldChar w:fldCharType="separate"/>
      </w:r>
      <w:r>
        <w:t>232</w:t>
      </w:r>
      <w:r>
        <w:fldChar w:fldCharType="end"/>
      </w:r>
    </w:p>
    <w:p w14:paraId="3BB6AB31" w14:textId="1C683768" w:rsidR="003C625C" w:rsidRDefault="003C625C">
      <w:pPr>
        <w:pStyle w:val="TOC3"/>
        <w:rPr>
          <w:rFonts w:asciiTheme="minorHAnsi" w:eastAsiaTheme="minorEastAsia" w:hAnsiTheme="minorHAnsi" w:cstheme="minorBidi"/>
          <w:sz w:val="22"/>
          <w:szCs w:val="22"/>
        </w:rPr>
      </w:pPr>
      <w:r w:rsidRPr="00DD4EB8">
        <w:rPr>
          <w:rFonts w:eastAsiaTheme="minorEastAsia"/>
        </w:rPr>
        <w:t>G.1.10</w:t>
      </w:r>
      <w:r>
        <w:rPr>
          <w:rFonts w:asciiTheme="minorHAnsi" w:eastAsiaTheme="minorEastAsia" w:hAnsiTheme="minorHAnsi" w:cstheme="minorBidi"/>
          <w:sz w:val="22"/>
          <w:szCs w:val="22"/>
        </w:rPr>
        <w:tab/>
      </w:r>
      <w:r w:rsidRPr="00DD4EB8">
        <w:rPr>
          <w:rFonts w:eastAsiaTheme="minorEastAsia"/>
        </w:rPr>
        <w:t>Configurations of CSI-RS for tracking</w:t>
      </w:r>
      <w:r>
        <w:tab/>
      </w:r>
      <w:r>
        <w:fldChar w:fldCharType="begin"/>
      </w:r>
      <w:r>
        <w:instrText xml:space="preserve"> PAGEREF _Toc106184407 \h </w:instrText>
      </w:r>
      <w:r>
        <w:fldChar w:fldCharType="separate"/>
      </w:r>
      <w:r>
        <w:t>232</w:t>
      </w:r>
      <w:r>
        <w:fldChar w:fldCharType="end"/>
      </w:r>
    </w:p>
    <w:p w14:paraId="69D2416D" w14:textId="07C8C2B5" w:rsidR="003C625C" w:rsidRDefault="003C625C">
      <w:pPr>
        <w:pStyle w:val="TOC4"/>
        <w:rPr>
          <w:rFonts w:asciiTheme="minorHAnsi" w:eastAsiaTheme="minorEastAsia" w:hAnsiTheme="minorHAnsi" w:cstheme="minorBidi"/>
          <w:sz w:val="22"/>
          <w:szCs w:val="22"/>
        </w:rPr>
      </w:pPr>
      <w:r w:rsidRPr="00DD4EB8">
        <w:rPr>
          <w:rFonts w:eastAsiaTheme="minorEastAsia"/>
        </w:rPr>
        <w:t>G.1.10.1</w:t>
      </w:r>
      <w:r>
        <w:rPr>
          <w:rFonts w:asciiTheme="minorHAnsi" w:eastAsiaTheme="minorEastAsia" w:hAnsiTheme="minorHAnsi" w:cstheme="minorBidi"/>
          <w:sz w:val="22"/>
          <w:szCs w:val="22"/>
        </w:rPr>
        <w:tab/>
      </w:r>
      <w:r w:rsidRPr="00DD4EB8">
        <w:rPr>
          <w:rFonts w:eastAsiaTheme="minorEastAsia"/>
        </w:rPr>
        <w:t>Configuration of CSI-RS for tracking for FR1</w:t>
      </w:r>
      <w:r>
        <w:tab/>
      </w:r>
      <w:r>
        <w:fldChar w:fldCharType="begin"/>
      </w:r>
      <w:r>
        <w:instrText xml:space="preserve"> PAGEREF _Toc106184408 \h </w:instrText>
      </w:r>
      <w:r>
        <w:fldChar w:fldCharType="separate"/>
      </w:r>
      <w:r>
        <w:t>232</w:t>
      </w:r>
      <w:r>
        <w:fldChar w:fldCharType="end"/>
      </w:r>
    </w:p>
    <w:p w14:paraId="4224EF81" w14:textId="239AF00C" w:rsidR="003C625C" w:rsidRDefault="003C625C">
      <w:pPr>
        <w:pStyle w:val="TOC5"/>
        <w:rPr>
          <w:rFonts w:asciiTheme="minorHAnsi" w:eastAsiaTheme="minorEastAsia" w:hAnsiTheme="minorHAnsi" w:cstheme="minorBidi"/>
          <w:sz w:val="22"/>
          <w:szCs w:val="22"/>
        </w:rPr>
      </w:pPr>
      <w:r w:rsidRPr="00DD4EB8">
        <w:rPr>
          <w:rFonts w:eastAsiaTheme="minorEastAsia"/>
        </w:rPr>
        <w:t>G.1.10.1.2</w:t>
      </w:r>
      <w:r>
        <w:rPr>
          <w:rFonts w:asciiTheme="minorHAnsi" w:eastAsiaTheme="minorEastAsia" w:hAnsiTheme="minorHAnsi" w:cstheme="minorBidi"/>
          <w:sz w:val="22"/>
          <w:szCs w:val="22"/>
        </w:rPr>
        <w:tab/>
      </w:r>
      <w:r w:rsidRPr="00DD4EB8">
        <w:rPr>
          <w:rFonts w:eastAsiaTheme="minorEastAsia"/>
          <w:lang w:eastAsia="zh-CN"/>
        </w:rPr>
        <w:t>TDD</w:t>
      </w:r>
      <w:r>
        <w:tab/>
      </w:r>
      <w:r>
        <w:fldChar w:fldCharType="begin"/>
      </w:r>
      <w:r>
        <w:instrText xml:space="preserve"> PAGEREF _Toc106184409 \h </w:instrText>
      </w:r>
      <w:r>
        <w:fldChar w:fldCharType="separate"/>
      </w:r>
      <w:r>
        <w:t>232</w:t>
      </w:r>
      <w:r>
        <w:fldChar w:fldCharType="end"/>
      </w:r>
    </w:p>
    <w:p w14:paraId="1E04F9D6" w14:textId="3EB3DAF9" w:rsidR="003C625C" w:rsidRDefault="003C625C">
      <w:pPr>
        <w:pStyle w:val="TOC4"/>
        <w:rPr>
          <w:rFonts w:asciiTheme="minorHAnsi" w:eastAsiaTheme="minorEastAsia" w:hAnsiTheme="minorHAnsi" w:cstheme="minorBidi"/>
          <w:sz w:val="22"/>
          <w:szCs w:val="22"/>
        </w:rPr>
      </w:pPr>
      <w:r w:rsidRPr="00DD4EB8">
        <w:rPr>
          <w:rFonts w:eastAsiaTheme="minorEastAsia"/>
        </w:rPr>
        <w:t>G.1.10.2</w:t>
      </w:r>
      <w:r>
        <w:rPr>
          <w:rFonts w:asciiTheme="minorHAnsi" w:eastAsiaTheme="minorEastAsia" w:hAnsiTheme="minorHAnsi" w:cstheme="minorBidi"/>
          <w:sz w:val="22"/>
          <w:szCs w:val="22"/>
        </w:rPr>
        <w:tab/>
      </w:r>
      <w:r w:rsidRPr="00DD4EB8">
        <w:rPr>
          <w:rFonts w:eastAsiaTheme="minorEastAsia"/>
        </w:rPr>
        <w:t>Configuration of CSI-RS for tracking for FR2</w:t>
      </w:r>
      <w:r>
        <w:tab/>
      </w:r>
      <w:r>
        <w:fldChar w:fldCharType="begin"/>
      </w:r>
      <w:r>
        <w:instrText xml:space="preserve"> PAGEREF _Toc106184410 \h </w:instrText>
      </w:r>
      <w:r>
        <w:fldChar w:fldCharType="separate"/>
      </w:r>
      <w:r>
        <w:t>233</w:t>
      </w:r>
      <w:r>
        <w:fldChar w:fldCharType="end"/>
      </w:r>
    </w:p>
    <w:p w14:paraId="3FF155A4" w14:textId="07E6691E" w:rsidR="003C625C" w:rsidRDefault="003C625C">
      <w:pPr>
        <w:pStyle w:val="TOC5"/>
        <w:rPr>
          <w:rFonts w:asciiTheme="minorHAnsi" w:eastAsiaTheme="minorEastAsia" w:hAnsiTheme="minorHAnsi" w:cstheme="minorBidi"/>
          <w:sz w:val="22"/>
          <w:szCs w:val="22"/>
        </w:rPr>
      </w:pPr>
      <w:r w:rsidRPr="00DD4EB8">
        <w:rPr>
          <w:rFonts w:eastAsiaTheme="minorEastAsia"/>
        </w:rPr>
        <w:t>G.1.10.2.1</w:t>
      </w:r>
      <w:r>
        <w:rPr>
          <w:rFonts w:asciiTheme="minorHAnsi" w:eastAsiaTheme="minorEastAsia" w:hAnsiTheme="minorHAnsi" w:cstheme="minorBidi"/>
          <w:sz w:val="22"/>
          <w:szCs w:val="22"/>
        </w:rPr>
        <w:tab/>
      </w:r>
      <w:r w:rsidRPr="00DD4EB8">
        <w:rPr>
          <w:rFonts w:eastAsiaTheme="minorEastAsia"/>
          <w:lang w:eastAsia="zh-CN"/>
        </w:rPr>
        <w:t>TDD</w:t>
      </w:r>
      <w:r>
        <w:tab/>
      </w:r>
      <w:r>
        <w:fldChar w:fldCharType="begin"/>
      </w:r>
      <w:r>
        <w:instrText xml:space="preserve"> PAGEREF _Toc106184411 \h </w:instrText>
      </w:r>
      <w:r>
        <w:fldChar w:fldCharType="separate"/>
      </w:r>
      <w:r>
        <w:t>233</w:t>
      </w:r>
      <w:r>
        <w:fldChar w:fldCharType="end"/>
      </w:r>
    </w:p>
    <w:p w14:paraId="286F58AF" w14:textId="0EA4C052" w:rsidR="003C625C" w:rsidRDefault="003C625C">
      <w:pPr>
        <w:pStyle w:val="TOC2"/>
        <w:rPr>
          <w:rFonts w:asciiTheme="minorHAnsi" w:eastAsiaTheme="minorEastAsia" w:hAnsiTheme="minorHAnsi" w:cstheme="minorBidi"/>
          <w:sz w:val="22"/>
          <w:szCs w:val="22"/>
        </w:rPr>
      </w:pPr>
      <w:r w:rsidRPr="00DD4EB8">
        <w:rPr>
          <w:rFonts w:eastAsia="SimSun"/>
        </w:rPr>
        <w:t>G.2</w:t>
      </w:r>
      <w:r>
        <w:rPr>
          <w:rFonts w:asciiTheme="minorHAnsi" w:eastAsiaTheme="minorEastAsia" w:hAnsiTheme="minorHAnsi" w:cstheme="minorBidi"/>
          <w:sz w:val="22"/>
          <w:szCs w:val="22"/>
        </w:rPr>
        <w:tab/>
      </w:r>
      <w:r w:rsidRPr="00DD4EB8">
        <w:rPr>
          <w:rFonts w:eastAsia="SimSun"/>
        </w:rPr>
        <w:t>IAB-MT RRM test cases</w:t>
      </w:r>
      <w:r>
        <w:tab/>
      </w:r>
      <w:r>
        <w:fldChar w:fldCharType="begin"/>
      </w:r>
      <w:r>
        <w:instrText xml:space="preserve"> PAGEREF _Toc106184412 \h </w:instrText>
      </w:r>
      <w:r>
        <w:fldChar w:fldCharType="separate"/>
      </w:r>
      <w:r>
        <w:t>234</w:t>
      </w:r>
      <w:r>
        <w:fldChar w:fldCharType="end"/>
      </w:r>
    </w:p>
    <w:p w14:paraId="52A9FED3" w14:textId="060D33A0" w:rsidR="003C625C" w:rsidRDefault="003C625C">
      <w:pPr>
        <w:pStyle w:val="TOC3"/>
        <w:rPr>
          <w:rFonts w:asciiTheme="minorHAnsi" w:eastAsiaTheme="minorEastAsia" w:hAnsiTheme="minorHAnsi" w:cstheme="minorBidi"/>
          <w:sz w:val="22"/>
          <w:szCs w:val="22"/>
        </w:rPr>
      </w:pPr>
      <w:r>
        <w:t>G.2.1</w:t>
      </w:r>
      <w:r>
        <w:rPr>
          <w:rFonts w:asciiTheme="minorHAnsi" w:eastAsiaTheme="minorEastAsia" w:hAnsiTheme="minorHAnsi" w:cstheme="minorBidi"/>
          <w:sz w:val="22"/>
          <w:szCs w:val="22"/>
        </w:rPr>
        <w:tab/>
      </w:r>
      <w:r>
        <w:t>RRC_CONNECTED state mobility for IAB-MTs</w:t>
      </w:r>
      <w:r>
        <w:tab/>
      </w:r>
      <w:r>
        <w:fldChar w:fldCharType="begin"/>
      </w:r>
      <w:r>
        <w:instrText xml:space="preserve"> PAGEREF _Toc106184413 \h </w:instrText>
      </w:r>
      <w:r>
        <w:fldChar w:fldCharType="separate"/>
      </w:r>
      <w:r>
        <w:t>234</w:t>
      </w:r>
      <w:r>
        <w:fldChar w:fldCharType="end"/>
      </w:r>
    </w:p>
    <w:p w14:paraId="5EA1C8E8" w14:textId="72045074" w:rsidR="003C625C" w:rsidRDefault="003C625C">
      <w:pPr>
        <w:pStyle w:val="TOC4"/>
        <w:rPr>
          <w:rFonts w:asciiTheme="minorHAnsi" w:eastAsiaTheme="minorEastAsia" w:hAnsiTheme="minorHAnsi" w:cstheme="minorBidi"/>
          <w:sz w:val="22"/>
          <w:szCs w:val="22"/>
        </w:rPr>
      </w:pPr>
      <w:r>
        <w:t>G.2.1.1</w:t>
      </w:r>
      <w:r>
        <w:rPr>
          <w:rFonts w:asciiTheme="minorHAnsi" w:eastAsiaTheme="minorEastAsia" w:hAnsiTheme="minorHAnsi" w:cstheme="minorBidi"/>
          <w:sz w:val="22"/>
          <w:szCs w:val="22"/>
        </w:rPr>
        <w:tab/>
      </w:r>
      <w:r>
        <w:t>RRC Connection Mobility Control</w:t>
      </w:r>
      <w:r>
        <w:tab/>
      </w:r>
      <w:r>
        <w:fldChar w:fldCharType="begin"/>
      </w:r>
      <w:r>
        <w:instrText xml:space="preserve"> PAGEREF _Toc106184414 \h </w:instrText>
      </w:r>
      <w:r>
        <w:fldChar w:fldCharType="separate"/>
      </w:r>
      <w:r>
        <w:t>234</w:t>
      </w:r>
      <w:r>
        <w:fldChar w:fldCharType="end"/>
      </w:r>
    </w:p>
    <w:p w14:paraId="7FA54777" w14:textId="15D8AE28" w:rsidR="003C625C" w:rsidRDefault="003C625C">
      <w:pPr>
        <w:pStyle w:val="TOC5"/>
        <w:rPr>
          <w:rFonts w:asciiTheme="minorHAnsi" w:eastAsiaTheme="minorEastAsia" w:hAnsiTheme="minorHAnsi" w:cstheme="minorBidi"/>
          <w:sz w:val="22"/>
          <w:szCs w:val="22"/>
        </w:rPr>
      </w:pPr>
      <w:r w:rsidRPr="00DD4EB8">
        <w:rPr>
          <w:snapToGrid w:val="0"/>
        </w:rPr>
        <w:t>G.2.1.1.1</w:t>
      </w:r>
      <w:r>
        <w:rPr>
          <w:rFonts w:asciiTheme="minorHAnsi" w:eastAsiaTheme="minorEastAsia" w:hAnsiTheme="minorHAnsi" w:cstheme="minorBidi"/>
          <w:sz w:val="22"/>
          <w:szCs w:val="22"/>
        </w:rPr>
        <w:tab/>
      </w:r>
      <w:r w:rsidRPr="00DD4EB8">
        <w:rPr>
          <w:snapToGrid w:val="0"/>
        </w:rPr>
        <w:t>RRC Re-establishment</w:t>
      </w:r>
      <w:r>
        <w:tab/>
      </w:r>
      <w:r>
        <w:fldChar w:fldCharType="begin"/>
      </w:r>
      <w:r>
        <w:instrText xml:space="preserve"> PAGEREF _Toc106184415 \h </w:instrText>
      </w:r>
      <w:r>
        <w:fldChar w:fldCharType="separate"/>
      </w:r>
      <w:r>
        <w:t>234</w:t>
      </w:r>
      <w:r>
        <w:fldChar w:fldCharType="end"/>
      </w:r>
    </w:p>
    <w:p w14:paraId="02B3A29C" w14:textId="6757DEFA" w:rsidR="003C625C" w:rsidRDefault="003C625C">
      <w:pPr>
        <w:pStyle w:val="TOC5"/>
        <w:rPr>
          <w:rFonts w:asciiTheme="minorHAnsi" w:eastAsiaTheme="minorEastAsia" w:hAnsiTheme="minorHAnsi" w:cstheme="minorBidi"/>
          <w:sz w:val="22"/>
          <w:szCs w:val="22"/>
        </w:rPr>
      </w:pPr>
      <w:r w:rsidRPr="00DD4EB8">
        <w:rPr>
          <w:snapToGrid w:val="0"/>
        </w:rPr>
        <w:t>G.2.1.1.2</w:t>
      </w:r>
      <w:r>
        <w:rPr>
          <w:rFonts w:asciiTheme="minorHAnsi" w:eastAsiaTheme="minorEastAsia" w:hAnsiTheme="minorHAnsi" w:cstheme="minorBidi"/>
          <w:sz w:val="22"/>
          <w:szCs w:val="22"/>
        </w:rPr>
        <w:tab/>
      </w:r>
      <w:r w:rsidRPr="00DD4EB8">
        <w:rPr>
          <w:snapToGrid w:val="0"/>
        </w:rPr>
        <w:t>RRC Connection Release with Redirection</w:t>
      </w:r>
      <w:r>
        <w:tab/>
      </w:r>
      <w:r>
        <w:fldChar w:fldCharType="begin"/>
      </w:r>
      <w:r>
        <w:instrText xml:space="preserve"> PAGEREF _Toc106184416 \h </w:instrText>
      </w:r>
      <w:r>
        <w:fldChar w:fldCharType="separate"/>
      </w:r>
      <w:r>
        <w:t>245</w:t>
      </w:r>
      <w:r>
        <w:fldChar w:fldCharType="end"/>
      </w:r>
    </w:p>
    <w:p w14:paraId="4071F03F" w14:textId="6142482D" w:rsidR="003C625C" w:rsidRDefault="003C625C">
      <w:pPr>
        <w:pStyle w:val="TOC3"/>
        <w:rPr>
          <w:rFonts w:asciiTheme="minorHAnsi" w:eastAsiaTheme="minorEastAsia" w:hAnsiTheme="minorHAnsi" w:cstheme="minorBidi"/>
          <w:sz w:val="22"/>
          <w:szCs w:val="22"/>
        </w:rPr>
      </w:pPr>
      <w:r>
        <w:t>G.2.2</w:t>
      </w:r>
      <w:r>
        <w:rPr>
          <w:rFonts w:asciiTheme="minorHAnsi" w:eastAsiaTheme="minorEastAsia" w:hAnsiTheme="minorHAnsi" w:cstheme="minorBidi"/>
          <w:sz w:val="22"/>
          <w:szCs w:val="22"/>
        </w:rPr>
        <w:tab/>
      </w:r>
      <w:r>
        <w:t>Timing</w:t>
      </w:r>
      <w:r>
        <w:tab/>
      </w:r>
      <w:r>
        <w:fldChar w:fldCharType="begin"/>
      </w:r>
      <w:r>
        <w:instrText xml:space="preserve"> PAGEREF _Toc106184417 \h </w:instrText>
      </w:r>
      <w:r>
        <w:fldChar w:fldCharType="separate"/>
      </w:r>
      <w:r>
        <w:t>250</w:t>
      </w:r>
      <w:r>
        <w:fldChar w:fldCharType="end"/>
      </w:r>
    </w:p>
    <w:p w14:paraId="6E1A75DB" w14:textId="69F23F92" w:rsidR="003C625C" w:rsidRDefault="003C625C">
      <w:pPr>
        <w:pStyle w:val="TOC4"/>
        <w:rPr>
          <w:rFonts w:asciiTheme="minorHAnsi" w:eastAsiaTheme="minorEastAsia" w:hAnsiTheme="minorHAnsi" w:cstheme="minorBidi"/>
          <w:sz w:val="22"/>
          <w:szCs w:val="22"/>
        </w:rPr>
      </w:pPr>
      <w:r>
        <w:t>G.2.2.1</w:t>
      </w:r>
      <w:r>
        <w:rPr>
          <w:rFonts w:asciiTheme="minorHAnsi" w:eastAsiaTheme="minorEastAsia" w:hAnsiTheme="minorHAnsi" w:cstheme="minorBidi"/>
          <w:sz w:val="22"/>
          <w:szCs w:val="22"/>
        </w:rPr>
        <w:tab/>
      </w:r>
      <w:r>
        <w:t>Transmit timing</w:t>
      </w:r>
      <w:r>
        <w:tab/>
      </w:r>
      <w:r>
        <w:fldChar w:fldCharType="begin"/>
      </w:r>
      <w:r>
        <w:instrText xml:space="preserve"> PAGEREF _Toc106184418 \h </w:instrText>
      </w:r>
      <w:r>
        <w:fldChar w:fldCharType="separate"/>
      </w:r>
      <w:r>
        <w:t>250</w:t>
      </w:r>
      <w:r>
        <w:fldChar w:fldCharType="end"/>
      </w:r>
    </w:p>
    <w:p w14:paraId="082842A8" w14:textId="34AFC381" w:rsidR="003C625C" w:rsidRDefault="003C625C">
      <w:pPr>
        <w:pStyle w:val="TOC5"/>
        <w:rPr>
          <w:rFonts w:asciiTheme="minorHAnsi" w:eastAsiaTheme="minorEastAsia" w:hAnsiTheme="minorHAnsi" w:cstheme="minorBidi"/>
          <w:sz w:val="22"/>
          <w:szCs w:val="22"/>
        </w:rPr>
      </w:pPr>
      <w:r w:rsidRPr="00DD4EB8">
        <w:rPr>
          <w:rFonts w:eastAsia="SimSun"/>
          <w:lang w:eastAsia="zh-CN"/>
        </w:rPr>
        <w:t>G.2.2</w:t>
      </w:r>
      <w:r>
        <w:t>.1.1</w:t>
      </w:r>
      <w:r>
        <w:rPr>
          <w:rFonts w:asciiTheme="minorHAnsi" w:eastAsiaTheme="minorEastAsia" w:hAnsiTheme="minorHAnsi" w:cstheme="minorBidi"/>
          <w:sz w:val="22"/>
          <w:szCs w:val="22"/>
        </w:rPr>
        <w:tab/>
      </w:r>
      <w:r>
        <w:t xml:space="preserve">NR </w:t>
      </w:r>
      <w:r w:rsidRPr="00DD4EB8">
        <w:rPr>
          <w:rFonts w:eastAsia="SimSun"/>
          <w:lang w:eastAsia="zh-CN"/>
        </w:rPr>
        <w:t>IAB-MT</w:t>
      </w:r>
      <w:r>
        <w:t xml:space="preserve"> Transmit Timing Test for FR1</w:t>
      </w:r>
      <w:r>
        <w:tab/>
      </w:r>
      <w:r>
        <w:fldChar w:fldCharType="begin"/>
      </w:r>
      <w:r>
        <w:instrText xml:space="preserve"> PAGEREF _Toc106184419 \h </w:instrText>
      </w:r>
      <w:r>
        <w:fldChar w:fldCharType="separate"/>
      </w:r>
      <w:r>
        <w:t>250</w:t>
      </w:r>
      <w:r>
        <w:fldChar w:fldCharType="end"/>
      </w:r>
    </w:p>
    <w:p w14:paraId="0B91D052" w14:textId="1AB261EB" w:rsidR="003C625C" w:rsidRDefault="003C625C">
      <w:pPr>
        <w:pStyle w:val="TOC5"/>
        <w:rPr>
          <w:rFonts w:asciiTheme="minorHAnsi" w:eastAsiaTheme="minorEastAsia" w:hAnsiTheme="minorHAnsi" w:cstheme="minorBidi"/>
          <w:sz w:val="22"/>
          <w:szCs w:val="22"/>
        </w:rPr>
      </w:pPr>
      <w:r w:rsidRPr="00DD4EB8">
        <w:rPr>
          <w:rFonts w:eastAsia="SimSun"/>
          <w:lang w:eastAsia="zh-CN"/>
        </w:rPr>
        <w:t>G.</w:t>
      </w:r>
      <w:r w:rsidRPr="00DD4EB8">
        <w:rPr>
          <w:rFonts w:eastAsia="SimSun"/>
          <w:lang w:val="en-US" w:eastAsia="zh-CN"/>
        </w:rPr>
        <w:t>2</w:t>
      </w:r>
      <w:r w:rsidRPr="00DD4EB8">
        <w:rPr>
          <w:rFonts w:eastAsia="SimSun"/>
          <w:lang w:eastAsia="zh-CN"/>
        </w:rPr>
        <w:t>.2</w:t>
      </w:r>
      <w:r>
        <w:t>.1.</w:t>
      </w:r>
      <w:r w:rsidRPr="00DD4EB8">
        <w:rPr>
          <w:rFonts w:eastAsia="SimSun"/>
          <w:lang w:val="en-US" w:eastAsia="zh-CN"/>
        </w:rPr>
        <w:t>2</w:t>
      </w:r>
      <w:r>
        <w:rPr>
          <w:rFonts w:asciiTheme="minorHAnsi" w:eastAsiaTheme="minorEastAsia" w:hAnsiTheme="minorHAnsi" w:cstheme="minorBidi"/>
          <w:sz w:val="22"/>
          <w:szCs w:val="22"/>
        </w:rPr>
        <w:tab/>
      </w:r>
      <w:r>
        <w:t xml:space="preserve">NR </w:t>
      </w:r>
      <w:r w:rsidRPr="00DD4EB8">
        <w:rPr>
          <w:rFonts w:eastAsia="SimSun"/>
          <w:lang w:eastAsia="zh-CN"/>
        </w:rPr>
        <w:t>IAB-MT</w:t>
      </w:r>
      <w:r>
        <w:t xml:space="preserve"> Transmit Timing Test for FR</w:t>
      </w:r>
      <w:r w:rsidRPr="00DD4EB8">
        <w:rPr>
          <w:rFonts w:eastAsia="SimSun"/>
          <w:lang w:val="en-US" w:eastAsia="zh-CN"/>
        </w:rPr>
        <w:t>2</w:t>
      </w:r>
      <w:r>
        <w:tab/>
      </w:r>
      <w:r>
        <w:fldChar w:fldCharType="begin"/>
      </w:r>
      <w:r>
        <w:instrText xml:space="preserve"> PAGEREF _Toc106184420 \h </w:instrText>
      </w:r>
      <w:r>
        <w:fldChar w:fldCharType="separate"/>
      </w:r>
      <w:r>
        <w:t>253</w:t>
      </w:r>
      <w:r>
        <w:fldChar w:fldCharType="end"/>
      </w:r>
    </w:p>
    <w:p w14:paraId="73F1907C" w14:textId="1A3FCFD1" w:rsidR="003C625C" w:rsidRDefault="003C625C">
      <w:pPr>
        <w:pStyle w:val="TOC3"/>
        <w:rPr>
          <w:rFonts w:asciiTheme="minorHAnsi" w:eastAsiaTheme="minorEastAsia" w:hAnsiTheme="minorHAnsi" w:cstheme="minorBidi"/>
          <w:sz w:val="22"/>
          <w:szCs w:val="22"/>
        </w:rPr>
      </w:pPr>
      <w:r>
        <w:t>G.2.3</w:t>
      </w:r>
      <w:r>
        <w:rPr>
          <w:rFonts w:asciiTheme="minorHAnsi" w:eastAsiaTheme="minorEastAsia" w:hAnsiTheme="minorHAnsi" w:cstheme="minorBidi"/>
          <w:sz w:val="22"/>
          <w:szCs w:val="22"/>
        </w:rPr>
        <w:tab/>
      </w:r>
      <w:r>
        <w:t>Signalling Characteristics for IAB MTs</w:t>
      </w:r>
      <w:r>
        <w:tab/>
      </w:r>
      <w:r>
        <w:fldChar w:fldCharType="begin"/>
      </w:r>
      <w:r>
        <w:instrText xml:space="preserve"> PAGEREF _Toc106184421 \h </w:instrText>
      </w:r>
      <w:r>
        <w:fldChar w:fldCharType="separate"/>
      </w:r>
      <w:r>
        <w:t>256</w:t>
      </w:r>
      <w:r>
        <w:fldChar w:fldCharType="end"/>
      </w:r>
    </w:p>
    <w:p w14:paraId="1540D5D1" w14:textId="104E4272" w:rsidR="003C625C" w:rsidRDefault="003C625C">
      <w:pPr>
        <w:pStyle w:val="TOC4"/>
        <w:rPr>
          <w:rFonts w:asciiTheme="minorHAnsi" w:eastAsiaTheme="minorEastAsia" w:hAnsiTheme="minorHAnsi" w:cstheme="minorBidi"/>
          <w:sz w:val="22"/>
          <w:szCs w:val="22"/>
        </w:rPr>
      </w:pPr>
      <w:r>
        <w:t>G.2.3.1</w:t>
      </w:r>
      <w:r>
        <w:rPr>
          <w:rFonts w:asciiTheme="minorHAnsi" w:eastAsiaTheme="minorEastAsia" w:hAnsiTheme="minorHAnsi" w:cstheme="minorBidi"/>
          <w:sz w:val="22"/>
          <w:szCs w:val="22"/>
        </w:rPr>
        <w:tab/>
      </w:r>
      <w:r>
        <w:t>Radio link Monitoring</w:t>
      </w:r>
      <w:r>
        <w:tab/>
      </w:r>
      <w:r>
        <w:fldChar w:fldCharType="begin"/>
      </w:r>
      <w:r>
        <w:instrText xml:space="preserve"> PAGEREF _Toc106184422 \h </w:instrText>
      </w:r>
      <w:r>
        <w:fldChar w:fldCharType="separate"/>
      </w:r>
      <w:r>
        <w:t>256</w:t>
      </w:r>
      <w:r>
        <w:fldChar w:fldCharType="end"/>
      </w:r>
    </w:p>
    <w:p w14:paraId="735774A3" w14:textId="50FF2146" w:rsidR="003C625C" w:rsidRDefault="003C625C">
      <w:pPr>
        <w:pStyle w:val="TOC5"/>
        <w:rPr>
          <w:rFonts w:asciiTheme="minorHAnsi" w:eastAsiaTheme="minorEastAsia" w:hAnsiTheme="minorHAnsi" w:cstheme="minorBidi"/>
          <w:sz w:val="22"/>
          <w:szCs w:val="22"/>
        </w:rPr>
      </w:pPr>
      <w:r w:rsidRPr="00DD4EB8">
        <w:rPr>
          <w:rFonts w:eastAsia="SimSun"/>
        </w:rPr>
        <w:t>G.2.3.1.1</w:t>
      </w:r>
      <w:r>
        <w:rPr>
          <w:rFonts w:asciiTheme="minorHAnsi" w:eastAsiaTheme="minorEastAsia" w:hAnsiTheme="minorHAnsi" w:cstheme="minorBidi"/>
          <w:sz w:val="22"/>
          <w:szCs w:val="22"/>
        </w:rPr>
        <w:tab/>
      </w:r>
      <w:r w:rsidRPr="00DD4EB8">
        <w:rPr>
          <w:rFonts w:eastAsia="SimSun"/>
        </w:rPr>
        <w:t>Radio Link Monitoring Out-of-sync Test for FR1 PCell configured with SSB-based RLM RS in non-DRX mode</w:t>
      </w:r>
      <w:r>
        <w:tab/>
      </w:r>
      <w:r>
        <w:fldChar w:fldCharType="begin"/>
      </w:r>
      <w:r>
        <w:instrText xml:space="preserve"> PAGEREF _Toc106184423 \h </w:instrText>
      </w:r>
      <w:r>
        <w:fldChar w:fldCharType="separate"/>
      </w:r>
      <w:r>
        <w:t>256</w:t>
      </w:r>
      <w:r>
        <w:fldChar w:fldCharType="end"/>
      </w:r>
    </w:p>
    <w:p w14:paraId="7D227684" w14:textId="462F43F5" w:rsidR="003C625C" w:rsidRDefault="003C625C">
      <w:pPr>
        <w:pStyle w:val="TOC5"/>
        <w:rPr>
          <w:rFonts w:asciiTheme="minorHAnsi" w:eastAsiaTheme="minorEastAsia" w:hAnsiTheme="minorHAnsi" w:cstheme="minorBidi"/>
          <w:sz w:val="22"/>
          <w:szCs w:val="22"/>
        </w:rPr>
      </w:pPr>
      <w:r w:rsidRPr="00DD4EB8">
        <w:rPr>
          <w:rFonts w:eastAsia="SimSun"/>
        </w:rPr>
        <w:t>G.2.3.1.2</w:t>
      </w:r>
      <w:r>
        <w:rPr>
          <w:rFonts w:asciiTheme="minorHAnsi" w:eastAsiaTheme="minorEastAsia" w:hAnsiTheme="minorHAnsi" w:cstheme="minorBidi"/>
          <w:sz w:val="22"/>
          <w:szCs w:val="22"/>
        </w:rPr>
        <w:tab/>
      </w:r>
      <w:r w:rsidRPr="00DD4EB8">
        <w:rPr>
          <w:rFonts w:eastAsia="SimSun"/>
        </w:rPr>
        <w:t>Radio Link Monitoring In-sync Test for FR1 PCell configured with SSB-based RLM RS in non-DRX mode</w:t>
      </w:r>
      <w:r>
        <w:tab/>
      </w:r>
      <w:r>
        <w:fldChar w:fldCharType="begin"/>
      </w:r>
      <w:r>
        <w:instrText xml:space="preserve"> PAGEREF _Toc106184424 \h </w:instrText>
      </w:r>
      <w:r>
        <w:fldChar w:fldCharType="separate"/>
      </w:r>
      <w:r>
        <w:t>259</w:t>
      </w:r>
      <w:r>
        <w:fldChar w:fldCharType="end"/>
      </w:r>
    </w:p>
    <w:p w14:paraId="2E2995F9" w14:textId="208465DA" w:rsidR="003C625C" w:rsidRDefault="003C625C">
      <w:pPr>
        <w:pStyle w:val="TOC5"/>
        <w:rPr>
          <w:rFonts w:asciiTheme="minorHAnsi" w:eastAsiaTheme="minorEastAsia" w:hAnsiTheme="minorHAnsi" w:cstheme="minorBidi"/>
          <w:sz w:val="22"/>
          <w:szCs w:val="22"/>
        </w:rPr>
      </w:pPr>
      <w:r w:rsidRPr="00DD4EB8">
        <w:rPr>
          <w:rFonts w:eastAsia="SimSun"/>
        </w:rPr>
        <w:t>G.2.3.1.3</w:t>
      </w:r>
      <w:r>
        <w:rPr>
          <w:rFonts w:asciiTheme="minorHAnsi" w:eastAsiaTheme="minorEastAsia" w:hAnsiTheme="minorHAnsi" w:cstheme="minorBidi"/>
          <w:sz w:val="22"/>
          <w:szCs w:val="22"/>
        </w:rPr>
        <w:tab/>
      </w:r>
      <w:r w:rsidRPr="00DD4EB8">
        <w:rPr>
          <w:rFonts w:eastAsia="SimSun"/>
        </w:rPr>
        <w:t>Radio Link Monitoring Out-of-sync Test for FR2 PCell configured with SSB-based RLM RS in non-DRX mode</w:t>
      </w:r>
      <w:r>
        <w:tab/>
      </w:r>
      <w:r>
        <w:fldChar w:fldCharType="begin"/>
      </w:r>
      <w:r>
        <w:instrText xml:space="preserve"> PAGEREF _Toc106184425 \h </w:instrText>
      </w:r>
      <w:r>
        <w:fldChar w:fldCharType="separate"/>
      </w:r>
      <w:r>
        <w:t>263</w:t>
      </w:r>
      <w:r>
        <w:fldChar w:fldCharType="end"/>
      </w:r>
    </w:p>
    <w:p w14:paraId="0C6B3A37" w14:textId="61C3ABC3" w:rsidR="003C625C" w:rsidRDefault="003C625C">
      <w:pPr>
        <w:pStyle w:val="TOC5"/>
        <w:rPr>
          <w:rFonts w:asciiTheme="minorHAnsi" w:eastAsiaTheme="minorEastAsia" w:hAnsiTheme="minorHAnsi" w:cstheme="minorBidi"/>
          <w:sz w:val="22"/>
          <w:szCs w:val="22"/>
        </w:rPr>
      </w:pPr>
      <w:r w:rsidRPr="00DD4EB8">
        <w:rPr>
          <w:rFonts w:eastAsia="SimSun"/>
        </w:rPr>
        <w:t>G.2.3.1.4</w:t>
      </w:r>
      <w:r>
        <w:rPr>
          <w:rFonts w:asciiTheme="minorHAnsi" w:eastAsiaTheme="minorEastAsia" w:hAnsiTheme="minorHAnsi" w:cstheme="minorBidi"/>
          <w:sz w:val="22"/>
          <w:szCs w:val="22"/>
        </w:rPr>
        <w:tab/>
      </w:r>
      <w:r w:rsidRPr="00DD4EB8">
        <w:rPr>
          <w:rFonts w:eastAsia="SimSun"/>
        </w:rPr>
        <w:t>Radio Link Monitoring In-sync Test for FR2 PCell configured with SSB-based RLM RS in non-DRX mode</w:t>
      </w:r>
      <w:r>
        <w:tab/>
      </w:r>
      <w:r>
        <w:fldChar w:fldCharType="begin"/>
      </w:r>
      <w:r>
        <w:instrText xml:space="preserve"> PAGEREF _Toc106184426 \h </w:instrText>
      </w:r>
      <w:r>
        <w:fldChar w:fldCharType="separate"/>
      </w:r>
      <w:r>
        <w:t>266</w:t>
      </w:r>
      <w:r>
        <w:fldChar w:fldCharType="end"/>
      </w:r>
    </w:p>
    <w:p w14:paraId="08A511C5" w14:textId="61C2B799" w:rsidR="003C625C" w:rsidRDefault="003C625C">
      <w:pPr>
        <w:pStyle w:val="TOC5"/>
        <w:rPr>
          <w:rFonts w:asciiTheme="minorHAnsi" w:eastAsiaTheme="minorEastAsia" w:hAnsiTheme="minorHAnsi" w:cstheme="minorBidi"/>
          <w:sz w:val="22"/>
          <w:szCs w:val="22"/>
        </w:rPr>
      </w:pPr>
      <w:r w:rsidRPr="00DD4EB8">
        <w:rPr>
          <w:rFonts w:eastAsia="SimSun"/>
        </w:rPr>
        <w:t>G.2.3.1.5</w:t>
      </w:r>
      <w:r>
        <w:rPr>
          <w:rFonts w:asciiTheme="minorHAnsi" w:eastAsiaTheme="minorEastAsia" w:hAnsiTheme="minorHAnsi" w:cstheme="minorBidi"/>
          <w:sz w:val="22"/>
          <w:szCs w:val="22"/>
        </w:rPr>
        <w:tab/>
      </w:r>
      <w:r w:rsidRPr="00DD4EB8">
        <w:rPr>
          <w:rFonts w:eastAsia="SimSun"/>
        </w:rPr>
        <w:t>Radio Link Monitoring Out-of-sync Test for FR1 PCell configured with CSI-RS-based RLM in non-DRX mode</w:t>
      </w:r>
      <w:r>
        <w:tab/>
      </w:r>
      <w:r>
        <w:fldChar w:fldCharType="begin"/>
      </w:r>
      <w:r>
        <w:instrText xml:space="preserve"> PAGEREF _Toc106184427 \h </w:instrText>
      </w:r>
      <w:r>
        <w:fldChar w:fldCharType="separate"/>
      </w:r>
      <w:r>
        <w:t>270</w:t>
      </w:r>
      <w:r>
        <w:fldChar w:fldCharType="end"/>
      </w:r>
    </w:p>
    <w:p w14:paraId="3FA7787A" w14:textId="6CBC7A19" w:rsidR="003C625C" w:rsidRDefault="003C625C">
      <w:pPr>
        <w:pStyle w:val="TOC5"/>
        <w:rPr>
          <w:rFonts w:asciiTheme="minorHAnsi" w:eastAsiaTheme="minorEastAsia" w:hAnsiTheme="minorHAnsi" w:cstheme="minorBidi"/>
          <w:sz w:val="22"/>
          <w:szCs w:val="22"/>
        </w:rPr>
      </w:pPr>
      <w:r w:rsidRPr="00DD4EB8">
        <w:rPr>
          <w:rFonts w:eastAsia="SimSun"/>
        </w:rPr>
        <w:t>G.2.3.1.6</w:t>
      </w:r>
      <w:r>
        <w:rPr>
          <w:rFonts w:asciiTheme="minorHAnsi" w:eastAsiaTheme="minorEastAsia" w:hAnsiTheme="minorHAnsi" w:cstheme="minorBidi"/>
          <w:sz w:val="22"/>
          <w:szCs w:val="22"/>
        </w:rPr>
        <w:tab/>
      </w:r>
      <w:r w:rsidRPr="00DD4EB8">
        <w:rPr>
          <w:rFonts w:eastAsia="SimSun"/>
        </w:rPr>
        <w:t>Radio Link Monitoring In-sync Test for FR1 PCell configured with CSI-RS-based RLM in non-DRX mode</w:t>
      </w:r>
      <w:r>
        <w:tab/>
      </w:r>
      <w:r>
        <w:fldChar w:fldCharType="begin"/>
      </w:r>
      <w:r>
        <w:instrText xml:space="preserve"> PAGEREF _Toc106184428 \h </w:instrText>
      </w:r>
      <w:r>
        <w:fldChar w:fldCharType="separate"/>
      </w:r>
      <w:r>
        <w:t>273</w:t>
      </w:r>
      <w:r>
        <w:fldChar w:fldCharType="end"/>
      </w:r>
    </w:p>
    <w:p w14:paraId="16C5A5DB" w14:textId="2E8E6B1D" w:rsidR="003C625C" w:rsidRDefault="003C625C">
      <w:pPr>
        <w:pStyle w:val="TOC5"/>
        <w:rPr>
          <w:rFonts w:asciiTheme="minorHAnsi" w:eastAsiaTheme="minorEastAsia" w:hAnsiTheme="minorHAnsi" w:cstheme="minorBidi"/>
          <w:sz w:val="22"/>
          <w:szCs w:val="22"/>
        </w:rPr>
      </w:pPr>
      <w:r>
        <w:t>G.2.3.1.7</w:t>
      </w:r>
      <w:r>
        <w:rPr>
          <w:rFonts w:asciiTheme="minorHAnsi" w:eastAsiaTheme="minorEastAsia" w:hAnsiTheme="minorHAnsi" w:cstheme="minorBidi"/>
          <w:sz w:val="22"/>
          <w:szCs w:val="22"/>
        </w:rPr>
        <w:tab/>
      </w:r>
      <w:r>
        <w:t>Radio Link Monitoring Out-of-sync Test for FR2 PCell configured with CSI-RS-based RLM in non-DRX mode</w:t>
      </w:r>
      <w:r>
        <w:tab/>
      </w:r>
      <w:r>
        <w:fldChar w:fldCharType="begin"/>
      </w:r>
      <w:r>
        <w:instrText xml:space="preserve"> PAGEREF _Toc106184429 \h </w:instrText>
      </w:r>
      <w:r>
        <w:fldChar w:fldCharType="separate"/>
      </w:r>
      <w:r>
        <w:t>276</w:t>
      </w:r>
      <w:r>
        <w:fldChar w:fldCharType="end"/>
      </w:r>
    </w:p>
    <w:p w14:paraId="37788B9D" w14:textId="7A38034E" w:rsidR="003C625C" w:rsidRDefault="003C625C">
      <w:pPr>
        <w:pStyle w:val="TOC5"/>
        <w:rPr>
          <w:rFonts w:asciiTheme="minorHAnsi" w:eastAsiaTheme="minorEastAsia" w:hAnsiTheme="minorHAnsi" w:cstheme="minorBidi"/>
          <w:sz w:val="22"/>
          <w:szCs w:val="22"/>
        </w:rPr>
      </w:pPr>
      <w:r>
        <w:t>G.2.3.1.8</w:t>
      </w:r>
      <w:r>
        <w:rPr>
          <w:rFonts w:asciiTheme="minorHAnsi" w:eastAsiaTheme="minorEastAsia" w:hAnsiTheme="minorHAnsi" w:cstheme="minorBidi"/>
          <w:sz w:val="22"/>
          <w:szCs w:val="22"/>
        </w:rPr>
        <w:tab/>
      </w:r>
      <w:r>
        <w:t>Radio Link Monitoring In-sync Test for FR2 PCell configured with CSI-RS-based RLM in non-DRX mode</w:t>
      </w:r>
      <w:r>
        <w:tab/>
      </w:r>
      <w:r>
        <w:fldChar w:fldCharType="begin"/>
      </w:r>
      <w:r>
        <w:instrText xml:space="preserve"> PAGEREF _Toc106184430 \h </w:instrText>
      </w:r>
      <w:r>
        <w:fldChar w:fldCharType="separate"/>
      </w:r>
      <w:r>
        <w:t>279</w:t>
      </w:r>
      <w:r>
        <w:fldChar w:fldCharType="end"/>
      </w:r>
    </w:p>
    <w:p w14:paraId="2690E3B3" w14:textId="7F9E7F7C" w:rsidR="003C625C" w:rsidRDefault="003C625C">
      <w:pPr>
        <w:pStyle w:val="TOC4"/>
        <w:rPr>
          <w:rFonts w:asciiTheme="minorHAnsi" w:eastAsiaTheme="minorEastAsia" w:hAnsiTheme="minorHAnsi" w:cstheme="minorBidi"/>
          <w:sz w:val="22"/>
          <w:szCs w:val="22"/>
        </w:rPr>
      </w:pPr>
      <w:r>
        <w:t>G.2.3.2</w:t>
      </w:r>
      <w:r>
        <w:rPr>
          <w:rFonts w:asciiTheme="minorHAnsi" w:eastAsiaTheme="minorEastAsia" w:hAnsiTheme="minorHAnsi" w:cstheme="minorBidi"/>
          <w:sz w:val="22"/>
          <w:szCs w:val="22"/>
        </w:rPr>
        <w:tab/>
      </w:r>
      <w:r>
        <w:t>Beam Failure Detection and Link Recovery Procedure</w:t>
      </w:r>
      <w:r>
        <w:tab/>
      </w:r>
      <w:r>
        <w:fldChar w:fldCharType="begin"/>
      </w:r>
      <w:r>
        <w:instrText xml:space="preserve"> PAGEREF _Toc106184431 \h </w:instrText>
      </w:r>
      <w:r>
        <w:fldChar w:fldCharType="separate"/>
      </w:r>
      <w:r>
        <w:t>282</w:t>
      </w:r>
      <w:r>
        <w:fldChar w:fldCharType="end"/>
      </w:r>
    </w:p>
    <w:p w14:paraId="1F7BFF74" w14:textId="7C6EFC57" w:rsidR="003C625C" w:rsidRDefault="003C625C">
      <w:pPr>
        <w:pStyle w:val="TOC5"/>
        <w:rPr>
          <w:rFonts w:asciiTheme="minorHAnsi" w:eastAsiaTheme="minorEastAsia" w:hAnsiTheme="minorHAnsi" w:cstheme="minorBidi"/>
          <w:sz w:val="22"/>
          <w:szCs w:val="22"/>
        </w:rPr>
      </w:pPr>
      <w:r w:rsidRPr="00DD4EB8">
        <w:rPr>
          <w:rFonts w:eastAsia="SimSun"/>
          <w:lang w:val="en-US" w:eastAsia="zh-CN"/>
        </w:rPr>
        <w:t>G.2.3.2</w:t>
      </w:r>
      <w:r>
        <w:t>.1</w:t>
      </w:r>
      <w:r w:rsidRPr="00DD4EB8">
        <w:rPr>
          <w:rFonts w:eastAsia="SimSun"/>
          <w:lang w:val="en-US" w:eastAsia="zh-CN"/>
        </w:rPr>
        <w:t xml:space="preserve"> Beam Failure Detection and Link Recovery Test for FR1 </w:t>
      </w:r>
      <w:r w:rsidRPr="00DD4EB8">
        <w:rPr>
          <w:rFonts w:eastAsia="MS Mincho" w:cs="Arial"/>
        </w:rPr>
        <w:t>PCell configured with SSB-based BFD and LR</w:t>
      </w:r>
      <w:r>
        <w:tab/>
      </w:r>
      <w:r>
        <w:fldChar w:fldCharType="begin"/>
      </w:r>
      <w:r>
        <w:instrText xml:space="preserve"> PAGEREF _Toc106184432 \h </w:instrText>
      </w:r>
      <w:r>
        <w:fldChar w:fldCharType="separate"/>
      </w:r>
      <w:r>
        <w:t>282</w:t>
      </w:r>
      <w:r>
        <w:fldChar w:fldCharType="end"/>
      </w:r>
    </w:p>
    <w:p w14:paraId="7303CC2B" w14:textId="702E649B" w:rsidR="003C625C" w:rsidRDefault="003C625C">
      <w:pPr>
        <w:pStyle w:val="TOC5"/>
        <w:rPr>
          <w:rFonts w:asciiTheme="minorHAnsi" w:eastAsiaTheme="minorEastAsia" w:hAnsiTheme="minorHAnsi" w:cstheme="minorBidi"/>
          <w:sz w:val="22"/>
          <w:szCs w:val="22"/>
        </w:rPr>
      </w:pPr>
      <w:r>
        <w:t>G.2.3.2.2</w:t>
      </w:r>
      <w:r>
        <w:rPr>
          <w:rFonts w:asciiTheme="minorHAnsi" w:eastAsiaTheme="minorEastAsia" w:hAnsiTheme="minorHAnsi" w:cstheme="minorBidi"/>
          <w:sz w:val="22"/>
          <w:szCs w:val="22"/>
        </w:rPr>
        <w:tab/>
      </w:r>
      <w:r>
        <w:t>Beam Failure Detection and Link Recovery Test for FR2 PCell configured with SSB-based BFD and LR</w:t>
      </w:r>
      <w:r>
        <w:tab/>
      </w:r>
      <w:r>
        <w:fldChar w:fldCharType="begin"/>
      </w:r>
      <w:r>
        <w:instrText xml:space="preserve"> PAGEREF _Toc106184433 \h </w:instrText>
      </w:r>
      <w:r>
        <w:fldChar w:fldCharType="separate"/>
      </w:r>
      <w:r>
        <w:t>286</w:t>
      </w:r>
      <w:r>
        <w:fldChar w:fldCharType="end"/>
      </w:r>
    </w:p>
    <w:p w14:paraId="73BC9550" w14:textId="003FF15A" w:rsidR="003C625C" w:rsidRDefault="003C625C">
      <w:pPr>
        <w:pStyle w:val="TOC5"/>
        <w:rPr>
          <w:rFonts w:asciiTheme="minorHAnsi" w:eastAsiaTheme="minorEastAsia" w:hAnsiTheme="minorHAnsi" w:cstheme="minorBidi"/>
          <w:sz w:val="22"/>
          <w:szCs w:val="22"/>
        </w:rPr>
      </w:pPr>
      <w:r w:rsidRPr="00DD4EB8">
        <w:rPr>
          <w:rFonts w:eastAsia="SimSun"/>
          <w:lang w:val="en-US" w:eastAsia="zh-CN"/>
        </w:rPr>
        <w:t>G.2.3.2</w:t>
      </w:r>
      <w:r>
        <w:t>.</w:t>
      </w:r>
      <w:r w:rsidRPr="00DD4EB8">
        <w:rPr>
          <w:rFonts w:eastAsia="SimSun"/>
          <w:lang w:val="en-US" w:eastAsia="zh-CN"/>
        </w:rPr>
        <w:t xml:space="preserve">3 Beam Failure Detection and Link Recovery Test for FR1 </w:t>
      </w:r>
      <w:r w:rsidRPr="00DD4EB8">
        <w:rPr>
          <w:rFonts w:eastAsia="MS Mincho" w:cs="Arial"/>
        </w:rPr>
        <w:t xml:space="preserve">PCell configured with </w:t>
      </w:r>
      <w:r w:rsidRPr="00DD4EB8">
        <w:rPr>
          <w:rFonts w:eastAsia="SimSun" w:cs="Arial"/>
          <w:lang w:val="en-US" w:eastAsia="zh-CN"/>
        </w:rPr>
        <w:t>CSI-RS</w:t>
      </w:r>
      <w:r w:rsidRPr="00DD4EB8">
        <w:rPr>
          <w:rFonts w:eastAsia="MS Mincho" w:cs="Arial"/>
        </w:rPr>
        <w:t>-based BFD and LR</w:t>
      </w:r>
      <w:r>
        <w:tab/>
      </w:r>
      <w:r>
        <w:fldChar w:fldCharType="begin"/>
      </w:r>
      <w:r>
        <w:instrText xml:space="preserve"> PAGEREF _Toc106184434 \h </w:instrText>
      </w:r>
      <w:r>
        <w:fldChar w:fldCharType="separate"/>
      </w:r>
      <w:r>
        <w:t>292</w:t>
      </w:r>
      <w:r>
        <w:fldChar w:fldCharType="end"/>
      </w:r>
    </w:p>
    <w:p w14:paraId="24B91C78" w14:textId="215C1586" w:rsidR="003C625C" w:rsidRDefault="003C625C">
      <w:pPr>
        <w:pStyle w:val="TOC5"/>
        <w:rPr>
          <w:rFonts w:asciiTheme="minorHAnsi" w:eastAsiaTheme="minorEastAsia" w:hAnsiTheme="minorHAnsi" w:cstheme="minorBidi"/>
          <w:sz w:val="22"/>
          <w:szCs w:val="22"/>
        </w:rPr>
      </w:pPr>
      <w:r w:rsidRPr="00DD4EB8">
        <w:rPr>
          <w:rFonts w:eastAsia="SimSun"/>
        </w:rPr>
        <w:t>G.2.3.2.4</w:t>
      </w:r>
      <w:r>
        <w:rPr>
          <w:rFonts w:asciiTheme="minorHAnsi" w:eastAsiaTheme="minorEastAsia" w:hAnsiTheme="minorHAnsi" w:cstheme="minorBidi"/>
          <w:sz w:val="22"/>
          <w:szCs w:val="22"/>
        </w:rPr>
        <w:tab/>
      </w:r>
      <w:r w:rsidRPr="00DD4EB8">
        <w:rPr>
          <w:rFonts w:eastAsia="SimSun"/>
        </w:rPr>
        <w:t>Beam Failure Detection and Link Recovery Test for FR2 PCell configured with CSI-RS-based BFD and LR in non-DRX mode</w:t>
      </w:r>
      <w:r>
        <w:tab/>
      </w:r>
      <w:r>
        <w:fldChar w:fldCharType="begin"/>
      </w:r>
      <w:r>
        <w:instrText xml:space="preserve"> PAGEREF _Toc106184435 \h </w:instrText>
      </w:r>
      <w:r>
        <w:fldChar w:fldCharType="separate"/>
      </w:r>
      <w:r>
        <w:t>296</w:t>
      </w:r>
      <w:r>
        <w:fldChar w:fldCharType="end"/>
      </w:r>
    </w:p>
    <w:p w14:paraId="6C85EB8D" w14:textId="0B07F0D8" w:rsidR="003C625C" w:rsidRDefault="003C625C">
      <w:pPr>
        <w:pStyle w:val="TOC8"/>
        <w:rPr>
          <w:rFonts w:asciiTheme="minorHAnsi" w:eastAsiaTheme="minorEastAsia" w:hAnsiTheme="minorHAnsi" w:cstheme="minorBidi"/>
          <w:b w:val="0"/>
          <w:szCs w:val="22"/>
        </w:rPr>
      </w:pPr>
      <w:r w:rsidRPr="00DD4EB8">
        <w:rPr>
          <w:rFonts w:eastAsia="SimSun"/>
        </w:rPr>
        <w:t>Annex H (normative): Conditions for IAB-MT RRM requirements applicability for operating bands</w:t>
      </w:r>
      <w:r>
        <w:tab/>
      </w:r>
      <w:r>
        <w:fldChar w:fldCharType="begin"/>
      </w:r>
      <w:r>
        <w:instrText xml:space="preserve"> PAGEREF _Toc106184436 \h </w:instrText>
      </w:r>
      <w:r>
        <w:fldChar w:fldCharType="separate"/>
      </w:r>
      <w:r>
        <w:t>300</w:t>
      </w:r>
      <w:r>
        <w:fldChar w:fldCharType="end"/>
      </w:r>
    </w:p>
    <w:p w14:paraId="68AA76C2" w14:textId="52C50290" w:rsidR="003C625C" w:rsidRDefault="003C625C">
      <w:pPr>
        <w:pStyle w:val="TOC2"/>
        <w:rPr>
          <w:rFonts w:asciiTheme="minorHAnsi" w:eastAsiaTheme="minorEastAsia" w:hAnsiTheme="minorHAnsi" w:cstheme="minorBidi"/>
          <w:sz w:val="22"/>
          <w:szCs w:val="22"/>
        </w:rPr>
      </w:pPr>
      <w:r w:rsidRPr="00DD4EB8">
        <w:rPr>
          <w:rFonts w:eastAsiaTheme="minorEastAsia"/>
        </w:rPr>
        <w:t>H.1</w:t>
      </w:r>
      <w:r>
        <w:rPr>
          <w:rFonts w:asciiTheme="minorHAnsi" w:eastAsiaTheme="minorEastAsia" w:hAnsiTheme="minorHAnsi" w:cstheme="minorBidi"/>
          <w:sz w:val="22"/>
          <w:szCs w:val="22"/>
        </w:rPr>
        <w:tab/>
      </w:r>
      <w:r w:rsidRPr="00DD4EB8">
        <w:rPr>
          <w:rFonts w:eastAsiaTheme="minorEastAsia"/>
        </w:rPr>
        <w:t>Conditions for RRC_CONNECTED state mobility for IAB-MT</w:t>
      </w:r>
      <w:r>
        <w:tab/>
      </w:r>
      <w:r>
        <w:fldChar w:fldCharType="begin"/>
      </w:r>
      <w:r>
        <w:instrText xml:space="preserve"> PAGEREF _Toc106184437 \h </w:instrText>
      </w:r>
      <w:r>
        <w:fldChar w:fldCharType="separate"/>
      </w:r>
      <w:r>
        <w:t>300</w:t>
      </w:r>
      <w:r>
        <w:fldChar w:fldCharType="end"/>
      </w:r>
    </w:p>
    <w:p w14:paraId="6E9AD81A" w14:textId="2C2F68F9" w:rsidR="003C625C" w:rsidRDefault="003C625C">
      <w:pPr>
        <w:pStyle w:val="TOC3"/>
        <w:rPr>
          <w:rFonts w:asciiTheme="minorHAnsi" w:eastAsiaTheme="minorEastAsia" w:hAnsiTheme="minorHAnsi" w:cstheme="minorBidi"/>
          <w:sz w:val="22"/>
          <w:szCs w:val="22"/>
        </w:rPr>
      </w:pPr>
      <w:r w:rsidRPr="00DD4EB8">
        <w:rPr>
          <w:rFonts w:eastAsiaTheme="minorEastAsia"/>
        </w:rPr>
        <w:t>H.1.1</w:t>
      </w:r>
      <w:r>
        <w:rPr>
          <w:rFonts w:asciiTheme="minorHAnsi" w:eastAsiaTheme="minorEastAsia" w:hAnsiTheme="minorHAnsi" w:cstheme="minorBidi"/>
          <w:sz w:val="22"/>
          <w:szCs w:val="22"/>
        </w:rPr>
        <w:tab/>
      </w:r>
      <w:r w:rsidRPr="00DD4EB8">
        <w:rPr>
          <w:rFonts w:eastAsiaTheme="minorEastAsia"/>
        </w:rPr>
        <w:t>Introduction</w:t>
      </w:r>
      <w:r>
        <w:tab/>
      </w:r>
      <w:r>
        <w:fldChar w:fldCharType="begin"/>
      </w:r>
      <w:r>
        <w:instrText xml:space="preserve"> PAGEREF _Toc106184438 \h </w:instrText>
      </w:r>
      <w:r>
        <w:fldChar w:fldCharType="separate"/>
      </w:r>
      <w:r>
        <w:t>300</w:t>
      </w:r>
      <w:r>
        <w:fldChar w:fldCharType="end"/>
      </w:r>
    </w:p>
    <w:p w14:paraId="45613F4D" w14:textId="7DB01591"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H.1.1.1</w:t>
      </w:r>
      <w:r>
        <w:rPr>
          <w:rFonts w:asciiTheme="minorHAnsi" w:eastAsiaTheme="minorEastAsia" w:hAnsiTheme="minorHAnsi" w:cstheme="minorBidi"/>
          <w:sz w:val="22"/>
          <w:szCs w:val="22"/>
        </w:rPr>
        <w:tab/>
      </w:r>
      <w:r w:rsidRPr="00DD4EB8">
        <w:rPr>
          <w:rFonts w:eastAsiaTheme="minorEastAsia"/>
          <w:snapToGrid w:val="0"/>
        </w:rPr>
        <w:t>Conditions for Measurements on NR Intra-frequency Cells for RRC Connection Re-establishment</w:t>
      </w:r>
      <w:r>
        <w:tab/>
      </w:r>
      <w:r>
        <w:fldChar w:fldCharType="begin"/>
      </w:r>
      <w:r>
        <w:instrText xml:space="preserve"> PAGEREF _Toc106184439 \h </w:instrText>
      </w:r>
      <w:r>
        <w:fldChar w:fldCharType="separate"/>
      </w:r>
      <w:r>
        <w:t>301</w:t>
      </w:r>
      <w:r>
        <w:fldChar w:fldCharType="end"/>
      </w:r>
    </w:p>
    <w:p w14:paraId="3EC64F81" w14:textId="78701EB3"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H.1.1.2</w:t>
      </w:r>
      <w:r>
        <w:rPr>
          <w:rFonts w:asciiTheme="minorHAnsi" w:eastAsiaTheme="minorEastAsia" w:hAnsiTheme="minorHAnsi" w:cstheme="minorBidi"/>
          <w:sz w:val="22"/>
          <w:szCs w:val="22"/>
        </w:rPr>
        <w:tab/>
      </w:r>
      <w:r w:rsidRPr="00DD4EB8">
        <w:rPr>
          <w:rFonts w:eastAsiaTheme="minorEastAsia"/>
          <w:snapToGrid w:val="0"/>
        </w:rPr>
        <w:t>Conditions for Measurements on NR Inter-frequency Cells for RRC Connection Re-establishment</w:t>
      </w:r>
      <w:r>
        <w:tab/>
      </w:r>
      <w:r>
        <w:fldChar w:fldCharType="begin"/>
      </w:r>
      <w:r>
        <w:instrText xml:space="preserve"> PAGEREF _Toc106184440 \h </w:instrText>
      </w:r>
      <w:r>
        <w:fldChar w:fldCharType="separate"/>
      </w:r>
      <w:r>
        <w:t>302</w:t>
      </w:r>
      <w:r>
        <w:fldChar w:fldCharType="end"/>
      </w:r>
    </w:p>
    <w:p w14:paraId="58E4DC3B" w14:textId="53B1B0F0" w:rsidR="003C625C" w:rsidRDefault="003C625C">
      <w:pPr>
        <w:pStyle w:val="TOC4"/>
        <w:rPr>
          <w:rFonts w:asciiTheme="minorHAnsi" w:eastAsiaTheme="minorEastAsia" w:hAnsiTheme="minorHAnsi" w:cstheme="minorBidi"/>
          <w:sz w:val="22"/>
          <w:szCs w:val="22"/>
        </w:rPr>
      </w:pPr>
      <w:r w:rsidRPr="00DD4EB8">
        <w:rPr>
          <w:rFonts w:eastAsiaTheme="minorEastAsia"/>
          <w:snapToGrid w:val="0"/>
        </w:rPr>
        <w:t>H.1.1.3</w:t>
      </w:r>
      <w:r>
        <w:rPr>
          <w:rFonts w:asciiTheme="minorHAnsi" w:eastAsiaTheme="minorEastAsia" w:hAnsiTheme="minorHAnsi" w:cstheme="minorBidi"/>
          <w:sz w:val="22"/>
          <w:szCs w:val="22"/>
        </w:rPr>
        <w:tab/>
      </w:r>
      <w:r w:rsidRPr="00DD4EB8">
        <w:rPr>
          <w:rFonts w:eastAsiaTheme="minorEastAsia"/>
          <w:snapToGrid w:val="0"/>
        </w:rPr>
        <w:t>Conditions for Measurements on NR Cells for RRC Connection Release with Redirection</w:t>
      </w:r>
      <w:r>
        <w:tab/>
      </w:r>
      <w:r>
        <w:fldChar w:fldCharType="begin"/>
      </w:r>
      <w:r>
        <w:instrText xml:space="preserve"> PAGEREF _Toc106184441 \h </w:instrText>
      </w:r>
      <w:r>
        <w:fldChar w:fldCharType="separate"/>
      </w:r>
      <w:r>
        <w:t>303</w:t>
      </w:r>
      <w:r>
        <w:fldChar w:fldCharType="end"/>
      </w:r>
    </w:p>
    <w:p w14:paraId="5EE1B180" w14:textId="4EC1DF35" w:rsidR="003C625C" w:rsidRDefault="003C625C">
      <w:pPr>
        <w:pStyle w:val="TOC8"/>
        <w:rPr>
          <w:rFonts w:asciiTheme="minorHAnsi" w:eastAsiaTheme="minorEastAsia" w:hAnsiTheme="minorHAnsi" w:cstheme="minorBidi"/>
          <w:b w:val="0"/>
          <w:szCs w:val="22"/>
        </w:rPr>
      </w:pPr>
      <w:r>
        <w:t>Annex I (</w:t>
      </w:r>
      <w:r w:rsidRPr="00DD4EB8">
        <w:rPr>
          <w:lang w:val="fr-FR"/>
        </w:rPr>
        <w:t>normative</w:t>
      </w:r>
      <w:r>
        <w:t>):</w:t>
      </w:r>
      <w:r>
        <w:rPr>
          <w:lang w:eastAsia="en-CA"/>
        </w:rPr>
        <w:t xml:space="preserve">  </w:t>
      </w:r>
      <w:r w:rsidRPr="00DD4EB8">
        <w:rPr>
          <w:lang w:val="fr-FR"/>
        </w:rPr>
        <w:t>Propagation conditions</w:t>
      </w:r>
      <w:r>
        <w:tab/>
      </w:r>
      <w:r>
        <w:fldChar w:fldCharType="begin"/>
      </w:r>
      <w:r>
        <w:instrText xml:space="preserve"> PAGEREF _Toc106184442 \h </w:instrText>
      </w:r>
      <w:r>
        <w:fldChar w:fldCharType="separate"/>
      </w:r>
      <w:r>
        <w:t>304</w:t>
      </w:r>
      <w:r>
        <w:fldChar w:fldCharType="end"/>
      </w:r>
    </w:p>
    <w:p w14:paraId="13637530" w14:textId="5A1F0330" w:rsidR="003C625C" w:rsidRDefault="003C625C">
      <w:pPr>
        <w:pStyle w:val="TOC2"/>
        <w:rPr>
          <w:rFonts w:asciiTheme="minorHAnsi" w:eastAsiaTheme="minorEastAsia" w:hAnsiTheme="minorHAnsi" w:cstheme="minorBidi"/>
          <w:sz w:val="22"/>
          <w:szCs w:val="22"/>
        </w:rPr>
      </w:pPr>
      <w:r>
        <w:t>I.1</w:t>
      </w:r>
      <w:r>
        <w:rPr>
          <w:rFonts w:asciiTheme="minorHAnsi" w:eastAsiaTheme="minorEastAsia" w:hAnsiTheme="minorHAnsi" w:cstheme="minorBidi"/>
          <w:sz w:val="22"/>
          <w:szCs w:val="22"/>
        </w:rPr>
        <w:tab/>
      </w:r>
      <w:r>
        <w:t xml:space="preserve"> Static propagation condition</w:t>
      </w:r>
      <w:r>
        <w:tab/>
      </w:r>
      <w:r>
        <w:fldChar w:fldCharType="begin"/>
      </w:r>
      <w:r>
        <w:instrText xml:space="preserve"> PAGEREF _Toc106184443 \h </w:instrText>
      </w:r>
      <w:r>
        <w:fldChar w:fldCharType="separate"/>
      </w:r>
      <w:r>
        <w:t>304</w:t>
      </w:r>
      <w:r>
        <w:fldChar w:fldCharType="end"/>
      </w:r>
    </w:p>
    <w:p w14:paraId="69936550" w14:textId="7040C6DF" w:rsidR="003C625C" w:rsidRDefault="003C625C">
      <w:pPr>
        <w:pStyle w:val="TOC3"/>
        <w:rPr>
          <w:rFonts w:asciiTheme="minorHAnsi" w:eastAsiaTheme="minorEastAsia" w:hAnsiTheme="minorHAnsi" w:cstheme="minorBidi"/>
          <w:sz w:val="22"/>
          <w:szCs w:val="22"/>
        </w:rPr>
      </w:pPr>
      <w:r>
        <w:t>I.1.1</w:t>
      </w:r>
      <w:r>
        <w:rPr>
          <w:rFonts w:asciiTheme="minorHAnsi" w:eastAsiaTheme="minorEastAsia" w:hAnsiTheme="minorHAnsi" w:cstheme="minorBidi"/>
          <w:sz w:val="22"/>
          <w:szCs w:val="22"/>
        </w:rPr>
        <w:tab/>
      </w:r>
      <w:r>
        <w:t>IAB-MT receiver with 2RX</w:t>
      </w:r>
      <w:r>
        <w:tab/>
      </w:r>
      <w:r>
        <w:fldChar w:fldCharType="begin"/>
      </w:r>
      <w:r>
        <w:instrText xml:space="preserve"> PAGEREF _Toc106184444 \h </w:instrText>
      </w:r>
      <w:r>
        <w:fldChar w:fldCharType="separate"/>
      </w:r>
      <w:r>
        <w:t>304</w:t>
      </w:r>
      <w:r>
        <w:fldChar w:fldCharType="end"/>
      </w:r>
    </w:p>
    <w:p w14:paraId="56A294B7" w14:textId="1CE578B4" w:rsidR="003C625C" w:rsidRDefault="003C625C">
      <w:pPr>
        <w:pStyle w:val="TOC2"/>
        <w:rPr>
          <w:rFonts w:asciiTheme="minorHAnsi" w:eastAsiaTheme="minorEastAsia" w:hAnsiTheme="minorHAnsi" w:cstheme="minorBidi"/>
          <w:sz w:val="22"/>
          <w:szCs w:val="22"/>
        </w:rPr>
      </w:pPr>
      <w:r>
        <w:t>I.2</w:t>
      </w:r>
      <w:r>
        <w:rPr>
          <w:rFonts w:asciiTheme="minorHAnsi" w:eastAsiaTheme="minorEastAsia" w:hAnsiTheme="minorHAnsi" w:cstheme="minorBidi"/>
          <w:sz w:val="22"/>
          <w:szCs w:val="22"/>
        </w:rPr>
        <w:tab/>
      </w:r>
      <w:r>
        <w:t>Multi-path fading propagation conditions</w:t>
      </w:r>
      <w:r>
        <w:tab/>
      </w:r>
      <w:r>
        <w:fldChar w:fldCharType="begin"/>
      </w:r>
      <w:r>
        <w:instrText xml:space="preserve"> PAGEREF _Toc106184445 \h </w:instrText>
      </w:r>
      <w:r>
        <w:fldChar w:fldCharType="separate"/>
      </w:r>
      <w:r>
        <w:t>305</w:t>
      </w:r>
      <w:r>
        <w:fldChar w:fldCharType="end"/>
      </w:r>
    </w:p>
    <w:p w14:paraId="3630047A" w14:textId="5E7847D7" w:rsidR="003C625C" w:rsidRDefault="003C625C">
      <w:pPr>
        <w:pStyle w:val="TOC3"/>
        <w:rPr>
          <w:rFonts w:asciiTheme="minorHAnsi" w:eastAsiaTheme="minorEastAsia" w:hAnsiTheme="minorHAnsi" w:cstheme="minorBidi"/>
          <w:sz w:val="22"/>
          <w:szCs w:val="22"/>
        </w:rPr>
      </w:pPr>
      <w:r>
        <w:t>I.2.1</w:t>
      </w:r>
      <w:r>
        <w:rPr>
          <w:rFonts w:asciiTheme="minorHAnsi" w:eastAsiaTheme="minorEastAsia" w:hAnsiTheme="minorHAnsi" w:cstheme="minorBidi"/>
          <w:sz w:val="22"/>
          <w:szCs w:val="22"/>
        </w:rPr>
        <w:tab/>
      </w:r>
      <w:r>
        <w:t>General</w:t>
      </w:r>
      <w:r>
        <w:tab/>
      </w:r>
      <w:r>
        <w:fldChar w:fldCharType="begin"/>
      </w:r>
      <w:r>
        <w:instrText xml:space="preserve"> PAGEREF _Toc106184446 \h </w:instrText>
      </w:r>
      <w:r>
        <w:fldChar w:fldCharType="separate"/>
      </w:r>
      <w:r>
        <w:t>305</w:t>
      </w:r>
      <w:r>
        <w:fldChar w:fldCharType="end"/>
      </w:r>
    </w:p>
    <w:p w14:paraId="6B28878C" w14:textId="4EC2E379" w:rsidR="003C625C" w:rsidRDefault="003C625C">
      <w:pPr>
        <w:pStyle w:val="TOC3"/>
        <w:rPr>
          <w:rFonts w:asciiTheme="minorHAnsi" w:eastAsiaTheme="minorEastAsia" w:hAnsiTheme="minorHAnsi" w:cstheme="minorBidi"/>
          <w:sz w:val="22"/>
          <w:szCs w:val="22"/>
        </w:rPr>
      </w:pPr>
      <w:r>
        <w:t>I.2.2</w:t>
      </w:r>
      <w:r>
        <w:rPr>
          <w:rFonts w:asciiTheme="minorHAnsi" w:eastAsiaTheme="minorEastAsia" w:hAnsiTheme="minorHAnsi" w:cstheme="minorBidi"/>
          <w:sz w:val="22"/>
          <w:szCs w:val="22"/>
        </w:rPr>
        <w:tab/>
      </w:r>
      <w:r>
        <w:t>Delay profiles</w:t>
      </w:r>
      <w:r>
        <w:tab/>
      </w:r>
      <w:r>
        <w:fldChar w:fldCharType="begin"/>
      </w:r>
      <w:r>
        <w:instrText xml:space="preserve"> PAGEREF _Toc106184447 \h </w:instrText>
      </w:r>
      <w:r>
        <w:fldChar w:fldCharType="separate"/>
      </w:r>
      <w:r>
        <w:t>305</w:t>
      </w:r>
      <w:r>
        <w:fldChar w:fldCharType="end"/>
      </w:r>
    </w:p>
    <w:p w14:paraId="0CE4EDCA" w14:textId="7375F044" w:rsidR="003C625C" w:rsidRDefault="003C625C">
      <w:pPr>
        <w:pStyle w:val="TOC4"/>
        <w:rPr>
          <w:rFonts w:asciiTheme="minorHAnsi" w:eastAsiaTheme="minorEastAsia" w:hAnsiTheme="minorHAnsi" w:cstheme="minorBidi"/>
          <w:sz w:val="22"/>
          <w:szCs w:val="22"/>
        </w:rPr>
      </w:pPr>
      <w:r>
        <w:t>I.2.2.1</w:t>
      </w:r>
      <w:r>
        <w:rPr>
          <w:rFonts w:asciiTheme="minorHAnsi" w:eastAsiaTheme="minorEastAsia" w:hAnsiTheme="minorHAnsi" w:cstheme="minorBidi"/>
          <w:sz w:val="22"/>
          <w:szCs w:val="22"/>
        </w:rPr>
        <w:tab/>
      </w:r>
      <w:r>
        <w:t>General</w:t>
      </w:r>
      <w:r>
        <w:tab/>
      </w:r>
      <w:r>
        <w:fldChar w:fldCharType="begin"/>
      </w:r>
      <w:r>
        <w:instrText xml:space="preserve"> PAGEREF _Toc106184448 \h </w:instrText>
      </w:r>
      <w:r>
        <w:fldChar w:fldCharType="separate"/>
      </w:r>
      <w:r>
        <w:t>305</w:t>
      </w:r>
      <w:r>
        <w:fldChar w:fldCharType="end"/>
      </w:r>
    </w:p>
    <w:p w14:paraId="45830F76" w14:textId="2BDEFFCE" w:rsidR="003C625C" w:rsidRDefault="003C625C">
      <w:pPr>
        <w:pStyle w:val="TOC4"/>
        <w:rPr>
          <w:rFonts w:asciiTheme="minorHAnsi" w:eastAsiaTheme="minorEastAsia" w:hAnsiTheme="minorHAnsi" w:cstheme="minorBidi"/>
          <w:sz w:val="22"/>
          <w:szCs w:val="22"/>
        </w:rPr>
      </w:pPr>
      <w:r>
        <w:t>I.2.2.2</w:t>
      </w:r>
      <w:r>
        <w:rPr>
          <w:rFonts w:asciiTheme="minorHAnsi" w:eastAsiaTheme="minorEastAsia" w:hAnsiTheme="minorHAnsi" w:cstheme="minorBidi"/>
          <w:sz w:val="22"/>
          <w:szCs w:val="22"/>
        </w:rPr>
        <w:tab/>
      </w:r>
      <w:r>
        <w:t>Delay profiles for FR1</w:t>
      </w:r>
      <w:r>
        <w:tab/>
      </w:r>
      <w:r>
        <w:fldChar w:fldCharType="begin"/>
      </w:r>
      <w:r>
        <w:instrText xml:space="preserve"> PAGEREF _Toc106184449 \h </w:instrText>
      </w:r>
      <w:r>
        <w:fldChar w:fldCharType="separate"/>
      </w:r>
      <w:r>
        <w:t>306</w:t>
      </w:r>
      <w:r>
        <w:fldChar w:fldCharType="end"/>
      </w:r>
    </w:p>
    <w:p w14:paraId="4FF4FABB" w14:textId="7F996CEC" w:rsidR="003C625C" w:rsidRDefault="003C625C">
      <w:pPr>
        <w:pStyle w:val="TOC3"/>
        <w:rPr>
          <w:rFonts w:asciiTheme="minorHAnsi" w:eastAsiaTheme="minorEastAsia" w:hAnsiTheme="minorHAnsi" w:cstheme="minorBidi"/>
          <w:sz w:val="22"/>
          <w:szCs w:val="22"/>
        </w:rPr>
      </w:pPr>
      <w:r>
        <w:t>I.2.3</w:t>
      </w:r>
      <w:r>
        <w:rPr>
          <w:rFonts w:asciiTheme="minorHAnsi" w:eastAsiaTheme="minorEastAsia" w:hAnsiTheme="minorHAnsi" w:cstheme="minorBidi"/>
          <w:sz w:val="22"/>
          <w:szCs w:val="22"/>
        </w:rPr>
        <w:tab/>
      </w:r>
      <w:r>
        <w:t>Combinations of channel model parameters</w:t>
      </w:r>
      <w:r>
        <w:tab/>
      </w:r>
      <w:r>
        <w:fldChar w:fldCharType="begin"/>
      </w:r>
      <w:r>
        <w:instrText xml:space="preserve"> PAGEREF _Toc106184450 \h </w:instrText>
      </w:r>
      <w:r>
        <w:fldChar w:fldCharType="separate"/>
      </w:r>
      <w:r>
        <w:t>307</w:t>
      </w:r>
      <w:r>
        <w:fldChar w:fldCharType="end"/>
      </w:r>
    </w:p>
    <w:p w14:paraId="0443C21C" w14:textId="753B1A17" w:rsidR="003C625C" w:rsidRDefault="003C625C">
      <w:pPr>
        <w:pStyle w:val="TOC3"/>
        <w:rPr>
          <w:rFonts w:asciiTheme="minorHAnsi" w:eastAsiaTheme="minorEastAsia" w:hAnsiTheme="minorHAnsi" w:cstheme="minorBidi"/>
          <w:sz w:val="22"/>
          <w:szCs w:val="22"/>
        </w:rPr>
      </w:pPr>
      <w:r>
        <w:t>I.2.4</w:t>
      </w:r>
      <w:r>
        <w:rPr>
          <w:rFonts w:asciiTheme="minorHAnsi" w:eastAsiaTheme="minorEastAsia" w:hAnsiTheme="minorHAnsi" w:cstheme="minorBidi"/>
          <w:sz w:val="22"/>
          <w:szCs w:val="22"/>
        </w:rPr>
        <w:tab/>
      </w:r>
      <w:r>
        <w:t>MIMO channel correlation matrices</w:t>
      </w:r>
      <w:r>
        <w:tab/>
      </w:r>
      <w:r>
        <w:fldChar w:fldCharType="begin"/>
      </w:r>
      <w:r>
        <w:instrText xml:space="preserve"> PAGEREF _Toc106184451 \h </w:instrText>
      </w:r>
      <w:r>
        <w:fldChar w:fldCharType="separate"/>
      </w:r>
      <w:r>
        <w:t>308</w:t>
      </w:r>
      <w:r>
        <w:fldChar w:fldCharType="end"/>
      </w:r>
    </w:p>
    <w:p w14:paraId="367A6E69" w14:textId="7456274F" w:rsidR="003C625C" w:rsidRDefault="003C625C">
      <w:pPr>
        <w:pStyle w:val="TOC4"/>
        <w:rPr>
          <w:rFonts w:asciiTheme="minorHAnsi" w:eastAsiaTheme="minorEastAsia" w:hAnsiTheme="minorHAnsi" w:cstheme="minorBidi"/>
          <w:sz w:val="22"/>
          <w:szCs w:val="22"/>
        </w:rPr>
      </w:pPr>
      <w:r>
        <w:lastRenderedPageBreak/>
        <w:t>I.2.4.1</w:t>
      </w:r>
      <w:r>
        <w:rPr>
          <w:rFonts w:asciiTheme="minorHAnsi" w:eastAsiaTheme="minorEastAsia" w:hAnsiTheme="minorHAnsi" w:cstheme="minorBidi"/>
          <w:sz w:val="22"/>
          <w:szCs w:val="22"/>
        </w:rPr>
        <w:tab/>
      </w:r>
      <w:r>
        <w:t>General</w:t>
      </w:r>
      <w:r>
        <w:tab/>
      </w:r>
      <w:r>
        <w:fldChar w:fldCharType="begin"/>
      </w:r>
      <w:r>
        <w:instrText xml:space="preserve"> PAGEREF _Toc106184452 \h </w:instrText>
      </w:r>
      <w:r>
        <w:fldChar w:fldCharType="separate"/>
      </w:r>
      <w:r>
        <w:t>308</w:t>
      </w:r>
      <w:r>
        <w:fldChar w:fldCharType="end"/>
      </w:r>
    </w:p>
    <w:p w14:paraId="11EA7B81" w14:textId="73A7C2E6" w:rsidR="003C625C" w:rsidRDefault="003C625C">
      <w:pPr>
        <w:pStyle w:val="TOC4"/>
        <w:rPr>
          <w:rFonts w:asciiTheme="minorHAnsi" w:eastAsiaTheme="minorEastAsia" w:hAnsiTheme="minorHAnsi" w:cstheme="minorBidi"/>
          <w:sz w:val="22"/>
          <w:szCs w:val="22"/>
        </w:rPr>
      </w:pPr>
      <w:r>
        <w:t>I.2.4.2</w:t>
      </w:r>
      <w:r>
        <w:rPr>
          <w:rFonts w:asciiTheme="minorHAnsi" w:eastAsiaTheme="minorEastAsia" w:hAnsiTheme="minorHAnsi" w:cstheme="minorBidi"/>
          <w:sz w:val="22"/>
          <w:szCs w:val="22"/>
        </w:rPr>
        <w:tab/>
      </w:r>
      <w:r>
        <w:t>MIMO correlation matrices using Uniform Linear Array</w:t>
      </w:r>
      <w:r>
        <w:tab/>
      </w:r>
      <w:r>
        <w:fldChar w:fldCharType="begin"/>
      </w:r>
      <w:r>
        <w:instrText xml:space="preserve"> PAGEREF _Toc106184453 \h </w:instrText>
      </w:r>
      <w:r>
        <w:fldChar w:fldCharType="separate"/>
      </w:r>
      <w:r>
        <w:t>308</w:t>
      </w:r>
      <w:r>
        <w:fldChar w:fldCharType="end"/>
      </w:r>
    </w:p>
    <w:p w14:paraId="6B90B0AB" w14:textId="394952ED" w:rsidR="003C625C" w:rsidRDefault="003C625C">
      <w:pPr>
        <w:pStyle w:val="TOC5"/>
        <w:rPr>
          <w:rFonts w:asciiTheme="minorHAnsi" w:eastAsiaTheme="minorEastAsia" w:hAnsiTheme="minorHAnsi" w:cstheme="minorBidi"/>
          <w:sz w:val="22"/>
          <w:szCs w:val="22"/>
        </w:rPr>
      </w:pPr>
      <w:r>
        <w:rPr>
          <w:lang w:eastAsia="ko-KR"/>
        </w:rPr>
        <w:t>I.2.4.2.1</w:t>
      </w:r>
      <w:r>
        <w:rPr>
          <w:rFonts w:asciiTheme="minorHAnsi" w:eastAsiaTheme="minorEastAsia" w:hAnsiTheme="minorHAnsi" w:cstheme="minorBidi"/>
          <w:sz w:val="22"/>
          <w:szCs w:val="22"/>
        </w:rPr>
        <w:tab/>
      </w:r>
      <w:r>
        <w:rPr>
          <w:lang w:eastAsia="ko-KR"/>
        </w:rPr>
        <w:t>General</w:t>
      </w:r>
      <w:r>
        <w:tab/>
      </w:r>
      <w:r>
        <w:fldChar w:fldCharType="begin"/>
      </w:r>
      <w:r>
        <w:instrText xml:space="preserve"> PAGEREF _Toc106184454 \h </w:instrText>
      </w:r>
      <w:r>
        <w:fldChar w:fldCharType="separate"/>
      </w:r>
      <w:r>
        <w:t>308</w:t>
      </w:r>
      <w:r>
        <w:fldChar w:fldCharType="end"/>
      </w:r>
    </w:p>
    <w:p w14:paraId="28D681CA" w14:textId="1928A1A7" w:rsidR="003C625C" w:rsidRDefault="003C625C">
      <w:pPr>
        <w:pStyle w:val="TOC5"/>
        <w:rPr>
          <w:rFonts w:asciiTheme="minorHAnsi" w:eastAsiaTheme="minorEastAsia" w:hAnsiTheme="minorHAnsi" w:cstheme="minorBidi"/>
          <w:sz w:val="22"/>
          <w:szCs w:val="22"/>
        </w:rPr>
      </w:pPr>
      <w:r>
        <w:rPr>
          <w:lang w:eastAsia="ko-KR"/>
        </w:rPr>
        <w:t>I.2.4.2.2</w:t>
      </w:r>
      <w:r>
        <w:rPr>
          <w:rFonts w:asciiTheme="minorHAnsi" w:eastAsiaTheme="minorEastAsia" w:hAnsiTheme="minorHAnsi" w:cstheme="minorBidi"/>
          <w:sz w:val="22"/>
          <w:szCs w:val="22"/>
        </w:rPr>
        <w:tab/>
      </w:r>
      <w:r>
        <w:rPr>
          <w:lang w:eastAsia="ko-KR"/>
        </w:rPr>
        <w:t>Definition of MIMO correlation matrices</w:t>
      </w:r>
      <w:r>
        <w:tab/>
      </w:r>
      <w:r>
        <w:fldChar w:fldCharType="begin"/>
      </w:r>
      <w:r>
        <w:instrText xml:space="preserve"> PAGEREF _Toc106184455 \h </w:instrText>
      </w:r>
      <w:r>
        <w:fldChar w:fldCharType="separate"/>
      </w:r>
      <w:r>
        <w:t>308</w:t>
      </w:r>
      <w:r>
        <w:fldChar w:fldCharType="end"/>
      </w:r>
    </w:p>
    <w:p w14:paraId="483DEAFD" w14:textId="0992B580" w:rsidR="003C625C" w:rsidRDefault="003C625C">
      <w:pPr>
        <w:pStyle w:val="TOC5"/>
        <w:rPr>
          <w:rFonts w:asciiTheme="minorHAnsi" w:eastAsiaTheme="minorEastAsia" w:hAnsiTheme="minorHAnsi" w:cstheme="minorBidi"/>
          <w:sz w:val="22"/>
          <w:szCs w:val="22"/>
        </w:rPr>
      </w:pPr>
      <w:r>
        <w:rPr>
          <w:lang w:eastAsia="ko-KR"/>
        </w:rPr>
        <w:t>I.2.4.2.3</w:t>
      </w:r>
      <w:r>
        <w:rPr>
          <w:rFonts w:asciiTheme="minorHAnsi" w:eastAsiaTheme="minorEastAsia" w:hAnsiTheme="minorHAnsi" w:cstheme="minorBidi"/>
          <w:sz w:val="22"/>
          <w:szCs w:val="22"/>
        </w:rPr>
        <w:tab/>
      </w:r>
      <w:r>
        <w:rPr>
          <w:lang w:eastAsia="ko-KR"/>
        </w:rPr>
        <w:t>MIMO correlation matrices at high, medium and low level</w:t>
      </w:r>
      <w:r>
        <w:tab/>
      </w:r>
      <w:r>
        <w:fldChar w:fldCharType="begin"/>
      </w:r>
      <w:r>
        <w:instrText xml:space="preserve"> PAGEREF _Toc106184456 \h </w:instrText>
      </w:r>
      <w:r>
        <w:fldChar w:fldCharType="separate"/>
      </w:r>
      <w:r>
        <w:t>309</w:t>
      </w:r>
      <w:r>
        <w:fldChar w:fldCharType="end"/>
      </w:r>
    </w:p>
    <w:p w14:paraId="0A6CC621" w14:textId="310C8BD3" w:rsidR="003C625C" w:rsidRDefault="003C625C">
      <w:pPr>
        <w:pStyle w:val="TOC4"/>
        <w:rPr>
          <w:rFonts w:asciiTheme="minorHAnsi" w:eastAsiaTheme="minorEastAsia" w:hAnsiTheme="minorHAnsi" w:cstheme="minorBidi"/>
          <w:sz w:val="22"/>
          <w:szCs w:val="22"/>
        </w:rPr>
      </w:pPr>
      <w:r>
        <w:t>I.2.4.3</w:t>
      </w:r>
      <w:r>
        <w:rPr>
          <w:rFonts w:asciiTheme="minorHAnsi" w:eastAsiaTheme="minorEastAsia" w:hAnsiTheme="minorHAnsi" w:cstheme="minorBidi"/>
          <w:sz w:val="22"/>
          <w:szCs w:val="22"/>
        </w:rPr>
        <w:tab/>
      </w:r>
      <w:r>
        <w:t>Multi-antenna channel models using cross polarized antennas</w:t>
      </w:r>
      <w:r>
        <w:tab/>
      </w:r>
      <w:r>
        <w:fldChar w:fldCharType="begin"/>
      </w:r>
      <w:r>
        <w:instrText xml:space="preserve"> PAGEREF _Toc106184457 \h </w:instrText>
      </w:r>
      <w:r>
        <w:fldChar w:fldCharType="separate"/>
      </w:r>
      <w:r>
        <w:t>311</w:t>
      </w:r>
      <w:r>
        <w:fldChar w:fldCharType="end"/>
      </w:r>
    </w:p>
    <w:p w14:paraId="09F987C7" w14:textId="21DF510A" w:rsidR="003C625C" w:rsidRDefault="003C625C">
      <w:pPr>
        <w:pStyle w:val="TOC5"/>
        <w:rPr>
          <w:rFonts w:asciiTheme="minorHAnsi" w:eastAsiaTheme="minorEastAsia" w:hAnsiTheme="minorHAnsi" w:cstheme="minorBidi"/>
          <w:sz w:val="22"/>
          <w:szCs w:val="22"/>
        </w:rPr>
      </w:pPr>
      <w:r>
        <w:t>I.2.4.3.1</w:t>
      </w:r>
      <w:r>
        <w:rPr>
          <w:rFonts w:asciiTheme="minorHAnsi" w:eastAsiaTheme="minorEastAsia" w:hAnsiTheme="minorHAnsi" w:cstheme="minorBidi"/>
          <w:sz w:val="22"/>
          <w:szCs w:val="22"/>
        </w:rPr>
        <w:tab/>
      </w:r>
      <w:r>
        <w:t>General</w:t>
      </w:r>
      <w:r>
        <w:tab/>
      </w:r>
      <w:r>
        <w:fldChar w:fldCharType="begin"/>
      </w:r>
      <w:r>
        <w:instrText xml:space="preserve"> PAGEREF _Toc106184458 \h </w:instrText>
      </w:r>
      <w:r>
        <w:fldChar w:fldCharType="separate"/>
      </w:r>
      <w:r>
        <w:t>311</w:t>
      </w:r>
      <w:r>
        <w:fldChar w:fldCharType="end"/>
      </w:r>
    </w:p>
    <w:p w14:paraId="44DAA214" w14:textId="250CB6FD" w:rsidR="003C625C" w:rsidRDefault="003C625C">
      <w:pPr>
        <w:pStyle w:val="TOC5"/>
        <w:rPr>
          <w:rFonts w:asciiTheme="minorHAnsi" w:eastAsiaTheme="minorEastAsia" w:hAnsiTheme="minorHAnsi" w:cstheme="minorBidi"/>
          <w:sz w:val="22"/>
          <w:szCs w:val="22"/>
        </w:rPr>
      </w:pPr>
      <w:r>
        <w:t>I.2.4.3.2</w:t>
      </w:r>
      <w:r>
        <w:rPr>
          <w:rFonts w:asciiTheme="minorHAnsi" w:eastAsiaTheme="minorEastAsia" w:hAnsiTheme="minorHAnsi" w:cstheme="minorBidi"/>
          <w:sz w:val="22"/>
          <w:szCs w:val="22"/>
        </w:rPr>
        <w:tab/>
      </w:r>
      <w:r>
        <w:t>Definition of MIMO correlation matrices using cross polarized antennas</w:t>
      </w:r>
      <w:r>
        <w:tab/>
      </w:r>
      <w:r>
        <w:fldChar w:fldCharType="begin"/>
      </w:r>
      <w:r>
        <w:instrText xml:space="preserve"> PAGEREF _Toc106184459 \h </w:instrText>
      </w:r>
      <w:r>
        <w:fldChar w:fldCharType="separate"/>
      </w:r>
      <w:r>
        <w:t>312</w:t>
      </w:r>
      <w:r>
        <w:fldChar w:fldCharType="end"/>
      </w:r>
    </w:p>
    <w:p w14:paraId="1288A95E" w14:textId="50B9FA15" w:rsidR="003C625C" w:rsidRDefault="003C625C">
      <w:pPr>
        <w:pStyle w:val="TOC5"/>
        <w:rPr>
          <w:rFonts w:asciiTheme="minorHAnsi" w:eastAsiaTheme="minorEastAsia" w:hAnsiTheme="minorHAnsi" w:cstheme="minorBidi"/>
          <w:sz w:val="22"/>
          <w:szCs w:val="22"/>
        </w:rPr>
      </w:pPr>
      <w:r>
        <w:rPr>
          <w:lang w:eastAsia="ko-KR"/>
        </w:rPr>
        <w:t>I.2.4.2.3</w:t>
      </w:r>
      <w:r>
        <w:rPr>
          <w:rFonts w:asciiTheme="minorHAnsi" w:eastAsiaTheme="minorEastAsia" w:hAnsiTheme="minorHAnsi" w:cstheme="minorBidi"/>
          <w:sz w:val="22"/>
          <w:szCs w:val="22"/>
        </w:rPr>
        <w:tab/>
      </w:r>
      <w:r>
        <w:rPr>
          <w:lang w:eastAsia="ko-KR"/>
        </w:rPr>
        <w:t>Spatial correlation matrices at IAB-MT/UE and IAB-DU/gNB sides</w:t>
      </w:r>
      <w:r>
        <w:tab/>
      </w:r>
      <w:r>
        <w:fldChar w:fldCharType="begin"/>
      </w:r>
      <w:r>
        <w:instrText xml:space="preserve"> PAGEREF _Toc106184460 \h </w:instrText>
      </w:r>
      <w:r>
        <w:fldChar w:fldCharType="separate"/>
      </w:r>
      <w:r>
        <w:t>312</w:t>
      </w:r>
      <w:r>
        <w:fldChar w:fldCharType="end"/>
      </w:r>
    </w:p>
    <w:p w14:paraId="1FD6354C" w14:textId="157DFA63" w:rsidR="003C625C" w:rsidRDefault="003C625C">
      <w:pPr>
        <w:pStyle w:val="TOC5"/>
        <w:rPr>
          <w:rFonts w:asciiTheme="minorHAnsi" w:eastAsiaTheme="minorEastAsia" w:hAnsiTheme="minorHAnsi" w:cstheme="minorBidi"/>
          <w:sz w:val="22"/>
          <w:szCs w:val="22"/>
        </w:rPr>
      </w:pPr>
      <w:r>
        <w:rPr>
          <w:lang w:eastAsia="ko-KR"/>
        </w:rPr>
        <w:t>I.2.4.2.4</w:t>
      </w:r>
      <w:r>
        <w:rPr>
          <w:rFonts w:asciiTheme="minorHAnsi" w:eastAsiaTheme="minorEastAsia" w:hAnsiTheme="minorHAnsi" w:cstheme="minorBidi"/>
          <w:sz w:val="22"/>
          <w:szCs w:val="22"/>
        </w:rPr>
        <w:tab/>
      </w:r>
      <w:r>
        <w:rPr>
          <w:lang w:eastAsia="ko-KR"/>
        </w:rPr>
        <w:t>MIMO correlation matrices using cross polarized antennas</w:t>
      </w:r>
      <w:r>
        <w:tab/>
      </w:r>
      <w:r>
        <w:fldChar w:fldCharType="begin"/>
      </w:r>
      <w:r>
        <w:instrText xml:space="preserve"> PAGEREF _Toc106184461 \h </w:instrText>
      </w:r>
      <w:r>
        <w:fldChar w:fldCharType="separate"/>
      </w:r>
      <w:r>
        <w:t>313</w:t>
      </w:r>
      <w:r>
        <w:fldChar w:fldCharType="end"/>
      </w:r>
    </w:p>
    <w:p w14:paraId="77C75649" w14:textId="021C100B" w:rsidR="003C625C" w:rsidRDefault="003C625C">
      <w:pPr>
        <w:pStyle w:val="TOC2"/>
        <w:rPr>
          <w:rFonts w:asciiTheme="minorHAnsi" w:eastAsiaTheme="minorEastAsia" w:hAnsiTheme="minorHAnsi" w:cstheme="minorBidi"/>
          <w:sz w:val="22"/>
          <w:szCs w:val="22"/>
        </w:rPr>
      </w:pPr>
      <w:r>
        <w:t>I.3</w:t>
      </w:r>
      <w:r>
        <w:rPr>
          <w:rFonts w:asciiTheme="minorHAnsi" w:eastAsiaTheme="minorEastAsia" w:hAnsiTheme="minorHAnsi" w:cstheme="minorBidi"/>
          <w:sz w:val="22"/>
          <w:szCs w:val="22"/>
        </w:rPr>
        <w:tab/>
      </w:r>
      <w:r>
        <w:t>Physical signals, channels mapping and precoding</w:t>
      </w:r>
      <w:r>
        <w:tab/>
      </w:r>
      <w:r>
        <w:fldChar w:fldCharType="begin"/>
      </w:r>
      <w:r>
        <w:instrText xml:space="preserve"> PAGEREF _Toc106184462 \h </w:instrText>
      </w:r>
      <w:r>
        <w:fldChar w:fldCharType="separate"/>
      </w:r>
      <w:r>
        <w:t>313</w:t>
      </w:r>
      <w:r>
        <w:fldChar w:fldCharType="end"/>
      </w:r>
    </w:p>
    <w:p w14:paraId="354618C5" w14:textId="20D381E7" w:rsidR="003C625C" w:rsidRDefault="003C625C">
      <w:pPr>
        <w:pStyle w:val="TOC3"/>
        <w:rPr>
          <w:rFonts w:asciiTheme="minorHAnsi" w:eastAsiaTheme="minorEastAsia" w:hAnsiTheme="minorHAnsi" w:cstheme="minorBidi"/>
          <w:sz w:val="22"/>
          <w:szCs w:val="22"/>
        </w:rPr>
      </w:pPr>
      <w:r>
        <w:t>I.3.1</w:t>
      </w:r>
      <w:r>
        <w:rPr>
          <w:rFonts w:asciiTheme="minorHAnsi" w:eastAsiaTheme="minorEastAsia" w:hAnsiTheme="minorHAnsi" w:cstheme="minorBidi"/>
          <w:sz w:val="22"/>
          <w:szCs w:val="22"/>
        </w:rPr>
        <w:tab/>
      </w:r>
      <w:r>
        <w:t>General</w:t>
      </w:r>
      <w:r>
        <w:tab/>
      </w:r>
      <w:r>
        <w:fldChar w:fldCharType="begin"/>
      </w:r>
      <w:r>
        <w:instrText xml:space="preserve"> PAGEREF _Toc106184463 \h </w:instrText>
      </w:r>
      <w:r>
        <w:fldChar w:fldCharType="separate"/>
      </w:r>
      <w:r>
        <w:t>313</w:t>
      </w:r>
      <w:r>
        <w:fldChar w:fldCharType="end"/>
      </w:r>
    </w:p>
    <w:p w14:paraId="5D3106EB" w14:textId="46B56CD8" w:rsidR="003C625C" w:rsidRDefault="003C625C">
      <w:pPr>
        <w:pStyle w:val="TOC8"/>
        <w:rPr>
          <w:rFonts w:asciiTheme="minorHAnsi" w:eastAsiaTheme="minorEastAsia" w:hAnsiTheme="minorHAnsi" w:cstheme="minorBidi"/>
          <w:b w:val="0"/>
          <w:szCs w:val="22"/>
        </w:rPr>
      </w:pPr>
      <w:r>
        <w:t xml:space="preserve">Annex </w:t>
      </w:r>
      <w:r>
        <w:rPr>
          <w:lang w:eastAsia="zh-CN"/>
        </w:rPr>
        <w:t>J</w:t>
      </w:r>
      <w:r>
        <w:t xml:space="preserve"> (informative):</w:t>
      </w:r>
      <w:r>
        <w:rPr>
          <w:lang w:eastAsia="en-CA"/>
        </w:rPr>
        <w:t xml:space="preserve">  </w:t>
      </w:r>
      <w:r>
        <w:t>Change history</w:t>
      </w:r>
      <w:r>
        <w:tab/>
      </w:r>
      <w:r>
        <w:fldChar w:fldCharType="begin"/>
      </w:r>
      <w:r>
        <w:instrText xml:space="preserve"> PAGEREF _Toc106184464 \h </w:instrText>
      </w:r>
      <w:r>
        <w:fldChar w:fldCharType="separate"/>
      </w:r>
      <w:r>
        <w:t>315</w:t>
      </w:r>
      <w:r>
        <w:fldChar w:fldCharType="end"/>
      </w:r>
    </w:p>
    <w:p w14:paraId="0994BED1" w14:textId="6F0251D5" w:rsidR="00AD5C59" w:rsidRDefault="003C625C" w:rsidP="00AD5C59">
      <w:pPr>
        <w:rPr>
          <w:noProof/>
          <w:sz w:val="22"/>
        </w:rPr>
      </w:pPr>
      <w:r>
        <w:fldChar w:fldCharType="end"/>
      </w:r>
    </w:p>
    <w:p w14:paraId="2A68FE71" w14:textId="77777777" w:rsidR="00AD5C59" w:rsidRDefault="00AD5C59">
      <w:pPr>
        <w:overflowPunct/>
        <w:autoSpaceDE/>
        <w:autoSpaceDN/>
        <w:adjustRightInd/>
        <w:spacing w:after="160" w:line="259" w:lineRule="auto"/>
        <w:textAlignment w:val="auto"/>
        <w:rPr>
          <w:noProof/>
          <w:sz w:val="22"/>
        </w:rPr>
      </w:pPr>
      <w:r>
        <w:rPr>
          <w:noProof/>
          <w:sz w:val="22"/>
        </w:rPr>
        <w:br w:type="page"/>
      </w:r>
    </w:p>
    <w:p w14:paraId="18F5F677" w14:textId="77777777" w:rsidR="00B45B97" w:rsidRPr="00B45B97" w:rsidRDefault="00B45B97" w:rsidP="00AD5C59"/>
    <w:p w14:paraId="2EFCFCA9" w14:textId="77777777" w:rsidR="00077B6E" w:rsidRPr="007E346D" w:rsidRDefault="00077B6E" w:rsidP="00077B6E">
      <w:pPr>
        <w:pStyle w:val="Heading1"/>
      </w:pPr>
      <w:bookmarkStart w:id="15" w:name="_Toc13080113"/>
      <w:bookmarkStart w:id="16" w:name="_Toc18916143"/>
      <w:bookmarkStart w:id="17" w:name="_Toc53185270"/>
      <w:bookmarkStart w:id="18" w:name="_Toc53185646"/>
      <w:bookmarkStart w:id="19" w:name="_Toc57820119"/>
      <w:bookmarkStart w:id="20" w:name="_Toc57821046"/>
      <w:bookmarkStart w:id="21" w:name="_Toc61183322"/>
      <w:bookmarkStart w:id="22" w:name="_Toc61183716"/>
      <w:bookmarkStart w:id="23" w:name="_Toc61184108"/>
      <w:bookmarkStart w:id="24" w:name="_Toc61184500"/>
      <w:bookmarkStart w:id="25" w:name="_Toc61184890"/>
      <w:bookmarkStart w:id="26" w:name="_Toc66386233"/>
      <w:bookmarkStart w:id="27" w:name="_Toc74583074"/>
      <w:bookmarkStart w:id="28" w:name="_Toc76541887"/>
      <w:bookmarkStart w:id="29" w:name="_Toc82449869"/>
      <w:bookmarkStart w:id="30" w:name="_Toc82450517"/>
      <w:bookmarkStart w:id="31" w:name="_Toc89948906"/>
      <w:bookmarkStart w:id="32" w:name="_Toc98755295"/>
      <w:bookmarkStart w:id="33" w:name="_Toc98762884"/>
      <w:bookmarkStart w:id="34" w:name="_Toc106183813"/>
      <w:r w:rsidRPr="007E346D">
        <w:t>Foreword</w:t>
      </w:r>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3A75B989" w14:textId="77777777" w:rsidR="00AD5C59" w:rsidRPr="004D3578" w:rsidRDefault="00AD5C59" w:rsidP="00AD5C59">
      <w:r w:rsidRPr="005913F7">
        <w:t>This Technical Specification has been produced by the 3rd Generation Partnership Project (3GPP).</w:t>
      </w:r>
    </w:p>
    <w:p w14:paraId="515B83F3" w14:textId="77777777" w:rsidR="00AD5C59" w:rsidRPr="004D3578" w:rsidRDefault="00AD5C59" w:rsidP="00AD5C59">
      <w:r w:rsidRPr="004D3578">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3EE1F08C" w14:textId="77777777" w:rsidR="00AD5C59" w:rsidRPr="004D3578" w:rsidRDefault="00AD5C59" w:rsidP="00AD5C59">
      <w:pPr>
        <w:pStyle w:val="B10"/>
      </w:pPr>
      <w:r w:rsidRPr="004D3578">
        <w:t>Version x.y.z</w:t>
      </w:r>
    </w:p>
    <w:p w14:paraId="7CD5FA94" w14:textId="77777777" w:rsidR="00AD5C59" w:rsidRPr="004D3578" w:rsidRDefault="00AD5C59" w:rsidP="00AD5C59">
      <w:pPr>
        <w:pStyle w:val="B10"/>
      </w:pPr>
      <w:r w:rsidRPr="004D3578">
        <w:t>where:</w:t>
      </w:r>
    </w:p>
    <w:p w14:paraId="37FB0A29" w14:textId="77777777" w:rsidR="00AD5C59" w:rsidRPr="004D3578" w:rsidRDefault="00AD5C59" w:rsidP="00AD5C59">
      <w:pPr>
        <w:pStyle w:val="B20"/>
      </w:pPr>
      <w:r w:rsidRPr="004D3578">
        <w:t>x</w:t>
      </w:r>
      <w:r w:rsidRPr="004D3578">
        <w:tab/>
        <w:t>the first digit:</w:t>
      </w:r>
    </w:p>
    <w:p w14:paraId="34C18D41" w14:textId="77777777" w:rsidR="00AD5C59" w:rsidRPr="004D3578" w:rsidRDefault="00AD5C59" w:rsidP="00AD5C59">
      <w:pPr>
        <w:pStyle w:val="B30"/>
      </w:pPr>
      <w:r w:rsidRPr="004D3578">
        <w:t>1</w:t>
      </w:r>
      <w:r w:rsidRPr="004D3578">
        <w:tab/>
        <w:t>presented to TSG for information;</w:t>
      </w:r>
    </w:p>
    <w:p w14:paraId="0054BF99" w14:textId="77777777" w:rsidR="00AD5C59" w:rsidRPr="004D3578" w:rsidRDefault="00AD5C59" w:rsidP="00AD5C59">
      <w:pPr>
        <w:pStyle w:val="B30"/>
      </w:pPr>
      <w:r w:rsidRPr="004D3578">
        <w:t>2</w:t>
      </w:r>
      <w:r w:rsidRPr="004D3578">
        <w:tab/>
        <w:t>presented to TSG for approval;</w:t>
      </w:r>
    </w:p>
    <w:p w14:paraId="4E4700E9" w14:textId="77777777" w:rsidR="00AD5C59" w:rsidRPr="004D3578" w:rsidRDefault="00AD5C59" w:rsidP="00AD5C59">
      <w:pPr>
        <w:pStyle w:val="B30"/>
      </w:pPr>
      <w:r w:rsidRPr="004D3578">
        <w:t>3</w:t>
      </w:r>
      <w:r w:rsidRPr="004D3578">
        <w:tab/>
        <w:t>or greater indicates TSG approved document under change control.</w:t>
      </w:r>
    </w:p>
    <w:p w14:paraId="14FACA8F" w14:textId="77777777" w:rsidR="00AD5C59" w:rsidRPr="004D3578" w:rsidRDefault="00AD5C59" w:rsidP="00AD5C59">
      <w:pPr>
        <w:pStyle w:val="B20"/>
      </w:pPr>
      <w:r w:rsidRPr="004D3578">
        <w:t>y</w:t>
      </w:r>
      <w:r w:rsidRPr="004D3578">
        <w:tab/>
        <w:t>the second digit is incremented for all changes of substance, i.e. technical enhancements, corrections, updates, etc.</w:t>
      </w:r>
    </w:p>
    <w:p w14:paraId="74397EA0" w14:textId="77777777" w:rsidR="00AD5C59" w:rsidRDefault="00AD5C59" w:rsidP="00AD5C59">
      <w:pPr>
        <w:pStyle w:val="B20"/>
      </w:pPr>
      <w:r w:rsidRPr="004D3578">
        <w:t>z</w:t>
      </w:r>
      <w:r w:rsidRPr="004D3578">
        <w:tab/>
        <w:t>the third digit is incremented when editorial only changes have been incorporated in the document.</w:t>
      </w:r>
    </w:p>
    <w:p w14:paraId="5CBBC68C" w14:textId="77777777" w:rsidR="001513B0" w:rsidRDefault="001513B0" w:rsidP="001513B0">
      <w:r>
        <w:t>In the present document, certain modal verbs have the following meanings:</w:t>
      </w:r>
    </w:p>
    <w:p w14:paraId="2ABCBD9B" w14:textId="77777777" w:rsidR="001513B0" w:rsidRDefault="001513B0" w:rsidP="001513B0">
      <w:pPr>
        <w:pStyle w:val="EX"/>
      </w:pPr>
      <w:r w:rsidRPr="008C384C">
        <w:rPr>
          <w:b/>
        </w:rPr>
        <w:t>shall</w:t>
      </w:r>
      <w:r>
        <w:tab/>
        <w:t>indicates a mandatory requirement to do something</w:t>
      </w:r>
    </w:p>
    <w:p w14:paraId="25C2A77F" w14:textId="77777777" w:rsidR="001513B0" w:rsidRDefault="001513B0" w:rsidP="001513B0">
      <w:pPr>
        <w:pStyle w:val="EX"/>
      </w:pPr>
      <w:r w:rsidRPr="008C384C">
        <w:rPr>
          <w:b/>
        </w:rPr>
        <w:t>shall not</w:t>
      </w:r>
      <w:r>
        <w:tab/>
        <w:t>indicates an interdiction (prohibition) to do something</w:t>
      </w:r>
    </w:p>
    <w:p w14:paraId="37A071DA" w14:textId="77777777" w:rsidR="001513B0" w:rsidRPr="004D3578" w:rsidRDefault="001513B0" w:rsidP="001513B0">
      <w:pPr>
        <w:pStyle w:val="NO"/>
      </w:pPr>
      <w:r>
        <w:t>NOTE 1:</w:t>
      </w:r>
      <w:r>
        <w:tab/>
        <w:t>The constructions "shall" and "shall not" are confined to the context of normative provisions, and do not appear in Technical Reports.</w:t>
      </w:r>
    </w:p>
    <w:p w14:paraId="213C934F" w14:textId="77777777" w:rsidR="001513B0" w:rsidRPr="004D3578" w:rsidRDefault="001513B0" w:rsidP="001513B0">
      <w:pPr>
        <w:pStyle w:val="NO"/>
      </w:pPr>
      <w:r>
        <w:t>NOTE 2:</w:t>
      </w:r>
      <w:r>
        <w:tab/>
        <w:t xml:space="preserve">The constructions "must" and "must not" are not used as substitutes for "shall" and "shall not". Their use is avoided insofar as possible, and they are </w:t>
      </w:r>
      <w:r w:rsidRPr="001F1132">
        <w:t>not</w:t>
      </w:r>
      <w:r>
        <w:t xml:space="preserve"> used in a normative context except in a direct citation from an external, referenced, non-3GPP document, or so as to maintain continuity of style when extending or modifying the provisions of such a referenced document.</w:t>
      </w:r>
    </w:p>
    <w:p w14:paraId="2BEC12BF" w14:textId="77777777" w:rsidR="001513B0" w:rsidRDefault="001513B0" w:rsidP="001513B0">
      <w:pPr>
        <w:pStyle w:val="EX"/>
      </w:pPr>
      <w:r w:rsidRPr="008C384C">
        <w:rPr>
          <w:b/>
        </w:rPr>
        <w:t>should</w:t>
      </w:r>
      <w:r>
        <w:tab/>
        <w:t>indicates a recommendation to do something</w:t>
      </w:r>
    </w:p>
    <w:p w14:paraId="1A97E316" w14:textId="77777777" w:rsidR="001513B0" w:rsidRDefault="001513B0" w:rsidP="001513B0">
      <w:pPr>
        <w:pStyle w:val="EX"/>
      </w:pPr>
      <w:r w:rsidRPr="008C384C">
        <w:rPr>
          <w:b/>
        </w:rPr>
        <w:t>should not</w:t>
      </w:r>
      <w:r>
        <w:tab/>
        <w:t>indicates a recommendation not to do something</w:t>
      </w:r>
    </w:p>
    <w:p w14:paraId="4FEF7139" w14:textId="77777777" w:rsidR="001513B0" w:rsidRDefault="001513B0" w:rsidP="001513B0">
      <w:pPr>
        <w:pStyle w:val="EX"/>
      </w:pPr>
      <w:r w:rsidRPr="00774DA4">
        <w:rPr>
          <w:b/>
        </w:rPr>
        <w:t>may</w:t>
      </w:r>
      <w:r>
        <w:tab/>
        <w:t>indicates permission to do something</w:t>
      </w:r>
    </w:p>
    <w:p w14:paraId="2FD77452" w14:textId="77777777" w:rsidR="001513B0" w:rsidRDefault="001513B0" w:rsidP="001513B0">
      <w:pPr>
        <w:pStyle w:val="EX"/>
      </w:pPr>
      <w:r w:rsidRPr="00774DA4">
        <w:rPr>
          <w:b/>
        </w:rPr>
        <w:t>need not</w:t>
      </w:r>
      <w:r>
        <w:tab/>
        <w:t>indicates permission not to do something</w:t>
      </w:r>
    </w:p>
    <w:p w14:paraId="779634BE" w14:textId="77777777" w:rsidR="001513B0" w:rsidRDefault="001513B0" w:rsidP="001513B0">
      <w:pPr>
        <w:pStyle w:val="NO"/>
      </w:pPr>
      <w:r>
        <w:t>NOTE 3:</w:t>
      </w:r>
      <w:r>
        <w:tab/>
        <w:t>The construction "may not" is ambiguous and is not used in normative elements. The unambiguous constructions "might not" or "shall not" are used instead, depending upon the meaning intended.</w:t>
      </w:r>
    </w:p>
    <w:p w14:paraId="58725DC0" w14:textId="77777777" w:rsidR="001513B0" w:rsidRDefault="001513B0" w:rsidP="001513B0">
      <w:pPr>
        <w:pStyle w:val="EX"/>
      </w:pPr>
      <w:r w:rsidRPr="00774DA4">
        <w:rPr>
          <w:b/>
        </w:rPr>
        <w:t>can</w:t>
      </w:r>
      <w:r>
        <w:tab/>
        <w:t>indicates that something is possible</w:t>
      </w:r>
    </w:p>
    <w:p w14:paraId="36836AFD" w14:textId="77777777" w:rsidR="001513B0" w:rsidRDefault="001513B0" w:rsidP="001513B0">
      <w:pPr>
        <w:pStyle w:val="EX"/>
      </w:pPr>
      <w:r w:rsidRPr="00774DA4">
        <w:rPr>
          <w:b/>
        </w:rPr>
        <w:t>cannot</w:t>
      </w:r>
      <w:r>
        <w:tab/>
        <w:t>indicates that something is impossible</w:t>
      </w:r>
    </w:p>
    <w:p w14:paraId="6AAC3663" w14:textId="77777777" w:rsidR="001513B0" w:rsidRDefault="001513B0" w:rsidP="001513B0">
      <w:pPr>
        <w:pStyle w:val="NO"/>
      </w:pPr>
      <w:r>
        <w:t>NOTE 4:</w:t>
      </w:r>
      <w:r>
        <w:tab/>
        <w:t>The constructions "can" and "cannot" shall not to be used as substitutes for "may" and "need not".</w:t>
      </w:r>
    </w:p>
    <w:p w14:paraId="6BAF62EE" w14:textId="77777777" w:rsidR="001513B0" w:rsidRDefault="001513B0" w:rsidP="001513B0">
      <w:pPr>
        <w:pStyle w:val="EX"/>
      </w:pPr>
      <w:r w:rsidRPr="00774DA4">
        <w:rPr>
          <w:b/>
        </w:rPr>
        <w:t>will</w:t>
      </w:r>
      <w:r>
        <w:tab/>
        <w:t>indicates that something is certain or expected to happen as a result of action taken by an agency the behaviour of which is outside the scope of the present document</w:t>
      </w:r>
    </w:p>
    <w:p w14:paraId="4273450A" w14:textId="77777777" w:rsidR="001513B0" w:rsidRDefault="001513B0" w:rsidP="001513B0">
      <w:pPr>
        <w:pStyle w:val="EX"/>
      </w:pPr>
      <w:r w:rsidRPr="00774DA4">
        <w:rPr>
          <w:b/>
        </w:rPr>
        <w:t>will</w:t>
      </w:r>
      <w:r>
        <w:rPr>
          <w:b/>
        </w:rPr>
        <w:t xml:space="preserve"> not</w:t>
      </w:r>
      <w:r>
        <w:tab/>
        <w:t>indicates that something is certain or expected not to happen as a result of action taken by an agency the behaviour of which is outside the scope of the present document</w:t>
      </w:r>
    </w:p>
    <w:p w14:paraId="5B2C5EC8" w14:textId="77777777" w:rsidR="001513B0" w:rsidRDefault="001513B0" w:rsidP="001513B0">
      <w:pPr>
        <w:pStyle w:val="EX"/>
      </w:pPr>
      <w:r>
        <w:rPr>
          <w:b/>
        </w:rPr>
        <w:t>might</w:t>
      </w:r>
      <w:r w:rsidRPr="001F1132">
        <w:tab/>
        <w:t xml:space="preserve">indicates a likelihood that something will happen as a result of </w:t>
      </w:r>
      <w:r>
        <w:t xml:space="preserve">action taken by </w:t>
      </w:r>
      <w:r w:rsidRPr="001F1132">
        <w:t>some agency the</w:t>
      </w:r>
      <w:r>
        <w:t xml:space="preserve"> behaviour of which is outside the scope of the present document</w:t>
      </w:r>
    </w:p>
    <w:p w14:paraId="503D09CE" w14:textId="77777777" w:rsidR="001513B0" w:rsidRDefault="001513B0" w:rsidP="001513B0">
      <w:pPr>
        <w:pStyle w:val="EX"/>
      </w:pPr>
      <w:r>
        <w:rPr>
          <w:b/>
        </w:rPr>
        <w:lastRenderedPageBreak/>
        <w:t>might not</w:t>
      </w:r>
      <w:r w:rsidRPr="001F1132">
        <w:tab/>
        <w:t xml:space="preserve">indicates a likelihood that something will </w:t>
      </w:r>
      <w:r>
        <w:t xml:space="preserve">not </w:t>
      </w:r>
      <w:r w:rsidRPr="001F1132">
        <w:t xml:space="preserve">happen as a result of </w:t>
      </w:r>
      <w:r>
        <w:t xml:space="preserve">action taken by </w:t>
      </w:r>
      <w:r w:rsidRPr="001F1132">
        <w:t>some agency the</w:t>
      </w:r>
      <w:r>
        <w:t xml:space="preserve"> behaviour of which is outside the scope of the present document</w:t>
      </w:r>
    </w:p>
    <w:p w14:paraId="50ADF3EF" w14:textId="77777777" w:rsidR="001513B0" w:rsidRDefault="001513B0" w:rsidP="001513B0">
      <w:r>
        <w:t>In addition:</w:t>
      </w:r>
    </w:p>
    <w:p w14:paraId="3C73F855" w14:textId="77777777" w:rsidR="001513B0" w:rsidRDefault="001513B0" w:rsidP="001513B0">
      <w:pPr>
        <w:pStyle w:val="EX"/>
      </w:pPr>
      <w:r w:rsidRPr="00647114">
        <w:rPr>
          <w:b/>
        </w:rPr>
        <w:t>is</w:t>
      </w:r>
      <w:r>
        <w:tab/>
        <w:t>(or any other verb in the indicative mood) indicates a statement of fact</w:t>
      </w:r>
    </w:p>
    <w:p w14:paraId="480AACEB" w14:textId="77777777" w:rsidR="001513B0" w:rsidRDefault="001513B0" w:rsidP="001513B0">
      <w:pPr>
        <w:pStyle w:val="EX"/>
      </w:pPr>
      <w:r w:rsidRPr="00647114">
        <w:rPr>
          <w:b/>
        </w:rPr>
        <w:t>is not</w:t>
      </w:r>
      <w:r>
        <w:tab/>
        <w:t>(or any other negative verb in the indicative mood) indicates a statement of fact</w:t>
      </w:r>
    </w:p>
    <w:p w14:paraId="5C989D9E" w14:textId="77777777" w:rsidR="001513B0" w:rsidRPr="004D3578" w:rsidRDefault="001513B0" w:rsidP="001513B0">
      <w:pPr>
        <w:pStyle w:val="NO"/>
      </w:pPr>
      <w:r>
        <w:t>NOTE 5:</w:t>
      </w:r>
      <w:r>
        <w:tab/>
        <w:t>The constructions "is" and "is not" do not indicate requirements.</w:t>
      </w:r>
    </w:p>
    <w:p w14:paraId="65E3A5F7" w14:textId="77777777" w:rsidR="00077B6E" w:rsidRPr="00AD5C59" w:rsidRDefault="00077B6E" w:rsidP="00B45B97">
      <w:pPr>
        <w:pStyle w:val="B30"/>
        <w:ind w:left="0" w:firstLine="0"/>
      </w:pPr>
    </w:p>
    <w:p w14:paraId="6962E053" w14:textId="77777777" w:rsidR="00077B6E" w:rsidRPr="007E346D" w:rsidRDefault="00077B6E" w:rsidP="00077B6E"/>
    <w:p w14:paraId="1144CA10" w14:textId="5518001F" w:rsidR="00077B6E" w:rsidRDefault="00077B6E" w:rsidP="00C60E58">
      <w:pPr>
        <w:pStyle w:val="Heading1"/>
      </w:pPr>
      <w:r w:rsidRPr="007E346D">
        <w:br w:type="page"/>
      </w:r>
      <w:bookmarkStart w:id="35" w:name="_Toc13080114"/>
      <w:bookmarkStart w:id="36" w:name="_Toc18916144"/>
      <w:bookmarkStart w:id="37" w:name="_Toc53185271"/>
      <w:bookmarkStart w:id="38" w:name="_Toc53185647"/>
      <w:bookmarkStart w:id="39" w:name="_Toc57820120"/>
      <w:bookmarkStart w:id="40" w:name="_Toc57821047"/>
      <w:bookmarkStart w:id="41" w:name="_Toc61183323"/>
      <w:bookmarkStart w:id="42" w:name="_Toc61183717"/>
      <w:bookmarkStart w:id="43" w:name="_Toc61184109"/>
      <w:bookmarkStart w:id="44" w:name="_Toc61184501"/>
      <w:bookmarkStart w:id="45" w:name="_Toc61184891"/>
      <w:bookmarkStart w:id="46" w:name="_Toc66386234"/>
      <w:bookmarkStart w:id="47" w:name="_Toc74583075"/>
      <w:bookmarkStart w:id="48" w:name="_Toc76541888"/>
      <w:bookmarkStart w:id="49" w:name="_Toc82449870"/>
      <w:bookmarkStart w:id="50" w:name="_Toc82450518"/>
      <w:bookmarkStart w:id="51" w:name="_Toc89948907"/>
      <w:bookmarkStart w:id="52" w:name="_Toc98755296"/>
      <w:bookmarkStart w:id="53" w:name="_Toc98762885"/>
      <w:bookmarkStart w:id="54" w:name="_Toc106183814"/>
      <w:r w:rsidR="00C60E58">
        <w:lastRenderedPageBreak/>
        <w:t>1</w:t>
      </w:r>
      <w:r w:rsidR="00C60E58">
        <w:tab/>
      </w:r>
      <w:r w:rsidRPr="007E346D">
        <w:t>Scope</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p>
    <w:p w14:paraId="125566F4" w14:textId="1A1D596B" w:rsidR="00BC408B" w:rsidRPr="00797C7B" w:rsidRDefault="00BC408B" w:rsidP="00BC408B">
      <w:pPr>
        <w:rPr>
          <w:rFonts w:eastAsia="DengXian"/>
          <w:lang w:eastAsia="zh-CN"/>
        </w:rPr>
      </w:pPr>
      <w:r w:rsidRPr="00797C7B">
        <w:t xml:space="preserve">The present document </w:t>
      </w:r>
      <w:r w:rsidRPr="00797C7B">
        <w:rPr>
          <w:rFonts w:cs="v5.0.0"/>
        </w:rPr>
        <w:t>establishes the minimum RF characteristics</w:t>
      </w:r>
      <w:r>
        <w:rPr>
          <w:rFonts w:cs="v5.0.0"/>
        </w:rPr>
        <w:t xml:space="preserve">, </w:t>
      </w:r>
      <w:r w:rsidRPr="00215723">
        <w:rPr>
          <w:rFonts w:cs="v5.0.0"/>
        </w:rPr>
        <w:t xml:space="preserve">minimum radio resource management (RRM) requirements, RRM test cases </w:t>
      </w:r>
      <w:r w:rsidRPr="00797C7B">
        <w:rPr>
          <w:rFonts w:cs="v5.0.0"/>
        </w:rPr>
        <w:t xml:space="preserve">and minimum performance requirements of </w:t>
      </w:r>
      <w:r w:rsidRPr="00797C7B">
        <w:rPr>
          <w:rFonts w:cs="v5.0.0"/>
          <w:shd w:val="clear" w:color="auto" w:fill="FFFFFF"/>
        </w:rPr>
        <w:t>NR</w:t>
      </w:r>
      <w:r w:rsidRPr="00797C7B">
        <w:rPr>
          <w:rFonts w:cs="v5.0.0"/>
        </w:rPr>
        <w:t xml:space="preserve"> </w:t>
      </w:r>
      <w:r w:rsidRPr="00797C7B">
        <w:rPr>
          <w:rFonts w:eastAsia="DengXian" w:cs="v5.0.0"/>
          <w:lang w:eastAsia="zh-CN"/>
        </w:rPr>
        <w:t>Integrated</w:t>
      </w:r>
      <w:r w:rsidRPr="00797C7B">
        <w:rPr>
          <w:rFonts w:eastAsia="DengXian" w:cs="v5.0.0" w:hint="eastAsia"/>
          <w:lang w:eastAsia="zh-CN"/>
        </w:rPr>
        <w:t xml:space="preserve"> access and backhaul</w:t>
      </w:r>
      <w:r w:rsidRPr="00797C7B">
        <w:rPr>
          <w:rFonts w:cs="v5.0.0"/>
        </w:rPr>
        <w:t xml:space="preserve"> (</w:t>
      </w:r>
      <w:r w:rsidRPr="00797C7B">
        <w:rPr>
          <w:rFonts w:eastAsia="DengXian" w:cs="v5.0.0" w:hint="eastAsia"/>
          <w:lang w:eastAsia="zh-CN"/>
        </w:rPr>
        <w:t>IAB</w:t>
      </w:r>
      <w:r w:rsidRPr="00797C7B">
        <w:rPr>
          <w:rFonts w:cs="v5.0.0"/>
        </w:rPr>
        <w:t>)</w:t>
      </w:r>
      <w:r w:rsidRPr="00797C7B">
        <w:rPr>
          <w:rFonts w:eastAsia="DengXian" w:cs="v5.0.0" w:hint="eastAsia"/>
          <w:lang w:eastAsia="zh-CN"/>
        </w:rPr>
        <w:t>.</w:t>
      </w:r>
    </w:p>
    <w:p w14:paraId="3E799482" w14:textId="77777777" w:rsidR="002902C7" w:rsidRPr="002902C7" w:rsidRDefault="002902C7" w:rsidP="00B45B97">
      <w:pPr>
        <w:rPr>
          <w:rFonts w:eastAsiaTheme="minorEastAsia"/>
          <w:lang w:eastAsia="zh-CN"/>
        </w:rPr>
      </w:pPr>
    </w:p>
    <w:p w14:paraId="59431458" w14:textId="2785474C" w:rsidR="00077B6E" w:rsidRDefault="00C60E58" w:rsidP="00C60E58">
      <w:pPr>
        <w:pStyle w:val="Heading1"/>
      </w:pPr>
      <w:bookmarkStart w:id="55" w:name="_Toc13080115"/>
      <w:bookmarkStart w:id="56" w:name="_Toc18916145"/>
      <w:bookmarkStart w:id="57" w:name="_Toc53185272"/>
      <w:bookmarkStart w:id="58" w:name="_Toc53185648"/>
      <w:bookmarkStart w:id="59" w:name="_Toc57820121"/>
      <w:bookmarkStart w:id="60" w:name="_Toc57821048"/>
      <w:bookmarkStart w:id="61" w:name="_Toc61183324"/>
      <w:bookmarkStart w:id="62" w:name="_Toc61183718"/>
      <w:bookmarkStart w:id="63" w:name="_Toc61184110"/>
      <w:bookmarkStart w:id="64" w:name="_Toc61184502"/>
      <w:bookmarkStart w:id="65" w:name="_Toc61184892"/>
      <w:bookmarkStart w:id="66" w:name="_Toc66386235"/>
      <w:bookmarkStart w:id="67" w:name="_Toc74583076"/>
      <w:bookmarkStart w:id="68" w:name="_Toc76541889"/>
      <w:bookmarkStart w:id="69" w:name="_Toc82449871"/>
      <w:bookmarkStart w:id="70" w:name="_Toc82450519"/>
      <w:bookmarkStart w:id="71" w:name="_Toc89948908"/>
      <w:bookmarkStart w:id="72" w:name="_Toc98755297"/>
      <w:bookmarkStart w:id="73" w:name="_Toc98762886"/>
      <w:bookmarkStart w:id="74" w:name="_Toc106183815"/>
      <w:r>
        <w:t>2</w:t>
      </w:r>
      <w:r>
        <w:tab/>
      </w:r>
      <w:r w:rsidR="00077B6E" w:rsidRPr="007E346D">
        <w:t>References</w:t>
      </w:r>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p>
    <w:p w14:paraId="7D705AFE" w14:textId="77777777" w:rsidR="00AD5C59" w:rsidRPr="004D3578" w:rsidRDefault="00AD5C59" w:rsidP="00AD5C59">
      <w:r w:rsidRPr="004D3578">
        <w:t>The following documents contain provisions which, through reference in this text, constitute provisions of the present document.</w:t>
      </w:r>
    </w:p>
    <w:p w14:paraId="5A5FB91C" w14:textId="77777777" w:rsidR="00AD5C59" w:rsidRPr="004D3578" w:rsidRDefault="00AD5C59" w:rsidP="00C60E58">
      <w:pPr>
        <w:pStyle w:val="B10"/>
      </w:pPr>
      <w:r>
        <w:t>-</w:t>
      </w:r>
      <w:r>
        <w:tab/>
      </w:r>
      <w:r w:rsidRPr="004D3578">
        <w:t>References are either specific (identified by date of publication, edition number, version number, etc.) or non</w:t>
      </w:r>
      <w:r w:rsidRPr="004D3578">
        <w:noBreakHyphen/>
        <w:t>specific.</w:t>
      </w:r>
    </w:p>
    <w:p w14:paraId="254D444F" w14:textId="77777777" w:rsidR="00AD5C59" w:rsidRPr="004D3578" w:rsidRDefault="00AD5C59" w:rsidP="00C60E58">
      <w:pPr>
        <w:pStyle w:val="B10"/>
      </w:pPr>
      <w:r>
        <w:t>-</w:t>
      </w:r>
      <w:r>
        <w:tab/>
      </w:r>
      <w:r w:rsidRPr="004D3578">
        <w:t>For a specific reference, subsequent revisions do not apply.</w:t>
      </w:r>
    </w:p>
    <w:p w14:paraId="20425C13" w14:textId="77777777" w:rsidR="00AD5C59" w:rsidRPr="004D3578" w:rsidRDefault="00AD5C59" w:rsidP="00C60E58">
      <w:pPr>
        <w:pStyle w:val="B10"/>
      </w:pPr>
      <w:r>
        <w:t>-</w:t>
      </w:r>
      <w:r>
        <w:tab/>
      </w:r>
      <w:r w:rsidRPr="004D3578">
        <w:t>For a non-specific reference, the latest version applies. In the case of a reference to a 3GPP document (including a GSM document), a non-specific reference implicitly refers to the latest version of that document</w:t>
      </w:r>
      <w:r w:rsidRPr="004D3578">
        <w:rPr>
          <w:i/>
        </w:rPr>
        <w:t xml:space="preserve"> in the same Release as the present document</w:t>
      </w:r>
      <w:r w:rsidRPr="004D3578">
        <w:t>.</w:t>
      </w:r>
    </w:p>
    <w:p w14:paraId="2CD3026C" w14:textId="6096A04C" w:rsidR="00AD5C59" w:rsidRDefault="00AD5C59" w:rsidP="00AD5C59">
      <w:pPr>
        <w:pStyle w:val="EX"/>
      </w:pPr>
      <w:r w:rsidRPr="004D3578">
        <w:t>[1]</w:t>
      </w:r>
      <w:r w:rsidRPr="004D3578">
        <w:tab/>
        <w:t>3GPP TR 21.905: "Vocabulary for 3GPP Specifications".</w:t>
      </w:r>
    </w:p>
    <w:p w14:paraId="0466B6F4" w14:textId="366667A5" w:rsidR="00720A93" w:rsidRDefault="00720A93" w:rsidP="00720A93">
      <w:pPr>
        <w:pStyle w:val="EX"/>
      </w:pPr>
      <w:r>
        <w:t>[2]</w:t>
      </w:r>
      <w:r>
        <w:tab/>
        <w:t>3GPP TS 38.104: “NR; Base Station (BS) radio transmission and reception”</w:t>
      </w:r>
    </w:p>
    <w:p w14:paraId="11A2F63E" w14:textId="3ADCA188" w:rsidR="00544C1C" w:rsidRDefault="00544C1C" w:rsidP="00720A93">
      <w:pPr>
        <w:pStyle w:val="EX"/>
      </w:pPr>
      <w:r>
        <w:t>[3]</w:t>
      </w:r>
      <w:r>
        <w:tab/>
      </w:r>
      <w:r w:rsidR="00AE6939">
        <w:t xml:space="preserve">3GPP TS 38.101-1: “NR User Equipment (UE) radio transmission and reception; </w:t>
      </w:r>
      <w:r w:rsidR="00CA0CB6">
        <w:t>Part 1: Range 1 Standalone</w:t>
      </w:r>
      <w:r w:rsidR="00937D49">
        <w:t>”</w:t>
      </w:r>
    </w:p>
    <w:p w14:paraId="3C3E11B8" w14:textId="75238D26" w:rsidR="00CA0CB6" w:rsidRDefault="00CA0CB6" w:rsidP="00720A93">
      <w:pPr>
        <w:pStyle w:val="EX"/>
      </w:pPr>
      <w:r>
        <w:t>[4]</w:t>
      </w:r>
      <w:r w:rsidR="00937D49">
        <w:tab/>
        <w:t>3GPP TS 38.101-2: “NR User Equipment (UE) radio transmission and reception: Part 2: Range 2 Standalone”</w:t>
      </w:r>
      <w:r>
        <w:t xml:space="preserve"> </w:t>
      </w:r>
    </w:p>
    <w:p w14:paraId="47676715" w14:textId="40FE8E62" w:rsidR="000C79EC" w:rsidRDefault="00B07020" w:rsidP="0026181B">
      <w:pPr>
        <w:pStyle w:val="EX"/>
      </w:pPr>
      <w:r w:rsidRPr="00CF28C0">
        <w:t>[</w:t>
      </w:r>
      <w:r>
        <w:rPr>
          <w:rFonts w:eastAsiaTheme="minorEastAsia"/>
          <w:lang w:eastAsia="zh-CN"/>
        </w:rPr>
        <w:t>5</w:t>
      </w:r>
      <w:r w:rsidRPr="00CF28C0">
        <w:t>]</w:t>
      </w:r>
      <w:r w:rsidRPr="00CF28C0">
        <w:tab/>
        <w:t>3GPP TS 38.101-</w:t>
      </w:r>
      <w:r>
        <w:rPr>
          <w:rFonts w:eastAsiaTheme="minorEastAsia" w:hint="eastAsia"/>
          <w:lang w:eastAsia="zh-CN"/>
        </w:rPr>
        <w:t>3</w:t>
      </w:r>
      <w:r w:rsidRPr="00CF28C0">
        <w:t xml:space="preserve">: "NR; User Equipment (UE) radio transmission and reception; Part </w:t>
      </w:r>
      <w:r>
        <w:rPr>
          <w:rFonts w:eastAsiaTheme="minorEastAsia" w:hint="eastAsia"/>
          <w:lang w:eastAsia="zh-CN"/>
        </w:rPr>
        <w:t>3</w:t>
      </w:r>
      <w:r w:rsidRPr="00CF28C0">
        <w:t xml:space="preserve">: </w:t>
      </w:r>
      <w:r w:rsidRPr="0058089E">
        <w:t>Range 1 and Range 2 Interworking operation with other radios</w:t>
      </w:r>
      <w:r w:rsidRPr="00CF28C0">
        <w:t xml:space="preserve"> "</w:t>
      </w:r>
    </w:p>
    <w:p w14:paraId="00A92032" w14:textId="31886D62" w:rsidR="0026181B" w:rsidRPr="002276DC" w:rsidRDefault="0026181B" w:rsidP="002276DC">
      <w:pPr>
        <w:pStyle w:val="EX"/>
      </w:pPr>
      <w:r>
        <w:t>[6]</w:t>
      </w:r>
      <w:r>
        <w:tab/>
      </w:r>
      <w:r w:rsidR="006963E2">
        <w:t>3GPP TS 38.133</w:t>
      </w:r>
      <w:r w:rsidR="004C50D0">
        <w:t>: “NR: Requirements for support of radio resource management”</w:t>
      </w:r>
    </w:p>
    <w:p w14:paraId="06729869" w14:textId="77777777" w:rsidR="00706724" w:rsidRDefault="00706724" w:rsidP="00706724">
      <w:pPr>
        <w:pStyle w:val="EX"/>
      </w:pPr>
      <w:r w:rsidRPr="00885F53">
        <w:t>[</w:t>
      </w:r>
      <w:r>
        <w:t>7</w:t>
      </w:r>
      <w:r w:rsidRPr="00885F53">
        <w:t>]</w:t>
      </w:r>
      <w:r w:rsidRPr="00885F53">
        <w:tab/>
        <w:t>3GPP TS 38.300: "NR; Overall description; Stage-2".</w:t>
      </w:r>
    </w:p>
    <w:p w14:paraId="754D99D5" w14:textId="77777777" w:rsidR="00706724" w:rsidRPr="00885F53" w:rsidRDefault="00706724" w:rsidP="00706724">
      <w:pPr>
        <w:pStyle w:val="EX"/>
      </w:pPr>
      <w:r w:rsidRPr="00885F53">
        <w:t>[</w:t>
      </w:r>
      <w:r>
        <w:t>8</w:t>
      </w:r>
      <w:r w:rsidRPr="00885F53">
        <w:t>]</w:t>
      </w:r>
      <w:r w:rsidRPr="00885F53">
        <w:tab/>
        <w:t xml:space="preserve">3GPP TS 38.211: </w:t>
      </w:r>
      <w:bookmarkStart w:id="75" w:name="OLE_LINK44"/>
      <w:bookmarkStart w:id="76" w:name="OLE_LINK45"/>
      <w:r w:rsidRPr="00885F53">
        <w:t>"</w:t>
      </w:r>
      <w:bookmarkEnd w:id="75"/>
      <w:bookmarkEnd w:id="76"/>
      <w:r w:rsidRPr="00885F53">
        <w:t>NR; Physical channels and modulation”.</w:t>
      </w:r>
    </w:p>
    <w:p w14:paraId="3D13683B" w14:textId="77777777" w:rsidR="00706724" w:rsidRPr="00885F53" w:rsidRDefault="00706724" w:rsidP="00706724">
      <w:pPr>
        <w:pStyle w:val="EX"/>
      </w:pPr>
      <w:r w:rsidRPr="00885F53">
        <w:t>[</w:t>
      </w:r>
      <w:r>
        <w:t>9</w:t>
      </w:r>
      <w:r w:rsidRPr="00885F53">
        <w:t>]</w:t>
      </w:r>
      <w:r w:rsidRPr="00885F53">
        <w:tab/>
        <w:t>3GPP TS 38.212 "NR; Multiplexing and channel coding".</w:t>
      </w:r>
    </w:p>
    <w:p w14:paraId="2C926FFC" w14:textId="77777777" w:rsidR="00706724" w:rsidRDefault="00706724" w:rsidP="00706724">
      <w:pPr>
        <w:pStyle w:val="EX"/>
      </w:pPr>
      <w:r w:rsidRPr="00885F53">
        <w:t>[</w:t>
      </w:r>
      <w:r>
        <w:t>10</w:t>
      </w:r>
      <w:r w:rsidRPr="00885F53">
        <w:t>]</w:t>
      </w:r>
      <w:r w:rsidRPr="00885F53">
        <w:tab/>
        <w:t>3GPP TS 38.213: "NR; Physical layer procedures for control".</w:t>
      </w:r>
    </w:p>
    <w:p w14:paraId="08DED424" w14:textId="77777777" w:rsidR="00706724" w:rsidRPr="00885F53" w:rsidRDefault="00706724" w:rsidP="00706724">
      <w:pPr>
        <w:pStyle w:val="EX"/>
      </w:pPr>
      <w:r w:rsidRPr="00885F53">
        <w:t>[</w:t>
      </w:r>
      <w:r>
        <w:t>11</w:t>
      </w:r>
      <w:r w:rsidRPr="00885F53">
        <w:t>]</w:t>
      </w:r>
      <w:r w:rsidRPr="00885F53">
        <w:tab/>
        <w:t>3GPP TS 38.214: "NR; Physical layer procedures for data".</w:t>
      </w:r>
    </w:p>
    <w:p w14:paraId="677D2864" w14:textId="77777777" w:rsidR="00706724" w:rsidRDefault="00706724" w:rsidP="00706724">
      <w:pPr>
        <w:pStyle w:val="EX"/>
      </w:pPr>
      <w:r w:rsidRPr="00885F53">
        <w:t>[</w:t>
      </w:r>
      <w:r>
        <w:t>12</w:t>
      </w:r>
      <w:r w:rsidRPr="00885F53">
        <w:t>]</w:t>
      </w:r>
      <w:r w:rsidRPr="00885F53">
        <w:tab/>
        <w:t>3GPP TS 38.215: "NR; Physical layer measurements".</w:t>
      </w:r>
    </w:p>
    <w:p w14:paraId="478370D3" w14:textId="77777777" w:rsidR="00706724" w:rsidRPr="00885F53" w:rsidRDefault="00706724" w:rsidP="00706724">
      <w:pPr>
        <w:pStyle w:val="EX"/>
      </w:pPr>
      <w:r w:rsidRPr="00885F53">
        <w:t>[</w:t>
      </w:r>
      <w:r>
        <w:t>13</w:t>
      </w:r>
      <w:r w:rsidRPr="00885F53">
        <w:t>]</w:t>
      </w:r>
      <w:r w:rsidRPr="00885F53">
        <w:tab/>
        <w:t>3GPP TS 38.304: "NR; User Equipment (UE) procedures in idle mode".</w:t>
      </w:r>
    </w:p>
    <w:p w14:paraId="188C2918" w14:textId="77777777" w:rsidR="00706724" w:rsidRDefault="00706724" w:rsidP="00706724">
      <w:pPr>
        <w:pStyle w:val="EX"/>
      </w:pPr>
      <w:r w:rsidRPr="00885F53">
        <w:t>[</w:t>
      </w:r>
      <w:r>
        <w:t>14</w:t>
      </w:r>
      <w:r w:rsidRPr="00885F53">
        <w:t>]</w:t>
      </w:r>
      <w:r w:rsidRPr="00885F53">
        <w:tab/>
        <w:t>3GPP TS 38.321: "NR; Medium Access Control (MAC) protocol specification".</w:t>
      </w:r>
    </w:p>
    <w:p w14:paraId="54113A69" w14:textId="507BFED3" w:rsidR="00706724" w:rsidRDefault="00706724" w:rsidP="00706724">
      <w:pPr>
        <w:pStyle w:val="EX"/>
      </w:pPr>
      <w:r w:rsidRPr="00885F53">
        <w:t>[</w:t>
      </w:r>
      <w:r>
        <w:t>15</w:t>
      </w:r>
      <w:r w:rsidRPr="00885F53">
        <w:t>]</w:t>
      </w:r>
      <w:r w:rsidRPr="00885F53">
        <w:tab/>
        <w:t>3GPP TS 38.331: "NR; Radio Resource Control (RRC); Protocol specification".</w:t>
      </w:r>
    </w:p>
    <w:p w14:paraId="595225E8" w14:textId="0738CDF3" w:rsidR="000406D4" w:rsidRDefault="000406D4" w:rsidP="000406D4">
      <w:pPr>
        <w:pStyle w:val="EX"/>
      </w:pPr>
      <w:r w:rsidRPr="00E26D09">
        <w:t>[</w:t>
      </w:r>
      <w:r>
        <w:t>16</w:t>
      </w:r>
      <w:r w:rsidRPr="00E26D09">
        <w:t>]</w:t>
      </w:r>
      <w:r w:rsidRPr="00E26D09">
        <w:tab/>
        <w:t>ITU-R Recommendation SM.329: "Unwanted emissions in the spurious domain".</w:t>
      </w:r>
    </w:p>
    <w:p w14:paraId="3F850C93" w14:textId="70CA706A" w:rsidR="000406D4" w:rsidRDefault="000406D4" w:rsidP="000406D4">
      <w:pPr>
        <w:pStyle w:val="EX"/>
        <w:rPr>
          <w:rFonts w:eastAsiaTheme="minorEastAsia"/>
        </w:rPr>
      </w:pPr>
      <w:r>
        <w:t>[17]</w:t>
      </w:r>
      <w:r>
        <w:tab/>
      </w:r>
      <w:r w:rsidRPr="00992827">
        <w:rPr>
          <w:rFonts w:eastAsiaTheme="minorEastAsia"/>
        </w:rPr>
        <w:t>ERC Recommendation 74-01, "Unwanted emissions in the spurious domain".</w:t>
      </w:r>
    </w:p>
    <w:p w14:paraId="3FEBC349" w14:textId="15B3EB60" w:rsidR="000406D4" w:rsidRPr="00402A79" w:rsidRDefault="001623C4" w:rsidP="00402A79">
      <w:pPr>
        <w:pStyle w:val="EX"/>
        <w:rPr>
          <w:rFonts w:eastAsiaTheme="minorEastAsia"/>
        </w:rPr>
      </w:pPr>
      <w:r>
        <w:t>[18]</w:t>
      </w:r>
      <w:r>
        <w:tab/>
      </w:r>
      <w:r w:rsidR="00B17BCF">
        <w:t>ITU-R Recommendation M.1545: “Measurement uncertainty as it applies to test limits for the terrestrial component of International Mobile Telecommunications – 2000”</w:t>
      </w:r>
    </w:p>
    <w:p w14:paraId="0FE75924" w14:textId="77777777" w:rsidR="00934575" w:rsidRDefault="00934575" w:rsidP="00934575">
      <w:pPr>
        <w:pStyle w:val="EX"/>
      </w:pPr>
      <w:bookmarkStart w:id="77" w:name="_Hlk496105834"/>
      <w:r>
        <w:t>[19]</w:t>
      </w:r>
      <w:r>
        <w:tab/>
        <w:t>Recommendation ITU-R SM.328: "Spectra and bandwidth of emissions".</w:t>
      </w:r>
      <w:bookmarkEnd w:id="77"/>
    </w:p>
    <w:p w14:paraId="39537712" w14:textId="2BE4E8A7" w:rsidR="00934575" w:rsidRDefault="00934575" w:rsidP="00934575">
      <w:pPr>
        <w:pStyle w:val="EX"/>
      </w:pPr>
      <w:r w:rsidRPr="00F95B02">
        <w:t>[</w:t>
      </w:r>
      <w:r>
        <w:t>20</w:t>
      </w:r>
      <w:r w:rsidRPr="00F95B02">
        <w:t>]</w:t>
      </w:r>
      <w:r w:rsidRPr="00F95B02">
        <w:tab/>
        <w:t>"Title 47 of the Code of Federal Regulations (CFR)", Federal Communications Commission.</w:t>
      </w:r>
    </w:p>
    <w:p w14:paraId="43EDE257" w14:textId="66FEA016" w:rsidR="009473BD" w:rsidRDefault="009473BD" w:rsidP="009473BD">
      <w:pPr>
        <w:pStyle w:val="EX"/>
      </w:pPr>
      <w:r>
        <w:lastRenderedPageBreak/>
        <w:t>[21]</w:t>
      </w:r>
      <w:r>
        <w:tab/>
      </w:r>
      <w:r w:rsidRPr="00F95B02">
        <w:t>3GPP TS 38.141-2: "NR; Base Station (BS) conformance testing; Part 2: Radiated conformance testing".</w:t>
      </w:r>
    </w:p>
    <w:p w14:paraId="3610A195" w14:textId="16CE1921" w:rsidR="00AD5C59" w:rsidRDefault="00690659" w:rsidP="00690659">
      <w:pPr>
        <w:pStyle w:val="EX"/>
      </w:pPr>
      <w:r>
        <w:rPr>
          <w:rFonts w:hint="eastAsia"/>
        </w:rPr>
        <w:t>[22]</w:t>
      </w:r>
      <w:r>
        <w:rPr>
          <w:rFonts w:hint="eastAsia"/>
        </w:rPr>
        <w:tab/>
      </w:r>
      <w:r>
        <w:t>3GPP TS 38.141-1: "NR; Base Station (BS) conformance testing; Part 1: Conducted conformance testing"</w:t>
      </w:r>
      <w:r>
        <w:rPr>
          <w:rFonts w:hint="eastAsia"/>
        </w:rPr>
        <w:t>.</w:t>
      </w:r>
    </w:p>
    <w:p w14:paraId="06BC91C9" w14:textId="77777777" w:rsidR="003E36E9" w:rsidRDefault="003E36E9" w:rsidP="003E36E9">
      <w:pPr>
        <w:pStyle w:val="EX"/>
        <w:rPr>
          <w:rFonts w:cs="Arial"/>
          <w:szCs w:val="34"/>
          <w:lang w:eastAsia="zh-CN"/>
        </w:rPr>
      </w:pPr>
      <w:r>
        <w:rPr>
          <w:rFonts w:hint="eastAsia"/>
          <w:lang w:eastAsia="zh-CN"/>
        </w:rPr>
        <w:t>[23]</w:t>
      </w:r>
      <w:r>
        <w:rPr>
          <w:rFonts w:hint="eastAsia"/>
          <w:lang w:eastAsia="zh-CN"/>
        </w:rPr>
        <w:tab/>
      </w:r>
      <w:r>
        <w:t>3GPP TS 38.</w:t>
      </w:r>
      <w:r>
        <w:rPr>
          <w:rFonts w:hint="eastAsia"/>
          <w:lang w:eastAsia="zh-CN"/>
        </w:rPr>
        <w:t>52</w:t>
      </w:r>
      <w:r>
        <w:t>1-1:</w:t>
      </w:r>
      <w:r>
        <w:rPr>
          <w:rFonts w:hint="eastAsia"/>
          <w:lang w:eastAsia="zh-CN"/>
        </w:rPr>
        <w:t xml:space="preserve"> </w:t>
      </w:r>
      <w:r>
        <w:rPr>
          <w:lang w:eastAsia="zh-CN"/>
        </w:rPr>
        <w:t>“</w:t>
      </w:r>
      <w:r>
        <w:rPr>
          <w:rFonts w:cs="Arial" w:hint="eastAsia"/>
          <w:szCs w:val="34"/>
          <w:lang w:eastAsia="zh-CN"/>
        </w:rPr>
        <w:t xml:space="preserve">NR; </w:t>
      </w:r>
      <w:r>
        <w:rPr>
          <w:rFonts w:cs="Arial"/>
          <w:szCs w:val="34"/>
        </w:rPr>
        <w:t>User Equipment (UE) conformance specification</w:t>
      </w:r>
      <w:r>
        <w:rPr>
          <w:rFonts w:cs="Arial" w:hint="eastAsia"/>
          <w:szCs w:val="34"/>
          <w:lang w:eastAsia="zh-CN"/>
        </w:rPr>
        <w:t xml:space="preserve">; Radio transmission and reception; </w:t>
      </w:r>
      <w:r>
        <w:rPr>
          <w:rFonts w:cs="Arial"/>
          <w:szCs w:val="34"/>
        </w:rPr>
        <w:t>Part 1: Range 1</w:t>
      </w:r>
      <w:r>
        <w:rPr>
          <w:rFonts w:cs="Arial" w:hint="eastAsia"/>
          <w:szCs w:val="34"/>
          <w:lang w:eastAsia="zh-CN"/>
        </w:rPr>
        <w:t xml:space="preserve"> </w:t>
      </w:r>
      <w:r>
        <w:rPr>
          <w:rFonts w:cs="Arial"/>
          <w:szCs w:val="34"/>
        </w:rPr>
        <w:t>Standalone</w:t>
      </w:r>
      <w:r>
        <w:rPr>
          <w:rFonts w:cs="Arial"/>
          <w:szCs w:val="34"/>
          <w:lang w:eastAsia="zh-CN"/>
        </w:rPr>
        <w:t>”</w:t>
      </w:r>
      <w:r>
        <w:rPr>
          <w:rFonts w:cs="Arial" w:hint="eastAsia"/>
          <w:szCs w:val="34"/>
          <w:lang w:eastAsia="zh-CN"/>
        </w:rPr>
        <w:t>.</w:t>
      </w:r>
    </w:p>
    <w:p w14:paraId="0B318CB0" w14:textId="330D6C13" w:rsidR="003E36E9" w:rsidRDefault="003E36E9" w:rsidP="003E36E9">
      <w:pPr>
        <w:pStyle w:val="EX"/>
        <w:rPr>
          <w:rFonts w:cs="Arial"/>
          <w:szCs w:val="34"/>
          <w:lang w:eastAsia="zh-CN"/>
        </w:rPr>
      </w:pPr>
      <w:r>
        <w:rPr>
          <w:rFonts w:hint="eastAsia"/>
          <w:lang w:eastAsia="zh-CN"/>
        </w:rPr>
        <w:t>[24]</w:t>
      </w:r>
      <w:r>
        <w:rPr>
          <w:rFonts w:hint="eastAsia"/>
          <w:lang w:eastAsia="zh-CN"/>
        </w:rPr>
        <w:tab/>
      </w:r>
      <w:r>
        <w:t>3GPP TS 38.</w:t>
      </w:r>
      <w:r>
        <w:rPr>
          <w:rFonts w:hint="eastAsia"/>
          <w:lang w:eastAsia="zh-CN"/>
        </w:rPr>
        <w:t>52</w:t>
      </w:r>
      <w:r>
        <w:t>1-</w:t>
      </w:r>
      <w:r>
        <w:rPr>
          <w:rFonts w:hint="eastAsia"/>
          <w:lang w:eastAsia="zh-CN"/>
        </w:rPr>
        <w:t>2</w:t>
      </w:r>
      <w:r>
        <w:t>:</w:t>
      </w:r>
      <w:r>
        <w:rPr>
          <w:rFonts w:hint="eastAsia"/>
          <w:lang w:eastAsia="zh-CN"/>
        </w:rPr>
        <w:t xml:space="preserve"> </w:t>
      </w:r>
      <w:r>
        <w:rPr>
          <w:lang w:eastAsia="zh-CN"/>
        </w:rPr>
        <w:t>“</w:t>
      </w:r>
      <w:r>
        <w:rPr>
          <w:rFonts w:cs="Arial" w:hint="eastAsia"/>
          <w:szCs w:val="34"/>
          <w:lang w:eastAsia="zh-CN"/>
        </w:rPr>
        <w:t xml:space="preserve">NR; </w:t>
      </w:r>
      <w:r>
        <w:rPr>
          <w:rFonts w:cs="Arial"/>
          <w:szCs w:val="34"/>
        </w:rPr>
        <w:t>User Equipment (UE) conformance specification</w:t>
      </w:r>
      <w:r>
        <w:rPr>
          <w:rFonts w:cs="Arial" w:hint="eastAsia"/>
          <w:szCs w:val="34"/>
          <w:lang w:eastAsia="zh-CN"/>
        </w:rPr>
        <w:t xml:space="preserve">; Radio transmission and reception; </w:t>
      </w:r>
      <w:r>
        <w:rPr>
          <w:rFonts w:cs="Arial"/>
          <w:szCs w:val="34"/>
        </w:rPr>
        <w:t xml:space="preserve">Part </w:t>
      </w:r>
      <w:r>
        <w:rPr>
          <w:rFonts w:cs="Arial" w:hint="eastAsia"/>
          <w:szCs w:val="34"/>
          <w:lang w:eastAsia="zh-CN"/>
        </w:rPr>
        <w:t>2</w:t>
      </w:r>
      <w:r>
        <w:rPr>
          <w:rFonts w:cs="Arial"/>
          <w:szCs w:val="34"/>
        </w:rPr>
        <w:t xml:space="preserve">: Range </w:t>
      </w:r>
      <w:r>
        <w:rPr>
          <w:rFonts w:cs="Arial" w:hint="eastAsia"/>
          <w:szCs w:val="34"/>
          <w:lang w:eastAsia="zh-CN"/>
        </w:rPr>
        <w:t xml:space="preserve">2 </w:t>
      </w:r>
      <w:r>
        <w:rPr>
          <w:rFonts w:cs="Arial"/>
          <w:szCs w:val="34"/>
        </w:rPr>
        <w:t>Standalone</w:t>
      </w:r>
      <w:r>
        <w:rPr>
          <w:rFonts w:cs="Arial"/>
          <w:szCs w:val="34"/>
          <w:lang w:eastAsia="zh-CN"/>
        </w:rPr>
        <w:t>”</w:t>
      </w:r>
      <w:r>
        <w:rPr>
          <w:rFonts w:cs="Arial" w:hint="eastAsia"/>
          <w:szCs w:val="34"/>
          <w:lang w:eastAsia="zh-CN"/>
        </w:rPr>
        <w:t>.</w:t>
      </w:r>
    </w:p>
    <w:p w14:paraId="5247A181" w14:textId="77777777" w:rsidR="008C4CE6" w:rsidRDefault="008C4CE6" w:rsidP="008C4CE6">
      <w:pPr>
        <w:pStyle w:val="EX"/>
      </w:pPr>
      <w:r>
        <w:t>[25]</w:t>
      </w:r>
      <w:r>
        <w:tab/>
        <w:t>3GPP TS 38.176-1: "NR; Integrated Access and Backhaul (IAB) conformance testing; Part 1: Conducted conformance testing".</w:t>
      </w:r>
    </w:p>
    <w:p w14:paraId="210BB3B9" w14:textId="77777777" w:rsidR="008C4CE6" w:rsidRDefault="008C4CE6" w:rsidP="008C4CE6">
      <w:pPr>
        <w:pStyle w:val="EX"/>
      </w:pPr>
      <w:r>
        <w:t>[26]</w:t>
      </w:r>
      <w:r>
        <w:tab/>
        <w:t>3GPP TS 38.176-2: "</w:t>
      </w:r>
      <w:r w:rsidRPr="00842B9B">
        <w:t>NR; Integrated Access and Backhaul (IAB) conformance testing; Part 2: Radiated conformance testing</w:t>
      </w:r>
      <w:r>
        <w:t>".</w:t>
      </w:r>
    </w:p>
    <w:p w14:paraId="24F7EBBF" w14:textId="51153155" w:rsidR="008C4CE6" w:rsidRDefault="008C4CE6" w:rsidP="003E36E9">
      <w:pPr>
        <w:pStyle w:val="EX"/>
        <w:rPr>
          <w:lang w:eastAsia="zh-CN"/>
        </w:rPr>
      </w:pPr>
      <w:r w:rsidRPr="00803DF1">
        <w:rPr>
          <w:lang w:eastAsia="zh-CN"/>
        </w:rPr>
        <w:t>[2</w:t>
      </w:r>
      <w:r>
        <w:rPr>
          <w:rFonts w:hint="eastAsia"/>
          <w:lang w:eastAsia="zh-CN"/>
        </w:rPr>
        <w:t>7</w:t>
      </w:r>
      <w:r w:rsidRPr="00803DF1">
        <w:rPr>
          <w:lang w:eastAsia="zh-CN"/>
        </w:rPr>
        <w:t>]</w:t>
      </w:r>
      <w:r w:rsidRPr="00803DF1">
        <w:rPr>
          <w:lang w:eastAsia="zh-CN"/>
        </w:rPr>
        <w:tab/>
        <w:t>3GPP TR 38.901: "Study on channel model for frequencies from 0.5 to 100 GHz"</w:t>
      </w:r>
    </w:p>
    <w:p w14:paraId="769B0A24" w14:textId="77777777" w:rsidR="00BC408B" w:rsidRPr="00EA2767" w:rsidRDefault="00BC408B" w:rsidP="00BC408B">
      <w:pPr>
        <w:pStyle w:val="EX"/>
        <w:rPr>
          <w:lang w:eastAsia="zh-CN"/>
        </w:rPr>
      </w:pPr>
      <w:r w:rsidRPr="00803DF1">
        <w:rPr>
          <w:lang w:eastAsia="zh-CN"/>
        </w:rPr>
        <w:t>[2</w:t>
      </w:r>
      <w:r>
        <w:rPr>
          <w:rFonts w:hint="eastAsia"/>
          <w:lang w:eastAsia="zh-CN"/>
        </w:rPr>
        <w:t>8</w:t>
      </w:r>
      <w:r w:rsidRPr="00803DF1">
        <w:rPr>
          <w:lang w:eastAsia="zh-CN"/>
        </w:rPr>
        <w:t>]</w:t>
      </w:r>
      <w:r w:rsidRPr="00803DF1">
        <w:rPr>
          <w:lang w:eastAsia="zh-CN"/>
        </w:rPr>
        <w:tab/>
        <w:t>3GPP TR 38.</w:t>
      </w:r>
      <w:r>
        <w:rPr>
          <w:rFonts w:hint="eastAsia"/>
          <w:lang w:eastAsia="zh-CN"/>
        </w:rPr>
        <w:t>101-4</w:t>
      </w:r>
      <w:r w:rsidRPr="00803DF1">
        <w:rPr>
          <w:lang w:eastAsia="zh-CN"/>
        </w:rPr>
        <w:t>: "</w:t>
      </w:r>
      <w:r w:rsidRPr="00CF4A6F">
        <w:rPr>
          <w:lang w:eastAsia="zh-CN"/>
        </w:rPr>
        <w:t xml:space="preserve"> </w:t>
      </w:r>
      <w:r w:rsidRPr="00C25669">
        <w:rPr>
          <w:lang w:eastAsia="zh-CN"/>
        </w:rPr>
        <w:t>NR;</w:t>
      </w:r>
      <w:r>
        <w:rPr>
          <w:rFonts w:hint="eastAsia"/>
          <w:lang w:eastAsia="zh-CN"/>
        </w:rPr>
        <w:t xml:space="preserve"> </w:t>
      </w:r>
      <w:r w:rsidRPr="00CF4A6F">
        <w:rPr>
          <w:lang w:eastAsia="zh-CN"/>
        </w:rPr>
        <w:t>User Equipment (UE) radio transmission and reception;</w:t>
      </w:r>
      <w:r>
        <w:rPr>
          <w:rFonts w:hint="eastAsia"/>
          <w:lang w:eastAsia="zh-CN"/>
        </w:rPr>
        <w:t xml:space="preserve"> </w:t>
      </w:r>
      <w:r w:rsidRPr="00CF4A6F">
        <w:rPr>
          <w:lang w:eastAsia="zh-CN"/>
        </w:rPr>
        <w:t xml:space="preserve">Part 4: </w:t>
      </w:r>
      <w:r w:rsidRPr="00C25669">
        <w:rPr>
          <w:lang w:eastAsia="zh-CN"/>
        </w:rPr>
        <w:t>Performance requirements</w:t>
      </w:r>
      <w:r w:rsidRPr="00803DF1">
        <w:rPr>
          <w:lang w:eastAsia="zh-CN"/>
        </w:rPr>
        <w:t>"</w:t>
      </w:r>
    </w:p>
    <w:p w14:paraId="351275B4" w14:textId="77777777" w:rsidR="00BC408B" w:rsidRPr="00EA2767" w:rsidRDefault="00BC408B" w:rsidP="00BC408B">
      <w:pPr>
        <w:rPr>
          <w:lang w:eastAsia="zh-CN"/>
        </w:rPr>
      </w:pPr>
    </w:p>
    <w:p w14:paraId="37139B62" w14:textId="77777777" w:rsidR="00077B6E" w:rsidRPr="007E346D" w:rsidRDefault="00077B6E" w:rsidP="00077B6E">
      <w:pPr>
        <w:pStyle w:val="Heading1"/>
      </w:pPr>
      <w:bookmarkStart w:id="78" w:name="_Toc13080116"/>
      <w:bookmarkStart w:id="79" w:name="_Toc18916146"/>
      <w:bookmarkStart w:id="80" w:name="_Toc53185273"/>
      <w:bookmarkStart w:id="81" w:name="_Toc53185649"/>
      <w:bookmarkStart w:id="82" w:name="_Toc57820122"/>
      <w:bookmarkStart w:id="83" w:name="_Toc57821049"/>
      <w:bookmarkStart w:id="84" w:name="_Toc61183325"/>
      <w:bookmarkStart w:id="85" w:name="_Toc61183719"/>
      <w:bookmarkStart w:id="86" w:name="_Toc61184111"/>
      <w:bookmarkStart w:id="87" w:name="_Toc61184503"/>
      <w:bookmarkStart w:id="88" w:name="_Toc61184893"/>
      <w:bookmarkStart w:id="89" w:name="_Toc66386236"/>
      <w:bookmarkStart w:id="90" w:name="_Toc74583077"/>
      <w:bookmarkStart w:id="91" w:name="_Toc76541890"/>
      <w:bookmarkStart w:id="92" w:name="_Toc82449872"/>
      <w:bookmarkStart w:id="93" w:name="_Toc82450520"/>
      <w:bookmarkStart w:id="94" w:name="_Toc89948909"/>
      <w:bookmarkStart w:id="95" w:name="_Toc98755298"/>
      <w:bookmarkStart w:id="96" w:name="_Toc98762887"/>
      <w:bookmarkStart w:id="97" w:name="_Toc106183816"/>
      <w:r w:rsidRPr="007E346D">
        <w:t>3</w:t>
      </w:r>
      <w:r w:rsidRPr="007E346D">
        <w:tab/>
        <w:t>Definitions, symbols and abbreviations</w:t>
      </w:r>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063CD8AB" w14:textId="77777777" w:rsidR="00077B6E" w:rsidRDefault="00077B6E" w:rsidP="00077B6E">
      <w:pPr>
        <w:pStyle w:val="Heading2"/>
        <w:rPr>
          <w:rFonts w:eastAsiaTheme="minorEastAsia"/>
          <w:lang w:eastAsia="zh-CN"/>
        </w:rPr>
      </w:pPr>
      <w:bookmarkStart w:id="98" w:name="_Toc13080117"/>
      <w:bookmarkStart w:id="99" w:name="_Toc18916147"/>
      <w:bookmarkStart w:id="100" w:name="_Toc53185274"/>
      <w:bookmarkStart w:id="101" w:name="_Toc53185650"/>
      <w:bookmarkStart w:id="102" w:name="_Toc57820123"/>
      <w:bookmarkStart w:id="103" w:name="_Toc57821050"/>
      <w:bookmarkStart w:id="104" w:name="_Toc61183326"/>
      <w:bookmarkStart w:id="105" w:name="_Toc61183720"/>
      <w:bookmarkStart w:id="106" w:name="_Toc61184112"/>
      <w:bookmarkStart w:id="107" w:name="_Toc61184504"/>
      <w:bookmarkStart w:id="108" w:name="_Toc61184894"/>
      <w:bookmarkStart w:id="109" w:name="_Toc66386237"/>
      <w:bookmarkStart w:id="110" w:name="_Toc74583078"/>
      <w:bookmarkStart w:id="111" w:name="_Toc76541891"/>
      <w:bookmarkStart w:id="112" w:name="_Toc82449873"/>
      <w:bookmarkStart w:id="113" w:name="_Toc82450521"/>
      <w:bookmarkStart w:id="114" w:name="_Toc89948910"/>
      <w:bookmarkStart w:id="115" w:name="_Toc98755299"/>
      <w:bookmarkStart w:id="116" w:name="_Toc98762888"/>
      <w:bookmarkStart w:id="117" w:name="_Toc106183817"/>
      <w:r w:rsidRPr="007E346D">
        <w:t>3.1</w:t>
      </w:r>
      <w:r w:rsidRPr="007E346D">
        <w:tab/>
        <w:t>Definitions</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p>
    <w:p w14:paraId="6F8517D2" w14:textId="77777777" w:rsidR="00690659" w:rsidRDefault="00690659" w:rsidP="00690659">
      <w:r w:rsidRPr="005564DB">
        <w:t>For the purposes of the present document, the terms given in 3GPP TR 21.905 [1] and the following apply. A term defined in the present document takes precedence over the definition of the same term, if any, in 3GPP TR 21.905 [1].</w:t>
      </w:r>
    </w:p>
    <w:p w14:paraId="5FEFB944" w14:textId="77777777" w:rsidR="00690659" w:rsidRPr="00F95B02" w:rsidRDefault="00690659" w:rsidP="00690659">
      <w:r w:rsidRPr="00F95B02">
        <w:rPr>
          <w:b/>
        </w:rPr>
        <w:t xml:space="preserve">active transmitter unit: </w:t>
      </w:r>
      <w:r w:rsidRPr="00F95B02">
        <w:t xml:space="preserve">transmitter unit which is ON, and has the ability to send modulated data streams that are parallel and distinct to those sent from other transmitter units to one or more </w:t>
      </w:r>
      <w:r>
        <w:rPr>
          <w:i/>
        </w:rPr>
        <w:t>IAB type</w:t>
      </w:r>
      <w:r w:rsidRPr="00F95B02">
        <w:rPr>
          <w:i/>
        </w:rPr>
        <w:t xml:space="preserve"> 1-H</w:t>
      </w:r>
      <w:r>
        <w:t xml:space="preserve"> </w:t>
      </w:r>
      <w:r w:rsidRPr="00F95B02">
        <w:rPr>
          <w:i/>
        </w:rPr>
        <w:t>TAB connectors</w:t>
      </w:r>
      <w:r w:rsidRPr="00F95B02">
        <w:t xml:space="preserve"> at the </w:t>
      </w:r>
      <w:r w:rsidRPr="00F95B02">
        <w:rPr>
          <w:i/>
        </w:rPr>
        <w:t>transceiver array boundary</w:t>
      </w:r>
    </w:p>
    <w:p w14:paraId="1997A8D5" w14:textId="77777777" w:rsidR="003E36E9" w:rsidRDefault="003E36E9" w:rsidP="003E36E9">
      <w:r w:rsidRPr="00361F12">
        <w:rPr>
          <w:b/>
          <w:bCs/>
        </w:rPr>
        <w:t>Aggregated IAB-DU Channel Bandwidth</w:t>
      </w:r>
      <w:r w:rsidRPr="003A4DF9">
        <w:t>:</w:t>
      </w:r>
      <w:r w:rsidRPr="003A4DF9">
        <w:tab/>
        <w:t>The RF bandwidth in which a</w:t>
      </w:r>
      <w:r>
        <w:t>n</w:t>
      </w:r>
      <w:r w:rsidRPr="003A4DF9">
        <w:t xml:space="preserve"> </w:t>
      </w:r>
      <w:r>
        <w:t>IAB-DU</w:t>
      </w:r>
      <w:r w:rsidRPr="003A4DF9">
        <w:t xml:space="preserve"> transmits and receives multiple contiguously aggregated carriers. The aggregated </w:t>
      </w:r>
      <w:r>
        <w:t>IAB-DU</w:t>
      </w:r>
      <w:r w:rsidRPr="003A4DF9">
        <w:t xml:space="preserve"> channel bandwidth is measured in MHz.</w:t>
      </w:r>
    </w:p>
    <w:p w14:paraId="6A34AA00" w14:textId="77777777" w:rsidR="003E36E9" w:rsidRPr="001A4FAA" w:rsidRDefault="003E36E9" w:rsidP="003E36E9">
      <w:r w:rsidRPr="00361F12">
        <w:rPr>
          <w:b/>
          <w:bCs/>
        </w:rPr>
        <w:t>Aggregated IAB-MT Channel Bandwidth</w:t>
      </w:r>
      <w:r w:rsidRPr="003A4DF9">
        <w:t>:</w:t>
      </w:r>
      <w:r w:rsidRPr="003A4DF9">
        <w:tab/>
        <w:t>The RF bandwidth in which a</w:t>
      </w:r>
      <w:r>
        <w:t>n</w:t>
      </w:r>
      <w:r w:rsidRPr="003A4DF9">
        <w:t xml:space="preserve"> </w:t>
      </w:r>
      <w:r>
        <w:t>IAB-MT</w:t>
      </w:r>
      <w:r w:rsidRPr="003A4DF9">
        <w:t xml:space="preserve"> transmits and receives multiple contiguously aggregated carriers. The aggregated </w:t>
      </w:r>
      <w:r>
        <w:t>IAB-MT</w:t>
      </w:r>
      <w:r w:rsidRPr="003A4DF9">
        <w:t xml:space="preserve"> channel bandwidth is measured in MHz.</w:t>
      </w:r>
    </w:p>
    <w:p w14:paraId="0AA347CA" w14:textId="4F18FA14" w:rsidR="00690659" w:rsidRPr="00F95B02" w:rsidRDefault="00690659" w:rsidP="00690659">
      <w:r w:rsidRPr="00F95B02">
        <w:rPr>
          <w:b/>
        </w:rPr>
        <w:t xml:space="preserve">basic limit: </w:t>
      </w:r>
      <w:r w:rsidRPr="00F95B02">
        <w:t>emissions limit relating to the power supplied by a single transmitter to a single antenna transmission line in ITU-R SM.329 [</w:t>
      </w:r>
      <w:r>
        <w:t>16</w:t>
      </w:r>
      <w:r w:rsidRPr="00F95B02">
        <w:t>] used for the formulation of unwanted emission requirements for FR1</w:t>
      </w:r>
    </w:p>
    <w:p w14:paraId="3505BAF1" w14:textId="77777777" w:rsidR="00690659" w:rsidRPr="00F95B02" w:rsidRDefault="00690659" w:rsidP="00690659">
      <w:pPr>
        <w:rPr>
          <w:lang w:eastAsia="zh-CN"/>
        </w:rPr>
      </w:pPr>
      <w:r w:rsidRPr="00F95B02">
        <w:rPr>
          <w:b/>
          <w:lang w:eastAsia="zh-CN"/>
        </w:rPr>
        <w:t>beam:</w:t>
      </w:r>
      <w:r w:rsidRPr="00F95B02">
        <w:rPr>
          <w:lang w:eastAsia="zh-CN"/>
        </w:rPr>
        <w:t xml:space="preserve"> </w:t>
      </w:r>
      <w:r w:rsidRPr="00F95B02">
        <w:t>beam</w:t>
      </w:r>
      <w:r w:rsidRPr="00F95B02">
        <w:rPr>
          <w:lang w:eastAsia="zh-CN"/>
        </w:rPr>
        <w:t xml:space="preserve"> (of the antenna)</w:t>
      </w:r>
      <w:r w:rsidRPr="00F95B02">
        <w:t xml:space="preserve"> is the </w:t>
      </w:r>
      <w:r w:rsidRPr="00F95B02">
        <w:rPr>
          <w:lang w:eastAsia="zh-CN"/>
        </w:rPr>
        <w:t xml:space="preserve">main lobe of the </w:t>
      </w:r>
      <w:r w:rsidRPr="00F95B02">
        <w:t>radiat</w:t>
      </w:r>
      <w:r w:rsidRPr="00F95B02">
        <w:rPr>
          <w:lang w:eastAsia="zh-CN"/>
        </w:rPr>
        <w:t xml:space="preserve">ion pattern of an </w:t>
      </w:r>
      <w:r w:rsidRPr="00F95B02">
        <w:rPr>
          <w:i/>
          <w:lang w:eastAsia="zh-CN"/>
        </w:rPr>
        <w:t>antenna array</w:t>
      </w:r>
    </w:p>
    <w:p w14:paraId="37E18FFC" w14:textId="77777777" w:rsidR="00690659" w:rsidRPr="00F95B02" w:rsidRDefault="00690659" w:rsidP="00690659">
      <w:pPr>
        <w:pStyle w:val="NO"/>
        <w:rPr>
          <w:lang w:eastAsia="zh-CN"/>
        </w:rPr>
      </w:pPr>
      <w:r w:rsidRPr="00F95B02">
        <w:rPr>
          <w:lang w:eastAsia="zh-CN"/>
        </w:rPr>
        <w:t>NOTE:</w:t>
      </w:r>
      <w:r w:rsidRPr="00F95B02">
        <w:rPr>
          <w:lang w:eastAsia="zh-CN"/>
        </w:rPr>
        <w:tab/>
        <w:t xml:space="preserve">For certain </w:t>
      </w:r>
      <w:r w:rsidRPr="00F95B02">
        <w:rPr>
          <w:i/>
          <w:lang w:eastAsia="zh-CN"/>
        </w:rPr>
        <w:t>antenna array</w:t>
      </w:r>
      <w:r w:rsidRPr="00F95B02">
        <w:rPr>
          <w:lang w:eastAsia="zh-CN"/>
        </w:rPr>
        <w:t>, there may be more than one beam.</w:t>
      </w:r>
    </w:p>
    <w:p w14:paraId="635D879E" w14:textId="77777777" w:rsidR="00690659" w:rsidRPr="00F95B02" w:rsidRDefault="00690659" w:rsidP="00690659">
      <w:pPr>
        <w:rPr>
          <w:lang w:eastAsia="zh-CN"/>
        </w:rPr>
      </w:pPr>
      <w:r w:rsidRPr="00F95B02">
        <w:rPr>
          <w:b/>
          <w:lang w:eastAsia="zh-CN"/>
        </w:rPr>
        <w:t>beam centre direction:</w:t>
      </w:r>
      <w:r w:rsidRPr="00F95B02">
        <w:rPr>
          <w:lang w:eastAsia="zh-CN"/>
        </w:rPr>
        <w:t xml:space="preserve"> </w:t>
      </w:r>
      <w:r w:rsidRPr="00F95B02">
        <w:t>direction equal to the geometric centre of the half-power contour of the beam</w:t>
      </w:r>
    </w:p>
    <w:p w14:paraId="1628A6C5" w14:textId="77777777" w:rsidR="00690659" w:rsidRPr="00F95B02" w:rsidRDefault="00690659" w:rsidP="00690659">
      <w:r w:rsidRPr="00F95B02">
        <w:rPr>
          <w:b/>
          <w:lang w:eastAsia="zh-CN"/>
        </w:rPr>
        <w:t>beam direction pair:</w:t>
      </w:r>
      <w:r w:rsidRPr="00F95B02">
        <w:rPr>
          <w:lang w:eastAsia="zh-CN"/>
        </w:rPr>
        <w:t xml:space="preserve"> data set consisting of </w:t>
      </w:r>
      <w:r w:rsidRPr="00F95B02">
        <w:t xml:space="preserve">the </w:t>
      </w:r>
      <w:r w:rsidRPr="00F95B02">
        <w:rPr>
          <w:i/>
        </w:rPr>
        <w:t>beam centre direction</w:t>
      </w:r>
      <w:r w:rsidRPr="00F95B02">
        <w:t xml:space="preserve"> and the related </w:t>
      </w:r>
      <w:r w:rsidRPr="00F95B02">
        <w:rPr>
          <w:i/>
        </w:rPr>
        <w:t>beam peak direction</w:t>
      </w:r>
    </w:p>
    <w:p w14:paraId="30929C66" w14:textId="77777777" w:rsidR="00690659" w:rsidRPr="00F95B02" w:rsidRDefault="00690659" w:rsidP="00690659">
      <w:pPr>
        <w:rPr>
          <w:lang w:eastAsia="zh-CN"/>
        </w:rPr>
      </w:pPr>
      <w:r w:rsidRPr="00F95B02">
        <w:rPr>
          <w:b/>
        </w:rPr>
        <w:t>beam peak direction:</w:t>
      </w:r>
      <w:r w:rsidRPr="00F95B02">
        <w:t xml:space="preserve"> direction where the maximum EIRP is found</w:t>
      </w:r>
    </w:p>
    <w:p w14:paraId="0386BDD0" w14:textId="77777777" w:rsidR="00690659" w:rsidRPr="00F95B02" w:rsidRDefault="00690659" w:rsidP="00690659">
      <w:r w:rsidRPr="00F95B02">
        <w:rPr>
          <w:b/>
        </w:rPr>
        <w:t>beamwidth:</w:t>
      </w:r>
      <w:r w:rsidRPr="00F95B02">
        <w:t xml:space="preserve"> beam which has a half-power contour that is essentially elliptical, the half-power beamwidths in the two pattern cuts that respectively contain the major and minor axis of the ellipse</w:t>
      </w:r>
    </w:p>
    <w:p w14:paraId="632C9659" w14:textId="77777777" w:rsidR="00690659" w:rsidRPr="00F95B02" w:rsidRDefault="00690659" w:rsidP="00690659">
      <w:r w:rsidRPr="00F95B02">
        <w:rPr>
          <w:b/>
        </w:rPr>
        <w:t>BS channel bandwidth</w:t>
      </w:r>
      <w:r w:rsidRPr="00F95B02">
        <w:t xml:space="preserve">: RF bandwidth supporting a single NR RF carrier with the </w:t>
      </w:r>
      <w:r w:rsidRPr="00F95B02">
        <w:rPr>
          <w:i/>
        </w:rPr>
        <w:t>transmission bandwidth</w:t>
      </w:r>
      <w:r w:rsidRPr="00F95B02">
        <w:t xml:space="preserve"> configured in the uplink or downlink</w:t>
      </w:r>
    </w:p>
    <w:p w14:paraId="4090C09B" w14:textId="77777777" w:rsidR="00690659" w:rsidRPr="00F95B02" w:rsidRDefault="00690659" w:rsidP="00690659">
      <w:pPr>
        <w:pStyle w:val="NO"/>
      </w:pPr>
      <w:r w:rsidRPr="00F95B02">
        <w:t>NOTE 1:</w:t>
      </w:r>
      <w:r w:rsidRPr="00F95B02">
        <w:tab/>
        <w:t xml:space="preserve">The </w:t>
      </w:r>
      <w:r w:rsidRPr="00F95B02">
        <w:rPr>
          <w:i/>
        </w:rPr>
        <w:t>BS channel bandwidth</w:t>
      </w:r>
      <w:r w:rsidRPr="00F95B02">
        <w:t xml:space="preserve"> is measured in MHz and is used as a reference for transmitter and receiver RF requirements.</w:t>
      </w:r>
    </w:p>
    <w:p w14:paraId="0C39BFD8" w14:textId="77777777" w:rsidR="00690659" w:rsidRPr="00F95B02" w:rsidRDefault="00690659" w:rsidP="00690659">
      <w:pPr>
        <w:pStyle w:val="NO"/>
      </w:pPr>
      <w:r w:rsidRPr="00F95B02">
        <w:lastRenderedPageBreak/>
        <w:t>NOTE 2:</w:t>
      </w:r>
      <w:r w:rsidRPr="00F95B02">
        <w:tab/>
        <w:t xml:space="preserve">It is possible for the BS to transmit to and/or receive from one or more UE bandwidth parts that are smaller than or equal to the </w:t>
      </w:r>
      <w:r w:rsidRPr="00F95B02">
        <w:rPr>
          <w:i/>
        </w:rPr>
        <w:t>BS transmission bandwidth configuration</w:t>
      </w:r>
      <w:r w:rsidRPr="00F95B02">
        <w:t xml:space="preserve">, in any part of the </w:t>
      </w:r>
      <w:r w:rsidRPr="00F95B02">
        <w:rPr>
          <w:i/>
        </w:rPr>
        <w:t>BS transmission bandwidth configuration</w:t>
      </w:r>
      <w:r w:rsidRPr="00F95B02">
        <w:t>.</w:t>
      </w:r>
    </w:p>
    <w:p w14:paraId="1E818A87" w14:textId="77777777" w:rsidR="00690659" w:rsidRPr="00F95B02" w:rsidRDefault="00690659" w:rsidP="00690659">
      <w:bookmarkStart w:id="118" w:name="_Hlk500327898"/>
      <w:bookmarkStart w:id="119" w:name="_Hlk490252228"/>
      <w:bookmarkStart w:id="120" w:name="_Hlk494631435"/>
      <w:r w:rsidRPr="00F95B02">
        <w:rPr>
          <w:b/>
        </w:rPr>
        <w:t>BS type 1-H:</w:t>
      </w:r>
      <w:r w:rsidRPr="00F95B02">
        <w:tab/>
        <w:t xml:space="preserve">NR base station operating at FR1 with a </w:t>
      </w:r>
      <w:r w:rsidRPr="00F95B02">
        <w:rPr>
          <w:i/>
        </w:rPr>
        <w:t>requirement set</w:t>
      </w:r>
      <w:r w:rsidRPr="00F95B02">
        <w:t xml:space="preserve"> consisting of conducted requirements defined at individual </w:t>
      </w:r>
      <w:r w:rsidRPr="00F95B02">
        <w:rPr>
          <w:i/>
        </w:rPr>
        <w:t>TAB connectors</w:t>
      </w:r>
      <w:r w:rsidRPr="00F95B02">
        <w:t xml:space="preserve"> and OTA requirements defined at RIB</w:t>
      </w:r>
    </w:p>
    <w:p w14:paraId="6AAC1456" w14:textId="77777777" w:rsidR="00690659" w:rsidRPr="00F95B02" w:rsidRDefault="00690659" w:rsidP="00690659">
      <w:r w:rsidRPr="00F95B02">
        <w:rPr>
          <w:b/>
        </w:rPr>
        <w:t>BS type 1-O:</w:t>
      </w:r>
      <w:r w:rsidRPr="00F95B02">
        <w:tab/>
        <w:t xml:space="preserve">NR base station operating at FR1 with a </w:t>
      </w:r>
      <w:r w:rsidRPr="00F95B02">
        <w:rPr>
          <w:i/>
        </w:rPr>
        <w:t>requirement set</w:t>
      </w:r>
      <w:r w:rsidRPr="00F95B02">
        <w:t xml:space="preserve"> consisting only of OTA requirements defined at the RIB</w:t>
      </w:r>
    </w:p>
    <w:p w14:paraId="66952964" w14:textId="77777777" w:rsidR="00690659" w:rsidRPr="00F95B02" w:rsidRDefault="00690659" w:rsidP="00690659">
      <w:r w:rsidRPr="00F95B02">
        <w:rPr>
          <w:b/>
        </w:rPr>
        <w:t>BS type 2-O:</w:t>
      </w:r>
      <w:r w:rsidRPr="00F95B02">
        <w:tab/>
        <w:t xml:space="preserve">NR base station operating at FR2 with a </w:t>
      </w:r>
      <w:r w:rsidRPr="00F95B02">
        <w:rPr>
          <w:i/>
        </w:rPr>
        <w:t>requirement set</w:t>
      </w:r>
      <w:r w:rsidRPr="00F95B02">
        <w:t xml:space="preserve"> consisting only of OTA requirements defined at the RIB</w:t>
      </w:r>
    </w:p>
    <w:p w14:paraId="0361CEBA" w14:textId="77777777" w:rsidR="00690659" w:rsidRPr="00F95B02" w:rsidRDefault="00690659" w:rsidP="00690659">
      <w:pPr>
        <w:tabs>
          <w:tab w:val="left" w:pos="2448"/>
          <w:tab w:val="left" w:pos="9468"/>
        </w:tabs>
      </w:pPr>
      <w:r w:rsidRPr="00F95B02">
        <w:rPr>
          <w:rFonts w:cs="v5.0.0"/>
          <w:b/>
          <w:bCs/>
        </w:rPr>
        <w:t xml:space="preserve">Channel edge: </w:t>
      </w:r>
      <w:r w:rsidRPr="00F95B02">
        <w:rPr>
          <w:rFonts w:cs="v5.0.0"/>
          <w:snapToGrid w:val="0"/>
        </w:rPr>
        <w:t>lowest or highest frequency of the</w:t>
      </w:r>
      <w:r w:rsidRPr="00F95B02">
        <w:rPr>
          <w:rFonts w:cs="v5.0.0"/>
          <w:snapToGrid w:val="0"/>
          <w:lang w:val="en-US" w:eastAsia="zh-CN"/>
        </w:rPr>
        <w:t xml:space="preserve"> NR</w:t>
      </w:r>
      <w:r w:rsidRPr="00F95B02">
        <w:rPr>
          <w:rFonts w:cs="v5.0.0"/>
          <w:snapToGrid w:val="0"/>
        </w:rPr>
        <w:t xml:space="preserve"> carrier, separated by the </w:t>
      </w:r>
      <w:r>
        <w:rPr>
          <w:rFonts w:cs="v5.0.0"/>
          <w:i/>
          <w:iCs/>
          <w:snapToGrid w:val="0"/>
        </w:rPr>
        <w:t xml:space="preserve">IAB-MT channel bandwidth </w:t>
      </w:r>
      <w:r w:rsidRPr="00444D1D">
        <w:rPr>
          <w:rFonts w:cs="v5.0.0"/>
          <w:snapToGrid w:val="0"/>
        </w:rPr>
        <w:t>or</w:t>
      </w:r>
      <w:r>
        <w:rPr>
          <w:rFonts w:cs="v5.0.0"/>
          <w:i/>
          <w:iCs/>
          <w:snapToGrid w:val="0"/>
        </w:rPr>
        <w:t xml:space="preserve"> IAB-DU channel bandwidth</w:t>
      </w:r>
      <w:r w:rsidRPr="00F95B02">
        <w:rPr>
          <w:rFonts w:cs="v5.0.0"/>
          <w:snapToGrid w:val="0"/>
        </w:rPr>
        <w:t>.</w:t>
      </w:r>
    </w:p>
    <w:p w14:paraId="5A44708A" w14:textId="77777777" w:rsidR="00690659" w:rsidRPr="00F95B02" w:rsidRDefault="00690659" w:rsidP="00690659">
      <w:pPr>
        <w:rPr>
          <w:b/>
          <w:bCs/>
        </w:rPr>
      </w:pPr>
      <w:r w:rsidRPr="00F95B02">
        <w:rPr>
          <w:b/>
          <w:bCs/>
        </w:rPr>
        <w:t xml:space="preserve">Carrier aggregation: </w:t>
      </w:r>
      <w:r w:rsidRPr="00F95B02">
        <w:rPr>
          <w:bCs/>
        </w:rPr>
        <w:t xml:space="preserve">aggregation of two or more component carriers in order to support wider </w:t>
      </w:r>
      <w:r w:rsidRPr="00F95B02">
        <w:rPr>
          <w:bCs/>
          <w:i/>
        </w:rPr>
        <w:t>transmission bandwidths</w:t>
      </w:r>
    </w:p>
    <w:p w14:paraId="0E9E361A" w14:textId="77777777" w:rsidR="00690659" w:rsidRPr="00F95B02" w:rsidRDefault="00690659" w:rsidP="00690659">
      <w:r w:rsidRPr="00F95B02">
        <w:rPr>
          <w:b/>
          <w:bCs/>
        </w:rPr>
        <w:t>Carrier aggregation configuration</w:t>
      </w:r>
      <w:r w:rsidRPr="00F95B02">
        <w:rPr>
          <w:b/>
        </w:rPr>
        <w:t xml:space="preserve">: </w:t>
      </w:r>
      <w:r w:rsidRPr="00F95B02">
        <w:t xml:space="preserve">a set of one or more </w:t>
      </w:r>
      <w:r w:rsidRPr="00F95B02">
        <w:rPr>
          <w:i/>
          <w:iCs/>
        </w:rPr>
        <w:t xml:space="preserve">operating bands </w:t>
      </w:r>
      <w:r w:rsidRPr="00F95B02">
        <w:t xml:space="preserve">across which the </w:t>
      </w:r>
      <w:r>
        <w:t>IAB-DU or IAB-MT</w:t>
      </w:r>
      <w:r w:rsidRPr="00F95B02">
        <w:t xml:space="preserve"> aggregates carriers with a specific set of technical requirements</w:t>
      </w:r>
    </w:p>
    <w:p w14:paraId="668E405C" w14:textId="77777777" w:rsidR="00690659" w:rsidRPr="00F95B02" w:rsidRDefault="00690659" w:rsidP="00690659">
      <w:r w:rsidRPr="00F95B02">
        <w:rPr>
          <w:b/>
          <w:lang w:val="en-US" w:eastAsia="zh-CN"/>
        </w:rPr>
        <w:t>co-location reference antenna</w:t>
      </w:r>
      <w:r w:rsidRPr="00F95B02">
        <w:rPr>
          <w:lang w:val="en-US" w:eastAsia="zh-CN"/>
        </w:rPr>
        <w:t xml:space="preserve">: </w:t>
      </w:r>
      <w:r w:rsidRPr="00F95B02">
        <w:t>a passive antenna used as reference for co-location requirements</w:t>
      </w:r>
    </w:p>
    <w:bookmarkEnd w:id="118"/>
    <w:p w14:paraId="7A47FD1C" w14:textId="77777777" w:rsidR="00690659" w:rsidRPr="00F95B02" w:rsidRDefault="00690659" w:rsidP="00690659">
      <w:r w:rsidRPr="00F95B02">
        <w:rPr>
          <w:b/>
        </w:rPr>
        <w:t>Contiguous spectrum:</w:t>
      </w:r>
      <w:r w:rsidRPr="00F95B02">
        <w:t xml:space="preserve"> spectrum consisting of a contiguous block of spectrum with no </w:t>
      </w:r>
      <w:r w:rsidRPr="00F95B02">
        <w:rPr>
          <w:i/>
          <w:iCs/>
        </w:rPr>
        <w:t>sub-block gap</w:t>
      </w:r>
      <w:r w:rsidRPr="00F95B02">
        <w:rPr>
          <w:i/>
        </w:rPr>
        <w:t>(s)</w:t>
      </w:r>
      <w:r w:rsidRPr="00F95B02">
        <w:t>.</w:t>
      </w:r>
    </w:p>
    <w:p w14:paraId="36C60665" w14:textId="77777777" w:rsidR="00690659" w:rsidRPr="00F95B02" w:rsidRDefault="00690659" w:rsidP="00690659">
      <w:pPr>
        <w:rPr>
          <w:bCs/>
        </w:rPr>
      </w:pPr>
      <w:r w:rsidRPr="00F95B02">
        <w:rPr>
          <w:b/>
          <w:bCs/>
        </w:rPr>
        <w:t>directional requirement:</w:t>
      </w:r>
      <w:r w:rsidRPr="00F95B02">
        <w:rPr>
          <w:bCs/>
        </w:rPr>
        <w:t xml:space="preserve"> requirement which is applied in a specific direction within the </w:t>
      </w:r>
      <w:r w:rsidRPr="00F95B02">
        <w:rPr>
          <w:bCs/>
          <w:i/>
        </w:rPr>
        <w:t>OTA coverage range</w:t>
      </w:r>
      <w:r w:rsidRPr="00F95B02">
        <w:rPr>
          <w:bCs/>
        </w:rPr>
        <w:t xml:space="preserve"> for the Tx and when the AoA of the incident wave of a received signal is within the </w:t>
      </w:r>
      <w:r w:rsidRPr="00F95B02">
        <w:rPr>
          <w:bCs/>
          <w:i/>
        </w:rPr>
        <w:t>OTA REFSENS RoAoA</w:t>
      </w:r>
      <w:r w:rsidRPr="00F95B02">
        <w:rPr>
          <w:bCs/>
        </w:rPr>
        <w:t xml:space="preserve"> or the </w:t>
      </w:r>
      <w:r w:rsidRPr="00F95B02">
        <w:rPr>
          <w:bCs/>
          <w:i/>
        </w:rPr>
        <w:t>minSENS RoAoA</w:t>
      </w:r>
      <w:r w:rsidRPr="00F95B02">
        <w:rPr>
          <w:bCs/>
        </w:rPr>
        <w:t xml:space="preserve"> as appropriate for the receiver </w:t>
      </w:r>
    </w:p>
    <w:p w14:paraId="65F027D5" w14:textId="77777777" w:rsidR="00690659" w:rsidRPr="00F95B02" w:rsidRDefault="00690659" w:rsidP="00690659">
      <w:r w:rsidRPr="00F95B02">
        <w:rPr>
          <w:b/>
          <w:bCs/>
        </w:rPr>
        <w:t xml:space="preserve">equivalent isotropic radiated power: </w:t>
      </w:r>
      <w:r w:rsidRPr="00F95B02">
        <w:t>equivalent power radiated from an isotropic directivity device producing the same field intensity at a point of observation as the field intensity radiated in the direction of the same point of observation by the discussed device</w:t>
      </w:r>
    </w:p>
    <w:p w14:paraId="4934F9BC" w14:textId="77777777" w:rsidR="00690659" w:rsidRPr="00F95B02" w:rsidRDefault="00690659" w:rsidP="00690659">
      <w:pPr>
        <w:pStyle w:val="NO"/>
      </w:pPr>
      <w:r w:rsidRPr="00F95B02">
        <w:t>NOTE:</w:t>
      </w:r>
      <w:r w:rsidRPr="00F95B02">
        <w:tab/>
        <w:t>Isotropic directivity is equal in all directions (i.e. 0 dBi).</w:t>
      </w:r>
    </w:p>
    <w:p w14:paraId="105D7598" w14:textId="77777777" w:rsidR="00690659" w:rsidRPr="00F95B02" w:rsidRDefault="00690659" w:rsidP="00690659">
      <w:r w:rsidRPr="00F95B02">
        <w:rPr>
          <w:b/>
        </w:rPr>
        <w:t>equivalent isotropic sensitivity:</w:t>
      </w:r>
      <w:r w:rsidRPr="00F95B02">
        <w:t xml:space="preserve"> sensitivity for an isotropic directivity device equivalent to the sensitivity of the discussed device exposed to an incoming wave from a defined AoA</w:t>
      </w:r>
    </w:p>
    <w:p w14:paraId="6C7508F4" w14:textId="77777777" w:rsidR="00690659" w:rsidRPr="00F95B02" w:rsidRDefault="00690659" w:rsidP="00690659">
      <w:pPr>
        <w:pStyle w:val="NO"/>
        <w:tabs>
          <w:tab w:val="left" w:pos="284"/>
          <w:tab w:val="left" w:pos="568"/>
          <w:tab w:val="left" w:pos="852"/>
          <w:tab w:val="left" w:pos="1136"/>
          <w:tab w:val="left" w:pos="1420"/>
          <w:tab w:val="left" w:pos="1704"/>
          <w:tab w:val="left" w:pos="1988"/>
          <w:tab w:val="left" w:pos="2272"/>
          <w:tab w:val="left" w:pos="2556"/>
          <w:tab w:val="left" w:pos="2840"/>
          <w:tab w:val="left" w:pos="3124"/>
          <w:tab w:val="left" w:pos="3408"/>
          <w:tab w:val="left" w:pos="3692"/>
          <w:tab w:val="left" w:pos="3976"/>
          <w:tab w:val="left" w:pos="4260"/>
          <w:tab w:val="left" w:pos="4544"/>
          <w:tab w:val="left" w:pos="4828"/>
          <w:tab w:val="left" w:pos="5112"/>
          <w:tab w:val="left" w:pos="5396"/>
          <w:tab w:val="left" w:pos="5680"/>
          <w:tab w:val="left" w:pos="6374"/>
        </w:tabs>
      </w:pPr>
      <w:r w:rsidRPr="00F95B02">
        <w:t>NOTE 1:</w:t>
      </w:r>
      <w:r w:rsidRPr="00F95B02">
        <w:tab/>
        <w:t>The sensitivity is the minimum received power level at which specific requirement is met.</w:t>
      </w:r>
    </w:p>
    <w:p w14:paraId="60E57672" w14:textId="77777777" w:rsidR="00690659" w:rsidRPr="00F95B02" w:rsidRDefault="00690659" w:rsidP="00690659">
      <w:pPr>
        <w:pStyle w:val="NO"/>
        <w:rPr>
          <w:bCs/>
        </w:rPr>
      </w:pPr>
      <w:r w:rsidRPr="00F95B02">
        <w:t>NOTE 2:</w:t>
      </w:r>
      <w:r w:rsidRPr="00F95B02">
        <w:tab/>
        <w:t>Isotropic directivity is equal in all directions (i.e. 0 dBi).</w:t>
      </w:r>
    </w:p>
    <w:p w14:paraId="5DFDCC5A" w14:textId="77777777" w:rsidR="00690659" w:rsidRPr="00F95B02" w:rsidRDefault="00690659" w:rsidP="00690659">
      <w:r w:rsidRPr="00F95B02">
        <w:rPr>
          <w:b/>
          <w:bCs/>
        </w:rPr>
        <w:t xml:space="preserve">fractional bandwidth: </w:t>
      </w:r>
      <w:r w:rsidRPr="00F95B02">
        <w:rPr>
          <w:bCs/>
          <w:i/>
        </w:rPr>
        <w:t>fractional bandwidth</w:t>
      </w:r>
      <w:r w:rsidRPr="00F95B02">
        <w:rPr>
          <w:bCs/>
        </w:rPr>
        <w:t xml:space="preserve"> FBW is defined as </w:t>
      </w:r>
      <m:oMath>
        <m:r>
          <w:rPr>
            <w:rFonts w:ascii="Cambria Math" w:hAnsi="Cambria Math"/>
          </w:rPr>
          <m:t>FBW</m:t>
        </m:r>
        <m:r>
          <m:rPr>
            <m:sty m:val="p"/>
          </m:rPr>
          <w:rPr>
            <w:rFonts w:ascii="Cambria Math" w:hAnsi="Cambria Math"/>
          </w:rPr>
          <m:t>=200∙</m:t>
        </m:r>
        <m:f>
          <m:fPr>
            <m:ctrlPr>
              <w:rPr>
                <w:rFonts w:ascii="Cambria Math" w:hAnsi="Cambria Math"/>
                <w:bCs/>
              </w:rPr>
            </m:ctrlPr>
          </m:fPr>
          <m:num>
            <m:sSub>
              <m:sSubPr>
                <m:ctrlPr>
                  <w:rPr>
                    <w:rFonts w:ascii="Cambria Math" w:hAnsi="Cambria Math"/>
                    <w:bCs/>
                    <w:i/>
                  </w:rPr>
                </m:ctrlPr>
              </m:sSubPr>
              <m:e>
                <m:r>
                  <w:rPr>
                    <w:rFonts w:ascii="Cambria Math" w:hAnsi="Cambria Math"/>
                  </w:rPr>
                  <m:t>F</m:t>
                </m:r>
              </m:e>
              <m:sub>
                <m:r>
                  <w:rPr>
                    <w:rFonts w:ascii="Cambria Math" w:hAnsi="Cambria Math"/>
                  </w:rPr>
                  <m:t>FBWhigh</m:t>
                </m:r>
              </m:sub>
            </m:sSub>
            <m:r>
              <w:rPr>
                <w:rFonts w:ascii="Cambria Math" w:hAnsi="Cambria Math"/>
              </w:rPr>
              <m:t>-</m:t>
            </m:r>
            <m:sSub>
              <m:sSubPr>
                <m:ctrlPr>
                  <w:rPr>
                    <w:rFonts w:ascii="Cambria Math" w:hAnsi="Cambria Math"/>
                    <w:bCs/>
                    <w:i/>
                  </w:rPr>
                </m:ctrlPr>
              </m:sSubPr>
              <m:e>
                <m:r>
                  <w:rPr>
                    <w:rFonts w:ascii="Cambria Math" w:hAnsi="Cambria Math"/>
                  </w:rPr>
                  <m:t>F</m:t>
                </m:r>
              </m:e>
              <m:sub>
                <m:r>
                  <w:rPr>
                    <w:rFonts w:ascii="Cambria Math" w:hAnsi="Cambria Math"/>
                  </w:rPr>
                  <m:t>FBWlow</m:t>
                </m:r>
              </m:sub>
            </m:sSub>
          </m:num>
          <m:den>
            <m:sSub>
              <m:sSubPr>
                <m:ctrlPr>
                  <w:rPr>
                    <w:rFonts w:ascii="Cambria Math" w:hAnsi="Cambria Math"/>
                    <w:bCs/>
                    <w:i/>
                  </w:rPr>
                </m:ctrlPr>
              </m:sSubPr>
              <m:e>
                <m:r>
                  <w:rPr>
                    <w:rFonts w:ascii="Cambria Math" w:hAnsi="Cambria Math"/>
                  </w:rPr>
                  <m:t>F</m:t>
                </m:r>
              </m:e>
              <m:sub>
                <m:r>
                  <w:rPr>
                    <w:rFonts w:ascii="Cambria Math" w:hAnsi="Cambria Math"/>
                  </w:rPr>
                  <m:t>FBWhigh</m:t>
                </m:r>
              </m:sub>
            </m:sSub>
            <m:r>
              <w:rPr>
                <w:rFonts w:ascii="Cambria Math" w:hAnsi="Cambria Math"/>
              </w:rPr>
              <m:t>+</m:t>
            </m:r>
            <m:sSub>
              <m:sSubPr>
                <m:ctrlPr>
                  <w:rPr>
                    <w:rFonts w:ascii="Cambria Math" w:hAnsi="Cambria Math"/>
                    <w:bCs/>
                    <w:i/>
                  </w:rPr>
                </m:ctrlPr>
              </m:sSubPr>
              <m:e>
                <m:r>
                  <w:rPr>
                    <w:rFonts w:ascii="Cambria Math" w:hAnsi="Cambria Math"/>
                  </w:rPr>
                  <m:t>F</m:t>
                </m:r>
              </m:e>
              <m:sub>
                <m:r>
                  <w:rPr>
                    <w:rFonts w:ascii="Cambria Math" w:hAnsi="Cambria Math"/>
                  </w:rPr>
                  <m:t>FBWlow</m:t>
                </m:r>
              </m:sub>
            </m:sSub>
          </m:den>
        </m:f>
        <m:r>
          <w:rPr>
            <w:rFonts w:ascii="Cambria Math" w:hAnsi="Cambria Math"/>
          </w:rPr>
          <m:t>%</m:t>
        </m:r>
      </m:oMath>
    </w:p>
    <w:p w14:paraId="6C9589D6" w14:textId="77777777" w:rsidR="00690659" w:rsidRDefault="00690659" w:rsidP="00690659">
      <w:pPr>
        <w:rPr>
          <w:lang w:val="en-US" w:eastAsia="zh-CN"/>
        </w:rPr>
      </w:pPr>
      <w:r>
        <w:rPr>
          <w:b/>
          <w:bCs/>
          <w:lang w:val="en-US"/>
        </w:rPr>
        <w:t>h</w:t>
      </w:r>
      <w:r w:rsidRPr="00F95B02">
        <w:rPr>
          <w:b/>
          <w:bCs/>
          <w:lang w:val="en-US"/>
        </w:rPr>
        <w:t xml:space="preserve">ighest </w:t>
      </w:r>
      <w:r>
        <w:rPr>
          <w:b/>
          <w:bCs/>
          <w:lang w:val="en-US"/>
        </w:rPr>
        <w:t>c</w:t>
      </w:r>
      <w:r w:rsidRPr="00F95B02">
        <w:rPr>
          <w:b/>
          <w:bCs/>
          <w:lang w:val="en-US"/>
        </w:rPr>
        <w:t>arrier:</w:t>
      </w:r>
      <w:r w:rsidRPr="00F95B02">
        <w:rPr>
          <w:lang w:val="en-US"/>
        </w:rPr>
        <w:t xml:space="preserve"> The carrier </w:t>
      </w:r>
      <w:r w:rsidRPr="00F95B02">
        <w:rPr>
          <w:lang w:val="en-AU"/>
        </w:rPr>
        <w:t xml:space="preserve">with the highest carrier frequency </w:t>
      </w:r>
      <w:r w:rsidRPr="00F95B02">
        <w:rPr>
          <w:lang w:val="en-US"/>
        </w:rPr>
        <w:t>transmitted/received in a specified frequency band.</w:t>
      </w:r>
    </w:p>
    <w:p w14:paraId="649ED5E0" w14:textId="77777777" w:rsidR="003E36E9" w:rsidRDefault="003E36E9" w:rsidP="003E36E9">
      <w:r>
        <w:rPr>
          <w:b/>
          <w:lang w:val="en-US"/>
        </w:rPr>
        <w:t xml:space="preserve">IAB-DU </w:t>
      </w:r>
      <w:r w:rsidRPr="00F95B02">
        <w:rPr>
          <w:b/>
        </w:rPr>
        <w:t>channel bandwidth</w:t>
      </w:r>
      <w:r w:rsidRPr="00F95B02">
        <w:t xml:space="preserve">: RF bandwidth supporting a single </w:t>
      </w:r>
      <w:r>
        <w:t>IAB-DU</w:t>
      </w:r>
      <w:r w:rsidRPr="00F95B02">
        <w:t xml:space="preserve"> RF carrier with the </w:t>
      </w:r>
      <w:r w:rsidRPr="00F95B02">
        <w:rPr>
          <w:i/>
        </w:rPr>
        <w:t>transmission bandwidth</w:t>
      </w:r>
      <w:r w:rsidRPr="00F95B02">
        <w:t xml:space="preserve"> configured in the uplink or downlink</w:t>
      </w:r>
    </w:p>
    <w:p w14:paraId="3C7FE504" w14:textId="77777777" w:rsidR="003E36E9" w:rsidRPr="00F95B02" w:rsidRDefault="003E36E9" w:rsidP="003E36E9">
      <w:pPr>
        <w:pStyle w:val="NO"/>
      </w:pPr>
      <w:r w:rsidRPr="00F95B02">
        <w:t>NOTE 1:</w:t>
      </w:r>
      <w:r w:rsidRPr="00F95B02">
        <w:tab/>
        <w:t xml:space="preserve">The </w:t>
      </w:r>
      <w:r>
        <w:rPr>
          <w:i/>
        </w:rPr>
        <w:t>IAB-DU</w:t>
      </w:r>
      <w:r w:rsidRPr="00F95B02">
        <w:rPr>
          <w:i/>
        </w:rPr>
        <w:t xml:space="preserve"> channel bandwidth</w:t>
      </w:r>
      <w:r w:rsidRPr="00F95B02">
        <w:t xml:space="preserve"> is measured in MHz and is used as a reference for transmitter and receiver RF requirements.</w:t>
      </w:r>
    </w:p>
    <w:p w14:paraId="1181A0D9" w14:textId="77777777" w:rsidR="003E36E9" w:rsidRPr="00F95B02" w:rsidRDefault="003E36E9" w:rsidP="003E36E9">
      <w:pPr>
        <w:pStyle w:val="NO"/>
      </w:pPr>
      <w:r w:rsidRPr="00F95B02">
        <w:t>NOTE 2:</w:t>
      </w:r>
      <w:r w:rsidRPr="00F95B02">
        <w:tab/>
        <w:t xml:space="preserve">It is possible for the </w:t>
      </w:r>
      <w:r>
        <w:t>IAB</w:t>
      </w:r>
      <w:r w:rsidRPr="00F95B02">
        <w:t xml:space="preserve"> to transmit to and/or receive from one or more UE bandwidth parts that are smaller than or equal to the </w:t>
      </w:r>
      <w:r w:rsidRPr="007B3F41">
        <w:rPr>
          <w:i/>
        </w:rPr>
        <w:t>IAB</w:t>
      </w:r>
      <w:r w:rsidRPr="00F95B02">
        <w:rPr>
          <w:i/>
        </w:rPr>
        <w:t xml:space="preserve"> transmission bandwidth configuration</w:t>
      </w:r>
      <w:r w:rsidRPr="00F95B02">
        <w:t xml:space="preserve">, in any part of the </w:t>
      </w:r>
      <w:r w:rsidRPr="007B3F41">
        <w:rPr>
          <w:i/>
        </w:rPr>
        <w:t>IAB</w:t>
      </w:r>
      <w:r w:rsidRPr="00F95B02">
        <w:rPr>
          <w:i/>
        </w:rPr>
        <w:t xml:space="preserve"> transmission bandwidth configuration</w:t>
      </w:r>
      <w:r w:rsidRPr="00F95B02">
        <w:t>.</w:t>
      </w:r>
    </w:p>
    <w:p w14:paraId="350468DE" w14:textId="77777777" w:rsidR="003E36E9" w:rsidRDefault="003E36E9" w:rsidP="003E36E9">
      <w:r>
        <w:rPr>
          <w:b/>
          <w:lang w:val="en-US"/>
        </w:rPr>
        <w:t xml:space="preserve">IAB-MT </w:t>
      </w:r>
      <w:r w:rsidRPr="00F95B02">
        <w:rPr>
          <w:b/>
        </w:rPr>
        <w:t>channel bandwidth</w:t>
      </w:r>
      <w:r w:rsidRPr="00F95B02">
        <w:t xml:space="preserve">: RF bandwidth supporting a single </w:t>
      </w:r>
      <w:r>
        <w:t>IAB-MT</w:t>
      </w:r>
      <w:r w:rsidRPr="00F95B02">
        <w:t xml:space="preserve"> RF carrier with the </w:t>
      </w:r>
      <w:r w:rsidRPr="00F95B02">
        <w:rPr>
          <w:i/>
        </w:rPr>
        <w:t>transmission bandwidth</w:t>
      </w:r>
      <w:r w:rsidRPr="00F95B02">
        <w:t xml:space="preserve"> configured in the uplink or downlink</w:t>
      </w:r>
    </w:p>
    <w:p w14:paraId="0537E3CB" w14:textId="77777777" w:rsidR="003E36E9" w:rsidRDefault="003E36E9" w:rsidP="003E36E9">
      <w:pPr>
        <w:rPr>
          <w:lang w:val="en-US" w:eastAsia="zh-CN"/>
        </w:rPr>
      </w:pPr>
      <w:r w:rsidRPr="00F95B02">
        <w:t>NOTE 1:</w:t>
      </w:r>
      <w:r w:rsidRPr="00F95B02">
        <w:tab/>
        <w:t xml:space="preserve">The </w:t>
      </w:r>
      <w:r>
        <w:rPr>
          <w:i/>
        </w:rPr>
        <w:t>IAB-MT</w:t>
      </w:r>
      <w:r w:rsidRPr="00F95B02">
        <w:rPr>
          <w:i/>
        </w:rPr>
        <w:t xml:space="preserve"> channel bandwidth</w:t>
      </w:r>
      <w:r w:rsidRPr="00F95B02">
        <w:t xml:space="preserve"> is measured in MHz and is used as a reference for transmitter and receiver RF requirements.</w:t>
      </w:r>
    </w:p>
    <w:p w14:paraId="3FD5BB39" w14:textId="3732C73A" w:rsidR="00690659" w:rsidRPr="00F95B02" w:rsidRDefault="00690659" w:rsidP="00690659">
      <w:pPr>
        <w:rPr>
          <w:lang w:val="en-US" w:eastAsia="zh-CN"/>
        </w:rPr>
      </w:pPr>
      <w:r>
        <w:rPr>
          <w:b/>
        </w:rPr>
        <w:t>IAB-donor</w:t>
      </w:r>
      <w:r>
        <w:rPr>
          <w:bCs/>
        </w:rPr>
        <w:t>:</w:t>
      </w:r>
      <w:r>
        <w:rPr>
          <w:b/>
        </w:rPr>
        <w:t xml:space="preserve"> </w:t>
      </w:r>
      <w:r>
        <w:t>gNB that provides network access to UEs via a network of backhaul and access links.</w:t>
      </w:r>
    </w:p>
    <w:p w14:paraId="057C4384" w14:textId="77777777" w:rsidR="00690659" w:rsidRDefault="00690659" w:rsidP="00690659">
      <w:pPr>
        <w:rPr>
          <w:i/>
          <w:iCs/>
        </w:rPr>
      </w:pPr>
      <w:r>
        <w:rPr>
          <w:b/>
          <w:bCs/>
        </w:rPr>
        <w:lastRenderedPageBreak/>
        <w:t xml:space="preserve">IAB-DU RF Bandwidth: </w:t>
      </w:r>
      <w:r>
        <w:t xml:space="preserve">RF bandwidth in which an IAB-DU transmits and/or receives single or multiple carrier(s) within a supported </w:t>
      </w:r>
      <w:r>
        <w:rPr>
          <w:i/>
          <w:iCs/>
        </w:rPr>
        <w:t>operating band</w:t>
      </w:r>
    </w:p>
    <w:p w14:paraId="0B36CF36" w14:textId="77777777" w:rsidR="00690659" w:rsidRPr="005564DB" w:rsidRDefault="00690659" w:rsidP="00690659">
      <w:pPr>
        <w:rPr>
          <w:lang w:eastAsia="zh-CN"/>
        </w:rPr>
      </w:pPr>
      <w:r>
        <w:rPr>
          <w:b/>
          <w:bCs/>
        </w:rPr>
        <w:t>IAB-DU</w:t>
      </w:r>
      <w:r w:rsidRPr="00F95B02">
        <w:rPr>
          <w:b/>
        </w:rPr>
        <w:t xml:space="preserve"> RF Bandwidth edge: </w:t>
      </w:r>
      <w:r w:rsidRPr="00F95B02">
        <w:t xml:space="preserve">frequency of one of the edges of the </w:t>
      </w:r>
      <w:r>
        <w:rPr>
          <w:i/>
          <w:iCs/>
        </w:rPr>
        <w:t>IAB-DU</w:t>
      </w:r>
      <w:r w:rsidRPr="00F95B02">
        <w:rPr>
          <w:i/>
          <w:iCs/>
        </w:rPr>
        <w:t xml:space="preserve"> RF Bandwidth</w:t>
      </w:r>
      <w:r w:rsidRPr="00F95B02">
        <w:rPr>
          <w:lang w:eastAsia="zh-CN"/>
        </w:rPr>
        <w:t>.</w:t>
      </w:r>
      <w:bookmarkEnd w:id="119"/>
      <w:bookmarkEnd w:id="120"/>
    </w:p>
    <w:p w14:paraId="50B7FD31" w14:textId="77777777" w:rsidR="00690659" w:rsidRDefault="00690659" w:rsidP="00690659">
      <w:r>
        <w:rPr>
          <w:b/>
          <w:bCs/>
        </w:rPr>
        <w:t>IAB-MT RF Bandwidth</w:t>
      </w:r>
      <w:r>
        <w:t xml:space="preserve">: RF bandwidth in which an IAB-MT transmits and/or receives single or multiple carrier(s) within a supported </w:t>
      </w:r>
      <w:r>
        <w:rPr>
          <w:i/>
          <w:iCs/>
        </w:rPr>
        <w:t>operating band</w:t>
      </w:r>
    </w:p>
    <w:p w14:paraId="3D7931F1" w14:textId="77777777" w:rsidR="00690659" w:rsidRPr="004342A6" w:rsidRDefault="00690659" w:rsidP="00690659">
      <w:pPr>
        <w:pStyle w:val="NO"/>
      </w:pPr>
      <w:r>
        <w:t xml:space="preserve">NOTE:      In single carrier operation, the </w:t>
      </w:r>
      <w:r>
        <w:rPr>
          <w:i/>
          <w:iCs/>
        </w:rPr>
        <w:t>IAB-MT RF Bandwidth</w:t>
      </w:r>
      <w:r>
        <w:t xml:space="preserve"> is equal to the </w:t>
      </w:r>
      <w:r>
        <w:rPr>
          <w:i/>
          <w:iCs/>
        </w:rPr>
        <w:t>IAB-MT channel bandwidth</w:t>
      </w:r>
      <w:r>
        <w:t>.</w:t>
      </w:r>
    </w:p>
    <w:p w14:paraId="6BC5D764" w14:textId="77777777" w:rsidR="00817AB4" w:rsidRDefault="00817AB4" w:rsidP="00817AB4">
      <w:pPr>
        <w:rPr>
          <w:i/>
          <w:iCs/>
        </w:rPr>
      </w:pPr>
      <w:bookmarkStart w:id="121" w:name="_Hlk98761861"/>
      <w:r w:rsidRPr="002539AD">
        <w:rPr>
          <w:b/>
        </w:rPr>
        <w:t>IAB RF Bandwidth</w:t>
      </w:r>
      <w:r>
        <w:rPr>
          <w:b/>
        </w:rPr>
        <w:t xml:space="preserve">: </w:t>
      </w:r>
      <w:r>
        <w:t xml:space="preserve">RF bandwidth in which an IAB-DU and/or IAB-MT transmits and/or receives single or multiple carrier(s) within a supported </w:t>
      </w:r>
      <w:r>
        <w:rPr>
          <w:i/>
          <w:iCs/>
        </w:rPr>
        <w:t>operating band</w:t>
      </w:r>
    </w:p>
    <w:p w14:paraId="1FE51236" w14:textId="77777777" w:rsidR="00817AB4" w:rsidRDefault="00817AB4" w:rsidP="00817AB4">
      <w:pPr>
        <w:rPr>
          <w:lang w:eastAsia="zh-CN"/>
        </w:rPr>
      </w:pPr>
      <w:r>
        <w:rPr>
          <w:b/>
        </w:rPr>
        <w:t>IAB</w:t>
      </w:r>
      <w:r w:rsidRPr="00F95B02">
        <w:rPr>
          <w:b/>
        </w:rPr>
        <w:t xml:space="preserve"> RF Bandwidth edge: </w:t>
      </w:r>
      <w:r w:rsidRPr="00F95B02">
        <w:t xml:space="preserve">frequency of one of the edges of the </w:t>
      </w:r>
      <w:r>
        <w:rPr>
          <w:i/>
          <w:iCs/>
        </w:rPr>
        <w:t>IAB</w:t>
      </w:r>
      <w:r w:rsidRPr="00F95B02">
        <w:rPr>
          <w:i/>
          <w:iCs/>
        </w:rPr>
        <w:t xml:space="preserve"> RF Bandwidth</w:t>
      </w:r>
      <w:r w:rsidRPr="00F95B02">
        <w:rPr>
          <w:lang w:eastAsia="zh-CN"/>
        </w:rPr>
        <w:t>.</w:t>
      </w:r>
    </w:p>
    <w:p w14:paraId="31F87743" w14:textId="77777777" w:rsidR="00817AB4" w:rsidRPr="00A53E7C" w:rsidRDefault="00817AB4" w:rsidP="00817AB4">
      <w:pPr>
        <w:rPr>
          <w:lang w:eastAsia="zh-CN"/>
        </w:rPr>
      </w:pPr>
      <w:r w:rsidRPr="004A0372">
        <w:rPr>
          <w:b/>
        </w:rPr>
        <w:t xml:space="preserve">IAB Simultaneous </w:t>
      </w:r>
      <w:r>
        <w:rPr>
          <w:b/>
        </w:rPr>
        <w:t>O</w:t>
      </w:r>
      <w:r w:rsidRPr="004A0372">
        <w:rPr>
          <w:b/>
        </w:rPr>
        <w:t>peration</w:t>
      </w:r>
      <w:r>
        <w:rPr>
          <w:lang w:eastAsia="zh-CN"/>
        </w:rPr>
        <w:t xml:space="preserve">: IAB-DU and IAB-MT operating with simultaneous transmission, or simultaneous reception. </w:t>
      </w:r>
    </w:p>
    <w:bookmarkEnd w:id="121"/>
    <w:p w14:paraId="2404106C" w14:textId="77777777" w:rsidR="00817AB4" w:rsidRPr="00A53E7C" w:rsidRDefault="00817AB4" w:rsidP="00817AB4">
      <w:pPr>
        <w:rPr>
          <w:lang w:eastAsia="zh-CN"/>
        </w:rPr>
      </w:pPr>
      <w:r>
        <w:rPr>
          <w:b/>
        </w:rPr>
        <w:t>IAB-MT</w:t>
      </w:r>
      <w:r w:rsidRPr="00F95B02">
        <w:rPr>
          <w:b/>
        </w:rPr>
        <w:t xml:space="preserve"> RF Bandwidth edge: </w:t>
      </w:r>
      <w:r w:rsidRPr="00F95B02">
        <w:t xml:space="preserve">frequency of one of the edges of the </w:t>
      </w:r>
      <w:r>
        <w:rPr>
          <w:i/>
          <w:iCs/>
        </w:rPr>
        <w:t>IAB-MT</w:t>
      </w:r>
      <w:r w:rsidRPr="00F95B02">
        <w:rPr>
          <w:i/>
          <w:iCs/>
        </w:rPr>
        <w:t xml:space="preserve"> RF Bandwidth</w:t>
      </w:r>
      <w:r w:rsidRPr="00F95B02">
        <w:rPr>
          <w:lang w:eastAsia="zh-CN"/>
        </w:rPr>
        <w:t>.</w:t>
      </w:r>
    </w:p>
    <w:p w14:paraId="1DD0AE59" w14:textId="77777777" w:rsidR="00690659" w:rsidRPr="00F95B02" w:rsidRDefault="00690659" w:rsidP="00690659">
      <w:r>
        <w:rPr>
          <w:b/>
        </w:rPr>
        <w:t>IAB</w:t>
      </w:r>
      <w:r w:rsidRPr="00F95B02">
        <w:rPr>
          <w:b/>
        </w:rPr>
        <w:t xml:space="preserve"> type 1-H:</w:t>
      </w:r>
      <w:r>
        <w:t xml:space="preserve"> IAB-DU or IAB-MT</w:t>
      </w:r>
      <w:r w:rsidRPr="00F95B02">
        <w:t xml:space="preserve"> operating at FR1 with a </w:t>
      </w:r>
      <w:r w:rsidRPr="00F95B02">
        <w:rPr>
          <w:i/>
        </w:rPr>
        <w:t>requirement set</w:t>
      </w:r>
      <w:r w:rsidRPr="00F95B02">
        <w:t xml:space="preserve"> consisting of conducted requirements defined at individual </w:t>
      </w:r>
      <w:r w:rsidRPr="00F95B02">
        <w:rPr>
          <w:i/>
        </w:rPr>
        <w:t>TAB connectors</w:t>
      </w:r>
      <w:r w:rsidRPr="00F95B02">
        <w:t xml:space="preserve"> and OTA requirements defined at RIB</w:t>
      </w:r>
    </w:p>
    <w:p w14:paraId="69BD56BC" w14:textId="77777777" w:rsidR="00690659" w:rsidRPr="00F95B02" w:rsidRDefault="00690659" w:rsidP="00690659">
      <w:r>
        <w:rPr>
          <w:b/>
        </w:rPr>
        <w:t>IAB</w:t>
      </w:r>
      <w:r w:rsidRPr="00F95B02">
        <w:rPr>
          <w:b/>
        </w:rPr>
        <w:t xml:space="preserve"> type 1-O:</w:t>
      </w:r>
      <w:r>
        <w:rPr>
          <w:b/>
        </w:rPr>
        <w:t xml:space="preserve"> </w:t>
      </w:r>
      <w:r>
        <w:t>IAB-DU or IAB-MT</w:t>
      </w:r>
      <w:r w:rsidRPr="00F95B02">
        <w:t xml:space="preserve"> operating at FR1 with a </w:t>
      </w:r>
      <w:r w:rsidRPr="00F95B02">
        <w:rPr>
          <w:i/>
        </w:rPr>
        <w:t>requirement set</w:t>
      </w:r>
      <w:r w:rsidRPr="00F95B02">
        <w:t xml:space="preserve"> consisting only of OTA requirements defined at the RIB</w:t>
      </w:r>
    </w:p>
    <w:p w14:paraId="1FB5524D" w14:textId="77777777" w:rsidR="00690659" w:rsidRPr="00F95B02" w:rsidRDefault="00690659" w:rsidP="00690659">
      <w:r>
        <w:rPr>
          <w:b/>
        </w:rPr>
        <w:t>IAB</w:t>
      </w:r>
      <w:r w:rsidRPr="00F95B02">
        <w:rPr>
          <w:b/>
        </w:rPr>
        <w:t xml:space="preserve"> type 2-O:</w:t>
      </w:r>
      <w:r>
        <w:rPr>
          <w:b/>
        </w:rPr>
        <w:t xml:space="preserve"> </w:t>
      </w:r>
      <w:r>
        <w:t>IAB-DU or IAB-MT</w:t>
      </w:r>
      <w:r w:rsidRPr="00F95B02">
        <w:t xml:space="preserve"> operating at FR2 with a </w:t>
      </w:r>
      <w:r w:rsidRPr="00F95B02">
        <w:rPr>
          <w:i/>
        </w:rPr>
        <w:t>requirement set</w:t>
      </w:r>
      <w:r w:rsidRPr="00F95B02">
        <w:t xml:space="preserve"> consisting only of OTA requirements defined at the RIB</w:t>
      </w:r>
    </w:p>
    <w:p w14:paraId="0A230BF3" w14:textId="77777777" w:rsidR="00690659" w:rsidRPr="00F95B02" w:rsidRDefault="00690659" w:rsidP="00690659">
      <w:pPr>
        <w:rPr>
          <w:rFonts w:eastAsia="Malgun Gothic"/>
          <w:b/>
          <w:lang w:val="en-US" w:eastAsia="zh-CN"/>
        </w:rPr>
      </w:pPr>
      <w:r>
        <w:rPr>
          <w:b/>
          <w:bCs/>
        </w:rPr>
        <w:t>i</w:t>
      </w:r>
      <w:r w:rsidRPr="00F95B02">
        <w:rPr>
          <w:b/>
          <w:bCs/>
        </w:rPr>
        <w:t>nter-band gap</w:t>
      </w:r>
      <w:r w:rsidRPr="00F95B02">
        <w:rPr>
          <w:rFonts w:cs="v5.0.0"/>
        </w:rPr>
        <w:t xml:space="preserve">: The frequency gap between two supported consecutive </w:t>
      </w:r>
      <w:r w:rsidRPr="00F95B02">
        <w:rPr>
          <w:rFonts w:cs="v5.0.0"/>
          <w:i/>
        </w:rPr>
        <w:t>operating bands</w:t>
      </w:r>
      <w:r w:rsidRPr="00F95B02">
        <w:rPr>
          <w:rFonts w:cs="v5.0.0"/>
        </w:rPr>
        <w:t>.</w:t>
      </w:r>
    </w:p>
    <w:p w14:paraId="2A252548" w14:textId="77777777" w:rsidR="00817AB4" w:rsidRPr="00F95B02" w:rsidRDefault="00817AB4" w:rsidP="00817AB4">
      <w:pPr>
        <w:rPr>
          <w:bCs/>
        </w:rPr>
      </w:pPr>
      <w:r w:rsidRPr="00F95B02">
        <w:rPr>
          <w:b/>
          <w:bCs/>
        </w:rPr>
        <w:t xml:space="preserve">Inter RF Bandwidth gap: </w:t>
      </w:r>
      <w:r w:rsidRPr="00F95B02">
        <w:rPr>
          <w:bCs/>
        </w:rPr>
        <w:t xml:space="preserve">frequency gap between two consecutive </w:t>
      </w:r>
      <w:r>
        <w:rPr>
          <w:bCs/>
          <w:i/>
        </w:rPr>
        <w:t>IAB-DU</w:t>
      </w:r>
      <w:r w:rsidRPr="000A4CDB">
        <w:rPr>
          <w:bCs/>
        </w:rPr>
        <w:t xml:space="preserve"> and/</w:t>
      </w:r>
      <w:r w:rsidRPr="000A4CDB">
        <w:rPr>
          <w:bCs/>
          <w:iCs/>
        </w:rPr>
        <w:t>o</w:t>
      </w:r>
      <w:r w:rsidRPr="00444D1D">
        <w:rPr>
          <w:bCs/>
          <w:iCs/>
        </w:rPr>
        <w:t>r</w:t>
      </w:r>
      <w:r>
        <w:rPr>
          <w:bCs/>
          <w:i/>
        </w:rPr>
        <w:t xml:space="preserve"> IAB-MT </w:t>
      </w:r>
      <w:r w:rsidRPr="00F95B02">
        <w:rPr>
          <w:bCs/>
          <w:i/>
        </w:rPr>
        <w:t>RF Bandwidths</w:t>
      </w:r>
      <w:r w:rsidRPr="00F95B02">
        <w:rPr>
          <w:bCs/>
        </w:rPr>
        <w:t xml:space="preserve"> that are placed within two supported </w:t>
      </w:r>
      <w:r w:rsidRPr="00F95B02">
        <w:rPr>
          <w:bCs/>
          <w:i/>
        </w:rPr>
        <w:t>operating bands</w:t>
      </w:r>
    </w:p>
    <w:p w14:paraId="4E231E9B" w14:textId="77777777" w:rsidR="00690659" w:rsidRPr="00F95B02" w:rsidRDefault="00690659" w:rsidP="00690659">
      <w:pPr>
        <w:rPr>
          <w:lang w:val="en-US"/>
        </w:rPr>
      </w:pPr>
      <w:r>
        <w:rPr>
          <w:b/>
          <w:bCs/>
          <w:lang w:val="en-US"/>
        </w:rPr>
        <w:t>l</w:t>
      </w:r>
      <w:r w:rsidRPr="00F95B02">
        <w:rPr>
          <w:b/>
          <w:bCs/>
          <w:lang w:val="en-US"/>
        </w:rPr>
        <w:t>owest Carrier:</w:t>
      </w:r>
      <w:r w:rsidRPr="00F95B02">
        <w:rPr>
          <w:lang w:val="en-US"/>
        </w:rPr>
        <w:tab/>
        <w:t xml:space="preserve">The carrier </w:t>
      </w:r>
      <w:r w:rsidRPr="00F95B02">
        <w:rPr>
          <w:lang w:val="en-AU"/>
        </w:rPr>
        <w:t xml:space="preserve">with the lowest carrier frequency </w:t>
      </w:r>
      <w:r w:rsidRPr="00F95B02">
        <w:rPr>
          <w:lang w:val="en-US"/>
        </w:rPr>
        <w:t>transmitted/received in a specified frequency band.</w:t>
      </w:r>
    </w:p>
    <w:p w14:paraId="345A0517" w14:textId="77777777" w:rsidR="00690659" w:rsidRPr="00F95B02" w:rsidRDefault="00690659" w:rsidP="00690659">
      <w:r w:rsidRPr="00F95B02">
        <w:rPr>
          <w:rFonts w:cs="v5.0.0"/>
          <w:b/>
          <w:bCs/>
        </w:rPr>
        <w:t xml:space="preserve">maximum carrier output power: </w:t>
      </w:r>
      <w:r w:rsidRPr="00F95B02">
        <w:t xml:space="preserve">mean power level measured per carrier at the indicated interface, during the </w:t>
      </w:r>
      <w:r w:rsidRPr="00F95B02">
        <w:rPr>
          <w:i/>
          <w:iCs/>
        </w:rPr>
        <w:t>transmitter ON period</w:t>
      </w:r>
      <w:r w:rsidRPr="00F95B02">
        <w:t xml:space="preserve"> in a specified reference condition</w:t>
      </w:r>
    </w:p>
    <w:p w14:paraId="7C820297" w14:textId="77777777" w:rsidR="00690659" w:rsidRPr="00F95B02" w:rsidRDefault="00690659" w:rsidP="00690659">
      <w:r w:rsidRPr="00F95B02">
        <w:rPr>
          <w:rFonts w:cs="v5.0.0"/>
          <w:b/>
          <w:bCs/>
        </w:rPr>
        <w:t xml:space="preserve">maximum carrier TRP output power: </w:t>
      </w:r>
      <w:r w:rsidRPr="00F95B02">
        <w:t>mean power level measured per</w:t>
      </w:r>
      <w:r w:rsidRPr="00F95B02">
        <w:rPr>
          <w:i/>
        </w:rPr>
        <w:t xml:space="preserve"> </w:t>
      </w:r>
      <w:r w:rsidRPr="00F95B02">
        <w:t xml:space="preserve">RIB during the </w:t>
      </w:r>
      <w:r w:rsidRPr="00F95B02">
        <w:rPr>
          <w:i/>
        </w:rPr>
        <w:t>transmitter ON period</w:t>
      </w:r>
      <w:r w:rsidRPr="00F95B02">
        <w:t xml:space="preserve"> for a specific carrier in a specified reference condition and corresponding to the declared </w:t>
      </w:r>
      <w:r w:rsidRPr="00F95B02">
        <w:rPr>
          <w:i/>
        </w:rPr>
        <w:t>rated carrier TRP output</w:t>
      </w:r>
      <w:r w:rsidRPr="00F95B02">
        <w:t xml:space="preserve"> power (P</w:t>
      </w:r>
      <w:r w:rsidRPr="00F95B02">
        <w:rPr>
          <w:vertAlign w:val="subscript"/>
        </w:rPr>
        <w:t>rated,c,TRP</w:t>
      </w:r>
      <w:r w:rsidRPr="00F95B02">
        <w:t>)</w:t>
      </w:r>
    </w:p>
    <w:p w14:paraId="22AA66C0" w14:textId="77777777" w:rsidR="00690659" w:rsidRPr="00F95B02" w:rsidRDefault="00690659" w:rsidP="00690659">
      <w:r w:rsidRPr="00F95B02">
        <w:rPr>
          <w:b/>
        </w:rPr>
        <w:t>measurement bandwidth</w:t>
      </w:r>
      <w:r w:rsidRPr="00F95B02">
        <w:t>: RF bandwidth in which an emission level is specified</w:t>
      </w:r>
    </w:p>
    <w:p w14:paraId="7E348C05" w14:textId="77777777" w:rsidR="00690659" w:rsidRPr="00F95B02" w:rsidRDefault="00690659" w:rsidP="00690659">
      <w:r w:rsidRPr="00F95B02">
        <w:rPr>
          <w:b/>
        </w:rPr>
        <w:t>minSENS:</w:t>
      </w:r>
      <w:r w:rsidRPr="00F95B02">
        <w:t xml:space="preserve"> the lowest declared EIS value for the OSDD's declared for OTA sensitivity requirement</w:t>
      </w:r>
      <w:r w:rsidRPr="00F95B02">
        <w:rPr>
          <w:bCs/>
        </w:rPr>
        <w:t>.</w:t>
      </w:r>
    </w:p>
    <w:p w14:paraId="40EC8577" w14:textId="77777777" w:rsidR="00690659" w:rsidRPr="00F95B02" w:rsidRDefault="00690659" w:rsidP="00690659">
      <w:r w:rsidRPr="00F95B02">
        <w:rPr>
          <w:b/>
        </w:rPr>
        <w:t xml:space="preserve">minSENS RoAoA: </w:t>
      </w:r>
      <w:r w:rsidRPr="00F95B02">
        <w:t xml:space="preserve">The </w:t>
      </w:r>
      <w:r w:rsidRPr="00F95B02">
        <w:rPr>
          <w:i/>
        </w:rPr>
        <w:t>reference RoAoA</w:t>
      </w:r>
      <w:r w:rsidRPr="00F95B02">
        <w:t xml:space="preserve"> associated with the OSDD with the lowest declared EIS</w:t>
      </w:r>
    </w:p>
    <w:p w14:paraId="4CC90491" w14:textId="77777777" w:rsidR="00690659" w:rsidRPr="00F95B02" w:rsidRDefault="00690659" w:rsidP="00690659">
      <w:pPr>
        <w:rPr>
          <w:b/>
          <w:bCs/>
          <w:lang w:val="en-US"/>
        </w:rPr>
      </w:pPr>
      <w:r w:rsidRPr="00F95B02">
        <w:rPr>
          <w:b/>
        </w:rPr>
        <w:t>multi-band connector</w:t>
      </w:r>
      <w:r w:rsidRPr="00F95B02">
        <w:t xml:space="preserve">: </w:t>
      </w:r>
      <w:r w:rsidRPr="00F95B02">
        <w:rPr>
          <w:i/>
          <w:iCs/>
          <w:lang w:val="en-US"/>
        </w:rPr>
        <w:t>TAB connector</w:t>
      </w:r>
      <w:r w:rsidRPr="00F95B02">
        <w:rPr>
          <w:lang w:val="en-US"/>
        </w:rPr>
        <w:t xml:space="preserve"> of </w:t>
      </w:r>
      <w:r>
        <w:rPr>
          <w:i/>
          <w:lang w:val="en-US"/>
        </w:rPr>
        <w:t>IAB</w:t>
      </w:r>
      <w:r w:rsidRPr="00F95B02">
        <w:rPr>
          <w:i/>
          <w:lang w:val="en-US"/>
        </w:rPr>
        <w:t xml:space="preserve"> type 1-H</w:t>
      </w:r>
      <w:r w:rsidRPr="00F95B02">
        <w:rPr>
          <w:lang w:val="en-US"/>
        </w:rPr>
        <w:t xml:space="preserve"> associated with a transmitter or receiver that is characterized by the ability to process two or more carriers in common active RF components simultaneously, where at least one carrier is configured at a different </w:t>
      </w:r>
      <w:r w:rsidRPr="00F95B02">
        <w:rPr>
          <w:i/>
          <w:lang w:val="en-US"/>
        </w:rPr>
        <w:t>operating band</w:t>
      </w:r>
      <w:r w:rsidRPr="00F95B02">
        <w:rPr>
          <w:lang w:val="en-US"/>
        </w:rPr>
        <w:t xml:space="preserve"> than the other carrier(s) and where this different </w:t>
      </w:r>
      <w:r w:rsidRPr="00F95B02">
        <w:rPr>
          <w:i/>
          <w:lang w:val="en-US"/>
        </w:rPr>
        <w:t>operating band</w:t>
      </w:r>
      <w:r w:rsidRPr="00F95B02">
        <w:rPr>
          <w:lang w:val="en-US"/>
        </w:rPr>
        <w:t xml:space="preserve"> is not a </w:t>
      </w:r>
      <w:r w:rsidRPr="00F95B02">
        <w:rPr>
          <w:i/>
          <w:lang w:val="en-US"/>
        </w:rPr>
        <w:t>sub-band</w:t>
      </w:r>
      <w:r w:rsidRPr="00F95B02">
        <w:rPr>
          <w:lang w:val="en-US"/>
        </w:rPr>
        <w:t xml:space="preserve"> or </w:t>
      </w:r>
      <w:r w:rsidRPr="00F95B02">
        <w:rPr>
          <w:i/>
          <w:lang w:val="en-US"/>
        </w:rPr>
        <w:t>superseding-band</w:t>
      </w:r>
      <w:r w:rsidRPr="00F95B02">
        <w:rPr>
          <w:lang w:val="en-US"/>
        </w:rPr>
        <w:t xml:space="preserve"> of another supported </w:t>
      </w:r>
      <w:r w:rsidRPr="00F95B02">
        <w:rPr>
          <w:i/>
          <w:lang w:val="en-US"/>
        </w:rPr>
        <w:t>operating band</w:t>
      </w:r>
    </w:p>
    <w:p w14:paraId="56C0FC73" w14:textId="77777777" w:rsidR="00690659" w:rsidRPr="00F95B02" w:rsidRDefault="00690659" w:rsidP="00690659">
      <w:r w:rsidRPr="00F95B02">
        <w:rPr>
          <w:b/>
        </w:rPr>
        <w:t>multi-band RIB:</w:t>
      </w:r>
      <w:r w:rsidRPr="00F95B02">
        <w:t xml:space="preserve"> </w:t>
      </w:r>
      <w:r w:rsidRPr="00F95B02">
        <w:rPr>
          <w:i/>
        </w:rPr>
        <w:t>operating band</w:t>
      </w:r>
      <w:r w:rsidRPr="00F95B02">
        <w:t xml:space="preserve"> specific RIB </w:t>
      </w:r>
      <w:r w:rsidRPr="00F95B02">
        <w:rPr>
          <w:lang w:val="en-US"/>
        </w:rPr>
        <w:t xml:space="preserve">associated with a transmitter or receiver that is characterized by the ability to process two or more carriers in common active RF components simultaneously, where at least one carrier is configured at a different </w:t>
      </w:r>
      <w:r w:rsidRPr="00F95B02">
        <w:rPr>
          <w:i/>
          <w:lang w:val="en-US"/>
        </w:rPr>
        <w:t>operating band</w:t>
      </w:r>
      <w:r w:rsidRPr="00F95B02">
        <w:rPr>
          <w:lang w:val="en-US"/>
        </w:rPr>
        <w:t xml:space="preserve"> than the other carrier(s) and where this different </w:t>
      </w:r>
      <w:r w:rsidRPr="00F95B02">
        <w:rPr>
          <w:i/>
          <w:lang w:val="en-US"/>
        </w:rPr>
        <w:t>operating band</w:t>
      </w:r>
      <w:r w:rsidRPr="00F95B02">
        <w:rPr>
          <w:lang w:val="en-US"/>
        </w:rPr>
        <w:t xml:space="preserve"> is not a </w:t>
      </w:r>
      <w:r w:rsidRPr="00F95B02">
        <w:rPr>
          <w:i/>
          <w:lang w:val="en-US"/>
        </w:rPr>
        <w:t>sub-band</w:t>
      </w:r>
      <w:r w:rsidRPr="00F95B02">
        <w:rPr>
          <w:lang w:val="en-US"/>
        </w:rPr>
        <w:t xml:space="preserve"> or </w:t>
      </w:r>
      <w:r w:rsidRPr="00F95B02">
        <w:rPr>
          <w:i/>
          <w:lang w:val="en-US"/>
        </w:rPr>
        <w:t>superseding-band</w:t>
      </w:r>
      <w:r w:rsidRPr="00F95B02">
        <w:rPr>
          <w:lang w:val="en-US"/>
        </w:rPr>
        <w:t xml:space="preserve"> of another supported </w:t>
      </w:r>
      <w:r w:rsidRPr="00F95B02">
        <w:rPr>
          <w:i/>
          <w:lang w:val="en-US"/>
        </w:rPr>
        <w:t>operating band</w:t>
      </w:r>
    </w:p>
    <w:p w14:paraId="44A1B672" w14:textId="77777777" w:rsidR="00690659" w:rsidRPr="00F95B02" w:rsidRDefault="00690659" w:rsidP="00690659">
      <w:pPr>
        <w:tabs>
          <w:tab w:val="left" w:pos="2448"/>
          <w:tab w:val="left" w:pos="9468"/>
        </w:tabs>
      </w:pPr>
      <w:r w:rsidRPr="00F95B02">
        <w:rPr>
          <w:b/>
        </w:rPr>
        <w:t>Non-contiguous spectrum:</w:t>
      </w:r>
      <w:r w:rsidRPr="00F95B02">
        <w:t xml:space="preserve"> spectrum consisting of two or more </w:t>
      </w:r>
      <w:r w:rsidRPr="00F95B02">
        <w:rPr>
          <w:i/>
        </w:rPr>
        <w:t>sub-blocks</w:t>
      </w:r>
      <w:r w:rsidRPr="00F95B02">
        <w:t xml:space="preserve"> separated by </w:t>
      </w:r>
      <w:r w:rsidRPr="00F95B02">
        <w:rPr>
          <w:i/>
          <w:iCs/>
        </w:rPr>
        <w:t>sub-block gap</w:t>
      </w:r>
      <w:r w:rsidRPr="00F95B02">
        <w:rPr>
          <w:i/>
        </w:rPr>
        <w:t>(s)</w:t>
      </w:r>
      <w:r w:rsidRPr="00F95B02">
        <w:t>.</w:t>
      </w:r>
    </w:p>
    <w:p w14:paraId="0AE1181F" w14:textId="77777777" w:rsidR="00690659" w:rsidRPr="00F95B02" w:rsidRDefault="00690659" w:rsidP="00690659">
      <w:pPr>
        <w:tabs>
          <w:tab w:val="left" w:pos="2448"/>
          <w:tab w:val="left" w:pos="9468"/>
        </w:tabs>
        <w:rPr>
          <w:rFonts w:cs="v5.0.0"/>
          <w:b/>
          <w:bCs/>
        </w:rPr>
      </w:pPr>
      <w:r w:rsidRPr="00F95B02">
        <w:rPr>
          <w:rFonts w:cs="v5.0.0"/>
          <w:b/>
          <w:bCs/>
        </w:rPr>
        <w:t xml:space="preserve">operating band: </w:t>
      </w:r>
      <w:r w:rsidRPr="00F95B02">
        <w:rPr>
          <w:rFonts w:cs="v5.0.0"/>
        </w:rPr>
        <w:t>frequency range in which NR operates (paired or unpaired), that is defined with a specific set of technical requirements</w:t>
      </w:r>
    </w:p>
    <w:p w14:paraId="78671588" w14:textId="77777777" w:rsidR="00690659" w:rsidRPr="00F95B02" w:rsidRDefault="00690659" w:rsidP="00690659">
      <w:pPr>
        <w:pStyle w:val="NO"/>
      </w:pPr>
      <w:r w:rsidRPr="00F95B02">
        <w:t>NOTE:</w:t>
      </w:r>
      <w:r w:rsidRPr="00F95B02">
        <w:tab/>
        <w:t xml:space="preserve">The </w:t>
      </w:r>
      <w:r w:rsidRPr="00F95B02">
        <w:rPr>
          <w:i/>
        </w:rPr>
        <w:t>operating band</w:t>
      </w:r>
      <w:r w:rsidRPr="00F95B02">
        <w:t>(s) for a</w:t>
      </w:r>
      <w:r>
        <w:t>n IAB-DU and IAB-MT</w:t>
      </w:r>
      <w:r w:rsidRPr="00F95B02">
        <w:t xml:space="preserve"> </w:t>
      </w:r>
      <w:r>
        <w:t>are</w:t>
      </w:r>
      <w:r w:rsidRPr="00F95B02">
        <w:t xml:space="preserve"> declared by the manufacturer</w:t>
      </w:r>
    </w:p>
    <w:p w14:paraId="25B1EC0F" w14:textId="77777777" w:rsidR="00690659" w:rsidRPr="00F95B02" w:rsidRDefault="00690659" w:rsidP="00690659">
      <w:r w:rsidRPr="00F95B02">
        <w:rPr>
          <w:b/>
        </w:rPr>
        <w:lastRenderedPageBreak/>
        <w:t>OTA coverage range</w:t>
      </w:r>
      <w:r w:rsidRPr="00F95B02">
        <w:t xml:space="preserve">: a common range of directions within which TX OTA requirements that are neither specified in the </w:t>
      </w:r>
      <w:r w:rsidRPr="00F95B02">
        <w:rPr>
          <w:i/>
        </w:rPr>
        <w:t>OTA peak directions sets</w:t>
      </w:r>
      <w:r w:rsidRPr="00F95B02">
        <w:t xml:space="preserve"> nor as </w:t>
      </w:r>
      <w:r w:rsidRPr="00F95B02">
        <w:rPr>
          <w:i/>
        </w:rPr>
        <w:t>TRP requirement</w:t>
      </w:r>
      <w:r w:rsidRPr="00F95B02">
        <w:t xml:space="preserve"> are intended to be met</w:t>
      </w:r>
    </w:p>
    <w:p w14:paraId="35B9B36C" w14:textId="77777777" w:rsidR="00690659" w:rsidRPr="00F95B02" w:rsidRDefault="00690659" w:rsidP="00690659">
      <w:r w:rsidRPr="00F95B02">
        <w:rPr>
          <w:b/>
        </w:rPr>
        <w:t xml:space="preserve">OTA peak directions set: </w:t>
      </w:r>
      <w:r w:rsidRPr="00F95B02">
        <w:t>set(s) of </w:t>
      </w:r>
      <w:r w:rsidRPr="00F95B02">
        <w:rPr>
          <w:i/>
        </w:rPr>
        <w:t>beam peak directions</w:t>
      </w:r>
      <w:r w:rsidRPr="00F95B02">
        <w:t> within which certain TX OTA requirements are intended to be met, where all </w:t>
      </w:r>
      <w:r w:rsidRPr="00F95B02">
        <w:rPr>
          <w:i/>
        </w:rPr>
        <w:t>OTA peak directions set(s)</w:t>
      </w:r>
      <w:r w:rsidRPr="00F95B02">
        <w:t> are subsets of the </w:t>
      </w:r>
      <w:r w:rsidRPr="00F95B02">
        <w:rPr>
          <w:i/>
        </w:rPr>
        <w:t>OTA coverage range</w:t>
      </w:r>
    </w:p>
    <w:p w14:paraId="30250403" w14:textId="77777777" w:rsidR="00690659" w:rsidRPr="00F95B02" w:rsidRDefault="00690659" w:rsidP="00690659">
      <w:pPr>
        <w:pStyle w:val="NO"/>
      </w:pPr>
      <w:r w:rsidRPr="00F95B02">
        <w:t>NOTE:     The </w:t>
      </w:r>
      <w:r w:rsidRPr="00F95B02">
        <w:rPr>
          <w:i/>
        </w:rPr>
        <w:t>beam peak directions</w:t>
      </w:r>
      <w:r w:rsidRPr="00F95B02">
        <w:t> are related to a corresponding contiguous range or discrete list of </w:t>
      </w:r>
      <w:r w:rsidRPr="00F95B02">
        <w:rPr>
          <w:i/>
        </w:rPr>
        <w:t>beam centre directions </w:t>
      </w:r>
      <w:r w:rsidRPr="00F95B02">
        <w:t>by the </w:t>
      </w:r>
      <w:r w:rsidRPr="00F95B02">
        <w:rPr>
          <w:i/>
        </w:rPr>
        <w:t>beam direction pairs</w:t>
      </w:r>
      <w:r w:rsidRPr="00F95B02">
        <w:t> included in the set.</w:t>
      </w:r>
    </w:p>
    <w:p w14:paraId="1717AF66" w14:textId="77777777" w:rsidR="00690659" w:rsidRPr="00F95B02" w:rsidRDefault="00690659" w:rsidP="00690659">
      <w:r w:rsidRPr="00F95B02">
        <w:rPr>
          <w:b/>
        </w:rPr>
        <w:t>OTA REFSENS RoAoA:</w:t>
      </w:r>
      <w:r w:rsidRPr="00F95B02">
        <w:t xml:space="preserve"> the RoAoA determined by the contour defined by the points at which the achieved EIS is 3dB higher than the achieved EIS in the reference direction assuming that for any AoA, the receiver gain is optimized for that AoA </w:t>
      </w:r>
    </w:p>
    <w:p w14:paraId="02B09A66" w14:textId="77777777" w:rsidR="00690659" w:rsidRPr="00F95B02" w:rsidRDefault="00690659" w:rsidP="00690659">
      <w:pPr>
        <w:pStyle w:val="NO"/>
      </w:pPr>
      <w:r w:rsidRPr="00F95B02">
        <w:t>NOTE:</w:t>
      </w:r>
      <w:r w:rsidRPr="00F95B02">
        <w:tab/>
        <w:t xml:space="preserve">This contour will be related to the average </w:t>
      </w:r>
      <w:r w:rsidRPr="00F95B02">
        <w:rPr>
          <w:lang w:eastAsia="zh-CN"/>
        </w:rPr>
        <w:t>element</w:t>
      </w:r>
      <w:r w:rsidRPr="00F95B02">
        <w:t>/sub-array radiation pattern 3dB beamwidth.</w:t>
      </w:r>
    </w:p>
    <w:p w14:paraId="4C1FF353" w14:textId="77777777" w:rsidR="00690659" w:rsidRPr="00F95B02" w:rsidRDefault="00690659" w:rsidP="00690659">
      <w:pPr>
        <w:rPr>
          <w:lang w:eastAsia="zh-CN"/>
        </w:rPr>
      </w:pPr>
      <w:r w:rsidRPr="00F95B02">
        <w:rPr>
          <w:b/>
          <w:lang w:eastAsia="zh-CN"/>
        </w:rPr>
        <w:t>OTA sensitivity directions declaration:</w:t>
      </w:r>
      <w:r w:rsidRPr="00F95B02">
        <w:rPr>
          <w:lang w:eastAsia="zh-CN"/>
        </w:rPr>
        <w:t xml:space="preserve"> set of manufacturer declarations comprising at least one set of declared minimum EIS </w:t>
      </w:r>
      <w:r w:rsidRPr="00F95B02">
        <w:t xml:space="preserve">values (with </w:t>
      </w:r>
      <w:r>
        <w:rPr>
          <w:i/>
        </w:rPr>
        <w:t xml:space="preserve">IAB-DU </w:t>
      </w:r>
      <w:r>
        <w:rPr>
          <w:iCs/>
        </w:rPr>
        <w:t xml:space="preserve">or </w:t>
      </w:r>
      <w:r>
        <w:rPr>
          <w:i/>
        </w:rPr>
        <w:t>IAB-MT</w:t>
      </w:r>
      <w:r w:rsidRPr="00F95B02">
        <w:rPr>
          <w:i/>
        </w:rPr>
        <w:t xml:space="preserve"> channel bandwidth</w:t>
      </w:r>
      <w:r w:rsidRPr="00F95B02">
        <w:t xml:space="preserve">), </w:t>
      </w:r>
      <w:r w:rsidRPr="00F95B02">
        <w:rPr>
          <w:lang w:eastAsia="zh-CN"/>
        </w:rPr>
        <w:t>and related directions over which the EIS applies</w:t>
      </w:r>
    </w:p>
    <w:p w14:paraId="00C6A0CF" w14:textId="77777777" w:rsidR="00690659" w:rsidRPr="00F95B02" w:rsidRDefault="00690659" w:rsidP="00690659">
      <w:pPr>
        <w:pStyle w:val="NO"/>
        <w:rPr>
          <w:lang w:eastAsia="zh-CN"/>
        </w:rPr>
      </w:pPr>
      <w:r w:rsidRPr="00F95B02">
        <w:rPr>
          <w:lang w:eastAsia="zh-CN"/>
        </w:rPr>
        <w:t>NOTE:</w:t>
      </w:r>
      <w:r w:rsidRPr="00F95B02">
        <w:rPr>
          <w:lang w:eastAsia="zh-CN"/>
        </w:rPr>
        <w:tab/>
        <w:t>All the directions apply to all the EIS values in an OSDD.</w:t>
      </w:r>
    </w:p>
    <w:p w14:paraId="5F13CDA9" w14:textId="77777777" w:rsidR="00690659" w:rsidRDefault="00690659" w:rsidP="00690659">
      <w:pPr>
        <w:rPr>
          <w:b/>
          <w:bCs/>
          <w:lang w:eastAsia="sv-SE"/>
        </w:rPr>
      </w:pPr>
      <w:r>
        <w:rPr>
          <w:rFonts w:hint="eastAsia"/>
          <w:b/>
        </w:rPr>
        <w:t>Parent node</w:t>
      </w:r>
      <w:r>
        <w:rPr>
          <w:rFonts w:hint="eastAsia"/>
        </w:rPr>
        <w:t>: IAB-MT's next hop neighbour node; the parent node can be IAB-node or IAB-donor</w:t>
      </w:r>
      <w:r>
        <w:t>.</w:t>
      </w:r>
    </w:p>
    <w:p w14:paraId="15C5A989" w14:textId="77777777" w:rsidR="00690659" w:rsidRPr="00F95B02" w:rsidRDefault="00690659" w:rsidP="00690659">
      <w:pPr>
        <w:rPr>
          <w:lang w:eastAsia="sv-SE"/>
        </w:rPr>
      </w:pPr>
      <w:r w:rsidRPr="00F95B02">
        <w:rPr>
          <w:b/>
          <w:bCs/>
          <w:lang w:eastAsia="sv-SE"/>
        </w:rPr>
        <w:t xml:space="preserve">polarization match: </w:t>
      </w:r>
      <w:r w:rsidRPr="00F95B02">
        <w:rPr>
          <w:lang w:eastAsia="sv-SE"/>
        </w:rPr>
        <w:t>condition that exists when a plane wave, incident upon an antenna from a given direction, has a polarization that is the same as the receiving polarization of the antenna in that direction</w:t>
      </w:r>
    </w:p>
    <w:p w14:paraId="5B05A33E" w14:textId="77777777" w:rsidR="00690659" w:rsidRPr="00F95B02" w:rsidRDefault="00690659" w:rsidP="00690659">
      <w:pPr>
        <w:rPr>
          <w:lang w:eastAsia="sv-SE"/>
        </w:rPr>
      </w:pPr>
      <w:r w:rsidRPr="00F95B02">
        <w:rPr>
          <w:b/>
          <w:lang w:eastAsia="sv-SE"/>
        </w:rPr>
        <w:t>radiated interface boundary</w:t>
      </w:r>
      <w:r w:rsidRPr="00F95B02">
        <w:rPr>
          <w:lang w:eastAsia="sv-SE"/>
        </w:rPr>
        <w:t xml:space="preserve">: </w:t>
      </w:r>
      <w:r w:rsidRPr="00F95B02">
        <w:rPr>
          <w:i/>
          <w:lang w:eastAsia="sv-SE"/>
        </w:rPr>
        <w:t>operating band</w:t>
      </w:r>
      <w:r w:rsidRPr="00F95B02">
        <w:rPr>
          <w:lang w:eastAsia="sv-SE"/>
        </w:rPr>
        <w:t xml:space="preserve"> specific radiated requirements reference where the radiated requirements apply</w:t>
      </w:r>
    </w:p>
    <w:p w14:paraId="02545D64" w14:textId="77777777" w:rsidR="00690659" w:rsidRPr="00F95B02" w:rsidRDefault="00690659" w:rsidP="00690659">
      <w:pPr>
        <w:pStyle w:val="NO"/>
        <w:rPr>
          <w:lang w:eastAsia="sv-SE"/>
        </w:rPr>
      </w:pPr>
      <w:r w:rsidRPr="00F95B02">
        <w:rPr>
          <w:lang w:eastAsia="sv-SE"/>
        </w:rPr>
        <w:t>NOTE:</w:t>
      </w:r>
      <w:r w:rsidRPr="00F95B02">
        <w:rPr>
          <w:lang w:eastAsia="sv-SE"/>
        </w:rPr>
        <w:tab/>
        <w:t xml:space="preserve">For requirements based on EIRP/EIS, the </w:t>
      </w:r>
      <w:r w:rsidRPr="00F95B02">
        <w:rPr>
          <w:i/>
          <w:lang w:eastAsia="sv-SE"/>
        </w:rPr>
        <w:t>radiated interface boundary</w:t>
      </w:r>
      <w:r w:rsidRPr="00F95B02">
        <w:rPr>
          <w:lang w:eastAsia="sv-SE"/>
        </w:rPr>
        <w:t xml:space="preserve"> is associated to the far-field region</w:t>
      </w:r>
    </w:p>
    <w:p w14:paraId="798F6CF6" w14:textId="77777777" w:rsidR="00690659" w:rsidRPr="00F95B02" w:rsidRDefault="00690659" w:rsidP="00690659">
      <w:pPr>
        <w:tabs>
          <w:tab w:val="left" w:pos="3765"/>
        </w:tabs>
        <w:rPr>
          <w:b/>
        </w:rPr>
      </w:pPr>
      <w:r w:rsidRPr="00F95B02">
        <w:rPr>
          <w:b/>
          <w:bCs/>
          <w:lang w:eastAsia="zh-CN"/>
        </w:rPr>
        <w:t>R</w:t>
      </w:r>
      <w:r w:rsidRPr="00F95B02">
        <w:rPr>
          <w:b/>
          <w:bCs/>
        </w:rPr>
        <w:t>adio Bandwidth:</w:t>
      </w:r>
      <w:r w:rsidRPr="00F95B02">
        <w:rPr>
          <w:lang w:eastAsia="zh-CN"/>
        </w:rPr>
        <w:t xml:space="preserve"> </w:t>
      </w:r>
      <w:r w:rsidRPr="00F95B02">
        <w:rPr>
          <w:bCs/>
        </w:rPr>
        <w:t>frequency difference between the upper edge of the highest used carrier and the lower edge of the lowest used carrier</w:t>
      </w:r>
    </w:p>
    <w:p w14:paraId="0E541CF2" w14:textId="77777777" w:rsidR="00690659" w:rsidRPr="00F95B02" w:rsidRDefault="00690659" w:rsidP="00690659">
      <w:r w:rsidRPr="00F95B02">
        <w:rPr>
          <w:b/>
          <w:bCs/>
          <w:lang w:eastAsia="zh-CN"/>
        </w:rPr>
        <w:t xml:space="preserve">rated beam EIRP: </w:t>
      </w:r>
      <w:r w:rsidRPr="00F95B02">
        <w:rPr>
          <w:lang w:eastAsia="ja-JP"/>
        </w:rPr>
        <w:t xml:space="preserve">For a declared beam and </w:t>
      </w:r>
      <w:r w:rsidRPr="00F95B02">
        <w:rPr>
          <w:i/>
          <w:lang w:eastAsia="ja-JP"/>
        </w:rPr>
        <w:t>beam direction pair</w:t>
      </w:r>
      <w:r w:rsidRPr="00F95B02">
        <w:rPr>
          <w:lang w:eastAsia="ja-JP"/>
        </w:rPr>
        <w:t>, the</w:t>
      </w:r>
      <w:r w:rsidRPr="00F95B02">
        <w:rPr>
          <w:i/>
          <w:lang w:eastAsia="ja-JP"/>
        </w:rPr>
        <w:t xml:space="preserve"> rated beam EIRP</w:t>
      </w:r>
      <w:r w:rsidRPr="00F95B02">
        <w:rPr>
          <w:lang w:eastAsia="ja-JP"/>
        </w:rPr>
        <w:t xml:space="preserve"> level is the maximum power that the </w:t>
      </w:r>
      <w:r>
        <w:rPr>
          <w:lang w:eastAsia="ja-JP"/>
        </w:rPr>
        <w:t>IAB-DU or IAB-MT</w:t>
      </w:r>
      <w:r w:rsidRPr="00F95B02">
        <w:rPr>
          <w:lang w:eastAsia="ja-JP"/>
        </w:rPr>
        <w:t xml:space="preserve"> is declared to radiate at the associated </w:t>
      </w:r>
      <w:r w:rsidRPr="00F95B02">
        <w:rPr>
          <w:i/>
          <w:lang w:eastAsia="ja-JP"/>
        </w:rPr>
        <w:t>beam peak direction</w:t>
      </w:r>
      <w:r w:rsidRPr="00F95B02">
        <w:rPr>
          <w:lang w:eastAsia="ja-JP"/>
        </w:rPr>
        <w:t xml:space="preserve"> during the </w:t>
      </w:r>
      <w:r w:rsidRPr="00F95B02">
        <w:rPr>
          <w:i/>
          <w:lang w:eastAsia="ja-JP"/>
        </w:rPr>
        <w:t>transmitter ON period</w:t>
      </w:r>
    </w:p>
    <w:p w14:paraId="4BE738F8" w14:textId="77777777" w:rsidR="00690659" w:rsidRPr="00F95B02" w:rsidRDefault="00690659" w:rsidP="00690659">
      <w:r w:rsidRPr="00F95B02">
        <w:rPr>
          <w:b/>
        </w:rPr>
        <w:t>rated carrier output power</w:t>
      </w:r>
      <w:r w:rsidRPr="00F95B02">
        <w:rPr>
          <w:b/>
          <w:lang w:eastAsia="zh-CN"/>
        </w:rPr>
        <w:t xml:space="preserve">: </w:t>
      </w:r>
      <w:r w:rsidRPr="00F95B02">
        <w:t xml:space="preserve">mean power level associated with a particular carrier the manufacturer has declared to be available at the indicated interface, during the </w:t>
      </w:r>
      <w:r w:rsidRPr="00F95B02">
        <w:rPr>
          <w:i/>
        </w:rPr>
        <w:t>transmitter ON period</w:t>
      </w:r>
      <w:r w:rsidRPr="00F95B02">
        <w:t xml:space="preserve"> in a specified reference condition</w:t>
      </w:r>
    </w:p>
    <w:p w14:paraId="00815FC2" w14:textId="77777777" w:rsidR="00690659" w:rsidRPr="00F95B02" w:rsidRDefault="00690659" w:rsidP="00690659">
      <w:r w:rsidRPr="00F95B02">
        <w:rPr>
          <w:b/>
        </w:rPr>
        <w:t xml:space="preserve">rated carrier </w:t>
      </w:r>
      <w:r w:rsidRPr="00F95B02">
        <w:rPr>
          <w:rFonts w:cs="v5.0.0"/>
          <w:b/>
          <w:bCs/>
        </w:rPr>
        <w:t xml:space="preserve">TRP </w:t>
      </w:r>
      <w:r w:rsidRPr="00F95B02">
        <w:rPr>
          <w:b/>
        </w:rPr>
        <w:t xml:space="preserve">output power: </w:t>
      </w:r>
      <w:r w:rsidRPr="00F95B02">
        <w:rPr>
          <w:rFonts w:cs="v5.0.0"/>
          <w:snapToGrid w:val="0"/>
        </w:rPr>
        <w:t xml:space="preserve">mean power level declared by the manufacturer per carrier, for </w:t>
      </w:r>
      <w:r>
        <w:rPr>
          <w:rFonts w:cs="v5.0.0"/>
          <w:snapToGrid w:val="0"/>
        </w:rPr>
        <w:t>IAB-DU or IAB-MT</w:t>
      </w:r>
      <w:r w:rsidRPr="00F95B02">
        <w:rPr>
          <w:rFonts w:cs="v5.0.0"/>
          <w:snapToGrid w:val="0"/>
        </w:rPr>
        <w:t xml:space="preserve"> operating in single carrier, multi-carrier, or carrier aggregation configurations that the manufacturer has declared to be available at the RIB during the </w:t>
      </w:r>
      <w:r w:rsidRPr="00F95B02">
        <w:rPr>
          <w:rFonts w:cs="v5.0.0"/>
          <w:i/>
          <w:snapToGrid w:val="0"/>
        </w:rPr>
        <w:t>transmitter ON period</w:t>
      </w:r>
    </w:p>
    <w:p w14:paraId="7E434AE6" w14:textId="77777777" w:rsidR="00690659" w:rsidRPr="00F95B02" w:rsidRDefault="00690659" w:rsidP="00690659">
      <w:r w:rsidRPr="00F95B02">
        <w:rPr>
          <w:b/>
        </w:rPr>
        <w:t>rated total output power:</w:t>
      </w:r>
      <w:r w:rsidRPr="00F95B02">
        <w:t xml:space="preserve"> mean power level associated with a particular </w:t>
      </w:r>
      <w:r w:rsidRPr="00F95B02">
        <w:rPr>
          <w:i/>
          <w:iCs/>
        </w:rPr>
        <w:t>operating band</w:t>
      </w:r>
      <w:r w:rsidRPr="00F95B02">
        <w:t xml:space="preserve"> the manufacturer has declared to be available at the indicated interface, during the </w:t>
      </w:r>
      <w:r w:rsidRPr="00F95B02">
        <w:rPr>
          <w:i/>
        </w:rPr>
        <w:t>transmitter ON period</w:t>
      </w:r>
      <w:r w:rsidRPr="00F95B02">
        <w:t xml:space="preserve"> in a specified reference condition</w:t>
      </w:r>
    </w:p>
    <w:p w14:paraId="769D46F3" w14:textId="77777777" w:rsidR="00690659" w:rsidRPr="00F95B02" w:rsidRDefault="00690659" w:rsidP="00690659">
      <w:pPr>
        <w:rPr>
          <w:rFonts w:cs="v5.0.0"/>
          <w:snapToGrid w:val="0"/>
        </w:rPr>
      </w:pPr>
      <w:r w:rsidRPr="00F95B02">
        <w:rPr>
          <w:b/>
        </w:rPr>
        <w:t xml:space="preserve">rated total </w:t>
      </w:r>
      <w:r w:rsidRPr="00F95B02">
        <w:rPr>
          <w:rFonts w:cs="v5.0.0"/>
          <w:b/>
          <w:bCs/>
        </w:rPr>
        <w:t xml:space="preserve">TRP </w:t>
      </w:r>
      <w:r w:rsidRPr="00F95B02">
        <w:rPr>
          <w:b/>
        </w:rPr>
        <w:t xml:space="preserve">output power: </w:t>
      </w:r>
      <w:r w:rsidRPr="00F95B02">
        <w:rPr>
          <w:rFonts w:cs="v5.0.0"/>
          <w:snapToGrid w:val="0"/>
        </w:rPr>
        <w:t xml:space="preserve">mean power level declared by the manufacturer, that the manufacturer has declared to be available at the RIB during the </w:t>
      </w:r>
      <w:r w:rsidRPr="00F95B02">
        <w:rPr>
          <w:rFonts w:cs="v5.0.0"/>
          <w:i/>
          <w:snapToGrid w:val="0"/>
        </w:rPr>
        <w:t>transmitter ON period</w:t>
      </w:r>
    </w:p>
    <w:p w14:paraId="0AB7C527" w14:textId="77777777" w:rsidR="00690659" w:rsidRPr="00F95B02" w:rsidRDefault="00690659" w:rsidP="00690659">
      <w:pPr>
        <w:rPr>
          <w:bCs/>
          <w:lang w:eastAsia="zh-CN"/>
        </w:rPr>
      </w:pPr>
      <w:r w:rsidRPr="00F95B02">
        <w:rPr>
          <w:b/>
          <w:bCs/>
          <w:lang w:eastAsia="zh-CN"/>
        </w:rPr>
        <w:t xml:space="preserve">reference beam direction pair: </w:t>
      </w:r>
      <w:r w:rsidRPr="00F95B02">
        <w:rPr>
          <w:bCs/>
          <w:lang w:eastAsia="zh-CN"/>
        </w:rPr>
        <w:t xml:space="preserve">declared </w:t>
      </w:r>
      <w:r w:rsidRPr="00F95B02">
        <w:rPr>
          <w:bCs/>
          <w:i/>
          <w:lang w:eastAsia="zh-CN"/>
        </w:rPr>
        <w:t>beam direction pair</w:t>
      </w:r>
      <w:r w:rsidRPr="00F95B02">
        <w:rPr>
          <w:bCs/>
          <w:lang w:eastAsia="zh-CN"/>
        </w:rPr>
        <w:t xml:space="preserve">, including reference </w:t>
      </w:r>
      <w:r w:rsidRPr="00F95B02">
        <w:rPr>
          <w:bCs/>
          <w:i/>
          <w:lang w:eastAsia="zh-CN"/>
        </w:rPr>
        <w:t>beam centre direction</w:t>
      </w:r>
      <w:r w:rsidRPr="00F95B02">
        <w:rPr>
          <w:bCs/>
          <w:lang w:eastAsia="zh-CN"/>
        </w:rPr>
        <w:t xml:space="preserve"> and reference </w:t>
      </w:r>
      <w:r w:rsidRPr="00F95B02">
        <w:rPr>
          <w:bCs/>
          <w:i/>
          <w:lang w:eastAsia="zh-CN"/>
        </w:rPr>
        <w:t>beam peak direction</w:t>
      </w:r>
      <w:r w:rsidRPr="00F95B02">
        <w:rPr>
          <w:bCs/>
          <w:lang w:eastAsia="zh-CN"/>
        </w:rPr>
        <w:t xml:space="preserve"> where the reference </w:t>
      </w:r>
      <w:r w:rsidRPr="00F95B02">
        <w:rPr>
          <w:bCs/>
          <w:i/>
          <w:lang w:eastAsia="zh-CN"/>
        </w:rPr>
        <w:t>beam peak direction</w:t>
      </w:r>
      <w:r w:rsidRPr="00F95B02">
        <w:rPr>
          <w:bCs/>
          <w:lang w:eastAsia="zh-CN"/>
        </w:rPr>
        <w:t xml:space="preserve"> is the direction for the intended maximum EIRP within the </w:t>
      </w:r>
      <w:r w:rsidRPr="00F95B02">
        <w:rPr>
          <w:bCs/>
          <w:i/>
          <w:lang w:eastAsia="zh-CN"/>
        </w:rPr>
        <w:t>OTA peak directions set</w:t>
      </w:r>
    </w:p>
    <w:p w14:paraId="471319CC" w14:textId="77777777" w:rsidR="00690659" w:rsidRPr="00F95B02" w:rsidRDefault="00690659" w:rsidP="00690659">
      <w:r w:rsidRPr="00F95B02">
        <w:rPr>
          <w:b/>
        </w:rPr>
        <w:t>receiver target:</w:t>
      </w:r>
      <w:r w:rsidRPr="00F95B02">
        <w:t xml:space="preserve"> AoA in which reception is performed</w:t>
      </w:r>
      <w:r w:rsidRPr="00F95B02">
        <w:rPr>
          <w:i/>
        </w:rPr>
        <w:t xml:space="preserve"> </w:t>
      </w:r>
      <w:r w:rsidRPr="00F95B02">
        <w:t xml:space="preserve">by </w:t>
      </w:r>
      <w:r>
        <w:rPr>
          <w:i/>
        </w:rPr>
        <w:t>IAB</w:t>
      </w:r>
      <w:r w:rsidRPr="00F95B02">
        <w:rPr>
          <w:i/>
        </w:rPr>
        <w:t xml:space="preserve"> type 1-H</w:t>
      </w:r>
      <w:r w:rsidRPr="00F95B02">
        <w:t xml:space="preserve"> or </w:t>
      </w:r>
      <w:r>
        <w:rPr>
          <w:i/>
        </w:rPr>
        <w:t>IAB</w:t>
      </w:r>
      <w:r w:rsidRPr="00F95B02">
        <w:rPr>
          <w:i/>
        </w:rPr>
        <w:t xml:space="preserve"> type 1-O</w:t>
      </w:r>
    </w:p>
    <w:p w14:paraId="42D17C87" w14:textId="77777777" w:rsidR="00690659" w:rsidRPr="00F95B02" w:rsidRDefault="00690659" w:rsidP="00690659">
      <w:r w:rsidRPr="00F95B02">
        <w:rPr>
          <w:b/>
          <w:bCs/>
          <w:lang w:eastAsia="zh-CN"/>
        </w:rPr>
        <w:t>receiver target redirection range:</w:t>
      </w:r>
      <w:r w:rsidRPr="00F95B02">
        <w:t xml:space="preserve"> union of all the</w:t>
      </w:r>
      <w:r w:rsidRPr="00F95B02">
        <w:rPr>
          <w:i/>
        </w:rPr>
        <w:t xml:space="preserve"> sensitivity RoAoA</w:t>
      </w:r>
      <w:r w:rsidRPr="00F95B02">
        <w:t xml:space="preserve"> achievable through redirecting the </w:t>
      </w:r>
      <w:r w:rsidRPr="00F95B02">
        <w:rPr>
          <w:i/>
        </w:rPr>
        <w:t>receiver target</w:t>
      </w:r>
      <w:r w:rsidRPr="00F95B02">
        <w:t xml:space="preserve"> related to particular OSDD</w:t>
      </w:r>
    </w:p>
    <w:p w14:paraId="79A32394" w14:textId="77777777" w:rsidR="00690659" w:rsidRPr="00F95B02" w:rsidRDefault="00690659" w:rsidP="00690659">
      <w:pPr>
        <w:rPr>
          <w:bCs/>
          <w:lang w:eastAsia="zh-CN"/>
        </w:rPr>
      </w:pPr>
      <w:r w:rsidRPr="00F95B02">
        <w:rPr>
          <w:b/>
          <w:bCs/>
          <w:lang w:eastAsia="zh-CN"/>
        </w:rPr>
        <w:t>receiver target reference direction:</w:t>
      </w:r>
      <w:r w:rsidRPr="00F95B02">
        <w:rPr>
          <w:bCs/>
          <w:lang w:eastAsia="zh-CN"/>
        </w:rPr>
        <w:t xml:space="preserve"> direction inside the </w:t>
      </w:r>
      <w:r w:rsidRPr="00F95B02">
        <w:rPr>
          <w:bCs/>
          <w:i/>
          <w:lang w:eastAsia="zh-CN"/>
        </w:rPr>
        <w:t>OTA sensitivity directions declaration</w:t>
      </w:r>
      <w:r w:rsidRPr="00F95B02" w:rsidDel="00EA63E7">
        <w:rPr>
          <w:bCs/>
          <w:i/>
          <w:lang w:eastAsia="zh-CN"/>
        </w:rPr>
        <w:t xml:space="preserve"> </w:t>
      </w:r>
      <w:r w:rsidRPr="00F95B02">
        <w:rPr>
          <w:bCs/>
          <w:lang w:eastAsia="zh-CN"/>
        </w:rPr>
        <w:t xml:space="preserve">declared by the manufacturer for conformance testing. For an OSDD without </w:t>
      </w:r>
      <w:r w:rsidRPr="00F95B02">
        <w:rPr>
          <w:bCs/>
          <w:i/>
          <w:lang w:eastAsia="zh-CN"/>
        </w:rPr>
        <w:t>receiver target redirection range</w:t>
      </w:r>
      <w:r w:rsidRPr="00F95B02">
        <w:rPr>
          <w:bCs/>
          <w:lang w:eastAsia="zh-CN"/>
        </w:rPr>
        <w:t xml:space="preserve">, this is a direction inside the </w:t>
      </w:r>
      <w:r w:rsidRPr="00F95B02">
        <w:rPr>
          <w:bCs/>
          <w:i/>
          <w:lang w:eastAsia="zh-CN"/>
        </w:rPr>
        <w:t>sensitivity RoAoA</w:t>
      </w:r>
    </w:p>
    <w:p w14:paraId="0298CB1F" w14:textId="77777777" w:rsidR="00690659" w:rsidRPr="00F95B02" w:rsidRDefault="00690659" w:rsidP="00690659">
      <w:pPr>
        <w:rPr>
          <w:rFonts w:cs="Arial"/>
          <w:szCs w:val="18"/>
          <w:lang w:eastAsia="ja-JP"/>
        </w:rPr>
      </w:pPr>
      <w:r w:rsidRPr="00F95B02">
        <w:rPr>
          <w:rFonts w:cs="Arial"/>
          <w:b/>
          <w:szCs w:val="18"/>
        </w:rPr>
        <w:t>reference RoAoA</w:t>
      </w:r>
      <w:r w:rsidRPr="00F95B02">
        <w:rPr>
          <w:rFonts w:cs="Arial"/>
          <w:szCs w:val="18"/>
        </w:rPr>
        <w:t xml:space="preserve">: the </w:t>
      </w:r>
      <w:r w:rsidRPr="00F95B02">
        <w:rPr>
          <w:rFonts w:cs="Arial"/>
          <w:i/>
          <w:szCs w:val="18"/>
        </w:rPr>
        <w:t>sensitivity RoAoA</w:t>
      </w:r>
      <w:r w:rsidRPr="00F95B02">
        <w:rPr>
          <w:rFonts w:cs="Arial"/>
          <w:szCs w:val="18"/>
        </w:rPr>
        <w:t xml:space="preserve"> associated with the </w:t>
      </w:r>
      <w:r w:rsidRPr="00F95B02">
        <w:rPr>
          <w:rFonts w:cs="Arial"/>
          <w:i/>
          <w:szCs w:val="18"/>
        </w:rPr>
        <w:t>receiver target reference direction</w:t>
      </w:r>
      <w:r w:rsidRPr="00F95B02">
        <w:rPr>
          <w:rFonts w:cs="Arial"/>
          <w:szCs w:val="18"/>
        </w:rPr>
        <w:t xml:space="preserve"> for each OSDD.</w:t>
      </w:r>
    </w:p>
    <w:p w14:paraId="3AB51C89" w14:textId="77777777" w:rsidR="00690659" w:rsidRPr="00F95B02" w:rsidRDefault="00690659" w:rsidP="00690659">
      <w:pPr>
        <w:rPr>
          <w:lang w:eastAsia="sv-SE"/>
        </w:rPr>
      </w:pPr>
      <w:r w:rsidRPr="00F95B02">
        <w:rPr>
          <w:b/>
          <w:lang w:eastAsia="sv-SE"/>
        </w:rPr>
        <w:t>requirement set:</w:t>
      </w:r>
      <w:r w:rsidRPr="00F95B02">
        <w:rPr>
          <w:lang w:eastAsia="sv-SE"/>
        </w:rPr>
        <w:tab/>
      </w:r>
      <w:r>
        <w:rPr>
          <w:lang w:eastAsia="sv-SE"/>
        </w:rPr>
        <w:t xml:space="preserve"> </w:t>
      </w:r>
      <w:r w:rsidRPr="00F95B02">
        <w:rPr>
          <w:lang w:eastAsia="sv-SE"/>
        </w:rPr>
        <w:t>one of the NR requirement set</w:t>
      </w:r>
      <w:r>
        <w:rPr>
          <w:lang w:eastAsia="sv-SE"/>
        </w:rPr>
        <w:t>s</w:t>
      </w:r>
      <w:r w:rsidRPr="00F95B02">
        <w:rPr>
          <w:lang w:eastAsia="sv-SE"/>
        </w:rPr>
        <w:t xml:space="preserve"> as defined for </w:t>
      </w:r>
      <w:r>
        <w:rPr>
          <w:i/>
          <w:lang w:eastAsia="sv-SE"/>
        </w:rPr>
        <w:t>IAB</w:t>
      </w:r>
      <w:r w:rsidRPr="00F95B02">
        <w:rPr>
          <w:i/>
          <w:lang w:eastAsia="sv-SE"/>
        </w:rPr>
        <w:t xml:space="preserve"> type 1-H</w:t>
      </w:r>
      <w:r w:rsidRPr="00F95B02">
        <w:rPr>
          <w:lang w:eastAsia="sv-SE"/>
        </w:rPr>
        <w:t xml:space="preserve">, </w:t>
      </w:r>
      <w:r>
        <w:rPr>
          <w:i/>
          <w:lang w:eastAsia="sv-SE"/>
        </w:rPr>
        <w:t>IAB</w:t>
      </w:r>
      <w:r w:rsidRPr="00F95B02">
        <w:rPr>
          <w:i/>
          <w:lang w:eastAsia="sv-SE"/>
        </w:rPr>
        <w:t xml:space="preserve"> type 1-O</w:t>
      </w:r>
      <w:r w:rsidRPr="00F95B02">
        <w:rPr>
          <w:lang w:eastAsia="sv-SE"/>
        </w:rPr>
        <w:t xml:space="preserve">, and </w:t>
      </w:r>
      <w:r>
        <w:rPr>
          <w:i/>
          <w:lang w:eastAsia="sv-SE"/>
        </w:rPr>
        <w:t>IAB</w:t>
      </w:r>
      <w:r w:rsidRPr="00F95B02">
        <w:rPr>
          <w:i/>
          <w:lang w:eastAsia="sv-SE"/>
        </w:rPr>
        <w:t xml:space="preserve"> type 2-O</w:t>
      </w:r>
    </w:p>
    <w:p w14:paraId="5114770F" w14:textId="77777777" w:rsidR="00690659" w:rsidRPr="00F95B02" w:rsidRDefault="00690659" w:rsidP="00690659">
      <w:r w:rsidRPr="00F95B02">
        <w:rPr>
          <w:b/>
          <w:bCs/>
          <w:lang w:eastAsia="zh-CN"/>
        </w:rPr>
        <w:lastRenderedPageBreak/>
        <w:t>sensitivity RoAoA:</w:t>
      </w:r>
      <w:r w:rsidRPr="00F95B02">
        <w:rPr>
          <w:bCs/>
          <w:lang w:eastAsia="zh-CN"/>
        </w:rPr>
        <w:t xml:space="preserve"> RoAoA within the </w:t>
      </w:r>
      <w:r w:rsidRPr="00F95B02">
        <w:rPr>
          <w:bCs/>
          <w:i/>
          <w:lang w:eastAsia="zh-CN"/>
        </w:rPr>
        <w:t>OTA sensitivity directions declaration</w:t>
      </w:r>
      <w:r w:rsidRPr="00F95B02">
        <w:rPr>
          <w:bCs/>
          <w:lang w:eastAsia="zh-CN"/>
        </w:rPr>
        <w:t xml:space="preserve">, within which the declared EIS(s) of an OSDD is intended to be achieved at any </w:t>
      </w:r>
      <w:r w:rsidRPr="00F95B02">
        <w:t>instance of time</w:t>
      </w:r>
      <w:r w:rsidRPr="00F95B02">
        <w:rPr>
          <w:bCs/>
          <w:lang w:eastAsia="zh-CN"/>
        </w:rPr>
        <w:t xml:space="preserve"> for a specific </w:t>
      </w:r>
      <w:r>
        <w:rPr>
          <w:bCs/>
          <w:lang w:eastAsia="zh-CN"/>
        </w:rPr>
        <w:t>IAB-DU or IAB-MT</w:t>
      </w:r>
      <w:r w:rsidRPr="00F95B02">
        <w:rPr>
          <w:bCs/>
          <w:lang w:eastAsia="zh-CN"/>
        </w:rPr>
        <w:t xml:space="preserve"> direction setting</w:t>
      </w:r>
    </w:p>
    <w:p w14:paraId="19284947" w14:textId="77777777" w:rsidR="00690659" w:rsidRPr="00F95B02" w:rsidRDefault="00690659" w:rsidP="00690659">
      <w:pPr>
        <w:rPr>
          <w:lang w:val="en-US"/>
        </w:rPr>
      </w:pPr>
      <w:r w:rsidRPr="00F95B02">
        <w:rPr>
          <w:b/>
          <w:bCs/>
        </w:rPr>
        <w:t>single-band connector:</w:t>
      </w:r>
      <w:r w:rsidRPr="00F95B02">
        <w:t xml:space="preserve"> </w:t>
      </w:r>
      <w:r>
        <w:rPr>
          <w:i/>
        </w:rPr>
        <w:t>IAB</w:t>
      </w:r>
      <w:r w:rsidRPr="00F95B02">
        <w:rPr>
          <w:i/>
        </w:rPr>
        <w:t xml:space="preserve"> type 1-H</w:t>
      </w:r>
      <w:r w:rsidRPr="00F95B02">
        <w:t xml:space="preserve"> </w:t>
      </w:r>
      <w:r w:rsidRPr="00F95B02">
        <w:rPr>
          <w:i/>
          <w:iCs/>
        </w:rPr>
        <w:t>TAB connector</w:t>
      </w:r>
      <w:r w:rsidRPr="00F95B02">
        <w:t xml:space="preserve"> supporting operation either in a single </w:t>
      </w:r>
      <w:r w:rsidRPr="00F95B02">
        <w:rPr>
          <w:i/>
          <w:iCs/>
        </w:rPr>
        <w:t>operating band</w:t>
      </w:r>
      <w:r w:rsidRPr="00F95B02">
        <w:t xml:space="preserve"> only, or in multiple </w:t>
      </w:r>
      <w:r w:rsidRPr="00F95B02">
        <w:rPr>
          <w:i/>
          <w:iCs/>
        </w:rPr>
        <w:t>operating bands</w:t>
      </w:r>
      <w:r w:rsidRPr="00F95B02">
        <w:t xml:space="preserve"> but </w:t>
      </w:r>
      <w:r w:rsidRPr="00F95B02">
        <w:rPr>
          <w:lang w:val="en-US"/>
        </w:rPr>
        <w:t xml:space="preserve">does not meet the conditions for a </w:t>
      </w:r>
      <w:r w:rsidRPr="00F95B02">
        <w:rPr>
          <w:i/>
          <w:lang w:val="en-US"/>
        </w:rPr>
        <w:t>multi-band connector</w:t>
      </w:r>
      <w:r w:rsidRPr="00F95B02">
        <w:rPr>
          <w:lang w:val="en-US"/>
        </w:rPr>
        <w:t>.</w:t>
      </w:r>
    </w:p>
    <w:p w14:paraId="398FDF91" w14:textId="77777777" w:rsidR="00690659" w:rsidRPr="00F95B02" w:rsidRDefault="00690659" w:rsidP="00690659">
      <w:pPr>
        <w:rPr>
          <w:i/>
        </w:rPr>
      </w:pPr>
      <w:r w:rsidRPr="00F95B02">
        <w:rPr>
          <w:b/>
        </w:rPr>
        <w:t>sub-band</w:t>
      </w:r>
      <w:r w:rsidRPr="00F95B02">
        <w:t xml:space="preserve">: A </w:t>
      </w:r>
      <w:r w:rsidRPr="00F95B02">
        <w:rPr>
          <w:i/>
        </w:rPr>
        <w:t>sub-band</w:t>
      </w:r>
      <w:r w:rsidRPr="00F95B02">
        <w:t xml:space="preserve"> of an operating band contains a part of the uplink and downlink frequency range of the operating band.</w:t>
      </w:r>
    </w:p>
    <w:p w14:paraId="4349AFC5" w14:textId="77777777" w:rsidR="00E7283F" w:rsidRPr="00F95B02" w:rsidRDefault="00E7283F" w:rsidP="00E7283F">
      <w:r w:rsidRPr="00F95B02">
        <w:rPr>
          <w:b/>
        </w:rPr>
        <w:t>sub-block:</w:t>
      </w:r>
      <w:r w:rsidRPr="00F95B02">
        <w:t xml:space="preserve"> one contiguous allocated block of spectrum for transmission and reception by the same </w:t>
      </w:r>
      <w:r>
        <w:t>IAB-DU and/or IAB-MT</w:t>
      </w:r>
    </w:p>
    <w:p w14:paraId="61FCA33D" w14:textId="77777777" w:rsidR="00690659" w:rsidRPr="00F95B02" w:rsidRDefault="00690659" w:rsidP="00690659">
      <w:pPr>
        <w:pStyle w:val="NO"/>
        <w:rPr>
          <w:b/>
        </w:rPr>
      </w:pPr>
      <w:r w:rsidRPr="00F95B02">
        <w:t>NOTE:</w:t>
      </w:r>
      <w:r w:rsidRPr="00F95B02">
        <w:tab/>
        <w:t xml:space="preserve">There may be multiple instances of </w:t>
      </w:r>
      <w:r w:rsidRPr="00F95B02">
        <w:rPr>
          <w:i/>
        </w:rPr>
        <w:t>sub-blocks</w:t>
      </w:r>
      <w:r w:rsidRPr="00F95B02">
        <w:t xml:space="preserve"> within a </w:t>
      </w:r>
      <w:r>
        <w:rPr>
          <w:i/>
        </w:rPr>
        <w:t>IAB</w:t>
      </w:r>
      <w:r w:rsidRPr="00F95B02">
        <w:rPr>
          <w:i/>
        </w:rPr>
        <w:t xml:space="preserve"> RF Bandwidth</w:t>
      </w:r>
      <w:r w:rsidRPr="00F95B02">
        <w:t>.</w:t>
      </w:r>
    </w:p>
    <w:p w14:paraId="340F39DF" w14:textId="77777777" w:rsidR="00690659" w:rsidRPr="00F95B02" w:rsidRDefault="00690659" w:rsidP="00690659">
      <w:r w:rsidRPr="00F95B02">
        <w:rPr>
          <w:b/>
        </w:rPr>
        <w:t xml:space="preserve">sub-block gap: </w:t>
      </w:r>
      <w:r w:rsidRPr="00F95B02">
        <w:t xml:space="preserve">frequency gap between two consecutive sub-blocks within a </w:t>
      </w:r>
      <w:r>
        <w:rPr>
          <w:i/>
        </w:rPr>
        <w:t>IAB</w:t>
      </w:r>
      <w:r w:rsidRPr="00F95B02">
        <w:rPr>
          <w:i/>
        </w:rPr>
        <w:t xml:space="preserve"> RF Bandwidth</w:t>
      </w:r>
      <w:r w:rsidRPr="00F95B02">
        <w:t>, where the RF requirements in the gap are based on co-existence for un-coordinated operation</w:t>
      </w:r>
    </w:p>
    <w:p w14:paraId="472BEA44" w14:textId="77777777" w:rsidR="00690659" w:rsidRPr="00F95B02" w:rsidRDefault="00690659" w:rsidP="00690659">
      <w:r w:rsidRPr="00F95B02">
        <w:rPr>
          <w:b/>
        </w:rPr>
        <w:t>superseding-band</w:t>
      </w:r>
      <w:r w:rsidRPr="00F95B02">
        <w:t xml:space="preserve">: A </w:t>
      </w:r>
      <w:r w:rsidRPr="00F95B02">
        <w:rPr>
          <w:i/>
        </w:rPr>
        <w:t>superseding-band</w:t>
      </w:r>
      <w:r w:rsidRPr="00F95B02">
        <w:t xml:space="preserve"> of an operating band includes the whole of the uplink and downlink frequency range of the operating band.</w:t>
      </w:r>
    </w:p>
    <w:p w14:paraId="7AC70CC3" w14:textId="77777777" w:rsidR="00690659" w:rsidRPr="00F95B02" w:rsidRDefault="00690659" w:rsidP="00690659">
      <w:r w:rsidRPr="00F95B02">
        <w:rPr>
          <w:b/>
        </w:rPr>
        <w:t>TAB connector:</w:t>
      </w:r>
      <w:r w:rsidRPr="00F95B02">
        <w:t xml:space="preserve"> </w:t>
      </w:r>
      <w:r w:rsidRPr="00F95B02">
        <w:rPr>
          <w:i/>
        </w:rPr>
        <w:t>transceiver array boundary</w:t>
      </w:r>
      <w:r w:rsidRPr="00F95B02">
        <w:t xml:space="preserve"> connector</w:t>
      </w:r>
    </w:p>
    <w:p w14:paraId="4141A1C8" w14:textId="77777777" w:rsidR="00690659" w:rsidRPr="00F95B02" w:rsidRDefault="00690659" w:rsidP="00690659">
      <w:r w:rsidRPr="00F95B02">
        <w:rPr>
          <w:b/>
          <w:bCs/>
        </w:rPr>
        <w:t xml:space="preserve">TAB connector RX min cell group: </w:t>
      </w:r>
      <w:r w:rsidRPr="00F95B02">
        <w:rPr>
          <w:i/>
          <w:iCs/>
        </w:rPr>
        <w:t>operating band</w:t>
      </w:r>
      <w:r w:rsidRPr="00F95B02">
        <w:t xml:space="preserve"> specific declared group of </w:t>
      </w:r>
      <w:r w:rsidRPr="00F95B02">
        <w:rPr>
          <w:i/>
          <w:iCs/>
        </w:rPr>
        <w:t xml:space="preserve">TAB connectors </w:t>
      </w:r>
      <w:r w:rsidRPr="00F95B02">
        <w:t xml:space="preserve">to which </w:t>
      </w:r>
      <w:r>
        <w:rPr>
          <w:i/>
        </w:rPr>
        <w:t>IAB</w:t>
      </w:r>
      <w:r w:rsidRPr="00F95B02">
        <w:rPr>
          <w:i/>
        </w:rPr>
        <w:t xml:space="preserve"> type 1-H</w:t>
      </w:r>
      <w:r w:rsidRPr="00F95B02">
        <w:t xml:space="preserve"> conducted RX requirements are applied</w:t>
      </w:r>
    </w:p>
    <w:p w14:paraId="0DE842C3" w14:textId="77777777" w:rsidR="00690659" w:rsidRPr="00F95B02" w:rsidRDefault="00690659" w:rsidP="00690659">
      <w:pPr>
        <w:pStyle w:val="NO"/>
      </w:pPr>
      <w:r w:rsidRPr="00F95B02">
        <w:t>NOTE:</w:t>
      </w:r>
      <w:r w:rsidRPr="00F95B02">
        <w:tab/>
        <w:t xml:space="preserve">Within this definition, the group corresponds to the group of </w:t>
      </w:r>
      <w:r w:rsidRPr="00F95B02">
        <w:rPr>
          <w:i/>
          <w:iCs/>
        </w:rPr>
        <w:t>TAB connectors</w:t>
      </w:r>
      <w:r w:rsidRPr="00F95B02">
        <w:t xml:space="preserve"> which are responsible for receiving a cell when the </w:t>
      </w:r>
      <w:r>
        <w:rPr>
          <w:i/>
        </w:rPr>
        <w:t>IAB</w:t>
      </w:r>
      <w:r w:rsidRPr="00F95B02">
        <w:rPr>
          <w:i/>
        </w:rPr>
        <w:t xml:space="preserve"> type 1-H</w:t>
      </w:r>
      <w:r w:rsidRPr="00F95B02">
        <w:t xml:space="preserve"> setting corresponding to the declared minimum number of cells with reception on all </w:t>
      </w:r>
      <w:r w:rsidRPr="00F95B02">
        <w:rPr>
          <w:i/>
          <w:iCs/>
        </w:rPr>
        <w:t>TAB connectors</w:t>
      </w:r>
      <w:r w:rsidRPr="00F95B02">
        <w:t xml:space="preserve"> supporting an </w:t>
      </w:r>
      <w:r w:rsidRPr="00F95B02">
        <w:rPr>
          <w:i/>
          <w:iCs/>
        </w:rPr>
        <w:t>operating band</w:t>
      </w:r>
      <w:r w:rsidRPr="00F95B02">
        <w:t>, but its existence is not limited to that condition</w:t>
      </w:r>
    </w:p>
    <w:p w14:paraId="2255E2CC" w14:textId="77777777" w:rsidR="00690659" w:rsidRPr="00F95B02" w:rsidRDefault="00690659" w:rsidP="00690659">
      <w:r w:rsidRPr="00F95B02">
        <w:rPr>
          <w:b/>
          <w:bCs/>
        </w:rPr>
        <w:t xml:space="preserve">TAB connector TX min cell group: </w:t>
      </w:r>
      <w:r w:rsidRPr="00F95B02">
        <w:rPr>
          <w:i/>
          <w:iCs/>
        </w:rPr>
        <w:t>operating band</w:t>
      </w:r>
      <w:r w:rsidRPr="00F95B02">
        <w:t xml:space="preserve"> specific declared group of </w:t>
      </w:r>
      <w:r w:rsidRPr="00F95B02">
        <w:rPr>
          <w:i/>
          <w:iCs/>
        </w:rPr>
        <w:t xml:space="preserve">TAB connectors </w:t>
      </w:r>
      <w:r w:rsidRPr="00F95B02">
        <w:t xml:space="preserve">to which </w:t>
      </w:r>
      <w:r>
        <w:rPr>
          <w:i/>
        </w:rPr>
        <w:t>IAB</w:t>
      </w:r>
      <w:r w:rsidRPr="00F95B02">
        <w:rPr>
          <w:i/>
        </w:rPr>
        <w:t xml:space="preserve"> type 1-H</w:t>
      </w:r>
      <w:r w:rsidRPr="00F95B02">
        <w:t xml:space="preserve"> conducted TX requirements are applied.</w:t>
      </w:r>
    </w:p>
    <w:p w14:paraId="53EA692D" w14:textId="77777777" w:rsidR="00690659" w:rsidRPr="00F95B02" w:rsidRDefault="00690659" w:rsidP="00690659">
      <w:pPr>
        <w:pStyle w:val="NO"/>
      </w:pPr>
      <w:r w:rsidRPr="00F95B02">
        <w:t>NOTE:</w:t>
      </w:r>
      <w:r w:rsidRPr="00F95B02">
        <w:tab/>
        <w:t xml:space="preserve">Within this definition, the group corresponds to the group of </w:t>
      </w:r>
      <w:r w:rsidRPr="00F95B02">
        <w:rPr>
          <w:i/>
          <w:iCs/>
        </w:rPr>
        <w:t>TAB connectors</w:t>
      </w:r>
      <w:r w:rsidRPr="00F95B02">
        <w:t xml:space="preserve"> which are responsible for transmitting a cell when the </w:t>
      </w:r>
      <w:r>
        <w:rPr>
          <w:i/>
        </w:rPr>
        <w:t>IAB</w:t>
      </w:r>
      <w:r w:rsidRPr="00F95B02">
        <w:rPr>
          <w:i/>
        </w:rPr>
        <w:t xml:space="preserve"> type 1-H</w:t>
      </w:r>
      <w:r w:rsidRPr="00F95B02">
        <w:t xml:space="preserve"> setting corresponding to the declared minimum number of cells with transmission on all </w:t>
      </w:r>
      <w:r w:rsidRPr="00F95B02">
        <w:rPr>
          <w:i/>
          <w:iCs/>
        </w:rPr>
        <w:t>TAB connectors</w:t>
      </w:r>
      <w:r w:rsidRPr="00F95B02">
        <w:t xml:space="preserve"> supporting an </w:t>
      </w:r>
      <w:r w:rsidRPr="00F95B02">
        <w:rPr>
          <w:i/>
          <w:iCs/>
        </w:rPr>
        <w:t>operating band</w:t>
      </w:r>
      <w:r w:rsidRPr="00F95B02">
        <w:t>, but its existence is not limited to that condition</w:t>
      </w:r>
    </w:p>
    <w:p w14:paraId="62D1BE9C" w14:textId="77777777" w:rsidR="00690659" w:rsidRPr="00F95B02" w:rsidRDefault="00690659" w:rsidP="00690659">
      <w:pPr>
        <w:rPr>
          <w:rFonts w:cs="v5.0.0"/>
          <w:bCs/>
        </w:rPr>
      </w:pPr>
      <w:r w:rsidRPr="00F95B02">
        <w:rPr>
          <w:rFonts w:cs="v5.0.0"/>
          <w:b/>
          <w:bCs/>
        </w:rPr>
        <w:t>total radiated power:</w:t>
      </w:r>
      <w:r w:rsidRPr="00F95B02">
        <w:rPr>
          <w:rFonts w:cs="v5.0.0"/>
          <w:bCs/>
        </w:rPr>
        <w:t xml:space="preserve"> is the total power radiated by the antenna</w:t>
      </w:r>
    </w:p>
    <w:p w14:paraId="238A49A7" w14:textId="77777777" w:rsidR="00690659" w:rsidRPr="00F95B02" w:rsidRDefault="00690659" w:rsidP="00690659">
      <w:pPr>
        <w:pStyle w:val="NO"/>
      </w:pPr>
      <w:r w:rsidRPr="00F95B02">
        <w:t>NOTE:</w:t>
      </w:r>
      <w:r w:rsidRPr="00F95B02">
        <w:tab/>
        <w:t xml:space="preserve">The </w:t>
      </w:r>
      <w:r w:rsidRPr="00F95B02">
        <w:rPr>
          <w:i/>
        </w:rPr>
        <w:t>total radiated power</w:t>
      </w:r>
      <w:r w:rsidRPr="00F95B02">
        <w:t xml:space="preserve"> is the power radiating in all direction for two orthogonal polarizations.</w:t>
      </w:r>
      <w:r w:rsidRPr="00F95B02" w:rsidDel="00844FA2">
        <w:t xml:space="preserve"> </w:t>
      </w:r>
      <w:r w:rsidRPr="00F95B02">
        <w:t xml:space="preserve"> </w:t>
      </w:r>
      <w:r w:rsidRPr="00F95B02">
        <w:rPr>
          <w:i/>
        </w:rPr>
        <w:t>Total radiated power</w:t>
      </w:r>
      <w:r w:rsidRPr="00F95B02">
        <w:t xml:space="preserve"> is defined in both the near-field region and the far-field region</w:t>
      </w:r>
    </w:p>
    <w:p w14:paraId="0B38637D" w14:textId="77777777" w:rsidR="00690659" w:rsidRPr="00F95B02" w:rsidRDefault="00690659" w:rsidP="00690659">
      <w:pPr>
        <w:rPr>
          <w:lang w:eastAsia="zh-CN"/>
        </w:rPr>
      </w:pPr>
      <w:r w:rsidRPr="00F95B02">
        <w:rPr>
          <w:b/>
        </w:rPr>
        <w:t>transceiver array boundary:</w:t>
      </w:r>
      <w:r w:rsidRPr="00F95B02">
        <w:t xml:space="preserve"> </w:t>
      </w:r>
      <w:r w:rsidRPr="00F95B02">
        <w:rPr>
          <w:lang w:eastAsia="zh-CN"/>
        </w:rPr>
        <w:t>conducted interface between the transceiver unit array and the composite antenna</w:t>
      </w:r>
    </w:p>
    <w:p w14:paraId="0D4D6165" w14:textId="77777777" w:rsidR="00690659" w:rsidRPr="00F95B02" w:rsidRDefault="00690659" w:rsidP="00690659">
      <w:pPr>
        <w:rPr>
          <w:lang w:eastAsia="zh-CN"/>
        </w:rPr>
      </w:pPr>
      <w:r w:rsidRPr="00F95B02">
        <w:rPr>
          <w:b/>
        </w:rPr>
        <w:t>transmission bandwidth</w:t>
      </w:r>
      <w:r w:rsidRPr="00F95B02">
        <w:rPr>
          <w:b/>
          <w:lang w:val="en-US" w:eastAsia="zh-CN"/>
        </w:rPr>
        <w:t xml:space="preserve">: </w:t>
      </w:r>
      <w:r w:rsidRPr="00F95B02">
        <w:rPr>
          <w:lang w:eastAsia="zh-CN"/>
        </w:rPr>
        <w:t xml:space="preserve">RF Bandwidth of an instantaneous transmission from </w:t>
      </w:r>
      <w:r>
        <w:rPr>
          <w:lang w:eastAsia="zh-CN"/>
        </w:rPr>
        <w:t>an IAB-DU or IAB-MT</w:t>
      </w:r>
      <w:r w:rsidRPr="00F95B02">
        <w:rPr>
          <w:lang w:eastAsia="zh-CN"/>
        </w:rPr>
        <w:t>, measured in resource block units</w:t>
      </w:r>
    </w:p>
    <w:p w14:paraId="6C9E0EE5" w14:textId="77777777" w:rsidR="00690659" w:rsidRPr="00F95B02" w:rsidRDefault="00690659" w:rsidP="00690659">
      <w:r w:rsidRPr="00F95B02">
        <w:rPr>
          <w:b/>
          <w:bCs/>
        </w:rPr>
        <w:t>transmitter OFF period:</w:t>
      </w:r>
      <w:r w:rsidRPr="00F95B02">
        <w:t xml:space="preserve"> time period during which the </w:t>
      </w:r>
      <w:r>
        <w:t>IAB-DU or IAB-MT</w:t>
      </w:r>
      <w:r w:rsidRPr="00F95B02">
        <w:t xml:space="preserve"> transmitter is not allowed to transmit</w:t>
      </w:r>
    </w:p>
    <w:p w14:paraId="06AE51AB" w14:textId="77777777" w:rsidR="00690659" w:rsidRPr="00A65D56" w:rsidRDefault="00690659" w:rsidP="00690659">
      <w:pPr>
        <w:rPr>
          <w:rFonts w:cs="v5.0.0"/>
          <w:lang w:eastAsia="ko-KR"/>
        </w:rPr>
      </w:pPr>
      <w:r w:rsidRPr="00F95B02">
        <w:rPr>
          <w:rFonts w:cs="v5.0.0"/>
          <w:b/>
          <w:bCs/>
          <w:lang w:eastAsia="ko-KR"/>
        </w:rPr>
        <w:t>transmitter ON period</w:t>
      </w:r>
      <w:r w:rsidRPr="00444D1D">
        <w:rPr>
          <w:rFonts w:cs="v5.0.0"/>
          <w:lang w:eastAsia="ko-KR"/>
        </w:rPr>
        <w:t xml:space="preserve">: </w:t>
      </w:r>
      <w:r w:rsidRPr="00A65D56">
        <w:rPr>
          <w:rFonts w:cs="v5.0.0"/>
          <w:lang w:eastAsia="ko-KR"/>
        </w:rPr>
        <w:t xml:space="preserve">time period during which the </w:t>
      </w:r>
      <w:r>
        <w:rPr>
          <w:rFonts w:cs="v5.0.0"/>
          <w:lang w:eastAsia="ko-KR"/>
        </w:rPr>
        <w:t>IAB-DU or IAB-MT</w:t>
      </w:r>
      <w:r w:rsidRPr="00A65D56">
        <w:rPr>
          <w:rFonts w:cs="v5.0.0"/>
          <w:lang w:eastAsia="ko-KR"/>
        </w:rPr>
        <w:t xml:space="preserve"> transmitter is transmitting data and/or reference symbols</w:t>
      </w:r>
    </w:p>
    <w:p w14:paraId="687FC4F1" w14:textId="77777777" w:rsidR="00690659" w:rsidRPr="0062196B" w:rsidRDefault="00690659" w:rsidP="00690659">
      <w:pPr>
        <w:rPr>
          <w:lang w:eastAsia="ko-KR"/>
        </w:rPr>
      </w:pPr>
      <w:r w:rsidRPr="00444D1D">
        <w:rPr>
          <w:rFonts w:cs="v5.0.0"/>
          <w:b/>
          <w:bCs/>
          <w:lang w:eastAsia="ko-KR"/>
        </w:rPr>
        <w:t xml:space="preserve">transmitter transient period: </w:t>
      </w:r>
      <w:r w:rsidRPr="00444D1D">
        <w:rPr>
          <w:rFonts w:cs="v5.0.0"/>
          <w:lang w:eastAsia="ko-KR"/>
        </w:rPr>
        <w:t>time period during which the transmitter is changing from the OFF period to the ON period or vice versa</w:t>
      </w:r>
    </w:p>
    <w:p w14:paraId="25990010" w14:textId="77777777" w:rsidR="002902C7" w:rsidRPr="005564DB" w:rsidRDefault="002902C7" w:rsidP="002902C7">
      <w:pPr>
        <w:rPr>
          <w:rFonts w:eastAsiaTheme="minorEastAsia"/>
          <w:lang w:eastAsia="zh-CN"/>
        </w:rPr>
      </w:pPr>
    </w:p>
    <w:p w14:paraId="79A41A56" w14:textId="77777777" w:rsidR="00077B6E" w:rsidRPr="005564DB" w:rsidRDefault="00077B6E" w:rsidP="00077B6E">
      <w:pPr>
        <w:pStyle w:val="Heading2"/>
      </w:pPr>
      <w:bookmarkStart w:id="122" w:name="_Toc13080118"/>
      <w:bookmarkStart w:id="123" w:name="_Toc18916148"/>
      <w:bookmarkStart w:id="124" w:name="_Toc53185275"/>
      <w:bookmarkStart w:id="125" w:name="_Toc53185651"/>
      <w:bookmarkStart w:id="126" w:name="_Toc57820124"/>
      <w:bookmarkStart w:id="127" w:name="_Toc57821051"/>
      <w:bookmarkStart w:id="128" w:name="_Toc61183327"/>
      <w:bookmarkStart w:id="129" w:name="_Toc61183721"/>
      <w:bookmarkStart w:id="130" w:name="_Toc61184113"/>
      <w:bookmarkStart w:id="131" w:name="_Toc61184505"/>
      <w:bookmarkStart w:id="132" w:name="_Toc61184895"/>
      <w:bookmarkStart w:id="133" w:name="_Toc66386238"/>
      <w:bookmarkStart w:id="134" w:name="_Toc74583079"/>
      <w:bookmarkStart w:id="135" w:name="_Toc76541892"/>
      <w:bookmarkStart w:id="136" w:name="_Toc82449874"/>
      <w:bookmarkStart w:id="137" w:name="_Toc82450522"/>
      <w:bookmarkStart w:id="138" w:name="_Toc89948911"/>
      <w:bookmarkStart w:id="139" w:name="_Toc98755300"/>
      <w:bookmarkStart w:id="140" w:name="_Toc98762889"/>
      <w:bookmarkStart w:id="141" w:name="_Toc106183818"/>
      <w:r w:rsidRPr="005564DB">
        <w:t>3.2</w:t>
      </w:r>
      <w:r w:rsidRPr="005564DB">
        <w:tab/>
        <w:t>Symbols</w:t>
      </w:r>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7ADF27E0" w14:textId="77777777" w:rsidR="00690659" w:rsidRDefault="00690659" w:rsidP="00690659">
      <w:pPr>
        <w:keepNext/>
      </w:pPr>
      <w:r w:rsidRPr="005564DB">
        <w:t>For the purposes of the present document, the following symbols apply:</w:t>
      </w:r>
    </w:p>
    <w:p w14:paraId="5E09BF59" w14:textId="77777777" w:rsidR="00690659" w:rsidRPr="00F95B02" w:rsidRDefault="00690659" w:rsidP="00690659">
      <w:pPr>
        <w:pStyle w:val="EW"/>
        <w:rPr>
          <w:rFonts w:cs="v5.0.0"/>
          <w:lang w:eastAsia="zh-CN"/>
        </w:rPr>
      </w:pPr>
      <w:r w:rsidRPr="00F95B02">
        <w:rPr>
          <w:rFonts w:ascii="Symbol" w:hAnsi="Symbol" w:cs="v5.0.0"/>
        </w:rPr>
        <w:t></w:t>
      </w:r>
      <w:r w:rsidRPr="00F95B02">
        <w:rPr>
          <w:rFonts w:cs="v5.0.0"/>
        </w:rPr>
        <w:tab/>
        <w:t>Percentage of the mean transmitted power emitted outside the occupied bandwidth on the assigned channel</w:t>
      </w:r>
    </w:p>
    <w:p w14:paraId="36FEA6A7" w14:textId="77777777" w:rsidR="00690659" w:rsidRPr="00F95B02" w:rsidRDefault="00690659" w:rsidP="00690659">
      <w:pPr>
        <w:pStyle w:val="EW"/>
      </w:pPr>
      <w:r w:rsidRPr="00F95B02">
        <w:t>BeW</w:t>
      </w:r>
      <w:r w:rsidRPr="00F95B02">
        <w:rPr>
          <w:vertAlign w:val="subscript"/>
        </w:rPr>
        <w:t>θ,REFSENS</w:t>
      </w:r>
      <w:r w:rsidRPr="00F95B02">
        <w:tab/>
        <w:t xml:space="preserve">Beamwidth equivalent to the </w:t>
      </w:r>
      <w:r w:rsidRPr="00F95B02">
        <w:rPr>
          <w:i/>
        </w:rPr>
        <w:t>OTA REFSENS RoAoA</w:t>
      </w:r>
      <w:r w:rsidRPr="00F95B02">
        <w:t xml:space="preserve"> in the θ-axis in degrees. Applicable for FR1 only.</w:t>
      </w:r>
    </w:p>
    <w:p w14:paraId="624C2F08" w14:textId="77777777" w:rsidR="00690659" w:rsidRPr="00F95B02" w:rsidRDefault="00690659" w:rsidP="00690659">
      <w:pPr>
        <w:pStyle w:val="EW"/>
      </w:pPr>
      <w:r w:rsidRPr="00F95B02">
        <w:lastRenderedPageBreak/>
        <w:t>BeW</w:t>
      </w:r>
      <w:r w:rsidRPr="00F95B02">
        <w:rPr>
          <w:vertAlign w:val="subscript"/>
        </w:rPr>
        <w:t>φ,REFSENS</w:t>
      </w:r>
      <w:r w:rsidRPr="00F95B02">
        <w:tab/>
        <w:t xml:space="preserve">Beamwidth equivalent to the </w:t>
      </w:r>
      <w:r w:rsidRPr="00F95B02">
        <w:rPr>
          <w:i/>
        </w:rPr>
        <w:t>OTA REFSENS RoAoA</w:t>
      </w:r>
      <w:r w:rsidRPr="00F95B02">
        <w:t xml:space="preserve"> in the φ-axis in degrees. Applicable for FR1 only.</w:t>
      </w:r>
    </w:p>
    <w:p w14:paraId="1FB521FF" w14:textId="77777777" w:rsidR="00690659" w:rsidRPr="00F95B02" w:rsidRDefault="00690659" w:rsidP="00690659">
      <w:pPr>
        <w:pStyle w:val="EW"/>
      </w:pPr>
      <w:r w:rsidRPr="00F95B02">
        <w:t>BW</w:t>
      </w:r>
      <w:r w:rsidRPr="00F95B02">
        <w:rPr>
          <w:vertAlign w:val="subscript"/>
        </w:rPr>
        <w:t>Channel</w:t>
      </w:r>
      <w:r w:rsidRPr="00F95B02">
        <w:tab/>
      </w:r>
      <w:r w:rsidRPr="00F95B02">
        <w:rPr>
          <w:i/>
        </w:rPr>
        <w:t>BS channel bandwidth</w:t>
      </w:r>
    </w:p>
    <w:p w14:paraId="02E5F02F" w14:textId="77777777" w:rsidR="00690659" w:rsidRPr="00F95B02" w:rsidRDefault="00690659" w:rsidP="00690659">
      <w:pPr>
        <w:pStyle w:val="EW"/>
      </w:pPr>
      <w:r w:rsidRPr="00F95B02">
        <w:t>BW</w:t>
      </w:r>
      <w:r w:rsidRPr="00F95B02">
        <w:rPr>
          <w:vertAlign w:val="subscript"/>
        </w:rPr>
        <w:t>Channel_CA</w:t>
      </w:r>
      <w:r w:rsidRPr="00F95B02">
        <w:tab/>
      </w:r>
      <w:r w:rsidRPr="00F95B02">
        <w:rPr>
          <w:i/>
          <w:iCs/>
        </w:rPr>
        <w:t xml:space="preserve">Aggregated </w:t>
      </w:r>
      <w:r w:rsidRPr="00F95B02">
        <w:rPr>
          <w:i/>
          <w:iCs/>
          <w:lang w:val="en-US" w:eastAsia="zh-CN"/>
        </w:rPr>
        <w:t xml:space="preserve">BS </w:t>
      </w:r>
      <w:r w:rsidRPr="00F95B02">
        <w:rPr>
          <w:i/>
          <w:iCs/>
        </w:rPr>
        <w:t>Channel Bandwidth</w:t>
      </w:r>
      <w:r w:rsidRPr="00F95B02">
        <w:t>, expressed in MHz. BW</w:t>
      </w:r>
      <w:r w:rsidRPr="00F95B02">
        <w:rPr>
          <w:vertAlign w:val="subscript"/>
        </w:rPr>
        <w:t xml:space="preserve">Channel_CA </w:t>
      </w:r>
      <w:r w:rsidRPr="00F95B02">
        <w:t>= F</w:t>
      </w:r>
      <w:r w:rsidRPr="00F95B02">
        <w:rPr>
          <w:vertAlign w:val="subscript"/>
        </w:rPr>
        <w:t>edge,high</w:t>
      </w:r>
      <w:r w:rsidRPr="00F95B02">
        <w:t>- F</w:t>
      </w:r>
      <w:r w:rsidRPr="00F95B02">
        <w:rPr>
          <w:vertAlign w:val="subscript"/>
        </w:rPr>
        <w:t>edge,low.</w:t>
      </w:r>
    </w:p>
    <w:p w14:paraId="4A3BE58F" w14:textId="77777777" w:rsidR="00690659" w:rsidRPr="00F95B02" w:rsidRDefault="00690659" w:rsidP="00690659">
      <w:pPr>
        <w:pStyle w:val="EW"/>
        <w:rPr>
          <w:lang w:eastAsia="zh-CN"/>
        </w:rPr>
      </w:pPr>
      <w:r w:rsidRPr="00F95B02">
        <w:t>BW</w:t>
      </w:r>
      <w:r w:rsidRPr="00F95B02">
        <w:rPr>
          <w:vertAlign w:val="subscript"/>
        </w:rPr>
        <w:t>Config</w:t>
      </w:r>
      <w:r w:rsidRPr="00F95B02">
        <w:tab/>
      </w:r>
      <w:r w:rsidRPr="00F95B02">
        <w:rPr>
          <w:i/>
        </w:rPr>
        <w:t>Transmission bandwidth configuration</w:t>
      </w:r>
      <w:r w:rsidRPr="00F95B02">
        <w:t>, where BW</w:t>
      </w:r>
      <w:r w:rsidRPr="00F95B02">
        <w:rPr>
          <w:vertAlign w:val="subscript"/>
        </w:rPr>
        <w:t>Config</w:t>
      </w:r>
      <w:r w:rsidRPr="00F95B02">
        <w:t xml:space="preserve"> = </w:t>
      </w:r>
      <w:r w:rsidRPr="00F95B02">
        <w:rPr>
          <w:i/>
          <w:iCs/>
        </w:rPr>
        <w:t>N</w:t>
      </w:r>
      <w:r w:rsidRPr="00F95B02">
        <w:rPr>
          <w:vertAlign w:val="subscript"/>
        </w:rPr>
        <w:t>RB</w:t>
      </w:r>
      <w:r w:rsidRPr="00F95B02">
        <w:t xml:space="preserve"> x SCS x 12</w:t>
      </w:r>
    </w:p>
    <w:p w14:paraId="76E2786A" w14:textId="77777777" w:rsidR="00690659" w:rsidRPr="00F95B02" w:rsidRDefault="00690659" w:rsidP="00690659">
      <w:pPr>
        <w:pStyle w:val="EW"/>
      </w:pPr>
      <w:r w:rsidRPr="00F95B02">
        <w:t>BW</w:t>
      </w:r>
      <w:r w:rsidRPr="00F95B02">
        <w:rPr>
          <w:vertAlign w:val="subscript"/>
        </w:rPr>
        <w:t>Contiguous</w:t>
      </w:r>
      <w:r w:rsidRPr="00F95B02">
        <w:tab/>
        <w:t xml:space="preserve">Contiguous </w:t>
      </w:r>
      <w:r w:rsidRPr="00F95B02">
        <w:rPr>
          <w:i/>
        </w:rPr>
        <w:t>transmission bandwidth</w:t>
      </w:r>
      <w:r w:rsidRPr="00F95B02">
        <w:t xml:space="preserve">, i.e. </w:t>
      </w:r>
      <w:r w:rsidRPr="00F95B02">
        <w:rPr>
          <w:i/>
        </w:rPr>
        <w:t>BS channel bandwidth</w:t>
      </w:r>
      <w:r w:rsidRPr="00F95B02">
        <w:t xml:space="preserve"> for single carrier or </w:t>
      </w:r>
      <w:r w:rsidRPr="00F95B02">
        <w:rPr>
          <w:i/>
        </w:rPr>
        <w:t>Aggregated BS channel bandwidth</w:t>
      </w:r>
      <w:r w:rsidRPr="00F95B02">
        <w:t xml:space="preserve"> for contiguously aggregated carriers. For non-contiguous operation within a band the term is applied per </w:t>
      </w:r>
      <w:r w:rsidRPr="00F95B02">
        <w:rPr>
          <w:i/>
        </w:rPr>
        <w:t>sub-block</w:t>
      </w:r>
      <w:r w:rsidRPr="00F95B02">
        <w:t>.</w:t>
      </w:r>
    </w:p>
    <w:p w14:paraId="693266B4" w14:textId="77777777" w:rsidR="00690659" w:rsidRPr="00F95B02" w:rsidRDefault="00690659" w:rsidP="00690659">
      <w:pPr>
        <w:pStyle w:val="EW"/>
      </w:pPr>
      <w:r w:rsidRPr="00F95B02">
        <w:rPr>
          <w:rFonts w:cs="v5.0.0"/>
        </w:rPr>
        <w:sym w:font="Symbol" w:char="F044"/>
      </w:r>
      <w:r w:rsidRPr="00F95B02">
        <w:rPr>
          <w:rFonts w:cs="v5.0.0"/>
        </w:rPr>
        <w:t>f</w:t>
      </w:r>
      <w:r w:rsidRPr="00F95B02">
        <w:tab/>
        <w:t xml:space="preserve">Separation between the </w:t>
      </w:r>
      <w:r w:rsidRPr="00F95B02">
        <w:rPr>
          <w:i/>
        </w:rPr>
        <w:t>channel edge</w:t>
      </w:r>
      <w:r w:rsidRPr="00F95B02">
        <w:t xml:space="preserve"> frequency and the nominal -3 dB point of the measuring filter closest to the carrier frequency</w:t>
      </w:r>
    </w:p>
    <w:p w14:paraId="4D9AEC52" w14:textId="77777777" w:rsidR="00690659" w:rsidRPr="00F95B02" w:rsidRDefault="00690659" w:rsidP="00690659">
      <w:pPr>
        <w:pStyle w:val="EW"/>
      </w:pPr>
      <w:r w:rsidRPr="00F95B02">
        <w:rPr>
          <w:rFonts w:cs="v5.0.0"/>
        </w:rPr>
        <w:sym w:font="Symbol" w:char="F044"/>
      </w:r>
      <w:r w:rsidRPr="00F95B02">
        <w:rPr>
          <w:rFonts w:cs="v5.0.0"/>
        </w:rPr>
        <w:t>f</w:t>
      </w:r>
      <w:r w:rsidRPr="00F95B02">
        <w:rPr>
          <w:rFonts w:cs="v5.0.0"/>
          <w:vertAlign w:val="subscript"/>
        </w:rPr>
        <w:t>max</w:t>
      </w:r>
      <w:r w:rsidRPr="00F95B02">
        <w:rPr>
          <w:rFonts w:cs="v5.0.0"/>
        </w:rPr>
        <w:tab/>
        <w:t>f_offset</w:t>
      </w:r>
      <w:r w:rsidRPr="00F95B02">
        <w:rPr>
          <w:rFonts w:cs="v5.0.0"/>
          <w:vertAlign w:val="subscript"/>
        </w:rPr>
        <w:t>max</w:t>
      </w:r>
      <w:r w:rsidRPr="00F95B02">
        <w:rPr>
          <w:rFonts w:cs="v5.0.0"/>
        </w:rPr>
        <w:t xml:space="preserve"> minus half of the bandwidth of the measuring filter</w:t>
      </w:r>
    </w:p>
    <w:p w14:paraId="4B68D2F7" w14:textId="77777777" w:rsidR="00690659" w:rsidRPr="00F95B02" w:rsidRDefault="00690659" w:rsidP="00690659">
      <w:pPr>
        <w:pStyle w:val="EW"/>
      </w:pPr>
      <w:r w:rsidRPr="00F95B02">
        <w:t>Δf</w:t>
      </w:r>
      <w:r w:rsidRPr="00F95B02">
        <w:rPr>
          <w:vertAlign w:val="subscript"/>
        </w:rPr>
        <w:t>OBUE</w:t>
      </w:r>
      <w:r w:rsidRPr="00F95B02">
        <w:tab/>
        <w:t xml:space="preserve">Maximum offset of the </w:t>
      </w:r>
      <w:r w:rsidRPr="00F95B02">
        <w:rPr>
          <w:i/>
        </w:rPr>
        <w:t>operating band</w:t>
      </w:r>
      <w:r w:rsidRPr="00F95B02">
        <w:t xml:space="preserve"> unwanted emissions mask from the downlink </w:t>
      </w:r>
      <w:r w:rsidRPr="00F95B02">
        <w:rPr>
          <w:i/>
        </w:rPr>
        <w:t>operating band</w:t>
      </w:r>
      <w:r w:rsidRPr="00F95B02">
        <w:t xml:space="preserve"> edge</w:t>
      </w:r>
    </w:p>
    <w:p w14:paraId="0F722B05" w14:textId="77777777" w:rsidR="00690659" w:rsidRPr="00F95B02" w:rsidRDefault="00690659" w:rsidP="00690659">
      <w:pPr>
        <w:pStyle w:val="EW"/>
      </w:pPr>
      <w:r w:rsidRPr="00F95B02">
        <w:t>Δf</w:t>
      </w:r>
      <w:r w:rsidRPr="00F95B02">
        <w:rPr>
          <w:vertAlign w:val="subscript"/>
        </w:rPr>
        <w:t>OOB</w:t>
      </w:r>
      <w:r w:rsidRPr="00F95B02">
        <w:rPr>
          <w:vertAlign w:val="subscript"/>
        </w:rPr>
        <w:tab/>
      </w:r>
      <w:r w:rsidRPr="00F95B02">
        <w:t xml:space="preserve">Maximum offset of the </w:t>
      </w:r>
      <w:r w:rsidRPr="00F95B02">
        <w:rPr>
          <w:rFonts w:cs="v5.0.0"/>
        </w:rPr>
        <w:t xml:space="preserve">out-of-band </w:t>
      </w:r>
      <w:r w:rsidRPr="00F95B02">
        <w:t xml:space="preserve">boundary from the uplink </w:t>
      </w:r>
      <w:r w:rsidRPr="00F95B02">
        <w:rPr>
          <w:i/>
        </w:rPr>
        <w:t>operating band</w:t>
      </w:r>
      <w:r w:rsidRPr="00F95B02">
        <w:t xml:space="preserve"> edge</w:t>
      </w:r>
    </w:p>
    <w:p w14:paraId="29E917C3" w14:textId="77777777" w:rsidR="00690659" w:rsidRPr="00F95B02" w:rsidRDefault="00690659" w:rsidP="00690659">
      <w:pPr>
        <w:pStyle w:val="EW"/>
      </w:pPr>
      <w:r w:rsidRPr="00F95B02">
        <w:t>Δ</w:t>
      </w:r>
      <w:r w:rsidRPr="00F95B02">
        <w:rPr>
          <w:vertAlign w:val="subscript"/>
        </w:rPr>
        <w:t>FR2_REFSENS</w:t>
      </w:r>
      <w:r w:rsidRPr="00F95B02">
        <w:rPr>
          <w:vertAlign w:val="subscript"/>
        </w:rPr>
        <w:tab/>
      </w:r>
      <w:r w:rsidRPr="00F95B02">
        <w:t>Offset applied to the FR2 OTA REFSENS depending on the AoA</w:t>
      </w:r>
    </w:p>
    <w:p w14:paraId="6E416F7A" w14:textId="77777777" w:rsidR="00690659" w:rsidRPr="00F95B02" w:rsidRDefault="00690659" w:rsidP="00690659">
      <w:pPr>
        <w:pStyle w:val="EW"/>
      </w:pPr>
      <w:r w:rsidRPr="00F95B02">
        <w:t>Δ</w:t>
      </w:r>
      <w:r w:rsidRPr="00F95B02">
        <w:rPr>
          <w:vertAlign w:val="subscript"/>
        </w:rPr>
        <w:t>minSENS</w:t>
      </w:r>
      <w:r w:rsidRPr="00F95B02">
        <w:tab/>
        <w:t>Difference between conducted reference sensitivity and minSENS</w:t>
      </w:r>
    </w:p>
    <w:p w14:paraId="5F5E7AC7" w14:textId="77777777" w:rsidR="00690659" w:rsidRPr="00F95B02" w:rsidRDefault="00690659" w:rsidP="00690659">
      <w:pPr>
        <w:pStyle w:val="EW"/>
      </w:pPr>
      <w:r w:rsidRPr="00F95B02">
        <w:t>Δ</w:t>
      </w:r>
      <w:r w:rsidRPr="00F95B02">
        <w:rPr>
          <w:vertAlign w:val="subscript"/>
        </w:rPr>
        <w:t>OTAREFSENS</w:t>
      </w:r>
      <w:r w:rsidRPr="00F95B02">
        <w:tab/>
        <w:t>Difference between conducted reference sensitivity and OTA REFSENS</w:t>
      </w:r>
    </w:p>
    <w:p w14:paraId="46990E04" w14:textId="77777777" w:rsidR="00690659" w:rsidRPr="00F95B02" w:rsidRDefault="00690659" w:rsidP="00690659">
      <w:pPr>
        <w:pStyle w:val="EW"/>
      </w:pPr>
      <w:r w:rsidRPr="00F95B02">
        <w:t>EIS</w:t>
      </w:r>
      <w:r w:rsidRPr="00F95B02">
        <w:rPr>
          <w:vertAlign w:val="subscript"/>
        </w:rPr>
        <w:t>minSENS</w:t>
      </w:r>
      <w:r w:rsidRPr="00F95B02">
        <w:rPr>
          <w:vertAlign w:val="subscript"/>
        </w:rPr>
        <w:tab/>
      </w:r>
      <w:r w:rsidRPr="00F95B02">
        <w:t xml:space="preserve">The EIS declared for the </w:t>
      </w:r>
      <w:r w:rsidRPr="00F95B02">
        <w:rPr>
          <w:i/>
        </w:rPr>
        <w:t>minSENS RoAoA</w:t>
      </w:r>
    </w:p>
    <w:p w14:paraId="78BB949A" w14:textId="77777777" w:rsidR="00690659" w:rsidRPr="00F95B02" w:rsidRDefault="00690659" w:rsidP="00690659">
      <w:pPr>
        <w:pStyle w:val="EW"/>
      </w:pPr>
      <w:r w:rsidRPr="00F95B02">
        <w:t>EIS</w:t>
      </w:r>
      <w:r w:rsidRPr="00F95B02">
        <w:rPr>
          <w:vertAlign w:val="subscript"/>
        </w:rPr>
        <w:t>REFSENS</w:t>
      </w:r>
      <w:r w:rsidRPr="00F95B02">
        <w:rPr>
          <w:vertAlign w:val="subscript"/>
        </w:rPr>
        <w:tab/>
      </w:r>
      <w:r w:rsidRPr="00F95B02">
        <w:t>OTA REFSENS EIS value</w:t>
      </w:r>
    </w:p>
    <w:p w14:paraId="4F40E064" w14:textId="77777777" w:rsidR="00690659" w:rsidRPr="00F95B02" w:rsidRDefault="00690659" w:rsidP="00690659">
      <w:pPr>
        <w:pStyle w:val="EW"/>
      </w:pPr>
      <w:r w:rsidRPr="00F95B02">
        <w:t>EIS</w:t>
      </w:r>
      <w:r w:rsidRPr="00F95B02">
        <w:rPr>
          <w:vertAlign w:val="subscript"/>
        </w:rPr>
        <w:t>REFSENS_50M</w:t>
      </w:r>
      <w:r w:rsidRPr="00F95B02">
        <w:rPr>
          <w:vertAlign w:val="subscript"/>
        </w:rPr>
        <w:tab/>
      </w:r>
      <w:r w:rsidRPr="00F95B02">
        <w:t xml:space="preserve">Declared OTA reference sensitivity basis level for FR2 based on a reference measurement channel with 50MHz </w:t>
      </w:r>
      <w:r w:rsidRPr="00F95B02">
        <w:rPr>
          <w:i/>
        </w:rPr>
        <w:t>BS channel bandwidth</w:t>
      </w:r>
    </w:p>
    <w:p w14:paraId="0AA462BF" w14:textId="49236C28" w:rsidR="00C63F0B" w:rsidRDefault="00C63F0B" w:rsidP="00C63F0B">
      <w:pPr>
        <w:pStyle w:val="EW"/>
        <w:rPr>
          <w:lang w:val="en-US"/>
        </w:rPr>
      </w:pPr>
      <w:r>
        <w:t>Ês</w:t>
      </w:r>
      <w:r>
        <w:tab/>
        <w:t xml:space="preserve">Received energy per RE (power normalized to the subcarrier spacing) during the useful part of the symbol, i.e. excluding the cyclic prefix, at the IAB-MT </w:t>
      </w:r>
      <w:r>
        <w:rPr>
          <w:rFonts w:eastAsia="SimSun"/>
          <w:lang w:val="en-US" w:eastAsia="zh-CN"/>
        </w:rPr>
        <w:t>TAB</w:t>
      </w:r>
      <w:r>
        <w:t xml:space="preserve"> connector</w:t>
      </w:r>
      <w:r>
        <w:rPr>
          <w:rFonts w:eastAsia="SimSun"/>
          <w:lang w:val="en-US" w:eastAsia="zh-CN"/>
        </w:rPr>
        <w:t xml:space="preserve"> or RIB</w:t>
      </w:r>
    </w:p>
    <w:p w14:paraId="5F6CE43F" w14:textId="77777777" w:rsidR="00C63F0B" w:rsidRDefault="00C63F0B" w:rsidP="00C63F0B">
      <w:pPr>
        <w:pStyle w:val="EW"/>
        <w:rPr>
          <w:lang w:eastAsia="zh-CN"/>
        </w:rPr>
      </w:pPr>
      <w:r>
        <w:rPr>
          <w:lang w:eastAsia="zh-CN"/>
        </w:rPr>
        <w:t>F</w:t>
      </w:r>
      <w:r>
        <w:rPr>
          <w:vertAlign w:val="subscript"/>
          <w:lang w:eastAsia="zh-CN"/>
        </w:rPr>
        <w:t>FBWhigh</w:t>
      </w:r>
      <w:r>
        <w:rPr>
          <w:vertAlign w:val="subscript"/>
          <w:lang w:eastAsia="zh-CN"/>
        </w:rPr>
        <w:tab/>
      </w:r>
      <w:r>
        <w:rPr>
          <w:lang w:eastAsia="zh-CN"/>
        </w:rPr>
        <w:t xml:space="preserve">Highest supported frequency </w:t>
      </w:r>
      <w:r>
        <w:t xml:space="preserve">within supported </w:t>
      </w:r>
      <w:r>
        <w:rPr>
          <w:i/>
        </w:rPr>
        <w:t>operating band</w:t>
      </w:r>
      <w:r>
        <w:rPr>
          <w:lang w:eastAsia="zh-CN"/>
        </w:rPr>
        <w:t xml:space="preserve">, for which </w:t>
      </w:r>
      <w:r>
        <w:rPr>
          <w:i/>
          <w:lang w:eastAsia="zh-CN"/>
        </w:rPr>
        <w:t>fractional bandwidth</w:t>
      </w:r>
      <w:r>
        <w:rPr>
          <w:lang w:eastAsia="zh-CN"/>
        </w:rPr>
        <w:t xml:space="preserve"> support was declared</w:t>
      </w:r>
    </w:p>
    <w:p w14:paraId="53B20489" w14:textId="77777777" w:rsidR="00690659" w:rsidRPr="00F95B02" w:rsidRDefault="00690659" w:rsidP="00690659">
      <w:pPr>
        <w:pStyle w:val="EW"/>
      </w:pPr>
      <w:r w:rsidRPr="00F95B02">
        <w:rPr>
          <w:lang w:eastAsia="zh-CN"/>
        </w:rPr>
        <w:t>F</w:t>
      </w:r>
      <w:r w:rsidRPr="00F95B02">
        <w:rPr>
          <w:vertAlign w:val="subscript"/>
          <w:lang w:eastAsia="zh-CN"/>
        </w:rPr>
        <w:t>FBWlow</w:t>
      </w:r>
      <w:r w:rsidRPr="00F95B02">
        <w:rPr>
          <w:lang w:eastAsia="zh-CN"/>
        </w:rPr>
        <w:tab/>
        <w:t xml:space="preserve">Lowest supported frequency </w:t>
      </w:r>
      <w:r w:rsidRPr="00F95B02">
        <w:t xml:space="preserve">within supported </w:t>
      </w:r>
      <w:r w:rsidRPr="00F95B02">
        <w:rPr>
          <w:i/>
        </w:rPr>
        <w:t>operating band</w:t>
      </w:r>
      <w:r w:rsidRPr="00F95B02">
        <w:rPr>
          <w:lang w:eastAsia="zh-CN"/>
        </w:rPr>
        <w:t xml:space="preserve">, for which </w:t>
      </w:r>
      <w:r w:rsidRPr="00F95B02">
        <w:rPr>
          <w:i/>
          <w:lang w:eastAsia="zh-CN"/>
        </w:rPr>
        <w:t>fractional bandwidth</w:t>
      </w:r>
      <w:r w:rsidRPr="00F95B02">
        <w:rPr>
          <w:lang w:eastAsia="zh-CN"/>
        </w:rPr>
        <w:t xml:space="preserve"> support was declared</w:t>
      </w:r>
    </w:p>
    <w:p w14:paraId="6F64EA83" w14:textId="77777777" w:rsidR="00690659" w:rsidRPr="00F95B02" w:rsidRDefault="00690659" w:rsidP="00690659">
      <w:pPr>
        <w:pStyle w:val="EW"/>
      </w:pPr>
      <w:r w:rsidRPr="00F95B02">
        <w:t>F</w:t>
      </w:r>
      <w:r w:rsidRPr="00F95B02">
        <w:rPr>
          <w:vertAlign w:val="subscript"/>
        </w:rPr>
        <w:t>C,low</w:t>
      </w:r>
      <w:r w:rsidRPr="00F95B02">
        <w:tab/>
        <w:t xml:space="preserve">The </w:t>
      </w:r>
      <w:r w:rsidRPr="00F95B02">
        <w:rPr>
          <w:lang w:val="en-US" w:eastAsia="zh-CN"/>
        </w:rPr>
        <w:t xml:space="preserve">Fc </w:t>
      </w:r>
      <w:r w:rsidRPr="00F95B02">
        <w:t xml:space="preserve">of the </w:t>
      </w:r>
      <w:r w:rsidRPr="00F95B02">
        <w:rPr>
          <w:i/>
        </w:rPr>
        <w:t>lowest carrier</w:t>
      </w:r>
      <w:r w:rsidRPr="00F95B02">
        <w:t>, expressed in MHz.</w:t>
      </w:r>
    </w:p>
    <w:p w14:paraId="0D858F44" w14:textId="77777777" w:rsidR="00690659" w:rsidRPr="00F95B02" w:rsidRDefault="00690659" w:rsidP="00690659">
      <w:pPr>
        <w:pStyle w:val="EW"/>
      </w:pPr>
      <w:r w:rsidRPr="00F95B02">
        <w:t>F</w:t>
      </w:r>
      <w:r w:rsidRPr="00F95B02">
        <w:rPr>
          <w:vertAlign w:val="subscript"/>
        </w:rPr>
        <w:t>C,high</w:t>
      </w:r>
      <w:r w:rsidRPr="00F95B02">
        <w:tab/>
        <w:t>The</w:t>
      </w:r>
      <w:r w:rsidRPr="00F95B02">
        <w:rPr>
          <w:lang w:val="en-US" w:eastAsia="zh-CN"/>
        </w:rPr>
        <w:t xml:space="preserve"> Fc</w:t>
      </w:r>
      <w:r w:rsidRPr="00F95B02">
        <w:t xml:space="preserve"> of the </w:t>
      </w:r>
      <w:r w:rsidRPr="00F95B02">
        <w:rPr>
          <w:i/>
        </w:rPr>
        <w:t>highest carrier</w:t>
      </w:r>
      <w:r w:rsidRPr="00F95B02">
        <w:t>, expressed in MHz.</w:t>
      </w:r>
    </w:p>
    <w:p w14:paraId="57D5D7ED" w14:textId="77777777" w:rsidR="00690659" w:rsidRPr="00F95B02" w:rsidRDefault="00690659" w:rsidP="00690659">
      <w:pPr>
        <w:pStyle w:val="EW"/>
      </w:pPr>
      <w:r w:rsidRPr="00F95B02">
        <w:t>F</w:t>
      </w:r>
      <w:r w:rsidRPr="00F95B02">
        <w:rPr>
          <w:vertAlign w:val="subscript"/>
        </w:rPr>
        <w:t>DL,low</w:t>
      </w:r>
      <w:r w:rsidRPr="00F95B02">
        <w:rPr>
          <w:vertAlign w:val="subscript"/>
        </w:rPr>
        <w:tab/>
      </w:r>
      <w:r w:rsidRPr="00F95B02">
        <w:t xml:space="preserve">The lowest frequency of the downlink </w:t>
      </w:r>
      <w:r w:rsidRPr="00F95B02">
        <w:rPr>
          <w:i/>
        </w:rPr>
        <w:t>operating band</w:t>
      </w:r>
    </w:p>
    <w:p w14:paraId="41C99017" w14:textId="77777777" w:rsidR="00690659" w:rsidRPr="00F95B02" w:rsidRDefault="00690659" w:rsidP="00690659">
      <w:pPr>
        <w:pStyle w:val="EW"/>
      </w:pPr>
      <w:r w:rsidRPr="00F95B02">
        <w:t>F</w:t>
      </w:r>
      <w:r w:rsidRPr="00F95B02">
        <w:rPr>
          <w:vertAlign w:val="subscript"/>
        </w:rPr>
        <w:t>DL,high</w:t>
      </w:r>
      <w:r w:rsidRPr="00F95B02">
        <w:rPr>
          <w:vertAlign w:val="subscript"/>
        </w:rPr>
        <w:tab/>
      </w:r>
      <w:r w:rsidRPr="00F95B02">
        <w:t xml:space="preserve">The highest frequency of the downlink </w:t>
      </w:r>
      <w:r w:rsidRPr="00F95B02">
        <w:rPr>
          <w:i/>
        </w:rPr>
        <w:t>operating band</w:t>
      </w:r>
    </w:p>
    <w:p w14:paraId="6CA998E5" w14:textId="77777777" w:rsidR="00690659" w:rsidRPr="00F95B02" w:rsidRDefault="00690659" w:rsidP="00690659">
      <w:pPr>
        <w:pStyle w:val="EW"/>
      </w:pPr>
      <w:r w:rsidRPr="00F95B02">
        <w:t>F</w:t>
      </w:r>
      <w:r w:rsidRPr="00F95B02">
        <w:rPr>
          <w:vertAlign w:val="subscript"/>
        </w:rPr>
        <w:t>edge,low</w:t>
      </w:r>
      <w:r w:rsidRPr="00F95B02">
        <w:tab/>
        <w:t xml:space="preserve">The lower edge of </w:t>
      </w:r>
      <w:r w:rsidRPr="00F95B02">
        <w:rPr>
          <w:i/>
          <w:iCs/>
        </w:rPr>
        <w:t xml:space="preserve">Aggregated </w:t>
      </w:r>
      <w:r w:rsidRPr="00F95B02">
        <w:rPr>
          <w:i/>
          <w:iCs/>
          <w:lang w:val="en-US" w:eastAsia="zh-CN"/>
        </w:rPr>
        <w:t xml:space="preserve">BS </w:t>
      </w:r>
      <w:r w:rsidRPr="00F95B02">
        <w:rPr>
          <w:i/>
          <w:iCs/>
        </w:rPr>
        <w:t>Channel Bandwidth</w:t>
      </w:r>
      <w:r w:rsidRPr="00F95B02">
        <w:t>, expressed in MHz. F</w:t>
      </w:r>
      <w:r w:rsidRPr="00F95B02">
        <w:rPr>
          <w:vertAlign w:val="subscript"/>
        </w:rPr>
        <w:t xml:space="preserve">edge,low </w:t>
      </w:r>
      <w:r w:rsidRPr="00F95B02">
        <w:t>= F</w:t>
      </w:r>
      <w:r w:rsidRPr="00F95B02">
        <w:rPr>
          <w:vertAlign w:val="subscript"/>
        </w:rPr>
        <w:t xml:space="preserve">C,low </w:t>
      </w:r>
      <w:r w:rsidRPr="00F95B02">
        <w:t>- F</w:t>
      </w:r>
      <w:r w:rsidRPr="00F95B02">
        <w:rPr>
          <w:vertAlign w:val="subscript"/>
        </w:rPr>
        <w:t>offset</w:t>
      </w:r>
      <w:r w:rsidRPr="00F95B02">
        <w:rPr>
          <w:vertAlign w:val="subscript"/>
          <w:lang w:val="en-US" w:eastAsia="zh-CN"/>
        </w:rPr>
        <w:t>,low</w:t>
      </w:r>
      <w:r w:rsidRPr="00F95B02">
        <w:rPr>
          <w:vertAlign w:val="subscript"/>
        </w:rPr>
        <w:t>.</w:t>
      </w:r>
    </w:p>
    <w:p w14:paraId="415B8187" w14:textId="77777777" w:rsidR="00690659" w:rsidRPr="00F95B02" w:rsidRDefault="00690659" w:rsidP="00690659">
      <w:pPr>
        <w:pStyle w:val="EW"/>
        <w:rPr>
          <w:vertAlign w:val="subscript"/>
        </w:rPr>
      </w:pPr>
      <w:r w:rsidRPr="00F95B02">
        <w:t>F</w:t>
      </w:r>
      <w:r w:rsidRPr="00F95B02">
        <w:rPr>
          <w:vertAlign w:val="subscript"/>
        </w:rPr>
        <w:t>edge,high</w:t>
      </w:r>
      <w:r w:rsidRPr="00F95B02">
        <w:tab/>
        <w:t xml:space="preserve">The upper edge of </w:t>
      </w:r>
      <w:r w:rsidRPr="00F95B02">
        <w:rPr>
          <w:i/>
          <w:iCs/>
        </w:rPr>
        <w:t xml:space="preserve">Aggregated </w:t>
      </w:r>
      <w:r w:rsidRPr="00F95B02">
        <w:rPr>
          <w:i/>
          <w:iCs/>
          <w:lang w:val="en-US" w:eastAsia="zh-CN"/>
        </w:rPr>
        <w:t xml:space="preserve">BS </w:t>
      </w:r>
      <w:r w:rsidRPr="00F95B02">
        <w:rPr>
          <w:i/>
          <w:iCs/>
        </w:rPr>
        <w:t>Channel Bandwidth</w:t>
      </w:r>
      <w:r w:rsidRPr="00F95B02">
        <w:t>, expressed in MHz. F</w:t>
      </w:r>
      <w:r w:rsidRPr="00F95B02">
        <w:rPr>
          <w:vertAlign w:val="subscript"/>
        </w:rPr>
        <w:t xml:space="preserve">edge,high </w:t>
      </w:r>
      <w:r w:rsidRPr="00F95B02">
        <w:t>= F</w:t>
      </w:r>
      <w:r w:rsidRPr="00F95B02">
        <w:rPr>
          <w:vertAlign w:val="subscript"/>
        </w:rPr>
        <w:t xml:space="preserve">C,high </w:t>
      </w:r>
      <w:r w:rsidRPr="00F95B02">
        <w:t>+ F</w:t>
      </w:r>
      <w:r w:rsidRPr="00F95B02">
        <w:rPr>
          <w:vertAlign w:val="subscript"/>
        </w:rPr>
        <w:t>offset</w:t>
      </w:r>
      <w:r w:rsidRPr="00F95B02">
        <w:rPr>
          <w:vertAlign w:val="subscript"/>
          <w:lang w:val="en-US" w:eastAsia="zh-CN"/>
        </w:rPr>
        <w:t>,high</w:t>
      </w:r>
      <w:r w:rsidRPr="00F95B02">
        <w:rPr>
          <w:vertAlign w:val="subscript"/>
        </w:rPr>
        <w:t>.</w:t>
      </w:r>
    </w:p>
    <w:p w14:paraId="6E84E717" w14:textId="77777777" w:rsidR="00690659" w:rsidRPr="00F95B02" w:rsidRDefault="00690659" w:rsidP="00690659">
      <w:pPr>
        <w:pStyle w:val="EW"/>
        <w:rPr>
          <w:rFonts w:cs="v5.0.0"/>
        </w:rPr>
      </w:pPr>
      <w:r w:rsidRPr="00F95B02">
        <w:rPr>
          <w:rFonts w:cs="v5.0.0"/>
        </w:rPr>
        <w:t>f_offset</w:t>
      </w:r>
      <w:r w:rsidRPr="00F95B02">
        <w:rPr>
          <w:rFonts w:cs="v5.0.0"/>
        </w:rPr>
        <w:tab/>
        <w:t xml:space="preserve">Separation between the </w:t>
      </w:r>
      <w:r w:rsidRPr="00F95B02">
        <w:rPr>
          <w:rFonts w:cs="v5.0.0"/>
          <w:i/>
        </w:rPr>
        <w:t>channel edge</w:t>
      </w:r>
      <w:r w:rsidRPr="00F95B02">
        <w:rPr>
          <w:rFonts w:cs="v5.0.0"/>
        </w:rPr>
        <w:t xml:space="preserve"> frequency and the centre of the measuring </w:t>
      </w:r>
    </w:p>
    <w:p w14:paraId="7BA24F65" w14:textId="77777777" w:rsidR="00690659" w:rsidRPr="00F95B02" w:rsidRDefault="00690659" w:rsidP="00690659">
      <w:pPr>
        <w:pStyle w:val="EW"/>
      </w:pPr>
      <w:r w:rsidRPr="00F95B02">
        <w:rPr>
          <w:rFonts w:cs="v5.0.0"/>
        </w:rPr>
        <w:t>f_offset</w:t>
      </w:r>
      <w:r w:rsidRPr="00F95B02">
        <w:rPr>
          <w:rFonts w:cs="v5.0.0"/>
          <w:vertAlign w:val="subscript"/>
        </w:rPr>
        <w:t>max</w:t>
      </w:r>
      <w:r w:rsidRPr="00F95B02">
        <w:rPr>
          <w:rFonts w:cs="v5.0.0"/>
          <w:vertAlign w:val="subscript"/>
        </w:rPr>
        <w:tab/>
      </w:r>
      <w:r w:rsidRPr="00F95B02">
        <w:rPr>
          <w:rFonts w:cs="v5.0.0"/>
        </w:rPr>
        <w:t xml:space="preserve">The offset to the frequency </w:t>
      </w:r>
      <w:r w:rsidRPr="00F95B02">
        <w:t>Δf</w:t>
      </w:r>
      <w:r w:rsidRPr="00F95B02">
        <w:rPr>
          <w:vertAlign w:val="subscript"/>
        </w:rPr>
        <w:t>OBUE</w:t>
      </w:r>
      <w:r w:rsidRPr="00F95B02">
        <w:rPr>
          <w:rFonts w:cs="v5.0.0"/>
        </w:rPr>
        <w:t xml:space="preserve"> outside the downlink </w:t>
      </w:r>
      <w:r w:rsidRPr="00F95B02">
        <w:rPr>
          <w:rFonts w:cs="v5.0.0"/>
          <w:i/>
        </w:rPr>
        <w:t>operating band</w:t>
      </w:r>
    </w:p>
    <w:p w14:paraId="1CCCC137" w14:textId="77777777" w:rsidR="00690659" w:rsidRPr="00F95B02" w:rsidRDefault="00690659" w:rsidP="00690659">
      <w:pPr>
        <w:pStyle w:val="EW"/>
        <w:rPr>
          <w:rFonts w:cs="v5.0.0"/>
        </w:rPr>
      </w:pPr>
      <w:r w:rsidRPr="00F95B02">
        <w:t>F</w:t>
      </w:r>
      <w:r w:rsidRPr="00F95B02">
        <w:rPr>
          <w:vertAlign w:val="subscript"/>
        </w:rPr>
        <w:t>step,X</w:t>
      </w:r>
      <w:r w:rsidRPr="00F95B02">
        <w:tab/>
        <w:t>Frequency steps for the OTA transmitter spurious emissions (Category B)</w:t>
      </w:r>
    </w:p>
    <w:p w14:paraId="761D27A1" w14:textId="77777777" w:rsidR="00690659" w:rsidRPr="00F95B02" w:rsidRDefault="00690659" w:rsidP="00690659">
      <w:pPr>
        <w:pStyle w:val="EW"/>
        <w:rPr>
          <w:rFonts w:cs="Arial"/>
          <w:lang w:eastAsia="zh-CN"/>
        </w:rPr>
      </w:pPr>
      <w:r w:rsidRPr="00F95B02">
        <w:t>F</w:t>
      </w:r>
      <w:r w:rsidRPr="00F95B02">
        <w:rPr>
          <w:vertAlign w:val="subscript"/>
        </w:rPr>
        <w:t>UL,low</w:t>
      </w:r>
      <w:r w:rsidRPr="00F95B02">
        <w:rPr>
          <w:vertAlign w:val="subscript"/>
        </w:rPr>
        <w:tab/>
      </w:r>
      <w:r w:rsidRPr="00F95B02">
        <w:t xml:space="preserve">The lowest frequency of the uplink </w:t>
      </w:r>
      <w:r w:rsidRPr="00F95B02">
        <w:rPr>
          <w:i/>
        </w:rPr>
        <w:t>operating band</w:t>
      </w:r>
    </w:p>
    <w:p w14:paraId="578644B9" w14:textId="77777777" w:rsidR="00690659" w:rsidRPr="00F95B02" w:rsidRDefault="00690659" w:rsidP="00690659">
      <w:pPr>
        <w:pStyle w:val="EW"/>
        <w:rPr>
          <w:lang w:eastAsia="zh-CN"/>
        </w:rPr>
      </w:pPr>
      <w:r w:rsidRPr="00F95B02">
        <w:rPr>
          <w:rFonts w:cs="Arial"/>
        </w:rPr>
        <w:t>F</w:t>
      </w:r>
      <w:r w:rsidRPr="00F95B02">
        <w:rPr>
          <w:rFonts w:cs="Arial"/>
          <w:vertAlign w:val="subscript"/>
        </w:rPr>
        <w:t>UL,high</w:t>
      </w:r>
      <w:r w:rsidRPr="00F95B02">
        <w:rPr>
          <w:rFonts w:cs="Arial"/>
          <w:vertAlign w:val="subscript"/>
          <w:lang w:eastAsia="zh-CN"/>
        </w:rPr>
        <w:tab/>
      </w:r>
      <w:r w:rsidRPr="00F95B02">
        <w:t xml:space="preserve">The highest frequency of the uplink </w:t>
      </w:r>
      <w:r w:rsidRPr="00F95B02">
        <w:rPr>
          <w:i/>
        </w:rPr>
        <w:t>operating band</w:t>
      </w:r>
    </w:p>
    <w:p w14:paraId="4BB0F013" w14:textId="6EF910EC" w:rsidR="00C63F0B" w:rsidRDefault="00690659" w:rsidP="00C63F0B">
      <w:pPr>
        <w:pStyle w:val="EW"/>
      </w:pPr>
      <w:r w:rsidRPr="00691C10">
        <w:t>I</w:t>
      </w:r>
      <w:r w:rsidR="00C63F0B" w:rsidRPr="00C63F0B">
        <w:t xml:space="preserve"> </w:t>
      </w:r>
      <w:r w:rsidR="00C63F0B">
        <w:t>Io</w:t>
      </w:r>
      <w:r w:rsidR="00C63F0B">
        <w:tab/>
        <w:t xml:space="preserve">The total received power density, including signal and interference, as measured at the IAB-MT </w:t>
      </w:r>
      <w:r w:rsidR="00C63F0B">
        <w:rPr>
          <w:rFonts w:eastAsia="SimSun"/>
          <w:lang w:val="en-US" w:eastAsia="zh-CN"/>
        </w:rPr>
        <w:t>TAB</w:t>
      </w:r>
      <w:r w:rsidR="00C63F0B">
        <w:t xml:space="preserve"> connector</w:t>
      </w:r>
      <w:r w:rsidR="00C63F0B">
        <w:rPr>
          <w:rFonts w:eastAsia="SimSun"/>
          <w:lang w:val="en-US" w:eastAsia="zh-CN"/>
        </w:rPr>
        <w:t xml:space="preserve"> or RIB</w:t>
      </w:r>
      <w:r w:rsidR="00C63F0B">
        <w:t>.</w:t>
      </w:r>
    </w:p>
    <w:p w14:paraId="5DF6E42A" w14:textId="640B1821" w:rsidR="00C63F0B" w:rsidRDefault="00C63F0B" w:rsidP="00C63F0B">
      <w:pPr>
        <w:pStyle w:val="EW"/>
      </w:pPr>
      <w:r>
        <w:t>Ioc</w:t>
      </w:r>
      <w:r>
        <w:tab/>
        <w:t xml:space="preserve">The power spectral density </w:t>
      </w:r>
      <w:r>
        <w:rPr>
          <w:rFonts w:eastAsia="?? ??"/>
        </w:rPr>
        <w:t xml:space="preserve">(integrated in a noise bandwidth equal to the chip rate and normalized to the chip rate) </w:t>
      </w:r>
      <w:r>
        <w:t xml:space="preserve">of a band limited noise source (simulating interference from cells, which are not defined in a test procedure) as measured at the IAB-MT </w:t>
      </w:r>
      <w:r>
        <w:rPr>
          <w:rFonts w:eastAsia="SimSun"/>
          <w:lang w:val="en-US" w:eastAsia="zh-CN"/>
        </w:rPr>
        <w:t>TAB</w:t>
      </w:r>
      <w:r>
        <w:t xml:space="preserve"> connector</w:t>
      </w:r>
      <w:r>
        <w:rPr>
          <w:rFonts w:eastAsia="SimSun"/>
          <w:lang w:val="en-US" w:eastAsia="zh-CN"/>
        </w:rPr>
        <w:t xml:space="preserve"> or RIB</w:t>
      </w:r>
      <w:r>
        <w:t>.</w:t>
      </w:r>
    </w:p>
    <w:p w14:paraId="639C023C" w14:textId="18A9A77F" w:rsidR="00C63F0B" w:rsidRDefault="00C63F0B" w:rsidP="00C63F0B">
      <w:pPr>
        <w:pStyle w:val="EW"/>
        <w:rPr>
          <w:rFonts w:eastAsia="?? ??"/>
          <w:lang w:val="en-US"/>
        </w:rPr>
      </w:pPr>
      <w:r>
        <w:t>Iot</w:t>
      </w:r>
      <w:r>
        <w:tab/>
      </w:r>
      <w:r>
        <w:rPr>
          <w:rFonts w:eastAsia="?? ??"/>
        </w:rPr>
        <w:t>The received power spectral density</w:t>
      </w:r>
      <w:r>
        <w:t xml:space="preserve"> </w:t>
      </w:r>
      <w:r>
        <w:rPr>
          <w:rFonts w:eastAsia="?? ??"/>
        </w:rPr>
        <w:t xml:space="preserve">of the total noise and interference </w:t>
      </w:r>
      <w:r>
        <w:t xml:space="preserve">for a certain IAB-MT (power integrated over the RE and normalized to the subcarrier spacing) </w:t>
      </w:r>
      <w:r>
        <w:rPr>
          <w:rFonts w:eastAsia="?? ??"/>
        </w:rPr>
        <w:t xml:space="preserve">as measured at the </w:t>
      </w:r>
      <w:r>
        <w:t xml:space="preserve">IAB-MT </w:t>
      </w:r>
      <w:r>
        <w:rPr>
          <w:rFonts w:eastAsia="SimSun"/>
          <w:lang w:val="en-US" w:eastAsia="zh-CN"/>
        </w:rPr>
        <w:t>TAB</w:t>
      </w:r>
      <w:r>
        <w:rPr>
          <w:rFonts w:eastAsia="?? ??"/>
        </w:rPr>
        <w:t xml:space="preserve"> connector</w:t>
      </w:r>
      <w:r>
        <w:rPr>
          <w:rFonts w:eastAsia="SimSun"/>
          <w:lang w:val="en-US" w:eastAsia="zh-CN"/>
        </w:rPr>
        <w:t xml:space="preserve"> or RIB</w:t>
      </w:r>
    </w:p>
    <w:p w14:paraId="730EB5F9" w14:textId="3F8B7021" w:rsidR="00C63F0B" w:rsidRDefault="00C63F0B" w:rsidP="00C63F0B">
      <w:pPr>
        <w:pStyle w:val="EW"/>
        <w:rPr>
          <w:lang w:val="en-US"/>
        </w:rPr>
      </w:pPr>
      <w:r>
        <w:rPr>
          <w:position w:val="-12"/>
        </w:rPr>
        <w:object w:dxaOrig="432" w:dyaOrig="288" w14:anchorId="47EF8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6pt;height:14.4pt" o:ole="">
            <v:imagedata r:id="rId13" o:title=""/>
          </v:shape>
          <o:OLEObject Type="Embed" ProgID="Equation.3" ShapeID="_x0000_i1025" DrawAspect="Content" ObjectID="_1734764407" r:id="rId14"/>
        </w:object>
      </w:r>
      <w:r>
        <w:tab/>
        <w:t xml:space="preserve">The power spectral density of a white noise source (average power per RE </w:t>
      </w:r>
      <w:r>
        <w:rPr>
          <w:rFonts w:eastAsia="?? ??"/>
        </w:rPr>
        <w:t>normalised to the subcarrier spacing</w:t>
      </w:r>
      <w:r>
        <w:t xml:space="preserve">), simulating interference from cells that are not defined in a test procedure, as measured at the IAB-MT </w:t>
      </w:r>
      <w:r>
        <w:rPr>
          <w:rFonts w:eastAsia="SimSun"/>
          <w:lang w:val="en-US" w:eastAsia="zh-CN"/>
        </w:rPr>
        <w:t>TAB</w:t>
      </w:r>
      <w:r>
        <w:t xml:space="preserve"> connector</w:t>
      </w:r>
      <w:r>
        <w:rPr>
          <w:rFonts w:eastAsia="SimSun"/>
          <w:lang w:val="en-US" w:eastAsia="zh-CN"/>
        </w:rPr>
        <w:t xml:space="preserve"> or RIB</w:t>
      </w:r>
    </w:p>
    <w:p w14:paraId="27AF644F" w14:textId="16680D2B" w:rsidR="00690659" w:rsidRPr="00F95B02" w:rsidRDefault="00690659" w:rsidP="00C63F0B">
      <w:pPr>
        <w:pStyle w:val="EW"/>
        <w:rPr>
          <w:rFonts w:eastAsia="MS Mincho"/>
          <w:lang w:eastAsia="ja-JP"/>
        </w:rPr>
      </w:pPr>
      <w:r w:rsidRPr="00F95B02">
        <w:rPr>
          <w:rFonts w:eastAsia="MS Mincho"/>
          <w:lang w:eastAsia="ja-JP"/>
        </w:rPr>
        <w:t>N</w:t>
      </w:r>
      <w:r w:rsidRPr="00F95B02">
        <w:rPr>
          <w:rFonts w:eastAsia="MS Mincho"/>
          <w:vertAlign w:val="subscript"/>
          <w:lang w:eastAsia="ja-JP"/>
        </w:rPr>
        <w:t>cells</w:t>
      </w:r>
      <w:r w:rsidRPr="00F95B02">
        <w:rPr>
          <w:rFonts w:eastAsia="MS Mincho"/>
          <w:vertAlign w:val="subscript"/>
          <w:lang w:eastAsia="ja-JP"/>
        </w:rPr>
        <w:tab/>
      </w:r>
      <w:r w:rsidRPr="00F95B02">
        <w:rPr>
          <w:rFonts w:eastAsia="MS Mincho"/>
          <w:lang w:eastAsia="ja-JP"/>
        </w:rPr>
        <w:t xml:space="preserve">The declared number corresponding to the minimum number of cells that can be transmitted by an </w:t>
      </w:r>
      <w:r w:rsidRPr="00F95B02">
        <w:rPr>
          <w:rFonts w:eastAsia="MS Mincho"/>
          <w:i/>
          <w:lang w:eastAsia="ja-JP"/>
        </w:rPr>
        <w:t>BS type 1-H</w:t>
      </w:r>
      <w:r w:rsidRPr="00F95B02">
        <w:rPr>
          <w:rFonts w:eastAsia="MS Mincho"/>
          <w:lang w:eastAsia="ja-JP"/>
        </w:rPr>
        <w:t xml:space="preserve"> in a particular </w:t>
      </w:r>
      <w:r w:rsidRPr="00F95B02">
        <w:rPr>
          <w:rFonts w:eastAsia="MS Mincho"/>
          <w:i/>
          <w:lang w:eastAsia="ja-JP"/>
        </w:rPr>
        <w:t>operating band</w:t>
      </w:r>
    </w:p>
    <w:p w14:paraId="0EA7F3FC" w14:textId="77777777" w:rsidR="00690659" w:rsidRPr="00F95B02" w:rsidRDefault="00690659" w:rsidP="00690659">
      <w:pPr>
        <w:pStyle w:val="EW"/>
      </w:pPr>
      <w:r w:rsidRPr="00F95B02">
        <w:t>N</w:t>
      </w:r>
      <w:r w:rsidRPr="00F95B02">
        <w:rPr>
          <w:vertAlign w:val="subscript"/>
        </w:rPr>
        <w:t>RXU,active</w:t>
      </w:r>
      <w:r w:rsidRPr="00F95B02">
        <w:tab/>
        <w:t xml:space="preserve">The number of active receiver units. The same as the number of </w:t>
      </w:r>
      <w:r w:rsidRPr="00F95B02">
        <w:rPr>
          <w:i/>
        </w:rPr>
        <w:t>demodulation branches</w:t>
      </w:r>
      <w:r w:rsidRPr="00F95B02">
        <w:t xml:space="preserve"> to which compliance is declared for chapter 8 performance requirements</w:t>
      </w:r>
    </w:p>
    <w:p w14:paraId="5C47B062" w14:textId="77777777" w:rsidR="00690659" w:rsidRPr="00F95B02" w:rsidRDefault="00690659" w:rsidP="00690659">
      <w:pPr>
        <w:pStyle w:val="EW"/>
      </w:pPr>
      <w:r w:rsidRPr="00F95B02">
        <w:t>N</w:t>
      </w:r>
      <w:r w:rsidRPr="00F95B02">
        <w:rPr>
          <w:vertAlign w:val="subscript"/>
        </w:rPr>
        <w:t>RXU,counted</w:t>
      </w:r>
      <w:r w:rsidRPr="00F95B02">
        <w:tab/>
        <w:t>The number of active receiver units that are taken into account for conducted Rx spurious emission scaling, as calculated in clause 7.6.1</w:t>
      </w:r>
    </w:p>
    <w:p w14:paraId="28088E09" w14:textId="77777777" w:rsidR="00C63F0B" w:rsidRDefault="00C63F0B" w:rsidP="00C63F0B">
      <w:pPr>
        <w:pStyle w:val="EW"/>
      </w:pPr>
      <w:r>
        <w:t>N</w:t>
      </w:r>
      <w:r>
        <w:rPr>
          <w:vertAlign w:val="subscript"/>
        </w:rPr>
        <w:t>RXU,countedpercell</w:t>
      </w:r>
      <w:r>
        <w:tab/>
      </w:r>
      <w:r>
        <w:rPr>
          <w:lang w:eastAsia="ja-JP"/>
        </w:rPr>
        <w:t xml:space="preserve">The number of active receiver units that are taken into account for conducted </w:t>
      </w:r>
      <w:r>
        <w:t xml:space="preserve">RX spurious </w:t>
      </w:r>
      <w:r>
        <w:rPr>
          <w:lang w:eastAsia="ja-JP"/>
        </w:rPr>
        <w:t>emissions scaling per cell, as calculated in clause 7.6.1</w:t>
      </w:r>
    </w:p>
    <w:p w14:paraId="6B3DC9EE" w14:textId="63597648" w:rsidR="00C63F0B" w:rsidRDefault="00C63F0B" w:rsidP="00C63F0B">
      <w:pPr>
        <w:pStyle w:val="EW"/>
      </w:pPr>
      <w:r>
        <w:rPr>
          <w:position w:val="-10"/>
        </w:rPr>
        <w:object w:dxaOrig="432" w:dyaOrig="288" w14:anchorId="490D8DDF">
          <v:shape id="_x0000_i1026" type="#_x0000_t75" style="width:21.6pt;height:14.4pt" o:ole="">
            <v:imagedata r:id="rId15" o:title=""/>
          </v:shape>
          <o:OLEObject Type="Embed" ProgID="Equation.3" ShapeID="_x0000_i1026" DrawAspect="Content" ObjectID="_1734764408" r:id="rId16"/>
        </w:object>
      </w:r>
      <w:r>
        <w:tab/>
        <w:t xml:space="preserve">Timing offset between uplink and downlink radio frames at the </w:t>
      </w:r>
      <w:r>
        <w:rPr>
          <w:rFonts w:eastAsia="SimSun"/>
          <w:lang w:val="en-US" w:eastAsia="zh-CN"/>
        </w:rPr>
        <w:t>UE / IAB-MT</w:t>
      </w:r>
      <w:r>
        <w:t>, as defined in clause 4.2.3 in TS 38.213</w:t>
      </w:r>
    </w:p>
    <w:p w14:paraId="3EB99CD0" w14:textId="77777777" w:rsidR="00690659" w:rsidRPr="00F95B02" w:rsidRDefault="00690659" w:rsidP="00690659">
      <w:pPr>
        <w:pStyle w:val="EW"/>
        <w:rPr>
          <w:rFonts w:eastAsia="MS Mincho"/>
          <w:lang w:eastAsia="ja-JP"/>
        </w:rPr>
      </w:pPr>
      <w:r w:rsidRPr="00F95B02">
        <w:rPr>
          <w:rFonts w:eastAsia="MS Mincho"/>
          <w:lang w:eastAsia="ja-JP"/>
        </w:rPr>
        <w:lastRenderedPageBreak/>
        <w:t>N</w:t>
      </w:r>
      <w:r w:rsidRPr="00F95B02">
        <w:rPr>
          <w:rFonts w:eastAsia="MS Mincho"/>
          <w:vertAlign w:val="subscript"/>
          <w:lang w:eastAsia="ja-JP"/>
        </w:rPr>
        <w:t>TXU,counted</w:t>
      </w:r>
      <w:r w:rsidRPr="00F95B02">
        <w:rPr>
          <w:rFonts w:eastAsia="MS Mincho"/>
          <w:lang w:eastAsia="ja-JP"/>
        </w:rPr>
        <w:tab/>
        <w:t xml:space="preserve">The number of </w:t>
      </w:r>
      <w:r w:rsidRPr="00F95B02">
        <w:rPr>
          <w:rFonts w:eastAsia="MS Mincho"/>
          <w:i/>
          <w:lang w:eastAsia="ja-JP"/>
        </w:rPr>
        <w:t>active transmitter units</w:t>
      </w:r>
      <w:r w:rsidRPr="00F95B02">
        <w:rPr>
          <w:rFonts w:eastAsia="MS Mincho"/>
          <w:lang w:eastAsia="ja-JP"/>
        </w:rPr>
        <w:t xml:space="preserve"> as calculated in clause 6.1, that are taken into account for conducted TX output power limit in clause 6.2.1, and for unwanted TX emissions scaling</w:t>
      </w:r>
    </w:p>
    <w:p w14:paraId="71C1BE70" w14:textId="21E23408" w:rsidR="00690659" w:rsidRDefault="00690659" w:rsidP="00690659">
      <w:pPr>
        <w:pStyle w:val="EW"/>
        <w:rPr>
          <w:lang w:eastAsia="ja-JP"/>
        </w:rPr>
      </w:pPr>
      <w:r w:rsidRPr="00F95B02">
        <w:t>N</w:t>
      </w:r>
      <w:r w:rsidRPr="00F95B02">
        <w:rPr>
          <w:vertAlign w:val="subscript"/>
        </w:rPr>
        <w:t>TXU,countedpercell</w:t>
      </w:r>
      <w:r w:rsidRPr="00F95B02">
        <w:tab/>
      </w:r>
      <w:r w:rsidRPr="00F95B02">
        <w:rPr>
          <w:rFonts w:eastAsia="MS Mincho"/>
          <w:lang w:eastAsia="ja-JP"/>
        </w:rPr>
        <w:t xml:space="preserve">The number of </w:t>
      </w:r>
      <w:r w:rsidRPr="00F95B02">
        <w:rPr>
          <w:rFonts w:eastAsia="MS Mincho"/>
          <w:i/>
          <w:lang w:eastAsia="ja-JP"/>
        </w:rPr>
        <w:t>active transmitter units</w:t>
      </w:r>
      <w:r w:rsidRPr="00F95B02">
        <w:rPr>
          <w:rFonts w:eastAsia="MS Mincho"/>
          <w:lang w:eastAsia="ja-JP"/>
        </w:rPr>
        <w:t xml:space="preserve"> that are taken into account for conducted TX emissions scaling per cell,</w:t>
      </w:r>
      <w:r w:rsidRPr="00F95B02">
        <w:rPr>
          <w:lang w:eastAsia="ja-JP"/>
        </w:rPr>
        <w:t xml:space="preserve"> as calculated in clause 6.1</w:t>
      </w:r>
    </w:p>
    <w:p w14:paraId="7DF2DED5" w14:textId="1F9809DC" w:rsidR="00690659" w:rsidRPr="0063534F" w:rsidRDefault="00690659" w:rsidP="0063534F">
      <w:pPr>
        <w:pStyle w:val="EW"/>
        <w:rPr>
          <w:rFonts w:eastAsia="MS Mincho"/>
          <w:lang w:eastAsia="ja-JP"/>
        </w:rPr>
      </w:pPr>
      <w:r w:rsidRPr="00690659">
        <w:rPr>
          <w:rFonts w:eastAsia="MS Mincho"/>
          <w:lang w:eastAsia="ja-JP"/>
        </w:rPr>
        <w:t>P</w:t>
      </w:r>
      <w:r>
        <w:rPr>
          <w:vertAlign w:val="subscript"/>
        </w:rPr>
        <w:t>CMAX</w:t>
      </w:r>
      <w:r>
        <w:t>,</w:t>
      </w:r>
      <w:r>
        <w:rPr>
          <w:i/>
          <w:iCs/>
          <w:vertAlign w:val="subscript"/>
        </w:rPr>
        <w:t xml:space="preserve"> f</w:t>
      </w:r>
      <w:r>
        <w:t>,</w:t>
      </w:r>
      <w:r>
        <w:rPr>
          <w:i/>
          <w:iCs/>
          <w:vertAlign w:val="subscript"/>
        </w:rPr>
        <w:t xml:space="preserve"> c</w:t>
      </w:r>
      <w:r w:rsidRPr="00690659">
        <w:rPr>
          <w:rFonts w:eastAsia="MS Mincho"/>
          <w:lang w:eastAsia="ja-JP"/>
        </w:rPr>
        <w:tab/>
        <w:t>The configured maximum output power for carrier f of serving cell c in each slot</w:t>
      </w:r>
    </w:p>
    <w:p w14:paraId="7996DAB8" w14:textId="77777777" w:rsidR="00690659" w:rsidRPr="00F95B02" w:rsidRDefault="00690659" w:rsidP="00690659">
      <w:pPr>
        <w:pStyle w:val="EW"/>
        <w:rPr>
          <w:i/>
        </w:rPr>
      </w:pPr>
      <w:r w:rsidRPr="00F95B02">
        <w:t>P</w:t>
      </w:r>
      <w:r w:rsidRPr="00F95B02">
        <w:rPr>
          <w:vertAlign w:val="subscript"/>
        </w:rPr>
        <w:t>max,c,TABC</w:t>
      </w:r>
      <w:r w:rsidRPr="00F95B02">
        <w:rPr>
          <w:vertAlign w:val="subscript"/>
        </w:rPr>
        <w:tab/>
      </w:r>
      <w:r w:rsidRPr="00F95B02">
        <w:t xml:space="preserve">The </w:t>
      </w:r>
      <w:r w:rsidRPr="00F95B02">
        <w:rPr>
          <w:i/>
        </w:rPr>
        <w:t>maximum carrier output power per TAB connector</w:t>
      </w:r>
    </w:p>
    <w:p w14:paraId="2B51ADE5" w14:textId="77777777" w:rsidR="00690659" w:rsidRPr="00F95B02" w:rsidRDefault="00690659" w:rsidP="00690659">
      <w:pPr>
        <w:pStyle w:val="EW"/>
      </w:pPr>
      <w:r w:rsidRPr="00F95B02">
        <w:t>P</w:t>
      </w:r>
      <w:r w:rsidRPr="00F95B02">
        <w:rPr>
          <w:vertAlign w:val="subscript"/>
        </w:rPr>
        <w:t>max,c</w:t>
      </w:r>
      <w:r w:rsidRPr="00F95B02">
        <w:rPr>
          <w:b/>
          <w:vertAlign w:val="subscript"/>
        </w:rPr>
        <w:t>,</w:t>
      </w:r>
      <w:r w:rsidRPr="00F95B02">
        <w:rPr>
          <w:vertAlign w:val="subscript"/>
        </w:rPr>
        <w:t>TRP</w:t>
      </w:r>
      <w:r w:rsidRPr="00F95B02">
        <w:rPr>
          <w:b/>
          <w:vertAlign w:val="subscript"/>
        </w:rPr>
        <w:tab/>
      </w:r>
      <w:r w:rsidRPr="00F95B02">
        <w:rPr>
          <w:i/>
        </w:rPr>
        <w:t xml:space="preserve">Maximum carrier TRP output power </w:t>
      </w:r>
      <w:r w:rsidRPr="00F95B02">
        <w:t>measured</w:t>
      </w:r>
      <w:r w:rsidRPr="00F95B02">
        <w:rPr>
          <w:i/>
        </w:rPr>
        <w:t xml:space="preserve"> </w:t>
      </w:r>
      <w:r w:rsidRPr="00F95B02">
        <w:t xml:space="preserve">at the RIB(s), and corresponding to the declared </w:t>
      </w:r>
      <w:r w:rsidRPr="00F95B02">
        <w:rPr>
          <w:i/>
        </w:rPr>
        <w:t>rated carrier TRP output power</w:t>
      </w:r>
      <w:r w:rsidRPr="00F95B02">
        <w:t xml:space="preserve"> (</w:t>
      </w:r>
      <w:r w:rsidRPr="00F95B02">
        <w:rPr>
          <w:bCs/>
        </w:rPr>
        <w:t>P</w:t>
      </w:r>
      <w:r w:rsidRPr="00F95B02">
        <w:rPr>
          <w:bCs/>
          <w:vertAlign w:val="subscript"/>
        </w:rPr>
        <w:t>rated,c,TRP</w:t>
      </w:r>
      <w:r w:rsidRPr="00F95B02">
        <w:t>)</w:t>
      </w:r>
    </w:p>
    <w:p w14:paraId="7788F724" w14:textId="77777777" w:rsidR="00690659" w:rsidRPr="00F95B02" w:rsidRDefault="00690659" w:rsidP="00690659">
      <w:pPr>
        <w:pStyle w:val="EW"/>
      </w:pPr>
      <w:r w:rsidRPr="00F95B02">
        <w:t>P</w:t>
      </w:r>
      <w:r w:rsidRPr="00F95B02">
        <w:rPr>
          <w:vertAlign w:val="subscript"/>
        </w:rPr>
        <w:t>max</w:t>
      </w:r>
      <w:r w:rsidRPr="00F95B02">
        <w:rPr>
          <w:vertAlign w:val="subscript"/>
          <w:lang w:eastAsia="zh-CN"/>
        </w:rPr>
        <w:t>,c,EIRP</w:t>
      </w:r>
      <w:r w:rsidRPr="00F95B02">
        <w:rPr>
          <w:lang w:eastAsia="zh-CN"/>
        </w:rPr>
        <w:tab/>
        <w:t xml:space="preserve">The </w:t>
      </w:r>
      <w:r w:rsidRPr="00F95B02">
        <w:t>maximum carrier EIRP</w:t>
      </w:r>
      <w:r w:rsidRPr="00F95B02">
        <w:rPr>
          <w:i/>
        </w:rPr>
        <w:t xml:space="preserve"> </w:t>
      </w:r>
      <w:r w:rsidRPr="00F95B02">
        <w:rPr>
          <w:rFonts w:cs="v5.0.0"/>
        </w:rPr>
        <w:t>when the NR BS is configured at the maximum rated carrier output TRP (P</w:t>
      </w:r>
      <w:r w:rsidRPr="00F95B02">
        <w:rPr>
          <w:rFonts w:cs="v5.0.0"/>
          <w:vertAlign w:val="subscript"/>
        </w:rPr>
        <w:t>rated,c,TRP</w:t>
      </w:r>
      <w:r w:rsidRPr="00F95B02">
        <w:rPr>
          <w:rFonts w:cs="v5.0.0"/>
        </w:rPr>
        <w:t>)</w:t>
      </w:r>
    </w:p>
    <w:p w14:paraId="5C7E0ED2" w14:textId="77777777" w:rsidR="00690659" w:rsidRDefault="00690659" w:rsidP="00690659">
      <w:pPr>
        <w:pStyle w:val="EW"/>
        <w:rPr>
          <w:rFonts w:eastAsia="MS Mincho"/>
          <w:i/>
          <w:iCs/>
          <w:lang w:eastAsia="ja-JP"/>
        </w:rPr>
      </w:pPr>
      <w:r w:rsidRPr="00F95B02">
        <w:t>P</w:t>
      </w:r>
      <w:r w:rsidRPr="00F95B02">
        <w:rPr>
          <w:vertAlign w:val="subscript"/>
        </w:rPr>
        <w:t>rated,c,cell</w:t>
      </w:r>
      <w:r w:rsidRPr="00F95B02">
        <w:rPr>
          <w:vertAlign w:val="subscript"/>
        </w:rPr>
        <w:tab/>
      </w:r>
      <w:r w:rsidRPr="00F95B02">
        <w:t xml:space="preserve">The </w:t>
      </w:r>
      <w:r w:rsidRPr="00F95B02">
        <w:rPr>
          <w:i/>
        </w:rPr>
        <w:t xml:space="preserve">rated carrier output power </w:t>
      </w:r>
      <w:r w:rsidRPr="00F95B02">
        <w:t xml:space="preserve">per </w:t>
      </w:r>
      <w:r w:rsidRPr="00F95B02">
        <w:rPr>
          <w:rFonts w:eastAsia="MS Mincho"/>
          <w:i/>
          <w:iCs/>
          <w:lang w:eastAsia="ja-JP"/>
        </w:rPr>
        <w:t>TAB connector TX min cell group</w:t>
      </w:r>
    </w:p>
    <w:p w14:paraId="6B0B7A1C" w14:textId="77777777" w:rsidR="00690659" w:rsidRPr="00F95B02" w:rsidRDefault="00690659" w:rsidP="00690659">
      <w:pPr>
        <w:pStyle w:val="EW"/>
      </w:pPr>
      <w:r w:rsidRPr="00F95B02">
        <w:t>P</w:t>
      </w:r>
      <w:r>
        <w:rPr>
          <w:vertAlign w:val="subscript"/>
        </w:rPr>
        <w:t>rated,c,EIRP</w:t>
      </w:r>
      <w:r w:rsidRPr="00F95B02">
        <w:rPr>
          <w:vertAlign w:val="subscript"/>
        </w:rPr>
        <w:tab/>
      </w:r>
      <w:r>
        <w:rPr>
          <w:i/>
        </w:rPr>
        <w:t xml:space="preserve">The rated carrier </w:t>
      </w:r>
      <w:r>
        <w:rPr>
          <w:rFonts w:hint="eastAsia"/>
          <w:i/>
          <w:lang w:val="en-US" w:eastAsia="zh-CN"/>
        </w:rPr>
        <w:t>EIRP</w:t>
      </w:r>
      <w:r>
        <w:rPr>
          <w:i/>
        </w:rPr>
        <w:t xml:space="preserve"> output power </w:t>
      </w:r>
      <w:r>
        <w:t>declared</w:t>
      </w:r>
      <w:r>
        <w:rPr>
          <w:i/>
        </w:rPr>
        <w:t xml:space="preserve"> </w:t>
      </w:r>
      <w:r>
        <w:t>per RIB</w:t>
      </w:r>
    </w:p>
    <w:p w14:paraId="32586CA0" w14:textId="77777777" w:rsidR="00690659" w:rsidRPr="00F95B02" w:rsidRDefault="00690659" w:rsidP="00690659">
      <w:pPr>
        <w:pStyle w:val="EW"/>
        <w:spacing w:line="276" w:lineRule="auto"/>
        <w:rPr>
          <w:i/>
          <w:lang w:eastAsia="zh-CN"/>
        </w:rPr>
      </w:pPr>
      <w:r w:rsidRPr="00F95B02">
        <w:rPr>
          <w:lang w:eastAsia="zh-CN"/>
        </w:rPr>
        <w:t>P</w:t>
      </w:r>
      <w:r w:rsidRPr="00F95B02">
        <w:rPr>
          <w:vertAlign w:val="subscript"/>
          <w:lang w:eastAsia="zh-CN"/>
        </w:rPr>
        <w:t>rated,c,FBWhigh</w:t>
      </w:r>
      <w:r w:rsidRPr="00F95B02">
        <w:rPr>
          <w:vertAlign w:val="subscript"/>
          <w:lang w:eastAsia="zh-CN"/>
        </w:rPr>
        <w:tab/>
      </w:r>
      <w:r w:rsidRPr="00F95B02">
        <w:rPr>
          <w:lang w:eastAsia="zh-CN"/>
        </w:rPr>
        <w:t xml:space="preserve">The </w:t>
      </w:r>
      <w:r w:rsidRPr="00F95B02">
        <w:t>rated carrier EIRP</w:t>
      </w:r>
      <w:r w:rsidRPr="00F95B02">
        <w:rPr>
          <w:i/>
        </w:rPr>
        <w:t xml:space="preserve"> </w:t>
      </w:r>
      <w:r w:rsidRPr="00F95B02">
        <w:rPr>
          <w:lang w:eastAsia="zh-CN"/>
        </w:rPr>
        <w:t xml:space="preserve">for the higher supported frequency range </w:t>
      </w:r>
      <w:r w:rsidRPr="00F95B02">
        <w:t>within supported</w:t>
      </w:r>
      <w:r w:rsidRPr="00F95B02">
        <w:rPr>
          <w:i/>
        </w:rPr>
        <w:t xml:space="preserve"> operating band</w:t>
      </w:r>
      <w:r w:rsidRPr="00F95B02">
        <w:rPr>
          <w:i/>
          <w:lang w:eastAsia="zh-CN"/>
        </w:rPr>
        <w:t>,</w:t>
      </w:r>
      <w:r w:rsidRPr="00F95B02">
        <w:rPr>
          <w:lang w:eastAsia="zh-CN"/>
        </w:rPr>
        <w:t xml:space="preserve"> for which</w:t>
      </w:r>
      <w:r w:rsidRPr="00F95B02">
        <w:rPr>
          <w:i/>
          <w:lang w:eastAsia="zh-CN"/>
        </w:rPr>
        <w:t xml:space="preserve"> fractional bandwidth </w:t>
      </w:r>
      <w:r w:rsidRPr="00F95B02">
        <w:rPr>
          <w:lang w:eastAsia="zh-CN"/>
        </w:rPr>
        <w:t>support was declared</w:t>
      </w:r>
    </w:p>
    <w:p w14:paraId="054BF1B2" w14:textId="77777777" w:rsidR="00690659" w:rsidRPr="00F95B02" w:rsidRDefault="00690659" w:rsidP="00690659">
      <w:pPr>
        <w:pStyle w:val="EW"/>
        <w:spacing w:line="276" w:lineRule="auto"/>
        <w:rPr>
          <w:lang w:eastAsia="ja-JP"/>
        </w:rPr>
      </w:pPr>
      <w:r w:rsidRPr="00F95B02">
        <w:rPr>
          <w:lang w:eastAsia="zh-CN"/>
        </w:rPr>
        <w:t>P</w:t>
      </w:r>
      <w:r w:rsidRPr="00F95B02">
        <w:rPr>
          <w:vertAlign w:val="subscript"/>
          <w:lang w:eastAsia="zh-CN"/>
        </w:rPr>
        <w:t>rated,c,FBWlow</w:t>
      </w:r>
      <w:r w:rsidRPr="00F95B02">
        <w:rPr>
          <w:vertAlign w:val="subscript"/>
          <w:lang w:eastAsia="zh-CN"/>
        </w:rPr>
        <w:tab/>
      </w:r>
      <w:r w:rsidRPr="00F95B02">
        <w:rPr>
          <w:lang w:eastAsia="zh-CN"/>
        </w:rPr>
        <w:t xml:space="preserve">The </w:t>
      </w:r>
      <w:r w:rsidRPr="00F95B02">
        <w:t>rated carrier EIRP</w:t>
      </w:r>
      <w:r w:rsidRPr="00F95B02">
        <w:rPr>
          <w:lang w:eastAsia="zh-CN"/>
        </w:rPr>
        <w:t xml:space="preserve"> for the lower supported frequency range </w:t>
      </w:r>
      <w:r w:rsidRPr="00F95B02">
        <w:t xml:space="preserve">within supported </w:t>
      </w:r>
      <w:r w:rsidRPr="00F95B02">
        <w:rPr>
          <w:i/>
        </w:rPr>
        <w:t>operating band</w:t>
      </w:r>
      <w:r w:rsidRPr="00F95B02">
        <w:rPr>
          <w:i/>
          <w:lang w:eastAsia="zh-CN"/>
        </w:rPr>
        <w:t xml:space="preserve">, </w:t>
      </w:r>
      <w:r w:rsidRPr="00F95B02">
        <w:rPr>
          <w:lang w:eastAsia="zh-CN"/>
        </w:rPr>
        <w:t>for which</w:t>
      </w:r>
      <w:r w:rsidRPr="00F95B02">
        <w:rPr>
          <w:i/>
          <w:lang w:eastAsia="zh-CN"/>
        </w:rPr>
        <w:t xml:space="preserve"> fractional bandwidth </w:t>
      </w:r>
      <w:r w:rsidRPr="00F95B02">
        <w:rPr>
          <w:lang w:eastAsia="zh-CN"/>
        </w:rPr>
        <w:t>support was declared</w:t>
      </w:r>
    </w:p>
    <w:p w14:paraId="4D83FCA6" w14:textId="77777777" w:rsidR="00690659" w:rsidRPr="00F95B02" w:rsidRDefault="00690659" w:rsidP="00690659">
      <w:pPr>
        <w:pStyle w:val="EW"/>
        <w:rPr>
          <w:lang w:eastAsia="zh-CN"/>
        </w:rPr>
      </w:pPr>
      <w:r w:rsidRPr="00F95B02">
        <w:rPr>
          <w:lang w:eastAsia="zh-CN"/>
        </w:rPr>
        <w:t>P</w:t>
      </w:r>
      <w:r w:rsidRPr="00F95B02">
        <w:rPr>
          <w:vertAlign w:val="subscript"/>
          <w:lang w:eastAsia="zh-CN"/>
        </w:rPr>
        <w:t>rated,c,sys</w:t>
      </w:r>
      <w:r w:rsidRPr="00F95B02">
        <w:rPr>
          <w:lang w:eastAsia="zh-CN"/>
        </w:rPr>
        <w:tab/>
        <w:t>The sum of P</w:t>
      </w:r>
      <w:r w:rsidRPr="00F95B02">
        <w:rPr>
          <w:vertAlign w:val="subscript"/>
          <w:lang w:eastAsia="zh-CN"/>
        </w:rPr>
        <w:t>rated,c,TABC</w:t>
      </w:r>
      <w:r w:rsidRPr="00F95B02">
        <w:rPr>
          <w:lang w:eastAsia="zh-CN"/>
        </w:rPr>
        <w:t xml:space="preserve"> for all </w:t>
      </w:r>
      <w:r w:rsidRPr="00F95B02">
        <w:rPr>
          <w:i/>
          <w:lang w:eastAsia="zh-CN"/>
        </w:rPr>
        <w:t>TAB</w:t>
      </w:r>
      <w:r w:rsidRPr="00F95B02">
        <w:rPr>
          <w:i/>
        </w:rPr>
        <w:t xml:space="preserve"> connectors</w:t>
      </w:r>
      <w:r w:rsidRPr="00F95B02">
        <w:rPr>
          <w:lang w:eastAsia="zh-CN"/>
        </w:rPr>
        <w:t xml:space="preserve"> for a single carrier</w:t>
      </w:r>
    </w:p>
    <w:p w14:paraId="5B8054FA" w14:textId="77777777" w:rsidR="00690659" w:rsidRPr="00F95B02" w:rsidRDefault="00690659" w:rsidP="00690659">
      <w:pPr>
        <w:pStyle w:val="EW"/>
      </w:pPr>
      <w:r w:rsidRPr="00F95B02">
        <w:t>P</w:t>
      </w:r>
      <w:r w:rsidRPr="00F95B02">
        <w:rPr>
          <w:vertAlign w:val="subscript"/>
        </w:rPr>
        <w:t>rated,c,TABC</w:t>
      </w:r>
      <w:r w:rsidRPr="00F95B02">
        <w:rPr>
          <w:vertAlign w:val="subscript"/>
        </w:rPr>
        <w:tab/>
      </w:r>
      <w:r w:rsidRPr="00F95B02">
        <w:t xml:space="preserve">The </w:t>
      </w:r>
      <w:r w:rsidRPr="00F95B02">
        <w:rPr>
          <w:i/>
        </w:rPr>
        <w:t>rated carrier output power per TAB connector</w:t>
      </w:r>
    </w:p>
    <w:p w14:paraId="6548F181" w14:textId="77777777" w:rsidR="00690659" w:rsidRDefault="00690659" w:rsidP="00690659">
      <w:pPr>
        <w:pStyle w:val="EW"/>
        <w:rPr>
          <w:lang w:eastAsia="zh-CN"/>
        </w:rPr>
      </w:pPr>
      <w:r w:rsidRPr="00F95B02">
        <w:rPr>
          <w:bCs/>
        </w:rPr>
        <w:t>P</w:t>
      </w:r>
      <w:r w:rsidRPr="00F95B02">
        <w:rPr>
          <w:bCs/>
          <w:vertAlign w:val="subscript"/>
        </w:rPr>
        <w:t>rated,c,TRP</w:t>
      </w:r>
      <w:r w:rsidRPr="00F95B02">
        <w:rPr>
          <w:bCs/>
        </w:rPr>
        <w:tab/>
      </w:r>
      <w:r w:rsidRPr="00F95B02">
        <w:rPr>
          <w:i/>
        </w:rPr>
        <w:t xml:space="preserve">Rated carrier TRP output power </w:t>
      </w:r>
      <w:r w:rsidRPr="00F95B02">
        <w:t>declared</w:t>
      </w:r>
      <w:r w:rsidRPr="00F95B02">
        <w:rPr>
          <w:i/>
        </w:rPr>
        <w:t xml:space="preserve"> </w:t>
      </w:r>
      <w:r w:rsidRPr="00F95B02">
        <w:t>per RIB</w:t>
      </w:r>
    </w:p>
    <w:p w14:paraId="3A65D747" w14:textId="77777777" w:rsidR="00690659" w:rsidRPr="00F95B02" w:rsidRDefault="00690659" w:rsidP="00690659">
      <w:pPr>
        <w:pStyle w:val="EW"/>
      </w:pPr>
      <w:r w:rsidRPr="00F95B02">
        <w:rPr>
          <w:lang w:eastAsia="zh-CN"/>
        </w:rPr>
        <w:t>P</w:t>
      </w:r>
      <w:r w:rsidRPr="00F95B02">
        <w:rPr>
          <w:vertAlign w:val="subscript"/>
          <w:lang w:eastAsia="zh-CN"/>
        </w:rPr>
        <w:t>rated,t,TABC</w:t>
      </w:r>
      <w:r w:rsidRPr="00F95B02">
        <w:rPr>
          <w:vertAlign w:val="subscript"/>
          <w:lang w:eastAsia="zh-CN"/>
        </w:rPr>
        <w:tab/>
      </w:r>
      <w:r w:rsidRPr="00F95B02">
        <w:t xml:space="preserve">The </w:t>
      </w:r>
      <w:r w:rsidRPr="00F95B02">
        <w:rPr>
          <w:i/>
        </w:rPr>
        <w:t xml:space="preserve">rated total output power </w:t>
      </w:r>
      <w:r w:rsidRPr="00F95B02">
        <w:t>declared at</w:t>
      </w:r>
      <w:r w:rsidRPr="00F95B02">
        <w:rPr>
          <w:i/>
        </w:rPr>
        <w:t xml:space="preserve"> TAB connector</w:t>
      </w:r>
    </w:p>
    <w:p w14:paraId="70008A78" w14:textId="77777777" w:rsidR="00690659" w:rsidRPr="00F95B02" w:rsidRDefault="00690659" w:rsidP="00690659">
      <w:pPr>
        <w:pStyle w:val="EW"/>
        <w:rPr>
          <w:lang w:eastAsia="zh-CN"/>
        </w:rPr>
      </w:pPr>
      <w:r w:rsidRPr="00F95B02">
        <w:t>P</w:t>
      </w:r>
      <w:r w:rsidRPr="00F95B02">
        <w:rPr>
          <w:vertAlign w:val="subscript"/>
        </w:rPr>
        <w:t>rated,t,TRP</w:t>
      </w:r>
      <w:r w:rsidRPr="00F95B02">
        <w:tab/>
      </w:r>
      <w:r w:rsidRPr="00F95B02">
        <w:rPr>
          <w:i/>
        </w:rPr>
        <w:t xml:space="preserve">Rated total TRP output power </w:t>
      </w:r>
      <w:r w:rsidRPr="00F95B02">
        <w:t>declared</w:t>
      </w:r>
      <w:r w:rsidRPr="00F95B02">
        <w:rPr>
          <w:i/>
        </w:rPr>
        <w:t xml:space="preserve"> </w:t>
      </w:r>
      <w:r w:rsidRPr="00F95B02">
        <w:t>per RIB</w:t>
      </w:r>
    </w:p>
    <w:p w14:paraId="5FCD08F7" w14:textId="77777777" w:rsidR="00690659" w:rsidRPr="00F95B02" w:rsidRDefault="00690659" w:rsidP="00690659">
      <w:pPr>
        <w:pStyle w:val="EW"/>
      </w:pPr>
      <w:r w:rsidRPr="00F95B02">
        <w:t>P</w:t>
      </w:r>
      <w:r w:rsidRPr="00F95B02">
        <w:rPr>
          <w:vertAlign w:val="subscript"/>
        </w:rPr>
        <w:t>REFSENS</w:t>
      </w:r>
      <w:r w:rsidRPr="00F95B02">
        <w:tab/>
        <w:t>Conducted Reference Sensitivity power level</w:t>
      </w:r>
    </w:p>
    <w:p w14:paraId="08A94F13" w14:textId="7A1B8F41" w:rsidR="00C63F0B" w:rsidRDefault="00C63F0B" w:rsidP="00C63F0B">
      <w:pPr>
        <w:keepLines/>
        <w:spacing w:after="0"/>
        <w:ind w:left="1702" w:hanging="1418"/>
        <w:rPr>
          <w:lang w:val="en-US"/>
        </w:rPr>
      </w:pPr>
      <w:r>
        <w:t>SSB_RP</w:t>
      </w:r>
      <w:r>
        <w:tab/>
        <w:t xml:space="preserve">Received (linear) average power of the resource elements that carry SSB signals and channels, measured at the IAB-MT </w:t>
      </w:r>
      <w:r>
        <w:rPr>
          <w:rFonts w:eastAsia="SimSun"/>
          <w:lang w:val="en-US" w:eastAsia="zh-CN"/>
        </w:rPr>
        <w:t>TAB</w:t>
      </w:r>
      <w:r>
        <w:t xml:space="preserve"> connector</w:t>
      </w:r>
      <w:r>
        <w:rPr>
          <w:rFonts w:eastAsia="SimSun"/>
          <w:lang w:val="en-US" w:eastAsia="zh-CN"/>
        </w:rPr>
        <w:t xml:space="preserve"> or RIB</w:t>
      </w:r>
    </w:p>
    <w:p w14:paraId="624B533C" w14:textId="77777777" w:rsidR="00C63F0B" w:rsidRDefault="00C63F0B" w:rsidP="00C63F0B">
      <w:pPr>
        <w:keepLines/>
        <w:spacing w:after="0"/>
        <w:ind w:left="1702" w:hanging="1418"/>
      </w:pPr>
      <w:r>
        <w:t>T</w:t>
      </w:r>
      <w:r>
        <w:rPr>
          <w:vertAlign w:val="subscript"/>
        </w:rPr>
        <w:t>c</w:t>
      </w:r>
      <w:r>
        <w:rPr>
          <w:vertAlign w:val="subscript"/>
        </w:rPr>
        <w:tab/>
      </w:r>
      <w:r>
        <w:t>Basic time unit, defined in clause 4.1 of TS 38.211 [8]</w:t>
      </w:r>
    </w:p>
    <w:p w14:paraId="7EC50723" w14:textId="77777777" w:rsidR="00C63F0B" w:rsidRDefault="00C63F0B" w:rsidP="00C63F0B">
      <w:pPr>
        <w:keepLines/>
        <w:spacing w:after="0"/>
        <w:ind w:left="1702" w:hanging="1418"/>
      </w:pPr>
      <w:r>
        <w:rPr>
          <w:rFonts w:cs="v5.0.0"/>
        </w:rPr>
        <w:t>W</w:t>
      </w:r>
      <w:r>
        <w:rPr>
          <w:rFonts w:cs="v5.0.0"/>
          <w:vertAlign w:val="subscript"/>
        </w:rPr>
        <w:t>gap</w:t>
      </w:r>
      <w:r>
        <w:tab/>
      </w:r>
      <w:r>
        <w:rPr>
          <w:i/>
        </w:rPr>
        <w:t>Sub-block gap</w:t>
      </w:r>
      <w:r>
        <w:t xml:space="preserve"> or </w:t>
      </w:r>
      <w:r>
        <w:rPr>
          <w:i/>
        </w:rPr>
        <w:t>Inter RF Bandwidth gap</w:t>
      </w:r>
      <w:r>
        <w:t xml:space="preserve"> size</w:t>
      </w:r>
    </w:p>
    <w:p w14:paraId="3B70E497" w14:textId="77777777" w:rsidR="00EB412E" w:rsidRPr="005564DB" w:rsidRDefault="00EB412E" w:rsidP="00137E92"/>
    <w:p w14:paraId="6CBD5F33" w14:textId="77777777" w:rsidR="00077B6E" w:rsidRPr="005564DB" w:rsidRDefault="00077B6E" w:rsidP="00077B6E">
      <w:pPr>
        <w:pStyle w:val="Heading2"/>
        <w:rPr>
          <w:rFonts w:eastAsiaTheme="minorEastAsia"/>
          <w:lang w:eastAsia="zh-CN"/>
        </w:rPr>
      </w:pPr>
      <w:bookmarkStart w:id="142" w:name="_Toc13080119"/>
      <w:bookmarkStart w:id="143" w:name="_Toc18916149"/>
      <w:bookmarkStart w:id="144" w:name="_Toc53185276"/>
      <w:bookmarkStart w:id="145" w:name="_Toc53185652"/>
      <w:bookmarkStart w:id="146" w:name="_Toc57820125"/>
      <w:bookmarkStart w:id="147" w:name="_Toc57821052"/>
      <w:bookmarkStart w:id="148" w:name="_Toc61183328"/>
      <w:bookmarkStart w:id="149" w:name="_Toc61183722"/>
      <w:bookmarkStart w:id="150" w:name="_Toc61184114"/>
      <w:bookmarkStart w:id="151" w:name="_Toc61184506"/>
      <w:bookmarkStart w:id="152" w:name="_Toc61184896"/>
      <w:bookmarkStart w:id="153" w:name="_Toc66386239"/>
      <w:bookmarkStart w:id="154" w:name="_Toc74583080"/>
      <w:bookmarkStart w:id="155" w:name="_Toc76541893"/>
      <w:bookmarkStart w:id="156" w:name="_Toc82449875"/>
      <w:bookmarkStart w:id="157" w:name="_Toc82450523"/>
      <w:bookmarkStart w:id="158" w:name="_Toc89948912"/>
      <w:bookmarkStart w:id="159" w:name="_Toc98755301"/>
      <w:bookmarkStart w:id="160" w:name="_Toc98762890"/>
      <w:bookmarkStart w:id="161" w:name="_Toc106183819"/>
      <w:r w:rsidRPr="005564DB">
        <w:t>3.3</w:t>
      </w:r>
      <w:r w:rsidRPr="005564DB">
        <w:tab/>
        <w:t>Abbreviations</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p>
    <w:p w14:paraId="37FA22A3" w14:textId="77777777" w:rsidR="002902C7" w:rsidRPr="005564DB" w:rsidRDefault="002902C7" w:rsidP="002902C7">
      <w:pPr>
        <w:keepNext/>
      </w:pPr>
      <w:r w:rsidRPr="005564DB">
        <w:t>For the purposes of the present document, the abbreviations given in 3GPP TR 21.905 [1] and the following apply. An abbreviation defined in the present document takes precedence over the definition of the same abbreviation, if any, in 3GPP TR 21.905 [1].</w:t>
      </w:r>
    </w:p>
    <w:p w14:paraId="28151899" w14:textId="77777777" w:rsidR="00137E92" w:rsidRPr="00F95B02" w:rsidRDefault="00137E92" w:rsidP="00137E92">
      <w:pPr>
        <w:pStyle w:val="EW"/>
      </w:pPr>
      <w:r w:rsidRPr="00F95B02">
        <w:rPr>
          <w:lang w:eastAsia="zh-CN"/>
        </w:rPr>
        <w:t>AA</w:t>
      </w:r>
      <w:r w:rsidRPr="00F95B02">
        <w:rPr>
          <w:lang w:eastAsia="zh-CN"/>
        </w:rPr>
        <w:tab/>
        <w:t>Antenna Array</w:t>
      </w:r>
    </w:p>
    <w:p w14:paraId="4C5D60DA" w14:textId="77777777" w:rsidR="00137E92" w:rsidRPr="00F95B02" w:rsidRDefault="00137E92" w:rsidP="00137E92">
      <w:pPr>
        <w:pStyle w:val="EW"/>
      </w:pPr>
      <w:r w:rsidRPr="00F95B02">
        <w:t>ACLR</w:t>
      </w:r>
      <w:r w:rsidRPr="00F95B02">
        <w:tab/>
        <w:t>Adjacent Channel Leakage Ratio</w:t>
      </w:r>
    </w:p>
    <w:p w14:paraId="355958AC" w14:textId="77777777" w:rsidR="00137E92" w:rsidRPr="00F95B02" w:rsidRDefault="00137E92" w:rsidP="00137E92">
      <w:pPr>
        <w:pStyle w:val="EW"/>
      </w:pPr>
      <w:r w:rsidRPr="00F95B02">
        <w:t>ACS</w:t>
      </w:r>
      <w:r w:rsidRPr="00F95B02">
        <w:tab/>
        <w:t>Adjacent Channel Selectivity</w:t>
      </w:r>
    </w:p>
    <w:p w14:paraId="3FAB9148" w14:textId="77777777" w:rsidR="00137E92" w:rsidRPr="00F95B02" w:rsidRDefault="00137E92" w:rsidP="00137E92">
      <w:pPr>
        <w:pStyle w:val="EW"/>
      </w:pPr>
      <w:r w:rsidRPr="00F95B02">
        <w:t>AoA</w:t>
      </w:r>
      <w:r w:rsidRPr="00F95B02">
        <w:tab/>
        <w:t>Angle of Arrival</w:t>
      </w:r>
    </w:p>
    <w:p w14:paraId="33F145FB" w14:textId="77777777" w:rsidR="00137E92" w:rsidRDefault="00137E92" w:rsidP="00137E92">
      <w:pPr>
        <w:pStyle w:val="EW"/>
      </w:pPr>
      <w:r w:rsidRPr="00F95B02">
        <w:rPr>
          <w:lang w:eastAsia="zh-CN"/>
        </w:rPr>
        <w:t>AWGN</w:t>
      </w:r>
      <w:r w:rsidRPr="00F95B02">
        <w:rPr>
          <w:lang w:eastAsia="zh-CN"/>
        </w:rPr>
        <w:tab/>
      </w:r>
      <w:r w:rsidRPr="00F95B02">
        <w:t>Additive White Gaussian Noise</w:t>
      </w:r>
    </w:p>
    <w:p w14:paraId="4A168B52" w14:textId="77777777" w:rsidR="00137E92" w:rsidRPr="009C5807" w:rsidRDefault="00137E92" w:rsidP="00137E92">
      <w:pPr>
        <w:pStyle w:val="EW"/>
      </w:pPr>
      <w:r w:rsidRPr="009C5807">
        <w:t>BFD</w:t>
      </w:r>
      <w:r w:rsidRPr="009C5807">
        <w:tab/>
        <w:t>Beam Failure Detection</w:t>
      </w:r>
    </w:p>
    <w:p w14:paraId="5DEB9A29" w14:textId="77777777" w:rsidR="00137E92" w:rsidRPr="009C5807" w:rsidRDefault="00137E92" w:rsidP="00137E92">
      <w:pPr>
        <w:pStyle w:val="EW"/>
      </w:pPr>
      <w:r w:rsidRPr="009C5807">
        <w:t>BFD-RS</w:t>
      </w:r>
      <w:r w:rsidRPr="009C5807">
        <w:tab/>
        <w:t>BFD Reference Signal</w:t>
      </w:r>
    </w:p>
    <w:p w14:paraId="3285FAC6" w14:textId="77777777" w:rsidR="00137E92" w:rsidRPr="009C5807" w:rsidRDefault="00137E92" w:rsidP="00137E92">
      <w:pPr>
        <w:pStyle w:val="EW"/>
      </w:pPr>
      <w:r w:rsidRPr="009C5807">
        <w:t>BLER</w:t>
      </w:r>
      <w:r w:rsidRPr="009C5807">
        <w:tab/>
        <w:t>Block Error Rate</w:t>
      </w:r>
    </w:p>
    <w:p w14:paraId="58F25CA3" w14:textId="77777777" w:rsidR="00137E92" w:rsidRDefault="00137E92" w:rsidP="00137E92">
      <w:pPr>
        <w:pStyle w:val="EW"/>
      </w:pPr>
      <w:r w:rsidRPr="009C5807">
        <w:t>BM-RS</w:t>
      </w:r>
      <w:r w:rsidRPr="009C5807">
        <w:tab/>
        <w:t>Beam Management Reference Signal</w:t>
      </w:r>
    </w:p>
    <w:p w14:paraId="64D8C9D5" w14:textId="77777777" w:rsidR="00137E92" w:rsidRPr="00F95B02" w:rsidRDefault="00137E92" w:rsidP="00137E92">
      <w:pPr>
        <w:pStyle w:val="EW"/>
      </w:pPr>
      <w:r w:rsidRPr="00F95B02">
        <w:t>BS</w:t>
      </w:r>
      <w:r w:rsidRPr="00F95B02">
        <w:tab/>
        <w:t>Base Station</w:t>
      </w:r>
    </w:p>
    <w:p w14:paraId="6BC3CA71" w14:textId="77777777" w:rsidR="00137E92" w:rsidRPr="00F95B02" w:rsidRDefault="00137E92" w:rsidP="00137E92">
      <w:pPr>
        <w:pStyle w:val="EW"/>
      </w:pPr>
      <w:r w:rsidRPr="00F95B02">
        <w:t>BW</w:t>
      </w:r>
      <w:r w:rsidRPr="00F95B02">
        <w:tab/>
        <w:t>Bandwidth</w:t>
      </w:r>
    </w:p>
    <w:p w14:paraId="513A37A0" w14:textId="77777777" w:rsidR="00137E92" w:rsidRPr="009C5807" w:rsidRDefault="00137E92" w:rsidP="00137E92">
      <w:pPr>
        <w:pStyle w:val="EW"/>
      </w:pPr>
      <w:r w:rsidRPr="009C5807">
        <w:t>BWP</w:t>
      </w:r>
      <w:r w:rsidRPr="009C5807">
        <w:tab/>
        <w:t>Bandwidth Part</w:t>
      </w:r>
    </w:p>
    <w:p w14:paraId="4174E897" w14:textId="77777777" w:rsidR="00137E92" w:rsidRPr="00F95B02" w:rsidRDefault="00137E92" w:rsidP="00137E92">
      <w:pPr>
        <w:pStyle w:val="EW"/>
      </w:pPr>
      <w:r w:rsidRPr="00F95B02">
        <w:t>CA</w:t>
      </w:r>
      <w:r w:rsidRPr="00F95B02">
        <w:tab/>
        <w:t>Carrier Aggregation</w:t>
      </w:r>
    </w:p>
    <w:p w14:paraId="3D0BBF2C" w14:textId="77777777" w:rsidR="00137E92" w:rsidRPr="00F95B02" w:rsidRDefault="00137E92" w:rsidP="00137E92">
      <w:pPr>
        <w:pStyle w:val="EW"/>
      </w:pPr>
      <w:r w:rsidRPr="00F95B02">
        <w:t>CACLR</w:t>
      </w:r>
      <w:r w:rsidRPr="00F95B02">
        <w:tab/>
        <w:t>Cumulative ACLR</w:t>
      </w:r>
    </w:p>
    <w:p w14:paraId="06B1DE6B" w14:textId="77777777" w:rsidR="00137E92" w:rsidRPr="009C5807" w:rsidRDefault="00137E92" w:rsidP="00137E92">
      <w:pPr>
        <w:pStyle w:val="EW"/>
        <w:ind w:left="1701" w:hanging="1417"/>
        <w:rPr>
          <w:noProof/>
        </w:rPr>
      </w:pPr>
      <w:r w:rsidRPr="009C5807">
        <w:rPr>
          <w:noProof/>
        </w:rPr>
        <w:t>CBD</w:t>
      </w:r>
      <w:r w:rsidRPr="009C5807">
        <w:rPr>
          <w:noProof/>
        </w:rPr>
        <w:tab/>
        <w:t>Candidate Beam Detection</w:t>
      </w:r>
    </w:p>
    <w:p w14:paraId="70AE63C5" w14:textId="77777777" w:rsidR="00137E92" w:rsidRDefault="00137E92" w:rsidP="00723E43">
      <w:pPr>
        <w:pStyle w:val="EW"/>
      </w:pPr>
      <w:r w:rsidRPr="00197527">
        <w:t>CCE</w:t>
      </w:r>
      <w:r w:rsidRPr="00197527">
        <w:tab/>
        <w:t>Control Channel Element</w:t>
      </w:r>
    </w:p>
    <w:p w14:paraId="6D365F8B" w14:textId="77777777" w:rsidR="00137E92" w:rsidRPr="009C5807" w:rsidRDefault="00137E92" w:rsidP="00137E92">
      <w:pPr>
        <w:pStyle w:val="EW"/>
      </w:pPr>
      <w:r w:rsidRPr="009C5807">
        <w:t>CORESET</w:t>
      </w:r>
      <w:r w:rsidRPr="009C5807">
        <w:tab/>
        <w:t>Control Resource Set</w:t>
      </w:r>
    </w:p>
    <w:p w14:paraId="59FC55C0" w14:textId="77777777" w:rsidR="00137E92" w:rsidRPr="009C5807" w:rsidRDefault="00137E92" w:rsidP="00137E92">
      <w:pPr>
        <w:pStyle w:val="EW"/>
        <w:ind w:left="1701" w:hanging="1417"/>
        <w:rPr>
          <w:noProof/>
        </w:rPr>
      </w:pPr>
      <w:r w:rsidRPr="009C5807">
        <w:rPr>
          <w:noProof/>
        </w:rPr>
        <w:t>CP</w:t>
      </w:r>
      <w:r w:rsidRPr="009C5807">
        <w:rPr>
          <w:noProof/>
        </w:rPr>
        <w:tab/>
        <w:t>Cyclic Prefix</w:t>
      </w:r>
    </w:p>
    <w:p w14:paraId="40728323" w14:textId="77777777" w:rsidR="00137E92" w:rsidRPr="00F95B02" w:rsidRDefault="00137E92" w:rsidP="00137E92">
      <w:pPr>
        <w:pStyle w:val="EW"/>
      </w:pPr>
      <w:r w:rsidRPr="00F95B02">
        <w:t>CP-OFDM</w:t>
      </w:r>
      <w:r w:rsidRPr="00F95B02">
        <w:tab/>
        <w:t>Cyclic Prefix-OFDM</w:t>
      </w:r>
    </w:p>
    <w:p w14:paraId="041DAE22" w14:textId="77777777" w:rsidR="00137E92" w:rsidRPr="009C5807" w:rsidRDefault="00137E92" w:rsidP="00137E92">
      <w:pPr>
        <w:pStyle w:val="EW"/>
        <w:keepNext/>
      </w:pPr>
      <w:r w:rsidRPr="009C5807">
        <w:t>CSI</w:t>
      </w:r>
      <w:r w:rsidRPr="009C5807">
        <w:tab/>
        <w:t>Channel-State Information</w:t>
      </w:r>
    </w:p>
    <w:p w14:paraId="01AE0EB8" w14:textId="77777777" w:rsidR="00137E92" w:rsidRPr="009C5807" w:rsidRDefault="00137E92" w:rsidP="00137E92">
      <w:pPr>
        <w:pStyle w:val="EW"/>
        <w:keepNext/>
      </w:pPr>
      <w:r w:rsidRPr="009C5807">
        <w:t>CSI-RS</w:t>
      </w:r>
      <w:r w:rsidRPr="009C5807">
        <w:tab/>
        <w:t>CSI Reference Signal</w:t>
      </w:r>
    </w:p>
    <w:p w14:paraId="0D775D72" w14:textId="77777777" w:rsidR="00137E92" w:rsidRPr="00F95B02" w:rsidRDefault="00137E92" w:rsidP="00137E92">
      <w:pPr>
        <w:pStyle w:val="EW"/>
      </w:pPr>
      <w:r w:rsidRPr="00F95B02">
        <w:t>CW</w:t>
      </w:r>
      <w:r w:rsidRPr="00F95B02">
        <w:tab/>
        <w:t>Continuous Wave</w:t>
      </w:r>
    </w:p>
    <w:p w14:paraId="3748A586" w14:textId="77777777" w:rsidR="00137E92" w:rsidRPr="009C5807" w:rsidRDefault="00137E92" w:rsidP="00137E92">
      <w:pPr>
        <w:pStyle w:val="EW"/>
      </w:pPr>
      <w:r w:rsidRPr="009C5807">
        <w:t>DCI</w:t>
      </w:r>
      <w:r w:rsidRPr="009C5807">
        <w:tab/>
        <w:t>Downlink Control Information</w:t>
      </w:r>
    </w:p>
    <w:p w14:paraId="7902DE9E" w14:textId="77777777" w:rsidR="00137E92" w:rsidRPr="009C5807" w:rsidRDefault="00137E92" w:rsidP="00137E92">
      <w:pPr>
        <w:pStyle w:val="EW"/>
      </w:pPr>
      <w:r w:rsidRPr="009C5807">
        <w:t>DL</w:t>
      </w:r>
      <w:r w:rsidRPr="009C5807">
        <w:tab/>
        <w:t>Downlink</w:t>
      </w:r>
    </w:p>
    <w:p w14:paraId="7E234489" w14:textId="77777777" w:rsidR="00137E92" w:rsidRDefault="00137E92" w:rsidP="00137E92">
      <w:pPr>
        <w:pStyle w:val="EW"/>
      </w:pPr>
      <w:r w:rsidRPr="00197527">
        <w:t>DMRS</w:t>
      </w:r>
      <w:r w:rsidRPr="00197527">
        <w:tab/>
        <w:t>Demodulation Reference Signal</w:t>
      </w:r>
    </w:p>
    <w:p w14:paraId="2A0946C3" w14:textId="77777777" w:rsidR="00137E92" w:rsidRPr="00F95B02" w:rsidRDefault="00137E92" w:rsidP="00137E92">
      <w:pPr>
        <w:pStyle w:val="EW"/>
      </w:pPr>
      <w:r w:rsidRPr="00F95B02">
        <w:t>DM-RS</w:t>
      </w:r>
      <w:r w:rsidRPr="00F95B02">
        <w:tab/>
        <w:t>Demodulation Reference Signal</w:t>
      </w:r>
    </w:p>
    <w:p w14:paraId="40EC7E95" w14:textId="77777777" w:rsidR="00137E92" w:rsidRPr="009C5807" w:rsidRDefault="00137E92" w:rsidP="00137E92">
      <w:pPr>
        <w:pStyle w:val="EW"/>
      </w:pPr>
      <w:r w:rsidRPr="009C5807">
        <w:t>DRX</w:t>
      </w:r>
      <w:r w:rsidRPr="009C5807">
        <w:tab/>
        <w:t>Discontinuous Reception</w:t>
      </w:r>
    </w:p>
    <w:p w14:paraId="4BC0E881" w14:textId="77777777" w:rsidR="00137E92" w:rsidRPr="00F95B02" w:rsidRDefault="00137E92" w:rsidP="00137E92">
      <w:pPr>
        <w:pStyle w:val="EW"/>
      </w:pPr>
      <w:r w:rsidRPr="00F95B02">
        <w:lastRenderedPageBreak/>
        <w:t>EIS</w:t>
      </w:r>
      <w:r w:rsidRPr="00F95B02">
        <w:tab/>
        <w:t>Equivalent Isotropic Sensitivity</w:t>
      </w:r>
    </w:p>
    <w:p w14:paraId="42A4768D" w14:textId="77777777" w:rsidR="00137E92" w:rsidRPr="00F95B02" w:rsidRDefault="00137E92" w:rsidP="00137E92">
      <w:pPr>
        <w:pStyle w:val="EW"/>
      </w:pPr>
      <w:r w:rsidRPr="00F95B02">
        <w:t>EIRP</w:t>
      </w:r>
      <w:r w:rsidRPr="00F95B02">
        <w:tab/>
        <w:t>Equivalent Isotropic Radiated Power</w:t>
      </w:r>
    </w:p>
    <w:p w14:paraId="3A64E952" w14:textId="77777777" w:rsidR="00137E92" w:rsidRPr="00F95B02" w:rsidRDefault="00137E92" w:rsidP="00137E92">
      <w:pPr>
        <w:pStyle w:val="EW"/>
      </w:pPr>
      <w:r w:rsidRPr="00F95B02">
        <w:t>E-UTRA</w:t>
      </w:r>
      <w:r w:rsidRPr="00F95B02">
        <w:tab/>
        <w:t>Evolved UTRA</w:t>
      </w:r>
    </w:p>
    <w:p w14:paraId="4C57D06C" w14:textId="77777777" w:rsidR="00137E92" w:rsidRPr="00F95B02" w:rsidRDefault="00137E92" w:rsidP="00137E92">
      <w:pPr>
        <w:pStyle w:val="EW"/>
        <w:rPr>
          <w:rFonts w:cs="v4.2.0"/>
        </w:rPr>
      </w:pPr>
      <w:r w:rsidRPr="00F95B02">
        <w:rPr>
          <w:rFonts w:cs="v4.2.0"/>
        </w:rPr>
        <w:t>EVM</w:t>
      </w:r>
      <w:r w:rsidRPr="00F95B02">
        <w:rPr>
          <w:rFonts w:cs="v4.2.0"/>
        </w:rPr>
        <w:tab/>
        <w:t>Error Vector Magnitude</w:t>
      </w:r>
    </w:p>
    <w:p w14:paraId="5FE38CB5" w14:textId="77777777" w:rsidR="00137E92" w:rsidRPr="00F95B02" w:rsidRDefault="00137E92" w:rsidP="00137E92">
      <w:pPr>
        <w:pStyle w:val="EW"/>
      </w:pPr>
      <w:r w:rsidRPr="00F95B02">
        <w:t>FBW</w:t>
      </w:r>
      <w:r w:rsidRPr="00F95B02">
        <w:tab/>
        <w:t>Fractional Bandwidth</w:t>
      </w:r>
    </w:p>
    <w:p w14:paraId="3799F4EA" w14:textId="77777777" w:rsidR="00137E92" w:rsidRPr="00F95B02" w:rsidRDefault="00137E92" w:rsidP="00137E92">
      <w:pPr>
        <w:pStyle w:val="EW"/>
      </w:pPr>
      <w:r w:rsidRPr="00F95B02">
        <w:t>FR</w:t>
      </w:r>
      <w:r w:rsidRPr="00F95B02">
        <w:tab/>
        <w:t>Frequency Range</w:t>
      </w:r>
    </w:p>
    <w:p w14:paraId="285583D6" w14:textId="77777777" w:rsidR="00137E92" w:rsidRPr="00F95B02" w:rsidRDefault="00137E92" w:rsidP="00137E92">
      <w:pPr>
        <w:pStyle w:val="EW"/>
      </w:pPr>
      <w:r w:rsidRPr="00F95B02">
        <w:rPr>
          <w:lang w:eastAsia="zh-CN"/>
        </w:rPr>
        <w:t>FRC</w:t>
      </w:r>
      <w:r w:rsidRPr="00F95B02">
        <w:rPr>
          <w:lang w:eastAsia="zh-CN"/>
        </w:rPr>
        <w:tab/>
        <w:t>Fixed Reference Channel</w:t>
      </w:r>
    </w:p>
    <w:p w14:paraId="73AF5F83" w14:textId="77777777" w:rsidR="00137E92" w:rsidRPr="00F95B02" w:rsidRDefault="00137E92" w:rsidP="00137E92">
      <w:pPr>
        <w:pStyle w:val="EW"/>
      </w:pPr>
      <w:r w:rsidRPr="00F95B02">
        <w:t>GSM</w:t>
      </w:r>
      <w:r w:rsidRPr="00F95B02">
        <w:tab/>
        <w:t>Global System for Mobile communications</w:t>
      </w:r>
    </w:p>
    <w:p w14:paraId="29F01C54" w14:textId="77777777" w:rsidR="00137E92" w:rsidRDefault="00137E92" w:rsidP="00137E92">
      <w:pPr>
        <w:pStyle w:val="EW"/>
      </w:pPr>
      <w:r>
        <w:t>IAB</w:t>
      </w:r>
      <w:r>
        <w:tab/>
        <w:t>Integrated Access and Backhaul</w:t>
      </w:r>
    </w:p>
    <w:p w14:paraId="7B7B802E" w14:textId="77777777" w:rsidR="00137E92" w:rsidRDefault="00137E92" w:rsidP="00137E92">
      <w:pPr>
        <w:pStyle w:val="EW"/>
      </w:pPr>
      <w:r>
        <w:t>IAB-DU</w:t>
      </w:r>
      <w:r>
        <w:tab/>
        <w:t>IAB Distribution Unit</w:t>
      </w:r>
    </w:p>
    <w:p w14:paraId="4BF1515B" w14:textId="77777777" w:rsidR="00137E92" w:rsidRDefault="00137E92" w:rsidP="00137E92">
      <w:pPr>
        <w:pStyle w:val="EW"/>
      </w:pPr>
      <w:r>
        <w:t>IAB-MT</w:t>
      </w:r>
      <w:r>
        <w:tab/>
        <w:t>IAB Mobile Termination</w:t>
      </w:r>
      <w:r w:rsidRPr="00F95B02">
        <w:t xml:space="preserve"> </w:t>
      </w:r>
    </w:p>
    <w:p w14:paraId="03CAF896" w14:textId="77777777" w:rsidR="00137E92" w:rsidRPr="00F95B02" w:rsidRDefault="00137E92" w:rsidP="00137E92">
      <w:pPr>
        <w:pStyle w:val="EW"/>
      </w:pPr>
      <w:r w:rsidRPr="00F95B02">
        <w:t>ITU</w:t>
      </w:r>
      <w:r w:rsidRPr="00F95B02">
        <w:noBreakHyphen/>
        <w:t>R</w:t>
      </w:r>
      <w:r w:rsidRPr="00F95B02">
        <w:tab/>
        <w:t>Radiocommunication Sector of the International Telecommunication Union</w:t>
      </w:r>
    </w:p>
    <w:p w14:paraId="1CAF54E2" w14:textId="77777777" w:rsidR="00137E92" w:rsidRPr="00F95B02" w:rsidRDefault="00137E92" w:rsidP="00137E92">
      <w:pPr>
        <w:pStyle w:val="EW"/>
      </w:pPr>
      <w:r w:rsidRPr="00F95B02">
        <w:t>ICS</w:t>
      </w:r>
      <w:r w:rsidRPr="00F95B02">
        <w:tab/>
        <w:t>In-Channel Selectivity</w:t>
      </w:r>
    </w:p>
    <w:p w14:paraId="0D581308" w14:textId="77777777" w:rsidR="00137E92" w:rsidRPr="009C5807" w:rsidRDefault="00137E92" w:rsidP="00137E92">
      <w:pPr>
        <w:pStyle w:val="EW"/>
      </w:pPr>
      <w:r w:rsidRPr="009C5807">
        <w:t>L1-RSRP</w:t>
      </w:r>
      <w:r w:rsidRPr="009C5807">
        <w:tab/>
        <w:t>Layer 1 RSRP</w:t>
      </w:r>
    </w:p>
    <w:p w14:paraId="06DEE4D7" w14:textId="77777777" w:rsidR="00137E92" w:rsidRPr="00F95B02" w:rsidRDefault="00137E92" w:rsidP="00137E92">
      <w:pPr>
        <w:pStyle w:val="EW"/>
      </w:pPr>
      <w:r w:rsidRPr="00F95B02">
        <w:t>LA</w:t>
      </w:r>
      <w:r w:rsidRPr="00F95B02">
        <w:tab/>
        <w:t>Local Area</w:t>
      </w:r>
    </w:p>
    <w:p w14:paraId="2FFDB1CC" w14:textId="77777777" w:rsidR="00137E92" w:rsidRPr="00F95B02" w:rsidRDefault="00137E92" w:rsidP="00137E92">
      <w:pPr>
        <w:pStyle w:val="EW"/>
      </w:pPr>
      <w:r w:rsidRPr="00F95B02">
        <w:t>MCS</w:t>
      </w:r>
      <w:r w:rsidRPr="00F95B02">
        <w:tab/>
        <w:t>Modulation and Coding Scheme</w:t>
      </w:r>
    </w:p>
    <w:p w14:paraId="329AA099" w14:textId="77777777" w:rsidR="00137E92" w:rsidRPr="009C5807" w:rsidRDefault="00137E92" w:rsidP="00137E92">
      <w:pPr>
        <w:pStyle w:val="EW"/>
      </w:pPr>
      <w:r w:rsidRPr="009C5807">
        <w:t>MGRP</w:t>
      </w:r>
      <w:r w:rsidRPr="009C5807">
        <w:tab/>
        <w:t>Measurement Gap Repetition Period</w:t>
      </w:r>
    </w:p>
    <w:p w14:paraId="710FDDFA" w14:textId="77777777" w:rsidR="00137E92" w:rsidRPr="00F95B02" w:rsidRDefault="00137E92" w:rsidP="00137E92">
      <w:pPr>
        <w:pStyle w:val="EW"/>
      </w:pPr>
      <w:r w:rsidRPr="00F95B02">
        <w:t>MR</w:t>
      </w:r>
      <w:r w:rsidRPr="00F95B02">
        <w:tab/>
        <w:t>Medium Range</w:t>
      </w:r>
    </w:p>
    <w:p w14:paraId="08C3BC34" w14:textId="77777777" w:rsidR="00137E92" w:rsidRPr="00F95B02" w:rsidRDefault="00137E92" w:rsidP="00137E92">
      <w:pPr>
        <w:pStyle w:val="EW"/>
      </w:pPr>
      <w:r w:rsidRPr="00F95B02">
        <w:rPr>
          <w:lang w:val="en-US" w:eastAsia="zh-CN"/>
        </w:rPr>
        <w:t>NB-IoT</w:t>
      </w:r>
      <w:r w:rsidRPr="00F95B02">
        <w:rPr>
          <w:lang w:val="en-US" w:eastAsia="zh-CN"/>
        </w:rPr>
        <w:tab/>
        <w:t>Narrowband – Internet of Things</w:t>
      </w:r>
    </w:p>
    <w:p w14:paraId="5817DE72" w14:textId="77777777" w:rsidR="00137E92" w:rsidRPr="00F95B02" w:rsidRDefault="00137E92" w:rsidP="00137E92">
      <w:pPr>
        <w:pStyle w:val="EW"/>
      </w:pPr>
      <w:r w:rsidRPr="00F95B02">
        <w:t>NR</w:t>
      </w:r>
      <w:r w:rsidRPr="00F95B02">
        <w:tab/>
        <w:t>New Radio</w:t>
      </w:r>
    </w:p>
    <w:p w14:paraId="26BDA72A" w14:textId="77777777" w:rsidR="00137E92" w:rsidRPr="00F95B02" w:rsidRDefault="00137E92" w:rsidP="00137E92">
      <w:pPr>
        <w:pStyle w:val="EW"/>
      </w:pPr>
      <w:r w:rsidRPr="00F95B02">
        <w:t>NR-ARFCN</w:t>
      </w:r>
      <w:r w:rsidRPr="00F95B02">
        <w:tab/>
        <w:t>NR Absolute Radio Frequency Channel Number</w:t>
      </w:r>
    </w:p>
    <w:p w14:paraId="54C2B160" w14:textId="77777777" w:rsidR="00137E92" w:rsidRPr="00F95B02" w:rsidRDefault="00137E92" w:rsidP="00137E92">
      <w:pPr>
        <w:pStyle w:val="EW"/>
      </w:pPr>
      <w:r w:rsidRPr="00F95B02">
        <w:t>OBUE</w:t>
      </w:r>
      <w:r w:rsidRPr="00F95B02">
        <w:tab/>
        <w:t>Operating Band Unwanted Emissions</w:t>
      </w:r>
    </w:p>
    <w:p w14:paraId="4C1B95C7" w14:textId="77777777" w:rsidR="00137E92" w:rsidRPr="00F95B02" w:rsidRDefault="00137E92" w:rsidP="00137E92">
      <w:pPr>
        <w:pStyle w:val="EW"/>
        <w:rPr>
          <w:lang w:val="en-US" w:eastAsia="zh-CN"/>
        </w:rPr>
      </w:pPr>
      <w:r w:rsidRPr="00F95B02">
        <w:t>OOB</w:t>
      </w:r>
      <w:r w:rsidRPr="00F95B02">
        <w:tab/>
        <w:t>Out-of-band</w:t>
      </w:r>
    </w:p>
    <w:p w14:paraId="594DCE54" w14:textId="77777777" w:rsidR="00137E92" w:rsidRPr="00F95B02" w:rsidRDefault="00137E92" w:rsidP="00137E92">
      <w:pPr>
        <w:pStyle w:val="EW"/>
      </w:pPr>
      <w:r w:rsidRPr="00C8449A">
        <w:t>OSDD</w:t>
      </w:r>
      <w:r w:rsidRPr="00F95B02">
        <w:tab/>
        <w:t>OTA Sensitivity Directions Declaration</w:t>
      </w:r>
    </w:p>
    <w:p w14:paraId="18F160F5" w14:textId="77777777" w:rsidR="00137E92" w:rsidRPr="009C5807" w:rsidRDefault="00137E92" w:rsidP="00137E92">
      <w:pPr>
        <w:pStyle w:val="EW"/>
      </w:pPr>
      <w:r w:rsidRPr="00F95B02">
        <w:t>OTA</w:t>
      </w:r>
      <w:r w:rsidRPr="00F95B02">
        <w:tab/>
        <w:t>Over-The-Air</w:t>
      </w:r>
    </w:p>
    <w:p w14:paraId="7F2154D1" w14:textId="77777777" w:rsidR="00137E92" w:rsidRPr="009C5807" w:rsidRDefault="00137E92" w:rsidP="00137E92">
      <w:pPr>
        <w:pStyle w:val="EW"/>
      </w:pPr>
      <w:bookmarkStart w:id="162" w:name="_Hlk54343829"/>
      <w:r w:rsidRPr="009C5807">
        <w:t>PCell</w:t>
      </w:r>
      <w:r w:rsidRPr="009C5807">
        <w:tab/>
        <w:t>Primary Cell</w:t>
      </w:r>
      <w:bookmarkEnd w:id="162"/>
    </w:p>
    <w:p w14:paraId="3CBFD082" w14:textId="77777777" w:rsidR="00137E92" w:rsidRPr="00A736A7" w:rsidRDefault="00137E92" w:rsidP="00681DC0">
      <w:pPr>
        <w:pStyle w:val="EW"/>
      </w:pPr>
      <w:r w:rsidRPr="00A736A7">
        <w:t>PDCCH</w:t>
      </w:r>
      <w:r w:rsidRPr="00A736A7">
        <w:tab/>
        <w:t>Physical Downlink Control Channel</w:t>
      </w:r>
    </w:p>
    <w:p w14:paraId="25AEEB5D" w14:textId="77777777" w:rsidR="00137E92" w:rsidRPr="00A736A7" w:rsidRDefault="00137E92" w:rsidP="00681DC0">
      <w:pPr>
        <w:pStyle w:val="EW"/>
      </w:pPr>
      <w:r w:rsidRPr="00A736A7">
        <w:t>PDSCH</w:t>
      </w:r>
      <w:r w:rsidRPr="00A736A7">
        <w:tab/>
        <w:t>Physical Downlink Shared Channel</w:t>
      </w:r>
    </w:p>
    <w:p w14:paraId="428803FC" w14:textId="77777777" w:rsidR="00137E92" w:rsidRPr="00E51578" w:rsidRDefault="00137E92" w:rsidP="00681DC0">
      <w:pPr>
        <w:pStyle w:val="EW"/>
      </w:pPr>
      <w:r w:rsidRPr="00197527">
        <w:t>PCell</w:t>
      </w:r>
      <w:r w:rsidRPr="00197527">
        <w:tab/>
        <w:t>Primary Cell</w:t>
      </w:r>
    </w:p>
    <w:p w14:paraId="639A4DF6" w14:textId="77777777" w:rsidR="00137E92" w:rsidRPr="00A736A7" w:rsidRDefault="00137E92" w:rsidP="00681DC0">
      <w:pPr>
        <w:pStyle w:val="EW"/>
      </w:pPr>
      <w:r w:rsidRPr="00A736A7">
        <w:t>PRACH</w:t>
      </w:r>
      <w:r w:rsidRPr="00A736A7">
        <w:tab/>
        <w:t>Physical RACH</w:t>
      </w:r>
    </w:p>
    <w:p w14:paraId="31ADD393" w14:textId="77777777" w:rsidR="00137E92" w:rsidRPr="009C5807" w:rsidRDefault="00137E92" w:rsidP="00681DC0">
      <w:pPr>
        <w:pStyle w:val="EW"/>
      </w:pPr>
      <w:r w:rsidRPr="009C5807">
        <w:t>PDCCH</w:t>
      </w:r>
      <w:r w:rsidRPr="009C5807">
        <w:tab/>
        <w:t>Physical Downlink Control Channel</w:t>
      </w:r>
    </w:p>
    <w:p w14:paraId="749A75E2" w14:textId="77777777" w:rsidR="00137E92" w:rsidRPr="009C5807" w:rsidRDefault="00137E92" w:rsidP="00681DC0">
      <w:pPr>
        <w:pStyle w:val="EW"/>
      </w:pPr>
      <w:r w:rsidRPr="009C5807">
        <w:t>PDSCH</w:t>
      </w:r>
      <w:r w:rsidRPr="009C5807">
        <w:tab/>
        <w:t>Physical Downlink Shared Channel</w:t>
      </w:r>
    </w:p>
    <w:p w14:paraId="64A943E1" w14:textId="77777777" w:rsidR="00137E92" w:rsidRDefault="00137E92" w:rsidP="00137E92">
      <w:pPr>
        <w:pStyle w:val="EW"/>
      </w:pPr>
      <w:r w:rsidRPr="009C5807">
        <w:t>PRACH</w:t>
      </w:r>
      <w:r w:rsidRPr="009C5807">
        <w:tab/>
        <w:t>Physical RACH</w:t>
      </w:r>
    </w:p>
    <w:p w14:paraId="4C9DF46A" w14:textId="77777777" w:rsidR="00137E92" w:rsidRPr="009C5807" w:rsidRDefault="00137E92" w:rsidP="00137E92">
      <w:pPr>
        <w:pStyle w:val="EW"/>
      </w:pPr>
      <w:r w:rsidRPr="00F95B02">
        <w:rPr>
          <w:lang w:eastAsia="zh-CN"/>
        </w:rPr>
        <w:t>PRB</w:t>
      </w:r>
      <w:r w:rsidRPr="00F95B02">
        <w:rPr>
          <w:lang w:eastAsia="zh-CN"/>
        </w:rPr>
        <w:tab/>
      </w:r>
      <w:r w:rsidRPr="00F95B02">
        <w:t>Physical Resource Block</w:t>
      </w:r>
    </w:p>
    <w:p w14:paraId="62B67301" w14:textId="77777777" w:rsidR="00137E92" w:rsidRPr="00197527" w:rsidRDefault="00137E92" w:rsidP="00137E92">
      <w:pPr>
        <w:pStyle w:val="EW"/>
      </w:pPr>
      <w:r w:rsidRPr="00197527">
        <w:t>PSCell</w:t>
      </w:r>
      <w:r w:rsidRPr="00197527">
        <w:tab/>
        <w:t>Primary SCell</w:t>
      </w:r>
    </w:p>
    <w:p w14:paraId="0C66C7CE" w14:textId="77777777" w:rsidR="00137E92" w:rsidRPr="00E51578" w:rsidRDefault="00137E92" w:rsidP="00137E92">
      <w:pPr>
        <w:pStyle w:val="EW"/>
      </w:pPr>
      <w:r w:rsidRPr="00197527">
        <w:t>PSS</w:t>
      </w:r>
      <w:r w:rsidRPr="00197527">
        <w:tab/>
        <w:t>Primary Synchronization Signal</w:t>
      </w:r>
    </w:p>
    <w:p w14:paraId="5E0BE687" w14:textId="77777777" w:rsidR="00137E92" w:rsidRPr="009C5807" w:rsidRDefault="00137E92" w:rsidP="00137E92">
      <w:pPr>
        <w:pStyle w:val="EW"/>
      </w:pPr>
      <w:r w:rsidRPr="009C5807">
        <w:t>pTAG</w:t>
      </w:r>
      <w:r w:rsidRPr="009C5807">
        <w:tab/>
        <w:t>Primary Timing Advance Group</w:t>
      </w:r>
    </w:p>
    <w:p w14:paraId="0997A7D5" w14:textId="77777777" w:rsidR="00137E92" w:rsidRPr="009C5807" w:rsidRDefault="00137E92" w:rsidP="00137E92">
      <w:pPr>
        <w:pStyle w:val="EW"/>
      </w:pPr>
      <w:r w:rsidRPr="009C5807">
        <w:t>PUCCH</w:t>
      </w:r>
      <w:r w:rsidRPr="009C5807">
        <w:tab/>
        <w:t>Physical Uplink Control Channel</w:t>
      </w:r>
    </w:p>
    <w:p w14:paraId="1A0E413E" w14:textId="77777777" w:rsidR="00137E92" w:rsidRDefault="00137E92" w:rsidP="00137E92">
      <w:pPr>
        <w:pStyle w:val="EW"/>
      </w:pPr>
      <w:r w:rsidRPr="009C5807">
        <w:t>PUSCH</w:t>
      </w:r>
      <w:r w:rsidRPr="009C5807">
        <w:tab/>
        <w:t>Physical Uplink Shared Channel</w:t>
      </w:r>
    </w:p>
    <w:p w14:paraId="2FE9971B" w14:textId="77777777" w:rsidR="00137E92" w:rsidRPr="00F95B02" w:rsidRDefault="00137E92" w:rsidP="00137E92">
      <w:pPr>
        <w:pStyle w:val="EW"/>
        <w:rPr>
          <w:lang w:val="fr-FR"/>
        </w:rPr>
      </w:pPr>
      <w:r w:rsidRPr="00F95B02">
        <w:rPr>
          <w:lang w:val="fr-FR"/>
        </w:rPr>
        <w:t>QAM</w:t>
      </w:r>
      <w:r w:rsidRPr="00F95B02">
        <w:rPr>
          <w:lang w:val="fr-FR"/>
        </w:rPr>
        <w:tab/>
        <w:t>Quadrature Amplitude Modulation</w:t>
      </w:r>
    </w:p>
    <w:p w14:paraId="2F56A766" w14:textId="77777777" w:rsidR="00137E92" w:rsidRPr="009C5807" w:rsidRDefault="00137E92" w:rsidP="00137E92">
      <w:pPr>
        <w:pStyle w:val="EW"/>
      </w:pPr>
      <w:bookmarkStart w:id="163" w:name="OLE_LINK17"/>
      <w:r w:rsidRPr="009C5807">
        <w:t>QCL</w:t>
      </w:r>
      <w:r w:rsidRPr="009C5807">
        <w:tab/>
        <w:t>Quasi Co-Location</w:t>
      </w:r>
    </w:p>
    <w:p w14:paraId="2A60BD90" w14:textId="77777777" w:rsidR="00137E92" w:rsidRPr="00F95B02" w:rsidRDefault="00137E92" w:rsidP="00137E92">
      <w:pPr>
        <w:pStyle w:val="EW"/>
        <w:rPr>
          <w:lang w:val="fr-FR" w:eastAsia="zh-CN"/>
        </w:rPr>
      </w:pPr>
      <w:r w:rsidRPr="00F95B02">
        <w:rPr>
          <w:lang w:val="fr-FR"/>
        </w:rPr>
        <w:t>RB</w:t>
      </w:r>
      <w:r w:rsidRPr="00F95B02">
        <w:rPr>
          <w:lang w:val="fr-FR"/>
        </w:rPr>
        <w:tab/>
        <w:t>Resource Bloc</w:t>
      </w:r>
      <w:bookmarkEnd w:id="163"/>
      <w:r w:rsidRPr="00F95B02">
        <w:rPr>
          <w:rFonts w:hint="eastAsia"/>
          <w:lang w:val="fr-FR" w:eastAsia="zh-CN"/>
        </w:rPr>
        <w:t>k</w:t>
      </w:r>
    </w:p>
    <w:p w14:paraId="5C54F80E" w14:textId="77777777" w:rsidR="00137E92" w:rsidRPr="00F95B02" w:rsidRDefault="00137E92" w:rsidP="00137E92">
      <w:pPr>
        <w:pStyle w:val="EW"/>
      </w:pPr>
      <w:r w:rsidRPr="00F95B02">
        <w:t>RDN</w:t>
      </w:r>
      <w:r w:rsidRPr="00F95B02">
        <w:tab/>
        <w:t>Radio Distribution Network</w:t>
      </w:r>
    </w:p>
    <w:p w14:paraId="42BD1A83" w14:textId="77777777" w:rsidR="00137E92" w:rsidRPr="00F95B02" w:rsidRDefault="00137E92" w:rsidP="00137E92">
      <w:pPr>
        <w:pStyle w:val="EW"/>
      </w:pPr>
      <w:r w:rsidRPr="00F95B02">
        <w:t>RE</w:t>
      </w:r>
      <w:r w:rsidRPr="00F95B02">
        <w:tab/>
        <w:t>Resource Element</w:t>
      </w:r>
    </w:p>
    <w:p w14:paraId="6BAEDCDE" w14:textId="77777777" w:rsidR="00137E92" w:rsidRPr="00F95B02" w:rsidRDefault="00137E92" w:rsidP="00137E92">
      <w:pPr>
        <w:pStyle w:val="EW"/>
      </w:pPr>
      <w:r w:rsidRPr="00F95B02">
        <w:t>REFSENS</w:t>
      </w:r>
      <w:r w:rsidRPr="00F95B02">
        <w:tab/>
        <w:t>Reference Sensitivity</w:t>
      </w:r>
    </w:p>
    <w:p w14:paraId="2E5C2337" w14:textId="77777777" w:rsidR="00137E92" w:rsidRPr="00E51578" w:rsidRDefault="00137E92" w:rsidP="00E452A8">
      <w:pPr>
        <w:pStyle w:val="EW"/>
      </w:pPr>
      <w:r w:rsidRPr="00197527">
        <w:t>REG</w:t>
      </w:r>
      <w:r w:rsidRPr="00197527">
        <w:tab/>
        <w:t>Resource Element Group</w:t>
      </w:r>
    </w:p>
    <w:p w14:paraId="1FBFC47B" w14:textId="77777777" w:rsidR="00137E92" w:rsidRPr="00F95B02" w:rsidRDefault="00137E92" w:rsidP="00137E92">
      <w:pPr>
        <w:pStyle w:val="EW"/>
        <w:rPr>
          <w:lang w:eastAsia="zh-CN"/>
        </w:rPr>
      </w:pPr>
      <w:r w:rsidRPr="00F95B02">
        <w:t>RF</w:t>
      </w:r>
      <w:r w:rsidRPr="00F95B02">
        <w:tab/>
        <w:t>Radio Frequency</w:t>
      </w:r>
    </w:p>
    <w:p w14:paraId="1AE171CF" w14:textId="77777777" w:rsidR="00137E92" w:rsidRPr="009C5807" w:rsidRDefault="00137E92" w:rsidP="00137E92">
      <w:pPr>
        <w:pStyle w:val="EW"/>
      </w:pPr>
      <w:r w:rsidRPr="00F95B02">
        <w:t>RIB</w:t>
      </w:r>
      <w:r w:rsidRPr="00F95B02">
        <w:tab/>
        <w:t>Radiated Interface Boundary</w:t>
      </w:r>
    </w:p>
    <w:p w14:paraId="55D7E4D8" w14:textId="77777777" w:rsidR="00137E92" w:rsidRPr="009C5807" w:rsidRDefault="00137E92" w:rsidP="00137E92">
      <w:pPr>
        <w:pStyle w:val="EW"/>
      </w:pPr>
      <w:r w:rsidRPr="009C5807">
        <w:t>RLM</w:t>
      </w:r>
      <w:r w:rsidRPr="009C5807">
        <w:tab/>
        <w:t>Radio Link Monitoring</w:t>
      </w:r>
    </w:p>
    <w:p w14:paraId="567319B8" w14:textId="77777777" w:rsidR="00137E92" w:rsidRPr="009C5807" w:rsidRDefault="00137E92" w:rsidP="00137E92">
      <w:pPr>
        <w:pStyle w:val="EW"/>
      </w:pPr>
      <w:r w:rsidRPr="009C5807">
        <w:t>RLM-RS</w:t>
      </w:r>
      <w:r w:rsidRPr="009C5807">
        <w:tab/>
        <w:t>Reference Signal for RLM</w:t>
      </w:r>
    </w:p>
    <w:p w14:paraId="18AE8D39" w14:textId="6A5E6229" w:rsidR="00137E92" w:rsidRDefault="00137E92" w:rsidP="00137E92">
      <w:pPr>
        <w:pStyle w:val="EW"/>
      </w:pPr>
    </w:p>
    <w:p w14:paraId="7B6C9454" w14:textId="77777777" w:rsidR="00137E92" w:rsidRPr="00F95B02" w:rsidRDefault="00137E92" w:rsidP="00137E92">
      <w:pPr>
        <w:pStyle w:val="EW"/>
      </w:pPr>
      <w:r w:rsidRPr="00F95B02">
        <w:t>RMS</w:t>
      </w:r>
      <w:r w:rsidRPr="00F95B02">
        <w:tab/>
        <w:t>Root Mean Square (value)</w:t>
      </w:r>
    </w:p>
    <w:p w14:paraId="0F834571" w14:textId="77777777" w:rsidR="00137E92" w:rsidRPr="00923B97" w:rsidRDefault="00137E92" w:rsidP="00137E92">
      <w:pPr>
        <w:pStyle w:val="EW"/>
      </w:pPr>
      <w:r w:rsidRPr="00F95B02">
        <w:t>RoAoA</w:t>
      </w:r>
      <w:r w:rsidRPr="00F95B02">
        <w:tab/>
        <w:t xml:space="preserve">Range of Angles of Arrival </w:t>
      </w:r>
    </w:p>
    <w:p w14:paraId="3A0BBB52" w14:textId="77777777" w:rsidR="00137E92" w:rsidRPr="009C5807" w:rsidRDefault="00137E92" w:rsidP="00137E92">
      <w:pPr>
        <w:pStyle w:val="EW"/>
      </w:pPr>
      <w:r w:rsidRPr="009C5807">
        <w:t>RRC</w:t>
      </w:r>
      <w:r w:rsidRPr="009C5807">
        <w:tab/>
        <w:t>Radio Resource Control</w:t>
      </w:r>
    </w:p>
    <w:p w14:paraId="6F1E0643" w14:textId="77777777" w:rsidR="00137E92" w:rsidRDefault="00137E92" w:rsidP="00137E92">
      <w:pPr>
        <w:pStyle w:val="EW"/>
      </w:pPr>
      <w:r w:rsidRPr="009C5807">
        <w:t>RRM</w:t>
      </w:r>
      <w:r w:rsidRPr="009C5807">
        <w:tab/>
        <w:t>Radio Resource Management</w:t>
      </w:r>
    </w:p>
    <w:p w14:paraId="6DE3317F" w14:textId="77777777" w:rsidR="00137E92" w:rsidRDefault="00137E92" w:rsidP="00137E92">
      <w:pPr>
        <w:pStyle w:val="EW"/>
      </w:pPr>
      <w:r>
        <w:t>RX</w:t>
      </w:r>
      <w:r>
        <w:tab/>
        <w:t>Receiver</w:t>
      </w:r>
    </w:p>
    <w:p w14:paraId="3FEECA66" w14:textId="77777777" w:rsidR="00137E92" w:rsidRPr="009C5807" w:rsidRDefault="00137E92" w:rsidP="00137E92">
      <w:pPr>
        <w:pStyle w:val="EW"/>
      </w:pPr>
      <w:r w:rsidRPr="009C5807">
        <w:t>SCell</w:t>
      </w:r>
      <w:r w:rsidRPr="009C5807">
        <w:tab/>
        <w:t>Secondary Cell</w:t>
      </w:r>
    </w:p>
    <w:p w14:paraId="46D78F3C" w14:textId="77777777" w:rsidR="00137E92" w:rsidRDefault="00137E92" w:rsidP="00137E92">
      <w:pPr>
        <w:pStyle w:val="EW"/>
      </w:pPr>
      <w:r>
        <w:t>SCS</w:t>
      </w:r>
      <w:r>
        <w:tab/>
        <w:t>Sub-Carrier Spacing</w:t>
      </w:r>
      <w:r>
        <w:tab/>
      </w:r>
    </w:p>
    <w:p w14:paraId="569EC504" w14:textId="77777777" w:rsidR="00137E92" w:rsidRPr="009C5807" w:rsidRDefault="00137E92" w:rsidP="00137E92">
      <w:pPr>
        <w:pStyle w:val="EW"/>
      </w:pPr>
      <w:r w:rsidRPr="009C5807">
        <w:t>SMTC</w:t>
      </w:r>
      <w:r w:rsidRPr="009C5807">
        <w:tab/>
        <w:t>SSB-based Measurement Timing configuration</w:t>
      </w:r>
    </w:p>
    <w:p w14:paraId="23F90A97" w14:textId="77777777" w:rsidR="00137E92" w:rsidRPr="009C5807" w:rsidRDefault="00137E92" w:rsidP="00137E92">
      <w:pPr>
        <w:pStyle w:val="EW"/>
      </w:pPr>
      <w:r w:rsidRPr="009C5807">
        <w:t>SpCell</w:t>
      </w:r>
      <w:r w:rsidRPr="009C5807">
        <w:tab/>
        <w:t>Special Cell</w:t>
      </w:r>
    </w:p>
    <w:p w14:paraId="2417F80E" w14:textId="77777777" w:rsidR="00137E92" w:rsidRDefault="00137E92" w:rsidP="00137E92">
      <w:pPr>
        <w:pStyle w:val="EW"/>
        <w:keepNext/>
      </w:pPr>
      <w:r w:rsidRPr="009C5807">
        <w:lastRenderedPageBreak/>
        <w:t>SRS</w:t>
      </w:r>
      <w:r w:rsidRPr="009C5807">
        <w:tab/>
        <w:t>Sounding Reference Signal</w:t>
      </w:r>
    </w:p>
    <w:p w14:paraId="46940994" w14:textId="77777777" w:rsidR="00137E92" w:rsidRPr="009C5807" w:rsidRDefault="00137E92" w:rsidP="00137E92">
      <w:pPr>
        <w:pStyle w:val="EW"/>
        <w:keepNext/>
      </w:pPr>
      <w:r w:rsidRPr="009C5807">
        <w:t>SS-RSRP</w:t>
      </w:r>
      <w:r w:rsidRPr="009C5807">
        <w:tab/>
        <w:t>Synchronization Signal based Reference Signal Received Power</w:t>
      </w:r>
    </w:p>
    <w:p w14:paraId="38403A19" w14:textId="77777777" w:rsidR="00137E92" w:rsidRDefault="00137E92" w:rsidP="00137E92">
      <w:pPr>
        <w:pStyle w:val="EW"/>
      </w:pPr>
      <w:r>
        <w:t>SSB</w:t>
      </w:r>
      <w:r>
        <w:tab/>
        <w:t>Synchronization Signal Block</w:t>
      </w:r>
      <w:r>
        <w:tab/>
      </w:r>
    </w:p>
    <w:p w14:paraId="463BC2B5" w14:textId="3B5717D0" w:rsidR="005408A0" w:rsidRDefault="005408A0" w:rsidP="005408A0">
      <w:pPr>
        <w:pStyle w:val="EW"/>
      </w:pPr>
      <w:r>
        <w:t>SSB_RP</w:t>
      </w:r>
      <w:r>
        <w:tab/>
        <w:t xml:space="preserve">Received (linear) average power of the resource elements that carry NR SSB signals and channels, measured at the </w:t>
      </w:r>
      <w:r>
        <w:rPr>
          <w:rFonts w:eastAsia="SimSun"/>
          <w:lang w:val="en-US" w:eastAsia="zh-CN"/>
        </w:rPr>
        <w:t>IAB-MT</w:t>
      </w:r>
      <w:r>
        <w:rPr>
          <w:lang w:val="en-US"/>
        </w:rPr>
        <w:t xml:space="preserve"> </w:t>
      </w:r>
      <w:r>
        <w:rPr>
          <w:rFonts w:eastAsia="SimSun"/>
          <w:lang w:val="en-US" w:eastAsia="zh-CN"/>
        </w:rPr>
        <w:t>TAB</w:t>
      </w:r>
      <w:r>
        <w:t xml:space="preserve"> connector</w:t>
      </w:r>
      <w:r>
        <w:rPr>
          <w:rFonts w:eastAsia="SimSun"/>
          <w:lang w:val="en-US" w:eastAsia="zh-CN"/>
        </w:rPr>
        <w:t xml:space="preserve"> or RIB</w:t>
      </w:r>
      <w:r>
        <w:t>.</w:t>
      </w:r>
    </w:p>
    <w:p w14:paraId="7DA97F6E" w14:textId="77777777" w:rsidR="005408A0" w:rsidRDefault="005408A0" w:rsidP="005408A0">
      <w:pPr>
        <w:pStyle w:val="EW"/>
      </w:pPr>
      <w:r>
        <w:t>SSS</w:t>
      </w:r>
      <w:r>
        <w:tab/>
        <w:t xml:space="preserve">Secondary Synchronization Signal </w:t>
      </w:r>
    </w:p>
    <w:p w14:paraId="6A8A8B74" w14:textId="77777777" w:rsidR="005408A0" w:rsidRDefault="005408A0" w:rsidP="005408A0">
      <w:pPr>
        <w:pStyle w:val="EW"/>
      </w:pPr>
      <w:r>
        <w:t>TA</w:t>
      </w:r>
      <w:r>
        <w:tab/>
        <w:t>Timing Advance</w:t>
      </w:r>
    </w:p>
    <w:p w14:paraId="6014E1F1" w14:textId="77777777" w:rsidR="005408A0" w:rsidRDefault="005408A0" w:rsidP="005408A0">
      <w:pPr>
        <w:pStyle w:val="EW"/>
      </w:pPr>
      <w:r>
        <w:t>TAB</w:t>
      </w:r>
      <w:r>
        <w:tab/>
        <w:t>Transceiver Array Boundary</w:t>
      </w:r>
      <w:r>
        <w:tab/>
      </w:r>
    </w:p>
    <w:p w14:paraId="1C2CBD9C" w14:textId="77777777" w:rsidR="005408A0" w:rsidRDefault="005408A0" w:rsidP="005408A0">
      <w:pPr>
        <w:pStyle w:val="EW"/>
      </w:pPr>
      <w:r>
        <w:t>TCI</w:t>
      </w:r>
      <w:r>
        <w:tab/>
        <w:t>Transmission Configuration Indicator</w:t>
      </w:r>
    </w:p>
    <w:p w14:paraId="7B72C217" w14:textId="77777777" w:rsidR="005408A0" w:rsidRDefault="005408A0" w:rsidP="005408A0">
      <w:pPr>
        <w:pStyle w:val="EW"/>
      </w:pPr>
      <w:r>
        <w:t>TX</w:t>
      </w:r>
      <w:r>
        <w:tab/>
        <w:t>Transmitter</w:t>
      </w:r>
    </w:p>
    <w:p w14:paraId="7C8CE3F0" w14:textId="77777777" w:rsidR="005408A0" w:rsidRDefault="005408A0" w:rsidP="005408A0">
      <w:pPr>
        <w:pStyle w:val="EW"/>
      </w:pPr>
      <w:r>
        <w:t>TRP</w:t>
      </w:r>
      <w:r>
        <w:tab/>
        <w:t>Total Radiated Power</w:t>
      </w:r>
      <w:r>
        <w:tab/>
      </w:r>
    </w:p>
    <w:p w14:paraId="44116A7E" w14:textId="77777777" w:rsidR="005408A0" w:rsidRDefault="005408A0" w:rsidP="005408A0">
      <w:pPr>
        <w:pStyle w:val="EW"/>
      </w:pPr>
      <w:r>
        <w:t>UTRA</w:t>
      </w:r>
      <w:r>
        <w:tab/>
        <w:t>Universal Terrestrial Radio Access</w:t>
      </w:r>
    </w:p>
    <w:p w14:paraId="6B2F4ACC" w14:textId="77777777" w:rsidR="005408A0" w:rsidRDefault="005408A0" w:rsidP="005408A0">
      <w:pPr>
        <w:pStyle w:val="EW"/>
        <w:rPr>
          <w:i/>
          <w:color w:val="0000FF"/>
          <w:lang w:eastAsia="zh-CN"/>
        </w:rPr>
      </w:pPr>
      <w:r>
        <w:t>WA</w:t>
      </w:r>
      <w:r>
        <w:tab/>
        <w:t>Wide Area</w:t>
      </w:r>
    </w:p>
    <w:p w14:paraId="264151CB" w14:textId="77777777" w:rsidR="00540668" w:rsidRDefault="00540668" w:rsidP="002902C7">
      <w:pPr>
        <w:rPr>
          <w:rFonts w:eastAsiaTheme="minorEastAsia"/>
          <w:lang w:eastAsia="zh-CN"/>
        </w:rPr>
      </w:pPr>
    </w:p>
    <w:p w14:paraId="70B5B038" w14:textId="77777777" w:rsidR="00077B6E" w:rsidRDefault="00077B6E" w:rsidP="00077B6E">
      <w:pPr>
        <w:pStyle w:val="Heading1"/>
      </w:pPr>
      <w:bookmarkStart w:id="164" w:name="_Toc13080120"/>
      <w:bookmarkStart w:id="165" w:name="_Toc18916150"/>
      <w:bookmarkStart w:id="166" w:name="_Toc53185277"/>
      <w:bookmarkStart w:id="167" w:name="_Toc53185653"/>
      <w:bookmarkStart w:id="168" w:name="_Toc57820126"/>
      <w:bookmarkStart w:id="169" w:name="_Toc57821053"/>
      <w:bookmarkStart w:id="170" w:name="_Toc61183329"/>
      <w:bookmarkStart w:id="171" w:name="_Toc61183723"/>
      <w:bookmarkStart w:id="172" w:name="_Toc61184115"/>
      <w:bookmarkStart w:id="173" w:name="_Toc61184507"/>
      <w:bookmarkStart w:id="174" w:name="_Toc61184897"/>
      <w:bookmarkStart w:id="175" w:name="_Toc66386240"/>
      <w:bookmarkStart w:id="176" w:name="_Toc74583081"/>
      <w:bookmarkStart w:id="177" w:name="_Toc76541894"/>
      <w:bookmarkStart w:id="178" w:name="_Toc82449876"/>
      <w:bookmarkStart w:id="179" w:name="_Toc82450524"/>
      <w:bookmarkStart w:id="180" w:name="_Toc89948913"/>
      <w:bookmarkStart w:id="181" w:name="_Toc98755302"/>
      <w:bookmarkStart w:id="182" w:name="_Toc98762891"/>
      <w:bookmarkStart w:id="183" w:name="_Toc106183820"/>
      <w:r w:rsidRPr="007E346D">
        <w:t>4</w:t>
      </w:r>
      <w:r w:rsidRPr="007E346D">
        <w:tab/>
        <w:t>General</w:t>
      </w:r>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p>
    <w:p w14:paraId="102572E2" w14:textId="77777777" w:rsidR="00077B6E" w:rsidRDefault="00077B6E" w:rsidP="00077B6E">
      <w:pPr>
        <w:pStyle w:val="Heading2"/>
        <w:rPr>
          <w:rFonts w:eastAsiaTheme="minorEastAsia"/>
          <w:lang w:eastAsia="zh-CN"/>
        </w:rPr>
      </w:pPr>
      <w:bookmarkStart w:id="184" w:name="_Toc13080121"/>
      <w:bookmarkStart w:id="185" w:name="_Toc18916151"/>
      <w:bookmarkStart w:id="186" w:name="_Toc53185278"/>
      <w:bookmarkStart w:id="187" w:name="_Toc53185654"/>
      <w:bookmarkStart w:id="188" w:name="_Toc57820127"/>
      <w:bookmarkStart w:id="189" w:name="_Toc57821054"/>
      <w:bookmarkStart w:id="190" w:name="_Toc61183330"/>
      <w:bookmarkStart w:id="191" w:name="_Toc61183724"/>
      <w:bookmarkStart w:id="192" w:name="_Toc61184116"/>
      <w:bookmarkStart w:id="193" w:name="_Toc61184508"/>
      <w:bookmarkStart w:id="194" w:name="_Toc61184898"/>
      <w:bookmarkStart w:id="195" w:name="_Toc66386241"/>
      <w:bookmarkStart w:id="196" w:name="_Toc74583082"/>
      <w:bookmarkStart w:id="197" w:name="_Toc76541895"/>
      <w:bookmarkStart w:id="198" w:name="_Toc82449877"/>
      <w:bookmarkStart w:id="199" w:name="_Toc82450525"/>
      <w:bookmarkStart w:id="200" w:name="_Toc89948914"/>
      <w:bookmarkStart w:id="201" w:name="_Toc98755303"/>
      <w:bookmarkStart w:id="202" w:name="_Toc98762892"/>
      <w:bookmarkStart w:id="203" w:name="_Toc106183821"/>
      <w:r w:rsidRPr="007E346D">
        <w:t>4.1</w:t>
      </w:r>
      <w:r w:rsidRPr="007E346D">
        <w:tab/>
        <w:t>Relationship with other core specifications</w:t>
      </w:r>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p>
    <w:p w14:paraId="2C63F1FB" w14:textId="1956CF7D" w:rsidR="00137E92" w:rsidRPr="00E26D09" w:rsidRDefault="00137E92" w:rsidP="00137E92">
      <w:r w:rsidRPr="00E26D09">
        <w:t>The present document is a single-RAT specification for a</w:t>
      </w:r>
      <w:r>
        <w:t>n</w:t>
      </w:r>
      <w:r w:rsidRPr="00E26D09">
        <w:t xml:space="preserve"> </w:t>
      </w:r>
      <w:r>
        <w:t>IAB-DU and IAB-MT</w:t>
      </w:r>
      <w:r w:rsidRPr="00E26D09">
        <w:t xml:space="preserve">, covering </w:t>
      </w:r>
      <w:r w:rsidRPr="00E26D09">
        <w:rPr>
          <w:rFonts w:cs="v5.0.0"/>
        </w:rPr>
        <w:t>RF characteristics and minimum performance requirements</w:t>
      </w:r>
      <w:r>
        <w:rPr>
          <w:rFonts w:cs="v5.0.0"/>
        </w:rPr>
        <w:t xml:space="preserve"> </w:t>
      </w:r>
      <w:r w:rsidRPr="00FC0DDF">
        <w:rPr>
          <w:rFonts w:cs="v5.0.0"/>
        </w:rPr>
        <w:t>and RRM requirements for the IAB</w:t>
      </w:r>
      <w:r>
        <w:rPr>
          <w:rFonts w:cs="v5.0.0"/>
        </w:rPr>
        <w:t>-</w:t>
      </w:r>
      <w:r w:rsidRPr="00FC0DDF">
        <w:rPr>
          <w:rFonts w:cs="v5.0.0"/>
        </w:rPr>
        <w:t xml:space="preserve">MT. </w:t>
      </w:r>
      <w:r w:rsidRPr="00E26D09">
        <w:t xml:space="preserve">Conducted and radiated core requirements are defined for the </w:t>
      </w:r>
      <w:r>
        <w:t>IAB node</w:t>
      </w:r>
      <w:r w:rsidRPr="00E26D09">
        <w:t xml:space="preserve"> architectures and </w:t>
      </w:r>
      <w:r>
        <w:t>IAB node</w:t>
      </w:r>
      <w:r w:rsidRPr="00E26D09">
        <w:t xml:space="preserve"> types defined in subclause 4.3.</w:t>
      </w:r>
    </w:p>
    <w:p w14:paraId="6C1C6329" w14:textId="77777777" w:rsidR="00BE57B6" w:rsidRPr="00415E7F" w:rsidRDefault="00BE57B6" w:rsidP="00BE57B6">
      <w:r w:rsidRPr="00E26D09">
        <w:t>The applicability of each requ</w:t>
      </w:r>
      <w:r>
        <w:t>irement is described in clause 4.6</w:t>
      </w:r>
      <w:r w:rsidRPr="00E26D09">
        <w:t>.</w:t>
      </w:r>
    </w:p>
    <w:p w14:paraId="4629C2AB" w14:textId="77777777" w:rsidR="0004701B" w:rsidRPr="005913F7" w:rsidRDefault="0004701B" w:rsidP="005913F7">
      <w:pPr>
        <w:rPr>
          <w:rFonts w:eastAsiaTheme="minorEastAsia"/>
          <w:lang w:eastAsia="zh-CN"/>
        </w:rPr>
      </w:pPr>
    </w:p>
    <w:p w14:paraId="4B1DFC20" w14:textId="77777777" w:rsidR="00077B6E" w:rsidRDefault="00077B6E" w:rsidP="00077B6E">
      <w:pPr>
        <w:pStyle w:val="Heading2"/>
        <w:rPr>
          <w:rFonts w:eastAsiaTheme="minorEastAsia"/>
          <w:lang w:eastAsia="zh-CN"/>
        </w:rPr>
      </w:pPr>
      <w:bookmarkStart w:id="204" w:name="_Toc13080122"/>
      <w:bookmarkStart w:id="205" w:name="_Toc18916152"/>
      <w:bookmarkStart w:id="206" w:name="_Toc53185279"/>
      <w:bookmarkStart w:id="207" w:name="_Toc53185655"/>
      <w:bookmarkStart w:id="208" w:name="_Toc57820128"/>
      <w:bookmarkStart w:id="209" w:name="_Toc57821055"/>
      <w:bookmarkStart w:id="210" w:name="_Toc61183331"/>
      <w:bookmarkStart w:id="211" w:name="_Toc61183725"/>
      <w:bookmarkStart w:id="212" w:name="_Toc61184117"/>
      <w:bookmarkStart w:id="213" w:name="_Toc61184509"/>
      <w:bookmarkStart w:id="214" w:name="_Toc61184899"/>
      <w:bookmarkStart w:id="215" w:name="_Toc66386242"/>
      <w:bookmarkStart w:id="216" w:name="_Toc74583083"/>
      <w:bookmarkStart w:id="217" w:name="_Toc76541896"/>
      <w:bookmarkStart w:id="218" w:name="_Toc82449878"/>
      <w:bookmarkStart w:id="219" w:name="_Toc82450526"/>
      <w:bookmarkStart w:id="220" w:name="_Toc89948915"/>
      <w:bookmarkStart w:id="221" w:name="_Toc98755304"/>
      <w:bookmarkStart w:id="222" w:name="_Toc98762893"/>
      <w:bookmarkStart w:id="223" w:name="_Toc106183822"/>
      <w:r w:rsidRPr="007E346D">
        <w:t>4.2</w:t>
      </w:r>
      <w:r w:rsidRPr="007E346D">
        <w:tab/>
        <w:t>Relationship between minimum requirements and test requirements</w:t>
      </w:r>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p w14:paraId="5E0DA907" w14:textId="7751AEA1" w:rsidR="008C4CE6" w:rsidRDefault="008C4CE6" w:rsidP="008C4CE6">
      <w:pPr>
        <w:rPr>
          <w:rFonts w:eastAsia="Calibri"/>
        </w:rPr>
      </w:pPr>
      <w:r>
        <w:t xml:space="preserve">Conformance to the present specification is demonstrated by fulfilling the test requirements specified in the conformance specification TS 38.176-1 [25] and TS 38.176-2 [26]. </w:t>
      </w:r>
    </w:p>
    <w:p w14:paraId="4D1A5FFD" w14:textId="13A53ECB" w:rsidR="008C4CE6" w:rsidRDefault="008C4CE6" w:rsidP="008C4CE6">
      <w:pPr>
        <w:rPr>
          <w:rFonts w:cs="v5.0.0"/>
          <w:snapToGrid w:val="0"/>
        </w:rPr>
      </w:pPr>
      <w:r>
        <w:rPr>
          <w:rFonts w:cs="v5.0.0"/>
          <w:snapToGrid w:val="0"/>
        </w:rPr>
        <w:t>The minimum requirements given in this specification make no allowance for measurement uncertainty. The test specifications TS 38.176-1 [25] and TS 38.176-2 [26] define test tolerances. These test tolerances are individually calculated for each test. The test tolerances are used to relax the minimum requirements in this specification to create test requirements. For some requirements, including regulatory requirements, the test tolerance is set to zero.</w:t>
      </w:r>
    </w:p>
    <w:p w14:paraId="07E13CB6" w14:textId="77777777" w:rsidR="008C4CE6" w:rsidRDefault="008C4CE6" w:rsidP="008C4CE6">
      <w:pPr>
        <w:rPr>
          <w:rFonts w:cs="v5.0.0"/>
          <w:snapToGrid w:val="0"/>
        </w:rPr>
      </w:pPr>
      <w:r>
        <w:rPr>
          <w:rFonts w:cs="v5.0.0"/>
          <w:snapToGrid w:val="0"/>
        </w:rPr>
        <w:t>The measurement results returned by the test system are compared - without any modification - against the test requirements as defined by the shared risk principle.</w:t>
      </w:r>
    </w:p>
    <w:p w14:paraId="477B60EA" w14:textId="3D1DE047" w:rsidR="00C63639" w:rsidRPr="00E26D09" w:rsidRDefault="00C63639" w:rsidP="00C63639">
      <w:pPr>
        <w:rPr>
          <w:snapToGrid w:val="0"/>
        </w:rPr>
      </w:pPr>
      <w:r w:rsidRPr="00E26D09">
        <w:rPr>
          <w:rFonts w:cs="v5.0.0"/>
          <w:snapToGrid w:val="0"/>
        </w:rPr>
        <w:t xml:space="preserve">The shared risk principle is defined in recommendation </w:t>
      </w:r>
      <w:r w:rsidRPr="00FC0DDF">
        <w:rPr>
          <w:rFonts w:cs="v5.0.0"/>
          <w:snapToGrid w:val="0"/>
        </w:rPr>
        <w:t>ITU</w:t>
      </w:r>
      <w:r w:rsidRPr="00FC0DDF">
        <w:rPr>
          <w:rFonts w:cs="v5.0.0"/>
          <w:snapToGrid w:val="0"/>
        </w:rPr>
        <w:noBreakHyphen/>
        <w:t>R M.1545 [</w:t>
      </w:r>
      <w:r w:rsidR="00B17BCF" w:rsidRPr="00FC0DDF">
        <w:rPr>
          <w:rFonts w:cs="v5.0.0"/>
          <w:snapToGrid w:val="0"/>
        </w:rPr>
        <w:t>1</w:t>
      </w:r>
      <w:r w:rsidRPr="00FC0DDF">
        <w:rPr>
          <w:rFonts w:cs="v5.0.0"/>
          <w:snapToGrid w:val="0"/>
        </w:rPr>
        <w:t>8].</w:t>
      </w:r>
    </w:p>
    <w:p w14:paraId="33FACD1B" w14:textId="77777777" w:rsidR="0004701B" w:rsidRPr="005913F7" w:rsidRDefault="0004701B" w:rsidP="005913F7">
      <w:pPr>
        <w:rPr>
          <w:rFonts w:eastAsiaTheme="minorEastAsia"/>
          <w:lang w:eastAsia="zh-CN"/>
        </w:rPr>
      </w:pPr>
    </w:p>
    <w:p w14:paraId="379B5582" w14:textId="77777777" w:rsidR="00077B6E" w:rsidRDefault="00077B6E" w:rsidP="00077B6E">
      <w:pPr>
        <w:pStyle w:val="Heading2"/>
        <w:rPr>
          <w:rFonts w:eastAsiaTheme="minorEastAsia"/>
          <w:lang w:eastAsia="zh-CN"/>
        </w:rPr>
      </w:pPr>
      <w:bookmarkStart w:id="224" w:name="_Toc13080123"/>
      <w:bookmarkStart w:id="225" w:name="_Toc18916153"/>
      <w:bookmarkStart w:id="226" w:name="_Toc53185280"/>
      <w:bookmarkStart w:id="227" w:name="_Toc53185656"/>
      <w:bookmarkStart w:id="228" w:name="_Toc57820129"/>
      <w:bookmarkStart w:id="229" w:name="_Toc57821056"/>
      <w:bookmarkStart w:id="230" w:name="_Toc61183332"/>
      <w:bookmarkStart w:id="231" w:name="_Toc61183726"/>
      <w:bookmarkStart w:id="232" w:name="_Toc61184118"/>
      <w:bookmarkStart w:id="233" w:name="_Toc61184510"/>
      <w:bookmarkStart w:id="234" w:name="_Toc61184900"/>
      <w:bookmarkStart w:id="235" w:name="_Toc66386243"/>
      <w:bookmarkStart w:id="236" w:name="_Toc74583084"/>
      <w:bookmarkStart w:id="237" w:name="_Toc76541897"/>
      <w:bookmarkStart w:id="238" w:name="_Toc82449879"/>
      <w:bookmarkStart w:id="239" w:name="_Toc82450527"/>
      <w:bookmarkStart w:id="240" w:name="_Toc89948916"/>
      <w:bookmarkStart w:id="241" w:name="_Toc98755305"/>
      <w:bookmarkStart w:id="242" w:name="_Toc98762894"/>
      <w:bookmarkStart w:id="243" w:name="_Toc106183823"/>
      <w:r w:rsidRPr="007E346D">
        <w:rPr>
          <w:lang w:eastAsia="zh-CN"/>
        </w:rPr>
        <w:t>4.3</w:t>
      </w:r>
      <w:r w:rsidRPr="007E346D">
        <w:rPr>
          <w:lang w:eastAsia="zh-CN"/>
        </w:rPr>
        <w:tab/>
        <w:t>Conducted and radiated requirement reference points</w:t>
      </w:r>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01FDF48E" w14:textId="77777777" w:rsidR="0004701B" w:rsidRPr="005913F7" w:rsidRDefault="0004701B" w:rsidP="005913F7">
      <w:pPr>
        <w:rPr>
          <w:rFonts w:eastAsiaTheme="minorEastAsia"/>
          <w:lang w:eastAsia="zh-CN"/>
        </w:rPr>
      </w:pPr>
    </w:p>
    <w:p w14:paraId="309907B1" w14:textId="3937357F" w:rsidR="001773A4" w:rsidRDefault="001773A4" w:rsidP="001773A4">
      <w:pPr>
        <w:pStyle w:val="Heading3"/>
      </w:pPr>
      <w:bookmarkStart w:id="244" w:name="_Toc53185281"/>
      <w:bookmarkStart w:id="245" w:name="_Toc53185657"/>
      <w:bookmarkStart w:id="246" w:name="_Toc57820130"/>
      <w:bookmarkStart w:id="247" w:name="_Toc57821057"/>
      <w:bookmarkStart w:id="248" w:name="_Toc61183333"/>
      <w:bookmarkStart w:id="249" w:name="_Toc61183727"/>
      <w:bookmarkStart w:id="250" w:name="_Toc61184119"/>
      <w:bookmarkStart w:id="251" w:name="_Toc61184511"/>
      <w:bookmarkStart w:id="252" w:name="_Toc61184901"/>
      <w:bookmarkStart w:id="253" w:name="_Toc66386244"/>
      <w:bookmarkStart w:id="254" w:name="_Toc74583085"/>
      <w:bookmarkStart w:id="255" w:name="_Toc76541898"/>
      <w:bookmarkStart w:id="256" w:name="_Toc82449880"/>
      <w:bookmarkStart w:id="257" w:name="_Toc82450528"/>
      <w:bookmarkStart w:id="258" w:name="_Toc89948917"/>
      <w:bookmarkStart w:id="259" w:name="_Toc98755306"/>
      <w:bookmarkStart w:id="260" w:name="_Toc98762895"/>
      <w:bookmarkStart w:id="261" w:name="_Toc106183824"/>
      <w:bookmarkStart w:id="262" w:name="_Toc13080127"/>
      <w:bookmarkStart w:id="263" w:name="_Toc18916154"/>
      <w:r>
        <w:t>4.3.2</w:t>
      </w:r>
      <w:r w:rsidR="00AC7434">
        <w:tab/>
      </w:r>
      <w:r>
        <w:t>IAB type 1-H</w:t>
      </w:r>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23AD50D2" w14:textId="77777777" w:rsidR="00C8059F" w:rsidRPr="00E26D09" w:rsidRDefault="00C8059F" w:rsidP="00C8059F">
      <w:pPr>
        <w:rPr>
          <w:lang w:eastAsia="zh-CN"/>
        </w:rPr>
      </w:pPr>
      <w:r w:rsidRPr="00E26D09">
        <w:rPr>
          <w:lang w:eastAsia="zh-CN"/>
        </w:rPr>
        <w:t xml:space="preserve">For </w:t>
      </w:r>
      <w:r>
        <w:rPr>
          <w:i/>
          <w:lang w:eastAsia="zh-CN"/>
        </w:rPr>
        <w:t>IAB</w:t>
      </w:r>
      <w:r w:rsidRPr="00E26D09">
        <w:rPr>
          <w:i/>
          <w:lang w:eastAsia="zh-CN"/>
        </w:rPr>
        <w:t xml:space="preserve"> type 1-H</w:t>
      </w:r>
      <w:r w:rsidRPr="00E26D09">
        <w:rPr>
          <w:lang w:eastAsia="zh-CN"/>
        </w:rPr>
        <w:t>, the requirements are defined for two points of reference, signified by radiated requirements and conducted requirements.</w:t>
      </w:r>
    </w:p>
    <w:p w14:paraId="4B023EFD" w14:textId="77777777" w:rsidR="00C8059F" w:rsidRPr="00E26D09" w:rsidRDefault="00C8059F" w:rsidP="00C8059F">
      <w:pPr>
        <w:pStyle w:val="TH"/>
      </w:pPr>
      <w:r w:rsidRPr="00E26D09">
        <w:object w:dxaOrig="10801" w:dyaOrig="4410" w14:anchorId="48E8BD27">
          <v:shape id="_x0000_i1027" type="#_x0000_t75" style="width:482.4pt;height:194.4pt" o:ole="">
            <v:imagedata r:id="rId17" o:title=""/>
          </v:shape>
          <o:OLEObject Type="Embed" ProgID="Visio.Drawing.15" ShapeID="_x0000_i1027" DrawAspect="Content" ObjectID="_1734764409" r:id="rId18"/>
        </w:object>
      </w:r>
    </w:p>
    <w:p w14:paraId="30373A51" w14:textId="77777777" w:rsidR="00C8059F" w:rsidRPr="00E26D09" w:rsidRDefault="00C8059F" w:rsidP="009D1F1D">
      <w:pPr>
        <w:pStyle w:val="TF"/>
      </w:pPr>
      <w:r w:rsidRPr="00E26D09">
        <w:t xml:space="preserve">Figure 4.3.2-1: Radiated and conducted reference points for </w:t>
      </w:r>
      <w:r>
        <w:rPr>
          <w:i/>
        </w:rPr>
        <w:t>IAB</w:t>
      </w:r>
      <w:r w:rsidRPr="00E26D09">
        <w:rPr>
          <w:i/>
        </w:rPr>
        <w:t xml:space="preserve"> type 1-H</w:t>
      </w:r>
    </w:p>
    <w:p w14:paraId="51C4F710" w14:textId="77777777" w:rsidR="00C8059F" w:rsidRPr="00E26D09" w:rsidRDefault="00C8059F" w:rsidP="00C8059F">
      <w:pPr>
        <w:rPr>
          <w:lang w:eastAsia="zh-CN"/>
        </w:rPr>
      </w:pPr>
      <w:r w:rsidRPr="00E26D09">
        <w:rPr>
          <w:lang w:eastAsia="zh-CN"/>
        </w:rPr>
        <w:t xml:space="preserve">Radiated characteristics are defined over the air (OTA), where the </w:t>
      </w:r>
      <w:r w:rsidRPr="00E26D09">
        <w:rPr>
          <w:i/>
          <w:lang w:eastAsia="sv-SE"/>
        </w:rPr>
        <w:t>operating band</w:t>
      </w:r>
      <w:r w:rsidRPr="00E26D09">
        <w:rPr>
          <w:lang w:eastAsia="sv-SE"/>
        </w:rPr>
        <w:t xml:space="preserve"> specific</w:t>
      </w:r>
      <w:r w:rsidRPr="00E26D09">
        <w:rPr>
          <w:lang w:eastAsia="zh-CN"/>
        </w:rPr>
        <w:t xml:space="preserve"> radiated interface is referred to as the </w:t>
      </w:r>
      <w:r w:rsidRPr="00E26D09">
        <w:rPr>
          <w:i/>
          <w:lang w:eastAsia="zh-CN"/>
        </w:rPr>
        <w:t>Radiated Interface Boundary</w:t>
      </w:r>
      <w:r w:rsidRPr="00E26D09">
        <w:rPr>
          <w:lang w:eastAsia="zh-CN"/>
        </w:rPr>
        <w:t xml:space="preserve"> (RIB). Radiated requirements are also referred to as OTA requirements. The (spatial) characteristics in which the OTA requirements apply are detailed for each requirement.</w:t>
      </w:r>
    </w:p>
    <w:p w14:paraId="0C46FF27" w14:textId="77777777" w:rsidR="00C8059F" w:rsidRPr="00E26D09" w:rsidRDefault="00C8059F" w:rsidP="00C8059F">
      <w:pPr>
        <w:rPr>
          <w:lang w:eastAsia="zh-CN"/>
        </w:rPr>
      </w:pPr>
      <w:r w:rsidRPr="00E26D09">
        <w:rPr>
          <w:lang w:eastAsia="zh-CN"/>
        </w:rPr>
        <w:t xml:space="preserve">Conducted characteristics are defined at individual or groups of </w:t>
      </w:r>
      <w:r w:rsidRPr="00E26D09">
        <w:rPr>
          <w:i/>
          <w:lang w:eastAsia="zh-CN"/>
        </w:rPr>
        <w:t xml:space="preserve">TAB connectors </w:t>
      </w:r>
      <w:r w:rsidRPr="00E26D09">
        <w:rPr>
          <w:lang w:eastAsia="zh-CN"/>
        </w:rPr>
        <w:t xml:space="preserve">at the </w:t>
      </w:r>
      <w:r w:rsidRPr="00E26D09">
        <w:rPr>
          <w:i/>
          <w:lang w:eastAsia="zh-CN"/>
        </w:rPr>
        <w:t>transceiver array boundary</w:t>
      </w:r>
      <w:r w:rsidRPr="00E26D09">
        <w:rPr>
          <w:lang w:eastAsia="zh-CN"/>
        </w:rPr>
        <w:t>, which is the conducted interface between the transceiver unit array and the composite antenna.</w:t>
      </w:r>
    </w:p>
    <w:p w14:paraId="1AB72295" w14:textId="77777777" w:rsidR="00C8059F" w:rsidRPr="00E26D09" w:rsidRDefault="00C8059F" w:rsidP="00C8059F">
      <w:r w:rsidRPr="00E26D09">
        <w:t>The transceiver unit array is part of the composite transceiver functionality generating modulated transmit signal structures and performing receiver combining and demodulation.</w:t>
      </w:r>
    </w:p>
    <w:p w14:paraId="7EB6766E" w14:textId="77777777" w:rsidR="00C8059F" w:rsidRPr="00E26D09" w:rsidRDefault="00C8059F" w:rsidP="00C8059F">
      <w:pPr>
        <w:rPr>
          <w:lang w:eastAsia="zh-CN"/>
        </w:rPr>
      </w:pPr>
      <w:r w:rsidRPr="00E26D09">
        <w:rPr>
          <w:lang w:eastAsia="zh-CN"/>
        </w:rPr>
        <w:t>The transceiver unit array contains an implementation specific number of transmitter units and an implementation specific number of receiver units. Transmitter units and receiver units may be combined into transceiver units.</w:t>
      </w:r>
      <w:r w:rsidRPr="00E26D09">
        <w:rPr>
          <w:rFonts w:eastAsia="MS Mincho"/>
        </w:rPr>
        <w:t xml:space="preserve"> The transmitter/receiver units have the ability to transmit/receive </w:t>
      </w:r>
      <w:r w:rsidRPr="00E26D09">
        <w:t>parallel independent modulated symbol streams</w:t>
      </w:r>
      <w:r w:rsidRPr="00E26D09">
        <w:rPr>
          <w:rFonts w:eastAsia="MS Mincho"/>
        </w:rPr>
        <w:t>.</w:t>
      </w:r>
    </w:p>
    <w:p w14:paraId="38EA6507" w14:textId="77777777" w:rsidR="00C8059F" w:rsidRPr="00E26D09" w:rsidRDefault="00C8059F" w:rsidP="00C8059F">
      <w:pPr>
        <w:rPr>
          <w:lang w:eastAsia="zh-CN"/>
        </w:rPr>
      </w:pPr>
      <w:r w:rsidRPr="00E26D09">
        <w:rPr>
          <w:lang w:eastAsia="zh-CN"/>
        </w:rPr>
        <w:t xml:space="preserve">The composite antenna contains a radio distribution network (RDN) and an antenna array. The RDN is a </w:t>
      </w:r>
      <w:r w:rsidRPr="00E26D09">
        <w:t>linear passive network which distributes the RF power generated by the transceiver unit array to the antenna array, and/or distributes the radio signals collected by the antenna array to the transceiver unit array</w:t>
      </w:r>
      <w:r w:rsidRPr="00E26D09">
        <w:rPr>
          <w:lang w:eastAsia="zh-CN"/>
        </w:rPr>
        <w:t>, in an implementation specific way.</w:t>
      </w:r>
    </w:p>
    <w:p w14:paraId="13329C2E" w14:textId="77777777" w:rsidR="00C8059F" w:rsidRPr="00E26D09" w:rsidRDefault="00C8059F" w:rsidP="00C8059F">
      <w:pPr>
        <w:rPr>
          <w:lang w:eastAsia="zh-CN"/>
        </w:rPr>
      </w:pPr>
      <w:r w:rsidRPr="00E26D09">
        <w:t xml:space="preserve">How a conducted requirement is applied to the </w:t>
      </w:r>
      <w:r w:rsidRPr="00E26D09">
        <w:rPr>
          <w:i/>
        </w:rPr>
        <w:t>transceiver array boundary</w:t>
      </w:r>
      <w:r w:rsidRPr="00E26D09">
        <w:t xml:space="preserve"> is detailed in the respective requirement subclause</w:t>
      </w:r>
      <w:r w:rsidRPr="00E26D09">
        <w:rPr>
          <w:lang w:eastAsia="zh-CN"/>
        </w:rPr>
        <w:t>.</w:t>
      </w:r>
    </w:p>
    <w:p w14:paraId="31123F72" w14:textId="77777777" w:rsidR="00C8059F" w:rsidRPr="00C8059F" w:rsidRDefault="00C8059F" w:rsidP="002276DC"/>
    <w:p w14:paraId="0E6BA96A" w14:textId="6D32A8C7" w:rsidR="00C8059F" w:rsidRDefault="00C8059F">
      <w:pPr>
        <w:pStyle w:val="Heading3"/>
      </w:pPr>
      <w:bookmarkStart w:id="264" w:name="_Toc53185282"/>
      <w:bookmarkStart w:id="265" w:name="_Toc53185658"/>
      <w:bookmarkStart w:id="266" w:name="_Toc57820131"/>
      <w:bookmarkStart w:id="267" w:name="_Toc57821058"/>
      <w:bookmarkStart w:id="268" w:name="_Toc61183334"/>
      <w:bookmarkStart w:id="269" w:name="_Toc61183728"/>
      <w:bookmarkStart w:id="270" w:name="_Toc61184120"/>
      <w:bookmarkStart w:id="271" w:name="_Toc61184512"/>
      <w:bookmarkStart w:id="272" w:name="_Toc61184902"/>
      <w:bookmarkStart w:id="273" w:name="_Toc66386245"/>
      <w:bookmarkStart w:id="274" w:name="_Toc74583086"/>
      <w:bookmarkStart w:id="275" w:name="_Toc76541899"/>
      <w:bookmarkStart w:id="276" w:name="_Toc82449881"/>
      <w:bookmarkStart w:id="277" w:name="_Toc82450529"/>
      <w:bookmarkStart w:id="278" w:name="_Toc89948918"/>
      <w:bookmarkStart w:id="279" w:name="_Toc98755307"/>
      <w:bookmarkStart w:id="280" w:name="_Toc98762896"/>
      <w:bookmarkStart w:id="281" w:name="_Toc106183825"/>
      <w:r>
        <w:t>4.3.3</w:t>
      </w:r>
      <w:r w:rsidR="00AC7434">
        <w:tab/>
      </w:r>
      <w:r>
        <w:t>IAB type 1-O and IAB type 2-O</w:t>
      </w:r>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p>
    <w:p w14:paraId="349AA650" w14:textId="77777777" w:rsidR="00EF3F0C" w:rsidRPr="00E26D09" w:rsidRDefault="00EF3F0C" w:rsidP="00EF3F0C">
      <w:pPr>
        <w:rPr>
          <w:lang w:eastAsia="zh-CN"/>
        </w:rPr>
      </w:pPr>
      <w:r w:rsidRPr="00E26D09">
        <w:rPr>
          <w:lang w:eastAsia="zh-CN"/>
        </w:rPr>
        <w:t xml:space="preserve">For </w:t>
      </w:r>
      <w:r>
        <w:rPr>
          <w:i/>
          <w:lang w:eastAsia="zh-CN"/>
        </w:rPr>
        <w:t>IAB</w:t>
      </w:r>
      <w:r w:rsidRPr="00E26D09">
        <w:rPr>
          <w:i/>
          <w:lang w:eastAsia="zh-CN"/>
        </w:rPr>
        <w:t xml:space="preserve"> type 1-O</w:t>
      </w:r>
      <w:r w:rsidRPr="00E26D09">
        <w:rPr>
          <w:lang w:eastAsia="zh-CN"/>
        </w:rPr>
        <w:t xml:space="preserve"> and </w:t>
      </w:r>
      <w:r>
        <w:rPr>
          <w:i/>
          <w:lang w:eastAsia="zh-CN"/>
        </w:rPr>
        <w:t>IAB</w:t>
      </w:r>
      <w:r w:rsidRPr="00E26D09">
        <w:rPr>
          <w:i/>
          <w:lang w:eastAsia="zh-CN"/>
        </w:rPr>
        <w:t xml:space="preserve"> type 2-O</w:t>
      </w:r>
      <w:r w:rsidRPr="00E26D09">
        <w:rPr>
          <w:lang w:eastAsia="zh-CN"/>
        </w:rPr>
        <w:t xml:space="preserve">, the radiated characteristics are defined over the air (OTA), where the </w:t>
      </w:r>
      <w:r w:rsidRPr="00E26D09">
        <w:rPr>
          <w:i/>
          <w:lang w:eastAsia="sv-SE"/>
        </w:rPr>
        <w:t>operating band</w:t>
      </w:r>
      <w:r w:rsidRPr="00E26D09">
        <w:rPr>
          <w:lang w:eastAsia="sv-SE"/>
        </w:rPr>
        <w:t xml:space="preserve"> specific </w:t>
      </w:r>
      <w:r w:rsidRPr="00E26D09">
        <w:rPr>
          <w:lang w:eastAsia="zh-CN"/>
        </w:rPr>
        <w:t xml:space="preserve">radiated interface is referred to as the </w:t>
      </w:r>
      <w:r w:rsidRPr="00E26D09">
        <w:rPr>
          <w:i/>
          <w:lang w:eastAsia="zh-CN"/>
        </w:rPr>
        <w:t>Radiated Interface Boundary</w:t>
      </w:r>
      <w:r w:rsidRPr="00E26D09">
        <w:rPr>
          <w:lang w:eastAsia="zh-CN"/>
        </w:rPr>
        <w:t xml:space="preserve"> (RIB). Radiated requirements are also referred to as OTA requirements. The (spatial) characteristics in which the OTA requirements apply are detailed for each requirement.</w:t>
      </w:r>
    </w:p>
    <w:bookmarkStart w:id="282" w:name="_Hlk500328328"/>
    <w:p w14:paraId="2BEB0DAD" w14:textId="77777777" w:rsidR="00EF3F0C" w:rsidRPr="00E26D09" w:rsidRDefault="00EF3F0C" w:rsidP="00EF3F0C">
      <w:pPr>
        <w:pStyle w:val="TH"/>
      </w:pPr>
      <w:r w:rsidRPr="00E26D09">
        <w:object w:dxaOrig="6615" w:dyaOrig="3496" w14:anchorId="33A3F92B">
          <v:shape id="_x0000_i1028" type="#_x0000_t75" style="width:331.2pt;height:172.8pt" o:ole="">
            <v:imagedata r:id="rId19" o:title=""/>
          </v:shape>
          <o:OLEObject Type="Embed" ProgID="Visio.Drawing.15" ShapeID="_x0000_i1028" DrawAspect="Content" ObjectID="_1734764410" r:id="rId20"/>
        </w:object>
      </w:r>
    </w:p>
    <w:p w14:paraId="73786BAE" w14:textId="77777777" w:rsidR="00EF3F0C" w:rsidRPr="00E26D09" w:rsidRDefault="00EF3F0C" w:rsidP="00EF3F0C">
      <w:pPr>
        <w:pStyle w:val="TF"/>
      </w:pPr>
      <w:r w:rsidRPr="00E26D09">
        <w:t xml:space="preserve">Figure 4.3.3-1: Radiated reference points for </w:t>
      </w:r>
      <w:r>
        <w:rPr>
          <w:i/>
        </w:rPr>
        <w:t>IAB</w:t>
      </w:r>
      <w:r w:rsidRPr="00E26D09">
        <w:rPr>
          <w:i/>
        </w:rPr>
        <w:t xml:space="preserve"> type 1-O</w:t>
      </w:r>
      <w:r w:rsidRPr="00E26D09">
        <w:t xml:space="preserve"> and </w:t>
      </w:r>
      <w:r>
        <w:rPr>
          <w:i/>
        </w:rPr>
        <w:t>IAB</w:t>
      </w:r>
      <w:r w:rsidRPr="00E26D09">
        <w:rPr>
          <w:i/>
        </w:rPr>
        <w:t xml:space="preserve"> type 2-O</w:t>
      </w:r>
    </w:p>
    <w:bookmarkEnd w:id="282"/>
    <w:p w14:paraId="6B471FBA" w14:textId="36972449" w:rsidR="00137E92" w:rsidRPr="00E26D09" w:rsidRDefault="00137E92" w:rsidP="00137E92">
      <w:pPr>
        <w:rPr>
          <w:lang w:eastAsia="zh-CN"/>
        </w:rPr>
      </w:pPr>
      <w:r w:rsidRPr="00E26D09">
        <w:rPr>
          <w:lang w:eastAsia="zh-CN"/>
        </w:rPr>
        <w:t>For a</w:t>
      </w:r>
      <w:r>
        <w:rPr>
          <w:lang w:eastAsia="zh-CN"/>
        </w:rPr>
        <w:t>n</w:t>
      </w:r>
      <w:r w:rsidRPr="00E26D09">
        <w:rPr>
          <w:lang w:eastAsia="zh-CN"/>
        </w:rPr>
        <w:t xml:space="preserve"> </w:t>
      </w:r>
      <w:r>
        <w:rPr>
          <w:i/>
          <w:lang w:eastAsia="zh-CN"/>
        </w:rPr>
        <w:t>IAB-DU</w:t>
      </w:r>
      <w:r w:rsidRPr="00E26D09">
        <w:rPr>
          <w:i/>
          <w:lang w:eastAsia="zh-CN"/>
        </w:rPr>
        <w:t xml:space="preserve"> type 1-O</w:t>
      </w:r>
      <w:r w:rsidRPr="00E26D09">
        <w:rPr>
          <w:lang w:eastAsia="zh-CN"/>
        </w:rPr>
        <w:t xml:space="preserve"> the transceiver unit array must contain at least 8 transmitter units and at least 8 receiver units. Transmitter units and receiver units may be combined into transceiver units.</w:t>
      </w:r>
      <w:r w:rsidRPr="003A57F6">
        <w:rPr>
          <w:rFonts w:eastAsia="MS Mincho"/>
        </w:rPr>
        <w:t xml:space="preserve"> </w:t>
      </w:r>
      <w:r w:rsidRPr="00E26D09">
        <w:rPr>
          <w:rFonts w:eastAsia="MS Mincho"/>
        </w:rPr>
        <w:t xml:space="preserve">The transmitter/receiver units have the ability to transmit/receive </w:t>
      </w:r>
      <w:r w:rsidRPr="00E26D09">
        <w:t>parallel independent modulated symbol streams</w:t>
      </w:r>
      <w:r w:rsidRPr="00E26D09">
        <w:rPr>
          <w:rFonts w:eastAsia="MS Mincho"/>
        </w:rPr>
        <w:t>.</w:t>
      </w:r>
      <w:r>
        <w:rPr>
          <w:rFonts w:eastAsia="MS Mincho"/>
        </w:rPr>
        <w:t xml:space="preserve"> </w:t>
      </w:r>
    </w:p>
    <w:p w14:paraId="32C7D270" w14:textId="77777777" w:rsidR="00C8059F" w:rsidRPr="00C8059F" w:rsidRDefault="00C8059F" w:rsidP="00EF3F0C"/>
    <w:p w14:paraId="069B8C1C" w14:textId="135FE2C9" w:rsidR="00077B6E" w:rsidRDefault="00077B6E" w:rsidP="00077B6E">
      <w:pPr>
        <w:pStyle w:val="Heading2"/>
        <w:rPr>
          <w:rFonts w:eastAsiaTheme="minorEastAsia"/>
          <w:lang w:eastAsia="zh-CN"/>
        </w:rPr>
      </w:pPr>
      <w:bookmarkStart w:id="283" w:name="_Toc53185283"/>
      <w:bookmarkStart w:id="284" w:name="_Toc53185659"/>
      <w:bookmarkStart w:id="285" w:name="_Toc57820132"/>
      <w:bookmarkStart w:id="286" w:name="_Toc57821059"/>
      <w:bookmarkStart w:id="287" w:name="_Toc61183335"/>
      <w:bookmarkStart w:id="288" w:name="_Toc61183729"/>
      <w:bookmarkStart w:id="289" w:name="_Toc61184121"/>
      <w:bookmarkStart w:id="290" w:name="_Toc61184513"/>
      <w:bookmarkStart w:id="291" w:name="_Toc61184903"/>
      <w:bookmarkStart w:id="292" w:name="_Toc66386246"/>
      <w:bookmarkStart w:id="293" w:name="_Toc74583087"/>
      <w:bookmarkStart w:id="294" w:name="_Toc76541900"/>
      <w:bookmarkStart w:id="295" w:name="_Toc82449882"/>
      <w:bookmarkStart w:id="296" w:name="_Toc82450530"/>
      <w:bookmarkStart w:id="297" w:name="_Toc89948919"/>
      <w:bookmarkStart w:id="298" w:name="_Toc98755308"/>
      <w:bookmarkStart w:id="299" w:name="_Toc98762897"/>
      <w:bookmarkStart w:id="300" w:name="_Toc106183826"/>
      <w:r w:rsidRPr="007E346D">
        <w:t>4.4</w:t>
      </w:r>
      <w:r w:rsidR="00AC7434">
        <w:tab/>
      </w:r>
      <w:r w:rsidR="00175896">
        <w:rPr>
          <w:rFonts w:eastAsiaTheme="minorEastAsia" w:hint="eastAsia"/>
          <w:lang w:eastAsia="zh-CN"/>
        </w:rPr>
        <w:t>IAB</w:t>
      </w:r>
      <w:r w:rsidRPr="007E346D">
        <w:t xml:space="preserve"> classes</w:t>
      </w:r>
      <w:bookmarkEnd w:id="262"/>
      <w:bookmarkEnd w:id="263"/>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p>
    <w:p w14:paraId="5695A2AB" w14:textId="77777777" w:rsidR="00FC6A10" w:rsidRPr="00EE655F" w:rsidRDefault="00FC6A10" w:rsidP="00357409">
      <w:pPr>
        <w:pStyle w:val="Heading3"/>
      </w:pPr>
      <w:bookmarkStart w:id="301" w:name="_Toc53185284"/>
      <w:bookmarkStart w:id="302" w:name="_Toc53185660"/>
      <w:bookmarkStart w:id="303" w:name="_Toc57820133"/>
      <w:bookmarkStart w:id="304" w:name="_Toc57821060"/>
      <w:bookmarkStart w:id="305" w:name="_Toc61183336"/>
      <w:bookmarkStart w:id="306" w:name="_Toc61183730"/>
      <w:bookmarkStart w:id="307" w:name="_Toc61184122"/>
      <w:bookmarkStart w:id="308" w:name="_Toc61184514"/>
      <w:bookmarkStart w:id="309" w:name="_Toc61184904"/>
      <w:bookmarkStart w:id="310" w:name="_Toc66386247"/>
      <w:bookmarkStart w:id="311" w:name="_Toc74583088"/>
      <w:bookmarkStart w:id="312" w:name="_Toc76541901"/>
      <w:bookmarkStart w:id="313" w:name="_Toc82449883"/>
      <w:bookmarkStart w:id="314" w:name="_Toc82450531"/>
      <w:bookmarkStart w:id="315" w:name="_Toc89948920"/>
      <w:bookmarkStart w:id="316" w:name="_Toc98755309"/>
      <w:bookmarkStart w:id="317" w:name="_Toc98762898"/>
      <w:bookmarkStart w:id="318" w:name="_Toc106183827"/>
      <w:r>
        <w:rPr>
          <w:rFonts w:hint="eastAsia"/>
        </w:rPr>
        <w:t>4.4.1</w:t>
      </w:r>
      <w:r>
        <w:rPr>
          <w:rFonts w:hint="eastAsia"/>
        </w:rPr>
        <w:tab/>
      </w:r>
      <w:r>
        <w:t>IAB-DU classes</w:t>
      </w:r>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p>
    <w:p w14:paraId="458E67D1" w14:textId="77777777" w:rsidR="00FC6A10" w:rsidRPr="00E26D09" w:rsidRDefault="00FC6A10" w:rsidP="00FC6A10">
      <w:bookmarkStart w:id="319" w:name="_Hlk487019015"/>
      <w:bookmarkStart w:id="320" w:name="_Hlk497643052"/>
      <w:r w:rsidRPr="00E26D09">
        <w:t xml:space="preserve">The requirements in this specification apply to Wide Area </w:t>
      </w:r>
      <w:r>
        <w:t>IAB-DU</w:t>
      </w:r>
      <w:r w:rsidRPr="00E26D09">
        <w:t xml:space="preserve">, Medium Range </w:t>
      </w:r>
      <w:r>
        <w:t>IAB-DU</w:t>
      </w:r>
      <w:r w:rsidRPr="00E26D09">
        <w:t xml:space="preserve"> and Local Area </w:t>
      </w:r>
      <w:r>
        <w:t>IAB-DU</w:t>
      </w:r>
      <w:r w:rsidRPr="00E26D09">
        <w:t xml:space="preserve"> unless otherwise stated. The associated deployment scenarios for each class</w:t>
      </w:r>
      <w:r w:rsidRPr="00E26D09" w:rsidDel="00FE57B4">
        <w:t xml:space="preserve"> </w:t>
      </w:r>
      <w:r w:rsidRPr="00E26D09">
        <w:t xml:space="preserve">are exactly the same for </w:t>
      </w:r>
      <w:r>
        <w:t>IAB-DU</w:t>
      </w:r>
      <w:r w:rsidRPr="00E26D09">
        <w:t xml:space="preserve"> with and without connectors.</w:t>
      </w:r>
      <w:r>
        <w:t xml:space="preserve"> </w:t>
      </w:r>
    </w:p>
    <w:bookmarkEnd w:id="319"/>
    <w:p w14:paraId="033193C6" w14:textId="6E93EEE5" w:rsidR="00FC6A10" w:rsidRPr="00E26D09" w:rsidRDefault="00FC6A10" w:rsidP="00FC6A10">
      <w:r w:rsidRPr="00E26D09">
        <w:t xml:space="preserve">For </w:t>
      </w:r>
      <w:r>
        <w:t>IAB</w:t>
      </w:r>
      <w:r w:rsidRPr="00E26D09">
        <w:t xml:space="preserve"> </w:t>
      </w:r>
      <w:r w:rsidRPr="00E26D09">
        <w:rPr>
          <w:i/>
        </w:rPr>
        <w:t>type 1-O</w:t>
      </w:r>
      <w:r w:rsidRPr="00E26D09">
        <w:t xml:space="preserve"> and 2-O</w:t>
      </w:r>
      <w:r w:rsidRPr="00E26D09">
        <w:rPr>
          <w:lang w:eastAsia="zh-CN"/>
        </w:rPr>
        <w:t xml:space="preserve">, </w:t>
      </w:r>
      <w:r w:rsidR="00AE773D">
        <w:rPr>
          <w:lang w:eastAsia="zh-CN"/>
        </w:rPr>
        <w:t>IAB-DU</w:t>
      </w:r>
      <w:r w:rsidRPr="00E26D09">
        <w:rPr>
          <w:lang w:eastAsia="zh-CN"/>
        </w:rPr>
        <w:t xml:space="preserve"> classes</w:t>
      </w:r>
      <w:r w:rsidRPr="00E26D09">
        <w:t xml:space="preserve"> are defined as indicated below:</w:t>
      </w:r>
    </w:p>
    <w:p w14:paraId="1FFEB40D" w14:textId="77777777" w:rsidR="00FC6A10" w:rsidRPr="00E26D09" w:rsidRDefault="00FC6A10" w:rsidP="00FC6A10">
      <w:pPr>
        <w:pStyle w:val="B10"/>
      </w:pPr>
      <w:r w:rsidRPr="00E26D09">
        <w:t>-</w:t>
      </w:r>
      <w:r w:rsidRPr="00E26D09">
        <w:tab/>
        <w:t xml:space="preserve">Wide Area </w:t>
      </w:r>
      <w:r>
        <w:t>IAB-DU</w:t>
      </w:r>
      <w:r w:rsidRPr="00E26D09">
        <w:t xml:space="preserve"> are characterised by requirements derived from Macro Cell scenarios with a BS to UE minimum distance along the ground equal to 35 m.</w:t>
      </w:r>
    </w:p>
    <w:p w14:paraId="094E1525" w14:textId="77777777" w:rsidR="00FC6A10" w:rsidRPr="00E26D09" w:rsidRDefault="00FC6A10" w:rsidP="00FC6A10">
      <w:pPr>
        <w:pStyle w:val="B10"/>
      </w:pPr>
      <w:r w:rsidRPr="00E26D09">
        <w:t>-</w:t>
      </w:r>
      <w:r w:rsidRPr="00E26D09">
        <w:tab/>
        <w:t xml:space="preserve">Medium Range </w:t>
      </w:r>
      <w:r>
        <w:t>IAB-DU</w:t>
      </w:r>
      <w:r w:rsidRPr="00E26D09">
        <w:t xml:space="preserve"> are characterised by requirements derived from Micro Cell scenarios with a BS to UE minimum distance along the ground equal to 5 m.</w:t>
      </w:r>
    </w:p>
    <w:p w14:paraId="138DDC53" w14:textId="77777777" w:rsidR="00FC6A10" w:rsidRPr="00E26D09" w:rsidRDefault="00FC6A10" w:rsidP="00FC6A10">
      <w:pPr>
        <w:pStyle w:val="B10"/>
      </w:pPr>
      <w:r w:rsidRPr="00E26D09">
        <w:t>-</w:t>
      </w:r>
      <w:r w:rsidRPr="00E26D09">
        <w:tab/>
        <w:t xml:space="preserve">Local Area </w:t>
      </w:r>
      <w:r>
        <w:t>IAB-DU</w:t>
      </w:r>
      <w:r w:rsidRPr="00E26D09">
        <w:t xml:space="preserve"> are characterised by requirements derived from Pico Cell scenarios with a BS to UE minimum distance along the ground equal to 2 m.</w:t>
      </w:r>
    </w:p>
    <w:p w14:paraId="444A1240" w14:textId="1A6AF3D2" w:rsidR="00FC6A10" w:rsidRPr="00E26D09" w:rsidRDefault="00FC6A10" w:rsidP="00FC6A10">
      <w:r w:rsidRPr="00E26D09">
        <w:t xml:space="preserve">For </w:t>
      </w:r>
      <w:r>
        <w:rPr>
          <w:i/>
        </w:rPr>
        <w:t xml:space="preserve">IAB type </w:t>
      </w:r>
      <w:r w:rsidRPr="00E26D09">
        <w:t>1-H</w:t>
      </w:r>
      <w:r w:rsidRPr="00E26D09">
        <w:rPr>
          <w:lang w:eastAsia="zh-CN"/>
        </w:rPr>
        <w:t xml:space="preserve">, </w:t>
      </w:r>
      <w:r w:rsidR="00AE773D">
        <w:rPr>
          <w:lang w:eastAsia="zh-CN"/>
        </w:rPr>
        <w:t>IAB-DU</w:t>
      </w:r>
      <w:r w:rsidRPr="00E26D09">
        <w:rPr>
          <w:lang w:eastAsia="zh-CN"/>
        </w:rPr>
        <w:t xml:space="preserve"> classes</w:t>
      </w:r>
      <w:r w:rsidRPr="00E26D09">
        <w:t xml:space="preserve"> are defined as indicated below:</w:t>
      </w:r>
    </w:p>
    <w:p w14:paraId="68AB00A2" w14:textId="77777777" w:rsidR="00FC6A10" w:rsidRPr="00E26D09" w:rsidRDefault="00FC6A10" w:rsidP="00FC6A10">
      <w:pPr>
        <w:pStyle w:val="B10"/>
      </w:pPr>
      <w:r w:rsidRPr="00E26D09">
        <w:t>-</w:t>
      </w:r>
      <w:r w:rsidRPr="00E26D09">
        <w:tab/>
        <w:t xml:space="preserve">Wide Area </w:t>
      </w:r>
      <w:r>
        <w:t>IAB-DU</w:t>
      </w:r>
      <w:r w:rsidRPr="00E26D09">
        <w:t xml:space="preserve"> are characterised by requirements derived from Macro Cell scenarios with a BS to UE minimum coupling loss equal to 70 dB.</w:t>
      </w:r>
    </w:p>
    <w:p w14:paraId="03442976" w14:textId="77777777" w:rsidR="00FC6A10" w:rsidRPr="00E26D09" w:rsidRDefault="00FC6A10" w:rsidP="00FC6A10">
      <w:pPr>
        <w:pStyle w:val="B10"/>
      </w:pPr>
      <w:r w:rsidRPr="00E26D09">
        <w:t>-</w:t>
      </w:r>
      <w:r w:rsidRPr="00E26D09">
        <w:tab/>
        <w:t xml:space="preserve">Medium Range </w:t>
      </w:r>
      <w:r>
        <w:t>IAB-DU</w:t>
      </w:r>
      <w:r w:rsidRPr="00E26D09">
        <w:t xml:space="preserve"> are characterised by requirements derived from Micro Cell scenarios with a BS to UE minimum coupling loss equals to 53 dB.</w:t>
      </w:r>
    </w:p>
    <w:p w14:paraId="68F748D7" w14:textId="77777777" w:rsidR="00FC6A10" w:rsidRPr="00E26D09" w:rsidRDefault="00FC6A10" w:rsidP="00FC6A10">
      <w:pPr>
        <w:pStyle w:val="B10"/>
      </w:pPr>
      <w:r w:rsidRPr="00E26D09">
        <w:t>-</w:t>
      </w:r>
      <w:r w:rsidRPr="00E26D09">
        <w:tab/>
        <w:t xml:space="preserve">Local Area </w:t>
      </w:r>
      <w:r>
        <w:t>IAB-DU</w:t>
      </w:r>
      <w:r w:rsidRPr="00E26D09">
        <w:t xml:space="preserve"> are characterised by requirements derived from Pico Cell scenarios with a BS to UE minimum coupling loss equal to 45 dB.</w:t>
      </w:r>
      <w:bookmarkEnd w:id="320"/>
    </w:p>
    <w:p w14:paraId="71B24A0E" w14:textId="77777777" w:rsidR="00FC6A10" w:rsidRPr="00357409" w:rsidRDefault="00FC6A10" w:rsidP="00357409">
      <w:pPr>
        <w:rPr>
          <w:lang w:eastAsia="en-US"/>
        </w:rPr>
      </w:pPr>
    </w:p>
    <w:p w14:paraId="45AF1CAC" w14:textId="66552766" w:rsidR="00FC6A10" w:rsidRDefault="00FC6A10" w:rsidP="00FC6A10">
      <w:pPr>
        <w:pStyle w:val="Heading3"/>
      </w:pPr>
      <w:bookmarkStart w:id="321" w:name="_Toc53185285"/>
      <w:bookmarkStart w:id="322" w:name="_Toc53185661"/>
      <w:bookmarkStart w:id="323" w:name="_Toc57820134"/>
      <w:bookmarkStart w:id="324" w:name="_Toc57821061"/>
      <w:bookmarkStart w:id="325" w:name="_Toc61183337"/>
      <w:bookmarkStart w:id="326" w:name="_Toc61183731"/>
      <w:bookmarkStart w:id="327" w:name="_Toc61184123"/>
      <w:bookmarkStart w:id="328" w:name="_Toc61184515"/>
      <w:bookmarkStart w:id="329" w:name="_Toc61184905"/>
      <w:bookmarkStart w:id="330" w:name="_Toc66386248"/>
      <w:bookmarkStart w:id="331" w:name="_Toc74583089"/>
      <w:bookmarkStart w:id="332" w:name="_Toc76541902"/>
      <w:bookmarkStart w:id="333" w:name="_Toc82449884"/>
      <w:bookmarkStart w:id="334" w:name="_Toc82450532"/>
      <w:bookmarkStart w:id="335" w:name="_Toc89948921"/>
      <w:bookmarkStart w:id="336" w:name="_Toc98755310"/>
      <w:bookmarkStart w:id="337" w:name="_Toc98762899"/>
      <w:bookmarkStart w:id="338" w:name="_Toc106183828"/>
      <w:r>
        <w:rPr>
          <w:rFonts w:hint="eastAsia"/>
        </w:rPr>
        <w:t>4.4.</w:t>
      </w:r>
      <w:r>
        <w:t>2</w:t>
      </w:r>
      <w:r>
        <w:rPr>
          <w:rFonts w:hint="eastAsia"/>
        </w:rPr>
        <w:tab/>
      </w:r>
      <w:r>
        <w:t>IAB-MT classes</w:t>
      </w:r>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p>
    <w:p w14:paraId="0868CA4A" w14:textId="77777777" w:rsidR="00C01DB2" w:rsidRPr="00E14053" w:rsidRDefault="00C01DB2" w:rsidP="00C01DB2">
      <w:pPr>
        <w:rPr>
          <w:iCs/>
        </w:rPr>
      </w:pPr>
      <w:r w:rsidRPr="004B7FF0">
        <w:rPr>
          <w:iCs/>
        </w:rPr>
        <w:t>The requirements in this specification apply to Wide Area IAB-MT and Local Area IAB-MT</w:t>
      </w:r>
      <w:r>
        <w:rPr>
          <w:iCs/>
        </w:rPr>
        <w:t xml:space="preserve"> classes</w:t>
      </w:r>
      <w:r w:rsidRPr="004B7FF0">
        <w:rPr>
          <w:iCs/>
        </w:rPr>
        <w:t xml:space="preserve"> unless otherwise stated. </w:t>
      </w:r>
    </w:p>
    <w:p w14:paraId="37251D99" w14:textId="77777777" w:rsidR="00C01DB2" w:rsidRPr="004B7FF0" w:rsidRDefault="00C01DB2" w:rsidP="00C01DB2">
      <w:pPr>
        <w:rPr>
          <w:iCs/>
        </w:rPr>
      </w:pPr>
      <w:r w:rsidRPr="00DE05B1">
        <w:rPr>
          <w:iCs/>
        </w:rPr>
        <w:t xml:space="preserve">For IAB </w:t>
      </w:r>
      <w:r w:rsidRPr="004B7FF0">
        <w:rPr>
          <w:iCs/>
        </w:rPr>
        <w:t>type</w:t>
      </w:r>
      <w:r>
        <w:rPr>
          <w:iCs/>
        </w:rPr>
        <w:t xml:space="preserve"> 1-H,</w:t>
      </w:r>
      <w:r w:rsidRPr="004B7FF0">
        <w:rPr>
          <w:iCs/>
        </w:rPr>
        <w:t xml:space="preserve"> 1-O, </w:t>
      </w:r>
      <w:r>
        <w:rPr>
          <w:iCs/>
        </w:rPr>
        <w:t xml:space="preserve">and </w:t>
      </w:r>
      <w:r w:rsidRPr="004B7FF0">
        <w:rPr>
          <w:iCs/>
        </w:rPr>
        <w:t>2-O</w:t>
      </w:r>
      <w:r w:rsidRPr="004B7FF0">
        <w:rPr>
          <w:iCs/>
          <w:lang w:eastAsia="zh-CN"/>
        </w:rPr>
        <w:t>, IAB-MT classes</w:t>
      </w:r>
      <w:r w:rsidRPr="004B7FF0">
        <w:rPr>
          <w:iCs/>
        </w:rPr>
        <w:t xml:space="preserve"> are defined as indicated below:</w:t>
      </w:r>
    </w:p>
    <w:p w14:paraId="25ED5093" w14:textId="2AA014BA" w:rsidR="00C01DB2" w:rsidRPr="004B7FF0" w:rsidRDefault="00AC7434" w:rsidP="00AC7434">
      <w:pPr>
        <w:pStyle w:val="B10"/>
      </w:pPr>
      <w:r>
        <w:t>-</w:t>
      </w:r>
      <w:r>
        <w:tab/>
      </w:r>
      <w:r w:rsidR="00C01DB2" w:rsidRPr="004B7FF0">
        <w:t xml:space="preserve">Wide Area IAB-MT are </w:t>
      </w:r>
      <w:r w:rsidR="00C01DB2" w:rsidRPr="00CB5588">
        <w:t>characterised</w:t>
      </w:r>
      <w:r w:rsidR="00C01DB2">
        <w:t xml:space="preserve"> </w:t>
      </w:r>
      <w:r w:rsidR="00C01DB2" w:rsidRPr="004B7FF0">
        <w:t>by requirements derived from Macro Cell and</w:t>
      </w:r>
      <w:r w:rsidR="00C01DB2" w:rsidRPr="004B7FF0">
        <w:rPr>
          <w:lang w:eastAsia="zh-CN"/>
        </w:rPr>
        <w:t>/or</w:t>
      </w:r>
      <w:r w:rsidR="00C01DB2" w:rsidRPr="004B7FF0">
        <w:t xml:space="preserve"> Micro Cell scenarios.</w:t>
      </w:r>
    </w:p>
    <w:p w14:paraId="1C38D0A6" w14:textId="62DF9824" w:rsidR="00C01DB2" w:rsidRPr="004B7FF0" w:rsidRDefault="00AC7434" w:rsidP="00AC7434">
      <w:pPr>
        <w:pStyle w:val="B10"/>
      </w:pPr>
      <w:r>
        <w:lastRenderedPageBreak/>
        <w:t>-</w:t>
      </w:r>
      <w:r>
        <w:tab/>
      </w:r>
      <w:r w:rsidR="00C01DB2" w:rsidRPr="004B7FF0">
        <w:t xml:space="preserve">Local Area IAB-MT are </w:t>
      </w:r>
      <w:r w:rsidR="00C01DB2" w:rsidRPr="00E105F4">
        <w:t>characterised</w:t>
      </w:r>
      <w:r w:rsidR="00C01DB2">
        <w:t xml:space="preserve"> </w:t>
      </w:r>
      <w:r w:rsidR="00C01DB2" w:rsidRPr="004B7FF0">
        <w:t xml:space="preserve">by requirements derived from Pico Cell and </w:t>
      </w:r>
      <w:r w:rsidR="00C01DB2" w:rsidRPr="004B7FF0">
        <w:rPr>
          <w:lang w:eastAsia="zh-CN"/>
        </w:rPr>
        <w:t xml:space="preserve">/or </w:t>
      </w:r>
      <w:r w:rsidR="00C01DB2" w:rsidRPr="004B7FF0">
        <w:t>Micro Cell scenarios.</w:t>
      </w:r>
    </w:p>
    <w:p w14:paraId="55BC5C62" w14:textId="77777777" w:rsidR="00090776" w:rsidRPr="00090776" w:rsidRDefault="00090776" w:rsidP="00357409">
      <w:pPr>
        <w:rPr>
          <w:i/>
        </w:rPr>
      </w:pPr>
    </w:p>
    <w:p w14:paraId="26B2AFF0" w14:textId="7432A88F" w:rsidR="00077B6E" w:rsidRPr="007E346D" w:rsidRDefault="00077B6E" w:rsidP="00077B6E">
      <w:pPr>
        <w:pStyle w:val="Heading2"/>
      </w:pPr>
      <w:bookmarkStart w:id="339" w:name="_Toc13080128"/>
      <w:bookmarkStart w:id="340" w:name="_Toc18916155"/>
      <w:bookmarkStart w:id="341" w:name="_Toc53185286"/>
      <w:bookmarkStart w:id="342" w:name="_Toc53185662"/>
      <w:bookmarkStart w:id="343" w:name="_Toc57820135"/>
      <w:bookmarkStart w:id="344" w:name="_Toc57821062"/>
      <w:bookmarkStart w:id="345" w:name="_Toc61183338"/>
      <w:bookmarkStart w:id="346" w:name="_Toc61183732"/>
      <w:bookmarkStart w:id="347" w:name="_Toc61184124"/>
      <w:bookmarkStart w:id="348" w:name="_Toc61184516"/>
      <w:bookmarkStart w:id="349" w:name="_Toc61184906"/>
      <w:bookmarkStart w:id="350" w:name="_Toc66386249"/>
      <w:bookmarkStart w:id="351" w:name="_Toc74583090"/>
      <w:bookmarkStart w:id="352" w:name="_Toc76541903"/>
      <w:bookmarkStart w:id="353" w:name="_Toc82449885"/>
      <w:bookmarkStart w:id="354" w:name="_Toc82450533"/>
      <w:bookmarkStart w:id="355" w:name="_Toc89948922"/>
      <w:bookmarkStart w:id="356" w:name="_Toc98755311"/>
      <w:bookmarkStart w:id="357" w:name="_Toc98762900"/>
      <w:bookmarkStart w:id="358" w:name="_Toc106183829"/>
      <w:r w:rsidRPr="007E346D">
        <w:t>4.5</w:t>
      </w:r>
      <w:r w:rsidRPr="007E346D">
        <w:tab/>
        <w:t>Regional requirements</w:t>
      </w:r>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14:paraId="07DAD341" w14:textId="4762D792" w:rsidR="00137E92" w:rsidRPr="00E26D09" w:rsidRDefault="00137E92" w:rsidP="00137E92">
      <w:pPr>
        <w:keepNext/>
        <w:keepLines/>
        <w:rPr>
          <w:rFonts w:cs="v5.0.0"/>
        </w:rPr>
      </w:pPr>
      <w:bookmarkStart w:id="359" w:name="_Hlk494310507"/>
      <w:bookmarkStart w:id="360" w:name="_Toc13080129"/>
      <w:bookmarkStart w:id="361" w:name="_Toc18916156"/>
      <w:bookmarkStart w:id="362" w:name="_Toc53185287"/>
      <w:bookmarkStart w:id="363" w:name="_Toc53185663"/>
      <w:r w:rsidRPr="00B8665D">
        <w:rPr>
          <w:rFonts w:cs="v5.0.0"/>
        </w:rPr>
        <w:t xml:space="preserve"> </w:t>
      </w:r>
      <w:r w:rsidRPr="00E26D09">
        <w:rPr>
          <w:rFonts w:cs="v5.0.0"/>
        </w:rPr>
        <w:t>Some requirements in the present document may only apply in certain regions either as optional requirements, or as mandatory requirements set by local and regional regulation. It is normally not stated in the 3GPP specifications under what exact circumstances the regional requirements apply, since this is defined by local or regional regulation.</w:t>
      </w:r>
    </w:p>
    <w:bookmarkEnd w:id="359"/>
    <w:p w14:paraId="70E71131" w14:textId="77777777" w:rsidR="00137E92" w:rsidRPr="00E26D09" w:rsidRDefault="00137E92" w:rsidP="00137E92">
      <w:r w:rsidRPr="00E26D09">
        <w:t>Table 4.5-1 lists all requirements in the present specification that may be applied differently in different regions.</w:t>
      </w:r>
    </w:p>
    <w:p w14:paraId="6B8B87EC" w14:textId="77777777" w:rsidR="00137E92" w:rsidRPr="007E346D" w:rsidRDefault="00137E92" w:rsidP="00137E92">
      <w:pPr>
        <w:pStyle w:val="TH"/>
        <w:rPr>
          <w:rFonts w:cs="v5.0.0"/>
        </w:rPr>
      </w:pPr>
      <w:r w:rsidRPr="007E346D">
        <w:t>Table 4.5-1: List of regional requirements</w:t>
      </w:r>
    </w:p>
    <w:tbl>
      <w:tblPr>
        <w:tblW w:w="49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147"/>
        <w:gridCol w:w="2592"/>
        <w:gridCol w:w="5798"/>
      </w:tblGrid>
      <w:tr w:rsidR="00137E92" w:rsidRPr="007E346D" w14:paraId="3FBF2534" w14:textId="77777777" w:rsidTr="002E1777">
        <w:trPr>
          <w:cantSplit/>
          <w:tblHeader/>
          <w:jc w:val="center"/>
        </w:trPr>
        <w:tc>
          <w:tcPr>
            <w:tcW w:w="601" w:type="pct"/>
            <w:tcBorders>
              <w:top w:val="single" w:sz="4" w:space="0" w:color="auto"/>
              <w:left w:val="single" w:sz="4" w:space="0" w:color="auto"/>
              <w:bottom w:val="single" w:sz="4" w:space="0" w:color="auto"/>
              <w:right w:val="single" w:sz="4" w:space="0" w:color="auto"/>
            </w:tcBorders>
            <w:shd w:val="clear" w:color="auto" w:fill="auto"/>
          </w:tcPr>
          <w:p w14:paraId="62EA6424" w14:textId="77777777" w:rsidR="00137E92" w:rsidRPr="007E346D" w:rsidRDefault="00137E92" w:rsidP="002E1777">
            <w:pPr>
              <w:pStyle w:val="TAH"/>
              <w:rPr>
                <w:lang w:eastAsia="ja-JP"/>
              </w:rPr>
            </w:pPr>
            <w:r w:rsidRPr="007E346D">
              <w:rPr>
                <w:lang w:eastAsia="ja-JP"/>
              </w:rPr>
              <w:t>Clause number</w:t>
            </w:r>
          </w:p>
        </w:tc>
        <w:tc>
          <w:tcPr>
            <w:tcW w:w="1359" w:type="pct"/>
            <w:tcBorders>
              <w:top w:val="single" w:sz="4" w:space="0" w:color="auto"/>
              <w:left w:val="single" w:sz="4" w:space="0" w:color="auto"/>
              <w:bottom w:val="single" w:sz="4" w:space="0" w:color="auto"/>
              <w:right w:val="single" w:sz="4" w:space="0" w:color="auto"/>
            </w:tcBorders>
            <w:shd w:val="clear" w:color="auto" w:fill="auto"/>
          </w:tcPr>
          <w:p w14:paraId="55109936" w14:textId="77777777" w:rsidR="00137E92" w:rsidRPr="007E346D" w:rsidRDefault="00137E92" w:rsidP="002E1777">
            <w:pPr>
              <w:pStyle w:val="TAH"/>
              <w:rPr>
                <w:lang w:eastAsia="ja-JP"/>
              </w:rPr>
            </w:pPr>
            <w:r w:rsidRPr="007E346D">
              <w:rPr>
                <w:lang w:eastAsia="ja-JP"/>
              </w:rPr>
              <w:t>Requirement</w:t>
            </w:r>
          </w:p>
        </w:tc>
        <w:tc>
          <w:tcPr>
            <w:tcW w:w="3040" w:type="pct"/>
            <w:tcBorders>
              <w:top w:val="single" w:sz="4" w:space="0" w:color="auto"/>
              <w:left w:val="single" w:sz="4" w:space="0" w:color="auto"/>
              <w:bottom w:val="single" w:sz="4" w:space="0" w:color="auto"/>
              <w:right w:val="single" w:sz="4" w:space="0" w:color="auto"/>
            </w:tcBorders>
            <w:shd w:val="clear" w:color="auto" w:fill="auto"/>
          </w:tcPr>
          <w:p w14:paraId="78D2882D" w14:textId="77777777" w:rsidR="00137E92" w:rsidRPr="007E346D" w:rsidRDefault="00137E92" w:rsidP="002E1777">
            <w:pPr>
              <w:pStyle w:val="TAH"/>
              <w:rPr>
                <w:lang w:eastAsia="ja-JP"/>
              </w:rPr>
            </w:pPr>
            <w:r w:rsidRPr="007E346D">
              <w:rPr>
                <w:lang w:eastAsia="ja-JP"/>
              </w:rPr>
              <w:t>Comments</w:t>
            </w:r>
          </w:p>
        </w:tc>
      </w:tr>
      <w:tr w:rsidR="00137E92" w:rsidRPr="007E346D" w14:paraId="7002AE5F"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2303034D" w14:textId="77777777" w:rsidR="00137E92" w:rsidRPr="009B7C0F" w:rsidRDefault="00137E92" w:rsidP="002E1777">
            <w:pPr>
              <w:pStyle w:val="TAC"/>
              <w:rPr>
                <w:rFonts w:cs="Arial"/>
                <w:highlight w:val="green"/>
                <w:lang w:eastAsia="ja-JP"/>
              </w:rPr>
            </w:pPr>
            <w:r w:rsidRPr="009B7C0F">
              <w:t>5.2</w:t>
            </w:r>
          </w:p>
        </w:tc>
        <w:tc>
          <w:tcPr>
            <w:tcW w:w="1359" w:type="pct"/>
            <w:tcBorders>
              <w:top w:val="single" w:sz="4" w:space="0" w:color="auto"/>
              <w:left w:val="single" w:sz="4" w:space="0" w:color="auto"/>
              <w:bottom w:val="single" w:sz="4" w:space="0" w:color="auto"/>
              <w:right w:val="single" w:sz="4" w:space="0" w:color="auto"/>
            </w:tcBorders>
          </w:tcPr>
          <w:p w14:paraId="45A2586B" w14:textId="77777777" w:rsidR="00137E92" w:rsidRPr="009B7C0F" w:rsidRDefault="00137E92" w:rsidP="002E1777">
            <w:pPr>
              <w:pStyle w:val="TAC"/>
              <w:rPr>
                <w:rFonts w:cs="Arial"/>
                <w:i/>
                <w:highlight w:val="green"/>
                <w:lang w:eastAsia="ja-JP"/>
              </w:rPr>
            </w:pPr>
            <w:r w:rsidRPr="00916147">
              <w:rPr>
                <w:rFonts w:cs="Arial"/>
                <w:i/>
              </w:rPr>
              <w:t>Operating bands</w:t>
            </w:r>
          </w:p>
        </w:tc>
        <w:tc>
          <w:tcPr>
            <w:tcW w:w="3040" w:type="pct"/>
            <w:tcBorders>
              <w:top w:val="single" w:sz="4" w:space="0" w:color="auto"/>
              <w:left w:val="single" w:sz="4" w:space="0" w:color="auto"/>
              <w:bottom w:val="single" w:sz="4" w:space="0" w:color="auto"/>
              <w:right w:val="single" w:sz="4" w:space="0" w:color="auto"/>
            </w:tcBorders>
          </w:tcPr>
          <w:p w14:paraId="0026EA99" w14:textId="77777777" w:rsidR="00137E92" w:rsidRPr="007E346D" w:rsidRDefault="00137E92" w:rsidP="002E1777">
            <w:pPr>
              <w:pStyle w:val="TAL"/>
              <w:rPr>
                <w:rFonts w:cs="Arial"/>
                <w:lang w:eastAsia="ja-JP"/>
              </w:rPr>
            </w:pPr>
            <w:r w:rsidRPr="00916147">
              <w:t xml:space="preserve">Some NR </w:t>
            </w:r>
            <w:r w:rsidRPr="00916147">
              <w:rPr>
                <w:i/>
              </w:rPr>
              <w:t>operating bands</w:t>
            </w:r>
            <w:r w:rsidRPr="00916147">
              <w:t xml:space="preserve"> may be applied regionally.</w:t>
            </w:r>
          </w:p>
        </w:tc>
      </w:tr>
      <w:tr w:rsidR="00137E92" w:rsidRPr="007E346D" w14:paraId="5397DBE6"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31E85498" w14:textId="77777777" w:rsidR="00137E92" w:rsidRPr="007E346D" w:rsidRDefault="00137E92" w:rsidP="002E1777">
            <w:pPr>
              <w:pStyle w:val="TAC"/>
            </w:pPr>
            <w:r w:rsidRPr="007E346D">
              <w:t>6.2.</w:t>
            </w:r>
            <w:r>
              <w:t>3</w:t>
            </w:r>
          </w:p>
        </w:tc>
        <w:tc>
          <w:tcPr>
            <w:tcW w:w="1359" w:type="pct"/>
            <w:tcBorders>
              <w:top w:val="single" w:sz="4" w:space="0" w:color="auto"/>
              <w:left w:val="single" w:sz="4" w:space="0" w:color="auto"/>
              <w:bottom w:val="single" w:sz="4" w:space="0" w:color="auto"/>
              <w:right w:val="single" w:sz="4" w:space="0" w:color="auto"/>
            </w:tcBorders>
          </w:tcPr>
          <w:p w14:paraId="39022A9A" w14:textId="77777777" w:rsidR="00137E92" w:rsidRPr="00916147" w:rsidRDefault="00137E92" w:rsidP="002E1777">
            <w:pPr>
              <w:pStyle w:val="TAC"/>
              <w:ind w:left="284" w:hanging="284"/>
              <w:rPr>
                <w:rFonts w:cs="Arial"/>
              </w:rPr>
            </w:pPr>
            <w:r>
              <w:rPr>
                <w:rFonts w:cs="Arial"/>
              </w:rPr>
              <w:t>IAB</w:t>
            </w:r>
            <w:r w:rsidRPr="00916147">
              <w:rPr>
                <w:rFonts w:cs="Arial"/>
              </w:rPr>
              <w:t xml:space="preserve"> output power:</w:t>
            </w:r>
          </w:p>
          <w:p w14:paraId="2329388E" w14:textId="77777777" w:rsidR="00137E92" w:rsidRPr="007E346D" w:rsidRDefault="00137E92" w:rsidP="002E1777">
            <w:pPr>
              <w:pStyle w:val="TAC"/>
              <w:rPr>
                <w:rFonts w:cs="Arial"/>
              </w:rPr>
            </w:pPr>
            <w:r w:rsidRPr="00916147">
              <w:rPr>
                <w:rFonts w:cs="Arial"/>
              </w:rPr>
              <w:t>Additional requirements</w:t>
            </w:r>
          </w:p>
        </w:tc>
        <w:tc>
          <w:tcPr>
            <w:tcW w:w="3040" w:type="pct"/>
            <w:tcBorders>
              <w:top w:val="single" w:sz="4" w:space="0" w:color="auto"/>
              <w:left w:val="single" w:sz="4" w:space="0" w:color="auto"/>
              <w:bottom w:val="single" w:sz="4" w:space="0" w:color="auto"/>
              <w:right w:val="single" w:sz="4" w:space="0" w:color="auto"/>
            </w:tcBorders>
          </w:tcPr>
          <w:p w14:paraId="7F6B548F" w14:textId="77777777" w:rsidR="00137E92" w:rsidRPr="007E346D" w:rsidRDefault="00137E92" w:rsidP="002E1777">
            <w:pPr>
              <w:pStyle w:val="TAL"/>
            </w:pPr>
            <w:r w:rsidRPr="007E346D">
              <w:rPr>
                <w:rFonts w:cs="Arial"/>
              </w:rPr>
              <w:t xml:space="preserve">These requirements </w:t>
            </w:r>
            <w:r w:rsidRPr="005A07C7">
              <w:t>may be applied regionally</w:t>
            </w:r>
            <w:r>
              <w:rPr>
                <w:rFonts w:cs="Arial"/>
              </w:rPr>
              <w:t xml:space="preserve"> </w:t>
            </w:r>
            <w:r w:rsidRPr="007E346D">
              <w:rPr>
                <w:rFonts w:cs="Arial"/>
              </w:rPr>
              <w:t xml:space="preserve">as additional </w:t>
            </w:r>
            <w:r>
              <w:rPr>
                <w:rFonts w:cs="Arial"/>
              </w:rPr>
              <w:t>IAB output power requirements</w:t>
            </w:r>
            <w:r w:rsidRPr="007E346D">
              <w:rPr>
                <w:rFonts w:cs="Arial"/>
              </w:rPr>
              <w:t>.</w:t>
            </w:r>
          </w:p>
        </w:tc>
      </w:tr>
      <w:tr w:rsidR="00137E92" w:rsidRPr="007E346D" w14:paraId="7265F5FE"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03DBDA67" w14:textId="77777777" w:rsidR="00137E92" w:rsidRPr="007E346D" w:rsidRDefault="00137E92" w:rsidP="002E1777">
            <w:pPr>
              <w:pStyle w:val="TAC"/>
            </w:pPr>
            <w:r w:rsidRPr="007E346D">
              <w:t>6.6.2,</w:t>
            </w:r>
          </w:p>
          <w:p w14:paraId="24565EB6" w14:textId="77777777" w:rsidR="00137E92" w:rsidRPr="007E346D" w:rsidRDefault="00137E92" w:rsidP="002E1777">
            <w:pPr>
              <w:pStyle w:val="TAC"/>
              <w:rPr>
                <w:rFonts w:cs="Arial"/>
                <w:lang w:eastAsia="ja-JP"/>
              </w:rPr>
            </w:pPr>
            <w:r w:rsidRPr="007E346D">
              <w:t>9.7.2</w:t>
            </w:r>
          </w:p>
        </w:tc>
        <w:tc>
          <w:tcPr>
            <w:tcW w:w="1359" w:type="pct"/>
            <w:tcBorders>
              <w:top w:val="single" w:sz="4" w:space="0" w:color="auto"/>
              <w:left w:val="single" w:sz="4" w:space="0" w:color="auto"/>
              <w:bottom w:val="single" w:sz="4" w:space="0" w:color="auto"/>
              <w:right w:val="single" w:sz="4" w:space="0" w:color="auto"/>
            </w:tcBorders>
          </w:tcPr>
          <w:p w14:paraId="207C35EC" w14:textId="77777777" w:rsidR="00137E92" w:rsidRPr="00D7589B" w:rsidRDefault="00137E92" w:rsidP="002E1777">
            <w:pPr>
              <w:pStyle w:val="TAC"/>
              <w:rPr>
                <w:rFonts w:cs="Arial"/>
              </w:rPr>
            </w:pPr>
            <w:r w:rsidRPr="00D7589B">
              <w:rPr>
                <w:rFonts w:cs="Arial"/>
              </w:rPr>
              <w:t>Occupied bandwidth,</w:t>
            </w:r>
          </w:p>
          <w:p w14:paraId="582D755A" w14:textId="77777777" w:rsidR="00137E92" w:rsidRPr="007E346D" w:rsidRDefault="00137E92" w:rsidP="002E1777">
            <w:pPr>
              <w:pStyle w:val="TAC"/>
              <w:rPr>
                <w:rFonts w:cs="Arial"/>
                <w:lang w:eastAsia="ja-JP"/>
              </w:rPr>
            </w:pPr>
            <w:r w:rsidRPr="00D7589B">
              <w:rPr>
                <w:rFonts w:cs="Arial"/>
              </w:rPr>
              <w:t>OTA occupied bandwidth</w:t>
            </w:r>
          </w:p>
        </w:tc>
        <w:tc>
          <w:tcPr>
            <w:tcW w:w="3040" w:type="pct"/>
            <w:tcBorders>
              <w:top w:val="single" w:sz="4" w:space="0" w:color="auto"/>
              <w:left w:val="single" w:sz="4" w:space="0" w:color="auto"/>
              <w:bottom w:val="single" w:sz="4" w:space="0" w:color="auto"/>
              <w:right w:val="single" w:sz="4" w:space="0" w:color="auto"/>
            </w:tcBorders>
          </w:tcPr>
          <w:p w14:paraId="62FBD6A2" w14:textId="77777777" w:rsidR="00137E92" w:rsidRPr="007E346D" w:rsidRDefault="00137E92" w:rsidP="002E1777">
            <w:pPr>
              <w:pStyle w:val="TAL"/>
              <w:rPr>
                <w:rFonts w:cs="Arial"/>
                <w:lang w:eastAsia="ja-JP"/>
              </w:rPr>
            </w:pPr>
            <w:r w:rsidRPr="007E346D">
              <w:t>The requirement may be applied regionally. There may also be regional requirements to declare the occupied bandwidth according to the definition in present specification.</w:t>
            </w:r>
          </w:p>
        </w:tc>
      </w:tr>
      <w:tr w:rsidR="00137E92" w:rsidRPr="007E346D" w14:paraId="5967DF36"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4C9AF5C0" w14:textId="77777777" w:rsidR="00137E92" w:rsidRDefault="00137E92" w:rsidP="002E1777">
            <w:pPr>
              <w:pStyle w:val="TAC"/>
              <w:rPr>
                <w:lang w:eastAsia="ja-JP"/>
              </w:rPr>
            </w:pPr>
            <w:r>
              <w:rPr>
                <w:rFonts w:hint="eastAsia"/>
                <w:lang w:eastAsia="ja-JP"/>
              </w:rPr>
              <w:t>6.6.4.</w:t>
            </w:r>
            <w:r>
              <w:rPr>
                <w:lang w:eastAsia="ja-JP"/>
              </w:rPr>
              <w:t>2,</w:t>
            </w:r>
          </w:p>
          <w:p w14:paraId="6FD2B6EA" w14:textId="77777777" w:rsidR="00137E92" w:rsidRDefault="00137E92" w:rsidP="002E1777">
            <w:pPr>
              <w:pStyle w:val="TAC"/>
              <w:rPr>
                <w:lang w:eastAsia="ja-JP"/>
              </w:rPr>
            </w:pPr>
            <w:r>
              <w:rPr>
                <w:lang w:eastAsia="ja-JP"/>
              </w:rPr>
              <w:t>9.7.4.2</w:t>
            </w:r>
          </w:p>
          <w:p w14:paraId="01C02BFE" w14:textId="77777777" w:rsidR="00137E92" w:rsidRPr="007E346D" w:rsidRDefault="00137E92" w:rsidP="002E1777">
            <w:pPr>
              <w:pStyle w:val="TAC"/>
            </w:pPr>
            <w:r>
              <w:t>9.7.4.3</w:t>
            </w:r>
          </w:p>
        </w:tc>
        <w:tc>
          <w:tcPr>
            <w:tcW w:w="1359" w:type="pct"/>
            <w:tcBorders>
              <w:top w:val="single" w:sz="4" w:space="0" w:color="auto"/>
              <w:left w:val="single" w:sz="4" w:space="0" w:color="auto"/>
              <w:bottom w:val="single" w:sz="4" w:space="0" w:color="auto"/>
              <w:right w:val="single" w:sz="4" w:space="0" w:color="auto"/>
            </w:tcBorders>
          </w:tcPr>
          <w:p w14:paraId="446461DA" w14:textId="77777777" w:rsidR="00137E92" w:rsidRPr="00422D86" w:rsidRDefault="00137E92" w:rsidP="002E1777">
            <w:pPr>
              <w:pStyle w:val="TAC"/>
              <w:rPr>
                <w:rFonts w:cs="Arial"/>
                <w:lang w:eastAsia="ja-JP"/>
              </w:rPr>
            </w:pPr>
            <w:r w:rsidRPr="00422D86">
              <w:rPr>
                <w:rFonts w:cs="Arial" w:hint="eastAsia"/>
                <w:lang w:eastAsia="ja-JP"/>
              </w:rPr>
              <w:t>Operating band unwanted emission</w:t>
            </w:r>
            <w:r w:rsidRPr="00422D86">
              <w:rPr>
                <w:rFonts w:cs="Arial"/>
                <w:lang w:eastAsia="ja-JP"/>
              </w:rPr>
              <w:t>,</w:t>
            </w:r>
          </w:p>
          <w:p w14:paraId="5A0AB2FA" w14:textId="77777777" w:rsidR="00137E92" w:rsidRPr="007E346D" w:rsidRDefault="00137E92" w:rsidP="002E1777">
            <w:pPr>
              <w:pStyle w:val="TAC"/>
              <w:rPr>
                <w:rFonts w:cs="Arial"/>
              </w:rPr>
            </w:pPr>
            <w:r w:rsidRPr="00C80A07">
              <w:rPr>
                <w:rFonts w:cs="Arial"/>
                <w:lang w:eastAsia="ja-JP"/>
              </w:rPr>
              <w:t>OTA operating band unwanted emissions</w:t>
            </w:r>
          </w:p>
        </w:tc>
        <w:tc>
          <w:tcPr>
            <w:tcW w:w="3040" w:type="pct"/>
            <w:tcBorders>
              <w:top w:val="single" w:sz="4" w:space="0" w:color="auto"/>
              <w:left w:val="single" w:sz="4" w:space="0" w:color="auto"/>
              <w:bottom w:val="single" w:sz="4" w:space="0" w:color="auto"/>
              <w:right w:val="single" w:sz="4" w:space="0" w:color="auto"/>
            </w:tcBorders>
          </w:tcPr>
          <w:p w14:paraId="6780F5F0" w14:textId="77777777" w:rsidR="00137E92" w:rsidRPr="007E346D" w:rsidRDefault="00137E92" w:rsidP="002E1777">
            <w:pPr>
              <w:pStyle w:val="TAL"/>
            </w:pPr>
            <w:r w:rsidRPr="00341700">
              <w:rPr>
                <w:rFonts w:cs="Arial"/>
              </w:rPr>
              <w:t>Category A</w:t>
            </w:r>
            <w:r>
              <w:rPr>
                <w:rFonts w:cs="Arial"/>
              </w:rPr>
              <w:t xml:space="preserve"> or Category B</w:t>
            </w:r>
            <w:r w:rsidRPr="00341700">
              <w:rPr>
                <w:rFonts w:cs="Arial"/>
              </w:rPr>
              <w:t xml:space="preserve"> </w:t>
            </w:r>
            <w:r>
              <w:rPr>
                <w:rFonts w:cs="Arial"/>
              </w:rPr>
              <w:t>operating band unwanted emissions limits</w:t>
            </w:r>
            <w:r w:rsidRPr="00341700">
              <w:rPr>
                <w:rFonts w:cs="Arial"/>
              </w:rPr>
              <w:t xml:space="preserve"> </w:t>
            </w:r>
            <w:r>
              <w:rPr>
                <w:rFonts w:cs="Arial"/>
              </w:rPr>
              <w:t xml:space="preserve">may </w:t>
            </w:r>
            <w:r>
              <w:rPr>
                <w:rFonts w:cs="Arial" w:hint="eastAsia"/>
                <w:lang w:eastAsia="ja-JP"/>
              </w:rPr>
              <w:t xml:space="preserve">be </w:t>
            </w:r>
            <w:r>
              <w:rPr>
                <w:rFonts w:cs="Arial"/>
              </w:rPr>
              <w:t>applied regionally</w:t>
            </w:r>
            <w:r w:rsidRPr="00341700">
              <w:rPr>
                <w:rFonts w:cs="Arial"/>
              </w:rPr>
              <w:t>.</w:t>
            </w:r>
          </w:p>
        </w:tc>
      </w:tr>
      <w:tr w:rsidR="00137E92" w:rsidRPr="007E346D" w14:paraId="6F276278"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00EB1175" w14:textId="77777777" w:rsidR="00137E92" w:rsidRDefault="00137E92" w:rsidP="002E1777">
            <w:pPr>
              <w:pStyle w:val="TAC"/>
            </w:pPr>
            <w:r w:rsidRPr="007E346D">
              <w:t>6.6.4.2.5.1</w:t>
            </w:r>
            <w:r>
              <w:t>,</w:t>
            </w:r>
          </w:p>
          <w:p w14:paraId="55096C20" w14:textId="77777777" w:rsidR="00137E92" w:rsidRPr="007E346D" w:rsidRDefault="00137E92" w:rsidP="002E1777">
            <w:pPr>
              <w:pStyle w:val="TAC"/>
              <w:rPr>
                <w:rFonts w:cs="Arial"/>
                <w:lang w:eastAsia="ja-JP"/>
              </w:rPr>
            </w:pPr>
            <w:r>
              <w:t>9.7.4.4.1</w:t>
            </w:r>
          </w:p>
        </w:tc>
        <w:tc>
          <w:tcPr>
            <w:tcW w:w="1359" w:type="pct"/>
            <w:tcBorders>
              <w:top w:val="single" w:sz="4" w:space="0" w:color="auto"/>
              <w:left w:val="single" w:sz="4" w:space="0" w:color="auto"/>
              <w:bottom w:val="single" w:sz="4" w:space="0" w:color="auto"/>
              <w:right w:val="single" w:sz="4" w:space="0" w:color="auto"/>
            </w:tcBorders>
          </w:tcPr>
          <w:p w14:paraId="6585F16C" w14:textId="77777777" w:rsidR="00137E92" w:rsidRPr="00294FF1" w:rsidRDefault="00137E92" w:rsidP="002E1777">
            <w:pPr>
              <w:pStyle w:val="TAC"/>
              <w:rPr>
                <w:rFonts w:cs="Arial"/>
                <w:lang w:eastAsia="ja-JP"/>
              </w:rPr>
            </w:pPr>
            <w:r w:rsidRPr="00294FF1">
              <w:rPr>
                <w:rFonts w:cs="Arial" w:hint="eastAsia"/>
                <w:lang w:eastAsia="ja-JP"/>
              </w:rPr>
              <w:t>Operating band unwanted emission</w:t>
            </w:r>
            <w:r w:rsidRPr="00294FF1">
              <w:rPr>
                <w:rFonts w:cs="Arial"/>
                <w:lang w:eastAsia="ja-JP"/>
              </w:rPr>
              <w:t>,</w:t>
            </w:r>
          </w:p>
          <w:p w14:paraId="5E8BB3D2" w14:textId="77777777" w:rsidR="00137E92" w:rsidRPr="00294FF1" w:rsidRDefault="00137E92" w:rsidP="002E1777">
            <w:pPr>
              <w:pStyle w:val="TAC"/>
              <w:rPr>
                <w:rFonts w:cs="Arial"/>
                <w:lang w:eastAsia="ja-JP"/>
              </w:rPr>
            </w:pPr>
            <w:r w:rsidRPr="00294FF1">
              <w:rPr>
                <w:rFonts w:cs="Arial"/>
                <w:lang w:eastAsia="ja-JP"/>
              </w:rPr>
              <w:t>OTA operating band unwanted emissions:</w:t>
            </w:r>
          </w:p>
          <w:p w14:paraId="307E553C" w14:textId="77777777" w:rsidR="00137E92" w:rsidRPr="007E346D" w:rsidRDefault="00137E92" w:rsidP="002E1777">
            <w:pPr>
              <w:pStyle w:val="TAC"/>
              <w:rPr>
                <w:rFonts w:cs="Arial"/>
                <w:lang w:eastAsia="ja-JP"/>
              </w:rPr>
            </w:pPr>
            <w:r w:rsidRPr="00294FF1">
              <w:t>Limits in FCC Title 47</w:t>
            </w:r>
          </w:p>
        </w:tc>
        <w:tc>
          <w:tcPr>
            <w:tcW w:w="3040" w:type="pct"/>
            <w:tcBorders>
              <w:top w:val="single" w:sz="4" w:space="0" w:color="auto"/>
              <w:left w:val="single" w:sz="4" w:space="0" w:color="auto"/>
              <w:bottom w:val="single" w:sz="4" w:space="0" w:color="auto"/>
              <w:right w:val="single" w:sz="4" w:space="0" w:color="auto"/>
            </w:tcBorders>
          </w:tcPr>
          <w:p w14:paraId="79989F62" w14:textId="77777777" w:rsidR="00137E92" w:rsidRPr="007E346D" w:rsidRDefault="00137E92" w:rsidP="002E1777">
            <w:pPr>
              <w:pStyle w:val="TAL"/>
              <w:rPr>
                <w:rFonts w:cs="Arial"/>
                <w:lang w:eastAsia="ja-JP"/>
              </w:rPr>
            </w:pPr>
            <w:r w:rsidRPr="007E346D">
              <w:rPr>
                <w:rFonts w:cs="Arial"/>
                <w:lang w:eastAsia="ja-JP"/>
              </w:rPr>
              <w:t xml:space="preserve">The </w:t>
            </w:r>
            <w:r>
              <w:rPr>
                <w:rFonts w:cs="Arial"/>
                <w:lang w:eastAsia="ja-JP"/>
              </w:rPr>
              <w:t xml:space="preserve">IAB </w:t>
            </w:r>
            <w:r w:rsidRPr="007E346D">
              <w:rPr>
                <w:rFonts w:cs="Arial"/>
                <w:lang w:eastAsia="ja-JP"/>
              </w:rPr>
              <w:t>may have to comply with the additional requirements, when deployed in regions where those limits are applied, and under the conditions declared by the manufacturer.</w:t>
            </w:r>
          </w:p>
        </w:tc>
      </w:tr>
      <w:tr w:rsidR="00137E92" w:rsidRPr="007E346D" w14:paraId="7A0033E4"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54F976C6" w14:textId="77777777" w:rsidR="00137E92" w:rsidRPr="007E346D" w:rsidRDefault="00137E92" w:rsidP="002E1777">
            <w:pPr>
              <w:pStyle w:val="TAC"/>
            </w:pPr>
            <w:r w:rsidRPr="007E346D">
              <w:t>6.6.5.2.1,</w:t>
            </w:r>
          </w:p>
          <w:p w14:paraId="014E7A67" w14:textId="77777777" w:rsidR="00137E92" w:rsidRDefault="00137E92" w:rsidP="002E1777">
            <w:pPr>
              <w:pStyle w:val="TAC"/>
            </w:pPr>
            <w:r w:rsidRPr="007E346D">
              <w:t>9.7.5.2</w:t>
            </w:r>
            <w:r>
              <w:t>.2</w:t>
            </w:r>
          </w:p>
          <w:p w14:paraId="3ABA672F" w14:textId="77777777" w:rsidR="00137E92" w:rsidRPr="007E346D" w:rsidRDefault="00137E92" w:rsidP="002E1777">
            <w:pPr>
              <w:pStyle w:val="TAC"/>
              <w:rPr>
                <w:rFonts w:cs="Arial"/>
                <w:lang w:eastAsia="ja-JP"/>
              </w:rPr>
            </w:pPr>
            <w:r>
              <w:rPr>
                <w:rFonts w:cs="Arial"/>
                <w:lang w:eastAsia="ja-JP"/>
              </w:rPr>
              <w:t>9.7.5.3.2</w:t>
            </w:r>
          </w:p>
        </w:tc>
        <w:tc>
          <w:tcPr>
            <w:tcW w:w="1359" w:type="pct"/>
            <w:tcBorders>
              <w:top w:val="single" w:sz="4" w:space="0" w:color="auto"/>
              <w:left w:val="single" w:sz="4" w:space="0" w:color="auto"/>
              <w:bottom w:val="single" w:sz="4" w:space="0" w:color="auto"/>
              <w:right w:val="single" w:sz="4" w:space="0" w:color="auto"/>
            </w:tcBorders>
          </w:tcPr>
          <w:p w14:paraId="1C153E89" w14:textId="77777777" w:rsidR="00137E92" w:rsidRPr="00D14A59" w:rsidRDefault="00137E92" w:rsidP="002E1777">
            <w:pPr>
              <w:pStyle w:val="TAC"/>
              <w:rPr>
                <w:rFonts w:cs="Arial"/>
              </w:rPr>
            </w:pPr>
            <w:r w:rsidRPr="00D14A59">
              <w:rPr>
                <w:rFonts w:cs="Arial"/>
              </w:rPr>
              <w:t>Tx spurious emissions,</w:t>
            </w:r>
          </w:p>
          <w:p w14:paraId="760CBF25" w14:textId="77777777" w:rsidR="00137E92" w:rsidRPr="007E346D" w:rsidRDefault="00137E92" w:rsidP="002E1777">
            <w:pPr>
              <w:pStyle w:val="TAC"/>
              <w:rPr>
                <w:rFonts w:cs="Arial"/>
                <w:lang w:eastAsia="ja-JP"/>
              </w:rPr>
            </w:pPr>
            <w:r w:rsidRPr="00D14A59">
              <w:t>OTA Tx spurious emissions</w:t>
            </w:r>
          </w:p>
        </w:tc>
        <w:tc>
          <w:tcPr>
            <w:tcW w:w="3040" w:type="pct"/>
            <w:tcBorders>
              <w:top w:val="single" w:sz="4" w:space="0" w:color="auto"/>
              <w:left w:val="single" w:sz="4" w:space="0" w:color="auto"/>
              <w:bottom w:val="single" w:sz="4" w:space="0" w:color="auto"/>
              <w:right w:val="single" w:sz="4" w:space="0" w:color="auto"/>
            </w:tcBorders>
          </w:tcPr>
          <w:p w14:paraId="620DE32E" w14:textId="77777777" w:rsidR="00137E92" w:rsidRPr="007E346D" w:rsidRDefault="00137E92" w:rsidP="002E1777">
            <w:pPr>
              <w:pStyle w:val="TAL"/>
              <w:rPr>
                <w:rFonts w:cs="Arial"/>
                <w:lang w:eastAsia="ja-JP"/>
              </w:rPr>
            </w:pPr>
            <w:r w:rsidRPr="007E346D">
              <w:rPr>
                <w:rFonts w:cs="Arial"/>
                <w:lang w:eastAsia="ja-JP"/>
              </w:rPr>
              <w:t>Category A or Category B spurious emission limits, as defined in ITU-R Recommendation SM.329 [2], may apply regionally.</w:t>
            </w:r>
          </w:p>
          <w:p w14:paraId="49D1358D" w14:textId="77777777" w:rsidR="00137E92" w:rsidRPr="007E346D" w:rsidRDefault="00137E92" w:rsidP="002E1777">
            <w:pPr>
              <w:pStyle w:val="TAL"/>
              <w:rPr>
                <w:rFonts w:cs="Arial"/>
                <w:lang w:eastAsia="ja-JP"/>
              </w:rPr>
            </w:pPr>
            <w:r w:rsidRPr="007E346D">
              <w:t xml:space="preserve">The emission limits </w:t>
            </w:r>
            <w:r>
              <w:t xml:space="preserve">for </w:t>
            </w:r>
            <w:r>
              <w:rPr>
                <w:i/>
              </w:rPr>
              <w:t>IAB</w:t>
            </w:r>
            <w:r w:rsidRPr="007A7019">
              <w:rPr>
                <w:i/>
              </w:rPr>
              <w:t xml:space="preserve"> type 1-H</w:t>
            </w:r>
            <w:r>
              <w:t xml:space="preserve"> and </w:t>
            </w:r>
            <w:r>
              <w:rPr>
                <w:i/>
              </w:rPr>
              <w:t>IAB</w:t>
            </w:r>
            <w:r w:rsidRPr="007A7019">
              <w:rPr>
                <w:i/>
              </w:rPr>
              <w:t xml:space="preserve"> type 1-O</w:t>
            </w:r>
            <w:r w:rsidRPr="005A07C7">
              <w:t xml:space="preserve"> </w:t>
            </w:r>
            <w:r w:rsidRPr="007E346D">
              <w:t xml:space="preserve">specified as the </w:t>
            </w:r>
            <w:r w:rsidRPr="007E346D">
              <w:rPr>
                <w:i/>
              </w:rPr>
              <w:t>basic limit</w:t>
            </w:r>
            <w:r w:rsidRPr="007E346D">
              <w:t xml:space="preserve"> + X (dB) are applicable, unless stated differently in regional regulation.</w:t>
            </w:r>
          </w:p>
        </w:tc>
      </w:tr>
      <w:tr w:rsidR="00137E92" w:rsidRPr="007E346D" w14:paraId="6324D4A7"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74D3B194" w14:textId="77777777" w:rsidR="00137E92" w:rsidRPr="007E346D" w:rsidRDefault="00137E92" w:rsidP="002E1777">
            <w:pPr>
              <w:pStyle w:val="TAC"/>
            </w:pPr>
            <w:r w:rsidRPr="007E346D">
              <w:t>6.6.5.2.</w:t>
            </w:r>
            <w:r>
              <w:t>2</w:t>
            </w:r>
            <w:r w:rsidRPr="007E346D">
              <w:t>,</w:t>
            </w:r>
          </w:p>
          <w:p w14:paraId="78506F6D" w14:textId="77777777" w:rsidR="00137E92" w:rsidRDefault="00137E92" w:rsidP="002E1777">
            <w:pPr>
              <w:pStyle w:val="TAC"/>
            </w:pPr>
            <w:r w:rsidRPr="007E346D">
              <w:t>9.7.5.</w:t>
            </w:r>
            <w:r>
              <w:t>2</w:t>
            </w:r>
            <w:r w:rsidRPr="007E346D">
              <w:t>.3</w:t>
            </w:r>
          </w:p>
          <w:p w14:paraId="40CFA1C2" w14:textId="77777777" w:rsidR="00137E92" w:rsidRPr="007E346D" w:rsidRDefault="00137E92" w:rsidP="002E1777">
            <w:pPr>
              <w:pStyle w:val="TAC"/>
            </w:pPr>
            <w:r>
              <w:t>9.7.5.3.3</w:t>
            </w:r>
          </w:p>
        </w:tc>
        <w:tc>
          <w:tcPr>
            <w:tcW w:w="1359" w:type="pct"/>
            <w:tcBorders>
              <w:top w:val="single" w:sz="4" w:space="0" w:color="auto"/>
              <w:left w:val="single" w:sz="4" w:space="0" w:color="auto"/>
              <w:bottom w:val="single" w:sz="4" w:space="0" w:color="auto"/>
              <w:right w:val="single" w:sz="4" w:space="0" w:color="auto"/>
            </w:tcBorders>
          </w:tcPr>
          <w:p w14:paraId="787D5E5F" w14:textId="77777777" w:rsidR="00137E92" w:rsidRPr="00CA62FD" w:rsidRDefault="00137E92" w:rsidP="002E1777">
            <w:pPr>
              <w:pStyle w:val="TAC"/>
              <w:rPr>
                <w:rFonts w:cs="Arial"/>
              </w:rPr>
            </w:pPr>
            <w:r w:rsidRPr="00CA62FD">
              <w:rPr>
                <w:rFonts w:cs="Arial"/>
              </w:rPr>
              <w:t>Tx spurious emissions: additional requirements,</w:t>
            </w:r>
          </w:p>
          <w:p w14:paraId="7C9A6CFA" w14:textId="77777777" w:rsidR="00137E92" w:rsidRPr="007E346D" w:rsidRDefault="00137E92" w:rsidP="002E1777">
            <w:pPr>
              <w:pStyle w:val="TAC"/>
              <w:rPr>
                <w:rFonts w:cs="Arial"/>
              </w:rPr>
            </w:pPr>
            <w:r w:rsidRPr="00CA62FD">
              <w:rPr>
                <w:rFonts w:cs="Arial"/>
              </w:rPr>
              <w:t>OTA Tx spurious emissions: additional requirements</w:t>
            </w:r>
          </w:p>
        </w:tc>
        <w:tc>
          <w:tcPr>
            <w:tcW w:w="3040" w:type="pct"/>
            <w:tcBorders>
              <w:top w:val="single" w:sz="4" w:space="0" w:color="auto"/>
              <w:left w:val="single" w:sz="4" w:space="0" w:color="auto"/>
              <w:bottom w:val="single" w:sz="4" w:space="0" w:color="auto"/>
              <w:right w:val="single" w:sz="4" w:space="0" w:color="auto"/>
            </w:tcBorders>
          </w:tcPr>
          <w:p w14:paraId="4B53A66F" w14:textId="77777777" w:rsidR="00137E92" w:rsidRPr="007E346D" w:rsidRDefault="00137E92" w:rsidP="002E1777">
            <w:pPr>
              <w:pStyle w:val="TAL"/>
              <w:rPr>
                <w:rFonts w:cs="Arial"/>
                <w:lang w:eastAsia="ja-JP"/>
              </w:rPr>
            </w:pPr>
            <w:r w:rsidRPr="007E346D">
              <w:t xml:space="preserve">These requirements may be applied for the protection of system operating in frequency ranges other than the </w:t>
            </w:r>
            <w:r>
              <w:t>IAB</w:t>
            </w:r>
            <w:r w:rsidRPr="007E346D">
              <w:t xml:space="preserve"> </w:t>
            </w:r>
            <w:r w:rsidRPr="007E346D">
              <w:rPr>
                <w:i/>
              </w:rPr>
              <w:t>operating band</w:t>
            </w:r>
            <w:r w:rsidRPr="007E346D">
              <w:t>.</w:t>
            </w:r>
          </w:p>
        </w:tc>
      </w:tr>
      <w:tr w:rsidR="00137E92" w:rsidRPr="007E346D" w14:paraId="0DD7FBF9"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16FEECD4" w14:textId="77777777" w:rsidR="00137E92" w:rsidRDefault="00137E92" w:rsidP="002E1777">
            <w:pPr>
              <w:pStyle w:val="TAC"/>
              <w:rPr>
                <w:lang w:eastAsia="ja-JP"/>
              </w:rPr>
            </w:pPr>
            <w:r>
              <w:rPr>
                <w:rFonts w:hint="eastAsia"/>
                <w:lang w:eastAsia="ja-JP"/>
              </w:rPr>
              <w:t>6.</w:t>
            </w:r>
            <w:r>
              <w:rPr>
                <w:lang w:eastAsia="ja-JP"/>
              </w:rPr>
              <w:t>7.2.1,</w:t>
            </w:r>
          </w:p>
          <w:p w14:paraId="4CD0328B" w14:textId="77777777" w:rsidR="00137E92" w:rsidRPr="007E346D" w:rsidRDefault="00137E92" w:rsidP="002E1777">
            <w:pPr>
              <w:pStyle w:val="TAC"/>
            </w:pPr>
            <w:r>
              <w:rPr>
                <w:lang w:eastAsia="ja-JP"/>
              </w:rPr>
              <w:t>9.8.2</w:t>
            </w:r>
          </w:p>
        </w:tc>
        <w:tc>
          <w:tcPr>
            <w:tcW w:w="1359" w:type="pct"/>
            <w:tcBorders>
              <w:top w:val="single" w:sz="4" w:space="0" w:color="auto"/>
              <w:left w:val="single" w:sz="4" w:space="0" w:color="auto"/>
              <w:bottom w:val="single" w:sz="4" w:space="0" w:color="auto"/>
              <w:right w:val="single" w:sz="4" w:space="0" w:color="auto"/>
            </w:tcBorders>
          </w:tcPr>
          <w:p w14:paraId="6A2FDACE" w14:textId="77777777" w:rsidR="00137E92" w:rsidRPr="0013638C" w:rsidRDefault="00137E92" w:rsidP="002E1777">
            <w:pPr>
              <w:pStyle w:val="TAC"/>
              <w:rPr>
                <w:lang w:val="sv-FI" w:eastAsia="ja-JP"/>
              </w:rPr>
            </w:pPr>
            <w:r w:rsidRPr="0013638C">
              <w:rPr>
                <w:rFonts w:hint="eastAsia"/>
                <w:lang w:val="sv-FI" w:eastAsia="ja-JP"/>
              </w:rPr>
              <w:t>T</w:t>
            </w:r>
            <w:r w:rsidRPr="0013638C">
              <w:rPr>
                <w:lang w:val="sv-FI" w:eastAsia="ja-JP"/>
              </w:rPr>
              <w:t>ransmitter intermodulation,</w:t>
            </w:r>
          </w:p>
          <w:p w14:paraId="48EA08A5" w14:textId="77777777" w:rsidR="00137E92" w:rsidRPr="00B6006D" w:rsidRDefault="00137E92" w:rsidP="002E1777">
            <w:pPr>
              <w:pStyle w:val="TAC"/>
              <w:rPr>
                <w:rFonts w:cs="Arial"/>
                <w:highlight w:val="green"/>
                <w:lang w:val="sv-FI"/>
              </w:rPr>
            </w:pPr>
            <w:r w:rsidRPr="0013638C">
              <w:rPr>
                <w:rFonts w:hint="eastAsia"/>
                <w:lang w:val="sv-FI" w:eastAsia="ja-JP"/>
              </w:rPr>
              <w:t>OT</w:t>
            </w:r>
            <w:r w:rsidRPr="0013638C">
              <w:rPr>
                <w:lang w:val="sv-FI" w:eastAsia="ja-JP"/>
              </w:rPr>
              <w:t>A transmitter intermodulation</w:t>
            </w:r>
          </w:p>
        </w:tc>
        <w:tc>
          <w:tcPr>
            <w:tcW w:w="3040" w:type="pct"/>
            <w:tcBorders>
              <w:top w:val="single" w:sz="4" w:space="0" w:color="auto"/>
              <w:left w:val="single" w:sz="4" w:space="0" w:color="auto"/>
              <w:bottom w:val="single" w:sz="4" w:space="0" w:color="auto"/>
              <w:right w:val="single" w:sz="4" w:space="0" w:color="auto"/>
            </w:tcBorders>
          </w:tcPr>
          <w:p w14:paraId="555A8CCA" w14:textId="77777777" w:rsidR="00137E92" w:rsidRPr="007E346D" w:rsidRDefault="00137E92" w:rsidP="002E1777">
            <w:pPr>
              <w:pStyle w:val="TAL"/>
            </w:pPr>
            <w:r>
              <w:rPr>
                <w:rFonts w:hint="eastAsia"/>
                <w:lang w:eastAsia="ja-JP"/>
              </w:rPr>
              <w:t xml:space="preserve">Interfering signal positions that are partially or completely outside of any downlink </w:t>
            </w:r>
            <w:r w:rsidRPr="00C3610A">
              <w:rPr>
                <w:rFonts w:hint="eastAsia"/>
                <w:i/>
                <w:lang w:eastAsia="ja-JP"/>
              </w:rPr>
              <w:t>operating band</w:t>
            </w:r>
            <w:r>
              <w:rPr>
                <w:rFonts w:hint="eastAsia"/>
                <w:lang w:eastAsia="ja-JP"/>
              </w:rPr>
              <w:t xml:space="preserve"> of the </w:t>
            </w:r>
            <w:r>
              <w:rPr>
                <w:lang w:eastAsia="ja-JP"/>
              </w:rPr>
              <w:t>IAB</w:t>
            </w:r>
            <w:r>
              <w:rPr>
                <w:rFonts w:hint="eastAsia"/>
                <w:lang w:eastAsia="ja-JP"/>
              </w:rPr>
              <w:t xml:space="preserve"> are not excluded from the requirement in Japan in Band n77, n78, n79.</w:t>
            </w:r>
          </w:p>
        </w:tc>
      </w:tr>
      <w:tr w:rsidR="00137E92" w:rsidRPr="007E346D" w14:paraId="4F4B2150" w14:textId="77777777" w:rsidTr="002E1777">
        <w:trPr>
          <w:cantSplit/>
          <w:jc w:val="center"/>
        </w:trPr>
        <w:tc>
          <w:tcPr>
            <w:tcW w:w="601" w:type="pct"/>
            <w:tcBorders>
              <w:top w:val="single" w:sz="4" w:space="0" w:color="auto"/>
              <w:left w:val="single" w:sz="4" w:space="0" w:color="auto"/>
              <w:bottom w:val="single" w:sz="4" w:space="0" w:color="auto"/>
              <w:right w:val="single" w:sz="4" w:space="0" w:color="auto"/>
            </w:tcBorders>
          </w:tcPr>
          <w:p w14:paraId="31EA4A16" w14:textId="77777777" w:rsidR="00137E92" w:rsidRDefault="00137E92" w:rsidP="002E1777">
            <w:pPr>
              <w:pStyle w:val="TAC"/>
            </w:pPr>
            <w:r w:rsidRPr="007E346D">
              <w:t>7.6.</w:t>
            </w:r>
            <w:r>
              <w:t>2</w:t>
            </w:r>
            <w:r w:rsidRPr="007E346D">
              <w:t xml:space="preserve">, </w:t>
            </w:r>
          </w:p>
          <w:p w14:paraId="0429048A" w14:textId="77777777" w:rsidR="00137E92" w:rsidRDefault="00137E92" w:rsidP="002E1777">
            <w:pPr>
              <w:pStyle w:val="TAC"/>
            </w:pPr>
            <w:r>
              <w:t>7.6.3</w:t>
            </w:r>
            <w:r w:rsidRPr="007E346D">
              <w:br/>
              <w:t>10.7.2</w:t>
            </w:r>
          </w:p>
          <w:p w14:paraId="349FCDBE" w14:textId="77777777" w:rsidR="00137E92" w:rsidRPr="007E346D" w:rsidRDefault="00137E92" w:rsidP="002E1777">
            <w:pPr>
              <w:pStyle w:val="TAC"/>
            </w:pPr>
            <w:r>
              <w:t>10.7.3</w:t>
            </w:r>
          </w:p>
        </w:tc>
        <w:tc>
          <w:tcPr>
            <w:tcW w:w="1359" w:type="pct"/>
            <w:tcBorders>
              <w:top w:val="single" w:sz="4" w:space="0" w:color="auto"/>
              <w:left w:val="single" w:sz="4" w:space="0" w:color="auto"/>
              <w:bottom w:val="single" w:sz="4" w:space="0" w:color="auto"/>
              <w:right w:val="single" w:sz="4" w:space="0" w:color="auto"/>
            </w:tcBorders>
          </w:tcPr>
          <w:p w14:paraId="71A4C0EC" w14:textId="77777777" w:rsidR="00137E92" w:rsidRPr="00B05FB4" w:rsidRDefault="00137E92" w:rsidP="002E1777">
            <w:pPr>
              <w:pStyle w:val="TAC"/>
            </w:pPr>
            <w:r w:rsidRPr="00B05FB4">
              <w:t>Rx spurious emissions,</w:t>
            </w:r>
          </w:p>
          <w:p w14:paraId="588A01D6" w14:textId="77777777" w:rsidR="00137E92" w:rsidRPr="00B6006D" w:rsidRDefault="00137E92" w:rsidP="002E1777">
            <w:pPr>
              <w:pStyle w:val="TAC"/>
              <w:rPr>
                <w:rFonts w:cs="Arial"/>
                <w:highlight w:val="green"/>
              </w:rPr>
            </w:pPr>
            <w:r w:rsidRPr="00B05FB4">
              <w:t>OTA Rx spurious emissions</w:t>
            </w:r>
          </w:p>
        </w:tc>
        <w:tc>
          <w:tcPr>
            <w:tcW w:w="3040" w:type="pct"/>
            <w:tcBorders>
              <w:top w:val="single" w:sz="4" w:space="0" w:color="auto"/>
              <w:left w:val="single" w:sz="4" w:space="0" w:color="auto"/>
              <w:bottom w:val="single" w:sz="4" w:space="0" w:color="auto"/>
              <w:right w:val="single" w:sz="4" w:space="0" w:color="auto"/>
            </w:tcBorders>
          </w:tcPr>
          <w:p w14:paraId="4175625B" w14:textId="77777777" w:rsidR="00137E92" w:rsidRPr="007E346D" w:rsidRDefault="00137E92" w:rsidP="002E1777">
            <w:pPr>
              <w:pStyle w:val="TAL"/>
              <w:rPr>
                <w:rFonts w:cs="Arial"/>
                <w:lang w:eastAsia="ja-JP"/>
              </w:rPr>
            </w:pPr>
            <w:r w:rsidRPr="007E346D">
              <w:t xml:space="preserve">The emission limits </w:t>
            </w:r>
            <w:r>
              <w:t>for IAB</w:t>
            </w:r>
            <w:r w:rsidRPr="007A7019">
              <w:rPr>
                <w:i/>
              </w:rPr>
              <w:t xml:space="preserve"> type 1-H</w:t>
            </w:r>
            <w:r>
              <w:t xml:space="preserve"> and </w:t>
            </w:r>
            <w:r>
              <w:rPr>
                <w:i/>
              </w:rPr>
              <w:t>IAB</w:t>
            </w:r>
            <w:r w:rsidRPr="007A7019">
              <w:rPr>
                <w:i/>
              </w:rPr>
              <w:t xml:space="preserve"> type 1-O</w:t>
            </w:r>
            <w:r w:rsidRPr="005A07C7">
              <w:t xml:space="preserve"> </w:t>
            </w:r>
            <w:r w:rsidRPr="007E346D">
              <w:t xml:space="preserve">specified as the </w:t>
            </w:r>
            <w:r w:rsidRPr="007E346D">
              <w:rPr>
                <w:i/>
              </w:rPr>
              <w:t>basic limit</w:t>
            </w:r>
            <w:r w:rsidRPr="007E346D">
              <w:t xml:space="preserve"> + X (dB) are applicable, unless stated differently in regional regulation.</w:t>
            </w:r>
          </w:p>
        </w:tc>
      </w:tr>
    </w:tbl>
    <w:p w14:paraId="195D0C5F" w14:textId="77777777" w:rsidR="00137E92" w:rsidRDefault="00137E92" w:rsidP="00137E92"/>
    <w:p w14:paraId="09F1FDF5" w14:textId="60E702A3" w:rsidR="00077B6E" w:rsidRPr="007E346D" w:rsidRDefault="00077B6E" w:rsidP="00077B6E">
      <w:pPr>
        <w:pStyle w:val="Heading2"/>
      </w:pPr>
      <w:bookmarkStart w:id="364" w:name="_Toc57820136"/>
      <w:bookmarkStart w:id="365" w:name="_Toc57821063"/>
      <w:bookmarkStart w:id="366" w:name="_Toc61183339"/>
      <w:bookmarkStart w:id="367" w:name="_Toc61183733"/>
      <w:bookmarkStart w:id="368" w:name="_Toc61184125"/>
      <w:bookmarkStart w:id="369" w:name="_Toc61184517"/>
      <w:bookmarkStart w:id="370" w:name="_Toc61184907"/>
      <w:bookmarkStart w:id="371" w:name="_Toc66386250"/>
      <w:bookmarkStart w:id="372" w:name="_Toc74583091"/>
      <w:bookmarkStart w:id="373" w:name="_Toc76541904"/>
      <w:bookmarkStart w:id="374" w:name="_Toc82449886"/>
      <w:bookmarkStart w:id="375" w:name="_Toc82450534"/>
      <w:bookmarkStart w:id="376" w:name="_Toc89948923"/>
      <w:bookmarkStart w:id="377" w:name="_Toc98755312"/>
      <w:bookmarkStart w:id="378" w:name="_Toc98762901"/>
      <w:bookmarkStart w:id="379" w:name="_Toc106183830"/>
      <w:r w:rsidRPr="007E346D">
        <w:t>4.6</w:t>
      </w:r>
      <w:r w:rsidRPr="007E346D">
        <w:tab/>
        <w:t>Applicability of requirements</w:t>
      </w:r>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p>
    <w:p w14:paraId="0D25CBC7" w14:textId="77777777" w:rsidR="00241248" w:rsidRPr="000D269D" w:rsidRDefault="00241248" w:rsidP="00241248">
      <w:bookmarkStart w:id="380" w:name="_Toc13080130"/>
      <w:bookmarkStart w:id="381" w:name="_Toc18916157"/>
      <w:r w:rsidRPr="000D269D">
        <w:t xml:space="preserve">In table 4.6-1, the requirement applicability for each </w:t>
      </w:r>
      <w:r w:rsidRPr="000D269D">
        <w:rPr>
          <w:i/>
        </w:rPr>
        <w:t>requirement set</w:t>
      </w:r>
      <w:r>
        <w:rPr>
          <w:i/>
        </w:rPr>
        <w:t xml:space="preserve"> </w:t>
      </w:r>
      <w:r>
        <w:rPr>
          <w:iCs/>
        </w:rPr>
        <w:t>of IAB-DUs</w:t>
      </w:r>
      <w:r w:rsidRPr="000D269D">
        <w:t xml:space="preserve"> is defined. In table 4.6-</w:t>
      </w:r>
      <w:r>
        <w:t>2</w:t>
      </w:r>
      <w:r w:rsidRPr="000D269D">
        <w:t xml:space="preserve">, the requirement applicability for each </w:t>
      </w:r>
      <w:r w:rsidRPr="000D269D">
        <w:rPr>
          <w:i/>
        </w:rPr>
        <w:t>requirement set</w:t>
      </w:r>
      <w:r>
        <w:rPr>
          <w:i/>
        </w:rPr>
        <w:t xml:space="preserve"> </w:t>
      </w:r>
      <w:r>
        <w:rPr>
          <w:iCs/>
        </w:rPr>
        <w:t>of IAB-MTs</w:t>
      </w:r>
      <w:r w:rsidRPr="000D269D">
        <w:t xml:space="preserve"> is defined. For each requirement, the applicable requirement clause in the specification is identified. Requirements not included in a </w:t>
      </w:r>
      <w:r w:rsidRPr="000D269D">
        <w:rPr>
          <w:i/>
        </w:rPr>
        <w:t>requirement set</w:t>
      </w:r>
      <w:r w:rsidRPr="000D269D">
        <w:t xml:space="preserve"> is marked not applicable (NA).</w:t>
      </w:r>
    </w:p>
    <w:p w14:paraId="7E073D0C" w14:textId="77777777" w:rsidR="00241248" w:rsidRPr="000D269D" w:rsidRDefault="00241248" w:rsidP="009D1F1D">
      <w:pPr>
        <w:pStyle w:val="TH"/>
      </w:pPr>
      <w:r w:rsidRPr="000D269D">
        <w:lastRenderedPageBreak/>
        <w:t xml:space="preserve">Table 4.6-1: </w:t>
      </w:r>
      <w:r w:rsidRPr="000D269D">
        <w:rPr>
          <w:i/>
        </w:rPr>
        <w:t>Requirement set</w:t>
      </w:r>
      <w:r w:rsidRPr="000D269D">
        <w:t xml:space="preserve"> applicability</w:t>
      </w:r>
      <w:r>
        <w:t xml:space="preserve"> for IAB-DUs</w:t>
      </w:r>
    </w:p>
    <w:tbl>
      <w:tblPr>
        <w:tblW w:w="745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972"/>
        <w:gridCol w:w="1415"/>
        <w:gridCol w:w="1533"/>
        <w:gridCol w:w="1533"/>
      </w:tblGrid>
      <w:tr w:rsidR="00AC7434" w:rsidRPr="000D269D" w14:paraId="2C2665AF" w14:textId="77777777" w:rsidTr="00AC7434">
        <w:tc>
          <w:tcPr>
            <w:tcW w:w="2972" w:type="dxa"/>
            <w:shd w:val="clear" w:color="auto" w:fill="auto"/>
          </w:tcPr>
          <w:p w14:paraId="4D730891" w14:textId="76F29714" w:rsidR="00AC7434" w:rsidRPr="000D269D" w:rsidRDefault="00AC7434" w:rsidP="00AC7434">
            <w:pPr>
              <w:pStyle w:val="TAH"/>
              <w:rPr>
                <w:lang w:eastAsia="ja-JP"/>
              </w:rPr>
            </w:pPr>
            <w:r w:rsidRPr="000D269D">
              <w:rPr>
                <w:lang w:eastAsia="ja-JP"/>
              </w:rPr>
              <w:t>Requirement</w:t>
            </w:r>
          </w:p>
        </w:tc>
        <w:tc>
          <w:tcPr>
            <w:tcW w:w="1415" w:type="dxa"/>
            <w:shd w:val="clear" w:color="auto" w:fill="auto"/>
          </w:tcPr>
          <w:p w14:paraId="511C6F07" w14:textId="4F908D71" w:rsidR="00AC7434" w:rsidRPr="000D269D" w:rsidRDefault="00AC7434" w:rsidP="00AC7434">
            <w:pPr>
              <w:pStyle w:val="TAH"/>
              <w:rPr>
                <w:lang w:eastAsia="ja-JP"/>
              </w:rPr>
            </w:pPr>
            <w:r w:rsidRPr="000D269D">
              <w:rPr>
                <w:rFonts w:ascii="Times New Roman" w:hAnsi="Times New Roman"/>
                <w:i/>
                <w:sz w:val="20"/>
                <w:lang w:eastAsia="ja-JP"/>
              </w:rPr>
              <w:t>IAB</w:t>
            </w:r>
            <w:r>
              <w:rPr>
                <w:rFonts w:ascii="Times New Roman" w:hAnsi="Times New Roman"/>
                <w:i/>
                <w:sz w:val="20"/>
                <w:lang w:eastAsia="ja-JP"/>
              </w:rPr>
              <w:t>-DU</w:t>
            </w:r>
            <w:r w:rsidRPr="000D269D">
              <w:rPr>
                <w:rFonts w:ascii="Times New Roman" w:hAnsi="Times New Roman"/>
                <w:i/>
                <w:sz w:val="20"/>
                <w:lang w:eastAsia="ja-JP"/>
              </w:rPr>
              <w:t xml:space="preserve"> type 1-H</w:t>
            </w:r>
          </w:p>
        </w:tc>
        <w:tc>
          <w:tcPr>
            <w:tcW w:w="1533" w:type="dxa"/>
            <w:tcBorders>
              <w:bottom w:val="single" w:sz="4" w:space="0" w:color="auto"/>
            </w:tcBorders>
          </w:tcPr>
          <w:p w14:paraId="4ADC3CE7" w14:textId="43E0DE28" w:rsidR="00AC7434" w:rsidRPr="000D269D" w:rsidRDefault="00AC7434" w:rsidP="00AC7434">
            <w:pPr>
              <w:pStyle w:val="TAH"/>
              <w:rPr>
                <w:lang w:eastAsia="ja-JP"/>
              </w:rPr>
            </w:pPr>
            <w:r w:rsidRPr="000D269D">
              <w:rPr>
                <w:rFonts w:ascii="Times New Roman" w:hAnsi="Times New Roman"/>
                <w:i/>
                <w:sz w:val="20"/>
                <w:lang w:eastAsia="ja-JP"/>
              </w:rPr>
              <w:t>IAB</w:t>
            </w:r>
            <w:r>
              <w:rPr>
                <w:rFonts w:ascii="Times New Roman" w:hAnsi="Times New Roman"/>
                <w:i/>
                <w:sz w:val="20"/>
                <w:lang w:eastAsia="ja-JP"/>
              </w:rPr>
              <w:t>-DU</w:t>
            </w:r>
            <w:r w:rsidRPr="000D269D">
              <w:rPr>
                <w:rFonts w:ascii="Times New Roman" w:hAnsi="Times New Roman"/>
                <w:i/>
                <w:sz w:val="20"/>
                <w:lang w:eastAsia="ja-JP"/>
              </w:rPr>
              <w:t xml:space="preserve"> type 1-O</w:t>
            </w:r>
          </w:p>
        </w:tc>
        <w:tc>
          <w:tcPr>
            <w:tcW w:w="1533" w:type="dxa"/>
            <w:tcBorders>
              <w:bottom w:val="single" w:sz="4" w:space="0" w:color="auto"/>
            </w:tcBorders>
          </w:tcPr>
          <w:p w14:paraId="7E195031" w14:textId="2DA8DD7F" w:rsidR="00AC7434" w:rsidRPr="000D269D" w:rsidRDefault="00AC7434" w:rsidP="00AC7434">
            <w:pPr>
              <w:pStyle w:val="TAH"/>
              <w:rPr>
                <w:lang w:eastAsia="ja-JP"/>
              </w:rPr>
            </w:pPr>
            <w:r w:rsidRPr="000D269D">
              <w:rPr>
                <w:rFonts w:ascii="Times New Roman" w:hAnsi="Times New Roman"/>
                <w:i/>
                <w:sz w:val="20"/>
                <w:lang w:eastAsia="ja-JP"/>
              </w:rPr>
              <w:t>IAB</w:t>
            </w:r>
            <w:r>
              <w:rPr>
                <w:rFonts w:ascii="Times New Roman" w:hAnsi="Times New Roman"/>
                <w:i/>
                <w:sz w:val="20"/>
                <w:lang w:eastAsia="ja-JP"/>
              </w:rPr>
              <w:t>-DU</w:t>
            </w:r>
            <w:r w:rsidRPr="000D269D">
              <w:rPr>
                <w:rFonts w:ascii="Times New Roman" w:hAnsi="Times New Roman"/>
                <w:i/>
                <w:sz w:val="20"/>
                <w:lang w:eastAsia="ja-JP"/>
              </w:rPr>
              <w:t xml:space="preserve"> type 2-O</w:t>
            </w:r>
          </w:p>
        </w:tc>
      </w:tr>
      <w:tr w:rsidR="00AC7434" w:rsidRPr="000D269D" w14:paraId="7994A9EB" w14:textId="77777777" w:rsidTr="00AC7434">
        <w:tc>
          <w:tcPr>
            <w:tcW w:w="2972" w:type="dxa"/>
            <w:shd w:val="clear" w:color="auto" w:fill="auto"/>
          </w:tcPr>
          <w:p w14:paraId="12DE8172" w14:textId="77777777" w:rsidR="00AC7434" w:rsidRPr="000D269D" w:rsidDel="00014DAC" w:rsidRDefault="00AC7434" w:rsidP="00AC7434">
            <w:pPr>
              <w:pStyle w:val="TAC"/>
              <w:rPr>
                <w:lang w:eastAsia="ja-JP"/>
              </w:rPr>
            </w:pPr>
            <w:r w:rsidRPr="000D269D">
              <w:rPr>
                <w:lang w:eastAsia="ja-JP"/>
              </w:rPr>
              <w:t>Output power</w:t>
            </w:r>
          </w:p>
        </w:tc>
        <w:tc>
          <w:tcPr>
            <w:tcW w:w="1415" w:type="dxa"/>
            <w:shd w:val="clear" w:color="auto" w:fill="auto"/>
          </w:tcPr>
          <w:p w14:paraId="7D18B5C5" w14:textId="77777777" w:rsidR="00AC7434" w:rsidRPr="000D269D" w:rsidRDefault="00AC7434" w:rsidP="00AC7434">
            <w:pPr>
              <w:pStyle w:val="TAC"/>
              <w:rPr>
                <w:lang w:eastAsia="ja-JP"/>
              </w:rPr>
            </w:pPr>
            <w:r w:rsidRPr="000D269D">
              <w:rPr>
                <w:lang w:eastAsia="ja-JP"/>
              </w:rPr>
              <w:t>6.2</w:t>
            </w:r>
          </w:p>
        </w:tc>
        <w:tc>
          <w:tcPr>
            <w:tcW w:w="1533" w:type="dxa"/>
            <w:tcBorders>
              <w:bottom w:val="nil"/>
            </w:tcBorders>
            <w:shd w:val="clear" w:color="auto" w:fill="auto"/>
          </w:tcPr>
          <w:p w14:paraId="3DB86997" w14:textId="49599E42" w:rsidR="00AC7434" w:rsidRPr="000D269D" w:rsidRDefault="00AC7434" w:rsidP="00AC7434">
            <w:pPr>
              <w:pStyle w:val="TAC"/>
              <w:rPr>
                <w:lang w:eastAsia="ja-JP"/>
              </w:rPr>
            </w:pPr>
            <w:r w:rsidRPr="000D269D">
              <w:rPr>
                <w:lang w:eastAsia="ja-JP"/>
              </w:rPr>
              <w:t>NA</w:t>
            </w:r>
          </w:p>
        </w:tc>
        <w:tc>
          <w:tcPr>
            <w:tcW w:w="1533" w:type="dxa"/>
            <w:tcBorders>
              <w:bottom w:val="nil"/>
            </w:tcBorders>
            <w:shd w:val="clear" w:color="auto" w:fill="auto"/>
          </w:tcPr>
          <w:p w14:paraId="7317F811" w14:textId="341EF1C4" w:rsidR="00AC7434" w:rsidRPr="000D269D" w:rsidRDefault="00AC7434" w:rsidP="00AC7434">
            <w:pPr>
              <w:pStyle w:val="TAC"/>
              <w:rPr>
                <w:lang w:eastAsia="ja-JP"/>
              </w:rPr>
            </w:pPr>
            <w:r w:rsidRPr="000D269D">
              <w:rPr>
                <w:lang w:eastAsia="ja-JP"/>
              </w:rPr>
              <w:t>NA</w:t>
            </w:r>
          </w:p>
        </w:tc>
      </w:tr>
      <w:tr w:rsidR="00AC7434" w:rsidRPr="000D269D" w14:paraId="6719DD74" w14:textId="77777777" w:rsidTr="00AC7434">
        <w:tc>
          <w:tcPr>
            <w:tcW w:w="2972" w:type="dxa"/>
            <w:shd w:val="clear" w:color="auto" w:fill="auto"/>
          </w:tcPr>
          <w:p w14:paraId="5747A56A" w14:textId="77777777" w:rsidR="00AC7434" w:rsidRPr="000D269D" w:rsidDel="00014DAC" w:rsidRDefault="00AC7434" w:rsidP="00AC7434">
            <w:pPr>
              <w:pStyle w:val="TAC"/>
              <w:rPr>
                <w:lang w:eastAsia="ja-JP"/>
              </w:rPr>
            </w:pPr>
            <w:r w:rsidRPr="000D269D">
              <w:rPr>
                <w:lang w:eastAsia="ja-JP"/>
              </w:rPr>
              <w:t xml:space="preserve">Output power dynamics </w:t>
            </w:r>
          </w:p>
        </w:tc>
        <w:tc>
          <w:tcPr>
            <w:tcW w:w="1415" w:type="dxa"/>
            <w:shd w:val="clear" w:color="auto" w:fill="auto"/>
          </w:tcPr>
          <w:p w14:paraId="72A1B5E3" w14:textId="77777777" w:rsidR="00AC7434" w:rsidRPr="000D269D" w:rsidRDefault="00AC7434" w:rsidP="00AC7434">
            <w:pPr>
              <w:pStyle w:val="TAC"/>
              <w:rPr>
                <w:lang w:eastAsia="ja-JP"/>
              </w:rPr>
            </w:pPr>
            <w:r w:rsidRPr="000D269D">
              <w:rPr>
                <w:lang w:eastAsia="ja-JP"/>
              </w:rPr>
              <w:t>6.3</w:t>
            </w:r>
          </w:p>
        </w:tc>
        <w:tc>
          <w:tcPr>
            <w:tcW w:w="1533" w:type="dxa"/>
            <w:tcBorders>
              <w:top w:val="nil"/>
              <w:bottom w:val="nil"/>
            </w:tcBorders>
            <w:shd w:val="clear" w:color="auto" w:fill="auto"/>
          </w:tcPr>
          <w:p w14:paraId="40CBB243"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61828449" w14:textId="77777777" w:rsidR="00AC7434" w:rsidRPr="000D269D" w:rsidRDefault="00AC7434" w:rsidP="00AC7434">
            <w:pPr>
              <w:pStyle w:val="TAC"/>
              <w:rPr>
                <w:lang w:eastAsia="ja-JP"/>
              </w:rPr>
            </w:pPr>
          </w:p>
        </w:tc>
      </w:tr>
      <w:tr w:rsidR="00AC7434" w:rsidRPr="000D269D" w14:paraId="544B3659" w14:textId="77777777" w:rsidTr="00AC7434">
        <w:tc>
          <w:tcPr>
            <w:tcW w:w="2972" w:type="dxa"/>
            <w:shd w:val="clear" w:color="auto" w:fill="auto"/>
          </w:tcPr>
          <w:p w14:paraId="66518B6C" w14:textId="77777777" w:rsidR="00AC7434" w:rsidRPr="000D269D" w:rsidRDefault="00AC7434" w:rsidP="00AC7434">
            <w:pPr>
              <w:pStyle w:val="TAC"/>
              <w:rPr>
                <w:lang w:eastAsia="ja-JP"/>
              </w:rPr>
            </w:pPr>
            <w:r w:rsidRPr="000D269D">
              <w:rPr>
                <w:lang w:eastAsia="ja-JP"/>
              </w:rPr>
              <w:t xml:space="preserve">Transmit ON/OFF power </w:t>
            </w:r>
          </w:p>
        </w:tc>
        <w:tc>
          <w:tcPr>
            <w:tcW w:w="1415" w:type="dxa"/>
            <w:shd w:val="clear" w:color="auto" w:fill="auto"/>
          </w:tcPr>
          <w:p w14:paraId="615E97BB" w14:textId="77777777" w:rsidR="00AC7434" w:rsidRPr="000D269D" w:rsidRDefault="00AC7434" w:rsidP="00AC7434">
            <w:pPr>
              <w:pStyle w:val="TAC"/>
              <w:rPr>
                <w:lang w:eastAsia="ja-JP"/>
              </w:rPr>
            </w:pPr>
            <w:r w:rsidRPr="000D269D">
              <w:rPr>
                <w:lang w:eastAsia="ja-JP"/>
              </w:rPr>
              <w:t>6.4</w:t>
            </w:r>
          </w:p>
        </w:tc>
        <w:tc>
          <w:tcPr>
            <w:tcW w:w="1533" w:type="dxa"/>
            <w:tcBorders>
              <w:top w:val="nil"/>
              <w:bottom w:val="nil"/>
            </w:tcBorders>
            <w:shd w:val="clear" w:color="auto" w:fill="auto"/>
          </w:tcPr>
          <w:p w14:paraId="04EFD78D"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002CDDF2" w14:textId="77777777" w:rsidR="00AC7434" w:rsidRPr="000D269D" w:rsidRDefault="00AC7434" w:rsidP="00AC7434">
            <w:pPr>
              <w:pStyle w:val="TAC"/>
              <w:rPr>
                <w:lang w:eastAsia="ja-JP"/>
              </w:rPr>
            </w:pPr>
          </w:p>
        </w:tc>
      </w:tr>
      <w:tr w:rsidR="00AC7434" w:rsidRPr="000D269D" w14:paraId="65FD230D" w14:textId="77777777" w:rsidTr="00AC7434">
        <w:tc>
          <w:tcPr>
            <w:tcW w:w="2972" w:type="dxa"/>
            <w:shd w:val="clear" w:color="auto" w:fill="auto"/>
          </w:tcPr>
          <w:p w14:paraId="6470DF54" w14:textId="77777777" w:rsidR="00AC7434" w:rsidRPr="000D269D" w:rsidRDefault="00AC7434" w:rsidP="00AC7434">
            <w:pPr>
              <w:pStyle w:val="TAC"/>
              <w:rPr>
                <w:lang w:eastAsia="ja-JP"/>
              </w:rPr>
            </w:pPr>
            <w:r w:rsidRPr="000D269D">
              <w:rPr>
                <w:lang w:eastAsia="ja-JP"/>
              </w:rPr>
              <w:t>Transmitted signal quality</w:t>
            </w:r>
          </w:p>
        </w:tc>
        <w:tc>
          <w:tcPr>
            <w:tcW w:w="1415" w:type="dxa"/>
            <w:shd w:val="clear" w:color="auto" w:fill="auto"/>
          </w:tcPr>
          <w:p w14:paraId="5934906D" w14:textId="77777777" w:rsidR="00AC7434" w:rsidRPr="000D269D" w:rsidRDefault="00AC7434" w:rsidP="00AC7434">
            <w:pPr>
              <w:pStyle w:val="TAC"/>
              <w:rPr>
                <w:lang w:eastAsia="ja-JP"/>
              </w:rPr>
            </w:pPr>
            <w:r w:rsidRPr="000D269D">
              <w:rPr>
                <w:lang w:eastAsia="ja-JP"/>
              </w:rPr>
              <w:t>6.5</w:t>
            </w:r>
          </w:p>
        </w:tc>
        <w:tc>
          <w:tcPr>
            <w:tcW w:w="1533" w:type="dxa"/>
            <w:tcBorders>
              <w:top w:val="nil"/>
              <w:bottom w:val="nil"/>
            </w:tcBorders>
            <w:shd w:val="clear" w:color="auto" w:fill="auto"/>
          </w:tcPr>
          <w:p w14:paraId="5095898D"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13CACBE7" w14:textId="77777777" w:rsidR="00AC7434" w:rsidRPr="000D269D" w:rsidRDefault="00AC7434" w:rsidP="00AC7434">
            <w:pPr>
              <w:pStyle w:val="TAC"/>
              <w:rPr>
                <w:lang w:eastAsia="ja-JP"/>
              </w:rPr>
            </w:pPr>
          </w:p>
        </w:tc>
      </w:tr>
      <w:tr w:rsidR="00AC7434" w:rsidRPr="000D269D" w14:paraId="55CB6236" w14:textId="77777777" w:rsidTr="00AC7434">
        <w:tc>
          <w:tcPr>
            <w:tcW w:w="2972" w:type="dxa"/>
            <w:shd w:val="clear" w:color="auto" w:fill="auto"/>
          </w:tcPr>
          <w:p w14:paraId="3B368429" w14:textId="77777777" w:rsidR="00AC7434" w:rsidRPr="000D269D" w:rsidDel="00014DAC" w:rsidRDefault="00AC7434" w:rsidP="00AC7434">
            <w:pPr>
              <w:pStyle w:val="TAC"/>
              <w:rPr>
                <w:lang w:eastAsia="ja-JP"/>
              </w:rPr>
            </w:pPr>
            <w:r w:rsidRPr="000D269D">
              <w:rPr>
                <w:lang w:eastAsia="ja-JP"/>
              </w:rPr>
              <w:t>Occupied bandwidth</w:t>
            </w:r>
          </w:p>
        </w:tc>
        <w:tc>
          <w:tcPr>
            <w:tcW w:w="1415" w:type="dxa"/>
            <w:shd w:val="clear" w:color="auto" w:fill="auto"/>
          </w:tcPr>
          <w:p w14:paraId="3578FBF3" w14:textId="77777777" w:rsidR="00AC7434" w:rsidRPr="000D269D" w:rsidRDefault="00AC7434" w:rsidP="00AC7434">
            <w:pPr>
              <w:pStyle w:val="TAC"/>
              <w:rPr>
                <w:lang w:eastAsia="ja-JP"/>
              </w:rPr>
            </w:pPr>
            <w:r>
              <w:rPr>
                <w:lang w:eastAsia="ja-JP"/>
              </w:rPr>
              <w:t>6.6.2</w:t>
            </w:r>
          </w:p>
        </w:tc>
        <w:tc>
          <w:tcPr>
            <w:tcW w:w="1533" w:type="dxa"/>
            <w:tcBorders>
              <w:top w:val="nil"/>
              <w:bottom w:val="nil"/>
            </w:tcBorders>
            <w:shd w:val="clear" w:color="auto" w:fill="auto"/>
          </w:tcPr>
          <w:p w14:paraId="7D66780F"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5F18CF08" w14:textId="77777777" w:rsidR="00AC7434" w:rsidRPr="000D269D" w:rsidRDefault="00AC7434" w:rsidP="00AC7434">
            <w:pPr>
              <w:pStyle w:val="TAC"/>
              <w:rPr>
                <w:lang w:eastAsia="ja-JP"/>
              </w:rPr>
            </w:pPr>
          </w:p>
        </w:tc>
      </w:tr>
      <w:tr w:rsidR="00AC7434" w:rsidRPr="000D269D" w14:paraId="662EDFAE" w14:textId="77777777" w:rsidTr="00AC7434">
        <w:tc>
          <w:tcPr>
            <w:tcW w:w="2972" w:type="dxa"/>
            <w:shd w:val="clear" w:color="auto" w:fill="auto"/>
          </w:tcPr>
          <w:p w14:paraId="76839891" w14:textId="77777777" w:rsidR="00AC7434" w:rsidRPr="000D269D" w:rsidDel="00014DAC" w:rsidRDefault="00AC7434" w:rsidP="00AC7434">
            <w:pPr>
              <w:pStyle w:val="TAC"/>
              <w:rPr>
                <w:lang w:eastAsia="ja-JP"/>
              </w:rPr>
            </w:pPr>
            <w:r w:rsidRPr="000D269D">
              <w:rPr>
                <w:lang w:eastAsia="ja-JP"/>
              </w:rPr>
              <w:t>ACLR</w:t>
            </w:r>
          </w:p>
        </w:tc>
        <w:tc>
          <w:tcPr>
            <w:tcW w:w="1415" w:type="dxa"/>
            <w:shd w:val="clear" w:color="auto" w:fill="auto"/>
          </w:tcPr>
          <w:p w14:paraId="3180E28C" w14:textId="77777777" w:rsidR="00AC7434" w:rsidRPr="000D269D" w:rsidRDefault="00AC7434" w:rsidP="00AC7434">
            <w:pPr>
              <w:pStyle w:val="TAC"/>
              <w:rPr>
                <w:lang w:eastAsia="ja-JP"/>
              </w:rPr>
            </w:pPr>
            <w:r>
              <w:rPr>
                <w:lang w:eastAsia="ja-JP"/>
              </w:rPr>
              <w:t>6.6.3</w:t>
            </w:r>
          </w:p>
        </w:tc>
        <w:tc>
          <w:tcPr>
            <w:tcW w:w="1533" w:type="dxa"/>
            <w:tcBorders>
              <w:top w:val="nil"/>
              <w:bottom w:val="nil"/>
            </w:tcBorders>
            <w:shd w:val="clear" w:color="auto" w:fill="auto"/>
          </w:tcPr>
          <w:p w14:paraId="387FCFAE"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1A4F103E" w14:textId="77777777" w:rsidR="00AC7434" w:rsidRPr="000D269D" w:rsidRDefault="00AC7434" w:rsidP="00AC7434">
            <w:pPr>
              <w:pStyle w:val="TAC"/>
              <w:rPr>
                <w:lang w:eastAsia="ja-JP"/>
              </w:rPr>
            </w:pPr>
          </w:p>
        </w:tc>
      </w:tr>
      <w:tr w:rsidR="00AC7434" w:rsidRPr="000D269D" w14:paraId="2AE64AB3" w14:textId="77777777" w:rsidTr="00AC7434">
        <w:tc>
          <w:tcPr>
            <w:tcW w:w="2972" w:type="dxa"/>
            <w:shd w:val="clear" w:color="auto" w:fill="auto"/>
          </w:tcPr>
          <w:p w14:paraId="2F480927" w14:textId="77777777" w:rsidR="00AC7434" w:rsidRPr="000D269D" w:rsidRDefault="00AC7434" w:rsidP="00AC7434">
            <w:pPr>
              <w:pStyle w:val="TAC"/>
              <w:rPr>
                <w:lang w:eastAsia="ja-JP"/>
              </w:rPr>
            </w:pPr>
            <w:r w:rsidRPr="000D269D">
              <w:rPr>
                <w:lang w:eastAsia="ja-JP"/>
              </w:rPr>
              <w:t>Operating band unwanted</w:t>
            </w:r>
          </w:p>
          <w:p w14:paraId="7993E911" w14:textId="77777777" w:rsidR="00AC7434" w:rsidRPr="000D269D" w:rsidDel="00014DAC" w:rsidRDefault="00AC7434" w:rsidP="00AC7434">
            <w:pPr>
              <w:pStyle w:val="TAC"/>
              <w:rPr>
                <w:lang w:eastAsia="ja-JP"/>
              </w:rPr>
            </w:pPr>
            <w:r w:rsidRPr="000D269D">
              <w:rPr>
                <w:lang w:eastAsia="ja-JP"/>
              </w:rPr>
              <w:t>emissions</w:t>
            </w:r>
          </w:p>
        </w:tc>
        <w:tc>
          <w:tcPr>
            <w:tcW w:w="1415" w:type="dxa"/>
            <w:shd w:val="clear" w:color="auto" w:fill="auto"/>
          </w:tcPr>
          <w:p w14:paraId="3A613174" w14:textId="77777777" w:rsidR="00AC7434" w:rsidRPr="000D269D" w:rsidRDefault="00AC7434" w:rsidP="00AC7434">
            <w:pPr>
              <w:pStyle w:val="TAC"/>
              <w:rPr>
                <w:lang w:eastAsia="ja-JP"/>
              </w:rPr>
            </w:pPr>
            <w:r>
              <w:rPr>
                <w:lang w:eastAsia="ja-JP"/>
              </w:rPr>
              <w:t>6.6.4</w:t>
            </w:r>
          </w:p>
        </w:tc>
        <w:tc>
          <w:tcPr>
            <w:tcW w:w="1533" w:type="dxa"/>
            <w:tcBorders>
              <w:top w:val="nil"/>
              <w:bottom w:val="nil"/>
            </w:tcBorders>
            <w:shd w:val="clear" w:color="auto" w:fill="auto"/>
          </w:tcPr>
          <w:p w14:paraId="3DB307C8"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183E58ED" w14:textId="77777777" w:rsidR="00AC7434" w:rsidRPr="000D269D" w:rsidRDefault="00AC7434" w:rsidP="00AC7434">
            <w:pPr>
              <w:pStyle w:val="TAC"/>
              <w:rPr>
                <w:lang w:eastAsia="ja-JP"/>
              </w:rPr>
            </w:pPr>
          </w:p>
        </w:tc>
      </w:tr>
      <w:tr w:rsidR="00AC7434" w:rsidRPr="000D269D" w14:paraId="28EA903A" w14:textId="77777777" w:rsidTr="00AC7434">
        <w:tc>
          <w:tcPr>
            <w:tcW w:w="2972" w:type="dxa"/>
            <w:shd w:val="clear" w:color="auto" w:fill="auto"/>
          </w:tcPr>
          <w:p w14:paraId="5FCC7D42" w14:textId="77777777" w:rsidR="00AC7434" w:rsidRPr="000D269D" w:rsidRDefault="00AC7434" w:rsidP="00AC7434">
            <w:pPr>
              <w:pStyle w:val="TAC"/>
              <w:rPr>
                <w:lang w:eastAsia="ja-JP"/>
              </w:rPr>
            </w:pPr>
            <w:r w:rsidRPr="000D269D">
              <w:rPr>
                <w:lang w:eastAsia="ja-JP"/>
              </w:rPr>
              <w:t>Transmitter spurious emissions</w:t>
            </w:r>
          </w:p>
        </w:tc>
        <w:tc>
          <w:tcPr>
            <w:tcW w:w="1415" w:type="dxa"/>
            <w:shd w:val="clear" w:color="auto" w:fill="auto"/>
          </w:tcPr>
          <w:p w14:paraId="42EE2AB6" w14:textId="77777777" w:rsidR="00AC7434" w:rsidRPr="000D269D" w:rsidRDefault="00AC7434" w:rsidP="00AC7434">
            <w:pPr>
              <w:pStyle w:val="TAC"/>
              <w:rPr>
                <w:lang w:eastAsia="ja-JP"/>
              </w:rPr>
            </w:pPr>
            <w:r>
              <w:rPr>
                <w:lang w:eastAsia="ja-JP"/>
              </w:rPr>
              <w:t>6.6.5</w:t>
            </w:r>
          </w:p>
        </w:tc>
        <w:tc>
          <w:tcPr>
            <w:tcW w:w="1533" w:type="dxa"/>
            <w:tcBorders>
              <w:top w:val="nil"/>
              <w:bottom w:val="nil"/>
            </w:tcBorders>
            <w:shd w:val="clear" w:color="auto" w:fill="auto"/>
          </w:tcPr>
          <w:p w14:paraId="45E96ADF"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26B5D64A" w14:textId="77777777" w:rsidR="00AC7434" w:rsidRPr="000D269D" w:rsidRDefault="00AC7434" w:rsidP="00AC7434">
            <w:pPr>
              <w:pStyle w:val="TAC"/>
              <w:rPr>
                <w:lang w:eastAsia="ja-JP"/>
              </w:rPr>
            </w:pPr>
          </w:p>
        </w:tc>
      </w:tr>
      <w:tr w:rsidR="00AC7434" w:rsidRPr="000D269D" w14:paraId="3719335B" w14:textId="77777777" w:rsidTr="00AC7434">
        <w:tc>
          <w:tcPr>
            <w:tcW w:w="2972" w:type="dxa"/>
            <w:shd w:val="clear" w:color="auto" w:fill="auto"/>
          </w:tcPr>
          <w:p w14:paraId="49ABD584" w14:textId="77777777" w:rsidR="00AC7434" w:rsidRPr="000D269D" w:rsidRDefault="00AC7434" w:rsidP="00AC7434">
            <w:pPr>
              <w:pStyle w:val="TAC"/>
              <w:rPr>
                <w:lang w:eastAsia="ja-JP"/>
              </w:rPr>
            </w:pPr>
            <w:r w:rsidRPr="000D269D">
              <w:rPr>
                <w:lang w:eastAsia="ja-JP"/>
              </w:rPr>
              <w:t xml:space="preserve">Transmitter intermodulation </w:t>
            </w:r>
          </w:p>
        </w:tc>
        <w:tc>
          <w:tcPr>
            <w:tcW w:w="1415" w:type="dxa"/>
            <w:shd w:val="clear" w:color="auto" w:fill="auto"/>
          </w:tcPr>
          <w:p w14:paraId="602AF7A0" w14:textId="77777777" w:rsidR="00AC7434" w:rsidRPr="000D269D" w:rsidRDefault="00AC7434" w:rsidP="00AC7434">
            <w:pPr>
              <w:pStyle w:val="TAC"/>
              <w:rPr>
                <w:lang w:eastAsia="ja-JP"/>
              </w:rPr>
            </w:pPr>
            <w:r w:rsidRPr="000D269D">
              <w:rPr>
                <w:lang w:eastAsia="ja-JP"/>
              </w:rPr>
              <w:t>6.7</w:t>
            </w:r>
          </w:p>
        </w:tc>
        <w:tc>
          <w:tcPr>
            <w:tcW w:w="1533" w:type="dxa"/>
            <w:tcBorders>
              <w:top w:val="nil"/>
              <w:bottom w:val="nil"/>
            </w:tcBorders>
            <w:shd w:val="clear" w:color="auto" w:fill="auto"/>
          </w:tcPr>
          <w:p w14:paraId="6B6AAAAF"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7622FB8C" w14:textId="77777777" w:rsidR="00AC7434" w:rsidRPr="000D269D" w:rsidRDefault="00AC7434" w:rsidP="00AC7434">
            <w:pPr>
              <w:pStyle w:val="TAC"/>
              <w:rPr>
                <w:lang w:eastAsia="ja-JP"/>
              </w:rPr>
            </w:pPr>
          </w:p>
        </w:tc>
      </w:tr>
      <w:tr w:rsidR="00AC7434" w:rsidRPr="000D269D" w14:paraId="1994E596" w14:textId="77777777" w:rsidTr="00AC7434">
        <w:tc>
          <w:tcPr>
            <w:tcW w:w="2972" w:type="dxa"/>
            <w:shd w:val="clear" w:color="auto" w:fill="auto"/>
          </w:tcPr>
          <w:p w14:paraId="5CD3E985" w14:textId="77777777" w:rsidR="00AC7434" w:rsidRPr="000D269D" w:rsidRDefault="00AC7434" w:rsidP="00AC7434">
            <w:pPr>
              <w:pStyle w:val="TAC"/>
              <w:rPr>
                <w:lang w:eastAsia="ja-JP"/>
              </w:rPr>
            </w:pPr>
            <w:r w:rsidRPr="000D269D">
              <w:rPr>
                <w:lang w:eastAsia="ja-JP"/>
              </w:rPr>
              <w:t>Reference sensitivity level</w:t>
            </w:r>
          </w:p>
        </w:tc>
        <w:tc>
          <w:tcPr>
            <w:tcW w:w="1415" w:type="dxa"/>
            <w:shd w:val="clear" w:color="auto" w:fill="auto"/>
          </w:tcPr>
          <w:p w14:paraId="48B28DC0" w14:textId="77777777" w:rsidR="00AC7434" w:rsidRPr="000D269D" w:rsidRDefault="00AC7434" w:rsidP="00AC7434">
            <w:pPr>
              <w:pStyle w:val="TAC"/>
              <w:rPr>
                <w:lang w:eastAsia="ja-JP"/>
              </w:rPr>
            </w:pPr>
            <w:r w:rsidRPr="000D269D">
              <w:rPr>
                <w:lang w:eastAsia="ja-JP"/>
              </w:rPr>
              <w:t>7.2</w:t>
            </w:r>
          </w:p>
        </w:tc>
        <w:tc>
          <w:tcPr>
            <w:tcW w:w="1533" w:type="dxa"/>
            <w:tcBorders>
              <w:top w:val="nil"/>
              <w:bottom w:val="nil"/>
            </w:tcBorders>
            <w:shd w:val="clear" w:color="auto" w:fill="auto"/>
          </w:tcPr>
          <w:p w14:paraId="04F4D0F3"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3F00B7B8" w14:textId="77777777" w:rsidR="00AC7434" w:rsidRPr="000D269D" w:rsidRDefault="00AC7434" w:rsidP="00AC7434">
            <w:pPr>
              <w:pStyle w:val="TAC"/>
              <w:rPr>
                <w:lang w:eastAsia="ja-JP"/>
              </w:rPr>
            </w:pPr>
          </w:p>
        </w:tc>
      </w:tr>
      <w:tr w:rsidR="00AC7434" w:rsidRPr="000D269D" w14:paraId="6544D3DB" w14:textId="77777777" w:rsidTr="00AC7434">
        <w:tc>
          <w:tcPr>
            <w:tcW w:w="2972" w:type="dxa"/>
            <w:shd w:val="clear" w:color="auto" w:fill="auto"/>
          </w:tcPr>
          <w:p w14:paraId="003879DF" w14:textId="77777777" w:rsidR="00AC7434" w:rsidRPr="000D269D" w:rsidRDefault="00AC7434" w:rsidP="00AC7434">
            <w:pPr>
              <w:pStyle w:val="TAC"/>
              <w:rPr>
                <w:lang w:eastAsia="ja-JP"/>
              </w:rPr>
            </w:pPr>
            <w:r w:rsidRPr="000D269D">
              <w:rPr>
                <w:lang w:eastAsia="ja-JP"/>
              </w:rPr>
              <w:t xml:space="preserve">Dynamic range </w:t>
            </w:r>
          </w:p>
        </w:tc>
        <w:tc>
          <w:tcPr>
            <w:tcW w:w="1415" w:type="dxa"/>
            <w:shd w:val="clear" w:color="auto" w:fill="auto"/>
          </w:tcPr>
          <w:p w14:paraId="11A81357" w14:textId="77777777" w:rsidR="00AC7434" w:rsidRPr="000D269D" w:rsidRDefault="00AC7434" w:rsidP="00AC7434">
            <w:pPr>
              <w:pStyle w:val="TAC"/>
              <w:rPr>
                <w:lang w:eastAsia="ja-JP"/>
              </w:rPr>
            </w:pPr>
            <w:r w:rsidRPr="000D269D">
              <w:rPr>
                <w:lang w:eastAsia="ja-JP"/>
              </w:rPr>
              <w:t>7.3</w:t>
            </w:r>
          </w:p>
        </w:tc>
        <w:tc>
          <w:tcPr>
            <w:tcW w:w="1533" w:type="dxa"/>
            <w:tcBorders>
              <w:top w:val="nil"/>
              <w:bottom w:val="nil"/>
            </w:tcBorders>
            <w:shd w:val="clear" w:color="auto" w:fill="auto"/>
          </w:tcPr>
          <w:p w14:paraId="77FAB457"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67E55D9A" w14:textId="77777777" w:rsidR="00AC7434" w:rsidRPr="000D269D" w:rsidRDefault="00AC7434" w:rsidP="00AC7434">
            <w:pPr>
              <w:pStyle w:val="TAC"/>
              <w:rPr>
                <w:lang w:eastAsia="ja-JP"/>
              </w:rPr>
            </w:pPr>
          </w:p>
        </w:tc>
      </w:tr>
      <w:tr w:rsidR="00AC7434" w:rsidRPr="000D269D" w14:paraId="14D030CA" w14:textId="77777777" w:rsidTr="00AC7434">
        <w:tc>
          <w:tcPr>
            <w:tcW w:w="2972" w:type="dxa"/>
            <w:shd w:val="clear" w:color="auto" w:fill="auto"/>
          </w:tcPr>
          <w:p w14:paraId="1C805C84" w14:textId="77777777" w:rsidR="00AC7434" w:rsidRPr="000D269D" w:rsidRDefault="00AC7434" w:rsidP="00AC7434">
            <w:pPr>
              <w:pStyle w:val="TAC"/>
              <w:rPr>
                <w:lang w:eastAsia="ja-JP"/>
              </w:rPr>
            </w:pPr>
            <w:r w:rsidRPr="000D269D">
              <w:rPr>
                <w:lang w:eastAsia="ja-JP"/>
              </w:rPr>
              <w:t xml:space="preserve">In-band selectivity and blocking </w:t>
            </w:r>
          </w:p>
        </w:tc>
        <w:tc>
          <w:tcPr>
            <w:tcW w:w="1415" w:type="dxa"/>
            <w:shd w:val="clear" w:color="auto" w:fill="auto"/>
          </w:tcPr>
          <w:p w14:paraId="0369F346" w14:textId="77777777" w:rsidR="00AC7434" w:rsidRPr="000D269D" w:rsidRDefault="00AC7434" w:rsidP="00AC7434">
            <w:pPr>
              <w:pStyle w:val="TAC"/>
              <w:rPr>
                <w:lang w:eastAsia="ja-JP"/>
              </w:rPr>
            </w:pPr>
            <w:r w:rsidRPr="000D269D">
              <w:rPr>
                <w:lang w:eastAsia="ja-JP"/>
              </w:rPr>
              <w:t>7.4</w:t>
            </w:r>
          </w:p>
        </w:tc>
        <w:tc>
          <w:tcPr>
            <w:tcW w:w="1533" w:type="dxa"/>
            <w:tcBorders>
              <w:top w:val="nil"/>
              <w:bottom w:val="nil"/>
            </w:tcBorders>
            <w:shd w:val="clear" w:color="auto" w:fill="auto"/>
          </w:tcPr>
          <w:p w14:paraId="12A66434"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145ED2F8" w14:textId="77777777" w:rsidR="00AC7434" w:rsidRPr="000D269D" w:rsidRDefault="00AC7434" w:rsidP="00AC7434">
            <w:pPr>
              <w:pStyle w:val="TAC"/>
              <w:rPr>
                <w:lang w:eastAsia="ja-JP"/>
              </w:rPr>
            </w:pPr>
          </w:p>
        </w:tc>
      </w:tr>
      <w:tr w:rsidR="00AC7434" w:rsidRPr="000D269D" w14:paraId="3F7DF4A9" w14:textId="77777777" w:rsidTr="00AC7434">
        <w:tc>
          <w:tcPr>
            <w:tcW w:w="2972" w:type="dxa"/>
            <w:shd w:val="clear" w:color="auto" w:fill="auto"/>
          </w:tcPr>
          <w:p w14:paraId="11EC6DCF" w14:textId="77777777" w:rsidR="00AC7434" w:rsidRPr="000D269D" w:rsidRDefault="00AC7434" w:rsidP="00AC7434">
            <w:pPr>
              <w:pStyle w:val="TAC"/>
              <w:rPr>
                <w:lang w:eastAsia="ja-JP"/>
              </w:rPr>
            </w:pPr>
            <w:r w:rsidRPr="000D269D">
              <w:rPr>
                <w:lang w:eastAsia="ja-JP"/>
              </w:rPr>
              <w:t xml:space="preserve">Out-of-band blocking </w:t>
            </w:r>
          </w:p>
        </w:tc>
        <w:tc>
          <w:tcPr>
            <w:tcW w:w="1415" w:type="dxa"/>
            <w:shd w:val="clear" w:color="auto" w:fill="auto"/>
          </w:tcPr>
          <w:p w14:paraId="363D490F" w14:textId="77777777" w:rsidR="00AC7434" w:rsidRPr="000D269D" w:rsidRDefault="00AC7434" w:rsidP="00AC7434">
            <w:pPr>
              <w:pStyle w:val="TAC"/>
              <w:rPr>
                <w:lang w:eastAsia="ja-JP"/>
              </w:rPr>
            </w:pPr>
            <w:r w:rsidRPr="000D269D">
              <w:rPr>
                <w:lang w:eastAsia="ja-JP"/>
              </w:rPr>
              <w:t>7.5</w:t>
            </w:r>
          </w:p>
        </w:tc>
        <w:tc>
          <w:tcPr>
            <w:tcW w:w="1533" w:type="dxa"/>
            <w:tcBorders>
              <w:top w:val="nil"/>
              <w:bottom w:val="nil"/>
            </w:tcBorders>
            <w:shd w:val="clear" w:color="auto" w:fill="auto"/>
          </w:tcPr>
          <w:p w14:paraId="68289A64"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78B7D547" w14:textId="77777777" w:rsidR="00AC7434" w:rsidRPr="000D269D" w:rsidRDefault="00AC7434" w:rsidP="00AC7434">
            <w:pPr>
              <w:pStyle w:val="TAC"/>
              <w:rPr>
                <w:lang w:eastAsia="ja-JP"/>
              </w:rPr>
            </w:pPr>
          </w:p>
        </w:tc>
      </w:tr>
      <w:tr w:rsidR="00AC7434" w:rsidRPr="000D269D" w14:paraId="348FB6D8" w14:textId="77777777" w:rsidTr="00AC7434">
        <w:tc>
          <w:tcPr>
            <w:tcW w:w="2972" w:type="dxa"/>
            <w:shd w:val="clear" w:color="auto" w:fill="auto"/>
          </w:tcPr>
          <w:p w14:paraId="5E1FD893" w14:textId="77777777" w:rsidR="00AC7434" w:rsidRPr="000D269D" w:rsidRDefault="00AC7434" w:rsidP="00AC7434">
            <w:pPr>
              <w:pStyle w:val="TAC"/>
              <w:rPr>
                <w:lang w:eastAsia="ja-JP"/>
              </w:rPr>
            </w:pPr>
            <w:r w:rsidRPr="000D269D">
              <w:rPr>
                <w:lang w:eastAsia="ja-JP"/>
              </w:rPr>
              <w:t xml:space="preserve">Receiver spurious emissions </w:t>
            </w:r>
          </w:p>
        </w:tc>
        <w:tc>
          <w:tcPr>
            <w:tcW w:w="1415" w:type="dxa"/>
            <w:shd w:val="clear" w:color="auto" w:fill="auto"/>
          </w:tcPr>
          <w:p w14:paraId="06C46FCC" w14:textId="77777777" w:rsidR="00AC7434" w:rsidRPr="000D269D" w:rsidRDefault="00AC7434" w:rsidP="00AC7434">
            <w:pPr>
              <w:pStyle w:val="TAC"/>
              <w:rPr>
                <w:lang w:eastAsia="ja-JP"/>
              </w:rPr>
            </w:pPr>
            <w:r w:rsidRPr="000D269D">
              <w:rPr>
                <w:lang w:eastAsia="ja-JP"/>
              </w:rPr>
              <w:t>7.6</w:t>
            </w:r>
          </w:p>
        </w:tc>
        <w:tc>
          <w:tcPr>
            <w:tcW w:w="1533" w:type="dxa"/>
            <w:tcBorders>
              <w:top w:val="nil"/>
              <w:bottom w:val="nil"/>
            </w:tcBorders>
            <w:shd w:val="clear" w:color="auto" w:fill="auto"/>
          </w:tcPr>
          <w:p w14:paraId="3901AA45"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0FEDE5A5" w14:textId="77777777" w:rsidR="00AC7434" w:rsidRPr="000D269D" w:rsidRDefault="00AC7434" w:rsidP="00AC7434">
            <w:pPr>
              <w:pStyle w:val="TAC"/>
              <w:rPr>
                <w:lang w:eastAsia="ja-JP"/>
              </w:rPr>
            </w:pPr>
          </w:p>
        </w:tc>
      </w:tr>
      <w:tr w:rsidR="00AC7434" w:rsidRPr="000D269D" w14:paraId="089B6591" w14:textId="77777777" w:rsidTr="00AC7434">
        <w:tc>
          <w:tcPr>
            <w:tcW w:w="2972" w:type="dxa"/>
            <w:shd w:val="clear" w:color="auto" w:fill="auto"/>
          </w:tcPr>
          <w:p w14:paraId="08665663" w14:textId="77777777" w:rsidR="00AC7434" w:rsidRPr="000D269D" w:rsidRDefault="00AC7434" w:rsidP="00AC7434">
            <w:pPr>
              <w:pStyle w:val="TAC"/>
              <w:rPr>
                <w:lang w:eastAsia="ja-JP"/>
              </w:rPr>
            </w:pPr>
            <w:r w:rsidRPr="000D269D">
              <w:rPr>
                <w:lang w:eastAsia="ja-JP"/>
              </w:rPr>
              <w:t>Receiver intermodulation</w:t>
            </w:r>
          </w:p>
        </w:tc>
        <w:tc>
          <w:tcPr>
            <w:tcW w:w="1415" w:type="dxa"/>
            <w:shd w:val="clear" w:color="auto" w:fill="auto"/>
          </w:tcPr>
          <w:p w14:paraId="590CC63E" w14:textId="77777777" w:rsidR="00AC7434" w:rsidRPr="000D269D" w:rsidRDefault="00AC7434" w:rsidP="00AC7434">
            <w:pPr>
              <w:pStyle w:val="TAC"/>
              <w:rPr>
                <w:lang w:eastAsia="ja-JP"/>
              </w:rPr>
            </w:pPr>
            <w:r w:rsidRPr="000D269D">
              <w:rPr>
                <w:lang w:eastAsia="ja-JP"/>
              </w:rPr>
              <w:t>7.7</w:t>
            </w:r>
          </w:p>
        </w:tc>
        <w:tc>
          <w:tcPr>
            <w:tcW w:w="1533" w:type="dxa"/>
            <w:tcBorders>
              <w:top w:val="nil"/>
              <w:bottom w:val="nil"/>
            </w:tcBorders>
            <w:shd w:val="clear" w:color="auto" w:fill="auto"/>
          </w:tcPr>
          <w:p w14:paraId="5A1E0DCA"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4E03F358" w14:textId="77777777" w:rsidR="00AC7434" w:rsidRPr="000D269D" w:rsidRDefault="00AC7434" w:rsidP="00AC7434">
            <w:pPr>
              <w:pStyle w:val="TAC"/>
              <w:rPr>
                <w:lang w:eastAsia="ja-JP"/>
              </w:rPr>
            </w:pPr>
          </w:p>
        </w:tc>
      </w:tr>
      <w:tr w:rsidR="00AC7434" w:rsidRPr="000D269D" w14:paraId="36D62DBA" w14:textId="77777777" w:rsidTr="00AC7434">
        <w:tc>
          <w:tcPr>
            <w:tcW w:w="2972" w:type="dxa"/>
            <w:shd w:val="clear" w:color="auto" w:fill="auto"/>
          </w:tcPr>
          <w:p w14:paraId="4C94230C" w14:textId="77777777" w:rsidR="00AC7434" w:rsidRPr="000D269D" w:rsidRDefault="00AC7434" w:rsidP="00AC7434">
            <w:pPr>
              <w:pStyle w:val="TAC"/>
              <w:rPr>
                <w:lang w:eastAsia="ja-JP"/>
              </w:rPr>
            </w:pPr>
            <w:r w:rsidRPr="000D269D">
              <w:rPr>
                <w:lang w:eastAsia="ja-JP"/>
              </w:rPr>
              <w:t xml:space="preserve">In-channel selectivity </w:t>
            </w:r>
          </w:p>
        </w:tc>
        <w:tc>
          <w:tcPr>
            <w:tcW w:w="1415" w:type="dxa"/>
            <w:shd w:val="clear" w:color="auto" w:fill="auto"/>
          </w:tcPr>
          <w:p w14:paraId="6A11661D" w14:textId="77777777" w:rsidR="00AC7434" w:rsidRPr="000D269D" w:rsidRDefault="00AC7434" w:rsidP="00AC7434">
            <w:pPr>
              <w:pStyle w:val="TAC"/>
              <w:rPr>
                <w:lang w:eastAsia="ja-JP"/>
              </w:rPr>
            </w:pPr>
            <w:r w:rsidRPr="000D269D">
              <w:rPr>
                <w:lang w:eastAsia="ja-JP"/>
              </w:rPr>
              <w:t>7.8</w:t>
            </w:r>
          </w:p>
        </w:tc>
        <w:tc>
          <w:tcPr>
            <w:tcW w:w="1533" w:type="dxa"/>
            <w:tcBorders>
              <w:top w:val="nil"/>
              <w:bottom w:val="nil"/>
            </w:tcBorders>
            <w:shd w:val="clear" w:color="auto" w:fill="auto"/>
          </w:tcPr>
          <w:p w14:paraId="38874FCF"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3A0D99E8" w14:textId="77777777" w:rsidR="00AC7434" w:rsidRPr="000D269D" w:rsidRDefault="00AC7434" w:rsidP="00AC7434">
            <w:pPr>
              <w:pStyle w:val="TAC"/>
              <w:rPr>
                <w:lang w:eastAsia="ja-JP"/>
              </w:rPr>
            </w:pPr>
          </w:p>
        </w:tc>
      </w:tr>
      <w:tr w:rsidR="00AC7434" w:rsidRPr="000D269D" w14:paraId="30833B71" w14:textId="77777777" w:rsidTr="00AC7434">
        <w:tc>
          <w:tcPr>
            <w:tcW w:w="2972" w:type="dxa"/>
            <w:shd w:val="clear" w:color="auto" w:fill="auto"/>
          </w:tcPr>
          <w:p w14:paraId="51A5073F" w14:textId="77777777" w:rsidR="00AC7434" w:rsidRPr="000D269D" w:rsidRDefault="00AC7434" w:rsidP="00AC7434">
            <w:pPr>
              <w:pStyle w:val="TAC"/>
              <w:rPr>
                <w:lang w:eastAsia="ja-JP"/>
              </w:rPr>
            </w:pPr>
            <w:r w:rsidRPr="000D269D">
              <w:rPr>
                <w:lang w:eastAsia="ja-JP"/>
              </w:rPr>
              <w:t>Performance requirements</w:t>
            </w:r>
          </w:p>
        </w:tc>
        <w:tc>
          <w:tcPr>
            <w:tcW w:w="1415" w:type="dxa"/>
            <w:shd w:val="clear" w:color="auto" w:fill="auto"/>
          </w:tcPr>
          <w:p w14:paraId="4313CB16" w14:textId="77777777" w:rsidR="00AC7434" w:rsidRPr="000D269D" w:rsidRDefault="00AC7434" w:rsidP="00AC7434">
            <w:pPr>
              <w:pStyle w:val="TAC"/>
              <w:rPr>
                <w:lang w:eastAsia="ja-JP"/>
              </w:rPr>
            </w:pPr>
            <w:r w:rsidRPr="000D269D">
              <w:rPr>
                <w:lang w:eastAsia="ja-JP"/>
              </w:rPr>
              <w:t>8</w:t>
            </w:r>
          </w:p>
        </w:tc>
        <w:tc>
          <w:tcPr>
            <w:tcW w:w="1533" w:type="dxa"/>
            <w:tcBorders>
              <w:top w:val="nil"/>
            </w:tcBorders>
            <w:shd w:val="clear" w:color="auto" w:fill="auto"/>
          </w:tcPr>
          <w:p w14:paraId="6962E49B" w14:textId="77777777" w:rsidR="00AC7434" w:rsidRPr="000D269D" w:rsidRDefault="00AC7434" w:rsidP="00AC7434">
            <w:pPr>
              <w:pStyle w:val="TAC"/>
              <w:rPr>
                <w:lang w:eastAsia="ja-JP"/>
              </w:rPr>
            </w:pPr>
          </w:p>
        </w:tc>
        <w:tc>
          <w:tcPr>
            <w:tcW w:w="1533" w:type="dxa"/>
            <w:tcBorders>
              <w:top w:val="nil"/>
            </w:tcBorders>
            <w:shd w:val="clear" w:color="auto" w:fill="auto"/>
          </w:tcPr>
          <w:p w14:paraId="11E8F171" w14:textId="77777777" w:rsidR="00AC7434" w:rsidRPr="000D269D" w:rsidRDefault="00AC7434" w:rsidP="00AC7434">
            <w:pPr>
              <w:pStyle w:val="TAC"/>
              <w:rPr>
                <w:lang w:eastAsia="ja-JP"/>
              </w:rPr>
            </w:pPr>
          </w:p>
        </w:tc>
      </w:tr>
      <w:tr w:rsidR="00241248" w:rsidRPr="000D269D" w14:paraId="29FBA71C" w14:textId="77777777" w:rsidTr="00AC7434">
        <w:tc>
          <w:tcPr>
            <w:tcW w:w="2972" w:type="dxa"/>
            <w:shd w:val="clear" w:color="auto" w:fill="auto"/>
          </w:tcPr>
          <w:p w14:paraId="358C2B27" w14:textId="77777777" w:rsidR="00241248" w:rsidRPr="000D269D" w:rsidRDefault="00241248" w:rsidP="00AC7434">
            <w:pPr>
              <w:pStyle w:val="TAC"/>
              <w:rPr>
                <w:lang w:eastAsia="ja-JP"/>
              </w:rPr>
            </w:pPr>
            <w:r w:rsidRPr="000D269D">
              <w:rPr>
                <w:lang w:eastAsia="ja-JP"/>
              </w:rPr>
              <w:t>Radiated transmit power</w:t>
            </w:r>
          </w:p>
        </w:tc>
        <w:tc>
          <w:tcPr>
            <w:tcW w:w="1415" w:type="dxa"/>
            <w:tcBorders>
              <w:bottom w:val="single" w:sz="4" w:space="0" w:color="auto"/>
            </w:tcBorders>
            <w:shd w:val="clear" w:color="auto" w:fill="auto"/>
          </w:tcPr>
          <w:p w14:paraId="5D604D7C" w14:textId="77777777" w:rsidR="00241248" w:rsidRPr="000D269D" w:rsidRDefault="00241248" w:rsidP="00AC7434">
            <w:pPr>
              <w:pStyle w:val="TAC"/>
              <w:rPr>
                <w:lang w:eastAsia="ja-JP"/>
              </w:rPr>
            </w:pPr>
            <w:r w:rsidRPr="000D269D">
              <w:rPr>
                <w:lang w:eastAsia="ja-JP"/>
              </w:rPr>
              <w:t>9.2</w:t>
            </w:r>
          </w:p>
        </w:tc>
        <w:tc>
          <w:tcPr>
            <w:tcW w:w="1533" w:type="dxa"/>
          </w:tcPr>
          <w:p w14:paraId="5289717A" w14:textId="77777777" w:rsidR="00241248" w:rsidRPr="000D269D" w:rsidRDefault="00241248" w:rsidP="00AC7434">
            <w:pPr>
              <w:pStyle w:val="TAC"/>
              <w:rPr>
                <w:lang w:eastAsia="ja-JP"/>
              </w:rPr>
            </w:pPr>
            <w:r w:rsidRPr="000D269D">
              <w:rPr>
                <w:lang w:eastAsia="ja-JP"/>
              </w:rPr>
              <w:t>9.2</w:t>
            </w:r>
          </w:p>
        </w:tc>
        <w:tc>
          <w:tcPr>
            <w:tcW w:w="1533" w:type="dxa"/>
          </w:tcPr>
          <w:p w14:paraId="7DD33094" w14:textId="77777777" w:rsidR="00241248" w:rsidRPr="000D269D" w:rsidRDefault="00241248" w:rsidP="00AC7434">
            <w:pPr>
              <w:pStyle w:val="TAC"/>
              <w:rPr>
                <w:lang w:eastAsia="ja-JP"/>
              </w:rPr>
            </w:pPr>
            <w:r w:rsidRPr="000D269D">
              <w:rPr>
                <w:lang w:eastAsia="ja-JP"/>
              </w:rPr>
              <w:t>9.2</w:t>
            </w:r>
          </w:p>
        </w:tc>
      </w:tr>
      <w:tr w:rsidR="00AC7434" w:rsidRPr="000D269D" w14:paraId="12F009C8" w14:textId="77777777" w:rsidTr="00AC7434">
        <w:tc>
          <w:tcPr>
            <w:tcW w:w="2972" w:type="dxa"/>
            <w:shd w:val="clear" w:color="auto" w:fill="auto"/>
          </w:tcPr>
          <w:p w14:paraId="3646B510" w14:textId="77777777" w:rsidR="00AC7434" w:rsidRPr="000D269D" w:rsidRDefault="00AC7434" w:rsidP="00AC7434">
            <w:pPr>
              <w:pStyle w:val="TAC"/>
              <w:rPr>
                <w:lang w:eastAsia="ja-JP"/>
              </w:rPr>
            </w:pPr>
            <w:r w:rsidRPr="000D269D">
              <w:rPr>
                <w:lang w:eastAsia="ja-JP"/>
              </w:rPr>
              <w:t>OTA Output power</w:t>
            </w:r>
          </w:p>
        </w:tc>
        <w:tc>
          <w:tcPr>
            <w:tcW w:w="1415" w:type="dxa"/>
            <w:tcBorders>
              <w:bottom w:val="nil"/>
            </w:tcBorders>
            <w:shd w:val="clear" w:color="auto" w:fill="auto"/>
          </w:tcPr>
          <w:p w14:paraId="7D1F8DA6" w14:textId="438BB9A7" w:rsidR="00AC7434" w:rsidRPr="000D269D" w:rsidRDefault="00AC7434" w:rsidP="00AC7434">
            <w:pPr>
              <w:pStyle w:val="TAC"/>
              <w:rPr>
                <w:lang w:eastAsia="ja-JP"/>
              </w:rPr>
            </w:pPr>
            <w:r w:rsidRPr="000D269D">
              <w:rPr>
                <w:lang w:eastAsia="ja-JP"/>
              </w:rPr>
              <w:t>NA</w:t>
            </w:r>
          </w:p>
        </w:tc>
        <w:tc>
          <w:tcPr>
            <w:tcW w:w="1533" w:type="dxa"/>
          </w:tcPr>
          <w:p w14:paraId="3E8A0E91" w14:textId="77777777" w:rsidR="00AC7434" w:rsidRPr="000D269D" w:rsidRDefault="00AC7434" w:rsidP="00AC7434">
            <w:pPr>
              <w:pStyle w:val="TAC"/>
              <w:rPr>
                <w:lang w:eastAsia="ja-JP"/>
              </w:rPr>
            </w:pPr>
            <w:r w:rsidRPr="000D269D">
              <w:rPr>
                <w:lang w:eastAsia="ja-JP"/>
              </w:rPr>
              <w:t>9.3</w:t>
            </w:r>
          </w:p>
        </w:tc>
        <w:tc>
          <w:tcPr>
            <w:tcW w:w="1533" w:type="dxa"/>
          </w:tcPr>
          <w:p w14:paraId="515DB4DB" w14:textId="77777777" w:rsidR="00AC7434" w:rsidRPr="000D269D" w:rsidRDefault="00AC7434" w:rsidP="00AC7434">
            <w:pPr>
              <w:pStyle w:val="TAC"/>
              <w:rPr>
                <w:lang w:eastAsia="ja-JP"/>
              </w:rPr>
            </w:pPr>
            <w:r w:rsidRPr="000D269D">
              <w:rPr>
                <w:lang w:eastAsia="ja-JP"/>
              </w:rPr>
              <w:t>9.3</w:t>
            </w:r>
          </w:p>
        </w:tc>
      </w:tr>
      <w:tr w:rsidR="00AC7434" w:rsidRPr="000D269D" w14:paraId="58478473" w14:textId="77777777" w:rsidTr="00AC7434">
        <w:tc>
          <w:tcPr>
            <w:tcW w:w="2972" w:type="dxa"/>
            <w:shd w:val="clear" w:color="auto" w:fill="auto"/>
          </w:tcPr>
          <w:p w14:paraId="1DB3F76E" w14:textId="77777777" w:rsidR="00AC7434" w:rsidRPr="000D269D" w:rsidRDefault="00AC7434" w:rsidP="00AC7434">
            <w:pPr>
              <w:pStyle w:val="TAC"/>
              <w:rPr>
                <w:lang w:eastAsia="ja-JP"/>
              </w:rPr>
            </w:pPr>
            <w:r w:rsidRPr="000D269D">
              <w:rPr>
                <w:lang w:eastAsia="ja-JP"/>
              </w:rPr>
              <w:t>OTA output power dynamics</w:t>
            </w:r>
          </w:p>
        </w:tc>
        <w:tc>
          <w:tcPr>
            <w:tcW w:w="1415" w:type="dxa"/>
            <w:tcBorders>
              <w:top w:val="nil"/>
              <w:bottom w:val="nil"/>
            </w:tcBorders>
            <w:shd w:val="clear" w:color="auto" w:fill="auto"/>
          </w:tcPr>
          <w:p w14:paraId="1C27EC2A" w14:textId="77777777" w:rsidR="00AC7434" w:rsidRPr="000D269D" w:rsidRDefault="00AC7434" w:rsidP="00AC7434">
            <w:pPr>
              <w:pStyle w:val="TAC"/>
              <w:rPr>
                <w:lang w:eastAsia="ja-JP"/>
              </w:rPr>
            </w:pPr>
          </w:p>
        </w:tc>
        <w:tc>
          <w:tcPr>
            <w:tcW w:w="1533" w:type="dxa"/>
          </w:tcPr>
          <w:p w14:paraId="429BB963" w14:textId="77777777" w:rsidR="00AC7434" w:rsidRPr="000D269D" w:rsidRDefault="00AC7434" w:rsidP="00AC7434">
            <w:pPr>
              <w:pStyle w:val="TAC"/>
              <w:rPr>
                <w:lang w:eastAsia="ja-JP"/>
              </w:rPr>
            </w:pPr>
            <w:r w:rsidRPr="000D269D">
              <w:rPr>
                <w:lang w:eastAsia="ja-JP"/>
              </w:rPr>
              <w:t>9.4</w:t>
            </w:r>
          </w:p>
        </w:tc>
        <w:tc>
          <w:tcPr>
            <w:tcW w:w="1533" w:type="dxa"/>
          </w:tcPr>
          <w:p w14:paraId="6B23D24B" w14:textId="77777777" w:rsidR="00AC7434" w:rsidRPr="000D269D" w:rsidRDefault="00AC7434" w:rsidP="00AC7434">
            <w:pPr>
              <w:pStyle w:val="TAC"/>
              <w:rPr>
                <w:lang w:eastAsia="ja-JP"/>
              </w:rPr>
            </w:pPr>
            <w:r w:rsidRPr="000D269D">
              <w:rPr>
                <w:lang w:eastAsia="ja-JP"/>
              </w:rPr>
              <w:t>9.4</w:t>
            </w:r>
          </w:p>
        </w:tc>
      </w:tr>
      <w:tr w:rsidR="00AC7434" w:rsidRPr="000D269D" w14:paraId="18DD3195" w14:textId="77777777" w:rsidTr="00AC7434">
        <w:tc>
          <w:tcPr>
            <w:tcW w:w="2972" w:type="dxa"/>
            <w:shd w:val="clear" w:color="auto" w:fill="auto"/>
          </w:tcPr>
          <w:p w14:paraId="4AB11DB2" w14:textId="77777777" w:rsidR="00AC7434" w:rsidRPr="000D269D" w:rsidRDefault="00AC7434" w:rsidP="00AC7434">
            <w:pPr>
              <w:pStyle w:val="TAC"/>
              <w:rPr>
                <w:lang w:eastAsia="ja-JP"/>
              </w:rPr>
            </w:pPr>
            <w:r w:rsidRPr="000D269D">
              <w:rPr>
                <w:lang w:eastAsia="ja-JP"/>
              </w:rPr>
              <w:t>OTA transmit ON/OFF power</w:t>
            </w:r>
          </w:p>
        </w:tc>
        <w:tc>
          <w:tcPr>
            <w:tcW w:w="1415" w:type="dxa"/>
            <w:tcBorders>
              <w:top w:val="nil"/>
              <w:bottom w:val="nil"/>
            </w:tcBorders>
            <w:shd w:val="clear" w:color="auto" w:fill="auto"/>
          </w:tcPr>
          <w:p w14:paraId="07CD216A" w14:textId="77777777" w:rsidR="00AC7434" w:rsidRPr="000D269D" w:rsidRDefault="00AC7434" w:rsidP="00AC7434">
            <w:pPr>
              <w:pStyle w:val="TAC"/>
              <w:rPr>
                <w:lang w:eastAsia="ja-JP"/>
              </w:rPr>
            </w:pPr>
          </w:p>
        </w:tc>
        <w:tc>
          <w:tcPr>
            <w:tcW w:w="1533" w:type="dxa"/>
          </w:tcPr>
          <w:p w14:paraId="63879AA0" w14:textId="77777777" w:rsidR="00AC7434" w:rsidRPr="000D269D" w:rsidRDefault="00AC7434" w:rsidP="00AC7434">
            <w:pPr>
              <w:pStyle w:val="TAC"/>
              <w:rPr>
                <w:lang w:eastAsia="ja-JP"/>
              </w:rPr>
            </w:pPr>
            <w:r w:rsidRPr="000D269D">
              <w:rPr>
                <w:lang w:eastAsia="ja-JP"/>
              </w:rPr>
              <w:t>9.5</w:t>
            </w:r>
          </w:p>
        </w:tc>
        <w:tc>
          <w:tcPr>
            <w:tcW w:w="1533" w:type="dxa"/>
          </w:tcPr>
          <w:p w14:paraId="6443D207" w14:textId="77777777" w:rsidR="00AC7434" w:rsidRPr="000D269D" w:rsidRDefault="00AC7434" w:rsidP="00AC7434">
            <w:pPr>
              <w:pStyle w:val="TAC"/>
              <w:rPr>
                <w:lang w:eastAsia="ja-JP"/>
              </w:rPr>
            </w:pPr>
            <w:r w:rsidRPr="000D269D">
              <w:rPr>
                <w:lang w:eastAsia="ja-JP"/>
              </w:rPr>
              <w:t>9.5</w:t>
            </w:r>
          </w:p>
        </w:tc>
      </w:tr>
      <w:tr w:rsidR="00AC7434" w:rsidRPr="000D269D" w14:paraId="0AF05021" w14:textId="77777777" w:rsidTr="00AC7434">
        <w:tc>
          <w:tcPr>
            <w:tcW w:w="2972" w:type="dxa"/>
            <w:shd w:val="clear" w:color="auto" w:fill="auto"/>
          </w:tcPr>
          <w:p w14:paraId="78C3EF33" w14:textId="77777777" w:rsidR="00AC7434" w:rsidRPr="000D269D" w:rsidRDefault="00AC7434" w:rsidP="00AC7434">
            <w:pPr>
              <w:pStyle w:val="TAC"/>
              <w:rPr>
                <w:lang w:eastAsia="ja-JP"/>
              </w:rPr>
            </w:pPr>
            <w:r w:rsidRPr="000D269D">
              <w:rPr>
                <w:lang w:eastAsia="ja-JP"/>
              </w:rPr>
              <w:t>OTA transmitted signal quality</w:t>
            </w:r>
          </w:p>
        </w:tc>
        <w:tc>
          <w:tcPr>
            <w:tcW w:w="1415" w:type="dxa"/>
            <w:tcBorders>
              <w:top w:val="nil"/>
              <w:bottom w:val="nil"/>
            </w:tcBorders>
            <w:shd w:val="clear" w:color="auto" w:fill="auto"/>
          </w:tcPr>
          <w:p w14:paraId="0FBC8213" w14:textId="77777777" w:rsidR="00AC7434" w:rsidRPr="000D269D" w:rsidRDefault="00AC7434" w:rsidP="00AC7434">
            <w:pPr>
              <w:pStyle w:val="TAC"/>
              <w:rPr>
                <w:lang w:eastAsia="ja-JP"/>
              </w:rPr>
            </w:pPr>
          </w:p>
        </w:tc>
        <w:tc>
          <w:tcPr>
            <w:tcW w:w="1533" w:type="dxa"/>
          </w:tcPr>
          <w:p w14:paraId="4DD6C0D5" w14:textId="77777777" w:rsidR="00AC7434" w:rsidRPr="000D269D" w:rsidRDefault="00AC7434" w:rsidP="00AC7434">
            <w:pPr>
              <w:pStyle w:val="TAC"/>
              <w:rPr>
                <w:lang w:eastAsia="ja-JP"/>
              </w:rPr>
            </w:pPr>
            <w:r w:rsidRPr="000D269D">
              <w:rPr>
                <w:lang w:eastAsia="ja-JP"/>
              </w:rPr>
              <w:t>9.6</w:t>
            </w:r>
          </w:p>
        </w:tc>
        <w:tc>
          <w:tcPr>
            <w:tcW w:w="1533" w:type="dxa"/>
          </w:tcPr>
          <w:p w14:paraId="42B0927B" w14:textId="77777777" w:rsidR="00AC7434" w:rsidRPr="000D269D" w:rsidRDefault="00AC7434" w:rsidP="00AC7434">
            <w:pPr>
              <w:pStyle w:val="TAC"/>
              <w:rPr>
                <w:lang w:eastAsia="ja-JP"/>
              </w:rPr>
            </w:pPr>
            <w:r w:rsidRPr="000D269D">
              <w:rPr>
                <w:lang w:eastAsia="ja-JP"/>
              </w:rPr>
              <w:t>9.6</w:t>
            </w:r>
          </w:p>
        </w:tc>
      </w:tr>
      <w:tr w:rsidR="00AC7434" w:rsidRPr="000D269D" w14:paraId="0ABE660F" w14:textId="77777777" w:rsidTr="00AC7434">
        <w:tc>
          <w:tcPr>
            <w:tcW w:w="2972" w:type="dxa"/>
            <w:shd w:val="clear" w:color="auto" w:fill="auto"/>
          </w:tcPr>
          <w:p w14:paraId="403EB47E" w14:textId="77777777" w:rsidR="00AC7434" w:rsidRPr="000D269D" w:rsidRDefault="00AC7434" w:rsidP="00AC7434">
            <w:pPr>
              <w:pStyle w:val="TAC"/>
              <w:rPr>
                <w:lang w:eastAsia="ja-JP"/>
              </w:rPr>
            </w:pPr>
            <w:r w:rsidRPr="000D269D">
              <w:rPr>
                <w:lang w:eastAsia="ja-JP"/>
              </w:rPr>
              <w:t>OTA occupied bandwidth</w:t>
            </w:r>
          </w:p>
        </w:tc>
        <w:tc>
          <w:tcPr>
            <w:tcW w:w="1415" w:type="dxa"/>
            <w:tcBorders>
              <w:top w:val="nil"/>
              <w:bottom w:val="nil"/>
            </w:tcBorders>
            <w:shd w:val="clear" w:color="auto" w:fill="auto"/>
          </w:tcPr>
          <w:p w14:paraId="409F0995" w14:textId="77777777" w:rsidR="00AC7434" w:rsidRPr="000D269D" w:rsidRDefault="00AC7434" w:rsidP="00AC7434">
            <w:pPr>
              <w:pStyle w:val="TAC"/>
              <w:rPr>
                <w:lang w:eastAsia="ja-JP"/>
              </w:rPr>
            </w:pPr>
          </w:p>
        </w:tc>
        <w:tc>
          <w:tcPr>
            <w:tcW w:w="1533" w:type="dxa"/>
          </w:tcPr>
          <w:p w14:paraId="303F81BB" w14:textId="77777777" w:rsidR="00AC7434" w:rsidRPr="000D269D" w:rsidRDefault="00AC7434" w:rsidP="00AC7434">
            <w:pPr>
              <w:pStyle w:val="TAC"/>
              <w:rPr>
                <w:lang w:eastAsia="ja-JP"/>
              </w:rPr>
            </w:pPr>
            <w:r>
              <w:rPr>
                <w:lang w:eastAsia="ja-JP"/>
              </w:rPr>
              <w:t>9.7.2</w:t>
            </w:r>
          </w:p>
        </w:tc>
        <w:tc>
          <w:tcPr>
            <w:tcW w:w="1533" w:type="dxa"/>
          </w:tcPr>
          <w:p w14:paraId="0F60AC4B" w14:textId="77777777" w:rsidR="00AC7434" w:rsidRPr="000D269D" w:rsidRDefault="00AC7434" w:rsidP="00AC7434">
            <w:pPr>
              <w:pStyle w:val="TAC"/>
              <w:rPr>
                <w:lang w:eastAsia="ja-JP"/>
              </w:rPr>
            </w:pPr>
            <w:r>
              <w:rPr>
                <w:lang w:eastAsia="ja-JP"/>
              </w:rPr>
              <w:t>9.7.2</w:t>
            </w:r>
          </w:p>
        </w:tc>
      </w:tr>
      <w:tr w:rsidR="00AC7434" w:rsidRPr="000D269D" w14:paraId="5AAF35C0" w14:textId="77777777" w:rsidTr="00AC7434">
        <w:tc>
          <w:tcPr>
            <w:tcW w:w="2972" w:type="dxa"/>
            <w:shd w:val="clear" w:color="auto" w:fill="auto"/>
          </w:tcPr>
          <w:p w14:paraId="455DF264" w14:textId="77777777" w:rsidR="00AC7434" w:rsidRPr="000D269D" w:rsidRDefault="00AC7434" w:rsidP="00AC7434">
            <w:pPr>
              <w:pStyle w:val="TAC"/>
              <w:rPr>
                <w:lang w:eastAsia="ja-JP"/>
              </w:rPr>
            </w:pPr>
            <w:r w:rsidRPr="000D269D">
              <w:rPr>
                <w:lang w:eastAsia="ja-JP"/>
              </w:rPr>
              <w:t>OTA ACLR</w:t>
            </w:r>
          </w:p>
        </w:tc>
        <w:tc>
          <w:tcPr>
            <w:tcW w:w="1415" w:type="dxa"/>
            <w:tcBorders>
              <w:top w:val="nil"/>
              <w:bottom w:val="nil"/>
            </w:tcBorders>
            <w:shd w:val="clear" w:color="auto" w:fill="auto"/>
          </w:tcPr>
          <w:p w14:paraId="4028AEDC" w14:textId="77777777" w:rsidR="00AC7434" w:rsidRPr="000D269D" w:rsidRDefault="00AC7434" w:rsidP="00AC7434">
            <w:pPr>
              <w:pStyle w:val="TAC"/>
              <w:rPr>
                <w:lang w:eastAsia="ja-JP"/>
              </w:rPr>
            </w:pPr>
          </w:p>
        </w:tc>
        <w:tc>
          <w:tcPr>
            <w:tcW w:w="1533" w:type="dxa"/>
          </w:tcPr>
          <w:p w14:paraId="73C9012A" w14:textId="77777777" w:rsidR="00AC7434" w:rsidRPr="000D269D" w:rsidRDefault="00AC7434" w:rsidP="00AC7434">
            <w:pPr>
              <w:pStyle w:val="TAC"/>
              <w:rPr>
                <w:lang w:eastAsia="ja-JP"/>
              </w:rPr>
            </w:pPr>
            <w:r>
              <w:rPr>
                <w:lang w:eastAsia="ja-JP"/>
              </w:rPr>
              <w:t>9.7.3</w:t>
            </w:r>
          </w:p>
        </w:tc>
        <w:tc>
          <w:tcPr>
            <w:tcW w:w="1533" w:type="dxa"/>
          </w:tcPr>
          <w:p w14:paraId="013EA0E6" w14:textId="77777777" w:rsidR="00AC7434" w:rsidRPr="000D269D" w:rsidRDefault="00AC7434" w:rsidP="00AC7434">
            <w:pPr>
              <w:pStyle w:val="TAC"/>
              <w:rPr>
                <w:lang w:eastAsia="ja-JP"/>
              </w:rPr>
            </w:pPr>
            <w:r>
              <w:rPr>
                <w:lang w:eastAsia="ja-JP"/>
              </w:rPr>
              <w:t>9.7.3</w:t>
            </w:r>
          </w:p>
        </w:tc>
      </w:tr>
      <w:tr w:rsidR="00AC7434" w:rsidRPr="000D269D" w14:paraId="3B580101" w14:textId="77777777" w:rsidTr="00AC7434">
        <w:tc>
          <w:tcPr>
            <w:tcW w:w="2972" w:type="dxa"/>
            <w:shd w:val="clear" w:color="auto" w:fill="auto"/>
          </w:tcPr>
          <w:p w14:paraId="0EADE850" w14:textId="77777777" w:rsidR="00AC7434" w:rsidRPr="000D269D" w:rsidRDefault="00AC7434" w:rsidP="00AC7434">
            <w:pPr>
              <w:pStyle w:val="TAC"/>
              <w:rPr>
                <w:lang w:eastAsia="ja-JP"/>
              </w:rPr>
            </w:pPr>
            <w:r w:rsidRPr="000D269D">
              <w:rPr>
                <w:lang w:eastAsia="ja-JP"/>
              </w:rPr>
              <w:t>OTA out-of-band emission</w:t>
            </w:r>
          </w:p>
        </w:tc>
        <w:tc>
          <w:tcPr>
            <w:tcW w:w="1415" w:type="dxa"/>
            <w:tcBorders>
              <w:top w:val="nil"/>
              <w:bottom w:val="nil"/>
            </w:tcBorders>
            <w:shd w:val="clear" w:color="auto" w:fill="auto"/>
          </w:tcPr>
          <w:p w14:paraId="40B5F0AC" w14:textId="77777777" w:rsidR="00AC7434" w:rsidRPr="000D269D" w:rsidRDefault="00AC7434" w:rsidP="00AC7434">
            <w:pPr>
              <w:pStyle w:val="TAC"/>
              <w:rPr>
                <w:lang w:eastAsia="ja-JP"/>
              </w:rPr>
            </w:pPr>
          </w:p>
        </w:tc>
        <w:tc>
          <w:tcPr>
            <w:tcW w:w="1533" w:type="dxa"/>
          </w:tcPr>
          <w:p w14:paraId="1EDEC563" w14:textId="77777777" w:rsidR="00AC7434" w:rsidRPr="000D269D" w:rsidRDefault="00AC7434" w:rsidP="00AC7434">
            <w:pPr>
              <w:pStyle w:val="TAC"/>
              <w:rPr>
                <w:lang w:eastAsia="ja-JP"/>
              </w:rPr>
            </w:pPr>
            <w:r>
              <w:rPr>
                <w:lang w:eastAsia="ja-JP"/>
              </w:rPr>
              <w:t>9.7.4</w:t>
            </w:r>
          </w:p>
        </w:tc>
        <w:tc>
          <w:tcPr>
            <w:tcW w:w="1533" w:type="dxa"/>
          </w:tcPr>
          <w:p w14:paraId="634724B4" w14:textId="77777777" w:rsidR="00AC7434" w:rsidRPr="000D269D" w:rsidRDefault="00AC7434" w:rsidP="00AC7434">
            <w:pPr>
              <w:pStyle w:val="TAC"/>
              <w:rPr>
                <w:lang w:eastAsia="ja-JP"/>
              </w:rPr>
            </w:pPr>
            <w:r>
              <w:rPr>
                <w:lang w:eastAsia="ja-JP"/>
              </w:rPr>
              <w:t>9.7.4</w:t>
            </w:r>
          </w:p>
        </w:tc>
      </w:tr>
      <w:tr w:rsidR="00AC7434" w:rsidRPr="000D269D" w14:paraId="4A104284" w14:textId="77777777" w:rsidTr="00AC7434">
        <w:tc>
          <w:tcPr>
            <w:tcW w:w="2972" w:type="dxa"/>
            <w:shd w:val="clear" w:color="auto" w:fill="auto"/>
          </w:tcPr>
          <w:p w14:paraId="3A2B679E" w14:textId="77777777" w:rsidR="00AC7434" w:rsidRPr="000D269D" w:rsidRDefault="00AC7434" w:rsidP="00AC7434">
            <w:pPr>
              <w:pStyle w:val="TAC"/>
              <w:rPr>
                <w:lang w:eastAsia="ja-JP"/>
              </w:rPr>
            </w:pPr>
            <w:r w:rsidRPr="000D269D">
              <w:rPr>
                <w:lang w:eastAsia="ja-JP"/>
              </w:rPr>
              <w:t xml:space="preserve">OTA transmitter spurious emission </w:t>
            </w:r>
          </w:p>
        </w:tc>
        <w:tc>
          <w:tcPr>
            <w:tcW w:w="1415" w:type="dxa"/>
            <w:tcBorders>
              <w:top w:val="nil"/>
              <w:bottom w:val="nil"/>
            </w:tcBorders>
            <w:shd w:val="clear" w:color="auto" w:fill="auto"/>
          </w:tcPr>
          <w:p w14:paraId="2E32F396" w14:textId="77777777" w:rsidR="00AC7434" w:rsidRPr="000D269D" w:rsidRDefault="00AC7434" w:rsidP="00AC7434">
            <w:pPr>
              <w:pStyle w:val="TAC"/>
              <w:rPr>
                <w:lang w:eastAsia="ja-JP"/>
              </w:rPr>
            </w:pPr>
          </w:p>
        </w:tc>
        <w:tc>
          <w:tcPr>
            <w:tcW w:w="1533" w:type="dxa"/>
          </w:tcPr>
          <w:p w14:paraId="73B79D80" w14:textId="77777777" w:rsidR="00AC7434" w:rsidRPr="000D269D" w:rsidRDefault="00AC7434" w:rsidP="00AC7434">
            <w:pPr>
              <w:pStyle w:val="TAC"/>
              <w:rPr>
                <w:lang w:eastAsia="ja-JP"/>
              </w:rPr>
            </w:pPr>
            <w:r>
              <w:rPr>
                <w:lang w:eastAsia="ja-JP"/>
              </w:rPr>
              <w:t>9.7.5</w:t>
            </w:r>
          </w:p>
        </w:tc>
        <w:tc>
          <w:tcPr>
            <w:tcW w:w="1533" w:type="dxa"/>
          </w:tcPr>
          <w:p w14:paraId="662239CC" w14:textId="77777777" w:rsidR="00AC7434" w:rsidRPr="000D269D" w:rsidRDefault="00AC7434" w:rsidP="00AC7434">
            <w:pPr>
              <w:pStyle w:val="TAC"/>
              <w:rPr>
                <w:lang w:eastAsia="ja-JP"/>
              </w:rPr>
            </w:pPr>
            <w:r>
              <w:rPr>
                <w:lang w:eastAsia="ja-JP"/>
              </w:rPr>
              <w:t>9.7.5</w:t>
            </w:r>
          </w:p>
        </w:tc>
      </w:tr>
      <w:tr w:rsidR="00AC7434" w:rsidRPr="000D269D" w14:paraId="7FE269F1" w14:textId="77777777" w:rsidTr="00AC7434">
        <w:tc>
          <w:tcPr>
            <w:tcW w:w="2972" w:type="dxa"/>
            <w:shd w:val="clear" w:color="auto" w:fill="auto"/>
          </w:tcPr>
          <w:p w14:paraId="6CD4A202" w14:textId="77777777" w:rsidR="00AC7434" w:rsidRPr="000D269D" w:rsidRDefault="00AC7434" w:rsidP="00AC7434">
            <w:pPr>
              <w:pStyle w:val="TAC"/>
              <w:rPr>
                <w:lang w:eastAsia="ja-JP"/>
              </w:rPr>
            </w:pPr>
            <w:r w:rsidRPr="000D269D">
              <w:rPr>
                <w:lang w:eastAsia="ja-JP"/>
              </w:rPr>
              <w:t xml:space="preserve">OTA transmitter intermodulation </w:t>
            </w:r>
          </w:p>
        </w:tc>
        <w:tc>
          <w:tcPr>
            <w:tcW w:w="1415" w:type="dxa"/>
            <w:tcBorders>
              <w:top w:val="nil"/>
            </w:tcBorders>
            <w:shd w:val="clear" w:color="auto" w:fill="auto"/>
          </w:tcPr>
          <w:p w14:paraId="345821AF" w14:textId="77777777" w:rsidR="00AC7434" w:rsidRPr="000D269D" w:rsidRDefault="00AC7434" w:rsidP="00AC7434">
            <w:pPr>
              <w:pStyle w:val="TAC"/>
              <w:rPr>
                <w:lang w:eastAsia="ja-JP"/>
              </w:rPr>
            </w:pPr>
          </w:p>
        </w:tc>
        <w:tc>
          <w:tcPr>
            <w:tcW w:w="1533" w:type="dxa"/>
          </w:tcPr>
          <w:p w14:paraId="34111343" w14:textId="77777777" w:rsidR="00AC7434" w:rsidRPr="000D269D" w:rsidRDefault="00AC7434" w:rsidP="00AC7434">
            <w:pPr>
              <w:pStyle w:val="TAC"/>
              <w:rPr>
                <w:lang w:eastAsia="ja-JP"/>
              </w:rPr>
            </w:pPr>
            <w:r w:rsidRPr="000D269D">
              <w:rPr>
                <w:lang w:eastAsia="ja-JP"/>
              </w:rPr>
              <w:t>9.8</w:t>
            </w:r>
          </w:p>
        </w:tc>
        <w:tc>
          <w:tcPr>
            <w:tcW w:w="1533" w:type="dxa"/>
          </w:tcPr>
          <w:p w14:paraId="0E1CBF45" w14:textId="77777777" w:rsidR="00AC7434" w:rsidRPr="000D269D" w:rsidRDefault="00AC7434" w:rsidP="00AC7434">
            <w:pPr>
              <w:pStyle w:val="TAC"/>
              <w:rPr>
                <w:lang w:eastAsia="ja-JP"/>
              </w:rPr>
            </w:pPr>
            <w:r w:rsidRPr="000D269D">
              <w:rPr>
                <w:lang w:eastAsia="ja-JP"/>
              </w:rPr>
              <w:t>NA</w:t>
            </w:r>
          </w:p>
        </w:tc>
      </w:tr>
      <w:tr w:rsidR="00241248" w:rsidRPr="000D269D" w14:paraId="3D538796" w14:textId="77777777" w:rsidTr="00AC7434">
        <w:tc>
          <w:tcPr>
            <w:tcW w:w="2972" w:type="dxa"/>
            <w:shd w:val="clear" w:color="auto" w:fill="auto"/>
          </w:tcPr>
          <w:p w14:paraId="2C074561" w14:textId="77777777" w:rsidR="00241248" w:rsidRPr="000D269D" w:rsidRDefault="00241248" w:rsidP="00AC7434">
            <w:pPr>
              <w:pStyle w:val="TAC"/>
              <w:rPr>
                <w:lang w:eastAsia="ja-JP"/>
              </w:rPr>
            </w:pPr>
            <w:r w:rsidRPr="000D269D">
              <w:rPr>
                <w:lang w:eastAsia="ja-JP"/>
              </w:rPr>
              <w:t>OTA sensitivity</w:t>
            </w:r>
          </w:p>
        </w:tc>
        <w:tc>
          <w:tcPr>
            <w:tcW w:w="1415" w:type="dxa"/>
            <w:tcBorders>
              <w:bottom w:val="single" w:sz="4" w:space="0" w:color="auto"/>
            </w:tcBorders>
            <w:shd w:val="clear" w:color="auto" w:fill="auto"/>
          </w:tcPr>
          <w:p w14:paraId="2DFD5369" w14:textId="77777777" w:rsidR="00241248" w:rsidRPr="000D269D" w:rsidRDefault="00241248" w:rsidP="00AC7434">
            <w:pPr>
              <w:pStyle w:val="TAC"/>
              <w:rPr>
                <w:lang w:eastAsia="ja-JP"/>
              </w:rPr>
            </w:pPr>
            <w:r w:rsidRPr="000D269D">
              <w:rPr>
                <w:lang w:eastAsia="ja-JP"/>
              </w:rPr>
              <w:t>10.2</w:t>
            </w:r>
          </w:p>
        </w:tc>
        <w:tc>
          <w:tcPr>
            <w:tcW w:w="1533" w:type="dxa"/>
          </w:tcPr>
          <w:p w14:paraId="6A75AD52" w14:textId="77777777" w:rsidR="00241248" w:rsidRPr="000D269D" w:rsidRDefault="00241248" w:rsidP="00AC7434">
            <w:pPr>
              <w:pStyle w:val="TAC"/>
              <w:rPr>
                <w:lang w:eastAsia="ja-JP"/>
              </w:rPr>
            </w:pPr>
            <w:r w:rsidRPr="000D269D">
              <w:rPr>
                <w:lang w:eastAsia="ja-JP"/>
              </w:rPr>
              <w:t>10.2</w:t>
            </w:r>
          </w:p>
        </w:tc>
        <w:tc>
          <w:tcPr>
            <w:tcW w:w="1533" w:type="dxa"/>
          </w:tcPr>
          <w:p w14:paraId="3F871C40" w14:textId="77777777" w:rsidR="00241248" w:rsidRPr="000D269D" w:rsidRDefault="00241248" w:rsidP="00AC7434">
            <w:pPr>
              <w:pStyle w:val="TAC"/>
              <w:rPr>
                <w:lang w:eastAsia="ja-JP"/>
              </w:rPr>
            </w:pPr>
            <w:r w:rsidRPr="000D269D">
              <w:rPr>
                <w:lang w:eastAsia="ja-JP"/>
              </w:rPr>
              <w:t>NA</w:t>
            </w:r>
          </w:p>
        </w:tc>
      </w:tr>
      <w:tr w:rsidR="00AC7434" w:rsidRPr="000D269D" w14:paraId="2C41915C" w14:textId="77777777" w:rsidTr="00AC7434">
        <w:tc>
          <w:tcPr>
            <w:tcW w:w="2972" w:type="dxa"/>
            <w:shd w:val="clear" w:color="auto" w:fill="auto"/>
          </w:tcPr>
          <w:p w14:paraId="48855225" w14:textId="77777777" w:rsidR="00AC7434" w:rsidRPr="000D269D" w:rsidRDefault="00AC7434" w:rsidP="00AC7434">
            <w:pPr>
              <w:pStyle w:val="TAC"/>
              <w:rPr>
                <w:lang w:eastAsia="ja-JP"/>
              </w:rPr>
            </w:pPr>
            <w:r w:rsidRPr="000D269D">
              <w:rPr>
                <w:lang w:eastAsia="ja-JP"/>
              </w:rPr>
              <w:t>OTA reference sensitivity level</w:t>
            </w:r>
          </w:p>
        </w:tc>
        <w:tc>
          <w:tcPr>
            <w:tcW w:w="1415" w:type="dxa"/>
            <w:tcBorders>
              <w:bottom w:val="nil"/>
            </w:tcBorders>
            <w:shd w:val="clear" w:color="auto" w:fill="auto"/>
          </w:tcPr>
          <w:p w14:paraId="220B17A8" w14:textId="76A36572" w:rsidR="00AC7434" w:rsidRPr="000D269D" w:rsidRDefault="00AC7434" w:rsidP="00AC7434">
            <w:pPr>
              <w:pStyle w:val="TAC"/>
              <w:rPr>
                <w:lang w:eastAsia="ja-JP"/>
              </w:rPr>
            </w:pPr>
            <w:r w:rsidRPr="000D269D">
              <w:rPr>
                <w:lang w:eastAsia="ja-JP"/>
              </w:rPr>
              <w:t>NA</w:t>
            </w:r>
          </w:p>
        </w:tc>
        <w:tc>
          <w:tcPr>
            <w:tcW w:w="1533" w:type="dxa"/>
          </w:tcPr>
          <w:p w14:paraId="1E97483F" w14:textId="77777777" w:rsidR="00AC7434" w:rsidRPr="000D269D" w:rsidRDefault="00AC7434" w:rsidP="00AC7434">
            <w:pPr>
              <w:pStyle w:val="TAC"/>
              <w:rPr>
                <w:lang w:eastAsia="ja-JP"/>
              </w:rPr>
            </w:pPr>
            <w:r w:rsidRPr="000D269D">
              <w:rPr>
                <w:lang w:eastAsia="ja-JP"/>
              </w:rPr>
              <w:t>10.3</w:t>
            </w:r>
          </w:p>
        </w:tc>
        <w:tc>
          <w:tcPr>
            <w:tcW w:w="1533" w:type="dxa"/>
          </w:tcPr>
          <w:p w14:paraId="2CBB65EA" w14:textId="77777777" w:rsidR="00AC7434" w:rsidRPr="000D269D" w:rsidRDefault="00AC7434" w:rsidP="00AC7434">
            <w:pPr>
              <w:pStyle w:val="TAC"/>
              <w:rPr>
                <w:lang w:eastAsia="ja-JP"/>
              </w:rPr>
            </w:pPr>
            <w:r w:rsidRPr="000D269D">
              <w:rPr>
                <w:lang w:eastAsia="ja-JP"/>
              </w:rPr>
              <w:t>10.3</w:t>
            </w:r>
          </w:p>
        </w:tc>
      </w:tr>
      <w:tr w:rsidR="00AC7434" w:rsidRPr="000D269D" w14:paraId="731E01FF" w14:textId="77777777" w:rsidTr="00AC7434">
        <w:tc>
          <w:tcPr>
            <w:tcW w:w="2972" w:type="dxa"/>
            <w:shd w:val="clear" w:color="auto" w:fill="auto"/>
          </w:tcPr>
          <w:p w14:paraId="6A72379B" w14:textId="77777777" w:rsidR="00AC7434" w:rsidRPr="000D269D" w:rsidRDefault="00AC7434" w:rsidP="00AC7434">
            <w:pPr>
              <w:pStyle w:val="TAC"/>
              <w:rPr>
                <w:lang w:eastAsia="ja-JP"/>
              </w:rPr>
            </w:pPr>
            <w:r w:rsidRPr="000D269D">
              <w:rPr>
                <w:lang w:eastAsia="ja-JP"/>
              </w:rPr>
              <w:t>OTA dynamic range</w:t>
            </w:r>
          </w:p>
        </w:tc>
        <w:tc>
          <w:tcPr>
            <w:tcW w:w="1415" w:type="dxa"/>
            <w:tcBorders>
              <w:top w:val="nil"/>
              <w:bottom w:val="nil"/>
            </w:tcBorders>
            <w:shd w:val="clear" w:color="auto" w:fill="auto"/>
          </w:tcPr>
          <w:p w14:paraId="3ACC368F" w14:textId="77777777" w:rsidR="00AC7434" w:rsidRPr="000D269D" w:rsidRDefault="00AC7434" w:rsidP="00AC7434">
            <w:pPr>
              <w:pStyle w:val="TAC"/>
              <w:rPr>
                <w:lang w:eastAsia="ja-JP"/>
              </w:rPr>
            </w:pPr>
          </w:p>
        </w:tc>
        <w:tc>
          <w:tcPr>
            <w:tcW w:w="1533" w:type="dxa"/>
          </w:tcPr>
          <w:p w14:paraId="4755F273" w14:textId="77777777" w:rsidR="00AC7434" w:rsidRPr="000D269D" w:rsidRDefault="00AC7434" w:rsidP="00AC7434">
            <w:pPr>
              <w:pStyle w:val="TAC"/>
              <w:rPr>
                <w:lang w:eastAsia="ja-JP"/>
              </w:rPr>
            </w:pPr>
            <w:r w:rsidRPr="000D269D">
              <w:rPr>
                <w:lang w:eastAsia="ja-JP"/>
              </w:rPr>
              <w:t>10.4</w:t>
            </w:r>
          </w:p>
        </w:tc>
        <w:tc>
          <w:tcPr>
            <w:tcW w:w="1533" w:type="dxa"/>
          </w:tcPr>
          <w:p w14:paraId="47431233" w14:textId="77777777" w:rsidR="00AC7434" w:rsidRPr="000D269D" w:rsidRDefault="00AC7434" w:rsidP="00AC7434">
            <w:pPr>
              <w:pStyle w:val="TAC"/>
              <w:rPr>
                <w:lang w:eastAsia="ja-JP"/>
              </w:rPr>
            </w:pPr>
            <w:r w:rsidRPr="000D269D">
              <w:rPr>
                <w:lang w:eastAsia="ja-JP"/>
              </w:rPr>
              <w:t>NA</w:t>
            </w:r>
          </w:p>
        </w:tc>
      </w:tr>
      <w:tr w:rsidR="00AC7434" w:rsidRPr="000D269D" w14:paraId="058AD530" w14:textId="77777777" w:rsidTr="00AC7434">
        <w:tc>
          <w:tcPr>
            <w:tcW w:w="2972" w:type="dxa"/>
            <w:shd w:val="clear" w:color="auto" w:fill="auto"/>
          </w:tcPr>
          <w:p w14:paraId="613F7AD0" w14:textId="77777777" w:rsidR="00AC7434" w:rsidRPr="000D269D" w:rsidRDefault="00AC7434" w:rsidP="00AC7434">
            <w:pPr>
              <w:pStyle w:val="TAC"/>
              <w:rPr>
                <w:lang w:eastAsia="ja-JP"/>
              </w:rPr>
            </w:pPr>
            <w:r w:rsidRPr="000D269D">
              <w:rPr>
                <w:lang w:eastAsia="ja-JP"/>
              </w:rPr>
              <w:t>OTA in-band selectivity and blocking</w:t>
            </w:r>
          </w:p>
        </w:tc>
        <w:tc>
          <w:tcPr>
            <w:tcW w:w="1415" w:type="dxa"/>
            <w:tcBorders>
              <w:top w:val="nil"/>
              <w:bottom w:val="nil"/>
            </w:tcBorders>
            <w:shd w:val="clear" w:color="auto" w:fill="auto"/>
          </w:tcPr>
          <w:p w14:paraId="5B575C0C" w14:textId="77777777" w:rsidR="00AC7434" w:rsidRPr="000D269D" w:rsidRDefault="00AC7434" w:rsidP="00AC7434">
            <w:pPr>
              <w:pStyle w:val="TAC"/>
              <w:rPr>
                <w:lang w:eastAsia="ja-JP"/>
              </w:rPr>
            </w:pPr>
          </w:p>
        </w:tc>
        <w:tc>
          <w:tcPr>
            <w:tcW w:w="1533" w:type="dxa"/>
          </w:tcPr>
          <w:p w14:paraId="41731412" w14:textId="77777777" w:rsidR="00AC7434" w:rsidRPr="000D269D" w:rsidRDefault="00AC7434" w:rsidP="00AC7434">
            <w:pPr>
              <w:pStyle w:val="TAC"/>
              <w:rPr>
                <w:lang w:eastAsia="ja-JP"/>
              </w:rPr>
            </w:pPr>
            <w:r w:rsidRPr="000D269D">
              <w:rPr>
                <w:lang w:eastAsia="ja-JP"/>
              </w:rPr>
              <w:t>10.5</w:t>
            </w:r>
          </w:p>
        </w:tc>
        <w:tc>
          <w:tcPr>
            <w:tcW w:w="1533" w:type="dxa"/>
          </w:tcPr>
          <w:p w14:paraId="76D5DCF7" w14:textId="77777777" w:rsidR="00AC7434" w:rsidRPr="000D269D" w:rsidRDefault="00AC7434" w:rsidP="00AC7434">
            <w:pPr>
              <w:pStyle w:val="TAC"/>
              <w:rPr>
                <w:lang w:eastAsia="ja-JP"/>
              </w:rPr>
            </w:pPr>
            <w:r w:rsidRPr="000D269D">
              <w:rPr>
                <w:lang w:eastAsia="ja-JP"/>
              </w:rPr>
              <w:t>10.5</w:t>
            </w:r>
          </w:p>
        </w:tc>
      </w:tr>
      <w:tr w:rsidR="00AC7434" w:rsidRPr="000D269D" w14:paraId="6147FA67" w14:textId="77777777" w:rsidTr="00AC7434">
        <w:tc>
          <w:tcPr>
            <w:tcW w:w="2972" w:type="dxa"/>
            <w:shd w:val="clear" w:color="auto" w:fill="auto"/>
          </w:tcPr>
          <w:p w14:paraId="3A2143D1" w14:textId="77777777" w:rsidR="00AC7434" w:rsidRPr="000D269D" w:rsidRDefault="00AC7434" w:rsidP="00AC7434">
            <w:pPr>
              <w:pStyle w:val="TAC"/>
              <w:rPr>
                <w:lang w:eastAsia="ja-JP"/>
              </w:rPr>
            </w:pPr>
            <w:r w:rsidRPr="000D269D">
              <w:rPr>
                <w:lang w:eastAsia="ja-JP"/>
              </w:rPr>
              <w:t>OTA out-of-band blocking</w:t>
            </w:r>
          </w:p>
        </w:tc>
        <w:tc>
          <w:tcPr>
            <w:tcW w:w="1415" w:type="dxa"/>
            <w:tcBorders>
              <w:top w:val="nil"/>
              <w:bottom w:val="nil"/>
            </w:tcBorders>
            <w:shd w:val="clear" w:color="auto" w:fill="auto"/>
          </w:tcPr>
          <w:p w14:paraId="2933774D" w14:textId="77777777" w:rsidR="00AC7434" w:rsidRPr="000D269D" w:rsidRDefault="00AC7434" w:rsidP="00AC7434">
            <w:pPr>
              <w:pStyle w:val="TAC"/>
              <w:rPr>
                <w:lang w:eastAsia="ja-JP"/>
              </w:rPr>
            </w:pPr>
          </w:p>
        </w:tc>
        <w:tc>
          <w:tcPr>
            <w:tcW w:w="1533" w:type="dxa"/>
          </w:tcPr>
          <w:p w14:paraId="36749EAA" w14:textId="77777777" w:rsidR="00AC7434" w:rsidRPr="000D269D" w:rsidRDefault="00AC7434" w:rsidP="00AC7434">
            <w:pPr>
              <w:pStyle w:val="TAC"/>
              <w:rPr>
                <w:lang w:eastAsia="ja-JP"/>
              </w:rPr>
            </w:pPr>
            <w:r w:rsidRPr="000D269D">
              <w:rPr>
                <w:lang w:eastAsia="ja-JP"/>
              </w:rPr>
              <w:t>10.6</w:t>
            </w:r>
          </w:p>
        </w:tc>
        <w:tc>
          <w:tcPr>
            <w:tcW w:w="1533" w:type="dxa"/>
          </w:tcPr>
          <w:p w14:paraId="32F7A37E" w14:textId="77777777" w:rsidR="00AC7434" w:rsidRPr="000D269D" w:rsidRDefault="00AC7434" w:rsidP="00AC7434">
            <w:pPr>
              <w:pStyle w:val="TAC"/>
              <w:rPr>
                <w:lang w:eastAsia="ja-JP"/>
              </w:rPr>
            </w:pPr>
            <w:r w:rsidRPr="000D269D">
              <w:rPr>
                <w:lang w:eastAsia="ja-JP"/>
              </w:rPr>
              <w:t>10.6</w:t>
            </w:r>
          </w:p>
        </w:tc>
      </w:tr>
      <w:tr w:rsidR="00AC7434" w:rsidRPr="000D269D" w14:paraId="70640A9F" w14:textId="77777777" w:rsidTr="00AC7434">
        <w:tc>
          <w:tcPr>
            <w:tcW w:w="2972" w:type="dxa"/>
            <w:shd w:val="clear" w:color="auto" w:fill="auto"/>
          </w:tcPr>
          <w:p w14:paraId="215E3542" w14:textId="77777777" w:rsidR="00AC7434" w:rsidRPr="000D269D" w:rsidRDefault="00AC7434" w:rsidP="00AC7434">
            <w:pPr>
              <w:pStyle w:val="TAC"/>
              <w:rPr>
                <w:lang w:eastAsia="ja-JP"/>
              </w:rPr>
            </w:pPr>
            <w:r w:rsidRPr="000D269D">
              <w:rPr>
                <w:lang w:eastAsia="ja-JP"/>
              </w:rPr>
              <w:t xml:space="preserve">OTA receiver spurious emission </w:t>
            </w:r>
          </w:p>
        </w:tc>
        <w:tc>
          <w:tcPr>
            <w:tcW w:w="1415" w:type="dxa"/>
            <w:tcBorders>
              <w:top w:val="nil"/>
              <w:bottom w:val="nil"/>
            </w:tcBorders>
            <w:shd w:val="clear" w:color="auto" w:fill="auto"/>
          </w:tcPr>
          <w:p w14:paraId="362DF7C6" w14:textId="77777777" w:rsidR="00AC7434" w:rsidRPr="000D269D" w:rsidRDefault="00AC7434" w:rsidP="00AC7434">
            <w:pPr>
              <w:pStyle w:val="TAC"/>
              <w:rPr>
                <w:lang w:eastAsia="ja-JP"/>
              </w:rPr>
            </w:pPr>
          </w:p>
        </w:tc>
        <w:tc>
          <w:tcPr>
            <w:tcW w:w="1533" w:type="dxa"/>
          </w:tcPr>
          <w:p w14:paraId="1C8735C2" w14:textId="77777777" w:rsidR="00AC7434" w:rsidRPr="000D269D" w:rsidRDefault="00AC7434" w:rsidP="00AC7434">
            <w:pPr>
              <w:pStyle w:val="TAC"/>
              <w:rPr>
                <w:lang w:eastAsia="ja-JP"/>
              </w:rPr>
            </w:pPr>
            <w:r w:rsidRPr="000D269D">
              <w:rPr>
                <w:lang w:eastAsia="ja-JP"/>
              </w:rPr>
              <w:t>10.7</w:t>
            </w:r>
          </w:p>
        </w:tc>
        <w:tc>
          <w:tcPr>
            <w:tcW w:w="1533" w:type="dxa"/>
          </w:tcPr>
          <w:p w14:paraId="0A260A41" w14:textId="77777777" w:rsidR="00AC7434" w:rsidRPr="000D269D" w:rsidRDefault="00AC7434" w:rsidP="00AC7434">
            <w:pPr>
              <w:pStyle w:val="TAC"/>
              <w:rPr>
                <w:lang w:eastAsia="ja-JP"/>
              </w:rPr>
            </w:pPr>
            <w:r w:rsidRPr="000D269D">
              <w:rPr>
                <w:lang w:eastAsia="ja-JP"/>
              </w:rPr>
              <w:t>10.7</w:t>
            </w:r>
          </w:p>
        </w:tc>
      </w:tr>
      <w:tr w:rsidR="00AC7434" w:rsidRPr="000D269D" w14:paraId="46D14D13" w14:textId="77777777" w:rsidTr="00AC7434">
        <w:tc>
          <w:tcPr>
            <w:tcW w:w="2972" w:type="dxa"/>
            <w:shd w:val="clear" w:color="auto" w:fill="auto"/>
          </w:tcPr>
          <w:p w14:paraId="48F859A4" w14:textId="77777777" w:rsidR="00AC7434" w:rsidRPr="000D269D" w:rsidRDefault="00AC7434" w:rsidP="00AC7434">
            <w:pPr>
              <w:pStyle w:val="TAC"/>
              <w:rPr>
                <w:lang w:eastAsia="ja-JP"/>
              </w:rPr>
            </w:pPr>
            <w:r w:rsidRPr="000D269D">
              <w:rPr>
                <w:lang w:eastAsia="ja-JP"/>
              </w:rPr>
              <w:t>OTA receiver intermodulation</w:t>
            </w:r>
          </w:p>
        </w:tc>
        <w:tc>
          <w:tcPr>
            <w:tcW w:w="1415" w:type="dxa"/>
            <w:tcBorders>
              <w:top w:val="nil"/>
              <w:bottom w:val="nil"/>
            </w:tcBorders>
            <w:shd w:val="clear" w:color="auto" w:fill="auto"/>
          </w:tcPr>
          <w:p w14:paraId="7A93C75C" w14:textId="77777777" w:rsidR="00AC7434" w:rsidRPr="000D269D" w:rsidRDefault="00AC7434" w:rsidP="00AC7434">
            <w:pPr>
              <w:pStyle w:val="TAC"/>
              <w:rPr>
                <w:lang w:eastAsia="ja-JP"/>
              </w:rPr>
            </w:pPr>
          </w:p>
        </w:tc>
        <w:tc>
          <w:tcPr>
            <w:tcW w:w="1533" w:type="dxa"/>
          </w:tcPr>
          <w:p w14:paraId="12540C03" w14:textId="77777777" w:rsidR="00AC7434" w:rsidRPr="000D269D" w:rsidRDefault="00AC7434" w:rsidP="00AC7434">
            <w:pPr>
              <w:pStyle w:val="TAC"/>
              <w:rPr>
                <w:lang w:eastAsia="ja-JP"/>
              </w:rPr>
            </w:pPr>
            <w:r w:rsidRPr="000D269D">
              <w:rPr>
                <w:lang w:eastAsia="ja-JP"/>
              </w:rPr>
              <w:t>10.8</w:t>
            </w:r>
          </w:p>
        </w:tc>
        <w:tc>
          <w:tcPr>
            <w:tcW w:w="1533" w:type="dxa"/>
          </w:tcPr>
          <w:p w14:paraId="3D5D7EAB" w14:textId="77777777" w:rsidR="00AC7434" w:rsidRPr="000D269D" w:rsidRDefault="00AC7434" w:rsidP="00AC7434">
            <w:pPr>
              <w:pStyle w:val="TAC"/>
              <w:rPr>
                <w:lang w:eastAsia="ja-JP"/>
              </w:rPr>
            </w:pPr>
            <w:r w:rsidRPr="000D269D">
              <w:rPr>
                <w:lang w:eastAsia="ja-JP"/>
              </w:rPr>
              <w:t>10.8</w:t>
            </w:r>
          </w:p>
        </w:tc>
      </w:tr>
      <w:tr w:rsidR="00AC7434" w:rsidRPr="000D269D" w14:paraId="05289061" w14:textId="77777777" w:rsidTr="00AC7434">
        <w:tc>
          <w:tcPr>
            <w:tcW w:w="2972" w:type="dxa"/>
            <w:shd w:val="clear" w:color="auto" w:fill="auto"/>
          </w:tcPr>
          <w:p w14:paraId="66869B68" w14:textId="77777777" w:rsidR="00AC7434" w:rsidRPr="000D269D" w:rsidRDefault="00AC7434" w:rsidP="00AC7434">
            <w:pPr>
              <w:pStyle w:val="TAC"/>
              <w:rPr>
                <w:lang w:eastAsia="ja-JP"/>
              </w:rPr>
            </w:pPr>
            <w:r w:rsidRPr="000D269D">
              <w:rPr>
                <w:lang w:eastAsia="ja-JP"/>
              </w:rPr>
              <w:t>OTA in-channel selectivity</w:t>
            </w:r>
          </w:p>
        </w:tc>
        <w:tc>
          <w:tcPr>
            <w:tcW w:w="1415" w:type="dxa"/>
            <w:tcBorders>
              <w:top w:val="nil"/>
              <w:bottom w:val="nil"/>
            </w:tcBorders>
            <w:shd w:val="clear" w:color="auto" w:fill="auto"/>
          </w:tcPr>
          <w:p w14:paraId="5504C5E3" w14:textId="77777777" w:rsidR="00AC7434" w:rsidRPr="000D269D" w:rsidRDefault="00AC7434" w:rsidP="00AC7434">
            <w:pPr>
              <w:pStyle w:val="TAC"/>
              <w:rPr>
                <w:lang w:eastAsia="ja-JP"/>
              </w:rPr>
            </w:pPr>
          </w:p>
        </w:tc>
        <w:tc>
          <w:tcPr>
            <w:tcW w:w="1533" w:type="dxa"/>
          </w:tcPr>
          <w:p w14:paraId="33287EE4" w14:textId="77777777" w:rsidR="00AC7434" w:rsidRPr="000D269D" w:rsidRDefault="00AC7434" w:rsidP="00AC7434">
            <w:pPr>
              <w:pStyle w:val="TAC"/>
              <w:rPr>
                <w:lang w:eastAsia="ja-JP"/>
              </w:rPr>
            </w:pPr>
            <w:r w:rsidRPr="000D269D">
              <w:rPr>
                <w:lang w:eastAsia="ja-JP"/>
              </w:rPr>
              <w:t>10.9</w:t>
            </w:r>
          </w:p>
        </w:tc>
        <w:tc>
          <w:tcPr>
            <w:tcW w:w="1533" w:type="dxa"/>
          </w:tcPr>
          <w:p w14:paraId="3398BA1C" w14:textId="77777777" w:rsidR="00AC7434" w:rsidRPr="000D269D" w:rsidRDefault="00AC7434" w:rsidP="00AC7434">
            <w:pPr>
              <w:pStyle w:val="TAC"/>
              <w:rPr>
                <w:lang w:eastAsia="ja-JP"/>
              </w:rPr>
            </w:pPr>
            <w:r w:rsidRPr="000D269D">
              <w:rPr>
                <w:lang w:eastAsia="ja-JP"/>
              </w:rPr>
              <w:t>10.9</w:t>
            </w:r>
          </w:p>
        </w:tc>
      </w:tr>
      <w:tr w:rsidR="00AC7434" w:rsidRPr="000D269D" w14:paraId="2A7EC7FB" w14:textId="77777777" w:rsidTr="00AC7434">
        <w:tc>
          <w:tcPr>
            <w:tcW w:w="2972" w:type="dxa"/>
            <w:shd w:val="clear" w:color="auto" w:fill="auto"/>
          </w:tcPr>
          <w:p w14:paraId="0037824E" w14:textId="77777777" w:rsidR="00AC7434" w:rsidRPr="000D269D" w:rsidRDefault="00AC7434" w:rsidP="00AC7434">
            <w:pPr>
              <w:pStyle w:val="TAC"/>
              <w:rPr>
                <w:lang w:eastAsia="ja-JP"/>
              </w:rPr>
            </w:pPr>
            <w:r w:rsidRPr="000D269D">
              <w:rPr>
                <w:lang w:eastAsia="ja-JP"/>
              </w:rPr>
              <w:t>Radiated performance requirements</w:t>
            </w:r>
          </w:p>
        </w:tc>
        <w:tc>
          <w:tcPr>
            <w:tcW w:w="1415" w:type="dxa"/>
            <w:tcBorders>
              <w:top w:val="nil"/>
            </w:tcBorders>
            <w:shd w:val="clear" w:color="auto" w:fill="auto"/>
          </w:tcPr>
          <w:p w14:paraId="6C8E8C20" w14:textId="77777777" w:rsidR="00AC7434" w:rsidRPr="000D269D" w:rsidRDefault="00AC7434" w:rsidP="00AC7434">
            <w:pPr>
              <w:pStyle w:val="TAC"/>
              <w:rPr>
                <w:lang w:eastAsia="ja-JP"/>
              </w:rPr>
            </w:pPr>
          </w:p>
        </w:tc>
        <w:tc>
          <w:tcPr>
            <w:tcW w:w="1533" w:type="dxa"/>
          </w:tcPr>
          <w:p w14:paraId="33A2A4C2" w14:textId="77777777" w:rsidR="00AC7434" w:rsidRPr="000D269D" w:rsidRDefault="00AC7434" w:rsidP="00AC7434">
            <w:pPr>
              <w:pStyle w:val="TAC"/>
              <w:rPr>
                <w:lang w:eastAsia="ja-JP"/>
              </w:rPr>
            </w:pPr>
            <w:r w:rsidRPr="000D269D">
              <w:rPr>
                <w:lang w:eastAsia="ja-JP"/>
              </w:rPr>
              <w:t>11</w:t>
            </w:r>
          </w:p>
        </w:tc>
        <w:tc>
          <w:tcPr>
            <w:tcW w:w="1533" w:type="dxa"/>
          </w:tcPr>
          <w:p w14:paraId="01977561" w14:textId="77777777" w:rsidR="00AC7434" w:rsidRPr="000D269D" w:rsidRDefault="00AC7434" w:rsidP="00AC7434">
            <w:pPr>
              <w:pStyle w:val="TAC"/>
              <w:rPr>
                <w:lang w:eastAsia="ja-JP"/>
              </w:rPr>
            </w:pPr>
            <w:r w:rsidRPr="000D269D">
              <w:rPr>
                <w:lang w:eastAsia="ja-JP"/>
              </w:rPr>
              <w:t>11</w:t>
            </w:r>
          </w:p>
        </w:tc>
      </w:tr>
    </w:tbl>
    <w:p w14:paraId="5CCAB56F" w14:textId="77777777" w:rsidR="00241248" w:rsidRDefault="00241248" w:rsidP="00241248"/>
    <w:p w14:paraId="679F5314" w14:textId="0D3962AF" w:rsidR="00241248" w:rsidRPr="000D269D" w:rsidRDefault="00241248" w:rsidP="00AC7434">
      <w:pPr>
        <w:pStyle w:val="TH"/>
      </w:pPr>
      <w:r w:rsidRPr="000D269D">
        <w:lastRenderedPageBreak/>
        <w:t>Table 4.6-</w:t>
      </w:r>
      <w:r w:rsidR="00137E92">
        <w:t>2</w:t>
      </w:r>
      <w:r w:rsidRPr="000D269D">
        <w:t xml:space="preserve">: </w:t>
      </w:r>
      <w:r w:rsidRPr="000D269D">
        <w:rPr>
          <w:i/>
        </w:rPr>
        <w:t>Requirement set</w:t>
      </w:r>
      <w:r w:rsidRPr="000D269D">
        <w:t xml:space="preserve"> applicabilit</w:t>
      </w:r>
      <w:r>
        <w:t>y for IAB-MTs</w:t>
      </w:r>
    </w:p>
    <w:tbl>
      <w:tblPr>
        <w:tblW w:w="745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972"/>
        <w:gridCol w:w="1415"/>
        <w:gridCol w:w="1533"/>
        <w:gridCol w:w="1533"/>
      </w:tblGrid>
      <w:tr w:rsidR="00AC7434" w:rsidRPr="000D269D" w14:paraId="78D011E6" w14:textId="77777777" w:rsidTr="00AC7434">
        <w:tc>
          <w:tcPr>
            <w:tcW w:w="2972" w:type="dxa"/>
            <w:shd w:val="clear" w:color="auto" w:fill="auto"/>
          </w:tcPr>
          <w:p w14:paraId="0DA80D13" w14:textId="5C001321" w:rsidR="00AC7434" w:rsidRPr="000D269D" w:rsidRDefault="00AC7434" w:rsidP="00AC7434">
            <w:pPr>
              <w:pStyle w:val="TAH"/>
              <w:rPr>
                <w:lang w:eastAsia="ja-JP"/>
              </w:rPr>
            </w:pPr>
            <w:r w:rsidRPr="000D269D">
              <w:rPr>
                <w:lang w:eastAsia="ja-JP"/>
              </w:rPr>
              <w:t>Requirement</w:t>
            </w:r>
          </w:p>
        </w:tc>
        <w:tc>
          <w:tcPr>
            <w:tcW w:w="1415" w:type="dxa"/>
            <w:shd w:val="clear" w:color="auto" w:fill="auto"/>
          </w:tcPr>
          <w:p w14:paraId="030A55CB" w14:textId="7A3F16BC" w:rsidR="00AC7434" w:rsidRPr="000D269D" w:rsidRDefault="00AC7434" w:rsidP="00AC7434">
            <w:pPr>
              <w:pStyle w:val="TAH"/>
              <w:rPr>
                <w:lang w:eastAsia="ja-JP"/>
              </w:rPr>
            </w:pPr>
            <w:r w:rsidRPr="000D269D">
              <w:rPr>
                <w:i/>
                <w:lang w:eastAsia="ja-JP"/>
              </w:rPr>
              <w:t>IAB</w:t>
            </w:r>
            <w:r>
              <w:rPr>
                <w:i/>
                <w:lang w:eastAsia="ja-JP"/>
              </w:rPr>
              <w:t>-MT</w:t>
            </w:r>
            <w:r w:rsidRPr="000D269D">
              <w:rPr>
                <w:i/>
                <w:lang w:eastAsia="ja-JP"/>
              </w:rPr>
              <w:t xml:space="preserve"> type 1-H</w:t>
            </w:r>
          </w:p>
        </w:tc>
        <w:tc>
          <w:tcPr>
            <w:tcW w:w="1533" w:type="dxa"/>
            <w:tcBorders>
              <w:bottom w:val="single" w:sz="4" w:space="0" w:color="auto"/>
            </w:tcBorders>
          </w:tcPr>
          <w:p w14:paraId="3E89EF97" w14:textId="61581FB5" w:rsidR="00AC7434" w:rsidRPr="000D269D" w:rsidRDefault="00AC7434" w:rsidP="00AC7434">
            <w:pPr>
              <w:pStyle w:val="TAH"/>
              <w:rPr>
                <w:lang w:eastAsia="ja-JP"/>
              </w:rPr>
            </w:pPr>
            <w:r w:rsidRPr="000D269D">
              <w:rPr>
                <w:i/>
                <w:lang w:eastAsia="ja-JP"/>
              </w:rPr>
              <w:t>IAB</w:t>
            </w:r>
            <w:r>
              <w:rPr>
                <w:i/>
                <w:lang w:eastAsia="ja-JP"/>
              </w:rPr>
              <w:t>-MT</w:t>
            </w:r>
            <w:r w:rsidRPr="000D269D">
              <w:rPr>
                <w:i/>
                <w:lang w:eastAsia="ja-JP"/>
              </w:rPr>
              <w:t xml:space="preserve"> type 1-O</w:t>
            </w:r>
          </w:p>
        </w:tc>
        <w:tc>
          <w:tcPr>
            <w:tcW w:w="1533" w:type="dxa"/>
            <w:tcBorders>
              <w:bottom w:val="single" w:sz="4" w:space="0" w:color="auto"/>
            </w:tcBorders>
          </w:tcPr>
          <w:p w14:paraId="4CB93917" w14:textId="0CC554E0" w:rsidR="00AC7434" w:rsidRPr="000D269D" w:rsidRDefault="00AC7434" w:rsidP="00AC7434">
            <w:pPr>
              <w:pStyle w:val="TAH"/>
              <w:rPr>
                <w:lang w:eastAsia="ja-JP"/>
              </w:rPr>
            </w:pPr>
            <w:r w:rsidRPr="000D269D">
              <w:rPr>
                <w:i/>
                <w:lang w:eastAsia="ja-JP"/>
              </w:rPr>
              <w:t>IAB</w:t>
            </w:r>
            <w:r>
              <w:rPr>
                <w:i/>
                <w:lang w:eastAsia="ja-JP"/>
              </w:rPr>
              <w:t>-MT</w:t>
            </w:r>
            <w:r w:rsidRPr="000D269D">
              <w:rPr>
                <w:i/>
                <w:lang w:eastAsia="ja-JP"/>
              </w:rPr>
              <w:t xml:space="preserve"> type 2-O</w:t>
            </w:r>
          </w:p>
        </w:tc>
      </w:tr>
      <w:tr w:rsidR="00AC7434" w:rsidRPr="000D269D" w14:paraId="593A634D" w14:textId="77777777" w:rsidTr="00AC7434">
        <w:tc>
          <w:tcPr>
            <w:tcW w:w="2972" w:type="dxa"/>
            <w:shd w:val="clear" w:color="auto" w:fill="auto"/>
          </w:tcPr>
          <w:p w14:paraId="424EB572" w14:textId="77777777" w:rsidR="00AC7434" w:rsidRPr="000D269D" w:rsidDel="00014DAC" w:rsidRDefault="00AC7434" w:rsidP="00AC7434">
            <w:pPr>
              <w:pStyle w:val="TAC"/>
              <w:rPr>
                <w:lang w:eastAsia="ja-JP"/>
              </w:rPr>
            </w:pPr>
            <w:r w:rsidRPr="000D269D">
              <w:rPr>
                <w:lang w:eastAsia="ja-JP"/>
              </w:rPr>
              <w:t>Output power</w:t>
            </w:r>
          </w:p>
        </w:tc>
        <w:tc>
          <w:tcPr>
            <w:tcW w:w="1415" w:type="dxa"/>
            <w:shd w:val="clear" w:color="auto" w:fill="auto"/>
          </w:tcPr>
          <w:p w14:paraId="6093A7B6" w14:textId="77777777" w:rsidR="00AC7434" w:rsidRPr="000D269D" w:rsidRDefault="00AC7434" w:rsidP="00AC7434">
            <w:pPr>
              <w:pStyle w:val="TAC"/>
              <w:rPr>
                <w:lang w:eastAsia="ja-JP"/>
              </w:rPr>
            </w:pPr>
            <w:r w:rsidRPr="000D269D">
              <w:rPr>
                <w:lang w:eastAsia="ja-JP"/>
              </w:rPr>
              <w:t>6.2</w:t>
            </w:r>
          </w:p>
        </w:tc>
        <w:tc>
          <w:tcPr>
            <w:tcW w:w="1533" w:type="dxa"/>
            <w:tcBorders>
              <w:bottom w:val="nil"/>
            </w:tcBorders>
            <w:shd w:val="clear" w:color="auto" w:fill="auto"/>
          </w:tcPr>
          <w:p w14:paraId="396D9B76" w14:textId="0EC96414" w:rsidR="00AC7434" w:rsidRPr="000D269D" w:rsidRDefault="00AC7434" w:rsidP="00AC7434">
            <w:pPr>
              <w:pStyle w:val="TAC"/>
              <w:rPr>
                <w:lang w:eastAsia="ja-JP"/>
              </w:rPr>
            </w:pPr>
            <w:r w:rsidRPr="000D269D">
              <w:rPr>
                <w:lang w:eastAsia="ja-JP"/>
              </w:rPr>
              <w:t>NA</w:t>
            </w:r>
          </w:p>
        </w:tc>
        <w:tc>
          <w:tcPr>
            <w:tcW w:w="1533" w:type="dxa"/>
            <w:tcBorders>
              <w:bottom w:val="nil"/>
            </w:tcBorders>
            <w:shd w:val="clear" w:color="auto" w:fill="auto"/>
          </w:tcPr>
          <w:p w14:paraId="2A033CA6" w14:textId="56A03D54" w:rsidR="00AC7434" w:rsidRPr="000D269D" w:rsidRDefault="00AC7434" w:rsidP="00AC7434">
            <w:pPr>
              <w:pStyle w:val="TAC"/>
              <w:rPr>
                <w:lang w:eastAsia="ja-JP"/>
              </w:rPr>
            </w:pPr>
            <w:r w:rsidRPr="000D269D">
              <w:rPr>
                <w:lang w:eastAsia="ja-JP"/>
              </w:rPr>
              <w:t>NA</w:t>
            </w:r>
          </w:p>
        </w:tc>
      </w:tr>
      <w:tr w:rsidR="00AC7434" w:rsidRPr="000D269D" w14:paraId="0373C9C5" w14:textId="77777777" w:rsidTr="00AC7434">
        <w:tc>
          <w:tcPr>
            <w:tcW w:w="2972" w:type="dxa"/>
            <w:shd w:val="clear" w:color="auto" w:fill="auto"/>
          </w:tcPr>
          <w:p w14:paraId="30006740" w14:textId="77777777" w:rsidR="00AC7434" w:rsidRPr="000D269D" w:rsidDel="00014DAC" w:rsidRDefault="00AC7434" w:rsidP="00AC7434">
            <w:pPr>
              <w:pStyle w:val="TAC"/>
              <w:rPr>
                <w:lang w:eastAsia="ja-JP"/>
              </w:rPr>
            </w:pPr>
            <w:r w:rsidRPr="000D269D">
              <w:rPr>
                <w:lang w:eastAsia="ja-JP"/>
              </w:rPr>
              <w:t xml:space="preserve">Output power dynamics </w:t>
            </w:r>
          </w:p>
        </w:tc>
        <w:tc>
          <w:tcPr>
            <w:tcW w:w="1415" w:type="dxa"/>
            <w:shd w:val="clear" w:color="auto" w:fill="auto"/>
          </w:tcPr>
          <w:p w14:paraId="1A85D9C5" w14:textId="77777777" w:rsidR="00AC7434" w:rsidRPr="000D269D" w:rsidRDefault="00AC7434" w:rsidP="00AC7434">
            <w:pPr>
              <w:pStyle w:val="TAC"/>
              <w:rPr>
                <w:lang w:eastAsia="ja-JP"/>
              </w:rPr>
            </w:pPr>
            <w:r w:rsidRPr="000D269D">
              <w:rPr>
                <w:lang w:eastAsia="ja-JP"/>
              </w:rPr>
              <w:t>6.3</w:t>
            </w:r>
          </w:p>
        </w:tc>
        <w:tc>
          <w:tcPr>
            <w:tcW w:w="1533" w:type="dxa"/>
            <w:tcBorders>
              <w:top w:val="nil"/>
              <w:bottom w:val="nil"/>
            </w:tcBorders>
            <w:shd w:val="clear" w:color="auto" w:fill="auto"/>
          </w:tcPr>
          <w:p w14:paraId="1C00140A"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4A0D8352" w14:textId="77777777" w:rsidR="00AC7434" w:rsidRPr="000D269D" w:rsidRDefault="00AC7434" w:rsidP="00AC7434">
            <w:pPr>
              <w:pStyle w:val="TAC"/>
              <w:rPr>
                <w:lang w:eastAsia="ja-JP"/>
              </w:rPr>
            </w:pPr>
          </w:p>
        </w:tc>
      </w:tr>
      <w:tr w:rsidR="00AC7434" w:rsidRPr="000D269D" w14:paraId="67ACC328" w14:textId="77777777" w:rsidTr="00AC7434">
        <w:tc>
          <w:tcPr>
            <w:tcW w:w="2972" w:type="dxa"/>
            <w:shd w:val="clear" w:color="auto" w:fill="auto"/>
          </w:tcPr>
          <w:p w14:paraId="0C102A0A" w14:textId="77777777" w:rsidR="00AC7434" w:rsidRPr="000D269D" w:rsidRDefault="00AC7434" w:rsidP="00AC7434">
            <w:pPr>
              <w:pStyle w:val="TAC"/>
              <w:rPr>
                <w:lang w:eastAsia="ja-JP"/>
              </w:rPr>
            </w:pPr>
            <w:r w:rsidRPr="000D269D">
              <w:rPr>
                <w:lang w:eastAsia="ja-JP"/>
              </w:rPr>
              <w:t xml:space="preserve">Transmit ON/OFF power </w:t>
            </w:r>
          </w:p>
        </w:tc>
        <w:tc>
          <w:tcPr>
            <w:tcW w:w="1415" w:type="dxa"/>
            <w:shd w:val="clear" w:color="auto" w:fill="auto"/>
          </w:tcPr>
          <w:p w14:paraId="63298032" w14:textId="77777777" w:rsidR="00AC7434" w:rsidRPr="000D269D" w:rsidRDefault="00AC7434" w:rsidP="00AC7434">
            <w:pPr>
              <w:pStyle w:val="TAC"/>
              <w:rPr>
                <w:lang w:eastAsia="ja-JP"/>
              </w:rPr>
            </w:pPr>
            <w:r w:rsidRPr="000D269D">
              <w:rPr>
                <w:lang w:eastAsia="ja-JP"/>
              </w:rPr>
              <w:t>6.4</w:t>
            </w:r>
          </w:p>
        </w:tc>
        <w:tc>
          <w:tcPr>
            <w:tcW w:w="1533" w:type="dxa"/>
            <w:tcBorders>
              <w:top w:val="nil"/>
              <w:bottom w:val="nil"/>
            </w:tcBorders>
            <w:shd w:val="clear" w:color="auto" w:fill="auto"/>
          </w:tcPr>
          <w:p w14:paraId="4A27F1B4"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797063AC" w14:textId="77777777" w:rsidR="00AC7434" w:rsidRPr="000D269D" w:rsidRDefault="00AC7434" w:rsidP="00AC7434">
            <w:pPr>
              <w:pStyle w:val="TAC"/>
              <w:rPr>
                <w:lang w:eastAsia="ja-JP"/>
              </w:rPr>
            </w:pPr>
          </w:p>
        </w:tc>
      </w:tr>
      <w:tr w:rsidR="00AC7434" w:rsidRPr="000D269D" w14:paraId="765DE51C" w14:textId="77777777" w:rsidTr="00AC7434">
        <w:tc>
          <w:tcPr>
            <w:tcW w:w="2972" w:type="dxa"/>
            <w:shd w:val="clear" w:color="auto" w:fill="auto"/>
          </w:tcPr>
          <w:p w14:paraId="69C7B12B" w14:textId="77777777" w:rsidR="00AC7434" w:rsidRPr="000D269D" w:rsidRDefault="00AC7434" w:rsidP="00AC7434">
            <w:pPr>
              <w:pStyle w:val="TAC"/>
              <w:rPr>
                <w:lang w:eastAsia="ja-JP"/>
              </w:rPr>
            </w:pPr>
            <w:r w:rsidRPr="000D269D">
              <w:rPr>
                <w:lang w:eastAsia="ja-JP"/>
              </w:rPr>
              <w:t>Transmitted signal quality</w:t>
            </w:r>
          </w:p>
        </w:tc>
        <w:tc>
          <w:tcPr>
            <w:tcW w:w="1415" w:type="dxa"/>
            <w:shd w:val="clear" w:color="auto" w:fill="auto"/>
          </w:tcPr>
          <w:p w14:paraId="2CE49E15" w14:textId="77777777" w:rsidR="00AC7434" w:rsidRPr="000D269D" w:rsidRDefault="00AC7434" w:rsidP="00AC7434">
            <w:pPr>
              <w:pStyle w:val="TAC"/>
              <w:rPr>
                <w:lang w:eastAsia="ja-JP"/>
              </w:rPr>
            </w:pPr>
            <w:r w:rsidRPr="000D269D">
              <w:rPr>
                <w:lang w:eastAsia="ja-JP"/>
              </w:rPr>
              <w:t>6.5</w:t>
            </w:r>
          </w:p>
        </w:tc>
        <w:tc>
          <w:tcPr>
            <w:tcW w:w="1533" w:type="dxa"/>
            <w:tcBorders>
              <w:top w:val="nil"/>
              <w:bottom w:val="nil"/>
            </w:tcBorders>
            <w:shd w:val="clear" w:color="auto" w:fill="auto"/>
          </w:tcPr>
          <w:p w14:paraId="59914ED7"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368A6553" w14:textId="77777777" w:rsidR="00AC7434" w:rsidRPr="000D269D" w:rsidRDefault="00AC7434" w:rsidP="00AC7434">
            <w:pPr>
              <w:pStyle w:val="TAC"/>
              <w:rPr>
                <w:lang w:eastAsia="ja-JP"/>
              </w:rPr>
            </w:pPr>
          </w:p>
        </w:tc>
      </w:tr>
      <w:tr w:rsidR="00AC7434" w:rsidRPr="000D269D" w14:paraId="7F4829E0" w14:textId="77777777" w:rsidTr="00AC7434">
        <w:tc>
          <w:tcPr>
            <w:tcW w:w="2972" w:type="dxa"/>
            <w:shd w:val="clear" w:color="auto" w:fill="auto"/>
          </w:tcPr>
          <w:p w14:paraId="0B2B59B6" w14:textId="77777777" w:rsidR="00AC7434" w:rsidRPr="000D269D" w:rsidDel="00014DAC" w:rsidRDefault="00AC7434" w:rsidP="00AC7434">
            <w:pPr>
              <w:pStyle w:val="TAC"/>
              <w:rPr>
                <w:lang w:eastAsia="ja-JP"/>
              </w:rPr>
            </w:pPr>
            <w:r w:rsidRPr="000D269D">
              <w:rPr>
                <w:lang w:eastAsia="ja-JP"/>
              </w:rPr>
              <w:t>Occupied bandwidth</w:t>
            </w:r>
          </w:p>
        </w:tc>
        <w:tc>
          <w:tcPr>
            <w:tcW w:w="1415" w:type="dxa"/>
            <w:shd w:val="clear" w:color="auto" w:fill="auto"/>
          </w:tcPr>
          <w:p w14:paraId="191D5C62" w14:textId="77777777" w:rsidR="00AC7434" w:rsidRPr="000D269D" w:rsidRDefault="00AC7434" w:rsidP="00AC7434">
            <w:pPr>
              <w:pStyle w:val="TAC"/>
              <w:rPr>
                <w:lang w:eastAsia="ja-JP"/>
              </w:rPr>
            </w:pPr>
            <w:r>
              <w:rPr>
                <w:lang w:eastAsia="ja-JP"/>
              </w:rPr>
              <w:t>6.6.2</w:t>
            </w:r>
          </w:p>
        </w:tc>
        <w:tc>
          <w:tcPr>
            <w:tcW w:w="1533" w:type="dxa"/>
            <w:tcBorders>
              <w:top w:val="nil"/>
              <w:bottom w:val="nil"/>
            </w:tcBorders>
            <w:shd w:val="clear" w:color="auto" w:fill="auto"/>
          </w:tcPr>
          <w:p w14:paraId="166DD719"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0EE1961A" w14:textId="77777777" w:rsidR="00AC7434" w:rsidRPr="000D269D" w:rsidRDefault="00AC7434" w:rsidP="00AC7434">
            <w:pPr>
              <w:pStyle w:val="TAC"/>
              <w:rPr>
                <w:lang w:eastAsia="ja-JP"/>
              </w:rPr>
            </w:pPr>
          </w:p>
        </w:tc>
      </w:tr>
      <w:tr w:rsidR="00AC7434" w:rsidRPr="000D269D" w14:paraId="34B2ED06" w14:textId="77777777" w:rsidTr="00AC7434">
        <w:tc>
          <w:tcPr>
            <w:tcW w:w="2972" w:type="dxa"/>
            <w:shd w:val="clear" w:color="auto" w:fill="auto"/>
          </w:tcPr>
          <w:p w14:paraId="0E7B6CB1" w14:textId="77777777" w:rsidR="00AC7434" w:rsidRPr="000D269D" w:rsidDel="00014DAC" w:rsidRDefault="00AC7434" w:rsidP="00AC7434">
            <w:pPr>
              <w:pStyle w:val="TAC"/>
              <w:rPr>
                <w:lang w:eastAsia="ja-JP"/>
              </w:rPr>
            </w:pPr>
            <w:r w:rsidRPr="000D269D">
              <w:rPr>
                <w:lang w:eastAsia="ja-JP"/>
              </w:rPr>
              <w:t>ACLR</w:t>
            </w:r>
          </w:p>
        </w:tc>
        <w:tc>
          <w:tcPr>
            <w:tcW w:w="1415" w:type="dxa"/>
            <w:shd w:val="clear" w:color="auto" w:fill="auto"/>
          </w:tcPr>
          <w:p w14:paraId="30056E96" w14:textId="77777777" w:rsidR="00AC7434" w:rsidRPr="000D269D" w:rsidRDefault="00AC7434" w:rsidP="00AC7434">
            <w:pPr>
              <w:pStyle w:val="TAC"/>
              <w:rPr>
                <w:lang w:eastAsia="ja-JP"/>
              </w:rPr>
            </w:pPr>
            <w:r>
              <w:rPr>
                <w:lang w:eastAsia="ja-JP"/>
              </w:rPr>
              <w:t>6.6.3</w:t>
            </w:r>
          </w:p>
        </w:tc>
        <w:tc>
          <w:tcPr>
            <w:tcW w:w="1533" w:type="dxa"/>
            <w:tcBorders>
              <w:top w:val="nil"/>
              <w:bottom w:val="nil"/>
            </w:tcBorders>
            <w:shd w:val="clear" w:color="auto" w:fill="auto"/>
          </w:tcPr>
          <w:p w14:paraId="5B703161"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7A233B9D" w14:textId="77777777" w:rsidR="00AC7434" w:rsidRPr="000D269D" w:rsidRDefault="00AC7434" w:rsidP="00AC7434">
            <w:pPr>
              <w:pStyle w:val="TAC"/>
              <w:rPr>
                <w:lang w:eastAsia="ja-JP"/>
              </w:rPr>
            </w:pPr>
          </w:p>
        </w:tc>
      </w:tr>
      <w:tr w:rsidR="00AC7434" w:rsidRPr="000D269D" w14:paraId="20175135" w14:textId="77777777" w:rsidTr="00AC7434">
        <w:tc>
          <w:tcPr>
            <w:tcW w:w="2972" w:type="dxa"/>
            <w:shd w:val="clear" w:color="auto" w:fill="auto"/>
          </w:tcPr>
          <w:p w14:paraId="4F3BC3BD" w14:textId="77777777" w:rsidR="00AC7434" w:rsidRPr="000D269D" w:rsidRDefault="00AC7434" w:rsidP="00AC7434">
            <w:pPr>
              <w:pStyle w:val="TAC"/>
              <w:rPr>
                <w:lang w:eastAsia="ja-JP"/>
              </w:rPr>
            </w:pPr>
            <w:r w:rsidRPr="000D269D">
              <w:rPr>
                <w:lang w:eastAsia="ja-JP"/>
              </w:rPr>
              <w:t>Operating band unwanted</w:t>
            </w:r>
          </w:p>
          <w:p w14:paraId="42D10B38" w14:textId="77777777" w:rsidR="00AC7434" w:rsidRPr="000D269D" w:rsidDel="00014DAC" w:rsidRDefault="00AC7434" w:rsidP="00AC7434">
            <w:pPr>
              <w:pStyle w:val="TAC"/>
              <w:rPr>
                <w:lang w:eastAsia="ja-JP"/>
              </w:rPr>
            </w:pPr>
            <w:r w:rsidRPr="000D269D">
              <w:rPr>
                <w:lang w:eastAsia="ja-JP"/>
              </w:rPr>
              <w:t>emissions</w:t>
            </w:r>
          </w:p>
        </w:tc>
        <w:tc>
          <w:tcPr>
            <w:tcW w:w="1415" w:type="dxa"/>
            <w:shd w:val="clear" w:color="auto" w:fill="auto"/>
          </w:tcPr>
          <w:p w14:paraId="68A829D9" w14:textId="77777777" w:rsidR="00AC7434" w:rsidRPr="000D269D" w:rsidRDefault="00AC7434" w:rsidP="00AC7434">
            <w:pPr>
              <w:pStyle w:val="TAC"/>
              <w:rPr>
                <w:lang w:eastAsia="ja-JP"/>
              </w:rPr>
            </w:pPr>
            <w:r>
              <w:rPr>
                <w:lang w:eastAsia="ja-JP"/>
              </w:rPr>
              <w:t>6.6.4</w:t>
            </w:r>
          </w:p>
        </w:tc>
        <w:tc>
          <w:tcPr>
            <w:tcW w:w="1533" w:type="dxa"/>
            <w:tcBorders>
              <w:top w:val="nil"/>
              <w:bottom w:val="nil"/>
            </w:tcBorders>
            <w:shd w:val="clear" w:color="auto" w:fill="auto"/>
          </w:tcPr>
          <w:p w14:paraId="165A671D"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253291FD" w14:textId="77777777" w:rsidR="00AC7434" w:rsidRPr="000D269D" w:rsidRDefault="00AC7434" w:rsidP="00AC7434">
            <w:pPr>
              <w:pStyle w:val="TAC"/>
              <w:rPr>
                <w:lang w:eastAsia="ja-JP"/>
              </w:rPr>
            </w:pPr>
          </w:p>
        </w:tc>
      </w:tr>
      <w:tr w:rsidR="00AC7434" w:rsidRPr="000D269D" w14:paraId="1C304F25" w14:textId="77777777" w:rsidTr="00AC7434">
        <w:tc>
          <w:tcPr>
            <w:tcW w:w="2972" w:type="dxa"/>
            <w:shd w:val="clear" w:color="auto" w:fill="auto"/>
          </w:tcPr>
          <w:p w14:paraId="39931DDE" w14:textId="77777777" w:rsidR="00AC7434" w:rsidRPr="000D269D" w:rsidRDefault="00AC7434" w:rsidP="00AC7434">
            <w:pPr>
              <w:pStyle w:val="TAC"/>
              <w:rPr>
                <w:lang w:eastAsia="ja-JP"/>
              </w:rPr>
            </w:pPr>
            <w:r w:rsidRPr="000D269D">
              <w:rPr>
                <w:lang w:eastAsia="ja-JP"/>
              </w:rPr>
              <w:t>Transmitter spurious emissions</w:t>
            </w:r>
          </w:p>
        </w:tc>
        <w:tc>
          <w:tcPr>
            <w:tcW w:w="1415" w:type="dxa"/>
            <w:shd w:val="clear" w:color="auto" w:fill="auto"/>
          </w:tcPr>
          <w:p w14:paraId="5BEDAFA7" w14:textId="77777777" w:rsidR="00AC7434" w:rsidRPr="000D269D" w:rsidRDefault="00AC7434" w:rsidP="00AC7434">
            <w:pPr>
              <w:pStyle w:val="TAC"/>
              <w:rPr>
                <w:lang w:eastAsia="ja-JP"/>
              </w:rPr>
            </w:pPr>
            <w:r>
              <w:rPr>
                <w:lang w:eastAsia="ja-JP"/>
              </w:rPr>
              <w:t>6.6.5</w:t>
            </w:r>
          </w:p>
        </w:tc>
        <w:tc>
          <w:tcPr>
            <w:tcW w:w="1533" w:type="dxa"/>
            <w:tcBorders>
              <w:top w:val="nil"/>
              <w:bottom w:val="nil"/>
            </w:tcBorders>
            <w:shd w:val="clear" w:color="auto" w:fill="auto"/>
          </w:tcPr>
          <w:p w14:paraId="487889FC"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53526D1A" w14:textId="77777777" w:rsidR="00AC7434" w:rsidRPr="000D269D" w:rsidRDefault="00AC7434" w:rsidP="00AC7434">
            <w:pPr>
              <w:pStyle w:val="TAC"/>
              <w:rPr>
                <w:lang w:eastAsia="ja-JP"/>
              </w:rPr>
            </w:pPr>
          </w:p>
        </w:tc>
      </w:tr>
      <w:tr w:rsidR="00AC7434" w:rsidRPr="000D269D" w14:paraId="00D56A01" w14:textId="77777777" w:rsidTr="00AC7434">
        <w:tc>
          <w:tcPr>
            <w:tcW w:w="2972" w:type="dxa"/>
            <w:shd w:val="clear" w:color="auto" w:fill="auto"/>
          </w:tcPr>
          <w:p w14:paraId="045909F9" w14:textId="77777777" w:rsidR="00AC7434" w:rsidRPr="000D269D" w:rsidRDefault="00AC7434" w:rsidP="00AC7434">
            <w:pPr>
              <w:pStyle w:val="TAC"/>
              <w:rPr>
                <w:lang w:eastAsia="ja-JP"/>
              </w:rPr>
            </w:pPr>
            <w:r w:rsidRPr="000D269D">
              <w:rPr>
                <w:lang w:eastAsia="ja-JP"/>
              </w:rPr>
              <w:t xml:space="preserve">Transmitter intermodulation </w:t>
            </w:r>
          </w:p>
        </w:tc>
        <w:tc>
          <w:tcPr>
            <w:tcW w:w="1415" w:type="dxa"/>
            <w:shd w:val="clear" w:color="auto" w:fill="auto"/>
          </w:tcPr>
          <w:p w14:paraId="66E04C87" w14:textId="77777777" w:rsidR="00AC7434" w:rsidRPr="000D269D" w:rsidRDefault="00AC7434" w:rsidP="00AC7434">
            <w:pPr>
              <w:pStyle w:val="TAC"/>
              <w:rPr>
                <w:lang w:eastAsia="ja-JP"/>
              </w:rPr>
            </w:pPr>
            <w:r w:rsidRPr="000D269D">
              <w:rPr>
                <w:lang w:eastAsia="ja-JP"/>
              </w:rPr>
              <w:t>6.7</w:t>
            </w:r>
          </w:p>
        </w:tc>
        <w:tc>
          <w:tcPr>
            <w:tcW w:w="1533" w:type="dxa"/>
            <w:tcBorders>
              <w:top w:val="nil"/>
              <w:bottom w:val="nil"/>
            </w:tcBorders>
            <w:shd w:val="clear" w:color="auto" w:fill="auto"/>
          </w:tcPr>
          <w:p w14:paraId="45E4C44A"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744B1E46" w14:textId="77777777" w:rsidR="00AC7434" w:rsidRPr="000D269D" w:rsidRDefault="00AC7434" w:rsidP="00AC7434">
            <w:pPr>
              <w:pStyle w:val="TAC"/>
              <w:rPr>
                <w:lang w:eastAsia="ja-JP"/>
              </w:rPr>
            </w:pPr>
          </w:p>
        </w:tc>
      </w:tr>
      <w:tr w:rsidR="00AC7434" w:rsidRPr="000D269D" w14:paraId="5B5CDF35" w14:textId="77777777" w:rsidTr="00AC7434">
        <w:tc>
          <w:tcPr>
            <w:tcW w:w="2972" w:type="dxa"/>
            <w:shd w:val="clear" w:color="auto" w:fill="auto"/>
          </w:tcPr>
          <w:p w14:paraId="16506489" w14:textId="77777777" w:rsidR="00AC7434" w:rsidRPr="000D269D" w:rsidRDefault="00AC7434" w:rsidP="00AC7434">
            <w:pPr>
              <w:pStyle w:val="TAC"/>
              <w:rPr>
                <w:lang w:eastAsia="ja-JP"/>
              </w:rPr>
            </w:pPr>
            <w:r w:rsidRPr="000D269D">
              <w:rPr>
                <w:lang w:eastAsia="ja-JP"/>
              </w:rPr>
              <w:t>Reference sensitivity level</w:t>
            </w:r>
          </w:p>
        </w:tc>
        <w:tc>
          <w:tcPr>
            <w:tcW w:w="1415" w:type="dxa"/>
            <w:shd w:val="clear" w:color="auto" w:fill="auto"/>
          </w:tcPr>
          <w:p w14:paraId="252D89C7" w14:textId="77777777" w:rsidR="00AC7434" w:rsidRPr="000D269D" w:rsidRDefault="00AC7434" w:rsidP="00AC7434">
            <w:pPr>
              <w:pStyle w:val="TAC"/>
              <w:rPr>
                <w:lang w:eastAsia="ja-JP"/>
              </w:rPr>
            </w:pPr>
            <w:r w:rsidRPr="000D269D">
              <w:rPr>
                <w:lang w:eastAsia="ja-JP"/>
              </w:rPr>
              <w:t>7.2</w:t>
            </w:r>
          </w:p>
        </w:tc>
        <w:tc>
          <w:tcPr>
            <w:tcW w:w="1533" w:type="dxa"/>
            <w:tcBorders>
              <w:top w:val="nil"/>
              <w:bottom w:val="nil"/>
            </w:tcBorders>
            <w:shd w:val="clear" w:color="auto" w:fill="auto"/>
          </w:tcPr>
          <w:p w14:paraId="5F0B6A80"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54019278" w14:textId="77777777" w:rsidR="00AC7434" w:rsidRPr="000D269D" w:rsidRDefault="00AC7434" w:rsidP="00AC7434">
            <w:pPr>
              <w:pStyle w:val="TAC"/>
              <w:rPr>
                <w:lang w:eastAsia="ja-JP"/>
              </w:rPr>
            </w:pPr>
          </w:p>
        </w:tc>
      </w:tr>
      <w:tr w:rsidR="00137E92" w:rsidRPr="000D269D" w14:paraId="59AB8A0C" w14:textId="77777777" w:rsidTr="00AC7434">
        <w:tc>
          <w:tcPr>
            <w:tcW w:w="2972" w:type="dxa"/>
            <w:shd w:val="clear" w:color="auto" w:fill="auto"/>
          </w:tcPr>
          <w:p w14:paraId="14EBD763" w14:textId="77777777" w:rsidR="00137E92" w:rsidRPr="000D269D" w:rsidRDefault="00137E92" w:rsidP="00137E92">
            <w:pPr>
              <w:pStyle w:val="TAC"/>
              <w:rPr>
                <w:lang w:eastAsia="ja-JP"/>
              </w:rPr>
            </w:pPr>
            <w:r w:rsidRPr="000D269D">
              <w:rPr>
                <w:lang w:eastAsia="ja-JP"/>
              </w:rPr>
              <w:t xml:space="preserve">Dynamic range </w:t>
            </w:r>
          </w:p>
        </w:tc>
        <w:tc>
          <w:tcPr>
            <w:tcW w:w="1415" w:type="dxa"/>
            <w:shd w:val="clear" w:color="auto" w:fill="auto"/>
          </w:tcPr>
          <w:p w14:paraId="36B2B05B" w14:textId="6D8B864C" w:rsidR="00137E92" w:rsidRPr="000D269D" w:rsidRDefault="00137E92" w:rsidP="00137E92">
            <w:pPr>
              <w:pStyle w:val="TAC"/>
              <w:rPr>
                <w:lang w:eastAsia="ja-JP"/>
              </w:rPr>
            </w:pPr>
            <w:r>
              <w:rPr>
                <w:lang w:eastAsia="ja-JP"/>
              </w:rPr>
              <w:t>NA</w:t>
            </w:r>
          </w:p>
        </w:tc>
        <w:tc>
          <w:tcPr>
            <w:tcW w:w="1533" w:type="dxa"/>
            <w:tcBorders>
              <w:top w:val="nil"/>
              <w:bottom w:val="nil"/>
            </w:tcBorders>
            <w:shd w:val="clear" w:color="auto" w:fill="auto"/>
          </w:tcPr>
          <w:p w14:paraId="0024602A" w14:textId="77777777" w:rsidR="00137E92" w:rsidRPr="000D269D" w:rsidRDefault="00137E92" w:rsidP="00137E92">
            <w:pPr>
              <w:pStyle w:val="TAC"/>
              <w:rPr>
                <w:lang w:eastAsia="ja-JP"/>
              </w:rPr>
            </w:pPr>
          </w:p>
        </w:tc>
        <w:tc>
          <w:tcPr>
            <w:tcW w:w="1533" w:type="dxa"/>
            <w:tcBorders>
              <w:top w:val="nil"/>
              <w:bottom w:val="nil"/>
            </w:tcBorders>
            <w:shd w:val="clear" w:color="auto" w:fill="auto"/>
          </w:tcPr>
          <w:p w14:paraId="0E89DB37" w14:textId="77777777" w:rsidR="00137E92" w:rsidRPr="000D269D" w:rsidRDefault="00137E92" w:rsidP="00137E92">
            <w:pPr>
              <w:pStyle w:val="TAC"/>
              <w:rPr>
                <w:lang w:eastAsia="ja-JP"/>
              </w:rPr>
            </w:pPr>
          </w:p>
        </w:tc>
      </w:tr>
      <w:tr w:rsidR="00137E92" w:rsidRPr="000D269D" w14:paraId="62EBA666" w14:textId="77777777" w:rsidTr="00AC7434">
        <w:tc>
          <w:tcPr>
            <w:tcW w:w="2972" w:type="dxa"/>
            <w:shd w:val="clear" w:color="auto" w:fill="auto"/>
          </w:tcPr>
          <w:p w14:paraId="24DBD7FE" w14:textId="77777777" w:rsidR="00137E92" w:rsidRPr="000D269D" w:rsidRDefault="00137E92" w:rsidP="00137E92">
            <w:pPr>
              <w:pStyle w:val="TAC"/>
              <w:rPr>
                <w:lang w:eastAsia="ja-JP"/>
              </w:rPr>
            </w:pPr>
            <w:r w:rsidRPr="000D269D">
              <w:rPr>
                <w:lang w:eastAsia="ja-JP"/>
              </w:rPr>
              <w:t xml:space="preserve">In-band selectivity and blocking </w:t>
            </w:r>
          </w:p>
        </w:tc>
        <w:tc>
          <w:tcPr>
            <w:tcW w:w="1415" w:type="dxa"/>
            <w:shd w:val="clear" w:color="auto" w:fill="auto"/>
          </w:tcPr>
          <w:p w14:paraId="20F9EAF7" w14:textId="0D98CD2B" w:rsidR="00137E92" w:rsidRPr="000D269D" w:rsidRDefault="00137E92" w:rsidP="00137E92">
            <w:pPr>
              <w:pStyle w:val="TAC"/>
              <w:rPr>
                <w:lang w:eastAsia="ja-JP"/>
              </w:rPr>
            </w:pPr>
            <w:r w:rsidRPr="000D269D">
              <w:rPr>
                <w:lang w:eastAsia="ja-JP"/>
              </w:rPr>
              <w:t>7.4</w:t>
            </w:r>
          </w:p>
        </w:tc>
        <w:tc>
          <w:tcPr>
            <w:tcW w:w="1533" w:type="dxa"/>
            <w:tcBorders>
              <w:top w:val="nil"/>
              <w:bottom w:val="nil"/>
            </w:tcBorders>
            <w:shd w:val="clear" w:color="auto" w:fill="auto"/>
          </w:tcPr>
          <w:p w14:paraId="2EB7C858" w14:textId="77777777" w:rsidR="00137E92" w:rsidRPr="000D269D" w:rsidRDefault="00137E92" w:rsidP="00137E92">
            <w:pPr>
              <w:pStyle w:val="TAC"/>
              <w:rPr>
                <w:lang w:eastAsia="ja-JP"/>
              </w:rPr>
            </w:pPr>
          </w:p>
        </w:tc>
        <w:tc>
          <w:tcPr>
            <w:tcW w:w="1533" w:type="dxa"/>
            <w:tcBorders>
              <w:top w:val="nil"/>
              <w:bottom w:val="nil"/>
            </w:tcBorders>
            <w:shd w:val="clear" w:color="auto" w:fill="auto"/>
          </w:tcPr>
          <w:p w14:paraId="5B8D9DCD" w14:textId="77777777" w:rsidR="00137E92" w:rsidRPr="000D269D" w:rsidRDefault="00137E92" w:rsidP="00137E92">
            <w:pPr>
              <w:pStyle w:val="TAC"/>
              <w:rPr>
                <w:lang w:eastAsia="ja-JP"/>
              </w:rPr>
            </w:pPr>
          </w:p>
        </w:tc>
      </w:tr>
      <w:tr w:rsidR="00137E92" w:rsidRPr="000D269D" w14:paraId="33082C39" w14:textId="77777777" w:rsidTr="00AC7434">
        <w:tc>
          <w:tcPr>
            <w:tcW w:w="2972" w:type="dxa"/>
            <w:shd w:val="clear" w:color="auto" w:fill="auto"/>
          </w:tcPr>
          <w:p w14:paraId="055B8A99" w14:textId="77777777" w:rsidR="00137E92" w:rsidRPr="000D269D" w:rsidRDefault="00137E92" w:rsidP="00137E92">
            <w:pPr>
              <w:pStyle w:val="TAC"/>
              <w:rPr>
                <w:lang w:eastAsia="ja-JP"/>
              </w:rPr>
            </w:pPr>
            <w:r w:rsidRPr="000D269D">
              <w:rPr>
                <w:lang w:eastAsia="ja-JP"/>
              </w:rPr>
              <w:t xml:space="preserve">Out-of-band blocking </w:t>
            </w:r>
          </w:p>
        </w:tc>
        <w:tc>
          <w:tcPr>
            <w:tcW w:w="1415" w:type="dxa"/>
            <w:shd w:val="clear" w:color="auto" w:fill="auto"/>
          </w:tcPr>
          <w:p w14:paraId="23E0C682" w14:textId="3A617966" w:rsidR="00137E92" w:rsidRPr="000D269D" w:rsidRDefault="00137E92" w:rsidP="00137E92">
            <w:pPr>
              <w:pStyle w:val="TAC"/>
              <w:rPr>
                <w:lang w:eastAsia="ja-JP"/>
              </w:rPr>
            </w:pPr>
            <w:r w:rsidRPr="000D269D">
              <w:rPr>
                <w:lang w:eastAsia="ja-JP"/>
              </w:rPr>
              <w:t>7.5</w:t>
            </w:r>
          </w:p>
        </w:tc>
        <w:tc>
          <w:tcPr>
            <w:tcW w:w="1533" w:type="dxa"/>
            <w:tcBorders>
              <w:top w:val="nil"/>
              <w:bottom w:val="nil"/>
            </w:tcBorders>
            <w:shd w:val="clear" w:color="auto" w:fill="auto"/>
          </w:tcPr>
          <w:p w14:paraId="012C222D" w14:textId="77777777" w:rsidR="00137E92" w:rsidRPr="000D269D" w:rsidRDefault="00137E92" w:rsidP="00137E92">
            <w:pPr>
              <w:pStyle w:val="TAC"/>
              <w:rPr>
                <w:lang w:eastAsia="ja-JP"/>
              </w:rPr>
            </w:pPr>
          </w:p>
        </w:tc>
        <w:tc>
          <w:tcPr>
            <w:tcW w:w="1533" w:type="dxa"/>
            <w:tcBorders>
              <w:top w:val="nil"/>
              <w:bottom w:val="nil"/>
            </w:tcBorders>
            <w:shd w:val="clear" w:color="auto" w:fill="auto"/>
          </w:tcPr>
          <w:p w14:paraId="1527CDA0" w14:textId="77777777" w:rsidR="00137E92" w:rsidRPr="000D269D" w:rsidRDefault="00137E92" w:rsidP="00137E92">
            <w:pPr>
              <w:pStyle w:val="TAC"/>
              <w:rPr>
                <w:lang w:eastAsia="ja-JP"/>
              </w:rPr>
            </w:pPr>
          </w:p>
        </w:tc>
      </w:tr>
      <w:tr w:rsidR="00137E92" w:rsidRPr="000D269D" w14:paraId="673051C0" w14:textId="77777777" w:rsidTr="00AC7434">
        <w:tc>
          <w:tcPr>
            <w:tcW w:w="2972" w:type="dxa"/>
            <w:shd w:val="clear" w:color="auto" w:fill="auto"/>
          </w:tcPr>
          <w:p w14:paraId="5B95556B" w14:textId="77777777" w:rsidR="00137E92" w:rsidRPr="000D269D" w:rsidRDefault="00137E92" w:rsidP="00137E92">
            <w:pPr>
              <w:pStyle w:val="TAC"/>
              <w:rPr>
                <w:lang w:eastAsia="ja-JP"/>
              </w:rPr>
            </w:pPr>
            <w:r w:rsidRPr="000D269D">
              <w:rPr>
                <w:lang w:eastAsia="ja-JP"/>
              </w:rPr>
              <w:t xml:space="preserve">Receiver spurious emissions </w:t>
            </w:r>
          </w:p>
        </w:tc>
        <w:tc>
          <w:tcPr>
            <w:tcW w:w="1415" w:type="dxa"/>
            <w:shd w:val="clear" w:color="auto" w:fill="auto"/>
          </w:tcPr>
          <w:p w14:paraId="0AFACFBD" w14:textId="3308F81E" w:rsidR="00137E92" w:rsidRPr="000D269D" w:rsidRDefault="00137E92" w:rsidP="00137E92">
            <w:pPr>
              <w:pStyle w:val="TAC"/>
              <w:rPr>
                <w:lang w:eastAsia="ja-JP"/>
              </w:rPr>
            </w:pPr>
            <w:r w:rsidRPr="000D269D">
              <w:rPr>
                <w:lang w:eastAsia="ja-JP"/>
              </w:rPr>
              <w:t>7.6</w:t>
            </w:r>
          </w:p>
        </w:tc>
        <w:tc>
          <w:tcPr>
            <w:tcW w:w="1533" w:type="dxa"/>
            <w:tcBorders>
              <w:top w:val="nil"/>
              <w:bottom w:val="nil"/>
            </w:tcBorders>
            <w:shd w:val="clear" w:color="auto" w:fill="auto"/>
          </w:tcPr>
          <w:p w14:paraId="530049FE" w14:textId="77777777" w:rsidR="00137E92" w:rsidRPr="000D269D" w:rsidRDefault="00137E92" w:rsidP="00137E92">
            <w:pPr>
              <w:pStyle w:val="TAC"/>
              <w:rPr>
                <w:lang w:eastAsia="ja-JP"/>
              </w:rPr>
            </w:pPr>
          </w:p>
        </w:tc>
        <w:tc>
          <w:tcPr>
            <w:tcW w:w="1533" w:type="dxa"/>
            <w:tcBorders>
              <w:top w:val="nil"/>
              <w:bottom w:val="nil"/>
            </w:tcBorders>
            <w:shd w:val="clear" w:color="auto" w:fill="auto"/>
          </w:tcPr>
          <w:p w14:paraId="4D23884A" w14:textId="77777777" w:rsidR="00137E92" w:rsidRPr="000D269D" w:rsidRDefault="00137E92" w:rsidP="00137E92">
            <w:pPr>
              <w:pStyle w:val="TAC"/>
              <w:rPr>
                <w:lang w:eastAsia="ja-JP"/>
              </w:rPr>
            </w:pPr>
          </w:p>
        </w:tc>
      </w:tr>
      <w:tr w:rsidR="00137E92" w:rsidRPr="000D269D" w14:paraId="5FDDA5F9" w14:textId="77777777" w:rsidTr="00AC7434">
        <w:tc>
          <w:tcPr>
            <w:tcW w:w="2972" w:type="dxa"/>
            <w:shd w:val="clear" w:color="auto" w:fill="auto"/>
          </w:tcPr>
          <w:p w14:paraId="43BD2EE8" w14:textId="77777777" w:rsidR="00137E92" w:rsidRPr="000D269D" w:rsidRDefault="00137E92" w:rsidP="00137E92">
            <w:pPr>
              <w:pStyle w:val="TAC"/>
              <w:rPr>
                <w:lang w:eastAsia="ja-JP"/>
              </w:rPr>
            </w:pPr>
            <w:r w:rsidRPr="000D269D">
              <w:rPr>
                <w:lang w:eastAsia="ja-JP"/>
              </w:rPr>
              <w:t>Receiver intermodulation</w:t>
            </w:r>
          </w:p>
        </w:tc>
        <w:tc>
          <w:tcPr>
            <w:tcW w:w="1415" w:type="dxa"/>
            <w:shd w:val="clear" w:color="auto" w:fill="auto"/>
          </w:tcPr>
          <w:p w14:paraId="4BBD534C" w14:textId="1CAC10B1" w:rsidR="00137E92" w:rsidRPr="000D269D" w:rsidRDefault="00137E92" w:rsidP="00137E92">
            <w:pPr>
              <w:pStyle w:val="TAC"/>
              <w:rPr>
                <w:lang w:eastAsia="ja-JP"/>
              </w:rPr>
            </w:pPr>
            <w:r>
              <w:rPr>
                <w:lang w:eastAsia="ja-JP"/>
              </w:rPr>
              <w:t>7.7</w:t>
            </w:r>
          </w:p>
        </w:tc>
        <w:tc>
          <w:tcPr>
            <w:tcW w:w="1533" w:type="dxa"/>
            <w:tcBorders>
              <w:top w:val="nil"/>
              <w:bottom w:val="nil"/>
            </w:tcBorders>
            <w:shd w:val="clear" w:color="auto" w:fill="auto"/>
          </w:tcPr>
          <w:p w14:paraId="39315C5B" w14:textId="77777777" w:rsidR="00137E92" w:rsidRPr="000D269D" w:rsidRDefault="00137E92" w:rsidP="00137E92">
            <w:pPr>
              <w:pStyle w:val="TAC"/>
              <w:rPr>
                <w:lang w:eastAsia="ja-JP"/>
              </w:rPr>
            </w:pPr>
          </w:p>
        </w:tc>
        <w:tc>
          <w:tcPr>
            <w:tcW w:w="1533" w:type="dxa"/>
            <w:tcBorders>
              <w:top w:val="nil"/>
              <w:bottom w:val="nil"/>
            </w:tcBorders>
            <w:shd w:val="clear" w:color="auto" w:fill="auto"/>
          </w:tcPr>
          <w:p w14:paraId="35B0EF6B" w14:textId="77777777" w:rsidR="00137E92" w:rsidRPr="000D269D" w:rsidRDefault="00137E92" w:rsidP="00137E92">
            <w:pPr>
              <w:pStyle w:val="TAC"/>
              <w:rPr>
                <w:lang w:eastAsia="ja-JP"/>
              </w:rPr>
            </w:pPr>
          </w:p>
        </w:tc>
      </w:tr>
      <w:tr w:rsidR="00AC7434" w:rsidRPr="000D269D" w14:paraId="42E5B3E3" w14:textId="77777777" w:rsidTr="00AC7434">
        <w:tc>
          <w:tcPr>
            <w:tcW w:w="2972" w:type="dxa"/>
            <w:shd w:val="clear" w:color="auto" w:fill="auto"/>
          </w:tcPr>
          <w:p w14:paraId="553533F2" w14:textId="77777777" w:rsidR="00AC7434" w:rsidRPr="000D269D" w:rsidRDefault="00AC7434" w:rsidP="00AC7434">
            <w:pPr>
              <w:pStyle w:val="TAC"/>
              <w:rPr>
                <w:lang w:eastAsia="ja-JP"/>
              </w:rPr>
            </w:pPr>
            <w:r w:rsidRPr="000D269D">
              <w:rPr>
                <w:lang w:eastAsia="ja-JP"/>
              </w:rPr>
              <w:t xml:space="preserve">In-channel selectivity </w:t>
            </w:r>
          </w:p>
        </w:tc>
        <w:tc>
          <w:tcPr>
            <w:tcW w:w="1415" w:type="dxa"/>
            <w:shd w:val="clear" w:color="auto" w:fill="auto"/>
          </w:tcPr>
          <w:p w14:paraId="7516B9BB" w14:textId="77777777" w:rsidR="00AC7434" w:rsidRPr="000D269D" w:rsidRDefault="00AC7434" w:rsidP="00AC7434">
            <w:pPr>
              <w:pStyle w:val="TAC"/>
              <w:rPr>
                <w:lang w:eastAsia="ja-JP"/>
              </w:rPr>
            </w:pPr>
            <w:r>
              <w:rPr>
                <w:lang w:eastAsia="ja-JP"/>
              </w:rPr>
              <w:t>NA</w:t>
            </w:r>
          </w:p>
        </w:tc>
        <w:tc>
          <w:tcPr>
            <w:tcW w:w="1533" w:type="dxa"/>
            <w:tcBorders>
              <w:top w:val="nil"/>
              <w:bottom w:val="nil"/>
            </w:tcBorders>
            <w:shd w:val="clear" w:color="auto" w:fill="auto"/>
          </w:tcPr>
          <w:p w14:paraId="03E02D94" w14:textId="77777777" w:rsidR="00AC7434" w:rsidRPr="000D269D" w:rsidRDefault="00AC7434" w:rsidP="00AC7434">
            <w:pPr>
              <w:pStyle w:val="TAC"/>
              <w:rPr>
                <w:lang w:eastAsia="ja-JP"/>
              </w:rPr>
            </w:pPr>
          </w:p>
        </w:tc>
        <w:tc>
          <w:tcPr>
            <w:tcW w:w="1533" w:type="dxa"/>
            <w:tcBorders>
              <w:top w:val="nil"/>
              <w:bottom w:val="nil"/>
            </w:tcBorders>
            <w:shd w:val="clear" w:color="auto" w:fill="auto"/>
          </w:tcPr>
          <w:p w14:paraId="4A4136F2" w14:textId="77777777" w:rsidR="00AC7434" w:rsidRPr="000D269D" w:rsidRDefault="00AC7434" w:rsidP="00AC7434">
            <w:pPr>
              <w:pStyle w:val="TAC"/>
              <w:rPr>
                <w:lang w:eastAsia="ja-JP"/>
              </w:rPr>
            </w:pPr>
          </w:p>
        </w:tc>
      </w:tr>
      <w:tr w:rsidR="00AC7434" w:rsidRPr="000D269D" w14:paraId="6FE24DA6" w14:textId="77777777" w:rsidTr="00AC7434">
        <w:tc>
          <w:tcPr>
            <w:tcW w:w="2972" w:type="dxa"/>
            <w:shd w:val="clear" w:color="auto" w:fill="auto"/>
          </w:tcPr>
          <w:p w14:paraId="0132DA5E" w14:textId="77777777" w:rsidR="00AC7434" w:rsidRPr="000D269D" w:rsidRDefault="00AC7434" w:rsidP="00AC7434">
            <w:pPr>
              <w:pStyle w:val="TAC"/>
              <w:rPr>
                <w:lang w:eastAsia="ja-JP"/>
              </w:rPr>
            </w:pPr>
            <w:r w:rsidRPr="000D269D">
              <w:rPr>
                <w:lang w:eastAsia="ja-JP"/>
              </w:rPr>
              <w:t>Performance requirements</w:t>
            </w:r>
          </w:p>
        </w:tc>
        <w:tc>
          <w:tcPr>
            <w:tcW w:w="1415" w:type="dxa"/>
            <w:shd w:val="clear" w:color="auto" w:fill="auto"/>
          </w:tcPr>
          <w:p w14:paraId="16F005E4" w14:textId="77777777" w:rsidR="00AC7434" w:rsidRPr="000D269D" w:rsidRDefault="00AC7434" w:rsidP="00AC7434">
            <w:pPr>
              <w:pStyle w:val="TAC"/>
              <w:rPr>
                <w:lang w:eastAsia="ja-JP"/>
              </w:rPr>
            </w:pPr>
            <w:r w:rsidRPr="000D269D">
              <w:rPr>
                <w:lang w:eastAsia="ja-JP"/>
              </w:rPr>
              <w:t>8</w:t>
            </w:r>
          </w:p>
        </w:tc>
        <w:tc>
          <w:tcPr>
            <w:tcW w:w="1533" w:type="dxa"/>
            <w:tcBorders>
              <w:top w:val="nil"/>
            </w:tcBorders>
            <w:shd w:val="clear" w:color="auto" w:fill="auto"/>
          </w:tcPr>
          <w:p w14:paraId="111EC915" w14:textId="77777777" w:rsidR="00AC7434" w:rsidRPr="000D269D" w:rsidRDefault="00AC7434" w:rsidP="00AC7434">
            <w:pPr>
              <w:pStyle w:val="TAC"/>
              <w:rPr>
                <w:lang w:eastAsia="ja-JP"/>
              </w:rPr>
            </w:pPr>
          </w:p>
        </w:tc>
        <w:tc>
          <w:tcPr>
            <w:tcW w:w="1533" w:type="dxa"/>
            <w:tcBorders>
              <w:top w:val="nil"/>
            </w:tcBorders>
            <w:shd w:val="clear" w:color="auto" w:fill="auto"/>
          </w:tcPr>
          <w:p w14:paraId="6514F405" w14:textId="77777777" w:rsidR="00AC7434" w:rsidRPr="000D269D" w:rsidRDefault="00AC7434" w:rsidP="00AC7434">
            <w:pPr>
              <w:pStyle w:val="TAC"/>
              <w:rPr>
                <w:lang w:eastAsia="ja-JP"/>
              </w:rPr>
            </w:pPr>
          </w:p>
        </w:tc>
      </w:tr>
      <w:tr w:rsidR="00241248" w:rsidRPr="000D269D" w14:paraId="127E01E5" w14:textId="77777777" w:rsidTr="00AC7434">
        <w:tc>
          <w:tcPr>
            <w:tcW w:w="2972" w:type="dxa"/>
            <w:shd w:val="clear" w:color="auto" w:fill="auto"/>
          </w:tcPr>
          <w:p w14:paraId="57C9DC21" w14:textId="77777777" w:rsidR="00241248" w:rsidRPr="000D269D" w:rsidRDefault="00241248" w:rsidP="00AC7434">
            <w:pPr>
              <w:pStyle w:val="TAC"/>
              <w:rPr>
                <w:lang w:eastAsia="ja-JP"/>
              </w:rPr>
            </w:pPr>
            <w:r w:rsidRPr="000D269D">
              <w:rPr>
                <w:lang w:eastAsia="ja-JP"/>
              </w:rPr>
              <w:t>Radiated transmit power</w:t>
            </w:r>
          </w:p>
        </w:tc>
        <w:tc>
          <w:tcPr>
            <w:tcW w:w="1415" w:type="dxa"/>
            <w:tcBorders>
              <w:bottom w:val="single" w:sz="4" w:space="0" w:color="auto"/>
            </w:tcBorders>
            <w:shd w:val="clear" w:color="auto" w:fill="auto"/>
          </w:tcPr>
          <w:p w14:paraId="760EBD85" w14:textId="77777777" w:rsidR="00241248" w:rsidRPr="000D269D" w:rsidRDefault="00241248" w:rsidP="00AC7434">
            <w:pPr>
              <w:pStyle w:val="TAC"/>
              <w:rPr>
                <w:lang w:eastAsia="ja-JP"/>
              </w:rPr>
            </w:pPr>
            <w:r w:rsidRPr="000D269D">
              <w:rPr>
                <w:lang w:eastAsia="ja-JP"/>
              </w:rPr>
              <w:t>9.2</w:t>
            </w:r>
          </w:p>
        </w:tc>
        <w:tc>
          <w:tcPr>
            <w:tcW w:w="1533" w:type="dxa"/>
          </w:tcPr>
          <w:p w14:paraId="2E8987DC" w14:textId="77777777" w:rsidR="00241248" w:rsidRPr="000D269D" w:rsidRDefault="00241248" w:rsidP="00AC7434">
            <w:pPr>
              <w:pStyle w:val="TAC"/>
              <w:rPr>
                <w:lang w:eastAsia="ja-JP"/>
              </w:rPr>
            </w:pPr>
            <w:r w:rsidRPr="000D269D">
              <w:rPr>
                <w:lang w:eastAsia="ja-JP"/>
              </w:rPr>
              <w:t>9.2</w:t>
            </w:r>
          </w:p>
        </w:tc>
        <w:tc>
          <w:tcPr>
            <w:tcW w:w="1533" w:type="dxa"/>
          </w:tcPr>
          <w:p w14:paraId="6D2DD62A" w14:textId="77777777" w:rsidR="00241248" w:rsidRPr="000D269D" w:rsidRDefault="00241248" w:rsidP="00AC7434">
            <w:pPr>
              <w:pStyle w:val="TAC"/>
              <w:rPr>
                <w:lang w:eastAsia="ja-JP"/>
              </w:rPr>
            </w:pPr>
            <w:r w:rsidRPr="000D269D">
              <w:rPr>
                <w:lang w:eastAsia="ja-JP"/>
              </w:rPr>
              <w:t>9.2</w:t>
            </w:r>
          </w:p>
        </w:tc>
      </w:tr>
      <w:tr w:rsidR="00AC7434" w:rsidRPr="000D269D" w14:paraId="761B7EFB" w14:textId="77777777" w:rsidTr="00AC7434">
        <w:tc>
          <w:tcPr>
            <w:tcW w:w="2972" w:type="dxa"/>
            <w:shd w:val="clear" w:color="auto" w:fill="auto"/>
          </w:tcPr>
          <w:p w14:paraId="071B72C1" w14:textId="77777777" w:rsidR="00AC7434" w:rsidRPr="000D269D" w:rsidRDefault="00AC7434" w:rsidP="00AC7434">
            <w:pPr>
              <w:pStyle w:val="TAC"/>
              <w:rPr>
                <w:lang w:eastAsia="ja-JP"/>
              </w:rPr>
            </w:pPr>
            <w:r w:rsidRPr="000D269D">
              <w:rPr>
                <w:lang w:eastAsia="ja-JP"/>
              </w:rPr>
              <w:t>OTA Output power</w:t>
            </w:r>
          </w:p>
        </w:tc>
        <w:tc>
          <w:tcPr>
            <w:tcW w:w="1415" w:type="dxa"/>
            <w:tcBorders>
              <w:bottom w:val="nil"/>
            </w:tcBorders>
            <w:shd w:val="clear" w:color="auto" w:fill="auto"/>
          </w:tcPr>
          <w:p w14:paraId="74CEB7A4" w14:textId="52A19620" w:rsidR="00AC7434" w:rsidRPr="000D269D" w:rsidRDefault="00AC7434" w:rsidP="00AC7434">
            <w:pPr>
              <w:pStyle w:val="TAC"/>
              <w:rPr>
                <w:lang w:eastAsia="ja-JP"/>
              </w:rPr>
            </w:pPr>
            <w:r w:rsidRPr="000D269D">
              <w:rPr>
                <w:lang w:eastAsia="ja-JP"/>
              </w:rPr>
              <w:t>NA</w:t>
            </w:r>
          </w:p>
        </w:tc>
        <w:tc>
          <w:tcPr>
            <w:tcW w:w="1533" w:type="dxa"/>
          </w:tcPr>
          <w:p w14:paraId="3967F6A7" w14:textId="77777777" w:rsidR="00AC7434" w:rsidRPr="000D269D" w:rsidRDefault="00AC7434" w:rsidP="00AC7434">
            <w:pPr>
              <w:pStyle w:val="TAC"/>
              <w:rPr>
                <w:lang w:eastAsia="ja-JP"/>
              </w:rPr>
            </w:pPr>
            <w:r w:rsidRPr="000D269D">
              <w:rPr>
                <w:lang w:eastAsia="ja-JP"/>
              </w:rPr>
              <w:t>9.3</w:t>
            </w:r>
          </w:p>
        </w:tc>
        <w:tc>
          <w:tcPr>
            <w:tcW w:w="1533" w:type="dxa"/>
          </w:tcPr>
          <w:p w14:paraId="646E4A0B" w14:textId="77777777" w:rsidR="00AC7434" w:rsidRPr="000D269D" w:rsidRDefault="00AC7434" w:rsidP="00AC7434">
            <w:pPr>
              <w:pStyle w:val="TAC"/>
              <w:rPr>
                <w:lang w:eastAsia="ja-JP"/>
              </w:rPr>
            </w:pPr>
            <w:r w:rsidRPr="000D269D">
              <w:rPr>
                <w:lang w:eastAsia="ja-JP"/>
              </w:rPr>
              <w:t>9.3</w:t>
            </w:r>
          </w:p>
        </w:tc>
      </w:tr>
      <w:tr w:rsidR="00AC7434" w:rsidRPr="000D269D" w14:paraId="2CB2AAEE" w14:textId="77777777" w:rsidTr="00AC7434">
        <w:tc>
          <w:tcPr>
            <w:tcW w:w="2972" w:type="dxa"/>
            <w:shd w:val="clear" w:color="auto" w:fill="auto"/>
          </w:tcPr>
          <w:p w14:paraId="17E34E1C" w14:textId="77777777" w:rsidR="00AC7434" w:rsidRPr="000D269D" w:rsidRDefault="00AC7434" w:rsidP="00AC7434">
            <w:pPr>
              <w:pStyle w:val="TAC"/>
              <w:rPr>
                <w:lang w:eastAsia="ja-JP"/>
              </w:rPr>
            </w:pPr>
            <w:r w:rsidRPr="000D269D">
              <w:rPr>
                <w:lang w:eastAsia="ja-JP"/>
              </w:rPr>
              <w:t>OTA output power dynamics</w:t>
            </w:r>
          </w:p>
        </w:tc>
        <w:tc>
          <w:tcPr>
            <w:tcW w:w="1415" w:type="dxa"/>
            <w:tcBorders>
              <w:top w:val="nil"/>
              <w:bottom w:val="nil"/>
            </w:tcBorders>
            <w:shd w:val="clear" w:color="auto" w:fill="auto"/>
          </w:tcPr>
          <w:p w14:paraId="06384372" w14:textId="77777777" w:rsidR="00AC7434" w:rsidRPr="000D269D" w:rsidRDefault="00AC7434" w:rsidP="00AC7434">
            <w:pPr>
              <w:pStyle w:val="TAC"/>
              <w:rPr>
                <w:lang w:eastAsia="ja-JP"/>
              </w:rPr>
            </w:pPr>
          </w:p>
        </w:tc>
        <w:tc>
          <w:tcPr>
            <w:tcW w:w="1533" w:type="dxa"/>
          </w:tcPr>
          <w:p w14:paraId="37801387" w14:textId="77777777" w:rsidR="00AC7434" w:rsidRPr="000D269D" w:rsidRDefault="00AC7434" w:rsidP="00AC7434">
            <w:pPr>
              <w:pStyle w:val="TAC"/>
              <w:rPr>
                <w:lang w:eastAsia="ja-JP"/>
              </w:rPr>
            </w:pPr>
            <w:r w:rsidRPr="000D269D">
              <w:rPr>
                <w:lang w:eastAsia="ja-JP"/>
              </w:rPr>
              <w:t>9.4</w:t>
            </w:r>
          </w:p>
        </w:tc>
        <w:tc>
          <w:tcPr>
            <w:tcW w:w="1533" w:type="dxa"/>
          </w:tcPr>
          <w:p w14:paraId="4779F4D7" w14:textId="77777777" w:rsidR="00AC7434" w:rsidRPr="000D269D" w:rsidRDefault="00AC7434" w:rsidP="00AC7434">
            <w:pPr>
              <w:pStyle w:val="TAC"/>
              <w:rPr>
                <w:lang w:eastAsia="ja-JP"/>
              </w:rPr>
            </w:pPr>
            <w:r w:rsidRPr="000D269D">
              <w:rPr>
                <w:lang w:eastAsia="ja-JP"/>
              </w:rPr>
              <w:t>9.4</w:t>
            </w:r>
          </w:p>
        </w:tc>
      </w:tr>
      <w:tr w:rsidR="00AC7434" w:rsidRPr="000D269D" w14:paraId="062FB2CD" w14:textId="77777777" w:rsidTr="00AC7434">
        <w:tc>
          <w:tcPr>
            <w:tcW w:w="2972" w:type="dxa"/>
            <w:shd w:val="clear" w:color="auto" w:fill="auto"/>
          </w:tcPr>
          <w:p w14:paraId="5D544998" w14:textId="77777777" w:rsidR="00AC7434" w:rsidRPr="000D269D" w:rsidRDefault="00AC7434" w:rsidP="00AC7434">
            <w:pPr>
              <w:pStyle w:val="TAC"/>
              <w:rPr>
                <w:lang w:eastAsia="ja-JP"/>
              </w:rPr>
            </w:pPr>
            <w:r w:rsidRPr="000D269D">
              <w:rPr>
                <w:lang w:eastAsia="ja-JP"/>
              </w:rPr>
              <w:t>OTA transmit ON/OFF power</w:t>
            </w:r>
          </w:p>
        </w:tc>
        <w:tc>
          <w:tcPr>
            <w:tcW w:w="1415" w:type="dxa"/>
            <w:tcBorders>
              <w:top w:val="nil"/>
              <w:bottom w:val="nil"/>
            </w:tcBorders>
            <w:shd w:val="clear" w:color="auto" w:fill="auto"/>
          </w:tcPr>
          <w:p w14:paraId="059843F5" w14:textId="77777777" w:rsidR="00AC7434" w:rsidRPr="000D269D" w:rsidRDefault="00AC7434" w:rsidP="00AC7434">
            <w:pPr>
              <w:pStyle w:val="TAC"/>
              <w:rPr>
                <w:lang w:eastAsia="ja-JP"/>
              </w:rPr>
            </w:pPr>
          </w:p>
        </w:tc>
        <w:tc>
          <w:tcPr>
            <w:tcW w:w="1533" w:type="dxa"/>
          </w:tcPr>
          <w:p w14:paraId="3D73CB85" w14:textId="77777777" w:rsidR="00AC7434" w:rsidRPr="000D269D" w:rsidRDefault="00AC7434" w:rsidP="00AC7434">
            <w:pPr>
              <w:pStyle w:val="TAC"/>
              <w:rPr>
                <w:lang w:eastAsia="ja-JP"/>
              </w:rPr>
            </w:pPr>
            <w:r w:rsidRPr="000D269D">
              <w:rPr>
                <w:lang w:eastAsia="ja-JP"/>
              </w:rPr>
              <w:t>9.5</w:t>
            </w:r>
          </w:p>
        </w:tc>
        <w:tc>
          <w:tcPr>
            <w:tcW w:w="1533" w:type="dxa"/>
          </w:tcPr>
          <w:p w14:paraId="1E538C07" w14:textId="77777777" w:rsidR="00AC7434" w:rsidRPr="000D269D" w:rsidRDefault="00AC7434" w:rsidP="00AC7434">
            <w:pPr>
              <w:pStyle w:val="TAC"/>
              <w:rPr>
                <w:lang w:eastAsia="ja-JP"/>
              </w:rPr>
            </w:pPr>
            <w:r w:rsidRPr="000D269D">
              <w:rPr>
                <w:lang w:eastAsia="ja-JP"/>
              </w:rPr>
              <w:t>9.5</w:t>
            </w:r>
          </w:p>
        </w:tc>
      </w:tr>
      <w:tr w:rsidR="00AC7434" w:rsidRPr="000D269D" w14:paraId="461EEF15" w14:textId="77777777" w:rsidTr="00AC7434">
        <w:tc>
          <w:tcPr>
            <w:tcW w:w="2972" w:type="dxa"/>
            <w:shd w:val="clear" w:color="auto" w:fill="auto"/>
          </w:tcPr>
          <w:p w14:paraId="6EEB162C" w14:textId="77777777" w:rsidR="00AC7434" w:rsidRPr="000D269D" w:rsidRDefault="00AC7434" w:rsidP="00AC7434">
            <w:pPr>
              <w:pStyle w:val="TAC"/>
              <w:rPr>
                <w:lang w:eastAsia="ja-JP"/>
              </w:rPr>
            </w:pPr>
            <w:r w:rsidRPr="000D269D">
              <w:rPr>
                <w:lang w:eastAsia="ja-JP"/>
              </w:rPr>
              <w:t>OTA transmitted signal quality</w:t>
            </w:r>
          </w:p>
        </w:tc>
        <w:tc>
          <w:tcPr>
            <w:tcW w:w="1415" w:type="dxa"/>
            <w:tcBorders>
              <w:top w:val="nil"/>
              <w:bottom w:val="nil"/>
            </w:tcBorders>
            <w:shd w:val="clear" w:color="auto" w:fill="auto"/>
          </w:tcPr>
          <w:p w14:paraId="4BBE7C90" w14:textId="77777777" w:rsidR="00AC7434" w:rsidRPr="000D269D" w:rsidRDefault="00AC7434" w:rsidP="00AC7434">
            <w:pPr>
              <w:pStyle w:val="TAC"/>
              <w:rPr>
                <w:lang w:eastAsia="ja-JP"/>
              </w:rPr>
            </w:pPr>
          </w:p>
        </w:tc>
        <w:tc>
          <w:tcPr>
            <w:tcW w:w="1533" w:type="dxa"/>
          </w:tcPr>
          <w:p w14:paraId="65BD6D69" w14:textId="77777777" w:rsidR="00AC7434" w:rsidRPr="000D269D" w:rsidRDefault="00AC7434" w:rsidP="00AC7434">
            <w:pPr>
              <w:pStyle w:val="TAC"/>
              <w:rPr>
                <w:lang w:eastAsia="ja-JP"/>
              </w:rPr>
            </w:pPr>
            <w:r w:rsidRPr="000D269D">
              <w:rPr>
                <w:lang w:eastAsia="ja-JP"/>
              </w:rPr>
              <w:t>9.6</w:t>
            </w:r>
          </w:p>
        </w:tc>
        <w:tc>
          <w:tcPr>
            <w:tcW w:w="1533" w:type="dxa"/>
          </w:tcPr>
          <w:p w14:paraId="2F1B51D4" w14:textId="77777777" w:rsidR="00AC7434" w:rsidRPr="000D269D" w:rsidRDefault="00AC7434" w:rsidP="00AC7434">
            <w:pPr>
              <w:pStyle w:val="TAC"/>
              <w:rPr>
                <w:lang w:eastAsia="ja-JP"/>
              </w:rPr>
            </w:pPr>
            <w:r w:rsidRPr="000D269D">
              <w:rPr>
                <w:lang w:eastAsia="ja-JP"/>
              </w:rPr>
              <w:t>9.6</w:t>
            </w:r>
          </w:p>
        </w:tc>
      </w:tr>
      <w:tr w:rsidR="00AC7434" w:rsidRPr="000D269D" w14:paraId="254466AE" w14:textId="77777777" w:rsidTr="00AC7434">
        <w:tc>
          <w:tcPr>
            <w:tcW w:w="2972" w:type="dxa"/>
            <w:shd w:val="clear" w:color="auto" w:fill="auto"/>
          </w:tcPr>
          <w:p w14:paraId="2BC6D3E5" w14:textId="77777777" w:rsidR="00AC7434" w:rsidRPr="000D269D" w:rsidRDefault="00AC7434" w:rsidP="00AC7434">
            <w:pPr>
              <w:pStyle w:val="TAC"/>
              <w:rPr>
                <w:lang w:eastAsia="ja-JP"/>
              </w:rPr>
            </w:pPr>
            <w:r w:rsidRPr="000D269D">
              <w:rPr>
                <w:lang w:eastAsia="ja-JP"/>
              </w:rPr>
              <w:t>OTA occupied bandwidth</w:t>
            </w:r>
          </w:p>
        </w:tc>
        <w:tc>
          <w:tcPr>
            <w:tcW w:w="1415" w:type="dxa"/>
            <w:tcBorders>
              <w:top w:val="nil"/>
              <w:bottom w:val="nil"/>
            </w:tcBorders>
            <w:shd w:val="clear" w:color="auto" w:fill="auto"/>
          </w:tcPr>
          <w:p w14:paraId="05BBB4D0" w14:textId="77777777" w:rsidR="00AC7434" w:rsidRPr="000D269D" w:rsidRDefault="00AC7434" w:rsidP="00AC7434">
            <w:pPr>
              <w:pStyle w:val="TAC"/>
              <w:rPr>
                <w:lang w:eastAsia="ja-JP"/>
              </w:rPr>
            </w:pPr>
          </w:p>
        </w:tc>
        <w:tc>
          <w:tcPr>
            <w:tcW w:w="1533" w:type="dxa"/>
          </w:tcPr>
          <w:p w14:paraId="0D144105" w14:textId="77777777" w:rsidR="00AC7434" w:rsidRPr="000D269D" w:rsidRDefault="00AC7434" w:rsidP="00AC7434">
            <w:pPr>
              <w:pStyle w:val="TAC"/>
              <w:rPr>
                <w:lang w:eastAsia="ja-JP"/>
              </w:rPr>
            </w:pPr>
            <w:r>
              <w:rPr>
                <w:lang w:eastAsia="ja-JP"/>
              </w:rPr>
              <w:t>9.7.2</w:t>
            </w:r>
          </w:p>
        </w:tc>
        <w:tc>
          <w:tcPr>
            <w:tcW w:w="1533" w:type="dxa"/>
          </w:tcPr>
          <w:p w14:paraId="5D0F0BCC" w14:textId="77777777" w:rsidR="00AC7434" w:rsidRPr="000D269D" w:rsidRDefault="00AC7434" w:rsidP="00AC7434">
            <w:pPr>
              <w:pStyle w:val="TAC"/>
              <w:rPr>
                <w:lang w:eastAsia="ja-JP"/>
              </w:rPr>
            </w:pPr>
            <w:r>
              <w:rPr>
                <w:lang w:eastAsia="ja-JP"/>
              </w:rPr>
              <w:t>9.7.2</w:t>
            </w:r>
          </w:p>
        </w:tc>
      </w:tr>
      <w:tr w:rsidR="00AC7434" w:rsidRPr="000D269D" w14:paraId="61A2864D" w14:textId="77777777" w:rsidTr="00AC7434">
        <w:tc>
          <w:tcPr>
            <w:tcW w:w="2972" w:type="dxa"/>
            <w:shd w:val="clear" w:color="auto" w:fill="auto"/>
          </w:tcPr>
          <w:p w14:paraId="4C23E552" w14:textId="77777777" w:rsidR="00AC7434" w:rsidRPr="000D269D" w:rsidRDefault="00AC7434" w:rsidP="00AC7434">
            <w:pPr>
              <w:pStyle w:val="TAC"/>
              <w:rPr>
                <w:lang w:eastAsia="ja-JP"/>
              </w:rPr>
            </w:pPr>
            <w:r w:rsidRPr="000D269D">
              <w:rPr>
                <w:lang w:eastAsia="ja-JP"/>
              </w:rPr>
              <w:t>OTA ACLR</w:t>
            </w:r>
          </w:p>
        </w:tc>
        <w:tc>
          <w:tcPr>
            <w:tcW w:w="1415" w:type="dxa"/>
            <w:tcBorders>
              <w:top w:val="nil"/>
              <w:bottom w:val="nil"/>
            </w:tcBorders>
            <w:shd w:val="clear" w:color="auto" w:fill="auto"/>
          </w:tcPr>
          <w:p w14:paraId="182158E7" w14:textId="77777777" w:rsidR="00AC7434" w:rsidRPr="000D269D" w:rsidRDefault="00AC7434" w:rsidP="00AC7434">
            <w:pPr>
              <w:pStyle w:val="TAC"/>
              <w:rPr>
                <w:lang w:eastAsia="ja-JP"/>
              </w:rPr>
            </w:pPr>
          </w:p>
        </w:tc>
        <w:tc>
          <w:tcPr>
            <w:tcW w:w="1533" w:type="dxa"/>
          </w:tcPr>
          <w:p w14:paraId="525C4ECA" w14:textId="77777777" w:rsidR="00AC7434" w:rsidRPr="000D269D" w:rsidRDefault="00AC7434" w:rsidP="00AC7434">
            <w:pPr>
              <w:pStyle w:val="TAC"/>
              <w:rPr>
                <w:lang w:eastAsia="ja-JP"/>
              </w:rPr>
            </w:pPr>
            <w:r>
              <w:rPr>
                <w:lang w:eastAsia="ja-JP"/>
              </w:rPr>
              <w:t>9.7.3</w:t>
            </w:r>
          </w:p>
        </w:tc>
        <w:tc>
          <w:tcPr>
            <w:tcW w:w="1533" w:type="dxa"/>
          </w:tcPr>
          <w:p w14:paraId="3A47700D" w14:textId="77777777" w:rsidR="00AC7434" w:rsidRPr="000D269D" w:rsidRDefault="00AC7434" w:rsidP="00AC7434">
            <w:pPr>
              <w:pStyle w:val="TAC"/>
              <w:rPr>
                <w:lang w:eastAsia="ja-JP"/>
              </w:rPr>
            </w:pPr>
            <w:r>
              <w:rPr>
                <w:lang w:eastAsia="ja-JP"/>
              </w:rPr>
              <w:t>9.7.3</w:t>
            </w:r>
          </w:p>
        </w:tc>
      </w:tr>
      <w:tr w:rsidR="00AC7434" w:rsidRPr="000D269D" w14:paraId="12110028" w14:textId="77777777" w:rsidTr="00AC7434">
        <w:tc>
          <w:tcPr>
            <w:tcW w:w="2972" w:type="dxa"/>
            <w:shd w:val="clear" w:color="auto" w:fill="auto"/>
          </w:tcPr>
          <w:p w14:paraId="3307212C" w14:textId="77777777" w:rsidR="00AC7434" w:rsidRPr="000D269D" w:rsidRDefault="00AC7434" w:rsidP="00AC7434">
            <w:pPr>
              <w:pStyle w:val="TAC"/>
              <w:rPr>
                <w:lang w:eastAsia="ja-JP"/>
              </w:rPr>
            </w:pPr>
            <w:r w:rsidRPr="000D269D">
              <w:rPr>
                <w:lang w:eastAsia="ja-JP"/>
              </w:rPr>
              <w:t>OTA out-of-band emission</w:t>
            </w:r>
          </w:p>
        </w:tc>
        <w:tc>
          <w:tcPr>
            <w:tcW w:w="1415" w:type="dxa"/>
            <w:tcBorders>
              <w:top w:val="nil"/>
              <w:bottom w:val="nil"/>
            </w:tcBorders>
            <w:shd w:val="clear" w:color="auto" w:fill="auto"/>
          </w:tcPr>
          <w:p w14:paraId="33906FB9" w14:textId="77777777" w:rsidR="00AC7434" w:rsidRPr="000D269D" w:rsidRDefault="00AC7434" w:rsidP="00AC7434">
            <w:pPr>
              <w:pStyle w:val="TAC"/>
              <w:rPr>
                <w:lang w:eastAsia="ja-JP"/>
              </w:rPr>
            </w:pPr>
          </w:p>
        </w:tc>
        <w:tc>
          <w:tcPr>
            <w:tcW w:w="1533" w:type="dxa"/>
          </w:tcPr>
          <w:p w14:paraId="471AE4C6" w14:textId="77777777" w:rsidR="00AC7434" w:rsidRPr="000D269D" w:rsidRDefault="00AC7434" w:rsidP="00AC7434">
            <w:pPr>
              <w:pStyle w:val="TAC"/>
              <w:rPr>
                <w:lang w:eastAsia="ja-JP"/>
              </w:rPr>
            </w:pPr>
            <w:r>
              <w:rPr>
                <w:lang w:eastAsia="ja-JP"/>
              </w:rPr>
              <w:t>9.7.4</w:t>
            </w:r>
          </w:p>
        </w:tc>
        <w:tc>
          <w:tcPr>
            <w:tcW w:w="1533" w:type="dxa"/>
          </w:tcPr>
          <w:p w14:paraId="6DC74E3A" w14:textId="77777777" w:rsidR="00AC7434" w:rsidRPr="000D269D" w:rsidRDefault="00AC7434" w:rsidP="00AC7434">
            <w:pPr>
              <w:pStyle w:val="TAC"/>
              <w:rPr>
                <w:lang w:eastAsia="ja-JP"/>
              </w:rPr>
            </w:pPr>
            <w:r>
              <w:rPr>
                <w:lang w:eastAsia="ja-JP"/>
              </w:rPr>
              <w:t>9.7.4</w:t>
            </w:r>
          </w:p>
        </w:tc>
      </w:tr>
      <w:tr w:rsidR="00AC7434" w:rsidRPr="000D269D" w14:paraId="721B2491" w14:textId="77777777" w:rsidTr="00AC7434">
        <w:tc>
          <w:tcPr>
            <w:tcW w:w="2972" w:type="dxa"/>
            <w:shd w:val="clear" w:color="auto" w:fill="auto"/>
          </w:tcPr>
          <w:p w14:paraId="313FC664" w14:textId="77777777" w:rsidR="00AC7434" w:rsidRPr="000D269D" w:rsidRDefault="00AC7434" w:rsidP="00AC7434">
            <w:pPr>
              <w:pStyle w:val="TAC"/>
              <w:rPr>
                <w:lang w:eastAsia="ja-JP"/>
              </w:rPr>
            </w:pPr>
            <w:r w:rsidRPr="000D269D">
              <w:rPr>
                <w:lang w:eastAsia="ja-JP"/>
              </w:rPr>
              <w:t xml:space="preserve">OTA transmitter spurious emission </w:t>
            </w:r>
          </w:p>
        </w:tc>
        <w:tc>
          <w:tcPr>
            <w:tcW w:w="1415" w:type="dxa"/>
            <w:tcBorders>
              <w:top w:val="nil"/>
              <w:bottom w:val="nil"/>
            </w:tcBorders>
            <w:shd w:val="clear" w:color="auto" w:fill="auto"/>
          </w:tcPr>
          <w:p w14:paraId="76AAA538" w14:textId="77777777" w:rsidR="00AC7434" w:rsidRPr="000D269D" w:rsidRDefault="00AC7434" w:rsidP="00AC7434">
            <w:pPr>
              <w:pStyle w:val="TAC"/>
              <w:rPr>
                <w:lang w:eastAsia="ja-JP"/>
              </w:rPr>
            </w:pPr>
          </w:p>
        </w:tc>
        <w:tc>
          <w:tcPr>
            <w:tcW w:w="1533" w:type="dxa"/>
          </w:tcPr>
          <w:p w14:paraId="0B914CB5" w14:textId="77777777" w:rsidR="00AC7434" w:rsidRPr="000D269D" w:rsidRDefault="00AC7434" w:rsidP="00AC7434">
            <w:pPr>
              <w:pStyle w:val="TAC"/>
              <w:rPr>
                <w:lang w:eastAsia="ja-JP"/>
              </w:rPr>
            </w:pPr>
            <w:r>
              <w:rPr>
                <w:lang w:eastAsia="ja-JP"/>
              </w:rPr>
              <w:t>9.7.5</w:t>
            </w:r>
          </w:p>
        </w:tc>
        <w:tc>
          <w:tcPr>
            <w:tcW w:w="1533" w:type="dxa"/>
          </w:tcPr>
          <w:p w14:paraId="60387CDD" w14:textId="77777777" w:rsidR="00AC7434" w:rsidRPr="000D269D" w:rsidRDefault="00AC7434" w:rsidP="00AC7434">
            <w:pPr>
              <w:pStyle w:val="TAC"/>
              <w:rPr>
                <w:lang w:eastAsia="ja-JP"/>
              </w:rPr>
            </w:pPr>
            <w:r>
              <w:rPr>
                <w:lang w:eastAsia="ja-JP"/>
              </w:rPr>
              <w:t>9.7.5</w:t>
            </w:r>
          </w:p>
        </w:tc>
      </w:tr>
      <w:tr w:rsidR="00AC7434" w:rsidRPr="000D269D" w14:paraId="3D69C152" w14:textId="77777777" w:rsidTr="00AC7434">
        <w:tc>
          <w:tcPr>
            <w:tcW w:w="2972" w:type="dxa"/>
            <w:shd w:val="clear" w:color="auto" w:fill="auto"/>
          </w:tcPr>
          <w:p w14:paraId="1656B94D" w14:textId="77777777" w:rsidR="00AC7434" w:rsidRPr="000D269D" w:rsidRDefault="00AC7434" w:rsidP="00AC7434">
            <w:pPr>
              <w:pStyle w:val="TAC"/>
              <w:rPr>
                <w:lang w:eastAsia="ja-JP"/>
              </w:rPr>
            </w:pPr>
            <w:r w:rsidRPr="000D269D">
              <w:rPr>
                <w:lang w:eastAsia="ja-JP"/>
              </w:rPr>
              <w:t xml:space="preserve">OTA transmitter intermodulation </w:t>
            </w:r>
          </w:p>
        </w:tc>
        <w:tc>
          <w:tcPr>
            <w:tcW w:w="1415" w:type="dxa"/>
            <w:tcBorders>
              <w:top w:val="nil"/>
            </w:tcBorders>
            <w:shd w:val="clear" w:color="auto" w:fill="auto"/>
          </w:tcPr>
          <w:p w14:paraId="180F84BC" w14:textId="77777777" w:rsidR="00AC7434" w:rsidRPr="000D269D" w:rsidRDefault="00AC7434" w:rsidP="00AC7434">
            <w:pPr>
              <w:pStyle w:val="TAC"/>
              <w:rPr>
                <w:lang w:eastAsia="ja-JP"/>
              </w:rPr>
            </w:pPr>
          </w:p>
        </w:tc>
        <w:tc>
          <w:tcPr>
            <w:tcW w:w="1533" w:type="dxa"/>
          </w:tcPr>
          <w:p w14:paraId="2663D7E5" w14:textId="77777777" w:rsidR="00AC7434" w:rsidRPr="000D269D" w:rsidRDefault="00AC7434" w:rsidP="00AC7434">
            <w:pPr>
              <w:pStyle w:val="TAC"/>
              <w:rPr>
                <w:lang w:eastAsia="ja-JP"/>
              </w:rPr>
            </w:pPr>
            <w:r w:rsidRPr="000D269D">
              <w:rPr>
                <w:lang w:eastAsia="ja-JP"/>
              </w:rPr>
              <w:t>9.8</w:t>
            </w:r>
          </w:p>
        </w:tc>
        <w:tc>
          <w:tcPr>
            <w:tcW w:w="1533" w:type="dxa"/>
          </w:tcPr>
          <w:p w14:paraId="5F5E3D7D" w14:textId="77777777" w:rsidR="00AC7434" w:rsidRPr="000D269D" w:rsidRDefault="00AC7434" w:rsidP="00AC7434">
            <w:pPr>
              <w:pStyle w:val="TAC"/>
              <w:rPr>
                <w:lang w:eastAsia="ja-JP"/>
              </w:rPr>
            </w:pPr>
            <w:r w:rsidRPr="000D269D">
              <w:rPr>
                <w:lang w:eastAsia="ja-JP"/>
              </w:rPr>
              <w:t>NA</w:t>
            </w:r>
          </w:p>
        </w:tc>
      </w:tr>
      <w:tr w:rsidR="00241248" w:rsidRPr="000D269D" w14:paraId="07DBAD5E" w14:textId="77777777" w:rsidTr="00AC7434">
        <w:tc>
          <w:tcPr>
            <w:tcW w:w="2972" w:type="dxa"/>
            <w:shd w:val="clear" w:color="auto" w:fill="auto"/>
          </w:tcPr>
          <w:p w14:paraId="1D2A499F" w14:textId="77777777" w:rsidR="00241248" w:rsidRPr="000D269D" w:rsidRDefault="00241248" w:rsidP="00AC7434">
            <w:pPr>
              <w:pStyle w:val="TAC"/>
              <w:rPr>
                <w:lang w:eastAsia="ja-JP"/>
              </w:rPr>
            </w:pPr>
            <w:r w:rsidRPr="000D269D">
              <w:rPr>
                <w:lang w:eastAsia="ja-JP"/>
              </w:rPr>
              <w:t>OTA sensitivity</w:t>
            </w:r>
          </w:p>
        </w:tc>
        <w:tc>
          <w:tcPr>
            <w:tcW w:w="1415" w:type="dxa"/>
            <w:tcBorders>
              <w:bottom w:val="single" w:sz="4" w:space="0" w:color="auto"/>
            </w:tcBorders>
            <w:shd w:val="clear" w:color="auto" w:fill="auto"/>
          </w:tcPr>
          <w:p w14:paraId="7A5722A3" w14:textId="77777777" w:rsidR="00241248" w:rsidRPr="000D269D" w:rsidRDefault="00241248" w:rsidP="00AC7434">
            <w:pPr>
              <w:pStyle w:val="TAC"/>
              <w:rPr>
                <w:lang w:eastAsia="ja-JP"/>
              </w:rPr>
            </w:pPr>
            <w:r w:rsidRPr="000D269D">
              <w:rPr>
                <w:lang w:eastAsia="ja-JP"/>
              </w:rPr>
              <w:t>10.2</w:t>
            </w:r>
          </w:p>
        </w:tc>
        <w:tc>
          <w:tcPr>
            <w:tcW w:w="1533" w:type="dxa"/>
          </w:tcPr>
          <w:p w14:paraId="7BD8CB29" w14:textId="77777777" w:rsidR="00241248" w:rsidRPr="000D269D" w:rsidRDefault="00241248" w:rsidP="00AC7434">
            <w:pPr>
              <w:pStyle w:val="TAC"/>
              <w:rPr>
                <w:lang w:eastAsia="ja-JP"/>
              </w:rPr>
            </w:pPr>
            <w:r w:rsidRPr="000D269D">
              <w:rPr>
                <w:lang w:eastAsia="ja-JP"/>
              </w:rPr>
              <w:t>10.2</w:t>
            </w:r>
          </w:p>
        </w:tc>
        <w:tc>
          <w:tcPr>
            <w:tcW w:w="1533" w:type="dxa"/>
          </w:tcPr>
          <w:p w14:paraId="46F6DF27" w14:textId="77777777" w:rsidR="00241248" w:rsidRPr="000D269D" w:rsidRDefault="00241248" w:rsidP="00AC7434">
            <w:pPr>
              <w:pStyle w:val="TAC"/>
              <w:rPr>
                <w:lang w:eastAsia="ja-JP"/>
              </w:rPr>
            </w:pPr>
            <w:r w:rsidRPr="000D269D">
              <w:rPr>
                <w:lang w:eastAsia="ja-JP"/>
              </w:rPr>
              <w:t>NA</w:t>
            </w:r>
          </w:p>
        </w:tc>
      </w:tr>
      <w:tr w:rsidR="00AC7434" w:rsidRPr="000D269D" w14:paraId="5C771C47" w14:textId="77777777" w:rsidTr="00AC7434">
        <w:tc>
          <w:tcPr>
            <w:tcW w:w="2972" w:type="dxa"/>
            <w:shd w:val="clear" w:color="auto" w:fill="auto"/>
          </w:tcPr>
          <w:p w14:paraId="1196AC98" w14:textId="77777777" w:rsidR="00AC7434" w:rsidRPr="000D269D" w:rsidRDefault="00AC7434" w:rsidP="00AC7434">
            <w:pPr>
              <w:pStyle w:val="TAC"/>
              <w:rPr>
                <w:lang w:eastAsia="ja-JP"/>
              </w:rPr>
            </w:pPr>
            <w:r w:rsidRPr="000D269D">
              <w:rPr>
                <w:lang w:eastAsia="ja-JP"/>
              </w:rPr>
              <w:t>OTA reference sensitivity level</w:t>
            </w:r>
          </w:p>
        </w:tc>
        <w:tc>
          <w:tcPr>
            <w:tcW w:w="1415" w:type="dxa"/>
            <w:tcBorders>
              <w:bottom w:val="nil"/>
            </w:tcBorders>
            <w:shd w:val="clear" w:color="auto" w:fill="auto"/>
          </w:tcPr>
          <w:p w14:paraId="369FBB4E" w14:textId="2A007EA2" w:rsidR="00AC7434" w:rsidRPr="000D269D" w:rsidRDefault="00AC7434" w:rsidP="00AC7434">
            <w:pPr>
              <w:pStyle w:val="TAC"/>
              <w:rPr>
                <w:lang w:eastAsia="ja-JP"/>
              </w:rPr>
            </w:pPr>
            <w:r w:rsidRPr="000D269D">
              <w:rPr>
                <w:lang w:eastAsia="ja-JP"/>
              </w:rPr>
              <w:t>NA</w:t>
            </w:r>
          </w:p>
        </w:tc>
        <w:tc>
          <w:tcPr>
            <w:tcW w:w="1533" w:type="dxa"/>
          </w:tcPr>
          <w:p w14:paraId="28E16E2A" w14:textId="77777777" w:rsidR="00AC7434" w:rsidRPr="000D269D" w:rsidRDefault="00AC7434" w:rsidP="00AC7434">
            <w:pPr>
              <w:pStyle w:val="TAC"/>
              <w:rPr>
                <w:lang w:eastAsia="ja-JP"/>
              </w:rPr>
            </w:pPr>
            <w:r w:rsidRPr="000D269D">
              <w:rPr>
                <w:lang w:eastAsia="ja-JP"/>
              </w:rPr>
              <w:t>10.3</w:t>
            </w:r>
          </w:p>
        </w:tc>
        <w:tc>
          <w:tcPr>
            <w:tcW w:w="1533" w:type="dxa"/>
          </w:tcPr>
          <w:p w14:paraId="6B4BF807" w14:textId="77777777" w:rsidR="00AC7434" w:rsidRPr="000D269D" w:rsidRDefault="00AC7434" w:rsidP="00AC7434">
            <w:pPr>
              <w:pStyle w:val="TAC"/>
              <w:rPr>
                <w:lang w:eastAsia="ja-JP"/>
              </w:rPr>
            </w:pPr>
            <w:r w:rsidRPr="000D269D">
              <w:rPr>
                <w:lang w:eastAsia="ja-JP"/>
              </w:rPr>
              <w:t>10.3</w:t>
            </w:r>
          </w:p>
        </w:tc>
      </w:tr>
      <w:tr w:rsidR="00AC7434" w:rsidRPr="000D269D" w14:paraId="07956425" w14:textId="77777777" w:rsidTr="00AC7434">
        <w:tc>
          <w:tcPr>
            <w:tcW w:w="2972" w:type="dxa"/>
            <w:shd w:val="clear" w:color="auto" w:fill="auto"/>
          </w:tcPr>
          <w:p w14:paraId="6084B3D2" w14:textId="77777777" w:rsidR="00AC7434" w:rsidRPr="000D269D" w:rsidRDefault="00AC7434" w:rsidP="00AC7434">
            <w:pPr>
              <w:pStyle w:val="TAC"/>
              <w:rPr>
                <w:lang w:eastAsia="ja-JP"/>
              </w:rPr>
            </w:pPr>
            <w:r w:rsidRPr="000D269D">
              <w:rPr>
                <w:lang w:eastAsia="ja-JP"/>
              </w:rPr>
              <w:t>OTA dynamic range</w:t>
            </w:r>
          </w:p>
        </w:tc>
        <w:tc>
          <w:tcPr>
            <w:tcW w:w="1415" w:type="dxa"/>
            <w:tcBorders>
              <w:top w:val="nil"/>
              <w:bottom w:val="nil"/>
            </w:tcBorders>
            <w:shd w:val="clear" w:color="auto" w:fill="auto"/>
          </w:tcPr>
          <w:p w14:paraId="5DF36BEF" w14:textId="77777777" w:rsidR="00AC7434" w:rsidRPr="000D269D" w:rsidRDefault="00AC7434" w:rsidP="00AC7434">
            <w:pPr>
              <w:pStyle w:val="TAC"/>
              <w:rPr>
                <w:lang w:eastAsia="ja-JP"/>
              </w:rPr>
            </w:pPr>
          </w:p>
        </w:tc>
        <w:tc>
          <w:tcPr>
            <w:tcW w:w="1533" w:type="dxa"/>
          </w:tcPr>
          <w:p w14:paraId="5E809833" w14:textId="77777777" w:rsidR="00AC7434" w:rsidRPr="000D269D" w:rsidRDefault="00AC7434" w:rsidP="00AC7434">
            <w:pPr>
              <w:pStyle w:val="TAC"/>
              <w:rPr>
                <w:lang w:eastAsia="ja-JP"/>
              </w:rPr>
            </w:pPr>
            <w:r>
              <w:rPr>
                <w:lang w:eastAsia="ja-JP"/>
              </w:rPr>
              <w:t>NA</w:t>
            </w:r>
          </w:p>
        </w:tc>
        <w:tc>
          <w:tcPr>
            <w:tcW w:w="1533" w:type="dxa"/>
          </w:tcPr>
          <w:p w14:paraId="065BB758" w14:textId="77777777" w:rsidR="00AC7434" w:rsidRPr="000D269D" w:rsidRDefault="00AC7434" w:rsidP="00AC7434">
            <w:pPr>
              <w:pStyle w:val="TAC"/>
              <w:rPr>
                <w:lang w:eastAsia="ja-JP"/>
              </w:rPr>
            </w:pPr>
            <w:r w:rsidRPr="000D269D">
              <w:rPr>
                <w:lang w:eastAsia="ja-JP"/>
              </w:rPr>
              <w:t>NA</w:t>
            </w:r>
          </w:p>
        </w:tc>
      </w:tr>
      <w:tr w:rsidR="00AC7434" w:rsidRPr="000D269D" w14:paraId="35D7F96F" w14:textId="77777777" w:rsidTr="00AC7434">
        <w:tc>
          <w:tcPr>
            <w:tcW w:w="2972" w:type="dxa"/>
            <w:shd w:val="clear" w:color="auto" w:fill="auto"/>
          </w:tcPr>
          <w:p w14:paraId="092F8343" w14:textId="77777777" w:rsidR="00AC7434" w:rsidRPr="000D269D" w:rsidRDefault="00AC7434" w:rsidP="00AC7434">
            <w:pPr>
              <w:pStyle w:val="TAC"/>
              <w:rPr>
                <w:lang w:eastAsia="ja-JP"/>
              </w:rPr>
            </w:pPr>
            <w:r w:rsidRPr="000D269D">
              <w:rPr>
                <w:lang w:eastAsia="ja-JP"/>
              </w:rPr>
              <w:t>OTA in-band selectivity and blocking</w:t>
            </w:r>
          </w:p>
        </w:tc>
        <w:tc>
          <w:tcPr>
            <w:tcW w:w="1415" w:type="dxa"/>
            <w:tcBorders>
              <w:top w:val="nil"/>
              <w:bottom w:val="nil"/>
            </w:tcBorders>
            <w:shd w:val="clear" w:color="auto" w:fill="auto"/>
          </w:tcPr>
          <w:p w14:paraId="7ECB4E12" w14:textId="77777777" w:rsidR="00AC7434" w:rsidRPr="000D269D" w:rsidRDefault="00AC7434" w:rsidP="00AC7434">
            <w:pPr>
              <w:pStyle w:val="TAC"/>
              <w:rPr>
                <w:lang w:eastAsia="ja-JP"/>
              </w:rPr>
            </w:pPr>
          </w:p>
        </w:tc>
        <w:tc>
          <w:tcPr>
            <w:tcW w:w="1533" w:type="dxa"/>
          </w:tcPr>
          <w:p w14:paraId="587EF33C" w14:textId="77777777" w:rsidR="00AC7434" w:rsidRPr="000D269D" w:rsidRDefault="00AC7434" w:rsidP="00AC7434">
            <w:pPr>
              <w:pStyle w:val="TAC"/>
              <w:rPr>
                <w:lang w:eastAsia="ja-JP"/>
              </w:rPr>
            </w:pPr>
            <w:r w:rsidRPr="000D269D">
              <w:rPr>
                <w:lang w:eastAsia="ja-JP"/>
              </w:rPr>
              <w:t>10.5</w:t>
            </w:r>
          </w:p>
        </w:tc>
        <w:tc>
          <w:tcPr>
            <w:tcW w:w="1533" w:type="dxa"/>
          </w:tcPr>
          <w:p w14:paraId="194637D1" w14:textId="77777777" w:rsidR="00AC7434" w:rsidRPr="000D269D" w:rsidRDefault="00AC7434" w:rsidP="00AC7434">
            <w:pPr>
              <w:pStyle w:val="TAC"/>
              <w:rPr>
                <w:lang w:eastAsia="ja-JP"/>
              </w:rPr>
            </w:pPr>
            <w:r w:rsidRPr="000D269D">
              <w:rPr>
                <w:lang w:eastAsia="ja-JP"/>
              </w:rPr>
              <w:t>10.5</w:t>
            </w:r>
          </w:p>
        </w:tc>
      </w:tr>
      <w:tr w:rsidR="00AC7434" w:rsidRPr="000D269D" w14:paraId="767BAA0F" w14:textId="77777777" w:rsidTr="00AC7434">
        <w:tc>
          <w:tcPr>
            <w:tcW w:w="2972" w:type="dxa"/>
            <w:shd w:val="clear" w:color="auto" w:fill="auto"/>
          </w:tcPr>
          <w:p w14:paraId="3988ED1E" w14:textId="77777777" w:rsidR="00AC7434" w:rsidRPr="000D269D" w:rsidRDefault="00AC7434" w:rsidP="00AC7434">
            <w:pPr>
              <w:pStyle w:val="TAC"/>
              <w:rPr>
                <w:lang w:eastAsia="ja-JP"/>
              </w:rPr>
            </w:pPr>
            <w:r w:rsidRPr="000D269D">
              <w:rPr>
                <w:lang w:eastAsia="ja-JP"/>
              </w:rPr>
              <w:t>OTA out-of-band blocking</w:t>
            </w:r>
          </w:p>
        </w:tc>
        <w:tc>
          <w:tcPr>
            <w:tcW w:w="1415" w:type="dxa"/>
            <w:tcBorders>
              <w:top w:val="nil"/>
              <w:bottom w:val="nil"/>
            </w:tcBorders>
            <w:shd w:val="clear" w:color="auto" w:fill="auto"/>
          </w:tcPr>
          <w:p w14:paraId="54FD70EA" w14:textId="77777777" w:rsidR="00AC7434" w:rsidRPr="000D269D" w:rsidRDefault="00AC7434" w:rsidP="00AC7434">
            <w:pPr>
              <w:pStyle w:val="TAC"/>
              <w:rPr>
                <w:lang w:eastAsia="ja-JP"/>
              </w:rPr>
            </w:pPr>
          </w:p>
        </w:tc>
        <w:tc>
          <w:tcPr>
            <w:tcW w:w="1533" w:type="dxa"/>
          </w:tcPr>
          <w:p w14:paraId="19E192C2" w14:textId="77777777" w:rsidR="00AC7434" w:rsidRPr="000D269D" w:rsidRDefault="00AC7434" w:rsidP="00AC7434">
            <w:pPr>
              <w:pStyle w:val="TAC"/>
              <w:rPr>
                <w:lang w:eastAsia="ja-JP"/>
              </w:rPr>
            </w:pPr>
            <w:r w:rsidRPr="000D269D">
              <w:rPr>
                <w:lang w:eastAsia="ja-JP"/>
              </w:rPr>
              <w:t>10.6</w:t>
            </w:r>
          </w:p>
        </w:tc>
        <w:tc>
          <w:tcPr>
            <w:tcW w:w="1533" w:type="dxa"/>
          </w:tcPr>
          <w:p w14:paraId="7DC7D678" w14:textId="77777777" w:rsidR="00AC7434" w:rsidRPr="000D269D" w:rsidRDefault="00AC7434" w:rsidP="00AC7434">
            <w:pPr>
              <w:pStyle w:val="TAC"/>
              <w:rPr>
                <w:lang w:eastAsia="ja-JP"/>
              </w:rPr>
            </w:pPr>
            <w:r w:rsidRPr="000D269D">
              <w:rPr>
                <w:lang w:eastAsia="ja-JP"/>
              </w:rPr>
              <w:t>10.6</w:t>
            </w:r>
          </w:p>
        </w:tc>
      </w:tr>
      <w:tr w:rsidR="00AC7434" w:rsidRPr="000D269D" w14:paraId="26C2D84C" w14:textId="77777777" w:rsidTr="00AC7434">
        <w:tc>
          <w:tcPr>
            <w:tcW w:w="2972" w:type="dxa"/>
            <w:shd w:val="clear" w:color="auto" w:fill="auto"/>
          </w:tcPr>
          <w:p w14:paraId="0137F405" w14:textId="77777777" w:rsidR="00AC7434" w:rsidRPr="000D269D" w:rsidRDefault="00AC7434" w:rsidP="00AC7434">
            <w:pPr>
              <w:pStyle w:val="TAC"/>
              <w:rPr>
                <w:lang w:eastAsia="ja-JP"/>
              </w:rPr>
            </w:pPr>
            <w:r w:rsidRPr="000D269D">
              <w:rPr>
                <w:lang w:eastAsia="ja-JP"/>
              </w:rPr>
              <w:t xml:space="preserve">OTA receiver spurious emission </w:t>
            </w:r>
          </w:p>
        </w:tc>
        <w:tc>
          <w:tcPr>
            <w:tcW w:w="1415" w:type="dxa"/>
            <w:tcBorders>
              <w:top w:val="nil"/>
              <w:bottom w:val="nil"/>
            </w:tcBorders>
            <w:shd w:val="clear" w:color="auto" w:fill="auto"/>
          </w:tcPr>
          <w:p w14:paraId="5A990CF3" w14:textId="77777777" w:rsidR="00AC7434" w:rsidRPr="000D269D" w:rsidRDefault="00AC7434" w:rsidP="00AC7434">
            <w:pPr>
              <w:pStyle w:val="TAC"/>
              <w:rPr>
                <w:lang w:eastAsia="ja-JP"/>
              </w:rPr>
            </w:pPr>
          </w:p>
        </w:tc>
        <w:tc>
          <w:tcPr>
            <w:tcW w:w="1533" w:type="dxa"/>
          </w:tcPr>
          <w:p w14:paraId="3C92BBC4" w14:textId="77777777" w:rsidR="00AC7434" w:rsidRPr="000D269D" w:rsidRDefault="00AC7434" w:rsidP="00AC7434">
            <w:pPr>
              <w:pStyle w:val="TAC"/>
              <w:rPr>
                <w:lang w:eastAsia="ja-JP"/>
              </w:rPr>
            </w:pPr>
            <w:r w:rsidRPr="000D269D">
              <w:rPr>
                <w:lang w:eastAsia="ja-JP"/>
              </w:rPr>
              <w:t>10.7</w:t>
            </w:r>
          </w:p>
        </w:tc>
        <w:tc>
          <w:tcPr>
            <w:tcW w:w="1533" w:type="dxa"/>
          </w:tcPr>
          <w:p w14:paraId="643A2C50" w14:textId="77777777" w:rsidR="00AC7434" w:rsidRPr="000D269D" w:rsidRDefault="00AC7434" w:rsidP="00AC7434">
            <w:pPr>
              <w:pStyle w:val="TAC"/>
              <w:rPr>
                <w:lang w:eastAsia="ja-JP"/>
              </w:rPr>
            </w:pPr>
            <w:r w:rsidRPr="000D269D">
              <w:rPr>
                <w:lang w:eastAsia="ja-JP"/>
              </w:rPr>
              <w:t>10.7</w:t>
            </w:r>
          </w:p>
        </w:tc>
      </w:tr>
      <w:tr w:rsidR="00AC7434" w:rsidRPr="000D269D" w14:paraId="2F5FAA20" w14:textId="77777777" w:rsidTr="00AC7434">
        <w:tc>
          <w:tcPr>
            <w:tcW w:w="2972" w:type="dxa"/>
            <w:shd w:val="clear" w:color="auto" w:fill="auto"/>
          </w:tcPr>
          <w:p w14:paraId="1BF0B048" w14:textId="77777777" w:rsidR="00AC7434" w:rsidRPr="000D269D" w:rsidRDefault="00AC7434" w:rsidP="00AC7434">
            <w:pPr>
              <w:pStyle w:val="TAC"/>
              <w:rPr>
                <w:lang w:eastAsia="ja-JP"/>
              </w:rPr>
            </w:pPr>
            <w:r w:rsidRPr="000D269D">
              <w:rPr>
                <w:lang w:eastAsia="ja-JP"/>
              </w:rPr>
              <w:t>OTA receiver intermodulation</w:t>
            </w:r>
          </w:p>
        </w:tc>
        <w:tc>
          <w:tcPr>
            <w:tcW w:w="1415" w:type="dxa"/>
            <w:tcBorders>
              <w:top w:val="nil"/>
              <w:bottom w:val="nil"/>
            </w:tcBorders>
            <w:shd w:val="clear" w:color="auto" w:fill="auto"/>
          </w:tcPr>
          <w:p w14:paraId="7BA7775F" w14:textId="77777777" w:rsidR="00AC7434" w:rsidRPr="000D269D" w:rsidRDefault="00AC7434" w:rsidP="00AC7434">
            <w:pPr>
              <w:pStyle w:val="TAC"/>
              <w:rPr>
                <w:lang w:eastAsia="ja-JP"/>
              </w:rPr>
            </w:pPr>
          </w:p>
        </w:tc>
        <w:tc>
          <w:tcPr>
            <w:tcW w:w="1533" w:type="dxa"/>
          </w:tcPr>
          <w:p w14:paraId="629B60B6" w14:textId="77777777" w:rsidR="00AC7434" w:rsidRPr="000D269D" w:rsidRDefault="00AC7434" w:rsidP="00AC7434">
            <w:pPr>
              <w:pStyle w:val="TAC"/>
              <w:rPr>
                <w:lang w:eastAsia="ja-JP"/>
              </w:rPr>
            </w:pPr>
            <w:r w:rsidRPr="000D269D">
              <w:rPr>
                <w:lang w:eastAsia="ja-JP"/>
              </w:rPr>
              <w:t>10.8</w:t>
            </w:r>
          </w:p>
        </w:tc>
        <w:tc>
          <w:tcPr>
            <w:tcW w:w="1533" w:type="dxa"/>
          </w:tcPr>
          <w:p w14:paraId="7DDA00DA" w14:textId="77777777" w:rsidR="00AC7434" w:rsidRPr="000D269D" w:rsidRDefault="00AC7434" w:rsidP="00AC7434">
            <w:pPr>
              <w:pStyle w:val="TAC"/>
              <w:rPr>
                <w:lang w:eastAsia="ja-JP"/>
              </w:rPr>
            </w:pPr>
            <w:r>
              <w:rPr>
                <w:lang w:eastAsia="ja-JP"/>
              </w:rPr>
              <w:t>NA</w:t>
            </w:r>
          </w:p>
        </w:tc>
      </w:tr>
      <w:tr w:rsidR="00AC7434" w:rsidRPr="000D269D" w14:paraId="1E97C7C4" w14:textId="77777777" w:rsidTr="00AC7434">
        <w:tc>
          <w:tcPr>
            <w:tcW w:w="2972" w:type="dxa"/>
            <w:shd w:val="clear" w:color="auto" w:fill="auto"/>
          </w:tcPr>
          <w:p w14:paraId="040E5C14" w14:textId="77777777" w:rsidR="00AC7434" w:rsidRPr="000D269D" w:rsidRDefault="00AC7434" w:rsidP="00AC7434">
            <w:pPr>
              <w:pStyle w:val="TAC"/>
              <w:rPr>
                <w:lang w:eastAsia="ja-JP"/>
              </w:rPr>
            </w:pPr>
            <w:r w:rsidRPr="000D269D">
              <w:rPr>
                <w:lang w:eastAsia="ja-JP"/>
              </w:rPr>
              <w:t>OTA in-channel selectivity</w:t>
            </w:r>
          </w:p>
        </w:tc>
        <w:tc>
          <w:tcPr>
            <w:tcW w:w="1415" w:type="dxa"/>
            <w:tcBorders>
              <w:top w:val="nil"/>
              <w:bottom w:val="nil"/>
            </w:tcBorders>
            <w:shd w:val="clear" w:color="auto" w:fill="auto"/>
          </w:tcPr>
          <w:p w14:paraId="35EF2590" w14:textId="77777777" w:rsidR="00AC7434" w:rsidRPr="000D269D" w:rsidRDefault="00AC7434" w:rsidP="00AC7434">
            <w:pPr>
              <w:pStyle w:val="TAC"/>
              <w:rPr>
                <w:lang w:eastAsia="ja-JP"/>
              </w:rPr>
            </w:pPr>
          </w:p>
        </w:tc>
        <w:tc>
          <w:tcPr>
            <w:tcW w:w="1533" w:type="dxa"/>
          </w:tcPr>
          <w:p w14:paraId="3280C4EE" w14:textId="77777777" w:rsidR="00AC7434" w:rsidRPr="000D269D" w:rsidRDefault="00AC7434" w:rsidP="00AC7434">
            <w:pPr>
              <w:pStyle w:val="TAC"/>
              <w:rPr>
                <w:lang w:eastAsia="ja-JP"/>
              </w:rPr>
            </w:pPr>
            <w:r>
              <w:rPr>
                <w:lang w:eastAsia="ja-JP"/>
              </w:rPr>
              <w:t>NA</w:t>
            </w:r>
          </w:p>
        </w:tc>
        <w:tc>
          <w:tcPr>
            <w:tcW w:w="1533" w:type="dxa"/>
          </w:tcPr>
          <w:p w14:paraId="110F9A1B" w14:textId="77777777" w:rsidR="00AC7434" w:rsidRPr="000D269D" w:rsidRDefault="00AC7434" w:rsidP="00AC7434">
            <w:pPr>
              <w:pStyle w:val="TAC"/>
              <w:rPr>
                <w:lang w:eastAsia="ja-JP"/>
              </w:rPr>
            </w:pPr>
            <w:r>
              <w:rPr>
                <w:lang w:eastAsia="ja-JP"/>
              </w:rPr>
              <w:t>NA</w:t>
            </w:r>
          </w:p>
        </w:tc>
      </w:tr>
      <w:tr w:rsidR="00AC7434" w:rsidRPr="000D269D" w14:paraId="76711984" w14:textId="77777777" w:rsidTr="00AC7434">
        <w:tc>
          <w:tcPr>
            <w:tcW w:w="2972" w:type="dxa"/>
            <w:shd w:val="clear" w:color="auto" w:fill="auto"/>
          </w:tcPr>
          <w:p w14:paraId="3FD76865" w14:textId="77777777" w:rsidR="00AC7434" w:rsidRPr="000D269D" w:rsidRDefault="00AC7434" w:rsidP="00AC7434">
            <w:pPr>
              <w:pStyle w:val="TAC"/>
              <w:rPr>
                <w:lang w:eastAsia="ja-JP"/>
              </w:rPr>
            </w:pPr>
            <w:r w:rsidRPr="000D269D">
              <w:rPr>
                <w:lang w:eastAsia="ja-JP"/>
              </w:rPr>
              <w:t>Radiated performance requirements</w:t>
            </w:r>
          </w:p>
        </w:tc>
        <w:tc>
          <w:tcPr>
            <w:tcW w:w="1415" w:type="dxa"/>
            <w:tcBorders>
              <w:top w:val="nil"/>
            </w:tcBorders>
            <w:shd w:val="clear" w:color="auto" w:fill="auto"/>
          </w:tcPr>
          <w:p w14:paraId="45CCBB64" w14:textId="77777777" w:rsidR="00AC7434" w:rsidRPr="000D269D" w:rsidRDefault="00AC7434" w:rsidP="00AC7434">
            <w:pPr>
              <w:pStyle w:val="TAC"/>
              <w:rPr>
                <w:lang w:eastAsia="ja-JP"/>
              </w:rPr>
            </w:pPr>
          </w:p>
        </w:tc>
        <w:tc>
          <w:tcPr>
            <w:tcW w:w="1533" w:type="dxa"/>
          </w:tcPr>
          <w:p w14:paraId="5A3DB6DB" w14:textId="77777777" w:rsidR="00AC7434" w:rsidRPr="000D269D" w:rsidRDefault="00AC7434" w:rsidP="00AC7434">
            <w:pPr>
              <w:pStyle w:val="TAC"/>
              <w:rPr>
                <w:lang w:eastAsia="ja-JP"/>
              </w:rPr>
            </w:pPr>
            <w:r w:rsidRPr="000D269D">
              <w:rPr>
                <w:lang w:eastAsia="ja-JP"/>
              </w:rPr>
              <w:t>11</w:t>
            </w:r>
          </w:p>
        </w:tc>
        <w:tc>
          <w:tcPr>
            <w:tcW w:w="1533" w:type="dxa"/>
          </w:tcPr>
          <w:p w14:paraId="0C9CCCFF" w14:textId="77777777" w:rsidR="00AC7434" w:rsidRPr="000D269D" w:rsidRDefault="00AC7434" w:rsidP="00AC7434">
            <w:pPr>
              <w:pStyle w:val="TAC"/>
              <w:rPr>
                <w:lang w:eastAsia="ja-JP"/>
              </w:rPr>
            </w:pPr>
            <w:r w:rsidRPr="000D269D">
              <w:rPr>
                <w:lang w:eastAsia="ja-JP"/>
              </w:rPr>
              <w:t>11</w:t>
            </w:r>
          </w:p>
        </w:tc>
      </w:tr>
    </w:tbl>
    <w:p w14:paraId="661A5F97" w14:textId="77777777" w:rsidR="00241248" w:rsidRPr="001B22C4" w:rsidRDefault="00241248" w:rsidP="00AB2F13"/>
    <w:p w14:paraId="17883A9A" w14:textId="75826576" w:rsidR="001C6008" w:rsidRDefault="0045047E">
      <w:pPr>
        <w:pStyle w:val="Heading2"/>
      </w:pPr>
      <w:bookmarkStart w:id="382" w:name="_Toc53185288"/>
      <w:bookmarkStart w:id="383" w:name="_Toc53185664"/>
      <w:bookmarkStart w:id="384" w:name="_Toc57820137"/>
      <w:bookmarkStart w:id="385" w:name="_Toc57821064"/>
      <w:bookmarkStart w:id="386" w:name="_Toc61183340"/>
      <w:bookmarkStart w:id="387" w:name="_Toc61183734"/>
      <w:bookmarkStart w:id="388" w:name="_Toc61184126"/>
      <w:bookmarkStart w:id="389" w:name="_Toc61184518"/>
      <w:bookmarkStart w:id="390" w:name="_Toc61184908"/>
      <w:bookmarkStart w:id="391" w:name="_Toc66386251"/>
      <w:bookmarkStart w:id="392" w:name="_Toc74583092"/>
      <w:bookmarkStart w:id="393" w:name="_Toc76541905"/>
      <w:bookmarkStart w:id="394" w:name="_Toc82449887"/>
      <w:bookmarkStart w:id="395" w:name="_Toc82450535"/>
      <w:bookmarkStart w:id="396" w:name="_Toc89948924"/>
      <w:bookmarkStart w:id="397" w:name="_Toc98755313"/>
      <w:bookmarkStart w:id="398" w:name="_Toc98762902"/>
      <w:bookmarkStart w:id="399" w:name="_Toc106183831"/>
      <w:r>
        <w:t>4.</w:t>
      </w:r>
      <w:r w:rsidR="00896BFB">
        <w:t>7</w:t>
      </w:r>
      <w:r w:rsidR="00AC7434">
        <w:tab/>
      </w:r>
      <w:r>
        <w:t>Applicability of RRM requirements in this specification</w:t>
      </w:r>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p>
    <w:p w14:paraId="0DF2C03E" w14:textId="77777777" w:rsidR="00AB2F13" w:rsidRPr="00AB2F13" w:rsidRDefault="00AB2F13" w:rsidP="00AB2F13"/>
    <w:p w14:paraId="7ADD13CF" w14:textId="530C89CF" w:rsidR="0045047E" w:rsidRDefault="0045047E" w:rsidP="0045047E">
      <w:pPr>
        <w:pStyle w:val="Heading3"/>
      </w:pPr>
      <w:bookmarkStart w:id="400" w:name="_Toc53185289"/>
      <w:bookmarkStart w:id="401" w:name="_Toc53185665"/>
      <w:bookmarkStart w:id="402" w:name="_Toc57820138"/>
      <w:bookmarkStart w:id="403" w:name="_Toc57821065"/>
      <w:bookmarkStart w:id="404" w:name="_Toc61183341"/>
      <w:bookmarkStart w:id="405" w:name="_Toc61183735"/>
      <w:bookmarkStart w:id="406" w:name="_Toc61184127"/>
      <w:bookmarkStart w:id="407" w:name="_Toc61184519"/>
      <w:bookmarkStart w:id="408" w:name="_Toc61184909"/>
      <w:bookmarkStart w:id="409" w:name="_Toc66386252"/>
      <w:bookmarkStart w:id="410" w:name="_Toc74583093"/>
      <w:bookmarkStart w:id="411" w:name="_Toc76541906"/>
      <w:bookmarkStart w:id="412" w:name="_Toc82449888"/>
      <w:bookmarkStart w:id="413" w:name="_Toc82450536"/>
      <w:bookmarkStart w:id="414" w:name="_Toc89948925"/>
      <w:bookmarkStart w:id="415" w:name="_Toc98755314"/>
      <w:bookmarkStart w:id="416" w:name="_Toc98762903"/>
      <w:bookmarkStart w:id="417" w:name="_Toc106183832"/>
      <w:r>
        <w:t>4.7.1</w:t>
      </w:r>
      <w:r w:rsidR="00AC7434">
        <w:tab/>
      </w:r>
      <w:r>
        <w:t xml:space="preserve">Applicability of </w:t>
      </w:r>
      <w:r w:rsidR="000C0F3E">
        <w:t>signalling characteristics related RRM requirements</w:t>
      </w:r>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665551AB" w14:textId="0899CF77" w:rsidR="000C0F3E" w:rsidRDefault="00045D17" w:rsidP="00137E92">
      <w:r>
        <w:t>The RRM requirements on the s</w:t>
      </w:r>
      <w:r w:rsidRPr="00662860">
        <w:t xml:space="preserve">ignalling </w:t>
      </w:r>
      <w:r>
        <w:t>c</w:t>
      </w:r>
      <w:r w:rsidRPr="00662860">
        <w:t>haracteristics for IAB MTs</w:t>
      </w:r>
      <w:r>
        <w:t xml:space="preserve"> specified in section 12.3 shall apply only for the local area IAB class defined in section 4.4.</w:t>
      </w:r>
    </w:p>
    <w:p w14:paraId="5A0885BC" w14:textId="77777777" w:rsidR="00137E92" w:rsidRPr="00062051" w:rsidRDefault="00137E92" w:rsidP="00137E92">
      <w:pPr>
        <w:keepNext/>
        <w:keepLines/>
        <w:spacing w:before="120"/>
        <w:ind w:left="1134" w:hanging="1134"/>
        <w:outlineLvl w:val="2"/>
        <w:rPr>
          <w:rFonts w:ascii="Arial" w:hAnsi="Arial"/>
          <w:sz w:val="28"/>
        </w:rPr>
      </w:pPr>
      <w:r w:rsidRPr="00062051">
        <w:rPr>
          <w:rFonts w:ascii="Arial" w:hAnsi="Arial"/>
          <w:sz w:val="28"/>
        </w:rPr>
        <w:t>4.7.</w:t>
      </w:r>
      <w:r>
        <w:rPr>
          <w:rFonts w:ascii="Arial" w:hAnsi="Arial"/>
          <w:sz w:val="28"/>
        </w:rPr>
        <w:t>2</w:t>
      </w:r>
      <w:r w:rsidRPr="00062051">
        <w:rPr>
          <w:rFonts w:ascii="Arial" w:hAnsi="Arial"/>
          <w:sz w:val="28"/>
        </w:rPr>
        <w:tab/>
        <w:t>Applicability of RRM requirements</w:t>
      </w:r>
      <w:r>
        <w:rPr>
          <w:rFonts w:ascii="Arial" w:hAnsi="Arial"/>
          <w:sz w:val="28"/>
        </w:rPr>
        <w:t xml:space="preserve"> in non-DRX</w:t>
      </w:r>
    </w:p>
    <w:p w14:paraId="13FF5ABC" w14:textId="77777777" w:rsidR="00137E92" w:rsidRPr="0033585D" w:rsidRDefault="00137E92" w:rsidP="00137E92">
      <w:pPr>
        <w:contextualSpacing/>
      </w:pPr>
      <w:r>
        <w:t>All t</w:t>
      </w:r>
      <w:r w:rsidRPr="00062051">
        <w:t xml:space="preserve">he RRM requirements for IAB MT specified in section 12 shall apply </w:t>
      </w:r>
      <w:r>
        <w:t xml:space="preserve">when no DRX is used. The IAB-MT </w:t>
      </w:r>
      <w:r w:rsidRPr="009C5807">
        <w:rPr>
          <w:rFonts w:eastAsia="?? ??"/>
          <w:lang w:eastAsia="ko-KR"/>
        </w:rPr>
        <w:t>shall assume that no DRX is used provided the following conditions are met:</w:t>
      </w:r>
    </w:p>
    <w:p w14:paraId="4648A52E" w14:textId="77777777" w:rsidR="00137E92" w:rsidRPr="009C5807" w:rsidRDefault="00137E92" w:rsidP="00137E92">
      <w:pPr>
        <w:pStyle w:val="B10"/>
      </w:pPr>
      <w:r w:rsidRPr="009C5807">
        <w:t>-</w:t>
      </w:r>
      <w:r w:rsidRPr="009C5807">
        <w:tab/>
        <w:t>DRX parameters are not configured or</w:t>
      </w:r>
    </w:p>
    <w:p w14:paraId="6BF5A91B" w14:textId="77777777" w:rsidR="00137E92" w:rsidRPr="009C5807" w:rsidRDefault="00137E92" w:rsidP="00137E92">
      <w:pPr>
        <w:pStyle w:val="B10"/>
      </w:pPr>
      <w:r w:rsidRPr="009C5807">
        <w:t>-</w:t>
      </w:r>
      <w:r w:rsidRPr="009C5807">
        <w:tab/>
        <w:t>DRX parameters are configured and</w:t>
      </w:r>
    </w:p>
    <w:p w14:paraId="4A655104" w14:textId="77777777" w:rsidR="00137E92" w:rsidRPr="009C5807" w:rsidRDefault="00137E92" w:rsidP="00137E92">
      <w:pPr>
        <w:pStyle w:val="B20"/>
        <w:rPr>
          <w:rFonts w:eastAsia="?? ??"/>
          <w:lang w:eastAsia="ko-KR"/>
        </w:rPr>
      </w:pPr>
      <w:r w:rsidRPr="009C5807">
        <w:rPr>
          <w:noProof/>
          <w:lang w:eastAsia="ko-KR"/>
        </w:rPr>
        <w:t>-</w:t>
      </w:r>
      <w:r w:rsidRPr="009C5807">
        <w:rPr>
          <w:noProof/>
          <w:lang w:eastAsia="ko-KR"/>
        </w:rPr>
        <w:tab/>
        <w:t>drx-InactivityTimer</w:t>
      </w:r>
      <w:r w:rsidRPr="009C5807">
        <w:rPr>
          <w:rFonts w:eastAsia="?? ??"/>
          <w:lang w:eastAsia="ko-KR"/>
        </w:rPr>
        <w:t xml:space="preserve"> is running or</w:t>
      </w:r>
    </w:p>
    <w:p w14:paraId="2BE1E8FC" w14:textId="77777777" w:rsidR="00137E92" w:rsidRPr="009C5807" w:rsidRDefault="00137E92" w:rsidP="00137E92">
      <w:pPr>
        <w:pStyle w:val="B20"/>
        <w:rPr>
          <w:rFonts w:eastAsia="?? ??"/>
          <w:lang w:eastAsia="ko-KR"/>
        </w:rPr>
      </w:pPr>
      <w:r w:rsidRPr="009C5807">
        <w:rPr>
          <w:noProof/>
          <w:lang w:eastAsia="ko-KR"/>
        </w:rPr>
        <w:lastRenderedPageBreak/>
        <w:t>-</w:t>
      </w:r>
      <w:r w:rsidRPr="009C5807">
        <w:rPr>
          <w:noProof/>
          <w:lang w:eastAsia="ko-KR"/>
        </w:rPr>
        <w:tab/>
      </w:r>
      <w:r w:rsidRPr="009C5807">
        <w:rPr>
          <w:lang w:eastAsia="ko-KR"/>
        </w:rPr>
        <w:t>drx-RetransmissionTimerDL</w:t>
      </w:r>
      <w:r w:rsidRPr="009C5807">
        <w:rPr>
          <w:rFonts w:eastAsia="?? ??"/>
          <w:lang w:eastAsia="ko-KR"/>
        </w:rPr>
        <w:t xml:space="preserve"> is running or</w:t>
      </w:r>
    </w:p>
    <w:p w14:paraId="14B3DFEB" w14:textId="77777777" w:rsidR="00137E92" w:rsidRPr="009C5807" w:rsidRDefault="00137E92" w:rsidP="00137E92">
      <w:pPr>
        <w:pStyle w:val="B20"/>
        <w:rPr>
          <w:rFonts w:eastAsia="?? ??"/>
          <w:lang w:eastAsia="ko-KR"/>
        </w:rPr>
      </w:pPr>
      <w:r w:rsidRPr="009C5807">
        <w:rPr>
          <w:noProof/>
          <w:lang w:eastAsia="ko-KR"/>
        </w:rPr>
        <w:t>-</w:t>
      </w:r>
      <w:r w:rsidRPr="009C5807">
        <w:rPr>
          <w:noProof/>
          <w:lang w:eastAsia="ko-KR"/>
        </w:rPr>
        <w:tab/>
      </w:r>
      <w:r w:rsidRPr="009C5807">
        <w:rPr>
          <w:lang w:eastAsia="ko-KR"/>
        </w:rPr>
        <w:t>drx-RetransmissionTimerUL</w:t>
      </w:r>
      <w:r w:rsidRPr="009C5807">
        <w:rPr>
          <w:rFonts w:eastAsia="?? ??"/>
          <w:lang w:eastAsia="ko-KR"/>
        </w:rPr>
        <w:t xml:space="preserve"> is running or</w:t>
      </w:r>
    </w:p>
    <w:p w14:paraId="53A20214" w14:textId="77777777" w:rsidR="00137E92" w:rsidRPr="009C5807" w:rsidRDefault="00137E92" w:rsidP="00137E92">
      <w:pPr>
        <w:pStyle w:val="B20"/>
        <w:rPr>
          <w:rFonts w:eastAsia="?? ??"/>
          <w:lang w:eastAsia="ko-KR"/>
        </w:rPr>
      </w:pPr>
      <w:r w:rsidRPr="009C5807">
        <w:rPr>
          <w:noProof/>
          <w:lang w:eastAsia="ko-KR"/>
        </w:rPr>
        <w:t>-</w:t>
      </w:r>
      <w:r w:rsidRPr="009C5807">
        <w:rPr>
          <w:noProof/>
          <w:lang w:eastAsia="ko-KR"/>
        </w:rPr>
        <w:tab/>
        <w:t>ra-ContentionResolutionTimer is running or</w:t>
      </w:r>
    </w:p>
    <w:p w14:paraId="09368C97" w14:textId="77777777" w:rsidR="00137E92" w:rsidRPr="009C5807" w:rsidRDefault="00137E92" w:rsidP="00137E92">
      <w:pPr>
        <w:pStyle w:val="B20"/>
        <w:rPr>
          <w:rFonts w:eastAsia="?? ??"/>
          <w:lang w:eastAsia="ko-KR"/>
        </w:rPr>
      </w:pPr>
      <w:r w:rsidRPr="009C5807">
        <w:rPr>
          <w:noProof/>
          <w:lang w:eastAsia="ko-KR"/>
        </w:rPr>
        <w:t>-</w:t>
      </w:r>
      <w:r w:rsidRPr="009C5807">
        <w:rPr>
          <w:noProof/>
          <w:lang w:eastAsia="ko-KR"/>
        </w:rPr>
        <w:tab/>
        <w:t>a Scheduling Request sent on PUCCH is pending or</w:t>
      </w:r>
    </w:p>
    <w:p w14:paraId="225B1B55" w14:textId="596013DA" w:rsidR="00137E92" w:rsidRPr="000C0F3E" w:rsidRDefault="00137E92" w:rsidP="00137E92">
      <w:pPr>
        <w:pStyle w:val="B20"/>
        <w:rPr>
          <w:noProof/>
          <w:lang w:eastAsia="ko-KR"/>
        </w:rPr>
      </w:pPr>
      <w:r w:rsidRPr="009C5807">
        <w:rPr>
          <w:noProof/>
          <w:lang w:eastAsia="ko-KR"/>
        </w:rPr>
        <w:t>-</w:t>
      </w:r>
      <w:r w:rsidRPr="009C5807">
        <w:rPr>
          <w:noProof/>
          <w:lang w:eastAsia="ko-KR"/>
        </w:rPr>
        <w:tab/>
        <w:t>a PDCCH indicating a new transmission addressed to the C-RNTI of the MAC entity has not been received after successful reception of a Random Access Response for the preamble not selected by the MAC entity</w:t>
      </w:r>
    </w:p>
    <w:p w14:paraId="5669D15D" w14:textId="195DBE46" w:rsidR="00077B6E" w:rsidRDefault="00077B6E" w:rsidP="00077B6E">
      <w:pPr>
        <w:pStyle w:val="Heading2"/>
        <w:rPr>
          <w:rFonts w:eastAsiaTheme="minorEastAsia"/>
          <w:lang w:eastAsia="zh-CN"/>
        </w:rPr>
      </w:pPr>
      <w:bookmarkStart w:id="418" w:name="_Toc53185290"/>
      <w:bookmarkStart w:id="419" w:name="_Toc53185666"/>
      <w:bookmarkStart w:id="420" w:name="_Toc57820139"/>
      <w:bookmarkStart w:id="421" w:name="_Toc57821066"/>
      <w:bookmarkStart w:id="422" w:name="_Toc61183342"/>
      <w:bookmarkStart w:id="423" w:name="_Toc61183736"/>
      <w:bookmarkStart w:id="424" w:name="_Toc61184128"/>
      <w:bookmarkStart w:id="425" w:name="_Toc61184520"/>
      <w:bookmarkStart w:id="426" w:name="_Toc61184910"/>
      <w:bookmarkStart w:id="427" w:name="_Toc66386253"/>
      <w:bookmarkStart w:id="428" w:name="_Toc74583094"/>
      <w:bookmarkStart w:id="429" w:name="_Toc76541907"/>
      <w:bookmarkStart w:id="430" w:name="_Toc82449889"/>
      <w:bookmarkStart w:id="431" w:name="_Toc82450537"/>
      <w:bookmarkStart w:id="432" w:name="_Toc89948926"/>
      <w:bookmarkStart w:id="433" w:name="_Toc98755315"/>
      <w:bookmarkStart w:id="434" w:name="_Toc98762904"/>
      <w:bookmarkStart w:id="435" w:name="_Toc106183833"/>
      <w:r w:rsidRPr="007E346D">
        <w:t>4.</w:t>
      </w:r>
      <w:r w:rsidR="0045047E">
        <w:t>8</w:t>
      </w:r>
      <w:r w:rsidRPr="007E346D">
        <w:tab/>
        <w:t>Requirements for contiguous and non-contiguous spectrum</w:t>
      </w:r>
      <w:bookmarkEnd w:id="380"/>
      <w:bookmarkEnd w:id="381"/>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p>
    <w:p w14:paraId="31E564E0" w14:textId="77777777" w:rsidR="003E36E9" w:rsidRPr="00F95B02" w:rsidRDefault="003E36E9" w:rsidP="003E36E9">
      <w:bookmarkStart w:id="436" w:name="_Toc45893398"/>
      <w:bookmarkStart w:id="437" w:name="_Toc37267483"/>
      <w:bookmarkStart w:id="438" w:name="_Toc37260095"/>
      <w:bookmarkStart w:id="439" w:name="_Toc53178576"/>
      <w:bookmarkStart w:id="440" w:name="_Toc29811627"/>
      <w:bookmarkStart w:id="441" w:name="_Toc44712085"/>
      <w:bookmarkStart w:id="442" w:name="_Toc53178125"/>
      <w:bookmarkStart w:id="443" w:name="_Toc36817179"/>
      <w:bookmarkStart w:id="444" w:name="_Toc57820140"/>
      <w:bookmarkStart w:id="445" w:name="_Toc57821067"/>
      <w:bookmarkStart w:id="446" w:name="_Toc61183343"/>
      <w:bookmarkStart w:id="447" w:name="_Toc61183737"/>
      <w:bookmarkStart w:id="448" w:name="_Toc61184129"/>
      <w:bookmarkStart w:id="449" w:name="_Toc61184521"/>
      <w:bookmarkStart w:id="450" w:name="_Toc61184911"/>
      <w:bookmarkStart w:id="451" w:name="_Toc66386254"/>
      <w:r w:rsidRPr="00F95B02">
        <w:t>A spectrum allocation where a</w:t>
      </w:r>
      <w:r>
        <w:t>n</w:t>
      </w:r>
      <w:r w:rsidRPr="00F95B02">
        <w:t xml:space="preserve"> </w:t>
      </w:r>
      <w:r>
        <w:t>IAB-DU</w:t>
      </w:r>
      <w:r w:rsidRPr="00F95B02">
        <w:t xml:space="preserve"> </w:t>
      </w:r>
      <w:r>
        <w:rPr>
          <w:rFonts w:hint="eastAsia"/>
          <w:lang w:eastAsia="ja-JP"/>
        </w:rPr>
        <w:t>o</w:t>
      </w:r>
      <w:r>
        <w:rPr>
          <w:lang w:eastAsia="ja-JP"/>
        </w:rPr>
        <w:t xml:space="preserve">r IAB-MT </w:t>
      </w:r>
      <w:r w:rsidRPr="00F95B02">
        <w:t xml:space="preserve">operates can either be contiguous or non-contiguous. </w:t>
      </w:r>
      <w:r w:rsidRPr="00F95B02">
        <w:rPr>
          <w:lang w:eastAsia="zh-CN"/>
        </w:rPr>
        <w:t xml:space="preserve">Unless otherwise stated, the requirements </w:t>
      </w:r>
      <w:r w:rsidRPr="00F95B02">
        <w:t xml:space="preserve">in the present specification </w:t>
      </w:r>
      <w:r w:rsidRPr="00F95B02">
        <w:rPr>
          <w:lang w:eastAsia="zh-CN"/>
        </w:rPr>
        <w:t xml:space="preserve">apply for </w:t>
      </w:r>
      <w:r>
        <w:rPr>
          <w:lang w:eastAsia="zh-CN"/>
        </w:rPr>
        <w:t>IAB-DU</w:t>
      </w:r>
      <w:r w:rsidRPr="00F95B02">
        <w:rPr>
          <w:lang w:eastAsia="zh-CN"/>
        </w:rPr>
        <w:t xml:space="preserve"> </w:t>
      </w:r>
      <w:r>
        <w:rPr>
          <w:lang w:eastAsia="zh-CN"/>
        </w:rPr>
        <w:t xml:space="preserve">and IAB-MT </w:t>
      </w:r>
      <w:r w:rsidRPr="00F95B02">
        <w:rPr>
          <w:lang w:eastAsia="zh-CN"/>
        </w:rPr>
        <w:t xml:space="preserve">configured for both </w:t>
      </w:r>
      <w:r w:rsidRPr="00F95B02">
        <w:rPr>
          <w:i/>
          <w:lang w:eastAsia="zh-CN"/>
        </w:rPr>
        <w:t>contiguous spectrum</w:t>
      </w:r>
      <w:r w:rsidRPr="00F95B02">
        <w:rPr>
          <w:lang w:eastAsia="zh-CN"/>
        </w:rPr>
        <w:t xml:space="preserve"> operation and </w:t>
      </w:r>
      <w:r w:rsidRPr="00F95B02">
        <w:rPr>
          <w:i/>
          <w:lang w:eastAsia="zh-CN"/>
        </w:rPr>
        <w:t>non-contiguous spectrum</w:t>
      </w:r>
      <w:r w:rsidRPr="00F95B02">
        <w:rPr>
          <w:lang w:eastAsia="zh-CN"/>
        </w:rPr>
        <w:t xml:space="preserve"> operation.</w:t>
      </w:r>
    </w:p>
    <w:p w14:paraId="485BA823" w14:textId="77777777" w:rsidR="003E36E9" w:rsidRDefault="003E36E9" w:rsidP="003E36E9">
      <w:r w:rsidRPr="00F95B02">
        <w:t xml:space="preserve">For </w:t>
      </w:r>
      <w:r>
        <w:t>IAB-DU</w:t>
      </w:r>
      <w:r w:rsidRPr="00F95B02">
        <w:t xml:space="preserve"> </w:t>
      </w:r>
      <w:r>
        <w:t xml:space="preserve">or IAB-MT </w:t>
      </w:r>
      <w:r w:rsidRPr="00F95B02">
        <w:t xml:space="preserve">operation in </w:t>
      </w:r>
      <w:r w:rsidRPr="00F95B02">
        <w:rPr>
          <w:i/>
        </w:rPr>
        <w:t>non-contiguous spectrum</w:t>
      </w:r>
      <w:r w:rsidRPr="00F95B02">
        <w:t xml:space="preserve">, some requirements apply both at the </w:t>
      </w:r>
      <w:r>
        <w:rPr>
          <w:i/>
        </w:rPr>
        <w:t>IAB-DU</w:t>
      </w:r>
      <w:r w:rsidRPr="00F95B02">
        <w:rPr>
          <w:i/>
        </w:rPr>
        <w:t xml:space="preserve"> RF Bandwidth edges</w:t>
      </w:r>
      <w:r w:rsidRPr="00F95B02">
        <w:t xml:space="preserve"> </w:t>
      </w:r>
      <w:r>
        <w:t xml:space="preserve">or </w:t>
      </w:r>
      <w:r w:rsidRPr="00361F12">
        <w:rPr>
          <w:i/>
          <w:iCs/>
        </w:rPr>
        <w:t>IAB-MT RF Bandwidth edges</w:t>
      </w:r>
      <w:r>
        <w:t xml:space="preserve">, </w:t>
      </w:r>
      <w:r w:rsidRPr="00F95B02">
        <w:t xml:space="preserve">and inside the </w:t>
      </w:r>
      <w:r w:rsidRPr="00F95B02">
        <w:rPr>
          <w:i/>
        </w:rPr>
        <w:t>sub-block gaps</w:t>
      </w:r>
      <w:r w:rsidRPr="00F95B02">
        <w:t xml:space="preserve">. For each such requirement, it is stated how the limits apply relative to the </w:t>
      </w:r>
      <w:r>
        <w:rPr>
          <w:i/>
        </w:rPr>
        <w:t>IAB-DU</w:t>
      </w:r>
      <w:r w:rsidRPr="00F95B02">
        <w:rPr>
          <w:i/>
        </w:rPr>
        <w:t xml:space="preserve"> RF Bandwidth edges</w:t>
      </w:r>
      <w:r w:rsidRPr="00F95B02">
        <w:t xml:space="preserve"> </w:t>
      </w:r>
      <w:r>
        <w:t xml:space="preserve">and </w:t>
      </w:r>
      <w:r w:rsidRPr="00361F12">
        <w:rPr>
          <w:i/>
          <w:iCs/>
        </w:rPr>
        <w:t>IAB-MT RF Bandwidth edges</w:t>
      </w:r>
      <w:r>
        <w:t xml:space="preserve"> </w:t>
      </w:r>
      <w:r w:rsidRPr="00F95B02">
        <w:t xml:space="preserve">and the </w:t>
      </w:r>
      <w:r w:rsidRPr="00F95B02">
        <w:rPr>
          <w:i/>
        </w:rPr>
        <w:t>sub-block</w:t>
      </w:r>
      <w:r w:rsidRPr="00F95B02">
        <w:t xml:space="preserve"> edges respectively.</w:t>
      </w:r>
    </w:p>
    <w:p w14:paraId="171F7924" w14:textId="77777777" w:rsidR="00137E92" w:rsidRDefault="00137E92" w:rsidP="00137E92">
      <w:pPr>
        <w:pStyle w:val="Heading2"/>
      </w:pPr>
      <w:bookmarkStart w:id="452" w:name="_Toc74583095"/>
      <w:bookmarkStart w:id="453" w:name="_Toc76541908"/>
      <w:bookmarkStart w:id="454" w:name="_Toc82449890"/>
      <w:bookmarkStart w:id="455" w:name="_Toc82450538"/>
      <w:bookmarkStart w:id="456" w:name="_Toc89948927"/>
      <w:bookmarkStart w:id="457" w:name="_Toc98755316"/>
      <w:bookmarkStart w:id="458" w:name="_Toc98762905"/>
      <w:bookmarkStart w:id="459" w:name="_Toc106183834"/>
      <w:r>
        <w:t>4.</w:t>
      </w:r>
      <w:r>
        <w:rPr>
          <w:rFonts w:eastAsia="SimSun" w:hint="eastAsia"/>
          <w:lang w:val="en-US" w:eastAsia="zh-CN"/>
        </w:rPr>
        <w:t>9</w:t>
      </w:r>
      <w:r>
        <w:tab/>
        <w:t xml:space="preserve">Requirements for </w:t>
      </w:r>
      <w:r>
        <w:rPr>
          <w:rFonts w:eastAsia="SimSun" w:hint="eastAsia"/>
          <w:lang w:val="en-US" w:eastAsia="zh-CN"/>
        </w:rPr>
        <w:t xml:space="preserve">IAB-DU </w:t>
      </w:r>
      <w:r>
        <w:rPr>
          <w:rFonts w:eastAsia="SimSun"/>
          <w:lang w:val="en-US" w:eastAsia="zh-CN"/>
        </w:rPr>
        <w:t>and IAB-MT</w:t>
      </w:r>
      <w:r>
        <w:rPr>
          <w:rFonts w:eastAsia="SimSun" w:hint="eastAsia"/>
          <w:lang w:val="en-US" w:eastAsia="zh-CN"/>
        </w:rPr>
        <w:t xml:space="preserve"> </w:t>
      </w:r>
      <w:r>
        <w:t>capable of multi-band operation</w:t>
      </w:r>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14:paraId="2D77131A" w14:textId="77777777" w:rsidR="00137E92" w:rsidRDefault="00137E92" w:rsidP="00137E92">
      <w:r>
        <w:t xml:space="preserve">For </w:t>
      </w:r>
      <w:r>
        <w:rPr>
          <w:i/>
        </w:rPr>
        <w:t>multi-band connector</w:t>
      </w:r>
      <w:r>
        <w:t xml:space="preserve"> or </w:t>
      </w:r>
      <w:r>
        <w:rPr>
          <w:i/>
        </w:rPr>
        <w:t>multi-band</w:t>
      </w:r>
      <w:r>
        <w:t xml:space="preserve"> </w:t>
      </w:r>
      <w:r>
        <w:rPr>
          <w:i/>
        </w:rPr>
        <w:t>RIB</w:t>
      </w:r>
      <w:r>
        <w:t xml:space="preserve">, the RF requirements in clause 6, 7, 9 and 10 apply separately to each supported </w:t>
      </w:r>
      <w:r>
        <w:rPr>
          <w:i/>
        </w:rPr>
        <w:t>operating band</w:t>
      </w:r>
      <w:r>
        <w:t xml:space="preserve"> unless otherwise stated. For some requirements, it is explicitly stated that specific additions or exclusions to the requirement apply at </w:t>
      </w:r>
      <w:r>
        <w:rPr>
          <w:i/>
        </w:rPr>
        <w:t>multi-band connector(s)</w:t>
      </w:r>
      <w:r>
        <w:t xml:space="preserve">, and </w:t>
      </w:r>
      <w:r>
        <w:rPr>
          <w:i/>
        </w:rPr>
        <w:t>multi-band RIB(s)</w:t>
      </w:r>
      <w:r>
        <w:t xml:space="preserve"> as detailed in the requirement clause. For </w:t>
      </w:r>
      <w:r>
        <w:rPr>
          <w:rFonts w:eastAsia="SimSun"/>
          <w:i/>
          <w:lang w:val="en-US" w:eastAsia="zh-CN"/>
        </w:rPr>
        <w:t>IAB</w:t>
      </w:r>
      <w:r>
        <w:rPr>
          <w:rFonts w:eastAsia="SimSun" w:hint="eastAsia"/>
          <w:i/>
          <w:lang w:val="en-US" w:eastAsia="zh-CN"/>
        </w:rPr>
        <w:t xml:space="preserve">-DU </w:t>
      </w:r>
      <w:r w:rsidRPr="0063534F">
        <w:rPr>
          <w:rFonts w:eastAsia="SimSun"/>
          <w:iCs/>
          <w:lang w:val="en-US" w:eastAsia="zh-CN"/>
        </w:rPr>
        <w:t>or</w:t>
      </w:r>
      <w:r>
        <w:rPr>
          <w:rFonts w:eastAsia="SimSun" w:hint="eastAsia"/>
          <w:i/>
          <w:lang w:val="en-US" w:eastAsia="zh-CN"/>
        </w:rPr>
        <w:t xml:space="preserve"> IAB-MT</w:t>
      </w:r>
      <w:r>
        <w:rPr>
          <w:i/>
        </w:rPr>
        <w:t xml:space="preserve"> </w:t>
      </w:r>
      <w:r>
        <w:t xml:space="preserve">capable of multi-band operation, various structures in terms of combinations of different transmitter and receiver implementations (multi-band or single band) with mapping of transceivers to one or more </w:t>
      </w:r>
      <w:r>
        <w:rPr>
          <w:i/>
        </w:rPr>
        <w:t>TAB connectors</w:t>
      </w:r>
      <w:r>
        <w:t xml:space="preserve"> for </w:t>
      </w:r>
      <w:r w:rsidRPr="0063534F">
        <w:rPr>
          <w:rFonts w:eastAsia="SimSun"/>
          <w:i/>
          <w:iCs/>
          <w:lang w:val="en-US" w:eastAsia="zh-CN"/>
        </w:rPr>
        <w:t>IAB-DU</w:t>
      </w:r>
      <w:r>
        <w:rPr>
          <w:rFonts w:eastAsia="SimSun" w:hint="eastAsia"/>
          <w:i/>
          <w:iCs/>
          <w:lang w:val="en-US" w:eastAsia="zh-CN"/>
        </w:rPr>
        <w:t xml:space="preserve"> </w:t>
      </w:r>
      <w:r>
        <w:rPr>
          <w:rFonts w:eastAsia="SimSun" w:hint="eastAsia"/>
          <w:lang w:val="en-US" w:eastAsia="zh-CN"/>
        </w:rPr>
        <w:t xml:space="preserve">or </w:t>
      </w:r>
      <w:r>
        <w:rPr>
          <w:rFonts w:eastAsia="SimSun" w:hint="eastAsia"/>
          <w:i/>
          <w:iCs/>
          <w:lang w:val="en-US" w:eastAsia="zh-CN"/>
        </w:rPr>
        <w:t xml:space="preserve">IAB-MT </w:t>
      </w:r>
      <w:r>
        <w:rPr>
          <w:i/>
        </w:rPr>
        <w:t>type 1-H</w:t>
      </w:r>
      <w:r>
        <w:rPr>
          <w:rFonts w:eastAsia="SimSun" w:hint="eastAsia"/>
          <w:i/>
          <w:lang w:val="en-US" w:eastAsia="zh-CN"/>
        </w:rPr>
        <w:t xml:space="preserve"> </w:t>
      </w:r>
      <w:r>
        <w:t xml:space="preserve"> in different ways are possible. For </w:t>
      </w:r>
      <w:r>
        <w:rPr>
          <w:i/>
        </w:rPr>
        <w:t>multi-band connector(s)</w:t>
      </w:r>
      <w:r>
        <w:t xml:space="preserve"> the exclusions or provisions for multi-band apply. For </w:t>
      </w:r>
      <w:r>
        <w:rPr>
          <w:i/>
        </w:rPr>
        <w:t>single-band connector(s)</w:t>
      </w:r>
      <w:r>
        <w:t>, the following applies:</w:t>
      </w:r>
    </w:p>
    <w:p w14:paraId="4C2488B0" w14:textId="77777777" w:rsidR="00137E92" w:rsidRDefault="00137E92" w:rsidP="00137E92">
      <w:pPr>
        <w:pStyle w:val="B10"/>
      </w:pPr>
      <w:r>
        <w:t>-</w:t>
      </w:r>
      <w:r>
        <w:tab/>
        <w:t xml:space="preserve">Single-band transmitter spurious emissions, </w:t>
      </w:r>
      <w:r>
        <w:rPr>
          <w:i/>
        </w:rPr>
        <w:t>operating band</w:t>
      </w:r>
      <w:r>
        <w:t xml:space="preserve"> unwanted emissions, ACLR, transmitter intermodulation and receiver spurious emissions requirements apply to this </w:t>
      </w:r>
      <w:r>
        <w:rPr>
          <w:i/>
        </w:rPr>
        <w:t>connector</w:t>
      </w:r>
      <w:r>
        <w:t xml:space="preserve"> that is mapped to single-band.</w:t>
      </w:r>
    </w:p>
    <w:p w14:paraId="309CA347" w14:textId="77777777" w:rsidR="00137E92" w:rsidRDefault="00137E92" w:rsidP="00137E92">
      <w:pPr>
        <w:pStyle w:val="B10"/>
      </w:pPr>
      <w:r>
        <w:t>-</w:t>
      </w:r>
      <w:r>
        <w:tab/>
        <w:t xml:space="preserve">If the </w:t>
      </w:r>
      <w:r>
        <w:rPr>
          <w:rFonts w:eastAsia="SimSun" w:hint="eastAsia"/>
          <w:lang w:val="en-US" w:eastAsia="zh-CN"/>
        </w:rPr>
        <w:t>IAB-DU or IAB-MT</w:t>
      </w:r>
      <w:r>
        <w:t xml:space="preserve"> is configured </w:t>
      </w:r>
      <w:r>
        <w:rPr>
          <w:lang w:eastAsia="zh-CN"/>
        </w:rPr>
        <w:t>for</w:t>
      </w:r>
      <w:r>
        <w:t xml:space="preserve"> single-band operation, single-band requirements shall apply to this </w:t>
      </w:r>
      <w:r>
        <w:rPr>
          <w:i/>
        </w:rPr>
        <w:t>connector</w:t>
      </w:r>
      <w:r>
        <w:rPr>
          <w:lang w:eastAsia="zh-CN"/>
        </w:rPr>
        <w:t xml:space="preserve"> configured for single-band operation</w:t>
      </w:r>
      <w:r>
        <w:t xml:space="preserve"> and no exclusions or provisions for multi-band capable </w:t>
      </w:r>
      <w:r w:rsidRPr="0063534F">
        <w:rPr>
          <w:rFonts w:eastAsia="SimSun"/>
          <w:i/>
          <w:iCs/>
          <w:lang w:val="en-US" w:eastAsia="zh-CN"/>
        </w:rPr>
        <w:t>IAB</w:t>
      </w:r>
      <w:r>
        <w:rPr>
          <w:rFonts w:eastAsia="SimSun" w:hint="eastAsia"/>
          <w:i/>
          <w:iCs/>
          <w:lang w:val="en-US" w:eastAsia="zh-CN"/>
        </w:rPr>
        <w:t xml:space="preserve">-DU </w:t>
      </w:r>
      <w:r w:rsidRPr="0063534F">
        <w:rPr>
          <w:rFonts w:eastAsia="SimSun"/>
          <w:lang w:val="en-US" w:eastAsia="zh-CN"/>
        </w:rPr>
        <w:t>or</w:t>
      </w:r>
      <w:r>
        <w:rPr>
          <w:rFonts w:eastAsia="SimSun" w:hint="eastAsia"/>
          <w:i/>
          <w:iCs/>
          <w:lang w:val="en-US" w:eastAsia="zh-CN"/>
        </w:rPr>
        <w:t xml:space="preserve"> IAB-MT</w:t>
      </w:r>
      <w:r>
        <w:t xml:space="preserve"> are applicable. Single-band requirements </w:t>
      </w:r>
      <w:r>
        <w:rPr>
          <w:lang w:eastAsia="zh-CN"/>
        </w:rPr>
        <w:t>are tested</w:t>
      </w:r>
      <w:r>
        <w:t xml:space="preserve"> separately at </w:t>
      </w:r>
      <w:r>
        <w:rPr>
          <w:lang w:eastAsia="zh-CN"/>
        </w:rPr>
        <w:t>the</w:t>
      </w:r>
      <w:r>
        <w:t xml:space="preserve"> </w:t>
      </w:r>
      <w:r>
        <w:rPr>
          <w:i/>
        </w:rPr>
        <w:t>connector</w:t>
      </w:r>
      <w:r>
        <w:t xml:space="preserve"> </w:t>
      </w:r>
      <w:r>
        <w:rPr>
          <w:lang w:eastAsia="zh-CN"/>
        </w:rPr>
        <w:t xml:space="preserve">configured for </w:t>
      </w:r>
      <w:r>
        <w:t>single-band</w:t>
      </w:r>
      <w:r>
        <w:rPr>
          <w:lang w:eastAsia="zh-CN"/>
        </w:rPr>
        <w:t xml:space="preserve"> operation</w:t>
      </w:r>
      <w:r>
        <w:t xml:space="preserve">, with all other </w:t>
      </w:r>
      <w:r>
        <w:rPr>
          <w:i/>
        </w:rPr>
        <w:t>antenna connectors</w:t>
      </w:r>
      <w:r>
        <w:t xml:space="preserve"> terminated.</w:t>
      </w:r>
    </w:p>
    <w:p w14:paraId="04309E62" w14:textId="77777777" w:rsidR="00137E92" w:rsidRDefault="00137E92" w:rsidP="00137E92">
      <w:r>
        <w:t xml:space="preserve">A </w:t>
      </w:r>
      <w:r w:rsidRPr="0063534F">
        <w:rPr>
          <w:rFonts w:eastAsia="SimSun"/>
          <w:i/>
          <w:iCs/>
          <w:lang w:val="en-US" w:eastAsia="zh-CN"/>
        </w:rPr>
        <w:t>IAB-DU</w:t>
      </w:r>
      <w:r>
        <w:rPr>
          <w:i/>
        </w:rPr>
        <w:t xml:space="preserve"> </w:t>
      </w:r>
      <w:r>
        <w:rPr>
          <w:rFonts w:eastAsia="SimSun" w:hint="eastAsia"/>
          <w:lang w:val="en-US" w:eastAsia="zh-CN"/>
        </w:rPr>
        <w:t xml:space="preserve">or </w:t>
      </w:r>
      <w:r>
        <w:rPr>
          <w:rFonts w:eastAsia="SimSun" w:hint="eastAsia"/>
          <w:i/>
          <w:iCs/>
          <w:lang w:val="en-US" w:eastAsia="zh-CN"/>
        </w:rPr>
        <w:t xml:space="preserve">IAB-MT </w:t>
      </w:r>
      <w:r>
        <w:rPr>
          <w:i/>
        </w:rPr>
        <w:t>type 1-H</w:t>
      </w:r>
      <w:r>
        <w:rPr>
          <w:rFonts w:eastAsia="SimSun" w:hint="eastAsia"/>
          <w:i/>
          <w:lang w:val="en-US" w:eastAsia="zh-CN"/>
        </w:rPr>
        <w:t xml:space="preserve"> </w:t>
      </w:r>
      <w:r>
        <w:rPr>
          <w:rFonts w:eastAsia="SimSun" w:hint="eastAsia"/>
          <w:lang w:val="en-US" w:eastAsia="zh-CN"/>
        </w:rPr>
        <w:t xml:space="preserve"> </w:t>
      </w:r>
      <w:r>
        <w:t xml:space="preserve">may be capable of supporting </w:t>
      </w:r>
      <w:r>
        <w:rPr>
          <w:lang w:eastAsia="zh-CN"/>
        </w:rPr>
        <w:t xml:space="preserve">operation in multiple </w:t>
      </w:r>
      <w:r>
        <w:rPr>
          <w:i/>
          <w:lang w:eastAsia="zh-CN"/>
        </w:rPr>
        <w:t>operating bands</w:t>
      </w:r>
      <w:r>
        <w:t xml:space="preserve"> with one of the following implementations of </w:t>
      </w:r>
      <w:r>
        <w:rPr>
          <w:i/>
        </w:rPr>
        <w:t>TAB connectors</w:t>
      </w:r>
      <w:r>
        <w:t xml:space="preserve"> in the </w:t>
      </w:r>
      <w:r>
        <w:rPr>
          <w:i/>
        </w:rPr>
        <w:t>transceiver array boundary</w:t>
      </w:r>
      <w:r>
        <w:t>:</w:t>
      </w:r>
    </w:p>
    <w:p w14:paraId="5838C2EF" w14:textId="77777777" w:rsidR="00137E92" w:rsidRDefault="00137E92" w:rsidP="00137E92">
      <w:pPr>
        <w:pStyle w:val="B10"/>
      </w:pPr>
      <w:r>
        <w:t>-</w:t>
      </w:r>
      <w:r>
        <w:tab/>
        <w:t xml:space="preserve">All </w:t>
      </w:r>
      <w:r>
        <w:rPr>
          <w:i/>
        </w:rPr>
        <w:t xml:space="preserve">TAB connectors </w:t>
      </w:r>
      <w:r>
        <w:t xml:space="preserve">are </w:t>
      </w:r>
      <w:r>
        <w:rPr>
          <w:i/>
        </w:rPr>
        <w:t>single-band connectors</w:t>
      </w:r>
      <w:r>
        <w:t>.</w:t>
      </w:r>
    </w:p>
    <w:p w14:paraId="149B208C" w14:textId="77777777" w:rsidR="00137E92" w:rsidRDefault="00137E92" w:rsidP="00137E92">
      <w:pPr>
        <w:pStyle w:val="B20"/>
      </w:pPr>
      <w:r>
        <w:t>-</w:t>
      </w:r>
      <w:r>
        <w:tab/>
        <w:t xml:space="preserve">Different sets of </w:t>
      </w:r>
      <w:r>
        <w:rPr>
          <w:i/>
        </w:rPr>
        <w:t>single-band connectors</w:t>
      </w:r>
      <w:r>
        <w:t xml:space="preserve"> support different </w:t>
      </w:r>
      <w:r>
        <w:rPr>
          <w:i/>
        </w:rPr>
        <w:t>operating bands</w:t>
      </w:r>
      <w:r>
        <w:t xml:space="preserve">, but each </w:t>
      </w:r>
      <w:r>
        <w:rPr>
          <w:i/>
        </w:rPr>
        <w:t>TAB connector</w:t>
      </w:r>
      <w:r>
        <w:t xml:space="preserve"> supports only operation in one single </w:t>
      </w:r>
      <w:r>
        <w:rPr>
          <w:i/>
        </w:rPr>
        <w:t>operating band</w:t>
      </w:r>
      <w:r>
        <w:t>.</w:t>
      </w:r>
    </w:p>
    <w:p w14:paraId="1E3C468C" w14:textId="77777777" w:rsidR="00137E92" w:rsidRDefault="00137E92" w:rsidP="00137E92">
      <w:pPr>
        <w:pStyle w:val="B20"/>
      </w:pPr>
      <w:r>
        <w:t>-</w:t>
      </w:r>
      <w:r>
        <w:tab/>
        <w:t xml:space="preserve">Sets of </w:t>
      </w:r>
      <w:r>
        <w:rPr>
          <w:i/>
        </w:rPr>
        <w:t>single-band connectors</w:t>
      </w:r>
      <w:r>
        <w:t xml:space="preserve"> support operation in multiple </w:t>
      </w:r>
      <w:r>
        <w:rPr>
          <w:i/>
        </w:rPr>
        <w:t>operating bands</w:t>
      </w:r>
      <w:r>
        <w:t xml:space="preserve"> with some </w:t>
      </w:r>
      <w:r>
        <w:rPr>
          <w:i/>
        </w:rPr>
        <w:t>single-band connectors</w:t>
      </w:r>
      <w:r>
        <w:t xml:space="preserve"> supporting more than one </w:t>
      </w:r>
      <w:r>
        <w:rPr>
          <w:i/>
        </w:rPr>
        <w:t>operating band</w:t>
      </w:r>
      <w:r>
        <w:t>.</w:t>
      </w:r>
    </w:p>
    <w:p w14:paraId="096B185E" w14:textId="77777777" w:rsidR="00137E92" w:rsidRDefault="00137E92" w:rsidP="00137E92">
      <w:pPr>
        <w:pStyle w:val="B10"/>
      </w:pPr>
      <w:r>
        <w:t>-</w:t>
      </w:r>
      <w:r>
        <w:tab/>
        <w:t xml:space="preserve">All </w:t>
      </w:r>
      <w:r>
        <w:rPr>
          <w:i/>
        </w:rPr>
        <w:t xml:space="preserve">TAB connectors </w:t>
      </w:r>
      <w:r>
        <w:t xml:space="preserve">are multi-band </w:t>
      </w:r>
      <w:r>
        <w:rPr>
          <w:i/>
        </w:rPr>
        <w:t>connectors</w:t>
      </w:r>
      <w:r>
        <w:t>.</w:t>
      </w:r>
    </w:p>
    <w:p w14:paraId="6C9287C4" w14:textId="77777777" w:rsidR="00137E92" w:rsidRDefault="00137E92" w:rsidP="00137E92">
      <w:pPr>
        <w:pStyle w:val="B10"/>
      </w:pPr>
      <w:r>
        <w:t>-</w:t>
      </w:r>
      <w:r>
        <w:tab/>
        <w:t xml:space="preserve">A combination of single-band sets and multi-band sets of </w:t>
      </w:r>
      <w:r>
        <w:rPr>
          <w:i/>
        </w:rPr>
        <w:t>TAB connectors</w:t>
      </w:r>
      <w:r>
        <w:t xml:space="preserve"> provides support of the type </w:t>
      </w:r>
      <w:r w:rsidRPr="0063534F">
        <w:rPr>
          <w:rFonts w:eastAsia="SimSun"/>
          <w:i/>
          <w:iCs/>
          <w:lang w:val="en-US" w:eastAsia="zh-CN"/>
        </w:rPr>
        <w:t>IAB-DU</w:t>
      </w:r>
      <w:r>
        <w:rPr>
          <w:i/>
          <w:iCs/>
        </w:rPr>
        <w:t xml:space="preserve"> </w:t>
      </w:r>
      <w:r>
        <w:rPr>
          <w:i/>
        </w:rPr>
        <w:t>type 1-H</w:t>
      </w:r>
      <w:r>
        <w:t xml:space="preserve"> capability of </w:t>
      </w:r>
      <w:r>
        <w:rPr>
          <w:lang w:eastAsia="zh-CN"/>
        </w:rPr>
        <w:t xml:space="preserve">operation in multiple </w:t>
      </w:r>
      <w:r>
        <w:rPr>
          <w:i/>
          <w:lang w:eastAsia="zh-CN"/>
        </w:rPr>
        <w:t>operating bands</w:t>
      </w:r>
      <w:r>
        <w:t>.</w:t>
      </w:r>
    </w:p>
    <w:p w14:paraId="4C6F5E31" w14:textId="77777777" w:rsidR="00137E92" w:rsidRDefault="00137E92" w:rsidP="00137E92">
      <w:r>
        <w:t xml:space="preserve">Unless otherwise stated all requirements specified for an </w:t>
      </w:r>
      <w:r>
        <w:rPr>
          <w:i/>
        </w:rPr>
        <w:t>operating band</w:t>
      </w:r>
      <w:r>
        <w:t xml:space="preserve"> apply only to the set of </w:t>
      </w:r>
      <w:r>
        <w:rPr>
          <w:i/>
        </w:rPr>
        <w:t>TAB connectors</w:t>
      </w:r>
      <w:r>
        <w:t xml:space="preserve"> supporting that </w:t>
      </w:r>
      <w:r>
        <w:rPr>
          <w:i/>
        </w:rPr>
        <w:t>operating band</w:t>
      </w:r>
      <w:r>
        <w:t>.</w:t>
      </w:r>
    </w:p>
    <w:p w14:paraId="677D5E88" w14:textId="77777777" w:rsidR="00137E92" w:rsidRDefault="00137E92" w:rsidP="00137E92">
      <w:r>
        <w:rPr>
          <w:rFonts w:eastAsia="MS Mincho"/>
        </w:rPr>
        <w:t xml:space="preserve">In the case of an </w:t>
      </w:r>
      <w:r>
        <w:rPr>
          <w:rFonts w:eastAsia="MS Mincho"/>
          <w:i/>
        </w:rPr>
        <w:t>operating band</w:t>
      </w:r>
      <w:r>
        <w:rPr>
          <w:rFonts w:eastAsia="MS Mincho"/>
        </w:rPr>
        <w:t xml:space="preserve"> being supported only by </w:t>
      </w:r>
      <w:r>
        <w:rPr>
          <w:rFonts w:eastAsia="MS Mincho"/>
          <w:i/>
        </w:rPr>
        <w:t>single-band connectors</w:t>
      </w:r>
      <w:r>
        <w:rPr>
          <w:rFonts w:eastAsia="MS Mincho"/>
        </w:rPr>
        <w:t xml:space="preserve"> </w:t>
      </w:r>
      <w:r>
        <w:t xml:space="preserve">in a </w:t>
      </w:r>
      <w:r>
        <w:rPr>
          <w:i/>
        </w:rPr>
        <w:t xml:space="preserve">TAB connector TX min cell group </w:t>
      </w:r>
      <w:r>
        <w:t>or a</w:t>
      </w:r>
      <w:r>
        <w:rPr>
          <w:i/>
        </w:rPr>
        <w:t xml:space="preserve"> TAB connector RX min cell group</w:t>
      </w:r>
      <w:r>
        <w:rPr>
          <w:rFonts w:eastAsia="MS Mincho"/>
        </w:rPr>
        <w:t xml:space="preserve">, </w:t>
      </w:r>
      <w:r>
        <w:rPr>
          <w:rFonts w:eastAsia="MS Mincho"/>
          <w:i/>
        </w:rPr>
        <w:t>single-band requirements</w:t>
      </w:r>
      <w:r>
        <w:rPr>
          <w:rFonts w:eastAsia="MS Mincho"/>
        </w:rPr>
        <w:t xml:space="preserve"> apply to that set of </w:t>
      </w:r>
      <w:r>
        <w:rPr>
          <w:rFonts w:eastAsia="MS Mincho"/>
          <w:i/>
        </w:rPr>
        <w:t>TAB connectors</w:t>
      </w:r>
      <w:r>
        <w:rPr>
          <w:rFonts w:eastAsia="MS Mincho"/>
        </w:rPr>
        <w:t>.</w:t>
      </w:r>
    </w:p>
    <w:p w14:paraId="4FA0745A" w14:textId="77777777" w:rsidR="00137E92" w:rsidRDefault="00137E92" w:rsidP="00137E92">
      <w:r>
        <w:rPr>
          <w:rFonts w:eastAsia="MS Mincho"/>
        </w:rPr>
        <w:lastRenderedPageBreak/>
        <w:t xml:space="preserve">In the case of an </w:t>
      </w:r>
      <w:r>
        <w:rPr>
          <w:rFonts w:eastAsia="MS Mincho"/>
          <w:i/>
        </w:rPr>
        <w:t>operating band</w:t>
      </w:r>
      <w:r>
        <w:rPr>
          <w:rFonts w:eastAsia="MS Mincho"/>
        </w:rPr>
        <w:t xml:space="preserve"> being supported only by </w:t>
      </w:r>
      <w:r>
        <w:rPr>
          <w:rFonts w:eastAsia="MS Mincho"/>
          <w:i/>
        </w:rPr>
        <w:t>multi-band connector</w:t>
      </w:r>
      <w:r>
        <w:rPr>
          <w:rFonts w:eastAsia="MS Mincho"/>
        </w:rPr>
        <w:t xml:space="preserve">s supporting the same </w:t>
      </w:r>
      <w:r>
        <w:rPr>
          <w:rFonts w:eastAsia="MS Mincho"/>
          <w:i/>
        </w:rPr>
        <w:t>operating band</w:t>
      </w:r>
      <w:r>
        <w:rPr>
          <w:rFonts w:eastAsia="MS Mincho"/>
        </w:rPr>
        <w:t xml:space="preserve"> combination</w:t>
      </w:r>
      <w:r>
        <w:t xml:space="preserve"> in a </w:t>
      </w:r>
      <w:r>
        <w:rPr>
          <w:i/>
        </w:rPr>
        <w:t xml:space="preserve">TAB connector TX min cell group </w:t>
      </w:r>
      <w:r>
        <w:t>or a</w:t>
      </w:r>
      <w:r>
        <w:rPr>
          <w:i/>
        </w:rPr>
        <w:t xml:space="preserve"> TAB connector RX min cell group</w:t>
      </w:r>
      <w:r>
        <w:rPr>
          <w:rFonts w:eastAsia="MS Mincho"/>
        </w:rPr>
        <w:t xml:space="preserve">, </w:t>
      </w:r>
      <w:r>
        <w:rPr>
          <w:rFonts w:eastAsia="MS Mincho"/>
          <w:i/>
        </w:rPr>
        <w:t>multi-band requirements</w:t>
      </w:r>
      <w:r>
        <w:rPr>
          <w:rFonts w:eastAsia="MS Mincho"/>
        </w:rPr>
        <w:t xml:space="preserve"> apply to that set of </w:t>
      </w:r>
      <w:r>
        <w:rPr>
          <w:rFonts w:eastAsia="MS Mincho"/>
          <w:i/>
        </w:rPr>
        <w:t>TAB connectors</w:t>
      </w:r>
      <w:r>
        <w:rPr>
          <w:rFonts w:eastAsia="MS Mincho"/>
        </w:rPr>
        <w:t>.</w:t>
      </w:r>
    </w:p>
    <w:p w14:paraId="599C7E94" w14:textId="77777777" w:rsidR="00137E92" w:rsidRDefault="00137E92" w:rsidP="00137E92">
      <w:r>
        <w:t xml:space="preserve">The case of an </w:t>
      </w:r>
      <w:r>
        <w:rPr>
          <w:i/>
        </w:rPr>
        <w:t>operating band</w:t>
      </w:r>
      <w:r>
        <w:t xml:space="preserve"> being supported by both </w:t>
      </w:r>
      <w:r>
        <w:rPr>
          <w:i/>
        </w:rPr>
        <w:t>multi-band connectors</w:t>
      </w:r>
      <w:r>
        <w:t xml:space="preserve"> and </w:t>
      </w:r>
      <w:r>
        <w:rPr>
          <w:i/>
        </w:rPr>
        <w:t>single-band connectors</w:t>
      </w:r>
      <w:r>
        <w:t xml:space="preserve"> in a </w:t>
      </w:r>
      <w:r>
        <w:rPr>
          <w:i/>
        </w:rPr>
        <w:t xml:space="preserve">TAB connector TX min cell group </w:t>
      </w:r>
      <w:r>
        <w:t>or a</w:t>
      </w:r>
      <w:r>
        <w:rPr>
          <w:i/>
        </w:rPr>
        <w:t xml:space="preserve"> TAB connector RX min cell group</w:t>
      </w:r>
      <w:r>
        <w:t xml:space="preserve">  is not covered by the present release of this specification.</w:t>
      </w:r>
    </w:p>
    <w:p w14:paraId="63B0E475" w14:textId="77777777" w:rsidR="00137E92" w:rsidRDefault="00137E92" w:rsidP="00137E92">
      <w:r>
        <w:t xml:space="preserve">The case of an </w:t>
      </w:r>
      <w:r>
        <w:rPr>
          <w:i/>
        </w:rPr>
        <w:t>operating band</w:t>
      </w:r>
      <w:r>
        <w:t xml:space="preserve"> being supported by </w:t>
      </w:r>
      <w:r>
        <w:rPr>
          <w:i/>
        </w:rPr>
        <w:t>multi-band connectors</w:t>
      </w:r>
      <w:r>
        <w:t xml:space="preserve"> which are not all supporting the same </w:t>
      </w:r>
      <w:r>
        <w:rPr>
          <w:i/>
        </w:rPr>
        <w:t>operating band</w:t>
      </w:r>
      <w:r>
        <w:t xml:space="preserve"> combination in a </w:t>
      </w:r>
      <w:r>
        <w:rPr>
          <w:i/>
        </w:rPr>
        <w:t xml:space="preserve">TAB connector TX min cell group </w:t>
      </w:r>
      <w:r>
        <w:t>or a</w:t>
      </w:r>
      <w:r>
        <w:rPr>
          <w:i/>
        </w:rPr>
        <w:t xml:space="preserve"> TAB connector RX min cell group</w:t>
      </w:r>
      <w:r>
        <w:t xml:space="preserve"> is not covered by the present release of this specification.</w:t>
      </w:r>
    </w:p>
    <w:p w14:paraId="14393D8A" w14:textId="77777777" w:rsidR="00137E92" w:rsidRDefault="00137E92" w:rsidP="00137E92">
      <w:r>
        <w:rPr>
          <w:rFonts w:eastAsia="SimSun"/>
          <w:i/>
          <w:lang w:val="en-US" w:eastAsia="zh-CN"/>
        </w:rPr>
        <w:t>IAB</w:t>
      </w:r>
      <w:r>
        <w:rPr>
          <w:rFonts w:eastAsia="SimSun"/>
          <w:i/>
          <w:iCs/>
          <w:lang w:val="en-US" w:eastAsia="zh-CN"/>
        </w:rPr>
        <w:t>-DU</w:t>
      </w:r>
      <w:r>
        <w:rPr>
          <w:i/>
        </w:rPr>
        <w:t xml:space="preserve"> </w:t>
      </w:r>
      <w:r>
        <w:rPr>
          <w:rFonts w:eastAsia="SimSun" w:hint="eastAsia"/>
          <w:lang w:val="en-US" w:eastAsia="zh-CN"/>
        </w:rPr>
        <w:t xml:space="preserve">or </w:t>
      </w:r>
      <w:r>
        <w:rPr>
          <w:rFonts w:eastAsia="SimSun" w:hint="eastAsia"/>
          <w:i/>
          <w:iCs/>
          <w:lang w:val="en-US" w:eastAsia="zh-CN"/>
        </w:rPr>
        <w:t xml:space="preserve">IAB-MT </w:t>
      </w:r>
      <w:r>
        <w:rPr>
          <w:i/>
        </w:rPr>
        <w:t xml:space="preserve">type 1-O </w:t>
      </w:r>
      <w:r>
        <w:t xml:space="preserve">may be capable of supporting </w:t>
      </w:r>
      <w:r>
        <w:rPr>
          <w:lang w:eastAsia="zh-CN"/>
        </w:rPr>
        <w:t xml:space="preserve">operation in multiple </w:t>
      </w:r>
      <w:r>
        <w:rPr>
          <w:i/>
          <w:lang w:eastAsia="zh-CN"/>
        </w:rPr>
        <w:t>operating bands</w:t>
      </w:r>
      <w:r>
        <w:t xml:space="preserve"> with one of the following implementations at the </w:t>
      </w:r>
      <w:r>
        <w:rPr>
          <w:i/>
        </w:rPr>
        <w:t>radiated interface boundary</w:t>
      </w:r>
      <w:r>
        <w:t>:</w:t>
      </w:r>
    </w:p>
    <w:p w14:paraId="72FA9339" w14:textId="77777777" w:rsidR="00137E92" w:rsidRDefault="00137E92" w:rsidP="00137E92">
      <w:pPr>
        <w:pStyle w:val="B10"/>
      </w:pPr>
      <w:r>
        <w:t>-</w:t>
      </w:r>
      <w:r>
        <w:tab/>
        <w:t>All RIBs</w:t>
      </w:r>
      <w:r>
        <w:rPr>
          <w:i/>
        </w:rPr>
        <w:t xml:space="preserve"> </w:t>
      </w:r>
      <w:r>
        <w:t xml:space="preserve">are </w:t>
      </w:r>
      <w:r>
        <w:rPr>
          <w:i/>
        </w:rPr>
        <w:t>single-band RIBs</w:t>
      </w:r>
      <w:r>
        <w:t>.</w:t>
      </w:r>
    </w:p>
    <w:p w14:paraId="11EEE579" w14:textId="77777777" w:rsidR="00137E92" w:rsidRDefault="00137E92" w:rsidP="00137E92">
      <w:pPr>
        <w:pStyle w:val="B10"/>
      </w:pPr>
      <w:r>
        <w:t>-</w:t>
      </w:r>
      <w:r>
        <w:tab/>
        <w:t>All RIBs</w:t>
      </w:r>
      <w:r>
        <w:rPr>
          <w:i/>
        </w:rPr>
        <w:t xml:space="preserve"> </w:t>
      </w:r>
      <w:r>
        <w:t xml:space="preserve">are </w:t>
      </w:r>
      <w:r>
        <w:rPr>
          <w:i/>
        </w:rPr>
        <w:t>multi-band</w:t>
      </w:r>
      <w:r>
        <w:t xml:space="preserve"> </w:t>
      </w:r>
      <w:r>
        <w:rPr>
          <w:i/>
        </w:rPr>
        <w:t>RIBs</w:t>
      </w:r>
      <w:r>
        <w:t>.</w:t>
      </w:r>
    </w:p>
    <w:p w14:paraId="14E61EDD" w14:textId="77777777" w:rsidR="00137E92" w:rsidRDefault="00137E92" w:rsidP="00137E92">
      <w:pPr>
        <w:pStyle w:val="B10"/>
      </w:pPr>
      <w:r>
        <w:t>-</w:t>
      </w:r>
      <w:r>
        <w:tab/>
        <w:t xml:space="preserve">A combination of single-band </w:t>
      </w:r>
      <w:r>
        <w:rPr>
          <w:i/>
        </w:rPr>
        <w:t>RIBs</w:t>
      </w:r>
      <w:r>
        <w:t xml:space="preserve"> and </w:t>
      </w:r>
      <w:r>
        <w:rPr>
          <w:i/>
        </w:rPr>
        <w:t>multi-band RIBs</w:t>
      </w:r>
      <w:r>
        <w:t xml:space="preserve"> provides support of the </w:t>
      </w:r>
      <w:r>
        <w:rPr>
          <w:rFonts w:eastAsia="SimSun" w:hint="eastAsia"/>
          <w:i/>
          <w:lang w:val="en-US" w:eastAsia="zh-CN"/>
        </w:rPr>
        <w:t>IAB</w:t>
      </w:r>
      <w:r>
        <w:rPr>
          <w:rFonts w:eastAsia="SimSun" w:hint="eastAsia"/>
          <w:i/>
          <w:iCs/>
          <w:lang w:val="en-US" w:eastAsia="zh-CN"/>
        </w:rPr>
        <w:t>-DU</w:t>
      </w:r>
      <w:r>
        <w:rPr>
          <w:i/>
        </w:rPr>
        <w:t xml:space="preserve"> </w:t>
      </w:r>
      <w:r>
        <w:rPr>
          <w:rFonts w:eastAsia="SimSun" w:hint="eastAsia"/>
          <w:lang w:val="en-US" w:eastAsia="zh-CN"/>
        </w:rPr>
        <w:t xml:space="preserve">or </w:t>
      </w:r>
      <w:r>
        <w:rPr>
          <w:rFonts w:eastAsia="SimSun" w:hint="eastAsia"/>
          <w:i/>
          <w:iCs/>
          <w:lang w:val="en-US" w:eastAsia="zh-CN"/>
        </w:rPr>
        <w:t>IAB-MT</w:t>
      </w:r>
      <w:r>
        <w:rPr>
          <w:i/>
        </w:rPr>
        <w:t xml:space="preserve"> type 1-O</w:t>
      </w:r>
      <w:r>
        <w:t xml:space="preserve"> capability of </w:t>
      </w:r>
      <w:r>
        <w:rPr>
          <w:lang w:eastAsia="zh-CN"/>
        </w:rPr>
        <w:t xml:space="preserve">operation in multiple </w:t>
      </w:r>
      <w:r>
        <w:rPr>
          <w:i/>
          <w:lang w:eastAsia="zh-CN"/>
        </w:rPr>
        <w:t>operating bands</w:t>
      </w:r>
      <w:r>
        <w:t>.</w:t>
      </w:r>
    </w:p>
    <w:p w14:paraId="5B3AB7D6" w14:textId="77777777" w:rsidR="00137E92" w:rsidRDefault="00137E92" w:rsidP="00137E92">
      <w:r>
        <w:t xml:space="preserve">For </w:t>
      </w:r>
      <w:r>
        <w:rPr>
          <w:i/>
        </w:rPr>
        <w:t>multi-band connectors</w:t>
      </w:r>
      <w:r>
        <w:t xml:space="preserve"> and </w:t>
      </w:r>
      <w:r>
        <w:rPr>
          <w:i/>
        </w:rPr>
        <w:t>multi-band RIBs</w:t>
      </w:r>
      <w:r>
        <w:t xml:space="preserve"> supporting the bands for TDD, the RF requirements in the present specification assume no simultaneous uplink and downlink occur between the bands.</w:t>
      </w:r>
    </w:p>
    <w:p w14:paraId="76AB6561" w14:textId="77777777" w:rsidR="00137E92" w:rsidRDefault="00137E92" w:rsidP="00137E92">
      <w:pPr>
        <w:pStyle w:val="Heading2"/>
      </w:pPr>
      <w:bookmarkStart w:id="460" w:name="_Toc53178577"/>
      <w:bookmarkStart w:id="461" w:name="_Toc36817180"/>
      <w:bookmarkStart w:id="462" w:name="_Toc44712086"/>
      <w:bookmarkStart w:id="463" w:name="_Toc53178126"/>
      <w:bookmarkStart w:id="464" w:name="_Toc21127422"/>
      <w:bookmarkStart w:id="465" w:name="_Toc29811628"/>
      <w:bookmarkStart w:id="466" w:name="_Toc37267484"/>
      <w:bookmarkStart w:id="467" w:name="_Toc45893399"/>
      <w:bookmarkStart w:id="468" w:name="_Toc37260096"/>
      <w:bookmarkStart w:id="469" w:name="_Toc57820141"/>
      <w:bookmarkStart w:id="470" w:name="_Toc57821068"/>
      <w:bookmarkStart w:id="471" w:name="_Toc61183344"/>
      <w:bookmarkStart w:id="472" w:name="_Toc61183738"/>
      <w:bookmarkStart w:id="473" w:name="_Toc61184130"/>
      <w:bookmarkStart w:id="474" w:name="_Toc61184522"/>
      <w:bookmarkStart w:id="475" w:name="_Toc61184912"/>
      <w:bookmarkStart w:id="476" w:name="_Toc66386255"/>
      <w:bookmarkStart w:id="477" w:name="_Toc74583096"/>
      <w:bookmarkStart w:id="478" w:name="_Toc76541909"/>
      <w:bookmarkStart w:id="479" w:name="_Toc82449891"/>
      <w:bookmarkStart w:id="480" w:name="_Toc82450539"/>
      <w:bookmarkStart w:id="481" w:name="_Toc89948928"/>
      <w:bookmarkStart w:id="482" w:name="_Toc98755317"/>
      <w:bookmarkStart w:id="483" w:name="_Toc98762906"/>
      <w:bookmarkStart w:id="484" w:name="_Toc106183835"/>
      <w:r>
        <w:t>4.</w:t>
      </w:r>
      <w:r>
        <w:rPr>
          <w:rFonts w:eastAsia="SimSun" w:hint="eastAsia"/>
          <w:lang w:val="en-US" w:eastAsia="zh-CN"/>
        </w:rPr>
        <w:t>10</w:t>
      </w:r>
      <w:r>
        <w:tab/>
        <w:t>OTA co-location with other base stations</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p>
    <w:p w14:paraId="285D35DF" w14:textId="77777777" w:rsidR="00137E92" w:rsidRDefault="00137E92" w:rsidP="00137E92">
      <w:pPr>
        <w:rPr>
          <w:lang w:val="en-US" w:eastAsia="zh-CN"/>
        </w:rPr>
      </w:pPr>
      <w:r>
        <w:rPr>
          <w:lang w:val="en-US" w:eastAsia="zh-CN"/>
        </w:rPr>
        <w:t xml:space="preserve">Co-location requirements are requirements which are based on assuming the </w:t>
      </w:r>
      <w:r>
        <w:rPr>
          <w:rFonts w:eastAsia="SimSun" w:hint="eastAsia"/>
          <w:i/>
          <w:iCs/>
          <w:lang w:val="en-US" w:eastAsia="zh-CN"/>
        </w:rPr>
        <w:t xml:space="preserve">IAB-DU </w:t>
      </w:r>
      <w:r w:rsidRPr="0063534F">
        <w:rPr>
          <w:rFonts w:eastAsia="SimSun"/>
          <w:lang w:val="en-US" w:eastAsia="zh-CN"/>
        </w:rPr>
        <w:t>or</w:t>
      </w:r>
      <w:r>
        <w:rPr>
          <w:rFonts w:eastAsia="SimSun" w:hint="eastAsia"/>
          <w:i/>
          <w:iCs/>
          <w:lang w:val="en-US" w:eastAsia="zh-CN"/>
        </w:rPr>
        <w:t xml:space="preserve"> IAB-MT</w:t>
      </w:r>
      <w:r>
        <w:rPr>
          <w:i/>
        </w:rPr>
        <w:t xml:space="preserve"> type 1-O</w:t>
      </w:r>
      <w:r>
        <w:rPr>
          <w:lang w:val="en-US" w:eastAsia="zh-CN"/>
        </w:rPr>
        <w:t xml:space="preserve"> is co-located with another BS</w:t>
      </w:r>
      <w:r>
        <w:rPr>
          <w:rFonts w:hint="eastAsia"/>
          <w:lang w:val="en-US" w:eastAsia="zh-CN"/>
        </w:rPr>
        <w:t xml:space="preserve"> or IAB</w:t>
      </w:r>
      <w:r>
        <w:rPr>
          <w:lang w:val="en-US" w:eastAsia="zh-CN"/>
        </w:rPr>
        <w:t xml:space="preserve"> of the same base station class, they ensure that both co-located systems can operate with minimal degradation to each other.</w:t>
      </w:r>
    </w:p>
    <w:p w14:paraId="1AE87AC4" w14:textId="77777777" w:rsidR="00137E92" w:rsidRDefault="00137E92" w:rsidP="00137E92">
      <w:pPr>
        <w:rPr>
          <w:lang w:val="en-US" w:eastAsia="zh-CN"/>
        </w:rPr>
      </w:pPr>
      <w:r>
        <w:rPr>
          <w:lang w:val="en-US" w:eastAsia="zh-CN"/>
        </w:rPr>
        <w:t>Unwanted emission and out of band blocking co-location requirements are optional requirements based on declaration. TX OFF and TX IMD are mandatory requirements and have the form of a co-location requirement as it represents the worst-case scenario of all the interference cases.</w:t>
      </w:r>
    </w:p>
    <w:p w14:paraId="63BA6101" w14:textId="77777777" w:rsidR="00137E92" w:rsidRDefault="00137E92" w:rsidP="00137E92">
      <w:pPr>
        <w:pStyle w:val="NO"/>
        <w:rPr>
          <w:lang w:val="en-US" w:eastAsia="zh-CN"/>
        </w:rPr>
      </w:pPr>
      <w:r>
        <w:rPr>
          <w:lang w:val="en-US" w:eastAsia="zh-CN"/>
        </w:rPr>
        <w:t>NOTE:</w:t>
      </w:r>
      <w:r>
        <w:rPr>
          <w:lang w:val="en-US" w:eastAsia="zh-CN"/>
        </w:rPr>
        <w:tab/>
        <w:t>Due to the low level of the unwanted emissions for the spurious emissions and TX OFF level co-location is the most suitable method to show conformance.</w:t>
      </w:r>
    </w:p>
    <w:p w14:paraId="537DA75B" w14:textId="5EA5BCAE" w:rsidR="00137E92" w:rsidRDefault="00137E92" w:rsidP="00AB1323">
      <w:pPr>
        <w:rPr>
          <w:lang w:val="en-US" w:eastAsia="zh-CN"/>
        </w:rPr>
      </w:pPr>
      <w:r>
        <w:rPr>
          <w:lang w:val="en-US" w:eastAsia="zh-CN"/>
        </w:rPr>
        <w:t xml:space="preserve">The </w:t>
      </w:r>
      <w:r>
        <w:rPr>
          <w:i/>
          <w:lang w:val="en-US" w:eastAsia="zh-CN"/>
        </w:rPr>
        <w:t>co-location reference antenna</w:t>
      </w:r>
      <w:r>
        <w:rPr>
          <w:lang w:val="en-US" w:eastAsia="zh-CN"/>
        </w:rPr>
        <w:t xml:space="preserve"> shall be a</w:t>
      </w:r>
      <w:r>
        <w:t xml:space="preserve"> single column passive antenna which has the same vertical radiating dimension (h), frequency range, polarization, as the composite antenna of the </w:t>
      </w:r>
      <w:r>
        <w:rPr>
          <w:rFonts w:eastAsia="SimSun" w:hint="eastAsia"/>
          <w:i/>
          <w:iCs/>
          <w:lang w:val="en-US" w:eastAsia="zh-CN"/>
        </w:rPr>
        <w:t xml:space="preserve">IAB-DU </w:t>
      </w:r>
      <w:r w:rsidRPr="0063534F">
        <w:rPr>
          <w:rFonts w:eastAsia="SimSun"/>
          <w:lang w:val="en-US" w:eastAsia="zh-CN"/>
        </w:rPr>
        <w:t>or</w:t>
      </w:r>
      <w:r>
        <w:rPr>
          <w:rFonts w:eastAsia="SimSun" w:hint="eastAsia"/>
          <w:i/>
          <w:iCs/>
          <w:lang w:val="en-US" w:eastAsia="zh-CN"/>
        </w:rPr>
        <w:t xml:space="preserve"> IAB-MT</w:t>
      </w:r>
      <w:r>
        <w:rPr>
          <w:i/>
        </w:rPr>
        <w:t xml:space="preserve"> type 1-O</w:t>
      </w:r>
      <w:r>
        <w:t xml:space="preserve"> and nominal 65° horizontal half-power beamwidth (suitable for 3-sector deployment) and is placed at a distance </w:t>
      </w:r>
      <w:r>
        <w:rPr>
          <w:i/>
        </w:rPr>
        <w:t>d</w:t>
      </w:r>
      <w:r>
        <w:t xml:space="preserve"> from the edge of the </w:t>
      </w:r>
      <w:r>
        <w:rPr>
          <w:rFonts w:eastAsia="SimSun" w:hint="eastAsia"/>
          <w:i/>
          <w:iCs/>
          <w:lang w:val="en-US" w:eastAsia="zh-CN"/>
        </w:rPr>
        <w:t>IAB-DU</w:t>
      </w:r>
      <w:r w:rsidRPr="0063534F">
        <w:rPr>
          <w:rFonts w:eastAsia="SimSun"/>
          <w:lang w:val="en-US" w:eastAsia="zh-CN"/>
        </w:rPr>
        <w:t xml:space="preserve"> or</w:t>
      </w:r>
      <w:r>
        <w:rPr>
          <w:rFonts w:eastAsia="SimSun" w:hint="eastAsia"/>
          <w:i/>
          <w:iCs/>
          <w:lang w:val="en-US" w:eastAsia="zh-CN"/>
        </w:rPr>
        <w:t xml:space="preserve"> IAB-MT</w:t>
      </w:r>
      <w:r>
        <w:rPr>
          <w:i/>
        </w:rPr>
        <w:t xml:space="preserve"> type 1-O</w:t>
      </w:r>
      <w:r>
        <w:t>, as shown in figure 4.</w:t>
      </w:r>
      <w:r>
        <w:rPr>
          <w:rFonts w:eastAsia="SimSun"/>
          <w:lang w:val="en-US" w:eastAsia="zh-CN"/>
        </w:rPr>
        <w:t>10</w:t>
      </w:r>
      <w:r>
        <w:t>-1.</w:t>
      </w:r>
    </w:p>
    <w:p w14:paraId="6F0A86CB" w14:textId="77777777" w:rsidR="00137E92" w:rsidRDefault="00137E92" w:rsidP="00137E92">
      <w:pPr>
        <w:pStyle w:val="TH"/>
        <w:rPr>
          <w:rFonts w:eastAsia="SimSun"/>
          <w:lang w:eastAsia="zh-CN"/>
        </w:rPr>
      </w:pPr>
      <w:r>
        <w:rPr>
          <w:rFonts w:eastAsia="SimSun" w:hint="eastAsia"/>
          <w:noProof/>
          <w:lang w:eastAsia="zh-CN"/>
        </w:rPr>
        <w:lastRenderedPageBreak/>
        <w:drawing>
          <wp:inline distT="0" distB="0" distL="114300" distR="114300" wp14:anchorId="469E450B" wp14:editId="40CB9901">
            <wp:extent cx="6116320" cy="3713480"/>
            <wp:effectExtent l="0" t="0" r="0" b="0"/>
            <wp:docPr id="81" name="图片 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1"/>
                    <pic:cNvPicPr>
                      <a:picLocks noChangeAspect="1"/>
                    </pic:cNvPicPr>
                  </pic:nvPicPr>
                  <pic:blipFill>
                    <a:blip r:embed="rId21"/>
                    <a:stretch>
                      <a:fillRect/>
                    </a:stretch>
                  </pic:blipFill>
                  <pic:spPr>
                    <a:xfrm>
                      <a:off x="0" y="0"/>
                      <a:ext cx="6116320" cy="3713480"/>
                    </a:xfrm>
                    <a:prstGeom prst="rect">
                      <a:avLst/>
                    </a:prstGeom>
                  </pic:spPr>
                </pic:pic>
              </a:graphicData>
            </a:graphic>
          </wp:inline>
        </w:drawing>
      </w:r>
    </w:p>
    <w:p w14:paraId="01E2044C" w14:textId="77777777" w:rsidR="00137E92" w:rsidRDefault="00137E92" w:rsidP="00137E92">
      <w:pPr>
        <w:pStyle w:val="TF"/>
        <w:rPr>
          <w:lang w:val="en-US" w:eastAsia="zh-CN"/>
        </w:rPr>
      </w:pPr>
      <w:r>
        <w:t>Figure 4.</w:t>
      </w:r>
      <w:r>
        <w:rPr>
          <w:rFonts w:eastAsia="SimSun"/>
          <w:lang w:val="en-US" w:eastAsia="zh-CN"/>
        </w:rPr>
        <w:t>10</w:t>
      </w:r>
      <w:r>
        <w:t>-1: Illustration of</w:t>
      </w:r>
      <w:r w:rsidRPr="0063534F">
        <w:rPr>
          <w:i/>
          <w:iCs/>
        </w:rPr>
        <w:t xml:space="preserve"> </w:t>
      </w:r>
      <w:r w:rsidRPr="0063534F">
        <w:rPr>
          <w:rFonts w:eastAsia="SimSun"/>
          <w:i/>
          <w:iCs/>
          <w:lang w:val="en-US" w:eastAsia="zh-CN"/>
        </w:rPr>
        <w:t>IAB</w:t>
      </w:r>
      <w:r>
        <w:rPr>
          <w:rFonts w:eastAsia="SimSun"/>
          <w:i/>
          <w:iCs/>
          <w:lang w:val="en-US" w:eastAsia="zh-CN"/>
        </w:rPr>
        <w:t xml:space="preserve">-DU </w:t>
      </w:r>
      <w:r w:rsidRPr="0063534F">
        <w:rPr>
          <w:rFonts w:eastAsia="SimSun"/>
          <w:lang w:val="en-US" w:eastAsia="zh-CN"/>
        </w:rPr>
        <w:t>and</w:t>
      </w:r>
      <w:r>
        <w:rPr>
          <w:rFonts w:eastAsia="SimSun"/>
          <w:i/>
          <w:iCs/>
          <w:lang w:val="en-US" w:eastAsia="zh-CN"/>
        </w:rPr>
        <w:t xml:space="preserve"> IAB-MT</w:t>
      </w:r>
      <w:r>
        <w:rPr>
          <w:i/>
        </w:rPr>
        <w:t xml:space="preserve"> type 1-O</w:t>
      </w:r>
      <w:r>
        <w:t xml:space="preserve"> enclosure and co-location reference antenna</w:t>
      </w:r>
    </w:p>
    <w:p w14:paraId="56CB9679" w14:textId="77777777" w:rsidR="00137E92" w:rsidRDefault="00137E92" w:rsidP="00137E92">
      <w:pPr>
        <w:rPr>
          <w:lang w:val="en-US"/>
        </w:rPr>
      </w:pPr>
      <w:bookmarkStart w:id="485" w:name="_Hlk505624375"/>
      <w:r>
        <w:rPr>
          <w:lang w:val="en-US"/>
        </w:rPr>
        <w:t xml:space="preserve">Edge-to-edge separation </w:t>
      </w:r>
      <w:r>
        <w:rPr>
          <w:i/>
          <w:lang w:val="en-US"/>
        </w:rPr>
        <w:t>d</w:t>
      </w:r>
      <w:r>
        <w:rPr>
          <w:lang w:val="en-US"/>
        </w:rPr>
        <w:t xml:space="preserve"> between the </w:t>
      </w:r>
      <w:r>
        <w:rPr>
          <w:rFonts w:eastAsia="SimSun"/>
          <w:i/>
          <w:iCs/>
          <w:lang w:val="en-US" w:eastAsia="zh-CN"/>
        </w:rPr>
        <w:t>IAB-DU</w:t>
      </w:r>
      <w:r w:rsidRPr="0063534F">
        <w:rPr>
          <w:rFonts w:eastAsia="SimSun"/>
          <w:lang w:val="en-US" w:eastAsia="zh-CN"/>
        </w:rPr>
        <w:t xml:space="preserve"> or </w:t>
      </w:r>
      <w:r>
        <w:rPr>
          <w:rFonts w:eastAsia="SimSun"/>
          <w:i/>
          <w:iCs/>
          <w:lang w:val="en-US" w:eastAsia="zh-CN"/>
        </w:rPr>
        <w:t>IAB-MT</w:t>
      </w:r>
      <w:r>
        <w:rPr>
          <w:i/>
        </w:rPr>
        <w:t xml:space="preserve"> type 1-O</w:t>
      </w:r>
      <w:r>
        <w:rPr>
          <w:lang w:val="en-US"/>
        </w:rPr>
        <w:t xml:space="preserve"> and the </w:t>
      </w:r>
      <w:r>
        <w:rPr>
          <w:i/>
          <w:lang w:val="en-US"/>
        </w:rPr>
        <w:t>co-location reference antenna</w:t>
      </w:r>
      <w:r>
        <w:rPr>
          <w:lang w:val="en-US"/>
        </w:rPr>
        <w:t xml:space="preserve"> shall be set to 0.1 m.</w:t>
      </w:r>
    </w:p>
    <w:bookmarkEnd w:id="485"/>
    <w:p w14:paraId="5B588902" w14:textId="77777777" w:rsidR="00137E92" w:rsidRDefault="00137E92" w:rsidP="00137E92">
      <w:r>
        <w:rPr>
          <w:lang w:val="en-US"/>
        </w:rPr>
        <w:t xml:space="preserve">The </w:t>
      </w:r>
      <w:r>
        <w:rPr>
          <w:rFonts w:eastAsia="SimSun" w:hint="eastAsia"/>
          <w:i/>
          <w:iCs/>
          <w:lang w:val="en-US" w:eastAsia="zh-CN"/>
        </w:rPr>
        <w:t xml:space="preserve">IAB-DU </w:t>
      </w:r>
      <w:r w:rsidRPr="0063534F">
        <w:rPr>
          <w:rFonts w:eastAsia="SimSun"/>
          <w:lang w:val="en-US" w:eastAsia="zh-CN"/>
        </w:rPr>
        <w:t>or</w:t>
      </w:r>
      <w:r>
        <w:rPr>
          <w:rFonts w:eastAsia="SimSun" w:hint="eastAsia"/>
          <w:i/>
          <w:iCs/>
          <w:lang w:val="en-US" w:eastAsia="zh-CN"/>
        </w:rPr>
        <w:t xml:space="preserve"> IAB-MT</w:t>
      </w:r>
      <w:r>
        <w:rPr>
          <w:i/>
        </w:rPr>
        <w:t xml:space="preserve"> type 1-O</w:t>
      </w:r>
      <w:r>
        <w:rPr>
          <w:lang w:val="en-US"/>
        </w:rPr>
        <w:t xml:space="preserve"> and the </w:t>
      </w:r>
      <w:r>
        <w:rPr>
          <w:i/>
          <w:lang w:val="en-US"/>
        </w:rPr>
        <w:t>co-location reference antenna</w:t>
      </w:r>
      <w:r>
        <w:rPr>
          <w:lang w:val="en-US"/>
        </w:rPr>
        <w:t xml:space="preserve"> shall be aligned in a common plane perpendicular to the mechanical bore-sight direction, as shown in figure 4.</w:t>
      </w:r>
      <w:r>
        <w:rPr>
          <w:rFonts w:eastAsia="SimSun"/>
          <w:lang w:val="en-US" w:eastAsia="zh-CN"/>
        </w:rPr>
        <w:t>10</w:t>
      </w:r>
      <w:r>
        <w:rPr>
          <w:lang w:val="en-US"/>
        </w:rPr>
        <w:t>-1.</w:t>
      </w:r>
    </w:p>
    <w:p w14:paraId="6E8CF587" w14:textId="77777777" w:rsidR="00137E92" w:rsidRDefault="00137E92" w:rsidP="00137E92">
      <w:r>
        <w:t xml:space="preserve">The </w:t>
      </w:r>
      <w:r>
        <w:rPr>
          <w:i/>
        </w:rPr>
        <w:t>co-location reference antenna</w:t>
      </w:r>
      <w:r>
        <w:t xml:space="preserve"> and the </w:t>
      </w:r>
      <w:r>
        <w:rPr>
          <w:rFonts w:eastAsia="SimSun" w:hint="eastAsia"/>
          <w:i/>
          <w:iCs/>
          <w:lang w:val="en-US" w:eastAsia="zh-CN"/>
        </w:rPr>
        <w:t xml:space="preserve">IAB-DU </w:t>
      </w:r>
      <w:r w:rsidRPr="0063534F">
        <w:rPr>
          <w:rFonts w:eastAsia="SimSun"/>
          <w:lang w:val="en-US" w:eastAsia="zh-CN"/>
        </w:rPr>
        <w:t>or</w:t>
      </w:r>
      <w:r>
        <w:rPr>
          <w:rFonts w:eastAsia="SimSun" w:hint="eastAsia"/>
          <w:i/>
          <w:iCs/>
          <w:lang w:val="en-US" w:eastAsia="zh-CN"/>
        </w:rPr>
        <w:t xml:space="preserve"> IAB-MT</w:t>
      </w:r>
      <w:r>
        <w:rPr>
          <w:i/>
        </w:rPr>
        <w:t xml:space="preserve"> type 1-O</w:t>
      </w:r>
      <w:r>
        <w:t xml:space="preserve"> can have different width.</w:t>
      </w:r>
    </w:p>
    <w:p w14:paraId="30B43A26" w14:textId="77777777" w:rsidR="00137E92" w:rsidRDefault="00137E92" w:rsidP="00137E92">
      <w:r>
        <w:t xml:space="preserve">The vertical radiating regions of the </w:t>
      </w:r>
      <w:r>
        <w:rPr>
          <w:i/>
        </w:rPr>
        <w:t>co-location reference antenna</w:t>
      </w:r>
      <w:r>
        <w:t xml:space="preserve"> and the </w:t>
      </w:r>
      <w:r>
        <w:rPr>
          <w:rFonts w:eastAsia="SimSun" w:hint="eastAsia"/>
          <w:i/>
          <w:iCs/>
          <w:lang w:val="en-US" w:eastAsia="zh-CN"/>
        </w:rPr>
        <w:t xml:space="preserve">IAB-DU </w:t>
      </w:r>
      <w:r w:rsidRPr="0063534F">
        <w:rPr>
          <w:rFonts w:eastAsia="SimSun"/>
          <w:lang w:val="en-US" w:eastAsia="zh-CN"/>
        </w:rPr>
        <w:t>or</w:t>
      </w:r>
      <w:r>
        <w:rPr>
          <w:rFonts w:eastAsia="SimSun" w:hint="eastAsia"/>
          <w:i/>
          <w:iCs/>
          <w:lang w:val="en-US" w:eastAsia="zh-CN"/>
        </w:rPr>
        <w:t xml:space="preserve"> IAB-MT</w:t>
      </w:r>
      <w:r>
        <w:rPr>
          <w:i/>
        </w:rPr>
        <w:t xml:space="preserve"> type 1-O</w:t>
      </w:r>
      <w:r>
        <w:t xml:space="preserve"> composite antenna shall be aligned.</w:t>
      </w:r>
    </w:p>
    <w:p w14:paraId="0D279242" w14:textId="77777777" w:rsidR="00137E92" w:rsidRDefault="00137E92" w:rsidP="00137E92">
      <w:pPr>
        <w:rPr>
          <w:lang w:eastAsia="zh-CN"/>
        </w:rPr>
      </w:pPr>
      <w:r>
        <w:rPr>
          <w:lang w:eastAsia="zh-CN"/>
        </w:rPr>
        <w:t xml:space="preserve">For co-location requirements where the frequency range of the signal at the </w:t>
      </w:r>
      <w:r>
        <w:rPr>
          <w:i/>
          <w:lang w:eastAsia="zh-CN"/>
        </w:rPr>
        <w:t>co-location reference antenna</w:t>
      </w:r>
      <w:r>
        <w:rPr>
          <w:lang w:eastAsia="zh-CN"/>
        </w:rPr>
        <w:t xml:space="preserve"> is different from the </w:t>
      </w:r>
      <w:r>
        <w:rPr>
          <w:rFonts w:eastAsia="SimSun" w:hint="eastAsia"/>
          <w:i/>
          <w:iCs/>
          <w:lang w:val="en-US" w:eastAsia="zh-CN"/>
        </w:rPr>
        <w:t xml:space="preserve">IAB-DU </w:t>
      </w:r>
      <w:r w:rsidRPr="0063534F">
        <w:rPr>
          <w:rFonts w:eastAsia="SimSun"/>
          <w:lang w:val="en-US" w:eastAsia="zh-CN"/>
        </w:rPr>
        <w:t xml:space="preserve">or </w:t>
      </w:r>
      <w:r>
        <w:rPr>
          <w:rFonts w:eastAsia="SimSun" w:hint="eastAsia"/>
          <w:i/>
          <w:iCs/>
          <w:lang w:val="en-US" w:eastAsia="zh-CN"/>
        </w:rPr>
        <w:t>IAB-MT</w:t>
      </w:r>
      <w:r>
        <w:rPr>
          <w:i/>
        </w:rPr>
        <w:t xml:space="preserve"> type 1-O</w:t>
      </w:r>
      <w:r>
        <w:rPr>
          <w:lang w:eastAsia="zh-CN"/>
        </w:rPr>
        <w:t xml:space="preserve">, a </w:t>
      </w:r>
      <w:r>
        <w:rPr>
          <w:i/>
          <w:lang w:eastAsia="zh-CN"/>
        </w:rPr>
        <w:t>co-location reference antenna</w:t>
      </w:r>
      <w:r>
        <w:rPr>
          <w:lang w:eastAsia="zh-CN"/>
        </w:rPr>
        <w:t xml:space="preserve"> suitable for the frequency stated in the requirement is assumed.</w:t>
      </w:r>
    </w:p>
    <w:p w14:paraId="174456E0" w14:textId="6B32C709" w:rsidR="00137E92" w:rsidRDefault="00137E92" w:rsidP="00AB1323">
      <w:pPr>
        <w:rPr>
          <w:lang w:val="en-US" w:eastAsia="zh-CN"/>
        </w:rPr>
      </w:pPr>
      <w:r>
        <w:rPr>
          <w:lang w:val="en-US" w:eastAsia="zh-CN"/>
        </w:rPr>
        <w:t xml:space="preserve">OTA co-location requirements are based on the power at the conducted interface of a </w:t>
      </w:r>
      <w:r>
        <w:rPr>
          <w:i/>
          <w:lang w:val="en-US" w:eastAsia="zh-CN"/>
        </w:rPr>
        <w:t>co-location reference antenna</w:t>
      </w:r>
      <w:r>
        <w:rPr>
          <w:lang w:val="en-US" w:eastAsia="zh-CN"/>
        </w:rPr>
        <w:t xml:space="preserve">, depending on the requirement this interface is either an input or an output. For </w:t>
      </w:r>
      <w:r>
        <w:rPr>
          <w:rFonts w:eastAsia="SimSun" w:hint="eastAsia"/>
          <w:i/>
          <w:iCs/>
          <w:lang w:val="en-US" w:eastAsia="zh-CN"/>
        </w:rPr>
        <w:t xml:space="preserve">IAB-DU </w:t>
      </w:r>
      <w:r w:rsidRPr="0063534F">
        <w:rPr>
          <w:rFonts w:eastAsia="SimSun"/>
          <w:lang w:val="en-US" w:eastAsia="zh-CN"/>
        </w:rPr>
        <w:t>or</w:t>
      </w:r>
      <w:r>
        <w:rPr>
          <w:rFonts w:eastAsia="SimSun" w:hint="eastAsia"/>
          <w:i/>
          <w:iCs/>
          <w:lang w:val="en-US" w:eastAsia="zh-CN"/>
        </w:rPr>
        <w:t xml:space="preserve"> IAB-MT</w:t>
      </w:r>
      <w:r>
        <w:rPr>
          <w:i/>
        </w:rPr>
        <w:t xml:space="preserve"> type 1-O</w:t>
      </w:r>
      <w:r>
        <w:t xml:space="preserve"> </w:t>
      </w:r>
      <w:r>
        <w:rPr>
          <w:lang w:val="en-US" w:eastAsia="zh-CN"/>
        </w:rPr>
        <w:t xml:space="preserve">with dual polarization </w:t>
      </w:r>
      <w:r>
        <w:rPr>
          <w:i/>
          <w:lang w:val="en-US" w:eastAsia="zh-CN"/>
        </w:rPr>
        <w:t>the co-location reference antenna</w:t>
      </w:r>
      <w:r>
        <w:rPr>
          <w:lang w:val="en-US" w:eastAsia="zh-CN"/>
        </w:rPr>
        <w:t xml:space="preserve"> has two conducted interfaces each representing one polarization.</w:t>
      </w:r>
    </w:p>
    <w:p w14:paraId="160A9018" w14:textId="1C3AC1AC" w:rsidR="00E7283F" w:rsidRDefault="00E7283F" w:rsidP="00AB1323">
      <w:pPr>
        <w:rPr>
          <w:lang w:val="en-US" w:eastAsia="zh-CN"/>
        </w:rPr>
      </w:pPr>
    </w:p>
    <w:p w14:paraId="18843F80" w14:textId="77777777" w:rsidR="00E7283F" w:rsidRPr="004E7E0A" w:rsidRDefault="00E7283F" w:rsidP="00E7283F">
      <w:pPr>
        <w:pStyle w:val="Heading2"/>
        <w:rPr>
          <w:rFonts w:cs="Arial"/>
          <w:b/>
        </w:rPr>
      </w:pPr>
      <w:bookmarkStart w:id="486" w:name="_Toc98762907"/>
      <w:bookmarkStart w:id="487" w:name="_Toc106183836"/>
      <w:r w:rsidRPr="004E7E0A">
        <w:rPr>
          <w:rFonts w:cs="Arial"/>
        </w:rPr>
        <w:t>4.</w:t>
      </w:r>
      <w:r>
        <w:rPr>
          <w:rFonts w:cs="Arial"/>
        </w:rPr>
        <w:t>11</w:t>
      </w:r>
      <w:r w:rsidRPr="004E7E0A">
        <w:rPr>
          <w:rFonts w:cs="Arial"/>
        </w:rPr>
        <w:tab/>
        <w:t>Requirements for IAB-DU and IAB-MT capable of simultaneous operation</w:t>
      </w:r>
      <w:bookmarkEnd w:id="486"/>
      <w:bookmarkEnd w:id="487"/>
      <w:r w:rsidRPr="004E7E0A">
        <w:rPr>
          <w:rFonts w:cs="Arial"/>
        </w:rPr>
        <w:t xml:space="preserve"> </w:t>
      </w:r>
    </w:p>
    <w:p w14:paraId="2484BFA8" w14:textId="77777777" w:rsidR="00E7283F" w:rsidRDefault="00E7283F" w:rsidP="00E7283F">
      <w:r>
        <w:t xml:space="preserve">IAB-DU and IAB-MT can be configured as </w:t>
      </w:r>
      <w:r w:rsidRPr="00FF5DCE">
        <w:rPr>
          <w:i/>
        </w:rPr>
        <w:t>IAB Simultaneous Operation</w:t>
      </w:r>
      <w:r>
        <w:t xml:space="preserve"> based on declaration. Unless otherwise stated, the requirements in the present specification apply for IAB-MT and IAB-DU of IAB-node configured as </w:t>
      </w:r>
      <w:r w:rsidRPr="00FF5DCE">
        <w:rPr>
          <w:i/>
        </w:rPr>
        <w:t>IAB Simultaneous Operation</w:t>
      </w:r>
      <w:r>
        <w:t xml:space="preserve">. </w:t>
      </w:r>
    </w:p>
    <w:p w14:paraId="13B965AD" w14:textId="77777777" w:rsidR="00E7283F" w:rsidRDefault="00E7283F" w:rsidP="00E7283F">
      <w:r>
        <w:t xml:space="preserve">For IAB-node in </w:t>
      </w:r>
      <w:r w:rsidRPr="00FF5DCE">
        <w:rPr>
          <w:i/>
        </w:rPr>
        <w:t>IAB Simultaneous Operation</w:t>
      </w:r>
      <w:r>
        <w:t>, as detailed in the requirement clause,</w:t>
      </w:r>
      <w:r w:rsidDel="000300E1">
        <w:t xml:space="preserve"> </w:t>
      </w:r>
      <w:r>
        <w:t>transmitter requirements apply</w:t>
      </w:r>
      <w:r>
        <w:rPr>
          <w:i/>
        </w:rPr>
        <w:t xml:space="preserve"> </w:t>
      </w:r>
      <w:r w:rsidRPr="00FE1F5C">
        <w:t>whatever the type of transmitter considered and for all transmission modes foreseen by the manufacturer’s specification</w:t>
      </w:r>
      <w:r>
        <w:t xml:space="preserve"> as detailed in the requirement clause</w:t>
      </w:r>
      <w:r w:rsidRPr="00FE1F5C">
        <w:t>.</w:t>
      </w:r>
    </w:p>
    <w:p w14:paraId="4A7E68ED" w14:textId="627CAEEB" w:rsidR="00E7283F" w:rsidRPr="004E7E0A" w:rsidRDefault="00E7283F" w:rsidP="00E7283F">
      <w:pPr>
        <w:pStyle w:val="NO"/>
        <w:rPr>
          <w:lang w:eastAsia="zh-CN"/>
        </w:rPr>
      </w:pPr>
      <w:r>
        <w:rPr>
          <w:lang w:eastAsia="zh-CN"/>
        </w:rPr>
        <w:lastRenderedPageBreak/>
        <w:t>NOTE</w:t>
      </w:r>
      <w:r w:rsidRPr="00125DE9">
        <w:rPr>
          <w:lang w:eastAsia="zh-CN"/>
        </w:rPr>
        <w:t>:</w:t>
      </w:r>
      <w:r>
        <w:rPr>
          <w:lang w:eastAsia="zh-CN"/>
        </w:rPr>
        <w:tab/>
        <w:t xml:space="preserve">For IAB node operating as simultaneous transmission of IAB-DU and IAB-MT, the manufacturer can provide different declarations for verification </w:t>
      </w:r>
      <w:r w:rsidRPr="00940168">
        <w:rPr>
          <w:lang w:eastAsia="zh-CN"/>
        </w:rPr>
        <w:t>on Modulation quality and ACLR</w:t>
      </w:r>
      <w:r>
        <w:rPr>
          <w:lang w:eastAsia="zh-CN"/>
        </w:rPr>
        <w:t xml:space="preserve"> according to the conformance specification declaration requirements.</w:t>
      </w:r>
    </w:p>
    <w:p w14:paraId="6E8C2616" w14:textId="77777777" w:rsidR="00E7283F" w:rsidRDefault="00E7283F" w:rsidP="00E7283F">
      <w:r>
        <w:t xml:space="preserve">For IAB-node in </w:t>
      </w:r>
      <w:r w:rsidRPr="00FF5DCE">
        <w:rPr>
          <w:i/>
        </w:rPr>
        <w:t>IAB Simultaneous Operation</w:t>
      </w:r>
      <w:r>
        <w:t>, as detailed in the requirement clause, receiver requirements shall be met for any transmitter setting unless otherwise stated</w:t>
      </w:r>
      <w:r w:rsidRPr="00FE1F5C">
        <w:t>.</w:t>
      </w:r>
    </w:p>
    <w:p w14:paraId="15249AB6" w14:textId="77777777" w:rsidR="00E7283F" w:rsidRPr="00137E92" w:rsidRDefault="00E7283F" w:rsidP="00AB1323"/>
    <w:p w14:paraId="5BB9E78C" w14:textId="1C4FBDC8" w:rsidR="00D9032E" w:rsidRDefault="00D9032E" w:rsidP="003647F0">
      <w:pPr>
        <w:pStyle w:val="Heading1"/>
      </w:pPr>
      <w:bookmarkStart w:id="488" w:name="_Toc53185291"/>
      <w:bookmarkStart w:id="489" w:name="_Toc53185667"/>
      <w:bookmarkStart w:id="490" w:name="_Toc57820142"/>
      <w:bookmarkStart w:id="491" w:name="_Toc57821069"/>
      <w:bookmarkStart w:id="492" w:name="_Toc61183345"/>
      <w:bookmarkStart w:id="493" w:name="_Toc61183739"/>
      <w:bookmarkStart w:id="494" w:name="_Toc61184131"/>
      <w:bookmarkStart w:id="495" w:name="_Toc61184523"/>
      <w:bookmarkStart w:id="496" w:name="_Toc61184913"/>
      <w:bookmarkStart w:id="497" w:name="_Toc66386256"/>
      <w:bookmarkStart w:id="498" w:name="_Toc74583097"/>
      <w:bookmarkStart w:id="499" w:name="_Toc76541910"/>
      <w:bookmarkStart w:id="500" w:name="_Toc82449892"/>
      <w:bookmarkStart w:id="501" w:name="_Toc82450540"/>
      <w:bookmarkStart w:id="502" w:name="_Toc89948929"/>
      <w:bookmarkStart w:id="503" w:name="_Toc98755318"/>
      <w:bookmarkStart w:id="504" w:name="_Toc98762908"/>
      <w:bookmarkStart w:id="505" w:name="_Toc106183837"/>
      <w:bookmarkStart w:id="506" w:name="_Toc13080134"/>
      <w:bookmarkStart w:id="507" w:name="_Toc18916159"/>
      <w:r>
        <w:t>5</w:t>
      </w:r>
      <w:r w:rsidR="006C3BFB" w:rsidRPr="007E346D">
        <w:tab/>
      </w:r>
      <w:r>
        <w:t>Operating bands and channel arrangement</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p>
    <w:p w14:paraId="33555AE1" w14:textId="7AE4D8C0" w:rsidR="00077B6E" w:rsidRPr="007E346D" w:rsidRDefault="00077B6E" w:rsidP="00077B6E">
      <w:pPr>
        <w:pStyle w:val="Heading2"/>
      </w:pPr>
      <w:bookmarkStart w:id="508" w:name="_Toc53185292"/>
      <w:bookmarkStart w:id="509" w:name="_Toc53185668"/>
      <w:bookmarkStart w:id="510" w:name="_Toc57820143"/>
      <w:bookmarkStart w:id="511" w:name="_Toc57821070"/>
      <w:bookmarkStart w:id="512" w:name="_Toc61183346"/>
      <w:bookmarkStart w:id="513" w:name="_Toc61183740"/>
      <w:bookmarkStart w:id="514" w:name="_Toc61184132"/>
      <w:bookmarkStart w:id="515" w:name="_Toc61184524"/>
      <w:bookmarkStart w:id="516" w:name="_Toc61184914"/>
      <w:bookmarkStart w:id="517" w:name="_Toc66386257"/>
      <w:bookmarkStart w:id="518" w:name="_Toc74583098"/>
      <w:bookmarkStart w:id="519" w:name="_Toc76541911"/>
      <w:bookmarkStart w:id="520" w:name="_Toc82449893"/>
      <w:bookmarkStart w:id="521" w:name="_Toc82450541"/>
      <w:bookmarkStart w:id="522" w:name="_Toc89948930"/>
      <w:bookmarkStart w:id="523" w:name="_Toc98755319"/>
      <w:bookmarkStart w:id="524" w:name="_Toc98762909"/>
      <w:bookmarkStart w:id="525" w:name="_Toc106183838"/>
      <w:r w:rsidRPr="007E346D">
        <w:t>5.1</w:t>
      </w:r>
      <w:r w:rsidRPr="007E346D">
        <w:tab/>
        <w:t>General</w:t>
      </w:r>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p>
    <w:p w14:paraId="6DC6BD1F" w14:textId="77777777" w:rsidR="002168A2" w:rsidRPr="004B7200" w:rsidRDefault="002168A2" w:rsidP="002168A2">
      <w:pPr>
        <w:rPr>
          <w:rFonts w:eastAsiaTheme="minorEastAsia" w:cs="v5.0.0"/>
        </w:rPr>
      </w:pPr>
      <w:bookmarkStart w:id="526" w:name="_Hlk494631479"/>
      <w:r w:rsidRPr="004B7200">
        <w:rPr>
          <w:rFonts w:eastAsiaTheme="minorEastAsia" w:cs="v5.0.0"/>
        </w:rPr>
        <w:t xml:space="preserve">The channel arrangements presented in this clause are based on the </w:t>
      </w:r>
      <w:r w:rsidRPr="004B7200">
        <w:rPr>
          <w:rFonts w:eastAsiaTheme="minorEastAsia" w:cs="v5.0.0"/>
          <w:i/>
        </w:rPr>
        <w:t>operating bands</w:t>
      </w:r>
      <w:r w:rsidRPr="004B7200">
        <w:rPr>
          <w:rFonts w:eastAsiaTheme="minorEastAsia" w:cs="v5.0.0"/>
        </w:rPr>
        <w:t xml:space="preserve"> and </w:t>
      </w:r>
      <w:r w:rsidRPr="004B7200">
        <w:rPr>
          <w:rFonts w:eastAsiaTheme="minorEastAsia" w:cs="v5.0.0"/>
          <w:i/>
        </w:rPr>
        <w:t>IAB</w:t>
      </w:r>
      <w:r>
        <w:rPr>
          <w:rFonts w:eastAsiaTheme="minorEastAsia" w:cs="v5.0.0"/>
          <w:i/>
        </w:rPr>
        <w:t>-DU or IAB-MT</w:t>
      </w:r>
      <w:r w:rsidRPr="004B7200">
        <w:rPr>
          <w:rFonts w:eastAsiaTheme="minorEastAsia" w:cs="v5.0.0"/>
          <w:i/>
        </w:rPr>
        <w:t xml:space="preserve"> channel bandwidths</w:t>
      </w:r>
      <w:r w:rsidRPr="004B7200">
        <w:rPr>
          <w:rFonts w:eastAsiaTheme="minorEastAsia" w:cs="v5.0.0"/>
        </w:rPr>
        <w:t xml:space="preserve"> defined in the present release of specifications.</w:t>
      </w:r>
    </w:p>
    <w:p w14:paraId="7C523D9A" w14:textId="77777777" w:rsidR="002168A2" w:rsidRPr="004B7200" w:rsidRDefault="002168A2" w:rsidP="00AC7434">
      <w:pPr>
        <w:pStyle w:val="NO"/>
        <w:rPr>
          <w:rFonts w:eastAsiaTheme="minorEastAsia"/>
        </w:rPr>
      </w:pPr>
      <w:r w:rsidRPr="004B7200">
        <w:rPr>
          <w:rFonts w:eastAsiaTheme="minorEastAsia"/>
        </w:rPr>
        <w:t>NOTE:</w:t>
      </w:r>
      <w:r w:rsidRPr="004B7200">
        <w:rPr>
          <w:rFonts w:eastAsiaTheme="minorEastAsia"/>
        </w:rPr>
        <w:tab/>
        <w:t xml:space="preserve">Other </w:t>
      </w:r>
      <w:r w:rsidRPr="004B7200">
        <w:rPr>
          <w:rFonts w:eastAsiaTheme="minorEastAsia"/>
          <w:i/>
        </w:rPr>
        <w:t>operating bands</w:t>
      </w:r>
      <w:r w:rsidRPr="004B7200">
        <w:rPr>
          <w:rFonts w:eastAsiaTheme="minorEastAsia"/>
        </w:rPr>
        <w:t xml:space="preserve"> and </w:t>
      </w:r>
      <w:r w:rsidRPr="004B7200">
        <w:rPr>
          <w:rFonts w:eastAsiaTheme="minorEastAsia" w:cs="v5.0.0"/>
          <w:i/>
        </w:rPr>
        <w:t>IAB</w:t>
      </w:r>
      <w:r>
        <w:rPr>
          <w:rFonts w:eastAsiaTheme="minorEastAsia" w:cs="v5.0.0"/>
          <w:i/>
        </w:rPr>
        <w:t>-DU or IAB-MT</w:t>
      </w:r>
      <w:r w:rsidRPr="004B7200">
        <w:rPr>
          <w:rFonts w:eastAsiaTheme="minorEastAsia" w:cs="v5.0.0"/>
          <w:i/>
        </w:rPr>
        <w:t xml:space="preserve"> </w:t>
      </w:r>
      <w:r w:rsidRPr="004B7200">
        <w:rPr>
          <w:rFonts w:eastAsiaTheme="minorEastAsia"/>
          <w:i/>
        </w:rPr>
        <w:t>channel bandwidth</w:t>
      </w:r>
      <w:r w:rsidRPr="004B7200">
        <w:rPr>
          <w:rFonts w:eastAsiaTheme="minorEastAsia"/>
        </w:rPr>
        <w:t>s may be considered in future releases.</w:t>
      </w:r>
    </w:p>
    <w:p w14:paraId="7A123A26" w14:textId="77777777" w:rsidR="002168A2" w:rsidRPr="004B7200" w:rsidRDefault="002168A2" w:rsidP="002168A2">
      <w:pPr>
        <w:rPr>
          <w:rFonts w:eastAsiaTheme="minorEastAsia"/>
        </w:rPr>
      </w:pPr>
      <w:r w:rsidRPr="004B7200">
        <w:rPr>
          <w:rFonts w:eastAsiaTheme="minorEastAsia"/>
        </w:rPr>
        <w:t>Requirements throughout the RF specifications are in many cases defined separately for different frequency ranges (FR). The frequency ranges in which NR can operate according to the present version of the specification are identified as described in table 5.1-1.</w:t>
      </w:r>
    </w:p>
    <w:p w14:paraId="284DB1BA" w14:textId="77777777" w:rsidR="002168A2" w:rsidRPr="004B7200" w:rsidRDefault="002168A2" w:rsidP="00AC7434">
      <w:pPr>
        <w:pStyle w:val="TH"/>
        <w:rPr>
          <w:rFonts w:eastAsiaTheme="minorEastAsia"/>
        </w:rPr>
      </w:pPr>
      <w:r w:rsidRPr="004B7200">
        <w:rPr>
          <w:rFonts w:eastAsiaTheme="minorEastAsia"/>
        </w:rPr>
        <w:t>Table 5.1-1: Definition of frequency ranges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2168A2" w:rsidRPr="004B7200" w14:paraId="5003980E" w14:textId="77777777" w:rsidTr="00A4061E">
        <w:trPr>
          <w:jc w:val="center"/>
        </w:trPr>
        <w:tc>
          <w:tcPr>
            <w:tcW w:w="1951" w:type="dxa"/>
            <w:shd w:val="clear" w:color="auto" w:fill="auto"/>
          </w:tcPr>
          <w:p w14:paraId="47A7F207" w14:textId="77777777" w:rsidR="002168A2" w:rsidRPr="004B7200" w:rsidRDefault="002168A2" w:rsidP="00AC7434">
            <w:pPr>
              <w:pStyle w:val="TAH"/>
              <w:rPr>
                <w:rFonts w:eastAsiaTheme="minorEastAsia"/>
              </w:rPr>
            </w:pPr>
            <w:r w:rsidRPr="004B7200">
              <w:rPr>
                <w:rFonts w:eastAsiaTheme="minorEastAsia"/>
              </w:rPr>
              <w:t>Frequency range designation</w:t>
            </w:r>
          </w:p>
        </w:tc>
        <w:tc>
          <w:tcPr>
            <w:tcW w:w="2977" w:type="dxa"/>
            <w:shd w:val="clear" w:color="auto" w:fill="auto"/>
          </w:tcPr>
          <w:p w14:paraId="10FCDEFF" w14:textId="77777777" w:rsidR="002168A2" w:rsidRPr="004B7200" w:rsidRDefault="002168A2" w:rsidP="00AC7434">
            <w:pPr>
              <w:pStyle w:val="TAH"/>
              <w:rPr>
                <w:rFonts w:eastAsiaTheme="minorEastAsia"/>
              </w:rPr>
            </w:pPr>
            <w:r w:rsidRPr="004B7200">
              <w:rPr>
                <w:rFonts w:eastAsiaTheme="minorEastAsia"/>
              </w:rPr>
              <w:t xml:space="preserve">Corresponding frequency range </w:t>
            </w:r>
          </w:p>
        </w:tc>
      </w:tr>
      <w:tr w:rsidR="002168A2" w:rsidRPr="004B7200" w14:paraId="3055E9A9" w14:textId="77777777" w:rsidTr="00A4061E">
        <w:trPr>
          <w:jc w:val="center"/>
        </w:trPr>
        <w:tc>
          <w:tcPr>
            <w:tcW w:w="1951" w:type="dxa"/>
            <w:shd w:val="clear" w:color="auto" w:fill="auto"/>
          </w:tcPr>
          <w:p w14:paraId="34ED2C80" w14:textId="77777777" w:rsidR="002168A2" w:rsidRPr="004B7200" w:rsidRDefault="002168A2" w:rsidP="00AC7434">
            <w:pPr>
              <w:pStyle w:val="TAC"/>
              <w:rPr>
                <w:rFonts w:eastAsiaTheme="minorEastAsia"/>
              </w:rPr>
            </w:pPr>
            <w:r w:rsidRPr="004B7200">
              <w:rPr>
                <w:rFonts w:eastAsiaTheme="minorEastAsia"/>
              </w:rPr>
              <w:t>FR1</w:t>
            </w:r>
          </w:p>
        </w:tc>
        <w:tc>
          <w:tcPr>
            <w:tcW w:w="2977" w:type="dxa"/>
            <w:shd w:val="clear" w:color="auto" w:fill="auto"/>
          </w:tcPr>
          <w:p w14:paraId="09D0F50F" w14:textId="77777777" w:rsidR="002168A2" w:rsidRPr="004B7200" w:rsidRDefault="002168A2" w:rsidP="00AC7434">
            <w:pPr>
              <w:pStyle w:val="TAC"/>
              <w:rPr>
                <w:rFonts w:eastAsiaTheme="minorEastAsia"/>
              </w:rPr>
            </w:pPr>
            <w:r w:rsidRPr="004B7200">
              <w:rPr>
                <w:rFonts w:eastAsiaTheme="minorEastAsia"/>
              </w:rPr>
              <w:t>4</w:t>
            </w:r>
            <w:r w:rsidRPr="004B7200">
              <w:rPr>
                <w:rFonts w:eastAsiaTheme="minorEastAsia"/>
                <w:lang w:eastAsia="zh-CN"/>
              </w:rPr>
              <w:t>1</w:t>
            </w:r>
            <w:r w:rsidRPr="004B7200">
              <w:rPr>
                <w:rFonts w:eastAsiaTheme="minorEastAsia"/>
              </w:rPr>
              <w:t xml:space="preserve">0 MHz – </w:t>
            </w:r>
            <w:r w:rsidRPr="004B7200">
              <w:rPr>
                <w:rFonts w:eastAsiaTheme="minorEastAsia"/>
                <w:lang w:eastAsia="zh-CN"/>
              </w:rPr>
              <w:t>7125</w:t>
            </w:r>
            <w:r w:rsidRPr="004B7200">
              <w:rPr>
                <w:rFonts w:eastAsiaTheme="minorEastAsia"/>
              </w:rPr>
              <w:t xml:space="preserve"> MHz</w:t>
            </w:r>
          </w:p>
        </w:tc>
      </w:tr>
      <w:tr w:rsidR="002168A2" w:rsidRPr="004B7200" w14:paraId="52EC3B73" w14:textId="77777777" w:rsidTr="00A4061E">
        <w:trPr>
          <w:jc w:val="center"/>
        </w:trPr>
        <w:tc>
          <w:tcPr>
            <w:tcW w:w="1951" w:type="dxa"/>
            <w:shd w:val="clear" w:color="auto" w:fill="auto"/>
          </w:tcPr>
          <w:p w14:paraId="6AF1CE7C" w14:textId="77777777" w:rsidR="002168A2" w:rsidRPr="004B7200" w:rsidRDefault="002168A2" w:rsidP="00AC7434">
            <w:pPr>
              <w:pStyle w:val="TAC"/>
              <w:rPr>
                <w:rFonts w:eastAsiaTheme="minorEastAsia"/>
              </w:rPr>
            </w:pPr>
            <w:r w:rsidRPr="004B7200">
              <w:rPr>
                <w:rFonts w:eastAsiaTheme="minorEastAsia"/>
              </w:rPr>
              <w:t>FR2</w:t>
            </w:r>
          </w:p>
        </w:tc>
        <w:tc>
          <w:tcPr>
            <w:tcW w:w="2977" w:type="dxa"/>
            <w:shd w:val="clear" w:color="auto" w:fill="auto"/>
          </w:tcPr>
          <w:p w14:paraId="598B5FEF" w14:textId="77777777" w:rsidR="002168A2" w:rsidRPr="004B7200" w:rsidRDefault="002168A2" w:rsidP="00AC7434">
            <w:pPr>
              <w:pStyle w:val="TAC"/>
              <w:rPr>
                <w:rFonts w:eastAsiaTheme="minorEastAsia"/>
              </w:rPr>
            </w:pPr>
            <w:r w:rsidRPr="004B7200">
              <w:rPr>
                <w:rFonts w:eastAsiaTheme="minorEastAsia"/>
              </w:rPr>
              <w:t>24250 MHz – 52600 MHz</w:t>
            </w:r>
          </w:p>
        </w:tc>
      </w:tr>
      <w:bookmarkEnd w:id="526"/>
    </w:tbl>
    <w:p w14:paraId="6591863B" w14:textId="77777777" w:rsidR="008D05EF" w:rsidRPr="00AC7434" w:rsidRDefault="008D05EF" w:rsidP="00AC7434"/>
    <w:p w14:paraId="111663B2" w14:textId="77777777" w:rsidR="00077B6E" w:rsidRPr="007E346D" w:rsidRDefault="00077B6E" w:rsidP="00077B6E">
      <w:pPr>
        <w:pStyle w:val="Heading2"/>
      </w:pPr>
      <w:bookmarkStart w:id="527" w:name="_Toc13080135"/>
      <w:bookmarkStart w:id="528" w:name="_Toc18916160"/>
      <w:bookmarkStart w:id="529" w:name="_Toc53185293"/>
      <w:bookmarkStart w:id="530" w:name="_Toc53185669"/>
      <w:bookmarkStart w:id="531" w:name="_Toc57820144"/>
      <w:bookmarkStart w:id="532" w:name="_Toc57821071"/>
      <w:bookmarkStart w:id="533" w:name="_Toc61183347"/>
      <w:bookmarkStart w:id="534" w:name="_Toc61183741"/>
      <w:bookmarkStart w:id="535" w:name="_Toc61184133"/>
      <w:bookmarkStart w:id="536" w:name="_Toc61184525"/>
      <w:bookmarkStart w:id="537" w:name="_Toc61184915"/>
      <w:bookmarkStart w:id="538" w:name="_Toc66386258"/>
      <w:bookmarkStart w:id="539" w:name="_Toc74583099"/>
      <w:bookmarkStart w:id="540" w:name="_Toc76541912"/>
      <w:bookmarkStart w:id="541" w:name="_Toc82449894"/>
      <w:bookmarkStart w:id="542" w:name="_Toc82450542"/>
      <w:bookmarkStart w:id="543" w:name="_Toc89948931"/>
      <w:bookmarkStart w:id="544" w:name="_Toc98755320"/>
      <w:bookmarkStart w:id="545" w:name="_Toc98762910"/>
      <w:bookmarkStart w:id="546" w:name="_Toc106183839"/>
      <w:r w:rsidRPr="007E346D">
        <w:t>5.2</w:t>
      </w:r>
      <w:r w:rsidRPr="007E346D">
        <w:tab/>
        <w:t>Operating bands</w:t>
      </w:r>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p>
    <w:p w14:paraId="22E7907D" w14:textId="60E142E0" w:rsidR="00830DDE" w:rsidRDefault="00830DDE" w:rsidP="00830DDE">
      <w:pPr>
        <w:rPr>
          <w:rFonts w:eastAsia="Yu Mincho"/>
        </w:rPr>
      </w:pPr>
      <w:r>
        <w:rPr>
          <w:rFonts w:eastAsia="Yu Mincho"/>
        </w:rPr>
        <w:t>NR IAB is designed to operate in the</w:t>
      </w:r>
      <w:r>
        <w:rPr>
          <w:rFonts w:eastAsia="Yu Mincho"/>
          <w:i/>
        </w:rPr>
        <w:t xml:space="preserve"> operating bands</w:t>
      </w:r>
      <w:r>
        <w:rPr>
          <w:rFonts w:eastAsia="Yu Mincho"/>
        </w:rPr>
        <w:t xml:space="preserve"> in FR1 defined in table </w:t>
      </w:r>
      <w:r>
        <w:t>5.2-</w:t>
      </w:r>
      <w:r>
        <w:rPr>
          <w:rFonts w:eastAsia="Yu Mincho"/>
        </w:rPr>
        <w:t xml:space="preserve">1 and </w:t>
      </w:r>
      <w:r>
        <w:t>operating bands in FR2 defined in 38.104</w:t>
      </w:r>
      <w:r w:rsidR="002D7F30">
        <w:t xml:space="preserve"> </w:t>
      </w:r>
      <w:r>
        <w:t>[2].</w:t>
      </w:r>
    </w:p>
    <w:p w14:paraId="7DF05D6C" w14:textId="77777777" w:rsidR="005B2158" w:rsidRDefault="005B2158" w:rsidP="005B2158">
      <w:pPr>
        <w:pStyle w:val="TH"/>
        <w:rPr>
          <w:rFonts w:eastAsia="SimSun"/>
          <w:lang w:eastAsia="zh-CN"/>
        </w:rPr>
      </w:pPr>
      <w:r>
        <w:t xml:space="preserve">Table 5.2-1 NR IAB </w:t>
      </w:r>
      <w:r>
        <w:rPr>
          <w:i/>
        </w:rPr>
        <w:t>operating bands</w:t>
      </w:r>
      <w:r>
        <w:t xml:space="preserve"> 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7"/>
        <w:gridCol w:w="2607"/>
        <w:gridCol w:w="2806"/>
        <w:gridCol w:w="1286"/>
      </w:tblGrid>
      <w:tr w:rsidR="005B2158" w14:paraId="1E609973" w14:textId="77777777" w:rsidTr="002417CA">
        <w:trPr>
          <w:trHeight w:val="704"/>
          <w:jc w:val="center"/>
        </w:trPr>
        <w:tc>
          <w:tcPr>
            <w:tcW w:w="1037" w:type="dxa"/>
            <w:tcBorders>
              <w:top w:val="single" w:sz="4" w:space="0" w:color="auto"/>
              <w:left w:val="single" w:sz="4" w:space="0" w:color="auto"/>
              <w:bottom w:val="single" w:sz="4" w:space="0" w:color="auto"/>
              <w:right w:val="single" w:sz="4" w:space="0" w:color="auto"/>
            </w:tcBorders>
            <w:hideMark/>
          </w:tcPr>
          <w:p w14:paraId="093D00F0" w14:textId="77777777" w:rsidR="005B2158" w:rsidRDefault="005B2158" w:rsidP="00AC7434">
            <w:pPr>
              <w:pStyle w:val="TAH"/>
            </w:pPr>
            <w:r>
              <w:t>NR operating band</w:t>
            </w:r>
          </w:p>
        </w:tc>
        <w:tc>
          <w:tcPr>
            <w:tcW w:w="2607" w:type="dxa"/>
            <w:tcBorders>
              <w:top w:val="single" w:sz="4" w:space="0" w:color="auto"/>
              <w:left w:val="single" w:sz="4" w:space="0" w:color="auto"/>
              <w:bottom w:val="single" w:sz="4" w:space="0" w:color="auto"/>
              <w:right w:val="single" w:sz="4" w:space="0" w:color="auto"/>
            </w:tcBorders>
            <w:hideMark/>
          </w:tcPr>
          <w:p w14:paraId="0459A353" w14:textId="77777777" w:rsidR="005B2158" w:rsidRDefault="005B2158" w:rsidP="00AC7434">
            <w:pPr>
              <w:pStyle w:val="TAH"/>
            </w:pPr>
            <w:r>
              <w:t>Uplink (UL) operating band</w:t>
            </w:r>
            <w:r>
              <w:br/>
              <w:t>BS receive / UE transmit</w:t>
            </w:r>
          </w:p>
          <w:p w14:paraId="7DDB5A1A" w14:textId="77777777" w:rsidR="005B2158" w:rsidRDefault="005B2158" w:rsidP="00AC7434">
            <w:pPr>
              <w:pStyle w:val="TAH"/>
            </w:pPr>
            <w:r>
              <w:t>F</w:t>
            </w:r>
            <w:r>
              <w:rPr>
                <w:vertAlign w:val="subscript"/>
              </w:rPr>
              <w:t>UL,low</w:t>
            </w:r>
            <w:r>
              <w:t xml:space="preserve">   –  F</w:t>
            </w:r>
            <w:r>
              <w:rPr>
                <w:vertAlign w:val="subscript"/>
              </w:rPr>
              <w:t>UL,high</w:t>
            </w:r>
          </w:p>
        </w:tc>
        <w:tc>
          <w:tcPr>
            <w:tcW w:w="2806" w:type="dxa"/>
            <w:tcBorders>
              <w:top w:val="single" w:sz="4" w:space="0" w:color="auto"/>
              <w:left w:val="single" w:sz="4" w:space="0" w:color="auto"/>
              <w:bottom w:val="single" w:sz="4" w:space="0" w:color="auto"/>
              <w:right w:val="single" w:sz="4" w:space="0" w:color="auto"/>
            </w:tcBorders>
            <w:hideMark/>
          </w:tcPr>
          <w:p w14:paraId="631C8510" w14:textId="77777777" w:rsidR="005B2158" w:rsidRDefault="005B2158" w:rsidP="00AC7434">
            <w:pPr>
              <w:pStyle w:val="TAH"/>
            </w:pPr>
            <w:r>
              <w:t>Downlink (DL) operating band</w:t>
            </w:r>
            <w:r>
              <w:br/>
              <w:t>BS transmit / UE receive</w:t>
            </w:r>
          </w:p>
          <w:p w14:paraId="5829AD20" w14:textId="77777777" w:rsidR="005B2158" w:rsidRDefault="005B2158" w:rsidP="00AC7434">
            <w:pPr>
              <w:pStyle w:val="TAH"/>
            </w:pPr>
            <w:r>
              <w:t>F</w:t>
            </w:r>
            <w:r>
              <w:rPr>
                <w:vertAlign w:val="subscript"/>
              </w:rPr>
              <w:t>DL,low</w:t>
            </w:r>
            <w:r>
              <w:t xml:space="preserve">   –  F</w:t>
            </w:r>
            <w:r>
              <w:rPr>
                <w:vertAlign w:val="subscript"/>
              </w:rPr>
              <w:t>DL,high</w:t>
            </w:r>
          </w:p>
        </w:tc>
        <w:tc>
          <w:tcPr>
            <w:tcW w:w="1286" w:type="dxa"/>
            <w:tcBorders>
              <w:top w:val="single" w:sz="4" w:space="0" w:color="auto"/>
              <w:left w:val="single" w:sz="4" w:space="0" w:color="auto"/>
              <w:bottom w:val="single" w:sz="4" w:space="0" w:color="auto"/>
              <w:right w:val="single" w:sz="4" w:space="0" w:color="auto"/>
            </w:tcBorders>
            <w:hideMark/>
          </w:tcPr>
          <w:p w14:paraId="51E37732" w14:textId="77777777" w:rsidR="005B2158" w:rsidRDefault="005B2158" w:rsidP="00AC7434">
            <w:pPr>
              <w:pStyle w:val="TAH"/>
            </w:pPr>
            <w:r>
              <w:t>Duplex Mode</w:t>
            </w:r>
          </w:p>
        </w:tc>
      </w:tr>
      <w:tr w:rsidR="00137E92" w14:paraId="5507ACC6" w14:textId="77777777" w:rsidTr="002417CA">
        <w:trPr>
          <w:jc w:val="center"/>
        </w:trPr>
        <w:tc>
          <w:tcPr>
            <w:tcW w:w="1037" w:type="dxa"/>
            <w:tcBorders>
              <w:top w:val="single" w:sz="4" w:space="0" w:color="auto"/>
              <w:left w:val="single" w:sz="4" w:space="0" w:color="auto"/>
              <w:bottom w:val="single" w:sz="4" w:space="0" w:color="auto"/>
              <w:right w:val="single" w:sz="4" w:space="0" w:color="auto"/>
            </w:tcBorders>
            <w:hideMark/>
          </w:tcPr>
          <w:p w14:paraId="7AEB93E9" w14:textId="77777777" w:rsidR="00137E92" w:rsidRDefault="00137E92" w:rsidP="00137E92">
            <w:pPr>
              <w:pStyle w:val="TAC"/>
            </w:pPr>
            <w:r>
              <w:t>n41</w:t>
            </w:r>
          </w:p>
        </w:tc>
        <w:tc>
          <w:tcPr>
            <w:tcW w:w="2607" w:type="dxa"/>
            <w:tcBorders>
              <w:top w:val="single" w:sz="4" w:space="0" w:color="auto"/>
              <w:left w:val="single" w:sz="4" w:space="0" w:color="auto"/>
              <w:bottom w:val="single" w:sz="4" w:space="0" w:color="auto"/>
              <w:right w:val="single" w:sz="4" w:space="0" w:color="auto"/>
            </w:tcBorders>
            <w:hideMark/>
          </w:tcPr>
          <w:p w14:paraId="3A964842" w14:textId="6260C0CF" w:rsidR="00137E92" w:rsidRDefault="00137E92" w:rsidP="00137E92">
            <w:pPr>
              <w:pStyle w:val="TAC"/>
            </w:pPr>
            <w:r>
              <w:t>2496 MHz – 2690 MHz</w:t>
            </w:r>
          </w:p>
        </w:tc>
        <w:tc>
          <w:tcPr>
            <w:tcW w:w="2806" w:type="dxa"/>
            <w:tcBorders>
              <w:top w:val="single" w:sz="4" w:space="0" w:color="auto"/>
              <w:left w:val="single" w:sz="4" w:space="0" w:color="auto"/>
              <w:bottom w:val="single" w:sz="4" w:space="0" w:color="auto"/>
              <w:right w:val="single" w:sz="4" w:space="0" w:color="auto"/>
            </w:tcBorders>
            <w:hideMark/>
          </w:tcPr>
          <w:p w14:paraId="325ED422" w14:textId="34D1C255" w:rsidR="00137E92" w:rsidRDefault="00137E92" w:rsidP="00137E92">
            <w:pPr>
              <w:pStyle w:val="TAC"/>
            </w:pPr>
            <w:r>
              <w:t>2496 MHz – 2690 MHz</w:t>
            </w:r>
          </w:p>
        </w:tc>
        <w:tc>
          <w:tcPr>
            <w:tcW w:w="1286" w:type="dxa"/>
            <w:tcBorders>
              <w:top w:val="single" w:sz="4" w:space="0" w:color="auto"/>
              <w:left w:val="single" w:sz="4" w:space="0" w:color="auto"/>
              <w:bottom w:val="single" w:sz="4" w:space="0" w:color="auto"/>
              <w:right w:val="single" w:sz="4" w:space="0" w:color="auto"/>
            </w:tcBorders>
            <w:hideMark/>
          </w:tcPr>
          <w:p w14:paraId="7AFCF31E" w14:textId="77777777" w:rsidR="00137E92" w:rsidRDefault="00137E92" w:rsidP="00137E92">
            <w:pPr>
              <w:pStyle w:val="TAC"/>
            </w:pPr>
            <w:r>
              <w:t>TDD</w:t>
            </w:r>
          </w:p>
        </w:tc>
      </w:tr>
      <w:tr w:rsidR="005B2158" w14:paraId="7A51F410" w14:textId="77777777" w:rsidTr="002417CA">
        <w:trPr>
          <w:jc w:val="center"/>
        </w:trPr>
        <w:tc>
          <w:tcPr>
            <w:tcW w:w="1037" w:type="dxa"/>
            <w:tcBorders>
              <w:top w:val="single" w:sz="4" w:space="0" w:color="auto"/>
              <w:left w:val="single" w:sz="4" w:space="0" w:color="auto"/>
              <w:bottom w:val="single" w:sz="4" w:space="0" w:color="auto"/>
              <w:right w:val="single" w:sz="4" w:space="0" w:color="auto"/>
            </w:tcBorders>
          </w:tcPr>
          <w:p w14:paraId="227C10E8" w14:textId="77777777" w:rsidR="005B2158" w:rsidRDefault="005B2158" w:rsidP="00AC7434">
            <w:pPr>
              <w:pStyle w:val="TAC"/>
            </w:pPr>
            <w:r>
              <w:t>n77</w:t>
            </w:r>
          </w:p>
        </w:tc>
        <w:tc>
          <w:tcPr>
            <w:tcW w:w="2607" w:type="dxa"/>
            <w:tcBorders>
              <w:top w:val="single" w:sz="4" w:space="0" w:color="auto"/>
              <w:left w:val="single" w:sz="4" w:space="0" w:color="auto"/>
              <w:bottom w:val="single" w:sz="4" w:space="0" w:color="auto"/>
              <w:right w:val="single" w:sz="4" w:space="0" w:color="auto"/>
            </w:tcBorders>
          </w:tcPr>
          <w:p w14:paraId="0CA15A1E" w14:textId="77777777" w:rsidR="005B2158" w:rsidRDefault="005B2158" w:rsidP="00AC7434">
            <w:pPr>
              <w:pStyle w:val="TAC"/>
            </w:pPr>
            <w:r w:rsidRPr="00D25DB4">
              <w:t>3300 MHz – 4200 MHz</w:t>
            </w:r>
          </w:p>
        </w:tc>
        <w:tc>
          <w:tcPr>
            <w:tcW w:w="2806" w:type="dxa"/>
            <w:tcBorders>
              <w:top w:val="single" w:sz="4" w:space="0" w:color="auto"/>
              <w:left w:val="single" w:sz="4" w:space="0" w:color="auto"/>
              <w:bottom w:val="single" w:sz="4" w:space="0" w:color="auto"/>
              <w:right w:val="single" w:sz="4" w:space="0" w:color="auto"/>
            </w:tcBorders>
          </w:tcPr>
          <w:p w14:paraId="250AEF77" w14:textId="77777777" w:rsidR="005B2158" w:rsidRDefault="005B2158" w:rsidP="00AC7434">
            <w:pPr>
              <w:pStyle w:val="TAC"/>
            </w:pPr>
            <w:r w:rsidRPr="00D25DB4">
              <w:t>3300 MHz – 4200 MHz</w:t>
            </w:r>
          </w:p>
        </w:tc>
        <w:tc>
          <w:tcPr>
            <w:tcW w:w="1286" w:type="dxa"/>
            <w:tcBorders>
              <w:top w:val="single" w:sz="4" w:space="0" w:color="auto"/>
              <w:left w:val="single" w:sz="4" w:space="0" w:color="auto"/>
              <w:bottom w:val="single" w:sz="4" w:space="0" w:color="auto"/>
              <w:right w:val="single" w:sz="4" w:space="0" w:color="auto"/>
            </w:tcBorders>
          </w:tcPr>
          <w:p w14:paraId="2F917568" w14:textId="77777777" w:rsidR="005B2158" w:rsidRDefault="005B2158" w:rsidP="00AC7434">
            <w:pPr>
              <w:pStyle w:val="TAC"/>
            </w:pPr>
            <w:r>
              <w:t>TDD</w:t>
            </w:r>
          </w:p>
        </w:tc>
      </w:tr>
      <w:tr w:rsidR="005B2158" w14:paraId="355E81E7" w14:textId="77777777" w:rsidTr="002417CA">
        <w:trPr>
          <w:jc w:val="center"/>
        </w:trPr>
        <w:tc>
          <w:tcPr>
            <w:tcW w:w="1037" w:type="dxa"/>
            <w:tcBorders>
              <w:top w:val="single" w:sz="4" w:space="0" w:color="auto"/>
              <w:left w:val="single" w:sz="4" w:space="0" w:color="auto"/>
              <w:bottom w:val="single" w:sz="4" w:space="0" w:color="auto"/>
              <w:right w:val="single" w:sz="4" w:space="0" w:color="auto"/>
            </w:tcBorders>
          </w:tcPr>
          <w:p w14:paraId="350D0F7C" w14:textId="77777777" w:rsidR="005B2158" w:rsidRDefault="005B2158" w:rsidP="00AC7434">
            <w:pPr>
              <w:pStyle w:val="TAC"/>
            </w:pPr>
            <w:r>
              <w:t>n78</w:t>
            </w:r>
          </w:p>
        </w:tc>
        <w:tc>
          <w:tcPr>
            <w:tcW w:w="2607" w:type="dxa"/>
            <w:tcBorders>
              <w:top w:val="single" w:sz="4" w:space="0" w:color="auto"/>
              <w:left w:val="single" w:sz="4" w:space="0" w:color="auto"/>
              <w:bottom w:val="single" w:sz="4" w:space="0" w:color="auto"/>
              <w:right w:val="single" w:sz="4" w:space="0" w:color="auto"/>
            </w:tcBorders>
          </w:tcPr>
          <w:p w14:paraId="5117E3AF" w14:textId="77777777" w:rsidR="005B2158" w:rsidRDefault="005B2158" w:rsidP="00AC7434">
            <w:pPr>
              <w:pStyle w:val="TAC"/>
            </w:pPr>
            <w:r w:rsidRPr="00D25DB4">
              <w:t>3300 MHz – 3800 MHz</w:t>
            </w:r>
          </w:p>
        </w:tc>
        <w:tc>
          <w:tcPr>
            <w:tcW w:w="2806" w:type="dxa"/>
            <w:tcBorders>
              <w:top w:val="single" w:sz="4" w:space="0" w:color="auto"/>
              <w:left w:val="single" w:sz="4" w:space="0" w:color="auto"/>
              <w:bottom w:val="single" w:sz="4" w:space="0" w:color="auto"/>
              <w:right w:val="single" w:sz="4" w:space="0" w:color="auto"/>
            </w:tcBorders>
          </w:tcPr>
          <w:p w14:paraId="1C869009" w14:textId="77777777" w:rsidR="005B2158" w:rsidRDefault="005B2158" w:rsidP="00AC7434">
            <w:pPr>
              <w:pStyle w:val="TAC"/>
            </w:pPr>
            <w:r w:rsidRPr="00D25DB4">
              <w:t>3300 MHz – 3800 MHz</w:t>
            </w:r>
          </w:p>
        </w:tc>
        <w:tc>
          <w:tcPr>
            <w:tcW w:w="1286" w:type="dxa"/>
            <w:tcBorders>
              <w:top w:val="single" w:sz="4" w:space="0" w:color="auto"/>
              <w:left w:val="single" w:sz="4" w:space="0" w:color="auto"/>
              <w:bottom w:val="single" w:sz="4" w:space="0" w:color="auto"/>
              <w:right w:val="single" w:sz="4" w:space="0" w:color="auto"/>
            </w:tcBorders>
          </w:tcPr>
          <w:p w14:paraId="71506C7A" w14:textId="77777777" w:rsidR="005B2158" w:rsidRDefault="005B2158" w:rsidP="00AC7434">
            <w:pPr>
              <w:pStyle w:val="TAC"/>
            </w:pPr>
            <w:r>
              <w:t>TDD</w:t>
            </w:r>
          </w:p>
        </w:tc>
      </w:tr>
      <w:tr w:rsidR="005B2158" w14:paraId="624AC734" w14:textId="77777777" w:rsidTr="002417CA">
        <w:trPr>
          <w:jc w:val="center"/>
        </w:trPr>
        <w:tc>
          <w:tcPr>
            <w:tcW w:w="1037" w:type="dxa"/>
            <w:tcBorders>
              <w:top w:val="single" w:sz="4" w:space="0" w:color="auto"/>
              <w:left w:val="single" w:sz="4" w:space="0" w:color="auto"/>
              <w:bottom w:val="single" w:sz="4" w:space="0" w:color="auto"/>
              <w:right w:val="single" w:sz="4" w:space="0" w:color="auto"/>
            </w:tcBorders>
            <w:hideMark/>
          </w:tcPr>
          <w:p w14:paraId="05AA3EE2" w14:textId="77777777" w:rsidR="005B2158" w:rsidRDefault="005B2158" w:rsidP="00AC7434">
            <w:pPr>
              <w:pStyle w:val="TAC"/>
            </w:pPr>
            <w:r>
              <w:t>n79</w:t>
            </w:r>
          </w:p>
        </w:tc>
        <w:tc>
          <w:tcPr>
            <w:tcW w:w="2607" w:type="dxa"/>
            <w:tcBorders>
              <w:top w:val="single" w:sz="4" w:space="0" w:color="auto"/>
              <w:left w:val="single" w:sz="4" w:space="0" w:color="auto"/>
              <w:bottom w:val="single" w:sz="4" w:space="0" w:color="auto"/>
              <w:right w:val="single" w:sz="4" w:space="0" w:color="auto"/>
            </w:tcBorders>
            <w:hideMark/>
          </w:tcPr>
          <w:p w14:paraId="6F3B0DE9" w14:textId="77777777" w:rsidR="005B2158" w:rsidRDefault="005B2158" w:rsidP="00AC7434">
            <w:pPr>
              <w:pStyle w:val="TAC"/>
            </w:pPr>
            <w:r>
              <w:t>4400 MHz – 5000 MHz</w:t>
            </w:r>
          </w:p>
        </w:tc>
        <w:tc>
          <w:tcPr>
            <w:tcW w:w="2806" w:type="dxa"/>
            <w:tcBorders>
              <w:top w:val="single" w:sz="4" w:space="0" w:color="auto"/>
              <w:left w:val="single" w:sz="4" w:space="0" w:color="auto"/>
              <w:bottom w:val="single" w:sz="4" w:space="0" w:color="auto"/>
              <w:right w:val="single" w:sz="4" w:space="0" w:color="auto"/>
            </w:tcBorders>
            <w:hideMark/>
          </w:tcPr>
          <w:p w14:paraId="47918B1F" w14:textId="77777777" w:rsidR="005B2158" w:rsidRDefault="005B2158" w:rsidP="00AC7434">
            <w:pPr>
              <w:pStyle w:val="TAC"/>
            </w:pPr>
            <w:r>
              <w:t>4400 MHz – 5000 MHz</w:t>
            </w:r>
          </w:p>
        </w:tc>
        <w:tc>
          <w:tcPr>
            <w:tcW w:w="1286" w:type="dxa"/>
            <w:tcBorders>
              <w:top w:val="single" w:sz="4" w:space="0" w:color="auto"/>
              <w:left w:val="single" w:sz="4" w:space="0" w:color="auto"/>
              <w:bottom w:val="single" w:sz="4" w:space="0" w:color="auto"/>
              <w:right w:val="single" w:sz="4" w:space="0" w:color="auto"/>
            </w:tcBorders>
            <w:hideMark/>
          </w:tcPr>
          <w:p w14:paraId="3592F842" w14:textId="77777777" w:rsidR="005B2158" w:rsidRDefault="005B2158" w:rsidP="00AC7434">
            <w:pPr>
              <w:pStyle w:val="TAC"/>
            </w:pPr>
            <w:r>
              <w:t>TDD</w:t>
            </w:r>
          </w:p>
        </w:tc>
      </w:tr>
    </w:tbl>
    <w:p w14:paraId="0C1ABA86" w14:textId="77777777" w:rsidR="00B35DDD" w:rsidRPr="00BA358F" w:rsidRDefault="00B35DDD" w:rsidP="00B35DDD">
      <w:pPr>
        <w:rPr>
          <w:lang w:eastAsia="zh-CN"/>
        </w:rPr>
      </w:pPr>
    </w:p>
    <w:p w14:paraId="2C0A08A8" w14:textId="77777777" w:rsidR="00077B6E" w:rsidRDefault="00077B6E" w:rsidP="004C7013">
      <w:pPr>
        <w:pStyle w:val="Heading2"/>
      </w:pPr>
      <w:bookmarkStart w:id="547" w:name="_Toc13080136"/>
      <w:bookmarkStart w:id="548" w:name="_Toc18916161"/>
      <w:bookmarkStart w:id="549" w:name="_Toc53185294"/>
      <w:bookmarkStart w:id="550" w:name="_Toc53185670"/>
      <w:bookmarkStart w:id="551" w:name="_Toc57820145"/>
      <w:bookmarkStart w:id="552" w:name="_Toc57821072"/>
      <w:bookmarkStart w:id="553" w:name="_Toc61183348"/>
      <w:bookmarkStart w:id="554" w:name="_Toc61183742"/>
      <w:bookmarkStart w:id="555" w:name="_Toc61184134"/>
      <w:bookmarkStart w:id="556" w:name="_Toc61184526"/>
      <w:bookmarkStart w:id="557" w:name="_Toc61184916"/>
      <w:bookmarkStart w:id="558" w:name="_Toc66386259"/>
      <w:bookmarkStart w:id="559" w:name="_Toc74583100"/>
      <w:bookmarkStart w:id="560" w:name="_Toc76541913"/>
      <w:bookmarkStart w:id="561" w:name="_Toc82449895"/>
      <w:bookmarkStart w:id="562" w:name="_Toc82450543"/>
      <w:bookmarkStart w:id="563" w:name="_Toc89948932"/>
      <w:bookmarkStart w:id="564" w:name="_Toc98755321"/>
      <w:bookmarkStart w:id="565" w:name="_Toc98762911"/>
      <w:bookmarkStart w:id="566" w:name="_Toc106183840"/>
      <w:r w:rsidRPr="007E346D">
        <w:t>5.3</w:t>
      </w:r>
      <w:r w:rsidRPr="007E346D">
        <w:tab/>
      </w:r>
      <w:r w:rsidR="0004701B">
        <w:rPr>
          <w:rFonts w:eastAsiaTheme="minorEastAsia" w:hint="eastAsia"/>
          <w:lang w:eastAsia="zh-CN"/>
        </w:rPr>
        <w:t>C</w:t>
      </w:r>
      <w:r w:rsidRPr="007E346D">
        <w:t>hannel bandwidth</w:t>
      </w:r>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23F3CAC4" w14:textId="77777777" w:rsidR="004C12F8" w:rsidRDefault="004C12F8" w:rsidP="004C12F8">
      <w:pPr>
        <w:pStyle w:val="Heading3"/>
        <w:rPr>
          <w:rFonts w:eastAsia="SimSun"/>
        </w:rPr>
      </w:pPr>
      <w:bookmarkStart w:id="567" w:name="_Toc21127427"/>
      <w:bookmarkStart w:id="568" w:name="_Toc29811633"/>
      <w:bookmarkStart w:id="569" w:name="_Toc53185295"/>
      <w:bookmarkStart w:id="570" w:name="_Toc53185671"/>
      <w:bookmarkStart w:id="571" w:name="_Toc57820146"/>
      <w:bookmarkStart w:id="572" w:name="_Toc57821073"/>
      <w:bookmarkStart w:id="573" w:name="_Toc61183349"/>
      <w:bookmarkStart w:id="574" w:name="_Toc61183743"/>
      <w:bookmarkStart w:id="575" w:name="_Toc61184135"/>
      <w:bookmarkStart w:id="576" w:name="_Toc61184527"/>
      <w:bookmarkStart w:id="577" w:name="_Toc61184917"/>
      <w:bookmarkStart w:id="578" w:name="_Toc66386260"/>
      <w:bookmarkStart w:id="579" w:name="_Toc74583101"/>
      <w:bookmarkStart w:id="580" w:name="_Toc76541914"/>
      <w:bookmarkStart w:id="581" w:name="_Toc82449896"/>
      <w:bookmarkStart w:id="582" w:name="_Toc82450544"/>
      <w:bookmarkStart w:id="583" w:name="_Toc89948933"/>
      <w:bookmarkStart w:id="584" w:name="_Toc98755322"/>
      <w:bookmarkStart w:id="585" w:name="_Toc98762912"/>
      <w:bookmarkStart w:id="586" w:name="_Toc106183841"/>
      <w:bookmarkStart w:id="587" w:name="_Toc13080145"/>
      <w:bookmarkStart w:id="588" w:name="_Toc18916162"/>
      <w:r w:rsidRPr="00E26D09">
        <w:rPr>
          <w:rFonts w:eastAsia="SimSun"/>
        </w:rPr>
        <w:t>5.3.1</w:t>
      </w:r>
      <w:r w:rsidRPr="00E26D09">
        <w:rPr>
          <w:rFonts w:eastAsia="SimSun"/>
        </w:rPr>
        <w:tab/>
        <w:t>General</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p>
    <w:p w14:paraId="3F782649" w14:textId="77777777" w:rsidR="00137E92" w:rsidRPr="002D7F30" w:rsidRDefault="00137E92" w:rsidP="00137E92">
      <w:pPr>
        <w:rPr>
          <w:rFonts w:eastAsia="SimSun"/>
        </w:rPr>
      </w:pPr>
      <w:r w:rsidRPr="002D7F30">
        <w:rPr>
          <w:rFonts w:eastAsia="SimSun"/>
        </w:rPr>
        <w:t xml:space="preserve">The </w:t>
      </w:r>
      <w:r w:rsidRPr="00D9220E">
        <w:rPr>
          <w:rFonts w:eastAsia="SimSun"/>
          <w:kern w:val="2"/>
        </w:rPr>
        <w:t>IAB-DU channel bandwidth</w:t>
      </w:r>
      <w:r w:rsidRPr="002D7F30">
        <w:rPr>
          <w:rFonts w:eastAsia="SimSun"/>
        </w:rPr>
        <w:t xml:space="preserve"> supports a single NR RF carrier in the uplink or downlink at the IAB node. Different </w:t>
      </w:r>
      <w:r w:rsidRPr="00D9220E">
        <w:rPr>
          <w:rFonts w:eastAsia="SimSun"/>
          <w:kern w:val="2"/>
        </w:rPr>
        <w:t>UE or IAB-MT channel bandwidths</w:t>
      </w:r>
      <w:r w:rsidRPr="002D7F30">
        <w:rPr>
          <w:rFonts w:eastAsia="SimSun"/>
        </w:rPr>
        <w:t xml:space="preserve"> may be supported within the same spectrum for transmitting to and receiving from UEs or IAB-MT connected to the</w:t>
      </w:r>
      <w:r w:rsidRPr="00D9220E">
        <w:rPr>
          <w:rFonts w:eastAsia="SimSun"/>
        </w:rPr>
        <w:t xml:space="preserve"> IAB-DU. The placement of the </w:t>
      </w:r>
      <w:r w:rsidRPr="00D9220E">
        <w:rPr>
          <w:rFonts w:eastAsia="SimSun"/>
          <w:kern w:val="2"/>
        </w:rPr>
        <w:t>UE or IAB-MT channel bandwidth</w:t>
      </w:r>
      <w:r w:rsidRPr="002D7F30">
        <w:rPr>
          <w:rFonts w:eastAsia="SimSun"/>
        </w:rPr>
        <w:t xml:space="preserve"> is flexible but can only be completely within the </w:t>
      </w:r>
      <w:r w:rsidRPr="00D9220E">
        <w:rPr>
          <w:rFonts w:eastAsia="SimSun"/>
          <w:kern w:val="2"/>
        </w:rPr>
        <w:t>IAB-DU channel bandwidth</w:t>
      </w:r>
      <w:r w:rsidRPr="002D7F30">
        <w:rPr>
          <w:rFonts w:eastAsia="SimSun"/>
        </w:rPr>
        <w:t>.</w:t>
      </w:r>
      <w:r w:rsidRPr="002D7F30">
        <w:t xml:space="preserve"> T</w:t>
      </w:r>
      <w:r w:rsidRPr="00D9220E">
        <w:t xml:space="preserve">he IAB-DU shall be able to transmit to and/or receive from one or more UE </w:t>
      </w:r>
      <w:r w:rsidRPr="002D7F30">
        <w:t>or IAB-MT Bandwidth parts that are smaller than or equal to the number of carrier resource blocks on the RF carrier, in any part of the carrier resource blocks.</w:t>
      </w:r>
    </w:p>
    <w:p w14:paraId="7F618D57" w14:textId="6E18F764" w:rsidR="00137E92" w:rsidRPr="002D7F30" w:rsidRDefault="00137E92" w:rsidP="00137E92">
      <w:pPr>
        <w:rPr>
          <w:rFonts w:eastAsia="Yu Mincho"/>
        </w:rPr>
      </w:pPr>
      <w:r w:rsidRPr="002D7F30">
        <w:rPr>
          <w:rFonts w:eastAsia="Yu Mincho"/>
        </w:rPr>
        <w:t>The IAB-MT channel bandwidth supports a single NR RF carrier in the uplink or downlink at the IAB-MT. From a BS or IAB-DU perspective, different IAB-MT channel bandwidths may be supported within the same spectrum for transmitting to and receiving from UEs or IAB-MT connected to the IAB-DU. Transmission of multiple carriers to the same IAB-MT (CA) or multiple carriers to different UEs or IAB-MT within the IAB-DU channel bandwidth can be supported.</w:t>
      </w:r>
    </w:p>
    <w:p w14:paraId="5C78461A" w14:textId="77777777" w:rsidR="00137E92" w:rsidRPr="002D7F30" w:rsidRDefault="00137E92" w:rsidP="00137E92">
      <w:pPr>
        <w:rPr>
          <w:rFonts w:eastAsia="Yu Mincho"/>
        </w:rPr>
      </w:pPr>
      <w:r w:rsidRPr="002D7F30">
        <w:rPr>
          <w:rFonts w:eastAsia="Yu Mincho"/>
        </w:rPr>
        <w:lastRenderedPageBreak/>
        <w:t>From a IAB-MT perspective, the IAB-MT is configured with one or more BWP / carriers, each with its own IAB-MT</w:t>
      </w:r>
      <w:r>
        <w:rPr>
          <w:rFonts w:eastAsia="Yu Mincho"/>
        </w:rPr>
        <w:t xml:space="preserve"> </w:t>
      </w:r>
      <w:r w:rsidRPr="00313BE9">
        <w:rPr>
          <w:rFonts w:eastAsia="Yu Mincho"/>
        </w:rPr>
        <w:t>channel bandwidth. The IAB-MT does not need to be aware of the BS or IAB-DU channel bandwidth or how the BS or IAB-DU allocates bandwidth to different UEs or IAB-MT.</w:t>
      </w:r>
    </w:p>
    <w:p w14:paraId="0D264B42" w14:textId="4ED7A03A" w:rsidR="00137E92" w:rsidRPr="002D7F30" w:rsidRDefault="00137E92" w:rsidP="00137E92">
      <w:pPr>
        <w:rPr>
          <w:rFonts w:eastAsia="Yu Mincho"/>
        </w:rPr>
      </w:pPr>
      <w:r w:rsidRPr="002D7F30">
        <w:rPr>
          <w:rFonts w:eastAsia="Yu Mincho"/>
        </w:rPr>
        <w:t xml:space="preserve">The placement of the IAB-MT channel bandwidth for each IAB-MT carrier is flexible but can only be completely within the </w:t>
      </w:r>
      <w:r w:rsidRPr="00E711DE">
        <w:rPr>
          <w:rFonts w:hint="eastAsia"/>
          <w:lang w:eastAsia="zh-CN"/>
        </w:rPr>
        <w:t xml:space="preserve"> </w:t>
      </w:r>
      <w:r>
        <w:rPr>
          <w:rFonts w:hint="eastAsia"/>
          <w:lang w:eastAsia="zh-CN"/>
        </w:rPr>
        <w:t>IAB-donor</w:t>
      </w:r>
      <w:r w:rsidRPr="002D7F30">
        <w:rPr>
          <w:rFonts w:eastAsia="Yu Mincho"/>
        </w:rPr>
        <w:t xml:space="preserve"> or IAB-DU channel bandwidth.</w:t>
      </w:r>
    </w:p>
    <w:p w14:paraId="1121E777" w14:textId="77777777" w:rsidR="00137E92" w:rsidRPr="002D7F30" w:rsidRDefault="00137E92" w:rsidP="00137E92">
      <w:pPr>
        <w:rPr>
          <w:rFonts w:eastAsia="Yu Mincho"/>
        </w:rPr>
      </w:pPr>
      <w:r w:rsidRPr="002D7F30">
        <w:rPr>
          <w:rFonts w:eastAsia="Yu Mincho"/>
        </w:rPr>
        <w:t>The relationship between the IAB-DU or IAB-MT channel bandwidth, the guardband and the transmission bandwidth configuration is shown in Figure 5.3.1-1.</w:t>
      </w:r>
    </w:p>
    <w:p w14:paraId="46750A25" w14:textId="77777777" w:rsidR="004C12F8" w:rsidRPr="002D7F30" w:rsidRDefault="004C12F8" w:rsidP="004C12F8">
      <w:pPr>
        <w:rPr>
          <w:rFonts w:eastAsia="Yu Mincho"/>
        </w:rPr>
      </w:pPr>
    </w:p>
    <w:p w14:paraId="5A81588B" w14:textId="77777777" w:rsidR="004C12F8" w:rsidRPr="002D7F30" w:rsidRDefault="004C12F8" w:rsidP="009D1F1D">
      <w:pPr>
        <w:pStyle w:val="TH"/>
        <w:rPr>
          <w:rFonts w:eastAsia="Yu Mincho"/>
        </w:rPr>
      </w:pPr>
      <w:r w:rsidRPr="002D7F30">
        <w:rPr>
          <w:rFonts w:eastAsiaTheme="minorEastAsia"/>
        </w:rPr>
        <w:object w:dxaOrig="6637" w:dyaOrig="3282" w14:anchorId="573B95EF">
          <v:shape id="_x0000_i1029" type="#_x0000_t75" style="width:6in;height:3in;mso-position-horizontal-relative:page;mso-position-vertical-relative:page" o:ole="">
            <v:imagedata r:id="rId22" o:title=""/>
          </v:shape>
          <o:OLEObject Type="Embed" ProgID="Equation.3" ShapeID="_x0000_i1029" DrawAspect="Content" ObjectID="_1734764411" r:id="rId23"/>
        </w:object>
      </w:r>
      <w:r w:rsidRPr="002D7F30">
        <w:rPr>
          <w:rFonts w:eastAsia="Yu Mincho"/>
        </w:rPr>
        <w:t>.</w:t>
      </w:r>
    </w:p>
    <w:p w14:paraId="2F2EC163" w14:textId="77777777" w:rsidR="004C12F8" w:rsidRPr="002D7F30" w:rsidRDefault="004C12F8" w:rsidP="009D1F1D">
      <w:pPr>
        <w:pStyle w:val="TF"/>
        <w:rPr>
          <w:rFonts w:eastAsiaTheme="minorEastAsia"/>
        </w:rPr>
      </w:pPr>
      <w:r w:rsidRPr="002D7F30">
        <w:rPr>
          <w:rFonts w:eastAsiaTheme="minorEastAsia"/>
        </w:rPr>
        <w:t>Figure 5.3.1-1: Definition of channel bandwidth and transmission bandwidth configuration for one NR channel</w:t>
      </w:r>
    </w:p>
    <w:p w14:paraId="2FBDB43B" w14:textId="77777777" w:rsidR="004C12F8" w:rsidRDefault="004C12F8" w:rsidP="004C12F8"/>
    <w:p w14:paraId="1BB7F6EE" w14:textId="77777777" w:rsidR="004C12F8" w:rsidRDefault="004C12F8" w:rsidP="004C12F8">
      <w:pPr>
        <w:pStyle w:val="Heading3"/>
        <w:rPr>
          <w:rFonts w:eastAsia="Yu Mincho"/>
        </w:rPr>
      </w:pPr>
      <w:bookmarkStart w:id="589" w:name="_Toc13080138"/>
      <w:bookmarkStart w:id="590" w:name="_Toc53185296"/>
      <w:bookmarkStart w:id="591" w:name="_Toc53185672"/>
      <w:bookmarkStart w:id="592" w:name="_Toc57820147"/>
      <w:bookmarkStart w:id="593" w:name="_Toc57821074"/>
      <w:bookmarkStart w:id="594" w:name="_Toc61183350"/>
      <w:bookmarkStart w:id="595" w:name="_Toc61183744"/>
      <w:bookmarkStart w:id="596" w:name="_Toc61184136"/>
      <w:bookmarkStart w:id="597" w:name="_Toc61184528"/>
      <w:bookmarkStart w:id="598" w:name="_Toc61184918"/>
      <w:bookmarkStart w:id="599" w:name="_Toc66386261"/>
      <w:bookmarkStart w:id="600" w:name="_Toc74583102"/>
      <w:bookmarkStart w:id="601" w:name="_Toc76541915"/>
      <w:bookmarkStart w:id="602" w:name="_Toc82449897"/>
      <w:bookmarkStart w:id="603" w:name="_Toc82450545"/>
      <w:bookmarkStart w:id="604" w:name="_Toc89948934"/>
      <w:bookmarkStart w:id="605" w:name="_Toc98755323"/>
      <w:bookmarkStart w:id="606" w:name="_Toc98762913"/>
      <w:bookmarkStart w:id="607" w:name="_Toc106183842"/>
      <w:r w:rsidRPr="007E346D">
        <w:rPr>
          <w:rFonts w:eastAsia="Yu Mincho"/>
        </w:rPr>
        <w:t>5.3.2</w:t>
      </w:r>
      <w:r w:rsidRPr="007E346D">
        <w:rPr>
          <w:rFonts w:eastAsia="Yu Mincho"/>
        </w:rPr>
        <w:tab/>
        <w:t>Transmission bandwidth configuration</w:t>
      </w:r>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p>
    <w:p w14:paraId="7B88C47A" w14:textId="77777777" w:rsidR="004C12F8" w:rsidRDefault="004C12F8" w:rsidP="004C12F8">
      <w:pPr>
        <w:rPr>
          <w:rFonts w:eastAsia="Yu Mincho"/>
        </w:rPr>
      </w:pPr>
      <w:r>
        <w:rPr>
          <w:rFonts w:eastAsia="Yu Mincho"/>
        </w:rPr>
        <w:t>For IAB-DU, the transmission bandwidth configuration is the same as specified for BS in TS 38.104 [2], subclause 5.3.2.</w:t>
      </w:r>
    </w:p>
    <w:p w14:paraId="48E6691E" w14:textId="4FC0A9C2" w:rsidR="004C12F8" w:rsidRPr="00A26F22" w:rsidRDefault="004C12F8" w:rsidP="004C12F8">
      <w:pPr>
        <w:rPr>
          <w:rFonts w:eastAsia="Yu Mincho"/>
        </w:rPr>
      </w:pPr>
      <w:r>
        <w:rPr>
          <w:rFonts w:eastAsia="Yu Mincho"/>
        </w:rPr>
        <w:t>For IAB-MT, the transmission bandwidth configuration is the same as specified for UE in TS 38.101-1</w:t>
      </w:r>
      <w:r w:rsidR="00ED70DB">
        <w:rPr>
          <w:rFonts w:eastAsia="Yu Mincho"/>
        </w:rPr>
        <w:t xml:space="preserve"> [3]</w:t>
      </w:r>
      <w:r>
        <w:rPr>
          <w:rFonts w:eastAsia="Yu Mincho"/>
        </w:rPr>
        <w:t xml:space="preserve"> for FR1 in subclause 5.3.2 and in TS 38.101-2 [4] for FR2 in subclause 5.3.2.</w:t>
      </w:r>
    </w:p>
    <w:p w14:paraId="4A5B73D9" w14:textId="77777777" w:rsidR="004C12F8" w:rsidRPr="007E346D" w:rsidRDefault="004C12F8" w:rsidP="004C12F8">
      <w:pPr>
        <w:pStyle w:val="Heading3"/>
        <w:rPr>
          <w:rFonts w:eastAsia="Yu Mincho"/>
        </w:rPr>
      </w:pPr>
      <w:bookmarkStart w:id="608" w:name="_Toc13080139"/>
      <w:bookmarkStart w:id="609" w:name="_Toc53185297"/>
      <w:bookmarkStart w:id="610" w:name="_Toc53185673"/>
      <w:bookmarkStart w:id="611" w:name="_Toc57820148"/>
      <w:bookmarkStart w:id="612" w:name="_Toc57821075"/>
      <w:bookmarkStart w:id="613" w:name="_Toc61183351"/>
      <w:bookmarkStart w:id="614" w:name="_Toc61183745"/>
      <w:bookmarkStart w:id="615" w:name="_Toc61184137"/>
      <w:bookmarkStart w:id="616" w:name="_Toc61184529"/>
      <w:bookmarkStart w:id="617" w:name="_Toc61184919"/>
      <w:bookmarkStart w:id="618" w:name="_Toc66386262"/>
      <w:bookmarkStart w:id="619" w:name="_Toc74583103"/>
      <w:bookmarkStart w:id="620" w:name="_Toc76541916"/>
      <w:bookmarkStart w:id="621" w:name="_Toc82449898"/>
      <w:bookmarkStart w:id="622" w:name="_Toc82450546"/>
      <w:bookmarkStart w:id="623" w:name="_Toc89948935"/>
      <w:bookmarkStart w:id="624" w:name="_Toc98755324"/>
      <w:bookmarkStart w:id="625" w:name="_Toc98762914"/>
      <w:bookmarkStart w:id="626" w:name="_Toc106183843"/>
      <w:r w:rsidRPr="007E346D">
        <w:rPr>
          <w:rFonts w:eastAsia="Yu Mincho"/>
        </w:rPr>
        <w:t>5.3.3</w:t>
      </w:r>
      <w:r w:rsidRPr="007E346D">
        <w:rPr>
          <w:rFonts w:eastAsia="Yu Mincho"/>
        </w:rPr>
        <w:tab/>
        <w:t>Minimum guardband and transmission bandwidth configuration</w:t>
      </w:r>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p>
    <w:p w14:paraId="3091F96E" w14:textId="77777777" w:rsidR="00137E92" w:rsidRDefault="00137E92" w:rsidP="00137E92">
      <w:pPr>
        <w:rPr>
          <w:rFonts w:eastAsia="Yu Mincho"/>
        </w:rPr>
      </w:pPr>
      <w:bookmarkStart w:id="627" w:name="_Toc13080140"/>
      <w:bookmarkStart w:id="628" w:name="_Toc53185298"/>
      <w:bookmarkStart w:id="629" w:name="_Toc53185674"/>
      <w:bookmarkStart w:id="630" w:name="_Toc13080141"/>
      <w:r>
        <w:rPr>
          <w:rFonts w:eastAsia="Yu Mincho"/>
        </w:rPr>
        <w:t>For IAB-DU, the minimum guardband and transmission bandwidth configuration is the same as specified for BS in TS38.104 [2], subclause 5.3.3.</w:t>
      </w:r>
    </w:p>
    <w:p w14:paraId="6B1AB392" w14:textId="53EB9154" w:rsidR="00137E92" w:rsidRPr="007E346D" w:rsidRDefault="00137E92" w:rsidP="00137E92">
      <w:r>
        <w:rPr>
          <w:rFonts w:eastAsia="Yu Mincho"/>
        </w:rPr>
        <w:t xml:space="preserve">For IAB-MT, the minimum guardband and transmission bandwidth configuration is the same as specified for UE in TS38.101-1 </w:t>
      </w:r>
      <w:r w:rsidR="00ED70DB">
        <w:rPr>
          <w:rFonts w:eastAsia="Yu Mincho"/>
        </w:rPr>
        <w:t>[3]</w:t>
      </w:r>
      <w:r>
        <w:rPr>
          <w:rFonts w:eastAsia="Yu Mincho"/>
        </w:rPr>
        <w:t xml:space="preserve"> for FR1 and in TS 38.101-2 [4] for FR2 in subclause 5.3.3.</w:t>
      </w:r>
    </w:p>
    <w:p w14:paraId="0F9FFD88" w14:textId="77777777" w:rsidR="004C12F8" w:rsidRPr="007E346D" w:rsidRDefault="004C12F8" w:rsidP="004C12F8">
      <w:pPr>
        <w:pStyle w:val="Heading3"/>
        <w:rPr>
          <w:rFonts w:eastAsia="Yu Mincho"/>
        </w:rPr>
      </w:pPr>
      <w:bookmarkStart w:id="631" w:name="_Toc57820149"/>
      <w:bookmarkStart w:id="632" w:name="_Toc57821076"/>
      <w:bookmarkStart w:id="633" w:name="_Toc61183352"/>
      <w:bookmarkStart w:id="634" w:name="_Toc61183746"/>
      <w:bookmarkStart w:id="635" w:name="_Toc61184138"/>
      <w:bookmarkStart w:id="636" w:name="_Toc61184530"/>
      <w:bookmarkStart w:id="637" w:name="_Toc61184920"/>
      <w:bookmarkStart w:id="638" w:name="_Toc66386263"/>
      <w:bookmarkStart w:id="639" w:name="_Toc74583104"/>
      <w:bookmarkStart w:id="640" w:name="_Toc76541917"/>
      <w:bookmarkStart w:id="641" w:name="_Toc82449899"/>
      <w:bookmarkStart w:id="642" w:name="_Toc82450547"/>
      <w:bookmarkStart w:id="643" w:name="_Toc89948936"/>
      <w:bookmarkStart w:id="644" w:name="_Toc98755325"/>
      <w:bookmarkStart w:id="645" w:name="_Toc98762915"/>
      <w:bookmarkStart w:id="646" w:name="_Toc106183844"/>
      <w:r w:rsidRPr="007E346D">
        <w:rPr>
          <w:rFonts w:eastAsia="Yu Mincho"/>
        </w:rPr>
        <w:t>5.3.4</w:t>
      </w:r>
      <w:r w:rsidRPr="007E346D">
        <w:rPr>
          <w:rFonts w:eastAsia="Yu Mincho"/>
        </w:rPr>
        <w:tab/>
        <w:t>RB alignment</w:t>
      </w:r>
      <w:bookmarkEnd w:id="627"/>
      <w:bookmarkEnd w:id="628"/>
      <w:bookmarkEnd w:id="629"/>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p>
    <w:p w14:paraId="07CDF44C" w14:textId="77777777" w:rsidR="004C12F8" w:rsidRPr="007E346D" w:rsidRDefault="004C12F8" w:rsidP="00C60E58">
      <w:r w:rsidRPr="007E346D">
        <w:t xml:space="preserve">For each </w:t>
      </w:r>
      <w:r>
        <w:rPr>
          <w:i/>
        </w:rPr>
        <w:t>IAB-DU</w:t>
      </w:r>
      <w:r w:rsidRPr="007A7019">
        <w:rPr>
          <w:i/>
        </w:rPr>
        <w:t xml:space="preserve"> channel bandwidth</w:t>
      </w:r>
      <w:r w:rsidRPr="007E346D">
        <w:t xml:space="preserve"> and each numerology, </w:t>
      </w:r>
      <w:r>
        <w:rPr>
          <w:i/>
        </w:rPr>
        <w:t xml:space="preserve">IAB-DU </w:t>
      </w:r>
      <w:r w:rsidRPr="00AF4C4D">
        <w:rPr>
          <w:i/>
        </w:rPr>
        <w:t>transmission bandwidth configuration</w:t>
      </w:r>
      <w:r w:rsidRPr="007E346D">
        <w:t xml:space="preserve"> must fulfil the minimum guardband requirement specified in </w:t>
      </w:r>
      <w:r>
        <w:t>clause</w:t>
      </w:r>
      <w:r w:rsidRPr="007E346D">
        <w:t xml:space="preserve"> 5.3.3.</w:t>
      </w:r>
    </w:p>
    <w:p w14:paraId="0321A955" w14:textId="77777777" w:rsidR="004C12F8" w:rsidRPr="007E346D" w:rsidRDefault="004C12F8" w:rsidP="00C60E58">
      <w:r>
        <w:t>For IAB-DU, f</w:t>
      </w:r>
      <w:r w:rsidRPr="007E346D">
        <w:t xml:space="preserve">or each numerology, its common resource blocks are specified in </w:t>
      </w:r>
      <w:r>
        <w:t>clause</w:t>
      </w:r>
      <w:r w:rsidRPr="007E346D">
        <w:t xml:space="preserve"> 4.4.4.3 in [</w:t>
      </w:r>
      <w:r>
        <w:t>7</w:t>
      </w:r>
      <w:r w:rsidRPr="007E346D">
        <w:t xml:space="preserve">], and the starting point of its </w:t>
      </w:r>
      <w:r w:rsidRPr="007A7019">
        <w:rPr>
          <w:i/>
        </w:rPr>
        <w:t>transmission bandwidth configuration</w:t>
      </w:r>
      <w:r w:rsidRPr="007E346D">
        <w:t xml:space="preserve"> on the common resource block grid for a given channel bandwidth is indicated by an offset to “Reference point A” in the unit of the numerology.</w:t>
      </w:r>
    </w:p>
    <w:p w14:paraId="3D69CB51" w14:textId="7E79EFF3" w:rsidR="004C12F8" w:rsidRPr="00E26D09" w:rsidRDefault="004C12F8" w:rsidP="00C60E58">
      <w:r>
        <w:lastRenderedPageBreak/>
        <w:t>For IAB-DU, f</w:t>
      </w:r>
      <w:r w:rsidRPr="00E26D09">
        <w:t xml:space="preserve">or each numerology, all </w:t>
      </w:r>
      <w:r w:rsidRPr="00E26D09">
        <w:rPr>
          <w:i/>
        </w:rPr>
        <w:t>UE</w:t>
      </w:r>
      <w:r>
        <w:rPr>
          <w:i/>
        </w:rPr>
        <w:t xml:space="preserve"> and IAB-MT</w:t>
      </w:r>
      <w:r w:rsidRPr="00E26D09">
        <w:rPr>
          <w:i/>
        </w:rPr>
        <w:t xml:space="preserve"> transmission bandwidth configurations</w:t>
      </w:r>
      <w:r w:rsidRPr="00E26D09">
        <w:t xml:space="preserve"> indicated to UEs</w:t>
      </w:r>
      <w:r>
        <w:t xml:space="preserve"> or IAB-MT</w:t>
      </w:r>
      <w:r w:rsidRPr="00E26D09">
        <w:t xml:space="preserve"> served by the </w:t>
      </w:r>
      <w:r>
        <w:t>IAB-DU</w:t>
      </w:r>
      <w:r w:rsidRPr="00E26D09">
        <w:t xml:space="preserve"> by higher layer parameter </w:t>
      </w:r>
      <w:r w:rsidRPr="00E26D09">
        <w:rPr>
          <w:i/>
        </w:rPr>
        <w:t>carrierBandwidth</w:t>
      </w:r>
      <w:r w:rsidRPr="00E26D09">
        <w:t xml:space="preserve"> defined in TS 38.331 [</w:t>
      </w:r>
      <w:r w:rsidR="00AD6ECE">
        <w:t>15</w:t>
      </w:r>
      <w:r w:rsidRPr="00E26D09">
        <w:t xml:space="preserve">] shall fall within the </w:t>
      </w:r>
      <w:r>
        <w:rPr>
          <w:i/>
        </w:rPr>
        <w:t xml:space="preserve">IAB-DU </w:t>
      </w:r>
      <w:r w:rsidRPr="00E26D09">
        <w:rPr>
          <w:i/>
        </w:rPr>
        <w:t>transmission bandwidth configuration</w:t>
      </w:r>
      <w:r w:rsidRPr="00E26D09">
        <w:t>.</w:t>
      </w:r>
    </w:p>
    <w:p w14:paraId="787640DF" w14:textId="412AB64C" w:rsidR="00137E92" w:rsidRPr="007E346D" w:rsidRDefault="00137E92" w:rsidP="00137E92">
      <w:bookmarkStart w:id="647" w:name="_Toc53185299"/>
      <w:bookmarkStart w:id="648" w:name="_Toc53185675"/>
      <w:bookmarkEnd w:id="630"/>
      <w:r w:rsidRPr="000B525F">
        <w:t xml:space="preserve">For IAB-MT, the </w:t>
      </w:r>
      <w:r>
        <w:t>RB alignment</w:t>
      </w:r>
      <w:r w:rsidRPr="000B525F">
        <w:t xml:space="preserve"> is </w:t>
      </w:r>
      <w:r>
        <w:rPr>
          <w:rFonts w:eastAsia="Yu Mincho"/>
        </w:rPr>
        <w:t>the same as specified for U</w:t>
      </w:r>
      <w:r>
        <w:t xml:space="preserve">E </w:t>
      </w:r>
      <w:r w:rsidRPr="000B525F">
        <w:t>in TS38.101-1</w:t>
      </w:r>
      <w:r>
        <w:t xml:space="preserve"> </w:t>
      </w:r>
      <w:r w:rsidRPr="000B525F">
        <w:t xml:space="preserve">[3] for FR1 </w:t>
      </w:r>
      <w:r>
        <w:t xml:space="preserve">in subclause 5.3.4 </w:t>
      </w:r>
      <w:r w:rsidRPr="000B525F">
        <w:t>and in TS 38.101-2 [4] for FR2 in subclause 5.3.</w:t>
      </w:r>
      <w:r>
        <w:t>4</w:t>
      </w:r>
      <w:r w:rsidRPr="000B525F">
        <w:t>.</w:t>
      </w:r>
    </w:p>
    <w:p w14:paraId="6D7AE9FA" w14:textId="77777777" w:rsidR="004C12F8" w:rsidRPr="003D2685" w:rsidRDefault="004C12F8" w:rsidP="004C12F8">
      <w:pPr>
        <w:pStyle w:val="Heading3"/>
        <w:rPr>
          <w:rFonts w:eastAsia="Yu Mincho"/>
        </w:rPr>
      </w:pPr>
      <w:bookmarkStart w:id="649" w:name="_Toc57820150"/>
      <w:bookmarkStart w:id="650" w:name="_Toc57821077"/>
      <w:bookmarkStart w:id="651" w:name="_Toc61183353"/>
      <w:bookmarkStart w:id="652" w:name="_Toc61183747"/>
      <w:bookmarkStart w:id="653" w:name="_Toc61184139"/>
      <w:bookmarkStart w:id="654" w:name="_Toc61184531"/>
      <w:bookmarkStart w:id="655" w:name="_Toc61184921"/>
      <w:bookmarkStart w:id="656" w:name="_Toc66386264"/>
      <w:bookmarkStart w:id="657" w:name="_Toc74583105"/>
      <w:bookmarkStart w:id="658" w:name="_Toc76541918"/>
      <w:bookmarkStart w:id="659" w:name="_Toc82449900"/>
      <w:bookmarkStart w:id="660" w:name="_Toc82450548"/>
      <w:bookmarkStart w:id="661" w:name="_Toc89948937"/>
      <w:bookmarkStart w:id="662" w:name="_Toc98755326"/>
      <w:bookmarkStart w:id="663" w:name="_Toc98762916"/>
      <w:bookmarkStart w:id="664" w:name="_Toc106183845"/>
      <w:r w:rsidRPr="003D2685">
        <w:rPr>
          <w:rFonts w:eastAsia="Yu Mincho"/>
        </w:rPr>
        <w:t>5.3.5</w:t>
      </w:r>
      <w:r w:rsidRPr="003D2685">
        <w:rPr>
          <w:rFonts w:eastAsia="Yu Mincho"/>
        </w:rPr>
        <w:tab/>
        <w:t>IAB-DU and IAB-MT channel bandwidth per operating band</w:t>
      </w:r>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p>
    <w:p w14:paraId="1F6EFB82" w14:textId="0AFB67E4" w:rsidR="004C12F8" w:rsidRDefault="004C12F8" w:rsidP="00ED70DB">
      <w:pPr>
        <w:rPr>
          <w:rFonts w:eastAsia="Yu Mincho"/>
        </w:rPr>
      </w:pPr>
      <w:r>
        <w:rPr>
          <w:rFonts w:eastAsia="Yu Mincho"/>
        </w:rPr>
        <w:t xml:space="preserve">For IAB-DU, the </w:t>
      </w:r>
      <w:r w:rsidRPr="00555903">
        <w:rPr>
          <w:rFonts w:eastAsia="Yu Mincho"/>
        </w:rPr>
        <w:t>channel bandwidth</w:t>
      </w:r>
      <w:r>
        <w:rPr>
          <w:rFonts w:eastAsia="Yu Mincho"/>
        </w:rPr>
        <w:t xml:space="preserve"> for NR bands for FR1 in Table 5.2.1 and for NR bands for FR2 defined in TS38.104</w:t>
      </w:r>
      <w:r w:rsidR="00572BCD">
        <w:rPr>
          <w:rFonts w:eastAsia="Yu Mincho"/>
        </w:rPr>
        <w:t xml:space="preserve"> </w:t>
      </w:r>
      <w:r>
        <w:rPr>
          <w:rFonts w:eastAsia="Yu Mincho"/>
        </w:rPr>
        <w:t>[2] is the same as specified for BS in TS38.104</w:t>
      </w:r>
      <w:r w:rsidR="00572BCD">
        <w:rPr>
          <w:rFonts w:eastAsia="Yu Mincho"/>
        </w:rPr>
        <w:t xml:space="preserve"> </w:t>
      </w:r>
      <w:r>
        <w:rPr>
          <w:rFonts w:eastAsia="Yu Mincho"/>
        </w:rPr>
        <w:t>[2], subclause 5.3.5.</w:t>
      </w:r>
    </w:p>
    <w:p w14:paraId="1D743814" w14:textId="69F90468" w:rsidR="0050653A" w:rsidRPr="00137E92" w:rsidRDefault="0050653A" w:rsidP="00ED70DB">
      <w:pPr>
        <w:rPr>
          <w:rFonts w:eastAsia="Yu Mincho"/>
        </w:rPr>
      </w:pPr>
      <w:bookmarkStart w:id="665" w:name="_Toc13080142"/>
      <w:bookmarkStart w:id="666" w:name="_Toc53185300"/>
      <w:bookmarkStart w:id="667" w:name="_Toc53185676"/>
      <w:bookmarkStart w:id="668" w:name="_Toc57820151"/>
      <w:bookmarkStart w:id="669" w:name="_Toc57821078"/>
      <w:bookmarkStart w:id="670" w:name="_Toc61183354"/>
      <w:bookmarkStart w:id="671" w:name="_Toc61183748"/>
      <w:bookmarkStart w:id="672" w:name="_Toc61184140"/>
      <w:bookmarkStart w:id="673" w:name="_Toc61184532"/>
      <w:bookmarkStart w:id="674" w:name="_Toc61184922"/>
      <w:bookmarkStart w:id="675" w:name="_Toc53185301"/>
      <w:bookmarkStart w:id="676" w:name="_Toc53185677"/>
      <w:r>
        <w:rPr>
          <w:rFonts w:eastAsia="Yu Mincho"/>
        </w:rPr>
        <w:t>For IAB-MT, the channel bandwidth</w:t>
      </w:r>
      <w:r w:rsidRPr="00555903">
        <w:rPr>
          <w:rFonts w:eastAsia="Yu Mincho"/>
        </w:rPr>
        <w:t xml:space="preserve"> </w:t>
      </w:r>
      <w:r>
        <w:rPr>
          <w:rFonts w:eastAsia="Yu Mincho"/>
        </w:rPr>
        <w:t>for NR bands for FR1 in Table 5.2-1 is the same as specified for UE in TS38.101-1[3] in subclause 5.3.5 and for NR bands for FR2 defined in TS38.104[2] is the same as specified for UE in TS38.101-2[4] in subclause 5.3.5.</w:t>
      </w:r>
    </w:p>
    <w:p w14:paraId="19D444B3" w14:textId="77777777" w:rsidR="00137E92" w:rsidRDefault="00137E92" w:rsidP="00137E92">
      <w:pPr>
        <w:pStyle w:val="Heading2"/>
      </w:pPr>
      <w:bookmarkStart w:id="677" w:name="_Toc66386265"/>
      <w:bookmarkStart w:id="678" w:name="_Toc74583106"/>
      <w:bookmarkStart w:id="679" w:name="_Toc76541919"/>
      <w:bookmarkStart w:id="680" w:name="_Toc82449901"/>
      <w:bookmarkStart w:id="681" w:name="_Toc82450549"/>
      <w:bookmarkStart w:id="682" w:name="_Toc89948938"/>
      <w:bookmarkStart w:id="683" w:name="_Toc98755327"/>
      <w:bookmarkStart w:id="684" w:name="_Toc98762917"/>
      <w:bookmarkStart w:id="685" w:name="_Toc106183846"/>
      <w:r w:rsidRPr="007E346D">
        <w:t>5.3A</w:t>
      </w:r>
      <w:r w:rsidRPr="007E346D">
        <w:tab/>
      </w:r>
      <w:r>
        <w:t>IAB-DU</w:t>
      </w:r>
      <w:r w:rsidRPr="007E346D">
        <w:t xml:space="preserve"> </w:t>
      </w:r>
      <w:r>
        <w:t>and</w:t>
      </w:r>
      <w:r>
        <w:rPr>
          <w:lang w:eastAsia="zh-CN"/>
        </w:rPr>
        <w:t xml:space="preserve"> IAB-MT </w:t>
      </w:r>
      <w:r w:rsidRPr="007E346D">
        <w:t>channel bandwidth for CA</w:t>
      </w:r>
      <w:bookmarkEnd w:id="665"/>
      <w:bookmarkEnd w:id="666"/>
      <w:bookmarkEnd w:id="667"/>
      <w:bookmarkEnd w:id="668"/>
      <w:bookmarkEnd w:id="669"/>
      <w:bookmarkEnd w:id="670"/>
      <w:bookmarkEnd w:id="671"/>
      <w:bookmarkEnd w:id="672"/>
      <w:bookmarkEnd w:id="673"/>
      <w:bookmarkEnd w:id="674"/>
      <w:bookmarkEnd w:id="677"/>
      <w:bookmarkEnd w:id="678"/>
      <w:bookmarkEnd w:id="679"/>
      <w:bookmarkEnd w:id="680"/>
      <w:bookmarkEnd w:id="681"/>
      <w:bookmarkEnd w:id="682"/>
      <w:bookmarkEnd w:id="683"/>
      <w:bookmarkEnd w:id="684"/>
      <w:bookmarkEnd w:id="685"/>
    </w:p>
    <w:p w14:paraId="7F5C3CAC" w14:textId="77777777" w:rsidR="00137E92" w:rsidRPr="00F947E2" w:rsidRDefault="00137E92" w:rsidP="00137E92">
      <w:pPr>
        <w:rPr>
          <w:rFonts w:eastAsia="Yu Mincho"/>
        </w:rPr>
      </w:pPr>
      <w:r>
        <w:rPr>
          <w:rFonts w:eastAsia="Yu Mincho"/>
        </w:rPr>
        <w:t xml:space="preserve">The IAB-DU </w:t>
      </w:r>
      <w:r>
        <w:t>and</w:t>
      </w:r>
      <w:r>
        <w:rPr>
          <w:lang w:eastAsia="zh-CN"/>
        </w:rPr>
        <w:t xml:space="preserve"> IAB-MT </w:t>
      </w:r>
      <w:r>
        <w:rPr>
          <w:rFonts w:eastAsia="Yu Mincho"/>
        </w:rPr>
        <w:t>channel bandwidth for CA is the same as specified for BS in TS38.104[2], subclause 5.3A.</w:t>
      </w:r>
    </w:p>
    <w:p w14:paraId="31520E7C" w14:textId="77777777" w:rsidR="00077B6E" w:rsidRDefault="00077B6E" w:rsidP="00077B6E">
      <w:pPr>
        <w:pStyle w:val="Heading2"/>
      </w:pPr>
      <w:bookmarkStart w:id="686" w:name="_Toc57820152"/>
      <w:bookmarkStart w:id="687" w:name="_Toc57821079"/>
      <w:bookmarkStart w:id="688" w:name="_Toc61183355"/>
      <w:bookmarkStart w:id="689" w:name="_Toc61183749"/>
      <w:bookmarkStart w:id="690" w:name="_Toc61184141"/>
      <w:bookmarkStart w:id="691" w:name="_Toc61184533"/>
      <w:bookmarkStart w:id="692" w:name="_Toc61184923"/>
      <w:bookmarkStart w:id="693" w:name="_Toc66386266"/>
      <w:bookmarkStart w:id="694" w:name="_Toc74583107"/>
      <w:bookmarkStart w:id="695" w:name="_Toc76541920"/>
      <w:bookmarkStart w:id="696" w:name="_Toc82449902"/>
      <w:bookmarkStart w:id="697" w:name="_Toc82450550"/>
      <w:bookmarkStart w:id="698" w:name="_Toc89948939"/>
      <w:bookmarkStart w:id="699" w:name="_Toc98755328"/>
      <w:bookmarkStart w:id="700" w:name="_Toc98762918"/>
      <w:bookmarkStart w:id="701" w:name="_Toc106183847"/>
      <w:r w:rsidRPr="007E346D">
        <w:t>5.4</w:t>
      </w:r>
      <w:r w:rsidRPr="007E346D">
        <w:tab/>
        <w:t>Channel arrangement</w:t>
      </w:r>
      <w:bookmarkEnd w:id="587"/>
      <w:bookmarkEnd w:id="588"/>
      <w:bookmarkEnd w:id="675"/>
      <w:bookmarkEnd w:id="676"/>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p>
    <w:p w14:paraId="16A49C67" w14:textId="77777777" w:rsidR="003505D4" w:rsidRPr="00191EEF" w:rsidRDefault="003505D4" w:rsidP="00AC7434">
      <w:pPr>
        <w:pStyle w:val="Heading3"/>
        <w:rPr>
          <w:rFonts w:eastAsiaTheme="minorEastAsia"/>
        </w:rPr>
      </w:pPr>
      <w:bookmarkStart w:id="702" w:name="_Toc21127436"/>
      <w:bookmarkStart w:id="703" w:name="_Toc29811642"/>
      <w:bookmarkStart w:id="704" w:name="_Toc53185302"/>
      <w:bookmarkStart w:id="705" w:name="_Toc53185678"/>
      <w:bookmarkStart w:id="706" w:name="_Toc57820153"/>
      <w:bookmarkStart w:id="707" w:name="_Toc57821080"/>
      <w:bookmarkStart w:id="708" w:name="_Toc61183356"/>
      <w:bookmarkStart w:id="709" w:name="_Toc61183750"/>
      <w:bookmarkStart w:id="710" w:name="_Toc61184142"/>
      <w:bookmarkStart w:id="711" w:name="_Toc61184534"/>
      <w:bookmarkStart w:id="712" w:name="_Toc61184924"/>
      <w:bookmarkStart w:id="713" w:name="_Toc66386267"/>
      <w:bookmarkStart w:id="714" w:name="_Toc74583108"/>
      <w:bookmarkStart w:id="715" w:name="_Toc76541921"/>
      <w:bookmarkStart w:id="716" w:name="_Toc82449903"/>
      <w:bookmarkStart w:id="717" w:name="_Toc82450551"/>
      <w:bookmarkStart w:id="718" w:name="_Toc89948940"/>
      <w:bookmarkStart w:id="719" w:name="_Toc98755329"/>
      <w:bookmarkStart w:id="720" w:name="_Toc98762919"/>
      <w:bookmarkStart w:id="721" w:name="_Toc106183848"/>
      <w:r w:rsidRPr="00191EEF">
        <w:rPr>
          <w:rFonts w:eastAsiaTheme="minorEastAsia"/>
        </w:rPr>
        <w:t>5.4.1</w:t>
      </w:r>
      <w:r w:rsidRPr="00191EEF">
        <w:rPr>
          <w:rFonts w:eastAsiaTheme="minorEastAsia"/>
        </w:rPr>
        <w:tab/>
        <w:t>Channel spacing</w:t>
      </w:r>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p>
    <w:p w14:paraId="13685838" w14:textId="77777777" w:rsidR="00137E92" w:rsidRDefault="00137E92" w:rsidP="00137E92">
      <w:pPr>
        <w:rPr>
          <w:rFonts w:eastAsia="Yu Mincho"/>
        </w:rPr>
      </w:pPr>
      <w:bookmarkStart w:id="722" w:name="_Toc29811645"/>
      <w:bookmarkStart w:id="723" w:name="_Toc53185303"/>
      <w:bookmarkStart w:id="724" w:name="_Toc53185679"/>
      <w:r>
        <w:rPr>
          <w:rFonts w:eastAsia="Yu Mincho"/>
        </w:rPr>
        <w:t>For IAB-DU, the channel spacing is the same as specified for BS in TS38.104 [2], subclause 5.4.1.</w:t>
      </w:r>
    </w:p>
    <w:p w14:paraId="250D107F" w14:textId="77777777" w:rsidR="00137E92" w:rsidRDefault="00137E92" w:rsidP="00137E92">
      <w:pPr>
        <w:rPr>
          <w:rFonts w:eastAsia="Yu Mincho"/>
        </w:rPr>
      </w:pPr>
      <w:r>
        <w:rPr>
          <w:rFonts w:eastAsia="Yu Mincho"/>
        </w:rPr>
        <w:t>For IAB-MT, the channel spacing is the same as specified for UE in TS38.101-1 [3] for FR1 in subclause 5.4.1 and in TS38.101-2 [4] for FR2 in subclause 5.4.1.</w:t>
      </w:r>
    </w:p>
    <w:p w14:paraId="54804FB0" w14:textId="77777777" w:rsidR="003505D4" w:rsidRPr="00517BF0" w:rsidRDefault="003505D4" w:rsidP="00AC7434">
      <w:pPr>
        <w:pStyle w:val="Heading3"/>
        <w:rPr>
          <w:rFonts w:eastAsia="Yu Mincho"/>
        </w:rPr>
      </w:pPr>
      <w:bookmarkStart w:id="725" w:name="_Toc57820154"/>
      <w:bookmarkStart w:id="726" w:name="_Toc57821081"/>
      <w:bookmarkStart w:id="727" w:name="_Toc61183357"/>
      <w:bookmarkStart w:id="728" w:name="_Toc61183751"/>
      <w:bookmarkStart w:id="729" w:name="_Toc61184143"/>
      <w:bookmarkStart w:id="730" w:name="_Toc61184535"/>
      <w:bookmarkStart w:id="731" w:name="_Toc61184925"/>
      <w:bookmarkStart w:id="732" w:name="_Toc66386268"/>
      <w:bookmarkStart w:id="733" w:name="_Toc74583109"/>
      <w:bookmarkStart w:id="734" w:name="_Toc76541922"/>
      <w:bookmarkStart w:id="735" w:name="_Toc82449904"/>
      <w:bookmarkStart w:id="736" w:name="_Toc82450552"/>
      <w:bookmarkStart w:id="737" w:name="_Toc89948941"/>
      <w:bookmarkStart w:id="738" w:name="_Toc98755330"/>
      <w:bookmarkStart w:id="739" w:name="_Toc98762920"/>
      <w:bookmarkStart w:id="740" w:name="_Toc106183849"/>
      <w:r w:rsidRPr="00517BF0">
        <w:rPr>
          <w:rFonts w:eastAsia="Yu Mincho"/>
        </w:rPr>
        <w:t>5.4.2</w:t>
      </w:r>
      <w:r w:rsidRPr="00517BF0">
        <w:rPr>
          <w:rFonts w:eastAsia="Yu Mincho"/>
        </w:rPr>
        <w:tab/>
        <w:t>Channel raster</w:t>
      </w:r>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597DF2EB" w14:textId="77777777" w:rsidR="003505D4" w:rsidRDefault="003505D4" w:rsidP="00AC7434">
      <w:pPr>
        <w:pStyle w:val="Heading4"/>
        <w:rPr>
          <w:rFonts w:eastAsia="Yu Mincho"/>
        </w:rPr>
      </w:pPr>
      <w:bookmarkStart w:id="741" w:name="_Toc21127440"/>
      <w:bookmarkStart w:id="742" w:name="_Toc29811646"/>
      <w:bookmarkStart w:id="743" w:name="_Toc53185304"/>
      <w:bookmarkStart w:id="744" w:name="_Toc53185680"/>
      <w:bookmarkStart w:id="745" w:name="_Toc57820155"/>
      <w:bookmarkStart w:id="746" w:name="_Toc57821082"/>
      <w:bookmarkStart w:id="747" w:name="_Toc61183358"/>
      <w:bookmarkStart w:id="748" w:name="_Toc61183752"/>
      <w:bookmarkStart w:id="749" w:name="_Toc61184144"/>
      <w:bookmarkStart w:id="750" w:name="_Toc61184536"/>
      <w:bookmarkStart w:id="751" w:name="_Toc61184926"/>
      <w:bookmarkStart w:id="752" w:name="_Toc66386269"/>
      <w:bookmarkStart w:id="753" w:name="_Toc74583110"/>
      <w:bookmarkStart w:id="754" w:name="_Toc76541923"/>
      <w:bookmarkStart w:id="755" w:name="_Toc82449905"/>
      <w:bookmarkStart w:id="756" w:name="_Toc82450553"/>
      <w:bookmarkStart w:id="757" w:name="_Toc89948942"/>
      <w:bookmarkStart w:id="758" w:name="_Toc98755331"/>
      <w:bookmarkStart w:id="759" w:name="_Toc98762921"/>
      <w:bookmarkStart w:id="760" w:name="_Toc106183850"/>
      <w:r w:rsidRPr="00517BF0">
        <w:rPr>
          <w:rFonts w:eastAsia="Yu Mincho"/>
        </w:rPr>
        <w:t>5.4.2.1</w:t>
      </w:r>
      <w:r w:rsidRPr="00517BF0">
        <w:rPr>
          <w:rFonts w:eastAsia="Yu Mincho"/>
        </w:rPr>
        <w:tab/>
      </w:r>
      <w:bookmarkStart w:id="761" w:name="_Hlk36742451"/>
      <w:r w:rsidRPr="00517BF0">
        <w:rPr>
          <w:rFonts w:eastAsia="Yu Mincho"/>
        </w:rPr>
        <w:t>NR-ARFCN and channel raster</w:t>
      </w:r>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p>
    <w:p w14:paraId="15C8AF90" w14:textId="77777777" w:rsidR="002E1777" w:rsidRDefault="002E1777" w:rsidP="002E1777">
      <w:pPr>
        <w:rPr>
          <w:rFonts w:eastAsia="Yu Mincho"/>
        </w:rPr>
      </w:pPr>
      <w:r>
        <w:rPr>
          <w:rFonts w:eastAsia="Yu Mincho"/>
        </w:rPr>
        <w:t xml:space="preserve">For IAB-DU, the </w:t>
      </w:r>
      <w:r w:rsidRPr="00944077">
        <w:rPr>
          <w:rFonts w:eastAsia="Yu Mincho"/>
        </w:rPr>
        <w:t xml:space="preserve">NR-ARFCN and channel raster </w:t>
      </w:r>
      <w:r>
        <w:rPr>
          <w:rFonts w:eastAsia="Yu Mincho"/>
        </w:rPr>
        <w:t>is the same as specified for BS in TS38.104 [2], subclause 5.4.2.1.</w:t>
      </w:r>
    </w:p>
    <w:p w14:paraId="6F894B27" w14:textId="1D1A5F31" w:rsidR="003505D4" w:rsidRDefault="002E1777" w:rsidP="00AC7434">
      <w:pPr>
        <w:rPr>
          <w:rFonts w:eastAsia="Yu Mincho"/>
        </w:rPr>
      </w:pPr>
      <w:r>
        <w:rPr>
          <w:rFonts w:eastAsia="Yu Mincho"/>
        </w:rPr>
        <w:t xml:space="preserve">For IAB-MT, the </w:t>
      </w:r>
      <w:r w:rsidRPr="00793AC1">
        <w:rPr>
          <w:rFonts w:eastAsia="Yu Mincho"/>
        </w:rPr>
        <w:t xml:space="preserve">NR-ARFCN and channel raster </w:t>
      </w:r>
      <w:r>
        <w:rPr>
          <w:rFonts w:eastAsia="Yu Mincho"/>
        </w:rPr>
        <w:t>is the same as specified for UE in TS38.101-1 [3] for FR1 in subclause 5.4.2.1 and in TS38.101-2 [4] for FR2 in subclause 5.4.2.1</w:t>
      </w:r>
      <w:r w:rsidR="003505D4">
        <w:rPr>
          <w:rFonts w:eastAsia="Yu Mincho"/>
        </w:rPr>
        <w:t>.</w:t>
      </w:r>
    </w:p>
    <w:p w14:paraId="211223C0" w14:textId="77777777" w:rsidR="002E1777" w:rsidRDefault="002E1777" w:rsidP="002E1777">
      <w:pPr>
        <w:pStyle w:val="Heading4"/>
        <w:rPr>
          <w:rFonts w:eastAsia="Yu Mincho"/>
        </w:rPr>
      </w:pPr>
      <w:bookmarkStart w:id="762" w:name="_Toc21127441"/>
      <w:bookmarkStart w:id="763" w:name="_Toc29811648"/>
      <w:bookmarkStart w:id="764" w:name="_Toc53185305"/>
      <w:bookmarkStart w:id="765" w:name="_Toc53185681"/>
      <w:bookmarkStart w:id="766" w:name="_Toc57820156"/>
      <w:bookmarkStart w:id="767" w:name="_Toc57821083"/>
      <w:bookmarkStart w:id="768" w:name="_Toc61183359"/>
      <w:bookmarkStart w:id="769" w:name="_Toc61183753"/>
      <w:bookmarkStart w:id="770" w:name="_Toc61184145"/>
      <w:bookmarkStart w:id="771" w:name="_Toc61184537"/>
      <w:bookmarkStart w:id="772" w:name="_Toc61184927"/>
      <w:bookmarkStart w:id="773" w:name="_Toc66386270"/>
      <w:bookmarkStart w:id="774" w:name="_Toc74583111"/>
      <w:bookmarkStart w:id="775" w:name="_Toc76541924"/>
      <w:bookmarkStart w:id="776" w:name="_Toc82449906"/>
      <w:bookmarkStart w:id="777" w:name="_Toc82450554"/>
      <w:bookmarkStart w:id="778" w:name="_Toc89948943"/>
      <w:bookmarkStart w:id="779" w:name="_Toc98755332"/>
      <w:bookmarkStart w:id="780" w:name="_Toc98762922"/>
      <w:bookmarkStart w:id="781" w:name="_Toc106183851"/>
      <w:bookmarkStart w:id="782" w:name="_Toc21127443"/>
      <w:bookmarkStart w:id="783" w:name="_Toc29811650"/>
      <w:bookmarkStart w:id="784" w:name="_Toc53185307"/>
      <w:bookmarkStart w:id="785" w:name="_Toc53185683"/>
      <w:r w:rsidRPr="00746E73">
        <w:rPr>
          <w:rFonts w:eastAsia="Yu Mincho"/>
        </w:rPr>
        <w:t>5.4.2.2</w:t>
      </w:r>
      <w:r w:rsidRPr="00746E73">
        <w:rPr>
          <w:rFonts w:eastAsia="Yu Mincho"/>
        </w:rPr>
        <w:tab/>
        <w:t>Channel raster to resource element mapping</w:t>
      </w:r>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p>
    <w:p w14:paraId="4FF246A1" w14:textId="77777777" w:rsidR="002E1777" w:rsidRDefault="002E1777" w:rsidP="002E1777">
      <w:pPr>
        <w:rPr>
          <w:rFonts w:eastAsia="Yu Mincho"/>
        </w:rPr>
      </w:pPr>
      <w:r>
        <w:rPr>
          <w:rFonts w:eastAsia="Yu Mincho"/>
        </w:rPr>
        <w:t xml:space="preserve">For IAB-DU, the </w:t>
      </w:r>
      <w:r w:rsidRPr="00386CE8">
        <w:rPr>
          <w:rFonts w:eastAsia="Yu Mincho"/>
        </w:rPr>
        <w:t xml:space="preserve">Channel raster to resource element mapping </w:t>
      </w:r>
      <w:r>
        <w:rPr>
          <w:rFonts w:eastAsia="Yu Mincho"/>
        </w:rPr>
        <w:t>is the same as specified for BS in TS38.104 [2], subclause 5.4.2.2.</w:t>
      </w:r>
    </w:p>
    <w:p w14:paraId="1C8C6C14" w14:textId="77777777" w:rsidR="002E1777" w:rsidRDefault="002E1777" w:rsidP="002E1777">
      <w:pPr>
        <w:rPr>
          <w:rFonts w:eastAsia="Yu Mincho"/>
        </w:rPr>
      </w:pPr>
      <w:r>
        <w:rPr>
          <w:rFonts w:eastAsia="Yu Mincho"/>
        </w:rPr>
        <w:t xml:space="preserve">For IAB-MT, the </w:t>
      </w:r>
      <w:r w:rsidRPr="00386CE8">
        <w:rPr>
          <w:rFonts w:eastAsia="Yu Mincho"/>
        </w:rPr>
        <w:t>Channel raster to resource element mapping</w:t>
      </w:r>
      <w:r w:rsidRPr="00793AC1">
        <w:rPr>
          <w:rFonts w:eastAsia="Yu Mincho"/>
        </w:rPr>
        <w:t xml:space="preserve"> </w:t>
      </w:r>
      <w:r>
        <w:rPr>
          <w:rFonts w:eastAsia="Yu Mincho"/>
        </w:rPr>
        <w:t>is the same as specified for UE in TS38.101-1 [3] for FR1 in subclause 5.4.2.2 and in TS38.101-2 [4] for FR2 in subclause 5.4.2.2.</w:t>
      </w:r>
    </w:p>
    <w:p w14:paraId="521AE9B8" w14:textId="77777777" w:rsidR="002E1777" w:rsidRDefault="002E1777" w:rsidP="002E1777">
      <w:pPr>
        <w:pStyle w:val="Heading4"/>
        <w:rPr>
          <w:rFonts w:eastAsia="Yu Mincho"/>
          <w:i/>
        </w:rPr>
      </w:pPr>
      <w:bookmarkStart w:id="786" w:name="_Toc21127442"/>
      <w:bookmarkStart w:id="787" w:name="_Toc29811649"/>
      <w:bookmarkStart w:id="788" w:name="_Toc53185306"/>
      <w:bookmarkStart w:id="789" w:name="_Toc53185682"/>
      <w:bookmarkStart w:id="790" w:name="_Toc57820157"/>
      <w:bookmarkStart w:id="791" w:name="_Toc57821084"/>
      <w:bookmarkStart w:id="792" w:name="_Toc61183360"/>
      <w:bookmarkStart w:id="793" w:name="_Toc61183754"/>
      <w:bookmarkStart w:id="794" w:name="_Toc61184146"/>
      <w:bookmarkStart w:id="795" w:name="_Toc61184538"/>
      <w:bookmarkStart w:id="796" w:name="_Toc61184928"/>
      <w:bookmarkStart w:id="797" w:name="_Toc66386271"/>
      <w:bookmarkStart w:id="798" w:name="_Toc74583112"/>
      <w:bookmarkStart w:id="799" w:name="_Toc76541925"/>
      <w:bookmarkStart w:id="800" w:name="_Toc82449907"/>
      <w:bookmarkStart w:id="801" w:name="_Toc82450555"/>
      <w:bookmarkStart w:id="802" w:name="_Toc89948944"/>
      <w:bookmarkStart w:id="803" w:name="_Toc98755333"/>
      <w:bookmarkStart w:id="804" w:name="_Toc98762923"/>
      <w:bookmarkStart w:id="805" w:name="_Toc106183852"/>
      <w:r w:rsidRPr="008E7E2A">
        <w:rPr>
          <w:rFonts w:eastAsia="Yu Mincho"/>
        </w:rPr>
        <w:t>5.4.2.3</w:t>
      </w:r>
      <w:r w:rsidRPr="008E7E2A">
        <w:rPr>
          <w:rFonts w:eastAsia="Yu Mincho"/>
        </w:rPr>
        <w:tab/>
        <w:t xml:space="preserve">Channel raster entries for each </w:t>
      </w:r>
      <w:r w:rsidRPr="008E7E2A">
        <w:rPr>
          <w:rFonts w:eastAsia="Yu Mincho"/>
          <w:i/>
        </w:rPr>
        <w:t>operating band</w:t>
      </w:r>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p>
    <w:p w14:paraId="6D85295C" w14:textId="77777777" w:rsidR="002E1777" w:rsidRDefault="002E1777" w:rsidP="002E1777">
      <w:pPr>
        <w:rPr>
          <w:rFonts w:eastAsia="Yu Mincho"/>
        </w:rPr>
      </w:pPr>
      <w:r>
        <w:rPr>
          <w:rFonts w:eastAsia="Yu Mincho"/>
        </w:rPr>
        <w:t>For IAB-DU, the c</w:t>
      </w:r>
      <w:r w:rsidRPr="00292098">
        <w:rPr>
          <w:rFonts w:eastAsia="Yu Mincho"/>
        </w:rPr>
        <w:t xml:space="preserve">hannel raster entries </w:t>
      </w:r>
      <w:r>
        <w:rPr>
          <w:rFonts w:eastAsia="Yu Mincho"/>
        </w:rPr>
        <w:t>for NR bands for FR1 in Table 5.2-1 and NR bands for FR2 defined in TS38.104 [2] are the same as specified for BS in TS38.104 [2], subclause 5.4.2.3.</w:t>
      </w:r>
    </w:p>
    <w:p w14:paraId="28908F61" w14:textId="77777777" w:rsidR="002E1777" w:rsidRDefault="002E1777" w:rsidP="002E1777">
      <w:pPr>
        <w:rPr>
          <w:rFonts w:eastAsia="Yu Mincho"/>
        </w:rPr>
      </w:pPr>
      <w:r>
        <w:rPr>
          <w:rFonts w:eastAsia="Yu Mincho"/>
        </w:rPr>
        <w:t>For IAB-MT, the c</w:t>
      </w:r>
      <w:r w:rsidRPr="00292098">
        <w:rPr>
          <w:rFonts w:eastAsia="Yu Mincho"/>
        </w:rPr>
        <w:t xml:space="preserve">hannel raster entries </w:t>
      </w:r>
      <w:r>
        <w:rPr>
          <w:rFonts w:eastAsia="Yu Mincho"/>
        </w:rPr>
        <w:t>for NR bands for FR1 in Table 5.2-1 are the same as specified for UE in TS38.101-1 [3] in subclause 5.4.2.3 and for NR bands for FR2 defined in TS38.104 [2] are the same as specified for UE in TS38.101-2 [4] in subclause 5.4.2.3.</w:t>
      </w:r>
    </w:p>
    <w:p w14:paraId="2FE59B84" w14:textId="77777777" w:rsidR="003505D4" w:rsidRPr="000A219B" w:rsidRDefault="003505D4" w:rsidP="00AC7434">
      <w:pPr>
        <w:pStyle w:val="Heading3"/>
        <w:rPr>
          <w:rFonts w:eastAsia="Yu Mincho"/>
        </w:rPr>
      </w:pPr>
      <w:bookmarkStart w:id="806" w:name="_Toc57820158"/>
      <w:bookmarkStart w:id="807" w:name="_Toc57821085"/>
      <w:bookmarkStart w:id="808" w:name="_Toc61183361"/>
      <w:bookmarkStart w:id="809" w:name="_Toc61183755"/>
      <w:bookmarkStart w:id="810" w:name="_Toc61184147"/>
      <w:bookmarkStart w:id="811" w:name="_Toc61184539"/>
      <w:bookmarkStart w:id="812" w:name="_Toc61184929"/>
      <w:bookmarkStart w:id="813" w:name="_Toc66386272"/>
      <w:bookmarkStart w:id="814" w:name="_Toc74583113"/>
      <w:bookmarkStart w:id="815" w:name="_Toc76541926"/>
      <w:bookmarkStart w:id="816" w:name="_Toc82449908"/>
      <w:bookmarkStart w:id="817" w:name="_Toc82450556"/>
      <w:bookmarkStart w:id="818" w:name="_Toc89948945"/>
      <w:bookmarkStart w:id="819" w:name="_Toc98755334"/>
      <w:bookmarkStart w:id="820" w:name="_Toc98762924"/>
      <w:bookmarkStart w:id="821" w:name="_Toc106183853"/>
      <w:r w:rsidRPr="000A219B">
        <w:rPr>
          <w:rFonts w:eastAsia="Yu Mincho"/>
        </w:rPr>
        <w:t>5.4.3</w:t>
      </w:r>
      <w:r w:rsidRPr="000A219B">
        <w:rPr>
          <w:rFonts w:eastAsia="Yu Mincho"/>
        </w:rPr>
        <w:tab/>
        <w:t>Synchronization raster</w:t>
      </w:r>
      <w:bookmarkEnd w:id="782"/>
      <w:bookmarkEnd w:id="783"/>
      <w:bookmarkEnd w:id="784"/>
      <w:bookmarkEnd w:id="78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p>
    <w:p w14:paraId="1A3BF02E" w14:textId="77777777" w:rsidR="002E1777" w:rsidRDefault="002E1777" w:rsidP="002E1777">
      <w:pPr>
        <w:pStyle w:val="Heading4"/>
        <w:rPr>
          <w:rFonts w:eastAsia="Yu Mincho"/>
        </w:rPr>
      </w:pPr>
      <w:bookmarkStart w:id="822" w:name="_Toc21127444"/>
      <w:bookmarkStart w:id="823" w:name="_Toc29811651"/>
      <w:bookmarkStart w:id="824" w:name="_Toc53185308"/>
      <w:bookmarkStart w:id="825" w:name="_Toc53185684"/>
      <w:bookmarkStart w:id="826" w:name="_Toc57820159"/>
      <w:bookmarkStart w:id="827" w:name="_Toc57821086"/>
      <w:bookmarkStart w:id="828" w:name="_Toc61183362"/>
      <w:bookmarkStart w:id="829" w:name="_Toc61183756"/>
      <w:bookmarkStart w:id="830" w:name="_Toc61184148"/>
      <w:bookmarkStart w:id="831" w:name="_Toc61184540"/>
      <w:bookmarkStart w:id="832" w:name="_Toc61184930"/>
      <w:bookmarkStart w:id="833" w:name="_Toc66386273"/>
      <w:bookmarkStart w:id="834" w:name="_Toc74583114"/>
      <w:bookmarkStart w:id="835" w:name="_Toc76541927"/>
      <w:bookmarkStart w:id="836" w:name="_Toc82449909"/>
      <w:bookmarkStart w:id="837" w:name="_Toc82450557"/>
      <w:bookmarkStart w:id="838" w:name="_Toc89948946"/>
      <w:bookmarkStart w:id="839" w:name="_Toc98755335"/>
      <w:bookmarkStart w:id="840" w:name="_Toc98762925"/>
      <w:bookmarkStart w:id="841" w:name="_Toc106183854"/>
      <w:bookmarkStart w:id="842" w:name="_Toc13080155"/>
      <w:bookmarkStart w:id="843" w:name="_Toc53185309"/>
      <w:bookmarkStart w:id="844" w:name="_Toc53185685"/>
      <w:r w:rsidRPr="000A219B">
        <w:rPr>
          <w:rFonts w:eastAsia="Yu Mincho"/>
        </w:rPr>
        <w:t>5.4.3.1</w:t>
      </w:r>
      <w:r w:rsidRPr="000A219B">
        <w:rPr>
          <w:rFonts w:eastAsia="Yu Mincho"/>
        </w:rPr>
        <w:tab/>
        <w:t>Synchronization raster and numbering</w:t>
      </w:r>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p>
    <w:p w14:paraId="0879C558" w14:textId="77777777" w:rsidR="002E1777" w:rsidRDefault="002E1777" w:rsidP="002E1777">
      <w:pPr>
        <w:rPr>
          <w:rFonts w:eastAsia="Yu Mincho"/>
        </w:rPr>
      </w:pPr>
      <w:r>
        <w:rPr>
          <w:rFonts w:eastAsia="Yu Mincho"/>
        </w:rPr>
        <w:t>For IAB-DU, the s</w:t>
      </w:r>
      <w:r w:rsidRPr="00DD45FA">
        <w:rPr>
          <w:rFonts w:eastAsia="Yu Mincho"/>
        </w:rPr>
        <w:t>ynchronization raster and numbering</w:t>
      </w:r>
      <w:r>
        <w:rPr>
          <w:rFonts w:eastAsia="Yu Mincho"/>
        </w:rPr>
        <w:t xml:space="preserve"> are the same as specified for BS in TS38.104 [2], subclause 5.4.3.1.</w:t>
      </w:r>
    </w:p>
    <w:p w14:paraId="42947006" w14:textId="77777777" w:rsidR="002E1777" w:rsidRDefault="002E1777" w:rsidP="002E1777">
      <w:pPr>
        <w:rPr>
          <w:rFonts w:eastAsia="Yu Mincho"/>
        </w:rPr>
      </w:pPr>
      <w:r>
        <w:rPr>
          <w:rFonts w:eastAsia="Yu Mincho"/>
        </w:rPr>
        <w:lastRenderedPageBreak/>
        <w:t>For IAB-MT, the s</w:t>
      </w:r>
      <w:r w:rsidRPr="00DD45FA">
        <w:rPr>
          <w:rFonts w:eastAsia="Yu Mincho"/>
        </w:rPr>
        <w:t>ynchronization raster and numbering</w:t>
      </w:r>
      <w:r>
        <w:rPr>
          <w:rFonts w:eastAsia="Yu Mincho"/>
        </w:rPr>
        <w:t xml:space="preserve"> are the same as specified for UE in TS38.101-1 [3] for FR1 in subclause 5.4.3.1 and in TS38.101-2 [4] for FR2 in subclause 5.4.3.1.</w:t>
      </w:r>
    </w:p>
    <w:p w14:paraId="4E3848AD" w14:textId="77777777" w:rsidR="002E1777" w:rsidRDefault="002E1777" w:rsidP="002E1777">
      <w:pPr>
        <w:pStyle w:val="Heading4"/>
        <w:rPr>
          <w:rFonts w:eastAsia="Yu Mincho"/>
        </w:rPr>
      </w:pPr>
      <w:bookmarkStart w:id="845" w:name="_Toc57820160"/>
      <w:bookmarkStart w:id="846" w:name="_Toc57821087"/>
      <w:bookmarkStart w:id="847" w:name="_Toc61183363"/>
      <w:bookmarkStart w:id="848" w:name="_Toc61183757"/>
      <w:bookmarkStart w:id="849" w:name="_Toc61184149"/>
      <w:bookmarkStart w:id="850" w:name="_Toc61184541"/>
      <w:bookmarkStart w:id="851" w:name="_Toc61184931"/>
      <w:bookmarkStart w:id="852" w:name="_Toc66386274"/>
      <w:bookmarkStart w:id="853" w:name="_Toc74583115"/>
      <w:bookmarkStart w:id="854" w:name="_Toc76541928"/>
      <w:bookmarkStart w:id="855" w:name="_Toc82449910"/>
      <w:bookmarkStart w:id="856" w:name="_Toc82450558"/>
      <w:bookmarkStart w:id="857" w:name="_Toc89948947"/>
      <w:bookmarkStart w:id="858" w:name="_Toc98755336"/>
      <w:bookmarkStart w:id="859" w:name="_Toc98762926"/>
      <w:bookmarkStart w:id="860" w:name="_Toc106183855"/>
      <w:bookmarkEnd w:id="842"/>
      <w:bookmarkEnd w:id="843"/>
      <w:bookmarkEnd w:id="844"/>
      <w:r w:rsidRPr="0067248A">
        <w:rPr>
          <w:rFonts w:eastAsia="Yu Mincho"/>
        </w:rPr>
        <w:t>5.4.3.2</w:t>
      </w:r>
      <w:r w:rsidRPr="0067248A">
        <w:rPr>
          <w:rFonts w:eastAsia="Yu Mincho"/>
        </w:rPr>
        <w:tab/>
      </w:r>
      <w:bookmarkStart w:id="861" w:name="_Hlk36743378"/>
      <w:r w:rsidRPr="0067248A">
        <w:rPr>
          <w:rFonts w:eastAsia="Yu Mincho"/>
        </w:rPr>
        <w:t>Synchronization raster to synchronization block resource element mapping</w:t>
      </w:r>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p>
    <w:p w14:paraId="6048F38E" w14:textId="77777777" w:rsidR="002E1777" w:rsidRDefault="002E1777" w:rsidP="002E1777">
      <w:pPr>
        <w:rPr>
          <w:rFonts w:eastAsia="Yu Mincho"/>
        </w:rPr>
      </w:pPr>
      <w:r>
        <w:rPr>
          <w:rFonts w:eastAsia="Yu Mincho"/>
        </w:rPr>
        <w:t>For IAB-DU, the s</w:t>
      </w:r>
      <w:r w:rsidRPr="00DD45FA">
        <w:rPr>
          <w:rFonts w:eastAsia="Yu Mincho"/>
        </w:rPr>
        <w:t xml:space="preserve">ynchronization raster to synchronization block resource element mapping </w:t>
      </w:r>
      <w:r>
        <w:rPr>
          <w:rFonts w:eastAsia="Yu Mincho"/>
        </w:rPr>
        <w:t>is the same as specified for BS in TS38.104 [2], subclause 5.4.3.2.</w:t>
      </w:r>
    </w:p>
    <w:p w14:paraId="69B47F33" w14:textId="77777777" w:rsidR="002E1777" w:rsidRPr="0067248A" w:rsidRDefault="002E1777" w:rsidP="002E1777">
      <w:pPr>
        <w:rPr>
          <w:rFonts w:ascii="Arial" w:eastAsia="Yu Mincho" w:hAnsi="Arial"/>
          <w:sz w:val="24"/>
        </w:rPr>
      </w:pPr>
      <w:r>
        <w:rPr>
          <w:rFonts w:eastAsia="Yu Mincho"/>
        </w:rPr>
        <w:t>For IAB-MT, the s</w:t>
      </w:r>
      <w:r w:rsidRPr="00DD45FA">
        <w:rPr>
          <w:rFonts w:eastAsia="Yu Mincho"/>
        </w:rPr>
        <w:t xml:space="preserve">ynchronization raster to synchronization block resource element mapping </w:t>
      </w:r>
      <w:r>
        <w:rPr>
          <w:rFonts w:eastAsia="Yu Mincho"/>
        </w:rPr>
        <w:t>is the same as specified for UE in TS38.101-1 [3] for FR1 in subclause 5.4.3.2 and in TS38.101-2 [4] for FR2 in subclause 5.4.3.2.</w:t>
      </w:r>
    </w:p>
    <w:p w14:paraId="4C80C7F4" w14:textId="77777777" w:rsidR="002E1777" w:rsidRDefault="002E1777" w:rsidP="002E1777">
      <w:pPr>
        <w:pStyle w:val="Heading4"/>
        <w:rPr>
          <w:rFonts w:eastAsia="Yu Mincho"/>
        </w:rPr>
      </w:pPr>
      <w:bookmarkStart w:id="862" w:name="_Toc29811652"/>
      <w:bookmarkStart w:id="863" w:name="_Toc53185310"/>
      <w:bookmarkStart w:id="864" w:name="_Toc53185686"/>
      <w:bookmarkStart w:id="865" w:name="_Toc57820161"/>
      <w:bookmarkStart w:id="866" w:name="_Toc57821088"/>
      <w:bookmarkStart w:id="867" w:name="_Toc61183364"/>
      <w:bookmarkStart w:id="868" w:name="_Toc61183758"/>
      <w:bookmarkStart w:id="869" w:name="_Toc61184150"/>
      <w:bookmarkStart w:id="870" w:name="_Toc61184542"/>
      <w:bookmarkStart w:id="871" w:name="_Toc61184932"/>
      <w:bookmarkStart w:id="872" w:name="_Toc66386275"/>
      <w:bookmarkStart w:id="873" w:name="_Toc74583116"/>
      <w:bookmarkStart w:id="874" w:name="_Toc76541929"/>
      <w:bookmarkStart w:id="875" w:name="_Toc82449911"/>
      <w:bookmarkStart w:id="876" w:name="_Toc82450559"/>
      <w:bookmarkStart w:id="877" w:name="_Toc89948948"/>
      <w:bookmarkStart w:id="878" w:name="_Toc98755337"/>
      <w:bookmarkStart w:id="879" w:name="_Toc98762927"/>
      <w:bookmarkStart w:id="880" w:name="_Toc106183856"/>
      <w:r w:rsidRPr="002669EB">
        <w:rPr>
          <w:rFonts w:eastAsia="Yu Mincho"/>
        </w:rPr>
        <w:t>5.4.3.3</w:t>
      </w:r>
      <w:r w:rsidRPr="002669EB">
        <w:rPr>
          <w:rFonts w:eastAsia="Yu Mincho"/>
        </w:rPr>
        <w:tab/>
        <w:t>Synchronization raster entries for each operating band</w:t>
      </w:r>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0383C239" w14:textId="77777777" w:rsidR="002E1777" w:rsidRDefault="002E1777" w:rsidP="002E1777">
      <w:pPr>
        <w:rPr>
          <w:rFonts w:eastAsia="Yu Mincho"/>
        </w:rPr>
      </w:pPr>
      <w:r>
        <w:rPr>
          <w:rFonts w:eastAsia="Yu Mincho"/>
        </w:rPr>
        <w:t>For IAB-DU, the s</w:t>
      </w:r>
      <w:r w:rsidRPr="00DD45FA">
        <w:rPr>
          <w:rFonts w:eastAsia="Yu Mincho"/>
        </w:rPr>
        <w:t xml:space="preserve">ynchronization raster entries </w:t>
      </w:r>
      <w:r>
        <w:rPr>
          <w:rFonts w:eastAsia="Yu Mincho"/>
        </w:rPr>
        <w:t xml:space="preserve">for NR bands for FR1 in Table 5.2-1 and for NR bands for FR2 </w:t>
      </w:r>
      <w:r w:rsidRPr="007F5D7D">
        <w:rPr>
          <w:rFonts w:eastAsia="Yu Mincho"/>
        </w:rPr>
        <w:t>defined in TS38.104</w:t>
      </w:r>
      <w:r>
        <w:rPr>
          <w:rFonts w:eastAsia="Yu Mincho"/>
        </w:rPr>
        <w:t xml:space="preserve"> </w:t>
      </w:r>
      <w:r w:rsidRPr="007F5D7D">
        <w:rPr>
          <w:rFonts w:eastAsia="Yu Mincho"/>
        </w:rPr>
        <w:t xml:space="preserve">[2] </w:t>
      </w:r>
      <w:r>
        <w:rPr>
          <w:rFonts w:eastAsia="Yu Mincho"/>
        </w:rPr>
        <w:t xml:space="preserve">are </w:t>
      </w:r>
      <w:r w:rsidRPr="007F5D7D">
        <w:rPr>
          <w:rFonts w:eastAsia="Yu Mincho"/>
        </w:rPr>
        <w:t xml:space="preserve">the same as </w:t>
      </w:r>
      <w:r>
        <w:rPr>
          <w:rFonts w:eastAsia="Yu Mincho"/>
        </w:rPr>
        <w:t>specified for BS in TS38.104 [2], subclause 5.4.3.3.</w:t>
      </w:r>
    </w:p>
    <w:p w14:paraId="6F69BBC2" w14:textId="194F2A41" w:rsidR="003647F0" w:rsidRPr="002E1777" w:rsidRDefault="002E1777" w:rsidP="00AC7434">
      <w:pPr>
        <w:rPr>
          <w:rFonts w:eastAsia="Yu Mincho"/>
        </w:rPr>
      </w:pPr>
      <w:r>
        <w:rPr>
          <w:rFonts w:eastAsia="Yu Mincho"/>
        </w:rPr>
        <w:t>For IAB-MT, the s</w:t>
      </w:r>
      <w:r w:rsidRPr="00DD45FA">
        <w:rPr>
          <w:rFonts w:eastAsia="Yu Mincho"/>
        </w:rPr>
        <w:t xml:space="preserve">ynchronization raster entries </w:t>
      </w:r>
      <w:r>
        <w:rPr>
          <w:rFonts w:eastAsia="Yu Mincho"/>
        </w:rPr>
        <w:t xml:space="preserve">for NR bands for FR1 in Table 5.2-1 are the same as specified for UE in TS38.101-1 [3] in subclause 5.4.3.3 and for NR bands for FR2 </w:t>
      </w:r>
      <w:r w:rsidRPr="007F5D7D">
        <w:rPr>
          <w:rFonts w:eastAsia="Yu Mincho"/>
        </w:rPr>
        <w:t>defined in TS38.104</w:t>
      </w:r>
      <w:r>
        <w:rPr>
          <w:rFonts w:eastAsia="Yu Mincho"/>
        </w:rPr>
        <w:t xml:space="preserve"> </w:t>
      </w:r>
      <w:r w:rsidRPr="007F5D7D">
        <w:rPr>
          <w:rFonts w:eastAsia="Yu Mincho"/>
        </w:rPr>
        <w:t xml:space="preserve">[2] </w:t>
      </w:r>
      <w:r>
        <w:rPr>
          <w:rFonts w:eastAsia="Yu Mincho"/>
        </w:rPr>
        <w:t>are the same as specified</w:t>
      </w:r>
      <w:r w:rsidRPr="00A77428">
        <w:rPr>
          <w:rFonts w:eastAsia="Yu Mincho"/>
        </w:rPr>
        <w:t xml:space="preserve"> </w:t>
      </w:r>
      <w:r>
        <w:rPr>
          <w:rFonts w:eastAsia="Yu Mincho"/>
        </w:rPr>
        <w:t>for UE in TS38.101-2 [4] in subclause 5.4.3.3.</w:t>
      </w:r>
    </w:p>
    <w:p w14:paraId="25EF87C0" w14:textId="77777777" w:rsidR="003647F0" w:rsidRDefault="00077B6E" w:rsidP="003647F0">
      <w:pPr>
        <w:pStyle w:val="Heading1"/>
      </w:pPr>
      <w:bookmarkStart w:id="881" w:name="_Toc13080157"/>
      <w:bookmarkStart w:id="882" w:name="_Toc18916163"/>
      <w:bookmarkStart w:id="883" w:name="_Toc53185311"/>
      <w:bookmarkStart w:id="884" w:name="_Toc53185687"/>
      <w:bookmarkStart w:id="885" w:name="_Toc57820162"/>
      <w:bookmarkStart w:id="886" w:name="_Toc57821089"/>
      <w:bookmarkStart w:id="887" w:name="_Toc61183365"/>
      <w:bookmarkStart w:id="888" w:name="_Toc61183759"/>
      <w:bookmarkStart w:id="889" w:name="_Toc61184151"/>
      <w:bookmarkStart w:id="890" w:name="_Toc61184543"/>
      <w:bookmarkStart w:id="891" w:name="_Toc61184933"/>
      <w:bookmarkStart w:id="892" w:name="_Toc66386276"/>
      <w:bookmarkStart w:id="893" w:name="_Toc74583117"/>
      <w:bookmarkStart w:id="894" w:name="_Toc76541930"/>
      <w:bookmarkStart w:id="895" w:name="_Toc82449912"/>
      <w:bookmarkStart w:id="896" w:name="_Toc82450560"/>
      <w:bookmarkStart w:id="897" w:name="_Toc89948949"/>
      <w:bookmarkStart w:id="898" w:name="_Toc98755338"/>
      <w:bookmarkStart w:id="899" w:name="_Toc98762928"/>
      <w:bookmarkStart w:id="900" w:name="_Toc106183857"/>
      <w:r w:rsidRPr="007E346D">
        <w:t>6</w:t>
      </w:r>
      <w:r w:rsidRPr="007E346D">
        <w:tab/>
        <w:t>Conducted transmitter characteristics</w:t>
      </w:r>
      <w:bookmarkStart w:id="901" w:name="_Toc13080158"/>
      <w:bookmarkStart w:id="902" w:name="_Toc18916164"/>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p>
    <w:p w14:paraId="6361E251" w14:textId="382B5309" w:rsidR="00077B6E" w:rsidRDefault="00077B6E" w:rsidP="00077B6E">
      <w:pPr>
        <w:pStyle w:val="Heading2"/>
      </w:pPr>
      <w:bookmarkStart w:id="903" w:name="_Toc53185312"/>
      <w:bookmarkStart w:id="904" w:name="_Toc53185688"/>
      <w:bookmarkStart w:id="905" w:name="_Toc57820163"/>
      <w:bookmarkStart w:id="906" w:name="_Toc57821090"/>
      <w:bookmarkStart w:id="907" w:name="_Toc61183366"/>
      <w:bookmarkStart w:id="908" w:name="_Toc61183760"/>
      <w:bookmarkStart w:id="909" w:name="_Toc61184152"/>
      <w:bookmarkStart w:id="910" w:name="_Toc61184544"/>
      <w:bookmarkStart w:id="911" w:name="_Toc61184934"/>
      <w:bookmarkStart w:id="912" w:name="_Toc66386277"/>
      <w:bookmarkStart w:id="913" w:name="_Toc74583118"/>
      <w:bookmarkStart w:id="914" w:name="_Toc76541931"/>
      <w:bookmarkStart w:id="915" w:name="_Toc82449913"/>
      <w:bookmarkStart w:id="916" w:name="_Toc82450561"/>
      <w:bookmarkStart w:id="917" w:name="_Toc89948950"/>
      <w:bookmarkStart w:id="918" w:name="_Toc98755339"/>
      <w:bookmarkStart w:id="919" w:name="_Toc98762929"/>
      <w:bookmarkStart w:id="920" w:name="_Toc106183858"/>
      <w:r w:rsidRPr="007E346D">
        <w:t>6.1</w:t>
      </w:r>
      <w:r w:rsidRPr="007E346D">
        <w:tab/>
        <w:t>General</w:t>
      </w:r>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p>
    <w:p w14:paraId="69BF18F0" w14:textId="77777777" w:rsidR="003E7F64" w:rsidRDefault="003E7F64" w:rsidP="00AC7434">
      <w:r>
        <w:t xml:space="preserve">Unless otherwise stated, the conducted transmitter characteristics are specified </w:t>
      </w:r>
      <w:r>
        <w:rPr>
          <w:lang w:eastAsia="zh-CN"/>
        </w:rPr>
        <w:t xml:space="preserve">at the </w:t>
      </w:r>
      <w:r>
        <w:rPr>
          <w:i/>
          <w:lang w:eastAsia="zh-CN"/>
        </w:rPr>
        <w:t>TAB connector</w:t>
      </w:r>
      <w:r>
        <w:rPr>
          <w:lang w:eastAsia="zh-CN"/>
        </w:rPr>
        <w:t xml:space="preserve"> for </w:t>
      </w:r>
      <w:r>
        <w:rPr>
          <w:i/>
          <w:lang w:eastAsia="zh-CN"/>
        </w:rPr>
        <w:t xml:space="preserve">IAB-DU </w:t>
      </w:r>
      <w:r w:rsidRPr="00702051">
        <w:rPr>
          <w:iCs/>
          <w:lang w:eastAsia="zh-CN"/>
        </w:rPr>
        <w:t>and</w:t>
      </w:r>
      <w:r>
        <w:rPr>
          <w:i/>
          <w:lang w:eastAsia="zh-CN"/>
        </w:rPr>
        <w:t xml:space="preserve"> IAB-MT type 1-H</w:t>
      </w:r>
      <w:r>
        <w:rPr>
          <w:lang w:eastAsia="zh-CN"/>
        </w:rPr>
        <w:t xml:space="preserve">, </w:t>
      </w:r>
      <w:r>
        <w:t>with a full complement of transceiver units for the configuration in normal operating conditions.</w:t>
      </w:r>
    </w:p>
    <w:p w14:paraId="632C9C5B" w14:textId="77777777" w:rsidR="003E7F64" w:rsidRDefault="003E7F64" w:rsidP="00AC7434">
      <w:pPr>
        <w:rPr>
          <w:rFonts w:eastAsia="MS Mincho"/>
          <w:iCs/>
          <w:lang w:eastAsia="ja-JP"/>
        </w:rPr>
      </w:pPr>
      <w:r>
        <w:rPr>
          <w:rFonts w:eastAsia="MS Mincho"/>
          <w:iCs/>
          <w:lang w:eastAsia="ja-JP"/>
        </w:rPr>
        <w:t xml:space="preserve">For </w:t>
      </w:r>
      <w:r>
        <w:rPr>
          <w:i/>
          <w:lang w:eastAsia="zh-CN"/>
        </w:rPr>
        <w:t xml:space="preserve">IAB-DU </w:t>
      </w:r>
      <w:r w:rsidRPr="00C41B39">
        <w:rPr>
          <w:iCs/>
          <w:lang w:eastAsia="zh-CN"/>
        </w:rPr>
        <w:t>and</w:t>
      </w:r>
      <w:r>
        <w:rPr>
          <w:i/>
          <w:lang w:eastAsia="zh-CN"/>
        </w:rPr>
        <w:t xml:space="preserve"> IAB-MT</w:t>
      </w:r>
      <w:r w:rsidDel="005A5F48">
        <w:rPr>
          <w:rStyle w:val="CommentReference"/>
        </w:rPr>
        <w:t xml:space="preserve"> </w:t>
      </w:r>
      <w:r>
        <w:rPr>
          <w:rFonts w:eastAsia="MS Mincho"/>
          <w:i/>
          <w:iCs/>
          <w:lang w:eastAsia="ja-JP"/>
        </w:rPr>
        <w:t>type 1-H</w:t>
      </w:r>
      <w:r>
        <w:rPr>
          <w:rFonts w:eastAsia="MS Mincho"/>
          <w:iCs/>
          <w:lang w:eastAsia="ja-JP"/>
        </w:rPr>
        <w:t xml:space="preserve"> the manufacturer shall declare the minimum number of supported geographical cells (i.e. geographical areas c</w:t>
      </w:r>
      <w:r>
        <w:t>overed by beams</w:t>
      </w:r>
      <w:r>
        <w:rPr>
          <w:rFonts w:eastAsia="MS Mincho"/>
          <w:iCs/>
          <w:lang w:eastAsia="ja-JP"/>
        </w:rPr>
        <w:t>). The declaration is done separately for IAB-DU and IAB-MT. The minimum number of supported geographical cells (N</w:t>
      </w:r>
      <w:r>
        <w:rPr>
          <w:rFonts w:eastAsia="MS Mincho"/>
          <w:iCs/>
          <w:vertAlign w:val="subscript"/>
          <w:lang w:eastAsia="ja-JP"/>
        </w:rPr>
        <w:t>cells</w:t>
      </w:r>
      <w:r>
        <w:rPr>
          <w:rFonts w:eastAsia="MS Mincho"/>
          <w:iCs/>
          <w:lang w:eastAsia="ja-JP"/>
        </w:rPr>
        <w:t xml:space="preserve">) relates to the setting with the minimum amount of cell splitting supported with transmission on all </w:t>
      </w:r>
      <w:r>
        <w:rPr>
          <w:rFonts w:eastAsia="MS Mincho"/>
          <w:i/>
          <w:iCs/>
          <w:lang w:eastAsia="ja-JP"/>
        </w:rPr>
        <w:t>TAB connectors</w:t>
      </w:r>
      <w:r>
        <w:rPr>
          <w:rFonts w:eastAsia="MS Mincho"/>
          <w:iCs/>
          <w:lang w:eastAsia="ja-JP"/>
        </w:rPr>
        <w:t xml:space="preserve"> supporting the </w:t>
      </w:r>
      <w:r>
        <w:rPr>
          <w:rFonts w:eastAsia="MS Mincho"/>
          <w:i/>
          <w:iCs/>
          <w:lang w:eastAsia="ja-JP"/>
        </w:rPr>
        <w:t>operating band</w:t>
      </w:r>
      <w:r>
        <w:rPr>
          <w:rFonts w:eastAsia="MS Mincho"/>
          <w:iCs/>
          <w:lang w:eastAsia="ja-JP"/>
        </w:rPr>
        <w:t xml:space="preserve">, </w:t>
      </w:r>
      <w:r>
        <w:t>or with minimum amount of transmitted beams</w:t>
      </w:r>
      <w:r>
        <w:rPr>
          <w:rFonts w:eastAsia="MS Mincho"/>
          <w:iCs/>
          <w:lang w:eastAsia="ja-JP"/>
        </w:rPr>
        <w:t>.</w:t>
      </w:r>
    </w:p>
    <w:p w14:paraId="417741D9" w14:textId="77777777" w:rsidR="003E7F64" w:rsidRDefault="003E7F64" w:rsidP="00AC7434">
      <w:pPr>
        <w:rPr>
          <w:rFonts w:eastAsia="MS Mincho"/>
          <w:iCs/>
          <w:lang w:eastAsia="ja-JP"/>
        </w:rPr>
      </w:pPr>
      <w:r>
        <w:rPr>
          <w:rFonts w:eastAsia="MS Mincho"/>
          <w:iCs/>
          <w:lang w:eastAsia="ja-JP"/>
        </w:rPr>
        <w:t xml:space="preserve">For </w:t>
      </w:r>
      <w:r>
        <w:rPr>
          <w:i/>
          <w:lang w:eastAsia="zh-CN"/>
        </w:rPr>
        <w:t xml:space="preserve">IAB-DU </w:t>
      </w:r>
      <w:r w:rsidRPr="00C41B39">
        <w:rPr>
          <w:iCs/>
          <w:lang w:eastAsia="zh-CN"/>
        </w:rPr>
        <w:t>and</w:t>
      </w:r>
      <w:r>
        <w:rPr>
          <w:i/>
          <w:lang w:eastAsia="zh-CN"/>
        </w:rPr>
        <w:t xml:space="preserve"> IAB-MT</w:t>
      </w:r>
      <w:r w:rsidDel="005A5F48">
        <w:rPr>
          <w:rStyle w:val="CommentReference"/>
        </w:rPr>
        <w:t xml:space="preserve"> </w:t>
      </w:r>
      <w:r>
        <w:rPr>
          <w:rFonts w:eastAsia="MS Mincho"/>
          <w:i/>
          <w:iCs/>
          <w:lang w:eastAsia="ja-JP"/>
        </w:rPr>
        <w:t>type 1-H</w:t>
      </w:r>
      <w:r>
        <w:rPr>
          <w:rFonts w:eastAsia="MS Mincho"/>
          <w:iCs/>
          <w:lang w:eastAsia="ja-JP"/>
        </w:rPr>
        <w:t xml:space="preserve"> manufacturer shall also declare </w:t>
      </w:r>
      <w:r>
        <w:rPr>
          <w:rFonts w:eastAsia="MS Mincho"/>
          <w:i/>
          <w:iCs/>
          <w:lang w:eastAsia="ja-JP"/>
        </w:rPr>
        <w:t>TAB connector TX min cell groups</w:t>
      </w:r>
      <w:r>
        <w:rPr>
          <w:rFonts w:eastAsia="MS Mincho"/>
          <w:iCs/>
          <w:lang w:eastAsia="ja-JP"/>
        </w:rPr>
        <w:t xml:space="preserve">. The declaration is done separately for IAB-DU and IAB-MT. </w:t>
      </w:r>
      <w:r>
        <w:t xml:space="preserve">Every </w:t>
      </w:r>
      <w:r>
        <w:rPr>
          <w:i/>
        </w:rPr>
        <w:t>TAB connector</w:t>
      </w:r>
      <w:r>
        <w:t xml:space="preserve"> of the </w:t>
      </w:r>
      <w:r>
        <w:rPr>
          <w:i/>
        </w:rPr>
        <w:t>IAB-DU type 1-H</w:t>
      </w:r>
      <w:r>
        <w:t xml:space="preserve"> and IAB-MT type 1-H supporting transmission in an </w:t>
      </w:r>
      <w:r>
        <w:rPr>
          <w:i/>
        </w:rPr>
        <w:t>operating band</w:t>
      </w:r>
      <w:r>
        <w:t xml:space="preserve"> shall map to one </w:t>
      </w:r>
      <w:r>
        <w:rPr>
          <w:i/>
        </w:rPr>
        <w:t>TAB connector</w:t>
      </w:r>
      <w:r>
        <w:t xml:space="preserve"> </w:t>
      </w:r>
      <w:r>
        <w:rPr>
          <w:i/>
        </w:rPr>
        <w:t>TX min cell group</w:t>
      </w:r>
      <w:r>
        <w:t xml:space="preserve"> supporting the same </w:t>
      </w:r>
      <w:r>
        <w:rPr>
          <w:i/>
        </w:rPr>
        <w:t>operating band</w:t>
      </w:r>
      <w:r>
        <w:t>,</w:t>
      </w:r>
      <w:r>
        <w:rPr>
          <w:i/>
        </w:rPr>
        <w:t xml:space="preserve"> </w:t>
      </w:r>
      <w:r>
        <w:t xml:space="preserve">where </w:t>
      </w:r>
      <w:r>
        <w:rPr>
          <w:rFonts w:eastAsia="MS Mincho"/>
          <w:iCs/>
          <w:lang w:eastAsia="ja-JP"/>
        </w:rPr>
        <w:t xml:space="preserve">mapping of </w:t>
      </w:r>
      <w:r>
        <w:rPr>
          <w:rFonts w:eastAsia="MS Mincho"/>
          <w:i/>
          <w:iCs/>
          <w:lang w:eastAsia="ja-JP"/>
        </w:rPr>
        <w:t>TAB connector</w:t>
      </w:r>
      <w:r>
        <w:rPr>
          <w:rFonts w:eastAsia="MS Mincho"/>
          <w:iCs/>
          <w:lang w:eastAsia="ja-JP"/>
        </w:rPr>
        <w:t>s to cells/beams is implementation dependent.</w:t>
      </w:r>
    </w:p>
    <w:p w14:paraId="1726062A" w14:textId="77777777" w:rsidR="003E7F64" w:rsidRDefault="003E7F64" w:rsidP="00AC7434">
      <w:pPr>
        <w:rPr>
          <w:rFonts w:eastAsia="MS Mincho"/>
          <w:iCs/>
          <w:lang w:eastAsia="ja-JP"/>
        </w:rPr>
      </w:pPr>
      <w:r>
        <w:rPr>
          <w:rFonts w:eastAsia="MS Mincho"/>
          <w:iCs/>
          <w:lang w:eastAsia="ja-JP"/>
        </w:rPr>
        <w:t xml:space="preserve">The number of </w:t>
      </w:r>
      <w:r>
        <w:rPr>
          <w:rFonts w:eastAsia="MS Mincho"/>
          <w:i/>
          <w:iCs/>
          <w:lang w:eastAsia="ja-JP"/>
        </w:rPr>
        <w:t>active transmitter units</w:t>
      </w:r>
      <w:r>
        <w:rPr>
          <w:rFonts w:eastAsia="MS Mincho"/>
          <w:iCs/>
          <w:lang w:eastAsia="ja-JP"/>
        </w:rPr>
        <w:t xml:space="preserve"> that are considered when calculating the conducted TX emissions limits (N</w:t>
      </w:r>
      <w:r>
        <w:rPr>
          <w:rFonts w:eastAsia="MS Mincho"/>
          <w:iCs/>
          <w:vertAlign w:val="subscript"/>
          <w:lang w:eastAsia="ja-JP"/>
        </w:rPr>
        <w:t>TXU,counted</w:t>
      </w:r>
      <w:r>
        <w:rPr>
          <w:rFonts w:eastAsia="MS Mincho"/>
          <w:iCs/>
          <w:lang w:eastAsia="ja-JP"/>
        </w:rPr>
        <w:t xml:space="preserve">) for </w:t>
      </w:r>
      <w:r>
        <w:rPr>
          <w:i/>
        </w:rPr>
        <w:t>IAB-DU and IAB-MT type 1-H</w:t>
      </w:r>
      <w:r>
        <w:rPr>
          <w:rFonts w:eastAsia="MS Mincho"/>
          <w:iCs/>
          <w:lang w:eastAsia="ja-JP"/>
        </w:rPr>
        <w:t xml:space="preserve"> is calculated as follows:</w:t>
      </w:r>
    </w:p>
    <w:p w14:paraId="28C7350D" w14:textId="77777777" w:rsidR="003E7F64" w:rsidRDefault="003E7F64" w:rsidP="003E7F64">
      <w:pPr>
        <w:pStyle w:val="B10"/>
        <w:rPr>
          <w:lang w:eastAsia="ja-JP"/>
        </w:rPr>
      </w:pPr>
      <w:r>
        <w:rPr>
          <w:rFonts w:eastAsia="MS Mincho"/>
          <w:lang w:eastAsia="ja-JP"/>
        </w:rPr>
        <w:tab/>
        <w:t>N</w:t>
      </w:r>
      <w:r>
        <w:rPr>
          <w:rFonts w:eastAsia="MS Mincho"/>
          <w:vertAlign w:val="subscript"/>
          <w:lang w:eastAsia="ja-JP"/>
        </w:rPr>
        <w:t>TXU,counted</w:t>
      </w:r>
      <w:r>
        <w:rPr>
          <w:lang w:eastAsia="ja-JP"/>
        </w:rPr>
        <w:t xml:space="preserve"> = </w:t>
      </w:r>
      <w:r>
        <w:rPr>
          <w:i/>
          <w:lang w:eastAsia="ja-JP"/>
        </w:rPr>
        <w:t>min(N</w:t>
      </w:r>
      <w:r>
        <w:rPr>
          <w:i/>
          <w:vertAlign w:val="subscript"/>
          <w:lang w:eastAsia="ja-JP"/>
        </w:rPr>
        <w:t>TXU,active</w:t>
      </w:r>
      <w:r>
        <w:rPr>
          <w:i/>
          <w:lang w:eastAsia="ja-JP"/>
        </w:rPr>
        <w:t xml:space="preserve"> , 8×N</w:t>
      </w:r>
      <w:r>
        <w:rPr>
          <w:i/>
          <w:vertAlign w:val="subscript"/>
          <w:lang w:eastAsia="ja-JP"/>
        </w:rPr>
        <w:t>cells</w:t>
      </w:r>
      <w:r>
        <w:rPr>
          <w:i/>
          <w:lang w:eastAsia="ja-JP"/>
        </w:rPr>
        <w:t>)</w:t>
      </w:r>
    </w:p>
    <w:p w14:paraId="7D4B0B9C" w14:textId="77777777" w:rsidR="003E7F64" w:rsidRDefault="003E7F64" w:rsidP="003E7F64">
      <w:pPr>
        <w:rPr>
          <w:rFonts w:eastAsia="MS Mincho"/>
          <w:lang w:eastAsia="ja-JP"/>
        </w:rPr>
      </w:pPr>
      <w:r>
        <w:t>N</w:t>
      </w:r>
      <w:r>
        <w:rPr>
          <w:vertAlign w:val="subscript"/>
        </w:rPr>
        <w:t>TXU,countedpercell</w:t>
      </w:r>
      <w:r>
        <w:rPr>
          <w:rFonts w:eastAsia="MS Mincho"/>
          <w:lang w:eastAsia="ja-JP"/>
        </w:rPr>
        <w:t xml:space="preserve"> is used for scaling of </w:t>
      </w:r>
      <w:r>
        <w:rPr>
          <w:rFonts w:eastAsia="MS Mincho"/>
          <w:i/>
          <w:lang w:eastAsia="ja-JP"/>
        </w:rPr>
        <w:t>basic limits</w:t>
      </w:r>
      <w:r>
        <w:rPr>
          <w:rFonts w:eastAsia="MS Mincho"/>
          <w:lang w:eastAsia="ja-JP"/>
        </w:rPr>
        <w:t xml:space="preserve"> and is derived as </w:t>
      </w:r>
      <w:r>
        <w:t>N</w:t>
      </w:r>
      <w:r>
        <w:rPr>
          <w:vertAlign w:val="subscript"/>
        </w:rPr>
        <w:t xml:space="preserve">TXU,countedpercell </w:t>
      </w:r>
      <w:r>
        <w:t xml:space="preserve">= </w:t>
      </w:r>
      <w:r>
        <w:rPr>
          <w:iCs/>
          <w:lang w:eastAsia="ja-JP"/>
        </w:rPr>
        <w:t>N</w:t>
      </w:r>
      <w:r>
        <w:rPr>
          <w:iCs/>
          <w:vertAlign w:val="subscript"/>
          <w:lang w:eastAsia="ja-JP"/>
        </w:rPr>
        <w:t xml:space="preserve">TXU,counted </w:t>
      </w:r>
      <w:r>
        <w:rPr>
          <w:iCs/>
          <w:lang w:eastAsia="ja-JP"/>
        </w:rPr>
        <w:t>/ N</w:t>
      </w:r>
      <w:r>
        <w:rPr>
          <w:iCs/>
          <w:vertAlign w:val="subscript"/>
          <w:lang w:eastAsia="ja-JP"/>
        </w:rPr>
        <w:t>cells</w:t>
      </w:r>
    </w:p>
    <w:p w14:paraId="711D55AF" w14:textId="5049D545" w:rsidR="003E7F64" w:rsidRPr="002E1777" w:rsidRDefault="003E7F64" w:rsidP="002E1777">
      <w:pPr>
        <w:pStyle w:val="NO"/>
        <w:rPr>
          <w:rFonts w:eastAsia="MS Mincho"/>
        </w:rPr>
      </w:pPr>
      <w:r>
        <w:t>NOTE:</w:t>
      </w:r>
      <w:r>
        <w:tab/>
        <w:t>N</w:t>
      </w:r>
      <w:r>
        <w:rPr>
          <w:vertAlign w:val="subscript"/>
        </w:rPr>
        <w:t>TXU,active</w:t>
      </w:r>
      <w:r>
        <w:t xml:space="preserve"> </w:t>
      </w:r>
      <w:r>
        <w:rPr>
          <w:rFonts w:eastAsia="MS Mincho"/>
        </w:rPr>
        <w:t xml:space="preserve">depends on the actual number of </w:t>
      </w:r>
      <w:r>
        <w:rPr>
          <w:rFonts w:eastAsia="MS Mincho"/>
          <w:i/>
        </w:rPr>
        <w:t>active transmitter unit</w:t>
      </w:r>
      <w:r>
        <w:rPr>
          <w:rFonts w:eastAsia="MS Mincho"/>
        </w:rPr>
        <w:t>s</w:t>
      </w:r>
      <w:r>
        <w:t xml:space="preserve"> and is independent to the declaration of N</w:t>
      </w:r>
      <w:r>
        <w:rPr>
          <w:vertAlign w:val="subscript"/>
        </w:rPr>
        <w:t>cells</w:t>
      </w:r>
      <w:r>
        <w:rPr>
          <w:rFonts w:eastAsia="MS Mincho"/>
        </w:rPr>
        <w:t>.</w:t>
      </w:r>
    </w:p>
    <w:p w14:paraId="0FC32118" w14:textId="6373CFF0" w:rsidR="00AB1323" w:rsidRPr="0004701B" w:rsidRDefault="00077B6E" w:rsidP="00AC7434">
      <w:pPr>
        <w:pStyle w:val="Heading2"/>
      </w:pPr>
      <w:bookmarkStart w:id="921" w:name="_Toc13080159"/>
      <w:bookmarkStart w:id="922" w:name="_Toc18916165"/>
      <w:bookmarkStart w:id="923" w:name="_Toc53185313"/>
      <w:bookmarkStart w:id="924" w:name="_Toc53185689"/>
      <w:bookmarkStart w:id="925" w:name="_Toc57820164"/>
      <w:bookmarkStart w:id="926" w:name="_Toc57821091"/>
      <w:bookmarkStart w:id="927" w:name="_Toc61183367"/>
      <w:bookmarkStart w:id="928" w:name="_Toc61183761"/>
      <w:bookmarkStart w:id="929" w:name="_Toc61184153"/>
      <w:bookmarkStart w:id="930" w:name="_Toc61184545"/>
      <w:bookmarkStart w:id="931" w:name="_Toc61184935"/>
      <w:bookmarkStart w:id="932" w:name="_Toc66386278"/>
      <w:bookmarkStart w:id="933" w:name="_Toc74583119"/>
      <w:bookmarkStart w:id="934" w:name="_Toc76541932"/>
      <w:bookmarkStart w:id="935" w:name="_Toc82449914"/>
      <w:bookmarkStart w:id="936" w:name="_Toc82450562"/>
      <w:bookmarkStart w:id="937" w:name="_Toc89948951"/>
      <w:bookmarkStart w:id="938" w:name="_Toc98755340"/>
      <w:bookmarkStart w:id="939" w:name="_Toc98762930"/>
      <w:bookmarkStart w:id="940" w:name="_Toc106183859"/>
      <w:r w:rsidRPr="007E346D">
        <w:t>6.2</w:t>
      </w:r>
      <w:r w:rsidRPr="007E346D">
        <w:tab/>
      </w:r>
      <w:r w:rsidR="0004701B">
        <w:rPr>
          <w:rFonts w:eastAsiaTheme="minorEastAsia" w:hint="eastAsia"/>
          <w:lang w:eastAsia="zh-CN"/>
        </w:rPr>
        <w:t xml:space="preserve">IAB </w:t>
      </w:r>
      <w:r w:rsidRPr="007E346D">
        <w:t>output power</w:t>
      </w:r>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p>
    <w:p w14:paraId="3BD51F7E" w14:textId="31A46576" w:rsidR="00574E0C" w:rsidRDefault="00574E0C" w:rsidP="00574E0C">
      <w:pPr>
        <w:pStyle w:val="Heading3"/>
      </w:pPr>
      <w:bookmarkStart w:id="941" w:name="_Toc53185314"/>
      <w:bookmarkStart w:id="942" w:name="_Toc53185690"/>
      <w:bookmarkStart w:id="943" w:name="_Toc57820165"/>
      <w:bookmarkStart w:id="944" w:name="_Toc57821092"/>
      <w:bookmarkStart w:id="945" w:name="_Toc61183368"/>
      <w:bookmarkStart w:id="946" w:name="_Toc61183762"/>
      <w:bookmarkStart w:id="947" w:name="_Toc61184154"/>
      <w:bookmarkStart w:id="948" w:name="_Toc61184546"/>
      <w:bookmarkStart w:id="949" w:name="_Toc61184936"/>
      <w:bookmarkStart w:id="950" w:name="_Toc66386279"/>
      <w:bookmarkStart w:id="951" w:name="_Toc74583120"/>
      <w:bookmarkStart w:id="952" w:name="_Toc76541933"/>
      <w:bookmarkStart w:id="953" w:name="_Toc82449915"/>
      <w:bookmarkStart w:id="954" w:name="_Toc82450563"/>
      <w:bookmarkStart w:id="955" w:name="_Toc89948952"/>
      <w:bookmarkStart w:id="956" w:name="_Toc98755341"/>
      <w:bookmarkStart w:id="957" w:name="_Toc98762931"/>
      <w:bookmarkStart w:id="958" w:name="_Toc106183860"/>
      <w:bookmarkStart w:id="959" w:name="_Toc13080164"/>
      <w:bookmarkStart w:id="960" w:name="_Toc18916166"/>
      <w:bookmarkStart w:id="961" w:name="_Hlk500499395"/>
      <w:bookmarkStart w:id="962" w:name="_Hlk497658293"/>
      <w:r>
        <w:t>6.2.1</w:t>
      </w:r>
      <w:r w:rsidR="00AC7434">
        <w:tab/>
      </w:r>
      <w:r w:rsidR="00D50FC0">
        <w:t>General</w:t>
      </w:r>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p>
    <w:p w14:paraId="1A20D0BE" w14:textId="77777777" w:rsidR="00112C47" w:rsidRDefault="00112C47" w:rsidP="00112C47">
      <w:pPr>
        <w:rPr>
          <w:lang w:eastAsia="zh-CN"/>
        </w:rPr>
      </w:pPr>
      <w:r>
        <w:rPr>
          <w:lang w:eastAsia="zh-CN"/>
        </w:rPr>
        <w:t xml:space="preserve">The IAB type 1-H conducted output power requirement is at </w:t>
      </w:r>
      <w:r>
        <w:rPr>
          <w:i/>
          <w:lang w:eastAsia="zh-CN"/>
        </w:rPr>
        <w:t>TAB connector</w:t>
      </w:r>
      <w:r>
        <w:rPr>
          <w:lang w:eastAsia="zh-CN"/>
        </w:rPr>
        <w:t xml:space="preserve"> for </w:t>
      </w:r>
      <w:r>
        <w:rPr>
          <w:i/>
          <w:lang w:eastAsia="zh-CN"/>
        </w:rPr>
        <w:t>IAB type 1-H</w:t>
      </w:r>
      <w:r>
        <w:rPr>
          <w:lang w:eastAsia="zh-CN"/>
        </w:rPr>
        <w:t>.</w:t>
      </w:r>
    </w:p>
    <w:p w14:paraId="77F4B6BA" w14:textId="77777777" w:rsidR="00112C47" w:rsidRDefault="00112C47" w:rsidP="00112C47">
      <w:pPr>
        <w:rPr>
          <w:lang w:eastAsia="zh-CN"/>
        </w:rPr>
      </w:pPr>
      <w:r>
        <w:t xml:space="preserve">The </w:t>
      </w:r>
      <w:r>
        <w:rPr>
          <w:i/>
        </w:rPr>
        <w:t>rated carrier output power</w:t>
      </w:r>
      <w:r>
        <w:t xml:space="preserve"> of the </w:t>
      </w:r>
      <w:r>
        <w:rPr>
          <w:i/>
        </w:rPr>
        <w:t xml:space="preserve">IAB type 1-H </w:t>
      </w:r>
      <w:r>
        <w:t xml:space="preserve">shall be as specified in table 6.2.1-1 for </w:t>
      </w:r>
      <w:r w:rsidRPr="00702051">
        <w:rPr>
          <w:i/>
          <w:iCs/>
        </w:rPr>
        <w:t>IAB-DU type 1-H</w:t>
      </w:r>
      <w:r>
        <w:t xml:space="preserve"> and in table 6.2.1-2 for </w:t>
      </w:r>
      <w:r w:rsidRPr="00702051">
        <w:rPr>
          <w:i/>
          <w:iCs/>
        </w:rPr>
        <w:t>IAB-MT type 1-H</w:t>
      </w:r>
      <w:r>
        <w:t>.</w:t>
      </w:r>
    </w:p>
    <w:p w14:paraId="0212F622" w14:textId="77777777" w:rsidR="00112C47" w:rsidRDefault="00112C47" w:rsidP="00AC7434">
      <w:pPr>
        <w:pStyle w:val="TH"/>
      </w:pPr>
      <w:r>
        <w:lastRenderedPageBreak/>
        <w:t xml:space="preserve">Table 6.2.1-1: </w:t>
      </w:r>
      <w:r>
        <w:rPr>
          <w:i/>
        </w:rPr>
        <w:t>IAB-DU type 1-H</w:t>
      </w:r>
      <w:r>
        <w:t xml:space="preserve"> rated output power limits for IAB-DU classes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4A0" w:firstRow="1" w:lastRow="0" w:firstColumn="1" w:lastColumn="0" w:noHBand="0" w:noVBand="1"/>
      </w:tblPr>
      <w:tblGrid>
        <w:gridCol w:w="2677"/>
        <w:gridCol w:w="3253"/>
        <w:gridCol w:w="1350"/>
      </w:tblGrid>
      <w:tr w:rsidR="00112C47" w14:paraId="04592036" w14:textId="77777777" w:rsidTr="00BD1F8C">
        <w:trPr>
          <w:tblHeader/>
          <w:jc w:val="center"/>
        </w:trPr>
        <w:tc>
          <w:tcPr>
            <w:tcW w:w="0" w:type="auto"/>
            <w:tcBorders>
              <w:top w:val="single" w:sz="6" w:space="0" w:color="auto"/>
              <w:left w:val="single" w:sz="6" w:space="0" w:color="auto"/>
              <w:bottom w:val="single" w:sz="6" w:space="0" w:color="auto"/>
              <w:right w:val="single" w:sz="6" w:space="0" w:color="auto"/>
            </w:tcBorders>
            <w:hideMark/>
          </w:tcPr>
          <w:p w14:paraId="2C7933DF" w14:textId="77777777" w:rsidR="00112C47" w:rsidRDefault="00112C47" w:rsidP="00AC7434">
            <w:pPr>
              <w:pStyle w:val="TAH"/>
            </w:pPr>
            <w:r>
              <w:t>IAB-DU class</w:t>
            </w:r>
          </w:p>
        </w:tc>
        <w:tc>
          <w:tcPr>
            <w:tcW w:w="0" w:type="auto"/>
            <w:tcBorders>
              <w:top w:val="single" w:sz="6" w:space="0" w:color="auto"/>
              <w:left w:val="single" w:sz="6" w:space="0" w:color="auto"/>
              <w:bottom w:val="single" w:sz="6" w:space="0" w:color="auto"/>
              <w:right w:val="single" w:sz="6" w:space="0" w:color="auto"/>
            </w:tcBorders>
            <w:hideMark/>
          </w:tcPr>
          <w:p w14:paraId="40C7AA5C" w14:textId="77777777" w:rsidR="00112C47" w:rsidRDefault="00112C47" w:rsidP="00AC7434">
            <w:pPr>
              <w:pStyle w:val="TAH"/>
            </w:pPr>
            <w:r>
              <w:t>P</w:t>
            </w:r>
            <w:r>
              <w:rPr>
                <w:vertAlign w:val="subscript"/>
              </w:rPr>
              <w:t>rated,c,sys</w:t>
            </w:r>
          </w:p>
        </w:tc>
        <w:tc>
          <w:tcPr>
            <w:tcW w:w="0" w:type="auto"/>
            <w:tcBorders>
              <w:top w:val="single" w:sz="6" w:space="0" w:color="auto"/>
              <w:left w:val="single" w:sz="6" w:space="0" w:color="auto"/>
              <w:bottom w:val="single" w:sz="6" w:space="0" w:color="auto"/>
              <w:right w:val="single" w:sz="6" w:space="0" w:color="auto"/>
            </w:tcBorders>
            <w:hideMark/>
          </w:tcPr>
          <w:p w14:paraId="46DF6CAE" w14:textId="77777777" w:rsidR="00112C47" w:rsidRDefault="00112C47" w:rsidP="00AC7434">
            <w:pPr>
              <w:pStyle w:val="TAH"/>
            </w:pPr>
            <w:r>
              <w:t>P</w:t>
            </w:r>
            <w:r>
              <w:rPr>
                <w:vertAlign w:val="subscript"/>
              </w:rPr>
              <w:t>rated,c,TABC</w:t>
            </w:r>
          </w:p>
        </w:tc>
      </w:tr>
      <w:tr w:rsidR="00112C47" w14:paraId="5E9FC7C5" w14:textId="77777777" w:rsidTr="00BD1F8C">
        <w:trPr>
          <w:jc w:val="center"/>
        </w:trPr>
        <w:tc>
          <w:tcPr>
            <w:tcW w:w="0" w:type="auto"/>
            <w:tcBorders>
              <w:top w:val="single" w:sz="6" w:space="0" w:color="auto"/>
              <w:left w:val="single" w:sz="6" w:space="0" w:color="auto"/>
              <w:bottom w:val="single" w:sz="6" w:space="0" w:color="auto"/>
              <w:right w:val="single" w:sz="6" w:space="0" w:color="auto"/>
            </w:tcBorders>
            <w:hideMark/>
          </w:tcPr>
          <w:p w14:paraId="6A3578A7" w14:textId="77777777" w:rsidR="00112C47" w:rsidRDefault="00112C47" w:rsidP="00AC7434">
            <w:pPr>
              <w:pStyle w:val="TAC"/>
              <w:rPr>
                <w:lang w:eastAsia="zh-CN"/>
              </w:rPr>
            </w:pPr>
            <w:r>
              <w:rPr>
                <w:lang w:eastAsia="zh-CN"/>
              </w:rPr>
              <w:t>Wide Area IAB-DU</w:t>
            </w:r>
          </w:p>
        </w:tc>
        <w:tc>
          <w:tcPr>
            <w:tcW w:w="0" w:type="auto"/>
            <w:tcBorders>
              <w:top w:val="single" w:sz="6" w:space="0" w:color="auto"/>
              <w:left w:val="single" w:sz="6" w:space="0" w:color="auto"/>
              <w:bottom w:val="single" w:sz="6" w:space="0" w:color="auto"/>
              <w:right w:val="single" w:sz="6" w:space="0" w:color="auto"/>
            </w:tcBorders>
            <w:hideMark/>
          </w:tcPr>
          <w:p w14:paraId="206291FC" w14:textId="77777777" w:rsidR="00112C47" w:rsidRDefault="00112C47" w:rsidP="00AC7434">
            <w:pPr>
              <w:pStyle w:val="TAC"/>
              <w:rPr>
                <w:lang w:eastAsia="ja-JP"/>
              </w:rPr>
            </w:pPr>
            <w:r>
              <w:rPr>
                <w:lang w:eastAsia="ja-JP"/>
              </w:rPr>
              <w:t>(Note)</w:t>
            </w:r>
          </w:p>
        </w:tc>
        <w:tc>
          <w:tcPr>
            <w:tcW w:w="0" w:type="auto"/>
            <w:tcBorders>
              <w:top w:val="single" w:sz="6" w:space="0" w:color="auto"/>
              <w:left w:val="single" w:sz="6" w:space="0" w:color="auto"/>
              <w:bottom w:val="single" w:sz="6" w:space="0" w:color="auto"/>
              <w:right w:val="single" w:sz="6" w:space="0" w:color="auto"/>
            </w:tcBorders>
            <w:hideMark/>
          </w:tcPr>
          <w:p w14:paraId="008738EF" w14:textId="77777777" w:rsidR="00112C47" w:rsidRDefault="00112C47" w:rsidP="00AC7434">
            <w:pPr>
              <w:pStyle w:val="TAC"/>
              <w:rPr>
                <w:lang w:eastAsia="ja-JP"/>
              </w:rPr>
            </w:pPr>
            <w:r>
              <w:rPr>
                <w:lang w:eastAsia="ja-JP"/>
              </w:rPr>
              <w:t>(Note)</w:t>
            </w:r>
          </w:p>
        </w:tc>
      </w:tr>
      <w:tr w:rsidR="00112C47" w14:paraId="6A88EACD" w14:textId="77777777" w:rsidTr="00BD1F8C">
        <w:trPr>
          <w:jc w:val="center"/>
        </w:trPr>
        <w:tc>
          <w:tcPr>
            <w:tcW w:w="0" w:type="auto"/>
            <w:tcBorders>
              <w:top w:val="single" w:sz="6" w:space="0" w:color="auto"/>
              <w:left w:val="single" w:sz="6" w:space="0" w:color="auto"/>
              <w:bottom w:val="single" w:sz="6" w:space="0" w:color="auto"/>
              <w:right w:val="single" w:sz="6" w:space="0" w:color="auto"/>
            </w:tcBorders>
            <w:hideMark/>
          </w:tcPr>
          <w:p w14:paraId="32BFAB15" w14:textId="77777777" w:rsidR="00112C47" w:rsidRDefault="00112C47" w:rsidP="00AC7434">
            <w:pPr>
              <w:pStyle w:val="TAC"/>
              <w:rPr>
                <w:lang w:eastAsia="zh-CN"/>
              </w:rPr>
            </w:pPr>
            <w:r>
              <w:rPr>
                <w:lang w:eastAsia="zh-CN"/>
              </w:rPr>
              <w:t>Medium Range IAB-DU</w:t>
            </w:r>
          </w:p>
        </w:tc>
        <w:tc>
          <w:tcPr>
            <w:tcW w:w="0" w:type="auto"/>
            <w:tcBorders>
              <w:top w:val="single" w:sz="6" w:space="0" w:color="auto"/>
              <w:left w:val="single" w:sz="6" w:space="0" w:color="auto"/>
              <w:bottom w:val="single" w:sz="6" w:space="0" w:color="auto"/>
              <w:right w:val="single" w:sz="6" w:space="0" w:color="auto"/>
            </w:tcBorders>
            <w:hideMark/>
          </w:tcPr>
          <w:p w14:paraId="7E1313C0" w14:textId="77777777" w:rsidR="00112C47" w:rsidRDefault="00112C47" w:rsidP="00AC7434">
            <w:pPr>
              <w:pStyle w:val="TAC"/>
              <w:rPr>
                <w:lang w:eastAsia="ja-JP"/>
              </w:rPr>
            </w:pPr>
            <w:r>
              <w:rPr>
                <w:lang w:eastAsia="ja-JP"/>
              </w:rPr>
              <w:t>≤ 38 dBm +10log(</w:t>
            </w:r>
            <w:r>
              <w:rPr>
                <w:rFonts w:eastAsia="MS Mincho"/>
                <w:iCs/>
                <w:lang w:eastAsia="ja-JP"/>
              </w:rPr>
              <w:t>N</w:t>
            </w:r>
            <w:r>
              <w:rPr>
                <w:rFonts w:eastAsia="MS Mincho"/>
                <w:iCs/>
                <w:vertAlign w:val="subscript"/>
                <w:lang w:eastAsia="ja-JP"/>
              </w:rPr>
              <w:t>TXU,counted</w:t>
            </w:r>
            <w:r>
              <w:rPr>
                <w:lang w:eastAsia="ja-JP"/>
              </w:rPr>
              <w:t>)</w:t>
            </w:r>
          </w:p>
        </w:tc>
        <w:tc>
          <w:tcPr>
            <w:tcW w:w="0" w:type="auto"/>
            <w:tcBorders>
              <w:top w:val="single" w:sz="6" w:space="0" w:color="auto"/>
              <w:left w:val="single" w:sz="6" w:space="0" w:color="auto"/>
              <w:bottom w:val="single" w:sz="6" w:space="0" w:color="auto"/>
              <w:right w:val="single" w:sz="6" w:space="0" w:color="auto"/>
            </w:tcBorders>
            <w:hideMark/>
          </w:tcPr>
          <w:p w14:paraId="3CE9A5C2" w14:textId="77777777" w:rsidR="00112C47" w:rsidRDefault="00112C47" w:rsidP="00AC7434">
            <w:pPr>
              <w:pStyle w:val="TAC"/>
              <w:rPr>
                <w:lang w:eastAsia="ja-JP"/>
              </w:rPr>
            </w:pPr>
            <w:r>
              <w:rPr>
                <w:lang w:eastAsia="ja-JP"/>
              </w:rPr>
              <w:t>≤ 38 dBm</w:t>
            </w:r>
          </w:p>
        </w:tc>
      </w:tr>
      <w:tr w:rsidR="00112C47" w14:paraId="3ED4033F" w14:textId="77777777" w:rsidTr="00BD1F8C">
        <w:trPr>
          <w:jc w:val="center"/>
        </w:trPr>
        <w:tc>
          <w:tcPr>
            <w:tcW w:w="0" w:type="auto"/>
            <w:tcBorders>
              <w:top w:val="single" w:sz="6" w:space="0" w:color="auto"/>
              <w:left w:val="single" w:sz="6" w:space="0" w:color="auto"/>
              <w:bottom w:val="single" w:sz="6" w:space="0" w:color="auto"/>
              <w:right w:val="single" w:sz="6" w:space="0" w:color="auto"/>
            </w:tcBorders>
            <w:hideMark/>
          </w:tcPr>
          <w:p w14:paraId="21A4A6D2" w14:textId="77777777" w:rsidR="00112C47" w:rsidRDefault="00112C47" w:rsidP="00AC7434">
            <w:pPr>
              <w:pStyle w:val="TAC"/>
              <w:rPr>
                <w:lang w:eastAsia="zh-CN"/>
              </w:rPr>
            </w:pPr>
            <w:r>
              <w:rPr>
                <w:lang w:eastAsia="zh-CN"/>
              </w:rPr>
              <w:t>Local Area IAB-DU</w:t>
            </w:r>
          </w:p>
        </w:tc>
        <w:tc>
          <w:tcPr>
            <w:tcW w:w="0" w:type="auto"/>
            <w:tcBorders>
              <w:top w:val="single" w:sz="6" w:space="0" w:color="auto"/>
              <w:left w:val="single" w:sz="6" w:space="0" w:color="auto"/>
              <w:bottom w:val="single" w:sz="6" w:space="0" w:color="auto"/>
              <w:right w:val="single" w:sz="6" w:space="0" w:color="auto"/>
            </w:tcBorders>
            <w:hideMark/>
          </w:tcPr>
          <w:p w14:paraId="44A092CA" w14:textId="77777777" w:rsidR="00112C47" w:rsidRDefault="00112C47" w:rsidP="00AC7434">
            <w:pPr>
              <w:pStyle w:val="TAC"/>
              <w:rPr>
                <w:lang w:eastAsia="ja-JP"/>
              </w:rPr>
            </w:pPr>
            <w:r>
              <w:rPr>
                <w:lang w:eastAsia="ja-JP"/>
              </w:rPr>
              <w:t>≤ 24 dBm +10log(</w:t>
            </w:r>
            <w:r>
              <w:rPr>
                <w:rFonts w:eastAsia="MS Mincho"/>
                <w:iCs/>
                <w:lang w:eastAsia="ja-JP"/>
              </w:rPr>
              <w:t>N</w:t>
            </w:r>
            <w:r>
              <w:rPr>
                <w:rFonts w:eastAsia="MS Mincho"/>
                <w:iCs/>
                <w:vertAlign w:val="subscript"/>
                <w:lang w:eastAsia="ja-JP"/>
              </w:rPr>
              <w:t>TXU,counted</w:t>
            </w:r>
            <w:r>
              <w:rPr>
                <w:lang w:eastAsia="ja-JP"/>
              </w:rPr>
              <w:t>)</w:t>
            </w:r>
          </w:p>
        </w:tc>
        <w:tc>
          <w:tcPr>
            <w:tcW w:w="0" w:type="auto"/>
            <w:tcBorders>
              <w:top w:val="single" w:sz="6" w:space="0" w:color="auto"/>
              <w:left w:val="single" w:sz="6" w:space="0" w:color="auto"/>
              <w:bottom w:val="single" w:sz="6" w:space="0" w:color="auto"/>
              <w:right w:val="single" w:sz="6" w:space="0" w:color="auto"/>
            </w:tcBorders>
            <w:hideMark/>
          </w:tcPr>
          <w:p w14:paraId="5F2C3AAE" w14:textId="77777777" w:rsidR="00112C47" w:rsidRDefault="00112C47" w:rsidP="00AC7434">
            <w:pPr>
              <w:pStyle w:val="TAC"/>
              <w:rPr>
                <w:lang w:eastAsia="ja-JP"/>
              </w:rPr>
            </w:pPr>
            <w:r>
              <w:rPr>
                <w:lang w:eastAsia="ja-JP"/>
              </w:rPr>
              <w:t>≤ 24 dBm</w:t>
            </w:r>
          </w:p>
        </w:tc>
      </w:tr>
      <w:tr w:rsidR="00112C47" w:rsidRPr="00E504B6" w14:paraId="58AE90F5" w14:textId="77777777" w:rsidTr="00BD1F8C">
        <w:trPr>
          <w:jc w:val="center"/>
        </w:trPr>
        <w:tc>
          <w:tcPr>
            <w:tcW w:w="0" w:type="auto"/>
            <w:gridSpan w:val="3"/>
            <w:tcBorders>
              <w:top w:val="single" w:sz="6" w:space="0" w:color="auto"/>
              <w:left w:val="single" w:sz="6" w:space="0" w:color="auto"/>
              <w:bottom w:val="single" w:sz="6" w:space="0" w:color="auto"/>
              <w:right w:val="single" w:sz="6" w:space="0" w:color="auto"/>
            </w:tcBorders>
            <w:hideMark/>
          </w:tcPr>
          <w:p w14:paraId="668D6026" w14:textId="77777777" w:rsidR="00112C47" w:rsidRDefault="00112C47" w:rsidP="00AC7434">
            <w:pPr>
              <w:pStyle w:val="TAN"/>
              <w:rPr>
                <w:lang w:eastAsia="zh-CN"/>
              </w:rPr>
            </w:pPr>
            <w:r>
              <w:rPr>
                <w:lang w:eastAsia="zh-CN"/>
              </w:rPr>
              <w:t>NOTE:</w:t>
            </w:r>
            <w:r>
              <w:rPr>
                <w:lang w:eastAsia="zh-CN"/>
              </w:rPr>
              <w:tab/>
              <w:t xml:space="preserve">There is no upper limit for the </w:t>
            </w:r>
            <w:r>
              <w:rPr>
                <w:lang w:eastAsia="ja-JP"/>
              </w:rPr>
              <w:t>P</w:t>
            </w:r>
            <w:r>
              <w:rPr>
                <w:vertAlign w:val="subscript"/>
                <w:lang w:eastAsia="ja-JP"/>
              </w:rPr>
              <w:t>rated</w:t>
            </w:r>
            <w:r>
              <w:rPr>
                <w:vertAlign w:val="subscript"/>
                <w:lang w:eastAsia="zh-CN"/>
              </w:rPr>
              <w:t>,c,sys</w:t>
            </w:r>
            <w:r>
              <w:rPr>
                <w:lang w:eastAsia="zh-CN"/>
              </w:rPr>
              <w:t xml:space="preserve"> or </w:t>
            </w:r>
            <w:r>
              <w:t>P</w:t>
            </w:r>
            <w:r>
              <w:rPr>
                <w:vertAlign w:val="subscript"/>
              </w:rPr>
              <w:t>rated,c,TABC</w:t>
            </w:r>
            <w:r>
              <w:rPr>
                <w:lang w:eastAsia="zh-CN"/>
              </w:rPr>
              <w:t xml:space="preserve"> of the Wide Area IAB-DU.</w:t>
            </w:r>
          </w:p>
        </w:tc>
      </w:tr>
    </w:tbl>
    <w:p w14:paraId="3BFBEA36" w14:textId="77777777" w:rsidR="00112C47" w:rsidRDefault="00112C47" w:rsidP="00AC7434"/>
    <w:p w14:paraId="4A54DFF9" w14:textId="77777777" w:rsidR="00112C47" w:rsidRDefault="00112C47" w:rsidP="00112C47">
      <w:pPr>
        <w:pStyle w:val="TH"/>
      </w:pPr>
      <w:r>
        <w:t xml:space="preserve">Table 6.2.1-2: </w:t>
      </w:r>
      <w:r>
        <w:rPr>
          <w:i/>
        </w:rPr>
        <w:t>IAB-MT type 1-H</w:t>
      </w:r>
      <w:r>
        <w:t xml:space="preserve"> rated output power limits for IAB-MT classes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4A0" w:firstRow="1" w:lastRow="0" w:firstColumn="1" w:lastColumn="0" w:noHBand="0" w:noVBand="1"/>
      </w:tblPr>
      <w:tblGrid>
        <w:gridCol w:w="2827"/>
        <w:gridCol w:w="3261"/>
        <w:gridCol w:w="1464"/>
      </w:tblGrid>
      <w:tr w:rsidR="00112C47" w14:paraId="63686847" w14:textId="77777777" w:rsidTr="00BD1F8C">
        <w:trPr>
          <w:tblHeader/>
          <w:jc w:val="center"/>
        </w:trPr>
        <w:tc>
          <w:tcPr>
            <w:tcW w:w="2827" w:type="dxa"/>
            <w:tcBorders>
              <w:top w:val="single" w:sz="6" w:space="0" w:color="auto"/>
              <w:left w:val="single" w:sz="6" w:space="0" w:color="auto"/>
              <w:bottom w:val="single" w:sz="6" w:space="0" w:color="auto"/>
              <w:right w:val="single" w:sz="6" w:space="0" w:color="auto"/>
            </w:tcBorders>
            <w:hideMark/>
          </w:tcPr>
          <w:p w14:paraId="352142CD" w14:textId="77777777" w:rsidR="00112C47" w:rsidRDefault="00112C47" w:rsidP="00BD1F8C">
            <w:pPr>
              <w:pStyle w:val="TAH"/>
            </w:pPr>
            <w:r>
              <w:t>IAB-MT class</w:t>
            </w:r>
          </w:p>
        </w:tc>
        <w:tc>
          <w:tcPr>
            <w:tcW w:w="3261" w:type="dxa"/>
            <w:tcBorders>
              <w:top w:val="single" w:sz="6" w:space="0" w:color="auto"/>
              <w:left w:val="single" w:sz="6" w:space="0" w:color="auto"/>
              <w:bottom w:val="single" w:sz="6" w:space="0" w:color="auto"/>
              <w:right w:val="single" w:sz="6" w:space="0" w:color="auto"/>
            </w:tcBorders>
            <w:hideMark/>
          </w:tcPr>
          <w:p w14:paraId="580C892A" w14:textId="77777777" w:rsidR="00112C47" w:rsidRDefault="00112C47" w:rsidP="00BD1F8C">
            <w:pPr>
              <w:pStyle w:val="TAH"/>
            </w:pPr>
            <w:r>
              <w:t>P</w:t>
            </w:r>
            <w:r>
              <w:rPr>
                <w:vertAlign w:val="subscript"/>
              </w:rPr>
              <w:t>rated,c,sys</w:t>
            </w:r>
          </w:p>
        </w:tc>
        <w:tc>
          <w:tcPr>
            <w:tcW w:w="1464" w:type="dxa"/>
            <w:tcBorders>
              <w:top w:val="single" w:sz="6" w:space="0" w:color="auto"/>
              <w:left w:val="single" w:sz="6" w:space="0" w:color="auto"/>
              <w:bottom w:val="single" w:sz="6" w:space="0" w:color="auto"/>
              <w:right w:val="single" w:sz="6" w:space="0" w:color="auto"/>
            </w:tcBorders>
            <w:hideMark/>
          </w:tcPr>
          <w:p w14:paraId="73F6F02A" w14:textId="77777777" w:rsidR="00112C47" w:rsidRDefault="00112C47" w:rsidP="00BD1F8C">
            <w:pPr>
              <w:pStyle w:val="TAH"/>
            </w:pPr>
            <w:r>
              <w:t>P</w:t>
            </w:r>
            <w:r>
              <w:rPr>
                <w:vertAlign w:val="subscript"/>
              </w:rPr>
              <w:t>rated,c,TABC</w:t>
            </w:r>
          </w:p>
        </w:tc>
      </w:tr>
      <w:tr w:rsidR="00112C47" w14:paraId="6E8285C5" w14:textId="77777777" w:rsidTr="00BD1F8C">
        <w:trPr>
          <w:jc w:val="center"/>
        </w:trPr>
        <w:tc>
          <w:tcPr>
            <w:tcW w:w="2827" w:type="dxa"/>
            <w:tcBorders>
              <w:top w:val="single" w:sz="6" w:space="0" w:color="auto"/>
              <w:left w:val="single" w:sz="6" w:space="0" w:color="auto"/>
              <w:bottom w:val="single" w:sz="6" w:space="0" w:color="auto"/>
              <w:right w:val="single" w:sz="6" w:space="0" w:color="auto"/>
            </w:tcBorders>
            <w:hideMark/>
          </w:tcPr>
          <w:p w14:paraId="377550B9" w14:textId="77777777" w:rsidR="00112C47" w:rsidRDefault="00112C47" w:rsidP="00BD1F8C">
            <w:pPr>
              <w:pStyle w:val="TAC"/>
              <w:rPr>
                <w:lang w:eastAsia="zh-CN"/>
              </w:rPr>
            </w:pPr>
            <w:r>
              <w:rPr>
                <w:lang w:eastAsia="zh-CN"/>
              </w:rPr>
              <w:t>Wide Area IAB-MT</w:t>
            </w:r>
          </w:p>
        </w:tc>
        <w:tc>
          <w:tcPr>
            <w:tcW w:w="3261" w:type="dxa"/>
            <w:tcBorders>
              <w:top w:val="single" w:sz="6" w:space="0" w:color="auto"/>
              <w:left w:val="single" w:sz="6" w:space="0" w:color="auto"/>
              <w:bottom w:val="single" w:sz="6" w:space="0" w:color="auto"/>
              <w:right w:val="single" w:sz="6" w:space="0" w:color="auto"/>
            </w:tcBorders>
            <w:hideMark/>
          </w:tcPr>
          <w:p w14:paraId="2AA69663" w14:textId="77777777" w:rsidR="00112C47" w:rsidRDefault="00112C47" w:rsidP="00BD1F8C">
            <w:pPr>
              <w:pStyle w:val="TAC"/>
              <w:rPr>
                <w:lang w:eastAsia="ja-JP"/>
              </w:rPr>
            </w:pPr>
            <w:r>
              <w:rPr>
                <w:lang w:eastAsia="ja-JP"/>
              </w:rPr>
              <w:t>(Note)</w:t>
            </w:r>
          </w:p>
        </w:tc>
        <w:tc>
          <w:tcPr>
            <w:tcW w:w="1464" w:type="dxa"/>
            <w:tcBorders>
              <w:top w:val="single" w:sz="6" w:space="0" w:color="auto"/>
              <w:left w:val="single" w:sz="6" w:space="0" w:color="auto"/>
              <w:bottom w:val="single" w:sz="6" w:space="0" w:color="auto"/>
              <w:right w:val="single" w:sz="6" w:space="0" w:color="auto"/>
            </w:tcBorders>
            <w:hideMark/>
          </w:tcPr>
          <w:p w14:paraId="53E40AE3" w14:textId="77777777" w:rsidR="00112C47" w:rsidRDefault="00112C47" w:rsidP="00BD1F8C">
            <w:pPr>
              <w:pStyle w:val="TAC"/>
              <w:rPr>
                <w:lang w:eastAsia="ja-JP"/>
              </w:rPr>
            </w:pPr>
            <w:r>
              <w:rPr>
                <w:lang w:eastAsia="ja-JP"/>
              </w:rPr>
              <w:t>(Note)</w:t>
            </w:r>
          </w:p>
        </w:tc>
      </w:tr>
      <w:tr w:rsidR="00112C47" w14:paraId="2D624435" w14:textId="77777777" w:rsidTr="00BD1F8C">
        <w:trPr>
          <w:jc w:val="center"/>
        </w:trPr>
        <w:tc>
          <w:tcPr>
            <w:tcW w:w="2827" w:type="dxa"/>
            <w:tcBorders>
              <w:top w:val="single" w:sz="6" w:space="0" w:color="auto"/>
              <w:left w:val="single" w:sz="6" w:space="0" w:color="auto"/>
              <w:bottom w:val="single" w:sz="6" w:space="0" w:color="auto"/>
              <w:right w:val="single" w:sz="6" w:space="0" w:color="auto"/>
            </w:tcBorders>
            <w:hideMark/>
          </w:tcPr>
          <w:p w14:paraId="2052D892" w14:textId="77777777" w:rsidR="00112C47" w:rsidRDefault="00112C47" w:rsidP="00BD1F8C">
            <w:pPr>
              <w:pStyle w:val="TAC"/>
              <w:rPr>
                <w:lang w:eastAsia="zh-CN"/>
              </w:rPr>
            </w:pPr>
            <w:r>
              <w:rPr>
                <w:lang w:eastAsia="zh-CN"/>
              </w:rPr>
              <w:t>Local Area IAB-MT</w:t>
            </w:r>
          </w:p>
        </w:tc>
        <w:tc>
          <w:tcPr>
            <w:tcW w:w="3261" w:type="dxa"/>
            <w:tcBorders>
              <w:top w:val="single" w:sz="6" w:space="0" w:color="auto"/>
              <w:left w:val="single" w:sz="6" w:space="0" w:color="auto"/>
              <w:bottom w:val="single" w:sz="6" w:space="0" w:color="auto"/>
              <w:right w:val="single" w:sz="6" w:space="0" w:color="auto"/>
            </w:tcBorders>
            <w:hideMark/>
          </w:tcPr>
          <w:p w14:paraId="254B1236" w14:textId="77777777" w:rsidR="00112C47" w:rsidRDefault="00112C47" w:rsidP="00BD1F8C">
            <w:pPr>
              <w:pStyle w:val="TAC"/>
              <w:rPr>
                <w:lang w:eastAsia="ja-JP"/>
              </w:rPr>
            </w:pPr>
            <w:r>
              <w:rPr>
                <w:lang w:eastAsia="ja-JP"/>
              </w:rPr>
              <w:t>≤ 24 dBm +10log(</w:t>
            </w:r>
            <w:r>
              <w:rPr>
                <w:rFonts w:eastAsia="MS Mincho"/>
                <w:iCs/>
                <w:lang w:eastAsia="ja-JP"/>
              </w:rPr>
              <w:t>N</w:t>
            </w:r>
            <w:r>
              <w:rPr>
                <w:rFonts w:eastAsia="MS Mincho"/>
                <w:iCs/>
                <w:vertAlign w:val="subscript"/>
                <w:lang w:eastAsia="ja-JP"/>
              </w:rPr>
              <w:t>TXU,counted</w:t>
            </w:r>
            <w:r>
              <w:rPr>
                <w:lang w:eastAsia="ja-JP"/>
              </w:rPr>
              <w:t>)</w:t>
            </w:r>
          </w:p>
        </w:tc>
        <w:tc>
          <w:tcPr>
            <w:tcW w:w="1464" w:type="dxa"/>
            <w:tcBorders>
              <w:top w:val="single" w:sz="6" w:space="0" w:color="auto"/>
              <w:left w:val="single" w:sz="6" w:space="0" w:color="auto"/>
              <w:bottom w:val="single" w:sz="6" w:space="0" w:color="auto"/>
              <w:right w:val="single" w:sz="6" w:space="0" w:color="auto"/>
            </w:tcBorders>
            <w:hideMark/>
          </w:tcPr>
          <w:p w14:paraId="4C066BCC" w14:textId="77777777" w:rsidR="00112C47" w:rsidRDefault="00112C47" w:rsidP="00BD1F8C">
            <w:pPr>
              <w:pStyle w:val="TAC"/>
              <w:rPr>
                <w:lang w:eastAsia="ja-JP"/>
              </w:rPr>
            </w:pPr>
            <w:r>
              <w:rPr>
                <w:lang w:eastAsia="ja-JP"/>
              </w:rPr>
              <w:t>≤ 24 dBm</w:t>
            </w:r>
          </w:p>
        </w:tc>
      </w:tr>
      <w:tr w:rsidR="00112C47" w:rsidRPr="00E504B6" w14:paraId="6EE29281" w14:textId="77777777" w:rsidTr="00BD1F8C">
        <w:trPr>
          <w:jc w:val="center"/>
        </w:trPr>
        <w:tc>
          <w:tcPr>
            <w:tcW w:w="7552" w:type="dxa"/>
            <w:gridSpan w:val="3"/>
            <w:tcBorders>
              <w:top w:val="single" w:sz="6" w:space="0" w:color="auto"/>
              <w:left w:val="single" w:sz="6" w:space="0" w:color="auto"/>
              <w:bottom w:val="single" w:sz="6" w:space="0" w:color="auto"/>
              <w:right w:val="single" w:sz="6" w:space="0" w:color="auto"/>
            </w:tcBorders>
            <w:hideMark/>
          </w:tcPr>
          <w:p w14:paraId="2DDF6997" w14:textId="77777777" w:rsidR="00112C47" w:rsidRDefault="00112C47" w:rsidP="00BD1F8C">
            <w:pPr>
              <w:pStyle w:val="TAN"/>
              <w:rPr>
                <w:lang w:eastAsia="zh-CN"/>
              </w:rPr>
            </w:pPr>
            <w:r>
              <w:rPr>
                <w:lang w:eastAsia="zh-CN"/>
              </w:rPr>
              <w:t>NOTE:</w:t>
            </w:r>
            <w:r>
              <w:rPr>
                <w:lang w:eastAsia="zh-CN"/>
              </w:rPr>
              <w:tab/>
              <w:t xml:space="preserve">There is no upper limit for the </w:t>
            </w:r>
            <w:r>
              <w:rPr>
                <w:lang w:eastAsia="ja-JP"/>
              </w:rPr>
              <w:t>P</w:t>
            </w:r>
            <w:r>
              <w:rPr>
                <w:vertAlign w:val="subscript"/>
                <w:lang w:eastAsia="ja-JP"/>
              </w:rPr>
              <w:t>rated</w:t>
            </w:r>
            <w:r>
              <w:rPr>
                <w:vertAlign w:val="subscript"/>
                <w:lang w:eastAsia="zh-CN"/>
              </w:rPr>
              <w:t>,c,sys</w:t>
            </w:r>
            <w:r>
              <w:rPr>
                <w:lang w:eastAsia="zh-CN"/>
              </w:rPr>
              <w:t xml:space="preserve"> or </w:t>
            </w:r>
            <w:r>
              <w:t>P</w:t>
            </w:r>
            <w:r>
              <w:rPr>
                <w:vertAlign w:val="subscript"/>
              </w:rPr>
              <w:t>rated,c,TABC</w:t>
            </w:r>
            <w:r>
              <w:rPr>
                <w:lang w:eastAsia="zh-CN"/>
              </w:rPr>
              <w:t xml:space="preserve"> of the Wide area IAB-MT.</w:t>
            </w:r>
          </w:p>
        </w:tc>
      </w:tr>
    </w:tbl>
    <w:p w14:paraId="051B581A" w14:textId="77777777" w:rsidR="00112C47" w:rsidRDefault="00112C47" w:rsidP="00AC7434"/>
    <w:p w14:paraId="32607CBF" w14:textId="71F85E02" w:rsidR="00574E0C" w:rsidRDefault="00574E0C">
      <w:pPr>
        <w:pStyle w:val="Heading3"/>
      </w:pPr>
      <w:bookmarkStart w:id="963" w:name="_Toc53185315"/>
      <w:bookmarkStart w:id="964" w:name="_Toc53185691"/>
      <w:bookmarkStart w:id="965" w:name="_Toc57820166"/>
      <w:bookmarkStart w:id="966" w:name="_Toc57821093"/>
      <w:bookmarkStart w:id="967" w:name="_Toc61183369"/>
      <w:bookmarkStart w:id="968" w:name="_Toc61183763"/>
      <w:bookmarkStart w:id="969" w:name="_Toc61184155"/>
      <w:bookmarkStart w:id="970" w:name="_Toc61184547"/>
      <w:bookmarkStart w:id="971" w:name="_Toc61184937"/>
      <w:bookmarkStart w:id="972" w:name="_Toc66386280"/>
      <w:bookmarkStart w:id="973" w:name="_Toc74583121"/>
      <w:bookmarkStart w:id="974" w:name="_Toc76541934"/>
      <w:bookmarkStart w:id="975" w:name="_Toc82449916"/>
      <w:bookmarkStart w:id="976" w:name="_Toc82450564"/>
      <w:bookmarkStart w:id="977" w:name="_Toc89948953"/>
      <w:bookmarkStart w:id="978" w:name="_Toc98755342"/>
      <w:bookmarkStart w:id="979" w:name="_Toc98762932"/>
      <w:bookmarkStart w:id="980" w:name="_Toc106183861"/>
      <w:r>
        <w:t>6.2.2</w:t>
      </w:r>
      <w:r w:rsidR="00AC7434">
        <w:tab/>
      </w:r>
      <w:r w:rsidR="005078BA">
        <w:t>Minimum requirement for IAB</w:t>
      </w:r>
      <w:r w:rsidR="005078BA" w:rsidRPr="00702051">
        <w:t xml:space="preserve"> type 1-H</w:t>
      </w:r>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p>
    <w:p w14:paraId="507862D0" w14:textId="77777777" w:rsidR="00F24B8F" w:rsidRDefault="00F24B8F" w:rsidP="00AC7434">
      <w:r>
        <w:t>In normal conditions, P</w:t>
      </w:r>
      <w:r>
        <w:rPr>
          <w:vertAlign w:val="subscript"/>
        </w:rPr>
        <w:t xml:space="preserve">max,c,TABC </w:t>
      </w:r>
      <w:r>
        <w:t xml:space="preserve">shall remain within +2 dB and -2 dB of the </w:t>
      </w:r>
      <w:r>
        <w:rPr>
          <w:i/>
        </w:rPr>
        <w:t>rated carrier output power</w:t>
      </w:r>
      <w:r>
        <w:t xml:space="preserve"> P</w:t>
      </w:r>
      <w:r>
        <w:rPr>
          <w:vertAlign w:val="subscript"/>
        </w:rPr>
        <w:t>rated,c,TABC</w:t>
      </w:r>
      <w:r>
        <w:t xml:space="preserve"> for each </w:t>
      </w:r>
      <w:r>
        <w:rPr>
          <w:i/>
        </w:rPr>
        <w:t xml:space="preserve">TAB connector </w:t>
      </w:r>
      <w:r>
        <w:t>as declared by the manufacturer.</w:t>
      </w:r>
    </w:p>
    <w:p w14:paraId="3573A120" w14:textId="77777777" w:rsidR="00F24B8F" w:rsidRDefault="00F24B8F" w:rsidP="00AC7434">
      <w:r>
        <w:t>In extreme conditions, P</w:t>
      </w:r>
      <w:r>
        <w:rPr>
          <w:vertAlign w:val="subscript"/>
        </w:rPr>
        <w:t xml:space="preserve">max,c,TABC </w:t>
      </w:r>
      <w:r>
        <w:t xml:space="preserve">shall remain within +2.5 dB and -2.5 dB of the </w:t>
      </w:r>
      <w:r>
        <w:rPr>
          <w:i/>
        </w:rPr>
        <w:t>rated carrier output power</w:t>
      </w:r>
      <w:r>
        <w:t xml:space="preserve"> P</w:t>
      </w:r>
      <w:r>
        <w:rPr>
          <w:vertAlign w:val="subscript"/>
        </w:rPr>
        <w:t>rated,c,TABC</w:t>
      </w:r>
      <w:r>
        <w:t xml:space="preserve"> for each </w:t>
      </w:r>
      <w:r>
        <w:rPr>
          <w:i/>
        </w:rPr>
        <w:t>TAB connector</w:t>
      </w:r>
      <w:r>
        <w:t xml:space="preserve"> as declared by the manufacturer.</w:t>
      </w:r>
    </w:p>
    <w:p w14:paraId="7D8D737F" w14:textId="1A67A6C8" w:rsidR="00574E0C" w:rsidRDefault="00F24B8F" w:rsidP="005B59D6">
      <w:r>
        <w:t>In certain regions, the minimum requirement for normal conditions may apply also for some conditions outside the range of conditions defined as normal.</w:t>
      </w:r>
    </w:p>
    <w:p w14:paraId="32830361" w14:textId="77777777" w:rsidR="001B62FC" w:rsidRDefault="001B62FC" w:rsidP="001B62FC">
      <w:pPr>
        <w:pStyle w:val="Heading3"/>
      </w:pPr>
      <w:bookmarkStart w:id="981" w:name="_Toc37267515"/>
      <w:bookmarkStart w:id="982" w:name="_Toc37260127"/>
      <w:bookmarkStart w:id="983" w:name="_Toc36817211"/>
      <w:bookmarkStart w:id="984" w:name="_Toc29811659"/>
      <w:bookmarkStart w:id="985" w:name="_Toc21127453"/>
      <w:bookmarkStart w:id="986" w:name="_Toc53185316"/>
      <w:bookmarkStart w:id="987" w:name="_Toc53185692"/>
      <w:bookmarkStart w:id="988" w:name="_Toc57820167"/>
      <w:bookmarkStart w:id="989" w:name="_Toc57821094"/>
      <w:bookmarkStart w:id="990" w:name="_Toc61183370"/>
      <w:bookmarkStart w:id="991" w:name="_Toc61183764"/>
      <w:bookmarkStart w:id="992" w:name="_Toc61184156"/>
      <w:bookmarkStart w:id="993" w:name="_Toc61184548"/>
      <w:bookmarkStart w:id="994" w:name="_Toc61184938"/>
      <w:bookmarkStart w:id="995" w:name="_Toc66386281"/>
      <w:bookmarkStart w:id="996" w:name="_Toc74583122"/>
      <w:bookmarkStart w:id="997" w:name="_Toc76541935"/>
      <w:bookmarkStart w:id="998" w:name="_Toc82449917"/>
      <w:bookmarkStart w:id="999" w:name="_Toc82450565"/>
      <w:bookmarkStart w:id="1000" w:name="_Toc89948954"/>
      <w:bookmarkStart w:id="1001" w:name="_Toc98755343"/>
      <w:bookmarkStart w:id="1002" w:name="_Toc98762933"/>
      <w:bookmarkStart w:id="1003" w:name="_Toc106183862"/>
      <w:r>
        <w:t>6.2.3</w:t>
      </w:r>
      <w:r>
        <w:tab/>
        <w:t>Additional requirements (regional)</w:t>
      </w:r>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37E59087" w14:textId="3BA00E70" w:rsidR="001B62FC" w:rsidRPr="00574E0C" w:rsidRDefault="001B62FC" w:rsidP="005B59D6">
      <w:r w:rsidRPr="00811576">
        <w:t>In certain regions, additional regional requirements may apply</w:t>
      </w:r>
      <w:r>
        <w:t>.</w:t>
      </w:r>
    </w:p>
    <w:p w14:paraId="4BD961D8" w14:textId="77777777" w:rsidR="00077B6E" w:rsidRDefault="00077B6E" w:rsidP="00077B6E">
      <w:pPr>
        <w:pStyle w:val="Heading2"/>
        <w:rPr>
          <w:rFonts w:eastAsiaTheme="minorEastAsia"/>
          <w:lang w:eastAsia="zh-CN"/>
        </w:rPr>
      </w:pPr>
      <w:bookmarkStart w:id="1004" w:name="_Toc53185317"/>
      <w:bookmarkStart w:id="1005" w:name="_Toc53185693"/>
      <w:bookmarkStart w:id="1006" w:name="_Toc57820168"/>
      <w:bookmarkStart w:id="1007" w:name="_Toc57821095"/>
      <w:bookmarkStart w:id="1008" w:name="_Toc61183371"/>
      <w:bookmarkStart w:id="1009" w:name="_Toc61183765"/>
      <w:bookmarkStart w:id="1010" w:name="_Toc61184157"/>
      <w:bookmarkStart w:id="1011" w:name="_Toc61184549"/>
      <w:bookmarkStart w:id="1012" w:name="_Toc61184939"/>
      <w:bookmarkStart w:id="1013" w:name="_Toc66386282"/>
      <w:bookmarkStart w:id="1014" w:name="_Toc74583123"/>
      <w:bookmarkStart w:id="1015" w:name="_Toc76541936"/>
      <w:bookmarkStart w:id="1016" w:name="_Toc82449918"/>
      <w:bookmarkStart w:id="1017" w:name="_Toc82450566"/>
      <w:bookmarkStart w:id="1018" w:name="_Toc89948955"/>
      <w:bookmarkStart w:id="1019" w:name="_Toc98755344"/>
      <w:bookmarkStart w:id="1020" w:name="_Toc98762934"/>
      <w:bookmarkStart w:id="1021" w:name="_Toc106183863"/>
      <w:r w:rsidRPr="007E346D">
        <w:t>6.3</w:t>
      </w:r>
      <w:r w:rsidRPr="007E346D">
        <w:tab/>
        <w:t>Output power dynamics</w:t>
      </w:r>
      <w:bookmarkEnd w:id="959"/>
      <w:bookmarkEnd w:id="960"/>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p>
    <w:p w14:paraId="394EAA0C" w14:textId="77777777" w:rsidR="004C23B4" w:rsidRPr="000B0F78" w:rsidRDefault="004C23B4" w:rsidP="004C23B4">
      <w:pPr>
        <w:pStyle w:val="Heading3"/>
      </w:pPr>
      <w:bookmarkStart w:id="1022" w:name="_Toc53185318"/>
      <w:bookmarkStart w:id="1023" w:name="_Toc53185694"/>
      <w:bookmarkStart w:id="1024" w:name="_Toc57820169"/>
      <w:bookmarkStart w:id="1025" w:name="_Toc57821096"/>
      <w:bookmarkStart w:id="1026" w:name="_Toc61183372"/>
      <w:bookmarkStart w:id="1027" w:name="_Toc61183766"/>
      <w:bookmarkStart w:id="1028" w:name="_Toc61184158"/>
      <w:bookmarkStart w:id="1029" w:name="_Toc61184550"/>
      <w:bookmarkStart w:id="1030" w:name="_Toc61184940"/>
      <w:bookmarkStart w:id="1031" w:name="_Toc66386283"/>
      <w:bookmarkStart w:id="1032" w:name="_Toc74583124"/>
      <w:bookmarkStart w:id="1033" w:name="_Toc76541937"/>
      <w:bookmarkStart w:id="1034" w:name="_Toc82449919"/>
      <w:bookmarkStart w:id="1035" w:name="_Toc82450567"/>
      <w:bookmarkStart w:id="1036" w:name="_Toc89948956"/>
      <w:bookmarkStart w:id="1037" w:name="_Toc98755345"/>
      <w:bookmarkStart w:id="1038" w:name="_Toc98762935"/>
      <w:bookmarkStart w:id="1039" w:name="_Toc106183864"/>
      <w:r>
        <w:rPr>
          <w:rFonts w:hint="eastAsia"/>
        </w:rPr>
        <w:t>6.3.1</w:t>
      </w:r>
      <w:r>
        <w:rPr>
          <w:rFonts w:hint="eastAsia"/>
        </w:rPr>
        <w:tab/>
      </w:r>
      <w:r>
        <w:t>IAB-DU Output Power Dynamics</w:t>
      </w:r>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p>
    <w:p w14:paraId="19DE5432" w14:textId="77777777" w:rsidR="004C23B4" w:rsidRPr="00E26D09" w:rsidRDefault="004C23B4" w:rsidP="004C23B4">
      <w:pPr>
        <w:pStyle w:val="Heading4"/>
      </w:pPr>
      <w:bookmarkStart w:id="1040" w:name="_Toc21127455"/>
      <w:bookmarkStart w:id="1041" w:name="_Toc29811661"/>
      <w:bookmarkStart w:id="1042" w:name="_Toc53185319"/>
      <w:bookmarkStart w:id="1043" w:name="_Toc53185695"/>
      <w:bookmarkStart w:id="1044" w:name="_Toc57820170"/>
      <w:bookmarkStart w:id="1045" w:name="_Toc57821097"/>
      <w:bookmarkStart w:id="1046" w:name="_Toc61183373"/>
      <w:bookmarkStart w:id="1047" w:name="_Toc61183767"/>
      <w:bookmarkStart w:id="1048" w:name="_Toc61184159"/>
      <w:bookmarkStart w:id="1049" w:name="_Toc61184551"/>
      <w:bookmarkStart w:id="1050" w:name="_Toc61184941"/>
      <w:bookmarkStart w:id="1051" w:name="_Toc66386284"/>
      <w:bookmarkStart w:id="1052" w:name="_Toc74583125"/>
      <w:bookmarkStart w:id="1053" w:name="_Toc76541938"/>
      <w:bookmarkStart w:id="1054" w:name="_Toc82449920"/>
      <w:bookmarkStart w:id="1055" w:name="_Toc82450568"/>
      <w:bookmarkStart w:id="1056" w:name="_Toc89948957"/>
      <w:bookmarkStart w:id="1057" w:name="_Toc98755346"/>
      <w:bookmarkStart w:id="1058" w:name="_Toc98762936"/>
      <w:bookmarkStart w:id="1059" w:name="_Toc106183865"/>
      <w:r w:rsidRPr="00E26D09">
        <w:t>6.3.1</w:t>
      </w:r>
      <w:r>
        <w:t>.1</w:t>
      </w:r>
      <w:r w:rsidRPr="00E26D09">
        <w:tab/>
        <w:t>General</w:t>
      </w:r>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p>
    <w:p w14:paraId="0150C0BC" w14:textId="77777777" w:rsidR="004C23B4" w:rsidRPr="00E26D09" w:rsidRDefault="004C23B4" w:rsidP="004C23B4">
      <w:r w:rsidRPr="00E26D09">
        <w:t xml:space="preserve">The requirements in </w:t>
      </w:r>
      <w:r>
        <w:t>clause</w:t>
      </w:r>
      <w:r w:rsidRPr="00E26D09">
        <w:t xml:space="preserve"> 6.3 apply during the </w:t>
      </w:r>
      <w:r w:rsidRPr="00E26D09">
        <w:rPr>
          <w:i/>
        </w:rPr>
        <w:t>transmitter ON period</w:t>
      </w:r>
      <w:r w:rsidRPr="00E26D09">
        <w:t xml:space="preserve">. Transmitted signal quality (as specified in </w:t>
      </w:r>
      <w:r>
        <w:t>clause</w:t>
      </w:r>
      <w:r w:rsidRPr="00E26D09">
        <w:t xml:space="preserve"> 6.5) shall be maintained for the output power dynamics requirements of this </w:t>
      </w:r>
      <w:r>
        <w:t>clause</w:t>
      </w:r>
      <w:r w:rsidRPr="00E26D09">
        <w:t>.</w:t>
      </w:r>
    </w:p>
    <w:p w14:paraId="11FE931D" w14:textId="77777777" w:rsidR="004C23B4" w:rsidRPr="00E26D09" w:rsidRDefault="004C23B4" w:rsidP="004C23B4">
      <w:r w:rsidRPr="00E26D09">
        <w:t>Power control is used to limit the interference level.</w:t>
      </w:r>
    </w:p>
    <w:p w14:paraId="6E5E7675" w14:textId="77777777" w:rsidR="004C23B4" w:rsidRPr="00E26D09" w:rsidRDefault="004C23B4" w:rsidP="004C23B4">
      <w:pPr>
        <w:pStyle w:val="Heading4"/>
        <w:rPr>
          <w:lang w:eastAsia="zh-CN"/>
        </w:rPr>
      </w:pPr>
      <w:bookmarkStart w:id="1060" w:name="_Toc21127456"/>
      <w:bookmarkStart w:id="1061" w:name="_Toc29811662"/>
      <w:bookmarkStart w:id="1062" w:name="_Toc53185320"/>
      <w:bookmarkStart w:id="1063" w:name="_Toc53185696"/>
      <w:bookmarkStart w:id="1064" w:name="_Toc57820171"/>
      <w:bookmarkStart w:id="1065" w:name="_Toc57821098"/>
      <w:bookmarkStart w:id="1066" w:name="_Toc61183374"/>
      <w:bookmarkStart w:id="1067" w:name="_Toc61183768"/>
      <w:bookmarkStart w:id="1068" w:name="_Toc61184160"/>
      <w:bookmarkStart w:id="1069" w:name="_Toc61184552"/>
      <w:bookmarkStart w:id="1070" w:name="_Toc61184942"/>
      <w:bookmarkStart w:id="1071" w:name="_Toc66386285"/>
      <w:bookmarkStart w:id="1072" w:name="_Toc74583126"/>
      <w:bookmarkStart w:id="1073" w:name="_Toc76541939"/>
      <w:bookmarkStart w:id="1074" w:name="_Toc82449921"/>
      <w:bookmarkStart w:id="1075" w:name="_Toc82450569"/>
      <w:bookmarkStart w:id="1076" w:name="_Toc89948958"/>
      <w:bookmarkStart w:id="1077" w:name="_Toc98755347"/>
      <w:bookmarkStart w:id="1078" w:name="_Toc98762937"/>
      <w:bookmarkStart w:id="1079" w:name="_Toc106183866"/>
      <w:r w:rsidRPr="00E26D09">
        <w:t>6.3.</w:t>
      </w:r>
      <w:r>
        <w:t>1.2</w:t>
      </w:r>
      <w:r w:rsidRPr="00E26D09">
        <w:tab/>
        <w:t>RE power control dynamic range</w:t>
      </w:r>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p>
    <w:p w14:paraId="38F35151" w14:textId="77777777" w:rsidR="004C23B4" w:rsidRPr="00E26D09" w:rsidRDefault="004C23B4" w:rsidP="004C23B4">
      <w:pPr>
        <w:pStyle w:val="Heading5"/>
      </w:pPr>
      <w:bookmarkStart w:id="1080" w:name="_Toc21127457"/>
      <w:bookmarkStart w:id="1081" w:name="_Toc29811663"/>
      <w:bookmarkStart w:id="1082" w:name="_Toc53185321"/>
      <w:bookmarkStart w:id="1083" w:name="_Toc53185697"/>
      <w:bookmarkStart w:id="1084" w:name="_Toc57820172"/>
      <w:bookmarkStart w:id="1085" w:name="_Toc57821099"/>
      <w:bookmarkStart w:id="1086" w:name="_Toc61183375"/>
      <w:bookmarkStart w:id="1087" w:name="_Toc61183769"/>
      <w:bookmarkStart w:id="1088" w:name="_Toc61184161"/>
      <w:bookmarkStart w:id="1089" w:name="_Toc61184553"/>
      <w:bookmarkStart w:id="1090" w:name="_Toc61184943"/>
      <w:bookmarkStart w:id="1091" w:name="_Toc66386286"/>
      <w:bookmarkStart w:id="1092" w:name="_Toc74583127"/>
      <w:bookmarkStart w:id="1093" w:name="_Toc76541940"/>
      <w:bookmarkStart w:id="1094" w:name="_Toc82449922"/>
      <w:bookmarkStart w:id="1095" w:name="_Toc82450570"/>
      <w:bookmarkStart w:id="1096" w:name="_Toc89948959"/>
      <w:bookmarkStart w:id="1097" w:name="_Toc98755348"/>
      <w:bookmarkStart w:id="1098" w:name="_Toc98762938"/>
      <w:bookmarkStart w:id="1099" w:name="_Toc106183867"/>
      <w:bookmarkStart w:id="1100" w:name="_Hlk503810786"/>
      <w:r w:rsidRPr="00E26D09">
        <w:t>6.3.</w:t>
      </w:r>
      <w:r>
        <w:t>1.2.1</w:t>
      </w:r>
      <w:r w:rsidRPr="00E26D09">
        <w:tab/>
        <w:t>General</w:t>
      </w:r>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p>
    <w:bookmarkEnd w:id="1100"/>
    <w:p w14:paraId="69835462" w14:textId="77777777" w:rsidR="004C23B4" w:rsidRDefault="004C23B4" w:rsidP="004C23B4">
      <w:pPr>
        <w:rPr>
          <w:lang w:eastAsia="zh-CN"/>
        </w:rPr>
      </w:pPr>
      <w:r>
        <w:t xml:space="preserve">The RE power control dynamic range is the difference between the power of an RE and the average RE power for a IAB-DU at maximum output power </w:t>
      </w:r>
      <w:r>
        <w:rPr>
          <w:rFonts w:cs="v5.0.0"/>
        </w:rPr>
        <w:t>(</w:t>
      </w:r>
      <w:r>
        <w:t>P</w:t>
      </w:r>
      <w:r>
        <w:rPr>
          <w:vertAlign w:val="subscript"/>
        </w:rPr>
        <w:t>max,c,TABC</w:t>
      </w:r>
      <w:r>
        <w:t>) for a specified reference condition.</w:t>
      </w:r>
    </w:p>
    <w:p w14:paraId="6E492A23" w14:textId="77777777" w:rsidR="004C23B4" w:rsidRPr="00E26D09" w:rsidRDefault="004C23B4" w:rsidP="004C23B4">
      <w:pPr>
        <w:rPr>
          <w:rFonts w:cs="v5.0.0"/>
        </w:rPr>
      </w:pPr>
      <w:r w:rsidRPr="00E26D09">
        <w:rPr>
          <w:rFonts w:cs="v5.0.0"/>
        </w:rPr>
        <w:t xml:space="preserve">For </w:t>
      </w:r>
      <w:r>
        <w:rPr>
          <w:rFonts w:cs="v5.0.0"/>
          <w:i/>
        </w:rPr>
        <w:t>IAB-DU</w:t>
      </w:r>
      <w:r w:rsidRPr="00E26D09">
        <w:rPr>
          <w:rFonts w:cs="v5.0.0"/>
          <w:i/>
        </w:rPr>
        <w:t xml:space="preserve"> type 1-H</w:t>
      </w:r>
      <w:r w:rsidRPr="00E26D09">
        <w:rPr>
          <w:rFonts w:cs="v5.0.0"/>
        </w:rPr>
        <w:t xml:space="preserve"> this requirement shall apply at each </w:t>
      </w:r>
      <w:r w:rsidRPr="00E26D09">
        <w:rPr>
          <w:rFonts w:cs="v5.0.0"/>
          <w:i/>
        </w:rPr>
        <w:t>TAB connector</w:t>
      </w:r>
      <w:r w:rsidRPr="00E26D09">
        <w:rPr>
          <w:rFonts w:cs="v5.0.0"/>
        </w:rPr>
        <w:t xml:space="preserve"> supporting transmission in the </w:t>
      </w:r>
      <w:r w:rsidRPr="00E26D09">
        <w:rPr>
          <w:rFonts w:cs="v5.0.0"/>
          <w:i/>
        </w:rPr>
        <w:t>operating band</w:t>
      </w:r>
      <w:r w:rsidRPr="00E26D09">
        <w:rPr>
          <w:rFonts w:cs="v5.0.0"/>
        </w:rPr>
        <w:t>.</w:t>
      </w:r>
    </w:p>
    <w:p w14:paraId="07E26832" w14:textId="77777777" w:rsidR="004C23B4" w:rsidRPr="00E26D09" w:rsidRDefault="004C23B4" w:rsidP="004C23B4">
      <w:pPr>
        <w:pStyle w:val="Heading5"/>
      </w:pPr>
      <w:bookmarkStart w:id="1101" w:name="_Toc21127458"/>
      <w:bookmarkStart w:id="1102" w:name="_Toc29811664"/>
      <w:bookmarkStart w:id="1103" w:name="_Toc53185322"/>
      <w:bookmarkStart w:id="1104" w:name="_Toc53185698"/>
      <w:bookmarkStart w:id="1105" w:name="_Toc57820173"/>
      <w:bookmarkStart w:id="1106" w:name="_Toc57821100"/>
      <w:bookmarkStart w:id="1107" w:name="_Toc61183376"/>
      <w:bookmarkStart w:id="1108" w:name="_Toc61183770"/>
      <w:bookmarkStart w:id="1109" w:name="_Toc61184162"/>
      <w:bookmarkStart w:id="1110" w:name="_Toc61184554"/>
      <w:bookmarkStart w:id="1111" w:name="_Toc61184944"/>
      <w:bookmarkStart w:id="1112" w:name="_Toc66386287"/>
      <w:bookmarkStart w:id="1113" w:name="_Toc74583128"/>
      <w:bookmarkStart w:id="1114" w:name="_Toc76541941"/>
      <w:bookmarkStart w:id="1115" w:name="_Toc82449923"/>
      <w:bookmarkStart w:id="1116" w:name="_Toc82450571"/>
      <w:bookmarkStart w:id="1117" w:name="_Toc89948960"/>
      <w:bookmarkStart w:id="1118" w:name="_Toc98755349"/>
      <w:bookmarkStart w:id="1119" w:name="_Toc98762939"/>
      <w:bookmarkStart w:id="1120" w:name="_Toc106183868"/>
      <w:r w:rsidRPr="00E26D09">
        <w:t>6.3.</w:t>
      </w:r>
      <w:r>
        <w:t>1.2</w:t>
      </w:r>
      <w:r w:rsidRPr="00E26D09">
        <w:t>.2</w:t>
      </w:r>
      <w:r w:rsidRPr="00E26D09">
        <w:tab/>
        <w:t xml:space="preserve">Minimum requirement for </w:t>
      </w:r>
      <w:r>
        <w:rPr>
          <w:i/>
        </w:rPr>
        <w:t>IAB-DU</w:t>
      </w:r>
      <w:r w:rsidRPr="00E26D09">
        <w:rPr>
          <w:i/>
        </w:rPr>
        <w:t xml:space="preserve"> type 1-H</w:t>
      </w:r>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p>
    <w:p w14:paraId="13C3F3CC" w14:textId="16316B34" w:rsidR="004C23B4" w:rsidRPr="00E26D09" w:rsidRDefault="004C23B4" w:rsidP="004C23B4">
      <w:bookmarkStart w:id="1121" w:name="_Toc21127459"/>
      <w:bookmarkStart w:id="1122" w:name="_Toc29811665"/>
      <w:r w:rsidRPr="00E26D09">
        <w:t>T</w:t>
      </w:r>
      <w:r>
        <w:t xml:space="preserve">he </w:t>
      </w:r>
      <w:r w:rsidRPr="00E26D09">
        <w:t xml:space="preserve">RE power control dynamic range is specified the same as the conducted RE power control dynamic range requirement for </w:t>
      </w:r>
      <w:r>
        <w:t>BS</w:t>
      </w:r>
      <w:r w:rsidRPr="00E26D09">
        <w:rPr>
          <w:i/>
        </w:rPr>
        <w:t xml:space="preserve"> type 1-H</w:t>
      </w:r>
      <w:r w:rsidRPr="00E26D09">
        <w:t xml:space="preserve"> </w:t>
      </w:r>
      <w:r>
        <w:t>in TS 38.104 [</w:t>
      </w:r>
      <w:r w:rsidR="00047005">
        <w:t>2</w:t>
      </w:r>
      <w:r>
        <w:t>], subclause 6.3.2.2</w:t>
      </w:r>
      <w:r w:rsidRPr="00E26D09">
        <w:t>.</w:t>
      </w:r>
    </w:p>
    <w:p w14:paraId="5F6CA456" w14:textId="77777777" w:rsidR="004C23B4" w:rsidRPr="00E26D09" w:rsidRDefault="004C23B4" w:rsidP="004C23B4">
      <w:pPr>
        <w:pStyle w:val="Heading4"/>
        <w:rPr>
          <w:lang w:eastAsia="zh-CN"/>
        </w:rPr>
      </w:pPr>
      <w:bookmarkStart w:id="1123" w:name="_Toc53185323"/>
      <w:bookmarkStart w:id="1124" w:name="_Toc53185699"/>
      <w:bookmarkStart w:id="1125" w:name="_Toc57820174"/>
      <w:bookmarkStart w:id="1126" w:name="_Toc57821101"/>
      <w:bookmarkStart w:id="1127" w:name="_Toc61183377"/>
      <w:bookmarkStart w:id="1128" w:name="_Toc61183771"/>
      <w:bookmarkStart w:id="1129" w:name="_Toc61184163"/>
      <w:bookmarkStart w:id="1130" w:name="_Toc61184555"/>
      <w:bookmarkStart w:id="1131" w:name="_Toc61184945"/>
      <w:bookmarkStart w:id="1132" w:name="_Toc66386288"/>
      <w:bookmarkStart w:id="1133" w:name="_Toc74583129"/>
      <w:bookmarkStart w:id="1134" w:name="_Toc76541942"/>
      <w:bookmarkStart w:id="1135" w:name="_Toc82449924"/>
      <w:bookmarkStart w:id="1136" w:name="_Toc82450572"/>
      <w:bookmarkStart w:id="1137" w:name="_Toc89948961"/>
      <w:bookmarkStart w:id="1138" w:name="_Toc98755350"/>
      <w:bookmarkStart w:id="1139" w:name="_Toc98762940"/>
      <w:bookmarkStart w:id="1140" w:name="_Toc106183869"/>
      <w:r w:rsidRPr="00E26D09">
        <w:t>6.3.</w:t>
      </w:r>
      <w:r>
        <w:t>1.3</w:t>
      </w:r>
      <w:r w:rsidRPr="00E26D09">
        <w:tab/>
        <w:t>Total power dynamic range</w:t>
      </w:r>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p>
    <w:p w14:paraId="65E95F2A" w14:textId="77777777" w:rsidR="004C23B4" w:rsidRPr="00E26D09" w:rsidRDefault="004C23B4" w:rsidP="004C23B4">
      <w:pPr>
        <w:pStyle w:val="Heading5"/>
      </w:pPr>
      <w:bookmarkStart w:id="1141" w:name="_Toc21127460"/>
      <w:bookmarkStart w:id="1142" w:name="_Toc29811666"/>
      <w:bookmarkStart w:id="1143" w:name="_Toc53185324"/>
      <w:bookmarkStart w:id="1144" w:name="_Toc53185700"/>
      <w:bookmarkStart w:id="1145" w:name="_Toc57820175"/>
      <w:bookmarkStart w:id="1146" w:name="_Toc57821102"/>
      <w:bookmarkStart w:id="1147" w:name="_Toc61183378"/>
      <w:bookmarkStart w:id="1148" w:name="_Toc61183772"/>
      <w:bookmarkStart w:id="1149" w:name="_Toc61184164"/>
      <w:bookmarkStart w:id="1150" w:name="_Toc61184556"/>
      <w:bookmarkStart w:id="1151" w:name="_Toc61184946"/>
      <w:bookmarkStart w:id="1152" w:name="_Toc66386289"/>
      <w:bookmarkStart w:id="1153" w:name="_Toc74583130"/>
      <w:bookmarkStart w:id="1154" w:name="_Toc76541943"/>
      <w:bookmarkStart w:id="1155" w:name="_Toc82449925"/>
      <w:bookmarkStart w:id="1156" w:name="_Toc82450573"/>
      <w:bookmarkStart w:id="1157" w:name="_Toc89948962"/>
      <w:bookmarkStart w:id="1158" w:name="_Toc98755351"/>
      <w:bookmarkStart w:id="1159" w:name="_Toc98762941"/>
      <w:bookmarkStart w:id="1160" w:name="_Toc106183870"/>
      <w:r w:rsidRPr="00E26D09">
        <w:t>6.3.</w:t>
      </w:r>
      <w:r>
        <w:t>1.3.1</w:t>
      </w:r>
      <w:r w:rsidRPr="00E26D09">
        <w:tab/>
        <w:t>General</w:t>
      </w:r>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p>
    <w:p w14:paraId="44F4CBFD" w14:textId="77777777" w:rsidR="004C23B4" w:rsidRPr="00E26D09" w:rsidRDefault="004C23B4" w:rsidP="004C23B4">
      <w:r w:rsidRPr="00E26D09">
        <w:t xml:space="preserve">The </w:t>
      </w:r>
      <w:r>
        <w:t>IAB-DU</w:t>
      </w:r>
      <w:r w:rsidRPr="00E26D09">
        <w:t xml:space="preserve"> total power dynamic range is the difference between the maximum and the minimum transmit power of an OFDM symbol for a specified reference condition.</w:t>
      </w:r>
    </w:p>
    <w:p w14:paraId="7E427ACE" w14:textId="77777777" w:rsidR="004C23B4" w:rsidRPr="00E26D09" w:rsidRDefault="004C23B4" w:rsidP="004C23B4">
      <w:pPr>
        <w:rPr>
          <w:rFonts w:cs="v5.0.0"/>
        </w:rPr>
      </w:pPr>
      <w:r w:rsidRPr="00E26D09">
        <w:rPr>
          <w:rFonts w:cs="v5.0.0"/>
        </w:rPr>
        <w:lastRenderedPageBreak/>
        <w:t xml:space="preserve">For </w:t>
      </w:r>
      <w:r>
        <w:rPr>
          <w:rFonts w:cs="v5.0.0"/>
          <w:i/>
        </w:rPr>
        <w:t>IAB-DU</w:t>
      </w:r>
      <w:r w:rsidRPr="00E26D09">
        <w:rPr>
          <w:rFonts w:cs="v5.0.0"/>
          <w:i/>
        </w:rPr>
        <w:t xml:space="preserve"> type 1-H</w:t>
      </w:r>
      <w:r w:rsidRPr="00E26D09">
        <w:rPr>
          <w:rFonts w:cs="v5.0.0"/>
        </w:rPr>
        <w:t xml:space="preserve"> this requirement shall apply at each </w:t>
      </w:r>
      <w:r w:rsidRPr="00E26D09">
        <w:rPr>
          <w:rFonts w:cs="v5.0.0"/>
          <w:i/>
        </w:rPr>
        <w:t>TAB connector</w:t>
      </w:r>
      <w:r w:rsidRPr="00E26D09">
        <w:rPr>
          <w:rFonts w:cs="v5.0.0"/>
        </w:rPr>
        <w:t xml:space="preserve"> supporting transmission in the </w:t>
      </w:r>
      <w:r w:rsidRPr="00E26D09">
        <w:rPr>
          <w:rFonts w:cs="v5.0.0"/>
          <w:i/>
        </w:rPr>
        <w:t>operating band</w:t>
      </w:r>
      <w:r w:rsidRPr="00E26D09">
        <w:rPr>
          <w:rFonts w:cs="v5.0.0"/>
        </w:rPr>
        <w:t>.</w:t>
      </w:r>
    </w:p>
    <w:p w14:paraId="576E1F21" w14:textId="77777777" w:rsidR="004C23B4" w:rsidRPr="00E26D09" w:rsidRDefault="004C23B4" w:rsidP="004C23B4">
      <w:pPr>
        <w:pStyle w:val="NO"/>
        <w:rPr>
          <w:lang w:eastAsia="zh-CN"/>
        </w:rPr>
      </w:pPr>
      <w:r w:rsidRPr="00E26D09">
        <w:t>NOTE:</w:t>
      </w:r>
      <w:r w:rsidRPr="00E26D09">
        <w:tab/>
        <w:t>The upper limit of the dynamic range is the OFDM symbol power for a BS when transmitting on all RBs at maximum output power. The lower limit of the total power dynamic range is the average power for single RB transmission.</w:t>
      </w:r>
      <w:r w:rsidRPr="00E26D09">
        <w:rPr>
          <w:lang w:eastAsia="zh-CN"/>
        </w:rPr>
        <w:t xml:space="preserve"> </w:t>
      </w:r>
      <w:r w:rsidRPr="00E26D09">
        <w:t>The OFDM symbol shall carry PDSCH and not contain RS or SSB.</w:t>
      </w:r>
    </w:p>
    <w:p w14:paraId="36AD1D37" w14:textId="77777777" w:rsidR="004C23B4" w:rsidRDefault="004C23B4" w:rsidP="004C23B4">
      <w:pPr>
        <w:pStyle w:val="Heading5"/>
        <w:rPr>
          <w:i/>
        </w:rPr>
      </w:pPr>
      <w:bookmarkStart w:id="1161" w:name="_Toc21127461"/>
      <w:bookmarkStart w:id="1162" w:name="_Toc29811667"/>
      <w:bookmarkStart w:id="1163" w:name="_Toc53185325"/>
      <w:bookmarkStart w:id="1164" w:name="_Toc53185701"/>
      <w:bookmarkStart w:id="1165" w:name="_Toc57820176"/>
      <w:bookmarkStart w:id="1166" w:name="_Toc57821103"/>
      <w:bookmarkStart w:id="1167" w:name="_Toc61183379"/>
      <w:bookmarkStart w:id="1168" w:name="_Toc61183773"/>
      <w:bookmarkStart w:id="1169" w:name="_Toc61184165"/>
      <w:bookmarkStart w:id="1170" w:name="_Toc61184557"/>
      <w:bookmarkStart w:id="1171" w:name="_Toc61184947"/>
      <w:bookmarkStart w:id="1172" w:name="_Toc66386290"/>
      <w:bookmarkStart w:id="1173" w:name="_Toc74583131"/>
      <w:bookmarkStart w:id="1174" w:name="_Toc76541944"/>
      <w:bookmarkStart w:id="1175" w:name="_Toc82449926"/>
      <w:bookmarkStart w:id="1176" w:name="_Toc82450574"/>
      <w:bookmarkStart w:id="1177" w:name="_Toc89948963"/>
      <w:bookmarkStart w:id="1178" w:name="_Toc98755352"/>
      <w:bookmarkStart w:id="1179" w:name="_Toc98762942"/>
      <w:bookmarkStart w:id="1180" w:name="_Toc106183871"/>
      <w:r w:rsidRPr="00E26D09">
        <w:t>6.3.</w:t>
      </w:r>
      <w:r>
        <w:t>1.3.</w:t>
      </w:r>
      <w:r w:rsidRPr="00E26D09">
        <w:t>2</w:t>
      </w:r>
      <w:r w:rsidRPr="00E26D09">
        <w:tab/>
        <w:t xml:space="preserve">Minimum requirement for </w:t>
      </w:r>
      <w:r>
        <w:t>IAB-DU</w:t>
      </w:r>
      <w:r w:rsidRPr="00E26D09">
        <w:rPr>
          <w:i/>
        </w:rPr>
        <w:t xml:space="preserve"> type 1-H</w:t>
      </w:r>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p>
    <w:p w14:paraId="5AEAACE8" w14:textId="11A97FDF" w:rsidR="00C90C57" w:rsidRPr="00E26D09" w:rsidRDefault="00C90C57" w:rsidP="00C90C57">
      <w:bookmarkStart w:id="1181" w:name="_Toc53185326"/>
      <w:bookmarkStart w:id="1182" w:name="_Toc53185702"/>
      <w:bookmarkStart w:id="1183" w:name="_Toc57820177"/>
      <w:bookmarkStart w:id="1184" w:name="_Toc57821104"/>
      <w:bookmarkStart w:id="1185" w:name="_Toc61183380"/>
      <w:bookmarkStart w:id="1186" w:name="_Toc61183774"/>
      <w:bookmarkStart w:id="1187" w:name="_Toc61184166"/>
      <w:bookmarkStart w:id="1188" w:name="_Toc61184558"/>
      <w:bookmarkStart w:id="1189" w:name="_Toc61184948"/>
      <w:r w:rsidRPr="00E26D09">
        <w:t xml:space="preserve">The </w:t>
      </w:r>
      <w:r>
        <w:t>t</w:t>
      </w:r>
      <w:r w:rsidRPr="000C5861">
        <w:t>otal power dynamic range</w:t>
      </w:r>
      <w:r w:rsidRPr="00E26D09">
        <w:t xml:space="preserve"> is specified the same as the </w:t>
      </w:r>
      <w:r>
        <w:t>t</w:t>
      </w:r>
      <w:r w:rsidRPr="000C5861">
        <w:t>otal power dynamic range</w:t>
      </w:r>
      <w:r w:rsidRPr="00E26D09">
        <w:t xml:space="preserve"> requirement for </w:t>
      </w:r>
      <w:r>
        <w:t>BS</w:t>
      </w:r>
      <w:r w:rsidRPr="00E26D09">
        <w:rPr>
          <w:i/>
        </w:rPr>
        <w:t xml:space="preserve"> type 1-H</w:t>
      </w:r>
      <w:r w:rsidRPr="00E26D09">
        <w:t xml:space="preserve"> </w:t>
      </w:r>
      <w:r>
        <w:t xml:space="preserve">in TS 38.104 [2], subclause 6.3.3.2, where references to </w:t>
      </w:r>
      <w:r w:rsidRPr="00A922D4">
        <w:rPr>
          <w:i/>
        </w:rPr>
        <w:t>BS channel bandwidth</w:t>
      </w:r>
      <w:r>
        <w:t xml:space="preserve"> apply to </w:t>
      </w:r>
      <w:r w:rsidRPr="00A922D4">
        <w:rPr>
          <w:i/>
        </w:rPr>
        <w:t>IAB-DU channel bandwidth</w:t>
      </w:r>
      <w:r>
        <w:t>.</w:t>
      </w:r>
    </w:p>
    <w:p w14:paraId="70A32055" w14:textId="77777777" w:rsidR="004C23B4" w:rsidRPr="000B0F78" w:rsidRDefault="004C23B4" w:rsidP="004C23B4">
      <w:pPr>
        <w:pStyle w:val="Heading3"/>
      </w:pPr>
      <w:bookmarkStart w:id="1190" w:name="_Toc66386291"/>
      <w:bookmarkStart w:id="1191" w:name="_Toc74583132"/>
      <w:bookmarkStart w:id="1192" w:name="_Toc76541945"/>
      <w:bookmarkStart w:id="1193" w:name="_Toc82449927"/>
      <w:bookmarkStart w:id="1194" w:name="_Toc82450575"/>
      <w:bookmarkStart w:id="1195" w:name="_Toc89948964"/>
      <w:bookmarkStart w:id="1196" w:name="_Toc98755353"/>
      <w:bookmarkStart w:id="1197" w:name="_Toc98762943"/>
      <w:bookmarkStart w:id="1198" w:name="_Toc106183872"/>
      <w:r>
        <w:rPr>
          <w:rFonts w:hint="eastAsia"/>
        </w:rPr>
        <w:t>6.3.</w:t>
      </w:r>
      <w:r>
        <w:t>2</w:t>
      </w:r>
      <w:r>
        <w:rPr>
          <w:rFonts w:hint="eastAsia"/>
        </w:rPr>
        <w:tab/>
      </w:r>
      <w:r>
        <w:t>IAB-MT Output Power Dynamics</w:t>
      </w:r>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p>
    <w:p w14:paraId="066116CC" w14:textId="77777777" w:rsidR="001313E8" w:rsidRPr="00E26D09" w:rsidRDefault="001313E8" w:rsidP="001313E8">
      <w:pPr>
        <w:pStyle w:val="Heading4"/>
        <w:rPr>
          <w:lang w:eastAsia="zh-CN"/>
        </w:rPr>
      </w:pPr>
      <w:bookmarkStart w:id="1199" w:name="_Toc53185327"/>
      <w:bookmarkStart w:id="1200" w:name="_Toc53185703"/>
      <w:bookmarkStart w:id="1201" w:name="_Toc57820178"/>
      <w:bookmarkStart w:id="1202" w:name="_Toc57821105"/>
      <w:bookmarkStart w:id="1203" w:name="_Toc61183381"/>
      <w:bookmarkStart w:id="1204" w:name="_Toc61183775"/>
      <w:bookmarkStart w:id="1205" w:name="_Toc61184167"/>
      <w:bookmarkStart w:id="1206" w:name="_Toc61184559"/>
      <w:bookmarkStart w:id="1207" w:name="_Toc61184949"/>
      <w:bookmarkStart w:id="1208" w:name="_Toc66386292"/>
      <w:bookmarkStart w:id="1209" w:name="_Toc74583133"/>
      <w:bookmarkStart w:id="1210" w:name="_Toc76541946"/>
      <w:bookmarkStart w:id="1211" w:name="_Toc82449928"/>
      <w:bookmarkStart w:id="1212" w:name="_Toc82450576"/>
      <w:bookmarkStart w:id="1213" w:name="_Toc89948965"/>
      <w:bookmarkStart w:id="1214" w:name="_Toc98755354"/>
      <w:bookmarkStart w:id="1215" w:name="_Toc98762944"/>
      <w:bookmarkStart w:id="1216" w:name="_Toc106183873"/>
      <w:r w:rsidRPr="00E26D09">
        <w:t>6.3.</w:t>
      </w:r>
      <w:r>
        <w:t>2.1</w:t>
      </w:r>
      <w:r w:rsidRPr="00E26D09">
        <w:tab/>
        <w:t>Total power dynamic range</w:t>
      </w:r>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p>
    <w:p w14:paraId="55B453D8" w14:textId="77777777" w:rsidR="001313E8" w:rsidRPr="00E26D09" w:rsidRDefault="001313E8" w:rsidP="001313E8">
      <w:pPr>
        <w:pStyle w:val="Heading5"/>
      </w:pPr>
      <w:bookmarkStart w:id="1217" w:name="_Toc53185328"/>
      <w:bookmarkStart w:id="1218" w:name="_Toc53185704"/>
      <w:bookmarkStart w:id="1219" w:name="_Toc57820179"/>
      <w:bookmarkStart w:id="1220" w:name="_Toc57821106"/>
      <w:bookmarkStart w:id="1221" w:name="_Toc61183382"/>
      <w:bookmarkStart w:id="1222" w:name="_Toc61183776"/>
      <w:bookmarkStart w:id="1223" w:name="_Toc61184168"/>
      <w:bookmarkStart w:id="1224" w:name="_Toc61184560"/>
      <w:bookmarkStart w:id="1225" w:name="_Toc61184950"/>
      <w:bookmarkStart w:id="1226" w:name="_Toc66386293"/>
      <w:bookmarkStart w:id="1227" w:name="_Toc74583134"/>
      <w:bookmarkStart w:id="1228" w:name="_Toc76541947"/>
      <w:bookmarkStart w:id="1229" w:name="_Toc82449929"/>
      <w:bookmarkStart w:id="1230" w:name="_Toc82450577"/>
      <w:bookmarkStart w:id="1231" w:name="_Toc89948966"/>
      <w:bookmarkStart w:id="1232" w:name="_Toc98755355"/>
      <w:bookmarkStart w:id="1233" w:name="_Toc98762945"/>
      <w:bookmarkStart w:id="1234" w:name="_Toc106183874"/>
      <w:r w:rsidRPr="00E26D09">
        <w:t>6.3.</w:t>
      </w:r>
      <w:r>
        <w:t>2</w:t>
      </w:r>
      <w:r w:rsidRPr="00E26D09">
        <w:t>.1</w:t>
      </w:r>
      <w:r>
        <w:t>.1</w:t>
      </w:r>
      <w:r w:rsidRPr="00E26D09">
        <w:tab/>
        <w:t>General</w:t>
      </w:r>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p>
    <w:p w14:paraId="5EBBC92B" w14:textId="77777777" w:rsidR="005574B6" w:rsidRDefault="005574B6" w:rsidP="005574B6">
      <w:bookmarkStart w:id="1235" w:name="_Toc53185329"/>
      <w:bookmarkStart w:id="1236" w:name="_Toc53185705"/>
      <w:bookmarkStart w:id="1237" w:name="_Toc57820180"/>
      <w:bookmarkStart w:id="1238" w:name="_Toc57821107"/>
      <w:bookmarkStart w:id="1239" w:name="_Toc61183383"/>
      <w:bookmarkStart w:id="1240" w:name="_Toc61183777"/>
      <w:bookmarkStart w:id="1241" w:name="_Toc61184169"/>
      <w:bookmarkStart w:id="1242" w:name="_Toc61184561"/>
      <w:bookmarkStart w:id="1243" w:name="_Toc61184951"/>
      <w:r w:rsidRPr="00E26D09">
        <w:t xml:space="preserve">The </w:t>
      </w:r>
      <w:r>
        <w:t>IAB-MT</w:t>
      </w:r>
      <w:r w:rsidRPr="00E26D09">
        <w:t xml:space="preserve"> total power dynamic range is the difference between the maximum and the minimum</w:t>
      </w:r>
      <w:r>
        <w:t xml:space="preserve"> controlled</w:t>
      </w:r>
      <w:r w:rsidRPr="00E26D09">
        <w:t xml:space="preserve"> transmit power </w:t>
      </w:r>
      <w:r w:rsidRPr="001C0CC4">
        <w:t xml:space="preserve">in the channel bandwidth for </w:t>
      </w:r>
      <w:r>
        <w:t xml:space="preserve">a specified reference condition. The maximum and minimum </w:t>
      </w:r>
      <w:r w:rsidRPr="001C0CC4">
        <w:t>output power</w:t>
      </w:r>
      <w:r>
        <w:t>s</w:t>
      </w:r>
      <w:r w:rsidRPr="001C0CC4">
        <w:t xml:space="preserve"> </w:t>
      </w:r>
      <w:r>
        <w:t>are</w:t>
      </w:r>
      <w:r w:rsidRPr="001C0CC4">
        <w:t xml:space="preserve"> defined as the mean power in at least one sub-frame 1ms</w:t>
      </w:r>
      <w:r>
        <w:t>.</w:t>
      </w:r>
    </w:p>
    <w:p w14:paraId="65215AF3" w14:textId="77777777" w:rsidR="005574B6" w:rsidRPr="001C0CC4" w:rsidRDefault="005574B6" w:rsidP="005574B6">
      <w:pPr>
        <w:pStyle w:val="NO"/>
      </w:pPr>
      <w:r>
        <w:rPr>
          <w:rFonts w:hint="eastAsia"/>
        </w:rPr>
        <w:t>N</w:t>
      </w:r>
      <w:r>
        <w:t>OTE:</w:t>
      </w:r>
      <w:r>
        <w:tab/>
        <w:t>The specified reference condition(s) are specified in the conformance specification Changes in the controlled transmit power in the channel bandwidth due to changes in the specified reference condition are not included as part of the dynamic range.</w:t>
      </w:r>
    </w:p>
    <w:p w14:paraId="5FD1B988" w14:textId="77777777" w:rsidR="001313E8" w:rsidRDefault="001313E8" w:rsidP="001313E8">
      <w:pPr>
        <w:pStyle w:val="Heading5"/>
        <w:rPr>
          <w:i/>
        </w:rPr>
      </w:pPr>
      <w:bookmarkStart w:id="1244" w:name="_Toc66386294"/>
      <w:bookmarkStart w:id="1245" w:name="_Toc74583135"/>
      <w:bookmarkStart w:id="1246" w:name="_Toc76541948"/>
      <w:bookmarkStart w:id="1247" w:name="_Toc82449930"/>
      <w:bookmarkStart w:id="1248" w:name="_Toc82450578"/>
      <w:bookmarkStart w:id="1249" w:name="_Toc89948967"/>
      <w:bookmarkStart w:id="1250" w:name="_Toc98755356"/>
      <w:bookmarkStart w:id="1251" w:name="_Toc98762946"/>
      <w:bookmarkStart w:id="1252" w:name="_Toc106183875"/>
      <w:r w:rsidRPr="00E26D09">
        <w:t>6.3.</w:t>
      </w:r>
      <w:r>
        <w:t>2</w:t>
      </w:r>
      <w:r w:rsidRPr="00E26D09">
        <w:t>.</w:t>
      </w:r>
      <w:r>
        <w:t>1.</w:t>
      </w:r>
      <w:r w:rsidRPr="00E26D09">
        <w:t>2</w:t>
      </w:r>
      <w:r w:rsidRPr="00E26D09">
        <w:tab/>
        <w:t xml:space="preserve">Minimum requirement for </w:t>
      </w:r>
      <w:r>
        <w:t>IAB-MT</w:t>
      </w:r>
      <w:r w:rsidRPr="00E26D09">
        <w:rPr>
          <w:i/>
        </w:rPr>
        <w:t xml:space="preserve"> type 1-H</w:t>
      </w:r>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p>
    <w:p w14:paraId="0BC77C3A" w14:textId="77777777" w:rsidR="001313E8" w:rsidRDefault="001313E8" w:rsidP="001313E8">
      <w:r>
        <w:t xml:space="preserve">For a wide area IAB-MT the </w:t>
      </w:r>
      <w:r w:rsidRPr="00F95B02">
        <w:t>total power dynamic range for each NR carrier shall be larger than or equal to</w:t>
      </w:r>
      <w:r>
        <w:t xml:space="preserve"> 5 dB.</w:t>
      </w:r>
    </w:p>
    <w:p w14:paraId="6891FB4B" w14:textId="48996AC5" w:rsidR="001313E8" w:rsidRPr="002E1777" w:rsidRDefault="001313E8" w:rsidP="005913F7">
      <w:r>
        <w:t xml:space="preserve">For a local area IAB-MT the </w:t>
      </w:r>
      <w:r w:rsidRPr="00F95B02">
        <w:t>total power dynamic range for each NR carrier shall be larger than or equal to</w:t>
      </w:r>
      <w:r>
        <w:t xml:space="preserve"> 10 dB.</w:t>
      </w:r>
    </w:p>
    <w:p w14:paraId="26853333" w14:textId="77777777" w:rsidR="006C4BA9" w:rsidRDefault="006C4BA9" w:rsidP="00A043EA">
      <w:pPr>
        <w:pStyle w:val="Heading3"/>
      </w:pPr>
      <w:bookmarkStart w:id="1253" w:name="_Toc45888772"/>
      <w:bookmarkStart w:id="1254" w:name="_Toc45888173"/>
      <w:bookmarkStart w:id="1255" w:name="_Toc37251342"/>
      <w:bookmarkStart w:id="1256" w:name="_Toc36107576"/>
      <w:bookmarkStart w:id="1257" w:name="_Toc29802834"/>
      <w:bookmarkStart w:id="1258" w:name="_Toc29802209"/>
      <w:bookmarkStart w:id="1259" w:name="_Toc29801785"/>
      <w:bookmarkStart w:id="1260" w:name="_Toc53185330"/>
      <w:bookmarkStart w:id="1261" w:name="_Toc53185706"/>
      <w:bookmarkStart w:id="1262" w:name="_Toc57820181"/>
      <w:bookmarkStart w:id="1263" w:name="_Toc57821108"/>
      <w:bookmarkStart w:id="1264" w:name="_Toc61183384"/>
      <w:bookmarkStart w:id="1265" w:name="_Toc61183778"/>
      <w:bookmarkStart w:id="1266" w:name="_Toc61184170"/>
      <w:bookmarkStart w:id="1267" w:name="_Toc61184562"/>
      <w:bookmarkStart w:id="1268" w:name="_Toc61184952"/>
      <w:bookmarkStart w:id="1269" w:name="_Toc66386295"/>
      <w:bookmarkStart w:id="1270" w:name="_Toc74583136"/>
      <w:bookmarkStart w:id="1271" w:name="_Toc76541949"/>
      <w:bookmarkStart w:id="1272" w:name="_Toc82449931"/>
      <w:bookmarkStart w:id="1273" w:name="_Toc82450579"/>
      <w:bookmarkStart w:id="1274" w:name="_Toc89948968"/>
      <w:bookmarkStart w:id="1275" w:name="_Toc98755357"/>
      <w:bookmarkStart w:id="1276" w:name="_Toc98762947"/>
      <w:bookmarkStart w:id="1277" w:name="_Toc106183876"/>
      <w:r>
        <w:t>6.3.3</w:t>
      </w:r>
      <w:r>
        <w:tab/>
        <w:t>Power control</w:t>
      </w:r>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p>
    <w:p w14:paraId="5F09EF7C" w14:textId="77777777" w:rsidR="006C4BA9" w:rsidRDefault="006C4BA9" w:rsidP="006C4BA9">
      <w:pPr>
        <w:pStyle w:val="Heading4"/>
        <w:rPr>
          <w:rFonts w:eastAsia="MS Mincho"/>
        </w:rPr>
      </w:pPr>
      <w:bookmarkStart w:id="1278" w:name="_Toc45888775"/>
      <w:bookmarkStart w:id="1279" w:name="_Toc45888176"/>
      <w:bookmarkStart w:id="1280" w:name="_Toc37251345"/>
      <w:bookmarkStart w:id="1281" w:name="_Toc36107579"/>
      <w:bookmarkStart w:id="1282" w:name="_Toc29802837"/>
      <w:bookmarkStart w:id="1283" w:name="_Toc29802212"/>
      <w:bookmarkStart w:id="1284" w:name="_Toc29801788"/>
      <w:bookmarkStart w:id="1285" w:name="_Toc21344302"/>
      <w:bookmarkStart w:id="1286" w:name="_Toc53185331"/>
      <w:bookmarkStart w:id="1287" w:name="_Toc53185707"/>
      <w:bookmarkStart w:id="1288" w:name="_Toc57820182"/>
      <w:bookmarkStart w:id="1289" w:name="_Toc57821109"/>
      <w:bookmarkStart w:id="1290" w:name="_Toc61183385"/>
      <w:bookmarkStart w:id="1291" w:name="_Toc61183779"/>
      <w:bookmarkStart w:id="1292" w:name="_Toc61184171"/>
      <w:bookmarkStart w:id="1293" w:name="_Toc61184563"/>
      <w:bookmarkStart w:id="1294" w:name="_Toc61184953"/>
      <w:bookmarkStart w:id="1295" w:name="_Toc66386296"/>
      <w:bookmarkStart w:id="1296" w:name="_Toc74583137"/>
      <w:bookmarkStart w:id="1297" w:name="_Toc76541950"/>
      <w:bookmarkStart w:id="1298" w:name="_Toc82449932"/>
      <w:bookmarkStart w:id="1299" w:name="_Toc82450580"/>
      <w:bookmarkStart w:id="1300" w:name="_Toc89948969"/>
      <w:bookmarkStart w:id="1301" w:name="_Toc98755358"/>
      <w:bookmarkStart w:id="1302" w:name="_Toc98762948"/>
      <w:bookmarkStart w:id="1303" w:name="_Toc106183877"/>
      <w:r>
        <w:rPr>
          <w:rFonts w:eastAsia="MS Mincho"/>
        </w:rPr>
        <w:t>6.3.3.1</w:t>
      </w:r>
      <w:r>
        <w:rPr>
          <w:rFonts w:eastAsia="MS Mincho"/>
        </w:rPr>
        <w:tab/>
        <w:t>Relative power tolerance</w:t>
      </w:r>
      <w:bookmarkEnd w:id="1278"/>
      <w:bookmarkEnd w:id="1279"/>
      <w:bookmarkEnd w:id="1280"/>
      <w:bookmarkEnd w:id="1281"/>
      <w:bookmarkEnd w:id="1282"/>
      <w:bookmarkEnd w:id="1283"/>
      <w:bookmarkEnd w:id="1284"/>
      <w:bookmarkEnd w:id="1285"/>
      <w:r>
        <w:rPr>
          <w:rFonts w:eastAsia="MS Mincho"/>
        </w:rPr>
        <w:t xml:space="preserve"> for local area IAB-MT type 1-H</w:t>
      </w:r>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p>
    <w:p w14:paraId="14BE8093" w14:textId="77777777" w:rsidR="009E5827" w:rsidRDefault="009E5827" w:rsidP="00AC7434">
      <w:r>
        <w:t>The relative power tolerance is the ability of the transmitter to set its output power in a target sub-frame (1 ms) relatively to the power of the most recently transmitted reference sub-frame (1 ms) if the transmission gap between these sub-frames is less than or equal to 20 ms.</w:t>
      </w:r>
    </w:p>
    <w:p w14:paraId="6B575134" w14:textId="13932EFA" w:rsidR="009E5827" w:rsidRDefault="009E5827" w:rsidP="00AC7434">
      <w:pPr>
        <w:rPr>
          <w:rFonts w:eastAsia="MS Mincho"/>
        </w:rPr>
      </w:pPr>
      <w:r>
        <w:t xml:space="preserve">The minimum requirements specified for each </w:t>
      </w:r>
      <w:r w:rsidRPr="00C056FC">
        <w:rPr>
          <w:i/>
          <w:iCs/>
        </w:rPr>
        <w:t>TAB-connector</w:t>
      </w:r>
      <w:r>
        <w:t xml:space="preserve"> in Table 6.3.</w:t>
      </w:r>
      <w:r w:rsidR="00140680">
        <w:t>3</w:t>
      </w:r>
      <w:r>
        <w:t>.1-1 apply only when the output power is within the limits set by declared maximum output power and specified dynamic range.</w:t>
      </w:r>
    </w:p>
    <w:p w14:paraId="0FD334E0" w14:textId="6BEFA432" w:rsidR="009E5827" w:rsidRDefault="009E5827" w:rsidP="00AC7434">
      <w:r>
        <w:t>2 exceptions are allowed for each of two test patterns. The test patterns are a monotonically increasing power sweep and a monotonically decreasing power sweep. For those exceptions, the power tolerance limit is a maximum of [± 6.0 dB] in Table 6.3.</w:t>
      </w:r>
      <w:r w:rsidR="001F36AD">
        <w:t>3</w:t>
      </w:r>
      <w:r>
        <w:t>.1-1.</w:t>
      </w:r>
    </w:p>
    <w:p w14:paraId="34A027F4" w14:textId="760D62EC" w:rsidR="009E5827" w:rsidRDefault="009E5827" w:rsidP="009E5827">
      <w:pPr>
        <w:pStyle w:val="TH"/>
      </w:pPr>
      <w:r>
        <w:t>Table 6.3.</w:t>
      </w:r>
      <w:r w:rsidR="001F36AD">
        <w:t>3</w:t>
      </w:r>
      <w:r>
        <w:t>.1-1: Relative power tolerance</w:t>
      </w:r>
    </w:p>
    <w:tbl>
      <w:tblPr>
        <w:tblW w:w="6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7"/>
        <w:gridCol w:w="3473"/>
      </w:tblGrid>
      <w:tr w:rsidR="009E5827" w14:paraId="303E2631" w14:textId="77777777" w:rsidTr="004C7013">
        <w:trPr>
          <w:trHeight w:val="420"/>
          <w:jc w:val="center"/>
        </w:trPr>
        <w:tc>
          <w:tcPr>
            <w:tcW w:w="3397" w:type="dxa"/>
            <w:tcBorders>
              <w:top w:val="single" w:sz="4" w:space="0" w:color="auto"/>
              <w:left w:val="single" w:sz="4" w:space="0" w:color="auto"/>
              <w:bottom w:val="single" w:sz="4" w:space="0" w:color="auto"/>
              <w:right w:val="single" w:sz="4" w:space="0" w:color="auto"/>
            </w:tcBorders>
            <w:hideMark/>
          </w:tcPr>
          <w:p w14:paraId="7F29866A" w14:textId="77777777" w:rsidR="009E5827" w:rsidRDefault="009E5827" w:rsidP="004C7013">
            <w:pPr>
              <w:pStyle w:val="TAH"/>
            </w:pPr>
            <w:r>
              <w:t xml:space="preserve">Power step </w:t>
            </w:r>
            <w:r>
              <w:rPr>
                <w:rFonts w:ascii="Symbol" w:hAnsi="Symbol"/>
              </w:rPr>
              <w:t></w:t>
            </w:r>
            <w:r>
              <w:t>P (Up or down)</w:t>
            </w:r>
          </w:p>
          <w:p w14:paraId="77169B59" w14:textId="21AD2A2E" w:rsidR="009E5827" w:rsidRDefault="009E5827" w:rsidP="004C7013">
            <w:pPr>
              <w:pStyle w:val="TAH"/>
            </w:pPr>
            <w:r>
              <w:t>(dB)</w:t>
            </w:r>
          </w:p>
        </w:tc>
        <w:tc>
          <w:tcPr>
            <w:tcW w:w="3473" w:type="dxa"/>
            <w:tcBorders>
              <w:top w:val="single" w:sz="4" w:space="0" w:color="auto"/>
              <w:left w:val="single" w:sz="4" w:space="0" w:color="auto"/>
              <w:bottom w:val="single" w:sz="4" w:space="0" w:color="auto"/>
              <w:right w:val="single" w:sz="4" w:space="0" w:color="auto"/>
            </w:tcBorders>
            <w:hideMark/>
          </w:tcPr>
          <w:p w14:paraId="39529580" w14:textId="77777777" w:rsidR="009E5827" w:rsidRDefault="009E5827" w:rsidP="004C7013">
            <w:pPr>
              <w:pStyle w:val="TAH"/>
            </w:pPr>
            <w:r>
              <w:t>Power tolerance (dB)</w:t>
            </w:r>
          </w:p>
        </w:tc>
      </w:tr>
      <w:tr w:rsidR="009E5827" w14:paraId="73DFD9C8" w14:textId="77777777" w:rsidTr="00C056FC">
        <w:trPr>
          <w:trHeight w:val="255"/>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5B4C05B5" w14:textId="77777777" w:rsidR="009E5827" w:rsidRDefault="009E5827" w:rsidP="00BD1F8C">
            <w:pPr>
              <w:pStyle w:val="TAC"/>
              <w:rPr>
                <w:rFonts w:cs="Arial"/>
              </w:rPr>
            </w:pPr>
            <w:r>
              <w:rPr>
                <w:rFonts w:cs="Arial"/>
              </w:rPr>
              <w:t>ΔP &lt; 2</w:t>
            </w:r>
          </w:p>
        </w:tc>
        <w:tc>
          <w:tcPr>
            <w:tcW w:w="3473" w:type="dxa"/>
            <w:tcBorders>
              <w:top w:val="single" w:sz="4" w:space="0" w:color="auto"/>
              <w:left w:val="single" w:sz="4" w:space="0" w:color="auto"/>
              <w:bottom w:val="single" w:sz="4" w:space="0" w:color="auto"/>
              <w:right w:val="single" w:sz="4" w:space="0" w:color="auto"/>
            </w:tcBorders>
            <w:vAlign w:val="center"/>
            <w:hideMark/>
          </w:tcPr>
          <w:p w14:paraId="0E83DDC7" w14:textId="77777777" w:rsidR="009E5827" w:rsidRDefault="009E5827" w:rsidP="00BD1F8C">
            <w:pPr>
              <w:pStyle w:val="TAC"/>
              <w:rPr>
                <w:rFonts w:cs="Arial"/>
              </w:rPr>
            </w:pPr>
            <w:r>
              <w:rPr>
                <w:rFonts w:cs="Arial"/>
              </w:rPr>
              <w:t>[± 2.5]</w:t>
            </w:r>
          </w:p>
        </w:tc>
      </w:tr>
      <w:tr w:rsidR="009E5827" w14:paraId="004A1B34" w14:textId="77777777" w:rsidTr="00C056FC">
        <w:trPr>
          <w:trHeight w:val="255"/>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6DB2BA3A" w14:textId="77777777" w:rsidR="009E5827" w:rsidRDefault="009E5827" w:rsidP="00BD1F8C">
            <w:pPr>
              <w:pStyle w:val="TAC"/>
              <w:rPr>
                <w:rFonts w:cs="Arial"/>
              </w:rPr>
            </w:pPr>
            <w:r>
              <w:rPr>
                <w:rFonts w:cs="Arial"/>
              </w:rPr>
              <w:t>2 ≤ ΔP &lt; 3</w:t>
            </w:r>
          </w:p>
        </w:tc>
        <w:tc>
          <w:tcPr>
            <w:tcW w:w="3473" w:type="dxa"/>
            <w:tcBorders>
              <w:top w:val="single" w:sz="4" w:space="0" w:color="auto"/>
              <w:left w:val="single" w:sz="4" w:space="0" w:color="auto"/>
              <w:bottom w:val="single" w:sz="4" w:space="0" w:color="auto"/>
              <w:right w:val="single" w:sz="4" w:space="0" w:color="auto"/>
            </w:tcBorders>
            <w:vAlign w:val="center"/>
            <w:hideMark/>
          </w:tcPr>
          <w:p w14:paraId="7C9F248C" w14:textId="77777777" w:rsidR="009E5827" w:rsidRDefault="009E5827" w:rsidP="00BD1F8C">
            <w:pPr>
              <w:pStyle w:val="TAC"/>
              <w:rPr>
                <w:rFonts w:cs="Arial"/>
              </w:rPr>
            </w:pPr>
            <w:r>
              <w:rPr>
                <w:rFonts w:cs="Arial"/>
              </w:rPr>
              <w:t>[± 3.5]</w:t>
            </w:r>
          </w:p>
        </w:tc>
      </w:tr>
      <w:tr w:rsidR="009E5827" w14:paraId="62254009" w14:textId="77777777" w:rsidTr="00C056FC">
        <w:trPr>
          <w:trHeight w:val="255"/>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3602559C" w14:textId="77777777" w:rsidR="009E5827" w:rsidRDefault="009E5827" w:rsidP="00BD1F8C">
            <w:pPr>
              <w:pStyle w:val="TAC"/>
              <w:rPr>
                <w:rFonts w:cs="Arial"/>
              </w:rPr>
            </w:pPr>
            <w:r>
              <w:rPr>
                <w:rFonts w:cs="Arial"/>
              </w:rPr>
              <w:t>3 ≤ ΔP &lt; 4</w:t>
            </w:r>
          </w:p>
        </w:tc>
        <w:tc>
          <w:tcPr>
            <w:tcW w:w="3473" w:type="dxa"/>
            <w:tcBorders>
              <w:top w:val="single" w:sz="4" w:space="0" w:color="auto"/>
              <w:left w:val="single" w:sz="4" w:space="0" w:color="auto"/>
              <w:bottom w:val="single" w:sz="4" w:space="0" w:color="auto"/>
              <w:right w:val="single" w:sz="4" w:space="0" w:color="auto"/>
            </w:tcBorders>
            <w:vAlign w:val="center"/>
            <w:hideMark/>
          </w:tcPr>
          <w:p w14:paraId="129B1299" w14:textId="77777777" w:rsidR="009E5827" w:rsidRDefault="009E5827" w:rsidP="00BD1F8C">
            <w:pPr>
              <w:pStyle w:val="TAC"/>
              <w:rPr>
                <w:rFonts w:cs="Arial"/>
              </w:rPr>
            </w:pPr>
            <w:r>
              <w:rPr>
                <w:rFonts w:cs="Arial"/>
              </w:rPr>
              <w:t>[± 4.5]</w:t>
            </w:r>
          </w:p>
        </w:tc>
      </w:tr>
      <w:tr w:rsidR="009E5827" w14:paraId="175F83AC" w14:textId="77777777" w:rsidTr="00C056FC">
        <w:trPr>
          <w:trHeight w:val="255"/>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4A168BE9" w14:textId="77777777" w:rsidR="009E5827" w:rsidRDefault="009E5827" w:rsidP="00BD1F8C">
            <w:pPr>
              <w:pStyle w:val="TAC"/>
              <w:rPr>
                <w:rFonts w:cs="Arial"/>
              </w:rPr>
            </w:pPr>
            <w:r>
              <w:rPr>
                <w:rFonts w:cs="Arial"/>
              </w:rPr>
              <w:t>4 ≤ ΔP &lt; 10</w:t>
            </w:r>
          </w:p>
        </w:tc>
        <w:tc>
          <w:tcPr>
            <w:tcW w:w="3473" w:type="dxa"/>
            <w:tcBorders>
              <w:top w:val="single" w:sz="4" w:space="0" w:color="auto"/>
              <w:left w:val="single" w:sz="4" w:space="0" w:color="auto"/>
              <w:bottom w:val="single" w:sz="4" w:space="0" w:color="auto"/>
              <w:right w:val="single" w:sz="4" w:space="0" w:color="auto"/>
            </w:tcBorders>
            <w:vAlign w:val="center"/>
            <w:hideMark/>
          </w:tcPr>
          <w:p w14:paraId="5E024009" w14:textId="77777777" w:rsidR="009E5827" w:rsidRDefault="009E5827" w:rsidP="00BD1F8C">
            <w:pPr>
              <w:pStyle w:val="TAC"/>
              <w:rPr>
                <w:rFonts w:cs="Arial"/>
              </w:rPr>
            </w:pPr>
            <w:r>
              <w:rPr>
                <w:rFonts w:cs="Arial"/>
              </w:rPr>
              <w:t>[± 5.5]</w:t>
            </w:r>
          </w:p>
        </w:tc>
      </w:tr>
    </w:tbl>
    <w:p w14:paraId="464B0E43" w14:textId="77777777" w:rsidR="009E5827" w:rsidRDefault="009E5827" w:rsidP="009E5827"/>
    <w:p w14:paraId="486F03B2" w14:textId="621B9262" w:rsidR="009E5827" w:rsidRDefault="009E5827" w:rsidP="009E5827">
      <w:pPr>
        <w:pStyle w:val="Heading4"/>
        <w:ind w:left="0" w:firstLine="0"/>
        <w:rPr>
          <w:rFonts w:eastAsia="MS Mincho"/>
        </w:rPr>
      </w:pPr>
      <w:bookmarkStart w:id="1304" w:name="_Toc45888776"/>
      <w:bookmarkStart w:id="1305" w:name="_Toc45888177"/>
      <w:bookmarkStart w:id="1306" w:name="_Toc37251346"/>
      <w:bookmarkStart w:id="1307" w:name="_Toc36107580"/>
      <w:bookmarkStart w:id="1308" w:name="_Toc29802838"/>
      <w:bookmarkStart w:id="1309" w:name="_Toc29802213"/>
      <w:bookmarkStart w:id="1310" w:name="_Toc29801789"/>
      <w:bookmarkStart w:id="1311" w:name="_Toc21344303"/>
      <w:bookmarkStart w:id="1312" w:name="_Toc53185332"/>
      <w:bookmarkStart w:id="1313" w:name="_Toc53185708"/>
      <w:bookmarkStart w:id="1314" w:name="_Toc57820183"/>
      <w:bookmarkStart w:id="1315" w:name="_Toc57821110"/>
      <w:bookmarkStart w:id="1316" w:name="_Toc61183386"/>
      <w:bookmarkStart w:id="1317" w:name="_Toc61183780"/>
      <w:bookmarkStart w:id="1318" w:name="_Toc61184172"/>
      <w:bookmarkStart w:id="1319" w:name="_Toc61184564"/>
      <w:bookmarkStart w:id="1320" w:name="_Toc61184954"/>
      <w:bookmarkStart w:id="1321" w:name="_Toc66386297"/>
      <w:bookmarkStart w:id="1322" w:name="_Toc74583138"/>
      <w:bookmarkStart w:id="1323" w:name="_Toc76541951"/>
      <w:bookmarkStart w:id="1324" w:name="_Toc82449933"/>
      <w:bookmarkStart w:id="1325" w:name="_Toc82450581"/>
      <w:bookmarkStart w:id="1326" w:name="_Toc89948970"/>
      <w:bookmarkStart w:id="1327" w:name="_Toc98755359"/>
      <w:bookmarkStart w:id="1328" w:name="_Toc98762949"/>
      <w:bookmarkStart w:id="1329" w:name="_Toc106183878"/>
      <w:r>
        <w:rPr>
          <w:rFonts w:eastAsia="MS Mincho"/>
        </w:rPr>
        <w:t>6.3.</w:t>
      </w:r>
      <w:r w:rsidR="000E3494">
        <w:rPr>
          <w:rFonts w:eastAsia="MS Mincho"/>
        </w:rPr>
        <w:t>3</w:t>
      </w:r>
      <w:r>
        <w:rPr>
          <w:rFonts w:eastAsia="MS Mincho"/>
        </w:rPr>
        <w:t>.2</w:t>
      </w:r>
      <w:r>
        <w:rPr>
          <w:rFonts w:eastAsia="MS Mincho"/>
        </w:rPr>
        <w:tab/>
        <w:t>Aggregate power tolerance</w:t>
      </w:r>
      <w:bookmarkEnd w:id="1304"/>
      <w:bookmarkEnd w:id="1305"/>
      <w:bookmarkEnd w:id="1306"/>
      <w:bookmarkEnd w:id="1307"/>
      <w:bookmarkEnd w:id="1308"/>
      <w:bookmarkEnd w:id="1309"/>
      <w:bookmarkEnd w:id="1310"/>
      <w:bookmarkEnd w:id="1311"/>
      <w:r w:rsidRPr="001416E1">
        <w:rPr>
          <w:rFonts w:eastAsia="MS Mincho"/>
        </w:rPr>
        <w:t xml:space="preserve"> </w:t>
      </w:r>
      <w:r>
        <w:rPr>
          <w:rFonts w:eastAsia="MS Mincho"/>
        </w:rPr>
        <w:t>for local area IAB-MT type 1-H</w:t>
      </w:r>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p>
    <w:p w14:paraId="65ED97F5" w14:textId="77777777" w:rsidR="009E5827" w:rsidRDefault="009E5827" w:rsidP="00AC7434">
      <w:pPr>
        <w:rPr>
          <w:rFonts w:eastAsia="MS Mincho"/>
        </w:rPr>
      </w:pPr>
      <w:r>
        <w:t>The aggregate power control tolerance is the ability of the transmitter to maintain its power in a sub-frame (1 ms) during non-contiguous transmissions within [21 ms] in response to 0 dB commands with respect to the first transmission and all other power control parameters as specified in 3GPP TS 38.213 [10] kept constant.</w:t>
      </w:r>
    </w:p>
    <w:p w14:paraId="66EB791A" w14:textId="7F1764D9" w:rsidR="009E5827" w:rsidRDefault="009E5827" w:rsidP="00AC7434">
      <w:pPr>
        <w:rPr>
          <w:rFonts w:eastAsia="MS Mincho"/>
        </w:rPr>
      </w:pPr>
      <w:r>
        <w:lastRenderedPageBreak/>
        <w:t xml:space="preserve">The minimum requirements specified for each </w:t>
      </w:r>
      <w:r w:rsidRPr="00C056FC">
        <w:rPr>
          <w:i/>
          <w:iCs/>
        </w:rPr>
        <w:t>TAB-connector</w:t>
      </w:r>
      <w:r>
        <w:t xml:space="preserve"> in Table 6.3.</w:t>
      </w:r>
      <w:r w:rsidR="00243275">
        <w:t>3</w:t>
      </w:r>
      <w:r>
        <w:t>.2-1 apply only when the output power is within the limits set by declared maximum output power and specified dynamic range.</w:t>
      </w:r>
    </w:p>
    <w:p w14:paraId="7291D83F" w14:textId="0784182D" w:rsidR="009E5827" w:rsidRDefault="009E5827" w:rsidP="009E5827">
      <w:pPr>
        <w:pStyle w:val="TH"/>
      </w:pPr>
      <w:r>
        <w:t>Table 6.3.</w:t>
      </w:r>
      <w:r w:rsidR="00243275">
        <w:t>3</w:t>
      </w:r>
      <w:r>
        <w:t>.2-1: Aggregate power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1644"/>
        <w:gridCol w:w="4310"/>
      </w:tblGrid>
      <w:tr w:rsidR="009E5827" w:rsidRPr="00B97622" w14:paraId="18928233"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6021E81D" w14:textId="77777777" w:rsidR="009E5827" w:rsidRDefault="009E5827" w:rsidP="00BD1F8C">
            <w:pPr>
              <w:pStyle w:val="TAH"/>
            </w:pPr>
            <w:r>
              <w:t>TPC command</w:t>
            </w:r>
          </w:p>
        </w:tc>
        <w:tc>
          <w:tcPr>
            <w:tcW w:w="1644" w:type="dxa"/>
            <w:tcBorders>
              <w:top w:val="single" w:sz="4" w:space="0" w:color="auto"/>
              <w:left w:val="single" w:sz="4" w:space="0" w:color="auto"/>
              <w:bottom w:val="single" w:sz="4" w:space="0" w:color="auto"/>
              <w:right w:val="single" w:sz="4" w:space="0" w:color="auto"/>
            </w:tcBorders>
            <w:hideMark/>
          </w:tcPr>
          <w:p w14:paraId="0FD28ADD" w14:textId="77777777" w:rsidR="009E5827" w:rsidRDefault="009E5827" w:rsidP="00BD1F8C">
            <w:pPr>
              <w:pStyle w:val="TAH"/>
            </w:pPr>
            <w:r>
              <w:t>UL channel</w:t>
            </w:r>
          </w:p>
        </w:tc>
        <w:tc>
          <w:tcPr>
            <w:tcW w:w="4310" w:type="dxa"/>
            <w:tcBorders>
              <w:top w:val="single" w:sz="4" w:space="0" w:color="auto"/>
              <w:left w:val="single" w:sz="4" w:space="0" w:color="auto"/>
              <w:bottom w:val="single" w:sz="4" w:space="0" w:color="auto"/>
              <w:right w:val="single" w:sz="4" w:space="0" w:color="auto"/>
            </w:tcBorders>
            <w:hideMark/>
          </w:tcPr>
          <w:p w14:paraId="1B25EA19" w14:textId="77777777" w:rsidR="009E5827" w:rsidRDefault="009E5827" w:rsidP="00BD1F8C">
            <w:pPr>
              <w:pStyle w:val="TAH"/>
            </w:pPr>
            <w:r>
              <w:t>Aggregate power tolerance within [21 ms]</w:t>
            </w:r>
          </w:p>
        </w:tc>
      </w:tr>
      <w:tr w:rsidR="009E5827" w14:paraId="14841D9B"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47998C15" w14:textId="77777777" w:rsidR="009E5827" w:rsidRDefault="009E5827" w:rsidP="00BD1F8C">
            <w:pPr>
              <w:pStyle w:val="TAC"/>
            </w:pPr>
            <w:r>
              <w:rPr>
                <w:rFonts w:cs="Arial"/>
              </w:rPr>
              <w:t>0 dB</w:t>
            </w:r>
          </w:p>
        </w:tc>
        <w:tc>
          <w:tcPr>
            <w:tcW w:w="1644" w:type="dxa"/>
            <w:tcBorders>
              <w:top w:val="single" w:sz="4" w:space="0" w:color="auto"/>
              <w:left w:val="single" w:sz="4" w:space="0" w:color="auto"/>
              <w:bottom w:val="single" w:sz="4" w:space="0" w:color="auto"/>
              <w:right w:val="single" w:sz="4" w:space="0" w:color="auto"/>
            </w:tcBorders>
            <w:hideMark/>
          </w:tcPr>
          <w:p w14:paraId="689FEC40" w14:textId="77777777" w:rsidR="009E5827" w:rsidRDefault="009E5827" w:rsidP="00BD1F8C">
            <w:pPr>
              <w:pStyle w:val="TAC"/>
            </w:pPr>
            <w:r>
              <w:rPr>
                <w:rFonts w:cs="Arial"/>
              </w:rPr>
              <w:t>PUCCH</w:t>
            </w:r>
          </w:p>
        </w:tc>
        <w:tc>
          <w:tcPr>
            <w:tcW w:w="4310" w:type="dxa"/>
            <w:tcBorders>
              <w:top w:val="single" w:sz="4" w:space="0" w:color="auto"/>
              <w:left w:val="single" w:sz="4" w:space="0" w:color="auto"/>
              <w:bottom w:val="single" w:sz="4" w:space="0" w:color="auto"/>
              <w:right w:val="single" w:sz="4" w:space="0" w:color="auto"/>
            </w:tcBorders>
            <w:hideMark/>
          </w:tcPr>
          <w:p w14:paraId="5A373F4C" w14:textId="77777777" w:rsidR="009E5827" w:rsidRDefault="009E5827" w:rsidP="00BD1F8C">
            <w:pPr>
              <w:pStyle w:val="TAC"/>
            </w:pPr>
            <w:r>
              <w:rPr>
                <w:rFonts w:cs="Arial"/>
              </w:rPr>
              <w:t>[± 2.5 dB]</w:t>
            </w:r>
          </w:p>
        </w:tc>
      </w:tr>
      <w:tr w:rsidR="009E5827" w14:paraId="1D411991"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2B70725D" w14:textId="77777777" w:rsidR="009E5827" w:rsidRDefault="009E5827" w:rsidP="00BD1F8C">
            <w:pPr>
              <w:pStyle w:val="TAC"/>
            </w:pPr>
            <w:r>
              <w:rPr>
                <w:rFonts w:cs="Arial"/>
              </w:rPr>
              <w:t>0 dB</w:t>
            </w:r>
          </w:p>
        </w:tc>
        <w:tc>
          <w:tcPr>
            <w:tcW w:w="1644" w:type="dxa"/>
            <w:tcBorders>
              <w:top w:val="single" w:sz="4" w:space="0" w:color="auto"/>
              <w:left w:val="single" w:sz="4" w:space="0" w:color="auto"/>
              <w:bottom w:val="single" w:sz="4" w:space="0" w:color="auto"/>
              <w:right w:val="single" w:sz="4" w:space="0" w:color="auto"/>
            </w:tcBorders>
            <w:hideMark/>
          </w:tcPr>
          <w:p w14:paraId="13E03653" w14:textId="77777777" w:rsidR="009E5827" w:rsidRDefault="009E5827" w:rsidP="00BD1F8C">
            <w:pPr>
              <w:pStyle w:val="TAC"/>
            </w:pPr>
            <w:r>
              <w:rPr>
                <w:rFonts w:cs="Arial"/>
              </w:rPr>
              <w:t>PUSCH</w:t>
            </w:r>
          </w:p>
        </w:tc>
        <w:tc>
          <w:tcPr>
            <w:tcW w:w="4310" w:type="dxa"/>
            <w:tcBorders>
              <w:top w:val="single" w:sz="4" w:space="0" w:color="auto"/>
              <w:left w:val="single" w:sz="4" w:space="0" w:color="auto"/>
              <w:bottom w:val="single" w:sz="4" w:space="0" w:color="auto"/>
              <w:right w:val="single" w:sz="4" w:space="0" w:color="auto"/>
            </w:tcBorders>
            <w:hideMark/>
          </w:tcPr>
          <w:p w14:paraId="1B90CE25" w14:textId="77777777" w:rsidR="009E5827" w:rsidRDefault="009E5827" w:rsidP="00BD1F8C">
            <w:pPr>
              <w:pStyle w:val="TAC"/>
            </w:pPr>
            <w:r>
              <w:rPr>
                <w:rFonts w:cs="Arial"/>
              </w:rPr>
              <w:t>[± 3.5 dB]</w:t>
            </w:r>
          </w:p>
        </w:tc>
      </w:tr>
    </w:tbl>
    <w:p w14:paraId="4C20C460" w14:textId="77777777" w:rsidR="00772A2C" w:rsidRPr="00772A2C" w:rsidRDefault="00772A2C" w:rsidP="005B59D6">
      <w:bookmarkStart w:id="1330" w:name="_Toc13080172"/>
      <w:bookmarkStart w:id="1331" w:name="_Toc18916167"/>
      <w:bookmarkStart w:id="1332" w:name="_Hlk497658738"/>
      <w:bookmarkEnd w:id="961"/>
      <w:bookmarkEnd w:id="962"/>
    </w:p>
    <w:p w14:paraId="7BE3CC6F" w14:textId="77777777" w:rsidR="00077B6E" w:rsidRDefault="00077B6E" w:rsidP="00077B6E">
      <w:pPr>
        <w:pStyle w:val="Heading2"/>
        <w:rPr>
          <w:rFonts w:eastAsiaTheme="minorEastAsia"/>
          <w:lang w:eastAsia="zh-CN"/>
        </w:rPr>
      </w:pPr>
      <w:bookmarkStart w:id="1333" w:name="_Toc53185333"/>
      <w:bookmarkStart w:id="1334" w:name="_Toc53185709"/>
      <w:bookmarkStart w:id="1335" w:name="_Toc57820184"/>
      <w:bookmarkStart w:id="1336" w:name="_Toc57821111"/>
      <w:bookmarkStart w:id="1337" w:name="_Toc61183387"/>
      <w:bookmarkStart w:id="1338" w:name="_Toc61183781"/>
      <w:bookmarkStart w:id="1339" w:name="_Toc61184173"/>
      <w:bookmarkStart w:id="1340" w:name="_Toc61184565"/>
      <w:bookmarkStart w:id="1341" w:name="_Toc61184955"/>
      <w:bookmarkStart w:id="1342" w:name="_Toc66386298"/>
      <w:bookmarkStart w:id="1343" w:name="_Toc74583139"/>
      <w:bookmarkStart w:id="1344" w:name="_Toc76541952"/>
      <w:bookmarkStart w:id="1345" w:name="_Toc82449934"/>
      <w:bookmarkStart w:id="1346" w:name="_Toc82450582"/>
      <w:bookmarkStart w:id="1347" w:name="_Toc89948971"/>
      <w:bookmarkStart w:id="1348" w:name="_Toc98755360"/>
      <w:bookmarkStart w:id="1349" w:name="_Toc98762950"/>
      <w:bookmarkStart w:id="1350" w:name="_Toc106183879"/>
      <w:r w:rsidRPr="007E346D">
        <w:t>6.4</w:t>
      </w:r>
      <w:r w:rsidRPr="007E346D">
        <w:tab/>
        <w:t>Transmit ON/OFF power</w:t>
      </w:r>
      <w:bookmarkEnd w:id="1330"/>
      <w:bookmarkEnd w:id="1331"/>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p>
    <w:p w14:paraId="2E378B42" w14:textId="6E231378" w:rsidR="00790BEC" w:rsidRDefault="00790BEC" w:rsidP="00790BEC">
      <w:pPr>
        <w:pStyle w:val="Heading3"/>
      </w:pPr>
      <w:bookmarkStart w:id="1351" w:name="_Toc53185334"/>
      <w:bookmarkStart w:id="1352" w:name="_Toc53185710"/>
      <w:bookmarkStart w:id="1353" w:name="_Toc57820185"/>
      <w:bookmarkStart w:id="1354" w:name="_Toc57821112"/>
      <w:bookmarkStart w:id="1355" w:name="_Toc61183388"/>
      <w:bookmarkStart w:id="1356" w:name="_Toc61183782"/>
      <w:bookmarkStart w:id="1357" w:name="_Toc61184174"/>
      <w:bookmarkStart w:id="1358" w:name="_Toc61184566"/>
      <w:bookmarkStart w:id="1359" w:name="_Toc61184956"/>
      <w:bookmarkStart w:id="1360" w:name="_Toc66386299"/>
      <w:bookmarkStart w:id="1361" w:name="_Toc74583140"/>
      <w:bookmarkStart w:id="1362" w:name="_Toc76541953"/>
      <w:bookmarkStart w:id="1363" w:name="_Toc82449935"/>
      <w:bookmarkStart w:id="1364" w:name="_Toc82450583"/>
      <w:bookmarkStart w:id="1365" w:name="_Toc89948972"/>
      <w:bookmarkStart w:id="1366" w:name="_Toc98755361"/>
      <w:bookmarkStart w:id="1367" w:name="_Toc98762951"/>
      <w:bookmarkStart w:id="1368" w:name="_Toc106183880"/>
      <w:bookmarkStart w:id="1369" w:name="_Toc13080181"/>
      <w:bookmarkStart w:id="1370" w:name="_Toc18916168"/>
      <w:bookmarkEnd w:id="1332"/>
      <w:r>
        <w:rPr>
          <w:rFonts w:hint="eastAsia"/>
        </w:rPr>
        <w:t>6.4.1</w:t>
      </w:r>
      <w:r w:rsidR="00AC7434">
        <w:tab/>
      </w:r>
      <w:r>
        <w:t>Transmitter OFF power</w:t>
      </w:r>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p>
    <w:p w14:paraId="23E6278A" w14:textId="51459986" w:rsidR="00790BEC" w:rsidRDefault="00790BEC" w:rsidP="00790BEC">
      <w:pPr>
        <w:pStyle w:val="Heading4"/>
      </w:pPr>
      <w:bookmarkStart w:id="1371" w:name="_Toc53185335"/>
      <w:bookmarkStart w:id="1372" w:name="_Toc53185711"/>
      <w:bookmarkStart w:id="1373" w:name="_Toc57820186"/>
      <w:bookmarkStart w:id="1374" w:name="_Toc57821113"/>
      <w:bookmarkStart w:id="1375" w:name="_Toc61183389"/>
      <w:bookmarkStart w:id="1376" w:name="_Toc61183783"/>
      <w:bookmarkStart w:id="1377" w:name="_Toc61184175"/>
      <w:bookmarkStart w:id="1378" w:name="_Toc61184567"/>
      <w:bookmarkStart w:id="1379" w:name="_Toc61184957"/>
      <w:bookmarkStart w:id="1380" w:name="_Toc66386300"/>
      <w:bookmarkStart w:id="1381" w:name="_Toc74583141"/>
      <w:bookmarkStart w:id="1382" w:name="_Toc76541954"/>
      <w:bookmarkStart w:id="1383" w:name="_Toc82449936"/>
      <w:bookmarkStart w:id="1384" w:name="_Toc82450584"/>
      <w:bookmarkStart w:id="1385" w:name="_Toc89948973"/>
      <w:bookmarkStart w:id="1386" w:name="_Toc98755362"/>
      <w:bookmarkStart w:id="1387" w:name="_Toc98762952"/>
      <w:bookmarkStart w:id="1388" w:name="_Toc106183881"/>
      <w:r>
        <w:rPr>
          <w:rFonts w:hint="eastAsia"/>
        </w:rPr>
        <w:t>6.4.1.1</w:t>
      </w:r>
      <w:r w:rsidR="00AC7434">
        <w:tab/>
      </w:r>
      <w:r>
        <w:rPr>
          <w:rFonts w:hint="eastAsia"/>
        </w:rPr>
        <w:t>General</w:t>
      </w:r>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p>
    <w:p w14:paraId="1B6E2266" w14:textId="7112A966" w:rsidR="002E1777" w:rsidRDefault="002E1777" w:rsidP="002E1777">
      <w:r>
        <w:t xml:space="preserve">Transmit OFF power requirements apply to </w:t>
      </w:r>
      <w:r w:rsidRPr="00481D2D">
        <w:t xml:space="preserve">TDD operation of </w:t>
      </w:r>
      <w:r w:rsidRPr="00481D2D">
        <w:rPr>
          <w:rFonts w:hint="eastAsia"/>
        </w:rPr>
        <w:t>IAB-DU and TDD operation of IAB-MT</w:t>
      </w:r>
      <w:r>
        <w:t>.</w:t>
      </w:r>
    </w:p>
    <w:p w14:paraId="1F522107" w14:textId="77777777" w:rsidR="00790BEC" w:rsidRDefault="00790BEC" w:rsidP="00AC7434">
      <w:r>
        <w:t xml:space="preserve">Transmitter OFF power is defined as the mean power measured over 70/N us filtered with a square filter of bandwidth equal to the </w:t>
      </w:r>
      <w:r>
        <w:rPr>
          <w:i/>
        </w:rPr>
        <w:t>transmission bandwidth configuration</w:t>
      </w:r>
      <w:r>
        <w:t xml:space="preserve"> of the </w:t>
      </w:r>
      <w:r>
        <w:rPr>
          <w:rFonts w:hint="eastAsia"/>
        </w:rPr>
        <w:t>IAB</w:t>
      </w:r>
      <w:r>
        <w:t xml:space="preserve"> (</w:t>
      </w:r>
      <w:r w:rsidRPr="00AF5F1C">
        <w:t>BW</w:t>
      </w:r>
      <w:r w:rsidRPr="00AF5F1C">
        <w:rPr>
          <w:vertAlign w:val="subscript"/>
        </w:rPr>
        <w:t>Config</w:t>
      </w:r>
      <w:r>
        <w:t xml:space="preserve">) centred on the assigned channel frequency during the </w:t>
      </w:r>
      <w:r>
        <w:rPr>
          <w:i/>
        </w:rPr>
        <w:t>transmitter OFF period</w:t>
      </w:r>
      <w:r>
        <w:t>. N = SCS/15, where SCS is Sub Carrier Spacing in kHz.</w:t>
      </w:r>
    </w:p>
    <w:p w14:paraId="74EF5579" w14:textId="77777777" w:rsidR="003E36E9" w:rsidRDefault="003E36E9" w:rsidP="003E36E9">
      <w:bookmarkStart w:id="1389" w:name="_Toc29811675"/>
      <w:bookmarkStart w:id="1390" w:name="_Toc13080176"/>
      <w:bookmarkStart w:id="1391" w:name="_Toc53185336"/>
      <w:bookmarkStart w:id="1392" w:name="_Toc53185712"/>
      <w:bookmarkStart w:id="1393" w:name="_Toc57820187"/>
      <w:bookmarkStart w:id="1394" w:name="_Toc57821114"/>
      <w:bookmarkStart w:id="1395" w:name="_Toc61183390"/>
      <w:bookmarkStart w:id="1396" w:name="_Toc61183784"/>
      <w:bookmarkStart w:id="1397" w:name="_Toc61184176"/>
      <w:bookmarkStart w:id="1398" w:name="_Toc61184568"/>
      <w:bookmarkStart w:id="1399" w:name="_Toc61184958"/>
      <w:bookmarkStart w:id="1400" w:name="_Toc66386301"/>
      <w:r w:rsidRPr="00481D2D">
        <w:rPr>
          <w:rFonts w:hint="eastAsia"/>
        </w:rPr>
        <w:t>For IAB-DU</w:t>
      </w:r>
      <w:r>
        <w:t>and IAB-MT</w:t>
      </w:r>
      <w:r w:rsidRPr="00481D2D">
        <w:rPr>
          <w:rFonts w:hint="eastAsia"/>
        </w:rPr>
        <w:t>,</w:t>
      </w:r>
      <w:r>
        <w:rPr>
          <w:rFonts w:hint="eastAsia"/>
        </w:rPr>
        <w:t xml:space="preserve"> f</w:t>
      </w:r>
      <w:r>
        <w:t xml:space="preserve">or </w:t>
      </w:r>
      <w:r>
        <w:rPr>
          <w:i/>
        </w:rPr>
        <w:t>multi-band connectors</w:t>
      </w:r>
      <w:r>
        <w:t xml:space="preserve"> and for </w:t>
      </w:r>
      <w:r>
        <w:rPr>
          <w:i/>
        </w:rPr>
        <w:t xml:space="preserve">single band connectors </w:t>
      </w:r>
      <w:r>
        <w:t xml:space="preserve">supporting transmission in multiple </w:t>
      </w:r>
      <w:r>
        <w:rPr>
          <w:i/>
        </w:rPr>
        <w:t>operating bands</w:t>
      </w:r>
      <w:r>
        <w:t xml:space="preserve">, the requirement is only applicable during the </w:t>
      </w:r>
      <w:r>
        <w:rPr>
          <w:i/>
        </w:rPr>
        <w:t>transmitter OFF period</w:t>
      </w:r>
      <w:r>
        <w:t xml:space="preserve"> in all supported </w:t>
      </w:r>
      <w:r>
        <w:rPr>
          <w:i/>
        </w:rPr>
        <w:t>operating bands</w:t>
      </w:r>
      <w:r>
        <w:t>.</w:t>
      </w:r>
    </w:p>
    <w:p w14:paraId="1CAEF7C6" w14:textId="71BE0E8E" w:rsidR="003E36E9" w:rsidRPr="001D510D" w:rsidRDefault="003E36E9" w:rsidP="003E36E9">
      <w:r>
        <w:t xml:space="preserve">For </w:t>
      </w:r>
      <w:r>
        <w:rPr>
          <w:rFonts w:hint="eastAsia"/>
        </w:rPr>
        <w:t>IAB</w:t>
      </w:r>
      <w:r>
        <w:t xml:space="preserve"> supporting intra-band contiguous CA, the transmitter OFF power is defined as the mean power measured over 70</w:t>
      </w:r>
      <w:r>
        <w:rPr>
          <w:lang w:val="en-US"/>
        </w:rPr>
        <w:t>/N</w:t>
      </w:r>
      <w:r>
        <w:t xml:space="preserve"> us filtered with a square filter of bandwidth equal to the </w:t>
      </w:r>
      <w:r w:rsidRPr="00AF5F1C">
        <w:rPr>
          <w:i/>
          <w:iCs/>
        </w:rPr>
        <w:t xml:space="preserve">Aggregated </w:t>
      </w:r>
      <w:r w:rsidRPr="00AF5F1C">
        <w:rPr>
          <w:rFonts w:hint="eastAsia"/>
          <w:i/>
          <w:iCs/>
          <w:lang w:val="en-US"/>
        </w:rPr>
        <w:t>IAB-DU</w:t>
      </w:r>
      <w:r w:rsidRPr="00AF5F1C">
        <w:rPr>
          <w:i/>
          <w:iCs/>
          <w:lang w:val="en-US"/>
        </w:rPr>
        <w:t xml:space="preserve"> </w:t>
      </w:r>
      <w:r w:rsidRPr="00AF5F1C">
        <w:rPr>
          <w:i/>
          <w:iCs/>
        </w:rPr>
        <w:t>Channel Bandwidth</w:t>
      </w:r>
      <w:r w:rsidRPr="00AF5F1C">
        <w:t xml:space="preserve"> </w:t>
      </w:r>
      <w:r>
        <w:t xml:space="preserve">or </w:t>
      </w:r>
      <w:r w:rsidRPr="00361F12">
        <w:rPr>
          <w:i/>
          <w:iCs/>
        </w:rPr>
        <w:t xml:space="preserve">IAB-MT Channel Bandwidth </w:t>
      </w:r>
      <w:r w:rsidRPr="00AF5F1C">
        <w:rPr>
          <w:bCs/>
        </w:rPr>
        <w:t>BW</w:t>
      </w:r>
      <w:r w:rsidRPr="00AF5F1C">
        <w:rPr>
          <w:bCs/>
          <w:vertAlign w:val="subscript"/>
        </w:rPr>
        <w:t>Channel_CA</w:t>
      </w:r>
      <w:r>
        <w:rPr>
          <w:bCs/>
        </w:rPr>
        <w:t xml:space="preserve"> centred on (F</w:t>
      </w:r>
      <w:r>
        <w:rPr>
          <w:bCs/>
          <w:vertAlign w:val="subscript"/>
        </w:rPr>
        <w:t>edge,high</w:t>
      </w:r>
      <w:r>
        <w:rPr>
          <w:bCs/>
        </w:rPr>
        <w:t>+F</w:t>
      </w:r>
      <w:r>
        <w:rPr>
          <w:bCs/>
          <w:vertAlign w:val="subscript"/>
        </w:rPr>
        <w:t>edge,low</w:t>
      </w:r>
      <w:r>
        <w:rPr>
          <w:bCs/>
        </w:rPr>
        <w:t xml:space="preserve">)/2 during the </w:t>
      </w:r>
      <w:r>
        <w:rPr>
          <w:bCs/>
          <w:i/>
          <w:iCs/>
        </w:rPr>
        <w:t>transmitter OFF period</w:t>
      </w:r>
      <w:r>
        <w:rPr>
          <w:bCs/>
        </w:rPr>
        <w:t>.</w:t>
      </w:r>
      <w:r>
        <w:rPr>
          <w:bCs/>
          <w:lang w:val="en-US"/>
        </w:rPr>
        <w:t xml:space="preserve"> </w:t>
      </w:r>
      <w:r>
        <w:t xml:space="preserve">N = SCS/15, where SCS is </w:t>
      </w:r>
      <w:r>
        <w:rPr>
          <w:lang w:val="en-US"/>
        </w:rPr>
        <w:t xml:space="preserve">the smallest supported </w:t>
      </w:r>
      <w:r>
        <w:t>Sub Carrier Spacing in kHz</w:t>
      </w:r>
      <w:r>
        <w:rPr>
          <w:lang w:val="en-US"/>
        </w:rPr>
        <w:t xml:space="preserve"> in the </w:t>
      </w:r>
      <w:r>
        <w:rPr>
          <w:i/>
          <w:iCs/>
        </w:rPr>
        <w:t xml:space="preserve">Aggregated </w:t>
      </w:r>
      <w:r>
        <w:rPr>
          <w:rFonts w:hint="eastAsia"/>
          <w:i/>
          <w:iCs/>
          <w:lang w:val="en-US"/>
        </w:rPr>
        <w:t>IAB-DU (IAB-MT)</w:t>
      </w:r>
      <w:r>
        <w:rPr>
          <w:i/>
          <w:iCs/>
          <w:lang w:val="en-US"/>
        </w:rPr>
        <w:t xml:space="preserve"> </w:t>
      </w:r>
      <w:r>
        <w:rPr>
          <w:i/>
          <w:iCs/>
        </w:rPr>
        <w:t>Channel Bandwidth</w:t>
      </w:r>
      <w:r>
        <w:t>.</w:t>
      </w:r>
    </w:p>
    <w:p w14:paraId="43C78510" w14:textId="77777777" w:rsidR="00790BEC" w:rsidRDefault="00790BEC" w:rsidP="00790BEC">
      <w:pPr>
        <w:pStyle w:val="Heading4"/>
      </w:pPr>
      <w:bookmarkStart w:id="1401" w:name="_Toc74583142"/>
      <w:bookmarkStart w:id="1402" w:name="_Toc76541955"/>
      <w:bookmarkStart w:id="1403" w:name="_Toc82449937"/>
      <w:bookmarkStart w:id="1404" w:name="_Toc82450585"/>
      <w:bookmarkStart w:id="1405" w:name="_Toc89948974"/>
      <w:bookmarkStart w:id="1406" w:name="_Toc98755363"/>
      <w:bookmarkStart w:id="1407" w:name="_Toc98762953"/>
      <w:bookmarkStart w:id="1408" w:name="_Toc106183882"/>
      <w:r>
        <w:t>6.4.1.3</w:t>
      </w:r>
      <w:r>
        <w:tab/>
        <w:t xml:space="preserve">Minimum requirement for </w:t>
      </w:r>
      <w:r w:rsidRPr="003613A1">
        <w:rPr>
          <w:i/>
        </w:rPr>
        <w:t xml:space="preserve">IAB-DU type </w:t>
      </w:r>
      <w:r w:rsidRPr="00D1748D">
        <w:rPr>
          <w:i/>
        </w:rPr>
        <w:t>1-H</w:t>
      </w:r>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p>
    <w:p w14:paraId="58489CCA" w14:textId="7336FF70" w:rsidR="00790BEC" w:rsidRPr="007D1EA3" w:rsidRDefault="00790BEC" w:rsidP="00790BEC">
      <w:r>
        <w:rPr>
          <w:rFonts w:hint="eastAsia"/>
        </w:rPr>
        <w:t>The BS requirements specified in 6.4.1.3 in TS 38.104 [</w:t>
      </w:r>
      <w:r w:rsidR="004549D1">
        <w:t>2</w:t>
      </w:r>
      <w:r>
        <w:rPr>
          <w:rFonts w:hint="eastAsia"/>
        </w:rPr>
        <w:t xml:space="preserve">] apply to </w:t>
      </w:r>
      <w:r>
        <w:rPr>
          <w:rFonts w:hint="eastAsia"/>
          <w:i/>
        </w:rPr>
        <w:t>IAB-DU</w:t>
      </w:r>
      <w:r>
        <w:rPr>
          <w:i/>
        </w:rPr>
        <w:t xml:space="preserve"> type 1-H</w:t>
      </w:r>
      <w:r>
        <w:t>.</w:t>
      </w:r>
    </w:p>
    <w:p w14:paraId="74B3D363" w14:textId="77777777" w:rsidR="00790BEC" w:rsidRDefault="00790BEC" w:rsidP="00790BEC">
      <w:pPr>
        <w:pStyle w:val="Heading4"/>
      </w:pPr>
      <w:bookmarkStart w:id="1409" w:name="_Toc53185337"/>
      <w:bookmarkStart w:id="1410" w:name="_Toc53185713"/>
      <w:bookmarkStart w:id="1411" w:name="_Toc57820188"/>
      <w:bookmarkStart w:id="1412" w:name="_Toc57821115"/>
      <w:bookmarkStart w:id="1413" w:name="_Toc61183391"/>
      <w:bookmarkStart w:id="1414" w:name="_Toc61183785"/>
      <w:bookmarkStart w:id="1415" w:name="_Toc61184177"/>
      <w:bookmarkStart w:id="1416" w:name="_Toc61184569"/>
      <w:bookmarkStart w:id="1417" w:name="_Toc61184959"/>
      <w:bookmarkStart w:id="1418" w:name="_Toc66386302"/>
      <w:bookmarkStart w:id="1419" w:name="_Toc74583143"/>
      <w:bookmarkStart w:id="1420" w:name="_Toc76541956"/>
      <w:bookmarkStart w:id="1421" w:name="_Toc82449938"/>
      <w:bookmarkStart w:id="1422" w:name="_Toc82450586"/>
      <w:bookmarkStart w:id="1423" w:name="_Toc89948975"/>
      <w:bookmarkStart w:id="1424" w:name="_Toc98755364"/>
      <w:bookmarkStart w:id="1425" w:name="_Toc98762954"/>
      <w:bookmarkStart w:id="1426" w:name="_Toc106183883"/>
      <w:r>
        <w:t>6.4.1.</w:t>
      </w:r>
      <w:r>
        <w:rPr>
          <w:rFonts w:hint="eastAsia"/>
        </w:rPr>
        <w:t>4</w:t>
      </w:r>
      <w:r>
        <w:tab/>
        <w:t xml:space="preserve">Minimum requirement for </w:t>
      </w:r>
      <w:r w:rsidRPr="00EF6EDD">
        <w:rPr>
          <w:i/>
        </w:rPr>
        <w:t>IAB-</w:t>
      </w:r>
      <w:r>
        <w:rPr>
          <w:rFonts w:hint="eastAsia"/>
          <w:i/>
        </w:rPr>
        <w:t>MT</w:t>
      </w:r>
      <w:r w:rsidRPr="00EF6EDD">
        <w:rPr>
          <w:i/>
        </w:rPr>
        <w:t xml:space="preserve"> type </w:t>
      </w:r>
      <w:r w:rsidRPr="00D1748D">
        <w:rPr>
          <w:i/>
        </w:rPr>
        <w:t>1-H</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p>
    <w:p w14:paraId="31C16D49" w14:textId="2F403961" w:rsidR="00790BEC" w:rsidRPr="007D1EA3" w:rsidRDefault="00790BEC" w:rsidP="00790BEC">
      <w:r>
        <w:rPr>
          <w:rFonts w:hint="eastAsia"/>
        </w:rPr>
        <w:t>The BS requirements specified in 6.4.1.3 in TS 38.104 [</w:t>
      </w:r>
      <w:r w:rsidR="004549D1">
        <w:t>2</w:t>
      </w:r>
      <w:r>
        <w:rPr>
          <w:rFonts w:hint="eastAsia"/>
        </w:rPr>
        <w:t xml:space="preserve">] apply to </w:t>
      </w:r>
      <w:r>
        <w:rPr>
          <w:rFonts w:hint="eastAsia"/>
          <w:i/>
        </w:rPr>
        <w:t>IAB-MT</w:t>
      </w:r>
      <w:r>
        <w:rPr>
          <w:i/>
        </w:rPr>
        <w:t xml:space="preserve"> type 1-H</w:t>
      </w:r>
      <w:r>
        <w:t>.</w:t>
      </w:r>
    </w:p>
    <w:p w14:paraId="648A47C8" w14:textId="37AF70C4" w:rsidR="00790BEC" w:rsidRDefault="00790BEC" w:rsidP="00790BEC">
      <w:pPr>
        <w:pStyle w:val="Heading3"/>
      </w:pPr>
      <w:bookmarkStart w:id="1427" w:name="_Toc53185338"/>
      <w:bookmarkStart w:id="1428" w:name="_Toc53185714"/>
      <w:bookmarkStart w:id="1429" w:name="_Toc57820189"/>
      <w:bookmarkStart w:id="1430" w:name="_Toc57821116"/>
      <w:bookmarkStart w:id="1431" w:name="_Toc61183392"/>
      <w:bookmarkStart w:id="1432" w:name="_Toc61183786"/>
      <w:bookmarkStart w:id="1433" w:name="_Toc61184178"/>
      <w:bookmarkStart w:id="1434" w:name="_Toc61184570"/>
      <w:bookmarkStart w:id="1435" w:name="_Toc61184960"/>
      <w:bookmarkStart w:id="1436" w:name="_Toc66386303"/>
      <w:bookmarkStart w:id="1437" w:name="_Toc74583144"/>
      <w:bookmarkStart w:id="1438" w:name="_Toc76541957"/>
      <w:bookmarkStart w:id="1439" w:name="_Toc82449939"/>
      <w:bookmarkStart w:id="1440" w:name="_Toc82450587"/>
      <w:bookmarkStart w:id="1441" w:name="_Toc89948976"/>
      <w:bookmarkStart w:id="1442" w:name="_Toc98755365"/>
      <w:bookmarkStart w:id="1443" w:name="_Toc98762955"/>
      <w:bookmarkStart w:id="1444" w:name="_Toc106183884"/>
      <w:r>
        <w:rPr>
          <w:rFonts w:hint="eastAsia"/>
        </w:rPr>
        <w:t>6.4.2</w:t>
      </w:r>
      <w:r w:rsidR="00AC7434">
        <w:tab/>
      </w:r>
      <w:r w:rsidRPr="002147A4">
        <w:t>Transmitter transient period</w:t>
      </w:r>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p>
    <w:p w14:paraId="27F0C1B0" w14:textId="001C4750" w:rsidR="00790BEC" w:rsidRDefault="00790BEC" w:rsidP="00790BEC">
      <w:pPr>
        <w:pStyle w:val="Heading4"/>
      </w:pPr>
      <w:bookmarkStart w:id="1445" w:name="_Toc53185339"/>
      <w:bookmarkStart w:id="1446" w:name="_Toc53185715"/>
      <w:bookmarkStart w:id="1447" w:name="_Toc57820190"/>
      <w:bookmarkStart w:id="1448" w:name="_Toc57821117"/>
      <w:bookmarkStart w:id="1449" w:name="_Toc61183393"/>
      <w:bookmarkStart w:id="1450" w:name="_Toc61183787"/>
      <w:bookmarkStart w:id="1451" w:name="_Toc61184179"/>
      <w:bookmarkStart w:id="1452" w:name="_Toc61184571"/>
      <w:bookmarkStart w:id="1453" w:name="_Toc61184961"/>
      <w:bookmarkStart w:id="1454" w:name="_Toc66386304"/>
      <w:bookmarkStart w:id="1455" w:name="_Toc74583145"/>
      <w:bookmarkStart w:id="1456" w:name="_Toc76541958"/>
      <w:bookmarkStart w:id="1457" w:name="_Toc82449940"/>
      <w:bookmarkStart w:id="1458" w:name="_Toc82450588"/>
      <w:bookmarkStart w:id="1459" w:name="_Toc89948977"/>
      <w:bookmarkStart w:id="1460" w:name="_Toc98755366"/>
      <w:bookmarkStart w:id="1461" w:name="_Toc98762956"/>
      <w:bookmarkStart w:id="1462" w:name="_Toc106183885"/>
      <w:r>
        <w:rPr>
          <w:rFonts w:hint="eastAsia"/>
        </w:rPr>
        <w:t>6.4.2.1</w:t>
      </w:r>
      <w:r w:rsidR="00AC7434">
        <w:tab/>
      </w:r>
      <w:r>
        <w:rPr>
          <w:rFonts w:hint="eastAsia"/>
        </w:rPr>
        <w:t>General</w:t>
      </w:r>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p>
    <w:p w14:paraId="6C4D67D4" w14:textId="73F9B081" w:rsidR="002E1777" w:rsidRPr="007E346D" w:rsidRDefault="002E1777" w:rsidP="002E1777">
      <w:r w:rsidRPr="0028357B">
        <w:t>Transmitter transient period</w:t>
      </w:r>
      <w:r w:rsidRPr="007E346D">
        <w:t xml:space="preserve"> requirements apply to TDD operation of </w:t>
      </w:r>
      <w:r>
        <w:rPr>
          <w:rFonts w:hint="eastAsia"/>
        </w:rPr>
        <w:t xml:space="preserve">IAB-DU and </w:t>
      </w:r>
      <w:r w:rsidRPr="003613A1">
        <w:rPr>
          <w:rFonts w:hint="eastAsia"/>
        </w:rPr>
        <w:t>TDD operation</w:t>
      </w:r>
      <w:r>
        <w:rPr>
          <w:rFonts w:hint="eastAsia"/>
        </w:rPr>
        <w:t xml:space="preserve"> of IAB-MT</w:t>
      </w:r>
      <w:r w:rsidRPr="007E346D">
        <w:t>.</w:t>
      </w:r>
    </w:p>
    <w:p w14:paraId="61A1C1C7" w14:textId="77777777" w:rsidR="00790BEC" w:rsidRPr="00E26D09" w:rsidRDefault="00790BEC" w:rsidP="00790BEC">
      <w:r w:rsidRPr="00E26D09">
        <w:t xml:space="preserve">The </w:t>
      </w:r>
      <w:r w:rsidRPr="0028357B">
        <w:t>transmitter transient period</w:t>
      </w:r>
      <w:r w:rsidRPr="00E26D09">
        <w:t xml:space="preserve"> is the time period during which the transmitter is changing from the </w:t>
      </w:r>
      <w:r w:rsidRPr="0028357B">
        <w:t xml:space="preserve">transmitter OFF period </w:t>
      </w:r>
      <w:r w:rsidRPr="00E26D09">
        <w:t xml:space="preserve">to the </w:t>
      </w:r>
      <w:r w:rsidRPr="0028357B">
        <w:t>transmitter ON period</w:t>
      </w:r>
      <w:r w:rsidRPr="00E26D09">
        <w:t xml:space="preserve"> or vice versa. The </w:t>
      </w:r>
      <w:r w:rsidRPr="0028357B">
        <w:t>transmitter transient period</w:t>
      </w:r>
      <w:r w:rsidRPr="00E26D09">
        <w:t xml:space="preserve"> is </w:t>
      </w:r>
      <w:r>
        <w:t xml:space="preserve">illustrated in figure </w:t>
      </w:r>
      <w:r>
        <w:rPr>
          <w:rFonts w:hint="eastAsia"/>
        </w:rPr>
        <w:t>6.4</w:t>
      </w:r>
      <w:r>
        <w:t>.</w:t>
      </w:r>
      <w:r>
        <w:rPr>
          <w:rFonts w:hint="eastAsia"/>
        </w:rPr>
        <w:t>2</w:t>
      </w:r>
      <w:r>
        <w:t>.1-1</w:t>
      </w:r>
      <w:r>
        <w:rPr>
          <w:rFonts w:hint="eastAsia"/>
        </w:rPr>
        <w:t xml:space="preserve"> for IAB-DU and IAB-MT.</w:t>
      </w:r>
    </w:p>
    <w:p w14:paraId="1593D905" w14:textId="2A4E8E31" w:rsidR="00790BEC" w:rsidRPr="00E26D09" w:rsidRDefault="00790BEC" w:rsidP="00790BEC">
      <w:pPr>
        <w:pStyle w:val="TH"/>
      </w:pPr>
      <w:r>
        <w:rPr>
          <w:noProof/>
          <w:lang w:val="en-US" w:eastAsia="zh-CN"/>
        </w:rPr>
        <w:lastRenderedPageBreak/>
        <mc:AlternateContent>
          <mc:Choice Requires="wpc">
            <w:drawing>
              <wp:inline distT="0" distB="0" distL="0" distR="0" wp14:anchorId="69713FF2" wp14:editId="38AF0F11">
                <wp:extent cx="6168390" cy="2980732"/>
                <wp:effectExtent l="0" t="0" r="3810" b="10160"/>
                <wp:docPr id="78" name="画布 5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 name="Rectangle 64"/>
                        <wps:cNvSpPr>
                          <a:spLocks noChangeArrowheads="1"/>
                        </wps:cNvSpPr>
                        <wps:spPr bwMode="auto">
                          <a:xfrm>
                            <a:off x="6134738" y="2720382"/>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CF6FF4"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10" name="Freeform 65"/>
                        <wps:cNvSpPr>
                          <a:spLocks noEditPoints="1"/>
                        </wps:cNvSpPr>
                        <wps:spPr bwMode="auto">
                          <a:xfrm>
                            <a:off x="1200111" y="1534146"/>
                            <a:ext cx="4573941" cy="8900"/>
                          </a:xfrm>
                          <a:custGeom>
                            <a:avLst/>
                            <a:gdLst>
                              <a:gd name="T0" fmla="*/ 12502471 w 25050"/>
                              <a:gd name="T1" fmla="*/ 0 h 50"/>
                              <a:gd name="T2" fmla="*/ 29172249 w 25050"/>
                              <a:gd name="T3" fmla="*/ 0 h 50"/>
                              <a:gd name="T4" fmla="*/ 41674719 w 25050"/>
                              <a:gd name="T5" fmla="*/ 791210 h 50"/>
                              <a:gd name="T6" fmla="*/ 52510121 w 25050"/>
                              <a:gd name="T7" fmla="*/ 1582420 h 50"/>
                              <a:gd name="T8" fmla="*/ 59178032 w 25050"/>
                              <a:gd name="T9" fmla="*/ 1582420 h 50"/>
                              <a:gd name="T10" fmla="*/ 70013434 w 25050"/>
                              <a:gd name="T11" fmla="*/ 791210 h 50"/>
                              <a:gd name="T12" fmla="*/ 82515904 w 25050"/>
                              <a:gd name="T13" fmla="*/ 0 h 50"/>
                              <a:gd name="T14" fmla="*/ 105853594 w 25050"/>
                              <a:gd name="T15" fmla="*/ 0 h 50"/>
                              <a:gd name="T16" fmla="*/ 122523554 w 25050"/>
                              <a:gd name="T17" fmla="*/ 0 h 50"/>
                              <a:gd name="T18" fmla="*/ 135026025 w 25050"/>
                              <a:gd name="T19" fmla="*/ 791210 h 50"/>
                              <a:gd name="T20" fmla="*/ 145861426 w 25050"/>
                              <a:gd name="T21" fmla="*/ 1582420 h 50"/>
                              <a:gd name="T22" fmla="*/ 152529338 w 25050"/>
                              <a:gd name="T23" fmla="*/ 1582420 h 50"/>
                              <a:gd name="T24" fmla="*/ 163364739 w 25050"/>
                              <a:gd name="T25" fmla="*/ 791210 h 50"/>
                              <a:gd name="T26" fmla="*/ 175867210 w 25050"/>
                              <a:gd name="T27" fmla="*/ 0 h 50"/>
                              <a:gd name="T28" fmla="*/ 199204899 w 25050"/>
                              <a:gd name="T29" fmla="*/ 0 h 50"/>
                              <a:gd name="T30" fmla="*/ 215874860 w 25050"/>
                              <a:gd name="T31" fmla="*/ 0 h 50"/>
                              <a:gd name="T32" fmla="*/ 228377148 w 25050"/>
                              <a:gd name="T33" fmla="*/ 791210 h 50"/>
                              <a:gd name="T34" fmla="*/ 239212732 w 25050"/>
                              <a:gd name="T35" fmla="*/ 1582420 h 50"/>
                              <a:gd name="T36" fmla="*/ 245880643 w 25050"/>
                              <a:gd name="T37" fmla="*/ 1582420 h 50"/>
                              <a:gd name="T38" fmla="*/ 256716045 w 25050"/>
                              <a:gd name="T39" fmla="*/ 791210 h 50"/>
                              <a:gd name="T40" fmla="*/ 269218333 w 25050"/>
                              <a:gd name="T41" fmla="*/ 0 h 50"/>
                              <a:gd name="T42" fmla="*/ 292556205 w 25050"/>
                              <a:gd name="T43" fmla="*/ 0 h 50"/>
                              <a:gd name="T44" fmla="*/ 309226166 w 25050"/>
                              <a:gd name="T45" fmla="*/ 0 h 50"/>
                              <a:gd name="T46" fmla="*/ 321728454 w 25050"/>
                              <a:gd name="T47" fmla="*/ 791210 h 50"/>
                              <a:gd name="T48" fmla="*/ 332563855 w 25050"/>
                              <a:gd name="T49" fmla="*/ 1582420 h 50"/>
                              <a:gd name="T50" fmla="*/ 339231949 w 25050"/>
                              <a:gd name="T51" fmla="*/ 1582420 h 50"/>
                              <a:gd name="T52" fmla="*/ 350067350 w 25050"/>
                              <a:gd name="T53" fmla="*/ 791210 h 50"/>
                              <a:gd name="T54" fmla="*/ 362569638 w 25050"/>
                              <a:gd name="T55" fmla="*/ 0 h 50"/>
                              <a:gd name="T56" fmla="*/ 385907511 w 25050"/>
                              <a:gd name="T57" fmla="*/ 0 h 50"/>
                              <a:gd name="T58" fmla="*/ 402577471 w 25050"/>
                              <a:gd name="T59" fmla="*/ 0 h 50"/>
                              <a:gd name="T60" fmla="*/ 415079759 w 25050"/>
                              <a:gd name="T61" fmla="*/ 791210 h 50"/>
                              <a:gd name="T62" fmla="*/ 425915161 w 25050"/>
                              <a:gd name="T63" fmla="*/ 1582420 h 50"/>
                              <a:gd name="T64" fmla="*/ 432583072 w 25050"/>
                              <a:gd name="T65" fmla="*/ 1582420 h 50"/>
                              <a:gd name="T66" fmla="*/ 443418656 w 25050"/>
                              <a:gd name="T67" fmla="*/ 791210 h 50"/>
                              <a:gd name="T68" fmla="*/ 455920944 w 25050"/>
                              <a:gd name="T69" fmla="*/ 0 h 50"/>
                              <a:gd name="T70" fmla="*/ 479258816 w 25050"/>
                              <a:gd name="T71" fmla="*/ 0 h 50"/>
                              <a:gd name="T72" fmla="*/ 495928594 w 25050"/>
                              <a:gd name="T73" fmla="*/ 0 h 50"/>
                              <a:gd name="T74" fmla="*/ 508431065 w 25050"/>
                              <a:gd name="T75" fmla="*/ 791210 h 50"/>
                              <a:gd name="T76" fmla="*/ 519266466 w 25050"/>
                              <a:gd name="T77" fmla="*/ 1582420 h 50"/>
                              <a:gd name="T78" fmla="*/ 525934378 w 25050"/>
                              <a:gd name="T79" fmla="*/ 1582420 h 50"/>
                              <a:gd name="T80" fmla="*/ 536769779 w 25050"/>
                              <a:gd name="T81" fmla="*/ 791210 h 50"/>
                              <a:gd name="T82" fmla="*/ 549272250 w 25050"/>
                              <a:gd name="T83" fmla="*/ 0 h 50"/>
                              <a:gd name="T84" fmla="*/ 572610122 w 25050"/>
                              <a:gd name="T85" fmla="*/ 0 h 50"/>
                              <a:gd name="T86" fmla="*/ 589279900 w 25050"/>
                              <a:gd name="T87" fmla="*/ 0 h 50"/>
                              <a:gd name="T88" fmla="*/ 601782371 w 25050"/>
                              <a:gd name="T89" fmla="*/ 791210 h 50"/>
                              <a:gd name="T90" fmla="*/ 612617772 w 25050"/>
                              <a:gd name="T91" fmla="*/ 1582420 h 50"/>
                              <a:gd name="T92" fmla="*/ 619285683 w 25050"/>
                              <a:gd name="T93" fmla="*/ 1582420 h 50"/>
                              <a:gd name="T94" fmla="*/ 630121085 w 25050"/>
                              <a:gd name="T95" fmla="*/ 791210 h 50"/>
                              <a:gd name="T96" fmla="*/ 642623555 w 25050"/>
                              <a:gd name="T97" fmla="*/ 0 h 50"/>
                              <a:gd name="T98" fmla="*/ 665961427 w 25050"/>
                              <a:gd name="T99" fmla="*/ 0 h 50"/>
                              <a:gd name="T100" fmla="*/ 682631206 w 25050"/>
                              <a:gd name="T101" fmla="*/ 0 h 50"/>
                              <a:gd name="T102" fmla="*/ 695133676 w 25050"/>
                              <a:gd name="T103" fmla="*/ 791210 h 50"/>
                              <a:gd name="T104" fmla="*/ 705969078 w 25050"/>
                              <a:gd name="T105" fmla="*/ 1582420 h 50"/>
                              <a:gd name="T106" fmla="*/ 712636989 w 25050"/>
                              <a:gd name="T107" fmla="*/ 1582420 h 50"/>
                              <a:gd name="T108" fmla="*/ 723472390 w 25050"/>
                              <a:gd name="T109" fmla="*/ 791210 h 50"/>
                              <a:gd name="T110" fmla="*/ 735974861 w 25050"/>
                              <a:gd name="T111" fmla="*/ 0 h 50"/>
                              <a:gd name="T112" fmla="*/ 759312550 w 25050"/>
                              <a:gd name="T113" fmla="*/ 0 h 50"/>
                              <a:gd name="T114" fmla="*/ 775982511 w 25050"/>
                              <a:gd name="T115" fmla="*/ 0 h 50"/>
                              <a:gd name="T116" fmla="*/ 788484982 w 25050"/>
                              <a:gd name="T117" fmla="*/ 791210 h 50"/>
                              <a:gd name="T118" fmla="*/ 799320383 w 25050"/>
                              <a:gd name="T119" fmla="*/ 1582420 h 50"/>
                              <a:gd name="T120" fmla="*/ 805988295 w 25050"/>
                              <a:gd name="T121" fmla="*/ 1582420 h 50"/>
                              <a:gd name="T122" fmla="*/ 816823696 w 25050"/>
                              <a:gd name="T123" fmla="*/ 791210 h 50"/>
                              <a:gd name="T124" fmla="*/ 829326167 w 25050"/>
                              <a:gd name="T125" fmla="*/ 0 h 50"/>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25050" h="50">
                                <a:moveTo>
                                  <a:pt x="25" y="0"/>
                                </a:moveTo>
                                <a:lnTo>
                                  <a:pt x="175" y="0"/>
                                </a:lnTo>
                                <a:cubicBezTo>
                                  <a:pt x="189" y="0"/>
                                  <a:pt x="200" y="12"/>
                                  <a:pt x="200" y="25"/>
                                </a:cubicBezTo>
                                <a:cubicBezTo>
                                  <a:pt x="200" y="39"/>
                                  <a:pt x="189" y="50"/>
                                  <a:pt x="175" y="50"/>
                                </a:cubicBezTo>
                                <a:lnTo>
                                  <a:pt x="25" y="50"/>
                                </a:lnTo>
                                <a:cubicBezTo>
                                  <a:pt x="12" y="50"/>
                                  <a:pt x="0" y="39"/>
                                  <a:pt x="0" y="25"/>
                                </a:cubicBezTo>
                                <a:cubicBezTo>
                                  <a:pt x="0" y="12"/>
                                  <a:pt x="12" y="0"/>
                                  <a:pt x="25" y="0"/>
                                </a:cubicBezTo>
                                <a:close/>
                                <a:moveTo>
                                  <a:pt x="375" y="0"/>
                                </a:moveTo>
                                <a:lnTo>
                                  <a:pt x="525" y="0"/>
                                </a:lnTo>
                                <a:cubicBezTo>
                                  <a:pt x="539" y="0"/>
                                  <a:pt x="550" y="12"/>
                                  <a:pt x="550" y="25"/>
                                </a:cubicBezTo>
                                <a:cubicBezTo>
                                  <a:pt x="550" y="39"/>
                                  <a:pt x="539" y="50"/>
                                  <a:pt x="525" y="50"/>
                                </a:cubicBezTo>
                                <a:lnTo>
                                  <a:pt x="375" y="50"/>
                                </a:lnTo>
                                <a:cubicBezTo>
                                  <a:pt x="362" y="50"/>
                                  <a:pt x="350" y="39"/>
                                  <a:pt x="350" y="25"/>
                                </a:cubicBezTo>
                                <a:cubicBezTo>
                                  <a:pt x="350" y="12"/>
                                  <a:pt x="362" y="0"/>
                                  <a:pt x="375" y="0"/>
                                </a:cubicBezTo>
                                <a:close/>
                                <a:moveTo>
                                  <a:pt x="725" y="0"/>
                                </a:moveTo>
                                <a:lnTo>
                                  <a:pt x="875" y="0"/>
                                </a:lnTo>
                                <a:cubicBezTo>
                                  <a:pt x="889" y="0"/>
                                  <a:pt x="900" y="12"/>
                                  <a:pt x="900" y="25"/>
                                </a:cubicBezTo>
                                <a:cubicBezTo>
                                  <a:pt x="900" y="39"/>
                                  <a:pt x="889" y="50"/>
                                  <a:pt x="875" y="50"/>
                                </a:cubicBezTo>
                                <a:lnTo>
                                  <a:pt x="725" y="50"/>
                                </a:lnTo>
                                <a:cubicBezTo>
                                  <a:pt x="712" y="50"/>
                                  <a:pt x="700" y="39"/>
                                  <a:pt x="700" y="25"/>
                                </a:cubicBezTo>
                                <a:cubicBezTo>
                                  <a:pt x="700" y="12"/>
                                  <a:pt x="712" y="0"/>
                                  <a:pt x="725" y="0"/>
                                </a:cubicBezTo>
                                <a:close/>
                                <a:moveTo>
                                  <a:pt x="1075" y="0"/>
                                </a:moveTo>
                                <a:lnTo>
                                  <a:pt x="1225" y="0"/>
                                </a:lnTo>
                                <a:cubicBezTo>
                                  <a:pt x="1239" y="0"/>
                                  <a:pt x="1250" y="12"/>
                                  <a:pt x="1250" y="25"/>
                                </a:cubicBezTo>
                                <a:cubicBezTo>
                                  <a:pt x="1250" y="39"/>
                                  <a:pt x="1239" y="50"/>
                                  <a:pt x="1225" y="50"/>
                                </a:cubicBezTo>
                                <a:lnTo>
                                  <a:pt x="1075" y="50"/>
                                </a:lnTo>
                                <a:cubicBezTo>
                                  <a:pt x="1062" y="50"/>
                                  <a:pt x="1050" y="39"/>
                                  <a:pt x="1050" y="25"/>
                                </a:cubicBezTo>
                                <a:cubicBezTo>
                                  <a:pt x="1050" y="12"/>
                                  <a:pt x="1062" y="0"/>
                                  <a:pt x="1075" y="0"/>
                                </a:cubicBezTo>
                                <a:close/>
                                <a:moveTo>
                                  <a:pt x="1425" y="0"/>
                                </a:moveTo>
                                <a:lnTo>
                                  <a:pt x="1575" y="0"/>
                                </a:lnTo>
                                <a:cubicBezTo>
                                  <a:pt x="1589" y="0"/>
                                  <a:pt x="1600" y="12"/>
                                  <a:pt x="1600" y="25"/>
                                </a:cubicBezTo>
                                <a:cubicBezTo>
                                  <a:pt x="1600" y="39"/>
                                  <a:pt x="1589" y="50"/>
                                  <a:pt x="1575" y="50"/>
                                </a:cubicBezTo>
                                <a:lnTo>
                                  <a:pt x="1425" y="50"/>
                                </a:lnTo>
                                <a:cubicBezTo>
                                  <a:pt x="1412" y="50"/>
                                  <a:pt x="1400" y="39"/>
                                  <a:pt x="1400" y="25"/>
                                </a:cubicBezTo>
                                <a:cubicBezTo>
                                  <a:pt x="1400" y="12"/>
                                  <a:pt x="1412" y="0"/>
                                  <a:pt x="1425" y="0"/>
                                </a:cubicBezTo>
                                <a:close/>
                                <a:moveTo>
                                  <a:pt x="1775" y="0"/>
                                </a:moveTo>
                                <a:lnTo>
                                  <a:pt x="1925" y="0"/>
                                </a:lnTo>
                                <a:cubicBezTo>
                                  <a:pt x="1939" y="0"/>
                                  <a:pt x="1950" y="12"/>
                                  <a:pt x="1950" y="25"/>
                                </a:cubicBezTo>
                                <a:cubicBezTo>
                                  <a:pt x="1950" y="39"/>
                                  <a:pt x="1939" y="50"/>
                                  <a:pt x="1925" y="50"/>
                                </a:cubicBezTo>
                                <a:lnTo>
                                  <a:pt x="1775" y="50"/>
                                </a:lnTo>
                                <a:cubicBezTo>
                                  <a:pt x="1762" y="50"/>
                                  <a:pt x="1750" y="39"/>
                                  <a:pt x="1750" y="25"/>
                                </a:cubicBezTo>
                                <a:cubicBezTo>
                                  <a:pt x="1750" y="12"/>
                                  <a:pt x="1762" y="0"/>
                                  <a:pt x="1775" y="0"/>
                                </a:cubicBezTo>
                                <a:close/>
                                <a:moveTo>
                                  <a:pt x="2125" y="0"/>
                                </a:moveTo>
                                <a:lnTo>
                                  <a:pt x="2275" y="0"/>
                                </a:lnTo>
                                <a:cubicBezTo>
                                  <a:pt x="2289" y="0"/>
                                  <a:pt x="2300" y="12"/>
                                  <a:pt x="2300" y="25"/>
                                </a:cubicBezTo>
                                <a:cubicBezTo>
                                  <a:pt x="2300" y="39"/>
                                  <a:pt x="2289" y="50"/>
                                  <a:pt x="2275" y="50"/>
                                </a:cubicBezTo>
                                <a:lnTo>
                                  <a:pt x="2125" y="50"/>
                                </a:lnTo>
                                <a:cubicBezTo>
                                  <a:pt x="2112" y="50"/>
                                  <a:pt x="2100" y="39"/>
                                  <a:pt x="2100" y="25"/>
                                </a:cubicBezTo>
                                <a:cubicBezTo>
                                  <a:pt x="2100" y="12"/>
                                  <a:pt x="2112" y="0"/>
                                  <a:pt x="2125" y="0"/>
                                </a:cubicBezTo>
                                <a:close/>
                                <a:moveTo>
                                  <a:pt x="2475" y="0"/>
                                </a:moveTo>
                                <a:lnTo>
                                  <a:pt x="2625" y="0"/>
                                </a:lnTo>
                                <a:cubicBezTo>
                                  <a:pt x="2639" y="0"/>
                                  <a:pt x="2650" y="12"/>
                                  <a:pt x="2650" y="25"/>
                                </a:cubicBezTo>
                                <a:cubicBezTo>
                                  <a:pt x="2650" y="39"/>
                                  <a:pt x="2639" y="50"/>
                                  <a:pt x="2625" y="50"/>
                                </a:cubicBezTo>
                                <a:lnTo>
                                  <a:pt x="2475" y="50"/>
                                </a:lnTo>
                                <a:cubicBezTo>
                                  <a:pt x="2462" y="50"/>
                                  <a:pt x="2450" y="39"/>
                                  <a:pt x="2450" y="25"/>
                                </a:cubicBezTo>
                                <a:cubicBezTo>
                                  <a:pt x="2450" y="12"/>
                                  <a:pt x="2462" y="0"/>
                                  <a:pt x="2475" y="0"/>
                                </a:cubicBezTo>
                                <a:close/>
                                <a:moveTo>
                                  <a:pt x="2825" y="0"/>
                                </a:moveTo>
                                <a:lnTo>
                                  <a:pt x="2975" y="0"/>
                                </a:lnTo>
                                <a:cubicBezTo>
                                  <a:pt x="2989" y="0"/>
                                  <a:pt x="3000" y="12"/>
                                  <a:pt x="3000" y="25"/>
                                </a:cubicBezTo>
                                <a:cubicBezTo>
                                  <a:pt x="3000" y="39"/>
                                  <a:pt x="2989" y="50"/>
                                  <a:pt x="2975" y="50"/>
                                </a:cubicBezTo>
                                <a:lnTo>
                                  <a:pt x="2825" y="50"/>
                                </a:lnTo>
                                <a:cubicBezTo>
                                  <a:pt x="2812" y="50"/>
                                  <a:pt x="2800" y="39"/>
                                  <a:pt x="2800" y="25"/>
                                </a:cubicBezTo>
                                <a:cubicBezTo>
                                  <a:pt x="2800" y="12"/>
                                  <a:pt x="2812" y="0"/>
                                  <a:pt x="2825" y="0"/>
                                </a:cubicBezTo>
                                <a:close/>
                                <a:moveTo>
                                  <a:pt x="3175" y="0"/>
                                </a:moveTo>
                                <a:lnTo>
                                  <a:pt x="3325" y="0"/>
                                </a:lnTo>
                                <a:cubicBezTo>
                                  <a:pt x="3339" y="0"/>
                                  <a:pt x="3350" y="12"/>
                                  <a:pt x="3350" y="25"/>
                                </a:cubicBezTo>
                                <a:cubicBezTo>
                                  <a:pt x="3350" y="39"/>
                                  <a:pt x="3339" y="50"/>
                                  <a:pt x="3325" y="50"/>
                                </a:cubicBezTo>
                                <a:lnTo>
                                  <a:pt x="3175" y="50"/>
                                </a:lnTo>
                                <a:cubicBezTo>
                                  <a:pt x="3162" y="50"/>
                                  <a:pt x="3150" y="39"/>
                                  <a:pt x="3150" y="25"/>
                                </a:cubicBezTo>
                                <a:cubicBezTo>
                                  <a:pt x="3150" y="12"/>
                                  <a:pt x="3162" y="0"/>
                                  <a:pt x="3175" y="0"/>
                                </a:cubicBezTo>
                                <a:close/>
                                <a:moveTo>
                                  <a:pt x="3525" y="0"/>
                                </a:moveTo>
                                <a:lnTo>
                                  <a:pt x="3675" y="0"/>
                                </a:lnTo>
                                <a:cubicBezTo>
                                  <a:pt x="3689" y="0"/>
                                  <a:pt x="3700" y="12"/>
                                  <a:pt x="3700" y="25"/>
                                </a:cubicBezTo>
                                <a:cubicBezTo>
                                  <a:pt x="3700" y="39"/>
                                  <a:pt x="3689" y="50"/>
                                  <a:pt x="3675" y="50"/>
                                </a:cubicBezTo>
                                <a:lnTo>
                                  <a:pt x="3525" y="50"/>
                                </a:lnTo>
                                <a:cubicBezTo>
                                  <a:pt x="3512" y="50"/>
                                  <a:pt x="3500" y="39"/>
                                  <a:pt x="3500" y="25"/>
                                </a:cubicBezTo>
                                <a:cubicBezTo>
                                  <a:pt x="3500" y="12"/>
                                  <a:pt x="3512" y="0"/>
                                  <a:pt x="3525" y="0"/>
                                </a:cubicBezTo>
                                <a:close/>
                                <a:moveTo>
                                  <a:pt x="3875" y="0"/>
                                </a:moveTo>
                                <a:lnTo>
                                  <a:pt x="4025" y="0"/>
                                </a:lnTo>
                                <a:cubicBezTo>
                                  <a:pt x="4039" y="0"/>
                                  <a:pt x="4050" y="12"/>
                                  <a:pt x="4050" y="25"/>
                                </a:cubicBezTo>
                                <a:cubicBezTo>
                                  <a:pt x="4050" y="39"/>
                                  <a:pt x="4039" y="50"/>
                                  <a:pt x="4025" y="50"/>
                                </a:cubicBezTo>
                                <a:lnTo>
                                  <a:pt x="3875" y="50"/>
                                </a:lnTo>
                                <a:cubicBezTo>
                                  <a:pt x="3862" y="50"/>
                                  <a:pt x="3850" y="39"/>
                                  <a:pt x="3850" y="25"/>
                                </a:cubicBezTo>
                                <a:cubicBezTo>
                                  <a:pt x="3850" y="12"/>
                                  <a:pt x="3862" y="0"/>
                                  <a:pt x="3875" y="0"/>
                                </a:cubicBezTo>
                                <a:close/>
                                <a:moveTo>
                                  <a:pt x="4225" y="0"/>
                                </a:moveTo>
                                <a:lnTo>
                                  <a:pt x="4375" y="0"/>
                                </a:lnTo>
                                <a:cubicBezTo>
                                  <a:pt x="4389" y="0"/>
                                  <a:pt x="4400" y="12"/>
                                  <a:pt x="4400" y="25"/>
                                </a:cubicBezTo>
                                <a:cubicBezTo>
                                  <a:pt x="4400" y="39"/>
                                  <a:pt x="4389" y="50"/>
                                  <a:pt x="4375" y="50"/>
                                </a:cubicBezTo>
                                <a:lnTo>
                                  <a:pt x="4225" y="50"/>
                                </a:lnTo>
                                <a:cubicBezTo>
                                  <a:pt x="4212" y="50"/>
                                  <a:pt x="4200" y="39"/>
                                  <a:pt x="4200" y="25"/>
                                </a:cubicBezTo>
                                <a:cubicBezTo>
                                  <a:pt x="4200" y="12"/>
                                  <a:pt x="4212" y="0"/>
                                  <a:pt x="4225" y="0"/>
                                </a:cubicBezTo>
                                <a:close/>
                                <a:moveTo>
                                  <a:pt x="4575" y="0"/>
                                </a:moveTo>
                                <a:lnTo>
                                  <a:pt x="4725" y="0"/>
                                </a:lnTo>
                                <a:cubicBezTo>
                                  <a:pt x="4739" y="0"/>
                                  <a:pt x="4750" y="12"/>
                                  <a:pt x="4750" y="25"/>
                                </a:cubicBezTo>
                                <a:cubicBezTo>
                                  <a:pt x="4750" y="39"/>
                                  <a:pt x="4739" y="50"/>
                                  <a:pt x="4725" y="50"/>
                                </a:cubicBezTo>
                                <a:lnTo>
                                  <a:pt x="4575" y="50"/>
                                </a:lnTo>
                                <a:cubicBezTo>
                                  <a:pt x="4562" y="50"/>
                                  <a:pt x="4550" y="39"/>
                                  <a:pt x="4550" y="25"/>
                                </a:cubicBezTo>
                                <a:cubicBezTo>
                                  <a:pt x="4550" y="12"/>
                                  <a:pt x="4562" y="0"/>
                                  <a:pt x="4575" y="0"/>
                                </a:cubicBezTo>
                                <a:close/>
                                <a:moveTo>
                                  <a:pt x="4925" y="0"/>
                                </a:moveTo>
                                <a:lnTo>
                                  <a:pt x="5075" y="0"/>
                                </a:lnTo>
                                <a:cubicBezTo>
                                  <a:pt x="5089" y="0"/>
                                  <a:pt x="5100" y="12"/>
                                  <a:pt x="5100" y="25"/>
                                </a:cubicBezTo>
                                <a:cubicBezTo>
                                  <a:pt x="5100" y="39"/>
                                  <a:pt x="5089" y="50"/>
                                  <a:pt x="5075" y="50"/>
                                </a:cubicBezTo>
                                <a:lnTo>
                                  <a:pt x="4925" y="50"/>
                                </a:lnTo>
                                <a:cubicBezTo>
                                  <a:pt x="4912" y="50"/>
                                  <a:pt x="4900" y="39"/>
                                  <a:pt x="4900" y="25"/>
                                </a:cubicBezTo>
                                <a:cubicBezTo>
                                  <a:pt x="4900" y="12"/>
                                  <a:pt x="4912" y="0"/>
                                  <a:pt x="4925" y="0"/>
                                </a:cubicBezTo>
                                <a:close/>
                                <a:moveTo>
                                  <a:pt x="5275" y="0"/>
                                </a:moveTo>
                                <a:lnTo>
                                  <a:pt x="5425" y="0"/>
                                </a:lnTo>
                                <a:cubicBezTo>
                                  <a:pt x="5439" y="0"/>
                                  <a:pt x="5450" y="12"/>
                                  <a:pt x="5450" y="25"/>
                                </a:cubicBezTo>
                                <a:cubicBezTo>
                                  <a:pt x="5450" y="39"/>
                                  <a:pt x="5439" y="50"/>
                                  <a:pt x="5425" y="50"/>
                                </a:cubicBezTo>
                                <a:lnTo>
                                  <a:pt x="5275" y="50"/>
                                </a:lnTo>
                                <a:cubicBezTo>
                                  <a:pt x="5262" y="50"/>
                                  <a:pt x="5250" y="39"/>
                                  <a:pt x="5250" y="25"/>
                                </a:cubicBezTo>
                                <a:cubicBezTo>
                                  <a:pt x="5250" y="12"/>
                                  <a:pt x="5262" y="0"/>
                                  <a:pt x="5275" y="0"/>
                                </a:cubicBezTo>
                                <a:close/>
                                <a:moveTo>
                                  <a:pt x="5625" y="0"/>
                                </a:moveTo>
                                <a:lnTo>
                                  <a:pt x="5775" y="0"/>
                                </a:lnTo>
                                <a:cubicBezTo>
                                  <a:pt x="5789" y="0"/>
                                  <a:pt x="5800" y="12"/>
                                  <a:pt x="5800" y="25"/>
                                </a:cubicBezTo>
                                <a:cubicBezTo>
                                  <a:pt x="5800" y="39"/>
                                  <a:pt x="5789" y="50"/>
                                  <a:pt x="5775" y="50"/>
                                </a:cubicBezTo>
                                <a:lnTo>
                                  <a:pt x="5625" y="50"/>
                                </a:lnTo>
                                <a:cubicBezTo>
                                  <a:pt x="5612" y="50"/>
                                  <a:pt x="5600" y="39"/>
                                  <a:pt x="5600" y="25"/>
                                </a:cubicBezTo>
                                <a:cubicBezTo>
                                  <a:pt x="5600" y="12"/>
                                  <a:pt x="5612" y="0"/>
                                  <a:pt x="5625" y="0"/>
                                </a:cubicBezTo>
                                <a:close/>
                                <a:moveTo>
                                  <a:pt x="5975" y="0"/>
                                </a:moveTo>
                                <a:lnTo>
                                  <a:pt x="6125" y="0"/>
                                </a:lnTo>
                                <a:cubicBezTo>
                                  <a:pt x="6139" y="0"/>
                                  <a:pt x="6150" y="12"/>
                                  <a:pt x="6150" y="25"/>
                                </a:cubicBezTo>
                                <a:cubicBezTo>
                                  <a:pt x="6150" y="39"/>
                                  <a:pt x="6139" y="50"/>
                                  <a:pt x="6125" y="50"/>
                                </a:cubicBezTo>
                                <a:lnTo>
                                  <a:pt x="5975" y="50"/>
                                </a:lnTo>
                                <a:cubicBezTo>
                                  <a:pt x="5962" y="50"/>
                                  <a:pt x="5950" y="39"/>
                                  <a:pt x="5950" y="25"/>
                                </a:cubicBezTo>
                                <a:cubicBezTo>
                                  <a:pt x="5950" y="12"/>
                                  <a:pt x="5962" y="0"/>
                                  <a:pt x="5975" y="0"/>
                                </a:cubicBezTo>
                                <a:close/>
                                <a:moveTo>
                                  <a:pt x="6325" y="0"/>
                                </a:moveTo>
                                <a:lnTo>
                                  <a:pt x="6475" y="0"/>
                                </a:lnTo>
                                <a:cubicBezTo>
                                  <a:pt x="6489" y="0"/>
                                  <a:pt x="6500" y="12"/>
                                  <a:pt x="6500" y="25"/>
                                </a:cubicBezTo>
                                <a:cubicBezTo>
                                  <a:pt x="6500" y="39"/>
                                  <a:pt x="6489" y="50"/>
                                  <a:pt x="6475" y="50"/>
                                </a:cubicBezTo>
                                <a:lnTo>
                                  <a:pt x="6325" y="50"/>
                                </a:lnTo>
                                <a:cubicBezTo>
                                  <a:pt x="6312" y="50"/>
                                  <a:pt x="6300" y="39"/>
                                  <a:pt x="6300" y="25"/>
                                </a:cubicBezTo>
                                <a:cubicBezTo>
                                  <a:pt x="6300" y="12"/>
                                  <a:pt x="6312" y="0"/>
                                  <a:pt x="6325" y="0"/>
                                </a:cubicBezTo>
                                <a:close/>
                                <a:moveTo>
                                  <a:pt x="6675" y="0"/>
                                </a:moveTo>
                                <a:lnTo>
                                  <a:pt x="6825" y="0"/>
                                </a:lnTo>
                                <a:cubicBezTo>
                                  <a:pt x="6839" y="0"/>
                                  <a:pt x="6850" y="12"/>
                                  <a:pt x="6850" y="25"/>
                                </a:cubicBezTo>
                                <a:cubicBezTo>
                                  <a:pt x="6850" y="39"/>
                                  <a:pt x="6839" y="50"/>
                                  <a:pt x="6825" y="50"/>
                                </a:cubicBezTo>
                                <a:lnTo>
                                  <a:pt x="6675" y="50"/>
                                </a:lnTo>
                                <a:cubicBezTo>
                                  <a:pt x="6662" y="50"/>
                                  <a:pt x="6650" y="39"/>
                                  <a:pt x="6650" y="25"/>
                                </a:cubicBezTo>
                                <a:cubicBezTo>
                                  <a:pt x="6650" y="12"/>
                                  <a:pt x="6662" y="0"/>
                                  <a:pt x="6675" y="0"/>
                                </a:cubicBezTo>
                                <a:close/>
                                <a:moveTo>
                                  <a:pt x="7025" y="0"/>
                                </a:moveTo>
                                <a:lnTo>
                                  <a:pt x="7175" y="0"/>
                                </a:lnTo>
                                <a:cubicBezTo>
                                  <a:pt x="7189" y="0"/>
                                  <a:pt x="7200" y="12"/>
                                  <a:pt x="7200" y="25"/>
                                </a:cubicBezTo>
                                <a:cubicBezTo>
                                  <a:pt x="7200" y="39"/>
                                  <a:pt x="7189" y="50"/>
                                  <a:pt x="7175" y="50"/>
                                </a:cubicBezTo>
                                <a:lnTo>
                                  <a:pt x="7025" y="50"/>
                                </a:lnTo>
                                <a:cubicBezTo>
                                  <a:pt x="7012" y="50"/>
                                  <a:pt x="7000" y="39"/>
                                  <a:pt x="7000" y="25"/>
                                </a:cubicBezTo>
                                <a:cubicBezTo>
                                  <a:pt x="7000" y="12"/>
                                  <a:pt x="7012" y="0"/>
                                  <a:pt x="7025" y="0"/>
                                </a:cubicBezTo>
                                <a:close/>
                                <a:moveTo>
                                  <a:pt x="7375" y="0"/>
                                </a:moveTo>
                                <a:lnTo>
                                  <a:pt x="7525" y="0"/>
                                </a:lnTo>
                                <a:cubicBezTo>
                                  <a:pt x="7539" y="0"/>
                                  <a:pt x="7550" y="12"/>
                                  <a:pt x="7550" y="25"/>
                                </a:cubicBezTo>
                                <a:cubicBezTo>
                                  <a:pt x="7550" y="39"/>
                                  <a:pt x="7539" y="50"/>
                                  <a:pt x="7525" y="50"/>
                                </a:cubicBezTo>
                                <a:lnTo>
                                  <a:pt x="7375" y="50"/>
                                </a:lnTo>
                                <a:cubicBezTo>
                                  <a:pt x="7362" y="50"/>
                                  <a:pt x="7350" y="39"/>
                                  <a:pt x="7350" y="25"/>
                                </a:cubicBezTo>
                                <a:cubicBezTo>
                                  <a:pt x="7350" y="12"/>
                                  <a:pt x="7362" y="0"/>
                                  <a:pt x="7375" y="0"/>
                                </a:cubicBezTo>
                                <a:close/>
                                <a:moveTo>
                                  <a:pt x="7725" y="0"/>
                                </a:moveTo>
                                <a:lnTo>
                                  <a:pt x="7875" y="0"/>
                                </a:lnTo>
                                <a:cubicBezTo>
                                  <a:pt x="7889" y="0"/>
                                  <a:pt x="7900" y="12"/>
                                  <a:pt x="7900" y="25"/>
                                </a:cubicBezTo>
                                <a:cubicBezTo>
                                  <a:pt x="7900" y="39"/>
                                  <a:pt x="7889" y="50"/>
                                  <a:pt x="7875" y="50"/>
                                </a:cubicBezTo>
                                <a:lnTo>
                                  <a:pt x="7725" y="50"/>
                                </a:lnTo>
                                <a:cubicBezTo>
                                  <a:pt x="7712" y="50"/>
                                  <a:pt x="7700" y="39"/>
                                  <a:pt x="7700" y="25"/>
                                </a:cubicBezTo>
                                <a:cubicBezTo>
                                  <a:pt x="7700" y="12"/>
                                  <a:pt x="7712" y="0"/>
                                  <a:pt x="7725" y="0"/>
                                </a:cubicBezTo>
                                <a:close/>
                                <a:moveTo>
                                  <a:pt x="8075" y="0"/>
                                </a:moveTo>
                                <a:lnTo>
                                  <a:pt x="8225" y="0"/>
                                </a:lnTo>
                                <a:cubicBezTo>
                                  <a:pt x="8239" y="0"/>
                                  <a:pt x="8250" y="12"/>
                                  <a:pt x="8250" y="25"/>
                                </a:cubicBezTo>
                                <a:cubicBezTo>
                                  <a:pt x="8250" y="39"/>
                                  <a:pt x="8239" y="50"/>
                                  <a:pt x="8225" y="50"/>
                                </a:cubicBezTo>
                                <a:lnTo>
                                  <a:pt x="8075" y="50"/>
                                </a:lnTo>
                                <a:cubicBezTo>
                                  <a:pt x="8062" y="50"/>
                                  <a:pt x="8050" y="39"/>
                                  <a:pt x="8050" y="25"/>
                                </a:cubicBezTo>
                                <a:cubicBezTo>
                                  <a:pt x="8050" y="12"/>
                                  <a:pt x="8062" y="0"/>
                                  <a:pt x="8075" y="0"/>
                                </a:cubicBezTo>
                                <a:close/>
                                <a:moveTo>
                                  <a:pt x="8425" y="0"/>
                                </a:moveTo>
                                <a:lnTo>
                                  <a:pt x="8575" y="0"/>
                                </a:lnTo>
                                <a:cubicBezTo>
                                  <a:pt x="8589" y="0"/>
                                  <a:pt x="8600" y="12"/>
                                  <a:pt x="8600" y="25"/>
                                </a:cubicBezTo>
                                <a:cubicBezTo>
                                  <a:pt x="8600" y="39"/>
                                  <a:pt x="8589" y="50"/>
                                  <a:pt x="8575" y="50"/>
                                </a:cubicBezTo>
                                <a:lnTo>
                                  <a:pt x="8425" y="50"/>
                                </a:lnTo>
                                <a:cubicBezTo>
                                  <a:pt x="8412" y="50"/>
                                  <a:pt x="8400" y="39"/>
                                  <a:pt x="8400" y="25"/>
                                </a:cubicBezTo>
                                <a:cubicBezTo>
                                  <a:pt x="8400" y="12"/>
                                  <a:pt x="8412" y="0"/>
                                  <a:pt x="8425" y="0"/>
                                </a:cubicBezTo>
                                <a:close/>
                                <a:moveTo>
                                  <a:pt x="8775" y="0"/>
                                </a:moveTo>
                                <a:lnTo>
                                  <a:pt x="8925" y="0"/>
                                </a:lnTo>
                                <a:cubicBezTo>
                                  <a:pt x="8939" y="0"/>
                                  <a:pt x="8950" y="12"/>
                                  <a:pt x="8950" y="25"/>
                                </a:cubicBezTo>
                                <a:cubicBezTo>
                                  <a:pt x="8950" y="39"/>
                                  <a:pt x="8939" y="50"/>
                                  <a:pt x="8925" y="50"/>
                                </a:cubicBezTo>
                                <a:lnTo>
                                  <a:pt x="8775" y="50"/>
                                </a:lnTo>
                                <a:cubicBezTo>
                                  <a:pt x="8762" y="50"/>
                                  <a:pt x="8750" y="39"/>
                                  <a:pt x="8750" y="25"/>
                                </a:cubicBezTo>
                                <a:cubicBezTo>
                                  <a:pt x="8750" y="12"/>
                                  <a:pt x="8762" y="0"/>
                                  <a:pt x="8775" y="0"/>
                                </a:cubicBezTo>
                                <a:close/>
                                <a:moveTo>
                                  <a:pt x="9125" y="0"/>
                                </a:moveTo>
                                <a:lnTo>
                                  <a:pt x="9275" y="0"/>
                                </a:lnTo>
                                <a:cubicBezTo>
                                  <a:pt x="9289" y="0"/>
                                  <a:pt x="9300" y="12"/>
                                  <a:pt x="9300" y="25"/>
                                </a:cubicBezTo>
                                <a:cubicBezTo>
                                  <a:pt x="9300" y="39"/>
                                  <a:pt x="9289" y="50"/>
                                  <a:pt x="9275" y="50"/>
                                </a:cubicBezTo>
                                <a:lnTo>
                                  <a:pt x="9125" y="50"/>
                                </a:lnTo>
                                <a:cubicBezTo>
                                  <a:pt x="9112" y="50"/>
                                  <a:pt x="9100" y="39"/>
                                  <a:pt x="9100" y="25"/>
                                </a:cubicBezTo>
                                <a:cubicBezTo>
                                  <a:pt x="9100" y="12"/>
                                  <a:pt x="9112" y="0"/>
                                  <a:pt x="9125" y="0"/>
                                </a:cubicBezTo>
                                <a:close/>
                                <a:moveTo>
                                  <a:pt x="9475" y="0"/>
                                </a:moveTo>
                                <a:lnTo>
                                  <a:pt x="9625" y="0"/>
                                </a:lnTo>
                                <a:cubicBezTo>
                                  <a:pt x="9639" y="0"/>
                                  <a:pt x="9650" y="12"/>
                                  <a:pt x="9650" y="25"/>
                                </a:cubicBezTo>
                                <a:cubicBezTo>
                                  <a:pt x="9650" y="39"/>
                                  <a:pt x="9639" y="50"/>
                                  <a:pt x="9625" y="50"/>
                                </a:cubicBezTo>
                                <a:lnTo>
                                  <a:pt x="9475" y="50"/>
                                </a:lnTo>
                                <a:cubicBezTo>
                                  <a:pt x="9462" y="50"/>
                                  <a:pt x="9450" y="39"/>
                                  <a:pt x="9450" y="25"/>
                                </a:cubicBezTo>
                                <a:cubicBezTo>
                                  <a:pt x="9450" y="12"/>
                                  <a:pt x="9462" y="0"/>
                                  <a:pt x="9475" y="0"/>
                                </a:cubicBezTo>
                                <a:close/>
                                <a:moveTo>
                                  <a:pt x="9825" y="0"/>
                                </a:moveTo>
                                <a:lnTo>
                                  <a:pt x="9975" y="0"/>
                                </a:lnTo>
                                <a:cubicBezTo>
                                  <a:pt x="9989" y="0"/>
                                  <a:pt x="10000" y="12"/>
                                  <a:pt x="10000" y="25"/>
                                </a:cubicBezTo>
                                <a:cubicBezTo>
                                  <a:pt x="10000" y="39"/>
                                  <a:pt x="9989" y="50"/>
                                  <a:pt x="9975" y="50"/>
                                </a:cubicBezTo>
                                <a:lnTo>
                                  <a:pt x="9825" y="50"/>
                                </a:lnTo>
                                <a:cubicBezTo>
                                  <a:pt x="9812" y="50"/>
                                  <a:pt x="9800" y="39"/>
                                  <a:pt x="9800" y="25"/>
                                </a:cubicBezTo>
                                <a:cubicBezTo>
                                  <a:pt x="9800" y="12"/>
                                  <a:pt x="9812" y="0"/>
                                  <a:pt x="9825" y="0"/>
                                </a:cubicBezTo>
                                <a:close/>
                                <a:moveTo>
                                  <a:pt x="10175" y="0"/>
                                </a:moveTo>
                                <a:lnTo>
                                  <a:pt x="10325" y="0"/>
                                </a:lnTo>
                                <a:cubicBezTo>
                                  <a:pt x="10339" y="0"/>
                                  <a:pt x="10350" y="12"/>
                                  <a:pt x="10350" y="25"/>
                                </a:cubicBezTo>
                                <a:cubicBezTo>
                                  <a:pt x="10350" y="39"/>
                                  <a:pt x="10339" y="50"/>
                                  <a:pt x="10325" y="50"/>
                                </a:cubicBezTo>
                                <a:lnTo>
                                  <a:pt x="10175" y="50"/>
                                </a:lnTo>
                                <a:cubicBezTo>
                                  <a:pt x="10162" y="50"/>
                                  <a:pt x="10150" y="39"/>
                                  <a:pt x="10150" y="25"/>
                                </a:cubicBezTo>
                                <a:cubicBezTo>
                                  <a:pt x="10150" y="12"/>
                                  <a:pt x="10162" y="0"/>
                                  <a:pt x="10175" y="0"/>
                                </a:cubicBezTo>
                                <a:close/>
                                <a:moveTo>
                                  <a:pt x="10525" y="0"/>
                                </a:moveTo>
                                <a:lnTo>
                                  <a:pt x="10675" y="0"/>
                                </a:lnTo>
                                <a:cubicBezTo>
                                  <a:pt x="10689" y="0"/>
                                  <a:pt x="10700" y="12"/>
                                  <a:pt x="10700" y="25"/>
                                </a:cubicBezTo>
                                <a:cubicBezTo>
                                  <a:pt x="10700" y="39"/>
                                  <a:pt x="10689" y="50"/>
                                  <a:pt x="10675" y="50"/>
                                </a:cubicBezTo>
                                <a:lnTo>
                                  <a:pt x="10525" y="50"/>
                                </a:lnTo>
                                <a:cubicBezTo>
                                  <a:pt x="10512" y="50"/>
                                  <a:pt x="10500" y="39"/>
                                  <a:pt x="10500" y="25"/>
                                </a:cubicBezTo>
                                <a:cubicBezTo>
                                  <a:pt x="10500" y="12"/>
                                  <a:pt x="10512" y="0"/>
                                  <a:pt x="10525" y="0"/>
                                </a:cubicBezTo>
                                <a:close/>
                                <a:moveTo>
                                  <a:pt x="10875" y="0"/>
                                </a:moveTo>
                                <a:lnTo>
                                  <a:pt x="11025" y="0"/>
                                </a:lnTo>
                                <a:cubicBezTo>
                                  <a:pt x="11039" y="0"/>
                                  <a:pt x="11050" y="12"/>
                                  <a:pt x="11050" y="25"/>
                                </a:cubicBezTo>
                                <a:cubicBezTo>
                                  <a:pt x="11050" y="39"/>
                                  <a:pt x="11039" y="50"/>
                                  <a:pt x="11025" y="50"/>
                                </a:cubicBezTo>
                                <a:lnTo>
                                  <a:pt x="10875" y="50"/>
                                </a:lnTo>
                                <a:cubicBezTo>
                                  <a:pt x="10862" y="50"/>
                                  <a:pt x="10850" y="39"/>
                                  <a:pt x="10850" y="25"/>
                                </a:cubicBezTo>
                                <a:cubicBezTo>
                                  <a:pt x="10850" y="12"/>
                                  <a:pt x="10862" y="0"/>
                                  <a:pt x="10875" y="0"/>
                                </a:cubicBezTo>
                                <a:close/>
                                <a:moveTo>
                                  <a:pt x="11225" y="0"/>
                                </a:moveTo>
                                <a:lnTo>
                                  <a:pt x="11375" y="0"/>
                                </a:lnTo>
                                <a:cubicBezTo>
                                  <a:pt x="11389" y="0"/>
                                  <a:pt x="11400" y="12"/>
                                  <a:pt x="11400" y="25"/>
                                </a:cubicBezTo>
                                <a:cubicBezTo>
                                  <a:pt x="11400" y="39"/>
                                  <a:pt x="11389" y="50"/>
                                  <a:pt x="11375" y="50"/>
                                </a:cubicBezTo>
                                <a:lnTo>
                                  <a:pt x="11225" y="50"/>
                                </a:lnTo>
                                <a:cubicBezTo>
                                  <a:pt x="11212" y="50"/>
                                  <a:pt x="11200" y="39"/>
                                  <a:pt x="11200" y="25"/>
                                </a:cubicBezTo>
                                <a:cubicBezTo>
                                  <a:pt x="11200" y="12"/>
                                  <a:pt x="11212" y="0"/>
                                  <a:pt x="11225" y="0"/>
                                </a:cubicBezTo>
                                <a:close/>
                                <a:moveTo>
                                  <a:pt x="11575" y="0"/>
                                </a:moveTo>
                                <a:lnTo>
                                  <a:pt x="11725" y="0"/>
                                </a:lnTo>
                                <a:cubicBezTo>
                                  <a:pt x="11739" y="0"/>
                                  <a:pt x="11750" y="12"/>
                                  <a:pt x="11750" y="25"/>
                                </a:cubicBezTo>
                                <a:cubicBezTo>
                                  <a:pt x="11750" y="39"/>
                                  <a:pt x="11739" y="50"/>
                                  <a:pt x="11725" y="50"/>
                                </a:cubicBezTo>
                                <a:lnTo>
                                  <a:pt x="11575" y="50"/>
                                </a:lnTo>
                                <a:cubicBezTo>
                                  <a:pt x="11562" y="50"/>
                                  <a:pt x="11550" y="39"/>
                                  <a:pt x="11550" y="25"/>
                                </a:cubicBezTo>
                                <a:cubicBezTo>
                                  <a:pt x="11550" y="12"/>
                                  <a:pt x="11562" y="0"/>
                                  <a:pt x="11575" y="0"/>
                                </a:cubicBezTo>
                                <a:close/>
                                <a:moveTo>
                                  <a:pt x="11925" y="0"/>
                                </a:moveTo>
                                <a:lnTo>
                                  <a:pt x="12075" y="0"/>
                                </a:lnTo>
                                <a:cubicBezTo>
                                  <a:pt x="12089" y="0"/>
                                  <a:pt x="12100" y="12"/>
                                  <a:pt x="12100" y="25"/>
                                </a:cubicBezTo>
                                <a:cubicBezTo>
                                  <a:pt x="12100" y="39"/>
                                  <a:pt x="12089" y="50"/>
                                  <a:pt x="12075" y="50"/>
                                </a:cubicBezTo>
                                <a:lnTo>
                                  <a:pt x="11925" y="50"/>
                                </a:lnTo>
                                <a:cubicBezTo>
                                  <a:pt x="11912" y="50"/>
                                  <a:pt x="11900" y="39"/>
                                  <a:pt x="11900" y="25"/>
                                </a:cubicBezTo>
                                <a:cubicBezTo>
                                  <a:pt x="11900" y="12"/>
                                  <a:pt x="11912" y="0"/>
                                  <a:pt x="11925" y="0"/>
                                </a:cubicBezTo>
                                <a:close/>
                                <a:moveTo>
                                  <a:pt x="12275" y="0"/>
                                </a:moveTo>
                                <a:lnTo>
                                  <a:pt x="12425" y="0"/>
                                </a:lnTo>
                                <a:cubicBezTo>
                                  <a:pt x="12439" y="0"/>
                                  <a:pt x="12450" y="12"/>
                                  <a:pt x="12450" y="25"/>
                                </a:cubicBezTo>
                                <a:cubicBezTo>
                                  <a:pt x="12450" y="39"/>
                                  <a:pt x="12439" y="50"/>
                                  <a:pt x="12425" y="50"/>
                                </a:cubicBezTo>
                                <a:lnTo>
                                  <a:pt x="12275" y="50"/>
                                </a:lnTo>
                                <a:cubicBezTo>
                                  <a:pt x="12262" y="50"/>
                                  <a:pt x="12250" y="39"/>
                                  <a:pt x="12250" y="25"/>
                                </a:cubicBezTo>
                                <a:cubicBezTo>
                                  <a:pt x="12250" y="12"/>
                                  <a:pt x="12262" y="0"/>
                                  <a:pt x="12275" y="0"/>
                                </a:cubicBezTo>
                                <a:close/>
                                <a:moveTo>
                                  <a:pt x="12625" y="0"/>
                                </a:moveTo>
                                <a:lnTo>
                                  <a:pt x="12775" y="0"/>
                                </a:lnTo>
                                <a:cubicBezTo>
                                  <a:pt x="12789" y="0"/>
                                  <a:pt x="12800" y="12"/>
                                  <a:pt x="12800" y="25"/>
                                </a:cubicBezTo>
                                <a:cubicBezTo>
                                  <a:pt x="12800" y="39"/>
                                  <a:pt x="12789" y="50"/>
                                  <a:pt x="12775" y="50"/>
                                </a:cubicBezTo>
                                <a:lnTo>
                                  <a:pt x="12625" y="50"/>
                                </a:lnTo>
                                <a:cubicBezTo>
                                  <a:pt x="12612" y="50"/>
                                  <a:pt x="12600" y="39"/>
                                  <a:pt x="12600" y="25"/>
                                </a:cubicBezTo>
                                <a:cubicBezTo>
                                  <a:pt x="12600" y="12"/>
                                  <a:pt x="12612" y="0"/>
                                  <a:pt x="12625" y="0"/>
                                </a:cubicBezTo>
                                <a:close/>
                                <a:moveTo>
                                  <a:pt x="12975" y="0"/>
                                </a:moveTo>
                                <a:lnTo>
                                  <a:pt x="13125" y="0"/>
                                </a:lnTo>
                                <a:cubicBezTo>
                                  <a:pt x="13139" y="0"/>
                                  <a:pt x="13150" y="12"/>
                                  <a:pt x="13150" y="25"/>
                                </a:cubicBezTo>
                                <a:cubicBezTo>
                                  <a:pt x="13150" y="39"/>
                                  <a:pt x="13139" y="50"/>
                                  <a:pt x="13125" y="50"/>
                                </a:cubicBezTo>
                                <a:lnTo>
                                  <a:pt x="12975" y="50"/>
                                </a:lnTo>
                                <a:cubicBezTo>
                                  <a:pt x="12962" y="50"/>
                                  <a:pt x="12950" y="39"/>
                                  <a:pt x="12950" y="25"/>
                                </a:cubicBezTo>
                                <a:cubicBezTo>
                                  <a:pt x="12950" y="12"/>
                                  <a:pt x="12962" y="0"/>
                                  <a:pt x="12975" y="0"/>
                                </a:cubicBezTo>
                                <a:close/>
                                <a:moveTo>
                                  <a:pt x="13325" y="0"/>
                                </a:moveTo>
                                <a:lnTo>
                                  <a:pt x="13475" y="0"/>
                                </a:lnTo>
                                <a:cubicBezTo>
                                  <a:pt x="13489" y="0"/>
                                  <a:pt x="13500" y="12"/>
                                  <a:pt x="13500" y="25"/>
                                </a:cubicBezTo>
                                <a:cubicBezTo>
                                  <a:pt x="13500" y="39"/>
                                  <a:pt x="13489" y="50"/>
                                  <a:pt x="13475" y="50"/>
                                </a:cubicBezTo>
                                <a:lnTo>
                                  <a:pt x="13325" y="50"/>
                                </a:lnTo>
                                <a:cubicBezTo>
                                  <a:pt x="13312" y="50"/>
                                  <a:pt x="13300" y="39"/>
                                  <a:pt x="13300" y="25"/>
                                </a:cubicBezTo>
                                <a:cubicBezTo>
                                  <a:pt x="13300" y="12"/>
                                  <a:pt x="13312" y="0"/>
                                  <a:pt x="13325" y="0"/>
                                </a:cubicBezTo>
                                <a:close/>
                                <a:moveTo>
                                  <a:pt x="13675" y="0"/>
                                </a:moveTo>
                                <a:lnTo>
                                  <a:pt x="13825" y="0"/>
                                </a:lnTo>
                                <a:cubicBezTo>
                                  <a:pt x="13839" y="0"/>
                                  <a:pt x="13850" y="12"/>
                                  <a:pt x="13850" y="25"/>
                                </a:cubicBezTo>
                                <a:cubicBezTo>
                                  <a:pt x="13850" y="39"/>
                                  <a:pt x="13839" y="50"/>
                                  <a:pt x="13825" y="50"/>
                                </a:cubicBezTo>
                                <a:lnTo>
                                  <a:pt x="13675" y="50"/>
                                </a:lnTo>
                                <a:cubicBezTo>
                                  <a:pt x="13662" y="50"/>
                                  <a:pt x="13650" y="39"/>
                                  <a:pt x="13650" y="25"/>
                                </a:cubicBezTo>
                                <a:cubicBezTo>
                                  <a:pt x="13650" y="12"/>
                                  <a:pt x="13662" y="0"/>
                                  <a:pt x="13675" y="0"/>
                                </a:cubicBezTo>
                                <a:close/>
                                <a:moveTo>
                                  <a:pt x="14025" y="0"/>
                                </a:moveTo>
                                <a:lnTo>
                                  <a:pt x="14175" y="0"/>
                                </a:lnTo>
                                <a:cubicBezTo>
                                  <a:pt x="14189" y="0"/>
                                  <a:pt x="14200" y="12"/>
                                  <a:pt x="14200" y="25"/>
                                </a:cubicBezTo>
                                <a:cubicBezTo>
                                  <a:pt x="14200" y="39"/>
                                  <a:pt x="14189" y="50"/>
                                  <a:pt x="14175" y="50"/>
                                </a:cubicBezTo>
                                <a:lnTo>
                                  <a:pt x="14025" y="50"/>
                                </a:lnTo>
                                <a:cubicBezTo>
                                  <a:pt x="14012" y="50"/>
                                  <a:pt x="14000" y="39"/>
                                  <a:pt x="14000" y="25"/>
                                </a:cubicBezTo>
                                <a:cubicBezTo>
                                  <a:pt x="14000" y="12"/>
                                  <a:pt x="14012" y="0"/>
                                  <a:pt x="14025" y="0"/>
                                </a:cubicBezTo>
                                <a:close/>
                                <a:moveTo>
                                  <a:pt x="14375" y="0"/>
                                </a:moveTo>
                                <a:lnTo>
                                  <a:pt x="14525" y="0"/>
                                </a:lnTo>
                                <a:cubicBezTo>
                                  <a:pt x="14539" y="0"/>
                                  <a:pt x="14550" y="12"/>
                                  <a:pt x="14550" y="25"/>
                                </a:cubicBezTo>
                                <a:cubicBezTo>
                                  <a:pt x="14550" y="39"/>
                                  <a:pt x="14539" y="50"/>
                                  <a:pt x="14525" y="50"/>
                                </a:cubicBezTo>
                                <a:lnTo>
                                  <a:pt x="14375" y="50"/>
                                </a:lnTo>
                                <a:cubicBezTo>
                                  <a:pt x="14362" y="50"/>
                                  <a:pt x="14350" y="39"/>
                                  <a:pt x="14350" y="25"/>
                                </a:cubicBezTo>
                                <a:cubicBezTo>
                                  <a:pt x="14350" y="12"/>
                                  <a:pt x="14362" y="0"/>
                                  <a:pt x="14375" y="0"/>
                                </a:cubicBezTo>
                                <a:close/>
                                <a:moveTo>
                                  <a:pt x="14725" y="0"/>
                                </a:moveTo>
                                <a:lnTo>
                                  <a:pt x="14875" y="0"/>
                                </a:lnTo>
                                <a:cubicBezTo>
                                  <a:pt x="14889" y="0"/>
                                  <a:pt x="14900" y="12"/>
                                  <a:pt x="14900" y="25"/>
                                </a:cubicBezTo>
                                <a:cubicBezTo>
                                  <a:pt x="14900" y="39"/>
                                  <a:pt x="14889" y="50"/>
                                  <a:pt x="14875" y="50"/>
                                </a:cubicBezTo>
                                <a:lnTo>
                                  <a:pt x="14725" y="50"/>
                                </a:lnTo>
                                <a:cubicBezTo>
                                  <a:pt x="14712" y="50"/>
                                  <a:pt x="14700" y="39"/>
                                  <a:pt x="14700" y="25"/>
                                </a:cubicBezTo>
                                <a:cubicBezTo>
                                  <a:pt x="14700" y="12"/>
                                  <a:pt x="14712" y="0"/>
                                  <a:pt x="14725" y="0"/>
                                </a:cubicBezTo>
                                <a:close/>
                                <a:moveTo>
                                  <a:pt x="15075" y="0"/>
                                </a:moveTo>
                                <a:lnTo>
                                  <a:pt x="15225" y="0"/>
                                </a:lnTo>
                                <a:cubicBezTo>
                                  <a:pt x="15239" y="0"/>
                                  <a:pt x="15250" y="12"/>
                                  <a:pt x="15250" y="25"/>
                                </a:cubicBezTo>
                                <a:cubicBezTo>
                                  <a:pt x="15250" y="39"/>
                                  <a:pt x="15239" y="50"/>
                                  <a:pt x="15225" y="50"/>
                                </a:cubicBezTo>
                                <a:lnTo>
                                  <a:pt x="15075" y="50"/>
                                </a:lnTo>
                                <a:cubicBezTo>
                                  <a:pt x="15062" y="50"/>
                                  <a:pt x="15050" y="39"/>
                                  <a:pt x="15050" y="25"/>
                                </a:cubicBezTo>
                                <a:cubicBezTo>
                                  <a:pt x="15050" y="12"/>
                                  <a:pt x="15062" y="0"/>
                                  <a:pt x="15075" y="0"/>
                                </a:cubicBezTo>
                                <a:close/>
                                <a:moveTo>
                                  <a:pt x="15425" y="0"/>
                                </a:moveTo>
                                <a:lnTo>
                                  <a:pt x="15575" y="0"/>
                                </a:lnTo>
                                <a:cubicBezTo>
                                  <a:pt x="15589" y="0"/>
                                  <a:pt x="15600" y="12"/>
                                  <a:pt x="15600" y="25"/>
                                </a:cubicBezTo>
                                <a:cubicBezTo>
                                  <a:pt x="15600" y="39"/>
                                  <a:pt x="15589" y="50"/>
                                  <a:pt x="15575" y="50"/>
                                </a:cubicBezTo>
                                <a:lnTo>
                                  <a:pt x="15425" y="50"/>
                                </a:lnTo>
                                <a:cubicBezTo>
                                  <a:pt x="15412" y="50"/>
                                  <a:pt x="15400" y="39"/>
                                  <a:pt x="15400" y="25"/>
                                </a:cubicBezTo>
                                <a:cubicBezTo>
                                  <a:pt x="15400" y="12"/>
                                  <a:pt x="15412" y="0"/>
                                  <a:pt x="15425" y="0"/>
                                </a:cubicBezTo>
                                <a:close/>
                                <a:moveTo>
                                  <a:pt x="15775" y="0"/>
                                </a:moveTo>
                                <a:lnTo>
                                  <a:pt x="15925" y="0"/>
                                </a:lnTo>
                                <a:cubicBezTo>
                                  <a:pt x="15939" y="0"/>
                                  <a:pt x="15950" y="12"/>
                                  <a:pt x="15950" y="25"/>
                                </a:cubicBezTo>
                                <a:cubicBezTo>
                                  <a:pt x="15950" y="39"/>
                                  <a:pt x="15939" y="50"/>
                                  <a:pt x="15925" y="50"/>
                                </a:cubicBezTo>
                                <a:lnTo>
                                  <a:pt x="15775" y="50"/>
                                </a:lnTo>
                                <a:cubicBezTo>
                                  <a:pt x="15762" y="50"/>
                                  <a:pt x="15750" y="39"/>
                                  <a:pt x="15750" y="25"/>
                                </a:cubicBezTo>
                                <a:cubicBezTo>
                                  <a:pt x="15750" y="12"/>
                                  <a:pt x="15762" y="0"/>
                                  <a:pt x="15775" y="0"/>
                                </a:cubicBezTo>
                                <a:close/>
                                <a:moveTo>
                                  <a:pt x="16125" y="0"/>
                                </a:moveTo>
                                <a:lnTo>
                                  <a:pt x="16275" y="0"/>
                                </a:lnTo>
                                <a:cubicBezTo>
                                  <a:pt x="16289" y="0"/>
                                  <a:pt x="16300" y="12"/>
                                  <a:pt x="16300" y="25"/>
                                </a:cubicBezTo>
                                <a:cubicBezTo>
                                  <a:pt x="16300" y="39"/>
                                  <a:pt x="16289" y="50"/>
                                  <a:pt x="16275" y="50"/>
                                </a:cubicBezTo>
                                <a:lnTo>
                                  <a:pt x="16125" y="50"/>
                                </a:lnTo>
                                <a:cubicBezTo>
                                  <a:pt x="16112" y="50"/>
                                  <a:pt x="16100" y="39"/>
                                  <a:pt x="16100" y="25"/>
                                </a:cubicBezTo>
                                <a:cubicBezTo>
                                  <a:pt x="16100" y="12"/>
                                  <a:pt x="16112" y="0"/>
                                  <a:pt x="16125" y="0"/>
                                </a:cubicBezTo>
                                <a:close/>
                                <a:moveTo>
                                  <a:pt x="16475" y="0"/>
                                </a:moveTo>
                                <a:lnTo>
                                  <a:pt x="16625" y="0"/>
                                </a:lnTo>
                                <a:cubicBezTo>
                                  <a:pt x="16639" y="0"/>
                                  <a:pt x="16650" y="12"/>
                                  <a:pt x="16650" y="25"/>
                                </a:cubicBezTo>
                                <a:cubicBezTo>
                                  <a:pt x="16650" y="39"/>
                                  <a:pt x="16639" y="50"/>
                                  <a:pt x="16625" y="50"/>
                                </a:cubicBezTo>
                                <a:lnTo>
                                  <a:pt x="16475" y="50"/>
                                </a:lnTo>
                                <a:cubicBezTo>
                                  <a:pt x="16462" y="50"/>
                                  <a:pt x="16450" y="39"/>
                                  <a:pt x="16450" y="25"/>
                                </a:cubicBezTo>
                                <a:cubicBezTo>
                                  <a:pt x="16450" y="12"/>
                                  <a:pt x="16462" y="0"/>
                                  <a:pt x="16475" y="0"/>
                                </a:cubicBezTo>
                                <a:close/>
                                <a:moveTo>
                                  <a:pt x="16825" y="0"/>
                                </a:moveTo>
                                <a:lnTo>
                                  <a:pt x="16975" y="0"/>
                                </a:lnTo>
                                <a:cubicBezTo>
                                  <a:pt x="16989" y="0"/>
                                  <a:pt x="17000" y="12"/>
                                  <a:pt x="17000" y="25"/>
                                </a:cubicBezTo>
                                <a:cubicBezTo>
                                  <a:pt x="17000" y="39"/>
                                  <a:pt x="16989" y="50"/>
                                  <a:pt x="16975" y="50"/>
                                </a:cubicBezTo>
                                <a:lnTo>
                                  <a:pt x="16825" y="50"/>
                                </a:lnTo>
                                <a:cubicBezTo>
                                  <a:pt x="16812" y="50"/>
                                  <a:pt x="16800" y="39"/>
                                  <a:pt x="16800" y="25"/>
                                </a:cubicBezTo>
                                <a:cubicBezTo>
                                  <a:pt x="16800" y="12"/>
                                  <a:pt x="16812" y="0"/>
                                  <a:pt x="16825" y="0"/>
                                </a:cubicBezTo>
                                <a:close/>
                                <a:moveTo>
                                  <a:pt x="17175" y="0"/>
                                </a:moveTo>
                                <a:lnTo>
                                  <a:pt x="17325" y="0"/>
                                </a:lnTo>
                                <a:cubicBezTo>
                                  <a:pt x="17339" y="0"/>
                                  <a:pt x="17350" y="12"/>
                                  <a:pt x="17350" y="25"/>
                                </a:cubicBezTo>
                                <a:cubicBezTo>
                                  <a:pt x="17350" y="39"/>
                                  <a:pt x="17339" y="50"/>
                                  <a:pt x="17325" y="50"/>
                                </a:cubicBezTo>
                                <a:lnTo>
                                  <a:pt x="17175" y="50"/>
                                </a:lnTo>
                                <a:cubicBezTo>
                                  <a:pt x="17162" y="50"/>
                                  <a:pt x="17150" y="39"/>
                                  <a:pt x="17150" y="25"/>
                                </a:cubicBezTo>
                                <a:cubicBezTo>
                                  <a:pt x="17150" y="12"/>
                                  <a:pt x="17162" y="0"/>
                                  <a:pt x="17175" y="0"/>
                                </a:cubicBezTo>
                                <a:close/>
                                <a:moveTo>
                                  <a:pt x="17525" y="0"/>
                                </a:moveTo>
                                <a:lnTo>
                                  <a:pt x="17675" y="0"/>
                                </a:lnTo>
                                <a:cubicBezTo>
                                  <a:pt x="17689" y="0"/>
                                  <a:pt x="17700" y="12"/>
                                  <a:pt x="17700" y="25"/>
                                </a:cubicBezTo>
                                <a:cubicBezTo>
                                  <a:pt x="17700" y="39"/>
                                  <a:pt x="17689" y="50"/>
                                  <a:pt x="17675" y="50"/>
                                </a:cubicBezTo>
                                <a:lnTo>
                                  <a:pt x="17525" y="50"/>
                                </a:lnTo>
                                <a:cubicBezTo>
                                  <a:pt x="17512" y="50"/>
                                  <a:pt x="17500" y="39"/>
                                  <a:pt x="17500" y="25"/>
                                </a:cubicBezTo>
                                <a:cubicBezTo>
                                  <a:pt x="17500" y="12"/>
                                  <a:pt x="17512" y="0"/>
                                  <a:pt x="17525" y="0"/>
                                </a:cubicBezTo>
                                <a:close/>
                                <a:moveTo>
                                  <a:pt x="17875" y="0"/>
                                </a:moveTo>
                                <a:lnTo>
                                  <a:pt x="18025" y="0"/>
                                </a:lnTo>
                                <a:cubicBezTo>
                                  <a:pt x="18039" y="0"/>
                                  <a:pt x="18050" y="12"/>
                                  <a:pt x="18050" y="25"/>
                                </a:cubicBezTo>
                                <a:cubicBezTo>
                                  <a:pt x="18050" y="39"/>
                                  <a:pt x="18039" y="50"/>
                                  <a:pt x="18025" y="50"/>
                                </a:cubicBezTo>
                                <a:lnTo>
                                  <a:pt x="17875" y="50"/>
                                </a:lnTo>
                                <a:cubicBezTo>
                                  <a:pt x="17862" y="50"/>
                                  <a:pt x="17850" y="39"/>
                                  <a:pt x="17850" y="25"/>
                                </a:cubicBezTo>
                                <a:cubicBezTo>
                                  <a:pt x="17850" y="12"/>
                                  <a:pt x="17862" y="0"/>
                                  <a:pt x="17875" y="0"/>
                                </a:cubicBezTo>
                                <a:close/>
                                <a:moveTo>
                                  <a:pt x="18225" y="0"/>
                                </a:moveTo>
                                <a:lnTo>
                                  <a:pt x="18375" y="0"/>
                                </a:lnTo>
                                <a:cubicBezTo>
                                  <a:pt x="18389" y="0"/>
                                  <a:pt x="18400" y="12"/>
                                  <a:pt x="18400" y="25"/>
                                </a:cubicBezTo>
                                <a:cubicBezTo>
                                  <a:pt x="18400" y="39"/>
                                  <a:pt x="18389" y="50"/>
                                  <a:pt x="18375" y="50"/>
                                </a:cubicBezTo>
                                <a:lnTo>
                                  <a:pt x="18225" y="50"/>
                                </a:lnTo>
                                <a:cubicBezTo>
                                  <a:pt x="18212" y="50"/>
                                  <a:pt x="18200" y="39"/>
                                  <a:pt x="18200" y="25"/>
                                </a:cubicBezTo>
                                <a:cubicBezTo>
                                  <a:pt x="18200" y="12"/>
                                  <a:pt x="18212" y="0"/>
                                  <a:pt x="18225" y="0"/>
                                </a:cubicBezTo>
                                <a:close/>
                                <a:moveTo>
                                  <a:pt x="18575" y="0"/>
                                </a:moveTo>
                                <a:lnTo>
                                  <a:pt x="18725" y="0"/>
                                </a:lnTo>
                                <a:cubicBezTo>
                                  <a:pt x="18739" y="0"/>
                                  <a:pt x="18750" y="12"/>
                                  <a:pt x="18750" y="25"/>
                                </a:cubicBezTo>
                                <a:cubicBezTo>
                                  <a:pt x="18750" y="39"/>
                                  <a:pt x="18739" y="50"/>
                                  <a:pt x="18725" y="50"/>
                                </a:cubicBezTo>
                                <a:lnTo>
                                  <a:pt x="18575" y="50"/>
                                </a:lnTo>
                                <a:cubicBezTo>
                                  <a:pt x="18562" y="50"/>
                                  <a:pt x="18550" y="39"/>
                                  <a:pt x="18550" y="25"/>
                                </a:cubicBezTo>
                                <a:cubicBezTo>
                                  <a:pt x="18550" y="12"/>
                                  <a:pt x="18562" y="0"/>
                                  <a:pt x="18575" y="0"/>
                                </a:cubicBezTo>
                                <a:close/>
                                <a:moveTo>
                                  <a:pt x="18925" y="0"/>
                                </a:moveTo>
                                <a:lnTo>
                                  <a:pt x="19075" y="0"/>
                                </a:lnTo>
                                <a:cubicBezTo>
                                  <a:pt x="19089" y="0"/>
                                  <a:pt x="19100" y="12"/>
                                  <a:pt x="19100" y="25"/>
                                </a:cubicBezTo>
                                <a:cubicBezTo>
                                  <a:pt x="19100" y="39"/>
                                  <a:pt x="19089" y="50"/>
                                  <a:pt x="19075" y="50"/>
                                </a:cubicBezTo>
                                <a:lnTo>
                                  <a:pt x="18925" y="50"/>
                                </a:lnTo>
                                <a:cubicBezTo>
                                  <a:pt x="18912" y="50"/>
                                  <a:pt x="18900" y="39"/>
                                  <a:pt x="18900" y="25"/>
                                </a:cubicBezTo>
                                <a:cubicBezTo>
                                  <a:pt x="18900" y="12"/>
                                  <a:pt x="18912" y="0"/>
                                  <a:pt x="18925" y="0"/>
                                </a:cubicBezTo>
                                <a:close/>
                                <a:moveTo>
                                  <a:pt x="19275" y="0"/>
                                </a:moveTo>
                                <a:lnTo>
                                  <a:pt x="19425" y="0"/>
                                </a:lnTo>
                                <a:cubicBezTo>
                                  <a:pt x="19439" y="0"/>
                                  <a:pt x="19450" y="12"/>
                                  <a:pt x="19450" y="25"/>
                                </a:cubicBezTo>
                                <a:cubicBezTo>
                                  <a:pt x="19450" y="39"/>
                                  <a:pt x="19439" y="50"/>
                                  <a:pt x="19425" y="50"/>
                                </a:cubicBezTo>
                                <a:lnTo>
                                  <a:pt x="19275" y="50"/>
                                </a:lnTo>
                                <a:cubicBezTo>
                                  <a:pt x="19262" y="50"/>
                                  <a:pt x="19250" y="39"/>
                                  <a:pt x="19250" y="25"/>
                                </a:cubicBezTo>
                                <a:cubicBezTo>
                                  <a:pt x="19250" y="12"/>
                                  <a:pt x="19262" y="0"/>
                                  <a:pt x="19275" y="0"/>
                                </a:cubicBezTo>
                                <a:close/>
                                <a:moveTo>
                                  <a:pt x="19625" y="0"/>
                                </a:moveTo>
                                <a:lnTo>
                                  <a:pt x="19775" y="0"/>
                                </a:lnTo>
                                <a:cubicBezTo>
                                  <a:pt x="19789" y="0"/>
                                  <a:pt x="19800" y="12"/>
                                  <a:pt x="19800" y="25"/>
                                </a:cubicBezTo>
                                <a:cubicBezTo>
                                  <a:pt x="19800" y="39"/>
                                  <a:pt x="19789" y="50"/>
                                  <a:pt x="19775" y="50"/>
                                </a:cubicBezTo>
                                <a:lnTo>
                                  <a:pt x="19625" y="50"/>
                                </a:lnTo>
                                <a:cubicBezTo>
                                  <a:pt x="19612" y="50"/>
                                  <a:pt x="19600" y="39"/>
                                  <a:pt x="19600" y="25"/>
                                </a:cubicBezTo>
                                <a:cubicBezTo>
                                  <a:pt x="19600" y="12"/>
                                  <a:pt x="19612" y="0"/>
                                  <a:pt x="19625" y="0"/>
                                </a:cubicBezTo>
                                <a:close/>
                                <a:moveTo>
                                  <a:pt x="19975" y="0"/>
                                </a:moveTo>
                                <a:lnTo>
                                  <a:pt x="20125" y="0"/>
                                </a:lnTo>
                                <a:cubicBezTo>
                                  <a:pt x="20139" y="0"/>
                                  <a:pt x="20150" y="12"/>
                                  <a:pt x="20150" y="25"/>
                                </a:cubicBezTo>
                                <a:cubicBezTo>
                                  <a:pt x="20150" y="39"/>
                                  <a:pt x="20139" y="50"/>
                                  <a:pt x="20125" y="50"/>
                                </a:cubicBezTo>
                                <a:lnTo>
                                  <a:pt x="19975" y="50"/>
                                </a:lnTo>
                                <a:cubicBezTo>
                                  <a:pt x="19962" y="50"/>
                                  <a:pt x="19950" y="39"/>
                                  <a:pt x="19950" y="25"/>
                                </a:cubicBezTo>
                                <a:cubicBezTo>
                                  <a:pt x="19950" y="12"/>
                                  <a:pt x="19962" y="0"/>
                                  <a:pt x="19975" y="0"/>
                                </a:cubicBezTo>
                                <a:close/>
                                <a:moveTo>
                                  <a:pt x="20325" y="0"/>
                                </a:moveTo>
                                <a:lnTo>
                                  <a:pt x="20475" y="0"/>
                                </a:lnTo>
                                <a:cubicBezTo>
                                  <a:pt x="20489" y="0"/>
                                  <a:pt x="20500" y="12"/>
                                  <a:pt x="20500" y="25"/>
                                </a:cubicBezTo>
                                <a:cubicBezTo>
                                  <a:pt x="20500" y="39"/>
                                  <a:pt x="20489" y="50"/>
                                  <a:pt x="20475" y="50"/>
                                </a:cubicBezTo>
                                <a:lnTo>
                                  <a:pt x="20325" y="50"/>
                                </a:lnTo>
                                <a:cubicBezTo>
                                  <a:pt x="20312" y="50"/>
                                  <a:pt x="20300" y="39"/>
                                  <a:pt x="20300" y="25"/>
                                </a:cubicBezTo>
                                <a:cubicBezTo>
                                  <a:pt x="20300" y="12"/>
                                  <a:pt x="20312" y="0"/>
                                  <a:pt x="20325" y="0"/>
                                </a:cubicBezTo>
                                <a:close/>
                                <a:moveTo>
                                  <a:pt x="20675" y="0"/>
                                </a:moveTo>
                                <a:lnTo>
                                  <a:pt x="20825" y="0"/>
                                </a:lnTo>
                                <a:cubicBezTo>
                                  <a:pt x="20839" y="0"/>
                                  <a:pt x="20850" y="12"/>
                                  <a:pt x="20850" y="25"/>
                                </a:cubicBezTo>
                                <a:cubicBezTo>
                                  <a:pt x="20850" y="39"/>
                                  <a:pt x="20839" y="50"/>
                                  <a:pt x="20825" y="50"/>
                                </a:cubicBezTo>
                                <a:lnTo>
                                  <a:pt x="20675" y="50"/>
                                </a:lnTo>
                                <a:cubicBezTo>
                                  <a:pt x="20662" y="50"/>
                                  <a:pt x="20650" y="39"/>
                                  <a:pt x="20650" y="25"/>
                                </a:cubicBezTo>
                                <a:cubicBezTo>
                                  <a:pt x="20650" y="12"/>
                                  <a:pt x="20662" y="0"/>
                                  <a:pt x="20675" y="0"/>
                                </a:cubicBezTo>
                                <a:close/>
                                <a:moveTo>
                                  <a:pt x="21025" y="0"/>
                                </a:moveTo>
                                <a:lnTo>
                                  <a:pt x="21175" y="0"/>
                                </a:lnTo>
                                <a:cubicBezTo>
                                  <a:pt x="21189" y="0"/>
                                  <a:pt x="21200" y="12"/>
                                  <a:pt x="21200" y="25"/>
                                </a:cubicBezTo>
                                <a:cubicBezTo>
                                  <a:pt x="21200" y="39"/>
                                  <a:pt x="21189" y="50"/>
                                  <a:pt x="21175" y="50"/>
                                </a:cubicBezTo>
                                <a:lnTo>
                                  <a:pt x="21025" y="50"/>
                                </a:lnTo>
                                <a:cubicBezTo>
                                  <a:pt x="21012" y="50"/>
                                  <a:pt x="21000" y="39"/>
                                  <a:pt x="21000" y="25"/>
                                </a:cubicBezTo>
                                <a:cubicBezTo>
                                  <a:pt x="21000" y="12"/>
                                  <a:pt x="21012" y="0"/>
                                  <a:pt x="21025" y="0"/>
                                </a:cubicBezTo>
                                <a:close/>
                                <a:moveTo>
                                  <a:pt x="21375" y="0"/>
                                </a:moveTo>
                                <a:lnTo>
                                  <a:pt x="21525" y="0"/>
                                </a:lnTo>
                                <a:cubicBezTo>
                                  <a:pt x="21539" y="0"/>
                                  <a:pt x="21550" y="12"/>
                                  <a:pt x="21550" y="25"/>
                                </a:cubicBezTo>
                                <a:cubicBezTo>
                                  <a:pt x="21550" y="39"/>
                                  <a:pt x="21539" y="50"/>
                                  <a:pt x="21525" y="50"/>
                                </a:cubicBezTo>
                                <a:lnTo>
                                  <a:pt x="21375" y="50"/>
                                </a:lnTo>
                                <a:cubicBezTo>
                                  <a:pt x="21362" y="50"/>
                                  <a:pt x="21350" y="39"/>
                                  <a:pt x="21350" y="25"/>
                                </a:cubicBezTo>
                                <a:cubicBezTo>
                                  <a:pt x="21350" y="12"/>
                                  <a:pt x="21362" y="0"/>
                                  <a:pt x="21375" y="0"/>
                                </a:cubicBezTo>
                                <a:close/>
                                <a:moveTo>
                                  <a:pt x="21725" y="0"/>
                                </a:moveTo>
                                <a:lnTo>
                                  <a:pt x="21875" y="0"/>
                                </a:lnTo>
                                <a:cubicBezTo>
                                  <a:pt x="21889" y="0"/>
                                  <a:pt x="21900" y="12"/>
                                  <a:pt x="21900" y="25"/>
                                </a:cubicBezTo>
                                <a:cubicBezTo>
                                  <a:pt x="21900" y="39"/>
                                  <a:pt x="21889" y="50"/>
                                  <a:pt x="21875" y="50"/>
                                </a:cubicBezTo>
                                <a:lnTo>
                                  <a:pt x="21725" y="50"/>
                                </a:lnTo>
                                <a:cubicBezTo>
                                  <a:pt x="21712" y="50"/>
                                  <a:pt x="21700" y="39"/>
                                  <a:pt x="21700" y="25"/>
                                </a:cubicBezTo>
                                <a:cubicBezTo>
                                  <a:pt x="21700" y="12"/>
                                  <a:pt x="21712" y="0"/>
                                  <a:pt x="21725" y="0"/>
                                </a:cubicBezTo>
                                <a:close/>
                                <a:moveTo>
                                  <a:pt x="22075" y="0"/>
                                </a:moveTo>
                                <a:lnTo>
                                  <a:pt x="22225" y="0"/>
                                </a:lnTo>
                                <a:cubicBezTo>
                                  <a:pt x="22239" y="0"/>
                                  <a:pt x="22250" y="12"/>
                                  <a:pt x="22250" y="25"/>
                                </a:cubicBezTo>
                                <a:cubicBezTo>
                                  <a:pt x="22250" y="39"/>
                                  <a:pt x="22239" y="50"/>
                                  <a:pt x="22225" y="50"/>
                                </a:cubicBezTo>
                                <a:lnTo>
                                  <a:pt x="22075" y="50"/>
                                </a:lnTo>
                                <a:cubicBezTo>
                                  <a:pt x="22062" y="50"/>
                                  <a:pt x="22050" y="39"/>
                                  <a:pt x="22050" y="25"/>
                                </a:cubicBezTo>
                                <a:cubicBezTo>
                                  <a:pt x="22050" y="12"/>
                                  <a:pt x="22062" y="0"/>
                                  <a:pt x="22075" y="0"/>
                                </a:cubicBezTo>
                                <a:close/>
                                <a:moveTo>
                                  <a:pt x="22425" y="0"/>
                                </a:moveTo>
                                <a:lnTo>
                                  <a:pt x="22575" y="0"/>
                                </a:lnTo>
                                <a:cubicBezTo>
                                  <a:pt x="22589" y="0"/>
                                  <a:pt x="22600" y="12"/>
                                  <a:pt x="22600" y="25"/>
                                </a:cubicBezTo>
                                <a:cubicBezTo>
                                  <a:pt x="22600" y="39"/>
                                  <a:pt x="22589" y="50"/>
                                  <a:pt x="22575" y="50"/>
                                </a:cubicBezTo>
                                <a:lnTo>
                                  <a:pt x="22425" y="50"/>
                                </a:lnTo>
                                <a:cubicBezTo>
                                  <a:pt x="22412" y="50"/>
                                  <a:pt x="22400" y="39"/>
                                  <a:pt x="22400" y="25"/>
                                </a:cubicBezTo>
                                <a:cubicBezTo>
                                  <a:pt x="22400" y="12"/>
                                  <a:pt x="22412" y="0"/>
                                  <a:pt x="22425" y="0"/>
                                </a:cubicBezTo>
                                <a:close/>
                                <a:moveTo>
                                  <a:pt x="22775" y="0"/>
                                </a:moveTo>
                                <a:lnTo>
                                  <a:pt x="22925" y="0"/>
                                </a:lnTo>
                                <a:cubicBezTo>
                                  <a:pt x="22939" y="0"/>
                                  <a:pt x="22950" y="12"/>
                                  <a:pt x="22950" y="25"/>
                                </a:cubicBezTo>
                                <a:cubicBezTo>
                                  <a:pt x="22950" y="39"/>
                                  <a:pt x="22939" y="50"/>
                                  <a:pt x="22925" y="50"/>
                                </a:cubicBezTo>
                                <a:lnTo>
                                  <a:pt x="22775" y="50"/>
                                </a:lnTo>
                                <a:cubicBezTo>
                                  <a:pt x="22762" y="50"/>
                                  <a:pt x="22750" y="39"/>
                                  <a:pt x="22750" y="25"/>
                                </a:cubicBezTo>
                                <a:cubicBezTo>
                                  <a:pt x="22750" y="12"/>
                                  <a:pt x="22762" y="0"/>
                                  <a:pt x="22775" y="0"/>
                                </a:cubicBezTo>
                                <a:close/>
                                <a:moveTo>
                                  <a:pt x="23125" y="0"/>
                                </a:moveTo>
                                <a:lnTo>
                                  <a:pt x="23275" y="0"/>
                                </a:lnTo>
                                <a:cubicBezTo>
                                  <a:pt x="23289" y="0"/>
                                  <a:pt x="23300" y="12"/>
                                  <a:pt x="23300" y="25"/>
                                </a:cubicBezTo>
                                <a:cubicBezTo>
                                  <a:pt x="23300" y="39"/>
                                  <a:pt x="23289" y="50"/>
                                  <a:pt x="23275" y="50"/>
                                </a:cubicBezTo>
                                <a:lnTo>
                                  <a:pt x="23125" y="50"/>
                                </a:lnTo>
                                <a:cubicBezTo>
                                  <a:pt x="23112" y="50"/>
                                  <a:pt x="23100" y="39"/>
                                  <a:pt x="23100" y="25"/>
                                </a:cubicBezTo>
                                <a:cubicBezTo>
                                  <a:pt x="23100" y="12"/>
                                  <a:pt x="23112" y="0"/>
                                  <a:pt x="23125" y="0"/>
                                </a:cubicBezTo>
                                <a:close/>
                                <a:moveTo>
                                  <a:pt x="23475" y="0"/>
                                </a:moveTo>
                                <a:lnTo>
                                  <a:pt x="23625" y="0"/>
                                </a:lnTo>
                                <a:cubicBezTo>
                                  <a:pt x="23639" y="0"/>
                                  <a:pt x="23650" y="12"/>
                                  <a:pt x="23650" y="25"/>
                                </a:cubicBezTo>
                                <a:cubicBezTo>
                                  <a:pt x="23650" y="39"/>
                                  <a:pt x="23639" y="50"/>
                                  <a:pt x="23625" y="50"/>
                                </a:cubicBezTo>
                                <a:lnTo>
                                  <a:pt x="23475" y="50"/>
                                </a:lnTo>
                                <a:cubicBezTo>
                                  <a:pt x="23462" y="50"/>
                                  <a:pt x="23450" y="39"/>
                                  <a:pt x="23450" y="25"/>
                                </a:cubicBezTo>
                                <a:cubicBezTo>
                                  <a:pt x="23450" y="12"/>
                                  <a:pt x="23462" y="0"/>
                                  <a:pt x="23475" y="0"/>
                                </a:cubicBezTo>
                                <a:close/>
                                <a:moveTo>
                                  <a:pt x="23825" y="0"/>
                                </a:moveTo>
                                <a:lnTo>
                                  <a:pt x="23975" y="0"/>
                                </a:lnTo>
                                <a:cubicBezTo>
                                  <a:pt x="23989" y="0"/>
                                  <a:pt x="24000" y="12"/>
                                  <a:pt x="24000" y="25"/>
                                </a:cubicBezTo>
                                <a:cubicBezTo>
                                  <a:pt x="24000" y="39"/>
                                  <a:pt x="23989" y="50"/>
                                  <a:pt x="23975" y="50"/>
                                </a:cubicBezTo>
                                <a:lnTo>
                                  <a:pt x="23825" y="50"/>
                                </a:lnTo>
                                <a:cubicBezTo>
                                  <a:pt x="23812" y="50"/>
                                  <a:pt x="23800" y="39"/>
                                  <a:pt x="23800" y="25"/>
                                </a:cubicBezTo>
                                <a:cubicBezTo>
                                  <a:pt x="23800" y="12"/>
                                  <a:pt x="23812" y="0"/>
                                  <a:pt x="23825" y="0"/>
                                </a:cubicBezTo>
                                <a:close/>
                                <a:moveTo>
                                  <a:pt x="24175" y="0"/>
                                </a:moveTo>
                                <a:lnTo>
                                  <a:pt x="24325" y="0"/>
                                </a:lnTo>
                                <a:cubicBezTo>
                                  <a:pt x="24339" y="0"/>
                                  <a:pt x="24350" y="12"/>
                                  <a:pt x="24350" y="25"/>
                                </a:cubicBezTo>
                                <a:cubicBezTo>
                                  <a:pt x="24350" y="39"/>
                                  <a:pt x="24339" y="50"/>
                                  <a:pt x="24325" y="50"/>
                                </a:cubicBezTo>
                                <a:lnTo>
                                  <a:pt x="24175" y="50"/>
                                </a:lnTo>
                                <a:cubicBezTo>
                                  <a:pt x="24162" y="50"/>
                                  <a:pt x="24150" y="39"/>
                                  <a:pt x="24150" y="25"/>
                                </a:cubicBezTo>
                                <a:cubicBezTo>
                                  <a:pt x="24150" y="12"/>
                                  <a:pt x="24162" y="0"/>
                                  <a:pt x="24175" y="0"/>
                                </a:cubicBezTo>
                                <a:close/>
                                <a:moveTo>
                                  <a:pt x="24525" y="0"/>
                                </a:moveTo>
                                <a:lnTo>
                                  <a:pt x="24675" y="0"/>
                                </a:lnTo>
                                <a:cubicBezTo>
                                  <a:pt x="24689" y="0"/>
                                  <a:pt x="24700" y="12"/>
                                  <a:pt x="24700" y="25"/>
                                </a:cubicBezTo>
                                <a:cubicBezTo>
                                  <a:pt x="24700" y="39"/>
                                  <a:pt x="24689" y="50"/>
                                  <a:pt x="24675" y="50"/>
                                </a:cubicBezTo>
                                <a:lnTo>
                                  <a:pt x="24525" y="50"/>
                                </a:lnTo>
                                <a:cubicBezTo>
                                  <a:pt x="24512" y="50"/>
                                  <a:pt x="24500" y="39"/>
                                  <a:pt x="24500" y="25"/>
                                </a:cubicBezTo>
                                <a:cubicBezTo>
                                  <a:pt x="24500" y="12"/>
                                  <a:pt x="24512" y="0"/>
                                  <a:pt x="24525" y="0"/>
                                </a:cubicBezTo>
                                <a:close/>
                                <a:moveTo>
                                  <a:pt x="24875" y="0"/>
                                </a:moveTo>
                                <a:lnTo>
                                  <a:pt x="25025" y="0"/>
                                </a:lnTo>
                                <a:cubicBezTo>
                                  <a:pt x="25039" y="0"/>
                                  <a:pt x="25050" y="12"/>
                                  <a:pt x="25050" y="25"/>
                                </a:cubicBezTo>
                                <a:cubicBezTo>
                                  <a:pt x="25050" y="39"/>
                                  <a:pt x="25039" y="50"/>
                                  <a:pt x="25025" y="50"/>
                                </a:cubicBezTo>
                                <a:lnTo>
                                  <a:pt x="24875" y="50"/>
                                </a:lnTo>
                                <a:cubicBezTo>
                                  <a:pt x="24862" y="50"/>
                                  <a:pt x="24850" y="39"/>
                                  <a:pt x="24850" y="25"/>
                                </a:cubicBezTo>
                                <a:cubicBezTo>
                                  <a:pt x="24850" y="12"/>
                                  <a:pt x="24862" y="0"/>
                                  <a:pt x="24875" y="0"/>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1" name="Freeform 66"/>
                        <wps:cNvSpPr>
                          <a:spLocks noEditPoints="1"/>
                        </wps:cNvSpPr>
                        <wps:spPr bwMode="auto">
                          <a:xfrm>
                            <a:off x="1171510" y="1867556"/>
                            <a:ext cx="4689542" cy="73002"/>
                          </a:xfrm>
                          <a:custGeom>
                            <a:avLst/>
                            <a:gdLst>
                              <a:gd name="T0" fmla="*/ 1133854 w 25680"/>
                              <a:gd name="T1" fmla="*/ 5430984 h 400"/>
                              <a:gd name="T2" fmla="*/ 845261640 w 25680"/>
                              <a:gd name="T3" fmla="*/ 5530814 h 400"/>
                              <a:gd name="T4" fmla="*/ 846395494 w 25680"/>
                              <a:gd name="T5" fmla="*/ 6663805 h 400"/>
                              <a:gd name="T6" fmla="*/ 845261640 w 25680"/>
                              <a:gd name="T7" fmla="*/ 7763215 h 400"/>
                              <a:gd name="T8" fmla="*/ 1133854 w 25680"/>
                              <a:gd name="T9" fmla="*/ 7663202 h 400"/>
                              <a:gd name="T10" fmla="*/ 0 w 25680"/>
                              <a:gd name="T11" fmla="*/ 6530394 h 400"/>
                              <a:gd name="T12" fmla="*/ 1133854 w 25680"/>
                              <a:gd name="T13" fmla="*/ 5430984 h 400"/>
                              <a:gd name="T14" fmla="*/ 843027351 w 25680"/>
                              <a:gd name="T15" fmla="*/ 0 h 400"/>
                              <a:gd name="T16" fmla="*/ 856366432 w 25680"/>
                              <a:gd name="T17" fmla="*/ 6663805 h 400"/>
                              <a:gd name="T18" fmla="*/ 843027351 w 25680"/>
                              <a:gd name="T19" fmla="*/ 13327428 h 400"/>
                              <a:gd name="T20" fmla="*/ 843027351 w 25680"/>
                              <a:gd name="T21" fmla="*/ 0 h 4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25680" h="400">
                                <a:moveTo>
                                  <a:pt x="34" y="163"/>
                                </a:moveTo>
                                <a:lnTo>
                                  <a:pt x="25347" y="166"/>
                                </a:lnTo>
                                <a:cubicBezTo>
                                  <a:pt x="25366" y="166"/>
                                  <a:pt x="25381" y="181"/>
                                  <a:pt x="25381" y="200"/>
                                </a:cubicBezTo>
                                <a:cubicBezTo>
                                  <a:pt x="25381" y="218"/>
                                  <a:pt x="25366" y="233"/>
                                  <a:pt x="25347" y="233"/>
                                </a:cubicBezTo>
                                <a:lnTo>
                                  <a:pt x="34" y="230"/>
                                </a:lnTo>
                                <a:cubicBezTo>
                                  <a:pt x="15" y="230"/>
                                  <a:pt x="0" y="215"/>
                                  <a:pt x="0" y="196"/>
                                </a:cubicBezTo>
                                <a:cubicBezTo>
                                  <a:pt x="0" y="178"/>
                                  <a:pt x="15" y="163"/>
                                  <a:pt x="34" y="163"/>
                                </a:cubicBezTo>
                                <a:close/>
                                <a:moveTo>
                                  <a:pt x="25280" y="0"/>
                                </a:moveTo>
                                <a:lnTo>
                                  <a:pt x="25680" y="200"/>
                                </a:lnTo>
                                <a:lnTo>
                                  <a:pt x="25280" y="400"/>
                                </a:lnTo>
                                <a:lnTo>
                                  <a:pt x="252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2" name="Freeform 67"/>
                        <wps:cNvSpPr>
                          <a:spLocks noEditPoints="1"/>
                        </wps:cNvSpPr>
                        <wps:spPr bwMode="auto">
                          <a:xfrm>
                            <a:off x="1269311" y="36101"/>
                            <a:ext cx="73001" cy="1927958"/>
                          </a:xfrm>
                          <a:custGeom>
                            <a:avLst/>
                            <a:gdLst>
                              <a:gd name="T0" fmla="*/ 2715455 w 800"/>
                              <a:gd name="T1" fmla="*/ 175097583 h 21160"/>
                              <a:gd name="T2" fmla="*/ 2773764 w 800"/>
                              <a:gd name="T3" fmla="*/ 5536866 h 21160"/>
                              <a:gd name="T4" fmla="*/ 3331857 w 800"/>
                              <a:gd name="T5" fmla="*/ 4980710 h 21160"/>
                              <a:gd name="T6" fmla="*/ 3881554 w 800"/>
                              <a:gd name="T7" fmla="*/ 5536866 h 21160"/>
                              <a:gd name="T8" fmla="*/ 3831549 w 800"/>
                              <a:gd name="T9" fmla="*/ 175097583 h 21160"/>
                              <a:gd name="T10" fmla="*/ 3273547 w 800"/>
                              <a:gd name="T11" fmla="*/ 175653739 h 21160"/>
                              <a:gd name="T12" fmla="*/ 2715455 w 800"/>
                              <a:gd name="T13" fmla="*/ 175097583 h 21160"/>
                              <a:gd name="T14" fmla="*/ 0 w 800"/>
                              <a:gd name="T15" fmla="*/ 6640977 h 21160"/>
                              <a:gd name="T16" fmla="*/ 3331857 w 800"/>
                              <a:gd name="T17" fmla="*/ 0 h 21160"/>
                              <a:gd name="T18" fmla="*/ 6663623 w 800"/>
                              <a:gd name="T19" fmla="*/ 6640977 h 21160"/>
                              <a:gd name="T20" fmla="*/ 0 w 800"/>
                              <a:gd name="T21" fmla="*/ 6640977 h 2116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800" h="21160">
                                <a:moveTo>
                                  <a:pt x="326" y="21093"/>
                                </a:moveTo>
                                <a:lnTo>
                                  <a:pt x="333" y="667"/>
                                </a:lnTo>
                                <a:cubicBezTo>
                                  <a:pt x="333" y="630"/>
                                  <a:pt x="363" y="600"/>
                                  <a:pt x="400" y="600"/>
                                </a:cubicBezTo>
                                <a:cubicBezTo>
                                  <a:pt x="436" y="600"/>
                                  <a:pt x="466" y="630"/>
                                  <a:pt x="466" y="667"/>
                                </a:cubicBezTo>
                                <a:lnTo>
                                  <a:pt x="460" y="21093"/>
                                </a:lnTo>
                                <a:cubicBezTo>
                                  <a:pt x="460" y="21130"/>
                                  <a:pt x="430" y="21160"/>
                                  <a:pt x="393" y="21160"/>
                                </a:cubicBezTo>
                                <a:cubicBezTo>
                                  <a:pt x="356" y="21160"/>
                                  <a:pt x="326" y="21130"/>
                                  <a:pt x="326" y="21093"/>
                                </a:cubicBezTo>
                                <a:close/>
                                <a:moveTo>
                                  <a:pt x="0" y="800"/>
                                </a:moveTo>
                                <a:lnTo>
                                  <a:pt x="400" y="0"/>
                                </a:lnTo>
                                <a:lnTo>
                                  <a:pt x="800" y="800"/>
                                </a:lnTo>
                                <a:lnTo>
                                  <a:pt x="0" y="8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 name="Freeform 68"/>
                        <wps:cNvSpPr>
                          <a:spLocks noEditPoints="1"/>
                        </wps:cNvSpPr>
                        <wps:spPr bwMode="auto">
                          <a:xfrm>
                            <a:off x="2405321" y="1206536"/>
                            <a:ext cx="9600" cy="729622"/>
                          </a:xfrm>
                          <a:custGeom>
                            <a:avLst/>
                            <a:gdLst>
                              <a:gd name="T0" fmla="*/ 806669 w 107"/>
                              <a:gd name="T1" fmla="*/ 2906186 h 8007"/>
                              <a:gd name="T2" fmla="*/ 7985 w 107"/>
                              <a:gd name="T3" fmla="*/ 2914479 h 8007"/>
                              <a:gd name="T4" fmla="*/ 399342 w 107"/>
                              <a:gd name="T5" fmla="*/ 0 h 8007"/>
                              <a:gd name="T6" fmla="*/ 806669 w 107"/>
                              <a:gd name="T7" fmla="*/ 6227529 h 8007"/>
                              <a:gd name="T8" fmla="*/ 407327 w 107"/>
                              <a:gd name="T9" fmla="*/ 9133625 h 8007"/>
                              <a:gd name="T10" fmla="*/ 7985 w 107"/>
                              <a:gd name="T11" fmla="*/ 6235821 h 8007"/>
                              <a:gd name="T12" fmla="*/ 806669 w 107"/>
                              <a:gd name="T13" fmla="*/ 6227529 h 8007"/>
                              <a:gd name="T14" fmla="*/ 814654 w 107"/>
                              <a:gd name="T15" fmla="*/ 14530841 h 8007"/>
                              <a:gd name="T16" fmla="*/ 15970 w 107"/>
                              <a:gd name="T17" fmla="*/ 14539133 h 8007"/>
                              <a:gd name="T18" fmla="*/ 415312 w 107"/>
                              <a:gd name="T19" fmla="*/ 11624654 h 8007"/>
                              <a:gd name="T20" fmla="*/ 814654 w 107"/>
                              <a:gd name="T21" fmla="*/ 17852184 h 8007"/>
                              <a:gd name="T22" fmla="*/ 423297 w 107"/>
                              <a:gd name="T23" fmla="*/ 20758279 h 8007"/>
                              <a:gd name="T24" fmla="*/ 15970 w 107"/>
                              <a:gd name="T25" fmla="*/ 17860476 h 8007"/>
                              <a:gd name="T26" fmla="*/ 814654 w 107"/>
                              <a:gd name="T27" fmla="*/ 17852184 h 8007"/>
                              <a:gd name="T28" fmla="*/ 822639 w 107"/>
                              <a:gd name="T29" fmla="*/ 26155495 h 8007"/>
                              <a:gd name="T30" fmla="*/ 23955 w 107"/>
                              <a:gd name="T31" fmla="*/ 26163787 h 8007"/>
                              <a:gd name="T32" fmla="*/ 423297 w 107"/>
                              <a:gd name="T33" fmla="*/ 23249309 h 8007"/>
                              <a:gd name="T34" fmla="*/ 822639 w 107"/>
                              <a:gd name="T35" fmla="*/ 29476838 h 8007"/>
                              <a:gd name="T36" fmla="*/ 431282 w 107"/>
                              <a:gd name="T37" fmla="*/ 32382933 h 8007"/>
                              <a:gd name="T38" fmla="*/ 23955 w 107"/>
                              <a:gd name="T39" fmla="*/ 29485130 h 8007"/>
                              <a:gd name="T40" fmla="*/ 822639 w 107"/>
                              <a:gd name="T41" fmla="*/ 29476838 h 8007"/>
                              <a:gd name="T42" fmla="*/ 830624 w 107"/>
                              <a:gd name="T43" fmla="*/ 37780150 h 8007"/>
                              <a:gd name="T44" fmla="*/ 31940 w 107"/>
                              <a:gd name="T45" fmla="*/ 37788442 h 8007"/>
                              <a:gd name="T46" fmla="*/ 431282 w 107"/>
                              <a:gd name="T47" fmla="*/ 34873963 h 8007"/>
                              <a:gd name="T48" fmla="*/ 838609 w 107"/>
                              <a:gd name="T49" fmla="*/ 41101493 h 8007"/>
                              <a:gd name="T50" fmla="*/ 439267 w 107"/>
                              <a:gd name="T51" fmla="*/ 44007588 h 8007"/>
                              <a:gd name="T52" fmla="*/ 39925 w 107"/>
                              <a:gd name="T53" fmla="*/ 41109785 h 8007"/>
                              <a:gd name="T54" fmla="*/ 838609 w 107"/>
                              <a:gd name="T55" fmla="*/ 41101493 h 8007"/>
                              <a:gd name="T56" fmla="*/ 838609 w 107"/>
                              <a:gd name="T57" fmla="*/ 49404804 h 8007"/>
                              <a:gd name="T58" fmla="*/ 39925 w 107"/>
                              <a:gd name="T59" fmla="*/ 49413096 h 8007"/>
                              <a:gd name="T60" fmla="*/ 439267 w 107"/>
                              <a:gd name="T61" fmla="*/ 46498618 h 8007"/>
                              <a:gd name="T62" fmla="*/ 846594 w 107"/>
                              <a:gd name="T63" fmla="*/ 52726147 h 8007"/>
                              <a:gd name="T64" fmla="*/ 447252 w 107"/>
                              <a:gd name="T65" fmla="*/ 55632242 h 8007"/>
                              <a:gd name="T66" fmla="*/ 47910 w 107"/>
                              <a:gd name="T67" fmla="*/ 52734439 h 8007"/>
                              <a:gd name="T68" fmla="*/ 846594 w 107"/>
                              <a:gd name="T69" fmla="*/ 52726147 h 8007"/>
                              <a:gd name="T70" fmla="*/ 854579 w 107"/>
                              <a:gd name="T71" fmla="*/ 61029459 h 8007"/>
                              <a:gd name="T72" fmla="*/ 55895 w 107"/>
                              <a:gd name="T73" fmla="*/ 61037751 h 8007"/>
                              <a:gd name="T74" fmla="*/ 447252 w 107"/>
                              <a:gd name="T75" fmla="*/ 58123272 h 8007"/>
                              <a:gd name="T76" fmla="*/ 854579 w 107"/>
                              <a:gd name="T77" fmla="*/ 64350801 h 8007"/>
                              <a:gd name="T78" fmla="*/ 455237 w 107"/>
                              <a:gd name="T79" fmla="*/ 66484720 h 8007"/>
                              <a:gd name="T80" fmla="*/ 55895 w 107"/>
                              <a:gd name="T81" fmla="*/ 64359094 h 8007"/>
                              <a:gd name="T82" fmla="*/ 854579 w 107"/>
                              <a:gd name="T83" fmla="*/ 64350801 h 8007"/>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107" h="8007">
                                <a:moveTo>
                                  <a:pt x="100" y="50"/>
                                </a:moveTo>
                                <a:lnTo>
                                  <a:pt x="101" y="350"/>
                                </a:lnTo>
                                <a:cubicBezTo>
                                  <a:pt x="101" y="378"/>
                                  <a:pt x="78" y="400"/>
                                  <a:pt x="51" y="400"/>
                                </a:cubicBezTo>
                                <a:cubicBezTo>
                                  <a:pt x="23" y="400"/>
                                  <a:pt x="1" y="378"/>
                                  <a:pt x="1" y="351"/>
                                </a:cubicBezTo>
                                <a:lnTo>
                                  <a:pt x="0" y="51"/>
                                </a:lnTo>
                                <a:cubicBezTo>
                                  <a:pt x="0" y="23"/>
                                  <a:pt x="23" y="0"/>
                                  <a:pt x="50" y="0"/>
                                </a:cubicBezTo>
                                <a:cubicBezTo>
                                  <a:pt x="78" y="0"/>
                                  <a:pt x="100" y="23"/>
                                  <a:pt x="100" y="50"/>
                                </a:cubicBezTo>
                                <a:close/>
                                <a:moveTo>
                                  <a:pt x="101" y="750"/>
                                </a:moveTo>
                                <a:lnTo>
                                  <a:pt x="101" y="1050"/>
                                </a:lnTo>
                                <a:cubicBezTo>
                                  <a:pt x="101" y="1078"/>
                                  <a:pt x="79" y="1100"/>
                                  <a:pt x="51" y="1100"/>
                                </a:cubicBezTo>
                                <a:cubicBezTo>
                                  <a:pt x="24" y="1100"/>
                                  <a:pt x="1" y="1078"/>
                                  <a:pt x="1" y="1051"/>
                                </a:cubicBezTo>
                                <a:lnTo>
                                  <a:pt x="1" y="751"/>
                                </a:lnTo>
                                <a:cubicBezTo>
                                  <a:pt x="1" y="723"/>
                                  <a:pt x="23" y="700"/>
                                  <a:pt x="51" y="700"/>
                                </a:cubicBezTo>
                                <a:cubicBezTo>
                                  <a:pt x="79" y="700"/>
                                  <a:pt x="101" y="723"/>
                                  <a:pt x="101" y="750"/>
                                </a:cubicBezTo>
                                <a:close/>
                                <a:moveTo>
                                  <a:pt x="102" y="1450"/>
                                </a:moveTo>
                                <a:lnTo>
                                  <a:pt x="102" y="1750"/>
                                </a:lnTo>
                                <a:cubicBezTo>
                                  <a:pt x="102" y="1778"/>
                                  <a:pt x="80" y="1800"/>
                                  <a:pt x="52" y="1800"/>
                                </a:cubicBezTo>
                                <a:cubicBezTo>
                                  <a:pt x="24" y="1800"/>
                                  <a:pt x="2" y="1778"/>
                                  <a:pt x="2" y="1751"/>
                                </a:cubicBezTo>
                                <a:lnTo>
                                  <a:pt x="2" y="1451"/>
                                </a:lnTo>
                                <a:cubicBezTo>
                                  <a:pt x="2" y="1423"/>
                                  <a:pt x="24" y="1400"/>
                                  <a:pt x="52" y="1400"/>
                                </a:cubicBezTo>
                                <a:cubicBezTo>
                                  <a:pt x="79" y="1400"/>
                                  <a:pt x="102" y="1423"/>
                                  <a:pt x="102" y="1450"/>
                                </a:cubicBezTo>
                                <a:close/>
                                <a:moveTo>
                                  <a:pt x="102" y="2150"/>
                                </a:moveTo>
                                <a:lnTo>
                                  <a:pt x="102" y="2450"/>
                                </a:lnTo>
                                <a:cubicBezTo>
                                  <a:pt x="103" y="2478"/>
                                  <a:pt x="80" y="2500"/>
                                  <a:pt x="53" y="2500"/>
                                </a:cubicBezTo>
                                <a:cubicBezTo>
                                  <a:pt x="25" y="2500"/>
                                  <a:pt x="3" y="2478"/>
                                  <a:pt x="2" y="2451"/>
                                </a:cubicBezTo>
                                <a:lnTo>
                                  <a:pt x="2" y="2151"/>
                                </a:lnTo>
                                <a:cubicBezTo>
                                  <a:pt x="2" y="2123"/>
                                  <a:pt x="25" y="2100"/>
                                  <a:pt x="52" y="2100"/>
                                </a:cubicBezTo>
                                <a:cubicBezTo>
                                  <a:pt x="80" y="2100"/>
                                  <a:pt x="102" y="2123"/>
                                  <a:pt x="102" y="2150"/>
                                </a:cubicBezTo>
                                <a:close/>
                                <a:moveTo>
                                  <a:pt x="103" y="2850"/>
                                </a:moveTo>
                                <a:lnTo>
                                  <a:pt x="103" y="3150"/>
                                </a:lnTo>
                                <a:cubicBezTo>
                                  <a:pt x="103" y="3178"/>
                                  <a:pt x="81" y="3200"/>
                                  <a:pt x="53" y="3200"/>
                                </a:cubicBezTo>
                                <a:cubicBezTo>
                                  <a:pt x="26" y="3200"/>
                                  <a:pt x="3" y="3178"/>
                                  <a:pt x="3" y="3151"/>
                                </a:cubicBezTo>
                                <a:lnTo>
                                  <a:pt x="3" y="2851"/>
                                </a:lnTo>
                                <a:cubicBezTo>
                                  <a:pt x="3" y="2823"/>
                                  <a:pt x="25" y="2800"/>
                                  <a:pt x="53" y="2800"/>
                                </a:cubicBezTo>
                                <a:cubicBezTo>
                                  <a:pt x="80" y="2800"/>
                                  <a:pt x="103" y="2823"/>
                                  <a:pt x="103" y="2850"/>
                                </a:cubicBezTo>
                                <a:close/>
                                <a:moveTo>
                                  <a:pt x="103" y="3550"/>
                                </a:moveTo>
                                <a:lnTo>
                                  <a:pt x="104" y="3850"/>
                                </a:lnTo>
                                <a:cubicBezTo>
                                  <a:pt x="104" y="3878"/>
                                  <a:pt x="81" y="3900"/>
                                  <a:pt x="54" y="3900"/>
                                </a:cubicBezTo>
                                <a:cubicBezTo>
                                  <a:pt x="26" y="3900"/>
                                  <a:pt x="4" y="3878"/>
                                  <a:pt x="4" y="3851"/>
                                </a:cubicBezTo>
                                <a:lnTo>
                                  <a:pt x="3" y="3551"/>
                                </a:lnTo>
                                <a:cubicBezTo>
                                  <a:pt x="3" y="3523"/>
                                  <a:pt x="26" y="3500"/>
                                  <a:pt x="53" y="3500"/>
                                </a:cubicBezTo>
                                <a:cubicBezTo>
                                  <a:pt x="81" y="3500"/>
                                  <a:pt x="103" y="3523"/>
                                  <a:pt x="103" y="3550"/>
                                </a:cubicBezTo>
                                <a:close/>
                                <a:moveTo>
                                  <a:pt x="104" y="4250"/>
                                </a:moveTo>
                                <a:lnTo>
                                  <a:pt x="104" y="4550"/>
                                </a:lnTo>
                                <a:cubicBezTo>
                                  <a:pt x="104" y="4578"/>
                                  <a:pt x="82" y="4600"/>
                                  <a:pt x="54" y="4600"/>
                                </a:cubicBezTo>
                                <a:cubicBezTo>
                                  <a:pt x="27" y="4600"/>
                                  <a:pt x="4" y="4578"/>
                                  <a:pt x="4" y="4551"/>
                                </a:cubicBezTo>
                                <a:lnTo>
                                  <a:pt x="4" y="4251"/>
                                </a:lnTo>
                                <a:cubicBezTo>
                                  <a:pt x="4" y="4223"/>
                                  <a:pt x="26" y="4200"/>
                                  <a:pt x="54" y="4200"/>
                                </a:cubicBezTo>
                                <a:cubicBezTo>
                                  <a:pt x="82" y="4200"/>
                                  <a:pt x="104" y="4223"/>
                                  <a:pt x="104" y="4250"/>
                                </a:cubicBezTo>
                                <a:close/>
                                <a:moveTo>
                                  <a:pt x="105" y="4950"/>
                                </a:moveTo>
                                <a:lnTo>
                                  <a:pt x="105" y="5250"/>
                                </a:lnTo>
                                <a:cubicBezTo>
                                  <a:pt x="105" y="5278"/>
                                  <a:pt x="83" y="5300"/>
                                  <a:pt x="55" y="5300"/>
                                </a:cubicBezTo>
                                <a:cubicBezTo>
                                  <a:pt x="27" y="5300"/>
                                  <a:pt x="5" y="5278"/>
                                  <a:pt x="5" y="5251"/>
                                </a:cubicBezTo>
                                <a:lnTo>
                                  <a:pt x="5" y="4951"/>
                                </a:lnTo>
                                <a:cubicBezTo>
                                  <a:pt x="5" y="4923"/>
                                  <a:pt x="27" y="4900"/>
                                  <a:pt x="55" y="4900"/>
                                </a:cubicBezTo>
                                <a:cubicBezTo>
                                  <a:pt x="82" y="4900"/>
                                  <a:pt x="105" y="4923"/>
                                  <a:pt x="105" y="4950"/>
                                </a:cubicBezTo>
                                <a:close/>
                                <a:moveTo>
                                  <a:pt x="105" y="5650"/>
                                </a:moveTo>
                                <a:lnTo>
                                  <a:pt x="105" y="5950"/>
                                </a:lnTo>
                                <a:cubicBezTo>
                                  <a:pt x="105" y="5978"/>
                                  <a:pt x="83" y="6000"/>
                                  <a:pt x="55" y="6000"/>
                                </a:cubicBezTo>
                                <a:cubicBezTo>
                                  <a:pt x="28" y="6000"/>
                                  <a:pt x="5" y="5978"/>
                                  <a:pt x="5" y="5951"/>
                                </a:cubicBezTo>
                                <a:lnTo>
                                  <a:pt x="5" y="5651"/>
                                </a:lnTo>
                                <a:cubicBezTo>
                                  <a:pt x="5" y="5623"/>
                                  <a:pt x="28" y="5600"/>
                                  <a:pt x="55" y="5600"/>
                                </a:cubicBezTo>
                                <a:cubicBezTo>
                                  <a:pt x="83" y="5600"/>
                                  <a:pt x="105" y="5623"/>
                                  <a:pt x="105" y="5650"/>
                                </a:cubicBezTo>
                                <a:close/>
                                <a:moveTo>
                                  <a:pt x="106" y="6350"/>
                                </a:moveTo>
                                <a:lnTo>
                                  <a:pt x="106" y="6650"/>
                                </a:lnTo>
                                <a:cubicBezTo>
                                  <a:pt x="106" y="6678"/>
                                  <a:pt x="84" y="6700"/>
                                  <a:pt x="56" y="6700"/>
                                </a:cubicBezTo>
                                <a:cubicBezTo>
                                  <a:pt x="28" y="6700"/>
                                  <a:pt x="6" y="6678"/>
                                  <a:pt x="6" y="6651"/>
                                </a:cubicBezTo>
                                <a:lnTo>
                                  <a:pt x="6" y="6351"/>
                                </a:lnTo>
                                <a:cubicBezTo>
                                  <a:pt x="6" y="6323"/>
                                  <a:pt x="28" y="6300"/>
                                  <a:pt x="56" y="6300"/>
                                </a:cubicBezTo>
                                <a:cubicBezTo>
                                  <a:pt x="83" y="6300"/>
                                  <a:pt x="106" y="6323"/>
                                  <a:pt x="106" y="6350"/>
                                </a:cubicBezTo>
                                <a:close/>
                                <a:moveTo>
                                  <a:pt x="106" y="7050"/>
                                </a:moveTo>
                                <a:lnTo>
                                  <a:pt x="107" y="7350"/>
                                </a:lnTo>
                                <a:cubicBezTo>
                                  <a:pt x="107" y="7378"/>
                                  <a:pt x="84" y="7400"/>
                                  <a:pt x="57" y="7400"/>
                                </a:cubicBezTo>
                                <a:cubicBezTo>
                                  <a:pt x="29" y="7400"/>
                                  <a:pt x="7" y="7378"/>
                                  <a:pt x="7" y="7351"/>
                                </a:cubicBezTo>
                                <a:lnTo>
                                  <a:pt x="6" y="7051"/>
                                </a:lnTo>
                                <a:cubicBezTo>
                                  <a:pt x="6" y="7023"/>
                                  <a:pt x="29" y="7000"/>
                                  <a:pt x="56" y="7000"/>
                                </a:cubicBezTo>
                                <a:cubicBezTo>
                                  <a:pt x="84" y="7000"/>
                                  <a:pt x="106" y="7023"/>
                                  <a:pt x="106" y="7050"/>
                                </a:cubicBezTo>
                                <a:close/>
                                <a:moveTo>
                                  <a:pt x="107" y="7750"/>
                                </a:moveTo>
                                <a:lnTo>
                                  <a:pt x="107" y="7957"/>
                                </a:lnTo>
                                <a:cubicBezTo>
                                  <a:pt x="107" y="7985"/>
                                  <a:pt x="85" y="8007"/>
                                  <a:pt x="57" y="8007"/>
                                </a:cubicBezTo>
                                <a:cubicBezTo>
                                  <a:pt x="30" y="8007"/>
                                  <a:pt x="7" y="7985"/>
                                  <a:pt x="7" y="7957"/>
                                </a:cubicBezTo>
                                <a:lnTo>
                                  <a:pt x="7" y="7751"/>
                                </a:lnTo>
                                <a:cubicBezTo>
                                  <a:pt x="7" y="7723"/>
                                  <a:pt x="29" y="7700"/>
                                  <a:pt x="57" y="7700"/>
                                </a:cubicBezTo>
                                <a:cubicBezTo>
                                  <a:pt x="85" y="7700"/>
                                  <a:pt x="107" y="7723"/>
                                  <a:pt x="107" y="7750"/>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 name="Freeform 69"/>
                        <wps:cNvSpPr>
                          <a:spLocks noEditPoints="1"/>
                        </wps:cNvSpPr>
                        <wps:spPr bwMode="auto">
                          <a:xfrm>
                            <a:off x="2733624" y="222207"/>
                            <a:ext cx="10200" cy="1694851"/>
                          </a:xfrm>
                          <a:custGeom>
                            <a:avLst/>
                            <a:gdLst>
                              <a:gd name="T0" fmla="*/ 461669 w 107"/>
                              <a:gd name="T1" fmla="*/ 3321179 h 18600"/>
                              <a:gd name="T2" fmla="*/ 452613 w 107"/>
                              <a:gd name="T3" fmla="*/ 0 h 18600"/>
                              <a:gd name="T4" fmla="*/ 914187 w 107"/>
                              <a:gd name="T5" fmla="*/ 8718004 h 18600"/>
                              <a:gd name="T6" fmla="*/ 9056 w 107"/>
                              <a:gd name="T7" fmla="*/ 6227119 h 18600"/>
                              <a:gd name="T8" fmla="*/ 914187 w 107"/>
                              <a:gd name="T9" fmla="*/ 12039183 h 18600"/>
                              <a:gd name="T10" fmla="*/ 9056 w 107"/>
                              <a:gd name="T11" fmla="*/ 14529976 h 18600"/>
                              <a:gd name="T12" fmla="*/ 914187 w 107"/>
                              <a:gd name="T13" fmla="*/ 12039183 h 18600"/>
                              <a:gd name="T14" fmla="*/ 461669 w 107"/>
                              <a:gd name="T15" fmla="*/ 20757186 h 18600"/>
                              <a:gd name="T16" fmla="*/ 461669 w 107"/>
                              <a:gd name="T17" fmla="*/ 17436007 h 18600"/>
                              <a:gd name="T18" fmla="*/ 923243 w 107"/>
                              <a:gd name="T19" fmla="*/ 26154011 h 18600"/>
                              <a:gd name="T20" fmla="*/ 9056 w 107"/>
                              <a:gd name="T21" fmla="*/ 23663127 h 18600"/>
                              <a:gd name="T22" fmla="*/ 923243 w 107"/>
                              <a:gd name="T23" fmla="*/ 29475190 h 18600"/>
                              <a:gd name="T24" fmla="*/ 18112 w 107"/>
                              <a:gd name="T25" fmla="*/ 31965983 h 18600"/>
                              <a:gd name="T26" fmla="*/ 923243 w 107"/>
                              <a:gd name="T27" fmla="*/ 29475190 h 18600"/>
                              <a:gd name="T28" fmla="*/ 470725 w 107"/>
                              <a:gd name="T29" fmla="*/ 38193194 h 18600"/>
                              <a:gd name="T30" fmla="*/ 470725 w 107"/>
                              <a:gd name="T31" fmla="*/ 34872015 h 18600"/>
                              <a:gd name="T32" fmla="*/ 923243 w 107"/>
                              <a:gd name="T33" fmla="*/ 43590019 h 18600"/>
                              <a:gd name="T34" fmla="*/ 18112 w 107"/>
                              <a:gd name="T35" fmla="*/ 41099134 h 18600"/>
                              <a:gd name="T36" fmla="*/ 923243 w 107"/>
                              <a:gd name="T37" fmla="*/ 46911198 h 18600"/>
                              <a:gd name="T38" fmla="*/ 27168 w 107"/>
                              <a:gd name="T39" fmla="*/ 49402082 h 18600"/>
                              <a:gd name="T40" fmla="*/ 923243 w 107"/>
                              <a:gd name="T41" fmla="*/ 46911198 h 18600"/>
                              <a:gd name="T42" fmla="*/ 479781 w 107"/>
                              <a:gd name="T43" fmla="*/ 55629201 h 18600"/>
                              <a:gd name="T44" fmla="*/ 479781 w 107"/>
                              <a:gd name="T45" fmla="*/ 52308022 h 18600"/>
                              <a:gd name="T46" fmla="*/ 932299 w 107"/>
                              <a:gd name="T47" fmla="*/ 61026026 h 18600"/>
                              <a:gd name="T48" fmla="*/ 27168 w 107"/>
                              <a:gd name="T49" fmla="*/ 58535233 h 18600"/>
                              <a:gd name="T50" fmla="*/ 932299 w 107"/>
                              <a:gd name="T51" fmla="*/ 64347205 h 18600"/>
                              <a:gd name="T52" fmla="*/ 27168 w 107"/>
                              <a:gd name="T53" fmla="*/ 66838089 h 18600"/>
                              <a:gd name="T54" fmla="*/ 932299 w 107"/>
                              <a:gd name="T55" fmla="*/ 64347205 h 18600"/>
                              <a:gd name="T56" fmla="*/ 488742 w 107"/>
                              <a:gd name="T57" fmla="*/ 73065209 h 18600"/>
                              <a:gd name="T58" fmla="*/ 479781 w 107"/>
                              <a:gd name="T59" fmla="*/ 69744030 h 18600"/>
                              <a:gd name="T60" fmla="*/ 941355 w 107"/>
                              <a:gd name="T61" fmla="*/ 78462034 h 18600"/>
                              <a:gd name="T62" fmla="*/ 36224 w 107"/>
                              <a:gd name="T63" fmla="*/ 75971240 h 18600"/>
                              <a:gd name="T64" fmla="*/ 941355 w 107"/>
                              <a:gd name="T65" fmla="*/ 81783213 h 18600"/>
                              <a:gd name="T66" fmla="*/ 36224 w 107"/>
                              <a:gd name="T67" fmla="*/ 84274097 h 18600"/>
                              <a:gd name="T68" fmla="*/ 941355 w 107"/>
                              <a:gd name="T69" fmla="*/ 81783213 h 18600"/>
                              <a:gd name="T70" fmla="*/ 488742 w 107"/>
                              <a:gd name="T71" fmla="*/ 90501216 h 18600"/>
                              <a:gd name="T72" fmla="*/ 488742 w 107"/>
                              <a:gd name="T73" fmla="*/ 87180037 h 18600"/>
                              <a:gd name="T74" fmla="*/ 950411 w 107"/>
                              <a:gd name="T75" fmla="*/ 95898041 h 18600"/>
                              <a:gd name="T76" fmla="*/ 36224 w 107"/>
                              <a:gd name="T77" fmla="*/ 93407248 h 18600"/>
                              <a:gd name="T78" fmla="*/ 950411 w 107"/>
                              <a:gd name="T79" fmla="*/ 99219220 h 18600"/>
                              <a:gd name="T80" fmla="*/ 45280 w 107"/>
                              <a:gd name="T81" fmla="*/ 101710104 h 18600"/>
                              <a:gd name="T82" fmla="*/ 950411 w 107"/>
                              <a:gd name="T83" fmla="*/ 99219220 h 18600"/>
                              <a:gd name="T84" fmla="*/ 497798 w 107"/>
                              <a:gd name="T85" fmla="*/ 107937224 h 18600"/>
                              <a:gd name="T86" fmla="*/ 497798 w 107"/>
                              <a:gd name="T87" fmla="*/ 104616045 h 18600"/>
                              <a:gd name="T88" fmla="*/ 950411 w 107"/>
                              <a:gd name="T89" fmla="*/ 113334140 h 18600"/>
                              <a:gd name="T90" fmla="*/ 45280 w 107"/>
                              <a:gd name="T91" fmla="*/ 110843255 h 18600"/>
                              <a:gd name="T92" fmla="*/ 950411 w 107"/>
                              <a:gd name="T93" fmla="*/ 116655228 h 18600"/>
                              <a:gd name="T94" fmla="*/ 54336 w 107"/>
                              <a:gd name="T95" fmla="*/ 119146112 h 18600"/>
                              <a:gd name="T96" fmla="*/ 950411 w 107"/>
                              <a:gd name="T97" fmla="*/ 116655228 h 18600"/>
                              <a:gd name="T98" fmla="*/ 506854 w 107"/>
                              <a:gd name="T99" fmla="*/ 125373231 h 18600"/>
                              <a:gd name="T100" fmla="*/ 506854 w 107"/>
                              <a:gd name="T101" fmla="*/ 122052143 h 18600"/>
                              <a:gd name="T102" fmla="*/ 959467 w 107"/>
                              <a:gd name="T103" fmla="*/ 130770147 h 18600"/>
                              <a:gd name="T104" fmla="*/ 54336 w 107"/>
                              <a:gd name="T105" fmla="*/ 128279263 h 18600"/>
                              <a:gd name="T106" fmla="*/ 959467 w 107"/>
                              <a:gd name="T107" fmla="*/ 134091235 h 18600"/>
                              <a:gd name="T108" fmla="*/ 54336 w 107"/>
                              <a:gd name="T109" fmla="*/ 136582119 h 18600"/>
                              <a:gd name="T110" fmla="*/ 959467 w 107"/>
                              <a:gd name="T111" fmla="*/ 134091235 h 18600"/>
                              <a:gd name="T112" fmla="*/ 515910 w 107"/>
                              <a:gd name="T113" fmla="*/ 142809239 h 18600"/>
                              <a:gd name="T114" fmla="*/ 506854 w 107"/>
                              <a:gd name="T115" fmla="*/ 139488151 h 18600"/>
                              <a:gd name="T116" fmla="*/ 968523 w 107"/>
                              <a:gd name="T117" fmla="*/ 148206155 h 18600"/>
                              <a:gd name="T118" fmla="*/ 63393 w 107"/>
                              <a:gd name="T119" fmla="*/ 145715270 h 18600"/>
                              <a:gd name="T120" fmla="*/ 968523 w 107"/>
                              <a:gd name="T121" fmla="*/ 151527242 h 18600"/>
                              <a:gd name="T122" fmla="*/ 63393 w 107"/>
                              <a:gd name="T123" fmla="*/ 154018127 h 18600"/>
                              <a:gd name="T124" fmla="*/ 968523 w 107"/>
                              <a:gd name="T125" fmla="*/ 151527242 h 18600"/>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107" h="18600">
                                <a:moveTo>
                                  <a:pt x="100" y="50"/>
                                </a:moveTo>
                                <a:lnTo>
                                  <a:pt x="101" y="350"/>
                                </a:lnTo>
                                <a:cubicBezTo>
                                  <a:pt x="101" y="378"/>
                                  <a:pt x="78" y="400"/>
                                  <a:pt x="51" y="400"/>
                                </a:cubicBezTo>
                                <a:cubicBezTo>
                                  <a:pt x="23" y="400"/>
                                  <a:pt x="1" y="378"/>
                                  <a:pt x="1" y="350"/>
                                </a:cubicBezTo>
                                <a:lnTo>
                                  <a:pt x="0" y="50"/>
                                </a:lnTo>
                                <a:cubicBezTo>
                                  <a:pt x="0" y="23"/>
                                  <a:pt x="23" y="0"/>
                                  <a:pt x="50" y="0"/>
                                </a:cubicBezTo>
                                <a:cubicBezTo>
                                  <a:pt x="78" y="0"/>
                                  <a:pt x="100" y="23"/>
                                  <a:pt x="100" y="50"/>
                                </a:cubicBezTo>
                                <a:close/>
                                <a:moveTo>
                                  <a:pt x="101" y="750"/>
                                </a:moveTo>
                                <a:lnTo>
                                  <a:pt x="101" y="1050"/>
                                </a:lnTo>
                                <a:cubicBezTo>
                                  <a:pt x="101" y="1078"/>
                                  <a:pt x="78" y="1100"/>
                                  <a:pt x="51" y="1100"/>
                                </a:cubicBezTo>
                                <a:cubicBezTo>
                                  <a:pt x="23" y="1100"/>
                                  <a:pt x="1" y="1078"/>
                                  <a:pt x="1" y="1050"/>
                                </a:cubicBezTo>
                                <a:lnTo>
                                  <a:pt x="1" y="750"/>
                                </a:lnTo>
                                <a:cubicBezTo>
                                  <a:pt x="1" y="723"/>
                                  <a:pt x="23" y="700"/>
                                  <a:pt x="51" y="700"/>
                                </a:cubicBezTo>
                                <a:cubicBezTo>
                                  <a:pt x="78" y="700"/>
                                  <a:pt x="101" y="723"/>
                                  <a:pt x="101" y="750"/>
                                </a:cubicBezTo>
                                <a:close/>
                                <a:moveTo>
                                  <a:pt x="101" y="1450"/>
                                </a:moveTo>
                                <a:lnTo>
                                  <a:pt x="101" y="1750"/>
                                </a:lnTo>
                                <a:cubicBezTo>
                                  <a:pt x="101" y="1778"/>
                                  <a:pt x="79" y="1800"/>
                                  <a:pt x="51" y="1800"/>
                                </a:cubicBezTo>
                                <a:cubicBezTo>
                                  <a:pt x="23" y="1800"/>
                                  <a:pt x="1" y="1778"/>
                                  <a:pt x="1" y="1750"/>
                                </a:cubicBezTo>
                                <a:lnTo>
                                  <a:pt x="1" y="1450"/>
                                </a:lnTo>
                                <a:cubicBezTo>
                                  <a:pt x="1" y="1423"/>
                                  <a:pt x="23" y="1400"/>
                                  <a:pt x="51" y="1400"/>
                                </a:cubicBezTo>
                                <a:cubicBezTo>
                                  <a:pt x="79" y="1400"/>
                                  <a:pt x="101" y="1423"/>
                                  <a:pt x="101" y="1450"/>
                                </a:cubicBezTo>
                                <a:close/>
                                <a:moveTo>
                                  <a:pt x="101" y="2150"/>
                                </a:moveTo>
                                <a:lnTo>
                                  <a:pt x="101" y="2450"/>
                                </a:lnTo>
                                <a:cubicBezTo>
                                  <a:pt x="101" y="2478"/>
                                  <a:pt x="79" y="2500"/>
                                  <a:pt x="51" y="2500"/>
                                </a:cubicBezTo>
                                <a:cubicBezTo>
                                  <a:pt x="24" y="2500"/>
                                  <a:pt x="1" y="2478"/>
                                  <a:pt x="1" y="2450"/>
                                </a:cubicBezTo>
                                <a:lnTo>
                                  <a:pt x="1" y="2150"/>
                                </a:lnTo>
                                <a:cubicBezTo>
                                  <a:pt x="1" y="2123"/>
                                  <a:pt x="24" y="2100"/>
                                  <a:pt x="51" y="2100"/>
                                </a:cubicBezTo>
                                <a:cubicBezTo>
                                  <a:pt x="79" y="2100"/>
                                  <a:pt x="101" y="2123"/>
                                  <a:pt x="101" y="2150"/>
                                </a:cubicBezTo>
                                <a:close/>
                                <a:moveTo>
                                  <a:pt x="101" y="2850"/>
                                </a:moveTo>
                                <a:lnTo>
                                  <a:pt x="102" y="3150"/>
                                </a:lnTo>
                                <a:cubicBezTo>
                                  <a:pt x="102" y="3178"/>
                                  <a:pt x="79" y="3200"/>
                                  <a:pt x="52" y="3200"/>
                                </a:cubicBezTo>
                                <a:cubicBezTo>
                                  <a:pt x="24" y="3200"/>
                                  <a:pt x="2" y="3178"/>
                                  <a:pt x="2" y="3150"/>
                                </a:cubicBezTo>
                                <a:lnTo>
                                  <a:pt x="1" y="2850"/>
                                </a:lnTo>
                                <a:cubicBezTo>
                                  <a:pt x="1" y="2823"/>
                                  <a:pt x="24" y="2800"/>
                                  <a:pt x="51" y="2800"/>
                                </a:cubicBezTo>
                                <a:cubicBezTo>
                                  <a:pt x="79" y="2800"/>
                                  <a:pt x="101" y="2823"/>
                                  <a:pt x="101" y="2850"/>
                                </a:cubicBezTo>
                                <a:close/>
                                <a:moveTo>
                                  <a:pt x="102" y="3550"/>
                                </a:moveTo>
                                <a:lnTo>
                                  <a:pt x="102" y="3850"/>
                                </a:lnTo>
                                <a:cubicBezTo>
                                  <a:pt x="102" y="3878"/>
                                  <a:pt x="79" y="3900"/>
                                  <a:pt x="52" y="3900"/>
                                </a:cubicBezTo>
                                <a:cubicBezTo>
                                  <a:pt x="24" y="3900"/>
                                  <a:pt x="2" y="3878"/>
                                  <a:pt x="2" y="3850"/>
                                </a:cubicBezTo>
                                <a:lnTo>
                                  <a:pt x="2" y="3550"/>
                                </a:lnTo>
                                <a:cubicBezTo>
                                  <a:pt x="2" y="3523"/>
                                  <a:pt x="24" y="3500"/>
                                  <a:pt x="52" y="3500"/>
                                </a:cubicBezTo>
                                <a:cubicBezTo>
                                  <a:pt x="79" y="3500"/>
                                  <a:pt x="102" y="3523"/>
                                  <a:pt x="102" y="3550"/>
                                </a:cubicBezTo>
                                <a:close/>
                                <a:moveTo>
                                  <a:pt x="102" y="4250"/>
                                </a:moveTo>
                                <a:lnTo>
                                  <a:pt x="102" y="4550"/>
                                </a:lnTo>
                                <a:cubicBezTo>
                                  <a:pt x="102" y="4578"/>
                                  <a:pt x="80" y="4600"/>
                                  <a:pt x="52" y="4600"/>
                                </a:cubicBezTo>
                                <a:cubicBezTo>
                                  <a:pt x="24" y="4600"/>
                                  <a:pt x="2" y="4578"/>
                                  <a:pt x="2" y="4550"/>
                                </a:cubicBezTo>
                                <a:lnTo>
                                  <a:pt x="2" y="4250"/>
                                </a:lnTo>
                                <a:cubicBezTo>
                                  <a:pt x="2" y="4223"/>
                                  <a:pt x="24" y="4200"/>
                                  <a:pt x="52" y="4200"/>
                                </a:cubicBezTo>
                                <a:cubicBezTo>
                                  <a:pt x="80" y="4200"/>
                                  <a:pt x="102" y="4223"/>
                                  <a:pt x="102" y="4250"/>
                                </a:cubicBezTo>
                                <a:close/>
                                <a:moveTo>
                                  <a:pt x="102" y="4950"/>
                                </a:moveTo>
                                <a:lnTo>
                                  <a:pt x="102" y="5250"/>
                                </a:lnTo>
                                <a:cubicBezTo>
                                  <a:pt x="102" y="5278"/>
                                  <a:pt x="80" y="5300"/>
                                  <a:pt x="52" y="5300"/>
                                </a:cubicBezTo>
                                <a:cubicBezTo>
                                  <a:pt x="25" y="5300"/>
                                  <a:pt x="2" y="5278"/>
                                  <a:pt x="2" y="5250"/>
                                </a:cubicBezTo>
                                <a:lnTo>
                                  <a:pt x="2" y="4950"/>
                                </a:lnTo>
                                <a:cubicBezTo>
                                  <a:pt x="2" y="4923"/>
                                  <a:pt x="25" y="4900"/>
                                  <a:pt x="52" y="4900"/>
                                </a:cubicBezTo>
                                <a:cubicBezTo>
                                  <a:pt x="80" y="4900"/>
                                  <a:pt x="102" y="4923"/>
                                  <a:pt x="102" y="4950"/>
                                </a:cubicBezTo>
                                <a:close/>
                                <a:moveTo>
                                  <a:pt x="102" y="5650"/>
                                </a:moveTo>
                                <a:lnTo>
                                  <a:pt x="103" y="5950"/>
                                </a:lnTo>
                                <a:cubicBezTo>
                                  <a:pt x="103" y="5978"/>
                                  <a:pt x="80" y="6000"/>
                                  <a:pt x="53" y="6000"/>
                                </a:cubicBezTo>
                                <a:cubicBezTo>
                                  <a:pt x="25" y="6000"/>
                                  <a:pt x="3" y="5978"/>
                                  <a:pt x="3" y="5950"/>
                                </a:cubicBezTo>
                                <a:lnTo>
                                  <a:pt x="2" y="5650"/>
                                </a:lnTo>
                                <a:cubicBezTo>
                                  <a:pt x="2" y="5623"/>
                                  <a:pt x="25" y="5600"/>
                                  <a:pt x="52" y="5600"/>
                                </a:cubicBezTo>
                                <a:cubicBezTo>
                                  <a:pt x="80" y="5600"/>
                                  <a:pt x="102" y="5623"/>
                                  <a:pt x="102" y="5650"/>
                                </a:cubicBezTo>
                                <a:close/>
                                <a:moveTo>
                                  <a:pt x="103" y="6350"/>
                                </a:moveTo>
                                <a:lnTo>
                                  <a:pt x="103" y="6650"/>
                                </a:lnTo>
                                <a:cubicBezTo>
                                  <a:pt x="103" y="6678"/>
                                  <a:pt x="80" y="6700"/>
                                  <a:pt x="53" y="6700"/>
                                </a:cubicBezTo>
                                <a:cubicBezTo>
                                  <a:pt x="25" y="6700"/>
                                  <a:pt x="3" y="6678"/>
                                  <a:pt x="3" y="6650"/>
                                </a:cubicBezTo>
                                <a:lnTo>
                                  <a:pt x="3" y="6350"/>
                                </a:lnTo>
                                <a:cubicBezTo>
                                  <a:pt x="3" y="6323"/>
                                  <a:pt x="25" y="6300"/>
                                  <a:pt x="53" y="6300"/>
                                </a:cubicBezTo>
                                <a:cubicBezTo>
                                  <a:pt x="80" y="6300"/>
                                  <a:pt x="103" y="6323"/>
                                  <a:pt x="103" y="6350"/>
                                </a:cubicBezTo>
                                <a:close/>
                                <a:moveTo>
                                  <a:pt x="103" y="7050"/>
                                </a:moveTo>
                                <a:lnTo>
                                  <a:pt x="103" y="7350"/>
                                </a:lnTo>
                                <a:cubicBezTo>
                                  <a:pt x="103" y="7378"/>
                                  <a:pt x="81" y="7400"/>
                                  <a:pt x="53" y="7400"/>
                                </a:cubicBezTo>
                                <a:cubicBezTo>
                                  <a:pt x="25" y="7400"/>
                                  <a:pt x="3" y="7378"/>
                                  <a:pt x="3" y="7350"/>
                                </a:cubicBezTo>
                                <a:lnTo>
                                  <a:pt x="3" y="7050"/>
                                </a:lnTo>
                                <a:cubicBezTo>
                                  <a:pt x="3" y="7023"/>
                                  <a:pt x="25" y="7000"/>
                                  <a:pt x="53" y="7000"/>
                                </a:cubicBezTo>
                                <a:cubicBezTo>
                                  <a:pt x="81" y="7000"/>
                                  <a:pt x="103" y="7023"/>
                                  <a:pt x="103" y="7050"/>
                                </a:cubicBezTo>
                                <a:close/>
                                <a:moveTo>
                                  <a:pt x="103" y="7750"/>
                                </a:moveTo>
                                <a:lnTo>
                                  <a:pt x="103" y="8050"/>
                                </a:lnTo>
                                <a:cubicBezTo>
                                  <a:pt x="103" y="8078"/>
                                  <a:pt x="81" y="8100"/>
                                  <a:pt x="53" y="8100"/>
                                </a:cubicBezTo>
                                <a:cubicBezTo>
                                  <a:pt x="26" y="8100"/>
                                  <a:pt x="3" y="8078"/>
                                  <a:pt x="3" y="8050"/>
                                </a:cubicBezTo>
                                <a:lnTo>
                                  <a:pt x="3" y="7750"/>
                                </a:lnTo>
                                <a:cubicBezTo>
                                  <a:pt x="3" y="7723"/>
                                  <a:pt x="26" y="7700"/>
                                  <a:pt x="53" y="7700"/>
                                </a:cubicBezTo>
                                <a:cubicBezTo>
                                  <a:pt x="81" y="7700"/>
                                  <a:pt x="103" y="7723"/>
                                  <a:pt x="103" y="7750"/>
                                </a:cubicBezTo>
                                <a:close/>
                                <a:moveTo>
                                  <a:pt x="103" y="8450"/>
                                </a:moveTo>
                                <a:lnTo>
                                  <a:pt x="104" y="8750"/>
                                </a:lnTo>
                                <a:cubicBezTo>
                                  <a:pt x="104" y="8778"/>
                                  <a:pt x="81" y="8800"/>
                                  <a:pt x="54" y="8800"/>
                                </a:cubicBezTo>
                                <a:cubicBezTo>
                                  <a:pt x="26" y="8800"/>
                                  <a:pt x="4" y="8778"/>
                                  <a:pt x="4" y="8750"/>
                                </a:cubicBezTo>
                                <a:lnTo>
                                  <a:pt x="3" y="8450"/>
                                </a:lnTo>
                                <a:cubicBezTo>
                                  <a:pt x="3" y="8423"/>
                                  <a:pt x="26" y="8400"/>
                                  <a:pt x="53" y="8400"/>
                                </a:cubicBezTo>
                                <a:cubicBezTo>
                                  <a:pt x="81" y="8400"/>
                                  <a:pt x="103" y="8423"/>
                                  <a:pt x="103" y="8450"/>
                                </a:cubicBezTo>
                                <a:close/>
                                <a:moveTo>
                                  <a:pt x="104" y="9150"/>
                                </a:moveTo>
                                <a:lnTo>
                                  <a:pt x="104" y="9450"/>
                                </a:lnTo>
                                <a:cubicBezTo>
                                  <a:pt x="104" y="9478"/>
                                  <a:pt x="81" y="9500"/>
                                  <a:pt x="54" y="9500"/>
                                </a:cubicBezTo>
                                <a:cubicBezTo>
                                  <a:pt x="26" y="9500"/>
                                  <a:pt x="4" y="9478"/>
                                  <a:pt x="4" y="9450"/>
                                </a:cubicBezTo>
                                <a:lnTo>
                                  <a:pt x="4" y="9150"/>
                                </a:lnTo>
                                <a:cubicBezTo>
                                  <a:pt x="4" y="9123"/>
                                  <a:pt x="26" y="9100"/>
                                  <a:pt x="54" y="9100"/>
                                </a:cubicBezTo>
                                <a:cubicBezTo>
                                  <a:pt x="81" y="9100"/>
                                  <a:pt x="104" y="9123"/>
                                  <a:pt x="104" y="9150"/>
                                </a:cubicBezTo>
                                <a:close/>
                                <a:moveTo>
                                  <a:pt x="104" y="9850"/>
                                </a:moveTo>
                                <a:lnTo>
                                  <a:pt x="104" y="10150"/>
                                </a:lnTo>
                                <a:cubicBezTo>
                                  <a:pt x="104" y="10178"/>
                                  <a:pt x="82" y="10200"/>
                                  <a:pt x="54" y="10200"/>
                                </a:cubicBezTo>
                                <a:cubicBezTo>
                                  <a:pt x="26" y="10200"/>
                                  <a:pt x="4" y="10178"/>
                                  <a:pt x="4" y="10150"/>
                                </a:cubicBezTo>
                                <a:lnTo>
                                  <a:pt x="4" y="9850"/>
                                </a:lnTo>
                                <a:cubicBezTo>
                                  <a:pt x="4" y="9823"/>
                                  <a:pt x="26" y="9800"/>
                                  <a:pt x="54" y="9800"/>
                                </a:cubicBezTo>
                                <a:cubicBezTo>
                                  <a:pt x="82" y="9800"/>
                                  <a:pt x="104" y="9823"/>
                                  <a:pt x="104" y="9850"/>
                                </a:cubicBezTo>
                                <a:close/>
                                <a:moveTo>
                                  <a:pt x="104" y="10550"/>
                                </a:moveTo>
                                <a:lnTo>
                                  <a:pt x="104" y="10850"/>
                                </a:lnTo>
                                <a:cubicBezTo>
                                  <a:pt x="104" y="10878"/>
                                  <a:pt x="82" y="10900"/>
                                  <a:pt x="54" y="10900"/>
                                </a:cubicBezTo>
                                <a:cubicBezTo>
                                  <a:pt x="27" y="10900"/>
                                  <a:pt x="4" y="10878"/>
                                  <a:pt x="4" y="10850"/>
                                </a:cubicBezTo>
                                <a:lnTo>
                                  <a:pt x="4" y="10550"/>
                                </a:lnTo>
                                <a:cubicBezTo>
                                  <a:pt x="4" y="10523"/>
                                  <a:pt x="27" y="10500"/>
                                  <a:pt x="54" y="10500"/>
                                </a:cubicBezTo>
                                <a:cubicBezTo>
                                  <a:pt x="82" y="10500"/>
                                  <a:pt x="104" y="10523"/>
                                  <a:pt x="104" y="10550"/>
                                </a:cubicBezTo>
                                <a:close/>
                                <a:moveTo>
                                  <a:pt x="104" y="11250"/>
                                </a:moveTo>
                                <a:lnTo>
                                  <a:pt x="105" y="11550"/>
                                </a:lnTo>
                                <a:cubicBezTo>
                                  <a:pt x="105" y="11578"/>
                                  <a:pt x="82" y="11600"/>
                                  <a:pt x="55" y="11600"/>
                                </a:cubicBezTo>
                                <a:cubicBezTo>
                                  <a:pt x="27" y="11600"/>
                                  <a:pt x="5" y="11578"/>
                                  <a:pt x="5" y="11550"/>
                                </a:cubicBezTo>
                                <a:lnTo>
                                  <a:pt x="4" y="11250"/>
                                </a:lnTo>
                                <a:cubicBezTo>
                                  <a:pt x="4" y="11223"/>
                                  <a:pt x="27" y="11200"/>
                                  <a:pt x="54" y="11200"/>
                                </a:cubicBezTo>
                                <a:cubicBezTo>
                                  <a:pt x="82" y="11200"/>
                                  <a:pt x="104" y="11223"/>
                                  <a:pt x="104" y="11250"/>
                                </a:cubicBezTo>
                                <a:close/>
                                <a:moveTo>
                                  <a:pt x="105" y="11950"/>
                                </a:moveTo>
                                <a:lnTo>
                                  <a:pt x="105" y="12250"/>
                                </a:lnTo>
                                <a:cubicBezTo>
                                  <a:pt x="105" y="12278"/>
                                  <a:pt x="82" y="12300"/>
                                  <a:pt x="55" y="12300"/>
                                </a:cubicBezTo>
                                <a:cubicBezTo>
                                  <a:pt x="27" y="12300"/>
                                  <a:pt x="5" y="12278"/>
                                  <a:pt x="5" y="12250"/>
                                </a:cubicBezTo>
                                <a:lnTo>
                                  <a:pt x="5" y="11950"/>
                                </a:lnTo>
                                <a:cubicBezTo>
                                  <a:pt x="5" y="11923"/>
                                  <a:pt x="27" y="11900"/>
                                  <a:pt x="55" y="11900"/>
                                </a:cubicBezTo>
                                <a:cubicBezTo>
                                  <a:pt x="82" y="11900"/>
                                  <a:pt x="105" y="11923"/>
                                  <a:pt x="105" y="11950"/>
                                </a:cubicBezTo>
                                <a:close/>
                                <a:moveTo>
                                  <a:pt x="105" y="12650"/>
                                </a:moveTo>
                                <a:lnTo>
                                  <a:pt x="105" y="12950"/>
                                </a:lnTo>
                                <a:cubicBezTo>
                                  <a:pt x="105" y="12978"/>
                                  <a:pt x="83" y="13000"/>
                                  <a:pt x="55" y="13000"/>
                                </a:cubicBezTo>
                                <a:cubicBezTo>
                                  <a:pt x="27" y="13000"/>
                                  <a:pt x="5" y="12978"/>
                                  <a:pt x="5" y="12950"/>
                                </a:cubicBezTo>
                                <a:lnTo>
                                  <a:pt x="5" y="12650"/>
                                </a:lnTo>
                                <a:cubicBezTo>
                                  <a:pt x="5" y="12623"/>
                                  <a:pt x="27" y="12600"/>
                                  <a:pt x="55" y="12600"/>
                                </a:cubicBezTo>
                                <a:cubicBezTo>
                                  <a:pt x="83" y="12600"/>
                                  <a:pt x="105" y="12623"/>
                                  <a:pt x="105" y="12650"/>
                                </a:cubicBezTo>
                                <a:close/>
                                <a:moveTo>
                                  <a:pt x="105" y="13350"/>
                                </a:moveTo>
                                <a:lnTo>
                                  <a:pt x="105" y="13650"/>
                                </a:lnTo>
                                <a:cubicBezTo>
                                  <a:pt x="105" y="13678"/>
                                  <a:pt x="83" y="13700"/>
                                  <a:pt x="55" y="13700"/>
                                </a:cubicBezTo>
                                <a:cubicBezTo>
                                  <a:pt x="28" y="13700"/>
                                  <a:pt x="5" y="13678"/>
                                  <a:pt x="5" y="13650"/>
                                </a:cubicBezTo>
                                <a:lnTo>
                                  <a:pt x="5" y="13350"/>
                                </a:lnTo>
                                <a:cubicBezTo>
                                  <a:pt x="5" y="13323"/>
                                  <a:pt x="28" y="13300"/>
                                  <a:pt x="55" y="13300"/>
                                </a:cubicBezTo>
                                <a:cubicBezTo>
                                  <a:pt x="83" y="13300"/>
                                  <a:pt x="105" y="13323"/>
                                  <a:pt x="105" y="13350"/>
                                </a:cubicBezTo>
                                <a:close/>
                                <a:moveTo>
                                  <a:pt x="105" y="14050"/>
                                </a:moveTo>
                                <a:lnTo>
                                  <a:pt x="106" y="14350"/>
                                </a:lnTo>
                                <a:cubicBezTo>
                                  <a:pt x="106" y="14378"/>
                                  <a:pt x="83" y="14400"/>
                                  <a:pt x="56" y="14400"/>
                                </a:cubicBezTo>
                                <a:cubicBezTo>
                                  <a:pt x="28" y="14400"/>
                                  <a:pt x="6" y="14378"/>
                                  <a:pt x="6" y="14350"/>
                                </a:cubicBezTo>
                                <a:lnTo>
                                  <a:pt x="5" y="14050"/>
                                </a:lnTo>
                                <a:cubicBezTo>
                                  <a:pt x="5" y="14023"/>
                                  <a:pt x="28" y="14000"/>
                                  <a:pt x="55" y="14000"/>
                                </a:cubicBezTo>
                                <a:cubicBezTo>
                                  <a:pt x="83" y="14000"/>
                                  <a:pt x="105" y="14023"/>
                                  <a:pt x="105" y="14050"/>
                                </a:cubicBezTo>
                                <a:close/>
                                <a:moveTo>
                                  <a:pt x="106" y="14750"/>
                                </a:moveTo>
                                <a:lnTo>
                                  <a:pt x="106" y="15050"/>
                                </a:lnTo>
                                <a:cubicBezTo>
                                  <a:pt x="106" y="15078"/>
                                  <a:pt x="83" y="15100"/>
                                  <a:pt x="56" y="15100"/>
                                </a:cubicBezTo>
                                <a:cubicBezTo>
                                  <a:pt x="28" y="15100"/>
                                  <a:pt x="6" y="15078"/>
                                  <a:pt x="6" y="15050"/>
                                </a:cubicBezTo>
                                <a:lnTo>
                                  <a:pt x="6" y="14750"/>
                                </a:lnTo>
                                <a:cubicBezTo>
                                  <a:pt x="6" y="14723"/>
                                  <a:pt x="28" y="14700"/>
                                  <a:pt x="56" y="14700"/>
                                </a:cubicBezTo>
                                <a:cubicBezTo>
                                  <a:pt x="83" y="14700"/>
                                  <a:pt x="106" y="14723"/>
                                  <a:pt x="106" y="14750"/>
                                </a:cubicBezTo>
                                <a:close/>
                                <a:moveTo>
                                  <a:pt x="106" y="15450"/>
                                </a:moveTo>
                                <a:lnTo>
                                  <a:pt x="106" y="15750"/>
                                </a:lnTo>
                                <a:cubicBezTo>
                                  <a:pt x="106" y="15778"/>
                                  <a:pt x="84" y="15800"/>
                                  <a:pt x="56" y="15800"/>
                                </a:cubicBezTo>
                                <a:cubicBezTo>
                                  <a:pt x="28" y="15800"/>
                                  <a:pt x="6" y="15778"/>
                                  <a:pt x="6" y="15750"/>
                                </a:cubicBezTo>
                                <a:lnTo>
                                  <a:pt x="6" y="15450"/>
                                </a:lnTo>
                                <a:cubicBezTo>
                                  <a:pt x="6" y="15423"/>
                                  <a:pt x="28" y="15400"/>
                                  <a:pt x="56" y="15400"/>
                                </a:cubicBezTo>
                                <a:cubicBezTo>
                                  <a:pt x="84" y="15400"/>
                                  <a:pt x="106" y="15423"/>
                                  <a:pt x="106" y="15450"/>
                                </a:cubicBezTo>
                                <a:close/>
                                <a:moveTo>
                                  <a:pt x="106" y="16150"/>
                                </a:moveTo>
                                <a:lnTo>
                                  <a:pt x="106" y="16450"/>
                                </a:lnTo>
                                <a:cubicBezTo>
                                  <a:pt x="106" y="16478"/>
                                  <a:pt x="84" y="16500"/>
                                  <a:pt x="56" y="16500"/>
                                </a:cubicBezTo>
                                <a:cubicBezTo>
                                  <a:pt x="29" y="16500"/>
                                  <a:pt x="6" y="16478"/>
                                  <a:pt x="6" y="16450"/>
                                </a:cubicBezTo>
                                <a:lnTo>
                                  <a:pt x="6" y="16150"/>
                                </a:lnTo>
                                <a:cubicBezTo>
                                  <a:pt x="6" y="16123"/>
                                  <a:pt x="29" y="16100"/>
                                  <a:pt x="56" y="16100"/>
                                </a:cubicBezTo>
                                <a:cubicBezTo>
                                  <a:pt x="84" y="16100"/>
                                  <a:pt x="106" y="16123"/>
                                  <a:pt x="106" y="16150"/>
                                </a:cubicBezTo>
                                <a:close/>
                                <a:moveTo>
                                  <a:pt x="106" y="16850"/>
                                </a:moveTo>
                                <a:lnTo>
                                  <a:pt x="107" y="17150"/>
                                </a:lnTo>
                                <a:cubicBezTo>
                                  <a:pt x="107" y="17178"/>
                                  <a:pt x="84" y="17200"/>
                                  <a:pt x="57" y="17200"/>
                                </a:cubicBezTo>
                                <a:cubicBezTo>
                                  <a:pt x="29" y="17200"/>
                                  <a:pt x="7" y="17178"/>
                                  <a:pt x="7" y="17150"/>
                                </a:cubicBezTo>
                                <a:lnTo>
                                  <a:pt x="6" y="16850"/>
                                </a:lnTo>
                                <a:cubicBezTo>
                                  <a:pt x="6" y="16823"/>
                                  <a:pt x="29" y="16800"/>
                                  <a:pt x="56" y="16800"/>
                                </a:cubicBezTo>
                                <a:cubicBezTo>
                                  <a:pt x="84" y="16800"/>
                                  <a:pt x="106" y="16823"/>
                                  <a:pt x="106" y="16850"/>
                                </a:cubicBezTo>
                                <a:close/>
                                <a:moveTo>
                                  <a:pt x="107" y="17550"/>
                                </a:moveTo>
                                <a:lnTo>
                                  <a:pt x="107" y="17850"/>
                                </a:lnTo>
                                <a:cubicBezTo>
                                  <a:pt x="107" y="17878"/>
                                  <a:pt x="84" y="17900"/>
                                  <a:pt x="57" y="17900"/>
                                </a:cubicBezTo>
                                <a:cubicBezTo>
                                  <a:pt x="29" y="17900"/>
                                  <a:pt x="7" y="17878"/>
                                  <a:pt x="7" y="17850"/>
                                </a:cubicBezTo>
                                <a:lnTo>
                                  <a:pt x="7" y="17550"/>
                                </a:lnTo>
                                <a:cubicBezTo>
                                  <a:pt x="7" y="17523"/>
                                  <a:pt x="29" y="17500"/>
                                  <a:pt x="57" y="17500"/>
                                </a:cubicBezTo>
                                <a:cubicBezTo>
                                  <a:pt x="84" y="17500"/>
                                  <a:pt x="107" y="17523"/>
                                  <a:pt x="107" y="17550"/>
                                </a:cubicBezTo>
                                <a:close/>
                                <a:moveTo>
                                  <a:pt x="107" y="18250"/>
                                </a:moveTo>
                                <a:lnTo>
                                  <a:pt x="107" y="18550"/>
                                </a:lnTo>
                                <a:cubicBezTo>
                                  <a:pt x="107" y="18578"/>
                                  <a:pt x="85" y="18600"/>
                                  <a:pt x="57" y="18600"/>
                                </a:cubicBezTo>
                                <a:cubicBezTo>
                                  <a:pt x="29" y="18600"/>
                                  <a:pt x="7" y="18578"/>
                                  <a:pt x="7" y="18550"/>
                                </a:cubicBezTo>
                                <a:lnTo>
                                  <a:pt x="7" y="18250"/>
                                </a:lnTo>
                                <a:cubicBezTo>
                                  <a:pt x="7" y="18223"/>
                                  <a:pt x="29" y="18200"/>
                                  <a:pt x="57" y="18200"/>
                                </a:cubicBezTo>
                                <a:cubicBezTo>
                                  <a:pt x="85" y="18200"/>
                                  <a:pt x="107" y="18223"/>
                                  <a:pt x="107" y="18250"/>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5" name="Freeform 70"/>
                        <wps:cNvSpPr>
                          <a:spLocks noEditPoints="1"/>
                        </wps:cNvSpPr>
                        <wps:spPr bwMode="auto">
                          <a:xfrm>
                            <a:off x="4157937" y="222207"/>
                            <a:ext cx="10200" cy="1694851"/>
                          </a:xfrm>
                          <a:custGeom>
                            <a:avLst/>
                            <a:gdLst>
                              <a:gd name="T0" fmla="*/ 924044 w 54"/>
                              <a:gd name="T1" fmla="*/ 6642358 h 9300"/>
                              <a:gd name="T2" fmla="*/ 888533 w 54"/>
                              <a:gd name="T3" fmla="*/ 0 h 9300"/>
                              <a:gd name="T4" fmla="*/ 1812578 w 54"/>
                              <a:gd name="T5" fmla="*/ 17436007 h 9300"/>
                              <a:gd name="T6" fmla="*/ 35511 w 54"/>
                              <a:gd name="T7" fmla="*/ 12454239 h 9300"/>
                              <a:gd name="T8" fmla="*/ 1812578 w 54"/>
                              <a:gd name="T9" fmla="*/ 24078365 h 9300"/>
                              <a:gd name="T10" fmla="*/ 35511 w 54"/>
                              <a:gd name="T11" fmla="*/ 29059952 h 9300"/>
                              <a:gd name="T12" fmla="*/ 1812578 w 54"/>
                              <a:gd name="T13" fmla="*/ 24078365 h 9300"/>
                              <a:gd name="T14" fmla="*/ 924044 w 54"/>
                              <a:gd name="T15" fmla="*/ 41514373 h 9300"/>
                              <a:gd name="T16" fmla="*/ 924044 w 54"/>
                              <a:gd name="T17" fmla="*/ 34872015 h 9300"/>
                              <a:gd name="T18" fmla="*/ 1812578 w 54"/>
                              <a:gd name="T19" fmla="*/ 52308022 h 9300"/>
                              <a:gd name="T20" fmla="*/ 35511 w 54"/>
                              <a:gd name="T21" fmla="*/ 47326254 h 9300"/>
                              <a:gd name="T22" fmla="*/ 1812578 w 54"/>
                              <a:gd name="T23" fmla="*/ 58950380 h 9300"/>
                              <a:gd name="T24" fmla="*/ 35511 w 54"/>
                              <a:gd name="T25" fmla="*/ 63931967 h 9300"/>
                              <a:gd name="T26" fmla="*/ 1812578 w 54"/>
                              <a:gd name="T27" fmla="*/ 58950380 h 9300"/>
                              <a:gd name="T28" fmla="*/ 924044 w 54"/>
                              <a:gd name="T29" fmla="*/ 76386388 h 9300"/>
                              <a:gd name="T30" fmla="*/ 924044 w 54"/>
                              <a:gd name="T31" fmla="*/ 69744030 h 9300"/>
                              <a:gd name="T32" fmla="*/ 1812578 w 54"/>
                              <a:gd name="T33" fmla="*/ 87180037 h 9300"/>
                              <a:gd name="T34" fmla="*/ 35511 w 54"/>
                              <a:gd name="T35" fmla="*/ 82198269 h 9300"/>
                              <a:gd name="T36" fmla="*/ 1812578 w 54"/>
                              <a:gd name="T37" fmla="*/ 93822395 h 9300"/>
                              <a:gd name="T38" fmla="*/ 71022 w 54"/>
                              <a:gd name="T39" fmla="*/ 98804164 h 9300"/>
                              <a:gd name="T40" fmla="*/ 1812578 w 54"/>
                              <a:gd name="T41" fmla="*/ 93822395 h 9300"/>
                              <a:gd name="T42" fmla="*/ 959556 w 54"/>
                              <a:gd name="T43" fmla="*/ 111258403 h 9300"/>
                              <a:gd name="T44" fmla="*/ 959556 w 54"/>
                              <a:gd name="T45" fmla="*/ 104616045 h 9300"/>
                              <a:gd name="T46" fmla="*/ 1848089 w 54"/>
                              <a:gd name="T47" fmla="*/ 122052052 h 9300"/>
                              <a:gd name="T48" fmla="*/ 71022 w 54"/>
                              <a:gd name="T49" fmla="*/ 117070466 h 9300"/>
                              <a:gd name="T50" fmla="*/ 1848089 w 54"/>
                              <a:gd name="T51" fmla="*/ 128694410 h 9300"/>
                              <a:gd name="T52" fmla="*/ 71022 w 54"/>
                              <a:gd name="T53" fmla="*/ 133676179 h 9300"/>
                              <a:gd name="T54" fmla="*/ 1848089 w 54"/>
                              <a:gd name="T55" fmla="*/ 128694410 h 9300"/>
                              <a:gd name="T56" fmla="*/ 959556 w 54"/>
                              <a:gd name="T57" fmla="*/ 146130418 h 9300"/>
                              <a:gd name="T58" fmla="*/ 959556 w 54"/>
                              <a:gd name="T59" fmla="*/ 139488060 h 9300"/>
                              <a:gd name="T60" fmla="*/ 1848089 w 54"/>
                              <a:gd name="T61" fmla="*/ 156924067 h 9300"/>
                              <a:gd name="T62" fmla="*/ 71022 w 54"/>
                              <a:gd name="T63" fmla="*/ 151942481 h 9300"/>
                              <a:gd name="T64" fmla="*/ 1848089 w 54"/>
                              <a:gd name="T65" fmla="*/ 163566425 h 9300"/>
                              <a:gd name="T66" fmla="*/ 71022 w 54"/>
                              <a:gd name="T67" fmla="*/ 168548194 h 9300"/>
                              <a:gd name="T68" fmla="*/ 1848089 w 54"/>
                              <a:gd name="T69" fmla="*/ 163566425 h 9300"/>
                              <a:gd name="T70" fmla="*/ 959556 w 54"/>
                              <a:gd name="T71" fmla="*/ 181002433 h 9300"/>
                              <a:gd name="T72" fmla="*/ 959556 w 54"/>
                              <a:gd name="T73" fmla="*/ 174360075 h 9300"/>
                              <a:gd name="T74" fmla="*/ 1848089 w 54"/>
                              <a:gd name="T75" fmla="*/ 191796082 h 9300"/>
                              <a:gd name="T76" fmla="*/ 71022 w 54"/>
                              <a:gd name="T77" fmla="*/ 186814496 h 9300"/>
                              <a:gd name="T78" fmla="*/ 1883600 w 54"/>
                              <a:gd name="T79" fmla="*/ 198438440 h 9300"/>
                              <a:gd name="T80" fmla="*/ 106533 w 54"/>
                              <a:gd name="T81" fmla="*/ 203420209 h 9300"/>
                              <a:gd name="T82" fmla="*/ 1883600 w 54"/>
                              <a:gd name="T83" fmla="*/ 198438440 h 9300"/>
                              <a:gd name="T84" fmla="*/ 995067 w 54"/>
                              <a:gd name="T85" fmla="*/ 215874448 h 9300"/>
                              <a:gd name="T86" fmla="*/ 995067 w 54"/>
                              <a:gd name="T87" fmla="*/ 209232090 h 9300"/>
                              <a:gd name="T88" fmla="*/ 1883600 w 54"/>
                              <a:gd name="T89" fmla="*/ 226668279 h 9300"/>
                              <a:gd name="T90" fmla="*/ 106533 w 54"/>
                              <a:gd name="T91" fmla="*/ 221686511 h 9300"/>
                              <a:gd name="T92" fmla="*/ 1883600 w 54"/>
                              <a:gd name="T93" fmla="*/ 233310455 h 9300"/>
                              <a:gd name="T94" fmla="*/ 106533 w 54"/>
                              <a:gd name="T95" fmla="*/ 238292224 h 9300"/>
                              <a:gd name="T96" fmla="*/ 1883600 w 54"/>
                              <a:gd name="T97" fmla="*/ 233310455 h 9300"/>
                              <a:gd name="T98" fmla="*/ 995067 w 54"/>
                              <a:gd name="T99" fmla="*/ 250746462 h 9300"/>
                              <a:gd name="T100" fmla="*/ 995067 w 54"/>
                              <a:gd name="T101" fmla="*/ 244104287 h 9300"/>
                              <a:gd name="T102" fmla="*/ 1883600 w 54"/>
                              <a:gd name="T103" fmla="*/ 261540294 h 9300"/>
                              <a:gd name="T104" fmla="*/ 106533 w 54"/>
                              <a:gd name="T105" fmla="*/ 256558526 h 9300"/>
                              <a:gd name="T106" fmla="*/ 1883600 w 54"/>
                              <a:gd name="T107" fmla="*/ 268182470 h 9300"/>
                              <a:gd name="T108" fmla="*/ 106533 w 54"/>
                              <a:gd name="T109" fmla="*/ 273164238 h 9300"/>
                              <a:gd name="T110" fmla="*/ 1883600 w 54"/>
                              <a:gd name="T111" fmla="*/ 268182470 h 9300"/>
                              <a:gd name="T112" fmla="*/ 1030578 w 54"/>
                              <a:gd name="T113" fmla="*/ 285618477 h 9300"/>
                              <a:gd name="T114" fmla="*/ 995067 w 54"/>
                              <a:gd name="T115" fmla="*/ 278976302 h 9300"/>
                              <a:gd name="T116" fmla="*/ 1919111 w 54"/>
                              <a:gd name="T117" fmla="*/ 296412309 h 9300"/>
                              <a:gd name="T118" fmla="*/ 142233 w 54"/>
                              <a:gd name="T119" fmla="*/ 291430541 h 9300"/>
                              <a:gd name="T120" fmla="*/ 1919111 w 54"/>
                              <a:gd name="T121" fmla="*/ 303054485 h 9300"/>
                              <a:gd name="T122" fmla="*/ 142233 w 54"/>
                              <a:gd name="T123" fmla="*/ 308036253 h 9300"/>
                              <a:gd name="T124" fmla="*/ 1919111 w 54"/>
                              <a:gd name="T125" fmla="*/ 303054485 h 9300"/>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54" h="9300">
                                <a:moveTo>
                                  <a:pt x="50" y="25"/>
                                </a:moveTo>
                                <a:lnTo>
                                  <a:pt x="51" y="175"/>
                                </a:lnTo>
                                <a:cubicBezTo>
                                  <a:pt x="51" y="189"/>
                                  <a:pt x="39" y="200"/>
                                  <a:pt x="26" y="200"/>
                                </a:cubicBezTo>
                                <a:cubicBezTo>
                                  <a:pt x="12" y="200"/>
                                  <a:pt x="1" y="189"/>
                                  <a:pt x="1" y="175"/>
                                </a:cubicBezTo>
                                <a:lnTo>
                                  <a:pt x="0" y="25"/>
                                </a:lnTo>
                                <a:cubicBezTo>
                                  <a:pt x="0" y="12"/>
                                  <a:pt x="12" y="0"/>
                                  <a:pt x="25" y="0"/>
                                </a:cubicBezTo>
                                <a:cubicBezTo>
                                  <a:pt x="39" y="0"/>
                                  <a:pt x="50" y="12"/>
                                  <a:pt x="50" y="25"/>
                                </a:cubicBezTo>
                                <a:close/>
                                <a:moveTo>
                                  <a:pt x="51" y="375"/>
                                </a:moveTo>
                                <a:lnTo>
                                  <a:pt x="51" y="525"/>
                                </a:lnTo>
                                <a:cubicBezTo>
                                  <a:pt x="51" y="539"/>
                                  <a:pt x="39" y="550"/>
                                  <a:pt x="26" y="550"/>
                                </a:cubicBezTo>
                                <a:cubicBezTo>
                                  <a:pt x="12" y="550"/>
                                  <a:pt x="1" y="539"/>
                                  <a:pt x="1" y="525"/>
                                </a:cubicBezTo>
                                <a:lnTo>
                                  <a:pt x="1" y="375"/>
                                </a:lnTo>
                                <a:cubicBezTo>
                                  <a:pt x="1" y="362"/>
                                  <a:pt x="12" y="350"/>
                                  <a:pt x="26" y="350"/>
                                </a:cubicBezTo>
                                <a:cubicBezTo>
                                  <a:pt x="39" y="350"/>
                                  <a:pt x="51" y="362"/>
                                  <a:pt x="51" y="375"/>
                                </a:cubicBezTo>
                                <a:close/>
                                <a:moveTo>
                                  <a:pt x="51" y="725"/>
                                </a:moveTo>
                                <a:lnTo>
                                  <a:pt x="51" y="875"/>
                                </a:lnTo>
                                <a:cubicBezTo>
                                  <a:pt x="51" y="889"/>
                                  <a:pt x="40" y="900"/>
                                  <a:pt x="26" y="900"/>
                                </a:cubicBezTo>
                                <a:cubicBezTo>
                                  <a:pt x="12" y="900"/>
                                  <a:pt x="1" y="889"/>
                                  <a:pt x="1" y="875"/>
                                </a:cubicBezTo>
                                <a:lnTo>
                                  <a:pt x="1" y="725"/>
                                </a:lnTo>
                                <a:cubicBezTo>
                                  <a:pt x="1" y="712"/>
                                  <a:pt x="12" y="700"/>
                                  <a:pt x="26" y="700"/>
                                </a:cubicBezTo>
                                <a:cubicBezTo>
                                  <a:pt x="40" y="700"/>
                                  <a:pt x="51" y="712"/>
                                  <a:pt x="51" y="725"/>
                                </a:cubicBezTo>
                                <a:close/>
                                <a:moveTo>
                                  <a:pt x="51" y="1075"/>
                                </a:moveTo>
                                <a:lnTo>
                                  <a:pt x="51" y="1225"/>
                                </a:lnTo>
                                <a:cubicBezTo>
                                  <a:pt x="51" y="1239"/>
                                  <a:pt x="40" y="1250"/>
                                  <a:pt x="26" y="1250"/>
                                </a:cubicBezTo>
                                <a:cubicBezTo>
                                  <a:pt x="12" y="1250"/>
                                  <a:pt x="1" y="1239"/>
                                  <a:pt x="1" y="1225"/>
                                </a:cubicBezTo>
                                <a:lnTo>
                                  <a:pt x="1" y="1075"/>
                                </a:lnTo>
                                <a:cubicBezTo>
                                  <a:pt x="1" y="1062"/>
                                  <a:pt x="12" y="1050"/>
                                  <a:pt x="26" y="1050"/>
                                </a:cubicBezTo>
                                <a:cubicBezTo>
                                  <a:pt x="40" y="1050"/>
                                  <a:pt x="51" y="1062"/>
                                  <a:pt x="51" y="1075"/>
                                </a:cubicBezTo>
                                <a:close/>
                                <a:moveTo>
                                  <a:pt x="51" y="1425"/>
                                </a:moveTo>
                                <a:lnTo>
                                  <a:pt x="51" y="1575"/>
                                </a:lnTo>
                                <a:cubicBezTo>
                                  <a:pt x="51" y="1589"/>
                                  <a:pt x="40" y="1600"/>
                                  <a:pt x="26" y="1600"/>
                                </a:cubicBezTo>
                                <a:cubicBezTo>
                                  <a:pt x="12" y="1600"/>
                                  <a:pt x="1" y="1589"/>
                                  <a:pt x="1" y="1575"/>
                                </a:cubicBezTo>
                                <a:lnTo>
                                  <a:pt x="1" y="1425"/>
                                </a:lnTo>
                                <a:cubicBezTo>
                                  <a:pt x="1" y="1412"/>
                                  <a:pt x="12" y="1400"/>
                                  <a:pt x="26" y="1400"/>
                                </a:cubicBezTo>
                                <a:cubicBezTo>
                                  <a:pt x="40" y="1400"/>
                                  <a:pt x="51" y="1412"/>
                                  <a:pt x="51" y="1425"/>
                                </a:cubicBezTo>
                                <a:close/>
                                <a:moveTo>
                                  <a:pt x="51" y="1775"/>
                                </a:moveTo>
                                <a:lnTo>
                                  <a:pt x="51" y="1925"/>
                                </a:lnTo>
                                <a:cubicBezTo>
                                  <a:pt x="51" y="1939"/>
                                  <a:pt x="40" y="1950"/>
                                  <a:pt x="26" y="1950"/>
                                </a:cubicBezTo>
                                <a:cubicBezTo>
                                  <a:pt x="12" y="1950"/>
                                  <a:pt x="1" y="1939"/>
                                  <a:pt x="1" y="1925"/>
                                </a:cubicBezTo>
                                <a:lnTo>
                                  <a:pt x="1" y="1775"/>
                                </a:lnTo>
                                <a:cubicBezTo>
                                  <a:pt x="1" y="1762"/>
                                  <a:pt x="12" y="1750"/>
                                  <a:pt x="26" y="1750"/>
                                </a:cubicBezTo>
                                <a:cubicBezTo>
                                  <a:pt x="40" y="1750"/>
                                  <a:pt x="51" y="1762"/>
                                  <a:pt x="51" y="1775"/>
                                </a:cubicBezTo>
                                <a:close/>
                                <a:moveTo>
                                  <a:pt x="51" y="2125"/>
                                </a:moveTo>
                                <a:lnTo>
                                  <a:pt x="51" y="2275"/>
                                </a:lnTo>
                                <a:cubicBezTo>
                                  <a:pt x="51" y="2289"/>
                                  <a:pt x="40" y="2300"/>
                                  <a:pt x="26" y="2300"/>
                                </a:cubicBezTo>
                                <a:cubicBezTo>
                                  <a:pt x="12" y="2300"/>
                                  <a:pt x="1" y="2289"/>
                                  <a:pt x="1" y="2275"/>
                                </a:cubicBezTo>
                                <a:lnTo>
                                  <a:pt x="1" y="2125"/>
                                </a:lnTo>
                                <a:cubicBezTo>
                                  <a:pt x="1" y="2112"/>
                                  <a:pt x="12" y="2100"/>
                                  <a:pt x="26" y="2100"/>
                                </a:cubicBezTo>
                                <a:cubicBezTo>
                                  <a:pt x="40" y="2100"/>
                                  <a:pt x="51" y="2112"/>
                                  <a:pt x="51" y="2125"/>
                                </a:cubicBezTo>
                                <a:close/>
                                <a:moveTo>
                                  <a:pt x="51" y="2475"/>
                                </a:moveTo>
                                <a:lnTo>
                                  <a:pt x="51" y="2625"/>
                                </a:lnTo>
                                <a:cubicBezTo>
                                  <a:pt x="51" y="2639"/>
                                  <a:pt x="40" y="2650"/>
                                  <a:pt x="26" y="2650"/>
                                </a:cubicBezTo>
                                <a:cubicBezTo>
                                  <a:pt x="13" y="2650"/>
                                  <a:pt x="1" y="2639"/>
                                  <a:pt x="1" y="2625"/>
                                </a:cubicBezTo>
                                <a:lnTo>
                                  <a:pt x="1" y="2475"/>
                                </a:lnTo>
                                <a:cubicBezTo>
                                  <a:pt x="1" y="2462"/>
                                  <a:pt x="13" y="2450"/>
                                  <a:pt x="26" y="2450"/>
                                </a:cubicBezTo>
                                <a:cubicBezTo>
                                  <a:pt x="40" y="2450"/>
                                  <a:pt x="51" y="2462"/>
                                  <a:pt x="51" y="2475"/>
                                </a:cubicBezTo>
                                <a:close/>
                                <a:moveTo>
                                  <a:pt x="51" y="2825"/>
                                </a:moveTo>
                                <a:lnTo>
                                  <a:pt x="52" y="2975"/>
                                </a:lnTo>
                                <a:cubicBezTo>
                                  <a:pt x="52" y="2989"/>
                                  <a:pt x="40" y="3000"/>
                                  <a:pt x="27" y="3000"/>
                                </a:cubicBezTo>
                                <a:cubicBezTo>
                                  <a:pt x="13" y="3000"/>
                                  <a:pt x="2" y="2989"/>
                                  <a:pt x="2" y="2975"/>
                                </a:cubicBezTo>
                                <a:lnTo>
                                  <a:pt x="1" y="2825"/>
                                </a:lnTo>
                                <a:cubicBezTo>
                                  <a:pt x="1" y="2812"/>
                                  <a:pt x="13" y="2800"/>
                                  <a:pt x="26" y="2800"/>
                                </a:cubicBezTo>
                                <a:cubicBezTo>
                                  <a:pt x="40" y="2800"/>
                                  <a:pt x="51" y="2812"/>
                                  <a:pt x="51" y="2825"/>
                                </a:cubicBezTo>
                                <a:close/>
                                <a:moveTo>
                                  <a:pt x="52" y="3175"/>
                                </a:moveTo>
                                <a:lnTo>
                                  <a:pt x="52" y="3325"/>
                                </a:lnTo>
                                <a:cubicBezTo>
                                  <a:pt x="52" y="3339"/>
                                  <a:pt x="40" y="3350"/>
                                  <a:pt x="27" y="3350"/>
                                </a:cubicBezTo>
                                <a:cubicBezTo>
                                  <a:pt x="13" y="3350"/>
                                  <a:pt x="2" y="3339"/>
                                  <a:pt x="2" y="3325"/>
                                </a:cubicBezTo>
                                <a:lnTo>
                                  <a:pt x="2" y="3175"/>
                                </a:lnTo>
                                <a:cubicBezTo>
                                  <a:pt x="2" y="3162"/>
                                  <a:pt x="13" y="3150"/>
                                  <a:pt x="27" y="3150"/>
                                </a:cubicBezTo>
                                <a:cubicBezTo>
                                  <a:pt x="40" y="3150"/>
                                  <a:pt x="52" y="3162"/>
                                  <a:pt x="52" y="3175"/>
                                </a:cubicBezTo>
                                <a:close/>
                                <a:moveTo>
                                  <a:pt x="52" y="3525"/>
                                </a:moveTo>
                                <a:lnTo>
                                  <a:pt x="52" y="3675"/>
                                </a:lnTo>
                                <a:cubicBezTo>
                                  <a:pt x="52" y="3689"/>
                                  <a:pt x="41" y="3700"/>
                                  <a:pt x="27" y="3700"/>
                                </a:cubicBezTo>
                                <a:cubicBezTo>
                                  <a:pt x="13" y="3700"/>
                                  <a:pt x="2" y="3689"/>
                                  <a:pt x="2" y="3675"/>
                                </a:cubicBezTo>
                                <a:lnTo>
                                  <a:pt x="2" y="3525"/>
                                </a:lnTo>
                                <a:cubicBezTo>
                                  <a:pt x="2" y="3512"/>
                                  <a:pt x="13" y="3500"/>
                                  <a:pt x="27" y="3500"/>
                                </a:cubicBezTo>
                                <a:cubicBezTo>
                                  <a:pt x="40" y="3500"/>
                                  <a:pt x="52" y="3512"/>
                                  <a:pt x="52" y="3525"/>
                                </a:cubicBezTo>
                                <a:close/>
                                <a:moveTo>
                                  <a:pt x="52" y="3875"/>
                                </a:moveTo>
                                <a:lnTo>
                                  <a:pt x="52" y="4025"/>
                                </a:lnTo>
                                <a:cubicBezTo>
                                  <a:pt x="52" y="4039"/>
                                  <a:pt x="41" y="4050"/>
                                  <a:pt x="27" y="4050"/>
                                </a:cubicBezTo>
                                <a:cubicBezTo>
                                  <a:pt x="13" y="4050"/>
                                  <a:pt x="2" y="4039"/>
                                  <a:pt x="2" y="4025"/>
                                </a:cubicBezTo>
                                <a:lnTo>
                                  <a:pt x="2" y="3875"/>
                                </a:lnTo>
                                <a:cubicBezTo>
                                  <a:pt x="2" y="3862"/>
                                  <a:pt x="13" y="3850"/>
                                  <a:pt x="27" y="3850"/>
                                </a:cubicBezTo>
                                <a:cubicBezTo>
                                  <a:pt x="41" y="3850"/>
                                  <a:pt x="52" y="3862"/>
                                  <a:pt x="52" y="3875"/>
                                </a:cubicBezTo>
                                <a:close/>
                                <a:moveTo>
                                  <a:pt x="52" y="4225"/>
                                </a:moveTo>
                                <a:lnTo>
                                  <a:pt x="52" y="4375"/>
                                </a:lnTo>
                                <a:cubicBezTo>
                                  <a:pt x="52" y="4389"/>
                                  <a:pt x="41" y="4400"/>
                                  <a:pt x="27" y="4400"/>
                                </a:cubicBezTo>
                                <a:cubicBezTo>
                                  <a:pt x="13" y="4400"/>
                                  <a:pt x="2" y="4389"/>
                                  <a:pt x="2" y="4375"/>
                                </a:cubicBezTo>
                                <a:lnTo>
                                  <a:pt x="2" y="4225"/>
                                </a:lnTo>
                                <a:cubicBezTo>
                                  <a:pt x="2" y="4212"/>
                                  <a:pt x="13" y="4200"/>
                                  <a:pt x="27" y="4200"/>
                                </a:cubicBezTo>
                                <a:cubicBezTo>
                                  <a:pt x="41" y="4200"/>
                                  <a:pt x="52" y="4212"/>
                                  <a:pt x="52" y="4225"/>
                                </a:cubicBezTo>
                                <a:close/>
                                <a:moveTo>
                                  <a:pt x="52" y="4575"/>
                                </a:moveTo>
                                <a:lnTo>
                                  <a:pt x="52" y="4725"/>
                                </a:lnTo>
                                <a:cubicBezTo>
                                  <a:pt x="52" y="4739"/>
                                  <a:pt x="41" y="4750"/>
                                  <a:pt x="27" y="4750"/>
                                </a:cubicBezTo>
                                <a:cubicBezTo>
                                  <a:pt x="13" y="4750"/>
                                  <a:pt x="2" y="4739"/>
                                  <a:pt x="2" y="4725"/>
                                </a:cubicBezTo>
                                <a:lnTo>
                                  <a:pt x="2" y="4575"/>
                                </a:lnTo>
                                <a:cubicBezTo>
                                  <a:pt x="2" y="4562"/>
                                  <a:pt x="13" y="4550"/>
                                  <a:pt x="27" y="4550"/>
                                </a:cubicBezTo>
                                <a:cubicBezTo>
                                  <a:pt x="41" y="4550"/>
                                  <a:pt x="52" y="4562"/>
                                  <a:pt x="52" y="4575"/>
                                </a:cubicBezTo>
                                <a:close/>
                                <a:moveTo>
                                  <a:pt x="52" y="4925"/>
                                </a:moveTo>
                                <a:lnTo>
                                  <a:pt x="52" y="5075"/>
                                </a:lnTo>
                                <a:cubicBezTo>
                                  <a:pt x="52" y="5089"/>
                                  <a:pt x="41" y="5100"/>
                                  <a:pt x="27" y="5100"/>
                                </a:cubicBezTo>
                                <a:cubicBezTo>
                                  <a:pt x="13" y="5100"/>
                                  <a:pt x="2" y="5089"/>
                                  <a:pt x="2" y="5075"/>
                                </a:cubicBezTo>
                                <a:lnTo>
                                  <a:pt x="2" y="4925"/>
                                </a:lnTo>
                                <a:cubicBezTo>
                                  <a:pt x="2" y="4912"/>
                                  <a:pt x="13" y="4900"/>
                                  <a:pt x="27" y="4900"/>
                                </a:cubicBezTo>
                                <a:cubicBezTo>
                                  <a:pt x="41" y="4900"/>
                                  <a:pt x="52" y="4912"/>
                                  <a:pt x="52" y="4925"/>
                                </a:cubicBezTo>
                                <a:close/>
                                <a:moveTo>
                                  <a:pt x="52" y="5275"/>
                                </a:moveTo>
                                <a:lnTo>
                                  <a:pt x="52" y="5425"/>
                                </a:lnTo>
                                <a:cubicBezTo>
                                  <a:pt x="52" y="5439"/>
                                  <a:pt x="41" y="5450"/>
                                  <a:pt x="27" y="5450"/>
                                </a:cubicBezTo>
                                <a:cubicBezTo>
                                  <a:pt x="14" y="5450"/>
                                  <a:pt x="2" y="5439"/>
                                  <a:pt x="2" y="5425"/>
                                </a:cubicBezTo>
                                <a:lnTo>
                                  <a:pt x="2" y="5275"/>
                                </a:lnTo>
                                <a:cubicBezTo>
                                  <a:pt x="2" y="5262"/>
                                  <a:pt x="14" y="5250"/>
                                  <a:pt x="27" y="5250"/>
                                </a:cubicBezTo>
                                <a:cubicBezTo>
                                  <a:pt x="41" y="5250"/>
                                  <a:pt x="52" y="5262"/>
                                  <a:pt x="52" y="5275"/>
                                </a:cubicBezTo>
                                <a:close/>
                                <a:moveTo>
                                  <a:pt x="52" y="5625"/>
                                </a:moveTo>
                                <a:lnTo>
                                  <a:pt x="52" y="5775"/>
                                </a:lnTo>
                                <a:cubicBezTo>
                                  <a:pt x="53" y="5789"/>
                                  <a:pt x="41" y="5800"/>
                                  <a:pt x="28" y="5800"/>
                                </a:cubicBezTo>
                                <a:cubicBezTo>
                                  <a:pt x="14" y="5800"/>
                                  <a:pt x="3" y="5789"/>
                                  <a:pt x="2" y="5775"/>
                                </a:cubicBezTo>
                                <a:lnTo>
                                  <a:pt x="2" y="5625"/>
                                </a:lnTo>
                                <a:cubicBezTo>
                                  <a:pt x="2" y="5612"/>
                                  <a:pt x="14" y="5600"/>
                                  <a:pt x="27" y="5600"/>
                                </a:cubicBezTo>
                                <a:cubicBezTo>
                                  <a:pt x="41" y="5600"/>
                                  <a:pt x="52" y="5612"/>
                                  <a:pt x="52" y="5625"/>
                                </a:cubicBezTo>
                                <a:close/>
                                <a:moveTo>
                                  <a:pt x="53" y="5975"/>
                                </a:moveTo>
                                <a:lnTo>
                                  <a:pt x="53" y="6125"/>
                                </a:lnTo>
                                <a:cubicBezTo>
                                  <a:pt x="53" y="6139"/>
                                  <a:pt x="41" y="6150"/>
                                  <a:pt x="28" y="6150"/>
                                </a:cubicBezTo>
                                <a:cubicBezTo>
                                  <a:pt x="14" y="6150"/>
                                  <a:pt x="3" y="6139"/>
                                  <a:pt x="3" y="6125"/>
                                </a:cubicBezTo>
                                <a:lnTo>
                                  <a:pt x="3" y="5975"/>
                                </a:lnTo>
                                <a:cubicBezTo>
                                  <a:pt x="3" y="5962"/>
                                  <a:pt x="14" y="5950"/>
                                  <a:pt x="28" y="5950"/>
                                </a:cubicBezTo>
                                <a:cubicBezTo>
                                  <a:pt x="41" y="5950"/>
                                  <a:pt x="53" y="5962"/>
                                  <a:pt x="53" y="5975"/>
                                </a:cubicBezTo>
                                <a:close/>
                                <a:moveTo>
                                  <a:pt x="53" y="6325"/>
                                </a:moveTo>
                                <a:lnTo>
                                  <a:pt x="53" y="6475"/>
                                </a:lnTo>
                                <a:cubicBezTo>
                                  <a:pt x="53" y="6489"/>
                                  <a:pt x="42" y="6500"/>
                                  <a:pt x="28" y="6500"/>
                                </a:cubicBezTo>
                                <a:cubicBezTo>
                                  <a:pt x="14" y="6500"/>
                                  <a:pt x="3" y="6489"/>
                                  <a:pt x="3" y="6475"/>
                                </a:cubicBezTo>
                                <a:lnTo>
                                  <a:pt x="3" y="6325"/>
                                </a:lnTo>
                                <a:cubicBezTo>
                                  <a:pt x="3" y="6312"/>
                                  <a:pt x="14" y="6300"/>
                                  <a:pt x="28" y="6300"/>
                                </a:cubicBezTo>
                                <a:cubicBezTo>
                                  <a:pt x="41" y="6300"/>
                                  <a:pt x="53" y="6312"/>
                                  <a:pt x="53" y="6325"/>
                                </a:cubicBezTo>
                                <a:close/>
                                <a:moveTo>
                                  <a:pt x="53" y="6675"/>
                                </a:moveTo>
                                <a:lnTo>
                                  <a:pt x="53" y="6825"/>
                                </a:lnTo>
                                <a:cubicBezTo>
                                  <a:pt x="53" y="6839"/>
                                  <a:pt x="42" y="6850"/>
                                  <a:pt x="28" y="6850"/>
                                </a:cubicBezTo>
                                <a:cubicBezTo>
                                  <a:pt x="14" y="6850"/>
                                  <a:pt x="3" y="6839"/>
                                  <a:pt x="3" y="6825"/>
                                </a:cubicBezTo>
                                <a:lnTo>
                                  <a:pt x="3" y="6675"/>
                                </a:lnTo>
                                <a:cubicBezTo>
                                  <a:pt x="3" y="6662"/>
                                  <a:pt x="14" y="6650"/>
                                  <a:pt x="28" y="6650"/>
                                </a:cubicBezTo>
                                <a:cubicBezTo>
                                  <a:pt x="42" y="6650"/>
                                  <a:pt x="53" y="6662"/>
                                  <a:pt x="53" y="6675"/>
                                </a:cubicBezTo>
                                <a:close/>
                                <a:moveTo>
                                  <a:pt x="53" y="7025"/>
                                </a:moveTo>
                                <a:lnTo>
                                  <a:pt x="53" y="7175"/>
                                </a:lnTo>
                                <a:cubicBezTo>
                                  <a:pt x="53" y="7189"/>
                                  <a:pt x="42" y="7200"/>
                                  <a:pt x="28" y="7200"/>
                                </a:cubicBezTo>
                                <a:cubicBezTo>
                                  <a:pt x="14" y="7200"/>
                                  <a:pt x="3" y="7189"/>
                                  <a:pt x="3" y="7175"/>
                                </a:cubicBezTo>
                                <a:lnTo>
                                  <a:pt x="3" y="7025"/>
                                </a:lnTo>
                                <a:cubicBezTo>
                                  <a:pt x="3" y="7012"/>
                                  <a:pt x="14" y="7000"/>
                                  <a:pt x="28" y="7000"/>
                                </a:cubicBezTo>
                                <a:cubicBezTo>
                                  <a:pt x="42" y="7000"/>
                                  <a:pt x="53" y="7012"/>
                                  <a:pt x="53" y="7025"/>
                                </a:cubicBezTo>
                                <a:close/>
                                <a:moveTo>
                                  <a:pt x="53" y="7375"/>
                                </a:moveTo>
                                <a:lnTo>
                                  <a:pt x="53" y="7525"/>
                                </a:lnTo>
                                <a:cubicBezTo>
                                  <a:pt x="53" y="7539"/>
                                  <a:pt x="42" y="7550"/>
                                  <a:pt x="28" y="7550"/>
                                </a:cubicBezTo>
                                <a:cubicBezTo>
                                  <a:pt x="14" y="7550"/>
                                  <a:pt x="3" y="7539"/>
                                  <a:pt x="3" y="7525"/>
                                </a:cubicBezTo>
                                <a:lnTo>
                                  <a:pt x="3" y="7375"/>
                                </a:lnTo>
                                <a:cubicBezTo>
                                  <a:pt x="3" y="7362"/>
                                  <a:pt x="14" y="7350"/>
                                  <a:pt x="28" y="7350"/>
                                </a:cubicBezTo>
                                <a:cubicBezTo>
                                  <a:pt x="42" y="7350"/>
                                  <a:pt x="53" y="7362"/>
                                  <a:pt x="53" y="7375"/>
                                </a:cubicBezTo>
                                <a:close/>
                                <a:moveTo>
                                  <a:pt x="53" y="7725"/>
                                </a:moveTo>
                                <a:lnTo>
                                  <a:pt x="53" y="7875"/>
                                </a:lnTo>
                                <a:cubicBezTo>
                                  <a:pt x="53" y="7889"/>
                                  <a:pt x="42" y="7900"/>
                                  <a:pt x="28" y="7900"/>
                                </a:cubicBezTo>
                                <a:cubicBezTo>
                                  <a:pt x="14" y="7900"/>
                                  <a:pt x="3" y="7889"/>
                                  <a:pt x="3" y="7875"/>
                                </a:cubicBezTo>
                                <a:lnTo>
                                  <a:pt x="3" y="7725"/>
                                </a:lnTo>
                                <a:cubicBezTo>
                                  <a:pt x="3" y="7712"/>
                                  <a:pt x="14" y="7700"/>
                                  <a:pt x="28" y="7700"/>
                                </a:cubicBezTo>
                                <a:cubicBezTo>
                                  <a:pt x="42" y="7700"/>
                                  <a:pt x="53" y="7712"/>
                                  <a:pt x="53" y="7725"/>
                                </a:cubicBezTo>
                                <a:close/>
                                <a:moveTo>
                                  <a:pt x="53" y="8075"/>
                                </a:moveTo>
                                <a:lnTo>
                                  <a:pt x="53" y="8225"/>
                                </a:lnTo>
                                <a:cubicBezTo>
                                  <a:pt x="53" y="8239"/>
                                  <a:pt x="42" y="8250"/>
                                  <a:pt x="28" y="8250"/>
                                </a:cubicBezTo>
                                <a:cubicBezTo>
                                  <a:pt x="15" y="8250"/>
                                  <a:pt x="3" y="8239"/>
                                  <a:pt x="3" y="8225"/>
                                </a:cubicBezTo>
                                <a:lnTo>
                                  <a:pt x="3" y="8075"/>
                                </a:lnTo>
                                <a:cubicBezTo>
                                  <a:pt x="3" y="8062"/>
                                  <a:pt x="15" y="8050"/>
                                  <a:pt x="28" y="8050"/>
                                </a:cubicBezTo>
                                <a:cubicBezTo>
                                  <a:pt x="42" y="8050"/>
                                  <a:pt x="53" y="8062"/>
                                  <a:pt x="53" y="8075"/>
                                </a:cubicBezTo>
                                <a:close/>
                                <a:moveTo>
                                  <a:pt x="53" y="8425"/>
                                </a:moveTo>
                                <a:lnTo>
                                  <a:pt x="54" y="8575"/>
                                </a:lnTo>
                                <a:cubicBezTo>
                                  <a:pt x="54" y="8589"/>
                                  <a:pt x="42" y="8600"/>
                                  <a:pt x="29" y="8600"/>
                                </a:cubicBezTo>
                                <a:cubicBezTo>
                                  <a:pt x="15" y="8600"/>
                                  <a:pt x="4" y="8589"/>
                                  <a:pt x="4" y="8575"/>
                                </a:cubicBezTo>
                                <a:lnTo>
                                  <a:pt x="3" y="8425"/>
                                </a:lnTo>
                                <a:cubicBezTo>
                                  <a:pt x="3" y="8412"/>
                                  <a:pt x="15" y="8400"/>
                                  <a:pt x="28" y="8400"/>
                                </a:cubicBezTo>
                                <a:cubicBezTo>
                                  <a:pt x="42" y="8400"/>
                                  <a:pt x="53" y="8412"/>
                                  <a:pt x="53" y="8425"/>
                                </a:cubicBezTo>
                                <a:close/>
                                <a:moveTo>
                                  <a:pt x="54" y="8775"/>
                                </a:moveTo>
                                <a:lnTo>
                                  <a:pt x="54" y="8925"/>
                                </a:lnTo>
                                <a:cubicBezTo>
                                  <a:pt x="54" y="8939"/>
                                  <a:pt x="42" y="8950"/>
                                  <a:pt x="29" y="8950"/>
                                </a:cubicBezTo>
                                <a:cubicBezTo>
                                  <a:pt x="15" y="8950"/>
                                  <a:pt x="4" y="8939"/>
                                  <a:pt x="4" y="8925"/>
                                </a:cubicBezTo>
                                <a:lnTo>
                                  <a:pt x="4" y="8775"/>
                                </a:lnTo>
                                <a:cubicBezTo>
                                  <a:pt x="4" y="8762"/>
                                  <a:pt x="15" y="8750"/>
                                  <a:pt x="29" y="8750"/>
                                </a:cubicBezTo>
                                <a:cubicBezTo>
                                  <a:pt x="42" y="8750"/>
                                  <a:pt x="54" y="8762"/>
                                  <a:pt x="54" y="8775"/>
                                </a:cubicBezTo>
                                <a:close/>
                                <a:moveTo>
                                  <a:pt x="54" y="9125"/>
                                </a:moveTo>
                                <a:lnTo>
                                  <a:pt x="54" y="9275"/>
                                </a:lnTo>
                                <a:cubicBezTo>
                                  <a:pt x="54" y="9289"/>
                                  <a:pt x="43" y="9300"/>
                                  <a:pt x="29" y="9300"/>
                                </a:cubicBezTo>
                                <a:cubicBezTo>
                                  <a:pt x="15" y="9300"/>
                                  <a:pt x="4" y="9289"/>
                                  <a:pt x="4" y="9275"/>
                                </a:cubicBezTo>
                                <a:lnTo>
                                  <a:pt x="4" y="9125"/>
                                </a:lnTo>
                                <a:cubicBezTo>
                                  <a:pt x="4" y="9112"/>
                                  <a:pt x="15" y="9100"/>
                                  <a:pt x="29" y="9100"/>
                                </a:cubicBezTo>
                                <a:cubicBezTo>
                                  <a:pt x="43" y="9100"/>
                                  <a:pt x="54" y="9112"/>
                                  <a:pt x="54" y="9125"/>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6" name="Freeform 71"/>
                        <wps:cNvSpPr>
                          <a:spLocks noEditPoints="1"/>
                        </wps:cNvSpPr>
                        <wps:spPr bwMode="auto">
                          <a:xfrm>
                            <a:off x="4596141" y="1206536"/>
                            <a:ext cx="10100" cy="729622"/>
                          </a:xfrm>
                          <a:custGeom>
                            <a:avLst/>
                            <a:gdLst>
                              <a:gd name="T0" fmla="*/ 1794807 w 54"/>
                              <a:gd name="T1" fmla="*/ 5810918 h 4004"/>
                              <a:gd name="T2" fmla="*/ 35163 w 54"/>
                              <a:gd name="T3" fmla="*/ 5810918 h 4004"/>
                              <a:gd name="T4" fmla="*/ 879822 w 54"/>
                              <a:gd name="T5" fmla="*/ 0 h 4004"/>
                              <a:gd name="T6" fmla="*/ 1794807 w 54"/>
                              <a:gd name="T7" fmla="*/ 12451863 h 4004"/>
                              <a:gd name="T8" fmla="*/ 914985 w 54"/>
                              <a:gd name="T9" fmla="*/ 18262781 h 4004"/>
                              <a:gd name="T10" fmla="*/ 35163 w 54"/>
                              <a:gd name="T11" fmla="*/ 12451863 h 4004"/>
                              <a:gd name="T12" fmla="*/ 1794807 w 54"/>
                              <a:gd name="T13" fmla="*/ 12451863 h 4004"/>
                              <a:gd name="T14" fmla="*/ 1794807 w 54"/>
                              <a:gd name="T15" fmla="*/ 29054408 h 4004"/>
                              <a:gd name="T16" fmla="*/ 35163 w 54"/>
                              <a:gd name="T17" fmla="*/ 29054408 h 4004"/>
                              <a:gd name="T18" fmla="*/ 914985 w 54"/>
                              <a:gd name="T19" fmla="*/ 23243490 h 4004"/>
                              <a:gd name="T20" fmla="*/ 1794807 w 54"/>
                              <a:gd name="T21" fmla="*/ 35695353 h 4004"/>
                              <a:gd name="T22" fmla="*/ 914985 w 54"/>
                              <a:gd name="T23" fmla="*/ 41506271 h 4004"/>
                              <a:gd name="T24" fmla="*/ 35163 w 54"/>
                              <a:gd name="T25" fmla="*/ 35695353 h 4004"/>
                              <a:gd name="T26" fmla="*/ 1794807 w 54"/>
                              <a:gd name="T27" fmla="*/ 35695353 h 4004"/>
                              <a:gd name="T28" fmla="*/ 1829970 w 54"/>
                              <a:gd name="T29" fmla="*/ 52297898 h 4004"/>
                              <a:gd name="T30" fmla="*/ 70326 w 54"/>
                              <a:gd name="T31" fmla="*/ 52297898 h 4004"/>
                              <a:gd name="T32" fmla="*/ 950148 w 54"/>
                              <a:gd name="T33" fmla="*/ 46486980 h 4004"/>
                              <a:gd name="T34" fmla="*/ 1829970 w 54"/>
                              <a:gd name="T35" fmla="*/ 58938843 h 4004"/>
                              <a:gd name="T36" fmla="*/ 950148 w 54"/>
                              <a:gd name="T37" fmla="*/ 64749761 h 4004"/>
                              <a:gd name="T38" fmla="*/ 70326 w 54"/>
                              <a:gd name="T39" fmla="*/ 58938843 h 4004"/>
                              <a:gd name="T40" fmla="*/ 1829970 w 54"/>
                              <a:gd name="T41" fmla="*/ 58938843 h 4004"/>
                              <a:gd name="T42" fmla="*/ 1829970 w 54"/>
                              <a:gd name="T43" fmla="*/ 75541388 h 4004"/>
                              <a:gd name="T44" fmla="*/ 70326 w 54"/>
                              <a:gd name="T45" fmla="*/ 75541388 h 4004"/>
                              <a:gd name="T46" fmla="*/ 950148 w 54"/>
                              <a:gd name="T47" fmla="*/ 69730470 h 4004"/>
                              <a:gd name="T48" fmla="*/ 1865133 w 54"/>
                              <a:gd name="T49" fmla="*/ 82182333 h 4004"/>
                              <a:gd name="T50" fmla="*/ 985311 w 54"/>
                              <a:gd name="T51" fmla="*/ 87993251 h 4004"/>
                              <a:gd name="T52" fmla="*/ 105489 w 54"/>
                              <a:gd name="T53" fmla="*/ 82182333 h 4004"/>
                              <a:gd name="T54" fmla="*/ 1865133 w 54"/>
                              <a:gd name="T55" fmla="*/ 82182333 h 4004"/>
                              <a:gd name="T56" fmla="*/ 1865133 w 54"/>
                              <a:gd name="T57" fmla="*/ 98784878 h 4004"/>
                              <a:gd name="T58" fmla="*/ 105489 w 54"/>
                              <a:gd name="T59" fmla="*/ 98784878 h 4004"/>
                              <a:gd name="T60" fmla="*/ 985311 w 54"/>
                              <a:gd name="T61" fmla="*/ 92973960 h 4004"/>
                              <a:gd name="T62" fmla="*/ 1865133 w 54"/>
                              <a:gd name="T63" fmla="*/ 105425823 h 4004"/>
                              <a:gd name="T64" fmla="*/ 985311 w 54"/>
                              <a:gd name="T65" fmla="*/ 111236741 h 4004"/>
                              <a:gd name="T66" fmla="*/ 105489 w 54"/>
                              <a:gd name="T67" fmla="*/ 105425823 h 4004"/>
                              <a:gd name="T68" fmla="*/ 1865133 w 54"/>
                              <a:gd name="T69" fmla="*/ 105425823 h 4004"/>
                              <a:gd name="T70" fmla="*/ 1900296 w 54"/>
                              <a:gd name="T71" fmla="*/ 122028368 h 4004"/>
                              <a:gd name="T72" fmla="*/ 140839 w 54"/>
                              <a:gd name="T73" fmla="*/ 122028368 h 4004"/>
                              <a:gd name="T74" fmla="*/ 985311 w 54"/>
                              <a:gd name="T75" fmla="*/ 116217450 h 4004"/>
                              <a:gd name="T76" fmla="*/ 1900296 w 54"/>
                              <a:gd name="T77" fmla="*/ 128669313 h 4004"/>
                              <a:gd name="T78" fmla="*/ 1020474 w 54"/>
                              <a:gd name="T79" fmla="*/ 132952836 h 4004"/>
                              <a:gd name="T80" fmla="*/ 140839 w 54"/>
                              <a:gd name="T81" fmla="*/ 128669313 h 4004"/>
                              <a:gd name="T82" fmla="*/ 1900296 w 54"/>
                              <a:gd name="T83" fmla="*/ 128669313 h 4004"/>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54" h="4004">
                                <a:moveTo>
                                  <a:pt x="50" y="25"/>
                                </a:moveTo>
                                <a:lnTo>
                                  <a:pt x="51" y="175"/>
                                </a:lnTo>
                                <a:cubicBezTo>
                                  <a:pt x="51" y="189"/>
                                  <a:pt x="39" y="200"/>
                                  <a:pt x="26" y="200"/>
                                </a:cubicBezTo>
                                <a:cubicBezTo>
                                  <a:pt x="12" y="200"/>
                                  <a:pt x="1" y="189"/>
                                  <a:pt x="1" y="175"/>
                                </a:cubicBezTo>
                                <a:lnTo>
                                  <a:pt x="0" y="25"/>
                                </a:lnTo>
                                <a:cubicBezTo>
                                  <a:pt x="0" y="12"/>
                                  <a:pt x="12" y="0"/>
                                  <a:pt x="25" y="0"/>
                                </a:cubicBezTo>
                                <a:cubicBezTo>
                                  <a:pt x="39" y="0"/>
                                  <a:pt x="50" y="12"/>
                                  <a:pt x="50" y="25"/>
                                </a:cubicBezTo>
                                <a:close/>
                                <a:moveTo>
                                  <a:pt x="51" y="375"/>
                                </a:moveTo>
                                <a:lnTo>
                                  <a:pt x="51" y="525"/>
                                </a:lnTo>
                                <a:cubicBezTo>
                                  <a:pt x="51" y="539"/>
                                  <a:pt x="40" y="550"/>
                                  <a:pt x="26" y="550"/>
                                </a:cubicBezTo>
                                <a:cubicBezTo>
                                  <a:pt x="12" y="550"/>
                                  <a:pt x="1" y="539"/>
                                  <a:pt x="1" y="525"/>
                                </a:cubicBezTo>
                                <a:lnTo>
                                  <a:pt x="1" y="375"/>
                                </a:lnTo>
                                <a:cubicBezTo>
                                  <a:pt x="1" y="362"/>
                                  <a:pt x="12" y="350"/>
                                  <a:pt x="26" y="350"/>
                                </a:cubicBezTo>
                                <a:cubicBezTo>
                                  <a:pt x="40" y="350"/>
                                  <a:pt x="51" y="362"/>
                                  <a:pt x="51" y="375"/>
                                </a:cubicBezTo>
                                <a:close/>
                                <a:moveTo>
                                  <a:pt x="51" y="725"/>
                                </a:moveTo>
                                <a:lnTo>
                                  <a:pt x="51" y="875"/>
                                </a:lnTo>
                                <a:cubicBezTo>
                                  <a:pt x="51" y="889"/>
                                  <a:pt x="40" y="900"/>
                                  <a:pt x="26" y="900"/>
                                </a:cubicBezTo>
                                <a:cubicBezTo>
                                  <a:pt x="12" y="900"/>
                                  <a:pt x="1" y="889"/>
                                  <a:pt x="1" y="875"/>
                                </a:cubicBezTo>
                                <a:lnTo>
                                  <a:pt x="1" y="725"/>
                                </a:lnTo>
                                <a:cubicBezTo>
                                  <a:pt x="1" y="712"/>
                                  <a:pt x="12" y="700"/>
                                  <a:pt x="26" y="700"/>
                                </a:cubicBezTo>
                                <a:cubicBezTo>
                                  <a:pt x="40" y="700"/>
                                  <a:pt x="51" y="712"/>
                                  <a:pt x="51" y="725"/>
                                </a:cubicBezTo>
                                <a:close/>
                                <a:moveTo>
                                  <a:pt x="51" y="1075"/>
                                </a:moveTo>
                                <a:lnTo>
                                  <a:pt x="51" y="1225"/>
                                </a:lnTo>
                                <a:cubicBezTo>
                                  <a:pt x="51" y="1239"/>
                                  <a:pt x="40" y="1250"/>
                                  <a:pt x="26" y="1250"/>
                                </a:cubicBezTo>
                                <a:cubicBezTo>
                                  <a:pt x="13" y="1250"/>
                                  <a:pt x="1" y="1239"/>
                                  <a:pt x="1" y="1225"/>
                                </a:cubicBezTo>
                                <a:lnTo>
                                  <a:pt x="1" y="1075"/>
                                </a:lnTo>
                                <a:cubicBezTo>
                                  <a:pt x="1" y="1062"/>
                                  <a:pt x="13" y="1050"/>
                                  <a:pt x="26" y="1050"/>
                                </a:cubicBezTo>
                                <a:cubicBezTo>
                                  <a:pt x="40" y="1050"/>
                                  <a:pt x="51" y="1062"/>
                                  <a:pt x="51" y="1075"/>
                                </a:cubicBezTo>
                                <a:close/>
                                <a:moveTo>
                                  <a:pt x="52" y="1425"/>
                                </a:moveTo>
                                <a:lnTo>
                                  <a:pt x="52" y="1575"/>
                                </a:lnTo>
                                <a:cubicBezTo>
                                  <a:pt x="52" y="1589"/>
                                  <a:pt x="41" y="1600"/>
                                  <a:pt x="27" y="1600"/>
                                </a:cubicBezTo>
                                <a:cubicBezTo>
                                  <a:pt x="13" y="1600"/>
                                  <a:pt x="2" y="1589"/>
                                  <a:pt x="2" y="1575"/>
                                </a:cubicBezTo>
                                <a:lnTo>
                                  <a:pt x="2" y="1425"/>
                                </a:lnTo>
                                <a:cubicBezTo>
                                  <a:pt x="2" y="1412"/>
                                  <a:pt x="13" y="1400"/>
                                  <a:pt x="27" y="1400"/>
                                </a:cubicBezTo>
                                <a:cubicBezTo>
                                  <a:pt x="40" y="1400"/>
                                  <a:pt x="52" y="1412"/>
                                  <a:pt x="52" y="1425"/>
                                </a:cubicBezTo>
                                <a:close/>
                                <a:moveTo>
                                  <a:pt x="52" y="1775"/>
                                </a:moveTo>
                                <a:lnTo>
                                  <a:pt x="52" y="1925"/>
                                </a:lnTo>
                                <a:cubicBezTo>
                                  <a:pt x="52" y="1939"/>
                                  <a:pt x="41" y="1950"/>
                                  <a:pt x="27" y="1950"/>
                                </a:cubicBezTo>
                                <a:cubicBezTo>
                                  <a:pt x="13" y="1950"/>
                                  <a:pt x="2" y="1939"/>
                                  <a:pt x="2" y="1925"/>
                                </a:cubicBezTo>
                                <a:lnTo>
                                  <a:pt x="2" y="1775"/>
                                </a:lnTo>
                                <a:cubicBezTo>
                                  <a:pt x="2" y="1762"/>
                                  <a:pt x="13" y="1750"/>
                                  <a:pt x="27" y="1750"/>
                                </a:cubicBezTo>
                                <a:cubicBezTo>
                                  <a:pt x="41" y="1750"/>
                                  <a:pt x="52" y="1762"/>
                                  <a:pt x="52" y="1775"/>
                                </a:cubicBezTo>
                                <a:close/>
                                <a:moveTo>
                                  <a:pt x="52" y="2125"/>
                                </a:moveTo>
                                <a:lnTo>
                                  <a:pt x="52" y="2275"/>
                                </a:lnTo>
                                <a:cubicBezTo>
                                  <a:pt x="52" y="2289"/>
                                  <a:pt x="41" y="2300"/>
                                  <a:pt x="27" y="2300"/>
                                </a:cubicBezTo>
                                <a:cubicBezTo>
                                  <a:pt x="14" y="2300"/>
                                  <a:pt x="2" y="2289"/>
                                  <a:pt x="2" y="2275"/>
                                </a:cubicBezTo>
                                <a:lnTo>
                                  <a:pt x="2" y="2125"/>
                                </a:lnTo>
                                <a:cubicBezTo>
                                  <a:pt x="2" y="2112"/>
                                  <a:pt x="13" y="2100"/>
                                  <a:pt x="27" y="2100"/>
                                </a:cubicBezTo>
                                <a:cubicBezTo>
                                  <a:pt x="41" y="2100"/>
                                  <a:pt x="52" y="2112"/>
                                  <a:pt x="52" y="2125"/>
                                </a:cubicBezTo>
                                <a:close/>
                                <a:moveTo>
                                  <a:pt x="53" y="2475"/>
                                </a:moveTo>
                                <a:lnTo>
                                  <a:pt x="53" y="2625"/>
                                </a:lnTo>
                                <a:cubicBezTo>
                                  <a:pt x="53" y="2639"/>
                                  <a:pt x="41" y="2650"/>
                                  <a:pt x="28" y="2650"/>
                                </a:cubicBezTo>
                                <a:cubicBezTo>
                                  <a:pt x="14" y="2650"/>
                                  <a:pt x="3" y="2639"/>
                                  <a:pt x="3" y="2625"/>
                                </a:cubicBezTo>
                                <a:lnTo>
                                  <a:pt x="3" y="2475"/>
                                </a:lnTo>
                                <a:cubicBezTo>
                                  <a:pt x="3" y="2462"/>
                                  <a:pt x="14" y="2450"/>
                                  <a:pt x="28" y="2450"/>
                                </a:cubicBezTo>
                                <a:cubicBezTo>
                                  <a:pt x="41" y="2450"/>
                                  <a:pt x="53" y="2462"/>
                                  <a:pt x="53" y="2475"/>
                                </a:cubicBezTo>
                                <a:close/>
                                <a:moveTo>
                                  <a:pt x="53" y="2825"/>
                                </a:moveTo>
                                <a:lnTo>
                                  <a:pt x="53" y="2975"/>
                                </a:lnTo>
                                <a:cubicBezTo>
                                  <a:pt x="53" y="2989"/>
                                  <a:pt x="42" y="3000"/>
                                  <a:pt x="28" y="3000"/>
                                </a:cubicBezTo>
                                <a:cubicBezTo>
                                  <a:pt x="14" y="3000"/>
                                  <a:pt x="3" y="2989"/>
                                  <a:pt x="3" y="2975"/>
                                </a:cubicBezTo>
                                <a:lnTo>
                                  <a:pt x="3" y="2825"/>
                                </a:lnTo>
                                <a:cubicBezTo>
                                  <a:pt x="3" y="2812"/>
                                  <a:pt x="14" y="2800"/>
                                  <a:pt x="28" y="2800"/>
                                </a:cubicBezTo>
                                <a:cubicBezTo>
                                  <a:pt x="42" y="2800"/>
                                  <a:pt x="53" y="2812"/>
                                  <a:pt x="53" y="2825"/>
                                </a:cubicBezTo>
                                <a:close/>
                                <a:moveTo>
                                  <a:pt x="53" y="3175"/>
                                </a:moveTo>
                                <a:lnTo>
                                  <a:pt x="53" y="3325"/>
                                </a:lnTo>
                                <a:cubicBezTo>
                                  <a:pt x="53" y="3339"/>
                                  <a:pt x="42" y="3350"/>
                                  <a:pt x="28" y="3350"/>
                                </a:cubicBezTo>
                                <a:cubicBezTo>
                                  <a:pt x="14" y="3350"/>
                                  <a:pt x="3" y="3339"/>
                                  <a:pt x="3" y="3325"/>
                                </a:cubicBezTo>
                                <a:lnTo>
                                  <a:pt x="3" y="3175"/>
                                </a:lnTo>
                                <a:cubicBezTo>
                                  <a:pt x="3" y="3162"/>
                                  <a:pt x="14" y="3150"/>
                                  <a:pt x="28" y="3150"/>
                                </a:cubicBezTo>
                                <a:cubicBezTo>
                                  <a:pt x="42" y="3150"/>
                                  <a:pt x="53" y="3162"/>
                                  <a:pt x="53" y="3175"/>
                                </a:cubicBezTo>
                                <a:close/>
                                <a:moveTo>
                                  <a:pt x="53" y="3525"/>
                                </a:moveTo>
                                <a:lnTo>
                                  <a:pt x="54" y="3675"/>
                                </a:lnTo>
                                <a:cubicBezTo>
                                  <a:pt x="54" y="3689"/>
                                  <a:pt x="42" y="3700"/>
                                  <a:pt x="29" y="3700"/>
                                </a:cubicBezTo>
                                <a:cubicBezTo>
                                  <a:pt x="15" y="3700"/>
                                  <a:pt x="4" y="3689"/>
                                  <a:pt x="4" y="3675"/>
                                </a:cubicBezTo>
                                <a:lnTo>
                                  <a:pt x="3" y="3525"/>
                                </a:lnTo>
                                <a:cubicBezTo>
                                  <a:pt x="3" y="3512"/>
                                  <a:pt x="15" y="3500"/>
                                  <a:pt x="28" y="3500"/>
                                </a:cubicBezTo>
                                <a:cubicBezTo>
                                  <a:pt x="42" y="3500"/>
                                  <a:pt x="53" y="3512"/>
                                  <a:pt x="53" y="3525"/>
                                </a:cubicBezTo>
                                <a:close/>
                                <a:moveTo>
                                  <a:pt x="54" y="3875"/>
                                </a:moveTo>
                                <a:lnTo>
                                  <a:pt x="54" y="3979"/>
                                </a:lnTo>
                                <a:cubicBezTo>
                                  <a:pt x="54" y="3993"/>
                                  <a:pt x="43" y="4004"/>
                                  <a:pt x="29" y="4004"/>
                                </a:cubicBezTo>
                                <a:cubicBezTo>
                                  <a:pt x="15" y="4004"/>
                                  <a:pt x="4" y="3993"/>
                                  <a:pt x="4" y="3979"/>
                                </a:cubicBezTo>
                                <a:lnTo>
                                  <a:pt x="4" y="3875"/>
                                </a:lnTo>
                                <a:cubicBezTo>
                                  <a:pt x="4" y="3862"/>
                                  <a:pt x="15" y="3850"/>
                                  <a:pt x="29" y="3850"/>
                                </a:cubicBezTo>
                                <a:cubicBezTo>
                                  <a:pt x="42" y="3850"/>
                                  <a:pt x="54" y="3862"/>
                                  <a:pt x="54" y="3875"/>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8" name="Rectangle 72"/>
                        <wps:cNvSpPr>
                          <a:spLocks noChangeArrowheads="1"/>
                        </wps:cNvSpPr>
                        <wps:spPr bwMode="auto">
                          <a:xfrm>
                            <a:off x="1420970" y="0"/>
                            <a:ext cx="129794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669774" w14:textId="77777777" w:rsidR="00BC408B" w:rsidRDefault="00BC408B" w:rsidP="00790BEC">
                              <w:r>
                                <w:rPr>
                                  <w:color w:val="000000"/>
                                </w:rPr>
                                <w:t>Transmitter output power</w:t>
                              </w:r>
                            </w:p>
                          </w:txbxContent>
                        </wps:txbx>
                        <wps:bodyPr rot="0" vert="horz" wrap="none" lIns="0" tIns="0" rIns="0" bIns="0" anchor="t" anchorCtr="0" upright="1">
                          <a:spAutoFit/>
                        </wps:bodyPr>
                      </wps:wsp>
                      <wps:wsp>
                        <wps:cNvPr id="21" name="Rectangle 73"/>
                        <wps:cNvSpPr>
                          <a:spLocks noChangeArrowheads="1"/>
                        </wps:cNvSpPr>
                        <wps:spPr bwMode="auto">
                          <a:xfrm>
                            <a:off x="2697853" y="0"/>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39E0E6"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22" name="Rectangle 74"/>
                        <wps:cNvSpPr>
                          <a:spLocks noChangeArrowheads="1"/>
                        </wps:cNvSpPr>
                        <wps:spPr bwMode="auto">
                          <a:xfrm>
                            <a:off x="5455401" y="2021833"/>
                            <a:ext cx="26860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F3739" w14:textId="77777777" w:rsidR="00BC408B" w:rsidRDefault="00BC408B" w:rsidP="00790BEC">
                              <w:r>
                                <w:rPr>
                                  <w:color w:val="000000"/>
                                </w:rPr>
                                <w:t>Time</w:t>
                              </w:r>
                            </w:p>
                          </w:txbxContent>
                        </wps:txbx>
                        <wps:bodyPr rot="0" vert="horz" wrap="none" lIns="0" tIns="0" rIns="0" bIns="0" anchor="t" anchorCtr="0" upright="1">
                          <a:spAutoFit/>
                        </wps:bodyPr>
                      </wps:wsp>
                      <wps:wsp>
                        <wps:cNvPr id="23" name="Rectangle 75"/>
                        <wps:cNvSpPr>
                          <a:spLocks noChangeArrowheads="1"/>
                        </wps:cNvSpPr>
                        <wps:spPr bwMode="auto">
                          <a:xfrm>
                            <a:off x="5711277" y="2021833"/>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6E0A9"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24" name="Freeform 76"/>
                        <wps:cNvSpPr>
                          <a:spLocks/>
                        </wps:cNvSpPr>
                        <wps:spPr bwMode="auto">
                          <a:xfrm>
                            <a:off x="1397012" y="347310"/>
                            <a:ext cx="3870935" cy="1440243"/>
                          </a:xfrm>
                          <a:custGeom>
                            <a:avLst/>
                            <a:gdLst>
                              <a:gd name="T0" fmla="*/ 0 w 6096"/>
                              <a:gd name="T1" fmla="*/ 889553261 h 2268"/>
                              <a:gd name="T2" fmla="*/ 87096038 w 6096"/>
                              <a:gd name="T3" fmla="*/ 901247298 h 2268"/>
                              <a:gd name="T4" fmla="*/ 295562016 w 6096"/>
                              <a:gd name="T5" fmla="*/ 889553261 h 2268"/>
                              <a:gd name="T6" fmla="*/ 452012306 w 6096"/>
                              <a:gd name="T7" fmla="*/ 889553261 h 2268"/>
                              <a:gd name="T8" fmla="*/ 591124032 w 6096"/>
                              <a:gd name="T9" fmla="*/ 883907864 h 2268"/>
                              <a:gd name="T10" fmla="*/ 626204381 w 6096"/>
                              <a:gd name="T11" fmla="*/ 860923034 h 2268"/>
                              <a:gd name="T12" fmla="*/ 660881507 w 6096"/>
                              <a:gd name="T13" fmla="*/ 773822624 h 2268"/>
                              <a:gd name="T14" fmla="*/ 689913519 w 6096"/>
                              <a:gd name="T15" fmla="*/ 640752553 h 2268"/>
                              <a:gd name="T16" fmla="*/ 724590645 w 6096"/>
                              <a:gd name="T17" fmla="*/ 461309579 h 2268"/>
                              <a:gd name="T18" fmla="*/ 747977544 w 6096"/>
                              <a:gd name="T19" fmla="*/ 172184607 h 2268"/>
                              <a:gd name="T20" fmla="*/ 770961221 w 6096"/>
                              <a:gd name="T21" fmla="*/ 68148006 h 2268"/>
                              <a:gd name="T22" fmla="*/ 788299784 w 6096"/>
                              <a:gd name="T23" fmla="*/ 62099366 h 2268"/>
                              <a:gd name="T24" fmla="*/ 945153296 w 6096"/>
                              <a:gd name="T25" fmla="*/ 33469139 h 2268"/>
                              <a:gd name="T26" fmla="*/ 1541922442 w 6096"/>
                              <a:gd name="T27" fmla="*/ 56453969 h 2268"/>
                              <a:gd name="T28" fmla="*/ 1611679916 w 6096"/>
                              <a:gd name="T29" fmla="*/ 21775103 h 2268"/>
                              <a:gd name="T30" fmla="*/ 1802807332 w 6096"/>
                              <a:gd name="T31" fmla="*/ 56453969 h 2268"/>
                              <a:gd name="T32" fmla="*/ 1901596819 w 6096"/>
                              <a:gd name="T33" fmla="*/ 253236377 h 2268"/>
                              <a:gd name="T34" fmla="*/ 1942322281 w 6096"/>
                              <a:gd name="T35" fmla="*/ 386306448 h 2268"/>
                              <a:gd name="T36" fmla="*/ 1947967394 w 6096"/>
                              <a:gd name="T37" fmla="*/ 554055386 h 2268"/>
                              <a:gd name="T38" fmla="*/ 1970951071 w 6096"/>
                              <a:gd name="T39" fmla="*/ 814550131 h 2268"/>
                              <a:gd name="T40" fmla="*/ 2081434007 w 6096"/>
                              <a:gd name="T41" fmla="*/ 883907864 h 2268"/>
                              <a:gd name="T42" fmla="*/ 2147483646 w 6096"/>
                              <a:gd name="T43" fmla="*/ 901247298 h 2268"/>
                              <a:gd name="T44" fmla="*/ 2147483646 w 6096"/>
                              <a:gd name="T45" fmla="*/ 912941334 h 2268"/>
                              <a:gd name="T46" fmla="*/ 2147483646 w 6096"/>
                              <a:gd name="T47" fmla="*/ 912941334 h 2268"/>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Lst>
                            <a:ahLst/>
                            <a:cxnLst>
                              <a:cxn ang="T48">
                                <a:pos x="T0" y="T1"/>
                              </a:cxn>
                              <a:cxn ang="T49">
                                <a:pos x="T2" y="T3"/>
                              </a:cxn>
                              <a:cxn ang="T50">
                                <a:pos x="T4" y="T5"/>
                              </a:cxn>
                              <a:cxn ang="T51">
                                <a:pos x="T6" y="T7"/>
                              </a:cxn>
                              <a:cxn ang="T52">
                                <a:pos x="T8" y="T9"/>
                              </a:cxn>
                              <a:cxn ang="T53">
                                <a:pos x="T10" y="T11"/>
                              </a:cxn>
                              <a:cxn ang="T54">
                                <a:pos x="T12" y="T13"/>
                              </a:cxn>
                              <a:cxn ang="T55">
                                <a:pos x="T14" y="T15"/>
                              </a:cxn>
                              <a:cxn ang="T56">
                                <a:pos x="T16" y="T17"/>
                              </a:cxn>
                              <a:cxn ang="T57">
                                <a:pos x="T18" y="T19"/>
                              </a:cxn>
                              <a:cxn ang="T58">
                                <a:pos x="T20" y="T21"/>
                              </a:cxn>
                              <a:cxn ang="T59">
                                <a:pos x="T22" y="T23"/>
                              </a:cxn>
                              <a:cxn ang="T60">
                                <a:pos x="T24" y="T25"/>
                              </a:cxn>
                              <a:cxn ang="T61">
                                <a:pos x="T26" y="T27"/>
                              </a:cxn>
                              <a:cxn ang="T62">
                                <a:pos x="T28" y="T29"/>
                              </a:cxn>
                              <a:cxn ang="T63">
                                <a:pos x="T30" y="T31"/>
                              </a:cxn>
                              <a:cxn ang="T64">
                                <a:pos x="T32" y="T33"/>
                              </a:cxn>
                              <a:cxn ang="T65">
                                <a:pos x="T34" y="T35"/>
                              </a:cxn>
                              <a:cxn ang="T66">
                                <a:pos x="T36" y="T37"/>
                              </a:cxn>
                              <a:cxn ang="T67">
                                <a:pos x="T38" y="T39"/>
                              </a:cxn>
                              <a:cxn ang="T68">
                                <a:pos x="T40" y="T41"/>
                              </a:cxn>
                              <a:cxn ang="T69">
                                <a:pos x="T42" y="T43"/>
                              </a:cxn>
                              <a:cxn ang="T70">
                                <a:pos x="T44" y="T45"/>
                              </a:cxn>
                              <a:cxn ang="T71">
                                <a:pos x="T46" y="T47"/>
                              </a:cxn>
                            </a:cxnLst>
                            <a:rect l="0" t="0" r="r" b="b"/>
                            <a:pathLst>
                              <a:path w="6096" h="2268">
                                <a:moveTo>
                                  <a:pt x="0" y="2206"/>
                                </a:moveTo>
                                <a:cubicBezTo>
                                  <a:pt x="72" y="2213"/>
                                  <a:pt x="142" y="2235"/>
                                  <a:pt x="216" y="2235"/>
                                </a:cubicBezTo>
                                <a:cubicBezTo>
                                  <a:pt x="388" y="2235"/>
                                  <a:pt x="561" y="2213"/>
                                  <a:pt x="733" y="2206"/>
                                </a:cubicBezTo>
                                <a:cubicBezTo>
                                  <a:pt x="994" y="2174"/>
                                  <a:pt x="679" y="2206"/>
                                  <a:pt x="1121" y="2206"/>
                                </a:cubicBezTo>
                                <a:cubicBezTo>
                                  <a:pt x="1236" y="2206"/>
                                  <a:pt x="1351" y="2197"/>
                                  <a:pt x="1466" y="2192"/>
                                </a:cubicBezTo>
                                <a:cubicBezTo>
                                  <a:pt x="1507" y="2179"/>
                                  <a:pt x="1528" y="2179"/>
                                  <a:pt x="1553" y="2135"/>
                                </a:cubicBezTo>
                                <a:cubicBezTo>
                                  <a:pt x="1566" y="2110"/>
                                  <a:pt x="1632" y="1941"/>
                                  <a:pt x="1639" y="1919"/>
                                </a:cubicBezTo>
                                <a:cubicBezTo>
                                  <a:pt x="1674" y="1814"/>
                                  <a:pt x="1687" y="1698"/>
                                  <a:pt x="1711" y="1589"/>
                                </a:cubicBezTo>
                                <a:cubicBezTo>
                                  <a:pt x="1744" y="1439"/>
                                  <a:pt x="1780" y="1299"/>
                                  <a:pt x="1797" y="1144"/>
                                </a:cubicBezTo>
                                <a:cubicBezTo>
                                  <a:pt x="1809" y="909"/>
                                  <a:pt x="1812" y="659"/>
                                  <a:pt x="1855" y="427"/>
                                </a:cubicBezTo>
                                <a:cubicBezTo>
                                  <a:pt x="1861" y="388"/>
                                  <a:pt x="1887" y="194"/>
                                  <a:pt x="1912" y="169"/>
                                </a:cubicBezTo>
                                <a:cubicBezTo>
                                  <a:pt x="1923" y="158"/>
                                  <a:pt x="1942" y="161"/>
                                  <a:pt x="1955" y="154"/>
                                </a:cubicBezTo>
                                <a:cubicBezTo>
                                  <a:pt x="2129" y="68"/>
                                  <a:pt x="2092" y="97"/>
                                  <a:pt x="2344" y="83"/>
                                </a:cubicBezTo>
                                <a:cubicBezTo>
                                  <a:pt x="2484" y="85"/>
                                  <a:pt x="3403" y="0"/>
                                  <a:pt x="3824" y="140"/>
                                </a:cubicBezTo>
                                <a:cubicBezTo>
                                  <a:pt x="3881" y="121"/>
                                  <a:pt x="3947" y="87"/>
                                  <a:pt x="3997" y="54"/>
                                </a:cubicBezTo>
                                <a:cubicBezTo>
                                  <a:pt x="4167" y="66"/>
                                  <a:pt x="4311" y="87"/>
                                  <a:pt x="4471" y="140"/>
                                </a:cubicBezTo>
                                <a:cubicBezTo>
                                  <a:pt x="4622" y="290"/>
                                  <a:pt x="4657" y="435"/>
                                  <a:pt x="4716" y="628"/>
                                </a:cubicBezTo>
                                <a:cubicBezTo>
                                  <a:pt x="4749" y="739"/>
                                  <a:pt x="4794" y="844"/>
                                  <a:pt x="4817" y="958"/>
                                </a:cubicBezTo>
                                <a:cubicBezTo>
                                  <a:pt x="4821" y="1097"/>
                                  <a:pt x="4824" y="1235"/>
                                  <a:pt x="4831" y="1374"/>
                                </a:cubicBezTo>
                                <a:cubicBezTo>
                                  <a:pt x="4840" y="1588"/>
                                  <a:pt x="4821" y="1818"/>
                                  <a:pt x="4888" y="2020"/>
                                </a:cubicBezTo>
                                <a:cubicBezTo>
                                  <a:pt x="4928" y="2137"/>
                                  <a:pt x="5054" y="2178"/>
                                  <a:pt x="5162" y="2192"/>
                                </a:cubicBezTo>
                                <a:cubicBezTo>
                                  <a:pt x="5272" y="2206"/>
                                  <a:pt x="5382" y="2218"/>
                                  <a:pt x="5492" y="2235"/>
                                </a:cubicBezTo>
                                <a:cubicBezTo>
                                  <a:pt x="5545" y="2244"/>
                                  <a:pt x="5597" y="2262"/>
                                  <a:pt x="5650" y="2264"/>
                                </a:cubicBezTo>
                                <a:cubicBezTo>
                                  <a:pt x="5799" y="2268"/>
                                  <a:pt x="5948" y="2264"/>
                                  <a:pt x="6096" y="2264"/>
                                </a:cubicBezTo>
                              </a:path>
                            </a:pathLst>
                          </a:custGeom>
                          <a:noFill/>
                          <a:ln w="889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77"/>
                        <wps:cNvSpPr>
                          <a:spLocks noEditPoints="1"/>
                        </wps:cNvSpPr>
                        <wps:spPr bwMode="auto">
                          <a:xfrm>
                            <a:off x="1354412" y="2223167"/>
                            <a:ext cx="1055409" cy="73002"/>
                          </a:xfrm>
                          <a:custGeom>
                            <a:avLst/>
                            <a:gdLst>
                              <a:gd name="T0" fmla="*/ 558472 w 11560"/>
                              <a:gd name="T1" fmla="*/ 2723796 h 800"/>
                              <a:gd name="T2" fmla="*/ 90802424 w 11560"/>
                              <a:gd name="T3" fmla="*/ 2782106 h 800"/>
                              <a:gd name="T4" fmla="*/ 91352496 w 11560"/>
                              <a:gd name="T5" fmla="*/ 3331903 h 800"/>
                              <a:gd name="T6" fmla="*/ 90802424 w 11560"/>
                              <a:gd name="T7" fmla="*/ 3889912 h 800"/>
                              <a:gd name="T8" fmla="*/ 558472 w 11560"/>
                              <a:gd name="T9" fmla="*/ 3839996 h 800"/>
                              <a:gd name="T10" fmla="*/ 0 w 11560"/>
                              <a:gd name="T11" fmla="*/ 3281896 h 800"/>
                              <a:gd name="T12" fmla="*/ 558472 w 11560"/>
                              <a:gd name="T13" fmla="*/ 2723796 h 800"/>
                              <a:gd name="T14" fmla="*/ 89693788 w 11560"/>
                              <a:gd name="T15" fmla="*/ 0 h 800"/>
                              <a:gd name="T16" fmla="*/ 96353546 w 11560"/>
                              <a:gd name="T17" fmla="*/ 3340207 h 800"/>
                              <a:gd name="T18" fmla="*/ 89685480 w 11560"/>
                              <a:gd name="T19" fmla="*/ 6663714 h 800"/>
                              <a:gd name="T20" fmla="*/ 89693788 w 11560"/>
                              <a:gd name="T21" fmla="*/ 0 h 8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11560" h="800">
                                <a:moveTo>
                                  <a:pt x="67" y="327"/>
                                </a:moveTo>
                                <a:lnTo>
                                  <a:pt x="10894" y="334"/>
                                </a:lnTo>
                                <a:cubicBezTo>
                                  <a:pt x="10931" y="334"/>
                                  <a:pt x="10960" y="364"/>
                                  <a:pt x="10960" y="400"/>
                                </a:cubicBezTo>
                                <a:cubicBezTo>
                                  <a:pt x="10960" y="437"/>
                                  <a:pt x="10931" y="467"/>
                                  <a:pt x="10894" y="467"/>
                                </a:cubicBezTo>
                                <a:lnTo>
                                  <a:pt x="67" y="461"/>
                                </a:lnTo>
                                <a:cubicBezTo>
                                  <a:pt x="30" y="461"/>
                                  <a:pt x="0" y="431"/>
                                  <a:pt x="0" y="394"/>
                                </a:cubicBezTo>
                                <a:cubicBezTo>
                                  <a:pt x="0" y="357"/>
                                  <a:pt x="30" y="327"/>
                                  <a:pt x="67" y="327"/>
                                </a:cubicBezTo>
                                <a:close/>
                                <a:moveTo>
                                  <a:pt x="10761" y="0"/>
                                </a:moveTo>
                                <a:lnTo>
                                  <a:pt x="11560" y="401"/>
                                </a:lnTo>
                                <a:lnTo>
                                  <a:pt x="10760" y="800"/>
                                </a:lnTo>
                                <a:lnTo>
                                  <a:pt x="10761"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7" name="Freeform 78"/>
                        <wps:cNvSpPr>
                          <a:spLocks noEditPoints="1"/>
                        </wps:cNvSpPr>
                        <wps:spPr bwMode="auto">
                          <a:xfrm>
                            <a:off x="2738124" y="1064832"/>
                            <a:ext cx="1424313" cy="73702"/>
                          </a:xfrm>
                          <a:custGeom>
                            <a:avLst/>
                            <a:gdLst>
                              <a:gd name="T0" fmla="*/ 11136849 w 7800"/>
                              <a:gd name="T1" fmla="*/ 5548864 h 403"/>
                              <a:gd name="T2" fmla="*/ 248980503 w 7800"/>
                              <a:gd name="T3" fmla="*/ 5649267 h 403"/>
                              <a:gd name="T4" fmla="*/ 250080877 w 7800"/>
                              <a:gd name="T5" fmla="*/ 6785705 h 403"/>
                              <a:gd name="T6" fmla="*/ 248980503 w 7800"/>
                              <a:gd name="T7" fmla="*/ 7888857 h 403"/>
                              <a:gd name="T8" fmla="*/ 11136849 w 7800"/>
                              <a:gd name="T9" fmla="*/ 7788637 h 403"/>
                              <a:gd name="T10" fmla="*/ 10003242 w 7800"/>
                              <a:gd name="T11" fmla="*/ 6685485 h 403"/>
                              <a:gd name="T12" fmla="*/ 11136849 w 7800"/>
                              <a:gd name="T13" fmla="*/ 5548864 h 403"/>
                              <a:gd name="T14" fmla="*/ 13337596 w 7800"/>
                              <a:gd name="T15" fmla="*/ 13370969 h 403"/>
                              <a:gd name="T16" fmla="*/ 0 w 7800"/>
                              <a:gd name="T17" fmla="*/ 6652017 h 403"/>
                              <a:gd name="T18" fmla="*/ 13371012 w 7800"/>
                              <a:gd name="T19" fmla="*/ 0 h 403"/>
                              <a:gd name="T20" fmla="*/ 13337596 w 7800"/>
                              <a:gd name="T21" fmla="*/ 13370969 h 403"/>
                              <a:gd name="T22" fmla="*/ 246779757 w 7800"/>
                              <a:gd name="T23" fmla="*/ 100220 h 403"/>
                              <a:gd name="T24" fmla="*/ 260084119 w 7800"/>
                              <a:gd name="T25" fmla="*/ 6785705 h 403"/>
                              <a:gd name="T26" fmla="*/ 246746523 w 7800"/>
                              <a:gd name="T27" fmla="*/ 13471189 h 403"/>
                              <a:gd name="T28" fmla="*/ 246779757 w 7800"/>
                              <a:gd name="T29" fmla="*/ 100220 h 403"/>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7800" h="403">
                                <a:moveTo>
                                  <a:pt x="334" y="166"/>
                                </a:moveTo>
                                <a:lnTo>
                                  <a:pt x="7467" y="169"/>
                                </a:lnTo>
                                <a:cubicBezTo>
                                  <a:pt x="7486" y="169"/>
                                  <a:pt x="7500" y="184"/>
                                  <a:pt x="7500" y="203"/>
                                </a:cubicBezTo>
                                <a:cubicBezTo>
                                  <a:pt x="7500" y="221"/>
                                  <a:pt x="7486" y="236"/>
                                  <a:pt x="7467" y="236"/>
                                </a:cubicBezTo>
                                <a:lnTo>
                                  <a:pt x="334" y="233"/>
                                </a:lnTo>
                                <a:cubicBezTo>
                                  <a:pt x="315" y="233"/>
                                  <a:pt x="300" y="218"/>
                                  <a:pt x="300" y="200"/>
                                </a:cubicBezTo>
                                <a:cubicBezTo>
                                  <a:pt x="300" y="181"/>
                                  <a:pt x="315" y="166"/>
                                  <a:pt x="334" y="166"/>
                                </a:cubicBezTo>
                                <a:close/>
                                <a:moveTo>
                                  <a:pt x="400" y="400"/>
                                </a:moveTo>
                                <a:lnTo>
                                  <a:pt x="0" y="199"/>
                                </a:lnTo>
                                <a:lnTo>
                                  <a:pt x="401" y="0"/>
                                </a:lnTo>
                                <a:lnTo>
                                  <a:pt x="400" y="400"/>
                                </a:lnTo>
                                <a:close/>
                                <a:moveTo>
                                  <a:pt x="7401" y="3"/>
                                </a:moveTo>
                                <a:lnTo>
                                  <a:pt x="7800" y="203"/>
                                </a:lnTo>
                                <a:lnTo>
                                  <a:pt x="7400" y="403"/>
                                </a:lnTo>
                                <a:lnTo>
                                  <a:pt x="7401" y="3"/>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8" name="Rectangle 79"/>
                        <wps:cNvSpPr>
                          <a:spLocks noChangeArrowheads="1"/>
                        </wps:cNvSpPr>
                        <wps:spPr bwMode="auto">
                          <a:xfrm>
                            <a:off x="2892135" y="755012"/>
                            <a:ext cx="116395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E80A8" w14:textId="77777777" w:rsidR="00BC408B" w:rsidRDefault="00BC408B" w:rsidP="00790BEC">
                              <w:r>
                                <w:rPr>
                                  <w:color w:val="000000"/>
                                </w:rPr>
                                <w:t>Transmitter ON period</w:t>
                              </w:r>
                            </w:p>
                          </w:txbxContent>
                        </wps:txbx>
                        <wps:bodyPr rot="0" vert="horz" wrap="none" lIns="0" tIns="0" rIns="0" bIns="0" anchor="t" anchorCtr="0" upright="1">
                          <a:spAutoFit/>
                        </wps:bodyPr>
                      </wps:wsp>
                      <wps:wsp>
                        <wps:cNvPr id="29" name="Rectangle 80"/>
                        <wps:cNvSpPr>
                          <a:spLocks noChangeArrowheads="1"/>
                        </wps:cNvSpPr>
                        <wps:spPr bwMode="auto">
                          <a:xfrm>
                            <a:off x="4008333" y="755012"/>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547DA"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30" name="Rectangle 81"/>
                        <wps:cNvSpPr>
                          <a:spLocks noChangeArrowheads="1"/>
                        </wps:cNvSpPr>
                        <wps:spPr bwMode="auto">
                          <a:xfrm>
                            <a:off x="2910675" y="895314"/>
                            <a:ext cx="120269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CE60D" w14:textId="77777777" w:rsidR="00BC408B" w:rsidRDefault="00BC408B" w:rsidP="00790BEC">
                              <w:r>
                                <w:rPr>
                                  <w:color w:val="000000"/>
                                </w:rPr>
                                <w:t>(DL</w:t>
                              </w:r>
                              <w:r>
                                <w:rPr>
                                  <w:rFonts w:hint="eastAsia"/>
                                  <w:color w:val="000000"/>
                                </w:rPr>
                                <w:t>/UL</w:t>
                              </w:r>
                              <w:r>
                                <w:rPr>
                                  <w:color w:val="000000"/>
                                </w:rPr>
                                <w:t xml:space="preserve"> t</w:t>
                              </w:r>
                              <w:r>
                                <w:rPr>
                                  <w:rFonts w:hint="eastAsia"/>
                                  <w:color w:val="000000"/>
                                </w:rPr>
                                <w:t>ransmission)</w:t>
                              </w:r>
                            </w:p>
                          </w:txbxContent>
                        </wps:txbx>
                        <wps:bodyPr rot="0" vert="horz" wrap="square" lIns="0" tIns="0" rIns="0" bIns="0" anchor="t" anchorCtr="0" upright="1">
                          <a:spAutoFit/>
                        </wps:bodyPr>
                      </wps:wsp>
                      <wps:wsp>
                        <wps:cNvPr id="31" name="Rectangle 82"/>
                        <wps:cNvSpPr>
                          <a:spLocks noChangeArrowheads="1"/>
                        </wps:cNvSpPr>
                        <wps:spPr bwMode="auto">
                          <a:xfrm>
                            <a:off x="4135321" y="895314"/>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6F6B6"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32" name="Rectangle 83"/>
                        <wps:cNvSpPr>
                          <a:spLocks noChangeArrowheads="1"/>
                        </wps:cNvSpPr>
                        <wps:spPr bwMode="auto">
                          <a:xfrm>
                            <a:off x="4792461" y="2350138"/>
                            <a:ext cx="85725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58E12" w14:textId="77777777" w:rsidR="00BC408B" w:rsidRDefault="00BC408B" w:rsidP="00790BEC">
                              <w:r>
                                <w:rPr>
                                  <w:color w:val="000000"/>
                                </w:rPr>
                                <w:t xml:space="preserve">Transmitter OFF </w:t>
                              </w:r>
                            </w:p>
                          </w:txbxContent>
                        </wps:txbx>
                        <wps:bodyPr rot="0" vert="horz" wrap="none" lIns="0" tIns="0" rIns="0" bIns="0" anchor="t" anchorCtr="0" upright="1">
                          <a:spAutoFit/>
                        </wps:bodyPr>
                      </wps:wsp>
                      <wps:wsp>
                        <wps:cNvPr id="33" name="Rectangle 84"/>
                        <wps:cNvSpPr>
                          <a:spLocks noChangeArrowheads="1"/>
                        </wps:cNvSpPr>
                        <wps:spPr bwMode="auto">
                          <a:xfrm>
                            <a:off x="5046438" y="2489840"/>
                            <a:ext cx="3244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7ECAB2" w14:textId="77777777" w:rsidR="00BC408B" w:rsidRDefault="00BC408B" w:rsidP="00790BEC">
                              <w:r>
                                <w:rPr>
                                  <w:color w:val="000000"/>
                                </w:rPr>
                                <w:t>period</w:t>
                              </w:r>
                            </w:p>
                          </w:txbxContent>
                        </wps:txbx>
                        <wps:bodyPr rot="0" vert="horz" wrap="none" lIns="0" tIns="0" rIns="0" bIns="0" anchor="t" anchorCtr="0" upright="1">
                          <a:spAutoFit/>
                        </wps:bodyPr>
                      </wps:wsp>
                      <wps:wsp>
                        <wps:cNvPr id="34" name="Rectangle 85"/>
                        <wps:cNvSpPr>
                          <a:spLocks noChangeArrowheads="1"/>
                        </wps:cNvSpPr>
                        <wps:spPr bwMode="auto">
                          <a:xfrm>
                            <a:off x="5359509" y="2489840"/>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316F84"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35" name="Rectangle 86"/>
                        <wps:cNvSpPr>
                          <a:spLocks noChangeArrowheads="1"/>
                        </wps:cNvSpPr>
                        <wps:spPr bwMode="auto">
                          <a:xfrm>
                            <a:off x="1396172" y="2350138"/>
                            <a:ext cx="85725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1FAA6B" w14:textId="77777777" w:rsidR="00BC408B" w:rsidRDefault="00BC408B" w:rsidP="00790BEC">
                              <w:r>
                                <w:rPr>
                                  <w:color w:val="000000"/>
                                </w:rPr>
                                <w:t xml:space="preserve">Transmitter OFF </w:t>
                              </w:r>
                            </w:p>
                          </w:txbxContent>
                        </wps:txbx>
                        <wps:bodyPr rot="0" vert="horz" wrap="none" lIns="0" tIns="0" rIns="0" bIns="0" anchor="t" anchorCtr="0" upright="1">
                          <a:spAutoFit/>
                        </wps:bodyPr>
                      </wps:wsp>
                      <wps:wsp>
                        <wps:cNvPr id="36" name="Rectangle 87"/>
                        <wps:cNvSpPr>
                          <a:spLocks noChangeArrowheads="1"/>
                        </wps:cNvSpPr>
                        <wps:spPr bwMode="auto">
                          <a:xfrm>
                            <a:off x="1650849" y="2489840"/>
                            <a:ext cx="3244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D4B49" w14:textId="77777777" w:rsidR="00BC408B" w:rsidRDefault="00BC408B" w:rsidP="00790BEC">
                              <w:r>
                                <w:rPr>
                                  <w:color w:val="000000"/>
                                </w:rPr>
                                <w:t>period</w:t>
                              </w:r>
                            </w:p>
                          </w:txbxContent>
                        </wps:txbx>
                        <wps:bodyPr rot="0" vert="horz" wrap="none" lIns="0" tIns="0" rIns="0" bIns="0" anchor="t" anchorCtr="0" upright="1">
                          <a:spAutoFit/>
                        </wps:bodyPr>
                      </wps:wsp>
                      <wps:wsp>
                        <wps:cNvPr id="37" name="Rectangle 88"/>
                        <wps:cNvSpPr>
                          <a:spLocks noChangeArrowheads="1"/>
                        </wps:cNvSpPr>
                        <wps:spPr bwMode="auto">
                          <a:xfrm>
                            <a:off x="1963221" y="2489840"/>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BFCFBF"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38" name="Freeform 89"/>
                        <wps:cNvSpPr>
                          <a:spLocks noEditPoints="1"/>
                        </wps:cNvSpPr>
                        <wps:spPr bwMode="auto">
                          <a:xfrm>
                            <a:off x="4610741" y="2223167"/>
                            <a:ext cx="1174710" cy="73002"/>
                          </a:xfrm>
                          <a:custGeom>
                            <a:avLst/>
                            <a:gdLst>
                              <a:gd name="T0" fmla="*/ 11104324 w 6433"/>
                              <a:gd name="T1" fmla="*/ 5564212 h 400"/>
                              <a:gd name="T2" fmla="*/ 213417032 w 6433"/>
                              <a:gd name="T3" fmla="*/ 5664225 h 400"/>
                              <a:gd name="T4" fmla="*/ 214517421 w 6433"/>
                              <a:gd name="T5" fmla="*/ 6763635 h 400"/>
                              <a:gd name="T6" fmla="*/ 213417032 w 6433"/>
                              <a:gd name="T7" fmla="*/ 7863228 h 400"/>
                              <a:gd name="T8" fmla="*/ 11104324 w 6433"/>
                              <a:gd name="T9" fmla="*/ 7763215 h 400"/>
                              <a:gd name="T10" fmla="*/ 10003935 w 6433"/>
                              <a:gd name="T11" fmla="*/ 6663805 h 400"/>
                              <a:gd name="T12" fmla="*/ 11104324 w 6433"/>
                              <a:gd name="T13" fmla="*/ 5564212 h 400"/>
                              <a:gd name="T14" fmla="*/ 13338519 w 6433"/>
                              <a:gd name="T15" fmla="*/ 13327428 h 400"/>
                              <a:gd name="T16" fmla="*/ 0 w 6433"/>
                              <a:gd name="T17" fmla="*/ 6663805 h 400"/>
                              <a:gd name="T18" fmla="*/ 13338519 w 6433"/>
                              <a:gd name="T19" fmla="*/ 0 h 400"/>
                              <a:gd name="T20" fmla="*/ 13338519 w 6433"/>
                              <a:gd name="T21" fmla="*/ 13327428 h 4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6433" h="400">
                                <a:moveTo>
                                  <a:pt x="333" y="167"/>
                                </a:moveTo>
                                <a:lnTo>
                                  <a:pt x="6400" y="170"/>
                                </a:lnTo>
                                <a:cubicBezTo>
                                  <a:pt x="6418" y="170"/>
                                  <a:pt x="6433" y="185"/>
                                  <a:pt x="6433" y="203"/>
                                </a:cubicBezTo>
                                <a:cubicBezTo>
                                  <a:pt x="6433" y="222"/>
                                  <a:pt x="6418" y="236"/>
                                  <a:pt x="6400" y="236"/>
                                </a:cubicBezTo>
                                <a:lnTo>
                                  <a:pt x="333" y="233"/>
                                </a:lnTo>
                                <a:cubicBezTo>
                                  <a:pt x="315" y="233"/>
                                  <a:pt x="300" y="218"/>
                                  <a:pt x="300" y="200"/>
                                </a:cubicBezTo>
                                <a:cubicBezTo>
                                  <a:pt x="300" y="182"/>
                                  <a:pt x="315" y="167"/>
                                  <a:pt x="333" y="167"/>
                                </a:cubicBezTo>
                                <a:close/>
                                <a:moveTo>
                                  <a:pt x="400" y="400"/>
                                </a:moveTo>
                                <a:lnTo>
                                  <a:pt x="0" y="200"/>
                                </a:lnTo>
                                <a:lnTo>
                                  <a:pt x="400" y="0"/>
                                </a:lnTo>
                                <a:lnTo>
                                  <a:pt x="40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90"/>
                        <wps:cNvSpPr>
                          <a:spLocks noEditPoints="1"/>
                        </wps:cNvSpPr>
                        <wps:spPr bwMode="auto">
                          <a:xfrm>
                            <a:off x="2409821" y="2223167"/>
                            <a:ext cx="356203" cy="73002"/>
                          </a:xfrm>
                          <a:custGeom>
                            <a:avLst/>
                            <a:gdLst>
                              <a:gd name="T0" fmla="*/ 5544623 w 3907"/>
                              <a:gd name="T1" fmla="*/ 2754464 h 804"/>
                              <a:gd name="T2" fmla="*/ 26941784 w 3907"/>
                              <a:gd name="T3" fmla="*/ 2787514 h 804"/>
                              <a:gd name="T4" fmla="*/ 27490447 w 3907"/>
                              <a:gd name="T5" fmla="*/ 3340023 h 804"/>
                              <a:gd name="T6" fmla="*/ 26933487 w 3907"/>
                              <a:gd name="T7" fmla="*/ 3884360 h 804"/>
                              <a:gd name="T8" fmla="*/ 5544623 w 3907"/>
                              <a:gd name="T9" fmla="*/ 3851309 h 804"/>
                              <a:gd name="T10" fmla="*/ 4987663 w 3907"/>
                              <a:gd name="T11" fmla="*/ 3298801 h 804"/>
                              <a:gd name="T12" fmla="*/ 5544623 w 3907"/>
                              <a:gd name="T13" fmla="*/ 2754464 h 804"/>
                              <a:gd name="T14" fmla="*/ 6650247 w 3907"/>
                              <a:gd name="T15" fmla="*/ 6597601 h 804"/>
                              <a:gd name="T16" fmla="*/ 0 w 3907"/>
                              <a:gd name="T17" fmla="*/ 3290538 h 804"/>
                              <a:gd name="T18" fmla="*/ 6658544 w 3907"/>
                              <a:gd name="T19" fmla="*/ 0 h 804"/>
                              <a:gd name="T20" fmla="*/ 6650247 w 3907"/>
                              <a:gd name="T21" fmla="*/ 6597601 h 804"/>
                              <a:gd name="T22" fmla="*/ 25836159 w 3907"/>
                              <a:gd name="T23" fmla="*/ 32960 h 804"/>
                              <a:gd name="T24" fmla="*/ 32478110 w 3907"/>
                              <a:gd name="T25" fmla="*/ 3348286 h 804"/>
                              <a:gd name="T26" fmla="*/ 25819566 w 3907"/>
                              <a:gd name="T27" fmla="*/ 6630561 h 804"/>
                              <a:gd name="T28" fmla="*/ 25836159 w 3907"/>
                              <a:gd name="T29" fmla="*/ 32960 h 804"/>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3907" h="804">
                                <a:moveTo>
                                  <a:pt x="667" y="334"/>
                                </a:moveTo>
                                <a:lnTo>
                                  <a:pt x="3241" y="338"/>
                                </a:lnTo>
                                <a:cubicBezTo>
                                  <a:pt x="3277" y="338"/>
                                  <a:pt x="3307" y="368"/>
                                  <a:pt x="3307" y="405"/>
                                </a:cubicBezTo>
                                <a:cubicBezTo>
                                  <a:pt x="3307" y="442"/>
                                  <a:pt x="3277" y="471"/>
                                  <a:pt x="3240" y="471"/>
                                </a:cubicBezTo>
                                <a:lnTo>
                                  <a:pt x="667" y="467"/>
                                </a:lnTo>
                                <a:cubicBezTo>
                                  <a:pt x="630" y="467"/>
                                  <a:pt x="600" y="437"/>
                                  <a:pt x="600" y="400"/>
                                </a:cubicBezTo>
                                <a:cubicBezTo>
                                  <a:pt x="601" y="363"/>
                                  <a:pt x="630" y="334"/>
                                  <a:pt x="667" y="334"/>
                                </a:cubicBezTo>
                                <a:close/>
                                <a:moveTo>
                                  <a:pt x="800" y="800"/>
                                </a:moveTo>
                                <a:lnTo>
                                  <a:pt x="0" y="399"/>
                                </a:lnTo>
                                <a:lnTo>
                                  <a:pt x="801" y="0"/>
                                </a:lnTo>
                                <a:lnTo>
                                  <a:pt x="800" y="800"/>
                                </a:lnTo>
                                <a:close/>
                                <a:moveTo>
                                  <a:pt x="3108" y="4"/>
                                </a:moveTo>
                                <a:lnTo>
                                  <a:pt x="3907" y="406"/>
                                </a:lnTo>
                                <a:lnTo>
                                  <a:pt x="3106" y="804"/>
                                </a:lnTo>
                                <a:lnTo>
                                  <a:pt x="3108" y="4"/>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91"/>
                        <wps:cNvSpPr>
                          <a:spLocks noEditPoints="1"/>
                        </wps:cNvSpPr>
                        <wps:spPr bwMode="auto">
                          <a:xfrm>
                            <a:off x="4180837" y="2223167"/>
                            <a:ext cx="421004" cy="73002"/>
                          </a:xfrm>
                          <a:custGeom>
                            <a:avLst/>
                            <a:gdLst>
                              <a:gd name="T0" fmla="*/ 11152038 w 2304"/>
                              <a:gd name="T1" fmla="*/ 5481671 h 403"/>
                              <a:gd name="T2" fmla="*/ 65810563 w 2304"/>
                              <a:gd name="T3" fmla="*/ 5547246 h 403"/>
                              <a:gd name="T4" fmla="*/ 66912410 w 2304"/>
                              <a:gd name="T5" fmla="*/ 6663289 h 403"/>
                              <a:gd name="T6" fmla="*/ 65777124 w 2304"/>
                              <a:gd name="T7" fmla="*/ 7746545 h 403"/>
                              <a:gd name="T8" fmla="*/ 11152038 w 2304"/>
                              <a:gd name="T9" fmla="*/ 7680970 h 403"/>
                              <a:gd name="T10" fmla="*/ 10016752 w 2304"/>
                              <a:gd name="T11" fmla="*/ 6564927 h 403"/>
                              <a:gd name="T12" fmla="*/ 11152038 w 2304"/>
                              <a:gd name="T13" fmla="*/ 5481671 h 403"/>
                              <a:gd name="T14" fmla="*/ 13355731 w 2304"/>
                              <a:gd name="T15" fmla="*/ 13129672 h 403"/>
                              <a:gd name="T16" fmla="*/ 0 w 2304"/>
                              <a:gd name="T17" fmla="*/ 6564927 h 403"/>
                              <a:gd name="T18" fmla="*/ 13389170 w 2304"/>
                              <a:gd name="T19" fmla="*/ 0 h 403"/>
                              <a:gd name="T20" fmla="*/ 13355731 w 2304"/>
                              <a:gd name="T21" fmla="*/ 13129672 h 403"/>
                              <a:gd name="T22" fmla="*/ 63573431 w 2304"/>
                              <a:gd name="T23" fmla="*/ 98544 h 403"/>
                              <a:gd name="T24" fmla="*/ 76929162 w 2304"/>
                              <a:gd name="T25" fmla="*/ 6663289 h 403"/>
                              <a:gd name="T26" fmla="*/ 63573431 w 2304"/>
                              <a:gd name="T27" fmla="*/ 13228216 h 403"/>
                              <a:gd name="T28" fmla="*/ 63573431 w 2304"/>
                              <a:gd name="T29" fmla="*/ 98544 h 403"/>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2304" h="403">
                                <a:moveTo>
                                  <a:pt x="334" y="167"/>
                                </a:moveTo>
                                <a:lnTo>
                                  <a:pt x="1971" y="169"/>
                                </a:lnTo>
                                <a:cubicBezTo>
                                  <a:pt x="1989" y="169"/>
                                  <a:pt x="2004" y="184"/>
                                  <a:pt x="2004" y="203"/>
                                </a:cubicBezTo>
                                <a:cubicBezTo>
                                  <a:pt x="2004" y="221"/>
                                  <a:pt x="1989" y="236"/>
                                  <a:pt x="1970" y="236"/>
                                </a:cubicBezTo>
                                <a:lnTo>
                                  <a:pt x="334" y="234"/>
                                </a:lnTo>
                                <a:cubicBezTo>
                                  <a:pt x="315" y="234"/>
                                  <a:pt x="300" y="219"/>
                                  <a:pt x="300" y="200"/>
                                </a:cubicBezTo>
                                <a:cubicBezTo>
                                  <a:pt x="300" y="182"/>
                                  <a:pt x="315" y="167"/>
                                  <a:pt x="334" y="167"/>
                                </a:cubicBezTo>
                                <a:close/>
                                <a:moveTo>
                                  <a:pt x="400" y="400"/>
                                </a:moveTo>
                                <a:lnTo>
                                  <a:pt x="0" y="200"/>
                                </a:lnTo>
                                <a:lnTo>
                                  <a:pt x="401" y="0"/>
                                </a:lnTo>
                                <a:lnTo>
                                  <a:pt x="400" y="400"/>
                                </a:lnTo>
                                <a:close/>
                                <a:moveTo>
                                  <a:pt x="1904" y="3"/>
                                </a:moveTo>
                                <a:lnTo>
                                  <a:pt x="2304" y="203"/>
                                </a:lnTo>
                                <a:lnTo>
                                  <a:pt x="1904" y="403"/>
                                </a:lnTo>
                                <a:lnTo>
                                  <a:pt x="1904" y="3"/>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92"/>
                        <wps:cNvSpPr>
                          <a:spLocks noChangeArrowheads="1"/>
                        </wps:cNvSpPr>
                        <wps:spPr bwMode="auto">
                          <a:xfrm>
                            <a:off x="2941630" y="1949432"/>
                            <a:ext cx="106172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DB139" w14:textId="77777777" w:rsidR="00BC408B" w:rsidRDefault="00BC408B" w:rsidP="00790BEC">
                              <w:r>
                                <w:rPr>
                                  <w:color w:val="000000"/>
                                </w:rPr>
                                <w:t xml:space="preserve">Transmitter transient </w:t>
                              </w:r>
                            </w:p>
                          </w:txbxContent>
                        </wps:txbx>
                        <wps:bodyPr rot="0" vert="horz" wrap="none" lIns="0" tIns="0" rIns="0" bIns="0" anchor="t" anchorCtr="0" upright="1">
                          <a:spAutoFit/>
                        </wps:bodyPr>
                      </wps:wsp>
                      <wps:wsp>
                        <wps:cNvPr id="42" name="Rectangle 93"/>
                        <wps:cNvSpPr>
                          <a:spLocks noChangeArrowheads="1"/>
                        </wps:cNvSpPr>
                        <wps:spPr bwMode="auto">
                          <a:xfrm>
                            <a:off x="3293998" y="2089134"/>
                            <a:ext cx="3244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0DC44" w14:textId="77777777" w:rsidR="00BC408B" w:rsidRDefault="00BC408B" w:rsidP="00790BEC">
                              <w:r>
                                <w:rPr>
                                  <w:color w:val="000000"/>
                                </w:rPr>
                                <w:t>period</w:t>
                              </w:r>
                            </w:p>
                          </w:txbxContent>
                        </wps:txbx>
                        <wps:bodyPr rot="0" vert="horz" wrap="none" lIns="0" tIns="0" rIns="0" bIns="0" anchor="t" anchorCtr="0" upright="1">
                          <a:spAutoFit/>
                        </wps:bodyPr>
                      </wps:wsp>
                      <wps:wsp>
                        <wps:cNvPr id="43" name="Rectangle 94"/>
                        <wps:cNvSpPr>
                          <a:spLocks noChangeArrowheads="1"/>
                        </wps:cNvSpPr>
                        <wps:spPr bwMode="auto">
                          <a:xfrm>
                            <a:off x="3606470" y="2089134"/>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022A73"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44" name="Line 95"/>
                        <wps:cNvCnPr/>
                        <wps:spPr bwMode="auto">
                          <a:xfrm flipV="1">
                            <a:off x="2500622" y="2022461"/>
                            <a:ext cx="383503" cy="218507"/>
                          </a:xfrm>
                          <a:prstGeom prst="line">
                            <a:avLst/>
                          </a:prstGeom>
                          <a:noFill/>
                          <a:ln w="8890"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96"/>
                        <wps:cNvCnPr/>
                        <wps:spPr bwMode="auto">
                          <a:xfrm flipH="1" flipV="1">
                            <a:off x="4026536" y="2022461"/>
                            <a:ext cx="373403" cy="218507"/>
                          </a:xfrm>
                          <a:prstGeom prst="line">
                            <a:avLst/>
                          </a:prstGeom>
                          <a:noFill/>
                          <a:ln w="8890" cap="rnd">
                            <a:solidFill>
                              <a:srgbClr val="000000"/>
                            </a:solidFill>
                            <a:round/>
                            <a:headEnd/>
                            <a:tailEnd/>
                          </a:ln>
                          <a:extLst>
                            <a:ext uri="{909E8E84-426E-40DD-AFC4-6F175D3DCCD1}">
                              <a14:hiddenFill xmlns:a14="http://schemas.microsoft.com/office/drawing/2010/main">
                                <a:noFill/>
                              </a14:hiddenFill>
                            </a:ext>
                          </a:extLst>
                        </wps:spPr>
                        <wps:bodyPr/>
                      </wps:wsp>
                      <wps:wsp>
                        <wps:cNvPr id="50" name="Rectangle 97" descr="宽上对角线"/>
                        <wps:cNvSpPr>
                          <a:spLocks noChangeArrowheads="1"/>
                        </wps:cNvSpPr>
                        <wps:spPr bwMode="auto">
                          <a:xfrm>
                            <a:off x="1313812" y="1320140"/>
                            <a:ext cx="1096010" cy="218507"/>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Line 98"/>
                        <wps:cNvCnPr/>
                        <wps:spPr bwMode="auto">
                          <a:xfrm>
                            <a:off x="1313812" y="1538646"/>
                            <a:ext cx="1096010" cy="600"/>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wps:wsp>
                        <wps:cNvPr id="52" name="Line 99"/>
                        <wps:cNvCnPr/>
                        <wps:spPr bwMode="auto">
                          <a:xfrm flipV="1">
                            <a:off x="2409821" y="1320140"/>
                            <a:ext cx="600" cy="218507"/>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wps:wsp>
                        <wps:cNvPr id="53" name="Rectangle 100" descr="宽上对角线"/>
                        <wps:cNvSpPr>
                          <a:spLocks noChangeArrowheads="1"/>
                        </wps:cNvSpPr>
                        <wps:spPr bwMode="auto">
                          <a:xfrm>
                            <a:off x="4600541" y="1320140"/>
                            <a:ext cx="1096010" cy="218507"/>
                          </a:xfrm>
                          <a:prstGeom prst="rect">
                            <a:avLst/>
                          </a:prstGeom>
                          <a:pattFill prst="wd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Line 101"/>
                        <wps:cNvCnPr/>
                        <wps:spPr bwMode="auto">
                          <a:xfrm>
                            <a:off x="4600541" y="1538646"/>
                            <a:ext cx="1096010" cy="600"/>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wps:wsp>
                        <wps:cNvPr id="55" name="Line 102"/>
                        <wps:cNvCnPr/>
                        <wps:spPr bwMode="auto">
                          <a:xfrm flipV="1">
                            <a:off x="4600541" y="1320140"/>
                            <a:ext cx="1300" cy="218507"/>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wps:wsp>
                        <wps:cNvPr id="56" name="Rectangle 103"/>
                        <wps:cNvSpPr>
                          <a:spLocks noChangeArrowheads="1"/>
                        </wps:cNvSpPr>
                        <wps:spPr bwMode="auto">
                          <a:xfrm>
                            <a:off x="306672" y="1475124"/>
                            <a:ext cx="86106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A8E84C" w14:textId="77777777" w:rsidR="00BC408B" w:rsidRDefault="00BC408B" w:rsidP="00790BEC">
                              <w:r>
                                <w:rPr>
                                  <w:color w:val="000000"/>
                                </w:rPr>
                                <w:t>OFF power level</w:t>
                              </w:r>
                            </w:p>
                          </w:txbxContent>
                        </wps:txbx>
                        <wps:bodyPr rot="0" vert="horz" wrap="none" lIns="0" tIns="0" rIns="0" bIns="0" anchor="t" anchorCtr="0" upright="1">
                          <a:spAutoFit/>
                        </wps:bodyPr>
                      </wps:wsp>
                      <wps:wsp>
                        <wps:cNvPr id="57" name="Rectangle 104"/>
                        <wps:cNvSpPr>
                          <a:spLocks noChangeArrowheads="1"/>
                        </wps:cNvSpPr>
                        <wps:spPr bwMode="auto">
                          <a:xfrm>
                            <a:off x="1130796" y="1475124"/>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0EB61"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58" name="Rectangle 105"/>
                        <wps:cNvSpPr>
                          <a:spLocks noChangeArrowheads="1"/>
                        </wps:cNvSpPr>
                        <wps:spPr bwMode="auto">
                          <a:xfrm>
                            <a:off x="306672" y="1615426"/>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F5A92"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59" name="Rectangle 106"/>
                        <wps:cNvSpPr>
                          <a:spLocks noChangeArrowheads="1"/>
                        </wps:cNvSpPr>
                        <wps:spPr bwMode="auto">
                          <a:xfrm>
                            <a:off x="268575" y="272404"/>
                            <a:ext cx="81153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3D1D4" w14:textId="77777777" w:rsidR="00BC408B" w:rsidRDefault="00BC408B" w:rsidP="00790BEC">
                              <w:r>
                                <w:rPr>
                                  <w:color w:val="000000"/>
                                </w:rPr>
                                <w:t>ON power level</w:t>
                              </w:r>
                            </w:p>
                          </w:txbxContent>
                        </wps:txbx>
                        <wps:bodyPr rot="0" vert="horz" wrap="none" lIns="0" tIns="0" rIns="0" bIns="0" anchor="t" anchorCtr="0" upright="1">
                          <a:spAutoFit/>
                        </wps:bodyPr>
                      </wps:wsp>
                      <wps:wsp>
                        <wps:cNvPr id="60" name="Rectangle 107"/>
                        <wps:cNvSpPr>
                          <a:spLocks noChangeArrowheads="1"/>
                        </wps:cNvSpPr>
                        <wps:spPr bwMode="auto">
                          <a:xfrm>
                            <a:off x="1044404" y="272404"/>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E1087"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61" name="Rectangle 108"/>
                        <wps:cNvSpPr>
                          <a:spLocks noChangeArrowheads="1"/>
                        </wps:cNvSpPr>
                        <wps:spPr bwMode="auto">
                          <a:xfrm>
                            <a:off x="330137" y="412694"/>
                            <a:ext cx="577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44FD4B" w14:textId="77777777" w:rsidR="00BC408B" w:rsidRDefault="00BC408B" w:rsidP="00790BEC"/>
                          </w:txbxContent>
                        </wps:txbx>
                        <wps:bodyPr rot="0" vert="horz" wrap="none" lIns="0" tIns="0" rIns="0" bIns="0" anchor="t" anchorCtr="0" upright="1">
                          <a:spAutoFit/>
                        </wps:bodyPr>
                      </wps:wsp>
                      <wps:wsp>
                        <wps:cNvPr id="62" name="Rectangle 109"/>
                        <wps:cNvSpPr>
                          <a:spLocks noChangeArrowheads="1"/>
                        </wps:cNvSpPr>
                        <wps:spPr bwMode="auto">
                          <a:xfrm>
                            <a:off x="984710" y="412706"/>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ECC5AE"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63" name="Freeform 110"/>
                        <wps:cNvSpPr>
                          <a:spLocks noEditPoints="1"/>
                        </wps:cNvSpPr>
                        <wps:spPr bwMode="auto">
                          <a:xfrm>
                            <a:off x="1200111" y="440613"/>
                            <a:ext cx="2966726" cy="10200"/>
                          </a:xfrm>
                          <a:custGeom>
                            <a:avLst/>
                            <a:gdLst>
                              <a:gd name="T0" fmla="*/ 0 w 16250"/>
                              <a:gd name="T1" fmla="*/ 888533 h 54"/>
                              <a:gd name="T2" fmla="*/ 12499136 w 16250"/>
                              <a:gd name="T3" fmla="*/ 1812578 h 54"/>
                              <a:gd name="T4" fmla="*/ 29164468 w 16250"/>
                              <a:gd name="T5" fmla="*/ 1812578 h 54"/>
                              <a:gd name="T6" fmla="*/ 41663605 w 16250"/>
                              <a:gd name="T7" fmla="*/ 924044 h 54"/>
                              <a:gd name="T8" fmla="*/ 52496262 w 16250"/>
                              <a:gd name="T9" fmla="*/ 35511 h 54"/>
                              <a:gd name="T10" fmla="*/ 59162359 w 16250"/>
                              <a:gd name="T11" fmla="*/ 35511 h 54"/>
                              <a:gd name="T12" fmla="*/ 59162359 w 16250"/>
                              <a:gd name="T13" fmla="*/ 35511 h 54"/>
                              <a:gd name="T14" fmla="*/ 69995016 w 16250"/>
                              <a:gd name="T15" fmla="*/ 924044 h 54"/>
                              <a:gd name="T16" fmla="*/ 82493970 w 16250"/>
                              <a:gd name="T17" fmla="*/ 1812578 h 54"/>
                              <a:gd name="T18" fmla="*/ 99159485 w 16250"/>
                              <a:gd name="T19" fmla="*/ 1812578 h 54"/>
                              <a:gd name="T20" fmla="*/ 111658621 w 16250"/>
                              <a:gd name="T21" fmla="*/ 924044 h 54"/>
                              <a:gd name="T22" fmla="*/ 122491096 w 16250"/>
                              <a:gd name="T23" fmla="*/ 35511 h 54"/>
                              <a:gd name="T24" fmla="*/ 129157375 w 16250"/>
                              <a:gd name="T25" fmla="*/ 35511 h 54"/>
                              <a:gd name="T26" fmla="*/ 129157375 w 16250"/>
                              <a:gd name="T27" fmla="*/ 35511 h 54"/>
                              <a:gd name="T28" fmla="*/ 139989850 w 16250"/>
                              <a:gd name="T29" fmla="*/ 924044 h 54"/>
                              <a:gd name="T30" fmla="*/ 152488986 w 16250"/>
                              <a:gd name="T31" fmla="*/ 1812578 h 54"/>
                              <a:gd name="T32" fmla="*/ 169154318 w 16250"/>
                              <a:gd name="T33" fmla="*/ 1848089 h 54"/>
                              <a:gd name="T34" fmla="*/ 181653455 w 16250"/>
                              <a:gd name="T35" fmla="*/ 959556 h 54"/>
                              <a:gd name="T36" fmla="*/ 192486112 w 16250"/>
                              <a:gd name="T37" fmla="*/ 71022 h 54"/>
                              <a:gd name="T38" fmla="*/ 199152209 w 16250"/>
                              <a:gd name="T39" fmla="*/ 71022 h 54"/>
                              <a:gd name="T40" fmla="*/ 199152209 w 16250"/>
                              <a:gd name="T41" fmla="*/ 71022 h 54"/>
                              <a:gd name="T42" fmla="*/ 209984866 w 16250"/>
                              <a:gd name="T43" fmla="*/ 959556 h 54"/>
                              <a:gd name="T44" fmla="*/ 222483820 w 16250"/>
                              <a:gd name="T45" fmla="*/ 1848089 h 54"/>
                              <a:gd name="T46" fmla="*/ 239149335 w 16250"/>
                              <a:gd name="T47" fmla="*/ 1848089 h 54"/>
                              <a:gd name="T48" fmla="*/ 251648471 w 16250"/>
                              <a:gd name="T49" fmla="*/ 959556 h 54"/>
                              <a:gd name="T50" fmla="*/ 262480946 w 16250"/>
                              <a:gd name="T51" fmla="*/ 71022 h 54"/>
                              <a:gd name="T52" fmla="*/ 269147225 w 16250"/>
                              <a:gd name="T53" fmla="*/ 71022 h 54"/>
                              <a:gd name="T54" fmla="*/ 269147225 w 16250"/>
                              <a:gd name="T55" fmla="*/ 71022 h 54"/>
                              <a:gd name="T56" fmla="*/ 279979700 w 16250"/>
                              <a:gd name="T57" fmla="*/ 959556 h 54"/>
                              <a:gd name="T58" fmla="*/ 292478836 w 16250"/>
                              <a:gd name="T59" fmla="*/ 1848089 h 54"/>
                              <a:gd name="T60" fmla="*/ 309144168 w 16250"/>
                              <a:gd name="T61" fmla="*/ 1848089 h 54"/>
                              <a:gd name="T62" fmla="*/ 321643305 w 16250"/>
                              <a:gd name="T63" fmla="*/ 959556 h 54"/>
                              <a:gd name="T64" fmla="*/ 332475962 w 16250"/>
                              <a:gd name="T65" fmla="*/ 106533 h 54"/>
                              <a:gd name="T66" fmla="*/ 339142059 w 16250"/>
                              <a:gd name="T67" fmla="*/ 106533 h 54"/>
                              <a:gd name="T68" fmla="*/ 339142059 w 16250"/>
                              <a:gd name="T69" fmla="*/ 106533 h 54"/>
                              <a:gd name="T70" fmla="*/ 349974716 w 16250"/>
                              <a:gd name="T71" fmla="*/ 995067 h 54"/>
                              <a:gd name="T72" fmla="*/ 362473670 w 16250"/>
                              <a:gd name="T73" fmla="*/ 1883600 h 54"/>
                              <a:gd name="T74" fmla="*/ 379139185 w 16250"/>
                              <a:gd name="T75" fmla="*/ 1883600 h 54"/>
                              <a:gd name="T76" fmla="*/ 391638321 w 16250"/>
                              <a:gd name="T77" fmla="*/ 995067 h 54"/>
                              <a:gd name="T78" fmla="*/ 402470796 w 16250"/>
                              <a:gd name="T79" fmla="*/ 106533 h 54"/>
                              <a:gd name="T80" fmla="*/ 409137075 w 16250"/>
                              <a:gd name="T81" fmla="*/ 106533 h 54"/>
                              <a:gd name="T82" fmla="*/ 409137075 w 16250"/>
                              <a:gd name="T83" fmla="*/ 106533 h 54"/>
                              <a:gd name="T84" fmla="*/ 419969550 w 16250"/>
                              <a:gd name="T85" fmla="*/ 995067 h 54"/>
                              <a:gd name="T86" fmla="*/ 432468686 w 16250"/>
                              <a:gd name="T87" fmla="*/ 1883600 h 54"/>
                              <a:gd name="T88" fmla="*/ 449134201 w 16250"/>
                              <a:gd name="T89" fmla="*/ 1883600 h 54"/>
                              <a:gd name="T90" fmla="*/ 461633155 w 16250"/>
                              <a:gd name="T91" fmla="*/ 995067 h 54"/>
                              <a:gd name="T92" fmla="*/ 472465812 w 16250"/>
                              <a:gd name="T93" fmla="*/ 106533 h 54"/>
                              <a:gd name="T94" fmla="*/ 479131909 w 16250"/>
                              <a:gd name="T95" fmla="*/ 106533 h 54"/>
                              <a:gd name="T96" fmla="*/ 479131909 w 16250"/>
                              <a:gd name="T97" fmla="*/ 106533 h 54"/>
                              <a:gd name="T98" fmla="*/ 489964566 w 16250"/>
                              <a:gd name="T99" fmla="*/ 995067 h 54"/>
                              <a:gd name="T100" fmla="*/ 502463520 w 16250"/>
                              <a:gd name="T101" fmla="*/ 1919111 h 54"/>
                              <a:gd name="T102" fmla="*/ 519129035 w 16250"/>
                              <a:gd name="T103" fmla="*/ 1919111 h 54"/>
                              <a:gd name="T104" fmla="*/ 531628171 w 16250"/>
                              <a:gd name="T105" fmla="*/ 1030578 h 54"/>
                              <a:gd name="T106" fmla="*/ 540794167 w 16250"/>
                              <a:gd name="T107" fmla="*/ 142233 h 54"/>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Lst>
                            <a:ahLst/>
                            <a:cxnLst>
                              <a:cxn ang="T108">
                                <a:pos x="T0" y="T1"/>
                              </a:cxn>
                              <a:cxn ang="T109">
                                <a:pos x="T2" y="T3"/>
                              </a:cxn>
                              <a:cxn ang="T110">
                                <a:pos x="T4" y="T5"/>
                              </a:cxn>
                              <a:cxn ang="T111">
                                <a:pos x="T6" y="T7"/>
                              </a:cxn>
                              <a:cxn ang="T112">
                                <a:pos x="T8" y="T9"/>
                              </a:cxn>
                              <a:cxn ang="T113">
                                <a:pos x="T10" y="T11"/>
                              </a:cxn>
                              <a:cxn ang="T114">
                                <a:pos x="T12" y="T13"/>
                              </a:cxn>
                              <a:cxn ang="T115">
                                <a:pos x="T14" y="T15"/>
                              </a:cxn>
                              <a:cxn ang="T116">
                                <a:pos x="T16" y="T17"/>
                              </a:cxn>
                              <a:cxn ang="T117">
                                <a:pos x="T18" y="T19"/>
                              </a:cxn>
                              <a:cxn ang="T118">
                                <a:pos x="T20" y="T21"/>
                              </a:cxn>
                              <a:cxn ang="T119">
                                <a:pos x="T22" y="T23"/>
                              </a:cxn>
                              <a:cxn ang="T120">
                                <a:pos x="T24" y="T25"/>
                              </a:cxn>
                              <a:cxn ang="T121">
                                <a:pos x="T26" y="T27"/>
                              </a:cxn>
                              <a:cxn ang="T122">
                                <a:pos x="T28" y="T29"/>
                              </a:cxn>
                              <a:cxn ang="T123">
                                <a:pos x="T30" y="T31"/>
                              </a:cxn>
                              <a:cxn ang="T124">
                                <a:pos x="T32" y="T33"/>
                              </a:cxn>
                              <a:cxn ang="T125">
                                <a:pos x="T34" y="T35"/>
                              </a:cxn>
                              <a:cxn ang="T126">
                                <a:pos x="T36" y="T37"/>
                              </a:cxn>
                              <a:cxn ang="T127">
                                <a:pos x="T38" y="T39"/>
                              </a:cxn>
                              <a:cxn ang="T128">
                                <a:pos x="T40" y="T41"/>
                              </a:cxn>
                              <a:cxn ang="T129">
                                <a:pos x="T42" y="T43"/>
                              </a:cxn>
                              <a:cxn ang="T130">
                                <a:pos x="T44" y="T45"/>
                              </a:cxn>
                              <a:cxn ang="T131">
                                <a:pos x="T46" y="T47"/>
                              </a:cxn>
                              <a:cxn ang="T132">
                                <a:pos x="T48" y="T49"/>
                              </a:cxn>
                              <a:cxn ang="T133">
                                <a:pos x="T50" y="T51"/>
                              </a:cxn>
                              <a:cxn ang="T134">
                                <a:pos x="T52" y="T53"/>
                              </a:cxn>
                              <a:cxn ang="T135">
                                <a:pos x="T54" y="T55"/>
                              </a:cxn>
                              <a:cxn ang="T136">
                                <a:pos x="T56" y="T57"/>
                              </a:cxn>
                              <a:cxn ang="T137">
                                <a:pos x="T58" y="T59"/>
                              </a:cxn>
                              <a:cxn ang="T138">
                                <a:pos x="T60" y="T61"/>
                              </a:cxn>
                              <a:cxn ang="T139">
                                <a:pos x="T62" y="T63"/>
                              </a:cxn>
                              <a:cxn ang="T140">
                                <a:pos x="T64" y="T65"/>
                              </a:cxn>
                              <a:cxn ang="T141">
                                <a:pos x="T66" y="T67"/>
                              </a:cxn>
                              <a:cxn ang="T142">
                                <a:pos x="T68" y="T69"/>
                              </a:cxn>
                              <a:cxn ang="T143">
                                <a:pos x="T70" y="T71"/>
                              </a:cxn>
                              <a:cxn ang="T144">
                                <a:pos x="T72" y="T73"/>
                              </a:cxn>
                              <a:cxn ang="T145">
                                <a:pos x="T74" y="T75"/>
                              </a:cxn>
                              <a:cxn ang="T146">
                                <a:pos x="T76" y="T77"/>
                              </a:cxn>
                              <a:cxn ang="T147">
                                <a:pos x="T78" y="T79"/>
                              </a:cxn>
                              <a:cxn ang="T148">
                                <a:pos x="T80" y="T81"/>
                              </a:cxn>
                              <a:cxn ang="T149">
                                <a:pos x="T82" y="T83"/>
                              </a:cxn>
                              <a:cxn ang="T150">
                                <a:pos x="T84" y="T85"/>
                              </a:cxn>
                              <a:cxn ang="T151">
                                <a:pos x="T86" y="T87"/>
                              </a:cxn>
                              <a:cxn ang="T152">
                                <a:pos x="T88" y="T89"/>
                              </a:cxn>
                              <a:cxn ang="T153">
                                <a:pos x="T90" y="T91"/>
                              </a:cxn>
                              <a:cxn ang="T154">
                                <a:pos x="T92" y="T93"/>
                              </a:cxn>
                              <a:cxn ang="T155">
                                <a:pos x="T94" y="T95"/>
                              </a:cxn>
                              <a:cxn ang="T156">
                                <a:pos x="T96" y="T97"/>
                              </a:cxn>
                              <a:cxn ang="T157">
                                <a:pos x="T98" y="T99"/>
                              </a:cxn>
                              <a:cxn ang="T158">
                                <a:pos x="T100" y="T101"/>
                              </a:cxn>
                              <a:cxn ang="T159">
                                <a:pos x="T102" y="T103"/>
                              </a:cxn>
                              <a:cxn ang="T160">
                                <a:pos x="T104" y="T105"/>
                              </a:cxn>
                              <a:cxn ang="T161">
                                <a:pos x="T106" y="T107"/>
                              </a:cxn>
                            </a:cxnLst>
                            <a:rect l="0" t="0" r="r" b="b"/>
                            <a:pathLst>
                              <a:path w="16250" h="54">
                                <a:moveTo>
                                  <a:pt x="25" y="0"/>
                                </a:moveTo>
                                <a:lnTo>
                                  <a:pt x="175" y="0"/>
                                </a:lnTo>
                                <a:cubicBezTo>
                                  <a:pt x="189" y="1"/>
                                  <a:pt x="200" y="12"/>
                                  <a:pt x="200" y="26"/>
                                </a:cubicBezTo>
                                <a:cubicBezTo>
                                  <a:pt x="200" y="39"/>
                                  <a:pt x="189" y="51"/>
                                  <a:pt x="175" y="50"/>
                                </a:cubicBezTo>
                                <a:lnTo>
                                  <a:pt x="25" y="50"/>
                                </a:lnTo>
                                <a:cubicBezTo>
                                  <a:pt x="12" y="50"/>
                                  <a:pt x="0" y="39"/>
                                  <a:pt x="0" y="25"/>
                                </a:cubicBezTo>
                                <a:cubicBezTo>
                                  <a:pt x="0" y="12"/>
                                  <a:pt x="12" y="0"/>
                                  <a:pt x="25" y="0"/>
                                </a:cubicBezTo>
                                <a:close/>
                                <a:moveTo>
                                  <a:pt x="375" y="1"/>
                                </a:moveTo>
                                <a:lnTo>
                                  <a:pt x="525" y="1"/>
                                </a:lnTo>
                                <a:cubicBezTo>
                                  <a:pt x="539" y="1"/>
                                  <a:pt x="550" y="12"/>
                                  <a:pt x="550" y="26"/>
                                </a:cubicBezTo>
                                <a:cubicBezTo>
                                  <a:pt x="550" y="39"/>
                                  <a:pt x="539" y="51"/>
                                  <a:pt x="525" y="51"/>
                                </a:cubicBezTo>
                                <a:lnTo>
                                  <a:pt x="375" y="51"/>
                                </a:lnTo>
                                <a:cubicBezTo>
                                  <a:pt x="362" y="51"/>
                                  <a:pt x="350" y="39"/>
                                  <a:pt x="350" y="26"/>
                                </a:cubicBezTo>
                                <a:cubicBezTo>
                                  <a:pt x="350" y="12"/>
                                  <a:pt x="362" y="1"/>
                                  <a:pt x="375" y="1"/>
                                </a:cubicBezTo>
                                <a:close/>
                                <a:moveTo>
                                  <a:pt x="725" y="1"/>
                                </a:moveTo>
                                <a:lnTo>
                                  <a:pt x="875" y="1"/>
                                </a:lnTo>
                                <a:cubicBezTo>
                                  <a:pt x="889" y="1"/>
                                  <a:pt x="900" y="12"/>
                                  <a:pt x="900" y="26"/>
                                </a:cubicBezTo>
                                <a:cubicBezTo>
                                  <a:pt x="900" y="39"/>
                                  <a:pt x="889" y="51"/>
                                  <a:pt x="875" y="51"/>
                                </a:cubicBezTo>
                                <a:lnTo>
                                  <a:pt x="725" y="51"/>
                                </a:lnTo>
                                <a:cubicBezTo>
                                  <a:pt x="712" y="51"/>
                                  <a:pt x="700" y="39"/>
                                  <a:pt x="700" y="26"/>
                                </a:cubicBezTo>
                                <a:cubicBezTo>
                                  <a:pt x="700" y="12"/>
                                  <a:pt x="712" y="1"/>
                                  <a:pt x="725" y="1"/>
                                </a:cubicBezTo>
                                <a:close/>
                                <a:moveTo>
                                  <a:pt x="1075" y="1"/>
                                </a:moveTo>
                                <a:lnTo>
                                  <a:pt x="1225" y="1"/>
                                </a:lnTo>
                                <a:cubicBezTo>
                                  <a:pt x="1239" y="1"/>
                                  <a:pt x="1250" y="12"/>
                                  <a:pt x="1250" y="26"/>
                                </a:cubicBezTo>
                                <a:cubicBezTo>
                                  <a:pt x="1250" y="40"/>
                                  <a:pt x="1239" y="51"/>
                                  <a:pt x="1225" y="51"/>
                                </a:cubicBezTo>
                                <a:lnTo>
                                  <a:pt x="1075" y="51"/>
                                </a:lnTo>
                                <a:cubicBezTo>
                                  <a:pt x="1062" y="51"/>
                                  <a:pt x="1050" y="39"/>
                                  <a:pt x="1050" y="26"/>
                                </a:cubicBezTo>
                                <a:cubicBezTo>
                                  <a:pt x="1050" y="12"/>
                                  <a:pt x="1062" y="1"/>
                                  <a:pt x="1075" y="1"/>
                                </a:cubicBezTo>
                                <a:close/>
                                <a:moveTo>
                                  <a:pt x="1425" y="1"/>
                                </a:moveTo>
                                <a:lnTo>
                                  <a:pt x="1575" y="1"/>
                                </a:lnTo>
                                <a:cubicBezTo>
                                  <a:pt x="1589" y="1"/>
                                  <a:pt x="1600" y="12"/>
                                  <a:pt x="1600" y="26"/>
                                </a:cubicBezTo>
                                <a:cubicBezTo>
                                  <a:pt x="1600" y="40"/>
                                  <a:pt x="1589" y="51"/>
                                  <a:pt x="1575" y="51"/>
                                </a:cubicBezTo>
                                <a:lnTo>
                                  <a:pt x="1425" y="51"/>
                                </a:lnTo>
                                <a:cubicBezTo>
                                  <a:pt x="1412" y="51"/>
                                  <a:pt x="1400" y="40"/>
                                  <a:pt x="1400" y="26"/>
                                </a:cubicBezTo>
                                <a:cubicBezTo>
                                  <a:pt x="1400" y="12"/>
                                  <a:pt x="1412" y="1"/>
                                  <a:pt x="1425" y="1"/>
                                </a:cubicBezTo>
                                <a:close/>
                                <a:moveTo>
                                  <a:pt x="1775" y="1"/>
                                </a:moveTo>
                                <a:lnTo>
                                  <a:pt x="1925" y="1"/>
                                </a:lnTo>
                                <a:cubicBezTo>
                                  <a:pt x="1939" y="1"/>
                                  <a:pt x="1950" y="12"/>
                                  <a:pt x="1950" y="26"/>
                                </a:cubicBezTo>
                                <a:cubicBezTo>
                                  <a:pt x="1950" y="40"/>
                                  <a:pt x="1939" y="51"/>
                                  <a:pt x="1925" y="51"/>
                                </a:cubicBezTo>
                                <a:lnTo>
                                  <a:pt x="1775" y="51"/>
                                </a:lnTo>
                                <a:cubicBezTo>
                                  <a:pt x="1762" y="51"/>
                                  <a:pt x="1750" y="40"/>
                                  <a:pt x="1750" y="26"/>
                                </a:cubicBezTo>
                                <a:cubicBezTo>
                                  <a:pt x="1750" y="12"/>
                                  <a:pt x="1762" y="1"/>
                                  <a:pt x="1775" y="1"/>
                                </a:cubicBezTo>
                                <a:close/>
                                <a:moveTo>
                                  <a:pt x="2125" y="1"/>
                                </a:moveTo>
                                <a:lnTo>
                                  <a:pt x="2275" y="1"/>
                                </a:lnTo>
                                <a:cubicBezTo>
                                  <a:pt x="2289" y="1"/>
                                  <a:pt x="2300" y="12"/>
                                  <a:pt x="2300" y="26"/>
                                </a:cubicBezTo>
                                <a:cubicBezTo>
                                  <a:pt x="2300" y="40"/>
                                  <a:pt x="2289" y="51"/>
                                  <a:pt x="2275" y="51"/>
                                </a:cubicBezTo>
                                <a:lnTo>
                                  <a:pt x="2125" y="51"/>
                                </a:lnTo>
                                <a:cubicBezTo>
                                  <a:pt x="2112" y="51"/>
                                  <a:pt x="2100" y="40"/>
                                  <a:pt x="2100" y="26"/>
                                </a:cubicBezTo>
                                <a:cubicBezTo>
                                  <a:pt x="2100" y="12"/>
                                  <a:pt x="2112" y="1"/>
                                  <a:pt x="2125" y="1"/>
                                </a:cubicBezTo>
                                <a:close/>
                                <a:moveTo>
                                  <a:pt x="2475" y="1"/>
                                </a:moveTo>
                                <a:lnTo>
                                  <a:pt x="2625" y="1"/>
                                </a:lnTo>
                                <a:cubicBezTo>
                                  <a:pt x="2639" y="1"/>
                                  <a:pt x="2650" y="12"/>
                                  <a:pt x="2650" y="26"/>
                                </a:cubicBezTo>
                                <a:cubicBezTo>
                                  <a:pt x="2650" y="40"/>
                                  <a:pt x="2639" y="51"/>
                                  <a:pt x="2625" y="51"/>
                                </a:cubicBezTo>
                                <a:lnTo>
                                  <a:pt x="2475" y="51"/>
                                </a:lnTo>
                                <a:cubicBezTo>
                                  <a:pt x="2462" y="51"/>
                                  <a:pt x="2450" y="40"/>
                                  <a:pt x="2450" y="26"/>
                                </a:cubicBezTo>
                                <a:cubicBezTo>
                                  <a:pt x="2450" y="12"/>
                                  <a:pt x="2462" y="1"/>
                                  <a:pt x="2475" y="1"/>
                                </a:cubicBezTo>
                                <a:close/>
                                <a:moveTo>
                                  <a:pt x="2825" y="1"/>
                                </a:moveTo>
                                <a:lnTo>
                                  <a:pt x="2975" y="1"/>
                                </a:lnTo>
                                <a:cubicBezTo>
                                  <a:pt x="2989" y="1"/>
                                  <a:pt x="3000" y="12"/>
                                  <a:pt x="3000" y="26"/>
                                </a:cubicBezTo>
                                <a:cubicBezTo>
                                  <a:pt x="3000" y="40"/>
                                  <a:pt x="2989" y="51"/>
                                  <a:pt x="2975" y="51"/>
                                </a:cubicBezTo>
                                <a:lnTo>
                                  <a:pt x="2825" y="51"/>
                                </a:lnTo>
                                <a:cubicBezTo>
                                  <a:pt x="2812" y="51"/>
                                  <a:pt x="2800" y="40"/>
                                  <a:pt x="2800" y="26"/>
                                </a:cubicBezTo>
                                <a:cubicBezTo>
                                  <a:pt x="2800" y="12"/>
                                  <a:pt x="2812" y="1"/>
                                  <a:pt x="2825" y="1"/>
                                </a:cubicBezTo>
                                <a:close/>
                                <a:moveTo>
                                  <a:pt x="3175" y="1"/>
                                </a:moveTo>
                                <a:lnTo>
                                  <a:pt x="3325" y="1"/>
                                </a:lnTo>
                                <a:cubicBezTo>
                                  <a:pt x="3339" y="1"/>
                                  <a:pt x="3350" y="12"/>
                                  <a:pt x="3350" y="26"/>
                                </a:cubicBezTo>
                                <a:cubicBezTo>
                                  <a:pt x="3350" y="40"/>
                                  <a:pt x="3339" y="51"/>
                                  <a:pt x="3325" y="51"/>
                                </a:cubicBezTo>
                                <a:lnTo>
                                  <a:pt x="3175" y="51"/>
                                </a:lnTo>
                                <a:cubicBezTo>
                                  <a:pt x="3162" y="51"/>
                                  <a:pt x="3150" y="40"/>
                                  <a:pt x="3150" y="26"/>
                                </a:cubicBezTo>
                                <a:cubicBezTo>
                                  <a:pt x="3150" y="12"/>
                                  <a:pt x="3162" y="1"/>
                                  <a:pt x="3175" y="1"/>
                                </a:cubicBezTo>
                                <a:close/>
                                <a:moveTo>
                                  <a:pt x="3525" y="1"/>
                                </a:moveTo>
                                <a:lnTo>
                                  <a:pt x="3675" y="1"/>
                                </a:lnTo>
                                <a:cubicBezTo>
                                  <a:pt x="3689" y="1"/>
                                  <a:pt x="3700" y="12"/>
                                  <a:pt x="3700" y="26"/>
                                </a:cubicBezTo>
                                <a:cubicBezTo>
                                  <a:pt x="3700" y="40"/>
                                  <a:pt x="3689" y="51"/>
                                  <a:pt x="3675" y="51"/>
                                </a:cubicBezTo>
                                <a:lnTo>
                                  <a:pt x="3525" y="51"/>
                                </a:lnTo>
                                <a:cubicBezTo>
                                  <a:pt x="3512" y="51"/>
                                  <a:pt x="3500" y="40"/>
                                  <a:pt x="3500" y="26"/>
                                </a:cubicBezTo>
                                <a:cubicBezTo>
                                  <a:pt x="3500" y="12"/>
                                  <a:pt x="3512" y="1"/>
                                  <a:pt x="3525" y="1"/>
                                </a:cubicBezTo>
                                <a:close/>
                                <a:moveTo>
                                  <a:pt x="3875" y="1"/>
                                </a:moveTo>
                                <a:lnTo>
                                  <a:pt x="4025" y="1"/>
                                </a:lnTo>
                                <a:cubicBezTo>
                                  <a:pt x="4039" y="1"/>
                                  <a:pt x="4050" y="12"/>
                                  <a:pt x="4050" y="26"/>
                                </a:cubicBezTo>
                                <a:cubicBezTo>
                                  <a:pt x="4050" y="40"/>
                                  <a:pt x="4039" y="51"/>
                                  <a:pt x="4025" y="51"/>
                                </a:cubicBezTo>
                                <a:lnTo>
                                  <a:pt x="3875" y="51"/>
                                </a:lnTo>
                                <a:cubicBezTo>
                                  <a:pt x="3862" y="51"/>
                                  <a:pt x="3850" y="40"/>
                                  <a:pt x="3850" y="26"/>
                                </a:cubicBezTo>
                                <a:cubicBezTo>
                                  <a:pt x="3850" y="12"/>
                                  <a:pt x="3862" y="1"/>
                                  <a:pt x="3875" y="1"/>
                                </a:cubicBezTo>
                                <a:close/>
                                <a:moveTo>
                                  <a:pt x="4225" y="1"/>
                                </a:moveTo>
                                <a:lnTo>
                                  <a:pt x="4375" y="1"/>
                                </a:lnTo>
                                <a:cubicBezTo>
                                  <a:pt x="4389" y="1"/>
                                  <a:pt x="4400" y="13"/>
                                  <a:pt x="4400" y="26"/>
                                </a:cubicBezTo>
                                <a:cubicBezTo>
                                  <a:pt x="4400" y="40"/>
                                  <a:pt x="4389" y="51"/>
                                  <a:pt x="4375" y="51"/>
                                </a:cubicBezTo>
                                <a:lnTo>
                                  <a:pt x="4225" y="51"/>
                                </a:lnTo>
                                <a:cubicBezTo>
                                  <a:pt x="4212" y="51"/>
                                  <a:pt x="4200" y="40"/>
                                  <a:pt x="4200" y="26"/>
                                </a:cubicBezTo>
                                <a:cubicBezTo>
                                  <a:pt x="4200" y="13"/>
                                  <a:pt x="4212" y="1"/>
                                  <a:pt x="4225" y="1"/>
                                </a:cubicBezTo>
                                <a:close/>
                                <a:moveTo>
                                  <a:pt x="4575" y="1"/>
                                </a:moveTo>
                                <a:lnTo>
                                  <a:pt x="4725" y="1"/>
                                </a:lnTo>
                                <a:cubicBezTo>
                                  <a:pt x="4739" y="1"/>
                                  <a:pt x="4750" y="13"/>
                                  <a:pt x="4750" y="26"/>
                                </a:cubicBezTo>
                                <a:cubicBezTo>
                                  <a:pt x="4750" y="40"/>
                                  <a:pt x="4739" y="51"/>
                                  <a:pt x="4725" y="51"/>
                                </a:cubicBezTo>
                                <a:lnTo>
                                  <a:pt x="4575" y="51"/>
                                </a:lnTo>
                                <a:cubicBezTo>
                                  <a:pt x="4562" y="51"/>
                                  <a:pt x="4550" y="40"/>
                                  <a:pt x="4550" y="26"/>
                                </a:cubicBezTo>
                                <a:cubicBezTo>
                                  <a:pt x="4550" y="13"/>
                                  <a:pt x="4562" y="1"/>
                                  <a:pt x="4575" y="1"/>
                                </a:cubicBezTo>
                                <a:close/>
                                <a:moveTo>
                                  <a:pt x="4925" y="1"/>
                                </a:moveTo>
                                <a:lnTo>
                                  <a:pt x="5075" y="2"/>
                                </a:lnTo>
                                <a:cubicBezTo>
                                  <a:pt x="5089" y="2"/>
                                  <a:pt x="5100" y="13"/>
                                  <a:pt x="5100" y="27"/>
                                </a:cubicBezTo>
                                <a:cubicBezTo>
                                  <a:pt x="5100" y="40"/>
                                  <a:pt x="5089" y="52"/>
                                  <a:pt x="5075" y="52"/>
                                </a:cubicBezTo>
                                <a:lnTo>
                                  <a:pt x="4925" y="51"/>
                                </a:lnTo>
                                <a:cubicBezTo>
                                  <a:pt x="4912" y="51"/>
                                  <a:pt x="4900" y="40"/>
                                  <a:pt x="4900" y="26"/>
                                </a:cubicBezTo>
                                <a:cubicBezTo>
                                  <a:pt x="4900" y="13"/>
                                  <a:pt x="4912" y="1"/>
                                  <a:pt x="4925" y="1"/>
                                </a:cubicBezTo>
                                <a:close/>
                                <a:moveTo>
                                  <a:pt x="5275" y="2"/>
                                </a:moveTo>
                                <a:lnTo>
                                  <a:pt x="5425" y="2"/>
                                </a:lnTo>
                                <a:cubicBezTo>
                                  <a:pt x="5439" y="2"/>
                                  <a:pt x="5450" y="13"/>
                                  <a:pt x="5450" y="27"/>
                                </a:cubicBezTo>
                                <a:cubicBezTo>
                                  <a:pt x="5450" y="40"/>
                                  <a:pt x="5439" y="52"/>
                                  <a:pt x="5425" y="52"/>
                                </a:cubicBezTo>
                                <a:lnTo>
                                  <a:pt x="5275" y="52"/>
                                </a:lnTo>
                                <a:cubicBezTo>
                                  <a:pt x="5262" y="52"/>
                                  <a:pt x="5250" y="40"/>
                                  <a:pt x="5250" y="27"/>
                                </a:cubicBezTo>
                                <a:cubicBezTo>
                                  <a:pt x="5250" y="13"/>
                                  <a:pt x="5262" y="2"/>
                                  <a:pt x="5275" y="2"/>
                                </a:cubicBezTo>
                                <a:close/>
                                <a:moveTo>
                                  <a:pt x="5625" y="2"/>
                                </a:moveTo>
                                <a:lnTo>
                                  <a:pt x="5775" y="2"/>
                                </a:lnTo>
                                <a:cubicBezTo>
                                  <a:pt x="5789" y="2"/>
                                  <a:pt x="5800" y="13"/>
                                  <a:pt x="5800" y="27"/>
                                </a:cubicBezTo>
                                <a:cubicBezTo>
                                  <a:pt x="5800" y="40"/>
                                  <a:pt x="5789" y="52"/>
                                  <a:pt x="5775" y="52"/>
                                </a:cubicBezTo>
                                <a:lnTo>
                                  <a:pt x="5625" y="52"/>
                                </a:lnTo>
                                <a:cubicBezTo>
                                  <a:pt x="5612" y="52"/>
                                  <a:pt x="5600" y="40"/>
                                  <a:pt x="5600" y="27"/>
                                </a:cubicBezTo>
                                <a:cubicBezTo>
                                  <a:pt x="5600" y="13"/>
                                  <a:pt x="5612" y="2"/>
                                  <a:pt x="5625" y="2"/>
                                </a:cubicBezTo>
                                <a:close/>
                                <a:moveTo>
                                  <a:pt x="5975" y="2"/>
                                </a:moveTo>
                                <a:lnTo>
                                  <a:pt x="6125" y="2"/>
                                </a:lnTo>
                                <a:cubicBezTo>
                                  <a:pt x="6139" y="2"/>
                                  <a:pt x="6150" y="13"/>
                                  <a:pt x="6150" y="27"/>
                                </a:cubicBezTo>
                                <a:cubicBezTo>
                                  <a:pt x="6150" y="41"/>
                                  <a:pt x="6139" y="52"/>
                                  <a:pt x="6125" y="52"/>
                                </a:cubicBezTo>
                                <a:lnTo>
                                  <a:pt x="5975" y="52"/>
                                </a:lnTo>
                                <a:cubicBezTo>
                                  <a:pt x="5962" y="52"/>
                                  <a:pt x="5950" y="40"/>
                                  <a:pt x="5950" y="27"/>
                                </a:cubicBezTo>
                                <a:cubicBezTo>
                                  <a:pt x="5950" y="13"/>
                                  <a:pt x="5962" y="2"/>
                                  <a:pt x="5975" y="2"/>
                                </a:cubicBezTo>
                                <a:close/>
                                <a:moveTo>
                                  <a:pt x="6325" y="2"/>
                                </a:moveTo>
                                <a:lnTo>
                                  <a:pt x="6475" y="2"/>
                                </a:lnTo>
                                <a:cubicBezTo>
                                  <a:pt x="6489" y="2"/>
                                  <a:pt x="6500" y="13"/>
                                  <a:pt x="6500" y="27"/>
                                </a:cubicBezTo>
                                <a:cubicBezTo>
                                  <a:pt x="6500" y="41"/>
                                  <a:pt x="6489" y="52"/>
                                  <a:pt x="6475" y="52"/>
                                </a:cubicBezTo>
                                <a:lnTo>
                                  <a:pt x="6325" y="52"/>
                                </a:lnTo>
                                <a:cubicBezTo>
                                  <a:pt x="6312" y="52"/>
                                  <a:pt x="6300" y="41"/>
                                  <a:pt x="6300" y="27"/>
                                </a:cubicBezTo>
                                <a:cubicBezTo>
                                  <a:pt x="6300" y="13"/>
                                  <a:pt x="6312" y="2"/>
                                  <a:pt x="6325" y="2"/>
                                </a:cubicBezTo>
                                <a:close/>
                                <a:moveTo>
                                  <a:pt x="6675" y="2"/>
                                </a:moveTo>
                                <a:lnTo>
                                  <a:pt x="6825" y="2"/>
                                </a:lnTo>
                                <a:cubicBezTo>
                                  <a:pt x="6839" y="2"/>
                                  <a:pt x="6850" y="13"/>
                                  <a:pt x="6850" y="27"/>
                                </a:cubicBezTo>
                                <a:cubicBezTo>
                                  <a:pt x="6850" y="41"/>
                                  <a:pt x="6839" y="52"/>
                                  <a:pt x="6825" y="52"/>
                                </a:cubicBezTo>
                                <a:lnTo>
                                  <a:pt x="6675" y="52"/>
                                </a:lnTo>
                                <a:cubicBezTo>
                                  <a:pt x="6662" y="52"/>
                                  <a:pt x="6650" y="41"/>
                                  <a:pt x="6650" y="27"/>
                                </a:cubicBezTo>
                                <a:cubicBezTo>
                                  <a:pt x="6650" y="13"/>
                                  <a:pt x="6662" y="2"/>
                                  <a:pt x="6675" y="2"/>
                                </a:cubicBezTo>
                                <a:close/>
                                <a:moveTo>
                                  <a:pt x="7025" y="2"/>
                                </a:moveTo>
                                <a:lnTo>
                                  <a:pt x="7175" y="2"/>
                                </a:lnTo>
                                <a:cubicBezTo>
                                  <a:pt x="7189" y="2"/>
                                  <a:pt x="7200" y="13"/>
                                  <a:pt x="7200" y="27"/>
                                </a:cubicBezTo>
                                <a:cubicBezTo>
                                  <a:pt x="7200" y="41"/>
                                  <a:pt x="7189" y="52"/>
                                  <a:pt x="7175" y="52"/>
                                </a:cubicBezTo>
                                <a:lnTo>
                                  <a:pt x="7025" y="52"/>
                                </a:lnTo>
                                <a:cubicBezTo>
                                  <a:pt x="7012" y="52"/>
                                  <a:pt x="7000" y="41"/>
                                  <a:pt x="7000" y="27"/>
                                </a:cubicBezTo>
                                <a:cubicBezTo>
                                  <a:pt x="7000" y="13"/>
                                  <a:pt x="7012" y="2"/>
                                  <a:pt x="7025" y="2"/>
                                </a:cubicBezTo>
                                <a:close/>
                                <a:moveTo>
                                  <a:pt x="7375" y="2"/>
                                </a:moveTo>
                                <a:lnTo>
                                  <a:pt x="7525" y="2"/>
                                </a:lnTo>
                                <a:cubicBezTo>
                                  <a:pt x="7539" y="2"/>
                                  <a:pt x="7550" y="13"/>
                                  <a:pt x="7550" y="27"/>
                                </a:cubicBezTo>
                                <a:cubicBezTo>
                                  <a:pt x="7550" y="41"/>
                                  <a:pt x="7539" y="52"/>
                                  <a:pt x="7525" y="52"/>
                                </a:cubicBezTo>
                                <a:lnTo>
                                  <a:pt x="7375" y="52"/>
                                </a:lnTo>
                                <a:cubicBezTo>
                                  <a:pt x="7362" y="52"/>
                                  <a:pt x="7350" y="41"/>
                                  <a:pt x="7350" y="27"/>
                                </a:cubicBezTo>
                                <a:cubicBezTo>
                                  <a:pt x="7350" y="13"/>
                                  <a:pt x="7362" y="2"/>
                                  <a:pt x="7375" y="2"/>
                                </a:cubicBezTo>
                                <a:close/>
                                <a:moveTo>
                                  <a:pt x="7725" y="2"/>
                                </a:moveTo>
                                <a:lnTo>
                                  <a:pt x="7875" y="2"/>
                                </a:lnTo>
                                <a:cubicBezTo>
                                  <a:pt x="7889" y="2"/>
                                  <a:pt x="7900" y="13"/>
                                  <a:pt x="7900" y="27"/>
                                </a:cubicBezTo>
                                <a:cubicBezTo>
                                  <a:pt x="7900" y="41"/>
                                  <a:pt x="7889" y="52"/>
                                  <a:pt x="7875" y="52"/>
                                </a:cubicBezTo>
                                <a:lnTo>
                                  <a:pt x="7725" y="52"/>
                                </a:lnTo>
                                <a:cubicBezTo>
                                  <a:pt x="7712" y="52"/>
                                  <a:pt x="7700" y="41"/>
                                  <a:pt x="7700" y="27"/>
                                </a:cubicBezTo>
                                <a:cubicBezTo>
                                  <a:pt x="7700" y="13"/>
                                  <a:pt x="7712" y="2"/>
                                  <a:pt x="7725" y="2"/>
                                </a:cubicBezTo>
                                <a:close/>
                                <a:moveTo>
                                  <a:pt x="8075" y="2"/>
                                </a:moveTo>
                                <a:lnTo>
                                  <a:pt x="8225" y="2"/>
                                </a:lnTo>
                                <a:cubicBezTo>
                                  <a:pt x="8239" y="2"/>
                                  <a:pt x="8250" y="13"/>
                                  <a:pt x="8250" y="27"/>
                                </a:cubicBezTo>
                                <a:cubicBezTo>
                                  <a:pt x="8250" y="41"/>
                                  <a:pt x="8239" y="52"/>
                                  <a:pt x="8225" y="52"/>
                                </a:cubicBezTo>
                                <a:lnTo>
                                  <a:pt x="8075" y="52"/>
                                </a:lnTo>
                                <a:cubicBezTo>
                                  <a:pt x="8062" y="52"/>
                                  <a:pt x="8050" y="41"/>
                                  <a:pt x="8050" y="27"/>
                                </a:cubicBezTo>
                                <a:cubicBezTo>
                                  <a:pt x="8050" y="13"/>
                                  <a:pt x="8062" y="2"/>
                                  <a:pt x="8075" y="2"/>
                                </a:cubicBezTo>
                                <a:close/>
                                <a:moveTo>
                                  <a:pt x="8425" y="2"/>
                                </a:moveTo>
                                <a:lnTo>
                                  <a:pt x="8575" y="2"/>
                                </a:lnTo>
                                <a:cubicBezTo>
                                  <a:pt x="8589" y="2"/>
                                  <a:pt x="8600" y="13"/>
                                  <a:pt x="8600" y="27"/>
                                </a:cubicBezTo>
                                <a:cubicBezTo>
                                  <a:pt x="8600" y="41"/>
                                  <a:pt x="8589" y="52"/>
                                  <a:pt x="8575" y="52"/>
                                </a:cubicBezTo>
                                <a:lnTo>
                                  <a:pt x="8425" y="52"/>
                                </a:lnTo>
                                <a:cubicBezTo>
                                  <a:pt x="8412" y="52"/>
                                  <a:pt x="8400" y="41"/>
                                  <a:pt x="8400" y="27"/>
                                </a:cubicBezTo>
                                <a:cubicBezTo>
                                  <a:pt x="8400" y="13"/>
                                  <a:pt x="8412" y="2"/>
                                  <a:pt x="8425" y="2"/>
                                </a:cubicBezTo>
                                <a:close/>
                                <a:moveTo>
                                  <a:pt x="8775" y="2"/>
                                </a:moveTo>
                                <a:lnTo>
                                  <a:pt x="8925" y="2"/>
                                </a:lnTo>
                                <a:cubicBezTo>
                                  <a:pt x="8939" y="2"/>
                                  <a:pt x="8950" y="13"/>
                                  <a:pt x="8950" y="27"/>
                                </a:cubicBezTo>
                                <a:cubicBezTo>
                                  <a:pt x="8950" y="41"/>
                                  <a:pt x="8939" y="52"/>
                                  <a:pt x="8925" y="52"/>
                                </a:cubicBezTo>
                                <a:lnTo>
                                  <a:pt x="8775" y="52"/>
                                </a:lnTo>
                                <a:cubicBezTo>
                                  <a:pt x="8762" y="52"/>
                                  <a:pt x="8750" y="41"/>
                                  <a:pt x="8750" y="27"/>
                                </a:cubicBezTo>
                                <a:cubicBezTo>
                                  <a:pt x="8750" y="13"/>
                                  <a:pt x="8762" y="2"/>
                                  <a:pt x="8775" y="2"/>
                                </a:cubicBezTo>
                                <a:close/>
                                <a:moveTo>
                                  <a:pt x="9125" y="2"/>
                                </a:moveTo>
                                <a:lnTo>
                                  <a:pt x="9275" y="2"/>
                                </a:lnTo>
                                <a:cubicBezTo>
                                  <a:pt x="9289" y="2"/>
                                  <a:pt x="9300" y="14"/>
                                  <a:pt x="9300" y="27"/>
                                </a:cubicBezTo>
                                <a:cubicBezTo>
                                  <a:pt x="9300" y="41"/>
                                  <a:pt x="9289" y="52"/>
                                  <a:pt x="9275" y="52"/>
                                </a:cubicBezTo>
                                <a:lnTo>
                                  <a:pt x="9125" y="52"/>
                                </a:lnTo>
                                <a:cubicBezTo>
                                  <a:pt x="9112" y="52"/>
                                  <a:pt x="9100" y="41"/>
                                  <a:pt x="9100" y="27"/>
                                </a:cubicBezTo>
                                <a:cubicBezTo>
                                  <a:pt x="9100" y="14"/>
                                  <a:pt x="9112" y="2"/>
                                  <a:pt x="9125" y="2"/>
                                </a:cubicBezTo>
                                <a:close/>
                                <a:moveTo>
                                  <a:pt x="9475" y="2"/>
                                </a:moveTo>
                                <a:lnTo>
                                  <a:pt x="9625" y="2"/>
                                </a:lnTo>
                                <a:cubicBezTo>
                                  <a:pt x="9639" y="2"/>
                                  <a:pt x="9650" y="14"/>
                                  <a:pt x="9650" y="27"/>
                                </a:cubicBezTo>
                                <a:cubicBezTo>
                                  <a:pt x="9650" y="41"/>
                                  <a:pt x="9639" y="52"/>
                                  <a:pt x="9625" y="52"/>
                                </a:cubicBezTo>
                                <a:lnTo>
                                  <a:pt x="9475" y="52"/>
                                </a:lnTo>
                                <a:cubicBezTo>
                                  <a:pt x="9462" y="52"/>
                                  <a:pt x="9450" y="41"/>
                                  <a:pt x="9450" y="27"/>
                                </a:cubicBezTo>
                                <a:cubicBezTo>
                                  <a:pt x="9450" y="14"/>
                                  <a:pt x="9462" y="2"/>
                                  <a:pt x="9475" y="2"/>
                                </a:cubicBezTo>
                                <a:close/>
                                <a:moveTo>
                                  <a:pt x="9825" y="2"/>
                                </a:moveTo>
                                <a:lnTo>
                                  <a:pt x="9975" y="3"/>
                                </a:lnTo>
                                <a:cubicBezTo>
                                  <a:pt x="9989" y="3"/>
                                  <a:pt x="10000" y="14"/>
                                  <a:pt x="10000" y="28"/>
                                </a:cubicBezTo>
                                <a:cubicBezTo>
                                  <a:pt x="10000" y="41"/>
                                  <a:pt x="9989" y="53"/>
                                  <a:pt x="9975" y="53"/>
                                </a:cubicBezTo>
                                <a:lnTo>
                                  <a:pt x="9825" y="52"/>
                                </a:lnTo>
                                <a:cubicBezTo>
                                  <a:pt x="9812" y="52"/>
                                  <a:pt x="9800" y="41"/>
                                  <a:pt x="9800" y="27"/>
                                </a:cubicBezTo>
                                <a:cubicBezTo>
                                  <a:pt x="9800" y="14"/>
                                  <a:pt x="9812" y="2"/>
                                  <a:pt x="9825" y="2"/>
                                </a:cubicBezTo>
                                <a:close/>
                                <a:moveTo>
                                  <a:pt x="10175" y="3"/>
                                </a:moveTo>
                                <a:lnTo>
                                  <a:pt x="10325" y="3"/>
                                </a:lnTo>
                                <a:cubicBezTo>
                                  <a:pt x="10339" y="3"/>
                                  <a:pt x="10350" y="14"/>
                                  <a:pt x="10350" y="28"/>
                                </a:cubicBezTo>
                                <a:cubicBezTo>
                                  <a:pt x="10350" y="41"/>
                                  <a:pt x="10339" y="53"/>
                                  <a:pt x="10325" y="53"/>
                                </a:cubicBezTo>
                                <a:lnTo>
                                  <a:pt x="10175" y="53"/>
                                </a:lnTo>
                                <a:cubicBezTo>
                                  <a:pt x="10162" y="53"/>
                                  <a:pt x="10150" y="41"/>
                                  <a:pt x="10150" y="28"/>
                                </a:cubicBezTo>
                                <a:cubicBezTo>
                                  <a:pt x="10150" y="14"/>
                                  <a:pt x="10162" y="3"/>
                                  <a:pt x="10175" y="3"/>
                                </a:cubicBezTo>
                                <a:close/>
                                <a:moveTo>
                                  <a:pt x="10525" y="3"/>
                                </a:moveTo>
                                <a:lnTo>
                                  <a:pt x="10675" y="3"/>
                                </a:lnTo>
                                <a:cubicBezTo>
                                  <a:pt x="10689" y="3"/>
                                  <a:pt x="10700" y="14"/>
                                  <a:pt x="10700" y="28"/>
                                </a:cubicBezTo>
                                <a:cubicBezTo>
                                  <a:pt x="10700" y="41"/>
                                  <a:pt x="10689" y="53"/>
                                  <a:pt x="10675" y="53"/>
                                </a:cubicBezTo>
                                <a:lnTo>
                                  <a:pt x="10525" y="53"/>
                                </a:lnTo>
                                <a:cubicBezTo>
                                  <a:pt x="10512" y="53"/>
                                  <a:pt x="10500" y="41"/>
                                  <a:pt x="10500" y="28"/>
                                </a:cubicBezTo>
                                <a:cubicBezTo>
                                  <a:pt x="10500" y="14"/>
                                  <a:pt x="10512" y="3"/>
                                  <a:pt x="10525" y="3"/>
                                </a:cubicBezTo>
                                <a:close/>
                                <a:moveTo>
                                  <a:pt x="10875" y="3"/>
                                </a:moveTo>
                                <a:lnTo>
                                  <a:pt x="11025" y="3"/>
                                </a:lnTo>
                                <a:cubicBezTo>
                                  <a:pt x="11039" y="3"/>
                                  <a:pt x="11050" y="14"/>
                                  <a:pt x="11050" y="28"/>
                                </a:cubicBezTo>
                                <a:cubicBezTo>
                                  <a:pt x="11050" y="42"/>
                                  <a:pt x="11039" y="53"/>
                                  <a:pt x="11025" y="53"/>
                                </a:cubicBezTo>
                                <a:lnTo>
                                  <a:pt x="10875" y="53"/>
                                </a:lnTo>
                                <a:cubicBezTo>
                                  <a:pt x="10862" y="53"/>
                                  <a:pt x="10850" y="41"/>
                                  <a:pt x="10850" y="28"/>
                                </a:cubicBezTo>
                                <a:cubicBezTo>
                                  <a:pt x="10850" y="14"/>
                                  <a:pt x="10862" y="3"/>
                                  <a:pt x="10875" y="3"/>
                                </a:cubicBezTo>
                                <a:close/>
                                <a:moveTo>
                                  <a:pt x="11225" y="3"/>
                                </a:moveTo>
                                <a:lnTo>
                                  <a:pt x="11375" y="3"/>
                                </a:lnTo>
                                <a:cubicBezTo>
                                  <a:pt x="11389" y="3"/>
                                  <a:pt x="11400" y="14"/>
                                  <a:pt x="11400" y="28"/>
                                </a:cubicBezTo>
                                <a:cubicBezTo>
                                  <a:pt x="11400" y="42"/>
                                  <a:pt x="11389" y="53"/>
                                  <a:pt x="11375" y="53"/>
                                </a:cubicBezTo>
                                <a:lnTo>
                                  <a:pt x="11225" y="53"/>
                                </a:lnTo>
                                <a:cubicBezTo>
                                  <a:pt x="11212" y="53"/>
                                  <a:pt x="11200" y="42"/>
                                  <a:pt x="11200" y="28"/>
                                </a:cubicBezTo>
                                <a:cubicBezTo>
                                  <a:pt x="11200" y="14"/>
                                  <a:pt x="11212" y="3"/>
                                  <a:pt x="11225" y="3"/>
                                </a:cubicBezTo>
                                <a:close/>
                                <a:moveTo>
                                  <a:pt x="11575" y="3"/>
                                </a:moveTo>
                                <a:lnTo>
                                  <a:pt x="11725" y="3"/>
                                </a:lnTo>
                                <a:cubicBezTo>
                                  <a:pt x="11739" y="3"/>
                                  <a:pt x="11750" y="14"/>
                                  <a:pt x="11750" y="28"/>
                                </a:cubicBezTo>
                                <a:cubicBezTo>
                                  <a:pt x="11750" y="42"/>
                                  <a:pt x="11739" y="53"/>
                                  <a:pt x="11725" y="53"/>
                                </a:cubicBezTo>
                                <a:lnTo>
                                  <a:pt x="11575" y="53"/>
                                </a:lnTo>
                                <a:cubicBezTo>
                                  <a:pt x="11562" y="53"/>
                                  <a:pt x="11550" y="42"/>
                                  <a:pt x="11550" y="28"/>
                                </a:cubicBezTo>
                                <a:cubicBezTo>
                                  <a:pt x="11550" y="14"/>
                                  <a:pt x="11562" y="3"/>
                                  <a:pt x="11575" y="3"/>
                                </a:cubicBezTo>
                                <a:close/>
                                <a:moveTo>
                                  <a:pt x="11925" y="3"/>
                                </a:moveTo>
                                <a:lnTo>
                                  <a:pt x="12075" y="3"/>
                                </a:lnTo>
                                <a:cubicBezTo>
                                  <a:pt x="12089" y="3"/>
                                  <a:pt x="12100" y="14"/>
                                  <a:pt x="12100" y="28"/>
                                </a:cubicBezTo>
                                <a:cubicBezTo>
                                  <a:pt x="12100" y="42"/>
                                  <a:pt x="12089" y="53"/>
                                  <a:pt x="12075" y="53"/>
                                </a:cubicBezTo>
                                <a:lnTo>
                                  <a:pt x="11925" y="53"/>
                                </a:lnTo>
                                <a:cubicBezTo>
                                  <a:pt x="11912" y="53"/>
                                  <a:pt x="11900" y="42"/>
                                  <a:pt x="11900" y="28"/>
                                </a:cubicBezTo>
                                <a:cubicBezTo>
                                  <a:pt x="11900" y="14"/>
                                  <a:pt x="11912" y="3"/>
                                  <a:pt x="11925" y="3"/>
                                </a:cubicBezTo>
                                <a:close/>
                                <a:moveTo>
                                  <a:pt x="12275" y="3"/>
                                </a:moveTo>
                                <a:lnTo>
                                  <a:pt x="12425" y="3"/>
                                </a:lnTo>
                                <a:cubicBezTo>
                                  <a:pt x="12439" y="3"/>
                                  <a:pt x="12450" y="14"/>
                                  <a:pt x="12450" y="28"/>
                                </a:cubicBezTo>
                                <a:cubicBezTo>
                                  <a:pt x="12450" y="42"/>
                                  <a:pt x="12439" y="53"/>
                                  <a:pt x="12425" y="53"/>
                                </a:cubicBezTo>
                                <a:lnTo>
                                  <a:pt x="12275" y="53"/>
                                </a:lnTo>
                                <a:cubicBezTo>
                                  <a:pt x="12262" y="53"/>
                                  <a:pt x="12250" y="42"/>
                                  <a:pt x="12250" y="28"/>
                                </a:cubicBezTo>
                                <a:cubicBezTo>
                                  <a:pt x="12250" y="14"/>
                                  <a:pt x="12262" y="3"/>
                                  <a:pt x="12275" y="3"/>
                                </a:cubicBezTo>
                                <a:close/>
                                <a:moveTo>
                                  <a:pt x="12625" y="3"/>
                                </a:moveTo>
                                <a:lnTo>
                                  <a:pt x="12775" y="3"/>
                                </a:lnTo>
                                <a:cubicBezTo>
                                  <a:pt x="12789" y="3"/>
                                  <a:pt x="12800" y="14"/>
                                  <a:pt x="12800" y="28"/>
                                </a:cubicBezTo>
                                <a:cubicBezTo>
                                  <a:pt x="12800" y="42"/>
                                  <a:pt x="12789" y="53"/>
                                  <a:pt x="12775" y="53"/>
                                </a:cubicBezTo>
                                <a:lnTo>
                                  <a:pt x="12625" y="53"/>
                                </a:lnTo>
                                <a:cubicBezTo>
                                  <a:pt x="12612" y="53"/>
                                  <a:pt x="12600" y="42"/>
                                  <a:pt x="12600" y="28"/>
                                </a:cubicBezTo>
                                <a:cubicBezTo>
                                  <a:pt x="12600" y="14"/>
                                  <a:pt x="12612" y="3"/>
                                  <a:pt x="12625" y="3"/>
                                </a:cubicBezTo>
                                <a:close/>
                                <a:moveTo>
                                  <a:pt x="12975" y="3"/>
                                </a:moveTo>
                                <a:lnTo>
                                  <a:pt x="13125" y="3"/>
                                </a:lnTo>
                                <a:cubicBezTo>
                                  <a:pt x="13139" y="3"/>
                                  <a:pt x="13150" y="14"/>
                                  <a:pt x="13150" y="28"/>
                                </a:cubicBezTo>
                                <a:cubicBezTo>
                                  <a:pt x="13150" y="42"/>
                                  <a:pt x="13139" y="53"/>
                                  <a:pt x="13125" y="53"/>
                                </a:cubicBezTo>
                                <a:lnTo>
                                  <a:pt x="12975" y="53"/>
                                </a:lnTo>
                                <a:cubicBezTo>
                                  <a:pt x="12962" y="53"/>
                                  <a:pt x="12950" y="42"/>
                                  <a:pt x="12950" y="28"/>
                                </a:cubicBezTo>
                                <a:cubicBezTo>
                                  <a:pt x="12950" y="14"/>
                                  <a:pt x="12962" y="3"/>
                                  <a:pt x="12975" y="3"/>
                                </a:cubicBezTo>
                                <a:close/>
                                <a:moveTo>
                                  <a:pt x="13325" y="3"/>
                                </a:moveTo>
                                <a:lnTo>
                                  <a:pt x="13475" y="3"/>
                                </a:lnTo>
                                <a:cubicBezTo>
                                  <a:pt x="13489" y="3"/>
                                  <a:pt x="13500" y="14"/>
                                  <a:pt x="13500" y="28"/>
                                </a:cubicBezTo>
                                <a:cubicBezTo>
                                  <a:pt x="13500" y="42"/>
                                  <a:pt x="13489" y="53"/>
                                  <a:pt x="13475" y="53"/>
                                </a:cubicBezTo>
                                <a:lnTo>
                                  <a:pt x="13325" y="53"/>
                                </a:lnTo>
                                <a:cubicBezTo>
                                  <a:pt x="13312" y="53"/>
                                  <a:pt x="13300" y="42"/>
                                  <a:pt x="13300" y="28"/>
                                </a:cubicBezTo>
                                <a:cubicBezTo>
                                  <a:pt x="13300" y="14"/>
                                  <a:pt x="13312" y="3"/>
                                  <a:pt x="13325" y="3"/>
                                </a:cubicBezTo>
                                <a:close/>
                                <a:moveTo>
                                  <a:pt x="13675" y="3"/>
                                </a:moveTo>
                                <a:lnTo>
                                  <a:pt x="13825" y="3"/>
                                </a:lnTo>
                                <a:cubicBezTo>
                                  <a:pt x="13839" y="3"/>
                                  <a:pt x="13850" y="14"/>
                                  <a:pt x="13850" y="28"/>
                                </a:cubicBezTo>
                                <a:cubicBezTo>
                                  <a:pt x="13850" y="42"/>
                                  <a:pt x="13839" y="53"/>
                                  <a:pt x="13825" y="53"/>
                                </a:cubicBezTo>
                                <a:lnTo>
                                  <a:pt x="13675" y="53"/>
                                </a:lnTo>
                                <a:cubicBezTo>
                                  <a:pt x="13662" y="53"/>
                                  <a:pt x="13650" y="42"/>
                                  <a:pt x="13650" y="28"/>
                                </a:cubicBezTo>
                                <a:cubicBezTo>
                                  <a:pt x="13650" y="14"/>
                                  <a:pt x="13662" y="3"/>
                                  <a:pt x="13675" y="3"/>
                                </a:cubicBezTo>
                                <a:close/>
                                <a:moveTo>
                                  <a:pt x="14025" y="3"/>
                                </a:moveTo>
                                <a:lnTo>
                                  <a:pt x="14175" y="3"/>
                                </a:lnTo>
                                <a:cubicBezTo>
                                  <a:pt x="14189" y="3"/>
                                  <a:pt x="14200" y="15"/>
                                  <a:pt x="14200" y="28"/>
                                </a:cubicBezTo>
                                <a:cubicBezTo>
                                  <a:pt x="14200" y="42"/>
                                  <a:pt x="14189" y="53"/>
                                  <a:pt x="14175" y="53"/>
                                </a:cubicBezTo>
                                <a:lnTo>
                                  <a:pt x="14025" y="53"/>
                                </a:lnTo>
                                <a:cubicBezTo>
                                  <a:pt x="14012" y="53"/>
                                  <a:pt x="14000" y="42"/>
                                  <a:pt x="14000" y="28"/>
                                </a:cubicBezTo>
                                <a:cubicBezTo>
                                  <a:pt x="14000" y="15"/>
                                  <a:pt x="14012" y="3"/>
                                  <a:pt x="14025" y="3"/>
                                </a:cubicBezTo>
                                <a:close/>
                                <a:moveTo>
                                  <a:pt x="14375" y="3"/>
                                </a:moveTo>
                                <a:lnTo>
                                  <a:pt x="14525" y="3"/>
                                </a:lnTo>
                                <a:cubicBezTo>
                                  <a:pt x="14539" y="3"/>
                                  <a:pt x="14550" y="15"/>
                                  <a:pt x="14550" y="28"/>
                                </a:cubicBezTo>
                                <a:cubicBezTo>
                                  <a:pt x="14550" y="42"/>
                                  <a:pt x="14539" y="53"/>
                                  <a:pt x="14525" y="53"/>
                                </a:cubicBezTo>
                                <a:lnTo>
                                  <a:pt x="14375" y="53"/>
                                </a:lnTo>
                                <a:cubicBezTo>
                                  <a:pt x="14362" y="53"/>
                                  <a:pt x="14350" y="42"/>
                                  <a:pt x="14350" y="28"/>
                                </a:cubicBezTo>
                                <a:cubicBezTo>
                                  <a:pt x="14350" y="15"/>
                                  <a:pt x="14362" y="3"/>
                                  <a:pt x="14375" y="3"/>
                                </a:cubicBezTo>
                                <a:close/>
                                <a:moveTo>
                                  <a:pt x="14725" y="3"/>
                                </a:moveTo>
                                <a:lnTo>
                                  <a:pt x="14875" y="4"/>
                                </a:lnTo>
                                <a:cubicBezTo>
                                  <a:pt x="14889" y="4"/>
                                  <a:pt x="14900" y="15"/>
                                  <a:pt x="14900" y="29"/>
                                </a:cubicBezTo>
                                <a:cubicBezTo>
                                  <a:pt x="14900" y="42"/>
                                  <a:pt x="14889" y="54"/>
                                  <a:pt x="14875" y="54"/>
                                </a:cubicBezTo>
                                <a:lnTo>
                                  <a:pt x="14725" y="53"/>
                                </a:lnTo>
                                <a:cubicBezTo>
                                  <a:pt x="14712" y="53"/>
                                  <a:pt x="14700" y="42"/>
                                  <a:pt x="14700" y="28"/>
                                </a:cubicBezTo>
                                <a:cubicBezTo>
                                  <a:pt x="14700" y="15"/>
                                  <a:pt x="14712" y="3"/>
                                  <a:pt x="14725" y="3"/>
                                </a:cubicBezTo>
                                <a:close/>
                                <a:moveTo>
                                  <a:pt x="15075" y="4"/>
                                </a:moveTo>
                                <a:lnTo>
                                  <a:pt x="15225" y="4"/>
                                </a:lnTo>
                                <a:cubicBezTo>
                                  <a:pt x="15239" y="4"/>
                                  <a:pt x="15250" y="15"/>
                                  <a:pt x="15250" y="29"/>
                                </a:cubicBezTo>
                                <a:cubicBezTo>
                                  <a:pt x="15250" y="42"/>
                                  <a:pt x="15239" y="54"/>
                                  <a:pt x="15225" y="54"/>
                                </a:cubicBezTo>
                                <a:lnTo>
                                  <a:pt x="15075" y="54"/>
                                </a:lnTo>
                                <a:cubicBezTo>
                                  <a:pt x="15062" y="54"/>
                                  <a:pt x="15050" y="42"/>
                                  <a:pt x="15050" y="29"/>
                                </a:cubicBezTo>
                                <a:cubicBezTo>
                                  <a:pt x="15050" y="15"/>
                                  <a:pt x="15062" y="4"/>
                                  <a:pt x="15075" y="4"/>
                                </a:cubicBezTo>
                                <a:close/>
                                <a:moveTo>
                                  <a:pt x="15425" y="4"/>
                                </a:moveTo>
                                <a:lnTo>
                                  <a:pt x="15575" y="4"/>
                                </a:lnTo>
                                <a:cubicBezTo>
                                  <a:pt x="15589" y="4"/>
                                  <a:pt x="15600" y="15"/>
                                  <a:pt x="15600" y="29"/>
                                </a:cubicBezTo>
                                <a:cubicBezTo>
                                  <a:pt x="15600" y="42"/>
                                  <a:pt x="15589" y="54"/>
                                  <a:pt x="15575" y="54"/>
                                </a:cubicBezTo>
                                <a:lnTo>
                                  <a:pt x="15425" y="54"/>
                                </a:lnTo>
                                <a:cubicBezTo>
                                  <a:pt x="15412" y="54"/>
                                  <a:pt x="15400" y="42"/>
                                  <a:pt x="15400" y="29"/>
                                </a:cubicBezTo>
                                <a:cubicBezTo>
                                  <a:pt x="15400" y="15"/>
                                  <a:pt x="15412" y="4"/>
                                  <a:pt x="15425" y="4"/>
                                </a:cubicBezTo>
                                <a:close/>
                                <a:moveTo>
                                  <a:pt x="15775" y="4"/>
                                </a:moveTo>
                                <a:lnTo>
                                  <a:pt x="15925" y="4"/>
                                </a:lnTo>
                                <a:cubicBezTo>
                                  <a:pt x="15939" y="4"/>
                                  <a:pt x="15950" y="15"/>
                                  <a:pt x="15950" y="29"/>
                                </a:cubicBezTo>
                                <a:cubicBezTo>
                                  <a:pt x="15950" y="43"/>
                                  <a:pt x="15939" y="54"/>
                                  <a:pt x="15925" y="54"/>
                                </a:cubicBezTo>
                                <a:lnTo>
                                  <a:pt x="15775" y="54"/>
                                </a:lnTo>
                                <a:cubicBezTo>
                                  <a:pt x="15762" y="54"/>
                                  <a:pt x="15750" y="43"/>
                                  <a:pt x="15750" y="29"/>
                                </a:cubicBezTo>
                                <a:cubicBezTo>
                                  <a:pt x="15750" y="15"/>
                                  <a:pt x="15762" y="4"/>
                                  <a:pt x="15775" y="4"/>
                                </a:cubicBezTo>
                                <a:close/>
                                <a:moveTo>
                                  <a:pt x="16125" y="4"/>
                                </a:moveTo>
                                <a:lnTo>
                                  <a:pt x="16225" y="4"/>
                                </a:lnTo>
                                <a:cubicBezTo>
                                  <a:pt x="16239" y="4"/>
                                  <a:pt x="16250" y="15"/>
                                  <a:pt x="16250" y="29"/>
                                </a:cubicBezTo>
                                <a:cubicBezTo>
                                  <a:pt x="16250" y="43"/>
                                  <a:pt x="16239" y="54"/>
                                  <a:pt x="16225" y="54"/>
                                </a:cubicBezTo>
                                <a:lnTo>
                                  <a:pt x="16125" y="54"/>
                                </a:lnTo>
                                <a:cubicBezTo>
                                  <a:pt x="16112" y="54"/>
                                  <a:pt x="16100" y="43"/>
                                  <a:pt x="16100" y="29"/>
                                </a:cubicBezTo>
                                <a:cubicBezTo>
                                  <a:pt x="16100" y="15"/>
                                  <a:pt x="16112" y="4"/>
                                  <a:pt x="16125" y="4"/>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64" name="Freeform 111"/>
                        <wps:cNvSpPr>
                          <a:spLocks noEditPoints="1"/>
                        </wps:cNvSpPr>
                        <wps:spPr bwMode="auto">
                          <a:xfrm>
                            <a:off x="1308112" y="1065532"/>
                            <a:ext cx="1430013" cy="73002"/>
                          </a:xfrm>
                          <a:custGeom>
                            <a:avLst/>
                            <a:gdLst>
                              <a:gd name="T0" fmla="*/ 549970 w 15666"/>
                              <a:gd name="T1" fmla="*/ 2723796 h 800"/>
                              <a:gd name="T2" fmla="*/ 124984743 w 15666"/>
                              <a:gd name="T3" fmla="*/ 2773802 h 800"/>
                              <a:gd name="T4" fmla="*/ 125534713 w 15666"/>
                              <a:gd name="T5" fmla="*/ 3331903 h 800"/>
                              <a:gd name="T6" fmla="*/ 124984743 w 15666"/>
                              <a:gd name="T7" fmla="*/ 3889912 h 800"/>
                              <a:gd name="T8" fmla="*/ 549970 w 15666"/>
                              <a:gd name="T9" fmla="*/ 3831601 h 800"/>
                              <a:gd name="T10" fmla="*/ 0 w 15666"/>
                              <a:gd name="T11" fmla="*/ 3273592 h 800"/>
                              <a:gd name="T12" fmla="*/ 549970 w 15666"/>
                              <a:gd name="T13" fmla="*/ 2723796 h 800"/>
                              <a:gd name="T14" fmla="*/ 123876588 w 15666"/>
                              <a:gd name="T15" fmla="*/ 0 h 800"/>
                              <a:gd name="T16" fmla="*/ 130534099 w 15666"/>
                              <a:gd name="T17" fmla="*/ 3331903 h 800"/>
                              <a:gd name="T18" fmla="*/ 123868281 w 15666"/>
                              <a:gd name="T19" fmla="*/ 6663714 h 800"/>
                              <a:gd name="T20" fmla="*/ 123876588 w 15666"/>
                              <a:gd name="T21" fmla="*/ 0 h 8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15666" h="800">
                                <a:moveTo>
                                  <a:pt x="66" y="327"/>
                                </a:moveTo>
                                <a:lnTo>
                                  <a:pt x="15000" y="333"/>
                                </a:lnTo>
                                <a:cubicBezTo>
                                  <a:pt x="15037" y="333"/>
                                  <a:pt x="15066" y="363"/>
                                  <a:pt x="15066" y="400"/>
                                </a:cubicBezTo>
                                <a:cubicBezTo>
                                  <a:pt x="15066" y="437"/>
                                  <a:pt x="15037" y="467"/>
                                  <a:pt x="15000" y="467"/>
                                </a:cubicBezTo>
                                <a:lnTo>
                                  <a:pt x="66" y="460"/>
                                </a:lnTo>
                                <a:cubicBezTo>
                                  <a:pt x="30" y="460"/>
                                  <a:pt x="0" y="430"/>
                                  <a:pt x="0" y="393"/>
                                </a:cubicBezTo>
                                <a:cubicBezTo>
                                  <a:pt x="0" y="357"/>
                                  <a:pt x="30" y="327"/>
                                  <a:pt x="66" y="327"/>
                                </a:cubicBezTo>
                                <a:close/>
                                <a:moveTo>
                                  <a:pt x="14867" y="0"/>
                                </a:moveTo>
                                <a:lnTo>
                                  <a:pt x="15666" y="400"/>
                                </a:lnTo>
                                <a:lnTo>
                                  <a:pt x="14866" y="800"/>
                                </a:lnTo>
                                <a:lnTo>
                                  <a:pt x="14867"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65" name="Freeform 112"/>
                        <wps:cNvSpPr>
                          <a:spLocks noEditPoints="1"/>
                        </wps:cNvSpPr>
                        <wps:spPr bwMode="auto">
                          <a:xfrm>
                            <a:off x="4162437" y="1064832"/>
                            <a:ext cx="1540514" cy="73102"/>
                          </a:xfrm>
                          <a:custGeom>
                            <a:avLst/>
                            <a:gdLst>
                              <a:gd name="T0" fmla="*/ 11143246 w 8434"/>
                              <a:gd name="T1" fmla="*/ 5538390 h 400"/>
                              <a:gd name="T2" fmla="*/ 280247881 w 8434"/>
                              <a:gd name="T3" fmla="*/ 5638540 h 400"/>
                              <a:gd name="T4" fmla="*/ 281382170 w 8434"/>
                              <a:gd name="T5" fmla="*/ 6772900 h 400"/>
                              <a:gd name="T6" fmla="*/ 280247881 w 8434"/>
                              <a:gd name="T7" fmla="*/ 7873999 h 400"/>
                              <a:gd name="T8" fmla="*/ 11143246 w 8434"/>
                              <a:gd name="T9" fmla="*/ 7773849 h 400"/>
                              <a:gd name="T10" fmla="*/ 10008775 w 8434"/>
                              <a:gd name="T11" fmla="*/ 6672933 h 400"/>
                              <a:gd name="T12" fmla="*/ 11143246 w 8434"/>
                              <a:gd name="T13" fmla="*/ 5538390 h 400"/>
                              <a:gd name="T14" fmla="*/ 13345155 w 8434"/>
                              <a:gd name="T15" fmla="*/ 13345684 h 400"/>
                              <a:gd name="T16" fmla="*/ 0 w 8434"/>
                              <a:gd name="T17" fmla="*/ 6639489 h 400"/>
                              <a:gd name="T18" fmla="*/ 13378580 w 8434"/>
                              <a:gd name="T19" fmla="*/ 0 h 400"/>
                              <a:gd name="T20" fmla="*/ 13345155 w 8434"/>
                              <a:gd name="T21" fmla="*/ 13345684 h 4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8434" h="400">
                                <a:moveTo>
                                  <a:pt x="334" y="166"/>
                                </a:moveTo>
                                <a:lnTo>
                                  <a:pt x="8400" y="169"/>
                                </a:lnTo>
                                <a:cubicBezTo>
                                  <a:pt x="8419" y="169"/>
                                  <a:pt x="8434" y="184"/>
                                  <a:pt x="8434" y="203"/>
                                </a:cubicBezTo>
                                <a:cubicBezTo>
                                  <a:pt x="8434" y="221"/>
                                  <a:pt x="8419" y="236"/>
                                  <a:pt x="8400" y="236"/>
                                </a:cubicBezTo>
                                <a:lnTo>
                                  <a:pt x="334" y="233"/>
                                </a:lnTo>
                                <a:cubicBezTo>
                                  <a:pt x="315" y="233"/>
                                  <a:pt x="300" y="218"/>
                                  <a:pt x="300" y="200"/>
                                </a:cubicBezTo>
                                <a:cubicBezTo>
                                  <a:pt x="300" y="181"/>
                                  <a:pt x="315" y="166"/>
                                  <a:pt x="334" y="166"/>
                                </a:cubicBezTo>
                                <a:close/>
                                <a:moveTo>
                                  <a:pt x="400" y="400"/>
                                </a:moveTo>
                                <a:lnTo>
                                  <a:pt x="0" y="199"/>
                                </a:lnTo>
                                <a:lnTo>
                                  <a:pt x="401" y="0"/>
                                </a:lnTo>
                                <a:lnTo>
                                  <a:pt x="40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0" name="Rectangle 113"/>
                        <wps:cNvSpPr>
                          <a:spLocks noChangeArrowheads="1"/>
                        </wps:cNvSpPr>
                        <wps:spPr bwMode="auto">
                          <a:xfrm>
                            <a:off x="2026014" y="755012"/>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AB9D"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71" name="Rectangle 114"/>
                        <wps:cNvSpPr>
                          <a:spLocks noChangeArrowheads="1"/>
                        </wps:cNvSpPr>
                        <wps:spPr bwMode="auto">
                          <a:xfrm>
                            <a:off x="1372284" y="895314"/>
                            <a:ext cx="104775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5B6A1D" w14:textId="77777777" w:rsidR="00BC408B" w:rsidRDefault="00BC408B" w:rsidP="00790BEC">
                              <w:r>
                                <w:rPr>
                                  <w:color w:val="000000"/>
                                </w:rPr>
                                <w:t>UL</w:t>
                              </w:r>
                              <w:r>
                                <w:rPr>
                                  <w:rFonts w:hint="eastAsia"/>
                                  <w:color w:val="000000"/>
                                </w:rPr>
                                <w:t>/DL</w:t>
                              </w:r>
                              <w:r>
                                <w:rPr>
                                  <w:color w:val="000000"/>
                                </w:rPr>
                                <w:t xml:space="preserve"> t</w:t>
                              </w:r>
                              <w:r>
                                <w:rPr>
                                  <w:rFonts w:hint="eastAsia"/>
                                  <w:color w:val="000000"/>
                                </w:rPr>
                                <w:t>ransmission</w:t>
                              </w:r>
                            </w:p>
                          </w:txbxContent>
                        </wps:txbx>
                        <wps:bodyPr rot="0" vert="horz" wrap="none" lIns="0" tIns="0" rIns="0" bIns="0" anchor="t" anchorCtr="0" upright="1">
                          <a:spAutoFit/>
                        </wps:bodyPr>
                      </wps:wsp>
                      <wps:wsp>
                        <wps:cNvPr id="72" name="Rectangle 115"/>
                        <wps:cNvSpPr>
                          <a:spLocks noChangeArrowheads="1"/>
                        </wps:cNvSpPr>
                        <wps:spPr bwMode="auto">
                          <a:xfrm>
                            <a:off x="2358784" y="895314"/>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266C5"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73" name="Rectangle 116"/>
                        <wps:cNvSpPr>
                          <a:spLocks noChangeArrowheads="1"/>
                        </wps:cNvSpPr>
                        <wps:spPr bwMode="auto">
                          <a:xfrm>
                            <a:off x="4983643" y="755012"/>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7B4B2C"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74" name="Rectangle 117"/>
                        <wps:cNvSpPr>
                          <a:spLocks noChangeArrowheads="1"/>
                        </wps:cNvSpPr>
                        <wps:spPr bwMode="auto">
                          <a:xfrm>
                            <a:off x="4606063" y="895314"/>
                            <a:ext cx="137985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2B22B" w14:textId="77777777" w:rsidR="00BC408B" w:rsidRDefault="00BC408B" w:rsidP="00790BEC">
                              <w:r>
                                <w:rPr>
                                  <w:color w:val="000000"/>
                                </w:rPr>
                                <w:t xml:space="preserve">GP </w:t>
                              </w:r>
                              <w:r>
                                <w:rPr>
                                  <w:rFonts w:hint="eastAsia"/>
                                  <w:color w:val="000000"/>
                                </w:rPr>
                                <w:t>or</w:t>
                              </w:r>
                              <w:r>
                                <w:rPr>
                                  <w:color w:val="000000"/>
                                </w:rPr>
                                <w:t xml:space="preserve"> </w:t>
                              </w:r>
                              <w:r>
                                <w:rPr>
                                  <w:rFonts w:hint="eastAsia"/>
                                  <w:color w:val="000000"/>
                                </w:rPr>
                                <w:t>UL/DL transmission</w:t>
                              </w:r>
                            </w:p>
                          </w:txbxContent>
                        </wps:txbx>
                        <wps:bodyPr rot="0" vert="horz" wrap="none" lIns="0" tIns="0" rIns="0" bIns="0" anchor="t" anchorCtr="0" upright="1">
                          <a:noAutofit/>
                        </wps:bodyPr>
                      </wps:wsp>
                      <wps:wsp>
                        <wps:cNvPr id="75" name="Rectangle 118"/>
                        <wps:cNvSpPr>
                          <a:spLocks noChangeArrowheads="1"/>
                        </wps:cNvSpPr>
                        <wps:spPr bwMode="auto">
                          <a:xfrm>
                            <a:off x="5360809" y="895314"/>
                            <a:ext cx="323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64BBD" w14:textId="77777777" w:rsidR="00BC408B" w:rsidRDefault="00BC408B" w:rsidP="00790BEC">
                              <w:r>
                                <w:rPr>
                                  <w:color w:val="000000"/>
                                </w:rPr>
                                <w:t xml:space="preserve"> </w:t>
                              </w:r>
                            </w:p>
                          </w:txbxContent>
                        </wps:txbx>
                        <wps:bodyPr rot="0" vert="horz" wrap="none" lIns="0" tIns="0" rIns="0" bIns="0" anchor="t" anchorCtr="0" upright="1">
                          <a:spAutoFit/>
                        </wps:bodyPr>
                      </wps:wsp>
                      <wps:wsp>
                        <wps:cNvPr id="76" name="Freeform 119"/>
                        <wps:cNvSpPr>
                          <a:spLocks noEditPoints="1"/>
                        </wps:cNvSpPr>
                        <wps:spPr bwMode="auto">
                          <a:xfrm>
                            <a:off x="5692151" y="1096633"/>
                            <a:ext cx="100301" cy="10200"/>
                          </a:xfrm>
                          <a:custGeom>
                            <a:avLst/>
                            <a:gdLst>
                              <a:gd name="T0" fmla="*/ 861751 w 551"/>
                              <a:gd name="T1" fmla="*/ 0 h 53"/>
                              <a:gd name="T2" fmla="*/ 5833659 w 551"/>
                              <a:gd name="T3" fmla="*/ 36951 h 53"/>
                              <a:gd name="T4" fmla="*/ 6629150 w 551"/>
                              <a:gd name="T5" fmla="*/ 959185 h 53"/>
                              <a:gd name="T6" fmla="*/ 5800529 w 551"/>
                              <a:gd name="T7" fmla="*/ 1881611 h 53"/>
                              <a:gd name="T8" fmla="*/ 828621 w 551"/>
                              <a:gd name="T9" fmla="*/ 1844660 h 53"/>
                              <a:gd name="T10" fmla="*/ 0 w 551"/>
                              <a:gd name="T11" fmla="*/ 922234 h 53"/>
                              <a:gd name="T12" fmla="*/ 861751 w 551"/>
                              <a:gd name="T13" fmla="*/ 0 h 53"/>
                              <a:gd name="T14" fmla="*/ 12462991 w 551"/>
                              <a:gd name="T15" fmla="*/ 73709 h 53"/>
                              <a:gd name="T16" fmla="*/ 17434899 w 551"/>
                              <a:gd name="T17" fmla="*/ 110660 h 53"/>
                              <a:gd name="T18" fmla="*/ 18230389 w 551"/>
                              <a:gd name="T19" fmla="*/ 1033087 h 53"/>
                              <a:gd name="T20" fmla="*/ 17401768 w 551"/>
                              <a:gd name="T21" fmla="*/ 1955321 h 53"/>
                              <a:gd name="T22" fmla="*/ 12429861 w 551"/>
                              <a:gd name="T23" fmla="*/ 1918370 h 53"/>
                              <a:gd name="T24" fmla="*/ 11601058 w 551"/>
                              <a:gd name="T25" fmla="*/ 996136 h 53"/>
                              <a:gd name="T26" fmla="*/ 12462991 w 551"/>
                              <a:gd name="T27" fmla="*/ 73709 h 53"/>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Lst>
                            <a:ahLst/>
                            <a:cxnLst>
                              <a:cxn ang="T28">
                                <a:pos x="T0" y="T1"/>
                              </a:cxn>
                              <a:cxn ang="T29">
                                <a:pos x="T2" y="T3"/>
                              </a:cxn>
                              <a:cxn ang="T30">
                                <a:pos x="T4" y="T5"/>
                              </a:cxn>
                              <a:cxn ang="T31">
                                <a:pos x="T6" y="T7"/>
                              </a:cxn>
                              <a:cxn ang="T32">
                                <a:pos x="T8" y="T9"/>
                              </a:cxn>
                              <a:cxn ang="T33">
                                <a:pos x="T10" y="T11"/>
                              </a:cxn>
                              <a:cxn ang="T34">
                                <a:pos x="T12" y="T13"/>
                              </a:cxn>
                              <a:cxn ang="T35">
                                <a:pos x="T14" y="T15"/>
                              </a:cxn>
                              <a:cxn ang="T36">
                                <a:pos x="T16" y="T17"/>
                              </a:cxn>
                              <a:cxn ang="T37">
                                <a:pos x="T18" y="T19"/>
                              </a:cxn>
                              <a:cxn ang="T38">
                                <a:pos x="T20" y="T21"/>
                              </a:cxn>
                              <a:cxn ang="T39">
                                <a:pos x="T22" y="T23"/>
                              </a:cxn>
                              <a:cxn ang="T40">
                                <a:pos x="T24" y="T25"/>
                              </a:cxn>
                              <a:cxn ang="T41">
                                <a:pos x="T26" y="T27"/>
                              </a:cxn>
                            </a:cxnLst>
                            <a:rect l="0" t="0" r="r" b="b"/>
                            <a:pathLst>
                              <a:path w="551" h="53">
                                <a:moveTo>
                                  <a:pt x="26" y="0"/>
                                </a:moveTo>
                                <a:lnTo>
                                  <a:pt x="176" y="1"/>
                                </a:lnTo>
                                <a:cubicBezTo>
                                  <a:pt x="189" y="1"/>
                                  <a:pt x="201" y="13"/>
                                  <a:pt x="200" y="26"/>
                                </a:cubicBezTo>
                                <a:cubicBezTo>
                                  <a:pt x="200" y="40"/>
                                  <a:pt x="189" y="51"/>
                                  <a:pt x="175" y="51"/>
                                </a:cubicBezTo>
                                <a:lnTo>
                                  <a:pt x="25" y="50"/>
                                </a:lnTo>
                                <a:cubicBezTo>
                                  <a:pt x="12" y="50"/>
                                  <a:pt x="0" y="39"/>
                                  <a:pt x="0" y="25"/>
                                </a:cubicBezTo>
                                <a:cubicBezTo>
                                  <a:pt x="1" y="12"/>
                                  <a:pt x="12" y="0"/>
                                  <a:pt x="26" y="0"/>
                                </a:cubicBezTo>
                                <a:close/>
                                <a:moveTo>
                                  <a:pt x="376" y="2"/>
                                </a:moveTo>
                                <a:lnTo>
                                  <a:pt x="526" y="3"/>
                                </a:lnTo>
                                <a:cubicBezTo>
                                  <a:pt x="539" y="3"/>
                                  <a:pt x="551" y="14"/>
                                  <a:pt x="550" y="28"/>
                                </a:cubicBezTo>
                                <a:cubicBezTo>
                                  <a:pt x="550" y="42"/>
                                  <a:pt x="539" y="53"/>
                                  <a:pt x="525" y="53"/>
                                </a:cubicBezTo>
                                <a:lnTo>
                                  <a:pt x="375" y="52"/>
                                </a:lnTo>
                                <a:cubicBezTo>
                                  <a:pt x="362" y="52"/>
                                  <a:pt x="350" y="41"/>
                                  <a:pt x="350" y="27"/>
                                </a:cubicBezTo>
                                <a:cubicBezTo>
                                  <a:pt x="351" y="13"/>
                                  <a:pt x="362" y="2"/>
                                  <a:pt x="376" y="2"/>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7" name="Freeform 120"/>
                        <wps:cNvSpPr>
                          <a:spLocks noEditPoints="1"/>
                        </wps:cNvSpPr>
                        <wps:spPr bwMode="auto">
                          <a:xfrm>
                            <a:off x="1200111" y="1096633"/>
                            <a:ext cx="100301" cy="9500"/>
                          </a:xfrm>
                          <a:custGeom>
                            <a:avLst/>
                            <a:gdLst>
                              <a:gd name="T0" fmla="*/ 423341 w 1101"/>
                              <a:gd name="T1" fmla="*/ 0 h 105"/>
                              <a:gd name="T2" fmla="*/ 2913831 w 1101"/>
                              <a:gd name="T3" fmla="*/ 16376 h 105"/>
                              <a:gd name="T4" fmla="*/ 3320592 w 1101"/>
                              <a:gd name="T5" fmla="*/ 426776 h 105"/>
                              <a:gd name="T6" fmla="*/ 2905541 w 1101"/>
                              <a:gd name="T7" fmla="*/ 837176 h 105"/>
                              <a:gd name="T8" fmla="*/ 415051 w 1101"/>
                              <a:gd name="T9" fmla="*/ 820710 h 105"/>
                              <a:gd name="T10" fmla="*/ 0 w 1101"/>
                              <a:gd name="T11" fmla="*/ 410400 h 105"/>
                              <a:gd name="T12" fmla="*/ 423341 w 1101"/>
                              <a:gd name="T13" fmla="*/ 0 h 105"/>
                              <a:gd name="T14" fmla="*/ 6234513 w 1101"/>
                              <a:gd name="T15" fmla="*/ 32843 h 105"/>
                              <a:gd name="T16" fmla="*/ 8725003 w 1101"/>
                              <a:gd name="T17" fmla="*/ 41076 h 105"/>
                              <a:gd name="T18" fmla="*/ 9131764 w 1101"/>
                              <a:gd name="T19" fmla="*/ 459619 h 105"/>
                              <a:gd name="T20" fmla="*/ 8716713 w 1101"/>
                              <a:gd name="T21" fmla="*/ 861786 h 105"/>
                              <a:gd name="T22" fmla="*/ 6226223 w 1101"/>
                              <a:gd name="T23" fmla="*/ 853552 h 105"/>
                              <a:gd name="T24" fmla="*/ 5811081 w 1101"/>
                              <a:gd name="T25" fmla="*/ 443243 h 105"/>
                              <a:gd name="T26" fmla="*/ 6234513 w 1101"/>
                              <a:gd name="T27" fmla="*/ 32843 h 105"/>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Lst>
                            <a:ahLst/>
                            <a:cxnLst>
                              <a:cxn ang="T28">
                                <a:pos x="T0" y="T1"/>
                              </a:cxn>
                              <a:cxn ang="T29">
                                <a:pos x="T2" y="T3"/>
                              </a:cxn>
                              <a:cxn ang="T30">
                                <a:pos x="T4" y="T5"/>
                              </a:cxn>
                              <a:cxn ang="T31">
                                <a:pos x="T6" y="T7"/>
                              </a:cxn>
                              <a:cxn ang="T32">
                                <a:pos x="T8" y="T9"/>
                              </a:cxn>
                              <a:cxn ang="T33">
                                <a:pos x="T10" y="T11"/>
                              </a:cxn>
                              <a:cxn ang="T34">
                                <a:pos x="T12" y="T13"/>
                              </a:cxn>
                              <a:cxn ang="T35">
                                <a:pos x="T14" y="T15"/>
                              </a:cxn>
                              <a:cxn ang="T36">
                                <a:pos x="T16" y="T17"/>
                              </a:cxn>
                              <a:cxn ang="T37">
                                <a:pos x="T18" y="T19"/>
                              </a:cxn>
                              <a:cxn ang="T38">
                                <a:pos x="T20" y="T21"/>
                              </a:cxn>
                              <a:cxn ang="T39">
                                <a:pos x="T22" y="T23"/>
                              </a:cxn>
                              <a:cxn ang="T40">
                                <a:pos x="T24" y="T25"/>
                              </a:cxn>
                              <a:cxn ang="T41">
                                <a:pos x="T26" y="T27"/>
                              </a:cxn>
                            </a:cxnLst>
                            <a:rect l="0" t="0" r="r" b="b"/>
                            <a:pathLst>
                              <a:path w="1101" h="105">
                                <a:moveTo>
                                  <a:pt x="51" y="0"/>
                                </a:moveTo>
                                <a:lnTo>
                                  <a:pt x="351" y="2"/>
                                </a:lnTo>
                                <a:cubicBezTo>
                                  <a:pt x="378" y="2"/>
                                  <a:pt x="401" y="25"/>
                                  <a:pt x="400" y="52"/>
                                </a:cubicBezTo>
                                <a:cubicBezTo>
                                  <a:pt x="400" y="80"/>
                                  <a:pt x="378" y="102"/>
                                  <a:pt x="350" y="102"/>
                                </a:cubicBezTo>
                                <a:lnTo>
                                  <a:pt x="50" y="100"/>
                                </a:lnTo>
                                <a:cubicBezTo>
                                  <a:pt x="23" y="100"/>
                                  <a:pt x="0" y="78"/>
                                  <a:pt x="0" y="50"/>
                                </a:cubicBezTo>
                                <a:cubicBezTo>
                                  <a:pt x="1" y="23"/>
                                  <a:pt x="23" y="0"/>
                                  <a:pt x="51" y="0"/>
                                </a:cubicBezTo>
                                <a:close/>
                                <a:moveTo>
                                  <a:pt x="751" y="4"/>
                                </a:moveTo>
                                <a:lnTo>
                                  <a:pt x="1051" y="5"/>
                                </a:lnTo>
                                <a:cubicBezTo>
                                  <a:pt x="1078" y="5"/>
                                  <a:pt x="1101" y="28"/>
                                  <a:pt x="1100" y="56"/>
                                </a:cubicBezTo>
                                <a:cubicBezTo>
                                  <a:pt x="1100" y="83"/>
                                  <a:pt x="1078" y="105"/>
                                  <a:pt x="1050" y="105"/>
                                </a:cubicBezTo>
                                <a:lnTo>
                                  <a:pt x="750" y="104"/>
                                </a:lnTo>
                                <a:cubicBezTo>
                                  <a:pt x="723" y="104"/>
                                  <a:pt x="700" y="81"/>
                                  <a:pt x="700" y="54"/>
                                </a:cubicBezTo>
                                <a:cubicBezTo>
                                  <a:pt x="701" y="26"/>
                                  <a:pt x="723" y="4"/>
                                  <a:pt x="751" y="4"/>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c:wpc>
                  </a:graphicData>
                </a:graphic>
              </wp:inline>
            </w:drawing>
          </mc:Choice>
          <mc:Fallback>
            <w:pict>
              <v:group w14:anchorId="69713FF2" id="画布 58" o:spid="_x0000_s1026" editas="canvas" style="width:485.7pt;height:234.7pt;mso-position-horizontal-relative:char;mso-position-vertical-relative:line" coordsize="61683,298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">
                <v:shape id="_x0000_s1027" type="#_x0000_t75" style="position:absolute;width:61683;height:29806;visibility:visible;mso-wrap-style:square">
                  <v:fill o:detectmouseclick="t"/>
                  <v:path o:connecttype="none"/>
                </v:shape>
                <v:rect id="Rectangle 64" o:spid="_x0000_s1028" style="position:absolute;left:61347;top:27203;width:324;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14:paraId="42CF6FF4" w14:textId="77777777" w:rsidR="00BC408B" w:rsidRDefault="00BC408B" w:rsidP="00790BEC">
                        <w:r>
                          <w:rPr>
                            <w:color w:val="000000"/>
                          </w:rPr>
                          <w:t xml:space="preserve"> </w:t>
                        </w:r>
                      </w:p>
                    </w:txbxContent>
                  </v:textbox>
                </v:rect>
                <v:shape id="Freeform 65" o:spid="_x0000_s1029" style="position:absolute;left:12001;top:15341;width:45739;height:89;visibility:visible;mso-wrap-style:square;v-text-anchor:top" coordsize="2505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" path="m25,l175,v14,,25,12,25,25c200,39,189,50,175,50l25,50c12,50,,39,,25,,12,12,,25,xm375,l525,v14,,25,12,25,25c550,39,539,50,525,50r-150,c362,50,350,39,350,25,350,12,362,,375,xm725,l875,v14,,25,12,25,25c900,39,889,50,875,50r-150,c712,50,700,39,700,25,700,12,712,,725,xm1075,r150,c1239,,1250,12,1250,25v,14,-11,25,-25,25l1075,50v-13,,-25,-11,-25,-25c1050,12,1062,,1075,xm1425,r150,c1589,,1600,12,1600,25v,14,-11,25,-25,25l1425,50v-13,,-25,-11,-25,-25c1400,12,1412,,1425,xm1775,r150,c1939,,1950,12,1950,25v,14,-11,25,-25,25l1775,50v-13,,-25,-11,-25,-25c1750,12,1762,,1775,xm2125,r150,c2289,,2300,12,2300,25v,14,-11,25,-25,25l2125,50v-13,,-25,-11,-25,-25c2100,12,2112,,2125,xm2475,r150,c2639,,2650,12,2650,25v,14,-11,25,-25,25l2475,50v-13,,-25,-11,-25,-25c2450,12,2462,,2475,xm2825,r150,c2989,,3000,12,3000,25v,14,-11,25,-25,25l2825,50v-13,,-25,-11,-25,-25c2800,12,2812,,2825,xm3175,r150,c3339,,3350,12,3350,25v,14,-11,25,-25,25l3175,50v-13,,-25,-11,-25,-25c3150,12,3162,,3175,xm3525,r150,c3689,,3700,12,3700,25v,14,-11,25,-25,25l3525,50v-13,,-25,-11,-25,-25c3500,12,3512,,3525,xm3875,r150,c4039,,4050,12,4050,25v,14,-11,25,-25,25l3875,50v-13,,-25,-11,-25,-25c3850,12,3862,,3875,xm4225,r150,c4389,,4400,12,4400,25v,14,-11,25,-25,25l4225,50v-13,,-25,-11,-25,-25c4200,12,4212,,4225,xm4575,r150,c4739,,4750,12,4750,25v,14,-11,25,-25,25l4575,50v-13,,-25,-11,-25,-25c4550,12,4562,,4575,xm4925,r150,c5089,,5100,12,5100,25v,14,-11,25,-25,25l4925,50v-13,,-25,-11,-25,-25c4900,12,4912,,4925,xm5275,r150,c5439,,5450,12,5450,25v,14,-11,25,-25,25l5275,50v-13,,-25,-11,-25,-25c5250,12,5262,,5275,xm5625,r150,c5789,,5800,12,5800,25v,14,-11,25,-25,25l5625,50v-13,,-25,-11,-25,-25c5600,12,5612,,5625,xm5975,r150,c6139,,6150,12,6150,25v,14,-11,25,-25,25l5975,50v-13,,-25,-11,-25,-25c5950,12,5962,,5975,xm6325,r150,c6489,,6500,12,6500,25v,14,-11,25,-25,25l6325,50v-13,,-25,-11,-25,-25c6300,12,6312,,6325,xm6675,r150,c6839,,6850,12,6850,25v,14,-11,25,-25,25l6675,50v-13,,-25,-11,-25,-25c6650,12,6662,,6675,xm7025,r150,c7189,,7200,12,7200,25v,14,-11,25,-25,25l7025,50v-13,,-25,-11,-25,-25c7000,12,7012,,7025,xm7375,r150,c7539,,7550,12,7550,25v,14,-11,25,-25,25l7375,50v-13,,-25,-11,-25,-25c7350,12,7362,,7375,xm7725,r150,c7889,,7900,12,7900,25v,14,-11,25,-25,25l7725,50v-13,,-25,-11,-25,-25c7700,12,7712,,7725,xm8075,r150,c8239,,8250,12,8250,25v,14,-11,25,-25,25l8075,50v-13,,-25,-11,-25,-25c8050,12,8062,,8075,xm8425,r150,c8589,,8600,12,8600,25v,14,-11,25,-25,25l8425,50v-13,,-25,-11,-25,-25c8400,12,8412,,8425,xm8775,r150,c8939,,8950,12,8950,25v,14,-11,25,-25,25l8775,50v-13,,-25,-11,-25,-25c8750,12,8762,,8775,xm9125,r150,c9289,,9300,12,9300,25v,14,-11,25,-25,25l9125,50v-13,,-25,-11,-25,-25c9100,12,9112,,9125,xm9475,r150,c9639,,9650,12,9650,25v,14,-11,25,-25,25l9475,50v-13,,-25,-11,-25,-25c9450,12,9462,,9475,xm9825,r150,c9989,,10000,12,10000,25v,14,-11,25,-25,25l9825,50v-13,,-25,-11,-25,-25c9800,12,9812,,9825,xm10175,r150,c10339,,10350,12,10350,25v,14,-11,25,-25,25l10175,50v-13,,-25,-11,-25,-25c10150,12,10162,,10175,xm10525,r150,c10689,,10700,12,10700,25v,14,-11,25,-25,25l10525,50v-13,,-25,-11,-25,-25c10500,12,10512,,10525,xm10875,r150,c11039,,11050,12,11050,25v,14,-11,25,-25,25l10875,50v-13,,-25,-11,-25,-25c10850,12,10862,,10875,xm11225,r150,c11389,,11400,12,11400,25v,14,-11,25,-25,25l11225,50v-13,,-25,-11,-25,-25c11200,12,11212,,11225,xm11575,r150,c11739,,11750,12,11750,25v,14,-11,25,-25,25l11575,50v-13,,-25,-11,-25,-25c11550,12,11562,,11575,xm11925,r150,c12089,,12100,12,12100,25v,14,-11,25,-25,25l11925,50v-13,,-25,-11,-25,-25c11900,12,11912,,11925,xm12275,r150,c12439,,12450,12,12450,25v,14,-11,25,-25,25l12275,50v-13,,-25,-11,-25,-25c12250,12,12262,,12275,xm12625,r150,c12789,,12800,12,12800,25v,14,-11,25,-25,25l12625,50v-13,,-25,-11,-25,-25c12600,12,12612,,12625,xm12975,r150,c13139,,13150,12,13150,25v,14,-11,25,-25,25l12975,50v-13,,-25,-11,-25,-25c12950,12,12962,,12975,xm13325,r150,c13489,,13500,12,13500,25v,14,-11,25,-25,25l13325,50v-13,,-25,-11,-25,-25c13300,12,13312,,13325,xm13675,r150,c13839,,13850,12,13850,25v,14,-11,25,-25,25l13675,50v-13,,-25,-11,-25,-25c13650,12,13662,,13675,xm14025,r150,c14189,,14200,12,14200,25v,14,-11,25,-25,25l14025,50v-13,,-25,-11,-25,-25c14000,12,14012,,14025,xm14375,r150,c14539,,14550,12,14550,25v,14,-11,25,-25,25l14375,50v-13,,-25,-11,-25,-25c14350,12,14362,,14375,xm14725,r150,c14889,,14900,12,14900,25v,14,-11,25,-25,25l14725,50v-13,,-25,-11,-25,-25c14700,12,14712,,14725,xm15075,r150,c15239,,15250,12,15250,25v,14,-11,25,-25,25l15075,50v-13,,-25,-11,-25,-25c15050,12,15062,,15075,xm15425,r150,c15589,,15600,12,15600,25v,14,-11,25,-25,25l15425,50v-13,,-25,-11,-25,-25c15400,12,15412,,15425,xm15775,r150,c15939,,15950,12,15950,25v,14,-11,25,-25,25l15775,50v-13,,-25,-11,-25,-25c15750,12,15762,,15775,xm16125,r150,c16289,,16300,12,16300,25v,14,-11,25,-25,25l16125,50v-13,,-25,-11,-25,-25c16100,12,16112,,16125,xm16475,r150,c16639,,16650,12,16650,25v,14,-11,25,-25,25l16475,50v-13,,-25,-11,-25,-25c16450,12,16462,,16475,xm16825,r150,c16989,,17000,12,17000,25v,14,-11,25,-25,25l16825,50v-13,,-25,-11,-25,-25c16800,12,16812,,16825,xm17175,r150,c17339,,17350,12,17350,25v,14,-11,25,-25,25l17175,50v-13,,-25,-11,-25,-25c17150,12,17162,,17175,xm17525,r150,c17689,,17700,12,17700,25v,14,-11,25,-25,25l17525,50v-13,,-25,-11,-25,-25c17500,12,17512,,17525,xm17875,r150,c18039,,18050,12,18050,25v,14,-11,25,-25,25l17875,50v-13,,-25,-11,-25,-25c17850,12,17862,,17875,xm18225,r150,c18389,,18400,12,18400,25v,14,-11,25,-25,25l18225,50v-13,,-25,-11,-25,-25c18200,12,18212,,18225,xm18575,r150,c18739,,18750,12,18750,25v,14,-11,25,-25,25l18575,50v-13,,-25,-11,-25,-25c18550,12,18562,,18575,xm18925,r150,c19089,,19100,12,19100,25v,14,-11,25,-25,25l18925,50v-13,,-25,-11,-25,-25c18900,12,18912,,18925,xm19275,r150,c19439,,19450,12,19450,25v,14,-11,25,-25,25l19275,50v-13,,-25,-11,-25,-25c19250,12,19262,,19275,xm19625,r150,c19789,,19800,12,19800,25v,14,-11,25,-25,25l19625,50v-13,,-25,-11,-25,-25c19600,12,19612,,19625,xm19975,r150,c20139,,20150,12,20150,25v,14,-11,25,-25,25l19975,50v-13,,-25,-11,-25,-25c19950,12,19962,,19975,xm20325,r150,c20489,,20500,12,20500,25v,14,-11,25,-25,25l20325,50v-13,,-25,-11,-25,-25c20300,12,20312,,20325,xm20675,r150,c20839,,20850,12,20850,25v,14,-11,25,-25,25l20675,50v-13,,-25,-11,-25,-25c20650,12,20662,,20675,xm21025,r150,c21189,,21200,12,21200,25v,14,-11,25,-25,25l21025,50v-13,,-25,-11,-25,-25c21000,12,21012,,21025,xm21375,r150,c21539,,21550,12,21550,25v,14,-11,25,-25,25l21375,50v-13,,-25,-11,-25,-25c21350,12,21362,,21375,xm21725,r150,c21889,,21900,12,21900,25v,14,-11,25,-25,25l21725,50v-13,,-25,-11,-25,-25c21700,12,21712,,21725,xm22075,r150,c22239,,22250,12,22250,25v,14,-11,25,-25,25l22075,50v-13,,-25,-11,-25,-25c22050,12,22062,,22075,xm22425,r150,c22589,,22600,12,22600,25v,14,-11,25,-25,25l22425,50v-13,,-25,-11,-25,-25c22400,12,22412,,22425,xm22775,r150,c22939,,22950,12,22950,25v,14,-11,25,-25,25l22775,50v-13,,-25,-11,-25,-25c22750,12,22762,,22775,xm23125,r150,c23289,,23300,12,23300,25v,14,-11,25,-25,25l23125,50v-13,,-25,-11,-25,-25c23100,12,23112,,23125,xm23475,r150,c23639,,23650,12,23650,25v,14,-11,25,-25,25l23475,50v-13,,-25,-11,-25,-25c23450,12,23462,,23475,xm23825,r150,c23989,,24000,12,24000,25v,14,-11,25,-25,25l23825,50v-13,,-25,-11,-25,-25c23800,12,23812,,23825,xm24175,r150,c24339,,24350,12,24350,25v,14,-11,25,-25,25l24175,50v-13,,-25,-11,-25,-25c24150,12,24162,,24175,xm24525,r150,c24689,,24700,12,24700,25v,14,-11,25,-25,25l24525,50v-13,,-25,-11,-25,-25c24500,12,24512,,24525,xm24875,r150,c25039,,25050,12,25050,25v,14,-11,25,-25,25l24875,50v-13,,-25,-11,-25,-25c24850,12,24862,,24875,xe" fillcolor="black" strokeweight=".1pt">
                  <v:stroke joinstyle="bevel"/>
                  <v:path arrowok="t" o:connecttype="custom" o:connectlocs="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2147483646,0;2147483646,0;2147483646,140835380;2147483646,281670760;2147483646,281670760;2147483646,140835380;2147483646,0" o:connectangles="0,0,0,0,0,0,0,0,0,0,0,0,0,0,0,0,0,0,0,0,0,0,0,0,0,0,0,0,0,0,0,0,0,0,0,0,0,0,0,0,0,0,0,0,0,0,0,0,0,0,0,0,0,0,0,0,0,0,0,0,0,0,0"/>
                  <o:lock v:ext="edit" verticies="t"/>
                </v:shape>
                <v:shape id="Freeform 66" o:spid="_x0000_s1030" style="position:absolute;left:11715;top:18675;width:46895;height:730;visibility:visible;mso-wrap-style:square;v-text-anchor:top" coordsize="25680,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" path="m34,163r25313,3c25366,166,25381,181,25381,200v,18,-15,33,-34,33l34,230c15,230,,215,,196,,178,15,163,34,163xm25280,r400,200l25280,400r,-400xe" fillcolor="black" strokeweight=".1pt">
                  <v:stroke joinstyle="bevel"/>
                  <v:path arrowok="t" o:connecttype="custom" o:connectlocs="207058254,991181735;2147483646,1009401209;2147483646,1216177732;2147483646,1416825554;207058254,1398572681;0,1191829557;207058254,991181735;2147483646,0;2147483646,1216177732;2147483646,2147483646;2147483646,0" o:connectangles="0,0,0,0,0,0,0,0,0,0,0"/>
                  <o:lock v:ext="edit" verticies="t"/>
                </v:shape>
                <v:shape id="Freeform 67" o:spid="_x0000_s1031" style="position:absolute;left:12693;top:361;width:730;height:19279;visibility:visible;mso-wrap-style:square;v-text-anchor:top" coordsize="800,2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" path="m326,21093l333,667v,-37,30,-67,67,-67c436,600,466,630,466,667r-6,20426c460,21130,430,21160,393,21160v-37,,-67,-30,-67,-67xm,800l400,,800,800,,800xe" fillcolor="black" strokeweight=".1pt">
                  <v:stroke joinstyle="bevel"/>
                  <v:path arrowok="t" o:connecttype="custom" o:connectlocs="247788663,2147483646;253109432,504482283;304036116,453809059;354196654,504482283;349633636,2147483646;298715256,2147483646;247788663,2147483646;0,605081509;304036116,0;608063928,605081509;0,605081509" o:connectangles="0,0,0,0,0,0,0,0,0,0,0"/>
                  <o:lock v:ext="edit" verticies="t"/>
                </v:shape>
                <v:shape id="Freeform 68" o:spid="_x0000_s1032" style="position:absolute;left:24053;top:12065;width:96;height:7296;visibility:visible;mso-wrap-style:square;v-text-anchor:top" coordsize="107,8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" path="m100,50r1,300c101,378,78,400,51,400,23,400,1,378,1,351l,51c,23,23,,50,v28,,50,23,50,50xm101,750r,300c101,1078,79,1100,51,1100v-27,,-50,-22,-50,-49l1,751v,-28,22,-51,50,-51c79,700,101,723,101,750xm102,1450r,300c102,1778,80,1800,52,1800v-28,,-50,-22,-50,-49l2,1451v,-28,22,-51,50,-51c79,1400,102,1423,102,1450xm102,2150r,300c103,2478,80,2500,53,2500v-28,,-50,-22,-51,-49l2,2151v,-28,23,-51,50,-51c80,2100,102,2123,102,2150xm103,2850r,300c103,3178,81,3200,53,3200v-27,,-50,-22,-50,-49l3,2851v,-28,22,-51,50,-51c80,2800,103,2823,103,2850xm103,3550r1,300c104,3878,81,3900,54,3900v-28,,-50,-22,-50,-49l3,3551v,-28,23,-51,50,-51c81,3500,103,3523,103,3550xm104,4250r,300c104,4578,82,4600,54,4600v-27,,-50,-22,-50,-49l4,4251v,-28,22,-51,50,-51c82,4200,104,4223,104,4250xm105,4950r,300c105,5278,83,5300,55,5300v-28,,-50,-22,-50,-49l5,4951v,-28,22,-51,50,-51c82,4900,105,4923,105,4950xm105,5650r,300c105,5978,83,6000,55,6000v-27,,-50,-22,-50,-49l5,5651v,-28,23,-51,50,-51c83,5600,105,5623,105,5650xm106,6350r,300c106,6678,84,6700,56,6700v-28,,-50,-22,-50,-49l6,6351v,-28,22,-51,50,-51c83,6300,106,6323,106,6350xm106,7050r1,300c107,7378,84,7400,57,7400v-28,,-50,-22,-50,-49l6,7051v,-28,23,-51,50,-51c84,7000,106,7023,106,7050xm107,7750r,207c107,7985,85,8007,57,8007v-27,,-50,-22,-50,-50l7,7751v,-28,22,-51,50,-51c85,7700,107,7723,107,7750xe" fillcolor="black" strokeweight=".1pt">
                  <v:stroke joinstyle="bevel"/>
                  <v:path arrowok="t" o:connecttype="custom" o:connectlocs="72374041,264820437;716411,265576121;35828815,0;72374041,567471233;36545226,832283469;716411,568226825;72374041,567471233;73090452,1324094077;1432822,1324849669;37261637,1059273548;73090452,1626744873;37978049,1891557018;1432822,1627500465;73090452,1626744873;73806864,2147483646;2149234,2147483646;37978049,2118547188;73806864,2147483646;38694460,2147483646;2149234,2147483646;73806864,2147483646;74523275,2147483646;2865645,2147483646;38694460,2147483646;75239686,2147483646;39410871,2147483646;3582056,2147483646;75239686,2147483646;75239686,2147483646;3582056,2147483646;39410871,2147483646;75956097,2147483646;40127282,2147483646;4298467,2147483646;75956097,2147483646;76672508,2147483646;5014879,2147483646;40127282,2147483646;76672508,2147483646;40843693,2147483646;5014879,2147483646;76672508,2147483646" o:connectangles="0,0,0,0,0,0,0,0,0,0,0,0,0,0,0,0,0,0,0,0,0,0,0,0,0,0,0,0,0,0,0,0,0,0,0,0,0,0,0,0,0,0"/>
                  <o:lock v:ext="edit" verticies="t"/>
                </v:shape>
                <v:shape id="Freeform 69" o:spid="_x0000_s1033" style="position:absolute;left:27336;top:2222;width:102;height:16948;visibility:visible;mso-wrap-style:square;v-text-anchor:top" coordsize="107,1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" path="m100,50r1,300c101,378,78,400,51,400,23,400,1,378,1,350l,50c,23,23,,50,v28,,50,23,50,50xm101,750r,300c101,1078,78,1100,51,1100v-28,,-50,-22,-50,-50l1,750v,-27,22,-50,50,-50c78,700,101,723,101,750xm101,1450r,300c101,1778,79,1800,51,1800v-28,,-50,-22,-50,-50l1,1450v,-27,22,-50,50,-50c79,1400,101,1423,101,1450xm101,2150r,300c101,2478,79,2500,51,2500v-27,,-50,-22,-50,-50l1,2150v,-27,23,-50,50,-50c79,2100,101,2123,101,2150xm101,2850r1,300c102,3178,79,3200,52,3200v-28,,-50,-22,-50,-50l1,2850v,-27,23,-50,50,-50c79,2800,101,2823,101,2850xm102,3550r,300c102,3878,79,3900,52,3900v-28,,-50,-22,-50,-50l2,3550v,-27,22,-50,50,-50c79,3500,102,3523,102,3550xm102,4250r,300c102,4578,80,4600,52,4600v-28,,-50,-22,-50,-50l2,4250v,-27,22,-50,50,-50c80,4200,102,4223,102,4250xm102,4950r,300c102,5278,80,5300,52,5300v-27,,-50,-22,-50,-50l2,4950v,-27,23,-50,50,-50c80,4900,102,4923,102,4950xm102,5650r1,300c103,5978,80,6000,53,6000v-28,,-50,-22,-50,-50l2,5650v,-27,23,-50,50,-50c80,5600,102,5623,102,5650xm103,6350r,300c103,6678,80,6700,53,6700v-28,,-50,-22,-50,-50l3,6350v,-27,22,-50,50,-50c80,6300,103,6323,103,6350xm103,7050r,300c103,7378,81,7400,53,7400v-28,,-50,-22,-50,-50l3,7050v,-27,22,-50,50,-50c81,7000,103,7023,103,7050xm103,7750r,300c103,8078,81,8100,53,8100v-27,,-50,-22,-50,-50l3,7750v,-27,23,-50,50,-50c81,7700,103,7723,103,7750xm103,8450r1,300c104,8778,81,8800,54,8800v-28,,-50,-22,-50,-50l3,8450v,-27,23,-50,50,-50c81,8400,103,8423,103,8450xm104,9150r,300c104,9478,81,9500,54,9500v-28,,-50,-22,-50,-50l4,9150v,-27,22,-50,50,-50c81,9100,104,9123,104,9150xm104,9850r,300c104,10178,82,10200,54,10200v-28,,-50,-22,-50,-50l4,9850v,-27,22,-50,50,-50c82,9800,104,9823,104,9850xm104,10550r,300c104,10878,82,10900,54,10900v-27,,-50,-22,-50,-50l4,10550v,-27,23,-50,50,-50c82,10500,104,10523,104,10550xm104,11250r1,300c105,11578,82,11600,55,11600v-28,,-50,-22,-50,-50l4,11250v,-27,23,-50,50,-50c82,11200,104,11223,104,11250xm105,11950r,300c105,12278,82,12300,55,12300v-28,,-50,-22,-50,-50l5,11950v,-27,22,-50,50,-50c82,11900,105,11923,105,11950xm105,12650r,300c105,12978,83,13000,55,13000v-28,,-50,-22,-50,-50l5,12650v,-27,22,-50,50,-50c83,12600,105,12623,105,12650xm105,13350r,300c105,13678,83,13700,55,13700v-27,,-50,-22,-50,-50l5,13350v,-27,23,-50,50,-50c83,13300,105,13323,105,13350xm105,14050r1,300c106,14378,83,14400,56,14400v-28,,-50,-22,-50,-50l5,14050v,-27,23,-50,50,-50c83,14000,105,14023,105,14050xm106,14750r,300c106,15078,83,15100,56,15100v-28,,-50,-22,-50,-50l6,14750v,-27,22,-50,50,-50c83,14700,106,14723,106,14750xm106,15450r,300c106,15778,84,15800,56,15800v-28,,-50,-22,-50,-50l6,15450v,-27,22,-50,50,-50c84,15400,106,15423,106,15450xm106,16150r,300c106,16478,84,16500,56,16500v-27,,-50,-22,-50,-50l6,16150v,-27,23,-50,50,-50c84,16100,106,16123,106,16150xm106,16850r1,300c107,17178,84,17200,57,17200v-28,,-50,-22,-50,-50l6,16850v,-27,23,-50,50,-50c84,16800,106,16823,106,16850xm107,17550r,300c107,17878,84,17900,57,17900v-28,,-50,-22,-50,-50l7,17550v,-27,22,-50,50,-50c84,17500,107,17523,107,17550xm107,18250r,300c107,18578,85,18600,57,18600v-28,,-50,-22,-50,-50l7,18250v,-27,22,-50,50,-50c85,18200,107,18223,107,18250xe" fillcolor="black" strokeweight=".1pt">
                  <v:stroke joinstyle="bevel"/>
                  <v:path arrowok="t" o:connecttype="custom" o:connectlocs="44009568,302629223;43146286,0;87146798,794393430;863282,567421444;87146798,1097022653;863282,1323986256;87146798,1097022653;44009568,1891415992;44009568,1588786769;88010080,2147483646;863282,2147483646;88010080,2147483646;1726564,2147483646;88010080,2147483646;44872850,2147483646;44872850,2147483646;88010080,2147483646;1726564,2147483646;88010080,2147483646;2589847,2147483646;88010080,2147483646;45736133,2147483646;45736133,2147483646;88873363,2147483646;2589847,2147483646;88873363,2147483646;2589847,2147483646;88873363,2147483646;46590359,2147483646;45736133,2147483646;89736645,2147483646;3453129,2147483646;89736645,2147483646;3453129,2147483646;89736645,2147483646;46590359,2147483646;46590359,2147483646;90599927,2147483646;3453129,2147483646;90599927,2147483646;4316411,2147483646;90599927,2147483646;47453641,2147483646;47453641,2147483646;90599927,2147483646;4316411,2147483646;90599927,2147483646;5179693,2147483646;90599927,2147483646;48316923,2147483646;48316923,2147483646;91463209,2147483646;5179693,2147483646;91463209,2147483646;5179693,2147483646;91463209,2147483646;49180206,2147483646;48316923,2147483646;92326492,2147483646;6043071,2147483646;92326492,2147483646;6043071,2147483646;92326492,2147483646" o:connectangles="0,0,0,0,0,0,0,0,0,0,0,0,0,0,0,0,0,0,0,0,0,0,0,0,0,0,0,0,0,0,0,0,0,0,0,0,0,0,0,0,0,0,0,0,0,0,0,0,0,0,0,0,0,0,0,0,0,0,0,0,0,0,0"/>
                  <o:lock v:ext="edit" verticies="t"/>
                </v:shape>
                <v:shape id="Freeform 70" o:spid="_x0000_s1034" style="position:absolute;left:41579;top:2222;width:102;height:16948;visibility:visible;mso-wrap-style:square;v-text-anchor:top" coordsize="54,9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" path="m50,25r1,150c51,189,39,200,26,200,12,200,1,189,1,175l,25c,12,12,,25,,39,,50,12,50,25xm51,375r,150c51,539,39,550,26,550,12,550,1,539,1,525l1,375v,-13,11,-25,25,-25c39,350,51,362,51,375xm51,725r,150c51,889,40,900,26,900,12,900,1,889,1,875l1,725v,-13,11,-25,25,-25c40,700,51,712,51,725xm51,1075r,150c51,1239,40,1250,26,1250v-14,,-25,-11,-25,-25l1,1075v,-13,11,-25,25,-25c40,1050,51,1062,51,1075xm51,1425r,150c51,1589,40,1600,26,1600v-14,,-25,-11,-25,-25l1,1425v,-13,11,-25,25,-25c40,1400,51,1412,51,1425xm51,1775r,150c51,1939,40,1950,26,1950v-14,,-25,-11,-25,-25l1,1775v,-13,11,-25,25,-25c40,1750,51,1762,51,1775xm51,2125r,150c51,2289,40,2300,26,2300v-14,,-25,-11,-25,-25l1,2125v,-13,11,-25,25,-25c40,2100,51,2112,51,2125xm51,2475r,150c51,2639,40,2650,26,2650v-13,,-25,-11,-25,-25l1,2475v,-13,12,-25,25,-25c40,2450,51,2462,51,2475xm51,2825r1,150c52,2989,40,3000,27,3000v-14,,-25,-11,-25,-25l1,2825v,-13,12,-25,25,-25c40,2800,51,2812,51,2825xm52,3175r,150c52,3339,40,3350,27,3350v-14,,-25,-11,-25,-25l2,3175v,-13,11,-25,25,-25c40,3150,52,3162,52,3175xm52,3525r,150c52,3689,41,3700,27,3700v-14,,-25,-11,-25,-25l2,3525v,-13,11,-25,25,-25c40,3500,52,3512,52,3525xm52,3875r,150c52,4039,41,4050,27,4050v-14,,-25,-11,-25,-25l2,3875v,-13,11,-25,25,-25c41,3850,52,3862,52,3875xm52,4225r,150c52,4389,41,4400,27,4400v-14,,-25,-11,-25,-25l2,4225v,-13,11,-25,25,-25c41,4200,52,4212,52,4225xm52,4575r,150c52,4739,41,4750,27,4750v-14,,-25,-11,-25,-25l2,4575v,-13,11,-25,25,-25c41,4550,52,4562,52,4575xm52,4925r,150c52,5089,41,5100,27,5100v-14,,-25,-11,-25,-25l2,4925v,-13,11,-25,25,-25c41,4900,52,4912,52,4925xm52,5275r,150c52,5439,41,5450,27,5450v-13,,-25,-11,-25,-25l2,5275v,-13,12,-25,25,-25c41,5250,52,5262,52,5275xm52,5625r,150c53,5789,41,5800,28,5800v-14,,-25,-11,-26,-25l2,5625v,-13,12,-25,25,-25c41,5600,52,5612,52,5625xm53,5975r,150c53,6139,41,6150,28,6150v-14,,-25,-11,-25,-25l3,5975v,-13,11,-25,25,-25c41,5950,53,5962,53,5975xm53,6325r,150c53,6489,42,6500,28,6500v-14,,-25,-11,-25,-25l3,6325v,-13,11,-25,25,-25c41,6300,53,6312,53,6325xm53,6675r,150c53,6839,42,6850,28,6850v-14,,-25,-11,-25,-25l3,6675v,-13,11,-25,25,-25c42,6650,53,6662,53,6675xm53,7025r,150c53,7189,42,7200,28,7200v-14,,-25,-11,-25,-25l3,7025v,-13,11,-25,25,-25c42,7000,53,7012,53,7025xm53,7375r,150c53,7539,42,7550,28,7550v-14,,-25,-11,-25,-25l3,7375v,-13,11,-25,25,-25c42,7350,53,7362,53,7375xm53,7725r,150c53,7889,42,7900,28,7900v-14,,-25,-11,-25,-25l3,7725v,-13,11,-25,25,-25c42,7700,53,7712,53,7725xm53,8075r,150c53,8239,42,8250,28,8250v-13,,-25,-11,-25,-25l3,8075v,-13,12,-25,25,-25c42,8050,53,8062,53,8075xm53,8425r1,150c54,8589,42,8600,29,8600v-14,,-25,-11,-25,-25l3,8425v,-13,12,-25,25,-25c42,8400,53,8412,53,8425xm54,8775r,150c54,8939,42,8950,29,8950v-14,,-25,-11,-25,-25l4,8775v,-13,11,-25,25,-25c42,8750,54,8762,54,8775xm54,9125r,150c54,9289,43,9300,29,9300v-14,,-25,-11,-25,-25l4,9125v,-13,11,-25,25,-25c43,9100,54,9112,54,9125xe" fillcolor="black" strokeweight=".1pt">
                  <v:stroke joinstyle="bevel"/>
                  <v:path arrowok="t" o:connecttype="custom" o:connectlocs="174541644,1210516892;167834011,0;342375844,2147483646;6707633,2147483646;342375844,2147483646;6707633,2147483646;342375844,2147483646;174541644,2147483646;174541644,2147483646;342375844,2147483646;6707633,2147483646;342375844,2147483646;6707633,2147483646;342375844,2147483646;174541644,2147483646;174541644,2147483646;342375844,2147483646;6707633,2147483646;342375844,2147483646;13415267,2147483646;342375844,2147483646;181249467,2147483646;181249467,2147483646;349083478,2147483646;13415267,2147483646;349083478,2147483646;13415267,2147483646;349083478,2147483646;181249467,2147483646;181249467,2147483646;349083478,2147483646;13415267,2147483646;349083478,2147483646;13415267,2147483646;349083478,2147483646;181249467,2147483646;181249467,2147483646;349083478,2147483646;13415267,2147483646;355791111,2147483646;20122900,2147483646;355791111,2147483646;187957100,2147483646;187957100,2147483646;355791111,2147483646;20122900,2147483646;355791111,2147483646;20122900,2147483646;355791111,2147483646;187957100,2147483646;187957100,2147483646;355791111,2147483646;20122900,2147483646;355791111,2147483646;20122900,2147483646;355791111,2147483646;194664733,2147483646;187957100,2147483646;362498744,2147483646;26866233,2147483646;362498744,2147483646;26866233,2147483646;362498744,2147483646" o:connectangles="0,0,0,0,0,0,0,0,0,0,0,0,0,0,0,0,0,0,0,0,0,0,0,0,0,0,0,0,0,0,0,0,0,0,0,0,0,0,0,0,0,0,0,0,0,0,0,0,0,0,0,0,0,0,0,0,0,0,0,0,0,0,0"/>
                  <o:lock v:ext="edit" verticies="t"/>
                </v:shape>
                <v:shape id="Freeform 71" o:spid="_x0000_s1035" style="position:absolute;left:45961;top:12065;width:101;height:7296;visibility:visible;mso-wrap-style:square;v-text-anchor:top" coordsize="54,4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" path="m50,25r1,150c51,189,39,200,26,200,12,200,1,189,1,175l,25c,12,12,,25,,39,,50,12,50,25xm51,375r,150c51,539,40,550,26,550,12,550,1,539,1,525l1,375v,-13,11,-25,25,-25c40,350,51,362,51,375xm51,725r,150c51,889,40,900,26,900,12,900,1,889,1,875l1,725v,-13,11,-25,25,-25c40,700,51,712,51,725xm51,1075r,150c51,1239,40,1250,26,1250v-13,,-25,-11,-25,-25l1,1075v,-13,12,-25,25,-25c40,1050,51,1062,51,1075xm52,1425r,150c52,1589,41,1600,27,1600v-14,,-25,-11,-25,-25l2,1425v,-13,11,-25,25,-25c40,1400,52,1412,52,1425xm52,1775r,150c52,1939,41,1950,27,1950v-14,,-25,-11,-25,-25l2,1775v,-13,11,-25,25,-25c41,1750,52,1762,52,1775xm52,2125r,150c52,2289,41,2300,27,2300v-13,,-25,-11,-25,-25l2,2125v,-13,11,-25,25,-25c41,2100,52,2112,52,2125xm53,2475r,150c53,2639,41,2650,28,2650v-14,,-25,-11,-25,-25l3,2475v,-13,11,-25,25,-25c41,2450,53,2462,53,2475xm53,2825r,150c53,2989,42,3000,28,3000v-14,,-25,-11,-25,-25l3,2825v,-13,11,-25,25,-25c42,2800,53,2812,53,2825xm53,3175r,150c53,3339,42,3350,28,3350v-14,,-25,-11,-25,-25l3,3175v,-13,11,-25,25,-25c42,3150,53,3162,53,3175xm53,3525r1,150c54,3689,42,3700,29,3700v-14,,-25,-11,-25,-25l3,3525v,-13,12,-25,25,-25c42,3500,53,3512,53,3525xm54,3875r,104c54,3993,43,4004,29,4004v-14,,-25,-11,-25,-25l4,3875v,-13,11,-25,25,-25c42,3850,54,3862,54,3875xe" fillcolor="black" strokeweight=".1pt">
                  <v:stroke joinstyle="bevel"/>
                  <v:path arrowok="t" o:connecttype="custom" o:connectlocs="335695383,1058884519;6576783,1058884519;164559300,0;335695383,2147483646;171136083,2147483646;6576783,2147483646;335695383,2147483646;335695383,2147483646;6576783,2147483646;171136083,2147483646;335695383,2147483646;171136083,2147483646;6576783,2147483646;335695383,2147483646;342272167,2147483646;13153567,2147483646;177712867,2147483646;342272167,2147483646;177712867,2147483646;13153567,2147483646;342272167,2147483646;342272167,2147483646;13153567,2147483646;177712867,2147483646;348848950,2147483646;184289650,2147483646;19730350,2147483646;348848950,2147483646;348848950,2147483646;19730350,2147483646;184289650,2147483646;348848950,2147483646;184289650,2147483646;19730350,2147483646;348848950,2147483646;355425733,2147483646;26342109,2147483646;184289650,2147483646;355425733,2147483646;190866433,2147483646;26342109,2147483646;355425733,2147483646" o:connectangles="0,0,0,0,0,0,0,0,0,0,0,0,0,0,0,0,0,0,0,0,0,0,0,0,0,0,0,0,0,0,0,0,0,0,0,0,0,0,0,0,0,0"/>
                  <o:lock v:ext="edit" verticies="t"/>
                </v:shape>
                <v:rect id="Rectangle 72" o:spid="_x0000_s1036" style="position:absolute;left:14209;width:12980;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fit-shape-to-text:t" inset="0,0,0,0">
                    <w:txbxContent>
                      <w:p w14:paraId="3B669774" w14:textId="77777777" w:rsidR="00BC408B" w:rsidRDefault="00BC408B" w:rsidP="00790BEC">
                        <w:r>
                          <w:rPr>
                            <w:color w:val="000000"/>
                          </w:rPr>
                          <w:t>Transmitter output power</w:t>
                        </w:r>
                      </w:p>
                    </w:txbxContent>
                  </v:textbox>
                </v:rect>
                <v:rect id="Rectangle 73" o:spid="_x0000_s1037" style="position:absolute;left:26978;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fit-shape-to-text:t" inset="0,0,0,0">
                    <w:txbxContent>
                      <w:p w14:paraId="7A39E0E6" w14:textId="77777777" w:rsidR="00BC408B" w:rsidRDefault="00BC408B" w:rsidP="00790BEC">
                        <w:r>
                          <w:rPr>
                            <w:color w:val="000000"/>
                          </w:rPr>
                          <w:t xml:space="preserve"> </w:t>
                        </w:r>
                      </w:p>
                    </w:txbxContent>
                  </v:textbox>
                </v:rect>
                <v:rect id="Rectangle 74" o:spid="_x0000_s1038" style="position:absolute;left:54554;top:20218;width:2686;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fit-shape-to-text:t" inset="0,0,0,0">
                    <w:txbxContent>
                      <w:p w14:paraId="56CF3739" w14:textId="77777777" w:rsidR="00BC408B" w:rsidRDefault="00BC408B" w:rsidP="00790BEC">
                        <w:r>
                          <w:rPr>
                            <w:color w:val="000000"/>
                          </w:rPr>
                          <w:t>Time</w:t>
                        </w:r>
                      </w:p>
                    </w:txbxContent>
                  </v:textbox>
                </v:rect>
                <v:rect id="Rectangle 75" o:spid="_x0000_s1039" style="position:absolute;left:57112;top:20218;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14:paraId="4D56E0A9" w14:textId="77777777" w:rsidR="00BC408B" w:rsidRDefault="00BC408B" w:rsidP="00790BEC">
                        <w:r>
                          <w:rPr>
                            <w:color w:val="000000"/>
                          </w:rPr>
                          <w:t xml:space="preserve"> </w:t>
                        </w:r>
                      </w:p>
                    </w:txbxContent>
                  </v:textbox>
                </v:rect>
                <v:shape id="Freeform 76" o:spid="_x0000_s1040" style="position:absolute;left:13970;top:3473;width:38709;height:14402;visibility:visible;mso-wrap-style:square;v-text-anchor:top" coordsize="6096,2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" path="m,2206v72,7,142,29,216,29c388,2235,561,2213,733,2206v261,-32,-54,,388,c1236,2206,1351,2197,1466,2192v41,-13,62,-13,87,-57c1566,2110,1632,1941,1639,1919v35,-105,48,-221,72,-330c1744,1439,1780,1299,1797,1144v12,-235,15,-485,58,-717c1861,388,1887,194,1912,169v11,-11,30,-8,43,-15c2129,68,2092,97,2344,83,2484,85,3403,,3824,140v57,-19,123,-53,173,-86c4167,66,4311,87,4471,140v151,150,186,295,245,488c4749,739,4794,844,4817,958v4,139,7,277,14,416c4840,1588,4821,1818,4888,2020v40,117,166,158,274,172c5272,2206,5382,2218,5492,2235v53,9,105,27,158,29c5799,2268,5948,2264,6096,2264e" filled="f" strokeweight=".7pt">
                  <v:stroke endcap="round"/>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
                </v:shape>
                <v:shape id="Freeform 77" o:spid="_x0000_s1041" style="position:absolute;left:13544;top:22231;width:10554;height:730;visibility:visible;mso-wrap-style:square;v-text-anchor:top" coordsize="1156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" path="m67,327r10827,7c10931,334,10960,364,10960,400v,37,-29,67,-66,67l67,461c30,461,,431,,394,,357,30,327,67,327xm10761,r799,401l10760,800,10761,xe" fillcolor="black" strokeweight=".1pt">
                  <v:stroke joinstyle="bevel"/>
                  <v:path arrowok="t" o:connecttype="custom" o:connectlocs="50987576,248553194;2147483646,253874128;2147483646,304044479;2147483646,354964195;50987576,350409235;0,299481215;50987576,248553194;2147483646,0;2147483646,304802239;2147483646,608080562;2147483646,0" o:connectangles="0,0,0,0,0,0,0,0,0,0,0"/>
                  <o:lock v:ext="edit" verticies="t"/>
                </v:shape>
                <v:shape id="Freeform 78" o:spid="_x0000_s1042" style="position:absolute;left:27381;top:10648;width:14243;height:737;visibility:visible;mso-wrap-style:square;v-text-anchor:top" coordsize="7800,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" path="m334,166r7133,3c7486,169,7500,184,7500,203v,18,-14,33,-33,33l334,233v-19,,-34,-15,-34,-33c300,181,315,166,334,166xm400,400l,199,401,r-1,400xm7401,3r399,200l7400,403,7401,3xe" fillcolor="black" strokeweight=".1pt">
                  <v:stroke joinstyle="bevel"/>
                  <v:path arrowok="t" o:connecttype="custom" o:connectlocs="2033635745,1014794974;2147483646,1033157013;2147483646,1240992630;2147483646,1442740791;2033635745,1424412219;1826634311,1222664058;2033635745,1014794974;2147483646,2147483646;0,1216543317;2147483646,0;2147483646,2147483646;2147483646,18328572;2147483646,1240992630;2147483646,2147483646;2147483646,18328572" o:connectangles="0,0,0,0,0,0,0,0,0,0,0,0,0,0,0"/>
                  <o:lock v:ext="edit" verticies="t"/>
                </v:shape>
                <v:rect id="Rectangle 79" o:spid="_x0000_s1043" style="position:absolute;left:28921;top:7550;width:11639;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1D1E80A8" w14:textId="77777777" w:rsidR="00BC408B" w:rsidRDefault="00BC408B" w:rsidP="00790BEC">
                        <w:r>
                          <w:rPr>
                            <w:color w:val="000000"/>
                          </w:rPr>
                          <w:t>Transmitter ON period</w:t>
                        </w:r>
                      </w:p>
                    </w:txbxContent>
                  </v:textbox>
                </v:rect>
                <v:rect id="Rectangle 80" o:spid="_x0000_s1044" style="position:absolute;left:40083;top:7550;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" filled="f" stroked="f">
                  <v:textbox style="mso-fit-shape-to-text:t" inset="0,0,0,0">
                    <w:txbxContent>
                      <w:p w14:paraId="790547DA" w14:textId="77777777" w:rsidR="00BC408B" w:rsidRDefault="00BC408B" w:rsidP="00790BEC">
                        <w:r>
                          <w:rPr>
                            <w:color w:val="000000"/>
                          </w:rPr>
                          <w:t xml:space="preserve"> </w:t>
                        </w:r>
                      </w:p>
                    </w:txbxContent>
                  </v:textbox>
                </v:rect>
                <v:rect id="Rectangle 81" o:spid="_x0000_s1045" style="position:absolute;left:29106;top:8953;width:12027;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" filled="f" stroked="f">
                  <v:textbox style="mso-fit-shape-to-text:t" inset="0,0,0,0">
                    <w:txbxContent>
                      <w:p w14:paraId="247CE60D" w14:textId="77777777" w:rsidR="00BC408B" w:rsidRDefault="00BC408B" w:rsidP="00790BEC">
                        <w:r>
                          <w:rPr>
                            <w:color w:val="000000"/>
                          </w:rPr>
                          <w:t>(DL</w:t>
                        </w:r>
                        <w:r>
                          <w:rPr>
                            <w:rFonts w:hint="eastAsia"/>
                            <w:color w:val="000000"/>
                          </w:rPr>
                          <w:t>/UL</w:t>
                        </w:r>
                        <w:r>
                          <w:rPr>
                            <w:color w:val="000000"/>
                          </w:rPr>
                          <w:t xml:space="preserve"> t</w:t>
                        </w:r>
                        <w:r>
                          <w:rPr>
                            <w:rFonts w:hint="eastAsia"/>
                            <w:color w:val="000000"/>
                          </w:rPr>
                          <w:t>ransmission)</w:t>
                        </w:r>
                      </w:p>
                    </w:txbxContent>
                  </v:textbox>
                </v:rect>
                <v:rect id="Rectangle 82" o:spid="_x0000_s1046" style="position:absolute;left:41353;top:8953;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95wAAAANsAAAAPAAAAZHJzL2Rvd25yZXYueG1sRI/NigIx&#10;EITvC75DaMHbmtGF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cM/vecAAAADbAAAADwAAAAAA&#10;AAAAAAAAAAAHAgAAZHJzL2Rvd25yZXYueG1sUEsFBgAAAAADAAMAtwAAAPQCAAAAAA==&#10;" filled="f" stroked="f">
                  <v:textbox style="mso-fit-shape-to-text:t" inset="0,0,0,0">
                    <w:txbxContent>
                      <w:p w14:paraId="1236F6B6" w14:textId="77777777" w:rsidR="00BC408B" w:rsidRDefault="00BC408B" w:rsidP="00790BEC">
                        <w:r>
                          <w:rPr>
                            <w:color w:val="000000"/>
                          </w:rPr>
                          <w:t xml:space="preserve"> </w:t>
                        </w:r>
                      </w:p>
                    </w:txbxContent>
                  </v:textbox>
                </v:rect>
                <v:rect id="Rectangle 83" o:spid="_x0000_s1047" style="position:absolute;left:47924;top:23501;width:857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XEOwQAAANsAAAAPAAAAZHJzL2Rvd25yZXYueG1sRI/disIw&#10;FITvBd8hHGHvNLXC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IAdcQ7BAAAA2wAAAA8AAAAA&#10;AAAAAAAAAAAABwIAAGRycy9kb3ducmV2LnhtbFBLBQYAAAAAAwADALcAAAD1AgAAAAA=&#10;" filled="f" stroked="f">
                  <v:textbox style="mso-fit-shape-to-text:t" inset="0,0,0,0">
                    <w:txbxContent>
                      <w:p w14:paraId="52E58E12" w14:textId="77777777" w:rsidR="00BC408B" w:rsidRDefault="00BC408B" w:rsidP="00790BEC">
                        <w:r>
                          <w:rPr>
                            <w:color w:val="000000"/>
                          </w:rPr>
                          <w:t xml:space="preserve">Transmitter OFF </w:t>
                        </w:r>
                      </w:p>
                    </w:txbxContent>
                  </v:textbox>
                </v:rect>
                <v:rect id="Rectangle 84" o:spid="_x0000_s1048" style="position:absolute;left:50464;top:24898;width:324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dSVwAAAANsAAAAPAAAAZHJzL2Rvd25yZXYueG1sRI/NigIx&#10;EITvC75DaMHbmlFh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71HUlcAAAADbAAAADwAAAAAA&#10;AAAAAAAAAAAHAgAAZHJzL2Rvd25yZXYueG1sUEsFBgAAAAADAAMAtwAAAPQCAAAAAA==&#10;" filled="f" stroked="f">
                  <v:textbox style="mso-fit-shape-to-text:t" inset="0,0,0,0">
                    <w:txbxContent>
                      <w:p w14:paraId="417ECAB2" w14:textId="77777777" w:rsidR="00BC408B" w:rsidRDefault="00BC408B" w:rsidP="00790BEC">
                        <w:r>
                          <w:rPr>
                            <w:color w:val="000000"/>
                          </w:rPr>
                          <w:t>period</w:t>
                        </w:r>
                      </w:p>
                    </w:txbxContent>
                  </v:textbox>
                </v:rect>
                <v:rect id="Rectangle 85" o:spid="_x0000_s1049" style="position:absolute;left:53595;top:24898;width:32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EzhwQAAANsAAAAPAAAAZHJzL2Rvd25yZXYueG1sRI/NigIx&#10;EITvgu8QWvCmGXVZ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GC4TOHBAAAA2wAAAA8AAAAA&#10;AAAAAAAAAAAABwIAAGRycy9kb3ducmV2LnhtbFBLBQYAAAAAAwADALcAAAD1AgAAAAA=&#10;" filled="f" stroked="f">
                  <v:textbox style="mso-fit-shape-to-text:t" inset="0,0,0,0">
                    <w:txbxContent>
                      <w:p w14:paraId="11316F84" w14:textId="77777777" w:rsidR="00BC408B" w:rsidRDefault="00BC408B" w:rsidP="00790BEC">
                        <w:r>
                          <w:rPr>
                            <w:color w:val="000000"/>
                          </w:rPr>
                          <w:t xml:space="preserve"> </w:t>
                        </w:r>
                      </w:p>
                    </w:txbxContent>
                  </v:textbox>
                </v:rect>
                <v:rect id="Rectangle 86" o:spid="_x0000_s1050" style="position:absolute;left:13961;top:23501;width:857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Ol6wQAAANsAAAAPAAAAZHJzL2Rvd25yZXYueG1sRI/NigIx&#10;EITvgu8QWvCmGZ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A/06XrBAAAA2wAAAA8AAAAA&#10;AAAAAAAAAAAABwIAAGRycy9kb3ducmV2LnhtbFBLBQYAAAAAAwADALcAAAD1AgAAAAA=&#10;" filled="f" stroked="f">
                  <v:textbox style="mso-fit-shape-to-text:t" inset="0,0,0,0">
                    <w:txbxContent>
                      <w:p w14:paraId="1A1FAA6B" w14:textId="77777777" w:rsidR="00BC408B" w:rsidRDefault="00BC408B" w:rsidP="00790BEC">
                        <w:r>
                          <w:rPr>
                            <w:color w:val="000000"/>
                          </w:rPr>
                          <w:t xml:space="preserve">Transmitter OFF </w:t>
                        </w:r>
                      </w:p>
                    </w:txbxContent>
                  </v:textbox>
                </v:rect>
                <v:rect id="Rectangle 87" o:spid="_x0000_s1051" style="position:absolute;left:16508;top:24898;width:324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14:paraId="720D4B49" w14:textId="77777777" w:rsidR="00BC408B" w:rsidRDefault="00BC408B" w:rsidP="00790BEC">
                        <w:r>
                          <w:rPr>
                            <w:color w:val="000000"/>
                          </w:rPr>
                          <w:t>period</w:t>
                        </w:r>
                      </w:p>
                    </w:txbxContent>
                  </v:textbox>
                </v:rect>
                <v:rect id="Rectangle 88" o:spid="_x0000_s1052" style="position:absolute;left:19632;top:24898;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tKWwQAAANsAAAAPAAAAZHJzL2Rvd25yZXYueG1sRI/NigIx&#10;EITvgu8QWvCmGR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JBq0pbBAAAA2wAAAA8AAAAA&#10;AAAAAAAAAAAABwIAAGRycy9kb3ducmV2LnhtbFBLBQYAAAAAAwADALcAAAD1AgAAAAA=&#10;" filled="f" stroked="f">
                  <v:textbox style="mso-fit-shape-to-text:t" inset="0,0,0,0">
                    <w:txbxContent>
                      <w:p w14:paraId="50BFCFBF" w14:textId="77777777" w:rsidR="00BC408B" w:rsidRDefault="00BC408B" w:rsidP="00790BEC">
                        <w:r>
                          <w:rPr>
                            <w:color w:val="000000"/>
                          </w:rPr>
                          <w:t xml:space="preserve"> </w:t>
                        </w:r>
                      </w:p>
                    </w:txbxContent>
                  </v:textbox>
                </v:rect>
                <v:shape id="Freeform 89" o:spid="_x0000_s1053" style="position:absolute;left:46107;top:22231;width:11747;height:730;visibility:visible;mso-wrap-style:square;v-text-anchor:top" coordsize="64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" path="m333,167r6067,3c6418,170,6433,185,6433,203v,19,-15,33,-33,33l333,233v-18,,-33,-15,-33,-33c300,182,315,167,333,167xm400,400l,200,400,r,400xe" fillcolor="black" strokeweight=".1pt">
                  <v:stroke joinstyle="bevel"/>
                  <v:path arrowok="t" o:connecttype="custom" o:connectlocs="2027725858,1015496511;2147483646,1033749384;2147483646,1234397206;2147483646,1435078426;2027725858,1416825554;1826787266,1216177732;2027725858,1015496511;2147483646,2147483646;0,1216177732;2147483646,0;2147483646,2147483646" o:connectangles="0,0,0,0,0,0,0,0,0,0,0"/>
                  <o:lock v:ext="edit" verticies="t"/>
                </v:shape>
                <v:shape id="Freeform 90" o:spid="_x0000_s1054" style="position:absolute;left:24098;top:22231;width:3562;height:730;visibility:visible;mso-wrap-style:square;v-text-anchor:top" coordsize="3907,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" path="m667,334r2574,4c3277,338,3307,368,3307,405v,37,-30,66,-67,66l667,467v-37,,-67,-30,-67,-67c601,363,630,334,667,334xm800,800l,399,801,r-1,800xm3108,4r799,402l3106,804,3108,4xe" fillcolor="black" strokeweight=".1pt">
                  <v:stroke joinstyle="bevel"/>
                  <v:path arrowok="t" o:connecttype="custom" o:connectlocs="505505848,250101220;2147483646,253102111;2147483646,303269103;2147483646,352694090;505505848,349693109;454727546,299526207;505505848,250101220;606306100,599052324;0,298775939;607062541,0;606306100,599052324;2147483646,2992719;2147483646,304019371;2147483646,602045042;2147483646,2992719" o:connectangles="0,0,0,0,0,0,0,0,0,0,0,0,0,0,0"/>
                  <o:lock v:ext="edit" verticies="t"/>
                </v:shape>
                <v:shape id="Freeform 91" o:spid="_x0000_s1055" style="position:absolute;left:41808;top:22231;width:4210;height:730;visibility:visible;mso-wrap-style:square;v-text-anchor:top" coordsize="2304,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" path="m334,167r1637,2c1989,169,2004,184,2004,203v,18,-15,33,-34,33l334,234v-19,,-34,-15,-34,-34c300,182,315,167,334,167xm400,400l,200,401,r-1,400xm1904,3r400,200l1904,403r,-400xe" fillcolor="black" strokeweight=".1pt">
                  <v:stroke joinstyle="bevel"/>
                  <v:path arrowok="t" o:connecttype="custom" o:connectlocs="2037783249,992984979;2147483646,1004863654;2147483646,1207030828;2147483646,1403258755;2037783249,1391380079;1830335355,1189212905;2037783249,992984979;2147483646,2147483646;0,1189212905;2147483646,0;2147483646,2147483646;2147483646,17850891;2147483646,1207030828;2147483646,2147483646;2147483646,17850891" o:connectangles="0,0,0,0,0,0,0,0,0,0,0,0,0,0,0"/>
                  <o:lock v:ext="edit" verticies="t"/>
                </v:shape>
                <v:rect id="Rectangle 92" o:spid="_x0000_s1056" style="position:absolute;left:29416;top:19494;width:10617;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wEwAAAANsAAAAPAAAAZHJzL2Rvd25yZXYueG1sRI/NigIx&#10;EITvC75DaMHbmlGW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KMmcBMAAAADbAAAADwAAAAAA&#10;AAAAAAAAAAAHAgAAZHJzL2Rvd25yZXYueG1sUEsFBgAAAAADAAMAtwAAAPQCAAAAAA==&#10;" filled="f" stroked="f">
                  <v:textbox style="mso-fit-shape-to-text:t" inset="0,0,0,0">
                    <w:txbxContent>
                      <w:p w14:paraId="14EDB139" w14:textId="77777777" w:rsidR="00BC408B" w:rsidRDefault="00BC408B" w:rsidP="00790BEC">
                        <w:r>
                          <w:rPr>
                            <w:color w:val="000000"/>
                          </w:rPr>
                          <w:t xml:space="preserve">Transmitter transient </w:t>
                        </w:r>
                      </w:p>
                    </w:txbxContent>
                  </v:textbox>
                </v:rect>
                <v:rect id="Rectangle 93" o:spid="_x0000_s1057" style="position:absolute;left:32939;top:20891;width:324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wJzwQAAANsAAAAPAAAAZHJzL2Rvd25yZXYueG1sRI/disIw&#10;FITvBd8hHGHvNLXI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NgbAnPBAAAA2wAAAA8AAAAA&#10;AAAAAAAAAAAABwIAAGRycy9kb3ducmV2LnhtbFBLBQYAAAAAAwADALcAAAD1AgAAAAA=&#10;" filled="f" stroked="f">
                  <v:textbox style="mso-fit-shape-to-text:t" inset="0,0,0,0">
                    <w:txbxContent>
                      <w:p w14:paraId="1240DC44" w14:textId="77777777" w:rsidR="00BC408B" w:rsidRDefault="00BC408B" w:rsidP="00790BEC">
                        <w:r>
                          <w:rPr>
                            <w:color w:val="000000"/>
                          </w:rPr>
                          <w:t>period</w:t>
                        </w:r>
                      </w:p>
                    </w:txbxContent>
                  </v:textbox>
                </v:rect>
                <v:rect id="Rectangle 94" o:spid="_x0000_s1058" style="position:absolute;left:36064;top:20891;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6fowQAAANsAAAAPAAAAZHJzL2Rvd25yZXYueG1sRI/NigIx&#10;EITvgu8QWvCmGXVZ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dXp+jBAAAA2wAAAA8AAAAA&#10;AAAAAAAAAAAABwIAAGRycy9kb3ducmV2LnhtbFBLBQYAAAAAAwADALcAAAD1AgAAAAA=&#10;" filled="f" stroked="f">
                  <v:textbox style="mso-fit-shape-to-text:t" inset="0,0,0,0">
                    <w:txbxContent>
                      <w:p w14:paraId="36022A73" w14:textId="77777777" w:rsidR="00BC408B" w:rsidRDefault="00BC408B" w:rsidP="00790BEC">
                        <w:r>
                          <w:rPr>
                            <w:color w:val="000000"/>
                          </w:rPr>
                          <w:t xml:space="preserve"> </w:t>
                        </w:r>
                      </w:p>
                    </w:txbxContent>
                  </v:textbox>
                </v:rect>
                <v:line id="Line 95" o:spid="_x0000_s1059" style="position:absolute;flip:y;visibility:visible;mso-wrap-style:square" from="25006,20224" to="28841,22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" strokeweight=".7pt">
                  <v:stroke endcap="round"/>
                </v:line>
                <v:line id="Line 96" o:spid="_x0000_s1060" style="position:absolute;flip:x y;visibility:visible;mso-wrap-style:square" from="40265,20224" to="43999,22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" strokeweight=".7pt">
                  <v:stroke endcap="round"/>
                </v:line>
                <v:rect id="Rectangle 97" o:spid="_x0000_s1061" alt="宽上对角线" style="position:absolute;left:13138;top:13201;width:10960;height:2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" fillcolor="black" stroked="f">
                  <v:fill r:id="rId24" o:title="" type="pattern"/>
                </v:rect>
                <v:line id="Line 98" o:spid="_x0000_s1062" style="position:absolute;visibility:visible;mso-wrap-style:square" from="13138,15386" to="24098,15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" strokeweight="1.45pt"/>
                <v:line id="Line 99" o:spid="_x0000_s1063" style="position:absolute;flip:y;visibility:visible;mso-wrap-style:square" from="24098,13201" to="24104,15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" strokeweight="1.45pt"/>
                <v:rect id="Rectangle 100" o:spid="_x0000_s1064" alt="宽上对角线" style="position:absolute;left:46005;top:13201;width:10960;height:2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" fillcolor="black" stroked="f">
                  <v:fill r:id="rId24" o:title="" type="pattern"/>
                </v:rect>
                <v:line id="Line 101" o:spid="_x0000_s1065" style="position:absolute;visibility:visible;mso-wrap-style:square" from="46005,15386" to="56965,15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" strokeweight="1.45pt"/>
                <v:line id="Line 102" o:spid="_x0000_s1066" style="position:absolute;flip:y;visibility:visible;mso-wrap-style:square" from="46005,13201" to="46018,15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" strokeweight="1.45pt"/>
                <v:rect id="Rectangle 103" o:spid="_x0000_s1067" style="position:absolute;left:3066;top:14751;width:8611;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41A8E84C" w14:textId="77777777" w:rsidR="00BC408B" w:rsidRDefault="00BC408B" w:rsidP="00790BEC">
                        <w:r>
                          <w:rPr>
                            <w:color w:val="000000"/>
                          </w:rPr>
                          <w:t>OFF power level</w:t>
                        </w:r>
                      </w:p>
                    </w:txbxContent>
                  </v:textbox>
                </v:rect>
                <v:rect id="Rectangle 104" o:spid="_x0000_s1068" style="position:absolute;left:11307;top:14751;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63C0EB61" w14:textId="77777777" w:rsidR="00BC408B" w:rsidRDefault="00BC408B" w:rsidP="00790BEC">
                        <w:r>
                          <w:rPr>
                            <w:color w:val="000000"/>
                          </w:rPr>
                          <w:t xml:space="preserve"> </w:t>
                        </w:r>
                      </w:p>
                    </w:txbxContent>
                  </v:textbox>
                </v:rect>
                <v:rect id="Rectangle 105" o:spid="_x0000_s1069" style="position:absolute;left:3066;top:16154;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1DDF5A92" w14:textId="77777777" w:rsidR="00BC408B" w:rsidRDefault="00BC408B" w:rsidP="00790BEC">
                        <w:r>
                          <w:rPr>
                            <w:color w:val="000000"/>
                          </w:rPr>
                          <w:t xml:space="preserve"> </w:t>
                        </w:r>
                      </w:p>
                    </w:txbxContent>
                  </v:textbox>
                </v:rect>
                <v:rect id="Rectangle 106" o:spid="_x0000_s1070" style="position:absolute;left:2685;top:2724;width:8116;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bfwQAAANsAAAAPAAAAZHJzL2Rvd25yZXYueG1sRI/NigIx&#10;EITvC75DaMHbmlFw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FNmBt/BAAAA2wAAAA8AAAAA&#10;AAAAAAAAAAAABwIAAGRycy9kb3ducmV2LnhtbFBLBQYAAAAAAwADALcAAAD1AgAAAAA=&#10;" filled="f" stroked="f">
                  <v:textbox style="mso-fit-shape-to-text:t" inset="0,0,0,0">
                    <w:txbxContent>
                      <w:p w14:paraId="1D23D1D4" w14:textId="77777777" w:rsidR="00BC408B" w:rsidRDefault="00BC408B" w:rsidP="00790BEC">
                        <w:r>
                          <w:rPr>
                            <w:color w:val="000000"/>
                          </w:rPr>
                          <w:t>ON power level</w:t>
                        </w:r>
                      </w:p>
                    </w:txbxContent>
                  </v:textbox>
                </v:rect>
                <v:rect id="Rectangle 107" o:spid="_x0000_s1071" style="position:absolute;left:10444;top:2724;width:32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73E1087" w14:textId="77777777" w:rsidR="00BC408B" w:rsidRDefault="00BC408B" w:rsidP="00790BEC">
                        <w:r>
                          <w:rPr>
                            <w:color w:val="000000"/>
                          </w:rPr>
                          <w:t xml:space="preserve"> </w:t>
                        </w:r>
                      </w:p>
                    </w:txbxContent>
                  </v:textbox>
                </v:rect>
                <v:rect id="Rectangle 108" o:spid="_x0000_s1072" style="position:absolute;left:3301;top:4126;width:578;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" filled="f" stroked="f">
                  <v:textbox style="mso-fit-shape-to-text:t" inset="0,0,0,0">
                    <w:txbxContent>
                      <w:p w14:paraId="2344FD4B" w14:textId="77777777" w:rsidR="00BC408B" w:rsidRDefault="00BC408B" w:rsidP="00790BEC"/>
                    </w:txbxContent>
                  </v:textbox>
                </v:rect>
                <v:rect id="Rectangle 109" o:spid="_x0000_s1073" style="position:absolute;left:9847;top:4127;width:32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64ECC5AE" w14:textId="77777777" w:rsidR="00BC408B" w:rsidRDefault="00BC408B" w:rsidP="00790BEC">
                        <w:r>
                          <w:rPr>
                            <w:color w:val="000000"/>
                          </w:rPr>
                          <w:t xml:space="preserve"> </w:t>
                        </w:r>
                      </w:p>
                    </w:txbxContent>
                  </v:textbox>
                </v:rect>
                <v:shape id="Freeform 110" o:spid="_x0000_s1074" style="position:absolute;left:12001;top:4406;width:29667;height:102;visibility:visible;mso-wrap-style:square;v-text-anchor:top" coordsize="1625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" path="m25,l175,v14,1,25,12,25,26c200,39,189,51,175,50l25,50c12,50,,39,,25,,12,12,,25,xm375,1r150,c539,1,550,12,550,26v,13,-11,25,-25,25l375,51c362,51,350,39,350,26,350,12,362,1,375,1xm725,1r150,c889,1,900,12,900,26v,13,-11,25,-25,25l725,51c712,51,700,39,700,26,700,12,712,1,725,1xm1075,1r150,c1239,1,1250,12,1250,26v,14,-11,25,-25,25l1075,51v-13,,-25,-12,-25,-25c1050,12,1062,1,1075,1xm1425,1r150,c1589,1,1600,12,1600,26v,14,-11,25,-25,25l1425,51v-13,,-25,-11,-25,-25c1400,12,1412,1,1425,1xm1775,1r150,c1939,1,1950,12,1950,26v,14,-11,25,-25,25l1775,51v-13,,-25,-11,-25,-25c1750,12,1762,1,1775,1xm2125,1r150,c2289,1,2300,12,2300,26v,14,-11,25,-25,25l2125,51v-13,,-25,-11,-25,-25c2100,12,2112,1,2125,1xm2475,1r150,c2639,1,2650,12,2650,26v,14,-11,25,-25,25l2475,51v-13,,-25,-11,-25,-25c2450,12,2462,1,2475,1xm2825,1r150,c2989,1,3000,12,3000,26v,14,-11,25,-25,25l2825,51v-13,,-25,-11,-25,-25c2800,12,2812,1,2825,1xm3175,1r150,c3339,1,3350,12,3350,26v,14,-11,25,-25,25l3175,51v-13,,-25,-11,-25,-25c3150,12,3162,1,3175,1xm3525,1r150,c3689,1,3700,12,3700,26v,14,-11,25,-25,25l3525,51v-13,,-25,-11,-25,-25c3500,12,3512,1,3525,1xm3875,1r150,c4039,1,4050,12,4050,26v,14,-11,25,-25,25l3875,51v-13,,-25,-11,-25,-25c3850,12,3862,1,3875,1xm4225,1r150,c4389,1,4400,13,4400,26v,14,-11,25,-25,25l4225,51v-13,,-25,-11,-25,-25c4200,13,4212,1,4225,1xm4575,1r150,c4739,1,4750,13,4750,26v,14,-11,25,-25,25l4575,51v-13,,-25,-11,-25,-25c4550,13,4562,1,4575,1xm4925,1r150,1c5089,2,5100,13,5100,27v,13,-11,25,-25,25l4925,51v-13,,-25,-11,-25,-25c4900,13,4912,1,4925,1xm5275,2r150,c5439,2,5450,13,5450,27v,13,-11,25,-25,25l5275,52v-13,,-25,-12,-25,-25c5250,13,5262,2,5275,2xm5625,2r150,c5789,2,5800,13,5800,27v,13,-11,25,-25,25l5625,52v-13,,-25,-12,-25,-25c5600,13,5612,2,5625,2xm5975,2r150,c6139,2,6150,13,6150,27v,14,-11,25,-25,25l5975,52v-13,,-25,-12,-25,-25c5950,13,5962,2,5975,2xm6325,2r150,c6489,2,6500,13,6500,27v,14,-11,25,-25,25l6325,52v-13,,-25,-11,-25,-25c6300,13,6312,2,6325,2xm6675,2r150,c6839,2,6850,13,6850,27v,14,-11,25,-25,25l6675,52v-13,,-25,-11,-25,-25c6650,13,6662,2,6675,2xm7025,2r150,c7189,2,7200,13,7200,27v,14,-11,25,-25,25l7025,52v-13,,-25,-11,-25,-25c7000,13,7012,2,7025,2xm7375,2r150,c7539,2,7550,13,7550,27v,14,-11,25,-25,25l7375,52v-13,,-25,-11,-25,-25c7350,13,7362,2,7375,2xm7725,2r150,c7889,2,7900,13,7900,27v,14,-11,25,-25,25l7725,52v-13,,-25,-11,-25,-25c7700,13,7712,2,7725,2xm8075,2r150,c8239,2,8250,13,8250,27v,14,-11,25,-25,25l8075,52v-13,,-25,-11,-25,-25c8050,13,8062,2,8075,2xm8425,2r150,c8589,2,8600,13,8600,27v,14,-11,25,-25,25l8425,52v-13,,-25,-11,-25,-25c8400,13,8412,2,8425,2xm8775,2r150,c8939,2,8950,13,8950,27v,14,-11,25,-25,25l8775,52v-13,,-25,-11,-25,-25c8750,13,8762,2,8775,2xm9125,2r150,c9289,2,9300,14,9300,27v,14,-11,25,-25,25l9125,52v-13,,-25,-11,-25,-25c9100,14,9112,2,9125,2xm9475,2r150,c9639,2,9650,14,9650,27v,14,-11,25,-25,25l9475,52v-13,,-25,-11,-25,-25c9450,14,9462,2,9475,2xm9825,2r150,1c9989,3,10000,14,10000,28v,13,-11,25,-25,25l9825,52v-13,,-25,-11,-25,-25c9800,14,9812,2,9825,2xm10175,3r150,c10339,3,10350,14,10350,28v,13,-11,25,-25,25l10175,53v-13,,-25,-12,-25,-25c10150,14,10162,3,10175,3xm10525,3r150,c10689,3,10700,14,10700,28v,13,-11,25,-25,25l10525,53v-13,,-25,-12,-25,-25c10500,14,10512,3,10525,3xm10875,3r150,c11039,3,11050,14,11050,28v,14,-11,25,-25,25l10875,53v-13,,-25,-12,-25,-25c10850,14,10862,3,10875,3xm11225,3r150,c11389,3,11400,14,11400,28v,14,-11,25,-25,25l11225,53v-13,,-25,-11,-25,-25c11200,14,11212,3,11225,3xm11575,3r150,c11739,3,11750,14,11750,28v,14,-11,25,-25,25l11575,53v-13,,-25,-11,-25,-25c11550,14,11562,3,11575,3xm11925,3r150,c12089,3,12100,14,12100,28v,14,-11,25,-25,25l11925,53v-13,,-25,-11,-25,-25c11900,14,11912,3,11925,3xm12275,3r150,c12439,3,12450,14,12450,28v,14,-11,25,-25,25l12275,53v-13,,-25,-11,-25,-25c12250,14,12262,3,12275,3xm12625,3r150,c12789,3,12800,14,12800,28v,14,-11,25,-25,25l12625,53v-13,,-25,-11,-25,-25c12600,14,12612,3,12625,3xm12975,3r150,c13139,3,13150,14,13150,28v,14,-11,25,-25,25l12975,53v-13,,-25,-11,-25,-25c12950,14,12962,3,12975,3xm13325,3r150,c13489,3,13500,14,13500,28v,14,-11,25,-25,25l13325,53v-13,,-25,-11,-25,-25c13300,14,13312,3,13325,3xm13675,3r150,c13839,3,13850,14,13850,28v,14,-11,25,-25,25l13675,53v-13,,-25,-11,-25,-25c13650,14,13662,3,13675,3xm14025,3r150,c14189,3,14200,15,14200,28v,14,-11,25,-25,25l14025,53v-13,,-25,-11,-25,-25c14000,15,14012,3,14025,3xm14375,3r150,c14539,3,14550,15,14550,28v,14,-11,25,-25,25l14375,53v-13,,-25,-11,-25,-25c14350,15,14362,3,14375,3xm14725,3r150,1c14889,4,14900,15,14900,29v,13,-11,25,-25,25l14725,53v-13,,-25,-11,-25,-25c14700,15,14712,3,14725,3xm15075,4r150,c15239,4,15250,15,15250,29v,13,-11,25,-25,25l15075,54v-13,,-25,-12,-25,-25c15050,15,15062,4,15075,4xm15425,4r150,c15589,4,15600,15,15600,29v,13,-11,25,-25,25l15425,54v-13,,-25,-12,-25,-25c15400,15,15412,4,15425,4xm15775,4r150,c15939,4,15950,15,15950,29v,14,-11,25,-25,25l15775,54v-13,,-25,-11,-25,-25c15750,15,15762,4,15775,4xm16125,4r100,c16239,4,16250,15,16250,29v,14,-11,25,-25,25l16125,54v-13,,-25,-11,-25,-25c16100,15,16112,4,16125,4xe" fillcolor="black" strokeweight=".1pt">
                  <v:stroke joinstyle="bevel"/>
                  <v:path arrowok="t" o:connecttype="custom" o:connectlocs="0,167834011;2147483646,342375844;2147483646,342375844;2147483646,174541644;2147483646,6707633;2147483646,6707633;2147483646,6707633;2147483646,174541644;2147483646,342375844;2147483646,342375844;2147483646,174541644;2147483646,6707633;2147483646,6707633;2147483646,6707633;2147483646,174541644;2147483646,342375844;2147483646,349083478;2147483646,181249467;2147483646,13415267;2147483646,13415267;2147483646,13415267;2147483646,181249467;2147483646,349083478;2147483646,349083478;2147483646,181249467;2147483646,13415267;2147483646,13415267;2147483646,13415267;2147483646,181249467;2147483646,349083478;2147483646,349083478;2147483646,181249467;2147483646,20122900;2147483646,20122900;2147483646,20122900;2147483646,187957100;2147483646,355791111;2147483646,355791111;2147483646,187957100;2147483646,20122900;2147483646,20122900;2147483646,20122900;2147483646,187957100;2147483646,355791111;2147483646,355791111;2147483646,187957100;2147483646,20122900;2147483646,20122900;2147483646,20122900;2147483646,187957100;2147483646,362498744;2147483646,362498744;2147483646,194664733;2147483646,26866233" o:connectangles="0,0,0,0,0,0,0,0,0,0,0,0,0,0,0,0,0,0,0,0,0,0,0,0,0,0,0,0,0,0,0,0,0,0,0,0,0,0,0,0,0,0,0,0,0,0,0,0,0,0,0,0,0,0"/>
                  <o:lock v:ext="edit" verticies="t"/>
                </v:shape>
                <v:shape id="Freeform 111" o:spid="_x0000_s1075" style="position:absolute;left:13081;top:10655;width:14300;height:730;visibility:visible;mso-wrap-style:square;v-text-anchor:top" coordsize="1566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" path="m66,327r14934,6c15037,333,15066,363,15066,400v,37,-29,67,-66,67l66,460c30,460,,430,,393,,357,30,327,66,327xm14867,r799,400l14866,800,14867,xe" fillcolor="black" strokeweight=".1pt">
                  <v:stroke joinstyle="bevel"/>
                  <v:path arrowok="t" o:connecttype="custom" o:connectlocs="50201982,248553194;2147483646,253116367;2147483646,304044479;2147483646,354964195;50201982,349643170;0,298723454;50201982,248553194;2147483646,0;2147483646,304044479;2147483646,608080562;2147483646,0" o:connectangles="0,0,0,0,0,0,0,0,0,0,0"/>
                  <o:lock v:ext="edit" verticies="t"/>
                </v:shape>
                <v:shape id="Freeform 112" o:spid="_x0000_s1076" style="position:absolute;left:41624;top:10648;width:15405;height:731;visibility:visible;mso-wrap-style:square;v-text-anchor:top" coordsize="843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" path="m334,166r8066,3c8419,169,8434,184,8434,203v,18,-15,33,-34,33l334,233v-19,,-34,-15,-34,-33c300,181,315,166,334,166xm400,400l,199,401,r-1,400xe" fillcolor="black" strokeweight=".1pt">
                  <v:stroke joinstyle="bevel"/>
                  <v:path arrowok="t" o:connecttype="custom" o:connectlocs="2035371884,1012168464;2147483646,1030471378;2147483646,1237781340;2147483646,1439012687;2035371884,1420709774;1828154851,1219511870;2035371884,1012168464;2147483646,2147483646;0,1213399812;2147483646,0;2147483646,2147483646" o:connectangles="0,0,0,0,0,0,0,0,0,0,0"/>
                  <o:lock v:ext="edit" verticies="t"/>
                </v:shape>
                <v:rect id="Rectangle 113" o:spid="_x0000_s1077" style="position:absolute;left:20260;top:7550;width:32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4864AB9D" w14:textId="77777777" w:rsidR="00BC408B" w:rsidRDefault="00BC408B" w:rsidP="00790BEC">
                        <w:r>
                          <w:rPr>
                            <w:color w:val="000000"/>
                          </w:rPr>
                          <w:t xml:space="preserve"> </w:t>
                        </w:r>
                      </w:p>
                    </w:txbxContent>
                  </v:textbox>
                </v:rect>
                <v:rect id="Rectangle 114" o:spid="_x0000_s1078" style="position:absolute;left:13722;top:8953;width:10478;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a5wAAAANsAAAAPAAAAZHJzL2Rvd25yZXYueG1sRI/NigIx&#10;EITvC75DaMHbmtHDrox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5qVWucAAAADbAAAADwAAAAAA&#10;AAAAAAAAAAAHAgAAZHJzL2Rvd25yZXYueG1sUEsFBgAAAAADAAMAtwAAAPQCAAAAAA==&#10;" filled="f" stroked="f">
                  <v:textbox style="mso-fit-shape-to-text:t" inset="0,0,0,0">
                    <w:txbxContent>
                      <w:p w14:paraId="1E5B6A1D" w14:textId="77777777" w:rsidR="00BC408B" w:rsidRDefault="00BC408B" w:rsidP="00790BEC">
                        <w:r>
                          <w:rPr>
                            <w:color w:val="000000"/>
                          </w:rPr>
                          <w:t>UL</w:t>
                        </w:r>
                        <w:r>
                          <w:rPr>
                            <w:rFonts w:hint="eastAsia"/>
                            <w:color w:val="000000"/>
                          </w:rPr>
                          <w:t>/DL</w:t>
                        </w:r>
                        <w:r>
                          <w:rPr>
                            <w:color w:val="000000"/>
                          </w:rPr>
                          <w:t xml:space="preserve"> t</w:t>
                        </w:r>
                        <w:r>
                          <w:rPr>
                            <w:rFonts w:hint="eastAsia"/>
                            <w:color w:val="000000"/>
                          </w:rPr>
                          <w:t>ransmission</w:t>
                        </w:r>
                      </w:p>
                    </w:txbxContent>
                  </v:textbox>
                </v:rect>
                <v:rect id="Rectangle 115" o:spid="_x0000_s1079" style="position:absolute;left:23587;top:8953;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59266C5" w14:textId="77777777" w:rsidR="00BC408B" w:rsidRDefault="00BC408B" w:rsidP="00790BEC">
                        <w:r>
                          <w:rPr>
                            <w:color w:val="000000"/>
                          </w:rPr>
                          <w:t xml:space="preserve"> </w:t>
                        </w:r>
                      </w:p>
                    </w:txbxContent>
                  </v:textbox>
                </v:rect>
                <v:rect id="Rectangle 116" o:spid="_x0000_s1080" style="position:absolute;left:49836;top:7550;width:32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377B4B2C" w14:textId="77777777" w:rsidR="00BC408B" w:rsidRDefault="00BC408B" w:rsidP="00790BEC">
                        <w:r>
                          <w:rPr>
                            <w:color w:val="000000"/>
                          </w:rPr>
                          <w:t xml:space="preserve"> </w:t>
                        </w:r>
                      </w:p>
                    </w:txbxContent>
                  </v:textbox>
                </v:rect>
                <v:rect id="Rectangle 117" o:spid="_x0000_s1081" style="position:absolute;left:46060;top:8953;width:13799;height:285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" filled="f" stroked="f">
                  <v:textbox inset="0,0,0,0">
                    <w:txbxContent>
                      <w:p w14:paraId="5DA2B22B" w14:textId="77777777" w:rsidR="00BC408B" w:rsidRDefault="00BC408B" w:rsidP="00790BEC">
                        <w:r>
                          <w:rPr>
                            <w:color w:val="000000"/>
                          </w:rPr>
                          <w:t xml:space="preserve">GP </w:t>
                        </w:r>
                        <w:r>
                          <w:rPr>
                            <w:rFonts w:hint="eastAsia"/>
                            <w:color w:val="000000"/>
                          </w:rPr>
                          <w:t>or</w:t>
                        </w:r>
                        <w:r>
                          <w:rPr>
                            <w:color w:val="000000"/>
                          </w:rPr>
                          <w:t xml:space="preserve"> </w:t>
                        </w:r>
                        <w:r>
                          <w:rPr>
                            <w:rFonts w:hint="eastAsia"/>
                            <w:color w:val="000000"/>
                          </w:rPr>
                          <w:t>UL/DL transmission</w:t>
                        </w:r>
                      </w:p>
                    </w:txbxContent>
                  </v:textbox>
                </v:rect>
                <v:rect id="Rectangle 118" o:spid="_x0000_s1082" style="position:absolute;left:53608;top:8953;width:323;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fit-shape-to-text:t" inset="0,0,0,0">
                    <w:txbxContent>
                      <w:p w14:paraId="43164BBD" w14:textId="77777777" w:rsidR="00BC408B" w:rsidRDefault="00BC408B" w:rsidP="00790BEC">
                        <w:r>
                          <w:rPr>
                            <w:color w:val="000000"/>
                          </w:rPr>
                          <w:t xml:space="preserve"> </w:t>
                        </w:r>
                      </w:p>
                    </w:txbxContent>
                  </v:textbox>
                </v:rect>
                <v:shape id="Freeform 119" o:spid="_x0000_s1083" style="position:absolute;left:56921;top:10966;width:1003;height:102;visibility:visible;mso-wrap-style:square;v-text-anchor:top" coordsize="55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" path="m26,l176,1v13,,25,12,24,25c200,40,189,51,175,51l25,50c12,50,,39,,25,1,12,12,,26,xm376,2l526,3v13,,25,11,24,25c550,42,539,53,525,53l375,52c362,52,350,41,350,27,351,13,362,2,376,2xe" fillcolor="black" strokeweight=".1pt">
                  <v:stroke joinstyle="bevel"/>
                  <v:path arrowok="t" o:connecttype="custom" o:connectlocs="156868398,0;1061927099,7111325;1206733891,184597868;1055896296,362121362;150837595,355010038;0,177486543;156868398,0;2147483646,14185506;2147483646,21296830;2147483646,198820517;2147483646,376307060;2147483646,369195736;2111792592,191709192;2147483646,14185506" o:connectangles="0,0,0,0,0,0,0,0,0,0,0,0,0,0"/>
                  <o:lock v:ext="edit" verticies="t"/>
                </v:shape>
                <v:shape id="Freeform 120" o:spid="_x0000_s1084" style="position:absolute;left:12001;top:10966;width:1003;height:95;visibility:visible;mso-wrap-style:square;v-text-anchor:top" coordsize="1101,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" path="m51,l351,2v27,,50,23,49,50c400,80,378,102,350,102l50,100c23,100,,78,,50,1,23,23,,51,xm751,4r300,1c1078,5,1101,28,1100,56v,27,-22,49,-50,49l750,104v-27,,-50,-23,-50,-50c701,26,723,4,751,4xe" fillcolor="black" strokeweight=".1pt">
                  <v:stroke joinstyle="bevel"/>
                  <v:path arrowok="t" o:connecttype="custom" o:connectlocs="38566327,0;265449739,1481638;302505630,38613067;264694521,75744495;37811108,74254714;0,37131429;38566327,0;567963568,2971510;794846981,3716400;831902871,41584576;794091763,77971114;567208350,77226133;529388951,40102938;567963568,2971510" o:connectangles="0,0,0,0,0,0,0,0,0,0,0,0,0,0"/>
                  <o:lock v:ext="edit" verticies="t"/>
                </v:shape>
                <w10:anchorlock/>
              </v:group>
            </w:pict>
          </mc:Fallback>
        </mc:AlternateContent>
      </w:r>
    </w:p>
    <w:p w14:paraId="63F9539B" w14:textId="77777777" w:rsidR="00790BEC" w:rsidRPr="00E26D09" w:rsidRDefault="00790BEC" w:rsidP="00790BEC">
      <w:pPr>
        <w:pStyle w:val="TF"/>
        <w:rPr>
          <w:lang w:eastAsia="zh-CN"/>
        </w:rPr>
      </w:pPr>
      <w:r w:rsidRPr="00E26D09">
        <w:t xml:space="preserve">Figure </w:t>
      </w:r>
      <w:r>
        <w:rPr>
          <w:rFonts w:hint="eastAsia"/>
        </w:rPr>
        <w:t>6.4</w:t>
      </w:r>
      <w:r>
        <w:t>.</w:t>
      </w:r>
      <w:r>
        <w:rPr>
          <w:rFonts w:hint="eastAsia"/>
          <w:lang w:eastAsia="zh-CN"/>
        </w:rPr>
        <w:t>2</w:t>
      </w:r>
      <w:r>
        <w:t>.1-1</w:t>
      </w:r>
      <w:r w:rsidRPr="00E26D09">
        <w:t xml:space="preserve">: Example of relations between transmitter ON period, transmitter OFF period and </w:t>
      </w:r>
      <w:r w:rsidRPr="00025A8C">
        <w:t>transmitter transient period</w:t>
      </w:r>
      <w:r w:rsidRPr="00025A8C">
        <w:rPr>
          <w:rFonts w:hint="eastAsia"/>
        </w:rPr>
        <w:t xml:space="preserve"> for </w:t>
      </w:r>
      <w:r>
        <w:rPr>
          <w:rFonts w:hint="eastAsia"/>
        </w:rPr>
        <w:t>IAB-DU</w:t>
      </w:r>
      <w:r>
        <w:rPr>
          <w:rFonts w:hint="eastAsia"/>
          <w:lang w:eastAsia="zh-CN"/>
        </w:rPr>
        <w:t xml:space="preserve"> and IAB-MT</w:t>
      </w:r>
    </w:p>
    <w:p w14:paraId="6F094363" w14:textId="77777777" w:rsidR="00790BEC" w:rsidRDefault="00790BEC" w:rsidP="00790BEC">
      <w:pPr>
        <w:rPr>
          <w:rFonts w:cs="v5.0.0"/>
        </w:rPr>
      </w:pPr>
    </w:p>
    <w:p w14:paraId="516B2440" w14:textId="77777777" w:rsidR="00790BEC" w:rsidRPr="00E26D09" w:rsidRDefault="00790BEC" w:rsidP="00790BEC">
      <w:pPr>
        <w:rPr>
          <w:i/>
        </w:rPr>
      </w:pPr>
      <w:r w:rsidRPr="00E26D09">
        <w:rPr>
          <w:rFonts w:cs="v5.0.0"/>
        </w:rPr>
        <w:t xml:space="preserve">For </w:t>
      </w:r>
      <w:r w:rsidRPr="005D50AD">
        <w:rPr>
          <w:rFonts w:cs="v5.0.0" w:hint="eastAsia"/>
        </w:rPr>
        <w:t>IAB-DU</w:t>
      </w:r>
      <w:r>
        <w:rPr>
          <w:rFonts w:cs="v5.0.0" w:hint="eastAsia"/>
        </w:rPr>
        <w:t xml:space="preserve"> </w:t>
      </w:r>
      <w:r w:rsidRPr="005D50AD">
        <w:rPr>
          <w:rFonts w:cs="v5.0.0"/>
        </w:rPr>
        <w:t>type 1-H</w:t>
      </w:r>
      <w:r w:rsidRPr="005D50AD">
        <w:rPr>
          <w:rFonts w:cs="v5.0.0" w:hint="eastAsia"/>
        </w:rPr>
        <w:t xml:space="preserve"> and IAB-MT</w:t>
      </w:r>
      <w:r w:rsidRPr="005D50AD">
        <w:rPr>
          <w:rFonts w:cs="v5.0.0"/>
        </w:rPr>
        <w:t xml:space="preserve"> type 1-H</w:t>
      </w:r>
      <w:r>
        <w:rPr>
          <w:rFonts w:cs="v5.0.0" w:hint="eastAsia"/>
        </w:rPr>
        <w:t>,</w:t>
      </w:r>
      <w:r w:rsidRPr="00E26D09">
        <w:rPr>
          <w:rFonts w:cs="v5.0.0"/>
        </w:rPr>
        <w:t xml:space="preserve"> this requirement </w:t>
      </w:r>
      <w:r w:rsidRPr="005D50AD">
        <w:rPr>
          <w:rFonts w:cs="v5.0.0"/>
        </w:rPr>
        <w:t xml:space="preserve">shall be applied </w:t>
      </w:r>
      <w:r w:rsidRPr="00E26D09">
        <w:rPr>
          <w:rFonts w:cs="v5.0.0"/>
        </w:rPr>
        <w:t xml:space="preserve">at each </w:t>
      </w:r>
      <w:r w:rsidRPr="005D50AD">
        <w:rPr>
          <w:rFonts w:cs="v5.0.0"/>
        </w:rPr>
        <w:t>TAB connector</w:t>
      </w:r>
      <w:r w:rsidRPr="00E26D09">
        <w:rPr>
          <w:rFonts w:cs="v5.0.0"/>
        </w:rPr>
        <w:t xml:space="preserve"> supporting transmission in the </w:t>
      </w:r>
      <w:r w:rsidRPr="005D50AD">
        <w:rPr>
          <w:rFonts w:cs="v5.0.0"/>
        </w:rPr>
        <w:t>operating band.</w:t>
      </w:r>
    </w:p>
    <w:p w14:paraId="165A8BB0" w14:textId="77777777" w:rsidR="00790BEC" w:rsidRPr="00E26D09" w:rsidRDefault="00790BEC" w:rsidP="00790BEC">
      <w:pPr>
        <w:pStyle w:val="Heading4"/>
      </w:pPr>
      <w:bookmarkStart w:id="1463" w:name="_Toc13080179"/>
      <w:bookmarkStart w:id="1464" w:name="_Toc21127469"/>
      <w:bookmarkStart w:id="1465" w:name="_Toc29811678"/>
      <w:bookmarkStart w:id="1466" w:name="_Toc53185340"/>
      <w:bookmarkStart w:id="1467" w:name="_Toc53185716"/>
      <w:bookmarkStart w:id="1468" w:name="_Toc57820191"/>
      <w:bookmarkStart w:id="1469" w:name="_Toc57821118"/>
      <w:bookmarkStart w:id="1470" w:name="_Toc61183394"/>
      <w:bookmarkStart w:id="1471" w:name="_Toc61183788"/>
      <w:bookmarkStart w:id="1472" w:name="_Toc61184180"/>
      <w:bookmarkStart w:id="1473" w:name="_Toc61184572"/>
      <w:bookmarkStart w:id="1474" w:name="_Toc61184962"/>
      <w:bookmarkStart w:id="1475" w:name="_Toc66386305"/>
      <w:bookmarkStart w:id="1476" w:name="_Toc74583146"/>
      <w:bookmarkStart w:id="1477" w:name="_Toc76541959"/>
      <w:bookmarkStart w:id="1478" w:name="_Toc82449941"/>
      <w:bookmarkStart w:id="1479" w:name="_Toc82450589"/>
      <w:bookmarkStart w:id="1480" w:name="_Toc89948978"/>
      <w:bookmarkStart w:id="1481" w:name="_Toc98755367"/>
      <w:bookmarkStart w:id="1482" w:name="_Toc98762957"/>
      <w:bookmarkStart w:id="1483" w:name="_Toc106183886"/>
      <w:r>
        <w:rPr>
          <w:rFonts w:hint="eastAsia"/>
        </w:rPr>
        <w:t>6.4.2.2</w:t>
      </w:r>
      <w:r w:rsidRPr="007E346D">
        <w:tab/>
        <w:t xml:space="preserve">Minimum requirement for </w:t>
      </w:r>
      <w:r>
        <w:rPr>
          <w:rFonts w:hint="eastAsia"/>
        </w:rPr>
        <w:t xml:space="preserve">IAB-DU </w:t>
      </w:r>
      <w:r w:rsidRPr="00C24186">
        <w:t>type 1-H</w:t>
      </w:r>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p>
    <w:p w14:paraId="2AAD89A6" w14:textId="2F6B8C99" w:rsidR="00790BEC" w:rsidRDefault="00790BEC" w:rsidP="00790BEC">
      <w:pPr>
        <w:rPr>
          <w:rFonts w:cs="v4.2.0"/>
        </w:rPr>
      </w:pPr>
      <w:bookmarkStart w:id="1484" w:name="_Hlk505635830"/>
      <w:r w:rsidRPr="00C05DAD">
        <w:rPr>
          <w:rFonts w:cs="v4.2.0"/>
        </w:rPr>
        <w:t>The</w:t>
      </w:r>
      <w:r>
        <w:rPr>
          <w:rFonts w:cs="v4.2.0" w:hint="eastAsia"/>
        </w:rPr>
        <w:t xml:space="preserve"> BS</w:t>
      </w:r>
      <w:r w:rsidRPr="00C05DAD">
        <w:rPr>
          <w:rFonts w:cs="v4.2.0"/>
        </w:rPr>
        <w:t xml:space="preserve"> </w:t>
      </w:r>
      <w:r>
        <w:rPr>
          <w:rFonts w:cs="v4.2.0"/>
        </w:rPr>
        <w:t xml:space="preserve">requirements </w:t>
      </w:r>
      <w:r>
        <w:rPr>
          <w:rFonts w:cs="v4.2.0" w:hint="eastAsia"/>
        </w:rPr>
        <w:t xml:space="preserve">specified </w:t>
      </w:r>
      <w:r>
        <w:rPr>
          <w:rFonts w:cs="v4.2.0"/>
        </w:rPr>
        <w:t xml:space="preserve">in clause </w:t>
      </w:r>
      <w:r>
        <w:t>6.4.2.2</w:t>
      </w:r>
      <w:r>
        <w:rPr>
          <w:rFonts w:cs="v4.2.0"/>
        </w:rPr>
        <w:t xml:space="preserve"> in TS 38.1</w:t>
      </w:r>
      <w:r>
        <w:rPr>
          <w:rFonts w:cs="v4.2.0" w:hint="eastAsia"/>
        </w:rPr>
        <w:t>04</w:t>
      </w:r>
      <w:r>
        <w:rPr>
          <w:rFonts w:cs="v4.2.0"/>
        </w:rPr>
        <w:t xml:space="preserve"> [</w:t>
      </w:r>
      <w:r w:rsidR="00F56C6E">
        <w:rPr>
          <w:rFonts w:cs="v4.2.0"/>
        </w:rPr>
        <w:t>2</w:t>
      </w:r>
      <w:r>
        <w:rPr>
          <w:rFonts w:cs="v4.2.0"/>
        </w:rPr>
        <w:t>] apply to</w:t>
      </w:r>
      <w:r>
        <w:rPr>
          <w:rFonts w:cs="v4.2.0" w:hint="eastAsia"/>
        </w:rPr>
        <w:t xml:space="preserve"> </w:t>
      </w:r>
      <w:r w:rsidRPr="00025A8C">
        <w:rPr>
          <w:rFonts w:cs="v4.2.0"/>
        </w:rPr>
        <w:t>IAB-DU type 1-H</w:t>
      </w:r>
      <w:r>
        <w:rPr>
          <w:rFonts w:cs="v4.2.0"/>
        </w:rPr>
        <w:t>.</w:t>
      </w:r>
      <w:bookmarkEnd w:id="1484"/>
    </w:p>
    <w:p w14:paraId="5E866D4F" w14:textId="77777777" w:rsidR="00790BEC" w:rsidRPr="00E26D09" w:rsidRDefault="00790BEC" w:rsidP="00790BEC">
      <w:pPr>
        <w:pStyle w:val="Heading4"/>
      </w:pPr>
      <w:bookmarkStart w:id="1485" w:name="_Toc53185341"/>
      <w:bookmarkStart w:id="1486" w:name="_Toc53185717"/>
      <w:bookmarkStart w:id="1487" w:name="_Toc57820192"/>
      <w:bookmarkStart w:id="1488" w:name="_Toc57821119"/>
      <w:bookmarkStart w:id="1489" w:name="_Toc61183395"/>
      <w:bookmarkStart w:id="1490" w:name="_Toc61183789"/>
      <w:bookmarkStart w:id="1491" w:name="_Toc61184181"/>
      <w:bookmarkStart w:id="1492" w:name="_Toc61184573"/>
      <w:bookmarkStart w:id="1493" w:name="_Toc61184963"/>
      <w:bookmarkStart w:id="1494" w:name="_Toc66386306"/>
      <w:bookmarkStart w:id="1495" w:name="_Toc74583147"/>
      <w:bookmarkStart w:id="1496" w:name="_Toc76541960"/>
      <w:bookmarkStart w:id="1497" w:name="_Toc82449942"/>
      <w:bookmarkStart w:id="1498" w:name="_Toc82450590"/>
      <w:bookmarkStart w:id="1499" w:name="_Toc89948979"/>
      <w:bookmarkStart w:id="1500" w:name="_Toc98755368"/>
      <w:bookmarkStart w:id="1501" w:name="_Toc98762958"/>
      <w:bookmarkStart w:id="1502" w:name="_Toc106183887"/>
      <w:r>
        <w:rPr>
          <w:rFonts w:hint="eastAsia"/>
        </w:rPr>
        <w:t>6.4.2.3</w:t>
      </w:r>
      <w:r w:rsidRPr="007E346D">
        <w:tab/>
        <w:t xml:space="preserve">Minimum requirement for </w:t>
      </w:r>
      <w:r>
        <w:rPr>
          <w:rFonts w:hint="eastAsia"/>
        </w:rPr>
        <w:t>IAB-MT</w:t>
      </w:r>
      <w:r w:rsidRPr="00085BA4">
        <w:t xml:space="preserve"> type 1-H</w:t>
      </w:r>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p>
    <w:p w14:paraId="7747AC04" w14:textId="6C0C03D5" w:rsidR="00772A2C" w:rsidRPr="00772A2C" w:rsidRDefault="00790BEC" w:rsidP="005B59D6">
      <w:r w:rsidRPr="00C05DAD">
        <w:rPr>
          <w:rFonts w:cs="v4.2.0"/>
        </w:rPr>
        <w:t>The</w:t>
      </w:r>
      <w:r>
        <w:rPr>
          <w:rFonts w:cs="v4.2.0" w:hint="eastAsia"/>
        </w:rPr>
        <w:t xml:space="preserve"> BS</w:t>
      </w:r>
      <w:r w:rsidRPr="00C05DAD">
        <w:rPr>
          <w:rFonts w:cs="v4.2.0"/>
        </w:rPr>
        <w:t xml:space="preserve"> </w:t>
      </w:r>
      <w:r>
        <w:rPr>
          <w:rFonts w:cs="v4.2.0"/>
        </w:rPr>
        <w:t xml:space="preserve">requirements </w:t>
      </w:r>
      <w:r>
        <w:rPr>
          <w:rFonts w:cs="v4.2.0" w:hint="eastAsia"/>
        </w:rPr>
        <w:t xml:space="preserve">specified </w:t>
      </w:r>
      <w:r>
        <w:rPr>
          <w:rFonts w:cs="v4.2.0"/>
        </w:rPr>
        <w:t xml:space="preserve">in clause </w:t>
      </w:r>
      <w:r>
        <w:t>6.4.2.2</w:t>
      </w:r>
      <w:r>
        <w:rPr>
          <w:rFonts w:cs="v4.2.0"/>
        </w:rPr>
        <w:t xml:space="preserve"> in TS 38.1</w:t>
      </w:r>
      <w:r>
        <w:rPr>
          <w:rFonts w:cs="v4.2.0" w:hint="eastAsia"/>
        </w:rPr>
        <w:t>04</w:t>
      </w:r>
      <w:r>
        <w:rPr>
          <w:rFonts w:cs="v4.2.0"/>
        </w:rPr>
        <w:t xml:space="preserve"> [</w:t>
      </w:r>
      <w:r w:rsidR="00F56C6E">
        <w:rPr>
          <w:rFonts w:cs="v4.2.0"/>
        </w:rPr>
        <w:t>2</w:t>
      </w:r>
      <w:r>
        <w:rPr>
          <w:rFonts w:cs="v4.2.0"/>
        </w:rPr>
        <w:t>] apply to</w:t>
      </w:r>
      <w:r>
        <w:rPr>
          <w:rFonts w:cs="v4.2.0" w:hint="eastAsia"/>
        </w:rPr>
        <w:t xml:space="preserve"> </w:t>
      </w:r>
      <w:r w:rsidRPr="00025A8C">
        <w:rPr>
          <w:rFonts w:cs="v4.2.0"/>
        </w:rPr>
        <w:t>IAB-</w:t>
      </w:r>
      <w:r w:rsidRPr="00025A8C">
        <w:rPr>
          <w:rFonts w:cs="v4.2.0" w:hint="eastAsia"/>
        </w:rPr>
        <w:t>MT type 1-H</w:t>
      </w:r>
      <w:r>
        <w:rPr>
          <w:rFonts w:cs="v4.2.0"/>
        </w:rPr>
        <w:t>.</w:t>
      </w:r>
    </w:p>
    <w:p w14:paraId="32C7212B" w14:textId="77777777" w:rsidR="00077B6E" w:rsidRDefault="00077B6E" w:rsidP="00077B6E">
      <w:pPr>
        <w:pStyle w:val="Heading2"/>
        <w:rPr>
          <w:rFonts w:eastAsiaTheme="minorEastAsia"/>
          <w:lang w:eastAsia="zh-CN"/>
        </w:rPr>
      </w:pPr>
      <w:bookmarkStart w:id="1503" w:name="_Toc53185342"/>
      <w:bookmarkStart w:id="1504" w:name="_Toc53185718"/>
      <w:bookmarkStart w:id="1505" w:name="_Toc57820193"/>
      <w:bookmarkStart w:id="1506" w:name="_Toc57821120"/>
      <w:bookmarkStart w:id="1507" w:name="_Toc61183396"/>
      <w:bookmarkStart w:id="1508" w:name="_Toc61183790"/>
      <w:bookmarkStart w:id="1509" w:name="_Toc61184182"/>
      <w:bookmarkStart w:id="1510" w:name="_Toc61184574"/>
      <w:bookmarkStart w:id="1511" w:name="_Toc61184964"/>
      <w:bookmarkStart w:id="1512" w:name="_Toc66386307"/>
      <w:bookmarkStart w:id="1513" w:name="_Toc74583148"/>
      <w:bookmarkStart w:id="1514" w:name="_Toc76541961"/>
      <w:bookmarkStart w:id="1515" w:name="_Toc82449943"/>
      <w:bookmarkStart w:id="1516" w:name="_Toc82450591"/>
      <w:bookmarkStart w:id="1517" w:name="_Toc89948980"/>
      <w:bookmarkStart w:id="1518" w:name="_Toc98755369"/>
      <w:bookmarkStart w:id="1519" w:name="_Toc98762959"/>
      <w:bookmarkStart w:id="1520" w:name="_Toc106183888"/>
      <w:r w:rsidRPr="007E346D">
        <w:t>6.5</w:t>
      </w:r>
      <w:r w:rsidRPr="007E346D">
        <w:tab/>
        <w:t>Transmitted signal quality</w:t>
      </w:r>
      <w:bookmarkEnd w:id="1369"/>
      <w:bookmarkEnd w:id="1370"/>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p>
    <w:p w14:paraId="121CFFCB" w14:textId="77777777" w:rsidR="00F61D36" w:rsidRDefault="00F61D36" w:rsidP="00F61D36">
      <w:pPr>
        <w:pStyle w:val="Heading3"/>
      </w:pPr>
      <w:bookmarkStart w:id="1521" w:name="_Toc29811681"/>
      <w:bookmarkStart w:id="1522" w:name="_Toc21127472"/>
      <w:bookmarkStart w:id="1523" w:name="_Toc53185343"/>
      <w:bookmarkStart w:id="1524" w:name="_Toc53185719"/>
      <w:bookmarkStart w:id="1525" w:name="_Toc57820194"/>
      <w:bookmarkStart w:id="1526" w:name="_Toc57821121"/>
      <w:bookmarkStart w:id="1527" w:name="_Toc61183397"/>
      <w:bookmarkStart w:id="1528" w:name="_Toc61183791"/>
      <w:bookmarkStart w:id="1529" w:name="_Toc61184183"/>
      <w:bookmarkStart w:id="1530" w:name="_Toc61184575"/>
      <w:bookmarkStart w:id="1531" w:name="_Toc61184965"/>
      <w:bookmarkStart w:id="1532" w:name="_Toc66386308"/>
      <w:bookmarkStart w:id="1533" w:name="_Toc74583149"/>
      <w:bookmarkStart w:id="1534" w:name="_Toc76541962"/>
      <w:bookmarkStart w:id="1535" w:name="_Toc82449944"/>
      <w:bookmarkStart w:id="1536" w:name="_Toc82450592"/>
      <w:bookmarkStart w:id="1537" w:name="_Toc89948981"/>
      <w:bookmarkStart w:id="1538" w:name="_Toc98755370"/>
      <w:bookmarkStart w:id="1539" w:name="_Toc98762960"/>
      <w:bookmarkStart w:id="1540" w:name="_Toc106183889"/>
      <w:bookmarkStart w:id="1541" w:name="_Toc13080192"/>
      <w:bookmarkStart w:id="1542" w:name="_Toc18916169"/>
      <w:r>
        <w:t>6.5.1</w:t>
      </w:r>
      <w:r>
        <w:tab/>
        <w:t>Frequency error</w:t>
      </w:r>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p>
    <w:p w14:paraId="7D8DC5F7" w14:textId="5AE14386" w:rsidR="00F61D36" w:rsidRDefault="00F61D36" w:rsidP="00F61D36">
      <w:pPr>
        <w:pStyle w:val="Heading4"/>
      </w:pPr>
      <w:bookmarkStart w:id="1543" w:name="_Toc53185344"/>
      <w:bookmarkStart w:id="1544" w:name="_Toc53185720"/>
      <w:bookmarkStart w:id="1545" w:name="_Toc57820195"/>
      <w:bookmarkStart w:id="1546" w:name="_Toc57821122"/>
      <w:bookmarkStart w:id="1547" w:name="_Toc61183398"/>
      <w:bookmarkStart w:id="1548" w:name="_Toc61183792"/>
      <w:bookmarkStart w:id="1549" w:name="_Toc61184184"/>
      <w:bookmarkStart w:id="1550" w:name="_Toc61184576"/>
      <w:bookmarkStart w:id="1551" w:name="_Toc61184966"/>
      <w:bookmarkStart w:id="1552" w:name="_Toc66386309"/>
      <w:bookmarkStart w:id="1553" w:name="_Toc74583150"/>
      <w:bookmarkStart w:id="1554" w:name="_Toc76541963"/>
      <w:bookmarkStart w:id="1555" w:name="_Toc82449945"/>
      <w:bookmarkStart w:id="1556" w:name="_Toc82450593"/>
      <w:bookmarkStart w:id="1557" w:name="_Toc89948982"/>
      <w:bookmarkStart w:id="1558" w:name="_Toc98755371"/>
      <w:bookmarkStart w:id="1559" w:name="_Toc98762961"/>
      <w:bookmarkStart w:id="1560" w:name="_Toc106183890"/>
      <w:r>
        <w:rPr>
          <w:rFonts w:hint="eastAsia"/>
        </w:rPr>
        <w:t>6.5.1.1</w:t>
      </w:r>
      <w:r w:rsidR="00AC7434">
        <w:tab/>
      </w:r>
      <w:r>
        <w:rPr>
          <w:rFonts w:hint="eastAsia"/>
        </w:rPr>
        <w:t>IAB-DU frequency error</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42F08FEA" w14:textId="3D77F043" w:rsidR="00F61D36" w:rsidRDefault="00F61D36" w:rsidP="00F61D36">
      <w:pPr>
        <w:rPr>
          <w:rFonts w:cs="v4.2.0"/>
        </w:rPr>
      </w:pPr>
      <w:r w:rsidRPr="00C05DAD">
        <w:rPr>
          <w:rFonts w:cs="v4.2.0"/>
        </w:rPr>
        <w:t xml:space="preserve">The </w:t>
      </w:r>
      <w:r>
        <w:rPr>
          <w:rFonts w:cs="v4.2.0"/>
        </w:rPr>
        <w:t xml:space="preserve">requirements in clause </w:t>
      </w:r>
      <w:r>
        <w:rPr>
          <w:rFonts w:cs="v4.2.0" w:hint="eastAsia"/>
        </w:rPr>
        <w:t xml:space="preserve">6.5.1 for BS type 1-H </w:t>
      </w:r>
      <w:r>
        <w:rPr>
          <w:rFonts w:cs="v4.2.0"/>
        </w:rPr>
        <w:t>in TS 38.1</w:t>
      </w:r>
      <w:r>
        <w:rPr>
          <w:rFonts w:cs="v4.2.0" w:hint="eastAsia"/>
        </w:rPr>
        <w:t>04</w:t>
      </w:r>
      <w:r>
        <w:rPr>
          <w:rFonts w:cs="v4.2.0"/>
        </w:rPr>
        <w:t xml:space="preserve"> [</w:t>
      </w:r>
      <w:r w:rsidR="008678B3">
        <w:rPr>
          <w:rFonts w:cs="v4.2.0"/>
          <w:lang w:eastAsia="zh-CN"/>
        </w:rPr>
        <w:t>2</w:t>
      </w:r>
      <w:r>
        <w:rPr>
          <w:rFonts w:cs="v4.2.0"/>
        </w:rPr>
        <w:t xml:space="preserve">] apply to </w:t>
      </w:r>
      <w:r w:rsidRPr="00025A8C">
        <w:rPr>
          <w:rFonts w:cs="v4.2.0"/>
        </w:rPr>
        <w:t>IAB-DU type 1-H</w:t>
      </w:r>
      <w:r>
        <w:rPr>
          <w:rFonts w:cs="v4.2.0"/>
        </w:rPr>
        <w:t>.</w:t>
      </w:r>
    </w:p>
    <w:p w14:paraId="4076F868" w14:textId="09385993" w:rsidR="00CD42E5" w:rsidRDefault="00CD42E5" w:rsidP="00CD42E5">
      <w:pPr>
        <w:pStyle w:val="Heading4"/>
      </w:pPr>
      <w:bookmarkStart w:id="1561" w:name="_Toc53185345"/>
      <w:bookmarkStart w:id="1562" w:name="_Toc53185721"/>
      <w:bookmarkStart w:id="1563" w:name="_Toc57820196"/>
      <w:bookmarkStart w:id="1564" w:name="_Toc57821123"/>
      <w:bookmarkStart w:id="1565" w:name="_Toc61183399"/>
      <w:bookmarkStart w:id="1566" w:name="_Toc61183793"/>
      <w:bookmarkStart w:id="1567" w:name="_Toc61184185"/>
      <w:bookmarkStart w:id="1568" w:name="_Toc61184577"/>
      <w:bookmarkStart w:id="1569" w:name="_Toc61184967"/>
      <w:bookmarkStart w:id="1570" w:name="_Toc66386310"/>
      <w:bookmarkStart w:id="1571" w:name="_Toc74583151"/>
      <w:bookmarkStart w:id="1572" w:name="_Toc76541964"/>
      <w:bookmarkStart w:id="1573" w:name="_Toc82449946"/>
      <w:bookmarkStart w:id="1574" w:name="_Toc82450594"/>
      <w:bookmarkStart w:id="1575" w:name="_Toc89948983"/>
      <w:bookmarkStart w:id="1576" w:name="_Toc98755372"/>
      <w:bookmarkStart w:id="1577" w:name="_Toc98762962"/>
      <w:bookmarkStart w:id="1578" w:name="_Toc106183891"/>
      <w:r>
        <w:rPr>
          <w:rFonts w:hint="eastAsia"/>
        </w:rPr>
        <w:t>6.5.1.2</w:t>
      </w:r>
      <w:r w:rsidR="00B038B0" w:rsidRPr="007E346D">
        <w:tab/>
      </w:r>
      <w:r>
        <w:rPr>
          <w:rFonts w:hint="eastAsia"/>
        </w:rPr>
        <w:t>IAB-MT frequency error</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p>
    <w:p w14:paraId="2F248B11" w14:textId="77777777" w:rsidR="00CD42E5" w:rsidRDefault="00CD42E5" w:rsidP="00CD42E5">
      <w:pPr>
        <w:rPr>
          <w:lang w:eastAsia="zh-CN"/>
        </w:rPr>
      </w:pPr>
      <w:r>
        <w:t xml:space="preserve">The </w:t>
      </w:r>
      <w:r>
        <w:rPr>
          <w:rFonts w:hint="eastAsia"/>
          <w:lang w:eastAsia="zh-CN"/>
        </w:rPr>
        <w:t>IAB-MT</w:t>
      </w:r>
      <w:r>
        <w:t xml:space="preserve"> basic measurement interval of modulated carrier frequency is 1 UL slot. The mean value of basic measurements of </w:t>
      </w:r>
      <w:r>
        <w:rPr>
          <w:rFonts w:hint="eastAsia"/>
          <w:lang w:eastAsia="zh-CN"/>
        </w:rPr>
        <w:t>IAB-MT</w:t>
      </w:r>
      <w:r>
        <w:t xml:space="preserve"> modulated carrier frequency shall be accurate to within ± 0.1 PPM observed over a period of 1 ms of cumulated measurement intervals compared to the carrier frequency received from the </w:t>
      </w:r>
      <w:r>
        <w:rPr>
          <w:rFonts w:hint="eastAsia"/>
          <w:lang w:eastAsia="zh-CN"/>
        </w:rPr>
        <w:t>parent node</w:t>
      </w:r>
      <w:r>
        <w:t>.</w:t>
      </w:r>
    </w:p>
    <w:p w14:paraId="3468BE68" w14:textId="77777777" w:rsidR="002E1777" w:rsidRDefault="002E1777" w:rsidP="002E1777">
      <w:pPr>
        <w:pStyle w:val="Heading3"/>
      </w:pPr>
      <w:bookmarkStart w:id="1579" w:name="_Toc57820197"/>
      <w:bookmarkStart w:id="1580" w:name="_Toc57821124"/>
      <w:bookmarkStart w:id="1581" w:name="_Toc61183400"/>
      <w:bookmarkStart w:id="1582" w:name="_Toc61183794"/>
      <w:bookmarkStart w:id="1583" w:name="_Toc61184186"/>
      <w:bookmarkStart w:id="1584" w:name="_Toc61184578"/>
      <w:bookmarkStart w:id="1585" w:name="_Toc61184968"/>
      <w:bookmarkStart w:id="1586" w:name="_Toc66386311"/>
      <w:bookmarkStart w:id="1587" w:name="_Toc74583152"/>
      <w:bookmarkStart w:id="1588" w:name="_Toc76541965"/>
      <w:bookmarkStart w:id="1589" w:name="_Toc82449947"/>
      <w:bookmarkStart w:id="1590" w:name="_Toc82450595"/>
      <w:bookmarkStart w:id="1591" w:name="_Toc89948984"/>
      <w:bookmarkStart w:id="1592" w:name="_Toc98755373"/>
      <w:bookmarkStart w:id="1593" w:name="_Toc98762963"/>
      <w:bookmarkStart w:id="1594" w:name="_Toc106183892"/>
      <w:r>
        <w:t>6.5.2</w:t>
      </w:r>
      <w:r>
        <w:tab/>
        <w:t>Modulation quality</w:t>
      </w:r>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p>
    <w:p w14:paraId="315D63B7" w14:textId="055F0291" w:rsidR="002E1777" w:rsidRDefault="002E1777" w:rsidP="002E1777">
      <w:pPr>
        <w:pStyle w:val="Heading4"/>
      </w:pPr>
      <w:bookmarkStart w:id="1595" w:name="_Toc57820198"/>
      <w:bookmarkStart w:id="1596" w:name="_Toc57821125"/>
      <w:bookmarkStart w:id="1597" w:name="_Toc61183401"/>
      <w:bookmarkStart w:id="1598" w:name="_Toc61183795"/>
      <w:bookmarkStart w:id="1599" w:name="_Toc61184187"/>
      <w:bookmarkStart w:id="1600" w:name="_Toc61184579"/>
      <w:bookmarkStart w:id="1601" w:name="_Toc61184969"/>
      <w:bookmarkStart w:id="1602" w:name="_Toc66386312"/>
      <w:bookmarkStart w:id="1603" w:name="_Toc74583153"/>
      <w:bookmarkStart w:id="1604" w:name="_Toc76541966"/>
      <w:bookmarkStart w:id="1605" w:name="_Toc82449948"/>
      <w:bookmarkStart w:id="1606" w:name="_Toc82450596"/>
      <w:bookmarkStart w:id="1607" w:name="_Toc89948985"/>
      <w:bookmarkStart w:id="1608" w:name="_Toc98755374"/>
      <w:bookmarkStart w:id="1609" w:name="_Toc98762964"/>
      <w:bookmarkStart w:id="1610" w:name="_Toc106183893"/>
      <w:r>
        <w:t>6.5.2.1</w:t>
      </w:r>
      <w:r w:rsidR="00815C5B">
        <w:tab/>
      </w:r>
      <w:r>
        <w:t>IAB-DU modulation quality</w:t>
      </w:r>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p>
    <w:p w14:paraId="0BFA908D" w14:textId="77777777" w:rsidR="005D268C" w:rsidRDefault="005D268C" w:rsidP="005D268C">
      <w:pPr>
        <w:rPr>
          <w:rFonts w:cs="v4.2.0"/>
        </w:rPr>
      </w:pPr>
      <w:bookmarkStart w:id="1611" w:name="_Toc53185346"/>
      <w:bookmarkStart w:id="1612" w:name="_Toc53185722"/>
      <w:bookmarkStart w:id="1613" w:name="_Toc57820199"/>
      <w:bookmarkStart w:id="1614" w:name="_Toc57821126"/>
      <w:bookmarkStart w:id="1615" w:name="_Toc61183402"/>
      <w:bookmarkStart w:id="1616" w:name="_Toc61183796"/>
      <w:bookmarkStart w:id="1617" w:name="_Toc61184188"/>
      <w:bookmarkStart w:id="1618" w:name="_Toc61184580"/>
      <w:bookmarkStart w:id="1619" w:name="_Toc61184970"/>
      <w:bookmarkStart w:id="1620" w:name="_Toc66386313"/>
      <w:bookmarkStart w:id="1621" w:name="_Toc74583154"/>
      <w:bookmarkStart w:id="1622" w:name="_Toc76541967"/>
      <w:bookmarkStart w:id="1623" w:name="_Toc82449949"/>
      <w:bookmarkStart w:id="1624" w:name="_Toc82450597"/>
      <w:bookmarkStart w:id="1625" w:name="_Toc89948986"/>
      <w:bookmarkStart w:id="1626" w:name="_Toc98755375"/>
      <w:r>
        <w:rPr>
          <w:rFonts w:cs="v4.2.0"/>
        </w:rPr>
        <w:t>The requirements in clause 6.5.2 for BS type 1-H in TS 38.104 [2] apply to IAB-DU type 1-H.</w:t>
      </w:r>
    </w:p>
    <w:p w14:paraId="26882B4B" w14:textId="77777777" w:rsidR="005D268C" w:rsidRPr="001E5E66" w:rsidRDefault="005D268C" w:rsidP="005D268C">
      <w:pPr>
        <w:pStyle w:val="NO"/>
      </w:pPr>
      <w:r w:rsidRPr="0071726D">
        <w:t xml:space="preserve">NOTE: </w:t>
      </w:r>
      <w:r>
        <w:tab/>
      </w:r>
      <w:r w:rsidRPr="0071726D">
        <w:t>When the indicate</w:t>
      </w:r>
      <w:r w:rsidRPr="00B02731">
        <w:t xml:space="preserve">d IAB-MT transmission timing mode is set to ‘Case6’ as specified in 3GPP TS 38.213 </w:t>
      </w:r>
      <w:r w:rsidRPr="0071726D">
        <w:t>[10], the power imbalance</w:t>
      </w:r>
      <w:r w:rsidRPr="00CB3C70">
        <w:rPr>
          <w:lang w:val="en-US"/>
        </w:rPr>
        <w:t xml:space="preserve"> </w:t>
      </w:r>
      <w:r>
        <w:rPr>
          <w:lang w:val="en-US"/>
        </w:rPr>
        <w:t>for simultaneous transmission</w:t>
      </w:r>
      <w:r w:rsidRPr="0071726D">
        <w:t xml:space="preserve"> between IAB-DU and IAB-MT under which the system can be operated is declared by manufacturer.</w:t>
      </w:r>
    </w:p>
    <w:p w14:paraId="36031048" w14:textId="00EAE234" w:rsidR="00F84DC4" w:rsidRDefault="00F84DC4" w:rsidP="00F84DC4">
      <w:pPr>
        <w:pStyle w:val="Heading4"/>
      </w:pPr>
      <w:bookmarkStart w:id="1627" w:name="_Toc98762965"/>
      <w:bookmarkStart w:id="1628" w:name="_Toc106183894"/>
      <w:r>
        <w:rPr>
          <w:rFonts w:hint="eastAsia"/>
        </w:rPr>
        <w:lastRenderedPageBreak/>
        <w:t>6.5.2.2</w:t>
      </w:r>
      <w:r w:rsidR="00AC7434">
        <w:tab/>
      </w:r>
      <w:r>
        <w:rPr>
          <w:rFonts w:hint="eastAsia"/>
        </w:rPr>
        <w:t>IAB-MT m</w:t>
      </w:r>
      <w:r>
        <w:t>odulation quality</w:t>
      </w:r>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p>
    <w:p w14:paraId="2E9467A2" w14:textId="5698FD72" w:rsidR="00F84DC4" w:rsidRPr="00315DBD" w:rsidRDefault="00F84DC4" w:rsidP="00F84DC4">
      <w:pPr>
        <w:pStyle w:val="Heading5"/>
        <w:rPr>
          <w:rStyle w:val="h5Char1"/>
          <w:lang w:eastAsia="zh-CN"/>
        </w:rPr>
      </w:pPr>
      <w:bookmarkStart w:id="1629" w:name="_Toc53185347"/>
      <w:bookmarkStart w:id="1630" w:name="_Toc53185723"/>
      <w:bookmarkStart w:id="1631" w:name="_Toc57820200"/>
      <w:bookmarkStart w:id="1632" w:name="_Toc57821127"/>
      <w:bookmarkStart w:id="1633" w:name="_Toc61183403"/>
      <w:bookmarkStart w:id="1634" w:name="_Toc61183797"/>
      <w:bookmarkStart w:id="1635" w:name="_Toc61184189"/>
      <w:bookmarkStart w:id="1636" w:name="_Toc61184581"/>
      <w:bookmarkStart w:id="1637" w:name="_Toc61184971"/>
      <w:bookmarkStart w:id="1638" w:name="_Toc66386314"/>
      <w:bookmarkStart w:id="1639" w:name="_Toc74583155"/>
      <w:bookmarkStart w:id="1640" w:name="_Toc76541968"/>
      <w:bookmarkStart w:id="1641" w:name="_Toc82449950"/>
      <w:bookmarkStart w:id="1642" w:name="_Toc82450598"/>
      <w:bookmarkStart w:id="1643" w:name="_Toc89948987"/>
      <w:bookmarkStart w:id="1644" w:name="_Toc98755376"/>
      <w:bookmarkStart w:id="1645" w:name="_Toc98762966"/>
      <w:bookmarkStart w:id="1646" w:name="_Toc106183895"/>
      <w:r>
        <w:rPr>
          <w:rStyle w:val="h5Char1"/>
          <w:rFonts w:eastAsiaTheme="minorEastAsia" w:hint="eastAsia"/>
          <w:lang w:eastAsia="zh-CN"/>
        </w:rPr>
        <w:t>6.5.2.2.1</w:t>
      </w:r>
      <w:r w:rsidR="00AC7434">
        <w:rPr>
          <w:rStyle w:val="h5Char1"/>
          <w:rFonts w:eastAsiaTheme="minorEastAsia"/>
          <w:lang w:eastAsia="zh-CN"/>
        </w:rPr>
        <w:tab/>
      </w:r>
      <w:r w:rsidRPr="00315DBD">
        <w:rPr>
          <w:rStyle w:val="h5Char1"/>
          <w:rFonts w:hint="eastAsia"/>
        </w:rPr>
        <w:t>General</w:t>
      </w:r>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p>
    <w:p w14:paraId="0E5884A7" w14:textId="77777777" w:rsidR="00F84DC4" w:rsidRPr="00C921AC" w:rsidRDefault="00F84DC4" w:rsidP="00F84DC4">
      <w:pPr>
        <w:rPr>
          <w:lang w:eastAsia="zh-CN"/>
        </w:rPr>
      </w:pPr>
      <w:r>
        <w:t xml:space="preserve">Modulation quality is defined by the difference between the measured carrier signal and an ideal signal. Modulation quality can e.g. be expressed as Error Vector Magnitude (EVM). The Error Vector Magnitude is a measure of the difference between the ideal symbols and the measured symbols after the equalization. This difference is called the error vector. Details about how the EVM is determined are specified in Annex </w:t>
      </w:r>
      <w:r>
        <w:rPr>
          <w:rFonts w:hint="eastAsia"/>
          <w:lang w:eastAsia="zh-CN"/>
        </w:rPr>
        <w:t>D</w:t>
      </w:r>
      <w:r>
        <w:t>.</w:t>
      </w:r>
    </w:p>
    <w:p w14:paraId="74E5A320" w14:textId="77777777" w:rsidR="00F84DC4" w:rsidRDefault="00F84DC4" w:rsidP="00F84DC4">
      <w:pPr>
        <w:rPr>
          <w:rFonts w:cs="v5.0.0"/>
          <w:lang w:eastAsia="zh-CN"/>
        </w:rPr>
      </w:pPr>
      <w:r w:rsidRPr="003325B8">
        <w:rPr>
          <w:lang w:eastAsia="ja-JP"/>
        </w:rPr>
        <w:t xml:space="preserve">For </w:t>
      </w:r>
      <w:r w:rsidRPr="003325B8">
        <w:rPr>
          <w:rFonts w:hint="eastAsia"/>
          <w:lang w:eastAsia="ja-JP"/>
        </w:rPr>
        <w:t>IAB-MT</w:t>
      </w:r>
      <w:r w:rsidRPr="003325B8">
        <w:rPr>
          <w:lang w:eastAsia="ja-JP"/>
        </w:rPr>
        <w:t xml:space="preserve"> type 1-</w:t>
      </w:r>
      <w:r w:rsidRPr="003325B8">
        <w:rPr>
          <w:rFonts w:hint="eastAsia"/>
          <w:lang w:eastAsia="ja-JP"/>
        </w:rPr>
        <w:t>H</w:t>
      </w:r>
      <w:r w:rsidRPr="003325B8">
        <w:rPr>
          <w:lang w:eastAsia="ja-JP"/>
        </w:rPr>
        <w:t xml:space="preserve"> </w:t>
      </w:r>
      <w:r>
        <w:rPr>
          <w:rFonts w:hint="eastAsia"/>
          <w:lang w:eastAsia="zh-CN"/>
        </w:rPr>
        <w:t xml:space="preserve">this </w:t>
      </w:r>
      <w:r>
        <w:rPr>
          <w:rFonts w:cs="v5.0.0"/>
        </w:rPr>
        <w:t xml:space="preserve">requirement </w:t>
      </w:r>
      <w:r>
        <w:rPr>
          <w:rFonts w:eastAsia="SimSun" w:cs="v5.0.0"/>
          <w:lang w:val="en-US" w:eastAsia="zh-CN"/>
        </w:rPr>
        <w:t xml:space="preserve">shall be applied </w:t>
      </w:r>
      <w:r>
        <w:rPr>
          <w:rFonts w:cs="v5.0.0"/>
        </w:rPr>
        <w:t xml:space="preserve">at each </w:t>
      </w:r>
      <w:r w:rsidRPr="001159BE">
        <w:rPr>
          <w:rFonts w:cs="v5.0.0"/>
        </w:rPr>
        <w:t>TAB connector</w:t>
      </w:r>
      <w:r w:rsidRPr="00C921AC">
        <w:rPr>
          <w:rFonts w:cs="v5.0.0"/>
        </w:rPr>
        <w:t xml:space="preserve"> </w:t>
      </w:r>
      <w:r>
        <w:rPr>
          <w:rFonts w:cs="v5.0.0"/>
        </w:rPr>
        <w:t>supporting transmission in the</w:t>
      </w:r>
      <w:r w:rsidRPr="00C921AC">
        <w:rPr>
          <w:rFonts w:cs="v5.0.0"/>
        </w:rPr>
        <w:t xml:space="preserve"> </w:t>
      </w:r>
      <w:r w:rsidRPr="001159BE">
        <w:rPr>
          <w:rFonts w:cs="v5.0.0"/>
          <w:iCs/>
        </w:rPr>
        <w:t>operating band</w:t>
      </w:r>
      <w:r>
        <w:rPr>
          <w:rFonts w:cs="v5.0.0"/>
        </w:rPr>
        <w:t>.</w:t>
      </w:r>
    </w:p>
    <w:p w14:paraId="28B00620" w14:textId="132BF541" w:rsidR="00F84DC4" w:rsidRPr="001159BE" w:rsidRDefault="00F84DC4" w:rsidP="00F84DC4">
      <w:pPr>
        <w:pStyle w:val="Heading5"/>
        <w:rPr>
          <w:rStyle w:val="h5Char1"/>
          <w:rFonts w:eastAsiaTheme="minorEastAsia"/>
          <w:lang w:eastAsia="zh-CN"/>
        </w:rPr>
      </w:pPr>
      <w:bookmarkStart w:id="1647" w:name="_Toc53185348"/>
      <w:bookmarkStart w:id="1648" w:name="_Toc53185724"/>
      <w:bookmarkStart w:id="1649" w:name="_Toc57820201"/>
      <w:bookmarkStart w:id="1650" w:name="_Toc57821128"/>
      <w:bookmarkStart w:id="1651" w:name="_Toc61183404"/>
      <w:bookmarkStart w:id="1652" w:name="_Toc61183798"/>
      <w:bookmarkStart w:id="1653" w:name="_Toc61184190"/>
      <w:bookmarkStart w:id="1654" w:name="_Toc61184582"/>
      <w:bookmarkStart w:id="1655" w:name="_Toc61184972"/>
      <w:bookmarkStart w:id="1656" w:name="_Toc66386315"/>
      <w:bookmarkStart w:id="1657" w:name="_Toc74583156"/>
      <w:bookmarkStart w:id="1658" w:name="_Toc76541969"/>
      <w:bookmarkStart w:id="1659" w:name="_Toc82449951"/>
      <w:bookmarkStart w:id="1660" w:name="_Toc82450599"/>
      <w:bookmarkStart w:id="1661" w:name="_Toc89948988"/>
      <w:bookmarkStart w:id="1662" w:name="_Toc98755377"/>
      <w:bookmarkStart w:id="1663" w:name="_Toc98762967"/>
      <w:bookmarkStart w:id="1664" w:name="_Toc106183896"/>
      <w:r w:rsidRPr="00201F6F">
        <w:rPr>
          <w:rStyle w:val="h5Char1"/>
          <w:rFonts w:hint="eastAsia"/>
        </w:rPr>
        <w:t>6.5.2.2.</w:t>
      </w:r>
      <w:r>
        <w:rPr>
          <w:rStyle w:val="h5Char1"/>
          <w:rFonts w:eastAsiaTheme="minorEastAsia" w:hint="eastAsia"/>
          <w:lang w:eastAsia="zh-CN"/>
        </w:rPr>
        <w:t>2</w:t>
      </w:r>
      <w:r w:rsidR="002E1777">
        <w:rPr>
          <w:rStyle w:val="h5Char1"/>
        </w:rPr>
        <w:tab/>
      </w:r>
      <w:r>
        <w:rPr>
          <w:rStyle w:val="h5Char1"/>
          <w:rFonts w:eastAsiaTheme="minorEastAsia"/>
          <w:lang w:eastAsia="zh-CN"/>
        </w:rPr>
        <w:t>Minimum</w:t>
      </w:r>
      <w:r>
        <w:rPr>
          <w:rStyle w:val="h5Char1"/>
          <w:rFonts w:eastAsiaTheme="minorEastAsia" w:hint="eastAsia"/>
          <w:lang w:eastAsia="zh-CN"/>
        </w:rPr>
        <w:t xml:space="preserve"> requirements for IAB-MT type 1-H</w:t>
      </w:r>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p>
    <w:p w14:paraId="0162CB5A" w14:textId="77777777" w:rsidR="002E1777" w:rsidRDefault="002E1777" w:rsidP="002E1777">
      <w:pPr>
        <w:rPr>
          <w:lang w:eastAsia="zh-CN"/>
        </w:rPr>
      </w:pPr>
      <w:r>
        <w:rPr>
          <w:lang w:val="en-US" w:eastAsia="zh-CN"/>
        </w:rPr>
        <w:t xml:space="preserve">For </w:t>
      </w:r>
      <w:r>
        <w:rPr>
          <w:i/>
          <w:iCs/>
          <w:lang w:val="en-US" w:eastAsia="zh-CN"/>
        </w:rPr>
        <w:t>IAB-MT type 1-H</w:t>
      </w:r>
      <w:r>
        <w:rPr>
          <w:lang w:val="en-US" w:eastAsia="zh-CN"/>
        </w:rPr>
        <w:t xml:space="preserve">, </w:t>
      </w:r>
      <w:r>
        <w:t xml:space="preserve">the EVM levels </w:t>
      </w:r>
      <w:r>
        <w:rPr>
          <w:rFonts w:eastAsia="SimSun"/>
          <w:lang w:val="en-US" w:eastAsia="zh-CN"/>
        </w:rPr>
        <w:t xml:space="preserve">of </w:t>
      </w:r>
      <w:r>
        <w:rPr>
          <w:rFonts w:eastAsia="SimSun"/>
        </w:rPr>
        <w:t xml:space="preserve">each </w:t>
      </w:r>
      <w:r>
        <w:rPr>
          <w:rFonts w:eastAsia="SimSun"/>
          <w:lang w:val="en-US" w:eastAsia="zh-CN"/>
        </w:rPr>
        <w:t xml:space="preserve">NR </w:t>
      </w:r>
      <w:r>
        <w:rPr>
          <w:rFonts w:eastAsia="SimSun"/>
        </w:rPr>
        <w:t>carrier</w:t>
      </w:r>
      <w:r>
        <w:t xml:space="preserve"> for different modulation schemes outlined in table 6.5.2.2.2-1 shall be met using the frame structure described in clause 6.5.2.</w:t>
      </w:r>
      <w:r>
        <w:rPr>
          <w:rFonts w:hint="eastAsia"/>
          <w:lang w:eastAsia="zh-CN"/>
        </w:rPr>
        <w:t>2.3.</w:t>
      </w:r>
    </w:p>
    <w:p w14:paraId="67F31C8D" w14:textId="77777777" w:rsidR="00F84DC4" w:rsidRDefault="00F84DC4" w:rsidP="00F84DC4">
      <w:pPr>
        <w:pStyle w:val="TH"/>
        <w:rPr>
          <w:lang w:eastAsia="zh-CN"/>
        </w:rPr>
      </w:pPr>
      <w:r>
        <w:t xml:space="preserve">Table </w:t>
      </w:r>
      <w:r w:rsidRPr="00201F6F">
        <w:rPr>
          <w:rStyle w:val="h5Char1"/>
          <w:rFonts w:hint="eastAsia"/>
        </w:rPr>
        <w:t>6.5.2.2.</w:t>
      </w:r>
      <w:r>
        <w:rPr>
          <w:rStyle w:val="h5Char1"/>
          <w:rFonts w:eastAsiaTheme="minorEastAsia" w:hint="eastAsia"/>
          <w:lang w:eastAsia="zh-CN"/>
        </w:rPr>
        <w:t>2</w:t>
      </w:r>
      <w:r>
        <w:t>-1: Requirements for Error Vector Magnitude</w:t>
      </w:r>
    </w:p>
    <w:tbl>
      <w:tblPr>
        <w:tblW w:w="67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4"/>
        <w:gridCol w:w="1134"/>
        <w:gridCol w:w="2404"/>
      </w:tblGrid>
      <w:tr w:rsidR="00F84DC4" w14:paraId="44529DC6" w14:textId="77777777" w:rsidTr="00BD1F8C">
        <w:trPr>
          <w:jc w:val="center"/>
        </w:trPr>
        <w:tc>
          <w:tcPr>
            <w:tcW w:w="3254" w:type="dxa"/>
            <w:tcBorders>
              <w:top w:val="single" w:sz="4" w:space="0" w:color="auto"/>
              <w:left w:val="single" w:sz="4" w:space="0" w:color="auto"/>
              <w:bottom w:val="single" w:sz="4" w:space="0" w:color="auto"/>
              <w:right w:val="single" w:sz="4" w:space="0" w:color="auto"/>
            </w:tcBorders>
            <w:hideMark/>
          </w:tcPr>
          <w:p w14:paraId="749B3E49" w14:textId="77777777" w:rsidR="00F84DC4" w:rsidRDefault="00F84DC4" w:rsidP="00BD1F8C">
            <w:pPr>
              <w:pStyle w:val="TAH"/>
            </w:pPr>
            <w:r>
              <w:rPr>
                <w:b w:val="0"/>
              </w:rPr>
              <w:br w:type="page"/>
            </w:r>
            <w:r>
              <w:t>Parameter</w:t>
            </w:r>
          </w:p>
        </w:tc>
        <w:tc>
          <w:tcPr>
            <w:tcW w:w="1134" w:type="dxa"/>
            <w:tcBorders>
              <w:top w:val="single" w:sz="4" w:space="0" w:color="auto"/>
              <w:left w:val="single" w:sz="4" w:space="0" w:color="auto"/>
              <w:bottom w:val="single" w:sz="4" w:space="0" w:color="auto"/>
              <w:right w:val="single" w:sz="4" w:space="0" w:color="auto"/>
            </w:tcBorders>
            <w:hideMark/>
          </w:tcPr>
          <w:p w14:paraId="02B17A66" w14:textId="77777777" w:rsidR="00F84DC4" w:rsidRDefault="00F84DC4" w:rsidP="00BD1F8C">
            <w:pPr>
              <w:pStyle w:val="TAH"/>
            </w:pPr>
            <w:r>
              <w:t>Unit</w:t>
            </w:r>
          </w:p>
        </w:tc>
        <w:tc>
          <w:tcPr>
            <w:tcW w:w="2404" w:type="dxa"/>
            <w:tcBorders>
              <w:top w:val="single" w:sz="4" w:space="0" w:color="auto"/>
              <w:left w:val="single" w:sz="4" w:space="0" w:color="auto"/>
              <w:bottom w:val="single" w:sz="4" w:space="0" w:color="auto"/>
              <w:right w:val="single" w:sz="4" w:space="0" w:color="auto"/>
            </w:tcBorders>
            <w:hideMark/>
          </w:tcPr>
          <w:p w14:paraId="6DB1428A" w14:textId="77777777" w:rsidR="00F84DC4" w:rsidRDefault="00F84DC4" w:rsidP="00BD1F8C">
            <w:pPr>
              <w:pStyle w:val="TAH"/>
            </w:pPr>
            <w:r>
              <w:t>Average EVM Level</w:t>
            </w:r>
          </w:p>
        </w:tc>
      </w:tr>
      <w:tr w:rsidR="00F84DC4" w14:paraId="40843655" w14:textId="77777777" w:rsidTr="00BD1F8C">
        <w:trPr>
          <w:jc w:val="center"/>
        </w:trPr>
        <w:tc>
          <w:tcPr>
            <w:tcW w:w="3254" w:type="dxa"/>
            <w:tcBorders>
              <w:top w:val="single" w:sz="4" w:space="0" w:color="auto"/>
              <w:left w:val="single" w:sz="4" w:space="0" w:color="auto"/>
              <w:bottom w:val="single" w:sz="4" w:space="0" w:color="auto"/>
              <w:right w:val="single" w:sz="4" w:space="0" w:color="auto"/>
            </w:tcBorders>
            <w:hideMark/>
          </w:tcPr>
          <w:p w14:paraId="307B863A" w14:textId="77777777" w:rsidR="00F84DC4" w:rsidRDefault="00F84DC4" w:rsidP="00BD1F8C">
            <w:pPr>
              <w:pStyle w:val="TAC"/>
            </w:pPr>
            <w:r>
              <w:t>QPSK</w:t>
            </w:r>
          </w:p>
        </w:tc>
        <w:tc>
          <w:tcPr>
            <w:tcW w:w="1134" w:type="dxa"/>
            <w:tcBorders>
              <w:top w:val="single" w:sz="4" w:space="0" w:color="auto"/>
              <w:left w:val="single" w:sz="4" w:space="0" w:color="auto"/>
              <w:bottom w:val="single" w:sz="4" w:space="0" w:color="auto"/>
              <w:right w:val="single" w:sz="4" w:space="0" w:color="auto"/>
            </w:tcBorders>
            <w:hideMark/>
          </w:tcPr>
          <w:p w14:paraId="0DD93BFC" w14:textId="77777777" w:rsidR="00F84DC4" w:rsidRDefault="00F84DC4" w:rsidP="00BD1F8C">
            <w:pPr>
              <w:pStyle w:val="TAC"/>
              <w:rPr>
                <w:rFonts w:cs="v5.0.0"/>
              </w:rPr>
            </w:pPr>
            <w:r>
              <w:rPr>
                <w:rFonts w:cs="v5.0.0"/>
              </w:rPr>
              <w:t>%</w:t>
            </w:r>
          </w:p>
        </w:tc>
        <w:tc>
          <w:tcPr>
            <w:tcW w:w="2404" w:type="dxa"/>
            <w:tcBorders>
              <w:top w:val="single" w:sz="4" w:space="0" w:color="auto"/>
              <w:left w:val="single" w:sz="4" w:space="0" w:color="auto"/>
              <w:bottom w:val="single" w:sz="4" w:space="0" w:color="auto"/>
              <w:right w:val="single" w:sz="4" w:space="0" w:color="auto"/>
            </w:tcBorders>
            <w:hideMark/>
          </w:tcPr>
          <w:p w14:paraId="61DEEF03" w14:textId="77777777" w:rsidR="00F84DC4" w:rsidRDefault="00F84DC4" w:rsidP="00BD1F8C">
            <w:pPr>
              <w:pStyle w:val="TAC"/>
              <w:rPr>
                <w:rFonts w:cs="v5.0.0"/>
              </w:rPr>
            </w:pPr>
            <w:r>
              <w:rPr>
                <w:rFonts w:cs="v5.0.0"/>
              </w:rPr>
              <w:t>17.5</w:t>
            </w:r>
          </w:p>
        </w:tc>
      </w:tr>
      <w:tr w:rsidR="00F84DC4" w14:paraId="77A6AD54" w14:textId="77777777" w:rsidTr="00BD1F8C">
        <w:trPr>
          <w:jc w:val="center"/>
        </w:trPr>
        <w:tc>
          <w:tcPr>
            <w:tcW w:w="3254" w:type="dxa"/>
            <w:tcBorders>
              <w:top w:val="single" w:sz="4" w:space="0" w:color="auto"/>
              <w:left w:val="single" w:sz="4" w:space="0" w:color="auto"/>
              <w:bottom w:val="single" w:sz="4" w:space="0" w:color="auto"/>
              <w:right w:val="single" w:sz="4" w:space="0" w:color="auto"/>
            </w:tcBorders>
            <w:hideMark/>
          </w:tcPr>
          <w:p w14:paraId="2B253877" w14:textId="77777777" w:rsidR="00F84DC4" w:rsidRDefault="00F84DC4" w:rsidP="00BD1F8C">
            <w:pPr>
              <w:pStyle w:val="TAC"/>
            </w:pPr>
            <w:r>
              <w:t>16</w:t>
            </w:r>
            <w:r>
              <w:rPr>
                <w:rFonts w:eastAsia="Malgun Gothic"/>
              </w:rPr>
              <w:t xml:space="preserve"> </w:t>
            </w:r>
            <w:r>
              <w:t xml:space="preserve">QAM </w:t>
            </w:r>
          </w:p>
        </w:tc>
        <w:tc>
          <w:tcPr>
            <w:tcW w:w="1134" w:type="dxa"/>
            <w:tcBorders>
              <w:top w:val="single" w:sz="4" w:space="0" w:color="auto"/>
              <w:left w:val="single" w:sz="4" w:space="0" w:color="auto"/>
              <w:bottom w:val="single" w:sz="4" w:space="0" w:color="auto"/>
              <w:right w:val="single" w:sz="4" w:space="0" w:color="auto"/>
            </w:tcBorders>
            <w:hideMark/>
          </w:tcPr>
          <w:p w14:paraId="4DF4020C" w14:textId="77777777" w:rsidR="00F84DC4" w:rsidRDefault="00F84DC4" w:rsidP="00BD1F8C">
            <w:pPr>
              <w:pStyle w:val="TAC"/>
              <w:rPr>
                <w:rFonts w:cs="v5.0.0"/>
              </w:rPr>
            </w:pPr>
            <w:r>
              <w:rPr>
                <w:rFonts w:cs="v5.0.0"/>
              </w:rPr>
              <w:t>%</w:t>
            </w:r>
          </w:p>
        </w:tc>
        <w:tc>
          <w:tcPr>
            <w:tcW w:w="2404" w:type="dxa"/>
            <w:tcBorders>
              <w:top w:val="single" w:sz="4" w:space="0" w:color="auto"/>
              <w:left w:val="single" w:sz="4" w:space="0" w:color="auto"/>
              <w:bottom w:val="single" w:sz="4" w:space="0" w:color="auto"/>
              <w:right w:val="single" w:sz="4" w:space="0" w:color="auto"/>
            </w:tcBorders>
            <w:hideMark/>
          </w:tcPr>
          <w:p w14:paraId="24FF77E1" w14:textId="77777777" w:rsidR="00F84DC4" w:rsidRDefault="00F84DC4" w:rsidP="00BD1F8C">
            <w:pPr>
              <w:pStyle w:val="TAC"/>
              <w:rPr>
                <w:rFonts w:cs="v5.0.0"/>
              </w:rPr>
            </w:pPr>
            <w:r>
              <w:rPr>
                <w:rFonts w:cs="v5.0.0"/>
              </w:rPr>
              <w:t>12.5</w:t>
            </w:r>
          </w:p>
        </w:tc>
      </w:tr>
      <w:tr w:rsidR="00F84DC4" w14:paraId="4A98788C" w14:textId="77777777" w:rsidTr="00BD1F8C">
        <w:trPr>
          <w:jc w:val="center"/>
        </w:trPr>
        <w:tc>
          <w:tcPr>
            <w:tcW w:w="3254" w:type="dxa"/>
            <w:tcBorders>
              <w:top w:val="single" w:sz="4" w:space="0" w:color="auto"/>
              <w:left w:val="single" w:sz="4" w:space="0" w:color="auto"/>
              <w:bottom w:val="single" w:sz="4" w:space="0" w:color="auto"/>
              <w:right w:val="single" w:sz="4" w:space="0" w:color="auto"/>
            </w:tcBorders>
            <w:hideMark/>
          </w:tcPr>
          <w:p w14:paraId="5054715E" w14:textId="77777777" w:rsidR="00F84DC4" w:rsidRDefault="00F84DC4" w:rsidP="00BD1F8C">
            <w:pPr>
              <w:pStyle w:val="TAC"/>
            </w:pPr>
            <w:r>
              <w:rPr>
                <w:lang w:eastAsia="zh-CN"/>
              </w:rPr>
              <w:t>64</w:t>
            </w:r>
            <w:r>
              <w:rPr>
                <w:rFonts w:eastAsia="Malgun Gothic"/>
              </w:rPr>
              <w:t xml:space="preserve"> </w:t>
            </w:r>
            <w:r>
              <w:t xml:space="preserve">QAM </w:t>
            </w:r>
          </w:p>
        </w:tc>
        <w:tc>
          <w:tcPr>
            <w:tcW w:w="1134" w:type="dxa"/>
            <w:tcBorders>
              <w:top w:val="single" w:sz="4" w:space="0" w:color="auto"/>
              <w:left w:val="single" w:sz="4" w:space="0" w:color="auto"/>
              <w:bottom w:val="single" w:sz="4" w:space="0" w:color="auto"/>
              <w:right w:val="single" w:sz="4" w:space="0" w:color="auto"/>
            </w:tcBorders>
            <w:hideMark/>
          </w:tcPr>
          <w:p w14:paraId="528DF4BF" w14:textId="77777777" w:rsidR="00F84DC4" w:rsidRDefault="00F84DC4" w:rsidP="00BD1F8C">
            <w:pPr>
              <w:pStyle w:val="TAC"/>
              <w:rPr>
                <w:rFonts w:cs="v5.0.0"/>
              </w:rPr>
            </w:pPr>
            <w:r>
              <w:rPr>
                <w:rFonts w:cs="v5.0.0"/>
              </w:rPr>
              <w:t>%</w:t>
            </w:r>
          </w:p>
        </w:tc>
        <w:tc>
          <w:tcPr>
            <w:tcW w:w="2404" w:type="dxa"/>
            <w:tcBorders>
              <w:top w:val="single" w:sz="4" w:space="0" w:color="auto"/>
              <w:left w:val="single" w:sz="4" w:space="0" w:color="auto"/>
              <w:bottom w:val="single" w:sz="4" w:space="0" w:color="auto"/>
              <w:right w:val="single" w:sz="4" w:space="0" w:color="auto"/>
            </w:tcBorders>
            <w:hideMark/>
          </w:tcPr>
          <w:p w14:paraId="2AF315CF" w14:textId="77777777" w:rsidR="00F84DC4" w:rsidRDefault="00F84DC4" w:rsidP="00BD1F8C">
            <w:pPr>
              <w:pStyle w:val="TAC"/>
              <w:rPr>
                <w:rFonts w:cs="v5.0.0"/>
              </w:rPr>
            </w:pPr>
            <w:r>
              <w:rPr>
                <w:rFonts w:cs="v5.0.0"/>
                <w:lang w:eastAsia="zh-CN"/>
              </w:rPr>
              <w:t>8</w:t>
            </w:r>
          </w:p>
        </w:tc>
      </w:tr>
      <w:tr w:rsidR="00F84DC4" w14:paraId="41C4BBF6" w14:textId="77777777" w:rsidTr="00BD1F8C">
        <w:trPr>
          <w:jc w:val="center"/>
        </w:trPr>
        <w:tc>
          <w:tcPr>
            <w:tcW w:w="3254" w:type="dxa"/>
            <w:tcBorders>
              <w:top w:val="single" w:sz="4" w:space="0" w:color="auto"/>
              <w:left w:val="single" w:sz="4" w:space="0" w:color="auto"/>
              <w:bottom w:val="single" w:sz="4" w:space="0" w:color="auto"/>
              <w:right w:val="single" w:sz="4" w:space="0" w:color="auto"/>
            </w:tcBorders>
            <w:hideMark/>
          </w:tcPr>
          <w:p w14:paraId="56555E3C" w14:textId="77777777" w:rsidR="00F84DC4" w:rsidRDefault="00F84DC4" w:rsidP="00BD1F8C">
            <w:pPr>
              <w:pStyle w:val="TAC"/>
              <w:rPr>
                <w:lang w:eastAsia="zh-CN"/>
              </w:rPr>
            </w:pPr>
            <w:r>
              <w:rPr>
                <w:lang w:eastAsia="zh-CN"/>
              </w:rPr>
              <w:t>256 QAM</w:t>
            </w:r>
          </w:p>
        </w:tc>
        <w:tc>
          <w:tcPr>
            <w:tcW w:w="1134" w:type="dxa"/>
            <w:tcBorders>
              <w:top w:val="single" w:sz="4" w:space="0" w:color="auto"/>
              <w:left w:val="single" w:sz="4" w:space="0" w:color="auto"/>
              <w:bottom w:val="single" w:sz="4" w:space="0" w:color="auto"/>
              <w:right w:val="single" w:sz="4" w:space="0" w:color="auto"/>
            </w:tcBorders>
            <w:hideMark/>
          </w:tcPr>
          <w:p w14:paraId="240D19A9" w14:textId="77777777" w:rsidR="00F84DC4" w:rsidRDefault="00F84DC4" w:rsidP="00BD1F8C">
            <w:pPr>
              <w:pStyle w:val="TAC"/>
              <w:rPr>
                <w:rFonts w:cs="v5.0.0"/>
              </w:rPr>
            </w:pPr>
            <w:r>
              <w:rPr>
                <w:rFonts w:cs="v5.0.0"/>
              </w:rPr>
              <w:t>%</w:t>
            </w:r>
          </w:p>
        </w:tc>
        <w:tc>
          <w:tcPr>
            <w:tcW w:w="2404" w:type="dxa"/>
            <w:tcBorders>
              <w:top w:val="single" w:sz="4" w:space="0" w:color="auto"/>
              <w:left w:val="single" w:sz="4" w:space="0" w:color="auto"/>
              <w:bottom w:val="single" w:sz="4" w:space="0" w:color="auto"/>
              <w:right w:val="single" w:sz="4" w:space="0" w:color="auto"/>
            </w:tcBorders>
            <w:hideMark/>
          </w:tcPr>
          <w:p w14:paraId="259E3785" w14:textId="77777777" w:rsidR="00F84DC4" w:rsidRDefault="00F84DC4" w:rsidP="00BD1F8C">
            <w:pPr>
              <w:pStyle w:val="TAC"/>
              <w:rPr>
                <w:rFonts w:cs="v5.0.0"/>
                <w:lang w:eastAsia="zh-CN"/>
              </w:rPr>
            </w:pPr>
            <w:r>
              <w:rPr>
                <w:rFonts w:cs="v5.0.0"/>
                <w:lang w:eastAsia="zh-CN"/>
              </w:rPr>
              <w:t>3.5</w:t>
            </w:r>
          </w:p>
        </w:tc>
      </w:tr>
    </w:tbl>
    <w:p w14:paraId="41F0175B" w14:textId="75B14825" w:rsidR="00F84DC4" w:rsidRDefault="00F84DC4" w:rsidP="00F61D36">
      <w:pPr>
        <w:rPr>
          <w:rFonts w:cs="v4.2.0"/>
        </w:rPr>
      </w:pPr>
    </w:p>
    <w:p w14:paraId="094D1840" w14:textId="77777777" w:rsidR="005D268C" w:rsidRPr="0071726D" w:rsidRDefault="005D268C" w:rsidP="005D268C">
      <w:pPr>
        <w:pStyle w:val="NO"/>
      </w:pPr>
      <w:r w:rsidRPr="0071726D">
        <w:t xml:space="preserve">NOTE: </w:t>
      </w:r>
      <w:r>
        <w:tab/>
      </w:r>
      <w:r w:rsidRPr="0071726D">
        <w:t>When the i</w:t>
      </w:r>
      <w:r w:rsidRPr="00101C2E">
        <w:t xml:space="preserve">ndicated IAB-MT transmission timing mode is set to ‘Case6’ as specified in 3GPP TS 38.213 [10], the power imbalance </w:t>
      </w:r>
      <w:r>
        <w:rPr>
          <w:lang w:val="en-US"/>
        </w:rPr>
        <w:t>for simultaneous transmission</w:t>
      </w:r>
      <w:r w:rsidRPr="0071726D">
        <w:t xml:space="preserve"> </w:t>
      </w:r>
      <w:r w:rsidRPr="00101C2E">
        <w:t>between IAB-DU and IAB-MT under which the system can be operated is declared by manufacturer.</w:t>
      </w:r>
    </w:p>
    <w:p w14:paraId="2D29B8E4" w14:textId="77777777" w:rsidR="005D268C" w:rsidRPr="00C05DAD" w:rsidRDefault="005D268C" w:rsidP="00F61D36">
      <w:pPr>
        <w:rPr>
          <w:rFonts w:cs="v4.2.0"/>
        </w:rPr>
      </w:pPr>
    </w:p>
    <w:p w14:paraId="523D61FD" w14:textId="77777777" w:rsidR="002E1777" w:rsidRPr="004C1C02" w:rsidRDefault="002E1777" w:rsidP="002E1777">
      <w:pPr>
        <w:pStyle w:val="Heading5"/>
        <w:rPr>
          <w:rStyle w:val="h5Char1"/>
        </w:rPr>
      </w:pPr>
      <w:bookmarkStart w:id="1665" w:name="_Toc57820202"/>
      <w:bookmarkStart w:id="1666" w:name="_Toc57821129"/>
      <w:bookmarkStart w:id="1667" w:name="_Toc61183405"/>
      <w:bookmarkStart w:id="1668" w:name="_Toc61183799"/>
      <w:bookmarkStart w:id="1669" w:name="_Toc61184191"/>
      <w:bookmarkStart w:id="1670" w:name="_Toc61184583"/>
      <w:bookmarkStart w:id="1671" w:name="_Toc61184973"/>
      <w:bookmarkStart w:id="1672" w:name="_Toc66386316"/>
      <w:bookmarkStart w:id="1673" w:name="_Toc74583157"/>
      <w:bookmarkStart w:id="1674" w:name="_Toc76541970"/>
      <w:bookmarkStart w:id="1675" w:name="_Toc82449952"/>
      <w:bookmarkStart w:id="1676" w:name="_Toc82450600"/>
      <w:bookmarkStart w:id="1677" w:name="_Toc89948989"/>
      <w:bookmarkStart w:id="1678" w:name="_Toc98755378"/>
      <w:bookmarkStart w:id="1679" w:name="_Toc98762968"/>
      <w:bookmarkStart w:id="1680" w:name="_Toc106183897"/>
      <w:bookmarkStart w:id="1681" w:name="_Toc29811684"/>
      <w:bookmarkStart w:id="1682" w:name="_Toc21127475"/>
      <w:bookmarkStart w:id="1683" w:name="_Toc53185349"/>
      <w:bookmarkStart w:id="1684" w:name="_Toc53185725"/>
      <w:r>
        <w:rPr>
          <w:rStyle w:val="h5Char1"/>
        </w:rPr>
        <w:t>6.5.2.2.</w:t>
      </w:r>
      <w:r w:rsidRPr="004C1C02">
        <w:rPr>
          <w:rStyle w:val="h5Char1"/>
          <w:rFonts w:hint="eastAsia"/>
        </w:rPr>
        <w:t>3</w:t>
      </w:r>
      <w:r w:rsidRPr="004C1C02">
        <w:rPr>
          <w:rStyle w:val="h5Char1"/>
        </w:rPr>
        <w:tab/>
        <w:t>EVM frame structure for measurement</w:t>
      </w:r>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p>
    <w:p w14:paraId="17E50E9D" w14:textId="77777777" w:rsidR="002E1777" w:rsidRDefault="002E1777" w:rsidP="002E1777">
      <w:r>
        <w:t xml:space="preserve">EVM shall be evaluated for each NR carrier over all allocated resource blocks and </w:t>
      </w:r>
      <w:r>
        <w:rPr>
          <w:rFonts w:hint="eastAsia"/>
          <w:lang w:eastAsia="zh-CN"/>
        </w:rPr>
        <w:t>uplink</w:t>
      </w:r>
      <w:r>
        <w:t xml:space="preserve"> subframes</w:t>
      </w:r>
      <w:r>
        <w:rPr>
          <w:rFonts w:hint="eastAsia"/>
          <w:lang w:eastAsia="zh-CN"/>
        </w:rPr>
        <w:t xml:space="preserve"> for IAB-MT</w:t>
      </w:r>
      <w:r>
        <w:t xml:space="preserve">. Different modulation schemes listed in </w:t>
      </w:r>
      <w:r>
        <w:rPr>
          <w:rFonts w:hint="eastAsia"/>
          <w:lang w:eastAsia="zh-CN"/>
        </w:rPr>
        <w:t>T</w:t>
      </w:r>
      <w:r>
        <w:t xml:space="preserve">able </w:t>
      </w:r>
      <w:r w:rsidRPr="004C1C02">
        <w:t>6.5.2.2.2</w:t>
      </w:r>
      <w:r>
        <w:t>-1 shall be considered for rank 1.</w:t>
      </w:r>
    </w:p>
    <w:p w14:paraId="496E5F7F" w14:textId="77777777" w:rsidR="002E1777" w:rsidRDefault="002E1777" w:rsidP="002E1777">
      <w:r>
        <w:t>For NR, for all bandwidths, the EVM measurement shall be performed</w:t>
      </w:r>
      <w:r>
        <w:rPr>
          <w:rFonts w:eastAsia="SimSun"/>
        </w:rPr>
        <w:t xml:space="preserve"> for each NR carrier</w:t>
      </w:r>
      <w:r>
        <w:t xml:space="preserve"> over all allocated resource blocks and </w:t>
      </w:r>
      <w:r>
        <w:rPr>
          <w:rFonts w:hint="eastAsia"/>
          <w:lang w:eastAsia="zh-CN"/>
        </w:rPr>
        <w:t>uplink</w:t>
      </w:r>
      <w:r>
        <w:t xml:space="preserve"> subframes within 10 ms measurement periods. </w:t>
      </w:r>
      <w:r>
        <w:rPr>
          <w:rFonts w:eastAsia="SimSun"/>
        </w:rPr>
        <w:t>The boundaries of the EVM measurement periods need not be aligned with radio frame boundaries.</w:t>
      </w:r>
    </w:p>
    <w:p w14:paraId="336261F7" w14:textId="48D5D5D4" w:rsidR="002E1777" w:rsidRPr="00BE2590" w:rsidRDefault="002E1777" w:rsidP="002E1777">
      <w:bookmarkStart w:id="1685" w:name="_Toc29811688"/>
      <w:bookmarkStart w:id="1686" w:name="_Toc21127479"/>
      <w:bookmarkStart w:id="1687" w:name="_Toc53185351"/>
      <w:bookmarkStart w:id="1688" w:name="_Toc53185727"/>
      <w:bookmarkEnd w:id="1681"/>
      <w:bookmarkEnd w:id="1682"/>
      <w:bookmarkEnd w:id="1683"/>
      <w:bookmarkEnd w:id="1684"/>
    </w:p>
    <w:p w14:paraId="53F1B12C" w14:textId="77777777" w:rsidR="00F61D36" w:rsidRDefault="00F61D36" w:rsidP="00F61D36">
      <w:pPr>
        <w:pStyle w:val="Heading3"/>
      </w:pPr>
      <w:bookmarkStart w:id="1689" w:name="_Toc57820203"/>
      <w:bookmarkStart w:id="1690" w:name="_Toc57821130"/>
      <w:bookmarkStart w:id="1691" w:name="_Toc61183406"/>
      <w:bookmarkStart w:id="1692" w:name="_Toc61183800"/>
      <w:bookmarkStart w:id="1693" w:name="_Toc61184192"/>
      <w:bookmarkStart w:id="1694" w:name="_Toc61184584"/>
      <w:bookmarkStart w:id="1695" w:name="_Toc61184974"/>
      <w:bookmarkStart w:id="1696" w:name="_Toc66386317"/>
      <w:bookmarkStart w:id="1697" w:name="_Toc74583158"/>
      <w:bookmarkStart w:id="1698" w:name="_Toc76541971"/>
      <w:bookmarkStart w:id="1699" w:name="_Toc82449953"/>
      <w:bookmarkStart w:id="1700" w:name="_Toc82450601"/>
      <w:bookmarkStart w:id="1701" w:name="_Toc89948990"/>
      <w:bookmarkStart w:id="1702" w:name="_Toc98755379"/>
      <w:bookmarkStart w:id="1703" w:name="_Toc98762969"/>
      <w:bookmarkStart w:id="1704" w:name="_Toc106183898"/>
      <w:r>
        <w:t>6.5.3</w:t>
      </w:r>
      <w:r>
        <w:tab/>
        <w:t>Time alignment error</w:t>
      </w:r>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p>
    <w:p w14:paraId="7A26B767" w14:textId="2CCBB97B" w:rsidR="00F61D36" w:rsidRPr="00124B40" w:rsidRDefault="00F61D36" w:rsidP="00F61D36">
      <w:pPr>
        <w:pStyle w:val="Heading4"/>
      </w:pPr>
      <w:bookmarkStart w:id="1705" w:name="_Toc53185352"/>
      <w:bookmarkStart w:id="1706" w:name="_Toc53185728"/>
      <w:bookmarkStart w:id="1707" w:name="_Toc57820204"/>
      <w:bookmarkStart w:id="1708" w:name="_Toc57821131"/>
      <w:bookmarkStart w:id="1709" w:name="_Toc61183407"/>
      <w:bookmarkStart w:id="1710" w:name="_Toc61183801"/>
      <w:bookmarkStart w:id="1711" w:name="_Toc61184193"/>
      <w:bookmarkStart w:id="1712" w:name="_Toc61184585"/>
      <w:bookmarkStart w:id="1713" w:name="_Toc61184975"/>
      <w:bookmarkStart w:id="1714" w:name="_Toc66386318"/>
      <w:bookmarkStart w:id="1715" w:name="_Toc74583159"/>
      <w:bookmarkStart w:id="1716" w:name="_Toc76541972"/>
      <w:bookmarkStart w:id="1717" w:name="_Toc82449954"/>
      <w:bookmarkStart w:id="1718" w:name="_Toc82450602"/>
      <w:bookmarkStart w:id="1719" w:name="_Toc89948991"/>
      <w:bookmarkStart w:id="1720" w:name="_Toc98755380"/>
      <w:bookmarkStart w:id="1721" w:name="_Toc98762970"/>
      <w:bookmarkStart w:id="1722" w:name="_Toc106183899"/>
      <w:r>
        <w:rPr>
          <w:rFonts w:hint="eastAsia"/>
        </w:rPr>
        <w:t>6.5.3.1</w:t>
      </w:r>
      <w:r w:rsidR="006C3BFB" w:rsidRPr="007E346D">
        <w:tab/>
      </w:r>
      <w:r>
        <w:rPr>
          <w:rFonts w:hint="eastAsia"/>
        </w:rPr>
        <w:t>IAB-DU t</w:t>
      </w:r>
      <w:r>
        <w:t>ime alignment error</w:t>
      </w:r>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p>
    <w:p w14:paraId="3A56E321" w14:textId="4E00586F" w:rsidR="00F61D36" w:rsidRDefault="00F61D36" w:rsidP="00F61D36">
      <w:pPr>
        <w:rPr>
          <w:rFonts w:cs="v4.2.0"/>
        </w:rPr>
      </w:pPr>
      <w:r w:rsidRPr="00C05DAD">
        <w:rPr>
          <w:rFonts w:cs="v4.2.0"/>
        </w:rPr>
        <w:t xml:space="preserve">The </w:t>
      </w:r>
      <w:r>
        <w:rPr>
          <w:rFonts w:cs="v4.2.0"/>
        </w:rPr>
        <w:t xml:space="preserve">requirements in clause </w:t>
      </w:r>
      <w:r>
        <w:rPr>
          <w:rFonts w:cs="v4.2.0" w:hint="eastAsia"/>
        </w:rPr>
        <w:t>6.5.</w:t>
      </w:r>
      <w:r>
        <w:rPr>
          <w:rFonts w:cs="v4.2.0" w:hint="eastAsia"/>
          <w:lang w:eastAsia="zh-CN"/>
        </w:rPr>
        <w:t>3</w:t>
      </w:r>
      <w:r>
        <w:rPr>
          <w:rFonts w:cs="v4.2.0" w:hint="eastAsia"/>
        </w:rPr>
        <w:t xml:space="preserve"> for BS type 1-H </w:t>
      </w:r>
      <w:r>
        <w:rPr>
          <w:rFonts w:cs="v4.2.0"/>
        </w:rPr>
        <w:t>in TS 38.1</w:t>
      </w:r>
      <w:r>
        <w:rPr>
          <w:rFonts w:cs="v4.2.0" w:hint="eastAsia"/>
        </w:rPr>
        <w:t>04</w:t>
      </w:r>
      <w:r>
        <w:rPr>
          <w:rFonts w:cs="v4.2.0"/>
        </w:rPr>
        <w:t xml:space="preserve"> [</w:t>
      </w:r>
      <w:r w:rsidR="008678B3">
        <w:rPr>
          <w:rFonts w:cs="v4.2.0"/>
          <w:lang w:eastAsia="zh-CN"/>
        </w:rPr>
        <w:t>2</w:t>
      </w:r>
      <w:r>
        <w:rPr>
          <w:rFonts w:cs="v4.2.0"/>
        </w:rPr>
        <w:t xml:space="preserve">] apply to </w:t>
      </w:r>
      <w:r w:rsidRPr="00025A8C">
        <w:rPr>
          <w:rFonts w:cs="v4.2.0"/>
        </w:rPr>
        <w:t>IAB-DU type 1-H</w:t>
      </w:r>
      <w:r>
        <w:rPr>
          <w:rFonts w:cs="v4.2.0"/>
        </w:rPr>
        <w:t>.</w:t>
      </w:r>
    </w:p>
    <w:p w14:paraId="708579A3" w14:textId="77777777" w:rsidR="008E7174" w:rsidRDefault="008E7174" w:rsidP="008E7174">
      <w:pPr>
        <w:pStyle w:val="Heading3"/>
      </w:pPr>
      <w:bookmarkStart w:id="1723" w:name="_Toc98762971"/>
      <w:bookmarkStart w:id="1724" w:name="_Toc106183900"/>
      <w:bookmarkStart w:id="1725" w:name="_Hlk95322738"/>
      <w:r>
        <w:rPr>
          <w:rFonts w:hint="eastAsia"/>
        </w:rPr>
        <w:t>6.5.</w:t>
      </w:r>
      <w:r>
        <w:t>4</w:t>
      </w:r>
      <w:r w:rsidRPr="007E346D">
        <w:tab/>
      </w:r>
      <w:r>
        <w:t>Timing error between IAB-DU and IAB-MT</w:t>
      </w:r>
      <w:r w:rsidRPr="000E61F7">
        <w:t xml:space="preserve"> </w:t>
      </w:r>
      <w:r>
        <w:t>of the same IAB-Node</w:t>
      </w:r>
      <w:bookmarkEnd w:id="1723"/>
      <w:bookmarkEnd w:id="1724"/>
    </w:p>
    <w:p w14:paraId="4B9845A5" w14:textId="6A529B4C" w:rsidR="008E7174" w:rsidRPr="00C24186" w:rsidRDefault="000218B8" w:rsidP="008E7174">
      <w:r>
        <w:t>When the indicated IAB-MT transmission timing mode is set to ‘Case6’ as specified in 3GPP TS 38.213 [10] and IAB-DU and IAB-MT of the same IAB-Node are transmitting simultaneously, the timing error between transmission timing of IAB-DU and IAB-MT shall not exceed</w:t>
      </w:r>
      <w:r w:rsidR="00FE3676">
        <w:rPr>
          <w:rStyle w:val="normaltextrun"/>
          <w:color w:val="000000"/>
          <w:shd w:val="clear" w:color="auto" w:fill="FFFFFF"/>
        </w:rPr>
        <w:t xml:space="preserve"> </w:t>
      </w:r>
      <w:r>
        <w:rPr>
          <w:rStyle w:val="normaltextrun"/>
          <w:color w:val="000000"/>
          <w:shd w:val="clear" w:color="auto" w:fill="FFFFFF"/>
        </w:rPr>
        <w:t>3µs.</w:t>
      </w:r>
    </w:p>
    <w:p w14:paraId="4CE4EBF7" w14:textId="77777777" w:rsidR="00077B6E" w:rsidRDefault="00077B6E" w:rsidP="00077B6E">
      <w:pPr>
        <w:pStyle w:val="Heading2"/>
        <w:rPr>
          <w:rFonts w:eastAsiaTheme="minorEastAsia"/>
          <w:lang w:eastAsia="zh-CN"/>
        </w:rPr>
      </w:pPr>
      <w:bookmarkStart w:id="1726" w:name="_Toc53185353"/>
      <w:bookmarkStart w:id="1727" w:name="_Toc53185729"/>
      <w:bookmarkStart w:id="1728" w:name="_Toc57820205"/>
      <w:bookmarkStart w:id="1729" w:name="_Toc57821132"/>
      <w:bookmarkStart w:id="1730" w:name="_Toc61183408"/>
      <w:bookmarkStart w:id="1731" w:name="_Toc61183802"/>
      <w:bookmarkStart w:id="1732" w:name="_Toc61184194"/>
      <w:bookmarkStart w:id="1733" w:name="_Toc61184586"/>
      <w:bookmarkStart w:id="1734" w:name="_Toc61184976"/>
      <w:bookmarkStart w:id="1735" w:name="_Toc66386319"/>
      <w:bookmarkStart w:id="1736" w:name="_Toc74583160"/>
      <w:bookmarkStart w:id="1737" w:name="_Toc76541973"/>
      <w:bookmarkStart w:id="1738" w:name="_Toc82449955"/>
      <w:bookmarkStart w:id="1739" w:name="_Toc82450603"/>
      <w:bookmarkStart w:id="1740" w:name="_Toc89948992"/>
      <w:bookmarkStart w:id="1741" w:name="_Toc98755381"/>
      <w:bookmarkStart w:id="1742" w:name="_Toc98762972"/>
      <w:bookmarkStart w:id="1743" w:name="_Toc106183901"/>
      <w:bookmarkEnd w:id="1725"/>
      <w:r w:rsidRPr="007E346D">
        <w:t>6.6</w:t>
      </w:r>
      <w:r w:rsidRPr="007E346D">
        <w:tab/>
        <w:t>Unwanted emissions</w:t>
      </w:r>
      <w:bookmarkEnd w:id="1541"/>
      <w:bookmarkEnd w:id="1542"/>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p>
    <w:p w14:paraId="64DE2943" w14:textId="77777777" w:rsidR="00B3234F" w:rsidRDefault="00B3234F" w:rsidP="00B3234F">
      <w:pPr>
        <w:pStyle w:val="Heading3"/>
      </w:pPr>
      <w:bookmarkStart w:id="1744" w:name="_Toc45893463"/>
      <w:bookmarkStart w:id="1745" w:name="_Toc44712150"/>
      <w:bookmarkStart w:id="1746" w:name="_Toc37267548"/>
      <w:bookmarkStart w:id="1747" w:name="_Toc37260160"/>
      <w:bookmarkStart w:id="1748" w:name="_Toc36817244"/>
      <w:bookmarkStart w:id="1749" w:name="_Toc29811692"/>
      <w:bookmarkStart w:id="1750" w:name="_Toc21127483"/>
      <w:bookmarkStart w:id="1751" w:name="_Toc53185354"/>
      <w:bookmarkStart w:id="1752" w:name="_Toc53185730"/>
      <w:bookmarkStart w:id="1753" w:name="_Toc57820206"/>
      <w:bookmarkStart w:id="1754" w:name="_Toc57821133"/>
      <w:bookmarkStart w:id="1755" w:name="_Toc61183409"/>
      <w:bookmarkStart w:id="1756" w:name="_Toc61183803"/>
      <w:bookmarkStart w:id="1757" w:name="_Toc61184195"/>
      <w:bookmarkStart w:id="1758" w:name="_Toc61184587"/>
      <w:bookmarkStart w:id="1759" w:name="_Toc61184977"/>
      <w:bookmarkStart w:id="1760" w:name="_Toc66386320"/>
      <w:bookmarkStart w:id="1761" w:name="_Toc74583161"/>
      <w:bookmarkStart w:id="1762" w:name="_Toc76541974"/>
      <w:bookmarkStart w:id="1763" w:name="_Toc82449956"/>
      <w:bookmarkStart w:id="1764" w:name="_Toc82450604"/>
      <w:bookmarkStart w:id="1765" w:name="_Toc89948993"/>
      <w:bookmarkStart w:id="1766" w:name="_Toc98755382"/>
      <w:bookmarkStart w:id="1767" w:name="_Toc98762973"/>
      <w:bookmarkStart w:id="1768" w:name="_Toc106183902"/>
      <w:r>
        <w:t>6.6.1</w:t>
      </w:r>
      <w:r>
        <w:tab/>
        <w:t>General</w:t>
      </w:r>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p>
    <w:p w14:paraId="39E1E940" w14:textId="77777777" w:rsidR="00B3234F" w:rsidRDefault="00B3234F" w:rsidP="00B3234F">
      <w:pPr>
        <w:rPr>
          <w:rFonts w:cs="v5.0.0"/>
        </w:rPr>
      </w:pPr>
      <w:r>
        <w:rPr>
          <w:rFonts w:cs="v5.0.0"/>
        </w:rPr>
        <w:t xml:space="preserve">Unwanted emissions consist of out-of-band emissions and spurious emissions </w:t>
      </w:r>
      <w:r>
        <w:t xml:space="preserve">according to ITU definitions </w:t>
      </w:r>
      <w:r>
        <w:rPr>
          <w:rFonts w:cs="v5.0.0"/>
        </w:rPr>
        <w:t xml:space="preserve">[16]. </w:t>
      </w:r>
      <w:r>
        <w:t>In ITU terminology, o</w:t>
      </w:r>
      <w:r>
        <w:rPr>
          <w:rFonts w:cs="v5.0.0"/>
        </w:rPr>
        <w:t xml:space="preserve">ut of band emissions are unwanted emissions immediately outside the </w:t>
      </w:r>
      <w:r w:rsidRPr="00743313">
        <w:rPr>
          <w:rFonts w:cs="v5.0.0"/>
          <w:iCs/>
        </w:rPr>
        <w:t>channel bandwidth</w:t>
      </w:r>
      <w:r>
        <w:rPr>
          <w:rFonts w:cs="v5.0.0"/>
        </w:rPr>
        <w:t xml:space="preserve"> resulting from the modulation process and non-linearity in the transmitter but excluding spurious emissions. Spurious emissions are emissions which are caused by unwanted transmitter effects such as harmonics emission, parasitic emission, intermodulation products and frequency conversion products, but exclude out of band emissions.</w:t>
      </w:r>
    </w:p>
    <w:p w14:paraId="2ABE0408" w14:textId="77777777" w:rsidR="00B3234F" w:rsidRDefault="00B3234F" w:rsidP="00B3234F">
      <w:pPr>
        <w:rPr>
          <w:rFonts w:cs="v5.0.0"/>
          <w:lang w:eastAsia="zh-CN"/>
        </w:rPr>
      </w:pPr>
      <w:r>
        <w:rPr>
          <w:rFonts w:cs="v5.0.0"/>
        </w:rPr>
        <w:lastRenderedPageBreak/>
        <w:t xml:space="preserve">The out-of-band emissions requirement for the IAB-DU and IAB-MT transmitter is specified both in terms of </w:t>
      </w:r>
      <w:bookmarkStart w:id="1769" w:name="_Hlk497217795"/>
      <w:r>
        <w:rPr>
          <w:rFonts w:cs="v5.0.0"/>
        </w:rPr>
        <w:t xml:space="preserve">Adjacent Channel Leakage power Ratio </w:t>
      </w:r>
      <w:bookmarkEnd w:id="1769"/>
      <w:r>
        <w:rPr>
          <w:rFonts w:cs="v5.0.0"/>
        </w:rPr>
        <w:t xml:space="preserve">(ACLR) and </w:t>
      </w:r>
      <w:r>
        <w:rPr>
          <w:rFonts w:cs="v5.0.0"/>
          <w:i/>
        </w:rPr>
        <w:t>operating band</w:t>
      </w:r>
      <w:r>
        <w:rPr>
          <w:rFonts w:cs="v5.0.0"/>
        </w:rPr>
        <w:t xml:space="preserve"> unwanted emissions (OBUE).</w:t>
      </w:r>
    </w:p>
    <w:p w14:paraId="56AD8132" w14:textId="77777777" w:rsidR="00B3234F" w:rsidRDefault="00B3234F" w:rsidP="00B3234F">
      <w:pPr>
        <w:rPr>
          <w:rFonts w:cs="v5.0.0"/>
        </w:rPr>
      </w:pPr>
      <w:r>
        <w:rPr>
          <w:rFonts w:cs="v5.0.0"/>
        </w:rPr>
        <w:t xml:space="preserve">The maximum offset of the </w:t>
      </w:r>
      <w:r>
        <w:rPr>
          <w:rFonts w:cs="v5.0.0"/>
          <w:i/>
        </w:rPr>
        <w:t>operating band</w:t>
      </w:r>
      <w:r>
        <w:rPr>
          <w:rFonts w:cs="v5.0.0"/>
        </w:rPr>
        <w:t xml:space="preserve"> unwanted emissions mask from the </w:t>
      </w:r>
      <w:r>
        <w:rPr>
          <w:rFonts w:cs="v5.0.0"/>
          <w:i/>
        </w:rPr>
        <w:t>operating band</w:t>
      </w:r>
      <w:r>
        <w:rPr>
          <w:rFonts w:cs="v5.0.0"/>
        </w:rPr>
        <w:t xml:space="preserve"> edge is </w:t>
      </w:r>
      <w:r>
        <w:t>Δf</w:t>
      </w:r>
      <w:r>
        <w:rPr>
          <w:vertAlign w:val="subscript"/>
        </w:rPr>
        <w:t>OBUE</w:t>
      </w:r>
      <w:r>
        <w:rPr>
          <w:rFonts w:cs="v5.0.0"/>
        </w:rPr>
        <w:t xml:space="preserve">. The Operating band unwanted emissions define all unwanted emissions in each supported downlink </w:t>
      </w:r>
      <w:r>
        <w:rPr>
          <w:rFonts w:cs="v5.0.0"/>
          <w:i/>
        </w:rPr>
        <w:t>operating band</w:t>
      </w:r>
      <w:r>
        <w:rPr>
          <w:rFonts w:cs="v5.0.0"/>
        </w:rPr>
        <w:t xml:space="preserve"> of IAB-DU and uplink </w:t>
      </w:r>
      <w:r w:rsidRPr="00743313">
        <w:rPr>
          <w:rFonts w:cs="v5.0.0"/>
          <w:i/>
          <w:iCs/>
        </w:rPr>
        <w:t>operating band</w:t>
      </w:r>
      <w:r>
        <w:rPr>
          <w:rFonts w:cs="v5.0.0"/>
        </w:rPr>
        <w:t xml:space="preserve"> of IAB-MT, plus the frequency ranges </w:t>
      </w:r>
      <w:r>
        <w:t>Δf</w:t>
      </w:r>
      <w:r>
        <w:rPr>
          <w:vertAlign w:val="subscript"/>
        </w:rPr>
        <w:t>OBUE</w:t>
      </w:r>
      <w:r>
        <w:rPr>
          <w:rFonts w:cs="v5.0.0"/>
        </w:rPr>
        <w:t xml:space="preserve"> above and </w:t>
      </w:r>
      <w:r>
        <w:t>Δf</w:t>
      </w:r>
      <w:r>
        <w:rPr>
          <w:vertAlign w:val="subscript"/>
        </w:rPr>
        <w:t>OBUE</w:t>
      </w:r>
      <w:r>
        <w:rPr>
          <w:rFonts w:cs="v5.0.0"/>
        </w:rPr>
        <w:t xml:space="preserve"> below each band. Unwanted emissions outside of this frequency range are limited by a spurious emissions requirement.</w:t>
      </w:r>
    </w:p>
    <w:p w14:paraId="59423048" w14:textId="77777777" w:rsidR="00B3234F" w:rsidRDefault="00B3234F" w:rsidP="00B3234F">
      <w:pPr>
        <w:rPr>
          <w:rFonts w:cs="v5.0.0"/>
        </w:rPr>
      </w:pPr>
      <w:r>
        <w:rPr>
          <w:rFonts w:cs="v5.0.0"/>
        </w:rPr>
        <w:t xml:space="preserve">The values of </w:t>
      </w:r>
      <w:r>
        <w:t>Δf</w:t>
      </w:r>
      <w:r>
        <w:rPr>
          <w:vertAlign w:val="subscript"/>
        </w:rPr>
        <w:t>OBUE</w:t>
      </w:r>
      <w:r>
        <w:rPr>
          <w:rFonts w:cs="v5.0.0"/>
        </w:rPr>
        <w:t xml:space="preserve"> are defined in tables 6.6.1-1 and 6.6.1-2 for the NR </w:t>
      </w:r>
      <w:r>
        <w:rPr>
          <w:rFonts w:cs="v5.0.0"/>
          <w:i/>
        </w:rPr>
        <w:t>operating bands</w:t>
      </w:r>
      <w:r>
        <w:rPr>
          <w:rFonts w:cs="v5.0.0"/>
        </w:rPr>
        <w:t>.</w:t>
      </w:r>
    </w:p>
    <w:p w14:paraId="5B43212E" w14:textId="77777777" w:rsidR="00B3234F" w:rsidRPr="009873ED" w:rsidRDefault="00B3234F" w:rsidP="00B3234F">
      <w:pPr>
        <w:pStyle w:val="TH"/>
        <w:rPr>
          <w:iCs/>
        </w:rPr>
      </w:pPr>
      <w:r>
        <w:t xml:space="preserve">Table 6.6.1-1: Maximum offset of OBUE outside the downlink </w:t>
      </w:r>
      <w:r>
        <w:rPr>
          <w:i/>
        </w:rPr>
        <w:t xml:space="preserve">operating band </w:t>
      </w:r>
      <w:r>
        <w:rPr>
          <w:iCs/>
        </w:rPr>
        <w:t xml:space="preserve">of </w:t>
      </w:r>
      <w:r w:rsidRPr="00743313">
        <w:rPr>
          <w:i/>
        </w:rPr>
        <w:t>IAB-DU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7"/>
        <w:gridCol w:w="3255"/>
        <w:gridCol w:w="1292"/>
      </w:tblGrid>
      <w:tr w:rsidR="00B3234F" w14:paraId="15174BD4" w14:textId="77777777" w:rsidTr="0076338D">
        <w:trPr>
          <w:jc w:val="center"/>
        </w:trPr>
        <w:tc>
          <w:tcPr>
            <w:tcW w:w="1557" w:type="dxa"/>
            <w:tcBorders>
              <w:top w:val="single" w:sz="4" w:space="0" w:color="auto"/>
              <w:left w:val="single" w:sz="4" w:space="0" w:color="auto"/>
              <w:bottom w:val="single" w:sz="4" w:space="0" w:color="auto"/>
              <w:right w:val="single" w:sz="4" w:space="0" w:color="auto"/>
            </w:tcBorders>
            <w:hideMark/>
          </w:tcPr>
          <w:p w14:paraId="395CD88C" w14:textId="77777777" w:rsidR="00B3234F" w:rsidRDefault="00B3234F" w:rsidP="0076338D">
            <w:pPr>
              <w:pStyle w:val="TAH"/>
              <w:rPr>
                <w:lang w:eastAsia="zh-CN"/>
              </w:rPr>
            </w:pPr>
            <w:bookmarkStart w:id="1770" w:name="OLE_LINK95"/>
            <w:bookmarkStart w:id="1771" w:name="OLE_LINK96"/>
            <w:r>
              <w:rPr>
                <w:lang w:eastAsia="zh-CN"/>
              </w:rPr>
              <w:t>IAB-DU type</w:t>
            </w:r>
          </w:p>
        </w:tc>
        <w:tc>
          <w:tcPr>
            <w:tcW w:w="3255" w:type="dxa"/>
            <w:tcBorders>
              <w:top w:val="single" w:sz="4" w:space="0" w:color="auto"/>
              <w:left w:val="single" w:sz="4" w:space="0" w:color="auto"/>
              <w:bottom w:val="single" w:sz="4" w:space="0" w:color="auto"/>
              <w:right w:val="single" w:sz="4" w:space="0" w:color="auto"/>
            </w:tcBorders>
            <w:hideMark/>
          </w:tcPr>
          <w:p w14:paraId="39EC4FD9" w14:textId="77777777" w:rsidR="00B3234F" w:rsidRDefault="00B3234F" w:rsidP="0076338D">
            <w:pPr>
              <w:pStyle w:val="TAH"/>
            </w:pPr>
            <w:r>
              <w:rPr>
                <w:i/>
              </w:rPr>
              <w:t>Operating band</w:t>
            </w:r>
            <w:r>
              <w:t xml:space="preserve"> characteristics</w:t>
            </w:r>
          </w:p>
        </w:tc>
        <w:tc>
          <w:tcPr>
            <w:tcW w:w="1292" w:type="dxa"/>
            <w:tcBorders>
              <w:top w:val="single" w:sz="4" w:space="0" w:color="auto"/>
              <w:left w:val="single" w:sz="4" w:space="0" w:color="auto"/>
              <w:bottom w:val="single" w:sz="4" w:space="0" w:color="auto"/>
              <w:right w:val="single" w:sz="4" w:space="0" w:color="auto"/>
            </w:tcBorders>
            <w:hideMark/>
          </w:tcPr>
          <w:p w14:paraId="39BFFB45" w14:textId="77777777" w:rsidR="00B3234F" w:rsidRDefault="00B3234F" w:rsidP="0076338D">
            <w:pPr>
              <w:pStyle w:val="TAH"/>
            </w:pPr>
            <w:r>
              <w:t>Δf</w:t>
            </w:r>
            <w:r>
              <w:rPr>
                <w:vertAlign w:val="subscript"/>
              </w:rPr>
              <w:t>OBUE</w:t>
            </w:r>
            <w:r>
              <w:t xml:space="preserve"> (MHz)</w:t>
            </w:r>
          </w:p>
        </w:tc>
      </w:tr>
      <w:tr w:rsidR="0076338D" w14:paraId="009E7C38" w14:textId="77777777" w:rsidTr="0076338D">
        <w:trPr>
          <w:jc w:val="center"/>
        </w:trPr>
        <w:tc>
          <w:tcPr>
            <w:tcW w:w="1557" w:type="dxa"/>
            <w:tcBorders>
              <w:top w:val="single" w:sz="4" w:space="0" w:color="auto"/>
              <w:left w:val="single" w:sz="4" w:space="0" w:color="auto"/>
              <w:bottom w:val="nil"/>
              <w:right w:val="single" w:sz="4" w:space="0" w:color="auto"/>
            </w:tcBorders>
            <w:shd w:val="clear" w:color="auto" w:fill="auto"/>
            <w:vAlign w:val="center"/>
            <w:hideMark/>
          </w:tcPr>
          <w:p w14:paraId="39C4BB9D" w14:textId="77777777" w:rsidR="0076338D" w:rsidRDefault="0076338D" w:rsidP="0076338D">
            <w:pPr>
              <w:pStyle w:val="TAC"/>
              <w:rPr>
                <w:lang w:eastAsia="zh-CN"/>
              </w:rPr>
            </w:pPr>
            <w:bookmarkStart w:id="1772" w:name="_Hlk502677945"/>
            <w:r>
              <w:rPr>
                <w:lang w:eastAsia="zh-CN"/>
              </w:rPr>
              <w:t>IAB-DU type 1-H</w:t>
            </w:r>
          </w:p>
        </w:tc>
        <w:tc>
          <w:tcPr>
            <w:tcW w:w="3255" w:type="dxa"/>
            <w:tcBorders>
              <w:top w:val="single" w:sz="4" w:space="0" w:color="auto"/>
              <w:left w:val="single" w:sz="4" w:space="0" w:color="auto"/>
              <w:bottom w:val="single" w:sz="4" w:space="0" w:color="auto"/>
              <w:right w:val="single" w:sz="4" w:space="0" w:color="auto"/>
            </w:tcBorders>
            <w:hideMark/>
          </w:tcPr>
          <w:p w14:paraId="4B5E4755" w14:textId="77777777" w:rsidR="0076338D" w:rsidRDefault="0076338D" w:rsidP="0076338D">
            <w:pPr>
              <w:pStyle w:val="TAC"/>
            </w:pPr>
            <w:bookmarkStart w:id="1773" w:name="OLE_LINK66"/>
            <w:bookmarkStart w:id="1774" w:name="OLE_LINK69"/>
            <w:r>
              <w:t>F</w:t>
            </w:r>
            <w:r>
              <w:rPr>
                <w:vertAlign w:val="subscript"/>
              </w:rPr>
              <w:t>DL,high</w:t>
            </w:r>
            <w:r>
              <w:t xml:space="preserve"> – F</w:t>
            </w:r>
            <w:r>
              <w:rPr>
                <w:vertAlign w:val="subscript"/>
              </w:rPr>
              <w:t>DL,low</w:t>
            </w:r>
            <w:r>
              <w:t xml:space="preserve"> </w:t>
            </w:r>
            <w:bookmarkStart w:id="1775" w:name="OLE_LINK21"/>
            <w:r>
              <w:t xml:space="preserve">&lt; </w:t>
            </w:r>
            <w:bookmarkEnd w:id="1775"/>
            <w:r>
              <w:t xml:space="preserve">100 MHz  </w:t>
            </w:r>
            <w:bookmarkEnd w:id="1773"/>
            <w:bookmarkEnd w:id="1774"/>
          </w:p>
        </w:tc>
        <w:tc>
          <w:tcPr>
            <w:tcW w:w="1292" w:type="dxa"/>
            <w:tcBorders>
              <w:top w:val="single" w:sz="4" w:space="0" w:color="auto"/>
              <w:left w:val="single" w:sz="4" w:space="0" w:color="auto"/>
              <w:bottom w:val="single" w:sz="4" w:space="0" w:color="auto"/>
              <w:right w:val="single" w:sz="4" w:space="0" w:color="auto"/>
            </w:tcBorders>
            <w:hideMark/>
          </w:tcPr>
          <w:p w14:paraId="7AE364C9" w14:textId="77777777" w:rsidR="0076338D" w:rsidRDefault="0076338D" w:rsidP="0076338D">
            <w:pPr>
              <w:pStyle w:val="TAC"/>
            </w:pPr>
            <w:bookmarkStart w:id="1776" w:name="OLE_LINK64"/>
            <w:bookmarkStart w:id="1777" w:name="OLE_LINK65"/>
            <w:r>
              <w:t xml:space="preserve">10 </w:t>
            </w:r>
            <w:bookmarkEnd w:id="1776"/>
            <w:bookmarkEnd w:id="1777"/>
          </w:p>
        </w:tc>
      </w:tr>
      <w:tr w:rsidR="0076338D" w14:paraId="5E155FED" w14:textId="77777777" w:rsidTr="0076338D">
        <w:trPr>
          <w:jc w:val="center"/>
        </w:trPr>
        <w:tc>
          <w:tcPr>
            <w:tcW w:w="1557" w:type="dxa"/>
            <w:tcBorders>
              <w:top w:val="nil"/>
              <w:left w:val="single" w:sz="4" w:space="0" w:color="auto"/>
              <w:bottom w:val="single" w:sz="4" w:space="0" w:color="auto"/>
              <w:right w:val="single" w:sz="4" w:space="0" w:color="auto"/>
            </w:tcBorders>
            <w:shd w:val="clear" w:color="auto" w:fill="auto"/>
            <w:vAlign w:val="center"/>
            <w:hideMark/>
          </w:tcPr>
          <w:p w14:paraId="5B1013EF" w14:textId="77777777" w:rsidR="0076338D" w:rsidRDefault="0076338D" w:rsidP="0076338D">
            <w:pPr>
              <w:pStyle w:val="TAC"/>
              <w:rPr>
                <w:lang w:eastAsia="zh-CN"/>
              </w:rPr>
            </w:pPr>
          </w:p>
        </w:tc>
        <w:tc>
          <w:tcPr>
            <w:tcW w:w="3255" w:type="dxa"/>
            <w:tcBorders>
              <w:top w:val="single" w:sz="4" w:space="0" w:color="auto"/>
              <w:left w:val="single" w:sz="4" w:space="0" w:color="auto"/>
              <w:bottom w:val="single" w:sz="4" w:space="0" w:color="auto"/>
              <w:right w:val="single" w:sz="4" w:space="0" w:color="auto"/>
            </w:tcBorders>
            <w:hideMark/>
          </w:tcPr>
          <w:p w14:paraId="12D99C62" w14:textId="77777777" w:rsidR="0076338D" w:rsidRDefault="0076338D" w:rsidP="0076338D">
            <w:pPr>
              <w:pStyle w:val="TAC"/>
              <w:rPr>
                <w:b/>
              </w:rPr>
            </w:pPr>
            <w:r>
              <w:rPr>
                <w:lang w:eastAsia="zh-CN"/>
              </w:rPr>
              <w:t>100 MHz</w:t>
            </w:r>
            <w:r>
              <w:t xml:space="preserve"> </w:t>
            </w:r>
            <w:r>
              <w:sym w:font="Symbol" w:char="F0A3"/>
            </w:r>
            <w:r>
              <w:rPr>
                <w:lang w:eastAsia="zh-CN"/>
              </w:rPr>
              <w:t xml:space="preserve"> </w:t>
            </w:r>
            <w:r>
              <w:t>F</w:t>
            </w:r>
            <w:r>
              <w:rPr>
                <w:vertAlign w:val="subscript"/>
              </w:rPr>
              <w:t>DL,high</w:t>
            </w:r>
            <w:r>
              <w:t xml:space="preserve"> – F</w:t>
            </w:r>
            <w:r>
              <w:rPr>
                <w:vertAlign w:val="subscript"/>
              </w:rPr>
              <w:t>DL,low</w:t>
            </w:r>
            <w:r>
              <w:t xml:space="preserve"> </w:t>
            </w:r>
            <w:r>
              <w:sym w:font="Symbol" w:char="F0A3"/>
            </w:r>
            <w:r>
              <w:rPr>
                <w:lang w:eastAsia="zh-CN"/>
              </w:rPr>
              <w:t xml:space="preserve"> 9</w:t>
            </w:r>
            <w:r>
              <w:t>00 MHz</w:t>
            </w:r>
          </w:p>
        </w:tc>
        <w:tc>
          <w:tcPr>
            <w:tcW w:w="1292" w:type="dxa"/>
            <w:tcBorders>
              <w:top w:val="single" w:sz="4" w:space="0" w:color="auto"/>
              <w:left w:val="single" w:sz="4" w:space="0" w:color="auto"/>
              <w:bottom w:val="single" w:sz="4" w:space="0" w:color="auto"/>
              <w:right w:val="single" w:sz="4" w:space="0" w:color="auto"/>
            </w:tcBorders>
            <w:hideMark/>
          </w:tcPr>
          <w:p w14:paraId="41511166" w14:textId="77777777" w:rsidR="0076338D" w:rsidRDefault="0076338D" w:rsidP="0076338D">
            <w:pPr>
              <w:pStyle w:val="TAC"/>
            </w:pPr>
            <w:r>
              <w:t xml:space="preserve">40 </w:t>
            </w:r>
          </w:p>
        </w:tc>
        <w:bookmarkEnd w:id="1772"/>
      </w:tr>
      <w:bookmarkEnd w:id="1770"/>
      <w:bookmarkEnd w:id="1771"/>
    </w:tbl>
    <w:p w14:paraId="750DFA2F" w14:textId="77777777" w:rsidR="00B3234F" w:rsidRDefault="00B3234F" w:rsidP="00B3234F"/>
    <w:p w14:paraId="3443DD47" w14:textId="77777777" w:rsidR="00B3234F" w:rsidRPr="009873ED" w:rsidRDefault="00B3234F" w:rsidP="00B3234F">
      <w:pPr>
        <w:pStyle w:val="TH"/>
        <w:rPr>
          <w:iCs/>
        </w:rPr>
      </w:pPr>
      <w:r>
        <w:t xml:space="preserve">Table 6.6.1-2: Maximum offset of OBUE outside the uplink </w:t>
      </w:r>
      <w:r>
        <w:rPr>
          <w:i/>
        </w:rPr>
        <w:t xml:space="preserve">operating band </w:t>
      </w:r>
      <w:r>
        <w:rPr>
          <w:iCs/>
        </w:rPr>
        <w:t xml:space="preserve">of </w:t>
      </w:r>
      <w:r w:rsidRPr="00C41B39">
        <w:rPr>
          <w:i/>
        </w:rPr>
        <w:t>IAB-</w:t>
      </w:r>
      <w:r>
        <w:rPr>
          <w:i/>
        </w:rPr>
        <w:t>MT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7"/>
        <w:gridCol w:w="3255"/>
        <w:gridCol w:w="1292"/>
      </w:tblGrid>
      <w:tr w:rsidR="00B3234F" w14:paraId="116FD6F2" w14:textId="77777777" w:rsidTr="0076338D">
        <w:trPr>
          <w:jc w:val="center"/>
        </w:trPr>
        <w:tc>
          <w:tcPr>
            <w:tcW w:w="0" w:type="auto"/>
            <w:tcBorders>
              <w:top w:val="single" w:sz="4" w:space="0" w:color="auto"/>
              <w:left w:val="single" w:sz="4" w:space="0" w:color="auto"/>
              <w:bottom w:val="single" w:sz="4" w:space="0" w:color="auto"/>
              <w:right w:val="single" w:sz="4" w:space="0" w:color="auto"/>
            </w:tcBorders>
            <w:hideMark/>
          </w:tcPr>
          <w:p w14:paraId="2A8CBE8B" w14:textId="77777777" w:rsidR="00B3234F" w:rsidRDefault="00B3234F" w:rsidP="004C7013">
            <w:pPr>
              <w:pStyle w:val="TAH"/>
              <w:rPr>
                <w:lang w:eastAsia="zh-CN"/>
              </w:rPr>
            </w:pPr>
            <w:r>
              <w:rPr>
                <w:lang w:eastAsia="zh-CN"/>
              </w:rPr>
              <w:t>IAB-MT type</w:t>
            </w:r>
          </w:p>
        </w:tc>
        <w:tc>
          <w:tcPr>
            <w:tcW w:w="0" w:type="auto"/>
            <w:tcBorders>
              <w:top w:val="single" w:sz="4" w:space="0" w:color="auto"/>
              <w:left w:val="single" w:sz="4" w:space="0" w:color="auto"/>
              <w:bottom w:val="single" w:sz="4" w:space="0" w:color="auto"/>
              <w:right w:val="single" w:sz="4" w:space="0" w:color="auto"/>
            </w:tcBorders>
            <w:hideMark/>
          </w:tcPr>
          <w:p w14:paraId="7476947D" w14:textId="77777777" w:rsidR="00B3234F" w:rsidRDefault="00B3234F" w:rsidP="004C7013">
            <w:pPr>
              <w:pStyle w:val="TAH"/>
            </w:pPr>
            <w:r>
              <w:rPr>
                <w:i/>
              </w:rPr>
              <w:t>Operating band</w:t>
            </w:r>
            <w:r>
              <w:t xml:space="preserve"> characteristics</w:t>
            </w:r>
          </w:p>
        </w:tc>
        <w:tc>
          <w:tcPr>
            <w:tcW w:w="0" w:type="auto"/>
            <w:tcBorders>
              <w:top w:val="single" w:sz="4" w:space="0" w:color="auto"/>
              <w:left w:val="single" w:sz="4" w:space="0" w:color="auto"/>
              <w:bottom w:val="single" w:sz="4" w:space="0" w:color="auto"/>
              <w:right w:val="single" w:sz="4" w:space="0" w:color="auto"/>
            </w:tcBorders>
            <w:hideMark/>
          </w:tcPr>
          <w:p w14:paraId="042B6FE2" w14:textId="77777777" w:rsidR="00B3234F" w:rsidRDefault="00B3234F" w:rsidP="004C7013">
            <w:pPr>
              <w:pStyle w:val="TAH"/>
            </w:pPr>
            <w:r>
              <w:t>Δf</w:t>
            </w:r>
            <w:r>
              <w:rPr>
                <w:vertAlign w:val="subscript"/>
              </w:rPr>
              <w:t>OBUE</w:t>
            </w:r>
            <w:r>
              <w:t xml:space="preserve"> (MHz)</w:t>
            </w:r>
          </w:p>
        </w:tc>
      </w:tr>
      <w:tr w:rsidR="0076338D" w14:paraId="67CC5A5E" w14:textId="77777777" w:rsidTr="0076338D">
        <w:trPr>
          <w:jc w:val="center"/>
        </w:trPr>
        <w:tc>
          <w:tcPr>
            <w:tcW w:w="0" w:type="auto"/>
            <w:tcBorders>
              <w:top w:val="single" w:sz="4" w:space="0" w:color="auto"/>
              <w:left w:val="single" w:sz="4" w:space="0" w:color="auto"/>
              <w:bottom w:val="nil"/>
              <w:right w:val="single" w:sz="4" w:space="0" w:color="auto"/>
            </w:tcBorders>
            <w:shd w:val="clear" w:color="auto" w:fill="auto"/>
            <w:vAlign w:val="center"/>
            <w:hideMark/>
          </w:tcPr>
          <w:p w14:paraId="0A95AAFA" w14:textId="77777777" w:rsidR="0076338D" w:rsidRDefault="0076338D" w:rsidP="0076338D">
            <w:pPr>
              <w:pStyle w:val="TAC"/>
              <w:rPr>
                <w:lang w:eastAsia="zh-CN"/>
              </w:rPr>
            </w:pPr>
            <w:r>
              <w:rPr>
                <w:lang w:eastAsia="zh-CN"/>
              </w:rPr>
              <w:t>IAB-MT type 1-H</w:t>
            </w:r>
          </w:p>
        </w:tc>
        <w:tc>
          <w:tcPr>
            <w:tcW w:w="0" w:type="auto"/>
            <w:tcBorders>
              <w:top w:val="single" w:sz="4" w:space="0" w:color="auto"/>
              <w:left w:val="single" w:sz="4" w:space="0" w:color="auto"/>
              <w:bottom w:val="single" w:sz="4" w:space="0" w:color="auto"/>
              <w:right w:val="single" w:sz="4" w:space="0" w:color="auto"/>
            </w:tcBorders>
            <w:hideMark/>
          </w:tcPr>
          <w:p w14:paraId="2ACD00FA" w14:textId="77777777" w:rsidR="0076338D" w:rsidRDefault="0076338D" w:rsidP="004C7013">
            <w:pPr>
              <w:pStyle w:val="TAC"/>
            </w:pPr>
            <w:r>
              <w:t>F</w:t>
            </w:r>
            <w:r>
              <w:rPr>
                <w:vertAlign w:val="subscript"/>
              </w:rPr>
              <w:t>UL,high</w:t>
            </w:r>
            <w:r>
              <w:t xml:space="preserve"> – F</w:t>
            </w:r>
            <w:r>
              <w:rPr>
                <w:vertAlign w:val="subscript"/>
              </w:rPr>
              <w:t>UL,low</w:t>
            </w:r>
            <w:r>
              <w:t xml:space="preserve"> &lt; 100 MHz  </w:t>
            </w:r>
          </w:p>
        </w:tc>
        <w:tc>
          <w:tcPr>
            <w:tcW w:w="0" w:type="auto"/>
            <w:tcBorders>
              <w:top w:val="single" w:sz="4" w:space="0" w:color="auto"/>
              <w:left w:val="single" w:sz="4" w:space="0" w:color="auto"/>
              <w:bottom w:val="single" w:sz="4" w:space="0" w:color="auto"/>
              <w:right w:val="single" w:sz="4" w:space="0" w:color="auto"/>
            </w:tcBorders>
            <w:hideMark/>
          </w:tcPr>
          <w:p w14:paraId="15AB4D97" w14:textId="77777777" w:rsidR="0076338D" w:rsidRDefault="0076338D" w:rsidP="004C7013">
            <w:pPr>
              <w:pStyle w:val="TAC"/>
            </w:pPr>
            <w:r>
              <w:t xml:space="preserve">10 </w:t>
            </w:r>
          </w:p>
        </w:tc>
      </w:tr>
      <w:tr w:rsidR="0076338D" w14:paraId="5FAF0672" w14:textId="77777777" w:rsidTr="0076338D">
        <w:trPr>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5B3B10D" w14:textId="77777777" w:rsidR="0076338D" w:rsidRDefault="0076338D" w:rsidP="0076338D">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hideMark/>
          </w:tcPr>
          <w:p w14:paraId="799BFE96" w14:textId="77777777" w:rsidR="0076338D" w:rsidRDefault="0076338D" w:rsidP="004C7013">
            <w:pPr>
              <w:pStyle w:val="TAC"/>
              <w:rPr>
                <w:b/>
              </w:rPr>
            </w:pPr>
            <w:r>
              <w:rPr>
                <w:lang w:eastAsia="zh-CN"/>
              </w:rPr>
              <w:t>100 MHz</w:t>
            </w:r>
            <w:r>
              <w:t xml:space="preserve"> </w:t>
            </w:r>
            <w:r>
              <w:sym w:font="Symbol" w:char="F0A3"/>
            </w:r>
            <w:r>
              <w:rPr>
                <w:lang w:eastAsia="zh-CN"/>
              </w:rPr>
              <w:t xml:space="preserve"> </w:t>
            </w:r>
            <w:r>
              <w:t>F</w:t>
            </w:r>
            <w:r>
              <w:rPr>
                <w:vertAlign w:val="subscript"/>
              </w:rPr>
              <w:t>UL,high</w:t>
            </w:r>
            <w:r>
              <w:t xml:space="preserve"> – F</w:t>
            </w:r>
            <w:r>
              <w:rPr>
                <w:vertAlign w:val="subscript"/>
              </w:rPr>
              <w:t>UL,low</w:t>
            </w:r>
            <w:r>
              <w:t xml:space="preserve"> </w:t>
            </w:r>
            <w:r>
              <w:sym w:font="Symbol" w:char="F0A3"/>
            </w:r>
            <w:r>
              <w:rPr>
                <w:lang w:eastAsia="zh-CN"/>
              </w:rPr>
              <w:t xml:space="preserve"> 9</w:t>
            </w:r>
            <w:r>
              <w:t>00 MHz</w:t>
            </w:r>
          </w:p>
        </w:tc>
        <w:tc>
          <w:tcPr>
            <w:tcW w:w="0" w:type="auto"/>
            <w:tcBorders>
              <w:top w:val="single" w:sz="4" w:space="0" w:color="auto"/>
              <w:left w:val="single" w:sz="4" w:space="0" w:color="auto"/>
              <w:bottom w:val="single" w:sz="4" w:space="0" w:color="auto"/>
              <w:right w:val="single" w:sz="4" w:space="0" w:color="auto"/>
            </w:tcBorders>
            <w:hideMark/>
          </w:tcPr>
          <w:p w14:paraId="7082A98A" w14:textId="77777777" w:rsidR="0076338D" w:rsidRDefault="0076338D" w:rsidP="004C7013">
            <w:pPr>
              <w:pStyle w:val="TAC"/>
            </w:pPr>
            <w:r>
              <w:t xml:space="preserve">40 </w:t>
            </w:r>
          </w:p>
        </w:tc>
      </w:tr>
    </w:tbl>
    <w:p w14:paraId="5897323B" w14:textId="77777777" w:rsidR="00B3234F" w:rsidRDefault="00B3234F" w:rsidP="00B3234F"/>
    <w:p w14:paraId="3B6EF413" w14:textId="77777777" w:rsidR="00B3234F" w:rsidRDefault="00B3234F" w:rsidP="00B3234F">
      <w:r>
        <w:t xml:space="preserve">For </w:t>
      </w:r>
      <w:r>
        <w:rPr>
          <w:i/>
        </w:rPr>
        <w:t xml:space="preserve">IAB-DU type 1-H </w:t>
      </w:r>
      <w:r w:rsidRPr="00743313">
        <w:rPr>
          <w:iCs/>
        </w:rPr>
        <w:t>and</w:t>
      </w:r>
      <w:r>
        <w:rPr>
          <w:i/>
        </w:rPr>
        <w:t xml:space="preserve"> IAB-MT type 1-H </w:t>
      </w:r>
      <w:r>
        <w:t xml:space="preserve">the unwanted emission requirements are applied per the </w:t>
      </w:r>
      <w:r>
        <w:rPr>
          <w:i/>
        </w:rPr>
        <w:t xml:space="preserve">TAB connector TX min cell groups </w:t>
      </w:r>
      <w:r>
        <w:t xml:space="preserve">for all the supported configurations. The </w:t>
      </w:r>
      <w:r>
        <w:rPr>
          <w:i/>
        </w:rPr>
        <w:t>basic limits</w:t>
      </w:r>
      <w:r>
        <w:t xml:space="preserve"> and corresponding emissions scaling are defined in each relevant clause.</w:t>
      </w:r>
    </w:p>
    <w:p w14:paraId="2A96534C" w14:textId="77777777" w:rsidR="00B3234F" w:rsidRDefault="00B3234F" w:rsidP="00B3234F">
      <w:pPr>
        <w:rPr>
          <w:rFonts w:cs="v5.0.0"/>
        </w:rPr>
      </w:pPr>
      <w:r>
        <w:rPr>
          <w:rFonts w:cs="v5.0.0"/>
        </w:rPr>
        <w:t>There is in addition a requirement for occupied bandwidth.</w:t>
      </w:r>
    </w:p>
    <w:p w14:paraId="64064EA4" w14:textId="77777777" w:rsidR="00B3234F" w:rsidRDefault="00B3234F" w:rsidP="00B3234F">
      <w:pPr>
        <w:pStyle w:val="Heading3"/>
      </w:pPr>
      <w:bookmarkStart w:id="1778" w:name="_Toc45893464"/>
      <w:bookmarkStart w:id="1779" w:name="_Toc44712151"/>
      <w:bookmarkStart w:id="1780" w:name="_Toc37267549"/>
      <w:bookmarkStart w:id="1781" w:name="_Toc37260161"/>
      <w:bookmarkStart w:id="1782" w:name="_Toc36817245"/>
      <w:bookmarkStart w:id="1783" w:name="_Toc29811693"/>
      <w:bookmarkStart w:id="1784" w:name="_Toc21127484"/>
      <w:bookmarkStart w:id="1785" w:name="_Toc53185355"/>
      <w:bookmarkStart w:id="1786" w:name="_Toc53185731"/>
      <w:bookmarkStart w:id="1787" w:name="_Toc57820207"/>
      <w:bookmarkStart w:id="1788" w:name="_Toc57821134"/>
      <w:bookmarkStart w:id="1789" w:name="_Toc61183410"/>
      <w:bookmarkStart w:id="1790" w:name="_Toc61183804"/>
      <w:bookmarkStart w:id="1791" w:name="_Toc61184196"/>
      <w:bookmarkStart w:id="1792" w:name="_Toc61184588"/>
      <w:bookmarkStart w:id="1793" w:name="_Toc61184978"/>
      <w:bookmarkStart w:id="1794" w:name="_Toc66386321"/>
      <w:bookmarkStart w:id="1795" w:name="_Toc74583162"/>
      <w:bookmarkStart w:id="1796" w:name="_Toc76541975"/>
      <w:bookmarkStart w:id="1797" w:name="_Toc82449957"/>
      <w:bookmarkStart w:id="1798" w:name="_Toc82450605"/>
      <w:bookmarkStart w:id="1799" w:name="_Toc89948994"/>
      <w:bookmarkStart w:id="1800" w:name="_Toc98755383"/>
      <w:bookmarkStart w:id="1801" w:name="_Toc98762974"/>
      <w:bookmarkStart w:id="1802" w:name="_Toc106183903"/>
      <w:r>
        <w:t>6.6.2</w:t>
      </w:r>
      <w:r>
        <w:tab/>
        <w:t>Occupied bandwidth</w:t>
      </w:r>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p>
    <w:p w14:paraId="6103E715" w14:textId="77777777" w:rsidR="00B3234F" w:rsidRDefault="00B3234F" w:rsidP="00B3234F">
      <w:pPr>
        <w:pStyle w:val="Heading4"/>
      </w:pPr>
      <w:bookmarkStart w:id="1803" w:name="_Toc45893465"/>
      <w:bookmarkStart w:id="1804" w:name="_Toc44712152"/>
      <w:bookmarkStart w:id="1805" w:name="_Toc37267550"/>
      <w:bookmarkStart w:id="1806" w:name="_Toc37260162"/>
      <w:bookmarkStart w:id="1807" w:name="_Toc36817246"/>
      <w:bookmarkStart w:id="1808" w:name="_Toc29811694"/>
      <w:bookmarkStart w:id="1809" w:name="_Toc21127485"/>
      <w:bookmarkStart w:id="1810" w:name="_Toc53185356"/>
      <w:bookmarkStart w:id="1811" w:name="_Toc53185732"/>
      <w:bookmarkStart w:id="1812" w:name="_Toc57820208"/>
      <w:bookmarkStart w:id="1813" w:name="_Toc57821135"/>
      <w:bookmarkStart w:id="1814" w:name="_Toc61183411"/>
      <w:bookmarkStart w:id="1815" w:name="_Toc61183805"/>
      <w:bookmarkStart w:id="1816" w:name="_Toc61184197"/>
      <w:bookmarkStart w:id="1817" w:name="_Toc61184589"/>
      <w:bookmarkStart w:id="1818" w:name="_Toc61184979"/>
      <w:bookmarkStart w:id="1819" w:name="_Toc66386322"/>
      <w:bookmarkStart w:id="1820" w:name="_Toc74583163"/>
      <w:bookmarkStart w:id="1821" w:name="_Toc76541976"/>
      <w:bookmarkStart w:id="1822" w:name="_Toc82449958"/>
      <w:bookmarkStart w:id="1823" w:name="_Toc82450606"/>
      <w:bookmarkStart w:id="1824" w:name="_Toc89948995"/>
      <w:bookmarkStart w:id="1825" w:name="_Toc98755384"/>
      <w:bookmarkStart w:id="1826" w:name="_Toc98762975"/>
      <w:bookmarkStart w:id="1827" w:name="_Toc106183904"/>
      <w:r>
        <w:t>6.6.2.1</w:t>
      </w:r>
      <w:r>
        <w:tab/>
        <w:t>General</w:t>
      </w:r>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p>
    <w:p w14:paraId="6DC4F3FB" w14:textId="77777777" w:rsidR="00B3234F" w:rsidRDefault="00B3234F" w:rsidP="00B3234F">
      <w:r>
        <w:t xml:space="preserve">The occupied bandwidth is the width of a frequency band such that, below the lower and above the upper frequency limits, the mean powers emitted are each equal to a specified percentage </w:t>
      </w:r>
      <w:r>
        <w:rPr>
          <w:rFonts w:ascii="Symbol" w:hAnsi="Symbol" w:cs="v4.2.0"/>
        </w:rPr>
        <w:t></w:t>
      </w:r>
      <w:r>
        <w:t>/2 of the total mean transmitted power. See also Recommendation ITU-R SM.328 [19].</w:t>
      </w:r>
    </w:p>
    <w:p w14:paraId="37D0DED8" w14:textId="77777777" w:rsidR="00B3234F" w:rsidRDefault="00B3234F" w:rsidP="00B3234F">
      <w:r>
        <w:t xml:space="preserve">The value of </w:t>
      </w:r>
      <w:r>
        <w:rPr>
          <w:rFonts w:ascii="Symbol" w:hAnsi="Symbol" w:cs="v4.2.0"/>
        </w:rPr>
        <w:t></w:t>
      </w:r>
      <w:r>
        <w:t>/2 shall be taken as 0.5%.</w:t>
      </w:r>
    </w:p>
    <w:p w14:paraId="6301C548" w14:textId="77777777" w:rsidR="00B3234F" w:rsidRDefault="00B3234F" w:rsidP="00B3234F">
      <w:r>
        <w:t xml:space="preserve">The occupied bandwidth requirement shall apply during the </w:t>
      </w:r>
      <w:r>
        <w:rPr>
          <w:i/>
        </w:rPr>
        <w:t>transmitter ON period</w:t>
      </w:r>
      <w:r>
        <w:t xml:space="preserve"> for a single transmitted carrier. The minimum requirement below may be applied regionally. There may also be regional requirements to declare the occupied bandwidth according to the definition in the present clause.</w:t>
      </w:r>
    </w:p>
    <w:p w14:paraId="55FA3991" w14:textId="77777777" w:rsidR="00B3234F" w:rsidRDefault="00B3234F" w:rsidP="00B3234F">
      <w:r>
        <w:rPr>
          <w:rFonts w:cs="v5.0.0"/>
        </w:rPr>
        <w:t xml:space="preserve">For </w:t>
      </w:r>
      <w:r>
        <w:rPr>
          <w:rFonts w:cs="v5.0.0"/>
          <w:i/>
          <w:iCs/>
        </w:rPr>
        <w:t>IAB-DU type 1-H</w:t>
      </w:r>
      <w:r>
        <w:rPr>
          <w:rFonts w:cs="v5.0.0"/>
        </w:rPr>
        <w:t xml:space="preserve"> and </w:t>
      </w:r>
      <w:r w:rsidRPr="00743313">
        <w:rPr>
          <w:rFonts w:cs="v5.0.0"/>
          <w:i/>
          <w:iCs/>
        </w:rPr>
        <w:t>IAB-MT type 1-H</w:t>
      </w:r>
      <w:r>
        <w:rPr>
          <w:rFonts w:cs="v5.0.0"/>
        </w:rPr>
        <w:t xml:space="preserve"> this requirement </w:t>
      </w:r>
      <w:r>
        <w:rPr>
          <w:rFonts w:eastAsia="SimSun" w:cs="v5.0.0"/>
          <w:lang w:val="en-US" w:eastAsia="zh-CN"/>
        </w:rPr>
        <w:t xml:space="preserve">shall be applied </w:t>
      </w:r>
      <w:r>
        <w:rPr>
          <w:rFonts w:cs="v5.0.0"/>
        </w:rPr>
        <w:t xml:space="preserve">at each </w:t>
      </w:r>
      <w:r>
        <w:rPr>
          <w:rFonts w:cs="v5.0.0"/>
          <w:i/>
        </w:rPr>
        <w:t>TAB connector</w:t>
      </w:r>
      <w:r>
        <w:rPr>
          <w:rFonts w:cs="v5.0.0"/>
        </w:rPr>
        <w:t xml:space="preserve"> supporting transmission in the </w:t>
      </w:r>
      <w:r>
        <w:rPr>
          <w:rFonts w:cs="v5.0.0"/>
          <w:i/>
          <w:iCs/>
        </w:rPr>
        <w:t>operating band.</w:t>
      </w:r>
    </w:p>
    <w:p w14:paraId="7B7F446B" w14:textId="77777777" w:rsidR="00B3234F" w:rsidRDefault="00B3234F" w:rsidP="00B3234F">
      <w:pPr>
        <w:pStyle w:val="Heading4"/>
      </w:pPr>
      <w:bookmarkStart w:id="1828" w:name="_Toc45893466"/>
      <w:bookmarkStart w:id="1829" w:name="_Toc44712153"/>
      <w:bookmarkStart w:id="1830" w:name="_Toc37267551"/>
      <w:bookmarkStart w:id="1831" w:name="_Toc37260163"/>
      <w:bookmarkStart w:id="1832" w:name="_Toc36817247"/>
      <w:bookmarkStart w:id="1833" w:name="_Toc29811695"/>
      <w:bookmarkStart w:id="1834" w:name="_Toc21127486"/>
      <w:bookmarkStart w:id="1835" w:name="_Toc53185357"/>
      <w:bookmarkStart w:id="1836" w:name="_Toc53185733"/>
      <w:bookmarkStart w:id="1837" w:name="_Toc57820209"/>
      <w:bookmarkStart w:id="1838" w:name="_Toc57821136"/>
      <w:bookmarkStart w:id="1839" w:name="_Toc61183412"/>
      <w:bookmarkStart w:id="1840" w:name="_Toc61183806"/>
      <w:bookmarkStart w:id="1841" w:name="_Toc61184198"/>
      <w:bookmarkStart w:id="1842" w:name="_Toc61184590"/>
      <w:bookmarkStart w:id="1843" w:name="_Toc61184980"/>
      <w:bookmarkStart w:id="1844" w:name="_Toc66386323"/>
      <w:bookmarkStart w:id="1845" w:name="_Toc74583164"/>
      <w:bookmarkStart w:id="1846" w:name="_Toc76541977"/>
      <w:bookmarkStart w:id="1847" w:name="_Toc82449959"/>
      <w:bookmarkStart w:id="1848" w:name="_Toc82450607"/>
      <w:bookmarkStart w:id="1849" w:name="_Toc89948996"/>
      <w:bookmarkStart w:id="1850" w:name="_Toc98755385"/>
      <w:bookmarkStart w:id="1851" w:name="_Toc98762976"/>
      <w:bookmarkStart w:id="1852" w:name="_Toc106183905"/>
      <w:r>
        <w:t>6.6.2.2</w:t>
      </w:r>
      <w:r>
        <w:tab/>
        <w:t xml:space="preserve">Minimum requirement for </w:t>
      </w:r>
      <w:r>
        <w:rPr>
          <w:i/>
        </w:rPr>
        <w:t xml:space="preserve">IAB-DU </w:t>
      </w:r>
      <w:r>
        <w:rPr>
          <w:rFonts w:eastAsia="SimSun"/>
          <w:i/>
          <w:iCs/>
          <w:lang w:val="en-US" w:eastAsia="zh-CN"/>
        </w:rPr>
        <w:t xml:space="preserve">type </w:t>
      </w:r>
      <w:r>
        <w:rPr>
          <w:i/>
        </w:rPr>
        <w:t>1-H</w:t>
      </w:r>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14:paraId="5C70A76B" w14:textId="77777777" w:rsidR="00B3234F" w:rsidRDefault="00B3234F" w:rsidP="00B3234F">
      <w:pPr>
        <w:rPr>
          <w:rFonts w:eastAsia="SimSun"/>
          <w:bCs/>
          <w:lang w:val="en-US" w:eastAsia="zh-CN"/>
        </w:rPr>
      </w:pPr>
      <w:r>
        <w:t xml:space="preserve">The occupied bandwidth for each NR carrier shall be less than the </w:t>
      </w:r>
      <w:r>
        <w:rPr>
          <w:i/>
        </w:rPr>
        <w:t>IAB-DU channel bandwidth</w:t>
      </w:r>
      <w:r>
        <w:t>.</w:t>
      </w:r>
      <w:r>
        <w:rPr>
          <w:snapToGrid w:val="0"/>
        </w:rPr>
        <w:t xml:space="preserve"> For </w:t>
      </w:r>
      <w:r>
        <w:rPr>
          <w:snapToGrid w:val="0"/>
          <w:lang w:val="en-US" w:eastAsia="zh-CN"/>
        </w:rPr>
        <w:t xml:space="preserve">intra-band </w:t>
      </w:r>
      <w:r>
        <w:rPr>
          <w:snapToGrid w:val="0"/>
        </w:rPr>
        <w:t>contiguous CA, t</w:t>
      </w:r>
      <w:r>
        <w:rPr>
          <w:bCs/>
        </w:rPr>
        <w:t xml:space="preserve">he occupied bandwidth shall be less than or equal the </w:t>
      </w:r>
      <w:r>
        <w:rPr>
          <w:bCs/>
          <w:i/>
          <w:iCs/>
        </w:rPr>
        <w:t xml:space="preserve">Aggregated </w:t>
      </w:r>
      <w:r>
        <w:rPr>
          <w:bCs/>
          <w:i/>
          <w:iCs/>
          <w:lang w:val="en-US" w:eastAsia="zh-CN"/>
        </w:rPr>
        <w:t xml:space="preserve">IAB-DU </w:t>
      </w:r>
      <w:r>
        <w:rPr>
          <w:bCs/>
          <w:i/>
          <w:iCs/>
        </w:rPr>
        <w:t>Channel Bandwidth</w:t>
      </w:r>
      <w:r>
        <w:rPr>
          <w:rFonts w:eastAsia="SimSun"/>
          <w:bCs/>
          <w:lang w:val="en-US" w:eastAsia="zh-CN"/>
        </w:rPr>
        <w:t xml:space="preserve">. </w:t>
      </w:r>
    </w:p>
    <w:p w14:paraId="68D39919" w14:textId="77777777" w:rsidR="00B3234F" w:rsidRDefault="00B3234F" w:rsidP="00B3234F">
      <w:pPr>
        <w:pStyle w:val="Heading4"/>
        <w:rPr>
          <w:i/>
        </w:rPr>
      </w:pPr>
      <w:bookmarkStart w:id="1853" w:name="_Toc53185358"/>
      <w:bookmarkStart w:id="1854" w:name="_Toc53185734"/>
      <w:bookmarkStart w:id="1855" w:name="_Toc57820210"/>
      <w:bookmarkStart w:id="1856" w:name="_Toc57821137"/>
      <w:bookmarkStart w:id="1857" w:name="_Toc61183413"/>
      <w:bookmarkStart w:id="1858" w:name="_Toc61183807"/>
      <w:bookmarkStart w:id="1859" w:name="_Toc61184199"/>
      <w:bookmarkStart w:id="1860" w:name="_Toc61184591"/>
      <w:bookmarkStart w:id="1861" w:name="_Toc61184981"/>
      <w:bookmarkStart w:id="1862" w:name="_Toc66386324"/>
      <w:bookmarkStart w:id="1863" w:name="_Toc74583165"/>
      <w:bookmarkStart w:id="1864" w:name="_Toc76541978"/>
      <w:bookmarkStart w:id="1865" w:name="_Toc82449960"/>
      <w:bookmarkStart w:id="1866" w:name="_Toc82450608"/>
      <w:bookmarkStart w:id="1867" w:name="_Toc89948997"/>
      <w:bookmarkStart w:id="1868" w:name="_Toc98755386"/>
      <w:bookmarkStart w:id="1869" w:name="_Toc98762977"/>
      <w:bookmarkStart w:id="1870" w:name="_Toc106183906"/>
      <w:r>
        <w:t>6.6.2.3</w:t>
      </w:r>
      <w:r>
        <w:tab/>
        <w:t xml:space="preserve">Minimum requirement for </w:t>
      </w:r>
      <w:r>
        <w:rPr>
          <w:i/>
        </w:rPr>
        <w:t xml:space="preserve">IAB-MT </w:t>
      </w:r>
      <w:r>
        <w:rPr>
          <w:rFonts w:eastAsia="SimSun"/>
          <w:i/>
          <w:iCs/>
          <w:lang w:val="en-US" w:eastAsia="zh-CN"/>
        </w:rPr>
        <w:t xml:space="preserve">type </w:t>
      </w:r>
      <w:r>
        <w:rPr>
          <w:i/>
        </w:rPr>
        <w:t>1-H</w:t>
      </w:r>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p>
    <w:p w14:paraId="18A53D22" w14:textId="77777777" w:rsidR="00B3234F" w:rsidRPr="00743313" w:rsidRDefault="00B3234F" w:rsidP="00B3234F">
      <w:pPr>
        <w:rPr>
          <w:rFonts w:eastAsia="SimSun"/>
          <w:bCs/>
          <w:lang w:val="en-US" w:eastAsia="zh-CN"/>
        </w:rPr>
      </w:pPr>
      <w:r>
        <w:t xml:space="preserve">The occupied bandwidth for each NR carrier shall be less than the </w:t>
      </w:r>
      <w:r>
        <w:rPr>
          <w:i/>
        </w:rPr>
        <w:t>IAB-MT channel bandwidth</w:t>
      </w:r>
      <w:r>
        <w:t>.</w:t>
      </w:r>
      <w:r>
        <w:rPr>
          <w:snapToGrid w:val="0"/>
        </w:rPr>
        <w:t xml:space="preserve"> For </w:t>
      </w:r>
      <w:r>
        <w:rPr>
          <w:snapToGrid w:val="0"/>
          <w:lang w:val="en-US" w:eastAsia="zh-CN"/>
        </w:rPr>
        <w:t xml:space="preserve">intra-band </w:t>
      </w:r>
      <w:r>
        <w:rPr>
          <w:snapToGrid w:val="0"/>
        </w:rPr>
        <w:t>contiguous CA, t</w:t>
      </w:r>
      <w:r>
        <w:rPr>
          <w:bCs/>
        </w:rPr>
        <w:t xml:space="preserve">he occupied bandwidth shall be less than or equal the </w:t>
      </w:r>
      <w:r>
        <w:rPr>
          <w:bCs/>
          <w:i/>
          <w:iCs/>
        </w:rPr>
        <w:t xml:space="preserve">Aggregated </w:t>
      </w:r>
      <w:r>
        <w:rPr>
          <w:bCs/>
          <w:i/>
          <w:iCs/>
          <w:lang w:val="en-US" w:eastAsia="zh-CN"/>
        </w:rPr>
        <w:t xml:space="preserve">IAB-MT </w:t>
      </w:r>
      <w:r>
        <w:rPr>
          <w:bCs/>
          <w:i/>
          <w:iCs/>
        </w:rPr>
        <w:t>Channel Bandwidth</w:t>
      </w:r>
      <w:r>
        <w:rPr>
          <w:rFonts w:eastAsia="SimSun"/>
          <w:bCs/>
          <w:lang w:val="en-US" w:eastAsia="zh-CN"/>
        </w:rPr>
        <w:t xml:space="preserve">. </w:t>
      </w:r>
    </w:p>
    <w:p w14:paraId="16270E28" w14:textId="77777777" w:rsidR="00B3234F" w:rsidRDefault="00B3234F" w:rsidP="00B3234F">
      <w:pPr>
        <w:pStyle w:val="Heading3"/>
      </w:pPr>
      <w:bookmarkStart w:id="1871" w:name="_Toc45893467"/>
      <w:bookmarkStart w:id="1872" w:name="_Toc44712154"/>
      <w:bookmarkStart w:id="1873" w:name="_Toc37267552"/>
      <w:bookmarkStart w:id="1874" w:name="_Toc37260164"/>
      <w:bookmarkStart w:id="1875" w:name="_Toc36817248"/>
      <w:bookmarkStart w:id="1876" w:name="_Toc29811696"/>
      <w:bookmarkStart w:id="1877" w:name="_Toc21127487"/>
      <w:bookmarkStart w:id="1878" w:name="_Toc53185359"/>
      <w:bookmarkStart w:id="1879" w:name="_Toc53185735"/>
      <w:bookmarkStart w:id="1880" w:name="_Toc57820211"/>
      <w:bookmarkStart w:id="1881" w:name="_Toc57821138"/>
      <w:bookmarkStart w:id="1882" w:name="_Toc61183414"/>
      <w:bookmarkStart w:id="1883" w:name="_Toc61183808"/>
      <w:bookmarkStart w:id="1884" w:name="_Toc61184200"/>
      <w:bookmarkStart w:id="1885" w:name="_Toc61184592"/>
      <w:bookmarkStart w:id="1886" w:name="_Toc61184982"/>
      <w:bookmarkStart w:id="1887" w:name="_Toc66386325"/>
      <w:bookmarkStart w:id="1888" w:name="_Toc74583166"/>
      <w:bookmarkStart w:id="1889" w:name="_Toc76541979"/>
      <w:bookmarkStart w:id="1890" w:name="_Toc82449961"/>
      <w:bookmarkStart w:id="1891" w:name="_Toc82450609"/>
      <w:bookmarkStart w:id="1892" w:name="_Toc89948998"/>
      <w:bookmarkStart w:id="1893" w:name="_Toc98755387"/>
      <w:bookmarkStart w:id="1894" w:name="_Toc98762978"/>
      <w:bookmarkStart w:id="1895" w:name="_Toc106183907"/>
      <w:r>
        <w:t>6.6.3</w:t>
      </w:r>
      <w:r>
        <w:tab/>
        <w:t>Adjacent Channel Leakage Power Ratio</w:t>
      </w:r>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p>
    <w:p w14:paraId="7356CEF9" w14:textId="77777777" w:rsidR="00B3234F" w:rsidRDefault="00B3234F" w:rsidP="00B3234F">
      <w:pPr>
        <w:pStyle w:val="Heading4"/>
      </w:pPr>
      <w:bookmarkStart w:id="1896" w:name="_Toc45893468"/>
      <w:bookmarkStart w:id="1897" w:name="_Toc44712155"/>
      <w:bookmarkStart w:id="1898" w:name="_Toc37267553"/>
      <w:bookmarkStart w:id="1899" w:name="_Toc37260165"/>
      <w:bookmarkStart w:id="1900" w:name="_Toc36817249"/>
      <w:bookmarkStart w:id="1901" w:name="_Toc29811697"/>
      <w:bookmarkStart w:id="1902" w:name="_Toc21127488"/>
      <w:bookmarkStart w:id="1903" w:name="_Toc53185360"/>
      <w:bookmarkStart w:id="1904" w:name="_Toc53185736"/>
      <w:bookmarkStart w:id="1905" w:name="_Toc57820212"/>
      <w:bookmarkStart w:id="1906" w:name="_Toc57821139"/>
      <w:bookmarkStart w:id="1907" w:name="_Toc61183415"/>
      <w:bookmarkStart w:id="1908" w:name="_Toc61183809"/>
      <w:bookmarkStart w:id="1909" w:name="_Toc61184201"/>
      <w:bookmarkStart w:id="1910" w:name="_Toc61184593"/>
      <w:bookmarkStart w:id="1911" w:name="_Toc61184983"/>
      <w:bookmarkStart w:id="1912" w:name="_Toc66386326"/>
      <w:bookmarkStart w:id="1913" w:name="_Toc74583167"/>
      <w:bookmarkStart w:id="1914" w:name="_Toc76541980"/>
      <w:bookmarkStart w:id="1915" w:name="_Toc82449962"/>
      <w:bookmarkStart w:id="1916" w:name="_Toc82450610"/>
      <w:bookmarkStart w:id="1917" w:name="_Toc89948999"/>
      <w:bookmarkStart w:id="1918" w:name="_Toc98755388"/>
      <w:bookmarkStart w:id="1919" w:name="_Toc98762979"/>
      <w:bookmarkStart w:id="1920" w:name="_Toc106183908"/>
      <w:r>
        <w:t>6.6.3.1</w:t>
      </w:r>
      <w:r>
        <w:tab/>
        <w:t>General</w:t>
      </w:r>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p>
    <w:p w14:paraId="644F1A5F" w14:textId="77777777" w:rsidR="00B3234F" w:rsidRDefault="00B3234F" w:rsidP="00B3234F">
      <w:r>
        <w:t>Adjacent Channel Leakage power Ratio (ACLR) is the ratio of the filtered mean power centred on the assigned channel frequency to the filtered mean power centred on an adjacent channel frequency.</w:t>
      </w:r>
    </w:p>
    <w:p w14:paraId="49B3885A" w14:textId="77777777" w:rsidR="00B3234F" w:rsidRDefault="00B3234F" w:rsidP="00B3234F">
      <w:bookmarkStart w:id="1921" w:name="_Hlk508123095"/>
      <w:r>
        <w:lastRenderedPageBreak/>
        <w:t xml:space="preserve">The requirements shall apply </w:t>
      </w:r>
      <w:r>
        <w:rPr>
          <w:lang w:eastAsia="zh-CN"/>
        </w:rPr>
        <w:t xml:space="preserve">outside the </w:t>
      </w:r>
      <w:r>
        <w:rPr>
          <w:i/>
          <w:lang w:eastAsia="zh-CN"/>
        </w:rPr>
        <w:t>IAB-DU RF Bandwidth, IAB-MT RF Bandwidth</w:t>
      </w:r>
      <w:r>
        <w:rPr>
          <w:lang w:eastAsia="zh-CN"/>
        </w:rPr>
        <w:t xml:space="preserve"> or </w:t>
      </w:r>
      <w:r>
        <w:rPr>
          <w:i/>
          <w:lang w:eastAsia="zh-CN"/>
        </w:rPr>
        <w:t>Radio Bandwidth</w:t>
      </w:r>
      <w:r>
        <w:rPr>
          <w:lang w:eastAsia="zh-CN"/>
        </w:rPr>
        <w:t xml:space="preserve"> </w:t>
      </w:r>
      <w:r>
        <w:t>whatever the type of transmitter considered (single carrier or multi-carrier) and for all transmission modes foreseen by the manufacturer’s specification.</w:t>
      </w:r>
    </w:p>
    <w:p w14:paraId="0782B65F" w14:textId="77777777" w:rsidR="00B3234F" w:rsidRDefault="00B3234F" w:rsidP="00B3234F">
      <w:bookmarkStart w:id="1922" w:name="_Hlk508123083"/>
      <w:r>
        <w:t xml:space="preserve">For an </w:t>
      </w:r>
      <w:r w:rsidRPr="00743313">
        <w:rPr>
          <w:rFonts w:cs="v5.0.0"/>
          <w:i/>
          <w:iCs/>
        </w:rPr>
        <w:t>IAB-Node</w:t>
      </w:r>
      <w:r>
        <w:t xml:space="preserve"> operating in </w:t>
      </w:r>
      <w:r>
        <w:rPr>
          <w:i/>
        </w:rPr>
        <w:t>non-contiguous spectrum</w:t>
      </w:r>
      <w:r>
        <w:t xml:space="preserve">, the ACLR requirement in clause 6.6.3.2 shall apply in </w:t>
      </w:r>
      <w:r>
        <w:rPr>
          <w:i/>
        </w:rPr>
        <w:t>sub-block gaps</w:t>
      </w:r>
      <w:r>
        <w:t xml:space="preserve"> for the frequency ranges defined in table 6.6.3.2-3, while the CACLR requirement in clause 6.6.3.2 shall apply in </w:t>
      </w:r>
      <w:r>
        <w:rPr>
          <w:i/>
        </w:rPr>
        <w:t>sub-block gaps</w:t>
      </w:r>
      <w:r>
        <w:t xml:space="preserve"> for the frequency ranges defined in table 6.6.3.2-4.</w:t>
      </w:r>
    </w:p>
    <w:bookmarkEnd w:id="1922"/>
    <w:p w14:paraId="3C9B0D8A" w14:textId="77777777" w:rsidR="00B3234F" w:rsidRDefault="00B3234F" w:rsidP="00B3234F">
      <w:pPr>
        <w:rPr>
          <w:lang w:eastAsia="zh-CN"/>
        </w:rPr>
      </w:pPr>
      <w:r>
        <w:rPr>
          <w:lang w:eastAsia="zh-CN"/>
        </w:rPr>
        <w:t>F</w:t>
      </w:r>
      <w:r>
        <w:t>or a</w:t>
      </w:r>
      <w:r>
        <w:rPr>
          <w:lang w:eastAsia="zh-CN"/>
        </w:rPr>
        <w:t xml:space="preserve"> </w:t>
      </w:r>
      <w:r>
        <w:rPr>
          <w:i/>
          <w:lang w:eastAsia="zh-CN"/>
        </w:rPr>
        <w:t>multi-band connector</w:t>
      </w:r>
      <w:r>
        <w:t xml:space="preserve">, the ACLR </w:t>
      </w:r>
      <w:r>
        <w:rPr>
          <w:lang w:eastAsia="zh-CN"/>
        </w:rPr>
        <w:t xml:space="preserve">requirement in clause 6.6.3.2 shall apply in </w:t>
      </w:r>
      <w:r>
        <w:rPr>
          <w:i/>
        </w:rPr>
        <w:t>Inter RF Bandwidth</w:t>
      </w:r>
      <w:r>
        <w:rPr>
          <w:i/>
          <w:lang w:eastAsia="zh-CN"/>
        </w:rPr>
        <w:t xml:space="preserve"> gaps</w:t>
      </w:r>
      <w:r>
        <w:rPr>
          <w:lang w:eastAsia="zh-CN"/>
        </w:rPr>
        <w:t xml:space="preserve"> for the frequency ranges defined in table 6.6.3.2-3, while the </w:t>
      </w:r>
      <w:r>
        <w:t xml:space="preserve">CACLR requirement in clause 6.6.3.2 shall apply in </w:t>
      </w:r>
      <w:r>
        <w:rPr>
          <w:i/>
        </w:rPr>
        <w:t>Inter RF Bandwidth gaps</w:t>
      </w:r>
      <w:r>
        <w:t xml:space="preserve"> for the frequency ranges defined in table 6.6.3.2-4.</w:t>
      </w:r>
    </w:p>
    <w:p w14:paraId="209C273A" w14:textId="77777777" w:rsidR="008E7174" w:rsidRDefault="008E7174" w:rsidP="008E7174">
      <w:bookmarkStart w:id="1923" w:name="_Toc45893469"/>
      <w:bookmarkStart w:id="1924" w:name="_Toc44712156"/>
      <w:bookmarkStart w:id="1925" w:name="_Toc37267554"/>
      <w:bookmarkStart w:id="1926" w:name="_Toc37260166"/>
      <w:bookmarkStart w:id="1927" w:name="_Toc36817250"/>
      <w:bookmarkStart w:id="1928" w:name="_Toc29811698"/>
      <w:bookmarkStart w:id="1929" w:name="_Toc13080199"/>
      <w:bookmarkStart w:id="1930" w:name="_Toc53185361"/>
      <w:bookmarkStart w:id="1931" w:name="_Toc53185737"/>
      <w:bookmarkStart w:id="1932" w:name="_Toc57820213"/>
      <w:bookmarkStart w:id="1933" w:name="_Toc57821140"/>
      <w:bookmarkStart w:id="1934" w:name="_Toc61183416"/>
      <w:bookmarkStart w:id="1935" w:name="_Toc61183810"/>
      <w:bookmarkStart w:id="1936" w:name="_Toc61184202"/>
      <w:bookmarkStart w:id="1937" w:name="_Toc61184594"/>
      <w:bookmarkStart w:id="1938" w:name="_Toc61184984"/>
      <w:bookmarkStart w:id="1939" w:name="_Toc66386327"/>
      <w:bookmarkStart w:id="1940" w:name="_Toc74583168"/>
      <w:bookmarkStart w:id="1941" w:name="_Toc76541981"/>
      <w:bookmarkStart w:id="1942" w:name="_Toc82449963"/>
      <w:bookmarkStart w:id="1943" w:name="_Toc82450611"/>
      <w:bookmarkStart w:id="1944" w:name="_Toc89949000"/>
      <w:bookmarkStart w:id="1945" w:name="_Toc98755389"/>
      <w:bookmarkEnd w:id="1921"/>
      <w:r>
        <w:t xml:space="preserve">The requirement shall apply during the </w:t>
      </w:r>
      <w:r>
        <w:rPr>
          <w:i/>
        </w:rPr>
        <w:t>transmitter ON period</w:t>
      </w:r>
      <w:r>
        <w:t>.</w:t>
      </w:r>
    </w:p>
    <w:p w14:paraId="2199B1DE" w14:textId="77777777" w:rsidR="008E7174" w:rsidRDefault="008E7174" w:rsidP="008E7174">
      <w:pPr>
        <w:pStyle w:val="NO"/>
      </w:pPr>
      <w:r w:rsidRPr="0071726D">
        <w:t xml:space="preserve">NOTE: </w:t>
      </w:r>
      <w:r>
        <w:tab/>
      </w:r>
      <w:r w:rsidRPr="0071726D">
        <w:t>When the i</w:t>
      </w:r>
      <w:r w:rsidRPr="00101C2E">
        <w:t>ndicated IAB-MT transmission timing mode is set to ‘Case6’ as specified in 3GPP TS 38.213 [10], the power imbalance</w:t>
      </w:r>
      <w:r w:rsidRPr="00CB3C70">
        <w:rPr>
          <w:lang w:val="en-US"/>
        </w:rPr>
        <w:t xml:space="preserve"> </w:t>
      </w:r>
      <w:r>
        <w:rPr>
          <w:lang w:val="en-US"/>
        </w:rPr>
        <w:t>for simultaneous transmission</w:t>
      </w:r>
      <w:r w:rsidRPr="00101C2E">
        <w:t xml:space="preserve"> between IAB-DU and IAB-MT under which the system can be operated is declared by manufacturer.</w:t>
      </w:r>
    </w:p>
    <w:p w14:paraId="3002D62D" w14:textId="77777777" w:rsidR="00B3234F" w:rsidRDefault="00B3234F" w:rsidP="00B3234F">
      <w:pPr>
        <w:pStyle w:val="Heading4"/>
      </w:pPr>
      <w:bookmarkStart w:id="1946" w:name="_Toc98762980"/>
      <w:bookmarkStart w:id="1947" w:name="_Toc106183909"/>
      <w:r>
        <w:t>6.6.3.2</w:t>
      </w:r>
      <w:r>
        <w:tab/>
      </w:r>
      <w:r>
        <w:rPr>
          <w:lang w:val="en-US" w:eastAsia="zh-CN"/>
        </w:rPr>
        <w:t xml:space="preserve">Limits and </w:t>
      </w:r>
      <w:r>
        <w:rPr>
          <w:i/>
        </w:rPr>
        <w:t>Basic limits</w:t>
      </w:r>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p>
    <w:p w14:paraId="77DF4852" w14:textId="77777777" w:rsidR="00B3234F" w:rsidRDefault="00B3234F" w:rsidP="00B3234F">
      <w:pPr>
        <w:rPr>
          <w:rFonts w:cs="v5.0.0"/>
        </w:rPr>
      </w:pPr>
      <w:r>
        <w:t>The ACLR is defined with a square filter of bandwidth equal to the transmission bandwidth configuration of the transmitted signal (BW</w:t>
      </w:r>
      <w:r>
        <w:rPr>
          <w:vertAlign w:val="subscript"/>
        </w:rPr>
        <w:t>Config</w:t>
      </w:r>
      <w:r>
        <w:rPr>
          <w:rFonts w:cs="v5.0.0"/>
        </w:rPr>
        <w:t>) centred on the assigned channel frequency and a filter centred on the adjacent channel frequency according to the tables below.</w:t>
      </w:r>
    </w:p>
    <w:p w14:paraId="4BE67909" w14:textId="77777777" w:rsidR="00B3234F" w:rsidRDefault="00B3234F" w:rsidP="00B3234F">
      <w:pPr>
        <w:rPr>
          <w:rFonts w:cs="v5.0.0"/>
        </w:rPr>
      </w:pPr>
      <w:r>
        <w:rPr>
          <w:rFonts w:cs="v5.0.0"/>
        </w:rPr>
        <w:t>The ACLR shall be higher than the value specified in table 6.6.</w:t>
      </w:r>
      <w:r>
        <w:rPr>
          <w:rFonts w:eastAsia="SimSun" w:cs="v5.0.0"/>
          <w:lang w:eastAsia="zh-CN"/>
        </w:rPr>
        <w:t>3</w:t>
      </w:r>
      <w:r>
        <w:rPr>
          <w:rFonts w:cs="v5.0.0"/>
        </w:rPr>
        <w:t>.2</w:t>
      </w:r>
      <w:r>
        <w:rPr>
          <w:rFonts w:cs="v5.0.0"/>
        </w:rPr>
        <w:noBreakHyphen/>
        <w:t>1.</w:t>
      </w:r>
    </w:p>
    <w:p w14:paraId="5AE1E32E" w14:textId="77777777" w:rsidR="002E1777" w:rsidRDefault="002E1777" w:rsidP="002E1777">
      <w:pPr>
        <w:pStyle w:val="TH"/>
        <w:rPr>
          <w:rFonts w:eastAsia="SimSun"/>
          <w:lang w:eastAsia="zh-CN"/>
        </w:rPr>
      </w:pPr>
      <w:r>
        <w:t>Table 6.6.</w:t>
      </w:r>
      <w:r>
        <w:rPr>
          <w:rFonts w:eastAsia="SimSun"/>
          <w:lang w:eastAsia="zh-CN"/>
        </w:rPr>
        <w:t>3</w:t>
      </w:r>
      <w:r>
        <w:t xml:space="preserve">.2-1: </w:t>
      </w:r>
      <w:r w:rsidRPr="0063534F">
        <w:rPr>
          <w:i/>
          <w:iCs/>
        </w:rPr>
        <w:t>IAB-DU type 1-H</w:t>
      </w:r>
      <w:r>
        <w:t xml:space="preserve"> and </w:t>
      </w:r>
      <w:r w:rsidRPr="0063534F">
        <w:rPr>
          <w:i/>
          <w:iCs/>
        </w:rPr>
        <w:t>IAB-MT type 1-H</w:t>
      </w:r>
      <w:r>
        <w:t xml:space="preserve"> ACLR limit</w:t>
      </w:r>
    </w:p>
    <w:tbl>
      <w:tblPr>
        <w:tblW w:w="943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203"/>
        <w:gridCol w:w="2192"/>
        <w:gridCol w:w="1949"/>
        <w:gridCol w:w="2059"/>
        <w:gridCol w:w="1032"/>
      </w:tblGrid>
      <w:tr w:rsidR="00B3234F" w14:paraId="68DB282A" w14:textId="77777777" w:rsidTr="0076338D">
        <w:trPr>
          <w:cantSplit/>
          <w:jc w:val="center"/>
        </w:trPr>
        <w:tc>
          <w:tcPr>
            <w:tcW w:w="2203" w:type="dxa"/>
            <w:tcBorders>
              <w:top w:val="single" w:sz="6" w:space="0" w:color="auto"/>
              <w:left w:val="single" w:sz="6" w:space="0" w:color="auto"/>
              <w:bottom w:val="single" w:sz="4" w:space="0" w:color="auto"/>
              <w:right w:val="single" w:sz="6" w:space="0" w:color="auto"/>
            </w:tcBorders>
            <w:hideMark/>
          </w:tcPr>
          <w:p w14:paraId="104C54E6" w14:textId="77777777" w:rsidR="00B3234F" w:rsidRDefault="00B3234F" w:rsidP="0076338D">
            <w:pPr>
              <w:pStyle w:val="TAH"/>
            </w:pPr>
            <w:r>
              <w:rPr>
                <w:rFonts w:eastAsia="SimSun"/>
              </w:rPr>
              <w:t xml:space="preserve">IAB-DU </w:t>
            </w:r>
            <w:r w:rsidRPr="00743313">
              <w:rPr>
                <w:rFonts w:eastAsia="SimSun"/>
                <w:iCs/>
              </w:rPr>
              <w:t>and</w:t>
            </w:r>
            <w:r>
              <w:rPr>
                <w:rFonts w:eastAsia="SimSun"/>
              </w:rPr>
              <w:t xml:space="preserve"> IAB-MT channel bandwidth</w:t>
            </w:r>
            <w:r>
              <w:t xml:space="preserve"> </w:t>
            </w:r>
            <w:r>
              <w:rPr>
                <w:rFonts w:eastAsia="SimSun"/>
              </w:rPr>
              <w:t>of l</w:t>
            </w:r>
            <w:r>
              <w:rPr>
                <w:rFonts w:eastAsia="SimSun" w:cs="Arial"/>
              </w:rPr>
              <w:t>owest/highest carrier</w:t>
            </w:r>
            <w:r>
              <w:t xml:space="preserve"> transmitted </w:t>
            </w:r>
            <w:r>
              <w:rPr>
                <w:rFonts w:cs="Arial"/>
              </w:rPr>
              <w:t>BW</w:t>
            </w:r>
            <w:r>
              <w:rPr>
                <w:rFonts w:cs="Arial"/>
                <w:vertAlign w:val="subscript"/>
              </w:rPr>
              <w:t>Channel</w:t>
            </w:r>
            <w:r>
              <w:t xml:space="preserve"> (MHz)</w:t>
            </w:r>
          </w:p>
        </w:tc>
        <w:tc>
          <w:tcPr>
            <w:tcW w:w="2192" w:type="dxa"/>
            <w:tcBorders>
              <w:top w:val="single" w:sz="6" w:space="0" w:color="auto"/>
              <w:left w:val="single" w:sz="6" w:space="0" w:color="auto"/>
              <w:bottom w:val="single" w:sz="6" w:space="0" w:color="auto"/>
              <w:right w:val="single" w:sz="6" w:space="0" w:color="auto"/>
            </w:tcBorders>
            <w:hideMark/>
          </w:tcPr>
          <w:p w14:paraId="5B61C283" w14:textId="77777777" w:rsidR="00B3234F" w:rsidRDefault="00B3234F" w:rsidP="0076338D">
            <w:pPr>
              <w:pStyle w:val="TAH"/>
            </w:pPr>
            <w:r>
              <w:t xml:space="preserve">IAB-DU and IAB-MT adjacent channel centre frequency offset below the </w:t>
            </w:r>
            <w:r>
              <w:rPr>
                <w:rFonts w:eastAsia="SimSun"/>
              </w:rPr>
              <w:t>lowest</w:t>
            </w:r>
            <w:r>
              <w:t xml:space="preserve"> or above the </w:t>
            </w:r>
            <w:r>
              <w:rPr>
                <w:rFonts w:eastAsia="SimSun"/>
              </w:rPr>
              <w:t>highest</w:t>
            </w:r>
            <w:r>
              <w:t xml:space="preserve"> carrier centre frequency transmitted</w:t>
            </w:r>
          </w:p>
        </w:tc>
        <w:tc>
          <w:tcPr>
            <w:tcW w:w="1949" w:type="dxa"/>
            <w:tcBorders>
              <w:top w:val="single" w:sz="6" w:space="0" w:color="auto"/>
              <w:left w:val="single" w:sz="6" w:space="0" w:color="auto"/>
              <w:bottom w:val="single" w:sz="6" w:space="0" w:color="auto"/>
              <w:right w:val="single" w:sz="6" w:space="0" w:color="auto"/>
            </w:tcBorders>
            <w:hideMark/>
          </w:tcPr>
          <w:p w14:paraId="506FF5F4" w14:textId="77777777" w:rsidR="00B3234F" w:rsidRDefault="00B3234F" w:rsidP="0076338D">
            <w:pPr>
              <w:pStyle w:val="TAH"/>
            </w:pPr>
            <w:r>
              <w:t>Assumed adjacent channel carrier (informative)</w:t>
            </w:r>
          </w:p>
        </w:tc>
        <w:tc>
          <w:tcPr>
            <w:tcW w:w="2059" w:type="dxa"/>
            <w:tcBorders>
              <w:top w:val="single" w:sz="6" w:space="0" w:color="auto"/>
              <w:left w:val="single" w:sz="6" w:space="0" w:color="auto"/>
              <w:bottom w:val="single" w:sz="6" w:space="0" w:color="auto"/>
              <w:right w:val="single" w:sz="6" w:space="0" w:color="auto"/>
            </w:tcBorders>
            <w:hideMark/>
          </w:tcPr>
          <w:p w14:paraId="723B6DBA" w14:textId="77777777" w:rsidR="00B3234F" w:rsidRDefault="00B3234F" w:rsidP="0076338D">
            <w:pPr>
              <w:pStyle w:val="TAH"/>
            </w:pPr>
            <w:r>
              <w:t>Filter on the adjacent channel frequency and corresponding filter bandwidth</w:t>
            </w:r>
          </w:p>
        </w:tc>
        <w:tc>
          <w:tcPr>
            <w:tcW w:w="1032" w:type="dxa"/>
            <w:tcBorders>
              <w:top w:val="single" w:sz="6" w:space="0" w:color="auto"/>
              <w:left w:val="single" w:sz="6" w:space="0" w:color="auto"/>
              <w:bottom w:val="single" w:sz="6" w:space="0" w:color="auto"/>
              <w:right w:val="single" w:sz="6" w:space="0" w:color="auto"/>
            </w:tcBorders>
            <w:hideMark/>
          </w:tcPr>
          <w:p w14:paraId="6CED5B79" w14:textId="77777777" w:rsidR="00B3234F" w:rsidRDefault="00B3234F" w:rsidP="0076338D">
            <w:pPr>
              <w:pStyle w:val="TAH"/>
            </w:pPr>
            <w:r>
              <w:t>ACLR limit</w:t>
            </w:r>
          </w:p>
        </w:tc>
      </w:tr>
      <w:tr w:rsidR="0076338D" w14:paraId="4E25559F" w14:textId="77777777" w:rsidTr="004C7013">
        <w:trPr>
          <w:cantSplit/>
          <w:jc w:val="center"/>
        </w:trPr>
        <w:tc>
          <w:tcPr>
            <w:tcW w:w="2203" w:type="dxa"/>
            <w:tcBorders>
              <w:top w:val="single" w:sz="4" w:space="0" w:color="auto"/>
              <w:left w:val="single" w:sz="4" w:space="0" w:color="auto"/>
              <w:bottom w:val="nil"/>
              <w:right w:val="single" w:sz="4" w:space="0" w:color="auto"/>
            </w:tcBorders>
            <w:shd w:val="clear" w:color="auto" w:fill="auto"/>
            <w:hideMark/>
          </w:tcPr>
          <w:p w14:paraId="3AA0D329" w14:textId="60BACA7C" w:rsidR="0076338D" w:rsidRDefault="002E1777" w:rsidP="004C7013">
            <w:pPr>
              <w:pStyle w:val="TAL"/>
              <w:rPr>
                <w:rFonts w:eastAsia="SimSun"/>
                <w:lang w:eastAsia="zh-CN"/>
              </w:rPr>
            </w:pPr>
            <w:r>
              <w:t>10, 15, 20</w:t>
            </w:r>
            <w:r>
              <w:rPr>
                <w:rFonts w:eastAsia="SimSun"/>
                <w:lang w:eastAsia="zh-CN"/>
              </w:rPr>
              <w:t>, 25, 30, 40, 50, 60, 70, 80, 90,100</w:t>
            </w:r>
          </w:p>
        </w:tc>
        <w:tc>
          <w:tcPr>
            <w:tcW w:w="2192" w:type="dxa"/>
            <w:tcBorders>
              <w:top w:val="single" w:sz="6" w:space="0" w:color="auto"/>
              <w:left w:val="single" w:sz="4" w:space="0" w:color="auto"/>
              <w:bottom w:val="single" w:sz="6" w:space="0" w:color="auto"/>
              <w:right w:val="single" w:sz="6" w:space="0" w:color="auto"/>
            </w:tcBorders>
            <w:hideMark/>
          </w:tcPr>
          <w:p w14:paraId="46D1A80E" w14:textId="77777777" w:rsidR="0076338D" w:rsidRDefault="0076338D" w:rsidP="0076338D">
            <w:pPr>
              <w:pStyle w:val="TAC"/>
              <w:rPr>
                <w:rFonts w:cs="v5.0.0"/>
              </w:rPr>
            </w:pPr>
            <w:r>
              <w:t>BW</w:t>
            </w:r>
            <w:r>
              <w:rPr>
                <w:vertAlign w:val="subscript"/>
              </w:rPr>
              <w:t>Channel</w:t>
            </w:r>
          </w:p>
        </w:tc>
        <w:tc>
          <w:tcPr>
            <w:tcW w:w="1949" w:type="dxa"/>
            <w:tcBorders>
              <w:top w:val="single" w:sz="6" w:space="0" w:color="auto"/>
              <w:left w:val="single" w:sz="6" w:space="0" w:color="auto"/>
              <w:bottom w:val="single" w:sz="6" w:space="0" w:color="auto"/>
              <w:right w:val="single" w:sz="6" w:space="0" w:color="auto"/>
            </w:tcBorders>
            <w:hideMark/>
          </w:tcPr>
          <w:p w14:paraId="74290AF5" w14:textId="77777777" w:rsidR="0076338D" w:rsidRDefault="0076338D" w:rsidP="0076338D">
            <w:pPr>
              <w:pStyle w:val="TAC"/>
              <w:rPr>
                <w:rFonts w:cs="v5.0.0"/>
              </w:rPr>
            </w:pPr>
            <w:r>
              <w:t xml:space="preserve">NR of same BW </w:t>
            </w:r>
            <w:r>
              <w:rPr>
                <w:rFonts w:cs="v5.0.0"/>
              </w:rPr>
              <w:t>(Note 2)</w:t>
            </w:r>
          </w:p>
        </w:tc>
        <w:tc>
          <w:tcPr>
            <w:tcW w:w="2059" w:type="dxa"/>
            <w:tcBorders>
              <w:top w:val="single" w:sz="6" w:space="0" w:color="auto"/>
              <w:left w:val="single" w:sz="6" w:space="0" w:color="auto"/>
              <w:bottom w:val="single" w:sz="6" w:space="0" w:color="auto"/>
              <w:right w:val="single" w:sz="6" w:space="0" w:color="auto"/>
            </w:tcBorders>
            <w:hideMark/>
          </w:tcPr>
          <w:p w14:paraId="65964C17" w14:textId="77777777" w:rsidR="0076338D" w:rsidRDefault="0076338D" w:rsidP="0076338D">
            <w:pPr>
              <w:pStyle w:val="TAC"/>
              <w:rPr>
                <w:rFonts w:cs="v5.0.0"/>
              </w:rPr>
            </w:pPr>
            <w:r>
              <w:rPr>
                <w:rFonts w:cs="v5.0.0"/>
              </w:rPr>
              <w:t>Square (</w:t>
            </w:r>
            <w:r>
              <w:t>BW</w:t>
            </w:r>
            <w:r>
              <w:rPr>
                <w:vertAlign w:val="subscript"/>
              </w:rPr>
              <w:t>Config</w:t>
            </w:r>
            <w:r>
              <w:rPr>
                <w:rFonts w:cs="v5.0.0"/>
              </w:rPr>
              <w:t>)</w:t>
            </w:r>
          </w:p>
        </w:tc>
        <w:tc>
          <w:tcPr>
            <w:tcW w:w="1032" w:type="dxa"/>
            <w:tcBorders>
              <w:top w:val="single" w:sz="6" w:space="0" w:color="auto"/>
              <w:left w:val="single" w:sz="6" w:space="0" w:color="auto"/>
              <w:bottom w:val="single" w:sz="6" w:space="0" w:color="auto"/>
              <w:right w:val="single" w:sz="6" w:space="0" w:color="auto"/>
            </w:tcBorders>
            <w:hideMark/>
          </w:tcPr>
          <w:p w14:paraId="51F20E8F" w14:textId="77777777" w:rsidR="0076338D" w:rsidRDefault="0076338D" w:rsidP="0076338D">
            <w:pPr>
              <w:pStyle w:val="TAC"/>
              <w:rPr>
                <w:rFonts w:cs="v5.0.0"/>
              </w:rPr>
            </w:pPr>
            <w:r>
              <w:rPr>
                <w:rFonts w:cs="v5.0.0"/>
              </w:rPr>
              <w:t>45 dB</w:t>
            </w:r>
          </w:p>
        </w:tc>
      </w:tr>
      <w:tr w:rsidR="0076338D" w14:paraId="73CF3FE0" w14:textId="77777777" w:rsidTr="004C7013">
        <w:trPr>
          <w:cantSplit/>
          <w:jc w:val="center"/>
        </w:trPr>
        <w:tc>
          <w:tcPr>
            <w:tcW w:w="2203" w:type="dxa"/>
            <w:tcBorders>
              <w:top w:val="nil"/>
              <w:left w:val="single" w:sz="4" w:space="0" w:color="auto"/>
              <w:bottom w:val="nil"/>
              <w:right w:val="single" w:sz="4" w:space="0" w:color="auto"/>
            </w:tcBorders>
            <w:shd w:val="clear" w:color="auto" w:fill="auto"/>
            <w:hideMark/>
          </w:tcPr>
          <w:p w14:paraId="09528E28" w14:textId="77777777" w:rsidR="0076338D" w:rsidRDefault="0076338D" w:rsidP="004C7013">
            <w:pPr>
              <w:spacing w:after="0"/>
              <w:rPr>
                <w:rFonts w:ascii="Arial" w:eastAsia="SimSun" w:hAnsi="Arial" w:cs="v5.0.0"/>
                <w:sz w:val="18"/>
                <w:lang w:eastAsia="zh-CN"/>
              </w:rPr>
            </w:pPr>
          </w:p>
        </w:tc>
        <w:tc>
          <w:tcPr>
            <w:tcW w:w="2192" w:type="dxa"/>
            <w:tcBorders>
              <w:top w:val="single" w:sz="6" w:space="0" w:color="auto"/>
              <w:left w:val="single" w:sz="4" w:space="0" w:color="auto"/>
              <w:bottom w:val="single" w:sz="6" w:space="0" w:color="auto"/>
              <w:right w:val="single" w:sz="6" w:space="0" w:color="auto"/>
            </w:tcBorders>
            <w:hideMark/>
          </w:tcPr>
          <w:p w14:paraId="3F243C65" w14:textId="77777777" w:rsidR="0076338D" w:rsidRDefault="0076338D" w:rsidP="0076338D">
            <w:pPr>
              <w:pStyle w:val="TAC"/>
              <w:rPr>
                <w:rFonts w:cs="v5.0.0"/>
              </w:rPr>
            </w:pPr>
            <w:r>
              <w:rPr>
                <w:rFonts w:cs="v5.0.0"/>
              </w:rPr>
              <w:t xml:space="preserve">2 x </w:t>
            </w:r>
            <w:r>
              <w:t>BW</w:t>
            </w:r>
            <w:r>
              <w:rPr>
                <w:vertAlign w:val="subscript"/>
              </w:rPr>
              <w:t>Channel</w:t>
            </w:r>
          </w:p>
        </w:tc>
        <w:tc>
          <w:tcPr>
            <w:tcW w:w="1949" w:type="dxa"/>
            <w:tcBorders>
              <w:top w:val="single" w:sz="6" w:space="0" w:color="auto"/>
              <w:left w:val="single" w:sz="6" w:space="0" w:color="auto"/>
              <w:bottom w:val="single" w:sz="6" w:space="0" w:color="auto"/>
              <w:right w:val="single" w:sz="6" w:space="0" w:color="auto"/>
            </w:tcBorders>
            <w:hideMark/>
          </w:tcPr>
          <w:p w14:paraId="6C2DBA71" w14:textId="77777777" w:rsidR="0076338D" w:rsidRDefault="0076338D" w:rsidP="0076338D">
            <w:pPr>
              <w:pStyle w:val="TAC"/>
              <w:rPr>
                <w:rFonts w:cs="v5.0.0"/>
              </w:rPr>
            </w:pPr>
            <w:r>
              <w:t xml:space="preserve">NR of same BW </w:t>
            </w:r>
            <w:r>
              <w:rPr>
                <w:rFonts w:cs="v5.0.0"/>
              </w:rPr>
              <w:t>(Note 2)</w:t>
            </w:r>
          </w:p>
        </w:tc>
        <w:tc>
          <w:tcPr>
            <w:tcW w:w="2059" w:type="dxa"/>
            <w:tcBorders>
              <w:top w:val="single" w:sz="6" w:space="0" w:color="auto"/>
              <w:left w:val="single" w:sz="6" w:space="0" w:color="auto"/>
              <w:bottom w:val="single" w:sz="6" w:space="0" w:color="auto"/>
              <w:right w:val="single" w:sz="6" w:space="0" w:color="auto"/>
            </w:tcBorders>
            <w:hideMark/>
          </w:tcPr>
          <w:p w14:paraId="31567365" w14:textId="77777777" w:rsidR="0076338D" w:rsidRDefault="0076338D" w:rsidP="0076338D">
            <w:pPr>
              <w:pStyle w:val="TAC"/>
              <w:rPr>
                <w:rFonts w:cs="v5.0.0"/>
              </w:rPr>
            </w:pPr>
            <w:r>
              <w:rPr>
                <w:rFonts w:cs="v5.0.0"/>
              </w:rPr>
              <w:t>Square (</w:t>
            </w:r>
            <w:r>
              <w:t>BW</w:t>
            </w:r>
            <w:r>
              <w:rPr>
                <w:vertAlign w:val="subscript"/>
              </w:rPr>
              <w:t>Config</w:t>
            </w:r>
            <w:r>
              <w:rPr>
                <w:rFonts w:cs="v5.0.0"/>
              </w:rPr>
              <w:t>)</w:t>
            </w:r>
          </w:p>
        </w:tc>
        <w:tc>
          <w:tcPr>
            <w:tcW w:w="1032" w:type="dxa"/>
            <w:tcBorders>
              <w:top w:val="single" w:sz="6" w:space="0" w:color="auto"/>
              <w:left w:val="single" w:sz="6" w:space="0" w:color="auto"/>
              <w:bottom w:val="single" w:sz="6" w:space="0" w:color="auto"/>
              <w:right w:val="single" w:sz="6" w:space="0" w:color="auto"/>
            </w:tcBorders>
            <w:hideMark/>
          </w:tcPr>
          <w:p w14:paraId="5C95A45C" w14:textId="77777777" w:rsidR="0076338D" w:rsidRDefault="0076338D" w:rsidP="0076338D">
            <w:pPr>
              <w:pStyle w:val="TAC"/>
              <w:rPr>
                <w:rFonts w:cs="v5.0.0"/>
              </w:rPr>
            </w:pPr>
            <w:r>
              <w:rPr>
                <w:rFonts w:cs="v5.0.0"/>
              </w:rPr>
              <w:t>45 dB</w:t>
            </w:r>
          </w:p>
        </w:tc>
      </w:tr>
      <w:tr w:rsidR="0076338D" w14:paraId="4604571F" w14:textId="77777777" w:rsidTr="004C7013">
        <w:trPr>
          <w:cantSplit/>
          <w:jc w:val="center"/>
        </w:trPr>
        <w:tc>
          <w:tcPr>
            <w:tcW w:w="2203" w:type="dxa"/>
            <w:tcBorders>
              <w:top w:val="nil"/>
              <w:left w:val="single" w:sz="4" w:space="0" w:color="auto"/>
              <w:bottom w:val="nil"/>
              <w:right w:val="single" w:sz="4" w:space="0" w:color="auto"/>
            </w:tcBorders>
            <w:shd w:val="clear" w:color="auto" w:fill="auto"/>
            <w:hideMark/>
          </w:tcPr>
          <w:p w14:paraId="70D26823" w14:textId="77777777" w:rsidR="0076338D" w:rsidRDefault="0076338D" w:rsidP="004C7013">
            <w:pPr>
              <w:spacing w:after="0"/>
              <w:rPr>
                <w:rFonts w:ascii="Arial" w:eastAsia="SimSun" w:hAnsi="Arial" w:cs="v5.0.0"/>
                <w:sz w:val="18"/>
                <w:lang w:eastAsia="zh-CN"/>
              </w:rPr>
            </w:pPr>
          </w:p>
        </w:tc>
        <w:tc>
          <w:tcPr>
            <w:tcW w:w="2192" w:type="dxa"/>
            <w:tcBorders>
              <w:top w:val="single" w:sz="6" w:space="0" w:color="auto"/>
              <w:left w:val="single" w:sz="4" w:space="0" w:color="auto"/>
              <w:bottom w:val="single" w:sz="6" w:space="0" w:color="auto"/>
              <w:right w:val="single" w:sz="6" w:space="0" w:color="auto"/>
            </w:tcBorders>
            <w:hideMark/>
          </w:tcPr>
          <w:p w14:paraId="52F1F8FB" w14:textId="77777777" w:rsidR="0076338D" w:rsidRDefault="0076338D" w:rsidP="0076338D">
            <w:pPr>
              <w:pStyle w:val="TAC"/>
            </w:pPr>
            <w:r>
              <w:t>BW</w:t>
            </w:r>
            <w:r>
              <w:rPr>
                <w:vertAlign w:val="subscript"/>
              </w:rPr>
              <w:t xml:space="preserve">Channel </w:t>
            </w:r>
            <w:r>
              <w:t>/2 + 2.5 MHz</w:t>
            </w:r>
          </w:p>
        </w:tc>
        <w:tc>
          <w:tcPr>
            <w:tcW w:w="1949" w:type="dxa"/>
            <w:tcBorders>
              <w:top w:val="single" w:sz="6" w:space="0" w:color="auto"/>
              <w:left w:val="single" w:sz="6" w:space="0" w:color="auto"/>
              <w:bottom w:val="single" w:sz="6" w:space="0" w:color="auto"/>
              <w:right w:val="single" w:sz="6" w:space="0" w:color="auto"/>
            </w:tcBorders>
            <w:hideMark/>
          </w:tcPr>
          <w:p w14:paraId="27E98F2D" w14:textId="77777777" w:rsidR="0076338D" w:rsidRDefault="0076338D" w:rsidP="0076338D">
            <w:pPr>
              <w:pStyle w:val="TAC"/>
              <w:rPr>
                <w:rFonts w:eastAsia="SimSun" w:cs="v5.0.0"/>
                <w:lang w:eastAsia="zh-CN"/>
              </w:rPr>
            </w:pPr>
            <w:r>
              <w:rPr>
                <w:rFonts w:eastAsia="SimSun" w:cs="v5.0.0"/>
                <w:lang w:eastAsia="zh-CN"/>
              </w:rPr>
              <w:t>5 MHz E-UTRA</w:t>
            </w:r>
          </w:p>
        </w:tc>
        <w:tc>
          <w:tcPr>
            <w:tcW w:w="2059" w:type="dxa"/>
            <w:tcBorders>
              <w:top w:val="single" w:sz="6" w:space="0" w:color="auto"/>
              <w:left w:val="single" w:sz="6" w:space="0" w:color="auto"/>
              <w:bottom w:val="single" w:sz="6" w:space="0" w:color="auto"/>
              <w:right w:val="single" w:sz="6" w:space="0" w:color="auto"/>
            </w:tcBorders>
            <w:hideMark/>
          </w:tcPr>
          <w:p w14:paraId="46266A98" w14:textId="77777777" w:rsidR="0076338D" w:rsidRDefault="0076338D" w:rsidP="0076338D">
            <w:pPr>
              <w:pStyle w:val="TAC"/>
              <w:rPr>
                <w:rFonts w:cs="v5.0.0"/>
              </w:rPr>
            </w:pPr>
            <w:r>
              <w:rPr>
                <w:rFonts w:cs="v5.0.0"/>
              </w:rPr>
              <w:t>Square (</w:t>
            </w:r>
            <w:r>
              <w:rPr>
                <w:rFonts w:eastAsia="SimSun"/>
                <w:lang w:eastAsia="zh-CN"/>
              </w:rPr>
              <w:t>4.5 MHz</w:t>
            </w:r>
            <w:r>
              <w:rPr>
                <w:rFonts w:cs="v5.0.0"/>
              </w:rPr>
              <w:t>)</w:t>
            </w:r>
          </w:p>
        </w:tc>
        <w:tc>
          <w:tcPr>
            <w:tcW w:w="1032" w:type="dxa"/>
            <w:tcBorders>
              <w:top w:val="single" w:sz="6" w:space="0" w:color="auto"/>
              <w:left w:val="single" w:sz="6" w:space="0" w:color="auto"/>
              <w:bottom w:val="single" w:sz="6" w:space="0" w:color="auto"/>
              <w:right w:val="single" w:sz="6" w:space="0" w:color="auto"/>
            </w:tcBorders>
            <w:hideMark/>
          </w:tcPr>
          <w:p w14:paraId="4AD41A5E" w14:textId="77777777" w:rsidR="0076338D" w:rsidRDefault="0076338D" w:rsidP="0076338D">
            <w:pPr>
              <w:pStyle w:val="TAC"/>
              <w:rPr>
                <w:rFonts w:cs="v5.0.0"/>
              </w:rPr>
            </w:pPr>
            <w:r>
              <w:rPr>
                <w:rFonts w:cs="v5.0.0"/>
              </w:rPr>
              <w:t>45 dB (Note 3)</w:t>
            </w:r>
          </w:p>
        </w:tc>
      </w:tr>
      <w:tr w:rsidR="0076338D" w14:paraId="5F8E538E" w14:textId="77777777" w:rsidTr="004C7013">
        <w:trPr>
          <w:cantSplit/>
          <w:jc w:val="center"/>
        </w:trPr>
        <w:tc>
          <w:tcPr>
            <w:tcW w:w="2203" w:type="dxa"/>
            <w:tcBorders>
              <w:top w:val="nil"/>
              <w:left w:val="single" w:sz="4" w:space="0" w:color="auto"/>
              <w:bottom w:val="single" w:sz="4" w:space="0" w:color="auto"/>
              <w:right w:val="single" w:sz="4" w:space="0" w:color="auto"/>
            </w:tcBorders>
            <w:shd w:val="clear" w:color="auto" w:fill="auto"/>
            <w:hideMark/>
          </w:tcPr>
          <w:p w14:paraId="2F8F2B56" w14:textId="77777777" w:rsidR="0076338D" w:rsidRDefault="0076338D" w:rsidP="004C7013">
            <w:pPr>
              <w:spacing w:after="0"/>
              <w:rPr>
                <w:rFonts w:ascii="Arial" w:eastAsia="SimSun" w:hAnsi="Arial" w:cs="v5.0.0"/>
                <w:sz w:val="18"/>
                <w:lang w:eastAsia="zh-CN"/>
              </w:rPr>
            </w:pPr>
          </w:p>
        </w:tc>
        <w:tc>
          <w:tcPr>
            <w:tcW w:w="2192" w:type="dxa"/>
            <w:tcBorders>
              <w:top w:val="single" w:sz="6" w:space="0" w:color="auto"/>
              <w:left w:val="single" w:sz="4" w:space="0" w:color="auto"/>
              <w:bottom w:val="single" w:sz="6" w:space="0" w:color="auto"/>
              <w:right w:val="single" w:sz="6" w:space="0" w:color="auto"/>
            </w:tcBorders>
            <w:hideMark/>
          </w:tcPr>
          <w:p w14:paraId="227E4B60" w14:textId="77777777" w:rsidR="0076338D" w:rsidRDefault="0076338D" w:rsidP="0076338D">
            <w:pPr>
              <w:pStyle w:val="TAC"/>
            </w:pPr>
            <w:r>
              <w:t>BW</w:t>
            </w:r>
            <w:r>
              <w:rPr>
                <w:vertAlign w:val="subscript"/>
              </w:rPr>
              <w:t xml:space="preserve">Channel </w:t>
            </w:r>
            <w:r>
              <w:t>/2 + 7.5 MHz</w:t>
            </w:r>
          </w:p>
        </w:tc>
        <w:tc>
          <w:tcPr>
            <w:tcW w:w="1949" w:type="dxa"/>
            <w:tcBorders>
              <w:top w:val="single" w:sz="6" w:space="0" w:color="auto"/>
              <w:left w:val="single" w:sz="6" w:space="0" w:color="auto"/>
              <w:bottom w:val="single" w:sz="6" w:space="0" w:color="auto"/>
              <w:right w:val="single" w:sz="6" w:space="0" w:color="auto"/>
            </w:tcBorders>
            <w:hideMark/>
          </w:tcPr>
          <w:p w14:paraId="621E6023" w14:textId="77777777" w:rsidR="0076338D" w:rsidRDefault="0076338D" w:rsidP="0076338D">
            <w:pPr>
              <w:pStyle w:val="TAC"/>
              <w:rPr>
                <w:rFonts w:cs="v5.0.0"/>
              </w:rPr>
            </w:pPr>
            <w:r>
              <w:rPr>
                <w:rFonts w:eastAsia="SimSun" w:cs="v5.0.0"/>
                <w:lang w:eastAsia="zh-CN"/>
              </w:rPr>
              <w:t>5 MHz E-UTRA</w:t>
            </w:r>
          </w:p>
        </w:tc>
        <w:tc>
          <w:tcPr>
            <w:tcW w:w="2059" w:type="dxa"/>
            <w:tcBorders>
              <w:top w:val="single" w:sz="6" w:space="0" w:color="auto"/>
              <w:left w:val="single" w:sz="6" w:space="0" w:color="auto"/>
              <w:bottom w:val="single" w:sz="6" w:space="0" w:color="auto"/>
              <w:right w:val="single" w:sz="6" w:space="0" w:color="auto"/>
            </w:tcBorders>
            <w:hideMark/>
          </w:tcPr>
          <w:p w14:paraId="425B1CBF" w14:textId="77777777" w:rsidR="0076338D" w:rsidRDefault="0076338D" w:rsidP="0076338D">
            <w:pPr>
              <w:pStyle w:val="TAC"/>
              <w:rPr>
                <w:rFonts w:cs="v5.0.0"/>
              </w:rPr>
            </w:pPr>
            <w:r>
              <w:rPr>
                <w:rFonts w:cs="v5.0.0"/>
              </w:rPr>
              <w:t>Square (</w:t>
            </w:r>
            <w:r>
              <w:rPr>
                <w:rFonts w:eastAsia="SimSun"/>
                <w:lang w:eastAsia="zh-CN"/>
              </w:rPr>
              <w:t>4.5 MHz</w:t>
            </w:r>
            <w:r>
              <w:rPr>
                <w:rFonts w:cs="v5.0.0"/>
              </w:rPr>
              <w:t>)</w:t>
            </w:r>
          </w:p>
        </w:tc>
        <w:tc>
          <w:tcPr>
            <w:tcW w:w="1032" w:type="dxa"/>
            <w:tcBorders>
              <w:top w:val="single" w:sz="6" w:space="0" w:color="auto"/>
              <w:left w:val="single" w:sz="6" w:space="0" w:color="auto"/>
              <w:bottom w:val="single" w:sz="6" w:space="0" w:color="auto"/>
              <w:right w:val="single" w:sz="6" w:space="0" w:color="auto"/>
            </w:tcBorders>
            <w:hideMark/>
          </w:tcPr>
          <w:p w14:paraId="3C6A92CB" w14:textId="77777777" w:rsidR="0076338D" w:rsidRDefault="0076338D" w:rsidP="0076338D">
            <w:pPr>
              <w:pStyle w:val="TAC"/>
              <w:rPr>
                <w:rFonts w:cs="v5.0.0"/>
              </w:rPr>
            </w:pPr>
            <w:r>
              <w:rPr>
                <w:rFonts w:cs="v5.0.0"/>
              </w:rPr>
              <w:t>45 dB</w:t>
            </w:r>
            <w:r>
              <w:rPr>
                <w:rFonts w:eastAsia="SimSun" w:cs="v5.0.0"/>
                <w:lang w:eastAsia="zh-CN"/>
              </w:rPr>
              <w:t xml:space="preserve"> </w:t>
            </w:r>
            <w:r>
              <w:rPr>
                <w:rFonts w:cs="v5.0.0"/>
              </w:rPr>
              <w:t>(Note 3)</w:t>
            </w:r>
          </w:p>
        </w:tc>
      </w:tr>
      <w:tr w:rsidR="00B3234F" w:rsidRPr="00AB3358" w14:paraId="129AF876" w14:textId="77777777" w:rsidTr="0076338D">
        <w:trPr>
          <w:cantSplit/>
          <w:jc w:val="center"/>
        </w:trPr>
        <w:tc>
          <w:tcPr>
            <w:tcW w:w="9435" w:type="dxa"/>
            <w:gridSpan w:val="5"/>
            <w:tcBorders>
              <w:top w:val="single" w:sz="6" w:space="0" w:color="auto"/>
              <w:left w:val="single" w:sz="6" w:space="0" w:color="auto"/>
              <w:bottom w:val="single" w:sz="6" w:space="0" w:color="auto"/>
              <w:right w:val="single" w:sz="6" w:space="0" w:color="auto"/>
            </w:tcBorders>
            <w:hideMark/>
          </w:tcPr>
          <w:p w14:paraId="7228584F" w14:textId="77777777" w:rsidR="00B3234F" w:rsidRDefault="00B3234F" w:rsidP="0076338D">
            <w:pPr>
              <w:pStyle w:val="TAN"/>
            </w:pPr>
            <w:r>
              <w:t>NOTE 1:</w:t>
            </w:r>
            <w:r>
              <w:tab/>
              <w:t>BW</w:t>
            </w:r>
            <w:r>
              <w:rPr>
                <w:vertAlign w:val="subscript"/>
              </w:rPr>
              <w:t>Channel</w:t>
            </w:r>
            <w:r>
              <w:t xml:space="preserve"> and BW</w:t>
            </w:r>
            <w:r>
              <w:rPr>
                <w:vertAlign w:val="subscript"/>
              </w:rPr>
              <w:t>Config</w:t>
            </w:r>
            <w:r>
              <w:t xml:space="preserve"> are the </w:t>
            </w:r>
            <w:r>
              <w:rPr>
                <w:i/>
              </w:rPr>
              <w:t>IAB-DU and IAB-MT channel bandwidth</w:t>
            </w:r>
            <w:r>
              <w:t xml:space="preserve"> and </w:t>
            </w:r>
            <w:r>
              <w:rPr>
                <w:i/>
              </w:rPr>
              <w:t>transmission bandwidth configuration</w:t>
            </w:r>
            <w:r>
              <w:t xml:space="preserve"> of the </w:t>
            </w:r>
            <w:r>
              <w:rPr>
                <w:rFonts w:eastAsia="SimSun"/>
                <w:i/>
              </w:rPr>
              <w:t>lowest/highest carrier</w:t>
            </w:r>
            <w:r>
              <w:t xml:space="preserve"> transmitted on the assigned channel frequency.</w:t>
            </w:r>
          </w:p>
          <w:p w14:paraId="10D0B3DB" w14:textId="77777777" w:rsidR="00B3234F" w:rsidRDefault="00B3234F" w:rsidP="0076338D">
            <w:pPr>
              <w:pStyle w:val="TAN"/>
            </w:pPr>
            <w:r>
              <w:t>NOTE 2:</w:t>
            </w:r>
            <w:r>
              <w:tab/>
              <w:t>With SCS that provides largest transmission bandwidth configuration (BW</w:t>
            </w:r>
            <w:r>
              <w:rPr>
                <w:vertAlign w:val="subscript"/>
              </w:rPr>
              <w:t>Config</w:t>
            </w:r>
            <w:r>
              <w:rPr>
                <w:rFonts w:cs="v5.0.0"/>
              </w:rPr>
              <w:t>)</w:t>
            </w:r>
            <w:r>
              <w:t>.</w:t>
            </w:r>
          </w:p>
          <w:p w14:paraId="3190946D" w14:textId="77777777" w:rsidR="00B3234F" w:rsidRDefault="00B3234F" w:rsidP="0076338D">
            <w:pPr>
              <w:pStyle w:val="TAN"/>
              <w:rPr>
                <w:rFonts w:eastAsia="SimSun"/>
                <w:lang w:eastAsia="zh-CN"/>
              </w:rPr>
            </w:pPr>
            <w:r>
              <w:t>NOTE 3:</w:t>
            </w:r>
            <w:r>
              <w:tab/>
            </w:r>
            <w:r>
              <w:rPr>
                <w:rFonts w:eastAsia="SimSun"/>
                <w:lang w:eastAsia="zh-CN"/>
              </w:rPr>
              <w:t>The requirements are applicable when the band is also defined for E-UTRA or UTRA</w:t>
            </w:r>
            <w:r>
              <w:t>.</w:t>
            </w:r>
          </w:p>
        </w:tc>
      </w:tr>
    </w:tbl>
    <w:p w14:paraId="5E3A78B1" w14:textId="77777777" w:rsidR="00B3234F" w:rsidRDefault="00B3234F" w:rsidP="00B3234F">
      <w:pPr>
        <w:rPr>
          <w:rFonts w:eastAsia="SimSun"/>
        </w:rPr>
      </w:pPr>
    </w:p>
    <w:p w14:paraId="0435167D" w14:textId="77777777" w:rsidR="00B3234F" w:rsidRDefault="00B3234F" w:rsidP="00B3234F">
      <w:pPr>
        <w:rPr>
          <w:rFonts w:cs="v5.0.0"/>
        </w:rPr>
      </w:pPr>
      <w:r>
        <w:rPr>
          <w:rFonts w:cs="v5.0.0"/>
        </w:rPr>
        <w:t xml:space="preserve">The ACLR absolute </w:t>
      </w:r>
      <w:bookmarkStart w:id="1948" w:name="_Hlk508123340"/>
      <w:r>
        <w:rPr>
          <w:rFonts w:cs="v5.0.0"/>
          <w:i/>
          <w:iCs/>
          <w:lang w:val="en-US" w:eastAsia="zh-CN"/>
        </w:rPr>
        <w:t xml:space="preserve">basic </w:t>
      </w:r>
      <w:r>
        <w:rPr>
          <w:rFonts w:cs="v5.0.0"/>
          <w:i/>
        </w:rPr>
        <w:t>limit</w:t>
      </w:r>
      <w:r>
        <w:rPr>
          <w:rFonts w:cs="v5.0.0"/>
        </w:rPr>
        <w:t xml:space="preserve"> is</w:t>
      </w:r>
      <w:bookmarkEnd w:id="1948"/>
      <w:r>
        <w:rPr>
          <w:rFonts w:cs="v5.0.0"/>
        </w:rPr>
        <w:t xml:space="preserve"> specified in table 6.6.</w:t>
      </w:r>
      <w:r>
        <w:rPr>
          <w:rFonts w:eastAsia="SimSun" w:cs="v5.0.0"/>
          <w:lang w:eastAsia="zh-CN"/>
        </w:rPr>
        <w:t>3</w:t>
      </w:r>
      <w:r>
        <w:rPr>
          <w:rFonts w:cs="v5.0.0"/>
        </w:rPr>
        <w:t>.2</w:t>
      </w:r>
      <w:r>
        <w:rPr>
          <w:rFonts w:cs="v5.0.0"/>
        </w:rPr>
        <w:noBreakHyphen/>
        <w:t>2.</w:t>
      </w:r>
    </w:p>
    <w:p w14:paraId="2667F14A" w14:textId="77777777" w:rsidR="002E1777" w:rsidRDefault="002E1777" w:rsidP="002E1777">
      <w:pPr>
        <w:pStyle w:val="TH"/>
        <w:rPr>
          <w:rFonts w:eastAsia="SimSun"/>
          <w:lang w:eastAsia="zh-CN"/>
        </w:rPr>
      </w:pPr>
      <w:r>
        <w:t>Table 6.6.</w:t>
      </w:r>
      <w:r>
        <w:rPr>
          <w:rFonts w:eastAsia="SimSun"/>
          <w:lang w:eastAsia="zh-CN"/>
        </w:rPr>
        <w:t>3</w:t>
      </w:r>
      <w:r>
        <w:t xml:space="preserve">.2-2: </w:t>
      </w:r>
      <w:r w:rsidRPr="0063534F">
        <w:rPr>
          <w:i/>
          <w:iCs/>
        </w:rPr>
        <w:t>IAB-DU type 1-H</w:t>
      </w:r>
      <w:r>
        <w:t xml:space="preserve"> and </w:t>
      </w:r>
      <w:r w:rsidRPr="0063534F">
        <w:rPr>
          <w:i/>
          <w:iCs/>
        </w:rPr>
        <w:t>IAB-MT type 1-H</w:t>
      </w:r>
      <w:r>
        <w:t xml:space="preserve"> ACLR absolute </w:t>
      </w:r>
      <w:r w:rsidRPr="0063534F">
        <w:rPr>
          <w:rFonts w:cs="v5.0.0"/>
          <w:lang w:val="en-US" w:eastAsia="zh-CN"/>
        </w:rPr>
        <w:t xml:space="preserve">basic </w:t>
      </w:r>
      <w:r w:rsidRPr="0063534F">
        <w:t>limit</w:t>
      </w:r>
    </w:p>
    <w:tbl>
      <w:tblPr>
        <w:tblW w:w="644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083"/>
        <w:gridCol w:w="3359"/>
      </w:tblGrid>
      <w:tr w:rsidR="00B3234F" w14:paraId="525E1888" w14:textId="77777777" w:rsidTr="00BD1F8C">
        <w:trPr>
          <w:cantSplit/>
          <w:jc w:val="center"/>
        </w:trPr>
        <w:tc>
          <w:tcPr>
            <w:tcW w:w="3083" w:type="dxa"/>
            <w:tcBorders>
              <w:top w:val="single" w:sz="6" w:space="0" w:color="auto"/>
              <w:left w:val="single" w:sz="6" w:space="0" w:color="auto"/>
              <w:bottom w:val="single" w:sz="6" w:space="0" w:color="auto"/>
              <w:right w:val="single" w:sz="6" w:space="0" w:color="auto"/>
            </w:tcBorders>
            <w:hideMark/>
          </w:tcPr>
          <w:p w14:paraId="0ADF7ADD" w14:textId="77777777" w:rsidR="00B3234F" w:rsidRDefault="00B3234F" w:rsidP="0076338D">
            <w:pPr>
              <w:pStyle w:val="TAH"/>
            </w:pPr>
            <w:r>
              <w:rPr>
                <w:rFonts w:eastAsia="SimSun"/>
              </w:rPr>
              <w:t>IAB-DU and IAB-MT category / class</w:t>
            </w:r>
          </w:p>
        </w:tc>
        <w:tc>
          <w:tcPr>
            <w:tcW w:w="3359" w:type="dxa"/>
            <w:tcBorders>
              <w:top w:val="single" w:sz="6" w:space="0" w:color="auto"/>
              <w:left w:val="single" w:sz="6" w:space="0" w:color="auto"/>
              <w:bottom w:val="single" w:sz="6" w:space="0" w:color="auto"/>
              <w:right w:val="single" w:sz="6" w:space="0" w:color="auto"/>
            </w:tcBorders>
            <w:hideMark/>
          </w:tcPr>
          <w:p w14:paraId="3A79166D" w14:textId="77777777" w:rsidR="00B3234F" w:rsidRDefault="00B3234F" w:rsidP="0076338D">
            <w:pPr>
              <w:pStyle w:val="TAH"/>
            </w:pPr>
            <w:r>
              <w:t xml:space="preserve">ACLR absolute </w:t>
            </w:r>
            <w:r>
              <w:rPr>
                <w:i/>
                <w:iCs/>
                <w:lang w:val="en-US" w:eastAsia="zh-CN"/>
              </w:rPr>
              <w:t xml:space="preserve">basic </w:t>
            </w:r>
            <w:r>
              <w:rPr>
                <w:i/>
              </w:rPr>
              <w:t>limit</w:t>
            </w:r>
          </w:p>
        </w:tc>
      </w:tr>
      <w:tr w:rsidR="00B3234F" w14:paraId="20A8365E" w14:textId="77777777" w:rsidTr="00BD1F8C">
        <w:trPr>
          <w:cantSplit/>
          <w:jc w:val="center"/>
        </w:trPr>
        <w:tc>
          <w:tcPr>
            <w:tcW w:w="3083" w:type="dxa"/>
            <w:tcBorders>
              <w:top w:val="single" w:sz="6" w:space="0" w:color="auto"/>
              <w:left w:val="single" w:sz="6" w:space="0" w:color="auto"/>
              <w:bottom w:val="single" w:sz="6" w:space="0" w:color="auto"/>
              <w:right w:val="single" w:sz="6" w:space="0" w:color="auto"/>
            </w:tcBorders>
            <w:hideMark/>
          </w:tcPr>
          <w:p w14:paraId="7EDFF770" w14:textId="77777777" w:rsidR="00B3234F" w:rsidRDefault="00B3234F" w:rsidP="0076338D">
            <w:pPr>
              <w:pStyle w:val="TAC"/>
              <w:rPr>
                <w:rFonts w:eastAsia="SimSun"/>
                <w:lang w:eastAsia="zh-CN"/>
              </w:rPr>
            </w:pPr>
            <w:r>
              <w:t>Category A Wide Area IAB-DU and Category A Wide Area IAB-MT</w:t>
            </w:r>
          </w:p>
        </w:tc>
        <w:tc>
          <w:tcPr>
            <w:tcW w:w="3359" w:type="dxa"/>
            <w:tcBorders>
              <w:top w:val="single" w:sz="6" w:space="0" w:color="auto"/>
              <w:left w:val="single" w:sz="6" w:space="0" w:color="auto"/>
              <w:bottom w:val="single" w:sz="6" w:space="0" w:color="auto"/>
              <w:right w:val="single" w:sz="6" w:space="0" w:color="auto"/>
            </w:tcBorders>
            <w:hideMark/>
          </w:tcPr>
          <w:p w14:paraId="71248250" w14:textId="77777777" w:rsidR="00B3234F" w:rsidRDefault="00B3234F" w:rsidP="0076338D">
            <w:pPr>
              <w:pStyle w:val="TAC"/>
            </w:pPr>
            <w:r>
              <w:t>-13 dBm/MHz</w:t>
            </w:r>
          </w:p>
        </w:tc>
      </w:tr>
      <w:tr w:rsidR="00B3234F" w14:paraId="68621789" w14:textId="77777777" w:rsidTr="00BD1F8C">
        <w:trPr>
          <w:cantSplit/>
          <w:jc w:val="center"/>
        </w:trPr>
        <w:tc>
          <w:tcPr>
            <w:tcW w:w="3083" w:type="dxa"/>
            <w:tcBorders>
              <w:top w:val="single" w:sz="6" w:space="0" w:color="auto"/>
              <w:left w:val="single" w:sz="6" w:space="0" w:color="auto"/>
              <w:bottom w:val="single" w:sz="6" w:space="0" w:color="auto"/>
              <w:right w:val="single" w:sz="6" w:space="0" w:color="auto"/>
            </w:tcBorders>
            <w:hideMark/>
          </w:tcPr>
          <w:p w14:paraId="703A7F00" w14:textId="77777777" w:rsidR="00B3234F" w:rsidRDefault="00B3234F" w:rsidP="0076338D">
            <w:pPr>
              <w:pStyle w:val="TAC"/>
              <w:rPr>
                <w:lang w:eastAsia="ja-JP"/>
              </w:rPr>
            </w:pPr>
            <w:r>
              <w:rPr>
                <w:lang w:eastAsia="ja-JP"/>
              </w:rPr>
              <w:t>Category B Wide Area IAB-DU and Category B Wide Area IAB-MT</w:t>
            </w:r>
          </w:p>
        </w:tc>
        <w:tc>
          <w:tcPr>
            <w:tcW w:w="3359" w:type="dxa"/>
            <w:tcBorders>
              <w:top w:val="single" w:sz="6" w:space="0" w:color="auto"/>
              <w:left w:val="single" w:sz="6" w:space="0" w:color="auto"/>
              <w:bottom w:val="single" w:sz="6" w:space="0" w:color="auto"/>
              <w:right w:val="single" w:sz="6" w:space="0" w:color="auto"/>
            </w:tcBorders>
            <w:hideMark/>
          </w:tcPr>
          <w:p w14:paraId="0F270E73" w14:textId="77777777" w:rsidR="00B3234F" w:rsidRDefault="00B3234F" w:rsidP="0076338D">
            <w:pPr>
              <w:pStyle w:val="TAC"/>
              <w:rPr>
                <w:lang w:eastAsia="ja-JP"/>
              </w:rPr>
            </w:pPr>
            <w:r>
              <w:rPr>
                <w:lang w:eastAsia="ja-JP"/>
              </w:rPr>
              <w:t>-15 dBm/MHz</w:t>
            </w:r>
          </w:p>
        </w:tc>
      </w:tr>
      <w:tr w:rsidR="00B3234F" w14:paraId="79818F57" w14:textId="77777777" w:rsidTr="00BD1F8C">
        <w:trPr>
          <w:cantSplit/>
          <w:jc w:val="center"/>
        </w:trPr>
        <w:tc>
          <w:tcPr>
            <w:tcW w:w="3083" w:type="dxa"/>
            <w:tcBorders>
              <w:top w:val="single" w:sz="6" w:space="0" w:color="auto"/>
              <w:left w:val="single" w:sz="6" w:space="0" w:color="auto"/>
              <w:bottom w:val="single" w:sz="6" w:space="0" w:color="auto"/>
              <w:right w:val="single" w:sz="6" w:space="0" w:color="auto"/>
            </w:tcBorders>
            <w:hideMark/>
          </w:tcPr>
          <w:p w14:paraId="162DC0BC" w14:textId="77777777" w:rsidR="00B3234F" w:rsidRDefault="00B3234F" w:rsidP="0076338D">
            <w:pPr>
              <w:pStyle w:val="TAC"/>
            </w:pPr>
            <w:r>
              <w:t>Medium Range IAB-DU</w:t>
            </w:r>
          </w:p>
        </w:tc>
        <w:tc>
          <w:tcPr>
            <w:tcW w:w="3359" w:type="dxa"/>
            <w:tcBorders>
              <w:top w:val="single" w:sz="6" w:space="0" w:color="auto"/>
              <w:left w:val="single" w:sz="6" w:space="0" w:color="auto"/>
              <w:bottom w:val="single" w:sz="6" w:space="0" w:color="auto"/>
              <w:right w:val="single" w:sz="6" w:space="0" w:color="auto"/>
            </w:tcBorders>
            <w:hideMark/>
          </w:tcPr>
          <w:p w14:paraId="7447973A" w14:textId="77777777" w:rsidR="00B3234F" w:rsidRDefault="00B3234F" w:rsidP="0076338D">
            <w:pPr>
              <w:pStyle w:val="TAC"/>
              <w:rPr>
                <w:lang w:eastAsia="ja-JP"/>
              </w:rPr>
            </w:pPr>
            <w:r>
              <w:rPr>
                <w:lang w:eastAsia="ja-JP"/>
              </w:rPr>
              <w:t>-25 dBm/MHz</w:t>
            </w:r>
          </w:p>
        </w:tc>
      </w:tr>
      <w:tr w:rsidR="00B3234F" w14:paraId="2C53C5BD" w14:textId="77777777" w:rsidTr="00BD1F8C">
        <w:trPr>
          <w:cantSplit/>
          <w:jc w:val="center"/>
        </w:trPr>
        <w:tc>
          <w:tcPr>
            <w:tcW w:w="3083" w:type="dxa"/>
            <w:tcBorders>
              <w:top w:val="single" w:sz="6" w:space="0" w:color="auto"/>
              <w:left w:val="single" w:sz="6" w:space="0" w:color="auto"/>
              <w:bottom w:val="single" w:sz="6" w:space="0" w:color="auto"/>
              <w:right w:val="single" w:sz="6" w:space="0" w:color="auto"/>
            </w:tcBorders>
            <w:hideMark/>
          </w:tcPr>
          <w:p w14:paraId="7A6505CC" w14:textId="77777777" w:rsidR="00B3234F" w:rsidRDefault="00B3234F" w:rsidP="0076338D">
            <w:pPr>
              <w:pStyle w:val="TAC"/>
              <w:rPr>
                <w:lang w:eastAsia="ja-JP"/>
              </w:rPr>
            </w:pPr>
            <w:r>
              <w:rPr>
                <w:lang w:eastAsia="ja-JP"/>
              </w:rPr>
              <w:t xml:space="preserve">Local Area IAB-DU and </w:t>
            </w:r>
          </w:p>
          <w:p w14:paraId="109C536E" w14:textId="77777777" w:rsidR="00B3234F" w:rsidRDefault="00B3234F" w:rsidP="0076338D">
            <w:pPr>
              <w:pStyle w:val="TAC"/>
              <w:rPr>
                <w:lang w:eastAsia="ja-JP"/>
              </w:rPr>
            </w:pPr>
            <w:r>
              <w:rPr>
                <w:lang w:eastAsia="ja-JP"/>
              </w:rPr>
              <w:t>Local Area IAB-MT</w:t>
            </w:r>
          </w:p>
        </w:tc>
        <w:tc>
          <w:tcPr>
            <w:tcW w:w="3359" w:type="dxa"/>
            <w:tcBorders>
              <w:top w:val="single" w:sz="6" w:space="0" w:color="auto"/>
              <w:left w:val="single" w:sz="6" w:space="0" w:color="auto"/>
              <w:bottom w:val="single" w:sz="6" w:space="0" w:color="auto"/>
              <w:right w:val="single" w:sz="6" w:space="0" w:color="auto"/>
            </w:tcBorders>
            <w:hideMark/>
          </w:tcPr>
          <w:p w14:paraId="5839613A" w14:textId="77777777" w:rsidR="00B3234F" w:rsidRDefault="00B3234F" w:rsidP="0076338D">
            <w:pPr>
              <w:pStyle w:val="TAC"/>
              <w:rPr>
                <w:lang w:eastAsia="ja-JP"/>
              </w:rPr>
            </w:pPr>
            <w:r>
              <w:rPr>
                <w:lang w:eastAsia="ja-JP"/>
              </w:rPr>
              <w:t>-32 dBm/MHz</w:t>
            </w:r>
          </w:p>
        </w:tc>
      </w:tr>
    </w:tbl>
    <w:p w14:paraId="24D5AB12" w14:textId="77777777" w:rsidR="00B3234F" w:rsidRDefault="00B3234F" w:rsidP="00B3234F"/>
    <w:p w14:paraId="341088FD" w14:textId="77777777" w:rsidR="00B3234F" w:rsidRDefault="00B3234F" w:rsidP="00B3234F">
      <w:pPr>
        <w:rPr>
          <w:rFonts w:cs="v5.0.0"/>
        </w:rPr>
      </w:pPr>
      <w:bookmarkStart w:id="1949" w:name="_Hlk508123610"/>
      <w:r>
        <w:rPr>
          <w:rFonts w:cs="v5.0.0"/>
        </w:rPr>
        <w:t>For operation in non-contiguous spectrum or multiple bands, the ACLR shall be higher than the value specified in Table 6.6.3.2</w:t>
      </w:r>
      <w:r>
        <w:rPr>
          <w:rFonts w:cs="v5.0.0"/>
        </w:rPr>
        <w:noBreakHyphen/>
        <w:t>3.</w:t>
      </w:r>
    </w:p>
    <w:p w14:paraId="0ABA8FC8" w14:textId="77777777" w:rsidR="002E1777" w:rsidRDefault="002E1777" w:rsidP="002E1777">
      <w:pPr>
        <w:pStyle w:val="TH"/>
        <w:rPr>
          <w:lang w:val="en-US"/>
        </w:rPr>
      </w:pPr>
      <w:r>
        <w:rPr>
          <w:lang w:val="en-US"/>
        </w:rPr>
        <w:lastRenderedPageBreak/>
        <w:t xml:space="preserve">Table 6.6.3.2-3: </w:t>
      </w:r>
      <w:r w:rsidRPr="0063534F">
        <w:rPr>
          <w:i/>
          <w:iCs/>
          <w:lang w:val="en-US"/>
        </w:rPr>
        <w:t>IAB-DU type 1-H</w:t>
      </w:r>
      <w:r>
        <w:rPr>
          <w:lang w:val="en-US"/>
        </w:rPr>
        <w:t xml:space="preserve"> and </w:t>
      </w:r>
      <w:r w:rsidRPr="0063534F">
        <w:rPr>
          <w:i/>
          <w:iCs/>
          <w:lang w:val="en-US"/>
        </w:rPr>
        <w:t>IAB-MT type 1-H</w:t>
      </w:r>
      <w:r>
        <w:rPr>
          <w:lang w:val="en-US"/>
        </w:rPr>
        <w:t xml:space="preserve"> </w:t>
      </w:r>
      <w:r>
        <w:t>ACLR limit in non-contiguous spectrum or multiple bands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019"/>
        <w:gridCol w:w="1613"/>
        <w:gridCol w:w="2122"/>
        <w:gridCol w:w="1204"/>
        <w:gridCol w:w="1916"/>
        <w:gridCol w:w="751"/>
      </w:tblGrid>
      <w:tr w:rsidR="00B3234F" w14:paraId="7315E51C" w14:textId="77777777" w:rsidTr="0076338D">
        <w:trPr>
          <w:cantSplit/>
          <w:jc w:val="center"/>
        </w:trPr>
        <w:tc>
          <w:tcPr>
            <w:tcW w:w="0" w:type="auto"/>
            <w:tcBorders>
              <w:top w:val="single" w:sz="6" w:space="0" w:color="auto"/>
              <w:left w:val="single" w:sz="6" w:space="0" w:color="auto"/>
              <w:bottom w:val="single" w:sz="4" w:space="0" w:color="auto"/>
              <w:right w:val="single" w:sz="6" w:space="0" w:color="auto"/>
            </w:tcBorders>
            <w:hideMark/>
          </w:tcPr>
          <w:p w14:paraId="0F90DD39" w14:textId="77777777" w:rsidR="00B3234F" w:rsidRDefault="00B3234F" w:rsidP="0076338D">
            <w:pPr>
              <w:pStyle w:val="TAH"/>
              <w:rPr>
                <w:lang w:eastAsia="zh-CN"/>
              </w:rPr>
            </w:pPr>
            <w:r>
              <w:rPr>
                <w:rFonts w:eastAsia="SimSun"/>
                <w:lang w:eastAsia="zh-CN"/>
              </w:rPr>
              <w:t xml:space="preserve">IAB-DU </w:t>
            </w:r>
            <w:r w:rsidRPr="00743313">
              <w:rPr>
                <w:rFonts w:eastAsia="SimSun"/>
                <w:iCs/>
                <w:lang w:eastAsia="zh-CN"/>
              </w:rPr>
              <w:t>and</w:t>
            </w:r>
            <w:r>
              <w:rPr>
                <w:rFonts w:eastAsia="SimSun"/>
                <w:lang w:eastAsia="zh-CN"/>
              </w:rPr>
              <w:t xml:space="preserve"> IAB-MT channel bandwidth</w:t>
            </w:r>
            <w:r>
              <w:rPr>
                <w:lang w:eastAsia="zh-CN"/>
              </w:rPr>
              <w:t xml:space="preserve"> </w:t>
            </w:r>
            <w:r>
              <w:rPr>
                <w:rFonts w:eastAsia="SimSun"/>
                <w:lang w:eastAsia="zh-CN"/>
              </w:rPr>
              <w:t>of l</w:t>
            </w:r>
            <w:r>
              <w:rPr>
                <w:rFonts w:eastAsia="SimSun" w:cs="Arial"/>
                <w:lang w:eastAsia="zh-CN"/>
              </w:rPr>
              <w:t>owest/highest carrier</w:t>
            </w:r>
            <w:r>
              <w:rPr>
                <w:lang w:eastAsia="zh-CN"/>
              </w:rPr>
              <w:t xml:space="preserve"> transmitted </w:t>
            </w:r>
            <w:r>
              <w:rPr>
                <w:rFonts w:cs="Arial"/>
                <w:lang w:eastAsia="zh-CN"/>
              </w:rPr>
              <w:t>BW</w:t>
            </w:r>
            <w:r>
              <w:rPr>
                <w:rFonts w:cs="Arial"/>
                <w:vertAlign w:val="subscript"/>
                <w:lang w:eastAsia="zh-CN"/>
              </w:rPr>
              <w:t>Channel</w:t>
            </w:r>
            <w:r>
              <w:rPr>
                <w:lang w:eastAsia="zh-CN"/>
              </w:rPr>
              <w:t xml:space="preserve"> (MHz)</w:t>
            </w:r>
          </w:p>
        </w:tc>
        <w:tc>
          <w:tcPr>
            <w:tcW w:w="0" w:type="auto"/>
            <w:tcBorders>
              <w:top w:val="single" w:sz="6" w:space="0" w:color="auto"/>
              <w:left w:val="single" w:sz="6" w:space="0" w:color="auto"/>
              <w:bottom w:val="single" w:sz="6" w:space="0" w:color="auto"/>
              <w:right w:val="single" w:sz="6" w:space="0" w:color="auto"/>
            </w:tcBorders>
            <w:hideMark/>
          </w:tcPr>
          <w:p w14:paraId="43838F93" w14:textId="77777777" w:rsidR="00B3234F" w:rsidRDefault="00B3234F" w:rsidP="0076338D">
            <w:pPr>
              <w:pStyle w:val="TAH"/>
              <w:rPr>
                <w:rFonts w:cs="Arial"/>
                <w:szCs w:val="18"/>
                <w:lang w:eastAsia="zh-CN"/>
              </w:rPr>
            </w:pPr>
            <w:r>
              <w:rPr>
                <w:rFonts w:cs="Arial"/>
                <w:szCs w:val="18"/>
                <w:lang w:eastAsia="zh-CN"/>
              </w:rPr>
              <w:t>Sub-block or Inter RF Bandwidth gap size (W</w:t>
            </w:r>
            <w:r>
              <w:rPr>
                <w:rFonts w:cs="Arial"/>
                <w:szCs w:val="18"/>
                <w:vertAlign w:val="subscript"/>
                <w:lang w:eastAsia="zh-CN"/>
              </w:rPr>
              <w:t>gap</w:t>
            </w:r>
            <w:r>
              <w:rPr>
                <w:rFonts w:cs="Arial"/>
                <w:szCs w:val="18"/>
                <w:lang w:eastAsia="zh-CN"/>
              </w:rPr>
              <w:t>) where the limit applies (MHz)</w:t>
            </w:r>
          </w:p>
        </w:tc>
        <w:tc>
          <w:tcPr>
            <w:tcW w:w="0" w:type="auto"/>
            <w:tcBorders>
              <w:top w:val="single" w:sz="6" w:space="0" w:color="auto"/>
              <w:left w:val="single" w:sz="6" w:space="0" w:color="auto"/>
              <w:bottom w:val="single" w:sz="6" w:space="0" w:color="auto"/>
              <w:right w:val="single" w:sz="6" w:space="0" w:color="auto"/>
            </w:tcBorders>
            <w:hideMark/>
          </w:tcPr>
          <w:p w14:paraId="2927D943" w14:textId="77777777" w:rsidR="00B3234F" w:rsidRDefault="00B3234F" w:rsidP="0076338D">
            <w:pPr>
              <w:pStyle w:val="TAH"/>
              <w:rPr>
                <w:lang w:eastAsia="zh-CN"/>
              </w:rPr>
            </w:pPr>
            <w:r w:rsidRPr="00743313">
              <w:rPr>
                <w:rFonts w:eastAsia="SimSun"/>
                <w:lang w:eastAsia="zh-CN"/>
              </w:rPr>
              <w:t>IAB-</w:t>
            </w:r>
            <w:r>
              <w:rPr>
                <w:rFonts w:eastAsia="SimSun"/>
                <w:lang w:eastAsia="zh-CN"/>
              </w:rPr>
              <w:t>DU</w:t>
            </w:r>
            <w:r w:rsidRPr="00743313">
              <w:rPr>
                <w:rFonts w:eastAsia="SimSun"/>
                <w:lang w:eastAsia="zh-CN"/>
              </w:rPr>
              <w:t xml:space="preserve"> </w:t>
            </w:r>
            <w:r w:rsidRPr="00CB608C">
              <w:rPr>
                <w:rFonts w:eastAsia="SimSun"/>
                <w:iCs/>
                <w:lang w:eastAsia="zh-CN"/>
              </w:rPr>
              <w:t>and</w:t>
            </w:r>
            <w:r w:rsidRPr="00743313">
              <w:rPr>
                <w:rFonts w:eastAsia="SimSun"/>
                <w:lang w:eastAsia="zh-CN"/>
              </w:rPr>
              <w:t xml:space="preserve"> IAB-</w:t>
            </w:r>
            <w:r>
              <w:rPr>
                <w:rFonts w:eastAsia="SimSun"/>
                <w:lang w:eastAsia="zh-CN"/>
              </w:rPr>
              <w:t>MT</w:t>
            </w:r>
            <w:r>
              <w:rPr>
                <w:lang w:eastAsia="zh-CN"/>
              </w:rPr>
              <w:t xml:space="preserve"> adjacent channel centre frequency offset below or above the </w:t>
            </w:r>
            <w:r>
              <w:rPr>
                <w:rFonts w:eastAsia="SimSun"/>
                <w:lang w:eastAsia="zh-CN"/>
              </w:rPr>
              <w:t>sub-block or IAB-DU or IAB-MT RF Bandwidth edge (inside the gap)</w:t>
            </w:r>
          </w:p>
        </w:tc>
        <w:tc>
          <w:tcPr>
            <w:tcW w:w="0" w:type="auto"/>
            <w:tcBorders>
              <w:top w:val="single" w:sz="6" w:space="0" w:color="auto"/>
              <w:left w:val="single" w:sz="6" w:space="0" w:color="auto"/>
              <w:bottom w:val="single" w:sz="6" w:space="0" w:color="auto"/>
              <w:right w:val="single" w:sz="6" w:space="0" w:color="auto"/>
            </w:tcBorders>
            <w:hideMark/>
          </w:tcPr>
          <w:p w14:paraId="78C6B787" w14:textId="77777777" w:rsidR="00B3234F" w:rsidRDefault="00B3234F" w:rsidP="0076338D">
            <w:pPr>
              <w:pStyle w:val="TAH"/>
              <w:rPr>
                <w:lang w:eastAsia="zh-CN"/>
              </w:rPr>
            </w:pPr>
            <w:r>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7A7BAE3A" w14:textId="77777777" w:rsidR="00B3234F" w:rsidRDefault="00B3234F" w:rsidP="0076338D">
            <w:pPr>
              <w:pStyle w:val="TAH"/>
              <w:rPr>
                <w:lang w:eastAsia="zh-CN"/>
              </w:rPr>
            </w:pPr>
            <w:r>
              <w:rPr>
                <w:lang w:eastAsia="zh-CN"/>
              </w:rPr>
              <w:t>Filter on the adjacent channel frequency and corresponding filter bandwidth</w:t>
            </w:r>
          </w:p>
        </w:tc>
        <w:tc>
          <w:tcPr>
            <w:tcW w:w="0" w:type="auto"/>
            <w:tcBorders>
              <w:top w:val="single" w:sz="6" w:space="0" w:color="auto"/>
              <w:left w:val="single" w:sz="6" w:space="0" w:color="auto"/>
              <w:bottom w:val="single" w:sz="6" w:space="0" w:color="auto"/>
              <w:right w:val="single" w:sz="6" w:space="0" w:color="auto"/>
            </w:tcBorders>
            <w:hideMark/>
          </w:tcPr>
          <w:p w14:paraId="75D7CE65" w14:textId="77777777" w:rsidR="00B3234F" w:rsidRDefault="00B3234F" w:rsidP="0076338D">
            <w:pPr>
              <w:pStyle w:val="TAH"/>
              <w:rPr>
                <w:lang w:eastAsia="zh-CN"/>
              </w:rPr>
            </w:pPr>
            <w:r>
              <w:rPr>
                <w:lang w:eastAsia="zh-CN"/>
              </w:rPr>
              <w:t>ACLR limit</w:t>
            </w:r>
          </w:p>
        </w:tc>
      </w:tr>
      <w:tr w:rsidR="0076338D" w14:paraId="41D1F70B" w14:textId="77777777" w:rsidTr="004C7013">
        <w:trPr>
          <w:cantSplit/>
          <w:jc w:val="center"/>
        </w:trPr>
        <w:tc>
          <w:tcPr>
            <w:tcW w:w="0" w:type="auto"/>
            <w:tcBorders>
              <w:top w:val="single" w:sz="4" w:space="0" w:color="auto"/>
              <w:left w:val="single" w:sz="4" w:space="0" w:color="auto"/>
              <w:bottom w:val="nil"/>
              <w:right w:val="single" w:sz="4" w:space="0" w:color="auto"/>
            </w:tcBorders>
            <w:shd w:val="clear" w:color="auto" w:fill="auto"/>
            <w:hideMark/>
          </w:tcPr>
          <w:p w14:paraId="2A035D15" w14:textId="78F6DD65" w:rsidR="0076338D" w:rsidRDefault="002E1777" w:rsidP="004C7013">
            <w:pPr>
              <w:pStyle w:val="TAC"/>
              <w:rPr>
                <w:rFonts w:eastAsia="SimSun"/>
                <w:lang w:eastAsia="zh-CN"/>
              </w:rPr>
            </w:pPr>
            <w:r>
              <w:rPr>
                <w:lang w:eastAsia="zh-CN"/>
              </w:rPr>
              <w:t>10, 15, 20</w:t>
            </w:r>
          </w:p>
        </w:tc>
        <w:tc>
          <w:tcPr>
            <w:tcW w:w="0" w:type="auto"/>
            <w:tcBorders>
              <w:top w:val="single" w:sz="6" w:space="0" w:color="auto"/>
              <w:left w:val="single" w:sz="4" w:space="0" w:color="auto"/>
              <w:bottom w:val="single" w:sz="6" w:space="0" w:color="auto"/>
              <w:right w:val="single" w:sz="6" w:space="0" w:color="auto"/>
            </w:tcBorders>
            <w:hideMark/>
          </w:tcPr>
          <w:p w14:paraId="5E16B67C" w14:textId="77777777" w:rsidR="0076338D" w:rsidRDefault="0076338D" w:rsidP="0076338D">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xml:space="preserve"> ≥ 15 (Note 3)</w:t>
            </w:r>
          </w:p>
          <w:p w14:paraId="2863944E" w14:textId="77777777" w:rsidR="0076338D" w:rsidRDefault="0076338D" w:rsidP="0076338D">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xml:space="preserve"> ≥ 45 (Note 4)</w:t>
            </w:r>
          </w:p>
        </w:tc>
        <w:tc>
          <w:tcPr>
            <w:tcW w:w="0" w:type="auto"/>
            <w:tcBorders>
              <w:top w:val="single" w:sz="6" w:space="0" w:color="auto"/>
              <w:left w:val="single" w:sz="6" w:space="0" w:color="auto"/>
              <w:bottom w:val="single" w:sz="6" w:space="0" w:color="auto"/>
              <w:right w:val="single" w:sz="6" w:space="0" w:color="auto"/>
            </w:tcBorders>
            <w:hideMark/>
          </w:tcPr>
          <w:p w14:paraId="0F3D4556" w14:textId="77777777" w:rsidR="0076338D" w:rsidRDefault="0076338D" w:rsidP="0076338D">
            <w:pPr>
              <w:pStyle w:val="TAC"/>
              <w:rPr>
                <w:lang w:eastAsia="zh-CN"/>
              </w:rPr>
            </w:pPr>
            <w:r>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3C99B548" w14:textId="77777777" w:rsidR="0076338D" w:rsidRDefault="0076338D" w:rsidP="0076338D">
            <w:pPr>
              <w:pStyle w:val="TAC"/>
              <w:rPr>
                <w:lang w:eastAsia="zh-CN"/>
              </w:rPr>
            </w:pPr>
            <w:r>
              <w:rPr>
                <w:rFonts w:eastAsia="SimSun"/>
                <w:lang w:eastAsia="zh-CN"/>
              </w:rPr>
              <w:t xml:space="preserve">5 MHz </w:t>
            </w:r>
            <w:r>
              <w:rPr>
                <w:lang w:eastAsia="zh-CN"/>
              </w:rPr>
              <w:t xml:space="preserve">NR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6FCC581B"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0D5CF28E" w14:textId="77777777" w:rsidR="0076338D" w:rsidRDefault="0076338D" w:rsidP="0076338D">
            <w:pPr>
              <w:pStyle w:val="TAC"/>
              <w:rPr>
                <w:lang w:eastAsia="zh-CN"/>
              </w:rPr>
            </w:pPr>
            <w:r>
              <w:rPr>
                <w:lang w:eastAsia="zh-CN"/>
              </w:rPr>
              <w:t>45 dB</w:t>
            </w:r>
          </w:p>
        </w:tc>
      </w:tr>
      <w:tr w:rsidR="0076338D" w14:paraId="55F8C2F7" w14:textId="77777777" w:rsidTr="004C7013">
        <w:trPr>
          <w:cantSplit/>
          <w:jc w:val="center"/>
        </w:trPr>
        <w:tc>
          <w:tcPr>
            <w:tcW w:w="0" w:type="auto"/>
            <w:tcBorders>
              <w:top w:val="nil"/>
              <w:left w:val="single" w:sz="4" w:space="0" w:color="auto"/>
              <w:bottom w:val="single" w:sz="4" w:space="0" w:color="auto"/>
              <w:right w:val="single" w:sz="4" w:space="0" w:color="auto"/>
            </w:tcBorders>
            <w:shd w:val="clear" w:color="auto" w:fill="auto"/>
            <w:hideMark/>
          </w:tcPr>
          <w:p w14:paraId="2EFF4973" w14:textId="77777777" w:rsidR="0076338D" w:rsidRDefault="0076338D" w:rsidP="004C7013">
            <w:pPr>
              <w:pStyle w:val="TAC"/>
              <w:rPr>
                <w:rFonts w:eastAsia="SimSun"/>
                <w:lang w:eastAsia="zh-CN"/>
              </w:rPr>
            </w:pPr>
          </w:p>
        </w:tc>
        <w:tc>
          <w:tcPr>
            <w:tcW w:w="0" w:type="auto"/>
            <w:tcBorders>
              <w:top w:val="single" w:sz="6" w:space="0" w:color="auto"/>
              <w:left w:val="single" w:sz="4" w:space="0" w:color="auto"/>
              <w:bottom w:val="single" w:sz="6" w:space="0" w:color="auto"/>
              <w:right w:val="single" w:sz="6" w:space="0" w:color="auto"/>
            </w:tcBorders>
            <w:hideMark/>
          </w:tcPr>
          <w:p w14:paraId="12B17C33" w14:textId="77777777" w:rsidR="0076338D" w:rsidRDefault="0076338D" w:rsidP="0076338D">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xml:space="preserve"> ≥ 20 (Note 3)</w:t>
            </w:r>
          </w:p>
          <w:p w14:paraId="3DF66594" w14:textId="77777777" w:rsidR="0076338D" w:rsidRDefault="0076338D" w:rsidP="0076338D">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xml:space="preserve"> ≥ 50 (Note 4)</w:t>
            </w:r>
          </w:p>
        </w:tc>
        <w:tc>
          <w:tcPr>
            <w:tcW w:w="0" w:type="auto"/>
            <w:tcBorders>
              <w:top w:val="single" w:sz="6" w:space="0" w:color="auto"/>
              <w:left w:val="single" w:sz="6" w:space="0" w:color="auto"/>
              <w:bottom w:val="single" w:sz="6" w:space="0" w:color="auto"/>
              <w:right w:val="single" w:sz="6" w:space="0" w:color="auto"/>
            </w:tcBorders>
            <w:hideMark/>
          </w:tcPr>
          <w:p w14:paraId="30A3A952" w14:textId="77777777" w:rsidR="0076338D" w:rsidRDefault="0076338D" w:rsidP="0076338D">
            <w:pPr>
              <w:pStyle w:val="TAC"/>
              <w:rPr>
                <w:lang w:eastAsia="zh-CN"/>
              </w:rPr>
            </w:pPr>
            <w:r>
              <w:rPr>
                <w:lang w:eastAsia="zh-CN"/>
              </w:rPr>
              <w:t>7.5 MHz</w:t>
            </w:r>
          </w:p>
        </w:tc>
        <w:tc>
          <w:tcPr>
            <w:tcW w:w="0" w:type="auto"/>
            <w:tcBorders>
              <w:top w:val="single" w:sz="6" w:space="0" w:color="auto"/>
              <w:left w:val="single" w:sz="6" w:space="0" w:color="auto"/>
              <w:bottom w:val="single" w:sz="6" w:space="0" w:color="auto"/>
              <w:right w:val="single" w:sz="6" w:space="0" w:color="auto"/>
            </w:tcBorders>
            <w:hideMark/>
          </w:tcPr>
          <w:p w14:paraId="11A37E5E" w14:textId="77777777" w:rsidR="0076338D" w:rsidRDefault="0076338D" w:rsidP="0076338D">
            <w:pPr>
              <w:pStyle w:val="TAC"/>
              <w:rPr>
                <w:lang w:eastAsia="zh-CN"/>
              </w:rPr>
            </w:pPr>
            <w:r>
              <w:rPr>
                <w:rFonts w:eastAsia="SimSun"/>
                <w:lang w:eastAsia="zh-CN"/>
              </w:rPr>
              <w:t>5 MHz NR</w:t>
            </w:r>
            <w:r>
              <w:rPr>
                <w:lang w:eastAsia="zh-CN"/>
              </w:rPr>
              <w:t xml:space="preserve">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48338BE1"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7C8A0542" w14:textId="77777777" w:rsidR="0076338D" w:rsidRDefault="0076338D" w:rsidP="0076338D">
            <w:pPr>
              <w:pStyle w:val="TAC"/>
              <w:rPr>
                <w:lang w:eastAsia="zh-CN"/>
              </w:rPr>
            </w:pPr>
            <w:r>
              <w:rPr>
                <w:lang w:eastAsia="zh-CN"/>
              </w:rPr>
              <w:t>45 dB</w:t>
            </w:r>
          </w:p>
        </w:tc>
      </w:tr>
      <w:tr w:rsidR="0076338D" w14:paraId="352C1DD2" w14:textId="77777777" w:rsidTr="004C7013">
        <w:trPr>
          <w:cantSplit/>
          <w:jc w:val="center"/>
        </w:trPr>
        <w:tc>
          <w:tcPr>
            <w:tcW w:w="0" w:type="auto"/>
            <w:tcBorders>
              <w:top w:val="single" w:sz="4" w:space="0" w:color="auto"/>
              <w:left w:val="single" w:sz="4" w:space="0" w:color="auto"/>
              <w:bottom w:val="nil"/>
              <w:right w:val="single" w:sz="4" w:space="0" w:color="auto"/>
            </w:tcBorders>
            <w:shd w:val="clear" w:color="auto" w:fill="auto"/>
            <w:hideMark/>
          </w:tcPr>
          <w:p w14:paraId="435C5FA9" w14:textId="77777777" w:rsidR="0076338D" w:rsidRDefault="0076338D" w:rsidP="004C7013">
            <w:pPr>
              <w:pStyle w:val="TAC"/>
              <w:rPr>
                <w:rFonts w:eastAsia="SimSun"/>
                <w:lang w:eastAsia="zh-CN"/>
              </w:rPr>
            </w:pPr>
            <w:r>
              <w:rPr>
                <w:rFonts w:eastAsia="SimSun"/>
                <w:lang w:eastAsia="zh-CN"/>
              </w:rPr>
              <w:t>25, 30, 40, 50, 60, 70, 80, 90, 100</w:t>
            </w:r>
          </w:p>
        </w:tc>
        <w:tc>
          <w:tcPr>
            <w:tcW w:w="0" w:type="auto"/>
            <w:tcBorders>
              <w:top w:val="single" w:sz="6" w:space="0" w:color="auto"/>
              <w:left w:val="single" w:sz="4" w:space="0" w:color="auto"/>
              <w:bottom w:val="single" w:sz="6" w:space="0" w:color="auto"/>
              <w:right w:val="single" w:sz="6" w:space="0" w:color="auto"/>
            </w:tcBorders>
            <w:hideMark/>
          </w:tcPr>
          <w:p w14:paraId="49CEBFBE" w14:textId="77777777" w:rsidR="0076338D" w:rsidRDefault="0076338D" w:rsidP="0076338D">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xml:space="preserve"> ≥ 60 (Note 4)</w:t>
            </w:r>
          </w:p>
          <w:p w14:paraId="1B9EC4B3" w14:textId="752AFA36" w:rsidR="0076338D" w:rsidRDefault="0076338D" w:rsidP="0076338D">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xml:space="preserve"> ≥ 30 (Note 3)</w:t>
            </w:r>
          </w:p>
        </w:tc>
        <w:tc>
          <w:tcPr>
            <w:tcW w:w="0" w:type="auto"/>
            <w:tcBorders>
              <w:top w:val="single" w:sz="6" w:space="0" w:color="auto"/>
              <w:left w:val="single" w:sz="6" w:space="0" w:color="auto"/>
              <w:bottom w:val="single" w:sz="6" w:space="0" w:color="auto"/>
              <w:right w:val="single" w:sz="6" w:space="0" w:color="auto"/>
            </w:tcBorders>
            <w:hideMark/>
          </w:tcPr>
          <w:p w14:paraId="34ECD75A" w14:textId="77777777" w:rsidR="0076338D" w:rsidRDefault="0076338D" w:rsidP="0076338D">
            <w:pPr>
              <w:pStyle w:val="TAC"/>
              <w:rPr>
                <w:lang w:eastAsia="zh-CN"/>
              </w:rPr>
            </w:pPr>
            <w:r>
              <w:rPr>
                <w:rFonts w:cs="Arial"/>
                <w:lang w:eastAsia="zh-CN"/>
              </w:rPr>
              <w:t>10 MHz</w:t>
            </w:r>
          </w:p>
        </w:tc>
        <w:tc>
          <w:tcPr>
            <w:tcW w:w="0" w:type="auto"/>
            <w:tcBorders>
              <w:top w:val="single" w:sz="6" w:space="0" w:color="auto"/>
              <w:left w:val="single" w:sz="6" w:space="0" w:color="auto"/>
              <w:bottom w:val="single" w:sz="6" w:space="0" w:color="auto"/>
              <w:right w:val="single" w:sz="6" w:space="0" w:color="auto"/>
            </w:tcBorders>
            <w:hideMark/>
          </w:tcPr>
          <w:p w14:paraId="7D0E66BE" w14:textId="77777777" w:rsidR="0076338D" w:rsidRDefault="0076338D" w:rsidP="0076338D">
            <w:pPr>
              <w:pStyle w:val="TAC"/>
              <w:rPr>
                <w:lang w:eastAsia="zh-CN"/>
              </w:rPr>
            </w:pPr>
            <w:r>
              <w:rPr>
                <w:lang w:eastAsia="zh-CN"/>
              </w:rPr>
              <w:t xml:space="preserve">20 MHz NR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2C887911"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0A994657" w14:textId="77777777" w:rsidR="0076338D" w:rsidRDefault="0076338D" w:rsidP="0076338D">
            <w:pPr>
              <w:pStyle w:val="TAC"/>
              <w:rPr>
                <w:lang w:eastAsia="zh-CN"/>
              </w:rPr>
            </w:pPr>
            <w:r>
              <w:rPr>
                <w:lang w:eastAsia="zh-CN"/>
              </w:rPr>
              <w:t>45 dB</w:t>
            </w:r>
          </w:p>
        </w:tc>
      </w:tr>
      <w:tr w:rsidR="0076338D" w14:paraId="44385FC5" w14:textId="77777777" w:rsidTr="004C7013">
        <w:trPr>
          <w:cantSplit/>
          <w:jc w:val="center"/>
        </w:trPr>
        <w:tc>
          <w:tcPr>
            <w:tcW w:w="0" w:type="auto"/>
            <w:tcBorders>
              <w:top w:val="nil"/>
              <w:left w:val="single" w:sz="4" w:space="0" w:color="auto"/>
              <w:bottom w:val="single" w:sz="4" w:space="0" w:color="auto"/>
              <w:right w:val="single" w:sz="4" w:space="0" w:color="auto"/>
            </w:tcBorders>
            <w:shd w:val="clear" w:color="auto" w:fill="auto"/>
            <w:hideMark/>
          </w:tcPr>
          <w:p w14:paraId="7880CD30" w14:textId="77777777" w:rsidR="0076338D" w:rsidRDefault="0076338D" w:rsidP="004C7013">
            <w:pPr>
              <w:pStyle w:val="TAC"/>
              <w:rPr>
                <w:rFonts w:eastAsia="SimSun"/>
                <w:lang w:eastAsia="zh-CN"/>
              </w:rPr>
            </w:pPr>
          </w:p>
        </w:tc>
        <w:tc>
          <w:tcPr>
            <w:tcW w:w="0" w:type="auto"/>
            <w:tcBorders>
              <w:top w:val="single" w:sz="6" w:space="0" w:color="auto"/>
              <w:left w:val="single" w:sz="4" w:space="0" w:color="auto"/>
              <w:bottom w:val="single" w:sz="6" w:space="0" w:color="auto"/>
              <w:right w:val="single" w:sz="6" w:space="0" w:color="auto"/>
            </w:tcBorders>
            <w:hideMark/>
          </w:tcPr>
          <w:p w14:paraId="004CAAB8" w14:textId="77777777" w:rsidR="0076338D" w:rsidRDefault="0076338D" w:rsidP="0076338D">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xml:space="preserve"> ≥ 80 (Note 4)</w:t>
            </w:r>
          </w:p>
          <w:p w14:paraId="183E0720" w14:textId="77777777" w:rsidR="0076338D" w:rsidRDefault="0076338D" w:rsidP="0076338D">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xml:space="preserve"> ≥ 50 (Note 3)</w:t>
            </w:r>
          </w:p>
        </w:tc>
        <w:tc>
          <w:tcPr>
            <w:tcW w:w="0" w:type="auto"/>
            <w:tcBorders>
              <w:top w:val="single" w:sz="6" w:space="0" w:color="auto"/>
              <w:left w:val="single" w:sz="6" w:space="0" w:color="auto"/>
              <w:bottom w:val="single" w:sz="6" w:space="0" w:color="auto"/>
              <w:right w:val="single" w:sz="6" w:space="0" w:color="auto"/>
            </w:tcBorders>
            <w:hideMark/>
          </w:tcPr>
          <w:p w14:paraId="1EA40589" w14:textId="77777777" w:rsidR="0076338D" w:rsidRDefault="0076338D" w:rsidP="0076338D">
            <w:pPr>
              <w:pStyle w:val="TAC"/>
              <w:rPr>
                <w:lang w:eastAsia="zh-CN"/>
              </w:rPr>
            </w:pPr>
            <w:r>
              <w:rPr>
                <w:lang w:eastAsia="zh-CN"/>
              </w:rPr>
              <w:t>30 MHz</w:t>
            </w:r>
          </w:p>
        </w:tc>
        <w:tc>
          <w:tcPr>
            <w:tcW w:w="0" w:type="auto"/>
            <w:tcBorders>
              <w:top w:val="single" w:sz="6" w:space="0" w:color="auto"/>
              <w:left w:val="single" w:sz="6" w:space="0" w:color="auto"/>
              <w:bottom w:val="single" w:sz="6" w:space="0" w:color="auto"/>
              <w:right w:val="single" w:sz="6" w:space="0" w:color="auto"/>
            </w:tcBorders>
            <w:hideMark/>
          </w:tcPr>
          <w:p w14:paraId="15750F60" w14:textId="77777777" w:rsidR="0076338D" w:rsidRDefault="0076338D" w:rsidP="0076338D">
            <w:pPr>
              <w:pStyle w:val="TAC"/>
              <w:rPr>
                <w:lang w:eastAsia="zh-CN"/>
              </w:rPr>
            </w:pPr>
            <w:r>
              <w:rPr>
                <w:rFonts w:eastAsia="SimSun"/>
                <w:lang w:eastAsia="zh-CN"/>
              </w:rPr>
              <w:t>20 MHz NR</w:t>
            </w:r>
            <w:r>
              <w:rPr>
                <w:lang w:eastAsia="zh-CN"/>
              </w:rPr>
              <w:t xml:space="preserve">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46DBA12E"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72C32A3D" w14:textId="77777777" w:rsidR="0076338D" w:rsidRDefault="0076338D" w:rsidP="0076338D">
            <w:pPr>
              <w:pStyle w:val="TAC"/>
              <w:rPr>
                <w:lang w:eastAsia="zh-CN"/>
              </w:rPr>
            </w:pPr>
            <w:r>
              <w:rPr>
                <w:lang w:eastAsia="zh-CN"/>
              </w:rPr>
              <w:t>45 dB</w:t>
            </w:r>
          </w:p>
        </w:tc>
      </w:tr>
      <w:tr w:rsidR="00B3234F" w:rsidRPr="00AB3358" w14:paraId="446EDCB4" w14:textId="77777777" w:rsidTr="00BD1F8C">
        <w:trPr>
          <w:cantSplit/>
          <w:jc w:val="center"/>
        </w:trPr>
        <w:tc>
          <w:tcPr>
            <w:tcW w:w="0" w:type="auto"/>
            <w:gridSpan w:val="6"/>
            <w:tcBorders>
              <w:top w:val="single" w:sz="6" w:space="0" w:color="auto"/>
              <w:left w:val="single" w:sz="6" w:space="0" w:color="auto"/>
              <w:bottom w:val="single" w:sz="6" w:space="0" w:color="auto"/>
              <w:right w:val="single" w:sz="6" w:space="0" w:color="auto"/>
            </w:tcBorders>
            <w:hideMark/>
          </w:tcPr>
          <w:p w14:paraId="022BFE1E" w14:textId="77777777" w:rsidR="002E1777" w:rsidRDefault="002E1777" w:rsidP="002E1777">
            <w:pPr>
              <w:pStyle w:val="TAN"/>
              <w:rPr>
                <w:lang w:eastAsia="zh-CN"/>
              </w:rPr>
            </w:pPr>
            <w:r>
              <w:rPr>
                <w:lang w:eastAsia="zh-CN"/>
              </w:rPr>
              <w:t>NOTE 1:</w:t>
            </w:r>
            <w:r>
              <w:rPr>
                <w:lang w:eastAsia="zh-CN"/>
              </w:rPr>
              <w:tab/>
              <w:t>BW</w:t>
            </w:r>
            <w:r>
              <w:rPr>
                <w:vertAlign w:val="subscript"/>
                <w:lang w:eastAsia="zh-CN"/>
              </w:rPr>
              <w:t>Config</w:t>
            </w:r>
            <w:r>
              <w:rPr>
                <w:lang w:eastAsia="zh-CN"/>
              </w:rPr>
              <w:t xml:space="preserve"> is the transmission bandwidth configuration of the </w:t>
            </w:r>
            <w:r>
              <w:rPr>
                <w:rFonts w:cs="v5.0.0"/>
                <w:lang w:eastAsia="zh-CN"/>
              </w:rPr>
              <w:t>assumed adjacent channel carrier</w:t>
            </w:r>
            <w:r>
              <w:rPr>
                <w:lang w:eastAsia="zh-CN"/>
              </w:rPr>
              <w:t>.</w:t>
            </w:r>
          </w:p>
          <w:p w14:paraId="6CC06A23" w14:textId="77777777" w:rsidR="002E1777" w:rsidRDefault="002E1777" w:rsidP="002E1777">
            <w:pPr>
              <w:pStyle w:val="TAN"/>
              <w:rPr>
                <w:rFonts w:cs="Arial"/>
              </w:rPr>
            </w:pPr>
            <w:r>
              <w:rPr>
                <w:rFonts w:cs="Arial"/>
              </w:rPr>
              <w:t>NOTE 2:</w:t>
            </w:r>
            <w:r>
              <w:rPr>
                <w:rFonts w:cs="Arial"/>
              </w:rPr>
              <w:tab/>
            </w:r>
            <w:r>
              <w:t xml:space="preserve">With SCS that provides largest </w:t>
            </w:r>
            <w:r>
              <w:rPr>
                <w:rFonts w:cs="Arial"/>
              </w:rPr>
              <w:t>transmission bandwidth configuration (BW</w:t>
            </w:r>
            <w:r>
              <w:rPr>
                <w:rFonts w:cs="Arial"/>
                <w:vertAlign w:val="subscript"/>
              </w:rPr>
              <w:t>Config</w:t>
            </w:r>
            <w:r>
              <w:rPr>
                <w:rFonts w:cs="v5.0.0"/>
              </w:rPr>
              <w:t>)</w:t>
            </w:r>
            <w:r>
              <w:rPr>
                <w:rFonts w:cs="Arial"/>
              </w:rPr>
              <w:t>.</w:t>
            </w:r>
          </w:p>
          <w:p w14:paraId="2CB4A51F" w14:textId="3198708A" w:rsidR="002E1777" w:rsidRDefault="002E1777" w:rsidP="002E1777">
            <w:pPr>
              <w:pStyle w:val="TAN"/>
              <w:rPr>
                <w:rFonts w:eastAsia="SimSun"/>
                <w:lang w:eastAsia="zh-CN"/>
              </w:rPr>
            </w:pPr>
            <w:r>
              <w:rPr>
                <w:rFonts w:eastAsia="SimSun"/>
                <w:lang w:eastAsia="zh-CN"/>
              </w:rPr>
              <w:t>NOTE 3:</w:t>
            </w:r>
            <w:r>
              <w:rPr>
                <w:rFonts w:eastAsia="SimSun"/>
                <w:lang w:eastAsia="zh-CN"/>
              </w:rPr>
              <w:tab/>
              <w:t xml:space="preserve">Applicable in case the </w:t>
            </w:r>
            <w:r>
              <w:rPr>
                <w:rFonts w:cs="Arial"/>
                <w:i/>
              </w:rPr>
              <w:t xml:space="preserve">IAB-DU </w:t>
            </w:r>
            <w:r w:rsidRPr="00743313">
              <w:rPr>
                <w:rFonts w:cs="Arial"/>
                <w:iCs/>
              </w:rPr>
              <w:t>or</w:t>
            </w:r>
            <w:r>
              <w:rPr>
                <w:rFonts w:cs="Arial"/>
                <w:i/>
              </w:rPr>
              <w:t xml:space="preserve"> IAB-MT channel bandwidth</w:t>
            </w:r>
            <w:r>
              <w:rPr>
                <w:rFonts w:eastAsia="SimSun"/>
                <w:lang w:eastAsia="zh-CN"/>
              </w:rPr>
              <w:t xml:space="preserve"> of the NR carrier transmitted at the other edge of the gap is 10, 15, 20 MHz.</w:t>
            </w:r>
          </w:p>
          <w:p w14:paraId="71B1935A" w14:textId="292F701A" w:rsidR="00B3234F" w:rsidRDefault="002E1777" w:rsidP="002E1777">
            <w:pPr>
              <w:pStyle w:val="TAN"/>
              <w:rPr>
                <w:rFonts w:eastAsia="SimSun"/>
                <w:lang w:eastAsia="zh-CN"/>
              </w:rPr>
            </w:pPr>
            <w:r>
              <w:rPr>
                <w:rFonts w:eastAsia="SimSun"/>
                <w:lang w:eastAsia="zh-CN"/>
              </w:rPr>
              <w:t>NOTE 4:</w:t>
            </w:r>
            <w:r>
              <w:rPr>
                <w:rFonts w:eastAsia="SimSun"/>
                <w:lang w:eastAsia="zh-CN"/>
              </w:rPr>
              <w:tab/>
              <w:t xml:space="preserve">Applicable in case the </w:t>
            </w:r>
            <w:r>
              <w:rPr>
                <w:rFonts w:cs="Arial"/>
                <w:i/>
              </w:rPr>
              <w:t xml:space="preserve">IAB-DU </w:t>
            </w:r>
            <w:r w:rsidRPr="00743313">
              <w:rPr>
                <w:rFonts w:cs="Arial"/>
                <w:iCs/>
              </w:rPr>
              <w:t>or</w:t>
            </w:r>
            <w:r>
              <w:rPr>
                <w:rFonts w:cs="Arial"/>
                <w:i/>
              </w:rPr>
              <w:t xml:space="preserve"> IAB-MT channel bandwidth</w:t>
            </w:r>
            <w:r>
              <w:rPr>
                <w:rFonts w:cs="Arial"/>
              </w:rPr>
              <w:t xml:space="preserve"> </w:t>
            </w:r>
            <w:r>
              <w:rPr>
                <w:rFonts w:eastAsia="SimSun"/>
                <w:lang w:eastAsia="zh-CN"/>
              </w:rPr>
              <w:t>of the NR carrier transmitted at the other edge of the gap is 25, 30, 40, 50, 60, 70, 80, 90, 100 MHz.</w:t>
            </w:r>
          </w:p>
        </w:tc>
      </w:tr>
      <w:bookmarkEnd w:id="1949"/>
    </w:tbl>
    <w:p w14:paraId="6C15CCB7" w14:textId="77777777" w:rsidR="00B3234F" w:rsidRDefault="00B3234F" w:rsidP="00B3234F">
      <w:pPr>
        <w:rPr>
          <w:szCs w:val="24"/>
        </w:rPr>
      </w:pPr>
    </w:p>
    <w:p w14:paraId="1B5B74D4" w14:textId="77777777" w:rsidR="00B3234F" w:rsidRDefault="00B3234F" w:rsidP="00B3234F">
      <w:r>
        <w:t xml:space="preserve">The Cumulative Adjacent Channel Leakage power Ratio (CACLR) in a </w:t>
      </w:r>
      <w:r>
        <w:rPr>
          <w:i/>
        </w:rPr>
        <w:t>sub-block gap</w:t>
      </w:r>
      <w:r>
        <w:t xml:space="preserve"> or the </w:t>
      </w:r>
      <w:r>
        <w:rPr>
          <w:i/>
        </w:rPr>
        <w:t>Inter RF Bandwidth gap</w:t>
      </w:r>
      <w:r>
        <w:t xml:space="preserve"> is the ratio of:</w:t>
      </w:r>
    </w:p>
    <w:p w14:paraId="1E9DB5AB" w14:textId="77777777" w:rsidR="00B3234F" w:rsidRDefault="00B3234F" w:rsidP="0076338D">
      <w:pPr>
        <w:pStyle w:val="B10"/>
      </w:pPr>
      <w:r>
        <w:t>a)</w:t>
      </w:r>
      <w:r>
        <w:tab/>
        <w:t xml:space="preserve">the sum of the filtered mean power centred on the assigned channel frequencies for the two carriers adjacent to each side of the </w:t>
      </w:r>
      <w:r>
        <w:rPr>
          <w:i/>
        </w:rPr>
        <w:t>sub-block gap</w:t>
      </w:r>
      <w:r>
        <w:t xml:space="preserve"> or the </w:t>
      </w:r>
      <w:r>
        <w:rPr>
          <w:i/>
        </w:rPr>
        <w:t>Inter RF Bandwidth gap</w:t>
      </w:r>
      <w:r>
        <w:t>, and</w:t>
      </w:r>
    </w:p>
    <w:p w14:paraId="234F33FE" w14:textId="77777777" w:rsidR="00B3234F" w:rsidRDefault="00B3234F" w:rsidP="0076338D">
      <w:pPr>
        <w:pStyle w:val="B10"/>
      </w:pPr>
      <w:r>
        <w:t>b)</w:t>
      </w:r>
      <w:r>
        <w:tab/>
        <w:t xml:space="preserve">the filtered mean power centred on a frequency channel adjacent to one of the respective </w:t>
      </w:r>
      <w:r>
        <w:rPr>
          <w:i/>
        </w:rPr>
        <w:t>sub-block</w:t>
      </w:r>
      <w:r>
        <w:t xml:space="preserve"> edges, </w:t>
      </w:r>
      <w:r>
        <w:rPr>
          <w:rFonts w:cs="v5.0.0"/>
          <w:i/>
        </w:rPr>
        <w:t>IAB-MT</w:t>
      </w:r>
      <w:r>
        <w:rPr>
          <w:i/>
        </w:rPr>
        <w:t xml:space="preserve"> RF Bandwidth edges </w:t>
      </w:r>
      <w:r w:rsidRPr="00743313">
        <w:rPr>
          <w:iCs/>
        </w:rPr>
        <w:t>or</w:t>
      </w:r>
      <w:r>
        <w:t xml:space="preserve"> </w:t>
      </w:r>
      <w:r w:rsidRPr="00743313">
        <w:rPr>
          <w:i/>
          <w:iCs/>
        </w:rPr>
        <w:t>IAB-DU RF Bandwidth edges</w:t>
      </w:r>
      <w:r>
        <w:t>.</w:t>
      </w:r>
    </w:p>
    <w:p w14:paraId="308A6D11" w14:textId="77777777" w:rsidR="00B3234F" w:rsidRDefault="00B3234F" w:rsidP="00B3234F">
      <w:r>
        <w:t>The assumed filter for the adjacent channel frequency is defined in table 6.6.3.2-4 and the filters on the assigned channels are defined in table 6.6.3.2-</w:t>
      </w:r>
      <w:r>
        <w:rPr>
          <w:rFonts w:eastAsia="SimSun"/>
          <w:lang w:eastAsia="zh-CN"/>
        </w:rPr>
        <w:t>6</w:t>
      </w:r>
      <w:r>
        <w:t>.</w:t>
      </w:r>
    </w:p>
    <w:p w14:paraId="4986FE31" w14:textId="77777777" w:rsidR="00B3234F" w:rsidRDefault="00B3234F" w:rsidP="00B3234F">
      <w:pPr>
        <w:rPr>
          <w:rFonts w:eastAsia="SimSun"/>
        </w:rPr>
      </w:pPr>
      <w:r>
        <w:rPr>
          <w:rFonts w:cs="v5.0.0"/>
        </w:rPr>
        <w:t xml:space="preserve">For operation in </w:t>
      </w:r>
      <w:r>
        <w:rPr>
          <w:rFonts w:cs="v5.0.0"/>
          <w:i/>
        </w:rPr>
        <w:t>non-contiguous spectrum</w:t>
      </w:r>
      <w:r>
        <w:rPr>
          <w:rFonts w:cs="v5.0.0"/>
        </w:rPr>
        <w:t xml:space="preserve"> or multiple bands, the CACLR for NR carriers located on either side of the </w:t>
      </w:r>
      <w:r>
        <w:rPr>
          <w:rFonts w:cs="v5.0.0"/>
          <w:i/>
        </w:rPr>
        <w:t>sub-block gap</w:t>
      </w:r>
      <w:r>
        <w:rPr>
          <w:rFonts w:cs="v5.0.0"/>
        </w:rPr>
        <w:t xml:space="preserve"> or the </w:t>
      </w:r>
      <w:r>
        <w:rPr>
          <w:rFonts w:cs="v5.0.0"/>
          <w:i/>
        </w:rPr>
        <w:t>Inter RF Bandwidth gap</w:t>
      </w:r>
      <w:r>
        <w:rPr>
          <w:rFonts w:cs="v5.0.0"/>
        </w:rPr>
        <w:t xml:space="preserve"> shall be higher than the value specified in table 6.6.3.2-4.</w:t>
      </w:r>
    </w:p>
    <w:p w14:paraId="6EB65731" w14:textId="77777777" w:rsidR="002E1777" w:rsidRDefault="002E1777" w:rsidP="002E1777">
      <w:pPr>
        <w:pStyle w:val="TH"/>
        <w:rPr>
          <w:rFonts w:eastAsia="SimSun"/>
          <w:lang w:eastAsia="zh-CN"/>
        </w:rPr>
      </w:pPr>
      <w:r>
        <w:lastRenderedPageBreak/>
        <w:t xml:space="preserve">Table </w:t>
      </w:r>
      <w:r>
        <w:rPr>
          <w:rFonts w:eastAsia="SimSun"/>
          <w:lang w:eastAsia="zh-CN"/>
        </w:rPr>
        <w:t>6.6.3.2-4</w:t>
      </w:r>
      <w:r>
        <w:t xml:space="preserve">: </w:t>
      </w:r>
      <w:r w:rsidRPr="0063534F">
        <w:rPr>
          <w:i/>
          <w:iCs/>
          <w:lang w:val="en-US"/>
        </w:rPr>
        <w:t>IAB-DU type 1-H</w:t>
      </w:r>
      <w:r>
        <w:rPr>
          <w:lang w:val="en-US"/>
        </w:rPr>
        <w:t xml:space="preserve"> and </w:t>
      </w:r>
      <w:r w:rsidRPr="0063534F">
        <w:rPr>
          <w:i/>
          <w:iCs/>
          <w:lang w:val="en-US"/>
        </w:rPr>
        <w:t>IAB-MT type 1-H</w:t>
      </w:r>
      <w:r>
        <w:rPr>
          <w:lang w:val="en-US"/>
        </w:rPr>
        <w:t xml:space="preserve"> </w:t>
      </w:r>
      <w:r>
        <w:t xml:space="preserve">CACLR </w:t>
      </w:r>
      <w:r>
        <w:rPr>
          <w:rFonts w:eastAsia="SimSun"/>
          <w:lang w:eastAsia="zh-CN"/>
        </w:rPr>
        <w:t>limit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994"/>
        <w:gridCol w:w="1589"/>
        <w:gridCol w:w="2074"/>
        <w:gridCol w:w="1195"/>
        <w:gridCol w:w="1894"/>
        <w:gridCol w:w="879"/>
      </w:tblGrid>
      <w:tr w:rsidR="00B3234F" w14:paraId="19C91035" w14:textId="77777777" w:rsidTr="0076338D">
        <w:trPr>
          <w:cantSplit/>
          <w:jc w:val="center"/>
        </w:trPr>
        <w:tc>
          <w:tcPr>
            <w:tcW w:w="0" w:type="auto"/>
            <w:tcBorders>
              <w:top w:val="single" w:sz="6" w:space="0" w:color="auto"/>
              <w:left w:val="single" w:sz="6" w:space="0" w:color="auto"/>
              <w:bottom w:val="single" w:sz="4" w:space="0" w:color="auto"/>
              <w:right w:val="single" w:sz="6" w:space="0" w:color="auto"/>
            </w:tcBorders>
          </w:tcPr>
          <w:p w14:paraId="560E2E37" w14:textId="77777777" w:rsidR="00B3234F" w:rsidRDefault="00B3234F" w:rsidP="0076338D">
            <w:pPr>
              <w:pStyle w:val="TAH"/>
              <w:rPr>
                <w:lang w:eastAsia="zh-CN"/>
              </w:rPr>
            </w:pPr>
            <w:r>
              <w:rPr>
                <w:rFonts w:eastAsia="SimSun"/>
                <w:lang w:eastAsia="zh-CN"/>
              </w:rPr>
              <w:t xml:space="preserve">IAB-DU </w:t>
            </w:r>
            <w:r w:rsidRPr="00743313">
              <w:rPr>
                <w:rFonts w:eastAsia="SimSun"/>
                <w:iCs/>
                <w:lang w:eastAsia="zh-CN"/>
              </w:rPr>
              <w:t>and</w:t>
            </w:r>
            <w:r>
              <w:rPr>
                <w:rFonts w:eastAsia="SimSun"/>
                <w:lang w:eastAsia="zh-CN"/>
              </w:rPr>
              <w:t xml:space="preserve"> IAB-MT channel bandwidth</w:t>
            </w:r>
            <w:r>
              <w:rPr>
                <w:lang w:eastAsia="zh-CN"/>
              </w:rPr>
              <w:t xml:space="preserve"> </w:t>
            </w:r>
            <w:r>
              <w:rPr>
                <w:rFonts w:eastAsia="SimSun"/>
                <w:lang w:eastAsia="zh-CN"/>
              </w:rPr>
              <w:t>of l</w:t>
            </w:r>
            <w:r>
              <w:rPr>
                <w:rFonts w:eastAsia="SimSun" w:cs="Arial"/>
                <w:lang w:eastAsia="zh-CN"/>
              </w:rPr>
              <w:t>owest/highest carrier</w:t>
            </w:r>
            <w:r>
              <w:rPr>
                <w:lang w:eastAsia="zh-CN"/>
              </w:rPr>
              <w:t xml:space="preserve"> transmitted </w:t>
            </w:r>
            <w:r>
              <w:rPr>
                <w:rFonts w:cs="Arial"/>
                <w:lang w:eastAsia="zh-CN"/>
              </w:rPr>
              <w:t>BW</w:t>
            </w:r>
            <w:r>
              <w:rPr>
                <w:rFonts w:cs="Arial"/>
                <w:vertAlign w:val="subscript"/>
                <w:lang w:eastAsia="zh-CN"/>
              </w:rPr>
              <w:t>Channel</w:t>
            </w:r>
            <w:r>
              <w:rPr>
                <w:lang w:eastAsia="zh-CN"/>
              </w:rPr>
              <w:t xml:space="preserve"> (MHz)</w:t>
            </w:r>
          </w:p>
        </w:tc>
        <w:tc>
          <w:tcPr>
            <w:tcW w:w="0" w:type="auto"/>
            <w:tcBorders>
              <w:top w:val="single" w:sz="6" w:space="0" w:color="auto"/>
              <w:left w:val="single" w:sz="6" w:space="0" w:color="auto"/>
              <w:bottom w:val="single" w:sz="6" w:space="0" w:color="auto"/>
              <w:right w:val="single" w:sz="6" w:space="0" w:color="auto"/>
            </w:tcBorders>
          </w:tcPr>
          <w:p w14:paraId="790FE472" w14:textId="77777777" w:rsidR="00B3234F" w:rsidRDefault="00B3234F" w:rsidP="0076338D">
            <w:pPr>
              <w:pStyle w:val="TAH"/>
              <w:rPr>
                <w:rFonts w:cs="Arial"/>
                <w:szCs w:val="18"/>
                <w:lang w:eastAsia="zh-CN"/>
              </w:rPr>
            </w:pPr>
            <w:r>
              <w:rPr>
                <w:rFonts w:cs="Arial"/>
                <w:szCs w:val="18"/>
                <w:lang w:eastAsia="zh-CN"/>
              </w:rPr>
              <w:t>Sub-block or Inter RF Bandwidth gap size (W</w:t>
            </w:r>
            <w:r>
              <w:rPr>
                <w:rFonts w:cs="Arial"/>
                <w:szCs w:val="18"/>
                <w:vertAlign w:val="subscript"/>
                <w:lang w:eastAsia="zh-CN"/>
              </w:rPr>
              <w:t>gap</w:t>
            </w:r>
            <w:r>
              <w:rPr>
                <w:rFonts w:cs="Arial"/>
                <w:szCs w:val="18"/>
                <w:lang w:eastAsia="zh-CN"/>
              </w:rPr>
              <w:t>) where the limit applies (MHz)</w:t>
            </w:r>
          </w:p>
        </w:tc>
        <w:tc>
          <w:tcPr>
            <w:tcW w:w="0" w:type="auto"/>
            <w:tcBorders>
              <w:top w:val="single" w:sz="6" w:space="0" w:color="auto"/>
              <w:left w:val="single" w:sz="6" w:space="0" w:color="auto"/>
              <w:bottom w:val="single" w:sz="6" w:space="0" w:color="auto"/>
              <w:right w:val="single" w:sz="6" w:space="0" w:color="auto"/>
            </w:tcBorders>
          </w:tcPr>
          <w:p w14:paraId="71BBDBE7" w14:textId="77777777" w:rsidR="00B3234F" w:rsidRDefault="00B3234F" w:rsidP="0076338D">
            <w:pPr>
              <w:pStyle w:val="TAH"/>
              <w:rPr>
                <w:lang w:eastAsia="zh-CN"/>
              </w:rPr>
            </w:pPr>
            <w:r>
              <w:rPr>
                <w:lang w:eastAsia="zh-CN"/>
              </w:rPr>
              <w:t xml:space="preserve">IAB-DU and IAB-MT adjacent channel centre frequency offset below or above the </w:t>
            </w:r>
            <w:r>
              <w:rPr>
                <w:rFonts w:eastAsia="SimSun"/>
                <w:lang w:eastAsia="zh-CN"/>
              </w:rPr>
              <w:t>sub-block or IAB-DU or IAB-MT RF Bandwidth edge (inside the gap)</w:t>
            </w:r>
          </w:p>
        </w:tc>
        <w:tc>
          <w:tcPr>
            <w:tcW w:w="0" w:type="auto"/>
            <w:tcBorders>
              <w:top w:val="single" w:sz="6" w:space="0" w:color="auto"/>
              <w:left w:val="single" w:sz="6" w:space="0" w:color="auto"/>
              <w:bottom w:val="single" w:sz="6" w:space="0" w:color="auto"/>
              <w:right w:val="single" w:sz="6" w:space="0" w:color="auto"/>
            </w:tcBorders>
          </w:tcPr>
          <w:p w14:paraId="4EF01BBD" w14:textId="77777777" w:rsidR="00B3234F" w:rsidRDefault="00B3234F" w:rsidP="0076338D">
            <w:pPr>
              <w:pStyle w:val="TAH"/>
              <w:rPr>
                <w:lang w:eastAsia="zh-CN"/>
              </w:rPr>
            </w:pPr>
            <w:r>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6C64EE02" w14:textId="77777777" w:rsidR="00B3234F" w:rsidRDefault="00B3234F" w:rsidP="0076338D">
            <w:pPr>
              <w:pStyle w:val="TAH"/>
              <w:rPr>
                <w:lang w:eastAsia="zh-CN"/>
              </w:rPr>
            </w:pPr>
            <w:r>
              <w:rPr>
                <w:lang w:eastAsia="zh-CN"/>
              </w:rPr>
              <w:t>Filter on the adjacent channel frequency and corresponding filter bandwidth</w:t>
            </w:r>
          </w:p>
        </w:tc>
        <w:tc>
          <w:tcPr>
            <w:tcW w:w="0" w:type="auto"/>
            <w:tcBorders>
              <w:top w:val="single" w:sz="6" w:space="0" w:color="auto"/>
              <w:left w:val="single" w:sz="6" w:space="0" w:color="auto"/>
              <w:bottom w:val="single" w:sz="6" w:space="0" w:color="auto"/>
              <w:right w:val="single" w:sz="6" w:space="0" w:color="auto"/>
            </w:tcBorders>
            <w:hideMark/>
          </w:tcPr>
          <w:p w14:paraId="770BC673" w14:textId="77777777" w:rsidR="00B3234F" w:rsidRDefault="00B3234F" w:rsidP="0076338D">
            <w:pPr>
              <w:pStyle w:val="TAH"/>
              <w:rPr>
                <w:lang w:eastAsia="zh-CN"/>
              </w:rPr>
            </w:pPr>
            <w:r>
              <w:rPr>
                <w:lang w:eastAsia="zh-CN"/>
              </w:rPr>
              <w:t>CACLR limit</w:t>
            </w:r>
          </w:p>
        </w:tc>
      </w:tr>
      <w:tr w:rsidR="0076338D" w14:paraId="5AC11F83" w14:textId="77777777" w:rsidTr="0076338D">
        <w:trPr>
          <w:cantSplit/>
          <w:jc w:val="center"/>
        </w:trPr>
        <w:tc>
          <w:tcPr>
            <w:tcW w:w="0" w:type="auto"/>
            <w:tcBorders>
              <w:top w:val="single" w:sz="4" w:space="0" w:color="auto"/>
              <w:left w:val="single" w:sz="4" w:space="0" w:color="auto"/>
              <w:bottom w:val="nil"/>
              <w:right w:val="single" w:sz="4" w:space="0" w:color="auto"/>
            </w:tcBorders>
            <w:shd w:val="clear" w:color="auto" w:fill="auto"/>
            <w:hideMark/>
          </w:tcPr>
          <w:p w14:paraId="517F806B" w14:textId="40C1EF73" w:rsidR="0076338D" w:rsidRDefault="002E1777" w:rsidP="0076338D">
            <w:pPr>
              <w:pStyle w:val="TAC"/>
              <w:rPr>
                <w:rFonts w:eastAsia="SimSun"/>
                <w:lang w:eastAsia="zh-CN"/>
              </w:rPr>
            </w:pPr>
            <w:r>
              <w:rPr>
                <w:lang w:eastAsia="zh-CN"/>
              </w:rPr>
              <w:t>10, 15, 20</w:t>
            </w:r>
          </w:p>
        </w:tc>
        <w:tc>
          <w:tcPr>
            <w:tcW w:w="0" w:type="auto"/>
            <w:tcBorders>
              <w:top w:val="single" w:sz="6" w:space="0" w:color="auto"/>
              <w:left w:val="single" w:sz="4" w:space="0" w:color="auto"/>
              <w:bottom w:val="single" w:sz="6" w:space="0" w:color="auto"/>
              <w:right w:val="single" w:sz="6" w:space="0" w:color="auto"/>
            </w:tcBorders>
            <w:hideMark/>
          </w:tcPr>
          <w:p w14:paraId="236E676F" w14:textId="77777777" w:rsidR="0076338D" w:rsidRDefault="0076338D" w:rsidP="0076338D">
            <w:pPr>
              <w:pStyle w:val="TAC"/>
              <w:rPr>
                <w:rFonts w:cs="Arial"/>
                <w:szCs w:val="18"/>
                <w:lang w:val="en-US"/>
              </w:rPr>
            </w:pPr>
            <w:r>
              <w:rPr>
                <w:rFonts w:cs="Arial"/>
                <w:szCs w:val="18"/>
                <w:lang w:eastAsia="zh-CN"/>
              </w:rPr>
              <w:t>5 ≤W</w:t>
            </w:r>
            <w:r>
              <w:rPr>
                <w:rFonts w:cs="Arial"/>
                <w:szCs w:val="18"/>
                <w:vertAlign w:val="subscript"/>
                <w:lang w:eastAsia="zh-CN"/>
              </w:rPr>
              <w:t>gap</w:t>
            </w:r>
            <w:r>
              <w:rPr>
                <w:rFonts w:cs="Arial"/>
                <w:szCs w:val="18"/>
                <w:lang w:eastAsia="zh-CN"/>
              </w:rPr>
              <w:t xml:space="preserve">&lt; 15 </w:t>
            </w:r>
            <w:r>
              <w:rPr>
                <w:rFonts w:cs="Arial"/>
                <w:szCs w:val="18"/>
                <w:lang w:val="en-US"/>
              </w:rPr>
              <w:t>(Note 3)</w:t>
            </w:r>
          </w:p>
          <w:p w14:paraId="5D82C9A4" w14:textId="77777777" w:rsidR="0076338D" w:rsidRDefault="0076338D" w:rsidP="0076338D">
            <w:pPr>
              <w:pStyle w:val="TAC"/>
              <w:rPr>
                <w:rFonts w:cs="Arial"/>
                <w:szCs w:val="18"/>
                <w:lang w:eastAsia="zh-CN"/>
              </w:rPr>
            </w:pPr>
            <w:r>
              <w:rPr>
                <w:rFonts w:cs="Arial"/>
                <w:szCs w:val="18"/>
                <w:lang w:eastAsia="zh-CN"/>
              </w:rPr>
              <w:t>5 ≤W</w:t>
            </w:r>
            <w:r>
              <w:rPr>
                <w:rFonts w:cs="Arial"/>
                <w:szCs w:val="18"/>
                <w:vertAlign w:val="subscript"/>
                <w:lang w:eastAsia="zh-CN"/>
              </w:rPr>
              <w:t>gap</w:t>
            </w:r>
            <w:r>
              <w:rPr>
                <w:rFonts w:cs="Arial"/>
                <w:szCs w:val="18"/>
                <w:lang w:eastAsia="zh-CN"/>
              </w:rPr>
              <w:t>&lt; 45 (Note 4)</w:t>
            </w:r>
          </w:p>
        </w:tc>
        <w:tc>
          <w:tcPr>
            <w:tcW w:w="0" w:type="auto"/>
            <w:tcBorders>
              <w:top w:val="single" w:sz="6" w:space="0" w:color="auto"/>
              <w:left w:val="single" w:sz="6" w:space="0" w:color="auto"/>
              <w:bottom w:val="single" w:sz="6" w:space="0" w:color="auto"/>
              <w:right w:val="single" w:sz="6" w:space="0" w:color="auto"/>
            </w:tcBorders>
            <w:hideMark/>
          </w:tcPr>
          <w:p w14:paraId="7D7E7AE1" w14:textId="77777777" w:rsidR="0076338D" w:rsidRDefault="0076338D" w:rsidP="0076338D">
            <w:pPr>
              <w:pStyle w:val="TAC"/>
              <w:rPr>
                <w:lang w:eastAsia="zh-CN"/>
              </w:rPr>
            </w:pPr>
            <w:r>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783D15ED" w14:textId="77777777" w:rsidR="0076338D" w:rsidRDefault="0076338D" w:rsidP="0076338D">
            <w:pPr>
              <w:pStyle w:val="TAC"/>
              <w:rPr>
                <w:lang w:eastAsia="zh-CN"/>
              </w:rPr>
            </w:pPr>
            <w:r>
              <w:rPr>
                <w:rFonts w:eastAsia="SimSun"/>
                <w:lang w:eastAsia="zh-CN"/>
              </w:rPr>
              <w:t xml:space="preserve">5 MHz </w:t>
            </w:r>
            <w:r>
              <w:rPr>
                <w:lang w:eastAsia="zh-CN"/>
              </w:rPr>
              <w:t xml:space="preserve">NR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5A7F1F9B"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59EC568C" w14:textId="77777777" w:rsidR="0076338D" w:rsidRDefault="0076338D" w:rsidP="0076338D">
            <w:pPr>
              <w:pStyle w:val="TAC"/>
              <w:rPr>
                <w:lang w:eastAsia="zh-CN"/>
              </w:rPr>
            </w:pPr>
            <w:r>
              <w:rPr>
                <w:lang w:eastAsia="zh-CN"/>
              </w:rPr>
              <w:t>45 dB</w:t>
            </w:r>
          </w:p>
        </w:tc>
      </w:tr>
      <w:tr w:rsidR="0076338D" w14:paraId="631FAEE8" w14:textId="77777777" w:rsidTr="0076338D">
        <w:trPr>
          <w:cantSplit/>
          <w:jc w:val="center"/>
        </w:trPr>
        <w:tc>
          <w:tcPr>
            <w:tcW w:w="0" w:type="auto"/>
            <w:tcBorders>
              <w:top w:val="nil"/>
              <w:left w:val="single" w:sz="4" w:space="0" w:color="auto"/>
              <w:bottom w:val="single" w:sz="4" w:space="0" w:color="auto"/>
              <w:right w:val="single" w:sz="4" w:space="0" w:color="auto"/>
            </w:tcBorders>
            <w:shd w:val="clear" w:color="auto" w:fill="auto"/>
            <w:hideMark/>
          </w:tcPr>
          <w:p w14:paraId="3DE2B896" w14:textId="77777777" w:rsidR="0076338D" w:rsidRDefault="0076338D" w:rsidP="0076338D">
            <w:pPr>
              <w:pStyle w:val="TAC"/>
              <w:rPr>
                <w:rFonts w:eastAsia="SimSun"/>
                <w:lang w:eastAsia="zh-CN"/>
              </w:rPr>
            </w:pPr>
          </w:p>
        </w:tc>
        <w:tc>
          <w:tcPr>
            <w:tcW w:w="0" w:type="auto"/>
            <w:tcBorders>
              <w:top w:val="single" w:sz="6" w:space="0" w:color="auto"/>
              <w:left w:val="single" w:sz="4" w:space="0" w:color="auto"/>
              <w:bottom w:val="single" w:sz="6" w:space="0" w:color="auto"/>
              <w:right w:val="single" w:sz="6" w:space="0" w:color="auto"/>
            </w:tcBorders>
            <w:hideMark/>
          </w:tcPr>
          <w:p w14:paraId="3DD01DB8" w14:textId="77777777" w:rsidR="0076338D" w:rsidRDefault="0076338D" w:rsidP="0076338D">
            <w:pPr>
              <w:pStyle w:val="TAC"/>
              <w:rPr>
                <w:rFonts w:cs="Arial"/>
                <w:szCs w:val="18"/>
                <w:lang w:val="en-US"/>
              </w:rPr>
            </w:pPr>
            <w:r>
              <w:rPr>
                <w:rFonts w:cs="Arial"/>
                <w:szCs w:val="18"/>
                <w:lang w:eastAsia="zh-CN"/>
              </w:rPr>
              <w:t>10 &lt; W</w:t>
            </w:r>
            <w:r>
              <w:rPr>
                <w:rFonts w:cs="Arial"/>
                <w:szCs w:val="18"/>
                <w:vertAlign w:val="subscript"/>
                <w:lang w:eastAsia="zh-CN"/>
              </w:rPr>
              <w:t>gap</w:t>
            </w:r>
            <w:r>
              <w:rPr>
                <w:rFonts w:cs="Arial"/>
                <w:szCs w:val="18"/>
                <w:lang w:eastAsia="zh-CN"/>
              </w:rPr>
              <w:t xml:space="preserve">&lt; 20  </w:t>
            </w:r>
            <w:r>
              <w:rPr>
                <w:rFonts w:cs="Arial"/>
                <w:szCs w:val="18"/>
                <w:lang w:val="en-US"/>
              </w:rPr>
              <w:t>(Note 3)</w:t>
            </w:r>
          </w:p>
          <w:p w14:paraId="741103C4" w14:textId="77777777" w:rsidR="0076338D" w:rsidRDefault="0076338D" w:rsidP="0076338D">
            <w:pPr>
              <w:pStyle w:val="TAC"/>
              <w:rPr>
                <w:rFonts w:cs="Arial"/>
                <w:szCs w:val="18"/>
                <w:lang w:eastAsia="zh-CN"/>
              </w:rPr>
            </w:pPr>
            <w:r>
              <w:rPr>
                <w:rFonts w:cs="Arial"/>
                <w:szCs w:val="18"/>
                <w:lang w:eastAsia="zh-CN"/>
              </w:rPr>
              <w:t>10 ≤W</w:t>
            </w:r>
            <w:r>
              <w:rPr>
                <w:rFonts w:cs="Arial"/>
                <w:szCs w:val="18"/>
                <w:vertAlign w:val="subscript"/>
                <w:lang w:eastAsia="zh-CN"/>
              </w:rPr>
              <w:t>gap</w:t>
            </w:r>
            <w:r>
              <w:rPr>
                <w:rFonts w:cs="Arial"/>
                <w:szCs w:val="18"/>
                <w:lang w:eastAsia="zh-CN"/>
              </w:rPr>
              <w:t>&lt; 50 (Note 4)</w:t>
            </w:r>
          </w:p>
        </w:tc>
        <w:tc>
          <w:tcPr>
            <w:tcW w:w="0" w:type="auto"/>
            <w:tcBorders>
              <w:top w:val="single" w:sz="6" w:space="0" w:color="auto"/>
              <w:left w:val="single" w:sz="6" w:space="0" w:color="auto"/>
              <w:bottom w:val="single" w:sz="6" w:space="0" w:color="auto"/>
              <w:right w:val="single" w:sz="6" w:space="0" w:color="auto"/>
            </w:tcBorders>
            <w:hideMark/>
          </w:tcPr>
          <w:p w14:paraId="4BCA73EF" w14:textId="77777777" w:rsidR="0076338D" w:rsidRDefault="0076338D" w:rsidP="0076338D">
            <w:pPr>
              <w:pStyle w:val="TAC"/>
              <w:rPr>
                <w:lang w:eastAsia="zh-CN"/>
              </w:rPr>
            </w:pPr>
            <w:r>
              <w:rPr>
                <w:lang w:eastAsia="zh-CN"/>
              </w:rPr>
              <w:t>7.5 MHz</w:t>
            </w:r>
          </w:p>
        </w:tc>
        <w:tc>
          <w:tcPr>
            <w:tcW w:w="0" w:type="auto"/>
            <w:tcBorders>
              <w:top w:val="single" w:sz="6" w:space="0" w:color="auto"/>
              <w:left w:val="single" w:sz="6" w:space="0" w:color="auto"/>
              <w:bottom w:val="single" w:sz="6" w:space="0" w:color="auto"/>
              <w:right w:val="single" w:sz="6" w:space="0" w:color="auto"/>
            </w:tcBorders>
            <w:hideMark/>
          </w:tcPr>
          <w:p w14:paraId="30CE69DF" w14:textId="77777777" w:rsidR="0076338D" w:rsidRDefault="0076338D" w:rsidP="0076338D">
            <w:pPr>
              <w:pStyle w:val="TAC"/>
              <w:rPr>
                <w:lang w:eastAsia="zh-CN"/>
              </w:rPr>
            </w:pPr>
            <w:r>
              <w:rPr>
                <w:rFonts w:eastAsia="SimSun"/>
                <w:lang w:eastAsia="zh-CN"/>
              </w:rPr>
              <w:t>5 MHz NR</w:t>
            </w:r>
            <w:r>
              <w:rPr>
                <w:lang w:eastAsia="zh-CN"/>
              </w:rPr>
              <w:t xml:space="preserve">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79C065E0"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651148B8" w14:textId="77777777" w:rsidR="0076338D" w:rsidRDefault="0076338D" w:rsidP="0076338D">
            <w:pPr>
              <w:pStyle w:val="TAC"/>
              <w:rPr>
                <w:lang w:eastAsia="zh-CN"/>
              </w:rPr>
            </w:pPr>
            <w:r>
              <w:rPr>
                <w:lang w:eastAsia="zh-CN"/>
              </w:rPr>
              <w:t>45 dB</w:t>
            </w:r>
          </w:p>
        </w:tc>
      </w:tr>
      <w:tr w:rsidR="0076338D" w14:paraId="391E2443" w14:textId="77777777" w:rsidTr="0076338D">
        <w:trPr>
          <w:cantSplit/>
          <w:jc w:val="center"/>
        </w:trPr>
        <w:tc>
          <w:tcPr>
            <w:tcW w:w="0" w:type="auto"/>
            <w:tcBorders>
              <w:top w:val="single" w:sz="4" w:space="0" w:color="auto"/>
              <w:left w:val="single" w:sz="4" w:space="0" w:color="auto"/>
              <w:bottom w:val="nil"/>
              <w:right w:val="single" w:sz="4" w:space="0" w:color="auto"/>
            </w:tcBorders>
            <w:shd w:val="clear" w:color="auto" w:fill="auto"/>
            <w:hideMark/>
          </w:tcPr>
          <w:p w14:paraId="5185E1FB" w14:textId="77777777" w:rsidR="0076338D" w:rsidRDefault="0076338D" w:rsidP="0076338D">
            <w:pPr>
              <w:pStyle w:val="TAC"/>
              <w:rPr>
                <w:rFonts w:eastAsia="SimSun"/>
                <w:lang w:eastAsia="zh-CN"/>
              </w:rPr>
            </w:pPr>
            <w:r>
              <w:rPr>
                <w:rFonts w:eastAsia="SimSun"/>
                <w:lang w:eastAsia="zh-CN"/>
              </w:rPr>
              <w:t>25, 30, 40, 50, 60, 70, 80,90, 100</w:t>
            </w:r>
          </w:p>
        </w:tc>
        <w:tc>
          <w:tcPr>
            <w:tcW w:w="0" w:type="auto"/>
            <w:tcBorders>
              <w:top w:val="single" w:sz="6" w:space="0" w:color="auto"/>
              <w:left w:val="single" w:sz="4" w:space="0" w:color="auto"/>
              <w:bottom w:val="single" w:sz="6" w:space="0" w:color="auto"/>
              <w:right w:val="single" w:sz="6" w:space="0" w:color="auto"/>
            </w:tcBorders>
          </w:tcPr>
          <w:p w14:paraId="183B4303" w14:textId="77777777" w:rsidR="0076338D" w:rsidRDefault="0076338D" w:rsidP="0076338D">
            <w:pPr>
              <w:pStyle w:val="TAC"/>
              <w:rPr>
                <w:rFonts w:cs="Arial"/>
                <w:lang w:val="en-US"/>
              </w:rPr>
            </w:pPr>
            <w:r>
              <w:rPr>
                <w:rFonts w:cs="Arial"/>
                <w:lang w:eastAsia="zh-CN"/>
              </w:rPr>
              <w:t>20 ≤</w:t>
            </w:r>
            <w:r>
              <w:rPr>
                <w:rFonts w:cs="Arial"/>
                <w:szCs w:val="18"/>
                <w:lang w:eastAsia="zh-CN"/>
              </w:rPr>
              <w:t>W</w:t>
            </w:r>
            <w:r>
              <w:rPr>
                <w:rFonts w:cs="Arial"/>
                <w:szCs w:val="18"/>
                <w:vertAlign w:val="subscript"/>
                <w:lang w:eastAsia="zh-CN"/>
              </w:rPr>
              <w:t>gap</w:t>
            </w:r>
            <w:r>
              <w:rPr>
                <w:rFonts w:cs="Arial"/>
                <w:lang w:eastAsia="zh-CN"/>
              </w:rPr>
              <w:t xml:space="preserve">&lt; 60  </w:t>
            </w:r>
            <w:r>
              <w:rPr>
                <w:rFonts w:cs="Arial"/>
                <w:lang w:val="en-US"/>
              </w:rPr>
              <w:t>(Note 4)</w:t>
            </w:r>
          </w:p>
          <w:p w14:paraId="348681FD" w14:textId="77777777" w:rsidR="0076338D" w:rsidRDefault="0076338D" w:rsidP="0076338D">
            <w:pPr>
              <w:pStyle w:val="TAC"/>
              <w:rPr>
                <w:rFonts w:cs="Arial"/>
                <w:lang w:eastAsia="zh-CN"/>
              </w:rPr>
            </w:pPr>
            <w:r>
              <w:rPr>
                <w:rFonts w:cs="Arial"/>
                <w:lang w:eastAsia="zh-CN"/>
              </w:rPr>
              <w:t>20 ≤</w:t>
            </w:r>
            <w:r>
              <w:rPr>
                <w:rFonts w:cs="Arial"/>
                <w:szCs w:val="18"/>
                <w:lang w:eastAsia="zh-CN"/>
              </w:rPr>
              <w:t>W</w:t>
            </w:r>
            <w:r>
              <w:rPr>
                <w:rFonts w:cs="Arial"/>
                <w:szCs w:val="18"/>
                <w:vertAlign w:val="subscript"/>
                <w:lang w:eastAsia="zh-CN"/>
              </w:rPr>
              <w:t>gap</w:t>
            </w:r>
            <w:r>
              <w:rPr>
                <w:rFonts w:cs="Arial"/>
                <w:lang w:eastAsia="zh-CN"/>
              </w:rPr>
              <w:t>&lt; 30 (Note 3)</w:t>
            </w:r>
          </w:p>
          <w:p w14:paraId="27358DB8" w14:textId="77777777" w:rsidR="0076338D" w:rsidRDefault="0076338D" w:rsidP="0076338D">
            <w:pPr>
              <w:pStyle w:val="TAC"/>
              <w:rPr>
                <w:rFonts w:cs="Arial"/>
                <w:lang w:eastAsia="zh-CN"/>
              </w:rPr>
            </w:pPr>
          </w:p>
        </w:tc>
        <w:tc>
          <w:tcPr>
            <w:tcW w:w="0" w:type="auto"/>
            <w:tcBorders>
              <w:top w:val="single" w:sz="6" w:space="0" w:color="auto"/>
              <w:left w:val="single" w:sz="6" w:space="0" w:color="auto"/>
              <w:bottom w:val="single" w:sz="6" w:space="0" w:color="auto"/>
              <w:right w:val="single" w:sz="6" w:space="0" w:color="auto"/>
            </w:tcBorders>
            <w:hideMark/>
          </w:tcPr>
          <w:p w14:paraId="4C8A9845" w14:textId="77777777" w:rsidR="0076338D" w:rsidRDefault="0076338D" w:rsidP="0076338D">
            <w:pPr>
              <w:pStyle w:val="TAC"/>
              <w:rPr>
                <w:lang w:eastAsia="zh-CN"/>
              </w:rPr>
            </w:pPr>
            <w:r>
              <w:rPr>
                <w:rFonts w:cs="Arial"/>
                <w:lang w:eastAsia="zh-CN"/>
              </w:rPr>
              <w:t>10 MHz</w:t>
            </w:r>
          </w:p>
        </w:tc>
        <w:tc>
          <w:tcPr>
            <w:tcW w:w="0" w:type="auto"/>
            <w:tcBorders>
              <w:top w:val="single" w:sz="6" w:space="0" w:color="auto"/>
              <w:left w:val="single" w:sz="6" w:space="0" w:color="auto"/>
              <w:bottom w:val="single" w:sz="6" w:space="0" w:color="auto"/>
              <w:right w:val="single" w:sz="6" w:space="0" w:color="auto"/>
            </w:tcBorders>
            <w:hideMark/>
          </w:tcPr>
          <w:p w14:paraId="7C007364" w14:textId="77777777" w:rsidR="0076338D" w:rsidRDefault="0076338D" w:rsidP="0076338D">
            <w:pPr>
              <w:pStyle w:val="TAC"/>
              <w:rPr>
                <w:lang w:eastAsia="zh-CN"/>
              </w:rPr>
            </w:pPr>
            <w:r>
              <w:rPr>
                <w:lang w:eastAsia="zh-CN"/>
              </w:rPr>
              <w:t xml:space="preserve">20 MHz NR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3857CBD9"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1B341BE0" w14:textId="77777777" w:rsidR="0076338D" w:rsidRDefault="0076338D" w:rsidP="0076338D">
            <w:pPr>
              <w:pStyle w:val="TAC"/>
              <w:rPr>
                <w:lang w:eastAsia="zh-CN"/>
              </w:rPr>
            </w:pPr>
            <w:r>
              <w:rPr>
                <w:lang w:eastAsia="zh-CN"/>
              </w:rPr>
              <w:t>45 dB</w:t>
            </w:r>
          </w:p>
        </w:tc>
      </w:tr>
      <w:tr w:rsidR="0076338D" w14:paraId="5EF7C640" w14:textId="77777777" w:rsidTr="0076338D">
        <w:trPr>
          <w:cantSplit/>
          <w:jc w:val="center"/>
        </w:trPr>
        <w:tc>
          <w:tcPr>
            <w:tcW w:w="0" w:type="auto"/>
            <w:tcBorders>
              <w:top w:val="nil"/>
              <w:left w:val="single" w:sz="4" w:space="0" w:color="auto"/>
              <w:bottom w:val="single" w:sz="4" w:space="0" w:color="auto"/>
              <w:right w:val="single" w:sz="4" w:space="0" w:color="auto"/>
            </w:tcBorders>
            <w:shd w:val="clear" w:color="auto" w:fill="auto"/>
            <w:hideMark/>
          </w:tcPr>
          <w:p w14:paraId="5461E78B" w14:textId="77777777" w:rsidR="0076338D" w:rsidRDefault="0076338D" w:rsidP="0076338D">
            <w:pPr>
              <w:pStyle w:val="TAC"/>
              <w:rPr>
                <w:rFonts w:eastAsia="SimSun"/>
                <w:lang w:eastAsia="zh-CN"/>
              </w:rPr>
            </w:pPr>
          </w:p>
        </w:tc>
        <w:tc>
          <w:tcPr>
            <w:tcW w:w="0" w:type="auto"/>
            <w:tcBorders>
              <w:top w:val="single" w:sz="6" w:space="0" w:color="auto"/>
              <w:left w:val="single" w:sz="4" w:space="0" w:color="auto"/>
              <w:bottom w:val="single" w:sz="6" w:space="0" w:color="auto"/>
              <w:right w:val="single" w:sz="6" w:space="0" w:color="auto"/>
            </w:tcBorders>
            <w:hideMark/>
          </w:tcPr>
          <w:p w14:paraId="4AFCAB18" w14:textId="77777777" w:rsidR="0076338D" w:rsidRDefault="0076338D" w:rsidP="0076338D">
            <w:pPr>
              <w:pStyle w:val="TAC"/>
              <w:rPr>
                <w:rFonts w:cs="Arial"/>
                <w:lang w:val="en-US"/>
              </w:rPr>
            </w:pPr>
            <w:r>
              <w:rPr>
                <w:rFonts w:cs="Arial"/>
                <w:lang w:eastAsia="zh-CN"/>
              </w:rPr>
              <w:t xml:space="preserve">40 &lt; </w:t>
            </w:r>
            <w:r>
              <w:rPr>
                <w:rFonts w:cs="Arial"/>
                <w:szCs w:val="18"/>
                <w:lang w:eastAsia="zh-CN"/>
              </w:rPr>
              <w:t>W</w:t>
            </w:r>
            <w:r>
              <w:rPr>
                <w:rFonts w:cs="Arial"/>
                <w:szCs w:val="18"/>
                <w:vertAlign w:val="subscript"/>
                <w:lang w:eastAsia="zh-CN"/>
              </w:rPr>
              <w:t>gap</w:t>
            </w:r>
            <w:r>
              <w:rPr>
                <w:rFonts w:cs="Arial"/>
                <w:lang w:eastAsia="zh-CN"/>
              </w:rPr>
              <w:t xml:space="preserve">&lt; 80  </w:t>
            </w:r>
            <w:r>
              <w:rPr>
                <w:rFonts w:cs="Arial"/>
                <w:lang w:val="en-US"/>
              </w:rPr>
              <w:t>(Note 4)</w:t>
            </w:r>
          </w:p>
          <w:p w14:paraId="5A3C8B43" w14:textId="77777777" w:rsidR="0076338D" w:rsidRDefault="0076338D" w:rsidP="0076338D">
            <w:pPr>
              <w:pStyle w:val="TAC"/>
              <w:rPr>
                <w:lang w:eastAsia="zh-CN"/>
              </w:rPr>
            </w:pPr>
            <w:r>
              <w:rPr>
                <w:rFonts w:cs="Arial"/>
                <w:lang w:eastAsia="zh-CN"/>
              </w:rPr>
              <w:t>40 ≤</w:t>
            </w:r>
            <w:r>
              <w:rPr>
                <w:rFonts w:cs="Arial"/>
                <w:szCs w:val="18"/>
                <w:lang w:eastAsia="zh-CN"/>
              </w:rPr>
              <w:t>W</w:t>
            </w:r>
            <w:r>
              <w:rPr>
                <w:rFonts w:cs="Arial"/>
                <w:szCs w:val="18"/>
                <w:vertAlign w:val="subscript"/>
                <w:lang w:eastAsia="zh-CN"/>
              </w:rPr>
              <w:t>gap</w:t>
            </w:r>
            <w:r>
              <w:rPr>
                <w:rFonts w:cs="Arial"/>
                <w:lang w:eastAsia="zh-CN"/>
              </w:rPr>
              <w:t>&lt; 50 (Note 3)</w:t>
            </w:r>
          </w:p>
        </w:tc>
        <w:tc>
          <w:tcPr>
            <w:tcW w:w="0" w:type="auto"/>
            <w:tcBorders>
              <w:top w:val="single" w:sz="6" w:space="0" w:color="auto"/>
              <w:left w:val="single" w:sz="6" w:space="0" w:color="auto"/>
              <w:bottom w:val="single" w:sz="6" w:space="0" w:color="auto"/>
              <w:right w:val="single" w:sz="6" w:space="0" w:color="auto"/>
            </w:tcBorders>
            <w:hideMark/>
          </w:tcPr>
          <w:p w14:paraId="5FB7777C" w14:textId="77777777" w:rsidR="0076338D" w:rsidRDefault="0076338D" w:rsidP="0076338D">
            <w:pPr>
              <w:pStyle w:val="TAC"/>
              <w:rPr>
                <w:lang w:eastAsia="zh-CN"/>
              </w:rPr>
            </w:pPr>
            <w:r>
              <w:rPr>
                <w:lang w:eastAsia="zh-CN"/>
              </w:rPr>
              <w:t>30 MHz</w:t>
            </w:r>
          </w:p>
        </w:tc>
        <w:tc>
          <w:tcPr>
            <w:tcW w:w="0" w:type="auto"/>
            <w:tcBorders>
              <w:top w:val="single" w:sz="6" w:space="0" w:color="auto"/>
              <w:left w:val="single" w:sz="6" w:space="0" w:color="auto"/>
              <w:bottom w:val="single" w:sz="6" w:space="0" w:color="auto"/>
              <w:right w:val="single" w:sz="6" w:space="0" w:color="auto"/>
            </w:tcBorders>
            <w:hideMark/>
          </w:tcPr>
          <w:p w14:paraId="1C6FAA57" w14:textId="77777777" w:rsidR="0076338D" w:rsidRDefault="0076338D" w:rsidP="0076338D">
            <w:pPr>
              <w:pStyle w:val="TAC"/>
              <w:rPr>
                <w:lang w:eastAsia="zh-CN"/>
              </w:rPr>
            </w:pPr>
            <w:r>
              <w:rPr>
                <w:rFonts w:eastAsia="SimSun"/>
                <w:lang w:eastAsia="zh-CN"/>
              </w:rPr>
              <w:t>20 MHz NR</w:t>
            </w:r>
            <w:r>
              <w:rPr>
                <w:lang w:eastAsia="zh-CN"/>
              </w:rPr>
              <w:t xml:space="preserve"> </w:t>
            </w:r>
            <w:r>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02E67A5D" w14:textId="77777777" w:rsidR="0076338D" w:rsidRDefault="0076338D" w:rsidP="0076338D">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5EF10272" w14:textId="77777777" w:rsidR="0076338D" w:rsidRDefault="0076338D" w:rsidP="0076338D">
            <w:pPr>
              <w:pStyle w:val="TAC"/>
              <w:rPr>
                <w:lang w:eastAsia="zh-CN"/>
              </w:rPr>
            </w:pPr>
            <w:r>
              <w:rPr>
                <w:lang w:eastAsia="zh-CN"/>
              </w:rPr>
              <w:t>45 dB</w:t>
            </w:r>
          </w:p>
        </w:tc>
      </w:tr>
      <w:tr w:rsidR="00B3234F" w:rsidRPr="00AB3358" w14:paraId="1996E443" w14:textId="77777777" w:rsidTr="00BD1F8C">
        <w:trPr>
          <w:cantSplit/>
          <w:jc w:val="center"/>
        </w:trPr>
        <w:tc>
          <w:tcPr>
            <w:tcW w:w="0" w:type="auto"/>
            <w:gridSpan w:val="6"/>
            <w:tcBorders>
              <w:top w:val="single" w:sz="6" w:space="0" w:color="auto"/>
              <w:left w:val="single" w:sz="6" w:space="0" w:color="auto"/>
              <w:bottom w:val="single" w:sz="6" w:space="0" w:color="auto"/>
              <w:right w:val="single" w:sz="6" w:space="0" w:color="auto"/>
            </w:tcBorders>
            <w:hideMark/>
          </w:tcPr>
          <w:p w14:paraId="19FF3D53" w14:textId="77777777" w:rsidR="002E1777" w:rsidRDefault="002E1777" w:rsidP="002E1777">
            <w:pPr>
              <w:pStyle w:val="TAN"/>
              <w:rPr>
                <w:lang w:eastAsia="zh-CN"/>
              </w:rPr>
            </w:pPr>
            <w:r>
              <w:rPr>
                <w:lang w:eastAsia="zh-CN"/>
              </w:rPr>
              <w:t>NOTE 1:</w:t>
            </w:r>
            <w:r>
              <w:rPr>
                <w:lang w:eastAsia="zh-CN"/>
              </w:rPr>
              <w:tab/>
              <w:t>BW</w:t>
            </w:r>
            <w:r>
              <w:rPr>
                <w:vertAlign w:val="subscript"/>
                <w:lang w:eastAsia="zh-CN"/>
              </w:rPr>
              <w:t>Config</w:t>
            </w:r>
            <w:r>
              <w:rPr>
                <w:lang w:eastAsia="zh-CN"/>
              </w:rPr>
              <w:t xml:space="preserve"> is the transmission bandwidth configuration of the </w:t>
            </w:r>
            <w:r>
              <w:rPr>
                <w:rFonts w:cs="v5.0.0"/>
                <w:lang w:eastAsia="zh-CN"/>
              </w:rPr>
              <w:t>assumed adjacent channel carrier</w:t>
            </w:r>
            <w:r>
              <w:rPr>
                <w:lang w:eastAsia="zh-CN"/>
              </w:rPr>
              <w:t>.</w:t>
            </w:r>
          </w:p>
          <w:p w14:paraId="6FE05E75" w14:textId="77777777" w:rsidR="002E1777" w:rsidRDefault="002E1777" w:rsidP="002E1777">
            <w:pPr>
              <w:pStyle w:val="TAN"/>
              <w:rPr>
                <w:rFonts w:cs="Arial"/>
              </w:rPr>
            </w:pPr>
            <w:r>
              <w:rPr>
                <w:rFonts w:cs="Arial"/>
              </w:rPr>
              <w:t>NOTE 2:</w:t>
            </w:r>
            <w:r>
              <w:rPr>
                <w:rFonts w:cs="Arial"/>
              </w:rPr>
              <w:tab/>
            </w:r>
            <w:r>
              <w:t xml:space="preserve">With SCS that provides largest </w:t>
            </w:r>
            <w:r>
              <w:rPr>
                <w:rFonts w:cs="Arial"/>
              </w:rPr>
              <w:t>transmission bandwidth configuration (BW</w:t>
            </w:r>
            <w:r>
              <w:rPr>
                <w:rFonts w:cs="Arial"/>
                <w:vertAlign w:val="subscript"/>
              </w:rPr>
              <w:t>Config</w:t>
            </w:r>
            <w:r>
              <w:rPr>
                <w:rFonts w:cs="v5.0.0"/>
              </w:rPr>
              <w:t>)</w:t>
            </w:r>
            <w:r>
              <w:rPr>
                <w:rFonts w:cs="Arial"/>
              </w:rPr>
              <w:t>.</w:t>
            </w:r>
          </w:p>
          <w:p w14:paraId="0D94AF62" w14:textId="6B0BD821" w:rsidR="002E1777" w:rsidRDefault="002E1777" w:rsidP="002E1777">
            <w:pPr>
              <w:pStyle w:val="TAN"/>
              <w:rPr>
                <w:rFonts w:eastAsia="SimSun"/>
                <w:lang w:eastAsia="zh-CN"/>
              </w:rPr>
            </w:pPr>
            <w:r>
              <w:rPr>
                <w:rFonts w:eastAsia="SimSun"/>
                <w:lang w:eastAsia="zh-CN"/>
              </w:rPr>
              <w:t>NOTE 3:</w:t>
            </w:r>
            <w:r>
              <w:rPr>
                <w:rFonts w:eastAsia="SimSun"/>
                <w:lang w:eastAsia="zh-CN"/>
              </w:rPr>
              <w:tab/>
              <w:t xml:space="preserve">Applicable in case the </w:t>
            </w:r>
            <w:r w:rsidRPr="00743313">
              <w:rPr>
                <w:rFonts w:eastAsia="SimSun"/>
                <w:i/>
                <w:iCs/>
                <w:lang w:eastAsia="zh-CN"/>
              </w:rPr>
              <w:t>IAB-DU</w:t>
            </w:r>
            <w:r>
              <w:rPr>
                <w:rFonts w:eastAsia="SimSun"/>
                <w:lang w:eastAsia="zh-CN"/>
              </w:rPr>
              <w:t xml:space="preserve"> or </w:t>
            </w:r>
            <w:r w:rsidRPr="00743313">
              <w:rPr>
                <w:rFonts w:eastAsia="SimSun"/>
                <w:i/>
                <w:iCs/>
                <w:lang w:eastAsia="zh-CN"/>
              </w:rPr>
              <w:t>IAB-MT</w:t>
            </w:r>
            <w:r>
              <w:rPr>
                <w:rFonts w:eastAsia="SimSun"/>
                <w:lang w:eastAsia="zh-CN"/>
              </w:rPr>
              <w:t xml:space="preserve"> </w:t>
            </w:r>
            <w:r>
              <w:rPr>
                <w:rFonts w:cs="Arial"/>
                <w:i/>
              </w:rPr>
              <w:t>channel bandwidth</w:t>
            </w:r>
            <w:r>
              <w:rPr>
                <w:rFonts w:eastAsia="SimSun"/>
                <w:lang w:eastAsia="zh-CN"/>
              </w:rPr>
              <w:t xml:space="preserve"> of the NR carrier transmitted at the other edge of the gap is 10, 15, 20 MHz.</w:t>
            </w:r>
          </w:p>
          <w:p w14:paraId="27E865D2" w14:textId="1C190644" w:rsidR="00B3234F" w:rsidRDefault="002E1777" w:rsidP="002E1777">
            <w:pPr>
              <w:pStyle w:val="TAN"/>
              <w:rPr>
                <w:rFonts w:eastAsia="SimSun"/>
                <w:lang w:eastAsia="zh-CN"/>
              </w:rPr>
            </w:pPr>
            <w:r>
              <w:rPr>
                <w:rFonts w:eastAsia="SimSun"/>
                <w:lang w:eastAsia="zh-CN"/>
              </w:rPr>
              <w:t>NOTE 4:</w:t>
            </w:r>
            <w:r>
              <w:rPr>
                <w:rFonts w:eastAsia="SimSun"/>
                <w:lang w:eastAsia="zh-CN"/>
              </w:rPr>
              <w:tab/>
              <w:t xml:space="preserve">Applicable in case the </w:t>
            </w:r>
            <w:r w:rsidRPr="00C41B39">
              <w:rPr>
                <w:rFonts w:eastAsia="SimSun"/>
                <w:i/>
                <w:iCs/>
                <w:lang w:eastAsia="zh-CN"/>
              </w:rPr>
              <w:t>IAB-DU</w:t>
            </w:r>
            <w:r>
              <w:rPr>
                <w:rFonts w:eastAsia="SimSun"/>
                <w:lang w:eastAsia="zh-CN"/>
              </w:rPr>
              <w:t xml:space="preserve"> or </w:t>
            </w:r>
            <w:r w:rsidRPr="00C41B39">
              <w:rPr>
                <w:rFonts w:eastAsia="SimSun"/>
                <w:i/>
                <w:iCs/>
                <w:lang w:eastAsia="zh-CN"/>
              </w:rPr>
              <w:t>IAB-MT</w:t>
            </w:r>
            <w:r>
              <w:rPr>
                <w:rFonts w:eastAsia="SimSun"/>
                <w:i/>
                <w:iCs/>
                <w:lang w:eastAsia="zh-CN"/>
              </w:rPr>
              <w:t xml:space="preserve"> channel bandwidth</w:t>
            </w:r>
            <w:r>
              <w:rPr>
                <w:rFonts w:eastAsia="SimSun"/>
                <w:lang w:eastAsia="zh-CN"/>
              </w:rPr>
              <w:t xml:space="preserve"> of the NR carrier transmitted at the other edge of the gap is 25, 30, 40, 50, 60, 70, 80, 90, 100 MHz.</w:t>
            </w:r>
          </w:p>
        </w:tc>
      </w:tr>
    </w:tbl>
    <w:p w14:paraId="4CBF8FF1" w14:textId="77777777" w:rsidR="00B3234F" w:rsidRDefault="00B3234F" w:rsidP="00B3234F">
      <w:pPr>
        <w:rPr>
          <w:rFonts w:cs="v5.0.0"/>
        </w:rPr>
      </w:pPr>
    </w:p>
    <w:p w14:paraId="6C01F3D4" w14:textId="77777777" w:rsidR="00B3234F" w:rsidRDefault="00B3234F" w:rsidP="00B3234F">
      <w:pPr>
        <w:rPr>
          <w:rFonts w:cs="v5.0.0"/>
        </w:rPr>
      </w:pPr>
      <w:r>
        <w:rPr>
          <w:rFonts w:cs="v5.0.0"/>
        </w:rPr>
        <w:t xml:space="preserve">The </w:t>
      </w:r>
      <w:r>
        <w:rPr>
          <w:rFonts w:eastAsia="SimSun" w:cs="v5.0.0"/>
          <w:lang w:val="en-US" w:eastAsia="zh-CN"/>
        </w:rPr>
        <w:t>C</w:t>
      </w:r>
      <w:r>
        <w:rPr>
          <w:rFonts w:cs="v5.0.0"/>
        </w:rPr>
        <w:t>ACLR absolute</w:t>
      </w:r>
      <w:r>
        <w:rPr>
          <w:rFonts w:cs="v5.0.0"/>
          <w:lang w:val="en-US" w:eastAsia="zh-CN"/>
        </w:rPr>
        <w:t xml:space="preserve"> </w:t>
      </w:r>
      <w:r>
        <w:rPr>
          <w:rFonts w:cs="v5.0.0"/>
          <w:i/>
          <w:iCs/>
          <w:lang w:val="en-US" w:eastAsia="zh-CN"/>
        </w:rPr>
        <w:t>basic</w:t>
      </w:r>
      <w:r>
        <w:rPr>
          <w:rFonts w:cs="v5.0.0"/>
          <w:i/>
          <w:iCs/>
        </w:rPr>
        <w:t xml:space="preserve"> limit</w:t>
      </w:r>
      <w:r>
        <w:rPr>
          <w:rFonts w:cs="v5.0.0"/>
          <w:lang w:val="en-US" w:eastAsia="zh-CN"/>
        </w:rPr>
        <w:t xml:space="preserve"> is</w:t>
      </w:r>
      <w:r>
        <w:rPr>
          <w:rFonts w:cs="v5.0.0"/>
        </w:rPr>
        <w:t xml:space="preserve"> specified in table 6.6.</w:t>
      </w:r>
      <w:r>
        <w:rPr>
          <w:rFonts w:eastAsia="SimSun" w:cs="v5.0.0"/>
          <w:lang w:eastAsia="zh-CN"/>
        </w:rPr>
        <w:t>3</w:t>
      </w:r>
      <w:r>
        <w:rPr>
          <w:rFonts w:cs="v5.0.0"/>
        </w:rPr>
        <w:t>.2</w:t>
      </w:r>
      <w:r>
        <w:rPr>
          <w:rFonts w:cs="v5.0.0"/>
        </w:rPr>
        <w:noBreakHyphen/>
        <w:t>5.</w:t>
      </w:r>
    </w:p>
    <w:p w14:paraId="173D63B0" w14:textId="77777777" w:rsidR="002E1777" w:rsidRDefault="002E1777" w:rsidP="002E1777">
      <w:pPr>
        <w:pStyle w:val="TH"/>
        <w:rPr>
          <w:rFonts w:eastAsia="SimSun"/>
          <w:lang w:eastAsia="zh-CN"/>
        </w:rPr>
      </w:pPr>
      <w:r>
        <w:t>Table 6.6.</w:t>
      </w:r>
      <w:r>
        <w:rPr>
          <w:rFonts w:eastAsia="SimSun"/>
          <w:lang w:eastAsia="zh-CN"/>
        </w:rPr>
        <w:t>3</w:t>
      </w:r>
      <w:r>
        <w:t xml:space="preserve">.2-5: </w:t>
      </w:r>
      <w:r w:rsidRPr="0063534F">
        <w:rPr>
          <w:i/>
          <w:iCs/>
        </w:rPr>
        <w:t>IAB-DU type 1-H</w:t>
      </w:r>
      <w:r>
        <w:t xml:space="preserve"> and </w:t>
      </w:r>
      <w:r w:rsidRPr="0063534F">
        <w:rPr>
          <w:i/>
          <w:iCs/>
        </w:rPr>
        <w:t>IAB-MT type 1-H</w:t>
      </w:r>
      <w:r>
        <w:t xml:space="preserve"> </w:t>
      </w:r>
      <w:r>
        <w:rPr>
          <w:rFonts w:eastAsia="SimSun"/>
          <w:lang w:val="en-US" w:eastAsia="zh-CN"/>
        </w:rPr>
        <w:t>C</w:t>
      </w:r>
      <w:r>
        <w:t xml:space="preserve">ACLR absolute </w:t>
      </w:r>
      <w:r>
        <w:rPr>
          <w:i/>
          <w:iCs/>
          <w:lang w:val="en-US" w:eastAsia="zh-CN"/>
        </w:rPr>
        <w:t xml:space="preserve">basic </w:t>
      </w:r>
      <w:r>
        <w:rPr>
          <w:i/>
          <w:iCs/>
        </w:rPr>
        <w:t>limit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084"/>
        <w:gridCol w:w="3361"/>
      </w:tblGrid>
      <w:tr w:rsidR="00B3234F" w14:paraId="34DCE6D5" w14:textId="77777777" w:rsidTr="00BD1F8C">
        <w:trPr>
          <w:cantSplit/>
          <w:jc w:val="center"/>
        </w:trPr>
        <w:tc>
          <w:tcPr>
            <w:tcW w:w="3084" w:type="dxa"/>
            <w:tcBorders>
              <w:top w:val="single" w:sz="6" w:space="0" w:color="auto"/>
              <w:left w:val="single" w:sz="6" w:space="0" w:color="auto"/>
              <w:bottom w:val="single" w:sz="6" w:space="0" w:color="auto"/>
              <w:right w:val="single" w:sz="6" w:space="0" w:color="auto"/>
            </w:tcBorders>
            <w:hideMark/>
          </w:tcPr>
          <w:p w14:paraId="28A5879D" w14:textId="77777777" w:rsidR="00B3234F" w:rsidRDefault="00B3234F" w:rsidP="00BD1F8C">
            <w:pPr>
              <w:pStyle w:val="TAH"/>
              <w:rPr>
                <w:rFonts w:cs="v5.0.0"/>
              </w:rPr>
            </w:pPr>
            <w:r>
              <w:rPr>
                <w:rFonts w:eastAsia="SimSun" w:cs="v5.0.0"/>
              </w:rPr>
              <w:t>IAB-DU and IAB-MT category / class</w:t>
            </w:r>
          </w:p>
        </w:tc>
        <w:tc>
          <w:tcPr>
            <w:tcW w:w="3361" w:type="dxa"/>
            <w:tcBorders>
              <w:top w:val="single" w:sz="6" w:space="0" w:color="auto"/>
              <w:left w:val="single" w:sz="6" w:space="0" w:color="auto"/>
              <w:bottom w:val="single" w:sz="6" w:space="0" w:color="auto"/>
              <w:right w:val="single" w:sz="6" w:space="0" w:color="auto"/>
            </w:tcBorders>
            <w:hideMark/>
          </w:tcPr>
          <w:p w14:paraId="71506919" w14:textId="77777777" w:rsidR="00B3234F" w:rsidRDefault="00B3234F" w:rsidP="00BD1F8C">
            <w:pPr>
              <w:pStyle w:val="TAH"/>
              <w:rPr>
                <w:rFonts w:cs="v5.0.0"/>
              </w:rPr>
            </w:pPr>
            <w:r>
              <w:rPr>
                <w:rFonts w:eastAsia="SimSun" w:cs="v5.0.0"/>
                <w:lang w:val="en-US" w:eastAsia="zh-CN"/>
              </w:rPr>
              <w:t>C</w:t>
            </w:r>
            <w:r>
              <w:rPr>
                <w:rFonts w:cs="v5.0.0"/>
              </w:rPr>
              <w:t xml:space="preserve">ACLR absolute </w:t>
            </w:r>
            <w:r>
              <w:rPr>
                <w:rFonts w:cs="v5.0.0"/>
                <w:i/>
                <w:iCs/>
                <w:lang w:val="en-US" w:eastAsia="zh-CN"/>
              </w:rPr>
              <w:t xml:space="preserve">basic </w:t>
            </w:r>
            <w:r>
              <w:rPr>
                <w:rFonts w:cs="v5.0.0"/>
                <w:i/>
                <w:iCs/>
              </w:rPr>
              <w:t>limit</w:t>
            </w:r>
          </w:p>
        </w:tc>
      </w:tr>
      <w:tr w:rsidR="00B3234F" w14:paraId="636AC9CF" w14:textId="77777777" w:rsidTr="00BD1F8C">
        <w:trPr>
          <w:cantSplit/>
          <w:jc w:val="center"/>
        </w:trPr>
        <w:tc>
          <w:tcPr>
            <w:tcW w:w="3084" w:type="dxa"/>
            <w:tcBorders>
              <w:top w:val="single" w:sz="6" w:space="0" w:color="auto"/>
              <w:left w:val="single" w:sz="6" w:space="0" w:color="auto"/>
              <w:bottom w:val="single" w:sz="6" w:space="0" w:color="auto"/>
              <w:right w:val="single" w:sz="6" w:space="0" w:color="auto"/>
            </w:tcBorders>
            <w:hideMark/>
          </w:tcPr>
          <w:p w14:paraId="199051DF" w14:textId="77777777" w:rsidR="00B3234F" w:rsidRDefault="00B3234F" w:rsidP="00BD1F8C">
            <w:pPr>
              <w:pStyle w:val="TAC"/>
              <w:rPr>
                <w:rFonts w:eastAsia="SimSun" w:cs="v5.0.0"/>
                <w:lang w:eastAsia="zh-CN"/>
              </w:rPr>
            </w:pPr>
            <w:r w:rsidRPr="005D3956">
              <w:t>Category A Wide Area IAB-DU and Category A Wide Area IAB-MT</w:t>
            </w:r>
          </w:p>
        </w:tc>
        <w:tc>
          <w:tcPr>
            <w:tcW w:w="3361" w:type="dxa"/>
            <w:tcBorders>
              <w:top w:val="single" w:sz="6" w:space="0" w:color="auto"/>
              <w:left w:val="single" w:sz="6" w:space="0" w:color="auto"/>
              <w:bottom w:val="single" w:sz="6" w:space="0" w:color="auto"/>
              <w:right w:val="single" w:sz="6" w:space="0" w:color="auto"/>
            </w:tcBorders>
            <w:hideMark/>
          </w:tcPr>
          <w:p w14:paraId="50A19F58" w14:textId="77777777" w:rsidR="00B3234F" w:rsidRDefault="00B3234F" w:rsidP="00BD1F8C">
            <w:pPr>
              <w:pStyle w:val="TAC"/>
              <w:rPr>
                <w:rFonts w:cs="v5.0.0"/>
              </w:rPr>
            </w:pPr>
            <w:r>
              <w:rPr>
                <w:rFonts w:cs="v5.0.0"/>
              </w:rPr>
              <w:t>-13 dBm/MHz</w:t>
            </w:r>
          </w:p>
        </w:tc>
      </w:tr>
      <w:tr w:rsidR="00B3234F" w14:paraId="35F56B89" w14:textId="77777777" w:rsidTr="00BD1F8C">
        <w:trPr>
          <w:cantSplit/>
          <w:jc w:val="center"/>
        </w:trPr>
        <w:tc>
          <w:tcPr>
            <w:tcW w:w="3084" w:type="dxa"/>
            <w:tcBorders>
              <w:top w:val="single" w:sz="6" w:space="0" w:color="auto"/>
              <w:left w:val="single" w:sz="6" w:space="0" w:color="auto"/>
              <w:bottom w:val="single" w:sz="6" w:space="0" w:color="auto"/>
              <w:right w:val="single" w:sz="6" w:space="0" w:color="auto"/>
            </w:tcBorders>
            <w:hideMark/>
          </w:tcPr>
          <w:p w14:paraId="12CCF80C" w14:textId="77777777" w:rsidR="00B3234F" w:rsidRDefault="00B3234F" w:rsidP="00BD1F8C">
            <w:pPr>
              <w:pStyle w:val="TAC"/>
              <w:rPr>
                <w:rFonts w:cs="v5.0.0"/>
                <w:lang w:eastAsia="ja-JP"/>
              </w:rPr>
            </w:pPr>
            <w:r w:rsidRPr="005D3956">
              <w:t>Category B Wide Area IAB-DU and Category B Wide Area IAB-MT</w:t>
            </w:r>
          </w:p>
        </w:tc>
        <w:tc>
          <w:tcPr>
            <w:tcW w:w="3361" w:type="dxa"/>
            <w:tcBorders>
              <w:top w:val="single" w:sz="6" w:space="0" w:color="auto"/>
              <w:left w:val="single" w:sz="6" w:space="0" w:color="auto"/>
              <w:bottom w:val="single" w:sz="6" w:space="0" w:color="auto"/>
              <w:right w:val="single" w:sz="6" w:space="0" w:color="auto"/>
            </w:tcBorders>
            <w:hideMark/>
          </w:tcPr>
          <w:p w14:paraId="5C54A2C6" w14:textId="77777777" w:rsidR="00B3234F" w:rsidRDefault="00B3234F" w:rsidP="00BD1F8C">
            <w:pPr>
              <w:pStyle w:val="TAC"/>
              <w:rPr>
                <w:rFonts w:cs="v5.0.0"/>
                <w:lang w:eastAsia="ja-JP"/>
              </w:rPr>
            </w:pPr>
            <w:r>
              <w:rPr>
                <w:rFonts w:cs="v5.0.0"/>
                <w:lang w:eastAsia="ja-JP"/>
              </w:rPr>
              <w:t>-15 dBm/MHz</w:t>
            </w:r>
          </w:p>
        </w:tc>
      </w:tr>
      <w:tr w:rsidR="00B3234F" w14:paraId="47F63248" w14:textId="77777777" w:rsidTr="00BD1F8C">
        <w:trPr>
          <w:cantSplit/>
          <w:jc w:val="center"/>
        </w:trPr>
        <w:tc>
          <w:tcPr>
            <w:tcW w:w="3084" w:type="dxa"/>
            <w:tcBorders>
              <w:top w:val="single" w:sz="6" w:space="0" w:color="auto"/>
              <w:left w:val="single" w:sz="6" w:space="0" w:color="auto"/>
              <w:bottom w:val="single" w:sz="6" w:space="0" w:color="auto"/>
              <w:right w:val="single" w:sz="6" w:space="0" w:color="auto"/>
            </w:tcBorders>
            <w:hideMark/>
          </w:tcPr>
          <w:p w14:paraId="232B25F0" w14:textId="77777777" w:rsidR="00B3234F" w:rsidRDefault="00B3234F" w:rsidP="00BD1F8C">
            <w:pPr>
              <w:pStyle w:val="TAC"/>
              <w:rPr>
                <w:rFonts w:cs="v5.0.0"/>
              </w:rPr>
            </w:pPr>
            <w:r w:rsidRPr="005D3956">
              <w:t>Medium Range IAB-DU</w:t>
            </w:r>
          </w:p>
        </w:tc>
        <w:tc>
          <w:tcPr>
            <w:tcW w:w="3361" w:type="dxa"/>
            <w:tcBorders>
              <w:top w:val="single" w:sz="6" w:space="0" w:color="auto"/>
              <w:left w:val="single" w:sz="6" w:space="0" w:color="auto"/>
              <w:bottom w:val="single" w:sz="6" w:space="0" w:color="auto"/>
              <w:right w:val="single" w:sz="6" w:space="0" w:color="auto"/>
            </w:tcBorders>
            <w:hideMark/>
          </w:tcPr>
          <w:p w14:paraId="495B2062" w14:textId="77777777" w:rsidR="00B3234F" w:rsidRDefault="00B3234F" w:rsidP="00BD1F8C">
            <w:pPr>
              <w:pStyle w:val="TAC"/>
              <w:rPr>
                <w:rFonts w:cs="v5.0.0"/>
                <w:lang w:eastAsia="ja-JP"/>
              </w:rPr>
            </w:pPr>
            <w:r>
              <w:rPr>
                <w:rFonts w:cs="v5.0.0"/>
                <w:lang w:eastAsia="ja-JP"/>
              </w:rPr>
              <w:t>-25 dBm/MHz</w:t>
            </w:r>
          </w:p>
        </w:tc>
      </w:tr>
      <w:tr w:rsidR="00B3234F" w14:paraId="07AC4ABD" w14:textId="77777777" w:rsidTr="00BD1F8C">
        <w:trPr>
          <w:cantSplit/>
          <w:jc w:val="center"/>
        </w:trPr>
        <w:tc>
          <w:tcPr>
            <w:tcW w:w="3084" w:type="dxa"/>
            <w:tcBorders>
              <w:top w:val="single" w:sz="6" w:space="0" w:color="auto"/>
              <w:left w:val="single" w:sz="6" w:space="0" w:color="auto"/>
              <w:bottom w:val="single" w:sz="6" w:space="0" w:color="auto"/>
              <w:right w:val="single" w:sz="6" w:space="0" w:color="auto"/>
            </w:tcBorders>
            <w:hideMark/>
          </w:tcPr>
          <w:p w14:paraId="4AF3D676" w14:textId="51D249A3" w:rsidR="00B3234F" w:rsidRDefault="002E1777" w:rsidP="00BD1F8C">
            <w:pPr>
              <w:pStyle w:val="TAC"/>
              <w:rPr>
                <w:rFonts w:cs="v5.0.0"/>
                <w:lang w:eastAsia="ja-JP"/>
              </w:rPr>
            </w:pPr>
            <w:r w:rsidRPr="005D3956">
              <w:t xml:space="preserve">Local Area IAB-DU and </w:t>
            </w:r>
            <w:r>
              <w:t>Local Area IAB-MT</w:t>
            </w:r>
          </w:p>
        </w:tc>
        <w:tc>
          <w:tcPr>
            <w:tcW w:w="3361" w:type="dxa"/>
            <w:tcBorders>
              <w:top w:val="single" w:sz="6" w:space="0" w:color="auto"/>
              <w:left w:val="single" w:sz="6" w:space="0" w:color="auto"/>
              <w:bottom w:val="single" w:sz="6" w:space="0" w:color="auto"/>
              <w:right w:val="single" w:sz="6" w:space="0" w:color="auto"/>
            </w:tcBorders>
            <w:hideMark/>
          </w:tcPr>
          <w:p w14:paraId="077752B3" w14:textId="77777777" w:rsidR="00B3234F" w:rsidRDefault="00B3234F" w:rsidP="00BD1F8C">
            <w:pPr>
              <w:pStyle w:val="TAC"/>
              <w:rPr>
                <w:rFonts w:cs="v5.0.0"/>
                <w:lang w:eastAsia="ja-JP"/>
              </w:rPr>
            </w:pPr>
            <w:r>
              <w:rPr>
                <w:rFonts w:cs="v5.0.0"/>
                <w:lang w:eastAsia="ja-JP"/>
              </w:rPr>
              <w:t>-32 dBm/MHz</w:t>
            </w:r>
          </w:p>
        </w:tc>
      </w:tr>
    </w:tbl>
    <w:p w14:paraId="77BBE07D" w14:textId="77777777" w:rsidR="00B3234F" w:rsidRDefault="00B3234F" w:rsidP="00B3234F">
      <w:pPr>
        <w:rPr>
          <w:szCs w:val="24"/>
        </w:rPr>
      </w:pPr>
    </w:p>
    <w:p w14:paraId="7DA02593" w14:textId="77777777" w:rsidR="00B3234F" w:rsidRDefault="00B3234F" w:rsidP="00B3234F">
      <w:pPr>
        <w:pStyle w:val="TH"/>
      </w:pPr>
      <w:r>
        <w:t>Table 6.6.3.2-</w:t>
      </w:r>
      <w:r>
        <w:rPr>
          <w:rFonts w:eastAsia="SimSun"/>
          <w:lang w:eastAsia="zh-CN"/>
        </w:rPr>
        <w:t>6</w:t>
      </w:r>
      <w:r>
        <w:t>: Filter parameters for the assigned channel</w:t>
      </w:r>
    </w:p>
    <w:tbl>
      <w:tblPr>
        <w:tblW w:w="642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596"/>
        <w:gridCol w:w="3824"/>
      </w:tblGrid>
      <w:tr w:rsidR="00B3234F" w:rsidRPr="00AB3358" w14:paraId="34EFF882" w14:textId="77777777" w:rsidTr="00BD1F8C">
        <w:trPr>
          <w:cantSplit/>
          <w:jc w:val="center"/>
        </w:trPr>
        <w:tc>
          <w:tcPr>
            <w:tcW w:w="2596" w:type="dxa"/>
            <w:tcBorders>
              <w:top w:val="single" w:sz="6" w:space="0" w:color="auto"/>
              <w:left w:val="single" w:sz="6" w:space="0" w:color="auto"/>
              <w:bottom w:val="single" w:sz="6" w:space="0" w:color="auto"/>
              <w:right w:val="single" w:sz="6" w:space="0" w:color="auto"/>
            </w:tcBorders>
            <w:hideMark/>
          </w:tcPr>
          <w:p w14:paraId="03CE7683" w14:textId="77777777" w:rsidR="00B3234F" w:rsidRDefault="00B3234F" w:rsidP="00BD1F8C">
            <w:pPr>
              <w:pStyle w:val="TAH"/>
              <w:rPr>
                <w:rFonts w:eastAsia="SimSun" w:cs="v5.0.0"/>
              </w:rPr>
            </w:pPr>
            <w:r>
              <w:rPr>
                <w:rFonts w:eastAsia="SimSun" w:cs="v5.0.0"/>
              </w:rPr>
              <w:t xml:space="preserve">RAT of the carrier adjacent to the </w:t>
            </w:r>
            <w:r>
              <w:rPr>
                <w:rFonts w:eastAsia="SimSun" w:cs="v5.0.0"/>
                <w:i/>
              </w:rPr>
              <w:t>sub-block</w:t>
            </w:r>
            <w:r>
              <w:rPr>
                <w:rFonts w:eastAsia="SimSun" w:cs="v5.0.0"/>
              </w:rPr>
              <w:t xml:space="preserve"> or </w:t>
            </w:r>
            <w:r>
              <w:rPr>
                <w:rFonts w:eastAsia="SimSun" w:cs="v5.0.0"/>
                <w:i/>
              </w:rPr>
              <w:t>Inter RF Bandwidth gap</w:t>
            </w:r>
            <w:r>
              <w:rPr>
                <w:rFonts w:eastAsia="SimSun" w:cs="v5.0.0"/>
              </w:rPr>
              <w:t xml:space="preserve"> </w:t>
            </w:r>
          </w:p>
        </w:tc>
        <w:tc>
          <w:tcPr>
            <w:tcW w:w="3824" w:type="dxa"/>
            <w:tcBorders>
              <w:top w:val="single" w:sz="6" w:space="0" w:color="auto"/>
              <w:left w:val="single" w:sz="6" w:space="0" w:color="auto"/>
              <w:bottom w:val="single" w:sz="6" w:space="0" w:color="auto"/>
              <w:right w:val="single" w:sz="6" w:space="0" w:color="auto"/>
            </w:tcBorders>
            <w:hideMark/>
          </w:tcPr>
          <w:p w14:paraId="22A527AE" w14:textId="77777777" w:rsidR="00B3234F" w:rsidRDefault="00B3234F" w:rsidP="00BD1F8C">
            <w:pPr>
              <w:pStyle w:val="TAH"/>
              <w:rPr>
                <w:rFonts w:cs="v5.0.0"/>
              </w:rPr>
            </w:pPr>
            <w:r>
              <w:rPr>
                <w:rFonts w:cs="v5.0.0"/>
              </w:rPr>
              <w:t>Filter on the assigned channel frequency and corresponding filter bandwidth</w:t>
            </w:r>
          </w:p>
        </w:tc>
      </w:tr>
      <w:tr w:rsidR="00B3234F" w:rsidRPr="00AB3358" w14:paraId="73DEF67D" w14:textId="77777777" w:rsidTr="00BD1F8C">
        <w:trPr>
          <w:cantSplit/>
          <w:jc w:val="center"/>
        </w:trPr>
        <w:tc>
          <w:tcPr>
            <w:tcW w:w="2596" w:type="dxa"/>
            <w:tcBorders>
              <w:top w:val="single" w:sz="6" w:space="0" w:color="auto"/>
              <w:left w:val="single" w:sz="6" w:space="0" w:color="auto"/>
              <w:bottom w:val="single" w:sz="6" w:space="0" w:color="auto"/>
              <w:right w:val="single" w:sz="6" w:space="0" w:color="auto"/>
            </w:tcBorders>
            <w:hideMark/>
          </w:tcPr>
          <w:p w14:paraId="751D52D6" w14:textId="77777777" w:rsidR="00B3234F" w:rsidRDefault="00B3234F" w:rsidP="00BD1F8C">
            <w:pPr>
              <w:pStyle w:val="TAC"/>
              <w:rPr>
                <w:rFonts w:eastAsia="SimSun" w:cs="Arial"/>
              </w:rPr>
            </w:pPr>
            <w:r>
              <w:rPr>
                <w:rFonts w:eastAsia="SimSun" w:cs="Arial"/>
              </w:rPr>
              <w:t>NR</w:t>
            </w:r>
          </w:p>
        </w:tc>
        <w:tc>
          <w:tcPr>
            <w:tcW w:w="3824" w:type="dxa"/>
            <w:tcBorders>
              <w:top w:val="single" w:sz="6" w:space="0" w:color="auto"/>
              <w:left w:val="single" w:sz="6" w:space="0" w:color="auto"/>
              <w:bottom w:val="single" w:sz="6" w:space="0" w:color="auto"/>
              <w:right w:val="single" w:sz="6" w:space="0" w:color="auto"/>
            </w:tcBorders>
            <w:hideMark/>
          </w:tcPr>
          <w:p w14:paraId="00FFE41E" w14:textId="77777777" w:rsidR="00B3234F" w:rsidRDefault="00B3234F" w:rsidP="00BD1F8C">
            <w:pPr>
              <w:pStyle w:val="TAC"/>
              <w:rPr>
                <w:rFonts w:cs="Arial"/>
              </w:rPr>
            </w:pPr>
            <w:r>
              <w:t xml:space="preserve">NR of same BW with SCS that provides largest </w:t>
            </w:r>
            <w:r>
              <w:rPr>
                <w:rFonts w:cs="Arial"/>
                <w:i/>
              </w:rPr>
              <w:t>transmission bandwidth configuration</w:t>
            </w:r>
          </w:p>
        </w:tc>
      </w:tr>
    </w:tbl>
    <w:p w14:paraId="4BA2FDF7" w14:textId="77777777" w:rsidR="00B3234F" w:rsidRDefault="00B3234F" w:rsidP="00B3234F">
      <w:pPr>
        <w:rPr>
          <w:rFonts w:eastAsia="SimSun"/>
        </w:rPr>
      </w:pPr>
    </w:p>
    <w:p w14:paraId="46F5C8F8" w14:textId="77777777" w:rsidR="00B3234F" w:rsidRDefault="00B3234F" w:rsidP="00B3234F">
      <w:pPr>
        <w:pStyle w:val="Heading4"/>
      </w:pPr>
      <w:bookmarkStart w:id="1950" w:name="_Toc45893471"/>
      <w:bookmarkStart w:id="1951" w:name="_Toc44712158"/>
      <w:bookmarkStart w:id="1952" w:name="_Toc37267556"/>
      <w:bookmarkStart w:id="1953" w:name="_Toc37260168"/>
      <w:bookmarkStart w:id="1954" w:name="_Toc36817252"/>
      <w:bookmarkStart w:id="1955" w:name="_Toc29811700"/>
      <w:bookmarkStart w:id="1956" w:name="_Toc21127491"/>
      <w:bookmarkStart w:id="1957" w:name="_Toc53185362"/>
      <w:bookmarkStart w:id="1958" w:name="_Toc53185738"/>
      <w:bookmarkStart w:id="1959" w:name="_Toc57820214"/>
      <w:bookmarkStart w:id="1960" w:name="_Toc57821141"/>
      <w:bookmarkStart w:id="1961" w:name="_Toc61183417"/>
      <w:bookmarkStart w:id="1962" w:name="_Toc61183811"/>
      <w:bookmarkStart w:id="1963" w:name="_Toc61184203"/>
      <w:bookmarkStart w:id="1964" w:name="_Toc61184595"/>
      <w:bookmarkStart w:id="1965" w:name="_Toc61184985"/>
      <w:bookmarkStart w:id="1966" w:name="_Toc66386328"/>
      <w:bookmarkStart w:id="1967" w:name="_Toc74583169"/>
      <w:bookmarkStart w:id="1968" w:name="_Toc76541982"/>
      <w:bookmarkStart w:id="1969" w:name="_Toc82449964"/>
      <w:bookmarkStart w:id="1970" w:name="_Toc82450612"/>
      <w:bookmarkStart w:id="1971" w:name="_Toc89949001"/>
      <w:bookmarkStart w:id="1972" w:name="_Toc98755390"/>
      <w:bookmarkStart w:id="1973" w:name="_Toc98762981"/>
      <w:bookmarkStart w:id="1974" w:name="_Toc106183910"/>
      <w:r>
        <w:t>6.6.3.3</w:t>
      </w:r>
      <w:r>
        <w:tab/>
        <w:t xml:space="preserve">Minimum requirement for </w:t>
      </w:r>
      <w:r>
        <w:rPr>
          <w:i/>
        </w:rPr>
        <w:t>IAB-DU type 1-H</w:t>
      </w:r>
      <w:bookmarkEnd w:id="1950"/>
      <w:bookmarkEnd w:id="1951"/>
      <w:bookmarkEnd w:id="1952"/>
      <w:bookmarkEnd w:id="1953"/>
      <w:bookmarkEnd w:id="1954"/>
      <w:bookmarkEnd w:id="1955"/>
      <w:bookmarkEnd w:id="1956"/>
      <w:r>
        <w:rPr>
          <w:i/>
        </w:rPr>
        <w:t xml:space="preserve"> </w:t>
      </w:r>
      <w:r w:rsidRPr="00743313">
        <w:rPr>
          <w:iCs/>
        </w:rPr>
        <w:t>and</w:t>
      </w:r>
      <w:r>
        <w:rPr>
          <w:i/>
        </w:rPr>
        <w:t xml:space="preserve"> IAB-MT type 1-H</w:t>
      </w:r>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p>
    <w:p w14:paraId="5E2B9C92" w14:textId="77777777" w:rsidR="00B3234F" w:rsidRDefault="00B3234F" w:rsidP="00B3234F">
      <w:bookmarkStart w:id="1975" w:name="_Hlk508124720"/>
      <w:r>
        <w:t xml:space="preserve">The ACLR </w:t>
      </w:r>
      <w:r>
        <w:rPr>
          <w:rFonts w:eastAsia="SimSun"/>
          <w:lang w:val="en-US" w:eastAsia="zh-CN"/>
        </w:rPr>
        <w:t xml:space="preserve">(CACLR) </w:t>
      </w:r>
      <w:r>
        <w:t xml:space="preserve">absolute </w:t>
      </w:r>
      <w:r>
        <w:rPr>
          <w:i/>
        </w:rPr>
        <w:t>basic limits</w:t>
      </w:r>
      <w:r>
        <w:t xml:space="preserve"> in table 6.6.3.2-2 + X</w:t>
      </w:r>
      <w:r>
        <w:rPr>
          <w:rFonts w:eastAsia="SimSun"/>
          <w:lang w:val="en-US" w:eastAsia="zh-CN"/>
        </w:rPr>
        <w:t xml:space="preserve">, </w:t>
      </w:r>
      <w:r>
        <w:t>6.6.3.2-5 + X (where X = 10log</w:t>
      </w:r>
      <w:r>
        <w:rPr>
          <w:vertAlign w:val="subscript"/>
        </w:rPr>
        <w:t>10</w:t>
      </w:r>
      <w:r>
        <w:t>(N</w:t>
      </w:r>
      <w:r>
        <w:rPr>
          <w:vertAlign w:val="subscript"/>
        </w:rPr>
        <w:t>TXU,countedpercell</w:t>
      </w:r>
      <w:r>
        <w:t xml:space="preserve">)) or the ACLR (CACLR) </w:t>
      </w:r>
      <w:r>
        <w:rPr>
          <w:i/>
        </w:rPr>
        <w:t>limits</w:t>
      </w:r>
      <w:r>
        <w:t xml:space="preserve"> in table 6.6.3.2-1, 6.6.3.2-3 or 6.6.3.2-4, whichever is less stringent, shall apply for each </w:t>
      </w:r>
      <w:r>
        <w:rPr>
          <w:i/>
        </w:rPr>
        <w:t>TAB connector</w:t>
      </w:r>
      <w:r>
        <w:rPr>
          <w:i/>
          <w:lang w:eastAsia="zh-CN"/>
        </w:rPr>
        <w:t xml:space="preserve"> TX min cell group</w:t>
      </w:r>
      <w:r>
        <w:t>.</w:t>
      </w:r>
    </w:p>
    <w:bookmarkEnd w:id="1975"/>
    <w:p w14:paraId="4A227C02" w14:textId="77777777" w:rsidR="00B3234F" w:rsidRDefault="00B3234F" w:rsidP="00B3234F">
      <w:pPr>
        <w:pStyle w:val="NO"/>
        <w:keepNext/>
      </w:pPr>
      <w:r>
        <w:lastRenderedPageBreak/>
        <w:t>NOTE:</w:t>
      </w:r>
      <w:r>
        <w:tab/>
        <w:t xml:space="preserve">Conformance to the </w:t>
      </w:r>
      <w:r>
        <w:rPr>
          <w:i/>
        </w:rPr>
        <w:t xml:space="preserve">IAB-DU type 1-H </w:t>
      </w:r>
      <w:r w:rsidRPr="00743313">
        <w:rPr>
          <w:iCs/>
        </w:rPr>
        <w:t>and</w:t>
      </w:r>
      <w:r>
        <w:rPr>
          <w:i/>
        </w:rPr>
        <w:t xml:space="preserve"> IAB-MT type 1-H</w:t>
      </w:r>
      <w:r>
        <w:t xml:space="preserve"> ACLR requirements can be demonstrated by meeting at least one of the following criteria as determined by the manufacturer:</w:t>
      </w:r>
    </w:p>
    <w:p w14:paraId="27FC32F1" w14:textId="77777777" w:rsidR="00B3234F" w:rsidRDefault="00B3234F" w:rsidP="00B3234F">
      <w:pPr>
        <w:pStyle w:val="B4"/>
      </w:pPr>
      <w:r>
        <w:t>1)</w:t>
      </w:r>
      <w:r>
        <w:tab/>
        <w:t xml:space="preserve">The ratio of the sum of the filtered mean power measured on each </w:t>
      </w:r>
      <w:r>
        <w:rPr>
          <w:i/>
        </w:rPr>
        <w:t>TAB connector</w:t>
      </w:r>
      <w:r>
        <w:t xml:space="preserve"> in the </w:t>
      </w:r>
      <w:r>
        <w:rPr>
          <w:i/>
        </w:rPr>
        <w:t xml:space="preserve">TAB connector TX min cell group </w:t>
      </w:r>
      <w:r>
        <w:t xml:space="preserve">at the assigned channel frequency to the sum of the filtered mean power measured on each </w:t>
      </w:r>
      <w:r>
        <w:rPr>
          <w:i/>
        </w:rPr>
        <w:t>TAB connector</w:t>
      </w:r>
      <w:r>
        <w:t xml:space="preserve"> in the </w:t>
      </w:r>
      <w:r>
        <w:rPr>
          <w:i/>
        </w:rPr>
        <w:t xml:space="preserve">TAB connector TX min cell group </w:t>
      </w:r>
      <w:r>
        <w:t xml:space="preserve">at the adjacent channel frequency shall be greater than or equal to the ACLR </w:t>
      </w:r>
      <w:r>
        <w:rPr>
          <w:i/>
        </w:rPr>
        <w:t>basic limit</w:t>
      </w:r>
      <w:r>
        <w:t xml:space="preserve">. This shall apply for each </w:t>
      </w:r>
      <w:r>
        <w:rPr>
          <w:i/>
        </w:rPr>
        <w:t>TAB connector TX min cell group</w:t>
      </w:r>
      <w:r>
        <w:t>.</w:t>
      </w:r>
    </w:p>
    <w:p w14:paraId="113B15B4" w14:textId="77777777" w:rsidR="00B3234F" w:rsidRDefault="00B3234F" w:rsidP="00B3234F">
      <w:pPr>
        <w:pStyle w:val="B4"/>
      </w:pPr>
      <w:r>
        <w:t>Or</w:t>
      </w:r>
    </w:p>
    <w:p w14:paraId="22BC5F2D" w14:textId="77777777" w:rsidR="00B3234F" w:rsidRDefault="00B3234F" w:rsidP="00B3234F">
      <w:pPr>
        <w:pStyle w:val="B4"/>
      </w:pPr>
      <w:r>
        <w:t>2)</w:t>
      </w:r>
      <w:r>
        <w:tab/>
        <w:t xml:space="preserve">The ratio of the filtered mean power at the </w:t>
      </w:r>
      <w:r>
        <w:rPr>
          <w:i/>
        </w:rPr>
        <w:t>TAB connector</w:t>
      </w:r>
      <w:r>
        <w:t xml:space="preserve"> centred on the assigned channel frequency to the filtered mean power at this </w:t>
      </w:r>
      <w:r>
        <w:rPr>
          <w:i/>
        </w:rPr>
        <w:t>TAB connector</w:t>
      </w:r>
      <w:r>
        <w:t xml:space="preserve"> centred on the adjacent channel frequency shall be greater than or equal to the ACLR </w:t>
      </w:r>
      <w:r>
        <w:rPr>
          <w:i/>
        </w:rPr>
        <w:t>basic limit</w:t>
      </w:r>
      <w:r>
        <w:t xml:space="preserve"> for every </w:t>
      </w:r>
      <w:r>
        <w:rPr>
          <w:i/>
        </w:rPr>
        <w:t>TAB connector</w:t>
      </w:r>
      <w:r>
        <w:t xml:space="preserve"> in the </w:t>
      </w:r>
      <w:r>
        <w:rPr>
          <w:i/>
        </w:rPr>
        <w:t>TAB connector TX min cell group</w:t>
      </w:r>
      <w:r>
        <w:t xml:space="preserve">, for each </w:t>
      </w:r>
      <w:r>
        <w:rPr>
          <w:i/>
        </w:rPr>
        <w:t>TAB connector TX min cell group</w:t>
      </w:r>
      <w:r>
        <w:t>.</w:t>
      </w:r>
    </w:p>
    <w:p w14:paraId="2F9C1173" w14:textId="77777777" w:rsidR="00B3234F" w:rsidRDefault="00B3234F" w:rsidP="00B3234F">
      <w:pPr>
        <w:pStyle w:val="B30"/>
      </w:pPr>
      <w:r>
        <w:tab/>
        <w:t>In case the ACLR</w:t>
      </w:r>
      <w:r>
        <w:rPr>
          <w:lang w:val="en-US" w:eastAsia="zh-CN"/>
        </w:rPr>
        <w:t xml:space="preserve"> (CACLR)</w:t>
      </w:r>
      <w:r>
        <w:t xml:space="preserve"> absolute </w:t>
      </w:r>
      <w:r>
        <w:rPr>
          <w:i/>
        </w:rPr>
        <w:t>basic limit</w:t>
      </w:r>
      <w:r>
        <w:t xml:space="preserve"> of </w:t>
      </w:r>
      <w:r>
        <w:rPr>
          <w:i/>
        </w:rPr>
        <w:t>IAB-DU type 1-H</w:t>
      </w:r>
      <w:r>
        <w:t xml:space="preserve"> or </w:t>
      </w:r>
      <w:r w:rsidRPr="00743313">
        <w:rPr>
          <w:i/>
          <w:iCs/>
        </w:rPr>
        <w:t>IAB-MT type 1-H</w:t>
      </w:r>
      <w:r>
        <w:t xml:space="preserve"> is applied, the conformance can be demonstrated by meeting at least one of the following criteria as determined by the manufacturer:</w:t>
      </w:r>
    </w:p>
    <w:p w14:paraId="115622ED" w14:textId="77777777" w:rsidR="00B3234F" w:rsidRDefault="00B3234F" w:rsidP="00B3234F">
      <w:pPr>
        <w:pStyle w:val="B4"/>
      </w:pPr>
      <w:r>
        <w:t>1)</w:t>
      </w:r>
      <w:r>
        <w:tab/>
        <w:t xml:space="preserve">The sum of the filtered mean power measured on each </w:t>
      </w:r>
      <w:r>
        <w:rPr>
          <w:i/>
        </w:rPr>
        <w:t>TAB connector</w:t>
      </w:r>
      <w:r>
        <w:t xml:space="preserve"> in the </w:t>
      </w:r>
      <w:r>
        <w:rPr>
          <w:i/>
        </w:rPr>
        <w:t xml:space="preserve">TAB connector TX min cell group </w:t>
      </w:r>
      <w:r>
        <w:t xml:space="preserve">at the adjacent channel frequency shall be less than or equal to the ACLR </w:t>
      </w:r>
      <w:r>
        <w:rPr>
          <w:rFonts w:eastAsia="SimSun"/>
          <w:lang w:val="en-US" w:eastAsia="zh-CN"/>
        </w:rPr>
        <w:t xml:space="preserve">(CACLR) </w:t>
      </w:r>
      <w:r>
        <w:t>absolute ba</w:t>
      </w:r>
      <w:r>
        <w:rPr>
          <w:i/>
        </w:rPr>
        <w:t>sic limit</w:t>
      </w:r>
      <w:r>
        <w:t xml:space="preserve"> + X. This shall apply to each </w:t>
      </w:r>
      <w:r>
        <w:rPr>
          <w:i/>
        </w:rPr>
        <w:t xml:space="preserve">TAB </w:t>
      </w:r>
      <w:r>
        <w:t>connector</w:t>
      </w:r>
      <w:r>
        <w:rPr>
          <w:i/>
        </w:rPr>
        <w:t xml:space="preserve"> TX min cell group.</w:t>
      </w:r>
    </w:p>
    <w:p w14:paraId="30868FC7" w14:textId="77777777" w:rsidR="00B3234F" w:rsidRDefault="00B3234F" w:rsidP="00B3234F">
      <w:pPr>
        <w:pStyle w:val="B4"/>
      </w:pPr>
      <w:r>
        <w:t>Or</w:t>
      </w:r>
    </w:p>
    <w:p w14:paraId="3546892E" w14:textId="77777777" w:rsidR="00B3234F" w:rsidRDefault="00B3234F" w:rsidP="00B3234F">
      <w:pPr>
        <w:pStyle w:val="B4"/>
      </w:pPr>
      <w:r>
        <w:t>2)</w:t>
      </w:r>
      <w:r>
        <w:tab/>
        <w:t xml:space="preserve">The filtered mean power at each </w:t>
      </w:r>
      <w:r>
        <w:rPr>
          <w:i/>
        </w:rPr>
        <w:t>TAB connector</w:t>
      </w:r>
      <w:r>
        <w:t xml:space="preserve"> centred on the adjacent channel frequency shall be less than or equal to the ACLR </w:t>
      </w:r>
      <w:r>
        <w:rPr>
          <w:rFonts w:eastAsia="SimSun"/>
          <w:lang w:val="en-US" w:eastAsia="zh-CN"/>
        </w:rPr>
        <w:t xml:space="preserve">(CACLR) </w:t>
      </w:r>
      <w:r>
        <w:t xml:space="preserve">absolute </w:t>
      </w:r>
      <w:r>
        <w:rPr>
          <w:i/>
        </w:rPr>
        <w:t>basic limit</w:t>
      </w:r>
      <w:r>
        <w:t xml:space="preserve"> scaled by X -10log</w:t>
      </w:r>
      <w:r>
        <w:rPr>
          <w:vertAlign w:val="subscript"/>
        </w:rPr>
        <w:t>10</w:t>
      </w:r>
      <w:r>
        <w:t>(</w:t>
      </w:r>
      <w:r>
        <w:rPr>
          <w:i/>
        </w:rPr>
        <w:t>n</w:t>
      </w:r>
      <w:r>
        <w:t xml:space="preserve">) for every </w:t>
      </w:r>
      <w:r>
        <w:rPr>
          <w:i/>
        </w:rPr>
        <w:t>TAB connector</w:t>
      </w:r>
      <w:r>
        <w:t xml:space="preserve"> in the </w:t>
      </w:r>
      <w:r>
        <w:rPr>
          <w:i/>
        </w:rPr>
        <w:t>TAB connector TX min cell group</w:t>
      </w:r>
      <w:r>
        <w:t xml:space="preserve">, for each </w:t>
      </w:r>
      <w:r>
        <w:rPr>
          <w:i/>
        </w:rPr>
        <w:t>TAB connector TX min cell group</w:t>
      </w:r>
      <w:r>
        <w:t xml:space="preserve">, where </w:t>
      </w:r>
      <w:r>
        <w:rPr>
          <w:i/>
        </w:rPr>
        <w:t>n</w:t>
      </w:r>
      <w:r>
        <w:t xml:space="preserve"> is the number of </w:t>
      </w:r>
      <w:r>
        <w:rPr>
          <w:i/>
        </w:rPr>
        <w:t xml:space="preserve">TAB connectors </w:t>
      </w:r>
      <w:r>
        <w:t xml:space="preserve">in the </w:t>
      </w:r>
      <w:r>
        <w:rPr>
          <w:i/>
        </w:rPr>
        <w:t>TAB connector TX min cell group.</w:t>
      </w:r>
    </w:p>
    <w:p w14:paraId="6E0972EA" w14:textId="77777777" w:rsidR="00B3234F" w:rsidRDefault="00B3234F" w:rsidP="00B3234F">
      <w:pPr>
        <w:pStyle w:val="Heading3"/>
      </w:pPr>
      <w:bookmarkStart w:id="1976" w:name="_Toc45893472"/>
      <w:bookmarkStart w:id="1977" w:name="_Toc44712159"/>
      <w:bookmarkStart w:id="1978" w:name="_Toc37267557"/>
      <w:bookmarkStart w:id="1979" w:name="_Toc37260169"/>
      <w:bookmarkStart w:id="1980" w:name="_Toc36817253"/>
      <w:bookmarkStart w:id="1981" w:name="_Toc29811701"/>
      <w:bookmarkStart w:id="1982" w:name="_Toc21127492"/>
      <w:bookmarkStart w:id="1983" w:name="_Toc53185363"/>
      <w:bookmarkStart w:id="1984" w:name="_Toc53185739"/>
      <w:bookmarkStart w:id="1985" w:name="_Toc57820215"/>
      <w:bookmarkStart w:id="1986" w:name="_Toc57821142"/>
      <w:bookmarkStart w:id="1987" w:name="_Toc61183418"/>
      <w:bookmarkStart w:id="1988" w:name="_Toc61183812"/>
      <w:bookmarkStart w:id="1989" w:name="_Toc61184204"/>
      <w:bookmarkStart w:id="1990" w:name="_Toc61184596"/>
      <w:bookmarkStart w:id="1991" w:name="_Toc61184986"/>
      <w:bookmarkStart w:id="1992" w:name="_Toc66386329"/>
      <w:bookmarkStart w:id="1993" w:name="_Toc74583170"/>
      <w:bookmarkStart w:id="1994" w:name="_Toc76541983"/>
      <w:bookmarkStart w:id="1995" w:name="_Toc82449965"/>
      <w:bookmarkStart w:id="1996" w:name="_Toc82450613"/>
      <w:bookmarkStart w:id="1997" w:name="_Toc89949002"/>
      <w:bookmarkStart w:id="1998" w:name="_Toc98755391"/>
      <w:bookmarkStart w:id="1999" w:name="_Toc98762982"/>
      <w:bookmarkStart w:id="2000" w:name="_Toc106183911"/>
      <w:r>
        <w:t>6.6.4</w:t>
      </w:r>
      <w:r>
        <w:tab/>
        <w:t>Operating band unwanted emissions</w:t>
      </w:r>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r>
        <w:tab/>
      </w:r>
    </w:p>
    <w:p w14:paraId="7B8A669A" w14:textId="77777777" w:rsidR="00B3234F" w:rsidRDefault="00B3234F" w:rsidP="00B3234F">
      <w:pPr>
        <w:pStyle w:val="Heading4"/>
      </w:pPr>
      <w:bookmarkStart w:id="2001" w:name="_Toc45893473"/>
      <w:bookmarkStart w:id="2002" w:name="_Toc44712160"/>
      <w:bookmarkStart w:id="2003" w:name="_Toc37267558"/>
      <w:bookmarkStart w:id="2004" w:name="_Toc37260170"/>
      <w:bookmarkStart w:id="2005" w:name="_Toc36817254"/>
      <w:bookmarkStart w:id="2006" w:name="_Toc29811702"/>
      <w:bookmarkStart w:id="2007" w:name="_Toc21127493"/>
      <w:bookmarkStart w:id="2008" w:name="_Toc53185364"/>
      <w:bookmarkStart w:id="2009" w:name="_Toc53185740"/>
      <w:bookmarkStart w:id="2010" w:name="_Toc57820216"/>
      <w:bookmarkStart w:id="2011" w:name="_Toc57821143"/>
      <w:bookmarkStart w:id="2012" w:name="_Toc61183419"/>
      <w:bookmarkStart w:id="2013" w:name="_Toc61183813"/>
      <w:bookmarkStart w:id="2014" w:name="_Toc61184205"/>
      <w:bookmarkStart w:id="2015" w:name="_Toc61184597"/>
      <w:bookmarkStart w:id="2016" w:name="_Toc61184987"/>
      <w:bookmarkStart w:id="2017" w:name="_Toc66386330"/>
      <w:bookmarkStart w:id="2018" w:name="_Toc74583171"/>
      <w:bookmarkStart w:id="2019" w:name="_Toc76541984"/>
      <w:bookmarkStart w:id="2020" w:name="_Toc82449966"/>
      <w:bookmarkStart w:id="2021" w:name="_Toc82450614"/>
      <w:bookmarkStart w:id="2022" w:name="_Toc89949003"/>
      <w:bookmarkStart w:id="2023" w:name="_Toc98755392"/>
      <w:bookmarkStart w:id="2024" w:name="_Toc98762983"/>
      <w:bookmarkStart w:id="2025" w:name="_Toc106183912"/>
      <w:r>
        <w:t>6.6.4.1</w:t>
      </w:r>
      <w:r>
        <w:tab/>
        <w:t>General</w:t>
      </w:r>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p>
    <w:p w14:paraId="078F1BDB" w14:textId="77777777" w:rsidR="00B3234F" w:rsidRDefault="00B3234F" w:rsidP="00B3234F">
      <w:pPr>
        <w:rPr>
          <w:rFonts w:cs="v5.0.0"/>
        </w:rPr>
      </w:pPr>
      <w:r>
        <w:t xml:space="preserve">Unless otherwise stated, the </w:t>
      </w:r>
      <w:r>
        <w:rPr>
          <w:rFonts w:eastAsia="SimSun"/>
          <w:lang w:eastAsia="zh-CN"/>
        </w:rPr>
        <w:t>o</w:t>
      </w:r>
      <w:r>
        <w:t>perating band unwanted emission (OBUE) limits for IAB-DU in FR1 are defined from</w:t>
      </w:r>
      <w:r>
        <w:rPr>
          <w:rFonts w:eastAsia="SimSun"/>
          <w:lang w:eastAsia="zh-CN"/>
        </w:rPr>
        <w:t xml:space="preserve"> </w:t>
      </w:r>
      <w:r>
        <w:rPr>
          <w:rFonts w:cs="v5.0.0"/>
        </w:rPr>
        <w:t>Δf</w:t>
      </w:r>
      <w:r>
        <w:rPr>
          <w:rFonts w:cs="v5.0.0"/>
          <w:vertAlign w:val="subscript"/>
        </w:rPr>
        <w:t>OBUE</w:t>
      </w:r>
      <w:r>
        <w:t xml:space="preserve"> below the lowest frequency of each supported downlink </w:t>
      </w:r>
      <w:r>
        <w:rPr>
          <w:i/>
        </w:rPr>
        <w:t>operating band</w:t>
      </w:r>
      <w:r>
        <w:t xml:space="preserve"> up to</w:t>
      </w:r>
      <w:r>
        <w:rPr>
          <w:rFonts w:eastAsia="SimSun"/>
          <w:lang w:eastAsia="zh-CN"/>
        </w:rPr>
        <w:t xml:space="preserve"> </w:t>
      </w:r>
      <w:r>
        <w:rPr>
          <w:rFonts w:cs="v5.0.0"/>
        </w:rPr>
        <w:t>Δf</w:t>
      </w:r>
      <w:r>
        <w:rPr>
          <w:rFonts w:cs="v5.0.0"/>
          <w:vertAlign w:val="subscript"/>
        </w:rPr>
        <w:t>OBUE</w:t>
      </w:r>
      <w:r>
        <w:rPr>
          <w:rFonts w:eastAsia="SimSun"/>
          <w:lang w:eastAsia="zh-CN"/>
        </w:rPr>
        <w:t xml:space="preserve"> </w:t>
      </w:r>
      <w:r>
        <w:t xml:space="preserve">above the highest frequency of each supported downlink </w:t>
      </w:r>
      <w:r>
        <w:rPr>
          <w:i/>
        </w:rPr>
        <w:t>operating band</w:t>
      </w:r>
      <w:r>
        <w:t>.</w:t>
      </w:r>
      <w:r>
        <w:rPr>
          <w:rFonts w:cs="v5.0.0"/>
        </w:rPr>
        <w:t xml:space="preserve"> The value</w:t>
      </w:r>
      <w:r>
        <w:rPr>
          <w:rFonts w:cs="v5.0.0"/>
          <w:lang w:eastAsia="zh-CN"/>
        </w:rPr>
        <w:t>s</w:t>
      </w:r>
      <w:r>
        <w:rPr>
          <w:rFonts w:cs="v5.0.0"/>
        </w:rPr>
        <w:t xml:space="preserve"> of </w:t>
      </w:r>
      <w:r>
        <w:t>Δf</w:t>
      </w:r>
      <w:r>
        <w:rPr>
          <w:vertAlign w:val="subscript"/>
        </w:rPr>
        <w:t>OBUE</w:t>
      </w:r>
      <w:r>
        <w:rPr>
          <w:rFonts w:cs="v5.0.0"/>
        </w:rPr>
        <w:t xml:space="preserve"> </w:t>
      </w:r>
      <w:r>
        <w:rPr>
          <w:rFonts w:cs="v5.0.0"/>
          <w:lang w:eastAsia="zh-CN"/>
        </w:rPr>
        <w:t>are</w:t>
      </w:r>
      <w:r>
        <w:rPr>
          <w:rFonts w:cs="v5.0.0"/>
        </w:rPr>
        <w:t xml:space="preserve"> defined in table 6.6.1</w:t>
      </w:r>
      <w:r>
        <w:rPr>
          <w:rFonts w:cs="v5.0.0"/>
        </w:rPr>
        <w:noBreakHyphen/>
        <w:t xml:space="preserve">1 for the NR </w:t>
      </w:r>
      <w:r>
        <w:rPr>
          <w:rFonts w:cs="v5.0.0"/>
          <w:i/>
        </w:rPr>
        <w:t>operating bands</w:t>
      </w:r>
      <w:r>
        <w:rPr>
          <w:rFonts w:cs="v5.0.0"/>
        </w:rPr>
        <w:t>.</w:t>
      </w:r>
    </w:p>
    <w:p w14:paraId="182C686B" w14:textId="77777777" w:rsidR="00B3234F" w:rsidRDefault="00B3234F" w:rsidP="00B3234F">
      <w:pPr>
        <w:rPr>
          <w:rFonts w:eastAsia="SimSun"/>
          <w:lang w:eastAsia="zh-CN"/>
        </w:rPr>
      </w:pPr>
      <w:r>
        <w:t xml:space="preserve">Unless otherwise stated, the </w:t>
      </w:r>
      <w:r>
        <w:rPr>
          <w:rFonts w:eastAsia="SimSun"/>
          <w:lang w:eastAsia="zh-CN"/>
        </w:rPr>
        <w:t>o</w:t>
      </w:r>
      <w:r>
        <w:t>perating band unwanted emission (OBUE) limits for IAB-MT in FR1 are defined from</w:t>
      </w:r>
      <w:r>
        <w:rPr>
          <w:rFonts w:eastAsia="SimSun"/>
          <w:lang w:eastAsia="zh-CN"/>
        </w:rPr>
        <w:t xml:space="preserve"> </w:t>
      </w:r>
      <w:r>
        <w:rPr>
          <w:rFonts w:cs="v5.0.0"/>
        </w:rPr>
        <w:t>Δf</w:t>
      </w:r>
      <w:r>
        <w:rPr>
          <w:rFonts w:cs="v5.0.0"/>
          <w:vertAlign w:val="subscript"/>
        </w:rPr>
        <w:t>OBUE</w:t>
      </w:r>
      <w:r>
        <w:t xml:space="preserve"> below the lowest frequency of each supported uplink </w:t>
      </w:r>
      <w:r>
        <w:rPr>
          <w:i/>
        </w:rPr>
        <w:t>operating band</w:t>
      </w:r>
      <w:r>
        <w:t xml:space="preserve"> up to</w:t>
      </w:r>
      <w:r>
        <w:rPr>
          <w:rFonts w:eastAsia="SimSun"/>
          <w:lang w:eastAsia="zh-CN"/>
        </w:rPr>
        <w:t xml:space="preserve"> </w:t>
      </w:r>
      <w:r>
        <w:rPr>
          <w:rFonts w:cs="v5.0.0"/>
        </w:rPr>
        <w:t>Δf</w:t>
      </w:r>
      <w:r>
        <w:rPr>
          <w:rFonts w:cs="v5.0.0"/>
          <w:vertAlign w:val="subscript"/>
        </w:rPr>
        <w:t>OBUE</w:t>
      </w:r>
      <w:r>
        <w:rPr>
          <w:rFonts w:eastAsia="SimSun"/>
          <w:lang w:eastAsia="zh-CN"/>
        </w:rPr>
        <w:t xml:space="preserve"> </w:t>
      </w:r>
      <w:r>
        <w:t xml:space="preserve">above the highest frequency of each supported uplink </w:t>
      </w:r>
      <w:r>
        <w:rPr>
          <w:i/>
        </w:rPr>
        <w:t>operating band</w:t>
      </w:r>
      <w:r>
        <w:t>.</w:t>
      </w:r>
      <w:r>
        <w:rPr>
          <w:rFonts w:cs="v5.0.0"/>
        </w:rPr>
        <w:t xml:space="preserve"> The value</w:t>
      </w:r>
      <w:r>
        <w:rPr>
          <w:rFonts w:cs="v5.0.0"/>
          <w:lang w:eastAsia="zh-CN"/>
        </w:rPr>
        <w:t>s</w:t>
      </w:r>
      <w:r>
        <w:rPr>
          <w:rFonts w:cs="v5.0.0"/>
        </w:rPr>
        <w:t xml:space="preserve"> of </w:t>
      </w:r>
      <w:r>
        <w:t>Δf</w:t>
      </w:r>
      <w:r>
        <w:rPr>
          <w:vertAlign w:val="subscript"/>
        </w:rPr>
        <w:t>OBUE</w:t>
      </w:r>
      <w:r>
        <w:rPr>
          <w:rFonts w:cs="v5.0.0"/>
        </w:rPr>
        <w:t xml:space="preserve"> </w:t>
      </w:r>
      <w:r>
        <w:rPr>
          <w:rFonts w:cs="v5.0.0"/>
          <w:lang w:eastAsia="zh-CN"/>
        </w:rPr>
        <w:t>are</w:t>
      </w:r>
      <w:r>
        <w:rPr>
          <w:rFonts w:cs="v5.0.0"/>
        </w:rPr>
        <w:t xml:space="preserve"> defined in table 6.6.1</w:t>
      </w:r>
      <w:r>
        <w:rPr>
          <w:rFonts w:cs="v5.0.0"/>
        </w:rPr>
        <w:noBreakHyphen/>
        <w:t xml:space="preserve">2 for the NR </w:t>
      </w:r>
      <w:r>
        <w:rPr>
          <w:rFonts w:cs="v5.0.0"/>
          <w:i/>
        </w:rPr>
        <w:t>operating bands</w:t>
      </w:r>
      <w:r>
        <w:rPr>
          <w:rFonts w:cs="v5.0.0"/>
        </w:rPr>
        <w:t>.</w:t>
      </w:r>
    </w:p>
    <w:p w14:paraId="7AAE8BC3" w14:textId="77777777" w:rsidR="00B3234F" w:rsidRDefault="00B3234F" w:rsidP="00B3234F">
      <w:pPr>
        <w:rPr>
          <w:rFonts w:cs="v5.0.0"/>
        </w:rPr>
      </w:pPr>
      <w:r>
        <w:t>The requirements shall apply whatever the type of transmitter considered and for all transmission modes foreseen by the manufacturer’s specification</w:t>
      </w:r>
      <w:r>
        <w:rPr>
          <w:rFonts w:cs="v5.0.0"/>
        </w:rPr>
        <w:t xml:space="preserve">. In addition, for IAB-DU and IAB-MT operating in </w:t>
      </w:r>
      <w:r>
        <w:rPr>
          <w:rFonts w:cs="v5.0.0"/>
          <w:i/>
        </w:rPr>
        <w:t>non-contiguous spectrum</w:t>
      </w:r>
      <w:r>
        <w:rPr>
          <w:rFonts w:cs="v5.0.0"/>
        </w:rPr>
        <w:t xml:space="preserve">, the requirements apply inside any </w:t>
      </w:r>
      <w:r>
        <w:rPr>
          <w:rFonts w:cs="v5.0.0"/>
          <w:i/>
        </w:rPr>
        <w:t>sub-block gap</w:t>
      </w:r>
      <w:r>
        <w:rPr>
          <w:rFonts w:cs="v5.0.0"/>
        </w:rPr>
        <w:t xml:space="preserve">. </w:t>
      </w:r>
      <w:r>
        <w:rPr>
          <w:rFonts w:cs="v5.0.0"/>
          <w:lang w:eastAsia="zh-CN"/>
        </w:rPr>
        <w:t>In addition, for</w:t>
      </w:r>
      <w:r>
        <w:rPr>
          <w:rFonts w:cs="v5.0.0"/>
        </w:rPr>
        <w:t xml:space="preserve"> a IAB-MT or IAB-DU operating in </w:t>
      </w:r>
      <w:r>
        <w:rPr>
          <w:rFonts w:cs="v5.0.0"/>
          <w:lang w:eastAsia="zh-CN"/>
        </w:rPr>
        <w:t>multiple bands</w:t>
      </w:r>
      <w:r>
        <w:rPr>
          <w:rFonts w:cs="v5.0.0"/>
        </w:rPr>
        <w:t xml:space="preserve">, the requirements apply inside any </w:t>
      </w:r>
      <w:r>
        <w:rPr>
          <w:rFonts w:cs="v5.0.0"/>
          <w:i/>
          <w:lang w:eastAsia="zh-CN"/>
        </w:rPr>
        <w:t>Inter RF Bandwidth</w:t>
      </w:r>
      <w:r>
        <w:rPr>
          <w:rFonts w:cs="v5.0.0"/>
          <w:i/>
        </w:rPr>
        <w:t xml:space="preserve"> gap</w:t>
      </w:r>
      <w:r>
        <w:rPr>
          <w:rFonts w:cs="v5.0.0"/>
        </w:rPr>
        <w:t>.</w:t>
      </w:r>
    </w:p>
    <w:p w14:paraId="1534AF34" w14:textId="77777777" w:rsidR="00B3234F" w:rsidRDefault="00B3234F" w:rsidP="00B3234F">
      <w:r>
        <w:rPr>
          <w:i/>
        </w:rPr>
        <w:t>Basic limits</w:t>
      </w:r>
      <w:r>
        <w:t xml:space="preserve"> are specified in the tables below, where:</w:t>
      </w:r>
    </w:p>
    <w:p w14:paraId="21321F01" w14:textId="77777777" w:rsidR="00B3234F" w:rsidRDefault="00B3234F" w:rsidP="0076338D">
      <w:pPr>
        <w:pStyle w:val="B10"/>
      </w:pPr>
      <w:r>
        <w:t>-</w:t>
      </w:r>
      <w:r>
        <w:tab/>
      </w:r>
      <w:bookmarkStart w:id="2026" w:name="_Hlk497218315"/>
      <w:r>
        <w:sym w:font="Symbol" w:char="F044"/>
      </w:r>
      <w:r>
        <w:t>f</w:t>
      </w:r>
      <w:bookmarkEnd w:id="2026"/>
      <w:r>
        <w:t xml:space="preserve"> is the </w:t>
      </w:r>
      <w:bookmarkStart w:id="2027" w:name="_Hlk497218330"/>
      <w:r>
        <w:t xml:space="preserve">separation between the </w:t>
      </w:r>
      <w:r>
        <w:rPr>
          <w:i/>
        </w:rPr>
        <w:t>channel edge</w:t>
      </w:r>
      <w:r>
        <w:t xml:space="preserve"> frequency and the nominal -3dB point of the measuring filter closest to the carrier frequency</w:t>
      </w:r>
      <w:bookmarkEnd w:id="2027"/>
      <w:r>
        <w:t>.</w:t>
      </w:r>
    </w:p>
    <w:p w14:paraId="1ADC3D49" w14:textId="77777777" w:rsidR="00B3234F" w:rsidRDefault="00B3234F" w:rsidP="0076338D">
      <w:pPr>
        <w:pStyle w:val="B10"/>
      </w:pPr>
      <w:r>
        <w:t>-</w:t>
      </w:r>
      <w:r>
        <w:tab/>
      </w:r>
      <w:bookmarkStart w:id="2028" w:name="_Hlk497218343"/>
      <w:r>
        <w:t xml:space="preserve">f_offset </w:t>
      </w:r>
      <w:bookmarkEnd w:id="2028"/>
      <w:r>
        <w:t xml:space="preserve">is the </w:t>
      </w:r>
      <w:bookmarkStart w:id="2029" w:name="_Hlk497218356"/>
      <w:r>
        <w:t xml:space="preserve">separation between the </w:t>
      </w:r>
      <w:r>
        <w:rPr>
          <w:i/>
        </w:rPr>
        <w:t>channel edge</w:t>
      </w:r>
      <w:r>
        <w:t xml:space="preserve"> frequency and the centre of the measuring filter</w:t>
      </w:r>
      <w:bookmarkEnd w:id="2029"/>
      <w:r>
        <w:t>.</w:t>
      </w:r>
    </w:p>
    <w:p w14:paraId="0E27DDC8" w14:textId="77777777" w:rsidR="00B3234F" w:rsidRDefault="00B3234F" w:rsidP="0076338D">
      <w:pPr>
        <w:pStyle w:val="B10"/>
      </w:pPr>
      <w:r>
        <w:t>-</w:t>
      </w:r>
      <w:r>
        <w:tab/>
      </w:r>
      <w:bookmarkStart w:id="2030" w:name="_Hlk497218367"/>
      <w:r>
        <w:t>f_offset</w:t>
      </w:r>
      <w:r>
        <w:rPr>
          <w:vertAlign w:val="subscript"/>
        </w:rPr>
        <w:t>max</w:t>
      </w:r>
      <w:bookmarkEnd w:id="2030"/>
      <w:r>
        <w:t xml:space="preserve"> is </w:t>
      </w:r>
      <w:bookmarkStart w:id="2031" w:name="_Hlk497218384"/>
      <w:r>
        <w:t>the offset to the frequency Δf</w:t>
      </w:r>
      <w:r>
        <w:rPr>
          <w:vertAlign w:val="subscript"/>
        </w:rPr>
        <w:t>OBUE</w:t>
      </w:r>
      <w:r>
        <w:t xml:space="preserve"> outside the downlink </w:t>
      </w:r>
      <w:bookmarkEnd w:id="2031"/>
      <w:r>
        <w:rPr>
          <w:i/>
        </w:rPr>
        <w:t xml:space="preserve">operating band </w:t>
      </w:r>
      <w:r>
        <w:rPr>
          <w:iCs/>
        </w:rPr>
        <w:t xml:space="preserve">of IAB-DU and uplink </w:t>
      </w:r>
      <w:r>
        <w:rPr>
          <w:i/>
        </w:rPr>
        <w:t xml:space="preserve">operating band </w:t>
      </w:r>
      <w:r>
        <w:rPr>
          <w:iCs/>
        </w:rPr>
        <w:t>of IAB-MT</w:t>
      </w:r>
      <w:r>
        <w:t>, where Δf</w:t>
      </w:r>
      <w:r>
        <w:rPr>
          <w:vertAlign w:val="subscript"/>
        </w:rPr>
        <w:t>OBUE</w:t>
      </w:r>
      <w:r>
        <w:t xml:space="preserve"> is defined in tables 6.6.1-1 and 6.6.1-2.</w:t>
      </w:r>
    </w:p>
    <w:p w14:paraId="2A740757" w14:textId="77777777" w:rsidR="00B3234F" w:rsidRDefault="00B3234F" w:rsidP="0076338D">
      <w:pPr>
        <w:pStyle w:val="B10"/>
      </w:pPr>
      <w:r>
        <w:t>-</w:t>
      </w:r>
      <w:r>
        <w:tab/>
      </w:r>
      <w:bookmarkStart w:id="2032" w:name="_Hlk497218410"/>
      <w:r>
        <w:sym w:font="Symbol" w:char="F044"/>
      </w:r>
      <w:r>
        <w:t>f</w:t>
      </w:r>
      <w:r>
        <w:rPr>
          <w:vertAlign w:val="subscript"/>
        </w:rPr>
        <w:t>max</w:t>
      </w:r>
      <w:r>
        <w:t xml:space="preserve"> is equal to f_offset</w:t>
      </w:r>
      <w:r>
        <w:rPr>
          <w:vertAlign w:val="subscript"/>
        </w:rPr>
        <w:t>max</w:t>
      </w:r>
      <w:r>
        <w:t xml:space="preserve"> minus half of the bandwidth of the measuring filter</w:t>
      </w:r>
      <w:bookmarkEnd w:id="2032"/>
      <w:r>
        <w:t>.</w:t>
      </w:r>
    </w:p>
    <w:p w14:paraId="404A6B99" w14:textId="77777777" w:rsidR="00B3234F" w:rsidRDefault="00B3234F" w:rsidP="00B3234F">
      <w:r>
        <w:t xml:space="preserve">For a </w:t>
      </w:r>
      <w:r>
        <w:rPr>
          <w:i/>
        </w:rPr>
        <w:t>multi-band connector</w:t>
      </w:r>
      <w:r>
        <w:t xml:space="preserve"> inside any </w:t>
      </w:r>
      <w:r>
        <w:rPr>
          <w:i/>
        </w:rPr>
        <w:t>Inter RF Bandwidth gaps</w:t>
      </w:r>
      <w:r>
        <w:t xml:space="preserve"> with W</w:t>
      </w:r>
      <w:r>
        <w:rPr>
          <w:vertAlign w:val="subscript"/>
        </w:rPr>
        <w:t>gap</w:t>
      </w:r>
      <w:r>
        <w:t xml:space="preserve"> &lt; 2*Δf</w:t>
      </w:r>
      <w:r>
        <w:rPr>
          <w:vertAlign w:val="subscript"/>
        </w:rPr>
        <w:t>OBUE</w:t>
      </w:r>
      <w:r>
        <w:t xml:space="preserve">, a combined </w:t>
      </w:r>
      <w:r>
        <w:rPr>
          <w:i/>
        </w:rPr>
        <w:t xml:space="preserve">basic </w:t>
      </w:r>
      <w:r>
        <w:t xml:space="preserve">limit shall be applied which is the cumulative sum of the </w:t>
      </w:r>
      <w:r>
        <w:rPr>
          <w:i/>
        </w:rPr>
        <w:t>basic limit</w:t>
      </w:r>
      <w:r>
        <w:t xml:space="preserve">s specified at the </w:t>
      </w:r>
      <w:r>
        <w:rPr>
          <w:i/>
        </w:rPr>
        <w:t xml:space="preserve">IAB-DU </w:t>
      </w:r>
      <w:r w:rsidRPr="00743313">
        <w:rPr>
          <w:iCs/>
        </w:rPr>
        <w:t>and</w:t>
      </w:r>
      <w:r>
        <w:rPr>
          <w:i/>
        </w:rPr>
        <w:t xml:space="preserve"> IAB-MT RF Bandwidth edges</w:t>
      </w:r>
      <w:r>
        <w:t xml:space="preserve"> on each side of the </w:t>
      </w:r>
      <w:r>
        <w:rPr>
          <w:i/>
        </w:rPr>
        <w:t>Inter RF Bandwidth gap</w:t>
      </w:r>
      <w:r>
        <w:t xml:space="preserve">. The </w:t>
      </w:r>
      <w:r>
        <w:rPr>
          <w:i/>
        </w:rPr>
        <w:t>basic limit</w:t>
      </w:r>
      <w:r>
        <w:t xml:space="preserve"> for </w:t>
      </w:r>
      <w:r>
        <w:rPr>
          <w:i/>
        </w:rPr>
        <w:t xml:space="preserve">IAB-DU </w:t>
      </w:r>
      <w:r w:rsidRPr="00743313">
        <w:rPr>
          <w:iCs/>
        </w:rPr>
        <w:t>and</w:t>
      </w:r>
      <w:r>
        <w:rPr>
          <w:i/>
        </w:rPr>
        <w:t xml:space="preserve"> IAB-MT RF Bandwidth edge</w:t>
      </w:r>
      <w:r>
        <w:t xml:space="preserve"> is specified in clauses </w:t>
      </w:r>
      <w:r w:rsidRPr="008D4FD3">
        <w:t>6.6.4.</w:t>
      </w:r>
      <w:r w:rsidRPr="008D4FD3">
        <w:rPr>
          <w:lang w:val="en-US" w:eastAsia="zh-CN"/>
        </w:rPr>
        <w:t xml:space="preserve">2.1 to </w:t>
      </w:r>
      <w:r w:rsidRPr="008D4FD3">
        <w:t>6.6.4.2.</w:t>
      </w:r>
      <w:r w:rsidRPr="008D4FD3">
        <w:rPr>
          <w:lang w:val="en-US" w:eastAsia="zh-CN"/>
        </w:rPr>
        <w:t>4</w:t>
      </w:r>
      <w:r>
        <w:t xml:space="preserve"> below, where in this case:</w:t>
      </w:r>
    </w:p>
    <w:p w14:paraId="020EA201" w14:textId="77777777" w:rsidR="00B3234F" w:rsidRDefault="00B3234F" w:rsidP="0076338D">
      <w:pPr>
        <w:pStyle w:val="B10"/>
      </w:pPr>
      <w:r>
        <w:lastRenderedPageBreak/>
        <w:t>-</w:t>
      </w:r>
      <w:r>
        <w:tab/>
      </w:r>
      <w:r>
        <w:sym w:font="Symbol" w:char="F044"/>
      </w:r>
      <w:r>
        <w:t xml:space="preserve">f is the separation between the </w:t>
      </w:r>
      <w:r>
        <w:rPr>
          <w:i/>
        </w:rPr>
        <w:t xml:space="preserve">IAB-DU </w:t>
      </w:r>
      <w:r w:rsidRPr="00743313">
        <w:rPr>
          <w:iCs/>
        </w:rPr>
        <w:t>or</w:t>
      </w:r>
      <w:r>
        <w:rPr>
          <w:i/>
        </w:rPr>
        <w:t xml:space="preserve"> IAB-MT RF Bandwidth edge</w:t>
      </w:r>
      <w:r>
        <w:t xml:space="preserve"> frequency and the nominal -3 dB point of the measuring filter closest to the </w:t>
      </w:r>
      <w:r>
        <w:rPr>
          <w:i/>
        </w:rPr>
        <w:t xml:space="preserve">IAB-DU </w:t>
      </w:r>
      <w:r w:rsidRPr="00743313">
        <w:rPr>
          <w:iCs/>
        </w:rPr>
        <w:t>or</w:t>
      </w:r>
      <w:r>
        <w:rPr>
          <w:i/>
        </w:rPr>
        <w:t xml:space="preserve"> IAB-MT RF Bandwidth edge</w:t>
      </w:r>
      <w:r>
        <w:t>.</w:t>
      </w:r>
    </w:p>
    <w:p w14:paraId="0669B68A" w14:textId="77777777" w:rsidR="00B3234F" w:rsidRDefault="00B3234F" w:rsidP="0076338D">
      <w:pPr>
        <w:pStyle w:val="B10"/>
      </w:pPr>
      <w:r>
        <w:t>-</w:t>
      </w:r>
      <w:r>
        <w:tab/>
        <w:t xml:space="preserve">f_offset is the separation from the </w:t>
      </w:r>
      <w:r>
        <w:rPr>
          <w:i/>
        </w:rPr>
        <w:t xml:space="preserve">IAB-DU </w:t>
      </w:r>
      <w:r w:rsidRPr="00743313">
        <w:rPr>
          <w:iCs/>
        </w:rPr>
        <w:t>or</w:t>
      </w:r>
      <w:r>
        <w:rPr>
          <w:i/>
        </w:rPr>
        <w:t xml:space="preserve"> IAB-MT RF Bandwidth edge</w:t>
      </w:r>
      <w:r>
        <w:t xml:space="preserve"> frequency to the centre of the measuring filter.</w:t>
      </w:r>
    </w:p>
    <w:p w14:paraId="208C8C20" w14:textId="77777777" w:rsidR="00B3234F" w:rsidRDefault="00B3234F" w:rsidP="0076338D">
      <w:pPr>
        <w:pStyle w:val="B10"/>
      </w:pPr>
      <w:r>
        <w:t>-</w:t>
      </w:r>
      <w:r>
        <w:tab/>
        <w:t>f_offset</w:t>
      </w:r>
      <w:r>
        <w:rPr>
          <w:vertAlign w:val="subscript"/>
        </w:rPr>
        <w:t>max</w:t>
      </w:r>
      <w:r>
        <w:t xml:space="preserve"> is equal to the </w:t>
      </w:r>
      <w:r>
        <w:rPr>
          <w:i/>
        </w:rPr>
        <w:t>Inter RF Bandwidth gap</w:t>
      </w:r>
      <w:r>
        <w:t xml:space="preserve"> minus half of the bandwidth of the measuring filter.</w:t>
      </w:r>
    </w:p>
    <w:p w14:paraId="4AE876BD" w14:textId="77777777" w:rsidR="00B3234F" w:rsidRDefault="00B3234F" w:rsidP="0076338D">
      <w:pPr>
        <w:pStyle w:val="B10"/>
      </w:pPr>
      <w:r>
        <w:t>-</w:t>
      </w:r>
      <w:r>
        <w:tab/>
      </w:r>
      <w:r>
        <w:sym w:font="Symbol" w:char="F044"/>
      </w:r>
      <w:r>
        <w:t>f</w:t>
      </w:r>
      <w:r>
        <w:rPr>
          <w:vertAlign w:val="subscript"/>
        </w:rPr>
        <w:t>max</w:t>
      </w:r>
      <w:r>
        <w:t xml:space="preserve"> is equal to f_offset</w:t>
      </w:r>
      <w:r>
        <w:rPr>
          <w:vertAlign w:val="subscript"/>
        </w:rPr>
        <w:t>max</w:t>
      </w:r>
      <w:r>
        <w:t xml:space="preserve"> minus half of the bandwidth of the measuring filter.</w:t>
      </w:r>
    </w:p>
    <w:p w14:paraId="53201A6C" w14:textId="77777777" w:rsidR="00B3234F" w:rsidRDefault="00B3234F" w:rsidP="00B3234F">
      <w:r>
        <w:t xml:space="preserve">For a </w:t>
      </w:r>
      <w:r>
        <w:rPr>
          <w:i/>
        </w:rPr>
        <w:t xml:space="preserve">multi-band connector </w:t>
      </w:r>
      <w:r>
        <w:rPr>
          <w:iCs/>
        </w:rPr>
        <w:t>of</w:t>
      </w:r>
      <w:r w:rsidRPr="00743313">
        <w:rPr>
          <w:iCs/>
        </w:rPr>
        <w:t xml:space="preserve"> IAB-DU</w:t>
      </w:r>
      <w:r>
        <w:t xml:space="preserve">, the operating band unwanted emission limits apply also in a supported downlink </w:t>
      </w:r>
      <w:r>
        <w:rPr>
          <w:i/>
        </w:rPr>
        <w:t>operating band</w:t>
      </w:r>
      <w:r>
        <w:t xml:space="preserve"> without any carrier transmitted, in the case where there are carrier(s) transmitted in another supported downlink</w:t>
      </w:r>
      <w:r>
        <w:rPr>
          <w:i/>
        </w:rPr>
        <w:t xml:space="preserve"> operating band</w:t>
      </w:r>
      <w:r>
        <w:t xml:space="preserve">. In this case, no cumulative </w:t>
      </w:r>
      <w:r>
        <w:rPr>
          <w:i/>
        </w:rPr>
        <w:t>basic limit</w:t>
      </w:r>
      <w:r>
        <w:t xml:space="preserve"> is applied in the </w:t>
      </w:r>
      <w:r>
        <w:rPr>
          <w:i/>
        </w:rPr>
        <w:t>inter-band gap</w:t>
      </w:r>
      <w:r>
        <w:t xml:space="preserve"> between a supported downlink</w:t>
      </w:r>
      <w:r>
        <w:rPr>
          <w:i/>
        </w:rPr>
        <w:t xml:space="preserve"> operating band</w:t>
      </w:r>
      <w:r>
        <w:t xml:space="preserve"> with carrier(s) transmitted and a supported downlink</w:t>
      </w:r>
      <w:r>
        <w:rPr>
          <w:i/>
        </w:rPr>
        <w:t xml:space="preserve"> operating band</w:t>
      </w:r>
      <w:r>
        <w:t xml:space="preserve"> without any carrier transmitted and</w:t>
      </w:r>
    </w:p>
    <w:p w14:paraId="11A276A8" w14:textId="77777777" w:rsidR="00B3234F" w:rsidRDefault="00B3234F" w:rsidP="0076338D">
      <w:pPr>
        <w:pStyle w:val="B10"/>
        <w:rPr>
          <w:lang w:eastAsia="zh-CN"/>
        </w:rPr>
      </w:pPr>
      <w:r>
        <w:rPr>
          <w:lang w:eastAsia="zh-CN"/>
        </w:rPr>
        <w:t>-</w:t>
      </w:r>
      <w:r>
        <w:rPr>
          <w:lang w:eastAsia="zh-CN"/>
        </w:rPr>
        <w:tab/>
        <w:t xml:space="preserve">In case the </w:t>
      </w:r>
      <w:r>
        <w:rPr>
          <w:i/>
          <w:lang w:eastAsia="zh-CN"/>
        </w:rPr>
        <w:t>inter-band gap</w:t>
      </w:r>
      <w:r>
        <w:rPr>
          <w:lang w:eastAsia="zh-CN"/>
        </w:rPr>
        <w:t xml:space="preserve"> between a supported downlink </w:t>
      </w:r>
      <w:r>
        <w:rPr>
          <w:i/>
          <w:lang w:eastAsia="zh-CN"/>
        </w:rPr>
        <w:t>operating band</w:t>
      </w:r>
      <w:r>
        <w:rPr>
          <w:lang w:eastAsia="zh-CN"/>
        </w:rPr>
        <w:t xml:space="preserve"> with carrier(s) transmitted and a supported downlink </w:t>
      </w:r>
      <w:r>
        <w:rPr>
          <w:i/>
          <w:lang w:eastAsia="zh-CN"/>
        </w:rPr>
        <w:t>operating band</w:t>
      </w:r>
      <w:r>
        <w:rPr>
          <w:lang w:eastAsia="zh-CN"/>
        </w:rPr>
        <w:t xml:space="preserve"> without any carrier transmitted is less than </w:t>
      </w:r>
      <w:r>
        <w:t>2*Δf</w:t>
      </w:r>
      <w:r>
        <w:rPr>
          <w:vertAlign w:val="subscript"/>
        </w:rPr>
        <w:t>OBUE</w:t>
      </w:r>
      <w:r>
        <w:rPr>
          <w:lang w:eastAsia="zh-CN"/>
        </w:rPr>
        <w:t xml:space="preserve">, </w:t>
      </w:r>
      <w:r>
        <w:t>f_offset</w:t>
      </w:r>
      <w:r>
        <w:rPr>
          <w:vertAlign w:val="subscript"/>
        </w:rPr>
        <w:t>max</w:t>
      </w:r>
      <w:r>
        <w:rPr>
          <w:lang w:eastAsia="zh-CN"/>
        </w:rPr>
        <w:t xml:space="preserve"> shall be the offset to the frequency </w:t>
      </w:r>
      <w:r>
        <w:t>Δf</w:t>
      </w:r>
      <w:r>
        <w:rPr>
          <w:vertAlign w:val="subscript"/>
        </w:rPr>
        <w:t>OBUE</w:t>
      </w:r>
      <w:r>
        <w:t xml:space="preserve"> MHz outside the </w:t>
      </w:r>
      <w:r>
        <w:rPr>
          <w:lang w:eastAsia="zh-CN"/>
        </w:rPr>
        <w:t xml:space="preserve">outermost edges of the two supported </w:t>
      </w:r>
      <w:r>
        <w:t xml:space="preserve">downlink </w:t>
      </w:r>
      <w:r>
        <w:rPr>
          <w:i/>
        </w:rPr>
        <w:t>operating bands</w:t>
      </w:r>
      <w:r>
        <w:rPr>
          <w:lang w:eastAsia="zh-CN"/>
        </w:rPr>
        <w:t xml:space="preserve"> and the operating band unwanted emission </w:t>
      </w:r>
      <w:r>
        <w:rPr>
          <w:i/>
          <w:lang w:eastAsia="zh-CN"/>
        </w:rPr>
        <w:t>basic limits</w:t>
      </w:r>
      <w:r>
        <w:rPr>
          <w:lang w:eastAsia="zh-CN"/>
        </w:rPr>
        <w:t xml:space="preserve"> </w:t>
      </w:r>
      <w:r>
        <w:t xml:space="preserve">of the band where there are carriers transmitted, as </w:t>
      </w:r>
      <w:r>
        <w:rPr>
          <w:lang w:eastAsia="zh-CN"/>
        </w:rPr>
        <w:t>defined in the tables of the present clause, shall apply across both downlink bands.</w:t>
      </w:r>
    </w:p>
    <w:p w14:paraId="20AEC135" w14:textId="77777777" w:rsidR="00B3234F" w:rsidRDefault="00B3234F" w:rsidP="0076338D">
      <w:pPr>
        <w:pStyle w:val="B10"/>
        <w:rPr>
          <w:lang w:eastAsia="zh-CN"/>
        </w:rPr>
      </w:pPr>
      <w:r>
        <w:rPr>
          <w:lang w:eastAsia="zh-CN"/>
        </w:rPr>
        <w:t>-</w:t>
      </w:r>
      <w:r>
        <w:rPr>
          <w:lang w:eastAsia="zh-CN"/>
        </w:rPr>
        <w:tab/>
        <w:t xml:space="preserve">In other cases, the operating band unwanted emission </w:t>
      </w:r>
      <w:r>
        <w:rPr>
          <w:i/>
          <w:lang w:eastAsia="zh-CN"/>
        </w:rPr>
        <w:t>basic limits</w:t>
      </w:r>
      <w:r>
        <w:rPr>
          <w:lang w:eastAsia="zh-CN"/>
        </w:rPr>
        <w:t xml:space="preserve"> </w:t>
      </w:r>
      <w:r>
        <w:t xml:space="preserve">of the band where there are carriers transmitted, as </w:t>
      </w:r>
      <w:r>
        <w:rPr>
          <w:lang w:eastAsia="zh-CN"/>
        </w:rPr>
        <w:t>defined in the tables of the present clause for the largest frequency offset (</w:t>
      </w:r>
      <w:r>
        <w:sym w:font="Symbol" w:char="F044"/>
      </w:r>
      <w:r>
        <w:t>f</w:t>
      </w:r>
      <w:r>
        <w:rPr>
          <w:vertAlign w:val="subscript"/>
        </w:rPr>
        <w:t>max</w:t>
      </w:r>
      <w:r>
        <w:rPr>
          <w:lang w:eastAsia="zh-CN"/>
        </w:rPr>
        <w:t xml:space="preserve">), shall apply from </w:t>
      </w:r>
      <w:r>
        <w:t>Δf</w:t>
      </w:r>
      <w:r>
        <w:rPr>
          <w:vertAlign w:val="subscript"/>
        </w:rPr>
        <w:t>OBUE</w:t>
      </w:r>
      <w:r>
        <w:rPr>
          <w:lang w:eastAsia="zh-CN"/>
        </w:rPr>
        <w:t xml:space="preserve"> MHz below the lowest frequency, up to </w:t>
      </w:r>
      <w:r>
        <w:t>Δf</w:t>
      </w:r>
      <w:r>
        <w:rPr>
          <w:vertAlign w:val="subscript"/>
        </w:rPr>
        <w:t>OBUE</w:t>
      </w:r>
      <w:r>
        <w:rPr>
          <w:vertAlign w:val="subscript"/>
          <w:lang w:val="en-US" w:eastAsia="zh-CN"/>
        </w:rPr>
        <w:t xml:space="preserve"> </w:t>
      </w:r>
      <w:r>
        <w:rPr>
          <w:lang w:eastAsia="zh-CN"/>
        </w:rPr>
        <w:t xml:space="preserve">MHz above the highest frequency of the supported downlink </w:t>
      </w:r>
      <w:r>
        <w:rPr>
          <w:i/>
          <w:lang w:eastAsia="zh-CN"/>
        </w:rPr>
        <w:t>operating band</w:t>
      </w:r>
      <w:r>
        <w:rPr>
          <w:lang w:eastAsia="zh-CN"/>
        </w:rPr>
        <w:t xml:space="preserve"> without any carrier transmitted.</w:t>
      </w:r>
    </w:p>
    <w:p w14:paraId="6B36CE3E" w14:textId="77777777" w:rsidR="00B3234F" w:rsidRDefault="00B3234F" w:rsidP="00B3234F">
      <w:r>
        <w:t xml:space="preserve">For a </w:t>
      </w:r>
      <w:r>
        <w:rPr>
          <w:i/>
        </w:rPr>
        <w:t xml:space="preserve">multi-band connector </w:t>
      </w:r>
      <w:r>
        <w:rPr>
          <w:iCs/>
        </w:rPr>
        <w:t>of</w:t>
      </w:r>
      <w:r w:rsidRPr="00C41B39">
        <w:rPr>
          <w:iCs/>
        </w:rPr>
        <w:t xml:space="preserve"> IAB-</w:t>
      </w:r>
      <w:r>
        <w:rPr>
          <w:iCs/>
        </w:rPr>
        <w:t>MT</w:t>
      </w:r>
      <w:r>
        <w:t xml:space="preserve">, the operating band unwanted emission limits apply also in a supported uplink </w:t>
      </w:r>
      <w:r>
        <w:rPr>
          <w:i/>
        </w:rPr>
        <w:t>operating band</w:t>
      </w:r>
      <w:r>
        <w:t xml:space="preserve"> without any carrier transmitted, in the case where there are carrier(s) transmitted in another supported uplink </w:t>
      </w:r>
      <w:r>
        <w:rPr>
          <w:i/>
        </w:rPr>
        <w:t>operating band</w:t>
      </w:r>
      <w:r>
        <w:t xml:space="preserve">. In this case, no cumulative </w:t>
      </w:r>
      <w:r>
        <w:rPr>
          <w:i/>
        </w:rPr>
        <w:t>basic limit</w:t>
      </w:r>
      <w:r>
        <w:t xml:space="preserve"> is applied in the </w:t>
      </w:r>
      <w:r>
        <w:rPr>
          <w:i/>
        </w:rPr>
        <w:t>inter-band gap</w:t>
      </w:r>
      <w:r>
        <w:t xml:space="preserve"> between a supported uplink </w:t>
      </w:r>
      <w:r>
        <w:rPr>
          <w:i/>
        </w:rPr>
        <w:t>operating band</w:t>
      </w:r>
      <w:r>
        <w:t xml:space="preserve"> with carrier(s) transmitted and a supported uplink </w:t>
      </w:r>
      <w:r>
        <w:rPr>
          <w:i/>
        </w:rPr>
        <w:t>operating band</w:t>
      </w:r>
      <w:r>
        <w:t xml:space="preserve"> without any carrier transmitted and</w:t>
      </w:r>
    </w:p>
    <w:p w14:paraId="3092FF02" w14:textId="77777777" w:rsidR="00B3234F" w:rsidRDefault="00B3234F" w:rsidP="0076338D">
      <w:pPr>
        <w:pStyle w:val="B10"/>
        <w:rPr>
          <w:lang w:eastAsia="zh-CN"/>
        </w:rPr>
      </w:pPr>
      <w:r>
        <w:rPr>
          <w:lang w:eastAsia="zh-CN"/>
        </w:rPr>
        <w:t>-</w:t>
      </w:r>
      <w:r>
        <w:rPr>
          <w:lang w:eastAsia="zh-CN"/>
        </w:rPr>
        <w:tab/>
        <w:t xml:space="preserve">In case the </w:t>
      </w:r>
      <w:r w:rsidRPr="00743313">
        <w:rPr>
          <w:lang w:eastAsia="zh-CN"/>
        </w:rPr>
        <w:t>inter-band gap</w:t>
      </w:r>
      <w:r>
        <w:rPr>
          <w:lang w:eastAsia="zh-CN"/>
        </w:rPr>
        <w:t xml:space="preserve"> between a supported uplink </w:t>
      </w:r>
      <w:r w:rsidRPr="00743313">
        <w:rPr>
          <w:lang w:eastAsia="zh-CN"/>
        </w:rPr>
        <w:t>operating band</w:t>
      </w:r>
      <w:r>
        <w:rPr>
          <w:lang w:eastAsia="zh-CN"/>
        </w:rPr>
        <w:t xml:space="preserve"> with carrier(s) transmitted and a supported uplink </w:t>
      </w:r>
      <w:r w:rsidRPr="00743313">
        <w:rPr>
          <w:lang w:eastAsia="zh-CN"/>
        </w:rPr>
        <w:t>operating band</w:t>
      </w:r>
      <w:r>
        <w:rPr>
          <w:lang w:eastAsia="zh-CN"/>
        </w:rPr>
        <w:t xml:space="preserve"> without any carrier transmitted is less than 2*</w:t>
      </w:r>
      <w:r w:rsidRPr="00497570">
        <w:t xml:space="preserve"> </w:t>
      </w:r>
      <w:r>
        <w:t>Δf</w:t>
      </w:r>
      <w:r>
        <w:rPr>
          <w:vertAlign w:val="subscript"/>
        </w:rPr>
        <w:t>OBUE</w:t>
      </w:r>
      <w:r>
        <w:rPr>
          <w:lang w:eastAsia="zh-CN"/>
        </w:rPr>
        <w:t>, f_offset</w:t>
      </w:r>
      <w:r w:rsidRPr="00743313">
        <w:rPr>
          <w:lang w:eastAsia="zh-CN"/>
        </w:rPr>
        <w:t>max</w:t>
      </w:r>
      <w:r>
        <w:rPr>
          <w:lang w:eastAsia="zh-CN"/>
        </w:rPr>
        <w:t xml:space="preserve"> shall be the offset to the frequency </w:t>
      </w:r>
      <w:r>
        <w:t>Δf</w:t>
      </w:r>
      <w:r>
        <w:rPr>
          <w:vertAlign w:val="subscript"/>
        </w:rPr>
        <w:t>OBUE</w:t>
      </w:r>
      <w:r>
        <w:rPr>
          <w:lang w:eastAsia="zh-CN"/>
        </w:rPr>
        <w:t xml:space="preserve"> MHz outside the outermost edges of the two supported uplink </w:t>
      </w:r>
      <w:r w:rsidRPr="00743313">
        <w:rPr>
          <w:lang w:eastAsia="zh-CN"/>
        </w:rPr>
        <w:t>operating bands</w:t>
      </w:r>
      <w:r>
        <w:rPr>
          <w:lang w:eastAsia="zh-CN"/>
        </w:rPr>
        <w:t xml:space="preserve"> and the operating band unwanted emission </w:t>
      </w:r>
      <w:r w:rsidRPr="00743313">
        <w:rPr>
          <w:lang w:eastAsia="zh-CN"/>
        </w:rPr>
        <w:t>basic limits</w:t>
      </w:r>
      <w:r>
        <w:rPr>
          <w:lang w:eastAsia="zh-CN"/>
        </w:rPr>
        <w:t xml:space="preserve"> of the band where there are carriers transmitted, as defined in the tables of the present clause, shall apply across both uplink bands.</w:t>
      </w:r>
    </w:p>
    <w:p w14:paraId="124DCB84" w14:textId="77777777" w:rsidR="00B3234F" w:rsidRDefault="00B3234F" w:rsidP="0076338D">
      <w:pPr>
        <w:pStyle w:val="B10"/>
        <w:rPr>
          <w:lang w:eastAsia="zh-CN"/>
        </w:rPr>
      </w:pPr>
      <w:r>
        <w:rPr>
          <w:lang w:eastAsia="zh-CN"/>
        </w:rPr>
        <w:t>-</w:t>
      </w:r>
      <w:r>
        <w:rPr>
          <w:lang w:eastAsia="zh-CN"/>
        </w:rPr>
        <w:tab/>
        <w:t xml:space="preserve">In other cases, the operating band unwanted emission </w:t>
      </w:r>
      <w:r w:rsidRPr="00743313">
        <w:rPr>
          <w:lang w:eastAsia="zh-CN"/>
        </w:rPr>
        <w:t>basic limits</w:t>
      </w:r>
      <w:r>
        <w:rPr>
          <w:lang w:eastAsia="zh-CN"/>
        </w:rPr>
        <w:t xml:space="preserve"> of the band where there are carriers transmitted, as defined in the tables of the present clause for the largest frequency offset (</w:t>
      </w:r>
      <w:r>
        <w:rPr>
          <w:lang w:eastAsia="zh-CN"/>
        </w:rPr>
        <w:sym w:font="Symbol" w:char="F044"/>
      </w:r>
      <w:r>
        <w:rPr>
          <w:lang w:eastAsia="zh-CN"/>
        </w:rPr>
        <w:t>f</w:t>
      </w:r>
      <w:r w:rsidRPr="00743313">
        <w:rPr>
          <w:lang w:eastAsia="zh-CN"/>
        </w:rPr>
        <w:t>max</w:t>
      </w:r>
      <w:r>
        <w:rPr>
          <w:lang w:eastAsia="zh-CN"/>
        </w:rPr>
        <w:t xml:space="preserve">), shall apply from </w:t>
      </w:r>
      <w:r>
        <w:t>Δf</w:t>
      </w:r>
      <w:r>
        <w:rPr>
          <w:vertAlign w:val="subscript"/>
        </w:rPr>
        <w:t>OBUE</w:t>
      </w:r>
      <w:r>
        <w:rPr>
          <w:lang w:eastAsia="zh-CN"/>
        </w:rPr>
        <w:t xml:space="preserve"> MHz below the lowest frequency, up to </w:t>
      </w:r>
      <w:r>
        <w:t>Δf</w:t>
      </w:r>
      <w:r>
        <w:rPr>
          <w:vertAlign w:val="subscript"/>
        </w:rPr>
        <w:t>OBUE</w:t>
      </w:r>
      <w:r w:rsidRPr="00743313">
        <w:rPr>
          <w:lang w:eastAsia="zh-CN"/>
        </w:rPr>
        <w:t xml:space="preserve"> </w:t>
      </w:r>
      <w:r>
        <w:rPr>
          <w:lang w:eastAsia="zh-CN"/>
        </w:rPr>
        <w:t xml:space="preserve">MHz above the highest frequency of the supported </w:t>
      </w:r>
      <w:r>
        <w:t xml:space="preserve">uplink </w:t>
      </w:r>
      <w:r w:rsidRPr="00743313">
        <w:rPr>
          <w:lang w:eastAsia="zh-CN"/>
        </w:rPr>
        <w:t>operating band</w:t>
      </w:r>
      <w:r>
        <w:rPr>
          <w:lang w:eastAsia="zh-CN"/>
        </w:rPr>
        <w:t xml:space="preserve"> without any carrier transmitted.</w:t>
      </w:r>
    </w:p>
    <w:p w14:paraId="4D854DFC" w14:textId="77777777" w:rsidR="00B3234F" w:rsidRDefault="00B3234F" w:rsidP="00275C14">
      <w:r>
        <w:t xml:space="preserve">For a multicarrier </w:t>
      </w:r>
      <w:r>
        <w:rPr>
          <w:i/>
          <w:iCs/>
          <w:lang w:val="en-US" w:eastAsia="zh-CN"/>
        </w:rPr>
        <w:t xml:space="preserve">single-band </w:t>
      </w:r>
      <w:r>
        <w:rPr>
          <w:i/>
        </w:rPr>
        <w:t>connector</w:t>
      </w:r>
      <w:r>
        <w:t xml:space="preserve"> </w:t>
      </w:r>
      <w:r>
        <w:rPr>
          <w:rFonts w:eastAsia="SimSun"/>
        </w:rPr>
        <w:t xml:space="preserve">or a </w:t>
      </w:r>
      <w:r>
        <w:rPr>
          <w:i/>
          <w:iCs/>
          <w:lang w:val="en-US" w:eastAsia="zh-CN"/>
        </w:rPr>
        <w:t xml:space="preserve">single-band </w:t>
      </w:r>
      <w:r>
        <w:rPr>
          <w:rFonts w:eastAsia="SimSun"/>
          <w:i/>
        </w:rPr>
        <w:t>connector</w:t>
      </w:r>
      <w:r>
        <w:rPr>
          <w:rFonts w:eastAsia="SimSun"/>
        </w:rPr>
        <w:t xml:space="preserve"> configured for </w:t>
      </w:r>
      <w:r>
        <w:t xml:space="preserve">intra-band </w:t>
      </w:r>
      <w:r>
        <w:rPr>
          <w:rFonts w:eastAsia="SimSun"/>
        </w:rPr>
        <w:t xml:space="preserve">contiguous </w:t>
      </w:r>
      <w:r>
        <w:rPr>
          <w:lang w:eastAsia="zh-CN"/>
        </w:rPr>
        <w:t>or non-contiguous</w:t>
      </w:r>
      <w:r>
        <w:rPr>
          <w:rFonts w:eastAsia="SimSun"/>
        </w:rPr>
        <w:t xml:space="preserve"> </w:t>
      </w:r>
      <w:r>
        <w:rPr>
          <w:rFonts w:eastAsia="SimSun"/>
          <w:i/>
        </w:rPr>
        <w:t>carrier aggregation</w:t>
      </w:r>
      <w:r>
        <w:t xml:space="preserve"> the definitions above apply to the lower edge of the carrier transmitted at the </w:t>
      </w:r>
      <w:r>
        <w:rPr>
          <w:i/>
        </w:rPr>
        <w:t>lowest carrier</w:t>
      </w:r>
      <w:r>
        <w:t xml:space="preserve"> frequency and the upper edge of the carrier transmitted at the </w:t>
      </w:r>
      <w:r>
        <w:rPr>
          <w:i/>
        </w:rPr>
        <w:t>highest carrier</w:t>
      </w:r>
      <w:r>
        <w:t xml:space="preserve"> frequency </w:t>
      </w:r>
      <w:r>
        <w:rPr>
          <w:rFonts w:eastAsia="SimSun"/>
        </w:rPr>
        <w:t>within a specified frequency band</w:t>
      </w:r>
      <w:r>
        <w:t>.</w:t>
      </w:r>
    </w:p>
    <w:p w14:paraId="0E0D9DE2" w14:textId="77777777" w:rsidR="00B3234F" w:rsidRDefault="00B3234F" w:rsidP="00B3234F">
      <w:r>
        <w:t xml:space="preserve">In addition, inside any </w:t>
      </w:r>
      <w:r>
        <w:rPr>
          <w:i/>
        </w:rPr>
        <w:t>sub-block gap</w:t>
      </w:r>
      <w:r>
        <w:t xml:space="preserve"> for a </w:t>
      </w:r>
      <w:r>
        <w:rPr>
          <w:i/>
          <w:iCs/>
          <w:lang w:val="en-US" w:eastAsia="zh-CN"/>
        </w:rPr>
        <w:t xml:space="preserve">single-band </w:t>
      </w:r>
      <w:r>
        <w:rPr>
          <w:i/>
        </w:rPr>
        <w:t>connector</w:t>
      </w:r>
      <w:r>
        <w:rPr>
          <w:i/>
          <w:iCs/>
          <w:lang w:val="en-US" w:eastAsia="zh-CN"/>
        </w:rPr>
        <w:t xml:space="preserve"> </w:t>
      </w:r>
      <w:r>
        <w:t xml:space="preserve">operating in </w:t>
      </w:r>
      <w:r>
        <w:rPr>
          <w:i/>
        </w:rPr>
        <w:t>non-contiguous spectrum</w:t>
      </w:r>
      <w:r>
        <w:t xml:space="preserve">, a combined </w:t>
      </w:r>
      <w:r>
        <w:rPr>
          <w:i/>
        </w:rPr>
        <w:t xml:space="preserve">basic </w:t>
      </w:r>
      <w:r>
        <w:t xml:space="preserve">limit shall be applied which is the cumulative sum of the </w:t>
      </w:r>
      <w:r>
        <w:rPr>
          <w:i/>
        </w:rPr>
        <w:t>basic limit</w:t>
      </w:r>
      <w:r>
        <w:t xml:space="preserve">s specified for the adjacent </w:t>
      </w:r>
      <w:r>
        <w:rPr>
          <w:i/>
        </w:rPr>
        <w:t>sub-blocks</w:t>
      </w:r>
      <w:r>
        <w:t xml:space="preserve"> on each side of the </w:t>
      </w:r>
      <w:r>
        <w:rPr>
          <w:i/>
        </w:rPr>
        <w:t>sub-block gap</w:t>
      </w:r>
      <w:r>
        <w:t xml:space="preserve">. The </w:t>
      </w:r>
      <w:r>
        <w:rPr>
          <w:i/>
        </w:rPr>
        <w:t>basic limit</w:t>
      </w:r>
      <w:r>
        <w:t xml:space="preserve"> for each </w:t>
      </w:r>
      <w:r>
        <w:rPr>
          <w:i/>
        </w:rPr>
        <w:t>sub-block</w:t>
      </w:r>
      <w:r>
        <w:t xml:space="preserve"> is specified in clauses </w:t>
      </w:r>
      <w:r w:rsidRPr="008D4FD3">
        <w:t>6.6.4.</w:t>
      </w:r>
      <w:r w:rsidRPr="008D4FD3">
        <w:rPr>
          <w:lang w:val="en-US" w:eastAsia="zh-CN"/>
        </w:rPr>
        <w:t xml:space="preserve">2.1 to </w:t>
      </w:r>
      <w:r w:rsidRPr="008D4FD3">
        <w:t>6.6.4.2.</w:t>
      </w:r>
      <w:r w:rsidRPr="008D4FD3">
        <w:rPr>
          <w:lang w:val="en-US" w:eastAsia="zh-CN"/>
        </w:rPr>
        <w:t>4</w:t>
      </w:r>
      <w:r>
        <w:t xml:space="preserve"> below, where in this case:</w:t>
      </w:r>
    </w:p>
    <w:p w14:paraId="3B6E98B4" w14:textId="77777777" w:rsidR="00B3234F" w:rsidRDefault="00B3234F" w:rsidP="00B3234F">
      <w:pPr>
        <w:pStyle w:val="B10"/>
      </w:pPr>
      <w:r>
        <w:t>-</w:t>
      </w:r>
      <w:r>
        <w:tab/>
      </w:r>
      <w:r>
        <w:sym w:font="Symbol" w:char="F044"/>
      </w:r>
      <w:r>
        <w:t xml:space="preserve">f is the separation between the </w:t>
      </w:r>
      <w:r>
        <w:rPr>
          <w:i/>
        </w:rPr>
        <w:t>sub-block</w:t>
      </w:r>
      <w:r>
        <w:t xml:space="preserve"> edge frequency and the nominal -3 dB point of the measuring filter closest to the </w:t>
      </w:r>
      <w:r>
        <w:rPr>
          <w:i/>
        </w:rPr>
        <w:t>sub-block</w:t>
      </w:r>
      <w:r>
        <w:t xml:space="preserve"> edge.</w:t>
      </w:r>
    </w:p>
    <w:p w14:paraId="1CE514AC" w14:textId="77777777" w:rsidR="00B3234F" w:rsidRDefault="00B3234F" w:rsidP="00B3234F">
      <w:pPr>
        <w:pStyle w:val="B10"/>
      </w:pPr>
      <w:r>
        <w:t>-</w:t>
      </w:r>
      <w:r>
        <w:tab/>
        <w:t xml:space="preserve">f_offset is the separation between the </w:t>
      </w:r>
      <w:r>
        <w:rPr>
          <w:i/>
        </w:rPr>
        <w:t>sub-block</w:t>
      </w:r>
      <w:r>
        <w:t xml:space="preserve"> edge frequency and the centre of the measuring filter.</w:t>
      </w:r>
    </w:p>
    <w:p w14:paraId="1B56D7D0" w14:textId="77777777" w:rsidR="00B3234F" w:rsidRDefault="00B3234F" w:rsidP="00B3234F">
      <w:pPr>
        <w:pStyle w:val="B10"/>
      </w:pPr>
      <w:r>
        <w:t>-</w:t>
      </w:r>
      <w:r>
        <w:tab/>
        <w:t>f_offset</w:t>
      </w:r>
      <w:r>
        <w:rPr>
          <w:vertAlign w:val="subscript"/>
        </w:rPr>
        <w:t>max</w:t>
      </w:r>
      <w:r>
        <w:t xml:space="preserve"> is equal to the </w:t>
      </w:r>
      <w:r>
        <w:rPr>
          <w:i/>
        </w:rPr>
        <w:t>sub-block gap</w:t>
      </w:r>
      <w:r>
        <w:t xml:space="preserve"> bandwidth minus half of the bandwidth of the measuring filter.</w:t>
      </w:r>
    </w:p>
    <w:p w14:paraId="6DA20B6B" w14:textId="77777777" w:rsidR="00B3234F" w:rsidRDefault="00B3234F" w:rsidP="00B3234F">
      <w:pPr>
        <w:pStyle w:val="B10"/>
      </w:pPr>
      <w:r>
        <w:t>-</w:t>
      </w:r>
      <w:r>
        <w:tab/>
      </w:r>
      <w:r>
        <w:sym w:font="Symbol" w:char="F044"/>
      </w:r>
      <w:r>
        <w:t>f</w:t>
      </w:r>
      <w:r>
        <w:rPr>
          <w:vertAlign w:val="subscript"/>
        </w:rPr>
        <w:t>max</w:t>
      </w:r>
      <w:r>
        <w:t xml:space="preserve"> is equal to f_offset</w:t>
      </w:r>
      <w:r>
        <w:rPr>
          <w:vertAlign w:val="subscript"/>
        </w:rPr>
        <w:t>max</w:t>
      </w:r>
      <w:r>
        <w:t xml:space="preserve"> minus half of the bandwidth of the measuring filter.</w:t>
      </w:r>
    </w:p>
    <w:p w14:paraId="7C9D054C" w14:textId="77777777" w:rsidR="00B3234F" w:rsidRDefault="00B3234F" w:rsidP="00B3234F">
      <w:pPr>
        <w:rPr>
          <w:rFonts w:cs="v5.0.0"/>
          <w:lang w:eastAsia="zh-CN"/>
        </w:rPr>
      </w:pPr>
      <w:r>
        <w:rPr>
          <w:rFonts w:cs="v5.0.0"/>
          <w:lang w:eastAsia="zh-CN"/>
        </w:rPr>
        <w:t>For Wide Area IAB-DU and Wide Area IAB-MT, t</w:t>
      </w:r>
      <w:r>
        <w:rPr>
          <w:rFonts w:cs="v5.0.0"/>
        </w:rPr>
        <w:t>he requirements of either clause 6.6.4.2.1 (Category A limits) or clause 6.6.4.2.2 (Category B limits) shall apply.</w:t>
      </w:r>
    </w:p>
    <w:p w14:paraId="2EE13783" w14:textId="77777777" w:rsidR="00B3234F" w:rsidRDefault="00B3234F" w:rsidP="00B3234F">
      <w:pPr>
        <w:rPr>
          <w:rFonts w:cs="v5.0.0"/>
          <w:lang w:eastAsia="zh-CN"/>
        </w:rPr>
      </w:pPr>
      <w:r>
        <w:rPr>
          <w:rFonts w:cs="v5.0.0"/>
        </w:rPr>
        <w:lastRenderedPageBreak/>
        <w:t>For Medium Range IAB-DU, the requirements in clause 6.6.4.2.3 shall apply (Category A and B)</w:t>
      </w:r>
      <w:r>
        <w:rPr>
          <w:rFonts w:cs="v5.0.0"/>
          <w:lang w:eastAsia="zh-CN"/>
        </w:rPr>
        <w:t>.</w:t>
      </w:r>
    </w:p>
    <w:p w14:paraId="111B5CA8" w14:textId="77777777" w:rsidR="00B3234F" w:rsidRDefault="00B3234F" w:rsidP="00B3234F">
      <w:pPr>
        <w:rPr>
          <w:rFonts w:cs="v5.0.0"/>
        </w:rPr>
      </w:pPr>
      <w:r>
        <w:rPr>
          <w:rFonts w:cs="v5.0.0"/>
        </w:rPr>
        <w:t xml:space="preserve">For Local Area IAB-DU and Local Area IAB-MT, the requirements of clause 6.6.4.2.4 shall apply (Category A and B). </w:t>
      </w:r>
    </w:p>
    <w:p w14:paraId="61BE581F" w14:textId="77777777" w:rsidR="00B3234F" w:rsidRDefault="00B3234F" w:rsidP="00B3234F">
      <w:pPr>
        <w:rPr>
          <w:rFonts w:cs="v5.0.0"/>
        </w:rPr>
      </w:pPr>
      <w:r>
        <w:rPr>
          <w:rFonts w:cs="v5.0.0"/>
        </w:rPr>
        <w:t xml:space="preserve">The application of either Category A or Category B </w:t>
      </w:r>
      <w:r>
        <w:rPr>
          <w:rFonts w:cs="v5.0.0"/>
          <w:i/>
        </w:rPr>
        <w:t>basic limits</w:t>
      </w:r>
      <w:r>
        <w:rPr>
          <w:rFonts w:cs="v5.0.0"/>
        </w:rPr>
        <w:t xml:space="preserve"> shall be the same as for Transmitter spurious emissions in clause 6.6.5.</w:t>
      </w:r>
    </w:p>
    <w:p w14:paraId="5E4774DA" w14:textId="77777777" w:rsidR="00B3234F" w:rsidRDefault="00B3234F" w:rsidP="00B3234F">
      <w:pPr>
        <w:pStyle w:val="Heading4"/>
      </w:pPr>
      <w:bookmarkStart w:id="2033" w:name="_Toc45893474"/>
      <w:bookmarkStart w:id="2034" w:name="_Toc44712161"/>
      <w:bookmarkStart w:id="2035" w:name="_Toc37267559"/>
      <w:bookmarkStart w:id="2036" w:name="_Toc37260171"/>
      <w:bookmarkStart w:id="2037" w:name="_Toc36817255"/>
      <w:bookmarkStart w:id="2038" w:name="_Toc29811703"/>
      <w:bookmarkStart w:id="2039" w:name="_Toc13080204"/>
      <w:bookmarkStart w:id="2040" w:name="_Toc53185365"/>
      <w:bookmarkStart w:id="2041" w:name="_Toc53185741"/>
      <w:bookmarkStart w:id="2042" w:name="_Toc57820217"/>
      <w:bookmarkStart w:id="2043" w:name="_Toc57821144"/>
      <w:bookmarkStart w:id="2044" w:name="_Toc61183420"/>
      <w:bookmarkStart w:id="2045" w:name="_Toc61183814"/>
      <w:bookmarkStart w:id="2046" w:name="_Toc61184206"/>
      <w:bookmarkStart w:id="2047" w:name="_Toc61184598"/>
      <w:bookmarkStart w:id="2048" w:name="_Toc61184988"/>
      <w:bookmarkStart w:id="2049" w:name="_Toc66386331"/>
      <w:bookmarkStart w:id="2050" w:name="_Toc74583172"/>
      <w:bookmarkStart w:id="2051" w:name="_Toc76541985"/>
      <w:bookmarkStart w:id="2052" w:name="_Toc82449967"/>
      <w:bookmarkStart w:id="2053" w:name="_Toc82450615"/>
      <w:bookmarkStart w:id="2054" w:name="_Toc89949004"/>
      <w:bookmarkStart w:id="2055" w:name="_Toc98755393"/>
      <w:bookmarkStart w:id="2056" w:name="_Toc98762984"/>
      <w:bookmarkStart w:id="2057" w:name="_Toc106183913"/>
      <w:r>
        <w:t>6.6.4.2</w:t>
      </w:r>
      <w:r>
        <w:tab/>
      </w:r>
      <w:r>
        <w:rPr>
          <w:i/>
        </w:rPr>
        <w:t>Basic limits</w:t>
      </w:r>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p>
    <w:p w14:paraId="765AB5FE" w14:textId="77777777" w:rsidR="00B3234F" w:rsidRDefault="00B3234F" w:rsidP="00B3234F">
      <w:pPr>
        <w:pStyle w:val="Heading5"/>
      </w:pPr>
      <w:bookmarkStart w:id="2058" w:name="_Toc45893475"/>
      <w:bookmarkStart w:id="2059" w:name="_Toc44712162"/>
      <w:bookmarkStart w:id="2060" w:name="_Toc37267560"/>
      <w:bookmarkStart w:id="2061" w:name="_Toc37260172"/>
      <w:bookmarkStart w:id="2062" w:name="_Toc36817256"/>
      <w:bookmarkStart w:id="2063" w:name="_Toc29811704"/>
      <w:bookmarkStart w:id="2064" w:name="_Toc13080205"/>
      <w:bookmarkStart w:id="2065" w:name="_Toc53185366"/>
      <w:bookmarkStart w:id="2066" w:name="_Toc53185742"/>
      <w:bookmarkStart w:id="2067" w:name="_Toc57820218"/>
      <w:bookmarkStart w:id="2068" w:name="_Toc57821145"/>
      <w:bookmarkStart w:id="2069" w:name="_Toc61183421"/>
      <w:bookmarkStart w:id="2070" w:name="_Toc61183815"/>
      <w:bookmarkStart w:id="2071" w:name="_Toc61184207"/>
      <w:bookmarkStart w:id="2072" w:name="_Toc61184599"/>
      <w:bookmarkStart w:id="2073" w:name="_Toc61184989"/>
      <w:bookmarkStart w:id="2074" w:name="_Toc66386332"/>
      <w:bookmarkStart w:id="2075" w:name="_Toc74583173"/>
      <w:bookmarkStart w:id="2076" w:name="_Toc76541986"/>
      <w:bookmarkStart w:id="2077" w:name="_Toc82449968"/>
      <w:bookmarkStart w:id="2078" w:name="_Toc82450616"/>
      <w:bookmarkStart w:id="2079" w:name="_Toc89949005"/>
      <w:bookmarkStart w:id="2080" w:name="_Toc98755394"/>
      <w:bookmarkStart w:id="2081" w:name="_Toc98762985"/>
      <w:bookmarkStart w:id="2082" w:name="_Toc106183914"/>
      <w:r>
        <w:t>6.6.4.2.1</w:t>
      </w:r>
      <w:r>
        <w:tab/>
      </w:r>
      <w:r>
        <w:rPr>
          <w:i/>
        </w:rPr>
        <w:t>Basic limits</w:t>
      </w:r>
      <w:r>
        <w:t xml:space="preserve"> </w:t>
      </w:r>
      <w:r>
        <w:rPr>
          <w:lang w:eastAsia="zh-CN"/>
        </w:rPr>
        <w:t>for Wide Area IAB-DU and Wide Area IAB-MT (Category A)</w:t>
      </w:r>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p>
    <w:p w14:paraId="1104D992" w14:textId="77777777" w:rsidR="00B3234F" w:rsidRDefault="00B3234F" w:rsidP="00B3234F">
      <w:r>
        <w:t xml:space="preserve">For operating in Bands </w:t>
      </w:r>
      <w:r>
        <w:rPr>
          <w:rFonts w:cs="v5.0.0"/>
        </w:rPr>
        <w:t xml:space="preserve">n41, n77, n78, </w:t>
      </w:r>
      <w:r>
        <w:t>n79</w:t>
      </w:r>
      <w:r>
        <w:rPr>
          <w:lang w:eastAsia="zh-CN"/>
        </w:rPr>
        <w:t xml:space="preserve">, </w:t>
      </w:r>
      <w:r>
        <w:rPr>
          <w:rFonts w:cs="v5.0.0"/>
          <w:i/>
          <w:lang w:eastAsia="zh-CN"/>
        </w:rPr>
        <w:t>basic limits</w:t>
      </w:r>
      <w:r>
        <w:rPr>
          <w:rFonts w:cs="v5.0.0"/>
          <w:lang w:eastAsia="zh-CN"/>
        </w:rPr>
        <w:t xml:space="preserve"> are </w:t>
      </w:r>
      <w:r>
        <w:t>specified in table 6.6.4.2.1-1:</w:t>
      </w:r>
    </w:p>
    <w:p w14:paraId="021B791B" w14:textId="77777777" w:rsidR="00B3234F" w:rsidRDefault="00B3234F" w:rsidP="00B3234F">
      <w:pPr>
        <w:pStyle w:val="TH"/>
        <w:rPr>
          <w:rFonts w:cs="v5.0.0"/>
        </w:rPr>
      </w:pPr>
      <w:r>
        <w:t xml:space="preserve">Table 6.6.4.2.1-1: Wide Area IAB-DU and Wide Area IAB-MT </w:t>
      </w:r>
      <w:r>
        <w:rPr>
          <w:i/>
        </w:rPr>
        <w:t>operating band</w:t>
      </w:r>
      <w:r>
        <w:t xml:space="preserve"> unwanted emission limits </w:t>
      </w:r>
      <w:r>
        <w:br/>
        <w:t>(NR bands above 1 GHz) for Category A</w:t>
      </w:r>
    </w:p>
    <w:tbl>
      <w:tblPr>
        <w:tblW w:w="9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2975"/>
        <w:gridCol w:w="3454"/>
        <w:gridCol w:w="1429"/>
      </w:tblGrid>
      <w:tr w:rsidR="00B3234F" w14:paraId="3F78ED2E"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7301A3B9" w14:textId="77777777" w:rsidR="00B3234F" w:rsidRDefault="00B3234F" w:rsidP="00BD1F8C">
            <w:pPr>
              <w:pStyle w:val="TAH"/>
              <w:rPr>
                <w:rFonts w:cs="v5.0.0"/>
              </w:rPr>
            </w:pPr>
            <w:r>
              <w:rPr>
                <w:rFonts w:cs="v5.0.0"/>
              </w:rPr>
              <w:t xml:space="preserve">Frequency offset of measurement filter </w:t>
            </w:r>
            <w:r>
              <w:rPr>
                <w:rFonts w:cs="v5.0.0"/>
              </w:rPr>
              <w:noBreakHyphen/>
              <w:t xml:space="preserve">3dB point, </w:t>
            </w:r>
            <w:r>
              <w:rPr>
                <w:rFonts w:cs="v5.0.0"/>
              </w:rPr>
              <w:sym w:font="Symbol" w:char="F044"/>
            </w:r>
            <w:r>
              <w:rPr>
                <w:rFonts w:cs="v5.0.0"/>
              </w:rPr>
              <w:t>f</w:t>
            </w:r>
          </w:p>
        </w:tc>
        <w:tc>
          <w:tcPr>
            <w:tcW w:w="2976" w:type="dxa"/>
            <w:tcBorders>
              <w:top w:val="single" w:sz="4" w:space="0" w:color="auto"/>
              <w:left w:val="single" w:sz="4" w:space="0" w:color="auto"/>
              <w:bottom w:val="single" w:sz="4" w:space="0" w:color="auto"/>
              <w:right w:val="single" w:sz="4" w:space="0" w:color="auto"/>
            </w:tcBorders>
            <w:hideMark/>
          </w:tcPr>
          <w:p w14:paraId="20F2E2C7" w14:textId="77777777" w:rsidR="00B3234F" w:rsidRDefault="00B3234F" w:rsidP="00BD1F8C">
            <w:pPr>
              <w:pStyle w:val="TAH"/>
              <w:rPr>
                <w:rFonts w:cs="v5.0.0"/>
              </w:rPr>
            </w:pPr>
            <w:r>
              <w:rPr>
                <w:rFonts w:cs="v5.0.0"/>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hideMark/>
          </w:tcPr>
          <w:p w14:paraId="20F2AC5C" w14:textId="77777777" w:rsidR="00B3234F" w:rsidRDefault="00B3234F" w:rsidP="00BD1F8C">
            <w:pPr>
              <w:pStyle w:val="TAH"/>
              <w:rPr>
                <w:rFonts w:cs="v5.0.0"/>
              </w:rPr>
            </w:pPr>
            <w:r>
              <w:rPr>
                <w:rFonts w:cs="v5.0.0"/>
                <w:i/>
                <w:lang w:eastAsia="zh-CN"/>
              </w:rPr>
              <w:t>Basic limits</w:t>
            </w:r>
            <w:r>
              <w:rPr>
                <w:rFonts w:cs="v5.0.0"/>
              </w:rPr>
              <w:t xml:space="preserve"> (Note 1</w:t>
            </w:r>
            <w:r>
              <w:rPr>
                <w:rFonts w:cs="Arial"/>
              </w:rPr>
              <w:t>, 2</w:t>
            </w:r>
            <w:r>
              <w:rPr>
                <w:rFonts w:cs="v5.0.0"/>
              </w:rPr>
              <w:t>)</w:t>
            </w:r>
          </w:p>
        </w:tc>
        <w:tc>
          <w:tcPr>
            <w:tcW w:w="1430" w:type="dxa"/>
            <w:tcBorders>
              <w:top w:val="single" w:sz="4" w:space="0" w:color="auto"/>
              <w:left w:val="single" w:sz="4" w:space="0" w:color="auto"/>
              <w:bottom w:val="single" w:sz="4" w:space="0" w:color="auto"/>
              <w:right w:val="single" w:sz="4" w:space="0" w:color="auto"/>
            </w:tcBorders>
            <w:hideMark/>
          </w:tcPr>
          <w:p w14:paraId="18CB0484" w14:textId="77777777" w:rsidR="00B3234F" w:rsidRDefault="00B3234F" w:rsidP="00BD1F8C">
            <w:pPr>
              <w:pStyle w:val="TAH"/>
              <w:rPr>
                <w:rFonts w:cs="v5.0.0"/>
              </w:rPr>
            </w:pPr>
            <w:r>
              <w:rPr>
                <w:rFonts w:cs="v5.0.0"/>
                <w:i/>
              </w:rPr>
              <w:t>Measurement bandwidth</w:t>
            </w:r>
          </w:p>
        </w:tc>
      </w:tr>
      <w:tr w:rsidR="00B3234F" w14:paraId="1EEE8EA6"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1D2FE484" w14:textId="77777777" w:rsidR="00B3234F" w:rsidRDefault="00B3234F" w:rsidP="0076338D">
            <w:pPr>
              <w:pStyle w:val="TAC"/>
            </w:pPr>
            <w:r>
              <w:t xml:space="preserve">0 </w:t>
            </w:r>
            <w:r>
              <w:rPr>
                <w:rFonts w:cs="Arial"/>
              </w:rPr>
              <w:t xml:space="preserve">MHz </w:t>
            </w:r>
            <w:r>
              <w:sym w:font="Symbol" w:char="F0A3"/>
            </w:r>
            <w:r>
              <w:t xml:space="preserve"> </w:t>
            </w:r>
            <w:r>
              <w:sym w:font="Symbol" w:char="F044"/>
            </w:r>
            <w:r>
              <w:t>f &lt; 5 MHz</w:t>
            </w:r>
          </w:p>
        </w:tc>
        <w:tc>
          <w:tcPr>
            <w:tcW w:w="2976" w:type="dxa"/>
            <w:tcBorders>
              <w:top w:val="single" w:sz="4" w:space="0" w:color="auto"/>
              <w:left w:val="single" w:sz="4" w:space="0" w:color="auto"/>
              <w:bottom w:val="single" w:sz="4" w:space="0" w:color="auto"/>
              <w:right w:val="single" w:sz="4" w:space="0" w:color="auto"/>
            </w:tcBorders>
            <w:hideMark/>
          </w:tcPr>
          <w:p w14:paraId="515E5785" w14:textId="77777777" w:rsidR="00B3234F" w:rsidRDefault="00B3234F" w:rsidP="0076338D">
            <w:pPr>
              <w:pStyle w:val="TAC"/>
            </w:pPr>
            <w:r>
              <w:t xml:space="preserve">0.05 MHz </w:t>
            </w:r>
            <w:r>
              <w:sym w:font="Symbol" w:char="F0A3"/>
            </w:r>
            <w: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hideMark/>
          </w:tcPr>
          <w:p w14:paraId="2B5072AB" w14:textId="77777777" w:rsidR="00B3234F" w:rsidRDefault="00B3234F" w:rsidP="0076338D">
            <w:pPr>
              <w:pStyle w:val="TAC"/>
              <w:rPr>
                <w:rFonts w:cs="Arial"/>
              </w:rPr>
            </w:pPr>
            <w:r>
              <w:rPr>
                <w:rFonts w:cs="Arial"/>
                <w:noProof/>
                <w:position w:val="-30"/>
                <w:lang w:val="en-US"/>
              </w:rPr>
              <w:drawing>
                <wp:inline distT="0" distB="0" distL="0" distR="0" wp14:anchorId="74BE5440" wp14:editId="44B316F5">
                  <wp:extent cx="1808480" cy="36830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08480" cy="368300"/>
                          </a:xfrm>
                          <a:prstGeom prst="rect">
                            <a:avLst/>
                          </a:prstGeom>
                          <a:noFill/>
                          <a:ln>
                            <a:noFill/>
                          </a:ln>
                        </pic:spPr>
                      </pic:pic>
                    </a:graphicData>
                  </a:graphic>
                </wp:inline>
              </w:drawing>
            </w:r>
          </w:p>
        </w:tc>
        <w:tc>
          <w:tcPr>
            <w:tcW w:w="1430" w:type="dxa"/>
            <w:tcBorders>
              <w:top w:val="single" w:sz="4" w:space="0" w:color="auto"/>
              <w:left w:val="single" w:sz="4" w:space="0" w:color="auto"/>
              <w:bottom w:val="single" w:sz="4" w:space="0" w:color="auto"/>
              <w:right w:val="single" w:sz="4" w:space="0" w:color="auto"/>
            </w:tcBorders>
            <w:hideMark/>
          </w:tcPr>
          <w:p w14:paraId="484BCC6F" w14:textId="77777777" w:rsidR="00B3234F" w:rsidRDefault="00B3234F" w:rsidP="0076338D">
            <w:pPr>
              <w:pStyle w:val="TAC"/>
              <w:rPr>
                <w:rFonts w:cs="Arial"/>
              </w:rPr>
            </w:pPr>
            <w:r>
              <w:rPr>
                <w:rFonts w:cs="Arial"/>
              </w:rPr>
              <w:t xml:space="preserve">100 kHz </w:t>
            </w:r>
          </w:p>
        </w:tc>
      </w:tr>
      <w:tr w:rsidR="00B3234F" w14:paraId="16B0D59F"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40E3455B" w14:textId="77777777" w:rsidR="00B3234F" w:rsidRDefault="00B3234F" w:rsidP="0076338D">
            <w:pPr>
              <w:pStyle w:val="TAC"/>
              <w:rPr>
                <w:lang w:val="sv-SE"/>
              </w:rPr>
            </w:pPr>
            <w:r>
              <w:rPr>
                <w:lang w:val="sv-SE"/>
              </w:rPr>
              <w:t xml:space="preserve">5 </w:t>
            </w:r>
            <w:r>
              <w:rPr>
                <w:rFonts w:cs="Arial"/>
                <w:lang w:val="sv-SE"/>
              </w:rPr>
              <w:t xml:space="preserve">MHz </w:t>
            </w:r>
            <w:r>
              <w:sym w:font="Symbol" w:char="F0A3"/>
            </w:r>
            <w:r>
              <w:rPr>
                <w:lang w:val="sv-SE"/>
              </w:rPr>
              <w:t xml:space="preserve"> </w:t>
            </w:r>
            <w:r>
              <w:sym w:font="Symbol" w:char="F044"/>
            </w:r>
            <w:r>
              <w:rPr>
                <w:lang w:val="sv-SE"/>
              </w:rPr>
              <w:t>f &lt;</w:t>
            </w:r>
          </w:p>
          <w:p w14:paraId="69E87FBC" w14:textId="77777777" w:rsidR="00B3234F" w:rsidRDefault="00B3234F" w:rsidP="0076338D">
            <w:pPr>
              <w:pStyle w:val="TAC"/>
              <w:rPr>
                <w:lang w:val="sv-SE"/>
              </w:rPr>
            </w:pPr>
            <w:r>
              <w:rPr>
                <w:lang w:val="sv-SE"/>
              </w:rPr>
              <w:t xml:space="preserve">min(10 MHz, </w:t>
            </w:r>
            <w:r>
              <w:rPr>
                <w:rFonts w:cs="Arial"/>
              </w:rPr>
              <w:sym w:font="Symbol" w:char="F044"/>
            </w:r>
            <w:r>
              <w:rPr>
                <w:rFonts w:cs="Arial"/>
                <w:lang w:val="sv-SE"/>
              </w:rPr>
              <w:t>f</w:t>
            </w:r>
            <w:r>
              <w:rPr>
                <w:rFonts w:cs="Arial"/>
                <w:vertAlign w:val="subscript"/>
                <w:lang w:val="sv-SE"/>
              </w:rPr>
              <w:t>max</w:t>
            </w:r>
            <w:r>
              <w:rPr>
                <w:lang w:val="sv-SE"/>
              </w:rPr>
              <w:t>)</w:t>
            </w:r>
          </w:p>
        </w:tc>
        <w:tc>
          <w:tcPr>
            <w:tcW w:w="2976" w:type="dxa"/>
            <w:tcBorders>
              <w:top w:val="single" w:sz="4" w:space="0" w:color="auto"/>
              <w:left w:val="single" w:sz="4" w:space="0" w:color="auto"/>
              <w:bottom w:val="single" w:sz="4" w:space="0" w:color="auto"/>
              <w:right w:val="single" w:sz="4" w:space="0" w:color="auto"/>
            </w:tcBorders>
            <w:hideMark/>
          </w:tcPr>
          <w:p w14:paraId="17793AAC" w14:textId="77777777" w:rsidR="00B3234F" w:rsidRDefault="00B3234F" w:rsidP="0076338D">
            <w:pPr>
              <w:pStyle w:val="TAC"/>
              <w:rPr>
                <w:lang w:val="sv-SE"/>
              </w:rPr>
            </w:pPr>
            <w:r>
              <w:rPr>
                <w:lang w:val="sv-SE"/>
              </w:rPr>
              <w:t xml:space="preserve">5.05 MHz </w:t>
            </w:r>
            <w:r>
              <w:sym w:font="Symbol" w:char="F0A3"/>
            </w:r>
            <w:r>
              <w:rPr>
                <w:lang w:val="sv-SE"/>
              </w:rPr>
              <w:t xml:space="preserve"> f_offset &lt;</w:t>
            </w:r>
          </w:p>
          <w:p w14:paraId="20CC9720" w14:textId="77777777" w:rsidR="00B3234F" w:rsidRDefault="00B3234F" w:rsidP="0076338D">
            <w:pPr>
              <w:pStyle w:val="TAC"/>
              <w:rPr>
                <w:lang w:val="sv-SE"/>
              </w:rPr>
            </w:pPr>
            <w:r>
              <w:rPr>
                <w:lang w:val="sv-SE"/>
              </w:rPr>
              <w:t>min(10.05 MHz, f_offset</w:t>
            </w:r>
            <w:r>
              <w:rPr>
                <w:vertAlign w:val="subscript"/>
                <w:lang w:val="sv-SE"/>
              </w:rPr>
              <w:t>max</w:t>
            </w:r>
            <w:r>
              <w:rPr>
                <w:lang w:val="sv-SE"/>
              </w:rPr>
              <w:t>)</w:t>
            </w:r>
          </w:p>
        </w:tc>
        <w:tc>
          <w:tcPr>
            <w:tcW w:w="3455" w:type="dxa"/>
            <w:tcBorders>
              <w:top w:val="single" w:sz="4" w:space="0" w:color="auto"/>
              <w:left w:val="single" w:sz="4" w:space="0" w:color="auto"/>
              <w:bottom w:val="single" w:sz="4" w:space="0" w:color="auto"/>
              <w:right w:val="single" w:sz="4" w:space="0" w:color="auto"/>
            </w:tcBorders>
            <w:hideMark/>
          </w:tcPr>
          <w:p w14:paraId="63CE7AC5" w14:textId="77777777" w:rsidR="00B3234F" w:rsidRDefault="00B3234F" w:rsidP="0076338D">
            <w:pPr>
              <w:pStyle w:val="TAC"/>
              <w:rPr>
                <w:rFonts w:cs="Arial"/>
              </w:rPr>
            </w:pPr>
            <w:r>
              <w:rPr>
                <w:rFonts w:cs="Arial"/>
              </w:rPr>
              <w:t>-14 dBm</w:t>
            </w:r>
          </w:p>
        </w:tc>
        <w:tc>
          <w:tcPr>
            <w:tcW w:w="1430" w:type="dxa"/>
            <w:tcBorders>
              <w:top w:val="single" w:sz="4" w:space="0" w:color="auto"/>
              <w:left w:val="single" w:sz="4" w:space="0" w:color="auto"/>
              <w:bottom w:val="single" w:sz="4" w:space="0" w:color="auto"/>
              <w:right w:val="single" w:sz="4" w:space="0" w:color="auto"/>
            </w:tcBorders>
            <w:hideMark/>
          </w:tcPr>
          <w:p w14:paraId="0348B0BC" w14:textId="77777777" w:rsidR="00B3234F" w:rsidRDefault="00B3234F" w:rsidP="0076338D">
            <w:pPr>
              <w:pStyle w:val="TAC"/>
              <w:rPr>
                <w:rFonts w:cs="Arial"/>
              </w:rPr>
            </w:pPr>
            <w:r>
              <w:rPr>
                <w:rFonts w:cs="Arial"/>
              </w:rPr>
              <w:t xml:space="preserve">100 kHz </w:t>
            </w:r>
          </w:p>
        </w:tc>
      </w:tr>
      <w:tr w:rsidR="00B3234F" w14:paraId="39E24843"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18FFE685" w14:textId="77777777" w:rsidR="00B3234F" w:rsidRDefault="00B3234F" w:rsidP="0076338D">
            <w:pPr>
              <w:pStyle w:val="TAC"/>
            </w:pPr>
            <w:r>
              <w:t xml:space="preserve">10 MHz </w:t>
            </w:r>
            <w:r>
              <w:sym w:font="Symbol" w:char="F0A3"/>
            </w:r>
            <w:r>
              <w:t xml:space="preserve"> </w:t>
            </w:r>
            <w:r>
              <w:sym w:font="Symbol" w:char="F044"/>
            </w:r>
            <w:r>
              <w:t xml:space="preserve">f </w:t>
            </w:r>
            <w:r>
              <w:rPr>
                <w:rFonts w:cs="Arial"/>
              </w:rPr>
              <w:sym w:font="Symbol" w:char="F0A3"/>
            </w:r>
            <w:r>
              <w:rPr>
                <w:rFonts w:cs="Arial"/>
              </w:rPr>
              <w:t xml:space="preserve"> </w:t>
            </w:r>
            <w:r>
              <w:rPr>
                <w:rFonts w:cs="Arial"/>
              </w:rPr>
              <w:sym w:font="Symbol" w:char="F044"/>
            </w:r>
            <w:r>
              <w:rPr>
                <w:rFonts w:cs="Arial"/>
              </w:rPr>
              <w:t>f</w:t>
            </w:r>
            <w:r>
              <w:rPr>
                <w:rFonts w:cs="Arial"/>
                <w:vertAlign w:val="subscript"/>
              </w:rPr>
              <w:t>max</w:t>
            </w:r>
          </w:p>
        </w:tc>
        <w:tc>
          <w:tcPr>
            <w:tcW w:w="2976" w:type="dxa"/>
            <w:tcBorders>
              <w:top w:val="single" w:sz="4" w:space="0" w:color="auto"/>
              <w:left w:val="single" w:sz="4" w:space="0" w:color="auto"/>
              <w:bottom w:val="single" w:sz="4" w:space="0" w:color="auto"/>
              <w:right w:val="single" w:sz="4" w:space="0" w:color="auto"/>
            </w:tcBorders>
            <w:hideMark/>
          </w:tcPr>
          <w:p w14:paraId="2C3B37D0" w14:textId="77777777" w:rsidR="00B3234F" w:rsidRDefault="00B3234F" w:rsidP="0076338D">
            <w:pPr>
              <w:pStyle w:val="TAC"/>
            </w:pPr>
            <w:r>
              <w:t xml:space="preserve">10.5 MHz </w:t>
            </w:r>
            <w:r>
              <w:sym w:font="Symbol" w:char="F0A3"/>
            </w:r>
            <w:r>
              <w:t xml:space="preserve"> f_offset &lt; f_offset</w:t>
            </w:r>
            <w:r>
              <w:rPr>
                <w:vertAlign w:val="subscript"/>
              </w:rPr>
              <w:t>max</w:t>
            </w:r>
            <w:r>
              <w:t xml:space="preserve"> </w:t>
            </w:r>
          </w:p>
        </w:tc>
        <w:tc>
          <w:tcPr>
            <w:tcW w:w="3455" w:type="dxa"/>
            <w:tcBorders>
              <w:top w:val="single" w:sz="4" w:space="0" w:color="auto"/>
              <w:left w:val="single" w:sz="4" w:space="0" w:color="auto"/>
              <w:bottom w:val="single" w:sz="4" w:space="0" w:color="auto"/>
              <w:right w:val="single" w:sz="4" w:space="0" w:color="auto"/>
            </w:tcBorders>
            <w:hideMark/>
          </w:tcPr>
          <w:p w14:paraId="76D8E294" w14:textId="77777777" w:rsidR="00B3234F" w:rsidRDefault="00B3234F" w:rsidP="0076338D">
            <w:pPr>
              <w:pStyle w:val="TAC"/>
              <w:rPr>
                <w:rFonts w:cs="Arial"/>
              </w:rPr>
            </w:pPr>
            <w:r>
              <w:rPr>
                <w:rFonts w:cs="Arial"/>
              </w:rPr>
              <w:t xml:space="preserve">-13 dBm (Note </w:t>
            </w:r>
            <w:r>
              <w:rPr>
                <w:rFonts w:cs="Arial"/>
                <w:lang w:eastAsia="zh-CN"/>
              </w:rPr>
              <w:t>3</w:t>
            </w:r>
            <w:r>
              <w:rPr>
                <w:rFonts w:cs="Arial"/>
              </w:rPr>
              <w:t>)</w:t>
            </w:r>
          </w:p>
        </w:tc>
        <w:tc>
          <w:tcPr>
            <w:tcW w:w="1430" w:type="dxa"/>
            <w:tcBorders>
              <w:top w:val="single" w:sz="4" w:space="0" w:color="auto"/>
              <w:left w:val="single" w:sz="4" w:space="0" w:color="auto"/>
              <w:bottom w:val="single" w:sz="4" w:space="0" w:color="auto"/>
              <w:right w:val="single" w:sz="4" w:space="0" w:color="auto"/>
            </w:tcBorders>
            <w:hideMark/>
          </w:tcPr>
          <w:p w14:paraId="7979348F" w14:textId="77777777" w:rsidR="00B3234F" w:rsidRDefault="00B3234F" w:rsidP="0076338D">
            <w:pPr>
              <w:pStyle w:val="TAC"/>
              <w:rPr>
                <w:rFonts w:cs="Arial"/>
              </w:rPr>
            </w:pPr>
            <w:r>
              <w:rPr>
                <w:rFonts w:cs="Arial"/>
              </w:rPr>
              <w:t xml:space="preserve">1MHz </w:t>
            </w:r>
          </w:p>
        </w:tc>
      </w:tr>
      <w:tr w:rsidR="00B3234F" w:rsidRPr="00AB3358" w14:paraId="09E45509" w14:textId="77777777" w:rsidTr="00BD1F8C">
        <w:trPr>
          <w:cantSplit/>
          <w:jc w:val="center"/>
        </w:trPr>
        <w:tc>
          <w:tcPr>
            <w:tcW w:w="9814" w:type="dxa"/>
            <w:gridSpan w:val="4"/>
            <w:tcBorders>
              <w:top w:val="single" w:sz="4" w:space="0" w:color="auto"/>
              <w:left w:val="single" w:sz="4" w:space="0" w:color="auto"/>
              <w:bottom w:val="single" w:sz="4" w:space="0" w:color="auto"/>
              <w:right w:val="single" w:sz="4" w:space="0" w:color="auto"/>
            </w:tcBorders>
            <w:hideMark/>
          </w:tcPr>
          <w:p w14:paraId="38FB04FD" w14:textId="77777777" w:rsidR="00B3234F" w:rsidRDefault="00B3234F" w:rsidP="0076338D">
            <w:pPr>
              <w:pStyle w:val="TAN"/>
            </w:pPr>
            <w:r>
              <w:t>NOTE 1:</w:t>
            </w:r>
            <w:r>
              <w:tab/>
              <w:t xml:space="preserve">For an IAB-DU and IAB-MT supporting </w:t>
            </w:r>
            <w:r>
              <w:rPr>
                <w:i/>
              </w:rPr>
              <w:t>non-contiguous spectrum</w:t>
            </w:r>
            <w:r>
              <w:t xml:space="preserve"> operation within any </w:t>
            </w:r>
            <w:r>
              <w:rPr>
                <w:i/>
              </w:rPr>
              <w:t>operating band</w:t>
            </w:r>
            <w:r>
              <w:t xml:space="preserve">, the emission limits within </w:t>
            </w:r>
            <w:r>
              <w:rPr>
                <w:i/>
              </w:rPr>
              <w:t>sub-block gaps</w:t>
            </w:r>
            <w:r>
              <w:t xml:space="preserve"> is calculated as a cumulative sum of contributions from adjacent </w:t>
            </w:r>
            <w:r>
              <w:rPr>
                <w:rFonts w:cs="v5.0.0"/>
                <w:i/>
              </w:rPr>
              <w:t>sub-blocks</w:t>
            </w:r>
            <w:r>
              <w:rPr>
                <w:rFonts w:cs="v5.0.0"/>
              </w:rPr>
              <w:t xml:space="preserve"> on each side of the </w:t>
            </w:r>
            <w:r>
              <w:rPr>
                <w:rFonts w:cs="v5.0.0"/>
                <w:i/>
              </w:rPr>
              <w:t>sub-block gap</w:t>
            </w:r>
            <w:r>
              <w:rPr>
                <w:rFonts w:cs="v5.0.0"/>
              </w:rPr>
              <w:t xml:space="preserve">, where the contribution from the far-end </w:t>
            </w:r>
            <w:r>
              <w:rPr>
                <w:rFonts w:cs="v5.0.0"/>
                <w:i/>
              </w:rPr>
              <w:t>sub-block</w:t>
            </w:r>
            <w:r>
              <w:rPr>
                <w:rFonts w:cs="v5.0.0"/>
              </w:rPr>
              <w:t xml:space="preserve"> shall be scaled according to the </w:t>
            </w:r>
            <w:r>
              <w:rPr>
                <w:rFonts w:cs="v5.0.0"/>
                <w:i/>
              </w:rPr>
              <w:t>measurement bandwidth</w:t>
            </w:r>
            <w:r>
              <w:rPr>
                <w:rFonts w:cs="v5.0.0"/>
              </w:rPr>
              <w:t xml:space="preserve"> of the near-end </w:t>
            </w:r>
            <w:r>
              <w:rPr>
                <w:rFonts w:cs="v5.0.0"/>
                <w:i/>
              </w:rPr>
              <w:t>sub-block</w:t>
            </w:r>
            <w:r>
              <w:rPr>
                <w:rFonts w:cs="v5.0.0"/>
              </w:rPr>
              <w:t xml:space="preserve">. </w:t>
            </w:r>
            <w:r>
              <w:t xml:space="preserve">Exception is </w:t>
            </w:r>
            <w:r>
              <w:rPr>
                <w:rFonts w:ascii="Symbol" w:hAnsi="Symbol"/>
              </w:rPr>
              <w:t></w:t>
            </w:r>
            <w:r>
              <w:t xml:space="preserve">f ≥ 10MHz from both adjacent </w:t>
            </w:r>
            <w:r>
              <w:rPr>
                <w:i/>
              </w:rPr>
              <w:t>sub-blocks</w:t>
            </w:r>
            <w:r>
              <w:t xml:space="preserve"> on each side of the </w:t>
            </w:r>
            <w:r>
              <w:rPr>
                <w:i/>
              </w:rPr>
              <w:t>sub-block gap</w:t>
            </w:r>
            <w:r>
              <w:t xml:space="preserve">, where the emission limits within </w:t>
            </w:r>
            <w:r>
              <w:rPr>
                <w:i/>
              </w:rPr>
              <w:t>sub-block gaps</w:t>
            </w:r>
            <w:r>
              <w:t xml:space="preserve"> shall be </w:t>
            </w:r>
            <w:r>
              <w:noBreakHyphen/>
              <w:t>13 dBm/1 MHz.</w:t>
            </w:r>
          </w:p>
          <w:p w14:paraId="10FB1ECD" w14:textId="77777777" w:rsidR="00B3234F" w:rsidRDefault="00B3234F" w:rsidP="0076338D">
            <w:pPr>
              <w:pStyle w:val="TAN"/>
            </w:pPr>
            <w:r>
              <w:t>NOTE 2:</w:t>
            </w:r>
            <w:r>
              <w:tab/>
              <w:t xml:space="preserve">For a </w:t>
            </w:r>
            <w:r>
              <w:rPr>
                <w:i/>
              </w:rPr>
              <w:t>multi-band connector</w:t>
            </w:r>
            <w:r>
              <w:t xml:space="preserve"> with </w:t>
            </w:r>
            <w:r>
              <w:rPr>
                <w:i/>
              </w:rPr>
              <w:t>Inter RF Bandwidth gap</w:t>
            </w:r>
            <w:r>
              <w:t xml:space="preserve"> &lt; 2*Δf</w:t>
            </w:r>
            <w:r>
              <w:rPr>
                <w:vertAlign w:val="subscript"/>
              </w:rPr>
              <w:t>OBUE</w:t>
            </w:r>
            <w:r>
              <w:t xml:space="preserve"> the emission limits within the </w:t>
            </w:r>
            <w:r>
              <w:rPr>
                <w:i/>
              </w:rPr>
              <w:t>Inter RF Bandwidth gaps</w:t>
            </w:r>
            <w:r>
              <w:t xml:space="preserve"> is calculated as a cumulative sum of contributions from adjacent </w:t>
            </w:r>
            <w:r>
              <w:rPr>
                <w:i/>
              </w:rPr>
              <w:t>sub-blocks</w:t>
            </w:r>
            <w:r>
              <w:t xml:space="preserve"> or RF Bandwidth on each side of the </w:t>
            </w:r>
            <w:r>
              <w:rPr>
                <w:i/>
              </w:rPr>
              <w:t>Inter RF Bandwidth gap</w:t>
            </w:r>
            <w:r>
              <w:t xml:space="preserve">, where the contribution from the far-end </w:t>
            </w:r>
            <w:r>
              <w:rPr>
                <w:i/>
              </w:rPr>
              <w:t>sub-block</w:t>
            </w:r>
            <w:r>
              <w:t xml:space="preserve"> or RF Bandwidth shall be scaled according to the </w:t>
            </w:r>
            <w:r>
              <w:rPr>
                <w:i/>
              </w:rPr>
              <w:t>measurement bandwidth</w:t>
            </w:r>
            <w:r>
              <w:t xml:space="preserve"> of the near-end </w:t>
            </w:r>
            <w:r>
              <w:rPr>
                <w:i/>
              </w:rPr>
              <w:t>sub-block</w:t>
            </w:r>
            <w:r>
              <w:t xml:space="preserve"> or RF Bandwidth.</w:t>
            </w:r>
          </w:p>
          <w:p w14:paraId="0CD95D7E" w14:textId="77777777" w:rsidR="00B3234F" w:rsidRDefault="00B3234F" w:rsidP="0076338D">
            <w:pPr>
              <w:pStyle w:val="TAN"/>
            </w:pPr>
            <w:r>
              <w:t>NOTE 3</w:t>
            </w:r>
            <w:r>
              <w:rPr>
                <w:lang w:eastAsia="zh-CN"/>
              </w:rPr>
              <w:t>:</w:t>
            </w:r>
            <w:r>
              <w:rPr>
                <w:lang w:eastAsia="zh-CN"/>
              </w:rPr>
              <w:tab/>
            </w:r>
            <w:r>
              <w:t xml:space="preserve">The requirement is not applicable when </w:t>
            </w:r>
            <w:r>
              <w:sym w:font="Symbol" w:char="F044"/>
            </w:r>
            <w:r>
              <w:t>f</w:t>
            </w:r>
            <w:r>
              <w:rPr>
                <w:vertAlign w:val="subscript"/>
              </w:rPr>
              <w:t>max</w:t>
            </w:r>
            <w:r>
              <w:t xml:space="preserve"> &lt; 10 MHz.</w:t>
            </w:r>
          </w:p>
        </w:tc>
      </w:tr>
    </w:tbl>
    <w:p w14:paraId="179EFED5" w14:textId="77777777" w:rsidR="00B3234F" w:rsidRDefault="00B3234F" w:rsidP="00B3234F"/>
    <w:p w14:paraId="49A2EC92" w14:textId="77777777" w:rsidR="00B3234F" w:rsidRDefault="00B3234F" w:rsidP="00B3234F">
      <w:pPr>
        <w:pStyle w:val="Heading5"/>
      </w:pPr>
      <w:bookmarkStart w:id="2083" w:name="_Toc45893476"/>
      <w:bookmarkStart w:id="2084" w:name="_Toc44712163"/>
      <w:bookmarkStart w:id="2085" w:name="_Toc37267561"/>
      <w:bookmarkStart w:id="2086" w:name="_Toc37260173"/>
      <w:bookmarkStart w:id="2087" w:name="_Toc36817257"/>
      <w:bookmarkStart w:id="2088" w:name="_Toc29811705"/>
      <w:bookmarkStart w:id="2089" w:name="_Toc21127496"/>
      <w:bookmarkStart w:id="2090" w:name="_Toc53185367"/>
      <w:bookmarkStart w:id="2091" w:name="_Toc53185743"/>
      <w:bookmarkStart w:id="2092" w:name="_Toc57820219"/>
      <w:bookmarkStart w:id="2093" w:name="_Toc57821146"/>
      <w:bookmarkStart w:id="2094" w:name="_Toc61183422"/>
      <w:bookmarkStart w:id="2095" w:name="_Toc61183816"/>
      <w:bookmarkStart w:id="2096" w:name="_Toc61184208"/>
      <w:bookmarkStart w:id="2097" w:name="_Toc61184600"/>
      <w:bookmarkStart w:id="2098" w:name="_Toc61184990"/>
      <w:bookmarkStart w:id="2099" w:name="_Toc66386333"/>
      <w:bookmarkStart w:id="2100" w:name="_Toc74583174"/>
      <w:bookmarkStart w:id="2101" w:name="_Toc76541987"/>
      <w:bookmarkStart w:id="2102" w:name="_Toc82449969"/>
      <w:bookmarkStart w:id="2103" w:name="_Toc82450617"/>
      <w:bookmarkStart w:id="2104" w:name="_Toc89949006"/>
      <w:bookmarkStart w:id="2105" w:name="_Toc98755395"/>
      <w:bookmarkStart w:id="2106" w:name="_Toc98762986"/>
      <w:bookmarkStart w:id="2107" w:name="_Toc106183915"/>
      <w:r>
        <w:t>6.6.4.2.2</w:t>
      </w:r>
      <w:r>
        <w:tab/>
        <w:t xml:space="preserve">Basic limits </w:t>
      </w:r>
      <w:r>
        <w:rPr>
          <w:lang w:eastAsia="zh-CN"/>
        </w:rPr>
        <w:t>for Wide Area IAB-DU and Wide Area IAB-MT</w:t>
      </w:r>
      <w:r>
        <w:t xml:space="preserve"> (Category B)</w:t>
      </w:r>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p>
    <w:p w14:paraId="0A5A89EA" w14:textId="77777777" w:rsidR="00B3234F" w:rsidRDefault="00B3234F" w:rsidP="004F2315">
      <w:r>
        <w:t xml:space="preserve">For Category B Operating band unwanted emissions, the </w:t>
      </w:r>
      <w:r>
        <w:rPr>
          <w:i/>
        </w:rPr>
        <w:t>basic limits</w:t>
      </w:r>
      <w:r>
        <w:t xml:space="preserve"> in clause 6.6.4.2.2.1 shall be applied.</w:t>
      </w:r>
    </w:p>
    <w:p w14:paraId="4E698690" w14:textId="77777777" w:rsidR="00B3234F" w:rsidRDefault="00B3234F" w:rsidP="00B3234F">
      <w:pPr>
        <w:pStyle w:val="Heading6"/>
      </w:pPr>
      <w:bookmarkStart w:id="2108" w:name="_Toc45893477"/>
      <w:bookmarkStart w:id="2109" w:name="_Toc44712164"/>
      <w:bookmarkStart w:id="2110" w:name="_Toc37267562"/>
      <w:bookmarkStart w:id="2111" w:name="_Toc37260174"/>
      <w:bookmarkStart w:id="2112" w:name="_Toc36817258"/>
      <w:bookmarkStart w:id="2113" w:name="_Toc29811706"/>
      <w:bookmarkStart w:id="2114" w:name="_Toc21127497"/>
      <w:bookmarkStart w:id="2115" w:name="_Toc53185368"/>
      <w:bookmarkStart w:id="2116" w:name="_Toc53185744"/>
      <w:bookmarkStart w:id="2117" w:name="_Toc57820220"/>
      <w:bookmarkStart w:id="2118" w:name="_Toc57821147"/>
      <w:bookmarkStart w:id="2119" w:name="_Toc61183423"/>
      <w:bookmarkStart w:id="2120" w:name="_Toc61183817"/>
      <w:bookmarkStart w:id="2121" w:name="_Toc61184209"/>
      <w:bookmarkStart w:id="2122" w:name="_Toc61184601"/>
      <w:bookmarkStart w:id="2123" w:name="_Toc61184991"/>
      <w:bookmarkStart w:id="2124" w:name="_Toc66386334"/>
      <w:bookmarkStart w:id="2125" w:name="_Toc74583175"/>
      <w:bookmarkStart w:id="2126" w:name="_Toc76541988"/>
      <w:bookmarkStart w:id="2127" w:name="_Toc82449970"/>
      <w:bookmarkStart w:id="2128" w:name="_Toc82450618"/>
      <w:bookmarkStart w:id="2129" w:name="_Toc89949007"/>
      <w:bookmarkStart w:id="2130" w:name="_Toc98755396"/>
      <w:bookmarkStart w:id="2131" w:name="_Toc98762987"/>
      <w:bookmarkStart w:id="2132" w:name="_Toc106183916"/>
      <w:r>
        <w:t>6.6.4.2.2.1</w:t>
      </w:r>
      <w:r>
        <w:tab/>
        <w:t>Category B</w:t>
      </w:r>
      <w:r>
        <w:rPr>
          <w:lang w:eastAsia="zh-CN"/>
        </w:rPr>
        <w:t xml:space="preserve"> requirements</w:t>
      </w:r>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p>
    <w:p w14:paraId="415C10C3" w14:textId="091E1CC2" w:rsidR="00B3234F" w:rsidRDefault="00B3234F" w:rsidP="004F2315">
      <w:r>
        <w:t>For IAB-DU and IAB-MT operating in Bands n41, n77, n78, n79</w:t>
      </w:r>
      <w:r>
        <w:rPr>
          <w:lang w:eastAsia="zh-CN"/>
        </w:rPr>
        <w:t xml:space="preserve"> </w:t>
      </w:r>
      <w:r>
        <w:rPr>
          <w:i/>
          <w:lang w:eastAsia="zh-CN"/>
        </w:rPr>
        <w:t>basic limits</w:t>
      </w:r>
      <w:r>
        <w:rPr>
          <w:lang w:eastAsia="zh-CN"/>
        </w:rPr>
        <w:t xml:space="preserve"> are </w:t>
      </w:r>
      <w:r>
        <w:t>specified in tables 6.6.4.2.2.1-1:</w:t>
      </w:r>
    </w:p>
    <w:p w14:paraId="6341F373" w14:textId="77777777" w:rsidR="004F2315" w:rsidRDefault="004F2315" w:rsidP="004F2315"/>
    <w:p w14:paraId="03FBE980" w14:textId="77777777" w:rsidR="00B3234F" w:rsidRDefault="00B3234F" w:rsidP="00B3234F">
      <w:pPr>
        <w:pStyle w:val="TH"/>
        <w:rPr>
          <w:rFonts w:cs="v5.0.0"/>
        </w:rPr>
      </w:pPr>
      <w:r>
        <w:lastRenderedPageBreak/>
        <w:t xml:space="preserve">Table 6.6.4.2.2.1-1: Wide Area IAB-DU and IAB-MT operating band unwanted emission limits </w:t>
      </w:r>
      <w:r>
        <w:br/>
        <w:t>for Category B</w:t>
      </w:r>
    </w:p>
    <w:tbl>
      <w:tblPr>
        <w:tblW w:w="9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2975"/>
        <w:gridCol w:w="3454"/>
        <w:gridCol w:w="1429"/>
      </w:tblGrid>
      <w:tr w:rsidR="00B3234F" w14:paraId="04A26095"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7239931D" w14:textId="77777777" w:rsidR="00B3234F" w:rsidRDefault="00B3234F" w:rsidP="00BD1F8C">
            <w:pPr>
              <w:pStyle w:val="TAH"/>
              <w:rPr>
                <w:rFonts w:cs="v5.0.0"/>
              </w:rPr>
            </w:pPr>
            <w:r>
              <w:rPr>
                <w:rFonts w:cs="v5.0.0"/>
              </w:rPr>
              <w:t xml:space="preserve">Frequency offset of measurement filter </w:t>
            </w:r>
            <w:r>
              <w:rPr>
                <w:rFonts w:cs="v5.0.0"/>
              </w:rPr>
              <w:noBreakHyphen/>
              <w:t xml:space="preserve">3dB point, </w:t>
            </w:r>
            <w:r>
              <w:rPr>
                <w:rFonts w:cs="v5.0.0"/>
              </w:rPr>
              <w:sym w:font="Symbol" w:char="F044"/>
            </w:r>
            <w:r>
              <w:rPr>
                <w:rFonts w:cs="v5.0.0"/>
              </w:rPr>
              <w:t>f</w:t>
            </w:r>
          </w:p>
        </w:tc>
        <w:tc>
          <w:tcPr>
            <w:tcW w:w="2976" w:type="dxa"/>
            <w:tcBorders>
              <w:top w:val="single" w:sz="4" w:space="0" w:color="auto"/>
              <w:left w:val="single" w:sz="4" w:space="0" w:color="auto"/>
              <w:bottom w:val="single" w:sz="4" w:space="0" w:color="auto"/>
              <w:right w:val="single" w:sz="4" w:space="0" w:color="auto"/>
            </w:tcBorders>
            <w:hideMark/>
          </w:tcPr>
          <w:p w14:paraId="25CDA18B" w14:textId="77777777" w:rsidR="00B3234F" w:rsidRDefault="00B3234F" w:rsidP="00BD1F8C">
            <w:pPr>
              <w:pStyle w:val="TAH"/>
              <w:rPr>
                <w:rFonts w:cs="v5.0.0"/>
              </w:rPr>
            </w:pPr>
            <w:r>
              <w:rPr>
                <w:rFonts w:cs="v5.0.0"/>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hideMark/>
          </w:tcPr>
          <w:p w14:paraId="5CBB1B73" w14:textId="77777777" w:rsidR="00B3234F" w:rsidRDefault="00B3234F" w:rsidP="00BD1F8C">
            <w:pPr>
              <w:pStyle w:val="TAH"/>
              <w:rPr>
                <w:rFonts w:cs="v5.0.0"/>
              </w:rPr>
            </w:pPr>
            <w:r>
              <w:rPr>
                <w:rFonts w:cs="v5.0.0"/>
                <w:i/>
                <w:lang w:eastAsia="zh-CN"/>
              </w:rPr>
              <w:t>Basic limits</w:t>
            </w:r>
            <w:r>
              <w:rPr>
                <w:rFonts w:cs="v5.0.0"/>
              </w:rPr>
              <w:t xml:space="preserve"> (Note 1</w:t>
            </w:r>
            <w:r>
              <w:rPr>
                <w:rFonts w:cs="Arial"/>
              </w:rPr>
              <w:t>, 2</w:t>
            </w:r>
            <w:r>
              <w:rPr>
                <w:rFonts w:cs="v5.0.0"/>
              </w:rPr>
              <w:t>)</w:t>
            </w:r>
          </w:p>
        </w:tc>
        <w:tc>
          <w:tcPr>
            <w:tcW w:w="1430" w:type="dxa"/>
            <w:tcBorders>
              <w:top w:val="single" w:sz="4" w:space="0" w:color="auto"/>
              <w:left w:val="single" w:sz="4" w:space="0" w:color="auto"/>
              <w:bottom w:val="single" w:sz="4" w:space="0" w:color="auto"/>
              <w:right w:val="single" w:sz="4" w:space="0" w:color="auto"/>
            </w:tcBorders>
            <w:hideMark/>
          </w:tcPr>
          <w:p w14:paraId="1118EF56" w14:textId="77777777" w:rsidR="00B3234F" w:rsidRDefault="00B3234F" w:rsidP="00BD1F8C">
            <w:pPr>
              <w:pStyle w:val="TAH"/>
              <w:rPr>
                <w:rFonts w:cs="v5.0.0"/>
              </w:rPr>
            </w:pPr>
            <w:r>
              <w:rPr>
                <w:rFonts w:cs="v5.0.0"/>
                <w:i/>
              </w:rPr>
              <w:t>Measurement bandwidth</w:t>
            </w:r>
          </w:p>
        </w:tc>
      </w:tr>
      <w:tr w:rsidR="00B3234F" w14:paraId="7FAF11C3"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645FD94B" w14:textId="77777777" w:rsidR="00B3234F" w:rsidRDefault="00B3234F" w:rsidP="00BD1F8C">
            <w:pPr>
              <w:pStyle w:val="TAC"/>
              <w:rPr>
                <w:rFonts w:cs="v5.0.0"/>
              </w:rPr>
            </w:pPr>
            <w:r>
              <w:rPr>
                <w:rFonts w:cs="v5.0.0"/>
              </w:rPr>
              <w:t xml:space="preserve">0 </w:t>
            </w:r>
            <w:r>
              <w:rPr>
                <w:rFonts w:cs="Arial"/>
              </w:rPr>
              <w:t xml:space="preserve">MHz </w:t>
            </w:r>
            <w:r>
              <w:rPr>
                <w:rFonts w:cs="v5.0.0"/>
              </w:rPr>
              <w:sym w:font="Symbol" w:char="F0A3"/>
            </w:r>
            <w:r>
              <w:rPr>
                <w:rFonts w:cs="v5.0.0"/>
              </w:rPr>
              <w:t xml:space="preserve"> </w:t>
            </w:r>
            <w:r>
              <w:rPr>
                <w:rFonts w:cs="v5.0.0"/>
              </w:rPr>
              <w:sym w:font="Symbol" w:char="F044"/>
            </w:r>
            <w:r>
              <w:rPr>
                <w:rFonts w:cs="v5.0.0"/>
              </w:rPr>
              <w:t>f &lt; 5 MHz</w:t>
            </w:r>
          </w:p>
        </w:tc>
        <w:tc>
          <w:tcPr>
            <w:tcW w:w="2976" w:type="dxa"/>
            <w:tcBorders>
              <w:top w:val="single" w:sz="4" w:space="0" w:color="auto"/>
              <w:left w:val="single" w:sz="4" w:space="0" w:color="auto"/>
              <w:bottom w:val="single" w:sz="4" w:space="0" w:color="auto"/>
              <w:right w:val="single" w:sz="4" w:space="0" w:color="auto"/>
            </w:tcBorders>
            <w:hideMark/>
          </w:tcPr>
          <w:p w14:paraId="4C1FEFAE" w14:textId="77777777" w:rsidR="00B3234F" w:rsidRDefault="00B3234F" w:rsidP="00BD1F8C">
            <w:pPr>
              <w:pStyle w:val="TAC"/>
              <w:rPr>
                <w:rFonts w:cs="v5.0.0"/>
              </w:rPr>
            </w:pPr>
            <w:r>
              <w:rPr>
                <w:rFonts w:cs="v5.0.0"/>
              </w:rPr>
              <w:t xml:space="preserve">0.05 MHz </w:t>
            </w:r>
            <w:r>
              <w:rPr>
                <w:rFonts w:cs="v5.0.0"/>
              </w:rPr>
              <w:sym w:font="Symbol" w:char="F0A3"/>
            </w:r>
            <w:r>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hideMark/>
          </w:tcPr>
          <w:p w14:paraId="003AD376" w14:textId="77777777" w:rsidR="00B3234F" w:rsidRDefault="00B3234F" w:rsidP="00BD1F8C">
            <w:pPr>
              <w:pStyle w:val="TAC"/>
              <w:rPr>
                <w:rFonts w:cs="Arial"/>
              </w:rPr>
            </w:pPr>
            <w:r>
              <w:rPr>
                <w:rFonts w:cs="Arial"/>
                <w:noProof/>
                <w:position w:val="-30"/>
                <w:lang w:val="en-US"/>
              </w:rPr>
              <w:drawing>
                <wp:inline distT="0" distB="0" distL="0" distR="0" wp14:anchorId="25848AA6" wp14:editId="68C7CD61">
                  <wp:extent cx="1808480" cy="36830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08480" cy="368300"/>
                          </a:xfrm>
                          <a:prstGeom prst="rect">
                            <a:avLst/>
                          </a:prstGeom>
                          <a:noFill/>
                          <a:ln>
                            <a:noFill/>
                          </a:ln>
                        </pic:spPr>
                      </pic:pic>
                    </a:graphicData>
                  </a:graphic>
                </wp:inline>
              </w:drawing>
            </w:r>
          </w:p>
        </w:tc>
        <w:tc>
          <w:tcPr>
            <w:tcW w:w="1430" w:type="dxa"/>
            <w:tcBorders>
              <w:top w:val="single" w:sz="4" w:space="0" w:color="auto"/>
              <w:left w:val="single" w:sz="4" w:space="0" w:color="auto"/>
              <w:bottom w:val="single" w:sz="4" w:space="0" w:color="auto"/>
              <w:right w:val="single" w:sz="4" w:space="0" w:color="auto"/>
            </w:tcBorders>
            <w:hideMark/>
          </w:tcPr>
          <w:p w14:paraId="6BCF02E6" w14:textId="77777777" w:rsidR="00B3234F" w:rsidRDefault="00B3234F" w:rsidP="00BD1F8C">
            <w:pPr>
              <w:pStyle w:val="TAC"/>
              <w:rPr>
                <w:rFonts w:cs="Arial"/>
              </w:rPr>
            </w:pPr>
            <w:r>
              <w:rPr>
                <w:rFonts w:cs="Arial"/>
              </w:rPr>
              <w:t xml:space="preserve">100 kHz </w:t>
            </w:r>
          </w:p>
        </w:tc>
      </w:tr>
      <w:tr w:rsidR="00B3234F" w14:paraId="458E6275"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7A4956C1" w14:textId="77777777" w:rsidR="00B3234F" w:rsidRDefault="00B3234F" w:rsidP="00BD1F8C">
            <w:pPr>
              <w:pStyle w:val="TAC"/>
              <w:rPr>
                <w:rFonts w:cs="v5.0.0"/>
                <w:lang w:val="sv-SE"/>
              </w:rPr>
            </w:pPr>
            <w:r>
              <w:rPr>
                <w:rFonts w:cs="v5.0.0"/>
                <w:lang w:val="sv-SE"/>
              </w:rPr>
              <w:t xml:space="preserve">5 </w:t>
            </w:r>
            <w:r>
              <w:rPr>
                <w:rFonts w:cs="Arial"/>
                <w:lang w:val="sv-SE"/>
              </w:rPr>
              <w:t xml:space="preserve">MHz </w:t>
            </w:r>
            <w:r>
              <w:rPr>
                <w:rFonts w:cs="v5.0.0"/>
              </w:rPr>
              <w:sym w:font="Symbol" w:char="F0A3"/>
            </w:r>
            <w:r>
              <w:rPr>
                <w:rFonts w:cs="v5.0.0"/>
                <w:lang w:val="sv-SE"/>
              </w:rPr>
              <w:t xml:space="preserve"> </w:t>
            </w:r>
            <w:r>
              <w:rPr>
                <w:rFonts w:cs="v5.0.0"/>
              </w:rPr>
              <w:sym w:font="Symbol" w:char="F044"/>
            </w:r>
            <w:r>
              <w:rPr>
                <w:rFonts w:cs="v5.0.0"/>
                <w:lang w:val="sv-SE"/>
              </w:rPr>
              <w:t>f &lt;</w:t>
            </w:r>
          </w:p>
          <w:p w14:paraId="6A922020" w14:textId="77777777" w:rsidR="00B3234F" w:rsidRDefault="00B3234F" w:rsidP="00BD1F8C">
            <w:pPr>
              <w:pStyle w:val="TAC"/>
              <w:rPr>
                <w:rFonts w:cs="v5.0.0"/>
                <w:lang w:val="sv-SE"/>
              </w:rPr>
            </w:pPr>
            <w:r>
              <w:rPr>
                <w:rFonts w:cs="v5.0.0"/>
                <w:lang w:val="sv-SE"/>
              </w:rPr>
              <w:t xml:space="preserve">min(10 MHz, </w:t>
            </w:r>
            <w:r>
              <w:rPr>
                <w:rFonts w:cs="Arial"/>
              </w:rPr>
              <w:sym w:font="Symbol" w:char="F044"/>
            </w:r>
            <w:r>
              <w:rPr>
                <w:rFonts w:cs="Arial"/>
                <w:lang w:val="sv-SE"/>
              </w:rPr>
              <w:t>f</w:t>
            </w:r>
            <w:r>
              <w:rPr>
                <w:rFonts w:cs="Arial"/>
                <w:vertAlign w:val="subscript"/>
                <w:lang w:val="sv-SE"/>
              </w:rPr>
              <w:t>max</w:t>
            </w:r>
            <w:r>
              <w:rPr>
                <w:rFonts w:cs="v5.0.0"/>
                <w:lang w:val="sv-SE"/>
              </w:rPr>
              <w:t>)</w:t>
            </w:r>
          </w:p>
        </w:tc>
        <w:tc>
          <w:tcPr>
            <w:tcW w:w="2976" w:type="dxa"/>
            <w:tcBorders>
              <w:top w:val="single" w:sz="4" w:space="0" w:color="auto"/>
              <w:left w:val="single" w:sz="4" w:space="0" w:color="auto"/>
              <w:bottom w:val="single" w:sz="4" w:space="0" w:color="auto"/>
              <w:right w:val="single" w:sz="4" w:space="0" w:color="auto"/>
            </w:tcBorders>
            <w:hideMark/>
          </w:tcPr>
          <w:p w14:paraId="02E748C4" w14:textId="77777777" w:rsidR="00B3234F" w:rsidRDefault="00B3234F" w:rsidP="00BD1F8C">
            <w:pPr>
              <w:pStyle w:val="TAC"/>
              <w:rPr>
                <w:rFonts w:cs="v5.0.0"/>
                <w:lang w:val="sv-SE"/>
              </w:rPr>
            </w:pPr>
            <w:r>
              <w:rPr>
                <w:rFonts w:cs="v5.0.0"/>
                <w:lang w:val="sv-SE"/>
              </w:rPr>
              <w:t xml:space="preserve">5.05 MHz </w:t>
            </w:r>
            <w:r>
              <w:rPr>
                <w:rFonts w:cs="v5.0.0"/>
              </w:rPr>
              <w:sym w:font="Symbol" w:char="F0A3"/>
            </w:r>
            <w:r>
              <w:rPr>
                <w:rFonts w:cs="v5.0.0"/>
                <w:lang w:val="sv-SE"/>
              </w:rPr>
              <w:t xml:space="preserve"> f_offset &lt;</w:t>
            </w:r>
          </w:p>
          <w:p w14:paraId="7DDF3235" w14:textId="77777777" w:rsidR="00B3234F" w:rsidRDefault="00B3234F" w:rsidP="00BD1F8C">
            <w:pPr>
              <w:pStyle w:val="TAC"/>
              <w:rPr>
                <w:rFonts w:cs="v5.0.0"/>
                <w:lang w:val="sv-SE"/>
              </w:rPr>
            </w:pPr>
            <w:r>
              <w:rPr>
                <w:rFonts w:cs="v5.0.0"/>
                <w:lang w:val="sv-SE"/>
              </w:rPr>
              <w:t>min(10.05 MHz, f_offset</w:t>
            </w:r>
            <w:r>
              <w:rPr>
                <w:rFonts w:cs="v5.0.0"/>
                <w:vertAlign w:val="subscript"/>
                <w:lang w:val="sv-SE"/>
              </w:rPr>
              <w:t>max</w:t>
            </w:r>
            <w:r>
              <w:rPr>
                <w:rFonts w:cs="v5.0.0"/>
                <w:lang w:val="sv-SE"/>
              </w:rPr>
              <w:t>)</w:t>
            </w:r>
          </w:p>
        </w:tc>
        <w:tc>
          <w:tcPr>
            <w:tcW w:w="3455" w:type="dxa"/>
            <w:tcBorders>
              <w:top w:val="single" w:sz="4" w:space="0" w:color="auto"/>
              <w:left w:val="single" w:sz="4" w:space="0" w:color="auto"/>
              <w:bottom w:val="single" w:sz="4" w:space="0" w:color="auto"/>
              <w:right w:val="single" w:sz="4" w:space="0" w:color="auto"/>
            </w:tcBorders>
            <w:hideMark/>
          </w:tcPr>
          <w:p w14:paraId="7696257F" w14:textId="77777777" w:rsidR="00B3234F" w:rsidRDefault="00B3234F" w:rsidP="00BD1F8C">
            <w:pPr>
              <w:pStyle w:val="TAC"/>
              <w:rPr>
                <w:rFonts w:cs="Arial"/>
              </w:rPr>
            </w:pPr>
            <w:r>
              <w:rPr>
                <w:rFonts w:cs="Arial"/>
              </w:rPr>
              <w:t>-14 dBm</w:t>
            </w:r>
          </w:p>
        </w:tc>
        <w:tc>
          <w:tcPr>
            <w:tcW w:w="1430" w:type="dxa"/>
            <w:tcBorders>
              <w:top w:val="single" w:sz="4" w:space="0" w:color="auto"/>
              <w:left w:val="single" w:sz="4" w:space="0" w:color="auto"/>
              <w:bottom w:val="single" w:sz="4" w:space="0" w:color="auto"/>
              <w:right w:val="single" w:sz="4" w:space="0" w:color="auto"/>
            </w:tcBorders>
            <w:hideMark/>
          </w:tcPr>
          <w:p w14:paraId="79296ED9" w14:textId="77777777" w:rsidR="00B3234F" w:rsidRDefault="00B3234F" w:rsidP="00BD1F8C">
            <w:pPr>
              <w:pStyle w:val="TAC"/>
              <w:rPr>
                <w:rFonts w:cs="Arial"/>
              </w:rPr>
            </w:pPr>
            <w:r>
              <w:rPr>
                <w:rFonts w:cs="Arial"/>
              </w:rPr>
              <w:t xml:space="preserve">100 kHz </w:t>
            </w:r>
          </w:p>
        </w:tc>
      </w:tr>
      <w:tr w:rsidR="00B3234F" w14:paraId="14CA0EB1"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02640470" w14:textId="77777777" w:rsidR="00B3234F" w:rsidRDefault="00B3234F" w:rsidP="00BD1F8C">
            <w:pPr>
              <w:pStyle w:val="TAC"/>
              <w:rPr>
                <w:rFonts w:cs="v5.0.0"/>
              </w:rPr>
            </w:pPr>
            <w:r>
              <w:rPr>
                <w:rFonts w:cs="v5.0.0"/>
              </w:rPr>
              <w:t xml:space="preserve">10 MHz </w:t>
            </w:r>
            <w:r>
              <w:rPr>
                <w:rFonts w:cs="v5.0.0"/>
              </w:rPr>
              <w:sym w:font="Symbol" w:char="F0A3"/>
            </w:r>
            <w:r>
              <w:rPr>
                <w:rFonts w:cs="v5.0.0"/>
              </w:rPr>
              <w:t xml:space="preserve"> </w:t>
            </w:r>
            <w:r>
              <w:rPr>
                <w:rFonts w:cs="v5.0.0"/>
              </w:rPr>
              <w:sym w:font="Symbol" w:char="F044"/>
            </w:r>
            <w:r>
              <w:rPr>
                <w:rFonts w:cs="v5.0.0"/>
              </w:rPr>
              <w:t xml:space="preserve">f </w:t>
            </w:r>
            <w:r>
              <w:rPr>
                <w:rFonts w:cs="Arial"/>
              </w:rPr>
              <w:sym w:font="Symbol" w:char="F0A3"/>
            </w:r>
            <w:r>
              <w:rPr>
                <w:rFonts w:cs="Arial"/>
              </w:rPr>
              <w:t xml:space="preserve"> </w:t>
            </w:r>
            <w:r>
              <w:rPr>
                <w:rFonts w:cs="Arial"/>
              </w:rPr>
              <w:sym w:font="Symbol" w:char="F044"/>
            </w:r>
            <w:r>
              <w:rPr>
                <w:rFonts w:cs="Arial"/>
              </w:rPr>
              <w:t>f</w:t>
            </w:r>
            <w:r>
              <w:rPr>
                <w:rFonts w:cs="Arial"/>
                <w:vertAlign w:val="subscript"/>
              </w:rPr>
              <w:t>max</w:t>
            </w:r>
          </w:p>
        </w:tc>
        <w:tc>
          <w:tcPr>
            <w:tcW w:w="2976" w:type="dxa"/>
            <w:tcBorders>
              <w:top w:val="single" w:sz="4" w:space="0" w:color="auto"/>
              <w:left w:val="single" w:sz="4" w:space="0" w:color="auto"/>
              <w:bottom w:val="single" w:sz="4" w:space="0" w:color="auto"/>
              <w:right w:val="single" w:sz="4" w:space="0" w:color="auto"/>
            </w:tcBorders>
            <w:hideMark/>
          </w:tcPr>
          <w:p w14:paraId="520AFFAC" w14:textId="77777777" w:rsidR="00B3234F" w:rsidRDefault="00B3234F" w:rsidP="00BD1F8C">
            <w:pPr>
              <w:pStyle w:val="TAC"/>
              <w:rPr>
                <w:rFonts w:cs="v5.0.0"/>
              </w:rPr>
            </w:pPr>
            <w:r>
              <w:rPr>
                <w:rFonts w:cs="v5.0.0"/>
              </w:rPr>
              <w:t xml:space="preserve">10.5 MHz </w:t>
            </w:r>
            <w:r>
              <w:rPr>
                <w:rFonts w:cs="v5.0.0"/>
              </w:rPr>
              <w:sym w:font="Symbol" w:char="F0A3"/>
            </w:r>
            <w:r>
              <w:rPr>
                <w:rFonts w:cs="v5.0.0"/>
              </w:rPr>
              <w:t xml:space="preserve"> f_offset &lt; f_offset</w:t>
            </w:r>
            <w:r>
              <w:rPr>
                <w:rFonts w:cs="v5.0.0"/>
                <w:vertAlign w:val="subscript"/>
              </w:rPr>
              <w:t>max</w:t>
            </w:r>
            <w:r>
              <w:rPr>
                <w:rFonts w:cs="v5.0.0"/>
              </w:rPr>
              <w:t xml:space="preserve"> </w:t>
            </w:r>
          </w:p>
        </w:tc>
        <w:tc>
          <w:tcPr>
            <w:tcW w:w="3455" w:type="dxa"/>
            <w:tcBorders>
              <w:top w:val="single" w:sz="4" w:space="0" w:color="auto"/>
              <w:left w:val="single" w:sz="4" w:space="0" w:color="auto"/>
              <w:bottom w:val="single" w:sz="4" w:space="0" w:color="auto"/>
              <w:right w:val="single" w:sz="4" w:space="0" w:color="auto"/>
            </w:tcBorders>
            <w:hideMark/>
          </w:tcPr>
          <w:p w14:paraId="0AFF522A" w14:textId="77777777" w:rsidR="00B3234F" w:rsidRDefault="00B3234F" w:rsidP="00BD1F8C">
            <w:pPr>
              <w:pStyle w:val="TAC"/>
              <w:rPr>
                <w:rFonts w:cs="Arial"/>
              </w:rPr>
            </w:pPr>
            <w:r>
              <w:rPr>
                <w:rFonts w:cs="Arial"/>
              </w:rPr>
              <w:t xml:space="preserve">-15 dBm (Note </w:t>
            </w:r>
            <w:r>
              <w:rPr>
                <w:rFonts w:cs="Arial"/>
                <w:lang w:eastAsia="zh-CN"/>
              </w:rPr>
              <w:t>3</w:t>
            </w:r>
            <w:r>
              <w:rPr>
                <w:rFonts w:cs="Arial"/>
              </w:rPr>
              <w:t>)</w:t>
            </w:r>
          </w:p>
        </w:tc>
        <w:tc>
          <w:tcPr>
            <w:tcW w:w="1430" w:type="dxa"/>
            <w:tcBorders>
              <w:top w:val="single" w:sz="4" w:space="0" w:color="auto"/>
              <w:left w:val="single" w:sz="4" w:space="0" w:color="auto"/>
              <w:bottom w:val="single" w:sz="4" w:space="0" w:color="auto"/>
              <w:right w:val="single" w:sz="4" w:space="0" w:color="auto"/>
            </w:tcBorders>
            <w:hideMark/>
          </w:tcPr>
          <w:p w14:paraId="7FFFD638" w14:textId="77777777" w:rsidR="00B3234F" w:rsidRDefault="00B3234F" w:rsidP="00BD1F8C">
            <w:pPr>
              <w:pStyle w:val="TAC"/>
              <w:rPr>
                <w:rFonts w:cs="Arial"/>
              </w:rPr>
            </w:pPr>
            <w:r>
              <w:rPr>
                <w:rFonts w:cs="Arial"/>
              </w:rPr>
              <w:t xml:space="preserve">1MHz </w:t>
            </w:r>
          </w:p>
        </w:tc>
      </w:tr>
      <w:tr w:rsidR="00B3234F" w:rsidRPr="00AB3358" w14:paraId="4EDA869E" w14:textId="77777777" w:rsidTr="00BD1F8C">
        <w:trPr>
          <w:cantSplit/>
          <w:jc w:val="center"/>
        </w:trPr>
        <w:tc>
          <w:tcPr>
            <w:tcW w:w="9814" w:type="dxa"/>
            <w:gridSpan w:val="4"/>
            <w:tcBorders>
              <w:top w:val="single" w:sz="4" w:space="0" w:color="auto"/>
              <w:left w:val="single" w:sz="4" w:space="0" w:color="auto"/>
              <w:bottom w:val="single" w:sz="4" w:space="0" w:color="auto"/>
              <w:right w:val="single" w:sz="4" w:space="0" w:color="auto"/>
            </w:tcBorders>
            <w:hideMark/>
          </w:tcPr>
          <w:p w14:paraId="26A268F4" w14:textId="77777777" w:rsidR="00B3234F" w:rsidRDefault="00B3234F" w:rsidP="00BD1F8C">
            <w:pPr>
              <w:pStyle w:val="TAN"/>
              <w:rPr>
                <w:rFonts w:cs="Arial"/>
              </w:rPr>
            </w:pPr>
            <w:r>
              <w:rPr>
                <w:rFonts w:cs="Arial"/>
              </w:rPr>
              <w:t>NOTE 1:</w:t>
            </w:r>
            <w:r>
              <w:rPr>
                <w:rFonts w:cs="Arial"/>
              </w:rPr>
              <w:tab/>
              <w:t xml:space="preserve">For an IAB-DU and IAB-MT supporting </w:t>
            </w:r>
            <w:r>
              <w:rPr>
                <w:rFonts w:cs="Arial"/>
                <w:i/>
              </w:rPr>
              <w:t>non-contiguous spectrum</w:t>
            </w:r>
            <w:r>
              <w:rPr>
                <w:rFonts w:cs="Arial"/>
              </w:rPr>
              <w:t xml:space="preserve"> operation within any </w:t>
            </w:r>
            <w:r>
              <w:rPr>
                <w:rFonts w:cs="Arial"/>
                <w:i/>
              </w:rPr>
              <w:t>operating band</w:t>
            </w:r>
            <w:r>
              <w:rPr>
                <w:rFonts w:cs="Arial"/>
              </w:rPr>
              <w:t xml:space="preserve">, the emission limits within </w:t>
            </w:r>
            <w:r>
              <w:rPr>
                <w:rFonts w:cs="Arial"/>
                <w:i/>
              </w:rPr>
              <w:t>sub-block gaps</w:t>
            </w:r>
            <w:r>
              <w:rPr>
                <w:rFonts w:cs="Arial"/>
              </w:rPr>
              <w:t xml:space="preserve"> is calculated as a cumulative sum of contributions from adjacent </w:t>
            </w:r>
            <w:r>
              <w:rPr>
                <w:rFonts w:cs="v5.0.0"/>
                <w:i/>
              </w:rPr>
              <w:t>sub-blocks</w:t>
            </w:r>
            <w:r>
              <w:rPr>
                <w:rFonts w:cs="v5.0.0"/>
              </w:rPr>
              <w:t xml:space="preserve"> on each side of the </w:t>
            </w:r>
            <w:r>
              <w:rPr>
                <w:rFonts w:cs="v5.0.0"/>
                <w:i/>
              </w:rPr>
              <w:t>sub-block gap</w:t>
            </w:r>
            <w:r>
              <w:rPr>
                <w:rFonts w:cs="v5.0.0"/>
              </w:rPr>
              <w:t xml:space="preserve">, where the contribution from the far-end </w:t>
            </w:r>
            <w:r>
              <w:rPr>
                <w:rFonts w:cs="v5.0.0"/>
                <w:i/>
              </w:rPr>
              <w:t>sub-block</w:t>
            </w:r>
            <w:r>
              <w:rPr>
                <w:rFonts w:cs="v5.0.0"/>
              </w:rPr>
              <w:t xml:space="preserve"> shall be scaled according to the </w:t>
            </w:r>
            <w:r>
              <w:rPr>
                <w:rFonts w:cs="v5.0.0"/>
                <w:i/>
              </w:rPr>
              <w:t>measurement bandwidth</w:t>
            </w:r>
            <w:r>
              <w:rPr>
                <w:rFonts w:cs="v5.0.0"/>
              </w:rPr>
              <w:t xml:space="preserve"> of the near-end </w:t>
            </w:r>
            <w:r>
              <w:rPr>
                <w:rFonts w:cs="v5.0.0"/>
                <w:i/>
              </w:rPr>
              <w:t>sub-block</w:t>
            </w:r>
            <w:r>
              <w:rPr>
                <w:rFonts w:cs="v5.0.0"/>
              </w:rPr>
              <w:t xml:space="preserve">. </w:t>
            </w:r>
            <w:r>
              <w:rPr>
                <w:rFonts w:cs="Arial"/>
              </w:rPr>
              <w:t xml:space="preserve">Exception is </w:t>
            </w:r>
            <w:r>
              <w:rPr>
                <w:rFonts w:ascii="Symbol" w:hAnsi="Symbol" w:cs="Arial"/>
              </w:rPr>
              <w:t></w:t>
            </w:r>
            <w:r>
              <w:rPr>
                <w:rFonts w:cs="Arial"/>
              </w:rPr>
              <w:t xml:space="preserve">f ≥ 10MHz from both adjacent </w:t>
            </w:r>
            <w:r>
              <w:rPr>
                <w:rFonts w:cs="Arial"/>
                <w:i/>
              </w:rPr>
              <w:t>sub-blocks</w:t>
            </w:r>
            <w:r>
              <w:rPr>
                <w:rFonts w:cs="Arial"/>
              </w:rPr>
              <w:t xml:space="preserve"> on each side of the </w:t>
            </w:r>
            <w:r>
              <w:rPr>
                <w:rFonts w:cs="Arial"/>
                <w:i/>
              </w:rPr>
              <w:t>sub-block gap</w:t>
            </w:r>
            <w:r>
              <w:rPr>
                <w:rFonts w:cs="Arial"/>
              </w:rPr>
              <w:t xml:space="preserve">, where the emission limits within </w:t>
            </w:r>
            <w:r>
              <w:rPr>
                <w:rFonts w:cs="Arial"/>
                <w:i/>
              </w:rPr>
              <w:t>sub-block gaps</w:t>
            </w:r>
            <w:r>
              <w:rPr>
                <w:rFonts w:cs="Arial"/>
              </w:rPr>
              <w:t xml:space="preserve"> shall be </w:t>
            </w:r>
            <w:r>
              <w:rPr>
                <w:rFonts w:cs="Arial"/>
              </w:rPr>
              <w:noBreakHyphen/>
              <w:t>15 dBm/1 MHz.</w:t>
            </w:r>
          </w:p>
          <w:p w14:paraId="3FA12B83" w14:textId="77777777" w:rsidR="00B3234F" w:rsidRDefault="00B3234F" w:rsidP="00BD1F8C">
            <w:pPr>
              <w:pStyle w:val="TAN"/>
              <w:rPr>
                <w:rFonts w:cs="Arial"/>
              </w:rPr>
            </w:pPr>
            <w:r>
              <w:rPr>
                <w:rFonts w:cs="Arial"/>
              </w:rPr>
              <w:t>NOTE 2:</w:t>
            </w:r>
            <w:r>
              <w:rPr>
                <w:rFonts w:cs="Arial"/>
              </w:rPr>
              <w:tab/>
              <w:t xml:space="preserve">For a </w:t>
            </w:r>
            <w:r>
              <w:rPr>
                <w:rFonts w:cs="Arial"/>
                <w:i/>
              </w:rPr>
              <w:t>multi-band connector</w:t>
            </w:r>
            <w:r>
              <w:rPr>
                <w:rFonts w:cs="Arial"/>
              </w:rPr>
              <w:t xml:space="preserve"> with </w:t>
            </w:r>
            <w:r>
              <w:rPr>
                <w:rFonts w:cs="Arial"/>
                <w:i/>
              </w:rPr>
              <w:t>Inter RF Bandwidth gap</w:t>
            </w:r>
            <w:r>
              <w:rPr>
                <w:rFonts w:cs="Arial"/>
              </w:rPr>
              <w:t xml:space="preserve"> &lt; </w:t>
            </w:r>
            <w:r>
              <w:t>2*Δf</w:t>
            </w:r>
            <w:r>
              <w:rPr>
                <w:vertAlign w:val="subscript"/>
              </w:rPr>
              <w:t>OBUE</w:t>
            </w:r>
            <w:r>
              <w:rPr>
                <w:rFonts w:cs="Arial"/>
              </w:rPr>
              <w:t xml:space="preserve"> the emission limits within the </w:t>
            </w:r>
            <w:r>
              <w:rPr>
                <w:rFonts w:cs="Arial"/>
                <w:i/>
              </w:rPr>
              <w:t>Inter RF Bandwidth gaps</w:t>
            </w:r>
            <w:r>
              <w:rPr>
                <w:rFonts w:cs="Arial"/>
              </w:rPr>
              <w:t xml:space="preserve"> is calculated as a cumulative sum of contributions from adjacent </w:t>
            </w:r>
            <w:r>
              <w:rPr>
                <w:rFonts w:cs="Arial"/>
                <w:i/>
              </w:rPr>
              <w:t>sub-blocks</w:t>
            </w:r>
            <w:r>
              <w:rPr>
                <w:rFonts w:cs="Arial"/>
              </w:rPr>
              <w:t xml:space="preserve"> or RF Bandwidth on each side of the </w:t>
            </w:r>
            <w:r>
              <w:rPr>
                <w:rFonts w:cs="Arial"/>
                <w:i/>
              </w:rPr>
              <w:t>Inter RF Bandwidth gap</w:t>
            </w:r>
            <w:r>
              <w:rPr>
                <w:rFonts w:cs="Arial"/>
              </w:rPr>
              <w:t xml:space="preserve">, where the contribution from the far-end </w:t>
            </w:r>
            <w:r>
              <w:rPr>
                <w:rFonts w:cs="Arial"/>
                <w:i/>
              </w:rPr>
              <w:t>sub-block</w:t>
            </w:r>
            <w:r>
              <w:rPr>
                <w:rFonts w:cs="Arial"/>
              </w:rPr>
              <w:t xml:space="preserve"> or RF Bandwidth shall be scaled according to the </w:t>
            </w:r>
            <w:r>
              <w:rPr>
                <w:rFonts w:cs="Arial"/>
                <w:i/>
              </w:rPr>
              <w:t>measurement bandwidth</w:t>
            </w:r>
            <w:r>
              <w:rPr>
                <w:rFonts w:cs="Arial"/>
              </w:rPr>
              <w:t xml:space="preserve"> of the near-end </w:t>
            </w:r>
            <w:r>
              <w:rPr>
                <w:rFonts w:cs="Arial"/>
                <w:i/>
              </w:rPr>
              <w:t>sub-block</w:t>
            </w:r>
            <w:r>
              <w:rPr>
                <w:rFonts w:cs="Arial"/>
              </w:rPr>
              <w:t xml:space="preserve"> or RF Bandwidth.</w:t>
            </w:r>
          </w:p>
          <w:p w14:paraId="250F1662" w14:textId="77777777" w:rsidR="00B3234F" w:rsidRDefault="00B3234F" w:rsidP="00BD1F8C">
            <w:pPr>
              <w:pStyle w:val="TAN"/>
              <w:rPr>
                <w:rFonts w:cs="Arial"/>
              </w:rPr>
            </w:pPr>
            <w:r>
              <w:t>NOTE 3</w:t>
            </w:r>
            <w:r>
              <w:rPr>
                <w:lang w:eastAsia="zh-CN"/>
              </w:rPr>
              <w:t>:</w:t>
            </w:r>
            <w:r>
              <w:rPr>
                <w:lang w:eastAsia="zh-CN"/>
              </w:rPr>
              <w:tab/>
            </w:r>
            <w:r>
              <w:t xml:space="preserve">The requirement is not applicable when </w:t>
            </w:r>
            <w:r>
              <w:sym w:font="Symbol" w:char="F044"/>
            </w:r>
            <w:r>
              <w:t>f</w:t>
            </w:r>
            <w:r>
              <w:rPr>
                <w:vertAlign w:val="subscript"/>
              </w:rPr>
              <w:t>max</w:t>
            </w:r>
            <w:r>
              <w:t xml:space="preserve"> &lt; 10 MHz.</w:t>
            </w:r>
          </w:p>
        </w:tc>
      </w:tr>
    </w:tbl>
    <w:p w14:paraId="1AAFC4CD" w14:textId="77777777" w:rsidR="00B3234F" w:rsidRDefault="00B3234F" w:rsidP="00B3234F"/>
    <w:p w14:paraId="641DB693" w14:textId="77777777" w:rsidR="00B3234F" w:rsidRDefault="00B3234F" w:rsidP="00B3234F">
      <w:pPr>
        <w:pStyle w:val="Heading5"/>
      </w:pPr>
      <w:bookmarkStart w:id="2133" w:name="_Toc45893479"/>
      <w:bookmarkStart w:id="2134" w:name="_Toc44712166"/>
      <w:bookmarkStart w:id="2135" w:name="_Toc37267564"/>
      <w:bookmarkStart w:id="2136" w:name="_Toc37260176"/>
      <w:bookmarkStart w:id="2137" w:name="_Toc36817260"/>
      <w:bookmarkStart w:id="2138" w:name="_Toc29811708"/>
      <w:bookmarkStart w:id="2139" w:name="_Toc13080209"/>
      <w:bookmarkStart w:id="2140" w:name="_Toc53185369"/>
      <w:bookmarkStart w:id="2141" w:name="_Toc53185745"/>
      <w:bookmarkStart w:id="2142" w:name="_Toc57820221"/>
      <w:bookmarkStart w:id="2143" w:name="_Toc57821148"/>
      <w:bookmarkStart w:id="2144" w:name="_Toc61183424"/>
      <w:bookmarkStart w:id="2145" w:name="_Toc61183818"/>
      <w:bookmarkStart w:id="2146" w:name="_Toc61184210"/>
      <w:bookmarkStart w:id="2147" w:name="_Toc61184602"/>
      <w:bookmarkStart w:id="2148" w:name="_Toc61184992"/>
      <w:bookmarkStart w:id="2149" w:name="_Toc66386335"/>
      <w:bookmarkStart w:id="2150" w:name="_Toc74583176"/>
      <w:bookmarkStart w:id="2151" w:name="_Toc76541989"/>
      <w:bookmarkStart w:id="2152" w:name="_Toc82449971"/>
      <w:bookmarkStart w:id="2153" w:name="_Toc82450619"/>
      <w:bookmarkStart w:id="2154" w:name="_Toc89949008"/>
      <w:bookmarkStart w:id="2155" w:name="_Toc98755397"/>
      <w:bookmarkStart w:id="2156" w:name="_Toc98762988"/>
      <w:bookmarkStart w:id="2157" w:name="_Toc106183917"/>
      <w:r>
        <w:t>6.6.4.2.3</w:t>
      </w:r>
      <w:r>
        <w:tab/>
      </w:r>
      <w:r>
        <w:rPr>
          <w:i/>
        </w:rPr>
        <w:t>Basic limits</w:t>
      </w:r>
      <w:r>
        <w:t xml:space="preserve"> for Medium Range IAB-DU (Category A and B)</w:t>
      </w:r>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p>
    <w:p w14:paraId="62F217E4" w14:textId="77777777" w:rsidR="00B3234F" w:rsidRDefault="00B3234F" w:rsidP="009A7138">
      <w:r>
        <w:t xml:space="preserve">For Medium Range IAB-DU, </w:t>
      </w:r>
      <w:r>
        <w:rPr>
          <w:i/>
          <w:lang w:eastAsia="zh-CN"/>
        </w:rPr>
        <w:t>basic limits</w:t>
      </w:r>
      <w:r>
        <w:rPr>
          <w:lang w:eastAsia="zh-CN"/>
        </w:rPr>
        <w:t xml:space="preserve"> are </w:t>
      </w:r>
      <w:r>
        <w:t>specified in table 6.6.4.2.3-1</w:t>
      </w:r>
      <w:r>
        <w:rPr>
          <w:rFonts w:eastAsia="SimSun"/>
          <w:lang w:eastAsia="zh-CN"/>
        </w:rPr>
        <w:t xml:space="preserve"> and </w:t>
      </w:r>
      <w:r>
        <w:t>table 6.6.4.2.3-</w:t>
      </w:r>
      <w:r>
        <w:rPr>
          <w:rFonts w:eastAsia="SimSun"/>
          <w:lang w:eastAsia="zh-CN"/>
        </w:rPr>
        <w:t>2</w:t>
      </w:r>
      <w:r>
        <w:t>.</w:t>
      </w:r>
    </w:p>
    <w:p w14:paraId="7C8B74A5" w14:textId="2994989D" w:rsidR="00B3234F" w:rsidRDefault="00B3234F" w:rsidP="009A7138">
      <w:pPr>
        <w:rPr>
          <w:rFonts w:cs="v4.2.0"/>
          <w:lang w:eastAsia="zh-CN"/>
        </w:rPr>
      </w:pPr>
      <w:r>
        <w:rPr>
          <w:lang w:eastAsia="zh-CN"/>
        </w:rPr>
        <w:t xml:space="preserve">For the tables in this clause </w:t>
      </w:r>
      <w:r>
        <w:t xml:space="preserve">for </w:t>
      </w:r>
      <w:r>
        <w:rPr>
          <w:i/>
        </w:rPr>
        <w:t>IAB-DU type 1-H</w:t>
      </w:r>
      <w:r>
        <w:t xml:space="preserve"> and </w:t>
      </w:r>
      <w:r w:rsidRPr="00743313">
        <w:rPr>
          <w:i/>
          <w:iCs/>
        </w:rPr>
        <w:t>IAB-DU type 1-O</w:t>
      </w:r>
      <w:r>
        <w:t xml:space="preserve"> P</w:t>
      </w:r>
      <w:r>
        <w:rPr>
          <w:vertAlign w:val="subscript"/>
        </w:rPr>
        <w:t>rated,x</w:t>
      </w:r>
      <w:r>
        <w:t xml:space="preserve"> = P</w:t>
      </w:r>
      <w:r>
        <w:rPr>
          <w:vertAlign w:val="subscript"/>
        </w:rPr>
        <w:t>rated,c,cell</w:t>
      </w:r>
      <w:r>
        <w:rPr>
          <w:rFonts w:cs="v4.2.0"/>
        </w:rPr>
        <w:t xml:space="preserve"> – 10*log</w:t>
      </w:r>
      <w:r>
        <w:rPr>
          <w:rFonts w:cs="v4.2.0"/>
          <w:vertAlign w:val="subscript"/>
        </w:rPr>
        <w:t>10</w:t>
      </w:r>
      <w:r>
        <w:rPr>
          <w:rFonts w:cs="v4.2.0"/>
        </w:rPr>
        <w:t>(</w:t>
      </w:r>
      <w:r>
        <w:t>N</w:t>
      </w:r>
      <w:r>
        <w:rPr>
          <w:vertAlign w:val="subscript"/>
        </w:rPr>
        <w:t>TXU,countedpercell</w:t>
      </w:r>
      <w:r>
        <w:rPr>
          <w:rFonts w:cs="v4.2.0"/>
        </w:rPr>
        <w:t>)</w:t>
      </w:r>
      <w:r>
        <w:rPr>
          <w:rFonts w:cs="v4.2.0"/>
          <w:lang w:eastAsia="zh-CN"/>
        </w:rPr>
        <w:t>,</w:t>
      </w:r>
    </w:p>
    <w:p w14:paraId="44AF7702" w14:textId="77777777" w:rsidR="009A7138" w:rsidRDefault="009A7138" w:rsidP="009A7138">
      <w:pPr>
        <w:rPr>
          <w:rFonts w:cs="v5.0.0"/>
          <w:lang w:eastAsia="zh-CN"/>
        </w:rPr>
      </w:pPr>
    </w:p>
    <w:p w14:paraId="0D06D096" w14:textId="77777777" w:rsidR="00B3234F" w:rsidRDefault="00B3234F" w:rsidP="00B3234F">
      <w:pPr>
        <w:pStyle w:val="TH"/>
      </w:pPr>
      <w:r>
        <w:t>Table 6.6.4.2.3-</w:t>
      </w:r>
      <w:r>
        <w:rPr>
          <w:rFonts w:eastAsia="SimSun"/>
          <w:lang w:eastAsia="zh-CN"/>
        </w:rPr>
        <w:t>1</w:t>
      </w:r>
      <w:r>
        <w:t xml:space="preserve">: Medium Range IAB-DU </w:t>
      </w:r>
      <w:r>
        <w:rPr>
          <w:i/>
        </w:rPr>
        <w:t>operating band</w:t>
      </w:r>
      <w:r>
        <w:t xml:space="preserve"> unwanted emission limits</w:t>
      </w:r>
      <w:r>
        <w:rPr>
          <w:lang w:eastAsia="zh-CN"/>
        </w:rPr>
        <w:t xml:space="preserve">, </w:t>
      </w:r>
      <w:r>
        <w:rPr>
          <w:rFonts w:cs="v5.0.0"/>
          <w:lang w:eastAsia="zh-CN"/>
        </w:rPr>
        <w:t>31</w:t>
      </w:r>
      <w:r>
        <w:rPr>
          <w:rFonts w:cs="v5.0.0"/>
        </w:rPr>
        <w:t xml:space="preserve">&lt; </w:t>
      </w:r>
      <w:r>
        <w:rPr>
          <w:rFonts w:cs="v5.0.0"/>
          <w:bCs/>
        </w:rPr>
        <w:t>P</w:t>
      </w:r>
      <w:r>
        <w:rPr>
          <w:rFonts w:cs="v5.0.0"/>
          <w:bCs/>
          <w:vertAlign w:val="subscript"/>
        </w:rPr>
        <w:t>rated,x</w:t>
      </w:r>
      <w:r>
        <w:rPr>
          <w:rFonts w:cs="v5.0.0"/>
        </w:rPr>
        <w:t xml:space="preserve"> </w:t>
      </w:r>
      <w:r>
        <w:rPr>
          <w:rFonts w:cs="v5.0.0"/>
        </w:rPr>
        <w:sym w:font="Symbol" w:char="F0A3"/>
      </w:r>
      <w:r>
        <w:rPr>
          <w:rFonts w:cs="v5.0.0"/>
        </w:rPr>
        <w:t xml:space="preserve"> 38 dBm</w:t>
      </w:r>
    </w:p>
    <w:tbl>
      <w:tblPr>
        <w:tblW w:w="99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2977"/>
        <w:gridCol w:w="3456"/>
        <w:gridCol w:w="1430"/>
      </w:tblGrid>
      <w:tr w:rsidR="00B3234F" w14:paraId="36F529EE" w14:textId="77777777" w:rsidTr="00BD1F8C">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597CBAAB" w14:textId="77777777" w:rsidR="00B3234F" w:rsidRDefault="00B3234F" w:rsidP="00BD1F8C">
            <w:pPr>
              <w:pStyle w:val="TAH"/>
              <w:rPr>
                <w:rFonts w:cs="Arial"/>
              </w:rPr>
            </w:pPr>
            <w:r>
              <w:rPr>
                <w:rFonts w:cs="Arial"/>
              </w:rPr>
              <w:t xml:space="preserve">Frequency offset of measurement filter </w:t>
            </w:r>
            <w:r>
              <w:rPr>
                <w:rFonts w:cs="Arial"/>
              </w:rPr>
              <w:noBreakHyphen/>
              <w:t xml:space="preserve">3dB point, </w:t>
            </w:r>
            <w:r>
              <w:rPr>
                <w:rFonts w:cs="Arial"/>
              </w:rPr>
              <w:sym w:font="Symbol" w:char="F044"/>
            </w:r>
            <w:r>
              <w:rPr>
                <w:rFonts w:cs="Arial"/>
              </w:rPr>
              <w:t>f</w:t>
            </w:r>
          </w:p>
        </w:tc>
        <w:tc>
          <w:tcPr>
            <w:tcW w:w="2976" w:type="dxa"/>
            <w:tcBorders>
              <w:top w:val="single" w:sz="4" w:space="0" w:color="auto"/>
              <w:left w:val="single" w:sz="4" w:space="0" w:color="auto"/>
              <w:bottom w:val="single" w:sz="4" w:space="0" w:color="auto"/>
              <w:right w:val="single" w:sz="4" w:space="0" w:color="auto"/>
            </w:tcBorders>
            <w:hideMark/>
          </w:tcPr>
          <w:p w14:paraId="21122A75" w14:textId="77777777" w:rsidR="00B3234F" w:rsidRDefault="00B3234F" w:rsidP="00BD1F8C">
            <w:pPr>
              <w:pStyle w:val="TAH"/>
              <w:rPr>
                <w:rFonts w:cs="Arial"/>
              </w:rPr>
            </w:pPr>
            <w:r>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hideMark/>
          </w:tcPr>
          <w:p w14:paraId="50F39967" w14:textId="77777777" w:rsidR="00B3234F" w:rsidRDefault="00B3234F" w:rsidP="00BD1F8C">
            <w:pPr>
              <w:pStyle w:val="TAH"/>
              <w:rPr>
                <w:rFonts w:cs="Arial"/>
              </w:rPr>
            </w:pPr>
            <w:r>
              <w:rPr>
                <w:rFonts w:cs="v5.0.0"/>
                <w:i/>
                <w:lang w:eastAsia="zh-CN"/>
              </w:rPr>
              <w:t>Basic limits</w:t>
            </w:r>
            <w:r>
              <w:rPr>
                <w:rFonts w:cs="v5.0.0"/>
              </w:rPr>
              <w:t xml:space="preserve"> (Note 1</w:t>
            </w:r>
            <w:r>
              <w:rPr>
                <w:rFonts w:cs="Arial"/>
              </w:rPr>
              <w:t>, 2</w:t>
            </w:r>
            <w:r>
              <w:rPr>
                <w:rFonts w:cs="v5.0.0"/>
              </w:rPr>
              <w:t>)</w:t>
            </w:r>
          </w:p>
        </w:tc>
        <w:tc>
          <w:tcPr>
            <w:tcW w:w="1430" w:type="dxa"/>
            <w:tcBorders>
              <w:top w:val="single" w:sz="4" w:space="0" w:color="auto"/>
              <w:left w:val="single" w:sz="4" w:space="0" w:color="auto"/>
              <w:bottom w:val="single" w:sz="4" w:space="0" w:color="auto"/>
              <w:right w:val="single" w:sz="4" w:space="0" w:color="auto"/>
            </w:tcBorders>
            <w:hideMark/>
          </w:tcPr>
          <w:p w14:paraId="2C50E886" w14:textId="77777777" w:rsidR="00B3234F" w:rsidRDefault="00B3234F" w:rsidP="00BD1F8C">
            <w:pPr>
              <w:pStyle w:val="TAH"/>
              <w:rPr>
                <w:rFonts w:eastAsia="SimSun" w:cs="Arial"/>
                <w:lang w:eastAsia="zh-CN"/>
              </w:rPr>
            </w:pPr>
            <w:r>
              <w:rPr>
                <w:rFonts w:cs="Arial"/>
                <w:i/>
              </w:rPr>
              <w:t xml:space="preserve">Measurement bandwidth </w:t>
            </w:r>
          </w:p>
        </w:tc>
      </w:tr>
      <w:tr w:rsidR="00B3234F" w14:paraId="4121EB40" w14:textId="77777777" w:rsidTr="009D1F1D">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765673B6" w14:textId="77777777" w:rsidR="00B3234F" w:rsidRDefault="00B3234F" w:rsidP="00BD1F8C">
            <w:pPr>
              <w:pStyle w:val="TAC"/>
              <w:rPr>
                <w:rFonts w:cs="v5.0.0"/>
              </w:rPr>
            </w:pPr>
            <w:r>
              <w:rPr>
                <w:rFonts w:cs="v5.0.0"/>
              </w:rPr>
              <w:t xml:space="preserve">0 MHz </w:t>
            </w:r>
            <w:r>
              <w:rPr>
                <w:rFonts w:cs="v5.0.0"/>
              </w:rPr>
              <w:sym w:font="Symbol" w:char="F0A3"/>
            </w:r>
            <w:r>
              <w:rPr>
                <w:rFonts w:cs="v5.0.0"/>
              </w:rPr>
              <w:t xml:space="preserve"> </w:t>
            </w:r>
            <w:r>
              <w:rPr>
                <w:rFonts w:cs="v5.0.0"/>
              </w:rPr>
              <w:sym w:font="Symbol" w:char="F044"/>
            </w:r>
            <w:r>
              <w:rPr>
                <w:rFonts w:cs="v5.0.0"/>
              </w:rPr>
              <w:t>f &lt; 5 MHz</w:t>
            </w:r>
          </w:p>
        </w:tc>
        <w:tc>
          <w:tcPr>
            <w:tcW w:w="2976" w:type="dxa"/>
            <w:tcBorders>
              <w:top w:val="single" w:sz="4" w:space="0" w:color="auto"/>
              <w:left w:val="single" w:sz="4" w:space="0" w:color="auto"/>
              <w:bottom w:val="single" w:sz="4" w:space="0" w:color="auto"/>
              <w:right w:val="single" w:sz="4" w:space="0" w:color="auto"/>
            </w:tcBorders>
            <w:hideMark/>
          </w:tcPr>
          <w:p w14:paraId="6DA20EAA" w14:textId="77777777" w:rsidR="00B3234F" w:rsidRDefault="00B3234F" w:rsidP="00BD1F8C">
            <w:pPr>
              <w:pStyle w:val="TAC"/>
              <w:rPr>
                <w:rFonts w:cs="v5.0.0"/>
              </w:rPr>
            </w:pPr>
            <w:r>
              <w:rPr>
                <w:rFonts w:cs="v5.0.0"/>
              </w:rPr>
              <w:t xml:space="preserve">0.05 MHz </w:t>
            </w:r>
            <w:r>
              <w:rPr>
                <w:rFonts w:cs="v5.0.0"/>
              </w:rPr>
              <w:sym w:font="Symbol" w:char="F0A3"/>
            </w:r>
            <w:r>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tcPr>
          <w:p w14:paraId="7D199234" w14:textId="77777777" w:rsidR="00B3234F" w:rsidRDefault="00B3234F" w:rsidP="00BD1F8C">
            <w:pPr>
              <w:pStyle w:val="TAC"/>
              <w:rPr>
                <w:rFonts w:cs="Arial"/>
                <w:lang w:eastAsia="ja-JP"/>
              </w:rPr>
            </w:pPr>
            <w:r>
              <w:rPr>
                <w:rFonts w:ascii="Cambria Math" w:hAnsi="Cambria Math" w:cs="Arial"/>
                <w:lang w:eastAsia="ja-JP"/>
              </w:rPr>
              <w:br/>
            </w:r>
            <m:oMathPara>
              <m:oMath>
                <m:sSub>
                  <m:sSubPr>
                    <m:ctrlPr>
                      <w:rPr>
                        <w:rFonts w:ascii="Cambria Math" w:hAnsi="Cambria Math" w:cs="Arial"/>
                        <w:i/>
                        <w:lang w:eastAsia="ja-JP"/>
                      </w:rPr>
                    </m:ctrlPr>
                  </m:sSubPr>
                  <m:e>
                    <m:r>
                      <w:rPr>
                        <w:rFonts w:ascii="Cambria Math" w:hAnsi="Cambria Math" w:cs="Arial"/>
                        <w:lang w:eastAsia="ja-JP"/>
                      </w:rPr>
                      <m:t>P</m:t>
                    </m:r>
                  </m:e>
                  <m:sub>
                    <m:r>
                      <w:rPr>
                        <w:rFonts w:ascii="Cambria Math" w:hAnsi="Cambria Math" w:cs="Arial"/>
                        <w:lang w:eastAsia="ja-JP"/>
                      </w:rPr>
                      <m:t>rated,x</m:t>
                    </m:r>
                  </m:sub>
                </m:sSub>
                <m:r>
                  <w:rPr>
                    <w:rFonts w:ascii="Cambria Math" w:hAnsi="Cambria Math" w:cs="Arial"/>
                    <w:lang w:eastAsia="ja-JP"/>
                  </w:rPr>
                  <m:t>-53dB-</m:t>
                </m:r>
                <m:f>
                  <m:fPr>
                    <m:ctrlPr>
                      <w:rPr>
                        <w:rFonts w:ascii="Cambria Math" w:hAnsi="Cambria Math" w:cs="Arial"/>
                        <w:i/>
                        <w:lang w:eastAsia="ja-JP"/>
                      </w:rPr>
                    </m:ctrlPr>
                  </m:fPr>
                  <m:num>
                    <m:r>
                      <w:rPr>
                        <w:rFonts w:ascii="Cambria Math" w:hAnsi="Cambria Math" w:cs="Arial"/>
                        <w:lang w:eastAsia="ja-JP"/>
                      </w:rPr>
                      <m:t>7</m:t>
                    </m:r>
                  </m:num>
                  <m:den>
                    <m:r>
                      <w:rPr>
                        <w:rFonts w:ascii="Cambria Math" w:hAnsi="Cambria Math" w:cs="Arial"/>
                        <w:lang w:eastAsia="ja-JP"/>
                      </w:rPr>
                      <m:t>5</m:t>
                    </m:r>
                  </m:den>
                </m:f>
                <m:d>
                  <m:dPr>
                    <m:ctrlPr>
                      <w:rPr>
                        <w:rFonts w:ascii="Cambria Math" w:hAnsi="Cambria Math" w:cs="Arial"/>
                        <w:i/>
                        <w:lang w:eastAsia="ja-JP"/>
                      </w:rPr>
                    </m:ctrlPr>
                  </m:dPr>
                  <m:e>
                    <m:f>
                      <m:fPr>
                        <m:ctrlPr>
                          <w:rPr>
                            <w:rFonts w:ascii="Cambria Math" w:hAnsi="Cambria Math" w:cs="Arial"/>
                            <w:i/>
                            <w:lang w:eastAsia="ja-JP"/>
                          </w:rPr>
                        </m:ctrlPr>
                      </m:fPr>
                      <m:num>
                        <m:r>
                          <m:rPr>
                            <m:sty m:val="p"/>
                          </m:rPr>
                          <w:rPr>
                            <w:rFonts w:ascii="Cambria Math" w:hAnsi="Cambria Math" w:cs="Arial"/>
                            <w:lang w:eastAsia="ja-JP"/>
                          </w:rPr>
                          <m:t>f_</m:t>
                        </m:r>
                        <m:r>
                          <w:rPr>
                            <w:rFonts w:ascii="Cambria Math" w:hAnsi="Cambria Math" w:cs="Arial"/>
                            <w:lang w:eastAsia="ja-JP"/>
                          </w:rPr>
                          <m:t>offset</m:t>
                        </m:r>
                      </m:num>
                      <m:den>
                        <m:r>
                          <w:rPr>
                            <w:rFonts w:ascii="Cambria Math" w:hAnsi="Cambria Math" w:cs="Arial"/>
                            <w:lang w:eastAsia="ja-JP"/>
                          </w:rPr>
                          <m:t>MHz</m:t>
                        </m:r>
                      </m:den>
                    </m:f>
                    <m:r>
                      <w:rPr>
                        <w:rFonts w:ascii="Cambria Math" w:hAnsi="Cambria Math" w:cs="Arial"/>
                        <w:lang w:eastAsia="ja-JP"/>
                      </w:rPr>
                      <m:t>-0.05</m:t>
                    </m:r>
                  </m:e>
                </m:d>
                <m:r>
                  <w:rPr>
                    <w:rFonts w:ascii="Cambria Math" w:hAnsi="Cambria Math" w:cs="Arial"/>
                    <w:lang w:eastAsia="ja-JP"/>
                  </w:rPr>
                  <m:t>dB</m:t>
                </m:r>
              </m:oMath>
            </m:oMathPara>
          </w:p>
          <w:p w14:paraId="590ADE3C" w14:textId="77777777" w:rsidR="00B3234F" w:rsidRDefault="00B3234F" w:rsidP="00BD1F8C">
            <w:pPr>
              <w:pStyle w:val="TAC"/>
              <w:rPr>
                <w:rFonts w:cs="v5.0.0"/>
              </w:rPr>
            </w:pPr>
          </w:p>
        </w:tc>
        <w:tc>
          <w:tcPr>
            <w:tcW w:w="1430" w:type="dxa"/>
            <w:tcBorders>
              <w:top w:val="single" w:sz="4" w:space="0" w:color="auto"/>
              <w:left w:val="single" w:sz="4" w:space="0" w:color="auto"/>
              <w:bottom w:val="single" w:sz="4" w:space="0" w:color="auto"/>
              <w:right w:val="single" w:sz="4" w:space="0" w:color="auto"/>
            </w:tcBorders>
            <w:hideMark/>
          </w:tcPr>
          <w:p w14:paraId="10FC7BB1" w14:textId="77777777" w:rsidR="00B3234F" w:rsidRDefault="00B3234F" w:rsidP="00BD1F8C">
            <w:pPr>
              <w:pStyle w:val="TAC"/>
              <w:rPr>
                <w:rFonts w:cs="v5.0.0"/>
              </w:rPr>
            </w:pPr>
            <w:r>
              <w:rPr>
                <w:rFonts w:cs="v5.0.0"/>
              </w:rPr>
              <w:t xml:space="preserve">100 kHz </w:t>
            </w:r>
          </w:p>
        </w:tc>
      </w:tr>
      <w:tr w:rsidR="00B3234F" w14:paraId="24233926" w14:textId="77777777" w:rsidTr="002F2A82">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4D4AC7B2" w14:textId="77777777" w:rsidR="00B3234F" w:rsidRDefault="00B3234F" w:rsidP="00BD1F8C">
            <w:pPr>
              <w:pStyle w:val="TAC"/>
              <w:rPr>
                <w:rFonts w:cs="v5.0.0"/>
                <w:lang w:val="sv-SE"/>
              </w:rPr>
            </w:pPr>
            <w:r>
              <w:rPr>
                <w:rFonts w:cs="v5.0.0"/>
                <w:lang w:val="sv-SE"/>
              </w:rPr>
              <w:t xml:space="preserve">5 MHz </w:t>
            </w:r>
            <w:r>
              <w:rPr>
                <w:rFonts w:cs="v5.0.0"/>
              </w:rPr>
              <w:sym w:font="Symbol" w:char="F0A3"/>
            </w:r>
            <w:r>
              <w:rPr>
                <w:rFonts w:cs="v5.0.0"/>
                <w:lang w:val="sv-SE"/>
              </w:rPr>
              <w:t xml:space="preserve"> </w:t>
            </w:r>
            <w:r>
              <w:rPr>
                <w:rFonts w:cs="v5.0.0"/>
              </w:rPr>
              <w:sym w:font="Symbol" w:char="F044"/>
            </w:r>
            <w:r>
              <w:rPr>
                <w:rFonts w:cs="v5.0.0"/>
                <w:lang w:val="sv-SE"/>
              </w:rPr>
              <w:t xml:space="preserve">f &lt; </w:t>
            </w:r>
            <w:r>
              <w:rPr>
                <w:rFonts w:cs="Arial"/>
                <w:lang w:val="sv-SE"/>
              </w:rPr>
              <w:t xml:space="preserve">min(10 MHz, </w:t>
            </w:r>
            <w:r>
              <w:rPr>
                <w:rFonts w:cs="Arial"/>
              </w:rPr>
              <w:t>Δ</w:t>
            </w:r>
            <w:r>
              <w:rPr>
                <w:rFonts w:cs="Arial"/>
                <w:lang w:val="sv-SE"/>
              </w:rPr>
              <w:t>f</w:t>
            </w:r>
            <w:r>
              <w:rPr>
                <w:rFonts w:cs="Arial"/>
                <w:vertAlign w:val="subscript"/>
                <w:lang w:val="sv-SE" w:eastAsia="zh-CN"/>
              </w:rPr>
              <w:t>max</w:t>
            </w:r>
            <w:r>
              <w:rPr>
                <w:rFonts w:cs="Arial"/>
                <w:lang w:val="sv-SE" w:eastAsia="zh-CN"/>
              </w:rPr>
              <w:t>)</w:t>
            </w:r>
          </w:p>
        </w:tc>
        <w:tc>
          <w:tcPr>
            <w:tcW w:w="2976" w:type="dxa"/>
            <w:tcBorders>
              <w:top w:val="single" w:sz="4" w:space="0" w:color="auto"/>
              <w:left w:val="single" w:sz="4" w:space="0" w:color="auto"/>
              <w:bottom w:val="single" w:sz="4" w:space="0" w:color="auto"/>
              <w:right w:val="single" w:sz="4" w:space="0" w:color="auto"/>
            </w:tcBorders>
            <w:hideMark/>
          </w:tcPr>
          <w:p w14:paraId="48DBE283" w14:textId="77777777" w:rsidR="00B3234F" w:rsidRDefault="00B3234F" w:rsidP="00BD1F8C">
            <w:pPr>
              <w:pStyle w:val="TAC"/>
              <w:rPr>
                <w:rFonts w:cs="v5.0.0"/>
                <w:lang w:val="sv-SE"/>
              </w:rPr>
            </w:pPr>
            <w:r>
              <w:rPr>
                <w:rFonts w:cs="v5.0.0"/>
                <w:lang w:val="sv-SE"/>
              </w:rPr>
              <w:t xml:space="preserve">5.05 MHz </w:t>
            </w:r>
            <w:r>
              <w:rPr>
                <w:rFonts w:cs="v5.0.0"/>
              </w:rPr>
              <w:sym w:font="Symbol" w:char="F0A3"/>
            </w:r>
            <w:r>
              <w:rPr>
                <w:rFonts w:cs="v5.0.0"/>
                <w:lang w:val="sv-SE"/>
              </w:rPr>
              <w:t xml:space="preserve"> f_offset &lt; </w:t>
            </w:r>
            <w:r>
              <w:rPr>
                <w:rFonts w:cs="Arial"/>
                <w:lang w:val="sv-SE"/>
              </w:rPr>
              <w:t>min(10.05 MHz, f_offset</w:t>
            </w:r>
            <w:r>
              <w:rPr>
                <w:rFonts w:cs="Arial"/>
                <w:vertAlign w:val="subscript"/>
                <w:lang w:val="sv-SE" w:eastAsia="zh-CN"/>
              </w:rPr>
              <w:t>max</w:t>
            </w:r>
            <w:r>
              <w:rPr>
                <w:rFonts w:cs="Arial"/>
                <w:lang w:val="sv-SE" w:eastAsia="zh-CN"/>
              </w:rPr>
              <w:t>)</w:t>
            </w:r>
          </w:p>
        </w:tc>
        <w:tc>
          <w:tcPr>
            <w:tcW w:w="3455" w:type="dxa"/>
            <w:tcBorders>
              <w:top w:val="single" w:sz="4" w:space="0" w:color="auto"/>
              <w:left w:val="single" w:sz="4" w:space="0" w:color="auto"/>
              <w:bottom w:val="single" w:sz="4" w:space="0" w:color="auto"/>
              <w:right w:val="single" w:sz="4" w:space="0" w:color="auto"/>
            </w:tcBorders>
            <w:hideMark/>
          </w:tcPr>
          <w:p w14:paraId="368D962E" w14:textId="77777777" w:rsidR="00B3234F" w:rsidRDefault="00B3234F" w:rsidP="00BD1F8C">
            <w:pPr>
              <w:pStyle w:val="TAC"/>
              <w:rPr>
                <w:rFonts w:cs="v5.0.0"/>
              </w:rPr>
            </w:pPr>
            <w:r>
              <w:rPr>
                <w:rFonts w:cs="Arial"/>
                <w:lang w:eastAsia="zh-CN"/>
              </w:rPr>
              <w:t>P</w:t>
            </w:r>
            <w:r>
              <w:rPr>
                <w:rFonts w:cs="Arial"/>
                <w:vertAlign w:val="subscript"/>
                <w:lang w:eastAsia="zh-CN"/>
              </w:rPr>
              <w:t>rated,x</w:t>
            </w:r>
            <w:r>
              <w:rPr>
                <w:rFonts w:cs="Arial"/>
                <w:lang w:eastAsia="zh-CN"/>
              </w:rPr>
              <w:t xml:space="preserve"> </w:t>
            </w:r>
            <w:r>
              <w:rPr>
                <w:rFonts w:cs="Arial"/>
                <w:vertAlign w:val="subscript"/>
                <w:lang w:eastAsia="zh-CN"/>
              </w:rPr>
              <w:t xml:space="preserve"> </w:t>
            </w:r>
            <w:r>
              <w:rPr>
                <w:rFonts w:cs="Arial"/>
                <w:lang w:eastAsia="zh-CN"/>
              </w:rPr>
              <w:t>- 60dB</w:t>
            </w:r>
          </w:p>
        </w:tc>
        <w:tc>
          <w:tcPr>
            <w:tcW w:w="1430" w:type="dxa"/>
            <w:tcBorders>
              <w:top w:val="single" w:sz="4" w:space="0" w:color="auto"/>
              <w:left w:val="single" w:sz="4" w:space="0" w:color="auto"/>
              <w:bottom w:val="single" w:sz="4" w:space="0" w:color="auto"/>
              <w:right w:val="single" w:sz="4" w:space="0" w:color="auto"/>
            </w:tcBorders>
            <w:hideMark/>
          </w:tcPr>
          <w:p w14:paraId="70C72D56" w14:textId="77777777" w:rsidR="00B3234F" w:rsidRDefault="00B3234F" w:rsidP="00BD1F8C">
            <w:pPr>
              <w:pStyle w:val="TAC"/>
              <w:rPr>
                <w:rFonts w:cs="v5.0.0"/>
              </w:rPr>
            </w:pPr>
            <w:r>
              <w:rPr>
                <w:rFonts w:cs="v5.0.0"/>
              </w:rPr>
              <w:t xml:space="preserve">100 kHz </w:t>
            </w:r>
          </w:p>
        </w:tc>
      </w:tr>
      <w:tr w:rsidR="00B3234F" w14:paraId="2B74CDD0" w14:textId="77777777" w:rsidTr="002F2A82">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765438D9" w14:textId="77777777" w:rsidR="00B3234F" w:rsidRDefault="00B3234F" w:rsidP="00BD1F8C">
            <w:pPr>
              <w:pStyle w:val="TAC"/>
              <w:rPr>
                <w:rFonts w:cs="v5.0.0"/>
              </w:rPr>
            </w:pPr>
            <w:r>
              <w:rPr>
                <w:rFonts w:cs="v5.0.0"/>
              </w:rPr>
              <w:t xml:space="preserve">10 MHz </w:t>
            </w:r>
            <w:r>
              <w:rPr>
                <w:rFonts w:cs="v5.0.0"/>
              </w:rPr>
              <w:sym w:font="Symbol" w:char="F0A3"/>
            </w:r>
            <w:r>
              <w:rPr>
                <w:rFonts w:cs="v5.0.0"/>
              </w:rPr>
              <w:t xml:space="preserve"> </w:t>
            </w:r>
            <w:r>
              <w:rPr>
                <w:rFonts w:cs="v5.0.0"/>
              </w:rPr>
              <w:sym w:font="Symbol" w:char="F044"/>
            </w:r>
            <w:r>
              <w:rPr>
                <w:rFonts w:cs="v5.0.0"/>
              </w:rPr>
              <w:t xml:space="preserve">f </w:t>
            </w:r>
            <w:r>
              <w:rPr>
                <w:rFonts w:cs="v5.0.0"/>
              </w:rPr>
              <w:sym w:font="Symbol" w:char="F0A3"/>
            </w:r>
            <w:r>
              <w:rPr>
                <w:rFonts w:cs="v5.0.0"/>
              </w:rPr>
              <w:t xml:space="preserve"> </w:t>
            </w:r>
            <w:r>
              <w:rPr>
                <w:rFonts w:cs="v5.0.0"/>
              </w:rPr>
              <w:sym w:font="Symbol" w:char="F044"/>
            </w:r>
            <w:r>
              <w:rPr>
                <w:rFonts w:cs="v5.0.0"/>
              </w:rPr>
              <w:t>f</w:t>
            </w:r>
            <w:r>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hideMark/>
          </w:tcPr>
          <w:p w14:paraId="1815D911" w14:textId="77777777" w:rsidR="00B3234F" w:rsidRDefault="00B3234F" w:rsidP="00BD1F8C">
            <w:pPr>
              <w:pStyle w:val="TAC"/>
              <w:rPr>
                <w:rFonts w:cs="v5.0.0"/>
              </w:rPr>
            </w:pPr>
            <w:r>
              <w:rPr>
                <w:rFonts w:cs="v5.0.0"/>
              </w:rPr>
              <w:t xml:space="preserve">10.05 MHz </w:t>
            </w:r>
            <w:r>
              <w:rPr>
                <w:rFonts w:cs="v5.0.0"/>
              </w:rPr>
              <w:sym w:font="Symbol" w:char="F0A3"/>
            </w:r>
            <w:r>
              <w:rPr>
                <w:rFonts w:cs="v5.0.0"/>
              </w:rPr>
              <w:t xml:space="preserve"> f_offset &lt; f_offset</w:t>
            </w:r>
            <w:r>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hideMark/>
          </w:tcPr>
          <w:p w14:paraId="19351AF3" w14:textId="77777777" w:rsidR="00B3234F" w:rsidRDefault="00B3234F" w:rsidP="00BD1F8C">
            <w:pPr>
              <w:pStyle w:val="TAC"/>
              <w:rPr>
                <w:rFonts w:cs="v5.0.0"/>
              </w:rPr>
            </w:pPr>
            <w:r>
              <w:rPr>
                <w:rFonts w:cs="Arial"/>
                <w:lang w:eastAsia="zh-CN"/>
              </w:rPr>
              <w:t>Min(</w:t>
            </w:r>
            <w:r>
              <w:t>P</w:t>
            </w:r>
            <w:r>
              <w:rPr>
                <w:vertAlign w:val="subscript"/>
              </w:rPr>
              <w:t>rated,x</w:t>
            </w:r>
            <w:r>
              <w:rPr>
                <w:rFonts w:cs="Arial"/>
                <w:lang w:eastAsia="zh-CN"/>
              </w:rPr>
              <w:t xml:space="preserve"> </w:t>
            </w:r>
            <w:r>
              <w:rPr>
                <w:rFonts w:cs="Arial"/>
                <w:vertAlign w:val="subscript"/>
                <w:lang w:eastAsia="zh-CN"/>
              </w:rPr>
              <w:t xml:space="preserve"> </w:t>
            </w:r>
            <w:r>
              <w:rPr>
                <w:rFonts w:cs="Arial"/>
                <w:lang w:eastAsia="zh-CN"/>
              </w:rPr>
              <w:t xml:space="preserve">- 60dB, -25dBm) (Note </w:t>
            </w:r>
            <w:r>
              <w:rPr>
                <w:rFonts w:eastAsia="SimSun" w:cs="Arial"/>
                <w:lang w:eastAsia="zh-CN"/>
              </w:rPr>
              <w:t>3</w:t>
            </w:r>
            <w:r>
              <w:rPr>
                <w:rFonts w:cs="Arial"/>
                <w:lang w:eastAsia="zh-CN"/>
              </w:rPr>
              <w:t>)</w:t>
            </w:r>
          </w:p>
        </w:tc>
        <w:tc>
          <w:tcPr>
            <w:tcW w:w="1430" w:type="dxa"/>
            <w:tcBorders>
              <w:top w:val="single" w:sz="4" w:space="0" w:color="auto"/>
              <w:left w:val="single" w:sz="4" w:space="0" w:color="auto"/>
              <w:bottom w:val="single" w:sz="4" w:space="0" w:color="auto"/>
              <w:right w:val="single" w:sz="4" w:space="0" w:color="auto"/>
            </w:tcBorders>
            <w:hideMark/>
          </w:tcPr>
          <w:p w14:paraId="2557917A" w14:textId="77777777" w:rsidR="00B3234F" w:rsidRDefault="00B3234F" w:rsidP="009D1F1D">
            <w:pPr>
              <w:pStyle w:val="TAC"/>
              <w:rPr>
                <w:rFonts w:cs="v5.0.0"/>
              </w:rPr>
            </w:pPr>
            <w:r>
              <w:t>100 kHz</w:t>
            </w:r>
          </w:p>
        </w:tc>
      </w:tr>
      <w:tr w:rsidR="00B3234F" w:rsidRPr="00AB3358" w14:paraId="745BC987" w14:textId="77777777" w:rsidTr="00BD1F8C">
        <w:trPr>
          <w:cantSplit/>
          <w:jc w:val="center"/>
        </w:trPr>
        <w:tc>
          <w:tcPr>
            <w:tcW w:w="9988" w:type="dxa"/>
            <w:gridSpan w:val="4"/>
            <w:tcBorders>
              <w:top w:val="single" w:sz="4" w:space="0" w:color="auto"/>
              <w:left w:val="single" w:sz="4" w:space="0" w:color="auto"/>
              <w:bottom w:val="single" w:sz="4" w:space="0" w:color="auto"/>
              <w:right w:val="single" w:sz="4" w:space="0" w:color="auto"/>
            </w:tcBorders>
            <w:hideMark/>
          </w:tcPr>
          <w:p w14:paraId="3B086BE5" w14:textId="77777777" w:rsidR="00B3234F" w:rsidRDefault="00B3234F" w:rsidP="00BD1F8C">
            <w:pPr>
              <w:pStyle w:val="TAN"/>
              <w:rPr>
                <w:rFonts w:eastAsia="SimSun" w:cs="Arial"/>
                <w:lang w:eastAsia="zh-CN"/>
              </w:rPr>
            </w:pPr>
            <w:r>
              <w:rPr>
                <w:rFonts w:cs="Arial"/>
              </w:rPr>
              <w:t>NOTE 1:</w:t>
            </w:r>
            <w:r>
              <w:rPr>
                <w:rFonts w:cs="Arial"/>
              </w:rPr>
              <w:tab/>
              <w:t xml:space="preserve">For an IAB-DU supporting </w:t>
            </w:r>
            <w:r>
              <w:rPr>
                <w:rFonts w:cs="Arial"/>
                <w:i/>
              </w:rPr>
              <w:t>non-contiguous spectrum</w:t>
            </w:r>
            <w:r>
              <w:rPr>
                <w:rFonts w:cs="Arial"/>
              </w:rPr>
              <w:t xml:space="preserve"> operation within any </w:t>
            </w:r>
            <w:r>
              <w:rPr>
                <w:rFonts w:cs="Arial"/>
                <w:i/>
              </w:rPr>
              <w:t>operating band</w:t>
            </w:r>
            <w:r>
              <w:rPr>
                <w:rFonts w:cs="Arial"/>
              </w:rPr>
              <w:t xml:space="preserve"> the emission limits within </w:t>
            </w:r>
            <w:r>
              <w:rPr>
                <w:rFonts w:cs="Arial"/>
                <w:i/>
              </w:rPr>
              <w:t>sub-block gaps</w:t>
            </w:r>
            <w:r>
              <w:rPr>
                <w:rFonts w:cs="Arial"/>
              </w:rPr>
              <w:t xml:space="preserve"> is calculated as a cumulative sum of contributions from adjacent </w:t>
            </w:r>
            <w:r>
              <w:rPr>
                <w:rFonts w:cs="v5.0.0"/>
                <w:i/>
              </w:rPr>
              <w:t>sub-blocks</w:t>
            </w:r>
            <w:r>
              <w:rPr>
                <w:rFonts w:cs="v5.0.0"/>
              </w:rPr>
              <w:t xml:space="preserve"> on each side of the </w:t>
            </w:r>
            <w:r>
              <w:rPr>
                <w:rFonts w:cs="v5.0.0"/>
                <w:i/>
              </w:rPr>
              <w:t>sub-block gap</w:t>
            </w:r>
            <w:r>
              <w:rPr>
                <w:rFonts w:cs="Arial"/>
              </w:rPr>
              <w:t xml:space="preserve">. Exception is </w:t>
            </w:r>
            <w:r>
              <w:rPr>
                <w:rFonts w:ascii="Symbol" w:hAnsi="Symbol" w:cs="Arial"/>
              </w:rPr>
              <w:t></w:t>
            </w:r>
            <w:r>
              <w:rPr>
                <w:rFonts w:cs="Arial"/>
              </w:rPr>
              <w:t xml:space="preserve">f ≥ 10MHz from both adjacent </w:t>
            </w:r>
            <w:r>
              <w:rPr>
                <w:rFonts w:cs="Arial"/>
                <w:i/>
              </w:rPr>
              <w:t>sub-blocks</w:t>
            </w:r>
            <w:r>
              <w:rPr>
                <w:rFonts w:cs="Arial"/>
              </w:rPr>
              <w:t xml:space="preserve"> on each side of the </w:t>
            </w:r>
            <w:r>
              <w:rPr>
                <w:rFonts w:cs="Arial"/>
                <w:i/>
              </w:rPr>
              <w:t>sub-block gap</w:t>
            </w:r>
            <w:r>
              <w:rPr>
                <w:rFonts w:cs="Arial"/>
              </w:rPr>
              <w:t xml:space="preserve">, where the emission limits within </w:t>
            </w:r>
            <w:r>
              <w:rPr>
                <w:rFonts w:cs="Arial"/>
                <w:i/>
              </w:rPr>
              <w:t>sub-block gaps</w:t>
            </w:r>
            <w:r>
              <w:rPr>
                <w:rFonts w:cs="Arial"/>
              </w:rPr>
              <w:t xml:space="preserve"> shall be </w:t>
            </w:r>
            <w:r>
              <w:rPr>
                <w:rFonts w:cs="Arial"/>
                <w:lang w:eastAsia="zh-CN"/>
              </w:rPr>
              <w:t>Min(P</w:t>
            </w:r>
            <w:r>
              <w:rPr>
                <w:rFonts w:cs="Arial"/>
                <w:vertAlign w:val="subscript"/>
                <w:lang w:eastAsia="zh-CN"/>
              </w:rPr>
              <w:t>rated,x</w:t>
            </w:r>
            <w:r>
              <w:rPr>
                <w:rFonts w:cs="Arial"/>
                <w:lang w:eastAsia="zh-CN"/>
              </w:rPr>
              <w:t xml:space="preserve"> -60dB, </w:t>
            </w:r>
            <w:r>
              <w:rPr>
                <w:rFonts w:cs="Arial"/>
                <w:lang w:eastAsia="zh-CN"/>
              </w:rPr>
              <w:noBreakHyphen/>
              <w:t>25dBm)</w:t>
            </w:r>
            <w:r>
              <w:rPr>
                <w:rFonts w:cs="Arial"/>
              </w:rPr>
              <w:t>/1</w:t>
            </w:r>
            <w:r>
              <w:rPr>
                <w:rFonts w:cs="Arial"/>
                <w:lang w:eastAsia="zh-CN"/>
              </w:rPr>
              <w:t>00k</w:t>
            </w:r>
            <w:r>
              <w:rPr>
                <w:rFonts w:cs="Arial"/>
              </w:rPr>
              <w:t>Hz.</w:t>
            </w:r>
          </w:p>
          <w:p w14:paraId="4D200708" w14:textId="77777777" w:rsidR="00B3234F" w:rsidRDefault="00B3234F" w:rsidP="00BD1F8C">
            <w:pPr>
              <w:pStyle w:val="TAN"/>
              <w:rPr>
                <w:rFonts w:cs="Arial"/>
              </w:rPr>
            </w:pPr>
            <w:r>
              <w:rPr>
                <w:rFonts w:cs="Arial"/>
              </w:rPr>
              <w:t>NOTE 2:</w:t>
            </w:r>
            <w:r>
              <w:rPr>
                <w:rFonts w:cs="Arial"/>
              </w:rPr>
              <w:tab/>
              <w:t xml:space="preserve">For a </w:t>
            </w:r>
            <w:r>
              <w:rPr>
                <w:rFonts w:cs="Arial"/>
                <w:i/>
              </w:rPr>
              <w:t>multi-band connector</w:t>
            </w:r>
            <w:r>
              <w:rPr>
                <w:rFonts w:cs="Arial"/>
              </w:rPr>
              <w:t xml:space="preserve"> with </w:t>
            </w:r>
            <w:r>
              <w:rPr>
                <w:rFonts w:cs="Arial"/>
                <w:i/>
              </w:rPr>
              <w:t>Inter RF Bandwidth gap</w:t>
            </w:r>
            <w:r>
              <w:rPr>
                <w:rFonts w:cs="Arial"/>
              </w:rPr>
              <w:t xml:space="preserve"> &lt; </w:t>
            </w:r>
            <w:r>
              <w:t>2*Δf</w:t>
            </w:r>
            <w:r>
              <w:rPr>
                <w:vertAlign w:val="subscript"/>
              </w:rPr>
              <w:t>OBUE</w:t>
            </w:r>
            <w:r>
              <w:rPr>
                <w:rFonts w:cs="Arial"/>
              </w:rPr>
              <w:t xml:space="preserve"> the emission limits within the </w:t>
            </w:r>
            <w:r>
              <w:rPr>
                <w:rFonts w:cs="Arial"/>
                <w:i/>
              </w:rPr>
              <w:t>Inter RF Bandwidth gaps</w:t>
            </w:r>
            <w:r>
              <w:rPr>
                <w:rFonts w:cs="Arial"/>
              </w:rPr>
              <w:t xml:space="preserve"> is calculated as a cumulative sum of contributions from adjacent </w:t>
            </w:r>
            <w:r>
              <w:rPr>
                <w:rFonts w:cs="Arial"/>
                <w:i/>
              </w:rPr>
              <w:t>sub-blocks</w:t>
            </w:r>
            <w:r>
              <w:rPr>
                <w:rFonts w:cs="Arial"/>
              </w:rPr>
              <w:t xml:space="preserve"> or RF Bandwidth on each side of the </w:t>
            </w:r>
            <w:r>
              <w:rPr>
                <w:rFonts w:cs="Arial"/>
                <w:i/>
              </w:rPr>
              <w:t>Inter RF Bandwidth gap</w:t>
            </w:r>
            <w:r>
              <w:rPr>
                <w:rFonts w:cs="Arial"/>
              </w:rPr>
              <w:t>.</w:t>
            </w:r>
          </w:p>
          <w:p w14:paraId="60BAABC0" w14:textId="77777777" w:rsidR="00B3234F" w:rsidRDefault="00B3234F" w:rsidP="00BD1F8C">
            <w:pPr>
              <w:pStyle w:val="TAN"/>
              <w:rPr>
                <w:rFonts w:cs="Arial"/>
              </w:rPr>
            </w:pPr>
            <w:r>
              <w:t>NOTE 3</w:t>
            </w:r>
            <w:r>
              <w:rPr>
                <w:lang w:eastAsia="zh-CN"/>
              </w:rPr>
              <w:t>:</w:t>
            </w:r>
            <w:r>
              <w:rPr>
                <w:lang w:eastAsia="zh-CN"/>
              </w:rPr>
              <w:tab/>
            </w:r>
            <w:r>
              <w:t xml:space="preserve">The requirement is not applicable when </w:t>
            </w:r>
            <w:r>
              <w:sym w:font="Symbol" w:char="F044"/>
            </w:r>
            <w:r>
              <w:t>f</w:t>
            </w:r>
            <w:r>
              <w:rPr>
                <w:vertAlign w:val="subscript"/>
              </w:rPr>
              <w:t>max</w:t>
            </w:r>
            <w:r>
              <w:t xml:space="preserve"> &lt; 10 MHz.</w:t>
            </w:r>
          </w:p>
        </w:tc>
      </w:tr>
    </w:tbl>
    <w:p w14:paraId="004F25A6" w14:textId="77777777" w:rsidR="00B3234F" w:rsidRDefault="00B3234F" w:rsidP="00B3234F">
      <w:pPr>
        <w:rPr>
          <w:lang w:eastAsia="zh-CN"/>
        </w:rPr>
      </w:pPr>
    </w:p>
    <w:p w14:paraId="77641077" w14:textId="77777777" w:rsidR="00B3234F" w:rsidRDefault="00B3234F" w:rsidP="00B3234F">
      <w:pPr>
        <w:pStyle w:val="TH"/>
      </w:pPr>
      <w:r>
        <w:lastRenderedPageBreak/>
        <w:t>Table 6.6.4.2.3-</w:t>
      </w:r>
      <w:r>
        <w:rPr>
          <w:rFonts w:eastAsia="SimSun"/>
          <w:lang w:eastAsia="zh-CN"/>
        </w:rPr>
        <w:t>2</w:t>
      </w:r>
      <w:r>
        <w:t>: Medium Range IAB-DU operating band unwanted emission limits</w:t>
      </w:r>
      <w:r>
        <w:rPr>
          <w:lang w:eastAsia="zh-CN"/>
        </w:rPr>
        <w:t xml:space="preserve">, </w:t>
      </w:r>
      <w:r>
        <w:rPr>
          <w:rFonts w:cs="v5.0.0"/>
          <w:bCs/>
        </w:rPr>
        <w:t>P</w:t>
      </w:r>
      <w:r>
        <w:rPr>
          <w:rFonts w:cs="v5.0.0"/>
          <w:bCs/>
          <w:vertAlign w:val="subscript"/>
        </w:rPr>
        <w:t>rated,x</w:t>
      </w:r>
      <w:r>
        <w:rPr>
          <w:rFonts w:cs="v5.0.0"/>
        </w:rPr>
        <w:t xml:space="preserve"> </w:t>
      </w:r>
      <w:r>
        <w:rPr>
          <w:rFonts w:cs="v5.0.0"/>
        </w:rPr>
        <w:sym w:font="Symbol" w:char="F0A3"/>
      </w:r>
      <w:r>
        <w:rPr>
          <w:rFonts w:cs="v5.0.0"/>
        </w:rPr>
        <w:t xml:space="preserve"> </w:t>
      </w:r>
      <w:r>
        <w:rPr>
          <w:rFonts w:cs="v5.0.0"/>
          <w:lang w:eastAsia="zh-CN"/>
        </w:rPr>
        <w:t>31</w:t>
      </w:r>
      <w:r>
        <w:rPr>
          <w:rFonts w:cs="v5.0.0"/>
        </w:rPr>
        <w:t xml:space="preserve"> dBm</w:t>
      </w:r>
    </w:p>
    <w:tbl>
      <w:tblPr>
        <w:tblW w:w="99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2977"/>
        <w:gridCol w:w="3456"/>
        <w:gridCol w:w="1430"/>
      </w:tblGrid>
      <w:tr w:rsidR="00B3234F" w14:paraId="77F42E7E" w14:textId="77777777" w:rsidTr="00BD1F8C">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54D8AA27" w14:textId="77777777" w:rsidR="00B3234F" w:rsidRDefault="00B3234F" w:rsidP="00BD1F8C">
            <w:pPr>
              <w:pStyle w:val="TAH"/>
              <w:rPr>
                <w:rFonts w:cs="Arial"/>
              </w:rPr>
            </w:pPr>
            <w:r>
              <w:rPr>
                <w:rFonts w:cs="Arial"/>
              </w:rPr>
              <w:t xml:space="preserve">Frequency offset of measurement filter </w:t>
            </w:r>
            <w:r>
              <w:rPr>
                <w:rFonts w:cs="Arial"/>
              </w:rPr>
              <w:noBreakHyphen/>
              <w:t xml:space="preserve">3dB point, </w:t>
            </w:r>
            <w:r>
              <w:rPr>
                <w:rFonts w:cs="Arial"/>
              </w:rPr>
              <w:sym w:font="Symbol" w:char="F044"/>
            </w:r>
            <w:r>
              <w:rPr>
                <w:rFonts w:cs="Arial"/>
              </w:rPr>
              <w:t>f</w:t>
            </w:r>
          </w:p>
        </w:tc>
        <w:tc>
          <w:tcPr>
            <w:tcW w:w="2976" w:type="dxa"/>
            <w:tcBorders>
              <w:top w:val="single" w:sz="4" w:space="0" w:color="auto"/>
              <w:left w:val="single" w:sz="4" w:space="0" w:color="auto"/>
              <w:bottom w:val="single" w:sz="4" w:space="0" w:color="auto"/>
              <w:right w:val="single" w:sz="4" w:space="0" w:color="auto"/>
            </w:tcBorders>
            <w:hideMark/>
          </w:tcPr>
          <w:p w14:paraId="17048B3D" w14:textId="77777777" w:rsidR="00B3234F" w:rsidRDefault="00B3234F" w:rsidP="00BD1F8C">
            <w:pPr>
              <w:pStyle w:val="TAH"/>
              <w:rPr>
                <w:rFonts w:cs="Arial"/>
              </w:rPr>
            </w:pPr>
            <w:r>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hideMark/>
          </w:tcPr>
          <w:p w14:paraId="245E5A4F" w14:textId="77777777" w:rsidR="00B3234F" w:rsidRDefault="00B3234F" w:rsidP="00BD1F8C">
            <w:pPr>
              <w:pStyle w:val="TAH"/>
              <w:rPr>
                <w:rFonts w:cs="Arial"/>
              </w:rPr>
            </w:pPr>
            <w:r>
              <w:rPr>
                <w:rFonts w:cs="v5.0.0"/>
                <w:i/>
                <w:lang w:eastAsia="zh-CN"/>
              </w:rPr>
              <w:t>Basic limits</w:t>
            </w:r>
            <w:r>
              <w:rPr>
                <w:rFonts w:cs="v5.0.0"/>
              </w:rPr>
              <w:t xml:space="preserve"> </w:t>
            </w:r>
            <w:r>
              <w:rPr>
                <w:rFonts w:cs="Arial"/>
              </w:rPr>
              <w:t>(Note 1, 2)</w:t>
            </w:r>
          </w:p>
        </w:tc>
        <w:tc>
          <w:tcPr>
            <w:tcW w:w="1430" w:type="dxa"/>
            <w:tcBorders>
              <w:top w:val="single" w:sz="4" w:space="0" w:color="auto"/>
              <w:left w:val="single" w:sz="4" w:space="0" w:color="auto"/>
              <w:bottom w:val="single" w:sz="4" w:space="0" w:color="auto"/>
              <w:right w:val="single" w:sz="4" w:space="0" w:color="auto"/>
            </w:tcBorders>
            <w:hideMark/>
          </w:tcPr>
          <w:p w14:paraId="52BB568D" w14:textId="77777777" w:rsidR="00B3234F" w:rsidRDefault="00B3234F" w:rsidP="00BD1F8C">
            <w:pPr>
              <w:pStyle w:val="TAH"/>
              <w:rPr>
                <w:rFonts w:eastAsia="SimSun" w:cs="Arial"/>
                <w:lang w:eastAsia="zh-CN"/>
              </w:rPr>
            </w:pPr>
            <w:r>
              <w:rPr>
                <w:rFonts w:cs="Arial"/>
                <w:i/>
              </w:rPr>
              <w:t xml:space="preserve">Measurement bandwidth </w:t>
            </w:r>
          </w:p>
        </w:tc>
      </w:tr>
      <w:tr w:rsidR="00B3234F" w14:paraId="2E7F490D" w14:textId="77777777" w:rsidTr="00BD1F8C">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6DA89EB8" w14:textId="77777777" w:rsidR="00B3234F" w:rsidRDefault="00B3234F" w:rsidP="00BD1F8C">
            <w:pPr>
              <w:pStyle w:val="TAC"/>
              <w:rPr>
                <w:rFonts w:cs="v5.0.0"/>
              </w:rPr>
            </w:pPr>
            <w:r>
              <w:rPr>
                <w:rFonts w:cs="v5.0.0"/>
              </w:rPr>
              <w:t xml:space="preserve">0 MHz </w:t>
            </w:r>
            <w:r>
              <w:rPr>
                <w:rFonts w:cs="v5.0.0"/>
              </w:rPr>
              <w:sym w:font="Symbol" w:char="F0A3"/>
            </w:r>
            <w:r>
              <w:rPr>
                <w:rFonts w:cs="v5.0.0"/>
              </w:rPr>
              <w:t xml:space="preserve"> </w:t>
            </w:r>
            <w:r>
              <w:rPr>
                <w:rFonts w:cs="v5.0.0"/>
              </w:rPr>
              <w:sym w:font="Symbol" w:char="F044"/>
            </w:r>
            <w:r>
              <w:rPr>
                <w:rFonts w:cs="v5.0.0"/>
              </w:rPr>
              <w:t>f &lt; 5 MHz</w:t>
            </w:r>
          </w:p>
        </w:tc>
        <w:tc>
          <w:tcPr>
            <w:tcW w:w="2976" w:type="dxa"/>
            <w:tcBorders>
              <w:top w:val="single" w:sz="4" w:space="0" w:color="auto"/>
              <w:left w:val="single" w:sz="4" w:space="0" w:color="auto"/>
              <w:bottom w:val="single" w:sz="4" w:space="0" w:color="auto"/>
              <w:right w:val="single" w:sz="4" w:space="0" w:color="auto"/>
            </w:tcBorders>
            <w:hideMark/>
          </w:tcPr>
          <w:p w14:paraId="78DDD7ED" w14:textId="77777777" w:rsidR="00B3234F" w:rsidRDefault="00B3234F" w:rsidP="00BD1F8C">
            <w:pPr>
              <w:pStyle w:val="TAC"/>
              <w:rPr>
                <w:rFonts w:cs="v5.0.0"/>
              </w:rPr>
            </w:pPr>
            <w:r>
              <w:rPr>
                <w:rFonts w:cs="v5.0.0"/>
              </w:rPr>
              <w:t xml:space="preserve">0.05 MHz </w:t>
            </w:r>
            <w:r>
              <w:rPr>
                <w:rFonts w:cs="v5.0.0"/>
              </w:rPr>
              <w:sym w:font="Symbol" w:char="F0A3"/>
            </w:r>
            <w:r>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hideMark/>
          </w:tcPr>
          <w:p w14:paraId="71B18C44" w14:textId="77777777" w:rsidR="00B3234F" w:rsidRDefault="00B3234F" w:rsidP="00BD1F8C">
            <w:pPr>
              <w:pStyle w:val="TAC"/>
              <w:rPr>
                <w:rFonts w:cs="v5.0.0"/>
              </w:rPr>
            </w:pPr>
            <w:r>
              <w:rPr>
                <w:rFonts w:cs="Arial"/>
                <w:position w:val="-28"/>
              </w:rPr>
              <w:object w:dxaOrig="2730" w:dyaOrig="585" w14:anchorId="597B570E">
                <v:shape id="_x0000_i1030" type="#_x0000_t75" style="width:135.7pt;height:28.25pt" o:ole="">
                  <v:imagedata r:id="rId26" o:title=""/>
                </v:shape>
                <o:OLEObject Type="Embed" ProgID="Equation.3" ShapeID="_x0000_i1030" DrawAspect="Content" ObjectID="_1734764412" r:id="rId27"/>
              </w:object>
            </w:r>
          </w:p>
        </w:tc>
        <w:tc>
          <w:tcPr>
            <w:tcW w:w="1430" w:type="dxa"/>
            <w:tcBorders>
              <w:top w:val="single" w:sz="4" w:space="0" w:color="auto"/>
              <w:left w:val="single" w:sz="4" w:space="0" w:color="auto"/>
              <w:bottom w:val="single" w:sz="4" w:space="0" w:color="auto"/>
              <w:right w:val="single" w:sz="4" w:space="0" w:color="auto"/>
            </w:tcBorders>
            <w:hideMark/>
          </w:tcPr>
          <w:p w14:paraId="435EFF91" w14:textId="77777777" w:rsidR="00B3234F" w:rsidRDefault="00B3234F" w:rsidP="00BD1F8C">
            <w:pPr>
              <w:pStyle w:val="TAC"/>
              <w:rPr>
                <w:rFonts w:cs="v5.0.0"/>
              </w:rPr>
            </w:pPr>
            <w:r>
              <w:rPr>
                <w:rFonts w:cs="v5.0.0"/>
              </w:rPr>
              <w:t xml:space="preserve">100 kHz </w:t>
            </w:r>
          </w:p>
        </w:tc>
      </w:tr>
      <w:tr w:rsidR="00B3234F" w14:paraId="43187251" w14:textId="77777777" w:rsidTr="00BD1F8C">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6422365C" w14:textId="77777777" w:rsidR="00B3234F" w:rsidRDefault="00B3234F" w:rsidP="00BD1F8C">
            <w:pPr>
              <w:pStyle w:val="TAC"/>
              <w:rPr>
                <w:rFonts w:cs="v5.0.0"/>
                <w:lang w:val="sv-SE"/>
              </w:rPr>
            </w:pPr>
            <w:r>
              <w:rPr>
                <w:rFonts w:cs="v5.0.0"/>
                <w:lang w:val="sv-SE"/>
              </w:rPr>
              <w:t xml:space="preserve">5 MHz </w:t>
            </w:r>
            <w:r>
              <w:rPr>
                <w:rFonts w:cs="v5.0.0"/>
              </w:rPr>
              <w:sym w:font="Symbol" w:char="F0A3"/>
            </w:r>
            <w:r>
              <w:rPr>
                <w:rFonts w:cs="v5.0.0"/>
                <w:lang w:val="sv-SE"/>
              </w:rPr>
              <w:t xml:space="preserve"> </w:t>
            </w:r>
            <w:r>
              <w:rPr>
                <w:rFonts w:cs="v5.0.0"/>
              </w:rPr>
              <w:sym w:font="Symbol" w:char="F044"/>
            </w:r>
            <w:r>
              <w:rPr>
                <w:rFonts w:cs="v5.0.0"/>
                <w:lang w:val="sv-SE"/>
              </w:rPr>
              <w:t xml:space="preserve">f &lt; </w:t>
            </w:r>
            <w:r>
              <w:rPr>
                <w:rFonts w:cs="Arial"/>
                <w:lang w:val="sv-SE"/>
              </w:rPr>
              <w:t xml:space="preserve">min(10 MHz, </w:t>
            </w:r>
            <w:r>
              <w:rPr>
                <w:rFonts w:cs="Arial"/>
              </w:rPr>
              <w:t>Δ</w:t>
            </w:r>
            <w:r>
              <w:rPr>
                <w:rFonts w:cs="Arial"/>
                <w:lang w:val="sv-SE"/>
              </w:rPr>
              <w:t>f</w:t>
            </w:r>
            <w:r>
              <w:rPr>
                <w:rFonts w:cs="Arial"/>
                <w:vertAlign w:val="subscript"/>
                <w:lang w:val="sv-SE" w:eastAsia="zh-CN"/>
              </w:rPr>
              <w:t>max</w:t>
            </w:r>
            <w:r>
              <w:rPr>
                <w:rFonts w:cs="Arial"/>
                <w:lang w:val="sv-SE" w:eastAsia="zh-CN"/>
              </w:rPr>
              <w:t>)</w:t>
            </w:r>
          </w:p>
        </w:tc>
        <w:tc>
          <w:tcPr>
            <w:tcW w:w="2976" w:type="dxa"/>
            <w:tcBorders>
              <w:top w:val="single" w:sz="4" w:space="0" w:color="auto"/>
              <w:left w:val="single" w:sz="4" w:space="0" w:color="auto"/>
              <w:bottom w:val="single" w:sz="4" w:space="0" w:color="auto"/>
              <w:right w:val="single" w:sz="4" w:space="0" w:color="auto"/>
            </w:tcBorders>
            <w:hideMark/>
          </w:tcPr>
          <w:p w14:paraId="0F8C61EF" w14:textId="77777777" w:rsidR="00B3234F" w:rsidRDefault="00B3234F" w:rsidP="00BD1F8C">
            <w:pPr>
              <w:pStyle w:val="TAC"/>
              <w:rPr>
                <w:rFonts w:cs="v5.0.0"/>
                <w:lang w:val="sv-SE"/>
              </w:rPr>
            </w:pPr>
            <w:r>
              <w:rPr>
                <w:rFonts w:cs="v5.0.0"/>
                <w:lang w:val="sv-SE"/>
              </w:rPr>
              <w:t xml:space="preserve">5.05 MHz </w:t>
            </w:r>
            <w:r>
              <w:rPr>
                <w:rFonts w:cs="v5.0.0"/>
              </w:rPr>
              <w:sym w:font="Symbol" w:char="F0A3"/>
            </w:r>
            <w:r>
              <w:rPr>
                <w:rFonts w:cs="v5.0.0"/>
                <w:lang w:val="sv-SE"/>
              </w:rPr>
              <w:t xml:space="preserve"> f_offset &lt; min(10.05 MHz, f_offset</w:t>
            </w:r>
            <w:r>
              <w:rPr>
                <w:rFonts w:cs="Arial"/>
                <w:vertAlign w:val="subscript"/>
                <w:lang w:val="sv-SE" w:eastAsia="zh-CN"/>
              </w:rPr>
              <w:t>max</w:t>
            </w:r>
            <w:r>
              <w:rPr>
                <w:rFonts w:cs="Arial"/>
                <w:lang w:val="sv-SE" w:eastAsia="zh-CN"/>
              </w:rPr>
              <w:t>)</w:t>
            </w:r>
          </w:p>
        </w:tc>
        <w:tc>
          <w:tcPr>
            <w:tcW w:w="3455" w:type="dxa"/>
            <w:tcBorders>
              <w:top w:val="single" w:sz="4" w:space="0" w:color="auto"/>
              <w:left w:val="single" w:sz="4" w:space="0" w:color="auto"/>
              <w:bottom w:val="single" w:sz="4" w:space="0" w:color="auto"/>
              <w:right w:val="single" w:sz="4" w:space="0" w:color="auto"/>
            </w:tcBorders>
            <w:hideMark/>
          </w:tcPr>
          <w:p w14:paraId="1795C0A1" w14:textId="77777777" w:rsidR="00B3234F" w:rsidRDefault="00B3234F" w:rsidP="00BD1F8C">
            <w:pPr>
              <w:pStyle w:val="TAC"/>
              <w:rPr>
                <w:rFonts w:cs="v5.0.0"/>
              </w:rPr>
            </w:pPr>
            <w:r>
              <w:rPr>
                <w:rFonts w:cs="Arial"/>
                <w:lang w:eastAsia="zh-CN"/>
              </w:rPr>
              <w:t>-29 dBm</w:t>
            </w:r>
          </w:p>
        </w:tc>
        <w:tc>
          <w:tcPr>
            <w:tcW w:w="1430" w:type="dxa"/>
            <w:tcBorders>
              <w:top w:val="single" w:sz="4" w:space="0" w:color="auto"/>
              <w:left w:val="single" w:sz="4" w:space="0" w:color="auto"/>
              <w:bottom w:val="single" w:sz="4" w:space="0" w:color="auto"/>
              <w:right w:val="single" w:sz="4" w:space="0" w:color="auto"/>
            </w:tcBorders>
            <w:hideMark/>
          </w:tcPr>
          <w:p w14:paraId="670B99CE" w14:textId="77777777" w:rsidR="00B3234F" w:rsidRDefault="00B3234F" w:rsidP="00BD1F8C">
            <w:pPr>
              <w:pStyle w:val="TAC"/>
              <w:rPr>
                <w:rFonts w:cs="v5.0.0"/>
              </w:rPr>
            </w:pPr>
            <w:r>
              <w:rPr>
                <w:rFonts w:cs="v5.0.0"/>
              </w:rPr>
              <w:t xml:space="preserve">100 kHz </w:t>
            </w:r>
          </w:p>
        </w:tc>
      </w:tr>
      <w:tr w:rsidR="00B3234F" w14:paraId="57D59749" w14:textId="77777777" w:rsidTr="00BD1F8C">
        <w:trPr>
          <w:cantSplit/>
          <w:jc w:val="center"/>
        </w:trPr>
        <w:tc>
          <w:tcPr>
            <w:tcW w:w="2127" w:type="dxa"/>
            <w:tcBorders>
              <w:top w:val="single" w:sz="4" w:space="0" w:color="auto"/>
              <w:left w:val="single" w:sz="4" w:space="0" w:color="auto"/>
              <w:bottom w:val="single" w:sz="4" w:space="0" w:color="auto"/>
              <w:right w:val="single" w:sz="4" w:space="0" w:color="auto"/>
            </w:tcBorders>
            <w:hideMark/>
          </w:tcPr>
          <w:p w14:paraId="1BE65848" w14:textId="77777777" w:rsidR="00B3234F" w:rsidRDefault="00B3234F" w:rsidP="00BD1F8C">
            <w:pPr>
              <w:pStyle w:val="TAC"/>
              <w:rPr>
                <w:rFonts w:cs="v5.0.0"/>
              </w:rPr>
            </w:pPr>
            <w:r>
              <w:rPr>
                <w:rFonts w:cs="v5.0.0"/>
              </w:rPr>
              <w:t xml:space="preserve">10 MHz </w:t>
            </w:r>
            <w:r>
              <w:rPr>
                <w:rFonts w:cs="v5.0.0"/>
              </w:rPr>
              <w:sym w:font="Symbol" w:char="F0A3"/>
            </w:r>
            <w:r>
              <w:rPr>
                <w:rFonts w:cs="v5.0.0"/>
              </w:rPr>
              <w:t xml:space="preserve"> </w:t>
            </w:r>
            <w:r>
              <w:rPr>
                <w:rFonts w:cs="v5.0.0"/>
              </w:rPr>
              <w:sym w:font="Symbol" w:char="F044"/>
            </w:r>
            <w:r>
              <w:rPr>
                <w:rFonts w:cs="v5.0.0"/>
              </w:rPr>
              <w:t xml:space="preserve">f </w:t>
            </w:r>
            <w:r>
              <w:rPr>
                <w:rFonts w:cs="v5.0.0"/>
              </w:rPr>
              <w:sym w:font="Symbol" w:char="F0A3"/>
            </w:r>
            <w:r>
              <w:rPr>
                <w:rFonts w:cs="v5.0.0"/>
              </w:rPr>
              <w:t xml:space="preserve"> </w:t>
            </w:r>
            <w:r>
              <w:rPr>
                <w:rFonts w:cs="v5.0.0"/>
              </w:rPr>
              <w:sym w:font="Symbol" w:char="F044"/>
            </w:r>
            <w:r>
              <w:rPr>
                <w:rFonts w:cs="v5.0.0"/>
              </w:rPr>
              <w:t>f</w:t>
            </w:r>
            <w:r>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hideMark/>
          </w:tcPr>
          <w:p w14:paraId="6ED5873D" w14:textId="77777777" w:rsidR="00B3234F" w:rsidRDefault="00B3234F" w:rsidP="00BD1F8C">
            <w:pPr>
              <w:pStyle w:val="TAC"/>
              <w:rPr>
                <w:rFonts w:cs="v5.0.0"/>
              </w:rPr>
            </w:pPr>
            <w:r>
              <w:rPr>
                <w:rFonts w:cs="v5.0.0"/>
              </w:rPr>
              <w:t xml:space="preserve">10.05 MHz </w:t>
            </w:r>
            <w:r>
              <w:rPr>
                <w:rFonts w:cs="v5.0.0"/>
              </w:rPr>
              <w:sym w:font="Symbol" w:char="F0A3"/>
            </w:r>
            <w:r>
              <w:rPr>
                <w:rFonts w:cs="v5.0.0"/>
              </w:rPr>
              <w:t xml:space="preserve"> f_offset &lt; f_offset</w:t>
            </w:r>
            <w:r>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hideMark/>
          </w:tcPr>
          <w:p w14:paraId="10B21B23" w14:textId="77777777" w:rsidR="00B3234F" w:rsidRDefault="00B3234F" w:rsidP="00BD1F8C">
            <w:pPr>
              <w:pStyle w:val="TAC"/>
              <w:rPr>
                <w:rFonts w:cs="v5.0.0"/>
              </w:rPr>
            </w:pPr>
            <w:r>
              <w:rPr>
                <w:rFonts w:cs="Arial"/>
                <w:lang w:eastAsia="zh-CN"/>
              </w:rPr>
              <w:t xml:space="preserve">-29 dBm (Note </w:t>
            </w:r>
            <w:r>
              <w:rPr>
                <w:rFonts w:eastAsia="SimSun" w:cs="Arial"/>
                <w:lang w:eastAsia="zh-CN"/>
              </w:rPr>
              <w:t>3</w:t>
            </w:r>
            <w:r>
              <w:rPr>
                <w:rFonts w:cs="Arial"/>
                <w:lang w:eastAsia="zh-CN"/>
              </w:rPr>
              <w:t>)</w:t>
            </w:r>
          </w:p>
        </w:tc>
        <w:tc>
          <w:tcPr>
            <w:tcW w:w="1430" w:type="dxa"/>
            <w:tcBorders>
              <w:top w:val="single" w:sz="4" w:space="0" w:color="auto"/>
              <w:left w:val="single" w:sz="4" w:space="0" w:color="auto"/>
              <w:bottom w:val="single" w:sz="4" w:space="0" w:color="auto"/>
              <w:right w:val="single" w:sz="4" w:space="0" w:color="auto"/>
            </w:tcBorders>
            <w:hideMark/>
          </w:tcPr>
          <w:p w14:paraId="1BC7B774" w14:textId="77777777" w:rsidR="00B3234F" w:rsidRDefault="00B3234F" w:rsidP="001F59DC">
            <w:pPr>
              <w:pStyle w:val="TAC"/>
              <w:rPr>
                <w:rFonts w:cs="v5.0.0"/>
                <w:lang w:eastAsia="zh-CN"/>
              </w:rPr>
            </w:pPr>
            <w:r>
              <w:t>100 kHz</w:t>
            </w:r>
          </w:p>
        </w:tc>
      </w:tr>
      <w:tr w:rsidR="00B3234F" w:rsidRPr="00AB3358" w14:paraId="4389D188" w14:textId="77777777" w:rsidTr="00BD1F8C">
        <w:trPr>
          <w:cantSplit/>
          <w:jc w:val="center"/>
        </w:trPr>
        <w:tc>
          <w:tcPr>
            <w:tcW w:w="9988" w:type="dxa"/>
            <w:gridSpan w:val="4"/>
            <w:tcBorders>
              <w:top w:val="single" w:sz="4" w:space="0" w:color="auto"/>
              <w:left w:val="single" w:sz="4" w:space="0" w:color="auto"/>
              <w:bottom w:val="single" w:sz="4" w:space="0" w:color="auto"/>
              <w:right w:val="single" w:sz="4" w:space="0" w:color="auto"/>
            </w:tcBorders>
            <w:hideMark/>
          </w:tcPr>
          <w:p w14:paraId="3819A390" w14:textId="77777777" w:rsidR="00B3234F" w:rsidRDefault="00B3234F" w:rsidP="00BD1F8C">
            <w:pPr>
              <w:pStyle w:val="TAN"/>
              <w:rPr>
                <w:rFonts w:eastAsia="SimSun" w:cs="Arial"/>
                <w:lang w:eastAsia="zh-CN"/>
              </w:rPr>
            </w:pPr>
            <w:r>
              <w:rPr>
                <w:rFonts w:cs="Arial"/>
              </w:rPr>
              <w:t>NOTE 1:</w:t>
            </w:r>
            <w:r>
              <w:rPr>
                <w:rFonts w:cs="Arial"/>
              </w:rPr>
              <w:tab/>
              <w:t xml:space="preserve">For an IAB-DU supporting </w:t>
            </w:r>
            <w:r>
              <w:rPr>
                <w:rFonts w:cs="Arial"/>
                <w:i/>
              </w:rPr>
              <w:t>non-contiguous spectrum</w:t>
            </w:r>
            <w:r>
              <w:rPr>
                <w:rFonts w:cs="Arial"/>
              </w:rPr>
              <w:t xml:space="preserve"> operation within any </w:t>
            </w:r>
            <w:r>
              <w:rPr>
                <w:rFonts w:cs="Arial"/>
                <w:i/>
              </w:rPr>
              <w:t>operating band</w:t>
            </w:r>
            <w:r>
              <w:rPr>
                <w:rFonts w:cs="Arial"/>
              </w:rPr>
              <w:t xml:space="preserve"> the emission limits within </w:t>
            </w:r>
            <w:r>
              <w:rPr>
                <w:rFonts w:cs="Arial"/>
                <w:i/>
              </w:rPr>
              <w:t>sub-block gaps</w:t>
            </w:r>
            <w:r>
              <w:rPr>
                <w:rFonts w:cs="Arial"/>
              </w:rPr>
              <w:t xml:space="preserve"> is calculated as a cumulative sum of contributions from adjacent </w:t>
            </w:r>
            <w:r>
              <w:rPr>
                <w:rFonts w:cs="v5.0.0"/>
                <w:i/>
              </w:rPr>
              <w:t>sub-blocks</w:t>
            </w:r>
            <w:r>
              <w:rPr>
                <w:rFonts w:cs="v5.0.0"/>
              </w:rPr>
              <w:t xml:space="preserve"> on each side of the </w:t>
            </w:r>
            <w:r>
              <w:rPr>
                <w:rFonts w:cs="v5.0.0"/>
                <w:i/>
              </w:rPr>
              <w:t>sub-block gap</w:t>
            </w:r>
            <w:r>
              <w:rPr>
                <w:rFonts w:cs="Arial"/>
              </w:rPr>
              <w:t xml:space="preserve">. Exception is </w:t>
            </w:r>
            <w:r>
              <w:rPr>
                <w:rFonts w:ascii="Symbol" w:hAnsi="Symbol" w:cs="Arial"/>
              </w:rPr>
              <w:t></w:t>
            </w:r>
            <w:r>
              <w:rPr>
                <w:rFonts w:cs="Arial"/>
              </w:rPr>
              <w:t xml:space="preserve">f ≥ 10MHz from both adjacent </w:t>
            </w:r>
            <w:r>
              <w:rPr>
                <w:rFonts w:cs="Arial"/>
                <w:i/>
              </w:rPr>
              <w:t>sub-blocks</w:t>
            </w:r>
            <w:r>
              <w:rPr>
                <w:rFonts w:cs="Arial"/>
              </w:rPr>
              <w:t xml:space="preserve"> on each side of the </w:t>
            </w:r>
            <w:r>
              <w:rPr>
                <w:rFonts w:cs="Arial"/>
                <w:i/>
              </w:rPr>
              <w:t>sub-block gap</w:t>
            </w:r>
            <w:r>
              <w:rPr>
                <w:rFonts w:cs="Arial"/>
              </w:rPr>
              <w:t xml:space="preserve">, where the emission limits within </w:t>
            </w:r>
            <w:r>
              <w:rPr>
                <w:rFonts w:cs="Arial"/>
                <w:i/>
              </w:rPr>
              <w:t>sub-block gaps</w:t>
            </w:r>
            <w:r>
              <w:rPr>
                <w:rFonts w:cs="Arial"/>
              </w:rPr>
              <w:t xml:space="preserve"> shall be -</w:t>
            </w:r>
            <w:r>
              <w:rPr>
                <w:rFonts w:cs="Arial"/>
                <w:lang w:eastAsia="zh-CN"/>
              </w:rPr>
              <w:t>29</w:t>
            </w:r>
            <w:r>
              <w:rPr>
                <w:rFonts w:cs="Arial"/>
              </w:rPr>
              <w:t>dBm/1</w:t>
            </w:r>
            <w:r>
              <w:rPr>
                <w:rFonts w:cs="Arial"/>
                <w:lang w:eastAsia="zh-CN"/>
              </w:rPr>
              <w:t>00k</w:t>
            </w:r>
            <w:r>
              <w:rPr>
                <w:rFonts w:cs="Arial"/>
              </w:rPr>
              <w:t>Hz.</w:t>
            </w:r>
          </w:p>
          <w:p w14:paraId="4AA48F32" w14:textId="77777777" w:rsidR="00B3234F" w:rsidRDefault="00B3234F" w:rsidP="00BD1F8C">
            <w:pPr>
              <w:pStyle w:val="TAN"/>
              <w:rPr>
                <w:rFonts w:eastAsia="SimSun" w:cs="Arial"/>
                <w:lang w:eastAsia="zh-CN"/>
              </w:rPr>
            </w:pPr>
            <w:r>
              <w:rPr>
                <w:rFonts w:cs="Arial"/>
              </w:rPr>
              <w:t>NOTE 2:</w:t>
            </w:r>
            <w:r>
              <w:rPr>
                <w:rFonts w:cs="Arial"/>
              </w:rPr>
              <w:tab/>
              <w:t xml:space="preserve">For a </w:t>
            </w:r>
            <w:r>
              <w:rPr>
                <w:rFonts w:cs="Arial"/>
                <w:i/>
              </w:rPr>
              <w:t>multi-band connector</w:t>
            </w:r>
            <w:r>
              <w:rPr>
                <w:rFonts w:cs="Arial"/>
              </w:rPr>
              <w:t xml:space="preserve"> with </w:t>
            </w:r>
            <w:r>
              <w:rPr>
                <w:rFonts w:cs="Arial"/>
                <w:i/>
              </w:rPr>
              <w:t>Inter RF Bandwidth gap</w:t>
            </w:r>
            <w:r>
              <w:rPr>
                <w:rFonts w:cs="Arial"/>
              </w:rPr>
              <w:t xml:space="preserve"> &lt; </w:t>
            </w:r>
            <w:r>
              <w:t>2*Δf</w:t>
            </w:r>
            <w:r>
              <w:rPr>
                <w:vertAlign w:val="subscript"/>
              </w:rPr>
              <w:t>OBUE</w:t>
            </w:r>
            <w:r>
              <w:rPr>
                <w:rFonts w:cs="Arial"/>
              </w:rPr>
              <w:t xml:space="preserve"> the emission limits within the </w:t>
            </w:r>
            <w:r>
              <w:rPr>
                <w:rFonts w:cs="Arial"/>
                <w:i/>
              </w:rPr>
              <w:t>Inter RF Bandwidth gaps</w:t>
            </w:r>
            <w:r>
              <w:rPr>
                <w:rFonts w:cs="Arial"/>
              </w:rPr>
              <w:t xml:space="preserve"> is calculated as a cumulative sum of contributions from adjacent </w:t>
            </w:r>
            <w:r>
              <w:rPr>
                <w:rFonts w:cs="Arial"/>
                <w:i/>
              </w:rPr>
              <w:t>sub-blocks</w:t>
            </w:r>
            <w:r>
              <w:rPr>
                <w:rFonts w:cs="Arial"/>
              </w:rPr>
              <w:t xml:space="preserve"> or RF Bandwidth on each side of the </w:t>
            </w:r>
            <w:r>
              <w:rPr>
                <w:rFonts w:cs="Arial"/>
                <w:i/>
              </w:rPr>
              <w:t>Inter RF Bandwidth gap</w:t>
            </w:r>
            <w:r>
              <w:rPr>
                <w:rFonts w:cs="Arial"/>
              </w:rPr>
              <w:t>.</w:t>
            </w:r>
          </w:p>
          <w:p w14:paraId="261660BC" w14:textId="77777777" w:rsidR="00B3234F" w:rsidRDefault="00B3234F" w:rsidP="00BD1F8C">
            <w:pPr>
              <w:pStyle w:val="TAN"/>
              <w:rPr>
                <w:rFonts w:cs="Arial"/>
              </w:rPr>
            </w:pPr>
            <w:r>
              <w:t>NOTE 3</w:t>
            </w:r>
            <w:r>
              <w:rPr>
                <w:lang w:eastAsia="zh-CN"/>
              </w:rPr>
              <w:t>:</w:t>
            </w:r>
            <w:r>
              <w:rPr>
                <w:lang w:eastAsia="zh-CN"/>
              </w:rPr>
              <w:tab/>
            </w:r>
            <w:r>
              <w:t xml:space="preserve">The requirement is not applicable when </w:t>
            </w:r>
            <w:r>
              <w:sym w:font="Symbol" w:char="F044"/>
            </w:r>
            <w:r>
              <w:t>f</w:t>
            </w:r>
            <w:r>
              <w:rPr>
                <w:vertAlign w:val="subscript"/>
              </w:rPr>
              <w:t>max</w:t>
            </w:r>
            <w:r>
              <w:t xml:space="preserve"> &lt; 10 MHz.</w:t>
            </w:r>
          </w:p>
        </w:tc>
      </w:tr>
    </w:tbl>
    <w:p w14:paraId="193821F4" w14:textId="77777777" w:rsidR="00B3234F" w:rsidRDefault="00B3234F" w:rsidP="00B3234F"/>
    <w:p w14:paraId="197B556D" w14:textId="77777777" w:rsidR="00B3234F" w:rsidRDefault="00B3234F" w:rsidP="00B3234F">
      <w:pPr>
        <w:pStyle w:val="Heading5"/>
      </w:pPr>
      <w:bookmarkStart w:id="2158" w:name="_Toc45893480"/>
      <w:bookmarkStart w:id="2159" w:name="_Toc44712167"/>
      <w:bookmarkStart w:id="2160" w:name="_Toc37267565"/>
      <w:bookmarkStart w:id="2161" w:name="_Toc37260177"/>
      <w:bookmarkStart w:id="2162" w:name="_Toc36817261"/>
      <w:bookmarkStart w:id="2163" w:name="_Toc29811709"/>
      <w:bookmarkStart w:id="2164" w:name="_Toc13080210"/>
      <w:bookmarkStart w:id="2165" w:name="_Toc53185370"/>
      <w:bookmarkStart w:id="2166" w:name="_Toc53185746"/>
      <w:bookmarkStart w:id="2167" w:name="_Toc57820222"/>
      <w:bookmarkStart w:id="2168" w:name="_Toc57821149"/>
      <w:bookmarkStart w:id="2169" w:name="_Toc61183425"/>
      <w:bookmarkStart w:id="2170" w:name="_Toc61183819"/>
      <w:bookmarkStart w:id="2171" w:name="_Toc61184211"/>
      <w:bookmarkStart w:id="2172" w:name="_Toc61184603"/>
      <w:bookmarkStart w:id="2173" w:name="_Toc61184993"/>
      <w:bookmarkStart w:id="2174" w:name="_Toc66386336"/>
      <w:bookmarkStart w:id="2175" w:name="_Toc74583177"/>
      <w:bookmarkStart w:id="2176" w:name="_Toc76541990"/>
      <w:bookmarkStart w:id="2177" w:name="_Toc82449972"/>
      <w:bookmarkStart w:id="2178" w:name="_Toc82450620"/>
      <w:bookmarkStart w:id="2179" w:name="_Toc89949009"/>
      <w:bookmarkStart w:id="2180" w:name="_Toc98755398"/>
      <w:bookmarkStart w:id="2181" w:name="_Toc98762989"/>
      <w:bookmarkStart w:id="2182" w:name="_Toc106183918"/>
      <w:r>
        <w:t>6.6.4.2.4</w:t>
      </w:r>
      <w:r>
        <w:tab/>
      </w:r>
      <w:r>
        <w:rPr>
          <w:i/>
        </w:rPr>
        <w:t>Basic limits</w:t>
      </w:r>
      <w:r>
        <w:t xml:space="preserve"> </w:t>
      </w:r>
      <w:r>
        <w:rPr>
          <w:lang w:eastAsia="zh-CN"/>
        </w:rPr>
        <w:t>for Local Area IAB-DU and Local Area IAB-MT (Category A and B)</w:t>
      </w:r>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p>
    <w:p w14:paraId="2B88EA86" w14:textId="76410280" w:rsidR="00B3234F" w:rsidRDefault="00B3234F" w:rsidP="00B3234F">
      <w:r>
        <w:t xml:space="preserve">For </w:t>
      </w:r>
      <w:r>
        <w:rPr>
          <w:lang w:eastAsia="zh-CN"/>
        </w:rPr>
        <w:t>Local Area</w:t>
      </w:r>
      <w:r>
        <w:t xml:space="preserve"> </w:t>
      </w:r>
      <w:r>
        <w:rPr>
          <w:lang w:eastAsia="zh-CN"/>
        </w:rPr>
        <w:t xml:space="preserve">IAB-DU and Local Area IAB-MT, </w:t>
      </w:r>
      <w:r>
        <w:rPr>
          <w:i/>
        </w:rPr>
        <w:t>basic limits</w:t>
      </w:r>
      <w:r>
        <w:t xml:space="preserve"> are specified in table 6.6.4.2.4</w:t>
      </w:r>
      <w:r>
        <w:rPr>
          <w:lang w:eastAsia="zh-CN"/>
        </w:rPr>
        <w:t>-</w:t>
      </w:r>
      <w:r>
        <w:t>1.</w:t>
      </w:r>
    </w:p>
    <w:p w14:paraId="3709DF69" w14:textId="77777777" w:rsidR="006378CF" w:rsidRDefault="006378CF" w:rsidP="00B3234F"/>
    <w:p w14:paraId="3E99EBCC" w14:textId="77777777" w:rsidR="00B3234F" w:rsidRDefault="00B3234F" w:rsidP="00B3234F">
      <w:pPr>
        <w:pStyle w:val="TH"/>
        <w:rPr>
          <w:rFonts w:cs="v5.0.0"/>
        </w:rPr>
      </w:pPr>
      <w:r>
        <w:t xml:space="preserve">Table </w:t>
      </w:r>
      <w:r>
        <w:rPr>
          <w:rFonts w:cs="v5.0.0"/>
        </w:rPr>
        <w:t>6.6.4.2.4</w:t>
      </w:r>
      <w:r>
        <w:rPr>
          <w:rFonts w:cs="v5.0.0"/>
          <w:lang w:eastAsia="zh-CN"/>
        </w:rPr>
        <w:t>-</w:t>
      </w:r>
      <w:r>
        <w:rPr>
          <w:rFonts w:eastAsia="SimSun"/>
          <w:lang w:eastAsia="zh-CN"/>
        </w:rPr>
        <w:t>1</w:t>
      </w:r>
      <w:r>
        <w:t>: Local Area IAB-DU and Local Area IAB-MT operating band unwanted emission limits</w:t>
      </w:r>
    </w:p>
    <w:tbl>
      <w:tblPr>
        <w:tblW w:w="9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2975"/>
        <w:gridCol w:w="3454"/>
        <w:gridCol w:w="1429"/>
      </w:tblGrid>
      <w:tr w:rsidR="00B3234F" w14:paraId="4CBCD507"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31F7D823" w14:textId="77777777" w:rsidR="00B3234F" w:rsidRDefault="00B3234F" w:rsidP="00BD1F8C">
            <w:pPr>
              <w:pStyle w:val="TAH"/>
              <w:rPr>
                <w:rFonts w:cs="v5.0.0"/>
              </w:rPr>
            </w:pPr>
            <w:r>
              <w:rPr>
                <w:rFonts w:cs="v5.0.0"/>
              </w:rPr>
              <w:t xml:space="preserve">Frequency offset of measurement filter </w:t>
            </w:r>
            <w:r>
              <w:rPr>
                <w:rFonts w:cs="v5.0.0"/>
              </w:rPr>
              <w:noBreakHyphen/>
              <w:t xml:space="preserve">3dB point, </w:t>
            </w:r>
            <w:r>
              <w:rPr>
                <w:rFonts w:cs="v5.0.0"/>
              </w:rPr>
              <w:sym w:font="Symbol" w:char="F044"/>
            </w:r>
            <w:r>
              <w:rPr>
                <w:rFonts w:cs="v5.0.0"/>
              </w:rPr>
              <w:t>f</w:t>
            </w:r>
          </w:p>
        </w:tc>
        <w:tc>
          <w:tcPr>
            <w:tcW w:w="2976" w:type="dxa"/>
            <w:tcBorders>
              <w:top w:val="single" w:sz="4" w:space="0" w:color="auto"/>
              <w:left w:val="single" w:sz="4" w:space="0" w:color="auto"/>
              <w:bottom w:val="single" w:sz="4" w:space="0" w:color="auto"/>
              <w:right w:val="single" w:sz="4" w:space="0" w:color="auto"/>
            </w:tcBorders>
            <w:hideMark/>
          </w:tcPr>
          <w:p w14:paraId="0C2B8731" w14:textId="77777777" w:rsidR="00B3234F" w:rsidRDefault="00B3234F" w:rsidP="00BD1F8C">
            <w:pPr>
              <w:pStyle w:val="TAH"/>
              <w:rPr>
                <w:rFonts w:cs="v5.0.0"/>
              </w:rPr>
            </w:pPr>
            <w:r>
              <w:rPr>
                <w:rFonts w:cs="v5.0.0"/>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hideMark/>
          </w:tcPr>
          <w:p w14:paraId="7CEE196C" w14:textId="77777777" w:rsidR="00B3234F" w:rsidRDefault="00B3234F" w:rsidP="00BD1F8C">
            <w:pPr>
              <w:pStyle w:val="TAH"/>
              <w:rPr>
                <w:rFonts w:cs="v5.0.0"/>
              </w:rPr>
            </w:pPr>
            <w:r>
              <w:rPr>
                <w:rFonts w:cs="v5.0.0"/>
                <w:i/>
                <w:lang w:eastAsia="zh-CN"/>
              </w:rPr>
              <w:t>Basic limits</w:t>
            </w:r>
            <w:r>
              <w:rPr>
                <w:rFonts w:cs="v5.0.0"/>
              </w:rPr>
              <w:t xml:space="preserve"> (Note 1</w:t>
            </w:r>
            <w:r>
              <w:rPr>
                <w:rFonts w:cs="Arial"/>
              </w:rPr>
              <w:t>, 2</w:t>
            </w:r>
            <w:r>
              <w:rPr>
                <w:rFonts w:cs="v5.0.0"/>
              </w:rPr>
              <w:t>)</w:t>
            </w:r>
          </w:p>
        </w:tc>
        <w:tc>
          <w:tcPr>
            <w:tcW w:w="1430" w:type="dxa"/>
            <w:tcBorders>
              <w:top w:val="single" w:sz="4" w:space="0" w:color="auto"/>
              <w:left w:val="single" w:sz="4" w:space="0" w:color="auto"/>
              <w:bottom w:val="single" w:sz="4" w:space="0" w:color="auto"/>
              <w:right w:val="single" w:sz="4" w:space="0" w:color="auto"/>
            </w:tcBorders>
            <w:hideMark/>
          </w:tcPr>
          <w:p w14:paraId="55522E08" w14:textId="77777777" w:rsidR="00B3234F" w:rsidRDefault="00B3234F" w:rsidP="00BD1F8C">
            <w:pPr>
              <w:pStyle w:val="TAH"/>
              <w:rPr>
                <w:rFonts w:eastAsia="SimSun" w:cs="v5.0.0"/>
                <w:lang w:eastAsia="zh-CN"/>
              </w:rPr>
            </w:pPr>
            <w:r>
              <w:rPr>
                <w:rFonts w:cs="v5.0.0"/>
                <w:i/>
              </w:rPr>
              <w:t xml:space="preserve">Measurement bandwidth </w:t>
            </w:r>
          </w:p>
        </w:tc>
      </w:tr>
      <w:tr w:rsidR="00B3234F" w14:paraId="68DCC14C"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03454B82" w14:textId="77777777" w:rsidR="00B3234F" w:rsidRDefault="00B3234F" w:rsidP="00BD1F8C">
            <w:pPr>
              <w:pStyle w:val="TAC"/>
              <w:rPr>
                <w:rFonts w:cs="v5.0.0"/>
              </w:rPr>
            </w:pPr>
            <w:r>
              <w:rPr>
                <w:rFonts w:cs="v5.0.0"/>
              </w:rPr>
              <w:t xml:space="preserve">0 </w:t>
            </w:r>
            <w:r>
              <w:rPr>
                <w:rFonts w:cs="Arial"/>
              </w:rPr>
              <w:t xml:space="preserve">MHz </w:t>
            </w:r>
            <w:r>
              <w:rPr>
                <w:rFonts w:cs="v5.0.0"/>
              </w:rPr>
              <w:sym w:font="Symbol" w:char="F0A3"/>
            </w:r>
            <w:r>
              <w:rPr>
                <w:rFonts w:cs="v5.0.0"/>
              </w:rPr>
              <w:t xml:space="preserve"> </w:t>
            </w:r>
            <w:r>
              <w:rPr>
                <w:rFonts w:cs="v5.0.0"/>
              </w:rPr>
              <w:sym w:font="Symbol" w:char="F044"/>
            </w:r>
            <w:r>
              <w:rPr>
                <w:rFonts w:cs="v5.0.0"/>
              </w:rPr>
              <w:t>f &lt; 5 MHz</w:t>
            </w:r>
          </w:p>
        </w:tc>
        <w:tc>
          <w:tcPr>
            <w:tcW w:w="2976" w:type="dxa"/>
            <w:tcBorders>
              <w:top w:val="single" w:sz="4" w:space="0" w:color="auto"/>
              <w:left w:val="single" w:sz="4" w:space="0" w:color="auto"/>
              <w:bottom w:val="single" w:sz="4" w:space="0" w:color="auto"/>
              <w:right w:val="single" w:sz="4" w:space="0" w:color="auto"/>
            </w:tcBorders>
            <w:hideMark/>
          </w:tcPr>
          <w:p w14:paraId="146E652A" w14:textId="77777777" w:rsidR="00B3234F" w:rsidRDefault="00B3234F" w:rsidP="00BD1F8C">
            <w:pPr>
              <w:pStyle w:val="TAC"/>
              <w:rPr>
                <w:rFonts w:cs="v5.0.0"/>
              </w:rPr>
            </w:pPr>
            <w:r>
              <w:rPr>
                <w:rFonts w:cs="v5.0.0"/>
              </w:rPr>
              <w:t xml:space="preserve">0.05 MHz </w:t>
            </w:r>
            <w:r>
              <w:rPr>
                <w:rFonts w:cs="v5.0.0"/>
              </w:rPr>
              <w:sym w:font="Symbol" w:char="F0A3"/>
            </w:r>
            <w:r>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hideMark/>
          </w:tcPr>
          <w:p w14:paraId="6A2BB2CE" w14:textId="77777777" w:rsidR="00B3234F" w:rsidRDefault="00B3234F" w:rsidP="00BD1F8C">
            <w:pPr>
              <w:pStyle w:val="TAC"/>
              <w:rPr>
                <w:rFonts w:cs="Arial"/>
              </w:rPr>
            </w:pPr>
            <w:r>
              <w:rPr>
                <w:rFonts w:cs="Arial"/>
                <w:position w:val="-28"/>
              </w:rPr>
              <w:object w:dxaOrig="3045" w:dyaOrig="585" w14:anchorId="6BC7A3A7">
                <v:shape id="_x0000_i1031" type="#_x0000_t75" style="width:151.75pt;height:28.25pt" o:ole="">
                  <v:imagedata r:id="rId28" o:title=""/>
                </v:shape>
                <o:OLEObject Type="Embed" ProgID="Equation.3" ShapeID="_x0000_i1031" DrawAspect="Content" ObjectID="_1734764413" r:id="rId29"/>
              </w:object>
            </w:r>
          </w:p>
        </w:tc>
        <w:tc>
          <w:tcPr>
            <w:tcW w:w="1430" w:type="dxa"/>
            <w:tcBorders>
              <w:top w:val="single" w:sz="4" w:space="0" w:color="auto"/>
              <w:left w:val="single" w:sz="4" w:space="0" w:color="auto"/>
              <w:bottom w:val="single" w:sz="4" w:space="0" w:color="auto"/>
              <w:right w:val="single" w:sz="4" w:space="0" w:color="auto"/>
            </w:tcBorders>
            <w:hideMark/>
          </w:tcPr>
          <w:p w14:paraId="297782AC" w14:textId="77777777" w:rsidR="00B3234F" w:rsidRDefault="00B3234F" w:rsidP="00BD1F8C">
            <w:pPr>
              <w:pStyle w:val="TAC"/>
              <w:rPr>
                <w:rFonts w:cs="Arial"/>
              </w:rPr>
            </w:pPr>
            <w:r>
              <w:rPr>
                <w:rFonts w:cs="Arial"/>
              </w:rPr>
              <w:t xml:space="preserve">100 kHz </w:t>
            </w:r>
          </w:p>
        </w:tc>
      </w:tr>
      <w:tr w:rsidR="00B3234F" w14:paraId="126C2723"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77F05F04" w14:textId="77777777" w:rsidR="00B3234F" w:rsidRDefault="00B3234F" w:rsidP="00BD1F8C">
            <w:pPr>
              <w:pStyle w:val="TAC"/>
              <w:rPr>
                <w:rFonts w:cs="v5.0.0"/>
                <w:lang w:val="sv-SE"/>
              </w:rPr>
            </w:pPr>
            <w:r>
              <w:rPr>
                <w:rFonts w:cs="v5.0.0"/>
                <w:lang w:val="sv-SE"/>
              </w:rPr>
              <w:t xml:space="preserve">5 </w:t>
            </w:r>
            <w:r>
              <w:rPr>
                <w:rFonts w:cs="Arial"/>
                <w:lang w:val="sv-SE"/>
              </w:rPr>
              <w:t xml:space="preserve">MHz </w:t>
            </w:r>
            <w:r>
              <w:rPr>
                <w:rFonts w:cs="v5.0.0"/>
              </w:rPr>
              <w:sym w:font="Symbol" w:char="F0A3"/>
            </w:r>
            <w:r>
              <w:rPr>
                <w:rFonts w:cs="v5.0.0"/>
                <w:lang w:val="sv-SE"/>
              </w:rPr>
              <w:t xml:space="preserve"> </w:t>
            </w:r>
            <w:r>
              <w:rPr>
                <w:rFonts w:cs="v5.0.0"/>
              </w:rPr>
              <w:sym w:font="Symbol" w:char="F044"/>
            </w:r>
            <w:r>
              <w:rPr>
                <w:rFonts w:cs="v5.0.0"/>
                <w:lang w:val="sv-SE"/>
              </w:rPr>
              <w:t xml:space="preserve">f &lt; </w:t>
            </w:r>
            <w:r>
              <w:rPr>
                <w:rFonts w:cs="v5.0.0"/>
                <w:lang w:val="sv-SE" w:eastAsia="zh-CN"/>
              </w:rPr>
              <w:t>min(</w:t>
            </w:r>
            <w:r>
              <w:rPr>
                <w:rFonts w:cs="v5.0.0"/>
                <w:lang w:val="sv-SE"/>
              </w:rPr>
              <w:t>10 MHz</w:t>
            </w:r>
            <w:r>
              <w:rPr>
                <w:rFonts w:cs="v5.0.0"/>
                <w:lang w:val="sv-SE" w:eastAsia="zh-CN"/>
              </w:rPr>
              <w:t xml:space="preserve">, </w:t>
            </w:r>
            <w:r>
              <w:rPr>
                <w:rFonts w:cs="v5.0.0"/>
                <w:lang w:eastAsia="zh-CN"/>
              </w:rPr>
              <w:t>Δ</w:t>
            </w:r>
            <w:r>
              <w:rPr>
                <w:rFonts w:cs="v5.0.0"/>
                <w:lang w:val="sv-SE" w:eastAsia="zh-CN"/>
              </w:rPr>
              <w:t>f</w:t>
            </w:r>
            <w:r>
              <w:rPr>
                <w:rFonts w:cs="v5.0.0"/>
                <w:vertAlign w:val="subscript"/>
                <w:lang w:val="sv-SE" w:eastAsia="zh-CN"/>
              </w:rPr>
              <w:t>max</w:t>
            </w:r>
            <w:r>
              <w:rPr>
                <w:rFonts w:cs="v5.0.0"/>
                <w:lang w:val="sv-SE" w:eastAsia="zh-CN"/>
              </w:rPr>
              <w:t>)</w:t>
            </w:r>
          </w:p>
        </w:tc>
        <w:tc>
          <w:tcPr>
            <w:tcW w:w="2976" w:type="dxa"/>
            <w:tcBorders>
              <w:top w:val="single" w:sz="4" w:space="0" w:color="auto"/>
              <w:left w:val="single" w:sz="4" w:space="0" w:color="auto"/>
              <w:bottom w:val="single" w:sz="4" w:space="0" w:color="auto"/>
              <w:right w:val="single" w:sz="4" w:space="0" w:color="auto"/>
            </w:tcBorders>
            <w:hideMark/>
          </w:tcPr>
          <w:p w14:paraId="5B7A178F" w14:textId="77777777" w:rsidR="00B3234F" w:rsidRDefault="00B3234F" w:rsidP="00BD1F8C">
            <w:pPr>
              <w:pStyle w:val="TAC"/>
              <w:rPr>
                <w:rFonts w:cs="v5.0.0"/>
                <w:lang w:val="sv-SE"/>
              </w:rPr>
            </w:pPr>
            <w:r>
              <w:rPr>
                <w:rFonts w:cs="v5.0.0"/>
                <w:lang w:val="sv-SE"/>
              </w:rPr>
              <w:t xml:space="preserve">5.05 MHz </w:t>
            </w:r>
            <w:r>
              <w:rPr>
                <w:rFonts w:cs="v5.0.0"/>
              </w:rPr>
              <w:sym w:font="Symbol" w:char="F0A3"/>
            </w:r>
            <w:r>
              <w:rPr>
                <w:rFonts w:cs="v5.0.0"/>
                <w:lang w:val="sv-SE"/>
              </w:rPr>
              <w:t xml:space="preserve"> f_offset &lt; </w:t>
            </w:r>
            <w:r>
              <w:rPr>
                <w:rFonts w:cs="v5.0.0"/>
                <w:lang w:val="sv-SE" w:eastAsia="zh-CN"/>
              </w:rPr>
              <w:t>min(</w:t>
            </w:r>
            <w:r>
              <w:rPr>
                <w:rFonts w:cs="v5.0.0"/>
                <w:lang w:val="sv-SE"/>
              </w:rPr>
              <w:t>10.05 MHz</w:t>
            </w:r>
            <w:r>
              <w:rPr>
                <w:rFonts w:cs="v5.0.0"/>
                <w:lang w:val="sv-SE" w:eastAsia="zh-CN"/>
              </w:rPr>
              <w:t>, f_offset</w:t>
            </w:r>
            <w:r>
              <w:rPr>
                <w:rFonts w:cs="v5.0.0"/>
                <w:vertAlign w:val="subscript"/>
                <w:lang w:val="sv-SE" w:eastAsia="zh-CN"/>
              </w:rPr>
              <w:t>max</w:t>
            </w:r>
            <w:r>
              <w:rPr>
                <w:rFonts w:cs="v5.0.0"/>
                <w:lang w:val="sv-SE" w:eastAsia="zh-CN"/>
              </w:rPr>
              <w:t>)</w:t>
            </w:r>
          </w:p>
        </w:tc>
        <w:tc>
          <w:tcPr>
            <w:tcW w:w="3455" w:type="dxa"/>
            <w:tcBorders>
              <w:top w:val="single" w:sz="4" w:space="0" w:color="auto"/>
              <w:left w:val="single" w:sz="4" w:space="0" w:color="auto"/>
              <w:bottom w:val="single" w:sz="4" w:space="0" w:color="auto"/>
              <w:right w:val="single" w:sz="4" w:space="0" w:color="auto"/>
            </w:tcBorders>
            <w:hideMark/>
          </w:tcPr>
          <w:p w14:paraId="75E6B392" w14:textId="77777777" w:rsidR="00B3234F" w:rsidRDefault="00B3234F" w:rsidP="00BD1F8C">
            <w:pPr>
              <w:pStyle w:val="TAC"/>
              <w:rPr>
                <w:rFonts w:cs="Arial"/>
              </w:rPr>
            </w:pPr>
            <w:r>
              <w:rPr>
                <w:rFonts w:cs="Arial"/>
              </w:rPr>
              <w:t>-</w:t>
            </w:r>
            <w:r>
              <w:rPr>
                <w:rFonts w:cs="Arial"/>
                <w:lang w:eastAsia="zh-CN"/>
              </w:rPr>
              <w:t>37</w:t>
            </w:r>
            <w:r>
              <w:rPr>
                <w:rFonts w:cs="Arial"/>
              </w:rPr>
              <w:t xml:space="preserve"> dBm</w:t>
            </w:r>
          </w:p>
        </w:tc>
        <w:tc>
          <w:tcPr>
            <w:tcW w:w="1430" w:type="dxa"/>
            <w:tcBorders>
              <w:top w:val="single" w:sz="4" w:space="0" w:color="auto"/>
              <w:left w:val="single" w:sz="4" w:space="0" w:color="auto"/>
              <w:bottom w:val="single" w:sz="4" w:space="0" w:color="auto"/>
              <w:right w:val="single" w:sz="4" w:space="0" w:color="auto"/>
            </w:tcBorders>
            <w:hideMark/>
          </w:tcPr>
          <w:p w14:paraId="2E83D416" w14:textId="77777777" w:rsidR="00B3234F" w:rsidRDefault="00B3234F" w:rsidP="00BD1F8C">
            <w:pPr>
              <w:pStyle w:val="TAC"/>
              <w:rPr>
                <w:rFonts w:cs="Arial"/>
              </w:rPr>
            </w:pPr>
            <w:r>
              <w:rPr>
                <w:rFonts w:cs="Arial"/>
              </w:rPr>
              <w:t xml:space="preserve">100 kHz </w:t>
            </w:r>
          </w:p>
        </w:tc>
      </w:tr>
      <w:tr w:rsidR="00B3234F" w14:paraId="2F9BB291" w14:textId="77777777" w:rsidTr="00BD1F8C">
        <w:trPr>
          <w:cantSplit/>
          <w:jc w:val="center"/>
        </w:trPr>
        <w:tc>
          <w:tcPr>
            <w:tcW w:w="1953" w:type="dxa"/>
            <w:tcBorders>
              <w:top w:val="single" w:sz="4" w:space="0" w:color="auto"/>
              <w:left w:val="single" w:sz="4" w:space="0" w:color="auto"/>
              <w:bottom w:val="single" w:sz="4" w:space="0" w:color="auto"/>
              <w:right w:val="single" w:sz="4" w:space="0" w:color="auto"/>
            </w:tcBorders>
            <w:hideMark/>
          </w:tcPr>
          <w:p w14:paraId="5A2626B5" w14:textId="77777777" w:rsidR="00B3234F" w:rsidRDefault="00B3234F" w:rsidP="00BD1F8C">
            <w:pPr>
              <w:pStyle w:val="TAC"/>
              <w:rPr>
                <w:rFonts w:cs="v5.0.0"/>
              </w:rPr>
            </w:pPr>
            <w:r>
              <w:rPr>
                <w:rFonts w:cs="v5.0.0"/>
              </w:rPr>
              <w:t xml:space="preserve">10 MHz </w:t>
            </w:r>
            <w:r>
              <w:rPr>
                <w:rFonts w:cs="v5.0.0"/>
              </w:rPr>
              <w:sym w:font="Symbol" w:char="F0A3"/>
            </w:r>
            <w:r>
              <w:rPr>
                <w:rFonts w:cs="v5.0.0"/>
              </w:rPr>
              <w:t xml:space="preserve"> </w:t>
            </w:r>
            <w:r>
              <w:rPr>
                <w:rFonts w:cs="v5.0.0"/>
              </w:rPr>
              <w:sym w:font="Symbol" w:char="F044"/>
            </w:r>
            <w:r>
              <w:rPr>
                <w:rFonts w:cs="v5.0.0"/>
              </w:rPr>
              <w:t xml:space="preserve">f </w:t>
            </w:r>
            <w:r>
              <w:rPr>
                <w:rFonts w:cs="Arial"/>
              </w:rPr>
              <w:sym w:font="Symbol" w:char="F0A3"/>
            </w:r>
            <w:r>
              <w:rPr>
                <w:rFonts w:cs="Arial"/>
              </w:rPr>
              <w:t xml:space="preserve"> </w:t>
            </w:r>
            <w:r>
              <w:rPr>
                <w:rFonts w:cs="Arial"/>
              </w:rPr>
              <w:sym w:font="Symbol" w:char="F044"/>
            </w:r>
            <w:r>
              <w:rPr>
                <w:rFonts w:cs="Arial"/>
              </w:rPr>
              <w:t>f</w:t>
            </w:r>
            <w:r>
              <w:rPr>
                <w:rFonts w:cs="Arial"/>
                <w:vertAlign w:val="subscript"/>
              </w:rPr>
              <w:t>max</w:t>
            </w:r>
          </w:p>
        </w:tc>
        <w:tc>
          <w:tcPr>
            <w:tcW w:w="2976" w:type="dxa"/>
            <w:tcBorders>
              <w:top w:val="single" w:sz="4" w:space="0" w:color="auto"/>
              <w:left w:val="single" w:sz="4" w:space="0" w:color="auto"/>
              <w:bottom w:val="single" w:sz="4" w:space="0" w:color="auto"/>
              <w:right w:val="single" w:sz="4" w:space="0" w:color="auto"/>
            </w:tcBorders>
            <w:hideMark/>
          </w:tcPr>
          <w:p w14:paraId="04A7C20D" w14:textId="77777777" w:rsidR="00B3234F" w:rsidRDefault="00B3234F" w:rsidP="00BD1F8C">
            <w:pPr>
              <w:pStyle w:val="TAC"/>
              <w:rPr>
                <w:rFonts w:cs="v5.0.0"/>
              </w:rPr>
            </w:pPr>
            <w:r>
              <w:rPr>
                <w:rFonts w:cs="v5.0.0"/>
              </w:rPr>
              <w:t xml:space="preserve">10.05 MHz </w:t>
            </w:r>
            <w:r>
              <w:rPr>
                <w:rFonts w:cs="v5.0.0"/>
              </w:rPr>
              <w:sym w:font="Symbol" w:char="F0A3"/>
            </w:r>
            <w:r>
              <w:rPr>
                <w:rFonts w:cs="v5.0.0"/>
              </w:rPr>
              <w:t xml:space="preserve"> f_offset &lt; f_offset</w:t>
            </w:r>
            <w:r>
              <w:rPr>
                <w:rFonts w:cs="v5.0.0"/>
                <w:vertAlign w:val="subscript"/>
              </w:rPr>
              <w:t>max</w:t>
            </w:r>
            <w:r>
              <w:rPr>
                <w:rFonts w:cs="v5.0.0"/>
              </w:rPr>
              <w:t xml:space="preserve"> </w:t>
            </w:r>
          </w:p>
        </w:tc>
        <w:tc>
          <w:tcPr>
            <w:tcW w:w="3455" w:type="dxa"/>
            <w:tcBorders>
              <w:top w:val="single" w:sz="4" w:space="0" w:color="auto"/>
              <w:left w:val="single" w:sz="4" w:space="0" w:color="auto"/>
              <w:bottom w:val="single" w:sz="4" w:space="0" w:color="auto"/>
              <w:right w:val="single" w:sz="4" w:space="0" w:color="auto"/>
            </w:tcBorders>
            <w:hideMark/>
          </w:tcPr>
          <w:p w14:paraId="32CC2D76" w14:textId="77777777" w:rsidR="00B3234F" w:rsidRDefault="00B3234F" w:rsidP="00BD1F8C">
            <w:pPr>
              <w:pStyle w:val="TAC"/>
              <w:rPr>
                <w:rFonts w:cs="Arial"/>
              </w:rPr>
            </w:pPr>
            <w:r>
              <w:rPr>
                <w:rFonts w:cs="Arial"/>
              </w:rPr>
              <w:t>-</w:t>
            </w:r>
            <w:r>
              <w:rPr>
                <w:rFonts w:cs="Arial"/>
                <w:lang w:eastAsia="zh-CN"/>
              </w:rPr>
              <w:t>37</w:t>
            </w:r>
            <w:r>
              <w:rPr>
                <w:rFonts w:cs="Arial"/>
              </w:rPr>
              <w:t xml:space="preserve"> dBm </w:t>
            </w:r>
            <w:r>
              <w:rPr>
                <w:rFonts w:cs="Arial"/>
                <w:lang w:eastAsia="zh-CN"/>
              </w:rPr>
              <w:t>(Note 10)</w:t>
            </w:r>
          </w:p>
        </w:tc>
        <w:tc>
          <w:tcPr>
            <w:tcW w:w="1430" w:type="dxa"/>
            <w:tcBorders>
              <w:top w:val="single" w:sz="4" w:space="0" w:color="auto"/>
              <w:left w:val="single" w:sz="4" w:space="0" w:color="auto"/>
              <w:bottom w:val="single" w:sz="4" w:space="0" w:color="auto"/>
              <w:right w:val="single" w:sz="4" w:space="0" w:color="auto"/>
            </w:tcBorders>
            <w:hideMark/>
          </w:tcPr>
          <w:p w14:paraId="5DF8DF4F" w14:textId="77777777" w:rsidR="00B3234F" w:rsidRDefault="00B3234F" w:rsidP="00BD1F8C">
            <w:pPr>
              <w:pStyle w:val="TAC"/>
              <w:rPr>
                <w:rFonts w:cs="Arial"/>
              </w:rPr>
            </w:pPr>
            <w:r>
              <w:rPr>
                <w:rFonts w:cs="Arial"/>
              </w:rPr>
              <w:t xml:space="preserve">100 kHz </w:t>
            </w:r>
          </w:p>
        </w:tc>
      </w:tr>
      <w:tr w:rsidR="00B3234F" w:rsidRPr="00AB3358" w14:paraId="73C38F91" w14:textId="77777777" w:rsidTr="00BD1F8C">
        <w:trPr>
          <w:cantSplit/>
          <w:jc w:val="center"/>
        </w:trPr>
        <w:tc>
          <w:tcPr>
            <w:tcW w:w="9814" w:type="dxa"/>
            <w:gridSpan w:val="4"/>
            <w:tcBorders>
              <w:top w:val="single" w:sz="4" w:space="0" w:color="auto"/>
              <w:left w:val="single" w:sz="4" w:space="0" w:color="auto"/>
              <w:bottom w:val="single" w:sz="4" w:space="0" w:color="auto"/>
              <w:right w:val="single" w:sz="4" w:space="0" w:color="auto"/>
            </w:tcBorders>
            <w:hideMark/>
          </w:tcPr>
          <w:p w14:paraId="031E287D" w14:textId="77777777" w:rsidR="00B3234F" w:rsidRDefault="00B3234F" w:rsidP="00BD1F8C">
            <w:pPr>
              <w:pStyle w:val="TAN"/>
              <w:rPr>
                <w:rFonts w:eastAsia="SimSun" w:cs="Arial"/>
                <w:lang w:eastAsia="zh-CN"/>
              </w:rPr>
            </w:pPr>
            <w:r>
              <w:rPr>
                <w:rFonts w:cs="Arial"/>
              </w:rPr>
              <w:t>NOTE 1:</w:t>
            </w:r>
            <w:r>
              <w:rPr>
                <w:rFonts w:cs="Arial"/>
              </w:rPr>
              <w:tab/>
              <w:t xml:space="preserve">For an IAB-DU and IAB-MT supporting </w:t>
            </w:r>
            <w:r>
              <w:rPr>
                <w:rFonts w:cs="Arial"/>
                <w:i/>
              </w:rPr>
              <w:t>non-contiguous spectrum</w:t>
            </w:r>
            <w:r>
              <w:rPr>
                <w:rFonts w:cs="Arial"/>
              </w:rPr>
              <w:t xml:space="preserve"> operation within any </w:t>
            </w:r>
            <w:r>
              <w:rPr>
                <w:rFonts w:cs="Arial"/>
                <w:i/>
              </w:rPr>
              <w:t>operating band</w:t>
            </w:r>
            <w:r>
              <w:rPr>
                <w:rFonts w:cs="Arial"/>
              </w:rPr>
              <w:t xml:space="preserve"> the emission limits within </w:t>
            </w:r>
            <w:r>
              <w:rPr>
                <w:rFonts w:cs="Arial"/>
                <w:i/>
              </w:rPr>
              <w:t>sub-block gaps</w:t>
            </w:r>
            <w:r>
              <w:rPr>
                <w:rFonts w:cs="Arial"/>
              </w:rPr>
              <w:t xml:space="preserve"> is calculated as a cumulative sum of contributions from adjacent </w:t>
            </w:r>
            <w:r>
              <w:rPr>
                <w:rFonts w:cs="v5.0.0"/>
                <w:i/>
              </w:rPr>
              <w:t>sub-blocks</w:t>
            </w:r>
            <w:r>
              <w:rPr>
                <w:rFonts w:cs="v5.0.0"/>
              </w:rPr>
              <w:t xml:space="preserve"> on each side of the </w:t>
            </w:r>
            <w:r>
              <w:rPr>
                <w:rFonts w:cs="v5.0.0"/>
                <w:i/>
              </w:rPr>
              <w:t>sub-block gap</w:t>
            </w:r>
            <w:r>
              <w:rPr>
                <w:rFonts w:cs="Arial"/>
              </w:rPr>
              <w:t xml:space="preserve">. Exception is </w:t>
            </w:r>
            <w:r>
              <w:rPr>
                <w:rFonts w:ascii="Symbol" w:hAnsi="Symbol" w:cs="Arial"/>
              </w:rPr>
              <w:t></w:t>
            </w:r>
            <w:r>
              <w:rPr>
                <w:rFonts w:cs="Arial"/>
              </w:rPr>
              <w:t xml:space="preserve">f ≥ 10MHz from both adjacent </w:t>
            </w:r>
            <w:r>
              <w:rPr>
                <w:rFonts w:cs="Arial"/>
                <w:i/>
              </w:rPr>
              <w:t>sub-blocks</w:t>
            </w:r>
            <w:r>
              <w:rPr>
                <w:rFonts w:cs="Arial"/>
              </w:rPr>
              <w:t xml:space="preserve"> on each side of the </w:t>
            </w:r>
            <w:r>
              <w:rPr>
                <w:rFonts w:cs="Arial"/>
                <w:i/>
              </w:rPr>
              <w:t>sub-block gap</w:t>
            </w:r>
            <w:r>
              <w:rPr>
                <w:rFonts w:cs="Arial"/>
              </w:rPr>
              <w:t xml:space="preserve">, where the emission limits within </w:t>
            </w:r>
            <w:r>
              <w:rPr>
                <w:rFonts w:cs="Arial"/>
                <w:i/>
              </w:rPr>
              <w:t>sub-block gaps</w:t>
            </w:r>
            <w:r>
              <w:rPr>
                <w:rFonts w:cs="Arial"/>
              </w:rPr>
              <w:t xml:space="preserve"> shall be -37dBm/100kHz.</w:t>
            </w:r>
          </w:p>
          <w:p w14:paraId="370405A6" w14:textId="77777777" w:rsidR="00B3234F" w:rsidRDefault="00B3234F" w:rsidP="00BD1F8C">
            <w:pPr>
              <w:pStyle w:val="TAN"/>
              <w:rPr>
                <w:rFonts w:cs="Arial"/>
              </w:rPr>
            </w:pPr>
            <w:r>
              <w:rPr>
                <w:rFonts w:cs="Arial"/>
              </w:rPr>
              <w:t>NOTE 2:</w:t>
            </w:r>
            <w:r>
              <w:rPr>
                <w:rFonts w:cs="Arial"/>
              </w:rPr>
              <w:tab/>
              <w:t xml:space="preserve">For a </w:t>
            </w:r>
            <w:r>
              <w:rPr>
                <w:rFonts w:cs="Arial"/>
                <w:i/>
              </w:rPr>
              <w:t>multi-band connector</w:t>
            </w:r>
            <w:r>
              <w:rPr>
                <w:rFonts w:cs="Arial"/>
              </w:rPr>
              <w:t xml:space="preserve"> with </w:t>
            </w:r>
            <w:r>
              <w:rPr>
                <w:rFonts w:cs="Arial"/>
                <w:i/>
              </w:rPr>
              <w:t>Inter RF Bandwidth gap</w:t>
            </w:r>
            <w:r>
              <w:rPr>
                <w:rFonts w:cs="Arial"/>
              </w:rPr>
              <w:t xml:space="preserve"> &lt; </w:t>
            </w:r>
            <w:r>
              <w:t>2*Δf</w:t>
            </w:r>
            <w:r>
              <w:rPr>
                <w:vertAlign w:val="subscript"/>
              </w:rPr>
              <w:t>OBUE</w:t>
            </w:r>
            <w:r>
              <w:rPr>
                <w:rFonts w:cs="Arial"/>
              </w:rPr>
              <w:t xml:space="preserve"> the emission limits within the </w:t>
            </w:r>
            <w:r>
              <w:rPr>
                <w:rFonts w:cs="Arial"/>
                <w:i/>
              </w:rPr>
              <w:t>Inter RF Bandwidth gaps</w:t>
            </w:r>
            <w:r>
              <w:rPr>
                <w:rFonts w:cs="Arial"/>
              </w:rPr>
              <w:t xml:space="preserve"> is calculated as a cumulative sum of contributions from adjacent </w:t>
            </w:r>
            <w:r>
              <w:rPr>
                <w:rFonts w:cs="Arial"/>
                <w:i/>
              </w:rPr>
              <w:t>sub-blocks</w:t>
            </w:r>
            <w:r>
              <w:rPr>
                <w:rFonts w:cs="Arial"/>
              </w:rPr>
              <w:t xml:space="preserve"> or RF Bandwidth on each side of the </w:t>
            </w:r>
            <w:r>
              <w:rPr>
                <w:rFonts w:cs="Arial"/>
                <w:i/>
              </w:rPr>
              <w:t>Inter RF Bandwidth gap</w:t>
            </w:r>
          </w:p>
          <w:p w14:paraId="30597AAA" w14:textId="77777777" w:rsidR="00B3234F" w:rsidRDefault="00B3234F" w:rsidP="00BD1F8C">
            <w:pPr>
              <w:pStyle w:val="TAN"/>
              <w:rPr>
                <w:rFonts w:cs="Arial"/>
              </w:rPr>
            </w:pPr>
            <w:r>
              <w:t>NOTE 3</w:t>
            </w:r>
            <w:r>
              <w:rPr>
                <w:lang w:eastAsia="zh-CN"/>
              </w:rPr>
              <w:t>:</w:t>
            </w:r>
            <w:r>
              <w:rPr>
                <w:lang w:eastAsia="zh-CN"/>
              </w:rPr>
              <w:tab/>
            </w:r>
            <w:r>
              <w:t xml:space="preserve">The requirement is not applicable when </w:t>
            </w:r>
            <w:r>
              <w:sym w:font="Symbol" w:char="F044"/>
            </w:r>
            <w:r>
              <w:t>f</w:t>
            </w:r>
            <w:r>
              <w:rPr>
                <w:vertAlign w:val="subscript"/>
              </w:rPr>
              <w:t>max</w:t>
            </w:r>
            <w:r>
              <w:t xml:space="preserve"> &lt; 10 MHz.</w:t>
            </w:r>
          </w:p>
        </w:tc>
      </w:tr>
    </w:tbl>
    <w:p w14:paraId="30679647" w14:textId="77777777" w:rsidR="00B3234F" w:rsidRDefault="00B3234F" w:rsidP="00B3234F"/>
    <w:p w14:paraId="10FCEB27" w14:textId="77777777" w:rsidR="00B3234F" w:rsidRDefault="00B3234F" w:rsidP="00B3234F">
      <w:pPr>
        <w:pStyle w:val="Heading5"/>
      </w:pPr>
      <w:bookmarkStart w:id="2183" w:name="_Toc45893481"/>
      <w:bookmarkStart w:id="2184" w:name="_Toc44712168"/>
      <w:bookmarkStart w:id="2185" w:name="_Toc37267566"/>
      <w:bookmarkStart w:id="2186" w:name="_Toc37260178"/>
      <w:bookmarkStart w:id="2187" w:name="_Toc36817262"/>
      <w:bookmarkStart w:id="2188" w:name="_Toc29811710"/>
      <w:bookmarkStart w:id="2189" w:name="_Toc13080211"/>
      <w:bookmarkStart w:id="2190" w:name="_Toc53185371"/>
      <w:bookmarkStart w:id="2191" w:name="_Toc53185747"/>
      <w:bookmarkStart w:id="2192" w:name="_Toc57820223"/>
      <w:bookmarkStart w:id="2193" w:name="_Toc57821150"/>
      <w:bookmarkStart w:id="2194" w:name="_Toc61183426"/>
      <w:bookmarkStart w:id="2195" w:name="_Toc61183820"/>
      <w:bookmarkStart w:id="2196" w:name="_Toc61184212"/>
      <w:bookmarkStart w:id="2197" w:name="_Toc61184604"/>
      <w:bookmarkStart w:id="2198" w:name="_Toc61184994"/>
      <w:bookmarkStart w:id="2199" w:name="_Toc66386337"/>
      <w:bookmarkStart w:id="2200" w:name="_Toc74583178"/>
      <w:bookmarkStart w:id="2201" w:name="_Toc76541991"/>
      <w:bookmarkStart w:id="2202" w:name="_Toc82449973"/>
      <w:bookmarkStart w:id="2203" w:name="_Toc82450621"/>
      <w:bookmarkStart w:id="2204" w:name="_Toc89949010"/>
      <w:bookmarkStart w:id="2205" w:name="_Toc98755399"/>
      <w:bookmarkStart w:id="2206" w:name="_Toc98762990"/>
      <w:bookmarkStart w:id="2207" w:name="_Toc106183919"/>
      <w:bookmarkStart w:id="2208" w:name="_Toc21127502"/>
      <w:r>
        <w:t>6.6.4.2.5</w:t>
      </w:r>
      <w:r>
        <w:tab/>
      </w:r>
      <w:r>
        <w:rPr>
          <w:i/>
        </w:rPr>
        <w:t>Basic limits</w:t>
      </w:r>
      <w:r>
        <w:t xml:space="preserve"> for additional requirements</w:t>
      </w:r>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p>
    <w:p w14:paraId="51D5E3F9" w14:textId="77777777" w:rsidR="00B3234F" w:rsidRDefault="00B3234F" w:rsidP="00B3234F">
      <w:pPr>
        <w:pStyle w:val="Heading6"/>
      </w:pPr>
      <w:bookmarkStart w:id="2209" w:name="_Toc45893482"/>
      <w:bookmarkStart w:id="2210" w:name="_Toc44712169"/>
      <w:bookmarkStart w:id="2211" w:name="_Toc37267567"/>
      <w:bookmarkStart w:id="2212" w:name="_Toc37260179"/>
      <w:bookmarkStart w:id="2213" w:name="_Toc36817263"/>
      <w:bookmarkStart w:id="2214" w:name="_Toc29811711"/>
      <w:bookmarkStart w:id="2215" w:name="_Toc53185372"/>
      <w:bookmarkStart w:id="2216" w:name="_Toc53185748"/>
      <w:bookmarkStart w:id="2217" w:name="_Toc57820224"/>
      <w:bookmarkStart w:id="2218" w:name="_Toc57821151"/>
      <w:bookmarkStart w:id="2219" w:name="_Toc61183427"/>
      <w:bookmarkStart w:id="2220" w:name="_Toc61183821"/>
      <w:bookmarkStart w:id="2221" w:name="_Toc61184213"/>
      <w:bookmarkStart w:id="2222" w:name="_Toc61184605"/>
      <w:bookmarkStart w:id="2223" w:name="_Toc61184995"/>
      <w:bookmarkStart w:id="2224" w:name="_Toc66386338"/>
      <w:bookmarkStart w:id="2225" w:name="_Toc74583179"/>
      <w:bookmarkStart w:id="2226" w:name="_Toc76541992"/>
      <w:bookmarkStart w:id="2227" w:name="_Toc82449974"/>
      <w:bookmarkStart w:id="2228" w:name="_Toc82450622"/>
      <w:bookmarkStart w:id="2229" w:name="_Toc89949011"/>
      <w:bookmarkStart w:id="2230" w:name="_Toc98755400"/>
      <w:bookmarkStart w:id="2231" w:name="_Toc98762991"/>
      <w:bookmarkStart w:id="2232" w:name="_Toc106183920"/>
      <w:r>
        <w:t>6.6.4.2.5.1</w:t>
      </w:r>
      <w:r>
        <w:tab/>
        <w:t>Limits in FCC Title 47</w:t>
      </w:r>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p>
    <w:p w14:paraId="1597B920" w14:textId="77777777" w:rsidR="00B3234F" w:rsidRDefault="00B3234F" w:rsidP="00B3234F">
      <w:r>
        <w:t>In addition to the requirements in clauses 6.6.4.2.1, 6.6.4.2.2, 6.6.4.2.3 and 6.6.4.2.4, the IAB-DU and IAB-MT may have to comply with the applicable emission limits established by FCC Title 47 [20], when deployed in regions where those limits are applied, and under the conditions declared by the manufacturer.</w:t>
      </w:r>
    </w:p>
    <w:p w14:paraId="78A5C927" w14:textId="77777777" w:rsidR="00B3234F" w:rsidRDefault="00B3234F" w:rsidP="00B3234F">
      <w:pPr>
        <w:pStyle w:val="Heading4"/>
      </w:pPr>
      <w:bookmarkStart w:id="2233" w:name="_Toc45893487"/>
      <w:bookmarkStart w:id="2234" w:name="_Toc44712174"/>
      <w:bookmarkStart w:id="2235" w:name="_Toc37267572"/>
      <w:bookmarkStart w:id="2236" w:name="_Toc37260184"/>
      <w:bookmarkStart w:id="2237" w:name="_Toc36817267"/>
      <w:bookmarkStart w:id="2238" w:name="_Toc29811715"/>
      <w:bookmarkStart w:id="2239" w:name="_Toc21127506"/>
      <w:bookmarkStart w:id="2240" w:name="_Toc53185373"/>
      <w:bookmarkStart w:id="2241" w:name="_Toc53185749"/>
      <w:bookmarkStart w:id="2242" w:name="_Toc57820225"/>
      <w:bookmarkStart w:id="2243" w:name="_Toc57821152"/>
      <w:bookmarkStart w:id="2244" w:name="_Toc61183428"/>
      <w:bookmarkStart w:id="2245" w:name="_Toc61183822"/>
      <w:bookmarkStart w:id="2246" w:name="_Toc61184214"/>
      <w:bookmarkStart w:id="2247" w:name="_Toc61184606"/>
      <w:bookmarkStart w:id="2248" w:name="_Toc61184996"/>
      <w:bookmarkStart w:id="2249" w:name="_Toc66386339"/>
      <w:bookmarkStart w:id="2250" w:name="_Toc74583180"/>
      <w:bookmarkStart w:id="2251" w:name="_Toc76541993"/>
      <w:bookmarkStart w:id="2252" w:name="_Toc82449975"/>
      <w:bookmarkStart w:id="2253" w:name="_Toc82450623"/>
      <w:bookmarkStart w:id="2254" w:name="_Toc89949012"/>
      <w:bookmarkStart w:id="2255" w:name="_Toc98755401"/>
      <w:bookmarkStart w:id="2256" w:name="_Toc98762992"/>
      <w:bookmarkStart w:id="2257" w:name="_Toc106183921"/>
      <w:r>
        <w:t>6.6.4.3</w:t>
      </w:r>
      <w:r>
        <w:tab/>
        <w:t xml:space="preserve">Minimum requirements for </w:t>
      </w:r>
      <w:r>
        <w:rPr>
          <w:i/>
        </w:rPr>
        <w:t xml:space="preserve">IAB-DU type 1-H </w:t>
      </w:r>
      <w:r w:rsidRPr="00743313">
        <w:rPr>
          <w:iCs/>
        </w:rPr>
        <w:t>and</w:t>
      </w:r>
      <w:r>
        <w:rPr>
          <w:i/>
        </w:rPr>
        <w:t xml:space="preserve"> IAB-MT type 1-H</w:t>
      </w:r>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p>
    <w:p w14:paraId="0B22D6C8" w14:textId="77777777" w:rsidR="00B3234F" w:rsidRDefault="00B3234F" w:rsidP="00B3234F">
      <w:r>
        <w:t xml:space="preserve">The operating band unwanted emissions requirements for </w:t>
      </w:r>
      <w:r>
        <w:rPr>
          <w:i/>
        </w:rPr>
        <w:t>IAB-DU type 1-H</w:t>
      </w:r>
      <w:r>
        <w:t xml:space="preserve"> and </w:t>
      </w:r>
      <w:r w:rsidRPr="00743313">
        <w:rPr>
          <w:i/>
          <w:iCs/>
        </w:rPr>
        <w:t>IAB-MT type 1-H</w:t>
      </w:r>
      <w:r>
        <w:t xml:space="preserve"> are that for each </w:t>
      </w:r>
      <w:r>
        <w:rPr>
          <w:i/>
        </w:rPr>
        <w:t>TAB connector TX min cell group</w:t>
      </w:r>
      <w:r>
        <w:t xml:space="preserve"> and each applicable </w:t>
      </w:r>
      <w:r>
        <w:rPr>
          <w:i/>
        </w:rPr>
        <w:t>basic limit</w:t>
      </w:r>
      <w:r>
        <w:t xml:space="preserve"> in clause 6.6.4.2, the power summation emissions at the </w:t>
      </w:r>
      <w:r>
        <w:rPr>
          <w:i/>
        </w:rPr>
        <w:t>TAB connectors</w:t>
      </w:r>
      <w:r>
        <w:t xml:space="preserve"> of the </w:t>
      </w:r>
      <w:r>
        <w:rPr>
          <w:i/>
        </w:rPr>
        <w:t>TAB connector TX min cell group</w:t>
      </w:r>
      <w:r>
        <w:t xml:space="preserve"> shall not exceed </w:t>
      </w:r>
      <w:r>
        <w:rPr>
          <w:lang w:val="en-US" w:eastAsia="zh-CN"/>
        </w:rPr>
        <w:t xml:space="preserve">a </w:t>
      </w:r>
      <w:r>
        <w:t xml:space="preserve">limit specified as the </w:t>
      </w:r>
      <w:r>
        <w:rPr>
          <w:i/>
        </w:rPr>
        <w:t>basic limit</w:t>
      </w:r>
      <w:r>
        <w:t xml:space="preserve"> + X, where X = 10log</w:t>
      </w:r>
      <w:r>
        <w:rPr>
          <w:vertAlign w:val="subscript"/>
        </w:rPr>
        <w:t>10</w:t>
      </w:r>
      <w:r>
        <w:t>(N</w:t>
      </w:r>
      <w:r>
        <w:rPr>
          <w:vertAlign w:val="subscript"/>
        </w:rPr>
        <w:t>TXU,countedpercell</w:t>
      </w:r>
      <w:r>
        <w:t>).</w:t>
      </w:r>
    </w:p>
    <w:p w14:paraId="529662A3" w14:textId="77777777" w:rsidR="00B3234F" w:rsidRDefault="00B3234F" w:rsidP="00B3234F">
      <w:pPr>
        <w:pStyle w:val="NO"/>
      </w:pPr>
      <w:r>
        <w:lastRenderedPageBreak/>
        <w:t>NOTE:</w:t>
      </w:r>
      <w:r>
        <w:tab/>
        <w:t xml:space="preserve">Conformance to the </w:t>
      </w:r>
      <w:r>
        <w:rPr>
          <w:i/>
        </w:rPr>
        <w:t>IAB-DU type 1-H</w:t>
      </w:r>
      <w:r>
        <w:t xml:space="preserve"> and </w:t>
      </w:r>
      <w:r w:rsidRPr="00743313">
        <w:rPr>
          <w:i/>
          <w:iCs/>
        </w:rPr>
        <w:t>IAB-MT type 1-H</w:t>
      </w:r>
      <w:r>
        <w:t xml:space="preserve"> operating band unwanted emission requirement can be demonstrated by meeting at least one of the following criteria as determined by the manufacturer:</w:t>
      </w:r>
    </w:p>
    <w:p w14:paraId="6E52F8F4" w14:textId="77777777" w:rsidR="00B3234F" w:rsidRDefault="00B3234F" w:rsidP="00B3234F">
      <w:pPr>
        <w:pStyle w:val="NO"/>
      </w:pPr>
      <w:r>
        <w:tab/>
        <w:t>1)</w:t>
      </w:r>
      <w:r>
        <w:tab/>
        <w:t xml:space="preserve">The sum of the emissions power measured on each </w:t>
      </w:r>
      <w:r>
        <w:rPr>
          <w:i/>
        </w:rPr>
        <w:t>TAB connector</w:t>
      </w:r>
      <w:r>
        <w:t xml:space="preserve"> in the </w:t>
      </w:r>
      <w:r>
        <w:rPr>
          <w:i/>
        </w:rPr>
        <w:t>TAB connector TX min cell group</w:t>
      </w:r>
      <w:r>
        <w:t xml:space="preserve"> shall be less than or equal to the limit as defined in this clause for the respective frequency span.</w:t>
      </w:r>
    </w:p>
    <w:p w14:paraId="00259E82" w14:textId="77777777" w:rsidR="00B3234F" w:rsidRDefault="00B3234F" w:rsidP="00B3234F">
      <w:pPr>
        <w:pStyle w:val="NO"/>
      </w:pPr>
      <w:r>
        <w:tab/>
        <w:t>Or</w:t>
      </w:r>
    </w:p>
    <w:p w14:paraId="3E3E8A10" w14:textId="77777777" w:rsidR="00B3234F" w:rsidRDefault="00B3234F" w:rsidP="00B3234F">
      <w:pPr>
        <w:pStyle w:val="NO"/>
      </w:pPr>
      <w:r>
        <w:tab/>
        <w:t>2)</w:t>
      </w:r>
      <w:r>
        <w:tab/>
        <w:t xml:space="preserve">The unwanted emissions power at each </w:t>
      </w:r>
      <w:r>
        <w:rPr>
          <w:i/>
        </w:rPr>
        <w:t>TAB connector</w:t>
      </w:r>
      <w:r>
        <w:t xml:space="preserve"> shall be less than or equal to the </w:t>
      </w:r>
      <w:r>
        <w:rPr>
          <w:i/>
        </w:rPr>
        <w:t>type 1-H</w:t>
      </w:r>
      <w:r>
        <w:t xml:space="preserve"> limit as defined in this clause for the respective frequency span, scaled by -10log</w:t>
      </w:r>
      <w:r>
        <w:rPr>
          <w:vertAlign w:val="subscript"/>
        </w:rPr>
        <w:t>10</w:t>
      </w:r>
      <w:r>
        <w:t xml:space="preserve">(n), where n is the number of </w:t>
      </w:r>
      <w:r>
        <w:rPr>
          <w:i/>
        </w:rPr>
        <w:t>TAB connectors</w:t>
      </w:r>
      <w:r>
        <w:t xml:space="preserve"> in the </w:t>
      </w:r>
      <w:r>
        <w:rPr>
          <w:i/>
        </w:rPr>
        <w:t>TAB connector TX min cell group</w:t>
      </w:r>
      <w:r>
        <w:t>.</w:t>
      </w:r>
    </w:p>
    <w:p w14:paraId="0043616F" w14:textId="77777777" w:rsidR="00B3234F" w:rsidRDefault="00B3234F" w:rsidP="00B3234F">
      <w:pPr>
        <w:pStyle w:val="Heading3"/>
      </w:pPr>
      <w:bookmarkStart w:id="2258" w:name="_Toc45893488"/>
      <w:bookmarkStart w:id="2259" w:name="_Toc44712175"/>
      <w:bookmarkStart w:id="2260" w:name="_Toc37267573"/>
      <w:bookmarkStart w:id="2261" w:name="_Toc37260185"/>
      <w:bookmarkStart w:id="2262" w:name="_Toc36817268"/>
      <w:bookmarkStart w:id="2263" w:name="_Toc29811716"/>
      <w:bookmarkStart w:id="2264" w:name="_Toc21127507"/>
      <w:bookmarkStart w:id="2265" w:name="_Toc53185374"/>
      <w:bookmarkStart w:id="2266" w:name="_Toc53185750"/>
      <w:bookmarkStart w:id="2267" w:name="_Toc57820226"/>
      <w:bookmarkStart w:id="2268" w:name="_Toc57821153"/>
      <w:bookmarkStart w:id="2269" w:name="_Toc61183429"/>
      <w:bookmarkStart w:id="2270" w:name="_Toc61183823"/>
      <w:bookmarkStart w:id="2271" w:name="_Toc61184215"/>
      <w:bookmarkStart w:id="2272" w:name="_Toc61184607"/>
      <w:bookmarkStart w:id="2273" w:name="_Toc61184997"/>
      <w:bookmarkStart w:id="2274" w:name="_Toc66386340"/>
      <w:bookmarkStart w:id="2275" w:name="_Toc74583181"/>
      <w:bookmarkStart w:id="2276" w:name="_Toc76541994"/>
      <w:bookmarkStart w:id="2277" w:name="_Toc82449976"/>
      <w:bookmarkStart w:id="2278" w:name="_Toc82450624"/>
      <w:bookmarkStart w:id="2279" w:name="_Toc89949013"/>
      <w:bookmarkStart w:id="2280" w:name="_Toc98755402"/>
      <w:bookmarkStart w:id="2281" w:name="_Toc98762993"/>
      <w:bookmarkStart w:id="2282" w:name="_Toc106183922"/>
      <w:bookmarkStart w:id="2283" w:name="_Hlk497677198"/>
      <w:r>
        <w:t>6.6.5</w:t>
      </w:r>
      <w:r>
        <w:tab/>
        <w:t>Transmitter spurious emissions</w:t>
      </w:r>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p>
    <w:p w14:paraId="33FD841D" w14:textId="77777777" w:rsidR="00B3234F" w:rsidRDefault="00B3234F" w:rsidP="00B3234F">
      <w:pPr>
        <w:pStyle w:val="Heading4"/>
      </w:pPr>
      <w:bookmarkStart w:id="2284" w:name="_Toc45893489"/>
      <w:bookmarkStart w:id="2285" w:name="_Toc44712176"/>
      <w:bookmarkStart w:id="2286" w:name="_Toc37267574"/>
      <w:bookmarkStart w:id="2287" w:name="_Toc37260186"/>
      <w:bookmarkStart w:id="2288" w:name="_Toc36817269"/>
      <w:bookmarkStart w:id="2289" w:name="_Toc29811717"/>
      <w:bookmarkStart w:id="2290" w:name="_Toc21127508"/>
      <w:bookmarkStart w:id="2291" w:name="_Toc53185375"/>
      <w:bookmarkStart w:id="2292" w:name="_Toc53185751"/>
      <w:bookmarkStart w:id="2293" w:name="_Toc57820227"/>
      <w:bookmarkStart w:id="2294" w:name="_Toc57821154"/>
      <w:bookmarkStart w:id="2295" w:name="_Toc61183430"/>
      <w:bookmarkStart w:id="2296" w:name="_Toc61183824"/>
      <w:bookmarkStart w:id="2297" w:name="_Toc61184216"/>
      <w:bookmarkStart w:id="2298" w:name="_Toc61184608"/>
      <w:bookmarkStart w:id="2299" w:name="_Toc61184998"/>
      <w:bookmarkStart w:id="2300" w:name="_Toc66386341"/>
      <w:bookmarkStart w:id="2301" w:name="_Toc74583182"/>
      <w:bookmarkStart w:id="2302" w:name="_Toc76541995"/>
      <w:bookmarkStart w:id="2303" w:name="_Toc82449977"/>
      <w:bookmarkStart w:id="2304" w:name="_Toc82450625"/>
      <w:bookmarkStart w:id="2305" w:name="_Toc89949014"/>
      <w:bookmarkStart w:id="2306" w:name="_Toc98755403"/>
      <w:bookmarkStart w:id="2307" w:name="_Toc98762994"/>
      <w:bookmarkStart w:id="2308" w:name="_Toc106183923"/>
      <w:r>
        <w:t>6.6.5.1</w:t>
      </w:r>
      <w:r>
        <w:tab/>
        <w:t>General</w:t>
      </w:r>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p>
    <w:p w14:paraId="674B1B48" w14:textId="59370EC0" w:rsidR="00353FF1" w:rsidRDefault="00353FF1" w:rsidP="00353FF1">
      <w:r>
        <w:t xml:space="preserve">For IAB-DU, the transmitter spurious emission limits shall apply from 9 kHz to 12.75 GHz, excluding the frequency range from </w:t>
      </w:r>
      <w:r>
        <w:rPr>
          <w:rFonts w:cs="v5.0.0"/>
        </w:rPr>
        <w:t>Δf</w:t>
      </w:r>
      <w:r>
        <w:rPr>
          <w:rFonts w:cs="v5.0.0"/>
          <w:vertAlign w:val="subscript"/>
        </w:rPr>
        <w:t>OBUE</w:t>
      </w:r>
      <w:r>
        <w:t xml:space="preserve"> below the lowest frequency of each supported downlink </w:t>
      </w:r>
      <w:r>
        <w:rPr>
          <w:i/>
        </w:rPr>
        <w:t>operating band</w:t>
      </w:r>
      <w:r>
        <w:t xml:space="preserve">, up to </w:t>
      </w:r>
      <w:r>
        <w:rPr>
          <w:rFonts w:cs="v5.0.0"/>
        </w:rPr>
        <w:t>Δf</w:t>
      </w:r>
      <w:r>
        <w:rPr>
          <w:rFonts w:cs="v5.0.0"/>
          <w:vertAlign w:val="subscript"/>
        </w:rPr>
        <w:t>OBUE</w:t>
      </w:r>
      <w:r>
        <w:rPr>
          <w:lang w:eastAsia="zh-CN"/>
        </w:rPr>
        <w:t xml:space="preserve"> </w:t>
      </w:r>
      <w:r>
        <w:t xml:space="preserve">above the highest frequency of each supported downlink </w:t>
      </w:r>
      <w:r>
        <w:rPr>
          <w:i/>
        </w:rPr>
        <w:t>operating band</w:t>
      </w:r>
      <w:r>
        <w:t xml:space="preserve">, where the </w:t>
      </w:r>
      <w:r>
        <w:rPr>
          <w:rFonts w:cs="v5.0.0"/>
        </w:rPr>
        <w:t>Δf</w:t>
      </w:r>
      <w:r>
        <w:rPr>
          <w:rFonts w:cs="v5.0.0"/>
          <w:vertAlign w:val="subscript"/>
        </w:rPr>
        <w:t>OBUE</w:t>
      </w:r>
      <w:r>
        <w:rPr>
          <w:rFonts w:cs="v5.0.0"/>
        </w:rPr>
        <w:t xml:space="preserve"> is defined in table 6.6.1-1</w:t>
      </w:r>
      <w:r>
        <w:t xml:space="preserve">. For some </w:t>
      </w:r>
      <w:r>
        <w:rPr>
          <w:i/>
        </w:rPr>
        <w:t>operating bands</w:t>
      </w:r>
      <w:r>
        <w:t>, the upper limit is higher than 12.75 GHz in order to comply with the 5</w:t>
      </w:r>
      <w:r>
        <w:rPr>
          <w:vertAlign w:val="superscript"/>
        </w:rPr>
        <w:t>th</w:t>
      </w:r>
      <w:r>
        <w:t xml:space="preserve"> harmonic limit of the downlink </w:t>
      </w:r>
      <w:r>
        <w:rPr>
          <w:i/>
        </w:rPr>
        <w:t>operating band</w:t>
      </w:r>
      <w:r>
        <w:t>, as specified in ITU-R recommendation SM.329 [16].</w:t>
      </w:r>
    </w:p>
    <w:p w14:paraId="47629862" w14:textId="303DC720" w:rsidR="00353FF1" w:rsidRDefault="00353FF1" w:rsidP="00353FF1">
      <w:r>
        <w:t xml:space="preserve">For IAB-MT, the transmitter spurious emission limits shall apply from 9 kHz to 12.75 GHz, excluding the frequency range from </w:t>
      </w:r>
      <w:r>
        <w:rPr>
          <w:rFonts w:cs="v5.0.0"/>
        </w:rPr>
        <w:t>Δf</w:t>
      </w:r>
      <w:r>
        <w:rPr>
          <w:rFonts w:cs="v5.0.0"/>
          <w:vertAlign w:val="subscript"/>
        </w:rPr>
        <w:t>OBUE</w:t>
      </w:r>
      <w:r>
        <w:t xml:space="preserve"> below the lowest frequency of each supported uplink </w:t>
      </w:r>
      <w:r>
        <w:rPr>
          <w:i/>
        </w:rPr>
        <w:t>operating band</w:t>
      </w:r>
      <w:r>
        <w:t xml:space="preserve">, up to </w:t>
      </w:r>
      <w:r>
        <w:rPr>
          <w:rFonts w:cs="v5.0.0"/>
        </w:rPr>
        <w:t>Δf</w:t>
      </w:r>
      <w:r>
        <w:rPr>
          <w:rFonts w:cs="v5.0.0"/>
          <w:vertAlign w:val="subscript"/>
        </w:rPr>
        <w:t>OBUE</w:t>
      </w:r>
      <w:r>
        <w:rPr>
          <w:lang w:eastAsia="zh-CN"/>
        </w:rPr>
        <w:t xml:space="preserve"> </w:t>
      </w:r>
      <w:r>
        <w:t>above the highest frequency of each supported uplink</w:t>
      </w:r>
      <w:r>
        <w:rPr>
          <w:i/>
        </w:rPr>
        <w:t xml:space="preserve"> operating band</w:t>
      </w:r>
      <w:r>
        <w:t xml:space="preserve">, where the </w:t>
      </w:r>
      <w:r>
        <w:rPr>
          <w:rFonts w:cs="v5.0.0"/>
        </w:rPr>
        <w:t>Δf</w:t>
      </w:r>
      <w:r>
        <w:rPr>
          <w:rFonts w:cs="v5.0.0"/>
          <w:vertAlign w:val="subscript"/>
        </w:rPr>
        <w:t>OBUE</w:t>
      </w:r>
      <w:r>
        <w:rPr>
          <w:rFonts w:cs="v5.0.0"/>
        </w:rPr>
        <w:t xml:space="preserve"> is defined in table 6.6.1-2</w:t>
      </w:r>
      <w:r>
        <w:t xml:space="preserve">. For some </w:t>
      </w:r>
      <w:r>
        <w:rPr>
          <w:i/>
        </w:rPr>
        <w:t>operating bands</w:t>
      </w:r>
      <w:r>
        <w:t>, the upper limit is higher than 12.75 GHz in order to comply with the 5</w:t>
      </w:r>
      <w:r>
        <w:rPr>
          <w:vertAlign w:val="superscript"/>
        </w:rPr>
        <w:t>th</w:t>
      </w:r>
      <w:r>
        <w:t xml:space="preserve"> harmonic limit of the uplink </w:t>
      </w:r>
      <w:r>
        <w:rPr>
          <w:i/>
        </w:rPr>
        <w:t>operating band</w:t>
      </w:r>
      <w:r>
        <w:t>, as specified in ITU-R recommendation SM.329 [16].</w:t>
      </w:r>
    </w:p>
    <w:p w14:paraId="323429BF" w14:textId="77777777" w:rsidR="00B3234F" w:rsidRDefault="00B3234F" w:rsidP="00B3234F">
      <w:r>
        <w:t xml:space="preserve">For a </w:t>
      </w:r>
      <w:r>
        <w:rPr>
          <w:i/>
        </w:rPr>
        <w:t>multi-band connector</w:t>
      </w:r>
      <w:r>
        <w:t xml:space="preserve">, for each supported </w:t>
      </w:r>
      <w:r>
        <w:rPr>
          <w:i/>
        </w:rPr>
        <w:t xml:space="preserve">operating band </w:t>
      </w:r>
      <w:r>
        <w:t xml:space="preserve">together with </w:t>
      </w:r>
      <w:r>
        <w:rPr>
          <w:rFonts w:cs="v5.0.0"/>
        </w:rPr>
        <w:t>Δf</w:t>
      </w:r>
      <w:r>
        <w:rPr>
          <w:rFonts w:cs="v5.0.0"/>
          <w:vertAlign w:val="subscript"/>
        </w:rPr>
        <w:t>OBUE</w:t>
      </w:r>
      <w:r>
        <w:rPr>
          <w:rFonts w:cs="v5.0.0"/>
        </w:rPr>
        <w:t xml:space="preserve"> around the band is excluded from the transmitter spurious emissions requirement</w:t>
      </w:r>
      <w:r>
        <w:t>.</w:t>
      </w:r>
    </w:p>
    <w:p w14:paraId="16325610" w14:textId="77777777" w:rsidR="00B3234F" w:rsidRDefault="00B3234F" w:rsidP="00B3234F">
      <w:pPr>
        <w:rPr>
          <w:rFonts w:cs="v4.2.0"/>
        </w:rPr>
      </w:pPr>
      <w:r>
        <w:rPr>
          <w:rFonts w:cs="v4.2.0"/>
        </w:rPr>
        <w:t>The requirements shall apply whatever the type of transmitter considered (single carrier or multi-carrier). It applies for all transmission modes foreseen by the manufacturer</w:t>
      </w:r>
      <w:r>
        <w:t>'</w:t>
      </w:r>
      <w:r>
        <w:rPr>
          <w:rFonts w:cs="v4.2.0"/>
        </w:rPr>
        <w:t xml:space="preserve">s specification. </w:t>
      </w:r>
    </w:p>
    <w:p w14:paraId="241C56D7" w14:textId="77777777" w:rsidR="00B3234F" w:rsidRDefault="00B3234F" w:rsidP="00B3234F">
      <w:pPr>
        <w:rPr>
          <w:rFonts w:cs="v5.0.0"/>
        </w:rPr>
      </w:pPr>
      <w:r>
        <w:rPr>
          <w:rFonts w:cs="v5.0.0"/>
        </w:rPr>
        <w:t>Unless otherwise stated, all requirements are measured as mean power (RMS).</w:t>
      </w:r>
    </w:p>
    <w:p w14:paraId="6E3C4454" w14:textId="77777777" w:rsidR="00B3234F" w:rsidRDefault="00B3234F" w:rsidP="0076338D">
      <w:pPr>
        <w:pStyle w:val="Heading4"/>
      </w:pPr>
      <w:bookmarkStart w:id="2309" w:name="_Toc45893490"/>
      <w:bookmarkStart w:id="2310" w:name="_Toc44712177"/>
      <w:bookmarkStart w:id="2311" w:name="_Toc37267575"/>
      <w:bookmarkStart w:id="2312" w:name="_Toc37260187"/>
      <w:bookmarkStart w:id="2313" w:name="_Toc36817270"/>
      <w:bookmarkStart w:id="2314" w:name="_Toc29811718"/>
      <w:bookmarkStart w:id="2315" w:name="_Toc13080219"/>
      <w:bookmarkStart w:id="2316" w:name="_Toc53185376"/>
      <w:bookmarkStart w:id="2317" w:name="_Toc53185752"/>
      <w:bookmarkStart w:id="2318" w:name="_Toc57820228"/>
      <w:bookmarkStart w:id="2319" w:name="_Toc57821155"/>
      <w:bookmarkStart w:id="2320" w:name="_Toc61183431"/>
      <w:bookmarkStart w:id="2321" w:name="_Toc61183825"/>
      <w:bookmarkStart w:id="2322" w:name="_Toc61184217"/>
      <w:bookmarkStart w:id="2323" w:name="_Toc61184609"/>
      <w:bookmarkStart w:id="2324" w:name="_Toc61184999"/>
      <w:bookmarkStart w:id="2325" w:name="_Toc66386342"/>
      <w:bookmarkStart w:id="2326" w:name="_Toc74583183"/>
      <w:bookmarkStart w:id="2327" w:name="_Toc76541996"/>
      <w:bookmarkStart w:id="2328" w:name="_Toc82449978"/>
      <w:bookmarkStart w:id="2329" w:name="_Toc82450626"/>
      <w:bookmarkStart w:id="2330" w:name="_Toc89949015"/>
      <w:bookmarkStart w:id="2331" w:name="_Toc98755404"/>
      <w:bookmarkStart w:id="2332" w:name="_Toc98762995"/>
      <w:bookmarkStart w:id="2333" w:name="_Toc106183924"/>
      <w:bookmarkStart w:id="2334" w:name="_Toc21127510"/>
      <w:r>
        <w:lastRenderedPageBreak/>
        <w:t>6.6.5.2</w:t>
      </w:r>
      <w:r>
        <w:tab/>
        <w:t>Basic limits</w:t>
      </w:r>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p>
    <w:p w14:paraId="19163CA2" w14:textId="77777777" w:rsidR="00B3234F" w:rsidRDefault="00B3234F" w:rsidP="0076338D">
      <w:pPr>
        <w:pStyle w:val="Heading5"/>
      </w:pPr>
      <w:bookmarkStart w:id="2335" w:name="_Toc45893491"/>
      <w:bookmarkStart w:id="2336" w:name="_Toc44712178"/>
      <w:bookmarkStart w:id="2337" w:name="_Toc37267576"/>
      <w:bookmarkStart w:id="2338" w:name="_Toc37260188"/>
      <w:bookmarkStart w:id="2339" w:name="_Toc36817271"/>
      <w:bookmarkStart w:id="2340" w:name="_Toc29811719"/>
      <w:bookmarkStart w:id="2341" w:name="_Toc53185377"/>
      <w:bookmarkStart w:id="2342" w:name="_Toc53185753"/>
      <w:bookmarkStart w:id="2343" w:name="_Toc57820229"/>
      <w:bookmarkStart w:id="2344" w:name="_Toc57821156"/>
      <w:bookmarkStart w:id="2345" w:name="_Toc61183432"/>
      <w:bookmarkStart w:id="2346" w:name="_Toc61183826"/>
      <w:bookmarkStart w:id="2347" w:name="_Toc61184218"/>
      <w:bookmarkStart w:id="2348" w:name="_Toc61184610"/>
      <w:bookmarkStart w:id="2349" w:name="_Toc61185000"/>
      <w:bookmarkStart w:id="2350" w:name="_Toc66386343"/>
      <w:bookmarkStart w:id="2351" w:name="_Toc74583184"/>
      <w:bookmarkStart w:id="2352" w:name="_Toc76541997"/>
      <w:bookmarkStart w:id="2353" w:name="_Toc82449979"/>
      <w:bookmarkStart w:id="2354" w:name="_Toc82450627"/>
      <w:bookmarkStart w:id="2355" w:name="_Toc89949016"/>
      <w:bookmarkStart w:id="2356" w:name="_Toc98755405"/>
      <w:bookmarkStart w:id="2357" w:name="_Toc98762996"/>
      <w:bookmarkStart w:id="2358" w:name="_Toc106183925"/>
      <w:r>
        <w:t>6.6.5.2.1</w:t>
      </w:r>
      <w:r>
        <w:tab/>
        <w:t>General transmitter spurious emissions requirements</w:t>
      </w:r>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p>
    <w:p w14:paraId="0520DEE8" w14:textId="77777777" w:rsidR="00B3234F" w:rsidRDefault="00B3234F" w:rsidP="00B3234F">
      <w:pPr>
        <w:keepNext/>
        <w:rPr>
          <w:rFonts w:cs="v5.0.0"/>
        </w:rPr>
      </w:pPr>
      <w:r>
        <w:rPr>
          <w:rFonts w:cs="v5.0.0"/>
        </w:rPr>
        <w:t xml:space="preserve">The </w:t>
      </w:r>
      <w:r>
        <w:rPr>
          <w:rFonts w:cs="v5.0.0"/>
          <w:i/>
        </w:rPr>
        <w:t>basic limits</w:t>
      </w:r>
      <w:r>
        <w:rPr>
          <w:rFonts w:cs="v5.0.0"/>
        </w:rPr>
        <w:t xml:space="preserve"> of either table 6.6.5.2.1-1 (Category A limits) or table 6.6.5.2.1-2 (Category B limits) shall apply. The application of either Category A or Category B limits shall be the same as for operating band unwanted emissions in clause 6.6.4.</w:t>
      </w:r>
    </w:p>
    <w:p w14:paraId="59142BC4" w14:textId="77777777" w:rsidR="00B3234F" w:rsidRDefault="00B3234F" w:rsidP="00B3234F">
      <w:pPr>
        <w:pStyle w:val="TH"/>
      </w:pPr>
      <w:r>
        <w:t>Table 6.6.5.2.1-1: General IAB-DU and IAB-MT transmitter spurious emission limits in FR1, Category A</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76"/>
        <w:gridCol w:w="1276"/>
        <w:gridCol w:w="1418"/>
        <w:gridCol w:w="2519"/>
      </w:tblGrid>
      <w:tr w:rsidR="00B3234F" w14:paraId="7964D91C" w14:textId="77777777" w:rsidTr="0076338D">
        <w:trPr>
          <w:cantSplit/>
          <w:jc w:val="center"/>
        </w:trPr>
        <w:tc>
          <w:tcPr>
            <w:tcW w:w="2976" w:type="dxa"/>
            <w:tcBorders>
              <w:top w:val="single" w:sz="6" w:space="0" w:color="000000"/>
              <w:left w:val="single" w:sz="6" w:space="0" w:color="000000"/>
              <w:bottom w:val="single" w:sz="6" w:space="0" w:color="000000"/>
              <w:right w:val="single" w:sz="6" w:space="0" w:color="000000"/>
            </w:tcBorders>
            <w:hideMark/>
          </w:tcPr>
          <w:p w14:paraId="75DFF4F6" w14:textId="77777777" w:rsidR="00B3234F" w:rsidRDefault="00B3234F" w:rsidP="00BD1F8C">
            <w:pPr>
              <w:pStyle w:val="TAH"/>
              <w:rPr>
                <w:rFonts w:cs="Arial"/>
              </w:rPr>
            </w:pPr>
            <w:r>
              <w:t>Spurious frequency range</w:t>
            </w:r>
          </w:p>
        </w:tc>
        <w:tc>
          <w:tcPr>
            <w:tcW w:w="1276" w:type="dxa"/>
            <w:tcBorders>
              <w:top w:val="single" w:sz="6" w:space="0" w:color="000000"/>
              <w:left w:val="single" w:sz="6" w:space="0" w:color="000000"/>
              <w:bottom w:val="single" w:sz="4" w:space="0" w:color="auto"/>
              <w:right w:val="single" w:sz="6" w:space="0" w:color="000000"/>
            </w:tcBorders>
            <w:hideMark/>
          </w:tcPr>
          <w:p w14:paraId="2BC57DC0" w14:textId="77777777" w:rsidR="00B3234F" w:rsidRDefault="00B3234F" w:rsidP="00BD1F8C">
            <w:pPr>
              <w:pStyle w:val="TAH"/>
              <w:ind w:left="454" w:hanging="454"/>
              <w:rPr>
                <w:rFonts w:cs="Arial"/>
                <w:i/>
              </w:rPr>
            </w:pPr>
            <w:r>
              <w:t xml:space="preserve"> </w:t>
            </w:r>
            <w:r>
              <w:rPr>
                <w:i/>
              </w:rPr>
              <w:t>Basic limit</w:t>
            </w:r>
          </w:p>
        </w:tc>
        <w:tc>
          <w:tcPr>
            <w:tcW w:w="1418" w:type="dxa"/>
            <w:tcBorders>
              <w:top w:val="single" w:sz="6" w:space="0" w:color="000000"/>
              <w:left w:val="single" w:sz="6" w:space="0" w:color="000000"/>
              <w:bottom w:val="single" w:sz="6" w:space="0" w:color="000000"/>
              <w:right w:val="single" w:sz="6" w:space="0" w:color="000000"/>
            </w:tcBorders>
            <w:hideMark/>
          </w:tcPr>
          <w:p w14:paraId="5275F64E" w14:textId="77777777" w:rsidR="00B3234F" w:rsidRDefault="00B3234F" w:rsidP="00BD1F8C">
            <w:pPr>
              <w:pStyle w:val="TAH"/>
              <w:rPr>
                <w:rFonts w:cs="Arial"/>
              </w:rPr>
            </w:pPr>
            <w:r>
              <w:rPr>
                <w:i/>
              </w:rPr>
              <w:t>Measurement bandwidth</w:t>
            </w:r>
          </w:p>
        </w:tc>
        <w:tc>
          <w:tcPr>
            <w:tcW w:w="2519" w:type="dxa"/>
            <w:tcBorders>
              <w:top w:val="single" w:sz="6" w:space="0" w:color="000000"/>
              <w:left w:val="single" w:sz="6" w:space="0" w:color="000000"/>
              <w:bottom w:val="single" w:sz="6" w:space="0" w:color="000000"/>
              <w:right w:val="single" w:sz="6" w:space="0" w:color="000000"/>
            </w:tcBorders>
            <w:hideMark/>
          </w:tcPr>
          <w:p w14:paraId="1276FA16" w14:textId="77777777" w:rsidR="00B3234F" w:rsidRDefault="00B3234F" w:rsidP="00BD1F8C">
            <w:pPr>
              <w:pStyle w:val="TAH"/>
              <w:rPr>
                <w:rFonts w:cs="Arial"/>
              </w:rPr>
            </w:pPr>
            <w:r>
              <w:t>Notes</w:t>
            </w:r>
          </w:p>
        </w:tc>
      </w:tr>
      <w:tr w:rsidR="0076338D" w14:paraId="79D4A98D"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2CE9ED13" w14:textId="77777777" w:rsidR="0076338D" w:rsidRDefault="0076338D" w:rsidP="0076338D">
            <w:pPr>
              <w:pStyle w:val="TAC"/>
              <w:rPr>
                <w:rFonts w:cs="v5.0.0"/>
              </w:rPr>
            </w:pPr>
            <w:r>
              <w:t>9 kHz – 150 kHz</w:t>
            </w:r>
          </w:p>
        </w:tc>
        <w:tc>
          <w:tcPr>
            <w:tcW w:w="1276" w:type="dxa"/>
            <w:tcBorders>
              <w:top w:val="single" w:sz="4" w:space="0" w:color="auto"/>
              <w:left w:val="single" w:sz="4" w:space="0" w:color="auto"/>
              <w:bottom w:val="nil"/>
              <w:right w:val="single" w:sz="4" w:space="0" w:color="auto"/>
            </w:tcBorders>
            <w:shd w:val="clear" w:color="auto" w:fill="auto"/>
            <w:hideMark/>
          </w:tcPr>
          <w:p w14:paraId="2538CCF1" w14:textId="77777777" w:rsidR="0076338D" w:rsidRDefault="0076338D" w:rsidP="0076338D">
            <w:pPr>
              <w:pStyle w:val="TAC"/>
              <w:rPr>
                <w:rFonts w:cs="Arial"/>
              </w:rPr>
            </w:pPr>
            <w:r>
              <w:t>-13 dBm</w:t>
            </w:r>
          </w:p>
        </w:tc>
        <w:tc>
          <w:tcPr>
            <w:tcW w:w="1418" w:type="dxa"/>
            <w:tcBorders>
              <w:top w:val="single" w:sz="6" w:space="0" w:color="000000"/>
              <w:left w:val="single" w:sz="4" w:space="0" w:color="auto"/>
              <w:bottom w:val="single" w:sz="6" w:space="0" w:color="000000"/>
              <w:right w:val="single" w:sz="6" w:space="0" w:color="000000"/>
            </w:tcBorders>
            <w:hideMark/>
          </w:tcPr>
          <w:p w14:paraId="0F1B07A1" w14:textId="77777777" w:rsidR="0076338D" w:rsidRDefault="0076338D" w:rsidP="0076338D">
            <w:pPr>
              <w:pStyle w:val="TAC"/>
              <w:rPr>
                <w:rFonts w:cs="v5.0.0"/>
              </w:rPr>
            </w:pPr>
            <w:r>
              <w:t>1 kHz</w:t>
            </w:r>
          </w:p>
        </w:tc>
        <w:tc>
          <w:tcPr>
            <w:tcW w:w="2519" w:type="dxa"/>
            <w:tcBorders>
              <w:top w:val="single" w:sz="6" w:space="0" w:color="000000"/>
              <w:left w:val="single" w:sz="6" w:space="0" w:color="000000"/>
              <w:bottom w:val="single" w:sz="6" w:space="0" w:color="000000"/>
              <w:right w:val="single" w:sz="6" w:space="0" w:color="000000"/>
            </w:tcBorders>
            <w:hideMark/>
          </w:tcPr>
          <w:p w14:paraId="1B00694F" w14:textId="77777777" w:rsidR="0076338D" w:rsidRDefault="0076338D" w:rsidP="0076338D">
            <w:pPr>
              <w:pStyle w:val="TAC"/>
              <w:rPr>
                <w:rFonts w:cs="Arial"/>
              </w:rPr>
            </w:pPr>
            <w:r>
              <w:t>Note 1, Note 4</w:t>
            </w:r>
          </w:p>
        </w:tc>
      </w:tr>
      <w:tr w:rsidR="0076338D" w14:paraId="111A4DC7"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6E798CB7" w14:textId="77777777" w:rsidR="0076338D" w:rsidRDefault="0076338D" w:rsidP="0076338D">
            <w:pPr>
              <w:pStyle w:val="TAC"/>
              <w:rPr>
                <w:rFonts w:cs="Arial"/>
              </w:rPr>
            </w:pPr>
            <w:r>
              <w:t>150 kHz – 30 MHz</w:t>
            </w:r>
          </w:p>
        </w:tc>
        <w:tc>
          <w:tcPr>
            <w:tcW w:w="1276" w:type="dxa"/>
            <w:tcBorders>
              <w:top w:val="nil"/>
              <w:left w:val="single" w:sz="4" w:space="0" w:color="auto"/>
              <w:bottom w:val="nil"/>
              <w:right w:val="single" w:sz="4" w:space="0" w:color="auto"/>
            </w:tcBorders>
            <w:shd w:val="clear" w:color="auto" w:fill="auto"/>
            <w:hideMark/>
          </w:tcPr>
          <w:p w14:paraId="48184A7B" w14:textId="77777777" w:rsidR="0076338D" w:rsidRDefault="0076338D" w:rsidP="0076338D">
            <w:pPr>
              <w:pStyle w:val="TAC"/>
              <w:rPr>
                <w:rFonts w:cs="Arial"/>
              </w:rPr>
            </w:pPr>
          </w:p>
        </w:tc>
        <w:tc>
          <w:tcPr>
            <w:tcW w:w="1418" w:type="dxa"/>
            <w:tcBorders>
              <w:top w:val="single" w:sz="6" w:space="0" w:color="000000"/>
              <w:left w:val="single" w:sz="4" w:space="0" w:color="auto"/>
              <w:bottom w:val="single" w:sz="6" w:space="0" w:color="000000"/>
              <w:right w:val="single" w:sz="6" w:space="0" w:color="000000"/>
            </w:tcBorders>
            <w:hideMark/>
          </w:tcPr>
          <w:p w14:paraId="66EE3037" w14:textId="47FD4817" w:rsidR="0076338D" w:rsidRDefault="0076338D" w:rsidP="0076338D">
            <w:pPr>
              <w:pStyle w:val="TAC"/>
              <w:rPr>
                <w:rFonts w:cs="Arial"/>
              </w:rPr>
            </w:pPr>
            <w:r>
              <w:t>10 kHz</w:t>
            </w:r>
          </w:p>
        </w:tc>
        <w:tc>
          <w:tcPr>
            <w:tcW w:w="2519" w:type="dxa"/>
            <w:tcBorders>
              <w:top w:val="single" w:sz="6" w:space="0" w:color="000000"/>
              <w:left w:val="single" w:sz="6" w:space="0" w:color="000000"/>
              <w:bottom w:val="single" w:sz="6" w:space="0" w:color="000000"/>
              <w:right w:val="single" w:sz="6" w:space="0" w:color="000000"/>
            </w:tcBorders>
            <w:hideMark/>
          </w:tcPr>
          <w:p w14:paraId="5ABC9E85" w14:textId="77777777" w:rsidR="0076338D" w:rsidRDefault="0076338D" w:rsidP="0076338D">
            <w:pPr>
              <w:pStyle w:val="TAC"/>
              <w:rPr>
                <w:rFonts w:cs="Arial"/>
              </w:rPr>
            </w:pPr>
            <w:r>
              <w:t>Note 1, Note 4</w:t>
            </w:r>
          </w:p>
        </w:tc>
      </w:tr>
      <w:tr w:rsidR="0076338D" w14:paraId="4C405AA1"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39268FA1" w14:textId="77777777" w:rsidR="0076338D" w:rsidRDefault="0076338D" w:rsidP="0076338D">
            <w:pPr>
              <w:pStyle w:val="TAC"/>
              <w:rPr>
                <w:rFonts w:cs="Arial"/>
              </w:rPr>
            </w:pPr>
            <w:r>
              <w:t>30 MHz – 1 GHz</w:t>
            </w:r>
          </w:p>
        </w:tc>
        <w:tc>
          <w:tcPr>
            <w:tcW w:w="1276" w:type="dxa"/>
            <w:tcBorders>
              <w:top w:val="nil"/>
              <w:left w:val="single" w:sz="4" w:space="0" w:color="auto"/>
              <w:bottom w:val="nil"/>
              <w:right w:val="single" w:sz="4" w:space="0" w:color="auto"/>
            </w:tcBorders>
            <w:shd w:val="clear" w:color="auto" w:fill="auto"/>
            <w:hideMark/>
          </w:tcPr>
          <w:p w14:paraId="1760E025" w14:textId="77777777" w:rsidR="0076338D" w:rsidRDefault="0076338D" w:rsidP="0076338D">
            <w:pPr>
              <w:pStyle w:val="TAC"/>
              <w:rPr>
                <w:rFonts w:cs="Arial"/>
              </w:rPr>
            </w:pPr>
          </w:p>
        </w:tc>
        <w:tc>
          <w:tcPr>
            <w:tcW w:w="1418" w:type="dxa"/>
            <w:tcBorders>
              <w:top w:val="single" w:sz="6" w:space="0" w:color="000000"/>
              <w:left w:val="single" w:sz="4" w:space="0" w:color="auto"/>
              <w:bottom w:val="single" w:sz="6" w:space="0" w:color="000000"/>
              <w:right w:val="single" w:sz="6" w:space="0" w:color="000000"/>
            </w:tcBorders>
            <w:hideMark/>
          </w:tcPr>
          <w:p w14:paraId="7A8397F2" w14:textId="77777777" w:rsidR="0076338D" w:rsidRDefault="0076338D" w:rsidP="0076338D">
            <w:pPr>
              <w:pStyle w:val="TAC"/>
              <w:rPr>
                <w:rFonts w:cs="Arial"/>
              </w:rPr>
            </w:pPr>
            <w:r>
              <w:t>100 kHz</w:t>
            </w:r>
          </w:p>
        </w:tc>
        <w:tc>
          <w:tcPr>
            <w:tcW w:w="2519" w:type="dxa"/>
            <w:tcBorders>
              <w:top w:val="single" w:sz="6" w:space="0" w:color="000000"/>
              <w:left w:val="single" w:sz="6" w:space="0" w:color="000000"/>
              <w:bottom w:val="single" w:sz="6" w:space="0" w:color="000000"/>
              <w:right w:val="single" w:sz="6" w:space="0" w:color="000000"/>
            </w:tcBorders>
            <w:hideMark/>
          </w:tcPr>
          <w:p w14:paraId="25691B12" w14:textId="77777777" w:rsidR="0076338D" w:rsidRDefault="0076338D" w:rsidP="0076338D">
            <w:pPr>
              <w:pStyle w:val="TAC"/>
              <w:rPr>
                <w:rFonts w:cs="Arial"/>
              </w:rPr>
            </w:pPr>
            <w:r>
              <w:t>Note 1</w:t>
            </w:r>
          </w:p>
        </w:tc>
      </w:tr>
      <w:tr w:rsidR="0076338D" w14:paraId="2100EC7C"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5BE1AB34" w14:textId="77777777" w:rsidR="0076338D" w:rsidRDefault="0076338D" w:rsidP="0076338D">
            <w:pPr>
              <w:pStyle w:val="TAC"/>
              <w:rPr>
                <w:rFonts w:cs="Arial"/>
              </w:rPr>
            </w:pPr>
            <w:r>
              <w:t>1 GHz   12.75 GHz</w:t>
            </w:r>
          </w:p>
        </w:tc>
        <w:tc>
          <w:tcPr>
            <w:tcW w:w="1276" w:type="dxa"/>
            <w:tcBorders>
              <w:top w:val="nil"/>
              <w:left w:val="single" w:sz="4" w:space="0" w:color="auto"/>
              <w:bottom w:val="nil"/>
              <w:right w:val="single" w:sz="4" w:space="0" w:color="auto"/>
            </w:tcBorders>
            <w:shd w:val="clear" w:color="auto" w:fill="auto"/>
            <w:hideMark/>
          </w:tcPr>
          <w:p w14:paraId="7B71C620" w14:textId="77777777" w:rsidR="0076338D" w:rsidRDefault="0076338D" w:rsidP="0076338D">
            <w:pPr>
              <w:pStyle w:val="TAC"/>
              <w:rPr>
                <w:rFonts w:cs="Arial"/>
              </w:rPr>
            </w:pPr>
          </w:p>
        </w:tc>
        <w:tc>
          <w:tcPr>
            <w:tcW w:w="1418" w:type="dxa"/>
            <w:tcBorders>
              <w:top w:val="single" w:sz="6" w:space="0" w:color="000000"/>
              <w:left w:val="single" w:sz="4" w:space="0" w:color="auto"/>
              <w:bottom w:val="single" w:sz="6" w:space="0" w:color="000000"/>
              <w:right w:val="single" w:sz="6" w:space="0" w:color="000000"/>
            </w:tcBorders>
            <w:hideMark/>
          </w:tcPr>
          <w:p w14:paraId="56CAAA77" w14:textId="77777777" w:rsidR="0076338D" w:rsidRDefault="0076338D" w:rsidP="0076338D">
            <w:pPr>
              <w:pStyle w:val="TAC"/>
              <w:rPr>
                <w:rFonts w:cs="Arial"/>
              </w:rPr>
            </w:pPr>
            <w:r>
              <w:t>1 MHz</w:t>
            </w:r>
          </w:p>
        </w:tc>
        <w:tc>
          <w:tcPr>
            <w:tcW w:w="2519" w:type="dxa"/>
            <w:tcBorders>
              <w:top w:val="single" w:sz="6" w:space="0" w:color="000000"/>
              <w:left w:val="single" w:sz="6" w:space="0" w:color="000000"/>
              <w:bottom w:val="single" w:sz="6" w:space="0" w:color="000000"/>
              <w:right w:val="single" w:sz="6" w:space="0" w:color="000000"/>
            </w:tcBorders>
            <w:hideMark/>
          </w:tcPr>
          <w:p w14:paraId="37FA865A" w14:textId="77777777" w:rsidR="0076338D" w:rsidRDefault="0076338D" w:rsidP="0076338D">
            <w:pPr>
              <w:pStyle w:val="TAC"/>
              <w:rPr>
                <w:rFonts w:cs="Arial"/>
              </w:rPr>
            </w:pPr>
            <w:r>
              <w:t>Note 1, Note 2</w:t>
            </w:r>
          </w:p>
        </w:tc>
      </w:tr>
      <w:tr w:rsidR="0076338D" w14:paraId="4085DEDF" w14:textId="77777777" w:rsidTr="0076338D">
        <w:trPr>
          <w:cantSplit/>
          <w:trHeight w:val="604"/>
          <w:jc w:val="center"/>
        </w:trPr>
        <w:tc>
          <w:tcPr>
            <w:tcW w:w="2976" w:type="dxa"/>
            <w:tcBorders>
              <w:top w:val="single" w:sz="6" w:space="0" w:color="000000"/>
              <w:left w:val="single" w:sz="6" w:space="0" w:color="000000"/>
              <w:bottom w:val="single" w:sz="6" w:space="0" w:color="000000"/>
              <w:right w:val="single" w:sz="4" w:space="0" w:color="auto"/>
            </w:tcBorders>
            <w:hideMark/>
          </w:tcPr>
          <w:p w14:paraId="3B7D16F5" w14:textId="77777777" w:rsidR="0076338D" w:rsidRDefault="0076338D" w:rsidP="0076338D">
            <w:pPr>
              <w:pStyle w:val="TAC"/>
              <w:rPr>
                <w:rFonts w:cs="Arial"/>
              </w:rPr>
            </w:pPr>
            <w:r>
              <w:t>12.75 GHz – 5</w:t>
            </w:r>
            <w:r>
              <w:rPr>
                <w:vertAlign w:val="superscript"/>
              </w:rPr>
              <w:t>th</w:t>
            </w:r>
            <w:r>
              <w:t xml:space="preserve"> harmonic of the upper frequency edge of the DL </w:t>
            </w:r>
            <w:r>
              <w:rPr>
                <w:i/>
              </w:rPr>
              <w:t>operating band</w:t>
            </w:r>
            <w:r>
              <w:t xml:space="preserve"> in GHz</w:t>
            </w:r>
          </w:p>
        </w:tc>
        <w:tc>
          <w:tcPr>
            <w:tcW w:w="1276" w:type="dxa"/>
            <w:tcBorders>
              <w:top w:val="nil"/>
              <w:left w:val="single" w:sz="4" w:space="0" w:color="auto"/>
              <w:bottom w:val="single" w:sz="4" w:space="0" w:color="auto"/>
              <w:right w:val="single" w:sz="4" w:space="0" w:color="auto"/>
            </w:tcBorders>
            <w:shd w:val="clear" w:color="auto" w:fill="auto"/>
            <w:hideMark/>
          </w:tcPr>
          <w:p w14:paraId="48E67A8A" w14:textId="77777777" w:rsidR="0076338D" w:rsidRDefault="0076338D" w:rsidP="0076338D">
            <w:pPr>
              <w:pStyle w:val="TAC"/>
              <w:rPr>
                <w:rFonts w:cs="Arial"/>
              </w:rPr>
            </w:pPr>
          </w:p>
        </w:tc>
        <w:tc>
          <w:tcPr>
            <w:tcW w:w="1418" w:type="dxa"/>
            <w:tcBorders>
              <w:top w:val="single" w:sz="6" w:space="0" w:color="000000"/>
              <w:left w:val="single" w:sz="4" w:space="0" w:color="auto"/>
              <w:bottom w:val="single" w:sz="6" w:space="0" w:color="000000"/>
              <w:right w:val="single" w:sz="6" w:space="0" w:color="000000"/>
            </w:tcBorders>
            <w:hideMark/>
          </w:tcPr>
          <w:p w14:paraId="4CF7C930" w14:textId="77777777" w:rsidR="0076338D" w:rsidRDefault="0076338D" w:rsidP="0076338D">
            <w:pPr>
              <w:pStyle w:val="TAC"/>
              <w:rPr>
                <w:rFonts w:cs="Arial"/>
              </w:rPr>
            </w:pPr>
            <w:r>
              <w:t>1 MHz</w:t>
            </w:r>
          </w:p>
        </w:tc>
        <w:tc>
          <w:tcPr>
            <w:tcW w:w="2519" w:type="dxa"/>
            <w:tcBorders>
              <w:top w:val="single" w:sz="6" w:space="0" w:color="000000"/>
              <w:left w:val="single" w:sz="6" w:space="0" w:color="000000"/>
              <w:bottom w:val="single" w:sz="6" w:space="0" w:color="000000"/>
              <w:right w:val="single" w:sz="6" w:space="0" w:color="000000"/>
            </w:tcBorders>
            <w:hideMark/>
          </w:tcPr>
          <w:p w14:paraId="58EE1419" w14:textId="77777777" w:rsidR="0076338D" w:rsidRDefault="0076338D" w:rsidP="0076338D">
            <w:pPr>
              <w:pStyle w:val="TAC"/>
              <w:rPr>
                <w:rFonts w:cs="Arial"/>
              </w:rPr>
            </w:pPr>
            <w:r>
              <w:t>Note 1, Note 2, Note 3</w:t>
            </w:r>
          </w:p>
        </w:tc>
      </w:tr>
      <w:tr w:rsidR="00B3234F" w:rsidRPr="00AB3358" w14:paraId="565756CC" w14:textId="77777777" w:rsidTr="00BD1F8C">
        <w:trPr>
          <w:cantSplit/>
          <w:jc w:val="center"/>
        </w:trPr>
        <w:tc>
          <w:tcPr>
            <w:tcW w:w="8189" w:type="dxa"/>
            <w:gridSpan w:val="4"/>
            <w:tcBorders>
              <w:top w:val="single" w:sz="6" w:space="0" w:color="000000"/>
              <w:left w:val="single" w:sz="6" w:space="0" w:color="000000"/>
              <w:bottom w:val="single" w:sz="6" w:space="0" w:color="000000"/>
              <w:right w:val="single" w:sz="6" w:space="0" w:color="000000"/>
            </w:tcBorders>
            <w:hideMark/>
          </w:tcPr>
          <w:p w14:paraId="0B2FBD1E" w14:textId="406F6386" w:rsidR="002E1777" w:rsidRDefault="002E1777" w:rsidP="002E1777">
            <w:pPr>
              <w:pStyle w:val="TAN"/>
              <w:rPr>
                <w:rFonts w:cs="Arial"/>
              </w:rPr>
            </w:pPr>
            <w:r>
              <w:rPr>
                <w:rFonts w:cs="Arial"/>
              </w:rPr>
              <w:t>NOTE 1:</w:t>
            </w:r>
            <w:r>
              <w:rPr>
                <w:rFonts w:cs="Arial"/>
              </w:rPr>
              <w:tab/>
            </w:r>
            <w:r>
              <w:rPr>
                <w:rFonts w:cs="Arial"/>
                <w:i/>
              </w:rPr>
              <w:t>Measurement bandwidth</w:t>
            </w:r>
            <w:r>
              <w:rPr>
                <w:rFonts w:cs="Arial"/>
              </w:rPr>
              <w:t>s as in ITU-R SM.329 [16], s4.1.</w:t>
            </w:r>
          </w:p>
          <w:p w14:paraId="4176ED5B" w14:textId="0C49D723" w:rsidR="002E1777" w:rsidRDefault="002E1777" w:rsidP="002E1777">
            <w:pPr>
              <w:pStyle w:val="TAN"/>
              <w:rPr>
                <w:rFonts w:cs="Arial"/>
              </w:rPr>
            </w:pPr>
            <w:r>
              <w:rPr>
                <w:rFonts w:cs="Arial"/>
              </w:rPr>
              <w:t>NOTE 2:</w:t>
            </w:r>
            <w:r>
              <w:rPr>
                <w:rFonts w:cs="Arial"/>
              </w:rPr>
              <w:tab/>
              <w:t>Upper frequency as in ITU-R SM.329 [16], s2.5 table 1.</w:t>
            </w:r>
          </w:p>
          <w:p w14:paraId="29A7117C" w14:textId="77777777" w:rsidR="00B3234F" w:rsidRDefault="00B3234F" w:rsidP="00BD1F8C">
            <w:pPr>
              <w:pStyle w:val="TAN"/>
              <w:rPr>
                <w:rFonts w:cs="Arial"/>
              </w:rPr>
            </w:pPr>
            <w:r>
              <w:rPr>
                <w:rFonts w:cs="Arial"/>
              </w:rPr>
              <w:t>NOTE 3:</w:t>
            </w:r>
            <w:r>
              <w:rPr>
                <w:rFonts w:cs="Arial"/>
              </w:rPr>
              <w:tab/>
              <w:t xml:space="preserve">For IAB-DU, this spurious frequency range applies only for </w:t>
            </w:r>
            <w:r>
              <w:rPr>
                <w:rFonts w:cs="Arial"/>
                <w:i/>
              </w:rPr>
              <w:t>operating bands</w:t>
            </w:r>
            <w:r>
              <w:rPr>
                <w:rFonts w:cs="Arial"/>
              </w:rPr>
              <w:t xml:space="preserve"> for which the 5</w:t>
            </w:r>
            <w:r>
              <w:rPr>
                <w:rFonts w:cs="Arial"/>
                <w:vertAlign w:val="superscript"/>
              </w:rPr>
              <w:t>th</w:t>
            </w:r>
            <w:r>
              <w:rPr>
                <w:rFonts w:cs="Arial"/>
              </w:rPr>
              <w:t xml:space="preserve"> harmonic of the upper frequency edge </w:t>
            </w:r>
            <w:r>
              <w:t xml:space="preserve">of the DL </w:t>
            </w:r>
            <w:r>
              <w:rPr>
                <w:i/>
              </w:rPr>
              <w:t>operating band</w:t>
            </w:r>
            <w:r>
              <w:rPr>
                <w:rFonts w:cs="Arial"/>
              </w:rPr>
              <w:t xml:space="preserve"> is reaching beyond 12.75 GHz.</w:t>
            </w:r>
            <w:r>
              <w:rPr>
                <w:rFonts w:cs="Arial"/>
              </w:rPr>
              <w:br/>
              <w:t xml:space="preserve">For IAB-MT, this spurious frequency range applies only for </w:t>
            </w:r>
            <w:r>
              <w:rPr>
                <w:rFonts w:cs="Arial"/>
                <w:i/>
              </w:rPr>
              <w:t>operating bands</w:t>
            </w:r>
            <w:r>
              <w:rPr>
                <w:rFonts w:cs="Arial"/>
              </w:rPr>
              <w:t xml:space="preserve"> for which the 5</w:t>
            </w:r>
            <w:r>
              <w:rPr>
                <w:rFonts w:cs="Arial"/>
                <w:vertAlign w:val="superscript"/>
              </w:rPr>
              <w:t>th</w:t>
            </w:r>
            <w:r>
              <w:rPr>
                <w:rFonts w:cs="Arial"/>
              </w:rPr>
              <w:t xml:space="preserve"> harmonic of the upper frequency edge </w:t>
            </w:r>
            <w:r>
              <w:t xml:space="preserve">of the UL </w:t>
            </w:r>
            <w:r>
              <w:rPr>
                <w:i/>
              </w:rPr>
              <w:t>operating band</w:t>
            </w:r>
            <w:r>
              <w:rPr>
                <w:rFonts w:cs="Arial"/>
              </w:rPr>
              <w:t xml:space="preserve"> is reaching beyond 12.75 GHz.</w:t>
            </w:r>
          </w:p>
          <w:p w14:paraId="09567F1E" w14:textId="77777777" w:rsidR="00B3234F" w:rsidRDefault="00B3234F" w:rsidP="00BD1F8C">
            <w:pPr>
              <w:pStyle w:val="TAN"/>
              <w:rPr>
                <w:rFonts w:cs="Arial"/>
              </w:rPr>
            </w:pPr>
            <w:r>
              <w:rPr>
                <w:rFonts w:cs="Arial"/>
              </w:rPr>
              <w:t>NOTE 4:</w:t>
            </w:r>
            <w:r>
              <w:rPr>
                <w:rFonts w:cs="Arial"/>
              </w:rPr>
              <w:tab/>
              <w:t xml:space="preserve">This spurious frequency range applies only to </w:t>
            </w:r>
            <w:r>
              <w:rPr>
                <w:rFonts w:cs="Arial"/>
                <w:i/>
              </w:rPr>
              <w:t>IAB-DU type 1-H and IAB-MT type 1-H</w:t>
            </w:r>
            <w:r>
              <w:rPr>
                <w:rFonts w:cs="Arial"/>
              </w:rPr>
              <w:t>.</w:t>
            </w:r>
          </w:p>
        </w:tc>
      </w:tr>
    </w:tbl>
    <w:p w14:paraId="6FA9B316" w14:textId="77777777" w:rsidR="00B3234F" w:rsidRDefault="00B3234F" w:rsidP="00B3234F"/>
    <w:p w14:paraId="5C48512C" w14:textId="77777777" w:rsidR="00B3234F" w:rsidRDefault="00B3234F" w:rsidP="00B3234F">
      <w:pPr>
        <w:pStyle w:val="TH"/>
      </w:pPr>
      <w:r>
        <w:t>Table 6.6.5.2.1-2: General IAB-DU and IAB-MT transmitter spurious emission limits in FR1, Category B</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76"/>
        <w:gridCol w:w="1276"/>
        <w:gridCol w:w="1418"/>
        <w:gridCol w:w="2519"/>
      </w:tblGrid>
      <w:tr w:rsidR="00B3234F" w14:paraId="049CA3D3" w14:textId="77777777" w:rsidTr="0076338D">
        <w:trPr>
          <w:cantSplit/>
          <w:jc w:val="center"/>
        </w:trPr>
        <w:tc>
          <w:tcPr>
            <w:tcW w:w="2976" w:type="dxa"/>
            <w:tcBorders>
              <w:top w:val="single" w:sz="6" w:space="0" w:color="000000"/>
              <w:left w:val="single" w:sz="6" w:space="0" w:color="000000"/>
              <w:bottom w:val="single" w:sz="6" w:space="0" w:color="000000"/>
              <w:right w:val="single" w:sz="6" w:space="0" w:color="000000"/>
            </w:tcBorders>
            <w:hideMark/>
          </w:tcPr>
          <w:p w14:paraId="5D5EDA54" w14:textId="77777777" w:rsidR="00B3234F" w:rsidRDefault="00B3234F" w:rsidP="00BD1F8C">
            <w:pPr>
              <w:pStyle w:val="TAH"/>
              <w:rPr>
                <w:rFonts w:cs="Arial"/>
              </w:rPr>
            </w:pPr>
            <w:r>
              <w:rPr>
                <w:rFonts w:cs="v5.0.0"/>
              </w:rPr>
              <w:t>Spurious frequency range</w:t>
            </w:r>
          </w:p>
        </w:tc>
        <w:tc>
          <w:tcPr>
            <w:tcW w:w="1276" w:type="dxa"/>
            <w:tcBorders>
              <w:top w:val="single" w:sz="6" w:space="0" w:color="000000"/>
              <w:left w:val="single" w:sz="6" w:space="0" w:color="000000"/>
              <w:bottom w:val="single" w:sz="4" w:space="0" w:color="auto"/>
              <w:right w:val="single" w:sz="6" w:space="0" w:color="000000"/>
            </w:tcBorders>
            <w:hideMark/>
          </w:tcPr>
          <w:p w14:paraId="1AEA9E16" w14:textId="77777777" w:rsidR="00B3234F" w:rsidRDefault="00B3234F" w:rsidP="00BD1F8C">
            <w:pPr>
              <w:pStyle w:val="TAH"/>
              <w:ind w:left="454" w:hanging="454"/>
              <w:rPr>
                <w:rFonts w:cs="Arial"/>
                <w:i/>
              </w:rPr>
            </w:pPr>
            <w:r>
              <w:rPr>
                <w:rFonts w:cs="v5.0.0"/>
                <w:i/>
              </w:rPr>
              <w:t>Basic limit</w:t>
            </w:r>
          </w:p>
        </w:tc>
        <w:tc>
          <w:tcPr>
            <w:tcW w:w="1418" w:type="dxa"/>
            <w:tcBorders>
              <w:top w:val="single" w:sz="6" w:space="0" w:color="000000"/>
              <w:left w:val="single" w:sz="6" w:space="0" w:color="000000"/>
              <w:bottom w:val="single" w:sz="6" w:space="0" w:color="000000"/>
              <w:right w:val="single" w:sz="6" w:space="0" w:color="000000"/>
            </w:tcBorders>
            <w:hideMark/>
          </w:tcPr>
          <w:p w14:paraId="35BF761A" w14:textId="77777777" w:rsidR="00B3234F" w:rsidRDefault="00B3234F" w:rsidP="00BD1F8C">
            <w:pPr>
              <w:pStyle w:val="TAH"/>
              <w:rPr>
                <w:rFonts w:cs="Arial"/>
              </w:rPr>
            </w:pPr>
            <w:r>
              <w:rPr>
                <w:rFonts w:cs="v5.0.0"/>
                <w:i/>
              </w:rPr>
              <w:t>Measurement bandwidth</w:t>
            </w:r>
          </w:p>
        </w:tc>
        <w:tc>
          <w:tcPr>
            <w:tcW w:w="2519" w:type="dxa"/>
            <w:tcBorders>
              <w:top w:val="single" w:sz="6" w:space="0" w:color="000000"/>
              <w:left w:val="single" w:sz="6" w:space="0" w:color="000000"/>
              <w:bottom w:val="single" w:sz="6" w:space="0" w:color="000000"/>
              <w:right w:val="single" w:sz="6" w:space="0" w:color="000000"/>
            </w:tcBorders>
            <w:hideMark/>
          </w:tcPr>
          <w:p w14:paraId="0D22A18F" w14:textId="77777777" w:rsidR="00B3234F" w:rsidRDefault="00B3234F" w:rsidP="00BD1F8C">
            <w:pPr>
              <w:pStyle w:val="TAH"/>
              <w:rPr>
                <w:rFonts w:cs="Arial"/>
              </w:rPr>
            </w:pPr>
            <w:r>
              <w:rPr>
                <w:rFonts w:cs="v5.0.0"/>
              </w:rPr>
              <w:t>Notes</w:t>
            </w:r>
          </w:p>
        </w:tc>
      </w:tr>
      <w:tr w:rsidR="0076338D" w14:paraId="5E8B7D2D"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084583F6" w14:textId="77777777" w:rsidR="0076338D" w:rsidRDefault="0076338D" w:rsidP="0076338D">
            <w:pPr>
              <w:pStyle w:val="TAC"/>
            </w:pPr>
            <w:r>
              <w:t>9 kHz – 150 kHz</w:t>
            </w:r>
          </w:p>
        </w:tc>
        <w:tc>
          <w:tcPr>
            <w:tcW w:w="1276" w:type="dxa"/>
            <w:tcBorders>
              <w:top w:val="single" w:sz="4" w:space="0" w:color="auto"/>
              <w:left w:val="single" w:sz="4" w:space="0" w:color="auto"/>
              <w:bottom w:val="nil"/>
              <w:right w:val="single" w:sz="4" w:space="0" w:color="auto"/>
            </w:tcBorders>
            <w:shd w:val="clear" w:color="auto" w:fill="auto"/>
            <w:hideMark/>
          </w:tcPr>
          <w:p w14:paraId="6DE43195" w14:textId="77777777" w:rsidR="0076338D" w:rsidRDefault="0076338D" w:rsidP="0076338D">
            <w:pPr>
              <w:pStyle w:val="TAC"/>
            </w:pPr>
            <w:r>
              <w:t>-36 dBm</w:t>
            </w:r>
          </w:p>
        </w:tc>
        <w:tc>
          <w:tcPr>
            <w:tcW w:w="1418" w:type="dxa"/>
            <w:tcBorders>
              <w:top w:val="single" w:sz="6" w:space="0" w:color="000000"/>
              <w:left w:val="single" w:sz="4" w:space="0" w:color="auto"/>
              <w:bottom w:val="single" w:sz="6" w:space="0" w:color="000000"/>
              <w:right w:val="single" w:sz="6" w:space="0" w:color="000000"/>
            </w:tcBorders>
            <w:hideMark/>
          </w:tcPr>
          <w:p w14:paraId="664F0A54" w14:textId="77777777" w:rsidR="0076338D" w:rsidRDefault="0076338D" w:rsidP="0076338D">
            <w:pPr>
              <w:pStyle w:val="TAC"/>
            </w:pPr>
            <w:r>
              <w:t>1 kHz</w:t>
            </w:r>
          </w:p>
        </w:tc>
        <w:tc>
          <w:tcPr>
            <w:tcW w:w="2519" w:type="dxa"/>
            <w:tcBorders>
              <w:top w:val="single" w:sz="6" w:space="0" w:color="000000"/>
              <w:left w:val="single" w:sz="6" w:space="0" w:color="000000"/>
              <w:bottom w:val="single" w:sz="6" w:space="0" w:color="000000"/>
              <w:right w:val="single" w:sz="6" w:space="0" w:color="000000"/>
            </w:tcBorders>
            <w:hideMark/>
          </w:tcPr>
          <w:p w14:paraId="014C1342" w14:textId="77777777" w:rsidR="0076338D" w:rsidRDefault="0076338D" w:rsidP="0076338D">
            <w:pPr>
              <w:pStyle w:val="TAC"/>
              <w:rPr>
                <w:rFonts w:cs="Arial"/>
              </w:rPr>
            </w:pPr>
            <w:r>
              <w:rPr>
                <w:rFonts w:cs="Arial"/>
              </w:rPr>
              <w:t>Note 1</w:t>
            </w:r>
            <w:r>
              <w:t>, Note 4</w:t>
            </w:r>
          </w:p>
        </w:tc>
      </w:tr>
      <w:tr w:rsidR="0076338D" w14:paraId="6606B402"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284E1C04" w14:textId="77777777" w:rsidR="0076338D" w:rsidRDefault="0076338D" w:rsidP="0076338D">
            <w:pPr>
              <w:pStyle w:val="TAC"/>
              <w:rPr>
                <w:rFonts w:cs="Arial"/>
              </w:rPr>
            </w:pPr>
            <w:r>
              <w:t>150 kHz – 30 MHz</w:t>
            </w:r>
          </w:p>
        </w:tc>
        <w:tc>
          <w:tcPr>
            <w:tcW w:w="1276" w:type="dxa"/>
            <w:tcBorders>
              <w:top w:val="nil"/>
              <w:left w:val="single" w:sz="4" w:space="0" w:color="auto"/>
              <w:bottom w:val="nil"/>
              <w:right w:val="single" w:sz="4" w:space="0" w:color="auto"/>
            </w:tcBorders>
            <w:shd w:val="clear" w:color="auto" w:fill="auto"/>
            <w:hideMark/>
          </w:tcPr>
          <w:p w14:paraId="57957D46" w14:textId="77777777" w:rsidR="0076338D" w:rsidRDefault="0076338D" w:rsidP="0076338D">
            <w:pPr>
              <w:pStyle w:val="TAC"/>
            </w:pPr>
          </w:p>
        </w:tc>
        <w:tc>
          <w:tcPr>
            <w:tcW w:w="1418" w:type="dxa"/>
            <w:tcBorders>
              <w:top w:val="single" w:sz="6" w:space="0" w:color="000000"/>
              <w:left w:val="single" w:sz="4" w:space="0" w:color="auto"/>
              <w:bottom w:val="single" w:sz="6" w:space="0" w:color="000000"/>
              <w:right w:val="single" w:sz="6" w:space="0" w:color="000000"/>
            </w:tcBorders>
            <w:hideMark/>
          </w:tcPr>
          <w:p w14:paraId="1CF3CCA2" w14:textId="168A52D6" w:rsidR="0076338D" w:rsidRDefault="0076338D" w:rsidP="0076338D">
            <w:pPr>
              <w:pStyle w:val="TAC"/>
              <w:rPr>
                <w:rFonts w:cs="Arial"/>
              </w:rPr>
            </w:pPr>
            <w:r>
              <w:t>10 kHz</w:t>
            </w:r>
          </w:p>
        </w:tc>
        <w:tc>
          <w:tcPr>
            <w:tcW w:w="2519" w:type="dxa"/>
            <w:tcBorders>
              <w:top w:val="single" w:sz="6" w:space="0" w:color="000000"/>
              <w:left w:val="single" w:sz="6" w:space="0" w:color="000000"/>
              <w:bottom w:val="single" w:sz="6" w:space="0" w:color="000000"/>
              <w:right w:val="single" w:sz="6" w:space="0" w:color="000000"/>
            </w:tcBorders>
            <w:hideMark/>
          </w:tcPr>
          <w:p w14:paraId="4FFE3366" w14:textId="77777777" w:rsidR="0076338D" w:rsidRDefault="0076338D" w:rsidP="0076338D">
            <w:pPr>
              <w:pStyle w:val="TAC"/>
              <w:rPr>
                <w:rFonts w:cs="Arial"/>
              </w:rPr>
            </w:pPr>
            <w:r>
              <w:rPr>
                <w:rFonts w:cs="Arial"/>
              </w:rPr>
              <w:t>Note 1</w:t>
            </w:r>
            <w:r>
              <w:t>, Note 4</w:t>
            </w:r>
          </w:p>
        </w:tc>
      </w:tr>
      <w:tr w:rsidR="0076338D" w14:paraId="02DEB262"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2A349668" w14:textId="77777777" w:rsidR="0076338D" w:rsidRDefault="0076338D" w:rsidP="0076338D">
            <w:pPr>
              <w:pStyle w:val="TAC"/>
              <w:rPr>
                <w:rFonts w:cs="Arial"/>
              </w:rPr>
            </w:pPr>
            <w:r>
              <w:t>30 MHz – 1 GHz</w:t>
            </w:r>
          </w:p>
        </w:tc>
        <w:tc>
          <w:tcPr>
            <w:tcW w:w="1276" w:type="dxa"/>
            <w:tcBorders>
              <w:top w:val="nil"/>
              <w:left w:val="single" w:sz="4" w:space="0" w:color="auto"/>
              <w:bottom w:val="single" w:sz="4" w:space="0" w:color="auto"/>
              <w:right w:val="single" w:sz="4" w:space="0" w:color="auto"/>
            </w:tcBorders>
            <w:shd w:val="clear" w:color="auto" w:fill="auto"/>
            <w:hideMark/>
          </w:tcPr>
          <w:p w14:paraId="3E7AD9EA" w14:textId="77777777" w:rsidR="0076338D" w:rsidRDefault="0076338D" w:rsidP="0076338D">
            <w:pPr>
              <w:pStyle w:val="TAC"/>
            </w:pPr>
          </w:p>
        </w:tc>
        <w:tc>
          <w:tcPr>
            <w:tcW w:w="1418" w:type="dxa"/>
            <w:tcBorders>
              <w:top w:val="single" w:sz="6" w:space="0" w:color="000000"/>
              <w:left w:val="single" w:sz="4" w:space="0" w:color="auto"/>
              <w:bottom w:val="single" w:sz="6" w:space="0" w:color="000000"/>
              <w:right w:val="single" w:sz="6" w:space="0" w:color="000000"/>
            </w:tcBorders>
            <w:hideMark/>
          </w:tcPr>
          <w:p w14:paraId="0A06C073" w14:textId="77777777" w:rsidR="0076338D" w:rsidRDefault="0076338D" w:rsidP="0076338D">
            <w:pPr>
              <w:pStyle w:val="TAC"/>
              <w:rPr>
                <w:rFonts w:cs="Arial"/>
              </w:rPr>
            </w:pPr>
            <w:r>
              <w:t>100 kHz</w:t>
            </w:r>
          </w:p>
        </w:tc>
        <w:tc>
          <w:tcPr>
            <w:tcW w:w="2519" w:type="dxa"/>
            <w:tcBorders>
              <w:top w:val="single" w:sz="6" w:space="0" w:color="000000"/>
              <w:left w:val="single" w:sz="6" w:space="0" w:color="000000"/>
              <w:bottom w:val="single" w:sz="6" w:space="0" w:color="000000"/>
              <w:right w:val="single" w:sz="6" w:space="0" w:color="000000"/>
            </w:tcBorders>
            <w:hideMark/>
          </w:tcPr>
          <w:p w14:paraId="4011B878" w14:textId="77777777" w:rsidR="0076338D" w:rsidRDefault="0076338D" w:rsidP="0076338D">
            <w:pPr>
              <w:pStyle w:val="TAC"/>
              <w:rPr>
                <w:rFonts w:cs="Arial"/>
              </w:rPr>
            </w:pPr>
            <w:r>
              <w:rPr>
                <w:rFonts w:cs="Arial"/>
              </w:rPr>
              <w:t>Note 1</w:t>
            </w:r>
          </w:p>
        </w:tc>
      </w:tr>
      <w:tr w:rsidR="0076338D" w14:paraId="062324E6" w14:textId="77777777" w:rsidTr="0076338D">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346E0476" w14:textId="77777777" w:rsidR="0076338D" w:rsidRDefault="0076338D" w:rsidP="0076338D">
            <w:pPr>
              <w:pStyle w:val="TAC"/>
              <w:rPr>
                <w:rFonts w:cs="Arial"/>
              </w:rPr>
            </w:pPr>
            <w:r>
              <w:t>1 GHz – 12.75 GHz</w:t>
            </w:r>
          </w:p>
        </w:tc>
        <w:tc>
          <w:tcPr>
            <w:tcW w:w="1276" w:type="dxa"/>
            <w:tcBorders>
              <w:top w:val="single" w:sz="4" w:space="0" w:color="auto"/>
              <w:left w:val="single" w:sz="4" w:space="0" w:color="auto"/>
              <w:bottom w:val="nil"/>
              <w:right w:val="single" w:sz="4" w:space="0" w:color="auto"/>
            </w:tcBorders>
            <w:shd w:val="clear" w:color="auto" w:fill="auto"/>
            <w:hideMark/>
          </w:tcPr>
          <w:p w14:paraId="7BADF8CF" w14:textId="77777777" w:rsidR="0076338D" w:rsidRDefault="0076338D" w:rsidP="0076338D">
            <w:pPr>
              <w:pStyle w:val="TAC"/>
            </w:pPr>
            <w:r>
              <w:t>-30 dBm</w:t>
            </w:r>
          </w:p>
        </w:tc>
        <w:tc>
          <w:tcPr>
            <w:tcW w:w="1418" w:type="dxa"/>
            <w:tcBorders>
              <w:top w:val="single" w:sz="6" w:space="0" w:color="000000"/>
              <w:left w:val="single" w:sz="4" w:space="0" w:color="auto"/>
              <w:bottom w:val="single" w:sz="6" w:space="0" w:color="000000"/>
              <w:right w:val="single" w:sz="6" w:space="0" w:color="000000"/>
            </w:tcBorders>
            <w:hideMark/>
          </w:tcPr>
          <w:p w14:paraId="5C2F1B27" w14:textId="77777777" w:rsidR="0076338D" w:rsidRDefault="0076338D" w:rsidP="0076338D">
            <w:pPr>
              <w:pStyle w:val="TAC"/>
              <w:rPr>
                <w:rFonts w:cs="Arial"/>
              </w:rPr>
            </w:pPr>
            <w:r>
              <w:t>1 MHz</w:t>
            </w:r>
          </w:p>
        </w:tc>
        <w:tc>
          <w:tcPr>
            <w:tcW w:w="2519" w:type="dxa"/>
            <w:tcBorders>
              <w:top w:val="single" w:sz="6" w:space="0" w:color="000000"/>
              <w:left w:val="single" w:sz="6" w:space="0" w:color="000000"/>
              <w:bottom w:val="single" w:sz="6" w:space="0" w:color="000000"/>
              <w:right w:val="single" w:sz="6" w:space="0" w:color="000000"/>
            </w:tcBorders>
            <w:hideMark/>
          </w:tcPr>
          <w:p w14:paraId="16318E0C" w14:textId="77777777" w:rsidR="0076338D" w:rsidRDefault="0076338D" w:rsidP="0076338D">
            <w:pPr>
              <w:pStyle w:val="TAC"/>
              <w:rPr>
                <w:rFonts w:cs="Arial"/>
              </w:rPr>
            </w:pPr>
            <w:r>
              <w:rPr>
                <w:rFonts w:cs="Arial"/>
              </w:rPr>
              <w:t>Note 1, Note 2</w:t>
            </w:r>
          </w:p>
        </w:tc>
      </w:tr>
      <w:tr w:rsidR="0076338D" w14:paraId="559EDC51" w14:textId="77777777" w:rsidTr="0076338D">
        <w:trPr>
          <w:cantSplit/>
          <w:trHeight w:val="604"/>
          <w:jc w:val="center"/>
        </w:trPr>
        <w:tc>
          <w:tcPr>
            <w:tcW w:w="2976" w:type="dxa"/>
            <w:tcBorders>
              <w:top w:val="single" w:sz="6" w:space="0" w:color="000000"/>
              <w:left w:val="single" w:sz="6" w:space="0" w:color="000000"/>
              <w:bottom w:val="single" w:sz="6" w:space="0" w:color="000000"/>
              <w:right w:val="single" w:sz="4" w:space="0" w:color="auto"/>
            </w:tcBorders>
            <w:hideMark/>
          </w:tcPr>
          <w:p w14:paraId="0D4B4A6C" w14:textId="77777777" w:rsidR="0076338D" w:rsidRDefault="0076338D" w:rsidP="0076338D">
            <w:pPr>
              <w:pStyle w:val="TAC"/>
              <w:rPr>
                <w:rFonts w:cs="Arial"/>
              </w:rPr>
            </w:pPr>
            <w:r>
              <w:t xml:space="preserve">12.75 GHz – </w:t>
            </w:r>
            <w:r>
              <w:rPr>
                <w:rFonts w:cs="Arial"/>
              </w:rPr>
              <w:t>5</w:t>
            </w:r>
            <w:r>
              <w:rPr>
                <w:rFonts w:cs="Arial"/>
                <w:vertAlign w:val="superscript"/>
              </w:rPr>
              <w:t>th</w:t>
            </w:r>
            <w:r>
              <w:rPr>
                <w:rFonts w:cs="Arial"/>
              </w:rPr>
              <w:t xml:space="preserve"> harmonic of the upper frequency edge of the DL </w:t>
            </w:r>
            <w:r>
              <w:rPr>
                <w:rFonts w:cs="Arial"/>
                <w:i/>
              </w:rPr>
              <w:t>operating band</w:t>
            </w:r>
            <w:r>
              <w:rPr>
                <w:rFonts w:cs="Arial"/>
              </w:rPr>
              <w:t xml:space="preserve"> in GHz</w:t>
            </w:r>
          </w:p>
        </w:tc>
        <w:tc>
          <w:tcPr>
            <w:tcW w:w="1276" w:type="dxa"/>
            <w:tcBorders>
              <w:top w:val="nil"/>
              <w:left w:val="single" w:sz="4" w:space="0" w:color="auto"/>
              <w:bottom w:val="single" w:sz="4" w:space="0" w:color="auto"/>
              <w:right w:val="single" w:sz="4" w:space="0" w:color="auto"/>
            </w:tcBorders>
            <w:shd w:val="clear" w:color="auto" w:fill="auto"/>
            <w:hideMark/>
          </w:tcPr>
          <w:p w14:paraId="1C72D3EC" w14:textId="77777777" w:rsidR="0076338D" w:rsidRDefault="0076338D" w:rsidP="0076338D">
            <w:pPr>
              <w:pStyle w:val="TAC"/>
            </w:pPr>
          </w:p>
        </w:tc>
        <w:tc>
          <w:tcPr>
            <w:tcW w:w="1418" w:type="dxa"/>
            <w:tcBorders>
              <w:top w:val="single" w:sz="6" w:space="0" w:color="000000"/>
              <w:left w:val="single" w:sz="4" w:space="0" w:color="auto"/>
              <w:bottom w:val="single" w:sz="6" w:space="0" w:color="000000"/>
              <w:right w:val="single" w:sz="6" w:space="0" w:color="000000"/>
            </w:tcBorders>
            <w:hideMark/>
          </w:tcPr>
          <w:p w14:paraId="7C38D188" w14:textId="77777777" w:rsidR="0076338D" w:rsidRDefault="0076338D" w:rsidP="0076338D">
            <w:pPr>
              <w:pStyle w:val="TAC"/>
              <w:rPr>
                <w:rFonts w:cs="Arial"/>
              </w:rPr>
            </w:pPr>
            <w:r>
              <w:t>1 MHz</w:t>
            </w:r>
          </w:p>
        </w:tc>
        <w:tc>
          <w:tcPr>
            <w:tcW w:w="2519" w:type="dxa"/>
            <w:tcBorders>
              <w:top w:val="single" w:sz="6" w:space="0" w:color="000000"/>
              <w:left w:val="single" w:sz="6" w:space="0" w:color="000000"/>
              <w:bottom w:val="single" w:sz="6" w:space="0" w:color="000000"/>
              <w:right w:val="single" w:sz="6" w:space="0" w:color="000000"/>
            </w:tcBorders>
            <w:hideMark/>
          </w:tcPr>
          <w:p w14:paraId="2ACB5594" w14:textId="77777777" w:rsidR="0076338D" w:rsidRDefault="0076338D" w:rsidP="0076338D">
            <w:pPr>
              <w:pStyle w:val="TAC"/>
              <w:rPr>
                <w:rFonts w:cs="Arial"/>
              </w:rPr>
            </w:pPr>
            <w:r>
              <w:rPr>
                <w:rFonts w:cs="Arial"/>
              </w:rPr>
              <w:t>Note 1, Note 2, Note 3</w:t>
            </w:r>
          </w:p>
        </w:tc>
      </w:tr>
      <w:tr w:rsidR="00B3234F" w:rsidRPr="00AB3358" w14:paraId="672243D8" w14:textId="77777777" w:rsidTr="00BD1F8C">
        <w:trPr>
          <w:cantSplit/>
          <w:jc w:val="center"/>
        </w:trPr>
        <w:tc>
          <w:tcPr>
            <w:tcW w:w="8189" w:type="dxa"/>
            <w:gridSpan w:val="4"/>
            <w:tcBorders>
              <w:top w:val="single" w:sz="6" w:space="0" w:color="000000"/>
              <w:left w:val="single" w:sz="6" w:space="0" w:color="000000"/>
              <w:bottom w:val="single" w:sz="6" w:space="0" w:color="000000"/>
              <w:right w:val="single" w:sz="6" w:space="0" w:color="000000"/>
            </w:tcBorders>
            <w:hideMark/>
          </w:tcPr>
          <w:p w14:paraId="6709AFAB" w14:textId="07CF09D3" w:rsidR="002E1777" w:rsidRDefault="002E1777" w:rsidP="002E1777">
            <w:pPr>
              <w:pStyle w:val="TAN"/>
              <w:rPr>
                <w:rFonts w:cs="Arial"/>
              </w:rPr>
            </w:pPr>
            <w:r>
              <w:rPr>
                <w:rFonts w:cs="Arial"/>
              </w:rPr>
              <w:t>NOTE 1:</w:t>
            </w:r>
            <w:r>
              <w:rPr>
                <w:rFonts w:cs="Arial"/>
              </w:rPr>
              <w:tab/>
            </w:r>
            <w:r>
              <w:rPr>
                <w:rFonts w:cs="Arial"/>
                <w:i/>
              </w:rPr>
              <w:t>Measurement bandwidth</w:t>
            </w:r>
            <w:r>
              <w:rPr>
                <w:rFonts w:cs="Arial"/>
              </w:rPr>
              <w:t>s as in ITU-R SM.329 [16], s4.1.</w:t>
            </w:r>
          </w:p>
          <w:p w14:paraId="79A52E13" w14:textId="2CB8884B" w:rsidR="002E1777" w:rsidRDefault="002E1777" w:rsidP="002E1777">
            <w:pPr>
              <w:pStyle w:val="TAN"/>
              <w:rPr>
                <w:rFonts w:cs="Arial"/>
              </w:rPr>
            </w:pPr>
            <w:r>
              <w:rPr>
                <w:rFonts w:cs="Arial"/>
              </w:rPr>
              <w:t>NOTE 2:</w:t>
            </w:r>
            <w:r>
              <w:rPr>
                <w:rFonts w:cs="Arial"/>
              </w:rPr>
              <w:tab/>
              <w:t>Upper frequency as in ITU-R SM.329 [16], s2.5 table 1.</w:t>
            </w:r>
          </w:p>
          <w:p w14:paraId="06DE7D61" w14:textId="77777777" w:rsidR="00B3234F" w:rsidRDefault="00B3234F" w:rsidP="00BD1F8C">
            <w:pPr>
              <w:pStyle w:val="TAN"/>
              <w:rPr>
                <w:rFonts w:cs="Arial"/>
              </w:rPr>
            </w:pPr>
            <w:r>
              <w:rPr>
                <w:rFonts w:cs="Arial"/>
              </w:rPr>
              <w:t>NOTE 3:</w:t>
            </w:r>
            <w:r>
              <w:rPr>
                <w:rFonts w:cs="Arial"/>
              </w:rPr>
              <w:tab/>
              <w:t xml:space="preserve">For IAB-DU, this spurious frequency range applies only for </w:t>
            </w:r>
            <w:r>
              <w:rPr>
                <w:rFonts w:cs="Arial"/>
                <w:i/>
              </w:rPr>
              <w:t>operating bands</w:t>
            </w:r>
            <w:r>
              <w:rPr>
                <w:rFonts w:cs="Arial"/>
              </w:rPr>
              <w:t xml:space="preserve"> for which the 5</w:t>
            </w:r>
            <w:r>
              <w:rPr>
                <w:rFonts w:cs="Arial"/>
                <w:vertAlign w:val="superscript"/>
              </w:rPr>
              <w:t>th</w:t>
            </w:r>
            <w:r>
              <w:rPr>
                <w:rFonts w:cs="Arial"/>
              </w:rPr>
              <w:t xml:space="preserve"> harmonic of the upper frequency edge </w:t>
            </w:r>
            <w:r>
              <w:t xml:space="preserve">of the DL </w:t>
            </w:r>
            <w:r>
              <w:rPr>
                <w:i/>
              </w:rPr>
              <w:t>operating band</w:t>
            </w:r>
            <w:r>
              <w:rPr>
                <w:rFonts w:cs="Arial"/>
              </w:rPr>
              <w:t xml:space="preserve"> is reaching beyond 12.75 GHz.</w:t>
            </w:r>
            <w:r>
              <w:rPr>
                <w:rFonts w:cs="Arial"/>
              </w:rPr>
              <w:br/>
              <w:t xml:space="preserve">For IAB-MT, this spurious frequency range applies only for </w:t>
            </w:r>
            <w:r>
              <w:rPr>
                <w:rFonts w:cs="Arial"/>
                <w:i/>
              </w:rPr>
              <w:t>operating bands</w:t>
            </w:r>
            <w:r>
              <w:rPr>
                <w:rFonts w:cs="Arial"/>
              </w:rPr>
              <w:t xml:space="preserve"> for which the 5</w:t>
            </w:r>
            <w:r>
              <w:rPr>
                <w:rFonts w:cs="Arial"/>
                <w:vertAlign w:val="superscript"/>
              </w:rPr>
              <w:t>th</w:t>
            </w:r>
            <w:r>
              <w:rPr>
                <w:rFonts w:cs="Arial"/>
              </w:rPr>
              <w:t xml:space="preserve"> harmonic of the upper frequency edge </w:t>
            </w:r>
            <w:r>
              <w:t xml:space="preserve">of the UL </w:t>
            </w:r>
            <w:r>
              <w:rPr>
                <w:i/>
              </w:rPr>
              <w:t>operating band</w:t>
            </w:r>
            <w:r>
              <w:rPr>
                <w:rFonts w:cs="Arial"/>
              </w:rPr>
              <w:t xml:space="preserve"> is reaching beyond 12.75 GHz.</w:t>
            </w:r>
          </w:p>
          <w:p w14:paraId="207C99BA" w14:textId="77777777" w:rsidR="00B3234F" w:rsidRDefault="00B3234F" w:rsidP="00BD1F8C">
            <w:pPr>
              <w:pStyle w:val="TAN"/>
              <w:rPr>
                <w:rFonts w:cs="Arial"/>
              </w:rPr>
            </w:pPr>
            <w:r>
              <w:rPr>
                <w:rFonts w:cs="Arial"/>
              </w:rPr>
              <w:t>NOTE 4:</w:t>
            </w:r>
            <w:r>
              <w:rPr>
                <w:rFonts w:cs="Arial"/>
              </w:rPr>
              <w:tab/>
              <w:t xml:space="preserve">This spurious frequency range applies only to </w:t>
            </w:r>
            <w:r>
              <w:rPr>
                <w:rFonts w:cs="Arial"/>
                <w:i/>
              </w:rPr>
              <w:t>IAB-DU type 1-H and IAB-MT type 1-H</w:t>
            </w:r>
            <w:r>
              <w:rPr>
                <w:rFonts w:cs="Arial"/>
              </w:rPr>
              <w:t>.</w:t>
            </w:r>
          </w:p>
        </w:tc>
      </w:tr>
    </w:tbl>
    <w:p w14:paraId="2891960E" w14:textId="77777777" w:rsidR="00B3234F" w:rsidRDefault="00B3234F" w:rsidP="00B3234F"/>
    <w:p w14:paraId="74364FBB" w14:textId="77777777" w:rsidR="00B3234F" w:rsidRDefault="00B3234F" w:rsidP="00B3234F">
      <w:pPr>
        <w:pStyle w:val="Heading5"/>
      </w:pPr>
      <w:bookmarkStart w:id="2359" w:name="_Toc45893493"/>
      <w:bookmarkStart w:id="2360" w:name="_Toc44712180"/>
      <w:bookmarkStart w:id="2361" w:name="_Toc37267578"/>
      <w:bookmarkStart w:id="2362" w:name="_Toc37260190"/>
      <w:bookmarkStart w:id="2363" w:name="_Toc36817273"/>
      <w:bookmarkStart w:id="2364" w:name="_Toc29811721"/>
      <w:bookmarkStart w:id="2365" w:name="_Toc21127512"/>
      <w:bookmarkStart w:id="2366" w:name="_Toc53185378"/>
      <w:bookmarkStart w:id="2367" w:name="_Toc53185754"/>
      <w:bookmarkStart w:id="2368" w:name="_Toc57820230"/>
      <w:bookmarkStart w:id="2369" w:name="_Toc57821157"/>
      <w:bookmarkStart w:id="2370" w:name="_Toc61183433"/>
      <w:bookmarkStart w:id="2371" w:name="_Toc61183827"/>
      <w:bookmarkStart w:id="2372" w:name="_Toc61184219"/>
      <w:bookmarkStart w:id="2373" w:name="_Toc61184611"/>
      <w:bookmarkStart w:id="2374" w:name="_Toc61185001"/>
      <w:bookmarkStart w:id="2375" w:name="_Toc66386344"/>
      <w:bookmarkStart w:id="2376" w:name="_Toc74583185"/>
      <w:bookmarkStart w:id="2377" w:name="_Toc76541998"/>
      <w:bookmarkStart w:id="2378" w:name="_Toc82449980"/>
      <w:bookmarkStart w:id="2379" w:name="_Toc82450628"/>
      <w:bookmarkStart w:id="2380" w:name="_Toc89949017"/>
      <w:bookmarkStart w:id="2381" w:name="_Toc98755406"/>
      <w:bookmarkStart w:id="2382" w:name="_Toc98762997"/>
      <w:bookmarkStart w:id="2383" w:name="_Toc106183926"/>
      <w:r>
        <w:t>6.6.5.2.2</w:t>
      </w:r>
      <w:r>
        <w:tab/>
        <w:t>Additional spurious emissions requirements</w:t>
      </w:r>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p>
    <w:p w14:paraId="629D9F0F" w14:textId="77777777" w:rsidR="00B3234F" w:rsidRDefault="00B3234F" w:rsidP="00B3234F">
      <w:r>
        <w:t xml:space="preserve">These requirements may be applied for the protection of system operating in other frequency ranges. The limits may apply as an optional protection of such systems that are deployed in the same geographical area as the IAB-Node, or they may be set by local or regional regulation as a mandatory requirement for an NR </w:t>
      </w:r>
      <w:r>
        <w:rPr>
          <w:i/>
        </w:rPr>
        <w:t>operating band</w:t>
      </w:r>
      <w:r>
        <w:t>. It is in some cases not stated in the present document whether a requirement is mandatory or under what exact circumstances that a limit applies, since this is set by local or regional regulation. An overview of regional requirements in the present document is given in clause 4.5.</w:t>
      </w:r>
    </w:p>
    <w:p w14:paraId="53EBF277" w14:textId="77777777" w:rsidR="00B3234F" w:rsidRDefault="00B3234F" w:rsidP="00B3234F">
      <w:r>
        <w:t>Some requirements may apply for the protection of specific equipment (UE, MS and/or BS) or equipment operating in specific systems (GSM, CDMA, UTRA, E-UTRA, NR, etc.) as listed below.</w:t>
      </w:r>
    </w:p>
    <w:p w14:paraId="1DC1AE47" w14:textId="77777777" w:rsidR="00B3234F" w:rsidRDefault="00B3234F" w:rsidP="00B3234F">
      <w:pPr>
        <w:keepNext/>
      </w:pPr>
      <w:r>
        <w:lastRenderedPageBreak/>
        <w:t xml:space="preserve">The spurious emission </w:t>
      </w:r>
      <w:r>
        <w:rPr>
          <w:i/>
        </w:rPr>
        <w:t>basic limits</w:t>
      </w:r>
      <w:r>
        <w:t xml:space="preserve"> are provided in table 6.6.5.2.2-1 where requirements for co-existence with the system listed in the first column apply for IAB-MT and IAB-DU. For </w:t>
      </w:r>
      <w:r>
        <w:rPr>
          <w:rFonts w:cs="Arial"/>
        </w:rPr>
        <w:t xml:space="preserve">a </w:t>
      </w:r>
      <w:r>
        <w:rPr>
          <w:rFonts w:cs="Arial"/>
          <w:i/>
        </w:rPr>
        <w:t>multi-band connector</w:t>
      </w:r>
      <w:r>
        <w:t xml:space="preserve">, the exclusions and conditions in the Note column of table 6.6.5.2.2-1 apply for each supported </w:t>
      </w:r>
      <w:r>
        <w:rPr>
          <w:i/>
        </w:rPr>
        <w:t>operating band</w:t>
      </w:r>
      <w:r>
        <w:t>.</w:t>
      </w:r>
    </w:p>
    <w:p w14:paraId="2A47949D" w14:textId="77777777" w:rsidR="00B3234F" w:rsidRDefault="00B3234F" w:rsidP="00B3234F">
      <w:pPr>
        <w:pStyle w:val="TH"/>
      </w:pPr>
      <w:r>
        <w:t xml:space="preserve">Table 6.6.5.2.2-1: IAB-DU and IAB-MT spurious emissions </w:t>
      </w:r>
      <w:r>
        <w:rPr>
          <w:i/>
        </w:rPr>
        <w:t>basic</w:t>
      </w:r>
      <w:r>
        <w:t xml:space="preserve"> </w:t>
      </w:r>
      <w:r>
        <w:rPr>
          <w:i/>
        </w:rPr>
        <w:t>limits</w:t>
      </w:r>
      <w:r>
        <w:t xml:space="preserve"> for co-existence with systems operating in other frequency bands</w:t>
      </w:r>
    </w:p>
    <w:tbl>
      <w:tblPr>
        <w:tblW w:w="96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A0" w:firstRow="1" w:lastRow="0" w:firstColumn="1" w:lastColumn="0" w:noHBand="0" w:noVBand="0"/>
      </w:tblPr>
      <w:tblGrid>
        <w:gridCol w:w="1301"/>
        <w:gridCol w:w="1700"/>
        <w:gridCol w:w="851"/>
        <w:gridCol w:w="1417"/>
        <w:gridCol w:w="4421"/>
      </w:tblGrid>
      <w:tr w:rsidR="00B3234F" w14:paraId="6E6552FD" w14:textId="77777777" w:rsidTr="0076338D">
        <w:trPr>
          <w:cantSplit/>
          <w:trHeight w:val="113"/>
          <w:jc w:val="center"/>
        </w:trPr>
        <w:tc>
          <w:tcPr>
            <w:tcW w:w="1301" w:type="dxa"/>
            <w:tcBorders>
              <w:top w:val="single" w:sz="2" w:space="0" w:color="auto"/>
              <w:left w:val="single" w:sz="2" w:space="0" w:color="auto"/>
              <w:bottom w:val="single" w:sz="4" w:space="0" w:color="auto"/>
              <w:right w:val="single" w:sz="2" w:space="0" w:color="auto"/>
            </w:tcBorders>
            <w:hideMark/>
          </w:tcPr>
          <w:bookmarkEnd w:id="2283"/>
          <w:p w14:paraId="171D1511" w14:textId="77777777" w:rsidR="00B3234F" w:rsidRDefault="00B3234F" w:rsidP="00C60E58">
            <w:pPr>
              <w:pStyle w:val="TAH"/>
            </w:pPr>
            <w:r>
              <w:lastRenderedPageBreak/>
              <w:t>System type to co-exist with</w:t>
            </w:r>
          </w:p>
        </w:tc>
        <w:tc>
          <w:tcPr>
            <w:tcW w:w="1700" w:type="dxa"/>
            <w:tcBorders>
              <w:top w:val="single" w:sz="2" w:space="0" w:color="auto"/>
              <w:left w:val="single" w:sz="2" w:space="0" w:color="auto"/>
              <w:bottom w:val="single" w:sz="2" w:space="0" w:color="auto"/>
              <w:right w:val="single" w:sz="2" w:space="0" w:color="auto"/>
            </w:tcBorders>
            <w:hideMark/>
          </w:tcPr>
          <w:p w14:paraId="51BDF255" w14:textId="77777777" w:rsidR="00B3234F" w:rsidRDefault="00B3234F" w:rsidP="00C60E58">
            <w:pPr>
              <w:pStyle w:val="TAH"/>
            </w:pPr>
            <w:r>
              <w:t>Frequency range for co-existence requirement</w:t>
            </w:r>
          </w:p>
        </w:tc>
        <w:tc>
          <w:tcPr>
            <w:tcW w:w="851" w:type="dxa"/>
            <w:tcBorders>
              <w:top w:val="single" w:sz="2" w:space="0" w:color="auto"/>
              <w:left w:val="single" w:sz="2" w:space="0" w:color="auto"/>
              <w:bottom w:val="single" w:sz="2" w:space="0" w:color="auto"/>
              <w:right w:val="single" w:sz="2" w:space="0" w:color="auto"/>
            </w:tcBorders>
            <w:hideMark/>
          </w:tcPr>
          <w:p w14:paraId="7F0699D1" w14:textId="77777777" w:rsidR="00B3234F" w:rsidRDefault="00B3234F" w:rsidP="00C60E58">
            <w:pPr>
              <w:pStyle w:val="TAH"/>
              <w:rPr>
                <w:i/>
              </w:rPr>
            </w:pPr>
            <w:r>
              <w:rPr>
                <w:rFonts w:cs="v5.0.0"/>
                <w:i/>
              </w:rPr>
              <w:t>Basic limits</w:t>
            </w:r>
          </w:p>
        </w:tc>
        <w:tc>
          <w:tcPr>
            <w:tcW w:w="1417" w:type="dxa"/>
            <w:tcBorders>
              <w:top w:val="single" w:sz="2" w:space="0" w:color="auto"/>
              <w:left w:val="single" w:sz="2" w:space="0" w:color="auto"/>
              <w:bottom w:val="single" w:sz="2" w:space="0" w:color="auto"/>
              <w:right w:val="single" w:sz="2" w:space="0" w:color="auto"/>
            </w:tcBorders>
            <w:hideMark/>
          </w:tcPr>
          <w:p w14:paraId="3B47D931" w14:textId="77777777" w:rsidR="00B3234F" w:rsidRDefault="00B3234F" w:rsidP="00C60E58">
            <w:pPr>
              <w:pStyle w:val="TAH"/>
            </w:pPr>
            <w:r>
              <w:rPr>
                <w:i/>
              </w:rPr>
              <w:t>Measurement bandwidth</w:t>
            </w:r>
          </w:p>
        </w:tc>
        <w:tc>
          <w:tcPr>
            <w:tcW w:w="4421" w:type="dxa"/>
            <w:tcBorders>
              <w:top w:val="single" w:sz="2" w:space="0" w:color="auto"/>
              <w:left w:val="single" w:sz="2" w:space="0" w:color="auto"/>
              <w:bottom w:val="single" w:sz="2" w:space="0" w:color="auto"/>
              <w:right w:val="single" w:sz="2" w:space="0" w:color="auto"/>
            </w:tcBorders>
            <w:hideMark/>
          </w:tcPr>
          <w:p w14:paraId="4E6406CA" w14:textId="77777777" w:rsidR="00B3234F" w:rsidRDefault="00B3234F" w:rsidP="00C60E58">
            <w:pPr>
              <w:pStyle w:val="TAH"/>
            </w:pPr>
            <w:r>
              <w:t>Note</w:t>
            </w:r>
          </w:p>
        </w:tc>
      </w:tr>
      <w:tr w:rsidR="0076338D" w:rsidRPr="00AB3358" w14:paraId="32F7C9F5"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tcPr>
          <w:p w14:paraId="33161D49" w14:textId="2181040A" w:rsidR="0076338D" w:rsidRDefault="0076338D" w:rsidP="004C7013">
            <w:pPr>
              <w:pStyle w:val="TAL"/>
              <w:rPr>
                <w:rFonts w:cs="Arial"/>
              </w:rPr>
            </w:pPr>
            <w:r>
              <w:t>GSM900</w:t>
            </w:r>
          </w:p>
        </w:tc>
        <w:tc>
          <w:tcPr>
            <w:tcW w:w="1700" w:type="dxa"/>
            <w:tcBorders>
              <w:top w:val="single" w:sz="2" w:space="0" w:color="auto"/>
              <w:left w:val="single" w:sz="4" w:space="0" w:color="auto"/>
              <w:bottom w:val="single" w:sz="2" w:space="0" w:color="auto"/>
              <w:right w:val="single" w:sz="2" w:space="0" w:color="auto"/>
            </w:tcBorders>
            <w:hideMark/>
          </w:tcPr>
          <w:p w14:paraId="726E4532" w14:textId="77777777" w:rsidR="0076338D" w:rsidRDefault="0076338D" w:rsidP="004C7013">
            <w:pPr>
              <w:pStyle w:val="TAC"/>
              <w:rPr>
                <w:rFonts w:cs="Arial"/>
              </w:rPr>
            </w:pPr>
            <w:r>
              <w:t>921 – 960 MHz</w:t>
            </w:r>
          </w:p>
        </w:tc>
        <w:tc>
          <w:tcPr>
            <w:tcW w:w="851" w:type="dxa"/>
            <w:tcBorders>
              <w:top w:val="single" w:sz="2" w:space="0" w:color="auto"/>
              <w:left w:val="single" w:sz="2" w:space="0" w:color="auto"/>
              <w:bottom w:val="single" w:sz="2" w:space="0" w:color="auto"/>
              <w:right w:val="single" w:sz="2" w:space="0" w:color="auto"/>
            </w:tcBorders>
            <w:hideMark/>
          </w:tcPr>
          <w:p w14:paraId="0B617A8A" w14:textId="77777777" w:rsidR="0076338D" w:rsidRDefault="0076338D" w:rsidP="004C7013">
            <w:pPr>
              <w:pStyle w:val="TAC"/>
              <w:rPr>
                <w:rFonts w:cs="v5.0.0"/>
              </w:rPr>
            </w:pPr>
            <w:r>
              <w:t>-57 dBm</w:t>
            </w:r>
          </w:p>
        </w:tc>
        <w:tc>
          <w:tcPr>
            <w:tcW w:w="1417" w:type="dxa"/>
            <w:tcBorders>
              <w:top w:val="single" w:sz="2" w:space="0" w:color="auto"/>
              <w:left w:val="single" w:sz="2" w:space="0" w:color="auto"/>
              <w:bottom w:val="single" w:sz="2" w:space="0" w:color="auto"/>
              <w:right w:val="single" w:sz="2" w:space="0" w:color="auto"/>
            </w:tcBorders>
            <w:hideMark/>
          </w:tcPr>
          <w:p w14:paraId="35A6BED9" w14:textId="77777777" w:rsidR="0076338D" w:rsidRDefault="0076338D" w:rsidP="004C7013">
            <w:pPr>
              <w:pStyle w:val="TAC"/>
              <w:rPr>
                <w:rFonts w:cs="Arial"/>
              </w:rPr>
            </w:pPr>
            <w:r>
              <w:t>100 kHz</w:t>
            </w:r>
          </w:p>
        </w:tc>
        <w:tc>
          <w:tcPr>
            <w:tcW w:w="4421" w:type="dxa"/>
            <w:tcBorders>
              <w:top w:val="single" w:sz="2" w:space="0" w:color="auto"/>
              <w:left w:val="single" w:sz="2" w:space="0" w:color="auto"/>
              <w:bottom w:val="single" w:sz="2" w:space="0" w:color="auto"/>
              <w:right w:val="single" w:sz="2" w:space="0" w:color="auto"/>
            </w:tcBorders>
            <w:hideMark/>
          </w:tcPr>
          <w:p w14:paraId="58F465F2" w14:textId="77777777" w:rsidR="0076338D" w:rsidRDefault="0076338D" w:rsidP="004C7013">
            <w:pPr>
              <w:pStyle w:val="TAL"/>
            </w:pPr>
          </w:p>
        </w:tc>
      </w:tr>
      <w:tr w:rsidR="0076338D" w:rsidRPr="00AB3358" w14:paraId="6F17FF35"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670B9C0F"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436EE668" w14:textId="77777777" w:rsidR="0076338D" w:rsidRDefault="0076338D" w:rsidP="004C7013">
            <w:pPr>
              <w:pStyle w:val="TAC"/>
              <w:rPr>
                <w:rFonts w:cs="Arial"/>
              </w:rPr>
            </w:pPr>
            <w:r>
              <w:t>876 – 915 MHz</w:t>
            </w:r>
          </w:p>
        </w:tc>
        <w:tc>
          <w:tcPr>
            <w:tcW w:w="851" w:type="dxa"/>
            <w:tcBorders>
              <w:top w:val="single" w:sz="2" w:space="0" w:color="auto"/>
              <w:left w:val="single" w:sz="2" w:space="0" w:color="auto"/>
              <w:bottom w:val="single" w:sz="2" w:space="0" w:color="auto"/>
              <w:right w:val="single" w:sz="2" w:space="0" w:color="auto"/>
            </w:tcBorders>
            <w:hideMark/>
          </w:tcPr>
          <w:p w14:paraId="108A0065" w14:textId="77777777" w:rsidR="0076338D" w:rsidRDefault="0076338D" w:rsidP="004C7013">
            <w:pPr>
              <w:pStyle w:val="TAC"/>
              <w:rPr>
                <w:rFonts w:cs="v5.0.0"/>
              </w:rPr>
            </w:pPr>
            <w:r>
              <w:t>-61 dBm</w:t>
            </w:r>
          </w:p>
        </w:tc>
        <w:tc>
          <w:tcPr>
            <w:tcW w:w="1417" w:type="dxa"/>
            <w:tcBorders>
              <w:top w:val="single" w:sz="2" w:space="0" w:color="auto"/>
              <w:left w:val="single" w:sz="2" w:space="0" w:color="auto"/>
              <w:bottom w:val="single" w:sz="2" w:space="0" w:color="auto"/>
              <w:right w:val="single" w:sz="2" w:space="0" w:color="auto"/>
            </w:tcBorders>
            <w:hideMark/>
          </w:tcPr>
          <w:p w14:paraId="193DE9A7" w14:textId="77777777" w:rsidR="0076338D" w:rsidRDefault="0076338D" w:rsidP="004C7013">
            <w:pPr>
              <w:pStyle w:val="TAC"/>
              <w:rPr>
                <w:rFonts w:cs="Arial"/>
              </w:rPr>
            </w:pPr>
            <w:r>
              <w:t>100 kHz</w:t>
            </w:r>
          </w:p>
        </w:tc>
        <w:tc>
          <w:tcPr>
            <w:tcW w:w="4421" w:type="dxa"/>
            <w:tcBorders>
              <w:top w:val="single" w:sz="2" w:space="0" w:color="auto"/>
              <w:left w:val="single" w:sz="2" w:space="0" w:color="auto"/>
              <w:bottom w:val="single" w:sz="2" w:space="0" w:color="auto"/>
              <w:right w:val="single" w:sz="2" w:space="0" w:color="auto"/>
            </w:tcBorders>
            <w:hideMark/>
          </w:tcPr>
          <w:p w14:paraId="77395FAA" w14:textId="77777777" w:rsidR="0076338D" w:rsidRDefault="0076338D" w:rsidP="004C7013">
            <w:pPr>
              <w:pStyle w:val="TAL"/>
            </w:pPr>
          </w:p>
        </w:tc>
      </w:tr>
      <w:tr w:rsidR="0076338D" w:rsidRPr="00AB3358" w14:paraId="4E491E57"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tcPr>
          <w:p w14:paraId="3B3910B0" w14:textId="246350AA" w:rsidR="0076338D" w:rsidRDefault="0076338D" w:rsidP="004C7013">
            <w:pPr>
              <w:pStyle w:val="TAL"/>
              <w:rPr>
                <w:rFonts w:cs="Arial"/>
              </w:rPr>
            </w:pPr>
            <w:r>
              <w:t>DCS1800</w:t>
            </w:r>
          </w:p>
        </w:tc>
        <w:tc>
          <w:tcPr>
            <w:tcW w:w="1700" w:type="dxa"/>
            <w:tcBorders>
              <w:top w:val="single" w:sz="2" w:space="0" w:color="auto"/>
              <w:left w:val="single" w:sz="4" w:space="0" w:color="auto"/>
              <w:bottom w:val="single" w:sz="2" w:space="0" w:color="auto"/>
              <w:right w:val="single" w:sz="2" w:space="0" w:color="auto"/>
            </w:tcBorders>
            <w:hideMark/>
          </w:tcPr>
          <w:p w14:paraId="17420C41" w14:textId="77777777" w:rsidR="0076338D" w:rsidRDefault="0076338D" w:rsidP="004C7013">
            <w:pPr>
              <w:pStyle w:val="TAC"/>
            </w:pPr>
            <w:r>
              <w:t>1805 – 1880 MHz</w:t>
            </w:r>
          </w:p>
        </w:tc>
        <w:tc>
          <w:tcPr>
            <w:tcW w:w="851" w:type="dxa"/>
            <w:tcBorders>
              <w:top w:val="single" w:sz="2" w:space="0" w:color="auto"/>
              <w:left w:val="single" w:sz="2" w:space="0" w:color="auto"/>
              <w:bottom w:val="single" w:sz="2" w:space="0" w:color="auto"/>
              <w:right w:val="single" w:sz="2" w:space="0" w:color="auto"/>
            </w:tcBorders>
            <w:hideMark/>
          </w:tcPr>
          <w:p w14:paraId="5BDCC4B2" w14:textId="77777777" w:rsidR="0076338D" w:rsidRDefault="0076338D" w:rsidP="004C7013">
            <w:pPr>
              <w:pStyle w:val="TAC"/>
            </w:pPr>
            <w:r>
              <w:t>-47 dBm</w:t>
            </w:r>
          </w:p>
        </w:tc>
        <w:tc>
          <w:tcPr>
            <w:tcW w:w="1417" w:type="dxa"/>
            <w:tcBorders>
              <w:top w:val="single" w:sz="2" w:space="0" w:color="auto"/>
              <w:left w:val="single" w:sz="2" w:space="0" w:color="auto"/>
              <w:bottom w:val="single" w:sz="2" w:space="0" w:color="auto"/>
              <w:right w:val="single" w:sz="2" w:space="0" w:color="auto"/>
            </w:tcBorders>
            <w:hideMark/>
          </w:tcPr>
          <w:p w14:paraId="3F72CB83" w14:textId="77777777" w:rsidR="0076338D" w:rsidRDefault="0076338D" w:rsidP="004C7013">
            <w:pPr>
              <w:pStyle w:val="TAC"/>
            </w:pPr>
            <w:r>
              <w:t>100 kHz</w:t>
            </w:r>
          </w:p>
        </w:tc>
        <w:tc>
          <w:tcPr>
            <w:tcW w:w="4421" w:type="dxa"/>
            <w:tcBorders>
              <w:top w:val="single" w:sz="2" w:space="0" w:color="auto"/>
              <w:left w:val="single" w:sz="2" w:space="0" w:color="auto"/>
              <w:bottom w:val="single" w:sz="2" w:space="0" w:color="auto"/>
              <w:right w:val="single" w:sz="2" w:space="0" w:color="auto"/>
            </w:tcBorders>
            <w:hideMark/>
          </w:tcPr>
          <w:p w14:paraId="31F63B2E" w14:textId="77777777" w:rsidR="0076338D" w:rsidRDefault="0076338D" w:rsidP="004C7013">
            <w:pPr>
              <w:pStyle w:val="TAL"/>
            </w:pPr>
          </w:p>
        </w:tc>
      </w:tr>
      <w:tr w:rsidR="0076338D" w:rsidRPr="00AB3358" w14:paraId="32C7ABA9"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661DC625"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1F4771C7" w14:textId="77777777" w:rsidR="0076338D" w:rsidRDefault="0076338D" w:rsidP="004C7013">
            <w:pPr>
              <w:pStyle w:val="TAC"/>
            </w:pPr>
            <w:r>
              <w:t>1710 – 1785 MHz</w:t>
            </w:r>
          </w:p>
        </w:tc>
        <w:tc>
          <w:tcPr>
            <w:tcW w:w="851" w:type="dxa"/>
            <w:tcBorders>
              <w:top w:val="single" w:sz="2" w:space="0" w:color="auto"/>
              <w:left w:val="single" w:sz="2" w:space="0" w:color="auto"/>
              <w:bottom w:val="single" w:sz="2" w:space="0" w:color="auto"/>
              <w:right w:val="single" w:sz="2" w:space="0" w:color="auto"/>
            </w:tcBorders>
            <w:hideMark/>
          </w:tcPr>
          <w:p w14:paraId="12E4AE32" w14:textId="77777777" w:rsidR="0076338D" w:rsidRDefault="0076338D" w:rsidP="004C7013">
            <w:pPr>
              <w:pStyle w:val="TAC"/>
            </w:pPr>
            <w:r>
              <w:t>-61 dBm</w:t>
            </w:r>
          </w:p>
        </w:tc>
        <w:tc>
          <w:tcPr>
            <w:tcW w:w="1417" w:type="dxa"/>
            <w:tcBorders>
              <w:top w:val="single" w:sz="2" w:space="0" w:color="auto"/>
              <w:left w:val="single" w:sz="2" w:space="0" w:color="auto"/>
              <w:bottom w:val="single" w:sz="2" w:space="0" w:color="auto"/>
              <w:right w:val="single" w:sz="2" w:space="0" w:color="auto"/>
            </w:tcBorders>
            <w:hideMark/>
          </w:tcPr>
          <w:p w14:paraId="69FB71E7" w14:textId="77777777" w:rsidR="0076338D" w:rsidRDefault="0076338D" w:rsidP="004C7013">
            <w:pPr>
              <w:pStyle w:val="TAC"/>
            </w:pPr>
            <w:r>
              <w:t>100 kHz</w:t>
            </w:r>
          </w:p>
        </w:tc>
        <w:tc>
          <w:tcPr>
            <w:tcW w:w="4421" w:type="dxa"/>
            <w:tcBorders>
              <w:top w:val="single" w:sz="2" w:space="0" w:color="auto"/>
              <w:left w:val="single" w:sz="2" w:space="0" w:color="auto"/>
              <w:bottom w:val="single" w:sz="2" w:space="0" w:color="auto"/>
              <w:right w:val="single" w:sz="2" w:space="0" w:color="auto"/>
            </w:tcBorders>
            <w:hideMark/>
          </w:tcPr>
          <w:p w14:paraId="6E4D9E88" w14:textId="77777777" w:rsidR="0076338D" w:rsidRDefault="0076338D" w:rsidP="004C7013">
            <w:pPr>
              <w:pStyle w:val="TAL"/>
            </w:pPr>
          </w:p>
        </w:tc>
      </w:tr>
      <w:tr w:rsidR="0076338D" w:rsidRPr="00AB3358" w14:paraId="21673C93"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1114DBC" w14:textId="77777777" w:rsidR="0076338D" w:rsidRDefault="0076338D" w:rsidP="004C7013">
            <w:pPr>
              <w:pStyle w:val="TAL"/>
              <w:rPr>
                <w:rFonts w:cs="Arial"/>
              </w:rPr>
            </w:pPr>
            <w:r>
              <w:rPr>
                <w:rFonts w:cs="Arial"/>
              </w:rPr>
              <w:t>PCS1900</w:t>
            </w:r>
          </w:p>
        </w:tc>
        <w:tc>
          <w:tcPr>
            <w:tcW w:w="1700" w:type="dxa"/>
            <w:tcBorders>
              <w:top w:val="single" w:sz="2" w:space="0" w:color="auto"/>
              <w:left w:val="single" w:sz="4" w:space="0" w:color="auto"/>
              <w:bottom w:val="single" w:sz="2" w:space="0" w:color="auto"/>
              <w:right w:val="single" w:sz="2" w:space="0" w:color="auto"/>
            </w:tcBorders>
            <w:hideMark/>
          </w:tcPr>
          <w:p w14:paraId="7FDFE8E1" w14:textId="77777777" w:rsidR="0076338D" w:rsidRDefault="0076338D" w:rsidP="004C7013">
            <w:pPr>
              <w:pStyle w:val="TAC"/>
            </w:pPr>
            <w:r>
              <w:t>1930 – 1990 MHz</w:t>
            </w:r>
          </w:p>
        </w:tc>
        <w:tc>
          <w:tcPr>
            <w:tcW w:w="851" w:type="dxa"/>
            <w:tcBorders>
              <w:top w:val="single" w:sz="2" w:space="0" w:color="auto"/>
              <w:left w:val="single" w:sz="2" w:space="0" w:color="auto"/>
              <w:bottom w:val="single" w:sz="2" w:space="0" w:color="auto"/>
              <w:right w:val="single" w:sz="2" w:space="0" w:color="auto"/>
            </w:tcBorders>
            <w:hideMark/>
          </w:tcPr>
          <w:p w14:paraId="4BF5F9CC" w14:textId="77777777" w:rsidR="0076338D" w:rsidRDefault="0076338D" w:rsidP="004C7013">
            <w:pPr>
              <w:pStyle w:val="TAC"/>
            </w:pPr>
            <w:r>
              <w:t>-47 dBm</w:t>
            </w:r>
          </w:p>
        </w:tc>
        <w:tc>
          <w:tcPr>
            <w:tcW w:w="1417" w:type="dxa"/>
            <w:tcBorders>
              <w:top w:val="single" w:sz="2" w:space="0" w:color="auto"/>
              <w:left w:val="single" w:sz="2" w:space="0" w:color="auto"/>
              <w:bottom w:val="single" w:sz="2" w:space="0" w:color="auto"/>
              <w:right w:val="single" w:sz="2" w:space="0" w:color="auto"/>
            </w:tcBorders>
            <w:hideMark/>
          </w:tcPr>
          <w:p w14:paraId="367CDCE7" w14:textId="77777777" w:rsidR="0076338D" w:rsidRDefault="0076338D" w:rsidP="004C7013">
            <w:pPr>
              <w:pStyle w:val="TAC"/>
            </w:pPr>
            <w:r>
              <w:t>100 kHz</w:t>
            </w:r>
          </w:p>
        </w:tc>
        <w:tc>
          <w:tcPr>
            <w:tcW w:w="4421" w:type="dxa"/>
            <w:tcBorders>
              <w:top w:val="single" w:sz="2" w:space="0" w:color="auto"/>
              <w:left w:val="single" w:sz="2" w:space="0" w:color="auto"/>
              <w:bottom w:val="single" w:sz="2" w:space="0" w:color="auto"/>
              <w:right w:val="single" w:sz="2" w:space="0" w:color="auto"/>
            </w:tcBorders>
            <w:hideMark/>
          </w:tcPr>
          <w:p w14:paraId="6F3362EE" w14:textId="77777777" w:rsidR="0076338D" w:rsidRDefault="0076338D" w:rsidP="004C7013">
            <w:pPr>
              <w:pStyle w:val="TAL"/>
            </w:pPr>
          </w:p>
        </w:tc>
      </w:tr>
      <w:tr w:rsidR="0076338D" w:rsidRPr="00AB3358" w14:paraId="551111F6"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108B8D7A"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tcPr>
          <w:p w14:paraId="4508F6EA" w14:textId="76701409" w:rsidR="0076338D" w:rsidRPr="0076338D" w:rsidRDefault="0076338D" w:rsidP="004C7013">
            <w:pPr>
              <w:pStyle w:val="TAC"/>
              <w:rPr>
                <w:rFonts w:cs="v5.0.0"/>
                <w:lang w:eastAsia="zh-CN"/>
              </w:rPr>
            </w:pPr>
            <w:r>
              <w:rPr>
                <w:rFonts w:cs="v5.0.0"/>
              </w:rPr>
              <w:t>1850 – 1910 MHz</w:t>
            </w:r>
          </w:p>
        </w:tc>
        <w:tc>
          <w:tcPr>
            <w:tcW w:w="851" w:type="dxa"/>
            <w:tcBorders>
              <w:top w:val="single" w:sz="2" w:space="0" w:color="auto"/>
              <w:left w:val="single" w:sz="2" w:space="0" w:color="auto"/>
              <w:bottom w:val="single" w:sz="2" w:space="0" w:color="auto"/>
              <w:right w:val="single" w:sz="2" w:space="0" w:color="auto"/>
            </w:tcBorders>
            <w:hideMark/>
          </w:tcPr>
          <w:p w14:paraId="03F537D8" w14:textId="77777777" w:rsidR="0076338D" w:rsidRDefault="0076338D" w:rsidP="004C7013">
            <w:pPr>
              <w:pStyle w:val="TAC"/>
            </w:pPr>
            <w:r>
              <w:t>-61 dBm</w:t>
            </w:r>
          </w:p>
        </w:tc>
        <w:tc>
          <w:tcPr>
            <w:tcW w:w="1417" w:type="dxa"/>
            <w:tcBorders>
              <w:top w:val="single" w:sz="2" w:space="0" w:color="auto"/>
              <w:left w:val="single" w:sz="2" w:space="0" w:color="auto"/>
              <w:bottom w:val="single" w:sz="2" w:space="0" w:color="auto"/>
              <w:right w:val="single" w:sz="2" w:space="0" w:color="auto"/>
            </w:tcBorders>
            <w:hideMark/>
          </w:tcPr>
          <w:p w14:paraId="716BFBDC" w14:textId="77777777" w:rsidR="0076338D" w:rsidRDefault="0076338D" w:rsidP="004C7013">
            <w:pPr>
              <w:pStyle w:val="TAC"/>
            </w:pPr>
            <w:r>
              <w:t>100 kHz</w:t>
            </w:r>
          </w:p>
        </w:tc>
        <w:tc>
          <w:tcPr>
            <w:tcW w:w="4421" w:type="dxa"/>
            <w:tcBorders>
              <w:top w:val="single" w:sz="2" w:space="0" w:color="auto"/>
              <w:left w:val="single" w:sz="2" w:space="0" w:color="auto"/>
              <w:bottom w:val="single" w:sz="2" w:space="0" w:color="auto"/>
              <w:right w:val="single" w:sz="2" w:space="0" w:color="auto"/>
            </w:tcBorders>
            <w:hideMark/>
          </w:tcPr>
          <w:p w14:paraId="56AA0F12" w14:textId="77777777" w:rsidR="0076338D" w:rsidRDefault="0076338D" w:rsidP="004C7013">
            <w:pPr>
              <w:pStyle w:val="TAL"/>
            </w:pPr>
          </w:p>
        </w:tc>
      </w:tr>
      <w:tr w:rsidR="0076338D" w:rsidRPr="00AB3358" w14:paraId="7F7A0603"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0AEADDD7" w14:textId="7C2468ED" w:rsidR="0076338D" w:rsidRDefault="0076338D" w:rsidP="004C7013">
            <w:pPr>
              <w:pStyle w:val="TAL"/>
              <w:rPr>
                <w:rFonts w:cs="Arial"/>
              </w:rPr>
            </w:pPr>
            <w:r>
              <w:rPr>
                <w:rFonts w:cs="Arial"/>
              </w:rPr>
              <w:t xml:space="preserve">GSM850 or </w:t>
            </w:r>
          </w:p>
        </w:tc>
        <w:tc>
          <w:tcPr>
            <w:tcW w:w="1700" w:type="dxa"/>
            <w:tcBorders>
              <w:top w:val="single" w:sz="2" w:space="0" w:color="auto"/>
              <w:left w:val="single" w:sz="4" w:space="0" w:color="auto"/>
              <w:bottom w:val="single" w:sz="2" w:space="0" w:color="auto"/>
              <w:right w:val="single" w:sz="2" w:space="0" w:color="auto"/>
            </w:tcBorders>
            <w:hideMark/>
          </w:tcPr>
          <w:p w14:paraId="6F4D41EA" w14:textId="77777777" w:rsidR="0076338D" w:rsidRDefault="0076338D" w:rsidP="004C7013">
            <w:pPr>
              <w:pStyle w:val="TAC"/>
              <w:rPr>
                <w:rFonts w:cs="v5.0.0"/>
              </w:rPr>
            </w:pPr>
            <w:r>
              <w:rPr>
                <w:rFonts w:cs="v5.0.0"/>
              </w:rPr>
              <w:t>869 – 894 MHz</w:t>
            </w:r>
          </w:p>
        </w:tc>
        <w:tc>
          <w:tcPr>
            <w:tcW w:w="851" w:type="dxa"/>
            <w:tcBorders>
              <w:top w:val="single" w:sz="2" w:space="0" w:color="auto"/>
              <w:left w:val="single" w:sz="2" w:space="0" w:color="auto"/>
              <w:bottom w:val="single" w:sz="2" w:space="0" w:color="auto"/>
              <w:right w:val="single" w:sz="2" w:space="0" w:color="auto"/>
            </w:tcBorders>
            <w:hideMark/>
          </w:tcPr>
          <w:p w14:paraId="01E6B2C9" w14:textId="77777777" w:rsidR="0076338D" w:rsidRDefault="0076338D" w:rsidP="004C7013">
            <w:pPr>
              <w:pStyle w:val="TAC"/>
            </w:pPr>
            <w:r>
              <w:rPr>
                <w:rFonts w:cs="v5.0.0"/>
              </w:rPr>
              <w:t>-57 dBm</w:t>
            </w:r>
          </w:p>
        </w:tc>
        <w:tc>
          <w:tcPr>
            <w:tcW w:w="1417" w:type="dxa"/>
            <w:tcBorders>
              <w:top w:val="single" w:sz="2" w:space="0" w:color="auto"/>
              <w:left w:val="single" w:sz="2" w:space="0" w:color="auto"/>
              <w:bottom w:val="single" w:sz="2" w:space="0" w:color="auto"/>
              <w:right w:val="single" w:sz="2" w:space="0" w:color="auto"/>
            </w:tcBorders>
            <w:hideMark/>
          </w:tcPr>
          <w:p w14:paraId="0A657767" w14:textId="77777777" w:rsidR="0076338D" w:rsidRDefault="0076338D" w:rsidP="004C7013">
            <w:pPr>
              <w:pStyle w:val="TAC"/>
            </w:pPr>
            <w:r>
              <w:rPr>
                <w:rFonts w:cs="v5.0.0"/>
              </w:rPr>
              <w:t>100 kHz</w:t>
            </w:r>
          </w:p>
        </w:tc>
        <w:tc>
          <w:tcPr>
            <w:tcW w:w="4421" w:type="dxa"/>
            <w:tcBorders>
              <w:top w:val="single" w:sz="2" w:space="0" w:color="auto"/>
              <w:left w:val="single" w:sz="2" w:space="0" w:color="auto"/>
              <w:bottom w:val="single" w:sz="2" w:space="0" w:color="auto"/>
              <w:right w:val="single" w:sz="2" w:space="0" w:color="auto"/>
            </w:tcBorders>
            <w:hideMark/>
          </w:tcPr>
          <w:p w14:paraId="71A26E9A" w14:textId="77777777" w:rsidR="0076338D" w:rsidRDefault="0076338D" w:rsidP="004C7013">
            <w:pPr>
              <w:pStyle w:val="TAL"/>
            </w:pPr>
          </w:p>
        </w:tc>
      </w:tr>
      <w:tr w:rsidR="0076338D" w:rsidRPr="00AB3358" w14:paraId="302CE97B"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0745B0BB" w14:textId="2BE616D1" w:rsidR="0076338D" w:rsidRDefault="0076338D" w:rsidP="004C7013">
            <w:pPr>
              <w:pStyle w:val="TAL"/>
              <w:rPr>
                <w:rFonts w:cs="Arial"/>
              </w:rPr>
            </w:pPr>
            <w:r>
              <w:rPr>
                <w:rFonts w:cs="Arial"/>
              </w:rPr>
              <w:t>CDMA850</w:t>
            </w:r>
          </w:p>
        </w:tc>
        <w:tc>
          <w:tcPr>
            <w:tcW w:w="1700" w:type="dxa"/>
            <w:tcBorders>
              <w:top w:val="single" w:sz="2" w:space="0" w:color="auto"/>
              <w:left w:val="single" w:sz="4" w:space="0" w:color="auto"/>
              <w:bottom w:val="single" w:sz="2" w:space="0" w:color="auto"/>
              <w:right w:val="single" w:sz="2" w:space="0" w:color="auto"/>
            </w:tcBorders>
            <w:hideMark/>
          </w:tcPr>
          <w:p w14:paraId="1799B15B" w14:textId="77777777" w:rsidR="0076338D" w:rsidRDefault="0076338D" w:rsidP="004C7013">
            <w:pPr>
              <w:pStyle w:val="TAC"/>
              <w:rPr>
                <w:rFonts w:cs="v5.0.0"/>
              </w:rPr>
            </w:pPr>
            <w:r>
              <w:rPr>
                <w:rFonts w:cs="v5.0.0"/>
              </w:rPr>
              <w:t>824 – 849 MHz</w:t>
            </w:r>
          </w:p>
        </w:tc>
        <w:tc>
          <w:tcPr>
            <w:tcW w:w="851" w:type="dxa"/>
            <w:tcBorders>
              <w:top w:val="single" w:sz="2" w:space="0" w:color="auto"/>
              <w:left w:val="single" w:sz="2" w:space="0" w:color="auto"/>
              <w:bottom w:val="single" w:sz="2" w:space="0" w:color="auto"/>
              <w:right w:val="single" w:sz="2" w:space="0" w:color="auto"/>
            </w:tcBorders>
            <w:hideMark/>
          </w:tcPr>
          <w:p w14:paraId="7E35A51B" w14:textId="77777777" w:rsidR="0076338D" w:rsidRDefault="0076338D" w:rsidP="004C7013">
            <w:pPr>
              <w:pStyle w:val="TAC"/>
            </w:pPr>
            <w:r>
              <w:rPr>
                <w:rFonts w:cs="v5.0.0"/>
              </w:rPr>
              <w:t>-61 dBm</w:t>
            </w:r>
          </w:p>
        </w:tc>
        <w:tc>
          <w:tcPr>
            <w:tcW w:w="1417" w:type="dxa"/>
            <w:tcBorders>
              <w:top w:val="single" w:sz="2" w:space="0" w:color="auto"/>
              <w:left w:val="single" w:sz="2" w:space="0" w:color="auto"/>
              <w:bottom w:val="single" w:sz="2" w:space="0" w:color="auto"/>
              <w:right w:val="single" w:sz="2" w:space="0" w:color="auto"/>
            </w:tcBorders>
            <w:hideMark/>
          </w:tcPr>
          <w:p w14:paraId="6B0BEDB9" w14:textId="77777777" w:rsidR="0076338D" w:rsidRDefault="0076338D" w:rsidP="004C7013">
            <w:pPr>
              <w:pStyle w:val="TAC"/>
            </w:pPr>
            <w:r>
              <w:rPr>
                <w:rFonts w:cs="v5.0.0"/>
              </w:rPr>
              <w:t>100 kHz</w:t>
            </w:r>
          </w:p>
        </w:tc>
        <w:tc>
          <w:tcPr>
            <w:tcW w:w="4421" w:type="dxa"/>
            <w:tcBorders>
              <w:top w:val="single" w:sz="2" w:space="0" w:color="auto"/>
              <w:left w:val="single" w:sz="2" w:space="0" w:color="auto"/>
              <w:bottom w:val="single" w:sz="2" w:space="0" w:color="auto"/>
              <w:right w:val="single" w:sz="2" w:space="0" w:color="auto"/>
            </w:tcBorders>
            <w:hideMark/>
          </w:tcPr>
          <w:p w14:paraId="43ABC838" w14:textId="77777777" w:rsidR="0076338D" w:rsidRDefault="0076338D" w:rsidP="004C7013">
            <w:pPr>
              <w:pStyle w:val="TAL"/>
            </w:pPr>
          </w:p>
        </w:tc>
      </w:tr>
      <w:tr w:rsidR="0076338D" w:rsidRPr="00AB3358" w14:paraId="2DDF089F"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6B312DF7" w14:textId="0467E09A" w:rsidR="0076338D" w:rsidRDefault="0076338D" w:rsidP="004C7013">
            <w:pPr>
              <w:pStyle w:val="TAL"/>
              <w:rPr>
                <w:rFonts w:cs="Arial"/>
              </w:rPr>
            </w:pPr>
            <w:r>
              <w:rPr>
                <w:rFonts w:cs="Arial"/>
              </w:rPr>
              <w:t xml:space="preserve">UTRA FDD </w:t>
            </w:r>
          </w:p>
        </w:tc>
        <w:tc>
          <w:tcPr>
            <w:tcW w:w="1700" w:type="dxa"/>
            <w:tcBorders>
              <w:top w:val="single" w:sz="2" w:space="0" w:color="auto"/>
              <w:left w:val="single" w:sz="4" w:space="0" w:color="auto"/>
              <w:bottom w:val="single" w:sz="2" w:space="0" w:color="auto"/>
              <w:right w:val="single" w:sz="2" w:space="0" w:color="auto"/>
            </w:tcBorders>
            <w:hideMark/>
          </w:tcPr>
          <w:p w14:paraId="58BD3B70" w14:textId="77777777" w:rsidR="0076338D" w:rsidRDefault="0076338D" w:rsidP="004C7013">
            <w:pPr>
              <w:pStyle w:val="TAC"/>
            </w:pPr>
            <w:r>
              <w:rPr>
                <w:rFonts w:cs="Arial"/>
              </w:rPr>
              <w:t>2110 – 2170 MHz</w:t>
            </w:r>
          </w:p>
        </w:tc>
        <w:tc>
          <w:tcPr>
            <w:tcW w:w="851" w:type="dxa"/>
            <w:tcBorders>
              <w:top w:val="single" w:sz="2" w:space="0" w:color="auto"/>
              <w:left w:val="single" w:sz="2" w:space="0" w:color="auto"/>
              <w:bottom w:val="single" w:sz="2" w:space="0" w:color="auto"/>
              <w:right w:val="single" w:sz="2" w:space="0" w:color="auto"/>
            </w:tcBorders>
            <w:hideMark/>
          </w:tcPr>
          <w:p w14:paraId="6E9E284D"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47D1266"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0D37B9C9" w14:textId="77777777" w:rsidR="0076338D" w:rsidRDefault="0076338D" w:rsidP="004C7013">
            <w:pPr>
              <w:pStyle w:val="TAL"/>
            </w:pPr>
          </w:p>
        </w:tc>
      </w:tr>
      <w:tr w:rsidR="0076338D" w:rsidRPr="00AB3358" w14:paraId="6CF71DAB"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630748B1" w14:textId="77777777" w:rsidR="00676DAA" w:rsidRDefault="0076338D" w:rsidP="004C7013">
            <w:pPr>
              <w:pStyle w:val="TAL"/>
              <w:rPr>
                <w:rFonts w:cs="Arial"/>
              </w:rPr>
            </w:pPr>
            <w:r>
              <w:rPr>
                <w:rFonts w:cs="Arial"/>
              </w:rPr>
              <w:t>Band I or</w:t>
            </w:r>
            <w:r w:rsidR="00676DAA">
              <w:rPr>
                <w:rFonts w:cs="Arial"/>
              </w:rPr>
              <w:t xml:space="preserve"> </w:t>
            </w:r>
          </w:p>
          <w:p w14:paraId="605A82DE" w14:textId="4A456382" w:rsidR="0076338D" w:rsidRDefault="0076338D" w:rsidP="004C7013">
            <w:pPr>
              <w:pStyle w:val="TAL"/>
              <w:rPr>
                <w:rFonts w:cs="Arial"/>
              </w:rPr>
            </w:pPr>
            <w:r>
              <w:rPr>
                <w:rFonts w:cs="Arial"/>
              </w:rPr>
              <w:t>E-UTRA Band 1 or NR Band n1</w:t>
            </w:r>
          </w:p>
        </w:tc>
        <w:tc>
          <w:tcPr>
            <w:tcW w:w="1700" w:type="dxa"/>
            <w:tcBorders>
              <w:top w:val="single" w:sz="2" w:space="0" w:color="auto"/>
              <w:left w:val="single" w:sz="4" w:space="0" w:color="auto"/>
              <w:bottom w:val="single" w:sz="2" w:space="0" w:color="auto"/>
              <w:right w:val="single" w:sz="2" w:space="0" w:color="auto"/>
            </w:tcBorders>
          </w:tcPr>
          <w:p w14:paraId="4C894C1F" w14:textId="003EBBCD" w:rsidR="0076338D" w:rsidRPr="0076338D" w:rsidRDefault="0076338D" w:rsidP="004C7013">
            <w:pPr>
              <w:pStyle w:val="TAC"/>
              <w:rPr>
                <w:rFonts w:cs="Arial"/>
                <w:lang w:eastAsia="zh-CN"/>
              </w:rPr>
            </w:pPr>
            <w:r>
              <w:rPr>
                <w:rFonts w:cs="Arial"/>
              </w:rPr>
              <w:t>1920 – 1980 MHz</w:t>
            </w:r>
          </w:p>
        </w:tc>
        <w:tc>
          <w:tcPr>
            <w:tcW w:w="851" w:type="dxa"/>
            <w:tcBorders>
              <w:top w:val="single" w:sz="2" w:space="0" w:color="auto"/>
              <w:left w:val="single" w:sz="2" w:space="0" w:color="auto"/>
              <w:bottom w:val="single" w:sz="2" w:space="0" w:color="auto"/>
              <w:right w:val="single" w:sz="2" w:space="0" w:color="auto"/>
            </w:tcBorders>
            <w:hideMark/>
          </w:tcPr>
          <w:p w14:paraId="4A3A24EB"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3A7152D"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2BE435F7" w14:textId="77777777" w:rsidR="0076338D" w:rsidRDefault="0076338D" w:rsidP="004C7013">
            <w:pPr>
              <w:pStyle w:val="TAL"/>
            </w:pPr>
          </w:p>
        </w:tc>
      </w:tr>
      <w:tr w:rsidR="0076338D" w:rsidRPr="00AB3358" w14:paraId="17D0E8FB"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530E60F8" w14:textId="13E938D2" w:rsidR="0076338D" w:rsidRDefault="0076338D" w:rsidP="004C7013">
            <w:pPr>
              <w:pStyle w:val="TAL"/>
              <w:rPr>
                <w:rFonts w:cs="Arial"/>
              </w:rPr>
            </w:pPr>
            <w:r>
              <w:rPr>
                <w:rFonts w:cs="Arial"/>
              </w:rPr>
              <w:t xml:space="preserve">UTRA FDD </w:t>
            </w:r>
          </w:p>
        </w:tc>
        <w:tc>
          <w:tcPr>
            <w:tcW w:w="1700" w:type="dxa"/>
            <w:tcBorders>
              <w:top w:val="single" w:sz="2" w:space="0" w:color="auto"/>
              <w:left w:val="single" w:sz="4" w:space="0" w:color="auto"/>
              <w:bottom w:val="single" w:sz="2" w:space="0" w:color="auto"/>
              <w:right w:val="single" w:sz="2" w:space="0" w:color="auto"/>
            </w:tcBorders>
          </w:tcPr>
          <w:p w14:paraId="5BA3BD3F" w14:textId="310B165D" w:rsidR="0076338D" w:rsidRPr="0076338D" w:rsidRDefault="0076338D" w:rsidP="004C7013">
            <w:pPr>
              <w:pStyle w:val="TAC"/>
              <w:rPr>
                <w:rFonts w:cs="Arial"/>
                <w:lang w:eastAsia="zh-CN"/>
              </w:rPr>
            </w:pPr>
            <w:r>
              <w:rPr>
                <w:rFonts w:cs="Arial"/>
              </w:rPr>
              <w:t>1930 – 1990 MHz</w:t>
            </w:r>
          </w:p>
        </w:tc>
        <w:tc>
          <w:tcPr>
            <w:tcW w:w="851" w:type="dxa"/>
            <w:tcBorders>
              <w:top w:val="single" w:sz="2" w:space="0" w:color="auto"/>
              <w:left w:val="single" w:sz="2" w:space="0" w:color="auto"/>
              <w:bottom w:val="single" w:sz="2" w:space="0" w:color="auto"/>
              <w:right w:val="single" w:sz="2" w:space="0" w:color="auto"/>
            </w:tcBorders>
            <w:hideMark/>
          </w:tcPr>
          <w:p w14:paraId="339FF7B3"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AEE5164"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43B5281E" w14:textId="77777777" w:rsidR="0076338D" w:rsidRDefault="0076338D" w:rsidP="004C7013">
            <w:pPr>
              <w:pStyle w:val="TAL"/>
            </w:pPr>
          </w:p>
        </w:tc>
      </w:tr>
      <w:tr w:rsidR="0076338D" w:rsidRPr="00AB3358" w14:paraId="1C8847C0"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52D2CB66" w14:textId="77777777" w:rsidR="00676DAA" w:rsidRDefault="0076338D" w:rsidP="004C7013">
            <w:pPr>
              <w:pStyle w:val="TAL"/>
              <w:rPr>
                <w:rFonts w:cs="Arial"/>
              </w:rPr>
            </w:pPr>
            <w:r>
              <w:rPr>
                <w:rFonts w:cs="Arial"/>
              </w:rPr>
              <w:t>Band II or</w:t>
            </w:r>
            <w:r w:rsidR="00676DAA">
              <w:rPr>
                <w:rFonts w:cs="Arial"/>
              </w:rPr>
              <w:t xml:space="preserve"> </w:t>
            </w:r>
          </w:p>
          <w:p w14:paraId="4486B61B" w14:textId="3527CC3B" w:rsidR="0076338D" w:rsidRDefault="0076338D" w:rsidP="004C7013">
            <w:pPr>
              <w:pStyle w:val="TAL"/>
              <w:rPr>
                <w:rFonts w:cs="Arial"/>
              </w:rPr>
            </w:pPr>
            <w:r>
              <w:rPr>
                <w:rFonts w:cs="Arial"/>
              </w:rPr>
              <w:t>E-UTRA Band 2 or NR Band n2</w:t>
            </w:r>
          </w:p>
        </w:tc>
        <w:tc>
          <w:tcPr>
            <w:tcW w:w="1700" w:type="dxa"/>
            <w:tcBorders>
              <w:top w:val="single" w:sz="2" w:space="0" w:color="auto"/>
              <w:left w:val="single" w:sz="4" w:space="0" w:color="auto"/>
              <w:bottom w:val="single" w:sz="2" w:space="0" w:color="auto"/>
              <w:right w:val="single" w:sz="2" w:space="0" w:color="auto"/>
            </w:tcBorders>
          </w:tcPr>
          <w:p w14:paraId="7F66BD98" w14:textId="2C90C675" w:rsidR="0076338D" w:rsidRPr="0076338D" w:rsidRDefault="0076338D" w:rsidP="004C7013">
            <w:pPr>
              <w:pStyle w:val="TAC"/>
              <w:rPr>
                <w:rFonts w:cs="Arial"/>
                <w:lang w:eastAsia="zh-CN"/>
              </w:rPr>
            </w:pPr>
            <w:r>
              <w:rPr>
                <w:rFonts w:cs="Arial"/>
              </w:rPr>
              <w:t>1850 – 1910 MHz</w:t>
            </w:r>
          </w:p>
        </w:tc>
        <w:tc>
          <w:tcPr>
            <w:tcW w:w="851" w:type="dxa"/>
            <w:tcBorders>
              <w:top w:val="single" w:sz="2" w:space="0" w:color="auto"/>
              <w:left w:val="single" w:sz="2" w:space="0" w:color="auto"/>
              <w:bottom w:val="single" w:sz="2" w:space="0" w:color="auto"/>
              <w:right w:val="single" w:sz="2" w:space="0" w:color="auto"/>
            </w:tcBorders>
            <w:hideMark/>
          </w:tcPr>
          <w:p w14:paraId="23845EBD"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8334F81"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37DCF58" w14:textId="77777777" w:rsidR="0076338D" w:rsidRDefault="0076338D" w:rsidP="004C7013">
            <w:pPr>
              <w:pStyle w:val="TAL"/>
            </w:pPr>
          </w:p>
        </w:tc>
      </w:tr>
      <w:tr w:rsidR="0076338D" w:rsidRPr="00AB3358" w14:paraId="6CF9D017"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1F4A8271" w14:textId="43897F54" w:rsidR="0076338D" w:rsidRDefault="0076338D" w:rsidP="004C7013">
            <w:pPr>
              <w:pStyle w:val="TAL"/>
              <w:rPr>
                <w:rFonts w:cs="Arial"/>
              </w:rPr>
            </w:pPr>
            <w:r>
              <w:rPr>
                <w:rFonts w:cs="Arial"/>
              </w:rPr>
              <w:t xml:space="preserve">UTRA FDD </w:t>
            </w:r>
          </w:p>
        </w:tc>
        <w:tc>
          <w:tcPr>
            <w:tcW w:w="1700" w:type="dxa"/>
            <w:tcBorders>
              <w:top w:val="single" w:sz="2" w:space="0" w:color="auto"/>
              <w:left w:val="single" w:sz="4" w:space="0" w:color="auto"/>
              <w:bottom w:val="single" w:sz="2" w:space="0" w:color="auto"/>
              <w:right w:val="single" w:sz="2" w:space="0" w:color="auto"/>
            </w:tcBorders>
          </w:tcPr>
          <w:p w14:paraId="6D201091" w14:textId="486B4568" w:rsidR="0076338D" w:rsidRPr="0076338D" w:rsidRDefault="0076338D" w:rsidP="004C7013">
            <w:pPr>
              <w:pStyle w:val="TAC"/>
              <w:rPr>
                <w:rFonts w:cs="Arial"/>
                <w:lang w:eastAsia="zh-CN"/>
              </w:rPr>
            </w:pPr>
            <w:r>
              <w:rPr>
                <w:rFonts w:cs="Arial"/>
              </w:rPr>
              <w:t>1805 – 1880 MHz</w:t>
            </w:r>
          </w:p>
        </w:tc>
        <w:tc>
          <w:tcPr>
            <w:tcW w:w="851" w:type="dxa"/>
            <w:tcBorders>
              <w:top w:val="single" w:sz="2" w:space="0" w:color="auto"/>
              <w:left w:val="single" w:sz="2" w:space="0" w:color="auto"/>
              <w:bottom w:val="single" w:sz="2" w:space="0" w:color="auto"/>
              <w:right w:val="single" w:sz="2" w:space="0" w:color="auto"/>
            </w:tcBorders>
            <w:hideMark/>
          </w:tcPr>
          <w:p w14:paraId="02286CFC"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3E9BF02"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951AA2A" w14:textId="77777777" w:rsidR="0076338D" w:rsidRDefault="0076338D" w:rsidP="004C7013">
            <w:pPr>
              <w:pStyle w:val="TAL"/>
            </w:pPr>
          </w:p>
        </w:tc>
      </w:tr>
      <w:tr w:rsidR="0076338D" w:rsidRPr="00AB3358" w14:paraId="44BA51A3"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9B87CC3" w14:textId="77777777" w:rsidR="0076338D" w:rsidRDefault="0076338D" w:rsidP="004C7013">
            <w:pPr>
              <w:pStyle w:val="TAL"/>
              <w:rPr>
                <w:rFonts w:cs="Arial"/>
              </w:rPr>
            </w:pPr>
            <w:r>
              <w:rPr>
                <w:rFonts w:cs="Arial"/>
              </w:rPr>
              <w:t>Band III or</w:t>
            </w:r>
          </w:p>
          <w:p w14:paraId="46B10375" w14:textId="75971982" w:rsidR="0076338D" w:rsidRDefault="0076338D" w:rsidP="004C7013">
            <w:pPr>
              <w:pStyle w:val="TAL"/>
              <w:rPr>
                <w:rFonts w:cs="Arial"/>
              </w:rPr>
            </w:pPr>
            <w:r>
              <w:rPr>
                <w:rFonts w:cs="Arial"/>
              </w:rPr>
              <w:t>E-UTRA Band 3 or NR Band n3</w:t>
            </w:r>
          </w:p>
        </w:tc>
        <w:tc>
          <w:tcPr>
            <w:tcW w:w="1700" w:type="dxa"/>
            <w:tcBorders>
              <w:top w:val="single" w:sz="2" w:space="0" w:color="auto"/>
              <w:left w:val="single" w:sz="4" w:space="0" w:color="auto"/>
              <w:bottom w:val="single" w:sz="2" w:space="0" w:color="auto"/>
              <w:right w:val="single" w:sz="2" w:space="0" w:color="auto"/>
            </w:tcBorders>
            <w:hideMark/>
          </w:tcPr>
          <w:p w14:paraId="0FDE7826" w14:textId="77777777" w:rsidR="0076338D" w:rsidRDefault="0076338D" w:rsidP="004C7013">
            <w:pPr>
              <w:pStyle w:val="TAC"/>
            </w:pPr>
            <w:r>
              <w:rPr>
                <w:rFonts w:cs="Arial"/>
              </w:rPr>
              <w:t>1710 – 1785 MHz</w:t>
            </w:r>
          </w:p>
        </w:tc>
        <w:tc>
          <w:tcPr>
            <w:tcW w:w="851" w:type="dxa"/>
            <w:tcBorders>
              <w:top w:val="single" w:sz="2" w:space="0" w:color="auto"/>
              <w:left w:val="single" w:sz="2" w:space="0" w:color="auto"/>
              <w:bottom w:val="single" w:sz="2" w:space="0" w:color="auto"/>
              <w:right w:val="single" w:sz="2" w:space="0" w:color="auto"/>
            </w:tcBorders>
            <w:hideMark/>
          </w:tcPr>
          <w:p w14:paraId="64B3F8B5"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7592CB7"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3155713" w14:textId="77777777" w:rsidR="0076338D" w:rsidRDefault="0076338D" w:rsidP="004C7013">
            <w:pPr>
              <w:pStyle w:val="TAL"/>
            </w:pPr>
          </w:p>
        </w:tc>
      </w:tr>
      <w:tr w:rsidR="0076338D" w:rsidRPr="00AB3358" w14:paraId="076B0FBD"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ADABCF9" w14:textId="77777777" w:rsidR="0076338D" w:rsidRDefault="0076338D" w:rsidP="004C7013">
            <w:pPr>
              <w:pStyle w:val="TAL"/>
              <w:rPr>
                <w:rFonts w:cs="Arial"/>
                <w:lang w:val="sv-SE"/>
              </w:rPr>
            </w:pPr>
            <w:r>
              <w:rPr>
                <w:rFonts w:cs="Arial"/>
                <w:lang w:val="sv-SE"/>
              </w:rPr>
              <w:t>UTRA FDD Band IV or</w:t>
            </w:r>
          </w:p>
          <w:p w14:paraId="74905F5D" w14:textId="77777777" w:rsidR="0076338D" w:rsidRDefault="0076338D" w:rsidP="004C7013">
            <w:pPr>
              <w:pStyle w:val="TAL"/>
              <w:rPr>
                <w:rFonts w:cs="Arial"/>
                <w:lang w:val="sv-SE"/>
              </w:rPr>
            </w:pPr>
            <w:r>
              <w:rPr>
                <w:rFonts w:cs="Arial"/>
                <w:lang w:val="sv-SE"/>
              </w:rPr>
              <w:t>E-UTRA Band 4</w:t>
            </w:r>
          </w:p>
        </w:tc>
        <w:tc>
          <w:tcPr>
            <w:tcW w:w="1700" w:type="dxa"/>
            <w:tcBorders>
              <w:top w:val="single" w:sz="2" w:space="0" w:color="auto"/>
              <w:left w:val="single" w:sz="4" w:space="0" w:color="auto"/>
              <w:bottom w:val="single" w:sz="2" w:space="0" w:color="auto"/>
              <w:right w:val="single" w:sz="2" w:space="0" w:color="auto"/>
            </w:tcBorders>
            <w:hideMark/>
          </w:tcPr>
          <w:p w14:paraId="61A77ADA" w14:textId="77777777" w:rsidR="0076338D" w:rsidRDefault="0076338D" w:rsidP="004C7013">
            <w:pPr>
              <w:pStyle w:val="TAC"/>
            </w:pPr>
            <w:r>
              <w:rPr>
                <w:rFonts w:cs="Arial"/>
              </w:rPr>
              <w:t>2110 – 2155 MHz</w:t>
            </w:r>
          </w:p>
        </w:tc>
        <w:tc>
          <w:tcPr>
            <w:tcW w:w="851" w:type="dxa"/>
            <w:tcBorders>
              <w:top w:val="single" w:sz="2" w:space="0" w:color="auto"/>
              <w:left w:val="single" w:sz="2" w:space="0" w:color="auto"/>
              <w:bottom w:val="single" w:sz="2" w:space="0" w:color="auto"/>
              <w:right w:val="single" w:sz="2" w:space="0" w:color="auto"/>
            </w:tcBorders>
            <w:hideMark/>
          </w:tcPr>
          <w:p w14:paraId="7120F800"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8D70D0A"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D1C07FC" w14:textId="77777777" w:rsidR="0076338D" w:rsidRDefault="0076338D" w:rsidP="004C7013">
            <w:pPr>
              <w:pStyle w:val="TAL"/>
            </w:pPr>
          </w:p>
        </w:tc>
      </w:tr>
      <w:tr w:rsidR="0076338D" w:rsidRPr="00AB3358" w14:paraId="27DE7719"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1477A30"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1E274394" w14:textId="77777777" w:rsidR="0076338D" w:rsidRDefault="0076338D" w:rsidP="004C7013">
            <w:pPr>
              <w:pStyle w:val="TAC"/>
            </w:pPr>
            <w:r>
              <w:rPr>
                <w:rFonts w:cs="Arial"/>
              </w:rPr>
              <w:t>1710 – 1755 MHz</w:t>
            </w:r>
          </w:p>
        </w:tc>
        <w:tc>
          <w:tcPr>
            <w:tcW w:w="851" w:type="dxa"/>
            <w:tcBorders>
              <w:top w:val="single" w:sz="2" w:space="0" w:color="auto"/>
              <w:left w:val="single" w:sz="2" w:space="0" w:color="auto"/>
              <w:bottom w:val="single" w:sz="2" w:space="0" w:color="auto"/>
              <w:right w:val="single" w:sz="2" w:space="0" w:color="auto"/>
            </w:tcBorders>
            <w:hideMark/>
          </w:tcPr>
          <w:p w14:paraId="63584AD2"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D3B541F"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817106F" w14:textId="77777777" w:rsidR="0076338D" w:rsidRDefault="0076338D" w:rsidP="004C7013">
            <w:pPr>
              <w:pStyle w:val="TAL"/>
            </w:pPr>
          </w:p>
        </w:tc>
      </w:tr>
      <w:tr w:rsidR="0076338D" w:rsidRPr="00AB3358" w14:paraId="09C64FAA"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1C8BCED4" w14:textId="77777777" w:rsidR="0076338D" w:rsidRDefault="0076338D" w:rsidP="004C7013">
            <w:pPr>
              <w:pStyle w:val="TAL"/>
              <w:rPr>
                <w:rFonts w:cs="Arial"/>
              </w:rPr>
            </w:pPr>
            <w:r>
              <w:rPr>
                <w:rFonts w:cs="Arial"/>
              </w:rPr>
              <w:t>UTRA FDD Band V or</w:t>
            </w:r>
          </w:p>
          <w:p w14:paraId="3A8A5F33" w14:textId="77777777" w:rsidR="0076338D" w:rsidRDefault="0076338D" w:rsidP="004C7013">
            <w:pPr>
              <w:pStyle w:val="TAL"/>
              <w:rPr>
                <w:rFonts w:cs="Arial"/>
              </w:rPr>
            </w:pPr>
            <w:r>
              <w:rPr>
                <w:rFonts w:cs="Arial"/>
              </w:rPr>
              <w:t>E-UTRA Band 5 or NR Band n5</w:t>
            </w:r>
          </w:p>
        </w:tc>
        <w:tc>
          <w:tcPr>
            <w:tcW w:w="1700" w:type="dxa"/>
            <w:tcBorders>
              <w:top w:val="single" w:sz="2" w:space="0" w:color="auto"/>
              <w:left w:val="single" w:sz="4" w:space="0" w:color="auto"/>
              <w:bottom w:val="single" w:sz="2" w:space="0" w:color="auto"/>
              <w:right w:val="single" w:sz="2" w:space="0" w:color="auto"/>
            </w:tcBorders>
            <w:hideMark/>
          </w:tcPr>
          <w:p w14:paraId="69730C9A" w14:textId="77777777" w:rsidR="0076338D" w:rsidRDefault="0076338D" w:rsidP="004C7013">
            <w:pPr>
              <w:pStyle w:val="TAC"/>
            </w:pPr>
            <w:r>
              <w:rPr>
                <w:rFonts w:cs="Arial"/>
              </w:rPr>
              <w:t>869 – 894 MHz</w:t>
            </w:r>
          </w:p>
        </w:tc>
        <w:tc>
          <w:tcPr>
            <w:tcW w:w="851" w:type="dxa"/>
            <w:tcBorders>
              <w:top w:val="single" w:sz="2" w:space="0" w:color="auto"/>
              <w:left w:val="single" w:sz="2" w:space="0" w:color="auto"/>
              <w:bottom w:val="single" w:sz="2" w:space="0" w:color="auto"/>
              <w:right w:val="single" w:sz="2" w:space="0" w:color="auto"/>
            </w:tcBorders>
            <w:hideMark/>
          </w:tcPr>
          <w:p w14:paraId="7DB7716B"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1871148"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5AEB0ED" w14:textId="77777777" w:rsidR="0076338D" w:rsidRDefault="0076338D" w:rsidP="004C7013">
            <w:pPr>
              <w:pStyle w:val="TAL"/>
            </w:pPr>
          </w:p>
        </w:tc>
      </w:tr>
      <w:tr w:rsidR="0076338D" w:rsidRPr="00AB3358" w14:paraId="512EE4EC"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17EAEA5A"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2A2D3E03" w14:textId="77777777" w:rsidR="0076338D" w:rsidRDefault="0076338D" w:rsidP="004C7013">
            <w:pPr>
              <w:pStyle w:val="TAC"/>
            </w:pPr>
            <w:r>
              <w:rPr>
                <w:rFonts w:cs="Arial"/>
              </w:rPr>
              <w:t>824 – 849 MHz</w:t>
            </w:r>
          </w:p>
        </w:tc>
        <w:tc>
          <w:tcPr>
            <w:tcW w:w="851" w:type="dxa"/>
            <w:tcBorders>
              <w:top w:val="single" w:sz="2" w:space="0" w:color="auto"/>
              <w:left w:val="single" w:sz="2" w:space="0" w:color="auto"/>
              <w:bottom w:val="single" w:sz="2" w:space="0" w:color="auto"/>
              <w:right w:val="single" w:sz="2" w:space="0" w:color="auto"/>
            </w:tcBorders>
            <w:hideMark/>
          </w:tcPr>
          <w:p w14:paraId="24B0BF3A"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BA4C826"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B9F167F" w14:textId="77777777" w:rsidR="0076338D" w:rsidRDefault="0076338D" w:rsidP="004C7013">
            <w:pPr>
              <w:pStyle w:val="TAL"/>
            </w:pPr>
          </w:p>
        </w:tc>
      </w:tr>
      <w:tr w:rsidR="0076338D" w:rsidRPr="00AB3358" w14:paraId="560607FE"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1AAE26D2" w14:textId="6748BA08" w:rsidR="0076338D" w:rsidRDefault="0076338D" w:rsidP="004C7013">
            <w:pPr>
              <w:pStyle w:val="TAL"/>
              <w:rPr>
                <w:rFonts w:cs="Arial"/>
              </w:rPr>
            </w:pPr>
            <w:r>
              <w:rPr>
                <w:rFonts w:cs="Arial"/>
                <w:lang w:val="sv-SE"/>
              </w:rPr>
              <w:t xml:space="preserve">UTRA FDD </w:t>
            </w:r>
          </w:p>
        </w:tc>
        <w:tc>
          <w:tcPr>
            <w:tcW w:w="1700" w:type="dxa"/>
            <w:tcBorders>
              <w:top w:val="single" w:sz="2" w:space="0" w:color="auto"/>
              <w:left w:val="single" w:sz="4" w:space="0" w:color="auto"/>
              <w:bottom w:val="single" w:sz="2" w:space="0" w:color="auto"/>
              <w:right w:val="single" w:sz="2" w:space="0" w:color="auto"/>
            </w:tcBorders>
            <w:hideMark/>
          </w:tcPr>
          <w:p w14:paraId="261402C2" w14:textId="0765B70B" w:rsidR="0076338D" w:rsidRDefault="0076338D" w:rsidP="004C7013">
            <w:pPr>
              <w:pStyle w:val="TAC"/>
            </w:pPr>
            <w:r>
              <w:rPr>
                <w:rFonts w:cs="Arial"/>
              </w:rPr>
              <w:t>860 – 890 MHz</w:t>
            </w:r>
          </w:p>
        </w:tc>
        <w:tc>
          <w:tcPr>
            <w:tcW w:w="851" w:type="dxa"/>
            <w:tcBorders>
              <w:top w:val="single" w:sz="2" w:space="0" w:color="auto"/>
              <w:left w:val="single" w:sz="2" w:space="0" w:color="auto"/>
              <w:bottom w:val="single" w:sz="2" w:space="0" w:color="auto"/>
              <w:right w:val="single" w:sz="2" w:space="0" w:color="auto"/>
            </w:tcBorders>
            <w:hideMark/>
          </w:tcPr>
          <w:p w14:paraId="68BA965B"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926FEA5"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803D4C3" w14:textId="77777777" w:rsidR="0076338D" w:rsidRDefault="0076338D" w:rsidP="004C7013">
            <w:pPr>
              <w:pStyle w:val="TAL"/>
            </w:pPr>
          </w:p>
        </w:tc>
      </w:tr>
      <w:tr w:rsidR="0076338D" w:rsidRPr="00AB3358" w14:paraId="395B80F7" w14:textId="77777777" w:rsidTr="004C7013">
        <w:trPr>
          <w:cantSplit/>
          <w:trHeight w:val="113"/>
          <w:jc w:val="center"/>
        </w:trPr>
        <w:tc>
          <w:tcPr>
            <w:tcW w:w="1301" w:type="dxa"/>
            <w:tcBorders>
              <w:top w:val="nil"/>
              <w:left w:val="single" w:sz="4" w:space="0" w:color="auto"/>
              <w:bottom w:val="nil"/>
              <w:right w:val="single" w:sz="4" w:space="0" w:color="auto"/>
            </w:tcBorders>
            <w:shd w:val="clear" w:color="auto" w:fill="auto"/>
            <w:hideMark/>
          </w:tcPr>
          <w:p w14:paraId="406D7C3B" w14:textId="6FD43077" w:rsidR="0076338D" w:rsidRPr="0076338D" w:rsidRDefault="0076338D" w:rsidP="004C7013">
            <w:pPr>
              <w:pStyle w:val="TAL"/>
              <w:rPr>
                <w:rFonts w:cs="Arial"/>
                <w:lang w:val="sv-SE"/>
              </w:rPr>
            </w:pPr>
            <w:r>
              <w:rPr>
                <w:rFonts w:cs="Arial"/>
                <w:lang w:val="sv-SE"/>
              </w:rPr>
              <w:t>Band VI, XIX or</w:t>
            </w:r>
          </w:p>
        </w:tc>
        <w:tc>
          <w:tcPr>
            <w:tcW w:w="1700" w:type="dxa"/>
            <w:tcBorders>
              <w:top w:val="single" w:sz="2" w:space="0" w:color="auto"/>
              <w:left w:val="single" w:sz="4" w:space="0" w:color="auto"/>
              <w:bottom w:val="single" w:sz="2" w:space="0" w:color="auto"/>
              <w:right w:val="single" w:sz="2" w:space="0" w:color="auto"/>
            </w:tcBorders>
            <w:hideMark/>
          </w:tcPr>
          <w:p w14:paraId="4343BEEC" w14:textId="642BCD0D" w:rsidR="0076338D" w:rsidRDefault="0076338D" w:rsidP="004C7013">
            <w:pPr>
              <w:pStyle w:val="TAC"/>
            </w:pPr>
            <w:r>
              <w:rPr>
                <w:rFonts w:cs="Arial"/>
              </w:rPr>
              <w:t>815 – 830 MHz</w:t>
            </w:r>
          </w:p>
        </w:tc>
        <w:tc>
          <w:tcPr>
            <w:tcW w:w="851" w:type="dxa"/>
            <w:tcBorders>
              <w:top w:val="single" w:sz="2" w:space="0" w:color="auto"/>
              <w:left w:val="single" w:sz="2" w:space="0" w:color="auto"/>
              <w:bottom w:val="single" w:sz="2" w:space="0" w:color="auto"/>
              <w:right w:val="single" w:sz="2" w:space="0" w:color="auto"/>
            </w:tcBorders>
            <w:hideMark/>
          </w:tcPr>
          <w:p w14:paraId="19003542"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807F06E"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39F826E" w14:textId="77777777" w:rsidR="0076338D" w:rsidRDefault="0076338D" w:rsidP="004C7013">
            <w:pPr>
              <w:pStyle w:val="TAL"/>
            </w:pPr>
          </w:p>
        </w:tc>
      </w:tr>
      <w:tr w:rsidR="0076338D" w14:paraId="669BD876"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066F56C1" w14:textId="1A3E79BF" w:rsidR="0076338D" w:rsidRDefault="0076338D" w:rsidP="004C7013">
            <w:pPr>
              <w:pStyle w:val="TAL"/>
              <w:rPr>
                <w:rFonts w:cs="Arial"/>
              </w:rPr>
            </w:pPr>
            <w:r w:rsidRPr="0076338D">
              <w:rPr>
                <w:rFonts w:cs="Arial"/>
                <w:lang w:val="sv-FI"/>
              </w:rPr>
              <w:t xml:space="preserve">E-UTRA Band 6, 18, 19 or </w:t>
            </w:r>
            <w:r w:rsidRPr="0076338D">
              <w:rPr>
                <w:rFonts w:eastAsia="MS Mincho" w:cs="Arial"/>
                <w:lang w:val="sv-FI" w:eastAsia="ja-JP"/>
              </w:rPr>
              <w:t>NR Band n18</w:t>
            </w:r>
          </w:p>
        </w:tc>
        <w:tc>
          <w:tcPr>
            <w:tcW w:w="1700" w:type="dxa"/>
            <w:tcBorders>
              <w:top w:val="single" w:sz="2" w:space="0" w:color="auto"/>
              <w:left w:val="single" w:sz="4" w:space="0" w:color="auto"/>
              <w:bottom w:val="single" w:sz="2" w:space="0" w:color="auto"/>
              <w:right w:val="single" w:sz="2" w:space="0" w:color="auto"/>
            </w:tcBorders>
            <w:hideMark/>
          </w:tcPr>
          <w:p w14:paraId="785FE77A" w14:textId="77777777" w:rsidR="0076338D" w:rsidRDefault="0076338D" w:rsidP="004C7013">
            <w:pPr>
              <w:pStyle w:val="TAC"/>
              <w:rPr>
                <w:rFonts w:cs="Arial"/>
              </w:rPr>
            </w:pPr>
            <w:r>
              <w:rPr>
                <w:rFonts w:cs="Arial"/>
              </w:rPr>
              <w:t>830 – 845 MHz</w:t>
            </w:r>
          </w:p>
        </w:tc>
        <w:tc>
          <w:tcPr>
            <w:tcW w:w="851" w:type="dxa"/>
            <w:tcBorders>
              <w:top w:val="single" w:sz="2" w:space="0" w:color="auto"/>
              <w:left w:val="single" w:sz="2" w:space="0" w:color="auto"/>
              <w:bottom w:val="single" w:sz="2" w:space="0" w:color="auto"/>
              <w:right w:val="single" w:sz="2" w:space="0" w:color="auto"/>
            </w:tcBorders>
            <w:hideMark/>
          </w:tcPr>
          <w:p w14:paraId="12402A76" w14:textId="77777777" w:rsidR="0076338D" w:rsidRDefault="0076338D"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2A99D26" w14:textId="77777777" w:rsidR="0076338D" w:rsidRDefault="0076338D"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FFEA20D" w14:textId="77777777" w:rsidR="0076338D" w:rsidRDefault="0076338D" w:rsidP="004C7013">
            <w:pPr>
              <w:pStyle w:val="TAL"/>
            </w:pPr>
          </w:p>
        </w:tc>
      </w:tr>
      <w:tr w:rsidR="0076338D" w:rsidRPr="00AB3358" w14:paraId="4384B9F1"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03CC1DEF" w14:textId="77777777" w:rsidR="0076338D" w:rsidRDefault="0076338D" w:rsidP="004C7013">
            <w:pPr>
              <w:pStyle w:val="TAL"/>
              <w:rPr>
                <w:rFonts w:cs="Arial"/>
              </w:rPr>
            </w:pPr>
            <w:r>
              <w:rPr>
                <w:rFonts w:cs="Arial"/>
              </w:rPr>
              <w:t>UTRA FDD Band VII or</w:t>
            </w:r>
          </w:p>
          <w:p w14:paraId="48A4FEFD" w14:textId="77777777" w:rsidR="0076338D" w:rsidRDefault="0076338D" w:rsidP="004C7013">
            <w:pPr>
              <w:pStyle w:val="TAL"/>
              <w:rPr>
                <w:rFonts w:cs="Arial"/>
              </w:rPr>
            </w:pPr>
            <w:r>
              <w:rPr>
                <w:rFonts w:cs="Arial"/>
              </w:rPr>
              <w:t>E-UTRA Band 7 or NR Band n7</w:t>
            </w:r>
          </w:p>
        </w:tc>
        <w:tc>
          <w:tcPr>
            <w:tcW w:w="1700" w:type="dxa"/>
            <w:tcBorders>
              <w:top w:val="single" w:sz="2" w:space="0" w:color="auto"/>
              <w:left w:val="single" w:sz="4" w:space="0" w:color="auto"/>
              <w:bottom w:val="single" w:sz="2" w:space="0" w:color="auto"/>
              <w:right w:val="single" w:sz="2" w:space="0" w:color="auto"/>
            </w:tcBorders>
            <w:hideMark/>
          </w:tcPr>
          <w:p w14:paraId="7CD70D58" w14:textId="77777777" w:rsidR="0076338D" w:rsidRDefault="0076338D" w:rsidP="004C7013">
            <w:pPr>
              <w:pStyle w:val="TAC"/>
            </w:pPr>
            <w:r>
              <w:rPr>
                <w:rFonts w:cs="Arial"/>
              </w:rPr>
              <w:t>2620 – 2690 MHz</w:t>
            </w:r>
          </w:p>
        </w:tc>
        <w:tc>
          <w:tcPr>
            <w:tcW w:w="851" w:type="dxa"/>
            <w:tcBorders>
              <w:top w:val="single" w:sz="2" w:space="0" w:color="auto"/>
              <w:left w:val="single" w:sz="2" w:space="0" w:color="auto"/>
              <w:bottom w:val="single" w:sz="2" w:space="0" w:color="auto"/>
              <w:right w:val="single" w:sz="2" w:space="0" w:color="auto"/>
            </w:tcBorders>
            <w:hideMark/>
          </w:tcPr>
          <w:p w14:paraId="6127D636"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051CF86"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D9335D2" w14:textId="77777777" w:rsidR="0076338D" w:rsidRDefault="0076338D" w:rsidP="004C7013">
            <w:pPr>
              <w:pStyle w:val="TAL"/>
            </w:pPr>
          </w:p>
        </w:tc>
      </w:tr>
      <w:tr w:rsidR="0076338D" w:rsidRPr="00AB3358" w14:paraId="0BD84963"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55DE27BE"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46A79205" w14:textId="77777777" w:rsidR="0076338D" w:rsidRDefault="0076338D" w:rsidP="004C7013">
            <w:pPr>
              <w:pStyle w:val="TAC"/>
            </w:pPr>
            <w:r>
              <w:rPr>
                <w:rFonts w:cs="Arial"/>
              </w:rPr>
              <w:t>2500 – 2570 MHz</w:t>
            </w:r>
          </w:p>
        </w:tc>
        <w:tc>
          <w:tcPr>
            <w:tcW w:w="851" w:type="dxa"/>
            <w:tcBorders>
              <w:top w:val="single" w:sz="2" w:space="0" w:color="auto"/>
              <w:left w:val="single" w:sz="2" w:space="0" w:color="auto"/>
              <w:bottom w:val="single" w:sz="2" w:space="0" w:color="auto"/>
              <w:right w:val="single" w:sz="2" w:space="0" w:color="auto"/>
            </w:tcBorders>
            <w:hideMark/>
          </w:tcPr>
          <w:p w14:paraId="2599962C"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022CCFC"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21E9F76" w14:textId="77777777" w:rsidR="0076338D" w:rsidRDefault="0076338D" w:rsidP="004C7013">
            <w:pPr>
              <w:pStyle w:val="TAL"/>
            </w:pPr>
          </w:p>
        </w:tc>
      </w:tr>
      <w:tr w:rsidR="0076338D" w:rsidRPr="00AB3358" w14:paraId="55F19DD7"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03841470" w14:textId="77777777" w:rsidR="0076338D" w:rsidRDefault="0076338D" w:rsidP="004C7013">
            <w:pPr>
              <w:pStyle w:val="TAL"/>
              <w:rPr>
                <w:rFonts w:cs="Arial"/>
              </w:rPr>
            </w:pPr>
            <w:r>
              <w:rPr>
                <w:rFonts w:cs="Arial"/>
              </w:rPr>
              <w:t>UTRA FDD Band VIII or</w:t>
            </w:r>
          </w:p>
          <w:p w14:paraId="7D10CC60" w14:textId="77777777" w:rsidR="0076338D" w:rsidRDefault="0076338D" w:rsidP="004C7013">
            <w:pPr>
              <w:pStyle w:val="TAL"/>
              <w:rPr>
                <w:rFonts w:cs="Arial"/>
              </w:rPr>
            </w:pPr>
            <w:r>
              <w:rPr>
                <w:rFonts w:cs="Arial"/>
              </w:rPr>
              <w:t>E-UTRA Band 8 or NR Band n8</w:t>
            </w:r>
          </w:p>
        </w:tc>
        <w:tc>
          <w:tcPr>
            <w:tcW w:w="1700" w:type="dxa"/>
            <w:tcBorders>
              <w:top w:val="single" w:sz="2" w:space="0" w:color="auto"/>
              <w:left w:val="single" w:sz="4" w:space="0" w:color="auto"/>
              <w:bottom w:val="single" w:sz="2" w:space="0" w:color="auto"/>
              <w:right w:val="single" w:sz="2" w:space="0" w:color="auto"/>
            </w:tcBorders>
            <w:hideMark/>
          </w:tcPr>
          <w:p w14:paraId="087D67DA" w14:textId="77777777" w:rsidR="0076338D" w:rsidRDefault="0076338D" w:rsidP="004C7013">
            <w:pPr>
              <w:pStyle w:val="TAC"/>
            </w:pPr>
            <w:r>
              <w:rPr>
                <w:rFonts w:cs="Arial"/>
              </w:rPr>
              <w:t>925 – 960 MHz</w:t>
            </w:r>
          </w:p>
        </w:tc>
        <w:tc>
          <w:tcPr>
            <w:tcW w:w="851" w:type="dxa"/>
            <w:tcBorders>
              <w:top w:val="single" w:sz="2" w:space="0" w:color="auto"/>
              <w:left w:val="single" w:sz="2" w:space="0" w:color="auto"/>
              <w:bottom w:val="single" w:sz="2" w:space="0" w:color="auto"/>
              <w:right w:val="single" w:sz="2" w:space="0" w:color="auto"/>
            </w:tcBorders>
            <w:hideMark/>
          </w:tcPr>
          <w:p w14:paraId="4E05DC1A"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1D9BD57"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941A207" w14:textId="77777777" w:rsidR="0076338D" w:rsidRDefault="0076338D" w:rsidP="004C7013">
            <w:pPr>
              <w:pStyle w:val="TAL"/>
            </w:pPr>
          </w:p>
        </w:tc>
      </w:tr>
      <w:tr w:rsidR="0076338D" w:rsidRPr="00AB3358" w14:paraId="634A6A9C"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1411CE5"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29FE443A" w14:textId="77777777" w:rsidR="0076338D" w:rsidRDefault="0076338D" w:rsidP="004C7013">
            <w:pPr>
              <w:pStyle w:val="TAC"/>
            </w:pPr>
            <w:r>
              <w:rPr>
                <w:rFonts w:cs="Arial"/>
              </w:rPr>
              <w:t>880 – 915 MHz</w:t>
            </w:r>
          </w:p>
        </w:tc>
        <w:tc>
          <w:tcPr>
            <w:tcW w:w="851" w:type="dxa"/>
            <w:tcBorders>
              <w:top w:val="single" w:sz="2" w:space="0" w:color="auto"/>
              <w:left w:val="single" w:sz="2" w:space="0" w:color="auto"/>
              <w:bottom w:val="single" w:sz="2" w:space="0" w:color="auto"/>
              <w:right w:val="single" w:sz="2" w:space="0" w:color="auto"/>
            </w:tcBorders>
            <w:hideMark/>
          </w:tcPr>
          <w:p w14:paraId="1A8C200B"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0CB5F79A"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BE88BDD" w14:textId="77777777" w:rsidR="0076338D" w:rsidRDefault="0076338D" w:rsidP="004C7013">
            <w:pPr>
              <w:pStyle w:val="TAL"/>
            </w:pPr>
          </w:p>
        </w:tc>
      </w:tr>
      <w:tr w:rsidR="0076338D" w:rsidRPr="00AB3358" w14:paraId="19E8C764"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8E8CDE5" w14:textId="77777777" w:rsidR="0076338D" w:rsidRDefault="0076338D" w:rsidP="004C7013">
            <w:pPr>
              <w:pStyle w:val="TAL"/>
              <w:rPr>
                <w:rFonts w:cs="Arial"/>
                <w:lang w:val="sv-SE"/>
              </w:rPr>
            </w:pPr>
            <w:r>
              <w:rPr>
                <w:rFonts w:cs="Arial"/>
                <w:lang w:val="sv-SE"/>
              </w:rPr>
              <w:t>UTRA FDD Band IX or</w:t>
            </w:r>
          </w:p>
          <w:p w14:paraId="562FA142" w14:textId="77777777" w:rsidR="0076338D" w:rsidRDefault="0076338D" w:rsidP="004C7013">
            <w:pPr>
              <w:pStyle w:val="TAL"/>
              <w:rPr>
                <w:rFonts w:cs="Arial"/>
                <w:lang w:val="sv-SE"/>
              </w:rPr>
            </w:pPr>
            <w:r>
              <w:rPr>
                <w:rFonts w:cs="Arial"/>
                <w:lang w:val="sv-SE"/>
              </w:rPr>
              <w:t>E-UTRA Band 9</w:t>
            </w:r>
          </w:p>
        </w:tc>
        <w:tc>
          <w:tcPr>
            <w:tcW w:w="1700" w:type="dxa"/>
            <w:tcBorders>
              <w:top w:val="single" w:sz="2" w:space="0" w:color="auto"/>
              <w:left w:val="single" w:sz="4" w:space="0" w:color="auto"/>
              <w:bottom w:val="single" w:sz="2" w:space="0" w:color="auto"/>
              <w:right w:val="single" w:sz="2" w:space="0" w:color="auto"/>
            </w:tcBorders>
          </w:tcPr>
          <w:p w14:paraId="7C4A3D5C" w14:textId="77777777" w:rsidR="0076338D" w:rsidRDefault="0076338D" w:rsidP="004C7013">
            <w:pPr>
              <w:pStyle w:val="TAC"/>
              <w:rPr>
                <w:rFonts w:cs="Arial"/>
                <w:lang w:eastAsia="zh-CN"/>
              </w:rPr>
            </w:pPr>
            <w:r>
              <w:rPr>
                <w:rFonts w:cs="Arial"/>
              </w:rPr>
              <w:t>1844.9 – 1879.9 MHz</w:t>
            </w:r>
          </w:p>
          <w:p w14:paraId="4720F133" w14:textId="77777777" w:rsidR="0076338D" w:rsidRDefault="0076338D" w:rsidP="004C7013">
            <w:pPr>
              <w:pStyle w:val="TAC"/>
            </w:pPr>
          </w:p>
        </w:tc>
        <w:tc>
          <w:tcPr>
            <w:tcW w:w="851" w:type="dxa"/>
            <w:tcBorders>
              <w:top w:val="single" w:sz="2" w:space="0" w:color="auto"/>
              <w:left w:val="single" w:sz="2" w:space="0" w:color="auto"/>
              <w:bottom w:val="single" w:sz="2" w:space="0" w:color="auto"/>
              <w:right w:val="single" w:sz="2" w:space="0" w:color="auto"/>
            </w:tcBorders>
            <w:hideMark/>
          </w:tcPr>
          <w:p w14:paraId="55D21841"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7F95093"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29504E0" w14:textId="77777777" w:rsidR="0076338D" w:rsidRDefault="0076338D" w:rsidP="004C7013">
            <w:pPr>
              <w:pStyle w:val="TAL"/>
            </w:pPr>
          </w:p>
        </w:tc>
      </w:tr>
      <w:tr w:rsidR="0076338D" w:rsidRPr="00AB3358" w14:paraId="50B9D380"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1235FBC8"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3C08E0D4" w14:textId="77777777" w:rsidR="0076338D" w:rsidRDefault="0076338D" w:rsidP="004C7013">
            <w:pPr>
              <w:pStyle w:val="TAC"/>
            </w:pPr>
            <w:r>
              <w:rPr>
                <w:rFonts w:cs="Arial"/>
              </w:rPr>
              <w:t>1749.9 – 1784.9 MHz</w:t>
            </w:r>
          </w:p>
        </w:tc>
        <w:tc>
          <w:tcPr>
            <w:tcW w:w="851" w:type="dxa"/>
            <w:tcBorders>
              <w:top w:val="single" w:sz="2" w:space="0" w:color="auto"/>
              <w:left w:val="single" w:sz="2" w:space="0" w:color="auto"/>
              <w:bottom w:val="single" w:sz="2" w:space="0" w:color="auto"/>
              <w:right w:val="single" w:sz="2" w:space="0" w:color="auto"/>
            </w:tcBorders>
            <w:hideMark/>
          </w:tcPr>
          <w:p w14:paraId="3BA5EF32"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7D62442"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D39E2AD" w14:textId="77777777" w:rsidR="0076338D" w:rsidRDefault="0076338D" w:rsidP="004C7013">
            <w:pPr>
              <w:pStyle w:val="TAL"/>
            </w:pPr>
          </w:p>
        </w:tc>
      </w:tr>
      <w:tr w:rsidR="0076338D" w:rsidRPr="00AB3358" w14:paraId="42BF0961"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03F3A860" w14:textId="77777777" w:rsidR="0076338D" w:rsidRDefault="0076338D" w:rsidP="004C7013">
            <w:pPr>
              <w:pStyle w:val="TAL"/>
              <w:rPr>
                <w:rFonts w:cs="Arial"/>
                <w:lang w:val="sv-SE"/>
              </w:rPr>
            </w:pPr>
            <w:r>
              <w:rPr>
                <w:rFonts w:cs="Arial"/>
                <w:lang w:val="sv-SE"/>
              </w:rPr>
              <w:t>UTRA FDD Band X or</w:t>
            </w:r>
          </w:p>
          <w:p w14:paraId="358F1A4E" w14:textId="77777777" w:rsidR="0076338D" w:rsidRDefault="0076338D" w:rsidP="004C7013">
            <w:pPr>
              <w:pStyle w:val="TAL"/>
              <w:rPr>
                <w:rFonts w:cs="Arial"/>
                <w:lang w:val="sv-SE"/>
              </w:rPr>
            </w:pPr>
            <w:r>
              <w:rPr>
                <w:rFonts w:cs="Arial"/>
                <w:lang w:val="sv-SE"/>
              </w:rPr>
              <w:t>E-UTRA Band 10</w:t>
            </w:r>
          </w:p>
        </w:tc>
        <w:tc>
          <w:tcPr>
            <w:tcW w:w="1700" w:type="dxa"/>
            <w:tcBorders>
              <w:top w:val="single" w:sz="2" w:space="0" w:color="auto"/>
              <w:left w:val="single" w:sz="4" w:space="0" w:color="auto"/>
              <w:bottom w:val="single" w:sz="2" w:space="0" w:color="auto"/>
              <w:right w:val="single" w:sz="2" w:space="0" w:color="auto"/>
            </w:tcBorders>
            <w:hideMark/>
          </w:tcPr>
          <w:p w14:paraId="4DF0FB5A" w14:textId="77777777" w:rsidR="0076338D" w:rsidRDefault="0076338D" w:rsidP="004C7013">
            <w:pPr>
              <w:pStyle w:val="TAC"/>
            </w:pPr>
            <w:r>
              <w:rPr>
                <w:rFonts w:cs="Arial"/>
              </w:rPr>
              <w:t>2110 – 2170 MHz</w:t>
            </w:r>
          </w:p>
        </w:tc>
        <w:tc>
          <w:tcPr>
            <w:tcW w:w="851" w:type="dxa"/>
            <w:tcBorders>
              <w:top w:val="single" w:sz="2" w:space="0" w:color="auto"/>
              <w:left w:val="single" w:sz="2" w:space="0" w:color="auto"/>
              <w:bottom w:val="single" w:sz="2" w:space="0" w:color="auto"/>
              <w:right w:val="single" w:sz="2" w:space="0" w:color="auto"/>
            </w:tcBorders>
            <w:hideMark/>
          </w:tcPr>
          <w:p w14:paraId="30E77D71"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BC43869"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1B4DE3F" w14:textId="77777777" w:rsidR="0076338D" w:rsidRDefault="0076338D" w:rsidP="004C7013">
            <w:pPr>
              <w:pStyle w:val="TAL"/>
            </w:pPr>
          </w:p>
        </w:tc>
      </w:tr>
      <w:tr w:rsidR="0076338D" w:rsidRPr="00AB3358" w14:paraId="4A5C9D3A"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5D796B2"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2ABCF6F1" w14:textId="77777777" w:rsidR="0076338D" w:rsidRDefault="0076338D" w:rsidP="004C7013">
            <w:pPr>
              <w:pStyle w:val="TAC"/>
            </w:pPr>
            <w:r>
              <w:rPr>
                <w:rFonts w:cs="Arial"/>
              </w:rPr>
              <w:t>1710 – 1770 MHz</w:t>
            </w:r>
          </w:p>
        </w:tc>
        <w:tc>
          <w:tcPr>
            <w:tcW w:w="851" w:type="dxa"/>
            <w:tcBorders>
              <w:top w:val="single" w:sz="2" w:space="0" w:color="auto"/>
              <w:left w:val="single" w:sz="2" w:space="0" w:color="auto"/>
              <w:bottom w:val="single" w:sz="2" w:space="0" w:color="auto"/>
              <w:right w:val="single" w:sz="2" w:space="0" w:color="auto"/>
            </w:tcBorders>
            <w:hideMark/>
          </w:tcPr>
          <w:p w14:paraId="2E5A51F2"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A0674F3"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4C1656B" w14:textId="77777777" w:rsidR="0076338D" w:rsidRDefault="0076338D" w:rsidP="004C7013">
            <w:pPr>
              <w:pStyle w:val="TAL"/>
            </w:pPr>
          </w:p>
        </w:tc>
      </w:tr>
      <w:tr w:rsidR="0076338D" w:rsidRPr="00AB3358" w14:paraId="42E43E92"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5E088E5D" w14:textId="77777777" w:rsidR="0076338D" w:rsidRDefault="0076338D" w:rsidP="004C7013">
            <w:pPr>
              <w:pStyle w:val="TAL"/>
              <w:rPr>
                <w:rFonts w:cs="Arial"/>
              </w:rPr>
            </w:pPr>
            <w:r>
              <w:rPr>
                <w:rFonts w:cs="Arial"/>
              </w:rPr>
              <w:lastRenderedPageBreak/>
              <w:t>UTRA FDD Band XI or XXI or</w:t>
            </w:r>
          </w:p>
          <w:p w14:paraId="094A6CE4" w14:textId="77777777" w:rsidR="0076338D" w:rsidRDefault="0076338D" w:rsidP="004C7013">
            <w:pPr>
              <w:pStyle w:val="TAL"/>
              <w:rPr>
                <w:rFonts w:cs="Arial"/>
              </w:rPr>
            </w:pPr>
            <w:r>
              <w:rPr>
                <w:rFonts w:cs="Arial"/>
              </w:rPr>
              <w:t>E-UTRA Band 11 or 21</w:t>
            </w:r>
          </w:p>
        </w:tc>
        <w:tc>
          <w:tcPr>
            <w:tcW w:w="1700" w:type="dxa"/>
            <w:tcBorders>
              <w:top w:val="single" w:sz="2" w:space="0" w:color="auto"/>
              <w:left w:val="single" w:sz="4" w:space="0" w:color="auto"/>
              <w:bottom w:val="single" w:sz="2" w:space="0" w:color="auto"/>
              <w:right w:val="single" w:sz="2" w:space="0" w:color="auto"/>
            </w:tcBorders>
            <w:hideMark/>
          </w:tcPr>
          <w:p w14:paraId="074017E9" w14:textId="77777777" w:rsidR="0076338D" w:rsidRDefault="0076338D" w:rsidP="004C7013">
            <w:pPr>
              <w:pStyle w:val="TAC"/>
            </w:pPr>
            <w:r>
              <w:rPr>
                <w:rFonts w:cs="Arial"/>
              </w:rPr>
              <w:t>1475.9 – 1510.9 MHz</w:t>
            </w:r>
          </w:p>
        </w:tc>
        <w:tc>
          <w:tcPr>
            <w:tcW w:w="851" w:type="dxa"/>
            <w:tcBorders>
              <w:top w:val="single" w:sz="2" w:space="0" w:color="auto"/>
              <w:left w:val="single" w:sz="2" w:space="0" w:color="auto"/>
              <w:bottom w:val="single" w:sz="2" w:space="0" w:color="auto"/>
              <w:right w:val="single" w:sz="2" w:space="0" w:color="auto"/>
            </w:tcBorders>
            <w:hideMark/>
          </w:tcPr>
          <w:p w14:paraId="40E1F825"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7F98D9E"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BBAA8A2" w14:textId="77777777" w:rsidR="0076338D" w:rsidRDefault="0076338D" w:rsidP="004C7013">
            <w:pPr>
              <w:pStyle w:val="TAL"/>
            </w:pPr>
          </w:p>
        </w:tc>
      </w:tr>
      <w:tr w:rsidR="0076338D" w:rsidRPr="00AB3358" w14:paraId="71314189" w14:textId="77777777" w:rsidTr="004C7013">
        <w:trPr>
          <w:cantSplit/>
          <w:trHeight w:val="113"/>
          <w:jc w:val="center"/>
        </w:trPr>
        <w:tc>
          <w:tcPr>
            <w:tcW w:w="1301" w:type="dxa"/>
            <w:tcBorders>
              <w:top w:val="nil"/>
              <w:left w:val="single" w:sz="4" w:space="0" w:color="auto"/>
              <w:bottom w:val="nil"/>
              <w:right w:val="single" w:sz="4" w:space="0" w:color="auto"/>
            </w:tcBorders>
            <w:shd w:val="clear" w:color="auto" w:fill="auto"/>
            <w:hideMark/>
          </w:tcPr>
          <w:p w14:paraId="49413A49"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6665D4CA" w14:textId="7F66646E" w:rsidR="0076338D" w:rsidRDefault="0076338D" w:rsidP="004C7013">
            <w:pPr>
              <w:pStyle w:val="TAC"/>
            </w:pPr>
            <w:r>
              <w:rPr>
                <w:rFonts w:cs="Arial"/>
              </w:rPr>
              <w:t>1427.9 – 1447.9 MHz</w:t>
            </w:r>
          </w:p>
        </w:tc>
        <w:tc>
          <w:tcPr>
            <w:tcW w:w="851" w:type="dxa"/>
            <w:tcBorders>
              <w:top w:val="single" w:sz="2" w:space="0" w:color="auto"/>
              <w:left w:val="single" w:sz="2" w:space="0" w:color="auto"/>
              <w:bottom w:val="single" w:sz="2" w:space="0" w:color="auto"/>
              <w:right w:val="single" w:sz="2" w:space="0" w:color="auto"/>
            </w:tcBorders>
            <w:hideMark/>
          </w:tcPr>
          <w:p w14:paraId="6BA13427"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25AB627"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D0AC4EC" w14:textId="77777777" w:rsidR="0076338D" w:rsidRDefault="0076338D" w:rsidP="004C7013">
            <w:pPr>
              <w:pStyle w:val="TAL"/>
            </w:pPr>
          </w:p>
        </w:tc>
      </w:tr>
      <w:tr w:rsidR="0076338D" w:rsidRPr="00AB3358" w14:paraId="36979A31"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09AC20A1"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2B6C7DB5" w14:textId="77777777" w:rsidR="0076338D" w:rsidRDefault="0076338D" w:rsidP="004C7013">
            <w:pPr>
              <w:pStyle w:val="TAC"/>
            </w:pPr>
            <w:r>
              <w:rPr>
                <w:rFonts w:cs="Arial"/>
              </w:rPr>
              <w:t>1447.9 – 1462.9 MHz</w:t>
            </w:r>
          </w:p>
        </w:tc>
        <w:tc>
          <w:tcPr>
            <w:tcW w:w="851" w:type="dxa"/>
            <w:tcBorders>
              <w:top w:val="single" w:sz="2" w:space="0" w:color="auto"/>
              <w:left w:val="single" w:sz="2" w:space="0" w:color="auto"/>
              <w:bottom w:val="single" w:sz="2" w:space="0" w:color="auto"/>
              <w:right w:val="single" w:sz="2" w:space="0" w:color="auto"/>
            </w:tcBorders>
            <w:hideMark/>
          </w:tcPr>
          <w:p w14:paraId="7C1F4B96"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7A3BA98"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F3A31DC" w14:textId="77777777" w:rsidR="0076338D" w:rsidRDefault="0076338D" w:rsidP="004C7013">
            <w:pPr>
              <w:pStyle w:val="TAL"/>
            </w:pPr>
          </w:p>
        </w:tc>
      </w:tr>
      <w:tr w:rsidR="0076338D" w:rsidRPr="00AB3358" w14:paraId="58222C17"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71031866" w14:textId="77777777" w:rsidR="0076338D" w:rsidRDefault="0076338D" w:rsidP="004C7013">
            <w:pPr>
              <w:pStyle w:val="TAL"/>
              <w:rPr>
                <w:rFonts w:cs="Arial"/>
                <w:lang w:val="sv-SE"/>
              </w:rPr>
            </w:pPr>
            <w:r>
              <w:rPr>
                <w:rFonts w:cs="Arial"/>
                <w:lang w:val="sv-SE"/>
              </w:rPr>
              <w:t>UTRA FDD Band XII or</w:t>
            </w:r>
          </w:p>
          <w:p w14:paraId="1ECBEFA7" w14:textId="77777777" w:rsidR="0076338D" w:rsidRDefault="0076338D" w:rsidP="004C7013">
            <w:pPr>
              <w:pStyle w:val="TAL"/>
              <w:rPr>
                <w:rFonts w:cs="Arial"/>
                <w:lang w:val="sv-SE"/>
              </w:rPr>
            </w:pPr>
            <w:r>
              <w:rPr>
                <w:rFonts w:cs="Arial"/>
                <w:lang w:val="sv-SE"/>
              </w:rPr>
              <w:t>E-UTRA Band 12 or NR Band n12</w:t>
            </w:r>
          </w:p>
        </w:tc>
        <w:tc>
          <w:tcPr>
            <w:tcW w:w="1700" w:type="dxa"/>
            <w:tcBorders>
              <w:top w:val="single" w:sz="2" w:space="0" w:color="auto"/>
              <w:left w:val="single" w:sz="4" w:space="0" w:color="auto"/>
              <w:bottom w:val="single" w:sz="2" w:space="0" w:color="auto"/>
              <w:right w:val="single" w:sz="2" w:space="0" w:color="auto"/>
            </w:tcBorders>
            <w:hideMark/>
          </w:tcPr>
          <w:p w14:paraId="10B5910B" w14:textId="77777777" w:rsidR="0076338D" w:rsidRDefault="0076338D" w:rsidP="004C7013">
            <w:pPr>
              <w:pStyle w:val="TAC"/>
            </w:pPr>
            <w:r>
              <w:rPr>
                <w:rFonts w:cs="Arial"/>
              </w:rPr>
              <w:t>729 – 746 MHz</w:t>
            </w:r>
          </w:p>
        </w:tc>
        <w:tc>
          <w:tcPr>
            <w:tcW w:w="851" w:type="dxa"/>
            <w:tcBorders>
              <w:top w:val="single" w:sz="2" w:space="0" w:color="auto"/>
              <w:left w:val="single" w:sz="2" w:space="0" w:color="auto"/>
              <w:bottom w:val="single" w:sz="2" w:space="0" w:color="auto"/>
              <w:right w:val="single" w:sz="2" w:space="0" w:color="auto"/>
            </w:tcBorders>
            <w:hideMark/>
          </w:tcPr>
          <w:p w14:paraId="208A0F64"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B7D323D"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CFD2FDE" w14:textId="77777777" w:rsidR="0076338D" w:rsidRDefault="0076338D" w:rsidP="004C7013">
            <w:pPr>
              <w:pStyle w:val="TAL"/>
            </w:pPr>
          </w:p>
        </w:tc>
      </w:tr>
      <w:tr w:rsidR="0076338D" w:rsidRPr="00AB3358" w14:paraId="437D4234"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2026365"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20ABE8E5" w14:textId="77777777" w:rsidR="0076338D" w:rsidRDefault="0076338D" w:rsidP="004C7013">
            <w:pPr>
              <w:pStyle w:val="TAC"/>
            </w:pPr>
            <w:r>
              <w:rPr>
                <w:rFonts w:cs="Arial"/>
              </w:rPr>
              <w:t>699 – 716 MHz</w:t>
            </w:r>
          </w:p>
        </w:tc>
        <w:tc>
          <w:tcPr>
            <w:tcW w:w="851" w:type="dxa"/>
            <w:tcBorders>
              <w:top w:val="single" w:sz="2" w:space="0" w:color="auto"/>
              <w:left w:val="single" w:sz="2" w:space="0" w:color="auto"/>
              <w:bottom w:val="single" w:sz="2" w:space="0" w:color="auto"/>
              <w:right w:val="single" w:sz="2" w:space="0" w:color="auto"/>
            </w:tcBorders>
            <w:hideMark/>
          </w:tcPr>
          <w:p w14:paraId="7E124C70"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F0B6E2F"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48EC08B" w14:textId="77777777" w:rsidR="0076338D" w:rsidRDefault="0076338D" w:rsidP="004C7013">
            <w:pPr>
              <w:pStyle w:val="TAL"/>
            </w:pPr>
          </w:p>
        </w:tc>
      </w:tr>
      <w:tr w:rsidR="0076338D" w14:paraId="5638C89F"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7619716" w14:textId="77777777" w:rsidR="0076338D" w:rsidRDefault="0076338D" w:rsidP="004C7013">
            <w:pPr>
              <w:pStyle w:val="TAL"/>
              <w:rPr>
                <w:rFonts w:cs="Arial"/>
                <w:lang w:val="sv-SE"/>
              </w:rPr>
            </w:pPr>
            <w:r>
              <w:rPr>
                <w:rFonts w:cs="Arial"/>
                <w:lang w:val="sv-SE"/>
              </w:rPr>
              <w:t>UTRA FDD Band XIII or</w:t>
            </w:r>
          </w:p>
          <w:p w14:paraId="35EE0ACC" w14:textId="77777777" w:rsidR="0076338D" w:rsidRDefault="0076338D" w:rsidP="004C7013">
            <w:pPr>
              <w:pStyle w:val="TAL"/>
              <w:rPr>
                <w:rFonts w:cs="Arial"/>
                <w:lang w:val="sv-SE"/>
              </w:rPr>
            </w:pPr>
            <w:r>
              <w:rPr>
                <w:rFonts w:cs="Arial"/>
                <w:lang w:val="sv-SE"/>
              </w:rPr>
              <w:t>E-UTRA Band 13</w:t>
            </w:r>
          </w:p>
        </w:tc>
        <w:tc>
          <w:tcPr>
            <w:tcW w:w="1700" w:type="dxa"/>
            <w:tcBorders>
              <w:top w:val="single" w:sz="2" w:space="0" w:color="auto"/>
              <w:left w:val="single" w:sz="4" w:space="0" w:color="auto"/>
              <w:bottom w:val="single" w:sz="2" w:space="0" w:color="auto"/>
              <w:right w:val="single" w:sz="2" w:space="0" w:color="auto"/>
            </w:tcBorders>
            <w:hideMark/>
          </w:tcPr>
          <w:p w14:paraId="08210BDB" w14:textId="77777777" w:rsidR="0076338D" w:rsidRDefault="0076338D" w:rsidP="004C7013">
            <w:pPr>
              <w:pStyle w:val="TAC"/>
            </w:pPr>
            <w:r>
              <w:rPr>
                <w:rFonts w:cs="Arial"/>
              </w:rPr>
              <w:t>746 – 756 MHz</w:t>
            </w:r>
          </w:p>
        </w:tc>
        <w:tc>
          <w:tcPr>
            <w:tcW w:w="851" w:type="dxa"/>
            <w:tcBorders>
              <w:top w:val="single" w:sz="2" w:space="0" w:color="auto"/>
              <w:left w:val="single" w:sz="2" w:space="0" w:color="auto"/>
              <w:bottom w:val="single" w:sz="2" w:space="0" w:color="auto"/>
              <w:right w:val="single" w:sz="2" w:space="0" w:color="auto"/>
            </w:tcBorders>
            <w:hideMark/>
          </w:tcPr>
          <w:p w14:paraId="76D07891"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6AE52BB"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8A893BE" w14:textId="77777777" w:rsidR="0076338D" w:rsidRDefault="0076338D" w:rsidP="004C7013">
            <w:pPr>
              <w:pStyle w:val="TAL"/>
            </w:pPr>
          </w:p>
        </w:tc>
      </w:tr>
      <w:tr w:rsidR="0076338D" w14:paraId="11299D42"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5B756B7A"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42A920DB" w14:textId="77777777" w:rsidR="0076338D" w:rsidRDefault="0076338D" w:rsidP="004C7013">
            <w:pPr>
              <w:pStyle w:val="TAC"/>
            </w:pPr>
            <w:r>
              <w:rPr>
                <w:rFonts w:cs="Arial"/>
              </w:rPr>
              <w:t>777 – 787 MHz</w:t>
            </w:r>
          </w:p>
        </w:tc>
        <w:tc>
          <w:tcPr>
            <w:tcW w:w="851" w:type="dxa"/>
            <w:tcBorders>
              <w:top w:val="single" w:sz="2" w:space="0" w:color="auto"/>
              <w:left w:val="single" w:sz="2" w:space="0" w:color="auto"/>
              <w:bottom w:val="single" w:sz="2" w:space="0" w:color="auto"/>
              <w:right w:val="single" w:sz="2" w:space="0" w:color="auto"/>
            </w:tcBorders>
            <w:hideMark/>
          </w:tcPr>
          <w:p w14:paraId="6D5E3CDC"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351B2D1"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045CF2D" w14:textId="77777777" w:rsidR="0076338D" w:rsidRDefault="0076338D" w:rsidP="004C7013">
            <w:pPr>
              <w:pStyle w:val="TAL"/>
            </w:pPr>
          </w:p>
        </w:tc>
      </w:tr>
      <w:tr w:rsidR="0076338D" w:rsidRPr="00AB3358" w14:paraId="4EF447D7"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0482B164" w14:textId="77777777" w:rsidR="0076338D" w:rsidRDefault="0076338D" w:rsidP="004C7013">
            <w:pPr>
              <w:pStyle w:val="TAL"/>
              <w:rPr>
                <w:rFonts w:cs="Arial"/>
                <w:lang w:val="sv-SE"/>
              </w:rPr>
            </w:pPr>
            <w:r>
              <w:rPr>
                <w:rFonts w:cs="Arial"/>
                <w:lang w:val="sv-SE"/>
              </w:rPr>
              <w:t>UTRA FDD Band XIV or</w:t>
            </w:r>
          </w:p>
          <w:p w14:paraId="24DC04F4" w14:textId="77777777" w:rsidR="0076338D" w:rsidRDefault="0076338D" w:rsidP="004C7013">
            <w:pPr>
              <w:pStyle w:val="TAL"/>
              <w:rPr>
                <w:rFonts w:cs="Arial"/>
                <w:lang w:val="sv-SE"/>
              </w:rPr>
            </w:pPr>
            <w:r>
              <w:rPr>
                <w:rFonts w:cs="Arial"/>
                <w:lang w:val="sv-SE"/>
              </w:rPr>
              <w:t>E-UTRA Band 14 or NR band n14</w:t>
            </w:r>
          </w:p>
        </w:tc>
        <w:tc>
          <w:tcPr>
            <w:tcW w:w="1700" w:type="dxa"/>
            <w:tcBorders>
              <w:top w:val="single" w:sz="2" w:space="0" w:color="auto"/>
              <w:left w:val="single" w:sz="4" w:space="0" w:color="auto"/>
              <w:bottom w:val="single" w:sz="2" w:space="0" w:color="auto"/>
              <w:right w:val="single" w:sz="2" w:space="0" w:color="auto"/>
            </w:tcBorders>
            <w:hideMark/>
          </w:tcPr>
          <w:p w14:paraId="27B6D672" w14:textId="77777777" w:rsidR="0076338D" w:rsidRDefault="0076338D" w:rsidP="004C7013">
            <w:pPr>
              <w:pStyle w:val="TAC"/>
            </w:pPr>
            <w:r>
              <w:rPr>
                <w:rFonts w:cs="Arial"/>
              </w:rPr>
              <w:t>758 – 768 MHz</w:t>
            </w:r>
          </w:p>
        </w:tc>
        <w:tc>
          <w:tcPr>
            <w:tcW w:w="851" w:type="dxa"/>
            <w:tcBorders>
              <w:top w:val="single" w:sz="2" w:space="0" w:color="auto"/>
              <w:left w:val="single" w:sz="2" w:space="0" w:color="auto"/>
              <w:bottom w:val="single" w:sz="2" w:space="0" w:color="auto"/>
              <w:right w:val="single" w:sz="2" w:space="0" w:color="auto"/>
            </w:tcBorders>
            <w:hideMark/>
          </w:tcPr>
          <w:p w14:paraId="2C4D9C3F"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86FE5A5"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7C9ACBB" w14:textId="77777777" w:rsidR="0076338D" w:rsidRDefault="0076338D" w:rsidP="004C7013">
            <w:pPr>
              <w:pStyle w:val="TAL"/>
            </w:pPr>
          </w:p>
        </w:tc>
      </w:tr>
      <w:tr w:rsidR="0076338D" w:rsidRPr="00AB3358" w14:paraId="5B1C096D"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0C74EF01"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7D01C26A" w14:textId="77777777" w:rsidR="0076338D" w:rsidRDefault="0076338D" w:rsidP="004C7013">
            <w:pPr>
              <w:pStyle w:val="TAC"/>
            </w:pPr>
            <w:r>
              <w:rPr>
                <w:rFonts w:cs="Arial"/>
              </w:rPr>
              <w:t>788 – 798 MHz</w:t>
            </w:r>
          </w:p>
        </w:tc>
        <w:tc>
          <w:tcPr>
            <w:tcW w:w="851" w:type="dxa"/>
            <w:tcBorders>
              <w:top w:val="single" w:sz="2" w:space="0" w:color="auto"/>
              <w:left w:val="single" w:sz="2" w:space="0" w:color="auto"/>
              <w:bottom w:val="single" w:sz="2" w:space="0" w:color="auto"/>
              <w:right w:val="single" w:sz="2" w:space="0" w:color="auto"/>
            </w:tcBorders>
            <w:hideMark/>
          </w:tcPr>
          <w:p w14:paraId="478C6088"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F601D57"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5528DF0" w14:textId="77777777" w:rsidR="0076338D" w:rsidRDefault="0076338D" w:rsidP="004C7013">
            <w:pPr>
              <w:pStyle w:val="TAL"/>
            </w:pPr>
          </w:p>
        </w:tc>
      </w:tr>
      <w:tr w:rsidR="0076338D" w14:paraId="4AB2C8B1"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5DA2813F" w14:textId="77777777" w:rsidR="0076338D" w:rsidRDefault="0076338D" w:rsidP="004C7013">
            <w:pPr>
              <w:pStyle w:val="TAL"/>
              <w:rPr>
                <w:rFonts w:cs="Arial"/>
              </w:rPr>
            </w:pPr>
            <w:r>
              <w:rPr>
                <w:rFonts w:cs="Arial"/>
              </w:rPr>
              <w:t xml:space="preserve"> E-UTRA Band 17</w:t>
            </w:r>
          </w:p>
        </w:tc>
        <w:tc>
          <w:tcPr>
            <w:tcW w:w="1700" w:type="dxa"/>
            <w:tcBorders>
              <w:top w:val="single" w:sz="2" w:space="0" w:color="auto"/>
              <w:left w:val="single" w:sz="4" w:space="0" w:color="auto"/>
              <w:bottom w:val="single" w:sz="2" w:space="0" w:color="auto"/>
              <w:right w:val="single" w:sz="2" w:space="0" w:color="auto"/>
            </w:tcBorders>
            <w:hideMark/>
          </w:tcPr>
          <w:p w14:paraId="3E45483F" w14:textId="77777777" w:rsidR="0076338D" w:rsidRDefault="0076338D" w:rsidP="004C7013">
            <w:pPr>
              <w:pStyle w:val="TAC"/>
            </w:pPr>
            <w:r>
              <w:rPr>
                <w:rFonts w:cs="Arial"/>
              </w:rPr>
              <w:t>734 – 746 MHz</w:t>
            </w:r>
          </w:p>
        </w:tc>
        <w:tc>
          <w:tcPr>
            <w:tcW w:w="851" w:type="dxa"/>
            <w:tcBorders>
              <w:top w:val="single" w:sz="2" w:space="0" w:color="auto"/>
              <w:left w:val="single" w:sz="2" w:space="0" w:color="auto"/>
              <w:bottom w:val="single" w:sz="2" w:space="0" w:color="auto"/>
              <w:right w:val="single" w:sz="2" w:space="0" w:color="auto"/>
            </w:tcBorders>
            <w:hideMark/>
          </w:tcPr>
          <w:p w14:paraId="02F1641E"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19A9477"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23E4A3D" w14:textId="77777777" w:rsidR="0076338D" w:rsidRDefault="0076338D" w:rsidP="004C7013">
            <w:pPr>
              <w:pStyle w:val="TAL"/>
            </w:pPr>
          </w:p>
        </w:tc>
      </w:tr>
      <w:tr w:rsidR="0076338D" w:rsidRPr="00AB3358" w14:paraId="152F75D6"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47CA0062"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2B7D9C19" w14:textId="77777777" w:rsidR="0076338D" w:rsidRDefault="0076338D" w:rsidP="004C7013">
            <w:pPr>
              <w:pStyle w:val="TAC"/>
            </w:pPr>
            <w:r>
              <w:rPr>
                <w:rFonts w:cs="Arial"/>
              </w:rPr>
              <w:t>704 – 716 MHz</w:t>
            </w:r>
          </w:p>
        </w:tc>
        <w:tc>
          <w:tcPr>
            <w:tcW w:w="851" w:type="dxa"/>
            <w:tcBorders>
              <w:top w:val="single" w:sz="2" w:space="0" w:color="auto"/>
              <w:left w:val="single" w:sz="2" w:space="0" w:color="auto"/>
              <w:bottom w:val="single" w:sz="2" w:space="0" w:color="auto"/>
              <w:right w:val="single" w:sz="2" w:space="0" w:color="auto"/>
            </w:tcBorders>
            <w:hideMark/>
          </w:tcPr>
          <w:p w14:paraId="0CDA4586"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CA9E260"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C5E354D" w14:textId="77777777" w:rsidR="0076338D" w:rsidRDefault="0076338D" w:rsidP="004C7013">
            <w:pPr>
              <w:pStyle w:val="TAL"/>
            </w:pPr>
          </w:p>
        </w:tc>
      </w:tr>
      <w:tr w:rsidR="0076338D" w:rsidRPr="00AB3358" w14:paraId="5FA07FB6"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58C84252" w14:textId="77777777" w:rsidR="0076338D" w:rsidRDefault="0076338D" w:rsidP="004C7013">
            <w:pPr>
              <w:pStyle w:val="TAL"/>
              <w:rPr>
                <w:rFonts w:cs="Arial"/>
              </w:rPr>
            </w:pPr>
            <w:r>
              <w:rPr>
                <w:rFonts w:cs="Arial"/>
              </w:rPr>
              <w:t>UTRA FDD Band XX or E-UTRA Band 20 or NR Band n20</w:t>
            </w:r>
          </w:p>
        </w:tc>
        <w:tc>
          <w:tcPr>
            <w:tcW w:w="1700" w:type="dxa"/>
            <w:tcBorders>
              <w:top w:val="single" w:sz="2" w:space="0" w:color="auto"/>
              <w:left w:val="single" w:sz="4" w:space="0" w:color="auto"/>
              <w:bottom w:val="single" w:sz="2" w:space="0" w:color="auto"/>
              <w:right w:val="single" w:sz="2" w:space="0" w:color="auto"/>
            </w:tcBorders>
            <w:hideMark/>
          </w:tcPr>
          <w:p w14:paraId="15A52ABE" w14:textId="77777777" w:rsidR="0076338D" w:rsidRDefault="0076338D" w:rsidP="004C7013">
            <w:pPr>
              <w:pStyle w:val="TAC"/>
            </w:pPr>
            <w:r>
              <w:rPr>
                <w:rFonts w:cs="Arial"/>
              </w:rPr>
              <w:t>791 – 821 MHz</w:t>
            </w:r>
          </w:p>
        </w:tc>
        <w:tc>
          <w:tcPr>
            <w:tcW w:w="851" w:type="dxa"/>
            <w:tcBorders>
              <w:top w:val="single" w:sz="2" w:space="0" w:color="auto"/>
              <w:left w:val="single" w:sz="2" w:space="0" w:color="auto"/>
              <w:bottom w:val="single" w:sz="2" w:space="0" w:color="auto"/>
              <w:right w:val="single" w:sz="2" w:space="0" w:color="auto"/>
            </w:tcBorders>
            <w:hideMark/>
          </w:tcPr>
          <w:p w14:paraId="7C658486"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D9A1026"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A6A6B3A" w14:textId="77777777" w:rsidR="0076338D" w:rsidRDefault="0076338D" w:rsidP="004C7013">
            <w:pPr>
              <w:pStyle w:val="TAL"/>
            </w:pPr>
          </w:p>
        </w:tc>
      </w:tr>
      <w:tr w:rsidR="0076338D" w:rsidRPr="00AB3358" w14:paraId="03FAA2C3"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2B505BD6"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44DFD7BD" w14:textId="77777777" w:rsidR="0076338D" w:rsidRDefault="0076338D" w:rsidP="004C7013">
            <w:pPr>
              <w:pStyle w:val="TAC"/>
            </w:pPr>
            <w:r>
              <w:rPr>
                <w:rFonts w:cs="Arial"/>
              </w:rPr>
              <w:t>832 – 862 MHz</w:t>
            </w:r>
          </w:p>
        </w:tc>
        <w:tc>
          <w:tcPr>
            <w:tcW w:w="851" w:type="dxa"/>
            <w:tcBorders>
              <w:top w:val="single" w:sz="2" w:space="0" w:color="auto"/>
              <w:left w:val="single" w:sz="2" w:space="0" w:color="auto"/>
              <w:bottom w:val="single" w:sz="2" w:space="0" w:color="auto"/>
              <w:right w:val="single" w:sz="2" w:space="0" w:color="auto"/>
            </w:tcBorders>
            <w:hideMark/>
          </w:tcPr>
          <w:p w14:paraId="5A6453F0"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5F4F5B4"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182DA3A" w14:textId="77777777" w:rsidR="0076338D" w:rsidRDefault="0076338D" w:rsidP="004C7013">
            <w:pPr>
              <w:pStyle w:val="TAL"/>
            </w:pPr>
          </w:p>
        </w:tc>
      </w:tr>
      <w:tr w:rsidR="0076338D" w:rsidRPr="00AB3358" w14:paraId="4E9594D6"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4142D574" w14:textId="77777777" w:rsidR="0076338D" w:rsidRDefault="0076338D" w:rsidP="004C7013">
            <w:pPr>
              <w:pStyle w:val="TAL"/>
              <w:rPr>
                <w:rFonts w:cs="Arial"/>
                <w:lang w:val="sv-SE"/>
              </w:rPr>
            </w:pPr>
            <w:r>
              <w:rPr>
                <w:rFonts w:cs="Arial"/>
                <w:lang w:val="sv-SE"/>
              </w:rPr>
              <w:t>UTRA FDD Band XXII or E-UTRA Band 22</w:t>
            </w:r>
          </w:p>
        </w:tc>
        <w:tc>
          <w:tcPr>
            <w:tcW w:w="1700" w:type="dxa"/>
            <w:tcBorders>
              <w:top w:val="single" w:sz="2" w:space="0" w:color="auto"/>
              <w:left w:val="single" w:sz="4" w:space="0" w:color="auto"/>
              <w:bottom w:val="single" w:sz="2" w:space="0" w:color="auto"/>
              <w:right w:val="single" w:sz="2" w:space="0" w:color="auto"/>
            </w:tcBorders>
            <w:hideMark/>
          </w:tcPr>
          <w:p w14:paraId="3C0388F9" w14:textId="77777777" w:rsidR="0076338D" w:rsidRDefault="0076338D" w:rsidP="004C7013">
            <w:pPr>
              <w:pStyle w:val="TAC"/>
            </w:pPr>
            <w:r>
              <w:rPr>
                <w:rFonts w:cs="v5.0.0"/>
              </w:rPr>
              <w:t>3510 – 3590 MHz</w:t>
            </w:r>
          </w:p>
        </w:tc>
        <w:tc>
          <w:tcPr>
            <w:tcW w:w="851" w:type="dxa"/>
            <w:tcBorders>
              <w:top w:val="single" w:sz="2" w:space="0" w:color="auto"/>
              <w:left w:val="single" w:sz="2" w:space="0" w:color="auto"/>
              <w:bottom w:val="single" w:sz="2" w:space="0" w:color="auto"/>
              <w:right w:val="single" w:sz="2" w:space="0" w:color="auto"/>
            </w:tcBorders>
            <w:hideMark/>
          </w:tcPr>
          <w:p w14:paraId="6EAA9D62"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264AC25"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B2CBE84" w14:textId="77777777" w:rsidR="0076338D" w:rsidRDefault="0076338D" w:rsidP="004C7013">
            <w:pPr>
              <w:pStyle w:val="TAL"/>
            </w:pPr>
            <w:r w:rsidRPr="00F95B02">
              <w:t xml:space="preserve">This requirement does not apply to </w:t>
            </w:r>
            <w:r>
              <w:t>IAB-DU and IAB-MT</w:t>
            </w:r>
            <w:r w:rsidRPr="00F95B02">
              <w:t xml:space="preserve"> operating in band n77 or n78.</w:t>
            </w:r>
          </w:p>
        </w:tc>
      </w:tr>
      <w:tr w:rsidR="0076338D" w:rsidRPr="00AB3358" w14:paraId="3DBA73FE"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5B7BA923" w14:textId="77777777" w:rsidR="0076338D" w:rsidRPr="00AC7434"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321483ED" w14:textId="77777777" w:rsidR="0076338D" w:rsidRDefault="0076338D" w:rsidP="004C7013">
            <w:pPr>
              <w:pStyle w:val="TAC"/>
            </w:pPr>
            <w:r>
              <w:rPr>
                <w:rFonts w:cs="v5.0.0"/>
              </w:rPr>
              <w:t>3410 – 3490 MHz</w:t>
            </w:r>
          </w:p>
        </w:tc>
        <w:tc>
          <w:tcPr>
            <w:tcW w:w="851" w:type="dxa"/>
            <w:tcBorders>
              <w:top w:val="single" w:sz="2" w:space="0" w:color="auto"/>
              <w:left w:val="single" w:sz="2" w:space="0" w:color="auto"/>
              <w:bottom w:val="single" w:sz="2" w:space="0" w:color="auto"/>
              <w:right w:val="single" w:sz="2" w:space="0" w:color="auto"/>
            </w:tcBorders>
            <w:hideMark/>
          </w:tcPr>
          <w:p w14:paraId="5815D744"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8F02012"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F0B409D" w14:textId="77777777" w:rsidR="0076338D" w:rsidRDefault="0076338D" w:rsidP="004C7013">
            <w:pPr>
              <w:pStyle w:val="TAL"/>
            </w:pPr>
            <w:r w:rsidRPr="00F95B02">
              <w:t xml:space="preserve">This requirement does not apply to </w:t>
            </w:r>
            <w:r>
              <w:t>IAB-DU and IAB-MT</w:t>
            </w:r>
            <w:r w:rsidRPr="00F95B02">
              <w:t xml:space="preserve"> operating in band n77 or n78.</w:t>
            </w:r>
          </w:p>
        </w:tc>
      </w:tr>
      <w:tr w:rsidR="0076338D" w14:paraId="5ADB8B7D"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500B084" w14:textId="77777777" w:rsidR="0076338D" w:rsidRDefault="0076338D" w:rsidP="004C7013">
            <w:pPr>
              <w:pStyle w:val="TAL"/>
              <w:rPr>
                <w:rFonts w:cs="Arial"/>
              </w:rPr>
            </w:pPr>
            <w:r>
              <w:rPr>
                <w:rFonts w:cs="Arial"/>
              </w:rPr>
              <w:t>E-UTRA Band 24</w:t>
            </w:r>
          </w:p>
        </w:tc>
        <w:tc>
          <w:tcPr>
            <w:tcW w:w="1700" w:type="dxa"/>
            <w:tcBorders>
              <w:top w:val="single" w:sz="2" w:space="0" w:color="auto"/>
              <w:left w:val="single" w:sz="4" w:space="0" w:color="auto"/>
              <w:bottom w:val="single" w:sz="2" w:space="0" w:color="auto"/>
              <w:right w:val="single" w:sz="2" w:space="0" w:color="auto"/>
            </w:tcBorders>
            <w:hideMark/>
          </w:tcPr>
          <w:p w14:paraId="7680783D" w14:textId="77777777" w:rsidR="0076338D" w:rsidRDefault="0076338D" w:rsidP="004C7013">
            <w:pPr>
              <w:pStyle w:val="TAC"/>
            </w:pPr>
            <w:r>
              <w:rPr>
                <w:rFonts w:cs="Arial"/>
              </w:rPr>
              <w:t>1525 – 1559 MHz</w:t>
            </w:r>
          </w:p>
        </w:tc>
        <w:tc>
          <w:tcPr>
            <w:tcW w:w="851" w:type="dxa"/>
            <w:tcBorders>
              <w:top w:val="single" w:sz="2" w:space="0" w:color="auto"/>
              <w:left w:val="single" w:sz="2" w:space="0" w:color="auto"/>
              <w:bottom w:val="single" w:sz="2" w:space="0" w:color="auto"/>
              <w:right w:val="single" w:sz="2" w:space="0" w:color="auto"/>
            </w:tcBorders>
            <w:hideMark/>
          </w:tcPr>
          <w:p w14:paraId="3991B685"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613D79F"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243B74A" w14:textId="77777777" w:rsidR="0076338D" w:rsidRDefault="0076338D" w:rsidP="004C7013">
            <w:pPr>
              <w:pStyle w:val="TAL"/>
            </w:pPr>
          </w:p>
        </w:tc>
      </w:tr>
      <w:tr w:rsidR="0076338D" w14:paraId="1044FEAD"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383330C"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4B4A17C5" w14:textId="77777777" w:rsidR="0076338D" w:rsidRDefault="0076338D" w:rsidP="004C7013">
            <w:pPr>
              <w:pStyle w:val="TAC"/>
            </w:pPr>
            <w:r>
              <w:rPr>
                <w:rFonts w:cs="Arial"/>
              </w:rPr>
              <w:t>1626.5 – 1660.5 MHz</w:t>
            </w:r>
          </w:p>
        </w:tc>
        <w:tc>
          <w:tcPr>
            <w:tcW w:w="851" w:type="dxa"/>
            <w:tcBorders>
              <w:top w:val="single" w:sz="2" w:space="0" w:color="auto"/>
              <w:left w:val="single" w:sz="2" w:space="0" w:color="auto"/>
              <w:bottom w:val="single" w:sz="2" w:space="0" w:color="auto"/>
              <w:right w:val="single" w:sz="2" w:space="0" w:color="auto"/>
            </w:tcBorders>
            <w:hideMark/>
          </w:tcPr>
          <w:p w14:paraId="747EB42F"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BD36430"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7B75BAE" w14:textId="77777777" w:rsidR="0076338D" w:rsidRDefault="0076338D" w:rsidP="004C7013">
            <w:pPr>
              <w:pStyle w:val="TAL"/>
            </w:pPr>
          </w:p>
        </w:tc>
      </w:tr>
      <w:tr w:rsidR="0076338D" w:rsidRPr="00AB3358" w14:paraId="5B51D1FB"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41EAEBDE" w14:textId="77777777" w:rsidR="0076338D" w:rsidRDefault="0076338D" w:rsidP="004C7013">
            <w:pPr>
              <w:pStyle w:val="TAL"/>
              <w:rPr>
                <w:rFonts w:cs="Arial"/>
                <w:lang w:val="sv-SE"/>
              </w:rPr>
            </w:pPr>
            <w:r>
              <w:rPr>
                <w:rFonts w:cs="Arial"/>
                <w:lang w:val="sv-SE"/>
              </w:rPr>
              <w:t>UTRA FDD Band XXV or</w:t>
            </w:r>
          </w:p>
          <w:p w14:paraId="6C678640" w14:textId="77777777" w:rsidR="0076338D" w:rsidRDefault="0076338D" w:rsidP="004C7013">
            <w:pPr>
              <w:pStyle w:val="TAL"/>
              <w:rPr>
                <w:rFonts w:cs="Arial"/>
                <w:lang w:val="sv-SE"/>
              </w:rPr>
            </w:pPr>
            <w:r>
              <w:rPr>
                <w:rFonts w:cs="Arial"/>
                <w:lang w:val="sv-SE"/>
              </w:rPr>
              <w:t>E-UTRA Band 25 or NR band n25</w:t>
            </w:r>
          </w:p>
        </w:tc>
        <w:tc>
          <w:tcPr>
            <w:tcW w:w="1700" w:type="dxa"/>
            <w:tcBorders>
              <w:top w:val="single" w:sz="2" w:space="0" w:color="auto"/>
              <w:left w:val="single" w:sz="4" w:space="0" w:color="auto"/>
              <w:bottom w:val="single" w:sz="2" w:space="0" w:color="auto"/>
              <w:right w:val="single" w:sz="2" w:space="0" w:color="auto"/>
            </w:tcBorders>
            <w:hideMark/>
          </w:tcPr>
          <w:p w14:paraId="5A9646F3" w14:textId="77777777" w:rsidR="0076338D" w:rsidRDefault="0076338D" w:rsidP="004C7013">
            <w:pPr>
              <w:pStyle w:val="TAC"/>
            </w:pPr>
            <w:r>
              <w:rPr>
                <w:rFonts w:cs="Arial"/>
              </w:rPr>
              <w:t>1930 – 1995 MHz</w:t>
            </w:r>
          </w:p>
        </w:tc>
        <w:tc>
          <w:tcPr>
            <w:tcW w:w="851" w:type="dxa"/>
            <w:tcBorders>
              <w:top w:val="single" w:sz="2" w:space="0" w:color="auto"/>
              <w:left w:val="single" w:sz="2" w:space="0" w:color="auto"/>
              <w:bottom w:val="single" w:sz="2" w:space="0" w:color="auto"/>
              <w:right w:val="single" w:sz="2" w:space="0" w:color="auto"/>
            </w:tcBorders>
            <w:hideMark/>
          </w:tcPr>
          <w:p w14:paraId="522CC24D"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A26DEA3"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037E4CF" w14:textId="77777777" w:rsidR="0076338D" w:rsidRDefault="0076338D" w:rsidP="004C7013">
            <w:pPr>
              <w:pStyle w:val="TAL"/>
            </w:pPr>
          </w:p>
        </w:tc>
      </w:tr>
      <w:tr w:rsidR="0076338D" w:rsidRPr="00AB3358" w14:paraId="0B8A446C"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6CF182E4"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08375693" w14:textId="77777777" w:rsidR="0076338D" w:rsidRDefault="0076338D" w:rsidP="004C7013">
            <w:pPr>
              <w:pStyle w:val="TAC"/>
            </w:pPr>
            <w:r>
              <w:rPr>
                <w:rFonts w:cs="Arial"/>
              </w:rPr>
              <w:t>1850 – 1915 MHz</w:t>
            </w:r>
          </w:p>
        </w:tc>
        <w:tc>
          <w:tcPr>
            <w:tcW w:w="851" w:type="dxa"/>
            <w:tcBorders>
              <w:top w:val="single" w:sz="2" w:space="0" w:color="auto"/>
              <w:left w:val="single" w:sz="2" w:space="0" w:color="auto"/>
              <w:bottom w:val="single" w:sz="2" w:space="0" w:color="auto"/>
              <w:right w:val="single" w:sz="2" w:space="0" w:color="auto"/>
            </w:tcBorders>
            <w:hideMark/>
          </w:tcPr>
          <w:p w14:paraId="4E00EEB0"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4D1B300"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BCCD167" w14:textId="77777777" w:rsidR="0076338D" w:rsidRDefault="0076338D" w:rsidP="004C7013">
            <w:pPr>
              <w:pStyle w:val="TAL"/>
            </w:pPr>
          </w:p>
        </w:tc>
      </w:tr>
      <w:tr w:rsidR="0076338D" w:rsidRPr="00AB3358" w14:paraId="1097A94A"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526F9B34" w14:textId="77777777" w:rsidR="0076338D" w:rsidRDefault="0076338D" w:rsidP="004C7013">
            <w:pPr>
              <w:pStyle w:val="TAL"/>
              <w:rPr>
                <w:rFonts w:cs="Arial"/>
                <w:lang w:val="sv-SE"/>
              </w:rPr>
            </w:pPr>
            <w:r>
              <w:rPr>
                <w:rFonts w:cs="Arial"/>
                <w:lang w:val="sv-SE"/>
              </w:rPr>
              <w:t>UTRA FDD Band XXVI or</w:t>
            </w:r>
          </w:p>
          <w:p w14:paraId="1EA20E08" w14:textId="77777777" w:rsidR="0076338D" w:rsidRDefault="0076338D" w:rsidP="004C7013">
            <w:pPr>
              <w:pStyle w:val="TAL"/>
              <w:rPr>
                <w:rFonts w:cs="Arial"/>
                <w:lang w:val="sv-SE"/>
              </w:rPr>
            </w:pPr>
            <w:r>
              <w:rPr>
                <w:rFonts w:cs="Arial"/>
                <w:lang w:val="sv-SE"/>
              </w:rPr>
              <w:t>E-UTRA Band 26 or NR Band n26</w:t>
            </w:r>
          </w:p>
        </w:tc>
        <w:tc>
          <w:tcPr>
            <w:tcW w:w="1700" w:type="dxa"/>
            <w:tcBorders>
              <w:top w:val="single" w:sz="2" w:space="0" w:color="auto"/>
              <w:left w:val="single" w:sz="4" w:space="0" w:color="auto"/>
              <w:bottom w:val="single" w:sz="2" w:space="0" w:color="auto"/>
              <w:right w:val="single" w:sz="2" w:space="0" w:color="auto"/>
            </w:tcBorders>
            <w:hideMark/>
          </w:tcPr>
          <w:p w14:paraId="4A011136" w14:textId="77777777" w:rsidR="0076338D" w:rsidRDefault="0076338D" w:rsidP="004C7013">
            <w:pPr>
              <w:pStyle w:val="TAC"/>
            </w:pPr>
            <w:r>
              <w:rPr>
                <w:rFonts w:cs="Arial"/>
              </w:rPr>
              <w:t>859 – 894 MHz</w:t>
            </w:r>
          </w:p>
        </w:tc>
        <w:tc>
          <w:tcPr>
            <w:tcW w:w="851" w:type="dxa"/>
            <w:tcBorders>
              <w:top w:val="single" w:sz="2" w:space="0" w:color="auto"/>
              <w:left w:val="single" w:sz="2" w:space="0" w:color="auto"/>
              <w:bottom w:val="single" w:sz="2" w:space="0" w:color="auto"/>
              <w:right w:val="single" w:sz="2" w:space="0" w:color="auto"/>
            </w:tcBorders>
            <w:hideMark/>
          </w:tcPr>
          <w:p w14:paraId="25FE2953"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2840D6D"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F03D1E2" w14:textId="77777777" w:rsidR="0076338D" w:rsidRDefault="0076338D" w:rsidP="004C7013">
            <w:pPr>
              <w:pStyle w:val="TAL"/>
            </w:pPr>
          </w:p>
        </w:tc>
      </w:tr>
      <w:tr w:rsidR="0076338D" w:rsidRPr="00AB3358" w14:paraId="208E7CBE"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25463BB9" w14:textId="77777777" w:rsidR="0076338D" w:rsidRDefault="0076338D" w:rsidP="004C7013">
            <w:pPr>
              <w:pStyle w:val="TAL"/>
              <w:rPr>
                <w:rFonts w:cs="Arial"/>
                <w:lang w:val="sv-SE"/>
              </w:rPr>
            </w:pPr>
          </w:p>
        </w:tc>
        <w:tc>
          <w:tcPr>
            <w:tcW w:w="1700" w:type="dxa"/>
            <w:tcBorders>
              <w:top w:val="single" w:sz="2" w:space="0" w:color="auto"/>
              <w:left w:val="single" w:sz="4" w:space="0" w:color="auto"/>
              <w:bottom w:val="single" w:sz="2" w:space="0" w:color="auto"/>
              <w:right w:val="single" w:sz="2" w:space="0" w:color="auto"/>
            </w:tcBorders>
            <w:hideMark/>
          </w:tcPr>
          <w:p w14:paraId="126DF8C2" w14:textId="77777777" w:rsidR="0076338D" w:rsidRDefault="0076338D" w:rsidP="004C7013">
            <w:pPr>
              <w:pStyle w:val="TAC"/>
            </w:pPr>
            <w:r>
              <w:rPr>
                <w:rFonts w:cs="Arial"/>
              </w:rPr>
              <w:t>814 – 849 MHz</w:t>
            </w:r>
          </w:p>
        </w:tc>
        <w:tc>
          <w:tcPr>
            <w:tcW w:w="851" w:type="dxa"/>
            <w:tcBorders>
              <w:top w:val="single" w:sz="2" w:space="0" w:color="auto"/>
              <w:left w:val="single" w:sz="2" w:space="0" w:color="auto"/>
              <w:bottom w:val="single" w:sz="2" w:space="0" w:color="auto"/>
              <w:right w:val="single" w:sz="2" w:space="0" w:color="auto"/>
            </w:tcBorders>
            <w:hideMark/>
          </w:tcPr>
          <w:p w14:paraId="1FECE812"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5E8FB9DA"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AD9CCB1" w14:textId="77777777" w:rsidR="0076338D" w:rsidRDefault="0076338D" w:rsidP="004C7013">
            <w:pPr>
              <w:pStyle w:val="TAL"/>
            </w:pPr>
          </w:p>
        </w:tc>
      </w:tr>
      <w:tr w:rsidR="0076338D" w:rsidRPr="00AB3358" w14:paraId="25F46900"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155441B8" w14:textId="77777777" w:rsidR="0076338D" w:rsidRDefault="0076338D" w:rsidP="004C7013">
            <w:pPr>
              <w:pStyle w:val="TAL"/>
              <w:rPr>
                <w:rFonts w:cs="Arial"/>
              </w:rPr>
            </w:pPr>
            <w:r>
              <w:rPr>
                <w:rFonts w:cs="Arial"/>
              </w:rPr>
              <w:t>E-UTRA Band 27</w:t>
            </w:r>
          </w:p>
        </w:tc>
        <w:tc>
          <w:tcPr>
            <w:tcW w:w="1700" w:type="dxa"/>
            <w:tcBorders>
              <w:top w:val="single" w:sz="2" w:space="0" w:color="auto"/>
              <w:left w:val="single" w:sz="4" w:space="0" w:color="auto"/>
              <w:bottom w:val="single" w:sz="2" w:space="0" w:color="auto"/>
              <w:right w:val="single" w:sz="2" w:space="0" w:color="auto"/>
            </w:tcBorders>
            <w:hideMark/>
          </w:tcPr>
          <w:p w14:paraId="5C69E843" w14:textId="77777777" w:rsidR="0076338D" w:rsidRDefault="0076338D" w:rsidP="004C7013">
            <w:pPr>
              <w:pStyle w:val="TAC"/>
            </w:pPr>
            <w:r>
              <w:rPr>
                <w:rFonts w:cs="Arial"/>
              </w:rPr>
              <w:t>852 – 869 MHz</w:t>
            </w:r>
          </w:p>
        </w:tc>
        <w:tc>
          <w:tcPr>
            <w:tcW w:w="851" w:type="dxa"/>
            <w:tcBorders>
              <w:top w:val="single" w:sz="2" w:space="0" w:color="auto"/>
              <w:left w:val="single" w:sz="2" w:space="0" w:color="auto"/>
              <w:bottom w:val="single" w:sz="2" w:space="0" w:color="auto"/>
              <w:right w:val="single" w:sz="2" w:space="0" w:color="auto"/>
            </w:tcBorders>
            <w:hideMark/>
          </w:tcPr>
          <w:p w14:paraId="660049EC"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420DF0B"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C196995" w14:textId="77777777" w:rsidR="0076338D" w:rsidRDefault="0076338D" w:rsidP="004C7013">
            <w:pPr>
              <w:pStyle w:val="TAL"/>
            </w:pPr>
          </w:p>
        </w:tc>
      </w:tr>
      <w:tr w:rsidR="0076338D" w:rsidRPr="00AB3358" w14:paraId="412B92C8"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2C6CDFD2"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67D34551" w14:textId="77777777" w:rsidR="0076338D" w:rsidRDefault="0076338D" w:rsidP="004C7013">
            <w:pPr>
              <w:pStyle w:val="TAC"/>
            </w:pPr>
            <w:r>
              <w:rPr>
                <w:rFonts w:cs="Arial"/>
              </w:rPr>
              <w:t>807 – 824 MHz</w:t>
            </w:r>
          </w:p>
        </w:tc>
        <w:tc>
          <w:tcPr>
            <w:tcW w:w="851" w:type="dxa"/>
            <w:tcBorders>
              <w:top w:val="single" w:sz="2" w:space="0" w:color="auto"/>
              <w:left w:val="single" w:sz="2" w:space="0" w:color="auto"/>
              <w:bottom w:val="single" w:sz="2" w:space="0" w:color="auto"/>
              <w:right w:val="single" w:sz="2" w:space="0" w:color="auto"/>
            </w:tcBorders>
            <w:hideMark/>
          </w:tcPr>
          <w:p w14:paraId="2F171FF3"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53179DB"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61C9275" w14:textId="77777777" w:rsidR="0076338D" w:rsidRDefault="0076338D" w:rsidP="004C7013">
            <w:pPr>
              <w:pStyle w:val="TAL"/>
            </w:pPr>
          </w:p>
        </w:tc>
      </w:tr>
      <w:tr w:rsidR="0076338D" w:rsidRPr="00AB3358" w14:paraId="5F652C13"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FAADB4C" w14:textId="77777777" w:rsidR="0076338D" w:rsidRDefault="0076338D" w:rsidP="004C7013">
            <w:pPr>
              <w:pStyle w:val="TAL"/>
              <w:rPr>
                <w:rFonts w:cs="Arial"/>
              </w:rPr>
            </w:pPr>
            <w:r>
              <w:rPr>
                <w:rFonts w:cs="Arial"/>
              </w:rPr>
              <w:t>E-UTRA Band 28 or NR Band n28</w:t>
            </w:r>
          </w:p>
        </w:tc>
        <w:tc>
          <w:tcPr>
            <w:tcW w:w="1700" w:type="dxa"/>
            <w:tcBorders>
              <w:top w:val="single" w:sz="2" w:space="0" w:color="auto"/>
              <w:left w:val="single" w:sz="4" w:space="0" w:color="auto"/>
              <w:bottom w:val="single" w:sz="2" w:space="0" w:color="auto"/>
              <w:right w:val="single" w:sz="2" w:space="0" w:color="auto"/>
            </w:tcBorders>
            <w:hideMark/>
          </w:tcPr>
          <w:p w14:paraId="18ABC7E1" w14:textId="77777777" w:rsidR="0076338D" w:rsidRDefault="0076338D" w:rsidP="004C7013">
            <w:pPr>
              <w:pStyle w:val="TAC"/>
            </w:pPr>
            <w:r>
              <w:rPr>
                <w:rFonts w:cs="Arial"/>
              </w:rPr>
              <w:t>758 – 803 MHz</w:t>
            </w:r>
          </w:p>
        </w:tc>
        <w:tc>
          <w:tcPr>
            <w:tcW w:w="851" w:type="dxa"/>
            <w:tcBorders>
              <w:top w:val="single" w:sz="2" w:space="0" w:color="auto"/>
              <w:left w:val="single" w:sz="2" w:space="0" w:color="auto"/>
              <w:bottom w:val="single" w:sz="2" w:space="0" w:color="auto"/>
              <w:right w:val="single" w:sz="2" w:space="0" w:color="auto"/>
            </w:tcBorders>
            <w:hideMark/>
          </w:tcPr>
          <w:p w14:paraId="111FD157" w14:textId="77777777" w:rsidR="0076338D" w:rsidRDefault="0076338D"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CAEBED7"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6DBF57B" w14:textId="77777777" w:rsidR="0076338D" w:rsidRDefault="0076338D" w:rsidP="004C7013">
            <w:pPr>
              <w:pStyle w:val="TAL"/>
            </w:pPr>
          </w:p>
        </w:tc>
      </w:tr>
      <w:tr w:rsidR="0076338D" w:rsidRPr="00AB3358" w14:paraId="503719A1"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4758BE2D" w14:textId="77777777" w:rsidR="0076338D" w:rsidRDefault="0076338D"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3284A60E" w14:textId="77777777" w:rsidR="0076338D" w:rsidRDefault="0076338D" w:rsidP="004C7013">
            <w:pPr>
              <w:pStyle w:val="TAC"/>
            </w:pPr>
            <w:r>
              <w:rPr>
                <w:rFonts w:cs="Arial"/>
              </w:rPr>
              <w:t>703 – 748 MHz</w:t>
            </w:r>
          </w:p>
        </w:tc>
        <w:tc>
          <w:tcPr>
            <w:tcW w:w="851" w:type="dxa"/>
            <w:tcBorders>
              <w:top w:val="single" w:sz="2" w:space="0" w:color="auto"/>
              <w:left w:val="single" w:sz="2" w:space="0" w:color="auto"/>
              <w:bottom w:val="single" w:sz="2" w:space="0" w:color="auto"/>
              <w:right w:val="single" w:sz="2" w:space="0" w:color="auto"/>
            </w:tcBorders>
            <w:hideMark/>
          </w:tcPr>
          <w:p w14:paraId="25E33B88" w14:textId="77777777" w:rsidR="0076338D" w:rsidRDefault="0076338D" w:rsidP="004C7013">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96F9F15" w14:textId="77777777" w:rsidR="0076338D" w:rsidRDefault="0076338D"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A36B7D3" w14:textId="77777777" w:rsidR="0076338D" w:rsidRDefault="0076338D" w:rsidP="004C7013">
            <w:pPr>
              <w:pStyle w:val="TAL"/>
            </w:pPr>
          </w:p>
        </w:tc>
      </w:tr>
      <w:tr w:rsidR="00B3234F" w:rsidRPr="00AB3358" w14:paraId="4E5D9E51" w14:textId="77777777" w:rsidTr="004C7013">
        <w:trPr>
          <w:cantSplit/>
          <w:trHeight w:val="113"/>
          <w:jc w:val="center"/>
        </w:trPr>
        <w:tc>
          <w:tcPr>
            <w:tcW w:w="1301" w:type="dxa"/>
            <w:tcBorders>
              <w:top w:val="single" w:sz="4" w:space="0" w:color="auto"/>
              <w:left w:val="single" w:sz="2" w:space="0" w:color="auto"/>
              <w:bottom w:val="single" w:sz="4" w:space="0" w:color="auto"/>
              <w:right w:val="single" w:sz="2" w:space="0" w:color="auto"/>
            </w:tcBorders>
            <w:hideMark/>
          </w:tcPr>
          <w:p w14:paraId="6CDF189E" w14:textId="77777777" w:rsidR="00B3234F" w:rsidRDefault="00B3234F" w:rsidP="004C7013">
            <w:pPr>
              <w:pStyle w:val="TAL"/>
              <w:rPr>
                <w:rFonts w:cs="Arial"/>
              </w:rPr>
            </w:pPr>
            <w:r>
              <w:t xml:space="preserve">E-UTRA Band 29 </w:t>
            </w:r>
            <w:r>
              <w:rPr>
                <w:rFonts w:cs="Arial"/>
              </w:rPr>
              <w:t>or NR Band n29</w:t>
            </w:r>
          </w:p>
        </w:tc>
        <w:tc>
          <w:tcPr>
            <w:tcW w:w="1700" w:type="dxa"/>
            <w:tcBorders>
              <w:top w:val="single" w:sz="2" w:space="0" w:color="auto"/>
              <w:left w:val="single" w:sz="2" w:space="0" w:color="auto"/>
              <w:bottom w:val="single" w:sz="2" w:space="0" w:color="auto"/>
              <w:right w:val="single" w:sz="2" w:space="0" w:color="auto"/>
            </w:tcBorders>
            <w:hideMark/>
          </w:tcPr>
          <w:p w14:paraId="45C04B27" w14:textId="77777777" w:rsidR="00B3234F" w:rsidRDefault="00B3234F" w:rsidP="004C7013">
            <w:pPr>
              <w:pStyle w:val="TAC"/>
            </w:pPr>
            <w:r>
              <w:rPr>
                <w:rFonts w:cs="Arial"/>
              </w:rPr>
              <w:t>717 – 728 MHz</w:t>
            </w:r>
          </w:p>
        </w:tc>
        <w:tc>
          <w:tcPr>
            <w:tcW w:w="851" w:type="dxa"/>
            <w:tcBorders>
              <w:top w:val="single" w:sz="2" w:space="0" w:color="auto"/>
              <w:left w:val="single" w:sz="2" w:space="0" w:color="auto"/>
              <w:bottom w:val="single" w:sz="2" w:space="0" w:color="auto"/>
              <w:right w:val="single" w:sz="2" w:space="0" w:color="auto"/>
            </w:tcBorders>
            <w:hideMark/>
          </w:tcPr>
          <w:p w14:paraId="7D0FE46A"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5BAC120"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88FC3F6" w14:textId="77777777" w:rsidR="00B3234F" w:rsidRDefault="00B3234F" w:rsidP="004C7013">
            <w:pPr>
              <w:pStyle w:val="TAL"/>
            </w:pPr>
          </w:p>
        </w:tc>
      </w:tr>
      <w:tr w:rsidR="004C7013" w:rsidRPr="00AB3358" w14:paraId="527D1C5F"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788F5D1E" w14:textId="77777777" w:rsidR="004C7013" w:rsidRDefault="004C7013" w:rsidP="004C7013">
            <w:pPr>
              <w:pStyle w:val="TAL"/>
              <w:rPr>
                <w:rFonts w:cs="Arial"/>
              </w:rPr>
            </w:pPr>
            <w:r>
              <w:lastRenderedPageBreak/>
              <w:t>E-UTRA Band 30 or NR Band n30</w:t>
            </w:r>
          </w:p>
        </w:tc>
        <w:tc>
          <w:tcPr>
            <w:tcW w:w="1700" w:type="dxa"/>
            <w:tcBorders>
              <w:top w:val="single" w:sz="2" w:space="0" w:color="auto"/>
              <w:left w:val="single" w:sz="4" w:space="0" w:color="auto"/>
              <w:bottom w:val="single" w:sz="2" w:space="0" w:color="auto"/>
              <w:right w:val="single" w:sz="2" w:space="0" w:color="auto"/>
            </w:tcBorders>
            <w:hideMark/>
          </w:tcPr>
          <w:p w14:paraId="2EF443FB" w14:textId="77777777" w:rsidR="004C7013" w:rsidRDefault="004C7013" w:rsidP="004C7013">
            <w:pPr>
              <w:pStyle w:val="TAC"/>
            </w:pPr>
            <w:r>
              <w:t>2350 – 2360 MHz</w:t>
            </w:r>
          </w:p>
        </w:tc>
        <w:tc>
          <w:tcPr>
            <w:tcW w:w="851" w:type="dxa"/>
            <w:tcBorders>
              <w:top w:val="single" w:sz="2" w:space="0" w:color="auto"/>
              <w:left w:val="single" w:sz="2" w:space="0" w:color="auto"/>
              <w:bottom w:val="single" w:sz="2" w:space="0" w:color="auto"/>
              <w:right w:val="single" w:sz="2" w:space="0" w:color="auto"/>
            </w:tcBorders>
            <w:hideMark/>
          </w:tcPr>
          <w:p w14:paraId="6BE0C63A" w14:textId="77777777" w:rsidR="004C7013" w:rsidRDefault="004C7013" w:rsidP="004C7013">
            <w:pPr>
              <w:pStyle w:val="TAC"/>
            </w:pPr>
            <w:r>
              <w:t>-52 dBm</w:t>
            </w:r>
          </w:p>
        </w:tc>
        <w:tc>
          <w:tcPr>
            <w:tcW w:w="1417" w:type="dxa"/>
            <w:tcBorders>
              <w:top w:val="single" w:sz="2" w:space="0" w:color="auto"/>
              <w:left w:val="single" w:sz="2" w:space="0" w:color="auto"/>
              <w:bottom w:val="single" w:sz="2" w:space="0" w:color="auto"/>
              <w:right w:val="single" w:sz="2" w:space="0" w:color="auto"/>
            </w:tcBorders>
            <w:hideMark/>
          </w:tcPr>
          <w:p w14:paraId="29219B4E" w14:textId="77777777" w:rsidR="004C7013" w:rsidRDefault="004C7013" w:rsidP="004C7013">
            <w:pPr>
              <w:pStyle w:val="TAC"/>
            </w:pPr>
            <w:r>
              <w:t>1 MHz</w:t>
            </w:r>
          </w:p>
        </w:tc>
        <w:tc>
          <w:tcPr>
            <w:tcW w:w="4421" w:type="dxa"/>
            <w:tcBorders>
              <w:top w:val="single" w:sz="2" w:space="0" w:color="auto"/>
              <w:left w:val="single" w:sz="2" w:space="0" w:color="auto"/>
              <w:bottom w:val="single" w:sz="2" w:space="0" w:color="auto"/>
              <w:right w:val="single" w:sz="2" w:space="0" w:color="auto"/>
            </w:tcBorders>
          </w:tcPr>
          <w:p w14:paraId="094FB91C" w14:textId="77777777" w:rsidR="004C7013" w:rsidRDefault="004C7013" w:rsidP="004C7013">
            <w:pPr>
              <w:pStyle w:val="TAL"/>
            </w:pPr>
          </w:p>
        </w:tc>
      </w:tr>
      <w:tr w:rsidR="004C7013" w:rsidRPr="00AB3358" w14:paraId="7D132FE5"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24B64101"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7EE88AB1" w14:textId="77777777" w:rsidR="004C7013" w:rsidRDefault="004C7013" w:rsidP="004C7013">
            <w:pPr>
              <w:pStyle w:val="TAC"/>
            </w:pPr>
            <w:r>
              <w:t>2305 – 2315 MHz</w:t>
            </w:r>
          </w:p>
        </w:tc>
        <w:tc>
          <w:tcPr>
            <w:tcW w:w="851" w:type="dxa"/>
            <w:tcBorders>
              <w:top w:val="single" w:sz="2" w:space="0" w:color="auto"/>
              <w:left w:val="single" w:sz="2" w:space="0" w:color="auto"/>
              <w:bottom w:val="single" w:sz="2" w:space="0" w:color="auto"/>
              <w:right w:val="single" w:sz="2" w:space="0" w:color="auto"/>
            </w:tcBorders>
            <w:hideMark/>
          </w:tcPr>
          <w:p w14:paraId="3A1DA582" w14:textId="77777777" w:rsidR="004C7013" w:rsidRDefault="004C7013" w:rsidP="004C7013">
            <w:pPr>
              <w:pStyle w:val="TAC"/>
            </w:pPr>
            <w:r>
              <w:t>-49 dBm</w:t>
            </w:r>
          </w:p>
        </w:tc>
        <w:tc>
          <w:tcPr>
            <w:tcW w:w="1417" w:type="dxa"/>
            <w:tcBorders>
              <w:top w:val="single" w:sz="2" w:space="0" w:color="auto"/>
              <w:left w:val="single" w:sz="2" w:space="0" w:color="auto"/>
              <w:bottom w:val="single" w:sz="2" w:space="0" w:color="auto"/>
              <w:right w:val="single" w:sz="2" w:space="0" w:color="auto"/>
            </w:tcBorders>
            <w:hideMark/>
          </w:tcPr>
          <w:p w14:paraId="1E6333C9" w14:textId="77777777" w:rsidR="004C7013" w:rsidRDefault="004C7013" w:rsidP="004C7013">
            <w:pPr>
              <w:pStyle w:val="TAC"/>
            </w:pPr>
            <w:r>
              <w:t>1 MHz</w:t>
            </w:r>
          </w:p>
        </w:tc>
        <w:tc>
          <w:tcPr>
            <w:tcW w:w="4421" w:type="dxa"/>
            <w:tcBorders>
              <w:top w:val="single" w:sz="2" w:space="0" w:color="auto"/>
              <w:left w:val="single" w:sz="2" w:space="0" w:color="auto"/>
              <w:bottom w:val="single" w:sz="2" w:space="0" w:color="auto"/>
              <w:right w:val="single" w:sz="2" w:space="0" w:color="auto"/>
            </w:tcBorders>
          </w:tcPr>
          <w:p w14:paraId="5EC66B67" w14:textId="77777777" w:rsidR="004C7013" w:rsidRDefault="004C7013" w:rsidP="004C7013">
            <w:pPr>
              <w:pStyle w:val="TAL"/>
            </w:pPr>
          </w:p>
        </w:tc>
      </w:tr>
      <w:tr w:rsidR="004C7013" w14:paraId="5C82FA60"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64217075" w14:textId="77777777" w:rsidR="004C7013" w:rsidRDefault="004C7013" w:rsidP="004C7013">
            <w:pPr>
              <w:pStyle w:val="TAL"/>
              <w:rPr>
                <w:rFonts w:cs="Arial"/>
              </w:rPr>
            </w:pPr>
            <w:r>
              <w:rPr>
                <w:rFonts w:cs="Arial"/>
              </w:rPr>
              <w:t xml:space="preserve">E-UTRA Band </w:t>
            </w:r>
            <w:r>
              <w:rPr>
                <w:rFonts w:cs="Arial"/>
                <w:lang w:eastAsia="zh-CN"/>
              </w:rPr>
              <w:t>31</w:t>
            </w:r>
          </w:p>
        </w:tc>
        <w:tc>
          <w:tcPr>
            <w:tcW w:w="1700" w:type="dxa"/>
            <w:tcBorders>
              <w:top w:val="single" w:sz="2" w:space="0" w:color="auto"/>
              <w:left w:val="single" w:sz="4" w:space="0" w:color="auto"/>
              <w:bottom w:val="single" w:sz="2" w:space="0" w:color="auto"/>
              <w:right w:val="single" w:sz="2" w:space="0" w:color="auto"/>
            </w:tcBorders>
            <w:hideMark/>
          </w:tcPr>
          <w:p w14:paraId="71E4138A" w14:textId="77777777" w:rsidR="004C7013" w:rsidRDefault="004C7013" w:rsidP="004C7013">
            <w:pPr>
              <w:pStyle w:val="TAC"/>
            </w:pPr>
            <w:r>
              <w:t>462.5 – 467.5 MHz</w:t>
            </w:r>
          </w:p>
        </w:tc>
        <w:tc>
          <w:tcPr>
            <w:tcW w:w="851" w:type="dxa"/>
            <w:tcBorders>
              <w:top w:val="single" w:sz="2" w:space="0" w:color="auto"/>
              <w:left w:val="single" w:sz="2" w:space="0" w:color="auto"/>
              <w:bottom w:val="single" w:sz="2" w:space="0" w:color="auto"/>
              <w:right w:val="single" w:sz="2" w:space="0" w:color="auto"/>
            </w:tcBorders>
            <w:hideMark/>
          </w:tcPr>
          <w:p w14:paraId="55CE8992" w14:textId="77777777" w:rsidR="004C7013" w:rsidRDefault="004C7013" w:rsidP="004C7013">
            <w:pPr>
              <w:pStyle w:val="TAC"/>
            </w:pPr>
            <w:r>
              <w:t>-52 dBm</w:t>
            </w:r>
          </w:p>
        </w:tc>
        <w:tc>
          <w:tcPr>
            <w:tcW w:w="1417" w:type="dxa"/>
            <w:tcBorders>
              <w:top w:val="single" w:sz="2" w:space="0" w:color="auto"/>
              <w:left w:val="single" w:sz="2" w:space="0" w:color="auto"/>
              <w:bottom w:val="single" w:sz="2" w:space="0" w:color="auto"/>
              <w:right w:val="single" w:sz="2" w:space="0" w:color="auto"/>
            </w:tcBorders>
            <w:hideMark/>
          </w:tcPr>
          <w:p w14:paraId="6F808A5E" w14:textId="77777777" w:rsidR="004C7013" w:rsidRDefault="004C7013" w:rsidP="004C7013">
            <w:pPr>
              <w:pStyle w:val="TAC"/>
            </w:pPr>
            <w:r>
              <w:t>1 MHz</w:t>
            </w:r>
          </w:p>
        </w:tc>
        <w:tc>
          <w:tcPr>
            <w:tcW w:w="4421" w:type="dxa"/>
            <w:tcBorders>
              <w:top w:val="single" w:sz="2" w:space="0" w:color="auto"/>
              <w:left w:val="single" w:sz="2" w:space="0" w:color="auto"/>
              <w:bottom w:val="single" w:sz="2" w:space="0" w:color="auto"/>
              <w:right w:val="single" w:sz="2" w:space="0" w:color="auto"/>
            </w:tcBorders>
          </w:tcPr>
          <w:p w14:paraId="31491A4E" w14:textId="77777777" w:rsidR="004C7013" w:rsidRDefault="004C7013" w:rsidP="004C7013">
            <w:pPr>
              <w:pStyle w:val="TAL"/>
            </w:pPr>
          </w:p>
        </w:tc>
      </w:tr>
      <w:tr w:rsidR="004C7013" w14:paraId="76F134EE"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27CC1F20"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5CD2D7D4" w14:textId="77777777" w:rsidR="004C7013" w:rsidRDefault="004C7013" w:rsidP="004C7013">
            <w:pPr>
              <w:pStyle w:val="TAC"/>
            </w:pPr>
            <w:r>
              <w:t>452.5 – 457.5 MHz</w:t>
            </w:r>
          </w:p>
        </w:tc>
        <w:tc>
          <w:tcPr>
            <w:tcW w:w="851" w:type="dxa"/>
            <w:tcBorders>
              <w:top w:val="single" w:sz="2" w:space="0" w:color="auto"/>
              <w:left w:val="single" w:sz="2" w:space="0" w:color="auto"/>
              <w:bottom w:val="single" w:sz="2" w:space="0" w:color="auto"/>
              <w:right w:val="single" w:sz="2" w:space="0" w:color="auto"/>
            </w:tcBorders>
            <w:hideMark/>
          </w:tcPr>
          <w:p w14:paraId="1FAECB9D" w14:textId="77777777" w:rsidR="004C7013" w:rsidRDefault="004C7013" w:rsidP="004C7013">
            <w:pPr>
              <w:pStyle w:val="TAC"/>
            </w:pPr>
            <w:r>
              <w:t>-49 dBm</w:t>
            </w:r>
          </w:p>
        </w:tc>
        <w:tc>
          <w:tcPr>
            <w:tcW w:w="1417" w:type="dxa"/>
            <w:tcBorders>
              <w:top w:val="single" w:sz="2" w:space="0" w:color="auto"/>
              <w:left w:val="single" w:sz="2" w:space="0" w:color="auto"/>
              <w:bottom w:val="single" w:sz="2" w:space="0" w:color="auto"/>
              <w:right w:val="single" w:sz="2" w:space="0" w:color="auto"/>
            </w:tcBorders>
            <w:hideMark/>
          </w:tcPr>
          <w:p w14:paraId="0FC61995" w14:textId="77777777" w:rsidR="004C7013" w:rsidRDefault="004C7013" w:rsidP="004C7013">
            <w:pPr>
              <w:pStyle w:val="TAC"/>
            </w:pPr>
            <w:r>
              <w:t>1 MHz</w:t>
            </w:r>
          </w:p>
        </w:tc>
        <w:tc>
          <w:tcPr>
            <w:tcW w:w="4421" w:type="dxa"/>
            <w:tcBorders>
              <w:top w:val="single" w:sz="2" w:space="0" w:color="auto"/>
              <w:left w:val="single" w:sz="2" w:space="0" w:color="auto"/>
              <w:bottom w:val="single" w:sz="2" w:space="0" w:color="auto"/>
              <w:right w:val="single" w:sz="2" w:space="0" w:color="auto"/>
            </w:tcBorders>
          </w:tcPr>
          <w:p w14:paraId="3DD030E9" w14:textId="77777777" w:rsidR="004C7013" w:rsidRDefault="004C7013" w:rsidP="004C7013">
            <w:pPr>
              <w:pStyle w:val="TAL"/>
            </w:pPr>
          </w:p>
        </w:tc>
      </w:tr>
      <w:tr w:rsidR="00B3234F" w:rsidRPr="00AB3358" w14:paraId="177B3D11" w14:textId="77777777" w:rsidTr="004C7013">
        <w:trPr>
          <w:cantSplit/>
          <w:trHeight w:val="113"/>
          <w:jc w:val="center"/>
        </w:trPr>
        <w:tc>
          <w:tcPr>
            <w:tcW w:w="1301" w:type="dxa"/>
            <w:tcBorders>
              <w:top w:val="single" w:sz="4" w:space="0" w:color="auto"/>
              <w:left w:val="single" w:sz="2" w:space="0" w:color="auto"/>
              <w:bottom w:val="single" w:sz="2" w:space="0" w:color="auto"/>
              <w:right w:val="single" w:sz="2" w:space="0" w:color="auto"/>
            </w:tcBorders>
            <w:hideMark/>
          </w:tcPr>
          <w:p w14:paraId="1E8889F2" w14:textId="77777777" w:rsidR="00B3234F" w:rsidRDefault="00B3234F" w:rsidP="004C7013">
            <w:pPr>
              <w:pStyle w:val="TAL"/>
              <w:rPr>
                <w:rFonts w:cs="Arial"/>
                <w:lang w:val="sv-SE"/>
              </w:rPr>
            </w:pPr>
            <w:r>
              <w:rPr>
                <w:rFonts w:cs="Arial"/>
                <w:lang w:val="sv-SE"/>
              </w:rPr>
              <w:t>UTRA FDD band XXXII or E-UTRA band 32</w:t>
            </w:r>
          </w:p>
        </w:tc>
        <w:tc>
          <w:tcPr>
            <w:tcW w:w="1700" w:type="dxa"/>
            <w:tcBorders>
              <w:top w:val="single" w:sz="2" w:space="0" w:color="auto"/>
              <w:left w:val="single" w:sz="2" w:space="0" w:color="auto"/>
              <w:bottom w:val="single" w:sz="2" w:space="0" w:color="auto"/>
              <w:right w:val="single" w:sz="2" w:space="0" w:color="auto"/>
            </w:tcBorders>
            <w:hideMark/>
          </w:tcPr>
          <w:p w14:paraId="7720C993" w14:textId="77777777" w:rsidR="00B3234F" w:rsidRDefault="00B3234F" w:rsidP="004C7013">
            <w:pPr>
              <w:pStyle w:val="TAC"/>
            </w:pPr>
            <w:r>
              <w:rPr>
                <w:rFonts w:cs="Arial"/>
              </w:rPr>
              <w:t>1452 – 1496 MHz</w:t>
            </w:r>
          </w:p>
        </w:tc>
        <w:tc>
          <w:tcPr>
            <w:tcW w:w="851" w:type="dxa"/>
            <w:tcBorders>
              <w:top w:val="single" w:sz="2" w:space="0" w:color="auto"/>
              <w:left w:val="single" w:sz="2" w:space="0" w:color="auto"/>
              <w:bottom w:val="single" w:sz="2" w:space="0" w:color="auto"/>
              <w:right w:val="single" w:sz="2" w:space="0" w:color="auto"/>
            </w:tcBorders>
            <w:hideMark/>
          </w:tcPr>
          <w:p w14:paraId="3FE2033D"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CA3184B"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7E7ECFA" w14:textId="77777777" w:rsidR="00B3234F" w:rsidRDefault="00B3234F" w:rsidP="004C7013">
            <w:pPr>
              <w:pStyle w:val="TAL"/>
            </w:pPr>
          </w:p>
        </w:tc>
      </w:tr>
      <w:tr w:rsidR="00B3234F" w14:paraId="0A137AC0"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6DE26D98" w14:textId="77777777" w:rsidR="00B3234F" w:rsidRDefault="00B3234F" w:rsidP="004C7013">
            <w:pPr>
              <w:pStyle w:val="TAL"/>
              <w:rPr>
                <w:rFonts w:cs="Arial"/>
              </w:rPr>
            </w:pPr>
            <w:r>
              <w:rPr>
                <w:rFonts w:cs="Arial"/>
              </w:rPr>
              <w:t>UTRA TDD Band a) or E-UTRA Band 33</w:t>
            </w:r>
          </w:p>
        </w:tc>
        <w:tc>
          <w:tcPr>
            <w:tcW w:w="1700" w:type="dxa"/>
            <w:tcBorders>
              <w:top w:val="single" w:sz="2" w:space="0" w:color="auto"/>
              <w:left w:val="single" w:sz="2" w:space="0" w:color="auto"/>
              <w:bottom w:val="single" w:sz="2" w:space="0" w:color="auto"/>
              <w:right w:val="single" w:sz="2" w:space="0" w:color="auto"/>
            </w:tcBorders>
          </w:tcPr>
          <w:p w14:paraId="099C4FC8" w14:textId="7014AF66" w:rsidR="00B3234F" w:rsidRPr="004C7013" w:rsidRDefault="00B3234F" w:rsidP="004C7013">
            <w:pPr>
              <w:pStyle w:val="TAC"/>
              <w:rPr>
                <w:rFonts w:cs="Arial"/>
                <w:lang w:eastAsia="zh-CN"/>
              </w:rPr>
            </w:pPr>
            <w:r>
              <w:rPr>
                <w:rFonts w:cs="Arial"/>
              </w:rPr>
              <w:t>1900 – 1920 MHz</w:t>
            </w:r>
          </w:p>
        </w:tc>
        <w:tc>
          <w:tcPr>
            <w:tcW w:w="851" w:type="dxa"/>
            <w:tcBorders>
              <w:top w:val="single" w:sz="2" w:space="0" w:color="auto"/>
              <w:left w:val="single" w:sz="2" w:space="0" w:color="auto"/>
              <w:bottom w:val="single" w:sz="2" w:space="0" w:color="auto"/>
              <w:right w:val="single" w:sz="2" w:space="0" w:color="auto"/>
            </w:tcBorders>
            <w:hideMark/>
          </w:tcPr>
          <w:p w14:paraId="4CAD6C3E"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41E7664"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FB0BB70" w14:textId="77777777" w:rsidR="00B3234F" w:rsidRDefault="00B3234F" w:rsidP="004C7013">
            <w:pPr>
              <w:pStyle w:val="TAL"/>
            </w:pPr>
          </w:p>
        </w:tc>
      </w:tr>
      <w:tr w:rsidR="00B3234F" w:rsidRPr="00AB3358" w14:paraId="1478BFA1"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2858E108" w14:textId="77777777" w:rsidR="00B3234F" w:rsidRDefault="00B3234F" w:rsidP="004C7013">
            <w:pPr>
              <w:pStyle w:val="TAL"/>
              <w:rPr>
                <w:rFonts w:cs="Arial"/>
              </w:rPr>
            </w:pPr>
            <w:r>
              <w:rPr>
                <w:rFonts w:cs="Arial"/>
              </w:rPr>
              <w:t>UTRA TDD Band a) or E-UTRA Band 34</w:t>
            </w:r>
            <w:r>
              <w:rPr>
                <w:rFonts w:eastAsia="SimSun" w:cs="Arial"/>
                <w:lang w:val="en-US" w:eastAsia="zh-CN"/>
              </w:rPr>
              <w:t xml:space="preserve"> or NR band n34</w:t>
            </w:r>
          </w:p>
        </w:tc>
        <w:tc>
          <w:tcPr>
            <w:tcW w:w="1700" w:type="dxa"/>
            <w:tcBorders>
              <w:top w:val="single" w:sz="2" w:space="0" w:color="auto"/>
              <w:left w:val="single" w:sz="2" w:space="0" w:color="auto"/>
              <w:bottom w:val="single" w:sz="2" w:space="0" w:color="auto"/>
              <w:right w:val="single" w:sz="2" w:space="0" w:color="auto"/>
            </w:tcBorders>
            <w:hideMark/>
          </w:tcPr>
          <w:p w14:paraId="74BDBC1B" w14:textId="77777777" w:rsidR="00B3234F" w:rsidRDefault="00B3234F" w:rsidP="004C7013">
            <w:pPr>
              <w:pStyle w:val="TAC"/>
            </w:pPr>
            <w:r>
              <w:rPr>
                <w:rFonts w:cs="Arial"/>
              </w:rPr>
              <w:t>2010 – 2025 MHz</w:t>
            </w:r>
          </w:p>
        </w:tc>
        <w:tc>
          <w:tcPr>
            <w:tcW w:w="851" w:type="dxa"/>
            <w:tcBorders>
              <w:top w:val="single" w:sz="2" w:space="0" w:color="auto"/>
              <w:left w:val="single" w:sz="2" w:space="0" w:color="auto"/>
              <w:bottom w:val="single" w:sz="2" w:space="0" w:color="auto"/>
              <w:right w:val="single" w:sz="2" w:space="0" w:color="auto"/>
            </w:tcBorders>
            <w:hideMark/>
          </w:tcPr>
          <w:p w14:paraId="2DE64D99"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73BAEBC"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7AB5F6D" w14:textId="77777777" w:rsidR="00B3234F" w:rsidRDefault="00B3234F" w:rsidP="004C7013">
            <w:pPr>
              <w:pStyle w:val="TAL"/>
            </w:pPr>
          </w:p>
        </w:tc>
      </w:tr>
      <w:tr w:rsidR="00B3234F" w14:paraId="1051FA4D"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775C2D98" w14:textId="77777777" w:rsidR="00B3234F" w:rsidRDefault="00B3234F" w:rsidP="004C7013">
            <w:pPr>
              <w:pStyle w:val="TAL"/>
              <w:rPr>
                <w:rFonts w:cs="Arial"/>
                <w:lang w:val="sv-SE"/>
              </w:rPr>
            </w:pPr>
            <w:r>
              <w:rPr>
                <w:rFonts w:cs="Arial"/>
                <w:lang w:val="sv-SE"/>
              </w:rPr>
              <w:t>UTRA TDD Band b) or E-UTRA Band 35</w:t>
            </w:r>
          </w:p>
        </w:tc>
        <w:tc>
          <w:tcPr>
            <w:tcW w:w="1700" w:type="dxa"/>
            <w:tcBorders>
              <w:top w:val="single" w:sz="2" w:space="0" w:color="auto"/>
              <w:left w:val="single" w:sz="2" w:space="0" w:color="auto"/>
              <w:bottom w:val="single" w:sz="2" w:space="0" w:color="auto"/>
              <w:right w:val="single" w:sz="2" w:space="0" w:color="auto"/>
            </w:tcBorders>
          </w:tcPr>
          <w:p w14:paraId="1EB75B8D" w14:textId="58CD18FC" w:rsidR="00B3234F" w:rsidRPr="004C7013" w:rsidRDefault="00B3234F" w:rsidP="004C7013">
            <w:pPr>
              <w:pStyle w:val="TAC"/>
              <w:rPr>
                <w:rFonts w:cs="Arial"/>
                <w:lang w:eastAsia="zh-CN"/>
              </w:rPr>
            </w:pPr>
            <w:r>
              <w:rPr>
                <w:rFonts w:cs="Arial"/>
              </w:rPr>
              <w:t>1850 – 1910 MHz</w:t>
            </w:r>
          </w:p>
        </w:tc>
        <w:tc>
          <w:tcPr>
            <w:tcW w:w="851" w:type="dxa"/>
            <w:tcBorders>
              <w:top w:val="single" w:sz="2" w:space="0" w:color="auto"/>
              <w:left w:val="single" w:sz="2" w:space="0" w:color="auto"/>
              <w:bottom w:val="single" w:sz="2" w:space="0" w:color="auto"/>
              <w:right w:val="single" w:sz="2" w:space="0" w:color="auto"/>
            </w:tcBorders>
            <w:hideMark/>
          </w:tcPr>
          <w:p w14:paraId="7B3FFCF2"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0D7D01D"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257E0A5" w14:textId="77777777" w:rsidR="00B3234F" w:rsidRDefault="00B3234F" w:rsidP="004C7013">
            <w:pPr>
              <w:pStyle w:val="TAL"/>
            </w:pPr>
          </w:p>
        </w:tc>
      </w:tr>
      <w:tr w:rsidR="00B3234F" w:rsidRPr="00AB3358" w14:paraId="23220E1B"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33FC2614" w14:textId="77777777" w:rsidR="00B3234F" w:rsidRDefault="00B3234F" w:rsidP="004C7013">
            <w:pPr>
              <w:pStyle w:val="TAL"/>
              <w:rPr>
                <w:rFonts w:cs="Arial"/>
                <w:lang w:val="sv-SE"/>
              </w:rPr>
            </w:pPr>
            <w:r>
              <w:rPr>
                <w:rFonts w:cs="Arial"/>
                <w:lang w:val="sv-SE"/>
              </w:rPr>
              <w:t>UTRA TDD Band b) or E-UTRA Band 36</w:t>
            </w:r>
          </w:p>
        </w:tc>
        <w:tc>
          <w:tcPr>
            <w:tcW w:w="1700" w:type="dxa"/>
            <w:tcBorders>
              <w:top w:val="single" w:sz="2" w:space="0" w:color="auto"/>
              <w:left w:val="single" w:sz="2" w:space="0" w:color="auto"/>
              <w:bottom w:val="single" w:sz="2" w:space="0" w:color="auto"/>
              <w:right w:val="single" w:sz="2" w:space="0" w:color="auto"/>
            </w:tcBorders>
            <w:hideMark/>
          </w:tcPr>
          <w:p w14:paraId="6B4D9964" w14:textId="77777777" w:rsidR="00B3234F" w:rsidRDefault="00B3234F" w:rsidP="004C7013">
            <w:pPr>
              <w:pStyle w:val="TAC"/>
            </w:pPr>
            <w:r>
              <w:rPr>
                <w:rFonts w:cs="Arial"/>
              </w:rPr>
              <w:t>1930 – 1990 MHz</w:t>
            </w:r>
          </w:p>
        </w:tc>
        <w:tc>
          <w:tcPr>
            <w:tcW w:w="851" w:type="dxa"/>
            <w:tcBorders>
              <w:top w:val="single" w:sz="2" w:space="0" w:color="auto"/>
              <w:left w:val="single" w:sz="2" w:space="0" w:color="auto"/>
              <w:bottom w:val="single" w:sz="2" w:space="0" w:color="auto"/>
              <w:right w:val="single" w:sz="2" w:space="0" w:color="auto"/>
            </w:tcBorders>
            <w:hideMark/>
          </w:tcPr>
          <w:p w14:paraId="1B028026"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9FAFE28"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CF521E4" w14:textId="77777777" w:rsidR="00B3234F" w:rsidRDefault="00B3234F" w:rsidP="004C7013">
            <w:pPr>
              <w:pStyle w:val="TAL"/>
            </w:pPr>
          </w:p>
        </w:tc>
      </w:tr>
      <w:tr w:rsidR="00B3234F" w14:paraId="30180BCA"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6C83F953" w14:textId="77777777" w:rsidR="00B3234F" w:rsidRDefault="00B3234F" w:rsidP="004C7013">
            <w:pPr>
              <w:pStyle w:val="TAL"/>
              <w:rPr>
                <w:rFonts w:cs="Arial"/>
                <w:lang w:val="sv-SE"/>
              </w:rPr>
            </w:pPr>
            <w:r>
              <w:rPr>
                <w:rFonts w:cs="Arial"/>
                <w:lang w:val="sv-SE"/>
              </w:rPr>
              <w:t>UTRA TDD Band c) or E-UTRA Band 37</w:t>
            </w:r>
          </w:p>
        </w:tc>
        <w:tc>
          <w:tcPr>
            <w:tcW w:w="1700" w:type="dxa"/>
            <w:tcBorders>
              <w:top w:val="single" w:sz="2" w:space="0" w:color="auto"/>
              <w:left w:val="single" w:sz="2" w:space="0" w:color="auto"/>
              <w:bottom w:val="single" w:sz="2" w:space="0" w:color="auto"/>
              <w:right w:val="single" w:sz="2" w:space="0" w:color="auto"/>
            </w:tcBorders>
            <w:hideMark/>
          </w:tcPr>
          <w:p w14:paraId="1E00C4FD" w14:textId="77777777" w:rsidR="00B3234F" w:rsidRDefault="00B3234F" w:rsidP="004C7013">
            <w:pPr>
              <w:pStyle w:val="TAC"/>
            </w:pPr>
            <w:r>
              <w:rPr>
                <w:rFonts w:cs="Arial"/>
              </w:rPr>
              <w:t>1910 – 1930 MHz</w:t>
            </w:r>
          </w:p>
        </w:tc>
        <w:tc>
          <w:tcPr>
            <w:tcW w:w="851" w:type="dxa"/>
            <w:tcBorders>
              <w:top w:val="single" w:sz="2" w:space="0" w:color="auto"/>
              <w:left w:val="single" w:sz="2" w:space="0" w:color="auto"/>
              <w:bottom w:val="single" w:sz="2" w:space="0" w:color="auto"/>
              <w:right w:val="single" w:sz="2" w:space="0" w:color="auto"/>
            </w:tcBorders>
            <w:hideMark/>
          </w:tcPr>
          <w:p w14:paraId="1E91DDAD"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CF1FF6D"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AE0E0AC" w14:textId="77777777" w:rsidR="00B3234F" w:rsidRDefault="00B3234F" w:rsidP="004C7013">
            <w:pPr>
              <w:pStyle w:val="TAL"/>
            </w:pPr>
          </w:p>
        </w:tc>
      </w:tr>
      <w:tr w:rsidR="00B3234F" w:rsidRPr="00AB3358" w14:paraId="3CF4580F"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25890E0A" w14:textId="77777777" w:rsidR="00B3234F" w:rsidRDefault="00B3234F" w:rsidP="004C7013">
            <w:pPr>
              <w:pStyle w:val="TAL"/>
              <w:rPr>
                <w:rFonts w:cs="Arial"/>
              </w:rPr>
            </w:pPr>
            <w:r>
              <w:rPr>
                <w:rFonts w:cs="Arial"/>
              </w:rPr>
              <w:t>UTRA TDD Band d) or E-UTRA Band 38 or NR Band n38</w:t>
            </w:r>
          </w:p>
        </w:tc>
        <w:tc>
          <w:tcPr>
            <w:tcW w:w="1700" w:type="dxa"/>
            <w:tcBorders>
              <w:top w:val="single" w:sz="2" w:space="0" w:color="auto"/>
              <w:left w:val="single" w:sz="2" w:space="0" w:color="auto"/>
              <w:bottom w:val="single" w:sz="2" w:space="0" w:color="auto"/>
              <w:right w:val="single" w:sz="2" w:space="0" w:color="auto"/>
            </w:tcBorders>
            <w:hideMark/>
          </w:tcPr>
          <w:p w14:paraId="15EC5E51" w14:textId="77777777" w:rsidR="00B3234F" w:rsidRDefault="00B3234F" w:rsidP="004C7013">
            <w:pPr>
              <w:pStyle w:val="TAC"/>
            </w:pPr>
            <w:r>
              <w:rPr>
                <w:rFonts w:cs="Arial"/>
              </w:rPr>
              <w:t>2570 – 2620 MHz</w:t>
            </w:r>
          </w:p>
        </w:tc>
        <w:tc>
          <w:tcPr>
            <w:tcW w:w="851" w:type="dxa"/>
            <w:tcBorders>
              <w:top w:val="single" w:sz="2" w:space="0" w:color="auto"/>
              <w:left w:val="single" w:sz="2" w:space="0" w:color="auto"/>
              <w:bottom w:val="single" w:sz="2" w:space="0" w:color="auto"/>
              <w:right w:val="single" w:sz="2" w:space="0" w:color="auto"/>
            </w:tcBorders>
            <w:hideMark/>
          </w:tcPr>
          <w:p w14:paraId="27EB043F"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E0EAEEA"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4593288" w14:textId="77777777" w:rsidR="00B3234F" w:rsidRDefault="00B3234F" w:rsidP="004C7013">
            <w:pPr>
              <w:pStyle w:val="TAL"/>
            </w:pPr>
          </w:p>
        </w:tc>
      </w:tr>
      <w:tr w:rsidR="00B3234F" w:rsidRPr="00AB3358" w14:paraId="616B0036"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04E30A53" w14:textId="77777777" w:rsidR="00B3234F" w:rsidRDefault="00B3234F" w:rsidP="004C7013">
            <w:pPr>
              <w:pStyle w:val="TAL"/>
              <w:rPr>
                <w:rFonts w:cs="Arial"/>
                <w:lang w:val="sv-SE"/>
              </w:rPr>
            </w:pPr>
            <w:r>
              <w:rPr>
                <w:rFonts w:cs="Arial"/>
                <w:lang w:val="sv-SE"/>
              </w:rPr>
              <w:t>UTRA TDD Band f) or E-UTRA Band 3</w:t>
            </w:r>
            <w:r>
              <w:rPr>
                <w:rFonts w:cs="Arial"/>
                <w:lang w:val="sv-SE" w:eastAsia="zh-CN"/>
              </w:rPr>
              <w:t>9</w:t>
            </w:r>
            <w:r>
              <w:rPr>
                <w:rFonts w:cs="Arial"/>
                <w:lang w:val="en-US" w:eastAsia="zh-CN"/>
              </w:rPr>
              <w:t xml:space="preserve"> or NR band n39</w:t>
            </w:r>
          </w:p>
        </w:tc>
        <w:tc>
          <w:tcPr>
            <w:tcW w:w="1700" w:type="dxa"/>
            <w:tcBorders>
              <w:top w:val="single" w:sz="2" w:space="0" w:color="auto"/>
              <w:left w:val="single" w:sz="2" w:space="0" w:color="auto"/>
              <w:bottom w:val="single" w:sz="2" w:space="0" w:color="auto"/>
              <w:right w:val="single" w:sz="2" w:space="0" w:color="auto"/>
            </w:tcBorders>
            <w:hideMark/>
          </w:tcPr>
          <w:p w14:paraId="150FC196" w14:textId="77777777" w:rsidR="00B3234F" w:rsidRDefault="00B3234F" w:rsidP="004C7013">
            <w:pPr>
              <w:pStyle w:val="TAC"/>
            </w:pPr>
            <w:r>
              <w:rPr>
                <w:rFonts w:cs="Arial"/>
                <w:lang w:eastAsia="zh-CN"/>
              </w:rPr>
              <w:t>1880</w:t>
            </w:r>
            <w:r>
              <w:rPr>
                <w:rFonts w:cs="Arial"/>
              </w:rPr>
              <w:t xml:space="preserve"> – </w:t>
            </w:r>
            <w:r>
              <w:rPr>
                <w:rFonts w:cs="Arial"/>
                <w:lang w:eastAsia="zh-CN"/>
              </w:rPr>
              <w:t>1920MHz</w:t>
            </w:r>
          </w:p>
        </w:tc>
        <w:tc>
          <w:tcPr>
            <w:tcW w:w="851" w:type="dxa"/>
            <w:tcBorders>
              <w:top w:val="single" w:sz="2" w:space="0" w:color="auto"/>
              <w:left w:val="single" w:sz="2" w:space="0" w:color="auto"/>
              <w:bottom w:val="single" w:sz="2" w:space="0" w:color="auto"/>
              <w:right w:val="single" w:sz="2" w:space="0" w:color="auto"/>
            </w:tcBorders>
            <w:hideMark/>
          </w:tcPr>
          <w:p w14:paraId="18824A25"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9633F30"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F7BF4CB" w14:textId="77777777" w:rsidR="00B3234F" w:rsidRDefault="00B3234F" w:rsidP="004C7013">
            <w:pPr>
              <w:pStyle w:val="TAL"/>
            </w:pPr>
          </w:p>
        </w:tc>
      </w:tr>
      <w:tr w:rsidR="00B3234F" w:rsidRPr="00AB3358" w14:paraId="2276668B"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60F40A1B" w14:textId="77777777" w:rsidR="00B3234F" w:rsidRDefault="00B3234F" w:rsidP="004C7013">
            <w:pPr>
              <w:pStyle w:val="TAL"/>
              <w:rPr>
                <w:rFonts w:cs="Arial"/>
                <w:lang w:val="sv-SE"/>
              </w:rPr>
            </w:pPr>
            <w:r>
              <w:rPr>
                <w:rFonts w:cs="Arial"/>
                <w:lang w:val="sv-SE"/>
              </w:rPr>
              <w:t xml:space="preserve">UTRA TDD Band e) or E-UTRA Band </w:t>
            </w:r>
            <w:r>
              <w:rPr>
                <w:rFonts w:cs="Arial"/>
                <w:lang w:val="sv-SE" w:eastAsia="zh-CN"/>
              </w:rPr>
              <w:t>40 or NR Band n40</w:t>
            </w:r>
          </w:p>
        </w:tc>
        <w:tc>
          <w:tcPr>
            <w:tcW w:w="1700" w:type="dxa"/>
            <w:tcBorders>
              <w:top w:val="single" w:sz="2" w:space="0" w:color="auto"/>
              <w:left w:val="single" w:sz="2" w:space="0" w:color="auto"/>
              <w:bottom w:val="single" w:sz="2" w:space="0" w:color="auto"/>
              <w:right w:val="single" w:sz="2" w:space="0" w:color="auto"/>
            </w:tcBorders>
            <w:hideMark/>
          </w:tcPr>
          <w:p w14:paraId="0D349CA2" w14:textId="77777777" w:rsidR="00B3234F" w:rsidRDefault="00B3234F" w:rsidP="004C7013">
            <w:pPr>
              <w:pStyle w:val="TAC"/>
            </w:pPr>
            <w:r>
              <w:rPr>
                <w:rFonts w:cs="Arial"/>
                <w:lang w:eastAsia="zh-CN"/>
              </w:rPr>
              <w:t xml:space="preserve">2300 </w:t>
            </w:r>
            <w:r>
              <w:rPr>
                <w:rFonts w:cs="Arial"/>
              </w:rPr>
              <w:t xml:space="preserve">– </w:t>
            </w:r>
            <w:r>
              <w:rPr>
                <w:rFonts w:cs="Arial"/>
                <w:lang w:eastAsia="zh-CN"/>
              </w:rPr>
              <w:t>2400MHz</w:t>
            </w:r>
          </w:p>
        </w:tc>
        <w:tc>
          <w:tcPr>
            <w:tcW w:w="851" w:type="dxa"/>
            <w:tcBorders>
              <w:top w:val="single" w:sz="2" w:space="0" w:color="auto"/>
              <w:left w:val="single" w:sz="2" w:space="0" w:color="auto"/>
              <w:bottom w:val="single" w:sz="2" w:space="0" w:color="auto"/>
              <w:right w:val="single" w:sz="2" w:space="0" w:color="auto"/>
            </w:tcBorders>
            <w:hideMark/>
          </w:tcPr>
          <w:p w14:paraId="366998C4"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C166D99"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3774A9E" w14:textId="77777777" w:rsidR="00B3234F" w:rsidRDefault="00B3234F" w:rsidP="004C7013">
            <w:pPr>
              <w:pStyle w:val="TAL"/>
            </w:pPr>
          </w:p>
        </w:tc>
      </w:tr>
      <w:tr w:rsidR="00B3234F" w:rsidRPr="00AB3358" w14:paraId="38AAD9CB"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33489F7D" w14:textId="77777777" w:rsidR="00B3234F" w:rsidRDefault="00B3234F" w:rsidP="004C7013">
            <w:pPr>
              <w:pStyle w:val="TAL"/>
              <w:rPr>
                <w:rFonts w:cs="Arial"/>
              </w:rPr>
            </w:pPr>
            <w:r>
              <w:rPr>
                <w:rFonts w:cs="Arial"/>
              </w:rPr>
              <w:t xml:space="preserve">E-UTRA Band </w:t>
            </w:r>
            <w:r>
              <w:rPr>
                <w:rFonts w:cs="Arial"/>
                <w:lang w:eastAsia="zh-CN"/>
              </w:rPr>
              <w:t>41 or NR Band n41, n90</w:t>
            </w:r>
          </w:p>
        </w:tc>
        <w:tc>
          <w:tcPr>
            <w:tcW w:w="1700" w:type="dxa"/>
            <w:tcBorders>
              <w:top w:val="single" w:sz="2" w:space="0" w:color="auto"/>
              <w:left w:val="single" w:sz="2" w:space="0" w:color="auto"/>
              <w:bottom w:val="single" w:sz="2" w:space="0" w:color="auto"/>
              <w:right w:val="single" w:sz="2" w:space="0" w:color="auto"/>
            </w:tcBorders>
            <w:hideMark/>
          </w:tcPr>
          <w:p w14:paraId="041B52B5" w14:textId="77777777" w:rsidR="00B3234F" w:rsidRDefault="00B3234F" w:rsidP="004C7013">
            <w:pPr>
              <w:pStyle w:val="TAC"/>
            </w:pPr>
            <w:r>
              <w:rPr>
                <w:rFonts w:cs="Arial"/>
                <w:lang w:eastAsia="zh-CN"/>
              </w:rPr>
              <w:t>2496</w:t>
            </w:r>
            <w:r>
              <w:rPr>
                <w:rFonts w:cs="Arial"/>
              </w:rPr>
              <w:t xml:space="preserve"> – </w:t>
            </w:r>
            <w:r>
              <w:rPr>
                <w:rFonts w:cs="Arial"/>
                <w:lang w:eastAsia="zh-CN"/>
              </w:rPr>
              <w:t>2690 MHz</w:t>
            </w:r>
          </w:p>
        </w:tc>
        <w:tc>
          <w:tcPr>
            <w:tcW w:w="851" w:type="dxa"/>
            <w:tcBorders>
              <w:top w:val="single" w:sz="2" w:space="0" w:color="auto"/>
              <w:left w:val="single" w:sz="2" w:space="0" w:color="auto"/>
              <w:bottom w:val="single" w:sz="2" w:space="0" w:color="auto"/>
              <w:right w:val="single" w:sz="2" w:space="0" w:color="auto"/>
            </w:tcBorders>
            <w:hideMark/>
          </w:tcPr>
          <w:p w14:paraId="2740AA7E"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6D97B36"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1058C5D9" w14:textId="77777777" w:rsidR="00B3234F" w:rsidRDefault="00B3234F" w:rsidP="004C7013">
            <w:pPr>
              <w:pStyle w:val="TAL"/>
            </w:pPr>
            <w:r>
              <w:t>This is not applicable IAB-DU and IAB-MT operating in Band n</w:t>
            </w:r>
            <w:r>
              <w:rPr>
                <w:lang w:eastAsia="zh-CN"/>
              </w:rPr>
              <w:t>41.</w:t>
            </w:r>
          </w:p>
        </w:tc>
      </w:tr>
      <w:tr w:rsidR="00B3234F" w:rsidRPr="00AB3358" w14:paraId="47F102F1"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0D7210EC" w14:textId="77777777" w:rsidR="00B3234F" w:rsidRDefault="00B3234F" w:rsidP="004C7013">
            <w:pPr>
              <w:pStyle w:val="TAL"/>
              <w:rPr>
                <w:rFonts w:cs="Arial"/>
              </w:rPr>
            </w:pPr>
            <w:r>
              <w:rPr>
                <w:rFonts w:cs="Arial"/>
              </w:rPr>
              <w:t xml:space="preserve">E-UTRA Band </w:t>
            </w:r>
            <w:r>
              <w:rPr>
                <w:rFonts w:cs="Arial"/>
                <w:lang w:eastAsia="zh-CN"/>
              </w:rPr>
              <w:t>42</w:t>
            </w:r>
          </w:p>
        </w:tc>
        <w:tc>
          <w:tcPr>
            <w:tcW w:w="1700" w:type="dxa"/>
            <w:tcBorders>
              <w:top w:val="single" w:sz="2" w:space="0" w:color="auto"/>
              <w:left w:val="single" w:sz="2" w:space="0" w:color="auto"/>
              <w:bottom w:val="single" w:sz="2" w:space="0" w:color="auto"/>
              <w:right w:val="single" w:sz="2" w:space="0" w:color="auto"/>
            </w:tcBorders>
            <w:hideMark/>
          </w:tcPr>
          <w:p w14:paraId="6BFFEED8" w14:textId="77777777" w:rsidR="00B3234F" w:rsidRDefault="00B3234F" w:rsidP="004C7013">
            <w:pPr>
              <w:pStyle w:val="TAC"/>
            </w:pPr>
            <w:r>
              <w:rPr>
                <w:rFonts w:cs="Arial"/>
                <w:lang w:eastAsia="zh-CN"/>
              </w:rPr>
              <w:t>3400</w:t>
            </w:r>
            <w:r>
              <w:rPr>
                <w:rFonts w:cs="Arial"/>
              </w:rPr>
              <w:t xml:space="preserve"> – 360</w:t>
            </w:r>
            <w:r>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hideMark/>
          </w:tcPr>
          <w:p w14:paraId="547ACEC0"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65A8660"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9E1D68F" w14:textId="77777777" w:rsidR="00B3234F" w:rsidRDefault="00B3234F" w:rsidP="004C7013">
            <w:pPr>
              <w:pStyle w:val="TAL"/>
            </w:pPr>
            <w:r>
              <w:t>This is not applicable to IAB-DU and IAB-MT operating in Band n</w:t>
            </w:r>
            <w:r>
              <w:rPr>
                <w:lang w:eastAsia="zh-CN"/>
              </w:rPr>
              <w:t>77</w:t>
            </w:r>
            <w:r>
              <w:t xml:space="preserve"> or n78.</w:t>
            </w:r>
          </w:p>
        </w:tc>
      </w:tr>
      <w:tr w:rsidR="00B3234F" w:rsidRPr="00AB3358" w14:paraId="3BEE331A"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040AACF9" w14:textId="77777777" w:rsidR="00B3234F" w:rsidRDefault="00B3234F" w:rsidP="004C7013">
            <w:pPr>
              <w:pStyle w:val="TAL"/>
              <w:rPr>
                <w:rFonts w:cs="Arial"/>
              </w:rPr>
            </w:pPr>
            <w:r>
              <w:rPr>
                <w:rFonts w:cs="Arial"/>
              </w:rPr>
              <w:t xml:space="preserve">E-UTRA Band </w:t>
            </w:r>
            <w:r>
              <w:rPr>
                <w:rFonts w:cs="Arial"/>
                <w:lang w:eastAsia="zh-CN"/>
              </w:rPr>
              <w:t>43</w:t>
            </w:r>
          </w:p>
        </w:tc>
        <w:tc>
          <w:tcPr>
            <w:tcW w:w="1700" w:type="dxa"/>
            <w:tcBorders>
              <w:top w:val="single" w:sz="2" w:space="0" w:color="auto"/>
              <w:left w:val="single" w:sz="2" w:space="0" w:color="auto"/>
              <w:bottom w:val="single" w:sz="2" w:space="0" w:color="auto"/>
              <w:right w:val="single" w:sz="2" w:space="0" w:color="auto"/>
            </w:tcBorders>
            <w:hideMark/>
          </w:tcPr>
          <w:p w14:paraId="289A82A2" w14:textId="77777777" w:rsidR="00B3234F" w:rsidRDefault="00B3234F" w:rsidP="004C7013">
            <w:pPr>
              <w:pStyle w:val="TAC"/>
            </w:pPr>
            <w:r>
              <w:rPr>
                <w:rFonts w:cs="Arial"/>
                <w:lang w:eastAsia="zh-CN"/>
              </w:rPr>
              <w:t>3600</w:t>
            </w:r>
            <w:r>
              <w:rPr>
                <w:rFonts w:cs="Arial"/>
              </w:rPr>
              <w:t xml:space="preserve"> – 380</w:t>
            </w:r>
            <w:r>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hideMark/>
          </w:tcPr>
          <w:p w14:paraId="4A9240D7"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7CE5697"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1DCBA91" w14:textId="77777777" w:rsidR="00B3234F" w:rsidRDefault="00B3234F" w:rsidP="004C7013">
            <w:pPr>
              <w:pStyle w:val="TAL"/>
            </w:pPr>
            <w:r>
              <w:t>This is not applicable to IAB-DU and IAB-MT operating in Band n</w:t>
            </w:r>
            <w:r>
              <w:rPr>
                <w:lang w:eastAsia="zh-CN"/>
              </w:rPr>
              <w:t>77</w:t>
            </w:r>
            <w:r>
              <w:t xml:space="preserve"> or n78.</w:t>
            </w:r>
          </w:p>
        </w:tc>
      </w:tr>
      <w:tr w:rsidR="00B3234F" w:rsidRPr="00AB3358" w14:paraId="45F867FE"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3C2B51F9" w14:textId="77777777" w:rsidR="00B3234F" w:rsidRDefault="00B3234F" w:rsidP="004C7013">
            <w:pPr>
              <w:pStyle w:val="TAL"/>
              <w:rPr>
                <w:rFonts w:cs="Arial"/>
              </w:rPr>
            </w:pPr>
            <w:r>
              <w:rPr>
                <w:rFonts w:cs="Arial"/>
              </w:rPr>
              <w:t>E-UTRA Band 44</w:t>
            </w:r>
          </w:p>
        </w:tc>
        <w:tc>
          <w:tcPr>
            <w:tcW w:w="1700" w:type="dxa"/>
            <w:tcBorders>
              <w:top w:val="single" w:sz="2" w:space="0" w:color="auto"/>
              <w:left w:val="single" w:sz="2" w:space="0" w:color="auto"/>
              <w:bottom w:val="single" w:sz="2" w:space="0" w:color="auto"/>
              <w:right w:val="single" w:sz="2" w:space="0" w:color="auto"/>
            </w:tcBorders>
            <w:hideMark/>
          </w:tcPr>
          <w:p w14:paraId="64F49C04" w14:textId="77777777" w:rsidR="00B3234F" w:rsidRDefault="00B3234F" w:rsidP="004C7013">
            <w:pPr>
              <w:pStyle w:val="TAC"/>
            </w:pPr>
            <w:r>
              <w:rPr>
                <w:rFonts w:cs="Arial"/>
                <w:lang w:eastAsia="zh-CN"/>
              </w:rPr>
              <w:t>703</w:t>
            </w:r>
            <w:r>
              <w:rPr>
                <w:rFonts w:cs="Arial"/>
              </w:rPr>
              <w:t xml:space="preserve"> – 80</w:t>
            </w:r>
            <w:r>
              <w:rPr>
                <w:rFonts w:cs="Arial"/>
                <w:lang w:eastAsia="zh-CN"/>
              </w:rPr>
              <w:t>3 MHz</w:t>
            </w:r>
          </w:p>
        </w:tc>
        <w:tc>
          <w:tcPr>
            <w:tcW w:w="851" w:type="dxa"/>
            <w:tcBorders>
              <w:top w:val="single" w:sz="2" w:space="0" w:color="auto"/>
              <w:left w:val="single" w:sz="2" w:space="0" w:color="auto"/>
              <w:bottom w:val="single" w:sz="2" w:space="0" w:color="auto"/>
              <w:right w:val="single" w:sz="2" w:space="0" w:color="auto"/>
            </w:tcBorders>
            <w:hideMark/>
          </w:tcPr>
          <w:p w14:paraId="17122823"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E9A82A9"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78934CDB" w14:textId="77777777" w:rsidR="00B3234F" w:rsidRDefault="00B3234F" w:rsidP="004C7013">
            <w:pPr>
              <w:pStyle w:val="TAL"/>
            </w:pPr>
          </w:p>
        </w:tc>
      </w:tr>
      <w:tr w:rsidR="00B3234F" w14:paraId="5021EA35"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65BA4D9E" w14:textId="77777777" w:rsidR="00B3234F" w:rsidRDefault="00B3234F" w:rsidP="004C7013">
            <w:pPr>
              <w:pStyle w:val="TAL"/>
              <w:rPr>
                <w:rFonts w:cs="Arial"/>
              </w:rPr>
            </w:pPr>
            <w:r>
              <w:rPr>
                <w:rFonts w:cs="Arial"/>
                <w:szCs w:val="18"/>
              </w:rPr>
              <w:t>E-UTRA Band 4</w:t>
            </w:r>
            <w:r>
              <w:rPr>
                <w:rFonts w:cs="Arial"/>
                <w:szCs w:val="18"/>
                <w:lang w:eastAsia="zh-CN"/>
              </w:rPr>
              <w:t>5</w:t>
            </w:r>
          </w:p>
        </w:tc>
        <w:tc>
          <w:tcPr>
            <w:tcW w:w="1700" w:type="dxa"/>
            <w:tcBorders>
              <w:top w:val="single" w:sz="2" w:space="0" w:color="auto"/>
              <w:left w:val="single" w:sz="2" w:space="0" w:color="auto"/>
              <w:bottom w:val="single" w:sz="2" w:space="0" w:color="auto"/>
              <w:right w:val="single" w:sz="2" w:space="0" w:color="auto"/>
            </w:tcBorders>
            <w:hideMark/>
          </w:tcPr>
          <w:p w14:paraId="37409824" w14:textId="77777777" w:rsidR="00B3234F" w:rsidRDefault="00B3234F" w:rsidP="004C7013">
            <w:pPr>
              <w:pStyle w:val="TAC"/>
            </w:pPr>
            <w:r>
              <w:rPr>
                <w:rFonts w:cs="Arial"/>
                <w:szCs w:val="18"/>
                <w:lang w:eastAsia="zh-CN"/>
              </w:rPr>
              <w:t>1447</w:t>
            </w:r>
            <w:r>
              <w:rPr>
                <w:rFonts w:cs="Arial"/>
                <w:szCs w:val="18"/>
              </w:rPr>
              <w:t xml:space="preserve"> – </w:t>
            </w:r>
            <w:r>
              <w:rPr>
                <w:rFonts w:cs="Arial"/>
                <w:szCs w:val="18"/>
                <w:lang w:eastAsia="zh-CN"/>
              </w:rPr>
              <w:t>1467 MHz</w:t>
            </w:r>
          </w:p>
        </w:tc>
        <w:tc>
          <w:tcPr>
            <w:tcW w:w="851" w:type="dxa"/>
            <w:tcBorders>
              <w:top w:val="single" w:sz="2" w:space="0" w:color="auto"/>
              <w:left w:val="single" w:sz="2" w:space="0" w:color="auto"/>
              <w:bottom w:val="single" w:sz="2" w:space="0" w:color="auto"/>
              <w:right w:val="single" w:sz="2" w:space="0" w:color="auto"/>
            </w:tcBorders>
            <w:hideMark/>
          </w:tcPr>
          <w:p w14:paraId="44196C94" w14:textId="77777777" w:rsidR="00B3234F" w:rsidRDefault="00B3234F" w:rsidP="004C7013">
            <w:pPr>
              <w:pStyle w:val="TAC"/>
            </w:pPr>
            <w:r>
              <w:rPr>
                <w:rFonts w:cs="Arial"/>
                <w:szCs w:val="18"/>
              </w:rPr>
              <w:t>-52 dBm</w:t>
            </w:r>
          </w:p>
        </w:tc>
        <w:tc>
          <w:tcPr>
            <w:tcW w:w="1417" w:type="dxa"/>
            <w:tcBorders>
              <w:top w:val="single" w:sz="2" w:space="0" w:color="auto"/>
              <w:left w:val="single" w:sz="2" w:space="0" w:color="auto"/>
              <w:bottom w:val="single" w:sz="2" w:space="0" w:color="auto"/>
              <w:right w:val="single" w:sz="2" w:space="0" w:color="auto"/>
            </w:tcBorders>
            <w:hideMark/>
          </w:tcPr>
          <w:p w14:paraId="1E6738E4" w14:textId="77777777" w:rsidR="00B3234F" w:rsidRDefault="00B3234F" w:rsidP="004C7013">
            <w:pPr>
              <w:pStyle w:val="TAC"/>
            </w:pPr>
            <w:r>
              <w:rPr>
                <w:rFonts w:cs="Arial"/>
                <w:szCs w:val="18"/>
              </w:rPr>
              <w:t>1 MHz</w:t>
            </w:r>
          </w:p>
        </w:tc>
        <w:tc>
          <w:tcPr>
            <w:tcW w:w="4421" w:type="dxa"/>
            <w:tcBorders>
              <w:top w:val="single" w:sz="2" w:space="0" w:color="auto"/>
              <w:left w:val="single" w:sz="2" w:space="0" w:color="auto"/>
              <w:bottom w:val="single" w:sz="2" w:space="0" w:color="auto"/>
              <w:right w:val="single" w:sz="2" w:space="0" w:color="auto"/>
            </w:tcBorders>
          </w:tcPr>
          <w:p w14:paraId="78FE5579" w14:textId="77777777" w:rsidR="00B3234F" w:rsidRDefault="00B3234F" w:rsidP="004C7013">
            <w:pPr>
              <w:pStyle w:val="TAL"/>
            </w:pPr>
          </w:p>
        </w:tc>
      </w:tr>
      <w:tr w:rsidR="005408A0" w14:paraId="68D239B3"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4022D8C8" w14:textId="00F2523A" w:rsidR="005408A0" w:rsidRDefault="005408A0" w:rsidP="005408A0">
            <w:pPr>
              <w:pStyle w:val="TAL"/>
              <w:rPr>
                <w:rFonts w:cs="Arial"/>
              </w:rPr>
            </w:pPr>
            <w:r>
              <w:rPr>
                <w:rFonts w:cs="Arial"/>
              </w:rPr>
              <w:t>E-UTRA Band 4</w:t>
            </w:r>
            <w:r>
              <w:rPr>
                <w:rFonts w:cs="Arial"/>
                <w:lang w:eastAsia="zh-CN"/>
              </w:rPr>
              <w:t>6 or NR Band n46</w:t>
            </w:r>
          </w:p>
        </w:tc>
        <w:tc>
          <w:tcPr>
            <w:tcW w:w="1700" w:type="dxa"/>
            <w:tcBorders>
              <w:top w:val="single" w:sz="2" w:space="0" w:color="auto"/>
              <w:left w:val="single" w:sz="2" w:space="0" w:color="auto"/>
              <w:bottom w:val="single" w:sz="2" w:space="0" w:color="auto"/>
              <w:right w:val="single" w:sz="2" w:space="0" w:color="auto"/>
            </w:tcBorders>
            <w:hideMark/>
          </w:tcPr>
          <w:p w14:paraId="13E34F38" w14:textId="6F3E540A" w:rsidR="005408A0" w:rsidRDefault="005408A0" w:rsidP="005408A0">
            <w:pPr>
              <w:pStyle w:val="TAC"/>
            </w:pPr>
            <w:r>
              <w:rPr>
                <w:rFonts w:cs="Arial"/>
                <w:lang w:eastAsia="zh-CN"/>
              </w:rPr>
              <w:t>5150</w:t>
            </w:r>
            <w:r>
              <w:rPr>
                <w:rFonts w:cs="Arial"/>
              </w:rPr>
              <w:t xml:space="preserve"> – </w:t>
            </w:r>
            <w:r>
              <w:rPr>
                <w:rFonts w:cs="Arial"/>
                <w:lang w:eastAsia="zh-CN"/>
              </w:rPr>
              <w:t>5925 MHz</w:t>
            </w:r>
          </w:p>
        </w:tc>
        <w:tc>
          <w:tcPr>
            <w:tcW w:w="851" w:type="dxa"/>
            <w:tcBorders>
              <w:top w:val="single" w:sz="2" w:space="0" w:color="auto"/>
              <w:left w:val="single" w:sz="2" w:space="0" w:color="auto"/>
              <w:bottom w:val="single" w:sz="2" w:space="0" w:color="auto"/>
              <w:right w:val="single" w:sz="2" w:space="0" w:color="auto"/>
            </w:tcBorders>
            <w:hideMark/>
          </w:tcPr>
          <w:p w14:paraId="1262D3AA" w14:textId="1A176A58" w:rsidR="005408A0" w:rsidRDefault="005408A0" w:rsidP="005408A0">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45EDCB3" w14:textId="265FFDA6" w:rsidR="005408A0" w:rsidRDefault="005408A0" w:rsidP="005408A0">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645A4DA" w14:textId="77777777" w:rsidR="005408A0" w:rsidRDefault="005408A0" w:rsidP="005408A0">
            <w:pPr>
              <w:pStyle w:val="TAL"/>
            </w:pPr>
          </w:p>
        </w:tc>
      </w:tr>
      <w:tr w:rsidR="00B3234F" w14:paraId="32195060"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63FC87A1" w14:textId="77777777" w:rsidR="00B3234F" w:rsidRDefault="00B3234F" w:rsidP="004C7013">
            <w:pPr>
              <w:pStyle w:val="TAL"/>
              <w:rPr>
                <w:rFonts w:cs="Arial"/>
              </w:rPr>
            </w:pPr>
            <w:r>
              <w:rPr>
                <w:rFonts w:cs="Arial"/>
              </w:rPr>
              <w:t>E-UTRA Band 4</w:t>
            </w:r>
            <w:r>
              <w:rPr>
                <w:rFonts w:cs="Arial"/>
                <w:lang w:eastAsia="zh-CN"/>
              </w:rPr>
              <w:t>7</w:t>
            </w:r>
          </w:p>
        </w:tc>
        <w:tc>
          <w:tcPr>
            <w:tcW w:w="1700" w:type="dxa"/>
            <w:tcBorders>
              <w:top w:val="single" w:sz="2" w:space="0" w:color="auto"/>
              <w:left w:val="single" w:sz="2" w:space="0" w:color="auto"/>
              <w:bottom w:val="single" w:sz="2" w:space="0" w:color="auto"/>
              <w:right w:val="single" w:sz="2" w:space="0" w:color="auto"/>
            </w:tcBorders>
            <w:hideMark/>
          </w:tcPr>
          <w:p w14:paraId="69EC1223" w14:textId="77777777" w:rsidR="00B3234F" w:rsidRDefault="00B3234F" w:rsidP="004C7013">
            <w:pPr>
              <w:pStyle w:val="TAC"/>
            </w:pPr>
            <w:r>
              <w:rPr>
                <w:rFonts w:cs="Arial"/>
                <w:lang w:eastAsia="zh-CN"/>
              </w:rPr>
              <w:t>5855</w:t>
            </w:r>
            <w:r>
              <w:rPr>
                <w:rFonts w:cs="Arial"/>
              </w:rPr>
              <w:t xml:space="preserve"> – </w:t>
            </w:r>
            <w:r>
              <w:rPr>
                <w:rFonts w:cs="Arial"/>
                <w:lang w:eastAsia="zh-CN"/>
              </w:rPr>
              <w:t>5925 MHz</w:t>
            </w:r>
          </w:p>
        </w:tc>
        <w:tc>
          <w:tcPr>
            <w:tcW w:w="851" w:type="dxa"/>
            <w:tcBorders>
              <w:top w:val="single" w:sz="2" w:space="0" w:color="auto"/>
              <w:left w:val="single" w:sz="2" w:space="0" w:color="auto"/>
              <w:bottom w:val="single" w:sz="2" w:space="0" w:color="auto"/>
              <w:right w:val="single" w:sz="2" w:space="0" w:color="auto"/>
            </w:tcBorders>
            <w:hideMark/>
          </w:tcPr>
          <w:p w14:paraId="2080C313"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6C87B22"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42888EA" w14:textId="77777777" w:rsidR="00B3234F" w:rsidRDefault="00B3234F" w:rsidP="004C7013">
            <w:pPr>
              <w:pStyle w:val="TAL"/>
            </w:pPr>
          </w:p>
        </w:tc>
      </w:tr>
      <w:tr w:rsidR="00B3234F" w:rsidRPr="00AB3358" w14:paraId="3CACAA6A"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102D44C6" w14:textId="77777777" w:rsidR="00B3234F" w:rsidRDefault="00B3234F" w:rsidP="004C7013">
            <w:pPr>
              <w:pStyle w:val="TAL"/>
              <w:rPr>
                <w:rFonts w:cs="Arial"/>
              </w:rPr>
            </w:pPr>
            <w:r>
              <w:rPr>
                <w:rFonts w:cs="Arial"/>
                <w:lang w:eastAsia="ja-JP"/>
              </w:rPr>
              <w:t xml:space="preserve">E-UTRA Band </w:t>
            </w:r>
            <w:r>
              <w:rPr>
                <w:rFonts w:cs="Arial"/>
                <w:lang w:eastAsia="zh-CN"/>
              </w:rPr>
              <w:t>48 or NR Band n48</w:t>
            </w:r>
          </w:p>
        </w:tc>
        <w:tc>
          <w:tcPr>
            <w:tcW w:w="1700" w:type="dxa"/>
            <w:tcBorders>
              <w:top w:val="single" w:sz="2" w:space="0" w:color="auto"/>
              <w:left w:val="single" w:sz="2" w:space="0" w:color="auto"/>
              <w:bottom w:val="single" w:sz="2" w:space="0" w:color="auto"/>
              <w:right w:val="single" w:sz="2" w:space="0" w:color="auto"/>
            </w:tcBorders>
            <w:hideMark/>
          </w:tcPr>
          <w:p w14:paraId="33B427DD" w14:textId="77777777" w:rsidR="00B3234F" w:rsidRDefault="00B3234F" w:rsidP="004C7013">
            <w:pPr>
              <w:pStyle w:val="TAC"/>
            </w:pPr>
            <w:r>
              <w:rPr>
                <w:rFonts w:cs="Arial"/>
                <w:lang w:eastAsia="zh-CN"/>
              </w:rPr>
              <w:t>3550</w:t>
            </w:r>
            <w:r>
              <w:rPr>
                <w:rFonts w:cs="Arial"/>
                <w:lang w:eastAsia="ja-JP"/>
              </w:rPr>
              <w:t xml:space="preserve"> – </w:t>
            </w:r>
            <w:r>
              <w:rPr>
                <w:rFonts w:cs="Arial"/>
                <w:lang w:eastAsia="zh-CN"/>
              </w:rPr>
              <w:t>3700 MHz</w:t>
            </w:r>
          </w:p>
        </w:tc>
        <w:tc>
          <w:tcPr>
            <w:tcW w:w="851" w:type="dxa"/>
            <w:tcBorders>
              <w:top w:val="single" w:sz="2" w:space="0" w:color="auto"/>
              <w:left w:val="single" w:sz="2" w:space="0" w:color="auto"/>
              <w:bottom w:val="single" w:sz="2" w:space="0" w:color="auto"/>
              <w:right w:val="single" w:sz="2" w:space="0" w:color="auto"/>
            </w:tcBorders>
            <w:hideMark/>
          </w:tcPr>
          <w:p w14:paraId="216A0B26" w14:textId="77777777" w:rsidR="00B3234F" w:rsidRDefault="00B3234F" w:rsidP="004C7013">
            <w:pPr>
              <w:pStyle w:val="TAC"/>
            </w:pPr>
            <w:r>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hideMark/>
          </w:tcPr>
          <w:p w14:paraId="7C3A7DAE" w14:textId="77777777" w:rsidR="00B3234F" w:rsidRDefault="00B3234F" w:rsidP="004C7013">
            <w:pPr>
              <w:pStyle w:val="TAC"/>
            </w:pPr>
            <w:r>
              <w:rPr>
                <w:rFonts w:cs="Arial"/>
                <w:lang w:eastAsia="ja-JP"/>
              </w:rPr>
              <w:t>1 MHz</w:t>
            </w:r>
          </w:p>
        </w:tc>
        <w:tc>
          <w:tcPr>
            <w:tcW w:w="4421" w:type="dxa"/>
            <w:tcBorders>
              <w:top w:val="single" w:sz="2" w:space="0" w:color="auto"/>
              <w:left w:val="single" w:sz="2" w:space="0" w:color="auto"/>
              <w:bottom w:val="single" w:sz="2" w:space="0" w:color="auto"/>
              <w:right w:val="single" w:sz="2" w:space="0" w:color="auto"/>
            </w:tcBorders>
            <w:hideMark/>
          </w:tcPr>
          <w:p w14:paraId="6AF463FC" w14:textId="77777777" w:rsidR="00B3234F" w:rsidRDefault="00B3234F" w:rsidP="004C7013">
            <w:pPr>
              <w:pStyle w:val="TAL"/>
            </w:pPr>
            <w:r>
              <w:t>This is not applicable to IAB-DU and IAB-MT operating in Band n</w:t>
            </w:r>
            <w:r>
              <w:rPr>
                <w:lang w:eastAsia="zh-CN"/>
              </w:rPr>
              <w:t>77</w:t>
            </w:r>
            <w:r>
              <w:t xml:space="preserve"> or n78.</w:t>
            </w:r>
          </w:p>
        </w:tc>
      </w:tr>
      <w:tr w:rsidR="00B3234F" w:rsidRPr="00AB3358" w14:paraId="6EE7FD3B"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471285B1" w14:textId="77777777" w:rsidR="00B3234F" w:rsidRDefault="00B3234F" w:rsidP="004C7013">
            <w:pPr>
              <w:pStyle w:val="TAL"/>
              <w:rPr>
                <w:rFonts w:cs="Arial"/>
              </w:rPr>
            </w:pPr>
            <w:r>
              <w:rPr>
                <w:rFonts w:cs="Arial"/>
              </w:rPr>
              <w:t xml:space="preserve">E-UTRA Band 50 or NR band n50 </w:t>
            </w:r>
          </w:p>
        </w:tc>
        <w:tc>
          <w:tcPr>
            <w:tcW w:w="1700" w:type="dxa"/>
            <w:tcBorders>
              <w:top w:val="single" w:sz="2" w:space="0" w:color="auto"/>
              <w:left w:val="single" w:sz="2" w:space="0" w:color="auto"/>
              <w:bottom w:val="single" w:sz="2" w:space="0" w:color="auto"/>
              <w:right w:val="single" w:sz="2" w:space="0" w:color="auto"/>
            </w:tcBorders>
            <w:hideMark/>
          </w:tcPr>
          <w:p w14:paraId="2C9FA155" w14:textId="77777777" w:rsidR="00B3234F" w:rsidRDefault="00B3234F" w:rsidP="004C7013">
            <w:pPr>
              <w:pStyle w:val="TAC"/>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hideMark/>
          </w:tcPr>
          <w:p w14:paraId="02FCFF0B"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ED0EF36"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075B685" w14:textId="77777777" w:rsidR="00B3234F" w:rsidRDefault="00B3234F" w:rsidP="004C7013">
            <w:pPr>
              <w:pStyle w:val="TAL"/>
            </w:pPr>
          </w:p>
        </w:tc>
      </w:tr>
      <w:tr w:rsidR="00B3234F" w:rsidRPr="00AB3358" w14:paraId="423F4C00"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54EAB672" w14:textId="77777777" w:rsidR="00B3234F" w:rsidRDefault="00B3234F" w:rsidP="004C7013">
            <w:pPr>
              <w:pStyle w:val="TAL"/>
              <w:rPr>
                <w:rFonts w:cs="Arial"/>
              </w:rPr>
            </w:pPr>
            <w:r>
              <w:rPr>
                <w:rFonts w:cs="Arial"/>
              </w:rPr>
              <w:t>E-UTRA Band 51 or NR Band n51</w:t>
            </w:r>
          </w:p>
        </w:tc>
        <w:tc>
          <w:tcPr>
            <w:tcW w:w="1700" w:type="dxa"/>
            <w:tcBorders>
              <w:top w:val="single" w:sz="2" w:space="0" w:color="auto"/>
              <w:left w:val="single" w:sz="2" w:space="0" w:color="auto"/>
              <w:bottom w:val="single" w:sz="2" w:space="0" w:color="auto"/>
              <w:right w:val="single" w:sz="2" w:space="0" w:color="auto"/>
            </w:tcBorders>
            <w:hideMark/>
          </w:tcPr>
          <w:p w14:paraId="4B66108D" w14:textId="77777777" w:rsidR="00B3234F" w:rsidRDefault="00B3234F" w:rsidP="004C7013">
            <w:pPr>
              <w:pStyle w:val="TAC"/>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hideMark/>
          </w:tcPr>
          <w:p w14:paraId="2595C299" w14:textId="77777777" w:rsidR="00B3234F" w:rsidRDefault="00B3234F" w:rsidP="004C7013">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D572518" w14:textId="77777777" w:rsidR="00B3234F" w:rsidRDefault="00B3234F" w:rsidP="004C7013">
            <w:pPr>
              <w:pStyle w:val="TAC"/>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3370ECB" w14:textId="77777777" w:rsidR="00B3234F" w:rsidRDefault="00B3234F" w:rsidP="004C7013">
            <w:pPr>
              <w:pStyle w:val="TAL"/>
            </w:pPr>
          </w:p>
        </w:tc>
      </w:tr>
      <w:tr w:rsidR="00B3234F" w:rsidRPr="00AB3358" w14:paraId="3A8199A3" w14:textId="77777777" w:rsidTr="004C7013">
        <w:trPr>
          <w:cantSplit/>
          <w:trHeight w:val="113"/>
          <w:jc w:val="center"/>
        </w:trPr>
        <w:tc>
          <w:tcPr>
            <w:tcW w:w="1301" w:type="dxa"/>
            <w:tcBorders>
              <w:top w:val="single" w:sz="2" w:space="0" w:color="auto"/>
              <w:left w:val="single" w:sz="2" w:space="0" w:color="auto"/>
              <w:bottom w:val="single" w:sz="4" w:space="0" w:color="auto"/>
              <w:right w:val="single" w:sz="2" w:space="0" w:color="auto"/>
            </w:tcBorders>
            <w:hideMark/>
          </w:tcPr>
          <w:p w14:paraId="11537611" w14:textId="77777777" w:rsidR="00B3234F" w:rsidRDefault="00B3234F" w:rsidP="004C7013">
            <w:pPr>
              <w:pStyle w:val="TAL"/>
              <w:rPr>
                <w:rFonts w:cs="Arial"/>
              </w:rPr>
            </w:pPr>
            <w:r>
              <w:rPr>
                <w:rFonts w:cs="Arial"/>
              </w:rPr>
              <w:lastRenderedPageBreak/>
              <w:t xml:space="preserve">E-UTRA Band </w:t>
            </w:r>
            <w:r>
              <w:rPr>
                <w:rFonts w:cs="Arial"/>
                <w:lang w:eastAsia="zh-CN"/>
              </w:rPr>
              <w:t>53 or NR Band n53</w:t>
            </w:r>
          </w:p>
        </w:tc>
        <w:tc>
          <w:tcPr>
            <w:tcW w:w="1700" w:type="dxa"/>
            <w:tcBorders>
              <w:top w:val="single" w:sz="2" w:space="0" w:color="auto"/>
              <w:left w:val="single" w:sz="2" w:space="0" w:color="auto"/>
              <w:bottom w:val="single" w:sz="2" w:space="0" w:color="auto"/>
              <w:right w:val="single" w:sz="2" w:space="0" w:color="auto"/>
            </w:tcBorders>
            <w:hideMark/>
          </w:tcPr>
          <w:p w14:paraId="49E52A64" w14:textId="77777777" w:rsidR="00B3234F" w:rsidRDefault="00B3234F" w:rsidP="004C7013">
            <w:pPr>
              <w:pStyle w:val="TAC"/>
              <w:rPr>
                <w:rFonts w:cs="Arial"/>
              </w:rPr>
            </w:pPr>
            <w:r>
              <w:rPr>
                <w:rFonts w:cs="Arial"/>
                <w:lang w:eastAsia="zh-CN"/>
              </w:rPr>
              <w:t>2483.5</w:t>
            </w:r>
            <w:r>
              <w:rPr>
                <w:rFonts w:cs="Arial"/>
              </w:rPr>
              <w:t xml:space="preserve"> - 2495</w:t>
            </w:r>
            <w:r>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hideMark/>
          </w:tcPr>
          <w:p w14:paraId="77980B5A"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EF87169"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C238A68" w14:textId="77777777" w:rsidR="00B3234F" w:rsidRDefault="00B3234F" w:rsidP="004C7013">
            <w:pPr>
              <w:pStyle w:val="TAL"/>
            </w:pPr>
            <w:r>
              <w:t>This is not applicable to IAB-DU and IAB-MT operating in Band n</w:t>
            </w:r>
            <w:r>
              <w:rPr>
                <w:lang w:eastAsia="zh-CN"/>
              </w:rPr>
              <w:t>41</w:t>
            </w:r>
            <w:r>
              <w:t>.</w:t>
            </w:r>
          </w:p>
        </w:tc>
      </w:tr>
      <w:tr w:rsidR="004C7013" w:rsidRPr="00AB3358" w14:paraId="7612C14C"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18EFE499" w14:textId="77777777" w:rsidR="004C7013" w:rsidRDefault="004C7013" w:rsidP="004C7013">
            <w:pPr>
              <w:pStyle w:val="TAL"/>
              <w:rPr>
                <w:rFonts w:cs="Arial"/>
              </w:rPr>
            </w:pPr>
            <w:r>
              <w:rPr>
                <w:rFonts w:cs="Arial"/>
                <w:lang w:eastAsia="ja-JP"/>
              </w:rPr>
              <w:t>E-UTRA Band 65</w:t>
            </w:r>
            <w:r>
              <w:rPr>
                <w:rFonts w:cs="Arial"/>
              </w:rPr>
              <w:t xml:space="preserve"> or NR Band n65</w:t>
            </w:r>
          </w:p>
        </w:tc>
        <w:tc>
          <w:tcPr>
            <w:tcW w:w="1700" w:type="dxa"/>
            <w:tcBorders>
              <w:top w:val="single" w:sz="2" w:space="0" w:color="auto"/>
              <w:left w:val="single" w:sz="4" w:space="0" w:color="auto"/>
              <w:bottom w:val="single" w:sz="2" w:space="0" w:color="auto"/>
              <w:right w:val="single" w:sz="2" w:space="0" w:color="auto"/>
            </w:tcBorders>
            <w:hideMark/>
          </w:tcPr>
          <w:p w14:paraId="46218804" w14:textId="77777777" w:rsidR="004C7013" w:rsidRDefault="004C7013" w:rsidP="004C7013">
            <w:pPr>
              <w:pStyle w:val="TAC"/>
              <w:rPr>
                <w:rFonts w:cs="Arial"/>
              </w:rPr>
            </w:pPr>
            <w:r>
              <w:rPr>
                <w:rFonts w:cs="Arial"/>
              </w:rPr>
              <w:t>2110 – 2</w:t>
            </w:r>
            <w:r>
              <w:rPr>
                <w:rFonts w:cs="Arial"/>
                <w:lang w:eastAsia="ja-JP"/>
              </w:rPr>
              <w:t>20</w:t>
            </w:r>
            <w:r>
              <w:rPr>
                <w:rFonts w:cs="Arial"/>
              </w:rPr>
              <w:t>0 MHz</w:t>
            </w:r>
          </w:p>
        </w:tc>
        <w:tc>
          <w:tcPr>
            <w:tcW w:w="851" w:type="dxa"/>
            <w:tcBorders>
              <w:top w:val="single" w:sz="2" w:space="0" w:color="auto"/>
              <w:left w:val="single" w:sz="2" w:space="0" w:color="auto"/>
              <w:bottom w:val="single" w:sz="2" w:space="0" w:color="auto"/>
              <w:right w:val="single" w:sz="2" w:space="0" w:color="auto"/>
            </w:tcBorders>
            <w:hideMark/>
          </w:tcPr>
          <w:p w14:paraId="0F6BD168"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364D2EFD"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A108031" w14:textId="77777777" w:rsidR="004C7013" w:rsidRDefault="004C7013" w:rsidP="004C7013">
            <w:pPr>
              <w:pStyle w:val="TAL"/>
            </w:pPr>
          </w:p>
        </w:tc>
      </w:tr>
      <w:tr w:rsidR="004C7013" w:rsidRPr="00AB3358" w14:paraId="60C158E9"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488E7738"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1C808DDE" w14:textId="77777777" w:rsidR="004C7013" w:rsidRDefault="004C7013" w:rsidP="004C7013">
            <w:pPr>
              <w:pStyle w:val="TAC"/>
              <w:rPr>
                <w:rFonts w:cs="Arial"/>
              </w:rPr>
            </w:pPr>
            <w:r>
              <w:rPr>
                <w:rFonts w:cs="Arial"/>
              </w:rPr>
              <w:t xml:space="preserve">1920 – </w:t>
            </w:r>
            <w:r>
              <w:rPr>
                <w:rFonts w:cs="Arial"/>
                <w:lang w:eastAsia="ja-JP"/>
              </w:rPr>
              <w:t>2010</w:t>
            </w:r>
            <w:r>
              <w:rPr>
                <w:rFonts w:cs="Arial"/>
              </w:rPr>
              <w:t xml:space="preserve"> MHz</w:t>
            </w:r>
          </w:p>
        </w:tc>
        <w:tc>
          <w:tcPr>
            <w:tcW w:w="851" w:type="dxa"/>
            <w:tcBorders>
              <w:top w:val="single" w:sz="2" w:space="0" w:color="auto"/>
              <w:left w:val="single" w:sz="2" w:space="0" w:color="auto"/>
              <w:bottom w:val="single" w:sz="2" w:space="0" w:color="auto"/>
              <w:right w:val="single" w:sz="2" w:space="0" w:color="auto"/>
            </w:tcBorders>
            <w:hideMark/>
          </w:tcPr>
          <w:p w14:paraId="0ACF2E0E"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9268F99"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75FC97B" w14:textId="77777777" w:rsidR="004C7013" w:rsidRDefault="004C7013" w:rsidP="004C7013">
            <w:pPr>
              <w:pStyle w:val="TAL"/>
            </w:pPr>
          </w:p>
        </w:tc>
      </w:tr>
      <w:tr w:rsidR="004C7013" w:rsidRPr="00AB3358" w14:paraId="42334BE7"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747CCBB1" w14:textId="77777777" w:rsidR="004C7013" w:rsidRDefault="004C7013" w:rsidP="004C7013">
            <w:pPr>
              <w:pStyle w:val="TAL"/>
              <w:rPr>
                <w:rFonts w:cs="Arial"/>
              </w:rPr>
            </w:pPr>
            <w:r>
              <w:rPr>
                <w:rFonts w:cs="Arial"/>
              </w:rPr>
              <w:t>E-UTRA Band 66 or NR Band n66</w:t>
            </w:r>
          </w:p>
        </w:tc>
        <w:tc>
          <w:tcPr>
            <w:tcW w:w="1700" w:type="dxa"/>
            <w:tcBorders>
              <w:top w:val="single" w:sz="2" w:space="0" w:color="auto"/>
              <w:left w:val="single" w:sz="4" w:space="0" w:color="auto"/>
              <w:bottom w:val="single" w:sz="2" w:space="0" w:color="auto"/>
              <w:right w:val="single" w:sz="2" w:space="0" w:color="auto"/>
            </w:tcBorders>
            <w:hideMark/>
          </w:tcPr>
          <w:p w14:paraId="729F3876" w14:textId="77777777" w:rsidR="004C7013" w:rsidRDefault="004C7013" w:rsidP="004C7013">
            <w:pPr>
              <w:pStyle w:val="TAC"/>
              <w:rPr>
                <w:rFonts w:cs="Arial"/>
              </w:rPr>
            </w:pPr>
            <w:r>
              <w:rPr>
                <w:rFonts w:cs="Arial"/>
              </w:rPr>
              <w:t>2110 – 2200 MHz</w:t>
            </w:r>
          </w:p>
        </w:tc>
        <w:tc>
          <w:tcPr>
            <w:tcW w:w="851" w:type="dxa"/>
            <w:tcBorders>
              <w:top w:val="single" w:sz="2" w:space="0" w:color="auto"/>
              <w:left w:val="single" w:sz="2" w:space="0" w:color="auto"/>
              <w:bottom w:val="single" w:sz="2" w:space="0" w:color="auto"/>
              <w:right w:val="single" w:sz="2" w:space="0" w:color="auto"/>
            </w:tcBorders>
            <w:hideMark/>
          </w:tcPr>
          <w:p w14:paraId="61460E1C"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7984321"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754259A" w14:textId="77777777" w:rsidR="004C7013" w:rsidRDefault="004C7013" w:rsidP="004C7013">
            <w:pPr>
              <w:pStyle w:val="TAL"/>
            </w:pPr>
          </w:p>
        </w:tc>
      </w:tr>
      <w:tr w:rsidR="004C7013" w:rsidRPr="00AB3358" w14:paraId="21DA72F4"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44F3B748"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54CB213E" w14:textId="77777777" w:rsidR="004C7013" w:rsidRDefault="004C7013" w:rsidP="004C7013">
            <w:pPr>
              <w:pStyle w:val="TAC"/>
              <w:rPr>
                <w:rFonts w:cs="Arial"/>
              </w:rPr>
            </w:pPr>
            <w:r>
              <w:rPr>
                <w:rFonts w:cs="Arial"/>
              </w:rPr>
              <w:t>1710 – 1780 MHz</w:t>
            </w:r>
          </w:p>
        </w:tc>
        <w:tc>
          <w:tcPr>
            <w:tcW w:w="851" w:type="dxa"/>
            <w:tcBorders>
              <w:top w:val="single" w:sz="2" w:space="0" w:color="auto"/>
              <w:left w:val="single" w:sz="2" w:space="0" w:color="auto"/>
              <w:bottom w:val="single" w:sz="2" w:space="0" w:color="auto"/>
              <w:right w:val="single" w:sz="2" w:space="0" w:color="auto"/>
            </w:tcBorders>
            <w:hideMark/>
          </w:tcPr>
          <w:p w14:paraId="0FC72A6F"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6B38ECE"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17A74AB" w14:textId="77777777" w:rsidR="004C7013" w:rsidRDefault="004C7013" w:rsidP="004C7013">
            <w:pPr>
              <w:pStyle w:val="TAL"/>
            </w:pPr>
          </w:p>
        </w:tc>
      </w:tr>
      <w:tr w:rsidR="00B3234F" w:rsidRPr="00AB3358" w14:paraId="3ACB7C9C" w14:textId="77777777" w:rsidTr="004C7013">
        <w:trPr>
          <w:cantSplit/>
          <w:trHeight w:val="113"/>
          <w:jc w:val="center"/>
        </w:trPr>
        <w:tc>
          <w:tcPr>
            <w:tcW w:w="1301" w:type="dxa"/>
            <w:tcBorders>
              <w:top w:val="single" w:sz="4" w:space="0" w:color="auto"/>
              <w:left w:val="single" w:sz="2" w:space="0" w:color="auto"/>
              <w:bottom w:val="single" w:sz="4" w:space="0" w:color="auto"/>
              <w:right w:val="single" w:sz="2" w:space="0" w:color="auto"/>
            </w:tcBorders>
            <w:hideMark/>
          </w:tcPr>
          <w:p w14:paraId="5478C245" w14:textId="77777777" w:rsidR="00B3234F" w:rsidRDefault="00B3234F" w:rsidP="004C7013">
            <w:pPr>
              <w:pStyle w:val="TAL"/>
              <w:rPr>
                <w:rFonts w:cs="Arial"/>
              </w:rPr>
            </w:pPr>
            <w:r>
              <w:rPr>
                <w:rFonts w:cs="Arial"/>
              </w:rPr>
              <w:t>E-UTRA Band 67</w:t>
            </w:r>
          </w:p>
        </w:tc>
        <w:tc>
          <w:tcPr>
            <w:tcW w:w="1700" w:type="dxa"/>
            <w:tcBorders>
              <w:top w:val="single" w:sz="2" w:space="0" w:color="auto"/>
              <w:left w:val="single" w:sz="2" w:space="0" w:color="auto"/>
              <w:bottom w:val="single" w:sz="2" w:space="0" w:color="auto"/>
              <w:right w:val="single" w:sz="2" w:space="0" w:color="auto"/>
            </w:tcBorders>
            <w:hideMark/>
          </w:tcPr>
          <w:p w14:paraId="37C1C3C8" w14:textId="77777777" w:rsidR="00B3234F" w:rsidRDefault="00B3234F" w:rsidP="004C7013">
            <w:pPr>
              <w:pStyle w:val="TAC"/>
              <w:rPr>
                <w:rFonts w:cs="Arial"/>
              </w:rPr>
            </w:pPr>
            <w:r>
              <w:rPr>
                <w:rFonts w:cs="Arial"/>
                <w:lang w:eastAsia="zh-CN"/>
              </w:rPr>
              <w:t>738 – 758 MHz</w:t>
            </w:r>
          </w:p>
        </w:tc>
        <w:tc>
          <w:tcPr>
            <w:tcW w:w="851" w:type="dxa"/>
            <w:tcBorders>
              <w:top w:val="single" w:sz="2" w:space="0" w:color="auto"/>
              <w:left w:val="single" w:sz="2" w:space="0" w:color="auto"/>
              <w:bottom w:val="single" w:sz="2" w:space="0" w:color="auto"/>
              <w:right w:val="single" w:sz="2" w:space="0" w:color="auto"/>
            </w:tcBorders>
            <w:hideMark/>
          </w:tcPr>
          <w:p w14:paraId="1F80AD05"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267A58BB"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EAAD573" w14:textId="77777777" w:rsidR="00B3234F" w:rsidRDefault="00B3234F" w:rsidP="004C7013">
            <w:pPr>
              <w:pStyle w:val="TAL"/>
            </w:pPr>
          </w:p>
        </w:tc>
      </w:tr>
      <w:tr w:rsidR="004C7013" w:rsidRPr="00AB3358" w14:paraId="38A40A09"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2B7852BA" w14:textId="77777777" w:rsidR="004C7013" w:rsidRDefault="004C7013" w:rsidP="004C7013">
            <w:pPr>
              <w:pStyle w:val="TAL"/>
              <w:rPr>
                <w:rFonts w:cs="Arial"/>
              </w:rPr>
            </w:pPr>
            <w:r>
              <w:rPr>
                <w:rFonts w:cs="Arial"/>
              </w:rPr>
              <w:t>E-UTRA Band 68</w:t>
            </w:r>
          </w:p>
        </w:tc>
        <w:tc>
          <w:tcPr>
            <w:tcW w:w="1700" w:type="dxa"/>
            <w:tcBorders>
              <w:top w:val="single" w:sz="2" w:space="0" w:color="auto"/>
              <w:left w:val="single" w:sz="4" w:space="0" w:color="auto"/>
              <w:bottom w:val="single" w:sz="2" w:space="0" w:color="auto"/>
              <w:right w:val="single" w:sz="2" w:space="0" w:color="auto"/>
            </w:tcBorders>
            <w:hideMark/>
          </w:tcPr>
          <w:p w14:paraId="420A6C2F" w14:textId="77777777" w:rsidR="004C7013" w:rsidRDefault="004C7013" w:rsidP="004C7013">
            <w:pPr>
              <w:pStyle w:val="TAC"/>
              <w:rPr>
                <w:rFonts w:cs="Arial"/>
              </w:rPr>
            </w:pPr>
            <w:r>
              <w:rPr>
                <w:rFonts w:cs="Arial"/>
              </w:rPr>
              <w:t>753 -783 MHz</w:t>
            </w:r>
          </w:p>
        </w:tc>
        <w:tc>
          <w:tcPr>
            <w:tcW w:w="851" w:type="dxa"/>
            <w:tcBorders>
              <w:top w:val="single" w:sz="2" w:space="0" w:color="auto"/>
              <w:left w:val="single" w:sz="2" w:space="0" w:color="auto"/>
              <w:bottom w:val="single" w:sz="2" w:space="0" w:color="auto"/>
              <w:right w:val="single" w:sz="2" w:space="0" w:color="auto"/>
            </w:tcBorders>
            <w:hideMark/>
          </w:tcPr>
          <w:p w14:paraId="24E50CE9"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22D0537"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42DB5CC" w14:textId="77777777" w:rsidR="004C7013" w:rsidRDefault="004C7013" w:rsidP="004C7013">
            <w:pPr>
              <w:pStyle w:val="TAL"/>
            </w:pPr>
          </w:p>
        </w:tc>
      </w:tr>
      <w:tr w:rsidR="004C7013" w:rsidRPr="00AB3358" w14:paraId="5D7C5046"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0821CB39"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137DF5EB" w14:textId="77777777" w:rsidR="004C7013" w:rsidRDefault="004C7013" w:rsidP="004C7013">
            <w:pPr>
              <w:pStyle w:val="TAC"/>
              <w:rPr>
                <w:rFonts w:cs="Arial"/>
              </w:rPr>
            </w:pPr>
            <w:r>
              <w:rPr>
                <w:rFonts w:cs="Arial"/>
              </w:rPr>
              <w:t>698-728 MHz</w:t>
            </w:r>
          </w:p>
        </w:tc>
        <w:tc>
          <w:tcPr>
            <w:tcW w:w="851" w:type="dxa"/>
            <w:tcBorders>
              <w:top w:val="single" w:sz="2" w:space="0" w:color="auto"/>
              <w:left w:val="single" w:sz="2" w:space="0" w:color="auto"/>
              <w:bottom w:val="single" w:sz="2" w:space="0" w:color="auto"/>
              <w:right w:val="single" w:sz="2" w:space="0" w:color="auto"/>
            </w:tcBorders>
            <w:hideMark/>
          </w:tcPr>
          <w:p w14:paraId="624FF24A"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00EEA62"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74281DA" w14:textId="77777777" w:rsidR="004C7013" w:rsidRDefault="004C7013" w:rsidP="004C7013">
            <w:pPr>
              <w:pStyle w:val="TAL"/>
            </w:pPr>
          </w:p>
        </w:tc>
      </w:tr>
      <w:tr w:rsidR="00B3234F" w:rsidRPr="00AB3358" w14:paraId="05171D86" w14:textId="77777777" w:rsidTr="004C7013">
        <w:trPr>
          <w:cantSplit/>
          <w:trHeight w:val="113"/>
          <w:jc w:val="center"/>
        </w:trPr>
        <w:tc>
          <w:tcPr>
            <w:tcW w:w="1301" w:type="dxa"/>
            <w:tcBorders>
              <w:top w:val="single" w:sz="4" w:space="0" w:color="auto"/>
              <w:left w:val="single" w:sz="2" w:space="0" w:color="auto"/>
              <w:bottom w:val="single" w:sz="4" w:space="0" w:color="auto"/>
              <w:right w:val="single" w:sz="2" w:space="0" w:color="auto"/>
            </w:tcBorders>
            <w:hideMark/>
          </w:tcPr>
          <w:p w14:paraId="05208398" w14:textId="77777777" w:rsidR="00B3234F" w:rsidRDefault="00B3234F" w:rsidP="004C7013">
            <w:pPr>
              <w:pStyle w:val="TAL"/>
              <w:rPr>
                <w:rFonts w:cs="Arial"/>
              </w:rPr>
            </w:pPr>
            <w:r>
              <w:rPr>
                <w:rFonts w:cs="Arial"/>
              </w:rPr>
              <w:t>E-UTRA Band 69</w:t>
            </w:r>
          </w:p>
        </w:tc>
        <w:tc>
          <w:tcPr>
            <w:tcW w:w="1700" w:type="dxa"/>
            <w:tcBorders>
              <w:top w:val="single" w:sz="2" w:space="0" w:color="auto"/>
              <w:left w:val="single" w:sz="2" w:space="0" w:color="auto"/>
              <w:bottom w:val="single" w:sz="2" w:space="0" w:color="auto"/>
              <w:right w:val="single" w:sz="2" w:space="0" w:color="auto"/>
            </w:tcBorders>
            <w:hideMark/>
          </w:tcPr>
          <w:p w14:paraId="4B6522DA" w14:textId="77777777" w:rsidR="00B3234F" w:rsidRDefault="00B3234F" w:rsidP="004C7013">
            <w:pPr>
              <w:pStyle w:val="TAC"/>
              <w:rPr>
                <w:rFonts w:cs="Arial"/>
              </w:rPr>
            </w:pPr>
            <w:r>
              <w:rPr>
                <w:rFonts w:cs="Arial"/>
              </w:rPr>
              <w:t>2570 – 2620 MHz</w:t>
            </w:r>
          </w:p>
        </w:tc>
        <w:tc>
          <w:tcPr>
            <w:tcW w:w="851" w:type="dxa"/>
            <w:tcBorders>
              <w:top w:val="single" w:sz="2" w:space="0" w:color="auto"/>
              <w:left w:val="single" w:sz="2" w:space="0" w:color="auto"/>
              <w:bottom w:val="single" w:sz="2" w:space="0" w:color="auto"/>
              <w:right w:val="single" w:sz="2" w:space="0" w:color="auto"/>
            </w:tcBorders>
            <w:hideMark/>
          </w:tcPr>
          <w:p w14:paraId="01F6EDB9"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90A9497"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5F36284" w14:textId="77777777" w:rsidR="00B3234F" w:rsidRDefault="00B3234F" w:rsidP="004C7013">
            <w:pPr>
              <w:pStyle w:val="TAL"/>
            </w:pPr>
          </w:p>
        </w:tc>
      </w:tr>
      <w:tr w:rsidR="004C7013" w:rsidRPr="00AB3358" w14:paraId="236490AC"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62D460AA" w14:textId="77777777" w:rsidR="004C7013" w:rsidRDefault="004C7013" w:rsidP="004C7013">
            <w:pPr>
              <w:pStyle w:val="TAL"/>
              <w:rPr>
                <w:rFonts w:cs="Arial"/>
              </w:rPr>
            </w:pPr>
            <w:r>
              <w:rPr>
                <w:rFonts w:cs="Arial"/>
              </w:rPr>
              <w:t>E-UTRA Band 70 or NR Band n70</w:t>
            </w:r>
          </w:p>
        </w:tc>
        <w:tc>
          <w:tcPr>
            <w:tcW w:w="1700" w:type="dxa"/>
            <w:tcBorders>
              <w:top w:val="single" w:sz="2" w:space="0" w:color="auto"/>
              <w:left w:val="single" w:sz="4" w:space="0" w:color="auto"/>
              <w:bottom w:val="single" w:sz="2" w:space="0" w:color="auto"/>
              <w:right w:val="single" w:sz="2" w:space="0" w:color="auto"/>
            </w:tcBorders>
            <w:hideMark/>
          </w:tcPr>
          <w:p w14:paraId="088D4270" w14:textId="77777777" w:rsidR="004C7013" w:rsidRDefault="004C7013" w:rsidP="004C7013">
            <w:pPr>
              <w:pStyle w:val="TAC"/>
            </w:pPr>
            <w:r>
              <w:t>1995 – 2020 MHz</w:t>
            </w:r>
          </w:p>
        </w:tc>
        <w:tc>
          <w:tcPr>
            <w:tcW w:w="851" w:type="dxa"/>
            <w:tcBorders>
              <w:top w:val="single" w:sz="2" w:space="0" w:color="auto"/>
              <w:left w:val="single" w:sz="2" w:space="0" w:color="auto"/>
              <w:bottom w:val="single" w:sz="2" w:space="0" w:color="auto"/>
              <w:right w:val="single" w:sz="2" w:space="0" w:color="auto"/>
            </w:tcBorders>
            <w:hideMark/>
          </w:tcPr>
          <w:p w14:paraId="2E3A6CA6"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266EB5B"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15FCDBD" w14:textId="77777777" w:rsidR="004C7013" w:rsidRDefault="004C7013" w:rsidP="004C7013">
            <w:pPr>
              <w:pStyle w:val="TAL"/>
            </w:pPr>
          </w:p>
        </w:tc>
      </w:tr>
      <w:tr w:rsidR="004C7013" w:rsidRPr="00AB3358" w14:paraId="3A1966AE"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640ED51F"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281300C5" w14:textId="77777777" w:rsidR="004C7013" w:rsidRDefault="004C7013" w:rsidP="004C7013">
            <w:pPr>
              <w:pStyle w:val="TAC"/>
            </w:pPr>
            <w:r>
              <w:t>1695 – 1710 MHz</w:t>
            </w:r>
          </w:p>
        </w:tc>
        <w:tc>
          <w:tcPr>
            <w:tcW w:w="851" w:type="dxa"/>
            <w:tcBorders>
              <w:top w:val="single" w:sz="2" w:space="0" w:color="auto"/>
              <w:left w:val="single" w:sz="2" w:space="0" w:color="auto"/>
              <w:bottom w:val="single" w:sz="2" w:space="0" w:color="auto"/>
              <w:right w:val="single" w:sz="2" w:space="0" w:color="auto"/>
            </w:tcBorders>
            <w:hideMark/>
          </w:tcPr>
          <w:p w14:paraId="7C115EBA"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16C0B9E"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9068496" w14:textId="77777777" w:rsidR="004C7013" w:rsidRDefault="004C7013" w:rsidP="004C7013">
            <w:pPr>
              <w:pStyle w:val="TAL"/>
            </w:pPr>
          </w:p>
        </w:tc>
      </w:tr>
      <w:tr w:rsidR="004C7013" w:rsidRPr="00AB3358" w14:paraId="71A5C781"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7B84E22C" w14:textId="77777777" w:rsidR="004C7013" w:rsidRDefault="004C7013" w:rsidP="004C7013">
            <w:pPr>
              <w:pStyle w:val="TAL"/>
              <w:rPr>
                <w:rFonts w:cs="Arial"/>
              </w:rPr>
            </w:pPr>
            <w:r>
              <w:rPr>
                <w:rFonts w:cs="Arial"/>
              </w:rPr>
              <w:t>E-UTRA Band 71 or NR Band n71</w:t>
            </w:r>
          </w:p>
        </w:tc>
        <w:tc>
          <w:tcPr>
            <w:tcW w:w="1700" w:type="dxa"/>
            <w:tcBorders>
              <w:top w:val="single" w:sz="2" w:space="0" w:color="auto"/>
              <w:left w:val="single" w:sz="4" w:space="0" w:color="auto"/>
              <w:bottom w:val="single" w:sz="2" w:space="0" w:color="auto"/>
              <w:right w:val="single" w:sz="2" w:space="0" w:color="auto"/>
            </w:tcBorders>
            <w:hideMark/>
          </w:tcPr>
          <w:p w14:paraId="33E59E55" w14:textId="77777777" w:rsidR="004C7013" w:rsidRDefault="004C7013" w:rsidP="004C7013">
            <w:pPr>
              <w:pStyle w:val="TAC"/>
            </w:pPr>
            <w:r>
              <w:t>617 – 652 MHz</w:t>
            </w:r>
          </w:p>
        </w:tc>
        <w:tc>
          <w:tcPr>
            <w:tcW w:w="851" w:type="dxa"/>
            <w:tcBorders>
              <w:top w:val="single" w:sz="2" w:space="0" w:color="auto"/>
              <w:left w:val="single" w:sz="2" w:space="0" w:color="auto"/>
              <w:bottom w:val="single" w:sz="2" w:space="0" w:color="auto"/>
              <w:right w:val="single" w:sz="2" w:space="0" w:color="auto"/>
            </w:tcBorders>
            <w:hideMark/>
          </w:tcPr>
          <w:p w14:paraId="0AF7EF89"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64AD0746"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CFD0496" w14:textId="77777777" w:rsidR="004C7013" w:rsidRDefault="004C7013" w:rsidP="004C7013">
            <w:pPr>
              <w:pStyle w:val="TAL"/>
            </w:pPr>
          </w:p>
        </w:tc>
      </w:tr>
      <w:tr w:rsidR="004C7013" w:rsidRPr="00AB3358" w14:paraId="07FA8E7F"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7FE397F8"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594A0BE3" w14:textId="77777777" w:rsidR="004C7013" w:rsidRDefault="004C7013" w:rsidP="004C7013">
            <w:pPr>
              <w:pStyle w:val="TAC"/>
            </w:pPr>
            <w:r>
              <w:t>663 – 698 MHz</w:t>
            </w:r>
          </w:p>
        </w:tc>
        <w:tc>
          <w:tcPr>
            <w:tcW w:w="851" w:type="dxa"/>
            <w:tcBorders>
              <w:top w:val="single" w:sz="2" w:space="0" w:color="auto"/>
              <w:left w:val="single" w:sz="2" w:space="0" w:color="auto"/>
              <w:bottom w:val="single" w:sz="2" w:space="0" w:color="auto"/>
              <w:right w:val="single" w:sz="2" w:space="0" w:color="auto"/>
            </w:tcBorders>
            <w:hideMark/>
          </w:tcPr>
          <w:p w14:paraId="08B6FAFB"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EC717CB"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6E8B1D1" w14:textId="77777777" w:rsidR="004C7013" w:rsidRDefault="004C7013" w:rsidP="004C7013">
            <w:pPr>
              <w:pStyle w:val="TAL"/>
            </w:pPr>
          </w:p>
        </w:tc>
      </w:tr>
      <w:tr w:rsidR="004C7013" w14:paraId="50BDC02E"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3239635F" w14:textId="77777777" w:rsidR="004C7013" w:rsidRDefault="004C7013" w:rsidP="004C7013">
            <w:pPr>
              <w:pStyle w:val="TAL"/>
              <w:rPr>
                <w:rFonts w:cs="Arial"/>
              </w:rPr>
            </w:pPr>
            <w:r>
              <w:t>E-UTRA Band 72</w:t>
            </w:r>
          </w:p>
        </w:tc>
        <w:tc>
          <w:tcPr>
            <w:tcW w:w="1700" w:type="dxa"/>
            <w:tcBorders>
              <w:top w:val="single" w:sz="2" w:space="0" w:color="auto"/>
              <w:left w:val="single" w:sz="4" w:space="0" w:color="auto"/>
              <w:bottom w:val="single" w:sz="2" w:space="0" w:color="auto"/>
              <w:right w:val="single" w:sz="2" w:space="0" w:color="auto"/>
            </w:tcBorders>
            <w:hideMark/>
          </w:tcPr>
          <w:p w14:paraId="5EA6070E" w14:textId="77777777" w:rsidR="004C7013" w:rsidRDefault="004C7013" w:rsidP="004C7013">
            <w:pPr>
              <w:pStyle w:val="TAC"/>
              <w:rPr>
                <w:rFonts w:cs="Arial"/>
              </w:rPr>
            </w:pPr>
            <w:r>
              <w:rPr>
                <w:rFonts w:cs="Arial"/>
                <w:lang w:eastAsia="zh-CN"/>
              </w:rPr>
              <w:t>461 – 466 MHz</w:t>
            </w:r>
          </w:p>
        </w:tc>
        <w:tc>
          <w:tcPr>
            <w:tcW w:w="851" w:type="dxa"/>
            <w:tcBorders>
              <w:top w:val="single" w:sz="2" w:space="0" w:color="auto"/>
              <w:left w:val="single" w:sz="2" w:space="0" w:color="auto"/>
              <w:bottom w:val="single" w:sz="2" w:space="0" w:color="auto"/>
              <w:right w:val="single" w:sz="2" w:space="0" w:color="auto"/>
            </w:tcBorders>
            <w:hideMark/>
          </w:tcPr>
          <w:p w14:paraId="2269923C" w14:textId="77777777" w:rsidR="004C7013" w:rsidRDefault="004C7013" w:rsidP="004C7013">
            <w:pPr>
              <w:pStyle w:val="TAC"/>
              <w:rPr>
                <w:rFonts w:cs="Arial"/>
              </w:rPr>
            </w:pPr>
            <w:r>
              <w:t>-52 dBm</w:t>
            </w:r>
          </w:p>
        </w:tc>
        <w:tc>
          <w:tcPr>
            <w:tcW w:w="1417" w:type="dxa"/>
            <w:tcBorders>
              <w:top w:val="single" w:sz="2" w:space="0" w:color="auto"/>
              <w:left w:val="single" w:sz="2" w:space="0" w:color="auto"/>
              <w:bottom w:val="single" w:sz="2" w:space="0" w:color="auto"/>
              <w:right w:val="single" w:sz="2" w:space="0" w:color="auto"/>
            </w:tcBorders>
            <w:hideMark/>
          </w:tcPr>
          <w:p w14:paraId="471BBBB9" w14:textId="77777777" w:rsidR="004C7013" w:rsidRDefault="004C7013" w:rsidP="004C7013">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tcPr>
          <w:p w14:paraId="0DFD7D54" w14:textId="77777777" w:rsidR="004C7013" w:rsidRDefault="004C7013" w:rsidP="004C7013">
            <w:pPr>
              <w:pStyle w:val="TAL"/>
            </w:pPr>
          </w:p>
        </w:tc>
      </w:tr>
      <w:tr w:rsidR="004C7013" w14:paraId="3401FE3C"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1A827530"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19D66910" w14:textId="77777777" w:rsidR="004C7013" w:rsidRDefault="004C7013" w:rsidP="004C7013">
            <w:pPr>
              <w:pStyle w:val="TAC"/>
              <w:rPr>
                <w:rFonts w:cs="Arial"/>
              </w:rPr>
            </w:pPr>
            <w:r>
              <w:rPr>
                <w:rFonts w:cs="Arial"/>
                <w:lang w:eastAsia="zh-CN"/>
              </w:rPr>
              <w:t>451 – 456 MHz</w:t>
            </w:r>
          </w:p>
        </w:tc>
        <w:tc>
          <w:tcPr>
            <w:tcW w:w="851" w:type="dxa"/>
            <w:tcBorders>
              <w:top w:val="single" w:sz="2" w:space="0" w:color="auto"/>
              <w:left w:val="single" w:sz="2" w:space="0" w:color="auto"/>
              <w:bottom w:val="single" w:sz="2" w:space="0" w:color="auto"/>
              <w:right w:val="single" w:sz="2" w:space="0" w:color="auto"/>
            </w:tcBorders>
            <w:hideMark/>
          </w:tcPr>
          <w:p w14:paraId="51894E3F" w14:textId="77777777" w:rsidR="004C7013" w:rsidRDefault="004C7013" w:rsidP="004C7013">
            <w:pPr>
              <w:pStyle w:val="TAC"/>
              <w:rPr>
                <w:rFonts w:cs="Arial"/>
              </w:rPr>
            </w:pPr>
            <w:r>
              <w:t>-49 dBm</w:t>
            </w:r>
          </w:p>
        </w:tc>
        <w:tc>
          <w:tcPr>
            <w:tcW w:w="1417" w:type="dxa"/>
            <w:tcBorders>
              <w:top w:val="single" w:sz="2" w:space="0" w:color="auto"/>
              <w:left w:val="single" w:sz="2" w:space="0" w:color="auto"/>
              <w:bottom w:val="single" w:sz="2" w:space="0" w:color="auto"/>
              <w:right w:val="single" w:sz="2" w:space="0" w:color="auto"/>
            </w:tcBorders>
            <w:hideMark/>
          </w:tcPr>
          <w:p w14:paraId="1B8BB303" w14:textId="77777777" w:rsidR="004C7013" w:rsidRDefault="004C7013" w:rsidP="004C7013">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tcPr>
          <w:p w14:paraId="595F31AF" w14:textId="77777777" w:rsidR="004C7013" w:rsidRDefault="004C7013" w:rsidP="004C7013">
            <w:pPr>
              <w:pStyle w:val="TAL"/>
            </w:pPr>
          </w:p>
        </w:tc>
      </w:tr>
      <w:tr w:rsidR="004C7013" w:rsidRPr="00AB3358" w14:paraId="31649C49"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4B8320B5" w14:textId="77777777" w:rsidR="004C7013" w:rsidRDefault="004C7013" w:rsidP="004C7013">
            <w:pPr>
              <w:pStyle w:val="TAL"/>
              <w:rPr>
                <w:rFonts w:cs="Arial"/>
              </w:rPr>
            </w:pPr>
            <w:r>
              <w:rPr>
                <w:rFonts w:cs="Arial"/>
              </w:rPr>
              <w:t>E-UTRA</w:t>
            </w:r>
            <w:r>
              <w:rPr>
                <w:rFonts w:cs="Arial"/>
                <w:lang w:eastAsia="ja-JP"/>
              </w:rPr>
              <w:t xml:space="preserve"> Band 74 or NR Band n74</w:t>
            </w:r>
          </w:p>
        </w:tc>
        <w:tc>
          <w:tcPr>
            <w:tcW w:w="1700" w:type="dxa"/>
            <w:tcBorders>
              <w:top w:val="single" w:sz="2" w:space="0" w:color="auto"/>
              <w:left w:val="single" w:sz="4" w:space="0" w:color="auto"/>
              <w:bottom w:val="single" w:sz="2" w:space="0" w:color="auto"/>
              <w:right w:val="single" w:sz="2" w:space="0" w:color="auto"/>
            </w:tcBorders>
            <w:hideMark/>
          </w:tcPr>
          <w:p w14:paraId="008AA297" w14:textId="77777777" w:rsidR="004C7013" w:rsidRDefault="004C7013" w:rsidP="004C7013">
            <w:pPr>
              <w:pStyle w:val="TAC"/>
              <w:rPr>
                <w:rFonts w:cs="Arial"/>
              </w:rPr>
            </w:pPr>
            <w:r>
              <w:rPr>
                <w:rFonts w:cs="Arial"/>
                <w:lang w:eastAsia="ja-JP"/>
              </w:rPr>
              <w:t>1475 – 1518 MHz</w:t>
            </w:r>
          </w:p>
        </w:tc>
        <w:tc>
          <w:tcPr>
            <w:tcW w:w="851" w:type="dxa"/>
            <w:tcBorders>
              <w:top w:val="single" w:sz="2" w:space="0" w:color="auto"/>
              <w:left w:val="single" w:sz="2" w:space="0" w:color="auto"/>
              <w:bottom w:val="single" w:sz="2" w:space="0" w:color="auto"/>
              <w:right w:val="single" w:sz="2" w:space="0" w:color="auto"/>
            </w:tcBorders>
            <w:hideMark/>
          </w:tcPr>
          <w:p w14:paraId="618C1E5F" w14:textId="77777777" w:rsidR="004C7013" w:rsidRDefault="004C7013" w:rsidP="004C7013">
            <w:pPr>
              <w:pStyle w:val="TAC"/>
              <w:rPr>
                <w:rFonts w:cs="Arial"/>
              </w:rPr>
            </w:pPr>
            <w:r>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hideMark/>
          </w:tcPr>
          <w:p w14:paraId="57760019" w14:textId="77777777" w:rsidR="004C7013" w:rsidRDefault="004C7013" w:rsidP="004C7013">
            <w:pPr>
              <w:pStyle w:val="TAC"/>
              <w:rPr>
                <w:rFonts w:cs="Arial"/>
              </w:rPr>
            </w:pPr>
            <w:r>
              <w:rPr>
                <w:rFonts w:cs="Arial"/>
                <w:lang w:eastAsia="ja-JP"/>
              </w:rPr>
              <w:t>1 MHz</w:t>
            </w:r>
          </w:p>
        </w:tc>
        <w:tc>
          <w:tcPr>
            <w:tcW w:w="4421" w:type="dxa"/>
            <w:tcBorders>
              <w:top w:val="single" w:sz="2" w:space="0" w:color="auto"/>
              <w:left w:val="single" w:sz="2" w:space="0" w:color="auto"/>
              <w:bottom w:val="single" w:sz="2" w:space="0" w:color="auto"/>
              <w:right w:val="single" w:sz="2" w:space="0" w:color="auto"/>
            </w:tcBorders>
          </w:tcPr>
          <w:p w14:paraId="64EE9F5D" w14:textId="77777777" w:rsidR="004C7013" w:rsidRDefault="004C7013" w:rsidP="004C7013">
            <w:pPr>
              <w:pStyle w:val="TAL"/>
            </w:pPr>
          </w:p>
        </w:tc>
      </w:tr>
      <w:tr w:rsidR="004C7013" w:rsidRPr="00AB3358" w14:paraId="30D98E52"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7BCC6CC4"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6C7589A5" w14:textId="77777777" w:rsidR="004C7013" w:rsidRDefault="004C7013" w:rsidP="004C7013">
            <w:pPr>
              <w:pStyle w:val="TAC"/>
              <w:rPr>
                <w:rFonts w:cs="Arial"/>
              </w:rPr>
            </w:pPr>
            <w:r>
              <w:rPr>
                <w:rFonts w:cs="Arial"/>
                <w:lang w:eastAsia="ja-JP"/>
              </w:rPr>
              <w:t>1427 – 1470 MHz</w:t>
            </w:r>
          </w:p>
        </w:tc>
        <w:tc>
          <w:tcPr>
            <w:tcW w:w="851" w:type="dxa"/>
            <w:tcBorders>
              <w:top w:val="single" w:sz="2" w:space="0" w:color="auto"/>
              <w:left w:val="single" w:sz="2" w:space="0" w:color="auto"/>
              <w:bottom w:val="single" w:sz="2" w:space="0" w:color="auto"/>
              <w:right w:val="single" w:sz="2" w:space="0" w:color="auto"/>
            </w:tcBorders>
            <w:hideMark/>
          </w:tcPr>
          <w:p w14:paraId="742E7540" w14:textId="77777777" w:rsidR="004C7013" w:rsidRDefault="004C7013" w:rsidP="004C7013">
            <w:pPr>
              <w:pStyle w:val="TAC"/>
              <w:rPr>
                <w:rFonts w:cs="Arial"/>
              </w:rPr>
            </w:pPr>
            <w:r>
              <w:rPr>
                <w:rFonts w:cs="Arial"/>
                <w:lang w:eastAsia="ja-JP"/>
              </w:rPr>
              <w:t>-49 dBm</w:t>
            </w:r>
          </w:p>
        </w:tc>
        <w:tc>
          <w:tcPr>
            <w:tcW w:w="1417" w:type="dxa"/>
            <w:tcBorders>
              <w:top w:val="single" w:sz="2" w:space="0" w:color="auto"/>
              <w:left w:val="single" w:sz="2" w:space="0" w:color="auto"/>
              <w:bottom w:val="single" w:sz="2" w:space="0" w:color="auto"/>
              <w:right w:val="single" w:sz="2" w:space="0" w:color="auto"/>
            </w:tcBorders>
            <w:hideMark/>
          </w:tcPr>
          <w:p w14:paraId="35551143" w14:textId="77777777" w:rsidR="004C7013" w:rsidRDefault="004C7013" w:rsidP="004C7013">
            <w:pPr>
              <w:pStyle w:val="TAC"/>
              <w:rPr>
                <w:rFonts w:cs="Arial"/>
              </w:rPr>
            </w:pPr>
            <w:r>
              <w:rPr>
                <w:rFonts w:cs="Arial"/>
                <w:lang w:eastAsia="ja-JP"/>
              </w:rPr>
              <w:t>1MHz</w:t>
            </w:r>
          </w:p>
        </w:tc>
        <w:tc>
          <w:tcPr>
            <w:tcW w:w="4421" w:type="dxa"/>
            <w:tcBorders>
              <w:top w:val="single" w:sz="2" w:space="0" w:color="auto"/>
              <w:left w:val="single" w:sz="2" w:space="0" w:color="auto"/>
              <w:bottom w:val="single" w:sz="2" w:space="0" w:color="auto"/>
              <w:right w:val="single" w:sz="2" w:space="0" w:color="auto"/>
            </w:tcBorders>
          </w:tcPr>
          <w:p w14:paraId="1B83F84E" w14:textId="77777777" w:rsidR="004C7013" w:rsidRDefault="004C7013" w:rsidP="004C7013">
            <w:pPr>
              <w:pStyle w:val="TAL"/>
            </w:pPr>
          </w:p>
        </w:tc>
      </w:tr>
      <w:tr w:rsidR="00B3234F" w:rsidRPr="00AB3358" w14:paraId="79BE85B5" w14:textId="77777777" w:rsidTr="004C7013">
        <w:trPr>
          <w:cantSplit/>
          <w:trHeight w:val="113"/>
          <w:jc w:val="center"/>
        </w:trPr>
        <w:tc>
          <w:tcPr>
            <w:tcW w:w="1301" w:type="dxa"/>
            <w:tcBorders>
              <w:top w:val="single" w:sz="4" w:space="0" w:color="auto"/>
              <w:left w:val="single" w:sz="2" w:space="0" w:color="auto"/>
              <w:bottom w:val="single" w:sz="2" w:space="0" w:color="auto"/>
              <w:right w:val="single" w:sz="2" w:space="0" w:color="auto"/>
            </w:tcBorders>
            <w:hideMark/>
          </w:tcPr>
          <w:p w14:paraId="2535AC4B" w14:textId="77777777" w:rsidR="00B3234F" w:rsidRDefault="00B3234F" w:rsidP="004C7013">
            <w:pPr>
              <w:pStyle w:val="TAL"/>
              <w:rPr>
                <w:rFonts w:cs="Arial"/>
              </w:rPr>
            </w:pPr>
            <w:r>
              <w:rPr>
                <w:rFonts w:cs="Arial"/>
              </w:rPr>
              <w:t>E-UTRA Band 75 or NR Band n75</w:t>
            </w:r>
          </w:p>
        </w:tc>
        <w:tc>
          <w:tcPr>
            <w:tcW w:w="1700" w:type="dxa"/>
            <w:tcBorders>
              <w:top w:val="single" w:sz="2" w:space="0" w:color="auto"/>
              <w:left w:val="single" w:sz="2" w:space="0" w:color="auto"/>
              <w:bottom w:val="single" w:sz="2" w:space="0" w:color="auto"/>
              <w:right w:val="single" w:sz="2" w:space="0" w:color="auto"/>
            </w:tcBorders>
            <w:hideMark/>
          </w:tcPr>
          <w:p w14:paraId="171F7E2F" w14:textId="77777777" w:rsidR="00B3234F" w:rsidRDefault="00B3234F" w:rsidP="004C7013">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hideMark/>
          </w:tcPr>
          <w:p w14:paraId="2E3888BF"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9E2DFA7"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FAAE276" w14:textId="77777777" w:rsidR="00B3234F" w:rsidRDefault="00B3234F" w:rsidP="004C7013">
            <w:pPr>
              <w:pStyle w:val="TAL"/>
            </w:pPr>
          </w:p>
        </w:tc>
      </w:tr>
      <w:tr w:rsidR="00B3234F" w:rsidRPr="00AB3358" w14:paraId="2DEF5784"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1D1C5D7A" w14:textId="77777777" w:rsidR="00B3234F" w:rsidRDefault="00B3234F" w:rsidP="004C7013">
            <w:pPr>
              <w:pStyle w:val="TAL"/>
              <w:rPr>
                <w:rFonts w:cs="Arial"/>
              </w:rPr>
            </w:pPr>
            <w:r>
              <w:rPr>
                <w:rFonts w:cs="Arial"/>
              </w:rPr>
              <w:t>E-UTRA Band 76 or NR Band n76</w:t>
            </w:r>
          </w:p>
        </w:tc>
        <w:tc>
          <w:tcPr>
            <w:tcW w:w="1700" w:type="dxa"/>
            <w:tcBorders>
              <w:top w:val="single" w:sz="2" w:space="0" w:color="auto"/>
              <w:left w:val="single" w:sz="2" w:space="0" w:color="auto"/>
              <w:bottom w:val="single" w:sz="2" w:space="0" w:color="auto"/>
              <w:right w:val="single" w:sz="2" w:space="0" w:color="auto"/>
            </w:tcBorders>
            <w:hideMark/>
          </w:tcPr>
          <w:p w14:paraId="643ADA60" w14:textId="77777777" w:rsidR="00B3234F" w:rsidRDefault="00B3234F" w:rsidP="004C7013">
            <w:pPr>
              <w:pStyle w:val="TAC"/>
              <w:rPr>
                <w:rFonts w:cs="Arial"/>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hideMark/>
          </w:tcPr>
          <w:p w14:paraId="40D87289"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AAECD8E"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F10ADFC" w14:textId="77777777" w:rsidR="00B3234F" w:rsidRDefault="00B3234F" w:rsidP="004C7013">
            <w:pPr>
              <w:pStyle w:val="TAL"/>
            </w:pPr>
          </w:p>
        </w:tc>
      </w:tr>
      <w:tr w:rsidR="00B3234F" w:rsidRPr="00AB3358" w14:paraId="086FC848"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51FD3AEB" w14:textId="77777777" w:rsidR="00B3234F" w:rsidRDefault="00B3234F" w:rsidP="004C7013">
            <w:pPr>
              <w:pStyle w:val="TAL"/>
              <w:rPr>
                <w:rFonts w:cs="Arial"/>
              </w:rPr>
            </w:pPr>
            <w:r>
              <w:rPr>
                <w:rFonts w:cs="Arial"/>
              </w:rPr>
              <w:t>NR Band n77</w:t>
            </w:r>
          </w:p>
        </w:tc>
        <w:tc>
          <w:tcPr>
            <w:tcW w:w="1700" w:type="dxa"/>
            <w:tcBorders>
              <w:top w:val="single" w:sz="2" w:space="0" w:color="auto"/>
              <w:left w:val="single" w:sz="2" w:space="0" w:color="auto"/>
              <w:bottom w:val="single" w:sz="2" w:space="0" w:color="auto"/>
              <w:right w:val="single" w:sz="2" w:space="0" w:color="auto"/>
            </w:tcBorders>
            <w:hideMark/>
          </w:tcPr>
          <w:p w14:paraId="7ACA2CA6" w14:textId="77777777" w:rsidR="00B3234F" w:rsidRDefault="00B3234F" w:rsidP="004C7013">
            <w:pPr>
              <w:pStyle w:val="TAC"/>
              <w:rPr>
                <w:rFonts w:cs="Arial"/>
              </w:rPr>
            </w:pPr>
            <w:r>
              <w:t>3.3 – 4.2 GHz</w:t>
            </w:r>
          </w:p>
        </w:tc>
        <w:tc>
          <w:tcPr>
            <w:tcW w:w="851" w:type="dxa"/>
            <w:tcBorders>
              <w:top w:val="single" w:sz="2" w:space="0" w:color="auto"/>
              <w:left w:val="single" w:sz="2" w:space="0" w:color="auto"/>
              <w:bottom w:val="single" w:sz="2" w:space="0" w:color="auto"/>
              <w:right w:val="single" w:sz="2" w:space="0" w:color="auto"/>
            </w:tcBorders>
            <w:hideMark/>
          </w:tcPr>
          <w:p w14:paraId="391FCFFF"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47B2E80"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54B39534" w14:textId="77777777" w:rsidR="00B3234F" w:rsidRDefault="00B3234F" w:rsidP="004C7013">
            <w:pPr>
              <w:pStyle w:val="TAL"/>
            </w:pPr>
            <w:r>
              <w:t>This requirement does not apply to IAB-DU and IAB-MT operating in Band n77 or n78</w:t>
            </w:r>
          </w:p>
        </w:tc>
      </w:tr>
      <w:tr w:rsidR="00B3234F" w:rsidRPr="00AB3358" w14:paraId="664DDA8B"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43632435" w14:textId="77777777" w:rsidR="00B3234F" w:rsidRDefault="00B3234F" w:rsidP="004C7013">
            <w:pPr>
              <w:pStyle w:val="TAL"/>
              <w:rPr>
                <w:rFonts w:cs="Arial"/>
              </w:rPr>
            </w:pPr>
            <w:r>
              <w:rPr>
                <w:rFonts w:cs="Arial"/>
              </w:rPr>
              <w:t>NR Band n78</w:t>
            </w:r>
          </w:p>
        </w:tc>
        <w:tc>
          <w:tcPr>
            <w:tcW w:w="1700" w:type="dxa"/>
            <w:tcBorders>
              <w:top w:val="single" w:sz="2" w:space="0" w:color="auto"/>
              <w:left w:val="single" w:sz="2" w:space="0" w:color="auto"/>
              <w:bottom w:val="single" w:sz="2" w:space="0" w:color="auto"/>
              <w:right w:val="single" w:sz="2" w:space="0" w:color="auto"/>
            </w:tcBorders>
            <w:hideMark/>
          </w:tcPr>
          <w:p w14:paraId="4D70EBFB" w14:textId="77777777" w:rsidR="00B3234F" w:rsidRDefault="00B3234F" w:rsidP="004C7013">
            <w:pPr>
              <w:pStyle w:val="TAC"/>
              <w:rPr>
                <w:rFonts w:cs="Arial"/>
              </w:rPr>
            </w:pPr>
            <w:r>
              <w:t>3.3 – 3.8 GHz</w:t>
            </w:r>
          </w:p>
        </w:tc>
        <w:tc>
          <w:tcPr>
            <w:tcW w:w="851" w:type="dxa"/>
            <w:tcBorders>
              <w:top w:val="single" w:sz="2" w:space="0" w:color="auto"/>
              <w:left w:val="single" w:sz="2" w:space="0" w:color="auto"/>
              <w:bottom w:val="single" w:sz="2" w:space="0" w:color="auto"/>
              <w:right w:val="single" w:sz="2" w:space="0" w:color="auto"/>
            </w:tcBorders>
            <w:hideMark/>
          </w:tcPr>
          <w:p w14:paraId="0019D727"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A5F93E9"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3FBA39F2" w14:textId="77777777" w:rsidR="00B3234F" w:rsidRDefault="00B3234F" w:rsidP="004C7013">
            <w:pPr>
              <w:pStyle w:val="TAL"/>
            </w:pPr>
            <w:r>
              <w:t>This requirement does not apply to IAB-DU and IAB-MT operating in Band n77 or n78</w:t>
            </w:r>
          </w:p>
        </w:tc>
      </w:tr>
      <w:tr w:rsidR="00B3234F" w:rsidRPr="00AB3358" w14:paraId="2F5C7D4F"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53C5FA56" w14:textId="77777777" w:rsidR="00B3234F" w:rsidRDefault="00B3234F" w:rsidP="004C7013">
            <w:pPr>
              <w:pStyle w:val="TAL"/>
              <w:rPr>
                <w:rFonts w:cs="Arial"/>
              </w:rPr>
            </w:pPr>
            <w:r>
              <w:rPr>
                <w:rFonts w:cs="Arial"/>
              </w:rPr>
              <w:t>NR Band n79</w:t>
            </w:r>
          </w:p>
        </w:tc>
        <w:tc>
          <w:tcPr>
            <w:tcW w:w="1700" w:type="dxa"/>
            <w:tcBorders>
              <w:top w:val="single" w:sz="2" w:space="0" w:color="auto"/>
              <w:left w:val="single" w:sz="2" w:space="0" w:color="auto"/>
              <w:bottom w:val="single" w:sz="2" w:space="0" w:color="auto"/>
              <w:right w:val="single" w:sz="2" w:space="0" w:color="auto"/>
            </w:tcBorders>
            <w:hideMark/>
          </w:tcPr>
          <w:p w14:paraId="6D218809" w14:textId="77777777" w:rsidR="00B3234F" w:rsidRDefault="00B3234F" w:rsidP="004C7013">
            <w:pPr>
              <w:pStyle w:val="TAC"/>
              <w:rPr>
                <w:rFonts w:cs="Arial"/>
              </w:rPr>
            </w:pPr>
            <w:r>
              <w:t>4.4 – 5.0 GHz</w:t>
            </w:r>
          </w:p>
        </w:tc>
        <w:tc>
          <w:tcPr>
            <w:tcW w:w="851" w:type="dxa"/>
            <w:tcBorders>
              <w:top w:val="single" w:sz="2" w:space="0" w:color="auto"/>
              <w:left w:val="single" w:sz="2" w:space="0" w:color="auto"/>
              <w:bottom w:val="single" w:sz="2" w:space="0" w:color="auto"/>
              <w:right w:val="single" w:sz="2" w:space="0" w:color="auto"/>
            </w:tcBorders>
            <w:hideMark/>
          </w:tcPr>
          <w:p w14:paraId="3A6CB675"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77A083A3"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hideMark/>
          </w:tcPr>
          <w:p w14:paraId="63E6FBF3" w14:textId="77777777" w:rsidR="00B3234F" w:rsidRDefault="00B3234F" w:rsidP="004C7013">
            <w:pPr>
              <w:pStyle w:val="TAL"/>
            </w:pPr>
            <w:r>
              <w:t>This requirement does not apply to IAB-DU and IAB-MT operating in Band n79</w:t>
            </w:r>
          </w:p>
        </w:tc>
      </w:tr>
      <w:tr w:rsidR="00B3234F" w:rsidRPr="00AB3358" w14:paraId="02FEBB2F"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0A4005FC" w14:textId="77777777" w:rsidR="00B3234F" w:rsidRDefault="00B3234F" w:rsidP="004C7013">
            <w:pPr>
              <w:pStyle w:val="TAL"/>
              <w:rPr>
                <w:rFonts w:cs="Arial"/>
              </w:rPr>
            </w:pPr>
            <w:r>
              <w:rPr>
                <w:rFonts w:cs="Arial"/>
              </w:rPr>
              <w:t>NR Band n80</w:t>
            </w:r>
          </w:p>
        </w:tc>
        <w:tc>
          <w:tcPr>
            <w:tcW w:w="1700" w:type="dxa"/>
            <w:tcBorders>
              <w:top w:val="single" w:sz="2" w:space="0" w:color="auto"/>
              <w:left w:val="single" w:sz="2" w:space="0" w:color="auto"/>
              <w:bottom w:val="single" w:sz="2" w:space="0" w:color="auto"/>
              <w:right w:val="single" w:sz="2" w:space="0" w:color="auto"/>
            </w:tcBorders>
            <w:hideMark/>
          </w:tcPr>
          <w:p w14:paraId="5532568F" w14:textId="77777777" w:rsidR="00B3234F" w:rsidRDefault="00B3234F" w:rsidP="004C7013">
            <w:pPr>
              <w:pStyle w:val="TAC"/>
            </w:pPr>
            <w:r>
              <w:t>1710 – 1785 MHz</w:t>
            </w:r>
          </w:p>
        </w:tc>
        <w:tc>
          <w:tcPr>
            <w:tcW w:w="851" w:type="dxa"/>
            <w:tcBorders>
              <w:top w:val="single" w:sz="2" w:space="0" w:color="auto"/>
              <w:left w:val="single" w:sz="2" w:space="0" w:color="auto"/>
              <w:bottom w:val="single" w:sz="2" w:space="0" w:color="auto"/>
              <w:right w:val="single" w:sz="2" w:space="0" w:color="auto"/>
            </w:tcBorders>
            <w:hideMark/>
          </w:tcPr>
          <w:p w14:paraId="072F86C4"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551C660"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D341B0D" w14:textId="77777777" w:rsidR="00B3234F" w:rsidRDefault="00B3234F" w:rsidP="004C7013">
            <w:pPr>
              <w:pStyle w:val="TAL"/>
            </w:pPr>
          </w:p>
        </w:tc>
      </w:tr>
      <w:tr w:rsidR="00B3234F" w:rsidRPr="00AB3358" w14:paraId="230D2982"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015FBE7D" w14:textId="77777777" w:rsidR="00B3234F" w:rsidRDefault="00B3234F" w:rsidP="004C7013">
            <w:pPr>
              <w:pStyle w:val="TAL"/>
              <w:rPr>
                <w:rFonts w:cs="Arial"/>
              </w:rPr>
            </w:pPr>
            <w:r>
              <w:rPr>
                <w:rFonts w:cs="Arial"/>
              </w:rPr>
              <w:t>NR Band n81</w:t>
            </w:r>
          </w:p>
        </w:tc>
        <w:tc>
          <w:tcPr>
            <w:tcW w:w="1700" w:type="dxa"/>
            <w:tcBorders>
              <w:top w:val="single" w:sz="2" w:space="0" w:color="auto"/>
              <w:left w:val="single" w:sz="2" w:space="0" w:color="auto"/>
              <w:bottom w:val="single" w:sz="2" w:space="0" w:color="auto"/>
              <w:right w:val="single" w:sz="2" w:space="0" w:color="auto"/>
            </w:tcBorders>
            <w:hideMark/>
          </w:tcPr>
          <w:p w14:paraId="511B6EAB" w14:textId="77777777" w:rsidR="00B3234F" w:rsidRDefault="00B3234F" w:rsidP="004C7013">
            <w:pPr>
              <w:pStyle w:val="TAC"/>
            </w:pPr>
            <w:r>
              <w:t>880 – 915 MHz</w:t>
            </w:r>
          </w:p>
        </w:tc>
        <w:tc>
          <w:tcPr>
            <w:tcW w:w="851" w:type="dxa"/>
            <w:tcBorders>
              <w:top w:val="single" w:sz="2" w:space="0" w:color="auto"/>
              <w:left w:val="single" w:sz="2" w:space="0" w:color="auto"/>
              <w:bottom w:val="single" w:sz="2" w:space="0" w:color="auto"/>
              <w:right w:val="single" w:sz="2" w:space="0" w:color="auto"/>
            </w:tcBorders>
            <w:hideMark/>
          </w:tcPr>
          <w:p w14:paraId="24717BDF"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0A9D402"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E371AD4" w14:textId="77777777" w:rsidR="00B3234F" w:rsidRDefault="00B3234F" w:rsidP="004C7013">
            <w:pPr>
              <w:pStyle w:val="TAL"/>
            </w:pPr>
          </w:p>
        </w:tc>
      </w:tr>
      <w:tr w:rsidR="00B3234F" w:rsidRPr="00AB3358" w14:paraId="293D9073"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4AFE28AF" w14:textId="77777777" w:rsidR="00B3234F" w:rsidRDefault="00B3234F" w:rsidP="004C7013">
            <w:pPr>
              <w:pStyle w:val="TAL"/>
              <w:rPr>
                <w:rFonts w:cs="Arial"/>
              </w:rPr>
            </w:pPr>
            <w:r>
              <w:rPr>
                <w:rFonts w:cs="Arial"/>
              </w:rPr>
              <w:t>NR Band n82</w:t>
            </w:r>
          </w:p>
        </w:tc>
        <w:tc>
          <w:tcPr>
            <w:tcW w:w="1700" w:type="dxa"/>
            <w:tcBorders>
              <w:top w:val="single" w:sz="2" w:space="0" w:color="auto"/>
              <w:left w:val="single" w:sz="2" w:space="0" w:color="auto"/>
              <w:bottom w:val="single" w:sz="2" w:space="0" w:color="auto"/>
              <w:right w:val="single" w:sz="2" w:space="0" w:color="auto"/>
            </w:tcBorders>
            <w:hideMark/>
          </w:tcPr>
          <w:p w14:paraId="136B8DDB" w14:textId="77777777" w:rsidR="00B3234F" w:rsidRDefault="00B3234F" w:rsidP="004C7013">
            <w:pPr>
              <w:pStyle w:val="TAC"/>
            </w:pPr>
            <w:r>
              <w:t>832 – 862 MHz</w:t>
            </w:r>
          </w:p>
        </w:tc>
        <w:tc>
          <w:tcPr>
            <w:tcW w:w="851" w:type="dxa"/>
            <w:tcBorders>
              <w:top w:val="single" w:sz="2" w:space="0" w:color="auto"/>
              <w:left w:val="single" w:sz="2" w:space="0" w:color="auto"/>
              <w:bottom w:val="single" w:sz="2" w:space="0" w:color="auto"/>
              <w:right w:val="single" w:sz="2" w:space="0" w:color="auto"/>
            </w:tcBorders>
            <w:hideMark/>
          </w:tcPr>
          <w:p w14:paraId="202DBA97"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55BF6E5"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41B5FF9" w14:textId="77777777" w:rsidR="00B3234F" w:rsidRDefault="00B3234F" w:rsidP="004C7013">
            <w:pPr>
              <w:pStyle w:val="TAL"/>
            </w:pPr>
          </w:p>
        </w:tc>
      </w:tr>
      <w:tr w:rsidR="00B3234F" w:rsidRPr="00AB3358" w14:paraId="4DEDB933" w14:textId="77777777" w:rsidTr="004C7013">
        <w:trPr>
          <w:cantSplit/>
          <w:trHeight w:val="113"/>
          <w:jc w:val="center"/>
        </w:trPr>
        <w:tc>
          <w:tcPr>
            <w:tcW w:w="1301" w:type="dxa"/>
            <w:tcBorders>
              <w:top w:val="single" w:sz="2" w:space="0" w:color="auto"/>
              <w:left w:val="single" w:sz="2" w:space="0" w:color="auto"/>
              <w:bottom w:val="single" w:sz="2" w:space="0" w:color="auto"/>
              <w:right w:val="single" w:sz="2" w:space="0" w:color="auto"/>
            </w:tcBorders>
            <w:hideMark/>
          </w:tcPr>
          <w:p w14:paraId="39DB6013" w14:textId="77777777" w:rsidR="00B3234F" w:rsidRDefault="00B3234F" w:rsidP="004C7013">
            <w:pPr>
              <w:pStyle w:val="TAL"/>
              <w:rPr>
                <w:rFonts w:cs="Arial"/>
              </w:rPr>
            </w:pPr>
            <w:r>
              <w:rPr>
                <w:rFonts w:cs="Arial"/>
              </w:rPr>
              <w:t>NR Band n83</w:t>
            </w:r>
          </w:p>
        </w:tc>
        <w:tc>
          <w:tcPr>
            <w:tcW w:w="1700" w:type="dxa"/>
            <w:tcBorders>
              <w:top w:val="single" w:sz="2" w:space="0" w:color="auto"/>
              <w:left w:val="single" w:sz="2" w:space="0" w:color="auto"/>
              <w:bottom w:val="single" w:sz="2" w:space="0" w:color="auto"/>
              <w:right w:val="single" w:sz="2" w:space="0" w:color="auto"/>
            </w:tcBorders>
            <w:hideMark/>
          </w:tcPr>
          <w:p w14:paraId="300179A4" w14:textId="77777777" w:rsidR="00B3234F" w:rsidRDefault="00B3234F" w:rsidP="004C7013">
            <w:pPr>
              <w:pStyle w:val="TAC"/>
            </w:pPr>
            <w:r>
              <w:t>703 – 748 MHz</w:t>
            </w:r>
          </w:p>
        </w:tc>
        <w:tc>
          <w:tcPr>
            <w:tcW w:w="851" w:type="dxa"/>
            <w:tcBorders>
              <w:top w:val="single" w:sz="2" w:space="0" w:color="auto"/>
              <w:left w:val="single" w:sz="2" w:space="0" w:color="auto"/>
              <w:bottom w:val="single" w:sz="2" w:space="0" w:color="auto"/>
              <w:right w:val="single" w:sz="2" w:space="0" w:color="auto"/>
            </w:tcBorders>
            <w:hideMark/>
          </w:tcPr>
          <w:p w14:paraId="43A46005"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40478AF"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A969563" w14:textId="77777777" w:rsidR="00B3234F" w:rsidRDefault="00B3234F" w:rsidP="004C7013">
            <w:pPr>
              <w:pStyle w:val="TAL"/>
            </w:pPr>
          </w:p>
        </w:tc>
      </w:tr>
      <w:tr w:rsidR="00B3234F" w:rsidRPr="00AB3358" w14:paraId="2A981987" w14:textId="77777777" w:rsidTr="004C7013">
        <w:trPr>
          <w:cantSplit/>
          <w:trHeight w:val="113"/>
          <w:jc w:val="center"/>
        </w:trPr>
        <w:tc>
          <w:tcPr>
            <w:tcW w:w="1301" w:type="dxa"/>
            <w:tcBorders>
              <w:top w:val="single" w:sz="2" w:space="0" w:color="auto"/>
              <w:left w:val="single" w:sz="2" w:space="0" w:color="auto"/>
              <w:bottom w:val="single" w:sz="4" w:space="0" w:color="auto"/>
              <w:right w:val="single" w:sz="2" w:space="0" w:color="auto"/>
            </w:tcBorders>
            <w:hideMark/>
          </w:tcPr>
          <w:p w14:paraId="33E6C93F" w14:textId="77777777" w:rsidR="00B3234F" w:rsidRDefault="00B3234F" w:rsidP="004C7013">
            <w:pPr>
              <w:pStyle w:val="TAL"/>
              <w:rPr>
                <w:rFonts w:cs="Arial"/>
              </w:rPr>
            </w:pPr>
            <w:r>
              <w:rPr>
                <w:rFonts w:cs="Arial"/>
              </w:rPr>
              <w:t>NR Band n84</w:t>
            </w:r>
          </w:p>
        </w:tc>
        <w:tc>
          <w:tcPr>
            <w:tcW w:w="1700" w:type="dxa"/>
            <w:tcBorders>
              <w:top w:val="single" w:sz="2" w:space="0" w:color="auto"/>
              <w:left w:val="single" w:sz="2" w:space="0" w:color="auto"/>
              <w:bottom w:val="single" w:sz="2" w:space="0" w:color="auto"/>
              <w:right w:val="single" w:sz="2" w:space="0" w:color="auto"/>
            </w:tcBorders>
          </w:tcPr>
          <w:p w14:paraId="59D68FC0" w14:textId="17FDB566" w:rsidR="00B3234F" w:rsidRDefault="00B3234F" w:rsidP="004C7013">
            <w:pPr>
              <w:pStyle w:val="TAC"/>
            </w:pPr>
            <w:r>
              <w:t>1920 – 1980 MHz</w:t>
            </w:r>
          </w:p>
        </w:tc>
        <w:tc>
          <w:tcPr>
            <w:tcW w:w="851" w:type="dxa"/>
            <w:tcBorders>
              <w:top w:val="single" w:sz="2" w:space="0" w:color="auto"/>
              <w:left w:val="single" w:sz="2" w:space="0" w:color="auto"/>
              <w:bottom w:val="single" w:sz="2" w:space="0" w:color="auto"/>
              <w:right w:val="single" w:sz="2" w:space="0" w:color="auto"/>
            </w:tcBorders>
            <w:hideMark/>
          </w:tcPr>
          <w:p w14:paraId="1755A7A6"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C0D3830"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32315BB6" w14:textId="77777777" w:rsidR="00B3234F" w:rsidRDefault="00B3234F" w:rsidP="004C7013">
            <w:pPr>
              <w:pStyle w:val="TAL"/>
            </w:pPr>
          </w:p>
        </w:tc>
      </w:tr>
      <w:tr w:rsidR="004C7013" w:rsidRPr="00AB3358" w14:paraId="1AF10200"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281823AA" w14:textId="7A78CFFB" w:rsidR="004C7013" w:rsidRDefault="0035675E" w:rsidP="004C7013">
            <w:pPr>
              <w:pStyle w:val="TAL"/>
              <w:rPr>
                <w:rFonts w:cs="Arial"/>
              </w:rPr>
            </w:pPr>
            <w:r>
              <w:rPr>
                <w:rFonts w:cs="Arial"/>
              </w:rPr>
              <w:t>E-UTRA Band 85</w:t>
            </w:r>
            <w:r>
              <w:rPr>
                <w:rFonts w:cs="Arial"/>
                <w:lang w:eastAsia="ko-KR"/>
              </w:rPr>
              <w:t xml:space="preserve"> or NR Band n85</w:t>
            </w:r>
          </w:p>
        </w:tc>
        <w:tc>
          <w:tcPr>
            <w:tcW w:w="1700" w:type="dxa"/>
            <w:tcBorders>
              <w:top w:val="single" w:sz="2" w:space="0" w:color="auto"/>
              <w:left w:val="single" w:sz="4" w:space="0" w:color="auto"/>
              <w:bottom w:val="single" w:sz="2" w:space="0" w:color="auto"/>
              <w:right w:val="single" w:sz="2" w:space="0" w:color="auto"/>
            </w:tcBorders>
            <w:hideMark/>
          </w:tcPr>
          <w:p w14:paraId="411CFF82" w14:textId="77777777" w:rsidR="004C7013" w:rsidRDefault="004C7013" w:rsidP="004C7013">
            <w:pPr>
              <w:pStyle w:val="TAC"/>
            </w:pPr>
            <w:r>
              <w:t>728 – 746 MHz</w:t>
            </w:r>
          </w:p>
        </w:tc>
        <w:tc>
          <w:tcPr>
            <w:tcW w:w="851" w:type="dxa"/>
            <w:tcBorders>
              <w:top w:val="single" w:sz="2" w:space="0" w:color="auto"/>
              <w:left w:val="single" w:sz="2" w:space="0" w:color="auto"/>
              <w:bottom w:val="single" w:sz="2" w:space="0" w:color="auto"/>
              <w:right w:val="single" w:sz="2" w:space="0" w:color="auto"/>
            </w:tcBorders>
            <w:hideMark/>
          </w:tcPr>
          <w:p w14:paraId="1082F466"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0AE69C30"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4C029A94" w14:textId="77777777" w:rsidR="004C7013" w:rsidRDefault="004C7013" w:rsidP="004C7013">
            <w:pPr>
              <w:pStyle w:val="TAL"/>
            </w:pPr>
          </w:p>
        </w:tc>
      </w:tr>
      <w:tr w:rsidR="004C7013" w:rsidRPr="00AB3358" w14:paraId="22C469B0"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2AE6727F" w14:textId="77777777" w:rsidR="004C7013" w:rsidRDefault="004C7013" w:rsidP="004C7013">
            <w:pPr>
              <w:pStyle w:val="TAL"/>
              <w:rPr>
                <w:rFonts w:cs="Arial"/>
              </w:rPr>
            </w:pPr>
          </w:p>
        </w:tc>
        <w:tc>
          <w:tcPr>
            <w:tcW w:w="1700" w:type="dxa"/>
            <w:tcBorders>
              <w:top w:val="single" w:sz="2" w:space="0" w:color="auto"/>
              <w:left w:val="single" w:sz="4" w:space="0" w:color="auto"/>
              <w:bottom w:val="single" w:sz="2" w:space="0" w:color="auto"/>
              <w:right w:val="single" w:sz="2" w:space="0" w:color="auto"/>
            </w:tcBorders>
            <w:hideMark/>
          </w:tcPr>
          <w:p w14:paraId="65C34A53" w14:textId="77777777" w:rsidR="004C7013" w:rsidRDefault="004C7013" w:rsidP="004C7013">
            <w:pPr>
              <w:pStyle w:val="TAC"/>
            </w:pPr>
            <w:r>
              <w:t>698 – 716 MHz</w:t>
            </w:r>
          </w:p>
        </w:tc>
        <w:tc>
          <w:tcPr>
            <w:tcW w:w="851" w:type="dxa"/>
            <w:tcBorders>
              <w:top w:val="single" w:sz="2" w:space="0" w:color="auto"/>
              <w:left w:val="single" w:sz="2" w:space="0" w:color="auto"/>
              <w:bottom w:val="single" w:sz="2" w:space="0" w:color="auto"/>
              <w:right w:val="single" w:sz="2" w:space="0" w:color="auto"/>
            </w:tcBorders>
            <w:hideMark/>
          </w:tcPr>
          <w:p w14:paraId="10074A57"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02BBAC93"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4D82305" w14:textId="77777777" w:rsidR="004C7013" w:rsidRDefault="004C7013" w:rsidP="004C7013">
            <w:pPr>
              <w:pStyle w:val="TAL"/>
            </w:pPr>
          </w:p>
        </w:tc>
      </w:tr>
      <w:tr w:rsidR="00B3234F" w:rsidRPr="00AB3358" w14:paraId="41845885" w14:textId="77777777" w:rsidTr="004C7013">
        <w:trPr>
          <w:cantSplit/>
          <w:trHeight w:val="113"/>
          <w:jc w:val="center"/>
        </w:trPr>
        <w:tc>
          <w:tcPr>
            <w:tcW w:w="1301" w:type="dxa"/>
            <w:tcBorders>
              <w:top w:val="single" w:sz="4" w:space="0" w:color="auto"/>
              <w:left w:val="single" w:sz="2" w:space="0" w:color="auto"/>
              <w:bottom w:val="single" w:sz="2" w:space="0" w:color="auto"/>
              <w:right w:val="single" w:sz="2" w:space="0" w:color="auto"/>
            </w:tcBorders>
            <w:hideMark/>
          </w:tcPr>
          <w:p w14:paraId="64173A82" w14:textId="77777777" w:rsidR="00B3234F" w:rsidRDefault="00B3234F" w:rsidP="004C7013">
            <w:pPr>
              <w:pStyle w:val="TAL"/>
              <w:rPr>
                <w:rFonts w:cs="Arial"/>
              </w:rPr>
            </w:pPr>
            <w:r>
              <w:rPr>
                <w:rFonts w:cs="Arial"/>
              </w:rPr>
              <w:t>NR Band n86</w:t>
            </w:r>
          </w:p>
        </w:tc>
        <w:tc>
          <w:tcPr>
            <w:tcW w:w="1700" w:type="dxa"/>
            <w:tcBorders>
              <w:top w:val="single" w:sz="2" w:space="0" w:color="auto"/>
              <w:left w:val="single" w:sz="2" w:space="0" w:color="auto"/>
              <w:bottom w:val="single" w:sz="2" w:space="0" w:color="auto"/>
              <w:right w:val="single" w:sz="2" w:space="0" w:color="auto"/>
            </w:tcBorders>
            <w:hideMark/>
          </w:tcPr>
          <w:p w14:paraId="6A2C888E" w14:textId="77777777" w:rsidR="00B3234F" w:rsidRDefault="00B3234F" w:rsidP="004C7013">
            <w:pPr>
              <w:pStyle w:val="TAC"/>
            </w:pPr>
            <w:r>
              <w:t>1710 – 1780 MHz</w:t>
            </w:r>
          </w:p>
        </w:tc>
        <w:tc>
          <w:tcPr>
            <w:tcW w:w="851" w:type="dxa"/>
            <w:tcBorders>
              <w:top w:val="single" w:sz="2" w:space="0" w:color="auto"/>
              <w:left w:val="single" w:sz="2" w:space="0" w:color="auto"/>
              <w:bottom w:val="single" w:sz="2" w:space="0" w:color="auto"/>
              <w:right w:val="single" w:sz="2" w:space="0" w:color="auto"/>
            </w:tcBorders>
            <w:hideMark/>
          </w:tcPr>
          <w:p w14:paraId="497FAF0A"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426AEB59"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AD39192" w14:textId="77777777" w:rsidR="00B3234F" w:rsidRDefault="00B3234F" w:rsidP="004C7013">
            <w:pPr>
              <w:pStyle w:val="TAL"/>
            </w:pPr>
          </w:p>
        </w:tc>
      </w:tr>
      <w:tr w:rsidR="00B3234F" w:rsidRPr="00AB3358" w14:paraId="5A6F1D8E" w14:textId="77777777" w:rsidTr="004C7013">
        <w:trPr>
          <w:cantSplit/>
          <w:trHeight w:val="113"/>
          <w:jc w:val="center"/>
        </w:trPr>
        <w:tc>
          <w:tcPr>
            <w:tcW w:w="1301" w:type="dxa"/>
            <w:tcBorders>
              <w:top w:val="single" w:sz="2" w:space="0" w:color="auto"/>
              <w:left w:val="single" w:sz="2" w:space="0" w:color="auto"/>
              <w:bottom w:val="single" w:sz="4" w:space="0" w:color="auto"/>
              <w:right w:val="single" w:sz="2" w:space="0" w:color="auto"/>
            </w:tcBorders>
            <w:hideMark/>
          </w:tcPr>
          <w:p w14:paraId="0D44AEED" w14:textId="77777777" w:rsidR="00B3234F" w:rsidRDefault="00B3234F" w:rsidP="004C7013">
            <w:pPr>
              <w:pStyle w:val="TAL"/>
              <w:rPr>
                <w:rFonts w:cs="Arial"/>
              </w:rPr>
            </w:pPr>
            <w:r>
              <w:rPr>
                <w:rFonts w:cs="Arial"/>
              </w:rPr>
              <w:t>NR Band n89</w:t>
            </w:r>
          </w:p>
        </w:tc>
        <w:tc>
          <w:tcPr>
            <w:tcW w:w="1700" w:type="dxa"/>
            <w:tcBorders>
              <w:top w:val="single" w:sz="2" w:space="0" w:color="auto"/>
              <w:left w:val="single" w:sz="2" w:space="0" w:color="auto"/>
              <w:bottom w:val="single" w:sz="2" w:space="0" w:color="auto"/>
              <w:right w:val="single" w:sz="2" w:space="0" w:color="auto"/>
            </w:tcBorders>
            <w:hideMark/>
          </w:tcPr>
          <w:p w14:paraId="1EF76DF3" w14:textId="77777777" w:rsidR="00B3234F" w:rsidRDefault="00B3234F" w:rsidP="004C7013">
            <w:pPr>
              <w:pStyle w:val="TAC"/>
            </w:pPr>
            <w:r>
              <w:rPr>
                <w:rFonts w:cs="Arial"/>
              </w:rPr>
              <w:t>824 – 849 MHz</w:t>
            </w:r>
          </w:p>
        </w:tc>
        <w:tc>
          <w:tcPr>
            <w:tcW w:w="851" w:type="dxa"/>
            <w:tcBorders>
              <w:top w:val="single" w:sz="2" w:space="0" w:color="auto"/>
              <w:left w:val="single" w:sz="2" w:space="0" w:color="auto"/>
              <w:bottom w:val="single" w:sz="2" w:space="0" w:color="auto"/>
              <w:right w:val="single" w:sz="2" w:space="0" w:color="auto"/>
            </w:tcBorders>
            <w:hideMark/>
          </w:tcPr>
          <w:p w14:paraId="1541D16E" w14:textId="77777777" w:rsidR="00B3234F" w:rsidRDefault="00B3234F"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190C2DBF"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343C87D" w14:textId="77777777" w:rsidR="00B3234F" w:rsidRDefault="00B3234F" w:rsidP="004C7013">
            <w:pPr>
              <w:pStyle w:val="TAL"/>
            </w:pPr>
          </w:p>
        </w:tc>
      </w:tr>
      <w:tr w:rsidR="004C7013" w:rsidRPr="00AB3358" w14:paraId="4B9918A5"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73CDA8A0" w14:textId="77777777" w:rsidR="004C7013" w:rsidRDefault="004C7013" w:rsidP="00676DAA">
            <w:pPr>
              <w:pStyle w:val="TAL"/>
            </w:pPr>
            <w:r>
              <w:t>NR Band n91</w:t>
            </w:r>
          </w:p>
        </w:tc>
        <w:tc>
          <w:tcPr>
            <w:tcW w:w="1700" w:type="dxa"/>
            <w:tcBorders>
              <w:top w:val="single" w:sz="2" w:space="0" w:color="auto"/>
              <w:left w:val="single" w:sz="4" w:space="0" w:color="auto"/>
              <w:bottom w:val="single" w:sz="2" w:space="0" w:color="auto"/>
              <w:right w:val="single" w:sz="2" w:space="0" w:color="auto"/>
            </w:tcBorders>
            <w:hideMark/>
          </w:tcPr>
          <w:p w14:paraId="33CB0361" w14:textId="77777777" w:rsidR="004C7013" w:rsidRDefault="004C7013" w:rsidP="004C7013">
            <w:pPr>
              <w:pStyle w:val="TAC"/>
              <w:rPr>
                <w:rFonts w:cs="Arial"/>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hideMark/>
          </w:tcPr>
          <w:p w14:paraId="0E4D6075"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97A0F2B"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AA4B3F8" w14:textId="77777777" w:rsidR="004C7013" w:rsidRDefault="004C7013" w:rsidP="004C7013">
            <w:pPr>
              <w:pStyle w:val="TAL"/>
            </w:pPr>
          </w:p>
        </w:tc>
      </w:tr>
      <w:tr w:rsidR="004C7013" w:rsidRPr="00AB3358" w14:paraId="04AD6599"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4B534CD4" w14:textId="77777777" w:rsidR="004C7013" w:rsidRDefault="004C7013" w:rsidP="00676DAA">
            <w:pPr>
              <w:pStyle w:val="TAL"/>
            </w:pPr>
          </w:p>
        </w:tc>
        <w:tc>
          <w:tcPr>
            <w:tcW w:w="1700" w:type="dxa"/>
            <w:tcBorders>
              <w:top w:val="single" w:sz="2" w:space="0" w:color="auto"/>
              <w:left w:val="single" w:sz="4" w:space="0" w:color="auto"/>
              <w:bottom w:val="single" w:sz="2" w:space="0" w:color="auto"/>
              <w:right w:val="single" w:sz="2" w:space="0" w:color="auto"/>
            </w:tcBorders>
            <w:hideMark/>
          </w:tcPr>
          <w:p w14:paraId="55B74784" w14:textId="77777777" w:rsidR="004C7013" w:rsidRDefault="004C7013" w:rsidP="004C7013">
            <w:pPr>
              <w:pStyle w:val="TAC"/>
              <w:rPr>
                <w:rFonts w:cs="Arial"/>
              </w:rPr>
            </w:pPr>
            <w:r>
              <w:rPr>
                <w:rFonts w:cs="Arial"/>
              </w:rPr>
              <w:t>832 – 862 MHz</w:t>
            </w:r>
          </w:p>
        </w:tc>
        <w:tc>
          <w:tcPr>
            <w:tcW w:w="851" w:type="dxa"/>
            <w:tcBorders>
              <w:top w:val="single" w:sz="2" w:space="0" w:color="auto"/>
              <w:left w:val="single" w:sz="2" w:space="0" w:color="auto"/>
              <w:bottom w:val="single" w:sz="2" w:space="0" w:color="auto"/>
              <w:right w:val="single" w:sz="2" w:space="0" w:color="auto"/>
            </w:tcBorders>
            <w:hideMark/>
          </w:tcPr>
          <w:p w14:paraId="733F7F5F"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66065958"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C9E6C4C" w14:textId="77777777" w:rsidR="004C7013" w:rsidRDefault="004C7013" w:rsidP="004C7013">
            <w:pPr>
              <w:pStyle w:val="TAL"/>
            </w:pPr>
          </w:p>
        </w:tc>
      </w:tr>
      <w:tr w:rsidR="004C7013" w:rsidRPr="00AB3358" w14:paraId="67B56B8B"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0B1F44B9" w14:textId="77777777" w:rsidR="004C7013" w:rsidRDefault="004C7013" w:rsidP="00676DAA">
            <w:pPr>
              <w:pStyle w:val="TAL"/>
            </w:pPr>
            <w:r>
              <w:t>NR Band n92</w:t>
            </w:r>
          </w:p>
        </w:tc>
        <w:tc>
          <w:tcPr>
            <w:tcW w:w="1700" w:type="dxa"/>
            <w:tcBorders>
              <w:top w:val="single" w:sz="2" w:space="0" w:color="auto"/>
              <w:left w:val="single" w:sz="4" w:space="0" w:color="auto"/>
              <w:bottom w:val="single" w:sz="2" w:space="0" w:color="auto"/>
              <w:right w:val="single" w:sz="2" w:space="0" w:color="auto"/>
            </w:tcBorders>
            <w:hideMark/>
          </w:tcPr>
          <w:p w14:paraId="499C3224" w14:textId="77777777" w:rsidR="004C7013" w:rsidRDefault="004C7013" w:rsidP="004C7013">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hideMark/>
          </w:tcPr>
          <w:p w14:paraId="083C6D1E"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132C9CE"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4749643" w14:textId="77777777" w:rsidR="004C7013" w:rsidRDefault="004C7013" w:rsidP="004C7013">
            <w:pPr>
              <w:pStyle w:val="TAL"/>
            </w:pPr>
          </w:p>
        </w:tc>
      </w:tr>
      <w:tr w:rsidR="004C7013" w:rsidRPr="00AB3358" w14:paraId="6F56D20B"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35EBA038" w14:textId="77777777" w:rsidR="004C7013" w:rsidRDefault="004C7013" w:rsidP="00676DAA">
            <w:pPr>
              <w:pStyle w:val="TAL"/>
            </w:pPr>
          </w:p>
        </w:tc>
        <w:tc>
          <w:tcPr>
            <w:tcW w:w="1700" w:type="dxa"/>
            <w:tcBorders>
              <w:top w:val="single" w:sz="2" w:space="0" w:color="auto"/>
              <w:left w:val="single" w:sz="4" w:space="0" w:color="auto"/>
              <w:bottom w:val="single" w:sz="2" w:space="0" w:color="auto"/>
              <w:right w:val="single" w:sz="2" w:space="0" w:color="auto"/>
            </w:tcBorders>
            <w:hideMark/>
          </w:tcPr>
          <w:p w14:paraId="2B6E4D53" w14:textId="77777777" w:rsidR="004C7013" w:rsidRDefault="004C7013" w:rsidP="004C7013">
            <w:pPr>
              <w:pStyle w:val="TAC"/>
              <w:rPr>
                <w:rFonts w:cs="Arial"/>
              </w:rPr>
            </w:pPr>
            <w:r>
              <w:rPr>
                <w:rFonts w:cs="Arial"/>
              </w:rPr>
              <w:t>832 – 862 MHz</w:t>
            </w:r>
          </w:p>
        </w:tc>
        <w:tc>
          <w:tcPr>
            <w:tcW w:w="851" w:type="dxa"/>
            <w:tcBorders>
              <w:top w:val="single" w:sz="2" w:space="0" w:color="auto"/>
              <w:left w:val="single" w:sz="2" w:space="0" w:color="auto"/>
              <w:bottom w:val="single" w:sz="2" w:space="0" w:color="auto"/>
              <w:right w:val="single" w:sz="2" w:space="0" w:color="auto"/>
            </w:tcBorders>
            <w:hideMark/>
          </w:tcPr>
          <w:p w14:paraId="41993FD8"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2F332161"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7944CE5" w14:textId="77777777" w:rsidR="004C7013" w:rsidRDefault="004C7013" w:rsidP="004C7013">
            <w:pPr>
              <w:pStyle w:val="TAL"/>
            </w:pPr>
          </w:p>
        </w:tc>
      </w:tr>
      <w:tr w:rsidR="004C7013" w:rsidRPr="00AB3358" w14:paraId="0B02764F"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70C4DC91" w14:textId="77777777" w:rsidR="004C7013" w:rsidRDefault="004C7013" w:rsidP="00676DAA">
            <w:pPr>
              <w:pStyle w:val="TAL"/>
            </w:pPr>
            <w:r>
              <w:t>NR Band n93</w:t>
            </w:r>
          </w:p>
        </w:tc>
        <w:tc>
          <w:tcPr>
            <w:tcW w:w="1700" w:type="dxa"/>
            <w:tcBorders>
              <w:top w:val="single" w:sz="2" w:space="0" w:color="auto"/>
              <w:left w:val="single" w:sz="4" w:space="0" w:color="auto"/>
              <w:bottom w:val="single" w:sz="2" w:space="0" w:color="auto"/>
              <w:right w:val="single" w:sz="2" w:space="0" w:color="auto"/>
            </w:tcBorders>
            <w:hideMark/>
          </w:tcPr>
          <w:p w14:paraId="4B4E8828" w14:textId="77777777" w:rsidR="004C7013" w:rsidRDefault="004C7013" w:rsidP="004C7013">
            <w:pPr>
              <w:pStyle w:val="TAC"/>
              <w:rPr>
                <w:rFonts w:cs="Arial"/>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hideMark/>
          </w:tcPr>
          <w:p w14:paraId="1ECA4C83"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51E5F93B"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E973CBF" w14:textId="77777777" w:rsidR="004C7013" w:rsidRDefault="004C7013" w:rsidP="004C7013">
            <w:pPr>
              <w:pStyle w:val="TAL"/>
            </w:pPr>
          </w:p>
        </w:tc>
      </w:tr>
      <w:tr w:rsidR="004C7013" w:rsidRPr="00AB3358" w14:paraId="47E9B64C"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78815F2E" w14:textId="77777777" w:rsidR="004C7013" w:rsidRDefault="004C7013" w:rsidP="00676DAA">
            <w:pPr>
              <w:pStyle w:val="TAL"/>
            </w:pPr>
          </w:p>
        </w:tc>
        <w:tc>
          <w:tcPr>
            <w:tcW w:w="1700" w:type="dxa"/>
            <w:tcBorders>
              <w:top w:val="single" w:sz="2" w:space="0" w:color="auto"/>
              <w:left w:val="single" w:sz="4" w:space="0" w:color="auto"/>
              <w:bottom w:val="single" w:sz="2" w:space="0" w:color="auto"/>
              <w:right w:val="single" w:sz="2" w:space="0" w:color="auto"/>
            </w:tcBorders>
            <w:hideMark/>
          </w:tcPr>
          <w:p w14:paraId="162D678B" w14:textId="77777777" w:rsidR="004C7013" w:rsidRDefault="004C7013" w:rsidP="004C7013">
            <w:pPr>
              <w:pStyle w:val="TAC"/>
              <w:rPr>
                <w:rFonts w:cs="Arial"/>
              </w:rPr>
            </w:pPr>
            <w:r>
              <w:rPr>
                <w:rFonts w:cs="Arial"/>
              </w:rPr>
              <w:t>880 – 915 MHz</w:t>
            </w:r>
          </w:p>
        </w:tc>
        <w:tc>
          <w:tcPr>
            <w:tcW w:w="851" w:type="dxa"/>
            <w:tcBorders>
              <w:top w:val="single" w:sz="2" w:space="0" w:color="auto"/>
              <w:left w:val="single" w:sz="2" w:space="0" w:color="auto"/>
              <w:bottom w:val="single" w:sz="2" w:space="0" w:color="auto"/>
              <w:right w:val="single" w:sz="2" w:space="0" w:color="auto"/>
            </w:tcBorders>
            <w:hideMark/>
          </w:tcPr>
          <w:p w14:paraId="66E9EE79"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76E93E4"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282C55F1" w14:textId="77777777" w:rsidR="004C7013" w:rsidRDefault="004C7013" w:rsidP="004C7013">
            <w:pPr>
              <w:pStyle w:val="TAL"/>
            </w:pPr>
          </w:p>
        </w:tc>
      </w:tr>
      <w:tr w:rsidR="004C7013" w:rsidRPr="00AB3358" w14:paraId="12258424" w14:textId="77777777" w:rsidTr="004C7013">
        <w:trPr>
          <w:cantSplit/>
          <w:trHeight w:val="113"/>
          <w:jc w:val="center"/>
        </w:trPr>
        <w:tc>
          <w:tcPr>
            <w:tcW w:w="1301" w:type="dxa"/>
            <w:tcBorders>
              <w:top w:val="single" w:sz="4" w:space="0" w:color="auto"/>
              <w:left w:val="single" w:sz="4" w:space="0" w:color="auto"/>
              <w:bottom w:val="nil"/>
              <w:right w:val="single" w:sz="4" w:space="0" w:color="auto"/>
            </w:tcBorders>
            <w:shd w:val="clear" w:color="auto" w:fill="auto"/>
            <w:hideMark/>
          </w:tcPr>
          <w:p w14:paraId="6C0360D7" w14:textId="77777777" w:rsidR="004C7013" w:rsidRDefault="004C7013" w:rsidP="00676DAA">
            <w:pPr>
              <w:pStyle w:val="TAL"/>
            </w:pPr>
            <w:r>
              <w:t>NR Band n94</w:t>
            </w:r>
          </w:p>
        </w:tc>
        <w:tc>
          <w:tcPr>
            <w:tcW w:w="1700" w:type="dxa"/>
            <w:tcBorders>
              <w:top w:val="single" w:sz="2" w:space="0" w:color="auto"/>
              <w:left w:val="single" w:sz="4" w:space="0" w:color="auto"/>
              <w:bottom w:val="single" w:sz="2" w:space="0" w:color="auto"/>
              <w:right w:val="single" w:sz="2" w:space="0" w:color="auto"/>
            </w:tcBorders>
            <w:hideMark/>
          </w:tcPr>
          <w:p w14:paraId="58A71323" w14:textId="77777777" w:rsidR="004C7013" w:rsidRDefault="004C7013" w:rsidP="004C7013">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hideMark/>
          </w:tcPr>
          <w:p w14:paraId="1C960972" w14:textId="77777777" w:rsidR="004C7013" w:rsidRDefault="004C7013"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42F52B30"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286A2EF" w14:textId="77777777" w:rsidR="004C7013" w:rsidRDefault="004C7013" w:rsidP="004C7013">
            <w:pPr>
              <w:pStyle w:val="TAL"/>
            </w:pPr>
          </w:p>
        </w:tc>
      </w:tr>
      <w:tr w:rsidR="004C7013" w:rsidRPr="00AB3358" w14:paraId="7407DBC3" w14:textId="77777777" w:rsidTr="004C7013">
        <w:trPr>
          <w:cantSplit/>
          <w:trHeight w:val="113"/>
          <w:jc w:val="center"/>
        </w:trPr>
        <w:tc>
          <w:tcPr>
            <w:tcW w:w="1301" w:type="dxa"/>
            <w:tcBorders>
              <w:top w:val="nil"/>
              <w:left w:val="single" w:sz="4" w:space="0" w:color="auto"/>
              <w:bottom w:val="single" w:sz="4" w:space="0" w:color="auto"/>
              <w:right w:val="single" w:sz="4" w:space="0" w:color="auto"/>
            </w:tcBorders>
            <w:shd w:val="clear" w:color="auto" w:fill="auto"/>
            <w:hideMark/>
          </w:tcPr>
          <w:p w14:paraId="444B2056" w14:textId="77777777" w:rsidR="004C7013" w:rsidRDefault="004C7013" w:rsidP="00676DAA">
            <w:pPr>
              <w:pStyle w:val="TAL"/>
            </w:pPr>
          </w:p>
        </w:tc>
        <w:tc>
          <w:tcPr>
            <w:tcW w:w="1700" w:type="dxa"/>
            <w:tcBorders>
              <w:top w:val="single" w:sz="2" w:space="0" w:color="auto"/>
              <w:left w:val="single" w:sz="4" w:space="0" w:color="auto"/>
              <w:bottom w:val="single" w:sz="2" w:space="0" w:color="auto"/>
              <w:right w:val="single" w:sz="2" w:space="0" w:color="auto"/>
            </w:tcBorders>
            <w:hideMark/>
          </w:tcPr>
          <w:p w14:paraId="1124531E" w14:textId="77777777" w:rsidR="004C7013" w:rsidRDefault="004C7013" w:rsidP="004C7013">
            <w:pPr>
              <w:pStyle w:val="TAC"/>
              <w:rPr>
                <w:rFonts w:cs="Arial"/>
              </w:rPr>
            </w:pPr>
            <w:r>
              <w:rPr>
                <w:rFonts w:cs="Arial"/>
              </w:rPr>
              <w:t>880 – 915 MHz</w:t>
            </w:r>
          </w:p>
        </w:tc>
        <w:tc>
          <w:tcPr>
            <w:tcW w:w="851" w:type="dxa"/>
            <w:tcBorders>
              <w:top w:val="single" w:sz="2" w:space="0" w:color="auto"/>
              <w:left w:val="single" w:sz="2" w:space="0" w:color="auto"/>
              <w:bottom w:val="single" w:sz="2" w:space="0" w:color="auto"/>
              <w:right w:val="single" w:sz="2" w:space="0" w:color="auto"/>
            </w:tcBorders>
            <w:hideMark/>
          </w:tcPr>
          <w:p w14:paraId="39957180" w14:textId="77777777" w:rsidR="004C7013" w:rsidRDefault="004C7013" w:rsidP="004C7013">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hideMark/>
          </w:tcPr>
          <w:p w14:paraId="35301FE8" w14:textId="77777777" w:rsidR="004C7013" w:rsidRDefault="004C7013"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244CA0C" w14:textId="77777777" w:rsidR="004C7013" w:rsidRDefault="004C7013" w:rsidP="004C7013">
            <w:pPr>
              <w:pStyle w:val="TAL"/>
            </w:pPr>
          </w:p>
        </w:tc>
      </w:tr>
      <w:tr w:rsidR="00B3234F" w14:paraId="5CA05134" w14:textId="77777777" w:rsidTr="005408A0">
        <w:trPr>
          <w:cantSplit/>
          <w:trHeight w:val="113"/>
          <w:jc w:val="center"/>
        </w:trPr>
        <w:tc>
          <w:tcPr>
            <w:tcW w:w="1301" w:type="dxa"/>
            <w:tcBorders>
              <w:top w:val="single" w:sz="4" w:space="0" w:color="auto"/>
              <w:left w:val="single" w:sz="2" w:space="0" w:color="auto"/>
              <w:bottom w:val="single" w:sz="4" w:space="0" w:color="auto"/>
              <w:right w:val="single" w:sz="2" w:space="0" w:color="auto"/>
            </w:tcBorders>
            <w:hideMark/>
          </w:tcPr>
          <w:p w14:paraId="6C86CAE3" w14:textId="77777777" w:rsidR="00B3234F" w:rsidRDefault="00B3234F" w:rsidP="004C7013">
            <w:pPr>
              <w:pStyle w:val="TAL"/>
              <w:rPr>
                <w:rFonts w:cs="Arial"/>
              </w:rPr>
            </w:pPr>
            <w:r>
              <w:rPr>
                <w:rFonts w:cs="Arial"/>
              </w:rPr>
              <w:t>NR Band n95</w:t>
            </w:r>
          </w:p>
        </w:tc>
        <w:tc>
          <w:tcPr>
            <w:tcW w:w="1700" w:type="dxa"/>
            <w:tcBorders>
              <w:top w:val="single" w:sz="2" w:space="0" w:color="auto"/>
              <w:left w:val="single" w:sz="2" w:space="0" w:color="auto"/>
              <w:bottom w:val="single" w:sz="2" w:space="0" w:color="auto"/>
              <w:right w:val="single" w:sz="2" w:space="0" w:color="auto"/>
            </w:tcBorders>
            <w:hideMark/>
          </w:tcPr>
          <w:p w14:paraId="0A225AD5" w14:textId="77777777" w:rsidR="00B3234F" w:rsidRDefault="00B3234F" w:rsidP="004C7013">
            <w:pPr>
              <w:pStyle w:val="TAC"/>
              <w:rPr>
                <w:rFonts w:cs="Arial"/>
              </w:rPr>
            </w:pPr>
            <w:r>
              <w:rPr>
                <w:rFonts w:cs="Arial"/>
              </w:rPr>
              <w:t>2010 – 2025 MHz</w:t>
            </w:r>
          </w:p>
        </w:tc>
        <w:tc>
          <w:tcPr>
            <w:tcW w:w="851" w:type="dxa"/>
            <w:tcBorders>
              <w:top w:val="single" w:sz="2" w:space="0" w:color="auto"/>
              <w:left w:val="single" w:sz="2" w:space="0" w:color="auto"/>
              <w:bottom w:val="single" w:sz="2" w:space="0" w:color="auto"/>
              <w:right w:val="single" w:sz="2" w:space="0" w:color="auto"/>
            </w:tcBorders>
            <w:hideMark/>
          </w:tcPr>
          <w:p w14:paraId="6303544D" w14:textId="77777777" w:rsidR="00B3234F" w:rsidRDefault="00B3234F" w:rsidP="004C701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hideMark/>
          </w:tcPr>
          <w:p w14:paraId="11C5ED49" w14:textId="77777777" w:rsidR="00B3234F" w:rsidRDefault="00B3234F" w:rsidP="004C7013">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712CBECA" w14:textId="77777777" w:rsidR="00B3234F" w:rsidRDefault="00B3234F" w:rsidP="004C7013">
            <w:pPr>
              <w:pStyle w:val="TAL"/>
            </w:pPr>
          </w:p>
        </w:tc>
      </w:tr>
      <w:tr w:rsidR="005408A0" w14:paraId="338D0CAA" w14:textId="77777777" w:rsidTr="001C26F8">
        <w:trPr>
          <w:cantSplit/>
          <w:trHeight w:val="113"/>
          <w:jc w:val="center"/>
        </w:trPr>
        <w:tc>
          <w:tcPr>
            <w:tcW w:w="1301" w:type="dxa"/>
            <w:tcBorders>
              <w:top w:val="single" w:sz="4" w:space="0" w:color="auto"/>
              <w:left w:val="single" w:sz="2" w:space="0" w:color="auto"/>
              <w:bottom w:val="single" w:sz="4" w:space="0" w:color="auto"/>
              <w:right w:val="single" w:sz="2" w:space="0" w:color="auto"/>
            </w:tcBorders>
          </w:tcPr>
          <w:p w14:paraId="2E5455AB" w14:textId="45157601" w:rsidR="005408A0" w:rsidRDefault="005408A0" w:rsidP="005408A0">
            <w:pPr>
              <w:pStyle w:val="TAL"/>
              <w:rPr>
                <w:rFonts w:cs="Arial"/>
              </w:rPr>
            </w:pPr>
            <w:r>
              <w:rPr>
                <w:rFonts w:cs="Arial"/>
                <w:lang w:eastAsia="ko-KR"/>
              </w:rPr>
              <w:t>NR Band n96</w:t>
            </w:r>
          </w:p>
        </w:tc>
        <w:tc>
          <w:tcPr>
            <w:tcW w:w="1700" w:type="dxa"/>
            <w:tcBorders>
              <w:top w:val="single" w:sz="2" w:space="0" w:color="auto"/>
              <w:left w:val="single" w:sz="2" w:space="0" w:color="auto"/>
              <w:bottom w:val="single" w:sz="2" w:space="0" w:color="auto"/>
              <w:right w:val="single" w:sz="2" w:space="0" w:color="auto"/>
            </w:tcBorders>
          </w:tcPr>
          <w:p w14:paraId="746749B9" w14:textId="635CD176" w:rsidR="005408A0" w:rsidRDefault="005408A0" w:rsidP="005408A0">
            <w:pPr>
              <w:pStyle w:val="TAC"/>
              <w:rPr>
                <w:rFonts w:cs="Arial"/>
              </w:rPr>
            </w:pPr>
            <w:r>
              <w:rPr>
                <w:rFonts w:cs="Arial"/>
              </w:rPr>
              <w:t>5925 – 7125 MHz</w:t>
            </w:r>
          </w:p>
        </w:tc>
        <w:tc>
          <w:tcPr>
            <w:tcW w:w="851" w:type="dxa"/>
            <w:tcBorders>
              <w:top w:val="single" w:sz="2" w:space="0" w:color="auto"/>
              <w:left w:val="single" w:sz="2" w:space="0" w:color="auto"/>
              <w:bottom w:val="single" w:sz="2" w:space="0" w:color="auto"/>
              <w:right w:val="single" w:sz="2" w:space="0" w:color="auto"/>
            </w:tcBorders>
          </w:tcPr>
          <w:p w14:paraId="39843EC9" w14:textId="7ADC988B" w:rsidR="005408A0" w:rsidRDefault="005408A0" w:rsidP="005408A0">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2169732C" w14:textId="7BD51649" w:rsidR="005408A0" w:rsidRDefault="005408A0" w:rsidP="005408A0">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657423C4" w14:textId="77777777" w:rsidR="005408A0" w:rsidRDefault="005408A0" w:rsidP="005408A0">
            <w:pPr>
              <w:pStyle w:val="TAL"/>
            </w:pPr>
          </w:p>
        </w:tc>
      </w:tr>
      <w:tr w:rsidR="00CD36DC" w14:paraId="4457073F" w14:textId="77777777" w:rsidTr="001C26F8">
        <w:trPr>
          <w:cantSplit/>
          <w:trHeight w:val="113"/>
          <w:jc w:val="center"/>
        </w:trPr>
        <w:tc>
          <w:tcPr>
            <w:tcW w:w="1301" w:type="dxa"/>
            <w:tcBorders>
              <w:top w:val="single" w:sz="4" w:space="0" w:color="auto"/>
              <w:left w:val="single" w:sz="2" w:space="0" w:color="auto"/>
              <w:bottom w:val="single" w:sz="4" w:space="0" w:color="auto"/>
              <w:right w:val="single" w:sz="2" w:space="0" w:color="auto"/>
            </w:tcBorders>
          </w:tcPr>
          <w:p w14:paraId="2ED2C12F" w14:textId="36597589" w:rsidR="00CD36DC" w:rsidRDefault="00CD36DC" w:rsidP="00CD36DC">
            <w:pPr>
              <w:pStyle w:val="TAL"/>
              <w:rPr>
                <w:rFonts w:cs="Arial"/>
                <w:lang w:eastAsia="ko-KR"/>
              </w:rPr>
            </w:pPr>
            <w:r>
              <w:rPr>
                <w:rFonts w:cs="Arial"/>
                <w:lang w:eastAsia="ko-KR"/>
              </w:rPr>
              <w:t>NR Band n</w:t>
            </w:r>
            <w:r>
              <w:rPr>
                <w:rFonts w:cs="Arial"/>
                <w:lang w:eastAsia="zh-CN"/>
              </w:rPr>
              <w:t>97</w:t>
            </w:r>
          </w:p>
        </w:tc>
        <w:tc>
          <w:tcPr>
            <w:tcW w:w="1700" w:type="dxa"/>
            <w:tcBorders>
              <w:top w:val="single" w:sz="2" w:space="0" w:color="auto"/>
              <w:left w:val="single" w:sz="2" w:space="0" w:color="auto"/>
              <w:bottom w:val="single" w:sz="2" w:space="0" w:color="auto"/>
              <w:right w:val="single" w:sz="2" w:space="0" w:color="auto"/>
            </w:tcBorders>
          </w:tcPr>
          <w:p w14:paraId="6649E42A" w14:textId="20FEE60F" w:rsidR="00CD36DC" w:rsidRDefault="00CD36DC" w:rsidP="00CD36DC">
            <w:pPr>
              <w:pStyle w:val="TAC"/>
              <w:rPr>
                <w:rFonts w:cs="Arial"/>
              </w:rPr>
            </w:pPr>
            <w:r>
              <w:rPr>
                <w:rFonts w:cs="Arial"/>
                <w:lang w:eastAsia="zh-CN"/>
              </w:rPr>
              <w:t xml:space="preserve">2300 </w:t>
            </w:r>
            <w:r>
              <w:rPr>
                <w:rFonts w:cs="Arial"/>
              </w:rPr>
              <w:t xml:space="preserve">– </w:t>
            </w:r>
            <w:r>
              <w:rPr>
                <w:rFonts w:cs="Arial"/>
                <w:lang w:eastAsia="zh-CN"/>
              </w:rPr>
              <w:t>2400MHz</w:t>
            </w:r>
          </w:p>
        </w:tc>
        <w:tc>
          <w:tcPr>
            <w:tcW w:w="851" w:type="dxa"/>
            <w:tcBorders>
              <w:top w:val="single" w:sz="2" w:space="0" w:color="auto"/>
              <w:left w:val="single" w:sz="2" w:space="0" w:color="auto"/>
              <w:bottom w:val="single" w:sz="2" w:space="0" w:color="auto"/>
              <w:right w:val="single" w:sz="2" w:space="0" w:color="auto"/>
            </w:tcBorders>
          </w:tcPr>
          <w:p w14:paraId="3BC31306" w14:textId="6DCC8664" w:rsidR="00CD36DC" w:rsidRDefault="00CD36DC" w:rsidP="00CD36D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45BD9902" w14:textId="5A4CAC54" w:rsidR="00CD36DC" w:rsidRDefault="00CD36DC" w:rsidP="00CD36D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15A3B4AD" w14:textId="77777777" w:rsidR="00CD36DC" w:rsidRDefault="00CD36DC" w:rsidP="00CD36DC">
            <w:pPr>
              <w:pStyle w:val="TAL"/>
            </w:pPr>
          </w:p>
        </w:tc>
      </w:tr>
      <w:tr w:rsidR="00CD36DC" w14:paraId="4FD8ADE8" w14:textId="77777777" w:rsidTr="001C26F8">
        <w:trPr>
          <w:cantSplit/>
          <w:trHeight w:val="113"/>
          <w:jc w:val="center"/>
        </w:trPr>
        <w:tc>
          <w:tcPr>
            <w:tcW w:w="1301" w:type="dxa"/>
            <w:tcBorders>
              <w:top w:val="single" w:sz="4" w:space="0" w:color="auto"/>
              <w:left w:val="single" w:sz="2" w:space="0" w:color="auto"/>
              <w:bottom w:val="single" w:sz="4" w:space="0" w:color="auto"/>
              <w:right w:val="single" w:sz="2" w:space="0" w:color="auto"/>
            </w:tcBorders>
          </w:tcPr>
          <w:p w14:paraId="4CA1CD32" w14:textId="4A7BF20D" w:rsidR="00CD36DC" w:rsidRDefault="00CD36DC" w:rsidP="00CD36DC">
            <w:pPr>
              <w:pStyle w:val="TAL"/>
              <w:rPr>
                <w:rFonts w:cs="Arial"/>
                <w:lang w:eastAsia="ko-KR"/>
              </w:rPr>
            </w:pPr>
            <w:r>
              <w:rPr>
                <w:rFonts w:cs="Arial"/>
                <w:lang w:eastAsia="ko-KR"/>
              </w:rPr>
              <w:lastRenderedPageBreak/>
              <w:t>NR Band n98</w:t>
            </w:r>
          </w:p>
        </w:tc>
        <w:tc>
          <w:tcPr>
            <w:tcW w:w="1700" w:type="dxa"/>
            <w:tcBorders>
              <w:top w:val="single" w:sz="2" w:space="0" w:color="auto"/>
              <w:left w:val="single" w:sz="2" w:space="0" w:color="auto"/>
              <w:bottom w:val="single" w:sz="2" w:space="0" w:color="auto"/>
              <w:right w:val="single" w:sz="2" w:space="0" w:color="auto"/>
            </w:tcBorders>
          </w:tcPr>
          <w:p w14:paraId="7649DC17" w14:textId="1001A6E8" w:rsidR="00CD36DC" w:rsidRDefault="00CD36DC" w:rsidP="00CD36DC">
            <w:pPr>
              <w:pStyle w:val="TAC"/>
              <w:rPr>
                <w:rFonts w:cs="Arial"/>
              </w:rPr>
            </w:pPr>
            <w:r>
              <w:rPr>
                <w:rFonts w:cs="Arial"/>
                <w:lang w:eastAsia="zh-CN"/>
              </w:rPr>
              <w:t>1880</w:t>
            </w:r>
            <w:r>
              <w:rPr>
                <w:rFonts w:cs="Arial"/>
              </w:rPr>
              <w:t xml:space="preserve"> – </w:t>
            </w:r>
            <w:r>
              <w:rPr>
                <w:rFonts w:cs="Arial"/>
                <w:lang w:eastAsia="zh-CN"/>
              </w:rPr>
              <w:t>1920MHz</w:t>
            </w:r>
          </w:p>
        </w:tc>
        <w:tc>
          <w:tcPr>
            <w:tcW w:w="851" w:type="dxa"/>
            <w:tcBorders>
              <w:top w:val="single" w:sz="2" w:space="0" w:color="auto"/>
              <w:left w:val="single" w:sz="2" w:space="0" w:color="auto"/>
              <w:bottom w:val="single" w:sz="2" w:space="0" w:color="auto"/>
              <w:right w:val="single" w:sz="2" w:space="0" w:color="auto"/>
            </w:tcBorders>
          </w:tcPr>
          <w:p w14:paraId="0A8D51E6" w14:textId="2A6CBF04" w:rsidR="00CD36DC" w:rsidRDefault="00CD36DC" w:rsidP="00CD36D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6A8B9BA0" w14:textId="28E8C0CA" w:rsidR="00CD36DC" w:rsidRDefault="00CD36DC" w:rsidP="00CD36D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8DE3660" w14:textId="77777777" w:rsidR="00CD36DC" w:rsidRDefault="00CD36DC" w:rsidP="00CD36DC">
            <w:pPr>
              <w:pStyle w:val="TAL"/>
            </w:pPr>
          </w:p>
        </w:tc>
      </w:tr>
      <w:tr w:rsidR="00CD36DC" w14:paraId="72796CE3" w14:textId="77777777" w:rsidTr="001C26F8">
        <w:trPr>
          <w:cantSplit/>
          <w:trHeight w:val="113"/>
          <w:jc w:val="center"/>
        </w:trPr>
        <w:tc>
          <w:tcPr>
            <w:tcW w:w="1301" w:type="dxa"/>
            <w:tcBorders>
              <w:top w:val="single" w:sz="4" w:space="0" w:color="auto"/>
              <w:left w:val="single" w:sz="2" w:space="0" w:color="auto"/>
              <w:bottom w:val="single" w:sz="4" w:space="0" w:color="auto"/>
              <w:right w:val="single" w:sz="2" w:space="0" w:color="auto"/>
            </w:tcBorders>
          </w:tcPr>
          <w:p w14:paraId="04BA2259" w14:textId="0438D20A" w:rsidR="00CD36DC" w:rsidRDefault="00CD36DC" w:rsidP="00CD36DC">
            <w:pPr>
              <w:pStyle w:val="TAL"/>
              <w:rPr>
                <w:rFonts w:cs="Arial"/>
                <w:lang w:eastAsia="ko-KR"/>
              </w:rPr>
            </w:pPr>
            <w:r>
              <w:rPr>
                <w:rFonts w:cs="Arial"/>
                <w:lang w:eastAsia="ko-KR"/>
              </w:rPr>
              <w:t>NR Band n99</w:t>
            </w:r>
          </w:p>
        </w:tc>
        <w:tc>
          <w:tcPr>
            <w:tcW w:w="1700" w:type="dxa"/>
            <w:tcBorders>
              <w:top w:val="single" w:sz="2" w:space="0" w:color="auto"/>
              <w:left w:val="single" w:sz="2" w:space="0" w:color="auto"/>
              <w:bottom w:val="single" w:sz="2" w:space="0" w:color="auto"/>
              <w:right w:val="single" w:sz="2" w:space="0" w:color="auto"/>
            </w:tcBorders>
          </w:tcPr>
          <w:p w14:paraId="73C45B57" w14:textId="12DE7625" w:rsidR="00CD36DC" w:rsidRDefault="00CD36DC" w:rsidP="00CD36DC">
            <w:pPr>
              <w:pStyle w:val="TAC"/>
              <w:rPr>
                <w:rFonts w:cs="Arial"/>
              </w:rPr>
            </w:pPr>
            <w:r>
              <w:rPr>
                <w:rFonts w:cs="Arial"/>
              </w:rPr>
              <w:t>1626.5 – 1660.5 MHz</w:t>
            </w:r>
          </w:p>
        </w:tc>
        <w:tc>
          <w:tcPr>
            <w:tcW w:w="851" w:type="dxa"/>
            <w:tcBorders>
              <w:top w:val="single" w:sz="2" w:space="0" w:color="auto"/>
              <w:left w:val="single" w:sz="2" w:space="0" w:color="auto"/>
              <w:bottom w:val="single" w:sz="2" w:space="0" w:color="auto"/>
              <w:right w:val="single" w:sz="2" w:space="0" w:color="auto"/>
            </w:tcBorders>
          </w:tcPr>
          <w:p w14:paraId="4EF0FC7C" w14:textId="7B6718DE" w:rsidR="00CD36DC" w:rsidRDefault="00CD36DC" w:rsidP="00CD36DC">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0E12FFD6" w14:textId="3D31FC07" w:rsidR="00CD36DC" w:rsidRDefault="00CD36DC" w:rsidP="00CD36D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09ED5F9B" w14:textId="77777777" w:rsidR="00CD36DC" w:rsidRDefault="00CD36DC" w:rsidP="00CD36DC">
            <w:pPr>
              <w:pStyle w:val="TAL"/>
            </w:pPr>
          </w:p>
        </w:tc>
      </w:tr>
      <w:tr w:rsidR="00CD36DC" w14:paraId="647E58F5" w14:textId="77777777" w:rsidTr="001C26F8">
        <w:trPr>
          <w:cantSplit/>
          <w:trHeight w:val="113"/>
          <w:jc w:val="center"/>
        </w:trPr>
        <w:tc>
          <w:tcPr>
            <w:tcW w:w="1301" w:type="dxa"/>
            <w:tcBorders>
              <w:top w:val="single" w:sz="4" w:space="0" w:color="auto"/>
              <w:left w:val="single" w:sz="2" w:space="0" w:color="auto"/>
              <w:bottom w:val="single" w:sz="4" w:space="0" w:color="auto"/>
              <w:right w:val="single" w:sz="2" w:space="0" w:color="auto"/>
            </w:tcBorders>
          </w:tcPr>
          <w:p w14:paraId="61657329" w14:textId="419E6A4A" w:rsidR="00CD36DC" w:rsidRDefault="00CD36DC" w:rsidP="00CD36DC">
            <w:pPr>
              <w:pStyle w:val="TAL"/>
              <w:rPr>
                <w:rFonts w:cs="Arial"/>
                <w:lang w:eastAsia="ko-KR"/>
              </w:rPr>
            </w:pPr>
            <w:r>
              <w:rPr>
                <w:rFonts w:cs="Arial"/>
              </w:rPr>
              <w:t>NR Band n101</w:t>
            </w:r>
          </w:p>
        </w:tc>
        <w:tc>
          <w:tcPr>
            <w:tcW w:w="1700" w:type="dxa"/>
            <w:tcBorders>
              <w:top w:val="single" w:sz="2" w:space="0" w:color="auto"/>
              <w:left w:val="single" w:sz="2" w:space="0" w:color="auto"/>
              <w:bottom w:val="single" w:sz="2" w:space="0" w:color="auto"/>
              <w:right w:val="single" w:sz="2" w:space="0" w:color="auto"/>
            </w:tcBorders>
          </w:tcPr>
          <w:p w14:paraId="0BFFC3DD" w14:textId="7560793D" w:rsidR="00CD36DC" w:rsidRDefault="00CD36DC" w:rsidP="00CD36DC">
            <w:pPr>
              <w:pStyle w:val="TAC"/>
              <w:rPr>
                <w:rFonts w:cs="Arial"/>
              </w:rPr>
            </w:pPr>
            <w:r>
              <w:rPr>
                <w:rFonts w:cs="Arial"/>
              </w:rPr>
              <w:t>1900 – 1910 MHz</w:t>
            </w:r>
          </w:p>
        </w:tc>
        <w:tc>
          <w:tcPr>
            <w:tcW w:w="851" w:type="dxa"/>
            <w:tcBorders>
              <w:top w:val="single" w:sz="2" w:space="0" w:color="auto"/>
              <w:left w:val="single" w:sz="2" w:space="0" w:color="auto"/>
              <w:bottom w:val="single" w:sz="2" w:space="0" w:color="auto"/>
              <w:right w:val="single" w:sz="2" w:space="0" w:color="auto"/>
            </w:tcBorders>
          </w:tcPr>
          <w:p w14:paraId="6E09B233" w14:textId="111809A1" w:rsidR="00CD36DC" w:rsidRDefault="00CD36DC" w:rsidP="00CD36DC">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05064238" w14:textId="623631B0" w:rsidR="00CD36DC" w:rsidRDefault="00CD36DC" w:rsidP="00CD36DC">
            <w:pPr>
              <w:pStyle w:val="TAC"/>
              <w:rPr>
                <w:rFonts w:cs="Arial"/>
              </w:rPr>
            </w:pPr>
            <w:r>
              <w:rPr>
                <w:rFonts w:cs="Arial"/>
              </w:rPr>
              <w:t>1 MHz</w:t>
            </w:r>
          </w:p>
        </w:tc>
        <w:tc>
          <w:tcPr>
            <w:tcW w:w="4421" w:type="dxa"/>
            <w:tcBorders>
              <w:top w:val="single" w:sz="2" w:space="0" w:color="auto"/>
              <w:left w:val="single" w:sz="2" w:space="0" w:color="auto"/>
              <w:bottom w:val="single" w:sz="2" w:space="0" w:color="auto"/>
              <w:right w:val="single" w:sz="2" w:space="0" w:color="auto"/>
            </w:tcBorders>
          </w:tcPr>
          <w:p w14:paraId="5C272334" w14:textId="77777777" w:rsidR="00CD36DC" w:rsidRDefault="00CD36DC" w:rsidP="00CD36DC">
            <w:pPr>
              <w:pStyle w:val="TAL"/>
            </w:pPr>
          </w:p>
        </w:tc>
      </w:tr>
      <w:tr w:rsidR="00CD36DC" w14:paraId="08D927CC" w14:textId="77777777" w:rsidTr="001C26F8">
        <w:trPr>
          <w:cantSplit/>
          <w:trHeight w:val="113"/>
          <w:jc w:val="center"/>
        </w:trPr>
        <w:tc>
          <w:tcPr>
            <w:tcW w:w="1301" w:type="dxa"/>
            <w:tcBorders>
              <w:top w:val="single" w:sz="4" w:space="0" w:color="auto"/>
              <w:left w:val="single" w:sz="2" w:space="0" w:color="auto"/>
              <w:bottom w:val="single" w:sz="4" w:space="0" w:color="auto"/>
              <w:right w:val="single" w:sz="2" w:space="0" w:color="auto"/>
            </w:tcBorders>
          </w:tcPr>
          <w:p w14:paraId="5E278B64" w14:textId="541D22B9" w:rsidR="00CD36DC" w:rsidRDefault="00CD36DC" w:rsidP="00CD36DC">
            <w:pPr>
              <w:pStyle w:val="TAL"/>
              <w:rPr>
                <w:rFonts w:cs="Arial"/>
                <w:lang w:eastAsia="ko-KR"/>
              </w:rPr>
            </w:pPr>
            <w:r>
              <w:rPr>
                <w:rFonts w:cs="Arial"/>
                <w:lang w:eastAsia="ko-KR"/>
              </w:rPr>
              <w:t xml:space="preserve">NR Band </w:t>
            </w:r>
            <w:r>
              <w:rPr>
                <w:rFonts w:eastAsia="SimSun" w:cs="Arial"/>
                <w:lang w:eastAsia="zh-CN"/>
              </w:rPr>
              <w:t>n102</w:t>
            </w:r>
          </w:p>
        </w:tc>
        <w:tc>
          <w:tcPr>
            <w:tcW w:w="1700" w:type="dxa"/>
            <w:tcBorders>
              <w:top w:val="single" w:sz="2" w:space="0" w:color="auto"/>
              <w:left w:val="single" w:sz="2" w:space="0" w:color="auto"/>
              <w:bottom w:val="single" w:sz="2" w:space="0" w:color="auto"/>
              <w:right w:val="single" w:sz="2" w:space="0" w:color="auto"/>
            </w:tcBorders>
          </w:tcPr>
          <w:p w14:paraId="2E1B53BF" w14:textId="7CCA01B9" w:rsidR="00CD36DC" w:rsidRDefault="00CD36DC" w:rsidP="00CD36DC">
            <w:pPr>
              <w:pStyle w:val="TAC"/>
              <w:rPr>
                <w:rFonts w:cs="Arial"/>
              </w:rPr>
            </w:pPr>
            <w:r>
              <w:rPr>
                <w:rFonts w:cs="Arial"/>
                <w:lang w:eastAsia="da-DK"/>
              </w:rPr>
              <w:t>59</w:t>
            </w:r>
            <w:r>
              <w:rPr>
                <w:rFonts w:eastAsia="SimSun" w:cs="Arial"/>
                <w:lang w:val="en-US" w:eastAsia="zh-CN"/>
              </w:rPr>
              <w:t>25</w:t>
            </w:r>
            <w:r>
              <w:rPr>
                <w:rFonts w:cs="Arial"/>
                <w:lang w:eastAsia="da-DK"/>
              </w:rPr>
              <w:t xml:space="preserve"> – </w:t>
            </w:r>
            <w:r>
              <w:rPr>
                <w:rFonts w:cs="Arial"/>
                <w:lang w:val="en-US" w:eastAsia="zh-CN"/>
              </w:rPr>
              <w:t>6425</w:t>
            </w:r>
            <w:r>
              <w:rPr>
                <w:rFonts w:cs="Arial"/>
                <w:lang w:eastAsia="da-DK"/>
              </w:rPr>
              <w:t xml:space="preserve"> MHz</w:t>
            </w:r>
          </w:p>
        </w:tc>
        <w:tc>
          <w:tcPr>
            <w:tcW w:w="851" w:type="dxa"/>
            <w:tcBorders>
              <w:top w:val="single" w:sz="2" w:space="0" w:color="auto"/>
              <w:left w:val="single" w:sz="2" w:space="0" w:color="auto"/>
              <w:bottom w:val="single" w:sz="2" w:space="0" w:color="auto"/>
              <w:right w:val="single" w:sz="2" w:space="0" w:color="auto"/>
            </w:tcBorders>
          </w:tcPr>
          <w:p w14:paraId="696886BF" w14:textId="6CB11356" w:rsidR="00CD36DC" w:rsidRDefault="00CD36DC" w:rsidP="00CD36DC">
            <w:pPr>
              <w:pStyle w:val="TAC"/>
              <w:rPr>
                <w:rFonts w:cs="Arial"/>
              </w:rPr>
            </w:pPr>
            <w:r>
              <w:rPr>
                <w:rFonts w:cs="Arial"/>
                <w:lang w:eastAsia="da-DK"/>
              </w:rPr>
              <w:t>-52 dBm</w:t>
            </w:r>
          </w:p>
        </w:tc>
        <w:tc>
          <w:tcPr>
            <w:tcW w:w="1417" w:type="dxa"/>
            <w:tcBorders>
              <w:top w:val="single" w:sz="2" w:space="0" w:color="auto"/>
              <w:left w:val="single" w:sz="2" w:space="0" w:color="auto"/>
              <w:bottom w:val="single" w:sz="2" w:space="0" w:color="auto"/>
              <w:right w:val="single" w:sz="2" w:space="0" w:color="auto"/>
            </w:tcBorders>
          </w:tcPr>
          <w:p w14:paraId="6A064EB6" w14:textId="603FB144" w:rsidR="00CD36DC" w:rsidRDefault="00CD36DC" w:rsidP="00CD36DC">
            <w:pPr>
              <w:pStyle w:val="TAC"/>
              <w:rPr>
                <w:rFonts w:cs="Arial"/>
              </w:rPr>
            </w:pPr>
            <w:r>
              <w:rPr>
                <w:rFonts w:cs="Arial"/>
                <w:lang w:eastAsia="da-DK"/>
              </w:rPr>
              <w:t>1 MHz</w:t>
            </w:r>
          </w:p>
        </w:tc>
        <w:tc>
          <w:tcPr>
            <w:tcW w:w="4421" w:type="dxa"/>
            <w:tcBorders>
              <w:top w:val="single" w:sz="2" w:space="0" w:color="auto"/>
              <w:left w:val="single" w:sz="2" w:space="0" w:color="auto"/>
              <w:bottom w:val="single" w:sz="2" w:space="0" w:color="auto"/>
              <w:right w:val="single" w:sz="2" w:space="0" w:color="auto"/>
            </w:tcBorders>
          </w:tcPr>
          <w:p w14:paraId="0F068997" w14:textId="77777777" w:rsidR="00CD36DC" w:rsidRDefault="00CD36DC" w:rsidP="00CD36DC">
            <w:pPr>
              <w:pStyle w:val="TAL"/>
            </w:pPr>
          </w:p>
        </w:tc>
      </w:tr>
      <w:tr w:rsidR="00CD36DC" w14:paraId="1D696F6F" w14:textId="77777777" w:rsidTr="003D7765">
        <w:trPr>
          <w:cantSplit/>
          <w:trHeight w:val="113"/>
          <w:jc w:val="center"/>
        </w:trPr>
        <w:tc>
          <w:tcPr>
            <w:tcW w:w="1301" w:type="dxa"/>
            <w:tcBorders>
              <w:top w:val="single" w:sz="4" w:space="0" w:color="auto"/>
              <w:left w:val="single" w:sz="2" w:space="0" w:color="auto"/>
              <w:bottom w:val="nil"/>
              <w:right w:val="single" w:sz="2" w:space="0" w:color="auto"/>
            </w:tcBorders>
          </w:tcPr>
          <w:p w14:paraId="0DD86A98" w14:textId="0680749E" w:rsidR="00CD36DC" w:rsidRDefault="00CD36DC" w:rsidP="00CD36DC">
            <w:pPr>
              <w:pStyle w:val="TAL"/>
              <w:rPr>
                <w:rFonts w:cs="Arial"/>
                <w:lang w:eastAsia="ko-KR"/>
              </w:rPr>
            </w:pPr>
            <w:r>
              <w:rPr>
                <w:rFonts w:cs="Arial"/>
              </w:rPr>
              <w:t xml:space="preserve">E-UTRA Band </w:t>
            </w:r>
            <w:r>
              <w:rPr>
                <w:rFonts w:cs="Arial"/>
                <w:lang w:eastAsia="zh-CN"/>
              </w:rPr>
              <w:t>103</w:t>
            </w:r>
          </w:p>
        </w:tc>
        <w:tc>
          <w:tcPr>
            <w:tcW w:w="1700" w:type="dxa"/>
            <w:tcBorders>
              <w:top w:val="single" w:sz="2" w:space="0" w:color="auto"/>
              <w:left w:val="single" w:sz="2" w:space="0" w:color="auto"/>
              <w:bottom w:val="single" w:sz="2" w:space="0" w:color="auto"/>
              <w:right w:val="single" w:sz="2" w:space="0" w:color="auto"/>
            </w:tcBorders>
          </w:tcPr>
          <w:p w14:paraId="427E0683" w14:textId="09068EFE" w:rsidR="00CD36DC" w:rsidRDefault="00CD36DC" w:rsidP="00CD36DC">
            <w:pPr>
              <w:pStyle w:val="TAC"/>
              <w:rPr>
                <w:rFonts w:cs="Arial"/>
              </w:rPr>
            </w:pPr>
            <w:r>
              <w:rPr>
                <w:rFonts w:cs="Arial"/>
                <w:lang w:eastAsia="zh-CN"/>
              </w:rPr>
              <w:t>757 –</w:t>
            </w:r>
            <w:r>
              <w:rPr>
                <w:rFonts w:cs="Arial"/>
                <w:lang w:eastAsia="zh-CN"/>
              </w:rPr>
              <w:tab/>
              <w:t>758 MHz</w:t>
            </w:r>
          </w:p>
        </w:tc>
        <w:tc>
          <w:tcPr>
            <w:tcW w:w="851" w:type="dxa"/>
            <w:tcBorders>
              <w:top w:val="single" w:sz="2" w:space="0" w:color="auto"/>
              <w:left w:val="single" w:sz="2" w:space="0" w:color="auto"/>
              <w:bottom w:val="single" w:sz="2" w:space="0" w:color="auto"/>
              <w:right w:val="single" w:sz="2" w:space="0" w:color="auto"/>
            </w:tcBorders>
          </w:tcPr>
          <w:p w14:paraId="77CC9964" w14:textId="5BA86596" w:rsidR="00CD36DC" w:rsidRDefault="00CD36DC" w:rsidP="00CD36DC">
            <w:pPr>
              <w:pStyle w:val="TAC"/>
              <w:rPr>
                <w:rFonts w:cs="Arial"/>
              </w:rPr>
            </w:pPr>
            <w:r>
              <w:t>-52 dBm</w:t>
            </w:r>
          </w:p>
        </w:tc>
        <w:tc>
          <w:tcPr>
            <w:tcW w:w="1417" w:type="dxa"/>
            <w:tcBorders>
              <w:top w:val="single" w:sz="2" w:space="0" w:color="auto"/>
              <w:left w:val="single" w:sz="2" w:space="0" w:color="auto"/>
              <w:bottom w:val="single" w:sz="2" w:space="0" w:color="auto"/>
              <w:right w:val="single" w:sz="2" w:space="0" w:color="auto"/>
            </w:tcBorders>
          </w:tcPr>
          <w:p w14:paraId="7F258E4E" w14:textId="664E17FD" w:rsidR="00CD36DC" w:rsidRDefault="00CD36DC" w:rsidP="00CD36DC">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tcPr>
          <w:p w14:paraId="5ED145A3" w14:textId="77777777" w:rsidR="00CD36DC" w:rsidRDefault="00CD36DC" w:rsidP="00CD36DC">
            <w:pPr>
              <w:pStyle w:val="TAL"/>
            </w:pPr>
          </w:p>
        </w:tc>
      </w:tr>
      <w:tr w:rsidR="00CD36DC" w14:paraId="56CA0294" w14:textId="77777777" w:rsidTr="0066082A">
        <w:trPr>
          <w:cantSplit/>
          <w:trHeight w:val="113"/>
          <w:jc w:val="center"/>
        </w:trPr>
        <w:tc>
          <w:tcPr>
            <w:tcW w:w="1301" w:type="dxa"/>
            <w:tcBorders>
              <w:top w:val="nil"/>
              <w:left w:val="single" w:sz="2" w:space="0" w:color="auto"/>
              <w:bottom w:val="single" w:sz="4" w:space="0" w:color="auto"/>
              <w:right w:val="single" w:sz="2" w:space="0" w:color="auto"/>
            </w:tcBorders>
            <w:vAlign w:val="center"/>
          </w:tcPr>
          <w:p w14:paraId="3753276B" w14:textId="77777777" w:rsidR="00CD36DC" w:rsidRDefault="00CD36DC" w:rsidP="00CD36DC">
            <w:pPr>
              <w:pStyle w:val="TAL"/>
              <w:rPr>
                <w:rFonts w:cs="Arial"/>
                <w:lang w:eastAsia="ko-KR"/>
              </w:rPr>
            </w:pPr>
          </w:p>
        </w:tc>
        <w:tc>
          <w:tcPr>
            <w:tcW w:w="1700" w:type="dxa"/>
            <w:tcBorders>
              <w:top w:val="single" w:sz="2" w:space="0" w:color="auto"/>
              <w:left w:val="single" w:sz="2" w:space="0" w:color="auto"/>
              <w:bottom w:val="single" w:sz="2" w:space="0" w:color="auto"/>
              <w:right w:val="single" w:sz="2" w:space="0" w:color="auto"/>
            </w:tcBorders>
          </w:tcPr>
          <w:p w14:paraId="0C1BFD87" w14:textId="5CFB1F59" w:rsidR="00CD36DC" w:rsidRDefault="00CD36DC" w:rsidP="00CD36DC">
            <w:pPr>
              <w:pStyle w:val="TAC"/>
              <w:rPr>
                <w:rFonts w:cs="Arial"/>
              </w:rPr>
            </w:pPr>
            <w:r>
              <w:rPr>
                <w:rFonts w:cs="Arial"/>
                <w:lang w:eastAsia="zh-CN"/>
              </w:rPr>
              <w:t>787 –</w:t>
            </w:r>
            <w:r>
              <w:rPr>
                <w:rFonts w:cs="Arial"/>
                <w:lang w:eastAsia="zh-CN"/>
              </w:rPr>
              <w:tab/>
              <w:t>788 MHz</w:t>
            </w:r>
          </w:p>
        </w:tc>
        <w:tc>
          <w:tcPr>
            <w:tcW w:w="851" w:type="dxa"/>
            <w:tcBorders>
              <w:top w:val="single" w:sz="2" w:space="0" w:color="auto"/>
              <w:left w:val="single" w:sz="2" w:space="0" w:color="auto"/>
              <w:bottom w:val="single" w:sz="2" w:space="0" w:color="auto"/>
              <w:right w:val="single" w:sz="2" w:space="0" w:color="auto"/>
            </w:tcBorders>
          </w:tcPr>
          <w:p w14:paraId="28D9ECBA" w14:textId="28EE7C64" w:rsidR="00CD36DC" w:rsidRDefault="00CD36DC" w:rsidP="00CD36DC">
            <w:pPr>
              <w:pStyle w:val="TAC"/>
              <w:rPr>
                <w:rFonts w:cs="Arial"/>
              </w:rPr>
            </w:pPr>
            <w:r>
              <w:t>-49 dBm</w:t>
            </w:r>
          </w:p>
        </w:tc>
        <w:tc>
          <w:tcPr>
            <w:tcW w:w="1417" w:type="dxa"/>
            <w:tcBorders>
              <w:top w:val="single" w:sz="2" w:space="0" w:color="auto"/>
              <w:left w:val="single" w:sz="2" w:space="0" w:color="auto"/>
              <w:bottom w:val="single" w:sz="2" w:space="0" w:color="auto"/>
              <w:right w:val="single" w:sz="2" w:space="0" w:color="auto"/>
            </w:tcBorders>
          </w:tcPr>
          <w:p w14:paraId="4B5B5663" w14:textId="6026C0BF" w:rsidR="00CD36DC" w:rsidRDefault="00CD36DC" w:rsidP="00CD36DC">
            <w:pPr>
              <w:pStyle w:val="TAC"/>
              <w:rPr>
                <w:rFonts w:cs="Arial"/>
              </w:rPr>
            </w:pPr>
            <w:r>
              <w:t>1 MHz</w:t>
            </w:r>
          </w:p>
        </w:tc>
        <w:tc>
          <w:tcPr>
            <w:tcW w:w="4421" w:type="dxa"/>
            <w:tcBorders>
              <w:top w:val="single" w:sz="2" w:space="0" w:color="auto"/>
              <w:left w:val="single" w:sz="2" w:space="0" w:color="auto"/>
              <w:bottom w:val="single" w:sz="2" w:space="0" w:color="auto"/>
              <w:right w:val="single" w:sz="2" w:space="0" w:color="auto"/>
            </w:tcBorders>
          </w:tcPr>
          <w:p w14:paraId="0A0E045C" w14:textId="77777777" w:rsidR="00CD36DC" w:rsidRDefault="00CD36DC" w:rsidP="00CD36DC">
            <w:pPr>
              <w:pStyle w:val="TAL"/>
            </w:pPr>
          </w:p>
        </w:tc>
      </w:tr>
      <w:tr w:rsidR="0066082A" w14:paraId="3F2210E2" w14:textId="77777777" w:rsidTr="00B8653B">
        <w:trPr>
          <w:cantSplit/>
          <w:trHeight w:val="113"/>
          <w:jc w:val="center"/>
        </w:trPr>
        <w:tc>
          <w:tcPr>
            <w:tcW w:w="1301" w:type="dxa"/>
            <w:tcBorders>
              <w:top w:val="single" w:sz="4" w:space="0" w:color="auto"/>
              <w:left w:val="single" w:sz="2" w:space="0" w:color="auto"/>
              <w:bottom w:val="single" w:sz="4" w:space="0" w:color="auto"/>
              <w:right w:val="single" w:sz="2" w:space="0" w:color="auto"/>
            </w:tcBorders>
          </w:tcPr>
          <w:p w14:paraId="1CCF4A39" w14:textId="4F3ACA88" w:rsidR="0066082A" w:rsidRDefault="0066082A" w:rsidP="0066082A">
            <w:pPr>
              <w:pStyle w:val="TAL"/>
              <w:rPr>
                <w:rFonts w:cs="Arial"/>
                <w:lang w:eastAsia="ko-KR"/>
              </w:rPr>
            </w:pPr>
            <w:r>
              <w:rPr>
                <w:rFonts w:cs="Arial" w:hint="eastAsia"/>
                <w:lang w:eastAsia="zh-CN"/>
              </w:rPr>
              <w:t>NR band n104</w:t>
            </w:r>
          </w:p>
        </w:tc>
        <w:tc>
          <w:tcPr>
            <w:tcW w:w="1700" w:type="dxa"/>
            <w:tcBorders>
              <w:top w:val="single" w:sz="2" w:space="0" w:color="auto"/>
              <w:left w:val="single" w:sz="2" w:space="0" w:color="auto"/>
              <w:bottom w:val="single" w:sz="2" w:space="0" w:color="auto"/>
              <w:right w:val="single" w:sz="2" w:space="0" w:color="auto"/>
            </w:tcBorders>
          </w:tcPr>
          <w:p w14:paraId="575F2A4C" w14:textId="1D78AD48" w:rsidR="0066082A" w:rsidRDefault="0066082A" w:rsidP="0066082A">
            <w:pPr>
              <w:pStyle w:val="TAC"/>
              <w:rPr>
                <w:rFonts w:cs="Arial"/>
                <w:lang w:eastAsia="zh-CN"/>
              </w:rPr>
            </w:pPr>
            <w:r>
              <w:rPr>
                <w:rFonts w:cs="Arial" w:hint="eastAsia"/>
                <w:lang w:eastAsia="zh-CN"/>
              </w:rPr>
              <w:t xml:space="preserve">6425 </w:t>
            </w:r>
            <w:r>
              <w:rPr>
                <w:rFonts w:cs="Arial"/>
              </w:rPr>
              <w:t>–</w:t>
            </w:r>
            <w:r>
              <w:rPr>
                <w:rFonts w:cs="Arial" w:hint="eastAsia"/>
                <w:lang w:eastAsia="zh-CN"/>
              </w:rPr>
              <w:t xml:space="preserve"> 7125 MHz</w:t>
            </w:r>
          </w:p>
        </w:tc>
        <w:tc>
          <w:tcPr>
            <w:tcW w:w="851" w:type="dxa"/>
            <w:tcBorders>
              <w:top w:val="single" w:sz="2" w:space="0" w:color="auto"/>
              <w:left w:val="single" w:sz="2" w:space="0" w:color="auto"/>
              <w:bottom w:val="single" w:sz="2" w:space="0" w:color="auto"/>
              <w:right w:val="single" w:sz="2" w:space="0" w:color="auto"/>
            </w:tcBorders>
          </w:tcPr>
          <w:p w14:paraId="78E68B49" w14:textId="399C6FE2" w:rsidR="0066082A" w:rsidRDefault="0066082A" w:rsidP="0066082A">
            <w:pPr>
              <w:pStyle w:val="TAC"/>
            </w:pPr>
            <w:r>
              <w:rPr>
                <w:rFonts w:cs="Arial" w:hint="eastAsia"/>
                <w:lang w:eastAsia="zh-CN"/>
              </w:rPr>
              <w:t>-52 dBm</w:t>
            </w:r>
          </w:p>
        </w:tc>
        <w:tc>
          <w:tcPr>
            <w:tcW w:w="1417" w:type="dxa"/>
            <w:tcBorders>
              <w:top w:val="single" w:sz="2" w:space="0" w:color="auto"/>
              <w:left w:val="single" w:sz="2" w:space="0" w:color="auto"/>
              <w:bottom w:val="single" w:sz="2" w:space="0" w:color="auto"/>
              <w:right w:val="single" w:sz="2" w:space="0" w:color="auto"/>
            </w:tcBorders>
          </w:tcPr>
          <w:p w14:paraId="3F7A5C04" w14:textId="417D0AF1" w:rsidR="0066082A" w:rsidRDefault="0066082A" w:rsidP="0066082A">
            <w:pPr>
              <w:pStyle w:val="TAC"/>
            </w:pPr>
            <w:r>
              <w:rPr>
                <w:rFonts w:cs="Arial" w:hint="eastAsia"/>
                <w:lang w:eastAsia="zh-CN"/>
              </w:rPr>
              <w:t>1 MHz</w:t>
            </w:r>
          </w:p>
        </w:tc>
        <w:tc>
          <w:tcPr>
            <w:tcW w:w="4421" w:type="dxa"/>
            <w:tcBorders>
              <w:top w:val="single" w:sz="2" w:space="0" w:color="auto"/>
              <w:left w:val="single" w:sz="2" w:space="0" w:color="auto"/>
              <w:bottom w:val="single" w:sz="2" w:space="0" w:color="auto"/>
              <w:right w:val="single" w:sz="2" w:space="0" w:color="auto"/>
            </w:tcBorders>
          </w:tcPr>
          <w:p w14:paraId="5428DFE4" w14:textId="77777777" w:rsidR="0066082A" w:rsidRDefault="0066082A" w:rsidP="0066082A">
            <w:pPr>
              <w:pStyle w:val="TAL"/>
            </w:pPr>
          </w:p>
        </w:tc>
      </w:tr>
    </w:tbl>
    <w:p w14:paraId="0D58219E" w14:textId="77777777" w:rsidR="00B3234F" w:rsidRDefault="00B3234F" w:rsidP="00B3234F"/>
    <w:p w14:paraId="090E6931" w14:textId="77777777" w:rsidR="00B3234F" w:rsidRDefault="00B3234F" w:rsidP="00B3234F">
      <w:pPr>
        <w:pStyle w:val="NO"/>
      </w:pPr>
      <w:bookmarkStart w:id="2384" w:name="_Hlk497677260"/>
      <w:r>
        <w:t>NOTE 1:</w:t>
      </w:r>
      <w:r>
        <w:tab/>
        <w:t>As defined in the scope for spurious emissions in this clause the co-existence requirements in table 6.6.5.2.2-1 do not apply for the Δf</w:t>
      </w:r>
      <w:r>
        <w:rPr>
          <w:vertAlign w:val="subscript"/>
        </w:rPr>
        <w:t>OBUE</w:t>
      </w:r>
      <w:r>
        <w:t xml:space="preserve"> frequency range immediately outside the downlink </w:t>
      </w:r>
      <w:r>
        <w:rPr>
          <w:i/>
        </w:rPr>
        <w:t>operating band</w:t>
      </w:r>
      <w:r>
        <w:t xml:space="preserve"> (see table 5.2-1). Emission limits for this excluded frequency range may be covered by local or regional requirements.</w:t>
      </w:r>
    </w:p>
    <w:p w14:paraId="08E63886" w14:textId="77777777" w:rsidR="00B3234F" w:rsidRDefault="00B3234F" w:rsidP="00B3234F">
      <w:pPr>
        <w:pStyle w:val="NO"/>
      </w:pPr>
      <w:r>
        <w:t>NOTE 2:</w:t>
      </w:r>
      <w:r>
        <w:tab/>
        <w:t xml:space="preserve">Table 6.6.5.2.2-1 assumes that two </w:t>
      </w:r>
      <w:r>
        <w:rPr>
          <w:i/>
        </w:rPr>
        <w:t>operating bands</w:t>
      </w:r>
      <w:r>
        <w:t>, where the frequency ranges in table 5.2-1 would be overlapping, are not deployed in the same geographical area. For such a case of operation with overlapping frequency arrangements in the same geographical area, special co-existence requirements may apply that are not covered by the 3GPP specifications.</w:t>
      </w:r>
    </w:p>
    <w:p w14:paraId="0313173E" w14:textId="77777777" w:rsidR="00B3234F" w:rsidRDefault="00B3234F" w:rsidP="00B3234F">
      <w:pPr>
        <w:pStyle w:val="Heading5"/>
      </w:pPr>
      <w:bookmarkStart w:id="2385" w:name="_Toc45893494"/>
      <w:bookmarkStart w:id="2386" w:name="_Toc44712181"/>
      <w:bookmarkStart w:id="2387" w:name="_Toc37267579"/>
      <w:bookmarkStart w:id="2388" w:name="_Toc37260191"/>
      <w:bookmarkStart w:id="2389" w:name="_Toc36817274"/>
      <w:bookmarkStart w:id="2390" w:name="_Toc29811722"/>
      <w:bookmarkStart w:id="2391" w:name="_Toc21127513"/>
      <w:bookmarkStart w:id="2392" w:name="_Toc53185379"/>
      <w:bookmarkStart w:id="2393" w:name="_Toc53185755"/>
      <w:bookmarkStart w:id="2394" w:name="_Toc57820231"/>
      <w:bookmarkStart w:id="2395" w:name="_Toc57821158"/>
      <w:bookmarkStart w:id="2396" w:name="_Toc61183434"/>
      <w:bookmarkStart w:id="2397" w:name="_Toc61183828"/>
      <w:bookmarkStart w:id="2398" w:name="_Toc61184220"/>
      <w:bookmarkStart w:id="2399" w:name="_Toc61184612"/>
      <w:bookmarkStart w:id="2400" w:name="_Toc61185002"/>
      <w:bookmarkStart w:id="2401" w:name="_Toc66386345"/>
      <w:bookmarkStart w:id="2402" w:name="_Toc74583186"/>
      <w:bookmarkStart w:id="2403" w:name="_Toc76541999"/>
      <w:bookmarkStart w:id="2404" w:name="_Toc82449981"/>
      <w:bookmarkStart w:id="2405" w:name="_Toc82450629"/>
      <w:bookmarkStart w:id="2406" w:name="_Toc89949018"/>
      <w:bookmarkStart w:id="2407" w:name="_Toc98755407"/>
      <w:bookmarkStart w:id="2408" w:name="_Toc98762998"/>
      <w:bookmarkStart w:id="2409" w:name="_Toc106183927"/>
      <w:r>
        <w:t>6.6.5.2.3</w:t>
      </w:r>
      <w:r>
        <w:tab/>
        <w:t>Co-location with base stations</w:t>
      </w:r>
      <w:bookmarkEnd w:id="2385"/>
      <w:bookmarkEnd w:id="2386"/>
      <w:bookmarkEnd w:id="2387"/>
      <w:bookmarkEnd w:id="2388"/>
      <w:bookmarkEnd w:id="2389"/>
      <w:bookmarkEnd w:id="2390"/>
      <w:bookmarkEnd w:id="2391"/>
      <w:r>
        <w:t xml:space="preserve"> and IAB-Nodes</w:t>
      </w:r>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p>
    <w:p w14:paraId="0E6F5F99" w14:textId="77777777" w:rsidR="00B3234F" w:rsidRDefault="00B3234F" w:rsidP="00B3234F">
      <w:pPr>
        <w:rPr>
          <w:rFonts w:cs="v5.0.0"/>
        </w:rPr>
      </w:pPr>
      <w:r>
        <w:rPr>
          <w:rFonts w:cs="v5.0.0"/>
        </w:rPr>
        <w:t>These requirements may be applied for the protection of other BS, IAB-DU or IAB-MT receivers when GSM900, DCS1800, PCS1900, GSM850, CDMA850, UTRA FDD, UTRA TDD, E-UTRA, NR BS, IAB-DU or IAB-MT are co-located with IAB-MT and/or IAB-DU.</w:t>
      </w:r>
    </w:p>
    <w:p w14:paraId="61B31B4B" w14:textId="77777777" w:rsidR="00B3234F" w:rsidRDefault="00B3234F" w:rsidP="00B3234F">
      <w:r>
        <w:rPr>
          <w:rFonts w:cs="v5.0.0"/>
        </w:rPr>
        <w:t>The requirements assume a 30 dB coupling loss between transmitter and receiver</w:t>
      </w:r>
      <w:r>
        <w:rPr>
          <w:rFonts w:cs="v5.0.0"/>
          <w:lang w:eastAsia="zh-CN"/>
        </w:rPr>
        <w:t xml:space="preserve"> </w:t>
      </w:r>
      <w:r>
        <w:rPr>
          <w:lang w:eastAsia="zh-CN"/>
        </w:rPr>
        <w:t xml:space="preserve">and are based on co-location with </w:t>
      </w:r>
      <w:r>
        <w:t>same class</w:t>
      </w:r>
      <w:r>
        <w:rPr>
          <w:rFonts w:cs="v5.0.0"/>
        </w:rPr>
        <w:t>.</w:t>
      </w:r>
    </w:p>
    <w:p w14:paraId="2F2AEB42" w14:textId="77777777" w:rsidR="00B3234F" w:rsidRDefault="00B3234F" w:rsidP="00B3234F">
      <w:pPr>
        <w:keepNext/>
      </w:pPr>
      <w:r>
        <w:lastRenderedPageBreak/>
        <w:t xml:space="preserve">The </w:t>
      </w:r>
      <w:r>
        <w:rPr>
          <w:i/>
        </w:rPr>
        <w:t>basic limits</w:t>
      </w:r>
      <w:r>
        <w:t xml:space="preserve"> are in table 6.6.5.2.3-1 for an IAB-DU and IAB-MT. Requirements for co-location with a system listed in the first column apply, depending on the declared IAB-DU and IAB-MT class.</w:t>
      </w:r>
      <w:r>
        <w:rPr>
          <w:rFonts w:cs="v5.0.0"/>
        </w:rPr>
        <w:t xml:space="preserve"> For </w:t>
      </w:r>
      <w:r>
        <w:rPr>
          <w:rFonts w:cs="Arial"/>
        </w:rPr>
        <w:t xml:space="preserve">a </w:t>
      </w:r>
      <w:r>
        <w:rPr>
          <w:rFonts w:cs="Arial"/>
          <w:i/>
        </w:rPr>
        <w:t>multi-band connector</w:t>
      </w:r>
      <w:r>
        <w:rPr>
          <w:rFonts w:cs="v5.0.0"/>
        </w:rPr>
        <w:t xml:space="preserve">, the exclusions and conditions in the Note column of table 6.6.5.2.3-1 shall apply for each supported </w:t>
      </w:r>
      <w:r>
        <w:rPr>
          <w:rFonts w:cs="v5.0.0"/>
          <w:i/>
        </w:rPr>
        <w:t>operating band</w:t>
      </w:r>
      <w:r>
        <w:rPr>
          <w:rFonts w:cs="v5.0.0"/>
        </w:rPr>
        <w:t>.</w:t>
      </w:r>
    </w:p>
    <w:p w14:paraId="1C9002BE" w14:textId="77777777" w:rsidR="00B3234F" w:rsidRDefault="00B3234F" w:rsidP="00B3234F">
      <w:pPr>
        <w:pStyle w:val="TH"/>
      </w:pPr>
      <w:r>
        <w:t xml:space="preserve">Table 6.6.5.2.3-1: IAB-DU and IAB-MT spurious emissions </w:t>
      </w:r>
      <w:r>
        <w:rPr>
          <w:i/>
        </w:rPr>
        <w:t>basic</w:t>
      </w:r>
      <w:r>
        <w:t xml:space="preserve"> limits for co-location with BS or IAB-Node</w:t>
      </w:r>
    </w:p>
    <w:tbl>
      <w:tblPr>
        <w:tblW w:w="9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1996"/>
        <w:gridCol w:w="879"/>
        <w:gridCol w:w="879"/>
        <w:gridCol w:w="880"/>
        <w:gridCol w:w="1414"/>
        <w:gridCol w:w="1606"/>
      </w:tblGrid>
      <w:tr w:rsidR="004C7013" w14:paraId="41AF72E8" w14:textId="77777777" w:rsidTr="004C7013">
        <w:trPr>
          <w:cantSplit/>
          <w:jc w:val="center"/>
        </w:trPr>
        <w:tc>
          <w:tcPr>
            <w:tcW w:w="2291" w:type="dxa"/>
            <w:tcBorders>
              <w:top w:val="single" w:sz="4" w:space="0" w:color="auto"/>
              <w:left w:val="single" w:sz="4" w:space="0" w:color="auto"/>
              <w:bottom w:val="nil"/>
              <w:right w:val="single" w:sz="4" w:space="0" w:color="auto"/>
            </w:tcBorders>
            <w:shd w:val="clear" w:color="auto" w:fill="auto"/>
            <w:hideMark/>
          </w:tcPr>
          <w:bookmarkEnd w:id="2384"/>
          <w:p w14:paraId="5BC5FC9A" w14:textId="77777777" w:rsidR="004C7013" w:rsidRDefault="004C7013" w:rsidP="004C7013">
            <w:pPr>
              <w:pStyle w:val="TAH"/>
            </w:pPr>
            <w:r>
              <w:lastRenderedPageBreak/>
              <w:t>Co-located system</w:t>
            </w:r>
          </w:p>
        </w:tc>
        <w:tc>
          <w:tcPr>
            <w:tcW w:w="1996" w:type="dxa"/>
            <w:tcBorders>
              <w:top w:val="single" w:sz="4" w:space="0" w:color="auto"/>
              <w:left w:val="single" w:sz="4" w:space="0" w:color="auto"/>
              <w:bottom w:val="nil"/>
              <w:right w:val="single" w:sz="4" w:space="0" w:color="auto"/>
            </w:tcBorders>
            <w:shd w:val="clear" w:color="auto" w:fill="auto"/>
            <w:hideMark/>
          </w:tcPr>
          <w:p w14:paraId="55788805" w14:textId="6B7E3481" w:rsidR="004C7013" w:rsidRDefault="004C7013" w:rsidP="004C7013">
            <w:pPr>
              <w:pStyle w:val="TAH"/>
            </w:pPr>
            <w:r>
              <w:t>Frequency range for</w:t>
            </w:r>
          </w:p>
        </w:tc>
        <w:tc>
          <w:tcPr>
            <w:tcW w:w="2638" w:type="dxa"/>
            <w:gridSpan w:val="3"/>
            <w:tcBorders>
              <w:top w:val="single" w:sz="4" w:space="0" w:color="auto"/>
              <w:left w:val="single" w:sz="4" w:space="0" w:color="auto"/>
              <w:bottom w:val="single" w:sz="4" w:space="0" w:color="auto"/>
              <w:right w:val="single" w:sz="4" w:space="0" w:color="auto"/>
            </w:tcBorders>
            <w:hideMark/>
          </w:tcPr>
          <w:p w14:paraId="0C070D1F" w14:textId="77777777" w:rsidR="004C7013" w:rsidRDefault="004C7013" w:rsidP="004C7013">
            <w:pPr>
              <w:pStyle w:val="TAH"/>
              <w:rPr>
                <w:i/>
              </w:rPr>
            </w:pPr>
            <w:r>
              <w:rPr>
                <w:rFonts w:cs="v5.0.0"/>
                <w:i/>
              </w:rPr>
              <w:t>Basic limits</w:t>
            </w:r>
          </w:p>
        </w:tc>
        <w:tc>
          <w:tcPr>
            <w:tcW w:w="1414" w:type="dxa"/>
            <w:tcBorders>
              <w:top w:val="single" w:sz="4" w:space="0" w:color="auto"/>
              <w:left w:val="single" w:sz="4" w:space="0" w:color="auto"/>
              <w:bottom w:val="nil"/>
              <w:right w:val="single" w:sz="4" w:space="0" w:color="auto"/>
            </w:tcBorders>
            <w:shd w:val="clear" w:color="auto" w:fill="auto"/>
            <w:hideMark/>
          </w:tcPr>
          <w:p w14:paraId="058F27EC" w14:textId="63B12223" w:rsidR="004C7013" w:rsidRDefault="004C7013" w:rsidP="004C7013">
            <w:pPr>
              <w:pStyle w:val="TAH"/>
            </w:pPr>
            <w:r>
              <w:t>Measurement</w:t>
            </w:r>
          </w:p>
        </w:tc>
        <w:tc>
          <w:tcPr>
            <w:tcW w:w="1606" w:type="dxa"/>
            <w:tcBorders>
              <w:top w:val="single" w:sz="4" w:space="0" w:color="auto"/>
              <w:left w:val="single" w:sz="4" w:space="0" w:color="auto"/>
              <w:bottom w:val="nil"/>
              <w:right w:val="single" w:sz="4" w:space="0" w:color="auto"/>
            </w:tcBorders>
            <w:shd w:val="clear" w:color="auto" w:fill="auto"/>
            <w:hideMark/>
          </w:tcPr>
          <w:p w14:paraId="5FFB2B0D" w14:textId="77777777" w:rsidR="004C7013" w:rsidRDefault="004C7013" w:rsidP="004C7013">
            <w:pPr>
              <w:pStyle w:val="TAH"/>
            </w:pPr>
            <w:r>
              <w:t>Note</w:t>
            </w:r>
          </w:p>
        </w:tc>
      </w:tr>
      <w:tr w:rsidR="004C7013" w14:paraId="5BA12874" w14:textId="77777777" w:rsidTr="004C7013">
        <w:trPr>
          <w:cantSplit/>
          <w:jc w:val="center"/>
        </w:trPr>
        <w:tc>
          <w:tcPr>
            <w:tcW w:w="2291" w:type="dxa"/>
            <w:tcBorders>
              <w:top w:val="nil"/>
              <w:left w:val="single" w:sz="4" w:space="0" w:color="auto"/>
              <w:bottom w:val="single" w:sz="4" w:space="0" w:color="auto"/>
              <w:right w:val="single" w:sz="4" w:space="0" w:color="auto"/>
            </w:tcBorders>
            <w:shd w:val="clear" w:color="auto" w:fill="auto"/>
            <w:hideMark/>
          </w:tcPr>
          <w:p w14:paraId="02D7F851" w14:textId="77777777" w:rsidR="004C7013" w:rsidRDefault="004C7013" w:rsidP="004C7013">
            <w:pPr>
              <w:pStyle w:val="TAH"/>
            </w:pPr>
          </w:p>
        </w:tc>
        <w:tc>
          <w:tcPr>
            <w:tcW w:w="1996" w:type="dxa"/>
            <w:tcBorders>
              <w:top w:val="nil"/>
              <w:left w:val="single" w:sz="4" w:space="0" w:color="auto"/>
              <w:bottom w:val="single" w:sz="4" w:space="0" w:color="auto"/>
              <w:right w:val="single" w:sz="4" w:space="0" w:color="auto"/>
            </w:tcBorders>
            <w:shd w:val="clear" w:color="auto" w:fill="auto"/>
            <w:hideMark/>
          </w:tcPr>
          <w:p w14:paraId="325DDA39" w14:textId="105ACA9F" w:rsidR="004C7013" w:rsidRDefault="004C7013" w:rsidP="004C7013">
            <w:pPr>
              <w:pStyle w:val="TAH"/>
            </w:pPr>
            <w:r>
              <w:t>co-location requirement</w:t>
            </w:r>
          </w:p>
        </w:tc>
        <w:tc>
          <w:tcPr>
            <w:tcW w:w="879" w:type="dxa"/>
            <w:tcBorders>
              <w:top w:val="single" w:sz="4" w:space="0" w:color="auto"/>
              <w:left w:val="single" w:sz="4" w:space="0" w:color="auto"/>
              <w:bottom w:val="single" w:sz="4" w:space="0" w:color="auto"/>
              <w:right w:val="single" w:sz="4" w:space="0" w:color="auto"/>
            </w:tcBorders>
            <w:hideMark/>
          </w:tcPr>
          <w:p w14:paraId="55898949" w14:textId="77777777" w:rsidR="004C7013" w:rsidRDefault="004C7013" w:rsidP="004C7013">
            <w:pPr>
              <w:pStyle w:val="TAH"/>
              <w:rPr>
                <w:rFonts w:cs="v5.0.0"/>
              </w:rPr>
            </w:pPr>
            <w:r>
              <w:rPr>
                <w:rFonts w:cs="v5.0.0"/>
              </w:rPr>
              <w:t>WA IAB-DU and WA IAB-MT</w:t>
            </w:r>
          </w:p>
        </w:tc>
        <w:tc>
          <w:tcPr>
            <w:tcW w:w="879" w:type="dxa"/>
            <w:tcBorders>
              <w:top w:val="single" w:sz="4" w:space="0" w:color="auto"/>
              <w:left w:val="single" w:sz="4" w:space="0" w:color="auto"/>
              <w:bottom w:val="single" w:sz="4" w:space="0" w:color="auto"/>
              <w:right w:val="single" w:sz="4" w:space="0" w:color="auto"/>
            </w:tcBorders>
            <w:hideMark/>
          </w:tcPr>
          <w:p w14:paraId="1864986D" w14:textId="77777777" w:rsidR="004C7013" w:rsidRDefault="004C7013" w:rsidP="004C7013">
            <w:pPr>
              <w:pStyle w:val="TAH"/>
            </w:pPr>
            <w:r>
              <w:t>MR IAB-DU</w:t>
            </w:r>
          </w:p>
        </w:tc>
        <w:tc>
          <w:tcPr>
            <w:tcW w:w="880" w:type="dxa"/>
            <w:tcBorders>
              <w:top w:val="single" w:sz="4" w:space="0" w:color="auto"/>
              <w:left w:val="single" w:sz="4" w:space="0" w:color="auto"/>
              <w:bottom w:val="single" w:sz="4" w:space="0" w:color="auto"/>
              <w:right w:val="single" w:sz="4" w:space="0" w:color="auto"/>
            </w:tcBorders>
            <w:hideMark/>
          </w:tcPr>
          <w:p w14:paraId="66385E71" w14:textId="77777777" w:rsidR="004C7013" w:rsidRDefault="004C7013" w:rsidP="004C7013">
            <w:pPr>
              <w:pStyle w:val="TAH"/>
            </w:pPr>
            <w:r>
              <w:t>LA IAB-DU and LA IAB-MT</w:t>
            </w:r>
          </w:p>
        </w:tc>
        <w:tc>
          <w:tcPr>
            <w:tcW w:w="1414" w:type="dxa"/>
            <w:tcBorders>
              <w:top w:val="nil"/>
              <w:left w:val="single" w:sz="4" w:space="0" w:color="auto"/>
              <w:bottom w:val="single" w:sz="4" w:space="0" w:color="auto"/>
              <w:right w:val="single" w:sz="4" w:space="0" w:color="auto"/>
            </w:tcBorders>
            <w:shd w:val="clear" w:color="auto" w:fill="auto"/>
            <w:hideMark/>
          </w:tcPr>
          <w:p w14:paraId="1B8C14E2" w14:textId="1C755B39" w:rsidR="004C7013" w:rsidRDefault="004C7013" w:rsidP="004C7013">
            <w:pPr>
              <w:pStyle w:val="TAH"/>
            </w:pPr>
            <w:r>
              <w:t>bandwidth</w:t>
            </w:r>
          </w:p>
        </w:tc>
        <w:tc>
          <w:tcPr>
            <w:tcW w:w="1606" w:type="dxa"/>
            <w:tcBorders>
              <w:top w:val="nil"/>
              <w:left w:val="single" w:sz="4" w:space="0" w:color="auto"/>
              <w:bottom w:val="single" w:sz="4" w:space="0" w:color="auto"/>
              <w:right w:val="single" w:sz="4" w:space="0" w:color="auto"/>
            </w:tcBorders>
            <w:shd w:val="clear" w:color="auto" w:fill="auto"/>
            <w:hideMark/>
          </w:tcPr>
          <w:p w14:paraId="6809D0EE" w14:textId="77777777" w:rsidR="004C7013" w:rsidRDefault="004C7013" w:rsidP="004C7013">
            <w:pPr>
              <w:pStyle w:val="TAH"/>
            </w:pPr>
          </w:p>
        </w:tc>
      </w:tr>
      <w:tr w:rsidR="00B3234F" w14:paraId="72DBF877"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099DCDB" w14:textId="6EF950BA" w:rsidR="00B3234F" w:rsidRDefault="00B3234F" w:rsidP="00BD1F8C">
            <w:pPr>
              <w:pStyle w:val="TAC"/>
              <w:rPr>
                <w:rFonts w:cs="Arial"/>
              </w:rPr>
            </w:pPr>
            <w:r>
              <w:rPr>
                <w:rFonts w:cs="v5.0.0"/>
              </w:rPr>
              <w:t>GSM900</w:t>
            </w:r>
          </w:p>
        </w:tc>
        <w:tc>
          <w:tcPr>
            <w:tcW w:w="1996" w:type="dxa"/>
            <w:tcBorders>
              <w:top w:val="single" w:sz="4" w:space="0" w:color="auto"/>
              <w:left w:val="single" w:sz="4" w:space="0" w:color="auto"/>
              <w:bottom w:val="single" w:sz="4" w:space="0" w:color="auto"/>
              <w:right w:val="single" w:sz="4" w:space="0" w:color="auto"/>
            </w:tcBorders>
            <w:hideMark/>
          </w:tcPr>
          <w:p w14:paraId="39BA9AEC" w14:textId="77777777" w:rsidR="00B3234F" w:rsidRDefault="00B3234F" w:rsidP="00BD1F8C">
            <w:pPr>
              <w:pStyle w:val="TAC"/>
              <w:rPr>
                <w:rFonts w:cs="Arial"/>
              </w:rPr>
            </w:pPr>
            <w:r>
              <w:rPr>
                <w:rFonts w:cs="v5.0.0"/>
              </w:rPr>
              <w:t xml:space="preserve">876 </w:t>
            </w:r>
            <w:r>
              <w:t>–</w:t>
            </w:r>
            <w:r>
              <w:rPr>
                <w:rFonts w:cs="v5.0.0"/>
              </w:rPr>
              <w:t xml:space="preserve"> 915 MHz</w:t>
            </w:r>
          </w:p>
        </w:tc>
        <w:tc>
          <w:tcPr>
            <w:tcW w:w="879" w:type="dxa"/>
            <w:tcBorders>
              <w:top w:val="single" w:sz="4" w:space="0" w:color="auto"/>
              <w:left w:val="single" w:sz="4" w:space="0" w:color="auto"/>
              <w:bottom w:val="single" w:sz="4" w:space="0" w:color="auto"/>
              <w:right w:val="single" w:sz="4" w:space="0" w:color="auto"/>
            </w:tcBorders>
            <w:hideMark/>
          </w:tcPr>
          <w:p w14:paraId="46D60FA6" w14:textId="77777777" w:rsidR="00B3234F" w:rsidRDefault="00B3234F" w:rsidP="00BD1F8C">
            <w:pPr>
              <w:pStyle w:val="TAC"/>
              <w:rPr>
                <w:rFonts w:cs="Arial"/>
              </w:rPr>
            </w:pPr>
            <w:r>
              <w:rPr>
                <w:rFonts w:cs="v5.0.0"/>
              </w:rPr>
              <w:t>-98 dBm</w:t>
            </w:r>
          </w:p>
        </w:tc>
        <w:tc>
          <w:tcPr>
            <w:tcW w:w="879" w:type="dxa"/>
            <w:tcBorders>
              <w:top w:val="single" w:sz="4" w:space="0" w:color="auto"/>
              <w:left w:val="single" w:sz="4" w:space="0" w:color="auto"/>
              <w:bottom w:val="single" w:sz="4" w:space="0" w:color="auto"/>
              <w:right w:val="single" w:sz="4" w:space="0" w:color="auto"/>
            </w:tcBorders>
            <w:hideMark/>
          </w:tcPr>
          <w:p w14:paraId="1D232AD3" w14:textId="77777777" w:rsidR="00B3234F" w:rsidRDefault="00B3234F" w:rsidP="00BD1F8C">
            <w:pPr>
              <w:pStyle w:val="TAC"/>
              <w:rPr>
                <w:rFonts w:cs="v5.0.0"/>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92E9A1F" w14:textId="77777777" w:rsidR="00B3234F" w:rsidRDefault="00B3234F" w:rsidP="00BD1F8C">
            <w:pPr>
              <w:pStyle w:val="TAC"/>
              <w:rPr>
                <w:rFonts w:cs="v5.0.0"/>
              </w:rPr>
            </w:pPr>
            <w:r>
              <w:rPr>
                <w:rFonts w:cs="v5.0.0"/>
              </w:rPr>
              <w:t>-70 dBm</w:t>
            </w:r>
          </w:p>
        </w:tc>
        <w:tc>
          <w:tcPr>
            <w:tcW w:w="1414" w:type="dxa"/>
            <w:tcBorders>
              <w:top w:val="single" w:sz="4" w:space="0" w:color="auto"/>
              <w:left w:val="single" w:sz="4" w:space="0" w:color="auto"/>
              <w:bottom w:val="single" w:sz="4" w:space="0" w:color="auto"/>
              <w:right w:val="single" w:sz="4" w:space="0" w:color="auto"/>
            </w:tcBorders>
            <w:hideMark/>
          </w:tcPr>
          <w:p w14:paraId="3BDB7D51" w14:textId="77777777" w:rsidR="00B3234F" w:rsidRDefault="00B3234F" w:rsidP="00BD1F8C">
            <w:pPr>
              <w:pStyle w:val="TAC"/>
              <w:rPr>
                <w:rFonts w:cs="Arial"/>
              </w:rPr>
            </w:pPr>
            <w:r>
              <w:rPr>
                <w:rFonts w:cs="v5.0.0"/>
              </w:rPr>
              <w:t>100 kHz</w:t>
            </w:r>
          </w:p>
        </w:tc>
        <w:tc>
          <w:tcPr>
            <w:tcW w:w="1606" w:type="dxa"/>
            <w:tcBorders>
              <w:top w:val="single" w:sz="4" w:space="0" w:color="auto"/>
              <w:left w:val="single" w:sz="4" w:space="0" w:color="auto"/>
              <w:bottom w:val="single" w:sz="4" w:space="0" w:color="auto"/>
              <w:right w:val="single" w:sz="4" w:space="0" w:color="auto"/>
            </w:tcBorders>
          </w:tcPr>
          <w:p w14:paraId="6E634F09" w14:textId="77777777" w:rsidR="00B3234F" w:rsidRDefault="00B3234F" w:rsidP="00BD1F8C">
            <w:pPr>
              <w:pStyle w:val="TAC"/>
              <w:rPr>
                <w:rFonts w:cs="Arial"/>
              </w:rPr>
            </w:pPr>
          </w:p>
        </w:tc>
      </w:tr>
      <w:tr w:rsidR="00B3234F" w14:paraId="4BD6F9B7"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BD7D228" w14:textId="54177B60" w:rsidR="00B3234F" w:rsidRDefault="00B3234F" w:rsidP="00BD1F8C">
            <w:pPr>
              <w:pStyle w:val="TAC"/>
              <w:rPr>
                <w:rFonts w:cs="v5.0.0"/>
                <w:lang w:eastAsia="zh-CN"/>
              </w:rPr>
            </w:pPr>
            <w:r>
              <w:rPr>
                <w:rFonts w:cs="v5.0.0"/>
              </w:rPr>
              <w:t>DCS1800</w:t>
            </w:r>
          </w:p>
        </w:tc>
        <w:tc>
          <w:tcPr>
            <w:tcW w:w="1996" w:type="dxa"/>
            <w:tcBorders>
              <w:top w:val="single" w:sz="4" w:space="0" w:color="auto"/>
              <w:left w:val="single" w:sz="4" w:space="0" w:color="auto"/>
              <w:bottom w:val="single" w:sz="4" w:space="0" w:color="auto"/>
              <w:right w:val="single" w:sz="4" w:space="0" w:color="auto"/>
            </w:tcBorders>
            <w:hideMark/>
          </w:tcPr>
          <w:p w14:paraId="21A63C26" w14:textId="77777777" w:rsidR="00B3234F" w:rsidRDefault="00B3234F" w:rsidP="00BD1F8C">
            <w:pPr>
              <w:pStyle w:val="TAC"/>
              <w:rPr>
                <w:rFonts w:cs="v5.0.0"/>
              </w:rPr>
            </w:pPr>
            <w:r>
              <w:rPr>
                <w:rFonts w:cs="Arial"/>
              </w:rPr>
              <w:t>1710 – 1785 MHz</w:t>
            </w:r>
          </w:p>
        </w:tc>
        <w:tc>
          <w:tcPr>
            <w:tcW w:w="879" w:type="dxa"/>
            <w:tcBorders>
              <w:top w:val="single" w:sz="4" w:space="0" w:color="auto"/>
              <w:left w:val="single" w:sz="4" w:space="0" w:color="auto"/>
              <w:bottom w:val="single" w:sz="4" w:space="0" w:color="auto"/>
              <w:right w:val="single" w:sz="4" w:space="0" w:color="auto"/>
            </w:tcBorders>
            <w:hideMark/>
          </w:tcPr>
          <w:p w14:paraId="015E3BC6" w14:textId="77777777" w:rsidR="00B3234F" w:rsidRDefault="00B3234F" w:rsidP="00BD1F8C">
            <w:pPr>
              <w:pStyle w:val="TAC"/>
              <w:rPr>
                <w:rFonts w:cs="v5.0.0"/>
              </w:rPr>
            </w:pPr>
            <w:r>
              <w:rPr>
                <w:rFonts w:cs="Arial"/>
              </w:rPr>
              <w:t>-98 dBm</w:t>
            </w:r>
          </w:p>
        </w:tc>
        <w:tc>
          <w:tcPr>
            <w:tcW w:w="879" w:type="dxa"/>
            <w:tcBorders>
              <w:top w:val="single" w:sz="4" w:space="0" w:color="auto"/>
              <w:left w:val="single" w:sz="4" w:space="0" w:color="auto"/>
              <w:bottom w:val="single" w:sz="4" w:space="0" w:color="auto"/>
              <w:right w:val="single" w:sz="4" w:space="0" w:color="auto"/>
            </w:tcBorders>
            <w:hideMark/>
          </w:tcPr>
          <w:p w14:paraId="1727D6BA"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E654F19" w14:textId="77777777" w:rsidR="00B3234F" w:rsidRDefault="00B3234F" w:rsidP="00BD1F8C">
            <w:pPr>
              <w:pStyle w:val="TAC"/>
              <w:rPr>
                <w:rFonts w:cs="Arial"/>
              </w:rPr>
            </w:pPr>
            <w:r>
              <w:rPr>
                <w:rFonts w:cs="Arial"/>
              </w:rPr>
              <w:t>-80 dBm</w:t>
            </w:r>
          </w:p>
        </w:tc>
        <w:tc>
          <w:tcPr>
            <w:tcW w:w="1414" w:type="dxa"/>
            <w:tcBorders>
              <w:top w:val="single" w:sz="4" w:space="0" w:color="auto"/>
              <w:left w:val="single" w:sz="4" w:space="0" w:color="auto"/>
              <w:bottom w:val="single" w:sz="4" w:space="0" w:color="auto"/>
              <w:right w:val="single" w:sz="4" w:space="0" w:color="auto"/>
            </w:tcBorders>
            <w:hideMark/>
          </w:tcPr>
          <w:p w14:paraId="3F9859E5" w14:textId="77777777" w:rsidR="00B3234F" w:rsidRDefault="00B3234F" w:rsidP="00BD1F8C">
            <w:pPr>
              <w:pStyle w:val="TAC"/>
              <w:rPr>
                <w:rFonts w:cs="v5.0.0"/>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2BD8653" w14:textId="77777777" w:rsidR="00B3234F" w:rsidRDefault="00B3234F" w:rsidP="00BD1F8C">
            <w:pPr>
              <w:pStyle w:val="TAC"/>
              <w:rPr>
                <w:rFonts w:cs="Arial"/>
              </w:rPr>
            </w:pPr>
          </w:p>
        </w:tc>
      </w:tr>
      <w:tr w:rsidR="00B3234F" w14:paraId="0E523B9E"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136B9F9" w14:textId="6D949F3F" w:rsidR="00B3234F" w:rsidRDefault="00B3234F" w:rsidP="00BD1F8C">
            <w:pPr>
              <w:pStyle w:val="TAC"/>
              <w:rPr>
                <w:rFonts w:cs="v5.0.0"/>
                <w:lang w:eastAsia="zh-CN"/>
              </w:rPr>
            </w:pPr>
            <w:r>
              <w:rPr>
                <w:rFonts w:cs="v5.0.0"/>
              </w:rPr>
              <w:t>PCS1900</w:t>
            </w:r>
          </w:p>
        </w:tc>
        <w:tc>
          <w:tcPr>
            <w:tcW w:w="1996" w:type="dxa"/>
            <w:tcBorders>
              <w:top w:val="single" w:sz="4" w:space="0" w:color="auto"/>
              <w:left w:val="single" w:sz="4" w:space="0" w:color="auto"/>
              <w:bottom w:val="single" w:sz="4" w:space="0" w:color="auto"/>
              <w:right w:val="single" w:sz="4" w:space="0" w:color="auto"/>
            </w:tcBorders>
            <w:hideMark/>
          </w:tcPr>
          <w:p w14:paraId="7B894CC9" w14:textId="77777777" w:rsidR="00B3234F" w:rsidRDefault="00B3234F" w:rsidP="00BD1F8C">
            <w:pPr>
              <w:pStyle w:val="TAC"/>
              <w:rPr>
                <w:rFonts w:cs="v5.0.0"/>
              </w:rPr>
            </w:pPr>
            <w:r>
              <w:rPr>
                <w:rFonts w:cs="Arial"/>
              </w:rPr>
              <w:t>1850 – 1910 MHz</w:t>
            </w:r>
          </w:p>
        </w:tc>
        <w:tc>
          <w:tcPr>
            <w:tcW w:w="879" w:type="dxa"/>
            <w:tcBorders>
              <w:top w:val="single" w:sz="4" w:space="0" w:color="auto"/>
              <w:left w:val="single" w:sz="4" w:space="0" w:color="auto"/>
              <w:bottom w:val="single" w:sz="4" w:space="0" w:color="auto"/>
              <w:right w:val="single" w:sz="4" w:space="0" w:color="auto"/>
            </w:tcBorders>
            <w:hideMark/>
          </w:tcPr>
          <w:p w14:paraId="5D53B839" w14:textId="77777777" w:rsidR="00B3234F" w:rsidRDefault="00B3234F" w:rsidP="00BD1F8C">
            <w:pPr>
              <w:pStyle w:val="TAC"/>
              <w:rPr>
                <w:rFonts w:cs="v5.0.0"/>
              </w:rPr>
            </w:pPr>
            <w:r>
              <w:rPr>
                <w:rFonts w:cs="Arial"/>
              </w:rPr>
              <w:t>-98 dBm</w:t>
            </w:r>
          </w:p>
        </w:tc>
        <w:tc>
          <w:tcPr>
            <w:tcW w:w="879" w:type="dxa"/>
            <w:tcBorders>
              <w:top w:val="single" w:sz="4" w:space="0" w:color="auto"/>
              <w:left w:val="single" w:sz="4" w:space="0" w:color="auto"/>
              <w:bottom w:val="single" w:sz="4" w:space="0" w:color="auto"/>
              <w:right w:val="single" w:sz="4" w:space="0" w:color="auto"/>
            </w:tcBorders>
            <w:hideMark/>
          </w:tcPr>
          <w:p w14:paraId="6FCF50A0"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7F54F5DE" w14:textId="77777777" w:rsidR="00B3234F" w:rsidRDefault="00B3234F" w:rsidP="00BD1F8C">
            <w:pPr>
              <w:pStyle w:val="TAC"/>
              <w:rPr>
                <w:rFonts w:cs="Arial"/>
              </w:rPr>
            </w:pPr>
            <w:r>
              <w:rPr>
                <w:rFonts w:cs="Arial"/>
              </w:rPr>
              <w:t>-80 dBm</w:t>
            </w:r>
          </w:p>
        </w:tc>
        <w:tc>
          <w:tcPr>
            <w:tcW w:w="1414" w:type="dxa"/>
            <w:tcBorders>
              <w:top w:val="single" w:sz="4" w:space="0" w:color="auto"/>
              <w:left w:val="single" w:sz="4" w:space="0" w:color="auto"/>
              <w:bottom w:val="single" w:sz="4" w:space="0" w:color="auto"/>
              <w:right w:val="single" w:sz="4" w:space="0" w:color="auto"/>
            </w:tcBorders>
            <w:hideMark/>
          </w:tcPr>
          <w:p w14:paraId="79694DA4" w14:textId="77777777" w:rsidR="00B3234F" w:rsidRDefault="00B3234F" w:rsidP="00BD1F8C">
            <w:pPr>
              <w:pStyle w:val="TAC"/>
              <w:rPr>
                <w:rFonts w:cs="v5.0.0"/>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7D4807E" w14:textId="77777777" w:rsidR="00B3234F" w:rsidRDefault="00B3234F" w:rsidP="00BD1F8C">
            <w:pPr>
              <w:pStyle w:val="TAC"/>
              <w:rPr>
                <w:rFonts w:cs="Arial"/>
              </w:rPr>
            </w:pPr>
          </w:p>
        </w:tc>
      </w:tr>
      <w:tr w:rsidR="00B3234F" w14:paraId="0EA3BA2A"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3C5C7B6" w14:textId="77777777" w:rsidR="00B3234F" w:rsidRDefault="00B3234F" w:rsidP="00BD1F8C">
            <w:pPr>
              <w:pStyle w:val="TAC"/>
              <w:rPr>
                <w:rFonts w:cs="v5.0.0"/>
                <w:lang w:eastAsia="zh-CN"/>
              </w:rPr>
            </w:pPr>
            <w:r>
              <w:rPr>
                <w:rFonts w:cs="v5.0.0"/>
              </w:rPr>
              <w:t xml:space="preserve"> GSM850 or CDMA850</w:t>
            </w:r>
          </w:p>
        </w:tc>
        <w:tc>
          <w:tcPr>
            <w:tcW w:w="1996" w:type="dxa"/>
            <w:tcBorders>
              <w:top w:val="single" w:sz="4" w:space="0" w:color="auto"/>
              <w:left w:val="single" w:sz="4" w:space="0" w:color="auto"/>
              <w:bottom w:val="single" w:sz="4" w:space="0" w:color="auto"/>
              <w:right w:val="single" w:sz="4" w:space="0" w:color="auto"/>
            </w:tcBorders>
            <w:hideMark/>
          </w:tcPr>
          <w:p w14:paraId="558B4424" w14:textId="77777777" w:rsidR="00B3234F" w:rsidRDefault="00B3234F" w:rsidP="00BD1F8C">
            <w:pPr>
              <w:pStyle w:val="TAC"/>
              <w:rPr>
                <w:rFonts w:cs="v5.0.0"/>
              </w:rPr>
            </w:pPr>
            <w:r>
              <w:rPr>
                <w:rFonts w:cs="Arial"/>
              </w:rPr>
              <w:t>824 – 849 MHz</w:t>
            </w:r>
          </w:p>
        </w:tc>
        <w:tc>
          <w:tcPr>
            <w:tcW w:w="879" w:type="dxa"/>
            <w:tcBorders>
              <w:top w:val="single" w:sz="4" w:space="0" w:color="auto"/>
              <w:left w:val="single" w:sz="4" w:space="0" w:color="auto"/>
              <w:bottom w:val="single" w:sz="4" w:space="0" w:color="auto"/>
              <w:right w:val="single" w:sz="4" w:space="0" w:color="auto"/>
            </w:tcBorders>
            <w:hideMark/>
          </w:tcPr>
          <w:p w14:paraId="5AC20DAA" w14:textId="77777777" w:rsidR="00B3234F" w:rsidRDefault="00B3234F" w:rsidP="00BD1F8C">
            <w:pPr>
              <w:pStyle w:val="TAC"/>
              <w:rPr>
                <w:rFonts w:cs="v5.0.0"/>
              </w:rPr>
            </w:pPr>
            <w:r>
              <w:rPr>
                <w:rFonts w:cs="Arial"/>
              </w:rPr>
              <w:t>-98 dBm</w:t>
            </w:r>
          </w:p>
        </w:tc>
        <w:tc>
          <w:tcPr>
            <w:tcW w:w="879" w:type="dxa"/>
            <w:tcBorders>
              <w:top w:val="single" w:sz="4" w:space="0" w:color="auto"/>
              <w:left w:val="single" w:sz="4" w:space="0" w:color="auto"/>
              <w:bottom w:val="single" w:sz="4" w:space="0" w:color="auto"/>
              <w:right w:val="single" w:sz="4" w:space="0" w:color="auto"/>
            </w:tcBorders>
            <w:hideMark/>
          </w:tcPr>
          <w:p w14:paraId="619324DF"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4FA715A" w14:textId="77777777" w:rsidR="00B3234F" w:rsidRDefault="00B3234F" w:rsidP="00BD1F8C">
            <w:pPr>
              <w:pStyle w:val="TAC"/>
              <w:rPr>
                <w:rFonts w:cs="Arial"/>
              </w:rPr>
            </w:pPr>
            <w:r>
              <w:rPr>
                <w:rFonts w:cs="Arial"/>
              </w:rPr>
              <w:t>-70 dBm</w:t>
            </w:r>
          </w:p>
        </w:tc>
        <w:tc>
          <w:tcPr>
            <w:tcW w:w="1414" w:type="dxa"/>
            <w:tcBorders>
              <w:top w:val="single" w:sz="4" w:space="0" w:color="auto"/>
              <w:left w:val="single" w:sz="4" w:space="0" w:color="auto"/>
              <w:bottom w:val="single" w:sz="4" w:space="0" w:color="auto"/>
              <w:right w:val="single" w:sz="4" w:space="0" w:color="auto"/>
            </w:tcBorders>
            <w:hideMark/>
          </w:tcPr>
          <w:p w14:paraId="76DB6A93" w14:textId="77777777" w:rsidR="00B3234F" w:rsidRDefault="00B3234F" w:rsidP="00BD1F8C">
            <w:pPr>
              <w:pStyle w:val="TAC"/>
              <w:rPr>
                <w:rFonts w:cs="v5.0.0"/>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A948449" w14:textId="77777777" w:rsidR="00B3234F" w:rsidRDefault="00B3234F" w:rsidP="00BD1F8C">
            <w:pPr>
              <w:pStyle w:val="TAC"/>
              <w:rPr>
                <w:rFonts w:cs="Arial"/>
              </w:rPr>
            </w:pPr>
          </w:p>
        </w:tc>
      </w:tr>
      <w:tr w:rsidR="00B3234F" w14:paraId="23F82CFA"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A29A856" w14:textId="77777777" w:rsidR="00B3234F" w:rsidRDefault="00B3234F" w:rsidP="00BD1F8C">
            <w:pPr>
              <w:pStyle w:val="TAC"/>
              <w:rPr>
                <w:rFonts w:cs="v5.0.0"/>
                <w:lang w:val="sv-SE" w:eastAsia="zh-CN"/>
              </w:rPr>
            </w:pPr>
            <w:r>
              <w:rPr>
                <w:rFonts w:cs="v5.0.0"/>
                <w:lang w:val="sv-SE"/>
              </w:rPr>
              <w:t>UTRA FDD Band I or E-UTRA Band 1 or NR Band n1</w:t>
            </w:r>
          </w:p>
        </w:tc>
        <w:tc>
          <w:tcPr>
            <w:tcW w:w="1996" w:type="dxa"/>
            <w:tcBorders>
              <w:top w:val="single" w:sz="4" w:space="0" w:color="auto"/>
              <w:left w:val="single" w:sz="4" w:space="0" w:color="auto"/>
              <w:bottom w:val="single" w:sz="4" w:space="0" w:color="auto"/>
              <w:right w:val="single" w:sz="4" w:space="0" w:color="auto"/>
            </w:tcBorders>
          </w:tcPr>
          <w:p w14:paraId="6B2BC53B" w14:textId="77777777" w:rsidR="00B3234F" w:rsidRDefault="00B3234F" w:rsidP="00BD1F8C">
            <w:pPr>
              <w:pStyle w:val="TAC"/>
              <w:rPr>
                <w:rFonts w:cs="Arial"/>
                <w:lang w:eastAsia="zh-CN"/>
              </w:rPr>
            </w:pPr>
            <w:r>
              <w:rPr>
                <w:rFonts w:cs="Arial"/>
              </w:rPr>
              <w:t>1920 – 1980 MHz</w:t>
            </w:r>
          </w:p>
          <w:p w14:paraId="093A480C" w14:textId="77777777" w:rsidR="00B3234F" w:rsidRDefault="00B3234F" w:rsidP="00BD1F8C">
            <w:pPr>
              <w:pStyle w:val="TAC"/>
              <w:rPr>
                <w:rFonts w:cs="Arial"/>
              </w:rPr>
            </w:pPr>
          </w:p>
        </w:tc>
        <w:tc>
          <w:tcPr>
            <w:tcW w:w="879" w:type="dxa"/>
            <w:tcBorders>
              <w:top w:val="single" w:sz="4" w:space="0" w:color="auto"/>
              <w:left w:val="single" w:sz="4" w:space="0" w:color="auto"/>
              <w:bottom w:val="single" w:sz="4" w:space="0" w:color="auto"/>
              <w:right w:val="single" w:sz="4" w:space="0" w:color="auto"/>
            </w:tcBorders>
            <w:hideMark/>
          </w:tcPr>
          <w:p w14:paraId="1BEA9F25"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12E81D6B"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DBD5694"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3AF5B43"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94CD79B" w14:textId="77777777" w:rsidR="00B3234F" w:rsidRDefault="00B3234F" w:rsidP="00BD1F8C">
            <w:pPr>
              <w:pStyle w:val="TAC"/>
              <w:rPr>
                <w:rFonts w:cs="Arial"/>
              </w:rPr>
            </w:pPr>
          </w:p>
        </w:tc>
      </w:tr>
      <w:tr w:rsidR="00B3234F" w14:paraId="2470669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2E23A3B" w14:textId="77777777" w:rsidR="00B3234F" w:rsidRDefault="00B3234F" w:rsidP="00BD1F8C">
            <w:pPr>
              <w:pStyle w:val="TAC"/>
              <w:rPr>
                <w:rFonts w:cs="v5.0.0"/>
                <w:lang w:eastAsia="zh-CN"/>
              </w:rPr>
            </w:pPr>
            <w:r>
              <w:rPr>
                <w:rFonts w:cs="v5.0.0"/>
              </w:rPr>
              <w:t>UTRA FDD Band II or E-UTRA Band 2 or NR Band n2</w:t>
            </w:r>
          </w:p>
        </w:tc>
        <w:tc>
          <w:tcPr>
            <w:tcW w:w="1996" w:type="dxa"/>
            <w:tcBorders>
              <w:top w:val="single" w:sz="4" w:space="0" w:color="auto"/>
              <w:left w:val="single" w:sz="4" w:space="0" w:color="auto"/>
              <w:bottom w:val="single" w:sz="4" w:space="0" w:color="auto"/>
              <w:right w:val="single" w:sz="4" w:space="0" w:color="auto"/>
            </w:tcBorders>
          </w:tcPr>
          <w:p w14:paraId="3BE0A0E2" w14:textId="77777777" w:rsidR="00B3234F" w:rsidRDefault="00B3234F" w:rsidP="00BD1F8C">
            <w:pPr>
              <w:pStyle w:val="TAC"/>
              <w:rPr>
                <w:rFonts w:cs="Arial"/>
                <w:lang w:eastAsia="zh-CN"/>
              </w:rPr>
            </w:pPr>
            <w:r>
              <w:rPr>
                <w:rFonts w:cs="Arial"/>
              </w:rPr>
              <w:t>1850 – 1910 MHz</w:t>
            </w:r>
          </w:p>
          <w:p w14:paraId="3388C177" w14:textId="77777777" w:rsidR="00B3234F" w:rsidRDefault="00B3234F" w:rsidP="00BD1F8C">
            <w:pPr>
              <w:pStyle w:val="TAC"/>
              <w:rPr>
                <w:rFonts w:cs="Arial"/>
              </w:rPr>
            </w:pPr>
          </w:p>
        </w:tc>
        <w:tc>
          <w:tcPr>
            <w:tcW w:w="879" w:type="dxa"/>
            <w:tcBorders>
              <w:top w:val="single" w:sz="4" w:space="0" w:color="auto"/>
              <w:left w:val="single" w:sz="4" w:space="0" w:color="auto"/>
              <w:bottom w:val="single" w:sz="4" w:space="0" w:color="auto"/>
              <w:right w:val="single" w:sz="4" w:space="0" w:color="auto"/>
            </w:tcBorders>
            <w:hideMark/>
          </w:tcPr>
          <w:p w14:paraId="2072C807"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6E706731"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933BAE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00965D15"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37D9957" w14:textId="77777777" w:rsidR="00B3234F" w:rsidRDefault="00B3234F" w:rsidP="00BD1F8C">
            <w:pPr>
              <w:pStyle w:val="TAC"/>
              <w:rPr>
                <w:rFonts w:cs="Arial"/>
              </w:rPr>
            </w:pPr>
          </w:p>
        </w:tc>
      </w:tr>
      <w:tr w:rsidR="00B3234F" w14:paraId="07913FF0"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71D695F" w14:textId="77777777" w:rsidR="00B3234F" w:rsidRDefault="00B3234F" w:rsidP="00BD1F8C">
            <w:pPr>
              <w:pStyle w:val="TAC"/>
              <w:rPr>
                <w:rFonts w:cs="v5.0.0"/>
                <w:lang w:eastAsia="zh-CN"/>
              </w:rPr>
            </w:pPr>
            <w:r>
              <w:rPr>
                <w:rFonts w:cs="v5.0.0"/>
              </w:rPr>
              <w:t>UTRA FDD Band III or E-UTRA Band 3 or NR Band n3</w:t>
            </w:r>
          </w:p>
        </w:tc>
        <w:tc>
          <w:tcPr>
            <w:tcW w:w="1996" w:type="dxa"/>
            <w:tcBorders>
              <w:top w:val="single" w:sz="4" w:space="0" w:color="auto"/>
              <w:left w:val="single" w:sz="4" w:space="0" w:color="auto"/>
              <w:bottom w:val="single" w:sz="4" w:space="0" w:color="auto"/>
              <w:right w:val="single" w:sz="4" w:space="0" w:color="auto"/>
            </w:tcBorders>
            <w:hideMark/>
          </w:tcPr>
          <w:p w14:paraId="0E60128E" w14:textId="77777777" w:rsidR="00B3234F" w:rsidRDefault="00B3234F" w:rsidP="00BD1F8C">
            <w:pPr>
              <w:pStyle w:val="TAC"/>
              <w:rPr>
                <w:rFonts w:cs="Arial"/>
              </w:rPr>
            </w:pPr>
            <w:r>
              <w:rPr>
                <w:rFonts w:cs="Arial"/>
              </w:rPr>
              <w:t>1710 – 1785 MHz</w:t>
            </w:r>
          </w:p>
        </w:tc>
        <w:tc>
          <w:tcPr>
            <w:tcW w:w="879" w:type="dxa"/>
            <w:tcBorders>
              <w:top w:val="single" w:sz="4" w:space="0" w:color="auto"/>
              <w:left w:val="single" w:sz="4" w:space="0" w:color="auto"/>
              <w:bottom w:val="single" w:sz="4" w:space="0" w:color="auto"/>
              <w:right w:val="single" w:sz="4" w:space="0" w:color="auto"/>
            </w:tcBorders>
            <w:hideMark/>
          </w:tcPr>
          <w:p w14:paraId="16B493CA"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8965F13"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2BCA1DF4"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03EBE4C3"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BB3B0C5" w14:textId="77777777" w:rsidR="00B3234F" w:rsidRDefault="00B3234F" w:rsidP="00BD1F8C">
            <w:pPr>
              <w:pStyle w:val="TAC"/>
              <w:rPr>
                <w:rFonts w:cs="Arial"/>
              </w:rPr>
            </w:pPr>
          </w:p>
        </w:tc>
      </w:tr>
      <w:tr w:rsidR="00B3234F" w14:paraId="7F25893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A4E8528" w14:textId="77777777" w:rsidR="00B3234F" w:rsidRDefault="00B3234F" w:rsidP="00BD1F8C">
            <w:pPr>
              <w:pStyle w:val="TAC"/>
              <w:rPr>
                <w:rFonts w:cs="v5.0.0"/>
                <w:lang w:val="sv-SE" w:eastAsia="zh-CN"/>
              </w:rPr>
            </w:pPr>
            <w:r>
              <w:rPr>
                <w:rFonts w:cs="v5.0.0"/>
                <w:lang w:val="sv-SE"/>
              </w:rPr>
              <w:t>UTRA FDD Band IV or E-UTRA Band 4</w:t>
            </w:r>
          </w:p>
        </w:tc>
        <w:tc>
          <w:tcPr>
            <w:tcW w:w="1996" w:type="dxa"/>
            <w:tcBorders>
              <w:top w:val="single" w:sz="4" w:space="0" w:color="auto"/>
              <w:left w:val="single" w:sz="4" w:space="0" w:color="auto"/>
              <w:bottom w:val="single" w:sz="4" w:space="0" w:color="auto"/>
              <w:right w:val="single" w:sz="4" w:space="0" w:color="auto"/>
            </w:tcBorders>
            <w:hideMark/>
          </w:tcPr>
          <w:p w14:paraId="6157431B" w14:textId="77777777" w:rsidR="00B3234F" w:rsidRDefault="00B3234F" w:rsidP="00BD1F8C">
            <w:pPr>
              <w:pStyle w:val="TAC"/>
              <w:rPr>
                <w:rFonts w:cs="Arial"/>
              </w:rPr>
            </w:pPr>
            <w:r>
              <w:rPr>
                <w:rFonts w:cs="Arial"/>
              </w:rPr>
              <w:t>1710 – 1755 MHz</w:t>
            </w:r>
          </w:p>
        </w:tc>
        <w:tc>
          <w:tcPr>
            <w:tcW w:w="879" w:type="dxa"/>
            <w:tcBorders>
              <w:top w:val="single" w:sz="4" w:space="0" w:color="auto"/>
              <w:left w:val="single" w:sz="4" w:space="0" w:color="auto"/>
              <w:bottom w:val="single" w:sz="4" w:space="0" w:color="auto"/>
              <w:right w:val="single" w:sz="4" w:space="0" w:color="auto"/>
            </w:tcBorders>
            <w:hideMark/>
          </w:tcPr>
          <w:p w14:paraId="6BB656CC"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4D2CB0D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6891520"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3FC517B"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1CEA1E4" w14:textId="77777777" w:rsidR="00B3234F" w:rsidRDefault="00B3234F" w:rsidP="00BD1F8C">
            <w:pPr>
              <w:pStyle w:val="TAC"/>
              <w:rPr>
                <w:rFonts w:cs="Arial"/>
              </w:rPr>
            </w:pPr>
          </w:p>
        </w:tc>
      </w:tr>
      <w:tr w:rsidR="00B3234F" w14:paraId="7879B170"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E0EA1BB" w14:textId="77777777" w:rsidR="00B3234F" w:rsidRDefault="00B3234F" w:rsidP="00BD1F8C">
            <w:pPr>
              <w:pStyle w:val="TAC"/>
              <w:rPr>
                <w:rFonts w:cs="v5.0.0"/>
                <w:lang w:eastAsia="zh-CN"/>
              </w:rPr>
            </w:pPr>
            <w:r>
              <w:rPr>
                <w:rFonts w:cs="v5.0.0"/>
              </w:rPr>
              <w:t>UTRA FDD Band V or E-UTRA Band 5 or NR Band n5</w:t>
            </w:r>
          </w:p>
        </w:tc>
        <w:tc>
          <w:tcPr>
            <w:tcW w:w="1996" w:type="dxa"/>
            <w:tcBorders>
              <w:top w:val="single" w:sz="4" w:space="0" w:color="auto"/>
              <w:left w:val="single" w:sz="4" w:space="0" w:color="auto"/>
              <w:bottom w:val="single" w:sz="4" w:space="0" w:color="auto"/>
              <w:right w:val="single" w:sz="4" w:space="0" w:color="auto"/>
            </w:tcBorders>
            <w:hideMark/>
          </w:tcPr>
          <w:p w14:paraId="725F622A" w14:textId="77777777" w:rsidR="00B3234F" w:rsidRDefault="00B3234F" w:rsidP="00BD1F8C">
            <w:pPr>
              <w:pStyle w:val="TAC"/>
              <w:rPr>
                <w:rFonts w:cs="Arial"/>
              </w:rPr>
            </w:pPr>
            <w:r>
              <w:rPr>
                <w:rFonts w:cs="Arial"/>
              </w:rPr>
              <w:t>824 – 849 MHz</w:t>
            </w:r>
          </w:p>
        </w:tc>
        <w:tc>
          <w:tcPr>
            <w:tcW w:w="879" w:type="dxa"/>
            <w:tcBorders>
              <w:top w:val="single" w:sz="4" w:space="0" w:color="auto"/>
              <w:left w:val="single" w:sz="4" w:space="0" w:color="auto"/>
              <w:bottom w:val="single" w:sz="4" w:space="0" w:color="auto"/>
              <w:right w:val="single" w:sz="4" w:space="0" w:color="auto"/>
            </w:tcBorders>
            <w:hideMark/>
          </w:tcPr>
          <w:p w14:paraId="5045E04A"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3BA5A9D"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3F3309CF"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40C1CB3"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FB5B1FA" w14:textId="77777777" w:rsidR="00B3234F" w:rsidRDefault="00B3234F" w:rsidP="00BD1F8C">
            <w:pPr>
              <w:pStyle w:val="TAC"/>
              <w:rPr>
                <w:rFonts w:cs="Arial"/>
              </w:rPr>
            </w:pPr>
          </w:p>
        </w:tc>
      </w:tr>
      <w:tr w:rsidR="00B3234F" w14:paraId="44A62E52"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F990BFF" w14:textId="77777777" w:rsidR="00B3234F" w:rsidRDefault="00B3234F" w:rsidP="00BD1F8C">
            <w:pPr>
              <w:pStyle w:val="TAC"/>
              <w:rPr>
                <w:rFonts w:cs="v5.0.0"/>
                <w:lang w:val="sv-SE" w:eastAsia="zh-CN"/>
              </w:rPr>
            </w:pPr>
            <w:r>
              <w:rPr>
                <w:rFonts w:cs="v5.0.0"/>
                <w:lang w:val="sv-SE"/>
              </w:rPr>
              <w:t>UTRA FDD Band VI, XIX or E-UTRA Band 6, 19</w:t>
            </w:r>
          </w:p>
        </w:tc>
        <w:tc>
          <w:tcPr>
            <w:tcW w:w="1996" w:type="dxa"/>
            <w:tcBorders>
              <w:top w:val="single" w:sz="4" w:space="0" w:color="auto"/>
              <w:left w:val="single" w:sz="4" w:space="0" w:color="auto"/>
              <w:bottom w:val="single" w:sz="4" w:space="0" w:color="auto"/>
              <w:right w:val="single" w:sz="4" w:space="0" w:color="auto"/>
            </w:tcBorders>
            <w:hideMark/>
          </w:tcPr>
          <w:p w14:paraId="5D6E2EA5" w14:textId="77777777" w:rsidR="00B3234F" w:rsidRDefault="00B3234F" w:rsidP="00BD1F8C">
            <w:pPr>
              <w:pStyle w:val="TAC"/>
              <w:rPr>
                <w:rFonts w:cs="Arial"/>
              </w:rPr>
            </w:pPr>
            <w:r>
              <w:rPr>
                <w:rFonts w:cs="Arial"/>
              </w:rPr>
              <w:t xml:space="preserve">830 – 845 MHz </w:t>
            </w:r>
          </w:p>
        </w:tc>
        <w:tc>
          <w:tcPr>
            <w:tcW w:w="879" w:type="dxa"/>
            <w:tcBorders>
              <w:top w:val="single" w:sz="4" w:space="0" w:color="auto"/>
              <w:left w:val="single" w:sz="4" w:space="0" w:color="auto"/>
              <w:bottom w:val="single" w:sz="4" w:space="0" w:color="auto"/>
              <w:right w:val="single" w:sz="4" w:space="0" w:color="auto"/>
            </w:tcBorders>
            <w:hideMark/>
          </w:tcPr>
          <w:p w14:paraId="67005744"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1320B80D"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941973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4535102"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B577166" w14:textId="77777777" w:rsidR="00B3234F" w:rsidRDefault="00B3234F" w:rsidP="00BD1F8C">
            <w:pPr>
              <w:pStyle w:val="TAC"/>
              <w:rPr>
                <w:rFonts w:cs="Arial"/>
              </w:rPr>
            </w:pPr>
          </w:p>
        </w:tc>
      </w:tr>
      <w:tr w:rsidR="00B3234F" w14:paraId="3B8EE218"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64BD894" w14:textId="77777777" w:rsidR="00B3234F" w:rsidRDefault="00B3234F" w:rsidP="00BD1F8C">
            <w:pPr>
              <w:pStyle w:val="TAC"/>
              <w:rPr>
                <w:rFonts w:cs="v5.0.0"/>
                <w:lang w:eastAsia="zh-CN"/>
              </w:rPr>
            </w:pPr>
            <w:r>
              <w:rPr>
                <w:rFonts w:cs="v5.0.0"/>
              </w:rPr>
              <w:t>UTRA FDD Band VII or E-UTRA Band 7 or NR Band n7</w:t>
            </w:r>
          </w:p>
        </w:tc>
        <w:tc>
          <w:tcPr>
            <w:tcW w:w="1996" w:type="dxa"/>
            <w:tcBorders>
              <w:top w:val="single" w:sz="4" w:space="0" w:color="auto"/>
              <w:left w:val="single" w:sz="4" w:space="0" w:color="auto"/>
              <w:bottom w:val="single" w:sz="4" w:space="0" w:color="auto"/>
              <w:right w:val="single" w:sz="4" w:space="0" w:color="auto"/>
            </w:tcBorders>
            <w:hideMark/>
          </w:tcPr>
          <w:p w14:paraId="16C088F9" w14:textId="77777777" w:rsidR="00B3234F" w:rsidRDefault="00B3234F" w:rsidP="00BD1F8C">
            <w:pPr>
              <w:pStyle w:val="TAC"/>
              <w:rPr>
                <w:rFonts w:cs="Arial"/>
              </w:rPr>
            </w:pPr>
            <w:r>
              <w:rPr>
                <w:rFonts w:cs="Arial"/>
              </w:rPr>
              <w:t>2500 – 2570 MHz</w:t>
            </w:r>
          </w:p>
        </w:tc>
        <w:tc>
          <w:tcPr>
            <w:tcW w:w="879" w:type="dxa"/>
            <w:tcBorders>
              <w:top w:val="single" w:sz="4" w:space="0" w:color="auto"/>
              <w:left w:val="single" w:sz="4" w:space="0" w:color="auto"/>
              <w:bottom w:val="single" w:sz="4" w:space="0" w:color="auto"/>
              <w:right w:val="single" w:sz="4" w:space="0" w:color="auto"/>
            </w:tcBorders>
            <w:hideMark/>
          </w:tcPr>
          <w:p w14:paraId="73537ED0"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6534E0E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38A4FB20"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C42C21C"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81D6A97" w14:textId="77777777" w:rsidR="00B3234F" w:rsidRDefault="00B3234F" w:rsidP="00BD1F8C">
            <w:pPr>
              <w:pStyle w:val="TAC"/>
              <w:rPr>
                <w:rFonts w:cs="Arial"/>
              </w:rPr>
            </w:pPr>
          </w:p>
        </w:tc>
      </w:tr>
      <w:tr w:rsidR="00B3234F" w14:paraId="3809BBF4"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384983E" w14:textId="77777777" w:rsidR="00B3234F" w:rsidRDefault="00B3234F" w:rsidP="00BD1F8C">
            <w:pPr>
              <w:pStyle w:val="TAC"/>
              <w:rPr>
                <w:rFonts w:cs="v5.0.0"/>
                <w:lang w:eastAsia="zh-CN"/>
              </w:rPr>
            </w:pPr>
            <w:r>
              <w:rPr>
                <w:rFonts w:cs="v5.0.0"/>
              </w:rPr>
              <w:t>UTRA FDD Band VIII or E-UTRA Band 8 or NR Band n8</w:t>
            </w:r>
          </w:p>
        </w:tc>
        <w:tc>
          <w:tcPr>
            <w:tcW w:w="1996" w:type="dxa"/>
            <w:tcBorders>
              <w:top w:val="single" w:sz="4" w:space="0" w:color="auto"/>
              <w:left w:val="single" w:sz="4" w:space="0" w:color="auto"/>
              <w:bottom w:val="single" w:sz="4" w:space="0" w:color="auto"/>
              <w:right w:val="single" w:sz="4" w:space="0" w:color="auto"/>
            </w:tcBorders>
            <w:hideMark/>
          </w:tcPr>
          <w:p w14:paraId="40D18772" w14:textId="77777777" w:rsidR="00B3234F" w:rsidRDefault="00B3234F" w:rsidP="00BD1F8C">
            <w:pPr>
              <w:pStyle w:val="TAC"/>
              <w:rPr>
                <w:rFonts w:cs="Arial"/>
              </w:rPr>
            </w:pPr>
            <w:r>
              <w:rPr>
                <w:rFonts w:cs="Arial"/>
              </w:rPr>
              <w:t>880 – 915 MHz</w:t>
            </w:r>
          </w:p>
        </w:tc>
        <w:tc>
          <w:tcPr>
            <w:tcW w:w="879" w:type="dxa"/>
            <w:tcBorders>
              <w:top w:val="single" w:sz="4" w:space="0" w:color="auto"/>
              <w:left w:val="single" w:sz="4" w:space="0" w:color="auto"/>
              <w:bottom w:val="single" w:sz="4" w:space="0" w:color="auto"/>
              <w:right w:val="single" w:sz="4" w:space="0" w:color="auto"/>
            </w:tcBorders>
            <w:hideMark/>
          </w:tcPr>
          <w:p w14:paraId="4146033F"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35F751C4"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C08A9C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3667F34"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E2AB90C" w14:textId="77777777" w:rsidR="00B3234F" w:rsidRDefault="00B3234F" w:rsidP="00BD1F8C">
            <w:pPr>
              <w:pStyle w:val="TAC"/>
              <w:rPr>
                <w:rFonts w:cs="Arial"/>
              </w:rPr>
            </w:pPr>
          </w:p>
        </w:tc>
      </w:tr>
      <w:tr w:rsidR="00B3234F" w14:paraId="2F9955CE"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87C5B20" w14:textId="77777777" w:rsidR="00B3234F" w:rsidRDefault="00B3234F" w:rsidP="00BD1F8C">
            <w:pPr>
              <w:pStyle w:val="TAC"/>
              <w:rPr>
                <w:rFonts w:cs="v5.0.0"/>
                <w:lang w:val="sv-SE" w:eastAsia="zh-CN"/>
              </w:rPr>
            </w:pPr>
            <w:r>
              <w:rPr>
                <w:rFonts w:cs="v5.0.0"/>
                <w:lang w:val="sv-SE"/>
              </w:rPr>
              <w:t>UTRA FDD Band IX or E-UTRA Band 9</w:t>
            </w:r>
          </w:p>
        </w:tc>
        <w:tc>
          <w:tcPr>
            <w:tcW w:w="1996" w:type="dxa"/>
            <w:tcBorders>
              <w:top w:val="single" w:sz="4" w:space="0" w:color="auto"/>
              <w:left w:val="single" w:sz="4" w:space="0" w:color="auto"/>
              <w:bottom w:val="single" w:sz="4" w:space="0" w:color="auto"/>
              <w:right w:val="single" w:sz="4" w:space="0" w:color="auto"/>
            </w:tcBorders>
            <w:hideMark/>
          </w:tcPr>
          <w:p w14:paraId="05C0D284" w14:textId="77777777" w:rsidR="00B3234F" w:rsidRDefault="00B3234F" w:rsidP="00BD1F8C">
            <w:pPr>
              <w:pStyle w:val="TAC"/>
              <w:rPr>
                <w:rFonts w:cs="Arial"/>
              </w:rPr>
            </w:pPr>
            <w:r>
              <w:rPr>
                <w:rFonts w:cs="Arial"/>
              </w:rPr>
              <w:t>1749.9 – 1784.9 MHz</w:t>
            </w:r>
          </w:p>
        </w:tc>
        <w:tc>
          <w:tcPr>
            <w:tcW w:w="879" w:type="dxa"/>
            <w:tcBorders>
              <w:top w:val="single" w:sz="4" w:space="0" w:color="auto"/>
              <w:left w:val="single" w:sz="4" w:space="0" w:color="auto"/>
              <w:bottom w:val="single" w:sz="4" w:space="0" w:color="auto"/>
              <w:right w:val="single" w:sz="4" w:space="0" w:color="auto"/>
            </w:tcBorders>
            <w:hideMark/>
          </w:tcPr>
          <w:p w14:paraId="5158B70B"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372F776"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7C8C5B3B"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F94DFD2"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D5B38A7" w14:textId="77777777" w:rsidR="00B3234F" w:rsidRDefault="00B3234F" w:rsidP="00BD1F8C">
            <w:pPr>
              <w:pStyle w:val="TAC"/>
              <w:rPr>
                <w:rFonts w:cs="Arial"/>
              </w:rPr>
            </w:pPr>
          </w:p>
        </w:tc>
      </w:tr>
      <w:tr w:rsidR="00B3234F" w14:paraId="5AED0A38"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87D927C" w14:textId="77777777" w:rsidR="00B3234F" w:rsidRDefault="00B3234F" w:rsidP="00BD1F8C">
            <w:pPr>
              <w:pStyle w:val="TAC"/>
              <w:rPr>
                <w:rFonts w:cs="v5.0.0"/>
                <w:lang w:val="sv-SE" w:eastAsia="zh-CN"/>
              </w:rPr>
            </w:pPr>
            <w:r>
              <w:rPr>
                <w:rFonts w:cs="v5.0.0"/>
                <w:lang w:val="sv-SE"/>
              </w:rPr>
              <w:t>UTRA FDD Band X or E-UTRA Band 10</w:t>
            </w:r>
          </w:p>
        </w:tc>
        <w:tc>
          <w:tcPr>
            <w:tcW w:w="1996" w:type="dxa"/>
            <w:tcBorders>
              <w:top w:val="single" w:sz="4" w:space="0" w:color="auto"/>
              <w:left w:val="single" w:sz="4" w:space="0" w:color="auto"/>
              <w:bottom w:val="single" w:sz="4" w:space="0" w:color="auto"/>
              <w:right w:val="single" w:sz="4" w:space="0" w:color="auto"/>
            </w:tcBorders>
            <w:hideMark/>
          </w:tcPr>
          <w:p w14:paraId="74695FEF" w14:textId="77777777" w:rsidR="00B3234F" w:rsidRDefault="00B3234F" w:rsidP="00BD1F8C">
            <w:pPr>
              <w:pStyle w:val="TAC"/>
              <w:rPr>
                <w:rFonts w:cs="Arial"/>
              </w:rPr>
            </w:pPr>
            <w:r>
              <w:rPr>
                <w:rFonts w:cs="Arial"/>
              </w:rPr>
              <w:t>1710 – 1770 MHz</w:t>
            </w:r>
          </w:p>
        </w:tc>
        <w:tc>
          <w:tcPr>
            <w:tcW w:w="879" w:type="dxa"/>
            <w:tcBorders>
              <w:top w:val="single" w:sz="4" w:space="0" w:color="auto"/>
              <w:left w:val="single" w:sz="4" w:space="0" w:color="auto"/>
              <w:bottom w:val="single" w:sz="4" w:space="0" w:color="auto"/>
              <w:right w:val="single" w:sz="4" w:space="0" w:color="auto"/>
            </w:tcBorders>
            <w:hideMark/>
          </w:tcPr>
          <w:p w14:paraId="09923935"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49A9509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7F857C61"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3F01990A"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3B58DB97" w14:textId="77777777" w:rsidR="00B3234F" w:rsidRDefault="00B3234F" w:rsidP="00BD1F8C">
            <w:pPr>
              <w:pStyle w:val="TAC"/>
              <w:rPr>
                <w:rFonts w:cs="Arial"/>
              </w:rPr>
            </w:pPr>
          </w:p>
        </w:tc>
      </w:tr>
      <w:tr w:rsidR="00B3234F" w:rsidRPr="00AB3358" w14:paraId="3B592D53"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2ADE26E" w14:textId="77777777" w:rsidR="00B3234F" w:rsidRDefault="00B3234F" w:rsidP="00BD1F8C">
            <w:pPr>
              <w:pStyle w:val="TAC"/>
              <w:rPr>
                <w:rFonts w:cs="v5.0.0"/>
                <w:lang w:val="sv-SE" w:eastAsia="zh-CN"/>
              </w:rPr>
            </w:pPr>
            <w:r>
              <w:rPr>
                <w:rFonts w:cs="v5.0.0"/>
                <w:lang w:val="sv-SE"/>
              </w:rPr>
              <w:t>UTRA FDD Band XI or E-UTRA Band 11</w:t>
            </w:r>
          </w:p>
        </w:tc>
        <w:tc>
          <w:tcPr>
            <w:tcW w:w="1996" w:type="dxa"/>
            <w:tcBorders>
              <w:top w:val="single" w:sz="4" w:space="0" w:color="auto"/>
              <w:left w:val="single" w:sz="4" w:space="0" w:color="auto"/>
              <w:bottom w:val="single" w:sz="4" w:space="0" w:color="auto"/>
              <w:right w:val="single" w:sz="4" w:space="0" w:color="auto"/>
            </w:tcBorders>
            <w:hideMark/>
          </w:tcPr>
          <w:p w14:paraId="73D478DD" w14:textId="77777777" w:rsidR="00B3234F" w:rsidRDefault="00B3234F" w:rsidP="00BD1F8C">
            <w:pPr>
              <w:pStyle w:val="TAC"/>
              <w:rPr>
                <w:rFonts w:cs="Arial"/>
              </w:rPr>
            </w:pPr>
            <w:r>
              <w:rPr>
                <w:rFonts w:cs="Arial"/>
              </w:rPr>
              <w:t>1427.9 –1447.9 MHz</w:t>
            </w:r>
          </w:p>
        </w:tc>
        <w:tc>
          <w:tcPr>
            <w:tcW w:w="879" w:type="dxa"/>
            <w:tcBorders>
              <w:top w:val="single" w:sz="4" w:space="0" w:color="auto"/>
              <w:left w:val="single" w:sz="4" w:space="0" w:color="auto"/>
              <w:bottom w:val="single" w:sz="4" w:space="0" w:color="auto"/>
              <w:right w:val="single" w:sz="4" w:space="0" w:color="auto"/>
            </w:tcBorders>
            <w:hideMark/>
          </w:tcPr>
          <w:p w14:paraId="392DAD7F"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865BAAE"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1B75B02"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522B4599"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hideMark/>
          </w:tcPr>
          <w:p w14:paraId="6119F1AC" w14:textId="77777777" w:rsidR="00B3234F" w:rsidRDefault="00B3234F" w:rsidP="00BD1F8C">
            <w:pPr>
              <w:pStyle w:val="TAC"/>
              <w:rPr>
                <w:rFonts w:cs="Arial"/>
              </w:rPr>
            </w:pPr>
          </w:p>
        </w:tc>
      </w:tr>
      <w:tr w:rsidR="00B3234F" w14:paraId="0763BE35"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72C9AD2" w14:textId="77777777" w:rsidR="00B3234F" w:rsidRDefault="00B3234F" w:rsidP="00BD1F8C">
            <w:pPr>
              <w:pStyle w:val="TAC"/>
              <w:rPr>
                <w:rFonts w:cs="Arial"/>
                <w:lang w:val="sv-SE"/>
              </w:rPr>
            </w:pPr>
            <w:r>
              <w:rPr>
                <w:rFonts w:cs="Arial"/>
                <w:lang w:val="sv-SE"/>
              </w:rPr>
              <w:t>UTRA FDD Band XII or</w:t>
            </w:r>
          </w:p>
          <w:p w14:paraId="353C6A0B" w14:textId="77777777" w:rsidR="00B3234F" w:rsidRDefault="00B3234F" w:rsidP="00BD1F8C">
            <w:pPr>
              <w:pStyle w:val="TAC"/>
              <w:rPr>
                <w:rFonts w:cs="v5.0.0"/>
                <w:lang w:val="sv-SE" w:eastAsia="zh-CN"/>
              </w:rPr>
            </w:pPr>
            <w:r>
              <w:rPr>
                <w:rFonts w:cs="Arial"/>
                <w:lang w:val="sv-SE"/>
              </w:rPr>
              <w:t>E-UTRA Band 12 or NR Band n12</w:t>
            </w:r>
          </w:p>
        </w:tc>
        <w:tc>
          <w:tcPr>
            <w:tcW w:w="1996" w:type="dxa"/>
            <w:tcBorders>
              <w:top w:val="single" w:sz="4" w:space="0" w:color="auto"/>
              <w:left w:val="single" w:sz="4" w:space="0" w:color="auto"/>
              <w:bottom w:val="single" w:sz="4" w:space="0" w:color="auto"/>
              <w:right w:val="single" w:sz="4" w:space="0" w:color="auto"/>
            </w:tcBorders>
            <w:hideMark/>
          </w:tcPr>
          <w:p w14:paraId="69BCF638" w14:textId="77777777" w:rsidR="00B3234F" w:rsidRDefault="00B3234F" w:rsidP="00BD1F8C">
            <w:pPr>
              <w:pStyle w:val="TAC"/>
              <w:rPr>
                <w:rFonts w:cs="Arial"/>
              </w:rPr>
            </w:pPr>
            <w:r>
              <w:rPr>
                <w:rFonts w:cs="Arial"/>
              </w:rPr>
              <w:t>699 – 716 MHz</w:t>
            </w:r>
          </w:p>
        </w:tc>
        <w:tc>
          <w:tcPr>
            <w:tcW w:w="879" w:type="dxa"/>
            <w:tcBorders>
              <w:top w:val="single" w:sz="4" w:space="0" w:color="auto"/>
              <w:left w:val="single" w:sz="4" w:space="0" w:color="auto"/>
              <w:bottom w:val="single" w:sz="4" w:space="0" w:color="auto"/>
              <w:right w:val="single" w:sz="4" w:space="0" w:color="auto"/>
            </w:tcBorders>
            <w:hideMark/>
          </w:tcPr>
          <w:p w14:paraId="113EB476"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D9DDED9"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1C7AE55B"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31BD8237"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E394D9F" w14:textId="77777777" w:rsidR="00B3234F" w:rsidRDefault="00B3234F" w:rsidP="00BD1F8C">
            <w:pPr>
              <w:pStyle w:val="TAC"/>
              <w:rPr>
                <w:rFonts w:cs="Arial"/>
              </w:rPr>
            </w:pPr>
          </w:p>
        </w:tc>
      </w:tr>
      <w:tr w:rsidR="00B3234F" w14:paraId="0AD2B692"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884AAE2" w14:textId="77777777" w:rsidR="00B3234F" w:rsidRDefault="00B3234F" w:rsidP="00BD1F8C">
            <w:pPr>
              <w:pStyle w:val="TAC"/>
              <w:rPr>
                <w:rFonts w:cs="Arial"/>
                <w:lang w:val="sv-SE"/>
              </w:rPr>
            </w:pPr>
            <w:r>
              <w:rPr>
                <w:rFonts w:cs="Arial"/>
                <w:lang w:val="sv-SE"/>
              </w:rPr>
              <w:t>UTRA FDD Band XIII or</w:t>
            </w:r>
          </w:p>
          <w:p w14:paraId="349C5959" w14:textId="77777777" w:rsidR="00B3234F" w:rsidRDefault="00B3234F" w:rsidP="00BD1F8C">
            <w:pPr>
              <w:pStyle w:val="TAC"/>
              <w:rPr>
                <w:rFonts w:cs="v5.0.0"/>
                <w:lang w:val="sv-SE" w:eastAsia="zh-CN"/>
              </w:rPr>
            </w:pPr>
            <w:r>
              <w:rPr>
                <w:rFonts w:cs="Arial"/>
                <w:lang w:val="sv-SE"/>
              </w:rPr>
              <w:t>E-UTRA Band 13</w:t>
            </w:r>
          </w:p>
        </w:tc>
        <w:tc>
          <w:tcPr>
            <w:tcW w:w="1996" w:type="dxa"/>
            <w:tcBorders>
              <w:top w:val="single" w:sz="4" w:space="0" w:color="auto"/>
              <w:left w:val="single" w:sz="4" w:space="0" w:color="auto"/>
              <w:bottom w:val="single" w:sz="4" w:space="0" w:color="auto"/>
              <w:right w:val="single" w:sz="4" w:space="0" w:color="auto"/>
            </w:tcBorders>
            <w:hideMark/>
          </w:tcPr>
          <w:p w14:paraId="6D1C7C7A" w14:textId="77777777" w:rsidR="00B3234F" w:rsidRDefault="00B3234F" w:rsidP="00BD1F8C">
            <w:pPr>
              <w:pStyle w:val="TAC"/>
              <w:rPr>
                <w:rFonts w:cs="Arial"/>
              </w:rPr>
            </w:pPr>
            <w:r>
              <w:rPr>
                <w:rFonts w:cs="Arial"/>
              </w:rPr>
              <w:t>777 – 787 MHz</w:t>
            </w:r>
          </w:p>
        </w:tc>
        <w:tc>
          <w:tcPr>
            <w:tcW w:w="879" w:type="dxa"/>
            <w:tcBorders>
              <w:top w:val="single" w:sz="4" w:space="0" w:color="auto"/>
              <w:left w:val="single" w:sz="4" w:space="0" w:color="auto"/>
              <w:bottom w:val="single" w:sz="4" w:space="0" w:color="auto"/>
              <w:right w:val="single" w:sz="4" w:space="0" w:color="auto"/>
            </w:tcBorders>
            <w:hideMark/>
          </w:tcPr>
          <w:p w14:paraId="78E049A8"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4F769D41"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147B9DC2"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55FD877"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90047E4" w14:textId="77777777" w:rsidR="00B3234F" w:rsidRDefault="00B3234F" w:rsidP="00BD1F8C">
            <w:pPr>
              <w:pStyle w:val="TAC"/>
              <w:rPr>
                <w:rFonts w:cs="Arial"/>
              </w:rPr>
            </w:pPr>
          </w:p>
        </w:tc>
      </w:tr>
      <w:tr w:rsidR="00B3234F" w14:paraId="3DB9F2D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0B2B01E" w14:textId="77777777" w:rsidR="00B3234F" w:rsidRDefault="00B3234F" w:rsidP="00BD1F8C">
            <w:pPr>
              <w:pStyle w:val="TAC"/>
              <w:rPr>
                <w:rFonts w:cs="Arial"/>
                <w:lang w:val="sv-SE"/>
              </w:rPr>
            </w:pPr>
            <w:r>
              <w:rPr>
                <w:rFonts w:cs="Arial"/>
                <w:lang w:val="sv-SE"/>
              </w:rPr>
              <w:t>UTRA FDD Band XIV or</w:t>
            </w:r>
          </w:p>
          <w:p w14:paraId="721B47C3" w14:textId="77777777" w:rsidR="00B3234F" w:rsidRDefault="00B3234F" w:rsidP="00BD1F8C">
            <w:pPr>
              <w:pStyle w:val="TAC"/>
              <w:rPr>
                <w:rFonts w:cs="v5.0.0"/>
                <w:lang w:val="sv-SE" w:eastAsia="zh-CN"/>
              </w:rPr>
            </w:pPr>
            <w:r>
              <w:rPr>
                <w:rFonts w:cs="Arial"/>
                <w:lang w:val="sv-SE"/>
              </w:rPr>
              <w:t>E-UTRA Band 14 or NR Band n14</w:t>
            </w:r>
          </w:p>
        </w:tc>
        <w:tc>
          <w:tcPr>
            <w:tcW w:w="1996" w:type="dxa"/>
            <w:tcBorders>
              <w:top w:val="single" w:sz="4" w:space="0" w:color="auto"/>
              <w:left w:val="single" w:sz="4" w:space="0" w:color="auto"/>
              <w:bottom w:val="single" w:sz="4" w:space="0" w:color="auto"/>
              <w:right w:val="single" w:sz="4" w:space="0" w:color="auto"/>
            </w:tcBorders>
            <w:hideMark/>
          </w:tcPr>
          <w:p w14:paraId="1B9CEE04" w14:textId="77777777" w:rsidR="00B3234F" w:rsidRDefault="00B3234F" w:rsidP="00BD1F8C">
            <w:pPr>
              <w:pStyle w:val="TAC"/>
              <w:rPr>
                <w:rFonts w:cs="Arial"/>
              </w:rPr>
            </w:pPr>
            <w:r>
              <w:rPr>
                <w:rFonts w:cs="Arial"/>
              </w:rPr>
              <w:t>788 – 798 MHz</w:t>
            </w:r>
          </w:p>
        </w:tc>
        <w:tc>
          <w:tcPr>
            <w:tcW w:w="879" w:type="dxa"/>
            <w:tcBorders>
              <w:top w:val="single" w:sz="4" w:space="0" w:color="auto"/>
              <w:left w:val="single" w:sz="4" w:space="0" w:color="auto"/>
              <w:bottom w:val="single" w:sz="4" w:space="0" w:color="auto"/>
              <w:right w:val="single" w:sz="4" w:space="0" w:color="auto"/>
            </w:tcBorders>
            <w:hideMark/>
          </w:tcPr>
          <w:p w14:paraId="6E63D1C3"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06731C88"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091A361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4D9A0265"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85AC811" w14:textId="77777777" w:rsidR="00B3234F" w:rsidRDefault="00B3234F" w:rsidP="00BD1F8C">
            <w:pPr>
              <w:pStyle w:val="TAC"/>
              <w:rPr>
                <w:rFonts w:cs="Arial"/>
              </w:rPr>
            </w:pPr>
          </w:p>
        </w:tc>
      </w:tr>
      <w:tr w:rsidR="00B3234F" w14:paraId="0B8B1C55"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1A51013" w14:textId="77777777" w:rsidR="00B3234F" w:rsidRDefault="00B3234F" w:rsidP="00BD1F8C">
            <w:pPr>
              <w:pStyle w:val="TAC"/>
              <w:rPr>
                <w:rFonts w:cs="v5.0.0"/>
                <w:lang w:eastAsia="zh-CN"/>
              </w:rPr>
            </w:pPr>
            <w:r>
              <w:rPr>
                <w:rFonts w:cs="Arial"/>
              </w:rPr>
              <w:t>E-UTRA Band 17</w:t>
            </w:r>
          </w:p>
        </w:tc>
        <w:tc>
          <w:tcPr>
            <w:tcW w:w="1996" w:type="dxa"/>
            <w:tcBorders>
              <w:top w:val="single" w:sz="4" w:space="0" w:color="auto"/>
              <w:left w:val="single" w:sz="4" w:space="0" w:color="auto"/>
              <w:bottom w:val="single" w:sz="4" w:space="0" w:color="auto"/>
              <w:right w:val="single" w:sz="4" w:space="0" w:color="auto"/>
            </w:tcBorders>
            <w:hideMark/>
          </w:tcPr>
          <w:p w14:paraId="54665BB4" w14:textId="77777777" w:rsidR="00B3234F" w:rsidRDefault="00B3234F" w:rsidP="00BD1F8C">
            <w:pPr>
              <w:pStyle w:val="TAC"/>
              <w:rPr>
                <w:rFonts w:cs="Arial"/>
              </w:rPr>
            </w:pPr>
            <w:r>
              <w:rPr>
                <w:rFonts w:cs="Arial"/>
              </w:rPr>
              <w:t>704 – 716 MHz</w:t>
            </w:r>
          </w:p>
        </w:tc>
        <w:tc>
          <w:tcPr>
            <w:tcW w:w="879" w:type="dxa"/>
            <w:tcBorders>
              <w:top w:val="single" w:sz="4" w:space="0" w:color="auto"/>
              <w:left w:val="single" w:sz="4" w:space="0" w:color="auto"/>
              <w:bottom w:val="single" w:sz="4" w:space="0" w:color="auto"/>
              <w:right w:val="single" w:sz="4" w:space="0" w:color="auto"/>
            </w:tcBorders>
            <w:hideMark/>
          </w:tcPr>
          <w:p w14:paraId="75D8E812"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1D4BF905"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069CFFAC"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50092E91"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B4C5CA7" w14:textId="77777777" w:rsidR="00B3234F" w:rsidRDefault="00B3234F" w:rsidP="00BD1F8C">
            <w:pPr>
              <w:pStyle w:val="TAC"/>
              <w:rPr>
                <w:rFonts w:cs="Arial"/>
              </w:rPr>
            </w:pPr>
          </w:p>
        </w:tc>
      </w:tr>
      <w:tr w:rsidR="00B3234F" w14:paraId="5E2351E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2CA9C0D" w14:textId="77777777" w:rsidR="00B3234F" w:rsidRDefault="00B3234F" w:rsidP="00BD1F8C">
            <w:pPr>
              <w:pStyle w:val="TAC"/>
              <w:rPr>
                <w:rFonts w:cs="v5.0.0"/>
                <w:lang w:eastAsia="zh-CN"/>
              </w:rPr>
            </w:pPr>
            <w:r>
              <w:rPr>
                <w:rFonts w:cs="Arial"/>
              </w:rPr>
              <w:t>E-UTRA Band 18</w:t>
            </w:r>
            <w:r>
              <w:rPr>
                <w:rFonts w:eastAsia="MS Mincho" w:cs="Arial"/>
                <w:lang w:val="en-US" w:eastAsia="ja-JP"/>
              </w:rPr>
              <w:t xml:space="preserve"> or NR Band n18</w:t>
            </w:r>
          </w:p>
        </w:tc>
        <w:tc>
          <w:tcPr>
            <w:tcW w:w="1996" w:type="dxa"/>
            <w:tcBorders>
              <w:top w:val="single" w:sz="4" w:space="0" w:color="auto"/>
              <w:left w:val="single" w:sz="4" w:space="0" w:color="auto"/>
              <w:bottom w:val="single" w:sz="4" w:space="0" w:color="auto"/>
              <w:right w:val="single" w:sz="4" w:space="0" w:color="auto"/>
            </w:tcBorders>
            <w:hideMark/>
          </w:tcPr>
          <w:p w14:paraId="61D1A13F" w14:textId="77777777" w:rsidR="00B3234F" w:rsidRDefault="00B3234F" w:rsidP="00BD1F8C">
            <w:pPr>
              <w:pStyle w:val="TAC"/>
              <w:rPr>
                <w:rFonts w:cs="Arial"/>
              </w:rPr>
            </w:pPr>
            <w:r>
              <w:rPr>
                <w:rFonts w:cs="Arial"/>
              </w:rPr>
              <w:t>815 – 830 MHz</w:t>
            </w:r>
          </w:p>
        </w:tc>
        <w:tc>
          <w:tcPr>
            <w:tcW w:w="879" w:type="dxa"/>
            <w:tcBorders>
              <w:top w:val="single" w:sz="4" w:space="0" w:color="auto"/>
              <w:left w:val="single" w:sz="4" w:space="0" w:color="auto"/>
              <w:bottom w:val="single" w:sz="4" w:space="0" w:color="auto"/>
              <w:right w:val="single" w:sz="4" w:space="0" w:color="auto"/>
            </w:tcBorders>
            <w:hideMark/>
          </w:tcPr>
          <w:p w14:paraId="4223D7E9"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741EE04E"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F90084B"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339B1E1B"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0DECB1F" w14:textId="77777777" w:rsidR="00B3234F" w:rsidRDefault="00B3234F" w:rsidP="00BD1F8C">
            <w:pPr>
              <w:pStyle w:val="TAC"/>
              <w:rPr>
                <w:rFonts w:cs="Arial"/>
              </w:rPr>
            </w:pPr>
          </w:p>
        </w:tc>
      </w:tr>
      <w:tr w:rsidR="00B3234F" w14:paraId="3B71BD67"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C091AFB" w14:textId="77777777" w:rsidR="00B3234F" w:rsidRDefault="00B3234F" w:rsidP="00BD1F8C">
            <w:pPr>
              <w:pStyle w:val="TAC"/>
              <w:rPr>
                <w:rFonts w:cs="v5.0.0"/>
                <w:lang w:eastAsia="zh-CN"/>
              </w:rPr>
            </w:pPr>
            <w:r>
              <w:rPr>
                <w:rFonts w:cs="Arial"/>
              </w:rPr>
              <w:t>UTRA FDD Band XX or E-UTRA Band 20 or NR Band n20</w:t>
            </w:r>
          </w:p>
        </w:tc>
        <w:tc>
          <w:tcPr>
            <w:tcW w:w="1996" w:type="dxa"/>
            <w:tcBorders>
              <w:top w:val="single" w:sz="4" w:space="0" w:color="auto"/>
              <w:left w:val="single" w:sz="4" w:space="0" w:color="auto"/>
              <w:bottom w:val="single" w:sz="4" w:space="0" w:color="auto"/>
              <w:right w:val="single" w:sz="4" w:space="0" w:color="auto"/>
            </w:tcBorders>
            <w:hideMark/>
          </w:tcPr>
          <w:p w14:paraId="545CB46C" w14:textId="77777777" w:rsidR="00B3234F" w:rsidRDefault="00B3234F" w:rsidP="00BD1F8C">
            <w:pPr>
              <w:pStyle w:val="TAC"/>
              <w:rPr>
                <w:rFonts w:cs="Arial"/>
              </w:rPr>
            </w:pPr>
            <w:r>
              <w:rPr>
                <w:rFonts w:cs="Arial"/>
              </w:rPr>
              <w:t>832 – 862 MHz</w:t>
            </w:r>
          </w:p>
        </w:tc>
        <w:tc>
          <w:tcPr>
            <w:tcW w:w="879" w:type="dxa"/>
            <w:tcBorders>
              <w:top w:val="single" w:sz="4" w:space="0" w:color="auto"/>
              <w:left w:val="single" w:sz="4" w:space="0" w:color="auto"/>
              <w:bottom w:val="single" w:sz="4" w:space="0" w:color="auto"/>
              <w:right w:val="single" w:sz="4" w:space="0" w:color="auto"/>
            </w:tcBorders>
            <w:hideMark/>
          </w:tcPr>
          <w:p w14:paraId="038277A4"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3F34915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EB88A60"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8A1618F"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2289F3E" w14:textId="77777777" w:rsidR="00B3234F" w:rsidRDefault="00B3234F" w:rsidP="00BD1F8C">
            <w:pPr>
              <w:pStyle w:val="TAC"/>
              <w:rPr>
                <w:rFonts w:cs="Arial"/>
              </w:rPr>
            </w:pPr>
          </w:p>
        </w:tc>
      </w:tr>
      <w:tr w:rsidR="00B3234F" w:rsidRPr="00AB3358" w14:paraId="53020F2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57BF4E2" w14:textId="77777777" w:rsidR="00B3234F" w:rsidRDefault="00B3234F" w:rsidP="00BD1F8C">
            <w:pPr>
              <w:pStyle w:val="TAC"/>
              <w:rPr>
                <w:rFonts w:cs="v5.0.0"/>
                <w:lang w:val="sv-SE" w:eastAsia="zh-CN"/>
              </w:rPr>
            </w:pPr>
            <w:r>
              <w:rPr>
                <w:rFonts w:cs="Arial"/>
                <w:lang w:val="sv-SE"/>
              </w:rPr>
              <w:t>UTRA FDD Band XXI or E-UTRA Band 21</w:t>
            </w:r>
          </w:p>
        </w:tc>
        <w:tc>
          <w:tcPr>
            <w:tcW w:w="1996" w:type="dxa"/>
            <w:tcBorders>
              <w:top w:val="single" w:sz="4" w:space="0" w:color="auto"/>
              <w:left w:val="single" w:sz="4" w:space="0" w:color="auto"/>
              <w:bottom w:val="single" w:sz="4" w:space="0" w:color="auto"/>
              <w:right w:val="single" w:sz="4" w:space="0" w:color="auto"/>
            </w:tcBorders>
            <w:hideMark/>
          </w:tcPr>
          <w:p w14:paraId="4F6E3B1F" w14:textId="77777777" w:rsidR="00B3234F" w:rsidRDefault="00B3234F" w:rsidP="00BD1F8C">
            <w:pPr>
              <w:pStyle w:val="TAC"/>
              <w:rPr>
                <w:rFonts w:cs="Arial"/>
              </w:rPr>
            </w:pPr>
            <w:r>
              <w:rPr>
                <w:rFonts w:cs="Arial"/>
              </w:rPr>
              <w:t>1447.9 – 1462.9 MHz</w:t>
            </w:r>
          </w:p>
        </w:tc>
        <w:tc>
          <w:tcPr>
            <w:tcW w:w="879" w:type="dxa"/>
            <w:tcBorders>
              <w:top w:val="single" w:sz="4" w:space="0" w:color="auto"/>
              <w:left w:val="single" w:sz="4" w:space="0" w:color="auto"/>
              <w:bottom w:val="single" w:sz="4" w:space="0" w:color="auto"/>
              <w:right w:val="single" w:sz="4" w:space="0" w:color="auto"/>
            </w:tcBorders>
            <w:hideMark/>
          </w:tcPr>
          <w:p w14:paraId="52DEF6DE"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4EB17DFC"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0A3B1680"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7DAD9D6"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hideMark/>
          </w:tcPr>
          <w:p w14:paraId="41E39619" w14:textId="77777777" w:rsidR="00B3234F" w:rsidRDefault="00B3234F" w:rsidP="00BD1F8C">
            <w:pPr>
              <w:pStyle w:val="TAC"/>
              <w:rPr>
                <w:rFonts w:cs="Arial"/>
              </w:rPr>
            </w:pPr>
          </w:p>
        </w:tc>
      </w:tr>
      <w:tr w:rsidR="00B3234F" w:rsidRPr="00AB3358" w14:paraId="688DC7C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10B3ADC" w14:textId="77777777" w:rsidR="00B3234F" w:rsidRDefault="00B3234F" w:rsidP="00BD1F8C">
            <w:pPr>
              <w:pStyle w:val="TAC"/>
              <w:rPr>
                <w:rFonts w:cs="v5.0.0"/>
                <w:lang w:val="sv-SE" w:eastAsia="zh-CN"/>
              </w:rPr>
            </w:pPr>
            <w:r>
              <w:rPr>
                <w:rFonts w:cs="Arial"/>
                <w:lang w:val="sv-SE"/>
              </w:rPr>
              <w:t>UTRA FDD Band XXII or E-UTRA Band 22</w:t>
            </w:r>
          </w:p>
        </w:tc>
        <w:tc>
          <w:tcPr>
            <w:tcW w:w="1996" w:type="dxa"/>
            <w:tcBorders>
              <w:top w:val="single" w:sz="4" w:space="0" w:color="auto"/>
              <w:left w:val="single" w:sz="4" w:space="0" w:color="auto"/>
              <w:bottom w:val="single" w:sz="4" w:space="0" w:color="auto"/>
              <w:right w:val="single" w:sz="4" w:space="0" w:color="auto"/>
            </w:tcBorders>
            <w:hideMark/>
          </w:tcPr>
          <w:p w14:paraId="76DDC38A" w14:textId="77777777" w:rsidR="00B3234F" w:rsidRDefault="00B3234F" w:rsidP="00BD1F8C">
            <w:pPr>
              <w:pStyle w:val="TAC"/>
              <w:rPr>
                <w:rFonts w:cs="Arial"/>
              </w:rPr>
            </w:pPr>
            <w:r>
              <w:rPr>
                <w:rFonts w:cs="Arial"/>
              </w:rPr>
              <w:t>3410 – 3490 MHz</w:t>
            </w:r>
          </w:p>
        </w:tc>
        <w:tc>
          <w:tcPr>
            <w:tcW w:w="879" w:type="dxa"/>
            <w:tcBorders>
              <w:top w:val="single" w:sz="4" w:space="0" w:color="auto"/>
              <w:left w:val="single" w:sz="4" w:space="0" w:color="auto"/>
              <w:bottom w:val="single" w:sz="4" w:space="0" w:color="auto"/>
              <w:right w:val="single" w:sz="4" w:space="0" w:color="auto"/>
            </w:tcBorders>
            <w:hideMark/>
          </w:tcPr>
          <w:p w14:paraId="34A3791F"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7E6A7AFE"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5FD4F38"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71D4F560"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hideMark/>
          </w:tcPr>
          <w:p w14:paraId="11D66282" w14:textId="77777777" w:rsidR="00B3234F" w:rsidRDefault="00B3234F" w:rsidP="00BD1F8C">
            <w:pPr>
              <w:pStyle w:val="TAC"/>
              <w:rPr>
                <w:rFonts w:cs="Arial"/>
              </w:rPr>
            </w:pPr>
            <w:r>
              <w:rPr>
                <w:rFonts w:cs="Arial"/>
              </w:rPr>
              <w:t>This is not applicable to IAB-DU and IAB-MT operating in Band n77 or n78</w:t>
            </w:r>
          </w:p>
        </w:tc>
      </w:tr>
      <w:tr w:rsidR="00B3234F" w14:paraId="3EC7238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236F49E" w14:textId="77777777" w:rsidR="00B3234F" w:rsidRDefault="00B3234F" w:rsidP="00BD1F8C">
            <w:pPr>
              <w:pStyle w:val="TAC"/>
              <w:rPr>
                <w:rFonts w:cs="v5.0.0"/>
                <w:lang w:eastAsia="zh-CN"/>
              </w:rPr>
            </w:pPr>
            <w:r>
              <w:rPr>
                <w:rFonts w:cs="v5.0.0"/>
              </w:rPr>
              <w:t>E-UTRA Band 23</w:t>
            </w:r>
          </w:p>
        </w:tc>
        <w:tc>
          <w:tcPr>
            <w:tcW w:w="1996" w:type="dxa"/>
            <w:tcBorders>
              <w:top w:val="single" w:sz="4" w:space="0" w:color="auto"/>
              <w:left w:val="single" w:sz="4" w:space="0" w:color="auto"/>
              <w:bottom w:val="single" w:sz="4" w:space="0" w:color="auto"/>
              <w:right w:val="single" w:sz="4" w:space="0" w:color="auto"/>
            </w:tcBorders>
            <w:hideMark/>
          </w:tcPr>
          <w:p w14:paraId="31530F84" w14:textId="77777777" w:rsidR="00B3234F" w:rsidRDefault="00B3234F" w:rsidP="00BD1F8C">
            <w:pPr>
              <w:pStyle w:val="TAC"/>
              <w:rPr>
                <w:rFonts w:cs="Arial"/>
              </w:rPr>
            </w:pPr>
            <w:r>
              <w:rPr>
                <w:rFonts w:cs="Arial"/>
              </w:rPr>
              <w:t>2000 – 2020 MHz</w:t>
            </w:r>
          </w:p>
        </w:tc>
        <w:tc>
          <w:tcPr>
            <w:tcW w:w="879" w:type="dxa"/>
            <w:tcBorders>
              <w:top w:val="single" w:sz="4" w:space="0" w:color="auto"/>
              <w:left w:val="single" w:sz="4" w:space="0" w:color="auto"/>
              <w:bottom w:val="single" w:sz="4" w:space="0" w:color="auto"/>
              <w:right w:val="single" w:sz="4" w:space="0" w:color="auto"/>
            </w:tcBorders>
            <w:hideMark/>
          </w:tcPr>
          <w:p w14:paraId="5A8704AE"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08CB7D3A"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018FD0C6"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0548DFF9"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7C51518" w14:textId="77777777" w:rsidR="00B3234F" w:rsidRDefault="00B3234F" w:rsidP="00BD1F8C">
            <w:pPr>
              <w:pStyle w:val="TAC"/>
              <w:rPr>
                <w:rFonts w:cs="Arial"/>
              </w:rPr>
            </w:pPr>
          </w:p>
        </w:tc>
      </w:tr>
      <w:tr w:rsidR="00B3234F" w14:paraId="5A7264E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8ABAD0A" w14:textId="77777777" w:rsidR="00B3234F" w:rsidRDefault="00B3234F" w:rsidP="00BD1F8C">
            <w:pPr>
              <w:pStyle w:val="TAC"/>
              <w:rPr>
                <w:rFonts w:cs="v5.0.0"/>
                <w:lang w:eastAsia="zh-CN"/>
              </w:rPr>
            </w:pPr>
            <w:r>
              <w:rPr>
                <w:rFonts w:cs="Arial"/>
              </w:rPr>
              <w:lastRenderedPageBreak/>
              <w:t>E-UTRA Band 24</w:t>
            </w:r>
          </w:p>
        </w:tc>
        <w:tc>
          <w:tcPr>
            <w:tcW w:w="1996" w:type="dxa"/>
            <w:tcBorders>
              <w:top w:val="single" w:sz="4" w:space="0" w:color="auto"/>
              <w:left w:val="single" w:sz="4" w:space="0" w:color="auto"/>
              <w:bottom w:val="single" w:sz="4" w:space="0" w:color="auto"/>
              <w:right w:val="single" w:sz="4" w:space="0" w:color="auto"/>
            </w:tcBorders>
            <w:hideMark/>
          </w:tcPr>
          <w:p w14:paraId="6D1A4A26" w14:textId="77777777" w:rsidR="00B3234F" w:rsidRDefault="00B3234F" w:rsidP="00BD1F8C">
            <w:pPr>
              <w:pStyle w:val="TAC"/>
              <w:rPr>
                <w:rFonts w:cs="Arial"/>
              </w:rPr>
            </w:pPr>
            <w:r>
              <w:rPr>
                <w:rFonts w:cs="Arial"/>
              </w:rPr>
              <w:t>1626.5 – 1660.5 MHz</w:t>
            </w:r>
          </w:p>
        </w:tc>
        <w:tc>
          <w:tcPr>
            <w:tcW w:w="879" w:type="dxa"/>
            <w:tcBorders>
              <w:top w:val="single" w:sz="4" w:space="0" w:color="auto"/>
              <w:left w:val="single" w:sz="4" w:space="0" w:color="auto"/>
              <w:bottom w:val="single" w:sz="4" w:space="0" w:color="auto"/>
              <w:right w:val="single" w:sz="4" w:space="0" w:color="auto"/>
            </w:tcBorders>
            <w:hideMark/>
          </w:tcPr>
          <w:p w14:paraId="249B74D7"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7ADE1845"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355609CD"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40C2C554"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B1908C7" w14:textId="77777777" w:rsidR="00B3234F" w:rsidRDefault="00B3234F" w:rsidP="00BD1F8C">
            <w:pPr>
              <w:pStyle w:val="TAC"/>
              <w:rPr>
                <w:rFonts w:cs="Arial"/>
              </w:rPr>
            </w:pPr>
          </w:p>
        </w:tc>
      </w:tr>
      <w:tr w:rsidR="00B3234F" w14:paraId="25266613"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196BF7F" w14:textId="77777777" w:rsidR="00B3234F" w:rsidRDefault="00B3234F" w:rsidP="00BD1F8C">
            <w:pPr>
              <w:pStyle w:val="TAC"/>
              <w:rPr>
                <w:rFonts w:cs="Arial"/>
                <w:lang w:val="sv-SE"/>
              </w:rPr>
            </w:pPr>
            <w:r>
              <w:rPr>
                <w:rFonts w:cs="Arial"/>
                <w:lang w:val="sv-SE"/>
              </w:rPr>
              <w:t>UTRA FDD Band XXV or</w:t>
            </w:r>
          </w:p>
          <w:p w14:paraId="3F3D5E74" w14:textId="77777777" w:rsidR="00B3234F" w:rsidRDefault="00B3234F" w:rsidP="00BD1F8C">
            <w:pPr>
              <w:pStyle w:val="TAC"/>
              <w:rPr>
                <w:rFonts w:cs="v5.0.0"/>
                <w:lang w:val="sv-SE" w:eastAsia="zh-CN"/>
              </w:rPr>
            </w:pPr>
            <w:r>
              <w:rPr>
                <w:rFonts w:cs="Arial"/>
                <w:lang w:val="sv-SE"/>
              </w:rPr>
              <w:t>E-UTRA Band 25 or NR Band n25</w:t>
            </w:r>
          </w:p>
        </w:tc>
        <w:tc>
          <w:tcPr>
            <w:tcW w:w="1996" w:type="dxa"/>
            <w:tcBorders>
              <w:top w:val="single" w:sz="4" w:space="0" w:color="auto"/>
              <w:left w:val="single" w:sz="4" w:space="0" w:color="auto"/>
              <w:bottom w:val="single" w:sz="4" w:space="0" w:color="auto"/>
              <w:right w:val="single" w:sz="4" w:space="0" w:color="auto"/>
            </w:tcBorders>
            <w:hideMark/>
          </w:tcPr>
          <w:p w14:paraId="305D5099" w14:textId="77777777" w:rsidR="00B3234F" w:rsidRDefault="00B3234F" w:rsidP="00BD1F8C">
            <w:pPr>
              <w:pStyle w:val="TAC"/>
              <w:rPr>
                <w:rFonts w:cs="Arial"/>
              </w:rPr>
            </w:pPr>
            <w:r>
              <w:rPr>
                <w:rFonts w:cs="Arial"/>
              </w:rPr>
              <w:t>1850 – 1915 MHz</w:t>
            </w:r>
          </w:p>
        </w:tc>
        <w:tc>
          <w:tcPr>
            <w:tcW w:w="879" w:type="dxa"/>
            <w:tcBorders>
              <w:top w:val="single" w:sz="4" w:space="0" w:color="auto"/>
              <w:left w:val="single" w:sz="4" w:space="0" w:color="auto"/>
              <w:bottom w:val="single" w:sz="4" w:space="0" w:color="auto"/>
              <w:right w:val="single" w:sz="4" w:space="0" w:color="auto"/>
            </w:tcBorders>
            <w:hideMark/>
          </w:tcPr>
          <w:p w14:paraId="06E9C9DD"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1F1D350"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5448E76"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721A1C02"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EB15C14" w14:textId="77777777" w:rsidR="00B3234F" w:rsidRDefault="00B3234F" w:rsidP="00BD1F8C">
            <w:pPr>
              <w:pStyle w:val="TAC"/>
              <w:rPr>
                <w:rFonts w:cs="Arial"/>
              </w:rPr>
            </w:pPr>
          </w:p>
        </w:tc>
      </w:tr>
      <w:tr w:rsidR="00B3234F" w14:paraId="17AFC20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4D26B5A7" w14:textId="77777777" w:rsidR="00B3234F" w:rsidRDefault="00B3234F" w:rsidP="00BD1F8C">
            <w:pPr>
              <w:pStyle w:val="TAC"/>
              <w:rPr>
                <w:rFonts w:cs="Arial"/>
                <w:lang w:val="sv-SE"/>
              </w:rPr>
            </w:pPr>
            <w:r>
              <w:rPr>
                <w:rFonts w:cs="Arial"/>
                <w:lang w:val="sv-SE"/>
              </w:rPr>
              <w:t>UTRA FDD Band XXVI or</w:t>
            </w:r>
          </w:p>
          <w:p w14:paraId="61139DD5" w14:textId="77777777" w:rsidR="00B3234F" w:rsidRDefault="00B3234F" w:rsidP="00BD1F8C">
            <w:pPr>
              <w:pStyle w:val="TAC"/>
              <w:rPr>
                <w:rFonts w:cs="v5.0.0"/>
                <w:lang w:val="sv-SE" w:eastAsia="zh-CN"/>
              </w:rPr>
            </w:pPr>
            <w:r>
              <w:rPr>
                <w:rFonts w:cs="Arial"/>
                <w:lang w:val="sv-SE"/>
              </w:rPr>
              <w:t>E-UTRA Band 26 or NR Band n26</w:t>
            </w:r>
          </w:p>
        </w:tc>
        <w:tc>
          <w:tcPr>
            <w:tcW w:w="1996" w:type="dxa"/>
            <w:tcBorders>
              <w:top w:val="single" w:sz="4" w:space="0" w:color="auto"/>
              <w:left w:val="single" w:sz="4" w:space="0" w:color="auto"/>
              <w:bottom w:val="single" w:sz="4" w:space="0" w:color="auto"/>
              <w:right w:val="single" w:sz="4" w:space="0" w:color="auto"/>
            </w:tcBorders>
            <w:hideMark/>
          </w:tcPr>
          <w:p w14:paraId="489AF03C" w14:textId="77777777" w:rsidR="00B3234F" w:rsidRDefault="00B3234F" w:rsidP="00BD1F8C">
            <w:pPr>
              <w:pStyle w:val="TAC"/>
              <w:rPr>
                <w:rFonts w:cs="Arial"/>
              </w:rPr>
            </w:pPr>
            <w:r>
              <w:rPr>
                <w:rFonts w:cs="Arial"/>
              </w:rPr>
              <w:t>814 – 849 MHz</w:t>
            </w:r>
          </w:p>
        </w:tc>
        <w:tc>
          <w:tcPr>
            <w:tcW w:w="879" w:type="dxa"/>
            <w:tcBorders>
              <w:top w:val="single" w:sz="4" w:space="0" w:color="auto"/>
              <w:left w:val="single" w:sz="4" w:space="0" w:color="auto"/>
              <w:bottom w:val="single" w:sz="4" w:space="0" w:color="auto"/>
              <w:right w:val="single" w:sz="4" w:space="0" w:color="auto"/>
            </w:tcBorders>
            <w:hideMark/>
          </w:tcPr>
          <w:p w14:paraId="7AFF114C"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6479935"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23CD3ED4"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3F003D0"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9CF1043" w14:textId="77777777" w:rsidR="00B3234F" w:rsidRDefault="00B3234F" w:rsidP="00BD1F8C">
            <w:pPr>
              <w:pStyle w:val="TAC"/>
              <w:rPr>
                <w:rFonts w:cs="Arial"/>
              </w:rPr>
            </w:pPr>
          </w:p>
        </w:tc>
      </w:tr>
      <w:tr w:rsidR="00B3234F" w14:paraId="64B1F606"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4CB3E275" w14:textId="77777777" w:rsidR="00B3234F" w:rsidRDefault="00B3234F" w:rsidP="00BD1F8C">
            <w:pPr>
              <w:pStyle w:val="TAC"/>
              <w:rPr>
                <w:rFonts w:cs="v5.0.0"/>
                <w:lang w:eastAsia="zh-CN"/>
              </w:rPr>
            </w:pPr>
            <w:r>
              <w:rPr>
                <w:rFonts w:cs="v5.0.0"/>
              </w:rPr>
              <w:t>E-UTRA Band 27</w:t>
            </w:r>
          </w:p>
        </w:tc>
        <w:tc>
          <w:tcPr>
            <w:tcW w:w="1996" w:type="dxa"/>
            <w:tcBorders>
              <w:top w:val="single" w:sz="4" w:space="0" w:color="auto"/>
              <w:left w:val="single" w:sz="4" w:space="0" w:color="auto"/>
              <w:bottom w:val="single" w:sz="4" w:space="0" w:color="auto"/>
              <w:right w:val="single" w:sz="4" w:space="0" w:color="auto"/>
            </w:tcBorders>
            <w:hideMark/>
          </w:tcPr>
          <w:p w14:paraId="2C0380C4" w14:textId="77777777" w:rsidR="00B3234F" w:rsidRDefault="00B3234F" w:rsidP="00BD1F8C">
            <w:pPr>
              <w:pStyle w:val="TAC"/>
              <w:rPr>
                <w:rFonts w:cs="Arial"/>
              </w:rPr>
            </w:pPr>
            <w:r>
              <w:rPr>
                <w:rFonts w:cs="Arial"/>
              </w:rPr>
              <w:t xml:space="preserve">807 – 824 MHz </w:t>
            </w:r>
          </w:p>
        </w:tc>
        <w:tc>
          <w:tcPr>
            <w:tcW w:w="879" w:type="dxa"/>
            <w:tcBorders>
              <w:top w:val="single" w:sz="4" w:space="0" w:color="auto"/>
              <w:left w:val="single" w:sz="4" w:space="0" w:color="auto"/>
              <w:bottom w:val="single" w:sz="4" w:space="0" w:color="auto"/>
              <w:right w:val="single" w:sz="4" w:space="0" w:color="auto"/>
            </w:tcBorders>
            <w:hideMark/>
          </w:tcPr>
          <w:p w14:paraId="1D6FA603"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F408D84"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A81E548"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7445DD4F"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37481DF4" w14:textId="77777777" w:rsidR="00B3234F" w:rsidRDefault="00B3234F" w:rsidP="00BD1F8C">
            <w:pPr>
              <w:pStyle w:val="TAC"/>
              <w:rPr>
                <w:rFonts w:cs="Arial"/>
              </w:rPr>
            </w:pPr>
          </w:p>
        </w:tc>
      </w:tr>
      <w:tr w:rsidR="00B3234F" w14:paraId="3BBFE0A5"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A3842F6" w14:textId="77777777" w:rsidR="00B3234F" w:rsidRDefault="00B3234F" w:rsidP="00BD1F8C">
            <w:pPr>
              <w:pStyle w:val="TAC"/>
              <w:rPr>
                <w:rFonts w:cs="v5.0.0"/>
                <w:lang w:eastAsia="zh-CN"/>
              </w:rPr>
            </w:pPr>
            <w:r>
              <w:rPr>
                <w:rFonts w:cs="Arial"/>
              </w:rPr>
              <w:t>E-UTRA Band 28 or NR Band n28</w:t>
            </w:r>
          </w:p>
        </w:tc>
        <w:tc>
          <w:tcPr>
            <w:tcW w:w="1996" w:type="dxa"/>
            <w:tcBorders>
              <w:top w:val="single" w:sz="4" w:space="0" w:color="auto"/>
              <w:left w:val="single" w:sz="4" w:space="0" w:color="auto"/>
              <w:bottom w:val="single" w:sz="4" w:space="0" w:color="auto"/>
              <w:right w:val="single" w:sz="4" w:space="0" w:color="auto"/>
            </w:tcBorders>
            <w:hideMark/>
          </w:tcPr>
          <w:p w14:paraId="7B6D97BA" w14:textId="77777777" w:rsidR="00B3234F" w:rsidRDefault="00B3234F" w:rsidP="00BD1F8C">
            <w:pPr>
              <w:pStyle w:val="TAC"/>
              <w:rPr>
                <w:rFonts w:cs="Arial"/>
              </w:rPr>
            </w:pPr>
            <w:r>
              <w:rPr>
                <w:rFonts w:cs="Arial"/>
              </w:rPr>
              <w:t>703 – 748 MHz</w:t>
            </w:r>
          </w:p>
        </w:tc>
        <w:tc>
          <w:tcPr>
            <w:tcW w:w="879" w:type="dxa"/>
            <w:tcBorders>
              <w:top w:val="single" w:sz="4" w:space="0" w:color="auto"/>
              <w:left w:val="single" w:sz="4" w:space="0" w:color="auto"/>
              <w:bottom w:val="single" w:sz="4" w:space="0" w:color="auto"/>
              <w:right w:val="single" w:sz="4" w:space="0" w:color="auto"/>
            </w:tcBorders>
            <w:hideMark/>
          </w:tcPr>
          <w:p w14:paraId="3662BBE6"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04CF2DD1"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1B1D5470"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4F3D184A"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5D9B349" w14:textId="77777777" w:rsidR="00B3234F" w:rsidRDefault="00B3234F" w:rsidP="00BD1F8C">
            <w:pPr>
              <w:pStyle w:val="TAC"/>
              <w:rPr>
                <w:rFonts w:cs="Arial"/>
              </w:rPr>
            </w:pPr>
          </w:p>
        </w:tc>
      </w:tr>
      <w:tr w:rsidR="00B3234F" w14:paraId="7C6B9AB4"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4B19EDC9" w14:textId="77777777" w:rsidR="00B3234F" w:rsidRDefault="00B3234F" w:rsidP="00BD1F8C">
            <w:pPr>
              <w:pStyle w:val="TAC"/>
              <w:rPr>
                <w:rFonts w:cs="v5.0.0"/>
                <w:lang w:eastAsia="zh-CN"/>
              </w:rPr>
            </w:pPr>
            <w:r>
              <w:rPr>
                <w:rFonts w:cs="v5.0.0"/>
              </w:rPr>
              <w:t>E-UTRA Band 30 or NR Band n30</w:t>
            </w:r>
          </w:p>
        </w:tc>
        <w:tc>
          <w:tcPr>
            <w:tcW w:w="1996" w:type="dxa"/>
            <w:tcBorders>
              <w:top w:val="single" w:sz="4" w:space="0" w:color="auto"/>
              <w:left w:val="single" w:sz="4" w:space="0" w:color="auto"/>
              <w:bottom w:val="single" w:sz="4" w:space="0" w:color="auto"/>
              <w:right w:val="single" w:sz="4" w:space="0" w:color="auto"/>
            </w:tcBorders>
            <w:hideMark/>
          </w:tcPr>
          <w:p w14:paraId="3CC41BAD" w14:textId="77777777" w:rsidR="00B3234F" w:rsidRDefault="00B3234F" w:rsidP="00BD1F8C">
            <w:pPr>
              <w:pStyle w:val="TAC"/>
              <w:rPr>
                <w:rFonts w:cs="Arial"/>
              </w:rPr>
            </w:pPr>
            <w:r>
              <w:t xml:space="preserve">2305 – 2315 MHz </w:t>
            </w:r>
          </w:p>
        </w:tc>
        <w:tc>
          <w:tcPr>
            <w:tcW w:w="879" w:type="dxa"/>
            <w:tcBorders>
              <w:top w:val="single" w:sz="4" w:space="0" w:color="auto"/>
              <w:left w:val="single" w:sz="4" w:space="0" w:color="auto"/>
              <w:bottom w:val="single" w:sz="4" w:space="0" w:color="auto"/>
              <w:right w:val="single" w:sz="4" w:space="0" w:color="auto"/>
            </w:tcBorders>
            <w:hideMark/>
          </w:tcPr>
          <w:p w14:paraId="4A6685A7" w14:textId="77777777" w:rsidR="00B3234F" w:rsidRDefault="00B3234F" w:rsidP="00BD1F8C">
            <w:pPr>
              <w:pStyle w:val="TAC"/>
              <w:rPr>
                <w:rFonts w:cs="Arial"/>
              </w:rPr>
            </w:pPr>
            <w:r>
              <w:t>-96 dBm</w:t>
            </w:r>
          </w:p>
        </w:tc>
        <w:tc>
          <w:tcPr>
            <w:tcW w:w="879" w:type="dxa"/>
            <w:tcBorders>
              <w:top w:val="single" w:sz="4" w:space="0" w:color="auto"/>
              <w:left w:val="single" w:sz="4" w:space="0" w:color="auto"/>
              <w:bottom w:val="single" w:sz="4" w:space="0" w:color="auto"/>
              <w:right w:val="single" w:sz="4" w:space="0" w:color="auto"/>
            </w:tcBorders>
            <w:hideMark/>
          </w:tcPr>
          <w:p w14:paraId="5A222E49" w14:textId="77777777" w:rsidR="00B3234F" w:rsidRDefault="00B3234F" w:rsidP="00BD1F8C">
            <w:pPr>
              <w:pStyle w:val="TAC"/>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C567F75" w14:textId="77777777" w:rsidR="00B3234F" w:rsidRDefault="00B3234F" w:rsidP="00BD1F8C">
            <w:pPr>
              <w:pStyle w:val="TAC"/>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4D649CA5" w14:textId="77777777" w:rsidR="00B3234F" w:rsidRDefault="00B3234F" w:rsidP="00BD1F8C">
            <w:pPr>
              <w:pStyle w:val="TAC"/>
              <w:rPr>
                <w:rFonts w:cs="Arial"/>
              </w:rPr>
            </w:pPr>
            <w:r>
              <w:t>100 kHz</w:t>
            </w:r>
          </w:p>
        </w:tc>
        <w:tc>
          <w:tcPr>
            <w:tcW w:w="1606" w:type="dxa"/>
            <w:tcBorders>
              <w:top w:val="single" w:sz="4" w:space="0" w:color="auto"/>
              <w:left w:val="single" w:sz="4" w:space="0" w:color="auto"/>
              <w:bottom w:val="single" w:sz="4" w:space="0" w:color="auto"/>
              <w:right w:val="single" w:sz="4" w:space="0" w:color="auto"/>
            </w:tcBorders>
          </w:tcPr>
          <w:p w14:paraId="27DA4A92" w14:textId="77777777" w:rsidR="00B3234F" w:rsidRDefault="00B3234F" w:rsidP="00BD1F8C">
            <w:pPr>
              <w:pStyle w:val="TAC"/>
              <w:rPr>
                <w:rFonts w:cs="Arial"/>
              </w:rPr>
            </w:pPr>
          </w:p>
        </w:tc>
      </w:tr>
      <w:tr w:rsidR="00B3234F" w14:paraId="7BDDFDF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471AD929" w14:textId="77777777" w:rsidR="00B3234F" w:rsidRDefault="00B3234F" w:rsidP="00BD1F8C">
            <w:pPr>
              <w:pStyle w:val="TAC"/>
              <w:rPr>
                <w:rFonts w:cs="v5.0.0"/>
                <w:lang w:eastAsia="zh-CN"/>
              </w:rPr>
            </w:pPr>
            <w:r>
              <w:rPr>
                <w:rFonts w:cs="Arial"/>
              </w:rPr>
              <w:t xml:space="preserve">E-UTRA Band </w:t>
            </w:r>
            <w:r>
              <w:rPr>
                <w:rFonts w:cs="Arial"/>
                <w:lang w:eastAsia="zh-CN"/>
              </w:rPr>
              <w:t>31</w:t>
            </w:r>
          </w:p>
        </w:tc>
        <w:tc>
          <w:tcPr>
            <w:tcW w:w="1996" w:type="dxa"/>
            <w:tcBorders>
              <w:top w:val="single" w:sz="4" w:space="0" w:color="auto"/>
              <w:left w:val="single" w:sz="4" w:space="0" w:color="auto"/>
              <w:bottom w:val="single" w:sz="4" w:space="0" w:color="auto"/>
              <w:right w:val="single" w:sz="4" w:space="0" w:color="auto"/>
            </w:tcBorders>
            <w:hideMark/>
          </w:tcPr>
          <w:p w14:paraId="6C09D7C7" w14:textId="77777777" w:rsidR="00B3234F" w:rsidRDefault="00B3234F" w:rsidP="00BD1F8C">
            <w:pPr>
              <w:pStyle w:val="TAC"/>
              <w:rPr>
                <w:rFonts w:cs="Arial"/>
              </w:rPr>
            </w:pPr>
            <w:r>
              <w:rPr>
                <w:rFonts w:cs="Arial"/>
                <w:lang w:eastAsia="zh-CN"/>
              </w:rPr>
              <w:t xml:space="preserve">452.5 </w:t>
            </w:r>
            <w:r>
              <w:t>–</w:t>
            </w:r>
            <w:r>
              <w:rPr>
                <w:rFonts w:cs="Arial"/>
                <w:lang w:eastAsia="zh-CN"/>
              </w:rPr>
              <w:t xml:space="preserve"> 457.5 MHz</w:t>
            </w:r>
          </w:p>
        </w:tc>
        <w:tc>
          <w:tcPr>
            <w:tcW w:w="879" w:type="dxa"/>
            <w:tcBorders>
              <w:top w:val="single" w:sz="4" w:space="0" w:color="auto"/>
              <w:left w:val="single" w:sz="4" w:space="0" w:color="auto"/>
              <w:bottom w:val="single" w:sz="4" w:space="0" w:color="auto"/>
              <w:right w:val="single" w:sz="4" w:space="0" w:color="auto"/>
            </w:tcBorders>
            <w:hideMark/>
          </w:tcPr>
          <w:p w14:paraId="50A7DDFC"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2FBED94"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25D6293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3F83D1C"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54D2701" w14:textId="77777777" w:rsidR="00B3234F" w:rsidRDefault="00B3234F" w:rsidP="00BD1F8C">
            <w:pPr>
              <w:pStyle w:val="TAC"/>
              <w:rPr>
                <w:rFonts w:cs="Arial"/>
              </w:rPr>
            </w:pPr>
          </w:p>
        </w:tc>
      </w:tr>
      <w:tr w:rsidR="00B3234F" w14:paraId="534BA1CE"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E6409AE" w14:textId="77777777" w:rsidR="00B3234F" w:rsidRDefault="00B3234F" w:rsidP="00BD1F8C">
            <w:pPr>
              <w:pStyle w:val="TAC"/>
              <w:rPr>
                <w:rFonts w:cs="v5.0.0"/>
                <w:lang w:eastAsia="zh-CN"/>
              </w:rPr>
            </w:pPr>
            <w:r>
              <w:rPr>
                <w:rFonts w:cs="v5.0.0"/>
              </w:rPr>
              <w:t>UTRA TDD Band a) or E-UTRA Band 33</w:t>
            </w:r>
          </w:p>
        </w:tc>
        <w:tc>
          <w:tcPr>
            <w:tcW w:w="1996" w:type="dxa"/>
            <w:tcBorders>
              <w:top w:val="single" w:sz="4" w:space="0" w:color="auto"/>
              <w:left w:val="single" w:sz="4" w:space="0" w:color="auto"/>
              <w:bottom w:val="single" w:sz="4" w:space="0" w:color="auto"/>
              <w:right w:val="single" w:sz="4" w:space="0" w:color="auto"/>
            </w:tcBorders>
          </w:tcPr>
          <w:p w14:paraId="2ED406E5" w14:textId="77777777" w:rsidR="00B3234F" w:rsidRDefault="00B3234F" w:rsidP="00BD1F8C">
            <w:pPr>
              <w:pStyle w:val="TAC"/>
              <w:rPr>
                <w:rFonts w:cs="Arial"/>
                <w:lang w:eastAsia="zh-CN"/>
              </w:rPr>
            </w:pPr>
            <w:r>
              <w:rPr>
                <w:rFonts w:cs="Arial"/>
              </w:rPr>
              <w:t>1900 – 1920 MHz</w:t>
            </w:r>
          </w:p>
          <w:p w14:paraId="171938E4" w14:textId="77777777" w:rsidR="00B3234F" w:rsidRDefault="00B3234F" w:rsidP="00BD1F8C">
            <w:pPr>
              <w:pStyle w:val="TAC"/>
              <w:rPr>
                <w:rFonts w:cs="Arial"/>
              </w:rPr>
            </w:pPr>
          </w:p>
        </w:tc>
        <w:tc>
          <w:tcPr>
            <w:tcW w:w="879" w:type="dxa"/>
            <w:tcBorders>
              <w:top w:val="single" w:sz="4" w:space="0" w:color="auto"/>
              <w:left w:val="single" w:sz="4" w:space="0" w:color="auto"/>
              <w:bottom w:val="single" w:sz="4" w:space="0" w:color="auto"/>
              <w:right w:val="single" w:sz="4" w:space="0" w:color="auto"/>
            </w:tcBorders>
            <w:hideMark/>
          </w:tcPr>
          <w:p w14:paraId="3DA8310F"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786EE90F"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1EFD1C5"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784F4D00"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54A026C" w14:textId="77777777" w:rsidR="00B3234F" w:rsidRDefault="00B3234F" w:rsidP="00BD1F8C">
            <w:pPr>
              <w:pStyle w:val="TAC"/>
              <w:rPr>
                <w:rFonts w:cs="Arial"/>
              </w:rPr>
            </w:pPr>
          </w:p>
        </w:tc>
      </w:tr>
      <w:tr w:rsidR="00B3234F" w:rsidRPr="00AB3358" w14:paraId="1AC7CD03"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78B3AFF" w14:textId="77777777" w:rsidR="00B3234F" w:rsidRDefault="00B3234F" w:rsidP="00BD1F8C">
            <w:pPr>
              <w:pStyle w:val="TAC"/>
              <w:rPr>
                <w:rFonts w:cs="v5.0.0"/>
                <w:lang w:eastAsia="zh-CN"/>
              </w:rPr>
            </w:pPr>
            <w:r>
              <w:rPr>
                <w:rFonts w:cs="v5.0.0"/>
              </w:rPr>
              <w:t>UTRA TDD Band a) or E-UTRA Band 34</w:t>
            </w:r>
            <w:r>
              <w:rPr>
                <w:rFonts w:cs="v5.0.0"/>
                <w:lang w:val="en-US" w:eastAsia="zh-CN"/>
              </w:rPr>
              <w:t xml:space="preserve"> or NR band n34</w:t>
            </w:r>
          </w:p>
        </w:tc>
        <w:tc>
          <w:tcPr>
            <w:tcW w:w="1996" w:type="dxa"/>
            <w:tcBorders>
              <w:top w:val="single" w:sz="4" w:space="0" w:color="auto"/>
              <w:left w:val="single" w:sz="4" w:space="0" w:color="auto"/>
              <w:bottom w:val="single" w:sz="4" w:space="0" w:color="auto"/>
              <w:right w:val="single" w:sz="4" w:space="0" w:color="auto"/>
            </w:tcBorders>
            <w:hideMark/>
          </w:tcPr>
          <w:p w14:paraId="53631656" w14:textId="77777777" w:rsidR="00B3234F" w:rsidRDefault="00B3234F" w:rsidP="00BD1F8C">
            <w:pPr>
              <w:pStyle w:val="TAC"/>
              <w:rPr>
                <w:rFonts w:cs="Arial"/>
              </w:rPr>
            </w:pPr>
            <w:r>
              <w:rPr>
                <w:rFonts w:cs="Arial"/>
              </w:rPr>
              <w:t>2010 – 2025 MHz</w:t>
            </w:r>
          </w:p>
        </w:tc>
        <w:tc>
          <w:tcPr>
            <w:tcW w:w="879" w:type="dxa"/>
            <w:tcBorders>
              <w:top w:val="single" w:sz="4" w:space="0" w:color="auto"/>
              <w:left w:val="single" w:sz="4" w:space="0" w:color="auto"/>
              <w:bottom w:val="single" w:sz="4" w:space="0" w:color="auto"/>
              <w:right w:val="single" w:sz="4" w:space="0" w:color="auto"/>
            </w:tcBorders>
            <w:hideMark/>
          </w:tcPr>
          <w:p w14:paraId="1B5CC8F2"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195AE60"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764F7722"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19A4085"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5AA212E" w14:textId="77777777" w:rsidR="00B3234F" w:rsidRDefault="00B3234F" w:rsidP="00BD1F8C">
            <w:pPr>
              <w:pStyle w:val="TAC"/>
              <w:rPr>
                <w:rFonts w:cs="Arial"/>
              </w:rPr>
            </w:pPr>
          </w:p>
        </w:tc>
      </w:tr>
      <w:tr w:rsidR="00B3234F" w14:paraId="10063B9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E10A3C2" w14:textId="77777777" w:rsidR="00B3234F" w:rsidRDefault="00B3234F" w:rsidP="00BD1F8C">
            <w:pPr>
              <w:pStyle w:val="TAC"/>
              <w:rPr>
                <w:rFonts w:cs="v5.0.0"/>
                <w:lang w:val="sv-SE" w:eastAsia="zh-CN"/>
              </w:rPr>
            </w:pPr>
            <w:r>
              <w:rPr>
                <w:rFonts w:cs="v5.0.0"/>
                <w:lang w:val="sv-SE"/>
              </w:rPr>
              <w:t>UTRA TDD Band b) or E-UTRA Band 35</w:t>
            </w:r>
          </w:p>
        </w:tc>
        <w:tc>
          <w:tcPr>
            <w:tcW w:w="1996" w:type="dxa"/>
            <w:tcBorders>
              <w:top w:val="single" w:sz="4" w:space="0" w:color="auto"/>
              <w:left w:val="single" w:sz="4" w:space="0" w:color="auto"/>
              <w:bottom w:val="single" w:sz="4" w:space="0" w:color="auto"/>
              <w:right w:val="single" w:sz="4" w:space="0" w:color="auto"/>
            </w:tcBorders>
          </w:tcPr>
          <w:p w14:paraId="5F67481B" w14:textId="77777777" w:rsidR="00B3234F" w:rsidRDefault="00B3234F" w:rsidP="00BD1F8C">
            <w:pPr>
              <w:pStyle w:val="TAC"/>
              <w:rPr>
                <w:rFonts w:cs="Arial"/>
                <w:lang w:eastAsia="zh-CN"/>
              </w:rPr>
            </w:pPr>
            <w:r>
              <w:rPr>
                <w:rFonts w:cs="Arial"/>
              </w:rPr>
              <w:t>1850 – 1910 MHz</w:t>
            </w:r>
          </w:p>
          <w:p w14:paraId="18460CC0" w14:textId="77777777" w:rsidR="00B3234F" w:rsidRDefault="00B3234F" w:rsidP="00BD1F8C">
            <w:pPr>
              <w:pStyle w:val="TAC"/>
              <w:rPr>
                <w:rFonts w:cs="Arial"/>
              </w:rPr>
            </w:pPr>
          </w:p>
        </w:tc>
        <w:tc>
          <w:tcPr>
            <w:tcW w:w="879" w:type="dxa"/>
            <w:tcBorders>
              <w:top w:val="single" w:sz="4" w:space="0" w:color="auto"/>
              <w:left w:val="single" w:sz="4" w:space="0" w:color="auto"/>
              <w:bottom w:val="single" w:sz="4" w:space="0" w:color="auto"/>
              <w:right w:val="single" w:sz="4" w:space="0" w:color="auto"/>
            </w:tcBorders>
            <w:hideMark/>
          </w:tcPr>
          <w:p w14:paraId="5263EC87"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E75DB85"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A736D68"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93924CB"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0455CCE" w14:textId="77777777" w:rsidR="00B3234F" w:rsidRDefault="00B3234F" w:rsidP="00BD1F8C">
            <w:pPr>
              <w:pStyle w:val="TAC"/>
              <w:rPr>
                <w:rFonts w:cs="Arial"/>
              </w:rPr>
            </w:pPr>
          </w:p>
        </w:tc>
      </w:tr>
      <w:tr w:rsidR="00B3234F" w:rsidRPr="00AB3358" w14:paraId="778DA99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A296AF2" w14:textId="77777777" w:rsidR="00B3234F" w:rsidRDefault="00B3234F" w:rsidP="00BD1F8C">
            <w:pPr>
              <w:pStyle w:val="TAC"/>
              <w:rPr>
                <w:rFonts w:cs="v5.0.0"/>
                <w:lang w:val="sv-SE" w:eastAsia="zh-CN"/>
              </w:rPr>
            </w:pPr>
            <w:r>
              <w:rPr>
                <w:rFonts w:cs="v5.0.0"/>
                <w:lang w:val="sv-SE"/>
              </w:rPr>
              <w:t>UTRA TDD Band b) or E-UTRA Band 36</w:t>
            </w:r>
          </w:p>
        </w:tc>
        <w:tc>
          <w:tcPr>
            <w:tcW w:w="1996" w:type="dxa"/>
            <w:tcBorders>
              <w:top w:val="single" w:sz="4" w:space="0" w:color="auto"/>
              <w:left w:val="single" w:sz="4" w:space="0" w:color="auto"/>
              <w:bottom w:val="single" w:sz="4" w:space="0" w:color="auto"/>
              <w:right w:val="single" w:sz="4" w:space="0" w:color="auto"/>
            </w:tcBorders>
            <w:hideMark/>
          </w:tcPr>
          <w:p w14:paraId="01F8A441" w14:textId="77777777" w:rsidR="00B3234F" w:rsidRDefault="00B3234F" w:rsidP="00BD1F8C">
            <w:pPr>
              <w:pStyle w:val="TAC"/>
              <w:rPr>
                <w:rFonts w:cs="Arial"/>
              </w:rPr>
            </w:pPr>
            <w:r>
              <w:rPr>
                <w:rFonts w:cs="Arial"/>
              </w:rPr>
              <w:t>1930 – 1990 MHz</w:t>
            </w:r>
          </w:p>
        </w:tc>
        <w:tc>
          <w:tcPr>
            <w:tcW w:w="879" w:type="dxa"/>
            <w:tcBorders>
              <w:top w:val="single" w:sz="4" w:space="0" w:color="auto"/>
              <w:left w:val="single" w:sz="4" w:space="0" w:color="auto"/>
              <w:bottom w:val="single" w:sz="4" w:space="0" w:color="auto"/>
              <w:right w:val="single" w:sz="4" w:space="0" w:color="auto"/>
            </w:tcBorders>
            <w:hideMark/>
          </w:tcPr>
          <w:p w14:paraId="3AC1F907"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3E7B49DA"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1ACD058B"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465A54B3"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2704181" w14:textId="77777777" w:rsidR="00B3234F" w:rsidRDefault="00B3234F" w:rsidP="00BD1F8C">
            <w:pPr>
              <w:pStyle w:val="TAC"/>
              <w:rPr>
                <w:rFonts w:cs="Arial"/>
              </w:rPr>
            </w:pPr>
          </w:p>
        </w:tc>
      </w:tr>
      <w:tr w:rsidR="00B3234F" w14:paraId="10F062FA"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0B0A4E9" w14:textId="77777777" w:rsidR="00B3234F" w:rsidRDefault="00B3234F" w:rsidP="00BD1F8C">
            <w:pPr>
              <w:pStyle w:val="TAC"/>
              <w:rPr>
                <w:rFonts w:cs="v5.0.0"/>
                <w:lang w:val="sv-SE" w:eastAsia="zh-CN"/>
              </w:rPr>
            </w:pPr>
            <w:r>
              <w:rPr>
                <w:rFonts w:cs="v5.0.0"/>
                <w:lang w:val="sv-SE"/>
              </w:rPr>
              <w:t>UTRA TDD Band c) or E-UTRA Band 37</w:t>
            </w:r>
          </w:p>
        </w:tc>
        <w:tc>
          <w:tcPr>
            <w:tcW w:w="1996" w:type="dxa"/>
            <w:tcBorders>
              <w:top w:val="single" w:sz="4" w:space="0" w:color="auto"/>
              <w:left w:val="single" w:sz="4" w:space="0" w:color="auto"/>
              <w:bottom w:val="single" w:sz="4" w:space="0" w:color="auto"/>
              <w:right w:val="single" w:sz="4" w:space="0" w:color="auto"/>
            </w:tcBorders>
            <w:hideMark/>
          </w:tcPr>
          <w:p w14:paraId="63B32D06" w14:textId="77777777" w:rsidR="00B3234F" w:rsidRDefault="00B3234F" w:rsidP="00BD1F8C">
            <w:pPr>
              <w:pStyle w:val="TAC"/>
              <w:rPr>
                <w:rFonts w:cs="Arial"/>
              </w:rPr>
            </w:pPr>
            <w:r>
              <w:rPr>
                <w:rFonts w:cs="Arial"/>
              </w:rPr>
              <w:t>1910 – 1930 MHz</w:t>
            </w:r>
          </w:p>
        </w:tc>
        <w:tc>
          <w:tcPr>
            <w:tcW w:w="879" w:type="dxa"/>
            <w:tcBorders>
              <w:top w:val="single" w:sz="4" w:space="0" w:color="auto"/>
              <w:left w:val="single" w:sz="4" w:space="0" w:color="auto"/>
              <w:bottom w:val="single" w:sz="4" w:space="0" w:color="auto"/>
              <w:right w:val="single" w:sz="4" w:space="0" w:color="auto"/>
            </w:tcBorders>
            <w:hideMark/>
          </w:tcPr>
          <w:p w14:paraId="6BD329BA"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1EF4A9A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2B1D207E"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7745DCA"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63EC3F4" w14:textId="77777777" w:rsidR="00B3234F" w:rsidRDefault="00B3234F" w:rsidP="00BD1F8C">
            <w:pPr>
              <w:pStyle w:val="TAC"/>
              <w:rPr>
                <w:rFonts w:cs="Arial"/>
              </w:rPr>
            </w:pPr>
          </w:p>
        </w:tc>
      </w:tr>
      <w:tr w:rsidR="00B3234F" w:rsidRPr="00AB3358" w14:paraId="7F5BFA7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111C38B" w14:textId="77777777" w:rsidR="00B3234F" w:rsidRDefault="00B3234F" w:rsidP="00BD1F8C">
            <w:pPr>
              <w:pStyle w:val="TAC"/>
              <w:rPr>
                <w:rFonts w:cs="v5.0.0"/>
                <w:lang w:eastAsia="zh-CN"/>
              </w:rPr>
            </w:pPr>
            <w:r>
              <w:rPr>
                <w:rFonts w:cs="v5.0.0"/>
              </w:rPr>
              <w:t>UTRA TDD Band d) or E-UTRA Band 38 or NR Band n38</w:t>
            </w:r>
          </w:p>
        </w:tc>
        <w:tc>
          <w:tcPr>
            <w:tcW w:w="1996" w:type="dxa"/>
            <w:tcBorders>
              <w:top w:val="single" w:sz="4" w:space="0" w:color="auto"/>
              <w:left w:val="single" w:sz="4" w:space="0" w:color="auto"/>
              <w:bottom w:val="single" w:sz="4" w:space="0" w:color="auto"/>
              <w:right w:val="single" w:sz="4" w:space="0" w:color="auto"/>
            </w:tcBorders>
            <w:hideMark/>
          </w:tcPr>
          <w:p w14:paraId="5187AA93" w14:textId="77777777" w:rsidR="00B3234F" w:rsidRDefault="00B3234F" w:rsidP="00BD1F8C">
            <w:pPr>
              <w:pStyle w:val="TAC"/>
              <w:rPr>
                <w:rFonts w:cs="Arial"/>
              </w:rPr>
            </w:pPr>
            <w:r>
              <w:rPr>
                <w:rFonts w:cs="Arial"/>
              </w:rPr>
              <w:t>2570 – 2620 MHz</w:t>
            </w:r>
          </w:p>
        </w:tc>
        <w:tc>
          <w:tcPr>
            <w:tcW w:w="879" w:type="dxa"/>
            <w:tcBorders>
              <w:top w:val="single" w:sz="4" w:space="0" w:color="auto"/>
              <w:left w:val="single" w:sz="4" w:space="0" w:color="auto"/>
              <w:bottom w:val="single" w:sz="4" w:space="0" w:color="auto"/>
              <w:right w:val="single" w:sz="4" w:space="0" w:color="auto"/>
            </w:tcBorders>
            <w:hideMark/>
          </w:tcPr>
          <w:p w14:paraId="5CA7A5A3"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68A4F0F"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2307BB0F"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7A9FE24C"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2B9721F" w14:textId="77777777" w:rsidR="00B3234F" w:rsidRDefault="00B3234F" w:rsidP="00BD1F8C">
            <w:pPr>
              <w:pStyle w:val="TAC"/>
              <w:rPr>
                <w:rFonts w:cs="Arial"/>
              </w:rPr>
            </w:pPr>
          </w:p>
        </w:tc>
      </w:tr>
      <w:tr w:rsidR="00B3234F" w:rsidRPr="00AB3358" w14:paraId="51365F62"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6A53E1E" w14:textId="77777777" w:rsidR="00B3234F" w:rsidRDefault="00B3234F" w:rsidP="00BD1F8C">
            <w:pPr>
              <w:pStyle w:val="TAC"/>
              <w:rPr>
                <w:rFonts w:cs="v5.0.0"/>
                <w:lang w:val="sv-SE" w:eastAsia="zh-CN"/>
              </w:rPr>
            </w:pPr>
            <w:r>
              <w:rPr>
                <w:rFonts w:cs="v5.0.0"/>
                <w:lang w:val="sv-SE"/>
              </w:rPr>
              <w:t>UTRA TDD Band f) or</w:t>
            </w:r>
            <w:r>
              <w:rPr>
                <w:rFonts w:cs="Arial"/>
                <w:lang w:val="sv-SE"/>
              </w:rPr>
              <w:t xml:space="preserve"> E-UTRA Band 3</w:t>
            </w:r>
            <w:r>
              <w:rPr>
                <w:rFonts w:cs="Arial"/>
                <w:lang w:val="sv-SE" w:eastAsia="zh-CN"/>
              </w:rPr>
              <w:t>9</w:t>
            </w:r>
            <w:r>
              <w:rPr>
                <w:rFonts w:cs="Arial"/>
                <w:lang w:val="en-US" w:eastAsia="zh-CN"/>
              </w:rPr>
              <w:t xml:space="preserve"> or NR band n39</w:t>
            </w:r>
          </w:p>
        </w:tc>
        <w:tc>
          <w:tcPr>
            <w:tcW w:w="1996" w:type="dxa"/>
            <w:tcBorders>
              <w:top w:val="single" w:sz="4" w:space="0" w:color="auto"/>
              <w:left w:val="single" w:sz="4" w:space="0" w:color="auto"/>
              <w:bottom w:val="single" w:sz="4" w:space="0" w:color="auto"/>
              <w:right w:val="single" w:sz="4" w:space="0" w:color="auto"/>
            </w:tcBorders>
            <w:hideMark/>
          </w:tcPr>
          <w:p w14:paraId="0C4CBB13" w14:textId="77777777" w:rsidR="00B3234F" w:rsidRDefault="00B3234F" w:rsidP="00BD1F8C">
            <w:pPr>
              <w:pStyle w:val="TAC"/>
              <w:rPr>
                <w:rFonts w:cs="Arial"/>
              </w:rPr>
            </w:pPr>
            <w:r>
              <w:rPr>
                <w:rFonts w:cs="Arial"/>
                <w:lang w:eastAsia="zh-CN"/>
              </w:rPr>
              <w:t>1880</w:t>
            </w:r>
            <w:r>
              <w:rPr>
                <w:rFonts w:cs="Arial"/>
              </w:rPr>
              <w:t xml:space="preserve"> – </w:t>
            </w:r>
            <w:r>
              <w:rPr>
                <w:rFonts w:cs="Arial"/>
                <w:lang w:eastAsia="zh-CN"/>
              </w:rPr>
              <w:t>1920MHz</w:t>
            </w:r>
          </w:p>
        </w:tc>
        <w:tc>
          <w:tcPr>
            <w:tcW w:w="879" w:type="dxa"/>
            <w:tcBorders>
              <w:top w:val="single" w:sz="4" w:space="0" w:color="auto"/>
              <w:left w:val="single" w:sz="4" w:space="0" w:color="auto"/>
              <w:bottom w:val="single" w:sz="4" w:space="0" w:color="auto"/>
              <w:right w:val="single" w:sz="4" w:space="0" w:color="auto"/>
            </w:tcBorders>
            <w:hideMark/>
          </w:tcPr>
          <w:p w14:paraId="76B187E3" w14:textId="77777777" w:rsidR="00B3234F" w:rsidRDefault="00B3234F" w:rsidP="00BD1F8C">
            <w:pPr>
              <w:pStyle w:val="TAC"/>
              <w:rPr>
                <w:rFonts w:cs="Arial"/>
              </w:rPr>
            </w:pPr>
            <w:r>
              <w:rPr>
                <w:rFonts w:cs="Arial"/>
              </w:rPr>
              <w:t>-</w:t>
            </w:r>
            <w:r>
              <w:rPr>
                <w:rFonts w:cs="Arial"/>
                <w:lang w:eastAsia="zh-CN"/>
              </w:rPr>
              <w:t xml:space="preserve">96 </w:t>
            </w:r>
            <w:r>
              <w:rPr>
                <w:rFonts w:cs="Arial"/>
              </w:rPr>
              <w:t>dBm</w:t>
            </w:r>
          </w:p>
        </w:tc>
        <w:tc>
          <w:tcPr>
            <w:tcW w:w="879" w:type="dxa"/>
            <w:tcBorders>
              <w:top w:val="single" w:sz="4" w:space="0" w:color="auto"/>
              <w:left w:val="single" w:sz="4" w:space="0" w:color="auto"/>
              <w:bottom w:val="single" w:sz="4" w:space="0" w:color="auto"/>
              <w:right w:val="single" w:sz="4" w:space="0" w:color="auto"/>
            </w:tcBorders>
            <w:hideMark/>
          </w:tcPr>
          <w:p w14:paraId="13B71451"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71931CD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33C69E3A" w14:textId="77777777" w:rsidR="00B3234F" w:rsidRDefault="00B3234F" w:rsidP="00BD1F8C">
            <w:pPr>
              <w:pStyle w:val="TAC"/>
              <w:rPr>
                <w:rFonts w:cs="Arial"/>
              </w:rPr>
            </w:pPr>
            <w:r>
              <w:rPr>
                <w:rFonts w:cs="Arial"/>
              </w:rPr>
              <w:t>1</w:t>
            </w:r>
            <w:r>
              <w:rPr>
                <w:rFonts w:cs="Arial"/>
                <w:lang w:eastAsia="zh-CN"/>
              </w:rPr>
              <w:t>00 k</w:t>
            </w:r>
            <w:r>
              <w:rPr>
                <w:rFonts w:cs="Arial"/>
              </w:rPr>
              <w:t>Hz</w:t>
            </w:r>
          </w:p>
        </w:tc>
        <w:tc>
          <w:tcPr>
            <w:tcW w:w="1606" w:type="dxa"/>
            <w:tcBorders>
              <w:top w:val="single" w:sz="4" w:space="0" w:color="auto"/>
              <w:left w:val="single" w:sz="4" w:space="0" w:color="auto"/>
              <w:bottom w:val="single" w:sz="4" w:space="0" w:color="auto"/>
              <w:right w:val="single" w:sz="4" w:space="0" w:color="auto"/>
            </w:tcBorders>
          </w:tcPr>
          <w:p w14:paraId="65B0F866" w14:textId="77777777" w:rsidR="00B3234F" w:rsidRDefault="00B3234F" w:rsidP="00BD1F8C">
            <w:pPr>
              <w:pStyle w:val="TAC"/>
              <w:rPr>
                <w:rFonts w:cs="Arial"/>
              </w:rPr>
            </w:pPr>
          </w:p>
        </w:tc>
      </w:tr>
      <w:tr w:rsidR="00B3234F" w:rsidRPr="00AB3358" w14:paraId="502D2DFC"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DF615E2" w14:textId="77777777" w:rsidR="00B3234F" w:rsidRDefault="00B3234F" w:rsidP="00BD1F8C">
            <w:pPr>
              <w:pStyle w:val="TAC"/>
              <w:rPr>
                <w:rFonts w:cs="v5.0.0"/>
                <w:lang w:val="sv-SE" w:eastAsia="zh-CN"/>
              </w:rPr>
            </w:pPr>
            <w:r>
              <w:rPr>
                <w:rFonts w:cs="v5.0.0"/>
                <w:lang w:val="sv-SE"/>
              </w:rPr>
              <w:t>UTRA TDD Band e) or</w:t>
            </w:r>
            <w:r>
              <w:rPr>
                <w:rFonts w:cs="Arial"/>
                <w:lang w:val="sv-SE"/>
              </w:rPr>
              <w:t xml:space="preserve"> E-UTRA Band </w:t>
            </w:r>
            <w:r>
              <w:rPr>
                <w:rFonts w:cs="Arial"/>
                <w:lang w:val="sv-SE" w:eastAsia="zh-CN"/>
              </w:rPr>
              <w:t>40</w:t>
            </w:r>
            <w:r>
              <w:rPr>
                <w:rFonts w:cs="Arial"/>
                <w:lang w:eastAsia="zh-CN"/>
              </w:rPr>
              <w:t xml:space="preserve"> or NR Band n40</w:t>
            </w:r>
          </w:p>
        </w:tc>
        <w:tc>
          <w:tcPr>
            <w:tcW w:w="1996" w:type="dxa"/>
            <w:tcBorders>
              <w:top w:val="single" w:sz="4" w:space="0" w:color="auto"/>
              <w:left w:val="single" w:sz="4" w:space="0" w:color="auto"/>
              <w:bottom w:val="single" w:sz="4" w:space="0" w:color="auto"/>
              <w:right w:val="single" w:sz="4" w:space="0" w:color="auto"/>
            </w:tcBorders>
            <w:hideMark/>
          </w:tcPr>
          <w:p w14:paraId="54B24C6D" w14:textId="77777777" w:rsidR="00B3234F" w:rsidRDefault="00B3234F" w:rsidP="00BD1F8C">
            <w:pPr>
              <w:pStyle w:val="TAC"/>
              <w:rPr>
                <w:rFonts w:cs="Arial"/>
              </w:rPr>
            </w:pPr>
            <w:r>
              <w:rPr>
                <w:rFonts w:cs="Arial"/>
                <w:lang w:eastAsia="zh-CN"/>
              </w:rPr>
              <w:t>2300</w:t>
            </w:r>
            <w:r>
              <w:rPr>
                <w:rFonts w:cs="Arial"/>
              </w:rPr>
              <w:t xml:space="preserve"> – </w:t>
            </w:r>
            <w:r>
              <w:rPr>
                <w:rFonts w:cs="Arial"/>
                <w:lang w:eastAsia="zh-CN"/>
              </w:rPr>
              <w:t>2400MHz</w:t>
            </w:r>
          </w:p>
        </w:tc>
        <w:tc>
          <w:tcPr>
            <w:tcW w:w="879" w:type="dxa"/>
            <w:tcBorders>
              <w:top w:val="single" w:sz="4" w:space="0" w:color="auto"/>
              <w:left w:val="single" w:sz="4" w:space="0" w:color="auto"/>
              <w:bottom w:val="single" w:sz="4" w:space="0" w:color="auto"/>
              <w:right w:val="single" w:sz="4" w:space="0" w:color="auto"/>
            </w:tcBorders>
            <w:hideMark/>
          </w:tcPr>
          <w:p w14:paraId="572ADCD2" w14:textId="77777777" w:rsidR="00B3234F" w:rsidRDefault="00B3234F" w:rsidP="00BD1F8C">
            <w:pPr>
              <w:pStyle w:val="TAC"/>
              <w:rPr>
                <w:rFonts w:cs="Arial"/>
              </w:rPr>
            </w:pPr>
            <w:r>
              <w:rPr>
                <w:rFonts w:cs="Arial"/>
              </w:rPr>
              <w:t>-</w:t>
            </w:r>
            <w:r>
              <w:rPr>
                <w:rFonts w:cs="Arial"/>
                <w:lang w:eastAsia="zh-CN"/>
              </w:rPr>
              <w:t xml:space="preserve">96 </w:t>
            </w:r>
            <w:r>
              <w:rPr>
                <w:rFonts w:cs="Arial"/>
              </w:rPr>
              <w:t>dBm</w:t>
            </w:r>
          </w:p>
        </w:tc>
        <w:tc>
          <w:tcPr>
            <w:tcW w:w="879" w:type="dxa"/>
            <w:tcBorders>
              <w:top w:val="single" w:sz="4" w:space="0" w:color="auto"/>
              <w:left w:val="single" w:sz="4" w:space="0" w:color="auto"/>
              <w:bottom w:val="single" w:sz="4" w:space="0" w:color="auto"/>
              <w:right w:val="single" w:sz="4" w:space="0" w:color="auto"/>
            </w:tcBorders>
            <w:hideMark/>
          </w:tcPr>
          <w:p w14:paraId="22663B5C"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6FFEE72"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36B63D4" w14:textId="77777777" w:rsidR="00B3234F" w:rsidRDefault="00B3234F" w:rsidP="00BD1F8C">
            <w:pPr>
              <w:pStyle w:val="TAC"/>
              <w:rPr>
                <w:rFonts w:cs="Arial"/>
              </w:rPr>
            </w:pPr>
            <w:r>
              <w:rPr>
                <w:rFonts w:cs="Arial"/>
              </w:rPr>
              <w:t>1</w:t>
            </w:r>
            <w:r>
              <w:rPr>
                <w:rFonts w:cs="Arial"/>
                <w:lang w:eastAsia="zh-CN"/>
              </w:rPr>
              <w:t>00</w:t>
            </w:r>
            <w:r>
              <w:rPr>
                <w:rFonts w:cs="Arial"/>
              </w:rPr>
              <w:t xml:space="preserve"> </w:t>
            </w:r>
            <w:r>
              <w:rPr>
                <w:rFonts w:cs="Arial"/>
                <w:lang w:eastAsia="zh-CN"/>
              </w:rPr>
              <w:t>k</w:t>
            </w:r>
            <w:r>
              <w:rPr>
                <w:rFonts w:cs="Arial"/>
              </w:rPr>
              <w:t>Hz</w:t>
            </w:r>
          </w:p>
        </w:tc>
        <w:tc>
          <w:tcPr>
            <w:tcW w:w="1606" w:type="dxa"/>
            <w:tcBorders>
              <w:top w:val="single" w:sz="4" w:space="0" w:color="auto"/>
              <w:left w:val="single" w:sz="4" w:space="0" w:color="auto"/>
              <w:bottom w:val="single" w:sz="4" w:space="0" w:color="auto"/>
              <w:right w:val="single" w:sz="4" w:space="0" w:color="auto"/>
            </w:tcBorders>
          </w:tcPr>
          <w:p w14:paraId="29E1A2BE" w14:textId="77777777" w:rsidR="00B3234F" w:rsidRDefault="00B3234F" w:rsidP="00BD1F8C">
            <w:pPr>
              <w:pStyle w:val="TAC"/>
              <w:rPr>
                <w:rFonts w:cs="Arial"/>
              </w:rPr>
            </w:pPr>
          </w:p>
        </w:tc>
      </w:tr>
      <w:tr w:rsidR="00B3234F" w:rsidRPr="00AB3358" w14:paraId="4194EA6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04A0A04" w14:textId="77777777" w:rsidR="00B3234F" w:rsidRDefault="00B3234F" w:rsidP="00BD1F8C">
            <w:pPr>
              <w:pStyle w:val="TAC"/>
              <w:rPr>
                <w:rFonts w:cs="Arial"/>
                <w:lang w:eastAsia="zh-CN"/>
              </w:rPr>
            </w:pPr>
            <w:r>
              <w:rPr>
                <w:rFonts w:eastAsia="Malgun Gothic" w:cs="Arial"/>
              </w:rPr>
              <w:t xml:space="preserve">E-UTRA Band </w:t>
            </w:r>
            <w:r>
              <w:rPr>
                <w:rFonts w:eastAsia="Malgun Gothic" w:cs="Arial"/>
                <w:lang w:eastAsia="zh-CN"/>
              </w:rPr>
              <w:t>41 or NR Band n41, n90</w:t>
            </w:r>
          </w:p>
        </w:tc>
        <w:tc>
          <w:tcPr>
            <w:tcW w:w="1996" w:type="dxa"/>
            <w:tcBorders>
              <w:top w:val="single" w:sz="4" w:space="0" w:color="auto"/>
              <w:left w:val="single" w:sz="4" w:space="0" w:color="auto"/>
              <w:bottom w:val="single" w:sz="4" w:space="0" w:color="auto"/>
              <w:right w:val="single" w:sz="4" w:space="0" w:color="auto"/>
            </w:tcBorders>
            <w:hideMark/>
          </w:tcPr>
          <w:p w14:paraId="636F23C0" w14:textId="77777777" w:rsidR="00B3234F" w:rsidRDefault="00B3234F" w:rsidP="00BD1F8C">
            <w:pPr>
              <w:pStyle w:val="TAC"/>
              <w:rPr>
                <w:rFonts w:cs="Arial"/>
                <w:lang w:eastAsia="zh-CN"/>
              </w:rPr>
            </w:pPr>
            <w:r>
              <w:rPr>
                <w:rFonts w:cs="Arial"/>
                <w:lang w:eastAsia="zh-CN"/>
              </w:rPr>
              <w:t xml:space="preserve">2496 </w:t>
            </w:r>
            <w:r>
              <w:rPr>
                <w:rFonts w:cs="Arial"/>
              </w:rPr>
              <w:t xml:space="preserve">– </w:t>
            </w:r>
            <w:r>
              <w:rPr>
                <w:rFonts w:cs="Arial"/>
                <w:lang w:eastAsia="zh-CN"/>
              </w:rPr>
              <w:t>2690 MHz</w:t>
            </w:r>
          </w:p>
        </w:tc>
        <w:tc>
          <w:tcPr>
            <w:tcW w:w="879" w:type="dxa"/>
            <w:tcBorders>
              <w:top w:val="single" w:sz="4" w:space="0" w:color="auto"/>
              <w:left w:val="single" w:sz="4" w:space="0" w:color="auto"/>
              <w:bottom w:val="single" w:sz="4" w:space="0" w:color="auto"/>
              <w:right w:val="single" w:sz="4" w:space="0" w:color="auto"/>
            </w:tcBorders>
            <w:hideMark/>
          </w:tcPr>
          <w:p w14:paraId="39BB76F5" w14:textId="77777777" w:rsidR="00B3234F" w:rsidRDefault="00B3234F" w:rsidP="00BD1F8C">
            <w:pPr>
              <w:pStyle w:val="TAC"/>
              <w:rPr>
                <w:rFonts w:cs="Arial"/>
              </w:rPr>
            </w:pPr>
            <w:r>
              <w:rPr>
                <w:rFonts w:cs="Arial"/>
              </w:rPr>
              <w:t>-</w:t>
            </w:r>
            <w:r>
              <w:rPr>
                <w:rFonts w:cs="Arial"/>
                <w:lang w:eastAsia="zh-CN"/>
              </w:rPr>
              <w:t xml:space="preserve">96 </w:t>
            </w:r>
            <w:r>
              <w:rPr>
                <w:rFonts w:cs="Arial"/>
              </w:rPr>
              <w:t>dBm</w:t>
            </w:r>
          </w:p>
        </w:tc>
        <w:tc>
          <w:tcPr>
            <w:tcW w:w="879" w:type="dxa"/>
            <w:tcBorders>
              <w:top w:val="single" w:sz="4" w:space="0" w:color="auto"/>
              <w:left w:val="single" w:sz="4" w:space="0" w:color="auto"/>
              <w:bottom w:val="single" w:sz="4" w:space="0" w:color="auto"/>
              <w:right w:val="single" w:sz="4" w:space="0" w:color="auto"/>
            </w:tcBorders>
            <w:hideMark/>
          </w:tcPr>
          <w:p w14:paraId="67CF78A8"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1D54B534"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55B83C25" w14:textId="77777777" w:rsidR="00B3234F" w:rsidRDefault="00B3234F" w:rsidP="00BD1F8C">
            <w:pPr>
              <w:pStyle w:val="TAC"/>
              <w:rPr>
                <w:rFonts w:cs="Arial"/>
              </w:rPr>
            </w:pPr>
            <w:r>
              <w:rPr>
                <w:rFonts w:cs="Arial"/>
              </w:rPr>
              <w:t>1</w:t>
            </w:r>
            <w:r>
              <w:rPr>
                <w:rFonts w:cs="Arial"/>
                <w:lang w:eastAsia="zh-CN"/>
              </w:rPr>
              <w:t>00</w:t>
            </w:r>
            <w:r>
              <w:rPr>
                <w:rFonts w:cs="Arial"/>
              </w:rPr>
              <w:t xml:space="preserve"> </w:t>
            </w:r>
            <w:r>
              <w:rPr>
                <w:rFonts w:cs="Arial"/>
                <w:lang w:eastAsia="zh-CN"/>
              </w:rPr>
              <w:t>k</w:t>
            </w:r>
            <w:r>
              <w:rPr>
                <w:rFonts w:cs="Arial"/>
              </w:rPr>
              <w:t>Hz</w:t>
            </w:r>
          </w:p>
        </w:tc>
        <w:tc>
          <w:tcPr>
            <w:tcW w:w="1606" w:type="dxa"/>
            <w:tcBorders>
              <w:top w:val="single" w:sz="4" w:space="0" w:color="auto"/>
              <w:left w:val="single" w:sz="4" w:space="0" w:color="auto"/>
              <w:bottom w:val="single" w:sz="4" w:space="0" w:color="auto"/>
              <w:right w:val="single" w:sz="4" w:space="0" w:color="auto"/>
            </w:tcBorders>
            <w:hideMark/>
          </w:tcPr>
          <w:p w14:paraId="17E83062" w14:textId="77777777" w:rsidR="00B3234F" w:rsidRDefault="00B3234F" w:rsidP="00BD1F8C">
            <w:pPr>
              <w:pStyle w:val="TAC"/>
              <w:rPr>
                <w:rFonts w:cs="Arial"/>
              </w:rPr>
            </w:pPr>
            <w:r>
              <w:rPr>
                <w:rFonts w:cs="Arial"/>
              </w:rPr>
              <w:t>This is not applicable to IAB-DU and IAB-MT operating in Band n</w:t>
            </w:r>
            <w:r>
              <w:rPr>
                <w:rFonts w:cs="Arial"/>
                <w:lang w:eastAsia="zh-CN"/>
              </w:rPr>
              <w:t>41</w:t>
            </w:r>
          </w:p>
        </w:tc>
      </w:tr>
      <w:tr w:rsidR="00B3234F" w:rsidRPr="00AB3358" w14:paraId="258B8F2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8F06FB9" w14:textId="77777777" w:rsidR="00B3234F" w:rsidRDefault="00B3234F" w:rsidP="00BD1F8C">
            <w:pPr>
              <w:pStyle w:val="TAC"/>
              <w:rPr>
                <w:rFonts w:cs="Arial"/>
                <w:lang w:eastAsia="zh-CN"/>
              </w:rPr>
            </w:pPr>
            <w:r>
              <w:rPr>
                <w:rFonts w:cs="v5.0.0"/>
              </w:rPr>
              <w:t>E-UTRA Band 42</w:t>
            </w:r>
          </w:p>
        </w:tc>
        <w:tc>
          <w:tcPr>
            <w:tcW w:w="1996" w:type="dxa"/>
            <w:tcBorders>
              <w:top w:val="single" w:sz="4" w:space="0" w:color="auto"/>
              <w:left w:val="single" w:sz="4" w:space="0" w:color="auto"/>
              <w:bottom w:val="single" w:sz="4" w:space="0" w:color="auto"/>
              <w:right w:val="single" w:sz="4" w:space="0" w:color="auto"/>
            </w:tcBorders>
            <w:hideMark/>
          </w:tcPr>
          <w:p w14:paraId="0AFAAF94" w14:textId="77777777" w:rsidR="00B3234F" w:rsidRDefault="00B3234F" w:rsidP="00BD1F8C">
            <w:pPr>
              <w:pStyle w:val="TAC"/>
              <w:rPr>
                <w:rFonts w:cs="Arial"/>
                <w:lang w:eastAsia="zh-CN"/>
              </w:rPr>
            </w:pPr>
            <w:r>
              <w:rPr>
                <w:rFonts w:cs="Arial"/>
              </w:rPr>
              <w:t>3400 – 3600 MHz</w:t>
            </w:r>
          </w:p>
        </w:tc>
        <w:tc>
          <w:tcPr>
            <w:tcW w:w="879" w:type="dxa"/>
            <w:tcBorders>
              <w:top w:val="single" w:sz="4" w:space="0" w:color="auto"/>
              <w:left w:val="single" w:sz="4" w:space="0" w:color="auto"/>
              <w:bottom w:val="single" w:sz="4" w:space="0" w:color="auto"/>
              <w:right w:val="single" w:sz="4" w:space="0" w:color="auto"/>
            </w:tcBorders>
            <w:hideMark/>
          </w:tcPr>
          <w:p w14:paraId="4E2E6A0D"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65A751C8"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EF9566C"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E75553D"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hideMark/>
          </w:tcPr>
          <w:p w14:paraId="1653BD22" w14:textId="77777777" w:rsidR="00B3234F" w:rsidRDefault="00B3234F" w:rsidP="00BD1F8C">
            <w:pPr>
              <w:pStyle w:val="TAC"/>
              <w:rPr>
                <w:rFonts w:cs="Arial"/>
              </w:rPr>
            </w:pPr>
            <w:r>
              <w:rPr>
                <w:rFonts w:cs="Arial"/>
              </w:rPr>
              <w:t>This is not applicable to IAB-DU and IAB-MT operating in Band n77 or n78</w:t>
            </w:r>
          </w:p>
        </w:tc>
      </w:tr>
      <w:tr w:rsidR="00B3234F" w:rsidRPr="00AB3358" w14:paraId="666530CA"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5FEAD4B" w14:textId="77777777" w:rsidR="00B3234F" w:rsidRDefault="00B3234F" w:rsidP="00BD1F8C">
            <w:pPr>
              <w:pStyle w:val="TAC"/>
              <w:rPr>
                <w:rFonts w:cs="Arial"/>
                <w:lang w:eastAsia="zh-CN"/>
              </w:rPr>
            </w:pPr>
            <w:r>
              <w:rPr>
                <w:rFonts w:cs="v5.0.0"/>
              </w:rPr>
              <w:t>E-UTRA Band 43</w:t>
            </w:r>
          </w:p>
        </w:tc>
        <w:tc>
          <w:tcPr>
            <w:tcW w:w="1996" w:type="dxa"/>
            <w:tcBorders>
              <w:top w:val="single" w:sz="4" w:space="0" w:color="auto"/>
              <w:left w:val="single" w:sz="4" w:space="0" w:color="auto"/>
              <w:bottom w:val="single" w:sz="4" w:space="0" w:color="auto"/>
              <w:right w:val="single" w:sz="4" w:space="0" w:color="auto"/>
            </w:tcBorders>
            <w:hideMark/>
          </w:tcPr>
          <w:p w14:paraId="464AFAF3" w14:textId="77777777" w:rsidR="00B3234F" w:rsidRDefault="00B3234F" w:rsidP="00BD1F8C">
            <w:pPr>
              <w:pStyle w:val="TAC"/>
              <w:rPr>
                <w:rFonts w:cs="Arial"/>
                <w:lang w:eastAsia="zh-CN"/>
              </w:rPr>
            </w:pPr>
            <w:r>
              <w:rPr>
                <w:rFonts w:cs="Arial"/>
              </w:rPr>
              <w:t>3600 – 3800 MHz</w:t>
            </w:r>
          </w:p>
        </w:tc>
        <w:tc>
          <w:tcPr>
            <w:tcW w:w="879" w:type="dxa"/>
            <w:tcBorders>
              <w:top w:val="single" w:sz="4" w:space="0" w:color="auto"/>
              <w:left w:val="single" w:sz="4" w:space="0" w:color="auto"/>
              <w:bottom w:val="single" w:sz="4" w:space="0" w:color="auto"/>
              <w:right w:val="single" w:sz="4" w:space="0" w:color="auto"/>
            </w:tcBorders>
            <w:hideMark/>
          </w:tcPr>
          <w:p w14:paraId="458A1AE9"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E37464B"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0990896F"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08F5272B"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hideMark/>
          </w:tcPr>
          <w:p w14:paraId="3FEC46CE" w14:textId="77777777" w:rsidR="00B3234F" w:rsidRDefault="00B3234F" w:rsidP="00BD1F8C">
            <w:pPr>
              <w:pStyle w:val="TAC"/>
              <w:rPr>
                <w:rFonts w:cs="Arial"/>
              </w:rPr>
            </w:pPr>
            <w:r>
              <w:rPr>
                <w:rFonts w:cs="Arial"/>
              </w:rPr>
              <w:t>This is not applicable to IAB-DU and IAB-MT operating in Band n77 or n78</w:t>
            </w:r>
          </w:p>
        </w:tc>
      </w:tr>
      <w:tr w:rsidR="00B3234F" w:rsidRPr="00AB3358" w14:paraId="6A6C3DEE"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30D9B0F" w14:textId="77777777" w:rsidR="00B3234F" w:rsidRDefault="00B3234F" w:rsidP="00BD1F8C">
            <w:pPr>
              <w:pStyle w:val="TAC"/>
              <w:rPr>
                <w:rFonts w:cs="Arial"/>
                <w:lang w:eastAsia="zh-CN"/>
              </w:rPr>
            </w:pPr>
            <w:r>
              <w:rPr>
                <w:rFonts w:cs="v5.0.0"/>
              </w:rPr>
              <w:t>E-UTRA Band 44</w:t>
            </w:r>
          </w:p>
        </w:tc>
        <w:tc>
          <w:tcPr>
            <w:tcW w:w="1996" w:type="dxa"/>
            <w:tcBorders>
              <w:top w:val="single" w:sz="4" w:space="0" w:color="auto"/>
              <w:left w:val="single" w:sz="4" w:space="0" w:color="auto"/>
              <w:bottom w:val="single" w:sz="4" w:space="0" w:color="auto"/>
              <w:right w:val="single" w:sz="4" w:space="0" w:color="auto"/>
            </w:tcBorders>
            <w:hideMark/>
          </w:tcPr>
          <w:p w14:paraId="4C027AF2" w14:textId="77777777" w:rsidR="00B3234F" w:rsidRDefault="00B3234F" w:rsidP="00BD1F8C">
            <w:pPr>
              <w:pStyle w:val="TAC"/>
              <w:rPr>
                <w:rFonts w:cs="Arial"/>
                <w:lang w:eastAsia="zh-CN"/>
              </w:rPr>
            </w:pPr>
            <w:r>
              <w:rPr>
                <w:rFonts w:cs="Arial"/>
              </w:rPr>
              <w:t>703 – 803 MHz</w:t>
            </w:r>
          </w:p>
        </w:tc>
        <w:tc>
          <w:tcPr>
            <w:tcW w:w="879" w:type="dxa"/>
            <w:tcBorders>
              <w:top w:val="single" w:sz="4" w:space="0" w:color="auto"/>
              <w:left w:val="single" w:sz="4" w:space="0" w:color="auto"/>
              <w:bottom w:val="single" w:sz="4" w:space="0" w:color="auto"/>
              <w:right w:val="single" w:sz="4" w:space="0" w:color="auto"/>
            </w:tcBorders>
            <w:hideMark/>
          </w:tcPr>
          <w:p w14:paraId="1633705B"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4E6A0FC0"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5EB178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36F2B3FE"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hideMark/>
          </w:tcPr>
          <w:p w14:paraId="17EFED38" w14:textId="77777777" w:rsidR="00B3234F" w:rsidRDefault="00B3234F" w:rsidP="00BD1F8C">
            <w:pPr>
              <w:pStyle w:val="TAC"/>
              <w:rPr>
                <w:rFonts w:cs="Arial"/>
              </w:rPr>
            </w:pPr>
          </w:p>
        </w:tc>
      </w:tr>
      <w:tr w:rsidR="00B3234F" w14:paraId="33C9BF1E"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590C354" w14:textId="77777777" w:rsidR="00B3234F" w:rsidRDefault="00B3234F" w:rsidP="00BD1F8C">
            <w:pPr>
              <w:pStyle w:val="TAC"/>
              <w:rPr>
                <w:rFonts w:cs="Arial"/>
                <w:lang w:eastAsia="zh-CN"/>
              </w:rPr>
            </w:pPr>
            <w:r>
              <w:rPr>
                <w:lang w:eastAsia="ja-JP"/>
              </w:rPr>
              <w:t>E-UTRA Band 4</w:t>
            </w:r>
            <w:r>
              <w:rPr>
                <w:lang w:eastAsia="zh-CN"/>
              </w:rPr>
              <w:t>5</w:t>
            </w:r>
          </w:p>
        </w:tc>
        <w:tc>
          <w:tcPr>
            <w:tcW w:w="1996" w:type="dxa"/>
            <w:tcBorders>
              <w:top w:val="single" w:sz="4" w:space="0" w:color="auto"/>
              <w:left w:val="single" w:sz="4" w:space="0" w:color="auto"/>
              <w:bottom w:val="single" w:sz="4" w:space="0" w:color="auto"/>
              <w:right w:val="single" w:sz="4" w:space="0" w:color="auto"/>
            </w:tcBorders>
            <w:hideMark/>
          </w:tcPr>
          <w:p w14:paraId="2DA24EA0" w14:textId="77777777" w:rsidR="00B3234F" w:rsidRDefault="00B3234F" w:rsidP="00BD1F8C">
            <w:pPr>
              <w:pStyle w:val="TAC"/>
              <w:rPr>
                <w:rFonts w:cs="Arial"/>
                <w:lang w:eastAsia="zh-CN"/>
              </w:rPr>
            </w:pPr>
            <w:r>
              <w:rPr>
                <w:rFonts w:cs="Arial"/>
                <w:lang w:eastAsia="zh-CN"/>
              </w:rPr>
              <w:t>1447</w:t>
            </w:r>
            <w:r>
              <w:rPr>
                <w:rFonts w:cs="Arial"/>
                <w:lang w:eastAsia="ja-JP"/>
              </w:rPr>
              <w:t xml:space="preserve"> – </w:t>
            </w:r>
            <w:r>
              <w:rPr>
                <w:rFonts w:cs="Arial"/>
                <w:lang w:eastAsia="zh-CN"/>
              </w:rPr>
              <w:t>1467</w:t>
            </w:r>
            <w:r>
              <w:rPr>
                <w:rFonts w:cs="Arial"/>
                <w:lang w:eastAsia="ja-JP"/>
              </w:rPr>
              <w:t xml:space="preserve"> MHz</w:t>
            </w:r>
          </w:p>
        </w:tc>
        <w:tc>
          <w:tcPr>
            <w:tcW w:w="879" w:type="dxa"/>
            <w:tcBorders>
              <w:top w:val="single" w:sz="4" w:space="0" w:color="auto"/>
              <w:left w:val="single" w:sz="4" w:space="0" w:color="auto"/>
              <w:bottom w:val="single" w:sz="4" w:space="0" w:color="auto"/>
              <w:right w:val="single" w:sz="4" w:space="0" w:color="auto"/>
            </w:tcBorders>
            <w:hideMark/>
          </w:tcPr>
          <w:p w14:paraId="46AF1330" w14:textId="77777777" w:rsidR="00B3234F" w:rsidRDefault="00B3234F" w:rsidP="00BD1F8C">
            <w:pPr>
              <w:pStyle w:val="TAC"/>
              <w:rPr>
                <w:rFonts w:cs="Arial"/>
              </w:rPr>
            </w:pPr>
            <w:r>
              <w:rPr>
                <w:rFonts w:cs="Arial"/>
                <w:lang w:eastAsia="ja-JP"/>
              </w:rPr>
              <w:t>-96 dBm</w:t>
            </w:r>
          </w:p>
        </w:tc>
        <w:tc>
          <w:tcPr>
            <w:tcW w:w="879" w:type="dxa"/>
            <w:tcBorders>
              <w:top w:val="single" w:sz="4" w:space="0" w:color="auto"/>
              <w:left w:val="single" w:sz="4" w:space="0" w:color="auto"/>
              <w:bottom w:val="single" w:sz="4" w:space="0" w:color="auto"/>
              <w:right w:val="single" w:sz="4" w:space="0" w:color="auto"/>
            </w:tcBorders>
            <w:hideMark/>
          </w:tcPr>
          <w:p w14:paraId="457FE1B8" w14:textId="77777777" w:rsidR="00B3234F" w:rsidRDefault="00B3234F" w:rsidP="00BD1F8C">
            <w:pPr>
              <w:pStyle w:val="TAC"/>
              <w:rPr>
                <w:rFonts w:cs="Arial"/>
                <w:lang w:eastAsia="ja-JP"/>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6031C0B" w14:textId="77777777" w:rsidR="00B3234F" w:rsidRDefault="00B3234F" w:rsidP="00BD1F8C">
            <w:pPr>
              <w:pStyle w:val="TAC"/>
              <w:rPr>
                <w:rFonts w:cs="Arial"/>
                <w:lang w:eastAsia="ja-JP"/>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5057C7C8" w14:textId="77777777" w:rsidR="00B3234F" w:rsidRDefault="00B3234F" w:rsidP="00BD1F8C">
            <w:pPr>
              <w:pStyle w:val="TAC"/>
              <w:rPr>
                <w:rFonts w:cs="Arial"/>
              </w:rPr>
            </w:pPr>
            <w:r>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5298322D" w14:textId="77777777" w:rsidR="00B3234F" w:rsidRDefault="00B3234F" w:rsidP="00BD1F8C">
            <w:pPr>
              <w:pStyle w:val="TAC"/>
              <w:rPr>
                <w:rFonts w:cs="Arial"/>
              </w:rPr>
            </w:pPr>
          </w:p>
        </w:tc>
      </w:tr>
      <w:tr w:rsidR="005408A0" w14:paraId="279596E7"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DB5A269" w14:textId="7FC588E7" w:rsidR="005408A0" w:rsidRDefault="005408A0" w:rsidP="005408A0">
            <w:pPr>
              <w:pStyle w:val="TAC"/>
              <w:rPr>
                <w:lang w:eastAsia="ja-JP"/>
              </w:rPr>
            </w:pPr>
            <w:r>
              <w:rPr>
                <w:rFonts w:cs="v5.0.0"/>
                <w:szCs w:val="18"/>
              </w:rPr>
              <w:t>E-UTRA Band 4</w:t>
            </w:r>
            <w:r>
              <w:rPr>
                <w:rFonts w:cs="v5.0.0"/>
                <w:szCs w:val="18"/>
                <w:lang w:eastAsia="zh-CN"/>
              </w:rPr>
              <w:t>6 or NR Band n46</w:t>
            </w:r>
          </w:p>
        </w:tc>
        <w:tc>
          <w:tcPr>
            <w:tcW w:w="1996" w:type="dxa"/>
            <w:tcBorders>
              <w:top w:val="single" w:sz="4" w:space="0" w:color="auto"/>
              <w:left w:val="single" w:sz="4" w:space="0" w:color="auto"/>
              <w:bottom w:val="single" w:sz="4" w:space="0" w:color="auto"/>
              <w:right w:val="single" w:sz="4" w:space="0" w:color="auto"/>
            </w:tcBorders>
            <w:hideMark/>
          </w:tcPr>
          <w:p w14:paraId="1C247F0C" w14:textId="2AC216E9" w:rsidR="005408A0" w:rsidRDefault="005408A0" w:rsidP="005408A0">
            <w:pPr>
              <w:pStyle w:val="TAC"/>
              <w:rPr>
                <w:rFonts w:cs="Arial"/>
                <w:lang w:eastAsia="zh-CN"/>
              </w:rPr>
            </w:pPr>
            <w:r>
              <w:rPr>
                <w:rFonts w:cs="Arial"/>
                <w:szCs w:val="18"/>
                <w:lang w:eastAsia="zh-CN"/>
              </w:rPr>
              <w:t>5150</w:t>
            </w:r>
            <w:r>
              <w:rPr>
                <w:rFonts w:cs="Arial"/>
                <w:szCs w:val="18"/>
              </w:rPr>
              <w:t xml:space="preserve"> – </w:t>
            </w:r>
            <w:r>
              <w:rPr>
                <w:rFonts w:cs="Arial"/>
                <w:szCs w:val="18"/>
                <w:lang w:eastAsia="zh-CN"/>
              </w:rPr>
              <w:t>5925</w:t>
            </w:r>
            <w:r>
              <w:rPr>
                <w:rFonts w:cs="Arial"/>
                <w:szCs w:val="18"/>
              </w:rPr>
              <w:t xml:space="preserve"> MHz</w:t>
            </w:r>
          </w:p>
        </w:tc>
        <w:tc>
          <w:tcPr>
            <w:tcW w:w="879" w:type="dxa"/>
            <w:tcBorders>
              <w:top w:val="single" w:sz="4" w:space="0" w:color="auto"/>
              <w:left w:val="single" w:sz="4" w:space="0" w:color="auto"/>
              <w:bottom w:val="single" w:sz="4" w:space="0" w:color="auto"/>
              <w:right w:val="single" w:sz="4" w:space="0" w:color="auto"/>
            </w:tcBorders>
            <w:hideMark/>
          </w:tcPr>
          <w:p w14:paraId="3F2AAE39" w14:textId="58BD0605" w:rsidR="005408A0" w:rsidRDefault="005408A0" w:rsidP="005408A0">
            <w:pPr>
              <w:pStyle w:val="TAC"/>
              <w:rPr>
                <w:rFonts w:cs="Arial"/>
                <w:lang w:eastAsia="ja-JP"/>
              </w:rPr>
            </w:pPr>
            <w:r>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hideMark/>
          </w:tcPr>
          <w:p w14:paraId="636AA9C1" w14:textId="29E8EF95" w:rsidR="005408A0" w:rsidRDefault="005408A0" w:rsidP="005408A0">
            <w:pPr>
              <w:pStyle w:val="TAC"/>
              <w:rPr>
                <w:rFonts w:cs="Arial"/>
                <w:lang w:eastAsia="ja-JP"/>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0DFF4448" w14:textId="5CE7AAD7" w:rsidR="005408A0" w:rsidRDefault="005408A0" w:rsidP="005408A0">
            <w:pPr>
              <w:pStyle w:val="TAC"/>
              <w:rPr>
                <w:rFonts w:cs="Arial"/>
                <w:lang w:eastAsia="ja-JP"/>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4EB389A" w14:textId="7C00F6A2" w:rsidR="005408A0" w:rsidRDefault="005408A0" w:rsidP="005408A0">
            <w:pPr>
              <w:pStyle w:val="TAC"/>
              <w:rPr>
                <w:rFonts w:cs="Arial"/>
                <w:lang w:eastAsia="ja-JP"/>
              </w:rPr>
            </w:pPr>
            <w:r>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1EE73980" w14:textId="77777777" w:rsidR="005408A0" w:rsidRDefault="005408A0" w:rsidP="005408A0">
            <w:pPr>
              <w:pStyle w:val="TAC"/>
              <w:rPr>
                <w:rFonts w:cs="Arial"/>
              </w:rPr>
            </w:pPr>
          </w:p>
        </w:tc>
      </w:tr>
      <w:tr w:rsidR="00B3234F" w:rsidRPr="00AB3358" w14:paraId="3BAF9939"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0CAE69F" w14:textId="77777777" w:rsidR="00B3234F" w:rsidRDefault="00B3234F" w:rsidP="00BD1F8C">
            <w:pPr>
              <w:pStyle w:val="TAC"/>
              <w:rPr>
                <w:rFonts w:cs="Arial"/>
                <w:lang w:eastAsia="zh-CN"/>
              </w:rPr>
            </w:pPr>
            <w:r>
              <w:rPr>
                <w:lang w:eastAsia="ja-JP"/>
              </w:rPr>
              <w:t>E-UTRA Band 48 or NR Band n48</w:t>
            </w:r>
          </w:p>
        </w:tc>
        <w:tc>
          <w:tcPr>
            <w:tcW w:w="1996" w:type="dxa"/>
            <w:tcBorders>
              <w:top w:val="single" w:sz="4" w:space="0" w:color="auto"/>
              <w:left w:val="single" w:sz="4" w:space="0" w:color="auto"/>
              <w:bottom w:val="single" w:sz="4" w:space="0" w:color="auto"/>
              <w:right w:val="single" w:sz="4" w:space="0" w:color="auto"/>
            </w:tcBorders>
            <w:hideMark/>
          </w:tcPr>
          <w:p w14:paraId="72FE3F45" w14:textId="77777777" w:rsidR="00B3234F" w:rsidRDefault="00B3234F" w:rsidP="00BD1F8C">
            <w:pPr>
              <w:pStyle w:val="TAC"/>
              <w:rPr>
                <w:rFonts w:cs="Arial"/>
                <w:lang w:eastAsia="zh-CN"/>
              </w:rPr>
            </w:pPr>
            <w:r>
              <w:rPr>
                <w:lang w:eastAsia="ja-JP"/>
              </w:rPr>
              <w:t>3550 – 3700 MHz</w:t>
            </w:r>
          </w:p>
        </w:tc>
        <w:tc>
          <w:tcPr>
            <w:tcW w:w="879" w:type="dxa"/>
            <w:tcBorders>
              <w:top w:val="single" w:sz="4" w:space="0" w:color="auto"/>
              <w:left w:val="single" w:sz="4" w:space="0" w:color="auto"/>
              <w:bottom w:val="single" w:sz="4" w:space="0" w:color="auto"/>
              <w:right w:val="single" w:sz="4" w:space="0" w:color="auto"/>
            </w:tcBorders>
            <w:hideMark/>
          </w:tcPr>
          <w:p w14:paraId="1ECE2E48" w14:textId="77777777" w:rsidR="00B3234F" w:rsidRDefault="00B3234F" w:rsidP="00BD1F8C">
            <w:pPr>
              <w:pStyle w:val="TAC"/>
              <w:rPr>
                <w:rFonts w:cs="Arial"/>
              </w:rPr>
            </w:pPr>
            <w:r>
              <w:rPr>
                <w:lang w:eastAsia="ja-JP"/>
              </w:rPr>
              <w:t>-96 dBm</w:t>
            </w:r>
          </w:p>
        </w:tc>
        <w:tc>
          <w:tcPr>
            <w:tcW w:w="879" w:type="dxa"/>
            <w:tcBorders>
              <w:top w:val="single" w:sz="4" w:space="0" w:color="auto"/>
              <w:left w:val="single" w:sz="4" w:space="0" w:color="auto"/>
              <w:bottom w:val="single" w:sz="4" w:space="0" w:color="auto"/>
              <w:right w:val="single" w:sz="4" w:space="0" w:color="auto"/>
            </w:tcBorders>
            <w:hideMark/>
          </w:tcPr>
          <w:p w14:paraId="66D24F81" w14:textId="77777777" w:rsidR="00B3234F" w:rsidRDefault="00B3234F" w:rsidP="00BD1F8C">
            <w:pPr>
              <w:pStyle w:val="TAC"/>
              <w:rPr>
                <w:lang w:eastAsia="ja-JP"/>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2D40EF6A" w14:textId="77777777" w:rsidR="00B3234F" w:rsidRDefault="00B3234F" w:rsidP="00BD1F8C">
            <w:pPr>
              <w:pStyle w:val="TAC"/>
              <w:rPr>
                <w:lang w:eastAsia="ja-JP"/>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F2D9066" w14:textId="77777777" w:rsidR="00B3234F" w:rsidRDefault="00B3234F" w:rsidP="00BD1F8C">
            <w:pPr>
              <w:pStyle w:val="TAC"/>
              <w:rPr>
                <w:rFonts w:cs="Arial"/>
              </w:rPr>
            </w:pPr>
            <w:r>
              <w:rPr>
                <w:lang w:eastAsia="ja-JP"/>
              </w:rPr>
              <w:t>100 kHz</w:t>
            </w:r>
          </w:p>
        </w:tc>
        <w:tc>
          <w:tcPr>
            <w:tcW w:w="1606" w:type="dxa"/>
            <w:tcBorders>
              <w:top w:val="single" w:sz="4" w:space="0" w:color="auto"/>
              <w:left w:val="single" w:sz="4" w:space="0" w:color="auto"/>
              <w:bottom w:val="single" w:sz="4" w:space="0" w:color="auto"/>
              <w:right w:val="single" w:sz="4" w:space="0" w:color="auto"/>
            </w:tcBorders>
            <w:hideMark/>
          </w:tcPr>
          <w:p w14:paraId="02095933" w14:textId="77777777" w:rsidR="00B3234F" w:rsidRDefault="00B3234F" w:rsidP="00BD1F8C">
            <w:pPr>
              <w:pStyle w:val="TAC"/>
              <w:rPr>
                <w:rFonts w:cs="Arial"/>
              </w:rPr>
            </w:pPr>
            <w:r>
              <w:rPr>
                <w:rFonts w:cs="Arial"/>
              </w:rPr>
              <w:t>This is not applicable to IAB-DU and IAB-MT operating in Band n77 or n78</w:t>
            </w:r>
          </w:p>
        </w:tc>
      </w:tr>
      <w:tr w:rsidR="00B3234F" w:rsidRPr="00AB3358" w14:paraId="24BD49EE"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A95F32E" w14:textId="77777777" w:rsidR="00B3234F" w:rsidRDefault="00B3234F" w:rsidP="00BD1F8C">
            <w:pPr>
              <w:pStyle w:val="TAC"/>
              <w:rPr>
                <w:rFonts w:cs="Arial"/>
                <w:lang w:eastAsia="zh-CN"/>
              </w:rPr>
            </w:pPr>
            <w:r>
              <w:rPr>
                <w:rFonts w:cs="v5.0.0"/>
                <w:lang w:eastAsia="ja-JP"/>
              </w:rPr>
              <w:t xml:space="preserve">E-UTRA Band 50 or NR Band n50 </w:t>
            </w:r>
          </w:p>
        </w:tc>
        <w:tc>
          <w:tcPr>
            <w:tcW w:w="1996" w:type="dxa"/>
            <w:tcBorders>
              <w:top w:val="single" w:sz="4" w:space="0" w:color="auto"/>
              <w:left w:val="single" w:sz="4" w:space="0" w:color="auto"/>
              <w:bottom w:val="single" w:sz="4" w:space="0" w:color="auto"/>
              <w:right w:val="single" w:sz="4" w:space="0" w:color="auto"/>
            </w:tcBorders>
            <w:hideMark/>
          </w:tcPr>
          <w:p w14:paraId="459F0387" w14:textId="77777777" w:rsidR="00B3234F" w:rsidRDefault="00B3234F" w:rsidP="00BD1F8C">
            <w:pPr>
              <w:pStyle w:val="TAC"/>
              <w:rPr>
                <w:rFonts w:cs="Arial"/>
                <w:lang w:eastAsia="zh-CN"/>
              </w:rPr>
            </w:pPr>
            <w:r>
              <w:rPr>
                <w:rFonts w:cs="Arial"/>
                <w:lang w:eastAsia="ja-JP"/>
              </w:rPr>
              <w:t>1432 – 1517 MHz</w:t>
            </w:r>
          </w:p>
        </w:tc>
        <w:tc>
          <w:tcPr>
            <w:tcW w:w="879" w:type="dxa"/>
            <w:tcBorders>
              <w:top w:val="single" w:sz="4" w:space="0" w:color="auto"/>
              <w:left w:val="single" w:sz="4" w:space="0" w:color="auto"/>
              <w:bottom w:val="single" w:sz="4" w:space="0" w:color="auto"/>
              <w:right w:val="single" w:sz="4" w:space="0" w:color="auto"/>
            </w:tcBorders>
            <w:hideMark/>
          </w:tcPr>
          <w:p w14:paraId="00572764" w14:textId="77777777" w:rsidR="00B3234F" w:rsidRDefault="00B3234F" w:rsidP="00BD1F8C">
            <w:pPr>
              <w:pStyle w:val="TAC"/>
              <w:rPr>
                <w:rFonts w:cs="Arial"/>
              </w:rPr>
            </w:pPr>
            <w:r>
              <w:rPr>
                <w:rFonts w:cs="Arial"/>
                <w:lang w:eastAsia="ja-JP"/>
              </w:rPr>
              <w:t>-96 dBm</w:t>
            </w:r>
          </w:p>
        </w:tc>
        <w:tc>
          <w:tcPr>
            <w:tcW w:w="879" w:type="dxa"/>
            <w:tcBorders>
              <w:top w:val="single" w:sz="4" w:space="0" w:color="auto"/>
              <w:left w:val="single" w:sz="4" w:space="0" w:color="auto"/>
              <w:bottom w:val="single" w:sz="4" w:space="0" w:color="auto"/>
              <w:right w:val="single" w:sz="4" w:space="0" w:color="auto"/>
            </w:tcBorders>
            <w:hideMark/>
          </w:tcPr>
          <w:p w14:paraId="2A8ED689" w14:textId="77777777" w:rsidR="00B3234F" w:rsidRDefault="00B3234F" w:rsidP="00BD1F8C">
            <w:pPr>
              <w:pStyle w:val="TAC"/>
              <w:rPr>
                <w:rFonts w:cs="Arial"/>
                <w:lang w:eastAsia="ja-JP"/>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4C909E1" w14:textId="77777777" w:rsidR="00B3234F" w:rsidRDefault="00B3234F" w:rsidP="00BD1F8C">
            <w:pPr>
              <w:pStyle w:val="TAC"/>
              <w:rPr>
                <w:rFonts w:cs="Arial"/>
                <w:lang w:eastAsia="ja-JP"/>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F8CE93B" w14:textId="77777777" w:rsidR="00B3234F" w:rsidRDefault="00B3234F" w:rsidP="00BD1F8C">
            <w:pPr>
              <w:pStyle w:val="TAC"/>
              <w:rPr>
                <w:rFonts w:cs="Arial"/>
              </w:rPr>
            </w:pPr>
            <w:r>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0BDC7D3D" w14:textId="77777777" w:rsidR="00B3234F" w:rsidRDefault="00B3234F" w:rsidP="00BD1F8C">
            <w:pPr>
              <w:pStyle w:val="TAC"/>
              <w:rPr>
                <w:rFonts w:cs="Arial"/>
              </w:rPr>
            </w:pPr>
          </w:p>
        </w:tc>
      </w:tr>
      <w:tr w:rsidR="00B3234F" w:rsidRPr="00AB3358" w14:paraId="3D909212"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CC9EEDB" w14:textId="77777777" w:rsidR="00B3234F" w:rsidRDefault="00B3234F" w:rsidP="00BD1F8C">
            <w:pPr>
              <w:pStyle w:val="TAC"/>
              <w:rPr>
                <w:rFonts w:cs="v5.0.0"/>
                <w:lang w:eastAsia="ja-JP"/>
              </w:rPr>
            </w:pPr>
            <w:r>
              <w:rPr>
                <w:rFonts w:cs="v5.0.0"/>
                <w:lang w:val="sv-SE" w:eastAsia="ja-JP"/>
              </w:rPr>
              <w:t>E-UTRA Band 51 or NR Band n51</w:t>
            </w:r>
          </w:p>
        </w:tc>
        <w:tc>
          <w:tcPr>
            <w:tcW w:w="1996" w:type="dxa"/>
            <w:tcBorders>
              <w:top w:val="single" w:sz="4" w:space="0" w:color="auto"/>
              <w:left w:val="single" w:sz="4" w:space="0" w:color="auto"/>
              <w:bottom w:val="single" w:sz="4" w:space="0" w:color="auto"/>
              <w:right w:val="single" w:sz="4" w:space="0" w:color="auto"/>
            </w:tcBorders>
            <w:hideMark/>
          </w:tcPr>
          <w:p w14:paraId="39DCEE4C" w14:textId="77777777" w:rsidR="00B3234F" w:rsidRDefault="00B3234F" w:rsidP="00BD1F8C">
            <w:pPr>
              <w:pStyle w:val="TAC"/>
              <w:rPr>
                <w:rFonts w:cs="Arial"/>
                <w:lang w:eastAsia="ja-JP"/>
              </w:rPr>
            </w:pPr>
            <w:r>
              <w:rPr>
                <w:rFonts w:cs="Arial"/>
                <w:lang w:eastAsia="ja-JP"/>
              </w:rPr>
              <w:t>1427 – 1432 MHz</w:t>
            </w:r>
          </w:p>
        </w:tc>
        <w:tc>
          <w:tcPr>
            <w:tcW w:w="879" w:type="dxa"/>
            <w:tcBorders>
              <w:top w:val="single" w:sz="4" w:space="0" w:color="auto"/>
              <w:left w:val="single" w:sz="4" w:space="0" w:color="auto"/>
              <w:bottom w:val="single" w:sz="4" w:space="0" w:color="auto"/>
              <w:right w:val="single" w:sz="4" w:space="0" w:color="auto"/>
            </w:tcBorders>
            <w:hideMark/>
          </w:tcPr>
          <w:p w14:paraId="6BAEAFED" w14:textId="77777777" w:rsidR="00B3234F" w:rsidRDefault="00B3234F" w:rsidP="00BD1F8C">
            <w:pPr>
              <w:pStyle w:val="TAC"/>
              <w:rPr>
                <w:rFonts w:cs="Arial"/>
                <w:lang w:eastAsia="ja-JP"/>
              </w:rPr>
            </w:pPr>
            <w:r>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hideMark/>
          </w:tcPr>
          <w:p w14:paraId="279FFA88" w14:textId="77777777" w:rsidR="00B3234F" w:rsidRDefault="00B3234F" w:rsidP="00BD1F8C">
            <w:pPr>
              <w:pStyle w:val="TAC"/>
              <w:rPr>
                <w:rFonts w:cs="Arial"/>
                <w:lang w:eastAsia="ja-JP"/>
              </w:rPr>
            </w:pPr>
            <w:r>
              <w:rPr>
                <w:rFonts w:cs="v5.0.0"/>
              </w:rPr>
              <w:t>N/A</w:t>
            </w:r>
          </w:p>
        </w:tc>
        <w:tc>
          <w:tcPr>
            <w:tcW w:w="880" w:type="dxa"/>
            <w:tcBorders>
              <w:top w:val="single" w:sz="4" w:space="0" w:color="auto"/>
              <w:left w:val="single" w:sz="4" w:space="0" w:color="auto"/>
              <w:bottom w:val="single" w:sz="4" w:space="0" w:color="auto"/>
              <w:right w:val="single" w:sz="4" w:space="0" w:color="auto"/>
            </w:tcBorders>
            <w:hideMark/>
          </w:tcPr>
          <w:p w14:paraId="3F5AE862" w14:textId="77777777" w:rsidR="00B3234F" w:rsidRDefault="00B3234F" w:rsidP="00BD1F8C">
            <w:pPr>
              <w:pStyle w:val="TAC"/>
              <w:rPr>
                <w:rFonts w:cs="Arial"/>
                <w:lang w:eastAsia="ja-JP"/>
              </w:rPr>
            </w:pPr>
            <w:r>
              <w:rPr>
                <w:rFonts w:cs="Arial"/>
                <w:lang w:eastAsia="ja-JP"/>
              </w:rPr>
              <w:t>-88 dBm</w:t>
            </w:r>
          </w:p>
        </w:tc>
        <w:tc>
          <w:tcPr>
            <w:tcW w:w="1414" w:type="dxa"/>
            <w:tcBorders>
              <w:top w:val="single" w:sz="4" w:space="0" w:color="auto"/>
              <w:left w:val="single" w:sz="4" w:space="0" w:color="auto"/>
              <w:bottom w:val="single" w:sz="4" w:space="0" w:color="auto"/>
              <w:right w:val="single" w:sz="4" w:space="0" w:color="auto"/>
            </w:tcBorders>
            <w:hideMark/>
          </w:tcPr>
          <w:p w14:paraId="1D91BB30" w14:textId="77777777" w:rsidR="00B3234F" w:rsidRDefault="00B3234F" w:rsidP="00BD1F8C">
            <w:pPr>
              <w:pStyle w:val="TAC"/>
              <w:rPr>
                <w:rFonts w:cs="Arial"/>
                <w:lang w:eastAsia="ja-JP"/>
              </w:rPr>
            </w:pPr>
            <w:r>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7AC6F421" w14:textId="77777777" w:rsidR="00B3234F" w:rsidRDefault="00B3234F" w:rsidP="00BD1F8C">
            <w:pPr>
              <w:pStyle w:val="TAC"/>
              <w:rPr>
                <w:lang w:eastAsia="ja-JP"/>
              </w:rPr>
            </w:pPr>
          </w:p>
        </w:tc>
      </w:tr>
      <w:tr w:rsidR="00B3234F" w:rsidRPr="00AB3358" w14:paraId="1F92B82D" w14:textId="77777777" w:rsidTr="00BD1F8C">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E408E95" w14:textId="77777777" w:rsidR="00B3234F" w:rsidRDefault="00B3234F" w:rsidP="00BD1F8C">
            <w:pPr>
              <w:pStyle w:val="TAC"/>
              <w:rPr>
                <w:rFonts w:cs="v5.0.0"/>
                <w:lang w:val="sv-SE" w:eastAsia="ja-JP"/>
              </w:rPr>
            </w:pPr>
            <w:r>
              <w:rPr>
                <w:rFonts w:eastAsia="Malgun Gothic" w:cs="Arial"/>
              </w:rPr>
              <w:lastRenderedPageBreak/>
              <w:t>E-UTRA Band 53</w:t>
            </w:r>
            <w:r>
              <w:rPr>
                <w:rFonts w:eastAsia="Malgun Gothic" w:cs="Arial"/>
                <w:lang w:eastAsia="zh-CN"/>
              </w:rPr>
              <w:t xml:space="preserve"> or NR Band n53</w:t>
            </w:r>
          </w:p>
        </w:tc>
        <w:tc>
          <w:tcPr>
            <w:tcW w:w="1996" w:type="dxa"/>
            <w:tcBorders>
              <w:top w:val="single" w:sz="4" w:space="0" w:color="auto"/>
              <w:left w:val="single" w:sz="4" w:space="0" w:color="auto"/>
              <w:bottom w:val="single" w:sz="4" w:space="0" w:color="auto"/>
              <w:right w:val="single" w:sz="4" w:space="0" w:color="auto"/>
            </w:tcBorders>
            <w:hideMark/>
          </w:tcPr>
          <w:p w14:paraId="3DAAE65C" w14:textId="77777777" w:rsidR="00B3234F" w:rsidRDefault="00B3234F" w:rsidP="00BD1F8C">
            <w:pPr>
              <w:pStyle w:val="TAC"/>
              <w:rPr>
                <w:rFonts w:cs="Arial"/>
                <w:lang w:eastAsia="ja-JP"/>
              </w:rPr>
            </w:pPr>
            <w:r>
              <w:rPr>
                <w:rFonts w:cs="Arial"/>
                <w:lang w:eastAsia="zh-CN"/>
              </w:rPr>
              <w:t xml:space="preserve">2483.5 </w:t>
            </w:r>
            <w:r>
              <w:rPr>
                <w:rFonts w:cs="Arial"/>
              </w:rPr>
              <w:t xml:space="preserve">– </w:t>
            </w:r>
            <w:r>
              <w:rPr>
                <w:rFonts w:cs="Arial"/>
                <w:lang w:eastAsia="zh-CN"/>
              </w:rPr>
              <w:t>2495 MHz</w:t>
            </w:r>
          </w:p>
        </w:tc>
        <w:tc>
          <w:tcPr>
            <w:tcW w:w="879" w:type="dxa"/>
            <w:tcBorders>
              <w:top w:val="single" w:sz="4" w:space="0" w:color="auto"/>
              <w:left w:val="single" w:sz="4" w:space="0" w:color="auto"/>
              <w:bottom w:val="single" w:sz="4" w:space="0" w:color="auto"/>
              <w:right w:val="single" w:sz="4" w:space="0" w:color="auto"/>
            </w:tcBorders>
            <w:hideMark/>
          </w:tcPr>
          <w:p w14:paraId="6054378E" w14:textId="77777777" w:rsidR="00B3234F" w:rsidRDefault="00B3234F" w:rsidP="00BD1F8C">
            <w:pPr>
              <w:pStyle w:val="TAC"/>
              <w:rPr>
                <w:rFonts w:cs="Arial"/>
                <w:lang w:eastAsia="ja-JP"/>
              </w:rPr>
            </w:pPr>
            <w:r>
              <w:rPr>
                <w:rFonts w:cs="Arial"/>
              </w:rPr>
              <w:t>N/A</w:t>
            </w:r>
          </w:p>
        </w:tc>
        <w:tc>
          <w:tcPr>
            <w:tcW w:w="879" w:type="dxa"/>
            <w:tcBorders>
              <w:top w:val="single" w:sz="4" w:space="0" w:color="auto"/>
              <w:left w:val="single" w:sz="4" w:space="0" w:color="auto"/>
              <w:bottom w:val="single" w:sz="4" w:space="0" w:color="auto"/>
              <w:right w:val="single" w:sz="4" w:space="0" w:color="auto"/>
            </w:tcBorders>
            <w:hideMark/>
          </w:tcPr>
          <w:p w14:paraId="19E41E27" w14:textId="77777777" w:rsidR="00B3234F" w:rsidRDefault="00B3234F" w:rsidP="00BD1F8C">
            <w:pPr>
              <w:pStyle w:val="TAC"/>
              <w:rPr>
                <w:rFonts w:cs="v5.0.0"/>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5F65704B" w14:textId="77777777" w:rsidR="00B3234F" w:rsidRDefault="00B3234F" w:rsidP="00BD1F8C">
            <w:pPr>
              <w:pStyle w:val="TAC"/>
              <w:rPr>
                <w:rFonts w:cs="Arial"/>
                <w:lang w:eastAsia="ja-JP"/>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5191DAF1" w14:textId="77777777" w:rsidR="00B3234F" w:rsidRDefault="00B3234F" w:rsidP="00BD1F8C">
            <w:pPr>
              <w:pStyle w:val="TAC"/>
              <w:rPr>
                <w:rFonts w:cs="Arial"/>
                <w:lang w:eastAsia="ja-JP"/>
              </w:rPr>
            </w:pPr>
            <w:r>
              <w:rPr>
                <w:rFonts w:cs="Arial"/>
              </w:rPr>
              <w:t>1</w:t>
            </w:r>
            <w:r>
              <w:rPr>
                <w:rFonts w:cs="Arial"/>
                <w:lang w:eastAsia="zh-CN"/>
              </w:rPr>
              <w:t>00</w:t>
            </w:r>
            <w:r>
              <w:rPr>
                <w:rFonts w:cs="Arial"/>
              </w:rPr>
              <w:t xml:space="preserve"> </w:t>
            </w:r>
            <w:r>
              <w:rPr>
                <w:rFonts w:cs="Arial"/>
                <w:lang w:eastAsia="zh-CN"/>
              </w:rPr>
              <w:t>k</w:t>
            </w:r>
            <w:r>
              <w:rPr>
                <w:rFonts w:cs="Arial"/>
              </w:rPr>
              <w:t>Hz</w:t>
            </w:r>
          </w:p>
        </w:tc>
        <w:tc>
          <w:tcPr>
            <w:tcW w:w="1606" w:type="dxa"/>
            <w:tcBorders>
              <w:top w:val="single" w:sz="4" w:space="0" w:color="auto"/>
              <w:left w:val="single" w:sz="4" w:space="0" w:color="auto"/>
              <w:bottom w:val="single" w:sz="4" w:space="0" w:color="auto"/>
              <w:right w:val="single" w:sz="4" w:space="0" w:color="auto"/>
            </w:tcBorders>
            <w:hideMark/>
          </w:tcPr>
          <w:p w14:paraId="63892664" w14:textId="77777777" w:rsidR="00B3234F" w:rsidRDefault="00B3234F" w:rsidP="00BD1F8C">
            <w:pPr>
              <w:pStyle w:val="TAC"/>
              <w:rPr>
                <w:lang w:eastAsia="ja-JP"/>
              </w:rPr>
            </w:pPr>
            <w:r>
              <w:rPr>
                <w:rFonts w:cs="Arial"/>
              </w:rPr>
              <w:t>This is not applicable to IAB-DU and IAB-MT operating in Band n</w:t>
            </w:r>
            <w:r>
              <w:rPr>
                <w:rFonts w:cs="Arial"/>
                <w:lang w:eastAsia="zh-CN"/>
              </w:rPr>
              <w:t>41</w:t>
            </w:r>
          </w:p>
        </w:tc>
      </w:tr>
      <w:tr w:rsidR="00B3234F" w14:paraId="22E5616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AB054C3" w14:textId="77777777" w:rsidR="00B3234F" w:rsidRDefault="00B3234F" w:rsidP="00BD1F8C">
            <w:pPr>
              <w:pStyle w:val="TAC"/>
              <w:rPr>
                <w:rFonts w:cs="Arial"/>
                <w:lang w:eastAsia="zh-CN"/>
              </w:rPr>
            </w:pPr>
            <w:r>
              <w:rPr>
                <w:rFonts w:cs="v5.0.0"/>
                <w:lang w:eastAsia="ja-JP"/>
              </w:rPr>
              <w:t>E-UTRA Band 65</w:t>
            </w:r>
            <w:r>
              <w:rPr>
                <w:rFonts w:cs="Arial"/>
              </w:rPr>
              <w:t xml:space="preserve"> or NR Band n65</w:t>
            </w:r>
          </w:p>
        </w:tc>
        <w:tc>
          <w:tcPr>
            <w:tcW w:w="1996" w:type="dxa"/>
            <w:tcBorders>
              <w:top w:val="single" w:sz="4" w:space="0" w:color="auto"/>
              <w:left w:val="single" w:sz="4" w:space="0" w:color="auto"/>
              <w:bottom w:val="single" w:sz="4" w:space="0" w:color="auto"/>
              <w:right w:val="single" w:sz="4" w:space="0" w:color="auto"/>
            </w:tcBorders>
            <w:hideMark/>
          </w:tcPr>
          <w:p w14:paraId="39B0A271" w14:textId="77777777" w:rsidR="00B3234F" w:rsidRDefault="00B3234F" w:rsidP="00BD1F8C">
            <w:pPr>
              <w:pStyle w:val="TAC"/>
              <w:rPr>
                <w:rFonts w:cs="Arial"/>
                <w:lang w:eastAsia="zh-CN"/>
              </w:rPr>
            </w:pPr>
            <w:r>
              <w:rPr>
                <w:rFonts w:cs="Arial"/>
              </w:rPr>
              <w:t xml:space="preserve">1920 – </w:t>
            </w:r>
            <w:r>
              <w:rPr>
                <w:rFonts w:cs="Arial"/>
                <w:lang w:eastAsia="ja-JP"/>
              </w:rPr>
              <w:t>2010</w:t>
            </w:r>
            <w:r>
              <w:rPr>
                <w:rFonts w:cs="Arial"/>
              </w:rPr>
              <w:t xml:space="preserve"> MHz</w:t>
            </w:r>
          </w:p>
        </w:tc>
        <w:tc>
          <w:tcPr>
            <w:tcW w:w="879" w:type="dxa"/>
            <w:tcBorders>
              <w:top w:val="single" w:sz="4" w:space="0" w:color="auto"/>
              <w:left w:val="single" w:sz="4" w:space="0" w:color="auto"/>
              <w:bottom w:val="single" w:sz="4" w:space="0" w:color="auto"/>
              <w:right w:val="single" w:sz="4" w:space="0" w:color="auto"/>
            </w:tcBorders>
            <w:hideMark/>
          </w:tcPr>
          <w:p w14:paraId="4854AE94"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73BA4253"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B8F4CD5"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538369C2"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37D2445" w14:textId="77777777" w:rsidR="00B3234F" w:rsidRDefault="00B3234F" w:rsidP="00BD1F8C">
            <w:pPr>
              <w:pStyle w:val="TAC"/>
              <w:rPr>
                <w:rFonts w:cs="Arial"/>
              </w:rPr>
            </w:pPr>
          </w:p>
        </w:tc>
      </w:tr>
      <w:tr w:rsidR="00B3234F" w14:paraId="53FBA26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4D598E2" w14:textId="77777777" w:rsidR="00B3234F" w:rsidRDefault="00B3234F" w:rsidP="00BD1F8C">
            <w:pPr>
              <w:pStyle w:val="TAC"/>
              <w:rPr>
                <w:rFonts w:cs="Arial"/>
                <w:lang w:eastAsia="zh-CN"/>
              </w:rPr>
            </w:pPr>
            <w:r>
              <w:rPr>
                <w:rFonts w:cs="v5.0.0"/>
              </w:rPr>
              <w:t>E-UTRA Band 66 or NR Band n66</w:t>
            </w:r>
          </w:p>
        </w:tc>
        <w:tc>
          <w:tcPr>
            <w:tcW w:w="1996" w:type="dxa"/>
            <w:tcBorders>
              <w:top w:val="single" w:sz="4" w:space="0" w:color="auto"/>
              <w:left w:val="single" w:sz="4" w:space="0" w:color="auto"/>
              <w:bottom w:val="single" w:sz="4" w:space="0" w:color="auto"/>
              <w:right w:val="single" w:sz="4" w:space="0" w:color="auto"/>
            </w:tcBorders>
            <w:hideMark/>
          </w:tcPr>
          <w:p w14:paraId="2156FD5B" w14:textId="77777777" w:rsidR="00B3234F" w:rsidRDefault="00B3234F" w:rsidP="00BD1F8C">
            <w:pPr>
              <w:pStyle w:val="TAC"/>
              <w:rPr>
                <w:rFonts w:cs="Arial"/>
                <w:lang w:eastAsia="zh-CN"/>
              </w:rPr>
            </w:pPr>
            <w:r>
              <w:rPr>
                <w:rFonts w:cs="Arial"/>
              </w:rPr>
              <w:t>1710 – 1780 MHz</w:t>
            </w:r>
          </w:p>
        </w:tc>
        <w:tc>
          <w:tcPr>
            <w:tcW w:w="879" w:type="dxa"/>
            <w:tcBorders>
              <w:top w:val="single" w:sz="4" w:space="0" w:color="auto"/>
              <w:left w:val="single" w:sz="4" w:space="0" w:color="auto"/>
              <w:bottom w:val="single" w:sz="4" w:space="0" w:color="auto"/>
              <w:right w:val="single" w:sz="4" w:space="0" w:color="auto"/>
            </w:tcBorders>
            <w:hideMark/>
          </w:tcPr>
          <w:p w14:paraId="21424B13"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0746E88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653479A"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03EEC082"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95BDB5E" w14:textId="77777777" w:rsidR="00B3234F" w:rsidRDefault="00B3234F" w:rsidP="00BD1F8C">
            <w:pPr>
              <w:pStyle w:val="TAC"/>
              <w:rPr>
                <w:rFonts w:cs="Arial"/>
              </w:rPr>
            </w:pPr>
          </w:p>
        </w:tc>
      </w:tr>
      <w:tr w:rsidR="00B3234F" w14:paraId="4FC135B9"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7932468" w14:textId="77777777" w:rsidR="00B3234F" w:rsidRDefault="00B3234F" w:rsidP="00BD1F8C">
            <w:pPr>
              <w:pStyle w:val="TAC"/>
              <w:rPr>
                <w:rFonts w:cs="Arial"/>
                <w:lang w:eastAsia="zh-CN"/>
              </w:rPr>
            </w:pPr>
            <w:r>
              <w:rPr>
                <w:rFonts w:cs="v5.0.0"/>
              </w:rPr>
              <w:t>E-UTRA Band 68</w:t>
            </w:r>
          </w:p>
        </w:tc>
        <w:tc>
          <w:tcPr>
            <w:tcW w:w="1996" w:type="dxa"/>
            <w:tcBorders>
              <w:top w:val="single" w:sz="4" w:space="0" w:color="auto"/>
              <w:left w:val="single" w:sz="4" w:space="0" w:color="auto"/>
              <w:bottom w:val="single" w:sz="4" w:space="0" w:color="auto"/>
              <w:right w:val="single" w:sz="4" w:space="0" w:color="auto"/>
            </w:tcBorders>
            <w:hideMark/>
          </w:tcPr>
          <w:p w14:paraId="62E8B0CD" w14:textId="77777777" w:rsidR="00B3234F" w:rsidRDefault="00B3234F" w:rsidP="00BD1F8C">
            <w:pPr>
              <w:pStyle w:val="TAC"/>
              <w:rPr>
                <w:rFonts w:cs="Arial"/>
                <w:lang w:eastAsia="zh-CN"/>
              </w:rPr>
            </w:pPr>
            <w:r>
              <w:rPr>
                <w:rFonts w:cs="Arial"/>
              </w:rPr>
              <w:t>698 – 728 MHz</w:t>
            </w:r>
          </w:p>
        </w:tc>
        <w:tc>
          <w:tcPr>
            <w:tcW w:w="879" w:type="dxa"/>
            <w:tcBorders>
              <w:top w:val="single" w:sz="4" w:space="0" w:color="auto"/>
              <w:left w:val="single" w:sz="4" w:space="0" w:color="auto"/>
              <w:bottom w:val="single" w:sz="4" w:space="0" w:color="auto"/>
              <w:right w:val="single" w:sz="4" w:space="0" w:color="auto"/>
            </w:tcBorders>
            <w:hideMark/>
          </w:tcPr>
          <w:p w14:paraId="13D38E9A"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36127387" w14:textId="77777777" w:rsidR="00B3234F" w:rsidRDefault="00B3234F" w:rsidP="00BD1F8C">
            <w:pPr>
              <w:pStyle w:val="TAC"/>
              <w:rPr>
                <w:rFonts w:cs="Arial"/>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7CE6C3C0"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3BF0A86B"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A79DA87" w14:textId="77777777" w:rsidR="00B3234F" w:rsidRDefault="00B3234F" w:rsidP="00BD1F8C">
            <w:pPr>
              <w:pStyle w:val="TAC"/>
              <w:rPr>
                <w:rFonts w:cs="Arial"/>
              </w:rPr>
            </w:pPr>
          </w:p>
        </w:tc>
      </w:tr>
      <w:tr w:rsidR="00B3234F" w14:paraId="687DD900"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4236DB64" w14:textId="77777777" w:rsidR="00B3234F" w:rsidRDefault="00B3234F" w:rsidP="00BD1F8C">
            <w:pPr>
              <w:pStyle w:val="TAC"/>
            </w:pPr>
            <w:r>
              <w:t>E-UTRA Band 70 or NR Band n70</w:t>
            </w:r>
          </w:p>
        </w:tc>
        <w:tc>
          <w:tcPr>
            <w:tcW w:w="1996" w:type="dxa"/>
            <w:tcBorders>
              <w:top w:val="single" w:sz="4" w:space="0" w:color="auto"/>
              <w:left w:val="single" w:sz="4" w:space="0" w:color="auto"/>
              <w:bottom w:val="single" w:sz="4" w:space="0" w:color="auto"/>
              <w:right w:val="single" w:sz="4" w:space="0" w:color="auto"/>
            </w:tcBorders>
            <w:hideMark/>
          </w:tcPr>
          <w:p w14:paraId="4D8B555B" w14:textId="77777777" w:rsidR="00B3234F" w:rsidRDefault="00B3234F" w:rsidP="00BD1F8C">
            <w:pPr>
              <w:pStyle w:val="TAC"/>
            </w:pPr>
            <w:r>
              <w:t>1695 – 1710 MHz</w:t>
            </w:r>
          </w:p>
        </w:tc>
        <w:tc>
          <w:tcPr>
            <w:tcW w:w="879" w:type="dxa"/>
            <w:tcBorders>
              <w:top w:val="single" w:sz="4" w:space="0" w:color="auto"/>
              <w:left w:val="single" w:sz="4" w:space="0" w:color="auto"/>
              <w:bottom w:val="single" w:sz="4" w:space="0" w:color="auto"/>
              <w:right w:val="single" w:sz="4" w:space="0" w:color="auto"/>
            </w:tcBorders>
            <w:hideMark/>
          </w:tcPr>
          <w:p w14:paraId="75566F94"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100373B5"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6F7AB2CE"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512A70B0"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6431E07C" w14:textId="77777777" w:rsidR="00B3234F" w:rsidRDefault="00B3234F" w:rsidP="00BD1F8C">
            <w:pPr>
              <w:pStyle w:val="TAC"/>
              <w:rPr>
                <w:rFonts w:cs="Arial"/>
              </w:rPr>
            </w:pPr>
          </w:p>
        </w:tc>
      </w:tr>
      <w:tr w:rsidR="00B3234F" w14:paraId="0EA197E5"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EFABAAE" w14:textId="77777777" w:rsidR="00B3234F" w:rsidRDefault="00B3234F" w:rsidP="00BD1F8C">
            <w:pPr>
              <w:pStyle w:val="TAC"/>
            </w:pPr>
            <w:r>
              <w:t>E-UTRA Band 71 or NR Band n71</w:t>
            </w:r>
          </w:p>
        </w:tc>
        <w:tc>
          <w:tcPr>
            <w:tcW w:w="1996" w:type="dxa"/>
            <w:tcBorders>
              <w:top w:val="single" w:sz="4" w:space="0" w:color="auto"/>
              <w:left w:val="single" w:sz="4" w:space="0" w:color="auto"/>
              <w:bottom w:val="single" w:sz="4" w:space="0" w:color="auto"/>
              <w:right w:val="single" w:sz="4" w:space="0" w:color="auto"/>
            </w:tcBorders>
            <w:hideMark/>
          </w:tcPr>
          <w:p w14:paraId="33D86B58" w14:textId="77777777" w:rsidR="00B3234F" w:rsidRDefault="00B3234F" w:rsidP="00BD1F8C">
            <w:pPr>
              <w:pStyle w:val="TAC"/>
            </w:pPr>
            <w:r>
              <w:t>663 – 698 MHz</w:t>
            </w:r>
          </w:p>
        </w:tc>
        <w:tc>
          <w:tcPr>
            <w:tcW w:w="879" w:type="dxa"/>
            <w:tcBorders>
              <w:top w:val="single" w:sz="4" w:space="0" w:color="auto"/>
              <w:left w:val="single" w:sz="4" w:space="0" w:color="auto"/>
              <w:bottom w:val="single" w:sz="4" w:space="0" w:color="auto"/>
              <w:right w:val="single" w:sz="4" w:space="0" w:color="auto"/>
            </w:tcBorders>
            <w:hideMark/>
          </w:tcPr>
          <w:p w14:paraId="109AE969"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21F91DD7"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6CFA7986"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60150143"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20DE63A6" w14:textId="77777777" w:rsidR="00B3234F" w:rsidRDefault="00B3234F" w:rsidP="00BD1F8C">
            <w:pPr>
              <w:pStyle w:val="TAC"/>
              <w:rPr>
                <w:rFonts w:cs="Arial"/>
              </w:rPr>
            </w:pPr>
          </w:p>
        </w:tc>
      </w:tr>
      <w:tr w:rsidR="00B3234F" w14:paraId="1465BA33"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84CF5B2" w14:textId="77777777" w:rsidR="00B3234F" w:rsidRDefault="00B3234F" w:rsidP="00BD1F8C">
            <w:pPr>
              <w:pStyle w:val="TAC"/>
            </w:pPr>
            <w:r>
              <w:t>E-UTRA Band 72</w:t>
            </w:r>
          </w:p>
        </w:tc>
        <w:tc>
          <w:tcPr>
            <w:tcW w:w="1996" w:type="dxa"/>
            <w:tcBorders>
              <w:top w:val="single" w:sz="4" w:space="0" w:color="auto"/>
              <w:left w:val="single" w:sz="4" w:space="0" w:color="auto"/>
              <w:bottom w:val="single" w:sz="4" w:space="0" w:color="auto"/>
              <w:right w:val="single" w:sz="4" w:space="0" w:color="auto"/>
            </w:tcBorders>
            <w:hideMark/>
          </w:tcPr>
          <w:p w14:paraId="6B7A8EC5" w14:textId="77777777" w:rsidR="00B3234F" w:rsidRDefault="00B3234F" w:rsidP="00BD1F8C">
            <w:pPr>
              <w:pStyle w:val="TAC"/>
            </w:pPr>
            <w:r>
              <w:t>451 – 456 MHz</w:t>
            </w:r>
          </w:p>
        </w:tc>
        <w:tc>
          <w:tcPr>
            <w:tcW w:w="879" w:type="dxa"/>
            <w:tcBorders>
              <w:top w:val="single" w:sz="4" w:space="0" w:color="auto"/>
              <w:left w:val="single" w:sz="4" w:space="0" w:color="auto"/>
              <w:bottom w:val="single" w:sz="4" w:space="0" w:color="auto"/>
              <w:right w:val="single" w:sz="4" w:space="0" w:color="auto"/>
            </w:tcBorders>
            <w:hideMark/>
          </w:tcPr>
          <w:p w14:paraId="57C404FD"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16004DA2"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24AEECA9"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65B9DAB2"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2607CD8F" w14:textId="77777777" w:rsidR="00B3234F" w:rsidRDefault="00B3234F" w:rsidP="00BD1F8C">
            <w:pPr>
              <w:pStyle w:val="TAC"/>
              <w:rPr>
                <w:rFonts w:cs="Arial"/>
              </w:rPr>
            </w:pPr>
          </w:p>
        </w:tc>
      </w:tr>
      <w:tr w:rsidR="00B3234F" w:rsidRPr="00AB3358" w14:paraId="3C4AC575"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DA4E270" w14:textId="77777777" w:rsidR="00B3234F" w:rsidRDefault="00B3234F" w:rsidP="00BD1F8C">
            <w:pPr>
              <w:pStyle w:val="TAC"/>
            </w:pPr>
            <w:r>
              <w:t>E-UTRA Band 74</w:t>
            </w:r>
            <w:r>
              <w:rPr>
                <w:lang w:eastAsia="ja-JP"/>
              </w:rPr>
              <w:t xml:space="preserve"> or NR Band n74</w:t>
            </w:r>
            <w:r>
              <w:t xml:space="preserve"> </w:t>
            </w:r>
          </w:p>
        </w:tc>
        <w:tc>
          <w:tcPr>
            <w:tcW w:w="1996" w:type="dxa"/>
            <w:tcBorders>
              <w:top w:val="single" w:sz="4" w:space="0" w:color="auto"/>
              <w:left w:val="single" w:sz="4" w:space="0" w:color="auto"/>
              <w:bottom w:val="single" w:sz="4" w:space="0" w:color="auto"/>
              <w:right w:val="single" w:sz="4" w:space="0" w:color="auto"/>
            </w:tcBorders>
            <w:hideMark/>
          </w:tcPr>
          <w:p w14:paraId="598FA719" w14:textId="77777777" w:rsidR="00B3234F" w:rsidRDefault="00B3234F" w:rsidP="00BD1F8C">
            <w:pPr>
              <w:pStyle w:val="TAC"/>
            </w:pPr>
            <w:r>
              <w:t>1427 – 1470 MHz</w:t>
            </w:r>
          </w:p>
        </w:tc>
        <w:tc>
          <w:tcPr>
            <w:tcW w:w="879" w:type="dxa"/>
            <w:tcBorders>
              <w:top w:val="single" w:sz="4" w:space="0" w:color="auto"/>
              <w:left w:val="single" w:sz="4" w:space="0" w:color="auto"/>
              <w:bottom w:val="single" w:sz="4" w:space="0" w:color="auto"/>
              <w:right w:val="single" w:sz="4" w:space="0" w:color="auto"/>
            </w:tcBorders>
            <w:hideMark/>
          </w:tcPr>
          <w:p w14:paraId="770A3DB3"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5EEDF124"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6948C852"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2839CE41"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hideMark/>
          </w:tcPr>
          <w:p w14:paraId="4CAA4CA2" w14:textId="77777777" w:rsidR="00B3234F" w:rsidRDefault="00B3234F" w:rsidP="00BD1F8C">
            <w:pPr>
              <w:pStyle w:val="TAC"/>
              <w:rPr>
                <w:rFonts w:cs="Arial"/>
              </w:rPr>
            </w:pPr>
          </w:p>
        </w:tc>
      </w:tr>
      <w:tr w:rsidR="00B3234F" w:rsidRPr="00AB3358" w14:paraId="19DFA575"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B85F4D8" w14:textId="77777777" w:rsidR="00B3234F" w:rsidRDefault="00B3234F" w:rsidP="00BD1F8C">
            <w:pPr>
              <w:pStyle w:val="TAC"/>
            </w:pPr>
            <w:r>
              <w:t>NR Band n77</w:t>
            </w:r>
          </w:p>
        </w:tc>
        <w:tc>
          <w:tcPr>
            <w:tcW w:w="1996" w:type="dxa"/>
            <w:tcBorders>
              <w:top w:val="single" w:sz="4" w:space="0" w:color="auto"/>
              <w:left w:val="single" w:sz="4" w:space="0" w:color="auto"/>
              <w:bottom w:val="single" w:sz="4" w:space="0" w:color="auto"/>
              <w:right w:val="single" w:sz="4" w:space="0" w:color="auto"/>
            </w:tcBorders>
            <w:hideMark/>
          </w:tcPr>
          <w:p w14:paraId="7D0EC60D" w14:textId="77777777" w:rsidR="00B3234F" w:rsidRDefault="00B3234F" w:rsidP="00BD1F8C">
            <w:pPr>
              <w:pStyle w:val="TAC"/>
            </w:pPr>
            <w:r>
              <w:t>3.3 – 4.2 GHz</w:t>
            </w:r>
          </w:p>
        </w:tc>
        <w:tc>
          <w:tcPr>
            <w:tcW w:w="879" w:type="dxa"/>
            <w:tcBorders>
              <w:top w:val="single" w:sz="4" w:space="0" w:color="auto"/>
              <w:left w:val="single" w:sz="4" w:space="0" w:color="auto"/>
              <w:bottom w:val="single" w:sz="4" w:space="0" w:color="auto"/>
              <w:right w:val="single" w:sz="4" w:space="0" w:color="auto"/>
            </w:tcBorders>
            <w:hideMark/>
          </w:tcPr>
          <w:p w14:paraId="3AD0DAC8"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79660072"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592C14CA"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0B26817F"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hideMark/>
          </w:tcPr>
          <w:p w14:paraId="5F429F21" w14:textId="77777777" w:rsidR="00B3234F" w:rsidRDefault="00B3234F" w:rsidP="00BD1F8C">
            <w:pPr>
              <w:pStyle w:val="TAC"/>
              <w:rPr>
                <w:rFonts w:cs="Arial"/>
              </w:rPr>
            </w:pPr>
            <w:r>
              <w:rPr>
                <w:rFonts w:cs="Arial"/>
              </w:rPr>
              <w:t>This is not applicable to IAB-DU and IAB-MT operating in Band n77 or n78</w:t>
            </w:r>
          </w:p>
        </w:tc>
      </w:tr>
      <w:tr w:rsidR="00B3234F" w:rsidRPr="00AB3358" w14:paraId="72B33D6F"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3DB45A2" w14:textId="77777777" w:rsidR="00B3234F" w:rsidRDefault="00B3234F" w:rsidP="00BD1F8C">
            <w:pPr>
              <w:pStyle w:val="TAC"/>
            </w:pPr>
            <w:r>
              <w:t>NR Band n78</w:t>
            </w:r>
          </w:p>
        </w:tc>
        <w:tc>
          <w:tcPr>
            <w:tcW w:w="1996" w:type="dxa"/>
            <w:tcBorders>
              <w:top w:val="single" w:sz="4" w:space="0" w:color="auto"/>
              <w:left w:val="single" w:sz="4" w:space="0" w:color="auto"/>
              <w:bottom w:val="single" w:sz="4" w:space="0" w:color="auto"/>
              <w:right w:val="single" w:sz="4" w:space="0" w:color="auto"/>
            </w:tcBorders>
            <w:hideMark/>
          </w:tcPr>
          <w:p w14:paraId="7E0B204E" w14:textId="77777777" w:rsidR="00B3234F" w:rsidRDefault="00B3234F" w:rsidP="00BD1F8C">
            <w:pPr>
              <w:pStyle w:val="TAC"/>
            </w:pPr>
            <w:r>
              <w:t>3.3 – 3.8 GHz</w:t>
            </w:r>
          </w:p>
        </w:tc>
        <w:tc>
          <w:tcPr>
            <w:tcW w:w="879" w:type="dxa"/>
            <w:tcBorders>
              <w:top w:val="single" w:sz="4" w:space="0" w:color="auto"/>
              <w:left w:val="single" w:sz="4" w:space="0" w:color="auto"/>
              <w:bottom w:val="single" w:sz="4" w:space="0" w:color="auto"/>
              <w:right w:val="single" w:sz="4" w:space="0" w:color="auto"/>
            </w:tcBorders>
            <w:hideMark/>
          </w:tcPr>
          <w:p w14:paraId="0BE342FB"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288D475D"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4EF78CC2"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09DFBD61"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hideMark/>
          </w:tcPr>
          <w:p w14:paraId="6770EFFA" w14:textId="77777777" w:rsidR="00B3234F" w:rsidRDefault="00B3234F" w:rsidP="00BD1F8C">
            <w:pPr>
              <w:pStyle w:val="TAC"/>
              <w:rPr>
                <w:rFonts w:cs="Arial"/>
              </w:rPr>
            </w:pPr>
            <w:r>
              <w:rPr>
                <w:rFonts w:cs="Arial"/>
              </w:rPr>
              <w:t>This is not applicable to IAB-DU and IAB-MT operating in Band n77 or n78</w:t>
            </w:r>
          </w:p>
        </w:tc>
      </w:tr>
      <w:tr w:rsidR="00B3234F" w14:paraId="468A1479"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148AF94" w14:textId="77777777" w:rsidR="00B3234F" w:rsidRDefault="00B3234F" w:rsidP="00BD1F8C">
            <w:pPr>
              <w:pStyle w:val="TAC"/>
            </w:pPr>
            <w:r>
              <w:t>NR Band n79</w:t>
            </w:r>
          </w:p>
        </w:tc>
        <w:tc>
          <w:tcPr>
            <w:tcW w:w="1996" w:type="dxa"/>
            <w:tcBorders>
              <w:top w:val="single" w:sz="4" w:space="0" w:color="auto"/>
              <w:left w:val="single" w:sz="4" w:space="0" w:color="auto"/>
              <w:bottom w:val="single" w:sz="4" w:space="0" w:color="auto"/>
              <w:right w:val="single" w:sz="4" w:space="0" w:color="auto"/>
            </w:tcBorders>
            <w:hideMark/>
          </w:tcPr>
          <w:p w14:paraId="3C849C1B" w14:textId="77777777" w:rsidR="00B3234F" w:rsidRDefault="00B3234F" w:rsidP="00BD1F8C">
            <w:pPr>
              <w:pStyle w:val="TAC"/>
            </w:pPr>
            <w:r>
              <w:t>4.4 – 5.0 GHz</w:t>
            </w:r>
          </w:p>
        </w:tc>
        <w:tc>
          <w:tcPr>
            <w:tcW w:w="879" w:type="dxa"/>
            <w:tcBorders>
              <w:top w:val="single" w:sz="4" w:space="0" w:color="auto"/>
              <w:left w:val="single" w:sz="4" w:space="0" w:color="auto"/>
              <w:bottom w:val="single" w:sz="4" w:space="0" w:color="auto"/>
              <w:right w:val="single" w:sz="4" w:space="0" w:color="auto"/>
            </w:tcBorders>
            <w:hideMark/>
          </w:tcPr>
          <w:p w14:paraId="46657B65"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3E3BA563"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11449CB0"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103BB7A0"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5E0024A1" w14:textId="77777777" w:rsidR="00B3234F" w:rsidRDefault="00B3234F" w:rsidP="00BD1F8C">
            <w:pPr>
              <w:pStyle w:val="TAC"/>
              <w:rPr>
                <w:rFonts w:cs="Arial"/>
              </w:rPr>
            </w:pPr>
            <w:r>
              <w:rPr>
                <w:rFonts w:cs="Arial"/>
              </w:rPr>
              <w:t>This is not applicable to IAB-DU and IAB-MT operating in Band n79</w:t>
            </w:r>
          </w:p>
        </w:tc>
      </w:tr>
      <w:tr w:rsidR="00B3234F" w14:paraId="3BEA42A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A403395" w14:textId="77777777" w:rsidR="00B3234F" w:rsidRDefault="00B3234F" w:rsidP="00BD1F8C">
            <w:pPr>
              <w:pStyle w:val="TAC"/>
            </w:pPr>
            <w:r>
              <w:t>NR Band n80</w:t>
            </w:r>
          </w:p>
        </w:tc>
        <w:tc>
          <w:tcPr>
            <w:tcW w:w="1996" w:type="dxa"/>
            <w:tcBorders>
              <w:top w:val="single" w:sz="4" w:space="0" w:color="auto"/>
              <w:left w:val="single" w:sz="4" w:space="0" w:color="auto"/>
              <w:bottom w:val="single" w:sz="4" w:space="0" w:color="auto"/>
              <w:right w:val="single" w:sz="4" w:space="0" w:color="auto"/>
            </w:tcBorders>
            <w:hideMark/>
          </w:tcPr>
          <w:p w14:paraId="4C07BBDC" w14:textId="77777777" w:rsidR="00B3234F" w:rsidRDefault="00B3234F" w:rsidP="00BD1F8C">
            <w:pPr>
              <w:pStyle w:val="TAC"/>
            </w:pPr>
            <w:r>
              <w:t>1710 – 1785 MHz</w:t>
            </w:r>
          </w:p>
        </w:tc>
        <w:tc>
          <w:tcPr>
            <w:tcW w:w="879" w:type="dxa"/>
            <w:tcBorders>
              <w:top w:val="single" w:sz="4" w:space="0" w:color="auto"/>
              <w:left w:val="single" w:sz="4" w:space="0" w:color="auto"/>
              <w:bottom w:val="single" w:sz="4" w:space="0" w:color="auto"/>
              <w:right w:val="single" w:sz="4" w:space="0" w:color="auto"/>
            </w:tcBorders>
            <w:hideMark/>
          </w:tcPr>
          <w:p w14:paraId="5FBED3DE"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36D2C989"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4F8A5719"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093C3B1E"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66B4A9FD" w14:textId="77777777" w:rsidR="00B3234F" w:rsidRDefault="00B3234F" w:rsidP="00BD1F8C">
            <w:pPr>
              <w:pStyle w:val="TAC"/>
              <w:rPr>
                <w:rFonts w:cs="Arial"/>
              </w:rPr>
            </w:pPr>
          </w:p>
        </w:tc>
      </w:tr>
      <w:tr w:rsidR="00B3234F" w14:paraId="178CFA2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50CB2AD" w14:textId="77777777" w:rsidR="00B3234F" w:rsidRDefault="00B3234F" w:rsidP="00BD1F8C">
            <w:pPr>
              <w:pStyle w:val="TAC"/>
            </w:pPr>
            <w:r>
              <w:t>NR Band n81</w:t>
            </w:r>
          </w:p>
        </w:tc>
        <w:tc>
          <w:tcPr>
            <w:tcW w:w="1996" w:type="dxa"/>
            <w:tcBorders>
              <w:top w:val="single" w:sz="4" w:space="0" w:color="auto"/>
              <w:left w:val="single" w:sz="4" w:space="0" w:color="auto"/>
              <w:bottom w:val="single" w:sz="4" w:space="0" w:color="auto"/>
              <w:right w:val="single" w:sz="4" w:space="0" w:color="auto"/>
            </w:tcBorders>
            <w:hideMark/>
          </w:tcPr>
          <w:p w14:paraId="732F69CA" w14:textId="77777777" w:rsidR="00B3234F" w:rsidRDefault="00B3234F" w:rsidP="00BD1F8C">
            <w:pPr>
              <w:pStyle w:val="TAC"/>
            </w:pPr>
            <w:r>
              <w:t>880 – 915 MHz</w:t>
            </w:r>
          </w:p>
        </w:tc>
        <w:tc>
          <w:tcPr>
            <w:tcW w:w="879" w:type="dxa"/>
            <w:tcBorders>
              <w:top w:val="single" w:sz="4" w:space="0" w:color="auto"/>
              <w:left w:val="single" w:sz="4" w:space="0" w:color="auto"/>
              <w:bottom w:val="single" w:sz="4" w:space="0" w:color="auto"/>
              <w:right w:val="single" w:sz="4" w:space="0" w:color="auto"/>
            </w:tcBorders>
            <w:hideMark/>
          </w:tcPr>
          <w:p w14:paraId="7CFA6D81"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2E47E946"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17CCDC34"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29286C17"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0EC786D9" w14:textId="77777777" w:rsidR="00B3234F" w:rsidRDefault="00B3234F" w:rsidP="00BD1F8C">
            <w:pPr>
              <w:pStyle w:val="TAC"/>
              <w:rPr>
                <w:rFonts w:cs="Arial"/>
              </w:rPr>
            </w:pPr>
          </w:p>
        </w:tc>
      </w:tr>
      <w:tr w:rsidR="00B3234F" w14:paraId="7A9B249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665F41A" w14:textId="77777777" w:rsidR="00B3234F" w:rsidRDefault="00B3234F" w:rsidP="00BD1F8C">
            <w:pPr>
              <w:pStyle w:val="TAC"/>
            </w:pPr>
            <w:r>
              <w:t>NR Band n82</w:t>
            </w:r>
          </w:p>
        </w:tc>
        <w:tc>
          <w:tcPr>
            <w:tcW w:w="1996" w:type="dxa"/>
            <w:tcBorders>
              <w:top w:val="single" w:sz="4" w:space="0" w:color="auto"/>
              <w:left w:val="single" w:sz="4" w:space="0" w:color="auto"/>
              <w:bottom w:val="single" w:sz="4" w:space="0" w:color="auto"/>
              <w:right w:val="single" w:sz="4" w:space="0" w:color="auto"/>
            </w:tcBorders>
            <w:hideMark/>
          </w:tcPr>
          <w:p w14:paraId="605250ED" w14:textId="77777777" w:rsidR="00B3234F" w:rsidRDefault="00B3234F" w:rsidP="00BD1F8C">
            <w:pPr>
              <w:pStyle w:val="TAC"/>
            </w:pPr>
            <w:r>
              <w:t>832 – 862 MHz</w:t>
            </w:r>
          </w:p>
        </w:tc>
        <w:tc>
          <w:tcPr>
            <w:tcW w:w="879" w:type="dxa"/>
            <w:tcBorders>
              <w:top w:val="single" w:sz="4" w:space="0" w:color="auto"/>
              <w:left w:val="single" w:sz="4" w:space="0" w:color="auto"/>
              <w:bottom w:val="single" w:sz="4" w:space="0" w:color="auto"/>
              <w:right w:val="single" w:sz="4" w:space="0" w:color="auto"/>
            </w:tcBorders>
            <w:hideMark/>
          </w:tcPr>
          <w:p w14:paraId="50F778E0"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40E50EFA"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2E7C7259"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773B9EE3"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454B7382" w14:textId="77777777" w:rsidR="00B3234F" w:rsidRDefault="00B3234F" w:rsidP="00BD1F8C">
            <w:pPr>
              <w:pStyle w:val="TAC"/>
              <w:rPr>
                <w:rFonts w:cs="Arial"/>
              </w:rPr>
            </w:pPr>
          </w:p>
        </w:tc>
      </w:tr>
      <w:tr w:rsidR="00B3234F" w14:paraId="20CEC6CF"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CD83B1B" w14:textId="77777777" w:rsidR="00B3234F" w:rsidRDefault="00B3234F" w:rsidP="00BD1F8C">
            <w:pPr>
              <w:pStyle w:val="TAC"/>
            </w:pPr>
            <w:r>
              <w:t>NR Band n83</w:t>
            </w:r>
          </w:p>
        </w:tc>
        <w:tc>
          <w:tcPr>
            <w:tcW w:w="1996" w:type="dxa"/>
            <w:tcBorders>
              <w:top w:val="single" w:sz="4" w:space="0" w:color="auto"/>
              <w:left w:val="single" w:sz="4" w:space="0" w:color="auto"/>
              <w:bottom w:val="single" w:sz="4" w:space="0" w:color="auto"/>
              <w:right w:val="single" w:sz="4" w:space="0" w:color="auto"/>
            </w:tcBorders>
            <w:hideMark/>
          </w:tcPr>
          <w:p w14:paraId="7E604AC1" w14:textId="77777777" w:rsidR="00B3234F" w:rsidRDefault="00B3234F" w:rsidP="00BD1F8C">
            <w:pPr>
              <w:pStyle w:val="TAC"/>
            </w:pPr>
            <w:r>
              <w:t>703 – 748 MHz</w:t>
            </w:r>
          </w:p>
        </w:tc>
        <w:tc>
          <w:tcPr>
            <w:tcW w:w="879" w:type="dxa"/>
            <w:tcBorders>
              <w:top w:val="single" w:sz="4" w:space="0" w:color="auto"/>
              <w:left w:val="single" w:sz="4" w:space="0" w:color="auto"/>
              <w:bottom w:val="single" w:sz="4" w:space="0" w:color="auto"/>
              <w:right w:val="single" w:sz="4" w:space="0" w:color="auto"/>
            </w:tcBorders>
            <w:hideMark/>
          </w:tcPr>
          <w:p w14:paraId="4F20C70C"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3780F7CB"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69AEF7D1"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7865FB4B"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7B665B70" w14:textId="77777777" w:rsidR="00B3234F" w:rsidRDefault="00B3234F" w:rsidP="00BD1F8C">
            <w:pPr>
              <w:pStyle w:val="TAC"/>
              <w:rPr>
                <w:rFonts w:cs="Arial"/>
              </w:rPr>
            </w:pPr>
          </w:p>
        </w:tc>
      </w:tr>
      <w:tr w:rsidR="00B3234F" w14:paraId="58DFEDE8"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7ADB510" w14:textId="77777777" w:rsidR="00B3234F" w:rsidRDefault="00B3234F" w:rsidP="00BD1F8C">
            <w:pPr>
              <w:pStyle w:val="TAC"/>
            </w:pPr>
            <w:r>
              <w:t>NR Band n84</w:t>
            </w:r>
          </w:p>
        </w:tc>
        <w:tc>
          <w:tcPr>
            <w:tcW w:w="1996" w:type="dxa"/>
            <w:tcBorders>
              <w:top w:val="single" w:sz="4" w:space="0" w:color="auto"/>
              <w:left w:val="single" w:sz="4" w:space="0" w:color="auto"/>
              <w:bottom w:val="single" w:sz="4" w:space="0" w:color="auto"/>
              <w:right w:val="single" w:sz="4" w:space="0" w:color="auto"/>
            </w:tcBorders>
            <w:hideMark/>
          </w:tcPr>
          <w:p w14:paraId="1E07F3B1" w14:textId="77777777" w:rsidR="00B3234F" w:rsidRDefault="00B3234F" w:rsidP="00BD1F8C">
            <w:pPr>
              <w:pStyle w:val="TAC"/>
            </w:pPr>
            <w:r>
              <w:t>1920 – 1980 MHz</w:t>
            </w:r>
          </w:p>
        </w:tc>
        <w:tc>
          <w:tcPr>
            <w:tcW w:w="879" w:type="dxa"/>
            <w:tcBorders>
              <w:top w:val="single" w:sz="4" w:space="0" w:color="auto"/>
              <w:left w:val="single" w:sz="4" w:space="0" w:color="auto"/>
              <w:bottom w:val="single" w:sz="4" w:space="0" w:color="auto"/>
              <w:right w:val="single" w:sz="4" w:space="0" w:color="auto"/>
            </w:tcBorders>
            <w:hideMark/>
          </w:tcPr>
          <w:p w14:paraId="321C8EB7"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0C9BCBEA"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4FEA83C8"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72CE7D33"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76A5FCCB" w14:textId="77777777" w:rsidR="00B3234F" w:rsidRDefault="00B3234F" w:rsidP="00BD1F8C">
            <w:pPr>
              <w:pStyle w:val="TAC"/>
              <w:rPr>
                <w:rFonts w:cs="Arial"/>
              </w:rPr>
            </w:pPr>
          </w:p>
        </w:tc>
      </w:tr>
      <w:tr w:rsidR="00B3234F" w14:paraId="3C16F41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21B6C85B" w14:textId="7C50022E" w:rsidR="00B3234F" w:rsidRDefault="00DC1FD1" w:rsidP="00BD1F8C">
            <w:pPr>
              <w:pStyle w:val="TAC"/>
            </w:pPr>
            <w:r>
              <w:t>E-UTRA Band 85 or NR Band 85</w:t>
            </w:r>
          </w:p>
        </w:tc>
        <w:tc>
          <w:tcPr>
            <w:tcW w:w="1996" w:type="dxa"/>
            <w:tcBorders>
              <w:top w:val="single" w:sz="4" w:space="0" w:color="auto"/>
              <w:left w:val="single" w:sz="4" w:space="0" w:color="auto"/>
              <w:bottom w:val="single" w:sz="4" w:space="0" w:color="auto"/>
              <w:right w:val="single" w:sz="4" w:space="0" w:color="auto"/>
            </w:tcBorders>
            <w:hideMark/>
          </w:tcPr>
          <w:p w14:paraId="7C31142F" w14:textId="77777777" w:rsidR="00B3234F" w:rsidRDefault="00B3234F" w:rsidP="00BD1F8C">
            <w:pPr>
              <w:pStyle w:val="TAC"/>
            </w:pPr>
            <w:r>
              <w:t>698 – 716 MHz</w:t>
            </w:r>
          </w:p>
        </w:tc>
        <w:tc>
          <w:tcPr>
            <w:tcW w:w="879" w:type="dxa"/>
            <w:tcBorders>
              <w:top w:val="single" w:sz="4" w:space="0" w:color="auto"/>
              <w:left w:val="single" w:sz="4" w:space="0" w:color="auto"/>
              <w:bottom w:val="single" w:sz="4" w:space="0" w:color="auto"/>
              <w:right w:val="single" w:sz="4" w:space="0" w:color="auto"/>
            </w:tcBorders>
            <w:hideMark/>
          </w:tcPr>
          <w:p w14:paraId="01E05A12"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16EC15EB"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7A11A6BF"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1236DE15"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5DF2864C" w14:textId="77777777" w:rsidR="00B3234F" w:rsidRDefault="00B3234F" w:rsidP="00BD1F8C">
            <w:pPr>
              <w:pStyle w:val="TAC"/>
              <w:rPr>
                <w:rFonts w:cs="Arial"/>
              </w:rPr>
            </w:pPr>
          </w:p>
        </w:tc>
      </w:tr>
      <w:tr w:rsidR="00B3234F" w14:paraId="48D41A80"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579DFD93" w14:textId="77777777" w:rsidR="00B3234F" w:rsidRDefault="00B3234F" w:rsidP="00BD1F8C">
            <w:pPr>
              <w:pStyle w:val="TAC"/>
            </w:pPr>
            <w:r>
              <w:t>NR Band n86</w:t>
            </w:r>
          </w:p>
        </w:tc>
        <w:tc>
          <w:tcPr>
            <w:tcW w:w="1996" w:type="dxa"/>
            <w:tcBorders>
              <w:top w:val="single" w:sz="4" w:space="0" w:color="auto"/>
              <w:left w:val="single" w:sz="4" w:space="0" w:color="auto"/>
              <w:bottom w:val="single" w:sz="4" w:space="0" w:color="auto"/>
              <w:right w:val="single" w:sz="4" w:space="0" w:color="auto"/>
            </w:tcBorders>
            <w:hideMark/>
          </w:tcPr>
          <w:p w14:paraId="6315E297" w14:textId="77777777" w:rsidR="00B3234F" w:rsidRDefault="00B3234F" w:rsidP="00BD1F8C">
            <w:pPr>
              <w:pStyle w:val="TAC"/>
            </w:pPr>
            <w:r>
              <w:t>1710 – 1780 MHz</w:t>
            </w:r>
          </w:p>
        </w:tc>
        <w:tc>
          <w:tcPr>
            <w:tcW w:w="879" w:type="dxa"/>
            <w:tcBorders>
              <w:top w:val="single" w:sz="4" w:space="0" w:color="auto"/>
              <w:left w:val="single" w:sz="4" w:space="0" w:color="auto"/>
              <w:bottom w:val="single" w:sz="4" w:space="0" w:color="auto"/>
              <w:right w:val="single" w:sz="4" w:space="0" w:color="auto"/>
            </w:tcBorders>
            <w:hideMark/>
          </w:tcPr>
          <w:p w14:paraId="59A2B42A" w14:textId="77777777" w:rsidR="00B3234F" w:rsidRDefault="00B3234F" w:rsidP="00BD1F8C">
            <w:pPr>
              <w:pStyle w:val="TAC"/>
            </w:pPr>
            <w:r>
              <w:t>-96 dBm</w:t>
            </w:r>
          </w:p>
        </w:tc>
        <w:tc>
          <w:tcPr>
            <w:tcW w:w="879" w:type="dxa"/>
            <w:tcBorders>
              <w:top w:val="single" w:sz="4" w:space="0" w:color="auto"/>
              <w:left w:val="single" w:sz="4" w:space="0" w:color="auto"/>
              <w:bottom w:val="single" w:sz="4" w:space="0" w:color="auto"/>
              <w:right w:val="single" w:sz="4" w:space="0" w:color="auto"/>
            </w:tcBorders>
            <w:hideMark/>
          </w:tcPr>
          <w:p w14:paraId="51E68C05" w14:textId="77777777" w:rsidR="00B3234F" w:rsidRDefault="00B3234F" w:rsidP="00BD1F8C">
            <w:pPr>
              <w:pStyle w:val="TAC"/>
            </w:pPr>
            <w:r>
              <w:t>-91 dBm</w:t>
            </w:r>
          </w:p>
        </w:tc>
        <w:tc>
          <w:tcPr>
            <w:tcW w:w="880" w:type="dxa"/>
            <w:tcBorders>
              <w:top w:val="single" w:sz="4" w:space="0" w:color="auto"/>
              <w:left w:val="single" w:sz="4" w:space="0" w:color="auto"/>
              <w:bottom w:val="single" w:sz="4" w:space="0" w:color="auto"/>
              <w:right w:val="single" w:sz="4" w:space="0" w:color="auto"/>
            </w:tcBorders>
            <w:hideMark/>
          </w:tcPr>
          <w:p w14:paraId="149670B7" w14:textId="77777777" w:rsidR="00B3234F" w:rsidRDefault="00B3234F" w:rsidP="00BD1F8C">
            <w:pPr>
              <w:pStyle w:val="TAC"/>
            </w:pPr>
            <w:r>
              <w:t>-88 dBm</w:t>
            </w:r>
          </w:p>
        </w:tc>
        <w:tc>
          <w:tcPr>
            <w:tcW w:w="1414" w:type="dxa"/>
            <w:tcBorders>
              <w:top w:val="single" w:sz="4" w:space="0" w:color="auto"/>
              <w:left w:val="single" w:sz="4" w:space="0" w:color="auto"/>
              <w:bottom w:val="single" w:sz="4" w:space="0" w:color="auto"/>
              <w:right w:val="single" w:sz="4" w:space="0" w:color="auto"/>
            </w:tcBorders>
            <w:hideMark/>
          </w:tcPr>
          <w:p w14:paraId="6A6EC83D" w14:textId="77777777" w:rsidR="00B3234F" w:rsidRDefault="00B3234F" w:rsidP="00BD1F8C">
            <w:pPr>
              <w:pStyle w:val="TAC"/>
            </w:pPr>
            <w:r>
              <w:t>100 kHz</w:t>
            </w:r>
          </w:p>
        </w:tc>
        <w:tc>
          <w:tcPr>
            <w:tcW w:w="1606" w:type="dxa"/>
            <w:tcBorders>
              <w:top w:val="single" w:sz="4" w:space="0" w:color="auto"/>
              <w:left w:val="single" w:sz="4" w:space="0" w:color="auto"/>
              <w:bottom w:val="single" w:sz="4" w:space="0" w:color="auto"/>
              <w:right w:val="single" w:sz="4" w:space="0" w:color="auto"/>
            </w:tcBorders>
          </w:tcPr>
          <w:p w14:paraId="3704A8FF" w14:textId="77777777" w:rsidR="00B3234F" w:rsidRDefault="00B3234F" w:rsidP="00BD1F8C">
            <w:pPr>
              <w:pStyle w:val="TAC"/>
              <w:rPr>
                <w:rFonts w:cs="Arial"/>
              </w:rPr>
            </w:pPr>
          </w:p>
        </w:tc>
      </w:tr>
      <w:tr w:rsidR="00B3234F" w14:paraId="0A4B55B2"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C096E81" w14:textId="77777777" w:rsidR="00B3234F" w:rsidRDefault="00B3234F" w:rsidP="00BD1F8C">
            <w:pPr>
              <w:pStyle w:val="TAC"/>
            </w:pPr>
            <w:r>
              <w:t>NR Band n89</w:t>
            </w:r>
          </w:p>
        </w:tc>
        <w:tc>
          <w:tcPr>
            <w:tcW w:w="1996" w:type="dxa"/>
            <w:tcBorders>
              <w:top w:val="single" w:sz="4" w:space="0" w:color="auto"/>
              <w:left w:val="single" w:sz="4" w:space="0" w:color="auto"/>
              <w:bottom w:val="single" w:sz="4" w:space="0" w:color="auto"/>
              <w:right w:val="single" w:sz="4" w:space="0" w:color="auto"/>
            </w:tcBorders>
            <w:hideMark/>
          </w:tcPr>
          <w:p w14:paraId="60E101B6" w14:textId="77777777" w:rsidR="00B3234F" w:rsidRDefault="00B3234F" w:rsidP="00BD1F8C">
            <w:pPr>
              <w:pStyle w:val="TAC"/>
            </w:pPr>
            <w:r>
              <w:rPr>
                <w:rFonts w:cs="Arial"/>
              </w:rPr>
              <w:t>824 – 849 MHz</w:t>
            </w:r>
          </w:p>
        </w:tc>
        <w:tc>
          <w:tcPr>
            <w:tcW w:w="879" w:type="dxa"/>
            <w:tcBorders>
              <w:top w:val="single" w:sz="4" w:space="0" w:color="auto"/>
              <w:left w:val="single" w:sz="4" w:space="0" w:color="auto"/>
              <w:bottom w:val="single" w:sz="4" w:space="0" w:color="auto"/>
              <w:right w:val="single" w:sz="4" w:space="0" w:color="auto"/>
            </w:tcBorders>
            <w:hideMark/>
          </w:tcPr>
          <w:p w14:paraId="330B7B75" w14:textId="77777777" w:rsidR="00B3234F" w:rsidRDefault="00B3234F" w:rsidP="00BD1F8C">
            <w:pPr>
              <w:pStyle w:val="TAC"/>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A8C1743" w14:textId="77777777" w:rsidR="00B3234F" w:rsidRDefault="00B3234F" w:rsidP="00BD1F8C">
            <w:pPr>
              <w:pStyle w:val="TAC"/>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4B65446C" w14:textId="77777777" w:rsidR="00B3234F" w:rsidRDefault="00B3234F" w:rsidP="00BD1F8C">
            <w:pPr>
              <w:pStyle w:val="TAC"/>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06FED055" w14:textId="77777777" w:rsidR="00B3234F" w:rsidRDefault="00B3234F" w:rsidP="00BD1F8C">
            <w:pPr>
              <w:pStyle w:val="TAC"/>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88B1256" w14:textId="77777777" w:rsidR="00B3234F" w:rsidRDefault="00B3234F" w:rsidP="00BD1F8C">
            <w:pPr>
              <w:pStyle w:val="TAC"/>
              <w:rPr>
                <w:rFonts w:cs="Arial"/>
              </w:rPr>
            </w:pPr>
          </w:p>
        </w:tc>
      </w:tr>
      <w:tr w:rsidR="00B3234F" w14:paraId="582C6C6C"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0723493C" w14:textId="77777777" w:rsidR="00B3234F" w:rsidRDefault="00B3234F" w:rsidP="00BD1F8C">
            <w:pPr>
              <w:pStyle w:val="TAC"/>
            </w:pPr>
            <w:r>
              <w:t>NR Band n91</w:t>
            </w:r>
          </w:p>
        </w:tc>
        <w:tc>
          <w:tcPr>
            <w:tcW w:w="1996" w:type="dxa"/>
            <w:tcBorders>
              <w:top w:val="single" w:sz="4" w:space="0" w:color="auto"/>
              <w:left w:val="single" w:sz="4" w:space="0" w:color="auto"/>
              <w:bottom w:val="single" w:sz="4" w:space="0" w:color="auto"/>
              <w:right w:val="single" w:sz="4" w:space="0" w:color="auto"/>
            </w:tcBorders>
            <w:hideMark/>
          </w:tcPr>
          <w:p w14:paraId="6FBD45C8" w14:textId="77777777" w:rsidR="00B3234F" w:rsidRDefault="00B3234F" w:rsidP="00BD1F8C">
            <w:pPr>
              <w:pStyle w:val="TAC"/>
              <w:rPr>
                <w:rFonts w:cs="Arial"/>
              </w:rPr>
            </w:pPr>
            <w:r>
              <w:rPr>
                <w:rFonts w:cs="Arial"/>
              </w:rPr>
              <w:t>832 – 862 MHz</w:t>
            </w:r>
          </w:p>
        </w:tc>
        <w:tc>
          <w:tcPr>
            <w:tcW w:w="879" w:type="dxa"/>
            <w:tcBorders>
              <w:top w:val="single" w:sz="4" w:space="0" w:color="auto"/>
              <w:left w:val="single" w:sz="4" w:space="0" w:color="auto"/>
              <w:bottom w:val="single" w:sz="4" w:space="0" w:color="auto"/>
              <w:right w:val="single" w:sz="4" w:space="0" w:color="auto"/>
            </w:tcBorders>
            <w:hideMark/>
          </w:tcPr>
          <w:p w14:paraId="4B2AF255" w14:textId="77777777" w:rsidR="00B3234F" w:rsidRDefault="00B3234F" w:rsidP="00BD1F8C">
            <w:pPr>
              <w:pStyle w:val="TAC"/>
              <w:rPr>
                <w:rFonts w:cs="Arial"/>
              </w:rPr>
            </w:pPr>
            <w:r>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hideMark/>
          </w:tcPr>
          <w:p w14:paraId="499F7747" w14:textId="77777777" w:rsidR="00B3234F" w:rsidRDefault="00B3234F" w:rsidP="00BD1F8C">
            <w:pPr>
              <w:pStyle w:val="TAC"/>
              <w:rPr>
                <w:rFonts w:cs="v5.0.0"/>
              </w:rPr>
            </w:pPr>
            <w:r>
              <w:rPr>
                <w:rFonts w:cs="Arial"/>
                <w:lang w:eastAsia="ja-JP"/>
              </w:rPr>
              <w:t>N/A</w:t>
            </w:r>
          </w:p>
        </w:tc>
        <w:tc>
          <w:tcPr>
            <w:tcW w:w="880" w:type="dxa"/>
            <w:tcBorders>
              <w:top w:val="single" w:sz="4" w:space="0" w:color="auto"/>
              <w:left w:val="single" w:sz="4" w:space="0" w:color="auto"/>
              <w:bottom w:val="single" w:sz="4" w:space="0" w:color="auto"/>
              <w:right w:val="single" w:sz="4" w:space="0" w:color="auto"/>
            </w:tcBorders>
            <w:hideMark/>
          </w:tcPr>
          <w:p w14:paraId="05AFB4D1"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40B8571F"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AF305A4" w14:textId="77777777" w:rsidR="00B3234F" w:rsidRDefault="00B3234F" w:rsidP="00BD1F8C">
            <w:pPr>
              <w:pStyle w:val="TAC"/>
              <w:rPr>
                <w:rFonts w:cs="Arial"/>
              </w:rPr>
            </w:pPr>
          </w:p>
        </w:tc>
      </w:tr>
      <w:tr w:rsidR="00B3234F" w14:paraId="1F32C2EA"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3B485136" w14:textId="77777777" w:rsidR="00B3234F" w:rsidRDefault="00B3234F" w:rsidP="00BD1F8C">
            <w:pPr>
              <w:pStyle w:val="TAC"/>
            </w:pPr>
            <w:r>
              <w:t>NR Band n92</w:t>
            </w:r>
          </w:p>
        </w:tc>
        <w:tc>
          <w:tcPr>
            <w:tcW w:w="1996" w:type="dxa"/>
            <w:tcBorders>
              <w:top w:val="single" w:sz="4" w:space="0" w:color="auto"/>
              <w:left w:val="single" w:sz="4" w:space="0" w:color="auto"/>
              <w:bottom w:val="single" w:sz="4" w:space="0" w:color="auto"/>
              <w:right w:val="single" w:sz="4" w:space="0" w:color="auto"/>
            </w:tcBorders>
            <w:hideMark/>
          </w:tcPr>
          <w:p w14:paraId="6060669F" w14:textId="77777777" w:rsidR="00B3234F" w:rsidRDefault="00B3234F" w:rsidP="00BD1F8C">
            <w:pPr>
              <w:pStyle w:val="TAC"/>
              <w:rPr>
                <w:rFonts w:cs="Arial"/>
              </w:rPr>
            </w:pPr>
            <w:r>
              <w:rPr>
                <w:rFonts w:cs="Arial"/>
              </w:rPr>
              <w:t>832 – 862 MHz</w:t>
            </w:r>
          </w:p>
        </w:tc>
        <w:tc>
          <w:tcPr>
            <w:tcW w:w="879" w:type="dxa"/>
            <w:tcBorders>
              <w:top w:val="single" w:sz="4" w:space="0" w:color="auto"/>
              <w:left w:val="single" w:sz="4" w:space="0" w:color="auto"/>
              <w:bottom w:val="single" w:sz="4" w:space="0" w:color="auto"/>
              <w:right w:val="single" w:sz="4" w:space="0" w:color="auto"/>
            </w:tcBorders>
            <w:hideMark/>
          </w:tcPr>
          <w:p w14:paraId="6D4DD214"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5D812DD1" w14:textId="77777777" w:rsidR="00B3234F" w:rsidRDefault="00B3234F" w:rsidP="00BD1F8C">
            <w:pPr>
              <w:pStyle w:val="TAC"/>
              <w:rPr>
                <w:rFonts w:cs="v5.0.0"/>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3FC7A223"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68A3F22D"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48EA3E7" w14:textId="77777777" w:rsidR="00B3234F" w:rsidRDefault="00B3234F" w:rsidP="00BD1F8C">
            <w:pPr>
              <w:pStyle w:val="TAC"/>
              <w:rPr>
                <w:rFonts w:cs="Arial"/>
              </w:rPr>
            </w:pPr>
          </w:p>
        </w:tc>
      </w:tr>
      <w:tr w:rsidR="00B3234F" w14:paraId="3A3A59DD"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796C575B" w14:textId="77777777" w:rsidR="00B3234F" w:rsidRDefault="00B3234F" w:rsidP="00BD1F8C">
            <w:pPr>
              <w:pStyle w:val="TAC"/>
            </w:pPr>
            <w:r>
              <w:t>NR Band n93</w:t>
            </w:r>
          </w:p>
        </w:tc>
        <w:tc>
          <w:tcPr>
            <w:tcW w:w="1996" w:type="dxa"/>
            <w:tcBorders>
              <w:top w:val="single" w:sz="4" w:space="0" w:color="auto"/>
              <w:left w:val="single" w:sz="4" w:space="0" w:color="auto"/>
              <w:bottom w:val="single" w:sz="4" w:space="0" w:color="auto"/>
              <w:right w:val="single" w:sz="4" w:space="0" w:color="auto"/>
            </w:tcBorders>
            <w:hideMark/>
          </w:tcPr>
          <w:p w14:paraId="4C6041C8" w14:textId="77777777" w:rsidR="00B3234F" w:rsidRDefault="00B3234F" w:rsidP="00BD1F8C">
            <w:pPr>
              <w:pStyle w:val="TAC"/>
              <w:rPr>
                <w:rFonts w:cs="Arial"/>
              </w:rPr>
            </w:pPr>
            <w:r>
              <w:rPr>
                <w:rFonts w:cs="Arial"/>
              </w:rPr>
              <w:t>880 – 915 MHz</w:t>
            </w:r>
          </w:p>
        </w:tc>
        <w:tc>
          <w:tcPr>
            <w:tcW w:w="879" w:type="dxa"/>
            <w:tcBorders>
              <w:top w:val="single" w:sz="4" w:space="0" w:color="auto"/>
              <w:left w:val="single" w:sz="4" w:space="0" w:color="auto"/>
              <w:bottom w:val="single" w:sz="4" w:space="0" w:color="auto"/>
              <w:right w:val="single" w:sz="4" w:space="0" w:color="auto"/>
            </w:tcBorders>
            <w:hideMark/>
          </w:tcPr>
          <w:p w14:paraId="23C87C16" w14:textId="77777777" w:rsidR="00B3234F" w:rsidRDefault="00B3234F" w:rsidP="00BD1F8C">
            <w:pPr>
              <w:pStyle w:val="TAC"/>
              <w:rPr>
                <w:rFonts w:cs="Arial"/>
              </w:rPr>
            </w:pPr>
            <w:r>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hideMark/>
          </w:tcPr>
          <w:p w14:paraId="5D4D1715" w14:textId="77777777" w:rsidR="00B3234F" w:rsidRDefault="00B3234F" w:rsidP="00BD1F8C">
            <w:pPr>
              <w:pStyle w:val="TAC"/>
              <w:rPr>
                <w:rFonts w:cs="v5.0.0"/>
              </w:rPr>
            </w:pPr>
            <w:r>
              <w:rPr>
                <w:rFonts w:cs="Arial"/>
                <w:lang w:eastAsia="ja-JP"/>
              </w:rPr>
              <w:t>N/A</w:t>
            </w:r>
          </w:p>
        </w:tc>
        <w:tc>
          <w:tcPr>
            <w:tcW w:w="880" w:type="dxa"/>
            <w:tcBorders>
              <w:top w:val="single" w:sz="4" w:space="0" w:color="auto"/>
              <w:left w:val="single" w:sz="4" w:space="0" w:color="auto"/>
              <w:bottom w:val="single" w:sz="4" w:space="0" w:color="auto"/>
              <w:right w:val="single" w:sz="4" w:space="0" w:color="auto"/>
            </w:tcBorders>
            <w:hideMark/>
          </w:tcPr>
          <w:p w14:paraId="717B5838"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23F44326"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CC0C45F" w14:textId="77777777" w:rsidR="00B3234F" w:rsidRDefault="00B3234F" w:rsidP="00BD1F8C">
            <w:pPr>
              <w:pStyle w:val="TAC"/>
              <w:rPr>
                <w:rFonts w:cs="Arial"/>
              </w:rPr>
            </w:pPr>
          </w:p>
        </w:tc>
      </w:tr>
      <w:tr w:rsidR="00B3234F" w14:paraId="5B66DE13"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6B9635BF" w14:textId="77777777" w:rsidR="00B3234F" w:rsidRDefault="00B3234F" w:rsidP="00BD1F8C">
            <w:pPr>
              <w:pStyle w:val="TAC"/>
            </w:pPr>
            <w:r>
              <w:t>NR Band n94</w:t>
            </w:r>
          </w:p>
        </w:tc>
        <w:tc>
          <w:tcPr>
            <w:tcW w:w="1996" w:type="dxa"/>
            <w:tcBorders>
              <w:top w:val="single" w:sz="4" w:space="0" w:color="auto"/>
              <w:left w:val="single" w:sz="4" w:space="0" w:color="auto"/>
              <w:bottom w:val="single" w:sz="4" w:space="0" w:color="auto"/>
              <w:right w:val="single" w:sz="4" w:space="0" w:color="auto"/>
            </w:tcBorders>
            <w:hideMark/>
          </w:tcPr>
          <w:p w14:paraId="7C98BEA5" w14:textId="77777777" w:rsidR="00B3234F" w:rsidRDefault="00B3234F" w:rsidP="00BD1F8C">
            <w:pPr>
              <w:pStyle w:val="TAC"/>
              <w:rPr>
                <w:rFonts w:cs="Arial"/>
              </w:rPr>
            </w:pPr>
            <w:r>
              <w:rPr>
                <w:rFonts w:cs="Arial"/>
              </w:rPr>
              <w:t>880 – 915 MHz</w:t>
            </w:r>
          </w:p>
        </w:tc>
        <w:tc>
          <w:tcPr>
            <w:tcW w:w="879" w:type="dxa"/>
            <w:tcBorders>
              <w:top w:val="single" w:sz="4" w:space="0" w:color="auto"/>
              <w:left w:val="single" w:sz="4" w:space="0" w:color="auto"/>
              <w:bottom w:val="single" w:sz="4" w:space="0" w:color="auto"/>
              <w:right w:val="single" w:sz="4" w:space="0" w:color="auto"/>
            </w:tcBorders>
            <w:hideMark/>
          </w:tcPr>
          <w:p w14:paraId="0AD6AD44"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68C1BDC7" w14:textId="77777777" w:rsidR="00B3234F" w:rsidRDefault="00B3234F" w:rsidP="00BD1F8C">
            <w:pPr>
              <w:pStyle w:val="TAC"/>
              <w:rPr>
                <w:rFonts w:cs="v5.0.0"/>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6B9A5E59"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1C225B1E"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D0E5F31" w14:textId="77777777" w:rsidR="00B3234F" w:rsidRDefault="00B3234F" w:rsidP="00BD1F8C">
            <w:pPr>
              <w:pStyle w:val="TAC"/>
              <w:rPr>
                <w:rFonts w:cs="Arial"/>
              </w:rPr>
            </w:pPr>
          </w:p>
        </w:tc>
      </w:tr>
      <w:tr w:rsidR="00B3234F" w14:paraId="5BBD25D6"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hideMark/>
          </w:tcPr>
          <w:p w14:paraId="146261BC" w14:textId="77777777" w:rsidR="00B3234F" w:rsidRDefault="00B3234F" w:rsidP="00BD1F8C">
            <w:pPr>
              <w:pStyle w:val="TAC"/>
            </w:pPr>
            <w:r>
              <w:t>NR Band n95</w:t>
            </w:r>
          </w:p>
        </w:tc>
        <w:tc>
          <w:tcPr>
            <w:tcW w:w="1996" w:type="dxa"/>
            <w:tcBorders>
              <w:top w:val="single" w:sz="4" w:space="0" w:color="auto"/>
              <w:left w:val="single" w:sz="4" w:space="0" w:color="auto"/>
              <w:bottom w:val="single" w:sz="4" w:space="0" w:color="auto"/>
              <w:right w:val="single" w:sz="4" w:space="0" w:color="auto"/>
            </w:tcBorders>
            <w:hideMark/>
          </w:tcPr>
          <w:p w14:paraId="1D4C332E" w14:textId="77777777" w:rsidR="00B3234F" w:rsidRDefault="00B3234F" w:rsidP="00BD1F8C">
            <w:pPr>
              <w:pStyle w:val="TAC"/>
              <w:rPr>
                <w:rFonts w:cs="Arial"/>
              </w:rPr>
            </w:pPr>
            <w:r>
              <w:rPr>
                <w:rFonts w:cs="Arial"/>
              </w:rPr>
              <w:t>2010 – 2025 MHz</w:t>
            </w:r>
          </w:p>
        </w:tc>
        <w:tc>
          <w:tcPr>
            <w:tcW w:w="879" w:type="dxa"/>
            <w:tcBorders>
              <w:top w:val="single" w:sz="4" w:space="0" w:color="auto"/>
              <w:left w:val="single" w:sz="4" w:space="0" w:color="auto"/>
              <w:bottom w:val="single" w:sz="4" w:space="0" w:color="auto"/>
              <w:right w:val="single" w:sz="4" w:space="0" w:color="auto"/>
            </w:tcBorders>
            <w:hideMark/>
          </w:tcPr>
          <w:p w14:paraId="0F5422F0" w14:textId="77777777" w:rsidR="00B3234F" w:rsidRDefault="00B3234F" w:rsidP="00BD1F8C">
            <w:pPr>
              <w:pStyle w:val="TAC"/>
              <w:rPr>
                <w:rFonts w:cs="Arial"/>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hideMark/>
          </w:tcPr>
          <w:p w14:paraId="29CCFFA5" w14:textId="77777777" w:rsidR="00B3234F" w:rsidRDefault="00B3234F" w:rsidP="00BD1F8C">
            <w:pPr>
              <w:pStyle w:val="TAC"/>
              <w:rPr>
                <w:rFonts w:cs="v5.0.0"/>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hideMark/>
          </w:tcPr>
          <w:p w14:paraId="38782818" w14:textId="77777777" w:rsidR="00B3234F" w:rsidRDefault="00B3234F" w:rsidP="00BD1F8C">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hideMark/>
          </w:tcPr>
          <w:p w14:paraId="74A701AC" w14:textId="77777777" w:rsidR="00B3234F" w:rsidRDefault="00B3234F" w:rsidP="00BD1F8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5F82556" w14:textId="77777777" w:rsidR="00B3234F" w:rsidRDefault="00B3234F" w:rsidP="00BD1F8C">
            <w:pPr>
              <w:pStyle w:val="TAC"/>
              <w:rPr>
                <w:rFonts w:cs="Arial"/>
              </w:rPr>
            </w:pPr>
          </w:p>
        </w:tc>
      </w:tr>
      <w:tr w:rsidR="005408A0" w14:paraId="251FD123"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tcPr>
          <w:p w14:paraId="671F92C4" w14:textId="3BBB331B" w:rsidR="005408A0" w:rsidRDefault="005408A0" w:rsidP="005408A0">
            <w:pPr>
              <w:pStyle w:val="TAC"/>
            </w:pPr>
            <w:r>
              <w:t>NR Band n96</w:t>
            </w:r>
          </w:p>
        </w:tc>
        <w:tc>
          <w:tcPr>
            <w:tcW w:w="1996" w:type="dxa"/>
            <w:tcBorders>
              <w:top w:val="single" w:sz="4" w:space="0" w:color="auto"/>
              <w:left w:val="single" w:sz="4" w:space="0" w:color="auto"/>
              <w:bottom w:val="single" w:sz="4" w:space="0" w:color="auto"/>
              <w:right w:val="single" w:sz="4" w:space="0" w:color="auto"/>
            </w:tcBorders>
          </w:tcPr>
          <w:p w14:paraId="414E686E" w14:textId="17A461B6" w:rsidR="005408A0" w:rsidRDefault="005408A0" w:rsidP="005408A0">
            <w:pPr>
              <w:pStyle w:val="TAC"/>
              <w:rPr>
                <w:rFonts w:cs="Arial"/>
              </w:rPr>
            </w:pPr>
            <w:r>
              <w:rPr>
                <w:rFonts w:cs="Arial"/>
              </w:rPr>
              <w:t>5925 – 7125 MHz</w:t>
            </w:r>
          </w:p>
        </w:tc>
        <w:tc>
          <w:tcPr>
            <w:tcW w:w="879" w:type="dxa"/>
            <w:tcBorders>
              <w:top w:val="single" w:sz="4" w:space="0" w:color="auto"/>
              <w:left w:val="single" w:sz="4" w:space="0" w:color="auto"/>
              <w:bottom w:val="single" w:sz="4" w:space="0" w:color="auto"/>
              <w:right w:val="single" w:sz="4" w:space="0" w:color="auto"/>
            </w:tcBorders>
          </w:tcPr>
          <w:p w14:paraId="78092E22" w14:textId="184540DC" w:rsidR="005408A0" w:rsidRDefault="005408A0" w:rsidP="005408A0">
            <w:pPr>
              <w:pStyle w:val="TAC"/>
              <w:rPr>
                <w:rFonts w:cs="Arial"/>
              </w:rPr>
            </w:pPr>
            <w:r>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tcPr>
          <w:p w14:paraId="133BB6F4" w14:textId="33D6052D" w:rsidR="005408A0" w:rsidRDefault="005408A0" w:rsidP="005408A0">
            <w:pPr>
              <w:pStyle w:val="TAC"/>
              <w:rPr>
                <w:rFonts w:cs="v5.0.0"/>
              </w:rPr>
            </w:pPr>
            <w:r>
              <w:rPr>
                <w:rFonts w:cs="v5.0.0"/>
              </w:rPr>
              <w:t>-90 dBm</w:t>
            </w:r>
          </w:p>
        </w:tc>
        <w:tc>
          <w:tcPr>
            <w:tcW w:w="880" w:type="dxa"/>
            <w:tcBorders>
              <w:top w:val="single" w:sz="4" w:space="0" w:color="auto"/>
              <w:left w:val="single" w:sz="4" w:space="0" w:color="auto"/>
              <w:bottom w:val="single" w:sz="4" w:space="0" w:color="auto"/>
              <w:right w:val="single" w:sz="4" w:space="0" w:color="auto"/>
            </w:tcBorders>
          </w:tcPr>
          <w:p w14:paraId="74E677FE" w14:textId="34914D3D" w:rsidR="005408A0" w:rsidRDefault="005408A0" w:rsidP="005408A0">
            <w:pPr>
              <w:pStyle w:val="TAC"/>
              <w:rPr>
                <w:rFonts w:cs="Arial"/>
              </w:rPr>
            </w:pPr>
            <w:r>
              <w:rPr>
                <w:rFonts w:cs="Arial"/>
              </w:rPr>
              <w:t>-87 dBm</w:t>
            </w:r>
          </w:p>
        </w:tc>
        <w:tc>
          <w:tcPr>
            <w:tcW w:w="1414" w:type="dxa"/>
            <w:tcBorders>
              <w:top w:val="single" w:sz="4" w:space="0" w:color="auto"/>
              <w:left w:val="single" w:sz="4" w:space="0" w:color="auto"/>
              <w:bottom w:val="single" w:sz="4" w:space="0" w:color="auto"/>
              <w:right w:val="single" w:sz="4" w:space="0" w:color="auto"/>
            </w:tcBorders>
          </w:tcPr>
          <w:p w14:paraId="489644CF" w14:textId="454CF859" w:rsidR="005408A0" w:rsidRDefault="005408A0" w:rsidP="005408A0">
            <w:pPr>
              <w:pStyle w:val="TAC"/>
              <w:rPr>
                <w:rFonts w:cs="Arial"/>
              </w:rPr>
            </w:pPr>
            <w:r>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47DA84A7" w14:textId="77777777" w:rsidR="005408A0" w:rsidRDefault="005408A0" w:rsidP="005408A0">
            <w:pPr>
              <w:pStyle w:val="TAC"/>
              <w:rPr>
                <w:rFonts w:cs="Arial"/>
              </w:rPr>
            </w:pPr>
          </w:p>
        </w:tc>
      </w:tr>
      <w:tr w:rsidR="00DC1FD1" w14:paraId="2F5C18B6"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tcPr>
          <w:p w14:paraId="4A9659AB" w14:textId="61F4AB68" w:rsidR="00DC1FD1" w:rsidRDefault="00DC1FD1" w:rsidP="00DC1FD1">
            <w:pPr>
              <w:pStyle w:val="TAC"/>
            </w:pPr>
            <w:r>
              <w:t>NR Band n</w:t>
            </w:r>
            <w:r>
              <w:rPr>
                <w:lang w:eastAsia="zh-CN"/>
              </w:rPr>
              <w:t>97</w:t>
            </w:r>
          </w:p>
        </w:tc>
        <w:tc>
          <w:tcPr>
            <w:tcW w:w="1996" w:type="dxa"/>
            <w:tcBorders>
              <w:top w:val="single" w:sz="4" w:space="0" w:color="auto"/>
              <w:left w:val="single" w:sz="4" w:space="0" w:color="auto"/>
              <w:bottom w:val="single" w:sz="4" w:space="0" w:color="auto"/>
              <w:right w:val="single" w:sz="4" w:space="0" w:color="auto"/>
            </w:tcBorders>
          </w:tcPr>
          <w:p w14:paraId="04FACC44" w14:textId="0260972B" w:rsidR="00DC1FD1" w:rsidRDefault="00DC1FD1" w:rsidP="00DC1FD1">
            <w:pPr>
              <w:pStyle w:val="TAC"/>
              <w:rPr>
                <w:rFonts w:cs="Arial"/>
              </w:rPr>
            </w:pPr>
            <w:r>
              <w:rPr>
                <w:rFonts w:cs="Arial"/>
                <w:lang w:eastAsia="zh-CN"/>
              </w:rPr>
              <w:t xml:space="preserve">2300 </w:t>
            </w:r>
            <w:r>
              <w:rPr>
                <w:rFonts w:cs="Arial"/>
              </w:rPr>
              <w:t xml:space="preserve">– </w:t>
            </w:r>
            <w:r>
              <w:rPr>
                <w:rFonts w:cs="Arial"/>
                <w:lang w:eastAsia="zh-CN"/>
              </w:rPr>
              <w:t>2400MHz</w:t>
            </w:r>
          </w:p>
        </w:tc>
        <w:tc>
          <w:tcPr>
            <w:tcW w:w="879" w:type="dxa"/>
            <w:tcBorders>
              <w:top w:val="single" w:sz="4" w:space="0" w:color="auto"/>
              <w:left w:val="single" w:sz="4" w:space="0" w:color="auto"/>
              <w:bottom w:val="single" w:sz="4" w:space="0" w:color="auto"/>
              <w:right w:val="single" w:sz="4" w:space="0" w:color="auto"/>
            </w:tcBorders>
          </w:tcPr>
          <w:p w14:paraId="247B09B2" w14:textId="4E93ECB1" w:rsidR="00DC1FD1" w:rsidRDefault="00DC1FD1" w:rsidP="00DC1FD1">
            <w:pPr>
              <w:pStyle w:val="TAC"/>
              <w:rPr>
                <w:rFonts w:cs="Arial"/>
                <w:lang w:eastAsia="ja-JP"/>
              </w:rPr>
            </w:pPr>
            <w:r>
              <w:rPr>
                <w:rFonts w:cs="Arial"/>
              </w:rPr>
              <w:t>-</w:t>
            </w:r>
            <w:r>
              <w:rPr>
                <w:rFonts w:cs="Arial"/>
                <w:lang w:eastAsia="zh-CN"/>
              </w:rPr>
              <w:t xml:space="preserve">96 </w:t>
            </w:r>
            <w:r>
              <w:rPr>
                <w:rFonts w:cs="Arial"/>
              </w:rPr>
              <w:t>dBm</w:t>
            </w:r>
          </w:p>
        </w:tc>
        <w:tc>
          <w:tcPr>
            <w:tcW w:w="879" w:type="dxa"/>
            <w:tcBorders>
              <w:top w:val="single" w:sz="4" w:space="0" w:color="auto"/>
              <w:left w:val="single" w:sz="4" w:space="0" w:color="auto"/>
              <w:bottom w:val="single" w:sz="4" w:space="0" w:color="auto"/>
              <w:right w:val="single" w:sz="4" w:space="0" w:color="auto"/>
            </w:tcBorders>
          </w:tcPr>
          <w:p w14:paraId="1F2FC5F6" w14:textId="1BEC1241" w:rsidR="00DC1FD1" w:rsidRDefault="00DC1FD1" w:rsidP="00DC1FD1">
            <w:pPr>
              <w:pStyle w:val="TAC"/>
              <w:rPr>
                <w:rFonts w:cs="v5.0.0"/>
              </w:rPr>
            </w:pPr>
            <w:r>
              <w:t>-91 dBm</w:t>
            </w:r>
          </w:p>
        </w:tc>
        <w:tc>
          <w:tcPr>
            <w:tcW w:w="880" w:type="dxa"/>
            <w:tcBorders>
              <w:top w:val="single" w:sz="4" w:space="0" w:color="auto"/>
              <w:left w:val="single" w:sz="4" w:space="0" w:color="auto"/>
              <w:bottom w:val="single" w:sz="4" w:space="0" w:color="auto"/>
              <w:right w:val="single" w:sz="4" w:space="0" w:color="auto"/>
            </w:tcBorders>
          </w:tcPr>
          <w:p w14:paraId="06CA2F1C" w14:textId="4A850AD3" w:rsidR="00DC1FD1" w:rsidRDefault="00DC1FD1" w:rsidP="00DC1FD1">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157DF641" w14:textId="6CFD17DE" w:rsidR="00DC1FD1" w:rsidRDefault="00DC1FD1" w:rsidP="00DC1FD1">
            <w:pPr>
              <w:pStyle w:val="TAC"/>
              <w:rPr>
                <w:rFonts w:cs="Arial"/>
                <w:lang w:eastAsia="ja-JP"/>
              </w:rPr>
            </w:pPr>
            <w:r>
              <w:rPr>
                <w:rFonts w:cs="Arial"/>
              </w:rPr>
              <w:t>1</w:t>
            </w:r>
            <w:r>
              <w:rPr>
                <w:rFonts w:cs="Arial"/>
                <w:lang w:eastAsia="zh-CN"/>
              </w:rPr>
              <w:t>00</w:t>
            </w:r>
            <w:r>
              <w:rPr>
                <w:rFonts w:cs="Arial"/>
              </w:rPr>
              <w:t xml:space="preserve"> </w:t>
            </w:r>
            <w:r>
              <w:rPr>
                <w:rFonts w:cs="Arial"/>
                <w:lang w:eastAsia="zh-CN"/>
              </w:rPr>
              <w:t>k</w:t>
            </w:r>
            <w:r>
              <w:rPr>
                <w:rFonts w:cs="Arial"/>
              </w:rPr>
              <w:t>Hz</w:t>
            </w:r>
          </w:p>
        </w:tc>
        <w:tc>
          <w:tcPr>
            <w:tcW w:w="1606" w:type="dxa"/>
            <w:tcBorders>
              <w:top w:val="single" w:sz="4" w:space="0" w:color="auto"/>
              <w:left w:val="single" w:sz="4" w:space="0" w:color="auto"/>
              <w:bottom w:val="single" w:sz="4" w:space="0" w:color="auto"/>
              <w:right w:val="single" w:sz="4" w:space="0" w:color="auto"/>
            </w:tcBorders>
          </w:tcPr>
          <w:p w14:paraId="1C5CCE1E" w14:textId="77777777" w:rsidR="00DC1FD1" w:rsidRDefault="00DC1FD1" w:rsidP="00DC1FD1">
            <w:pPr>
              <w:pStyle w:val="TAC"/>
              <w:rPr>
                <w:rFonts w:cs="Arial"/>
              </w:rPr>
            </w:pPr>
          </w:p>
        </w:tc>
      </w:tr>
      <w:tr w:rsidR="00DC1FD1" w14:paraId="3A326C46"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tcPr>
          <w:p w14:paraId="0B630CE4" w14:textId="448989F9" w:rsidR="00DC1FD1" w:rsidRDefault="00DC1FD1" w:rsidP="00DC1FD1">
            <w:pPr>
              <w:pStyle w:val="TAC"/>
            </w:pPr>
            <w:r>
              <w:t>NR Band n98</w:t>
            </w:r>
          </w:p>
        </w:tc>
        <w:tc>
          <w:tcPr>
            <w:tcW w:w="1996" w:type="dxa"/>
            <w:tcBorders>
              <w:top w:val="single" w:sz="4" w:space="0" w:color="auto"/>
              <w:left w:val="single" w:sz="4" w:space="0" w:color="auto"/>
              <w:bottom w:val="single" w:sz="4" w:space="0" w:color="auto"/>
              <w:right w:val="single" w:sz="4" w:space="0" w:color="auto"/>
            </w:tcBorders>
          </w:tcPr>
          <w:p w14:paraId="71F23009" w14:textId="6B7EE5B4" w:rsidR="00DC1FD1" w:rsidRDefault="00DC1FD1" w:rsidP="00DC1FD1">
            <w:pPr>
              <w:pStyle w:val="TAC"/>
              <w:rPr>
                <w:rFonts w:cs="Arial"/>
              </w:rPr>
            </w:pPr>
            <w:r>
              <w:rPr>
                <w:rFonts w:cs="Arial"/>
                <w:lang w:eastAsia="zh-CN"/>
              </w:rPr>
              <w:t xml:space="preserve">1880 </w:t>
            </w:r>
            <w:r>
              <w:rPr>
                <w:rFonts w:cs="Arial"/>
              </w:rPr>
              <w:t xml:space="preserve">– </w:t>
            </w:r>
            <w:r>
              <w:rPr>
                <w:rFonts w:cs="Arial"/>
                <w:lang w:eastAsia="zh-CN"/>
              </w:rPr>
              <w:t>1920MHz</w:t>
            </w:r>
          </w:p>
        </w:tc>
        <w:tc>
          <w:tcPr>
            <w:tcW w:w="879" w:type="dxa"/>
            <w:tcBorders>
              <w:top w:val="single" w:sz="4" w:space="0" w:color="auto"/>
              <w:left w:val="single" w:sz="4" w:space="0" w:color="auto"/>
              <w:bottom w:val="single" w:sz="4" w:space="0" w:color="auto"/>
              <w:right w:val="single" w:sz="4" w:space="0" w:color="auto"/>
            </w:tcBorders>
          </w:tcPr>
          <w:p w14:paraId="7329C5B9" w14:textId="7E3F18D5" w:rsidR="00DC1FD1" w:rsidRDefault="00DC1FD1" w:rsidP="00DC1FD1">
            <w:pPr>
              <w:pStyle w:val="TAC"/>
              <w:rPr>
                <w:rFonts w:cs="Arial"/>
                <w:lang w:eastAsia="ja-JP"/>
              </w:rPr>
            </w:pPr>
            <w:r>
              <w:rPr>
                <w:rFonts w:cs="Arial"/>
              </w:rPr>
              <w:t>-</w:t>
            </w:r>
            <w:r>
              <w:rPr>
                <w:rFonts w:cs="Arial"/>
                <w:lang w:eastAsia="zh-CN"/>
              </w:rPr>
              <w:t xml:space="preserve">96 </w:t>
            </w:r>
            <w:r>
              <w:rPr>
                <w:rFonts w:cs="Arial"/>
              </w:rPr>
              <w:t>dBm</w:t>
            </w:r>
          </w:p>
        </w:tc>
        <w:tc>
          <w:tcPr>
            <w:tcW w:w="879" w:type="dxa"/>
            <w:tcBorders>
              <w:top w:val="single" w:sz="4" w:space="0" w:color="auto"/>
              <w:left w:val="single" w:sz="4" w:space="0" w:color="auto"/>
              <w:bottom w:val="single" w:sz="4" w:space="0" w:color="auto"/>
              <w:right w:val="single" w:sz="4" w:space="0" w:color="auto"/>
            </w:tcBorders>
          </w:tcPr>
          <w:p w14:paraId="24933F2C" w14:textId="55A899B1" w:rsidR="00DC1FD1" w:rsidRDefault="00DC1FD1" w:rsidP="00DC1FD1">
            <w:pPr>
              <w:pStyle w:val="TAC"/>
              <w:rPr>
                <w:rFonts w:cs="v5.0.0"/>
              </w:rPr>
            </w:pPr>
            <w:r>
              <w:t>-91 dBm</w:t>
            </w:r>
          </w:p>
        </w:tc>
        <w:tc>
          <w:tcPr>
            <w:tcW w:w="880" w:type="dxa"/>
            <w:tcBorders>
              <w:top w:val="single" w:sz="4" w:space="0" w:color="auto"/>
              <w:left w:val="single" w:sz="4" w:space="0" w:color="auto"/>
              <w:bottom w:val="single" w:sz="4" w:space="0" w:color="auto"/>
              <w:right w:val="single" w:sz="4" w:space="0" w:color="auto"/>
            </w:tcBorders>
          </w:tcPr>
          <w:p w14:paraId="3FEB434A" w14:textId="401CEDF2" w:rsidR="00DC1FD1" w:rsidRDefault="00DC1FD1" w:rsidP="00DC1FD1">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F815296" w14:textId="30E1442B" w:rsidR="00DC1FD1" w:rsidRDefault="00DC1FD1" w:rsidP="00DC1FD1">
            <w:pPr>
              <w:pStyle w:val="TAC"/>
              <w:rPr>
                <w:rFonts w:cs="Arial"/>
                <w:lang w:eastAsia="ja-JP"/>
              </w:rPr>
            </w:pPr>
            <w:r>
              <w:rPr>
                <w:rFonts w:cs="Arial"/>
              </w:rPr>
              <w:t>1</w:t>
            </w:r>
            <w:r>
              <w:rPr>
                <w:rFonts w:cs="Arial"/>
                <w:lang w:eastAsia="zh-CN"/>
              </w:rPr>
              <w:t>00 k</w:t>
            </w:r>
            <w:r>
              <w:rPr>
                <w:rFonts w:cs="Arial"/>
              </w:rPr>
              <w:t>Hz</w:t>
            </w:r>
          </w:p>
        </w:tc>
        <w:tc>
          <w:tcPr>
            <w:tcW w:w="1606" w:type="dxa"/>
            <w:tcBorders>
              <w:top w:val="single" w:sz="4" w:space="0" w:color="auto"/>
              <w:left w:val="single" w:sz="4" w:space="0" w:color="auto"/>
              <w:bottom w:val="single" w:sz="4" w:space="0" w:color="auto"/>
              <w:right w:val="single" w:sz="4" w:space="0" w:color="auto"/>
            </w:tcBorders>
          </w:tcPr>
          <w:p w14:paraId="5F4A2320" w14:textId="77777777" w:rsidR="00DC1FD1" w:rsidRDefault="00DC1FD1" w:rsidP="00DC1FD1">
            <w:pPr>
              <w:pStyle w:val="TAC"/>
              <w:rPr>
                <w:rFonts w:cs="Arial"/>
              </w:rPr>
            </w:pPr>
          </w:p>
        </w:tc>
      </w:tr>
      <w:tr w:rsidR="00DC1FD1" w14:paraId="1B670F6A"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tcPr>
          <w:p w14:paraId="6175F1D3" w14:textId="4D00E4A3" w:rsidR="00DC1FD1" w:rsidRDefault="00DC1FD1" w:rsidP="00DC1FD1">
            <w:pPr>
              <w:pStyle w:val="TAC"/>
            </w:pPr>
            <w:r>
              <w:lastRenderedPageBreak/>
              <w:t>NR Band n99</w:t>
            </w:r>
          </w:p>
        </w:tc>
        <w:tc>
          <w:tcPr>
            <w:tcW w:w="1996" w:type="dxa"/>
            <w:tcBorders>
              <w:top w:val="single" w:sz="4" w:space="0" w:color="auto"/>
              <w:left w:val="single" w:sz="4" w:space="0" w:color="auto"/>
              <w:bottom w:val="single" w:sz="4" w:space="0" w:color="auto"/>
              <w:right w:val="single" w:sz="4" w:space="0" w:color="auto"/>
            </w:tcBorders>
          </w:tcPr>
          <w:p w14:paraId="04CB141B" w14:textId="365011D7" w:rsidR="00DC1FD1" w:rsidRDefault="00DC1FD1" w:rsidP="00DC1FD1">
            <w:pPr>
              <w:pStyle w:val="TAC"/>
              <w:rPr>
                <w:rFonts w:cs="Arial"/>
              </w:rPr>
            </w:pPr>
            <w:r>
              <w:rPr>
                <w:rFonts w:cs="Arial"/>
              </w:rPr>
              <w:t>1626.5 – 1660.5 MHz</w:t>
            </w:r>
          </w:p>
        </w:tc>
        <w:tc>
          <w:tcPr>
            <w:tcW w:w="879" w:type="dxa"/>
            <w:tcBorders>
              <w:top w:val="single" w:sz="4" w:space="0" w:color="auto"/>
              <w:left w:val="single" w:sz="4" w:space="0" w:color="auto"/>
              <w:bottom w:val="single" w:sz="4" w:space="0" w:color="auto"/>
              <w:right w:val="single" w:sz="4" w:space="0" w:color="auto"/>
            </w:tcBorders>
          </w:tcPr>
          <w:p w14:paraId="7DCF0B39" w14:textId="38C929AA" w:rsidR="00DC1FD1" w:rsidRDefault="00DC1FD1" w:rsidP="00DC1FD1">
            <w:pPr>
              <w:pStyle w:val="TAC"/>
              <w:rPr>
                <w:rFonts w:cs="Arial"/>
                <w:lang w:eastAsia="ja-JP"/>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0AEE8B7D" w14:textId="18504051" w:rsidR="00DC1FD1" w:rsidRDefault="00DC1FD1" w:rsidP="00DC1FD1">
            <w:pPr>
              <w:pStyle w:val="TAC"/>
              <w:rPr>
                <w:rFonts w:cs="v5.0.0"/>
              </w:rPr>
            </w:pPr>
            <w:r>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7C69DE99" w14:textId="59C029EF" w:rsidR="00DC1FD1" w:rsidRDefault="00DC1FD1" w:rsidP="00DC1FD1">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48D8986" w14:textId="3C158CBE" w:rsidR="00DC1FD1" w:rsidRDefault="00DC1FD1" w:rsidP="00DC1FD1">
            <w:pPr>
              <w:pStyle w:val="TAC"/>
              <w:rPr>
                <w:rFonts w:cs="Arial"/>
                <w:lang w:eastAsia="ja-JP"/>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4E1898F" w14:textId="77777777" w:rsidR="00DC1FD1" w:rsidRDefault="00DC1FD1" w:rsidP="00DC1FD1">
            <w:pPr>
              <w:pStyle w:val="TAC"/>
              <w:rPr>
                <w:rFonts w:cs="Arial"/>
              </w:rPr>
            </w:pPr>
          </w:p>
        </w:tc>
      </w:tr>
      <w:tr w:rsidR="00DC1FD1" w14:paraId="603281C1"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tcPr>
          <w:p w14:paraId="5BC70E87" w14:textId="21C5237A" w:rsidR="00DC1FD1" w:rsidRDefault="00DC1FD1" w:rsidP="00DC1FD1">
            <w:pPr>
              <w:pStyle w:val="TAC"/>
            </w:pPr>
            <w:r>
              <w:rPr>
                <w:rFonts w:cs="v5.0.0"/>
              </w:rPr>
              <w:t>NR Band n101</w:t>
            </w:r>
          </w:p>
        </w:tc>
        <w:tc>
          <w:tcPr>
            <w:tcW w:w="1996" w:type="dxa"/>
            <w:tcBorders>
              <w:top w:val="single" w:sz="4" w:space="0" w:color="auto"/>
              <w:left w:val="single" w:sz="4" w:space="0" w:color="auto"/>
              <w:bottom w:val="single" w:sz="4" w:space="0" w:color="auto"/>
              <w:right w:val="single" w:sz="4" w:space="0" w:color="auto"/>
            </w:tcBorders>
          </w:tcPr>
          <w:p w14:paraId="7E8533A5" w14:textId="22EEB99E" w:rsidR="00DC1FD1" w:rsidRDefault="00DC1FD1" w:rsidP="00DC1FD1">
            <w:pPr>
              <w:pStyle w:val="TAC"/>
              <w:rPr>
                <w:rFonts w:cs="Arial"/>
              </w:rPr>
            </w:pPr>
            <w:r>
              <w:t>1900 – 1910 MHz</w:t>
            </w:r>
          </w:p>
        </w:tc>
        <w:tc>
          <w:tcPr>
            <w:tcW w:w="879" w:type="dxa"/>
            <w:tcBorders>
              <w:top w:val="single" w:sz="4" w:space="0" w:color="auto"/>
              <w:left w:val="single" w:sz="4" w:space="0" w:color="auto"/>
              <w:bottom w:val="single" w:sz="4" w:space="0" w:color="auto"/>
              <w:right w:val="single" w:sz="4" w:space="0" w:color="auto"/>
            </w:tcBorders>
          </w:tcPr>
          <w:p w14:paraId="571B42A4" w14:textId="3B53A203" w:rsidR="00DC1FD1" w:rsidRDefault="00DC1FD1" w:rsidP="00DC1FD1">
            <w:pPr>
              <w:pStyle w:val="TAC"/>
              <w:rPr>
                <w:rFonts w:cs="Arial"/>
                <w:lang w:eastAsia="ja-JP"/>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4BD8779A" w14:textId="127B2F19" w:rsidR="00DC1FD1" w:rsidRDefault="00DC1FD1" w:rsidP="00DC1FD1">
            <w:pPr>
              <w:pStyle w:val="TAC"/>
              <w:rPr>
                <w:rFonts w:cs="v5.0.0"/>
              </w:rPr>
            </w:pPr>
            <w:r>
              <w:rPr>
                <w:rFonts w:cs="Arial"/>
              </w:rPr>
              <w:t>N/A</w:t>
            </w:r>
          </w:p>
        </w:tc>
        <w:tc>
          <w:tcPr>
            <w:tcW w:w="880" w:type="dxa"/>
            <w:tcBorders>
              <w:top w:val="single" w:sz="4" w:space="0" w:color="auto"/>
              <w:left w:val="single" w:sz="4" w:space="0" w:color="auto"/>
              <w:bottom w:val="single" w:sz="4" w:space="0" w:color="auto"/>
              <w:right w:val="single" w:sz="4" w:space="0" w:color="auto"/>
            </w:tcBorders>
          </w:tcPr>
          <w:p w14:paraId="4A71299C" w14:textId="1ACA9C0A" w:rsidR="00DC1FD1" w:rsidRDefault="00DC1FD1" w:rsidP="00DC1FD1">
            <w:pPr>
              <w:pStyle w:val="TAC"/>
              <w:rPr>
                <w:rFonts w:cs="Arial"/>
              </w:rPr>
            </w:pPr>
            <w:r>
              <w:rPr>
                <w:rFonts w:cs="Arial"/>
              </w:rPr>
              <w:t>N/A</w:t>
            </w:r>
          </w:p>
        </w:tc>
        <w:tc>
          <w:tcPr>
            <w:tcW w:w="1414" w:type="dxa"/>
            <w:tcBorders>
              <w:top w:val="single" w:sz="4" w:space="0" w:color="auto"/>
              <w:left w:val="single" w:sz="4" w:space="0" w:color="auto"/>
              <w:bottom w:val="single" w:sz="4" w:space="0" w:color="auto"/>
              <w:right w:val="single" w:sz="4" w:space="0" w:color="auto"/>
            </w:tcBorders>
          </w:tcPr>
          <w:p w14:paraId="72561744" w14:textId="69D0E9D2" w:rsidR="00DC1FD1" w:rsidRDefault="00DC1FD1" w:rsidP="00DC1FD1">
            <w:pPr>
              <w:pStyle w:val="TAC"/>
              <w:rPr>
                <w:rFonts w:cs="Arial"/>
                <w:lang w:eastAsia="ja-JP"/>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BC7847C" w14:textId="77777777" w:rsidR="00DC1FD1" w:rsidRDefault="00DC1FD1" w:rsidP="00DC1FD1">
            <w:pPr>
              <w:pStyle w:val="TAC"/>
              <w:rPr>
                <w:rFonts w:cs="Arial"/>
              </w:rPr>
            </w:pPr>
          </w:p>
        </w:tc>
      </w:tr>
      <w:tr w:rsidR="00DC1FD1" w14:paraId="095D81B4"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tcPr>
          <w:p w14:paraId="0FEDDD21" w14:textId="0EA7145A" w:rsidR="00DC1FD1" w:rsidRDefault="00DC1FD1" w:rsidP="00DC1FD1">
            <w:pPr>
              <w:pStyle w:val="TAC"/>
            </w:pPr>
            <w:r>
              <w:rPr>
                <w:lang w:eastAsia="da-DK"/>
              </w:rPr>
              <w:t xml:space="preserve">NR Band </w:t>
            </w:r>
            <w:r>
              <w:rPr>
                <w:rFonts w:eastAsia="SimSun"/>
                <w:lang w:eastAsia="zh-CN"/>
              </w:rPr>
              <w:t>n102</w:t>
            </w:r>
          </w:p>
        </w:tc>
        <w:tc>
          <w:tcPr>
            <w:tcW w:w="1996" w:type="dxa"/>
            <w:tcBorders>
              <w:top w:val="single" w:sz="4" w:space="0" w:color="auto"/>
              <w:left w:val="single" w:sz="4" w:space="0" w:color="auto"/>
              <w:bottom w:val="single" w:sz="4" w:space="0" w:color="auto"/>
              <w:right w:val="single" w:sz="4" w:space="0" w:color="auto"/>
            </w:tcBorders>
          </w:tcPr>
          <w:p w14:paraId="3348E33A" w14:textId="3AC48C39" w:rsidR="00DC1FD1" w:rsidRDefault="00DC1FD1" w:rsidP="00DC1FD1">
            <w:pPr>
              <w:pStyle w:val="TAC"/>
              <w:rPr>
                <w:rFonts w:cs="Arial"/>
              </w:rPr>
            </w:pPr>
            <w:r>
              <w:rPr>
                <w:rFonts w:cs="Arial"/>
                <w:lang w:eastAsia="da-DK"/>
              </w:rPr>
              <w:t>59</w:t>
            </w:r>
            <w:r>
              <w:rPr>
                <w:rFonts w:eastAsia="SimSun" w:cs="Arial"/>
                <w:lang w:val="en-US" w:eastAsia="zh-CN"/>
              </w:rPr>
              <w:t>25</w:t>
            </w:r>
            <w:r>
              <w:rPr>
                <w:rFonts w:cs="Arial"/>
                <w:lang w:eastAsia="da-DK"/>
              </w:rPr>
              <w:t xml:space="preserve"> – </w:t>
            </w:r>
            <w:r>
              <w:rPr>
                <w:rFonts w:cs="Arial"/>
                <w:lang w:val="en-US" w:eastAsia="zh-CN"/>
              </w:rPr>
              <w:t>6425</w:t>
            </w:r>
            <w:r>
              <w:rPr>
                <w:rFonts w:cs="Arial"/>
                <w:lang w:eastAsia="da-DK"/>
              </w:rPr>
              <w:t xml:space="preserve"> MHz</w:t>
            </w:r>
          </w:p>
        </w:tc>
        <w:tc>
          <w:tcPr>
            <w:tcW w:w="879" w:type="dxa"/>
            <w:tcBorders>
              <w:top w:val="single" w:sz="4" w:space="0" w:color="auto"/>
              <w:left w:val="single" w:sz="4" w:space="0" w:color="auto"/>
              <w:bottom w:val="single" w:sz="4" w:space="0" w:color="auto"/>
              <w:right w:val="single" w:sz="4" w:space="0" w:color="auto"/>
            </w:tcBorders>
          </w:tcPr>
          <w:p w14:paraId="0E41F04E" w14:textId="21444425" w:rsidR="00DC1FD1" w:rsidRDefault="00DC1FD1" w:rsidP="00DC1FD1">
            <w:pPr>
              <w:pStyle w:val="TAC"/>
              <w:rPr>
                <w:rFonts w:cs="Arial"/>
                <w:lang w:eastAsia="ja-JP"/>
              </w:rPr>
            </w:pPr>
            <w:r>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tcPr>
          <w:p w14:paraId="12AC97B6" w14:textId="52F70653" w:rsidR="00DC1FD1" w:rsidRDefault="00DC1FD1" w:rsidP="00DC1FD1">
            <w:pPr>
              <w:pStyle w:val="TAC"/>
              <w:rPr>
                <w:rFonts w:cs="v5.0.0"/>
              </w:rPr>
            </w:pPr>
            <w:r>
              <w:rPr>
                <w:rFonts w:cs="v5.0.0"/>
                <w:lang w:eastAsia="da-DK"/>
              </w:rPr>
              <w:t>-90 dBm</w:t>
            </w:r>
          </w:p>
        </w:tc>
        <w:tc>
          <w:tcPr>
            <w:tcW w:w="880" w:type="dxa"/>
            <w:tcBorders>
              <w:top w:val="single" w:sz="4" w:space="0" w:color="auto"/>
              <w:left w:val="single" w:sz="4" w:space="0" w:color="auto"/>
              <w:bottom w:val="single" w:sz="4" w:space="0" w:color="auto"/>
              <w:right w:val="single" w:sz="4" w:space="0" w:color="auto"/>
            </w:tcBorders>
          </w:tcPr>
          <w:p w14:paraId="0244DD83" w14:textId="69BA718C" w:rsidR="00DC1FD1" w:rsidRDefault="00DC1FD1" w:rsidP="00DC1FD1">
            <w:pPr>
              <w:pStyle w:val="TAC"/>
              <w:rPr>
                <w:rFonts w:cs="Arial"/>
              </w:rPr>
            </w:pPr>
            <w:r>
              <w:rPr>
                <w:rFonts w:cs="Arial"/>
                <w:lang w:eastAsia="da-DK"/>
              </w:rPr>
              <w:t>-87 dBm</w:t>
            </w:r>
          </w:p>
        </w:tc>
        <w:tc>
          <w:tcPr>
            <w:tcW w:w="1414" w:type="dxa"/>
            <w:tcBorders>
              <w:top w:val="single" w:sz="4" w:space="0" w:color="auto"/>
              <w:left w:val="single" w:sz="4" w:space="0" w:color="auto"/>
              <w:bottom w:val="single" w:sz="4" w:space="0" w:color="auto"/>
              <w:right w:val="single" w:sz="4" w:space="0" w:color="auto"/>
            </w:tcBorders>
          </w:tcPr>
          <w:p w14:paraId="26F2AD81" w14:textId="30A2E812" w:rsidR="00DC1FD1" w:rsidRDefault="00DC1FD1" w:rsidP="00DC1FD1">
            <w:pPr>
              <w:pStyle w:val="TAC"/>
              <w:rPr>
                <w:rFonts w:cs="Arial"/>
                <w:lang w:eastAsia="ja-JP"/>
              </w:rPr>
            </w:pPr>
            <w:r>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46F6E935" w14:textId="77777777" w:rsidR="00DC1FD1" w:rsidRDefault="00DC1FD1" w:rsidP="00DC1FD1">
            <w:pPr>
              <w:pStyle w:val="TAC"/>
              <w:rPr>
                <w:rFonts w:cs="Arial"/>
              </w:rPr>
            </w:pPr>
          </w:p>
        </w:tc>
      </w:tr>
      <w:tr w:rsidR="00DC1FD1" w14:paraId="5766C214"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tcPr>
          <w:p w14:paraId="63459BFF" w14:textId="74ADB6B4" w:rsidR="00DC1FD1" w:rsidRDefault="00DC1FD1" w:rsidP="00DC1FD1">
            <w:pPr>
              <w:pStyle w:val="TAC"/>
            </w:pPr>
            <w:r>
              <w:t xml:space="preserve">E-UTRA Band </w:t>
            </w:r>
            <w:r>
              <w:rPr>
                <w:lang w:eastAsia="zh-CN"/>
              </w:rPr>
              <w:t>103</w:t>
            </w:r>
          </w:p>
        </w:tc>
        <w:tc>
          <w:tcPr>
            <w:tcW w:w="1996" w:type="dxa"/>
            <w:tcBorders>
              <w:top w:val="single" w:sz="4" w:space="0" w:color="auto"/>
              <w:left w:val="single" w:sz="4" w:space="0" w:color="auto"/>
              <w:bottom w:val="single" w:sz="4" w:space="0" w:color="auto"/>
              <w:right w:val="single" w:sz="4" w:space="0" w:color="auto"/>
            </w:tcBorders>
          </w:tcPr>
          <w:p w14:paraId="007E7C07" w14:textId="47471220" w:rsidR="00DC1FD1" w:rsidRDefault="00DC1FD1" w:rsidP="00DC1FD1">
            <w:pPr>
              <w:pStyle w:val="TAC"/>
              <w:rPr>
                <w:rFonts w:cs="Arial"/>
              </w:rPr>
            </w:pPr>
            <w:r>
              <w:rPr>
                <w:rFonts w:cs="Arial"/>
                <w:lang w:eastAsia="zh-CN"/>
              </w:rPr>
              <w:t>787</w:t>
            </w:r>
            <w:r>
              <w:rPr>
                <w:rFonts w:cs="Arial"/>
              </w:rPr>
              <w:t xml:space="preserve"> – 788 MHz</w:t>
            </w:r>
          </w:p>
        </w:tc>
        <w:tc>
          <w:tcPr>
            <w:tcW w:w="879" w:type="dxa"/>
            <w:tcBorders>
              <w:top w:val="single" w:sz="4" w:space="0" w:color="auto"/>
              <w:left w:val="single" w:sz="4" w:space="0" w:color="auto"/>
              <w:bottom w:val="single" w:sz="4" w:space="0" w:color="auto"/>
              <w:right w:val="single" w:sz="4" w:space="0" w:color="auto"/>
            </w:tcBorders>
          </w:tcPr>
          <w:p w14:paraId="0F68CBB9" w14:textId="0C8F1D7C" w:rsidR="00DC1FD1" w:rsidRDefault="00DC1FD1" w:rsidP="00DC1FD1">
            <w:pPr>
              <w:pStyle w:val="TAC"/>
              <w:rPr>
                <w:rFonts w:cs="Arial"/>
                <w:lang w:eastAsia="ja-JP"/>
              </w:rPr>
            </w:pPr>
            <w:r>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425C2E02" w14:textId="696AD8F0" w:rsidR="00DC1FD1" w:rsidRDefault="00DC1FD1" w:rsidP="00DC1FD1">
            <w:pPr>
              <w:pStyle w:val="TAC"/>
              <w:rPr>
                <w:rFonts w:cs="v5.0.0"/>
              </w:rPr>
            </w:pPr>
            <w:r>
              <w:t>-91 dBm</w:t>
            </w:r>
          </w:p>
        </w:tc>
        <w:tc>
          <w:tcPr>
            <w:tcW w:w="880" w:type="dxa"/>
            <w:tcBorders>
              <w:top w:val="single" w:sz="4" w:space="0" w:color="auto"/>
              <w:left w:val="single" w:sz="4" w:space="0" w:color="auto"/>
              <w:bottom w:val="single" w:sz="4" w:space="0" w:color="auto"/>
              <w:right w:val="single" w:sz="4" w:space="0" w:color="auto"/>
            </w:tcBorders>
          </w:tcPr>
          <w:p w14:paraId="655DD1BD" w14:textId="4311668C" w:rsidR="00DC1FD1" w:rsidRDefault="00DC1FD1" w:rsidP="00DC1FD1">
            <w:pPr>
              <w:pStyle w:val="TAC"/>
              <w:rPr>
                <w:rFonts w:cs="Arial"/>
              </w:rPr>
            </w:pPr>
            <w:r>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5B441B12" w14:textId="0D97F044" w:rsidR="00DC1FD1" w:rsidRDefault="00DC1FD1" w:rsidP="00DC1FD1">
            <w:pPr>
              <w:pStyle w:val="TAC"/>
              <w:rPr>
                <w:rFonts w:cs="Arial"/>
                <w:lang w:eastAsia="ja-JP"/>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ECF7274" w14:textId="77777777" w:rsidR="00DC1FD1" w:rsidRDefault="00DC1FD1" w:rsidP="00DC1FD1">
            <w:pPr>
              <w:pStyle w:val="TAC"/>
              <w:rPr>
                <w:rFonts w:cs="Arial"/>
              </w:rPr>
            </w:pPr>
          </w:p>
        </w:tc>
      </w:tr>
      <w:tr w:rsidR="009747FC" w14:paraId="1E6F489B" w14:textId="77777777" w:rsidTr="004C7013">
        <w:trPr>
          <w:cantSplit/>
          <w:jc w:val="center"/>
        </w:trPr>
        <w:tc>
          <w:tcPr>
            <w:tcW w:w="2291" w:type="dxa"/>
            <w:tcBorders>
              <w:top w:val="single" w:sz="4" w:space="0" w:color="auto"/>
              <w:left w:val="single" w:sz="4" w:space="0" w:color="auto"/>
              <w:bottom w:val="single" w:sz="4" w:space="0" w:color="auto"/>
              <w:right w:val="single" w:sz="4" w:space="0" w:color="auto"/>
            </w:tcBorders>
          </w:tcPr>
          <w:p w14:paraId="0A58F1E4" w14:textId="34FD8518" w:rsidR="009747FC" w:rsidRDefault="009747FC" w:rsidP="009747FC">
            <w:pPr>
              <w:pStyle w:val="TAC"/>
            </w:pPr>
            <w:r>
              <w:t>NR Band n</w:t>
            </w:r>
            <w:r>
              <w:rPr>
                <w:rFonts w:hint="eastAsia"/>
                <w:lang w:eastAsia="zh-CN"/>
              </w:rPr>
              <w:t>104</w:t>
            </w:r>
          </w:p>
        </w:tc>
        <w:tc>
          <w:tcPr>
            <w:tcW w:w="1996" w:type="dxa"/>
            <w:tcBorders>
              <w:top w:val="single" w:sz="4" w:space="0" w:color="auto"/>
              <w:left w:val="single" w:sz="4" w:space="0" w:color="auto"/>
              <w:bottom w:val="single" w:sz="4" w:space="0" w:color="auto"/>
              <w:right w:val="single" w:sz="4" w:space="0" w:color="auto"/>
            </w:tcBorders>
          </w:tcPr>
          <w:p w14:paraId="11445E92" w14:textId="7CE7B817" w:rsidR="009747FC" w:rsidRDefault="009747FC" w:rsidP="009747FC">
            <w:pPr>
              <w:pStyle w:val="TAC"/>
              <w:rPr>
                <w:rFonts w:cs="Arial"/>
                <w:lang w:eastAsia="zh-CN"/>
              </w:rPr>
            </w:pPr>
            <w:r>
              <w:rPr>
                <w:rFonts w:cs="Arial" w:hint="eastAsia"/>
                <w:lang w:eastAsia="zh-CN"/>
              </w:rPr>
              <w:t>6425</w:t>
            </w:r>
            <w:r>
              <w:rPr>
                <w:rFonts w:cs="Arial"/>
              </w:rPr>
              <w:t xml:space="preserve"> – </w:t>
            </w:r>
            <w:r>
              <w:rPr>
                <w:rFonts w:cs="Arial" w:hint="eastAsia"/>
                <w:lang w:eastAsia="zh-CN"/>
              </w:rPr>
              <w:t>71</w:t>
            </w:r>
            <w:r>
              <w:rPr>
                <w:rFonts w:cs="Arial"/>
              </w:rPr>
              <w:t>25 MHz</w:t>
            </w:r>
          </w:p>
        </w:tc>
        <w:tc>
          <w:tcPr>
            <w:tcW w:w="879" w:type="dxa"/>
            <w:tcBorders>
              <w:top w:val="single" w:sz="4" w:space="0" w:color="auto"/>
              <w:left w:val="single" w:sz="4" w:space="0" w:color="auto"/>
              <w:bottom w:val="single" w:sz="4" w:space="0" w:color="auto"/>
              <w:right w:val="single" w:sz="4" w:space="0" w:color="auto"/>
            </w:tcBorders>
          </w:tcPr>
          <w:p w14:paraId="06ECB6FF" w14:textId="608E4A68" w:rsidR="009747FC" w:rsidRDefault="009747FC" w:rsidP="009747FC">
            <w:pPr>
              <w:pStyle w:val="TAC"/>
              <w:rPr>
                <w:rFonts w:cs="Arial"/>
              </w:rPr>
            </w:pPr>
            <w:r>
              <w:rPr>
                <w:rFonts w:cs="Arial"/>
              </w:rPr>
              <w:t>-9</w:t>
            </w:r>
            <w:r>
              <w:rPr>
                <w:rFonts w:cs="Arial" w:hint="eastAsia"/>
                <w:lang w:eastAsia="zh-CN"/>
              </w:rPr>
              <w:t>5</w:t>
            </w:r>
            <w:r>
              <w:rPr>
                <w:rFonts w:cs="Arial"/>
              </w:rPr>
              <w:t xml:space="preserve"> dBm</w:t>
            </w:r>
          </w:p>
        </w:tc>
        <w:tc>
          <w:tcPr>
            <w:tcW w:w="879" w:type="dxa"/>
            <w:tcBorders>
              <w:top w:val="single" w:sz="4" w:space="0" w:color="auto"/>
              <w:left w:val="single" w:sz="4" w:space="0" w:color="auto"/>
              <w:bottom w:val="single" w:sz="4" w:space="0" w:color="auto"/>
              <w:right w:val="single" w:sz="4" w:space="0" w:color="auto"/>
            </w:tcBorders>
          </w:tcPr>
          <w:p w14:paraId="423511B4" w14:textId="4DC961F4" w:rsidR="009747FC" w:rsidRDefault="009747FC" w:rsidP="009747FC">
            <w:pPr>
              <w:pStyle w:val="TAC"/>
            </w:pPr>
            <w:r>
              <w:rPr>
                <w:rFonts w:cs="v5.0.0"/>
              </w:rPr>
              <w:t>-9</w:t>
            </w:r>
            <w:r>
              <w:rPr>
                <w:rFonts w:cs="v5.0.0" w:hint="eastAsia"/>
                <w:lang w:eastAsia="zh-CN"/>
              </w:rPr>
              <w:t>0</w:t>
            </w:r>
            <w:r>
              <w:rPr>
                <w:rFonts w:cs="v5.0.0"/>
              </w:rPr>
              <w:t xml:space="preserve"> dBm</w:t>
            </w:r>
          </w:p>
        </w:tc>
        <w:tc>
          <w:tcPr>
            <w:tcW w:w="880" w:type="dxa"/>
            <w:tcBorders>
              <w:top w:val="single" w:sz="4" w:space="0" w:color="auto"/>
              <w:left w:val="single" w:sz="4" w:space="0" w:color="auto"/>
              <w:bottom w:val="single" w:sz="4" w:space="0" w:color="auto"/>
              <w:right w:val="single" w:sz="4" w:space="0" w:color="auto"/>
            </w:tcBorders>
          </w:tcPr>
          <w:p w14:paraId="08F501A8" w14:textId="41BFB63E" w:rsidR="009747FC" w:rsidRDefault="009747FC" w:rsidP="009747FC">
            <w:pPr>
              <w:pStyle w:val="TAC"/>
              <w:rPr>
                <w:rFonts w:cs="Arial"/>
              </w:rPr>
            </w:pPr>
            <w:r>
              <w:rPr>
                <w:rFonts w:cs="Arial"/>
              </w:rPr>
              <w:t>-8</w:t>
            </w:r>
            <w:r>
              <w:rPr>
                <w:rFonts w:cs="Arial" w:hint="eastAsia"/>
                <w:lang w:eastAsia="zh-CN"/>
              </w:rPr>
              <w:t>7</w:t>
            </w:r>
            <w:r>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A4D46A6" w14:textId="72BF31E0" w:rsidR="009747FC" w:rsidRDefault="009747FC" w:rsidP="009747FC">
            <w:pPr>
              <w:pStyle w:val="TAC"/>
              <w:rPr>
                <w:rFonts w:cs="Arial"/>
              </w:rPr>
            </w:pPr>
            <w:r>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19C261F" w14:textId="77777777" w:rsidR="009747FC" w:rsidRDefault="009747FC" w:rsidP="009747FC">
            <w:pPr>
              <w:pStyle w:val="TAC"/>
              <w:rPr>
                <w:rFonts w:cs="Arial"/>
              </w:rPr>
            </w:pPr>
          </w:p>
        </w:tc>
      </w:tr>
    </w:tbl>
    <w:p w14:paraId="02617B88" w14:textId="77777777" w:rsidR="00B3234F" w:rsidRDefault="00B3234F" w:rsidP="00B3234F"/>
    <w:p w14:paraId="70CCBC63" w14:textId="77777777" w:rsidR="00B3234F" w:rsidRDefault="00B3234F" w:rsidP="00B3234F">
      <w:pPr>
        <w:pStyle w:val="NO"/>
      </w:pPr>
      <w:r>
        <w:t>NOTE 1:</w:t>
      </w:r>
      <w:r>
        <w:tab/>
        <w:t>As defined in the scope for spurious emissions in this clause, the co-location requirements in table 6.6.5.2.3-1 do not apply for the frequency range extending Δf</w:t>
      </w:r>
      <w:r>
        <w:rPr>
          <w:vertAlign w:val="subscript"/>
        </w:rPr>
        <w:t>OBUE</w:t>
      </w:r>
      <w:r>
        <w:t xml:space="preserve"> immediately outside the transmit frequency range of a IAB-MT and IAB-DU. The current state-of-the-art technology does not allow a single generic solution for co-location with </w:t>
      </w:r>
      <w:r>
        <w:rPr>
          <w:lang w:eastAsia="zh-CN"/>
        </w:rPr>
        <w:t>other system</w:t>
      </w:r>
      <w:r>
        <w:t xml:space="preserve"> on adjacent frequencies for 30dB antenna to antenna minimum coupling loss. However, there are certain site-engineering solutions that can be used. These techniques are addressed in TR 25.942 [4].</w:t>
      </w:r>
    </w:p>
    <w:p w14:paraId="796413B5" w14:textId="77777777" w:rsidR="00B3234F" w:rsidRDefault="00B3234F" w:rsidP="00B3234F">
      <w:pPr>
        <w:pStyle w:val="NO"/>
      </w:pPr>
      <w:r>
        <w:t>NOTE 2:</w:t>
      </w:r>
      <w:r>
        <w:tab/>
        <w:t xml:space="preserve">Table 6.6.5.2.3-1 assumes that two </w:t>
      </w:r>
      <w:r>
        <w:rPr>
          <w:i/>
        </w:rPr>
        <w:t>operating bands</w:t>
      </w:r>
      <w:r>
        <w:t>, where the corresponding transmit and receive frequency ranges in table 5.2-1 would be overlapping, are not deployed in the same geographical area. For such a case of operation with overlapping frequency arrangements in the same geographical area, special co-location requirements may apply that are not covered by the 3GPP specifications.</w:t>
      </w:r>
    </w:p>
    <w:p w14:paraId="0F54ED56" w14:textId="77777777" w:rsidR="00B3234F" w:rsidRDefault="00B3234F" w:rsidP="00B3234F">
      <w:pPr>
        <w:pStyle w:val="Heading4"/>
      </w:pPr>
      <w:bookmarkStart w:id="2410" w:name="_Toc45893496"/>
      <w:bookmarkStart w:id="2411" w:name="_Toc44712183"/>
      <w:bookmarkStart w:id="2412" w:name="_Toc37267581"/>
      <w:bookmarkStart w:id="2413" w:name="_Toc37260193"/>
      <w:bookmarkStart w:id="2414" w:name="_Toc36817276"/>
      <w:bookmarkStart w:id="2415" w:name="_Toc29811724"/>
      <w:bookmarkStart w:id="2416" w:name="_Toc21127515"/>
      <w:bookmarkStart w:id="2417" w:name="_Toc53185380"/>
      <w:bookmarkStart w:id="2418" w:name="_Toc53185756"/>
      <w:bookmarkStart w:id="2419" w:name="_Toc57820232"/>
      <w:bookmarkStart w:id="2420" w:name="_Toc57821159"/>
      <w:bookmarkStart w:id="2421" w:name="_Toc61183435"/>
      <w:bookmarkStart w:id="2422" w:name="_Toc61183829"/>
      <w:bookmarkStart w:id="2423" w:name="_Toc61184221"/>
      <w:bookmarkStart w:id="2424" w:name="_Toc61184613"/>
      <w:bookmarkStart w:id="2425" w:name="_Toc61185003"/>
      <w:bookmarkStart w:id="2426" w:name="_Toc66386346"/>
      <w:bookmarkStart w:id="2427" w:name="_Toc74583187"/>
      <w:bookmarkStart w:id="2428" w:name="_Toc76542000"/>
      <w:bookmarkStart w:id="2429" w:name="_Toc82449982"/>
      <w:bookmarkStart w:id="2430" w:name="_Toc82450630"/>
      <w:bookmarkStart w:id="2431" w:name="_Toc89949019"/>
      <w:bookmarkStart w:id="2432" w:name="_Toc98755408"/>
      <w:bookmarkStart w:id="2433" w:name="_Toc98762999"/>
      <w:bookmarkStart w:id="2434" w:name="_Toc106183928"/>
      <w:r>
        <w:t>6.6.5.3</w:t>
      </w:r>
      <w:r>
        <w:tab/>
        <w:t xml:space="preserve">Minimum requirements for </w:t>
      </w:r>
      <w:r>
        <w:rPr>
          <w:i/>
        </w:rPr>
        <w:t xml:space="preserve">IAB-DU </w:t>
      </w:r>
      <w:r w:rsidRPr="00743313">
        <w:rPr>
          <w:iCs/>
        </w:rPr>
        <w:t>and</w:t>
      </w:r>
      <w:r>
        <w:rPr>
          <w:i/>
        </w:rPr>
        <w:t xml:space="preserve"> IAB-MT type 1-H</w:t>
      </w:r>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p>
    <w:p w14:paraId="4821A2FB" w14:textId="77777777" w:rsidR="00B3234F" w:rsidRDefault="00B3234F" w:rsidP="00B3234F">
      <w:r>
        <w:t xml:space="preserve">The Tx spurious emissions requirements for </w:t>
      </w:r>
      <w:r>
        <w:rPr>
          <w:i/>
        </w:rPr>
        <w:t>IAB-DU type 1-H</w:t>
      </w:r>
      <w:r>
        <w:t xml:space="preserve"> and </w:t>
      </w:r>
      <w:r w:rsidRPr="00743313">
        <w:rPr>
          <w:i/>
          <w:iCs/>
        </w:rPr>
        <w:t>IAB-MT type 1-H</w:t>
      </w:r>
      <w:r>
        <w:t xml:space="preserve"> are that for each </w:t>
      </w:r>
      <w:r>
        <w:rPr>
          <w:i/>
        </w:rPr>
        <w:t>TAB connector TX min cell group</w:t>
      </w:r>
      <w:r>
        <w:t xml:space="preserve"> and each applicable </w:t>
      </w:r>
      <w:r>
        <w:rPr>
          <w:i/>
        </w:rPr>
        <w:t>basic limit</w:t>
      </w:r>
      <w:r>
        <w:t xml:space="preserve"> in clause 6.6.5.2, the power summation of emissions at the </w:t>
      </w:r>
      <w:r>
        <w:rPr>
          <w:i/>
        </w:rPr>
        <w:t>TAB connectors</w:t>
      </w:r>
      <w:r>
        <w:t xml:space="preserve"> of the </w:t>
      </w:r>
      <w:r>
        <w:rPr>
          <w:i/>
        </w:rPr>
        <w:t>TAB connector TX min cell group</w:t>
      </w:r>
      <w:r>
        <w:t xml:space="preserve"> shall not exceed a limit specified as the </w:t>
      </w:r>
      <w:r>
        <w:rPr>
          <w:i/>
        </w:rPr>
        <w:t>basic limit</w:t>
      </w:r>
      <w:r>
        <w:t xml:space="preserve"> + X, where X = 10log</w:t>
      </w:r>
      <w:r>
        <w:rPr>
          <w:vertAlign w:val="subscript"/>
        </w:rPr>
        <w:t>10</w:t>
      </w:r>
      <w:r>
        <w:t>(N</w:t>
      </w:r>
      <w:r>
        <w:rPr>
          <w:vertAlign w:val="subscript"/>
        </w:rPr>
        <w:t>TXU,countedpercell</w:t>
      </w:r>
      <w:r>
        <w:t>), unless stated differently in regional regulation.</w:t>
      </w:r>
    </w:p>
    <w:p w14:paraId="4D764D80" w14:textId="77777777" w:rsidR="00B3234F" w:rsidRDefault="00B3234F" w:rsidP="00B3234F">
      <w:pPr>
        <w:pStyle w:val="NO"/>
      </w:pPr>
      <w:r>
        <w:t>NOTE:</w:t>
      </w:r>
      <w:r>
        <w:tab/>
        <w:t xml:space="preserve">Conformance to the </w:t>
      </w:r>
      <w:r>
        <w:rPr>
          <w:i/>
        </w:rPr>
        <w:t xml:space="preserve">IAB-DU type 1-H </w:t>
      </w:r>
      <w:r w:rsidRPr="00743313">
        <w:rPr>
          <w:iCs/>
        </w:rPr>
        <w:t>and</w:t>
      </w:r>
      <w:r>
        <w:rPr>
          <w:i/>
        </w:rPr>
        <w:t xml:space="preserve"> IAB-MT type 1-H </w:t>
      </w:r>
      <w:r>
        <w:t>spurious emission requirement can be demonstrated by meeting at least one of the following criteria as determined by the manufacturer:</w:t>
      </w:r>
    </w:p>
    <w:p w14:paraId="4E880AEE" w14:textId="46FF5AAF" w:rsidR="00B3234F" w:rsidRDefault="00B3234F" w:rsidP="004C7013">
      <w:pPr>
        <w:pStyle w:val="B30"/>
      </w:pPr>
      <w:r>
        <w:t>1)</w:t>
      </w:r>
      <w:r w:rsidR="004C7013">
        <w:tab/>
      </w:r>
      <w:r>
        <w:t xml:space="preserve">The sum of the emissions power measured on each </w:t>
      </w:r>
      <w:r>
        <w:rPr>
          <w:i/>
        </w:rPr>
        <w:t>TAB connector</w:t>
      </w:r>
      <w:r>
        <w:t xml:space="preserve"> in the </w:t>
      </w:r>
      <w:r>
        <w:rPr>
          <w:i/>
        </w:rPr>
        <w:t>TAB connector TX min cell group</w:t>
      </w:r>
      <w:r>
        <w:t xml:space="preserve"> shall be less than or equal to the limit as defined in this clause for the respective frequency span.</w:t>
      </w:r>
    </w:p>
    <w:p w14:paraId="541827B9" w14:textId="4BFF2D00" w:rsidR="00B3234F" w:rsidRDefault="00B3234F" w:rsidP="004C7013">
      <w:pPr>
        <w:pStyle w:val="B4"/>
      </w:pPr>
      <w:r>
        <w:t>Or</w:t>
      </w:r>
    </w:p>
    <w:p w14:paraId="3DB8C730" w14:textId="6E07633E" w:rsidR="00B3234F" w:rsidRDefault="00B3234F" w:rsidP="004C7013">
      <w:pPr>
        <w:pStyle w:val="B30"/>
      </w:pPr>
      <w:r>
        <w:t>2)</w:t>
      </w:r>
      <w:r w:rsidR="004C7013">
        <w:tab/>
      </w:r>
      <w:r>
        <w:t xml:space="preserve">The unwanted emissions power at each </w:t>
      </w:r>
      <w:r>
        <w:rPr>
          <w:i/>
        </w:rPr>
        <w:t>TAB connector</w:t>
      </w:r>
      <w:r>
        <w:t xml:space="preserve"> shall be less than or equal to the </w:t>
      </w:r>
      <w:r>
        <w:rPr>
          <w:i/>
        </w:rPr>
        <w:t>type 1-H</w:t>
      </w:r>
      <w:r>
        <w:t xml:space="preserve"> limit as defined in this clause for the respective frequency span, scaled by -10log</w:t>
      </w:r>
      <w:r>
        <w:rPr>
          <w:vertAlign w:val="subscript"/>
        </w:rPr>
        <w:t>10</w:t>
      </w:r>
      <w:r>
        <w:t xml:space="preserve">(n), where n is the number of </w:t>
      </w:r>
      <w:r>
        <w:rPr>
          <w:i/>
        </w:rPr>
        <w:t>TAB connectors</w:t>
      </w:r>
      <w:r>
        <w:t xml:space="preserve"> in the </w:t>
      </w:r>
      <w:r>
        <w:rPr>
          <w:i/>
        </w:rPr>
        <w:t>TAB connector TX min cell group</w:t>
      </w:r>
      <w:r>
        <w:t>.</w:t>
      </w:r>
    </w:p>
    <w:p w14:paraId="1B8227D0" w14:textId="77777777" w:rsidR="00606E87" w:rsidRPr="00606E87" w:rsidRDefault="00606E87" w:rsidP="005B59D6">
      <w:bookmarkStart w:id="2435" w:name="_Toc13080226"/>
      <w:bookmarkStart w:id="2436" w:name="_Toc18916170"/>
    </w:p>
    <w:p w14:paraId="54CBF4F5" w14:textId="77777777" w:rsidR="00077B6E" w:rsidRPr="00723B6E" w:rsidRDefault="00077B6E" w:rsidP="00077B6E">
      <w:pPr>
        <w:pStyle w:val="Heading2"/>
        <w:rPr>
          <w:lang w:val="de-DE"/>
        </w:rPr>
      </w:pPr>
      <w:bookmarkStart w:id="2437" w:name="_Toc53185381"/>
      <w:bookmarkStart w:id="2438" w:name="_Toc53185757"/>
      <w:bookmarkStart w:id="2439" w:name="_Toc57820233"/>
      <w:bookmarkStart w:id="2440" w:name="_Toc57821160"/>
      <w:bookmarkStart w:id="2441" w:name="_Toc61183436"/>
      <w:bookmarkStart w:id="2442" w:name="_Toc61183830"/>
      <w:bookmarkStart w:id="2443" w:name="_Toc61184222"/>
      <w:bookmarkStart w:id="2444" w:name="_Toc61184614"/>
      <w:bookmarkStart w:id="2445" w:name="_Toc61185004"/>
      <w:bookmarkStart w:id="2446" w:name="_Toc66386347"/>
      <w:bookmarkStart w:id="2447" w:name="_Toc74583188"/>
      <w:bookmarkStart w:id="2448" w:name="_Toc76542001"/>
      <w:bookmarkStart w:id="2449" w:name="_Toc82449983"/>
      <w:bookmarkStart w:id="2450" w:name="_Toc82450631"/>
      <w:bookmarkStart w:id="2451" w:name="_Toc89949020"/>
      <w:bookmarkStart w:id="2452" w:name="_Toc98755409"/>
      <w:bookmarkStart w:id="2453" w:name="_Toc98763000"/>
      <w:bookmarkStart w:id="2454" w:name="_Toc106183929"/>
      <w:r w:rsidRPr="00723B6E">
        <w:rPr>
          <w:lang w:val="de-DE"/>
        </w:rPr>
        <w:t>6.7</w:t>
      </w:r>
      <w:r w:rsidRPr="00723B6E">
        <w:rPr>
          <w:lang w:val="de-DE"/>
        </w:rPr>
        <w:tab/>
        <w:t>Transmitter intermodulation</w:t>
      </w:r>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p>
    <w:p w14:paraId="01C161CF" w14:textId="77777777" w:rsidR="00442F30" w:rsidRDefault="00442F30" w:rsidP="00442F30">
      <w:pPr>
        <w:pStyle w:val="Heading3"/>
        <w:ind w:left="0" w:firstLine="0"/>
      </w:pPr>
      <w:bookmarkStart w:id="2455" w:name="_Toc37268572"/>
      <w:bookmarkStart w:id="2456" w:name="_Toc29811166"/>
      <w:bookmarkStart w:id="2457" w:name="_Toc29811617"/>
      <w:bookmarkStart w:id="2458" w:name="_Toc37268121"/>
      <w:bookmarkStart w:id="2459" w:name="_Toc13079678"/>
      <w:bookmarkStart w:id="2460" w:name="_Toc53185382"/>
      <w:bookmarkStart w:id="2461" w:name="_Toc53185758"/>
      <w:bookmarkStart w:id="2462" w:name="_Toc57820234"/>
      <w:bookmarkStart w:id="2463" w:name="_Toc57821161"/>
      <w:bookmarkStart w:id="2464" w:name="_Toc61183437"/>
      <w:bookmarkStart w:id="2465" w:name="_Toc61183831"/>
      <w:bookmarkStart w:id="2466" w:name="_Toc61184223"/>
      <w:bookmarkStart w:id="2467" w:name="_Toc61184615"/>
      <w:bookmarkStart w:id="2468" w:name="_Toc61185005"/>
      <w:bookmarkStart w:id="2469" w:name="_Toc66386348"/>
      <w:bookmarkStart w:id="2470" w:name="_Toc74583189"/>
      <w:bookmarkStart w:id="2471" w:name="_Toc76542002"/>
      <w:bookmarkStart w:id="2472" w:name="_Toc82449984"/>
      <w:bookmarkStart w:id="2473" w:name="_Toc82450632"/>
      <w:bookmarkStart w:id="2474" w:name="_Toc89949021"/>
      <w:bookmarkStart w:id="2475" w:name="_Toc98755410"/>
      <w:bookmarkStart w:id="2476" w:name="_Toc98763001"/>
      <w:bookmarkStart w:id="2477" w:name="_Toc106183930"/>
      <w:r>
        <w:t>6.7.1</w:t>
      </w:r>
      <w:r>
        <w:tab/>
        <w:t>General</w:t>
      </w:r>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p>
    <w:p w14:paraId="72D1E929" w14:textId="77777777" w:rsidR="00442F30" w:rsidRDefault="00442F30" w:rsidP="00442F30">
      <w:pPr>
        <w:rPr>
          <w:lang w:eastAsia="zh-CN"/>
        </w:rPr>
      </w:pPr>
      <w:r>
        <w:t xml:space="preserve">The transmitter intermodulation requirement is a measure of the capability of the transmitter unit to inhibit the generation of signals in its non-linear elements caused by presence of the wanted signal and an interfering signal reaching the transmitter unit via the </w:t>
      </w:r>
      <w:r>
        <w:rPr>
          <w:lang w:eastAsia="zh-CN"/>
        </w:rPr>
        <w:t xml:space="preserve">antenna, </w:t>
      </w:r>
      <w:r>
        <w:t xml:space="preserve">RDN and antenna array. The requirement shall apply during the </w:t>
      </w:r>
      <w:r>
        <w:rPr>
          <w:i/>
        </w:rPr>
        <w:t>transmitter ON period</w:t>
      </w:r>
      <w:r>
        <w:t xml:space="preserve"> and the </w:t>
      </w:r>
      <w:r>
        <w:rPr>
          <w:i/>
        </w:rPr>
        <w:t>transmitter transient period</w:t>
      </w:r>
      <w:r>
        <w:t>.</w:t>
      </w:r>
    </w:p>
    <w:p w14:paraId="79EAB51E" w14:textId="77777777" w:rsidR="00442F30" w:rsidRDefault="00442F30" w:rsidP="00442F30">
      <w:r>
        <w:rPr>
          <w:lang w:eastAsia="zh-CN"/>
        </w:rPr>
        <w:t xml:space="preserve">For </w:t>
      </w:r>
      <w:r>
        <w:rPr>
          <w:rFonts w:hint="eastAsia"/>
          <w:i/>
          <w:lang w:val="en-US" w:eastAsia="zh-CN"/>
        </w:rPr>
        <w:t>IAB</w:t>
      </w:r>
      <w:r>
        <w:rPr>
          <w:i/>
          <w:lang w:eastAsia="zh-CN"/>
        </w:rPr>
        <w:t xml:space="preserve"> type 1-H</w:t>
      </w:r>
      <w:r>
        <w:rPr>
          <w:lang w:eastAsia="zh-CN"/>
        </w:rPr>
        <w:t>, t</w:t>
      </w:r>
      <w:r>
        <w:t xml:space="preserve">he transmitter intermodulation level is the power of the intermodulation products when an interfering signal is injected into the </w:t>
      </w:r>
      <w:r>
        <w:rPr>
          <w:i/>
        </w:rPr>
        <w:t>TAB connector</w:t>
      </w:r>
      <w:r>
        <w:t>.</w:t>
      </w:r>
    </w:p>
    <w:p w14:paraId="3C332DF8" w14:textId="77777777" w:rsidR="00442F30" w:rsidRDefault="00442F30" w:rsidP="00442F30">
      <w:pPr>
        <w:rPr>
          <w:lang w:eastAsia="zh-CN"/>
        </w:rPr>
      </w:pPr>
      <w:r>
        <w:t xml:space="preserve">For </w:t>
      </w:r>
      <w:r>
        <w:rPr>
          <w:rFonts w:hint="eastAsia"/>
          <w:i/>
          <w:lang w:val="en-US" w:eastAsia="zh-CN"/>
        </w:rPr>
        <w:t>IAB</w:t>
      </w:r>
      <w:r>
        <w:rPr>
          <w:i/>
        </w:rPr>
        <w:t xml:space="preserve"> type 1-H</w:t>
      </w:r>
      <w:r>
        <w:t>, there are two types of transmitter intermodulation cases captured by the transmitter intermodulation requirement:</w:t>
      </w:r>
    </w:p>
    <w:p w14:paraId="1277567E" w14:textId="77777777" w:rsidR="00442F30" w:rsidRDefault="00442F30" w:rsidP="00442F30">
      <w:pPr>
        <w:pStyle w:val="B10"/>
      </w:pPr>
      <w:r>
        <w:t>1)</w:t>
      </w:r>
      <w:r>
        <w:tab/>
        <w:t xml:space="preserve">Co-location transmitter intermodulation in which the interfering signal is from a co-located </w:t>
      </w:r>
      <w:r>
        <w:rPr>
          <w:rFonts w:hint="eastAsia"/>
          <w:lang w:val="en-US" w:eastAsia="zh-CN"/>
        </w:rPr>
        <w:t>base station or IAB</w:t>
      </w:r>
      <w:r>
        <w:t>.</w:t>
      </w:r>
    </w:p>
    <w:p w14:paraId="073DD99F" w14:textId="77777777" w:rsidR="00442F30" w:rsidRDefault="00442F30" w:rsidP="00442F30">
      <w:pPr>
        <w:pStyle w:val="B10"/>
      </w:pPr>
      <w:r>
        <w:t>2)</w:t>
      </w:r>
      <w:r>
        <w:tab/>
        <w:t xml:space="preserve">Intra-system transmitter intermodulation in which the interfering signal is from other transmitter units within the </w:t>
      </w:r>
      <w:r>
        <w:rPr>
          <w:rFonts w:hint="eastAsia"/>
          <w:i/>
          <w:lang w:val="en-US" w:eastAsia="zh-CN"/>
        </w:rPr>
        <w:t>IAB</w:t>
      </w:r>
      <w:r>
        <w:rPr>
          <w:i/>
        </w:rPr>
        <w:t xml:space="preserve"> type 1-H</w:t>
      </w:r>
      <w:r>
        <w:t>.</w:t>
      </w:r>
    </w:p>
    <w:p w14:paraId="6AD264ED" w14:textId="77777777" w:rsidR="00442F30" w:rsidRDefault="00442F30" w:rsidP="00442F30">
      <w:r>
        <w:lastRenderedPageBreak/>
        <w:t xml:space="preserve">For </w:t>
      </w:r>
      <w:r>
        <w:rPr>
          <w:rFonts w:hint="eastAsia"/>
          <w:i/>
          <w:lang w:val="en-US" w:eastAsia="zh-CN"/>
        </w:rPr>
        <w:t>IAB</w:t>
      </w:r>
      <w:r>
        <w:rPr>
          <w:i/>
        </w:rPr>
        <w:t xml:space="preserve"> type 1-H</w:t>
      </w:r>
      <w:r>
        <w:t>, the co-location transmitter intermodulation requirement is considered sufficient if the interference signal for the co-location requirement is higher than the declared interference signal for intra-system transmitter intermodulation requirement.</w:t>
      </w:r>
    </w:p>
    <w:p w14:paraId="0D84153C" w14:textId="4A81CA6B" w:rsidR="00AB1323" w:rsidRDefault="00AB1323" w:rsidP="00AB1323">
      <w:pPr>
        <w:rPr>
          <w:lang w:val="de-DE"/>
        </w:rPr>
      </w:pPr>
    </w:p>
    <w:p w14:paraId="1B24174D" w14:textId="77777777" w:rsidR="009A4E0A" w:rsidRDefault="009A4E0A" w:rsidP="009A4E0A">
      <w:pPr>
        <w:pStyle w:val="Heading3"/>
        <w:ind w:leftChars="31" w:left="62" w:firstLine="0"/>
      </w:pPr>
      <w:bookmarkStart w:id="2478" w:name="_Toc37268125"/>
      <w:bookmarkStart w:id="2479" w:name="_Toc29811621"/>
      <w:bookmarkStart w:id="2480" w:name="_Toc29811170"/>
      <w:bookmarkStart w:id="2481" w:name="_Toc37268576"/>
      <w:bookmarkStart w:id="2482" w:name="_Toc13079682"/>
      <w:bookmarkStart w:id="2483" w:name="_Toc53185383"/>
      <w:bookmarkStart w:id="2484" w:name="_Toc53185759"/>
      <w:bookmarkStart w:id="2485" w:name="_Toc57820235"/>
      <w:bookmarkStart w:id="2486" w:name="_Toc57821162"/>
      <w:bookmarkStart w:id="2487" w:name="_Toc61183438"/>
      <w:bookmarkStart w:id="2488" w:name="_Toc61183832"/>
      <w:bookmarkStart w:id="2489" w:name="_Toc61184224"/>
      <w:bookmarkStart w:id="2490" w:name="_Toc61184616"/>
      <w:bookmarkStart w:id="2491" w:name="_Toc61185006"/>
      <w:bookmarkStart w:id="2492" w:name="_Toc66386349"/>
      <w:bookmarkStart w:id="2493" w:name="_Toc74583190"/>
      <w:bookmarkStart w:id="2494" w:name="_Toc76542003"/>
      <w:bookmarkStart w:id="2495" w:name="_Toc82449985"/>
      <w:bookmarkStart w:id="2496" w:name="_Toc82450633"/>
      <w:bookmarkStart w:id="2497" w:name="_Toc89949022"/>
      <w:bookmarkStart w:id="2498" w:name="_Toc98755411"/>
      <w:bookmarkStart w:id="2499" w:name="_Toc98763002"/>
      <w:bookmarkStart w:id="2500" w:name="_Toc106183931"/>
      <w:r>
        <w:t>6.7.</w:t>
      </w:r>
      <w:r>
        <w:rPr>
          <w:rFonts w:hint="eastAsia"/>
        </w:rPr>
        <w:t>2</w:t>
      </w:r>
      <w:r>
        <w:tab/>
        <w:t xml:space="preserve">Minimum requirements for </w:t>
      </w:r>
      <w:r>
        <w:rPr>
          <w:rFonts w:hint="eastAsia"/>
          <w:i/>
        </w:rPr>
        <w:t>IAB</w:t>
      </w:r>
      <w:r>
        <w:rPr>
          <w:rFonts w:hint="eastAsia"/>
          <w:i/>
          <w:lang w:val="en-US" w:eastAsia="zh-CN"/>
        </w:rPr>
        <w:t>-DU</w:t>
      </w:r>
      <w:r>
        <w:rPr>
          <w:i/>
        </w:rPr>
        <w:t xml:space="preserve"> type 1-H</w:t>
      </w:r>
      <w:bookmarkEnd w:id="2478"/>
      <w:bookmarkEnd w:id="2479"/>
      <w:bookmarkEnd w:id="2480"/>
      <w:bookmarkEnd w:id="2481"/>
      <w:bookmarkEnd w:id="2482"/>
      <w:r>
        <w:rPr>
          <w:rFonts w:hint="eastAsia"/>
          <w:i/>
          <w:lang w:val="en-US" w:eastAsia="zh-CN"/>
        </w:rPr>
        <w:t xml:space="preserve"> </w:t>
      </w:r>
      <w:r>
        <w:rPr>
          <w:rFonts w:hint="eastAsia"/>
          <w:iCs/>
          <w:lang w:val="en-US" w:eastAsia="zh-CN"/>
        </w:rPr>
        <w:t>and</w:t>
      </w:r>
      <w:r>
        <w:rPr>
          <w:rFonts w:hint="eastAsia"/>
          <w:i/>
          <w:lang w:val="en-US" w:eastAsia="zh-CN"/>
        </w:rPr>
        <w:t xml:space="preserve"> IAB-MT type 1-H</w:t>
      </w:r>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p>
    <w:p w14:paraId="529E97B3" w14:textId="0CF55E8F" w:rsidR="009A4E0A" w:rsidRDefault="003E36E9" w:rsidP="009A4E0A">
      <w:pPr>
        <w:pStyle w:val="Heading4"/>
        <w:ind w:leftChars="32" w:left="64" w:firstLine="0"/>
      </w:pPr>
      <w:bookmarkStart w:id="2501" w:name="_Toc37268577"/>
      <w:bookmarkStart w:id="2502" w:name="_Toc37268126"/>
      <w:bookmarkStart w:id="2503" w:name="_Toc29811622"/>
      <w:bookmarkStart w:id="2504" w:name="_Toc29811171"/>
      <w:bookmarkStart w:id="2505" w:name="_Toc13079683"/>
      <w:bookmarkStart w:id="2506" w:name="_Toc53185384"/>
      <w:bookmarkStart w:id="2507" w:name="_Toc53185760"/>
      <w:bookmarkStart w:id="2508" w:name="_Toc57820236"/>
      <w:bookmarkStart w:id="2509" w:name="_Toc57821163"/>
      <w:bookmarkStart w:id="2510" w:name="_Toc61183439"/>
      <w:bookmarkStart w:id="2511" w:name="_Toc61183833"/>
      <w:bookmarkStart w:id="2512" w:name="_Toc61184225"/>
      <w:bookmarkStart w:id="2513" w:name="_Toc61184617"/>
      <w:bookmarkStart w:id="2514" w:name="_Toc61185007"/>
      <w:bookmarkStart w:id="2515" w:name="_Toc66386350"/>
      <w:bookmarkStart w:id="2516" w:name="_Toc74583191"/>
      <w:bookmarkStart w:id="2517" w:name="_Toc76542004"/>
      <w:bookmarkStart w:id="2518" w:name="_Toc82449986"/>
      <w:bookmarkStart w:id="2519" w:name="_Toc82450634"/>
      <w:bookmarkStart w:id="2520" w:name="_Toc89949023"/>
      <w:bookmarkStart w:id="2521" w:name="_Toc98755412"/>
      <w:bookmarkStart w:id="2522" w:name="_Toc98763003"/>
      <w:bookmarkStart w:id="2523" w:name="_Toc106183932"/>
      <w:r>
        <w:t>6.7.</w:t>
      </w:r>
      <w:r>
        <w:rPr>
          <w:rFonts w:hint="eastAsia"/>
        </w:rPr>
        <w:t>2.1</w:t>
      </w:r>
      <w:r w:rsidR="009A4E0A">
        <w:tab/>
        <w:t>Co-location minimum requirements</w:t>
      </w:r>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p>
    <w:p w14:paraId="1E850660" w14:textId="77777777" w:rsidR="003E36E9" w:rsidRDefault="003E36E9" w:rsidP="003E36E9">
      <w:pPr>
        <w:rPr>
          <w:lang w:eastAsia="zh-CN"/>
        </w:rPr>
      </w:pPr>
      <w:r>
        <w:t xml:space="preserve">The transmitter intermodulation level shall not exceed the unwanted emission limits in clauses </w:t>
      </w:r>
      <w:r>
        <w:rPr>
          <w:rFonts w:hint="eastAsia"/>
          <w:lang w:val="en-US" w:eastAsia="zh-CN"/>
        </w:rPr>
        <w:t>7.6</w:t>
      </w:r>
      <w:r>
        <w:t xml:space="preserve"> in the presence of an NR interfering signal according to </w:t>
      </w:r>
      <w:r>
        <w:rPr>
          <w:lang w:eastAsia="zh-CN"/>
        </w:rPr>
        <w:t>table 6.7.</w:t>
      </w:r>
      <w:r>
        <w:rPr>
          <w:rFonts w:hint="eastAsia"/>
          <w:lang w:val="en-US" w:eastAsia="zh-CN"/>
        </w:rPr>
        <w:t xml:space="preserve"> 2.1</w:t>
      </w:r>
      <w:r>
        <w:rPr>
          <w:lang w:eastAsia="zh-CN"/>
        </w:rPr>
        <w:t>-1</w:t>
      </w:r>
    </w:p>
    <w:p w14:paraId="70524F4A" w14:textId="77777777" w:rsidR="003E36E9" w:rsidRDefault="003E36E9" w:rsidP="003E36E9">
      <w:r>
        <w:t xml:space="preserve">The requirement is applicable outside the </w:t>
      </w:r>
      <w:r>
        <w:rPr>
          <w:rFonts w:hint="eastAsia"/>
          <w:i/>
          <w:lang w:eastAsia="zh-CN"/>
        </w:rPr>
        <w:t>IAB</w:t>
      </w:r>
      <w:r>
        <w:rPr>
          <w:i/>
        </w:rPr>
        <w:t xml:space="preserve"> RF Bandwidth edges</w:t>
      </w:r>
      <w:r>
        <w:t xml:space="preserve">. The interfering signal offset is defined relative to the </w:t>
      </w:r>
      <w:r>
        <w:rPr>
          <w:rFonts w:hint="eastAsia"/>
          <w:i/>
          <w:lang w:val="en-US" w:eastAsia="zh-CN"/>
        </w:rPr>
        <w:t>IAB</w:t>
      </w:r>
      <w:r>
        <w:rPr>
          <w:i/>
        </w:rPr>
        <w:t xml:space="preserve"> RF Bandwidth</w:t>
      </w:r>
      <w:r>
        <w:t xml:space="preserve"> </w:t>
      </w:r>
      <w:r>
        <w:rPr>
          <w:i/>
        </w:rPr>
        <w:t>edges</w:t>
      </w:r>
      <w:r>
        <w:t xml:space="preserve"> or </w:t>
      </w:r>
      <w:r>
        <w:rPr>
          <w:i/>
        </w:rPr>
        <w:t>Radio Bandwidth</w:t>
      </w:r>
      <w:r>
        <w:t xml:space="preserve"> edges.</w:t>
      </w:r>
    </w:p>
    <w:p w14:paraId="20B8AF7D" w14:textId="77777777" w:rsidR="003E36E9" w:rsidRDefault="003E36E9" w:rsidP="003E36E9">
      <w:r>
        <w:t xml:space="preserve">For </w:t>
      </w:r>
      <w:r>
        <w:rPr>
          <w:i/>
        </w:rPr>
        <w:t>TAB connectors</w:t>
      </w:r>
      <w:r>
        <w:t xml:space="preserve"> supporting operation in </w:t>
      </w:r>
      <w:r>
        <w:rPr>
          <w:i/>
        </w:rPr>
        <w:t>non-contiguous spectrum</w:t>
      </w:r>
      <w:r>
        <w:t xml:space="preserve">, the requirement is also applicable inside a </w:t>
      </w:r>
      <w:r>
        <w:rPr>
          <w:i/>
        </w:rPr>
        <w:t>sub-block gap</w:t>
      </w:r>
      <w:r>
        <w:t xml:space="preserve"> for interfering signal offsets where the interfering signal falls completely within the </w:t>
      </w:r>
      <w:r>
        <w:rPr>
          <w:i/>
        </w:rPr>
        <w:t>sub-block gap</w:t>
      </w:r>
      <w:r>
        <w:t xml:space="preserve">. The interfering signal offset is defined relative to the </w:t>
      </w:r>
      <w:r>
        <w:rPr>
          <w:i/>
        </w:rPr>
        <w:t>sub-block</w:t>
      </w:r>
      <w:r>
        <w:t xml:space="preserve"> edges.</w:t>
      </w:r>
    </w:p>
    <w:p w14:paraId="68310D93" w14:textId="77777777" w:rsidR="003E36E9" w:rsidRDefault="003E36E9" w:rsidP="003E36E9">
      <w:r>
        <w:t xml:space="preserve">For </w:t>
      </w:r>
      <w:r>
        <w:rPr>
          <w:i/>
        </w:rPr>
        <w:t>multi-band connector</w:t>
      </w:r>
      <w:r>
        <w:t xml:space="preserve">, the requirement shall apply relative to the </w:t>
      </w:r>
      <w:r>
        <w:rPr>
          <w:rFonts w:hint="eastAsia"/>
          <w:i/>
          <w:lang w:val="en-US" w:eastAsia="zh-CN"/>
        </w:rPr>
        <w:t>IAB</w:t>
      </w:r>
      <w:r>
        <w:rPr>
          <w:i/>
        </w:rPr>
        <w:t xml:space="preserve"> RF Bandwidth</w:t>
      </w:r>
      <w:r>
        <w:t xml:space="preserve"> </w:t>
      </w:r>
      <w:r>
        <w:rPr>
          <w:i/>
        </w:rPr>
        <w:t>edges</w:t>
      </w:r>
      <w:r>
        <w:t xml:space="preserve"> of each </w:t>
      </w:r>
      <w:r>
        <w:rPr>
          <w:i/>
        </w:rPr>
        <w:t>operating band</w:t>
      </w:r>
      <w:r>
        <w:t xml:space="preserve">. In case the </w:t>
      </w:r>
      <w:r>
        <w:rPr>
          <w:i/>
        </w:rPr>
        <w:t>inter RF Bandwidth gap</w:t>
      </w:r>
      <w:r>
        <w:t xml:space="preserve"> is less than </w:t>
      </w:r>
      <w:r>
        <w:rPr>
          <w:lang w:val="en-US" w:eastAsia="zh-CN"/>
        </w:rPr>
        <w:t>3*</w:t>
      </w:r>
      <w:r>
        <w:rPr>
          <w:lang w:eastAsia="zh-CN"/>
        </w:rPr>
        <w:t>BW</w:t>
      </w:r>
      <w:r>
        <w:rPr>
          <w:vertAlign w:val="subscript"/>
          <w:lang w:eastAsia="zh-CN"/>
        </w:rPr>
        <w:t>Channel</w:t>
      </w:r>
      <w:r>
        <w:t xml:space="preserve"> </w:t>
      </w:r>
      <w:r>
        <w:rPr>
          <w:lang w:val="en-US" w:eastAsia="zh-CN"/>
        </w:rPr>
        <w:t xml:space="preserve">(where </w:t>
      </w:r>
      <w:r>
        <w:rPr>
          <w:lang w:eastAsia="zh-CN"/>
        </w:rPr>
        <w:t>BW</w:t>
      </w:r>
      <w:r>
        <w:rPr>
          <w:vertAlign w:val="subscript"/>
          <w:lang w:eastAsia="zh-CN"/>
        </w:rPr>
        <w:t>Channel</w:t>
      </w:r>
      <w:r>
        <w:rPr>
          <w:lang w:val="en-US" w:eastAsia="zh-CN"/>
        </w:rPr>
        <w:t xml:space="preserve"> is the minimal </w:t>
      </w:r>
      <w:r>
        <w:rPr>
          <w:rFonts w:hint="eastAsia"/>
          <w:i/>
          <w:lang w:val="en-US" w:eastAsia="zh-CN"/>
        </w:rPr>
        <w:t>IAB</w:t>
      </w:r>
      <w:r>
        <w:rPr>
          <w:i/>
          <w:lang w:val="en-US" w:eastAsia="zh-CN"/>
        </w:rPr>
        <w:t>-DU channel bandwidth</w:t>
      </w:r>
      <w:r>
        <w:rPr>
          <w:lang w:val="en-US" w:eastAsia="zh-CN"/>
        </w:rPr>
        <w:t xml:space="preserve"> or </w:t>
      </w:r>
      <w:r w:rsidRPr="00361F12">
        <w:rPr>
          <w:i/>
          <w:iCs/>
          <w:lang w:val="en-US" w:eastAsia="zh-CN"/>
        </w:rPr>
        <w:t>IAB-MT channel bandwidth</w:t>
      </w:r>
      <w:r>
        <w:rPr>
          <w:lang w:val="en-US" w:eastAsia="zh-CN"/>
        </w:rPr>
        <w:t xml:space="preserve"> of the band)</w:t>
      </w:r>
      <w:r>
        <w:t xml:space="preserve">, the requirement in the gap shall apply only for interfering signal offsets where the interfering signal falls completely within the </w:t>
      </w:r>
      <w:r>
        <w:rPr>
          <w:i/>
        </w:rPr>
        <w:t>inter RF Bandwidth gap</w:t>
      </w:r>
      <w:r>
        <w:t>.</w:t>
      </w:r>
    </w:p>
    <w:p w14:paraId="4F54AE25" w14:textId="77777777" w:rsidR="009A4E0A" w:rsidRDefault="009A4E0A" w:rsidP="009A4E0A">
      <w:pPr>
        <w:rPr>
          <w:lang w:eastAsia="zh-CN"/>
        </w:rPr>
      </w:pPr>
    </w:p>
    <w:p w14:paraId="7EA9ADB6" w14:textId="77777777" w:rsidR="009A4E0A" w:rsidRDefault="009A4E0A" w:rsidP="009A4E0A">
      <w:pPr>
        <w:pStyle w:val="TH"/>
        <w:rPr>
          <w:lang w:eastAsia="zh-CN"/>
        </w:rPr>
      </w:pPr>
      <w:r>
        <w:t xml:space="preserve">Table </w:t>
      </w:r>
      <w:r>
        <w:rPr>
          <w:lang w:eastAsia="zh-CN"/>
        </w:rPr>
        <w:t>6.7.</w:t>
      </w:r>
      <w:r>
        <w:rPr>
          <w:rFonts w:hint="eastAsia"/>
          <w:lang w:val="en-US" w:eastAsia="zh-CN"/>
        </w:rPr>
        <w:t xml:space="preserve"> 2.1</w:t>
      </w:r>
      <w:r>
        <w:rPr>
          <w:lang w:eastAsia="zh-CN"/>
        </w:rPr>
        <w:t>-1</w:t>
      </w:r>
      <w:r>
        <w:t>: Interfering and wanted signals for the co-location transmitter intermodulation requirement</w:t>
      </w:r>
    </w:p>
    <w:tbl>
      <w:tblPr>
        <w:tblW w:w="8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629"/>
        <w:gridCol w:w="3402"/>
      </w:tblGrid>
      <w:tr w:rsidR="009A4E0A" w14:paraId="587A95E3" w14:textId="77777777" w:rsidTr="00BD1F8C">
        <w:trPr>
          <w:tblHeader/>
          <w:jc w:val="center"/>
        </w:trPr>
        <w:tc>
          <w:tcPr>
            <w:tcW w:w="4629" w:type="dxa"/>
            <w:shd w:val="clear" w:color="auto" w:fill="auto"/>
          </w:tcPr>
          <w:p w14:paraId="4E7A0B03" w14:textId="77777777" w:rsidR="009A4E0A" w:rsidRDefault="009A4E0A" w:rsidP="00BD1F8C">
            <w:pPr>
              <w:pStyle w:val="TAH"/>
            </w:pPr>
            <w:r>
              <w:t>Parameter</w:t>
            </w:r>
          </w:p>
        </w:tc>
        <w:tc>
          <w:tcPr>
            <w:tcW w:w="3402" w:type="dxa"/>
            <w:shd w:val="clear" w:color="auto" w:fill="auto"/>
          </w:tcPr>
          <w:p w14:paraId="3B056182" w14:textId="77777777" w:rsidR="009A4E0A" w:rsidRDefault="009A4E0A" w:rsidP="00BD1F8C">
            <w:pPr>
              <w:pStyle w:val="TAH"/>
            </w:pPr>
            <w:r>
              <w:t>Value</w:t>
            </w:r>
          </w:p>
        </w:tc>
      </w:tr>
      <w:tr w:rsidR="009A4E0A" w14:paraId="2AE65846" w14:textId="77777777" w:rsidTr="00BD1F8C">
        <w:trPr>
          <w:jc w:val="center"/>
        </w:trPr>
        <w:tc>
          <w:tcPr>
            <w:tcW w:w="4629" w:type="dxa"/>
            <w:shd w:val="clear" w:color="auto" w:fill="auto"/>
          </w:tcPr>
          <w:p w14:paraId="71D50140" w14:textId="77777777" w:rsidR="009A4E0A" w:rsidRDefault="009A4E0A" w:rsidP="00BD1F8C">
            <w:pPr>
              <w:pStyle w:val="TAL"/>
              <w:rPr>
                <w:szCs w:val="18"/>
              </w:rPr>
            </w:pPr>
            <w:r>
              <w:rPr>
                <w:szCs w:val="18"/>
              </w:rPr>
              <w:t>Wanted signal type</w:t>
            </w:r>
          </w:p>
        </w:tc>
        <w:tc>
          <w:tcPr>
            <w:tcW w:w="3402" w:type="dxa"/>
            <w:shd w:val="clear" w:color="auto" w:fill="auto"/>
          </w:tcPr>
          <w:p w14:paraId="139DE1A6" w14:textId="77777777" w:rsidR="009A4E0A" w:rsidRDefault="009A4E0A" w:rsidP="00BD1F8C">
            <w:pPr>
              <w:pStyle w:val="TAL"/>
              <w:rPr>
                <w:szCs w:val="18"/>
                <w:lang w:eastAsia="zh-CN"/>
              </w:rPr>
            </w:pPr>
            <w:r>
              <w:rPr>
                <w:szCs w:val="18"/>
                <w:lang w:eastAsia="zh-CN"/>
              </w:rPr>
              <w:t>NR single carrier</w:t>
            </w:r>
            <w:r>
              <w:rPr>
                <w:rFonts w:cs="Arial"/>
                <w:lang w:val="en-US" w:eastAsia="zh-CN"/>
              </w:rPr>
              <w:t xml:space="preserve">, </w:t>
            </w:r>
            <w:r>
              <w:rPr>
                <w:rFonts w:cs="Arial"/>
              </w:rPr>
              <w:t>or multi-carrier, or multiple intra-band contiguously or non-contiguously aggregated carriers</w:t>
            </w:r>
          </w:p>
        </w:tc>
      </w:tr>
      <w:tr w:rsidR="009A4E0A" w14:paraId="5A7063C8" w14:textId="77777777" w:rsidTr="00BD1F8C">
        <w:trPr>
          <w:jc w:val="center"/>
        </w:trPr>
        <w:tc>
          <w:tcPr>
            <w:tcW w:w="4629" w:type="dxa"/>
            <w:shd w:val="clear" w:color="auto" w:fill="auto"/>
          </w:tcPr>
          <w:p w14:paraId="61D54D65" w14:textId="77777777" w:rsidR="009A4E0A" w:rsidRDefault="009A4E0A" w:rsidP="00BD1F8C">
            <w:pPr>
              <w:pStyle w:val="TAL"/>
              <w:rPr>
                <w:szCs w:val="18"/>
                <w:lang w:eastAsia="zh-CN"/>
              </w:rPr>
            </w:pPr>
            <w:r>
              <w:rPr>
                <w:szCs w:val="18"/>
              </w:rPr>
              <w:t>Interfering signal type</w:t>
            </w:r>
          </w:p>
        </w:tc>
        <w:tc>
          <w:tcPr>
            <w:tcW w:w="3402" w:type="dxa"/>
            <w:shd w:val="clear" w:color="auto" w:fill="auto"/>
          </w:tcPr>
          <w:p w14:paraId="4F06FEF9" w14:textId="77777777" w:rsidR="009A4E0A" w:rsidRDefault="009A4E0A" w:rsidP="00BD1F8C">
            <w:pPr>
              <w:pStyle w:val="TAL"/>
              <w:rPr>
                <w:szCs w:val="18"/>
                <w:lang w:eastAsia="zh-CN"/>
              </w:rPr>
            </w:pPr>
            <w:r>
              <w:rPr>
                <w:szCs w:val="18"/>
                <w:lang w:eastAsia="zh-CN"/>
              </w:rPr>
              <w:t xml:space="preserve">NR </w:t>
            </w:r>
            <w:r>
              <w:rPr>
                <w:szCs w:val="18"/>
              </w:rPr>
              <w:t>signal</w:t>
            </w:r>
            <w:r>
              <w:rPr>
                <w:szCs w:val="18"/>
                <w:lang w:eastAsia="zh-CN"/>
              </w:rPr>
              <w:t>,</w:t>
            </w:r>
            <w:r>
              <w:rPr>
                <w:szCs w:val="18"/>
              </w:rPr>
              <w:t xml:space="preserve"> </w:t>
            </w:r>
            <w:r>
              <w:rPr>
                <w:szCs w:val="18"/>
                <w:lang w:eastAsia="zh-CN"/>
              </w:rPr>
              <w:t xml:space="preserve">the minimum </w:t>
            </w:r>
            <w:r>
              <w:rPr>
                <w:rFonts w:hint="eastAsia"/>
                <w:i/>
                <w:szCs w:val="18"/>
                <w:lang w:val="en-US" w:eastAsia="zh-CN"/>
              </w:rPr>
              <w:t>IAB</w:t>
            </w:r>
            <w:r>
              <w:rPr>
                <w:i/>
                <w:szCs w:val="18"/>
                <w:lang w:eastAsia="zh-CN"/>
              </w:rPr>
              <w:t xml:space="preserve"> channel bandwidth</w:t>
            </w:r>
            <w:r>
              <w:rPr>
                <w:szCs w:val="18"/>
                <w:lang w:eastAsia="zh-CN"/>
              </w:rPr>
              <w:t xml:space="preserve"> (BW</w:t>
            </w:r>
            <w:r>
              <w:rPr>
                <w:szCs w:val="18"/>
                <w:vertAlign w:val="subscript"/>
                <w:lang w:eastAsia="zh-CN"/>
              </w:rPr>
              <w:t>Channel</w:t>
            </w:r>
            <w:r>
              <w:rPr>
                <w:szCs w:val="18"/>
                <w:lang w:eastAsia="zh-CN"/>
              </w:rPr>
              <w:t xml:space="preserve">) with 15 kHz SCS </w:t>
            </w:r>
            <w:r>
              <w:rPr>
                <w:szCs w:val="18"/>
              </w:rPr>
              <w:t xml:space="preserve">of </w:t>
            </w:r>
            <w:r>
              <w:rPr>
                <w:szCs w:val="18"/>
                <w:lang w:eastAsia="zh-CN"/>
              </w:rPr>
              <w:t>the band defined in clause 5.3.5.</w:t>
            </w:r>
          </w:p>
        </w:tc>
      </w:tr>
      <w:tr w:rsidR="009A4E0A" w14:paraId="69F67B38" w14:textId="77777777" w:rsidTr="00BD1F8C">
        <w:trPr>
          <w:jc w:val="center"/>
        </w:trPr>
        <w:tc>
          <w:tcPr>
            <w:tcW w:w="4629" w:type="dxa"/>
            <w:shd w:val="clear" w:color="auto" w:fill="auto"/>
          </w:tcPr>
          <w:p w14:paraId="24B0DAE1" w14:textId="77777777" w:rsidR="009A4E0A" w:rsidRDefault="009A4E0A" w:rsidP="00BD1F8C">
            <w:pPr>
              <w:pStyle w:val="TAL"/>
              <w:rPr>
                <w:szCs w:val="18"/>
              </w:rPr>
            </w:pPr>
            <w:r>
              <w:rPr>
                <w:szCs w:val="18"/>
              </w:rPr>
              <w:t>Interfering signal level</w:t>
            </w:r>
          </w:p>
        </w:tc>
        <w:tc>
          <w:tcPr>
            <w:tcW w:w="3402" w:type="dxa"/>
            <w:shd w:val="clear" w:color="auto" w:fill="auto"/>
          </w:tcPr>
          <w:p w14:paraId="2FC9C0CE" w14:textId="77777777" w:rsidR="009A4E0A" w:rsidRDefault="009A4E0A" w:rsidP="00BD1F8C">
            <w:pPr>
              <w:pStyle w:val="TAL"/>
              <w:rPr>
                <w:szCs w:val="18"/>
              </w:rPr>
            </w:pPr>
            <w:r>
              <w:rPr>
                <w:i/>
              </w:rPr>
              <w:t>Rated total output power</w:t>
            </w:r>
            <w:r>
              <w:t xml:space="preserve"> per </w:t>
            </w:r>
            <w:r>
              <w:rPr>
                <w:i/>
              </w:rPr>
              <w:t xml:space="preserve">TAB connector </w:t>
            </w:r>
            <w:r>
              <w:t>(P</w:t>
            </w:r>
            <w:r>
              <w:rPr>
                <w:vertAlign w:val="subscript"/>
              </w:rPr>
              <w:t>rated,t,TABC</w:t>
            </w:r>
            <w:r>
              <w:t xml:space="preserve">) in the </w:t>
            </w:r>
            <w:r>
              <w:rPr>
                <w:i/>
              </w:rPr>
              <w:t>operating band</w:t>
            </w:r>
            <w:r>
              <w:t xml:space="preserve"> – 30 dB</w:t>
            </w:r>
          </w:p>
        </w:tc>
      </w:tr>
      <w:tr w:rsidR="009A4E0A" w14:paraId="78FE65DF" w14:textId="77777777" w:rsidTr="00BD1F8C">
        <w:trPr>
          <w:jc w:val="center"/>
        </w:trPr>
        <w:tc>
          <w:tcPr>
            <w:tcW w:w="4629" w:type="dxa"/>
            <w:shd w:val="clear" w:color="auto" w:fill="auto"/>
          </w:tcPr>
          <w:p w14:paraId="2FE21220" w14:textId="77777777" w:rsidR="009A4E0A" w:rsidRDefault="009A4E0A" w:rsidP="00BD1F8C">
            <w:pPr>
              <w:pStyle w:val="TAL"/>
              <w:rPr>
                <w:szCs w:val="18"/>
              </w:rPr>
            </w:pPr>
            <w:r>
              <w:rPr>
                <w:szCs w:val="18"/>
              </w:rPr>
              <w:t>Interfering signal centre frequency offset from the lower/upper edge of the wanted signal</w:t>
            </w:r>
            <w:r>
              <w:rPr>
                <w:rFonts w:cs="Arial"/>
                <w:lang w:val="en-US" w:eastAsia="zh-CN"/>
              </w:rPr>
              <w:t xml:space="preserve"> </w:t>
            </w:r>
            <w:r>
              <w:rPr>
                <w:rFonts w:cs="Arial"/>
              </w:rPr>
              <w:t xml:space="preserve">or edge of </w:t>
            </w:r>
            <w:r>
              <w:rPr>
                <w:rFonts w:cs="Arial"/>
                <w:i/>
              </w:rPr>
              <w:t>sub-block</w:t>
            </w:r>
            <w:r>
              <w:rPr>
                <w:rFonts w:cs="Arial"/>
              </w:rPr>
              <w:t xml:space="preserve"> inside a gap</w:t>
            </w:r>
          </w:p>
        </w:tc>
        <w:tc>
          <w:tcPr>
            <w:tcW w:w="3402" w:type="dxa"/>
            <w:shd w:val="clear" w:color="auto" w:fill="auto"/>
          </w:tcPr>
          <w:p w14:paraId="0EDE15FE" w14:textId="77777777" w:rsidR="009A4E0A" w:rsidRDefault="009A4E0A" w:rsidP="00BD1F8C">
            <w:pPr>
              <w:pStyle w:val="TAL"/>
              <w:rPr>
                <w:szCs w:val="18"/>
                <w:lang w:eastAsia="zh-CN"/>
              </w:rPr>
            </w:pPr>
            <w:r>
              <w:rPr>
                <w:position w:val="-28"/>
              </w:rPr>
              <w:object w:dxaOrig="2027" w:dyaOrig="587" w14:anchorId="3258FE64">
                <v:shape id="_x0000_i1032" type="#_x0000_t75" style="width:101.35pt;height:28.25pt" o:ole="">
                  <v:imagedata r:id="rId30" o:title=""/>
                </v:shape>
                <o:OLEObject Type="Embed" ProgID="Equation.3" ShapeID="_x0000_i1032" DrawAspect="Content" ObjectID="_1734764414" r:id="rId31"/>
              </w:object>
            </w:r>
            <w:r>
              <w:t>, for n=1, 2 and 3</w:t>
            </w:r>
          </w:p>
        </w:tc>
      </w:tr>
      <w:tr w:rsidR="009A4E0A" w14:paraId="2D96C644" w14:textId="77777777" w:rsidTr="00BD1F8C">
        <w:trPr>
          <w:jc w:val="center"/>
        </w:trPr>
        <w:tc>
          <w:tcPr>
            <w:tcW w:w="8031" w:type="dxa"/>
            <w:gridSpan w:val="2"/>
            <w:shd w:val="clear" w:color="auto" w:fill="auto"/>
          </w:tcPr>
          <w:p w14:paraId="5297097B" w14:textId="11BBB2FC" w:rsidR="009A4E0A" w:rsidRDefault="009A4E0A" w:rsidP="00BD1F8C">
            <w:pPr>
              <w:pStyle w:val="TAN"/>
              <w:rPr>
                <w:lang w:eastAsia="ja-JP"/>
              </w:rPr>
            </w:pPr>
            <w:r>
              <w:t>NOTE 1</w:t>
            </w:r>
            <w:r>
              <w:rPr>
                <w:lang w:eastAsia="ja-JP"/>
              </w:rPr>
              <w:t>:</w:t>
            </w:r>
            <w:r>
              <w:tab/>
            </w:r>
            <w:r>
              <w:rPr>
                <w:lang w:eastAsia="zh-CN"/>
              </w:rPr>
              <w:t xml:space="preserve">Interfering signal positions that are partially or completely outside of any downlink </w:t>
            </w:r>
            <w:r>
              <w:rPr>
                <w:i/>
                <w:lang w:eastAsia="zh-CN"/>
              </w:rPr>
              <w:t>operating band</w:t>
            </w:r>
            <w:r>
              <w:rPr>
                <w:lang w:eastAsia="zh-CN"/>
              </w:rPr>
              <w:t xml:space="preserve"> of the </w:t>
            </w:r>
            <w:r>
              <w:rPr>
                <w:i/>
                <w:lang w:eastAsia="zh-CN"/>
              </w:rPr>
              <w:t>TAB connector</w:t>
            </w:r>
            <w:r>
              <w:rPr>
                <w:lang w:eastAsia="zh-CN"/>
              </w:rPr>
              <w:t xml:space="preserve"> are excluded from the requirement, unless the interfering signal positions fall within the frequency range of adjacent downlink </w:t>
            </w:r>
            <w:r>
              <w:rPr>
                <w:i/>
                <w:lang w:eastAsia="zh-CN"/>
              </w:rPr>
              <w:t>operating bands</w:t>
            </w:r>
            <w:r>
              <w:rPr>
                <w:lang w:eastAsia="zh-CN"/>
              </w:rPr>
              <w:t xml:space="preserve"> in the same geographical area. </w:t>
            </w:r>
          </w:p>
          <w:p w14:paraId="07539C10" w14:textId="77777777" w:rsidR="009A4E0A" w:rsidRDefault="009A4E0A" w:rsidP="00BD1F8C">
            <w:pPr>
              <w:pStyle w:val="TAN"/>
              <w:rPr>
                <w:lang w:eastAsia="zh-CN"/>
              </w:rPr>
            </w:pPr>
            <w:r>
              <w:rPr>
                <w:rFonts w:cs="Arial"/>
              </w:rPr>
              <w:t>NOTE</w:t>
            </w:r>
            <w:r>
              <w:rPr>
                <w:rFonts w:cs="Arial"/>
                <w:lang w:eastAsia="ja-JP"/>
              </w:rPr>
              <w:t xml:space="preserve"> </w:t>
            </w:r>
            <w:r>
              <w:rPr>
                <w:rFonts w:cs="Arial"/>
              </w:rPr>
              <w:t>2:</w:t>
            </w:r>
            <w:r>
              <w:rPr>
                <w:rFonts w:cs="Arial"/>
              </w:rPr>
              <w:tab/>
              <w:t>In Japan, NOTE</w:t>
            </w:r>
            <w:r>
              <w:rPr>
                <w:rFonts w:cs="Arial"/>
                <w:lang w:eastAsia="ja-JP"/>
              </w:rPr>
              <w:t xml:space="preserve"> </w:t>
            </w:r>
            <w:r>
              <w:rPr>
                <w:rFonts w:cs="Arial"/>
              </w:rPr>
              <w:t xml:space="preserve">1 is not applied in Band </w:t>
            </w:r>
            <w:r>
              <w:rPr>
                <w:rFonts w:cs="Arial"/>
                <w:lang w:eastAsia="ja-JP"/>
              </w:rPr>
              <w:t>n77, n78, n79</w:t>
            </w:r>
            <w:r>
              <w:rPr>
                <w:rFonts w:cs="Arial"/>
              </w:rPr>
              <w:t>.</w:t>
            </w:r>
          </w:p>
        </w:tc>
      </w:tr>
    </w:tbl>
    <w:p w14:paraId="0C40D7E0" w14:textId="77777777" w:rsidR="009A4E0A" w:rsidRDefault="009A4E0A" w:rsidP="009A4E0A">
      <w:pPr>
        <w:rPr>
          <w:lang w:eastAsia="zh-CN"/>
        </w:rPr>
      </w:pPr>
    </w:p>
    <w:p w14:paraId="2EA6768E" w14:textId="77777777" w:rsidR="009A4E0A" w:rsidRDefault="009A4E0A" w:rsidP="009A4E0A">
      <w:pPr>
        <w:pStyle w:val="Heading4"/>
        <w:ind w:left="864" w:firstLine="0"/>
      </w:pPr>
      <w:bookmarkStart w:id="2524" w:name="_Toc37268578"/>
      <w:bookmarkStart w:id="2525" w:name="_Toc13079684"/>
      <w:bookmarkStart w:id="2526" w:name="_Toc29811623"/>
      <w:bookmarkStart w:id="2527" w:name="_Toc29811172"/>
      <w:bookmarkStart w:id="2528" w:name="_Toc37268127"/>
      <w:bookmarkStart w:id="2529" w:name="_Toc53185385"/>
      <w:bookmarkStart w:id="2530" w:name="_Toc53185761"/>
      <w:bookmarkStart w:id="2531" w:name="_Toc57820237"/>
      <w:bookmarkStart w:id="2532" w:name="_Toc57821164"/>
      <w:bookmarkStart w:id="2533" w:name="_Toc61183440"/>
      <w:bookmarkStart w:id="2534" w:name="_Toc61183834"/>
      <w:bookmarkStart w:id="2535" w:name="_Toc61184226"/>
      <w:bookmarkStart w:id="2536" w:name="_Toc61184618"/>
      <w:bookmarkStart w:id="2537" w:name="_Toc61185008"/>
      <w:bookmarkStart w:id="2538" w:name="_Toc66386351"/>
      <w:bookmarkStart w:id="2539" w:name="_Toc74583192"/>
      <w:bookmarkStart w:id="2540" w:name="_Toc76542005"/>
      <w:bookmarkStart w:id="2541" w:name="_Toc82449987"/>
      <w:bookmarkStart w:id="2542" w:name="_Toc82450635"/>
      <w:bookmarkStart w:id="2543" w:name="_Toc89949024"/>
      <w:bookmarkStart w:id="2544" w:name="_Toc98755413"/>
      <w:bookmarkStart w:id="2545" w:name="_Toc98763004"/>
      <w:bookmarkStart w:id="2546" w:name="_Toc106183933"/>
      <w:r>
        <w:t>6.7.2</w:t>
      </w:r>
      <w:r>
        <w:rPr>
          <w:rFonts w:hint="eastAsia"/>
        </w:rPr>
        <w:t>.2</w:t>
      </w:r>
      <w:r>
        <w:tab/>
        <w:t>Intra-system minimum requirements</w:t>
      </w:r>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p>
    <w:p w14:paraId="431EF8AE" w14:textId="77777777" w:rsidR="009A4E0A" w:rsidRDefault="009A4E0A" w:rsidP="009A4E0A">
      <w:pPr>
        <w:rPr>
          <w:lang w:eastAsia="zh-CN"/>
        </w:rPr>
      </w:pPr>
      <w:r>
        <w:t xml:space="preserve">The transmitter intermodulation level shall not exceed the unwanted emission limits in clauses </w:t>
      </w:r>
      <w:r>
        <w:rPr>
          <w:lang w:val="en-US" w:eastAsia="zh-CN"/>
        </w:rPr>
        <w:t>6</w:t>
      </w:r>
      <w:r>
        <w:rPr>
          <w:rFonts w:hint="eastAsia"/>
          <w:lang w:val="en-US" w:eastAsia="zh-CN"/>
        </w:rPr>
        <w:t xml:space="preserve">.6 </w:t>
      </w:r>
      <w:r>
        <w:t xml:space="preserve">in the presence of an NR interfering signal according to </w:t>
      </w:r>
      <w:r>
        <w:rPr>
          <w:lang w:eastAsia="zh-CN"/>
        </w:rPr>
        <w:t>table 6.7.</w:t>
      </w:r>
      <w:r>
        <w:rPr>
          <w:rFonts w:hint="eastAsia"/>
          <w:lang w:val="en-US" w:eastAsia="zh-CN"/>
        </w:rPr>
        <w:t xml:space="preserve"> </w:t>
      </w:r>
      <w:r>
        <w:rPr>
          <w:lang w:eastAsia="zh-CN"/>
        </w:rPr>
        <w:t>2</w:t>
      </w:r>
      <w:r>
        <w:rPr>
          <w:rFonts w:hint="eastAsia"/>
          <w:lang w:val="en-US" w:eastAsia="zh-CN"/>
        </w:rPr>
        <w:t>.2</w:t>
      </w:r>
      <w:r>
        <w:rPr>
          <w:lang w:eastAsia="zh-CN"/>
        </w:rPr>
        <w:t>-1.</w:t>
      </w:r>
    </w:p>
    <w:p w14:paraId="163715E9" w14:textId="77777777" w:rsidR="009A4E0A" w:rsidRDefault="009A4E0A" w:rsidP="009A4E0A">
      <w:pPr>
        <w:pStyle w:val="TH"/>
      </w:pPr>
      <w:r>
        <w:lastRenderedPageBreak/>
        <w:t>Table</w:t>
      </w:r>
      <w:r>
        <w:rPr>
          <w:lang w:eastAsia="zh-CN"/>
        </w:rPr>
        <w:t xml:space="preserve"> 6.7.2</w:t>
      </w:r>
      <w:r>
        <w:rPr>
          <w:rFonts w:hint="eastAsia"/>
          <w:lang w:val="en-US" w:eastAsia="zh-CN"/>
        </w:rPr>
        <w:t>.2</w:t>
      </w:r>
      <w:r>
        <w:rPr>
          <w:lang w:eastAsia="zh-CN"/>
        </w:rPr>
        <w:t>-1</w:t>
      </w:r>
      <w:r>
        <w:t>: Interfering and wanted signals for</w:t>
      </w:r>
      <w:r>
        <w:br/>
        <w:t>intra-system transmitter intermodulation requirement</w:t>
      </w:r>
    </w:p>
    <w:tbl>
      <w:tblPr>
        <w:tblW w:w="82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708"/>
        <w:gridCol w:w="3514"/>
      </w:tblGrid>
      <w:tr w:rsidR="009A4E0A" w14:paraId="6CFBFA79" w14:textId="77777777" w:rsidTr="00BD1F8C">
        <w:trPr>
          <w:tblHeader/>
          <w:jc w:val="center"/>
        </w:trPr>
        <w:tc>
          <w:tcPr>
            <w:tcW w:w="4708" w:type="dxa"/>
            <w:shd w:val="clear" w:color="auto" w:fill="auto"/>
          </w:tcPr>
          <w:p w14:paraId="5A50584B" w14:textId="77777777" w:rsidR="009A4E0A" w:rsidRDefault="009A4E0A" w:rsidP="00BD1F8C">
            <w:pPr>
              <w:pStyle w:val="TAH"/>
            </w:pPr>
            <w:r>
              <w:t>Parameter</w:t>
            </w:r>
          </w:p>
        </w:tc>
        <w:tc>
          <w:tcPr>
            <w:tcW w:w="3514" w:type="dxa"/>
            <w:shd w:val="clear" w:color="auto" w:fill="auto"/>
          </w:tcPr>
          <w:p w14:paraId="57582E7B" w14:textId="77777777" w:rsidR="009A4E0A" w:rsidRDefault="009A4E0A" w:rsidP="00BD1F8C">
            <w:pPr>
              <w:pStyle w:val="TAH"/>
            </w:pPr>
            <w:r>
              <w:t>Value</w:t>
            </w:r>
          </w:p>
        </w:tc>
      </w:tr>
      <w:tr w:rsidR="009A4E0A" w14:paraId="344AF945" w14:textId="77777777" w:rsidTr="00BD1F8C">
        <w:trPr>
          <w:jc w:val="center"/>
        </w:trPr>
        <w:tc>
          <w:tcPr>
            <w:tcW w:w="4708" w:type="dxa"/>
            <w:shd w:val="clear" w:color="auto" w:fill="auto"/>
          </w:tcPr>
          <w:p w14:paraId="19C4F356" w14:textId="77777777" w:rsidR="009A4E0A" w:rsidRDefault="009A4E0A" w:rsidP="00BD1F8C">
            <w:pPr>
              <w:pStyle w:val="TAL"/>
              <w:rPr>
                <w:szCs w:val="18"/>
              </w:rPr>
            </w:pPr>
            <w:r>
              <w:rPr>
                <w:szCs w:val="18"/>
              </w:rPr>
              <w:t>Wanted signal type</w:t>
            </w:r>
          </w:p>
        </w:tc>
        <w:tc>
          <w:tcPr>
            <w:tcW w:w="3514" w:type="dxa"/>
            <w:shd w:val="clear" w:color="auto" w:fill="auto"/>
          </w:tcPr>
          <w:p w14:paraId="33B7FBFD" w14:textId="77777777" w:rsidR="009A4E0A" w:rsidRDefault="009A4E0A" w:rsidP="00BD1F8C">
            <w:pPr>
              <w:pStyle w:val="TAL"/>
              <w:rPr>
                <w:szCs w:val="18"/>
                <w:lang w:eastAsia="zh-CN"/>
              </w:rPr>
            </w:pPr>
            <w:r>
              <w:rPr>
                <w:szCs w:val="18"/>
                <w:lang w:eastAsia="zh-CN"/>
              </w:rPr>
              <w:t>NR signal</w:t>
            </w:r>
          </w:p>
        </w:tc>
      </w:tr>
      <w:tr w:rsidR="009A4E0A" w14:paraId="1C793AFE" w14:textId="77777777" w:rsidTr="00BD1F8C">
        <w:trPr>
          <w:jc w:val="center"/>
        </w:trPr>
        <w:tc>
          <w:tcPr>
            <w:tcW w:w="4708" w:type="dxa"/>
            <w:shd w:val="clear" w:color="auto" w:fill="auto"/>
          </w:tcPr>
          <w:p w14:paraId="3B49962C" w14:textId="77777777" w:rsidR="009A4E0A" w:rsidRDefault="009A4E0A" w:rsidP="00BD1F8C">
            <w:pPr>
              <w:pStyle w:val="TAL"/>
            </w:pPr>
            <w:r>
              <w:t>Interfering signal type</w:t>
            </w:r>
          </w:p>
        </w:tc>
        <w:tc>
          <w:tcPr>
            <w:tcW w:w="3514" w:type="dxa"/>
            <w:shd w:val="clear" w:color="auto" w:fill="auto"/>
          </w:tcPr>
          <w:p w14:paraId="1112E21D" w14:textId="77777777" w:rsidR="009A4E0A" w:rsidRDefault="009A4E0A" w:rsidP="00BD1F8C">
            <w:pPr>
              <w:pStyle w:val="TAL"/>
            </w:pPr>
            <w:r>
              <w:rPr>
                <w:lang w:eastAsia="zh-CN"/>
              </w:rPr>
              <w:t xml:space="preserve">NR </w:t>
            </w:r>
            <w:r>
              <w:t xml:space="preserve">signal of the same </w:t>
            </w:r>
            <w:r>
              <w:rPr>
                <w:rFonts w:hint="eastAsia"/>
                <w:lang w:val="en-US" w:eastAsia="zh-CN"/>
              </w:rPr>
              <w:t>IAB</w:t>
            </w:r>
            <w:r>
              <w:rPr>
                <w:i/>
              </w:rPr>
              <w:t xml:space="preserve"> channel bandwidth</w:t>
            </w:r>
            <w:r>
              <w:t xml:space="preserve"> and SCS as the wanted signal (Note 1).</w:t>
            </w:r>
          </w:p>
        </w:tc>
      </w:tr>
      <w:tr w:rsidR="009A4E0A" w14:paraId="1E2E0A83" w14:textId="77777777" w:rsidTr="00BD1F8C">
        <w:trPr>
          <w:jc w:val="center"/>
        </w:trPr>
        <w:tc>
          <w:tcPr>
            <w:tcW w:w="4708" w:type="dxa"/>
            <w:shd w:val="clear" w:color="auto" w:fill="auto"/>
          </w:tcPr>
          <w:p w14:paraId="71D8EE8C" w14:textId="77777777" w:rsidR="009A4E0A" w:rsidRDefault="009A4E0A" w:rsidP="00BD1F8C">
            <w:pPr>
              <w:pStyle w:val="TAL"/>
            </w:pPr>
            <w:r>
              <w:t>Interfering signal level</w:t>
            </w:r>
          </w:p>
        </w:tc>
        <w:tc>
          <w:tcPr>
            <w:tcW w:w="3514" w:type="dxa"/>
            <w:shd w:val="clear" w:color="auto" w:fill="auto"/>
          </w:tcPr>
          <w:p w14:paraId="2A446D9E" w14:textId="77777777" w:rsidR="009A4E0A" w:rsidRDefault="009A4E0A" w:rsidP="00BD1F8C">
            <w:pPr>
              <w:pStyle w:val="TAL"/>
            </w:pPr>
            <w:r>
              <w:t xml:space="preserve">Power level declared by the </w:t>
            </w:r>
            <w:r>
              <w:rPr>
                <w:rFonts w:hint="eastAsia"/>
                <w:lang w:val="en-US" w:eastAsia="zh-CN"/>
              </w:rPr>
              <w:t xml:space="preserve">IAB </w:t>
            </w:r>
            <w:r>
              <w:t>manufacturer (Note</w:t>
            </w:r>
            <w:r>
              <w:rPr>
                <w:lang w:eastAsia="ja-JP"/>
              </w:rPr>
              <w:t xml:space="preserve"> </w:t>
            </w:r>
            <w:r>
              <w:t>2).</w:t>
            </w:r>
          </w:p>
        </w:tc>
      </w:tr>
      <w:tr w:rsidR="009A4E0A" w14:paraId="2817A9FE" w14:textId="77777777" w:rsidTr="00BD1F8C">
        <w:trPr>
          <w:jc w:val="center"/>
        </w:trPr>
        <w:tc>
          <w:tcPr>
            <w:tcW w:w="4708" w:type="dxa"/>
            <w:shd w:val="clear" w:color="auto" w:fill="auto"/>
          </w:tcPr>
          <w:p w14:paraId="6755FB56" w14:textId="77777777" w:rsidR="009A4E0A" w:rsidRDefault="009A4E0A" w:rsidP="00BD1F8C">
            <w:pPr>
              <w:pStyle w:val="TAL"/>
            </w:pPr>
            <w:r>
              <w:t>Frequency offset between interfering signal and wanted signal</w:t>
            </w:r>
          </w:p>
        </w:tc>
        <w:tc>
          <w:tcPr>
            <w:tcW w:w="3514" w:type="dxa"/>
            <w:shd w:val="clear" w:color="auto" w:fill="auto"/>
          </w:tcPr>
          <w:p w14:paraId="6897F179" w14:textId="77777777" w:rsidR="009A4E0A" w:rsidRDefault="009A4E0A" w:rsidP="00BD1F8C">
            <w:pPr>
              <w:pStyle w:val="TAL"/>
            </w:pPr>
            <w:r>
              <w:t>0 MHz</w:t>
            </w:r>
          </w:p>
        </w:tc>
      </w:tr>
      <w:tr w:rsidR="009A4E0A" w14:paraId="06B5116A" w14:textId="77777777" w:rsidTr="00BD1F8C">
        <w:trPr>
          <w:jc w:val="center"/>
        </w:trPr>
        <w:tc>
          <w:tcPr>
            <w:tcW w:w="8222" w:type="dxa"/>
            <w:gridSpan w:val="2"/>
            <w:shd w:val="clear" w:color="auto" w:fill="auto"/>
          </w:tcPr>
          <w:p w14:paraId="2EE1327E" w14:textId="77777777" w:rsidR="009A4E0A" w:rsidRDefault="009A4E0A" w:rsidP="00BD1F8C">
            <w:pPr>
              <w:pStyle w:val="TAN"/>
            </w:pPr>
            <w:r>
              <w:t>NOTE 1:</w:t>
            </w:r>
            <w:r>
              <w:rPr>
                <w:lang w:eastAsia="ja-JP"/>
              </w:rPr>
              <w:tab/>
            </w:r>
            <w:r>
              <w:t>The interfering signal shall be incoherent with the wanted signal.</w:t>
            </w:r>
          </w:p>
          <w:p w14:paraId="105ACE9D" w14:textId="77777777" w:rsidR="009A4E0A" w:rsidRDefault="009A4E0A" w:rsidP="00BD1F8C">
            <w:pPr>
              <w:pStyle w:val="TAN"/>
            </w:pPr>
            <w:r>
              <w:t>NOTE 2:</w:t>
            </w:r>
            <w:r>
              <w:rPr>
                <w:lang w:eastAsia="ja-JP"/>
              </w:rPr>
              <w:tab/>
            </w:r>
            <w:r>
              <w:rPr>
                <w:szCs w:val="18"/>
              </w:rPr>
              <w:t xml:space="preserve">The declared interfering signal power level at each </w:t>
            </w:r>
            <w:r>
              <w:rPr>
                <w:i/>
                <w:szCs w:val="18"/>
              </w:rPr>
              <w:t>TAB connector</w:t>
            </w:r>
            <w:r>
              <w:rPr>
                <w:szCs w:val="18"/>
              </w:rPr>
              <w:t xml:space="preserve"> is the sum of the co-channel leakage power coupled via the combined RDN and Antenna Array from all the other </w:t>
            </w:r>
            <w:r>
              <w:rPr>
                <w:i/>
                <w:szCs w:val="18"/>
              </w:rPr>
              <w:t>TAB connectors</w:t>
            </w:r>
            <w:r>
              <w:rPr>
                <w:szCs w:val="18"/>
              </w:rPr>
              <w:t xml:space="preserve">, but does not comprise power radiated from the Antenna Array and reflected back from the environment. </w:t>
            </w:r>
            <w:r>
              <w:t xml:space="preserve">The power at each of the interfering </w:t>
            </w:r>
            <w:r>
              <w:rPr>
                <w:i/>
              </w:rPr>
              <w:t>TAB connectors</w:t>
            </w:r>
            <w:r>
              <w:t xml:space="preserve"> is P</w:t>
            </w:r>
            <w:r>
              <w:rPr>
                <w:vertAlign w:val="subscript"/>
              </w:rPr>
              <w:t>rated,c,TABC</w:t>
            </w:r>
            <w:r>
              <w:t>.</w:t>
            </w:r>
          </w:p>
        </w:tc>
      </w:tr>
    </w:tbl>
    <w:p w14:paraId="1F92096E" w14:textId="17278B07" w:rsidR="006A1C04" w:rsidRPr="006A1C04" w:rsidRDefault="006A1C04" w:rsidP="00DC7592">
      <w:bookmarkStart w:id="2547" w:name="_Toc13080235"/>
      <w:bookmarkStart w:id="2548" w:name="_Toc18916171"/>
    </w:p>
    <w:p w14:paraId="1F2F5E57" w14:textId="2ED718FE" w:rsidR="00077B6E" w:rsidRDefault="00077B6E" w:rsidP="00077B6E">
      <w:pPr>
        <w:pStyle w:val="Heading1"/>
      </w:pPr>
      <w:bookmarkStart w:id="2549" w:name="_Toc53185386"/>
      <w:bookmarkStart w:id="2550" w:name="_Toc53185762"/>
      <w:bookmarkStart w:id="2551" w:name="_Toc57820238"/>
      <w:bookmarkStart w:id="2552" w:name="_Toc57821165"/>
      <w:bookmarkStart w:id="2553" w:name="_Toc61183441"/>
      <w:bookmarkStart w:id="2554" w:name="_Toc61183835"/>
      <w:bookmarkStart w:id="2555" w:name="_Toc61184227"/>
      <w:bookmarkStart w:id="2556" w:name="_Toc61184619"/>
      <w:bookmarkStart w:id="2557" w:name="_Toc61185009"/>
      <w:bookmarkStart w:id="2558" w:name="_Toc66386352"/>
      <w:bookmarkStart w:id="2559" w:name="_Toc74583193"/>
      <w:bookmarkStart w:id="2560" w:name="_Toc76542006"/>
      <w:bookmarkStart w:id="2561" w:name="_Toc82449988"/>
      <w:bookmarkStart w:id="2562" w:name="_Toc82450636"/>
      <w:bookmarkStart w:id="2563" w:name="_Toc89949025"/>
      <w:bookmarkStart w:id="2564" w:name="_Toc98755414"/>
      <w:bookmarkStart w:id="2565" w:name="_Toc98763005"/>
      <w:bookmarkStart w:id="2566" w:name="_Toc106183934"/>
      <w:r w:rsidRPr="007E346D">
        <w:t>7</w:t>
      </w:r>
      <w:r w:rsidRPr="007E346D">
        <w:tab/>
        <w:t>Conducted receiver characteristics</w:t>
      </w:r>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p>
    <w:p w14:paraId="7742E447" w14:textId="3CB22E41" w:rsidR="00077B6E" w:rsidRDefault="00077B6E" w:rsidP="00077B6E">
      <w:pPr>
        <w:pStyle w:val="Heading2"/>
      </w:pPr>
      <w:bookmarkStart w:id="2567" w:name="_Toc13080236"/>
      <w:bookmarkStart w:id="2568" w:name="_Toc18916172"/>
      <w:bookmarkStart w:id="2569" w:name="_Toc53185387"/>
      <w:bookmarkStart w:id="2570" w:name="_Toc53185763"/>
      <w:bookmarkStart w:id="2571" w:name="_Toc57820239"/>
      <w:bookmarkStart w:id="2572" w:name="_Toc57821166"/>
      <w:bookmarkStart w:id="2573" w:name="_Toc61183442"/>
      <w:bookmarkStart w:id="2574" w:name="_Toc61183836"/>
      <w:bookmarkStart w:id="2575" w:name="_Toc61184228"/>
      <w:bookmarkStart w:id="2576" w:name="_Toc61184620"/>
      <w:bookmarkStart w:id="2577" w:name="_Toc61185010"/>
      <w:bookmarkStart w:id="2578" w:name="_Toc66386353"/>
      <w:bookmarkStart w:id="2579" w:name="_Toc74583194"/>
      <w:bookmarkStart w:id="2580" w:name="_Toc76542007"/>
      <w:bookmarkStart w:id="2581" w:name="_Toc82449989"/>
      <w:bookmarkStart w:id="2582" w:name="_Toc82450637"/>
      <w:bookmarkStart w:id="2583" w:name="_Toc89949026"/>
      <w:bookmarkStart w:id="2584" w:name="_Toc98755415"/>
      <w:bookmarkStart w:id="2585" w:name="_Toc98763006"/>
      <w:bookmarkStart w:id="2586" w:name="_Toc106183935"/>
      <w:r w:rsidRPr="007E346D">
        <w:t>7.1</w:t>
      </w:r>
      <w:r w:rsidRPr="007E346D">
        <w:tab/>
        <w:t>General</w:t>
      </w:r>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p>
    <w:p w14:paraId="1FD6D368" w14:textId="430053B8" w:rsidR="002E1777" w:rsidRDefault="002E1777" w:rsidP="002E1777">
      <w:pPr>
        <w:rPr>
          <w:lang w:eastAsia="zh-CN"/>
        </w:rPr>
      </w:pPr>
      <w:bookmarkStart w:id="2587" w:name="_Toc13080237"/>
      <w:bookmarkStart w:id="2588" w:name="_Toc18916173"/>
      <w:bookmarkStart w:id="2589" w:name="_Toc53185388"/>
      <w:bookmarkStart w:id="2590" w:name="_Toc53185764"/>
      <w:r>
        <w:rPr>
          <w:lang w:eastAsia="zh-CN"/>
        </w:rPr>
        <w:t xml:space="preserve">Conducted receiver characteristics are specified at </w:t>
      </w:r>
      <w:r>
        <w:rPr>
          <w:i/>
          <w:lang w:eastAsia="zh-CN"/>
        </w:rPr>
        <w:t>TAB connector</w:t>
      </w:r>
      <w:r>
        <w:rPr>
          <w:lang w:eastAsia="zh-CN"/>
        </w:rPr>
        <w:t xml:space="preserve"> for </w:t>
      </w:r>
      <w:r>
        <w:rPr>
          <w:i/>
          <w:lang w:eastAsia="zh-CN"/>
        </w:rPr>
        <w:t>IAB type 1-H</w:t>
      </w:r>
      <w:r>
        <w:rPr>
          <w:lang w:eastAsia="zh-CN"/>
        </w:rPr>
        <w:t>, with full complement of transceivers for the configuration in normal operating condition.</w:t>
      </w:r>
    </w:p>
    <w:p w14:paraId="0F790BFC" w14:textId="77777777" w:rsidR="002E1777" w:rsidRDefault="002E1777" w:rsidP="002E1777">
      <w:pPr>
        <w:rPr>
          <w:lang w:eastAsia="zh-CN"/>
        </w:rPr>
      </w:pPr>
      <w:r>
        <w:rPr>
          <w:rFonts w:cs="v5.0.0"/>
        </w:rPr>
        <w:t>Unless otherwise stated, t</w:t>
      </w:r>
      <w:r>
        <w:rPr>
          <w:lang w:eastAsia="zh-CN"/>
        </w:rPr>
        <w:t>he following arrangements apply for conducted receiver characteristics requirements in clause 7:</w:t>
      </w:r>
    </w:p>
    <w:p w14:paraId="31CD75CD" w14:textId="77777777" w:rsidR="002E1777" w:rsidRDefault="002E1777" w:rsidP="002E1777">
      <w:pPr>
        <w:pStyle w:val="B10"/>
        <w:rPr>
          <w:lang w:eastAsia="zh-CN"/>
        </w:rPr>
      </w:pPr>
      <w:r>
        <w:rPr>
          <w:lang w:eastAsia="zh-CN"/>
        </w:rPr>
        <w:t>-</w:t>
      </w:r>
      <w:r>
        <w:rPr>
          <w:lang w:eastAsia="zh-CN"/>
        </w:rPr>
        <w:tab/>
        <w:t>Requirements apply during the receive period.</w:t>
      </w:r>
    </w:p>
    <w:p w14:paraId="322CF63E" w14:textId="77777777" w:rsidR="002E1777" w:rsidRDefault="002E1777" w:rsidP="002E1777">
      <w:pPr>
        <w:pStyle w:val="B10"/>
        <w:rPr>
          <w:lang w:eastAsia="zh-CN"/>
        </w:rPr>
      </w:pPr>
      <w:r>
        <w:rPr>
          <w:lang w:eastAsia="zh-CN"/>
        </w:rPr>
        <w:t>-</w:t>
      </w:r>
      <w:r>
        <w:rPr>
          <w:lang w:eastAsia="zh-CN"/>
        </w:rPr>
        <w:tab/>
        <w:t>Requirements shall be met for any transmitter setting.</w:t>
      </w:r>
    </w:p>
    <w:p w14:paraId="7046FF09" w14:textId="48F32C4A" w:rsidR="00096CBD" w:rsidRDefault="00096CBD" w:rsidP="00096CBD">
      <w:pPr>
        <w:pStyle w:val="B10"/>
        <w:rPr>
          <w:lang w:eastAsia="zh-CN"/>
        </w:rPr>
      </w:pPr>
      <w:r>
        <w:rPr>
          <w:lang w:eastAsia="zh-CN"/>
        </w:rPr>
        <w:t>-</w:t>
      </w:r>
      <w:r>
        <w:rPr>
          <w:lang w:eastAsia="zh-CN"/>
        </w:rPr>
        <w:tab/>
        <w:t>Throughput requirements defined for the conducted receiver characteristics do not assume HARQ retransmissions.</w:t>
      </w:r>
    </w:p>
    <w:p w14:paraId="5872491C" w14:textId="77777777" w:rsidR="002E1777" w:rsidRDefault="002E1777" w:rsidP="002E1777">
      <w:pPr>
        <w:pStyle w:val="B10"/>
        <w:rPr>
          <w:lang w:eastAsia="zh-CN"/>
        </w:rPr>
      </w:pPr>
      <w:r>
        <w:rPr>
          <w:lang w:eastAsia="zh-CN"/>
        </w:rPr>
        <w:t>-</w:t>
      </w:r>
      <w:r>
        <w:rPr>
          <w:lang w:eastAsia="zh-CN"/>
        </w:rPr>
        <w:tab/>
        <w:t>When IAB-DU or IAB-MT is configured to receive multiple carriers, all the throughput requirements are applicable for each received carrier.</w:t>
      </w:r>
    </w:p>
    <w:p w14:paraId="336B8D7E" w14:textId="77777777" w:rsidR="002E1777" w:rsidRDefault="002E1777" w:rsidP="002E1777">
      <w:pPr>
        <w:pStyle w:val="B10"/>
      </w:pPr>
      <w:r>
        <w:rPr>
          <w:lang w:val="en-US" w:eastAsia="zh-CN"/>
        </w:rPr>
        <w:t>-</w:t>
      </w:r>
      <w:r>
        <w:rPr>
          <w:lang w:eastAsia="zh-CN"/>
        </w:rPr>
        <w:tab/>
      </w:r>
      <w:r>
        <w:rPr>
          <w:lang w:val="en-US" w:eastAsia="zh-CN"/>
        </w:rPr>
        <w:t>F</w:t>
      </w:r>
      <w:r>
        <w:t xml:space="preserve">or ACS, blocking and intermodulation characteristics, the negative offsets of the interfering signal apply relative to the lower </w:t>
      </w:r>
      <w:r>
        <w:rPr>
          <w:rFonts w:cs="Arial"/>
          <w:i/>
        </w:rPr>
        <w:t>IAB RF Bandwidth</w:t>
      </w:r>
      <w:r>
        <w:rPr>
          <w:rFonts w:cs="Arial"/>
        </w:rPr>
        <w:t xml:space="preserve"> </w:t>
      </w:r>
      <w:r>
        <w:t xml:space="preserve">edge </w:t>
      </w:r>
      <w:r>
        <w:rPr>
          <w:rFonts w:cs="Arial"/>
        </w:rPr>
        <w:t xml:space="preserve">or </w:t>
      </w:r>
      <w:r>
        <w:rPr>
          <w:rFonts w:cs="Arial"/>
          <w:i/>
        </w:rPr>
        <w:t>sub-block</w:t>
      </w:r>
      <w:r>
        <w:rPr>
          <w:rFonts w:cs="Arial"/>
        </w:rPr>
        <w:t xml:space="preserve"> edge inside a </w:t>
      </w:r>
      <w:r>
        <w:rPr>
          <w:rFonts w:cs="Arial"/>
          <w:i/>
        </w:rPr>
        <w:t>sub-block gap</w:t>
      </w:r>
      <w:r>
        <w:rPr>
          <w:rFonts w:cs="Arial"/>
        </w:rPr>
        <w:t>,</w:t>
      </w:r>
      <w:r>
        <w:t xml:space="preserve"> and the positive offsets of the interfering signal apply relative to the upper </w:t>
      </w:r>
      <w:r>
        <w:rPr>
          <w:rFonts w:cs="Arial"/>
          <w:i/>
        </w:rPr>
        <w:t>IAB RF Bandwidth</w:t>
      </w:r>
      <w:r>
        <w:rPr>
          <w:rFonts w:cs="Arial"/>
        </w:rPr>
        <w:t xml:space="preserve"> </w:t>
      </w:r>
      <w:r>
        <w:t>edge</w:t>
      </w:r>
      <w:r>
        <w:rPr>
          <w:rFonts w:cs="Arial"/>
        </w:rPr>
        <w:t xml:space="preserve"> or </w:t>
      </w:r>
      <w:r>
        <w:rPr>
          <w:rFonts w:cs="Arial"/>
          <w:i/>
        </w:rPr>
        <w:t>sub-block</w:t>
      </w:r>
      <w:r>
        <w:rPr>
          <w:rFonts w:cs="Arial"/>
        </w:rPr>
        <w:t xml:space="preserve"> edge inside a </w:t>
      </w:r>
      <w:r>
        <w:rPr>
          <w:rFonts w:cs="Arial"/>
          <w:i/>
        </w:rPr>
        <w:t>sub-block gap</w:t>
      </w:r>
      <w:r>
        <w:t xml:space="preserve">.  </w:t>
      </w:r>
    </w:p>
    <w:p w14:paraId="401FEED8" w14:textId="77777777" w:rsidR="002E1777" w:rsidRPr="00F9157C" w:rsidRDefault="002E1777" w:rsidP="002E1777">
      <w:r>
        <w:rPr>
          <w:lang w:eastAsia="zh-CN"/>
        </w:rPr>
        <w:t>NOTE 1:</w:t>
      </w:r>
      <w:r>
        <w:rPr>
          <w:lang w:eastAsia="zh-CN"/>
        </w:rPr>
        <w:tab/>
        <w:t xml:space="preserve">In normal operating condition the IAB-DU and IAB-MT in TDD operation are configured to TX OFF power during </w:t>
      </w:r>
      <w:r>
        <w:rPr>
          <w:i/>
          <w:lang w:eastAsia="zh-CN"/>
        </w:rPr>
        <w:t>receive period</w:t>
      </w:r>
      <w:r>
        <w:rPr>
          <w:lang w:eastAsia="zh-CN"/>
        </w:rPr>
        <w:t>.</w:t>
      </w:r>
    </w:p>
    <w:p w14:paraId="5C3C6C3B" w14:textId="77777777" w:rsidR="00077B6E" w:rsidRDefault="00077B6E" w:rsidP="00077B6E">
      <w:pPr>
        <w:pStyle w:val="Heading2"/>
        <w:rPr>
          <w:rFonts w:eastAsiaTheme="minorEastAsia"/>
          <w:lang w:eastAsia="zh-CN"/>
        </w:rPr>
      </w:pPr>
      <w:bookmarkStart w:id="2591" w:name="_Toc57820240"/>
      <w:bookmarkStart w:id="2592" w:name="_Toc57821167"/>
      <w:bookmarkStart w:id="2593" w:name="_Toc61183443"/>
      <w:bookmarkStart w:id="2594" w:name="_Toc61183837"/>
      <w:bookmarkStart w:id="2595" w:name="_Toc61184229"/>
      <w:bookmarkStart w:id="2596" w:name="_Toc61184621"/>
      <w:bookmarkStart w:id="2597" w:name="_Toc61185011"/>
      <w:bookmarkStart w:id="2598" w:name="_Toc66386354"/>
      <w:bookmarkStart w:id="2599" w:name="_Toc74583195"/>
      <w:bookmarkStart w:id="2600" w:name="_Toc76542008"/>
      <w:bookmarkStart w:id="2601" w:name="_Toc82449990"/>
      <w:bookmarkStart w:id="2602" w:name="_Toc82450638"/>
      <w:bookmarkStart w:id="2603" w:name="_Toc89949027"/>
      <w:bookmarkStart w:id="2604" w:name="_Toc98755416"/>
      <w:bookmarkStart w:id="2605" w:name="_Toc98763007"/>
      <w:bookmarkStart w:id="2606" w:name="_Toc106183936"/>
      <w:r w:rsidRPr="007E346D">
        <w:t>7.2</w:t>
      </w:r>
      <w:r w:rsidRPr="007E346D">
        <w:tab/>
        <w:t>Reference sensitivity level</w:t>
      </w:r>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p>
    <w:p w14:paraId="63C81539" w14:textId="10FC7CBA" w:rsidR="00047716" w:rsidRDefault="00047716" w:rsidP="00047716">
      <w:pPr>
        <w:pStyle w:val="Heading3"/>
      </w:pPr>
      <w:bookmarkStart w:id="2607" w:name="_Toc53185389"/>
      <w:bookmarkStart w:id="2608" w:name="_Toc53185765"/>
      <w:bookmarkStart w:id="2609" w:name="_Toc57820241"/>
      <w:bookmarkStart w:id="2610" w:name="_Toc57821168"/>
      <w:bookmarkStart w:id="2611" w:name="_Toc61183444"/>
      <w:bookmarkStart w:id="2612" w:name="_Toc61183838"/>
      <w:bookmarkStart w:id="2613" w:name="_Toc61184230"/>
      <w:bookmarkStart w:id="2614" w:name="_Toc61184622"/>
      <w:bookmarkStart w:id="2615" w:name="_Toc61185012"/>
      <w:bookmarkStart w:id="2616" w:name="_Toc66386355"/>
      <w:bookmarkStart w:id="2617" w:name="_Toc74583196"/>
      <w:bookmarkStart w:id="2618" w:name="_Toc76542009"/>
      <w:bookmarkStart w:id="2619" w:name="_Toc82449991"/>
      <w:bookmarkStart w:id="2620" w:name="_Toc82450639"/>
      <w:bookmarkStart w:id="2621" w:name="_Toc89949028"/>
      <w:bookmarkStart w:id="2622" w:name="_Toc98755417"/>
      <w:bookmarkStart w:id="2623" w:name="_Toc98763008"/>
      <w:bookmarkStart w:id="2624" w:name="_Toc106183937"/>
      <w:bookmarkStart w:id="2625" w:name="_Toc13080240"/>
      <w:bookmarkStart w:id="2626" w:name="_Toc18916174"/>
      <w:r>
        <w:t>7.2.1</w:t>
      </w:r>
      <w:r w:rsidR="00815C5B">
        <w:tab/>
      </w:r>
      <w:r w:rsidR="008A1DF3">
        <w:t>IAB-DU r</w:t>
      </w:r>
      <w:r>
        <w:t>eference sensitivity level</w:t>
      </w:r>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r>
        <w:t xml:space="preserve"> </w:t>
      </w:r>
    </w:p>
    <w:p w14:paraId="2B688881" w14:textId="77777777" w:rsidR="00C2591E" w:rsidRPr="00E26D09" w:rsidRDefault="00C2591E" w:rsidP="00C2591E">
      <w:pPr>
        <w:pStyle w:val="Heading4"/>
      </w:pPr>
      <w:bookmarkStart w:id="2627" w:name="_Toc21127528"/>
      <w:bookmarkStart w:id="2628" w:name="_Toc29811737"/>
      <w:bookmarkStart w:id="2629" w:name="_Toc53185390"/>
      <w:bookmarkStart w:id="2630" w:name="_Toc53185766"/>
      <w:bookmarkStart w:id="2631" w:name="_Toc57820242"/>
      <w:bookmarkStart w:id="2632" w:name="_Toc57821169"/>
      <w:bookmarkStart w:id="2633" w:name="_Toc61183445"/>
      <w:bookmarkStart w:id="2634" w:name="_Toc61183839"/>
      <w:bookmarkStart w:id="2635" w:name="_Toc61184231"/>
      <w:bookmarkStart w:id="2636" w:name="_Toc61184623"/>
      <w:bookmarkStart w:id="2637" w:name="_Toc61185013"/>
      <w:bookmarkStart w:id="2638" w:name="_Toc66386356"/>
      <w:bookmarkStart w:id="2639" w:name="_Toc74583197"/>
      <w:bookmarkStart w:id="2640" w:name="_Toc76542010"/>
      <w:bookmarkStart w:id="2641" w:name="_Toc82449992"/>
      <w:bookmarkStart w:id="2642" w:name="_Toc82450640"/>
      <w:bookmarkStart w:id="2643" w:name="_Toc89949029"/>
      <w:bookmarkStart w:id="2644" w:name="_Toc98755418"/>
      <w:bookmarkStart w:id="2645" w:name="_Toc98763009"/>
      <w:bookmarkStart w:id="2646" w:name="_Toc106183938"/>
      <w:r w:rsidRPr="00E26D09">
        <w:t>7.2.1</w:t>
      </w:r>
      <w:r>
        <w:t>.1</w:t>
      </w:r>
      <w:r w:rsidRPr="00E26D09">
        <w:tab/>
        <w:t>General</w:t>
      </w:r>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p>
    <w:p w14:paraId="644996ED" w14:textId="77777777" w:rsidR="00C2591E" w:rsidRPr="00E26D09" w:rsidRDefault="00C2591E" w:rsidP="00C2591E">
      <w:pPr>
        <w:keepLines/>
        <w:rPr>
          <w:rFonts w:eastAsia="MS PGothic" w:cs="v4.2.0"/>
        </w:rPr>
      </w:pPr>
      <w:r w:rsidRPr="00E26D09">
        <w:t>The reference sensitivity power level P</w:t>
      </w:r>
      <w:r w:rsidRPr="00E26D09">
        <w:rPr>
          <w:vertAlign w:val="subscript"/>
        </w:rPr>
        <w:t>REFSENS</w:t>
      </w:r>
      <w:r w:rsidRPr="00E26D09">
        <w:t xml:space="preserve"> is the minimum mean power received at the </w:t>
      </w:r>
      <w:bookmarkStart w:id="2647" w:name="_Hlk508114944"/>
      <w:r w:rsidRPr="00E26D09">
        <w:rPr>
          <w:i/>
        </w:rPr>
        <w:t>TAB connector</w:t>
      </w:r>
      <w:r w:rsidRPr="00E26D09">
        <w:rPr>
          <w:i/>
          <w:lang w:val="en-US" w:eastAsia="zh-CN"/>
        </w:rPr>
        <w:t xml:space="preserve"> </w:t>
      </w:r>
      <w:r w:rsidRPr="00E26D09">
        <w:rPr>
          <w:rFonts w:eastAsia="??"/>
        </w:rPr>
        <w:t xml:space="preserve">for </w:t>
      </w:r>
      <w:r>
        <w:rPr>
          <w:rFonts w:eastAsia="??"/>
          <w:i/>
        </w:rPr>
        <w:t>IAB-DU type</w:t>
      </w:r>
      <w:r w:rsidRPr="00E26D09">
        <w:rPr>
          <w:rFonts w:eastAsia="??"/>
          <w:i/>
        </w:rPr>
        <w:t xml:space="preserve"> 1-</w:t>
      </w:r>
      <w:r w:rsidRPr="00E26D09">
        <w:rPr>
          <w:rFonts w:eastAsia="SimSun"/>
          <w:i/>
          <w:lang w:val="en-US" w:eastAsia="zh-CN"/>
        </w:rPr>
        <w:t>H</w:t>
      </w:r>
      <w:bookmarkEnd w:id="2647"/>
      <w:r w:rsidRPr="00E26D09">
        <w:rPr>
          <w:rFonts w:eastAsia="SimSun"/>
          <w:i/>
          <w:lang w:val="en-US" w:eastAsia="zh-CN"/>
        </w:rPr>
        <w:t xml:space="preserve"> </w:t>
      </w:r>
      <w:r w:rsidRPr="00E26D09">
        <w:t>at which a throughput requirement shall be met for a specified reference measurement channel.</w:t>
      </w:r>
    </w:p>
    <w:p w14:paraId="762FE8AC" w14:textId="77777777" w:rsidR="00C2591E" w:rsidRPr="00E26D09" w:rsidRDefault="00C2591E" w:rsidP="00C2591E">
      <w:pPr>
        <w:pStyle w:val="Heading4"/>
      </w:pPr>
      <w:bookmarkStart w:id="2648" w:name="_Toc21127529"/>
      <w:bookmarkStart w:id="2649" w:name="_Toc29811738"/>
      <w:bookmarkStart w:id="2650" w:name="_Toc53185391"/>
      <w:bookmarkStart w:id="2651" w:name="_Toc53185767"/>
      <w:bookmarkStart w:id="2652" w:name="_Toc57820243"/>
      <w:bookmarkStart w:id="2653" w:name="_Toc57821170"/>
      <w:bookmarkStart w:id="2654" w:name="_Toc61183446"/>
      <w:bookmarkStart w:id="2655" w:name="_Toc61183840"/>
      <w:bookmarkStart w:id="2656" w:name="_Toc61184232"/>
      <w:bookmarkStart w:id="2657" w:name="_Toc61184624"/>
      <w:bookmarkStart w:id="2658" w:name="_Toc61185014"/>
      <w:bookmarkStart w:id="2659" w:name="_Toc66386357"/>
      <w:bookmarkStart w:id="2660" w:name="_Toc74583198"/>
      <w:bookmarkStart w:id="2661" w:name="_Toc76542011"/>
      <w:bookmarkStart w:id="2662" w:name="_Toc82449993"/>
      <w:bookmarkStart w:id="2663" w:name="_Toc82450641"/>
      <w:bookmarkStart w:id="2664" w:name="_Toc89949030"/>
      <w:bookmarkStart w:id="2665" w:name="_Toc98755419"/>
      <w:bookmarkStart w:id="2666" w:name="_Toc98763010"/>
      <w:bookmarkStart w:id="2667" w:name="_Toc106183939"/>
      <w:r w:rsidRPr="00E26D09">
        <w:t>7.2.</w:t>
      </w:r>
      <w:r>
        <w:t>1.</w:t>
      </w:r>
      <w:r w:rsidRPr="00E26D09">
        <w:t>2</w:t>
      </w:r>
      <w:r w:rsidRPr="00E26D09">
        <w:tab/>
        <w:t xml:space="preserve">Minimum requirements for </w:t>
      </w:r>
      <w:r>
        <w:rPr>
          <w:i/>
        </w:rPr>
        <w:t>IAB-DU type</w:t>
      </w:r>
      <w:r w:rsidRPr="00E26D09">
        <w:rPr>
          <w:i/>
        </w:rPr>
        <w:t xml:space="preserve"> 1-H</w:t>
      </w:r>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p>
    <w:p w14:paraId="525CC798" w14:textId="62CAF0E1" w:rsidR="002E1777" w:rsidRDefault="002E1777" w:rsidP="002E1777">
      <w:r w:rsidRPr="00E26D09">
        <w:t>T</w:t>
      </w:r>
      <w:r>
        <w:t>he wide area IAB-DU reference sensitivity level</w:t>
      </w:r>
      <w:r w:rsidRPr="00E26D09">
        <w:t xml:space="preserve"> is specified the same as the </w:t>
      </w:r>
      <w:r>
        <w:t>wide area BS reference sensitivity level</w:t>
      </w:r>
      <w:r w:rsidRPr="00E26D09">
        <w:t xml:space="preserve"> requirement for </w:t>
      </w:r>
      <w:r w:rsidRPr="0063534F">
        <w:rPr>
          <w:i/>
          <w:iCs/>
        </w:rPr>
        <w:t>BS</w:t>
      </w:r>
      <w:r w:rsidRPr="00E26D09">
        <w:rPr>
          <w:i/>
        </w:rPr>
        <w:t xml:space="preserve"> type 1-H</w:t>
      </w:r>
      <w:r w:rsidRPr="00E26D09">
        <w:t xml:space="preserve"> </w:t>
      </w:r>
      <w:r>
        <w:t xml:space="preserve">in TS 38.104 [2], subclause 7.2.2, where references to </w:t>
      </w:r>
      <w:r w:rsidRPr="00A922D4">
        <w:rPr>
          <w:i/>
        </w:rPr>
        <w:t>BS channel bandwidth</w:t>
      </w:r>
      <w:r>
        <w:t xml:space="preserve"> apply to </w:t>
      </w:r>
      <w:r w:rsidRPr="00A922D4">
        <w:rPr>
          <w:i/>
        </w:rPr>
        <w:t>IAB-DU channel bandwidth</w:t>
      </w:r>
      <w:r>
        <w:t>.</w:t>
      </w:r>
    </w:p>
    <w:p w14:paraId="4C61FDAA" w14:textId="1E87C28E" w:rsidR="002E1777" w:rsidRDefault="002E1777" w:rsidP="002E1777">
      <w:r w:rsidRPr="00E26D09">
        <w:lastRenderedPageBreak/>
        <w:t>T</w:t>
      </w:r>
      <w:r>
        <w:t>he medium range IAB-DU reference sensitivity level</w:t>
      </w:r>
      <w:r w:rsidRPr="00E26D09">
        <w:t xml:space="preserve"> is specified the same as the </w:t>
      </w:r>
      <w:r>
        <w:t>medium range BS reference sensitivity level</w:t>
      </w:r>
      <w:r w:rsidRPr="00E26D09">
        <w:t xml:space="preserve"> requirement for </w:t>
      </w:r>
      <w:r w:rsidRPr="0063534F">
        <w:rPr>
          <w:i/>
          <w:iCs/>
        </w:rPr>
        <w:t>BS</w:t>
      </w:r>
      <w:r w:rsidRPr="00E26D09">
        <w:rPr>
          <w:i/>
        </w:rPr>
        <w:t xml:space="preserve"> type 1-H</w:t>
      </w:r>
      <w:r w:rsidRPr="00E26D09">
        <w:t xml:space="preserve"> </w:t>
      </w:r>
      <w:r>
        <w:t xml:space="preserve">in TS 38.104 [2], subclause 7.2.2, where references to </w:t>
      </w:r>
      <w:r w:rsidRPr="00A922D4">
        <w:rPr>
          <w:i/>
        </w:rPr>
        <w:t>BS channel bandwidth</w:t>
      </w:r>
      <w:r>
        <w:t xml:space="preserve"> apply to </w:t>
      </w:r>
      <w:r w:rsidRPr="00A922D4">
        <w:rPr>
          <w:i/>
        </w:rPr>
        <w:t>IAB-DU channel bandwidth</w:t>
      </w:r>
      <w:r>
        <w:t>.</w:t>
      </w:r>
    </w:p>
    <w:p w14:paraId="664D4EBA" w14:textId="593F91C2" w:rsidR="002E1777" w:rsidRDefault="002E1777" w:rsidP="002E1777">
      <w:r w:rsidRPr="00E26D09">
        <w:t>T</w:t>
      </w:r>
      <w:r>
        <w:t>he local area IAB-DU reference sensitivity level</w:t>
      </w:r>
      <w:r w:rsidRPr="00E26D09">
        <w:t xml:space="preserve"> is specified the same as the </w:t>
      </w:r>
      <w:r>
        <w:t>local area BS reference sensitivity level</w:t>
      </w:r>
      <w:r w:rsidRPr="00E26D09">
        <w:t xml:space="preserve"> requirement for </w:t>
      </w:r>
      <w:r w:rsidRPr="0063534F">
        <w:rPr>
          <w:i/>
          <w:iCs/>
        </w:rPr>
        <w:t>BS</w:t>
      </w:r>
      <w:r w:rsidRPr="00E26D09">
        <w:rPr>
          <w:i/>
        </w:rPr>
        <w:t xml:space="preserve"> type 1-H</w:t>
      </w:r>
      <w:r w:rsidRPr="00E26D09">
        <w:t xml:space="preserve"> </w:t>
      </w:r>
      <w:r>
        <w:t xml:space="preserve">in TS 38.104 [2], subclause 7.2.2, where references to </w:t>
      </w:r>
      <w:r w:rsidRPr="00A922D4">
        <w:rPr>
          <w:i/>
        </w:rPr>
        <w:t>BS channel bandwidth</w:t>
      </w:r>
      <w:r>
        <w:t xml:space="preserve"> apply to </w:t>
      </w:r>
      <w:r w:rsidRPr="00A922D4">
        <w:rPr>
          <w:i/>
        </w:rPr>
        <w:t>IAB-DU channel bandwidth</w:t>
      </w:r>
      <w:r>
        <w:t>.</w:t>
      </w:r>
    </w:p>
    <w:p w14:paraId="13DD117C" w14:textId="58562F38" w:rsidR="00047716" w:rsidRPr="00047716" w:rsidRDefault="00C2591E" w:rsidP="00DC7592">
      <w:r>
        <w:t>Referenced requirements applying to NB IoT are not applicable to the IAB-DU</w:t>
      </w:r>
    </w:p>
    <w:p w14:paraId="2FF006B3" w14:textId="53128DF3" w:rsidR="00047716" w:rsidRDefault="00047716">
      <w:pPr>
        <w:pStyle w:val="Heading3"/>
      </w:pPr>
      <w:bookmarkStart w:id="2668" w:name="_Toc53185392"/>
      <w:bookmarkStart w:id="2669" w:name="_Toc53185768"/>
      <w:bookmarkStart w:id="2670" w:name="_Toc57820244"/>
      <w:bookmarkStart w:id="2671" w:name="_Toc57821171"/>
      <w:bookmarkStart w:id="2672" w:name="_Toc61183447"/>
      <w:bookmarkStart w:id="2673" w:name="_Toc61183841"/>
      <w:bookmarkStart w:id="2674" w:name="_Toc61184233"/>
      <w:bookmarkStart w:id="2675" w:name="_Toc61184625"/>
      <w:bookmarkStart w:id="2676" w:name="_Toc61185015"/>
      <w:bookmarkStart w:id="2677" w:name="_Toc66386358"/>
      <w:bookmarkStart w:id="2678" w:name="_Toc74583199"/>
      <w:bookmarkStart w:id="2679" w:name="_Toc76542012"/>
      <w:bookmarkStart w:id="2680" w:name="_Toc82449994"/>
      <w:bookmarkStart w:id="2681" w:name="_Toc82450642"/>
      <w:bookmarkStart w:id="2682" w:name="_Toc89949031"/>
      <w:bookmarkStart w:id="2683" w:name="_Toc98755420"/>
      <w:bookmarkStart w:id="2684" w:name="_Toc98763011"/>
      <w:bookmarkStart w:id="2685" w:name="_Toc106183940"/>
      <w:r>
        <w:t>7.2.2</w:t>
      </w:r>
      <w:r w:rsidR="00C60E58">
        <w:tab/>
      </w:r>
      <w:r w:rsidR="008A1DF3">
        <w:t>IAB-MT r</w:t>
      </w:r>
      <w:r>
        <w:t>eference sensitivity level</w:t>
      </w:r>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r>
        <w:t xml:space="preserve"> </w:t>
      </w:r>
    </w:p>
    <w:p w14:paraId="058F827E" w14:textId="518607FF" w:rsidR="00047716" w:rsidRDefault="00841309" w:rsidP="00121CA7">
      <w:r w:rsidRPr="00F95B02">
        <w:t>T</w:t>
      </w:r>
      <w:r w:rsidRPr="00F95B02">
        <w:rPr>
          <w:rFonts w:hint="eastAsia"/>
        </w:rPr>
        <w:t xml:space="preserve">he throughput shall be ≥ 95% of the maximum throughput of the reference measurement channel as specified in </w:t>
      </w:r>
      <w:r w:rsidRPr="00F95B02">
        <w:t>annex A.1</w:t>
      </w:r>
      <w:r w:rsidRPr="00F95B02" w:rsidDel="00B462E4">
        <w:t xml:space="preserve"> </w:t>
      </w:r>
      <w:r w:rsidRPr="00F95B02">
        <w:t>with parameters specified in table 7.2.2-1</w:t>
      </w:r>
      <w:r>
        <w:rPr>
          <w:lang w:eastAsia="zh-CN"/>
        </w:rPr>
        <w:t xml:space="preserve"> for Wide Area IAB-MT</w:t>
      </w:r>
      <w:r w:rsidRPr="00F95B02">
        <w:rPr>
          <w:lang w:eastAsia="zh-CN"/>
        </w:rPr>
        <w:t xml:space="preserve"> </w:t>
      </w:r>
      <w:r w:rsidRPr="00F95B02">
        <w:rPr>
          <w:rFonts w:cs="v5.0.0"/>
          <w:lang w:eastAsia="zh-CN"/>
        </w:rPr>
        <w:t>and in table 7.2.2-</w:t>
      </w:r>
      <w:r>
        <w:rPr>
          <w:rFonts w:cs="v5.0.0"/>
          <w:lang w:eastAsia="zh-CN"/>
        </w:rPr>
        <w:t>2</w:t>
      </w:r>
      <w:r w:rsidRPr="00F95B02">
        <w:rPr>
          <w:rFonts w:cs="v5.0.0"/>
          <w:lang w:eastAsia="zh-CN"/>
        </w:rPr>
        <w:t xml:space="preserve"> for Local Area </w:t>
      </w:r>
      <w:r>
        <w:rPr>
          <w:rFonts w:cs="v5.0.0"/>
          <w:lang w:eastAsia="zh-CN"/>
        </w:rPr>
        <w:t>IAB-MT</w:t>
      </w:r>
      <w:r w:rsidRPr="00F95B02">
        <w:t xml:space="preserve">. </w:t>
      </w:r>
    </w:p>
    <w:p w14:paraId="0CCEB132" w14:textId="77777777" w:rsidR="000D39CF" w:rsidRPr="00F95B02" w:rsidRDefault="000D39CF" w:rsidP="000D39CF">
      <w:pPr>
        <w:pStyle w:val="TH"/>
      </w:pPr>
      <w:r w:rsidRPr="00F95B02">
        <w:t xml:space="preserve">Table 7.2.2-1: </w:t>
      </w:r>
      <w:r>
        <w:t>Void</w:t>
      </w:r>
    </w:p>
    <w:p w14:paraId="70708E26" w14:textId="77777777" w:rsidR="000D39CF" w:rsidRPr="00A043EA" w:rsidRDefault="000D39CF" w:rsidP="00A043EA">
      <w:pPr>
        <w:pStyle w:val="Heading4"/>
        <w:jc w:val="center"/>
        <w:rPr>
          <w:b/>
          <w:bCs/>
          <w:sz w:val="20"/>
        </w:rPr>
      </w:pPr>
      <w:bookmarkStart w:id="2686" w:name="_Toc66386359"/>
      <w:bookmarkStart w:id="2687" w:name="_Toc74583200"/>
      <w:bookmarkStart w:id="2688" w:name="_Toc76542013"/>
      <w:bookmarkStart w:id="2689" w:name="_Toc82449995"/>
      <w:bookmarkStart w:id="2690" w:name="_Toc82450643"/>
      <w:bookmarkStart w:id="2691" w:name="_Toc89949032"/>
      <w:bookmarkStart w:id="2692" w:name="_Toc98755421"/>
      <w:bookmarkStart w:id="2693" w:name="_Toc98763012"/>
      <w:bookmarkStart w:id="2694" w:name="_Toc106183941"/>
      <w:bookmarkStart w:id="2695" w:name="_Toc61183448"/>
      <w:bookmarkStart w:id="2696" w:name="_Toc61183842"/>
      <w:bookmarkStart w:id="2697" w:name="_Toc61184234"/>
      <w:bookmarkStart w:id="2698" w:name="_Toc61184626"/>
      <w:bookmarkStart w:id="2699" w:name="_Toc61185016"/>
      <w:r w:rsidRPr="00A043EA">
        <w:rPr>
          <w:b/>
          <w:bCs/>
          <w:sz w:val="20"/>
        </w:rPr>
        <w:t>Table 7.2.2-2: Void</w:t>
      </w:r>
      <w:bookmarkStart w:id="2700" w:name="_Toc57820245"/>
      <w:bookmarkStart w:id="2701" w:name="_Toc57821172"/>
      <w:bookmarkEnd w:id="2686"/>
      <w:bookmarkEnd w:id="2687"/>
      <w:bookmarkEnd w:id="2688"/>
      <w:bookmarkEnd w:id="2689"/>
      <w:bookmarkEnd w:id="2690"/>
      <w:bookmarkEnd w:id="2691"/>
      <w:bookmarkEnd w:id="2692"/>
      <w:bookmarkEnd w:id="2693"/>
      <w:bookmarkEnd w:id="2694"/>
    </w:p>
    <w:p w14:paraId="290A307B" w14:textId="77777777" w:rsidR="000D39CF" w:rsidRDefault="000D39CF" w:rsidP="000D39CF">
      <w:pPr>
        <w:pStyle w:val="Heading4"/>
      </w:pPr>
      <w:bookmarkStart w:id="2702" w:name="_Toc66386360"/>
      <w:bookmarkStart w:id="2703" w:name="_Toc74583201"/>
      <w:bookmarkStart w:id="2704" w:name="_Toc76542014"/>
      <w:bookmarkStart w:id="2705" w:name="_Toc82449996"/>
      <w:bookmarkStart w:id="2706" w:name="_Toc82450644"/>
      <w:bookmarkStart w:id="2707" w:name="_Toc89949033"/>
      <w:bookmarkStart w:id="2708" w:name="_Toc98755422"/>
      <w:bookmarkStart w:id="2709" w:name="_Toc98763013"/>
      <w:bookmarkStart w:id="2710" w:name="_Toc106183942"/>
      <w:r>
        <w:t>7.2.</w:t>
      </w:r>
      <w:r>
        <w:rPr>
          <w:rFonts w:eastAsia="SimSun" w:hint="eastAsia"/>
          <w:lang w:val="en-US" w:eastAsia="zh-CN"/>
        </w:rPr>
        <w:t>2</w:t>
      </w:r>
      <w:r>
        <w:t>.1</w:t>
      </w:r>
      <w:r>
        <w:tab/>
        <w:t>General</w:t>
      </w:r>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p>
    <w:p w14:paraId="250C912E" w14:textId="77777777" w:rsidR="002E1777" w:rsidRDefault="002E1777" w:rsidP="002E1777">
      <w:pPr>
        <w:keepLines/>
        <w:rPr>
          <w:rFonts w:eastAsia="MS PGothic" w:cs="v4.2.0"/>
        </w:rPr>
      </w:pPr>
      <w:r>
        <w:t>The reference sensitivity power level P</w:t>
      </w:r>
      <w:r>
        <w:rPr>
          <w:vertAlign w:val="subscript"/>
        </w:rPr>
        <w:t>REFSENS</w:t>
      </w:r>
      <w:r>
        <w:t xml:space="preserve"> is the minimum mean power received at the </w:t>
      </w:r>
      <w:r>
        <w:rPr>
          <w:i/>
        </w:rPr>
        <w:t>TAB connector</w:t>
      </w:r>
      <w:r>
        <w:rPr>
          <w:i/>
          <w:lang w:val="en-US" w:eastAsia="zh-CN"/>
        </w:rPr>
        <w:t xml:space="preserve"> </w:t>
      </w:r>
      <w:r>
        <w:rPr>
          <w:rFonts w:eastAsia="??"/>
        </w:rPr>
        <w:t xml:space="preserve">for </w:t>
      </w:r>
      <w:r>
        <w:rPr>
          <w:rFonts w:eastAsia="??"/>
          <w:i/>
        </w:rPr>
        <w:t>IAB-</w:t>
      </w:r>
      <w:r>
        <w:rPr>
          <w:rFonts w:eastAsia="SimSun" w:hint="eastAsia"/>
          <w:i/>
          <w:lang w:val="en-US" w:eastAsia="zh-CN"/>
        </w:rPr>
        <w:t>MT</w:t>
      </w:r>
      <w:r>
        <w:rPr>
          <w:rFonts w:eastAsia="??"/>
          <w:i/>
        </w:rPr>
        <w:t xml:space="preserve"> type 1-</w:t>
      </w:r>
      <w:r>
        <w:rPr>
          <w:rFonts w:eastAsia="SimSun"/>
          <w:i/>
          <w:lang w:val="en-US" w:eastAsia="zh-CN"/>
        </w:rPr>
        <w:t xml:space="preserve">H </w:t>
      </w:r>
      <w:r>
        <w:t>at which a throughput requirement shall be met for a specified reference measurement channel.</w:t>
      </w:r>
    </w:p>
    <w:p w14:paraId="6E2A5824" w14:textId="77777777" w:rsidR="002E1777" w:rsidRDefault="002E1777" w:rsidP="002E1777">
      <w:pPr>
        <w:pStyle w:val="Heading4"/>
      </w:pPr>
      <w:bookmarkStart w:id="2711" w:name="_Toc57820246"/>
      <w:bookmarkStart w:id="2712" w:name="_Toc57821173"/>
      <w:bookmarkStart w:id="2713" w:name="_Toc61183449"/>
      <w:bookmarkStart w:id="2714" w:name="_Toc61183843"/>
      <w:bookmarkStart w:id="2715" w:name="_Toc61184235"/>
      <w:bookmarkStart w:id="2716" w:name="_Toc61184627"/>
      <w:bookmarkStart w:id="2717" w:name="_Toc61185017"/>
      <w:bookmarkStart w:id="2718" w:name="_Toc66386361"/>
      <w:bookmarkStart w:id="2719" w:name="_Toc74583202"/>
      <w:bookmarkStart w:id="2720" w:name="_Toc76542015"/>
      <w:bookmarkStart w:id="2721" w:name="_Toc82449997"/>
      <w:bookmarkStart w:id="2722" w:name="_Toc82450645"/>
      <w:bookmarkStart w:id="2723" w:name="_Toc89949034"/>
      <w:bookmarkStart w:id="2724" w:name="_Toc98755423"/>
      <w:bookmarkStart w:id="2725" w:name="_Toc98763014"/>
      <w:bookmarkStart w:id="2726" w:name="_Toc106183943"/>
      <w:r>
        <w:t>7.2.</w:t>
      </w:r>
      <w:r>
        <w:rPr>
          <w:rFonts w:eastAsia="SimSun" w:hint="eastAsia"/>
          <w:lang w:val="en-US" w:eastAsia="zh-CN"/>
        </w:rPr>
        <w:t>2</w:t>
      </w:r>
      <w:r>
        <w:t>.2</w:t>
      </w:r>
      <w:r>
        <w:tab/>
        <w:t xml:space="preserve">Minimum requirements for </w:t>
      </w:r>
      <w:r>
        <w:rPr>
          <w:i/>
        </w:rPr>
        <w:t>IAB-</w:t>
      </w:r>
      <w:r>
        <w:rPr>
          <w:rFonts w:eastAsia="SimSun" w:hint="eastAsia"/>
          <w:i/>
          <w:lang w:val="en-US" w:eastAsia="zh-CN"/>
        </w:rPr>
        <w:t>MT</w:t>
      </w:r>
      <w:r>
        <w:rPr>
          <w:i/>
        </w:rPr>
        <w:t xml:space="preserve"> type 1-H</w:t>
      </w:r>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p>
    <w:p w14:paraId="69845363" w14:textId="77777777" w:rsidR="002E1777" w:rsidRPr="00F95B02" w:rsidRDefault="002E1777" w:rsidP="002E1777">
      <w:r w:rsidRPr="00F95B02">
        <w:t>T</w:t>
      </w:r>
      <w:r w:rsidRPr="00F95B02">
        <w:rPr>
          <w:rFonts w:hint="eastAsia"/>
        </w:rPr>
        <w:t xml:space="preserve">he throughput shall be ≥ 95% of the maximum throughput of the reference measurement channel as specified in </w:t>
      </w:r>
      <w:r w:rsidRPr="00F95B02">
        <w:t>annex A.1</w:t>
      </w:r>
      <w:r w:rsidRPr="00F95B02" w:rsidDel="00B462E4">
        <w:t xml:space="preserve"> </w:t>
      </w:r>
      <w:r w:rsidRPr="00F95B02">
        <w:t>with parameters specified in table 7.2.2</w:t>
      </w:r>
      <w:r>
        <w:t>.2</w:t>
      </w:r>
      <w:r w:rsidRPr="00F95B02">
        <w:t>-1</w:t>
      </w:r>
      <w:r>
        <w:rPr>
          <w:lang w:eastAsia="zh-CN"/>
        </w:rPr>
        <w:t xml:space="preserve"> for Wide Area IAB-MT</w:t>
      </w:r>
      <w:r w:rsidRPr="00F95B02">
        <w:rPr>
          <w:lang w:eastAsia="zh-CN"/>
        </w:rPr>
        <w:t xml:space="preserve"> </w:t>
      </w:r>
      <w:r w:rsidRPr="00F95B02">
        <w:rPr>
          <w:rFonts w:cs="v5.0.0"/>
          <w:lang w:eastAsia="zh-CN"/>
        </w:rPr>
        <w:t>and in table 7.2.2</w:t>
      </w:r>
      <w:r>
        <w:rPr>
          <w:rFonts w:cs="v5.0.0"/>
          <w:lang w:eastAsia="zh-CN"/>
        </w:rPr>
        <w:t>.2</w:t>
      </w:r>
      <w:r w:rsidRPr="00F95B02">
        <w:rPr>
          <w:rFonts w:cs="v5.0.0"/>
          <w:lang w:eastAsia="zh-CN"/>
        </w:rPr>
        <w:t>-</w:t>
      </w:r>
      <w:r>
        <w:rPr>
          <w:rFonts w:cs="v5.0.0"/>
          <w:lang w:eastAsia="zh-CN"/>
        </w:rPr>
        <w:t>2</w:t>
      </w:r>
      <w:r w:rsidRPr="00F95B02">
        <w:rPr>
          <w:rFonts w:cs="v5.0.0"/>
          <w:lang w:eastAsia="zh-CN"/>
        </w:rPr>
        <w:t xml:space="preserve"> for Local Area </w:t>
      </w:r>
      <w:r>
        <w:rPr>
          <w:rFonts w:cs="v5.0.0"/>
          <w:lang w:eastAsia="zh-CN"/>
        </w:rPr>
        <w:t>IAB-MT</w:t>
      </w:r>
      <w:r w:rsidRPr="00F95B02">
        <w:t xml:space="preserve">. </w:t>
      </w:r>
    </w:p>
    <w:p w14:paraId="147FF5FA" w14:textId="77777777" w:rsidR="002E1777" w:rsidRPr="00F95B02" w:rsidRDefault="002E1777" w:rsidP="002E1777">
      <w:pPr>
        <w:pStyle w:val="TH"/>
      </w:pPr>
      <w:r w:rsidRPr="00F95B02">
        <w:t>Table 7.2.2</w:t>
      </w:r>
      <w:r>
        <w:t>.2</w:t>
      </w:r>
      <w:r w:rsidRPr="00F95B02">
        <w:t xml:space="preserve">-1: </w:t>
      </w:r>
      <w:r w:rsidRPr="00F95B02">
        <w:rPr>
          <w:lang w:eastAsia="zh-CN"/>
        </w:rPr>
        <w:t xml:space="preserve">Wide Area </w:t>
      </w:r>
      <w:r>
        <w:t>IAB-MT</w:t>
      </w:r>
      <w:r w:rsidRPr="00F95B02">
        <w:t xml:space="preserve">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8"/>
        <w:gridCol w:w="1802"/>
        <w:gridCol w:w="3046"/>
        <w:gridCol w:w="2593"/>
      </w:tblGrid>
      <w:tr w:rsidR="002E1777" w:rsidRPr="00F95B02" w14:paraId="4D94A29E" w14:textId="77777777" w:rsidTr="002E1777">
        <w:trPr>
          <w:jc w:val="center"/>
        </w:trPr>
        <w:tc>
          <w:tcPr>
            <w:tcW w:w="2188" w:type="dxa"/>
            <w:shd w:val="clear" w:color="auto" w:fill="auto"/>
          </w:tcPr>
          <w:p w14:paraId="0C0C38B6" w14:textId="4D88D26B" w:rsidR="002E1777" w:rsidRPr="00F95B02" w:rsidRDefault="002E1777" w:rsidP="002E1777">
            <w:pPr>
              <w:pStyle w:val="TAH"/>
            </w:pPr>
            <w:r>
              <w:t>IAB-MT</w:t>
            </w:r>
            <w:r w:rsidRPr="00F95B02">
              <w:t xml:space="preserve"> channel bandwidth (MHz)</w:t>
            </w:r>
          </w:p>
        </w:tc>
        <w:tc>
          <w:tcPr>
            <w:tcW w:w="1802" w:type="dxa"/>
          </w:tcPr>
          <w:p w14:paraId="4BE85D22" w14:textId="77777777" w:rsidR="002E1777" w:rsidRPr="00F95B02" w:rsidRDefault="002E1777" w:rsidP="002E1777">
            <w:pPr>
              <w:pStyle w:val="TAH"/>
            </w:pPr>
            <w:r w:rsidRPr="00F95B02">
              <w:t>Sub-carrier spacing (kHz)</w:t>
            </w:r>
          </w:p>
        </w:tc>
        <w:tc>
          <w:tcPr>
            <w:tcW w:w="3046" w:type="dxa"/>
          </w:tcPr>
          <w:p w14:paraId="2C49B1FA" w14:textId="77777777" w:rsidR="002E1777" w:rsidRPr="00F95B02" w:rsidRDefault="002E1777" w:rsidP="002E1777">
            <w:pPr>
              <w:pStyle w:val="TAH"/>
            </w:pPr>
            <w:r w:rsidRPr="00F95B02">
              <w:t>Reference measurement channel</w:t>
            </w:r>
          </w:p>
        </w:tc>
        <w:tc>
          <w:tcPr>
            <w:tcW w:w="2593" w:type="dxa"/>
          </w:tcPr>
          <w:p w14:paraId="223D8862" w14:textId="14FD3E52" w:rsidR="002E1777" w:rsidRPr="00F95B02" w:rsidRDefault="002E1777" w:rsidP="002E1777">
            <w:pPr>
              <w:pStyle w:val="TAH"/>
            </w:pPr>
            <w:r w:rsidRPr="00F95B02">
              <w:t>Reference sensitivity power level, P</w:t>
            </w:r>
            <w:r w:rsidRPr="00F95B02">
              <w:rPr>
                <w:vertAlign w:val="subscript"/>
              </w:rPr>
              <w:t>REFSENS</w:t>
            </w:r>
          </w:p>
          <w:p w14:paraId="2DA5D2CC" w14:textId="524C9566" w:rsidR="002E1777" w:rsidRPr="00F95B02" w:rsidRDefault="002E1777" w:rsidP="002E1777">
            <w:pPr>
              <w:pStyle w:val="TAH"/>
            </w:pPr>
            <w:r w:rsidRPr="00F95B02">
              <w:t>(dBm)</w:t>
            </w:r>
          </w:p>
        </w:tc>
      </w:tr>
      <w:tr w:rsidR="002E1777" w:rsidRPr="00F95B02" w14:paraId="4CC16D1B" w14:textId="77777777" w:rsidTr="002E1777">
        <w:trPr>
          <w:trHeight w:val="279"/>
          <w:jc w:val="center"/>
        </w:trPr>
        <w:tc>
          <w:tcPr>
            <w:tcW w:w="2188" w:type="dxa"/>
            <w:vAlign w:val="center"/>
          </w:tcPr>
          <w:p w14:paraId="5A2F5E50" w14:textId="77777777" w:rsidR="002E1777" w:rsidRPr="00F95B02" w:rsidRDefault="002E1777" w:rsidP="002E1777">
            <w:pPr>
              <w:pStyle w:val="TAC"/>
            </w:pPr>
            <w:r w:rsidRPr="00F95B02">
              <w:t>10, 15</w:t>
            </w:r>
          </w:p>
        </w:tc>
        <w:tc>
          <w:tcPr>
            <w:tcW w:w="1802" w:type="dxa"/>
            <w:vAlign w:val="center"/>
          </w:tcPr>
          <w:p w14:paraId="664217E0" w14:textId="77777777" w:rsidR="002E1777" w:rsidRPr="00F95B02" w:rsidRDefault="002E1777" w:rsidP="002E1777">
            <w:pPr>
              <w:pStyle w:val="TAC"/>
              <w:rPr>
                <w:lang w:eastAsia="zh-CN"/>
              </w:rPr>
            </w:pPr>
            <w:r w:rsidRPr="00F95B02">
              <w:rPr>
                <w:lang w:eastAsia="zh-CN"/>
              </w:rPr>
              <w:t>30</w:t>
            </w:r>
          </w:p>
        </w:tc>
        <w:tc>
          <w:tcPr>
            <w:tcW w:w="3046" w:type="dxa"/>
            <w:vAlign w:val="center"/>
          </w:tcPr>
          <w:p w14:paraId="109ACD09" w14:textId="77777777" w:rsidR="002E1777" w:rsidRPr="00F95B02" w:rsidRDefault="002E1777" w:rsidP="002E1777">
            <w:pPr>
              <w:pStyle w:val="TAC"/>
              <w:rPr>
                <w:lang w:eastAsia="zh-CN"/>
              </w:rPr>
            </w:pPr>
            <w:r w:rsidRPr="00F95B02">
              <w:rPr>
                <w:lang w:eastAsia="zh-CN"/>
              </w:rPr>
              <w:t>G-FR1-A1-</w:t>
            </w:r>
            <w:r>
              <w:rPr>
                <w:lang w:eastAsia="zh-CN"/>
              </w:rPr>
              <w:t>2</w:t>
            </w:r>
            <w:r w:rsidRPr="00F95B02">
              <w:rPr>
                <w:lang w:eastAsia="zh-CN"/>
              </w:rPr>
              <w:t>2 (Note 1)</w:t>
            </w:r>
          </w:p>
        </w:tc>
        <w:tc>
          <w:tcPr>
            <w:tcW w:w="2593" w:type="dxa"/>
            <w:vAlign w:val="center"/>
          </w:tcPr>
          <w:p w14:paraId="1DB891E3" w14:textId="77777777" w:rsidR="002E1777" w:rsidRPr="00F95B02" w:rsidRDefault="002E1777" w:rsidP="002E1777">
            <w:pPr>
              <w:pStyle w:val="TAC"/>
              <w:rPr>
                <w:lang w:eastAsia="zh-CN"/>
              </w:rPr>
            </w:pPr>
            <w:r>
              <w:rPr>
                <w:lang w:eastAsia="zh-CN"/>
              </w:rPr>
              <w:t>-102</w:t>
            </w:r>
            <w:r w:rsidRPr="00F95B02">
              <w:rPr>
                <w:lang w:eastAsia="zh-CN"/>
              </w:rPr>
              <w:t>.</w:t>
            </w:r>
            <w:r>
              <w:rPr>
                <w:lang w:eastAsia="zh-CN"/>
              </w:rPr>
              <w:t>0</w:t>
            </w:r>
          </w:p>
        </w:tc>
      </w:tr>
      <w:tr w:rsidR="002E1777" w:rsidRPr="00F95B02" w14:paraId="12DFE0EC" w14:textId="77777777" w:rsidTr="002E1777">
        <w:trPr>
          <w:trHeight w:val="279"/>
          <w:jc w:val="center"/>
        </w:trPr>
        <w:tc>
          <w:tcPr>
            <w:tcW w:w="2188" w:type="dxa"/>
            <w:vAlign w:val="center"/>
          </w:tcPr>
          <w:p w14:paraId="33839521" w14:textId="77777777" w:rsidR="002E1777" w:rsidRPr="00F95B02" w:rsidRDefault="002E1777" w:rsidP="002E1777">
            <w:pPr>
              <w:pStyle w:val="TAC"/>
            </w:pPr>
            <w:r w:rsidRPr="00F95B02">
              <w:t>10, 15</w:t>
            </w:r>
          </w:p>
        </w:tc>
        <w:tc>
          <w:tcPr>
            <w:tcW w:w="1802" w:type="dxa"/>
            <w:vAlign w:val="center"/>
          </w:tcPr>
          <w:p w14:paraId="59FCD12D" w14:textId="77777777" w:rsidR="002E1777" w:rsidRPr="00F95B02" w:rsidRDefault="002E1777" w:rsidP="002E1777">
            <w:pPr>
              <w:pStyle w:val="TAC"/>
              <w:rPr>
                <w:lang w:eastAsia="zh-CN"/>
              </w:rPr>
            </w:pPr>
            <w:r w:rsidRPr="00F95B02">
              <w:rPr>
                <w:lang w:eastAsia="zh-CN"/>
              </w:rPr>
              <w:t>60</w:t>
            </w:r>
          </w:p>
        </w:tc>
        <w:tc>
          <w:tcPr>
            <w:tcW w:w="3046" w:type="dxa"/>
            <w:vAlign w:val="center"/>
          </w:tcPr>
          <w:p w14:paraId="52F1A268" w14:textId="77777777" w:rsidR="002E1777" w:rsidRPr="00F95B02" w:rsidRDefault="002E1777" w:rsidP="002E1777">
            <w:pPr>
              <w:pStyle w:val="TAC"/>
              <w:rPr>
                <w:lang w:eastAsia="zh-CN"/>
              </w:rPr>
            </w:pPr>
            <w:r w:rsidRPr="00F95B02">
              <w:rPr>
                <w:lang w:eastAsia="zh-CN"/>
              </w:rPr>
              <w:t>G-FR1-A1-</w:t>
            </w:r>
            <w:r>
              <w:rPr>
                <w:lang w:eastAsia="zh-CN"/>
              </w:rPr>
              <w:t>2</w:t>
            </w:r>
            <w:r w:rsidRPr="00F95B02">
              <w:rPr>
                <w:rFonts w:eastAsia="DengXian" w:hint="eastAsia"/>
                <w:lang w:eastAsia="zh-CN"/>
              </w:rPr>
              <w:t>3</w:t>
            </w:r>
            <w:r w:rsidRPr="00F95B02">
              <w:rPr>
                <w:rFonts w:eastAsia="DengXian"/>
                <w:lang w:eastAsia="zh-CN"/>
              </w:rPr>
              <w:t xml:space="preserve"> </w:t>
            </w:r>
            <w:r w:rsidRPr="00F95B02">
              <w:rPr>
                <w:lang w:eastAsia="zh-CN"/>
              </w:rPr>
              <w:t>(Note 1)</w:t>
            </w:r>
          </w:p>
        </w:tc>
        <w:tc>
          <w:tcPr>
            <w:tcW w:w="2593" w:type="dxa"/>
            <w:vAlign w:val="center"/>
          </w:tcPr>
          <w:p w14:paraId="1AF061AD" w14:textId="77777777" w:rsidR="002E1777" w:rsidRPr="00F95B02" w:rsidRDefault="002E1777" w:rsidP="002E1777">
            <w:pPr>
              <w:pStyle w:val="TAC"/>
              <w:rPr>
                <w:lang w:eastAsia="zh-CN"/>
              </w:rPr>
            </w:pPr>
            <w:r w:rsidRPr="00F95B02">
              <w:rPr>
                <w:lang w:eastAsia="zh-CN"/>
              </w:rPr>
              <w:t>-9</w:t>
            </w:r>
            <w:r>
              <w:rPr>
                <w:lang w:eastAsia="zh-CN"/>
              </w:rPr>
              <w:t>9</w:t>
            </w:r>
            <w:r w:rsidRPr="00F95B02">
              <w:rPr>
                <w:lang w:eastAsia="zh-CN"/>
              </w:rPr>
              <w:t>.</w:t>
            </w:r>
            <w:r>
              <w:rPr>
                <w:lang w:eastAsia="zh-CN"/>
              </w:rPr>
              <w:t>0</w:t>
            </w:r>
          </w:p>
        </w:tc>
      </w:tr>
      <w:tr w:rsidR="002E1777" w:rsidRPr="00F95B02" w14:paraId="51BB5A5A" w14:textId="77777777" w:rsidTr="002E1777">
        <w:trPr>
          <w:trHeight w:val="279"/>
          <w:jc w:val="center"/>
        </w:trPr>
        <w:tc>
          <w:tcPr>
            <w:tcW w:w="2188" w:type="dxa"/>
            <w:vAlign w:val="center"/>
          </w:tcPr>
          <w:p w14:paraId="31C4849E" w14:textId="77777777" w:rsidR="002E1777" w:rsidRPr="00F95B02" w:rsidRDefault="002E1777" w:rsidP="002E1777">
            <w:pPr>
              <w:pStyle w:val="TAC"/>
            </w:pPr>
            <w:r w:rsidRPr="00F95B02">
              <w:t>20, 25, 30, 40, 50, 60, 70, 80, 90, 100</w:t>
            </w:r>
          </w:p>
        </w:tc>
        <w:tc>
          <w:tcPr>
            <w:tcW w:w="1802" w:type="dxa"/>
            <w:vAlign w:val="center"/>
          </w:tcPr>
          <w:p w14:paraId="5B2074CB" w14:textId="77777777" w:rsidR="002E1777" w:rsidRPr="00F95B02" w:rsidRDefault="002E1777" w:rsidP="002E1777">
            <w:pPr>
              <w:pStyle w:val="TAC"/>
              <w:rPr>
                <w:lang w:eastAsia="zh-CN"/>
              </w:rPr>
            </w:pPr>
            <w:r w:rsidRPr="00F95B02">
              <w:rPr>
                <w:lang w:eastAsia="zh-CN"/>
              </w:rPr>
              <w:t>30</w:t>
            </w:r>
          </w:p>
        </w:tc>
        <w:tc>
          <w:tcPr>
            <w:tcW w:w="3046" w:type="dxa"/>
            <w:vAlign w:val="center"/>
          </w:tcPr>
          <w:p w14:paraId="072D6FF5" w14:textId="77777777" w:rsidR="002E1777" w:rsidRPr="00F95B02" w:rsidRDefault="002E1777" w:rsidP="002E1777">
            <w:pPr>
              <w:pStyle w:val="TAC"/>
              <w:rPr>
                <w:lang w:eastAsia="zh-CN"/>
              </w:rPr>
            </w:pPr>
            <w:r w:rsidRPr="00F95B02">
              <w:rPr>
                <w:lang w:eastAsia="zh-CN"/>
              </w:rPr>
              <w:t>G-FR1-A1-</w:t>
            </w:r>
            <w:r>
              <w:rPr>
                <w:lang w:eastAsia="zh-CN"/>
              </w:rPr>
              <w:t>2</w:t>
            </w:r>
            <w:r w:rsidRPr="00F95B02">
              <w:rPr>
                <w:rFonts w:eastAsia="DengXian" w:hint="eastAsia"/>
                <w:lang w:eastAsia="zh-CN"/>
              </w:rPr>
              <w:t>5</w:t>
            </w:r>
            <w:r w:rsidRPr="00F95B02">
              <w:rPr>
                <w:rFonts w:eastAsia="DengXian"/>
                <w:lang w:eastAsia="zh-CN"/>
              </w:rPr>
              <w:t xml:space="preserve"> </w:t>
            </w:r>
            <w:r w:rsidRPr="00F95B02">
              <w:rPr>
                <w:lang w:eastAsia="zh-CN"/>
              </w:rPr>
              <w:t>(Note 1)</w:t>
            </w:r>
          </w:p>
        </w:tc>
        <w:tc>
          <w:tcPr>
            <w:tcW w:w="2593" w:type="dxa"/>
            <w:vAlign w:val="center"/>
          </w:tcPr>
          <w:p w14:paraId="752CC62B" w14:textId="77777777" w:rsidR="002E1777" w:rsidRPr="00F95B02" w:rsidRDefault="002E1777" w:rsidP="002E1777">
            <w:pPr>
              <w:pStyle w:val="TAC"/>
              <w:rPr>
                <w:lang w:eastAsia="zh-CN"/>
              </w:rPr>
            </w:pPr>
            <w:r w:rsidRPr="00F95B02">
              <w:rPr>
                <w:lang w:eastAsia="zh-CN"/>
              </w:rPr>
              <w:t>-95.</w:t>
            </w:r>
            <w:r>
              <w:rPr>
                <w:lang w:eastAsia="zh-CN"/>
              </w:rPr>
              <w:t>4</w:t>
            </w:r>
          </w:p>
        </w:tc>
      </w:tr>
      <w:tr w:rsidR="002E1777" w:rsidRPr="00F95B02" w14:paraId="3EB550EA" w14:textId="77777777" w:rsidTr="002E1777">
        <w:trPr>
          <w:trHeight w:val="279"/>
          <w:jc w:val="center"/>
        </w:trPr>
        <w:tc>
          <w:tcPr>
            <w:tcW w:w="2188" w:type="dxa"/>
            <w:vAlign w:val="center"/>
          </w:tcPr>
          <w:p w14:paraId="1B861CEB" w14:textId="77777777" w:rsidR="002E1777" w:rsidRPr="00F95B02" w:rsidRDefault="002E1777" w:rsidP="002E1777">
            <w:pPr>
              <w:pStyle w:val="TAC"/>
            </w:pPr>
            <w:r w:rsidRPr="00F95B02">
              <w:t>20, 25, 30, 40, 50, 60, 70, 80, 90, 100</w:t>
            </w:r>
          </w:p>
        </w:tc>
        <w:tc>
          <w:tcPr>
            <w:tcW w:w="1802" w:type="dxa"/>
            <w:vAlign w:val="center"/>
          </w:tcPr>
          <w:p w14:paraId="03101E45" w14:textId="77777777" w:rsidR="002E1777" w:rsidRPr="00F95B02" w:rsidRDefault="002E1777" w:rsidP="002E1777">
            <w:pPr>
              <w:pStyle w:val="TAC"/>
              <w:rPr>
                <w:lang w:eastAsia="zh-CN"/>
              </w:rPr>
            </w:pPr>
            <w:r w:rsidRPr="00F95B02">
              <w:rPr>
                <w:lang w:eastAsia="zh-CN"/>
              </w:rPr>
              <w:t>60</w:t>
            </w:r>
          </w:p>
        </w:tc>
        <w:tc>
          <w:tcPr>
            <w:tcW w:w="3046" w:type="dxa"/>
            <w:vAlign w:val="center"/>
          </w:tcPr>
          <w:p w14:paraId="1C65E7B4" w14:textId="77777777" w:rsidR="002E1777" w:rsidRPr="00F95B02" w:rsidRDefault="002E1777" w:rsidP="002E1777">
            <w:pPr>
              <w:pStyle w:val="TAC"/>
              <w:rPr>
                <w:lang w:eastAsia="zh-CN"/>
              </w:rPr>
            </w:pPr>
            <w:r w:rsidRPr="00F95B02">
              <w:rPr>
                <w:lang w:eastAsia="zh-CN"/>
              </w:rPr>
              <w:t>G-FR1-A1-</w:t>
            </w:r>
            <w:r>
              <w:rPr>
                <w:lang w:eastAsia="zh-CN"/>
              </w:rPr>
              <w:t>2</w:t>
            </w:r>
            <w:r w:rsidRPr="00F95B02">
              <w:rPr>
                <w:rFonts w:eastAsia="DengXian" w:hint="eastAsia"/>
                <w:lang w:eastAsia="zh-CN"/>
              </w:rPr>
              <w:t>6</w:t>
            </w:r>
            <w:r w:rsidRPr="00F95B02">
              <w:rPr>
                <w:rFonts w:eastAsia="DengXian"/>
                <w:lang w:eastAsia="zh-CN"/>
              </w:rPr>
              <w:t xml:space="preserve"> </w:t>
            </w:r>
            <w:r w:rsidRPr="00F95B02">
              <w:rPr>
                <w:lang w:eastAsia="zh-CN"/>
              </w:rPr>
              <w:t>(Note 1)</w:t>
            </w:r>
          </w:p>
        </w:tc>
        <w:tc>
          <w:tcPr>
            <w:tcW w:w="2593" w:type="dxa"/>
            <w:vAlign w:val="center"/>
          </w:tcPr>
          <w:p w14:paraId="0C76A56F" w14:textId="77777777" w:rsidR="002E1777" w:rsidRPr="00F95B02" w:rsidRDefault="002E1777" w:rsidP="002E1777">
            <w:pPr>
              <w:pStyle w:val="TAC"/>
              <w:rPr>
                <w:lang w:eastAsia="zh-CN"/>
              </w:rPr>
            </w:pPr>
            <w:r w:rsidRPr="00F95B02">
              <w:rPr>
                <w:lang w:eastAsia="zh-CN"/>
              </w:rPr>
              <w:t>-95.</w:t>
            </w:r>
            <w:r>
              <w:rPr>
                <w:lang w:eastAsia="zh-CN"/>
              </w:rPr>
              <w:t>6</w:t>
            </w:r>
          </w:p>
        </w:tc>
      </w:tr>
      <w:tr w:rsidR="002E1777" w:rsidRPr="00F95B02" w14:paraId="62835412" w14:textId="77777777" w:rsidTr="002E1777">
        <w:trPr>
          <w:trHeight w:val="279"/>
          <w:jc w:val="center"/>
        </w:trPr>
        <w:tc>
          <w:tcPr>
            <w:tcW w:w="9629" w:type="dxa"/>
            <w:gridSpan w:val="4"/>
            <w:vAlign w:val="center"/>
          </w:tcPr>
          <w:p w14:paraId="4CEE06AF" w14:textId="77777777" w:rsidR="002E1777" w:rsidRPr="00F95B02" w:rsidRDefault="002E1777" w:rsidP="002E1777">
            <w:pPr>
              <w:pStyle w:val="TAN"/>
              <w:rPr>
                <w:lang w:eastAsia="zh-CN"/>
              </w:rPr>
            </w:pPr>
            <w:r w:rsidRPr="00F95B02">
              <w:t>NOTE 1:</w:t>
            </w:r>
            <w:r w:rsidRPr="00F95B02">
              <w:tab/>
              <w:t>P</w:t>
            </w:r>
            <w:r w:rsidRPr="00F95B02">
              <w:rPr>
                <w:vertAlign w:val="subscript"/>
              </w:rPr>
              <w:t>REFSENS</w:t>
            </w:r>
            <w:r w:rsidRPr="00F95B02">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 except for one instance that might overlap one other instance to cover the full </w:t>
            </w:r>
            <w:r>
              <w:rPr>
                <w:i/>
              </w:rPr>
              <w:t>IAB-MT</w:t>
            </w:r>
            <w:r w:rsidRPr="00F95B02">
              <w:rPr>
                <w:i/>
              </w:rPr>
              <w:t xml:space="preserve"> channel bandwidth</w:t>
            </w:r>
            <w:r w:rsidRPr="00F95B02">
              <w:t>.</w:t>
            </w:r>
          </w:p>
        </w:tc>
      </w:tr>
    </w:tbl>
    <w:p w14:paraId="633D10FA" w14:textId="77777777" w:rsidR="002E1777" w:rsidRPr="00F95B02" w:rsidRDefault="002E1777" w:rsidP="002E1777"/>
    <w:p w14:paraId="38C129E0" w14:textId="77777777" w:rsidR="002E1777" w:rsidRPr="00F95B02" w:rsidRDefault="002E1777" w:rsidP="002E1777">
      <w:pPr>
        <w:pStyle w:val="TH"/>
      </w:pPr>
      <w:r w:rsidRPr="00F95B02">
        <w:t>Table 7.2.2</w:t>
      </w:r>
      <w:r>
        <w:t>.2</w:t>
      </w:r>
      <w:r w:rsidRPr="00F95B02">
        <w:t>-</w:t>
      </w:r>
      <w:r>
        <w:t>2</w:t>
      </w:r>
      <w:r w:rsidRPr="00F95B02">
        <w:t xml:space="preserve">: </w:t>
      </w:r>
      <w:r w:rsidRPr="00F95B02">
        <w:rPr>
          <w:lang w:eastAsia="zh-CN"/>
        </w:rPr>
        <w:t xml:space="preserve">Local Area </w:t>
      </w:r>
      <w:r>
        <w:t>IAB-MT</w:t>
      </w:r>
      <w:r w:rsidRPr="00F95B02">
        <w:t xml:space="preserve"> reference sensitivity levels</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842"/>
        <w:gridCol w:w="3119"/>
        <w:gridCol w:w="2659"/>
      </w:tblGrid>
      <w:tr w:rsidR="002E1777" w:rsidRPr="00F95B02" w14:paraId="58926754" w14:textId="77777777" w:rsidTr="002E1777">
        <w:trPr>
          <w:jc w:val="center"/>
        </w:trPr>
        <w:tc>
          <w:tcPr>
            <w:tcW w:w="2235" w:type="dxa"/>
            <w:shd w:val="clear" w:color="auto" w:fill="auto"/>
          </w:tcPr>
          <w:p w14:paraId="17543825" w14:textId="77777777" w:rsidR="002E1777" w:rsidRPr="00F95B02" w:rsidRDefault="002E1777" w:rsidP="002E1777">
            <w:pPr>
              <w:pStyle w:val="TAH"/>
            </w:pPr>
            <w:r>
              <w:t>IAB-MT</w:t>
            </w:r>
            <w:r w:rsidRPr="00F95B02">
              <w:t xml:space="preserve"> channel bandwidth (MHz)</w:t>
            </w:r>
          </w:p>
        </w:tc>
        <w:tc>
          <w:tcPr>
            <w:tcW w:w="1842" w:type="dxa"/>
          </w:tcPr>
          <w:p w14:paraId="14FA981E" w14:textId="77777777" w:rsidR="002E1777" w:rsidRPr="00F95B02" w:rsidRDefault="002E1777" w:rsidP="002E1777">
            <w:pPr>
              <w:pStyle w:val="TAH"/>
            </w:pPr>
            <w:r w:rsidRPr="00F95B02">
              <w:t>Sub-carrier spacing (kHz)</w:t>
            </w:r>
          </w:p>
        </w:tc>
        <w:tc>
          <w:tcPr>
            <w:tcW w:w="3119" w:type="dxa"/>
          </w:tcPr>
          <w:p w14:paraId="6CAA84F9" w14:textId="77777777" w:rsidR="002E1777" w:rsidRPr="00F95B02" w:rsidRDefault="002E1777" w:rsidP="002E1777">
            <w:pPr>
              <w:pStyle w:val="TAH"/>
            </w:pPr>
            <w:r w:rsidRPr="00F95B02">
              <w:t>Reference measurement channel</w:t>
            </w:r>
          </w:p>
        </w:tc>
        <w:tc>
          <w:tcPr>
            <w:tcW w:w="2659" w:type="dxa"/>
          </w:tcPr>
          <w:p w14:paraId="64BC28A2" w14:textId="7F3E9554" w:rsidR="002E1777" w:rsidRPr="00F95B02" w:rsidRDefault="002E1777" w:rsidP="002E1777">
            <w:pPr>
              <w:pStyle w:val="TAH"/>
            </w:pPr>
            <w:r w:rsidRPr="00F95B02">
              <w:t>Reference sensitivity power level, P</w:t>
            </w:r>
            <w:r w:rsidRPr="00F95B02">
              <w:rPr>
                <w:vertAlign w:val="subscript"/>
              </w:rPr>
              <w:t>REFSENS</w:t>
            </w:r>
          </w:p>
          <w:p w14:paraId="216FC983" w14:textId="1EF3BC97" w:rsidR="002E1777" w:rsidRPr="00F95B02" w:rsidRDefault="002E1777" w:rsidP="002E1777">
            <w:pPr>
              <w:pStyle w:val="TAH"/>
            </w:pPr>
            <w:r w:rsidRPr="00F95B02">
              <w:t>(dBm)</w:t>
            </w:r>
          </w:p>
        </w:tc>
      </w:tr>
      <w:tr w:rsidR="002E1777" w:rsidRPr="00F95B02" w14:paraId="6E40152E" w14:textId="77777777" w:rsidTr="002E1777">
        <w:trPr>
          <w:trHeight w:val="284"/>
          <w:jc w:val="center"/>
        </w:trPr>
        <w:tc>
          <w:tcPr>
            <w:tcW w:w="2235" w:type="dxa"/>
            <w:vAlign w:val="center"/>
          </w:tcPr>
          <w:p w14:paraId="0392D8F6" w14:textId="77777777" w:rsidR="002E1777" w:rsidRPr="00F95B02" w:rsidRDefault="002E1777" w:rsidP="002E1777">
            <w:pPr>
              <w:pStyle w:val="TAC"/>
            </w:pPr>
            <w:r w:rsidRPr="00F95B02">
              <w:t xml:space="preserve">10, 15 </w:t>
            </w:r>
          </w:p>
        </w:tc>
        <w:tc>
          <w:tcPr>
            <w:tcW w:w="1842" w:type="dxa"/>
          </w:tcPr>
          <w:p w14:paraId="339A07DF" w14:textId="77777777" w:rsidR="002E1777" w:rsidRPr="00F95B02" w:rsidRDefault="002E1777" w:rsidP="002E1777">
            <w:pPr>
              <w:pStyle w:val="TAC"/>
              <w:rPr>
                <w:lang w:eastAsia="zh-CN"/>
              </w:rPr>
            </w:pPr>
            <w:r w:rsidRPr="00F95B02">
              <w:rPr>
                <w:lang w:eastAsia="zh-CN"/>
              </w:rPr>
              <w:t>30</w:t>
            </w:r>
          </w:p>
        </w:tc>
        <w:tc>
          <w:tcPr>
            <w:tcW w:w="3119" w:type="dxa"/>
            <w:vAlign w:val="center"/>
          </w:tcPr>
          <w:p w14:paraId="372CB9D3" w14:textId="77777777" w:rsidR="002E1777" w:rsidRPr="00F95B02" w:rsidRDefault="002E1777" w:rsidP="002E1777">
            <w:pPr>
              <w:pStyle w:val="TAC"/>
            </w:pPr>
            <w:r w:rsidRPr="00F95B02">
              <w:rPr>
                <w:lang w:eastAsia="zh-CN"/>
              </w:rPr>
              <w:t>G-FR1-A1-</w:t>
            </w:r>
            <w:r>
              <w:rPr>
                <w:lang w:eastAsia="zh-CN"/>
              </w:rPr>
              <w:t>2</w:t>
            </w:r>
            <w:r w:rsidRPr="00F95B02">
              <w:rPr>
                <w:lang w:eastAsia="zh-CN"/>
              </w:rPr>
              <w:t>2 (Note 1)</w:t>
            </w:r>
          </w:p>
        </w:tc>
        <w:tc>
          <w:tcPr>
            <w:tcW w:w="2659" w:type="dxa"/>
            <w:vAlign w:val="center"/>
          </w:tcPr>
          <w:p w14:paraId="49E195E4" w14:textId="77777777" w:rsidR="002E1777" w:rsidRPr="00F95B02" w:rsidRDefault="002E1777" w:rsidP="002E1777">
            <w:pPr>
              <w:pStyle w:val="TAC"/>
            </w:pPr>
            <w:r>
              <w:rPr>
                <w:lang w:eastAsia="zh-CN"/>
              </w:rPr>
              <w:t xml:space="preserve"> -94.0</w:t>
            </w:r>
          </w:p>
        </w:tc>
      </w:tr>
      <w:tr w:rsidR="002E1777" w:rsidRPr="00F95B02" w14:paraId="5E5F490B" w14:textId="77777777" w:rsidTr="002E1777">
        <w:trPr>
          <w:trHeight w:val="284"/>
          <w:jc w:val="center"/>
        </w:trPr>
        <w:tc>
          <w:tcPr>
            <w:tcW w:w="2235" w:type="dxa"/>
            <w:vAlign w:val="center"/>
          </w:tcPr>
          <w:p w14:paraId="2B797F3F" w14:textId="77777777" w:rsidR="002E1777" w:rsidRPr="00F95B02" w:rsidRDefault="002E1777" w:rsidP="002E1777">
            <w:pPr>
              <w:pStyle w:val="TAC"/>
              <w:rPr>
                <w:lang w:eastAsia="zh-CN"/>
              </w:rPr>
            </w:pPr>
            <w:r w:rsidRPr="00F95B02">
              <w:t>10, 15</w:t>
            </w:r>
          </w:p>
        </w:tc>
        <w:tc>
          <w:tcPr>
            <w:tcW w:w="1842" w:type="dxa"/>
          </w:tcPr>
          <w:p w14:paraId="6F135F56" w14:textId="77777777" w:rsidR="002E1777" w:rsidRPr="00F95B02" w:rsidRDefault="002E1777" w:rsidP="002E1777">
            <w:pPr>
              <w:pStyle w:val="TAC"/>
              <w:rPr>
                <w:lang w:eastAsia="zh-CN"/>
              </w:rPr>
            </w:pPr>
            <w:r w:rsidRPr="00F95B02">
              <w:rPr>
                <w:lang w:eastAsia="zh-CN"/>
              </w:rPr>
              <w:t>60</w:t>
            </w:r>
          </w:p>
        </w:tc>
        <w:tc>
          <w:tcPr>
            <w:tcW w:w="3119" w:type="dxa"/>
            <w:vAlign w:val="center"/>
          </w:tcPr>
          <w:p w14:paraId="553D6312" w14:textId="77777777" w:rsidR="002E1777" w:rsidRPr="00F95B02" w:rsidRDefault="002E1777" w:rsidP="002E1777">
            <w:pPr>
              <w:pStyle w:val="TAC"/>
              <w:rPr>
                <w:lang w:eastAsia="zh-CN"/>
              </w:rPr>
            </w:pPr>
            <w:r w:rsidRPr="00F95B02">
              <w:rPr>
                <w:lang w:eastAsia="zh-CN"/>
              </w:rPr>
              <w:t>G-FR1-A1-</w:t>
            </w:r>
            <w:r>
              <w:rPr>
                <w:lang w:eastAsia="zh-CN"/>
              </w:rPr>
              <w:t>2</w:t>
            </w:r>
            <w:r w:rsidRPr="00F95B02">
              <w:rPr>
                <w:rFonts w:eastAsia="DengXian" w:hint="eastAsia"/>
                <w:lang w:eastAsia="zh-CN"/>
              </w:rPr>
              <w:t>3</w:t>
            </w:r>
            <w:r w:rsidRPr="00F95B02">
              <w:rPr>
                <w:rFonts w:eastAsia="DengXian"/>
                <w:lang w:eastAsia="zh-CN"/>
              </w:rPr>
              <w:t xml:space="preserve"> </w:t>
            </w:r>
            <w:r w:rsidRPr="00F95B02">
              <w:rPr>
                <w:lang w:eastAsia="zh-CN"/>
              </w:rPr>
              <w:t>(Note 1)</w:t>
            </w:r>
          </w:p>
        </w:tc>
        <w:tc>
          <w:tcPr>
            <w:tcW w:w="2659" w:type="dxa"/>
            <w:vAlign w:val="center"/>
          </w:tcPr>
          <w:p w14:paraId="2F0E9B0F" w14:textId="77777777" w:rsidR="002E1777" w:rsidRPr="00F95B02" w:rsidRDefault="002E1777" w:rsidP="002E1777">
            <w:pPr>
              <w:pStyle w:val="TAC"/>
              <w:rPr>
                <w:lang w:eastAsia="zh-CN"/>
              </w:rPr>
            </w:pPr>
            <w:r>
              <w:rPr>
                <w:lang w:eastAsia="zh-CN"/>
              </w:rPr>
              <w:t xml:space="preserve"> -91.0</w:t>
            </w:r>
          </w:p>
        </w:tc>
      </w:tr>
      <w:tr w:rsidR="002E1777" w:rsidRPr="00F95B02" w14:paraId="0A01BD67" w14:textId="77777777" w:rsidTr="002E1777">
        <w:trPr>
          <w:trHeight w:val="284"/>
          <w:jc w:val="center"/>
        </w:trPr>
        <w:tc>
          <w:tcPr>
            <w:tcW w:w="2235" w:type="dxa"/>
            <w:vAlign w:val="center"/>
          </w:tcPr>
          <w:p w14:paraId="0882067D" w14:textId="77777777" w:rsidR="002E1777" w:rsidRPr="00F95B02" w:rsidRDefault="002E1777" w:rsidP="002E1777">
            <w:pPr>
              <w:pStyle w:val="TAC"/>
              <w:rPr>
                <w:lang w:eastAsia="zh-CN"/>
              </w:rPr>
            </w:pPr>
            <w:r w:rsidRPr="00F95B02">
              <w:t xml:space="preserve">20, 25, 30, 40, 50, 60, 70, 80, 90, 100 </w:t>
            </w:r>
          </w:p>
        </w:tc>
        <w:tc>
          <w:tcPr>
            <w:tcW w:w="1842" w:type="dxa"/>
          </w:tcPr>
          <w:p w14:paraId="7F3F9491" w14:textId="77777777" w:rsidR="002E1777" w:rsidRPr="00F95B02" w:rsidRDefault="002E1777" w:rsidP="002E1777">
            <w:pPr>
              <w:pStyle w:val="TAC"/>
              <w:rPr>
                <w:lang w:eastAsia="zh-CN"/>
              </w:rPr>
            </w:pPr>
            <w:r w:rsidRPr="00F95B02">
              <w:rPr>
                <w:lang w:eastAsia="zh-CN"/>
              </w:rPr>
              <w:t>30</w:t>
            </w:r>
          </w:p>
        </w:tc>
        <w:tc>
          <w:tcPr>
            <w:tcW w:w="3119" w:type="dxa"/>
            <w:vAlign w:val="center"/>
          </w:tcPr>
          <w:p w14:paraId="4533707E" w14:textId="77777777" w:rsidR="002E1777" w:rsidRPr="00F95B02" w:rsidRDefault="002E1777" w:rsidP="002E1777">
            <w:pPr>
              <w:pStyle w:val="TAC"/>
              <w:rPr>
                <w:lang w:eastAsia="zh-CN"/>
              </w:rPr>
            </w:pPr>
            <w:r w:rsidRPr="00F95B02">
              <w:rPr>
                <w:lang w:eastAsia="zh-CN"/>
              </w:rPr>
              <w:t>G-FR1-A1-</w:t>
            </w:r>
            <w:r>
              <w:rPr>
                <w:lang w:eastAsia="zh-CN"/>
              </w:rPr>
              <w:t>2</w:t>
            </w:r>
            <w:r w:rsidRPr="00F95B02">
              <w:rPr>
                <w:rFonts w:eastAsia="DengXian" w:hint="eastAsia"/>
                <w:lang w:eastAsia="zh-CN"/>
              </w:rPr>
              <w:t>5</w:t>
            </w:r>
            <w:r w:rsidRPr="00F95B02">
              <w:rPr>
                <w:rFonts w:eastAsia="DengXian"/>
                <w:lang w:eastAsia="zh-CN"/>
              </w:rPr>
              <w:t xml:space="preserve"> </w:t>
            </w:r>
            <w:r w:rsidRPr="00F95B02">
              <w:rPr>
                <w:lang w:eastAsia="zh-CN"/>
              </w:rPr>
              <w:t>(Note 1)</w:t>
            </w:r>
          </w:p>
        </w:tc>
        <w:tc>
          <w:tcPr>
            <w:tcW w:w="2659" w:type="dxa"/>
            <w:vAlign w:val="center"/>
          </w:tcPr>
          <w:p w14:paraId="616F6850" w14:textId="77777777" w:rsidR="002E1777" w:rsidRPr="00F95B02" w:rsidRDefault="002E1777" w:rsidP="002E1777">
            <w:pPr>
              <w:pStyle w:val="TAC"/>
              <w:rPr>
                <w:lang w:eastAsia="zh-CN"/>
              </w:rPr>
            </w:pPr>
            <w:r>
              <w:rPr>
                <w:lang w:eastAsia="zh-CN"/>
              </w:rPr>
              <w:t xml:space="preserve"> -87.4</w:t>
            </w:r>
          </w:p>
        </w:tc>
      </w:tr>
      <w:tr w:rsidR="002E1777" w:rsidRPr="00F95B02" w14:paraId="142413C9" w14:textId="77777777" w:rsidTr="002E1777">
        <w:trPr>
          <w:trHeight w:val="284"/>
          <w:jc w:val="center"/>
        </w:trPr>
        <w:tc>
          <w:tcPr>
            <w:tcW w:w="2235" w:type="dxa"/>
            <w:vAlign w:val="center"/>
          </w:tcPr>
          <w:p w14:paraId="7FCBC0F3" w14:textId="77777777" w:rsidR="002E1777" w:rsidRPr="00F95B02" w:rsidRDefault="002E1777" w:rsidP="002E1777">
            <w:pPr>
              <w:pStyle w:val="TAC"/>
              <w:rPr>
                <w:lang w:eastAsia="zh-CN"/>
              </w:rPr>
            </w:pPr>
            <w:r w:rsidRPr="00F95B02">
              <w:t xml:space="preserve">20, 25, 30, 40, 50, 60, 70, 80, 90, 100 </w:t>
            </w:r>
          </w:p>
        </w:tc>
        <w:tc>
          <w:tcPr>
            <w:tcW w:w="1842" w:type="dxa"/>
          </w:tcPr>
          <w:p w14:paraId="46B634BF" w14:textId="77777777" w:rsidR="002E1777" w:rsidRPr="00F95B02" w:rsidRDefault="002E1777" w:rsidP="002E1777">
            <w:pPr>
              <w:pStyle w:val="TAC"/>
              <w:rPr>
                <w:lang w:eastAsia="zh-CN"/>
              </w:rPr>
            </w:pPr>
            <w:r w:rsidRPr="00F95B02">
              <w:rPr>
                <w:lang w:eastAsia="zh-CN"/>
              </w:rPr>
              <w:t>60</w:t>
            </w:r>
          </w:p>
        </w:tc>
        <w:tc>
          <w:tcPr>
            <w:tcW w:w="3119" w:type="dxa"/>
            <w:vAlign w:val="center"/>
          </w:tcPr>
          <w:p w14:paraId="571250A3" w14:textId="77777777" w:rsidR="002E1777" w:rsidRPr="00F95B02" w:rsidRDefault="002E1777" w:rsidP="002E1777">
            <w:pPr>
              <w:pStyle w:val="TAC"/>
              <w:rPr>
                <w:lang w:eastAsia="zh-CN"/>
              </w:rPr>
            </w:pPr>
            <w:r w:rsidRPr="00F95B02">
              <w:rPr>
                <w:lang w:eastAsia="zh-CN"/>
              </w:rPr>
              <w:t>G-FR1-A1-</w:t>
            </w:r>
            <w:r>
              <w:rPr>
                <w:lang w:eastAsia="zh-CN"/>
              </w:rPr>
              <w:t>2</w:t>
            </w:r>
            <w:r w:rsidRPr="00F95B02">
              <w:rPr>
                <w:rFonts w:eastAsia="DengXian" w:hint="eastAsia"/>
                <w:lang w:eastAsia="zh-CN"/>
              </w:rPr>
              <w:t>6</w:t>
            </w:r>
            <w:r w:rsidRPr="00F95B02">
              <w:rPr>
                <w:rFonts w:eastAsia="DengXian"/>
                <w:lang w:eastAsia="zh-CN"/>
              </w:rPr>
              <w:t xml:space="preserve"> </w:t>
            </w:r>
            <w:r w:rsidRPr="00F95B02">
              <w:rPr>
                <w:lang w:eastAsia="zh-CN"/>
              </w:rPr>
              <w:t>(Note 1)</w:t>
            </w:r>
          </w:p>
        </w:tc>
        <w:tc>
          <w:tcPr>
            <w:tcW w:w="2659" w:type="dxa"/>
            <w:vAlign w:val="center"/>
          </w:tcPr>
          <w:p w14:paraId="74AC6177" w14:textId="77777777" w:rsidR="002E1777" w:rsidRPr="00F95B02" w:rsidRDefault="002E1777" w:rsidP="002E1777">
            <w:pPr>
              <w:pStyle w:val="TAC"/>
              <w:rPr>
                <w:lang w:eastAsia="zh-CN"/>
              </w:rPr>
            </w:pPr>
            <w:r>
              <w:rPr>
                <w:lang w:eastAsia="zh-CN"/>
              </w:rPr>
              <w:t xml:space="preserve"> -87.6</w:t>
            </w:r>
          </w:p>
        </w:tc>
      </w:tr>
      <w:tr w:rsidR="002E1777" w:rsidRPr="00F95B02" w14:paraId="748A4AED" w14:textId="77777777" w:rsidTr="002E1777">
        <w:trPr>
          <w:trHeight w:val="284"/>
          <w:jc w:val="center"/>
        </w:trPr>
        <w:tc>
          <w:tcPr>
            <w:tcW w:w="9855" w:type="dxa"/>
            <w:gridSpan w:val="4"/>
            <w:vAlign w:val="center"/>
          </w:tcPr>
          <w:p w14:paraId="4717BBBE" w14:textId="77777777" w:rsidR="002E1777" w:rsidRPr="00F95B02" w:rsidRDefault="002E1777" w:rsidP="002E1777">
            <w:pPr>
              <w:pStyle w:val="TAN"/>
              <w:rPr>
                <w:lang w:eastAsia="zh-CN"/>
              </w:rPr>
            </w:pPr>
            <w:r w:rsidRPr="00F95B02">
              <w:t>NOTE 1:</w:t>
            </w:r>
            <w:r w:rsidRPr="00F95B02">
              <w:tab/>
              <w:t>P</w:t>
            </w:r>
            <w:r w:rsidRPr="00F95B02">
              <w:rPr>
                <w:vertAlign w:val="subscript"/>
              </w:rPr>
              <w:t>REFSENS</w:t>
            </w:r>
            <w:r w:rsidRPr="00F95B02">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 except for one instance that might overlap one other instance to cover the full </w:t>
            </w:r>
            <w:r>
              <w:rPr>
                <w:i/>
              </w:rPr>
              <w:t>IAB-MT</w:t>
            </w:r>
            <w:r w:rsidRPr="00F95B02">
              <w:rPr>
                <w:i/>
              </w:rPr>
              <w:t xml:space="preserve"> channel bandwidth</w:t>
            </w:r>
            <w:r w:rsidRPr="00F95B02">
              <w:t>.</w:t>
            </w:r>
          </w:p>
        </w:tc>
      </w:tr>
    </w:tbl>
    <w:p w14:paraId="2A1CD55B" w14:textId="77777777" w:rsidR="00D341AF" w:rsidRPr="00047716" w:rsidRDefault="00D341AF" w:rsidP="00121CA7"/>
    <w:p w14:paraId="46FDD5FF" w14:textId="77777777" w:rsidR="00077B6E" w:rsidRDefault="00077B6E" w:rsidP="00077B6E">
      <w:pPr>
        <w:pStyle w:val="Heading2"/>
        <w:rPr>
          <w:rFonts w:eastAsiaTheme="minorEastAsia"/>
          <w:lang w:eastAsia="zh-CN"/>
        </w:rPr>
      </w:pPr>
      <w:bookmarkStart w:id="2727" w:name="_Toc53185393"/>
      <w:bookmarkStart w:id="2728" w:name="_Toc53185769"/>
      <w:bookmarkStart w:id="2729" w:name="_Toc57820247"/>
      <w:bookmarkStart w:id="2730" w:name="_Toc57821174"/>
      <w:bookmarkStart w:id="2731" w:name="_Toc61183450"/>
      <w:bookmarkStart w:id="2732" w:name="_Toc61183844"/>
      <w:bookmarkStart w:id="2733" w:name="_Toc61184236"/>
      <w:bookmarkStart w:id="2734" w:name="_Toc61184628"/>
      <w:bookmarkStart w:id="2735" w:name="_Toc61185018"/>
      <w:bookmarkStart w:id="2736" w:name="_Toc66386362"/>
      <w:bookmarkStart w:id="2737" w:name="_Toc74583203"/>
      <w:bookmarkStart w:id="2738" w:name="_Toc76542016"/>
      <w:bookmarkStart w:id="2739" w:name="_Toc82449998"/>
      <w:bookmarkStart w:id="2740" w:name="_Toc82450646"/>
      <w:bookmarkStart w:id="2741" w:name="_Toc89949035"/>
      <w:bookmarkStart w:id="2742" w:name="_Toc98755424"/>
      <w:bookmarkStart w:id="2743" w:name="_Toc98763015"/>
      <w:bookmarkStart w:id="2744" w:name="_Toc106183944"/>
      <w:r w:rsidRPr="007E346D">
        <w:lastRenderedPageBreak/>
        <w:t>7.3</w:t>
      </w:r>
      <w:r w:rsidRPr="007E346D">
        <w:tab/>
        <w:t>Dynamic range</w:t>
      </w:r>
      <w:bookmarkEnd w:id="2625"/>
      <w:bookmarkEnd w:id="26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p>
    <w:p w14:paraId="1F4E6A5B" w14:textId="77777777" w:rsidR="00F52FCE" w:rsidRPr="00F52FCE" w:rsidRDefault="00F52FCE" w:rsidP="00F52FCE">
      <w:pPr>
        <w:rPr>
          <w:rFonts w:eastAsiaTheme="minorEastAsia"/>
          <w:lang w:eastAsia="zh-CN"/>
        </w:rPr>
      </w:pPr>
    </w:p>
    <w:p w14:paraId="66939095" w14:textId="54DA8272" w:rsidR="00047716" w:rsidRDefault="00047716" w:rsidP="00047716">
      <w:pPr>
        <w:pStyle w:val="Heading3"/>
      </w:pPr>
      <w:bookmarkStart w:id="2745" w:name="_Toc53185394"/>
      <w:bookmarkStart w:id="2746" w:name="_Toc53185770"/>
      <w:bookmarkStart w:id="2747" w:name="_Toc57820248"/>
      <w:bookmarkStart w:id="2748" w:name="_Toc57821175"/>
      <w:bookmarkStart w:id="2749" w:name="_Toc61183451"/>
      <w:bookmarkStart w:id="2750" w:name="_Toc61183845"/>
      <w:bookmarkStart w:id="2751" w:name="_Toc61184237"/>
      <w:bookmarkStart w:id="2752" w:name="_Toc61184629"/>
      <w:bookmarkStart w:id="2753" w:name="_Toc61185019"/>
      <w:bookmarkStart w:id="2754" w:name="_Toc66386363"/>
      <w:bookmarkStart w:id="2755" w:name="_Toc74583204"/>
      <w:bookmarkStart w:id="2756" w:name="_Toc76542017"/>
      <w:bookmarkStart w:id="2757" w:name="_Toc82449999"/>
      <w:bookmarkStart w:id="2758" w:name="_Toc82450647"/>
      <w:bookmarkStart w:id="2759" w:name="_Toc89949036"/>
      <w:bookmarkStart w:id="2760" w:name="_Toc98755425"/>
      <w:bookmarkStart w:id="2761" w:name="_Toc98763016"/>
      <w:bookmarkStart w:id="2762" w:name="_Toc106183945"/>
      <w:bookmarkStart w:id="2763" w:name="_Toc13080243"/>
      <w:bookmarkStart w:id="2764" w:name="_Toc18916175"/>
      <w:r>
        <w:t>7.3.1</w:t>
      </w:r>
      <w:r w:rsidR="00C60E58">
        <w:tab/>
      </w:r>
      <w:r w:rsidR="0049189F">
        <w:t>IAB-DU d</w:t>
      </w:r>
      <w:r>
        <w:t>ynamic range</w:t>
      </w:r>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r>
        <w:t xml:space="preserve"> </w:t>
      </w:r>
    </w:p>
    <w:p w14:paraId="69CB9E86" w14:textId="77777777" w:rsidR="00446BB8" w:rsidRPr="00E26D09" w:rsidRDefault="00446BB8" w:rsidP="00446BB8">
      <w:pPr>
        <w:pStyle w:val="Heading4"/>
      </w:pPr>
      <w:bookmarkStart w:id="2765" w:name="_Toc21127531"/>
      <w:bookmarkStart w:id="2766" w:name="_Toc29811740"/>
      <w:bookmarkStart w:id="2767" w:name="_Toc53185395"/>
      <w:bookmarkStart w:id="2768" w:name="_Toc53185771"/>
      <w:bookmarkStart w:id="2769" w:name="_Toc57820249"/>
      <w:bookmarkStart w:id="2770" w:name="_Toc57821176"/>
      <w:bookmarkStart w:id="2771" w:name="_Toc61183452"/>
      <w:bookmarkStart w:id="2772" w:name="_Toc61183846"/>
      <w:bookmarkStart w:id="2773" w:name="_Toc61184238"/>
      <w:bookmarkStart w:id="2774" w:name="_Toc61184630"/>
      <w:bookmarkStart w:id="2775" w:name="_Toc61185020"/>
      <w:bookmarkStart w:id="2776" w:name="_Toc66386364"/>
      <w:bookmarkStart w:id="2777" w:name="_Toc74583205"/>
      <w:bookmarkStart w:id="2778" w:name="_Toc76542018"/>
      <w:bookmarkStart w:id="2779" w:name="_Toc82450000"/>
      <w:bookmarkStart w:id="2780" w:name="_Toc82450648"/>
      <w:bookmarkStart w:id="2781" w:name="_Toc89949037"/>
      <w:bookmarkStart w:id="2782" w:name="_Toc98755426"/>
      <w:bookmarkStart w:id="2783" w:name="_Toc98763017"/>
      <w:bookmarkStart w:id="2784" w:name="_Toc106183946"/>
      <w:r w:rsidRPr="00E26D09">
        <w:t>7.3.1</w:t>
      </w:r>
      <w:r>
        <w:t>.1</w:t>
      </w:r>
      <w:r w:rsidRPr="00E26D09">
        <w:tab/>
        <w:t>General</w:t>
      </w:r>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p>
    <w:p w14:paraId="1209F40E" w14:textId="1C7B275F" w:rsidR="002E1777" w:rsidRPr="00E26D09" w:rsidRDefault="002E1777" w:rsidP="002E1777">
      <w:bookmarkStart w:id="2785" w:name="_Toc21127532"/>
      <w:bookmarkStart w:id="2786" w:name="_Toc29811741"/>
      <w:bookmarkStart w:id="2787" w:name="_Toc53185396"/>
      <w:bookmarkStart w:id="2788" w:name="_Toc53185772"/>
      <w:r w:rsidRPr="00E26D09">
        <w:t xml:space="preserve">The dynamic range is specified as a measure of the capability of the receiver to receive a wanted signal in the presence of an interfering signal </w:t>
      </w:r>
      <w:bookmarkStart w:id="2789" w:name="_Hlk508114964"/>
      <w:r w:rsidRPr="00E26D09">
        <w:t xml:space="preserve">at the </w:t>
      </w:r>
      <w:r w:rsidRPr="00E26D09">
        <w:rPr>
          <w:i/>
        </w:rPr>
        <w:t>TAB connector</w:t>
      </w:r>
      <w:r w:rsidRPr="00E26D09">
        <w:rPr>
          <w:i/>
          <w:lang w:val="en-US" w:eastAsia="zh-CN"/>
        </w:rPr>
        <w:t xml:space="preserve"> </w:t>
      </w:r>
      <w:r w:rsidRPr="00E26D09">
        <w:rPr>
          <w:rFonts w:eastAsia="??"/>
        </w:rPr>
        <w:t xml:space="preserve">for </w:t>
      </w:r>
      <w:r>
        <w:rPr>
          <w:rFonts w:eastAsia="??"/>
          <w:i/>
        </w:rPr>
        <w:t>IAB-DU</w:t>
      </w:r>
      <w:r w:rsidRPr="00E26D09">
        <w:rPr>
          <w:rFonts w:eastAsia="??"/>
          <w:i/>
        </w:rPr>
        <w:t xml:space="preserve"> type 1-</w:t>
      </w:r>
      <w:r w:rsidRPr="00E26D09">
        <w:rPr>
          <w:rFonts w:eastAsia="SimSun"/>
          <w:i/>
          <w:lang w:val="en-US" w:eastAsia="zh-CN"/>
        </w:rPr>
        <w:t>H</w:t>
      </w:r>
      <w:bookmarkEnd w:id="2789"/>
      <w:r w:rsidRPr="00E26D09">
        <w:rPr>
          <w:rFonts w:eastAsia="SimSun"/>
          <w:i/>
          <w:lang w:val="en-US" w:eastAsia="zh-CN"/>
        </w:rPr>
        <w:t xml:space="preserve"> </w:t>
      </w:r>
      <w:r w:rsidRPr="00E26D09">
        <w:t xml:space="preserve">inside the received </w:t>
      </w:r>
      <w:r>
        <w:rPr>
          <w:i/>
        </w:rPr>
        <w:t>IAB-DU</w:t>
      </w:r>
      <w:r w:rsidRPr="00E26D09">
        <w:rPr>
          <w:i/>
        </w:rPr>
        <w:t xml:space="preserve"> channel bandwidth</w:t>
      </w:r>
      <w:r w:rsidRPr="00E26D09">
        <w:t>. In this condition, a throughput requirement shall be met for a specified reference measurement channel. The interfering signal for the dynamic range requirement is an AWGN signal.</w:t>
      </w:r>
    </w:p>
    <w:p w14:paraId="25934312" w14:textId="77777777" w:rsidR="00446BB8" w:rsidRPr="00E26D09" w:rsidRDefault="00446BB8" w:rsidP="00446BB8">
      <w:pPr>
        <w:pStyle w:val="Heading4"/>
      </w:pPr>
      <w:bookmarkStart w:id="2790" w:name="_Toc57820250"/>
      <w:bookmarkStart w:id="2791" w:name="_Toc57821177"/>
      <w:bookmarkStart w:id="2792" w:name="_Toc61183453"/>
      <w:bookmarkStart w:id="2793" w:name="_Toc61183847"/>
      <w:bookmarkStart w:id="2794" w:name="_Toc61184239"/>
      <w:bookmarkStart w:id="2795" w:name="_Toc61184631"/>
      <w:bookmarkStart w:id="2796" w:name="_Toc61185021"/>
      <w:bookmarkStart w:id="2797" w:name="_Toc66386365"/>
      <w:bookmarkStart w:id="2798" w:name="_Toc74583206"/>
      <w:bookmarkStart w:id="2799" w:name="_Toc76542019"/>
      <w:bookmarkStart w:id="2800" w:name="_Toc82450001"/>
      <w:bookmarkStart w:id="2801" w:name="_Toc82450649"/>
      <w:bookmarkStart w:id="2802" w:name="_Toc89949038"/>
      <w:bookmarkStart w:id="2803" w:name="_Toc98755427"/>
      <w:bookmarkStart w:id="2804" w:name="_Toc98763018"/>
      <w:bookmarkStart w:id="2805" w:name="_Toc106183947"/>
      <w:r w:rsidRPr="00E26D09">
        <w:t>7.3.</w:t>
      </w:r>
      <w:r>
        <w:t>1.</w:t>
      </w:r>
      <w:r w:rsidRPr="00E26D09">
        <w:t>2</w:t>
      </w:r>
      <w:r w:rsidRPr="00E26D09">
        <w:tab/>
        <w:t xml:space="preserve">Minimum requirement for </w:t>
      </w:r>
      <w:r>
        <w:rPr>
          <w:i/>
        </w:rPr>
        <w:t>IAB-DU</w:t>
      </w:r>
      <w:r w:rsidRPr="00E26D09">
        <w:rPr>
          <w:i/>
        </w:rPr>
        <w:t xml:space="preserve"> type 1-H</w:t>
      </w:r>
      <w:bookmarkEnd w:id="2785"/>
      <w:bookmarkEnd w:id="2786"/>
      <w:bookmarkEnd w:id="2787"/>
      <w:bookmarkEnd w:id="2788"/>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p>
    <w:p w14:paraId="0CD3FE5A" w14:textId="3BA215AB" w:rsidR="002E1777" w:rsidRDefault="002E1777" w:rsidP="002E1777">
      <w:r w:rsidRPr="00E26D09">
        <w:t>T</w:t>
      </w:r>
      <w:r>
        <w:t>he wide area IAB-DU dynamic range</w:t>
      </w:r>
      <w:r w:rsidRPr="00E26D09">
        <w:t xml:space="preserve"> is specified the same as the </w:t>
      </w:r>
      <w:r>
        <w:t>wide area BS dynamic</w:t>
      </w:r>
      <w:r w:rsidRPr="00E26D09">
        <w:t xml:space="preserve"> requirement for </w:t>
      </w:r>
      <w:r>
        <w:t>BS</w:t>
      </w:r>
      <w:r w:rsidRPr="00E26D09">
        <w:rPr>
          <w:i/>
        </w:rPr>
        <w:t xml:space="preserve"> type 1-H</w:t>
      </w:r>
      <w:r w:rsidRPr="00E26D09">
        <w:t xml:space="preserve"> </w:t>
      </w:r>
      <w:r>
        <w:t xml:space="preserve">in TS 38.104 [2], subclause 7.3.2, where references to </w:t>
      </w:r>
      <w:r w:rsidRPr="00A922D4">
        <w:rPr>
          <w:i/>
        </w:rPr>
        <w:t>BS channel bandwidth</w:t>
      </w:r>
      <w:r>
        <w:t xml:space="preserve"> apply to </w:t>
      </w:r>
      <w:r w:rsidRPr="00A922D4">
        <w:rPr>
          <w:i/>
        </w:rPr>
        <w:t>IAB-DU channel bandwidth</w:t>
      </w:r>
      <w:r>
        <w:t>.</w:t>
      </w:r>
    </w:p>
    <w:p w14:paraId="3BD1799E" w14:textId="542616C3" w:rsidR="002E1777" w:rsidRDefault="002E1777" w:rsidP="002E1777">
      <w:r w:rsidRPr="00E26D09">
        <w:t>T</w:t>
      </w:r>
      <w:r>
        <w:t>he medium range IAB-DU dynamic range</w:t>
      </w:r>
      <w:r w:rsidRPr="00E26D09">
        <w:t xml:space="preserve"> is specified the same as the </w:t>
      </w:r>
      <w:r>
        <w:t xml:space="preserve">medium range BS dynamic range </w:t>
      </w:r>
      <w:r w:rsidRPr="00E26D09">
        <w:t xml:space="preserve">requirement for </w:t>
      </w:r>
      <w:r>
        <w:t>BS</w:t>
      </w:r>
      <w:r w:rsidRPr="00E26D09">
        <w:rPr>
          <w:i/>
        </w:rPr>
        <w:t xml:space="preserve"> type 1-H</w:t>
      </w:r>
      <w:r w:rsidRPr="00E26D09">
        <w:t xml:space="preserve"> </w:t>
      </w:r>
      <w:r>
        <w:t xml:space="preserve">in TS 38.104 [2], subclause 7.3.2, where references to </w:t>
      </w:r>
      <w:r w:rsidRPr="00A922D4">
        <w:rPr>
          <w:i/>
        </w:rPr>
        <w:t>BS channel bandwidth</w:t>
      </w:r>
      <w:r>
        <w:t xml:space="preserve"> apply to </w:t>
      </w:r>
      <w:r w:rsidRPr="00A922D4">
        <w:rPr>
          <w:i/>
        </w:rPr>
        <w:t>IAB-DU channel bandwidth</w:t>
      </w:r>
      <w:r>
        <w:t>.</w:t>
      </w:r>
    </w:p>
    <w:p w14:paraId="6E3381B4" w14:textId="54442848" w:rsidR="002E1777" w:rsidRDefault="002E1777" w:rsidP="002E1777">
      <w:r w:rsidRPr="00E26D09">
        <w:t>T</w:t>
      </w:r>
      <w:r>
        <w:t>he local area IAB-DU dynamic range</w:t>
      </w:r>
      <w:r w:rsidRPr="00E26D09">
        <w:t xml:space="preserve"> is specified the same as the </w:t>
      </w:r>
      <w:r>
        <w:t>local area BS dynamic range</w:t>
      </w:r>
      <w:r w:rsidRPr="00E26D09">
        <w:t xml:space="preserve"> requirement for </w:t>
      </w:r>
      <w:r>
        <w:t>BS</w:t>
      </w:r>
      <w:r w:rsidRPr="00E26D09">
        <w:rPr>
          <w:i/>
        </w:rPr>
        <w:t xml:space="preserve"> type 1-H</w:t>
      </w:r>
      <w:r w:rsidRPr="00E26D09">
        <w:t xml:space="preserve"> </w:t>
      </w:r>
      <w:r>
        <w:t xml:space="preserve">in TS 38.104 [2], subclause 7.3.2, where references to </w:t>
      </w:r>
      <w:r w:rsidRPr="00A922D4">
        <w:rPr>
          <w:i/>
        </w:rPr>
        <w:t>BS channel bandwidth</w:t>
      </w:r>
      <w:r>
        <w:t xml:space="preserve"> apply to </w:t>
      </w:r>
      <w:r w:rsidRPr="00A922D4">
        <w:rPr>
          <w:i/>
        </w:rPr>
        <w:t>IAB-DU channel bandwidth</w:t>
      </w:r>
      <w:r>
        <w:t>.</w:t>
      </w:r>
    </w:p>
    <w:p w14:paraId="6132133D" w14:textId="77777777" w:rsidR="00446BB8" w:rsidRPr="00E26D09" w:rsidRDefault="00446BB8" w:rsidP="00446BB8">
      <w:r>
        <w:t>Referenced requirements applying to NB IoT are not applicable to the IAB-DU</w:t>
      </w:r>
    </w:p>
    <w:p w14:paraId="3929EBEE" w14:textId="75E25350" w:rsidR="00047716" w:rsidRPr="00047716" w:rsidRDefault="00047716" w:rsidP="00C60E58"/>
    <w:p w14:paraId="1E52F682" w14:textId="77777777" w:rsidR="00077B6E" w:rsidRPr="007E346D" w:rsidRDefault="00077B6E" w:rsidP="00C60E58">
      <w:pPr>
        <w:pStyle w:val="Heading2"/>
      </w:pPr>
      <w:bookmarkStart w:id="2806" w:name="_Toc53185397"/>
      <w:bookmarkStart w:id="2807" w:name="_Toc53185773"/>
      <w:bookmarkStart w:id="2808" w:name="_Toc57820251"/>
      <w:bookmarkStart w:id="2809" w:name="_Toc57821178"/>
      <w:bookmarkStart w:id="2810" w:name="_Toc61183454"/>
      <w:bookmarkStart w:id="2811" w:name="_Toc61183848"/>
      <w:bookmarkStart w:id="2812" w:name="_Toc61184240"/>
      <w:bookmarkStart w:id="2813" w:name="_Toc61184632"/>
      <w:bookmarkStart w:id="2814" w:name="_Toc61185022"/>
      <w:bookmarkStart w:id="2815" w:name="_Toc66386366"/>
      <w:bookmarkStart w:id="2816" w:name="_Toc74583207"/>
      <w:bookmarkStart w:id="2817" w:name="_Toc76542020"/>
      <w:bookmarkStart w:id="2818" w:name="_Toc82450002"/>
      <w:bookmarkStart w:id="2819" w:name="_Toc82450650"/>
      <w:bookmarkStart w:id="2820" w:name="_Toc89949039"/>
      <w:bookmarkStart w:id="2821" w:name="_Toc98755428"/>
      <w:bookmarkStart w:id="2822" w:name="_Toc98763019"/>
      <w:bookmarkStart w:id="2823" w:name="_Toc106183948"/>
      <w:r w:rsidRPr="007E346D">
        <w:t>7.4</w:t>
      </w:r>
      <w:r w:rsidRPr="007E346D">
        <w:tab/>
        <w:t>In-band selectivity and blocking</w:t>
      </w:r>
      <w:bookmarkEnd w:id="2763"/>
      <w:bookmarkEnd w:id="2764"/>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p>
    <w:p w14:paraId="30280817" w14:textId="280A070B" w:rsidR="00711A01" w:rsidRPr="00E26D09" w:rsidRDefault="00711A01" w:rsidP="00815C5B">
      <w:pPr>
        <w:pStyle w:val="Heading3"/>
      </w:pPr>
      <w:bookmarkStart w:id="2824" w:name="_Toc21127534"/>
      <w:bookmarkStart w:id="2825" w:name="_Toc29811743"/>
      <w:bookmarkStart w:id="2826" w:name="_Toc53185398"/>
      <w:bookmarkStart w:id="2827" w:name="_Toc53185774"/>
      <w:bookmarkStart w:id="2828" w:name="_Toc57820252"/>
      <w:bookmarkStart w:id="2829" w:name="_Toc57821179"/>
      <w:bookmarkStart w:id="2830" w:name="_Toc61183455"/>
      <w:bookmarkStart w:id="2831" w:name="_Toc61183849"/>
      <w:bookmarkStart w:id="2832" w:name="_Toc61184241"/>
      <w:bookmarkStart w:id="2833" w:name="_Toc61184633"/>
      <w:bookmarkStart w:id="2834" w:name="_Toc61185023"/>
      <w:bookmarkStart w:id="2835" w:name="_Toc66386367"/>
      <w:bookmarkStart w:id="2836" w:name="_Toc74583208"/>
      <w:bookmarkStart w:id="2837" w:name="_Toc76542021"/>
      <w:bookmarkStart w:id="2838" w:name="_Toc82450003"/>
      <w:bookmarkStart w:id="2839" w:name="_Toc82450651"/>
      <w:bookmarkStart w:id="2840" w:name="_Toc89949040"/>
      <w:bookmarkStart w:id="2841" w:name="_Toc98755429"/>
      <w:bookmarkStart w:id="2842" w:name="_Toc98763020"/>
      <w:bookmarkStart w:id="2843" w:name="_Toc106183949"/>
      <w:r w:rsidRPr="00E26D09">
        <w:t>7.4.1</w:t>
      </w:r>
      <w:r w:rsidR="00C60E58">
        <w:tab/>
      </w:r>
      <w:r w:rsidRPr="00E26D09">
        <w:t>Adjacent Channel Selectivity (ACS)</w:t>
      </w:r>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p>
    <w:p w14:paraId="0ACB18D9" w14:textId="77777777" w:rsidR="00711A01" w:rsidRPr="00E26D09" w:rsidRDefault="00711A01" w:rsidP="00C60E58">
      <w:pPr>
        <w:pStyle w:val="Heading4"/>
      </w:pPr>
      <w:bookmarkStart w:id="2844" w:name="_Toc21127535"/>
      <w:bookmarkStart w:id="2845" w:name="_Toc29811744"/>
      <w:bookmarkStart w:id="2846" w:name="_Toc53185399"/>
      <w:bookmarkStart w:id="2847" w:name="_Toc53185775"/>
      <w:bookmarkStart w:id="2848" w:name="_Toc57820253"/>
      <w:bookmarkStart w:id="2849" w:name="_Toc57821180"/>
      <w:bookmarkStart w:id="2850" w:name="_Toc61183456"/>
      <w:bookmarkStart w:id="2851" w:name="_Toc61183850"/>
      <w:bookmarkStart w:id="2852" w:name="_Toc61184242"/>
      <w:bookmarkStart w:id="2853" w:name="_Toc61184634"/>
      <w:bookmarkStart w:id="2854" w:name="_Toc61185024"/>
      <w:bookmarkStart w:id="2855" w:name="_Toc66386368"/>
      <w:bookmarkStart w:id="2856" w:name="_Toc74583209"/>
      <w:bookmarkStart w:id="2857" w:name="_Toc76542022"/>
      <w:bookmarkStart w:id="2858" w:name="_Toc82450004"/>
      <w:bookmarkStart w:id="2859" w:name="_Toc82450652"/>
      <w:bookmarkStart w:id="2860" w:name="_Toc89949041"/>
      <w:bookmarkStart w:id="2861" w:name="_Toc98755430"/>
      <w:bookmarkStart w:id="2862" w:name="_Toc98763021"/>
      <w:bookmarkStart w:id="2863" w:name="_Toc106183950"/>
      <w:r w:rsidRPr="00E26D09">
        <w:t>7.4.1.1</w:t>
      </w:r>
      <w:r w:rsidRPr="00E26D09">
        <w:tab/>
        <w:t>General</w:t>
      </w:r>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p>
    <w:p w14:paraId="2C85030B" w14:textId="77777777" w:rsidR="00711A01" w:rsidRPr="00E26D09" w:rsidRDefault="00711A01" w:rsidP="00711A01">
      <w:r w:rsidRPr="00E26D09">
        <w:t xml:space="preserve">Adjacent channel selectivity (ACS) is a measure of the receiver's ability to receive a wanted signal at its assigned channel frequency at the </w:t>
      </w:r>
      <w:r w:rsidRPr="00E26D09">
        <w:rPr>
          <w:i/>
        </w:rPr>
        <w:t>TAB connector</w:t>
      </w:r>
      <w:r w:rsidRPr="00E26D09">
        <w:rPr>
          <w:i/>
          <w:lang w:val="en-US" w:eastAsia="zh-CN"/>
        </w:rPr>
        <w:t xml:space="preserve"> </w:t>
      </w:r>
      <w:r w:rsidRPr="00E26D09">
        <w:rPr>
          <w:rFonts w:eastAsia="??"/>
        </w:rPr>
        <w:t xml:space="preserve">for </w:t>
      </w:r>
      <w:r>
        <w:rPr>
          <w:rFonts w:eastAsia="??"/>
          <w:i/>
        </w:rPr>
        <w:t>IAB-MT type 1-H or IAB-DU</w:t>
      </w:r>
      <w:r w:rsidRPr="00E26D09">
        <w:rPr>
          <w:rFonts w:eastAsia="??"/>
          <w:i/>
        </w:rPr>
        <w:t xml:space="preserve"> type 1-</w:t>
      </w:r>
      <w:r w:rsidRPr="00E26D09">
        <w:rPr>
          <w:i/>
          <w:lang w:val="en-US" w:eastAsia="zh-CN"/>
        </w:rPr>
        <w:t>H</w:t>
      </w:r>
      <w:r w:rsidRPr="00E26D09">
        <w:t xml:space="preserve"> in the presence of an adjacent channel signal with a specified centre frequency offset of the interfering signal to the band edge of a victim system.</w:t>
      </w:r>
    </w:p>
    <w:p w14:paraId="05D2780B" w14:textId="77777777" w:rsidR="00711A01" w:rsidRPr="00E26D09" w:rsidRDefault="00711A01" w:rsidP="00815C5B">
      <w:pPr>
        <w:pStyle w:val="Heading4"/>
      </w:pPr>
      <w:bookmarkStart w:id="2864" w:name="_Toc21127536"/>
      <w:bookmarkStart w:id="2865" w:name="_Toc29811745"/>
      <w:bookmarkStart w:id="2866" w:name="_Toc53185400"/>
      <w:bookmarkStart w:id="2867" w:name="_Toc53185776"/>
      <w:bookmarkStart w:id="2868" w:name="_Toc57820254"/>
      <w:bookmarkStart w:id="2869" w:name="_Toc57821181"/>
      <w:bookmarkStart w:id="2870" w:name="_Toc61183457"/>
      <w:bookmarkStart w:id="2871" w:name="_Toc61183851"/>
      <w:bookmarkStart w:id="2872" w:name="_Toc61184243"/>
      <w:bookmarkStart w:id="2873" w:name="_Toc61184635"/>
      <w:bookmarkStart w:id="2874" w:name="_Toc61185025"/>
      <w:bookmarkStart w:id="2875" w:name="_Toc66386369"/>
      <w:bookmarkStart w:id="2876" w:name="_Toc74583210"/>
      <w:bookmarkStart w:id="2877" w:name="_Toc76542023"/>
      <w:bookmarkStart w:id="2878" w:name="_Toc82450005"/>
      <w:bookmarkStart w:id="2879" w:name="_Toc82450653"/>
      <w:bookmarkStart w:id="2880" w:name="_Toc89949042"/>
      <w:bookmarkStart w:id="2881" w:name="_Toc98755431"/>
      <w:bookmarkStart w:id="2882" w:name="_Toc98763022"/>
      <w:bookmarkStart w:id="2883" w:name="_Toc106183951"/>
      <w:r w:rsidRPr="00E26D09">
        <w:t>7.4.1.2</w:t>
      </w:r>
      <w:r w:rsidRPr="00E26D09">
        <w:tab/>
        <w:t xml:space="preserve">Minimum requirement for </w:t>
      </w:r>
      <w:r>
        <w:rPr>
          <w:i/>
        </w:rPr>
        <w:t>IAB-DU</w:t>
      </w:r>
      <w:r w:rsidRPr="00E26D09">
        <w:rPr>
          <w:i/>
        </w:rPr>
        <w:t xml:space="preserve"> type 1-H</w:t>
      </w:r>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p>
    <w:p w14:paraId="7653F690" w14:textId="77777777" w:rsidR="00711A01" w:rsidRPr="00023EF9" w:rsidRDefault="00711A01" w:rsidP="00711A01">
      <w:pPr>
        <w:keepNext/>
        <w:keepLines/>
        <w:spacing w:before="120"/>
        <w:ind w:left="1418" w:hanging="1418"/>
        <w:outlineLvl w:val="3"/>
        <w:rPr>
          <w:rFonts w:ascii="Arial" w:hAnsi="Arial"/>
          <w:sz w:val="24"/>
        </w:rPr>
      </w:pPr>
      <w:r w:rsidRPr="00023EF9">
        <w:rPr>
          <w:rFonts w:eastAsia="Yu Mincho"/>
        </w:rPr>
        <w:t>Minimum requirement is the same as specified for BS type 1-</w:t>
      </w:r>
      <w:r>
        <w:rPr>
          <w:rFonts w:eastAsia="Yu Mincho"/>
        </w:rPr>
        <w:t>H</w:t>
      </w:r>
      <w:r w:rsidRPr="00023EF9">
        <w:rPr>
          <w:rFonts w:eastAsia="Yu Mincho"/>
        </w:rPr>
        <w:t xml:space="preserve"> in TS38.104[2], subclause </w:t>
      </w:r>
      <w:r>
        <w:rPr>
          <w:rFonts w:eastAsia="Yu Mincho"/>
        </w:rPr>
        <w:t>7.4.1.2</w:t>
      </w:r>
      <w:r w:rsidRPr="00023EF9">
        <w:rPr>
          <w:rFonts w:eastAsia="Yu Mincho"/>
        </w:rPr>
        <w:t>.</w:t>
      </w:r>
    </w:p>
    <w:p w14:paraId="0E26F7D7" w14:textId="77777777" w:rsidR="00711A01" w:rsidRPr="00E26D09" w:rsidRDefault="00711A01" w:rsidP="00815C5B">
      <w:pPr>
        <w:pStyle w:val="Heading4"/>
      </w:pPr>
      <w:bookmarkStart w:id="2884" w:name="_Toc53185401"/>
      <w:bookmarkStart w:id="2885" w:name="_Toc53185777"/>
      <w:bookmarkStart w:id="2886" w:name="_Toc57820255"/>
      <w:bookmarkStart w:id="2887" w:name="_Toc57821182"/>
      <w:bookmarkStart w:id="2888" w:name="_Toc61183458"/>
      <w:bookmarkStart w:id="2889" w:name="_Toc61183852"/>
      <w:bookmarkStart w:id="2890" w:name="_Toc61184244"/>
      <w:bookmarkStart w:id="2891" w:name="_Toc61184636"/>
      <w:bookmarkStart w:id="2892" w:name="_Toc61185026"/>
      <w:bookmarkStart w:id="2893" w:name="_Toc66386370"/>
      <w:bookmarkStart w:id="2894" w:name="_Toc74583211"/>
      <w:bookmarkStart w:id="2895" w:name="_Toc76542024"/>
      <w:bookmarkStart w:id="2896" w:name="_Toc82450006"/>
      <w:bookmarkStart w:id="2897" w:name="_Toc82450654"/>
      <w:bookmarkStart w:id="2898" w:name="_Toc89949043"/>
      <w:bookmarkStart w:id="2899" w:name="_Toc98755432"/>
      <w:bookmarkStart w:id="2900" w:name="_Toc98763023"/>
      <w:bookmarkStart w:id="2901" w:name="_Toc106183952"/>
      <w:r w:rsidRPr="00E26D09">
        <w:t>7.4.1.</w:t>
      </w:r>
      <w:r>
        <w:t>3</w:t>
      </w:r>
      <w:r w:rsidRPr="00E26D09">
        <w:tab/>
        <w:t xml:space="preserve">Minimum requirement for </w:t>
      </w:r>
      <w:r>
        <w:rPr>
          <w:i/>
        </w:rPr>
        <w:t>IAB-MT</w:t>
      </w:r>
      <w:r w:rsidRPr="00E26D09">
        <w:rPr>
          <w:i/>
        </w:rPr>
        <w:t xml:space="preserve"> type 1-H</w:t>
      </w:r>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p>
    <w:p w14:paraId="07FE9A99" w14:textId="77777777" w:rsidR="00711A01" w:rsidRPr="00E26D09" w:rsidRDefault="00711A01" w:rsidP="00711A01">
      <w:pPr>
        <w:rPr>
          <w:lang w:eastAsia="zh-CN"/>
        </w:rPr>
      </w:pPr>
      <w:r w:rsidRPr="00E26D09">
        <w:t xml:space="preserve">The throughput shall be </w:t>
      </w:r>
      <w:r w:rsidRPr="00E26D09">
        <w:rPr>
          <w:rFonts w:hint="eastAsia"/>
        </w:rPr>
        <w:t>≥</w:t>
      </w:r>
      <w:r w:rsidRPr="00E26D09">
        <w:t xml:space="preserve"> 95% of the maximum throughput of the reference measurement channel</w:t>
      </w:r>
      <w:r w:rsidRPr="00E26D09">
        <w:rPr>
          <w:lang w:eastAsia="zh-CN"/>
        </w:rPr>
        <w:t>.</w:t>
      </w:r>
    </w:p>
    <w:p w14:paraId="4D7D887E" w14:textId="3558FF4D" w:rsidR="00711A01" w:rsidRPr="007E346D" w:rsidRDefault="00711A01" w:rsidP="00711A01">
      <w:pPr>
        <w:rPr>
          <w:rFonts w:eastAsia="Osaka"/>
        </w:rPr>
      </w:pPr>
      <w:r w:rsidRPr="00E26D09">
        <w:rPr>
          <w:lang w:eastAsia="zh-CN"/>
        </w:rPr>
        <w:t xml:space="preserve">For </w:t>
      </w:r>
      <w:r>
        <w:rPr>
          <w:lang w:eastAsia="zh-CN"/>
        </w:rPr>
        <w:t>IAB-MT</w:t>
      </w:r>
      <w:r w:rsidRPr="00E26D09">
        <w:rPr>
          <w:lang w:eastAsia="zh-CN"/>
        </w:rPr>
        <w:t xml:space="preserve">, the </w:t>
      </w:r>
      <w:r w:rsidRPr="00E26D09">
        <w:t xml:space="preserve">wanted and </w:t>
      </w:r>
      <w:r w:rsidRPr="00E26D09">
        <w:rPr>
          <w:lang w:eastAsia="zh-CN"/>
        </w:rPr>
        <w:t>the</w:t>
      </w:r>
      <w:r w:rsidRPr="00E26D09">
        <w:t xml:space="preserve"> interfering signal coupled to the </w:t>
      </w:r>
      <w:r>
        <w:rPr>
          <w:i/>
        </w:rPr>
        <w:t xml:space="preserve">IAB-MT </w:t>
      </w:r>
      <w:r w:rsidRPr="00E26D09">
        <w:rPr>
          <w:i/>
        </w:rPr>
        <w:t>type 1-H</w:t>
      </w:r>
      <w:r w:rsidRPr="00E26D09">
        <w:t xml:space="preserve"> </w:t>
      </w:r>
      <w:r w:rsidRPr="00E26D09">
        <w:rPr>
          <w:i/>
        </w:rPr>
        <w:t>TAB connector</w:t>
      </w:r>
      <w:r w:rsidRPr="00E26D09">
        <w:t xml:space="preserve"> </w:t>
      </w:r>
      <w:r w:rsidRPr="00E26D09">
        <w:rPr>
          <w:lang w:eastAsia="zh-CN"/>
        </w:rPr>
        <w:t>are</w:t>
      </w:r>
      <w:r w:rsidRPr="00E26D09">
        <w:t xml:space="preserve"> specified</w:t>
      </w:r>
      <w:r w:rsidRPr="00E26D09">
        <w:rPr>
          <w:rFonts w:eastAsia="Osaka"/>
        </w:rPr>
        <w:t xml:space="preserve"> in table </w:t>
      </w:r>
      <w:r w:rsidRPr="00E26D09">
        <w:rPr>
          <w:rFonts w:cs="v5.0.0"/>
          <w:lang w:eastAsia="zh-CN"/>
        </w:rPr>
        <w:t>7.4.1.</w:t>
      </w:r>
      <w:r>
        <w:rPr>
          <w:rFonts w:cs="v5.0.0"/>
          <w:lang w:eastAsia="zh-CN"/>
        </w:rPr>
        <w:t>3</w:t>
      </w:r>
      <w:r w:rsidRPr="00E26D09">
        <w:rPr>
          <w:rFonts w:eastAsia="Osaka"/>
        </w:rPr>
        <w:t>-</w:t>
      </w:r>
      <w:r w:rsidRPr="00E26D09">
        <w:rPr>
          <w:lang w:eastAsia="zh-CN"/>
        </w:rPr>
        <w:t>1</w:t>
      </w:r>
      <w:r w:rsidRPr="00E26D09">
        <w:rPr>
          <w:rFonts w:eastAsia="Osaka"/>
        </w:rPr>
        <w:t xml:space="preserve"> </w:t>
      </w:r>
      <w:r w:rsidRPr="00E26D09">
        <w:rPr>
          <w:lang w:eastAsia="zh-CN"/>
        </w:rPr>
        <w:t>and the frequency offset between the wanted and interfering signal in table 7.4.1.</w:t>
      </w:r>
      <w:r>
        <w:rPr>
          <w:lang w:eastAsia="zh-CN"/>
        </w:rPr>
        <w:t>3</w:t>
      </w:r>
      <w:r w:rsidRPr="00E26D09">
        <w:rPr>
          <w:lang w:eastAsia="zh-CN"/>
        </w:rPr>
        <w:t xml:space="preserve">-2 </w:t>
      </w:r>
      <w:r w:rsidRPr="00E26D09">
        <w:rPr>
          <w:rFonts w:eastAsia="Osaka"/>
        </w:rPr>
        <w:t>for ACS. The reference measurement channel for the wanted signal is identified in table 7.2.2-1</w:t>
      </w:r>
      <w:r>
        <w:rPr>
          <w:rFonts w:eastAsia="Osaka"/>
        </w:rPr>
        <w:t xml:space="preserve"> and 7</w:t>
      </w:r>
      <w:r w:rsidRPr="00E26D09">
        <w:rPr>
          <w:rFonts w:eastAsia="Osaka"/>
        </w:rPr>
        <w:t xml:space="preserve">.2.2-2 for each </w:t>
      </w:r>
      <w:r>
        <w:rPr>
          <w:rFonts w:eastAsia="Osaka"/>
          <w:i/>
        </w:rPr>
        <w:t>IAB-MT</w:t>
      </w:r>
      <w:r w:rsidRPr="00E26D09">
        <w:rPr>
          <w:rFonts w:eastAsia="Osaka"/>
          <w:i/>
        </w:rPr>
        <w:t xml:space="preserve"> channel bandwidth</w:t>
      </w:r>
      <w:r w:rsidRPr="00E26D09">
        <w:rPr>
          <w:rFonts w:eastAsia="Osaka"/>
        </w:rPr>
        <w:t xml:space="preserve"> and further specified in annex </w:t>
      </w:r>
      <w:r w:rsidR="000121EB" w:rsidRPr="00E26D09">
        <w:rPr>
          <w:rFonts w:eastAsia="Osaka"/>
        </w:rPr>
        <w:t>A.1</w:t>
      </w:r>
      <w:r>
        <w:rPr>
          <w:rFonts w:eastAsia="Osaka"/>
        </w:rPr>
        <w:t>.</w:t>
      </w:r>
      <w:r w:rsidRPr="00E26D09">
        <w:rPr>
          <w:rFonts w:eastAsia="Osaka"/>
        </w:rPr>
        <w:t xml:space="preserve"> The characteristics of the interfering signal is further specified in annex </w:t>
      </w:r>
      <w:r w:rsidR="003E36E9">
        <w:rPr>
          <w:rFonts w:eastAsia="Osaka"/>
        </w:rPr>
        <w:t>F</w:t>
      </w:r>
      <w:r w:rsidR="003E36E9" w:rsidRPr="00E26D09">
        <w:rPr>
          <w:rFonts w:eastAsia="Osaka"/>
        </w:rPr>
        <w:t>.</w:t>
      </w:r>
    </w:p>
    <w:p w14:paraId="63EA2A5B" w14:textId="77777777" w:rsidR="00711A01" w:rsidRPr="00E26D09" w:rsidRDefault="00711A01" w:rsidP="00711A01">
      <w:pPr>
        <w:rPr>
          <w:rFonts w:eastAsia="Osaka"/>
        </w:rPr>
      </w:pPr>
      <w:r w:rsidRPr="00E26D09">
        <w:rPr>
          <w:rFonts w:eastAsia="Osaka"/>
        </w:rPr>
        <w:t xml:space="preserve">The ACS requirement is applicable outside the </w:t>
      </w:r>
      <w:r>
        <w:rPr>
          <w:i/>
          <w:lang w:eastAsia="zh-CN"/>
        </w:rPr>
        <w:t>IAB-MT</w:t>
      </w:r>
      <w:r w:rsidRPr="00E26D09">
        <w:rPr>
          <w:i/>
          <w:lang w:eastAsia="zh-CN"/>
        </w:rPr>
        <w:t xml:space="preserve"> </w:t>
      </w:r>
      <w:r w:rsidRPr="00E26D09">
        <w:rPr>
          <w:rFonts w:eastAsia="Osaka"/>
          <w:i/>
        </w:rPr>
        <w:t>RF Bandwidth</w:t>
      </w:r>
      <w:r w:rsidRPr="00E26D09">
        <w:rPr>
          <w:lang w:eastAsia="zh-CN"/>
        </w:rPr>
        <w:t xml:space="preserve"> or </w:t>
      </w:r>
      <w:r w:rsidRPr="00E26D09">
        <w:rPr>
          <w:i/>
          <w:lang w:eastAsia="zh-CN"/>
        </w:rPr>
        <w:t>Radio Bandwidth</w:t>
      </w:r>
      <w:r w:rsidRPr="00E26D09">
        <w:rPr>
          <w:rFonts w:eastAsia="Osaka"/>
        </w:rPr>
        <w:t>. The interfering signal offset is defined relative to the</w:t>
      </w:r>
      <w:r w:rsidRPr="00E26D09">
        <w:t xml:space="preserve"> </w:t>
      </w:r>
      <w:r>
        <w:rPr>
          <w:rFonts w:eastAsia="Osaka"/>
          <w:i/>
        </w:rPr>
        <w:t>IAB-MT</w:t>
      </w:r>
      <w:r w:rsidRPr="00E26D09">
        <w:rPr>
          <w:rFonts w:eastAsia="Osaka"/>
          <w:i/>
        </w:rPr>
        <w:t xml:space="preserve"> RF Bandwidth</w:t>
      </w:r>
      <w:r w:rsidRPr="00E26D09">
        <w:rPr>
          <w:rFonts w:eastAsia="Osaka"/>
        </w:rPr>
        <w:t xml:space="preserve"> edges </w:t>
      </w:r>
      <w:r w:rsidRPr="00E26D09">
        <w:rPr>
          <w:lang w:eastAsia="zh-CN"/>
        </w:rPr>
        <w:t xml:space="preserve">or </w:t>
      </w:r>
      <w:r w:rsidRPr="00E26D09">
        <w:rPr>
          <w:i/>
          <w:lang w:eastAsia="zh-CN"/>
        </w:rPr>
        <w:t>Radio Bandwidth</w:t>
      </w:r>
      <w:r w:rsidRPr="00E26D09">
        <w:rPr>
          <w:lang w:eastAsia="zh-CN"/>
        </w:rPr>
        <w:t xml:space="preserve"> </w:t>
      </w:r>
      <w:r w:rsidRPr="00E26D09">
        <w:rPr>
          <w:rFonts w:eastAsia="Osaka"/>
        </w:rPr>
        <w:t>edges.</w:t>
      </w:r>
    </w:p>
    <w:p w14:paraId="2967C412" w14:textId="77777777" w:rsidR="00711A01" w:rsidRPr="007E346D" w:rsidRDefault="00711A01" w:rsidP="00711A01">
      <w:pPr>
        <w:rPr>
          <w:lang w:eastAsia="zh-CN"/>
        </w:rPr>
      </w:pPr>
      <w:r w:rsidRPr="007E346D">
        <w:t xml:space="preserve">For </w:t>
      </w:r>
      <w:r>
        <w:t xml:space="preserve">IAB-MT </w:t>
      </w:r>
      <w:r w:rsidRPr="007E346D">
        <w:t xml:space="preserve">operating in </w:t>
      </w:r>
      <w:r w:rsidRPr="007A7019">
        <w:rPr>
          <w:i/>
        </w:rPr>
        <w:t>non-contiguous spectrum</w:t>
      </w:r>
      <w:r w:rsidRPr="007E346D">
        <w:t xml:space="preserve"> within any </w:t>
      </w:r>
      <w:r w:rsidRPr="007E346D">
        <w:rPr>
          <w:i/>
        </w:rPr>
        <w:t>operating band</w:t>
      </w:r>
      <w:r w:rsidRPr="007E346D">
        <w:t xml:space="preserve">, the ACS requirement shall apply in addition inside any </w:t>
      </w:r>
      <w:r w:rsidRPr="0068373B">
        <w:rPr>
          <w:i/>
        </w:rPr>
        <w:t>sub-block gap</w:t>
      </w:r>
      <w:r w:rsidRPr="007E346D">
        <w:t xml:space="preserve">, in case the </w:t>
      </w:r>
      <w:r w:rsidRPr="0068373B">
        <w:rPr>
          <w:i/>
        </w:rPr>
        <w:t>sub-block gap size</w:t>
      </w:r>
      <w:r w:rsidRPr="007E346D">
        <w:t xml:space="preserve"> is at least as wide as the NR interfering signal in table </w:t>
      </w:r>
      <w:r w:rsidRPr="00E26D09">
        <w:t>7.4.1.</w:t>
      </w:r>
      <w:r>
        <w:t>3</w:t>
      </w:r>
      <w:r w:rsidRPr="00E26D09">
        <w:t>-</w:t>
      </w:r>
      <w:r>
        <w:rPr>
          <w:lang w:eastAsia="zh-CN"/>
        </w:rPr>
        <w:t>2</w:t>
      </w:r>
      <w:r w:rsidRPr="00E26D09">
        <w:t xml:space="preserve">. </w:t>
      </w:r>
      <w:r w:rsidRPr="007E346D">
        <w:t xml:space="preserve">The interfering signal offset is defined relative to the </w:t>
      </w:r>
      <w:r w:rsidRPr="0068373B">
        <w:rPr>
          <w:i/>
        </w:rPr>
        <w:t>sub-block</w:t>
      </w:r>
      <w:r w:rsidRPr="007E346D">
        <w:t xml:space="preserve"> edges inside the </w:t>
      </w:r>
      <w:r w:rsidRPr="0068373B">
        <w:rPr>
          <w:i/>
        </w:rPr>
        <w:t>sub-block gap</w:t>
      </w:r>
      <w:r w:rsidRPr="007E346D">
        <w:t>.</w:t>
      </w:r>
    </w:p>
    <w:p w14:paraId="0CD9A64E" w14:textId="77777777" w:rsidR="00711A01" w:rsidRPr="007E346D" w:rsidRDefault="00711A01" w:rsidP="00711A01">
      <w:pPr>
        <w:rPr>
          <w:lang w:eastAsia="zh-CN"/>
        </w:rPr>
      </w:pPr>
      <w:r w:rsidRPr="007E346D">
        <w:lastRenderedPageBreak/>
        <w:t xml:space="preserve">For a </w:t>
      </w:r>
      <w:r w:rsidRPr="007E346D">
        <w:rPr>
          <w:i/>
        </w:rPr>
        <w:t>multi-band connector</w:t>
      </w:r>
      <w:r w:rsidRPr="007E346D">
        <w:t xml:space="preserve">, the ACS requirement shall apply in addition inside any </w:t>
      </w:r>
      <w:r w:rsidRPr="0068373B">
        <w:rPr>
          <w:i/>
        </w:rPr>
        <w:t>Inter RF Bandwidth gap</w:t>
      </w:r>
      <w:r w:rsidRPr="007E346D">
        <w:t xml:space="preserve">, in case the </w:t>
      </w:r>
      <w:r w:rsidRPr="0068373B">
        <w:rPr>
          <w:i/>
        </w:rPr>
        <w:t>Inter RF Bandwidth gap</w:t>
      </w:r>
      <w:r w:rsidRPr="007E346D">
        <w:t xml:space="preserve"> size is at least as wide as the NR interfering signal in table 7.4.1.</w:t>
      </w:r>
      <w:r>
        <w:t>3</w:t>
      </w:r>
      <w:r w:rsidRPr="007E346D">
        <w:noBreakHyphen/>
        <w:t xml:space="preserve">2. The interfering signal offset is defined relative to the </w:t>
      </w:r>
      <w:r>
        <w:rPr>
          <w:i/>
        </w:rPr>
        <w:t>IAB-MT</w:t>
      </w:r>
      <w:r w:rsidRPr="007A7019">
        <w:rPr>
          <w:i/>
        </w:rPr>
        <w:t xml:space="preserve"> RF Bandwidth edges</w:t>
      </w:r>
      <w:r w:rsidRPr="007E346D">
        <w:t xml:space="preserve"> inside the </w:t>
      </w:r>
      <w:r w:rsidRPr="0068373B">
        <w:rPr>
          <w:i/>
        </w:rPr>
        <w:t>Inter RF Bandwidth gap</w:t>
      </w:r>
      <w:r w:rsidRPr="007E346D">
        <w:t>.</w:t>
      </w:r>
    </w:p>
    <w:p w14:paraId="14CDC7EB" w14:textId="77777777" w:rsidR="00711A01" w:rsidRPr="00E26D09" w:rsidRDefault="00711A01" w:rsidP="00711A01">
      <w:pPr>
        <w:rPr>
          <w:lang w:eastAsia="zh-CN"/>
        </w:rPr>
      </w:pPr>
      <w:r w:rsidRPr="00E26D09">
        <w:rPr>
          <w:lang w:eastAsia="zh-CN"/>
        </w:rPr>
        <w:t xml:space="preserve">Minimum conducted requirement is defined at the </w:t>
      </w:r>
      <w:r w:rsidRPr="00E26D09">
        <w:rPr>
          <w:i/>
          <w:lang w:eastAsia="zh-CN"/>
        </w:rPr>
        <w:t>TAB connector</w:t>
      </w:r>
      <w:r w:rsidRPr="00E26D09">
        <w:rPr>
          <w:lang w:eastAsia="zh-CN"/>
        </w:rPr>
        <w:t xml:space="preserve"> for </w:t>
      </w:r>
      <w:r>
        <w:rPr>
          <w:i/>
          <w:lang w:eastAsia="zh-CN"/>
        </w:rPr>
        <w:t>IAB-MT</w:t>
      </w:r>
      <w:r w:rsidRPr="00E26D09">
        <w:rPr>
          <w:i/>
          <w:lang w:eastAsia="zh-CN"/>
        </w:rPr>
        <w:t xml:space="preserve"> type 1-H.</w:t>
      </w:r>
    </w:p>
    <w:p w14:paraId="357B4416" w14:textId="77777777" w:rsidR="00711A01" w:rsidRPr="007E346D" w:rsidRDefault="00711A01" w:rsidP="00711A01">
      <w:pPr>
        <w:pStyle w:val="TH"/>
        <w:rPr>
          <w:lang w:eastAsia="zh-CN"/>
        </w:rPr>
      </w:pPr>
      <w:r w:rsidRPr="007E346D">
        <w:t xml:space="preserve">Table </w:t>
      </w:r>
      <w:r w:rsidRPr="007E346D">
        <w:rPr>
          <w:lang w:eastAsia="zh-CN"/>
        </w:rPr>
        <w:t>7.4.1.</w:t>
      </w:r>
      <w:r>
        <w:rPr>
          <w:lang w:eastAsia="zh-CN"/>
        </w:rPr>
        <w:t>3</w:t>
      </w:r>
      <w:r w:rsidRPr="007E346D">
        <w:t>-</w:t>
      </w:r>
      <w:r w:rsidRPr="007E346D">
        <w:rPr>
          <w:lang w:eastAsia="zh-CN"/>
        </w:rPr>
        <w:t>1</w:t>
      </w:r>
      <w:r w:rsidRPr="007E346D">
        <w:t>: A</w:t>
      </w:r>
      <w:r w:rsidRPr="007E346D">
        <w:rPr>
          <w:lang w:eastAsia="zh-CN"/>
        </w:rPr>
        <w:t>CS requirement</w:t>
      </w:r>
      <w:r>
        <w:rPr>
          <w:lang w:eastAsia="zh-CN"/>
        </w:rPr>
        <w:t xml:space="preserve"> for IAB-MT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8"/>
        <w:gridCol w:w="1792"/>
        <w:gridCol w:w="2240"/>
      </w:tblGrid>
      <w:tr w:rsidR="00711A01" w:rsidRPr="007E346D" w14:paraId="47956BF8" w14:textId="77777777" w:rsidTr="00BD1F8C">
        <w:trPr>
          <w:trHeight w:val="629"/>
          <w:jc w:val="center"/>
        </w:trPr>
        <w:tc>
          <w:tcPr>
            <w:tcW w:w="1948" w:type="dxa"/>
            <w:tcBorders>
              <w:top w:val="single" w:sz="4" w:space="0" w:color="auto"/>
              <w:left w:val="single" w:sz="4" w:space="0" w:color="auto"/>
              <w:bottom w:val="single" w:sz="4" w:space="0" w:color="auto"/>
              <w:right w:val="single" w:sz="4" w:space="0" w:color="auto"/>
            </w:tcBorders>
          </w:tcPr>
          <w:p w14:paraId="54EFBEEE" w14:textId="77777777" w:rsidR="00711A01" w:rsidRPr="007E346D" w:rsidRDefault="00711A01" w:rsidP="00BD1F8C">
            <w:pPr>
              <w:pStyle w:val="TAH"/>
              <w:tabs>
                <w:tab w:val="left" w:pos="540"/>
                <w:tab w:val="left" w:pos="1260"/>
                <w:tab w:val="left" w:pos="1800"/>
              </w:tabs>
            </w:pPr>
            <w:r>
              <w:rPr>
                <w:i/>
              </w:rPr>
              <w:t xml:space="preserve">IAB-MT </w:t>
            </w:r>
            <w:r w:rsidRPr="007E346D">
              <w:rPr>
                <w:i/>
              </w:rPr>
              <w:t xml:space="preserve"> channel bandwidth</w:t>
            </w:r>
            <w:r w:rsidRPr="007E346D">
              <w:t xml:space="preserve"> of the lowest/</w:t>
            </w:r>
            <w:r w:rsidRPr="007A7019">
              <w:rPr>
                <w:i/>
              </w:rPr>
              <w:t>highest carrier</w:t>
            </w:r>
            <w:r w:rsidRPr="007E346D">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0C7CA07B" w14:textId="77777777" w:rsidR="00711A01" w:rsidRPr="007E346D" w:rsidRDefault="00711A01" w:rsidP="00BD1F8C">
            <w:pPr>
              <w:pStyle w:val="TAH"/>
              <w:tabs>
                <w:tab w:val="left" w:pos="540"/>
                <w:tab w:val="left" w:pos="1260"/>
                <w:tab w:val="left" w:pos="1800"/>
              </w:tabs>
              <w:rPr>
                <w:lang w:eastAsia="ja-JP"/>
              </w:rPr>
            </w:pPr>
            <w:r w:rsidRPr="007E346D">
              <w:t>Wanted signal mean power (dBm)</w:t>
            </w:r>
          </w:p>
        </w:tc>
        <w:tc>
          <w:tcPr>
            <w:tcW w:w="2240" w:type="dxa"/>
            <w:tcBorders>
              <w:top w:val="single" w:sz="4" w:space="0" w:color="auto"/>
              <w:left w:val="single" w:sz="4" w:space="0" w:color="auto"/>
              <w:bottom w:val="single" w:sz="4" w:space="0" w:color="auto"/>
              <w:right w:val="single" w:sz="4" w:space="0" w:color="auto"/>
            </w:tcBorders>
            <w:hideMark/>
          </w:tcPr>
          <w:p w14:paraId="2425575E" w14:textId="77777777" w:rsidR="00711A01" w:rsidRPr="007E346D" w:rsidRDefault="00711A01" w:rsidP="00BD1F8C">
            <w:pPr>
              <w:pStyle w:val="TAH"/>
              <w:tabs>
                <w:tab w:val="left" w:pos="540"/>
                <w:tab w:val="left" w:pos="1260"/>
                <w:tab w:val="left" w:pos="1800"/>
              </w:tabs>
              <w:rPr>
                <w:lang w:eastAsia="ja-JP"/>
              </w:rPr>
            </w:pPr>
            <w:r w:rsidRPr="007E346D">
              <w:rPr>
                <w:rFonts w:cs="Arial"/>
              </w:rPr>
              <w:t>Interfering signal mean power (dBm)</w:t>
            </w:r>
          </w:p>
        </w:tc>
      </w:tr>
      <w:tr w:rsidR="00711A01" w:rsidRPr="007E346D" w14:paraId="147539F7" w14:textId="77777777" w:rsidTr="00BD1F8C">
        <w:trPr>
          <w:trHeight w:val="487"/>
          <w:jc w:val="center"/>
        </w:trPr>
        <w:tc>
          <w:tcPr>
            <w:tcW w:w="1948" w:type="dxa"/>
            <w:tcBorders>
              <w:top w:val="single" w:sz="4" w:space="0" w:color="auto"/>
              <w:left w:val="single" w:sz="4" w:space="0" w:color="auto"/>
              <w:bottom w:val="single" w:sz="4" w:space="0" w:color="auto"/>
              <w:right w:val="single" w:sz="4" w:space="0" w:color="auto"/>
            </w:tcBorders>
          </w:tcPr>
          <w:p w14:paraId="4A5BD31F" w14:textId="55F50475" w:rsidR="00711A01" w:rsidRPr="007E346D" w:rsidRDefault="002E1777" w:rsidP="004C7013">
            <w:pPr>
              <w:pStyle w:val="TAC"/>
              <w:rPr>
                <w:lang w:eastAsia="zh-CN"/>
              </w:rPr>
            </w:pPr>
            <w:r w:rsidRPr="007E346D">
              <w:rPr>
                <w:lang w:eastAsia="zh-CN"/>
              </w:rPr>
              <w:t xml:space="preserve">10, 15, 20, </w:t>
            </w:r>
            <w:r w:rsidRPr="007E346D">
              <w:rPr>
                <w:lang w:eastAsia="zh-CN"/>
              </w:rPr>
              <w:br/>
              <w:t xml:space="preserve">25, 30, 40, 50, 60, 70, 80, 90, 100  </w:t>
            </w:r>
            <w:r w:rsidRPr="007E346D">
              <w:rPr>
                <w:lang w:eastAsia="zh-CN"/>
              </w:rPr>
              <w:br/>
              <w:t>(Note 1)</w:t>
            </w:r>
          </w:p>
        </w:tc>
        <w:tc>
          <w:tcPr>
            <w:tcW w:w="1792" w:type="dxa"/>
            <w:tcBorders>
              <w:top w:val="single" w:sz="4" w:space="0" w:color="auto"/>
              <w:left w:val="single" w:sz="4" w:space="0" w:color="auto"/>
              <w:bottom w:val="single" w:sz="4" w:space="0" w:color="auto"/>
              <w:right w:val="single" w:sz="4" w:space="0" w:color="auto"/>
            </w:tcBorders>
            <w:hideMark/>
          </w:tcPr>
          <w:p w14:paraId="3FBF37C9" w14:textId="77777777" w:rsidR="00711A01" w:rsidRPr="007E346D" w:rsidRDefault="00711A01" w:rsidP="004C7013">
            <w:pPr>
              <w:pStyle w:val="TAC"/>
              <w:rPr>
                <w:lang w:eastAsia="ja-JP"/>
              </w:rPr>
            </w:pPr>
            <w:r w:rsidRPr="007E346D">
              <w:rPr>
                <w:rFonts w:cs="Arial"/>
              </w:rPr>
              <w:t>P</w:t>
            </w:r>
            <w:r w:rsidRPr="007E346D">
              <w:rPr>
                <w:rFonts w:cs="Arial"/>
                <w:vertAlign w:val="subscript"/>
              </w:rPr>
              <w:t>REFSENS</w:t>
            </w:r>
            <w:r w:rsidRPr="007E346D">
              <w:t xml:space="preserve"> + 6 dB</w:t>
            </w:r>
          </w:p>
        </w:tc>
        <w:tc>
          <w:tcPr>
            <w:tcW w:w="2240" w:type="dxa"/>
            <w:tcBorders>
              <w:top w:val="single" w:sz="4" w:space="0" w:color="auto"/>
              <w:left w:val="single" w:sz="4" w:space="0" w:color="auto"/>
              <w:bottom w:val="single" w:sz="4" w:space="0" w:color="auto"/>
              <w:right w:val="single" w:sz="4" w:space="0" w:color="auto"/>
            </w:tcBorders>
            <w:hideMark/>
          </w:tcPr>
          <w:p w14:paraId="25CBE699" w14:textId="77777777" w:rsidR="00711A01" w:rsidRDefault="00711A01" w:rsidP="004C7013">
            <w:pPr>
              <w:pStyle w:val="TAC"/>
              <w:rPr>
                <w:lang w:eastAsia="zh-CN"/>
              </w:rPr>
            </w:pPr>
            <w:r w:rsidRPr="00EC34D6">
              <w:rPr>
                <w:lang w:eastAsia="zh-CN"/>
              </w:rPr>
              <w:t>Wide Area</w:t>
            </w:r>
            <w:r>
              <w:rPr>
                <w:lang w:eastAsia="zh-CN"/>
              </w:rPr>
              <w:t xml:space="preserve"> IAB-MT</w:t>
            </w:r>
            <w:r w:rsidRPr="00EC34D6">
              <w:rPr>
                <w:lang w:eastAsia="zh-CN"/>
              </w:rPr>
              <w:t>: -52</w:t>
            </w:r>
          </w:p>
          <w:p w14:paraId="1A5A477D" w14:textId="4ECF3E9D" w:rsidR="00711A01" w:rsidRPr="007E346D" w:rsidRDefault="00711A01" w:rsidP="004C7013">
            <w:pPr>
              <w:pStyle w:val="TAC"/>
              <w:rPr>
                <w:lang w:eastAsia="zh-CN"/>
              </w:rPr>
            </w:pPr>
            <w:r w:rsidRPr="007257AD">
              <w:rPr>
                <w:lang w:eastAsia="zh-CN"/>
              </w:rPr>
              <w:t xml:space="preserve">Local Area </w:t>
            </w:r>
            <w:r>
              <w:rPr>
                <w:lang w:eastAsia="zh-CN"/>
              </w:rPr>
              <w:t>IAB-MT</w:t>
            </w:r>
            <w:r w:rsidRPr="007257AD">
              <w:rPr>
                <w:lang w:eastAsia="zh-CN"/>
              </w:rPr>
              <w:t>: -44</w:t>
            </w:r>
          </w:p>
        </w:tc>
      </w:tr>
      <w:tr w:rsidR="00711A01" w:rsidRPr="007E346D" w14:paraId="2F160563" w14:textId="77777777" w:rsidTr="00BD1F8C">
        <w:trPr>
          <w:trHeight w:val="491"/>
          <w:jc w:val="center"/>
        </w:trPr>
        <w:tc>
          <w:tcPr>
            <w:tcW w:w="5980" w:type="dxa"/>
            <w:gridSpan w:val="3"/>
            <w:tcBorders>
              <w:top w:val="single" w:sz="4" w:space="0" w:color="auto"/>
              <w:left w:val="single" w:sz="4" w:space="0" w:color="auto"/>
              <w:bottom w:val="single" w:sz="4" w:space="0" w:color="auto"/>
              <w:right w:val="single" w:sz="4" w:space="0" w:color="auto"/>
            </w:tcBorders>
          </w:tcPr>
          <w:p w14:paraId="7F3F00FE" w14:textId="33B8D43F" w:rsidR="00711A01" w:rsidRPr="007E346D" w:rsidRDefault="002E1777" w:rsidP="004C7013">
            <w:pPr>
              <w:pStyle w:val="TAN"/>
              <w:rPr>
                <w:lang w:eastAsia="zh-CN"/>
              </w:rPr>
            </w:pPr>
            <w:r w:rsidRPr="007E346D">
              <w:rPr>
                <w:lang w:eastAsia="zh-CN"/>
              </w:rPr>
              <w:t>NOTE 1:</w:t>
            </w:r>
            <w:r w:rsidRPr="007E346D">
              <w:rPr>
                <w:lang w:eastAsia="zh-CN"/>
              </w:rPr>
              <w:tab/>
              <w:t xml:space="preserve">The SCS for the lowest/highest carrier received is the lowest SCS supported by the </w:t>
            </w:r>
            <w:r w:rsidRPr="00D116F7">
              <w:rPr>
                <w:lang w:val="en-US" w:eastAsia="zh-CN"/>
              </w:rPr>
              <w:t>IAB-</w:t>
            </w:r>
            <w:r>
              <w:rPr>
                <w:lang w:val="en-US" w:eastAsia="zh-CN"/>
              </w:rPr>
              <w:t>MT</w:t>
            </w:r>
            <w:r w:rsidRPr="007E346D">
              <w:rPr>
                <w:lang w:eastAsia="zh-CN"/>
              </w:rPr>
              <w:t xml:space="preserve"> for that bandwidth.</w:t>
            </w:r>
          </w:p>
        </w:tc>
      </w:tr>
    </w:tbl>
    <w:p w14:paraId="7AD97D34" w14:textId="77777777" w:rsidR="00711A01" w:rsidRPr="00E26D09" w:rsidRDefault="00711A01" w:rsidP="00711A01">
      <w:pPr>
        <w:rPr>
          <w:lang w:eastAsia="zh-CN"/>
        </w:rPr>
      </w:pPr>
    </w:p>
    <w:p w14:paraId="04A536B8" w14:textId="77777777" w:rsidR="00711A01" w:rsidRPr="00E26D09" w:rsidRDefault="00711A01" w:rsidP="00711A01">
      <w:pPr>
        <w:pStyle w:val="TH"/>
      </w:pPr>
      <w:r w:rsidRPr="00E26D09">
        <w:t xml:space="preserve">Table </w:t>
      </w:r>
      <w:r w:rsidRPr="00E26D09">
        <w:rPr>
          <w:lang w:eastAsia="zh-CN"/>
        </w:rPr>
        <w:t>7.4.1.</w:t>
      </w:r>
      <w:r>
        <w:rPr>
          <w:lang w:eastAsia="zh-CN"/>
        </w:rPr>
        <w:t>3</w:t>
      </w:r>
      <w:r w:rsidRPr="00E26D09">
        <w:t>-</w:t>
      </w:r>
      <w:r w:rsidRPr="00E26D09">
        <w:rPr>
          <w:lang w:eastAsia="zh-CN"/>
        </w:rPr>
        <w:t>2</w:t>
      </w:r>
      <w:r w:rsidRPr="00E26D09">
        <w:t xml:space="preserve">: </w:t>
      </w:r>
      <w:r>
        <w:t>IAB-MT</w:t>
      </w:r>
      <w:r w:rsidRPr="00E26D09">
        <w:t xml:space="preserve"> A</w:t>
      </w:r>
      <w:r w:rsidRPr="00E26D09">
        <w:rPr>
          <w:lang w:eastAsia="zh-CN"/>
        </w:rPr>
        <w:t>CS interferer frequency offset values</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2646"/>
        <w:gridCol w:w="2693"/>
      </w:tblGrid>
      <w:tr w:rsidR="00711A01" w:rsidRPr="00E26D09" w14:paraId="20BF909D" w14:textId="77777777" w:rsidTr="004C7013">
        <w:tc>
          <w:tcPr>
            <w:tcW w:w="1842" w:type="dxa"/>
            <w:shd w:val="clear" w:color="auto" w:fill="auto"/>
          </w:tcPr>
          <w:p w14:paraId="5130EA03" w14:textId="77777777" w:rsidR="00711A01" w:rsidRPr="00E26D09" w:rsidRDefault="00711A01" w:rsidP="00BD1F8C">
            <w:pPr>
              <w:pStyle w:val="TAH"/>
              <w:rPr>
                <w:lang w:eastAsia="zh-CN"/>
              </w:rPr>
            </w:pPr>
            <w:r>
              <w:rPr>
                <w:i/>
              </w:rPr>
              <w:t>IAB-MT</w:t>
            </w:r>
            <w:r w:rsidRPr="007E346D">
              <w:rPr>
                <w:i/>
              </w:rPr>
              <w:t xml:space="preserve"> channel bandwidth</w:t>
            </w:r>
            <w:r w:rsidRPr="007E346D">
              <w:t xml:space="preserve"> of the </w:t>
            </w:r>
            <w:r w:rsidRPr="007A7019">
              <w:rPr>
                <w:i/>
              </w:rPr>
              <w:t>lowest/highest carrier</w:t>
            </w:r>
            <w:r w:rsidRPr="007E346D">
              <w:t xml:space="preserve"> received (MHz)</w:t>
            </w:r>
          </w:p>
        </w:tc>
        <w:tc>
          <w:tcPr>
            <w:tcW w:w="2646" w:type="dxa"/>
            <w:shd w:val="clear" w:color="auto" w:fill="auto"/>
          </w:tcPr>
          <w:p w14:paraId="5C8E65A1" w14:textId="77777777" w:rsidR="00711A01" w:rsidRPr="00E26D09" w:rsidRDefault="00711A01" w:rsidP="00BD1F8C">
            <w:pPr>
              <w:pStyle w:val="TAH"/>
              <w:rPr>
                <w:lang w:eastAsia="zh-CN"/>
              </w:rPr>
            </w:pPr>
            <w:r w:rsidRPr="007E346D">
              <w:t xml:space="preserve">Interfering signal centre frequency offset </w:t>
            </w:r>
            <w:r w:rsidRPr="007E346D">
              <w:rPr>
                <w:rFonts w:cs="Arial"/>
              </w:rPr>
              <w:t xml:space="preserve">from the lower/upper </w:t>
            </w:r>
            <w:r>
              <w:rPr>
                <w:rFonts w:cs="Arial"/>
              </w:rPr>
              <w:t>IAB-MT</w:t>
            </w:r>
            <w:r w:rsidRPr="0068373B">
              <w:rPr>
                <w:rFonts w:cs="Arial"/>
                <w:i/>
              </w:rPr>
              <w:t xml:space="preserve"> RF Bandwidth edge</w:t>
            </w:r>
            <w:r w:rsidRPr="007E346D">
              <w:rPr>
                <w:rFonts w:cs="Arial"/>
              </w:rPr>
              <w:t xml:space="preserve"> or </w:t>
            </w:r>
            <w:r w:rsidRPr="0068373B">
              <w:rPr>
                <w:rFonts w:cs="Arial"/>
                <w:i/>
              </w:rPr>
              <w:t>sub-block</w:t>
            </w:r>
            <w:r w:rsidRPr="007E346D">
              <w:rPr>
                <w:rFonts w:cs="Arial"/>
              </w:rPr>
              <w:t xml:space="preserve"> edge inside a </w:t>
            </w:r>
            <w:r w:rsidRPr="0068373B">
              <w:rPr>
                <w:rFonts w:cs="Arial"/>
                <w:i/>
              </w:rPr>
              <w:t>sub-block gap</w:t>
            </w:r>
            <w:r w:rsidRPr="007E346D">
              <w:t xml:space="preserve"> (MHz)</w:t>
            </w:r>
          </w:p>
        </w:tc>
        <w:tc>
          <w:tcPr>
            <w:tcW w:w="2693" w:type="dxa"/>
            <w:tcBorders>
              <w:bottom w:val="single" w:sz="4" w:space="0" w:color="auto"/>
            </w:tcBorders>
            <w:shd w:val="clear" w:color="auto" w:fill="auto"/>
          </w:tcPr>
          <w:p w14:paraId="5DDDCAF2" w14:textId="77777777" w:rsidR="00711A01" w:rsidRPr="00E26D09" w:rsidRDefault="00711A01" w:rsidP="00BD1F8C">
            <w:pPr>
              <w:pStyle w:val="TAH"/>
              <w:rPr>
                <w:lang w:eastAsia="zh-CN"/>
              </w:rPr>
            </w:pPr>
            <w:r w:rsidRPr="007E346D">
              <w:t>Type of interfering signal</w:t>
            </w:r>
          </w:p>
        </w:tc>
      </w:tr>
      <w:tr w:rsidR="004C7013" w:rsidRPr="00E26D09" w14:paraId="6943C82B" w14:textId="77777777" w:rsidTr="004C7013">
        <w:tc>
          <w:tcPr>
            <w:tcW w:w="1842" w:type="dxa"/>
            <w:shd w:val="clear" w:color="auto" w:fill="auto"/>
          </w:tcPr>
          <w:p w14:paraId="43B43F24" w14:textId="77777777" w:rsidR="004C7013" w:rsidRPr="00E26D09" w:rsidRDefault="004C7013" w:rsidP="002E1777">
            <w:pPr>
              <w:pStyle w:val="TAC"/>
              <w:rPr>
                <w:lang w:eastAsia="zh-CN"/>
              </w:rPr>
            </w:pPr>
            <w:r w:rsidRPr="00E26D09">
              <w:rPr>
                <w:lang w:eastAsia="zh-CN"/>
              </w:rPr>
              <w:t>10</w:t>
            </w:r>
          </w:p>
        </w:tc>
        <w:tc>
          <w:tcPr>
            <w:tcW w:w="2646" w:type="dxa"/>
            <w:shd w:val="clear" w:color="auto" w:fill="auto"/>
          </w:tcPr>
          <w:p w14:paraId="74E731E0" w14:textId="77777777" w:rsidR="004C7013" w:rsidRPr="00E26D09" w:rsidRDefault="004C7013" w:rsidP="002E1777">
            <w:pPr>
              <w:pStyle w:val="TAC"/>
              <w:rPr>
                <w:lang w:eastAsia="zh-CN"/>
              </w:rPr>
            </w:pPr>
            <w:r w:rsidRPr="00E26D09">
              <w:rPr>
                <w:rFonts w:cs="Arial"/>
              </w:rPr>
              <w:t>±</w:t>
            </w:r>
            <w:r w:rsidRPr="00E26D09">
              <w:rPr>
                <w:lang w:eastAsia="zh-CN"/>
              </w:rPr>
              <w:t>2.5075</w:t>
            </w:r>
          </w:p>
        </w:tc>
        <w:tc>
          <w:tcPr>
            <w:tcW w:w="2693" w:type="dxa"/>
            <w:tcBorders>
              <w:bottom w:val="nil"/>
            </w:tcBorders>
            <w:shd w:val="clear" w:color="auto" w:fill="auto"/>
          </w:tcPr>
          <w:p w14:paraId="505B5C1B" w14:textId="77777777" w:rsidR="004C7013" w:rsidRPr="00E26D09" w:rsidRDefault="004C7013" w:rsidP="002E1777">
            <w:pPr>
              <w:pStyle w:val="TAC"/>
              <w:tabs>
                <w:tab w:val="left" w:pos="540"/>
                <w:tab w:val="left" w:pos="1260"/>
                <w:tab w:val="left" w:pos="1800"/>
              </w:tabs>
              <w:rPr>
                <w:lang w:val="en-US"/>
              </w:rPr>
            </w:pPr>
            <w:r w:rsidRPr="00E26D09">
              <w:rPr>
                <w:lang w:val="en-US"/>
              </w:rPr>
              <w:t>5 MHz</w:t>
            </w:r>
            <w:r w:rsidRPr="00E26D09">
              <w:t xml:space="preserve"> </w:t>
            </w:r>
            <w:r>
              <w:t>CP</w:t>
            </w:r>
            <w:r w:rsidRPr="00E26D09">
              <w:rPr>
                <w:lang w:val="en-US"/>
              </w:rPr>
              <w:t xml:space="preserve">-OFDM </w:t>
            </w:r>
            <w:r w:rsidRPr="00E26D09">
              <w:rPr>
                <w:lang w:val="en-US" w:eastAsia="zh-CN"/>
              </w:rPr>
              <w:t>NR</w:t>
            </w:r>
            <w:r w:rsidRPr="00E26D09">
              <w:rPr>
                <w:lang w:val="en-US"/>
              </w:rPr>
              <w:t xml:space="preserve"> signal</w:t>
            </w:r>
          </w:p>
          <w:p w14:paraId="64714A7F" w14:textId="5BE94D86" w:rsidR="004C7013" w:rsidRPr="002E1777" w:rsidRDefault="004C7013" w:rsidP="002E1777">
            <w:pPr>
              <w:pStyle w:val="TAC"/>
              <w:rPr>
                <w:lang w:eastAsia="zh-CN"/>
              </w:rPr>
            </w:pPr>
            <w:r w:rsidRPr="00743313">
              <w:t>15 kHz SCS, 25 RBs</w:t>
            </w:r>
          </w:p>
        </w:tc>
      </w:tr>
      <w:tr w:rsidR="004C7013" w:rsidRPr="00E26D09" w14:paraId="33F00077" w14:textId="77777777" w:rsidTr="004C7013">
        <w:tc>
          <w:tcPr>
            <w:tcW w:w="1842" w:type="dxa"/>
            <w:shd w:val="clear" w:color="auto" w:fill="auto"/>
          </w:tcPr>
          <w:p w14:paraId="6863183F" w14:textId="77777777" w:rsidR="004C7013" w:rsidRPr="00E26D09" w:rsidRDefault="004C7013" w:rsidP="002E1777">
            <w:pPr>
              <w:pStyle w:val="TAC"/>
              <w:rPr>
                <w:lang w:eastAsia="zh-CN"/>
              </w:rPr>
            </w:pPr>
            <w:r w:rsidRPr="00E26D09">
              <w:rPr>
                <w:lang w:eastAsia="zh-CN"/>
              </w:rPr>
              <w:t>15</w:t>
            </w:r>
          </w:p>
        </w:tc>
        <w:tc>
          <w:tcPr>
            <w:tcW w:w="2646" w:type="dxa"/>
            <w:shd w:val="clear" w:color="auto" w:fill="auto"/>
          </w:tcPr>
          <w:p w14:paraId="3CA6280A" w14:textId="77777777" w:rsidR="004C7013" w:rsidRPr="00E26D09" w:rsidRDefault="004C7013" w:rsidP="002E1777">
            <w:pPr>
              <w:pStyle w:val="TAC"/>
              <w:rPr>
                <w:lang w:eastAsia="zh-CN"/>
              </w:rPr>
            </w:pPr>
            <w:r w:rsidRPr="00E26D09">
              <w:rPr>
                <w:rFonts w:cs="Arial"/>
              </w:rPr>
              <w:t>±</w:t>
            </w:r>
            <w:r w:rsidRPr="00E26D09">
              <w:rPr>
                <w:lang w:eastAsia="zh-CN"/>
              </w:rPr>
              <w:t>2.5125</w:t>
            </w:r>
          </w:p>
        </w:tc>
        <w:tc>
          <w:tcPr>
            <w:tcW w:w="2693" w:type="dxa"/>
            <w:tcBorders>
              <w:top w:val="nil"/>
              <w:bottom w:val="nil"/>
            </w:tcBorders>
            <w:shd w:val="clear" w:color="auto" w:fill="auto"/>
          </w:tcPr>
          <w:p w14:paraId="4D5AEAD6" w14:textId="77777777" w:rsidR="004C7013" w:rsidRPr="00E26D09" w:rsidRDefault="004C7013" w:rsidP="002E1777">
            <w:pPr>
              <w:pStyle w:val="TAC"/>
              <w:rPr>
                <w:lang w:val="sv-SE" w:eastAsia="zh-CN"/>
              </w:rPr>
            </w:pPr>
          </w:p>
        </w:tc>
      </w:tr>
      <w:tr w:rsidR="004C7013" w:rsidRPr="00E26D09" w14:paraId="0B403955" w14:textId="77777777" w:rsidTr="004C7013">
        <w:tc>
          <w:tcPr>
            <w:tcW w:w="1842" w:type="dxa"/>
            <w:shd w:val="clear" w:color="auto" w:fill="auto"/>
          </w:tcPr>
          <w:p w14:paraId="194E9E37" w14:textId="77777777" w:rsidR="004C7013" w:rsidRPr="00E26D09" w:rsidRDefault="004C7013" w:rsidP="002E1777">
            <w:pPr>
              <w:pStyle w:val="TAC"/>
              <w:rPr>
                <w:lang w:eastAsia="zh-CN"/>
              </w:rPr>
            </w:pPr>
            <w:r w:rsidRPr="00E26D09">
              <w:rPr>
                <w:lang w:eastAsia="zh-CN"/>
              </w:rPr>
              <w:t>20</w:t>
            </w:r>
          </w:p>
        </w:tc>
        <w:tc>
          <w:tcPr>
            <w:tcW w:w="2646" w:type="dxa"/>
            <w:shd w:val="clear" w:color="auto" w:fill="auto"/>
          </w:tcPr>
          <w:p w14:paraId="7818544E" w14:textId="77777777" w:rsidR="004C7013" w:rsidRPr="00E26D09" w:rsidRDefault="004C7013" w:rsidP="002E1777">
            <w:pPr>
              <w:pStyle w:val="TAC"/>
              <w:rPr>
                <w:lang w:eastAsia="zh-CN"/>
              </w:rPr>
            </w:pPr>
            <w:r w:rsidRPr="00E26D09">
              <w:rPr>
                <w:rFonts w:cs="Arial"/>
              </w:rPr>
              <w:t>±</w:t>
            </w:r>
            <w:r w:rsidRPr="00E26D09">
              <w:rPr>
                <w:lang w:eastAsia="zh-CN"/>
              </w:rPr>
              <w:t>2.5025</w:t>
            </w:r>
          </w:p>
        </w:tc>
        <w:tc>
          <w:tcPr>
            <w:tcW w:w="2693" w:type="dxa"/>
            <w:tcBorders>
              <w:top w:val="nil"/>
              <w:bottom w:val="single" w:sz="4" w:space="0" w:color="auto"/>
            </w:tcBorders>
            <w:shd w:val="clear" w:color="auto" w:fill="auto"/>
          </w:tcPr>
          <w:p w14:paraId="58673A9B" w14:textId="77777777" w:rsidR="004C7013" w:rsidRPr="00E26D09" w:rsidRDefault="004C7013" w:rsidP="002E1777">
            <w:pPr>
              <w:pStyle w:val="TAC"/>
              <w:rPr>
                <w:lang w:val="sv-SE" w:eastAsia="zh-CN"/>
              </w:rPr>
            </w:pPr>
          </w:p>
        </w:tc>
      </w:tr>
      <w:tr w:rsidR="004C7013" w:rsidRPr="00E26D09" w14:paraId="5DDA2D3C" w14:textId="77777777" w:rsidTr="004C7013">
        <w:tc>
          <w:tcPr>
            <w:tcW w:w="1842" w:type="dxa"/>
            <w:shd w:val="clear" w:color="auto" w:fill="auto"/>
          </w:tcPr>
          <w:p w14:paraId="39E4305F" w14:textId="77777777" w:rsidR="004C7013" w:rsidRPr="00E26D09" w:rsidRDefault="004C7013" w:rsidP="002E1777">
            <w:pPr>
              <w:pStyle w:val="TAC"/>
              <w:rPr>
                <w:lang w:eastAsia="zh-CN"/>
              </w:rPr>
            </w:pPr>
            <w:r w:rsidRPr="00E26D09">
              <w:rPr>
                <w:lang w:eastAsia="zh-CN"/>
              </w:rPr>
              <w:t>25</w:t>
            </w:r>
          </w:p>
        </w:tc>
        <w:tc>
          <w:tcPr>
            <w:tcW w:w="2646" w:type="dxa"/>
            <w:shd w:val="clear" w:color="auto" w:fill="auto"/>
          </w:tcPr>
          <w:p w14:paraId="022072B9"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9.4675</w:t>
            </w:r>
          </w:p>
        </w:tc>
        <w:tc>
          <w:tcPr>
            <w:tcW w:w="2693" w:type="dxa"/>
            <w:tcBorders>
              <w:bottom w:val="nil"/>
            </w:tcBorders>
            <w:shd w:val="clear" w:color="auto" w:fill="auto"/>
          </w:tcPr>
          <w:p w14:paraId="31DDDE40" w14:textId="77777777" w:rsidR="004C7013" w:rsidRPr="00E26D09" w:rsidRDefault="004C7013" w:rsidP="002E1777">
            <w:pPr>
              <w:pStyle w:val="TAC"/>
              <w:tabs>
                <w:tab w:val="left" w:pos="540"/>
                <w:tab w:val="left" w:pos="1260"/>
                <w:tab w:val="left" w:pos="1800"/>
              </w:tabs>
              <w:rPr>
                <w:lang w:val="en-US"/>
              </w:rPr>
            </w:pPr>
            <w:r w:rsidRPr="00E26D09">
              <w:rPr>
                <w:lang w:val="en-US"/>
              </w:rPr>
              <w:t xml:space="preserve">20 MHz </w:t>
            </w:r>
            <w:r>
              <w:rPr>
                <w:lang w:val="en-US"/>
              </w:rPr>
              <w:t>CP</w:t>
            </w:r>
            <w:r w:rsidRPr="00E26D09">
              <w:rPr>
                <w:lang w:val="en-US"/>
              </w:rPr>
              <w:t xml:space="preserve">-OFDM </w:t>
            </w:r>
            <w:r w:rsidRPr="00E26D09">
              <w:rPr>
                <w:lang w:val="en-US" w:eastAsia="zh-CN"/>
              </w:rPr>
              <w:t>NR</w:t>
            </w:r>
            <w:r w:rsidRPr="00E26D09">
              <w:rPr>
                <w:lang w:val="en-US"/>
              </w:rPr>
              <w:t xml:space="preserve"> signal</w:t>
            </w:r>
          </w:p>
          <w:p w14:paraId="27A41C30" w14:textId="77777777" w:rsidR="004C7013" w:rsidRPr="00743313" w:rsidRDefault="004C7013" w:rsidP="002E1777">
            <w:pPr>
              <w:pStyle w:val="TAC"/>
              <w:rPr>
                <w:lang w:eastAsia="zh-CN"/>
              </w:rPr>
            </w:pPr>
            <w:r w:rsidRPr="00743313">
              <w:t>15 kHz SCS, 100 RBs</w:t>
            </w:r>
          </w:p>
        </w:tc>
      </w:tr>
      <w:tr w:rsidR="004C7013" w:rsidRPr="00E26D09" w14:paraId="47E84538" w14:textId="77777777" w:rsidTr="004C7013">
        <w:tc>
          <w:tcPr>
            <w:tcW w:w="1842" w:type="dxa"/>
            <w:shd w:val="clear" w:color="auto" w:fill="auto"/>
          </w:tcPr>
          <w:p w14:paraId="160641CC" w14:textId="77777777" w:rsidR="004C7013" w:rsidRPr="00E26D09" w:rsidRDefault="004C7013" w:rsidP="002E1777">
            <w:pPr>
              <w:pStyle w:val="TAC"/>
              <w:rPr>
                <w:lang w:eastAsia="zh-CN"/>
              </w:rPr>
            </w:pPr>
            <w:r w:rsidRPr="00E26D09">
              <w:rPr>
                <w:lang w:eastAsia="zh-CN"/>
              </w:rPr>
              <w:t>30</w:t>
            </w:r>
          </w:p>
        </w:tc>
        <w:tc>
          <w:tcPr>
            <w:tcW w:w="2646" w:type="dxa"/>
            <w:shd w:val="clear" w:color="auto" w:fill="auto"/>
          </w:tcPr>
          <w:p w14:paraId="0916F146"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9.4725</w:t>
            </w:r>
          </w:p>
        </w:tc>
        <w:tc>
          <w:tcPr>
            <w:tcW w:w="2693" w:type="dxa"/>
            <w:tcBorders>
              <w:top w:val="nil"/>
              <w:bottom w:val="nil"/>
            </w:tcBorders>
            <w:shd w:val="clear" w:color="auto" w:fill="auto"/>
          </w:tcPr>
          <w:p w14:paraId="5032CCD1" w14:textId="77777777" w:rsidR="004C7013" w:rsidRPr="00E26D09" w:rsidRDefault="004C7013" w:rsidP="002E1777">
            <w:pPr>
              <w:pStyle w:val="TAC"/>
              <w:rPr>
                <w:lang w:eastAsia="zh-CN"/>
              </w:rPr>
            </w:pPr>
          </w:p>
        </w:tc>
      </w:tr>
      <w:tr w:rsidR="004C7013" w:rsidRPr="00E26D09" w14:paraId="22FA272C" w14:textId="77777777" w:rsidTr="004C7013">
        <w:tc>
          <w:tcPr>
            <w:tcW w:w="1842" w:type="dxa"/>
            <w:shd w:val="clear" w:color="auto" w:fill="auto"/>
          </w:tcPr>
          <w:p w14:paraId="34B44046" w14:textId="77777777" w:rsidR="004C7013" w:rsidRPr="00E26D09" w:rsidRDefault="004C7013" w:rsidP="002E1777">
            <w:pPr>
              <w:pStyle w:val="TAC"/>
              <w:rPr>
                <w:lang w:eastAsia="zh-CN"/>
              </w:rPr>
            </w:pPr>
            <w:r w:rsidRPr="00E26D09">
              <w:rPr>
                <w:lang w:eastAsia="zh-CN"/>
              </w:rPr>
              <w:t>40</w:t>
            </w:r>
          </w:p>
        </w:tc>
        <w:tc>
          <w:tcPr>
            <w:tcW w:w="2646" w:type="dxa"/>
            <w:shd w:val="clear" w:color="auto" w:fill="auto"/>
          </w:tcPr>
          <w:p w14:paraId="0212897C"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9.4675</w:t>
            </w:r>
          </w:p>
        </w:tc>
        <w:tc>
          <w:tcPr>
            <w:tcW w:w="2693" w:type="dxa"/>
            <w:tcBorders>
              <w:top w:val="nil"/>
              <w:bottom w:val="nil"/>
            </w:tcBorders>
            <w:shd w:val="clear" w:color="auto" w:fill="auto"/>
          </w:tcPr>
          <w:p w14:paraId="1C311B89" w14:textId="77777777" w:rsidR="004C7013" w:rsidRPr="00E26D09" w:rsidRDefault="004C7013" w:rsidP="002E1777">
            <w:pPr>
              <w:pStyle w:val="TAC"/>
              <w:rPr>
                <w:lang w:eastAsia="zh-CN"/>
              </w:rPr>
            </w:pPr>
          </w:p>
        </w:tc>
      </w:tr>
      <w:tr w:rsidR="004C7013" w:rsidRPr="00E26D09" w14:paraId="0B04AF8F" w14:textId="77777777" w:rsidTr="004C7013">
        <w:tc>
          <w:tcPr>
            <w:tcW w:w="1842" w:type="dxa"/>
            <w:shd w:val="clear" w:color="auto" w:fill="auto"/>
          </w:tcPr>
          <w:p w14:paraId="71BD89A4" w14:textId="77777777" w:rsidR="004C7013" w:rsidRPr="00E26D09" w:rsidRDefault="004C7013" w:rsidP="002E1777">
            <w:pPr>
              <w:pStyle w:val="TAC"/>
              <w:rPr>
                <w:lang w:eastAsia="zh-CN"/>
              </w:rPr>
            </w:pPr>
            <w:r w:rsidRPr="00E26D09">
              <w:rPr>
                <w:lang w:eastAsia="zh-CN"/>
              </w:rPr>
              <w:t>50</w:t>
            </w:r>
          </w:p>
        </w:tc>
        <w:tc>
          <w:tcPr>
            <w:tcW w:w="2646" w:type="dxa"/>
            <w:shd w:val="clear" w:color="auto" w:fill="auto"/>
          </w:tcPr>
          <w:p w14:paraId="0F563D6F"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9.4625</w:t>
            </w:r>
          </w:p>
        </w:tc>
        <w:tc>
          <w:tcPr>
            <w:tcW w:w="2693" w:type="dxa"/>
            <w:tcBorders>
              <w:top w:val="nil"/>
              <w:bottom w:val="nil"/>
            </w:tcBorders>
            <w:shd w:val="clear" w:color="auto" w:fill="auto"/>
          </w:tcPr>
          <w:p w14:paraId="7A7F91AE" w14:textId="77777777" w:rsidR="004C7013" w:rsidRPr="00E26D09" w:rsidRDefault="004C7013" w:rsidP="002E1777">
            <w:pPr>
              <w:pStyle w:val="TAC"/>
              <w:rPr>
                <w:lang w:eastAsia="zh-CN"/>
              </w:rPr>
            </w:pPr>
          </w:p>
        </w:tc>
      </w:tr>
      <w:tr w:rsidR="004C7013" w:rsidRPr="00E26D09" w14:paraId="6E1B619E" w14:textId="77777777" w:rsidTr="004C7013">
        <w:tc>
          <w:tcPr>
            <w:tcW w:w="1842" w:type="dxa"/>
            <w:shd w:val="clear" w:color="auto" w:fill="auto"/>
          </w:tcPr>
          <w:p w14:paraId="4DCFB16D" w14:textId="77777777" w:rsidR="004C7013" w:rsidRPr="00E26D09" w:rsidRDefault="004C7013" w:rsidP="002E1777">
            <w:pPr>
              <w:pStyle w:val="TAC"/>
              <w:rPr>
                <w:lang w:eastAsia="zh-CN"/>
              </w:rPr>
            </w:pPr>
            <w:r w:rsidRPr="00E26D09">
              <w:rPr>
                <w:lang w:eastAsia="zh-CN"/>
              </w:rPr>
              <w:t>60</w:t>
            </w:r>
          </w:p>
        </w:tc>
        <w:tc>
          <w:tcPr>
            <w:tcW w:w="2646" w:type="dxa"/>
            <w:shd w:val="clear" w:color="auto" w:fill="auto"/>
          </w:tcPr>
          <w:p w14:paraId="33D69072"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9.4725</w:t>
            </w:r>
          </w:p>
        </w:tc>
        <w:tc>
          <w:tcPr>
            <w:tcW w:w="2693" w:type="dxa"/>
            <w:tcBorders>
              <w:top w:val="nil"/>
              <w:bottom w:val="nil"/>
            </w:tcBorders>
            <w:shd w:val="clear" w:color="auto" w:fill="auto"/>
          </w:tcPr>
          <w:p w14:paraId="497023D4" w14:textId="77777777" w:rsidR="004C7013" w:rsidRPr="00E26D09" w:rsidRDefault="004C7013" w:rsidP="002E1777">
            <w:pPr>
              <w:pStyle w:val="TAC"/>
              <w:rPr>
                <w:lang w:eastAsia="zh-CN"/>
              </w:rPr>
            </w:pPr>
          </w:p>
        </w:tc>
      </w:tr>
      <w:tr w:rsidR="004C7013" w:rsidRPr="00E26D09" w14:paraId="33FB0277" w14:textId="77777777" w:rsidTr="004C7013">
        <w:tc>
          <w:tcPr>
            <w:tcW w:w="1842" w:type="dxa"/>
            <w:shd w:val="clear" w:color="auto" w:fill="auto"/>
          </w:tcPr>
          <w:p w14:paraId="2B7CCFEE" w14:textId="77777777" w:rsidR="004C7013" w:rsidRPr="00E26D09" w:rsidRDefault="004C7013" w:rsidP="002E1777">
            <w:pPr>
              <w:pStyle w:val="TAC"/>
              <w:rPr>
                <w:lang w:eastAsia="zh-CN"/>
              </w:rPr>
            </w:pPr>
            <w:r w:rsidRPr="00E26D09">
              <w:rPr>
                <w:lang w:eastAsia="zh-CN"/>
              </w:rPr>
              <w:t>70</w:t>
            </w:r>
          </w:p>
        </w:tc>
        <w:tc>
          <w:tcPr>
            <w:tcW w:w="2646" w:type="dxa"/>
            <w:shd w:val="clear" w:color="auto" w:fill="auto"/>
          </w:tcPr>
          <w:p w14:paraId="6E4195BB"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9.4675</w:t>
            </w:r>
          </w:p>
        </w:tc>
        <w:tc>
          <w:tcPr>
            <w:tcW w:w="2693" w:type="dxa"/>
            <w:tcBorders>
              <w:top w:val="nil"/>
              <w:bottom w:val="nil"/>
            </w:tcBorders>
            <w:shd w:val="clear" w:color="auto" w:fill="auto"/>
          </w:tcPr>
          <w:p w14:paraId="651A1095" w14:textId="77777777" w:rsidR="004C7013" w:rsidRPr="00E26D09" w:rsidRDefault="004C7013" w:rsidP="002E1777">
            <w:pPr>
              <w:pStyle w:val="TAC"/>
              <w:rPr>
                <w:lang w:eastAsia="zh-CN"/>
              </w:rPr>
            </w:pPr>
          </w:p>
        </w:tc>
      </w:tr>
      <w:tr w:rsidR="004C7013" w:rsidRPr="00E26D09" w14:paraId="151EE84F" w14:textId="77777777" w:rsidTr="004C7013">
        <w:tc>
          <w:tcPr>
            <w:tcW w:w="1842" w:type="dxa"/>
            <w:shd w:val="clear" w:color="auto" w:fill="auto"/>
          </w:tcPr>
          <w:p w14:paraId="3F9A5D02" w14:textId="77777777" w:rsidR="004C7013" w:rsidRPr="00E26D09" w:rsidRDefault="004C7013" w:rsidP="002E1777">
            <w:pPr>
              <w:pStyle w:val="TAC"/>
              <w:rPr>
                <w:lang w:eastAsia="zh-CN"/>
              </w:rPr>
            </w:pPr>
            <w:r w:rsidRPr="00E26D09">
              <w:rPr>
                <w:lang w:eastAsia="zh-CN"/>
              </w:rPr>
              <w:t>80</w:t>
            </w:r>
          </w:p>
        </w:tc>
        <w:tc>
          <w:tcPr>
            <w:tcW w:w="2646" w:type="dxa"/>
            <w:shd w:val="clear" w:color="auto" w:fill="auto"/>
          </w:tcPr>
          <w:p w14:paraId="1FEEDE09"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9.4625</w:t>
            </w:r>
          </w:p>
        </w:tc>
        <w:tc>
          <w:tcPr>
            <w:tcW w:w="2693" w:type="dxa"/>
            <w:tcBorders>
              <w:top w:val="nil"/>
              <w:bottom w:val="nil"/>
            </w:tcBorders>
            <w:shd w:val="clear" w:color="auto" w:fill="auto"/>
          </w:tcPr>
          <w:p w14:paraId="29C8BD9D" w14:textId="77777777" w:rsidR="004C7013" w:rsidRPr="00E26D09" w:rsidRDefault="004C7013" w:rsidP="002E1777">
            <w:pPr>
              <w:pStyle w:val="TAC"/>
              <w:rPr>
                <w:lang w:eastAsia="zh-CN"/>
              </w:rPr>
            </w:pPr>
          </w:p>
        </w:tc>
      </w:tr>
      <w:tr w:rsidR="004C7013" w:rsidRPr="00E26D09" w14:paraId="6E2B9943" w14:textId="77777777" w:rsidTr="004C7013">
        <w:tc>
          <w:tcPr>
            <w:tcW w:w="1842" w:type="dxa"/>
            <w:shd w:val="clear" w:color="auto" w:fill="auto"/>
          </w:tcPr>
          <w:p w14:paraId="5DC2E1FC" w14:textId="77777777" w:rsidR="004C7013" w:rsidRPr="00E26D09" w:rsidRDefault="004C7013" w:rsidP="002E1777">
            <w:pPr>
              <w:pStyle w:val="TAC"/>
              <w:rPr>
                <w:lang w:eastAsia="zh-CN"/>
              </w:rPr>
            </w:pPr>
            <w:r w:rsidRPr="00E26D09">
              <w:rPr>
                <w:lang w:eastAsia="zh-CN"/>
              </w:rPr>
              <w:t>90</w:t>
            </w:r>
          </w:p>
        </w:tc>
        <w:tc>
          <w:tcPr>
            <w:tcW w:w="2646" w:type="dxa"/>
            <w:shd w:val="clear" w:color="auto" w:fill="auto"/>
          </w:tcPr>
          <w:p w14:paraId="18645EBC"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9.4725</w:t>
            </w:r>
          </w:p>
        </w:tc>
        <w:tc>
          <w:tcPr>
            <w:tcW w:w="2693" w:type="dxa"/>
            <w:tcBorders>
              <w:top w:val="nil"/>
              <w:bottom w:val="nil"/>
            </w:tcBorders>
            <w:shd w:val="clear" w:color="auto" w:fill="auto"/>
          </w:tcPr>
          <w:p w14:paraId="5D931222" w14:textId="77777777" w:rsidR="004C7013" w:rsidRPr="00E26D09" w:rsidRDefault="004C7013" w:rsidP="002E1777">
            <w:pPr>
              <w:pStyle w:val="TAC"/>
              <w:rPr>
                <w:lang w:eastAsia="zh-CN"/>
              </w:rPr>
            </w:pPr>
          </w:p>
        </w:tc>
      </w:tr>
      <w:tr w:rsidR="004C7013" w:rsidRPr="00E26D09" w14:paraId="2FBFA8A8" w14:textId="77777777" w:rsidTr="004C7013">
        <w:tc>
          <w:tcPr>
            <w:tcW w:w="1842" w:type="dxa"/>
            <w:shd w:val="clear" w:color="auto" w:fill="auto"/>
          </w:tcPr>
          <w:p w14:paraId="19A3834C" w14:textId="77777777" w:rsidR="004C7013" w:rsidRPr="00E26D09" w:rsidRDefault="004C7013" w:rsidP="002E1777">
            <w:pPr>
              <w:pStyle w:val="TAC"/>
              <w:rPr>
                <w:lang w:eastAsia="zh-CN"/>
              </w:rPr>
            </w:pPr>
            <w:r w:rsidRPr="00E26D09">
              <w:rPr>
                <w:lang w:eastAsia="zh-CN"/>
              </w:rPr>
              <w:t>100</w:t>
            </w:r>
          </w:p>
        </w:tc>
        <w:tc>
          <w:tcPr>
            <w:tcW w:w="2646" w:type="dxa"/>
            <w:shd w:val="clear" w:color="auto" w:fill="auto"/>
          </w:tcPr>
          <w:p w14:paraId="30F0BA13" w14:textId="77777777" w:rsidR="004C7013" w:rsidRPr="00E26D09" w:rsidRDefault="004C7013" w:rsidP="002E1777">
            <w:pPr>
              <w:pStyle w:val="TAC"/>
              <w:rPr>
                <w:lang w:eastAsia="zh-CN"/>
              </w:rPr>
            </w:pPr>
            <w:r w:rsidRPr="00E26D09">
              <w:rPr>
                <w:rFonts w:eastAsia="DengXian" w:cs="Arial"/>
              </w:rPr>
              <w:t>±</w:t>
            </w:r>
            <w:r w:rsidRPr="00E26D09">
              <w:rPr>
                <w:rFonts w:eastAsia="DengXian" w:cs="Arial" w:hint="eastAsia"/>
                <w:lang w:val="en-US" w:eastAsia="zh-CN"/>
              </w:rPr>
              <w:t>9.4675</w:t>
            </w:r>
          </w:p>
        </w:tc>
        <w:tc>
          <w:tcPr>
            <w:tcW w:w="2693" w:type="dxa"/>
            <w:tcBorders>
              <w:top w:val="nil"/>
            </w:tcBorders>
            <w:shd w:val="clear" w:color="auto" w:fill="auto"/>
          </w:tcPr>
          <w:p w14:paraId="1E1F3EF9" w14:textId="77777777" w:rsidR="004C7013" w:rsidRPr="00E26D09" w:rsidRDefault="004C7013" w:rsidP="002E1777">
            <w:pPr>
              <w:pStyle w:val="TAC"/>
              <w:rPr>
                <w:lang w:eastAsia="zh-CN"/>
              </w:rPr>
            </w:pPr>
          </w:p>
        </w:tc>
      </w:tr>
    </w:tbl>
    <w:p w14:paraId="66B5F278" w14:textId="77777777" w:rsidR="00711A01" w:rsidRDefault="00711A01" w:rsidP="00711A01"/>
    <w:p w14:paraId="6D23E3B2" w14:textId="77777777" w:rsidR="00711A01" w:rsidRDefault="00711A01" w:rsidP="00815C5B">
      <w:pPr>
        <w:pStyle w:val="Heading3"/>
        <w:rPr>
          <w:rFonts w:eastAsia="DengXian"/>
        </w:rPr>
      </w:pPr>
      <w:bookmarkStart w:id="2902" w:name="_Toc53185402"/>
      <w:bookmarkStart w:id="2903" w:name="_Toc53185778"/>
      <w:bookmarkStart w:id="2904" w:name="_Toc57820256"/>
      <w:bookmarkStart w:id="2905" w:name="_Toc57821183"/>
      <w:bookmarkStart w:id="2906" w:name="_Toc61183459"/>
      <w:bookmarkStart w:id="2907" w:name="_Toc61183853"/>
      <w:bookmarkStart w:id="2908" w:name="_Toc61184245"/>
      <w:bookmarkStart w:id="2909" w:name="_Toc61184637"/>
      <w:bookmarkStart w:id="2910" w:name="_Toc61185027"/>
      <w:bookmarkStart w:id="2911" w:name="_Toc66386371"/>
      <w:bookmarkStart w:id="2912" w:name="_Toc74583212"/>
      <w:bookmarkStart w:id="2913" w:name="_Toc76542025"/>
      <w:bookmarkStart w:id="2914" w:name="_Toc82450007"/>
      <w:bookmarkStart w:id="2915" w:name="_Toc82450655"/>
      <w:bookmarkStart w:id="2916" w:name="_Toc89949044"/>
      <w:bookmarkStart w:id="2917" w:name="_Toc98755433"/>
      <w:bookmarkStart w:id="2918" w:name="_Toc98763024"/>
      <w:bookmarkStart w:id="2919" w:name="_Toc106183953"/>
      <w:bookmarkStart w:id="2920" w:name="_Toc21127539"/>
      <w:bookmarkStart w:id="2921" w:name="_Toc29811748"/>
      <w:r w:rsidRPr="00E26D09">
        <w:t>7.4.</w:t>
      </w:r>
      <w:r>
        <w:t>2</w:t>
      </w:r>
      <w:r w:rsidRPr="00E26D09">
        <w:tab/>
      </w:r>
      <w:r w:rsidRPr="00584240">
        <w:rPr>
          <w:rFonts w:eastAsia="DengXian"/>
        </w:rPr>
        <w:t>In-band blocking</w:t>
      </w:r>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p>
    <w:p w14:paraId="14E31868" w14:textId="77777777" w:rsidR="00711A01" w:rsidRPr="00E26D09" w:rsidRDefault="00711A01" w:rsidP="00815C5B">
      <w:pPr>
        <w:pStyle w:val="Heading4"/>
      </w:pPr>
      <w:bookmarkStart w:id="2922" w:name="_Toc53185403"/>
      <w:bookmarkStart w:id="2923" w:name="_Toc53185779"/>
      <w:bookmarkStart w:id="2924" w:name="_Toc57820257"/>
      <w:bookmarkStart w:id="2925" w:name="_Toc57821184"/>
      <w:bookmarkStart w:id="2926" w:name="_Toc61183460"/>
      <w:bookmarkStart w:id="2927" w:name="_Toc61183854"/>
      <w:bookmarkStart w:id="2928" w:name="_Toc61184246"/>
      <w:bookmarkStart w:id="2929" w:name="_Toc61184638"/>
      <w:bookmarkStart w:id="2930" w:name="_Toc61185028"/>
      <w:bookmarkStart w:id="2931" w:name="_Toc66386372"/>
      <w:bookmarkStart w:id="2932" w:name="_Toc74583213"/>
      <w:bookmarkStart w:id="2933" w:name="_Toc76542026"/>
      <w:bookmarkStart w:id="2934" w:name="_Toc82450008"/>
      <w:bookmarkStart w:id="2935" w:name="_Toc82450656"/>
      <w:bookmarkStart w:id="2936" w:name="_Toc89949045"/>
      <w:bookmarkStart w:id="2937" w:name="_Toc98755434"/>
      <w:bookmarkStart w:id="2938" w:name="_Toc98763025"/>
      <w:bookmarkStart w:id="2939" w:name="_Toc106183954"/>
      <w:r w:rsidRPr="00E26D09">
        <w:t>7.4.</w:t>
      </w:r>
      <w:r>
        <w:t>2</w:t>
      </w:r>
      <w:r w:rsidRPr="00E26D09">
        <w:t>.1</w:t>
      </w:r>
      <w:r w:rsidRPr="00E26D09">
        <w:tab/>
        <w:t>General</w:t>
      </w:r>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p>
    <w:bookmarkEnd w:id="2920"/>
    <w:bookmarkEnd w:id="2921"/>
    <w:p w14:paraId="672C0141" w14:textId="77777777" w:rsidR="00711A01" w:rsidRDefault="00711A01" w:rsidP="00711A01">
      <w:pPr>
        <w:rPr>
          <w:rFonts w:eastAsia="DengXian"/>
        </w:rPr>
      </w:pPr>
      <w:r w:rsidRPr="00584240">
        <w:rPr>
          <w:rFonts w:eastAsia="DengXian"/>
        </w:rPr>
        <w:t>The in-band blocking characteristics is a measure of the receiver's ability to receive a wanted signal at its assigned channel at the</w:t>
      </w:r>
      <w:r w:rsidRPr="00584240">
        <w:rPr>
          <w:rFonts w:eastAsia="DengXian"/>
          <w:lang w:val="en-US" w:eastAsia="zh-CN"/>
        </w:rPr>
        <w:t xml:space="preserve"> </w:t>
      </w:r>
      <w:r w:rsidRPr="00584240">
        <w:rPr>
          <w:rFonts w:eastAsia="DengXian"/>
          <w:i/>
        </w:rPr>
        <w:t>TAB connector</w:t>
      </w:r>
      <w:r w:rsidRPr="00584240">
        <w:rPr>
          <w:rFonts w:eastAsia="DengXian"/>
          <w:i/>
          <w:lang w:val="en-US" w:eastAsia="zh-CN"/>
        </w:rPr>
        <w:t xml:space="preserve"> </w:t>
      </w:r>
      <w:r w:rsidRPr="00584240">
        <w:rPr>
          <w:rFonts w:eastAsia="??"/>
        </w:rPr>
        <w:t>for</w:t>
      </w:r>
      <w:r w:rsidRPr="00584240">
        <w:rPr>
          <w:rFonts w:eastAsia="??"/>
          <w:i/>
        </w:rPr>
        <w:t xml:space="preserve"> </w:t>
      </w:r>
      <w:r>
        <w:rPr>
          <w:rFonts w:eastAsia="??"/>
          <w:i/>
        </w:rPr>
        <w:t xml:space="preserve">IAB-DU </w:t>
      </w:r>
      <w:r w:rsidRPr="00584240">
        <w:rPr>
          <w:rFonts w:eastAsia="??"/>
          <w:i/>
        </w:rPr>
        <w:t>type 1-</w:t>
      </w:r>
      <w:r w:rsidRPr="00584240">
        <w:rPr>
          <w:i/>
          <w:lang w:val="en-US" w:eastAsia="zh-CN"/>
        </w:rPr>
        <w:t>H</w:t>
      </w:r>
      <w:r w:rsidRPr="00584240">
        <w:rPr>
          <w:rFonts w:eastAsia="DengXian"/>
        </w:rPr>
        <w:t xml:space="preserve"> </w:t>
      </w:r>
      <w:r>
        <w:rPr>
          <w:rFonts w:eastAsia="DengXian"/>
        </w:rPr>
        <w:t xml:space="preserve">and </w:t>
      </w:r>
      <w:r>
        <w:rPr>
          <w:rFonts w:eastAsia="??"/>
          <w:i/>
        </w:rPr>
        <w:t xml:space="preserve">IAB-MT </w:t>
      </w:r>
      <w:r w:rsidRPr="00584240">
        <w:rPr>
          <w:rFonts w:eastAsia="??"/>
          <w:i/>
        </w:rPr>
        <w:t>type 1-</w:t>
      </w:r>
      <w:r w:rsidRPr="00584240">
        <w:rPr>
          <w:i/>
          <w:lang w:val="en-US" w:eastAsia="zh-CN"/>
        </w:rPr>
        <w:t>H</w:t>
      </w:r>
      <w:r w:rsidRPr="00584240">
        <w:rPr>
          <w:rFonts w:eastAsia="DengXian"/>
        </w:rPr>
        <w:t xml:space="preserve"> in the presence of an unwanted interferer, which is an NR signal for general blocking or an NR signal with one resource block for narrowband blocking.</w:t>
      </w:r>
    </w:p>
    <w:p w14:paraId="1E3912A7" w14:textId="77777777" w:rsidR="00711A01" w:rsidRPr="00E26D09" w:rsidRDefault="00711A01" w:rsidP="00815C5B">
      <w:pPr>
        <w:pStyle w:val="Heading4"/>
      </w:pPr>
      <w:bookmarkStart w:id="2940" w:name="_Toc53185404"/>
      <w:bookmarkStart w:id="2941" w:name="_Toc53185780"/>
      <w:bookmarkStart w:id="2942" w:name="_Toc57820258"/>
      <w:bookmarkStart w:id="2943" w:name="_Toc57821185"/>
      <w:bookmarkStart w:id="2944" w:name="_Toc61183461"/>
      <w:bookmarkStart w:id="2945" w:name="_Toc61183855"/>
      <w:bookmarkStart w:id="2946" w:name="_Toc61184247"/>
      <w:bookmarkStart w:id="2947" w:name="_Toc61184639"/>
      <w:bookmarkStart w:id="2948" w:name="_Toc61185029"/>
      <w:bookmarkStart w:id="2949" w:name="_Toc66386373"/>
      <w:bookmarkStart w:id="2950" w:name="_Toc74583214"/>
      <w:bookmarkStart w:id="2951" w:name="_Toc76542027"/>
      <w:bookmarkStart w:id="2952" w:name="_Toc82450009"/>
      <w:bookmarkStart w:id="2953" w:name="_Toc82450657"/>
      <w:bookmarkStart w:id="2954" w:name="_Toc89949046"/>
      <w:bookmarkStart w:id="2955" w:name="_Toc98755435"/>
      <w:bookmarkStart w:id="2956" w:name="_Toc98763026"/>
      <w:bookmarkStart w:id="2957" w:name="_Toc106183955"/>
      <w:r w:rsidRPr="00E26D09">
        <w:t>7.4.</w:t>
      </w:r>
      <w:r>
        <w:t>2</w:t>
      </w:r>
      <w:r w:rsidRPr="00E26D09">
        <w:t>.</w:t>
      </w:r>
      <w:r>
        <w:t>2</w:t>
      </w:r>
      <w:r w:rsidRPr="00E26D09">
        <w:tab/>
      </w:r>
      <w:r w:rsidRPr="00D116F7">
        <w:t xml:space="preserve">Minimum requirement for </w:t>
      </w:r>
      <w:r>
        <w:t>IAB-DU</w:t>
      </w:r>
      <w:r w:rsidRPr="00D116F7">
        <w:t xml:space="preserve"> type 1-H</w:t>
      </w:r>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p>
    <w:p w14:paraId="0E8D43B3" w14:textId="77777777" w:rsidR="00711A01" w:rsidRDefault="00711A01" w:rsidP="00711A01">
      <w:pPr>
        <w:keepNext/>
        <w:keepLines/>
        <w:spacing w:before="120"/>
        <w:ind w:left="1418" w:hanging="1418"/>
        <w:outlineLvl w:val="3"/>
        <w:rPr>
          <w:rFonts w:ascii="Arial" w:hAnsi="Arial"/>
          <w:sz w:val="24"/>
        </w:rPr>
      </w:pPr>
      <w:r>
        <w:rPr>
          <w:rFonts w:eastAsia="Yu Mincho"/>
        </w:rPr>
        <w:t>Minimum requirement is the same as specified for BS type 1-H in TS38.104[2], subclause 7.4.2.2.</w:t>
      </w:r>
    </w:p>
    <w:p w14:paraId="5C6AD1E3" w14:textId="77777777" w:rsidR="00711A01" w:rsidRPr="00E26D09" w:rsidRDefault="00711A01" w:rsidP="00815C5B">
      <w:pPr>
        <w:pStyle w:val="Heading4"/>
      </w:pPr>
      <w:bookmarkStart w:id="2958" w:name="_Toc53185405"/>
      <w:bookmarkStart w:id="2959" w:name="_Toc53185781"/>
      <w:bookmarkStart w:id="2960" w:name="_Toc57820259"/>
      <w:bookmarkStart w:id="2961" w:name="_Toc57821186"/>
      <w:bookmarkStart w:id="2962" w:name="_Toc61183462"/>
      <w:bookmarkStart w:id="2963" w:name="_Toc61183856"/>
      <w:bookmarkStart w:id="2964" w:name="_Toc61184248"/>
      <w:bookmarkStart w:id="2965" w:name="_Toc61184640"/>
      <w:bookmarkStart w:id="2966" w:name="_Toc61185030"/>
      <w:bookmarkStart w:id="2967" w:name="_Toc66386374"/>
      <w:bookmarkStart w:id="2968" w:name="_Toc74583215"/>
      <w:bookmarkStart w:id="2969" w:name="_Toc76542028"/>
      <w:bookmarkStart w:id="2970" w:name="_Toc82450010"/>
      <w:bookmarkStart w:id="2971" w:name="_Toc82450658"/>
      <w:bookmarkStart w:id="2972" w:name="_Toc89949047"/>
      <w:bookmarkStart w:id="2973" w:name="_Toc98755436"/>
      <w:bookmarkStart w:id="2974" w:name="_Toc98763027"/>
      <w:bookmarkStart w:id="2975" w:name="_Toc106183956"/>
      <w:r w:rsidRPr="00E26D09">
        <w:t>7.4.</w:t>
      </w:r>
      <w:r>
        <w:t>2</w:t>
      </w:r>
      <w:r w:rsidRPr="00E26D09">
        <w:t>.</w:t>
      </w:r>
      <w:r>
        <w:t>3</w:t>
      </w:r>
      <w:r w:rsidRPr="00E26D09">
        <w:tab/>
      </w:r>
      <w:r w:rsidRPr="00D116F7">
        <w:t xml:space="preserve">Minimum requirement for </w:t>
      </w:r>
      <w:r>
        <w:t>IAB-MT</w:t>
      </w:r>
      <w:r w:rsidRPr="00D116F7">
        <w:t xml:space="preserve"> type 1-H</w:t>
      </w:r>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p>
    <w:p w14:paraId="0902E396" w14:textId="745C145E" w:rsidR="00711A01" w:rsidRPr="00D15C32" w:rsidRDefault="00711A01" w:rsidP="00711A01">
      <w:pPr>
        <w:rPr>
          <w:rFonts w:eastAsia="Osaka"/>
        </w:rPr>
      </w:pPr>
      <w:r w:rsidRPr="00D15C32">
        <w:rPr>
          <w:rFonts w:eastAsia="DengXian"/>
        </w:rPr>
        <w:t xml:space="preserve">The throughput shall be </w:t>
      </w:r>
      <w:r w:rsidRPr="00D15C32">
        <w:rPr>
          <w:rFonts w:eastAsia="DengXian" w:hint="eastAsia"/>
        </w:rPr>
        <w:t>≥</w:t>
      </w:r>
      <w:r w:rsidRPr="00D15C32">
        <w:rPr>
          <w:rFonts w:eastAsia="DengXian"/>
        </w:rPr>
        <w:t xml:space="preserve"> 95% of the maximum throughput</w:t>
      </w:r>
      <w:r w:rsidRPr="00D15C32" w:rsidDel="00BE584A">
        <w:rPr>
          <w:rFonts w:eastAsia="DengXian"/>
        </w:rPr>
        <w:t xml:space="preserve"> </w:t>
      </w:r>
      <w:r w:rsidRPr="00D15C32">
        <w:rPr>
          <w:rFonts w:eastAsia="DengXian"/>
        </w:rPr>
        <w:t>of the reference measurement channel</w:t>
      </w:r>
      <w:r w:rsidRPr="00D15C32">
        <w:rPr>
          <w:rFonts w:eastAsia="DengXian"/>
          <w:lang w:eastAsia="zh-CN"/>
        </w:rPr>
        <w:t xml:space="preserve">, with a wanted and an interfering signal coupled to </w:t>
      </w:r>
      <w:r>
        <w:rPr>
          <w:rFonts w:eastAsia="DengXian"/>
          <w:i/>
        </w:rPr>
        <w:t>IAB-MT</w:t>
      </w:r>
      <w:r w:rsidRPr="00D15C32">
        <w:rPr>
          <w:rFonts w:eastAsia="DengXian"/>
          <w:i/>
        </w:rPr>
        <w:t xml:space="preserve"> type 1</w:t>
      </w:r>
      <w:r w:rsidRPr="00D15C32">
        <w:rPr>
          <w:rFonts w:eastAsia="DengXian"/>
          <w:i/>
        </w:rPr>
        <w:noBreakHyphen/>
        <w:t>H</w:t>
      </w:r>
      <w:r w:rsidRPr="00D15C32">
        <w:rPr>
          <w:rFonts w:eastAsia="DengXian"/>
        </w:rPr>
        <w:t xml:space="preserve"> </w:t>
      </w:r>
      <w:r w:rsidRPr="00D15C32">
        <w:rPr>
          <w:rFonts w:eastAsia="DengXian"/>
          <w:i/>
        </w:rPr>
        <w:t xml:space="preserve">TAB connector </w:t>
      </w:r>
      <w:r w:rsidRPr="00D15C32">
        <w:rPr>
          <w:rFonts w:eastAsia="DengXian" w:cs="v5.0.0"/>
        </w:rPr>
        <w:t xml:space="preserve">using the parameters </w:t>
      </w:r>
      <w:r w:rsidRPr="00D15C32">
        <w:rPr>
          <w:rFonts w:eastAsia="DengXian"/>
          <w:lang w:eastAsia="zh-CN"/>
        </w:rPr>
        <w:t>in tables 7.4.2.</w:t>
      </w:r>
      <w:r>
        <w:rPr>
          <w:rFonts w:eastAsia="DengXian"/>
          <w:lang w:eastAsia="zh-CN"/>
        </w:rPr>
        <w:t>3</w:t>
      </w:r>
      <w:r w:rsidRPr="00D15C32">
        <w:rPr>
          <w:rFonts w:eastAsia="DengXian"/>
          <w:lang w:eastAsia="zh-CN"/>
        </w:rPr>
        <w:t>-1, 7.4.2.</w:t>
      </w:r>
      <w:r>
        <w:rPr>
          <w:rFonts w:eastAsia="DengXian"/>
          <w:lang w:eastAsia="zh-CN"/>
        </w:rPr>
        <w:t>3</w:t>
      </w:r>
      <w:r w:rsidRPr="00D15C32">
        <w:rPr>
          <w:rFonts w:eastAsia="DengXian"/>
          <w:lang w:eastAsia="zh-CN"/>
        </w:rPr>
        <w:t>-2 and 7.4.2.</w:t>
      </w:r>
      <w:r>
        <w:rPr>
          <w:rFonts w:eastAsia="DengXian"/>
          <w:lang w:eastAsia="zh-CN"/>
        </w:rPr>
        <w:t>3</w:t>
      </w:r>
      <w:r w:rsidRPr="00D15C32">
        <w:rPr>
          <w:rFonts w:eastAsia="DengXian"/>
          <w:lang w:eastAsia="zh-CN"/>
        </w:rPr>
        <w:t xml:space="preserve">-3 for general blocking and narrowband blocking requirements. </w:t>
      </w:r>
      <w:r w:rsidRPr="00D15C32">
        <w:rPr>
          <w:rFonts w:eastAsia="Osaka"/>
        </w:rPr>
        <w:t xml:space="preserve">The reference measurement channel for the wanted signal is identified in clause 7.2.2 for each </w:t>
      </w:r>
      <w:r>
        <w:rPr>
          <w:rFonts w:eastAsia="Osaka"/>
          <w:i/>
        </w:rPr>
        <w:t>IAB-MT</w:t>
      </w:r>
      <w:r w:rsidRPr="00D15C32">
        <w:rPr>
          <w:rFonts w:eastAsia="Osaka"/>
          <w:i/>
        </w:rPr>
        <w:t xml:space="preserve"> channel bandwidth</w:t>
      </w:r>
      <w:r w:rsidRPr="00D15C32">
        <w:rPr>
          <w:rFonts w:eastAsia="Osaka"/>
        </w:rPr>
        <w:t xml:space="preserve"> and further specified in annex</w:t>
      </w:r>
      <w:r w:rsidR="000121EB" w:rsidRPr="00D15C32">
        <w:rPr>
          <w:rFonts w:eastAsia="Osaka"/>
        </w:rPr>
        <w:t xml:space="preserve"> A.1.</w:t>
      </w:r>
      <w:r w:rsidRPr="00D15C32">
        <w:rPr>
          <w:rFonts w:eastAsia="Osaka"/>
        </w:rPr>
        <w:t xml:space="preserve"> The characteristics of the interfering signal is further specified in annex </w:t>
      </w:r>
      <w:r w:rsidR="000121EB">
        <w:rPr>
          <w:rFonts w:eastAsia="Osaka"/>
        </w:rPr>
        <w:t>F</w:t>
      </w:r>
      <w:r w:rsidR="000121EB" w:rsidRPr="00D15C32">
        <w:rPr>
          <w:rFonts w:eastAsia="Osaka"/>
        </w:rPr>
        <w:t>.</w:t>
      </w:r>
      <w:r w:rsidRPr="00D15C32">
        <w:rPr>
          <w:rFonts w:eastAsia="Osaka"/>
        </w:rPr>
        <w:t xml:space="preserve"> </w:t>
      </w:r>
    </w:p>
    <w:p w14:paraId="4EE1971B" w14:textId="77777777" w:rsidR="00711A01" w:rsidRPr="00D15C32" w:rsidRDefault="00711A01" w:rsidP="00711A01">
      <w:pPr>
        <w:rPr>
          <w:rFonts w:eastAsia="DengXian" w:cs="v3.8.0"/>
        </w:rPr>
      </w:pPr>
      <w:r w:rsidRPr="00D15C32">
        <w:rPr>
          <w:rFonts w:eastAsia="DengXian"/>
          <w:lang w:eastAsia="zh-CN"/>
        </w:rPr>
        <w:lastRenderedPageBreak/>
        <w:t xml:space="preserve">The in-band blocking requirements apply outside the </w:t>
      </w:r>
      <w:r>
        <w:rPr>
          <w:rFonts w:eastAsia="DengXian"/>
          <w:i/>
          <w:lang w:eastAsia="zh-CN"/>
        </w:rPr>
        <w:t>IAB-MT</w:t>
      </w:r>
      <w:r w:rsidRPr="00D15C32">
        <w:rPr>
          <w:rFonts w:eastAsia="DengXian"/>
          <w:i/>
          <w:lang w:eastAsia="zh-CN"/>
        </w:rPr>
        <w:t xml:space="preserve"> RF Bandwidth</w:t>
      </w:r>
      <w:r w:rsidRPr="00D15C32">
        <w:rPr>
          <w:rFonts w:eastAsia="DengXian"/>
          <w:lang w:eastAsia="zh-CN"/>
        </w:rPr>
        <w:t xml:space="preserve"> or </w:t>
      </w:r>
      <w:r w:rsidRPr="00D15C32">
        <w:rPr>
          <w:rFonts w:eastAsia="DengXian"/>
          <w:i/>
          <w:lang w:eastAsia="zh-CN"/>
        </w:rPr>
        <w:t>Radio Bandwidth</w:t>
      </w:r>
      <w:r w:rsidRPr="00D15C32">
        <w:rPr>
          <w:rFonts w:eastAsia="DengXian"/>
          <w:lang w:eastAsia="zh-CN"/>
        </w:rPr>
        <w:t xml:space="preserve">. The interfering signal offset is defined relative to the </w:t>
      </w:r>
      <w:r>
        <w:rPr>
          <w:rFonts w:eastAsia="DengXian"/>
          <w:i/>
          <w:lang w:eastAsia="zh-CN"/>
        </w:rPr>
        <w:t>IAB-MT</w:t>
      </w:r>
      <w:r w:rsidRPr="00D15C32">
        <w:rPr>
          <w:rFonts w:eastAsia="DengXian"/>
          <w:i/>
          <w:lang w:eastAsia="zh-CN"/>
        </w:rPr>
        <w:t xml:space="preserve"> RF Bandwidth edges</w:t>
      </w:r>
      <w:r w:rsidRPr="00D15C32">
        <w:rPr>
          <w:rFonts w:eastAsia="DengXian"/>
          <w:lang w:eastAsia="zh-CN"/>
        </w:rPr>
        <w:t xml:space="preserve"> or </w:t>
      </w:r>
      <w:r w:rsidRPr="00D15C32">
        <w:rPr>
          <w:rFonts w:eastAsia="DengXian"/>
          <w:i/>
          <w:lang w:eastAsia="zh-CN"/>
        </w:rPr>
        <w:t>Radio Bandwidth</w:t>
      </w:r>
      <w:r w:rsidRPr="00D15C32">
        <w:rPr>
          <w:rFonts w:eastAsia="DengXian"/>
          <w:lang w:eastAsia="zh-CN"/>
        </w:rPr>
        <w:t xml:space="preserve"> edges.</w:t>
      </w:r>
    </w:p>
    <w:p w14:paraId="3F6EC7B1" w14:textId="77777777" w:rsidR="00711A01" w:rsidRPr="00D15C32" w:rsidRDefault="00711A01" w:rsidP="00711A01">
      <w:pPr>
        <w:rPr>
          <w:rFonts w:eastAsia="DengXian"/>
          <w:lang w:eastAsia="zh-CN"/>
        </w:rPr>
      </w:pPr>
      <w:r w:rsidRPr="00D15C32">
        <w:rPr>
          <w:rFonts w:eastAsia="DengXian" w:cs="v3.8.0"/>
        </w:rPr>
        <w:t xml:space="preserve">The in-band </w:t>
      </w:r>
      <w:r w:rsidRPr="00D15C32">
        <w:rPr>
          <w:rFonts w:eastAsia="DengXian"/>
          <w:lang w:eastAsia="zh-CN"/>
        </w:rPr>
        <w:t>blocking requirement</w:t>
      </w:r>
      <w:r w:rsidRPr="00D15C32">
        <w:rPr>
          <w:rFonts w:eastAsia="DengXian" w:cs="v3.8.0"/>
        </w:rPr>
        <w:t xml:space="preserve"> shall apply</w:t>
      </w:r>
      <w:r w:rsidRPr="00D15C32">
        <w:rPr>
          <w:rFonts w:eastAsia="DengXian"/>
          <w:lang w:eastAsia="zh-CN"/>
        </w:rPr>
        <w:t xml:space="preserve"> from </w:t>
      </w:r>
      <w:r w:rsidRPr="00D15C32">
        <w:rPr>
          <w:rFonts w:eastAsia="DengXian" w:cs="Arial"/>
        </w:rPr>
        <w:t>F</w:t>
      </w:r>
      <w:r>
        <w:rPr>
          <w:rFonts w:eastAsia="DengXian" w:cs="Arial"/>
          <w:vertAlign w:val="subscript"/>
        </w:rPr>
        <w:t>D</w:t>
      </w:r>
      <w:r w:rsidRPr="00D15C32">
        <w:rPr>
          <w:rFonts w:eastAsia="DengXian" w:cs="Arial"/>
          <w:vertAlign w:val="subscript"/>
        </w:rPr>
        <w:t>L,low</w:t>
      </w:r>
      <w:r w:rsidRPr="00D15C32">
        <w:rPr>
          <w:rFonts w:eastAsia="DengXian" w:cs="Arial"/>
        </w:rPr>
        <w:t xml:space="preserve"> - </w:t>
      </w:r>
      <w:r w:rsidRPr="00D15C32">
        <w:rPr>
          <w:rFonts w:eastAsia="DengXian"/>
        </w:rPr>
        <w:t>Δf</w:t>
      </w:r>
      <w:r w:rsidRPr="00D15C32">
        <w:rPr>
          <w:rFonts w:eastAsia="DengXian"/>
          <w:vertAlign w:val="subscript"/>
        </w:rPr>
        <w:t>OOB</w:t>
      </w:r>
      <w:r w:rsidRPr="00D15C32">
        <w:rPr>
          <w:rFonts w:eastAsia="DengXian" w:cs="v5.0.0"/>
        </w:rPr>
        <w:t xml:space="preserve"> </w:t>
      </w:r>
      <w:r w:rsidRPr="00D15C32">
        <w:rPr>
          <w:rFonts w:eastAsia="DengXian"/>
        </w:rPr>
        <w:t xml:space="preserve">to </w:t>
      </w:r>
      <w:r w:rsidRPr="00D15C32">
        <w:rPr>
          <w:rFonts w:eastAsia="DengXian" w:cs="Arial"/>
        </w:rPr>
        <w:t>F</w:t>
      </w:r>
      <w:r>
        <w:rPr>
          <w:rFonts w:eastAsia="DengXian" w:cs="Arial"/>
          <w:vertAlign w:val="subscript"/>
        </w:rPr>
        <w:t>D</w:t>
      </w:r>
      <w:r w:rsidRPr="00D15C32">
        <w:rPr>
          <w:rFonts w:eastAsia="DengXian" w:cs="Arial"/>
          <w:vertAlign w:val="subscript"/>
        </w:rPr>
        <w:t>L,high</w:t>
      </w:r>
      <w:r w:rsidRPr="00D15C32">
        <w:rPr>
          <w:rFonts w:eastAsia="DengXian" w:cs="Arial"/>
        </w:rPr>
        <w:t xml:space="preserve"> + </w:t>
      </w:r>
      <w:r w:rsidRPr="00D15C32">
        <w:rPr>
          <w:rFonts w:eastAsia="DengXian"/>
        </w:rPr>
        <w:t>Δf</w:t>
      </w:r>
      <w:r w:rsidRPr="00D15C32">
        <w:rPr>
          <w:rFonts w:eastAsia="DengXian"/>
          <w:vertAlign w:val="subscript"/>
        </w:rPr>
        <w:t>OOB</w:t>
      </w:r>
      <w:r>
        <w:rPr>
          <w:rFonts w:eastAsia="DengXian"/>
          <w:lang w:eastAsia="zh-CN"/>
        </w:rPr>
        <w:t xml:space="preserve">. </w:t>
      </w:r>
      <w:r w:rsidRPr="00D15C32">
        <w:rPr>
          <w:rFonts w:eastAsia="DengXian" w:cs="v5.0.0"/>
        </w:rPr>
        <w:t xml:space="preserve">The </w:t>
      </w:r>
      <w:r w:rsidRPr="00D15C32">
        <w:rPr>
          <w:rFonts w:eastAsia="DengXian"/>
        </w:rPr>
        <w:t>Δf</w:t>
      </w:r>
      <w:r w:rsidRPr="00D15C32">
        <w:rPr>
          <w:rFonts w:eastAsia="DengXian"/>
          <w:vertAlign w:val="subscript"/>
        </w:rPr>
        <w:t>OOB</w:t>
      </w:r>
      <w:r w:rsidRPr="00D15C32">
        <w:rPr>
          <w:rFonts w:eastAsia="DengXian" w:cs="v5.0.0"/>
        </w:rPr>
        <w:t xml:space="preserve"> for </w:t>
      </w:r>
      <w:r>
        <w:rPr>
          <w:rFonts w:eastAsia="DengXian"/>
          <w:i/>
          <w:lang w:eastAsia="zh-CN"/>
        </w:rPr>
        <w:t xml:space="preserve">wide area IAB-MT </w:t>
      </w:r>
      <w:r w:rsidRPr="00D15C32">
        <w:rPr>
          <w:rFonts w:eastAsia="DengXian"/>
          <w:i/>
          <w:lang w:eastAsia="zh-CN"/>
        </w:rPr>
        <w:t>type 1-H</w:t>
      </w:r>
      <w:r w:rsidRPr="00D15C32">
        <w:rPr>
          <w:rFonts w:eastAsia="DengXian" w:cs="v5.0.0"/>
        </w:rPr>
        <w:t xml:space="preserve"> is </w:t>
      </w:r>
      <w:r w:rsidRPr="00D15C32">
        <w:rPr>
          <w:rFonts w:eastAsia="DengXian"/>
        </w:rPr>
        <w:t>defined in table 7.4.2.</w:t>
      </w:r>
      <w:r>
        <w:rPr>
          <w:rFonts w:eastAsia="DengXian"/>
        </w:rPr>
        <w:t>3</w:t>
      </w:r>
      <w:r w:rsidRPr="00D15C32">
        <w:rPr>
          <w:rFonts w:eastAsia="DengXian"/>
        </w:rPr>
        <w:t>-0.</w:t>
      </w:r>
    </w:p>
    <w:p w14:paraId="17EFA5D3" w14:textId="77777777" w:rsidR="00711A01" w:rsidRPr="00D15C32" w:rsidRDefault="00711A01" w:rsidP="00711A01">
      <w:pPr>
        <w:rPr>
          <w:lang w:eastAsia="zh-CN"/>
        </w:rPr>
      </w:pPr>
      <w:r w:rsidRPr="00D15C32">
        <w:rPr>
          <w:lang w:eastAsia="zh-CN"/>
        </w:rPr>
        <w:t xml:space="preserve">Minimum conducted requirement is defined at the </w:t>
      </w:r>
      <w:r w:rsidRPr="00D15C32">
        <w:rPr>
          <w:i/>
          <w:lang w:eastAsia="zh-CN"/>
        </w:rPr>
        <w:t>TAB connector</w:t>
      </w:r>
      <w:r w:rsidRPr="00D15C32">
        <w:rPr>
          <w:lang w:eastAsia="zh-CN"/>
        </w:rPr>
        <w:t xml:space="preserve"> for </w:t>
      </w:r>
      <w:r>
        <w:rPr>
          <w:i/>
          <w:lang w:eastAsia="zh-CN"/>
        </w:rPr>
        <w:t>IAB-MT</w:t>
      </w:r>
      <w:r w:rsidRPr="00D15C32">
        <w:rPr>
          <w:i/>
          <w:lang w:eastAsia="zh-CN"/>
        </w:rPr>
        <w:t xml:space="preserve"> type 1-H.</w:t>
      </w:r>
    </w:p>
    <w:p w14:paraId="5FB93EEE" w14:textId="77777777" w:rsidR="00711A01" w:rsidRPr="00D15C32" w:rsidRDefault="00711A01" w:rsidP="004D1519">
      <w:pPr>
        <w:pStyle w:val="TH"/>
        <w:rPr>
          <w:rFonts w:eastAsia="DengXian"/>
        </w:rPr>
      </w:pPr>
      <w:r w:rsidRPr="00D15C32">
        <w:rPr>
          <w:rFonts w:eastAsia="DengXian"/>
        </w:rPr>
        <w:t>Table 7.4.2.</w:t>
      </w:r>
      <w:r>
        <w:rPr>
          <w:rFonts w:eastAsia="DengXian"/>
        </w:rPr>
        <w:t>3</w:t>
      </w:r>
      <w:r w:rsidRPr="00D15C32">
        <w:rPr>
          <w:rFonts w:eastAsia="DengXian"/>
        </w:rPr>
        <w:t>-0: Δf</w:t>
      </w:r>
      <w:r w:rsidRPr="00D15C32">
        <w:rPr>
          <w:rFonts w:eastAsia="DengXian"/>
          <w:vertAlign w:val="subscript"/>
        </w:rPr>
        <w:t>OOB</w:t>
      </w:r>
      <w:r w:rsidRPr="00D15C32">
        <w:rPr>
          <w:rFonts w:eastAsia="DengXian"/>
        </w:rPr>
        <w:t xml:space="preserve"> offset for NR </w:t>
      </w:r>
      <w:r w:rsidRPr="00D15C32">
        <w:rPr>
          <w:rFonts w:eastAsia="DengXian"/>
          <w:i/>
        </w:rPr>
        <w:t>operating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7"/>
        <w:gridCol w:w="3472"/>
        <w:gridCol w:w="1219"/>
      </w:tblGrid>
      <w:tr w:rsidR="00711A01" w:rsidRPr="00D15C32" w14:paraId="6A0746F9" w14:textId="77777777" w:rsidTr="004C7013">
        <w:trPr>
          <w:jc w:val="center"/>
        </w:trPr>
        <w:tc>
          <w:tcPr>
            <w:tcW w:w="0" w:type="auto"/>
            <w:tcBorders>
              <w:bottom w:val="single" w:sz="4" w:space="0" w:color="auto"/>
            </w:tcBorders>
          </w:tcPr>
          <w:p w14:paraId="60B021E7" w14:textId="77777777" w:rsidR="00711A01" w:rsidRPr="00D15C32" w:rsidRDefault="00711A01" w:rsidP="00BD1F8C">
            <w:pPr>
              <w:keepNext/>
              <w:keepLines/>
              <w:spacing w:after="0"/>
              <w:jc w:val="center"/>
              <w:rPr>
                <w:rFonts w:ascii="Arial" w:eastAsia="DengXian" w:hAnsi="Arial"/>
                <w:b/>
                <w:sz w:val="18"/>
                <w:lang w:eastAsia="zh-CN"/>
              </w:rPr>
            </w:pPr>
            <w:r>
              <w:rPr>
                <w:rFonts w:ascii="Arial" w:eastAsia="DengXian" w:hAnsi="Arial"/>
                <w:b/>
                <w:sz w:val="18"/>
                <w:lang w:eastAsia="zh-CN"/>
              </w:rPr>
              <w:t>IAB-MT</w:t>
            </w:r>
            <w:r w:rsidRPr="00D15C32">
              <w:rPr>
                <w:rFonts w:ascii="Arial" w:eastAsia="DengXian" w:hAnsi="Arial"/>
                <w:b/>
                <w:sz w:val="18"/>
                <w:lang w:eastAsia="zh-CN"/>
              </w:rPr>
              <w:t xml:space="preserve"> type</w:t>
            </w:r>
          </w:p>
        </w:tc>
        <w:tc>
          <w:tcPr>
            <w:tcW w:w="3472" w:type="dxa"/>
            <w:shd w:val="clear" w:color="auto" w:fill="auto"/>
          </w:tcPr>
          <w:p w14:paraId="601174E8" w14:textId="77777777" w:rsidR="00711A01" w:rsidRPr="00D15C32" w:rsidRDefault="00711A01" w:rsidP="00BD1F8C">
            <w:pPr>
              <w:keepNext/>
              <w:keepLines/>
              <w:spacing w:after="0"/>
              <w:jc w:val="center"/>
              <w:rPr>
                <w:rFonts w:ascii="Arial" w:eastAsia="DengXian" w:hAnsi="Arial"/>
                <w:b/>
                <w:sz w:val="18"/>
              </w:rPr>
            </w:pPr>
            <w:r w:rsidRPr="00D15C32">
              <w:rPr>
                <w:rFonts w:ascii="Arial" w:eastAsia="DengXian" w:hAnsi="Arial"/>
                <w:b/>
                <w:i/>
                <w:sz w:val="18"/>
              </w:rPr>
              <w:t>Operating band</w:t>
            </w:r>
            <w:r w:rsidRPr="00D15C32">
              <w:rPr>
                <w:rFonts w:ascii="Arial" w:eastAsia="DengXian" w:hAnsi="Arial"/>
                <w:b/>
                <w:sz w:val="18"/>
              </w:rPr>
              <w:t xml:space="preserve"> characteristics</w:t>
            </w:r>
          </w:p>
        </w:tc>
        <w:tc>
          <w:tcPr>
            <w:tcW w:w="0" w:type="auto"/>
            <w:shd w:val="clear" w:color="auto" w:fill="auto"/>
          </w:tcPr>
          <w:p w14:paraId="18BEC7E4" w14:textId="77777777" w:rsidR="00711A01" w:rsidRPr="00D15C32" w:rsidRDefault="00711A01" w:rsidP="00BD1F8C">
            <w:pPr>
              <w:keepNext/>
              <w:keepLines/>
              <w:spacing w:after="0"/>
              <w:jc w:val="center"/>
              <w:rPr>
                <w:rFonts w:ascii="Arial" w:eastAsia="DengXian" w:hAnsi="Arial"/>
                <w:b/>
                <w:sz w:val="18"/>
              </w:rPr>
            </w:pPr>
            <w:r w:rsidRPr="00D15C32">
              <w:rPr>
                <w:rFonts w:ascii="Arial" w:eastAsia="DengXian" w:hAnsi="Arial"/>
                <w:b/>
                <w:sz w:val="18"/>
              </w:rPr>
              <w:t>Δf</w:t>
            </w:r>
            <w:r w:rsidRPr="00D15C32">
              <w:rPr>
                <w:rFonts w:ascii="Arial" w:eastAsia="DengXian" w:hAnsi="Arial"/>
                <w:b/>
                <w:sz w:val="18"/>
                <w:vertAlign w:val="subscript"/>
              </w:rPr>
              <w:t>OOB</w:t>
            </w:r>
            <w:r w:rsidRPr="00D15C32">
              <w:rPr>
                <w:rFonts w:ascii="Arial" w:eastAsia="DengXian" w:hAnsi="Arial"/>
                <w:b/>
                <w:sz w:val="18"/>
              </w:rPr>
              <w:t xml:space="preserve"> (MHz)</w:t>
            </w:r>
          </w:p>
        </w:tc>
      </w:tr>
      <w:tr w:rsidR="004C7013" w:rsidRPr="00D15C32" w14:paraId="73588F7F" w14:textId="77777777" w:rsidTr="004C7013">
        <w:trPr>
          <w:jc w:val="center"/>
        </w:trPr>
        <w:tc>
          <w:tcPr>
            <w:tcW w:w="0" w:type="auto"/>
            <w:tcBorders>
              <w:bottom w:val="nil"/>
            </w:tcBorders>
            <w:shd w:val="clear" w:color="auto" w:fill="auto"/>
            <w:vAlign w:val="center"/>
          </w:tcPr>
          <w:p w14:paraId="343AB3CC" w14:textId="77777777" w:rsidR="004C7013" w:rsidRPr="00D15C32" w:rsidRDefault="004C7013" w:rsidP="00BD1F8C">
            <w:pPr>
              <w:keepNext/>
              <w:keepLines/>
              <w:spacing w:after="0"/>
              <w:rPr>
                <w:rFonts w:ascii="Arial" w:eastAsia="DengXian" w:hAnsi="Arial"/>
                <w:i/>
                <w:sz w:val="18"/>
              </w:rPr>
            </w:pPr>
            <w:r>
              <w:rPr>
                <w:rFonts w:ascii="Arial" w:eastAsia="DengXian" w:hAnsi="Arial"/>
                <w:i/>
                <w:sz w:val="18"/>
                <w:lang w:eastAsia="zh-CN"/>
              </w:rPr>
              <w:t>IAB-MT</w:t>
            </w:r>
            <w:r w:rsidRPr="00D15C32">
              <w:rPr>
                <w:rFonts w:ascii="Arial" w:eastAsia="DengXian" w:hAnsi="Arial"/>
                <w:i/>
                <w:sz w:val="18"/>
                <w:lang w:eastAsia="zh-CN"/>
              </w:rPr>
              <w:t xml:space="preserve"> type 1-H</w:t>
            </w:r>
          </w:p>
        </w:tc>
        <w:tc>
          <w:tcPr>
            <w:tcW w:w="3472" w:type="dxa"/>
            <w:shd w:val="clear" w:color="auto" w:fill="auto"/>
          </w:tcPr>
          <w:p w14:paraId="4B105DD1" w14:textId="77777777" w:rsidR="004C7013" w:rsidRPr="00D15C32" w:rsidRDefault="004C7013" w:rsidP="00BD1F8C">
            <w:pPr>
              <w:keepNext/>
              <w:keepLines/>
              <w:spacing w:after="0"/>
              <w:rPr>
                <w:rFonts w:ascii="Arial" w:eastAsia="DengXian" w:hAnsi="Arial"/>
                <w:sz w:val="18"/>
              </w:rPr>
            </w:pPr>
            <w:r w:rsidRPr="00D15C32">
              <w:rPr>
                <w:rFonts w:ascii="Arial" w:eastAsia="DengXian" w:hAnsi="Arial" w:cs="Arial"/>
                <w:sz w:val="18"/>
              </w:rPr>
              <w:t>F</w:t>
            </w:r>
            <w:r>
              <w:rPr>
                <w:rFonts w:ascii="Arial" w:eastAsia="DengXian" w:hAnsi="Arial" w:cs="Arial"/>
                <w:sz w:val="18"/>
                <w:vertAlign w:val="subscript"/>
              </w:rPr>
              <w:t>DL</w:t>
            </w:r>
            <w:r w:rsidRPr="00D15C32">
              <w:rPr>
                <w:rFonts w:ascii="Arial" w:eastAsia="DengXian" w:hAnsi="Arial" w:cs="Arial"/>
                <w:sz w:val="18"/>
                <w:vertAlign w:val="subscript"/>
              </w:rPr>
              <w:t>,high</w:t>
            </w:r>
            <w:r w:rsidRPr="00D15C32">
              <w:rPr>
                <w:rFonts w:ascii="Arial" w:eastAsia="DengXian" w:hAnsi="Arial"/>
                <w:sz w:val="18"/>
              </w:rPr>
              <w:t xml:space="preserve"> – </w:t>
            </w:r>
            <w:r w:rsidRPr="00D15C32">
              <w:rPr>
                <w:rFonts w:ascii="Arial" w:eastAsia="DengXian" w:hAnsi="Arial" w:cs="Arial"/>
                <w:sz w:val="18"/>
              </w:rPr>
              <w:t>F</w:t>
            </w:r>
            <w:r>
              <w:rPr>
                <w:rFonts w:ascii="Arial" w:eastAsia="DengXian" w:hAnsi="Arial" w:cs="Arial"/>
                <w:sz w:val="18"/>
                <w:vertAlign w:val="subscript"/>
              </w:rPr>
              <w:t>D</w:t>
            </w:r>
            <w:r w:rsidRPr="00D15C32">
              <w:rPr>
                <w:rFonts w:ascii="Arial" w:eastAsia="DengXian" w:hAnsi="Arial" w:cs="Arial"/>
                <w:sz w:val="18"/>
                <w:vertAlign w:val="subscript"/>
              </w:rPr>
              <w:t>L,low</w:t>
            </w:r>
            <w:r w:rsidRPr="00D15C32">
              <w:rPr>
                <w:rFonts w:ascii="Arial" w:eastAsia="DengXian" w:hAnsi="Arial" w:cs="Arial"/>
                <w:sz w:val="18"/>
              </w:rPr>
              <w:t xml:space="preserve"> &lt; </w:t>
            </w:r>
            <w:r w:rsidRPr="00D15C32">
              <w:rPr>
                <w:rFonts w:ascii="Arial" w:eastAsia="DengXian" w:hAnsi="Arial" w:cs="Arial"/>
                <w:sz w:val="18"/>
                <w:lang w:eastAsia="zh-CN"/>
              </w:rPr>
              <w:t>100 MHz</w:t>
            </w:r>
          </w:p>
        </w:tc>
        <w:tc>
          <w:tcPr>
            <w:tcW w:w="0" w:type="auto"/>
            <w:shd w:val="clear" w:color="auto" w:fill="auto"/>
          </w:tcPr>
          <w:p w14:paraId="4DEC0A6B" w14:textId="77777777" w:rsidR="004C7013" w:rsidRPr="00D15C32" w:rsidRDefault="004C7013" w:rsidP="00BD1F8C">
            <w:pPr>
              <w:keepNext/>
              <w:keepLines/>
              <w:spacing w:after="0"/>
              <w:jc w:val="center"/>
              <w:rPr>
                <w:rFonts w:ascii="Arial" w:eastAsia="DengXian" w:hAnsi="Arial"/>
                <w:sz w:val="18"/>
              </w:rPr>
            </w:pPr>
            <w:r w:rsidRPr="00D15C32">
              <w:rPr>
                <w:rFonts w:ascii="Arial" w:eastAsia="DengXian" w:hAnsi="Arial"/>
                <w:sz w:val="18"/>
              </w:rPr>
              <w:t>20</w:t>
            </w:r>
          </w:p>
        </w:tc>
      </w:tr>
      <w:tr w:rsidR="004C7013" w:rsidRPr="00D15C32" w14:paraId="01C3DA34" w14:textId="77777777" w:rsidTr="004C7013">
        <w:trPr>
          <w:jc w:val="center"/>
        </w:trPr>
        <w:tc>
          <w:tcPr>
            <w:tcW w:w="0" w:type="auto"/>
            <w:tcBorders>
              <w:top w:val="nil"/>
            </w:tcBorders>
            <w:shd w:val="clear" w:color="auto" w:fill="auto"/>
          </w:tcPr>
          <w:p w14:paraId="2785F92B" w14:textId="77777777" w:rsidR="004C7013" w:rsidRPr="00D15C32" w:rsidRDefault="004C7013" w:rsidP="00BD1F8C">
            <w:pPr>
              <w:keepNext/>
              <w:keepLines/>
              <w:spacing w:after="0"/>
              <w:rPr>
                <w:rFonts w:ascii="Arial" w:eastAsia="DengXian" w:hAnsi="Arial"/>
                <w:sz w:val="18"/>
              </w:rPr>
            </w:pPr>
          </w:p>
        </w:tc>
        <w:tc>
          <w:tcPr>
            <w:tcW w:w="3472" w:type="dxa"/>
            <w:shd w:val="clear" w:color="auto" w:fill="auto"/>
          </w:tcPr>
          <w:p w14:paraId="59B4AE2D" w14:textId="77777777" w:rsidR="004C7013" w:rsidRPr="00D15C32" w:rsidRDefault="004C7013" w:rsidP="00BD1F8C">
            <w:pPr>
              <w:keepNext/>
              <w:keepLines/>
              <w:spacing w:after="0"/>
              <w:rPr>
                <w:rFonts w:ascii="Arial" w:eastAsia="DengXian" w:hAnsi="Arial"/>
                <w:sz w:val="18"/>
              </w:rPr>
            </w:pPr>
            <w:r w:rsidRPr="00D15C32">
              <w:rPr>
                <w:rFonts w:ascii="Arial" w:eastAsia="DengXian" w:hAnsi="Arial" w:cs="Arial"/>
                <w:sz w:val="18"/>
              </w:rPr>
              <w:t xml:space="preserve">100 MHz </w:t>
            </w:r>
            <w:r w:rsidRPr="00D15C32">
              <w:rPr>
                <w:rFonts w:ascii="Arial" w:eastAsia="DengXian" w:hAnsi="Arial" w:cs="Arial" w:hint="eastAsia"/>
                <w:sz w:val="18"/>
              </w:rPr>
              <w:t>≤</w:t>
            </w:r>
            <w:r w:rsidRPr="00D15C32">
              <w:rPr>
                <w:rFonts w:ascii="Arial" w:eastAsia="DengXian" w:hAnsi="Arial" w:cs="Arial"/>
                <w:sz w:val="18"/>
              </w:rPr>
              <w:t xml:space="preserve"> F</w:t>
            </w:r>
            <w:r>
              <w:rPr>
                <w:rFonts w:ascii="Arial" w:eastAsia="DengXian" w:hAnsi="Arial" w:cs="Arial"/>
                <w:sz w:val="18"/>
                <w:vertAlign w:val="subscript"/>
              </w:rPr>
              <w:t>D</w:t>
            </w:r>
            <w:r w:rsidRPr="00D15C32">
              <w:rPr>
                <w:rFonts w:ascii="Arial" w:eastAsia="DengXian" w:hAnsi="Arial" w:cs="Arial"/>
                <w:sz w:val="18"/>
                <w:vertAlign w:val="subscript"/>
              </w:rPr>
              <w:t>L,high</w:t>
            </w:r>
            <w:r w:rsidRPr="00D15C32">
              <w:rPr>
                <w:rFonts w:ascii="Arial" w:eastAsia="DengXian" w:hAnsi="Arial"/>
                <w:sz w:val="18"/>
              </w:rPr>
              <w:t xml:space="preserve"> – </w:t>
            </w:r>
            <w:r w:rsidRPr="00D15C32">
              <w:rPr>
                <w:rFonts w:ascii="Arial" w:eastAsia="DengXian" w:hAnsi="Arial" w:cs="Arial"/>
                <w:sz w:val="18"/>
              </w:rPr>
              <w:t>F</w:t>
            </w:r>
            <w:r>
              <w:rPr>
                <w:rFonts w:ascii="Arial" w:eastAsia="DengXian" w:hAnsi="Arial" w:cs="Arial"/>
                <w:sz w:val="18"/>
                <w:vertAlign w:val="subscript"/>
              </w:rPr>
              <w:t>D</w:t>
            </w:r>
            <w:r w:rsidRPr="00D15C32">
              <w:rPr>
                <w:rFonts w:ascii="Arial" w:eastAsia="DengXian" w:hAnsi="Arial" w:cs="Arial"/>
                <w:sz w:val="18"/>
                <w:vertAlign w:val="subscript"/>
              </w:rPr>
              <w:t>L,low</w:t>
            </w:r>
            <w:r w:rsidRPr="00D15C32">
              <w:rPr>
                <w:rFonts w:ascii="Arial" w:eastAsia="DengXian" w:hAnsi="Arial" w:cs="Arial" w:hint="eastAsia"/>
                <w:sz w:val="18"/>
              </w:rPr>
              <w:t xml:space="preserve"> </w:t>
            </w:r>
            <w:r w:rsidRPr="00D15C32">
              <w:rPr>
                <w:rFonts w:ascii="Arial" w:eastAsia="DengXian" w:hAnsi="Arial" w:cs="Arial" w:hint="eastAsia"/>
                <w:sz w:val="18"/>
              </w:rPr>
              <w:t>≤</w:t>
            </w:r>
            <w:r w:rsidRPr="00D15C32">
              <w:rPr>
                <w:rFonts w:ascii="Arial" w:eastAsia="DengXian" w:hAnsi="Arial" w:cs="Arial" w:hint="eastAsia"/>
                <w:sz w:val="18"/>
              </w:rPr>
              <w:t xml:space="preserve"> </w:t>
            </w:r>
            <w:r w:rsidRPr="00D15C32">
              <w:rPr>
                <w:rFonts w:ascii="Arial" w:eastAsia="DengXian" w:hAnsi="Arial" w:cs="Arial"/>
                <w:sz w:val="18"/>
                <w:lang w:eastAsia="zh-CN"/>
              </w:rPr>
              <w:t>900 MHz</w:t>
            </w:r>
            <w:r w:rsidRPr="00D15C32">
              <w:rPr>
                <w:rFonts w:ascii="Arial" w:eastAsia="DengXian" w:hAnsi="Arial" w:cs="Arial"/>
                <w:sz w:val="18"/>
              </w:rPr>
              <w:t xml:space="preserve"> </w:t>
            </w:r>
          </w:p>
        </w:tc>
        <w:tc>
          <w:tcPr>
            <w:tcW w:w="0" w:type="auto"/>
            <w:shd w:val="clear" w:color="auto" w:fill="auto"/>
          </w:tcPr>
          <w:p w14:paraId="038AE019" w14:textId="77777777" w:rsidR="004C7013" w:rsidRPr="00D15C32" w:rsidRDefault="004C7013" w:rsidP="00BD1F8C">
            <w:pPr>
              <w:keepNext/>
              <w:keepLines/>
              <w:spacing w:after="0"/>
              <w:jc w:val="center"/>
              <w:rPr>
                <w:rFonts w:ascii="Arial" w:eastAsia="DengXian" w:hAnsi="Arial"/>
                <w:sz w:val="18"/>
              </w:rPr>
            </w:pPr>
            <w:r w:rsidRPr="00D15C32">
              <w:rPr>
                <w:rFonts w:ascii="Arial" w:eastAsia="DengXian" w:hAnsi="Arial"/>
                <w:sz w:val="18"/>
              </w:rPr>
              <w:t>60</w:t>
            </w:r>
          </w:p>
        </w:tc>
      </w:tr>
    </w:tbl>
    <w:p w14:paraId="5196BC6E" w14:textId="77777777" w:rsidR="00711A01" w:rsidRPr="00D15C32" w:rsidRDefault="00711A01" w:rsidP="00711A01">
      <w:pPr>
        <w:rPr>
          <w:rFonts w:eastAsia="DengXian"/>
          <w:lang w:eastAsia="zh-CN"/>
        </w:rPr>
      </w:pPr>
    </w:p>
    <w:p w14:paraId="1EC7A301" w14:textId="77777777" w:rsidR="00711A01" w:rsidRPr="00D15C32" w:rsidRDefault="00711A01" w:rsidP="00711A01">
      <w:pPr>
        <w:rPr>
          <w:rFonts w:eastAsia="DengXian"/>
          <w:lang w:eastAsia="zh-CN"/>
        </w:rPr>
      </w:pPr>
      <w:r w:rsidRPr="00D15C32">
        <w:rPr>
          <w:rFonts w:eastAsia="DengXian"/>
          <w:lang w:eastAsia="zh-CN"/>
        </w:rPr>
        <w:t>For a</w:t>
      </w:r>
      <w:r>
        <w:rPr>
          <w:rFonts w:eastAsia="DengXian"/>
          <w:lang w:eastAsia="zh-CN"/>
        </w:rPr>
        <w:t>n IAB-MT</w:t>
      </w:r>
      <w:r w:rsidRPr="00D15C32">
        <w:rPr>
          <w:rFonts w:eastAsia="DengXian"/>
          <w:lang w:eastAsia="zh-CN"/>
        </w:rPr>
        <w:t xml:space="preserve"> operating in </w:t>
      </w:r>
      <w:r w:rsidRPr="00D15C32">
        <w:rPr>
          <w:rFonts w:eastAsia="DengXian"/>
          <w:i/>
          <w:lang w:eastAsia="zh-CN"/>
        </w:rPr>
        <w:t>non-contiguous spectrum</w:t>
      </w:r>
      <w:r w:rsidRPr="00D15C32">
        <w:rPr>
          <w:rFonts w:eastAsia="DengXian"/>
          <w:lang w:eastAsia="zh-CN"/>
        </w:rPr>
        <w:t xml:space="preserve"> within any </w:t>
      </w:r>
      <w:r w:rsidRPr="00D15C32">
        <w:rPr>
          <w:rFonts w:eastAsia="DengXian"/>
          <w:i/>
          <w:lang w:eastAsia="zh-CN"/>
        </w:rPr>
        <w:t>operating band</w:t>
      </w:r>
      <w:r w:rsidRPr="00D15C32">
        <w:rPr>
          <w:rFonts w:eastAsia="DengXian"/>
          <w:lang w:eastAsia="zh-CN"/>
        </w:rPr>
        <w:t xml:space="preserve">, the in-band blocking requirements apply in addition inside any </w:t>
      </w:r>
      <w:r w:rsidRPr="00D15C32">
        <w:rPr>
          <w:rFonts w:eastAsia="DengXian"/>
          <w:i/>
          <w:lang w:eastAsia="zh-CN"/>
        </w:rPr>
        <w:t>sub-block gap</w:t>
      </w:r>
      <w:r w:rsidRPr="00D15C32">
        <w:rPr>
          <w:rFonts w:eastAsia="DengXian"/>
          <w:lang w:eastAsia="zh-CN"/>
        </w:rPr>
        <w:t xml:space="preserve">, in case the </w:t>
      </w:r>
      <w:r w:rsidRPr="00D15C32">
        <w:rPr>
          <w:rFonts w:eastAsia="DengXian"/>
          <w:i/>
          <w:lang w:eastAsia="zh-CN"/>
        </w:rPr>
        <w:t>sub-block gap</w:t>
      </w:r>
      <w:r w:rsidRPr="00D15C32">
        <w:rPr>
          <w:rFonts w:eastAsia="DengXian"/>
          <w:lang w:eastAsia="zh-CN"/>
        </w:rPr>
        <w:t xml:space="preserve"> size is at least as wide as twice the interfering signal minimum offset in tables 7.4.2.</w:t>
      </w:r>
      <w:r>
        <w:rPr>
          <w:rFonts w:eastAsia="DengXian"/>
          <w:lang w:eastAsia="zh-CN"/>
        </w:rPr>
        <w:t>3</w:t>
      </w:r>
      <w:r w:rsidRPr="00D15C32">
        <w:rPr>
          <w:rFonts w:eastAsia="DengXian"/>
          <w:lang w:eastAsia="zh-CN"/>
        </w:rPr>
        <w:t xml:space="preserve">-1. The interfering signal offset is defined relative to the </w:t>
      </w:r>
      <w:r w:rsidRPr="00D15C32">
        <w:rPr>
          <w:rFonts w:eastAsia="DengXian"/>
          <w:i/>
          <w:lang w:eastAsia="zh-CN"/>
        </w:rPr>
        <w:t>sub-block</w:t>
      </w:r>
      <w:r w:rsidRPr="00D15C32">
        <w:rPr>
          <w:rFonts w:eastAsia="DengXian"/>
          <w:lang w:eastAsia="zh-CN"/>
        </w:rPr>
        <w:t xml:space="preserve"> edges inside the </w:t>
      </w:r>
      <w:r w:rsidRPr="00D15C32">
        <w:rPr>
          <w:rFonts w:eastAsia="DengXian"/>
          <w:i/>
          <w:lang w:eastAsia="zh-CN"/>
        </w:rPr>
        <w:t>sub-block gap</w:t>
      </w:r>
      <w:r w:rsidRPr="00D15C32">
        <w:rPr>
          <w:rFonts w:eastAsia="DengXian"/>
          <w:lang w:eastAsia="zh-CN"/>
        </w:rPr>
        <w:t>.</w:t>
      </w:r>
    </w:p>
    <w:p w14:paraId="6BC51C13" w14:textId="77777777" w:rsidR="00711A01" w:rsidRPr="00D15C32" w:rsidRDefault="00711A01" w:rsidP="00711A01">
      <w:pPr>
        <w:rPr>
          <w:rFonts w:eastAsia="DengXian"/>
          <w:lang w:eastAsia="zh-CN"/>
        </w:rPr>
      </w:pPr>
      <w:r w:rsidRPr="00D15C32">
        <w:rPr>
          <w:rFonts w:eastAsia="DengXian"/>
          <w:lang w:eastAsia="zh-CN"/>
        </w:rPr>
        <w:t xml:space="preserve">For a </w:t>
      </w:r>
      <w:r w:rsidRPr="00D15C32">
        <w:rPr>
          <w:rFonts w:eastAsia="DengXian"/>
          <w:i/>
          <w:lang w:eastAsia="zh-CN"/>
        </w:rPr>
        <w:t>multi-band connector</w:t>
      </w:r>
      <w:r w:rsidRPr="00D15C32">
        <w:rPr>
          <w:rFonts w:eastAsia="DengXian"/>
          <w:lang w:eastAsia="zh-CN"/>
        </w:rPr>
        <w:t xml:space="preserve">, the blocking requirements apply in the in-band blocking frequency ranges for each supported </w:t>
      </w:r>
      <w:r w:rsidRPr="00D15C32">
        <w:rPr>
          <w:rFonts w:eastAsia="DengXian"/>
          <w:i/>
          <w:lang w:eastAsia="zh-CN"/>
        </w:rPr>
        <w:t>operating band</w:t>
      </w:r>
      <w:r w:rsidRPr="00D15C32">
        <w:rPr>
          <w:rFonts w:eastAsia="DengXian"/>
          <w:lang w:eastAsia="zh-CN"/>
        </w:rPr>
        <w:t xml:space="preserve">. The requirement shall apply in addition inside any </w:t>
      </w:r>
      <w:r w:rsidRPr="00D15C32">
        <w:rPr>
          <w:rFonts w:eastAsia="DengXian"/>
          <w:i/>
          <w:lang w:eastAsia="zh-CN"/>
        </w:rPr>
        <w:t>Inter RF Bandwidth gap</w:t>
      </w:r>
      <w:r w:rsidRPr="00D15C32">
        <w:rPr>
          <w:rFonts w:eastAsia="DengXian"/>
          <w:lang w:eastAsia="zh-CN"/>
        </w:rPr>
        <w:t xml:space="preserve">, in case the </w:t>
      </w:r>
      <w:r w:rsidRPr="00D15C32">
        <w:rPr>
          <w:rFonts w:eastAsia="DengXian"/>
          <w:i/>
          <w:lang w:eastAsia="zh-CN"/>
        </w:rPr>
        <w:t>Inter RF Bandwidth gap</w:t>
      </w:r>
      <w:r w:rsidRPr="00D15C32">
        <w:rPr>
          <w:rFonts w:eastAsia="DengXian"/>
          <w:lang w:eastAsia="zh-CN"/>
        </w:rPr>
        <w:t xml:space="preserve"> size is at least as wide as twice the interfering signal minimum offset in tables 7.4.2.</w:t>
      </w:r>
      <w:r>
        <w:rPr>
          <w:rFonts w:eastAsia="DengXian"/>
          <w:lang w:eastAsia="zh-CN"/>
        </w:rPr>
        <w:t>3</w:t>
      </w:r>
      <w:r w:rsidRPr="00D15C32">
        <w:rPr>
          <w:rFonts w:eastAsia="DengXian"/>
          <w:lang w:eastAsia="zh-CN"/>
        </w:rPr>
        <w:t>-1.</w:t>
      </w:r>
    </w:p>
    <w:p w14:paraId="03D30662" w14:textId="77777777" w:rsidR="00711A01" w:rsidRPr="00D15C32" w:rsidRDefault="00711A01" w:rsidP="00711A01">
      <w:pPr>
        <w:rPr>
          <w:rFonts w:eastAsia="DengXian"/>
        </w:rPr>
      </w:pPr>
      <w:r w:rsidRPr="00D15C32">
        <w:rPr>
          <w:rFonts w:eastAsia="DengXian"/>
        </w:rPr>
        <w:t>For a</w:t>
      </w:r>
      <w:r>
        <w:rPr>
          <w:rFonts w:eastAsia="DengXian"/>
        </w:rPr>
        <w:t>n IAB-MT</w:t>
      </w:r>
      <w:r w:rsidRPr="00D15C32">
        <w:rPr>
          <w:rFonts w:eastAsia="DengXian"/>
        </w:rPr>
        <w:t xml:space="preserve"> operating in </w:t>
      </w:r>
      <w:r w:rsidRPr="00D15C32">
        <w:rPr>
          <w:rFonts w:eastAsia="DengXian"/>
          <w:i/>
        </w:rPr>
        <w:t>non-contiguous spectrum</w:t>
      </w:r>
      <w:r w:rsidRPr="00D15C32">
        <w:rPr>
          <w:rFonts w:eastAsia="DengXian"/>
        </w:rPr>
        <w:t xml:space="preserve"> within any </w:t>
      </w:r>
      <w:r w:rsidRPr="00D15C32">
        <w:rPr>
          <w:rFonts w:eastAsia="DengXian"/>
          <w:i/>
        </w:rPr>
        <w:t>operating band</w:t>
      </w:r>
      <w:r w:rsidRPr="00D15C32">
        <w:rPr>
          <w:rFonts w:eastAsia="DengXian"/>
        </w:rPr>
        <w:t xml:space="preserve">, the narrowband blocking requirement shall apply in addition inside any </w:t>
      </w:r>
      <w:r w:rsidRPr="00D15C32">
        <w:rPr>
          <w:rFonts w:eastAsia="DengXian"/>
          <w:i/>
        </w:rPr>
        <w:t>sub-block gap</w:t>
      </w:r>
      <w:r w:rsidRPr="00D15C32">
        <w:rPr>
          <w:rFonts w:eastAsia="DengXian"/>
        </w:rPr>
        <w:t xml:space="preserve">, in case the </w:t>
      </w:r>
      <w:r w:rsidRPr="00D15C32">
        <w:rPr>
          <w:rFonts w:eastAsia="DengXian"/>
          <w:i/>
        </w:rPr>
        <w:t>sub-block gap size</w:t>
      </w:r>
      <w:r w:rsidRPr="00D15C32">
        <w:rPr>
          <w:rFonts w:eastAsia="DengXian"/>
        </w:rPr>
        <w:t xml:space="preserve"> is at least as wide as the </w:t>
      </w:r>
      <w:r w:rsidRPr="00D15C32">
        <w:rPr>
          <w:rFonts w:eastAsia="DengXian"/>
          <w:i/>
        </w:rPr>
        <w:t>channel bandwidth</w:t>
      </w:r>
      <w:r w:rsidRPr="00D15C32">
        <w:rPr>
          <w:rFonts w:eastAsia="DengXian"/>
        </w:rPr>
        <w:t xml:space="preserve"> of the </w:t>
      </w:r>
      <w:r w:rsidRPr="00D15C32">
        <w:rPr>
          <w:rFonts w:eastAsia="DengXian"/>
          <w:lang w:val="en-US" w:eastAsia="zh-CN"/>
        </w:rPr>
        <w:t xml:space="preserve">NR </w:t>
      </w:r>
      <w:r w:rsidRPr="00D15C32">
        <w:rPr>
          <w:rFonts w:eastAsia="DengXian"/>
        </w:rPr>
        <w:t>interfering signal in Table 7.</w:t>
      </w:r>
      <w:r w:rsidRPr="00D15C32">
        <w:rPr>
          <w:rFonts w:eastAsia="DengXian"/>
          <w:lang w:val="en-US" w:eastAsia="zh-CN"/>
        </w:rPr>
        <w:t>4.2.</w:t>
      </w:r>
      <w:r>
        <w:rPr>
          <w:rFonts w:eastAsia="DengXian"/>
          <w:lang w:val="en-US" w:eastAsia="zh-CN"/>
        </w:rPr>
        <w:t>3</w:t>
      </w:r>
      <w:r w:rsidRPr="00D15C32">
        <w:rPr>
          <w:rFonts w:eastAsia="DengXian"/>
        </w:rPr>
        <w:t>-</w:t>
      </w:r>
      <w:r w:rsidRPr="00D15C32">
        <w:rPr>
          <w:rFonts w:eastAsia="DengXian"/>
          <w:lang w:val="en-US" w:eastAsia="zh-CN"/>
        </w:rPr>
        <w:t>3</w:t>
      </w:r>
      <w:r w:rsidRPr="00D15C32">
        <w:rPr>
          <w:rFonts w:eastAsia="DengXian"/>
        </w:rPr>
        <w:t xml:space="preserve">. The interfering signal offset is defined relative to the </w:t>
      </w:r>
      <w:r w:rsidRPr="00D15C32">
        <w:rPr>
          <w:rFonts w:eastAsia="DengXian"/>
          <w:i/>
        </w:rPr>
        <w:t>sub-block</w:t>
      </w:r>
      <w:r w:rsidRPr="00D15C32">
        <w:rPr>
          <w:rFonts w:eastAsia="DengXian"/>
        </w:rPr>
        <w:t xml:space="preserve"> edges inside the </w:t>
      </w:r>
      <w:r w:rsidRPr="00D15C32">
        <w:rPr>
          <w:rFonts w:eastAsia="DengXian"/>
          <w:i/>
        </w:rPr>
        <w:t>sub-block gap</w:t>
      </w:r>
      <w:r w:rsidRPr="00D15C32">
        <w:rPr>
          <w:rFonts w:eastAsia="DengXian"/>
        </w:rPr>
        <w:t>.</w:t>
      </w:r>
    </w:p>
    <w:p w14:paraId="51A88C48" w14:textId="77777777" w:rsidR="00711A01" w:rsidRPr="00D15C32" w:rsidRDefault="00711A01" w:rsidP="00711A01">
      <w:pPr>
        <w:rPr>
          <w:rFonts w:eastAsia="DengXian"/>
          <w:lang w:eastAsia="zh-CN"/>
        </w:rPr>
      </w:pPr>
      <w:r w:rsidRPr="00D15C32">
        <w:rPr>
          <w:rFonts w:eastAsia="Osaka"/>
        </w:rPr>
        <w:t xml:space="preserve">For a </w:t>
      </w:r>
      <w:r w:rsidRPr="00D15C32">
        <w:rPr>
          <w:rFonts w:eastAsia="DengXian"/>
          <w:i/>
          <w:lang w:eastAsia="zh-CN"/>
        </w:rPr>
        <w:t>multi-band</w:t>
      </w:r>
      <w:r w:rsidRPr="00D15C32">
        <w:rPr>
          <w:rFonts w:eastAsia="DengXian"/>
          <w:i/>
        </w:rPr>
        <w:t xml:space="preserve"> </w:t>
      </w:r>
      <w:r w:rsidRPr="00D15C32">
        <w:rPr>
          <w:rFonts w:eastAsia="DengXian"/>
          <w:i/>
          <w:lang w:eastAsia="zh-CN"/>
        </w:rPr>
        <w:t>connector</w:t>
      </w:r>
      <w:r w:rsidRPr="00D15C32">
        <w:rPr>
          <w:rFonts w:eastAsia="Osaka"/>
        </w:rPr>
        <w:t xml:space="preserve">, the narrowband blocking requirement shall apply in addition inside any </w:t>
      </w:r>
      <w:r w:rsidRPr="00D15C32">
        <w:rPr>
          <w:rFonts w:eastAsia="Osaka"/>
          <w:i/>
        </w:rPr>
        <w:t>Inter RF Bandwidth gap</w:t>
      </w:r>
      <w:r w:rsidRPr="00D15C32">
        <w:rPr>
          <w:rFonts w:eastAsia="Osaka"/>
        </w:rPr>
        <w:t xml:space="preserve">, in case the </w:t>
      </w:r>
      <w:r w:rsidRPr="00D15C32">
        <w:rPr>
          <w:rFonts w:eastAsia="Osaka"/>
          <w:i/>
        </w:rPr>
        <w:t>Inter RF Bandwidth gap</w:t>
      </w:r>
      <w:r w:rsidRPr="00D15C32">
        <w:rPr>
          <w:rFonts w:eastAsia="Osaka"/>
        </w:rPr>
        <w:t xml:space="preserve"> size is at least as wide as the </w:t>
      </w:r>
      <w:r w:rsidRPr="00D15C32">
        <w:rPr>
          <w:lang w:val="en-US" w:eastAsia="zh-CN"/>
        </w:rPr>
        <w:t xml:space="preserve">NR </w:t>
      </w:r>
      <w:r w:rsidRPr="00D15C32">
        <w:rPr>
          <w:rFonts w:eastAsia="Osaka"/>
        </w:rPr>
        <w:t xml:space="preserve">interfering signal in Table </w:t>
      </w:r>
      <w:r w:rsidRPr="00D15C32">
        <w:rPr>
          <w:rFonts w:eastAsia="DengXian"/>
        </w:rPr>
        <w:t>7.</w:t>
      </w:r>
      <w:r w:rsidRPr="00D15C32">
        <w:rPr>
          <w:rFonts w:eastAsia="DengXian"/>
          <w:lang w:val="en-US" w:eastAsia="zh-CN"/>
        </w:rPr>
        <w:t>4.2.</w:t>
      </w:r>
      <w:r>
        <w:rPr>
          <w:rFonts w:eastAsia="DengXian"/>
          <w:lang w:val="en-US" w:eastAsia="zh-CN"/>
        </w:rPr>
        <w:t>3</w:t>
      </w:r>
      <w:r w:rsidRPr="00D15C32">
        <w:rPr>
          <w:rFonts w:eastAsia="DengXian"/>
        </w:rPr>
        <w:t>-</w:t>
      </w:r>
      <w:r w:rsidRPr="00D15C32">
        <w:rPr>
          <w:rFonts w:eastAsia="DengXian"/>
          <w:lang w:val="en-US" w:eastAsia="zh-CN"/>
        </w:rPr>
        <w:t>3</w:t>
      </w:r>
      <w:r w:rsidRPr="00D15C32">
        <w:rPr>
          <w:rFonts w:eastAsia="Osaka"/>
        </w:rPr>
        <w:t xml:space="preserve">. The interfering signal offset is defined relative to the </w:t>
      </w:r>
      <w:r>
        <w:rPr>
          <w:rFonts w:eastAsia="DengXian"/>
          <w:i/>
        </w:rPr>
        <w:t>IAB-MT</w:t>
      </w:r>
      <w:r w:rsidRPr="00D15C32">
        <w:rPr>
          <w:rFonts w:eastAsia="DengXian"/>
          <w:i/>
        </w:rPr>
        <w:t xml:space="preserve"> </w:t>
      </w:r>
      <w:r w:rsidRPr="00D15C32">
        <w:rPr>
          <w:rFonts w:eastAsia="Osaka"/>
          <w:i/>
        </w:rPr>
        <w:t>RF Bandwidth</w:t>
      </w:r>
      <w:r w:rsidRPr="00D15C32">
        <w:rPr>
          <w:rFonts w:eastAsia="Osaka"/>
        </w:rPr>
        <w:t xml:space="preserve"> edges inside the </w:t>
      </w:r>
      <w:r w:rsidRPr="00D15C32">
        <w:rPr>
          <w:rFonts w:eastAsia="Osaka"/>
          <w:i/>
        </w:rPr>
        <w:t>Inter RF Bandwidth gap</w:t>
      </w:r>
      <w:r w:rsidRPr="00D15C32">
        <w:rPr>
          <w:rFonts w:eastAsia="Osaka"/>
        </w:rPr>
        <w:t>.</w:t>
      </w:r>
    </w:p>
    <w:p w14:paraId="4A1A8637" w14:textId="77777777" w:rsidR="00711A01" w:rsidRPr="00D15C32" w:rsidRDefault="00711A01" w:rsidP="004D1519">
      <w:pPr>
        <w:pStyle w:val="TH"/>
        <w:rPr>
          <w:lang w:eastAsia="zh-CN"/>
        </w:rPr>
      </w:pPr>
      <w:r w:rsidRPr="00D15C32">
        <w:rPr>
          <w:rFonts w:eastAsia="DengXian"/>
        </w:rPr>
        <w:t xml:space="preserve">Table </w:t>
      </w:r>
      <w:r w:rsidRPr="00D15C32">
        <w:rPr>
          <w:lang w:eastAsia="zh-CN"/>
        </w:rPr>
        <w:t>7.4.2.</w:t>
      </w:r>
      <w:r>
        <w:rPr>
          <w:lang w:eastAsia="zh-CN"/>
        </w:rPr>
        <w:t>3</w:t>
      </w:r>
      <w:r w:rsidRPr="00D15C32">
        <w:rPr>
          <w:rFonts w:eastAsia="DengXian"/>
        </w:rPr>
        <w:t>-</w:t>
      </w:r>
      <w:r w:rsidRPr="00D15C32">
        <w:rPr>
          <w:lang w:eastAsia="zh-CN"/>
        </w:rPr>
        <w:t>1</w:t>
      </w:r>
      <w:r w:rsidRPr="00D15C32">
        <w:rPr>
          <w:rFonts w:eastAsia="DengXian"/>
        </w:rPr>
        <w:t xml:space="preserve">: </w:t>
      </w:r>
      <w:r>
        <w:rPr>
          <w:rFonts w:eastAsia="DengXian"/>
        </w:rPr>
        <w:t>IAB-MT</w:t>
      </w:r>
      <w:r w:rsidRPr="00D15C32">
        <w:rPr>
          <w:rFonts w:eastAsia="DengXian"/>
        </w:rPr>
        <w:t xml:space="preserve"> general blocking requirement</w:t>
      </w:r>
    </w:p>
    <w:tbl>
      <w:tblPr>
        <w:tblW w:w="99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7"/>
        <w:gridCol w:w="1792"/>
        <w:gridCol w:w="2105"/>
        <w:gridCol w:w="1838"/>
        <w:gridCol w:w="2295"/>
      </w:tblGrid>
      <w:tr w:rsidR="00711A01" w:rsidRPr="00D15C32" w14:paraId="0B9E106F" w14:textId="77777777" w:rsidTr="00BD1F8C">
        <w:trPr>
          <w:trHeight w:val="629"/>
          <w:jc w:val="center"/>
        </w:trPr>
        <w:tc>
          <w:tcPr>
            <w:tcW w:w="1947" w:type="dxa"/>
            <w:tcBorders>
              <w:top w:val="single" w:sz="4" w:space="0" w:color="auto"/>
              <w:left w:val="single" w:sz="4" w:space="0" w:color="auto"/>
              <w:bottom w:val="single" w:sz="4" w:space="0" w:color="auto"/>
              <w:right w:val="single" w:sz="4" w:space="0" w:color="auto"/>
            </w:tcBorders>
          </w:tcPr>
          <w:p w14:paraId="769BC092"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rPr>
            </w:pPr>
            <w:r>
              <w:rPr>
                <w:rFonts w:ascii="Arial" w:eastAsia="DengXian" w:hAnsi="Arial"/>
                <w:b/>
                <w:i/>
                <w:sz w:val="18"/>
              </w:rPr>
              <w:t>IAB-MT</w:t>
            </w:r>
            <w:r w:rsidRPr="00D15C32">
              <w:rPr>
                <w:rFonts w:ascii="Arial" w:eastAsia="DengXian" w:hAnsi="Arial"/>
                <w:b/>
                <w:i/>
                <w:sz w:val="18"/>
              </w:rPr>
              <w:t xml:space="preserve"> channel bandwidth</w:t>
            </w:r>
            <w:r w:rsidRPr="00D15C32">
              <w:rPr>
                <w:rFonts w:ascii="Arial" w:eastAsia="DengXian" w:hAnsi="Arial"/>
                <w:b/>
                <w:sz w:val="18"/>
              </w:rPr>
              <w:t xml:space="preserve"> of the </w:t>
            </w:r>
            <w:r w:rsidRPr="00D15C32">
              <w:rPr>
                <w:rFonts w:ascii="Arial" w:eastAsia="DengXian" w:hAnsi="Arial"/>
                <w:b/>
                <w:i/>
                <w:sz w:val="18"/>
              </w:rPr>
              <w:t>lowest/highest carrier</w:t>
            </w:r>
            <w:r w:rsidRPr="00D15C32">
              <w:rPr>
                <w:rFonts w:ascii="Arial" w:eastAsia="DengXian" w:hAnsi="Arial"/>
                <w:b/>
                <w:sz w:val="18"/>
              </w:rPr>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5037A403"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lang w:eastAsia="ja-JP"/>
              </w:rPr>
            </w:pPr>
            <w:r w:rsidRPr="00D15C32">
              <w:rPr>
                <w:rFonts w:ascii="Arial" w:eastAsia="DengXian" w:hAnsi="Arial"/>
                <w:b/>
                <w:sz w:val="18"/>
              </w:rPr>
              <w:t>Wanted signal mean power (dBm)</w:t>
            </w:r>
          </w:p>
        </w:tc>
        <w:tc>
          <w:tcPr>
            <w:tcW w:w="2105" w:type="dxa"/>
            <w:tcBorders>
              <w:top w:val="single" w:sz="4" w:space="0" w:color="auto"/>
              <w:left w:val="single" w:sz="4" w:space="0" w:color="auto"/>
              <w:bottom w:val="single" w:sz="4" w:space="0" w:color="auto"/>
              <w:right w:val="single" w:sz="4" w:space="0" w:color="auto"/>
            </w:tcBorders>
            <w:hideMark/>
          </w:tcPr>
          <w:p w14:paraId="019BF46A"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lang w:eastAsia="ja-JP"/>
              </w:rPr>
            </w:pPr>
            <w:r w:rsidRPr="00D15C32">
              <w:rPr>
                <w:rFonts w:ascii="Arial" w:eastAsia="DengXian" w:hAnsi="Arial" w:cs="Arial"/>
                <w:b/>
                <w:sz w:val="18"/>
              </w:rPr>
              <w:t>Interfering signal mean power (dBm)</w:t>
            </w:r>
          </w:p>
        </w:tc>
        <w:tc>
          <w:tcPr>
            <w:tcW w:w="1838" w:type="dxa"/>
            <w:tcBorders>
              <w:top w:val="single" w:sz="4" w:space="0" w:color="auto"/>
              <w:left w:val="single" w:sz="4" w:space="0" w:color="auto"/>
              <w:bottom w:val="single" w:sz="4" w:space="0" w:color="auto"/>
              <w:right w:val="single" w:sz="4" w:space="0" w:color="auto"/>
            </w:tcBorders>
            <w:hideMark/>
          </w:tcPr>
          <w:p w14:paraId="56FC3A82"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lang w:eastAsia="ja-JP"/>
              </w:rPr>
            </w:pPr>
            <w:r w:rsidRPr="00D15C32">
              <w:rPr>
                <w:rFonts w:ascii="Arial" w:eastAsia="DengXian" w:hAnsi="Arial" w:cs="Arial"/>
                <w:b/>
                <w:sz w:val="18"/>
              </w:rPr>
              <w:t xml:space="preserve">Interfering signal centre frequency minimum offset from the lower/upper </w:t>
            </w:r>
            <w:r>
              <w:rPr>
                <w:rFonts w:ascii="Arial" w:eastAsia="DengXian" w:hAnsi="Arial" w:cs="Arial"/>
                <w:b/>
                <w:i/>
                <w:sz w:val="18"/>
              </w:rPr>
              <w:t xml:space="preserve">IAB-MT </w:t>
            </w:r>
            <w:r w:rsidRPr="00D15C32">
              <w:rPr>
                <w:rFonts w:ascii="Arial" w:eastAsia="DengXian" w:hAnsi="Arial" w:cs="Arial"/>
                <w:b/>
                <w:i/>
                <w:sz w:val="18"/>
              </w:rPr>
              <w:t>RF Bandwidth edge</w:t>
            </w:r>
            <w:r w:rsidRPr="00D15C32">
              <w:rPr>
                <w:rFonts w:ascii="Arial" w:eastAsia="DengXian" w:hAnsi="Arial" w:cs="Arial"/>
                <w:b/>
                <w:sz w:val="18"/>
              </w:rPr>
              <w:t xml:space="preserve"> or </w:t>
            </w:r>
            <w:r w:rsidRPr="00D15C32">
              <w:rPr>
                <w:rFonts w:ascii="Arial" w:eastAsia="DengXian" w:hAnsi="Arial" w:cs="Arial"/>
                <w:b/>
                <w:i/>
                <w:sz w:val="18"/>
              </w:rPr>
              <w:t>sub-block</w:t>
            </w:r>
            <w:r w:rsidRPr="00D15C32">
              <w:rPr>
                <w:rFonts w:ascii="Arial" w:eastAsia="DengXian" w:hAnsi="Arial" w:cs="Arial"/>
                <w:b/>
                <w:sz w:val="18"/>
              </w:rPr>
              <w:t xml:space="preserve"> edge inside a </w:t>
            </w:r>
            <w:r w:rsidRPr="00D15C32">
              <w:rPr>
                <w:rFonts w:ascii="Arial" w:eastAsia="DengXian" w:hAnsi="Arial" w:cs="Arial"/>
                <w:b/>
                <w:i/>
                <w:sz w:val="18"/>
              </w:rPr>
              <w:t>sub-block gap</w:t>
            </w:r>
            <w:r w:rsidRPr="00D15C32">
              <w:rPr>
                <w:rFonts w:ascii="Arial" w:eastAsia="DengXian" w:hAnsi="Arial"/>
                <w:b/>
                <w:sz w:val="18"/>
              </w:rPr>
              <w:t xml:space="preserve"> (MHz)</w:t>
            </w:r>
          </w:p>
        </w:tc>
        <w:tc>
          <w:tcPr>
            <w:tcW w:w="2295" w:type="dxa"/>
            <w:tcBorders>
              <w:top w:val="single" w:sz="4" w:space="0" w:color="auto"/>
              <w:left w:val="single" w:sz="4" w:space="0" w:color="auto"/>
              <w:bottom w:val="single" w:sz="4" w:space="0" w:color="auto"/>
              <w:right w:val="single" w:sz="4" w:space="0" w:color="auto"/>
            </w:tcBorders>
            <w:hideMark/>
          </w:tcPr>
          <w:p w14:paraId="255D6951"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lang w:eastAsia="ja-JP"/>
              </w:rPr>
            </w:pPr>
            <w:r w:rsidRPr="00D15C32">
              <w:rPr>
                <w:rFonts w:ascii="Arial" w:eastAsia="DengXian" w:hAnsi="Arial"/>
                <w:b/>
                <w:sz w:val="18"/>
              </w:rPr>
              <w:t>Type of interfering signal</w:t>
            </w:r>
          </w:p>
        </w:tc>
      </w:tr>
      <w:tr w:rsidR="00711A01" w:rsidRPr="00D15C32" w14:paraId="2BFA5D83" w14:textId="77777777" w:rsidTr="00BD1F8C">
        <w:trPr>
          <w:trHeight w:val="487"/>
          <w:jc w:val="center"/>
        </w:trPr>
        <w:tc>
          <w:tcPr>
            <w:tcW w:w="1947" w:type="dxa"/>
            <w:tcBorders>
              <w:top w:val="single" w:sz="4" w:space="0" w:color="auto"/>
              <w:left w:val="single" w:sz="4" w:space="0" w:color="auto"/>
              <w:bottom w:val="single" w:sz="4" w:space="0" w:color="auto"/>
              <w:right w:val="single" w:sz="4" w:space="0" w:color="auto"/>
            </w:tcBorders>
          </w:tcPr>
          <w:p w14:paraId="49E93B27" w14:textId="54B34343" w:rsidR="00711A01" w:rsidRPr="00D15C32" w:rsidRDefault="002E1777" w:rsidP="002E1777">
            <w:pPr>
              <w:pStyle w:val="TAC"/>
              <w:rPr>
                <w:lang w:eastAsia="zh-CN"/>
              </w:rPr>
            </w:pPr>
            <w:r w:rsidRPr="00D15C32">
              <w:rPr>
                <w:lang w:eastAsia="zh-CN"/>
              </w:rPr>
              <w:t>10, 15, 20</w:t>
            </w:r>
          </w:p>
        </w:tc>
        <w:tc>
          <w:tcPr>
            <w:tcW w:w="1792" w:type="dxa"/>
            <w:tcBorders>
              <w:top w:val="single" w:sz="4" w:space="0" w:color="auto"/>
              <w:left w:val="single" w:sz="4" w:space="0" w:color="auto"/>
              <w:bottom w:val="single" w:sz="4" w:space="0" w:color="auto"/>
              <w:right w:val="single" w:sz="4" w:space="0" w:color="auto"/>
            </w:tcBorders>
            <w:hideMark/>
          </w:tcPr>
          <w:p w14:paraId="138F364A" w14:textId="77777777" w:rsidR="00711A01" w:rsidRPr="00D15C32" w:rsidRDefault="00711A01" w:rsidP="002E1777">
            <w:pPr>
              <w:pStyle w:val="TAC"/>
              <w:rPr>
                <w:rFonts w:eastAsia="DengXian"/>
                <w:lang w:eastAsia="ja-JP"/>
              </w:rPr>
            </w:pPr>
            <w:r w:rsidRPr="00D15C32">
              <w:rPr>
                <w:rFonts w:eastAsia="DengXian" w:cs="Arial"/>
              </w:rPr>
              <w:t>P</w:t>
            </w:r>
            <w:r w:rsidRPr="00D15C32">
              <w:rPr>
                <w:rFonts w:eastAsia="DengXian" w:cs="Arial"/>
                <w:vertAlign w:val="subscript"/>
              </w:rPr>
              <w:t>REFSENS</w:t>
            </w:r>
            <w:r w:rsidRPr="00D15C32">
              <w:rPr>
                <w:rFonts w:eastAsia="DengXian"/>
              </w:rPr>
              <w:t xml:space="preserve"> + 6 dB</w:t>
            </w:r>
          </w:p>
        </w:tc>
        <w:tc>
          <w:tcPr>
            <w:tcW w:w="2105" w:type="dxa"/>
            <w:tcBorders>
              <w:top w:val="single" w:sz="4" w:space="0" w:color="auto"/>
              <w:left w:val="single" w:sz="4" w:space="0" w:color="auto"/>
              <w:bottom w:val="single" w:sz="4" w:space="0" w:color="auto"/>
              <w:right w:val="single" w:sz="4" w:space="0" w:color="auto"/>
            </w:tcBorders>
            <w:hideMark/>
          </w:tcPr>
          <w:p w14:paraId="782276AB" w14:textId="77777777" w:rsidR="00711A01" w:rsidRPr="00D15C32" w:rsidRDefault="00711A01" w:rsidP="002E1777">
            <w:pPr>
              <w:pStyle w:val="TAC"/>
              <w:rPr>
                <w:lang w:eastAsia="zh-CN"/>
              </w:rPr>
            </w:pPr>
            <w:r w:rsidRPr="00D15C32">
              <w:rPr>
                <w:lang w:eastAsia="zh-CN"/>
              </w:rPr>
              <w:t xml:space="preserve">Wide Area </w:t>
            </w:r>
            <w:r>
              <w:rPr>
                <w:lang w:eastAsia="zh-CN"/>
              </w:rPr>
              <w:t>IAB-MT</w:t>
            </w:r>
            <w:r w:rsidRPr="00D15C32">
              <w:rPr>
                <w:lang w:eastAsia="zh-CN"/>
              </w:rPr>
              <w:t>: -43</w:t>
            </w:r>
          </w:p>
          <w:p w14:paraId="5D2F6A64" w14:textId="77777777" w:rsidR="00711A01" w:rsidRPr="00D15C32" w:rsidRDefault="00711A01" w:rsidP="002E1777">
            <w:pPr>
              <w:pStyle w:val="TAC"/>
              <w:rPr>
                <w:lang w:eastAsia="zh-CN"/>
              </w:rPr>
            </w:pPr>
            <w:r w:rsidRPr="0064440C">
              <w:rPr>
                <w:lang w:eastAsia="zh-CN"/>
              </w:rPr>
              <w:t xml:space="preserve">Local Area </w:t>
            </w:r>
            <w:r>
              <w:rPr>
                <w:lang w:eastAsia="zh-CN"/>
              </w:rPr>
              <w:t>IAB-MT</w:t>
            </w:r>
            <w:r w:rsidRPr="0064440C">
              <w:rPr>
                <w:lang w:eastAsia="zh-CN"/>
              </w:rPr>
              <w:t>: -35</w:t>
            </w:r>
          </w:p>
        </w:tc>
        <w:tc>
          <w:tcPr>
            <w:tcW w:w="1838" w:type="dxa"/>
            <w:tcBorders>
              <w:top w:val="single" w:sz="4" w:space="0" w:color="auto"/>
              <w:left w:val="single" w:sz="4" w:space="0" w:color="auto"/>
              <w:bottom w:val="single" w:sz="4" w:space="0" w:color="auto"/>
              <w:right w:val="single" w:sz="4" w:space="0" w:color="auto"/>
            </w:tcBorders>
            <w:hideMark/>
          </w:tcPr>
          <w:p w14:paraId="7F116A4C" w14:textId="77777777" w:rsidR="00711A01" w:rsidRPr="00D15C32" w:rsidRDefault="00711A01" w:rsidP="002E1777">
            <w:pPr>
              <w:pStyle w:val="TAC"/>
              <w:rPr>
                <w:lang w:eastAsia="zh-CN"/>
              </w:rPr>
            </w:pPr>
            <w:r w:rsidRPr="00D15C32">
              <w:rPr>
                <w:rFonts w:eastAsia="DengXian" w:cs="Arial"/>
              </w:rPr>
              <w:t>±</w:t>
            </w:r>
            <w:r w:rsidRPr="00D15C32">
              <w:rPr>
                <w:rFonts w:eastAsia="DengXian"/>
              </w:rPr>
              <w:t>7.5</w:t>
            </w:r>
          </w:p>
        </w:tc>
        <w:tc>
          <w:tcPr>
            <w:tcW w:w="2295" w:type="dxa"/>
            <w:tcBorders>
              <w:top w:val="single" w:sz="4" w:space="0" w:color="auto"/>
              <w:left w:val="single" w:sz="4" w:space="0" w:color="auto"/>
              <w:bottom w:val="single" w:sz="4" w:space="0" w:color="auto"/>
              <w:right w:val="single" w:sz="4" w:space="0" w:color="auto"/>
            </w:tcBorders>
            <w:hideMark/>
          </w:tcPr>
          <w:p w14:paraId="5A27DBFF" w14:textId="77777777" w:rsidR="00711A01" w:rsidRPr="00D15C32" w:rsidRDefault="00711A01" w:rsidP="002E1777">
            <w:pPr>
              <w:pStyle w:val="TAC"/>
              <w:rPr>
                <w:rFonts w:eastAsia="DengXian"/>
              </w:rPr>
            </w:pPr>
            <w:r w:rsidRPr="00D15C32">
              <w:rPr>
                <w:rFonts w:eastAsia="DengXian"/>
              </w:rPr>
              <w:t xml:space="preserve">5 MHz </w:t>
            </w:r>
            <w:r>
              <w:rPr>
                <w:rFonts w:eastAsia="DengXian"/>
              </w:rPr>
              <w:t>CP</w:t>
            </w:r>
            <w:r w:rsidRPr="00D15C32">
              <w:rPr>
                <w:rFonts w:eastAsia="DengXian"/>
              </w:rPr>
              <w:t>-OFDM</w:t>
            </w:r>
            <w:r w:rsidRPr="00D15C32">
              <w:t xml:space="preserve"> </w:t>
            </w:r>
            <w:r w:rsidRPr="00D15C32">
              <w:rPr>
                <w:lang w:eastAsia="zh-CN"/>
              </w:rPr>
              <w:t>NR</w:t>
            </w:r>
            <w:r w:rsidRPr="00D15C32">
              <w:rPr>
                <w:rFonts w:eastAsia="DengXian"/>
              </w:rPr>
              <w:t xml:space="preserve"> signal</w:t>
            </w:r>
          </w:p>
          <w:p w14:paraId="462F9F2D" w14:textId="77777777" w:rsidR="00711A01" w:rsidRPr="00D15C32" w:rsidRDefault="00711A01" w:rsidP="002E1777">
            <w:pPr>
              <w:pStyle w:val="TAC"/>
              <w:rPr>
                <w:rFonts w:eastAsia="DengXian"/>
                <w:lang w:eastAsia="ja-JP"/>
              </w:rPr>
            </w:pPr>
            <w:r w:rsidRPr="00D15C32">
              <w:rPr>
                <w:rFonts w:eastAsia="DengXian"/>
              </w:rPr>
              <w:t>15 kHz SCS</w:t>
            </w:r>
            <w:r w:rsidRPr="00743313">
              <w:rPr>
                <w:rFonts w:eastAsia="DengXian"/>
              </w:rPr>
              <w:t>, 25 RBs</w:t>
            </w:r>
          </w:p>
        </w:tc>
      </w:tr>
      <w:tr w:rsidR="00711A01" w:rsidRPr="00D15C32" w14:paraId="4A5E7158" w14:textId="77777777" w:rsidTr="00BD1F8C">
        <w:trPr>
          <w:trHeight w:val="487"/>
          <w:jc w:val="center"/>
        </w:trPr>
        <w:tc>
          <w:tcPr>
            <w:tcW w:w="1947" w:type="dxa"/>
            <w:tcBorders>
              <w:top w:val="single" w:sz="4" w:space="0" w:color="auto"/>
              <w:left w:val="single" w:sz="4" w:space="0" w:color="auto"/>
              <w:bottom w:val="single" w:sz="4" w:space="0" w:color="auto"/>
              <w:right w:val="single" w:sz="4" w:space="0" w:color="auto"/>
            </w:tcBorders>
          </w:tcPr>
          <w:p w14:paraId="3EE22E1A" w14:textId="77777777" w:rsidR="00711A01" w:rsidRPr="00D15C32" w:rsidRDefault="00711A01" w:rsidP="002E1777">
            <w:pPr>
              <w:pStyle w:val="TAC"/>
              <w:rPr>
                <w:lang w:eastAsia="zh-CN"/>
              </w:rPr>
            </w:pPr>
            <w:r w:rsidRPr="00D15C32">
              <w:rPr>
                <w:lang w:eastAsia="zh-CN"/>
              </w:rPr>
              <w:t>25, 30, 40, 50, 60, 70, 80, 90, 100</w:t>
            </w:r>
          </w:p>
        </w:tc>
        <w:tc>
          <w:tcPr>
            <w:tcW w:w="1792" w:type="dxa"/>
            <w:tcBorders>
              <w:top w:val="single" w:sz="4" w:space="0" w:color="auto"/>
              <w:left w:val="single" w:sz="4" w:space="0" w:color="auto"/>
              <w:bottom w:val="single" w:sz="4" w:space="0" w:color="auto"/>
              <w:right w:val="single" w:sz="4" w:space="0" w:color="auto"/>
            </w:tcBorders>
          </w:tcPr>
          <w:p w14:paraId="060F682D" w14:textId="77777777" w:rsidR="00711A01" w:rsidRPr="00D15C32" w:rsidRDefault="00711A01" w:rsidP="002E1777">
            <w:pPr>
              <w:pStyle w:val="TAC"/>
              <w:rPr>
                <w:rFonts w:eastAsia="DengXian"/>
                <w:lang w:eastAsia="ja-JP"/>
              </w:rPr>
            </w:pPr>
            <w:r w:rsidRPr="00D15C32">
              <w:rPr>
                <w:rFonts w:eastAsia="DengXian" w:cs="Arial"/>
              </w:rPr>
              <w:t>P</w:t>
            </w:r>
            <w:r w:rsidRPr="00D15C32">
              <w:rPr>
                <w:rFonts w:eastAsia="DengXian" w:cs="Arial"/>
                <w:vertAlign w:val="subscript"/>
              </w:rPr>
              <w:t>REFSENS</w:t>
            </w:r>
            <w:r w:rsidRPr="00D15C32">
              <w:rPr>
                <w:rFonts w:eastAsia="DengXian"/>
              </w:rPr>
              <w:t xml:space="preserve"> + 6 dB</w:t>
            </w:r>
          </w:p>
        </w:tc>
        <w:tc>
          <w:tcPr>
            <w:tcW w:w="2105" w:type="dxa"/>
            <w:tcBorders>
              <w:top w:val="single" w:sz="4" w:space="0" w:color="auto"/>
              <w:left w:val="single" w:sz="4" w:space="0" w:color="auto"/>
              <w:bottom w:val="single" w:sz="4" w:space="0" w:color="auto"/>
              <w:right w:val="single" w:sz="4" w:space="0" w:color="auto"/>
            </w:tcBorders>
          </w:tcPr>
          <w:p w14:paraId="181C39D3" w14:textId="77777777" w:rsidR="00711A01" w:rsidRPr="00D15C32" w:rsidRDefault="00711A01" w:rsidP="002E1777">
            <w:pPr>
              <w:pStyle w:val="TAC"/>
              <w:rPr>
                <w:lang w:eastAsia="zh-CN"/>
              </w:rPr>
            </w:pPr>
            <w:r w:rsidRPr="00D15C32">
              <w:rPr>
                <w:lang w:eastAsia="zh-CN"/>
              </w:rPr>
              <w:t xml:space="preserve">Wide Area </w:t>
            </w:r>
            <w:r>
              <w:rPr>
                <w:lang w:eastAsia="zh-CN"/>
              </w:rPr>
              <w:t>IAB-MT</w:t>
            </w:r>
            <w:r w:rsidRPr="00D15C32">
              <w:rPr>
                <w:lang w:eastAsia="zh-CN"/>
              </w:rPr>
              <w:t>: -43</w:t>
            </w:r>
          </w:p>
          <w:p w14:paraId="0DE32554" w14:textId="77777777" w:rsidR="00711A01" w:rsidRPr="00D15C32" w:rsidRDefault="00711A01" w:rsidP="002E1777">
            <w:pPr>
              <w:pStyle w:val="TAC"/>
              <w:rPr>
                <w:lang w:eastAsia="zh-CN"/>
              </w:rPr>
            </w:pPr>
            <w:r w:rsidRPr="0064440C">
              <w:rPr>
                <w:lang w:eastAsia="zh-CN"/>
              </w:rPr>
              <w:t xml:space="preserve">Local Area </w:t>
            </w:r>
            <w:r>
              <w:rPr>
                <w:lang w:eastAsia="zh-CN"/>
              </w:rPr>
              <w:t>IAB-MT</w:t>
            </w:r>
            <w:r w:rsidRPr="0064440C">
              <w:rPr>
                <w:lang w:eastAsia="zh-CN"/>
              </w:rPr>
              <w:t>: -35</w:t>
            </w:r>
          </w:p>
        </w:tc>
        <w:tc>
          <w:tcPr>
            <w:tcW w:w="1838" w:type="dxa"/>
            <w:tcBorders>
              <w:top w:val="single" w:sz="4" w:space="0" w:color="auto"/>
              <w:left w:val="single" w:sz="4" w:space="0" w:color="auto"/>
              <w:bottom w:val="single" w:sz="4" w:space="0" w:color="auto"/>
              <w:right w:val="single" w:sz="4" w:space="0" w:color="auto"/>
            </w:tcBorders>
          </w:tcPr>
          <w:p w14:paraId="5E1BBA8A" w14:textId="77777777" w:rsidR="00711A01" w:rsidRPr="00D15C32" w:rsidRDefault="00711A01" w:rsidP="002E1777">
            <w:pPr>
              <w:pStyle w:val="TAC"/>
              <w:rPr>
                <w:lang w:eastAsia="zh-CN"/>
              </w:rPr>
            </w:pPr>
            <w:r w:rsidRPr="00D15C32">
              <w:rPr>
                <w:rFonts w:eastAsia="DengXian" w:cs="Arial"/>
              </w:rPr>
              <w:t>±</w:t>
            </w:r>
            <w:r w:rsidRPr="00D15C32">
              <w:rPr>
                <w:lang w:eastAsia="zh-CN"/>
              </w:rPr>
              <w:t>30</w:t>
            </w:r>
          </w:p>
        </w:tc>
        <w:tc>
          <w:tcPr>
            <w:tcW w:w="2295" w:type="dxa"/>
            <w:tcBorders>
              <w:top w:val="single" w:sz="4" w:space="0" w:color="auto"/>
              <w:left w:val="single" w:sz="4" w:space="0" w:color="auto"/>
              <w:bottom w:val="single" w:sz="4" w:space="0" w:color="auto"/>
              <w:right w:val="single" w:sz="4" w:space="0" w:color="auto"/>
            </w:tcBorders>
          </w:tcPr>
          <w:p w14:paraId="68D034B8" w14:textId="77777777" w:rsidR="00711A01" w:rsidRPr="00D15C32" w:rsidRDefault="00711A01" w:rsidP="002E1777">
            <w:pPr>
              <w:pStyle w:val="TAC"/>
              <w:rPr>
                <w:rFonts w:eastAsia="DengXian"/>
              </w:rPr>
            </w:pPr>
            <w:r w:rsidRPr="00D15C32">
              <w:rPr>
                <w:lang w:eastAsia="zh-CN"/>
              </w:rPr>
              <w:t>20 </w:t>
            </w:r>
            <w:r w:rsidRPr="00D15C32">
              <w:rPr>
                <w:rFonts w:eastAsia="DengXian"/>
              </w:rPr>
              <w:t xml:space="preserve">MHz </w:t>
            </w:r>
            <w:r>
              <w:rPr>
                <w:rFonts w:eastAsia="DengXian"/>
              </w:rPr>
              <w:t>CP-</w:t>
            </w:r>
            <w:r w:rsidRPr="00D15C32">
              <w:rPr>
                <w:rFonts w:eastAsia="DengXian"/>
              </w:rPr>
              <w:t>OFDM</w:t>
            </w:r>
            <w:r w:rsidRPr="00D15C32">
              <w:t xml:space="preserve"> </w:t>
            </w:r>
            <w:r w:rsidRPr="00D15C32">
              <w:rPr>
                <w:lang w:eastAsia="zh-CN"/>
              </w:rPr>
              <w:t xml:space="preserve">NR </w:t>
            </w:r>
            <w:r w:rsidRPr="00D15C32">
              <w:rPr>
                <w:rFonts w:eastAsia="DengXian"/>
              </w:rPr>
              <w:t>signal</w:t>
            </w:r>
          </w:p>
          <w:p w14:paraId="168368F6" w14:textId="77777777" w:rsidR="00711A01" w:rsidRPr="00D15C32" w:rsidRDefault="00711A01" w:rsidP="002E1777">
            <w:pPr>
              <w:pStyle w:val="TAC"/>
              <w:rPr>
                <w:rFonts w:eastAsia="DengXian"/>
                <w:lang w:eastAsia="ja-JP"/>
              </w:rPr>
            </w:pPr>
            <w:r w:rsidRPr="00D15C32">
              <w:rPr>
                <w:rFonts w:eastAsia="DengXian"/>
              </w:rPr>
              <w:t>15 kHz SCS</w:t>
            </w:r>
            <w:r w:rsidRPr="00743313">
              <w:rPr>
                <w:rFonts w:eastAsia="DengXian"/>
              </w:rPr>
              <w:t>, 100 RBs</w:t>
            </w:r>
          </w:p>
        </w:tc>
      </w:tr>
      <w:tr w:rsidR="00711A01" w:rsidRPr="00D15C32" w14:paraId="3E9908B7" w14:textId="77777777" w:rsidTr="00BD1F8C">
        <w:trPr>
          <w:trHeight w:val="221"/>
          <w:jc w:val="center"/>
        </w:trPr>
        <w:tc>
          <w:tcPr>
            <w:tcW w:w="9977" w:type="dxa"/>
            <w:gridSpan w:val="5"/>
            <w:tcBorders>
              <w:top w:val="single" w:sz="4" w:space="0" w:color="auto"/>
              <w:left w:val="single" w:sz="4" w:space="0" w:color="auto"/>
              <w:bottom w:val="single" w:sz="4" w:space="0" w:color="auto"/>
              <w:right w:val="single" w:sz="4" w:space="0" w:color="auto"/>
            </w:tcBorders>
          </w:tcPr>
          <w:p w14:paraId="242F1DDA" w14:textId="77777777" w:rsidR="00711A01" w:rsidRPr="00D15C32" w:rsidRDefault="00711A01" w:rsidP="00BD1F8C">
            <w:pPr>
              <w:keepNext/>
              <w:keepLines/>
              <w:spacing w:after="0"/>
              <w:ind w:left="851" w:hanging="851"/>
              <w:rPr>
                <w:rFonts w:ascii="Arial" w:eastAsia="DengXian" w:hAnsi="Arial"/>
                <w:sz w:val="18"/>
                <w:lang w:eastAsia="zh-CN"/>
              </w:rPr>
            </w:pPr>
            <w:r w:rsidRPr="00D15C32">
              <w:rPr>
                <w:rFonts w:ascii="Arial" w:eastAsia="DengXian" w:hAnsi="Arial"/>
                <w:sz w:val="18"/>
                <w:lang w:eastAsia="zh-CN"/>
              </w:rPr>
              <w:t>NOTE:</w:t>
            </w:r>
            <w:r w:rsidRPr="00D15C32">
              <w:rPr>
                <w:rFonts w:ascii="Arial" w:eastAsia="DengXian" w:hAnsi="Arial"/>
                <w:sz w:val="18"/>
                <w:lang w:eastAsia="zh-CN"/>
              </w:rPr>
              <w:tab/>
              <w:t>P</w:t>
            </w:r>
            <w:r w:rsidRPr="00D15C32">
              <w:rPr>
                <w:rFonts w:ascii="Arial" w:eastAsia="DengXian" w:hAnsi="Arial"/>
                <w:sz w:val="18"/>
                <w:vertAlign w:val="subscript"/>
                <w:lang w:eastAsia="zh-CN"/>
              </w:rPr>
              <w:t>REFSENS</w:t>
            </w:r>
            <w:r w:rsidRPr="00D15C32">
              <w:rPr>
                <w:rFonts w:ascii="Arial" w:eastAsia="DengXian" w:hAnsi="Arial"/>
                <w:sz w:val="18"/>
                <w:lang w:eastAsia="zh-CN"/>
              </w:rPr>
              <w:t xml:space="preserve"> depends on the RAT. For NR, </w:t>
            </w:r>
            <w:r w:rsidRPr="00D15C32">
              <w:rPr>
                <w:rFonts w:ascii="Arial" w:eastAsia="DengXian" w:hAnsi="Arial"/>
                <w:sz w:val="18"/>
              </w:rPr>
              <w:t>P</w:t>
            </w:r>
            <w:r w:rsidRPr="00D15C32">
              <w:rPr>
                <w:rFonts w:ascii="Arial" w:eastAsia="DengXian" w:hAnsi="Arial"/>
                <w:sz w:val="18"/>
                <w:vertAlign w:val="subscript"/>
              </w:rPr>
              <w:t>REFSENS</w:t>
            </w:r>
            <w:r w:rsidRPr="00D15C32">
              <w:rPr>
                <w:rFonts w:ascii="Arial" w:eastAsia="DengXian" w:hAnsi="Arial"/>
                <w:sz w:val="18"/>
              </w:rPr>
              <w:t xml:space="preserve"> depends also on</w:t>
            </w:r>
            <w:r w:rsidRPr="00D15C32">
              <w:rPr>
                <w:rFonts w:ascii="Arial" w:eastAsia="DengXian" w:hAnsi="Arial"/>
                <w:sz w:val="18"/>
                <w:lang w:eastAsia="zh-CN"/>
              </w:rPr>
              <w:t xml:space="preserve"> the </w:t>
            </w:r>
            <w:r>
              <w:rPr>
                <w:rFonts w:ascii="Arial" w:eastAsia="DengXian" w:hAnsi="Arial"/>
                <w:sz w:val="18"/>
                <w:lang w:eastAsia="zh-CN"/>
              </w:rPr>
              <w:t>IAB-MT</w:t>
            </w:r>
            <w:r w:rsidRPr="00D15C32">
              <w:rPr>
                <w:rFonts w:ascii="Arial" w:eastAsia="DengXian" w:hAnsi="Arial"/>
                <w:i/>
                <w:sz w:val="18"/>
                <w:lang w:eastAsia="zh-CN"/>
              </w:rPr>
              <w:t xml:space="preserve"> channel bandwidth</w:t>
            </w:r>
            <w:r w:rsidRPr="00D15C32">
              <w:rPr>
                <w:rFonts w:ascii="Arial" w:eastAsia="DengXian" w:hAnsi="Arial"/>
                <w:sz w:val="18"/>
                <w:lang w:eastAsia="zh-CN"/>
              </w:rPr>
              <w:t xml:space="preserve"> as specified in tables 7.2.2-1, 7.2.2-2. </w:t>
            </w:r>
          </w:p>
        </w:tc>
      </w:tr>
    </w:tbl>
    <w:p w14:paraId="0FF02A20" w14:textId="77777777" w:rsidR="00711A01" w:rsidRPr="00D15C32" w:rsidRDefault="00711A01" w:rsidP="00711A01">
      <w:pPr>
        <w:rPr>
          <w:lang w:eastAsia="zh-CN"/>
        </w:rPr>
      </w:pPr>
    </w:p>
    <w:p w14:paraId="0B8CD8B5" w14:textId="77777777" w:rsidR="00711A01" w:rsidRPr="00D15C32" w:rsidRDefault="00711A01" w:rsidP="006A6307">
      <w:pPr>
        <w:pStyle w:val="TH"/>
        <w:rPr>
          <w:lang w:eastAsia="zh-CN"/>
        </w:rPr>
      </w:pPr>
      <w:r w:rsidRPr="00D15C32">
        <w:rPr>
          <w:rFonts w:eastAsia="DengXian"/>
        </w:rPr>
        <w:lastRenderedPageBreak/>
        <w:t xml:space="preserve">Table </w:t>
      </w:r>
      <w:r w:rsidRPr="00D15C32">
        <w:rPr>
          <w:lang w:eastAsia="zh-CN"/>
        </w:rPr>
        <w:t>7.4.2.</w:t>
      </w:r>
      <w:r>
        <w:rPr>
          <w:lang w:eastAsia="zh-CN"/>
        </w:rPr>
        <w:t>3</w:t>
      </w:r>
      <w:r w:rsidRPr="00D15C32">
        <w:rPr>
          <w:rFonts w:eastAsia="DengXian"/>
        </w:rPr>
        <w:t>-</w:t>
      </w:r>
      <w:r w:rsidRPr="00D15C32">
        <w:rPr>
          <w:lang w:eastAsia="zh-CN"/>
        </w:rPr>
        <w:t>2</w:t>
      </w:r>
      <w:r w:rsidRPr="00D15C32">
        <w:rPr>
          <w:rFonts w:eastAsia="DengXian"/>
        </w:rPr>
        <w:t xml:space="preserve">: </w:t>
      </w:r>
      <w:r>
        <w:rPr>
          <w:rFonts w:eastAsia="DengXian"/>
        </w:rPr>
        <w:t>IAB-MT</w:t>
      </w:r>
      <w:r w:rsidRPr="00D15C32">
        <w:rPr>
          <w:rFonts w:eastAsia="DengXian"/>
        </w:rPr>
        <w:t xml:space="preserve"> narrowband blocking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3"/>
        <w:gridCol w:w="1690"/>
        <w:gridCol w:w="2269"/>
      </w:tblGrid>
      <w:tr w:rsidR="00711A01" w:rsidRPr="00D15C32" w14:paraId="78186C28" w14:textId="77777777" w:rsidTr="00BD1F8C">
        <w:trPr>
          <w:trHeight w:val="629"/>
          <w:jc w:val="center"/>
        </w:trPr>
        <w:tc>
          <w:tcPr>
            <w:tcW w:w="1893" w:type="dxa"/>
            <w:tcBorders>
              <w:top w:val="single" w:sz="4" w:space="0" w:color="auto"/>
              <w:left w:val="single" w:sz="4" w:space="0" w:color="auto"/>
              <w:bottom w:val="single" w:sz="4" w:space="0" w:color="auto"/>
              <w:right w:val="single" w:sz="4" w:space="0" w:color="auto"/>
            </w:tcBorders>
          </w:tcPr>
          <w:p w14:paraId="35624B61"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rPr>
            </w:pPr>
            <w:r>
              <w:rPr>
                <w:rFonts w:ascii="Arial" w:eastAsia="DengXian" w:hAnsi="Arial"/>
                <w:b/>
                <w:i/>
                <w:sz w:val="18"/>
              </w:rPr>
              <w:t>IAB-MT</w:t>
            </w:r>
            <w:r w:rsidRPr="00D15C32">
              <w:rPr>
                <w:rFonts w:ascii="Arial" w:eastAsia="DengXian" w:hAnsi="Arial"/>
                <w:b/>
                <w:i/>
                <w:sz w:val="18"/>
              </w:rPr>
              <w:t xml:space="preserve"> channel bandwidth</w:t>
            </w:r>
            <w:r w:rsidRPr="00D15C32">
              <w:rPr>
                <w:rFonts w:ascii="Arial" w:eastAsia="DengXian" w:hAnsi="Arial"/>
                <w:b/>
                <w:sz w:val="18"/>
              </w:rPr>
              <w:t xml:space="preserve"> of the </w:t>
            </w:r>
            <w:r w:rsidRPr="00D15C32">
              <w:rPr>
                <w:rFonts w:ascii="Arial" w:eastAsia="DengXian" w:hAnsi="Arial"/>
                <w:b/>
                <w:i/>
                <w:sz w:val="18"/>
              </w:rPr>
              <w:t>lowest/highest carrier</w:t>
            </w:r>
            <w:r w:rsidRPr="00D15C32">
              <w:rPr>
                <w:rFonts w:ascii="Arial" w:eastAsia="DengXian" w:hAnsi="Arial"/>
                <w:b/>
                <w:sz w:val="18"/>
              </w:rPr>
              <w:t xml:space="preserve"> received (MHz)</w:t>
            </w:r>
          </w:p>
        </w:tc>
        <w:tc>
          <w:tcPr>
            <w:tcW w:w="1690" w:type="dxa"/>
            <w:tcBorders>
              <w:top w:val="single" w:sz="4" w:space="0" w:color="auto"/>
              <w:left w:val="single" w:sz="4" w:space="0" w:color="auto"/>
              <w:bottom w:val="single" w:sz="4" w:space="0" w:color="auto"/>
              <w:right w:val="single" w:sz="4" w:space="0" w:color="auto"/>
            </w:tcBorders>
            <w:hideMark/>
          </w:tcPr>
          <w:p w14:paraId="16F2A7DA"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lang w:eastAsia="ja-JP"/>
              </w:rPr>
            </w:pPr>
            <w:r w:rsidRPr="00D15C32">
              <w:rPr>
                <w:rFonts w:ascii="Arial" w:eastAsia="DengXian" w:hAnsi="Arial"/>
                <w:b/>
                <w:sz w:val="18"/>
              </w:rPr>
              <w:t>Wanted signal mean power (dBm)</w:t>
            </w:r>
          </w:p>
        </w:tc>
        <w:tc>
          <w:tcPr>
            <w:tcW w:w="2269" w:type="dxa"/>
            <w:tcBorders>
              <w:top w:val="single" w:sz="4" w:space="0" w:color="auto"/>
              <w:left w:val="single" w:sz="4" w:space="0" w:color="auto"/>
              <w:bottom w:val="single" w:sz="4" w:space="0" w:color="auto"/>
              <w:right w:val="single" w:sz="4" w:space="0" w:color="auto"/>
            </w:tcBorders>
            <w:hideMark/>
          </w:tcPr>
          <w:p w14:paraId="761E00FA"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b/>
                <w:sz w:val="18"/>
                <w:lang w:eastAsia="ja-JP"/>
              </w:rPr>
            </w:pPr>
            <w:r w:rsidRPr="00D15C32">
              <w:rPr>
                <w:rFonts w:ascii="Arial" w:eastAsia="DengXian" w:hAnsi="Arial" w:cs="Arial"/>
                <w:b/>
                <w:sz w:val="18"/>
              </w:rPr>
              <w:t>Interfering signal mean power (dBm)</w:t>
            </w:r>
          </w:p>
        </w:tc>
      </w:tr>
      <w:tr w:rsidR="00711A01" w:rsidRPr="00D15C32" w14:paraId="7E20A710" w14:textId="77777777" w:rsidTr="00BD1F8C">
        <w:trPr>
          <w:trHeight w:val="487"/>
          <w:jc w:val="center"/>
        </w:trPr>
        <w:tc>
          <w:tcPr>
            <w:tcW w:w="1893" w:type="dxa"/>
            <w:tcBorders>
              <w:top w:val="single" w:sz="4" w:space="0" w:color="auto"/>
              <w:left w:val="single" w:sz="4" w:space="0" w:color="auto"/>
              <w:bottom w:val="single" w:sz="4" w:space="0" w:color="auto"/>
              <w:right w:val="single" w:sz="4" w:space="0" w:color="auto"/>
            </w:tcBorders>
          </w:tcPr>
          <w:p w14:paraId="5BFA25C1" w14:textId="7C283B07" w:rsidR="00711A01" w:rsidRPr="00D15C32" w:rsidRDefault="00C91B26" w:rsidP="00BD1F8C">
            <w:pPr>
              <w:keepNext/>
              <w:keepLines/>
              <w:tabs>
                <w:tab w:val="left" w:pos="540"/>
                <w:tab w:val="left" w:pos="1260"/>
                <w:tab w:val="left" w:pos="1800"/>
              </w:tabs>
              <w:spacing w:after="0"/>
              <w:jc w:val="center"/>
              <w:rPr>
                <w:rFonts w:ascii="Arial" w:hAnsi="Arial"/>
                <w:sz w:val="18"/>
                <w:lang w:eastAsia="zh-CN"/>
              </w:rPr>
            </w:pPr>
            <w:r w:rsidRPr="00D15C32">
              <w:rPr>
                <w:rFonts w:ascii="Arial" w:hAnsi="Arial"/>
                <w:sz w:val="18"/>
                <w:lang w:eastAsia="zh-CN"/>
              </w:rPr>
              <w:t>10, 15, 20, 25, 30, 40, 50, 60, 70, 80,90, 100 (Note 1)</w:t>
            </w:r>
          </w:p>
        </w:tc>
        <w:tc>
          <w:tcPr>
            <w:tcW w:w="1690" w:type="dxa"/>
            <w:tcBorders>
              <w:top w:val="single" w:sz="4" w:space="0" w:color="auto"/>
              <w:left w:val="single" w:sz="4" w:space="0" w:color="auto"/>
              <w:bottom w:val="single" w:sz="4" w:space="0" w:color="auto"/>
              <w:right w:val="single" w:sz="4" w:space="0" w:color="auto"/>
            </w:tcBorders>
            <w:hideMark/>
          </w:tcPr>
          <w:p w14:paraId="26873442" w14:textId="77777777" w:rsidR="00711A01" w:rsidRPr="00D15C32" w:rsidRDefault="00711A01" w:rsidP="00BD1F8C">
            <w:pPr>
              <w:keepNext/>
              <w:keepLines/>
              <w:tabs>
                <w:tab w:val="left" w:pos="540"/>
                <w:tab w:val="left" w:pos="1260"/>
                <w:tab w:val="left" w:pos="1800"/>
              </w:tabs>
              <w:spacing w:after="0"/>
              <w:jc w:val="center"/>
              <w:rPr>
                <w:rFonts w:ascii="Arial" w:eastAsia="DengXian" w:hAnsi="Arial"/>
                <w:sz w:val="18"/>
                <w:lang w:eastAsia="ja-JP"/>
              </w:rPr>
            </w:pPr>
            <w:r w:rsidRPr="00D15C32">
              <w:rPr>
                <w:rFonts w:ascii="Arial" w:eastAsia="DengXian" w:hAnsi="Arial" w:cs="Arial"/>
                <w:sz w:val="18"/>
              </w:rPr>
              <w:t>P</w:t>
            </w:r>
            <w:r w:rsidRPr="00D15C32">
              <w:rPr>
                <w:rFonts w:ascii="Arial" w:eastAsia="DengXian" w:hAnsi="Arial" w:cs="Arial"/>
                <w:sz w:val="18"/>
                <w:vertAlign w:val="subscript"/>
              </w:rPr>
              <w:t>REFSENS</w:t>
            </w:r>
            <w:r w:rsidRPr="00D15C32">
              <w:rPr>
                <w:rFonts w:ascii="Arial" w:eastAsia="DengXian" w:hAnsi="Arial"/>
                <w:sz w:val="18"/>
              </w:rPr>
              <w:t xml:space="preserve"> + 6 dB</w:t>
            </w:r>
          </w:p>
        </w:tc>
        <w:tc>
          <w:tcPr>
            <w:tcW w:w="2269" w:type="dxa"/>
            <w:tcBorders>
              <w:top w:val="single" w:sz="4" w:space="0" w:color="auto"/>
              <w:left w:val="single" w:sz="4" w:space="0" w:color="auto"/>
              <w:bottom w:val="single" w:sz="4" w:space="0" w:color="auto"/>
              <w:right w:val="single" w:sz="4" w:space="0" w:color="auto"/>
            </w:tcBorders>
            <w:hideMark/>
          </w:tcPr>
          <w:p w14:paraId="2BEC84F8" w14:textId="77777777" w:rsidR="00711A01" w:rsidRPr="00D15C32" w:rsidRDefault="00711A01" w:rsidP="00BD1F8C">
            <w:pPr>
              <w:keepNext/>
              <w:keepLines/>
              <w:tabs>
                <w:tab w:val="left" w:pos="540"/>
                <w:tab w:val="left" w:pos="1260"/>
                <w:tab w:val="left" w:pos="1800"/>
              </w:tabs>
              <w:spacing w:after="0"/>
              <w:jc w:val="center"/>
              <w:rPr>
                <w:rFonts w:ascii="Arial" w:hAnsi="Arial"/>
                <w:sz w:val="18"/>
                <w:lang w:eastAsia="zh-CN"/>
              </w:rPr>
            </w:pPr>
            <w:r w:rsidRPr="00D15C32">
              <w:rPr>
                <w:rFonts w:ascii="Arial" w:hAnsi="Arial"/>
                <w:sz w:val="18"/>
                <w:lang w:eastAsia="zh-CN"/>
              </w:rPr>
              <w:t xml:space="preserve">Wide Area </w:t>
            </w:r>
            <w:r>
              <w:rPr>
                <w:rFonts w:ascii="Arial" w:hAnsi="Arial"/>
                <w:sz w:val="18"/>
                <w:lang w:eastAsia="zh-CN"/>
              </w:rPr>
              <w:t>IAB-MT</w:t>
            </w:r>
            <w:r w:rsidRPr="00D15C32">
              <w:rPr>
                <w:rFonts w:ascii="Arial" w:hAnsi="Arial"/>
                <w:sz w:val="18"/>
                <w:lang w:eastAsia="zh-CN"/>
              </w:rPr>
              <w:t>: -49</w:t>
            </w:r>
          </w:p>
          <w:p w14:paraId="2BB5F264" w14:textId="77777777" w:rsidR="00711A01" w:rsidRPr="00D15C32" w:rsidRDefault="00711A01" w:rsidP="00BD1F8C">
            <w:pPr>
              <w:keepNext/>
              <w:keepLines/>
              <w:tabs>
                <w:tab w:val="left" w:pos="540"/>
                <w:tab w:val="left" w:pos="1260"/>
                <w:tab w:val="left" w:pos="1800"/>
              </w:tabs>
              <w:spacing w:after="0"/>
              <w:jc w:val="center"/>
              <w:rPr>
                <w:rFonts w:ascii="Arial" w:hAnsi="Arial"/>
                <w:sz w:val="18"/>
                <w:lang w:eastAsia="zh-CN"/>
              </w:rPr>
            </w:pPr>
            <w:r w:rsidRPr="00EC34D6">
              <w:rPr>
                <w:lang w:eastAsia="zh-CN"/>
              </w:rPr>
              <w:t>Local Area</w:t>
            </w:r>
            <w:r>
              <w:rPr>
                <w:lang w:eastAsia="zh-CN"/>
              </w:rPr>
              <w:t xml:space="preserve"> IAB-MT</w:t>
            </w:r>
            <w:r w:rsidRPr="00EC34D6">
              <w:rPr>
                <w:lang w:eastAsia="zh-CN"/>
              </w:rPr>
              <w:t>: -41</w:t>
            </w:r>
          </w:p>
        </w:tc>
      </w:tr>
      <w:tr w:rsidR="00711A01" w:rsidRPr="00D15C32" w14:paraId="2B0F143B" w14:textId="77777777" w:rsidTr="00BD1F8C">
        <w:trPr>
          <w:trHeight w:val="487"/>
          <w:jc w:val="center"/>
        </w:trPr>
        <w:tc>
          <w:tcPr>
            <w:tcW w:w="5852" w:type="dxa"/>
            <w:gridSpan w:val="3"/>
            <w:tcBorders>
              <w:top w:val="single" w:sz="4" w:space="0" w:color="auto"/>
              <w:left w:val="single" w:sz="4" w:space="0" w:color="auto"/>
              <w:bottom w:val="single" w:sz="4" w:space="0" w:color="auto"/>
              <w:right w:val="single" w:sz="4" w:space="0" w:color="auto"/>
            </w:tcBorders>
          </w:tcPr>
          <w:p w14:paraId="45B60E9E" w14:textId="77777777" w:rsidR="00711A01" w:rsidRPr="00D15C32" w:rsidRDefault="00711A01" w:rsidP="00BD1F8C">
            <w:pPr>
              <w:keepNext/>
              <w:keepLines/>
              <w:spacing w:after="0"/>
              <w:ind w:left="851" w:hanging="851"/>
              <w:rPr>
                <w:rFonts w:ascii="Arial" w:hAnsi="Arial"/>
                <w:sz w:val="18"/>
                <w:lang w:eastAsia="zh-CN"/>
              </w:rPr>
            </w:pPr>
            <w:r w:rsidRPr="00D15C32">
              <w:rPr>
                <w:rFonts w:ascii="Arial" w:hAnsi="Arial"/>
                <w:sz w:val="18"/>
                <w:lang w:eastAsia="zh-CN"/>
              </w:rPr>
              <w:t>NOTE 1:</w:t>
            </w:r>
            <w:r w:rsidRPr="00D15C32">
              <w:rPr>
                <w:rFonts w:ascii="Arial" w:hAnsi="Arial"/>
                <w:sz w:val="18"/>
                <w:lang w:eastAsia="zh-CN"/>
              </w:rPr>
              <w:tab/>
              <w:t xml:space="preserve">The SCS for the </w:t>
            </w:r>
            <w:r w:rsidRPr="00D15C32">
              <w:rPr>
                <w:rFonts w:ascii="Arial" w:hAnsi="Arial"/>
                <w:i/>
                <w:sz w:val="18"/>
                <w:lang w:eastAsia="zh-CN"/>
              </w:rPr>
              <w:t>lowest/highest carrier</w:t>
            </w:r>
            <w:r w:rsidRPr="00D15C32">
              <w:rPr>
                <w:rFonts w:ascii="Arial" w:hAnsi="Arial"/>
                <w:sz w:val="18"/>
                <w:lang w:eastAsia="zh-CN"/>
              </w:rPr>
              <w:t xml:space="preserve"> received is the lowest SCS supported by the </w:t>
            </w:r>
            <w:r>
              <w:rPr>
                <w:rFonts w:ascii="Arial" w:hAnsi="Arial"/>
                <w:sz w:val="18"/>
                <w:lang w:eastAsia="zh-CN"/>
              </w:rPr>
              <w:t>IAB-MT</w:t>
            </w:r>
            <w:r w:rsidRPr="00D15C32">
              <w:rPr>
                <w:rFonts w:ascii="Arial" w:hAnsi="Arial"/>
                <w:sz w:val="18"/>
                <w:lang w:eastAsia="zh-CN"/>
              </w:rPr>
              <w:t xml:space="preserve"> for that </w:t>
            </w:r>
            <w:r>
              <w:rPr>
                <w:rFonts w:ascii="Arial" w:hAnsi="Arial"/>
                <w:sz w:val="18"/>
                <w:lang w:eastAsia="zh-CN"/>
              </w:rPr>
              <w:t>IAB-MT</w:t>
            </w:r>
            <w:r w:rsidRPr="00D15C32">
              <w:rPr>
                <w:rFonts w:ascii="Arial" w:hAnsi="Arial"/>
                <w:i/>
                <w:sz w:val="18"/>
                <w:lang w:eastAsia="zh-CN"/>
              </w:rPr>
              <w:t xml:space="preserve"> channel bandwidth</w:t>
            </w:r>
          </w:p>
          <w:p w14:paraId="745B9C56" w14:textId="77777777" w:rsidR="00711A01" w:rsidRPr="00D15C32" w:rsidRDefault="00711A01" w:rsidP="00BD1F8C">
            <w:pPr>
              <w:keepNext/>
              <w:keepLines/>
              <w:spacing w:after="0"/>
              <w:ind w:left="851" w:hanging="851"/>
              <w:rPr>
                <w:rFonts w:ascii="Arial" w:hAnsi="Arial"/>
                <w:sz w:val="18"/>
                <w:lang w:eastAsia="zh-CN"/>
              </w:rPr>
            </w:pPr>
            <w:r w:rsidRPr="00D15C32">
              <w:rPr>
                <w:rFonts w:ascii="Arial" w:hAnsi="Arial"/>
                <w:sz w:val="18"/>
                <w:lang w:eastAsia="zh-CN"/>
              </w:rPr>
              <w:t>NOTE 2:</w:t>
            </w:r>
            <w:r w:rsidRPr="00D15C32">
              <w:rPr>
                <w:rFonts w:ascii="Arial" w:hAnsi="Arial"/>
                <w:sz w:val="18"/>
                <w:lang w:eastAsia="zh-CN"/>
              </w:rPr>
              <w:tab/>
              <w:t>P</w:t>
            </w:r>
            <w:r w:rsidRPr="00D15C32">
              <w:rPr>
                <w:rFonts w:ascii="Arial" w:hAnsi="Arial"/>
                <w:sz w:val="18"/>
                <w:vertAlign w:val="subscript"/>
                <w:lang w:eastAsia="zh-CN"/>
              </w:rPr>
              <w:t>REFSENS</w:t>
            </w:r>
            <w:r w:rsidRPr="00D15C32">
              <w:rPr>
                <w:rFonts w:ascii="Arial" w:hAnsi="Arial"/>
                <w:sz w:val="18"/>
                <w:lang w:eastAsia="zh-CN"/>
              </w:rPr>
              <w:t xml:space="preserve"> depends on the </w:t>
            </w:r>
            <w:r>
              <w:rPr>
                <w:rFonts w:ascii="Arial" w:hAnsi="Arial"/>
                <w:sz w:val="18"/>
                <w:lang w:eastAsia="zh-CN"/>
              </w:rPr>
              <w:t>IAB-MT</w:t>
            </w:r>
            <w:r w:rsidRPr="00D15C32">
              <w:rPr>
                <w:rFonts w:ascii="Arial" w:hAnsi="Arial"/>
                <w:i/>
                <w:sz w:val="18"/>
                <w:lang w:eastAsia="zh-CN"/>
              </w:rPr>
              <w:t xml:space="preserve"> channel bandwidth</w:t>
            </w:r>
            <w:r w:rsidRPr="00D15C32">
              <w:rPr>
                <w:rFonts w:ascii="Arial" w:hAnsi="Arial"/>
                <w:sz w:val="18"/>
                <w:lang w:eastAsia="zh-CN"/>
              </w:rPr>
              <w:t xml:space="preserve"> as specified in tables 7.2.2-1</w:t>
            </w:r>
            <w:r>
              <w:rPr>
                <w:rFonts w:ascii="Arial" w:hAnsi="Arial"/>
                <w:sz w:val="18"/>
                <w:lang w:eastAsia="zh-CN"/>
              </w:rPr>
              <w:t xml:space="preserve"> and</w:t>
            </w:r>
            <w:r w:rsidRPr="00D15C32">
              <w:rPr>
                <w:rFonts w:ascii="Arial" w:hAnsi="Arial"/>
                <w:sz w:val="18"/>
                <w:lang w:eastAsia="zh-CN"/>
              </w:rPr>
              <w:t xml:space="preserve"> 7.2.2-2</w:t>
            </w:r>
            <w:r>
              <w:rPr>
                <w:rFonts w:ascii="Arial" w:hAnsi="Arial"/>
                <w:sz w:val="18"/>
                <w:lang w:eastAsia="zh-CN"/>
              </w:rPr>
              <w:t>.</w:t>
            </w:r>
            <w:r w:rsidRPr="00D15C32">
              <w:rPr>
                <w:rFonts w:ascii="Arial" w:hAnsi="Arial"/>
                <w:sz w:val="18"/>
                <w:lang w:eastAsia="zh-CN"/>
              </w:rPr>
              <w:t xml:space="preserve"> </w:t>
            </w:r>
          </w:p>
          <w:p w14:paraId="79898061" w14:textId="77777777" w:rsidR="00711A01" w:rsidRPr="00D15C32" w:rsidRDefault="00711A01" w:rsidP="00BD1F8C">
            <w:pPr>
              <w:keepNext/>
              <w:keepLines/>
              <w:spacing w:after="0"/>
              <w:ind w:left="851" w:hanging="851"/>
              <w:rPr>
                <w:rFonts w:ascii="Arial" w:hAnsi="Arial"/>
                <w:sz w:val="18"/>
                <w:lang w:eastAsia="zh-CN"/>
              </w:rPr>
            </w:pPr>
            <w:r w:rsidRPr="00D15C32">
              <w:rPr>
                <w:rFonts w:ascii="Arial" w:eastAsia="DengXian" w:hAnsi="Arial"/>
                <w:sz w:val="18"/>
                <w:lang w:eastAsia="zh-CN"/>
              </w:rPr>
              <w:t>NOTE 3:</w:t>
            </w:r>
            <w:r w:rsidRPr="00D15C32">
              <w:rPr>
                <w:rFonts w:ascii="Arial" w:hAnsi="Arial"/>
                <w:sz w:val="18"/>
                <w:lang w:eastAsia="zh-CN"/>
              </w:rPr>
              <w:tab/>
            </w:r>
            <w:r w:rsidRPr="00D15C32">
              <w:rPr>
                <w:rFonts w:ascii="Arial" w:eastAsia="DengXian" w:hAnsi="Arial"/>
                <w:sz w:val="18"/>
                <w:lang w:eastAsia="zh-CN"/>
              </w:rPr>
              <w:t>7.5 kHz shift is not applied to the wanted signal.</w:t>
            </w:r>
          </w:p>
        </w:tc>
      </w:tr>
    </w:tbl>
    <w:p w14:paraId="7C87F32C" w14:textId="77777777" w:rsidR="00711A01" w:rsidRPr="00D15C32" w:rsidRDefault="00711A01" w:rsidP="00711A01">
      <w:pPr>
        <w:rPr>
          <w:lang w:eastAsia="zh-CN"/>
        </w:rPr>
      </w:pPr>
    </w:p>
    <w:p w14:paraId="4A2F3A0C" w14:textId="0B86552F" w:rsidR="00711A01" w:rsidRPr="00D15C32" w:rsidRDefault="007905EC" w:rsidP="00711A01">
      <w:pPr>
        <w:keepNext/>
        <w:keepLines/>
        <w:spacing w:before="60"/>
        <w:jc w:val="center"/>
        <w:rPr>
          <w:rFonts w:ascii="Arial" w:eastAsia="DengXian" w:hAnsi="Arial"/>
          <w:b/>
        </w:rPr>
      </w:pPr>
      <w:r w:rsidRPr="00D15C32">
        <w:rPr>
          <w:rFonts w:ascii="Arial" w:eastAsia="DengXian" w:hAnsi="Arial"/>
          <w:b/>
        </w:rPr>
        <w:t xml:space="preserve">Table </w:t>
      </w:r>
      <w:r w:rsidRPr="00D15C32">
        <w:rPr>
          <w:rFonts w:ascii="Arial" w:hAnsi="Arial"/>
          <w:b/>
          <w:lang w:eastAsia="zh-CN"/>
        </w:rPr>
        <w:t>7.4.2.</w:t>
      </w:r>
      <w:r>
        <w:rPr>
          <w:rFonts w:ascii="Arial" w:hAnsi="Arial"/>
          <w:b/>
          <w:lang w:eastAsia="zh-CN"/>
        </w:rPr>
        <w:t>3</w:t>
      </w:r>
      <w:r w:rsidRPr="00D15C32">
        <w:rPr>
          <w:rFonts w:ascii="Arial" w:eastAsia="DengXian" w:hAnsi="Arial"/>
          <w:b/>
        </w:rPr>
        <w:t>-</w:t>
      </w:r>
      <w:r w:rsidRPr="00D15C32">
        <w:rPr>
          <w:rFonts w:ascii="Arial" w:hAnsi="Arial"/>
          <w:b/>
          <w:lang w:eastAsia="zh-CN"/>
        </w:rPr>
        <w:t>3</w:t>
      </w:r>
      <w:r w:rsidR="00711A01" w:rsidRPr="00D15C32">
        <w:rPr>
          <w:rFonts w:ascii="Arial" w:eastAsia="DengXian" w:hAnsi="Arial"/>
          <w:b/>
        </w:rPr>
        <w:t xml:space="preserve">: </w:t>
      </w:r>
      <w:r w:rsidR="00711A01">
        <w:rPr>
          <w:rFonts w:ascii="Arial" w:eastAsia="DengXian" w:hAnsi="Arial"/>
          <w:b/>
        </w:rPr>
        <w:t>IAB-MT</w:t>
      </w:r>
      <w:r w:rsidR="00711A01" w:rsidRPr="00D15C32">
        <w:rPr>
          <w:rFonts w:ascii="Arial" w:eastAsia="DengXian" w:hAnsi="Arial"/>
          <w:b/>
        </w:rPr>
        <w:t xml:space="preserve"> narrowband blocking interferer frequency offsets</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2646"/>
        <w:gridCol w:w="2693"/>
      </w:tblGrid>
      <w:tr w:rsidR="00711A01" w:rsidRPr="00D15C32" w14:paraId="18BD867F" w14:textId="77777777" w:rsidTr="004C7013">
        <w:tc>
          <w:tcPr>
            <w:tcW w:w="1606" w:type="dxa"/>
            <w:shd w:val="clear" w:color="auto" w:fill="auto"/>
          </w:tcPr>
          <w:p w14:paraId="10D2B009" w14:textId="77777777" w:rsidR="00711A01" w:rsidRPr="00D15C32" w:rsidRDefault="00711A01" w:rsidP="00BD1F8C">
            <w:pPr>
              <w:keepNext/>
              <w:keepLines/>
              <w:spacing w:after="0"/>
              <w:jc w:val="center"/>
              <w:rPr>
                <w:rFonts w:ascii="Arial" w:hAnsi="Arial"/>
                <w:b/>
                <w:sz w:val="18"/>
                <w:lang w:eastAsia="zh-CN"/>
              </w:rPr>
            </w:pPr>
            <w:bookmarkStart w:id="2976" w:name="_Hlk499878362"/>
            <w:r>
              <w:rPr>
                <w:rFonts w:ascii="Arial" w:eastAsia="DengXian" w:hAnsi="Arial"/>
                <w:b/>
                <w:i/>
                <w:sz w:val="18"/>
              </w:rPr>
              <w:t>IAB-MT</w:t>
            </w:r>
            <w:r w:rsidRPr="00D15C32">
              <w:rPr>
                <w:rFonts w:ascii="Arial" w:eastAsia="DengXian" w:hAnsi="Arial"/>
                <w:b/>
                <w:i/>
                <w:sz w:val="18"/>
              </w:rPr>
              <w:t xml:space="preserve"> channel bandwidth</w:t>
            </w:r>
            <w:r w:rsidRPr="00D15C32">
              <w:rPr>
                <w:rFonts w:ascii="Arial" w:eastAsia="DengXian" w:hAnsi="Arial"/>
                <w:b/>
                <w:sz w:val="18"/>
              </w:rPr>
              <w:t xml:space="preserve"> of the </w:t>
            </w:r>
            <w:r w:rsidRPr="00D15C32">
              <w:rPr>
                <w:rFonts w:ascii="Arial" w:eastAsia="DengXian" w:hAnsi="Arial"/>
                <w:b/>
                <w:i/>
                <w:sz w:val="18"/>
              </w:rPr>
              <w:t>lowest/highest carrier</w:t>
            </w:r>
            <w:r w:rsidRPr="00D15C32">
              <w:rPr>
                <w:rFonts w:ascii="Arial" w:eastAsia="DengXian" w:hAnsi="Arial"/>
                <w:b/>
                <w:sz w:val="18"/>
              </w:rPr>
              <w:t xml:space="preserve"> received (MHz)</w:t>
            </w:r>
          </w:p>
        </w:tc>
        <w:tc>
          <w:tcPr>
            <w:tcW w:w="2646" w:type="dxa"/>
            <w:shd w:val="clear" w:color="auto" w:fill="auto"/>
          </w:tcPr>
          <w:p w14:paraId="7DB7FC4B" w14:textId="77777777" w:rsidR="00711A01" w:rsidRPr="00D15C32" w:rsidRDefault="00711A01" w:rsidP="00BD1F8C">
            <w:pPr>
              <w:keepNext/>
              <w:keepLines/>
              <w:spacing w:after="0"/>
              <w:jc w:val="center"/>
              <w:rPr>
                <w:rFonts w:ascii="Arial" w:hAnsi="Arial"/>
                <w:b/>
                <w:sz w:val="18"/>
                <w:lang w:eastAsia="zh-CN"/>
              </w:rPr>
            </w:pPr>
            <w:r w:rsidRPr="00D15C32">
              <w:rPr>
                <w:rFonts w:ascii="Arial" w:eastAsia="DengXian" w:hAnsi="Arial" w:cs="Arial"/>
                <w:b/>
                <w:sz w:val="18"/>
              </w:rPr>
              <w:t xml:space="preserve">Interfering RB centre frequency offset to the lower/upper </w:t>
            </w:r>
            <w:r>
              <w:rPr>
                <w:rFonts w:ascii="Arial" w:eastAsia="DengXian" w:hAnsi="Arial" w:cs="Arial"/>
                <w:b/>
                <w:sz w:val="18"/>
              </w:rPr>
              <w:t>IAB-MT</w:t>
            </w:r>
            <w:r w:rsidRPr="00D15C32">
              <w:rPr>
                <w:rFonts w:ascii="Arial" w:eastAsia="DengXian" w:hAnsi="Arial" w:cs="Arial"/>
                <w:b/>
                <w:i/>
                <w:sz w:val="18"/>
              </w:rPr>
              <w:t xml:space="preserve"> RF Bandwidth edge</w:t>
            </w:r>
            <w:r w:rsidRPr="00D15C32">
              <w:rPr>
                <w:rFonts w:ascii="Arial" w:eastAsia="DengXian" w:hAnsi="Arial" w:cs="Arial"/>
                <w:b/>
                <w:sz w:val="18"/>
              </w:rPr>
              <w:t xml:space="preserve"> or </w:t>
            </w:r>
            <w:r w:rsidRPr="00D15C32">
              <w:rPr>
                <w:rFonts w:ascii="Arial" w:eastAsia="DengXian" w:hAnsi="Arial" w:cs="Arial"/>
                <w:b/>
                <w:i/>
                <w:sz w:val="18"/>
              </w:rPr>
              <w:t>sub-block</w:t>
            </w:r>
            <w:r w:rsidRPr="00D15C32">
              <w:rPr>
                <w:rFonts w:ascii="Arial" w:eastAsia="DengXian" w:hAnsi="Arial" w:cs="Arial"/>
                <w:b/>
                <w:sz w:val="18"/>
              </w:rPr>
              <w:t xml:space="preserve"> edge inside a </w:t>
            </w:r>
            <w:r w:rsidRPr="00D15C32">
              <w:rPr>
                <w:rFonts w:ascii="Arial" w:eastAsia="DengXian" w:hAnsi="Arial" w:cs="Arial"/>
                <w:b/>
                <w:i/>
                <w:sz w:val="18"/>
              </w:rPr>
              <w:t>sub-block gap</w:t>
            </w:r>
            <w:r w:rsidRPr="00D15C32">
              <w:rPr>
                <w:rFonts w:ascii="Arial" w:eastAsia="DengXian" w:hAnsi="Arial" w:cs="Arial"/>
                <w:b/>
                <w:sz w:val="18"/>
              </w:rPr>
              <w:t xml:space="preserve"> </w:t>
            </w:r>
            <w:r w:rsidRPr="00D15C32">
              <w:rPr>
                <w:rFonts w:ascii="Arial" w:eastAsia="DengXian" w:hAnsi="Arial"/>
                <w:b/>
                <w:sz w:val="18"/>
              </w:rPr>
              <w:t>(kHz) (Note 2)</w:t>
            </w:r>
          </w:p>
        </w:tc>
        <w:tc>
          <w:tcPr>
            <w:tcW w:w="2693" w:type="dxa"/>
            <w:tcBorders>
              <w:bottom w:val="single" w:sz="4" w:space="0" w:color="auto"/>
            </w:tcBorders>
            <w:shd w:val="clear" w:color="auto" w:fill="auto"/>
          </w:tcPr>
          <w:p w14:paraId="1656BDD6" w14:textId="77777777" w:rsidR="00711A01" w:rsidRPr="00D15C32" w:rsidRDefault="00711A01" w:rsidP="00BD1F8C">
            <w:pPr>
              <w:keepNext/>
              <w:keepLines/>
              <w:spacing w:after="0"/>
              <w:jc w:val="center"/>
              <w:rPr>
                <w:rFonts w:ascii="Arial" w:hAnsi="Arial"/>
                <w:b/>
                <w:sz w:val="18"/>
                <w:lang w:eastAsia="zh-CN"/>
              </w:rPr>
            </w:pPr>
            <w:r w:rsidRPr="00D15C32">
              <w:rPr>
                <w:rFonts w:ascii="Arial" w:eastAsia="DengXian" w:hAnsi="Arial"/>
                <w:b/>
                <w:sz w:val="18"/>
              </w:rPr>
              <w:t>Type of interfering signal</w:t>
            </w:r>
          </w:p>
        </w:tc>
      </w:tr>
      <w:tr w:rsidR="007905EC" w:rsidRPr="00D15C32" w14:paraId="2528E38A" w14:textId="77777777" w:rsidTr="004C7013">
        <w:tc>
          <w:tcPr>
            <w:tcW w:w="1606" w:type="dxa"/>
            <w:shd w:val="clear" w:color="auto" w:fill="auto"/>
          </w:tcPr>
          <w:p w14:paraId="39DD821D" w14:textId="3B7EA971" w:rsidR="007905EC" w:rsidRPr="00D15C32" w:rsidRDefault="007905EC" w:rsidP="007905EC">
            <w:pPr>
              <w:keepNext/>
              <w:keepLines/>
              <w:spacing w:after="0"/>
              <w:jc w:val="center"/>
              <w:rPr>
                <w:rFonts w:ascii="Arial" w:hAnsi="Arial"/>
                <w:sz w:val="18"/>
                <w:lang w:eastAsia="zh-CN"/>
              </w:rPr>
            </w:pPr>
          </w:p>
        </w:tc>
        <w:tc>
          <w:tcPr>
            <w:tcW w:w="2646" w:type="dxa"/>
            <w:shd w:val="clear" w:color="auto" w:fill="auto"/>
          </w:tcPr>
          <w:p w14:paraId="74B9A463" w14:textId="2B31864A" w:rsidR="007905EC" w:rsidRPr="00D15C32" w:rsidRDefault="007905EC" w:rsidP="007905EC">
            <w:pPr>
              <w:keepNext/>
              <w:keepLines/>
              <w:spacing w:after="0"/>
              <w:jc w:val="center"/>
              <w:rPr>
                <w:rFonts w:ascii="Arial" w:hAnsi="Arial"/>
                <w:sz w:val="18"/>
                <w:lang w:eastAsia="zh-CN"/>
              </w:rPr>
            </w:pPr>
          </w:p>
        </w:tc>
        <w:tc>
          <w:tcPr>
            <w:tcW w:w="2693" w:type="dxa"/>
            <w:tcBorders>
              <w:bottom w:val="nil"/>
            </w:tcBorders>
            <w:shd w:val="clear" w:color="auto" w:fill="auto"/>
          </w:tcPr>
          <w:p w14:paraId="10E465FA" w14:textId="77777777" w:rsidR="007905EC" w:rsidRPr="00D15C32" w:rsidRDefault="007905EC" w:rsidP="007905EC">
            <w:pPr>
              <w:keepNext/>
              <w:keepLines/>
              <w:tabs>
                <w:tab w:val="left" w:pos="540"/>
                <w:tab w:val="left" w:pos="1260"/>
                <w:tab w:val="left" w:pos="1800"/>
              </w:tabs>
              <w:spacing w:after="0"/>
              <w:jc w:val="center"/>
              <w:rPr>
                <w:rFonts w:ascii="Arial" w:hAnsi="Arial"/>
                <w:sz w:val="18"/>
                <w:lang w:eastAsia="zh-CN"/>
              </w:rPr>
            </w:pPr>
            <w:r w:rsidRPr="00D15C32">
              <w:rPr>
                <w:rFonts w:ascii="Arial" w:eastAsia="DengXian" w:hAnsi="Arial"/>
                <w:sz w:val="18"/>
              </w:rPr>
              <w:t xml:space="preserve">5 MHz </w:t>
            </w:r>
            <w:r>
              <w:rPr>
                <w:rFonts w:ascii="Arial" w:eastAsia="DengXian" w:hAnsi="Arial"/>
                <w:sz w:val="18"/>
              </w:rPr>
              <w:t>CP</w:t>
            </w:r>
            <w:r w:rsidRPr="00D15C32">
              <w:rPr>
                <w:rFonts w:ascii="Arial" w:eastAsia="DengXian" w:hAnsi="Arial"/>
                <w:sz w:val="18"/>
              </w:rPr>
              <w:t>-OFDM</w:t>
            </w:r>
            <w:r w:rsidRPr="00D15C32">
              <w:rPr>
                <w:rFonts w:ascii="Arial" w:hAnsi="Arial"/>
                <w:sz w:val="18"/>
              </w:rPr>
              <w:t xml:space="preserve"> </w:t>
            </w:r>
            <w:r w:rsidRPr="00D15C32">
              <w:rPr>
                <w:rFonts w:ascii="Arial" w:hAnsi="Arial"/>
                <w:sz w:val="18"/>
                <w:lang w:eastAsia="zh-CN"/>
              </w:rPr>
              <w:t>NR</w:t>
            </w:r>
            <w:r w:rsidRPr="00D15C32">
              <w:rPr>
                <w:rFonts w:ascii="Arial" w:eastAsia="DengXian" w:hAnsi="Arial"/>
                <w:sz w:val="18"/>
              </w:rPr>
              <w:t xml:space="preserve"> signal, 15 kHz SCS, 1 RB</w:t>
            </w:r>
          </w:p>
        </w:tc>
      </w:tr>
      <w:tr w:rsidR="004C7013" w:rsidRPr="00D15C32" w14:paraId="3AD38A13" w14:textId="77777777" w:rsidTr="004C7013">
        <w:tc>
          <w:tcPr>
            <w:tcW w:w="1606" w:type="dxa"/>
            <w:shd w:val="clear" w:color="auto" w:fill="auto"/>
          </w:tcPr>
          <w:p w14:paraId="2CADF60F"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10</w:t>
            </w:r>
          </w:p>
        </w:tc>
        <w:tc>
          <w:tcPr>
            <w:tcW w:w="2646" w:type="dxa"/>
            <w:shd w:val="clear" w:color="auto" w:fill="auto"/>
          </w:tcPr>
          <w:p w14:paraId="28C55785"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355</w:t>
            </w:r>
            <w:r w:rsidRPr="00D15C32">
              <w:rPr>
                <w:rFonts w:ascii="Arial" w:eastAsia="DengXian" w:hAnsi="Arial" w:cs="Arial"/>
                <w:sz w:val="18"/>
              </w:rPr>
              <w:t>+m*180),</w:t>
            </w:r>
          </w:p>
          <w:p w14:paraId="35BB5A64"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m=0, 1, 2, 3, 4, 9, 14, 19, 24</w:t>
            </w:r>
          </w:p>
        </w:tc>
        <w:tc>
          <w:tcPr>
            <w:tcW w:w="2693" w:type="dxa"/>
            <w:tcBorders>
              <w:top w:val="nil"/>
              <w:bottom w:val="nil"/>
            </w:tcBorders>
            <w:shd w:val="clear" w:color="auto" w:fill="auto"/>
          </w:tcPr>
          <w:p w14:paraId="6F877655" w14:textId="77777777" w:rsidR="004C7013" w:rsidRPr="00D15C32" w:rsidRDefault="004C7013" w:rsidP="00BD1F8C">
            <w:pPr>
              <w:keepNext/>
              <w:keepLines/>
              <w:spacing w:after="0"/>
              <w:jc w:val="center"/>
              <w:rPr>
                <w:rFonts w:ascii="Arial" w:hAnsi="Arial"/>
                <w:sz w:val="18"/>
                <w:lang w:val="sv-SE" w:eastAsia="zh-CN"/>
              </w:rPr>
            </w:pPr>
          </w:p>
        </w:tc>
      </w:tr>
      <w:tr w:rsidR="004C7013" w:rsidRPr="00D15C32" w14:paraId="43BE9FAF" w14:textId="77777777" w:rsidTr="004C7013">
        <w:tc>
          <w:tcPr>
            <w:tcW w:w="1606" w:type="dxa"/>
            <w:shd w:val="clear" w:color="auto" w:fill="auto"/>
          </w:tcPr>
          <w:p w14:paraId="6064C3A8"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15</w:t>
            </w:r>
          </w:p>
        </w:tc>
        <w:tc>
          <w:tcPr>
            <w:tcW w:w="2646" w:type="dxa"/>
            <w:shd w:val="clear" w:color="auto" w:fill="auto"/>
          </w:tcPr>
          <w:p w14:paraId="14B2EC2F"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360</w:t>
            </w:r>
            <w:r w:rsidRPr="00D15C32">
              <w:rPr>
                <w:rFonts w:ascii="Arial" w:eastAsia="DengXian" w:hAnsi="Arial" w:cs="Arial"/>
                <w:sz w:val="18"/>
              </w:rPr>
              <w:t>+m*180),</w:t>
            </w:r>
          </w:p>
          <w:p w14:paraId="2F1B8CFC"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m=0, 1, 2, 3, 4, 9, 14, 19, 24</w:t>
            </w:r>
          </w:p>
        </w:tc>
        <w:tc>
          <w:tcPr>
            <w:tcW w:w="2693" w:type="dxa"/>
            <w:tcBorders>
              <w:top w:val="nil"/>
              <w:bottom w:val="nil"/>
            </w:tcBorders>
            <w:shd w:val="clear" w:color="auto" w:fill="auto"/>
          </w:tcPr>
          <w:p w14:paraId="4EFC6514" w14:textId="77777777" w:rsidR="004C7013" w:rsidRPr="00D15C32" w:rsidRDefault="004C7013" w:rsidP="00BD1F8C">
            <w:pPr>
              <w:keepNext/>
              <w:keepLines/>
              <w:spacing w:after="0"/>
              <w:jc w:val="center"/>
              <w:rPr>
                <w:rFonts w:ascii="Arial" w:hAnsi="Arial"/>
                <w:sz w:val="18"/>
                <w:lang w:val="sv-SE" w:eastAsia="zh-CN"/>
              </w:rPr>
            </w:pPr>
          </w:p>
        </w:tc>
      </w:tr>
      <w:tr w:rsidR="004C7013" w:rsidRPr="00D15C32" w14:paraId="3205615B" w14:textId="77777777" w:rsidTr="004C7013">
        <w:tc>
          <w:tcPr>
            <w:tcW w:w="1606" w:type="dxa"/>
            <w:shd w:val="clear" w:color="auto" w:fill="auto"/>
          </w:tcPr>
          <w:p w14:paraId="0300DA3D"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20</w:t>
            </w:r>
          </w:p>
        </w:tc>
        <w:tc>
          <w:tcPr>
            <w:tcW w:w="2646" w:type="dxa"/>
            <w:shd w:val="clear" w:color="auto" w:fill="auto"/>
          </w:tcPr>
          <w:p w14:paraId="52C10B95"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350</w:t>
            </w:r>
            <w:r w:rsidRPr="00D15C32">
              <w:rPr>
                <w:rFonts w:ascii="Arial" w:eastAsia="DengXian" w:hAnsi="Arial" w:cs="Arial"/>
                <w:sz w:val="18"/>
              </w:rPr>
              <w:t>+m*180),</w:t>
            </w:r>
          </w:p>
          <w:p w14:paraId="52E64087"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m=0, 1, 2, 3, 4, 9, 14, 19, 24</w:t>
            </w:r>
          </w:p>
        </w:tc>
        <w:tc>
          <w:tcPr>
            <w:tcW w:w="2693" w:type="dxa"/>
            <w:tcBorders>
              <w:top w:val="nil"/>
              <w:bottom w:val="single" w:sz="4" w:space="0" w:color="auto"/>
            </w:tcBorders>
            <w:shd w:val="clear" w:color="auto" w:fill="auto"/>
          </w:tcPr>
          <w:p w14:paraId="66464D03" w14:textId="77777777" w:rsidR="004C7013" w:rsidRPr="00D15C32" w:rsidRDefault="004C7013" w:rsidP="00BD1F8C">
            <w:pPr>
              <w:keepNext/>
              <w:keepLines/>
              <w:spacing w:after="0"/>
              <w:jc w:val="center"/>
              <w:rPr>
                <w:rFonts w:ascii="Arial" w:hAnsi="Arial"/>
                <w:sz w:val="18"/>
                <w:lang w:val="sv-SE" w:eastAsia="zh-CN"/>
              </w:rPr>
            </w:pPr>
          </w:p>
        </w:tc>
      </w:tr>
      <w:tr w:rsidR="004C7013" w:rsidRPr="00D15C32" w14:paraId="0395E1EB" w14:textId="77777777" w:rsidTr="004C7013">
        <w:tc>
          <w:tcPr>
            <w:tcW w:w="1606" w:type="dxa"/>
            <w:shd w:val="clear" w:color="auto" w:fill="auto"/>
          </w:tcPr>
          <w:p w14:paraId="13749DCD"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25</w:t>
            </w:r>
          </w:p>
        </w:tc>
        <w:tc>
          <w:tcPr>
            <w:tcW w:w="2646" w:type="dxa"/>
            <w:shd w:val="clear" w:color="auto" w:fill="auto"/>
          </w:tcPr>
          <w:p w14:paraId="7BD68EB8"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565</w:t>
            </w:r>
            <w:r w:rsidRPr="00D15C32">
              <w:rPr>
                <w:rFonts w:ascii="Arial" w:eastAsia="DengXian" w:hAnsi="Arial" w:cs="Arial"/>
                <w:sz w:val="18"/>
              </w:rPr>
              <w:t>+m*180),</w:t>
            </w:r>
          </w:p>
          <w:p w14:paraId="712E3375"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bottom w:val="nil"/>
            </w:tcBorders>
            <w:shd w:val="clear" w:color="auto" w:fill="auto"/>
          </w:tcPr>
          <w:p w14:paraId="14791135" w14:textId="1836AD81" w:rsidR="004C7013" w:rsidRPr="004C7013" w:rsidRDefault="004C7013" w:rsidP="00BD1F8C">
            <w:pPr>
              <w:keepNext/>
              <w:keepLines/>
              <w:tabs>
                <w:tab w:val="left" w:pos="540"/>
                <w:tab w:val="left" w:pos="1260"/>
                <w:tab w:val="left" w:pos="1800"/>
              </w:tabs>
              <w:spacing w:after="0"/>
              <w:jc w:val="center"/>
              <w:rPr>
                <w:rFonts w:ascii="Arial" w:eastAsia="DengXian" w:hAnsi="Arial"/>
                <w:sz w:val="18"/>
              </w:rPr>
            </w:pPr>
            <w:r>
              <w:rPr>
                <w:rFonts w:ascii="Arial" w:eastAsia="DengXian" w:hAnsi="Arial"/>
                <w:sz w:val="18"/>
              </w:rPr>
              <w:t>3</w:t>
            </w:r>
          </w:p>
        </w:tc>
      </w:tr>
      <w:tr w:rsidR="004C7013" w:rsidRPr="00D15C32" w14:paraId="5376E6EB" w14:textId="77777777" w:rsidTr="004C7013">
        <w:tc>
          <w:tcPr>
            <w:tcW w:w="1606" w:type="dxa"/>
            <w:shd w:val="clear" w:color="auto" w:fill="auto"/>
          </w:tcPr>
          <w:p w14:paraId="2808A8AC"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30</w:t>
            </w:r>
          </w:p>
        </w:tc>
        <w:tc>
          <w:tcPr>
            <w:tcW w:w="2646" w:type="dxa"/>
            <w:shd w:val="clear" w:color="auto" w:fill="auto"/>
          </w:tcPr>
          <w:p w14:paraId="6F3BA014"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570</w:t>
            </w:r>
            <w:r w:rsidRPr="00D15C32">
              <w:rPr>
                <w:rFonts w:ascii="Arial" w:eastAsia="DengXian" w:hAnsi="Arial" w:cs="Arial"/>
                <w:sz w:val="18"/>
              </w:rPr>
              <w:t>+m*180),</w:t>
            </w:r>
          </w:p>
          <w:p w14:paraId="5D79180C"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099C7D13"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5285EADD" w14:textId="77777777" w:rsidTr="004C7013">
        <w:tc>
          <w:tcPr>
            <w:tcW w:w="1606" w:type="dxa"/>
            <w:shd w:val="clear" w:color="auto" w:fill="auto"/>
          </w:tcPr>
          <w:p w14:paraId="138594E0"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40</w:t>
            </w:r>
          </w:p>
        </w:tc>
        <w:tc>
          <w:tcPr>
            <w:tcW w:w="2646" w:type="dxa"/>
            <w:shd w:val="clear" w:color="auto" w:fill="auto"/>
          </w:tcPr>
          <w:p w14:paraId="06ACFE24"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565</w:t>
            </w:r>
            <w:r w:rsidRPr="00D15C32">
              <w:rPr>
                <w:rFonts w:ascii="Arial" w:eastAsia="DengXian" w:hAnsi="Arial" w:cs="Arial"/>
                <w:sz w:val="18"/>
              </w:rPr>
              <w:t>+m*180),</w:t>
            </w:r>
          </w:p>
          <w:p w14:paraId="359E575D"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168A4BAD"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6C815279" w14:textId="77777777" w:rsidTr="004C7013">
        <w:tc>
          <w:tcPr>
            <w:tcW w:w="1606" w:type="dxa"/>
            <w:shd w:val="clear" w:color="auto" w:fill="auto"/>
          </w:tcPr>
          <w:p w14:paraId="768FF0E8"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50</w:t>
            </w:r>
          </w:p>
        </w:tc>
        <w:tc>
          <w:tcPr>
            <w:tcW w:w="2646" w:type="dxa"/>
            <w:shd w:val="clear" w:color="auto" w:fill="auto"/>
          </w:tcPr>
          <w:p w14:paraId="0B19DF35"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560</w:t>
            </w:r>
            <w:r w:rsidRPr="00D15C32">
              <w:rPr>
                <w:rFonts w:ascii="Arial" w:eastAsia="DengXian" w:hAnsi="Arial" w:cs="Arial"/>
                <w:sz w:val="18"/>
              </w:rPr>
              <w:t>+m*180),</w:t>
            </w:r>
          </w:p>
          <w:p w14:paraId="7A94AF85"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351E7528"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2E2DCAC9" w14:textId="77777777" w:rsidTr="004C7013">
        <w:tc>
          <w:tcPr>
            <w:tcW w:w="1606" w:type="dxa"/>
            <w:shd w:val="clear" w:color="auto" w:fill="auto"/>
          </w:tcPr>
          <w:p w14:paraId="3845EF15"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60</w:t>
            </w:r>
          </w:p>
        </w:tc>
        <w:tc>
          <w:tcPr>
            <w:tcW w:w="2646" w:type="dxa"/>
            <w:shd w:val="clear" w:color="auto" w:fill="auto"/>
          </w:tcPr>
          <w:p w14:paraId="6DF1CDAC"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570</w:t>
            </w:r>
            <w:r w:rsidRPr="00D15C32">
              <w:rPr>
                <w:rFonts w:ascii="Arial" w:eastAsia="DengXian" w:hAnsi="Arial" w:cs="Arial"/>
                <w:sz w:val="18"/>
              </w:rPr>
              <w:t>+m*180),</w:t>
            </w:r>
          </w:p>
          <w:p w14:paraId="706C1F8A"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7F02EC3D"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7E64896A" w14:textId="77777777" w:rsidTr="004C7013">
        <w:tc>
          <w:tcPr>
            <w:tcW w:w="1606" w:type="dxa"/>
            <w:shd w:val="clear" w:color="auto" w:fill="auto"/>
          </w:tcPr>
          <w:p w14:paraId="2DC946C7"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70</w:t>
            </w:r>
          </w:p>
        </w:tc>
        <w:tc>
          <w:tcPr>
            <w:tcW w:w="2646" w:type="dxa"/>
            <w:shd w:val="clear" w:color="auto" w:fill="auto"/>
          </w:tcPr>
          <w:p w14:paraId="1DAD1E41"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565</w:t>
            </w:r>
            <w:r w:rsidRPr="00D15C32">
              <w:rPr>
                <w:rFonts w:ascii="Arial" w:eastAsia="DengXian" w:hAnsi="Arial" w:cs="Arial"/>
                <w:sz w:val="18"/>
              </w:rPr>
              <w:t>+m*180),</w:t>
            </w:r>
          </w:p>
          <w:p w14:paraId="156E74EA"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4987EB8E"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0A9B4CFD" w14:textId="77777777" w:rsidTr="004C7013">
        <w:tc>
          <w:tcPr>
            <w:tcW w:w="1606" w:type="dxa"/>
            <w:shd w:val="clear" w:color="auto" w:fill="auto"/>
          </w:tcPr>
          <w:p w14:paraId="71F897BF"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80</w:t>
            </w:r>
          </w:p>
        </w:tc>
        <w:tc>
          <w:tcPr>
            <w:tcW w:w="2646" w:type="dxa"/>
            <w:shd w:val="clear" w:color="auto" w:fill="auto"/>
          </w:tcPr>
          <w:p w14:paraId="68E27E7C"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560</w:t>
            </w:r>
            <w:r w:rsidRPr="00D15C32">
              <w:rPr>
                <w:rFonts w:ascii="Arial" w:eastAsia="DengXian" w:hAnsi="Arial" w:cs="Arial"/>
                <w:sz w:val="18"/>
              </w:rPr>
              <w:t>+m*180),</w:t>
            </w:r>
          </w:p>
          <w:p w14:paraId="541B3DE0"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3421AA9E"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24C91819" w14:textId="77777777" w:rsidTr="004C7013">
        <w:tc>
          <w:tcPr>
            <w:tcW w:w="1606" w:type="dxa"/>
            <w:shd w:val="clear" w:color="auto" w:fill="auto"/>
          </w:tcPr>
          <w:p w14:paraId="02E5345F"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90</w:t>
            </w:r>
          </w:p>
        </w:tc>
        <w:tc>
          <w:tcPr>
            <w:tcW w:w="2646" w:type="dxa"/>
            <w:shd w:val="clear" w:color="auto" w:fill="auto"/>
          </w:tcPr>
          <w:p w14:paraId="2E16C54E"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570</w:t>
            </w:r>
            <w:r w:rsidRPr="00D15C32">
              <w:rPr>
                <w:rFonts w:ascii="Arial" w:eastAsia="DengXian" w:hAnsi="Arial" w:cs="Arial"/>
                <w:sz w:val="18"/>
              </w:rPr>
              <w:t>+m*180),</w:t>
            </w:r>
          </w:p>
          <w:p w14:paraId="3A9BFBEF"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bottom w:val="nil"/>
            </w:tcBorders>
            <w:shd w:val="clear" w:color="auto" w:fill="auto"/>
          </w:tcPr>
          <w:p w14:paraId="0D1CCBF4" w14:textId="77777777" w:rsidR="004C7013" w:rsidRPr="00D15C32" w:rsidRDefault="004C7013" w:rsidP="00BD1F8C">
            <w:pPr>
              <w:keepNext/>
              <w:keepLines/>
              <w:spacing w:after="0"/>
              <w:jc w:val="center"/>
              <w:rPr>
                <w:rFonts w:ascii="Arial" w:hAnsi="Arial"/>
                <w:sz w:val="18"/>
                <w:lang w:eastAsia="zh-CN"/>
              </w:rPr>
            </w:pPr>
          </w:p>
        </w:tc>
      </w:tr>
      <w:tr w:rsidR="004C7013" w:rsidRPr="00D15C32" w14:paraId="75FB0D94" w14:textId="77777777" w:rsidTr="004C7013">
        <w:tc>
          <w:tcPr>
            <w:tcW w:w="1606" w:type="dxa"/>
            <w:shd w:val="clear" w:color="auto" w:fill="auto"/>
          </w:tcPr>
          <w:p w14:paraId="51AE435C" w14:textId="77777777" w:rsidR="004C7013" w:rsidRPr="00D15C32" w:rsidRDefault="004C7013" w:rsidP="00BD1F8C">
            <w:pPr>
              <w:keepNext/>
              <w:keepLines/>
              <w:spacing w:after="0"/>
              <w:jc w:val="center"/>
              <w:rPr>
                <w:rFonts w:ascii="Arial" w:hAnsi="Arial"/>
                <w:sz w:val="18"/>
                <w:lang w:eastAsia="zh-CN"/>
              </w:rPr>
            </w:pPr>
            <w:r w:rsidRPr="00D15C32">
              <w:rPr>
                <w:rFonts w:ascii="Arial" w:hAnsi="Arial"/>
                <w:sz w:val="18"/>
                <w:lang w:eastAsia="zh-CN"/>
              </w:rPr>
              <w:t>100</w:t>
            </w:r>
          </w:p>
        </w:tc>
        <w:tc>
          <w:tcPr>
            <w:tcW w:w="2646" w:type="dxa"/>
            <w:shd w:val="clear" w:color="auto" w:fill="auto"/>
          </w:tcPr>
          <w:p w14:paraId="255AF6D1" w14:textId="77777777" w:rsidR="004C7013" w:rsidRPr="00D15C32" w:rsidRDefault="004C7013" w:rsidP="00BD1F8C">
            <w:pPr>
              <w:spacing w:after="0"/>
              <w:jc w:val="center"/>
              <w:rPr>
                <w:rFonts w:ascii="Arial" w:eastAsia="DengXian" w:hAnsi="Arial" w:cs="Arial"/>
                <w:sz w:val="18"/>
              </w:rPr>
            </w:pPr>
            <w:r w:rsidRPr="00D15C32">
              <w:rPr>
                <w:rFonts w:ascii="Arial" w:eastAsia="DengXian" w:hAnsi="Arial" w:cs="Arial"/>
                <w:sz w:val="18"/>
              </w:rPr>
              <w:t>±</w:t>
            </w:r>
            <w:r w:rsidRPr="00D15C32">
              <w:rPr>
                <w:rFonts w:ascii="Arial" w:eastAsia="DengXian" w:hAnsi="Arial" w:cs="Arial"/>
                <w:sz w:val="18"/>
                <w:lang w:val="en-US" w:eastAsia="zh-CN"/>
              </w:rPr>
              <w:t>(</w:t>
            </w:r>
            <w:r w:rsidRPr="00D15C32">
              <w:rPr>
                <w:rFonts w:ascii="Arial" w:hAnsi="Arial"/>
                <w:sz w:val="18"/>
                <w:lang w:eastAsia="zh-CN"/>
              </w:rPr>
              <w:t>565</w:t>
            </w:r>
            <w:r w:rsidRPr="00D15C32">
              <w:rPr>
                <w:rFonts w:ascii="Arial" w:eastAsia="DengXian" w:hAnsi="Arial" w:cs="Arial"/>
                <w:sz w:val="18"/>
              </w:rPr>
              <w:t>+m*180),</w:t>
            </w:r>
          </w:p>
          <w:p w14:paraId="2DBB73F6" w14:textId="77777777" w:rsidR="004C7013" w:rsidRPr="00D15C32" w:rsidRDefault="004C7013" w:rsidP="00BD1F8C">
            <w:pPr>
              <w:keepNext/>
              <w:keepLines/>
              <w:spacing w:after="0"/>
              <w:jc w:val="center"/>
              <w:rPr>
                <w:rFonts w:ascii="Arial" w:hAnsi="Arial"/>
                <w:sz w:val="18"/>
                <w:lang w:eastAsia="zh-CN"/>
              </w:rPr>
            </w:pPr>
            <w:r w:rsidRPr="00D15C32">
              <w:rPr>
                <w:rFonts w:ascii="Arial" w:eastAsia="DengXian" w:hAnsi="Arial" w:cs="Arial"/>
                <w:sz w:val="18"/>
              </w:rPr>
              <w:t xml:space="preserve">m=0, 1, 2, 3, 4, </w:t>
            </w:r>
            <w:r w:rsidRPr="00D15C32">
              <w:rPr>
                <w:rFonts w:ascii="Arial" w:hAnsi="Arial" w:cs="Arial"/>
                <w:sz w:val="18"/>
                <w:lang w:val="en-US" w:eastAsia="zh-CN"/>
              </w:rPr>
              <w:t>29</w:t>
            </w:r>
            <w:r w:rsidRPr="00D15C32">
              <w:rPr>
                <w:rFonts w:ascii="Arial" w:eastAsia="DengXian" w:hAnsi="Arial" w:cs="Arial"/>
                <w:sz w:val="18"/>
              </w:rPr>
              <w:t xml:space="preserve">, </w:t>
            </w:r>
            <w:r w:rsidRPr="00D15C32">
              <w:rPr>
                <w:rFonts w:ascii="Arial" w:hAnsi="Arial" w:cs="Arial"/>
                <w:sz w:val="18"/>
                <w:lang w:val="en-US" w:eastAsia="zh-CN"/>
              </w:rPr>
              <w:t>5</w:t>
            </w:r>
            <w:r w:rsidRPr="00D15C32">
              <w:rPr>
                <w:rFonts w:ascii="Arial" w:eastAsia="DengXian" w:hAnsi="Arial" w:cs="Arial"/>
                <w:sz w:val="18"/>
              </w:rPr>
              <w:t xml:space="preserve">4, </w:t>
            </w:r>
            <w:r w:rsidRPr="00D15C32">
              <w:rPr>
                <w:rFonts w:ascii="Arial" w:hAnsi="Arial" w:cs="Arial"/>
                <w:sz w:val="18"/>
                <w:lang w:val="en-US" w:eastAsia="zh-CN"/>
              </w:rPr>
              <w:t>7</w:t>
            </w:r>
            <w:r w:rsidRPr="00D15C32">
              <w:rPr>
                <w:rFonts w:ascii="Arial" w:eastAsia="DengXian" w:hAnsi="Arial" w:cs="Arial"/>
                <w:sz w:val="18"/>
              </w:rPr>
              <w:t xml:space="preserve">9, </w:t>
            </w:r>
            <w:r w:rsidRPr="00D15C32">
              <w:rPr>
                <w:rFonts w:ascii="Arial" w:hAnsi="Arial" w:cs="Arial"/>
                <w:sz w:val="18"/>
                <w:lang w:val="en-US" w:eastAsia="zh-CN"/>
              </w:rPr>
              <w:t>99</w:t>
            </w:r>
          </w:p>
        </w:tc>
        <w:tc>
          <w:tcPr>
            <w:tcW w:w="2693" w:type="dxa"/>
            <w:tcBorders>
              <w:top w:val="nil"/>
            </w:tcBorders>
            <w:shd w:val="clear" w:color="auto" w:fill="auto"/>
          </w:tcPr>
          <w:p w14:paraId="0B5C7B83" w14:textId="77777777" w:rsidR="004C7013" w:rsidRPr="00D15C32" w:rsidRDefault="004C7013" w:rsidP="00BD1F8C">
            <w:pPr>
              <w:keepNext/>
              <w:keepLines/>
              <w:spacing w:after="0"/>
              <w:jc w:val="center"/>
              <w:rPr>
                <w:rFonts w:ascii="Arial" w:hAnsi="Arial"/>
                <w:sz w:val="18"/>
                <w:lang w:eastAsia="zh-CN"/>
              </w:rPr>
            </w:pPr>
          </w:p>
        </w:tc>
      </w:tr>
      <w:tr w:rsidR="00711A01" w:rsidRPr="00D15C32" w14:paraId="0823418F" w14:textId="77777777" w:rsidTr="00BD1F8C">
        <w:tc>
          <w:tcPr>
            <w:tcW w:w="6945" w:type="dxa"/>
            <w:gridSpan w:val="3"/>
            <w:shd w:val="clear" w:color="auto" w:fill="auto"/>
          </w:tcPr>
          <w:p w14:paraId="3B44E16D" w14:textId="77777777" w:rsidR="00711A01" w:rsidRPr="00D15C32" w:rsidRDefault="00711A01" w:rsidP="00BD1F8C">
            <w:pPr>
              <w:keepNext/>
              <w:keepLines/>
              <w:spacing w:after="0"/>
              <w:ind w:left="851" w:hanging="851"/>
              <w:rPr>
                <w:rFonts w:ascii="Arial" w:hAnsi="Arial"/>
                <w:sz w:val="18"/>
              </w:rPr>
            </w:pPr>
            <w:r w:rsidRPr="00D15C32">
              <w:rPr>
                <w:rFonts w:ascii="Arial" w:eastAsia="DengXian" w:hAnsi="Arial"/>
                <w:sz w:val="18"/>
              </w:rPr>
              <w:t>NOTE 1:</w:t>
            </w:r>
            <w:r w:rsidRPr="00D15C32">
              <w:rPr>
                <w:rFonts w:ascii="Arial" w:eastAsia="DengXian" w:hAnsi="Arial"/>
                <w:sz w:val="18"/>
              </w:rPr>
              <w:tab/>
              <w:t xml:space="preserve">Interfering signal consisting of one resource block </w:t>
            </w:r>
            <w:r w:rsidRPr="00D15C32">
              <w:rPr>
                <w:rFonts w:ascii="Arial" w:hAnsi="Arial"/>
                <w:sz w:val="18"/>
              </w:rPr>
              <w:t xml:space="preserve">positioned at the stated offset, the </w:t>
            </w:r>
            <w:r w:rsidRPr="00D15C32">
              <w:rPr>
                <w:rFonts w:ascii="Arial" w:hAnsi="Arial"/>
                <w:i/>
                <w:sz w:val="18"/>
              </w:rPr>
              <w:t>channel bandwidth</w:t>
            </w:r>
            <w:r w:rsidRPr="00D15C32">
              <w:rPr>
                <w:rFonts w:ascii="Arial" w:hAnsi="Arial"/>
                <w:sz w:val="18"/>
              </w:rPr>
              <w:t xml:space="preserve"> of the interfering signal is located</w:t>
            </w:r>
            <w:r w:rsidRPr="00D15C32">
              <w:rPr>
                <w:rFonts w:ascii="Arial" w:eastAsia="DengXian" w:hAnsi="Arial"/>
                <w:sz w:val="18"/>
              </w:rPr>
              <w:t xml:space="preserve"> adjacently to the </w:t>
            </w:r>
            <w:r w:rsidRPr="00D15C32">
              <w:rPr>
                <w:rFonts w:ascii="Arial" w:hAnsi="Arial"/>
                <w:sz w:val="18"/>
              </w:rPr>
              <w:t xml:space="preserve">lower/upper </w:t>
            </w:r>
            <w:r>
              <w:rPr>
                <w:rFonts w:ascii="Arial" w:hAnsi="Arial"/>
                <w:sz w:val="18"/>
              </w:rPr>
              <w:t>IAB-MT</w:t>
            </w:r>
            <w:r w:rsidRPr="00D15C32">
              <w:rPr>
                <w:rFonts w:ascii="Arial" w:hAnsi="Arial"/>
                <w:i/>
                <w:sz w:val="18"/>
              </w:rPr>
              <w:t xml:space="preserve"> RF Bandwidth edge</w:t>
            </w:r>
            <w:r w:rsidRPr="00D15C32">
              <w:rPr>
                <w:rFonts w:ascii="Arial" w:eastAsia="DengXian" w:hAnsi="Arial" w:cs="Arial"/>
                <w:sz w:val="18"/>
              </w:rPr>
              <w:t xml:space="preserve"> or </w:t>
            </w:r>
            <w:r w:rsidRPr="00D15C32">
              <w:rPr>
                <w:rFonts w:ascii="Arial" w:eastAsia="DengXian" w:hAnsi="Arial" w:cs="Arial"/>
                <w:i/>
                <w:sz w:val="18"/>
              </w:rPr>
              <w:t xml:space="preserve">sub-block </w:t>
            </w:r>
            <w:r w:rsidRPr="00D15C32">
              <w:rPr>
                <w:rFonts w:ascii="Arial" w:eastAsia="DengXian" w:hAnsi="Arial" w:cs="Arial"/>
                <w:sz w:val="18"/>
              </w:rPr>
              <w:t xml:space="preserve">edge inside a </w:t>
            </w:r>
            <w:r w:rsidRPr="00D15C32">
              <w:rPr>
                <w:rFonts w:ascii="Arial" w:eastAsia="DengXian" w:hAnsi="Arial" w:cs="Arial"/>
                <w:i/>
                <w:sz w:val="18"/>
              </w:rPr>
              <w:t>sub-block gap</w:t>
            </w:r>
            <w:r w:rsidRPr="00D15C32">
              <w:rPr>
                <w:rFonts w:ascii="Arial" w:hAnsi="Arial"/>
                <w:sz w:val="18"/>
              </w:rPr>
              <w:t xml:space="preserve">. </w:t>
            </w:r>
          </w:p>
          <w:p w14:paraId="5C88D369" w14:textId="77777777" w:rsidR="00711A01" w:rsidRPr="00D15C32" w:rsidRDefault="00711A01" w:rsidP="00BD1F8C">
            <w:pPr>
              <w:keepNext/>
              <w:keepLines/>
              <w:spacing w:after="0"/>
              <w:ind w:left="851" w:hanging="851"/>
              <w:rPr>
                <w:rFonts w:ascii="Arial" w:hAnsi="Arial"/>
                <w:sz w:val="18"/>
                <w:lang w:eastAsia="zh-CN"/>
              </w:rPr>
            </w:pPr>
            <w:r w:rsidRPr="00D15C32">
              <w:rPr>
                <w:rFonts w:ascii="Arial" w:eastAsia="DengXian" w:hAnsi="Arial"/>
                <w:sz w:val="18"/>
              </w:rPr>
              <w:t>NOTE 2:</w:t>
            </w:r>
            <w:r w:rsidRPr="00D15C32">
              <w:rPr>
                <w:rFonts w:ascii="Arial" w:hAnsi="Arial"/>
                <w:sz w:val="18"/>
                <w:lang w:eastAsia="zh-CN"/>
              </w:rPr>
              <w:tab/>
            </w:r>
            <w:r w:rsidRPr="00D15C32">
              <w:rPr>
                <w:rFonts w:ascii="Arial" w:eastAsia="DengXian" w:hAnsi="Arial"/>
                <w:sz w:val="18"/>
              </w:rPr>
              <w:t>The centre of the interfering RB refers to the frequency location between the two central subcarriers.</w:t>
            </w:r>
          </w:p>
        </w:tc>
      </w:tr>
    </w:tbl>
    <w:p w14:paraId="6AB2F51F" w14:textId="77777777" w:rsidR="00953DF5" w:rsidRPr="00953DF5" w:rsidRDefault="00953DF5" w:rsidP="00121CA7">
      <w:bookmarkStart w:id="2977" w:name="_Toc13080254"/>
      <w:bookmarkStart w:id="2978" w:name="_Toc18916176"/>
      <w:bookmarkEnd w:id="2976"/>
    </w:p>
    <w:p w14:paraId="331ECF75" w14:textId="77777777" w:rsidR="00077B6E" w:rsidRDefault="00077B6E" w:rsidP="00077B6E">
      <w:pPr>
        <w:pStyle w:val="Heading2"/>
        <w:rPr>
          <w:rFonts w:eastAsiaTheme="minorEastAsia"/>
          <w:lang w:eastAsia="zh-CN"/>
        </w:rPr>
      </w:pPr>
      <w:bookmarkStart w:id="2979" w:name="_Toc53185406"/>
      <w:bookmarkStart w:id="2980" w:name="_Toc53185782"/>
      <w:bookmarkStart w:id="2981" w:name="_Toc57820260"/>
      <w:bookmarkStart w:id="2982" w:name="_Toc57821187"/>
      <w:bookmarkStart w:id="2983" w:name="_Toc61183463"/>
      <w:bookmarkStart w:id="2984" w:name="_Toc61183857"/>
      <w:bookmarkStart w:id="2985" w:name="_Toc61184249"/>
      <w:bookmarkStart w:id="2986" w:name="_Toc61184641"/>
      <w:bookmarkStart w:id="2987" w:name="_Toc61185031"/>
      <w:bookmarkStart w:id="2988" w:name="_Toc66386375"/>
      <w:bookmarkStart w:id="2989" w:name="_Toc74583216"/>
      <w:bookmarkStart w:id="2990" w:name="_Toc76542029"/>
      <w:bookmarkStart w:id="2991" w:name="_Toc82450011"/>
      <w:bookmarkStart w:id="2992" w:name="_Toc82450659"/>
      <w:bookmarkStart w:id="2993" w:name="_Toc89949048"/>
      <w:bookmarkStart w:id="2994" w:name="_Toc98755437"/>
      <w:bookmarkStart w:id="2995" w:name="_Toc98763028"/>
      <w:bookmarkStart w:id="2996" w:name="_Toc106183957"/>
      <w:r w:rsidRPr="007E346D">
        <w:lastRenderedPageBreak/>
        <w:t>7.5</w:t>
      </w:r>
      <w:r w:rsidRPr="007E346D">
        <w:tab/>
        <w:t>Out-of-band blocking</w:t>
      </w:r>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p>
    <w:p w14:paraId="2162EE74" w14:textId="62539046" w:rsidR="0024065D" w:rsidRPr="00716C30" w:rsidRDefault="0024065D" w:rsidP="00C91B26">
      <w:pPr>
        <w:pStyle w:val="Heading3"/>
      </w:pPr>
      <w:bookmarkStart w:id="2997" w:name="_Toc57820261"/>
      <w:bookmarkStart w:id="2998" w:name="_Toc57821188"/>
      <w:bookmarkStart w:id="2999" w:name="_Toc61183464"/>
      <w:bookmarkStart w:id="3000" w:name="_Toc61183858"/>
      <w:bookmarkStart w:id="3001" w:name="_Toc61184250"/>
      <w:bookmarkStart w:id="3002" w:name="_Toc61184642"/>
      <w:bookmarkStart w:id="3003" w:name="_Toc61185032"/>
      <w:bookmarkStart w:id="3004" w:name="_Toc66386376"/>
      <w:bookmarkStart w:id="3005" w:name="_Toc74583217"/>
      <w:bookmarkStart w:id="3006" w:name="_Toc76542030"/>
      <w:bookmarkStart w:id="3007" w:name="_Toc82450012"/>
      <w:bookmarkStart w:id="3008" w:name="_Toc82450660"/>
      <w:bookmarkStart w:id="3009" w:name="_Toc89949049"/>
      <w:bookmarkStart w:id="3010" w:name="_Toc98755438"/>
      <w:bookmarkStart w:id="3011" w:name="_Toc98763029"/>
      <w:bookmarkStart w:id="3012" w:name="_Toc106183958"/>
      <w:r w:rsidRPr="00716C30">
        <w:t>7.5.1</w:t>
      </w:r>
      <w:r w:rsidR="00C91B26">
        <w:tab/>
      </w:r>
      <w:r w:rsidRPr="00716C30">
        <w:t>General</w:t>
      </w:r>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p>
    <w:p w14:paraId="6B62A756" w14:textId="77777777" w:rsidR="0024065D" w:rsidRDefault="0024065D" w:rsidP="0024065D">
      <w:r w:rsidRPr="00716C30">
        <w:t xml:space="preserve">The out-of-band blocking characteristics is a measure of the receiver ability to receive a wanted signal at its assigned channel at the </w:t>
      </w:r>
      <w:r w:rsidRPr="00716C30">
        <w:rPr>
          <w:i/>
        </w:rPr>
        <w:t>TAB connector</w:t>
      </w:r>
      <w:r w:rsidRPr="00716C30">
        <w:rPr>
          <w:i/>
          <w:lang w:val="en-US" w:eastAsia="zh-CN"/>
        </w:rPr>
        <w:t xml:space="preserve"> </w:t>
      </w:r>
      <w:r w:rsidRPr="00716C30">
        <w:rPr>
          <w:rFonts w:eastAsia="??"/>
        </w:rPr>
        <w:t xml:space="preserve">for </w:t>
      </w:r>
      <w:r w:rsidRPr="00716C30">
        <w:rPr>
          <w:rFonts w:eastAsia="??"/>
          <w:i/>
        </w:rPr>
        <w:t>IAB-</w:t>
      </w:r>
      <w:r>
        <w:rPr>
          <w:rFonts w:eastAsia="??"/>
          <w:i/>
        </w:rPr>
        <w:t>DU</w:t>
      </w:r>
      <w:r w:rsidRPr="00716C30">
        <w:rPr>
          <w:rFonts w:eastAsia="??"/>
          <w:i/>
        </w:rPr>
        <w:t xml:space="preserve"> type 1-</w:t>
      </w:r>
      <w:r w:rsidRPr="00716C30">
        <w:rPr>
          <w:i/>
          <w:lang w:val="en-US" w:eastAsia="zh-CN"/>
        </w:rPr>
        <w:t>H</w:t>
      </w:r>
      <w:r>
        <w:rPr>
          <w:i/>
          <w:lang w:val="en-US" w:eastAsia="zh-CN"/>
        </w:rPr>
        <w:t xml:space="preserve"> and IAB-MT type 1-H</w:t>
      </w:r>
      <w:r w:rsidRPr="00716C30">
        <w:rPr>
          <w:i/>
          <w:lang w:val="en-US" w:eastAsia="zh-CN"/>
        </w:rPr>
        <w:t xml:space="preserve"> </w:t>
      </w:r>
      <w:r w:rsidRPr="00716C30">
        <w:t xml:space="preserve">in the presence of an unwanted interferer out of the </w:t>
      </w:r>
      <w:r w:rsidRPr="00716C30">
        <w:rPr>
          <w:i/>
        </w:rPr>
        <w:t>operating band</w:t>
      </w:r>
      <w:r w:rsidRPr="00716C30">
        <w:t>, which is a CW signal for out-of-band blocking.</w:t>
      </w:r>
    </w:p>
    <w:p w14:paraId="3F53CA0B" w14:textId="30D668C5" w:rsidR="00C91B26" w:rsidRPr="00716C30" w:rsidRDefault="00C91B26" w:rsidP="00C91B26">
      <w:pPr>
        <w:pStyle w:val="Heading3"/>
      </w:pPr>
      <w:bookmarkStart w:id="3013" w:name="_Toc57820262"/>
      <w:bookmarkStart w:id="3014" w:name="_Toc57821189"/>
      <w:bookmarkStart w:id="3015" w:name="_Toc61183465"/>
      <w:bookmarkStart w:id="3016" w:name="_Toc61183859"/>
      <w:bookmarkStart w:id="3017" w:name="_Toc61184251"/>
      <w:bookmarkStart w:id="3018" w:name="_Toc61184643"/>
      <w:bookmarkStart w:id="3019" w:name="_Toc61185033"/>
      <w:bookmarkStart w:id="3020" w:name="_Toc66386377"/>
      <w:bookmarkStart w:id="3021" w:name="_Toc74583218"/>
      <w:bookmarkStart w:id="3022" w:name="_Toc76542031"/>
      <w:bookmarkStart w:id="3023" w:name="_Toc82450013"/>
      <w:bookmarkStart w:id="3024" w:name="_Toc82450661"/>
      <w:bookmarkStart w:id="3025" w:name="_Toc89949050"/>
      <w:bookmarkStart w:id="3026" w:name="_Toc98755439"/>
      <w:bookmarkStart w:id="3027" w:name="_Toc98763030"/>
      <w:bookmarkStart w:id="3028" w:name="_Toc106183959"/>
      <w:r w:rsidRPr="00716C30">
        <w:t>7.5.2</w:t>
      </w:r>
      <w:r>
        <w:tab/>
        <w:t>Void</w:t>
      </w:r>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p>
    <w:p w14:paraId="599C4990" w14:textId="77777777" w:rsidR="0024065D" w:rsidRPr="00716C30" w:rsidRDefault="0024065D" w:rsidP="0024065D"/>
    <w:p w14:paraId="0147F8B0" w14:textId="44E42A81" w:rsidR="00C91B26" w:rsidRDefault="00C91B26" w:rsidP="00815C5B">
      <w:pPr>
        <w:pStyle w:val="Heading3"/>
      </w:pPr>
      <w:bookmarkStart w:id="3029" w:name="_Toc21127547"/>
      <w:bookmarkStart w:id="3030" w:name="_Toc29811756"/>
      <w:bookmarkStart w:id="3031" w:name="_Toc36817308"/>
      <w:bookmarkStart w:id="3032" w:name="_Toc37260225"/>
      <w:bookmarkStart w:id="3033" w:name="_Toc37267613"/>
      <w:bookmarkStart w:id="3034" w:name="_Toc57820263"/>
      <w:bookmarkStart w:id="3035" w:name="_Toc57821190"/>
      <w:bookmarkStart w:id="3036" w:name="_Toc61183466"/>
      <w:bookmarkStart w:id="3037" w:name="_Toc61183860"/>
      <w:bookmarkStart w:id="3038" w:name="_Toc61184252"/>
      <w:bookmarkStart w:id="3039" w:name="_Toc61184644"/>
      <w:bookmarkStart w:id="3040" w:name="_Toc61185034"/>
      <w:bookmarkStart w:id="3041" w:name="_Toc66386378"/>
      <w:bookmarkStart w:id="3042" w:name="_Toc74583219"/>
      <w:bookmarkStart w:id="3043" w:name="_Toc76542032"/>
      <w:bookmarkStart w:id="3044" w:name="_Toc82450014"/>
      <w:bookmarkStart w:id="3045" w:name="_Toc82450662"/>
      <w:bookmarkStart w:id="3046" w:name="_Toc89949051"/>
      <w:bookmarkStart w:id="3047" w:name="_Toc98755440"/>
      <w:bookmarkStart w:id="3048" w:name="_Toc98763031"/>
      <w:bookmarkStart w:id="3049" w:name="_Toc106183960"/>
      <w:bookmarkStart w:id="3050" w:name="_Toc13080259"/>
      <w:bookmarkStart w:id="3051" w:name="_Toc18916177"/>
      <w:r w:rsidRPr="00716C30">
        <w:rPr>
          <w:lang w:val="en-US" w:eastAsia="zh-CN"/>
        </w:rPr>
        <w:t>7.5.3</w:t>
      </w:r>
      <w:r w:rsidRPr="00716C30">
        <w:rPr>
          <w:lang w:val="en-US" w:eastAsia="zh-CN"/>
        </w:rPr>
        <w:tab/>
      </w:r>
      <w:bookmarkEnd w:id="3029"/>
      <w:bookmarkEnd w:id="3030"/>
      <w:bookmarkEnd w:id="3031"/>
      <w:bookmarkEnd w:id="3032"/>
      <w:bookmarkEnd w:id="3033"/>
      <w:r w:rsidRPr="00EC7F57">
        <w:t xml:space="preserve"> </w:t>
      </w:r>
      <w:r>
        <w:t>Minimum requirement for IAB-DU type 1-H</w:t>
      </w:r>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p>
    <w:p w14:paraId="411C1AA1" w14:textId="77777777" w:rsidR="00C91B26" w:rsidRPr="00EC7F57" w:rsidRDefault="00C91B26" w:rsidP="00C91B26">
      <w:pPr>
        <w:keepNext/>
        <w:keepLines/>
        <w:spacing w:before="120"/>
        <w:outlineLvl w:val="2"/>
        <w:rPr>
          <w:rFonts w:ascii="Arial" w:hAnsi="Arial"/>
          <w:iCs/>
          <w:sz w:val="28"/>
        </w:rPr>
      </w:pPr>
      <w:r>
        <w:t>Minimum requirement is the same as specified for BS type 1-H in TS 38.104 [2], subclause 7.5.2.</w:t>
      </w:r>
    </w:p>
    <w:p w14:paraId="000CCCE4" w14:textId="79B666CB" w:rsidR="00C91B26" w:rsidRDefault="00C91B26" w:rsidP="00C91B26">
      <w:pPr>
        <w:pStyle w:val="Heading3"/>
      </w:pPr>
      <w:bookmarkStart w:id="3052" w:name="_Toc57820264"/>
      <w:bookmarkStart w:id="3053" w:name="_Toc57821191"/>
      <w:bookmarkStart w:id="3054" w:name="_Toc61183467"/>
      <w:bookmarkStart w:id="3055" w:name="_Toc61183861"/>
      <w:bookmarkStart w:id="3056" w:name="_Toc61184253"/>
      <w:bookmarkStart w:id="3057" w:name="_Toc61184645"/>
      <w:bookmarkStart w:id="3058" w:name="_Toc61185035"/>
      <w:bookmarkStart w:id="3059" w:name="_Toc66386379"/>
      <w:bookmarkStart w:id="3060" w:name="_Toc74583220"/>
      <w:bookmarkStart w:id="3061" w:name="_Toc76542033"/>
      <w:bookmarkStart w:id="3062" w:name="_Toc82450015"/>
      <w:bookmarkStart w:id="3063" w:name="_Toc82450663"/>
      <w:bookmarkStart w:id="3064" w:name="_Toc89949052"/>
      <w:bookmarkStart w:id="3065" w:name="_Toc98755441"/>
      <w:bookmarkStart w:id="3066" w:name="_Toc98763032"/>
      <w:bookmarkStart w:id="3067" w:name="_Toc106183961"/>
      <w:r>
        <w:t>7.5.4</w:t>
      </w:r>
      <w:r>
        <w:tab/>
        <w:t>Co-location minimum requirements for IAB-DU type 1-H</w:t>
      </w:r>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p>
    <w:p w14:paraId="061D00C0" w14:textId="77777777" w:rsidR="00C91B26" w:rsidRDefault="00C91B26" w:rsidP="00C91B26">
      <w:pPr>
        <w:rPr>
          <w:rFonts w:asciiTheme="minorHAnsi" w:hAnsiTheme="minorHAnsi"/>
          <w:sz w:val="22"/>
        </w:rPr>
      </w:pPr>
      <w:r>
        <w:t>Minimum requirement is the same as specified for BS type 1-H in TS 38.104 [2], subclause 7.5.3.</w:t>
      </w:r>
    </w:p>
    <w:p w14:paraId="21B288E4" w14:textId="41BF1124" w:rsidR="00C91B26" w:rsidRDefault="00C91B26" w:rsidP="00C91B26">
      <w:pPr>
        <w:pStyle w:val="Heading3"/>
      </w:pPr>
      <w:bookmarkStart w:id="3068" w:name="_Toc57820265"/>
      <w:bookmarkStart w:id="3069" w:name="_Toc57821192"/>
      <w:bookmarkStart w:id="3070" w:name="_Toc61183468"/>
      <w:bookmarkStart w:id="3071" w:name="_Toc61183862"/>
      <w:bookmarkStart w:id="3072" w:name="_Toc61184254"/>
      <w:bookmarkStart w:id="3073" w:name="_Toc61184646"/>
      <w:bookmarkStart w:id="3074" w:name="_Toc61185036"/>
      <w:bookmarkStart w:id="3075" w:name="_Toc66386380"/>
      <w:bookmarkStart w:id="3076" w:name="_Toc74583221"/>
      <w:bookmarkStart w:id="3077" w:name="_Toc76542034"/>
      <w:bookmarkStart w:id="3078" w:name="_Toc82450016"/>
      <w:bookmarkStart w:id="3079" w:name="_Toc82450664"/>
      <w:bookmarkStart w:id="3080" w:name="_Toc89949053"/>
      <w:bookmarkStart w:id="3081" w:name="_Toc98755442"/>
      <w:bookmarkStart w:id="3082" w:name="_Toc98763033"/>
      <w:bookmarkStart w:id="3083" w:name="_Toc106183962"/>
      <w:r>
        <w:t>7.5.5</w:t>
      </w:r>
      <w:r>
        <w:tab/>
        <w:t>Minimum requirement for IAB-MT type 1-H</w:t>
      </w:r>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r>
        <w:t xml:space="preserve"> </w:t>
      </w:r>
    </w:p>
    <w:p w14:paraId="593A4A5E" w14:textId="77777777" w:rsidR="00C91B26" w:rsidRDefault="00C91B26" w:rsidP="00C91B26">
      <w:pPr>
        <w:keepNext/>
        <w:numPr>
          <w:ilvl w:val="12"/>
          <w:numId w:val="0"/>
        </w:numPr>
        <w:rPr>
          <w:rFonts w:asciiTheme="minorHAnsi" w:eastAsia="Osaka" w:hAnsiTheme="minorHAnsi"/>
          <w:sz w:val="22"/>
        </w:rPr>
      </w:pPr>
      <w:r>
        <w:t xml:space="preserve">The throughput shall be </w:t>
      </w:r>
      <w:r>
        <w:rPr>
          <w:lang w:val="en-US"/>
        </w:rPr>
        <w:t>≥</w:t>
      </w:r>
      <w:r>
        <w:t xml:space="preserve"> 95% of the maximum throughput </w:t>
      </w:r>
      <w:r>
        <w:rPr>
          <w:rFonts w:cs="v5.0.0"/>
        </w:rPr>
        <w:t>of the reference measurement channel,</w:t>
      </w:r>
      <w:r>
        <w:t xml:space="preserve"> with</w:t>
      </w:r>
      <w:r>
        <w:rPr>
          <w:rFonts w:cs="v5.0.0"/>
        </w:rPr>
        <w:t xml:space="preserve"> a wanted and an interfering signal coupled to</w:t>
      </w:r>
      <w:r>
        <w:t xml:space="preserve"> </w:t>
      </w:r>
      <w:r>
        <w:rPr>
          <w:i/>
        </w:rPr>
        <w:t>IAB-Node type 1-H</w:t>
      </w:r>
      <w:r>
        <w:t xml:space="preserve"> </w:t>
      </w:r>
      <w:r>
        <w:rPr>
          <w:i/>
        </w:rPr>
        <w:t xml:space="preserve">TAB connector </w:t>
      </w:r>
      <w:r>
        <w:rPr>
          <w:rFonts w:cs="v5.0.0"/>
        </w:rPr>
        <w:t xml:space="preserve">using the parameters in table 7.5.5-2. </w:t>
      </w:r>
      <w:r>
        <w:rPr>
          <w:rFonts w:eastAsia="Osaka" w:cs="v5.0.0"/>
        </w:rPr>
        <w:t xml:space="preserve">The reference measurement channel for the wanted signal is identified </w:t>
      </w:r>
      <w:r>
        <w:rPr>
          <w:rFonts w:cs="v5.0.0"/>
          <w:lang w:eastAsia="zh-CN"/>
        </w:rPr>
        <w:t>in subclause 7.2.1 and sub</w:t>
      </w:r>
      <w:r>
        <w:rPr>
          <w:rFonts w:eastAsia="Osaka" w:cs="v5.0.0"/>
        </w:rPr>
        <w:t>clause 7.2.</w:t>
      </w:r>
      <w:r>
        <w:rPr>
          <w:rFonts w:cs="v5.0.0"/>
          <w:lang w:eastAsia="zh-CN"/>
        </w:rPr>
        <w:t>2 f</w:t>
      </w:r>
      <w:r>
        <w:rPr>
          <w:rFonts w:eastAsia="Osaka" w:cs="v5.0.0"/>
        </w:rPr>
        <w:t xml:space="preserve">or each </w:t>
      </w:r>
      <w:r>
        <w:rPr>
          <w:rFonts w:eastAsia="Osaka" w:cs="v5.0.0"/>
          <w:i/>
        </w:rPr>
        <w:t>IAB-Node channel bandwidth</w:t>
      </w:r>
      <w:r>
        <w:rPr>
          <w:rFonts w:eastAsia="Osaka" w:cs="v5.0.0"/>
        </w:rPr>
        <w:t xml:space="preserve"> and further specified in annex A.1.</w:t>
      </w:r>
      <w:r>
        <w:rPr>
          <w:rFonts w:eastAsia="Osaka"/>
        </w:rPr>
        <w:t xml:space="preserve"> </w:t>
      </w:r>
    </w:p>
    <w:p w14:paraId="2C43E0FA" w14:textId="77777777" w:rsidR="00C91B26" w:rsidRDefault="00C91B26" w:rsidP="00C91B26">
      <w:pPr>
        <w:rPr>
          <w:rFonts w:eastAsiaTheme="minorHAnsi"/>
        </w:rPr>
      </w:pPr>
      <w:r>
        <w:rPr>
          <w:rFonts w:cs="v3.8.0"/>
        </w:rPr>
        <w:t xml:space="preserve">The </w:t>
      </w:r>
      <w:r>
        <w:t xml:space="preserve">out-of-band </w:t>
      </w:r>
      <w:r>
        <w:rPr>
          <w:lang w:eastAsia="zh-CN"/>
        </w:rPr>
        <w:t xml:space="preserve">blocking requirement </w:t>
      </w:r>
      <w:r>
        <w:rPr>
          <w:rFonts w:cs="v3.8.0"/>
        </w:rPr>
        <w:t xml:space="preserve">apply </w:t>
      </w:r>
      <w:r>
        <w:rPr>
          <w:lang w:eastAsia="zh-CN"/>
        </w:rPr>
        <w:t xml:space="preserve">from 1 MHz to </w:t>
      </w:r>
      <w:r>
        <w:rPr>
          <w:rFonts w:cs="Arial"/>
        </w:rPr>
        <w:t>F</w:t>
      </w:r>
      <w:r>
        <w:rPr>
          <w:rFonts w:cs="Arial"/>
          <w:vertAlign w:val="subscript"/>
        </w:rPr>
        <w:t>DL,low</w:t>
      </w:r>
      <w:r>
        <w:rPr>
          <w:rFonts w:cs="Arial"/>
        </w:rPr>
        <w:t xml:space="preserve"> - </w:t>
      </w:r>
      <w:r>
        <w:t>Δf</w:t>
      </w:r>
      <w:r>
        <w:rPr>
          <w:vertAlign w:val="subscript"/>
        </w:rPr>
        <w:t>OOB</w:t>
      </w:r>
      <w:r>
        <w:t xml:space="preserve"> and from </w:t>
      </w:r>
      <w:r>
        <w:rPr>
          <w:rFonts w:cs="Arial"/>
        </w:rPr>
        <w:t>F</w:t>
      </w:r>
      <w:r>
        <w:rPr>
          <w:rFonts w:cs="Arial"/>
          <w:vertAlign w:val="subscript"/>
        </w:rPr>
        <w:t>DL,high</w:t>
      </w:r>
      <w:r>
        <w:rPr>
          <w:rFonts w:cs="Arial"/>
        </w:rPr>
        <w:t xml:space="preserve"> + </w:t>
      </w:r>
      <w:r>
        <w:t>Δf</w:t>
      </w:r>
      <w:r>
        <w:rPr>
          <w:vertAlign w:val="subscript"/>
        </w:rPr>
        <w:t>OOB</w:t>
      </w:r>
      <w:r>
        <w:t xml:space="preserve"> up to 12750 MHz.</w:t>
      </w:r>
      <w:r>
        <w:rPr>
          <w:lang w:eastAsia="zh-CN"/>
        </w:rPr>
        <w:t xml:space="preserve"> The </w:t>
      </w:r>
      <w:r>
        <w:t>Δf</w:t>
      </w:r>
      <w:r>
        <w:rPr>
          <w:vertAlign w:val="subscript"/>
        </w:rPr>
        <w:t>OOB</w:t>
      </w:r>
      <w:r>
        <w:rPr>
          <w:rFonts w:cs="v5.0.0"/>
        </w:rPr>
        <w:t xml:space="preserve"> for </w:t>
      </w:r>
      <w:r>
        <w:rPr>
          <w:i/>
          <w:lang w:eastAsia="zh-CN"/>
        </w:rPr>
        <w:t>IAB-MT type 1-H</w:t>
      </w:r>
      <w:r>
        <w:rPr>
          <w:rFonts w:cs="v5.0.0"/>
        </w:rPr>
        <w:t xml:space="preserve"> is </w:t>
      </w:r>
      <w:r>
        <w:t>defined in table 7.5.5-1.</w:t>
      </w:r>
    </w:p>
    <w:p w14:paraId="431A8EB8" w14:textId="77777777" w:rsidR="00C91B26" w:rsidRDefault="00C91B26" w:rsidP="00C91B26">
      <w:pPr>
        <w:pStyle w:val="TH"/>
      </w:pPr>
      <w:r>
        <w:t>Table 7.5.5-1: Δf</w:t>
      </w:r>
      <w:r>
        <w:rPr>
          <w:vertAlign w:val="subscript"/>
        </w:rPr>
        <w:t>OOB</w:t>
      </w:r>
      <w:r>
        <w:t xml:space="preserve"> offset for NR </w:t>
      </w:r>
      <w:r>
        <w:rPr>
          <w:i/>
        </w:rPr>
        <w:t>operating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6"/>
        <w:gridCol w:w="3472"/>
        <w:gridCol w:w="1219"/>
      </w:tblGrid>
      <w:tr w:rsidR="00C91B26" w14:paraId="2D356D84" w14:textId="77777777" w:rsidTr="00C91B26">
        <w:trPr>
          <w:jc w:val="center"/>
        </w:trPr>
        <w:tc>
          <w:tcPr>
            <w:tcW w:w="0" w:type="auto"/>
            <w:tcBorders>
              <w:top w:val="single" w:sz="4" w:space="0" w:color="auto"/>
              <w:left w:val="single" w:sz="4" w:space="0" w:color="auto"/>
              <w:bottom w:val="single" w:sz="4" w:space="0" w:color="auto"/>
              <w:right w:val="single" w:sz="4" w:space="0" w:color="auto"/>
            </w:tcBorders>
            <w:hideMark/>
          </w:tcPr>
          <w:p w14:paraId="6CE1EFA6" w14:textId="77777777" w:rsidR="00C91B26" w:rsidRDefault="00C91B26" w:rsidP="00C91B26">
            <w:pPr>
              <w:pStyle w:val="TAH"/>
              <w:rPr>
                <w:lang w:val="en-US" w:eastAsia="zh-CN"/>
              </w:rPr>
            </w:pPr>
            <w:r>
              <w:rPr>
                <w:lang w:val="en-US" w:eastAsia="zh-CN"/>
              </w:rPr>
              <w:t>IAB-MT  type</w:t>
            </w:r>
          </w:p>
        </w:tc>
        <w:tc>
          <w:tcPr>
            <w:tcW w:w="3472" w:type="dxa"/>
            <w:tcBorders>
              <w:top w:val="single" w:sz="4" w:space="0" w:color="auto"/>
              <w:left w:val="single" w:sz="4" w:space="0" w:color="auto"/>
              <w:bottom w:val="single" w:sz="4" w:space="0" w:color="auto"/>
              <w:right w:val="single" w:sz="4" w:space="0" w:color="auto"/>
            </w:tcBorders>
            <w:hideMark/>
          </w:tcPr>
          <w:p w14:paraId="32B3A619" w14:textId="77777777" w:rsidR="00C91B26" w:rsidRDefault="00C91B26" w:rsidP="00C91B26">
            <w:pPr>
              <w:pStyle w:val="TAH"/>
              <w:rPr>
                <w:lang w:val="en-US"/>
              </w:rPr>
            </w:pPr>
            <w:r>
              <w:rPr>
                <w:i/>
                <w:lang w:val="en-US"/>
              </w:rPr>
              <w:t>Operating band</w:t>
            </w:r>
            <w:r>
              <w:rPr>
                <w:lang w:val="en-US"/>
              </w:rPr>
              <w:t xml:space="preserve"> characteristics</w:t>
            </w:r>
          </w:p>
        </w:tc>
        <w:tc>
          <w:tcPr>
            <w:tcW w:w="0" w:type="auto"/>
            <w:tcBorders>
              <w:top w:val="single" w:sz="4" w:space="0" w:color="auto"/>
              <w:left w:val="single" w:sz="4" w:space="0" w:color="auto"/>
              <w:bottom w:val="single" w:sz="4" w:space="0" w:color="auto"/>
              <w:right w:val="single" w:sz="4" w:space="0" w:color="auto"/>
            </w:tcBorders>
            <w:hideMark/>
          </w:tcPr>
          <w:p w14:paraId="30F7CB0D" w14:textId="77777777" w:rsidR="00C91B26" w:rsidRDefault="00C91B26" w:rsidP="00C91B26">
            <w:pPr>
              <w:pStyle w:val="TAH"/>
              <w:rPr>
                <w:lang w:val="en-US"/>
              </w:rPr>
            </w:pPr>
            <w:r>
              <w:rPr>
                <w:lang w:val="en-US"/>
              </w:rPr>
              <w:t>Δf</w:t>
            </w:r>
            <w:r>
              <w:rPr>
                <w:vertAlign w:val="subscript"/>
                <w:lang w:val="en-US"/>
              </w:rPr>
              <w:t>OOB</w:t>
            </w:r>
            <w:r>
              <w:rPr>
                <w:lang w:val="en-US"/>
              </w:rPr>
              <w:t xml:space="preserve"> (MHz)</w:t>
            </w:r>
          </w:p>
        </w:tc>
      </w:tr>
      <w:tr w:rsidR="00C91B26" w14:paraId="6C40D44A" w14:textId="77777777" w:rsidTr="00C91B26">
        <w:trPr>
          <w:jc w:val="center"/>
        </w:trPr>
        <w:tc>
          <w:tcPr>
            <w:tcW w:w="0" w:type="auto"/>
            <w:tcBorders>
              <w:top w:val="single" w:sz="4" w:space="0" w:color="auto"/>
              <w:left w:val="single" w:sz="4" w:space="0" w:color="auto"/>
              <w:bottom w:val="nil"/>
              <w:right w:val="single" w:sz="4" w:space="0" w:color="auto"/>
            </w:tcBorders>
            <w:shd w:val="clear" w:color="auto" w:fill="auto"/>
            <w:vAlign w:val="center"/>
            <w:hideMark/>
          </w:tcPr>
          <w:p w14:paraId="75B738D7" w14:textId="77777777" w:rsidR="00C91B26" w:rsidRDefault="00C91B26" w:rsidP="0041345E">
            <w:pPr>
              <w:keepNext/>
              <w:keepLines/>
              <w:spacing w:after="0"/>
              <w:rPr>
                <w:rFonts w:ascii="Arial" w:hAnsi="Arial"/>
                <w:i/>
                <w:sz w:val="18"/>
                <w:lang w:val="en-US"/>
              </w:rPr>
            </w:pPr>
            <w:r>
              <w:rPr>
                <w:rFonts w:ascii="Arial" w:hAnsi="Arial"/>
                <w:i/>
                <w:sz w:val="18"/>
                <w:lang w:val="en-US" w:eastAsia="zh-CN"/>
              </w:rPr>
              <w:t>type 1-H</w:t>
            </w:r>
          </w:p>
        </w:tc>
        <w:tc>
          <w:tcPr>
            <w:tcW w:w="3472" w:type="dxa"/>
            <w:tcBorders>
              <w:top w:val="single" w:sz="4" w:space="0" w:color="auto"/>
              <w:left w:val="single" w:sz="4" w:space="0" w:color="auto"/>
              <w:bottom w:val="single" w:sz="4" w:space="0" w:color="auto"/>
              <w:right w:val="single" w:sz="4" w:space="0" w:color="auto"/>
            </w:tcBorders>
            <w:hideMark/>
          </w:tcPr>
          <w:p w14:paraId="110C92C9" w14:textId="77777777" w:rsidR="00C91B26" w:rsidRDefault="00C91B26" w:rsidP="00C91B26">
            <w:pPr>
              <w:pStyle w:val="TAL"/>
              <w:rPr>
                <w:lang w:val="en-US"/>
              </w:rPr>
            </w:pPr>
            <w:r>
              <w:rPr>
                <w:lang w:val="en-US"/>
              </w:rPr>
              <w:t>F</w:t>
            </w:r>
            <w:r>
              <w:rPr>
                <w:vertAlign w:val="subscript"/>
                <w:lang w:val="en-US"/>
              </w:rPr>
              <w:t>DL,high</w:t>
            </w:r>
            <w:r>
              <w:rPr>
                <w:lang w:val="en-US"/>
              </w:rPr>
              <w:t xml:space="preserve"> – F</w:t>
            </w:r>
            <w:r>
              <w:rPr>
                <w:vertAlign w:val="subscript"/>
                <w:lang w:val="en-US"/>
              </w:rPr>
              <w:t>DL,low</w:t>
            </w:r>
            <w:r>
              <w:rPr>
                <w:lang w:val="en-US"/>
              </w:rPr>
              <w:t xml:space="preserve"> &lt; </w:t>
            </w:r>
            <w:r>
              <w:rPr>
                <w:lang w:val="en-US" w:eastAsia="zh-CN"/>
              </w:rPr>
              <w:t>100 MHz</w:t>
            </w:r>
          </w:p>
        </w:tc>
        <w:tc>
          <w:tcPr>
            <w:tcW w:w="0" w:type="auto"/>
            <w:tcBorders>
              <w:top w:val="single" w:sz="4" w:space="0" w:color="auto"/>
              <w:left w:val="single" w:sz="4" w:space="0" w:color="auto"/>
              <w:bottom w:val="single" w:sz="4" w:space="0" w:color="auto"/>
              <w:right w:val="single" w:sz="4" w:space="0" w:color="auto"/>
            </w:tcBorders>
            <w:hideMark/>
          </w:tcPr>
          <w:p w14:paraId="2A67D41B" w14:textId="77777777" w:rsidR="00C91B26" w:rsidRDefault="00C91B26" w:rsidP="00C91B26">
            <w:pPr>
              <w:pStyle w:val="TAC"/>
              <w:rPr>
                <w:lang w:val="en-US"/>
              </w:rPr>
            </w:pPr>
            <w:r>
              <w:rPr>
                <w:lang w:val="en-US"/>
              </w:rPr>
              <w:t>20</w:t>
            </w:r>
          </w:p>
        </w:tc>
      </w:tr>
      <w:tr w:rsidR="00C91B26" w14:paraId="444B7EF3" w14:textId="77777777" w:rsidTr="00C91B26">
        <w:trPr>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1D1BD6" w14:textId="77777777" w:rsidR="00C91B26" w:rsidRDefault="00C91B26" w:rsidP="0041345E">
            <w:pPr>
              <w:spacing w:after="0"/>
              <w:rPr>
                <w:rFonts w:ascii="Arial" w:eastAsiaTheme="minorHAnsi" w:hAnsi="Arial"/>
                <w:i/>
                <w:sz w:val="18"/>
                <w:szCs w:val="22"/>
                <w:lang w:val="en-US"/>
              </w:rPr>
            </w:pPr>
          </w:p>
        </w:tc>
        <w:tc>
          <w:tcPr>
            <w:tcW w:w="3472" w:type="dxa"/>
            <w:tcBorders>
              <w:top w:val="single" w:sz="4" w:space="0" w:color="auto"/>
              <w:left w:val="single" w:sz="4" w:space="0" w:color="auto"/>
              <w:bottom w:val="single" w:sz="4" w:space="0" w:color="auto"/>
              <w:right w:val="single" w:sz="4" w:space="0" w:color="auto"/>
            </w:tcBorders>
            <w:hideMark/>
          </w:tcPr>
          <w:p w14:paraId="0DC1AB73" w14:textId="77777777" w:rsidR="00C91B26" w:rsidRDefault="00C91B26" w:rsidP="00C91B26">
            <w:pPr>
              <w:pStyle w:val="TAL"/>
              <w:rPr>
                <w:lang w:val="en-US"/>
              </w:rPr>
            </w:pPr>
            <w:r>
              <w:rPr>
                <w:lang w:val="en-US"/>
              </w:rPr>
              <w:t>100 MHz ≤ F</w:t>
            </w:r>
            <w:r>
              <w:rPr>
                <w:vertAlign w:val="subscript"/>
                <w:lang w:val="en-US"/>
              </w:rPr>
              <w:t>DL,high</w:t>
            </w:r>
            <w:r>
              <w:rPr>
                <w:lang w:val="en-US"/>
              </w:rPr>
              <w:t xml:space="preserve"> – F</w:t>
            </w:r>
            <w:r>
              <w:rPr>
                <w:vertAlign w:val="subscript"/>
                <w:lang w:val="en-US"/>
              </w:rPr>
              <w:t>DL,low</w:t>
            </w:r>
            <w:r>
              <w:rPr>
                <w:lang w:val="en-US"/>
              </w:rPr>
              <w:t xml:space="preserve"> ≤ </w:t>
            </w:r>
            <w:r>
              <w:rPr>
                <w:lang w:val="en-US" w:eastAsia="zh-CN"/>
              </w:rPr>
              <w:t>900 MHz</w:t>
            </w:r>
            <w:r>
              <w:rPr>
                <w:lang w:val="en-US"/>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59DB11EC" w14:textId="77777777" w:rsidR="00C91B26" w:rsidRDefault="00C91B26" w:rsidP="00C91B26">
            <w:pPr>
              <w:pStyle w:val="TAC"/>
              <w:rPr>
                <w:lang w:val="en-US"/>
              </w:rPr>
            </w:pPr>
            <w:r>
              <w:rPr>
                <w:lang w:val="en-US"/>
              </w:rPr>
              <w:t>60</w:t>
            </w:r>
          </w:p>
        </w:tc>
      </w:tr>
    </w:tbl>
    <w:p w14:paraId="1F51FF8E" w14:textId="77777777" w:rsidR="00C91B26" w:rsidRPr="0063534F" w:rsidRDefault="00C91B26" w:rsidP="00386732">
      <w:pPr>
        <w:rPr>
          <w:rFonts w:eastAsiaTheme="minorHAnsi"/>
          <w:lang w:eastAsia="zh-CN"/>
        </w:rPr>
      </w:pPr>
    </w:p>
    <w:p w14:paraId="27C5A4CF" w14:textId="77777777" w:rsidR="00C91B26" w:rsidRDefault="00C91B26" w:rsidP="00C91B26">
      <w:pPr>
        <w:rPr>
          <w:i/>
          <w:lang w:eastAsia="zh-CN"/>
        </w:rPr>
      </w:pPr>
      <w:r>
        <w:rPr>
          <w:lang w:eastAsia="zh-CN"/>
        </w:rPr>
        <w:t xml:space="preserve">Minimum conducted requirement is defined and at the </w:t>
      </w:r>
      <w:r>
        <w:rPr>
          <w:i/>
          <w:lang w:eastAsia="zh-CN"/>
        </w:rPr>
        <w:t>TAB connector</w:t>
      </w:r>
      <w:r>
        <w:rPr>
          <w:lang w:eastAsia="zh-CN"/>
        </w:rPr>
        <w:t xml:space="preserve"> for </w:t>
      </w:r>
      <w:r>
        <w:rPr>
          <w:i/>
          <w:lang w:eastAsia="zh-CN"/>
        </w:rPr>
        <w:t>IAB-MT  type 1-H.</w:t>
      </w:r>
    </w:p>
    <w:p w14:paraId="645051D8" w14:textId="77777777" w:rsidR="00C91B26" w:rsidRDefault="00C91B26" w:rsidP="00C91B26">
      <w:pPr>
        <w:keepNext/>
        <w:numPr>
          <w:ilvl w:val="12"/>
          <w:numId w:val="0"/>
        </w:numPr>
        <w:rPr>
          <w:rFonts w:cs="v5.0.0"/>
        </w:rPr>
      </w:pPr>
      <w:r>
        <w:rPr>
          <w:rFonts w:cs="v5.0.0"/>
        </w:rPr>
        <w:t xml:space="preserve">For a </w:t>
      </w:r>
      <w:r>
        <w:rPr>
          <w:rFonts w:cs="v5.0.0"/>
          <w:i/>
        </w:rPr>
        <w:t>multi-band</w:t>
      </w:r>
      <w:r>
        <w:rPr>
          <w:i/>
        </w:rPr>
        <w:t xml:space="preserve"> </w:t>
      </w:r>
      <w:r>
        <w:rPr>
          <w:rFonts w:cs="v5.0.0"/>
          <w:i/>
        </w:rPr>
        <w:t>connector</w:t>
      </w:r>
      <w:r>
        <w:rPr>
          <w:rFonts w:cs="v5.0.0"/>
        </w:rPr>
        <w:t xml:space="preserve">, the requirement in the out-of-band blocking frequency ranges apply for each </w:t>
      </w:r>
      <w:r>
        <w:rPr>
          <w:rFonts w:cs="v5.0.0"/>
          <w:i/>
        </w:rPr>
        <w:t>operating band</w:t>
      </w:r>
      <w:r>
        <w:rPr>
          <w:rFonts w:cs="v5.0.0"/>
        </w:rPr>
        <w:t xml:space="preserve">, with the exception that the in-band blocking frequency ranges of all supported </w:t>
      </w:r>
      <w:r>
        <w:rPr>
          <w:rFonts w:cs="v5.0.0"/>
          <w:i/>
        </w:rPr>
        <w:t>operating bands</w:t>
      </w:r>
      <w:r>
        <w:rPr>
          <w:rFonts w:cs="v5.0.0"/>
        </w:rPr>
        <w:t xml:space="preserve"> according to clause 7.4.2.2 shall be excluded from the out-of-band blocking requirement.</w:t>
      </w:r>
    </w:p>
    <w:p w14:paraId="7860B198" w14:textId="77777777" w:rsidR="00C91B26" w:rsidRDefault="00C91B26" w:rsidP="00C91B26">
      <w:pPr>
        <w:pStyle w:val="TH"/>
        <w:rPr>
          <w:rFonts w:cstheme="minorBidi"/>
          <w:lang w:eastAsia="zh-CN"/>
        </w:rPr>
      </w:pPr>
      <w:r>
        <w:rPr>
          <w:rFonts w:eastAsia="Osaka"/>
        </w:rPr>
        <w:t>Table 7.</w:t>
      </w:r>
      <w:r>
        <w:t>5</w:t>
      </w:r>
      <w:r>
        <w:rPr>
          <w:rFonts w:eastAsia="Osaka"/>
        </w:rPr>
        <w:t>.</w:t>
      </w:r>
      <w:r>
        <w:t>5</w:t>
      </w:r>
      <w:r>
        <w:rPr>
          <w:rFonts w:eastAsia="Osaka"/>
        </w:rPr>
        <w:t xml:space="preserve">-2: </w:t>
      </w:r>
      <w:r>
        <w:t>Out-of-band blocking performance requirement for NR</w:t>
      </w:r>
    </w:p>
    <w:tbl>
      <w:tblPr>
        <w:tblW w:w="5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96"/>
        <w:gridCol w:w="1560"/>
        <w:gridCol w:w="2199"/>
      </w:tblGrid>
      <w:tr w:rsidR="00C91B26" w14:paraId="1EB4D97E" w14:textId="77777777" w:rsidTr="0041345E">
        <w:trPr>
          <w:jc w:val="center"/>
        </w:trPr>
        <w:tc>
          <w:tcPr>
            <w:tcW w:w="1595" w:type="dxa"/>
            <w:tcBorders>
              <w:top w:val="single" w:sz="4" w:space="0" w:color="auto"/>
              <w:left w:val="single" w:sz="4" w:space="0" w:color="auto"/>
              <w:bottom w:val="single" w:sz="4" w:space="0" w:color="auto"/>
              <w:right w:val="single" w:sz="4" w:space="0" w:color="auto"/>
            </w:tcBorders>
            <w:hideMark/>
          </w:tcPr>
          <w:p w14:paraId="308A042A" w14:textId="77777777" w:rsidR="00C91B26" w:rsidRDefault="00C91B26" w:rsidP="00C91B26">
            <w:pPr>
              <w:pStyle w:val="TAH"/>
              <w:rPr>
                <w:lang w:val="en-US"/>
              </w:rPr>
            </w:pPr>
            <w:r>
              <w:rPr>
                <w:lang w:val="en-US"/>
              </w:rPr>
              <w:t>Wanted Signal mean power (dBm)</w:t>
            </w:r>
          </w:p>
        </w:tc>
        <w:tc>
          <w:tcPr>
            <w:tcW w:w="1559" w:type="dxa"/>
            <w:tcBorders>
              <w:top w:val="single" w:sz="4" w:space="0" w:color="auto"/>
              <w:left w:val="single" w:sz="4" w:space="0" w:color="auto"/>
              <w:bottom w:val="single" w:sz="4" w:space="0" w:color="auto"/>
              <w:right w:val="single" w:sz="4" w:space="0" w:color="auto"/>
            </w:tcBorders>
            <w:hideMark/>
          </w:tcPr>
          <w:p w14:paraId="39CE811F" w14:textId="77777777" w:rsidR="00C91B26" w:rsidRDefault="00C91B26" w:rsidP="00C91B26">
            <w:pPr>
              <w:pStyle w:val="TAH"/>
              <w:rPr>
                <w:lang w:val="en-US"/>
              </w:rPr>
            </w:pPr>
            <w:r>
              <w:rPr>
                <w:lang w:val="en-US"/>
              </w:rPr>
              <w:t>Interfering Signal mean power (dBm)</w:t>
            </w:r>
          </w:p>
        </w:tc>
        <w:tc>
          <w:tcPr>
            <w:tcW w:w="2197" w:type="dxa"/>
            <w:tcBorders>
              <w:top w:val="single" w:sz="4" w:space="0" w:color="auto"/>
              <w:left w:val="single" w:sz="4" w:space="0" w:color="auto"/>
              <w:bottom w:val="single" w:sz="4" w:space="0" w:color="auto"/>
              <w:right w:val="single" w:sz="4" w:space="0" w:color="auto"/>
            </w:tcBorders>
            <w:hideMark/>
          </w:tcPr>
          <w:p w14:paraId="423C4F23" w14:textId="77777777" w:rsidR="00C91B26" w:rsidRDefault="00C91B26" w:rsidP="00C91B26">
            <w:pPr>
              <w:pStyle w:val="TAH"/>
              <w:rPr>
                <w:lang w:val="en-US"/>
              </w:rPr>
            </w:pPr>
            <w:r>
              <w:rPr>
                <w:lang w:val="en-US"/>
              </w:rPr>
              <w:t>Type of Interfering Signal</w:t>
            </w:r>
          </w:p>
        </w:tc>
      </w:tr>
      <w:tr w:rsidR="00C91B26" w14:paraId="49711A43" w14:textId="77777777" w:rsidTr="0041345E">
        <w:trPr>
          <w:cantSplit/>
          <w:jc w:val="center"/>
        </w:trPr>
        <w:tc>
          <w:tcPr>
            <w:tcW w:w="1595" w:type="dxa"/>
            <w:tcBorders>
              <w:top w:val="single" w:sz="4" w:space="0" w:color="auto"/>
              <w:left w:val="single" w:sz="4" w:space="0" w:color="auto"/>
              <w:bottom w:val="single" w:sz="4" w:space="0" w:color="auto"/>
              <w:right w:val="single" w:sz="4" w:space="0" w:color="auto"/>
            </w:tcBorders>
            <w:hideMark/>
          </w:tcPr>
          <w:p w14:paraId="1B088035" w14:textId="77777777" w:rsidR="00C91B26" w:rsidRDefault="00C91B26" w:rsidP="00C91B26">
            <w:pPr>
              <w:pStyle w:val="TAL"/>
              <w:rPr>
                <w:lang w:val="en-US"/>
              </w:rPr>
            </w:pPr>
            <w:r>
              <w:rPr>
                <w:lang w:val="en-US"/>
              </w:rPr>
              <w:t>P</w:t>
            </w:r>
            <w:r>
              <w:rPr>
                <w:vertAlign w:val="subscript"/>
                <w:lang w:val="en-US"/>
              </w:rPr>
              <w:t>REFSENS</w:t>
            </w:r>
            <w:r>
              <w:rPr>
                <w:lang w:val="en-US"/>
              </w:rPr>
              <w:t xml:space="preserve"> +6 dB</w:t>
            </w:r>
            <w:r>
              <w:rPr>
                <w:lang w:val="en-US"/>
              </w:rPr>
              <w:br/>
              <w:t>(Note)</w:t>
            </w:r>
          </w:p>
        </w:tc>
        <w:tc>
          <w:tcPr>
            <w:tcW w:w="1559" w:type="dxa"/>
            <w:tcBorders>
              <w:top w:val="single" w:sz="4" w:space="0" w:color="auto"/>
              <w:left w:val="single" w:sz="4" w:space="0" w:color="auto"/>
              <w:bottom w:val="single" w:sz="4" w:space="0" w:color="auto"/>
              <w:right w:val="single" w:sz="4" w:space="0" w:color="auto"/>
            </w:tcBorders>
            <w:hideMark/>
          </w:tcPr>
          <w:p w14:paraId="302B2508" w14:textId="77777777" w:rsidR="00C91B26" w:rsidRDefault="00C91B26" w:rsidP="00C91B26">
            <w:pPr>
              <w:pStyle w:val="TAL"/>
              <w:rPr>
                <w:lang w:val="en-US"/>
              </w:rPr>
            </w:pPr>
            <w:r>
              <w:rPr>
                <w:lang w:val="en-US"/>
              </w:rPr>
              <w:t xml:space="preserve">-15 </w:t>
            </w:r>
          </w:p>
        </w:tc>
        <w:tc>
          <w:tcPr>
            <w:tcW w:w="2197" w:type="dxa"/>
            <w:tcBorders>
              <w:top w:val="single" w:sz="4" w:space="0" w:color="auto"/>
              <w:left w:val="single" w:sz="4" w:space="0" w:color="auto"/>
              <w:bottom w:val="single" w:sz="4" w:space="0" w:color="auto"/>
              <w:right w:val="single" w:sz="4" w:space="0" w:color="auto"/>
            </w:tcBorders>
            <w:hideMark/>
          </w:tcPr>
          <w:p w14:paraId="02386B18" w14:textId="77777777" w:rsidR="00C91B26" w:rsidRDefault="00C91B26" w:rsidP="00C91B26">
            <w:pPr>
              <w:pStyle w:val="TAL"/>
              <w:rPr>
                <w:lang w:val="en-US"/>
              </w:rPr>
            </w:pPr>
            <w:r>
              <w:rPr>
                <w:lang w:val="en-US"/>
              </w:rPr>
              <w:t xml:space="preserve">CW carrier </w:t>
            </w:r>
          </w:p>
        </w:tc>
      </w:tr>
      <w:tr w:rsidR="00C91B26" w14:paraId="66B7FCD8" w14:textId="77777777" w:rsidTr="0041345E">
        <w:trPr>
          <w:cantSplit/>
          <w:jc w:val="center"/>
        </w:trPr>
        <w:tc>
          <w:tcPr>
            <w:tcW w:w="5351" w:type="dxa"/>
            <w:gridSpan w:val="3"/>
            <w:tcBorders>
              <w:top w:val="single" w:sz="4" w:space="0" w:color="auto"/>
              <w:left w:val="single" w:sz="4" w:space="0" w:color="auto"/>
              <w:bottom w:val="single" w:sz="4" w:space="0" w:color="auto"/>
              <w:right w:val="single" w:sz="4" w:space="0" w:color="auto"/>
            </w:tcBorders>
            <w:hideMark/>
          </w:tcPr>
          <w:p w14:paraId="13094C12" w14:textId="77777777" w:rsidR="00C91B26" w:rsidRDefault="00C91B26" w:rsidP="00C91B26">
            <w:pPr>
              <w:pStyle w:val="TAN"/>
              <w:rPr>
                <w:rFonts w:cstheme="minorBidi"/>
                <w:lang w:val="en-US"/>
              </w:rPr>
            </w:pPr>
            <w:r>
              <w:rPr>
                <w:lang w:val="en-US"/>
              </w:rPr>
              <w:t>NOTE 1:</w:t>
            </w:r>
            <w:r>
              <w:rPr>
                <w:lang w:val="en-US"/>
              </w:rPr>
              <w:tab/>
              <w:t>For NR, P</w:t>
            </w:r>
            <w:r>
              <w:rPr>
                <w:vertAlign w:val="subscript"/>
                <w:lang w:val="en-US"/>
              </w:rPr>
              <w:t>REFSENS</w:t>
            </w:r>
            <w:r>
              <w:rPr>
                <w:lang w:val="en-US"/>
              </w:rPr>
              <w:t xml:space="preserve"> depends also on the </w:t>
            </w:r>
            <w:r>
              <w:rPr>
                <w:i/>
                <w:lang w:val="en-US"/>
              </w:rPr>
              <w:t>IAB-MT channel bandwidth</w:t>
            </w:r>
            <w:r>
              <w:rPr>
                <w:lang w:val="en-US"/>
              </w:rPr>
              <w:t xml:space="preserve"> as specified in subclause 7.2.1 and subclause 7.2.2.</w:t>
            </w:r>
          </w:p>
        </w:tc>
      </w:tr>
    </w:tbl>
    <w:p w14:paraId="3B6BCE0D" w14:textId="77777777" w:rsidR="00C91B26" w:rsidRDefault="00C91B26" w:rsidP="00386732">
      <w:pPr>
        <w:rPr>
          <w:rFonts w:eastAsiaTheme="minorHAnsi"/>
        </w:rPr>
      </w:pPr>
    </w:p>
    <w:p w14:paraId="31CC8B8F" w14:textId="54AE9BCF" w:rsidR="00C91B26" w:rsidRDefault="00C91B26" w:rsidP="00C91B26">
      <w:pPr>
        <w:pStyle w:val="Heading3"/>
      </w:pPr>
      <w:bookmarkStart w:id="3084" w:name="_Toc57820266"/>
      <w:bookmarkStart w:id="3085" w:name="_Toc57821193"/>
      <w:bookmarkStart w:id="3086" w:name="_Toc61183469"/>
      <w:bookmarkStart w:id="3087" w:name="_Toc61183863"/>
      <w:bookmarkStart w:id="3088" w:name="_Toc61184255"/>
      <w:bookmarkStart w:id="3089" w:name="_Toc61184647"/>
      <w:bookmarkStart w:id="3090" w:name="_Toc61185037"/>
      <w:bookmarkStart w:id="3091" w:name="_Toc66386381"/>
      <w:bookmarkStart w:id="3092" w:name="_Toc74583222"/>
      <w:bookmarkStart w:id="3093" w:name="_Toc76542035"/>
      <w:bookmarkStart w:id="3094" w:name="_Toc82450017"/>
      <w:bookmarkStart w:id="3095" w:name="_Toc82450665"/>
      <w:bookmarkStart w:id="3096" w:name="_Toc89949054"/>
      <w:bookmarkStart w:id="3097" w:name="_Toc98755443"/>
      <w:bookmarkStart w:id="3098" w:name="_Toc98763034"/>
      <w:bookmarkStart w:id="3099" w:name="_Toc106183963"/>
      <w:r>
        <w:t>7.5.6</w:t>
      </w:r>
      <w:r>
        <w:tab/>
        <w:t xml:space="preserve">Co-location </w:t>
      </w:r>
      <w:r>
        <w:rPr>
          <w:lang w:val="en-US" w:eastAsia="zh-CN"/>
        </w:rPr>
        <w:t>minimum requirements</w:t>
      </w:r>
      <w:r>
        <w:t xml:space="preserve"> for </w:t>
      </w:r>
      <w:r>
        <w:rPr>
          <w:i/>
        </w:rPr>
        <w:t>IAB-MT type 1-H</w:t>
      </w:r>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p>
    <w:p w14:paraId="0F12C7B1" w14:textId="249E9909" w:rsidR="00C91B26" w:rsidRDefault="00C91B26" w:rsidP="00C91B26">
      <w:pPr>
        <w:rPr>
          <w:rFonts w:asciiTheme="minorHAnsi" w:hAnsiTheme="minorHAnsi"/>
          <w:i/>
          <w:sz w:val="22"/>
          <w:lang w:eastAsia="zh-CN"/>
        </w:rPr>
      </w:pPr>
      <w:r>
        <w:t xml:space="preserve">This additional blocking requirement may be applied for the protection of </w:t>
      </w:r>
      <w:r>
        <w:rPr>
          <w:lang w:val="en-US" w:eastAsia="zh-CN"/>
        </w:rPr>
        <w:t>IAB-MT</w:t>
      </w:r>
      <w:r>
        <w:t xml:space="preserve"> receivers when GSM, CDMA, UTRA</w:t>
      </w:r>
      <w:r>
        <w:rPr>
          <w:lang w:val="en-US" w:eastAsia="zh-CN"/>
        </w:rPr>
        <w:t xml:space="preserve">, </w:t>
      </w:r>
      <w:r>
        <w:t xml:space="preserve">E-UTRA, </w:t>
      </w:r>
      <w:r>
        <w:rPr>
          <w:lang w:val="en-US" w:eastAsia="zh-CN"/>
        </w:rPr>
        <w:t>NR BS</w:t>
      </w:r>
      <w:r>
        <w:t xml:space="preserve"> or IAB-Node operating in a different frequency band are co-located with an</w:t>
      </w:r>
      <w:r>
        <w:rPr>
          <w:lang w:val="en-US" w:eastAsia="zh-CN"/>
        </w:rPr>
        <w:t xml:space="preserve"> IAB Node</w:t>
      </w:r>
      <w:r>
        <w:t xml:space="preserve">. The requirement is applicable to all </w:t>
      </w:r>
      <w:r w:rsidR="007905EC">
        <w:rPr>
          <w:i/>
        </w:rPr>
        <w:t>IAB-MT</w:t>
      </w:r>
      <w:r>
        <w:rPr>
          <w:i/>
        </w:rPr>
        <w:t xml:space="preserve"> channel bandwidths</w:t>
      </w:r>
      <w:r>
        <w:t xml:space="preserve"> supported by the IAB Node.</w:t>
      </w:r>
    </w:p>
    <w:p w14:paraId="5E838380" w14:textId="77777777" w:rsidR="00C91B26" w:rsidRDefault="00C91B26" w:rsidP="00C91B26">
      <w:r>
        <w:t>The requirements in this clause assume a 30 dB coupling loss between interfering transmitter and IAB Node receiver</w:t>
      </w:r>
      <w:r>
        <w:rPr>
          <w:lang w:eastAsia="zh-CN"/>
        </w:rPr>
        <w:t xml:space="preserve"> and are based on co-location with </w:t>
      </w:r>
      <w:r>
        <w:t>base stations of the same class.</w:t>
      </w:r>
    </w:p>
    <w:p w14:paraId="7658BA29" w14:textId="5CD19C91" w:rsidR="00C91B26" w:rsidRDefault="00C91B26" w:rsidP="00C91B26">
      <w:pPr>
        <w:rPr>
          <w:rFonts w:eastAsia="Osaka" w:cs="v5.0.0"/>
        </w:rPr>
      </w:pPr>
      <w:r>
        <w:lastRenderedPageBreak/>
        <w:t xml:space="preserve">The throughput shall be </w:t>
      </w:r>
      <w:r>
        <w:rPr>
          <w:lang w:val="en-US"/>
        </w:rPr>
        <w:t>≥</w:t>
      </w:r>
      <w:r>
        <w:t xml:space="preserve"> 95% of the maximum throughput </w:t>
      </w:r>
      <w:r>
        <w:rPr>
          <w:rFonts w:cs="v5.0.0"/>
        </w:rPr>
        <w:t>of the reference measurement channel,</w:t>
      </w:r>
      <w:r>
        <w:t xml:space="preserve"> with</w:t>
      </w:r>
      <w:r>
        <w:rPr>
          <w:rFonts w:cs="v5.0.0"/>
        </w:rPr>
        <w:t xml:space="preserve"> a wanted and an interfering signal coupled to</w:t>
      </w:r>
      <w:r>
        <w:t xml:space="preserve"> </w:t>
      </w:r>
      <w:r>
        <w:rPr>
          <w:i/>
        </w:rPr>
        <w:t>IAB type 1-H</w:t>
      </w:r>
      <w:r>
        <w:t xml:space="preserve"> </w:t>
      </w:r>
      <w:r>
        <w:rPr>
          <w:i/>
        </w:rPr>
        <w:t>TAB connector</w:t>
      </w:r>
      <w:r>
        <w:rPr>
          <w:rFonts w:cs="v5.0.0"/>
        </w:rPr>
        <w:t xml:space="preserve"> input using the parameters in table 7.</w:t>
      </w:r>
      <w:r>
        <w:rPr>
          <w:rFonts w:cs="v5.0.0"/>
          <w:lang w:val="en-US" w:eastAsia="zh-CN"/>
        </w:rPr>
        <w:t>5</w:t>
      </w:r>
      <w:r>
        <w:rPr>
          <w:rFonts w:cs="v5.0.0"/>
        </w:rPr>
        <w:t>.</w:t>
      </w:r>
      <w:r>
        <w:rPr>
          <w:rFonts w:cs="v5.0.0"/>
          <w:lang w:val="en-US" w:eastAsia="zh-CN"/>
        </w:rPr>
        <w:t>6</w:t>
      </w:r>
      <w:r>
        <w:rPr>
          <w:rFonts w:cs="v5.0.0"/>
        </w:rPr>
        <w:t>-1</w:t>
      </w:r>
      <w:r>
        <w:rPr>
          <w:rFonts w:cs="v5.0.0"/>
          <w:lang w:eastAsia="zh-CN"/>
        </w:rPr>
        <w:t xml:space="preserve"> for </w:t>
      </w:r>
      <w:r>
        <w:rPr>
          <w:rFonts w:cs="v5.0.0"/>
          <w:lang w:val="en-US" w:eastAsia="zh-CN"/>
        </w:rPr>
        <w:t>all the IAB Node classes</w:t>
      </w:r>
      <w:r>
        <w:rPr>
          <w:rFonts w:cs="v5.0.0"/>
        </w:rPr>
        <w:t xml:space="preserve">. </w:t>
      </w:r>
      <w:r>
        <w:rPr>
          <w:rFonts w:eastAsia="Osaka" w:cs="v5.0.0"/>
        </w:rPr>
        <w:t>The reference measurement channel for the wanted signal is identified in subclause 7.2.</w:t>
      </w:r>
      <w:r>
        <w:rPr>
          <w:rFonts w:cs="v5.0.0"/>
          <w:lang w:eastAsia="zh-CN"/>
        </w:rPr>
        <w:t>1 and subclause 7.2.</w:t>
      </w:r>
      <w:r>
        <w:rPr>
          <w:rFonts w:cs="v5.0.0"/>
          <w:lang w:val="en-US" w:eastAsia="zh-CN"/>
        </w:rPr>
        <w:t>2</w:t>
      </w:r>
      <w:r>
        <w:rPr>
          <w:rFonts w:eastAsia="Osaka" w:cs="v5.0.0"/>
        </w:rPr>
        <w:t xml:space="preserve"> for each </w:t>
      </w:r>
      <w:r w:rsidR="007905EC">
        <w:rPr>
          <w:rFonts w:eastAsia="Osaka" w:cs="v5.0.0"/>
          <w:i/>
        </w:rPr>
        <w:t>IAB-MT</w:t>
      </w:r>
      <w:r>
        <w:rPr>
          <w:rFonts w:eastAsia="Osaka" w:cs="v5.0.0"/>
          <w:i/>
        </w:rPr>
        <w:t xml:space="preserve"> channel bandwidth</w:t>
      </w:r>
      <w:r>
        <w:rPr>
          <w:rFonts w:eastAsia="Osaka" w:cs="v5.0.0"/>
        </w:rPr>
        <w:t xml:space="preserve"> and further specified in annex A.1.</w:t>
      </w:r>
    </w:p>
    <w:p w14:paraId="44EAAFFB" w14:textId="77777777" w:rsidR="00C91B26" w:rsidRDefault="00C91B26" w:rsidP="00C91B26">
      <w:pPr>
        <w:rPr>
          <w:rFonts w:eastAsiaTheme="minorHAnsi" w:cstheme="minorBidi"/>
          <w:lang w:eastAsia="zh-CN"/>
        </w:rPr>
      </w:pPr>
      <w:r>
        <w:rPr>
          <w:lang w:val="en-US" w:eastAsia="zh-CN"/>
        </w:rPr>
        <w:t xml:space="preserve">The blocking requirement for co-location with BS or IAB-Node in other bands is applied for all </w:t>
      </w:r>
      <w:r>
        <w:rPr>
          <w:i/>
          <w:lang w:val="en-US" w:eastAsia="zh-CN"/>
        </w:rPr>
        <w:t>operating bands</w:t>
      </w:r>
      <w:r>
        <w:rPr>
          <w:lang w:val="en-US" w:eastAsia="zh-CN"/>
        </w:rPr>
        <w:t xml:space="preserve"> for which co-location protection is provided.</w:t>
      </w:r>
    </w:p>
    <w:p w14:paraId="7A6DF809" w14:textId="77777777" w:rsidR="00C91B26" w:rsidRDefault="00C91B26" w:rsidP="00C91B26">
      <w:pPr>
        <w:rPr>
          <w:i/>
          <w:lang w:val="en-US" w:eastAsia="zh-CN"/>
        </w:rPr>
      </w:pPr>
      <w:r>
        <w:rPr>
          <w:lang w:eastAsia="zh-CN"/>
        </w:rPr>
        <w:t xml:space="preserve">Minimum conducted requirement is defined at the </w:t>
      </w:r>
      <w:r>
        <w:rPr>
          <w:i/>
          <w:lang w:eastAsia="zh-CN"/>
        </w:rPr>
        <w:t>TAB connector</w:t>
      </w:r>
      <w:r>
        <w:rPr>
          <w:lang w:eastAsia="zh-CN"/>
        </w:rPr>
        <w:t xml:space="preserve"> for </w:t>
      </w:r>
      <w:r>
        <w:rPr>
          <w:i/>
          <w:lang w:eastAsia="zh-CN"/>
        </w:rPr>
        <w:t>IAB-MT type 1-H.</w:t>
      </w:r>
    </w:p>
    <w:p w14:paraId="67D178E3" w14:textId="77777777" w:rsidR="00C91B26" w:rsidRPr="007E5C53" w:rsidRDefault="00C91B26" w:rsidP="00C91B26">
      <w:pPr>
        <w:pStyle w:val="TH"/>
      </w:pPr>
      <w:r>
        <w:rPr>
          <w:rFonts w:eastAsia="Osaka"/>
        </w:rPr>
        <w:t>Table 7.</w:t>
      </w:r>
      <w:r>
        <w:rPr>
          <w:lang w:val="en-US" w:eastAsia="zh-CN"/>
        </w:rPr>
        <w:t>5.6</w:t>
      </w:r>
      <w:r>
        <w:rPr>
          <w:rFonts w:eastAsia="Osaka"/>
        </w:rPr>
        <w:t xml:space="preserve">-1: </w:t>
      </w:r>
      <w:r>
        <w:t>Blocking performance requirement for the IAB Node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810"/>
        <w:gridCol w:w="1714"/>
        <w:gridCol w:w="1710"/>
        <w:gridCol w:w="1396"/>
        <w:gridCol w:w="1303"/>
      </w:tblGrid>
      <w:tr w:rsidR="00C91B26" w14:paraId="0529422C" w14:textId="77777777" w:rsidTr="0041345E">
        <w:trPr>
          <w:tblHeader/>
          <w:jc w:val="center"/>
        </w:trPr>
        <w:tc>
          <w:tcPr>
            <w:tcW w:w="1810" w:type="dxa"/>
            <w:tcBorders>
              <w:top w:val="single" w:sz="4" w:space="0" w:color="auto"/>
              <w:left w:val="single" w:sz="4" w:space="0" w:color="auto"/>
              <w:bottom w:val="single" w:sz="4" w:space="0" w:color="auto"/>
              <w:right w:val="single" w:sz="4" w:space="0" w:color="auto"/>
            </w:tcBorders>
            <w:hideMark/>
          </w:tcPr>
          <w:p w14:paraId="6A1793F9" w14:textId="77777777" w:rsidR="00C91B26" w:rsidRDefault="00C91B26" w:rsidP="00C91B26">
            <w:pPr>
              <w:pStyle w:val="TAH"/>
              <w:rPr>
                <w:lang w:val="en-US" w:eastAsia="ja-JP"/>
              </w:rPr>
            </w:pPr>
            <w:r>
              <w:rPr>
                <w:lang w:val="en-US" w:eastAsia="ja-JP"/>
              </w:rPr>
              <w:t>Frequency range of interfering signal</w:t>
            </w:r>
          </w:p>
        </w:tc>
        <w:tc>
          <w:tcPr>
            <w:tcW w:w="1714" w:type="dxa"/>
            <w:tcBorders>
              <w:top w:val="single" w:sz="4" w:space="0" w:color="auto"/>
              <w:left w:val="single" w:sz="4" w:space="0" w:color="auto"/>
              <w:bottom w:val="single" w:sz="4" w:space="0" w:color="auto"/>
              <w:right w:val="single" w:sz="4" w:space="0" w:color="auto"/>
            </w:tcBorders>
            <w:hideMark/>
          </w:tcPr>
          <w:p w14:paraId="2594ACCC" w14:textId="77777777" w:rsidR="00C91B26" w:rsidRDefault="00C91B26" w:rsidP="00C91B26">
            <w:pPr>
              <w:pStyle w:val="TAH"/>
              <w:rPr>
                <w:lang w:val="en-US" w:eastAsia="ja-JP"/>
              </w:rPr>
            </w:pPr>
            <w:r>
              <w:rPr>
                <w:lang w:val="en-US" w:eastAsia="ja-JP"/>
              </w:rPr>
              <w:t>Wanted signal mean power (dBm)</w:t>
            </w:r>
          </w:p>
        </w:tc>
        <w:tc>
          <w:tcPr>
            <w:tcW w:w="1710" w:type="dxa"/>
            <w:tcBorders>
              <w:top w:val="single" w:sz="4" w:space="0" w:color="auto"/>
              <w:left w:val="single" w:sz="4" w:space="0" w:color="auto"/>
              <w:bottom w:val="single" w:sz="4" w:space="0" w:color="auto"/>
              <w:right w:val="single" w:sz="4" w:space="0" w:color="auto"/>
            </w:tcBorders>
            <w:hideMark/>
          </w:tcPr>
          <w:p w14:paraId="53B5D2D1" w14:textId="77777777" w:rsidR="00C91B26" w:rsidRDefault="00C91B26" w:rsidP="00C91B26">
            <w:pPr>
              <w:pStyle w:val="TAH"/>
              <w:rPr>
                <w:lang w:val="en-US" w:eastAsia="ja-JP"/>
              </w:rPr>
            </w:pPr>
            <w:r>
              <w:rPr>
                <w:lang w:val="en-US" w:eastAsia="ja-JP"/>
              </w:rPr>
              <w:t>Interfering signal mean power for WA IAB Node (dBm)</w:t>
            </w:r>
          </w:p>
        </w:tc>
        <w:tc>
          <w:tcPr>
            <w:tcW w:w="1396" w:type="dxa"/>
            <w:tcBorders>
              <w:top w:val="single" w:sz="4" w:space="0" w:color="auto"/>
              <w:left w:val="single" w:sz="4" w:space="0" w:color="auto"/>
              <w:bottom w:val="single" w:sz="4" w:space="0" w:color="auto"/>
              <w:right w:val="single" w:sz="4" w:space="0" w:color="auto"/>
            </w:tcBorders>
            <w:hideMark/>
          </w:tcPr>
          <w:p w14:paraId="01658B6C" w14:textId="77777777" w:rsidR="00C91B26" w:rsidRDefault="00C91B26" w:rsidP="00C91B26">
            <w:pPr>
              <w:pStyle w:val="TAH"/>
              <w:rPr>
                <w:lang w:val="en-US" w:eastAsia="ja-JP"/>
              </w:rPr>
            </w:pPr>
            <w:r>
              <w:rPr>
                <w:lang w:val="en-US" w:eastAsia="ja-JP"/>
              </w:rPr>
              <w:t>Interfering signal mean power for LA IAB Node (dBm)</w:t>
            </w:r>
          </w:p>
        </w:tc>
        <w:tc>
          <w:tcPr>
            <w:tcW w:w="1299" w:type="dxa"/>
            <w:tcBorders>
              <w:top w:val="single" w:sz="4" w:space="0" w:color="auto"/>
              <w:left w:val="single" w:sz="4" w:space="0" w:color="auto"/>
              <w:bottom w:val="single" w:sz="4" w:space="0" w:color="auto"/>
              <w:right w:val="single" w:sz="4" w:space="0" w:color="auto"/>
            </w:tcBorders>
            <w:hideMark/>
          </w:tcPr>
          <w:p w14:paraId="2FA26C80" w14:textId="77777777" w:rsidR="00C91B26" w:rsidRDefault="00C91B26" w:rsidP="00C91B26">
            <w:pPr>
              <w:pStyle w:val="TAH"/>
              <w:rPr>
                <w:lang w:val="en-US" w:eastAsia="ja-JP"/>
              </w:rPr>
            </w:pPr>
            <w:r>
              <w:rPr>
                <w:lang w:val="en-US" w:eastAsia="ja-JP"/>
              </w:rPr>
              <w:t>Type of interfering signal</w:t>
            </w:r>
          </w:p>
        </w:tc>
      </w:tr>
      <w:tr w:rsidR="00C91B26" w14:paraId="018A4E78" w14:textId="77777777" w:rsidTr="00C91B26">
        <w:trPr>
          <w:jc w:val="center"/>
        </w:trPr>
        <w:tc>
          <w:tcPr>
            <w:tcW w:w="1810" w:type="dxa"/>
            <w:tcBorders>
              <w:top w:val="single" w:sz="4" w:space="0" w:color="auto"/>
              <w:left w:val="single" w:sz="4" w:space="0" w:color="auto"/>
              <w:bottom w:val="single" w:sz="4" w:space="0" w:color="auto"/>
              <w:right w:val="single" w:sz="4" w:space="0" w:color="auto"/>
            </w:tcBorders>
            <w:hideMark/>
          </w:tcPr>
          <w:p w14:paraId="1ADC3E88" w14:textId="77777777" w:rsidR="00C91B26" w:rsidRDefault="00C91B26" w:rsidP="00C91B26">
            <w:pPr>
              <w:pStyle w:val="TAC"/>
              <w:rPr>
                <w:rFonts w:cs="Arial"/>
                <w:szCs w:val="18"/>
                <w:lang w:val="en-US" w:eastAsia="ja-JP"/>
              </w:rPr>
            </w:pPr>
            <w:r>
              <w:rPr>
                <w:lang w:val="en-US" w:eastAsia="zh-CN"/>
              </w:rPr>
              <w:t xml:space="preserve">Frequency range of co-located downlink </w:t>
            </w:r>
            <w:r>
              <w:rPr>
                <w:i/>
                <w:lang w:val="en-US" w:eastAsia="zh-CN"/>
              </w:rPr>
              <w:t>operating band</w:t>
            </w:r>
          </w:p>
        </w:tc>
        <w:tc>
          <w:tcPr>
            <w:tcW w:w="1714" w:type="dxa"/>
            <w:tcBorders>
              <w:top w:val="single" w:sz="4" w:space="0" w:color="auto"/>
              <w:left w:val="single" w:sz="4" w:space="0" w:color="auto"/>
              <w:bottom w:val="single" w:sz="4" w:space="0" w:color="auto"/>
              <w:right w:val="single" w:sz="4" w:space="0" w:color="auto"/>
            </w:tcBorders>
            <w:hideMark/>
          </w:tcPr>
          <w:p w14:paraId="0E57AD81" w14:textId="77777777" w:rsidR="00C91B26" w:rsidRDefault="00C91B26" w:rsidP="00C91B26">
            <w:pPr>
              <w:pStyle w:val="TAC"/>
              <w:rPr>
                <w:rFonts w:cs="Arial"/>
                <w:szCs w:val="18"/>
                <w:lang w:val="en-US" w:eastAsia="ja-JP"/>
              </w:rPr>
            </w:pPr>
            <w:r>
              <w:rPr>
                <w:lang w:val="en-US"/>
              </w:rPr>
              <w:t>P</w:t>
            </w:r>
            <w:r>
              <w:rPr>
                <w:vertAlign w:val="subscript"/>
                <w:lang w:val="en-US"/>
              </w:rPr>
              <w:t>REFSENS</w:t>
            </w:r>
            <w:r>
              <w:rPr>
                <w:lang w:val="en-US"/>
              </w:rPr>
              <w:t xml:space="preserve"> +6dB</w:t>
            </w:r>
            <w:r>
              <w:rPr>
                <w:lang w:val="en-US"/>
              </w:rPr>
              <w:br/>
              <w:t>(</w:t>
            </w:r>
            <w:r>
              <w:rPr>
                <w:lang w:val="en-US" w:eastAsia="zh-CN"/>
              </w:rPr>
              <w:t>Note 1</w:t>
            </w:r>
            <w:r>
              <w:rPr>
                <w:lang w:val="en-US"/>
              </w:rPr>
              <w:t>)</w:t>
            </w:r>
          </w:p>
        </w:tc>
        <w:tc>
          <w:tcPr>
            <w:tcW w:w="1710" w:type="dxa"/>
            <w:tcBorders>
              <w:top w:val="single" w:sz="4" w:space="0" w:color="auto"/>
              <w:left w:val="single" w:sz="4" w:space="0" w:color="auto"/>
              <w:bottom w:val="single" w:sz="4" w:space="0" w:color="auto"/>
              <w:right w:val="single" w:sz="4" w:space="0" w:color="auto"/>
            </w:tcBorders>
            <w:hideMark/>
          </w:tcPr>
          <w:p w14:paraId="54A7F1A3" w14:textId="77777777" w:rsidR="00C91B26" w:rsidRDefault="00C91B26" w:rsidP="00C91B26">
            <w:pPr>
              <w:pStyle w:val="TAC"/>
              <w:rPr>
                <w:rFonts w:cs="Arial"/>
                <w:szCs w:val="18"/>
                <w:lang w:val="en-US" w:eastAsia="ja-JP"/>
              </w:rPr>
            </w:pPr>
            <w:r>
              <w:rPr>
                <w:rFonts w:cs="Arial"/>
                <w:szCs w:val="18"/>
                <w:lang w:val="en-US" w:eastAsia="ja-JP"/>
              </w:rPr>
              <w:t>+</w:t>
            </w:r>
            <w:r>
              <w:rPr>
                <w:rFonts w:cs="Arial"/>
                <w:szCs w:val="18"/>
                <w:lang w:val="en-US" w:eastAsia="zh-CN"/>
              </w:rPr>
              <w:t>16</w:t>
            </w:r>
          </w:p>
        </w:tc>
        <w:tc>
          <w:tcPr>
            <w:tcW w:w="1396" w:type="dxa"/>
            <w:tcBorders>
              <w:top w:val="single" w:sz="4" w:space="0" w:color="auto"/>
              <w:left w:val="single" w:sz="4" w:space="0" w:color="auto"/>
              <w:bottom w:val="single" w:sz="4" w:space="0" w:color="auto"/>
              <w:right w:val="single" w:sz="4" w:space="0" w:color="auto"/>
            </w:tcBorders>
            <w:hideMark/>
          </w:tcPr>
          <w:p w14:paraId="49EDCC26" w14:textId="77777777" w:rsidR="00C91B26" w:rsidRDefault="00C91B26" w:rsidP="00C91B26">
            <w:pPr>
              <w:pStyle w:val="TAC"/>
              <w:rPr>
                <w:rFonts w:cstheme="minorBidi"/>
                <w:szCs w:val="18"/>
                <w:lang w:val="en-US" w:eastAsia="ja-JP"/>
              </w:rPr>
            </w:pPr>
            <w:r>
              <w:rPr>
                <w:lang w:val="en-US" w:eastAsia="zh-CN"/>
              </w:rPr>
              <w:t>x (Note 2)</w:t>
            </w:r>
          </w:p>
        </w:tc>
        <w:tc>
          <w:tcPr>
            <w:tcW w:w="1299" w:type="dxa"/>
            <w:tcBorders>
              <w:top w:val="single" w:sz="4" w:space="0" w:color="auto"/>
              <w:left w:val="single" w:sz="4" w:space="0" w:color="auto"/>
              <w:bottom w:val="single" w:sz="4" w:space="0" w:color="auto"/>
              <w:right w:val="single" w:sz="4" w:space="0" w:color="auto"/>
            </w:tcBorders>
            <w:hideMark/>
          </w:tcPr>
          <w:p w14:paraId="42BDAC5D" w14:textId="77777777" w:rsidR="00C91B26" w:rsidRDefault="00C91B26" w:rsidP="00C91B26">
            <w:pPr>
              <w:pStyle w:val="TAC"/>
              <w:rPr>
                <w:szCs w:val="22"/>
                <w:lang w:val="en-US" w:eastAsia="ja-JP"/>
              </w:rPr>
            </w:pPr>
            <w:r>
              <w:rPr>
                <w:lang w:val="en-US" w:eastAsia="ja-JP"/>
              </w:rPr>
              <w:t>CW carrier</w:t>
            </w:r>
          </w:p>
        </w:tc>
      </w:tr>
      <w:tr w:rsidR="00C91B26" w14:paraId="18170804" w14:textId="77777777" w:rsidTr="0041345E">
        <w:trPr>
          <w:jc w:val="center"/>
        </w:trPr>
        <w:tc>
          <w:tcPr>
            <w:tcW w:w="7933" w:type="dxa"/>
            <w:gridSpan w:val="5"/>
            <w:tcBorders>
              <w:top w:val="single" w:sz="4" w:space="0" w:color="auto"/>
              <w:left w:val="single" w:sz="4" w:space="0" w:color="auto"/>
              <w:bottom w:val="single" w:sz="4" w:space="0" w:color="auto"/>
              <w:right w:val="single" w:sz="4" w:space="0" w:color="auto"/>
            </w:tcBorders>
            <w:hideMark/>
          </w:tcPr>
          <w:p w14:paraId="31F10D8A" w14:textId="213BE381" w:rsidR="00C91B26" w:rsidRDefault="00C91B26" w:rsidP="00C91B26">
            <w:pPr>
              <w:pStyle w:val="TAN"/>
              <w:rPr>
                <w:lang w:val="en-US"/>
              </w:rPr>
            </w:pPr>
            <w:r>
              <w:rPr>
                <w:lang w:val="en-US"/>
              </w:rPr>
              <w:t>N</w:t>
            </w:r>
            <w:r>
              <w:rPr>
                <w:lang w:val="en-US" w:eastAsia="zh-CN"/>
              </w:rPr>
              <w:t>OTE 1</w:t>
            </w:r>
            <w:r>
              <w:rPr>
                <w:lang w:val="en-US"/>
              </w:rPr>
              <w:t>:</w:t>
            </w:r>
            <w:r>
              <w:rPr>
                <w:lang w:val="en-US"/>
              </w:rPr>
              <w:tab/>
              <w:t>P</w:t>
            </w:r>
            <w:r>
              <w:rPr>
                <w:vertAlign w:val="subscript"/>
                <w:lang w:val="en-US"/>
              </w:rPr>
              <w:t>REFSENS</w:t>
            </w:r>
            <w:r>
              <w:rPr>
                <w:lang w:val="en-US"/>
              </w:rPr>
              <w:t xml:space="preserve"> depends on the </w:t>
            </w:r>
            <w:r w:rsidR="007905EC">
              <w:rPr>
                <w:i/>
                <w:lang w:val="en-US"/>
              </w:rPr>
              <w:t>IAB-MT</w:t>
            </w:r>
            <w:r>
              <w:rPr>
                <w:i/>
                <w:lang w:val="en-US"/>
              </w:rPr>
              <w:t xml:space="preserve"> channel bandwidth</w:t>
            </w:r>
            <w:r>
              <w:rPr>
                <w:lang w:val="en-US"/>
              </w:rPr>
              <w:t xml:space="preserve"> as specified in subclause 7.2.1 and subclause 7.2.2.</w:t>
            </w:r>
          </w:p>
          <w:p w14:paraId="07A1269A" w14:textId="77777777" w:rsidR="00C91B26" w:rsidRDefault="00C91B26" w:rsidP="00C91B26">
            <w:pPr>
              <w:pStyle w:val="TAN"/>
              <w:rPr>
                <w:lang w:val="en-US" w:eastAsia="zh-CN"/>
              </w:rPr>
            </w:pPr>
            <w:r>
              <w:rPr>
                <w:lang w:val="en-US" w:eastAsia="zh-CN"/>
              </w:rPr>
              <w:t>NOTE 2:</w:t>
            </w:r>
            <w:r>
              <w:rPr>
                <w:lang w:val="en-US" w:eastAsia="zh-CN"/>
              </w:rPr>
              <w:tab/>
              <w:t>x = -7 dBm for IAB-MT co-located with Pico GSM850 or Pico CDMA850</w:t>
            </w:r>
            <w:r>
              <w:rPr>
                <w:lang w:val="en-US" w:eastAsia="zh-CN"/>
              </w:rPr>
              <w:br/>
              <w:t>x = -4 dBm for IAB-MT co-located with Pico DCS1800 or Pico PCS1900</w:t>
            </w:r>
            <w:r>
              <w:rPr>
                <w:lang w:val="en-US" w:eastAsia="zh-CN"/>
              </w:rPr>
              <w:br/>
              <w:t>x = -6 dBm for IAB-MT co-located with UTRA bands or E-UTRA bands or NR bands</w:t>
            </w:r>
          </w:p>
          <w:p w14:paraId="4C529B27" w14:textId="77777777" w:rsidR="00C91B26" w:rsidRDefault="00C91B26" w:rsidP="00C91B26">
            <w:pPr>
              <w:pStyle w:val="TAN"/>
              <w:rPr>
                <w:lang w:val="en-US" w:eastAsia="zh-CN"/>
              </w:rPr>
            </w:pPr>
            <w:r>
              <w:rPr>
                <w:lang w:val="en-US" w:eastAsia="ja-JP"/>
              </w:rPr>
              <w:t>NOTE 3:</w:t>
            </w:r>
            <w:r>
              <w:rPr>
                <w:lang w:val="en-US" w:eastAsia="ja-JP"/>
              </w:rPr>
              <w:tab/>
              <w:t xml:space="preserve">The requirement does not apply when the interfering signal falls within any of the supported downlink </w:t>
            </w:r>
            <w:r>
              <w:rPr>
                <w:i/>
                <w:lang w:val="en-US" w:eastAsia="ja-JP"/>
              </w:rPr>
              <w:t>operating band(s)</w:t>
            </w:r>
            <w:r>
              <w:rPr>
                <w:lang w:val="en-US" w:eastAsia="ja-JP"/>
              </w:rPr>
              <w:t xml:space="preserve"> or in </w:t>
            </w:r>
            <w:r>
              <w:rPr>
                <w:lang w:val="en-US"/>
              </w:rPr>
              <w:t>Δf</w:t>
            </w:r>
            <w:r>
              <w:rPr>
                <w:vertAlign w:val="subscript"/>
                <w:lang w:val="en-US"/>
              </w:rPr>
              <w:t>OOB</w:t>
            </w:r>
            <w:r>
              <w:rPr>
                <w:lang w:val="en-US" w:eastAsia="ja-JP"/>
              </w:rPr>
              <w:t xml:space="preserve"> immediately outside any of the supported downlink </w:t>
            </w:r>
            <w:r>
              <w:rPr>
                <w:i/>
                <w:lang w:val="en-US" w:eastAsia="ja-JP"/>
              </w:rPr>
              <w:t>operating band(s)</w:t>
            </w:r>
            <w:r>
              <w:rPr>
                <w:lang w:val="en-US" w:eastAsia="ja-JP"/>
              </w:rPr>
              <w:t>.</w:t>
            </w:r>
          </w:p>
        </w:tc>
      </w:tr>
    </w:tbl>
    <w:p w14:paraId="0B5C5135" w14:textId="77777777" w:rsidR="00953DF5" w:rsidRPr="00953DF5" w:rsidRDefault="00953DF5" w:rsidP="00386732"/>
    <w:p w14:paraId="70BF0B9C" w14:textId="77777777" w:rsidR="00077B6E" w:rsidRDefault="00077B6E" w:rsidP="00077B6E">
      <w:pPr>
        <w:pStyle w:val="Heading2"/>
        <w:rPr>
          <w:rFonts w:eastAsiaTheme="minorEastAsia"/>
          <w:lang w:eastAsia="zh-CN"/>
        </w:rPr>
      </w:pPr>
      <w:bookmarkStart w:id="3100" w:name="_Toc53185407"/>
      <w:bookmarkStart w:id="3101" w:name="_Toc53185783"/>
      <w:bookmarkStart w:id="3102" w:name="_Toc57820267"/>
      <w:bookmarkStart w:id="3103" w:name="_Toc57821194"/>
      <w:bookmarkStart w:id="3104" w:name="_Toc61183470"/>
      <w:bookmarkStart w:id="3105" w:name="_Toc61183864"/>
      <w:bookmarkStart w:id="3106" w:name="_Toc61184256"/>
      <w:bookmarkStart w:id="3107" w:name="_Toc61184648"/>
      <w:bookmarkStart w:id="3108" w:name="_Toc61185038"/>
      <w:bookmarkStart w:id="3109" w:name="_Toc66386382"/>
      <w:bookmarkStart w:id="3110" w:name="_Toc74583223"/>
      <w:bookmarkStart w:id="3111" w:name="_Toc76542036"/>
      <w:bookmarkStart w:id="3112" w:name="_Toc82450018"/>
      <w:bookmarkStart w:id="3113" w:name="_Toc82450666"/>
      <w:bookmarkStart w:id="3114" w:name="_Toc89949055"/>
      <w:bookmarkStart w:id="3115" w:name="_Toc98755444"/>
      <w:bookmarkStart w:id="3116" w:name="_Toc98763035"/>
      <w:bookmarkStart w:id="3117" w:name="_Toc106183964"/>
      <w:r w:rsidRPr="007E346D">
        <w:t>7.6</w:t>
      </w:r>
      <w:r w:rsidRPr="007E346D">
        <w:tab/>
        <w:t>Receiver spurious emissions</w:t>
      </w:r>
      <w:bookmarkEnd w:id="3050"/>
      <w:bookmarkEnd w:id="3051"/>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p>
    <w:p w14:paraId="1F06DCB3" w14:textId="0A6D5BB7" w:rsidR="00F52FCE" w:rsidRPr="00C91B26" w:rsidRDefault="001A4D10" w:rsidP="00C91B26">
      <w:pPr>
        <w:pStyle w:val="Heading3"/>
      </w:pPr>
      <w:bookmarkStart w:id="3118" w:name="_Toc57820268"/>
      <w:bookmarkStart w:id="3119" w:name="_Toc57821195"/>
      <w:bookmarkStart w:id="3120" w:name="_Toc61183471"/>
      <w:bookmarkStart w:id="3121" w:name="_Toc61183865"/>
      <w:bookmarkStart w:id="3122" w:name="_Toc61184257"/>
      <w:bookmarkStart w:id="3123" w:name="_Toc61184649"/>
      <w:bookmarkStart w:id="3124" w:name="_Toc61185039"/>
      <w:bookmarkStart w:id="3125" w:name="_Toc66386383"/>
      <w:bookmarkStart w:id="3126" w:name="_Toc74583224"/>
      <w:bookmarkStart w:id="3127" w:name="_Toc76542037"/>
      <w:bookmarkStart w:id="3128" w:name="_Toc82450019"/>
      <w:bookmarkStart w:id="3129" w:name="_Toc82450667"/>
      <w:bookmarkStart w:id="3130" w:name="_Toc89949056"/>
      <w:bookmarkStart w:id="3131" w:name="_Toc98755445"/>
      <w:bookmarkStart w:id="3132" w:name="_Toc98763036"/>
      <w:bookmarkStart w:id="3133" w:name="_Toc106183965"/>
      <w:r w:rsidRPr="00AF07AF">
        <w:t>7.6.1</w:t>
      </w:r>
      <w:r w:rsidR="00C91B26">
        <w:tab/>
      </w:r>
      <w:r>
        <w:t>General</w:t>
      </w:r>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p>
    <w:p w14:paraId="039D6BCA" w14:textId="77777777" w:rsidR="00B36BA7" w:rsidRPr="009A3E7A" w:rsidRDefault="00B36BA7" w:rsidP="00B36BA7">
      <w:r w:rsidRPr="009A3E7A">
        <w:rPr>
          <w:rFonts w:eastAsia="??"/>
        </w:rPr>
        <w:t xml:space="preserve">The receiver spurious emissions power is the power of emissions generated or amplified in a receiver unit that appear at the </w:t>
      </w:r>
      <w:r w:rsidRPr="009A3E7A">
        <w:rPr>
          <w:rFonts w:eastAsia="??"/>
          <w:i/>
        </w:rPr>
        <w:t>TAB connector</w:t>
      </w:r>
      <w:r w:rsidRPr="009A3E7A">
        <w:rPr>
          <w:rFonts w:eastAsia="??"/>
        </w:rPr>
        <w:t xml:space="preserve"> (for </w:t>
      </w:r>
      <w:r w:rsidRPr="009A3E7A">
        <w:rPr>
          <w:rFonts w:eastAsia="??"/>
          <w:i/>
        </w:rPr>
        <w:t>IAB-DU type 1-H and IAB-MT type 1-H</w:t>
      </w:r>
      <w:r w:rsidRPr="009A3E7A">
        <w:rPr>
          <w:rFonts w:eastAsia="??"/>
        </w:rPr>
        <w:t xml:space="preserve">). </w:t>
      </w:r>
      <w:r w:rsidRPr="009A3E7A">
        <w:t xml:space="preserve">The requirements apply to all IAB-DU and IAB-MT with separate RX and TX </w:t>
      </w:r>
      <w:r w:rsidRPr="009A3E7A">
        <w:rPr>
          <w:i/>
        </w:rPr>
        <w:t>TAB connectors</w:t>
      </w:r>
      <w:r w:rsidRPr="009A3E7A">
        <w:t>.</w:t>
      </w:r>
    </w:p>
    <w:p w14:paraId="493CD277" w14:textId="77777777" w:rsidR="00B36BA7" w:rsidRPr="009A3E7A" w:rsidRDefault="00B36BA7" w:rsidP="00B36BA7">
      <w:r w:rsidRPr="009A3E7A">
        <w:t xml:space="preserve">For </w:t>
      </w:r>
      <w:r w:rsidRPr="009A3E7A">
        <w:rPr>
          <w:i/>
        </w:rPr>
        <w:t>TAB connectors</w:t>
      </w:r>
      <w:r w:rsidRPr="009A3E7A">
        <w:t xml:space="preserve"> supporting both RX and TX in TDD, the requirements apply during the </w:t>
      </w:r>
      <w:r w:rsidRPr="009A3E7A">
        <w:rPr>
          <w:i/>
        </w:rPr>
        <w:t>transmitter OFF period</w:t>
      </w:r>
      <w:r w:rsidRPr="009A3E7A">
        <w:t xml:space="preserve">. </w:t>
      </w:r>
    </w:p>
    <w:p w14:paraId="3D62EDE8" w14:textId="77777777" w:rsidR="00B36BA7" w:rsidRPr="009A3E7A" w:rsidRDefault="00B36BA7" w:rsidP="00B36BA7">
      <w:r w:rsidRPr="009A3E7A">
        <w:t xml:space="preserve">For RX-only </w:t>
      </w:r>
      <w:r w:rsidRPr="009A3E7A">
        <w:rPr>
          <w:i/>
        </w:rPr>
        <w:t>multi-band</w:t>
      </w:r>
      <w:r w:rsidRPr="009A3E7A">
        <w:t xml:space="preserve"> </w:t>
      </w:r>
      <w:r w:rsidRPr="009A3E7A">
        <w:rPr>
          <w:i/>
        </w:rPr>
        <w:t>connectors</w:t>
      </w:r>
      <w:r w:rsidRPr="009A3E7A">
        <w:t xml:space="preserve">, the spurious emissions requirements are subject to exclusion zones in each supported </w:t>
      </w:r>
      <w:r w:rsidRPr="009A3E7A">
        <w:rPr>
          <w:i/>
        </w:rPr>
        <w:t>operating band</w:t>
      </w:r>
      <w:r w:rsidRPr="009A3E7A">
        <w:t xml:space="preserve">. For </w:t>
      </w:r>
      <w:r w:rsidRPr="009A3E7A">
        <w:rPr>
          <w:i/>
        </w:rPr>
        <w:t>multi-band</w:t>
      </w:r>
      <w:r w:rsidRPr="009A3E7A">
        <w:t xml:space="preserve"> </w:t>
      </w:r>
      <w:r w:rsidRPr="009A3E7A">
        <w:rPr>
          <w:i/>
        </w:rPr>
        <w:t>connectors</w:t>
      </w:r>
      <w:r w:rsidRPr="009A3E7A">
        <w:t xml:space="preserve"> that both transmit and receive in </w:t>
      </w:r>
      <w:r w:rsidRPr="009A3E7A">
        <w:rPr>
          <w:i/>
        </w:rPr>
        <w:t>operating band</w:t>
      </w:r>
      <w:r w:rsidRPr="009A3E7A">
        <w:t xml:space="preserve"> supporting TDD, RX spurious emissions requirements are applicable during the </w:t>
      </w:r>
      <w:r w:rsidRPr="009A3E7A">
        <w:rPr>
          <w:i/>
        </w:rPr>
        <w:t>TX OFF period</w:t>
      </w:r>
      <w:r w:rsidRPr="009A3E7A">
        <w:t xml:space="preserve">, and are subject to exclusion zones in each supported </w:t>
      </w:r>
      <w:r w:rsidRPr="009A3E7A">
        <w:rPr>
          <w:i/>
        </w:rPr>
        <w:t>operating band</w:t>
      </w:r>
      <w:r w:rsidRPr="009A3E7A">
        <w:t>.</w:t>
      </w:r>
    </w:p>
    <w:p w14:paraId="174DAC7C" w14:textId="77777777" w:rsidR="00B36BA7" w:rsidRPr="009A3E7A" w:rsidRDefault="00B36BA7" w:rsidP="00B36BA7">
      <w:bookmarkStart w:id="3134" w:name="_Hlk47522249"/>
      <w:r w:rsidRPr="009A3E7A">
        <w:t xml:space="preserve">For </w:t>
      </w:r>
      <w:r w:rsidRPr="009A3E7A">
        <w:rPr>
          <w:i/>
        </w:rPr>
        <w:t>IAB-DU type 1-H</w:t>
      </w:r>
      <w:r w:rsidRPr="009A3E7A">
        <w:t xml:space="preserve"> </w:t>
      </w:r>
      <w:r>
        <w:t xml:space="preserve">and </w:t>
      </w:r>
      <w:r w:rsidRPr="00743313">
        <w:rPr>
          <w:i/>
        </w:rPr>
        <w:t xml:space="preserve">IAB-MT type 1-H </w:t>
      </w:r>
      <w:r w:rsidRPr="009A3E7A">
        <w:t xml:space="preserve">manufacturer shall declare </w:t>
      </w:r>
      <w:r w:rsidRPr="009A3E7A">
        <w:rPr>
          <w:i/>
        </w:rPr>
        <w:t>TAB connector RX min cell groups</w:t>
      </w:r>
      <w:r w:rsidRPr="009A3E7A">
        <w:t>.</w:t>
      </w:r>
      <w:r>
        <w:rPr>
          <w:rFonts w:eastAsia="MS Mincho"/>
          <w:iCs/>
          <w:lang w:eastAsia="ja-JP"/>
        </w:rPr>
        <w:t xml:space="preserve"> The declaration is done separately for IAB-DU and IAB-MT.</w:t>
      </w:r>
      <w:r w:rsidRPr="009A3E7A">
        <w:t xml:space="preserve"> Every </w:t>
      </w:r>
      <w:r w:rsidRPr="009A3E7A">
        <w:rPr>
          <w:i/>
        </w:rPr>
        <w:t>TAB connector</w:t>
      </w:r>
      <w:r w:rsidRPr="009A3E7A">
        <w:t xml:space="preserve"> of </w:t>
      </w:r>
      <w:r w:rsidRPr="009A3E7A">
        <w:rPr>
          <w:i/>
        </w:rPr>
        <w:t>IAB-DU type 1</w:t>
      </w:r>
      <w:r w:rsidRPr="009A3E7A">
        <w:rPr>
          <w:i/>
        </w:rPr>
        <w:noBreakHyphen/>
        <w:t>H</w:t>
      </w:r>
      <w:r w:rsidRPr="009A3E7A">
        <w:t xml:space="preserve"> </w:t>
      </w:r>
      <w:r>
        <w:t>and</w:t>
      </w:r>
      <w:r w:rsidRPr="00743313">
        <w:rPr>
          <w:i/>
        </w:rPr>
        <w:t xml:space="preserve"> IAB-MT type 1-H</w:t>
      </w:r>
      <w:r>
        <w:t xml:space="preserve"> </w:t>
      </w:r>
      <w:r w:rsidRPr="009A3E7A">
        <w:t xml:space="preserve">supporting reception in an </w:t>
      </w:r>
      <w:r w:rsidRPr="009A3E7A">
        <w:rPr>
          <w:i/>
        </w:rPr>
        <w:t>operating band</w:t>
      </w:r>
      <w:r w:rsidRPr="009A3E7A">
        <w:t xml:space="preserve"> shall map to one </w:t>
      </w:r>
      <w:r w:rsidRPr="009A3E7A">
        <w:rPr>
          <w:i/>
        </w:rPr>
        <w:t>TAB connector RX min cell group</w:t>
      </w:r>
      <w:r w:rsidRPr="009A3E7A">
        <w:t xml:space="preserve">, where mapping of </w:t>
      </w:r>
      <w:r w:rsidRPr="009A3E7A">
        <w:rPr>
          <w:i/>
        </w:rPr>
        <w:t>TAB connectors</w:t>
      </w:r>
      <w:r w:rsidRPr="009A3E7A">
        <w:t xml:space="preserve"> to cells/beams is implementation dependent.</w:t>
      </w:r>
    </w:p>
    <w:p w14:paraId="19DEC44D" w14:textId="77777777" w:rsidR="00B36BA7" w:rsidRPr="009A3E7A" w:rsidRDefault="00B36BA7" w:rsidP="00B36BA7">
      <w:r w:rsidRPr="009A3E7A">
        <w:t>The number of active receiver units that are considered when calculating the conducted RX spurious emission limits (N</w:t>
      </w:r>
      <w:r w:rsidRPr="009A3E7A">
        <w:rPr>
          <w:vertAlign w:val="subscript"/>
        </w:rPr>
        <w:t>RXU,counted</w:t>
      </w:r>
      <w:r w:rsidRPr="009A3E7A">
        <w:t xml:space="preserve">) for IAB-DU </w:t>
      </w:r>
      <w:r w:rsidRPr="009A3E7A">
        <w:rPr>
          <w:i/>
        </w:rPr>
        <w:t>type 1-H</w:t>
      </w:r>
      <w:r w:rsidRPr="009A3E7A">
        <w:t xml:space="preserve"> </w:t>
      </w:r>
      <w:r>
        <w:t>and</w:t>
      </w:r>
      <w:r w:rsidRPr="00743313">
        <w:rPr>
          <w:i/>
        </w:rPr>
        <w:t xml:space="preserve"> IAB-MT type 1-H</w:t>
      </w:r>
      <w:r>
        <w:t xml:space="preserve"> </w:t>
      </w:r>
      <w:r w:rsidRPr="009A3E7A">
        <w:t>is calculated as follows:</w:t>
      </w:r>
    </w:p>
    <w:p w14:paraId="121D7ABE" w14:textId="77777777" w:rsidR="00B36BA7" w:rsidRPr="009A3E7A" w:rsidRDefault="00B36BA7" w:rsidP="00B36BA7">
      <w:pPr>
        <w:ind w:left="568" w:hanging="284"/>
      </w:pPr>
      <w:r w:rsidRPr="009A3E7A">
        <w:tab/>
        <w:t>N</w:t>
      </w:r>
      <w:r w:rsidRPr="009A3E7A">
        <w:rPr>
          <w:vertAlign w:val="subscript"/>
        </w:rPr>
        <w:t>RXU,counted</w:t>
      </w:r>
      <w:r w:rsidRPr="009A3E7A">
        <w:t xml:space="preserve"> = </w:t>
      </w:r>
      <w:r w:rsidRPr="009A3E7A">
        <w:rPr>
          <w:i/>
        </w:rPr>
        <w:t>min(N</w:t>
      </w:r>
      <w:r w:rsidRPr="009A3E7A">
        <w:rPr>
          <w:i/>
          <w:vertAlign w:val="subscript"/>
        </w:rPr>
        <w:t xml:space="preserve">RXU,active </w:t>
      </w:r>
      <w:r w:rsidRPr="009A3E7A">
        <w:rPr>
          <w:i/>
        </w:rPr>
        <w:t>, 8</w:t>
      </w:r>
      <w:r w:rsidRPr="009A3E7A">
        <w:t xml:space="preserve"> </w:t>
      </w:r>
      <w:r w:rsidRPr="009A3E7A">
        <w:rPr>
          <w:i/>
          <w:lang w:eastAsia="ja-JP"/>
        </w:rPr>
        <w:t xml:space="preserve">× </w:t>
      </w:r>
      <w:r w:rsidRPr="009A3E7A">
        <w:rPr>
          <w:i/>
        </w:rPr>
        <w:t>N</w:t>
      </w:r>
      <w:r w:rsidRPr="009A3E7A">
        <w:rPr>
          <w:i/>
          <w:vertAlign w:val="subscript"/>
        </w:rPr>
        <w:t>cells</w:t>
      </w:r>
      <w:r w:rsidRPr="009A3E7A">
        <w:rPr>
          <w:i/>
        </w:rPr>
        <w:t>)</w:t>
      </w:r>
    </w:p>
    <w:p w14:paraId="0FFA8A6B" w14:textId="77777777" w:rsidR="00B36BA7" w:rsidRPr="009A3E7A" w:rsidRDefault="00B36BA7" w:rsidP="00B36BA7">
      <w:pPr>
        <w:rPr>
          <w:rFonts w:eastAsia="MS Mincho"/>
          <w:lang w:eastAsia="ja-JP"/>
        </w:rPr>
      </w:pPr>
      <w:r w:rsidRPr="009A3E7A">
        <w:t>N</w:t>
      </w:r>
      <w:r w:rsidRPr="009A3E7A">
        <w:rPr>
          <w:vertAlign w:val="subscript"/>
        </w:rPr>
        <w:t>RXU,countedpercell</w:t>
      </w:r>
      <w:r w:rsidRPr="009A3E7A">
        <w:rPr>
          <w:rFonts w:eastAsia="MS Mincho"/>
          <w:lang w:eastAsia="ja-JP"/>
        </w:rPr>
        <w:t xml:space="preserve"> is used for scaling of </w:t>
      </w:r>
      <w:r w:rsidRPr="009A3E7A">
        <w:rPr>
          <w:rFonts w:eastAsia="MS Mincho"/>
          <w:i/>
          <w:lang w:eastAsia="ja-JP"/>
        </w:rPr>
        <w:t>basic limits</w:t>
      </w:r>
      <w:r w:rsidRPr="009A3E7A">
        <w:rPr>
          <w:rFonts w:eastAsia="MS Mincho"/>
          <w:lang w:eastAsia="ja-JP"/>
        </w:rPr>
        <w:t xml:space="preserve"> and is derived as </w:t>
      </w:r>
      <w:r w:rsidRPr="009A3E7A">
        <w:t>N</w:t>
      </w:r>
      <w:r w:rsidRPr="009A3E7A">
        <w:rPr>
          <w:vertAlign w:val="subscript"/>
        </w:rPr>
        <w:t>RXU,countedpercell</w:t>
      </w:r>
      <w:r w:rsidRPr="009A3E7A">
        <w:rPr>
          <w:vertAlign w:val="subscript"/>
          <w:lang w:eastAsia="zh-CN"/>
        </w:rPr>
        <w:t xml:space="preserve"> </w:t>
      </w:r>
      <w:r w:rsidRPr="009A3E7A">
        <w:rPr>
          <w:lang w:eastAsia="zh-CN"/>
        </w:rPr>
        <w:t xml:space="preserve">= </w:t>
      </w:r>
      <w:r w:rsidRPr="009A3E7A">
        <w:rPr>
          <w:iCs/>
          <w:lang w:eastAsia="ja-JP"/>
        </w:rPr>
        <w:t>N</w:t>
      </w:r>
      <w:r w:rsidRPr="009A3E7A">
        <w:rPr>
          <w:iCs/>
          <w:vertAlign w:val="subscript"/>
          <w:lang w:eastAsia="ja-JP"/>
        </w:rPr>
        <w:t xml:space="preserve">RXU,counted </w:t>
      </w:r>
      <w:r w:rsidRPr="009A3E7A">
        <w:rPr>
          <w:iCs/>
          <w:lang w:eastAsia="ja-JP"/>
        </w:rPr>
        <w:t>/ N</w:t>
      </w:r>
      <w:r w:rsidRPr="009A3E7A">
        <w:rPr>
          <w:iCs/>
          <w:vertAlign w:val="subscript"/>
          <w:lang w:eastAsia="ja-JP"/>
        </w:rPr>
        <w:t>cells</w:t>
      </w:r>
      <w:r w:rsidRPr="009A3E7A">
        <w:rPr>
          <w:iCs/>
          <w:lang w:eastAsia="ja-JP"/>
        </w:rPr>
        <w:t>, where N</w:t>
      </w:r>
      <w:r w:rsidRPr="009A3E7A">
        <w:rPr>
          <w:iCs/>
          <w:vertAlign w:val="subscript"/>
          <w:lang w:eastAsia="ja-JP"/>
        </w:rPr>
        <w:t>cells</w:t>
      </w:r>
      <w:r w:rsidRPr="009A3E7A">
        <w:rPr>
          <w:iCs/>
          <w:lang w:eastAsia="ja-JP"/>
        </w:rPr>
        <w:t xml:space="preserve"> is defined in clause 6.1.</w:t>
      </w:r>
    </w:p>
    <w:p w14:paraId="199CD19D" w14:textId="77777777" w:rsidR="00B36BA7" w:rsidRPr="009A3E7A" w:rsidRDefault="00B36BA7" w:rsidP="00B36BA7">
      <w:pPr>
        <w:keepLines/>
        <w:ind w:left="1135" w:hanging="851"/>
      </w:pPr>
      <w:r w:rsidRPr="009A3E7A">
        <w:t>NOTE:</w:t>
      </w:r>
      <w:r w:rsidRPr="009A3E7A">
        <w:tab/>
        <w:t>N</w:t>
      </w:r>
      <w:r w:rsidRPr="009A3E7A">
        <w:rPr>
          <w:vertAlign w:val="subscript"/>
        </w:rPr>
        <w:t>RXU,active</w:t>
      </w:r>
      <w:r w:rsidRPr="009A3E7A">
        <w:t xml:space="preserve"> is the number of actually active receiver units and is independent to the declaration of N</w:t>
      </w:r>
      <w:r w:rsidRPr="009A3E7A">
        <w:rPr>
          <w:vertAlign w:val="subscript"/>
        </w:rPr>
        <w:t>cells</w:t>
      </w:r>
      <w:r w:rsidRPr="009A3E7A">
        <w:t>.</w:t>
      </w:r>
    </w:p>
    <w:bookmarkEnd w:id="3134"/>
    <w:p w14:paraId="4D6FD6D3" w14:textId="77777777" w:rsidR="00B36BA7" w:rsidRPr="00F52FCE" w:rsidRDefault="00B36BA7" w:rsidP="00386732">
      <w:pPr>
        <w:rPr>
          <w:rFonts w:eastAsiaTheme="minorEastAsia"/>
          <w:lang w:eastAsia="zh-CN"/>
        </w:rPr>
      </w:pPr>
    </w:p>
    <w:p w14:paraId="039F222E" w14:textId="4E4F4BE7" w:rsidR="00B1568F" w:rsidRDefault="00B1568F" w:rsidP="00B1568F">
      <w:pPr>
        <w:pStyle w:val="Heading3"/>
      </w:pPr>
      <w:bookmarkStart w:id="3135" w:name="_Toc53185408"/>
      <w:bookmarkStart w:id="3136" w:name="_Toc53185784"/>
      <w:bookmarkStart w:id="3137" w:name="_Toc57820269"/>
      <w:bookmarkStart w:id="3138" w:name="_Toc57821196"/>
      <w:bookmarkStart w:id="3139" w:name="_Toc61183472"/>
      <w:bookmarkStart w:id="3140" w:name="_Toc61183866"/>
      <w:bookmarkStart w:id="3141" w:name="_Toc61184258"/>
      <w:bookmarkStart w:id="3142" w:name="_Toc61184650"/>
      <w:bookmarkStart w:id="3143" w:name="_Toc61185040"/>
      <w:bookmarkStart w:id="3144" w:name="_Toc66386384"/>
      <w:bookmarkStart w:id="3145" w:name="_Toc74583225"/>
      <w:bookmarkStart w:id="3146" w:name="_Toc76542038"/>
      <w:bookmarkStart w:id="3147" w:name="_Toc82450020"/>
      <w:bookmarkStart w:id="3148" w:name="_Toc82450668"/>
      <w:bookmarkStart w:id="3149" w:name="_Toc89949057"/>
      <w:bookmarkStart w:id="3150" w:name="_Toc98755446"/>
      <w:bookmarkStart w:id="3151" w:name="_Toc98763037"/>
      <w:bookmarkStart w:id="3152" w:name="_Toc106183966"/>
      <w:bookmarkStart w:id="3153" w:name="_Toc13080264"/>
      <w:bookmarkStart w:id="3154" w:name="_Toc18916178"/>
      <w:bookmarkStart w:id="3155" w:name="_Hlk497680045"/>
      <w:r>
        <w:lastRenderedPageBreak/>
        <w:t>7.6.</w:t>
      </w:r>
      <w:r w:rsidR="001A4D10">
        <w:t>2</w:t>
      </w:r>
      <w:r w:rsidR="00C91B26">
        <w:tab/>
      </w:r>
      <w:r w:rsidR="0049189F">
        <w:t>IAB-DU r</w:t>
      </w:r>
      <w:r>
        <w:t>eceiver spurious emissions</w:t>
      </w:r>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r>
        <w:t xml:space="preserve"> </w:t>
      </w:r>
    </w:p>
    <w:p w14:paraId="4C87A2E0" w14:textId="74E6EE04" w:rsidR="002940FB" w:rsidRPr="00F947E2" w:rsidRDefault="002940FB" w:rsidP="002940FB">
      <w:pPr>
        <w:pStyle w:val="Heading4"/>
        <w:rPr>
          <w:rFonts w:eastAsia="SimSun"/>
        </w:rPr>
      </w:pPr>
      <w:bookmarkStart w:id="3156" w:name="_Toc13080261"/>
      <w:bookmarkStart w:id="3157" w:name="_Toc29811760"/>
      <w:bookmarkStart w:id="3158" w:name="_Toc53185409"/>
      <w:bookmarkStart w:id="3159" w:name="_Toc53185785"/>
      <w:bookmarkStart w:id="3160" w:name="_Toc57820270"/>
      <w:bookmarkStart w:id="3161" w:name="_Toc57821197"/>
      <w:bookmarkStart w:id="3162" w:name="_Toc61183473"/>
      <w:bookmarkStart w:id="3163" w:name="_Toc61183867"/>
      <w:bookmarkStart w:id="3164" w:name="_Toc61184259"/>
      <w:bookmarkStart w:id="3165" w:name="_Toc61184651"/>
      <w:bookmarkStart w:id="3166" w:name="_Toc61185041"/>
      <w:bookmarkStart w:id="3167" w:name="_Toc66386385"/>
      <w:bookmarkStart w:id="3168" w:name="_Toc74583226"/>
      <w:bookmarkStart w:id="3169" w:name="_Toc76542039"/>
      <w:bookmarkStart w:id="3170" w:name="_Toc82450021"/>
      <w:bookmarkStart w:id="3171" w:name="_Toc82450669"/>
      <w:bookmarkStart w:id="3172" w:name="_Toc89949058"/>
      <w:bookmarkStart w:id="3173" w:name="_Toc98755447"/>
      <w:bookmarkStart w:id="3174" w:name="_Toc98763038"/>
      <w:bookmarkStart w:id="3175" w:name="_Toc106183967"/>
      <w:r w:rsidRPr="00F947E2">
        <w:rPr>
          <w:rFonts w:eastAsia="SimSun"/>
        </w:rPr>
        <w:t>7.6.2</w:t>
      </w:r>
      <w:r>
        <w:t>.1</w:t>
      </w:r>
      <w:r w:rsidR="00C91B26">
        <w:rPr>
          <w:sz w:val="28"/>
        </w:rPr>
        <w:tab/>
      </w:r>
      <w:r w:rsidRPr="00F947E2">
        <w:rPr>
          <w:rFonts w:eastAsia="SimSun"/>
        </w:rPr>
        <w:t>Basic limits</w:t>
      </w:r>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p>
    <w:p w14:paraId="0A8045BE" w14:textId="77777777" w:rsidR="002940FB" w:rsidRPr="00110881" w:rsidRDefault="002940FB" w:rsidP="002940FB">
      <w:pPr>
        <w:rPr>
          <w:rFonts w:eastAsia="??"/>
        </w:rPr>
      </w:pPr>
      <w:r w:rsidRPr="00110881">
        <w:rPr>
          <w:rFonts w:eastAsiaTheme="minorEastAsia"/>
        </w:rPr>
        <w:t xml:space="preserve">The receiver spurious emissions </w:t>
      </w:r>
      <w:r w:rsidRPr="00110881">
        <w:rPr>
          <w:rFonts w:eastAsiaTheme="minorEastAsia"/>
          <w:i/>
        </w:rPr>
        <w:t>basic limits</w:t>
      </w:r>
      <w:r w:rsidRPr="00110881">
        <w:rPr>
          <w:rFonts w:eastAsiaTheme="minorEastAsia"/>
        </w:rPr>
        <w:t xml:space="preserve"> are provided in table 7.6.2</w:t>
      </w:r>
      <w:r>
        <w:rPr>
          <w:rFonts w:eastAsiaTheme="minorEastAsia"/>
        </w:rPr>
        <w:t>.1</w:t>
      </w:r>
      <w:r w:rsidRPr="00110881">
        <w:rPr>
          <w:rFonts w:eastAsiaTheme="minorEastAsia"/>
        </w:rPr>
        <w:t>-1.</w:t>
      </w:r>
    </w:p>
    <w:p w14:paraId="76003FBE" w14:textId="77777777" w:rsidR="002940FB" w:rsidRPr="00110881" w:rsidRDefault="002940FB" w:rsidP="002940FB">
      <w:pPr>
        <w:keepNext/>
        <w:keepLines/>
        <w:spacing w:before="60"/>
        <w:jc w:val="center"/>
        <w:rPr>
          <w:rFonts w:ascii="Arial" w:eastAsiaTheme="minorEastAsia" w:hAnsi="Arial"/>
          <w:b/>
        </w:rPr>
      </w:pPr>
      <w:r w:rsidRPr="00110881">
        <w:rPr>
          <w:rFonts w:ascii="Arial" w:eastAsiaTheme="minorEastAsia" w:hAnsi="Arial"/>
          <w:b/>
        </w:rPr>
        <w:t>Table 7.6.2</w:t>
      </w:r>
      <w:r>
        <w:rPr>
          <w:rFonts w:ascii="Arial" w:eastAsiaTheme="minorEastAsia" w:hAnsi="Arial"/>
          <w:b/>
        </w:rPr>
        <w:t>.1</w:t>
      </w:r>
      <w:r w:rsidRPr="00110881">
        <w:rPr>
          <w:rFonts w:ascii="Arial" w:eastAsiaTheme="minorEastAsia" w:hAnsi="Arial"/>
          <w:b/>
        </w:rPr>
        <w:t xml:space="preserve">-1: General </w:t>
      </w:r>
      <w:r>
        <w:rPr>
          <w:rFonts w:ascii="Arial" w:eastAsiaTheme="minorEastAsia" w:hAnsi="Arial"/>
          <w:b/>
        </w:rPr>
        <w:t xml:space="preserve">IAB-DU </w:t>
      </w:r>
      <w:r w:rsidRPr="00110881">
        <w:rPr>
          <w:rFonts w:ascii="Arial" w:eastAsiaTheme="minorEastAsia" w:hAnsi="Arial"/>
          <w:b/>
        </w:rPr>
        <w:t>receiver spurious emissions limits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tblCellMar>
        <w:tblLook w:val="00A0" w:firstRow="1" w:lastRow="0" w:firstColumn="1" w:lastColumn="0" w:noHBand="0" w:noVBand="0"/>
      </w:tblPr>
      <w:tblGrid>
        <w:gridCol w:w="1897"/>
        <w:gridCol w:w="1276"/>
        <w:gridCol w:w="1701"/>
        <w:gridCol w:w="3969"/>
      </w:tblGrid>
      <w:tr w:rsidR="002940FB" w:rsidRPr="00110881" w14:paraId="153013DE" w14:textId="77777777" w:rsidTr="00A4061E">
        <w:trPr>
          <w:tblHeader/>
          <w:jc w:val="center"/>
        </w:trPr>
        <w:tc>
          <w:tcPr>
            <w:tcW w:w="1897" w:type="dxa"/>
          </w:tcPr>
          <w:p w14:paraId="029A654C" w14:textId="77777777" w:rsidR="002940FB" w:rsidRPr="00110881" w:rsidRDefault="002940FB" w:rsidP="00A4061E">
            <w:pPr>
              <w:keepNext/>
              <w:keepLines/>
              <w:spacing w:after="0"/>
              <w:jc w:val="center"/>
              <w:rPr>
                <w:rFonts w:ascii="Arial" w:eastAsiaTheme="minorEastAsia" w:hAnsi="Arial"/>
                <w:b/>
                <w:sz w:val="18"/>
              </w:rPr>
            </w:pPr>
            <w:r w:rsidRPr="00110881">
              <w:rPr>
                <w:rFonts w:ascii="Arial" w:eastAsiaTheme="minorEastAsia" w:hAnsi="Arial"/>
                <w:b/>
                <w:sz w:val="18"/>
              </w:rPr>
              <w:t>Spurious frequency range</w:t>
            </w:r>
          </w:p>
        </w:tc>
        <w:tc>
          <w:tcPr>
            <w:tcW w:w="1276" w:type="dxa"/>
          </w:tcPr>
          <w:p w14:paraId="782CBF17" w14:textId="77777777" w:rsidR="002940FB" w:rsidRPr="00110881" w:rsidRDefault="002940FB" w:rsidP="00A4061E">
            <w:pPr>
              <w:keepNext/>
              <w:keepLines/>
              <w:spacing w:after="0"/>
              <w:jc w:val="center"/>
              <w:rPr>
                <w:rFonts w:ascii="Arial" w:eastAsiaTheme="minorEastAsia" w:hAnsi="Arial"/>
                <w:b/>
                <w:sz w:val="18"/>
              </w:rPr>
            </w:pPr>
            <w:r w:rsidRPr="00110881">
              <w:rPr>
                <w:rFonts w:ascii="Arial" w:eastAsiaTheme="minorEastAsia" w:hAnsi="Arial"/>
                <w:b/>
                <w:i/>
                <w:sz w:val="18"/>
              </w:rPr>
              <w:t>Basic limits</w:t>
            </w:r>
          </w:p>
        </w:tc>
        <w:tc>
          <w:tcPr>
            <w:tcW w:w="1701" w:type="dxa"/>
          </w:tcPr>
          <w:p w14:paraId="67ABD52F" w14:textId="77777777" w:rsidR="002940FB" w:rsidRPr="00110881" w:rsidRDefault="002940FB" w:rsidP="00A4061E">
            <w:pPr>
              <w:keepNext/>
              <w:keepLines/>
              <w:spacing w:after="0"/>
              <w:jc w:val="center"/>
              <w:rPr>
                <w:rFonts w:ascii="Arial" w:eastAsiaTheme="minorEastAsia" w:hAnsi="Arial"/>
                <w:b/>
                <w:sz w:val="18"/>
              </w:rPr>
            </w:pPr>
            <w:r w:rsidRPr="00110881">
              <w:rPr>
                <w:rFonts w:ascii="Arial" w:eastAsiaTheme="minorEastAsia" w:hAnsi="Arial"/>
                <w:b/>
                <w:i/>
                <w:sz w:val="18"/>
              </w:rPr>
              <w:t>Measurement bandwidth</w:t>
            </w:r>
          </w:p>
        </w:tc>
        <w:tc>
          <w:tcPr>
            <w:tcW w:w="3969" w:type="dxa"/>
          </w:tcPr>
          <w:p w14:paraId="461E5858" w14:textId="77777777" w:rsidR="002940FB" w:rsidRPr="00110881" w:rsidRDefault="002940FB" w:rsidP="00A4061E">
            <w:pPr>
              <w:keepNext/>
              <w:keepLines/>
              <w:spacing w:after="0"/>
              <w:jc w:val="center"/>
              <w:rPr>
                <w:rFonts w:ascii="Arial" w:eastAsiaTheme="minorEastAsia" w:hAnsi="Arial"/>
                <w:b/>
                <w:sz w:val="18"/>
              </w:rPr>
            </w:pPr>
            <w:r w:rsidRPr="00110881">
              <w:rPr>
                <w:rFonts w:ascii="Arial" w:eastAsiaTheme="minorEastAsia" w:hAnsi="Arial"/>
                <w:b/>
                <w:sz w:val="18"/>
              </w:rPr>
              <w:t>Note</w:t>
            </w:r>
          </w:p>
        </w:tc>
      </w:tr>
      <w:tr w:rsidR="002940FB" w:rsidRPr="00110881" w14:paraId="0AA575E1" w14:textId="77777777" w:rsidTr="00A4061E">
        <w:trPr>
          <w:jc w:val="center"/>
        </w:trPr>
        <w:tc>
          <w:tcPr>
            <w:tcW w:w="1897" w:type="dxa"/>
          </w:tcPr>
          <w:p w14:paraId="7076F4B3"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30 MHz – 1 GHz</w:t>
            </w:r>
          </w:p>
        </w:tc>
        <w:tc>
          <w:tcPr>
            <w:tcW w:w="1276" w:type="dxa"/>
          </w:tcPr>
          <w:p w14:paraId="1E967B0E"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-57 dBm</w:t>
            </w:r>
          </w:p>
        </w:tc>
        <w:tc>
          <w:tcPr>
            <w:tcW w:w="1701" w:type="dxa"/>
          </w:tcPr>
          <w:p w14:paraId="0DFB7DAA"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100 kHz</w:t>
            </w:r>
          </w:p>
        </w:tc>
        <w:tc>
          <w:tcPr>
            <w:tcW w:w="3969" w:type="dxa"/>
          </w:tcPr>
          <w:p w14:paraId="0410915E" w14:textId="77777777" w:rsidR="002940FB" w:rsidRPr="00110881" w:rsidRDefault="002940FB" w:rsidP="00A4061E">
            <w:pPr>
              <w:keepNext/>
              <w:keepLines/>
              <w:spacing w:after="0"/>
              <w:jc w:val="center"/>
              <w:rPr>
                <w:rFonts w:ascii="Arial" w:eastAsiaTheme="minorEastAsia" w:hAnsi="Arial"/>
                <w:sz w:val="18"/>
                <w:szCs w:val="18"/>
              </w:rPr>
            </w:pPr>
            <w:r w:rsidRPr="00110881">
              <w:rPr>
                <w:rFonts w:ascii="Arial" w:eastAsiaTheme="minorEastAsia" w:hAnsi="Arial"/>
                <w:sz w:val="18"/>
              </w:rPr>
              <w:t>Note 1</w:t>
            </w:r>
          </w:p>
        </w:tc>
      </w:tr>
      <w:tr w:rsidR="002940FB" w:rsidRPr="00110881" w14:paraId="2869AA24" w14:textId="77777777" w:rsidTr="00A4061E">
        <w:trPr>
          <w:jc w:val="center"/>
        </w:trPr>
        <w:tc>
          <w:tcPr>
            <w:tcW w:w="1897" w:type="dxa"/>
          </w:tcPr>
          <w:p w14:paraId="08A7EB18"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1 GHz – 12.75 GHz</w:t>
            </w:r>
          </w:p>
        </w:tc>
        <w:tc>
          <w:tcPr>
            <w:tcW w:w="1276" w:type="dxa"/>
          </w:tcPr>
          <w:p w14:paraId="2CF2AD98"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-47 dBm</w:t>
            </w:r>
          </w:p>
        </w:tc>
        <w:tc>
          <w:tcPr>
            <w:tcW w:w="1701" w:type="dxa"/>
          </w:tcPr>
          <w:p w14:paraId="74FA6AB2"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1 MHz</w:t>
            </w:r>
          </w:p>
        </w:tc>
        <w:tc>
          <w:tcPr>
            <w:tcW w:w="3969" w:type="dxa"/>
          </w:tcPr>
          <w:p w14:paraId="45DC1DA2" w14:textId="77777777" w:rsidR="002940FB" w:rsidRPr="00110881" w:rsidRDefault="002940FB" w:rsidP="00A4061E">
            <w:pPr>
              <w:keepNext/>
              <w:keepLines/>
              <w:spacing w:after="0"/>
              <w:jc w:val="center"/>
              <w:rPr>
                <w:rFonts w:ascii="Arial" w:eastAsiaTheme="minorEastAsia" w:hAnsi="Arial"/>
                <w:sz w:val="18"/>
                <w:szCs w:val="18"/>
              </w:rPr>
            </w:pPr>
            <w:r w:rsidRPr="00110881">
              <w:rPr>
                <w:rFonts w:ascii="Arial" w:eastAsiaTheme="minorEastAsia" w:hAnsi="Arial"/>
                <w:sz w:val="18"/>
              </w:rPr>
              <w:t>Note 1, Note 2</w:t>
            </w:r>
          </w:p>
        </w:tc>
      </w:tr>
      <w:tr w:rsidR="002940FB" w:rsidRPr="00110881" w14:paraId="47C60532" w14:textId="77777777" w:rsidTr="00A4061E">
        <w:trPr>
          <w:jc w:val="center"/>
        </w:trPr>
        <w:tc>
          <w:tcPr>
            <w:tcW w:w="1897" w:type="dxa"/>
          </w:tcPr>
          <w:p w14:paraId="78B0FC32"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cs="v5.0.0"/>
                <w:sz w:val="18"/>
              </w:rPr>
              <w:t xml:space="preserve">12.75 GHz </w:t>
            </w:r>
            <w:r w:rsidRPr="00110881">
              <w:rPr>
                <w:rFonts w:ascii="Arial" w:eastAsiaTheme="minorEastAsia" w:hAnsi="Arial"/>
                <w:sz w:val="18"/>
              </w:rPr>
              <w:t>– 5</w:t>
            </w:r>
            <w:r w:rsidRPr="00110881">
              <w:rPr>
                <w:rFonts w:ascii="Arial" w:eastAsiaTheme="minorEastAsia" w:hAnsi="Arial"/>
                <w:sz w:val="18"/>
                <w:vertAlign w:val="superscript"/>
              </w:rPr>
              <w:t>th</w:t>
            </w:r>
            <w:r w:rsidRPr="00110881">
              <w:rPr>
                <w:rFonts w:ascii="Arial" w:eastAsiaTheme="minorEastAsia" w:hAnsi="Arial"/>
                <w:sz w:val="18"/>
              </w:rPr>
              <w:t xml:space="preserve"> harmonic of the upper frequency edge of the </w:t>
            </w:r>
            <w:r>
              <w:rPr>
                <w:rFonts w:ascii="Arial" w:eastAsiaTheme="minorEastAsia" w:hAnsi="Arial"/>
                <w:sz w:val="18"/>
              </w:rPr>
              <w:t>UL</w:t>
            </w:r>
            <w:r w:rsidRPr="00110881">
              <w:rPr>
                <w:rFonts w:ascii="Arial" w:eastAsiaTheme="minorEastAsia" w:hAnsi="Arial"/>
                <w:sz w:val="18"/>
              </w:rPr>
              <w:t xml:space="preserve"> </w:t>
            </w:r>
            <w:r w:rsidRPr="00110881">
              <w:rPr>
                <w:rFonts w:ascii="Arial" w:eastAsiaTheme="minorEastAsia" w:hAnsi="Arial"/>
                <w:i/>
                <w:sz w:val="18"/>
              </w:rPr>
              <w:t>operating band</w:t>
            </w:r>
            <w:r w:rsidRPr="00110881">
              <w:rPr>
                <w:rFonts w:ascii="Arial" w:eastAsiaTheme="minorEastAsia" w:hAnsi="Arial"/>
                <w:sz w:val="18"/>
              </w:rPr>
              <w:t xml:space="preserve"> in GHz</w:t>
            </w:r>
          </w:p>
        </w:tc>
        <w:tc>
          <w:tcPr>
            <w:tcW w:w="1276" w:type="dxa"/>
          </w:tcPr>
          <w:p w14:paraId="38C7F131"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-47 dBm</w:t>
            </w:r>
          </w:p>
        </w:tc>
        <w:tc>
          <w:tcPr>
            <w:tcW w:w="1701" w:type="dxa"/>
          </w:tcPr>
          <w:p w14:paraId="697CB559" w14:textId="77777777" w:rsidR="002940FB" w:rsidRPr="00110881" w:rsidRDefault="002940FB" w:rsidP="00A4061E">
            <w:pPr>
              <w:keepNext/>
              <w:keepLines/>
              <w:spacing w:after="0"/>
              <w:jc w:val="center"/>
              <w:rPr>
                <w:rFonts w:ascii="Arial" w:eastAsiaTheme="minorEastAsia" w:hAnsi="Arial"/>
                <w:sz w:val="18"/>
              </w:rPr>
            </w:pPr>
            <w:r w:rsidRPr="00110881">
              <w:rPr>
                <w:rFonts w:ascii="Arial" w:eastAsiaTheme="minorEastAsia" w:hAnsi="Arial"/>
                <w:sz w:val="18"/>
              </w:rPr>
              <w:t>1 MHz</w:t>
            </w:r>
          </w:p>
        </w:tc>
        <w:tc>
          <w:tcPr>
            <w:tcW w:w="3969" w:type="dxa"/>
          </w:tcPr>
          <w:p w14:paraId="7045FB49" w14:textId="77777777" w:rsidR="002940FB" w:rsidRPr="00110881" w:rsidRDefault="002940FB" w:rsidP="00A4061E">
            <w:pPr>
              <w:keepNext/>
              <w:keepLines/>
              <w:spacing w:after="0"/>
              <w:jc w:val="center"/>
              <w:rPr>
                <w:rFonts w:ascii="Arial" w:eastAsiaTheme="minorEastAsia" w:hAnsi="Arial"/>
                <w:sz w:val="18"/>
                <w:szCs w:val="18"/>
              </w:rPr>
            </w:pPr>
            <w:r w:rsidRPr="00110881">
              <w:rPr>
                <w:rFonts w:ascii="Arial" w:eastAsiaTheme="minorEastAsia" w:hAnsi="Arial"/>
                <w:sz w:val="18"/>
              </w:rPr>
              <w:t>Note 1, Note 2, Note 3</w:t>
            </w:r>
          </w:p>
        </w:tc>
      </w:tr>
      <w:tr w:rsidR="002940FB" w:rsidRPr="00110881" w14:paraId="410981C3" w14:textId="77777777" w:rsidTr="00A4061E">
        <w:trPr>
          <w:jc w:val="center"/>
        </w:trPr>
        <w:tc>
          <w:tcPr>
            <w:tcW w:w="8843" w:type="dxa"/>
            <w:gridSpan w:val="4"/>
          </w:tcPr>
          <w:p w14:paraId="12C23BBD" w14:textId="47CE10C0" w:rsidR="002940FB" w:rsidRPr="00110881" w:rsidRDefault="002940FB" w:rsidP="00A4061E">
            <w:pPr>
              <w:keepNext/>
              <w:keepLines/>
              <w:spacing w:after="0"/>
              <w:ind w:left="851" w:hanging="851"/>
              <w:rPr>
                <w:rFonts w:ascii="Arial" w:eastAsiaTheme="minorEastAsia" w:hAnsi="Arial"/>
                <w:sz w:val="18"/>
              </w:rPr>
            </w:pPr>
            <w:r w:rsidRPr="00110881">
              <w:rPr>
                <w:rFonts w:ascii="Arial" w:eastAsia="??" w:hAnsi="Arial"/>
                <w:sz w:val="18"/>
              </w:rPr>
              <w:t>NOTE 1:</w:t>
            </w:r>
            <w:r w:rsidRPr="00110881">
              <w:rPr>
                <w:rFonts w:ascii="Arial" w:eastAsia="??" w:hAnsi="Arial"/>
                <w:sz w:val="18"/>
              </w:rPr>
              <w:tab/>
            </w:r>
            <w:r w:rsidRPr="00110881">
              <w:rPr>
                <w:rFonts w:ascii="Arial" w:eastAsiaTheme="minorEastAsia" w:hAnsi="Arial" w:cs="Arial"/>
                <w:i/>
                <w:sz w:val="18"/>
              </w:rPr>
              <w:t>Measurement bandwidth</w:t>
            </w:r>
            <w:r w:rsidRPr="00110881">
              <w:rPr>
                <w:rFonts w:ascii="Arial" w:eastAsiaTheme="minorEastAsia" w:hAnsi="Arial" w:cs="Arial"/>
                <w:sz w:val="18"/>
              </w:rPr>
              <w:t>s as in ITU-R SM.329 [</w:t>
            </w:r>
            <w:r>
              <w:rPr>
                <w:rFonts w:ascii="Arial" w:eastAsiaTheme="minorEastAsia" w:hAnsi="Arial" w:cs="Arial"/>
                <w:sz w:val="18"/>
              </w:rPr>
              <w:t>16</w:t>
            </w:r>
            <w:r w:rsidRPr="00110881">
              <w:rPr>
                <w:rFonts w:ascii="Arial" w:eastAsiaTheme="minorEastAsia" w:hAnsi="Arial" w:cs="Arial"/>
                <w:sz w:val="18"/>
              </w:rPr>
              <w:t>], s4.1.</w:t>
            </w:r>
          </w:p>
          <w:p w14:paraId="407A7CB4" w14:textId="7186D9A5" w:rsidR="002940FB" w:rsidRPr="00110881" w:rsidRDefault="002940FB" w:rsidP="00A4061E">
            <w:pPr>
              <w:keepNext/>
              <w:keepLines/>
              <w:spacing w:after="0"/>
              <w:ind w:left="851" w:hanging="851"/>
              <w:rPr>
                <w:rFonts w:ascii="Arial" w:eastAsiaTheme="minorEastAsia" w:hAnsi="Arial"/>
                <w:sz w:val="18"/>
              </w:rPr>
            </w:pPr>
            <w:r w:rsidRPr="00110881">
              <w:rPr>
                <w:rFonts w:ascii="Arial" w:eastAsia="??" w:hAnsi="Arial"/>
                <w:sz w:val="18"/>
              </w:rPr>
              <w:t>NOTE 2:</w:t>
            </w:r>
            <w:r w:rsidRPr="00110881">
              <w:rPr>
                <w:rFonts w:ascii="Arial" w:eastAsia="??" w:hAnsi="Arial"/>
                <w:sz w:val="18"/>
              </w:rPr>
              <w:tab/>
            </w:r>
            <w:r w:rsidRPr="00110881">
              <w:rPr>
                <w:rFonts w:ascii="Arial" w:eastAsiaTheme="minorEastAsia" w:hAnsi="Arial" w:cs="Arial"/>
                <w:sz w:val="18"/>
              </w:rPr>
              <w:t>Upper frequency as in ITU-R SM.329 [</w:t>
            </w:r>
            <w:r>
              <w:rPr>
                <w:rFonts w:ascii="Arial" w:eastAsiaTheme="minorEastAsia" w:hAnsi="Arial" w:cs="Arial"/>
                <w:sz w:val="18"/>
              </w:rPr>
              <w:t>16</w:t>
            </w:r>
            <w:r w:rsidRPr="00110881">
              <w:rPr>
                <w:rFonts w:ascii="Arial" w:eastAsiaTheme="minorEastAsia" w:hAnsi="Arial" w:cs="Arial"/>
                <w:sz w:val="18"/>
              </w:rPr>
              <w:t>], s2.5 table 1.</w:t>
            </w:r>
          </w:p>
          <w:p w14:paraId="360EE453" w14:textId="77777777" w:rsidR="002940FB" w:rsidRPr="00110881" w:rsidRDefault="002940FB" w:rsidP="00A4061E">
            <w:pPr>
              <w:keepNext/>
              <w:keepLines/>
              <w:spacing w:after="0"/>
              <w:ind w:left="851" w:hanging="851"/>
              <w:rPr>
                <w:rFonts w:ascii="Arial" w:eastAsiaTheme="minorEastAsia" w:hAnsi="Arial" w:cs="Arial"/>
                <w:sz w:val="18"/>
                <w:lang w:eastAsia="zh-CN"/>
              </w:rPr>
            </w:pPr>
            <w:r w:rsidRPr="00110881">
              <w:rPr>
                <w:rFonts w:ascii="Arial" w:eastAsiaTheme="minorEastAsia" w:hAnsi="Arial" w:cs="Arial"/>
                <w:sz w:val="18"/>
                <w:lang w:eastAsia="zh-CN"/>
              </w:rPr>
              <w:t>N</w:t>
            </w:r>
            <w:r w:rsidRPr="00110881">
              <w:rPr>
                <w:rFonts w:ascii="Arial" w:eastAsiaTheme="minorEastAsia" w:hAnsi="Arial" w:cs="Arial"/>
                <w:sz w:val="18"/>
              </w:rPr>
              <w:t>OTE 3:</w:t>
            </w:r>
            <w:r w:rsidRPr="00110881">
              <w:rPr>
                <w:rFonts w:ascii="Arial" w:eastAsiaTheme="minorEastAsia" w:hAnsi="Arial" w:cs="Arial"/>
                <w:sz w:val="18"/>
              </w:rPr>
              <w:tab/>
              <w:t>This spurious frequency range applies</w:t>
            </w:r>
            <w:r w:rsidRPr="00110881" w:rsidDel="00005173">
              <w:rPr>
                <w:rFonts w:ascii="Arial" w:eastAsiaTheme="minorEastAsia" w:hAnsi="Arial" w:cs="Arial"/>
                <w:sz w:val="18"/>
              </w:rPr>
              <w:t xml:space="preserve"> </w:t>
            </w:r>
            <w:r w:rsidRPr="00110881">
              <w:rPr>
                <w:rFonts w:ascii="Arial" w:eastAsiaTheme="minorEastAsia" w:hAnsi="Arial" w:cs="Arial"/>
                <w:sz w:val="18"/>
              </w:rPr>
              <w:t xml:space="preserve">only for </w:t>
            </w:r>
            <w:r w:rsidRPr="00110881">
              <w:rPr>
                <w:rFonts w:ascii="Arial" w:eastAsiaTheme="minorEastAsia" w:hAnsi="Arial" w:cs="Arial"/>
                <w:i/>
                <w:sz w:val="18"/>
              </w:rPr>
              <w:t>operating bands</w:t>
            </w:r>
            <w:r w:rsidRPr="00110881">
              <w:rPr>
                <w:rFonts w:ascii="Arial" w:eastAsiaTheme="minorEastAsia" w:hAnsi="Arial" w:cs="Arial"/>
                <w:sz w:val="18"/>
              </w:rPr>
              <w:t xml:space="preserve"> for which the 5</w:t>
            </w:r>
            <w:r w:rsidRPr="00110881">
              <w:rPr>
                <w:rFonts w:ascii="Arial" w:eastAsiaTheme="minorEastAsia" w:hAnsi="Arial" w:cs="Arial"/>
                <w:sz w:val="18"/>
                <w:vertAlign w:val="superscript"/>
              </w:rPr>
              <w:t>th</w:t>
            </w:r>
            <w:r w:rsidRPr="00110881">
              <w:rPr>
                <w:rFonts w:ascii="Arial" w:eastAsiaTheme="minorEastAsia" w:hAnsi="Arial" w:cs="Arial"/>
                <w:sz w:val="18"/>
              </w:rPr>
              <w:t xml:space="preserve"> harmonic of the upper frequency edge </w:t>
            </w:r>
            <w:r w:rsidRPr="00110881">
              <w:rPr>
                <w:rFonts w:ascii="Arial" w:eastAsiaTheme="minorEastAsia" w:hAnsi="Arial"/>
                <w:sz w:val="18"/>
              </w:rPr>
              <w:t xml:space="preserve">of the </w:t>
            </w:r>
            <w:r>
              <w:rPr>
                <w:rFonts w:ascii="Arial" w:eastAsiaTheme="minorEastAsia" w:hAnsi="Arial"/>
                <w:sz w:val="18"/>
              </w:rPr>
              <w:t>UL</w:t>
            </w:r>
            <w:r w:rsidRPr="00110881">
              <w:rPr>
                <w:rFonts w:ascii="Arial" w:eastAsiaTheme="minorEastAsia" w:hAnsi="Arial"/>
                <w:i/>
                <w:sz w:val="18"/>
              </w:rPr>
              <w:t>operating band</w:t>
            </w:r>
            <w:r w:rsidRPr="00110881">
              <w:rPr>
                <w:rFonts w:ascii="Arial" w:eastAsiaTheme="minorEastAsia" w:hAnsi="Arial" w:cs="Arial"/>
                <w:sz w:val="18"/>
              </w:rPr>
              <w:t xml:space="preserve"> is reaching beyond 12.75 GHz.</w:t>
            </w:r>
          </w:p>
          <w:p w14:paraId="745A234F" w14:textId="77777777" w:rsidR="002940FB" w:rsidRPr="00110881" w:rsidRDefault="002940FB" w:rsidP="00A4061E">
            <w:pPr>
              <w:keepNext/>
              <w:keepLines/>
              <w:spacing w:after="0"/>
              <w:ind w:left="851" w:hanging="851"/>
              <w:rPr>
                <w:rFonts w:ascii="Arial" w:eastAsia="??" w:hAnsi="Arial"/>
                <w:sz w:val="18"/>
              </w:rPr>
            </w:pPr>
            <w:r w:rsidRPr="00110881">
              <w:rPr>
                <w:rFonts w:ascii="Arial" w:eastAsia="??" w:hAnsi="Arial"/>
                <w:sz w:val="18"/>
              </w:rPr>
              <w:t>NOTE 4:</w:t>
            </w:r>
            <w:r w:rsidRPr="00110881">
              <w:rPr>
                <w:rFonts w:ascii="Arial" w:eastAsia="??" w:hAnsi="Arial"/>
                <w:sz w:val="18"/>
              </w:rPr>
              <w:tab/>
            </w:r>
            <w:r w:rsidRPr="00110881">
              <w:rPr>
                <w:rFonts w:ascii="Arial" w:eastAsiaTheme="minorEastAsia" w:hAnsi="Arial"/>
                <w:sz w:val="18"/>
              </w:rPr>
              <w:t>The frequency range from Δf</w:t>
            </w:r>
            <w:r w:rsidRPr="00110881">
              <w:rPr>
                <w:rFonts w:ascii="Arial" w:eastAsiaTheme="minorEastAsia" w:hAnsi="Arial" w:cs="v5.0.0"/>
                <w:sz w:val="18"/>
                <w:vertAlign w:val="subscript"/>
              </w:rPr>
              <w:t>OBUE</w:t>
            </w:r>
            <w:r w:rsidRPr="00110881">
              <w:rPr>
                <w:rFonts w:ascii="Arial" w:eastAsiaTheme="minorEastAsia" w:hAnsi="Arial"/>
                <w:sz w:val="18"/>
              </w:rPr>
              <w:t xml:space="preserve"> below the lowest frequency of the </w:t>
            </w:r>
            <w:r>
              <w:rPr>
                <w:rFonts w:ascii="Arial" w:eastAsiaTheme="minorEastAsia" w:hAnsi="Arial"/>
                <w:sz w:val="18"/>
              </w:rPr>
              <w:t xml:space="preserve">IAB </w:t>
            </w:r>
            <w:r w:rsidRPr="00110881">
              <w:rPr>
                <w:rFonts w:ascii="Arial" w:eastAsiaTheme="minorEastAsia" w:hAnsi="Arial"/>
                <w:sz w:val="18"/>
              </w:rPr>
              <w:t xml:space="preserve">transmitter </w:t>
            </w:r>
            <w:r w:rsidRPr="00110881">
              <w:rPr>
                <w:rFonts w:ascii="Arial" w:eastAsiaTheme="minorEastAsia" w:hAnsi="Arial"/>
                <w:i/>
                <w:sz w:val="18"/>
              </w:rPr>
              <w:t>operating band</w:t>
            </w:r>
            <w:r w:rsidRPr="00110881">
              <w:rPr>
                <w:rFonts w:ascii="Arial" w:eastAsiaTheme="minorEastAsia" w:hAnsi="Arial"/>
                <w:sz w:val="18"/>
              </w:rPr>
              <w:t xml:space="preserve"> to Δf</w:t>
            </w:r>
            <w:r w:rsidRPr="00110881">
              <w:rPr>
                <w:rFonts w:ascii="Arial" w:eastAsiaTheme="minorEastAsia" w:hAnsi="Arial" w:cs="v5.0.0"/>
                <w:sz w:val="18"/>
                <w:vertAlign w:val="subscript"/>
              </w:rPr>
              <w:t>OBUE</w:t>
            </w:r>
            <w:r w:rsidRPr="00110881">
              <w:rPr>
                <w:rFonts w:ascii="Arial" w:eastAsiaTheme="minorEastAsia" w:hAnsi="Arial"/>
                <w:sz w:val="18"/>
              </w:rPr>
              <w:t xml:space="preserve"> above the highest frequency of the </w:t>
            </w:r>
            <w:r>
              <w:rPr>
                <w:rFonts w:ascii="Arial" w:eastAsiaTheme="minorEastAsia" w:hAnsi="Arial"/>
                <w:sz w:val="18"/>
              </w:rPr>
              <w:t xml:space="preserve">IAB </w:t>
            </w:r>
            <w:r w:rsidRPr="00110881">
              <w:rPr>
                <w:rFonts w:ascii="Arial" w:eastAsiaTheme="minorEastAsia" w:hAnsi="Arial"/>
                <w:sz w:val="18"/>
              </w:rPr>
              <w:t xml:space="preserve">transmitter </w:t>
            </w:r>
            <w:r w:rsidRPr="00110881">
              <w:rPr>
                <w:rFonts w:ascii="Arial" w:eastAsiaTheme="minorEastAsia" w:hAnsi="Arial"/>
                <w:i/>
                <w:sz w:val="18"/>
              </w:rPr>
              <w:t>operating band</w:t>
            </w:r>
            <w:r w:rsidRPr="00110881">
              <w:rPr>
                <w:rFonts w:ascii="Arial" w:eastAsiaTheme="minorEastAsia" w:hAnsi="Arial"/>
                <w:sz w:val="18"/>
              </w:rPr>
              <w:t xml:space="preserve"> may be excluded from the requirement. Δf</w:t>
            </w:r>
            <w:r w:rsidRPr="00110881">
              <w:rPr>
                <w:rFonts w:ascii="Arial" w:eastAsiaTheme="minorEastAsia" w:hAnsi="Arial" w:cs="v5.0.0"/>
                <w:sz w:val="18"/>
                <w:vertAlign w:val="subscript"/>
              </w:rPr>
              <w:t>OBUE</w:t>
            </w:r>
            <w:r w:rsidRPr="00110881">
              <w:rPr>
                <w:rFonts w:ascii="Arial" w:eastAsiaTheme="minorEastAsia" w:hAnsi="Arial"/>
                <w:sz w:val="18"/>
              </w:rPr>
              <w:t xml:space="preserve"> is defined in clause </w:t>
            </w:r>
            <w:r>
              <w:rPr>
                <w:rFonts w:ascii="Arial" w:eastAsiaTheme="minorEastAsia" w:hAnsi="Arial"/>
                <w:sz w:val="18"/>
              </w:rPr>
              <w:t>[</w:t>
            </w:r>
            <w:r w:rsidRPr="00110881">
              <w:rPr>
                <w:rFonts w:ascii="Arial" w:eastAsiaTheme="minorEastAsia" w:hAnsi="Arial"/>
                <w:sz w:val="18"/>
              </w:rPr>
              <w:t>6.6.1</w:t>
            </w:r>
            <w:r>
              <w:rPr>
                <w:rFonts w:ascii="Arial" w:eastAsiaTheme="minorEastAsia" w:hAnsi="Arial"/>
                <w:sz w:val="18"/>
              </w:rPr>
              <w:t>]</w:t>
            </w:r>
            <w:r w:rsidRPr="00110881">
              <w:rPr>
                <w:rFonts w:ascii="Arial" w:eastAsiaTheme="minorEastAsia" w:hAnsi="Arial"/>
                <w:sz w:val="18"/>
              </w:rPr>
              <w:t xml:space="preserve">. For </w:t>
            </w:r>
            <w:r w:rsidRPr="00110881">
              <w:rPr>
                <w:rFonts w:ascii="Arial" w:eastAsiaTheme="minorEastAsia" w:hAnsi="Arial"/>
                <w:i/>
                <w:sz w:val="18"/>
              </w:rPr>
              <w:t>multi-band</w:t>
            </w:r>
            <w:r w:rsidRPr="00110881">
              <w:rPr>
                <w:rFonts w:ascii="Arial" w:eastAsiaTheme="minorEastAsia" w:hAnsi="Arial"/>
                <w:sz w:val="18"/>
              </w:rPr>
              <w:t xml:space="preserve"> </w:t>
            </w:r>
            <w:r w:rsidRPr="00110881">
              <w:rPr>
                <w:rFonts w:ascii="Arial" w:eastAsiaTheme="minorEastAsia" w:hAnsi="Arial"/>
                <w:i/>
                <w:sz w:val="18"/>
              </w:rPr>
              <w:t>connectors</w:t>
            </w:r>
            <w:r w:rsidRPr="00110881">
              <w:rPr>
                <w:rFonts w:ascii="Arial" w:eastAsiaTheme="minorEastAsia" w:hAnsi="Arial"/>
                <w:sz w:val="18"/>
              </w:rPr>
              <w:t xml:space="preserve">, the exclusion applies for all supported </w:t>
            </w:r>
            <w:r w:rsidRPr="00110881">
              <w:rPr>
                <w:rFonts w:ascii="Arial" w:eastAsiaTheme="minorEastAsia" w:hAnsi="Arial"/>
                <w:i/>
                <w:sz w:val="18"/>
              </w:rPr>
              <w:t>operating bands</w:t>
            </w:r>
            <w:r w:rsidRPr="00110881">
              <w:rPr>
                <w:rFonts w:ascii="Arial" w:eastAsiaTheme="minorEastAsia" w:hAnsi="Arial"/>
                <w:sz w:val="18"/>
              </w:rPr>
              <w:t>.</w:t>
            </w:r>
          </w:p>
        </w:tc>
      </w:tr>
    </w:tbl>
    <w:p w14:paraId="24C3FD9E" w14:textId="77777777" w:rsidR="002940FB" w:rsidRDefault="002940FB" w:rsidP="00386732"/>
    <w:p w14:paraId="0DE55FD5" w14:textId="0D961F9C" w:rsidR="002940FB" w:rsidRDefault="002940FB" w:rsidP="002940FB">
      <w:pPr>
        <w:pStyle w:val="Heading4"/>
      </w:pPr>
      <w:bookmarkStart w:id="3176" w:name="_Toc53185410"/>
      <w:bookmarkStart w:id="3177" w:name="_Toc53185786"/>
      <w:bookmarkStart w:id="3178" w:name="_Toc57820271"/>
      <w:bookmarkStart w:id="3179" w:name="_Toc57821198"/>
      <w:bookmarkStart w:id="3180" w:name="_Toc61183474"/>
      <w:bookmarkStart w:id="3181" w:name="_Toc61183868"/>
      <w:bookmarkStart w:id="3182" w:name="_Toc61184260"/>
      <w:bookmarkStart w:id="3183" w:name="_Toc61184652"/>
      <w:bookmarkStart w:id="3184" w:name="_Toc61185042"/>
      <w:bookmarkStart w:id="3185" w:name="_Toc66386386"/>
      <w:bookmarkStart w:id="3186" w:name="_Toc74583227"/>
      <w:bookmarkStart w:id="3187" w:name="_Toc76542040"/>
      <w:bookmarkStart w:id="3188" w:name="_Toc82450022"/>
      <w:bookmarkStart w:id="3189" w:name="_Toc82450670"/>
      <w:bookmarkStart w:id="3190" w:name="_Toc89949059"/>
      <w:bookmarkStart w:id="3191" w:name="_Toc98755448"/>
      <w:bookmarkStart w:id="3192" w:name="_Toc98763039"/>
      <w:bookmarkStart w:id="3193" w:name="_Toc106183968"/>
      <w:r>
        <w:t>7.6.2.</w:t>
      </w:r>
      <w:bookmarkStart w:id="3194" w:name="_Hlk36892030"/>
      <w:r>
        <w:t>2</w:t>
      </w:r>
      <w:r w:rsidR="00815C5B">
        <w:tab/>
      </w:r>
      <w:r w:rsidRPr="00594DE1">
        <w:t xml:space="preserve">Minimum requirement for </w:t>
      </w:r>
      <w:r>
        <w:t>IAB-DU</w:t>
      </w:r>
      <w:r w:rsidRPr="00594DE1">
        <w:t xml:space="preserve"> type 1-</w:t>
      </w:r>
      <w:r>
        <w:t>H</w:t>
      </w:r>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p>
    <w:p w14:paraId="339A2228" w14:textId="77777777" w:rsidR="002940FB" w:rsidRPr="00362CAB" w:rsidRDefault="002940FB" w:rsidP="002940FB">
      <w:pPr>
        <w:rPr>
          <w:rFonts w:eastAsiaTheme="minorEastAsia"/>
        </w:rPr>
      </w:pPr>
      <w:r w:rsidRPr="00362CAB">
        <w:rPr>
          <w:rFonts w:eastAsiaTheme="minorEastAsia"/>
        </w:rPr>
        <w:t xml:space="preserve">The RX spurious emissions requirements for </w:t>
      </w:r>
      <w:r>
        <w:rPr>
          <w:rFonts w:eastAsiaTheme="minorEastAsia"/>
          <w:i/>
        </w:rPr>
        <w:t>IAB-DU</w:t>
      </w:r>
      <w:r w:rsidRPr="00362CAB">
        <w:rPr>
          <w:rFonts w:eastAsiaTheme="minorEastAsia"/>
          <w:i/>
        </w:rPr>
        <w:t xml:space="preserve"> type 1-H</w:t>
      </w:r>
      <w:r w:rsidRPr="00362CAB">
        <w:rPr>
          <w:rFonts w:eastAsiaTheme="minorEastAsia"/>
        </w:rPr>
        <w:t xml:space="preserve"> are that for each applicable </w:t>
      </w:r>
      <w:r w:rsidRPr="00362CAB">
        <w:rPr>
          <w:rFonts w:eastAsiaTheme="minorEastAsia"/>
          <w:i/>
        </w:rPr>
        <w:t>basic limit</w:t>
      </w:r>
      <w:r w:rsidRPr="00362CAB">
        <w:rPr>
          <w:rFonts w:eastAsiaTheme="minorEastAsia"/>
        </w:rPr>
        <w:t xml:space="preserve"> specified in table 7.6.2</w:t>
      </w:r>
      <w:r>
        <w:rPr>
          <w:rFonts w:eastAsiaTheme="minorEastAsia"/>
        </w:rPr>
        <w:t>.1</w:t>
      </w:r>
      <w:r w:rsidRPr="00362CAB">
        <w:rPr>
          <w:rFonts w:eastAsiaTheme="minorEastAsia"/>
        </w:rPr>
        <w:t xml:space="preserve">-1 for each </w:t>
      </w:r>
      <w:r w:rsidRPr="00362CAB">
        <w:rPr>
          <w:rFonts w:eastAsiaTheme="minorEastAsia"/>
          <w:i/>
          <w:iCs/>
          <w:lang w:eastAsia="ja-JP"/>
        </w:rPr>
        <w:t>TAB connector RX min cell group</w:t>
      </w:r>
      <w:r w:rsidRPr="00362CAB">
        <w:rPr>
          <w:rFonts w:eastAsiaTheme="minorEastAsia"/>
          <w:i/>
        </w:rPr>
        <w:t>,</w:t>
      </w:r>
      <w:r w:rsidRPr="00362CAB">
        <w:rPr>
          <w:rFonts w:eastAsiaTheme="minorEastAsia"/>
        </w:rPr>
        <w:t xml:space="preserve"> the power sum of emissions at respective </w:t>
      </w:r>
      <w:r w:rsidRPr="00362CAB">
        <w:rPr>
          <w:rFonts w:eastAsia="??"/>
          <w:i/>
        </w:rPr>
        <w:t>TAB connectors</w:t>
      </w:r>
      <w:r w:rsidRPr="00362CAB">
        <w:rPr>
          <w:rFonts w:eastAsia="??"/>
        </w:rPr>
        <w:t xml:space="preserve"> </w:t>
      </w:r>
      <w:r w:rsidRPr="00362CAB">
        <w:rPr>
          <w:rFonts w:eastAsiaTheme="minorEastAsia"/>
        </w:rPr>
        <w:t xml:space="preserve">shall not exceed the BS limits specified as the </w:t>
      </w:r>
      <w:r w:rsidRPr="00362CAB">
        <w:rPr>
          <w:rFonts w:eastAsiaTheme="minorEastAsia"/>
          <w:i/>
        </w:rPr>
        <w:t>basic limit</w:t>
      </w:r>
      <w:r w:rsidRPr="00362CAB">
        <w:rPr>
          <w:rFonts w:eastAsiaTheme="minorEastAsia"/>
        </w:rPr>
        <w:t>s + X, where X = 10log</w:t>
      </w:r>
      <w:r w:rsidRPr="00362CAB">
        <w:rPr>
          <w:rFonts w:eastAsiaTheme="minorEastAsia"/>
          <w:vertAlign w:val="subscript"/>
        </w:rPr>
        <w:t>10</w:t>
      </w:r>
      <w:r w:rsidRPr="00362CAB">
        <w:rPr>
          <w:rFonts w:eastAsiaTheme="minorEastAsia"/>
        </w:rPr>
        <w:t>(N</w:t>
      </w:r>
      <w:r w:rsidRPr="00362CAB">
        <w:rPr>
          <w:rFonts w:eastAsiaTheme="minorEastAsia"/>
          <w:vertAlign w:val="subscript"/>
        </w:rPr>
        <w:t>RXU,countedpercell</w:t>
      </w:r>
      <w:r w:rsidRPr="00362CAB">
        <w:rPr>
          <w:rFonts w:eastAsiaTheme="minorEastAsia"/>
        </w:rPr>
        <w:t>), unless stated differently in regional regulation.</w:t>
      </w:r>
    </w:p>
    <w:p w14:paraId="3B1D1FB7" w14:textId="77777777" w:rsidR="002940FB" w:rsidRPr="00362CAB" w:rsidRDefault="002940FB" w:rsidP="002940FB">
      <w:pPr>
        <w:rPr>
          <w:rFonts w:eastAsiaTheme="minorEastAsia"/>
        </w:rPr>
      </w:pPr>
      <w:r w:rsidRPr="00362CAB">
        <w:rPr>
          <w:rFonts w:eastAsiaTheme="minorEastAsia"/>
        </w:rPr>
        <w:t xml:space="preserve">The RX spurious emission requirements are applied per the </w:t>
      </w:r>
      <w:r w:rsidRPr="00362CAB">
        <w:rPr>
          <w:rFonts w:eastAsiaTheme="minorEastAsia"/>
          <w:i/>
          <w:iCs/>
          <w:lang w:eastAsia="ja-JP"/>
        </w:rPr>
        <w:t>TAB connector RX min cell group</w:t>
      </w:r>
      <w:r w:rsidRPr="00362CAB">
        <w:rPr>
          <w:rFonts w:eastAsiaTheme="minorEastAsia"/>
          <w:iCs/>
          <w:lang w:eastAsia="ja-JP"/>
        </w:rPr>
        <w:t xml:space="preserve"> for all the configurations supported by the BS.</w:t>
      </w:r>
    </w:p>
    <w:p w14:paraId="67567862" w14:textId="77777777" w:rsidR="002940FB" w:rsidRPr="00362CAB" w:rsidRDefault="002940FB" w:rsidP="002940FB">
      <w:pPr>
        <w:keepLines/>
        <w:ind w:left="1135" w:hanging="851"/>
        <w:rPr>
          <w:rFonts w:eastAsiaTheme="minorEastAsia"/>
        </w:rPr>
      </w:pPr>
      <w:r w:rsidRPr="00362CAB">
        <w:rPr>
          <w:rFonts w:eastAsiaTheme="minorEastAsia"/>
        </w:rPr>
        <w:t>NOTE:</w:t>
      </w:r>
      <w:r w:rsidRPr="00362CAB">
        <w:rPr>
          <w:rFonts w:eastAsiaTheme="minorEastAsia"/>
        </w:rPr>
        <w:tab/>
        <w:t xml:space="preserve">Conformance to the </w:t>
      </w:r>
      <w:r>
        <w:rPr>
          <w:rFonts w:eastAsiaTheme="minorEastAsia"/>
        </w:rPr>
        <w:t>IAB-DU</w:t>
      </w:r>
      <w:r w:rsidRPr="00362CAB">
        <w:rPr>
          <w:rFonts w:eastAsiaTheme="minorEastAsia"/>
        </w:rPr>
        <w:t xml:space="preserve"> receiver spurious emissions requirement can be demonstrated by meeting at least one of the following criteria as determined by the manufacturer:</w:t>
      </w:r>
    </w:p>
    <w:p w14:paraId="7B553DAF" w14:textId="4BA8E8BD" w:rsidR="002940FB" w:rsidRPr="00362CAB" w:rsidRDefault="002940FB" w:rsidP="00C91B26">
      <w:pPr>
        <w:pStyle w:val="B30"/>
        <w:rPr>
          <w:rFonts w:eastAsiaTheme="minorEastAsia"/>
        </w:rPr>
      </w:pPr>
      <w:r w:rsidRPr="00362CAB">
        <w:rPr>
          <w:rFonts w:eastAsiaTheme="minorEastAsia"/>
        </w:rPr>
        <w:t>1)</w:t>
      </w:r>
      <w:r w:rsidRPr="00362CAB">
        <w:rPr>
          <w:rFonts w:eastAsiaTheme="minorEastAsia"/>
        </w:rPr>
        <w:tab/>
        <w:t xml:space="preserve">The sum of the spurious emissions power measured on each </w:t>
      </w:r>
      <w:r w:rsidRPr="00362CAB">
        <w:rPr>
          <w:rFonts w:eastAsiaTheme="minorEastAsia"/>
          <w:i/>
        </w:rPr>
        <w:t>TAB connector</w:t>
      </w:r>
      <w:r w:rsidRPr="00362CAB">
        <w:rPr>
          <w:rFonts w:eastAsiaTheme="minorEastAsia"/>
        </w:rPr>
        <w:t xml:space="preserve"> in the </w:t>
      </w:r>
      <w:r w:rsidRPr="00362CAB">
        <w:rPr>
          <w:rFonts w:eastAsiaTheme="minorEastAsia"/>
          <w:i/>
        </w:rPr>
        <w:t xml:space="preserve">TAB connector RX min cell group </w:t>
      </w:r>
      <w:r w:rsidRPr="00362CAB">
        <w:rPr>
          <w:rFonts w:eastAsiaTheme="minorEastAsia"/>
        </w:rPr>
        <w:t xml:space="preserve">shall be less than or equal to the </w:t>
      </w:r>
      <w:r>
        <w:rPr>
          <w:rFonts w:eastAsiaTheme="minorEastAsia"/>
        </w:rPr>
        <w:t>IAB-DU</w:t>
      </w:r>
      <w:r w:rsidRPr="00362CAB">
        <w:rPr>
          <w:rFonts w:eastAsiaTheme="minorEastAsia"/>
        </w:rPr>
        <w:t xml:space="preserve"> limit above for the respective frequency span.</w:t>
      </w:r>
    </w:p>
    <w:p w14:paraId="102C6CF8" w14:textId="77777777" w:rsidR="002940FB" w:rsidRPr="00362CAB" w:rsidRDefault="002940FB" w:rsidP="00C91B26">
      <w:pPr>
        <w:pStyle w:val="B4"/>
        <w:rPr>
          <w:rFonts w:eastAsiaTheme="minorEastAsia"/>
        </w:rPr>
      </w:pPr>
      <w:r w:rsidRPr="00362CAB">
        <w:rPr>
          <w:rFonts w:eastAsiaTheme="minorEastAsia"/>
        </w:rPr>
        <w:t>Or</w:t>
      </w:r>
    </w:p>
    <w:p w14:paraId="135D2C74" w14:textId="4655C15F" w:rsidR="002940FB" w:rsidRPr="00362CAB" w:rsidRDefault="002940FB" w:rsidP="00C91B26">
      <w:pPr>
        <w:pStyle w:val="B30"/>
        <w:rPr>
          <w:rFonts w:eastAsiaTheme="minorEastAsia"/>
        </w:rPr>
      </w:pPr>
      <w:r w:rsidRPr="00362CAB">
        <w:rPr>
          <w:rFonts w:eastAsiaTheme="minorEastAsia"/>
        </w:rPr>
        <w:t>2)</w:t>
      </w:r>
      <w:r w:rsidRPr="00362CAB">
        <w:rPr>
          <w:rFonts w:eastAsiaTheme="minorEastAsia"/>
        </w:rPr>
        <w:tab/>
        <w:t xml:space="preserve">The spurious emissions power at each </w:t>
      </w:r>
      <w:r w:rsidRPr="00362CAB">
        <w:rPr>
          <w:rFonts w:eastAsiaTheme="minorEastAsia"/>
          <w:i/>
        </w:rPr>
        <w:t>TAB connector</w:t>
      </w:r>
      <w:r w:rsidRPr="00362CAB">
        <w:rPr>
          <w:rFonts w:eastAsiaTheme="minorEastAsia"/>
        </w:rPr>
        <w:t xml:space="preserve"> shall be less than or equal to the </w:t>
      </w:r>
      <w:r>
        <w:rPr>
          <w:rFonts w:eastAsiaTheme="minorEastAsia"/>
        </w:rPr>
        <w:t>IAB-DU</w:t>
      </w:r>
      <w:r w:rsidRPr="00362CAB">
        <w:rPr>
          <w:rFonts w:eastAsiaTheme="minorEastAsia"/>
        </w:rPr>
        <w:t xml:space="preserve"> limit as defined above for the respective frequency span, scaled by -10log</w:t>
      </w:r>
      <w:r w:rsidRPr="00362CAB">
        <w:rPr>
          <w:rFonts w:eastAsiaTheme="minorEastAsia"/>
          <w:vertAlign w:val="subscript"/>
        </w:rPr>
        <w:t>10</w:t>
      </w:r>
      <w:r w:rsidRPr="00362CAB">
        <w:rPr>
          <w:rFonts w:eastAsiaTheme="minorEastAsia"/>
        </w:rPr>
        <w:t>(</w:t>
      </w:r>
      <w:r w:rsidRPr="00362CAB">
        <w:rPr>
          <w:rFonts w:eastAsiaTheme="minorEastAsia"/>
          <w:i/>
        </w:rPr>
        <w:t>n</w:t>
      </w:r>
      <w:r w:rsidRPr="00362CAB">
        <w:rPr>
          <w:rFonts w:eastAsiaTheme="minorEastAsia"/>
        </w:rPr>
        <w:t xml:space="preserve">), where </w:t>
      </w:r>
      <w:r w:rsidRPr="00362CAB">
        <w:rPr>
          <w:rFonts w:eastAsiaTheme="minorEastAsia"/>
          <w:i/>
        </w:rPr>
        <w:t>n</w:t>
      </w:r>
      <w:r w:rsidRPr="00362CAB">
        <w:rPr>
          <w:rFonts w:eastAsiaTheme="minorEastAsia"/>
        </w:rPr>
        <w:t xml:space="preserve"> is the number of </w:t>
      </w:r>
      <w:r w:rsidRPr="00362CAB">
        <w:rPr>
          <w:rFonts w:eastAsiaTheme="minorEastAsia"/>
          <w:i/>
        </w:rPr>
        <w:t>TAB connectors</w:t>
      </w:r>
      <w:r w:rsidRPr="00362CAB">
        <w:rPr>
          <w:rFonts w:eastAsiaTheme="minorEastAsia"/>
        </w:rPr>
        <w:t xml:space="preserve"> in the </w:t>
      </w:r>
      <w:r w:rsidRPr="00362CAB">
        <w:rPr>
          <w:rFonts w:eastAsiaTheme="minorEastAsia"/>
          <w:i/>
        </w:rPr>
        <w:t>TAB connector RX min cell group</w:t>
      </w:r>
      <w:r w:rsidRPr="00362CAB">
        <w:rPr>
          <w:rFonts w:eastAsiaTheme="minorEastAsia"/>
        </w:rPr>
        <w:t>.</w:t>
      </w:r>
    </w:p>
    <w:p w14:paraId="1D3E9A3F" w14:textId="77777777" w:rsidR="00B1568F" w:rsidRPr="00B1568F" w:rsidRDefault="00B1568F" w:rsidP="00386732"/>
    <w:p w14:paraId="3BAE1A0A" w14:textId="1ABB61D8" w:rsidR="00B1568F" w:rsidRDefault="00B1568F">
      <w:pPr>
        <w:pStyle w:val="Heading3"/>
      </w:pPr>
      <w:bookmarkStart w:id="3195" w:name="_Toc53185411"/>
      <w:bookmarkStart w:id="3196" w:name="_Toc53185787"/>
      <w:bookmarkStart w:id="3197" w:name="_Toc57820272"/>
      <w:bookmarkStart w:id="3198" w:name="_Toc57821199"/>
      <w:bookmarkStart w:id="3199" w:name="_Toc61183475"/>
      <w:bookmarkStart w:id="3200" w:name="_Toc61183869"/>
      <w:bookmarkStart w:id="3201" w:name="_Toc61184261"/>
      <w:bookmarkStart w:id="3202" w:name="_Toc61184653"/>
      <w:bookmarkStart w:id="3203" w:name="_Toc61185043"/>
      <w:bookmarkStart w:id="3204" w:name="_Toc66386387"/>
      <w:bookmarkStart w:id="3205" w:name="_Toc74583228"/>
      <w:bookmarkStart w:id="3206" w:name="_Toc76542041"/>
      <w:bookmarkStart w:id="3207" w:name="_Toc82450023"/>
      <w:bookmarkStart w:id="3208" w:name="_Toc82450671"/>
      <w:bookmarkStart w:id="3209" w:name="_Toc89949060"/>
      <w:bookmarkStart w:id="3210" w:name="_Toc98755449"/>
      <w:bookmarkStart w:id="3211" w:name="_Toc98763040"/>
      <w:bookmarkStart w:id="3212" w:name="_Toc106183969"/>
      <w:r>
        <w:t>7.6.</w:t>
      </w:r>
      <w:r w:rsidR="003C6B74">
        <w:t>3</w:t>
      </w:r>
      <w:r w:rsidR="00815C5B">
        <w:tab/>
      </w:r>
      <w:r w:rsidR="0049189F">
        <w:t>IAB-MT r</w:t>
      </w:r>
      <w:r>
        <w:t>eceiver spurious emissions</w:t>
      </w:r>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r>
        <w:t xml:space="preserve"> </w:t>
      </w:r>
    </w:p>
    <w:p w14:paraId="6ED55E90" w14:textId="00F9A7D8" w:rsidR="00472BA8" w:rsidRPr="007E346D" w:rsidRDefault="00472BA8" w:rsidP="00472BA8">
      <w:pPr>
        <w:pStyle w:val="Heading4"/>
      </w:pPr>
      <w:bookmarkStart w:id="3213" w:name="_Toc53185412"/>
      <w:bookmarkStart w:id="3214" w:name="_Toc53185788"/>
      <w:bookmarkStart w:id="3215" w:name="_Toc57820273"/>
      <w:bookmarkStart w:id="3216" w:name="_Toc57821200"/>
      <w:bookmarkStart w:id="3217" w:name="_Toc61183476"/>
      <w:bookmarkStart w:id="3218" w:name="_Toc61183870"/>
      <w:bookmarkStart w:id="3219" w:name="_Toc61184262"/>
      <w:bookmarkStart w:id="3220" w:name="_Toc61184654"/>
      <w:bookmarkStart w:id="3221" w:name="_Toc61185044"/>
      <w:bookmarkStart w:id="3222" w:name="_Toc66386388"/>
      <w:bookmarkStart w:id="3223" w:name="_Toc74583229"/>
      <w:bookmarkStart w:id="3224" w:name="_Toc76542042"/>
      <w:bookmarkStart w:id="3225" w:name="_Toc82450024"/>
      <w:bookmarkStart w:id="3226" w:name="_Toc82450672"/>
      <w:bookmarkStart w:id="3227" w:name="_Toc89949061"/>
      <w:bookmarkStart w:id="3228" w:name="_Toc98755450"/>
      <w:bookmarkStart w:id="3229" w:name="_Toc98763041"/>
      <w:bookmarkStart w:id="3230" w:name="_Toc106183970"/>
      <w:r w:rsidRPr="007E346D">
        <w:t>7.6.</w:t>
      </w:r>
      <w:r w:rsidR="00581E8B">
        <w:t>3</w:t>
      </w:r>
      <w:r>
        <w:t>.1</w:t>
      </w:r>
      <w:r w:rsidRPr="007E346D">
        <w:tab/>
      </w:r>
      <w:r w:rsidRPr="007A7019">
        <w:t>Basic limits</w:t>
      </w:r>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p>
    <w:p w14:paraId="0A99A52A" w14:textId="15CB5811" w:rsidR="00472BA8" w:rsidRPr="00712D51" w:rsidRDefault="00472BA8" w:rsidP="00472BA8">
      <w:pPr>
        <w:rPr>
          <w:rFonts w:eastAsia="??"/>
        </w:rPr>
      </w:pPr>
      <w:r w:rsidRPr="00712D51">
        <w:rPr>
          <w:rFonts w:eastAsiaTheme="minorEastAsia"/>
        </w:rPr>
        <w:t xml:space="preserve">The </w:t>
      </w:r>
      <w:r>
        <w:rPr>
          <w:rFonts w:eastAsiaTheme="minorEastAsia"/>
        </w:rPr>
        <w:t xml:space="preserve">IAB-MT </w:t>
      </w:r>
      <w:r w:rsidRPr="00712D51">
        <w:rPr>
          <w:rFonts w:eastAsiaTheme="minorEastAsia"/>
        </w:rPr>
        <w:t xml:space="preserve">receiver spurious emissions </w:t>
      </w:r>
      <w:r w:rsidRPr="00712D51">
        <w:rPr>
          <w:rFonts w:eastAsiaTheme="minorEastAsia"/>
          <w:i/>
        </w:rPr>
        <w:t>basic limits</w:t>
      </w:r>
      <w:r w:rsidRPr="00712D51">
        <w:rPr>
          <w:rFonts w:eastAsiaTheme="minorEastAsia"/>
        </w:rPr>
        <w:t xml:space="preserve"> are provided in table 7.6.</w:t>
      </w:r>
      <w:r w:rsidR="00D00866">
        <w:rPr>
          <w:rFonts w:eastAsiaTheme="minorEastAsia"/>
        </w:rPr>
        <w:t>3</w:t>
      </w:r>
      <w:r>
        <w:rPr>
          <w:rFonts w:eastAsiaTheme="minorEastAsia"/>
        </w:rPr>
        <w:t>.1</w:t>
      </w:r>
      <w:r w:rsidRPr="00712D51">
        <w:rPr>
          <w:rFonts w:eastAsiaTheme="minorEastAsia"/>
        </w:rPr>
        <w:t>-1.</w:t>
      </w:r>
    </w:p>
    <w:p w14:paraId="4361F0A2" w14:textId="589DFB15" w:rsidR="00472BA8" w:rsidRPr="00712D51" w:rsidRDefault="00472BA8" w:rsidP="00472BA8">
      <w:pPr>
        <w:keepNext/>
        <w:keepLines/>
        <w:spacing w:before="60"/>
        <w:jc w:val="center"/>
        <w:rPr>
          <w:rFonts w:ascii="Arial" w:eastAsiaTheme="minorEastAsia" w:hAnsi="Arial"/>
          <w:b/>
        </w:rPr>
      </w:pPr>
      <w:r w:rsidRPr="00712D51">
        <w:rPr>
          <w:rFonts w:ascii="Arial" w:eastAsiaTheme="minorEastAsia" w:hAnsi="Arial"/>
          <w:b/>
        </w:rPr>
        <w:lastRenderedPageBreak/>
        <w:t>Table 7.6.</w:t>
      </w:r>
      <w:r w:rsidR="00D00866">
        <w:rPr>
          <w:rFonts w:ascii="Arial" w:eastAsiaTheme="minorEastAsia" w:hAnsi="Arial"/>
          <w:b/>
        </w:rPr>
        <w:t>3</w:t>
      </w:r>
      <w:r>
        <w:rPr>
          <w:rFonts w:ascii="Arial" w:eastAsiaTheme="minorEastAsia" w:hAnsi="Arial"/>
          <w:b/>
        </w:rPr>
        <w:t>.1</w:t>
      </w:r>
      <w:r w:rsidRPr="00712D51">
        <w:rPr>
          <w:rFonts w:ascii="Arial" w:eastAsiaTheme="minorEastAsia" w:hAnsi="Arial"/>
          <w:b/>
        </w:rPr>
        <w:t xml:space="preserve">-1: General </w:t>
      </w:r>
      <w:r>
        <w:rPr>
          <w:rFonts w:ascii="Arial" w:eastAsiaTheme="minorEastAsia" w:hAnsi="Arial"/>
          <w:b/>
        </w:rPr>
        <w:t>IAB-MT</w:t>
      </w:r>
      <w:r w:rsidRPr="00712D51">
        <w:rPr>
          <w:rFonts w:ascii="Arial" w:eastAsiaTheme="minorEastAsia" w:hAnsi="Arial"/>
          <w:b/>
        </w:rPr>
        <w:t xml:space="preserve"> receiver spurious emissions limits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tblCellMar>
        <w:tblLook w:val="00A0" w:firstRow="1" w:lastRow="0" w:firstColumn="1" w:lastColumn="0" w:noHBand="0" w:noVBand="0"/>
      </w:tblPr>
      <w:tblGrid>
        <w:gridCol w:w="1897"/>
        <w:gridCol w:w="1276"/>
        <w:gridCol w:w="1701"/>
        <w:gridCol w:w="3969"/>
      </w:tblGrid>
      <w:tr w:rsidR="00472BA8" w:rsidRPr="00712D51" w14:paraId="3DA818EE" w14:textId="77777777" w:rsidTr="00BD1F8C">
        <w:trPr>
          <w:tblHeader/>
          <w:jc w:val="center"/>
        </w:trPr>
        <w:tc>
          <w:tcPr>
            <w:tcW w:w="1897" w:type="dxa"/>
          </w:tcPr>
          <w:p w14:paraId="1F594F6B" w14:textId="77777777" w:rsidR="00472BA8" w:rsidRPr="00712D51" w:rsidRDefault="00472BA8" w:rsidP="00BD1F8C">
            <w:pPr>
              <w:keepNext/>
              <w:keepLines/>
              <w:spacing w:after="0"/>
              <w:jc w:val="center"/>
              <w:rPr>
                <w:rFonts w:ascii="Arial" w:eastAsiaTheme="minorEastAsia" w:hAnsi="Arial"/>
                <w:b/>
                <w:sz w:val="18"/>
              </w:rPr>
            </w:pPr>
            <w:r w:rsidRPr="00712D51">
              <w:rPr>
                <w:rFonts w:ascii="Arial" w:eastAsiaTheme="minorEastAsia" w:hAnsi="Arial"/>
                <w:b/>
                <w:sz w:val="18"/>
              </w:rPr>
              <w:t>Spurious frequency range</w:t>
            </w:r>
          </w:p>
        </w:tc>
        <w:tc>
          <w:tcPr>
            <w:tcW w:w="1276" w:type="dxa"/>
          </w:tcPr>
          <w:p w14:paraId="40488A2C" w14:textId="77777777" w:rsidR="00472BA8" w:rsidRPr="00712D51" w:rsidRDefault="00472BA8" w:rsidP="00BD1F8C">
            <w:pPr>
              <w:keepNext/>
              <w:keepLines/>
              <w:spacing w:after="0"/>
              <w:jc w:val="center"/>
              <w:rPr>
                <w:rFonts w:ascii="Arial" w:eastAsiaTheme="minorEastAsia" w:hAnsi="Arial"/>
                <w:b/>
                <w:sz w:val="18"/>
              </w:rPr>
            </w:pPr>
            <w:r w:rsidRPr="00712D51">
              <w:rPr>
                <w:rFonts w:ascii="Arial" w:eastAsiaTheme="minorEastAsia" w:hAnsi="Arial"/>
                <w:b/>
                <w:i/>
                <w:sz w:val="18"/>
              </w:rPr>
              <w:t>Basic limits</w:t>
            </w:r>
          </w:p>
        </w:tc>
        <w:tc>
          <w:tcPr>
            <w:tcW w:w="1701" w:type="dxa"/>
          </w:tcPr>
          <w:p w14:paraId="39E98CB5" w14:textId="77777777" w:rsidR="00472BA8" w:rsidRPr="00712D51" w:rsidRDefault="00472BA8" w:rsidP="00BD1F8C">
            <w:pPr>
              <w:keepNext/>
              <w:keepLines/>
              <w:spacing w:after="0"/>
              <w:jc w:val="center"/>
              <w:rPr>
                <w:rFonts w:ascii="Arial" w:eastAsiaTheme="minorEastAsia" w:hAnsi="Arial"/>
                <w:b/>
                <w:sz w:val="18"/>
              </w:rPr>
            </w:pPr>
            <w:r w:rsidRPr="00712D51">
              <w:rPr>
                <w:rFonts w:ascii="Arial" w:eastAsiaTheme="minorEastAsia" w:hAnsi="Arial"/>
                <w:b/>
                <w:i/>
                <w:sz w:val="18"/>
              </w:rPr>
              <w:t>Measurement bandwidth</w:t>
            </w:r>
          </w:p>
        </w:tc>
        <w:tc>
          <w:tcPr>
            <w:tcW w:w="3969" w:type="dxa"/>
          </w:tcPr>
          <w:p w14:paraId="4FC7C39C" w14:textId="77777777" w:rsidR="00472BA8" w:rsidRPr="00712D51" w:rsidRDefault="00472BA8" w:rsidP="00BD1F8C">
            <w:pPr>
              <w:keepNext/>
              <w:keepLines/>
              <w:spacing w:after="0"/>
              <w:jc w:val="center"/>
              <w:rPr>
                <w:rFonts w:ascii="Arial" w:eastAsiaTheme="minorEastAsia" w:hAnsi="Arial"/>
                <w:b/>
                <w:sz w:val="18"/>
              </w:rPr>
            </w:pPr>
            <w:r w:rsidRPr="00712D51">
              <w:rPr>
                <w:rFonts w:ascii="Arial" w:eastAsiaTheme="minorEastAsia" w:hAnsi="Arial"/>
                <w:b/>
                <w:sz w:val="18"/>
              </w:rPr>
              <w:t>Note</w:t>
            </w:r>
          </w:p>
        </w:tc>
      </w:tr>
      <w:tr w:rsidR="00472BA8" w:rsidRPr="00712D51" w14:paraId="08663F06" w14:textId="77777777" w:rsidTr="00BD1F8C">
        <w:trPr>
          <w:jc w:val="center"/>
        </w:trPr>
        <w:tc>
          <w:tcPr>
            <w:tcW w:w="1897" w:type="dxa"/>
          </w:tcPr>
          <w:p w14:paraId="74D13375"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30 MHz – 1 GHz</w:t>
            </w:r>
          </w:p>
        </w:tc>
        <w:tc>
          <w:tcPr>
            <w:tcW w:w="1276" w:type="dxa"/>
          </w:tcPr>
          <w:p w14:paraId="18AFF6E8"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-57 dBm</w:t>
            </w:r>
          </w:p>
        </w:tc>
        <w:tc>
          <w:tcPr>
            <w:tcW w:w="1701" w:type="dxa"/>
          </w:tcPr>
          <w:p w14:paraId="319FEF3C"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100 kHz</w:t>
            </w:r>
          </w:p>
        </w:tc>
        <w:tc>
          <w:tcPr>
            <w:tcW w:w="3969" w:type="dxa"/>
          </w:tcPr>
          <w:p w14:paraId="5FA9992D" w14:textId="77777777" w:rsidR="00472BA8" w:rsidRPr="00712D51" w:rsidRDefault="00472BA8" w:rsidP="00BD1F8C">
            <w:pPr>
              <w:keepNext/>
              <w:keepLines/>
              <w:spacing w:after="0"/>
              <w:jc w:val="center"/>
              <w:rPr>
                <w:rFonts w:ascii="Arial" w:eastAsiaTheme="minorEastAsia" w:hAnsi="Arial"/>
                <w:sz w:val="18"/>
                <w:szCs w:val="18"/>
              </w:rPr>
            </w:pPr>
            <w:r w:rsidRPr="00712D51">
              <w:rPr>
                <w:rFonts w:ascii="Arial" w:eastAsiaTheme="minorEastAsia" w:hAnsi="Arial"/>
                <w:sz w:val="18"/>
              </w:rPr>
              <w:t>Note 1</w:t>
            </w:r>
          </w:p>
        </w:tc>
      </w:tr>
      <w:tr w:rsidR="00472BA8" w:rsidRPr="00712D51" w14:paraId="62D53E2C" w14:textId="77777777" w:rsidTr="00BD1F8C">
        <w:trPr>
          <w:jc w:val="center"/>
        </w:trPr>
        <w:tc>
          <w:tcPr>
            <w:tcW w:w="1897" w:type="dxa"/>
          </w:tcPr>
          <w:p w14:paraId="558C7D54"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1 GHz – 12.75 GHz</w:t>
            </w:r>
          </w:p>
        </w:tc>
        <w:tc>
          <w:tcPr>
            <w:tcW w:w="1276" w:type="dxa"/>
          </w:tcPr>
          <w:p w14:paraId="09B0E98B"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-47 dBm</w:t>
            </w:r>
          </w:p>
        </w:tc>
        <w:tc>
          <w:tcPr>
            <w:tcW w:w="1701" w:type="dxa"/>
          </w:tcPr>
          <w:p w14:paraId="62FC2DCB"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1 MHz</w:t>
            </w:r>
          </w:p>
        </w:tc>
        <w:tc>
          <w:tcPr>
            <w:tcW w:w="3969" w:type="dxa"/>
          </w:tcPr>
          <w:p w14:paraId="7F75BCB4" w14:textId="77777777" w:rsidR="00472BA8" w:rsidRPr="00712D51" w:rsidRDefault="00472BA8" w:rsidP="00BD1F8C">
            <w:pPr>
              <w:keepNext/>
              <w:keepLines/>
              <w:spacing w:after="0"/>
              <w:jc w:val="center"/>
              <w:rPr>
                <w:rFonts w:ascii="Arial" w:eastAsiaTheme="minorEastAsia" w:hAnsi="Arial"/>
                <w:sz w:val="18"/>
                <w:szCs w:val="18"/>
              </w:rPr>
            </w:pPr>
            <w:r w:rsidRPr="00712D51">
              <w:rPr>
                <w:rFonts w:ascii="Arial" w:eastAsiaTheme="minorEastAsia" w:hAnsi="Arial"/>
                <w:sz w:val="18"/>
              </w:rPr>
              <w:t>Note 1, Note 2</w:t>
            </w:r>
          </w:p>
        </w:tc>
      </w:tr>
      <w:tr w:rsidR="00472BA8" w:rsidRPr="00712D51" w14:paraId="61AD22FC" w14:textId="77777777" w:rsidTr="00BD1F8C">
        <w:trPr>
          <w:jc w:val="center"/>
        </w:trPr>
        <w:tc>
          <w:tcPr>
            <w:tcW w:w="1897" w:type="dxa"/>
          </w:tcPr>
          <w:p w14:paraId="29BF16B2"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cs="v5.0.0"/>
                <w:sz w:val="18"/>
              </w:rPr>
              <w:t xml:space="preserve">12.75 GHz </w:t>
            </w:r>
            <w:r w:rsidRPr="00712D51">
              <w:rPr>
                <w:rFonts w:ascii="Arial" w:eastAsiaTheme="minorEastAsia" w:hAnsi="Arial"/>
                <w:sz w:val="18"/>
              </w:rPr>
              <w:t>– 5</w:t>
            </w:r>
            <w:r w:rsidRPr="00712D51">
              <w:rPr>
                <w:rFonts w:ascii="Arial" w:eastAsiaTheme="minorEastAsia" w:hAnsi="Arial"/>
                <w:sz w:val="18"/>
                <w:vertAlign w:val="superscript"/>
              </w:rPr>
              <w:t>th</w:t>
            </w:r>
            <w:r w:rsidRPr="00712D51">
              <w:rPr>
                <w:rFonts w:ascii="Arial" w:eastAsiaTheme="minorEastAsia" w:hAnsi="Arial"/>
                <w:sz w:val="18"/>
              </w:rPr>
              <w:t xml:space="preserve"> harmonic of the upper frequency edge of the </w:t>
            </w:r>
            <w:r>
              <w:rPr>
                <w:rFonts w:ascii="Arial" w:eastAsiaTheme="minorEastAsia" w:hAnsi="Arial"/>
                <w:sz w:val="18"/>
              </w:rPr>
              <w:t>D</w:t>
            </w:r>
            <w:r w:rsidRPr="00712D51">
              <w:rPr>
                <w:rFonts w:ascii="Arial" w:eastAsiaTheme="minorEastAsia" w:hAnsi="Arial"/>
                <w:sz w:val="18"/>
              </w:rPr>
              <w:t xml:space="preserve">L </w:t>
            </w:r>
            <w:r w:rsidRPr="00712D51">
              <w:rPr>
                <w:rFonts w:ascii="Arial" w:eastAsiaTheme="minorEastAsia" w:hAnsi="Arial"/>
                <w:i/>
                <w:sz w:val="18"/>
              </w:rPr>
              <w:t>operating band</w:t>
            </w:r>
            <w:r w:rsidRPr="00712D51">
              <w:rPr>
                <w:rFonts w:ascii="Arial" w:eastAsiaTheme="minorEastAsia" w:hAnsi="Arial"/>
                <w:sz w:val="18"/>
              </w:rPr>
              <w:t xml:space="preserve"> in GHz</w:t>
            </w:r>
          </w:p>
        </w:tc>
        <w:tc>
          <w:tcPr>
            <w:tcW w:w="1276" w:type="dxa"/>
          </w:tcPr>
          <w:p w14:paraId="22D6760B"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-47 dBm</w:t>
            </w:r>
          </w:p>
        </w:tc>
        <w:tc>
          <w:tcPr>
            <w:tcW w:w="1701" w:type="dxa"/>
          </w:tcPr>
          <w:p w14:paraId="187B537F" w14:textId="77777777" w:rsidR="00472BA8" w:rsidRPr="00712D51" w:rsidRDefault="00472BA8" w:rsidP="00BD1F8C">
            <w:pPr>
              <w:keepNext/>
              <w:keepLines/>
              <w:spacing w:after="0"/>
              <w:jc w:val="center"/>
              <w:rPr>
                <w:rFonts w:ascii="Arial" w:eastAsiaTheme="minorEastAsia" w:hAnsi="Arial"/>
                <w:sz w:val="18"/>
              </w:rPr>
            </w:pPr>
            <w:r w:rsidRPr="00712D51">
              <w:rPr>
                <w:rFonts w:ascii="Arial" w:eastAsiaTheme="minorEastAsia" w:hAnsi="Arial"/>
                <w:sz w:val="18"/>
              </w:rPr>
              <w:t>1 MHz</w:t>
            </w:r>
          </w:p>
        </w:tc>
        <w:tc>
          <w:tcPr>
            <w:tcW w:w="3969" w:type="dxa"/>
          </w:tcPr>
          <w:p w14:paraId="4E3EFE43" w14:textId="77777777" w:rsidR="00472BA8" w:rsidRPr="00712D51" w:rsidRDefault="00472BA8" w:rsidP="00BD1F8C">
            <w:pPr>
              <w:keepNext/>
              <w:keepLines/>
              <w:spacing w:after="0"/>
              <w:jc w:val="center"/>
              <w:rPr>
                <w:rFonts w:ascii="Arial" w:eastAsiaTheme="minorEastAsia" w:hAnsi="Arial"/>
                <w:sz w:val="18"/>
                <w:szCs w:val="18"/>
              </w:rPr>
            </w:pPr>
            <w:r w:rsidRPr="00712D51">
              <w:rPr>
                <w:rFonts w:ascii="Arial" w:eastAsiaTheme="minorEastAsia" w:hAnsi="Arial"/>
                <w:sz w:val="18"/>
              </w:rPr>
              <w:t>Note 1, Note 2, Note 3</w:t>
            </w:r>
          </w:p>
        </w:tc>
      </w:tr>
      <w:tr w:rsidR="00472BA8" w:rsidRPr="00712D51" w14:paraId="2890B293" w14:textId="77777777" w:rsidTr="00BD1F8C">
        <w:trPr>
          <w:jc w:val="center"/>
        </w:trPr>
        <w:tc>
          <w:tcPr>
            <w:tcW w:w="8843" w:type="dxa"/>
            <w:gridSpan w:val="4"/>
          </w:tcPr>
          <w:p w14:paraId="4A2404CC" w14:textId="77777777" w:rsidR="00472BA8" w:rsidRPr="00712D51" w:rsidRDefault="00472BA8" w:rsidP="00BD1F8C">
            <w:pPr>
              <w:keepNext/>
              <w:keepLines/>
              <w:spacing w:after="0"/>
              <w:ind w:left="851" w:hanging="851"/>
              <w:rPr>
                <w:rFonts w:ascii="Arial" w:eastAsiaTheme="minorEastAsia" w:hAnsi="Arial"/>
                <w:sz w:val="18"/>
              </w:rPr>
            </w:pPr>
            <w:r w:rsidRPr="00712D51">
              <w:rPr>
                <w:rFonts w:ascii="Arial" w:eastAsia="??" w:hAnsi="Arial"/>
                <w:sz w:val="18"/>
              </w:rPr>
              <w:t>NOTE 1:</w:t>
            </w:r>
            <w:r w:rsidRPr="00712D51">
              <w:rPr>
                <w:rFonts w:ascii="Arial" w:eastAsia="??" w:hAnsi="Arial"/>
                <w:sz w:val="18"/>
              </w:rPr>
              <w:tab/>
            </w:r>
            <w:r w:rsidRPr="00712D51">
              <w:rPr>
                <w:rFonts w:ascii="Arial" w:eastAsiaTheme="minorEastAsia" w:hAnsi="Arial" w:cs="Arial"/>
                <w:i/>
                <w:sz w:val="18"/>
              </w:rPr>
              <w:t>Measurement bandwidth</w:t>
            </w:r>
            <w:r w:rsidRPr="00712D51">
              <w:rPr>
                <w:rFonts w:ascii="Arial" w:eastAsiaTheme="minorEastAsia" w:hAnsi="Arial" w:cs="Arial"/>
                <w:sz w:val="18"/>
              </w:rPr>
              <w:t>s as in ITU-R SM.329 [</w:t>
            </w:r>
            <w:r>
              <w:rPr>
                <w:rFonts w:ascii="Arial" w:eastAsiaTheme="minorEastAsia" w:hAnsi="Arial" w:cs="Arial"/>
                <w:sz w:val="18"/>
              </w:rPr>
              <w:t>16</w:t>
            </w:r>
            <w:r w:rsidRPr="00712D51">
              <w:rPr>
                <w:rFonts w:ascii="Arial" w:eastAsiaTheme="minorEastAsia" w:hAnsi="Arial" w:cs="Arial"/>
                <w:sz w:val="18"/>
              </w:rPr>
              <w:t>], s4.1.</w:t>
            </w:r>
          </w:p>
          <w:p w14:paraId="62D8EB7C" w14:textId="77777777" w:rsidR="00472BA8" w:rsidRPr="00712D51" w:rsidRDefault="00472BA8" w:rsidP="00BD1F8C">
            <w:pPr>
              <w:keepNext/>
              <w:keepLines/>
              <w:spacing w:after="0"/>
              <w:ind w:left="851" w:hanging="851"/>
              <w:rPr>
                <w:rFonts w:ascii="Arial" w:eastAsiaTheme="minorEastAsia" w:hAnsi="Arial"/>
                <w:sz w:val="18"/>
              </w:rPr>
            </w:pPr>
            <w:r w:rsidRPr="00712D51">
              <w:rPr>
                <w:rFonts w:ascii="Arial" w:eastAsia="??" w:hAnsi="Arial"/>
                <w:sz w:val="18"/>
              </w:rPr>
              <w:t>NOTE 2:</w:t>
            </w:r>
            <w:r w:rsidRPr="00712D51">
              <w:rPr>
                <w:rFonts w:ascii="Arial" w:eastAsia="??" w:hAnsi="Arial"/>
                <w:sz w:val="18"/>
              </w:rPr>
              <w:tab/>
            </w:r>
            <w:r w:rsidRPr="00712D51">
              <w:rPr>
                <w:rFonts w:ascii="Arial" w:eastAsiaTheme="minorEastAsia" w:hAnsi="Arial" w:cs="Arial"/>
                <w:sz w:val="18"/>
              </w:rPr>
              <w:t>Upper frequency as in ITU-R SM.329 [</w:t>
            </w:r>
            <w:r>
              <w:rPr>
                <w:rFonts w:ascii="Arial" w:eastAsiaTheme="minorEastAsia" w:hAnsi="Arial" w:cs="Arial"/>
                <w:sz w:val="18"/>
              </w:rPr>
              <w:t>16</w:t>
            </w:r>
            <w:r w:rsidRPr="00712D51">
              <w:rPr>
                <w:rFonts w:ascii="Arial" w:eastAsiaTheme="minorEastAsia" w:hAnsi="Arial" w:cs="Arial"/>
                <w:sz w:val="18"/>
              </w:rPr>
              <w:t>], s2.5 table 1.</w:t>
            </w:r>
          </w:p>
          <w:p w14:paraId="36CEEB09" w14:textId="77777777" w:rsidR="00472BA8" w:rsidRPr="00712D51" w:rsidRDefault="00472BA8" w:rsidP="00BD1F8C">
            <w:pPr>
              <w:keepNext/>
              <w:keepLines/>
              <w:spacing w:after="0"/>
              <w:ind w:left="851" w:hanging="851"/>
              <w:rPr>
                <w:rFonts w:ascii="Arial" w:eastAsiaTheme="minorEastAsia" w:hAnsi="Arial" w:cs="Arial"/>
                <w:sz w:val="18"/>
                <w:lang w:eastAsia="zh-CN"/>
              </w:rPr>
            </w:pPr>
            <w:r w:rsidRPr="00712D51">
              <w:rPr>
                <w:rFonts w:ascii="Arial" w:eastAsiaTheme="minorEastAsia" w:hAnsi="Arial" w:cs="Arial"/>
                <w:sz w:val="18"/>
                <w:lang w:eastAsia="zh-CN"/>
              </w:rPr>
              <w:t>N</w:t>
            </w:r>
            <w:r w:rsidRPr="00712D51">
              <w:rPr>
                <w:rFonts w:ascii="Arial" w:eastAsiaTheme="minorEastAsia" w:hAnsi="Arial" w:cs="Arial"/>
                <w:sz w:val="18"/>
              </w:rPr>
              <w:t>OTE 3:</w:t>
            </w:r>
            <w:r w:rsidRPr="00712D51">
              <w:rPr>
                <w:rFonts w:ascii="Arial" w:eastAsiaTheme="minorEastAsia" w:hAnsi="Arial" w:cs="Arial"/>
                <w:sz w:val="18"/>
              </w:rPr>
              <w:tab/>
              <w:t>This spurious frequency range applies</w:t>
            </w:r>
            <w:r w:rsidRPr="00712D51" w:rsidDel="00005173">
              <w:rPr>
                <w:rFonts w:ascii="Arial" w:eastAsiaTheme="minorEastAsia" w:hAnsi="Arial" w:cs="Arial"/>
                <w:sz w:val="18"/>
              </w:rPr>
              <w:t xml:space="preserve"> </w:t>
            </w:r>
            <w:r w:rsidRPr="00712D51">
              <w:rPr>
                <w:rFonts w:ascii="Arial" w:eastAsiaTheme="minorEastAsia" w:hAnsi="Arial" w:cs="Arial"/>
                <w:sz w:val="18"/>
              </w:rPr>
              <w:t xml:space="preserve">only for </w:t>
            </w:r>
            <w:r w:rsidRPr="00712D51">
              <w:rPr>
                <w:rFonts w:ascii="Arial" w:eastAsiaTheme="minorEastAsia" w:hAnsi="Arial" w:cs="Arial"/>
                <w:i/>
                <w:sz w:val="18"/>
              </w:rPr>
              <w:t>operating bands</w:t>
            </w:r>
            <w:r w:rsidRPr="00712D51">
              <w:rPr>
                <w:rFonts w:ascii="Arial" w:eastAsiaTheme="minorEastAsia" w:hAnsi="Arial" w:cs="Arial"/>
                <w:sz w:val="18"/>
              </w:rPr>
              <w:t xml:space="preserve"> for which the 5</w:t>
            </w:r>
            <w:r w:rsidRPr="00712D51">
              <w:rPr>
                <w:rFonts w:ascii="Arial" w:eastAsiaTheme="minorEastAsia" w:hAnsi="Arial" w:cs="Arial"/>
                <w:sz w:val="18"/>
                <w:vertAlign w:val="superscript"/>
              </w:rPr>
              <w:t>th</w:t>
            </w:r>
            <w:r w:rsidRPr="00712D51">
              <w:rPr>
                <w:rFonts w:ascii="Arial" w:eastAsiaTheme="minorEastAsia" w:hAnsi="Arial" w:cs="Arial"/>
                <w:sz w:val="18"/>
              </w:rPr>
              <w:t xml:space="preserve"> harmonic of the upper frequency edge </w:t>
            </w:r>
            <w:r w:rsidRPr="00712D51">
              <w:rPr>
                <w:rFonts w:ascii="Arial" w:eastAsiaTheme="minorEastAsia" w:hAnsi="Arial"/>
                <w:sz w:val="18"/>
              </w:rPr>
              <w:t xml:space="preserve">of the </w:t>
            </w:r>
            <w:r>
              <w:rPr>
                <w:rFonts w:ascii="Arial" w:eastAsiaTheme="minorEastAsia" w:hAnsi="Arial"/>
                <w:sz w:val="18"/>
              </w:rPr>
              <w:t>D</w:t>
            </w:r>
            <w:r w:rsidRPr="00712D51">
              <w:rPr>
                <w:rFonts w:ascii="Arial" w:eastAsiaTheme="minorEastAsia" w:hAnsi="Arial"/>
                <w:sz w:val="18"/>
              </w:rPr>
              <w:t xml:space="preserve">L </w:t>
            </w:r>
            <w:r w:rsidRPr="00712D51">
              <w:rPr>
                <w:rFonts w:ascii="Arial" w:eastAsiaTheme="minorEastAsia" w:hAnsi="Arial"/>
                <w:i/>
                <w:sz w:val="18"/>
              </w:rPr>
              <w:t>operating band</w:t>
            </w:r>
            <w:r w:rsidRPr="00712D51">
              <w:rPr>
                <w:rFonts w:ascii="Arial" w:eastAsiaTheme="minorEastAsia" w:hAnsi="Arial" w:cs="Arial"/>
                <w:sz w:val="18"/>
              </w:rPr>
              <w:t xml:space="preserve"> is reaching beyond 12.75 GHz.</w:t>
            </w:r>
          </w:p>
          <w:p w14:paraId="3B1B7CD4" w14:textId="77777777" w:rsidR="00472BA8" w:rsidRPr="00712D51" w:rsidRDefault="00472BA8" w:rsidP="00BD1F8C">
            <w:pPr>
              <w:keepNext/>
              <w:keepLines/>
              <w:spacing w:after="0"/>
              <w:ind w:left="851" w:hanging="851"/>
              <w:rPr>
                <w:rFonts w:ascii="Arial" w:eastAsia="??" w:hAnsi="Arial"/>
                <w:sz w:val="18"/>
              </w:rPr>
            </w:pPr>
            <w:r w:rsidRPr="00712D51">
              <w:rPr>
                <w:rFonts w:ascii="Arial" w:eastAsia="??" w:hAnsi="Arial"/>
                <w:sz w:val="18"/>
              </w:rPr>
              <w:t>NOTE 4:</w:t>
            </w:r>
            <w:r w:rsidRPr="00712D51">
              <w:rPr>
                <w:rFonts w:ascii="Arial" w:eastAsia="??" w:hAnsi="Arial"/>
                <w:sz w:val="18"/>
              </w:rPr>
              <w:tab/>
            </w:r>
            <w:r w:rsidRPr="00712D51">
              <w:rPr>
                <w:rFonts w:ascii="Arial" w:eastAsiaTheme="minorEastAsia" w:hAnsi="Arial"/>
                <w:sz w:val="18"/>
              </w:rPr>
              <w:t>The frequency range from Δf</w:t>
            </w:r>
            <w:r w:rsidRPr="00712D51">
              <w:rPr>
                <w:rFonts w:ascii="Arial" w:eastAsiaTheme="minorEastAsia" w:hAnsi="Arial" w:cs="v5.0.0"/>
                <w:sz w:val="18"/>
                <w:vertAlign w:val="subscript"/>
              </w:rPr>
              <w:t>OBUE</w:t>
            </w:r>
            <w:r w:rsidRPr="00712D51">
              <w:rPr>
                <w:rFonts w:ascii="Arial" w:eastAsiaTheme="minorEastAsia" w:hAnsi="Arial"/>
                <w:sz w:val="18"/>
              </w:rPr>
              <w:t xml:space="preserve"> below the lowest frequency of the </w:t>
            </w:r>
            <w:r>
              <w:rPr>
                <w:rFonts w:ascii="Arial" w:eastAsiaTheme="minorEastAsia" w:hAnsi="Arial"/>
                <w:sz w:val="18"/>
              </w:rPr>
              <w:t>IAB-MT</w:t>
            </w:r>
            <w:r w:rsidRPr="00712D51">
              <w:rPr>
                <w:rFonts w:ascii="Arial" w:eastAsiaTheme="minorEastAsia" w:hAnsi="Arial"/>
                <w:sz w:val="18"/>
              </w:rPr>
              <w:t xml:space="preserve"> transmitter </w:t>
            </w:r>
            <w:r w:rsidRPr="00712D51">
              <w:rPr>
                <w:rFonts w:ascii="Arial" w:eastAsiaTheme="minorEastAsia" w:hAnsi="Arial"/>
                <w:i/>
                <w:sz w:val="18"/>
              </w:rPr>
              <w:t>operating band</w:t>
            </w:r>
            <w:r w:rsidRPr="00712D51">
              <w:rPr>
                <w:rFonts w:ascii="Arial" w:eastAsiaTheme="minorEastAsia" w:hAnsi="Arial"/>
                <w:sz w:val="18"/>
              </w:rPr>
              <w:t xml:space="preserve"> to Δf</w:t>
            </w:r>
            <w:r w:rsidRPr="00712D51">
              <w:rPr>
                <w:rFonts w:ascii="Arial" w:eastAsiaTheme="minorEastAsia" w:hAnsi="Arial" w:cs="v5.0.0"/>
                <w:sz w:val="18"/>
                <w:vertAlign w:val="subscript"/>
              </w:rPr>
              <w:t>OBUE</w:t>
            </w:r>
            <w:r w:rsidRPr="00712D51">
              <w:rPr>
                <w:rFonts w:ascii="Arial" w:eastAsiaTheme="minorEastAsia" w:hAnsi="Arial"/>
                <w:sz w:val="18"/>
              </w:rPr>
              <w:t xml:space="preserve"> above the highest frequency of the </w:t>
            </w:r>
            <w:r>
              <w:rPr>
                <w:rFonts w:ascii="Arial" w:eastAsiaTheme="minorEastAsia" w:hAnsi="Arial"/>
                <w:sz w:val="18"/>
              </w:rPr>
              <w:t>IAB-MT</w:t>
            </w:r>
            <w:r w:rsidRPr="00712D51">
              <w:rPr>
                <w:rFonts w:ascii="Arial" w:eastAsiaTheme="minorEastAsia" w:hAnsi="Arial"/>
                <w:sz w:val="18"/>
              </w:rPr>
              <w:t xml:space="preserve"> transmitter </w:t>
            </w:r>
            <w:r w:rsidRPr="00712D51">
              <w:rPr>
                <w:rFonts w:ascii="Arial" w:eastAsiaTheme="minorEastAsia" w:hAnsi="Arial"/>
                <w:i/>
                <w:sz w:val="18"/>
              </w:rPr>
              <w:t>operating band</w:t>
            </w:r>
            <w:r w:rsidRPr="00712D51">
              <w:rPr>
                <w:rFonts w:ascii="Arial" w:eastAsiaTheme="minorEastAsia" w:hAnsi="Arial"/>
                <w:sz w:val="18"/>
              </w:rPr>
              <w:t xml:space="preserve"> may be excluded from the requirement. Δf</w:t>
            </w:r>
            <w:r w:rsidRPr="00712D51">
              <w:rPr>
                <w:rFonts w:ascii="Arial" w:eastAsiaTheme="minorEastAsia" w:hAnsi="Arial" w:cs="v5.0.0"/>
                <w:sz w:val="18"/>
                <w:vertAlign w:val="subscript"/>
              </w:rPr>
              <w:t>OBUE</w:t>
            </w:r>
            <w:r w:rsidRPr="00712D51">
              <w:rPr>
                <w:rFonts w:ascii="Arial" w:eastAsiaTheme="minorEastAsia" w:hAnsi="Arial"/>
                <w:sz w:val="18"/>
              </w:rPr>
              <w:t xml:space="preserve"> is defined in clause </w:t>
            </w:r>
            <w:r>
              <w:rPr>
                <w:rFonts w:ascii="Arial" w:eastAsiaTheme="minorEastAsia" w:hAnsi="Arial"/>
                <w:sz w:val="18"/>
              </w:rPr>
              <w:t>[</w:t>
            </w:r>
            <w:r w:rsidRPr="00712D51">
              <w:rPr>
                <w:rFonts w:ascii="Arial" w:eastAsiaTheme="minorEastAsia" w:hAnsi="Arial"/>
                <w:sz w:val="18"/>
              </w:rPr>
              <w:t>6.6.1</w:t>
            </w:r>
            <w:r>
              <w:rPr>
                <w:rFonts w:ascii="Arial" w:eastAsiaTheme="minorEastAsia" w:hAnsi="Arial"/>
                <w:sz w:val="18"/>
              </w:rPr>
              <w:t>]</w:t>
            </w:r>
            <w:r w:rsidRPr="00712D51">
              <w:rPr>
                <w:rFonts w:ascii="Arial" w:eastAsiaTheme="minorEastAsia" w:hAnsi="Arial"/>
                <w:sz w:val="18"/>
              </w:rPr>
              <w:t xml:space="preserve">. For </w:t>
            </w:r>
            <w:r w:rsidRPr="00712D51">
              <w:rPr>
                <w:rFonts w:ascii="Arial" w:eastAsiaTheme="minorEastAsia" w:hAnsi="Arial"/>
                <w:i/>
                <w:sz w:val="18"/>
              </w:rPr>
              <w:t>multi-band</w:t>
            </w:r>
            <w:r w:rsidRPr="00712D51">
              <w:rPr>
                <w:rFonts w:ascii="Arial" w:eastAsiaTheme="minorEastAsia" w:hAnsi="Arial"/>
                <w:sz w:val="18"/>
              </w:rPr>
              <w:t xml:space="preserve"> </w:t>
            </w:r>
            <w:r w:rsidRPr="00712D51">
              <w:rPr>
                <w:rFonts w:ascii="Arial" w:eastAsiaTheme="minorEastAsia" w:hAnsi="Arial"/>
                <w:i/>
                <w:sz w:val="18"/>
              </w:rPr>
              <w:t>connectors</w:t>
            </w:r>
            <w:r w:rsidRPr="00712D51">
              <w:rPr>
                <w:rFonts w:ascii="Arial" w:eastAsiaTheme="minorEastAsia" w:hAnsi="Arial"/>
                <w:sz w:val="18"/>
              </w:rPr>
              <w:t xml:space="preserve">, the exclusion applies for all supported </w:t>
            </w:r>
            <w:r w:rsidRPr="00712D51">
              <w:rPr>
                <w:rFonts w:ascii="Arial" w:eastAsiaTheme="minorEastAsia" w:hAnsi="Arial"/>
                <w:i/>
                <w:sz w:val="18"/>
              </w:rPr>
              <w:t>operating bands</w:t>
            </w:r>
            <w:r w:rsidRPr="00712D51">
              <w:rPr>
                <w:rFonts w:ascii="Arial" w:eastAsiaTheme="minorEastAsia" w:hAnsi="Arial"/>
                <w:sz w:val="18"/>
              </w:rPr>
              <w:t>.</w:t>
            </w:r>
          </w:p>
        </w:tc>
      </w:tr>
    </w:tbl>
    <w:p w14:paraId="521F77E9" w14:textId="77777777" w:rsidR="00472BA8" w:rsidRPr="00712D51" w:rsidRDefault="00472BA8" w:rsidP="00C60E58"/>
    <w:p w14:paraId="1C47FC90" w14:textId="25392B49" w:rsidR="00472BA8" w:rsidRPr="00E26D09" w:rsidRDefault="00472BA8" w:rsidP="00472BA8">
      <w:pPr>
        <w:pStyle w:val="Heading4"/>
      </w:pPr>
      <w:bookmarkStart w:id="3231" w:name="_Toc21127553"/>
      <w:bookmarkStart w:id="3232" w:name="_Toc29811762"/>
      <w:bookmarkStart w:id="3233" w:name="_Toc53185413"/>
      <w:bookmarkStart w:id="3234" w:name="_Toc53185789"/>
      <w:bookmarkStart w:id="3235" w:name="_Toc57820274"/>
      <w:bookmarkStart w:id="3236" w:name="_Toc57821201"/>
      <w:bookmarkStart w:id="3237" w:name="_Toc61183477"/>
      <w:bookmarkStart w:id="3238" w:name="_Toc61183871"/>
      <w:bookmarkStart w:id="3239" w:name="_Toc61184263"/>
      <w:bookmarkStart w:id="3240" w:name="_Toc61184655"/>
      <w:bookmarkStart w:id="3241" w:name="_Toc61185045"/>
      <w:bookmarkStart w:id="3242" w:name="_Toc66386389"/>
      <w:bookmarkStart w:id="3243" w:name="_Toc74583230"/>
      <w:bookmarkStart w:id="3244" w:name="_Toc76542043"/>
      <w:bookmarkStart w:id="3245" w:name="_Toc82450025"/>
      <w:bookmarkStart w:id="3246" w:name="_Toc82450673"/>
      <w:bookmarkStart w:id="3247" w:name="_Toc89949062"/>
      <w:bookmarkStart w:id="3248" w:name="_Toc98755451"/>
      <w:bookmarkStart w:id="3249" w:name="_Toc98763042"/>
      <w:bookmarkStart w:id="3250" w:name="_Toc106183971"/>
      <w:r w:rsidRPr="00E26D09">
        <w:t>7.6.</w:t>
      </w:r>
      <w:r w:rsidR="00D00866">
        <w:t>3</w:t>
      </w:r>
      <w:r>
        <w:t>.2</w:t>
      </w:r>
      <w:r w:rsidRPr="00E26D09">
        <w:tab/>
        <w:t xml:space="preserve">Minimum requirement for </w:t>
      </w:r>
      <w:r>
        <w:t>IAB-MT</w:t>
      </w:r>
      <w:r w:rsidRPr="00743313">
        <w:t xml:space="preserve"> type 1-H</w:t>
      </w:r>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p>
    <w:p w14:paraId="10B0EEC4" w14:textId="4378F410" w:rsidR="00472BA8" w:rsidRPr="00E26D09" w:rsidRDefault="00472BA8" w:rsidP="00472BA8">
      <w:r w:rsidRPr="00E26D09">
        <w:t xml:space="preserve">The RX spurious emissions requirements for </w:t>
      </w:r>
      <w:r>
        <w:rPr>
          <w:i/>
        </w:rPr>
        <w:t>IAB-MT</w:t>
      </w:r>
      <w:r w:rsidRPr="00E26D09">
        <w:rPr>
          <w:i/>
        </w:rPr>
        <w:t xml:space="preserve"> type 1-H</w:t>
      </w:r>
      <w:r w:rsidRPr="00E26D09">
        <w:t xml:space="preserve"> are that for each applicable </w:t>
      </w:r>
      <w:r w:rsidRPr="00E26D09">
        <w:rPr>
          <w:i/>
        </w:rPr>
        <w:t>basic limit</w:t>
      </w:r>
      <w:r w:rsidRPr="00E26D09">
        <w:t xml:space="preserve"> specified in table 7.6.</w:t>
      </w:r>
      <w:r w:rsidR="00D00866">
        <w:t>3</w:t>
      </w:r>
      <w:r>
        <w:t>.1</w:t>
      </w:r>
      <w:r w:rsidRPr="00E26D09">
        <w:t xml:space="preserve">-1 for each </w:t>
      </w:r>
      <w:r w:rsidRPr="00E26D09">
        <w:rPr>
          <w:i/>
          <w:iCs/>
          <w:lang w:eastAsia="ja-JP"/>
        </w:rPr>
        <w:t>TAB connector RX min cell group</w:t>
      </w:r>
      <w:r w:rsidRPr="00E26D09">
        <w:rPr>
          <w:i/>
        </w:rPr>
        <w:t>,</w:t>
      </w:r>
      <w:r w:rsidRPr="00E26D09">
        <w:t xml:space="preserve"> the power sum of emissions at respective </w:t>
      </w:r>
      <w:r w:rsidRPr="00E26D09">
        <w:rPr>
          <w:rFonts w:eastAsia="??"/>
          <w:i/>
        </w:rPr>
        <w:t>TAB connectors</w:t>
      </w:r>
      <w:r w:rsidRPr="00E26D09">
        <w:rPr>
          <w:rFonts w:eastAsia="??"/>
        </w:rPr>
        <w:t xml:space="preserve"> </w:t>
      </w:r>
      <w:r w:rsidRPr="00E26D09">
        <w:t xml:space="preserve">shall not exceed the </w:t>
      </w:r>
      <w:r>
        <w:t>IAB-MT</w:t>
      </w:r>
      <w:r w:rsidRPr="00E26D09">
        <w:t xml:space="preserve"> limits specified as the </w:t>
      </w:r>
      <w:r w:rsidRPr="00E26D09">
        <w:rPr>
          <w:i/>
        </w:rPr>
        <w:t>basic limit</w:t>
      </w:r>
      <w:r w:rsidRPr="00E26D09">
        <w:t>s + X, where X = 10log</w:t>
      </w:r>
      <w:r w:rsidRPr="00E26D09">
        <w:rPr>
          <w:vertAlign w:val="subscript"/>
        </w:rPr>
        <w:t>10</w:t>
      </w:r>
      <w:r w:rsidRPr="00E26D09">
        <w:t>(N</w:t>
      </w:r>
      <w:r>
        <w:rPr>
          <w:vertAlign w:val="subscript"/>
        </w:rPr>
        <w:t>R</w:t>
      </w:r>
      <w:r w:rsidRPr="00E26D09">
        <w:rPr>
          <w:vertAlign w:val="subscript"/>
        </w:rPr>
        <w:t>XU,countedpercell</w:t>
      </w:r>
      <w:r w:rsidRPr="00E26D09">
        <w:t>), unless stated differently in regional regulation.</w:t>
      </w:r>
    </w:p>
    <w:p w14:paraId="6EC48F7F" w14:textId="77777777" w:rsidR="00472BA8" w:rsidRPr="00E26D09" w:rsidRDefault="00472BA8" w:rsidP="00472BA8">
      <w:r w:rsidRPr="00E26D09">
        <w:t xml:space="preserve">The RX spurious emission requirements are applied per the </w:t>
      </w:r>
      <w:r w:rsidRPr="00E26D09">
        <w:rPr>
          <w:i/>
          <w:iCs/>
          <w:lang w:eastAsia="ja-JP"/>
        </w:rPr>
        <w:t>TAB connector RX min cell group</w:t>
      </w:r>
      <w:r w:rsidRPr="00E26D09">
        <w:rPr>
          <w:iCs/>
          <w:lang w:eastAsia="ja-JP"/>
        </w:rPr>
        <w:t xml:space="preserve"> for all the configurations supported by the </w:t>
      </w:r>
      <w:r>
        <w:rPr>
          <w:iCs/>
          <w:lang w:eastAsia="ja-JP"/>
        </w:rPr>
        <w:t>IAB-MT</w:t>
      </w:r>
      <w:r w:rsidRPr="00E26D09">
        <w:rPr>
          <w:iCs/>
          <w:lang w:eastAsia="ja-JP"/>
        </w:rPr>
        <w:t>.</w:t>
      </w:r>
    </w:p>
    <w:p w14:paraId="05C1E11E" w14:textId="77777777" w:rsidR="00472BA8" w:rsidRPr="00E26D09" w:rsidRDefault="00472BA8" w:rsidP="00472BA8">
      <w:pPr>
        <w:pStyle w:val="NO"/>
      </w:pPr>
      <w:r w:rsidRPr="00E26D09">
        <w:t>NOTE:</w:t>
      </w:r>
      <w:r w:rsidRPr="00E26D09">
        <w:tab/>
        <w:t xml:space="preserve">Conformance to the </w:t>
      </w:r>
      <w:r>
        <w:t>IAB-MT</w:t>
      </w:r>
      <w:r w:rsidRPr="00E26D09">
        <w:t xml:space="preserve"> receiver spurious emissions requirement can be demonstrated by meeting at least one of the following criteria as determined by the manufacturer:</w:t>
      </w:r>
    </w:p>
    <w:p w14:paraId="79E5F79D" w14:textId="77777777" w:rsidR="00472BA8" w:rsidRPr="00E26D09" w:rsidRDefault="00472BA8" w:rsidP="00C91B26">
      <w:pPr>
        <w:pStyle w:val="B30"/>
      </w:pPr>
      <w:r w:rsidRPr="00E26D09">
        <w:t>1)</w:t>
      </w:r>
      <w:r w:rsidRPr="00E26D09">
        <w:tab/>
        <w:t xml:space="preserve">The sum of the spurious emissions power measured on each </w:t>
      </w:r>
      <w:r w:rsidRPr="00E26D09">
        <w:rPr>
          <w:i/>
        </w:rPr>
        <w:t>TAB connector</w:t>
      </w:r>
      <w:r w:rsidRPr="00E26D09">
        <w:t xml:space="preserve"> in the </w:t>
      </w:r>
      <w:r w:rsidRPr="00E26D09">
        <w:rPr>
          <w:i/>
        </w:rPr>
        <w:t xml:space="preserve">TAB connector RX min cell group </w:t>
      </w:r>
      <w:r w:rsidRPr="00E26D09">
        <w:t xml:space="preserve">shall be less than or equal to the </w:t>
      </w:r>
      <w:r>
        <w:t>IAB-MT</w:t>
      </w:r>
      <w:r w:rsidRPr="00E26D09">
        <w:t xml:space="preserve"> limit above for the respective frequency span.</w:t>
      </w:r>
    </w:p>
    <w:p w14:paraId="06593953" w14:textId="77777777" w:rsidR="00472BA8" w:rsidRPr="00E26D09" w:rsidRDefault="00472BA8" w:rsidP="00472BA8">
      <w:pPr>
        <w:pStyle w:val="B4"/>
      </w:pPr>
      <w:r w:rsidRPr="00E26D09">
        <w:t>Or</w:t>
      </w:r>
    </w:p>
    <w:p w14:paraId="27F8DF39" w14:textId="77777777" w:rsidR="00472BA8" w:rsidRPr="00E26D09" w:rsidRDefault="00472BA8" w:rsidP="00C91B26">
      <w:pPr>
        <w:pStyle w:val="B30"/>
      </w:pPr>
      <w:r w:rsidRPr="00E26D09">
        <w:t>2)</w:t>
      </w:r>
      <w:r w:rsidRPr="00E26D09">
        <w:tab/>
        <w:t xml:space="preserve">The spurious emissions power at each </w:t>
      </w:r>
      <w:r w:rsidRPr="00E26D09">
        <w:rPr>
          <w:i/>
        </w:rPr>
        <w:t>TAB connector</w:t>
      </w:r>
      <w:r w:rsidRPr="00E26D09">
        <w:t xml:space="preserve"> shall be less than or equal to the </w:t>
      </w:r>
      <w:r>
        <w:t>IAB-MT</w:t>
      </w:r>
      <w:r w:rsidRPr="00E26D09">
        <w:t xml:space="preserve"> limit as defined above for the respective frequency span, scaled by -10log</w:t>
      </w:r>
      <w:r w:rsidRPr="00E26D09">
        <w:rPr>
          <w:vertAlign w:val="subscript"/>
        </w:rPr>
        <w:t>10</w:t>
      </w:r>
      <w:r w:rsidRPr="00E26D09">
        <w:t>(</w:t>
      </w:r>
      <w:r w:rsidRPr="00E26D09">
        <w:rPr>
          <w:i/>
        </w:rPr>
        <w:t>n</w:t>
      </w:r>
      <w:r w:rsidRPr="00E26D09">
        <w:t xml:space="preserve">), where </w:t>
      </w:r>
      <w:r w:rsidRPr="00E26D09">
        <w:rPr>
          <w:i/>
        </w:rPr>
        <w:t>n</w:t>
      </w:r>
      <w:r w:rsidRPr="00E26D09">
        <w:t xml:space="preserve"> is the number of </w:t>
      </w:r>
      <w:r w:rsidRPr="00E26D09">
        <w:rPr>
          <w:i/>
        </w:rPr>
        <w:t>TAB connectors</w:t>
      </w:r>
      <w:r w:rsidRPr="00E26D09">
        <w:t xml:space="preserve"> in the </w:t>
      </w:r>
      <w:r w:rsidRPr="00E26D09">
        <w:rPr>
          <w:i/>
        </w:rPr>
        <w:t>TAB connector RX min cell group</w:t>
      </w:r>
      <w:r w:rsidRPr="00E26D09">
        <w:t>.</w:t>
      </w:r>
    </w:p>
    <w:p w14:paraId="2F00B186" w14:textId="77777777" w:rsidR="00B1568F" w:rsidRPr="00B1568F" w:rsidRDefault="00B1568F" w:rsidP="00121CA7"/>
    <w:p w14:paraId="654D85D5" w14:textId="77777777" w:rsidR="00077B6E" w:rsidRDefault="00077B6E" w:rsidP="00077B6E">
      <w:pPr>
        <w:pStyle w:val="Heading2"/>
        <w:rPr>
          <w:rFonts w:eastAsiaTheme="minorEastAsia"/>
          <w:lang w:eastAsia="zh-CN"/>
        </w:rPr>
      </w:pPr>
      <w:bookmarkStart w:id="3251" w:name="_Toc53185414"/>
      <w:bookmarkStart w:id="3252" w:name="_Toc53185790"/>
      <w:bookmarkStart w:id="3253" w:name="_Toc57820275"/>
      <w:bookmarkStart w:id="3254" w:name="_Toc57821202"/>
      <w:bookmarkStart w:id="3255" w:name="_Toc61183478"/>
      <w:bookmarkStart w:id="3256" w:name="_Toc61183872"/>
      <w:bookmarkStart w:id="3257" w:name="_Toc61184264"/>
      <w:bookmarkStart w:id="3258" w:name="_Toc61184656"/>
      <w:bookmarkStart w:id="3259" w:name="_Toc61185046"/>
      <w:bookmarkStart w:id="3260" w:name="_Toc66386390"/>
      <w:bookmarkStart w:id="3261" w:name="_Toc74583231"/>
      <w:bookmarkStart w:id="3262" w:name="_Toc76542044"/>
      <w:bookmarkStart w:id="3263" w:name="_Toc82450026"/>
      <w:bookmarkStart w:id="3264" w:name="_Toc82450674"/>
      <w:bookmarkStart w:id="3265" w:name="_Toc89949063"/>
      <w:bookmarkStart w:id="3266" w:name="_Toc98755452"/>
      <w:bookmarkStart w:id="3267" w:name="_Toc98763043"/>
      <w:bookmarkStart w:id="3268" w:name="_Toc106183972"/>
      <w:r w:rsidRPr="007E346D">
        <w:t>7.7</w:t>
      </w:r>
      <w:r w:rsidRPr="007E346D">
        <w:tab/>
        <w:t>Receiver intermodulation</w:t>
      </w:r>
      <w:bookmarkEnd w:id="3153"/>
      <w:bookmarkEnd w:id="3154"/>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p>
    <w:p w14:paraId="7D6242A8" w14:textId="63FB8309" w:rsidR="005F0AE9" w:rsidRDefault="005F0AE9" w:rsidP="005F0AE9">
      <w:pPr>
        <w:pStyle w:val="Heading3"/>
      </w:pPr>
      <w:bookmarkStart w:id="3269" w:name="_Toc53185415"/>
      <w:bookmarkStart w:id="3270" w:name="_Toc53185791"/>
      <w:bookmarkStart w:id="3271" w:name="_Toc57820276"/>
      <w:bookmarkStart w:id="3272" w:name="_Toc57821203"/>
      <w:bookmarkStart w:id="3273" w:name="_Toc61183479"/>
      <w:bookmarkStart w:id="3274" w:name="_Toc61183873"/>
      <w:bookmarkStart w:id="3275" w:name="_Toc61184265"/>
      <w:bookmarkStart w:id="3276" w:name="_Toc61184657"/>
      <w:bookmarkStart w:id="3277" w:name="_Toc61185047"/>
      <w:bookmarkStart w:id="3278" w:name="_Toc66386391"/>
      <w:bookmarkStart w:id="3279" w:name="_Toc74583232"/>
      <w:bookmarkStart w:id="3280" w:name="_Toc76542045"/>
      <w:bookmarkStart w:id="3281" w:name="_Toc82450027"/>
      <w:bookmarkStart w:id="3282" w:name="_Toc82450675"/>
      <w:bookmarkStart w:id="3283" w:name="_Toc89949064"/>
      <w:bookmarkStart w:id="3284" w:name="_Toc98755453"/>
      <w:bookmarkStart w:id="3285" w:name="_Toc98763044"/>
      <w:bookmarkStart w:id="3286" w:name="_Toc106183973"/>
      <w:r>
        <w:t>7.7.</w:t>
      </w:r>
      <w:r>
        <w:rPr>
          <w:rFonts w:eastAsia="SimSun" w:hint="eastAsia"/>
          <w:lang w:val="en-US" w:eastAsia="zh-CN"/>
        </w:rPr>
        <w:t>1</w:t>
      </w:r>
      <w:r w:rsidR="00815C5B">
        <w:tab/>
      </w:r>
      <w:r>
        <w:rPr>
          <w:rFonts w:eastAsia="SimSun" w:hint="eastAsia"/>
          <w:lang w:val="en-US" w:eastAsia="zh-CN"/>
        </w:rPr>
        <w:t>General</w:t>
      </w:r>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r>
        <w:t xml:space="preserve"> </w:t>
      </w:r>
    </w:p>
    <w:p w14:paraId="236268F4" w14:textId="0E3D3BF9" w:rsidR="00F52FCE" w:rsidRPr="00C91B26" w:rsidRDefault="005F0AE9" w:rsidP="00C91B26">
      <w:pPr>
        <w:pStyle w:val="Guidance"/>
        <w:rPr>
          <w:i w:val="0"/>
          <w:iCs/>
          <w:color w:val="auto"/>
        </w:rPr>
      </w:pPr>
      <w:r w:rsidRPr="00CC676E">
        <w:rPr>
          <w:i w:val="0"/>
          <w:iCs/>
          <w:color w:val="auto"/>
        </w:rPr>
        <w:t>Third and higher order mixing of the two interfering RF signals can produce an interfering signal in the band of the desired channel. Intermodulation response rejection is a measure of the capability of the receiver to receive a wanted signal on its assigned channel frequency</w:t>
      </w:r>
      <w:r w:rsidRPr="00CC676E">
        <w:rPr>
          <w:rFonts w:eastAsia="SimSun" w:hint="eastAsia"/>
          <w:i w:val="0"/>
          <w:iCs/>
          <w:color w:val="auto"/>
          <w:lang w:val="en-US" w:eastAsia="zh-CN"/>
        </w:rPr>
        <w:t xml:space="preserve"> at</w:t>
      </w:r>
      <w:r w:rsidRPr="00CC676E">
        <w:rPr>
          <w:i w:val="0"/>
          <w:iCs/>
          <w:color w:val="auto"/>
          <w:lang w:val="en-US" w:eastAsia="zh-CN"/>
        </w:rPr>
        <w:t xml:space="preserve"> </w:t>
      </w:r>
      <w:r w:rsidRPr="00CC676E">
        <w:rPr>
          <w:i w:val="0"/>
          <w:iCs/>
          <w:color w:val="auto"/>
        </w:rPr>
        <w:t>TAB connector</w:t>
      </w:r>
      <w:r w:rsidRPr="00CC676E">
        <w:rPr>
          <w:i w:val="0"/>
          <w:iCs/>
          <w:color w:val="auto"/>
          <w:lang w:val="en-US" w:eastAsia="zh-CN"/>
        </w:rPr>
        <w:t xml:space="preserve"> </w:t>
      </w:r>
      <w:r w:rsidRPr="00CC676E">
        <w:rPr>
          <w:rFonts w:eastAsia="??"/>
          <w:i w:val="0"/>
          <w:iCs/>
          <w:color w:val="auto"/>
        </w:rPr>
        <w:t xml:space="preserve">for </w:t>
      </w:r>
      <w:r w:rsidRPr="00CC676E">
        <w:rPr>
          <w:rFonts w:eastAsia="SimSun"/>
          <w:i w:val="0"/>
          <w:iCs/>
          <w:color w:val="auto"/>
          <w:lang w:val="en-US" w:eastAsia="zh-CN"/>
        </w:rPr>
        <w:t>IAB-DU</w:t>
      </w:r>
      <w:r w:rsidRPr="00CC676E">
        <w:rPr>
          <w:rFonts w:eastAsia="??"/>
          <w:i w:val="0"/>
          <w:iCs/>
          <w:color w:val="auto"/>
        </w:rPr>
        <w:t xml:space="preserve"> type 1-</w:t>
      </w:r>
      <w:r w:rsidRPr="00CC676E">
        <w:rPr>
          <w:rFonts w:eastAsia="SimSun"/>
          <w:i w:val="0"/>
          <w:iCs/>
          <w:color w:val="auto"/>
          <w:lang w:val="en-US" w:eastAsia="zh-CN"/>
        </w:rPr>
        <w:t>H</w:t>
      </w:r>
      <w:r w:rsidRPr="00CC676E">
        <w:rPr>
          <w:rFonts w:eastAsia="SimSun" w:hint="eastAsia"/>
          <w:i w:val="0"/>
          <w:iCs/>
          <w:color w:val="auto"/>
          <w:lang w:val="en-US" w:eastAsia="zh-CN"/>
        </w:rPr>
        <w:t xml:space="preserve"> [and </w:t>
      </w:r>
      <w:r w:rsidRPr="00CC676E">
        <w:rPr>
          <w:i w:val="0"/>
          <w:iCs/>
          <w:color w:val="auto"/>
        </w:rPr>
        <w:t xml:space="preserve"> </w:t>
      </w:r>
      <w:r w:rsidRPr="00CC676E">
        <w:rPr>
          <w:rFonts w:eastAsia="SimSun" w:hint="eastAsia"/>
          <w:i w:val="0"/>
          <w:iCs/>
          <w:color w:val="auto"/>
          <w:lang w:val="en-US" w:eastAsia="zh-CN"/>
        </w:rPr>
        <w:t>IAB-MT</w:t>
      </w:r>
      <w:r w:rsidRPr="00CC676E">
        <w:rPr>
          <w:rFonts w:eastAsia="??"/>
          <w:i w:val="0"/>
          <w:iCs/>
          <w:color w:val="auto"/>
        </w:rPr>
        <w:t xml:space="preserve"> type 1-</w:t>
      </w:r>
      <w:r w:rsidRPr="00CC676E">
        <w:rPr>
          <w:rFonts w:eastAsia="SimSun"/>
          <w:i w:val="0"/>
          <w:iCs/>
          <w:color w:val="auto"/>
          <w:lang w:val="en-US" w:eastAsia="zh-CN"/>
        </w:rPr>
        <w:t>H</w:t>
      </w:r>
      <w:r w:rsidRPr="00CC676E">
        <w:rPr>
          <w:rFonts w:eastAsia="SimSun" w:hint="eastAsia"/>
          <w:i w:val="0"/>
          <w:iCs/>
          <w:color w:val="auto"/>
          <w:lang w:val="en-US" w:eastAsia="zh-CN"/>
        </w:rPr>
        <w:t xml:space="preserve">] </w:t>
      </w:r>
      <w:r w:rsidRPr="00CC676E">
        <w:rPr>
          <w:i w:val="0"/>
          <w:iCs/>
          <w:color w:val="auto"/>
        </w:rPr>
        <w:t>in the presence of two interfering signals which have a specific frequency relationship to the wanted signal.</w:t>
      </w:r>
    </w:p>
    <w:p w14:paraId="696FE32D" w14:textId="59A4EB31" w:rsidR="00F56535" w:rsidRDefault="00F56535" w:rsidP="00F56535">
      <w:pPr>
        <w:pStyle w:val="Heading3"/>
      </w:pPr>
      <w:bookmarkStart w:id="3287" w:name="_Toc53185416"/>
      <w:bookmarkStart w:id="3288" w:name="_Toc53185792"/>
      <w:bookmarkStart w:id="3289" w:name="_Toc57820277"/>
      <w:bookmarkStart w:id="3290" w:name="_Toc57821204"/>
      <w:bookmarkStart w:id="3291" w:name="_Toc61183480"/>
      <w:bookmarkStart w:id="3292" w:name="_Toc61183874"/>
      <w:bookmarkStart w:id="3293" w:name="_Toc61184266"/>
      <w:bookmarkStart w:id="3294" w:name="_Toc61184658"/>
      <w:bookmarkStart w:id="3295" w:name="_Toc61185048"/>
      <w:bookmarkStart w:id="3296" w:name="_Toc66386392"/>
      <w:bookmarkStart w:id="3297" w:name="_Toc74583233"/>
      <w:bookmarkStart w:id="3298" w:name="_Toc76542046"/>
      <w:bookmarkStart w:id="3299" w:name="_Toc82450028"/>
      <w:bookmarkStart w:id="3300" w:name="_Toc82450676"/>
      <w:bookmarkStart w:id="3301" w:name="_Toc89949065"/>
      <w:bookmarkStart w:id="3302" w:name="_Toc98755454"/>
      <w:bookmarkStart w:id="3303" w:name="_Toc98763045"/>
      <w:bookmarkStart w:id="3304" w:name="_Toc106183974"/>
      <w:bookmarkStart w:id="3305" w:name="_Toc13080267"/>
      <w:bookmarkStart w:id="3306" w:name="_Toc18916179"/>
      <w:bookmarkStart w:id="3307" w:name="_Hlk497680119"/>
      <w:bookmarkEnd w:id="3155"/>
      <w:r>
        <w:t>7.7.</w:t>
      </w:r>
      <w:r w:rsidR="005F0AE9">
        <w:t>2</w:t>
      </w:r>
      <w:r w:rsidR="00815C5B">
        <w:tab/>
      </w:r>
      <w:r w:rsidR="00983417">
        <w:rPr>
          <w:rFonts w:eastAsia="SimSun" w:hint="eastAsia"/>
          <w:lang w:val="en-US" w:eastAsia="zh-CN"/>
        </w:rPr>
        <w:t xml:space="preserve">Minimum requirement for </w:t>
      </w:r>
      <w:r w:rsidR="00983417" w:rsidRPr="00F947E2">
        <w:rPr>
          <w:i/>
          <w:iCs/>
        </w:rPr>
        <w:t>IAB-DU</w:t>
      </w:r>
      <w:r w:rsidR="00983417">
        <w:rPr>
          <w:rFonts w:eastAsia="SimSun" w:hint="eastAsia"/>
          <w:i/>
          <w:iCs/>
          <w:lang w:val="en-US" w:eastAsia="zh-CN"/>
        </w:rPr>
        <w:t xml:space="preserve"> type 1-H</w:t>
      </w:r>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p>
    <w:p w14:paraId="0F6EC477" w14:textId="1DDAD1FC" w:rsidR="0076510B" w:rsidRDefault="0076510B" w:rsidP="0076510B">
      <w:bookmarkStart w:id="3308" w:name="OLE_LINK4"/>
      <w:r>
        <w:t xml:space="preserve">The </w:t>
      </w:r>
      <w:r w:rsidR="009F529B">
        <w:t>W</w:t>
      </w:r>
      <w:r>
        <w:t xml:space="preserve">ide </w:t>
      </w:r>
      <w:r w:rsidR="009F529B">
        <w:t>A</w:t>
      </w:r>
      <w:r>
        <w:t>rea IAB-DU</w:t>
      </w:r>
      <w:bookmarkStart w:id="3309" w:name="OLE_LINK3"/>
      <w:r>
        <w:t xml:space="preserve"> </w:t>
      </w:r>
      <w:bookmarkStart w:id="3310" w:name="OLE_LINK2"/>
      <w:r>
        <w:rPr>
          <w:rFonts w:eastAsia="SimSun" w:hint="eastAsia"/>
          <w:lang w:val="en-US" w:eastAsia="zh-CN"/>
        </w:rPr>
        <w:t>receiver intermodulation requirement</w:t>
      </w:r>
      <w:bookmarkEnd w:id="3309"/>
      <w:bookmarkEnd w:id="3310"/>
      <w:r>
        <w:t xml:space="preserve"> is specified the same as the </w:t>
      </w:r>
      <w:r w:rsidR="009F529B">
        <w:t>W</w:t>
      </w:r>
      <w:r>
        <w:t xml:space="preserve">ide </w:t>
      </w:r>
      <w:r w:rsidR="009F529B">
        <w:t>A</w:t>
      </w:r>
      <w:r>
        <w:t xml:space="preserve">rea </w:t>
      </w:r>
      <w:r>
        <w:rPr>
          <w:rFonts w:eastAsia="SimSun" w:hint="eastAsia"/>
          <w:lang w:val="en-US" w:eastAsia="zh-CN"/>
        </w:rPr>
        <w:t>receiver intermodulation requirement</w:t>
      </w:r>
      <w:r>
        <w:t xml:space="preserve"> for BS</w:t>
      </w:r>
      <w:r>
        <w:rPr>
          <w:i/>
        </w:rPr>
        <w:t xml:space="preserve"> type 1-H</w:t>
      </w:r>
      <w:r>
        <w:t xml:space="preserve"> in TS 38.104[</w:t>
      </w:r>
      <w:r w:rsidR="00425EFE">
        <w:t>2</w:t>
      </w:r>
      <w:r>
        <w:t>], subclause 7.</w:t>
      </w:r>
      <w:r>
        <w:rPr>
          <w:rFonts w:eastAsia="SimSun" w:hint="eastAsia"/>
          <w:lang w:val="en-US" w:eastAsia="zh-CN"/>
        </w:rPr>
        <w:t>7</w:t>
      </w:r>
      <w:r>
        <w:t xml:space="preserve">.2, where references to </w:t>
      </w:r>
      <w:r>
        <w:rPr>
          <w:i/>
        </w:rPr>
        <w:t>BS channel bandwidth</w:t>
      </w:r>
      <w:r>
        <w:t xml:space="preserve"> apply to </w:t>
      </w:r>
      <w:r>
        <w:rPr>
          <w:i/>
        </w:rPr>
        <w:t>IAB-DU channel bandwidth</w:t>
      </w:r>
      <w:r>
        <w:t>.</w:t>
      </w:r>
    </w:p>
    <w:p w14:paraId="2773D117" w14:textId="51AE4074" w:rsidR="0076510B" w:rsidRDefault="0076510B" w:rsidP="0076510B">
      <w:r>
        <w:t xml:space="preserve">The </w:t>
      </w:r>
      <w:r w:rsidR="009F529B">
        <w:t>M</w:t>
      </w:r>
      <w:r>
        <w:t xml:space="preserve">edium </w:t>
      </w:r>
      <w:r w:rsidR="009F529B">
        <w:t>R</w:t>
      </w:r>
      <w:r>
        <w:t xml:space="preserve">ange IAB-DU </w:t>
      </w:r>
      <w:r>
        <w:rPr>
          <w:rFonts w:eastAsia="SimSun" w:hint="eastAsia"/>
          <w:lang w:val="en-US" w:eastAsia="zh-CN"/>
        </w:rPr>
        <w:t>receiver intermodulation requirement</w:t>
      </w:r>
      <w:r>
        <w:t xml:space="preserve"> is specified the same as the </w:t>
      </w:r>
      <w:r w:rsidR="009F529B">
        <w:t>M</w:t>
      </w:r>
      <w:r>
        <w:t xml:space="preserve">edium </w:t>
      </w:r>
      <w:r w:rsidR="009F529B">
        <w:t>R</w:t>
      </w:r>
      <w:r>
        <w:t xml:space="preserve">ange BS  </w:t>
      </w:r>
      <w:r>
        <w:rPr>
          <w:rFonts w:eastAsia="SimSun" w:hint="eastAsia"/>
          <w:lang w:val="en-US" w:eastAsia="zh-CN"/>
        </w:rPr>
        <w:t>receiver intermodulation requirement</w:t>
      </w:r>
      <w:r>
        <w:t xml:space="preserve"> for BS</w:t>
      </w:r>
      <w:r>
        <w:rPr>
          <w:i/>
        </w:rPr>
        <w:t xml:space="preserve"> type 1-H</w:t>
      </w:r>
      <w:r>
        <w:t xml:space="preserve"> in TS 38.104[</w:t>
      </w:r>
      <w:r w:rsidR="00425EFE">
        <w:t>2</w:t>
      </w:r>
      <w:r>
        <w:t>], subclause 7.</w:t>
      </w:r>
      <w:r>
        <w:rPr>
          <w:rFonts w:eastAsia="SimSun" w:hint="eastAsia"/>
          <w:lang w:val="en-US" w:eastAsia="zh-CN"/>
        </w:rPr>
        <w:t>7</w:t>
      </w:r>
      <w:r>
        <w:t xml:space="preserve">.2, where references to </w:t>
      </w:r>
      <w:r>
        <w:rPr>
          <w:i/>
        </w:rPr>
        <w:t>BS channel bandwidth</w:t>
      </w:r>
      <w:r>
        <w:t xml:space="preserve"> apply to </w:t>
      </w:r>
      <w:r>
        <w:rPr>
          <w:i/>
        </w:rPr>
        <w:t>IAB-DU channel bandwidth</w:t>
      </w:r>
      <w:r>
        <w:t>.</w:t>
      </w:r>
    </w:p>
    <w:p w14:paraId="212925C1" w14:textId="2984E9C1" w:rsidR="0076510B" w:rsidRDefault="0076510B" w:rsidP="0076510B">
      <w:r>
        <w:lastRenderedPageBreak/>
        <w:t xml:space="preserve">The </w:t>
      </w:r>
      <w:r w:rsidR="009F529B">
        <w:t>L</w:t>
      </w:r>
      <w:r>
        <w:t xml:space="preserve">ocal </w:t>
      </w:r>
      <w:r w:rsidR="009F529B">
        <w:t>A</w:t>
      </w:r>
      <w:r>
        <w:t xml:space="preserve">rea IAB-DU </w:t>
      </w:r>
      <w:r>
        <w:rPr>
          <w:rFonts w:eastAsia="SimSun" w:hint="eastAsia"/>
          <w:lang w:val="en-US" w:eastAsia="zh-CN"/>
        </w:rPr>
        <w:t>receiver intermodulation requirement</w:t>
      </w:r>
      <w:r>
        <w:t xml:space="preserve"> is specified the same as the </w:t>
      </w:r>
      <w:r w:rsidR="009F529B">
        <w:t>L</w:t>
      </w:r>
      <w:r>
        <w:t xml:space="preserve">ocal </w:t>
      </w:r>
      <w:r w:rsidR="009F529B">
        <w:t>A</w:t>
      </w:r>
      <w:r>
        <w:t xml:space="preserve">rea BS  </w:t>
      </w:r>
      <w:r>
        <w:rPr>
          <w:rFonts w:eastAsia="SimSun" w:hint="eastAsia"/>
          <w:lang w:val="en-US" w:eastAsia="zh-CN"/>
        </w:rPr>
        <w:t>receiver intermodulation requirement</w:t>
      </w:r>
      <w:r>
        <w:t xml:space="preserve"> for BS</w:t>
      </w:r>
      <w:r>
        <w:rPr>
          <w:i/>
        </w:rPr>
        <w:t xml:space="preserve"> type 1-H</w:t>
      </w:r>
      <w:r>
        <w:t xml:space="preserve"> in TS 38.104[</w:t>
      </w:r>
      <w:r w:rsidR="00425EFE">
        <w:t>2</w:t>
      </w:r>
      <w:r>
        <w:t>], subclause 7.</w:t>
      </w:r>
      <w:r>
        <w:rPr>
          <w:rFonts w:eastAsia="SimSun" w:hint="eastAsia"/>
          <w:lang w:val="en-US" w:eastAsia="zh-CN"/>
        </w:rPr>
        <w:t>7</w:t>
      </w:r>
      <w:r>
        <w:t xml:space="preserve">.2, where references to </w:t>
      </w:r>
      <w:r>
        <w:rPr>
          <w:i/>
        </w:rPr>
        <w:t>BS channel bandwidth</w:t>
      </w:r>
      <w:r>
        <w:t xml:space="preserve"> apply to </w:t>
      </w:r>
      <w:r>
        <w:rPr>
          <w:i/>
        </w:rPr>
        <w:t>IAB-DU channel bandwidth</w:t>
      </w:r>
      <w:r>
        <w:t>.</w:t>
      </w:r>
    </w:p>
    <w:bookmarkEnd w:id="3308"/>
    <w:p w14:paraId="1444DF03" w14:textId="1A179C6E" w:rsidR="00DC7592" w:rsidRPr="00DC7592" w:rsidRDefault="0076510B" w:rsidP="00121CA7">
      <w:r>
        <w:t>Referenced requirements applying to NB</w:t>
      </w:r>
      <w:r>
        <w:rPr>
          <w:rFonts w:eastAsia="SimSun" w:hint="eastAsia"/>
          <w:lang w:val="en-US" w:eastAsia="zh-CN"/>
        </w:rPr>
        <w:t>-</w:t>
      </w:r>
      <w:r>
        <w:t>IoT are not applicable to the IAB-DU</w:t>
      </w:r>
    </w:p>
    <w:p w14:paraId="6BB5A2A4" w14:textId="22086320" w:rsidR="00DC7592" w:rsidRDefault="00DC7592">
      <w:pPr>
        <w:pStyle w:val="Heading3"/>
      </w:pPr>
      <w:bookmarkStart w:id="3311" w:name="_Toc53185417"/>
      <w:bookmarkStart w:id="3312" w:name="_Toc53185793"/>
      <w:bookmarkStart w:id="3313" w:name="_Toc57820278"/>
      <w:bookmarkStart w:id="3314" w:name="_Toc57821205"/>
      <w:bookmarkStart w:id="3315" w:name="_Toc61183481"/>
      <w:bookmarkStart w:id="3316" w:name="_Toc61183875"/>
      <w:bookmarkStart w:id="3317" w:name="_Toc61184267"/>
      <w:bookmarkStart w:id="3318" w:name="_Toc61184659"/>
      <w:bookmarkStart w:id="3319" w:name="_Toc61185049"/>
      <w:bookmarkStart w:id="3320" w:name="_Toc66386393"/>
      <w:bookmarkStart w:id="3321" w:name="_Toc74583234"/>
      <w:bookmarkStart w:id="3322" w:name="_Toc76542047"/>
      <w:bookmarkStart w:id="3323" w:name="_Toc82450029"/>
      <w:bookmarkStart w:id="3324" w:name="_Toc82450677"/>
      <w:bookmarkStart w:id="3325" w:name="_Toc89949066"/>
      <w:bookmarkStart w:id="3326" w:name="_Toc98755455"/>
      <w:bookmarkStart w:id="3327" w:name="_Toc98763046"/>
      <w:bookmarkStart w:id="3328" w:name="_Toc106183975"/>
      <w:r>
        <w:t>7.7.</w:t>
      </w:r>
      <w:r w:rsidR="0076510B">
        <w:t>3</w:t>
      </w:r>
      <w:r w:rsidR="00815C5B">
        <w:tab/>
      </w:r>
      <w:r w:rsidR="00F014CA">
        <w:rPr>
          <w:rFonts w:eastAsia="SimSun" w:hint="eastAsia"/>
          <w:lang w:val="en-US" w:eastAsia="zh-CN"/>
        </w:rPr>
        <w:t>Minimum requirement for</w:t>
      </w:r>
      <w:r w:rsidR="00F014CA" w:rsidRPr="00F947E2">
        <w:rPr>
          <w:rFonts w:eastAsia="SimSun"/>
          <w:i/>
          <w:iCs/>
          <w:lang w:val="en-US" w:eastAsia="zh-CN"/>
        </w:rPr>
        <w:t xml:space="preserve"> </w:t>
      </w:r>
      <w:r w:rsidR="00F014CA" w:rsidRPr="00F947E2">
        <w:rPr>
          <w:i/>
          <w:iCs/>
        </w:rPr>
        <w:t>IAB-MT</w:t>
      </w:r>
      <w:r w:rsidR="00F014CA">
        <w:rPr>
          <w:rFonts w:eastAsia="SimSun" w:hint="eastAsia"/>
          <w:i/>
          <w:iCs/>
          <w:lang w:val="en-US" w:eastAsia="zh-CN"/>
        </w:rPr>
        <w:t xml:space="preserve"> type 1-H</w:t>
      </w:r>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p>
    <w:p w14:paraId="0A6D93B0" w14:textId="7AC2A1E2" w:rsidR="00887FF2" w:rsidRDefault="00887FF2" w:rsidP="00887FF2">
      <w:pPr>
        <w:rPr>
          <w:rFonts w:eastAsia="SimSun"/>
          <w:lang w:val="en-US" w:eastAsia="zh-CN"/>
        </w:rPr>
      </w:pPr>
      <w:r>
        <w:t>The Wide Aarea IAB-</w:t>
      </w:r>
      <w:r>
        <w:rPr>
          <w:rFonts w:eastAsia="SimSun" w:hint="eastAsia"/>
          <w:lang w:val="en-US" w:eastAsia="zh-CN"/>
        </w:rPr>
        <w:t>MT</w:t>
      </w:r>
      <w:r>
        <w:t xml:space="preserve"> </w:t>
      </w:r>
      <w:r>
        <w:rPr>
          <w:rFonts w:eastAsia="SimSun" w:hint="eastAsia"/>
          <w:lang w:val="en-US" w:eastAsia="zh-CN"/>
        </w:rPr>
        <w:t>receiver intermodulation requirement</w:t>
      </w:r>
      <w:r>
        <w:t xml:space="preserve"> is specified the same as the Wide Area </w:t>
      </w:r>
      <w:r>
        <w:rPr>
          <w:rFonts w:eastAsia="SimSun" w:hint="eastAsia"/>
          <w:lang w:val="en-US" w:eastAsia="zh-CN"/>
        </w:rPr>
        <w:t>receiver intermodulation requirement</w:t>
      </w:r>
      <w:r>
        <w:t xml:space="preserve"> for BS</w:t>
      </w:r>
      <w:r>
        <w:rPr>
          <w:i/>
        </w:rPr>
        <w:t xml:space="preserve"> type 1-H</w:t>
      </w:r>
      <w:r>
        <w:t xml:space="preserve"> in TS 38.104[2], subclause 7.</w:t>
      </w:r>
      <w:r>
        <w:rPr>
          <w:rFonts w:eastAsia="SimSun" w:hint="eastAsia"/>
          <w:lang w:val="en-US" w:eastAsia="zh-CN"/>
        </w:rPr>
        <w:t>7</w:t>
      </w:r>
      <w:r>
        <w:t xml:space="preserve">.2, where references to </w:t>
      </w:r>
      <w:r>
        <w:rPr>
          <w:i/>
        </w:rPr>
        <w:t>BS channel bandwidth</w:t>
      </w:r>
      <w:r>
        <w:t xml:space="preserve"> apply to </w:t>
      </w:r>
      <w:r>
        <w:rPr>
          <w:i/>
        </w:rPr>
        <w:t>IAB-</w:t>
      </w:r>
      <w:r>
        <w:rPr>
          <w:rFonts w:eastAsia="SimSun" w:hint="eastAsia"/>
          <w:i/>
          <w:lang w:val="en-US" w:eastAsia="zh-CN"/>
        </w:rPr>
        <w:t>MT</w:t>
      </w:r>
      <w:r>
        <w:rPr>
          <w:i/>
        </w:rPr>
        <w:t xml:space="preserve"> channel bandwidth</w:t>
      </w:r>
      <w:r>
        <w:t>.</w:t>
      </w:r>
      <w:r>
        <w:rPr>
          <w:rFonts w:eastAsia="SimSun" w:hint="eastAsia"/>
          <w:lang w:val="en-US" w:eastAsia="zh-CN"/>
        </w:rPr>
        <w:t xml:space="preserve"> </w:t>
      </w:r>
    </w:p>
    <w:p w14:paraId="28C78667" w14:textId="17C95BD5" w:rsidR="00887FF2" w:rsidRDefault="00887FF2" w:rsidP="00887FF2">
      <w:r>
        <w:t>The Local Area IAB-</w:t>
      </w:r>
      <w:r>
        <w:rPr>
          <w:rFonts w:eastAsia="SimSun" w:hint="eastAsia"/>
          <w:lang w:val="en-US" w:eastAsia="zh-CN"/>
        </w:rPr>
        <w:t>MT</w:t>
      </w:r>
      <w:r>
        <w:t xml:space="preserve"> </w:t>
      </w:r>
      <w:r>
        <w:rPr>
          <w:rFonts w:eastAsia="SimSun" w:hint="eastAsia"/>
          <w:lang w:val="en-US" w:eastAsia="zh-CN"/>
        </w:rPr>
        <w:t>receiver intermodulation requirement</w:t>
      </w:r>
      <w:r>
        <w:t xml:space="preserve"> is specified the same as theLocal Area BS </w:t>
      </w:r>
      <w:r>
        <w:rPr>
          <w:rFonts w:eastAsia="SimSun" w:hint="eastAsia"/>
          <w:lang w:val="en-US" w:eastAsia="zh-CN"/>
        </w:rPr>
        <w:t>receiver intermodulation requirement</w:t>
      </w:r>
      <w:r>
        <w:t xml:space="preserve"> for BS</w:t>
      </w:r>
      <w:r>
        <w:rPr>
          <w:i/>
        </w:rPr>
        <w:t xml:space="preserve"> type 1-H</w:t>
      </w:r>
      <w:r>
        <w:t xml:space="preserve"> in TS 38.104[2], subclause 7.</w:t>
      </w:r>
      <w:r>
        <w:rPr>
          <w:rFonts w:eastAsia="SimSun" w:hint="eastAsia"/>
          <w:lang w:val="en-US" w:eastAsia="zh-CN"/>
        </w:rPr>
        <w:t>7</w:t>
      </w:r>
      <w:r>
        <w:t xml:space="preserve">.2, where references to </w:t>
      </w:r>
      <w:r>
        <w:rPr>
          <w:i/>
        </w:rPr>
        <w:t>BS channel bandwidth</w:t>
      </w:r>
      <w:r>
        <w:t xml:space="preserve"> apply to </w:t>
      </w:r>
      <w:r>
        <w:rPr>
          <w:i/>
        </w:rPr>
        <w:t>IAB-</w:t>
      </w:r>
      <w:r>
        <w:rPr>
          <w:rFonts w:eastAsia="SimSun" w:hint="eastAsia"/>
          <w:i/>
          <w:lang w:val="en-US" w:eastAsia="zh-CN"/>
        </w:rPr>
        <w:t>MT</w:t>
      </w:r>
      <w:r>
        <w:rPr>
          <w:i/>
        </w:rPr>
        <w:t xml:space="preserve"> channel bandwidth</w:t>
      </w:r>
      <w:r>
        <w:t>.</w:t>
      </w:r>
    </w:p>
    <w:p w14:paraId="7AFC42B5" w14:textId="218B7221" w:rsidR="00DC7592" w:rsidRPr="00C91B26" w:rsidRDefault="00987A2E" w:rsidP="00121CA7">
      <w:pPr>
        <w:rPr>
          <w:rFonts w:eastAsia="SimSun"/>
          <w:lang w:val="en-US" w:eastAsia="zh-CN"/>
        </w:rPr>
      </w:pPr>
      <w:r>
        <w:rPr>
          <w:rFonts w:eastAsia="SimSun" w:hint="eastAsia"/>
          <w:lang w:val="en-US" w:eastAsia="zh-CN"/>
        </w:rPr>
        <w:t xml:space="preserve">Interfering signal for </w:t>
      </w:r>
      <w:r>
        <w:rPr>
          <w:rFonts w:eastAsia="SimSun"/>
          <w:lang w:val="en-US" w:eastAsia="zh-CN"/>
        </w:rPr>
        <w:t>IAB-MT</w:t>
      </w:r>
      <w:r>
        <w:rPr>
          <w:rFonts w:eastAsia="SimSun" w:hint="eastAsia"/>
          <w:lang w:val="en-US" w:eastAsia="zh-CN"/>
        </w:rPr>
        <w:t xml:space="preserve"> </w:t>
      </w:r>
      <w:r w:rsidRPr="00743313">
        <w:rPr>
          <w:rFonts w:eastAsia="SimSun"/>
          <w:i/>
          <w:iCs/>
          <w:lang w:val="en-US" w:eastAsia="zh-CN"/>
        </w:rPr>
        <w:t>type 1-H</w:t>
      </w:r>
      <w:r>
        <w:rPr>
          <w:rFonts w:eastAsia="SimSun" w:hint="eastAsia"/>
          <w:lang w:val="en-US" w:eastAsia="zh-CN"/>
        </w:rPr>
        <w:t xml:space="preserve"> should be CP-</w:t>
      </w:r>
      <w:r>
        <w:rPr>
          <w:rFonts w:eastAsia="SimSun"/>
          <w:lang w:val="en-US" w:eastAsia="zh-CN"/>
        </w:rPr>
        <w:t>O</w:t>
      </w:r>
      <w:r>
        <w:rPr>
          <w:rFonts w:eastAsia="SimSun" w:hint="eastAsia"/>
          <w:lang w:val="en-US" w:eastAsia="zh-CN"/>
        </w:rPr>
        <w:t>FDM</w:t>
      </w:r>
    </w:p>
    <w:p w14:paraId="11611470" w14:textId="77777777" w:rsidR="00077B6E" w:rsidRDefault="00077B6E" w:rsidP="00077B6E">
      <w:pPr>
        <w:pStyle w:val="Heading2"/>
      </w:pPr>
      <w:bookmarkStart w:id="3329" w:name="_Toc53185418"/>
      <w:bookmarkStart w:id="3330" w:name="_Toc53185794"/>
      <w:bookmarkStart w:id="3331" w:name="_Toc57820279"/>
      <w:bookmarkStart w:id="3332" w:name="_Toc57821206"/>
      <w:bookmarkStart w:id="3333" w:name="_Toc61183482"/>
      <w:bookmarkStart w:id="3334" w:name="_Toc61183876"/>
      <w:bookmarkStart w:id="3335" w:name="_Toc61184268"/>
      <w:bookmarkStart w:id="3336" w:name="_Toc61184660"/>
      <w:bookmarkStart w:id="3337" w:name="_Toc61185050"/>
      <w:bookmarkStart w:id="3338" w:name="_Toc66386394"/>
      <w:bookmarkStart w:id="3339" w:name="_Toc74583235"/>
      <w:bookmarkStart w:id="3340" w:name="_Toc76542048"/>
      <w:bookmarkStart w:id="3341" w:name="_Toc82450030"/>
      <w:bookmarkStart w:id="3342" w:name="_Toc82450678"/>
      <w:bookmarkStart w:id="3343" w:name="_Toc89949067"/>
      <w:bookmarkStart w:id="3344" w:name="_Toc98755456"/>
      <w:bookmarkStart w:id="3345" w:name="_Toc98763047"/>
      <w:bookmarkStart w:id="3346" w:name="_Toc106183976"/>
      <w:r w:rsidRPr="007E346D">
        <w:t>7.8</w:t>
      </w:r>
      <w:r w:rsidRPr="007E346D">
        <w:tab/>
        <w:t>In-channel selectivity</w:t>
      </w:r>
      <w:bookmarkEnd w:id="3305"/>
      <w:bookmarkEnd w:id="3306"/>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p>
    <w:p w14:paraId="6FD11398" w14:textId="7564D78E" w:rsidR="00D148F7" w:rsidRDefault="00D148F7" w:rsidP="00D148F7">
      <w:pPr>
        <w:pStyle w:val="Heading3"/>
        <w:rPr>
          <w:rFonts w:eastAsia="SimSun"/>
          <w:lang w:val="en-US" w:eastAsia="zh-CN"/>
        </w:rPr>
      </w:pPr>
      <w:bookmarkStart w:id="3347" w:name="_Toc53185419"/>
      <w:bookmarkStart w:id="3348" w:name="_Toc53185795"/>
      <w:bookmarkStart w:id="3349" w:name="_Toc57820280"/>
      <w:bookmarkStart w:id="3350" w:name="_Toc57821207"/>
      <w:bookmarkStart w:id="3351" w:name="_Toc61183483"/>
      <w:bookmarkStart w:id="3352" w:name="_Toc61183877"/>
      <w:bookmarkStart w:id="3353" w:name="_Toc61184269"/>
      <w:bookmarkStart w:id="3354" w:name="_Toc61184661"/>
      <w:bookmarkStart w:id="3355" w:name="_Toc61185051"/>
      <w:bookmarkStart w:id="3356" w:name="_Toc66386395"/>
      <w:bookmarkStart w:id="3357" w:name="_Toc74583236"/>
      <w:bookmarkStart w:id="3358" w:name="_Toc76542049"/>
      <w:bookmarkStart w:id="3359" w:name="_Toc82450031"/>
      <w:bookmarkStart w:id="3360" w:name="_Toc82450679"/>
      <w:bookmarkStart w:id="3361" w:name="_Toc89949068"/>
      <w:bookmarkStart w:id="3362" w:name="_Toc98755457"/>
      <w:bookmarkStart w:id="3363" w:name="_Toc98763048"/>
      <w:bookmarkStart w:id="3364" w:name="_Toc106183977"/>
      <w:r>
        <w:rPr>
          <w:rFonts w:eastAsia="SimSun" w:hint="eastAsia"/>
          <w:lang w:val="en-US" w:eastAsia="zh-CN"/>
        </w:rPr>
        <w:t>7</w:t>
      </w:r>
      <w:r>
        <w:t>.</w:t>
      </w:r>
      <w:r>
        <w:rPr>
          <w:rFonts w:eastAsia="SimSun" w:hint="eastAsia"/>
          <w:lang w:val="en-US" w:eastAsia="zh-CN"/>
        </w:rPr>
        <w:t>8</w:t>
      </w:r>
      <w:r>
        <w:t>.1</w:t>
      </w:r>
      <w:r w:rsidR="00815C5B">
        <w:tab/>
      </w:r>
      <w:r>
        <w:rPr>
          <w:rFonts w:eastAsia="SimSun" w:hint="eastAsia"/>
          <w:lang w:val="en-US" w:eastAsia="zh-CN"/>
        </w:rPr>
        <w:t>General</w:t>
      </w:r>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p>
    <w:p w14:paraId="42E9AB80" w14:textId="77777777" w:rsidR="00D148F7" w:rsidRDefault="00D148F7" w:rsidP="00D148F7">
      <w:r>
        <w:t>In-channel selectivity (ICS) is a measure of the receiver ability to receive a wanted signal at its assigned resource block locations</w:t>
      </w:r>
      <w:r>
        <w:rPr>
          <w:lang w:val="en-US" w:eastAsia="zh-CN"/>
        </w:rPr>
        <w:t xml:space="preserve"> </w:t>
      </w:r>
      <w:r>
        <w:rPr>
          <w:i/>
        </w:rPr>
        <w:t>TAB connector</w:t>
      </w:r>
      <w:r>
        <w:rPr>
          <w:i/>
          <w:lang w:val="en-US" w:eastAsia="zh-CN"/>
        </w:rPr>
        <w:t xml:space="preserve"> </w:t>
      </w:r>
      <w:r>
        <w:rPr>
          <w:rFonts w:eastAsia="??"/>
        </w:rPr>
        <w:t xml:space="preserve">for </w:t>
      </w:r>
      <w:r>
        <w:rPr>
          <w:rFonts w:hint="eastAsia"/>
          <w:i/>
          <w:iCs/>
        </w:rPr>
        <w:t>IAB-DU</w:t>
      </w:r>
      <w:r>
        <w:rPr>
          <w:rFonts w:eastAsia="SimSun" w:hint="eastAsia"/>
          <w:i/>
          <w:iCs/>
          <w:lang w:val="en-US" w:eastAsia="zh-CN"/>
        </w:rPr>
        <w:t xml:space="preserve"> type 1-H</w:t>
      </w:r>
      <w:r>
        <w:t xml:space="preserve"> in the presence of an interfering signal received at a larger power spectral density. In this condition a throughput requirement shall be met for a specified reference measurement channel. </w:t>
      </w:r>
      <w:r>
        <w:rPr>
          <w:rFonts w:eastAsia="MS PGothic"/>
        </w:rPr>
        <w:t>The interfering signal shall be</w:t>
      </w:r>
      <w:r>
        <w:rPr>
          <w:rFonts w:eastAsia="MS PGothic" w:cs="v4.2.0"/>
        </w:rPr>
        <w:t xml:space="preserve"> an </w:t>
      </w:r>
      <w:r>
        <w:rPr>
          <w:lang w:eastAsia="zh-CN"/>
        </w:rPr>
        <w:t>NR</w:t>
      </w:r>
      <w:r>
        <w:rPr>
          <w:rFonts w:eastAsia="MS PGothic"/>
        </w:rPr>
        <w:t xml:space="preserve"> signal which is time aligned with the wanted signal</w:t>
      </w:r>
      <w:r>
        <w:rPr>
          <w:rFonts w:eastAsia="MS PGothic" w:cs="v4.2.0"/>
        </w:rPr>
        <w:t>.</w:t>
      </w:r>
    </w:p>
    <w:p w14:paraId="19651BF4" w14:textId="0C342EB7" w:rsidR="00D148F7" w:rsidRDefault="00D148F7" w:rsidP="00D148F7">
      <w:pPr>
        <w:pStyle w:val="Heading3"/>
        <w:rPr>
          <w:rFonts w:eastAsia="SimSun"/>
          <w:lang w:val="en-US" w:eastAsia="zh-CN"/>
        </w:rPr>
      </w:pPr>
      <w:bookmarkStart w:id="3365" w:name="_Toc53185420"/>
      <w:bookmarkStart w:id="3366" w:name="_Toc53185796"/>
      <w:bookmarkStart w:id="3367" w:name="_Toc57820281"/>
      <w:bookmarkStart w:id="3368" w:name="_Toc57821208"/>
      <w:bookmarkStart w:id="3369" w:name="_Toc61183484"/>
      <w:bookmarkStart w:id="3370" w:name="_Toc61183878"/>
      <w:bookmarkStart w:id="3371" w:name="_Toc61184270"/>
      <w:bookmarkStart w:id="3372" w:name="_Toc61184662"/>
      <w:bookmarkStart w:id="3373" w:name="_Toc61185052"/>
      <w:bookmarkStart w:id="3374" w:name="_Toc66386396"/>
      <w:bookmarkStart w:id="3375" w:name="_Toc74583237"/>
      <w:bookmarkStart w:id="3376" w:name="_Toc76542050"/>
      <w:bookmarkStart w:id="3377" w:name="_Toc82450032"/>
      <w:bookmarkStart w:id="3378" w:name="_Toc82450680"/>
      <w:bookmarkStart w:id="3379" w:name="_Toc89949069"/>
      <w:bookmarkStart w:id="3380" w:name="_Toc98755458"/>
      <w:bookmarkStart w:id="3381" w:name="_Toc98763049"/>
      <w:bookmarkStart w:id="3382" w:name="_Toc106183978"/>
      <w:r>
        <w:rPr>
          <w:rFonts w:eastAsia="SimSun" w:hint="eastAsia"/>
          <w:lang w:val="en-US" w:eastAsia="zh-CN"/>
        </w:rPr>
        <w:t>7</w:t>
      </w:r>
      <w:r>
        <w:t>.</w:t>
      </w:r>
      <w:r>
        <w:rPr>
          <w:rFonts w:eastAsia="SimSun" w:hint="eastAsia"/>
          <w:lang w:val="en-US" w:eastAsia="zh-CN"/>
        </w:rPr>
        <w:t>8</w:t>
      </w:r>
      <w:r>
        <w:t>.</w:t>
      </w:r>
      <w:r>
        <w:rPr>
          <w:rFonts w:eastAsia="SimSun" w:hint="eastAsia"/>
          <w:lang w:val="en-US" w:eastAsia="zh-CN"/>
        </w:rPr>
        <w:t>2</w:t>
      </w:r>
      <w:r w:rsidR="00815C5B">
        <w:tab/>
      </w:r>
      <w:r>
        <w:rPr>
          <w:rFonts w:eastAsia="SimSun" w:hint="eastAsia"/>
          <w:lang w:val="en-US" w:eastAsia="zh-CN"/>
        </w:rPr>
        <w:t xml:space="preserve">Minimum requirement for </w:t>
      </w:r>
      <w:r w:rsidRPr="00F947E2">
        <w:rPr>
          <w:rFonts w:eastAsia="SimSun"/>
          <w:i/>
          <w:iCs/>
          <w:lang w:val="en-US" w:eastAsia="zh-CN"/>
        </w:rPr>
        <w:t xml:space="preserve">IAB-DU </w:t>
      </w:r>
      <w:r w:rsidRPr="00C9307F">
        <w:rPr>
          <w:rFonts w:eastAsia="SimSun"/>
          <w:i/>
          <w:iCs/>
          <w:lang w:eastAsia="zh-CN"/>
        </w:rPr>
        <w:t>type</w:t>
      </w:r>
      <w:r>
        <w:rPr>
          <w:rFonts w:eastAsia="SimSun"/>
          <w:i/>
          <w:lang w:eastAsia="zh-CN"/>
        </w:rPr>
        <w:t xml:space="preserve"> 1-H</w:t>
      </w:r>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p>
    <w:p w14:paraId="56EE19EF" w14:textId="32048E22" w:rsidR="00D148F7" w:rsidRDefault="00D148F7" w:rsidP="00D148F7">
      <w:bookmarkStart w:id="3383" w:name="OLE_LINK7"/>
      <w:r>
        <w:t xml:space="preserve">The wide area IAB-DU </w:t>
      </w:r>
      <w:r>
        <w:rPr>
          <w:rFonts w:eastAsia="SimSun" w:hint="eastAsia"/>
          <w:lang w:val="en-US" w:eastAsia="zh-CN"/>
        </w:rPr>
        <w:t xml:space="preserve">receiver </w:t>
      </w:r>
      <w:bookmarkStart w:id="3384" w:name="OLE_LINK6"/>
      <w:r>
        <w:rPr>
          <w:rFonts w:eastAsia="SimSun" w:hint="eastAsia"/>
          <w:lang w:val="en-US" w:eastAsia="zh-CN"/>
        </w:rPr>
        <w:t>in-channel selectivity requirement</w:t>
      </w:r>
      <w:bookmarkEnd w:id="3384"/>
      <w:r>
        <w:t xml:space="preserve"> is specified the same as the wide area </w:t>
      </w:r>
      <w:r>
        <w:rPr>
          <w:rFonts w:eastAsia="SimSun" w:hint="eastAsia"/>
          <w:lang w:val="en-US" w:eastAsia="zh-CN"/>
        </w:rPr>
        <w:t>receiver in-channel selectivity requirement</w:t>
      </w:r>
      <w:r>
        <w:t xml:space="preserve"> for BS</w:t>
      </w:r>
      <w:r>
        <w:rPr>
          <w:i/>
        </w:rPr>
        <w:t xml:space="preserve"> type 1-H</w:t>
      </w:r>
      <w:r>
        <w:t xml:space="preserve"> in TS 38.104[</w:t>
      </w:r>
      <w:r w:rsidR="0098686A">
        <w:t>2</w:t>
      </w:r>
      <w:r>
        <w:t>], subclause 7.</w:t>
      </w:r>
      <w:r>
        <w:rPr>
          <w:rFonts w:eastAsia="SimSun" w:hint="eastAsia"/>
          <w:lang w:val="en-US" w:eastAsia="zh-CN"/>
        </w:rPr>
        <w:t>8</w:t>
      </w:r>
      <w:r>
        <w:t xml:space="preserve">.2, where references to </w:t>
      </w:r>
      <w:r>
        <w:rPr>
          <w:i/>
        </w:rPr>
        <w:t>BS channel bandwidth</w:t>
      </w:r>
      <w:r>
        <w:t xml:space="preserve"> apply to </w:t>
      </w:r>
      <w:r>
        <w:rPr>
          <w:i/>
        </w:rPr>
        <w:t>IAB-DU channel bandwidth</w:t>
      </w:r>
      <w:r>
        <w:t>.</w:t>
      </w:r>
    </w:p>
    <w:p w14:paraId="0765CBCE" w14:textId="6B79FADB" w:rsidR="00D148F7" w:rsidRDefault="00D148F7" w:rsidP="00D148F7">
      <w:r>
        <w:t xml:space="preserve">The medium range IAB-DU </w:t>
      </w:r>
      <w:r>
        <w:rPr>
          <w:rFonts w:eastAsia="SimSun" w:hint="eastAsia"/>
          <w:lang w:val="en-US" w:eastAsia="zh-CN"/>
        </w:rPr>
        <w:t>receiver in-channel selectivity requirement</w:t>
      </w:r>
      <w:r>
        <w:t xml:space="preserve"> is specified the same as the medium range BS  </w:t>
      </w:r>
      <w:r>
        <w:rPr>
          <w:rFonts w:eastAsia="SimSun" w:hint="eastAsia"/>
          <w:lang w:val="en-US" w:eastAsia="zh-CN"/>
        </w:rPr>
        <w:t>receiver in-channel selectivity requirement</w:t>
      </w:r>
      <w:r>
        <w:t xml:space="preserve"> for BS</w:t>
      </w:r>
      <w:r>
        <w:rPr>
          <w:i/>
        </w:rPr>
        <w:t xml:space="preserve"> type 1-H</w:t>
      </w:r>
      <w:r>
        <w:t xml:space="preserve"> in TS 38.104[</w:t>
      </w:r>
      <w:r w:rsidR="0098686A">
        <w:t>2</w:t>
      </w:r>
      <w:r>
        <w:t>], subclause 7.</w:t>
      </w:r>
      <w:r>
        <w:rPr>
          <w:rFonts w:eastAsia="SimSun" w:hint="eastAsia"/>
          <w:lang w:val="en-US" w:eastAsia="zh-CN"/>
        </w:rPr>
        <w:t>8</w:t>
      </w:r>
      <w:r>
        <w:t xml:space="preserve">.2, where references to </w:t>
      </w:r>
      <w:r>
        <w:rPr>
          <w:i/>
        </w:rPr>
        <w:t>BS channel bandwidth</w:t>
      </w:r>
      <w:r>
        <w:t xml:space="preserve"> apply to </w:t>
      </w:r>
      <w:r>
        <w:rPr>
          <w:i/>
        </w:rPr>
        <w:t>IAB-DU channel bandwidth</w:t>
      </w:r>
      <w:r>
        <w:t>.</w:t>
      </w:r>
    </w:p>
    <w:p w14:paraId="6748597A" w14:textId="2752E6E8" w:rsidR="00D148F7" w:rsidRDefault="00D148F7" w:rsidP="00D148F7">
      <w:r>
        <w:t xml:space="preserve">The local area IAB-DU </w:t>
      </w:r>
      <w:r>
        <w:rPr>
          <w:rFonts w:eastAsia="SimSun" w:hint="eastAsia"/>
          <w:lang w:val="en-US" w:eastAsia="zh-CN"/>
        </w:rPr>
        <w:t>receiver in-channel selectivity requirement</w:t>
      </w:r>
      <w:r>
        <w:t xml:space="preserve"> is specified the same as the local area BS  </w:t>
      </w:r>
      <w:r>
        <w:rPr>
          <w:rFonts w:eastAsia="SimSun" w:hint="eastAsia"/>
          <w:lang w:val="en-US" w:eastAsia="zh-CN"/>
        </w:rPr>
        <w:t>receiver in-channel selectivity requirement</w:t>
      </w:r>
      <w:r>
        <w:t xml:space="preserve"> for BS</w:t>
      </w:r>
      <w:r>
        <w:rPr>
          <w:i/>
        </w:rPr>
        <w:t xml:space="preserve"> type 1-H</w:t>
      </w:r>
      <w:r>
        <w:t xml:space="preserve"> in TS 38.104[</w:t>
      </w:r>
      <w:r w:rsidR="0098686A">
        <w:t>2</w:t>
      </w:r>
      <w:r>
        <w:t>], subclause 7.</w:t>
      </w:r>
      <w:r>
        <w:rPr>
          <w:rFonts w:eastAsia="SimSun" w:hint="eastAsia"/>
          <w:lang w:val="en-US" w:eastAsia="zh-CN"/>
        </w:rPr>
        <w:t>8</w:t>
      </w:r>
      <w:r>
        <w:t xml:space="preserve">.2, where references to </w:t>
      </w:r>
      <w:r>
        <w:rPr>
          <w:i/>
        </w:rPr>
        <w:t>BS channel bandwidth</w:t>
      </w:r>
      <w:r>
        <w:t xml:space="preserve"> apply to </w:t>
      </w:r>
      <w:r>
        <w:rPr>
          <w:i/>
        </w:rPr>
        <w:t>IAB-DU channel bandwidth</w:t>
      </w:r>
      <w:r>
        <w:t>.</w:t>
      </w:r>
    </w:p>
    <w:p w14:paraId="5D9D8DA3" w14:textId="77777777" w:rsidR="00D148F7" w:rsidRDefault="00D148F7" w:rsidP="00D148F7">
      <w:r>
        <w:t>Referenced requirements applying to NB</w:t>
      </w:r>
      <w:r>
        <w:rPr>
          <w:rFonts w:eastAsia="SimSun" w:hint="eastAsia"/>
          <w:lang w:val="en-US" w:eastAsia="zh-CN"/>
        </w:rPr>
        <w:t>-</w:t>
      </w:r>
      <w:r>
        <w:t>IoT are not applicable to the IAB-DU</w:t>
      </w:r>
    </w:p>
    <w:bookmarkEnd w:id="3383"/>
    <w:p w14:paraId="11E3204C" w14:textId="77777777" w:rsidR="00AB1323" w:rsidRPr="00F52FCE" w:rsidRDefault="00AB1323" w:rsidP="00AB1323"/>
    <w:p w14:paraId="515AAEB1" w14:textId="77777777" w:rsidR="00077B6E" w:rsidRPr="007E346D" w:rsidRDefault="00077B6E" w:rsidP="00077B6E">
      <w:pPr>
        <w:pStyle w:val="Heading1"/>
      </w:pPr>
      <w:bookmarkStart w:id="3385" w:name="_Toc13080270"/>
      <w:bookmarkStart w:id="3386" w:name="_Toc18916180"/>
      <w:bookmarkStart w:id="3387" w:name="_Toc53185421"/>
      <w:bookmarkStart w:id="3388" w:name="_Toc53185797"/>
      <w:bookmarkStart w:id="3389" w:name="_Toc57820282"/>
      <w:bookmarkStart w:id="3390" w:name="_Toc57821209"/>
      <w:bookmarkStart w:id="3391" w:name="_Toc61183485"/>
      <w:bookmarkStart w:id="3392" w:name="_Toc61183879"/>
      <w:bookmarkStart w:id="3393" w:name="_Toc61184271"/>
      <w:bookmarkStart w:id="3394" w:name="_Toc61184663"/>
      <w:bookmarkStart w:id="3395" w:name="_Toc61185053"/>
      <w:bookmarkStart w:id="3396" w:name="_Toc66386397"/>
      <w:bookmarkStart w:id="3397" w:name="_Toc74583238"/>
      <w:bookmarkStart w:id="3398" w:name="_Toc76542051"/>
      <w:bookmarkStart w:id="3399" w:name="_Toc82450033"/>
      <w:bookmarkStart w:id="3400" w:name="_Toc82450681"/>
      <w:bookmarkStart w:id="3401" w:name="_Toc89949070"/>
      <w:bookmarkStart w:id="3402" w:name="_Toc98755459"/>
      <w:bookmarkStart w:id="3403" w:name="_Toc98763050"/>
      <w:bookmarkStart w:id="3404" w:name="_Toc106183979"/>
      <w:bookmarkEnd w:id="3307"/>
      <w:r w:rsidRPr="007E346D">
        <w:t>8</w:t>
      </w:r>
      <w:r w:rsidRPr="007E346D">
        <w:tab/>
        <w:t>Conducted performance requirements</w:t>
      </w:r>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p>
    <w:p w14:paraId="1849794C" w14:textId="77777777" w:rsidR="00241417" w:rsidRDefault="00241417" w:rsidP="00241417">
      <w:pPr>
        <w:pStyle w:val="Heading2"/>
      </w:pPr>
      <w:bookmarkStart w:id="3405" w:name="_Toc74583239"/>
      <w:bookmarkStart w:id="3406" w:name="_Toc76542052"/>
      <w:bookmarkStart w:id="3407" w:name="_Toc82450034"/>
      <w:bookmarkStart w:id="3408" w:name="_Toc82450682"/>
      <w:bookmarkStart w:id="3409" w:name="_Toc89949071"/>
      <w:bookmarkStart w:id="3410" w:name="_Toc98755460"/>
      <w:bookmarkStart w:id="3411" w:name="_Toc98763051"/>
      <w:bookmarkStart w:id="3412" w:name="_Toc106183980"/>
      <w:bookmarkStart w:id="3413" w:name="_Hlk74564099"/>
      <w:bookmarkStart w:id="3414" w:name="_Toc13080327"/>
      <w:bookmarkStart w:id="3415" w:name="_Toc18916181"/>
      <w:bookmarkStart w:id="3416" w:name="_Toc53185422"/>
      <w:bookmarkStart w:id="3417" w:name="_Toc53185798"/>
      <w:bookmarkStart w:id="3418" w:name="_Toc57820283"/>
      <w:bookmarkStart w:id="3419" w:name="_Toc57821210"/>
      <w:bookmarkStart w:id="3420" w:name="_Toc61183486"/>
      <w:bookmarkStart w:id="3421" w:name="_Toc61183880"/>
      <w:bookmarkStart w:id="3422" w:name="_Toc61184272"/>
      <w:bookmarkStart w:id="3423" w:name="_Toc61184664"/>
      <w:bookmarkStart w:id="3424" w:name="_Toc61185054"/>
      <w:bookmarkStart w:id="3425" w:name="_Toc66386398"/>
      <w:r w:rsidRPr="00083B79">
        <w:t>8.1</w:t>
      </w:r>
      <w:r w:rsidRPr="00DD2004">
        <w:tab/>
        <w:t>IAB-DU performance requirements</w:t>
      </w:r>
      <w:bookmarkEnd w:id="3405"/>
      <w:bookmarkEnd w:id="3406"/>
      <w:bookmarkEnd w:id="3407"/>
      <w:bookmarkEnd w:id="3408"/>
      <w:bookmarkEnd w:id="3409"/>
      <w:bookmarkEnd w:id="3410"/>
      <w:bookmarkEnd w:id="3411"/>
      <w:bookmarkEnd w:id="3412"/>
    </w:p>
    <w:p w14:paraId="55BF1467" w14:textId="77777777" w:rsidR="00241417" w:rsidRPr="00DD4DE9" w:rsidRDefault="00241417" w:rsidP="00241417">
      <w:pPr>
        <w:pStyle w:val="Heading3"/>
      </w:pPr>
      <w:bookmarkStart w:id="3426" w:name="_Toc74583240"/>
      <w:bookmarkStart w:id="3427" w:name="_Toc76542053"/>
      <w:bookmarkStart w:id="3428" w:name="_Toc82450035"/>
      <w:bookmarkStart w:id="3429" w:name="_Toc82450683"/>
      <w:bookmarkStart w:id="3430" w:name="_Toc89949072"/>
      <w:bookmarkStart w:id="3431" w:name="_Toc98755461"/>
      <w:bookmarkStart w:id="3432" w:name="_Toc98763052"/>
      <w:bookmarkStart w:id="3433" w:name="_Toc106183981"/>
      <w:r>
        <w:t>8</w:t>
      </w:r>
      <w:r w:rsidRPr="00DD4DE9">
        <w:t>.</w:t>
      </w:r>
      <w:r>
        <w:t>1</w:t>
      </w:r>
      <w:r w:rsidRPr="00DD4DE9">
        <w:t>.1</w:t>
      </w:r>
      <w:r w:rsidRPr="00DD4DE9">
        <w:tab/>
      </w:r>
      <w:r>
        <w:t>General</w:t>
      </w:r>
      <w:bookmarkEnd w:id="3426"/>
      <w:bookmarkEnd w:id="3427"/>
      <w:bookmarkEnd w:id="3428"/>
      <w:bookmarkEnd w:id="3429"/>
      <w:bookmarkEnd w:id="3430"/>
      <w:bookmarkEnd w:id="3431"/>
      <w:bookmarkEnd w:id="3432"/>
      <w:bookmarkEnd w:id="3433"/>
      <w:r w:rsidRPr="00DD4DE9">
        <w:t xml:space="preserve"> </w:t>
      </w:r>
    </w:p>
    <w:p w14:paraId="1E7E8B50" w14:textId="77777777" w:rsidR="00241417" w:rsidRPr="006C7AF4" w:rsidRDefault="00241417" w:rsidP="00241417">
      <w:pPr>
        <w:rPr>
          <w:lang w:val="en-US"/>
        </w:rPr>
      </w:pPr>
      <w:r w:rsidRPr="006C7AF4">
        <w:rPr>
          <w:lang w:val="en-US"/>
        </w:rPr>
        <w:t>Conducted performance requirements specify the ability of the IAB type 1-H to correctly demodulate signals in various conditions and configurations. Conducted performance requirements are specified at the TAB connector(s).</w:t>
      </w:r>
    </w:p>
    <w:p w14:paraId="77B33202" w14:textId="71B1C4C6" w:rsidR="00241417" w:rsidRPr="006C7AF4" w:rsidRDefault="00241417" w:rsidP="00241417">
      <w:pPr>
        <w:rPr>
          <w:lang w:val="en-US"/>
        </w:rPr>
      </w:pPr>
      <w:r w:rsidRPr="006C7AF4">
        <w:rPr>
          <w:lang w:val="en-US"/>
        </w:rPr>
        <w:t xml:space="preserve">Conducted performance requirements for the IAB-DU are specified for the fixed reference channels defined in annex A and the propagation conditions in annex </w:t>
      </w:r>
      <w:r>
        <w:rPr>
          <w:lang w:val="en-US"/>
        </w:rPr>
        <w:t>TBA</w:t>
      </w:r>
      <w:r w:rsidRPr="006C7AF4">
        <w:rPr>
          <w:lang w:val="en-US"/>
        </w:rPr>
        <w:t>. The requirements only apply to those FRCs that are supported by the IAB-DU.</w:t>
      </w:r>
    </w:p>
    <w:p w14:paraId="30926E8A" w14:textId="77777777" w:rsidR="00241417" w:rsidRPr="006C7AF4" w:rsidRDefault="00241417" w:rsidP="00241417">
      <w:pPr>
        <w:rPr>
          <w:lang w:val="en-US"/>
        </w:rPr>
      </w:pPr>
      <w:r w:rsidRPr="006C7AF4">
        <w:rPr>
          <w:lang w:val="en-US"/>
        </w:rPr>
        <w:t>Unless stated otherwise, performance requirements apply for a single carrier only. Performance requirements for an IAB-DU supporting carrier aggregation are defined in terms of single carrier requirements.</w:t>
      </w:r>
    </w:p>
    <w:p w14:paraId="7CA768B0" w14:textId="77777777" w:rsidR="00241417" w:rsidRPr="006C7AF4" w:rsidRDefault="00241417" w:rsidP="00241417">
      <w:pPr>
        <w:rPr>
          <w:lang w:val="en-US"/>
        </w:rPr>
      </w:pPr>
      <w:r w:rsidRPr="006C7AF4">
        <w:rPr>
          <w:lang w:val="en-US"/>
        </w:rPr>
        <w:t>The SNR used in this clause is specified based on a single carrier and defined as:</w:t>
      </w:r>
    </w:p>
    <w:p w14:paraId="3D682FDC" w14:textId="77777777" w:rsidR="00241417" w:rsidRPr="006C7AF4" w:rsidRDefault="00241417" w:rsidP="00241417">
      <w:pPr>
        <w:rPr>
          <w:lang w:val="en-US"/>
        </w:rPr>
      </w:pPr>
      <w:r w:rsidRPr="006C7AF4">
        <w:rPr>
          <w:lang w:val="en-US"/>
        </w:rPr>
        <w:lastRenderedPageBreak/>
        <w:t>SNR = S / N</w:t>
      </w:r>
    </w:p>
    <w:p w14:paraId="6100D194" w14:textId="77777777" w:rsidR="00241417" w:rsidRPr="006C7AF4" w:rsidRDefault="00241417" w:rsidP="00241417">
      <w:pPr>
        <w:rPr>
          <w:lang w:val="en-US"/>
        </w:rPr>
      </w:pPr>
      <w:r w:rsidRPr="006C7AF4">
        <w:rPr>
          <w:lang w:val="en-US"/>
        </w:rPr>
        <w:t>Where:</w:t>
      </w:r>
    </w:p>
    <w:p w14:paraId="7774FF9E" w14:textId="77777777" w:rsidR="00241417" w:rsidRPr="006C7AF4" w:rsidRDefault="00241417" w:rsidP="00241417">
      <w:pPr>
        <w:pStyle w:val="B10"/>
        <w:rPr>
          <w:lang w:val="en-US"/>
        </w:rPr>
      </w:pPr>
      <w:r w:rsidRPr="006C7AF4">
        <w:rPr>
          <w:lang w:val="en-US"/>
        </w:rPr>
        <w:t>S</w:t>
      </w:r>
      <w:r w:rsidRPr="006C7AF4">
        <w:rPr>
          <w:lang w:val="en-US"/>
        </w:rPr>
        <w:tab/>
        <w:t>is the total signal energy in the slot on a single TAB connector.</w:t>
      </w:r>
    </w:p>
    <w:p w14:paraId="5E7F3CF8" w14:textId="77777777" w:rsidR="00241417" w:rsidRPr="006C7AF4" w:rsidRDefault="00241417" w:rsidP="00241417">
      <w:pPr>
        <w:pStyle w:val="B10"/>
        <w:rPr>
          <w:lang w:val="en-US"/>
        </w:rPr>
      </w:pPr>
      <w:r w:rsidRPr="006C7AF4">
        <w:rPr>
          <w:lang w:val="en-US"/>
        </w:rPr>
        <w:t>N</w:t>
      </w:r>
      <w:r w:rsidRPr="006C7AF4">
        <w:rPr>
          <w:lang w:val="en-US"/>
        </w:rPr>
        <w:tab/>
        <w:t>is the noise energy in a bandwidth corresponding to the transmission bandwidth over the duration of a slot on a single TAB connector.</w:t>
      </w:r>
    </w:p>
    <w:p w14:paraId="5252D793" w14:textId="77777777" w:rsidR="00241417" w:rsidRPr="00DD4DE9" w:rsidRDefault="00241417" w:rsidP="00241417">
      <w:pPr>
        <w:pStyle w:val="Heading3"/>
      </w:pPr>
      <w:bookmarkStart w:id="3434" w:name="_Toc74583241"/>
      <w:bookmarkStart w:id="3435" w:name="_Toc76542054"/>
      <w:bookmarkStart w:id="3436" w:name="_Toc82450036"/>
      <w:bookmarkStart w:id="3437" w:name="_Toc82450684"/>
      <w:bookmarkStart w:id="3438" w:name="_Toc89949073"/>
      <w:bookmarkStart w:id="3439" w:name="_Toc98755462"/>
      <w:bookmarkStart w:id="3440" w:name="_Toc98763053"/>
      <w:bookmarkStart w:id="3441" w:name="_Toc106183982"/>
      <w:r>
        <w:t>8</w:t>
      </w:r>
      <w:r w:rsidRPr="00DD4DE9">
        <w:t>.</w:t>
      </w:r>
      <w:r>
        <w:t>1</w:t>
      </w:r>
      <w:r w:rsidRPr="00DD4DE9">
        <w:t>.</w:t>
      </w:r>
      <w:r>
        <w:t>2</w:t>
      </w:r>
      <w:r w:rsidRPr="00DD4DE9">
        <w:tab/>
      </w:r>
      <w:r>
        <w:t>Performance requirements for PUSCH</w:t>
      </w:r>
      <w:bookmarkEnd w:id="3434"/>
      <w:bookmarkEnd w:id="3435"/>
      <w:bookmarkEnd w:id="3436"/>
      <w:bookmarkEnd w:id="3437"/>
      <w:bookmarkEnd w:id="3438"/>
      <w:bookmarkEnd w:id="3439"/>
      <w:bookmarkEnd w:id="3440"/>
      <w:bookmarkEnd w:id="3441"/>
      <w:r w:rsidRPr="00DD4DE9">
        <w:t xml:space="preserve"> </w:t>
      </w:r>
    </w:p>
    <w:p w14:paraId="4F25084E" w14:textId="77777777" w:rsidR="00241417" w:rsidRDefault="00241417" w:rsidP="00241417">
      <w:pPr>
        <w:pStyle w:val="Heading4"/>
        <w:rPr>
          <w:rFonts w:eastAsia="Malgun Gothic"/>
        </w:rPr>
      </w:pPr>
      <w:bookmarkStart w:id="3442" w:name="_Toc21127566"/>
      <w:bookmarkStart w:id="3443" w:name="_Toc29811775"/>
      <w:bookmarkStart w:id="3444" w:name="_Toc36817327"/>
      <w:bookmarkStart w:id="3445" w:name="_Toc37260244"/>
      <w:bookmarkStart w:id="3446" w:name="_Toc37267632"/>
      <w:bookmarkStart w:id="3447" w:name="_Toc44712234"/>
      <w:bookmarkStart w:id="3448" w:name="_Toc45893547"/>
      <w:bookmarkStart w:id="3449" w:name="_Toc53178269"/>
      <w:bookmarkStart w:id="3450" w:name="_Toc53178720"/>
      <w:bookmarkStart w:id="3451" w:name="_Toc61177959"/>
      <w:bookmarkStart w:id="3452" w:name="_Toc61178431"/>
      <w:bookmarkStart w:id="3453" w:name="_Toc74583242"/>
      <w:bookmarkStart w:id="3454" w:name="_Toc76542055"/>
      <w:bookmarkStart w:id="3455" w:name="_Toc82450037"/>
      <w:bookmarkStart w:id="3456" w:name="_Toc82450685"/>
      <w:bookmarkStart w:id="3457" w:name="_Toc89949074"/>
      <w:bookmarkStart w:id="3458" w:name="_Toc98755463"/>
      <w:bookmarkStart w:id="3459" w:name="_Toc98763054"/>
      <w:bookmarkStart w:id="3460" w:name="_Toc106183983"/>
      <w:r w:rsidRPr="00B454A0">
        <w:rPr>
          <w:rFonts w:eastAsia="Malgun Gothic"/>
        </w:rPr>
        <w:t>8.</w:t>
      </w:r>
      <w:r>
        <w:rPr>
          <w:rFonts w:eastAsia="Malgun Gothic"/>
        </w:rPr>
        <w:t>1</w:t>
      </w:r>
      <w:r w:rsidRPr="00B454A0">
        <w:rPr>
          <w:rFonts w:eastAsia="Malgun Gothic"/>
        </w:rPr>
        <w:t>.</w:t>
      </w:r>
      <w:r>
        <w:rPr>
          <w:rFonts w:eastAsia="Malgun Gothic"/>
        </w:rPr>
        <w:t>2</w:t>
      </w:r>
      <w:r w:rsidRPr="00B454A0">
        <w:rPr>
          <w:rFonts w:eastAsia="Malgun Gothic"/>
        </w:rPr>
        <w:t>.1</w:t>
      </w:r>
      <w:r w:rsidRPr="00B454A0">
        <w:rPr>
          <w:rFonts w:eastAsia="Malgun Gothic"/>
        </w:rPr>
        <w:tab/>
      </w:r>
      <w:bookmarkEnd w:id="3442"/>
      <w:bookmarkEnd w:id="3443"/>
      <w:bookmarkEnd w:id="3444"/>
      <w:bookmarkEnd w:id="3445"/>
      <w:bookmarkEnd w:id="3446"/>
      <w:bookmarkEnd w:id="3447"/>
      <w:bookmarkEnd w:id="3448"/>
      <w:bookmarkEnd w:id="3449"/>
      <w:bookmarkEnd w:id="3450"/>
      <w:bookmarkEnd w:id="3451"/>
      <w:bookmarkEnd w:id="3452"/>
      <w:r w:rsidRPr="006E58D8">
        <w:rPr>
          <w:rFonts w:eastAsia="Malgun Gothic"/>
        </w:rPr>
        <w:t>Requirements for PUSCH with transform precoding disabled</w:t>
      </w:r>
      <w:bookmarkEnd w:id="3453"/>
      <w:bookmarkEnd w:id="3454"/>
      <w:bookmarkEnd w:id="3455"/>
      <w:bookmarkEnd w:id="3456"/>
      <w:bookmarkEnd w:id="3457"/>
      <w:bookmarkEnd w:id="3458"/>
      <w:bookmarkEnd w:id="3459"/>
      <w:bookmarkEnd w:id="3460"/>
    </w:p>
    <w:p w14:paraId="5ABC735F" w14:textId="77777777" w:rsidR="00241417" w:rsidRDefault="00241417" w:rsidP="00241417">
      <w:pPr>
        <w:pStyle w:val="Heading5"/>
      </w:pPr>
      <w:bookmarkStart w:id="3461" w:name="_Toc74583243"/>
      <w:bookmarkStart w:id="3462" w:name="_Toc76542056"/>
      <w:bookmarkStart w:id="3463" w:name="_Toc82450038"/>
      <w:bookmarkStart w:id="3464" w:name="_Toc82450686"/>
      <w:bookmarkStart w:id="3465" w:name="_Toc89949075"/>
      <w:bookmarkStart w:id="3466" w:name="_Toc98755464"/>
      <w:bookmarkStart w:id="3467" w:name="_Toc98763055"/>
      <w:bookmarkStart w:id="3468" w:name="_Toc106183984"/>
      <w:r>
        <w:t>8</w:t>
      </w:r>
      <w:r w:rsidRPr="00EE4A40">
        <w:t>.</w:t>
      </w:r>
      <w:r>
        <w:t>1</w:t>
      </w:r>
      <w:r w:rsidRPr="00EE4A40">
        <w:t>.</w:t>
      </w:r>
      <w:r>
        <w:t>2</w:t>
      </w:r>
      <w:r w:rsidRPr="00EE4A40">
        <w:t>.</w:t>
      </w:r>
      <w:r>
        <w:t>1</w:t>
      </w:r>
      <w:r w:rsidRPr="00EE4A40">
        <w:t>.</w:t>
      </w:r>
      <w:r>
        <w:t>1</w:t>
      </w:r>
      <w:r>
        <w:tab/>
        <w:t>General</w:t>
      </w:r>
      <w:bookmarkEnd w:id="3461"/>
      <w:bookmarkEnd w:id="3462"/>
      <w:bookmarkEnd w:id="3463"/>
      <w:bookmarkEnd w:id="3464"/>
      <w:bookmarkEnd w:id="3465"/>
      <w:bookmarkEnd w:id="3466"/>
      <w:bookmarkEnd w:id="3467"/>
      <w:bookmarkEnd w:id="3468"/>
    </w:p>
    <w:p w14:paraId="0AA2F7F4" w14:textId="77777777" w:rsidR="00241417" w:rsidRPr="006C7AF4" w:rsidRDefault="00241417" w:rsidP="00241417">
      <w:pPr>
        <w:rPr>
          <w:lang w:val="en-US"/>
        </w:rPr>
      </w:pPr>
      <w:r w:rsidRPr="006C7AF4">
        <w:rPr>
          <w:lang w:val="en-US"/>
        </w:rPr>
        <w:t>The performance requirement of PUSCH is determined by a minimum required throughput for a given SNR. The required throughput is expressed as a fraction of maximum throughput for the FRCs listed in annex A. The performance requirements assume HARQ retransmissions.</w:t>
      </w:r>
    </w:p>
    <w:p w14:paraId="2B02DDAC" w14:textId="4DCA5721" w:rsidR="00BC408B" w:rsidRDefault="00BC408B" w:rsidP="00BC408B">
      <w:pPr>
        <w:pStyle w:val="TH"/>
        <w:rPr>
          <w:b w:val="0"/>
          <w:lang w:val="en-US"/>
        </w:rPr>
      </w:pPr>
      <w:r>
        <w:rPr>
          <w:lang w:val="en-US"/>
        </w:rPr>
        <w:t>Table 8.1.2.1</w:t>
      </w:r>
      <w:r>
        <w:rPr>
          <w:lang w:val="en-US" w:eastAsia="zh-CN"/>
        </w:rPr>
        <w:t>.1</w:t>
      </w:r>
      <w:r>
        <w:rPr>
          <w:lang w:val="en-US"/>
        </w:rPr>
        <w:t>-1: Test parameters for testing 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1841"/>
        <w:gridCol w:w="5100"/>
        <w:gridCol w:w="2126"/>
      </w:tblGrid>
      <w:tr w:rsidR="00241417" w:rsidRPr="006820B3" w14:paraId="4FA4E32B" w14:textId="77777777" w:rsidTr="003A71DE">
        <w:trPr>
          <w:cantSplit/>
          <w:jc w:val="center"/>
        </w:trPr>
        <w:tc>
          <w:tcPr>
            <w:tcW w:w="6941" w:type="dxa"/>
            <w:gridSpan w:val="2"/>
            <w:vAlign w:val="center"/>
          </w:tcPr>
          <w:p w14:paraId="40EAA1B9" w14:textId="77777777" w:rsidR="00241417" w:rsidRPr="006820B3" w:rsidRDefault="00241417" w:rsidP="003A71DE">
            <w:pPr>
              <w:pStyle w:val="TAH"/>
            </w:pPr>
            <w:r w:rsidRPr="006820B3">
              <w:t>Parameter</w:t>
            </w:r>
          </w:p>
        </w:tc>
        <w:tc>
          <w:tcPr>
            <w:tcW w:w="2126" w:type="dxa"/>
            <w:vAlign w:val="center"/>
          </w:tcPr>
          <w:p w14:paraId="044B1658" w14:textId="77777777" w:rsidR="00241417" w:rsidRPr="006820B3" w:rsidRDefault="00241417" w:rsidP="003A71DE">
            <w:pPr>
              <w:pStyle w:val="TAH"/>
            </w:pPr>
            <w:r w:rsidRPr="006820B3">
              <w:t>Value</w:t>
            </w:r>
          </w:p>
        </w:tc>
      </w:tr>
      <w:tr w:rsidR="00241417" w:rsidRPr="006820B3" w14:paraId="2957E77E" w14:textId="77777777" w:rsidTr="003A71DE">
        <w:trPr>
          <w:cantSplit/>
          <w:jc w:val="center"/>
        </w:trPr>
        <w:tc>
          <w:tcPr>
            <w:tcW w:w="6941" w:type="dxa"/>
            <w:gridSpan w:val="2"/>
            <w:vAlign w:val="center"/>
          </w:tcPr>
          <w:p w14:paraId="03ABC11E" w14:textId="77777777" w:rsidR="00241417" w:rsidRPr="006820B3" w:rsidRDefault="00241417" w:rsidP="003A71DE">
            <w:pPr>
              <w:pStyle w:val="TAL"/>
            </w:pPr>
            <w:r w:rsidRPr="006820B3">
              <w:t>Transform precoding</w:t>
            </w:r>
          </w:p>
        </w:tc>
        <w:tc>
          <w:tcPr>
            <w:tcW w:w="2126" w:type="dxa"/>
            <w:vAlign w:val="center"/>
          </w:tcPr>
          <w:p w14:paraId="6F1C3CDD" w14:textId="77777777" w:rsidR="00241417" w:rsidRPr="006820B3" w:rsidRDefault="00241417" w:rsidP="003A71DE">
            <w:pPr>
              <w:pStyle w:val="TAC"/>
            </w:pPr>
            <w:r w:rsidRPr="006820B3">
              <w:t>Disabled</w:t>
            </w:r>
          </w:p>
        </w:tc>
      </w:tr>
      <w:tr w:rsidR="00241417" w:rsidRPr="00831E0A" w14:paraId="2007BB2F" w14:textId="77777777" w:rsidTr="003A71DE">
        <w:trPr>
          <w:cantSplit/>
          <w:jc w:val="center"/>
        </w:trPr>
        <w:tc>
          <w:tcPr>
            <w:tcW w:w="6941" w:type="dxa"/>
            <w:gridSpan w:val="2"/>
            <w:vAlign w:val="center"/>
          </w:tcPr>
          <w:p w14:paraId="2C589455" w14:textId="77777777" w:rsidR="00241417" w:rsidRPr="006C7AF4" w:rsidRDefault="00241417" w:rsidP="003A71DE">
            <w:pPr>
              <w:pStyle w:val="TAL"/>
              <w:rPr>
                <w:lang w:val="en-US"/>
              </w:rPr>
            </w:pPr>
            <w:r w:rsidRPr="006C7AF4">
              <w:rPr>
                <w:lang w:val="en-US"/>
              </w:rPr>
              <w:t>Default TDD UL-DL pattern (Note 1)</w:t>
            </w:r>
          </w:p>
        </w:tc>
        <w:tc>
          <w:tcPr>
            <w:tcW w:w="2126" w:type="dxa"/>
            <w:vAlign w:val="center"/>
          </w:tcPr>
          <w:p w14:paraId="5D3F4643" w14:textId="77777777" w:rsidR="00241417" w:rsidRPr="006C7AF4" w:rsidRDefault="00241417" w:rsidP="003A71DE">
            <w:pPr>
              <w:pStyle w:val="TAC"/>
              <w:rPr>
                <w:lang w:val="en-US"/>
              </w:rPr>
            </w:pPr>
            <w:r w:rsidRPr="006C7AF4">
              <w:rPr>
                <w:lang w:val="en-US"/>
              </w:rPr>
              <w:t>15 kHz SCS:</w:t>
            </w:r>
          </w:p>
          <w:p w14:paraId="5F7759D2" w14:textId="77777777" w:rsidR="00241417" w:rsidRPr="006C7AF4" w:rsidRDefault="00241417" w:rsidP="003A71DE">
            <w:pPr>
              <w:pStyle w:val="TAC"/>
              <w:rPr>
                <w:lang w:val="en-US"/>
              </w:rPr>
            </w:pPr>
            <w:r w:rsidRPr="006C7AF4">
              <w:rPr>
                <w:lang w:val="en-US"/>
              </w:rPr>
              <w:t>3D1S1U, S=10D:2G:2U</w:t>
            </w:r>
          </w:p>
          <w:p w14:paraId="00BDB332" w14:textId="77777777" w:rsidR="00241417" w:rsidRPr="006C7AF4" w:rsidRDefault="00241417" w:rsidP="003A71DE">
            <w:pPr>
              <w:pStyle w:val="TAC"/>
              <w:rPr>
                <w:lang w:val="en-US"/>
              </w:rPr>
            </w:pPr>
            <w:r w:rsidRPr="006C7AF4">
              <w:rPr>
                <w:lang w:val="en-US"/>
              </w:rPr>
              <w:t>30 kHz SCS:</w:t>
            </w:r>
          </w:p>
          <w:p w14:paraId="089039D8" w14:textId="77777777" w:rsidR="00241417" w:rsidRPr="006C7AF4" w:rsidRDefault="00241417" w:rsidP="003A71DE">
            <w:pPr>
              <w:pStyle w:val="TAC"/>
              <w:rPr>
                <w:lang w:val="en-US"/>
              </w:rPr>
            </w:pPr>
            <w:r w:rsidRPr="006C7AF4">
              <w:rPr>
                <w:lang w:val="en-US"/>
              </w:rPr>
              <w:t>7D1S2U, S=6D:4G:4U</w:t>
            </w:r>
          </w:p>
        </w:tc>
      </w:tr>
      <w:tr w:rsidR="00241417" w:rsidRPr="00831E0A" w14:paraId="74A27CAB" w14:textId="77777777" w:rsidTr="003A71DE">
        <w:trPr>
          <w:cantSplit/>
          <w:jc w:val="center"/>
        </w:trPr>
        <w:tc>
          <w:tcPr>
            <w:tcW w:w="6941" w:type="dxa"/>
            <w:gridSpan w:val="2"/>
            <w:vAlign w:val="center"/>
          </w:tcPr>
          <w:p w14:paraId="63A4C364" w14:textId="77777777" w:rsidR="00241417" w:rsidRPr="003C4C47" w:rsidRDefault="00241417" w:rsidP="003A71DE">
            <w:pPr>
              <w:pStyle w:val="TAL"/>
              <w:rPr>
                <w:lang w:val="en-US"/>
              </w:rPr>
            </w:pPr>
            <w:r>
              <w:rPr>
                <w:lang w:val="en-US"/>
              </w:rPr>
              <w:t>Cyclic prefix</w:t>
            </w:r>
          </w:p>
        </w:tc>
        <w:tc>
          <w:tcPr>
            <w:tcW w:w="2126" w:type="dxa"/>
            <w:vAlign w:val="center"/>
          </w:tcPr>
          <w:p w14:paraId="42E8B632" w14:textId="77777777" w:rsidR="00241417" w:rsidRPr="00B0062B" w:rsidRDefault="00241417" w:rsidP="003A71DE">
            <w:pPr>
              <w:pStyle w:val="TAC"/>
              <w:rPr>
                <w:lang w:val="en-US"/>
              </w:rPr>
            </w:pPr>
            <w:r>
              <w:rPr>
                <w:lang w:val="en-US"/>
              </w:rPr>
              <w:t>Normal</w:t>
            </w:r>
          </w:p>
        </w:tc>
      </w:tr>
      <w:tr w:rsidR="00241417" w:rsidRPr="006820B3" w14:paraId="4B42563F" w14:textId="77777777" w:rsidTr="003A71DE">
        <w:trPr>
          <w:cantSplit/>
          <w:jc w:val="center"/>
        </w:trPr>
        <w:tc>
          <w:tcPr>
            <w:tcW w:w="1841" w:type="dxa"/>
            <w:vMerge w:val="restart"/>
            <w:tcBorders>
              <w:top w:val="single" w:sz="6" w:space="0" w:color="auto"/>
            </w:tcBorders>
            <w:vAlign w:val="center"/>
          </w:tcPr>
          <w:p w14:paraId="1895AA87" w14:textId="77777777" w:rsidR="00241417" w:rsidRPr="006820B3" w:rsidRDefault="00241417" w:rsidP="003A71DE">
            <w:pPr>
              <w:pStyle w:val="TAL"/>
            </w:pPr>
            <w:r w:rsidRPr="006820B3">
              <w:t>HARQ</w:t>
            </w:r>
          </w:p>
        </w:tc>
        <w:tc>
          <w:tcPr>
            <w:tcW w:w="5100" w:type="dxa"/>
            <w:vAlign w:val="center"/>
          </w:tcPr>
          <w:p w14:paraId="40BBC101" w14:textId="77777777" w:rsidR="00241417" w:rsidRPr="006C7AF4" w:rsidRDefault="00241417" w:rsidP="003A71DE">
            <w:pPr>
              <w:pStyle w:val="TAL"/>
              <w:rPr>
                <w:lang w:val="en-US"/>
              </w:rPr>
            </w:pPr>
            <w:r w:rsidRPr="006C7AF4">
              <w:rPr>
                <w:lang w:val="en-US"/>
              </w:rPr>
              <w:t>Maximum number of HARQ transmissions</w:t>
            </w:r>
          </w:p>
        </w:tc>
        <w:tc>
          <w:tcPr>
            <w:tcW w:w="2126" w:type="dxa"/>
            <w:vAlign w:val="center"/>
          </w:tcPr>
          <w:p w14:paraId="7DE81388" w14:textId="77777777" w:rsidR="00241417" w:rsidRPr="006820B3" w:rsidRDefault="00241417" w:rsidP="003A71DE">
            <w:pPr>
              <w:pStyle w:val="TAC"/>
            </w:pPr>
            <w:r w:rsidRPr="006820B3">
              <w:t>4</w:t>
            </w:r>
          </w:p>
        </w:tc>
      </w:tr>
      <w:tr w:rsidR="00241417" w:rsidRPr="006820B3" w14:paraId="77CDC77D" w14:textId="77777777" w:rsidTr="003A71DE">
        <w:trPr>
          <w:cantSplit/>
          <w:jc w:val="center"/>
        </w:trPr>
        <w:tc>
          <w:tcPr>
            <w:tcW w:w="1841" w:type="dxa"/>
            <w:vMerge/>
            <w:tcBorders>
              <w:bottom w:val="single" w:sz="6" w:space="0" w:color="auto"/>
            </w:tcBorders>
            <w:vAlign w:val="center"/>
          </w:tcPr>
          <w:p w14:paraId="4AF382E2" w14:textId="77777777" w:rsidR="00241417" w:rsidRPr="006820B3" w:rsidRDefault="00241417" w:rsidP="003A71DE">
            <w:pPr>
              <w:pStyle w:val="TAL"/>
            </w:pPr>
          </w:p>
        </w:tc>
        <w:tc>
          <w:tcPr>
            <w:tcW w:w="5100" w:type="dxa"/>
            <w:vAlign w:val="center"/>
          </w:tcPr>
          <w:p w14:paraId="7AF0E354" w14:textId="77777777" w:rsidR="00241417" w:rsidRPr="006820B3" w:rsidRDefault="00241417" w:rsidP="003A71DE">
            <w:pPr>
              <w:pStyle w:val="TAL"/>
            </w:pPr>
            <w:r w:rsidRPr="006820B3">
              <w:t>RV sequence</w:t>
            </w:r>
          </w:p>
        </w:tc>
        <w:tc>
          <w:tcPr>
            <w:tcW w:w="2126" w:type="dxa"/>
            <w:vAlign w:val="center"/>
          </w:tcPr>
          <w:p w14:paraId="064DF572" w14:textId="77777777" w:rsidR="00241417" w:rsidRPr="006820B3" w:rsidRDefault="00241417" w:rsidP="003A71DE">
            <w:pPr>
              <w:pStyle w:val="TAC"/>
            </w:pPr>
            <w:r w:rsidRPr="006820B3">
              <w:rPr>
                <w:lang w:val="fr-FR"/>
              </w:rPr>
              <w:t>0, 2, 3, 1</w:t>
            </w:r>
          </w:p>
        </w:tc>
      </w:tr>
      <w:tr w:rsidR="00241417" w:rsidRPr="006820B3" w14:paraId="5282C5D0" w14:textId="77777777" w:rsidTr="003A71DE">
        <w:trPr>
          <w:cantSplit/>
          <w:jc w:val="center"/>
        </w:trPr>
        <w:tc>
          <w:tcPr>
            <w:tcW w:w="1841" w:type="dxa"/>
            <w:vMerge w:val="restart"/>
            <w:tcBorders>
              <w:top w:val="single" w:sz="6" w:space="0" w:color="auto"/>
            </w:tcBorders>
            <w:vAlign w:val="center"/>
          </w:tcPr>
          <w:p w14:paraId="2C6B05A4" w14:textId="77777777" w:rsidR="00241417" w:rsidRPr="006820B3" w:rsidRDefault="00241417" w:rsidP="003A71DE">
            <w:pPr>
              <w:pStyle w:val="TAL"/>
            </w:pPr>
            <w:r w:rsidRPr="006820B3">
              <w:t>DM-RS</w:t>
            </w:r>
          </w:p>
        </w:tc>
        <w:tc>
          <w:tcPr>
            <w:tcW w:w="5100" w:type="dxa"/>
            <w:vAlign w:val="center"/>
          </w:tcPr>
          <w:p w14:paraId="20C4288A" w14:textId="77777777" w:rsidR="00241417" w:rsidRPr="006820B3" w:rsidRDefault="00241417" w:rsidP="003A71DE">
            <w:pPr>
              <w:pStyle w:val="TAL"/>
            </w:pPr>
            <w:r w:rsidRPr="006820B3">
              <w:t>DM-RS configuration type</w:t>
            </w:r>
          </w:p>
        </w:tc>
        <w:tc>
          <w:tcPr>
            <w:tcW w:w="2126" w:type="dxa"/>
            <w:vAlign w:val="center"/>
          </w:tcPr>
          <w:p w14:paraId="2054064F" w14:textId="77777777" w:rsidR="00241417" w:rsidRPr="006820B3" w:rsidRDefault="00241417" w:rsidP="003A71DE">
            <w:pPr>
              <w:pStyle w:val="TAC"/>
              <w:rPr>
                <w:lang w:val="fr-FR"/>
              </w:rPr>
            </w:pPr>
            <w:r w:rsidRPr="006820B3">
              <w:t>1</w:t>
            </w:r>
          </w:p>
        </w:tc>
      </w:tr>
      <w:tr w:rsidR="00241417" w:rsidRPr="006820B3" w14:paraId="1FA2C377" w14:textId="77777777" w:rsidTr="003A71DE">
        <w:trPr>
          <w:cantSplit/>
          <w:jc w:val="center"/>
        </w:trPr>
        <w:tc>
          <w:tcPr>
            <w:tcW w:w="1841" w:type="dxa"/>
            <w:vMerge/>
            <w:vAlign w:val="center"/>
          </w:tcPr>
          <w:p w14:paraId="7DEB907B" w14:textId="77777777" w:rsidR="00241417" w:rsidRPr="006820B3" w:rsidRDefault="00241417" w:rsidP="003A71DE">
            <w:pPr>
              <w:pStyle w:val="TAL"/>
            </w:pPr>
          </w:p>
        </w:tc>
        <w:tc>
          <w:tcPr>
            <w:tcW w:w="5100" w:type="dxa"/>
            <w:vAlign w:val="center"/>
          </w:tcPr>
          <w:p w14:paraId="5112A94E" w14:textId="77777777" w:rsidR="00241417" w:rsidRPr="006820B3" w:rsidRDefault="00241417" w:rsidP="003A71DE">
            <w:pPr>
              <w:pStyle w:val="TAL"/>
            </w:pPr>
            <w:r w:rsidRPr="006820B3">
              <w:t>DM-RS duration</w:t>
            </w:r>
          </w:p>
        </w:tc>
        <w:tc>
          <w:tcPr>
            <w:tcW w:w="2126" w:type="dxa"/>
            <w:vAlign w:val="center"/>
          </w:tcPr>
          <w:p w14:paraId="53F60175" w14:textId="77777777" w:rsidR="00241417" w:rsidRPr="006820B3" w:rsidRDefault="00241417" w:rsidP="003A71DE">
            <w:pPr>
              <w:pStyle w:val="TAC"/>
            </w:pPr>
            <w:r w:rsidRPr="006820B3">
              <w:t>single-symbol DM-RS</w:t>
            </w:r>
          </w:p>
        </w:tc>
      </w:tr>
      <w:tr w:rsidR="00241417" w:rsidRPr="006820B3" w14:paraId="32BD32EA" w14:textId="77777777" w:rsidTr="003A71DE">
        <w:trPr>
          <w:cantSplit/>
          <w:jc w:val="center"/>
        </w:trPr>
        <w:tc>
          <w:tcPr>
            <w:tcW w:w="1841" w:type="dxa"/>
            <w:vMerge/>
            <w:vAlign w:val="center"/>
          </w:tcPr>
          <w:p w14:paraId="42317D87" w14:textId="77777777" w:rsidR="00241417" w:rsidRPr="006820B3" w:rsidRDefault="00241417" w:rsidP="003A71DE">
            <w:pPr>
              <w:pStyle w:val="TAL"/>
            </w:pPr>
          </w:p>
        </w:tc>
        <w:tc>
          <w:tcPr>
            <w:tcW w:w="5100" w:type="dxa"/>
            <w:vAlign w:val="center"/>
          </w:tcPr>
          <w:p w14:paraId="7FA980F3" w14:textId="77777777" w:rsidR="00241417" w:rsidRPr="006820B3" w:rsidRDefault="00241417" w:rsidP="003A71DE">
            <w:pPr>
              <w:pStyle w:val="TAL"/>
            </w:pPr>
            <w:r w:rsidRPr="006820B3">
              <w:rPr>
                <w:lang w:eastAsia="zh-CN"/>
              </w:rPr>
              <w:t>Additional DM-RS position</w:t>
            </w:r>
          </w:p>
        </w:tc>
        <w:tc>
          <w:tcPr>
            <w:tcW w:w="2126" w:type="dxa"/>
            <w:vAlign w:val="center"/>
          </w:tcPr>
          <w:p w14:paraId="24C4F379" w14:textId="77777777" w:rsidR="00241417" w:rsidRPr="006820B3" w:rsidRDefault="00241417" w:rsidP="003A71DE">
            <w:pPr>
              <w:pStyle w:val="TAC"/>
            </w:pPr>
            <w:r w:rsidRPr="006820B3">
              <w:t>pos1</w:t>
            </w:r>
          </w:p>
        </w:tc>
      </w:tr>
      <w:tr w:rsidR="00241417" w:rsidRPr="006820B3" w14:paraId="15059105" w14:textId="77777777" w:rsidTr="003A71DE">
        <w:trPr>
          <w:cantSplit/>
          <w:jc w:val="center"/>
        </w:trPr>
        <w:tc>
          <w:tcPr>
            <w:tcW w:w="1841" w:type="dxa"/>
            <w:vMerge/>
            <w:vAlign w:val="center"/>
          </w:tcPr>
          <w:p w14:paraId="1F56F933" w14:textId="77777777" w:rsidR="00241417" w:rsidRPr="006820B3" w:rsidRDefault="00241417" w:rsidP="003A71DE">
            <w:pPr>
              <w:pStyle w:val="TAL"/>
            </w:pPr>
          </w:p>
        </w:tc>
        <w:tc>
          <w:tcPr>
            <w:tcW w:w="5100" w:type="dxa"/>
            <w:vAlign w:val="center"/>
          </w:tcPr>
          <w:p w14:paraId="66A2EA39" w14:textId="77777777" w:rsidR="00241417" w:rsidRPr="006C7AF4" w:rsidRDefault="00241417" w:rsidP="003A71DE">
            <w:pPr>
              <w:pStyle w:val="TAL"/>
              <w:rPr>
                <w:lang w:val="en-US" w:eastAsia="zh-CN"/>
              </w:rPr>
            </w:pPr>
            <w:r w:rsidRPr="006C7AF4">
              <w:rPr>
                <w:lang w:val="en-US"/>
              </w:rPr>
              <w:t>Number of DM-RS CDM group(s) without data</w:t>
            </w:r>
          </w:p>
        </w:tc>
        <w:tc>
          <w:tcPr>
            <w:tcW w:w="2126" w:type="dxa"/>
            <w:vAlign w:val="center"/>
          </w:tcPr>
          <w:p w14:paraId="13007E9A" w14:textId="77777777" w:rsidR="00241417" w:rsidRPr="006820B3" w:rsidRDefault="00241417" w:rsidP="003A71DE">
            <w:pPr>
              <w:pStyle w:val="TAC"/>
            </w:pPr>
            <w:r w:rsidRPr="006820B3">
              <w:t>2</w:t>
            </w:r>
          </w:p>
        </w:tc>
      </w:tr>
      <w:tr w:rsidR="00241417" w:rsidRPr="006820B3" w14:paraId="476B9995" w14:textId="77777777" w:rsidTr="003A71DE">
        <w:trPr>
          <w:cantSplit/>
          <w:jc w:val="center"/>
        </w:trPr>
        <w:tc>
          <w:tcPr>
            <w:tcW w:w="1841" w:type="dxa"/>
            <w:vMerge/>
            <w:vAlign w:val="center"/>
          </w:tcPr>
          <w:p w14:paraId="119933B4" w14:textId="77777777" w:rsidR="00241417" w:rsidRPr="006820B3" w:rsidRDefault="00241417" w:rsidP="003A71DE">
            <w:pPr>
              <w:pStyle w:val="TAL"/>
            </w:pPr>
          </w:p>
        </w:tc>
        <w:tc>
          <w:tcPr>
            <w:tcW w:w="5100" w:type="dxa"/>
            <w:vAlign w:val="center"/>
          </w:tcPr>
          <w:p w14:paraId="3D612D6C" w14:textId="77777777" w:rsidR="00241417" w:rsidRPr="006C7AF4" w:rsidRDefault="00241417" w:rsidP="003A71DE">
            <w:pPr>
              <w:pStyle w:val="TAL"/>
              <w:rPr>
                <w:lang w:val="en-US"/>
              </w:rPr>
            </w:pPr>
            <w:r w:rsidRPr="006C7AF4">
              <w:rPr>
                <w:lang w:val="en-US"/>
              </w:rPr>
              <w:t>Ratio of PUSCH EPRE to DM-RS EPRE</w:t>
            </w:r>
          </w:p>
        </w:tc>
        <w:tc>
          <w:tcPr>
            <w:tcW w:w="2126" w:type="dxa"/>
            <w:vAlign w:val="center"/>
          </w:tcPr>
          <w:p w14:paraId="54186871" w14:textId="77777777" w:rsidR="00241417" w:rsidRPr="006820B3" w:rsidRDefault="00241417" w:rsidP="003A71DE">
            <w:pPr>
              <w:pStyle w:val="TAC"/>
            </w:pPr>
            <w:r w:rsidRPr="006820B3">
              <w:rPr>
                <w:lang w:eastAsia="zh-CN"/>
              </w:rPr>
              <w:t>-3 dB</w:t>
            </w:r>
          </w:p>
        </w:tc>
      </w:tr>
      <w:tr w:rsidR="00241417" w:rsidRPr="006820B3" w14:paraId="25D2EBA5" w14:textId="77777777" w:rsidTr="003A71DE">
        <w:trPr>
          <w:cantSplit/>
          <w:jc w:val="center"/>
        </w:trPr>
        <w:tc>
          <w:tcPr>
            <w:tcW w:w="1841" w:type="dxa"/>
            <w:vMerge/>
            <w:vAlign w:val="center"/>
          </w:tcPr>
          <w:p w14:paraId="05EFBD81" w14:textId="77777777" w:rsidR="00241417" w:rsidRPr="006820B3" w:rsidRDefault="00241417" w:rsidP="003A71DE">
            <w:pPr>
              <w:pStyle w:val="TAL"/>
            </w:pPr>
          </w:p>
        </w:tc>
        <w:tc>
          <w:tcPr>
            <w:tcW w:w="5100" w:type="dxa"/>
            <w:vAlign w:val="center"/>
          </w:tcPr>
          <w:p w14:paraId="59459F35" w14:textId="77777777" w:rsidR="00241417" w:rsidRPr="006820B3" w:rsidRDefault="00241417" w:rsidP="003A71DE">
            <w:pPr>
              <w:pStyle w:val="TAL"/>
            </w:pPr>
            <w:r w:rsidRPr="006820B3">
              <w:t>DM-RS port</w:t>
            </w:r>
          </w:p>
        </w:tc>
        <w:tc>
          <w:tcPr>
            <w:tcW w:w="2126" w:type="dxa"/>
            <w:vAlign w:val="center"/>
          </w:tcPr>
          <w:p w14:paraId="5EF98793" w14:textId="77777777" w:rsidR="00241417" w:rsidRPr="006820B3" w:rsidRDefault="00241417" w:rsidP="003A71DE">
            <w:pPr>
              <w:pStyle w:val="TAC"/>
              <w:rPr>
                <w:lang w:eastAsia="zh-CN"/>
              </w:rPr>
            </w:pPr>
            <w:r w:rsidRPr="006820B3">
              <w:t>{0}, {0, 1}</w:t>
            </w:r>
          </w:p>
        </w:tc>
      </w:tr>
      <w:tr w:rsidR="00241417" w:rsidRPr="006820B3" w14:paraId="204D645E" w14:textId="77777777" w:rsidTr="003A71DE">
        <w:trPr>
          <w:cantSplit/>
          <w:jc w:val="center"/>
        </w:trPr>
        <w:tc>
          <w:tcPr>
            <w:tcW w:w="1841" w:type="dxa"/>
            <w:vMerge/>
            <w:tcBorders>
              <w:bottom w:val="single" w:sz="6" w:space="0" w:color="auto"/>
            </w:tcBorders>
            <w:vAlign w:val="center"/>
          </w:tcPr>
          <w:p w14:paraId="27A6D93B" w14:textId="77777777" w:rsidR="00241417" w:rsidRPr="006820B3" w:rsidRDefault="00241417" w:rsidP="003A71DE">
            <w:pPr>
              <w:pStyle w:val="TAL"/>
            </w:pPr>
          </w:p>
        </w:tc>
        <w:tc>
          <w:tcPr>
            <w:tcW w:w="5100" w:type="dxa"/>
            <w:vAlign w:val="center"/>
          </w:tcPr>
          <w:p w14:paraId="46E8806E" w14:textId="77777777" w:rsidR="00241417" w:rsidRPr="006820B3" w:rsidRDefault="00241417" w:rsidP="003A71DE">
            <w:pPr>
              <w:pStyle w:val="TAL"/>
            </w:pPr>
            <w:r w:rsidRPr="006820B3">
              <w:t>DM-RS sequence generation</w:t>
            </w:r>
          </w:p>
        </w:tc>
        <w:tc>
          <w:tcPr>
            <w:tcW w:w="2126" w:type="dxa"/>
            <w:vAlign w:val="center"/>
          </w:tcPr>
          <w:p w14:paraId="6093C730" w14:textId="77777777" w:rsidR="00241417" w:rsidRPr="006820B3" w:rsidRDefault="00241417" w:rsidP="003A71DE">
            <w:pPr>
              <w:pStyle w:val="TAC"/>
            </w:pPr>
            <w:r w:rsidRPr="006820B3">
              <w:t>N</w:t>
            </w:r>
            <w:r w:rsidRPr="006820B3">
              <w:rPr>
                <w:vertAlign w:val="subscript"/>
              </w:rPr>
              <w:t>ID</w:t>
            </w:r>
            <w:r w:rsidRPr="006820B3">
              <w:rPr>
                <w:vertAlign w:val="superscript"/>
              </w:rPr>
              <w:t>0</w:t>
            </w:r>
            <w:r w:rsidRPr="006820B3">
              <w:t>=0, n</w:t>
            </w:r>
            <w:r w:rsidRPr="006820B3">
              <w:rPr>
                <w:vertAlign w:val="subscript"/>
              </w:rPr>
              <w:t>SCID</w:t>
            </w:r>
            <w:r w:rsidRPr="006820B3">
              <w:t xml:space="preserve"> =0</w:t>
            </w:r>
          </w:p>
        </w:tc>
      </w:tr>
      <w:tr w:rsidR="00241417" w:rsidRPr="006820B3" w14:paraId="0FAC790A" w14:textId="77777777" w:rsidTr="003A71DE">
        <w:trPr>
          <w:cantSplit/>
          <w:jc w:val="center"/>
        </w:trPr>
        <w:tc>
          <w:tcPr>
            <w:tcW w:w="1841" w:type="dxa"/>
            <w:vMerge w:val="restart"/>
            <w:tcBorders>
              <w:top w:val="single" w:sz="6" w:space="0" w:color="auto"/>
            </w:tcBorders>
            <w:vAlign w:val="center"/>
          </w:tcPr>
          <w:p w14:paraId="54101B27" w14:textId="77777777" w:rsidR="00241417" w:rsidRPr="006820B3" w:rsidRDefault="00241417" w:rsidP="003A71DE">
            <w:pPr>
              <w:pStyle w:val="TAL"/>
            </w:pPr>
            <w:r w:rsidRPr="006820B3">
              <w:t>Time domain</w:t>
            </w:r>
            <w:r>
              <w:t xml:space="preserve"> </w:t>
            </w:r>
            <w:r w:rsidRPr="006820B3">
              <w:t>resource</w:t>
            </w:r>
            <w:r>
              <w:t xml:space="preserve"> </w:t>
            </w:r>
            <w:r w:rsidRPr="006820B3">
              <w:t>assignment</w:t>
            </w:r>
          </w:p>
        </w:tc>
        <w:tc>
          <w:tcPr>
            <w:tcW w:w="5100" w:type="dxa"/>
            <w:vAlign w:val="center"/>
          </w:tcPr>
          <w:p w14:paraId="08EE7911" w14:textId="77777777" w:rsidR="00241417" w:rsidRPr="006820B3" w:rsidRDefault="00241417" w:rsidP="003A71DE">
            <w:pPr>
              <w:pStyle w:val="TAL"/>
            </w:pPr>
            <w:r w:rsidRPr="006820B3">
              <w:t>PUSCH mapping type</w:t>
            </w:r>
          </w:p>
        </w:tc>
        <w:tc>
          <w:tcPr>
            <w:tcW w:w="2126" w:type="dxa"/>
            <w:vAlign w:val="center"/>
          </w:tcPr>
          <w:p w14:paraId="3FA7491B" w14:textId="77777777" w:rsidR="00241417" w:rsidRPr="006820B3" w:rsidRDefault="00241417" w:rsidP="003A71DE">
            <w:pPr>
              <w:pStyle w:val="TAC"/>
            </w:pPr>
            <w:r w:rsidRPr="006820B3">
              <w:t>A, B</w:t>
            </w:r>
          </w:p>
        </w:tc>
      </w:tr>
      <w:tr w:rsidR="00241417" w:rsidRPr="006820B3" w14:paraId="7B61B111" w14:textId="77777777" w:rsidTr="003A71DE">
        <w:trPr>
          <w:cantSplit/>
          <w:jc w:val="center"/>
        </w:trPr>
        <w:tc>
          <w:tcPr>
            <w:tcW w:w="1841" w:type="dxa"/>
            <w:vMerge/>
            <w:vAlign w:val="center"/>
          </w:tcPr>
          <w:p w14:paraId="66AC1B25" w14:textId="77777777" w:rsidR="00241417" w:rsidRPr="006820B3" w:rsidRDefault="00241417" w:rsidP="003A71DE">
            <w:pPr>
              <w:pStyle w:val="TAL"/>
            </w:pPr>
          </w:p>
        </w:tc>
        <w:tc>
          <w:tcPr>
            <w:tcW w:w="5100" w:type="dxa"/>
            <w:vAlign w:val="center"/>
          </w:tcPr>
          <w:p w14:paraId="739A4237" w14:textId="77777777" w:rsidR="00241417" w:rsidRPr="006820B3" w:rsidRDefault="00241417" w:rsidP="003A71DE">
            <w:pPr>
              <w:pStyle w:val="TAL"/>
              <w:rPr>
                <w:rFonts w:eastAsia="Batang"/>
              </w:rPr>
            </w:pPr>
            <w:r w:rsidRPr="006820B3">
              <w:t>Start symbol</w:t>
            </w:r>
          </w:p>
        </w:tc>
        <w:tc>
          <w:tcPr>
            <w:tcW w:w="2126" w:type="dxa"/>
            <w:vAlign w:val="center"/>
          </w:tcPr>
          <w:p w14:paraId="7FEB27C5" w14:textId="77777777" w:rsidR="00241417" w:rsidRPr="006820B3" w:rsidRDefault="00241417" w:rsidP="003A71DE">
            <w:pPr>
              <w:pStyle w:val="TAC"/>
            </w:pPr>
            <w:r w:rsidRPr="006820B3">
              <w:t xml:space="preserve">0 </w:t>
            </w:r>
          </w:p>
        </w:tc>
      </w:tr>
      <w:tr w:rsidR="00241417" w:rsidRPr="006820B3" w14:paraId="286DD9F9" w14:textId="77777777" w:rsidTr="003A71DE">
        <w:trPr>
          <w:cantSplit/>
          <w:jc w:val="center"/>
        </w:trPr>
        <w:tc>
          <w:tcPr>
            <w:tcW w:w="1841" w:type="dxa"/>
            <w:vMerge/>
            <w:tcBorders>
              <w:bottom w:val="single" w:sz="6" w:space="0" w:color="auto"/>
            </w:tcBorders>
            <w:vAlign w:val="center"/>
          </w:tcPr>
          <w:p w14:paraId="6DD2C6CB" w14:textId="77777777" w:rsidR="00241417" w:rsidRPr="006820B3" w:rsidRDefault="00241417" w:rsidP="003A71DE">
            <w:pPr>
              <w:pStyle w:val="TAL"/>
            </w:pPr>
          </w:p>
        </w:tc>
        <w:tc>
          <w:tcPr>
            <w:tcW w:w="5100" w:type="dxa"/>
            <w:vAlign w:val="center"/>
          </w:tcPr>
          <w:p w14:paraId="4A21500F" w14:textId="77777777" w:rsidR="00241417" w:rsidRPr="006820B3" w:rsidRDefault="00241417" w:rsidP="003A71DE">
            <w:pPr>
              <w:pStyle w:val="TAL"/>
            </w:pPr>
            <w:r w:rsidRPr="006820B3">
              <w:t>Allocation length</w:t>
            </w:r>
          </w:p>
        </w:tc>
        <w:tc>
          <w:tcPr>
            <w:tcW w:w="2126" w:type="dxa"/>
            <w:vAlign w:val="center"/>
          </w:tcPr>
          <w:p w14:paraId="7B092218" w14:textId="77777777" w:rsidR="00241417" w:rsidRPr="006820B3" w:rsidRDefault="00241417" w:rsidP="003A71DE">
            <w:pPr>
              <w:pStyle w:val="TAC"/>
            </w:pPr>
            <w:r w:rsidRPr="006820B3">
              <w:t xml:space="preserve">14 </w:t>
            </w:r>
          </w:p>
        </w:tc>
      </w:tr>
      <w:tr w:rsidR="00241417" w:rsidRPr="006820B3" w14:paraId="39B50FE6" w14:textId="77777777" w:rsidTr="003A71DE">
        <w:trPr>
          <w:cantSplit/>
          <w:jc w:val="center"/>
        </w:trPr>
        <w:tc>
          <w:tcPr>
            <w:tcW w:w="1841" w:type="dxa"/>
            <w:vMerge w:val="restart"/>
            <w:tcBorders>
              <w:top w:val="single" w:sz="6" w:space="0" w:color="auto"/>
            </w:tcBorders>
            <w:vAlign w:val="center"/>
          </w:tcPr>
          <w:p w14:paraId="194FE4A0" w14:textId="77777777" w:rsidR="00241417" w:rsidRPr="006820B3" w:rsidRDefault="00241417" w:rsidP="003A71DE">
            <w:pPr>
              <w:pStyle w:val="TAL"/>
            </w:pPr>
            <w:r w:rsidRPr="006820B3">
              <w:t>Frequency domain resource</w:t>
            </w:r>
            <w:r>
              <w:t xml:space="preserve"> </w:t>
            </w:r>
            <w:r w:rsidRPr="006820B3">
              <w:t>assignment</w:t>
            </w:r>
          </w:p>
        </w:tc>
        <w:tc>
          <w:tcPr>
            <w:tcW w:w="5100" w:type="dxa"/>
            <w:vAlign w:val="center"/>
          </w:tcPr>
          <w:p w14:paraId="29028653" w14:textId="77777777" w:rsidR="00241417" w:rsidRPr="006820B3" w:rsidRDefault="00241417" w:rsidP="003A71DE">
            <w:pPr>
              <w:pStyle w:val="TAL"/>
            </w:pPr>
            <w:r w:rsidRPr="006820B3">
              <w:t>RB assignment</w:t>
            </w:r>
          </w:p>
        </w:tc>
        <w:tc>
          <w:tcPr>
            <w:tcW w:w="2126" w:type="dxa"/>
            <w:vAlign w:val="center"/>
          </w:tcPr>
          <w:p w14:paraId="60E7DA78" w14:textId="77777777" w:rsidR="00241417" w:rsidRPr="006820B3" w:rsidRDefault="00241417" w:rsidP="003A71DE">
            <w:pPr>
              <w:pStyle w:val="TAC"/>
            </w:pPr>
            <w:r w:rsidRPr="006820B3">
              <w:t>Full applicable test bandwidth</w:t>
            </w:r>
          </w:p>
        </w:tc>
      </w:tr>
      <w:tr w:rsidR="00241417" w:rsidRPr="006820B3" w14:paraId="0D81D9C3" w14:textId="77777777" w:rsidTr="003A71DE">
        <w:trPr>
          <w:cantSplit/>
          <w:jc w:val="center"/>
        </w:trPr>
        <w:tc>
          <w:tcPr>
            <w:tcW w:w="1841" w:type="dxa"/>
            <w:vMerge/>
            <w:tcBorders>
              <w:bottom w:val="single" w:sz="6" w:space="0" w:color="auto"/>
            </w:tcBorders>
            <w:vAlign w:val="center"/>
          </w:tcPr>
          <w:p w14:paraId="722FD061" w14:textId="77777777" w:rsidR="00241417" w:rsidRPr="006820B3" w:rsidRDefault="00241417" w:rsidP="003A71DE">
            <w:pPr>
              <w:pStyle w:val="TAL"/>
            </w:pPr>
          </w:p>
        </w:tc>
        <w:tc>
          <w:tcPr>
            <w:tcW w:w="5100" w:type="dxa"/>
            <w:vAlign w:val="center"/>
          </w:tcPr>
          <w:p w14:paraId="2F5A13AC" w14:textId="77777777" w:rsidR="00241417" w:rsidRPr="006820B3" w:rsidRDefault="00241417" w:rsidP="003A71DE">
            <w:pPr>
              <w:pStyle w:val="TAL"/>
            </w:pPr>
            <w:r w:rsidRPr="006820B3">
              <w:t>Frequency hopping</w:t>
            </w:r>
          </w:p>
        </w:tc>
        <w:tc>
          <w:tcPr>
            <w:tcW w:w="2126" w:type="dxa"/>
            <w:vAlign w:val="center"/>
          </w:tcPr>
          <w:p w14:paraId="2DB17FD5" w14:textId="77777777" w:rsidR="00241417" w:rsidRPr="006820B3" w:rsidRDefault="00241417" w:rsidP="003A71DE">
            <w:pPr>
              <w:pStyle w:val="TAC"/>
            </w:pPr>
            <w:r w:rsidRPr="006820B3">
              <w:t>Disabled</w:t>
            </w:r>
          </w:p>
        </w:tc>
      </w:tr>
      <w:tr w:rsidR="00241417" w:rsidRPr="006820B3" w14:paraId="20C20D90" w14:textId="77777777" w:rsidTr="003A71DE">
        <w:trPr>
          <w:cantSplit/>
          <w:jc w:val="center"/>
        </w:trPr>
        <w:tc>
          <w:tcPr>
            <w:tcW w:w="6941" w:type="dxa"/>
            <w:gridSpan w:val="2"/>
            <w:vAlign w:val="center"/>
          </w:tcPr>
          <w:p w14:paraId="498BB6FA" w14:textId="77777777" w:rsidR="00241417" w:rsidRPr="006C7AF4" w:rsidRDefault="00241417" w:rsidP="003A71DE">
            <w:pPr>
              <w:pStyle w:val="TAL"/>
              <w:rPr>
                <w:lang w:val="en-US"/>
              </w:rPr>
            </w:pPr>
            <w:r w:rsidRPr="006C7AF4">
              <w:rPr>
                <w:rFonts w:eastAsia="Batang"/>
                <w:lang w:val="en-US"/>
              </w:rPr>
              <w:t>TPMI index</w:t>
            </w:r>
            <w:r w:rsidRPr="006C7AF4">
              <w:rPr>
                <w:lang w:val="en-US" w:eastAsia="zh-CN"/>
              </w:rPr>
              <w:t xml:space="preserve"> for 2Tx two-layer spatial multiplexing transmission </w:t>
            </w:r>
          </w:p>
        </w:tc>
        <w:tc>
          <w:tcPr>
            <w:tcW w:w="2126" w:type="dxa"/>
            <w:vAlign w:val="center"/>
          </w:tcPr>
          <w:p w14:paraId="0FF763F3" w14:textId="77777777" w:rsidR="00241417" w:rsidRPr="006820B3" w:rsidRDefault="00241417" w:rsidP="003A71DE">
            <w:pPr>
              <w:pStyle w:val="TAC"/>
            </w:pPr>
            <w:r w:rsidRPr="006820B3">
              <w:rPr>
                <w:lang w:eastAsia="zh-CN"/>
              </w:rPr>
              <w:t>0</w:t>
            </w:r>
          </w:p>
        </w:tc>
      </w:tr>
      <w:tr w:rsidR="00241417" w:rsidRPr="006820B3" w14:paraId="04A357E8" w14:textId="77777777" w:rsidTr="003A71DE">
        <w:trPr>
          <w:cantSplit/>
          <w:jc w:val="center"/>
        </w:trPr>
        <w:tc>
          <w:tcPr>
            <w:tcW w:w="6941" w:type="dxa"/>
            <w:gridSpan w:val="2"/>
            <w:vAlign w:val="center"/>
          </w:tcPr>
          <w:p w14:paraId="4F8F0E33" w14:textId="77777777" w:rsidR="00241417" w:rsidRPr="006820B3" w:rsidRDefault="00241417" w:rsidP="003A71DE">
            <w:pPr>
              <w:pStyle w:val="TAL"/>
            </w:pPr>
            <w:r w:rsidRPr="006820B3">
              <w:t>Code block group based PUSCH transmission</w:t>
            </w:r>
          </w:p>
        </w:tc>
        <w:tc>
          <w:tcPr>
            <w:tcW w:w="2126" w:type="dxa"/>
            <w:vAlign w:val="center"/>
          </w:tcPr>
          <w:p w14:paraId="3E209FE8" w14:textId="77777777" w:rsidR="00241417" w:rsidRPr="006820B3" w:rsidRDefault="00241417" w:rsidP="003A71DE">
            <w:pPr>
              <w:pStyle w:val="TAC"/>
            </w:pPr>
            <w:r w:rsidRPr="006820B3">
              <w:t>Disabled</w:t>
            </w:r>
          </w:p>
        </w:tc>
      </w:tr>
      <w:tr w:rsidR="00241417" w:rsidRPr="00831E0A" w14:paraId="2E1BD0AA" w14:textId="77777777" w:rsidTr="003A71DE">
        <w:trPr>
          <w:cantSplit/>
          <w:jc w:val="center"/>
        </w:trPr>
        <w:tc>
          <w:tcPr>
            <w:tcW w:w="9067" w:type="dxa"/>
            <w:gridSpan w:val="3"/>
            <w:vAlign w:val="center"/>
          </w:tcPr>
          <w:p w14:paraId="097023D8" w14:textId="667D6D92" w:rsidR="00241417" w:rsidRPr="006C7AF4" w:rsidRDefault="00BC408B" w:rsidP="003A71DE">
            <w:pPr>
              <w:pStyle w:val="TAN"/>
              <w:rPr>
                <w:lang w:val="en-US"/>
              </w:rPr>
            </w:pPr>
            <w:r>
              <w:rPr>
                <w:lang w:val="en-US"/>
              </w:rPr>
              <w:t>NOTE 1:</w:t>
            </w:r>
            <w:r>
              <w:rPr>
                <w:lang w:val="en-US"/>
              </w:rPr>
              <w:tab/>
              <w:t>The same requirements are applicable to different UL-DL patterns.</w:t>
            </w:r>
          </w:p>
        </w:tc>
      </w:tr>
    </w:tbl>
    <w:p w14:paraId="7C20D043" w14:textId="77777777" w:rsidR="00241417" w:rsidRPr="006C7AF4" w:rsidRDefault="00241417" w:rsidP="00241417">
      <w:pPr>
        <w:rPr>
          <w:lang w:val="en-US"/>
        </w:rPr>
      </w:pPr>
    </w:p>
    <w:p w14:paraId="11E297A0" w14:textId="77777777" w:rsidR="00241417" w:rsidRDefault="00241417" w:rsidP="00241417">
      <w:pPr>
        <w:pStyle w:val="Heading5"/>
      </w:pPr>
      <w:bookmarkStart w:id="3469" w:name="_Toc74583244"/>
      <w:bookmarkStart w:id="3470" w:name="_Toc76542057"/>
      <w:bookmarkStart w:id="3471" w:name="_Toc82450039"/>
      <w:bookmarkStart w:id="3472" w:name="_Toc82450687"/>
      <w:bookmarkStart w:id="3473" w:name="_Toc89949076"/>
      <w:bookmarkStart w:id="3474" w:name="_Toc98755465"/>
      <w:bookmarkStart w:id="3475" w:name="_Toc98763056"/>
      <w:bookmarkStart w:id="3476" w:name="_Toc106183985"/>
      <w:r>
        <w:t>8</w:t>
      </w:r>
      <w:r w:rsidRPr="00EE4A40">
        <w:t>.</w:t>
      </w:r>
      <w:r>
        <w:t>1</w:t>
      </w:r>
      <w:r w:rsidRPr="00EE4A40">
        <w:t>.</w:t>
      </w:r>
      <w:r>
        <w:t>2</w:t>
      </w:r>
      <w:r w:rsidRPr="00EE4A40">
        <w:t>.</w:t>
      </w:r>
      <w:r>
        <w:t>1</w:t>
      </w:r>
      <w:r w:rsidRPr="00EE4A40">
        <w:t>.</w:t>
      </w:r>
      <w:r>
        <w:tab/>
        <w:t>Minimum requirements</w:t>
      </w:r>
      <w:bookmarkEnd w:id="3469"/>
      <w:bookmarkEnd w:id="3470"/>
      <w:bookmarkEnd w:id="3471"/>
      <w:bookmarkEnd w:id="3472"/>
      <w:bookmarkEnd w:id="3473"/>
      <w:bookmarkEnd w:id="3474"/>
      <w:bookmarkEnd w:id="3475"/>
      <w:bookmarkEnd w:id="3476"/>
    </w:p>
    <w:p w14:paraId="3CDF7D36" w14:textId="77777777" w:rsidR="00241417" w:rsidRPr="006C7AF4" w:rsidRDefault="00241417" w:rsidP="00241417">
      <w:pPr>
        <w:rPr>
          <w:lang w:val="en-US"/>
        </w:rPr>
      </w:pPr>
      <w:r w:rsidRPr="006C7AF4">
        <w:rPr>
          <w:lang w:val="en-US"/>
        </w:rPr>
        <w:t xml:space="preserve">The throughput shall be equal to or larger than </w:t>
      </w:r>
      <w:r>
        <w:rPr>
          <w:lang w:val="en-US"/>
        </w:rPr>
        <w:t>70% of the</w:t>
      </w:r>
      <w:r w:rsidRPr="006C7AF4">
        <w:rPr>
          <w:lang w:val="en-US"/>
        </w:rPr>
        <w:t xml:space="preserve"> maximum throughput for the FRCs stated in tables 8.1.2.1</w:t>
      </w:r>
      <w:r w:rsidRPr="006C7AF4">
        <w:rPr>
          <w:lang w:val="en-US" w:eastAsia="zh-CN"/>
        </w:rPr>
        <w:t>.2</w:t>
      </w:r>
      <w:r w:rsidRPr="006C7AF4">
        <w:rPr>
          <w:lang w:val="en-US"/>
        </w:rPr>
        <w:t>-1 to 8.1.2.1</w:t>
      </w:r>
      <w:r w:rsidRPr="006C7AF4">
        <w:rPr>
          <w:lang w:val="en-US" w:eastAsia="zh-CN"/>
        </w:rPr>
        <w:t>.2</w:t>
      </w:r>
      <w:r w:rsidRPr="006C7AF4">
        <w:rPr>
          <w:lang w:val="en-US"/>
        </w:rPr>
        <w:t>-</w:t>
      </w:r>
      <w:r w:rsidRPr="006C7AF4">
        <w:rPr>
          <w:lang w:val="en-US" w:eastAsia="zh-CN"/>
        </w:rPr>
        <w:t>14</w:t>
      </w:r>
      <w:r w:rsidRPr="006C7AF4">
        <w:rPr>
          <w:lang w:val="en-US"/>
        </w:rPr>
        <w:t xml:space="preserve"> at the given SNR</w:t>
      </w:r>
      <w:r w:rsidRPr="006C7AF4">
        <w:rPr>
          <w:lang w:val="en-US" w:eastAsia="zh-CN"/>
        </w:rPr>
        <w:t xml:space="preserve"> for 1Tx or for 2Tx two-layer spatial multiplexing transmission</w:t>
      </w:r>
      <w:r w:rsidRPr="006C7AF4">
        <w:rPr>
          <w:lang w:val="en-US"/>
        </w:rPr>
        <w:t>. FRCs are defined in annex A.</w:t>
      </w:r>
    </w:p>
    <w:p w14:paraId="64D36146" w14:textId="77777777" w:rsidR="00241417" w:rsidRPr="006C7AF4" w:rsidRDefault="00241417" w:rsidP="00241417">
      <w:pPr>
        <w:pStyle w:val="TH"/>
        <w:rPr>
          <w:b w:val="0"/>
          <w:lang w:val="en-US" w:eastAsia="zh-CN"/>
        </w:rPr>
      </w:pPr>
      <w:r w:rsidRPr="006C7AF4">
        <w:rPr>
          <w:lang w:val="en-US"/>
        </w:rPr>
        <w:lastRenderedPageBreak/>
        <w:t xml:space="preserve">Table 8.1.2.1.2-1: Minimum requirements for PUSCH </w:t>
      </w:r>
      <w:r w:rsidRPr="006C7AF4">
        <w:rPr>
          <w:lang w:val="en-US" w:eastAsia="zh-CN"/>
        </w:rPr>
        <w:t>with 70% of maximum throughput</w:t>
      </w:r>
      <w:r w:rsidRPr="006C7AF4">
        <w:rPr>
          <w:lang w:val="en-US"/>
        </w:rPr>
        <w:t>, Type A, 5 MHz channel bandwidth</w:t>
      </w:r>
      <w:r w:rsidRPr="006C7AF4">
        <w:rPr>
          <w:lang w:val="en-US"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418"/>
        <w:gridCol w:w="1417"/>
        <w:gridCol w:w="1134"/>
      </w:tblGrid>
      <w:tr w:rsidR="00241417" w:rsidRPr="0039343F" w14:paraId="66803DDB" w14:textId="77777777" w:rsidTr="003A71DE">
        <w:trPr>
          <w:cantSplit/>
          <w:jc w:val="center"/>
        </w:trPr>
        <w:tc>
          <w:tcPr>
            <w:tcW w:w="1007" w:type="dxa"/>
            <w:tcBorders>
              <w:bottom w:val="single" w:sz="4" w:space="0" w:color="auto"/>
            </w:tcBorders>
            <w:vAlign w:val="center"/>
          </w:tcPr>
          <w:p w14:paraId="1C47A069"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02E197CB" w14:textId="77777777" w:rsidR="00241417" w:rsidRPr="0039343F" w:rsidRDefault="00241417" w:rsidP="003A71DE">
            <w:pPr>
              <w:pStyle w:val="TAH"/>
            </w:pPr>
            <w:r w:rsidRPr="0039343F">
              <w:t xml:space="preserve">Number of </w:t>
            </w:r>
            <w:r>
              <w:t>Demodulation Branches</w:t>
            </w:r>
          </w:p>
        </w:tc>
        <w:tc>
          <w:tcPr>
            <w:tcW w:w="1985" w:type="dxa"/>
            <w:vAlign w:val="center"/>
          </w:tcPr>
          <w:p w14:paraId="2388EA57" w14:textId="4BD6D471" w:rsidR="00241417" w:rsidRPr="0039343F" w:rsidRDefault="00241417" w:rsidP="003A71DE">
            <w:pPr>
              <w:pStyle w:val="TAH"/>
            </w:pPr>
            <w:r w:rsidRPr="0039343F">
              <w:t xml:space="preserve">Propagation conditions and correlation matrix (Annex </w:t>
            </w:r>
            <w:r>
              <w:t>TBA</w:t>
            </w:r>
            <w:r w:rsidRPr="0039343F">
              <w:t>)</w:t>
            </w:r>
          </w:p>
        </w:tc>
        <w:tc>
          <w:tcPr>
            <w:tcW w:w="1418" w:type="dxa"/>
            <w:vAlign w:val="center"/>
          </w:tcPr>
          <w:p w14:paraId="5692C9CC" w14:textId="77777777" w:rsidR="00241417" w:rsidRPr="0039343F" w:rsidRDefault="00241417" w:rsidP="003A71DE">
            <w:pPr>
              <w:pStyle w:val="TAH"/>
            </w:pPr>
            <w:r w:rsidRPr="0039343F">
              <w:t>FRC</w:t>
            </w:r>
            <w:r w:rsidRPr="0039343F">
              <w:br/>
              <w:t>(Annex A)</w:t>
            </w:r>
          </w:p>
        </w:tc>
        <w:tc>
          <w:tcPr>
            <w:tcW w:w="1417" w:type="dxa"/>
            <w:vAlign w:val="center"/>
          </w:tcPr>
          <w:p w14:paraId="58547ECF" w14:textId="77777777" w:rsidR="00241417" w:rsidRPr="0039343F" w:rsidRDefault="00241417" w:rsidP="003A71DE">
            <w:pPr>
              <w:pStyle w:val="TAH"/>
            </w:pPr>
            <w:r w:rsidRPr="0039343F">
              <w:t>Additional DM-RS position</w:t>
            </w:r>
          </w:p>
        </w:tc>
        <w:tc>
          <w:tcPr>
            <w:tcW w:w="1134" w:type="dxa"/>
            <w:vAlign w:val="center"/>
          </w:tcPr>
          <w:p w14:paraId="3C91B406" w14:textId="77777777" w:rsidR="00241417" w:rsidRPr="0039343F" w:rsidRDefault="00241417" w:rsidP="003A71DE">
            <w:pPr>
              <w:pStyle w:val="TAH"/>
            </w:pPr>
            <w:r w:rsidRPr="0039343F">
              <w:t>SNR</w:t>
            </w:r>
          </w:p>
          <w:p w14:paraId="3CB42871" w14:textId="77777777" w:rsidR="00241417" w:rsidRPr="0039343F" w:rsidRDefault="00241417" w:rsidP="003A71DE">
            <w:pPr>
              <w:pStyle w:val="TAH"/>
            </w:pPr>
            <w:r w:rsidRPr="0039343F">
              <w:t>(dB)</w:t>
            </w:r>
          </w:p>
        </w:tc>
      </w:tr>
      <w:tr w:rsidR="00241417" w:rsidRPr="0039343F" w14:paraId="5E783A0B" w14:textId="77777777" w:rsidTr="003A71DE">
        <w:trPr>
          <w:cantSplit/>
          <w:jc w:val="center"/>
        </w:trPr>
        <w:tc>
          <w:tcPr>
            <w:tcW w:w="1007" w:type="dxa"/>
            <w:vMerge w:val="restart"/>
            <w:vAlign w:val="center"/>
          </w:tcPr>
          <w:p w14:paraId="60D1ED59" w14:textId="77777777" w:rsidR="00241417" w:rsidRPr="0039343F" w:rsidRDefault="00241417" w:rsidP="003A71DE">
            <w:pPr>
              <w:pStyle w:val="TAC"/>
            </w:pPr>
            <w:r w:rsidRPr="0039343F">
              <w:t>1</w:t>
            </w:r>
          </w:p>
        </w:tc>
        <w:tc>
          <w:tcPr>
            <w:tcW w:w="1093" w:type="dxa"/>
            <w:vMerge w:val="restart"/>
            <w:vAlign w:val="center"/>
          </w:tcPr>
          <w:p w14:paraId="708B53A9" w14:textId="77777777" w:rsidR="00241417" w:rsidRPr="0039343F" w:rsidRDefault="00241417" w:rsidP="003A71DE">
            <w:pPr>
              <w:pStyle w:val="TAC"/>
            </w:pPr>
            <w:r w:rsidRPr="0039343F">
              <w:t>2</w:t>
            </w:r>
          </w:p>
        </w:tc>
        <w:tc>
          <w:tcPr>
            <w:tcW w:w="1985" w:type="dxa"/>
            <w:vAlign w:val="center"/>
          </w:tcPr>
          <w:p w14:paraId="2C155C8D" w14:textId="77777777" w:rsidR="00241417" w:rsidRPr="0039343F" w:rsidRDefault="00241417" w:rsidP="003A71DE">
            <w:pPr>
              <w:pStyle w:val="TAC"/>
            </w:pPr>
            <w:r w:rsidRPr="0039343F">
              <w:t>TDLB100-400 Low</w:t>
            </w:r>
          </w:p>
        </w:tc>
        <w:tc>
          <w:tcPr>
            <w:tcW w:w="1418" w:type="dxa"/>
            <w:vAlign w:val="center"/>
          </w:tcPr>
          <w:p w14:paraId="4A8C6543" w14:textId="77777777" w:rsidR="00241417" w:rsidRPr="0039343F" w:rsidRDefault="00241417" w:rsidP="003A71DE">
            <w:pPr>
              <w:pStyle w:val="TAC"/>
            </w:pPr>
            <w:r>
              <w:t>D-FR1-A.2.1-1</w:t>
            </w:r>
          </w:p>
        </w:tc>
        <w:tc>
          <w:tcPr>
            <w:tcW w:w="1417" w:type="dxa"/>
            <w:vAlign w:val="center"/>
          </w:tcPr>
          <w:p w14:paraId="0715A598" w14:textId="77777777" w:rsidR="00241417" w:rsidRPr="0039343F" w:rsidRDefault="00241417" w:rsidP="003A71DE">
            <w:pPr>
              <w:pStyle w:val="TAC"/>
            </w:pPr>
            <w:r w:rsidRPr="0039343F">
              <w:t>pos1</w:t>
            </w:r>
          </w:p>
        </w:tc>
        <w:tc>
          <w:tcPr>
            <w:tcW w:w="1134" w:type="dxa"/>
            <w:vAlign w:val="center"/>
          </w:tcPr>
          <w:p w14:paraId="647E5B0F" w14:textId="77777777" w:rsidR="00241417" w:rsidRPr="0039343F" w:rsidRDefault="00241417" w:rsidP="003A71DE">
            <w:pPr>
              <w:pStyle w:val="TAC"/>
            </w:pPr>
            <w:r w:rsidRPr="0039343F">
              <w:t>-2.3</w:t>
            </w:r>
          </w:p>
        </w:tc>
      </w:tr>
      <w:tr w:rsidR="00241417" w:rsidRPr="0039343F" w14:paraId="2ABD6841" w14:textId="77777777" w:rsidTr="003A71DE">
        <w:trPr>
          <w:cantSplit/>
          <w:jc w:val="center"/>
        </w:trPr>
        <w:tc>
          <w:tcPr>
            <w:tcW w:w="1007" w:type="dxa"/>
            <w:vMerge/>
            <w:vAlign w:val="center"/>
          </w:tcPr>
          <w:p w14:paraId="4557B1E8" w14:textId="77777777" w:rsidR="00241417" w:rsidRPr="0039343F" w:rsidRDefault="00241417" w:rsidP="003A71DE">
            <w:pPr>
              <w:pStyle w:val="TAC"/>
            </w:pPr>
          </w:p>
        </w:tc>
        <w:tc>
          <w:tcPr>
            <w:tcW w:w="1093" w:type="dxa"/>
            <w:vMerge/>
            <w:vAlign w:val="center"/>
          </w:tcPr>
          <w:p w14:paraId="5050D910" w14:textId="77777777" w:rsidR="00241417" w:rsidRPr="0039343F" w:rsidRDefault="00241417" w:rsidP="003A71DE">
            <w:pPr>
              <w:pStyle w:val="TAC"/>
            </w:pPr>
          </w:p>
        </w:tc>
        <w:tc>
          <w:tcPr>
            <w:tcW w:w="1985" w:type="dxa"/>
            <w:vAlign w:val="center"/>
          </w:tcPr>
          <w:p w14:paraId="48A4151A" w14:textId="77777777" w:rsidR="00241417" w:rsidRPr="0039343F" w:rsidRDefault="00241417" w:rsidP="003A71DE">
            <w:pPr>
              <w:pStyle w:val="TAC"/>
            </w:pPr>
            <w:r w:rsidRPr="0039343F">
              <w:t>TDLC300-100 Low</w:t>
            </w:r>
          </w:p>
        </w:tc>
        <w:tc>
          <w:tcPr>
            <w:tcW w:w="1418" w:type="dxa"/>
            <w:vAlign w:val="center"/>
          </w:tcPr>
          <w:p w14:paraId="59CA5B90" w14:textId="77777777" w:rsidR="00241417" w:rsidRPr="0039343F" w:rsidRDefault="00241417" w:rsidP="003A71DE">
            <w:pPr>
              <w:pStyle w:val="TAC"/>
            </w:pPr>
            <w:r>
              <w:t>D-FR1-A.2.3-1</w:t>
            </w:r>
          </w:p>
        </w:tc>
        <w:tc>
          <w:tcPr>
            <w:tcW w:w="1417" w:type="dxa"/>
            <w:vAlign w:val="center"/>
          </w:tcPr>
          <w:p w14:paraId="43278A57" w14:textId="77777777" w:rsidR="00241417" w:rsidRPr="0039343F" w:rsidRDefault="00241417" w:rsidP="003A71DE">
            <w:pPr>
              <w:pStyle w:val="TAC"/>
            </w:pPr>
            <w:r w:rsidRPr="0039343F">
              <w:t>pos1</w:t>
            </w:r>
          </w:p>
        </w:tc>
        <w:tc>
          <w:tcPr>
            <w:tcW w:w="1134" w:type="dxa"/>
            <w:vAlign w:val="center"/>
          </w:tcPr>
          <w:p w14:paraId="5EF2FC14" w14:textId="77777777" w:rsidR="00241417" w:rsidRPr="0039343F" w:rsidRDefault="00241417" w:rsidP="003A71DE">
            <w:pPr>
              <w:pStyle w:val="TAC"/>
            </w:pPr>
            <w:r w:rsidRPr="0039343F">
              <w:t>10.1</w:t>
            </w:r>
          </w:p>
        </w:tc>
      </w:tr>
      <w:tr w:rsidR="00241417" w:rsidRPr="0039343F" w14:paraId="7EBF2C76" w14:textId="77777777" w:rsidTr="003A71DE">
        <w:trPr>
          <w:cantSplit/>
          <w:jc w:val="center"/>
        </w:trPr>
        <w:tc>
          <w:tcPr>
            <w:tcW w:w="1007" w:type="dxa"/>
            <w:vMerge/>
            <w:vAlign w:val="center"/>
          </w:tcPr>
          <w:p w14:paraId="3F55490D" w14:textId="77777777" w:rsidR="00241417" w:rsidRPr="0039343F" w:rsidRDefault="00241417" w:rsidP="003A71DE">
            <w:pPr>
              <w:pStyle w:val="TAC"/>
            </w:pPr>
          </w:p>
        </w:tc>
        <w:tc>
          <w:tcPr>
            <w:tcW w:w="1093" w:type="dxa"/>
            <w:vMerge/>
            <w:tcBorders>
              <w:bottom w:val="single" w:sz="4" w:space="0" w:color="auto"/>
            </w:tcBorders>
            <w:vAlign w:val="center"/>
          </w:tcPr>
          <w:p w14:paraId="45E03D7B" w14:textId="77777777" w:rsidR="00241417" w:rsidRPr="0039343F" w:rsidRDefault="00241417" w:rsidP="003A71DE">
            <w:pPr>
              <w:pStyle w:val="TAC"/>
            </w:pPr>
          </w:p>
        </w:tc>
        <w:tc>
          <w:tcPr>
            <w:tcW w:w="1985" w:type="dxa"/>
            <w:vAlign w:val="center"/>
          </w:tcPr>
          <w:p w14:paraId="46A375A5" w14:textId="77777777" w:rsidR="00241417" w:rsidRPr="0039343F" w:rsidRDefault="00241417" w:rsidP="003A71DE">
            <w:pPr>
              <w:pStyle w:val="TAC"/>
            </w:pPr>
            <w:r w:rsidRPr="0039343F">
              <w:t>TDLA30-10 Low</w:t>
            </w:r>
          </w:p>
        </w:tc>
        <w:tc>
          <w:tcPr>
            <w:tcW w:w="1418" w:type="dxa"/>
            <w:vAlign w:val="center"/>
          </w:tcPr>
          <w:p w14:paraId="07E50C3E" w14:textId="77777777" w:rsidR="00241417" w:rsidRPr="0039343F" w:rsidRDefault="00241417" w:rsidP="003A71DE">
            <w:pPr>
              <w:pStyle w:val="TAC"/>
            </w:pPr>
            <w:r>
              <w:t>D-FR1-A.2.4-1</w:t>
            </w:r>
          </w:p>
        </w:tc>
        <w:tc>
          <w:tcPr>
            <w:tcW w:w="1417" w:type="dxa"/>
            <w:vAlign w:val="center"/>
          </w:tcPr>
          <w:p w14:paraId="79135D11" w14:textId="77777777" w:rsidR="00241417" w:rsidRPr="0039343F" w:rsidRDefault="00241417" w:rsidP="003A71DE">
            <w:pPr>
              <w:pStyle w:val="TAC"/>
            </w:pPr>
            <w:r w:rsidRPr="0039343F">
              <w:t>pos1</w:t>
            </w:r>
          </w:p>
        </w:tc>
        <w:tc>
          <w:tcPr>
            <w:tcW w:w="1134" w:type="dxa"/>
            <w:vAlign w:val="center"/>
          </w:tcPr>
          <w:p w14:paraId="76E65E5E" w14:textId="77777777" w:rsidR="00241417" w:rsidRPr="0039343F" w:rsidRDefault="00241417" w:rsidP="003A71DE">
            <w:pPr>
              <w:pStyle w:val="TAC"/>
            </w:pPr>
            <w:r w:rsidRPr="0039343F">
              <w:t>12.3</w:t>
            </w:r>
          </w:p>
        </w:tc>
      </w:tr>
      <w:tr w:rsidR="00241417" w:rsidRPr="0039343F" w14:paraId="298F2129" w14:textId="77777777" w:rsidTr="003A71DE">
        <w:trPr>
          <w:cantSplit/>
          <w:jc w:val="center"/>
        </w:trPr>
        <w:tc>
          <w:tcPr>
            <w:tcW w:w="1007" w:type="dxa"/>
            <w:vMerge/>
            <w:vAlign w:val="center"/>
          </w:tcPr>
          <w:p w14:paraId="0719B5DD" w14:textId="77777777" w:rsidR="00241417" w:rsidRPr="0039343F" w:rsidRDefault="00241417" w:rsidP="003A71DE">
            <w:pPr>
              <w:pStyle w:val="TAC"/>
            </w:pPr>
          </w:p>
        </w:tc>
        <w:tc>
          <w:tcPr>
            <w:tcW w:w="1093" w:type="dxa"/>
            <w:vMerge w:val="restart"/>
            <w:vAlign w:val="center"/>
          </w:tcPr>
          <w:p w14:paraId="006290AB" w14:textId="77777777" w:rsidR="00241417" w:rsidRPr="0039343F" w:rsidRDefault="00241417" w:rsidP="003A71DE">
            <w:pPr>
              <w:pStyle w:val="TAC"/>
            </w:pPr>
            <w:r w:rsidRPr="0039343F">
              <w:t>4</w:t>
            </w:r>
          </w:p>
        </w:tc>
        <w:tc>
          <w:tcPr>
            <w:tcW w:w="1985" w:type="dxa"/>
            <w:vAlign w:val="center"/>
          </w:tcPr>
          <w:p w14:paraId="60549822" w14:textId="77777777" w:rsidR="00241417" w:rsidRPr="0039343F" w:rsidRDefault="00241417" w:rsidP="003A71DE">
            <w:pPr>
              <w:pStyle w:val="TAC"/>
            </w:pPr>
            <w:r w:rsidRPr="0039343F">
              <w:t>TDLB100-400 Low</w:t>
            </w:r>
          </w:p>
        </w:tc>
        <w:tc>
          <w:tcPr>
            <w:tcW w:w="1418" w:type="dxa"/>
            <w:vAlign w:val="center"/>
          </w:tcPr>
          <w:p w14:paraId="285D2A0B" w14:textId="77777777" w:rsidR="00241417" w:rsidRPr="0039343F" w:rsidRDefault="00241417" w:rsidP="003A71DE">
            <w:pPr>
              <w:pStyle w:val="TAC"/>
            </w:pPr>
            <w:r>
              <w:t>D-FR1-A.2.1-1</w:t>
            </w:r>
          </w:p>
        </w:tc>
        <w:tc>
          <w:tcPr>
            <w:tcW w:w="1417" w:type="dxa"/>
            <w:vAlign w:val="center"/>
          </w:tcPr>
          <w:p w14:paraId="1922BA1F" w14:textId="77777777" w:rsidR="00241417" w:rsidRPr="0039343F" w:rsidRDefault="00241417" w:rsidP="003A71DE">
            <w:pPr>
              <w:pStyle w:val="TAC"/>
            </w:pPr>
            <w:r w:rsidRPr="0039343F">
              <w:t>pos1</w:t>
            </w:r>
          </w:p>
        </w:tc>
        <w:tc>
          <w:tcPr>
            <w:tcW w:w="1134" w:type="dxa"/>
            <w:vAlign w:val="center"/>
          </w:tcPr>
          <w:p w14:paraId="644AEDBC" w14:textId="77777777" w:rsidR="00241417" w:rsidRPr="0039343F" w:rsidRDefault="00241417" w:rsidP="003A71DE">
            <w:pPr>
              <w:pStyle w:val="TAC"/>
            </w:pPr>
            <w:r w:rsidRPr="0039343F">
              <w:t>-5.8</w:t>
            </w:r>
          </w:p>
        </w:tc>
      </w:tr>
      <w:tr w:rsidR="00241417" w:rsidRPr="0039343F" w14:paraId="0470C534" w14:textId="77777777" w:rsidTr="003A71DE">
        <w:trPr>
          <w:cantSplit/>
          <w:jc w:val="center"/>
        </w:trPr>
        <w:tc>
          <w:tcPr>
            <w:tcW w:w="1007" w:type="dxa"/>
            <w:vMerge/>
            <w:vAlign w:val="center"/>
          </w:tcPr>
          <w:p w14:paraId="72F7EFE4" w14:textId="77777777" w:rsidR="00241417" w:rsidRPr="0039343F" w:rsidRDefault="00241417" w:rsidP="003A71DE">
            <w:pPr>
              <w:pStyle w:val="TAC"/>
            </w:pPr>
          </w:p>
        </w:tc>
        <w:tc>
          <w:tcPr>
            <w:tcW w:w="1093" w:type="dxa"/>
            <w:vMerge/>
            <w:vAlign w:val="center"/>
          </w:tcPr>
          <w:p w14:paraId="2CBB0167" w14:textId="77777777" w:rsidR="00241417" w:rsidRPr="0039343F" w:rsidRDefault="00241417" w:rsidP="003A71DE">
            <w:pPr>
              <w:pStyle w:val="TAC"/>
            </w:pPr>
          </w:p>
        </w:tc>
        <w:tc>
          <w:tcPr>
            <w:tcW w:w="1985" w:type="dxa"/>
            <w:vAlign w:val="center"/>
          </w:tcPr>
          <w:p w14:paraId="1D31A4C3" w14:textId="77777777" w:rsidR="00241417" w:rsidRPr="0039343F" w:rsidRDefault="00241417" w:rsidP="003A71DE">
            <w:pPr>
              <w:pStyle w:val="TAC"/>
            </w:pPr>
            <w:r w:rsidRPr="0039343F">
              <w:t>TDLC300-100 Low</w:t>
            </w:r>
          </w:p>
        </w:tc>
        <w:tc>
          <w:tcPr>
            <w:tcW w:w="1418" w:type="dxa"/>
            <w:vAlign w:val="center"/>
          </w:tcPr>
          <w:p w14:paraId="148A863D" w14:textId="77777777" w:rsidR="00241417" w:rsidRPr="0039343F" w:rsidRDefault="00241417" w:rsidP="003A71DE">
            <w:pPr>
              <w:pStyle w:val="TAC"/>
            </w:pPr>
            <w:r>
              <w:t>D-FR1-A.2.3-1</w:t>
            </w:r>
          </w:p>
        </w:tc>
        <w:tc>
          <w:tcPr>
            <w:tcW w:w="1417" w:type="dxa"/>
            <w:vAlign w:val="center"/>
          </w:tcPr>
          <w:p w14:paraId="214C8AE2" w14:textId="77777777" w:rsidR="00241417" w:rsidRPr="0039343F" w:rsidRDefault="00241417" w:rsidP="003A71DE">
            <w:pPr>
              <w:pStyle w:val="TAC"/>
            </w:pPr>
            <w:r w:rsidRPr="0039343F">
              <w:t>pos1</w:t>
            </w:r>
          </w:p>
        </w:tc>
        <w:tc>
          <w:tcPr>
            <w:tcW w:w="1134" w:type="dxa"/>
            <w:vAlign w:val="center"/>
          </w:tcPr>
          <w:p w14:paraId="1078C6D6" w14:textId="77777777" w:rsidR="00241417" w:rsidRPr="0039343F" w:rsidRDefault="00241417" w:rsidP="003A71DE">
            <w:pPr>
              <w:pStyle w:val="TAC"/>
            </w:pPr>
            <w:r w:rsidRPr="0039343F">
              <w:t>6.2</w:t>
            </w:r>
          </w:p>
        </w:tc>
      </w:tr>
      <w:tr w:rsidR="00241417" w:rsidRPr="0039343F" w14:paraId="77D01DE9" w14:textId="77777777" w:rsidTr="003A71DE">
        <w:trPr>
          <w:cantSplit/>
          <w:jc w:val="center"/>
        </w:trPr>
        <w:tc>
          <w:tcPr>
            <w:tcW w:w="1007" w:type="dxa"/>
            <w:vMerge/>
            <w:vAlign w:val="center"/>
          </w:tcPr>
          <w:p w14:paraId="754A1DF9" w14:textId="77777777" w:rsidR="00241417" w:rsidRPr="0039343F" w:rsidRDefault="00241417" w:rsidP="003A71DE">
            <w:pPr>
              <w:pStyle w:val="TAC"/>
            </w:pPr>
          </w:p>
        </w:tc>
        <w:tc>
          <w:tcPr>
            <w:tcW w:w="1093" w:type="dxa"/>
            <w:vMerge/>
            <w:tcBorders>
              <w:bottom w:val="single" w:sz="4" w:space="0" w:color="auto"/>
            </w:tcBorders>
            <w:vAlign w:val="center"/>
          </w:tcPr>
          <w:p w14:paraId="376CE19A" w14:textId="77777777" w:rsidR="00241417" w:rsidRPr="0039343F" w:rsidRDefault="00241417" w:rsidP="003A71DE">
            <w:pPr>
              <w:pStyle w:val="TAC"/>
            </w:pPr>
          </w:p>
        </w:tc>
        <w:tc>
          <w:tcPr>
            <w:tcW w:w="1985" w:type="dxa"/>
            <w:vAlign w:val="center"/>
          </w:tcPr>
          <w:p w14:paraId="6717AC6E" w14:textId="77777777" w:rsidR="00241417" w:rsidRPr="0039343F" w:rsidRDefault="00241417" w:rsidP="003A71DE">
            <w:pPr>
              <w:pStyle w:val="TAC"/>
            </w:pPr>
            <w:r w:rsidRPr="0039343F">
              <w:t>TDLA30-10 Low</w:t>
            </w:r>
          </w:p>
        </w:tc>
        <w:tc>
          <w:tcPr>
            <w:tcW w:w="1418" w:type="dxa"/>
            <w:vAlign w:val="center"/>
          </w:tcPr>
          <w:p w14:paraId="123EEFD9" w14:textId="77777777" w:rsidR="00241417" w:rsidRPr="0039343F" w:rsidRDefault="00241417" w:rsidP="003A71DE">
            <w:pPr>
              <w:pStyle w:val="TAC"/>
            </w:pPr>
            <w:r>
              <w:t>D-FR1-A.2.4-1</w:t>
            </w:r>
          </w:p>
        </w:tc>
        <w:tc>
          <w:tcPr>
            <w:tcW w:w="1417" w:type="dxa"/>
            <w:vAlign w:val="center"/>
          </w:tcPr>
          <w:p w14:paraId="1384234A" w14:textId="77777777" w:rsidR="00241417" w:rsidRPr="0039343F" w:rsidRDefault="00241417" w:rsidP="003A71DE">
            <w:pPr>
              <w:pStyle w:val="TAC"/>
            </w:pPr>
            <w:r w:rsidRPr="0039343F">
              <w:t>pos1</w:t>
            </w:r>
          </w:p>
        </w:tc>
        <w:tc>
          <w:tcPr>
            <w:tcW w:w="1134" w:type="dxa"/>
            <w:vAlign w:val="center"/>
          </w:tcPr>
          <w:p w14:paraId="4F4A7DFC" w14:textId="77777777" w:rsidR="00241417" w:rsidRPr="0039343F" w:rsidRDefault="00241417" w:rsidP="003A71DE">
            <w:pPr>
              <w:pStyle w:val="TAC"/>
            </w:pPr>
            <w:r w:rsidRPr="0039343F">
              <w:t>8.8</w:t>
            </w:r>
          </w:p>
        </w:tc>
      </w:tr>
      <w:tr w:rsidR="00241417" w:rsidRPr="0039343F" w14:paraId="044BFACA" w14:textId="77777777" w:rsidTr="003A71DE">
        <w:trPr>
          <w:cantSplit/>
          <w:jc w:val="center"/>
        </w:trPr>
        <w:tc>
          <w:tcPr>
            <w:tcW w:w="1007" w:type="dxa"/>
            <w:vMerge/>
            <w:vAlign w:val="center"/>
          </w:tcPr>
          <w:p w14:paraId="06186D08" w14:textId="77777777" w:rsidR="00241417" w:rsidRPr="0039343F" w:rsidRDefault="00241417" w:rsidP="003A71DE">
            <w:pPr>
              <w:pStyle w:val="TAC"/>
            </w:pPr>
          </w:p>
        </w:tc>
        <w:tc>
          <w:tcPr>
            <w:tcW w:w="1093" w:type="dxa"/>
            <w:vMerge w:val="restart"/>
            <w:vAlign w:val="center"/>
          </w:tcPr>
          <w:p w14:paraId="721B8945" w14:textId="77777777" w:rsidR="00241417" w:rsidRPr="0039343F" w:rsidRDefault="00241417" w:rsidP="003A71DE">
            <w:pPr>
              <w:pStyle w:val="TAC"/>
            </w:pPr>
            <w:r w:rsidRPr="0039343F">
              <w:t>8</w:t>
            </w:r>
          </w:p>
        </w:tc>
        <w:tc>
          <w:tcPr>
            <w:tcW w:w="1985" w:type="dxa"/>
            <w:vAlign w:val="center"/>
          </w:tcPr>
          <w:p w14:paraId="256E1334" w14:textId="77777777" w:rsidR="00241417" w:rsidRPr="0039343F" w:rsidRDefault="00241417" w:rsidP="003A71DE">
            <w:pPr>
              <w:pStyle w:val="TAC"/>
            </w:pPr>
            <w:r w:rsidRPr="0039343F">
              <w:t>TDLB100-400 Low</w:t>
            </w:r>
          </w:p>
        </w:tc>
        <w:tc>
          <w:tcPr>
            <w:tcW w:w="1418" w:type="dxa"/>
            <w:vAlign w:val="center"/>
          </w:tcPr>
          <w:p w14:paraId="0AE3848A" w14:textId="77777777" w:rsidR="00241417" w:rsidRPr="0039343F" w:rsidRDefault="00241417" w:rsidP="003A71DE">
            <w:pPr>
              <w:pStyle w:val="TAC"/>
            </w:pPr>
            <w:r>
              <w:t>D-FR1-A.2.1-1</w:t>
            </w:r>
          </w:p>
        </w:tc>
        <w:tc>
          <w:tcPr>
            <w:tcW w:w="1417" w:type="dxa"/>
            <w:vAlign w:val="center"/>
          </w:tcPr>
          <w:p w14:paraId="55606305" w14:textId="77777777" w:rsidR="00241417" w:rsidRPr="0039343F" w:rsidRDefault="00241417" w:rsidP="003A71DE">
            <w:pPr>
              <w:pStyle w:val="TAC"/>
            </w:pPr>
            <w:r w:rsidRPr="0039343F">
              <w:t>pos1</w:t>
            </w:r>
          </w:p>
        </w:tc>
        <w:tc>
          <w:tcPr>
            <w:tcW w:w="1134" w:type="dxa"/>
            <w:vAlign w:val="center"/>
          </w:tcPr>
          <w:p w14:paraId="6DC39C31" w14:textId="77777777" w:rsidR="00241417" w:rsidRPr="0039343F" w:rsidRDefault="00241417" w:rsidP="003A71DE">
            <w:pPr>
              <w:pStyle w:val="TAC"/>
            </w:pPr>
            <w:r w:rsidRPr="0039343F">
              <w:t>-8.7</w:t>
            </w:r>
          </w:p>
        </w:tc>
      </w:tr>
      <w:tr w:rsidR="00241417" w:rsidRPr="0039343F" w14:paraId="4FA269AF" w14:textId="77777777" w:rsidTr="003A71DE">
        <w:trPr>
          <w:cantSplit/>
          <w:jc w:val="center"/>
        </w:trPr>
        <w:tc>
          <w:tcPr>
            <w:tcW w:w="1007" w:type="dxa"/>
            <w:vMerge/>
            <w:vAlign w:val="center"/>
          </w:tcPr>
          <w:p w14:paraId="71E0DBF1" w14:textId="77777777" w:rsidR="00241417" w:rsidRPr="0039343F" w:rsidRDefault="00241417" w:rsidP="003A71DE">
            <w:pPr>
              <w:pStyle w:val="TAC"/>
            </w:pPr>
          </w:p>
        </w:tc>
        <w:tc>
          <w:tcPr>
            <w:tcW w:w="1093" w:type="dxa"/>
            <w:vMerge/>
            <w:vAlign w:val="center"/>
          </w:tcPr>
          <w:p w14:paraId="5A628E1B" w14:textId="77777777" w:rsidR="00241417" w:rsidRPr="0039343F" w:rsidRDefault="00241417" w:rsidP="003A71DE">
            <w:pPr>
              <w:pStyle w:val="TAC"/>
            </w:pPr>
          </w:p>
        </w:tc>
        <w:tc>
          <w:tcPr>
            <w:tcW w:w="1985" w:type="dxa"/>
            <w:vAlign w:val="center"/>
          </w:tcPr>
          <w:p w14:paraId="11F28ED5" w14:textId="77777777" w:rsidR="00241417" w:rsidRPr="0039343F" w:rsidRDefault="00241417" w:rsidP="003A71DE">
            <w:pPr>
              <w:pStyle w:val="TAC"/>
            </w:pPr>
            <w:r w:rsidRPr="0039343F">
              <w:t>TDLC300-100 Low</w:t>
            </w:r>
          </w:p>
        </w:tc>
        <w:tc>
          <w:tcPr>
            <w:tcW w:w="1418" w:type="dxa"/>
            <w:vAlign w:val="center"/>
          </w:tcPr>
          <w:p w14:paraId="215E3FDF" w14:textId="77777777" w:rsidR="00241417" w:rsidRPr="0039343F" w:rsidRDefault="00241417" w:rsidP="003A71DE">
            <w:pPr>
              <w:pStyle w:val="TAC"/>
            </w:pPr>
            <w:r>
              <w:t>D-FR1-A.2.3-1</w:t>
            </w:r>
          </w:p>
        </w:tc>
        <w:tc>
          <w:tcPr>
            <w:tcW w:w="1417" w:type="dxa"/>
            <w:vAlign w:val="center"/>
          </w:tcPr>
          <w:p w14:paraId="37C51438" w14:textId="77777777" w:rsidR="00241417" w:rsidRPr="0039343F" w:rsidRDefault="00241417" w:rsidP="003A71DE">
            <w:pPr>
              <w:pStyle w:val="TAC"/>
            </w:pPr>
            <w:r w:rsidRPr="0039343F">
              <w:t>pos1</w:t>
            </w:r>
          </w:p>
        </w:tc>
        <w:tc>
          <w:tcPr>
            <w:tcW w:w="1134" w:type="dxa"/>
            <w:vAlign w:val="center"/>
          </w:tcPr>
          <w:p w14:paraId="1EA589C1" w14:textId="77777777" w:rsidR="00241417" w:rsidRPr="0039343F" w:rsidRDefault="00241417" w:rsidP="003A71DE">
            <w:pPr>
              <w:pStyle w:val="TAC"/>
            </w:pPr>
            <w:r w:rsidRPr="0039343F">
              <w:t>3.0</w:t>
            </w:r>
          </w:p>
        </w:tc>
      </w:tr>
      <w:tr w:rsidR="00241417" w:rsidRPr="0039343F" w14:paraId="69F6F590" w14:textId="77777777" w:rsidTr="003A71DE">
        <w:trPr>
          <w:cantSplit/>
          <w:jc w:val="center"/>
        </w:trPr>
        <w:tc>
          <w:tcPr>
            <w:tcW w:w="1007" w:type="dxa"/>
            <w:vMerge/>
            <w:tcBorders>
              <w:bottom w:val="single" w:sz="4" w:space="0" w:color="auto"/>
            </w:tcBorders>
            <w:vAlign w:val="center"/>
          </w:tcPr>
          <w:p w14:paraId="24BD3DBC" w14:textId="77777777" w:rsidR="00241417" w:rsidRPr="0039343F" w:rsidRDefault="00241417" w:rsidP="003A71DE">
            <w:pPr>
              <w:pStyle w:val="TAC"/>
            </w:pPr>
          </w:p>
        </w:tc>
        <w:tc>
          <w:tcPr>
            <w:tcW w:w="1093" w:type="dxa"/>
            <w:vMerge/>
            <w:tcBorders>
              <w:bottom w:val="single" w:sz="4" w:space="0" w:color="auto"/>
            </w:tcBorders>
            <w:vAlign w:val="center"/>
          </w:tcPr>
          <w:p w14:paraId="0AF62300" w14:textId="77777777" w:rsidR="00241417" w:rsidRPr="0039343F" w:rsidRDefault="00241417" w:rsidP="003A71DE">
            <w:pPr>
              <w:pStyle w:val="TAC"/>
            </w:pPr>
          </w:p>
        </w:tc>
        <w:tc>
          <w:tcPr>
            <w:tcW w:w="1985" w:type="dxa"/>
            <w:vAlign w:val="center"/>
          </w:tcPr>
          <w:p w14:paraId="1FA97857" w14:textId="77777777" w:rsidR="00241417" w:rsidRPr="0039343F" w:rsidRDefault="00241417" w:rsidP="003A71DE">
            <w:pPr>
              <w:pStyle w:val="TAC"/>
            </w:pPr>
            <w:r w:rsidRPr="0039343F">
              <w:t>TDLA30-10 Low</w:t>
            </w:r>
          </w:p>
        </w:tc>
        <w:tc>
          <w:tcPr>
            <w:tcW w:w="1418" w:type="dxa"/>
            <w:vAlign w:val="center"/>
          </w:tcPr>
          <w:p w14:paraId="437A6411" w14:textId="77777777" w:rsidR="00241417" w:rsidRPr="0039343F" w:rsidRDefault="00241417" w:rsidP="003A71DE">
            <w:pPr>
              <w:pStyle w:val="TAC"/>
            </w:pPr>
            <w:r>
              <w:t>D-FR1-A.2.4-1</w:t>
            </w:r>
          </w:p>
        </w:tc>
        <w:tc>
          <w:tcPr>
            <w:tcW w:w="1417" w:type="dxa"/>
            <w:vAlign w:val="center"/>
          </w:tcPr>
          <w:p w14:paraId="495DBE6F" w14:textId="77777777" w:rsidR="00241417" w:rsidRPr="0039343F" w:rsidRDefault="00241417" w:rsidP="003A71DE">
            <w:pPr>
              <w:pStyle w:val="TAC"/>
            </w:pPr>
            <w:r w:rsidRPr="0039343F">
              <w:t>pos1</w:t>
            </w:r>
          </w:p>
        </w:tc>
        <w:tc>
          <w:tcPr>
            <w:tcW w:w="1134" w:type="dxa"/>
            <w:vAlign w:val="center"/>
          </w:tcPr>
          <w:p w14:paraId="2C5F957F" w14:textId="77777777" w:rsidR="00241417" w:rsidRPr="0039343F" w:rsidRDefault="00241417" w:rsidP="003A71DE">
            <w:pPr>
              <w:pStyle w:val="TAC"/>
            </w:pPr>
            <w:r w:rsidRPr="0039343F">
              <w:t>5.6</w:t>
            </w:r>
          </w:p>
        </w:tc>
      </w:tr>
      <w:tr w:rsidR="00241417" w:rsidRPr="0039343F" w14:paraId="5028A8AD" w14:textId="77777777" w:rsidTr="003A71DE">
        <w:trPr>
          <w:cantSplit/>
          <w:jc w:val="center"/>
        </w:trPr>
        <w:tc>
          <w:tcPr>
            <w:tcW w:w="1007" w:type="dxa"/>
            <w:vMerge w:val="restart"/>
            <w:vAlign w:val="center"/>
          </w:tcPr>
          <w:p w14:paraId="423779A4" w14:textId="77777777" w:rsidR="00241417" w:rsidRPr="0039343F" w:rsidRDefault="00241417" w:rsidP="003A71DE">
            <w:pPr>
              <w:pStyle w:val="TAC"/>
            </w:pPr>
            <w:r w:rsidRPr="0039343F">
              <w:t>2</w:t>
            </w:r>
          </w:p>
        </w:tc>
        <w:tc>
          <w:tcPr>
            <w:tcW w:w="1093" w:type="dxa"/>
            <w:vMerge w:val="restart"/>
            <w:vAlign w:val="center"/>
          </w:tcPr>
          <w:p w14:paraId="65426ABB" w14:textId="77777777" w:rsidR="00241417" w:rsidRPr="0039343F" w:rsidRDefault="00241417" w:rsidP="003A71DE">
            <w:pPr>
              <w:pStyle w:val="TAC"/>
            </w:pPr>
            <w:r w:rsidRPr="0039343F">
              <w:t>2</w:t>
            </w:r>
          </w:p>
        </w:tc>
        <w:tc>
          <w:tcPr>
            <w:tcW w:w="1985" w:type="dxa"/>
            <w:vAlign w:val="center"/>
          </w:tcPr>
          <w:p w14:paraId="40058630" w14:textId="77777777" w:rsidR="00241417" w:rsidRPr="0039343F" w:rsidRDefault="00241417" w:rsidP="003A71DE">
            <w:pPr>
              <w:pStyle w:val="TAC"/>
            </w:pPr>
            <w:r w:rsidRPr="0039343F">
              <w:t>TDLB100-400 Low</w:t>
            </w:r>
          </w:p>
        </w:tc>
        <w:tc>
          <w:tcPr>
            <w:tcW w:w="1418" w:type="dxa"/>
            <w:vAlign w:val="center"/>
          </w:tcPr>
          <w:p w14:paraId="2EF9BBC0" w14:textId="77777777" w:rsidR="00241417" w:rsidRPr="0039343F" w:rsidRDefault="00241417" w:rsidP="003A71DE">
            <w:pPr>
              <w:pStyle w:val="TAC"/>
            </w:pPr>
            <w:r>
              <w:rPr>
                <w:lang w:eastAsia="zh-CN"/>
              </w:rPr>
              <w:t>D-FR1-A.2.1-8</w:t>
            </w:r>
          </w:p>
        </w:tc>
        <w:tc>
          <w:tcPr>
            <w:tcW w:w="1417" w:type="dxa"/>
            <w:vAlign w:val="center"/>
          </w:tcPr>
          <w:p w14:paraId="3DA48633" w14:textId="77777777" w:rsidR="00241417" w:rsidRPr="0039343F" w:rsidRDefault="00241417" w:rsidP="003A71DE">
            <w:pPr>
              <w:pStyle w:val="TAC"/>
            </w:pPr>
            <w:r w:rsidRPr="0039343F">
              <w:t>pos1</w:t>
            </w:r>
          </w:p>
        </w:tc>
        <w:tc>
          <w:tcPr>
            <w:tcW w:w="1134" w:type="dxa"/>
            <w:vAlign w:val="center"/>
          </w:tcPr>
          <w:p w14:paraId="6BBD1702" w14:textId="77777777" w:rsidR="00241417" w:rsidRPr="0039343F" w:rsidRDefault="00241417" w:rsidP="003A71DE">
            <w:pPr>
              <w:pStyle w:val="TAC"/>
            </w:pPr>
            <w:r w:rsidRPr="0039343F">
              <w:t>1.0</w:t>
            </w:r>
          </w:p>
        </w:tc>
      </w:tr>
      <w:tr w:rsidR="00241417" w:rsidRPr="0039343F" w14:paraId="77CCC72F" w14:textId="77777777" w:rsidTr="003A71DE">
        <w:trPr>
          <w:cantSplit/>
          <w:jc w:val="center"/>
        </w:trPr>
        <w:tc>
          <w:tcPr>
            <w:tcW w:w="1007" w:type="dxa"/>
            <w:vMerge/>
            <w:vAlign w:val="center"/>
          </w:tcPr>
          <w:p w14:paraId="42DBE5EA" w14:textId="77777777" w:rsidR="00241417" w:rsidRPr="0039343F" w:rsidRDefault="00241417" w:rsidP="003A71DE">
            <w:pPr>
              <w:pStyle w:val="TAC"/>
            </w:pPr>
          </w:p>
        </w:tc>
        <w:tc>
          <w:tcPr>
            <w:tcW w:w="1093" w:type="dxa"/>
            <w:vMerge/>
            <w:tcBorders>
              <w:bottom w:val="single" w:sz="4" w:space="0" w:color="auto"/>
            </w:tcBorders>
            <w:vAlign w:val="center"/>
          </w:tcPr>
          <w:p w14:paraId="09101F86" w14:textId="77777777" w:rsidR="00241417" w:rsidRPr="0039343F" w:rsidRDefault="00241417" w:rsidP="003A71DE">
            <w:pPr>
              <w:pStyle w:val="TAC"/>
            </w:pPr>
          </w:p>
        </w:tc>
        <w:tc>
          <w:tcPr>
            <w:tcW w:w="1985" w:type="dxa"/>
            <w:vAlign w:val="center"/>
          </w:tcPr>
          <w:p w14:paraId="4A95FF2B" w14:textId="77777777" w:rsidR="00241417" w:rsidRPr="0039343F" w:rsidRDefault="00241417" w:rsidP="003A71DE">
            <w:pPr>
              <w:pStyle w:val="TAC"/>
            </w:pPr>
            <w:r w:rsidRPr="0039343F">
              <w:t>TDLC300-100 Low</w:t>
            </w:r>
          </w:p>
        </w:tc>
        <w:tc>
          <w:tcPr>
            <w:tcW w:w="1418" w:type="dxa"/>
            <w:vAlign w:val="center"/>
          </w:tcPr>
          <w:p w14:paraId="776AE3E4" w14:textId="77777777" w:rsidR="00241417" w:rsidRPr="0039343F" w:rsidRDefault="00241417" w:rsidP="003A71DE">
            <w:pPr>
              <w:pStyle w:val="TAC"/>
              <w:rPr>
                <w:lang w:eastAsia="zh-CN"/>
              </w:rPr>
            </w:pPr>
            <w:r>
              <w:rPr>
                <w:lang w:eastAsia="zh-CN"/>
              </w:rPr>
              <w:t>D-FR1-A.2.3-8</w:t>
            </w:r>
          </w:p>
        </w:tc>
        <w:tc>
          <w:tcPr>
            <w:tcW w:w="1417" w:type="dxa"/>
            <w:vAlign w:val="center"/>
          </w:tcPr>
          <w:p w14:paraId="5AB5A8C6" w14:textId="77777777" w:rsidR="00241417" w:rsidRPr="0039343F" w:rsidRDefault="00241417" w:rsidP="003A71DE">
            <w:pPr>
              <w:pStyle w:val="TAC"/>
            </w:pPr>
            <w:r w:rsidRPr="0039343F">
              <w:t>pos1</w:t>
            </w:r>
          </w:p>
        </w:tc>
        <w:tc>
          <w:tcPr>
            <w:tcW w:w="1134" w:type="dxa"/>
            <w:vAlign w:val="center"/>
          </w:tcPr>
          <w:p w14:paraId="06189304" w14:textId="77777777" w:rsidR="00241417" w:rsidRPr="0039343F" w:rsidRDefault="00241417" w:rsidP="003A71DE">
            <w:pPr>
              <w:pStyle w:val="TAC"/>
            </w:pPr>
            <w:r w:rsidRPr="0039343F">
              <w:t>18.2</w:t>
            </w:r>
          </w:p>
        </w:tc>
      </w:tr>
      <w:tr w:rsidR="00241417" w:rsidRPr="0039343F" w14:paraId="11643E14" w14:textId="77777777" w:rsidTr="003A71DE">
        <w:trPr>
          <w:cantSplit/>
          <w:jc w:val="center"/>
        </w:trPr>
        <w:tc>
          <w:tcPr>
            <w:tcW w:w="1007" w:type="dxa"/>
            <w:vMerge/>
            <w:vAlign w:val="center"/>
          </w:tcPr>
          <w:p w14:paraId="060241E6" w14:textId="77777777" w:rsidR="00241417" w:rsidRPr="0039343F" w:rsidRDefault="00241417" w:rsidP="003A71DE">
            <w:pPr>
              <w:pStyle w:val="TAC"/>
            </w:pPr>
          </w:p>
        </w:tc>
        <w:tc>
          <w:tcPr>
            <w:tcW w:w="1093" w:type="dxa"/>
            <w:vMerge w:val="restart"/>
            <w:tcBorders>
              <w:top w:val="single" w:sz="4" w:space="0" w:color="auto"/>
            </w:tcBorders>
            <w:vAlign w:val="center"/>
          </w:tcPr>
          <w:p w14:paraId="1FA6D6B8" w14:textId="77777777" w:rsidR="00241417" w:rsidRPr="0039343F" w:rsidRDefault="00241417" w:rsidP="003A71DE">
            <w:pPr>
              <w:pStyle w:val="TAC"/>
            </w:pPr>
            <w:r w:rsidRPr="0039343F">
              <w:t>4</w:t>
            </w:r>
          </w:p>
        </w:tc>
        <w:tc>
          <w:tcPr>
            <w:tcW w:w="1985" w:type="dxa"/>
            <w:vAlign w:val="center"/>
          </w:tcPr>
          <w:p w14:paraId="5E88133B" w14:textId="77777777" w:rsidR="00241417" w:rsidRPr="0039343F" w:rsidRDefault="00241417" w:rsidP="003A71DE">
            <w:pPr>
              <w:pStyle w:val="TAC"/>
            </w:pPr>
            <w:r w:rsidRPr="0039343F">
              <w:t>TDLB100-400 Low</w:t>
            </w:r>
          </w:p>
        </w:tc>
        <w:tc>
          <w:tcPr>
            <w:tcW w:w="1418" w:type="dxa"/>
            <w:vAlign w:val="center"/>
          </w:tcPr>
          <w:p w14:paraId="255695BA" w14:textId="77777777" w:rsidR="00241417" w:rsidRPr="0039343F" w:rsidRDefault="00241417" w:rsidP="003A71DE">
            <w:pPr>
              <w:pStyle w:val="TAC"/>
              <w:rPr>
                <w:lang w:eastAsia="zh-CN"/>
              </w:rPr>
            </w:pPr>
            <w:r>
              <w:rPr>
                <w:lang w:eastAsia="zh-CN"/>
              </w:rPr>
              <w:t>D-FR1-A.2.1-8</w:t>
            </w:r>
          </w:p>
        </w:tc>
        <w:tc>
          <w:tcPr>
            <w:tcW w:w="1417" w:type="dxa"/>
            <w:vAlign w:val="center"/>
          </w:tcPr>
          <w:p w14:paraId="05BACB81" w14:textId="77777777" w:rsidR="00241417" w:rsidRPr="0039343F" w:rsidRDefault="00241417" w:rsidP="003A71DE">
            <w:pPr>
              <w:pStyle w:val="TAC"/>
            </w:pPr>
            <w:r w:rsidRPr="0039343F">
              <w:t>pos1</w:t>
            </w:r>
          </w:p>
        </w:tc>
        <w:tc>
          <w:tcPr>
            <w:tcW w:w="1134" w:type="dxa"/>
            <w:vAlign w:val="center"/>
          </w:tcPr>
          <w:p w14:paraId="6A1DB98D" w14:textId="77777777" w:rsidR="00241417" w:rsidRPr="0039343F" w:rsidRDefault="00241417" w:rsidP="003A71DE">
            <w:pPr>
              <w:pStyle w:val="TAC"/>
            </w:pPr>
            <w:r w:rsidRPr="0039343F">
              <w:t>-2.3</w:t>
            </w:r>
          </w:p>
        </w:tc>
      </w:tr>
      <w:tr w:rsidR="00241417" w:rsidRPr="0039343F" w14:paraId="1E705F57" w14:textId="77777777" w:rsidTr="003A71DE">
        <w:trPr>
          <w:cantSplit/>
          <w:jc w:val="center"/>
        </w:trPr>
        <w:tc>
          <w:tcPr>
            <w:tcW w:w="1007" w:type="dxa"/>
            <w:vMerge/>
            <w:vAlign w:val="center"/>
          </w:tcPr>
          <w:p w14:paraId="4DAE2F4D" w14:textId="77777777" w:rsidR="00241417" w:rsidRPr="0039343F" w:rsidRDefault="00241417" w:rsidP="003A71DE">
            <w:pPr>
              <w:pStyle w:val="TAC"/>
            </w:pPr>
          </w:p>
        </w:tc>
        <w:tc>
          <w:tcPr>
            <w:tcW w:w="1093" w:type="dxa"/>
            <w:vMerge/>
            <w:tcBorders>
              <w:bottom w:val="single" w:sz="4" w:space="0" w:color="auto"/>
            </w:tcBorders>
            <w:vAlign w:val="center"/>
          </w:tcPr>
          <w:p w14:paraId="2E5972FE" w14:textId="77777777" w:rsidR="00241417" w:rsidRPr="0039343F" w:rsidRDefault="00241417" w:rsidP="003A71DE">
            <w:pPr>
              <w:pStyle w:val="TAC"/>
            </w:pPr>
          </w:p>
        </w:tc>
        <w:tc>
          <w:tcPr>
            <w:tcW w:w="1985" w:type="dxa"/>
            <w:vAlign w:val="center"/>
          </w:tcPr>
          <w:p w14:paraId="389D41D5" w14:textId="77777777" w:rsidR="00241417" w:rsidRPr="0039343F" w:rsidRDefault="00241417" w:rsidP="003A71DE">
            <w:pPr>
              <w:pStyle w:val="TAC"/>
            </w:pPr>
            <w:r w:rsidRPr="0039343F">
              <w:t>TDLC300-100 Low</w:t>
            </w:r>
          </w:p>
        </w:tc>
        <w:tc>
          <w:tcPr>
            <w:tcW w:w="1418" w:type="dxa"/>
            <w:vAlign w:val="center"/>
          </w:tcPr>
          <w:p w14:paraId="03F34DC4" w14:textId="77777777" w:rsidR="00241417" w:rsidRPr="0039343F" w:rsidRDefault="00241417" w:rsidP="003A71DE">
            <w:pPr>
              <w:pStyle w:val="TAC"/>
              <w:rPr>
                <w:lang w:eastAsia="zh-CN"/>
              </w:rPr>
            </w:pPr>
            <w:r>
              <w:rPr>
                <w:lang w:eastAsia="zh-CN"/>
              </w:rPr>
              <w:t>D-FR1-A.2.3-8</w:t>
            </w:r>
          </w:p>
        </w:tc>
        <w:tc>
          <w:tcPr>
            <w:tcW w:w="1417" w:type="dxa"/>
            <w:vAlign w:val="center"/>
          </w:tcPr>
          <w:p w14:paraId="27FB1353" w14:textId="77777777" w:rsidR="00241417" w:rsidRPr="0039343F" w:rsidRDefault="00241417" w:rsidP="003A71DE">
            <w:pPr>
              <w:pStyle w:val="TAC"/>
            </w:pPr>
            <w:r w:rsidRPr="0039343F">
              <w:t>pos1</w:t>
            </w:r>
          </w:p>
        </w:tc>
        <w:tc>
          <w:tcPr>
            <w:tcW w:w="1134" w:type="dxa"/>
            <w:vAlign w:val="center"/>
          </w:tcPr>
          <w:p w14:paraId="662116B1" w14:textId="77777777" w:rsidR="00241417" w:rsidRPr="0039343F" w:rsidRDefault="00241417" w:rsidP="003A71DE">
            <w:pPr>
              <w:pStyle w:val="TAC"/>
            </w:pPr>
            <w:r w:rsidRPr="0039343F">
              <w:t>11.0</w:t>
            </w:r>
          </w:p>
        </w:tc>
      </w:tr>
      <w:tr w:rsidR="00241417" w:rsidRPr="0039343F" w14:paraId="0D2FD122" w14:textId="77777777" w:rsidTr="003A71DE">
        <w:trPr>
          <w:cantSplit/>
          <w:jc w:val="center"/>
        </w:trPr>
        <w:tc>
          <w:tcPr>
            <w:tcW w:w="1007" w:type="dxa"/>
            <w:vMerge/>
            <w:vAlign w:val="center"/>
          </w:tcPr>
          <w:p w14:paraId="58065AAE" w14:textId="77777777" w:rsidR="00241417" w:rsidRPr="0039343F" w:rsidRDefault="00241417" w:rsidP="003A71DE">
            <w:pPr>
              <w:pStyle w:val="TAC"/>
            </w:pPr>
          </w:p>
        </w:tc>
        <w:tc>
          <w:tcPr>
            <w:tcW w:w="1093" w:type="dxa"/>
            <w:vMerge w:val="restart"/>
            <w:tcBorders>
              <w:top w:val="single" w:sz="4" w:space="0" w:color="auto"/>
            </w:tcBorders>
            <w:vAlign w:val="center"/>
          </w:tcPr>
          <w:p w14:paraId="06D1A965" w14:textId="77777777" w:rsidR="00241417" w:rsidRPr="0039343F" w:rsidRDefault="00241417" w:rsidP="003A71DE">
            <w:pPr>
              <w:pStyle w:val="TAC"/>
            </w:pPr>
            <w:r w:rsidRPr="0039343F">
              <w:t>8</w:t>
            </w:r>
          </w:p>
        </w:tc>
        <w:tc>
          <w:tcPr>
            <w:tcW w:w="1985" w:type="dxa"/>
            <w:vAlign w:val="center"/>
          </w:tcPr>
          <w:p w14:paraId="345C358C" w14:textId="77777777" w:rsidR="00241417" w:rsidRPr="0039343F" w:rsidRDefault="00241417" w:rsidP="003A71DE">
            <w:pPr>
              <w:pStyle w:val="TAC"/>
            </w:pPr>
            <w:r w:rsidRPr="0039343F">
              <w:t>TDLB100-400 Low</w:t>
            </w:r>
          </w:p>
        </w:tc>
        <w:tc>
          <w:tcPr>
            <w:tcW w:w="1418" w:type="dxa"/>
            <w:vAlign w:val="center"/>
          </w:tcPr>
          <w:p w14:paraId="507F1BFE" w14:textId="77777777" w:rsidR="00241417" w:rsidRPr="0039343F" w:rsidRDefault="00241417" w:rsidP="003A71DE">
            <w:pPr>
              <w:pStyle w:val="TAC"/>
              <w:rPr>
                <w:lang w:eastAsia="zh-CN"/>
              </w:rPr>
            </w:pPr>
            <w:r>
              <w:rPr>
                <w:lang w:eastAsia="zh-CN"/>
              </w:rPr>
              <w:t>D-FR1-A.2.1-8</w:t>
            </w:r>
          </w:p>
        </w:tc>
        <w:tc>
          <w:tcPr>
            <w:tcW w:w="1417" w:type="dxa"/>
            <w:vAlign w:val="center"/>
          </w:tcPr>
          <w:p w14:paraId="3761BAD6" w14:textId="77777777" w:rsidR="00241417" w:rsidRPr="0039343F" w:rsidRDefault="00241417" w:rsidP="003A71DE">
            <w:pPr>
              <w:pStyle w:val="TAC"/>
            </w:pPr>
            <w:r w:rsidRPr="0039343F">
              <w:t>pos1</w:t>
            </w:r>
          </w:p>
        </w:tc>
        <w:tc>
          <w:tcPr>
            <w:tcW w:w="1134" w:type="dxa"/>
            <w:vAlign w:val="center"/>
          </w:tcPr>
          <w:p w14:paraId="3B497C3C" w14:textId="77777777" w:rsidR="00241417" w:rsidRPr="0039343F" w:rsidRDefault="00241417" w:rsidP="003A71DE">
            <w:pPr>
              <w:pStyle w:val="TAC"/>
            </w:pPr>
            <w:r w:rsidRPr="0039343F">
              <w:t>-5.3</w:t>
            </w:r>
          </w:p>
        </w:tc>
      </w:tr>
      <w:tr w:rsidR="00241417" w:rsidRPr="0039343F" w14:paraId="43BEFD82" w14:textId="77777777" w:rsidTr="003A71DE">
        <w:trPr>
          <w:cantSplit/>
          <w:jc w:val="center"/>
        </w:trPr>
        <w:tc>
          <w:tcPr>
            <w:tcW w:w="1007" w:type="dxa"/>
            <w:vMerge/>
            <w:vAlign w:val="center"/>
          </w:tcPr>
          <w:p w14:paraId="7E76B5D4" w14:textId="77777777" w:rsidR="00241417" w:rsidRPr="0039343F" w:rsidRDefault="00241417" w:rsidP="003A71DE">
            <w:pPr>
              <w:pStyle w:val="TAC"/>
            </w:pPr>
          </w:p>
        </w:tc>
        <w:tc>
          <w:tcPr>
            <w:tcW w:w="1093" w:type="dxa"/>
            <w:vMerge/>
            <w:vAlign w:val="center"/>
          </w:tcPr>
          <w:p w14:paraId="2B2A73DD" w14:textId="77777777" w:rsidR="00241417" w:rsidRPr="0039343F" w:rsidRDefault="00241417" w:rsidP="003A71DE">
            <w:pPr>
              <w:pStyle w:val="TAC"/>
            </w:pPr>
          </w:p>
        </w:tc>
        <w:tc>
          <w:tcPr>
            <w:tcW w:w="1985" w:type="dxa"/>
            <w:vAlign w:val="center"/>
          </w:tcPr>
          <w:p w14:paraId="16ABA3DA" w14:textId="77777777" w:rsidR="00241417" w:rsidRPr="0039343F" w:rsidRDefault="00241417" w:rsidP="003A71DE">
            <w:pPr>
              <w:pStyle w:val="TAC"/>
            </w:pPr>
            <w:r w:rsidRPr="0039343F">
              <w:t>TDLC300-100 Low</w:t>
            </w:r>
          </w:p>
        </w:tc>
        <w:tc>
          <w:tcPr>
            <w:tcW w:w="1418" w:type="dxa"/>
            <w:vAlign w:val="center"/>
          </w:tcPr>
          <w:p w14:paraId="51B9AF5F" w14:textId="77777777" w:rsidR="00241417" w:rsidRPr="0039343F" w:rsidRDefault="00241417" w:rsidP="003A71DE">
            <w:pPr>
              <w:pStyle w:val="TAC"/>
              <w:rPr>
                <w:lang w:eastAsia="zh-CN"/>
              </w:rPr>
            </w:pPr>
            <w:r>
              <w:rPr>
                <w:lang w:eastAsia="zh-CN"/>
              </w:rPr>
              <w:t>D-FR1-A.2.3-8</w:t>
            </w:r>
          </w:p>
        </w:tc>
        <w:tc>
          <w:tcPr>
            <w:tcW w:w="1417" w:type="dxa"/>
            <w:vAlign w:val="center"/>
          </w:tcPr>
          <w:p w14:paraId="5B89ACCC" w14:textId="77777777" w:rsidR="00241417" w:rsidRPr="0039343F" w:rsidRDefault="00241417" w:rsidP="003A71DE">
            <w:pPr>
              <w:pStyle w:val="TAC"/>
            </w:pPr>
            <w:r w:rsidRPr="0039343F">
              <w:t>pos1</w:t>
            </w:r>
          </w:p>
        </w:tc>
        <w:tc>
          <w:tcPr>
            <w:tcW w:w="1134" w:type="dxa"/>
            <w:vAlign w:val="center"/>
          </w:tcPr>
          <w:p w14:paraId="4BB6ED6B" w14:textId="77777777" w:rsidR="00241417" w:rsidRPr="0039343F" w:rsidRDefault="00241417" w:rsidP="003A71DE">
            <w:pPr>
              <w:pStyle w:val="TAC"/>
            </w:pPr>
            <w:r w:rsidRPr="0039343F">
              <w:t>6.8</w:t>
            </w:r>
          </w:p>
        </w:tc>
      </w:tr>
    </w:tbl>
    <w:p w14:paraId="111043B0" w14:textId="77777777" w:rsidR="00241417" w:rsidRPr="0039343F" w:rsidRDefault="00241417" w:rsidP="00241417">
      <w:pPr>
        <w:rPr>
          <w:lang w:eastAsia="zh-CN"/>
        </w:rPr>
      </w:pPr>
    </w:p>
    <w:p w14:paraId="38017A26" w14:textId="77777777" w:rsidR="00241417" w:rsidRPr="00920E66" w:rsidRDefault="00241417" w:rsidP="00763B3E">
      <w:pPr>
        <w:pStyle w:val="TH"/>
        <w:rPr>
          <w:lang w:eastAsia="zh-CN"/>
        </w:rPr>
      </w:pPr>
      <w:r w:rsidRPr="00920E66">
        <w:t xml:space="preserve">Table 8.1.2.1.2-2: Minimum requirements for PUSCH </w:t>
      </w:r>
      <w:r w:rsidRPr="00920E66">
        <w:rPr>
          <w:lang w:eastAsia="zh-CN"/>
        </w:rPr>
        <w:t>with</w:t>
      </w:r>
      <w:r w:rsidRPr="00920E66">
        <w:rPr>
          <w:rFonts w:hint="eastAsia"/>
          <w:lang w:eastAsia="zh-CN"/>
        </w:rPr>
        <w:t xml:space="preserve"> 70% of maximum throughput</w:t>
      </w:r>
      <w:r w:rsidRPr="00920E66">
        <w:t>, Type A, 10 MHz channel bandwidth</w:t>
      </w:r>
      <w:r w:rsidRPr="00920E66">
        <w:rPr>
          <w:lang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418"/>
        <w:gridCol w:w="1417"/>
        <w:gridCol w:w="1134"/>
      </w:tblGrid>
      <w:tr w:rsidR="00241417" w:rsidRPr="0039343F" w14:paraId="2D12F2D7" w14:textId="77777777" w:rsidTr="003A71DE">
        <w:trPr>
          <w:cantSplit/>
          <w:jc w:val="center"/>
        </w:trPr>
        <w:tc>
          <w:tcPr>
            <w:tcW w:w="1007" w:type="dxa"/>
            <w:tcBorders>
              <w:bottom w:val="single" w:sz="4" w:space="0" w:color="auto"/>
            </w:tcBorders>
          </w:tcPr>
          <w:p w14:paraId="2BB7DB06" w14:textId="77777777" w:rsidR="00241417" w:rsidRPr="0039343F" w:rsidRDefault="00241417" w:rsidP="003A71DE">
            <w:pPr>
              <w:pStyle w:val="TAH"/>
            </w:pPr>
            <w:r w:rsidRPr="0039343F">
              <w:t>Number of TX antennas</w:t>
            </w:r>
          </w:p>
        </w:tc>
        <w:tc>
          <w:tcPr>
            <w:tcW w:w="1093" w:type="dxa"/>
            <w:tcBorders>
              <w:bottom w:val="single" w:sz="4" w:space="0" w:color="auto"/>
            </w:tcBorders>
          </w:tcPr>
          <w:p w14:paraId="475A3924" w14:textId="77777777" w:rsidR="00241417" w:rsidRPr="0039343F" w:rsidRDefault="00241417" w:rsidP="003A71DE">
            <w:pPr>
              <w:pStyle w:val="TAH"/>
            </w:pPr>
            <w:r w:rsidRPr="0039343F">
              <w:t xml:space="preserve">Number of </w:t>
            </w:r>
            <w:r>
              <w:t>Demodulation Branches</w:t>
            </w:r>
          </w:p>
        </w:tc>
        <w:tc>
          <w:tcPr>
            <w:tcW w:w="1985" w:type="dxa"/>
          </w:tcPr>
          <w:p w14:paraId="6B4EEA40" w14:textId="0BA0DE47" w:rsidR="00241417" w:rsidRPr="0039343F" w:rsidRDefault="00241417" w:rsidP="003A71DE">
            <w:pPr>
              <w:pStyle w:val="TAH"/>
            </w:pPr>
            <w:r w:rsidRPr="0039343F">
              <w:t xml:space="preserve">Propagation conditions and correlation matrix (Annex </w:t>
            </w:r>
            <w:r>
              <w:t>TBA</w:t>
            </w:r>
            <w:r w:rsidRPr="0039343F">
              <w:t>)</w:t>
            </w:r>
          </w:p>
        </w:tc>
        <w:tc>
          <w:tcPr>
            <w:tcW w:w="1418" w:type="dxa"/>
          </w:tcPr>
          <w:p w14:paraId="4D7D80BA" w14:textId="77777777" w:rsidR="00241417" w:rsidRPr="0039343F" w:rsidRDefault="00241417" w:rsidP="003A71DE">
            <w:pPr>
              <w:pStyle w:val="TAH"/>
            </w:pPr>
            <w:r w:rsidRPr="0039343F">
              <w:t>FRC</w:t>
            </w:r>
            <w:r w:rsidRPr="0039343F">
              <w:br/>
              <w:t>(Annex A)</w:t>
            </w:r>
          </w:p>
        </w:tc>
        <w:tc>
          <w:tcPr>
            <w:tcW w:w="1417" w:type="dxa"/>
          </w:tcPr>
          <w:p w14:paraId="62C03390" w14:textId="77777777" w:rsidR="00241417" w:rsidRPr="0039343F" w:rsidRDefault="00241417" w:rsidP="003A71DE">
            <w:pPr>
              <w:pStyle w:val="TAH"/>
            </w:pPr>
            <w:r w:rsidRPr="0039343F">
              <w:t>Additional DM-RS position</w:t>
            </w:r>
          </w:p>
        </w:tc>
        <w:tc>
          <w:tcPr>
            <w:tcW w:w="1134" w:type="dxa"/>
          </w:tcPr>
          <w:p w14:paraId="02870CE8" w14:textId="77777777" w:rsidR="00241417" w:rsidRPr="0039343F" w:rsidRDefault="00241417" w:rsidP="003A71DE">
            <w:pPr>
              <w:pStyle w:val="TAH"/>
            </w:pPr>
            <w:r w:rsidRPr="0039343F">
              <w:t>SNR</w:t>
            </w:r>
          </w:p>
          <w:p w14:paraId="1206E1D9" w14:textId="77777777" w:rsidR="00241417" w:rsidRPr="0039343F" w:rsidRDefault="00241417" w:rsidP="003A71DE">
            <w:pPr>
              <w:pStyle w:val="TAH"/>
            </w:pPr>
            <w:r w:rsidRPr="0039343F">
              <w:t>(dB)</w:t>
            </w:r>
          </w:p>
        </w:tc>
      </w:tr>
      <w:tr w:rsidR="00241417" w:rsidRPr="0039343F" w14:paraId="218ED2EB" w14:textId="77777777" w:rsidTr="003A71DE">
        <w:trPr>
          <w:cantSplit/>
          <w:jc w:val="center"/>
        </w:trPr>
        <w:tc>
          <w:tcPr>
            <w:tcW w:w="1007" w:type="dxa"/>
            <w:vMerge w:val="restart"/>
          </w:tcPr>
          <w:p w14:paraId="4AFAE4A4" w14:textId="77777777" w:rsidR="00241417" w:rsidRPr="0039343F" w:rsidRDefault="00241417" w:rsidP="003A71DE">
            <w:pPr>
              <w:pStyle w:val="TAC"/>
            </w:pPr>
            <w:r w:rsidRPr="0039343F">
              <w:t>1</w:t>
            </w:r>
          </w:p>
        </w:tc>
        <w:tc>
          <w:tcPr>
            <w:tcW w:w="1093" w:type="dxa"/>
            <w:vMerge w:val="restart"/>
          </w:tcPr>
          <w:p w14:paraId="16224CCF" w14:textId="77777777" w:rsidR="00241417" w:rsidRPr="0039343F" w:rsidRDefault="00241417" w:rsidP="003A71DE">
            <w:pPr>
              <w:pStyle w:val="TAC"/>
            </w:pPr>
            <w:r w:rsidRPr="0039343F">
              <w:t>2</w:t>
            </w:r>
          </w:p>
        </w:tc>
        <w:tc>
          <w:tcPr>
            <w:tcW w:w="1985" w:type="dxa"/>
            <w:vAlign w:val="center"/>
          </w:tcPr>
          <w:p w14:paraId="3CE963E3" w14:textId="77777777" w:rsidR="00241417" w:rsidRPr="0039343F" w:rsidRDefault="00241417" w:rsidP="003A71DE">
            <w:pPr>
              <w:pStyle w:val="TAC"/>
            </w:pPr>
            <w:r w:rsidRPr="0039343F">
              <w:t>TDLB100-400 Low</w:t>
            </w:r>
          </w:p>
        </w:tc>
        <w:tc>
          <w:tcPr>
            <w:tcW w:w="1418" w:type="dxa"/>
            <w:vAlign w:val="center"/>
          </w:tcPr>
          <w:p w14:paraId="60A9C844" w14:textId="77777777" w:rsidR="00241417" w:rsidRPr="0039343F" w:rsidRDefault="00241417" w:rsidP="003A71DE">
            <w:pPr>
              <w:pStyle w:val="TAC"/>
            </w:pPr>
            <w:r>
              <w:rPr>
                <w:lang w:eastAsia="zh-CN"/>
              </w:rPr>
              <w:t>D-FR1-A.2.1-2</w:t>
            </w:r>
          </w:p>
        </w:tc>
        <w:tc>
          <w:tcPr>
            <w:tcW w:w="1417" w:type="dxa"/>
          </w:tcPr>
          <w:p w14:paraId="6C74B982" w14:textId="77777777" w:rsidR="00241417" w:rsidRPr="0039343F" w:rsidRDefault="00241417" w:rsidP="003A71DE">
            <w:pPr>
              <w:pStyle w:val="TAC"/>
            </w:pPr>
            <w:r w:rsidRPr="0039343F">
              <w:t>pos1</w:t>
            </w:r>
          </w:p>
        </w:tc>
        <w:tc>
          <w:tcPr>
            <w:tcW w:w="1134" w:type="dxa"/>
          </w:tcPr>
          <w:p w14:paraId="54FDA424" w14:textId="77777777" w:rsidR="00241417" w:rsidRPr="0039343F" w:rsidRDefault="00241417" w:rsidP="003A71DE">
            <w:pPr>
              <w:pStyle w:val="TAC"/>
            </w:pPr>
            <w:r w:rsidRPr="0039343F">
              <w:t>-2.5</w:t>
            </w:r>
          </w:p>
        </w:tc>
      </w:tr>
      <w:tr w:rsidR="00241417" w:rsidRPr="0039343F" w14:paraId="4CDED70D" w14:textId="77777777" w:rsidTr="003A71DE">
        <w:trPr>
          <w:cantSplit/>
          <w:jc w:val="center"/>
        </w:trPr>
        <w:tc>
          <w:tcPr>
            <w:tcW w:w="1007" w:type="dxa"/>
            <w:vMerge/>
          </w:tcPr>
          <w:p w14:paraId="7F3E530A" w14:textId="77777777" w:rsidR="00241417" w:rsidRPr="0039343F" w:rsidRDefault="00241417" w:rsidP="003A71DE">
            <w:pPr>
              <w:pStyle w:val="TAC"/>
            </w:pPr>
          </w:p>
        </w:tc>
        <w:tc>
          <w:tcPr>
            <w:tcW w:w="1093" w:type="dxa"/>
            <w:vMerge/>
            <w:vAlign w:val="center"/>
          </w:tcPr>
          <w:p w14:paraId="1504A663" w14:textId="77777777" w:rsidR="00241417" w:rsidRPr="0039343F" w:rsidRDefault="00241417" w:rsidP="003A71DE">
            <w:pPr>
              <w:pStyle w:val="TAC"/>
            </w:pPr>
          </w:p>
        </w:tc>
        <w:tc>
          <w:tcPr>
            <w:tcW w:w="1985" w:type="dxa"/>
            <w:vAlign w:val="center"/>
          </w:tcPr>
          <w:p w14:paraId="6E6FF243" w14:textId="77777777" w:rsidR="00241417" w:rsidRPr="0039343F" w:rsidRDefault="00241417" w:rsidP="003A71DE">
            <w:pPr>
              <w:pStyle w:val="TAC"/>
            </w:pPr>
            <w:r w:rsidRPr="0039343F">
              <w:t>TDLC300-100 Low</w:t>
            </w:r>
          </w:p>
        </w:tc>
        <w:tc>
          <w:tcPr>
            <w:tcW w:w="1418" w:type="dxa"/>
            <w:vAlign w:val="center"/>
          </w:tcPr>
          <w:p w14:paraId="57ADED6C" w14:textId="77777777" w:rsidR="00241417" w:rsidRPr="0039343F" w:rsidRDefault="00241417" w:rsidP="003A71DE">
            <w:pPr>
              <w:pStyle w:val="TAC"/>
            </w:pPr>
            <w:r>
              <w:rPr>
                <w:lang w:eastAsia="zh-CN"/>
              </w:rPr>
              <w:t>D-FR1-A.2.3-2</w:t>
            </w:r>
          </w:p>
        </w:tc>
        <w:tc>
          <w:tcPr>
            <w:tcW w:w="1417" w:type="dxa"/>
          </w:tcPr>
          <w:p w14:paraId="467A3674" w14:textId="77777777" w:rsidR="00241417" w:rsidRPr="0039343F" w:rsidRDefault="00241417" w:rsidP="003A71DE">
            <w:pPr>
              <w:pStyle w:val="TAC"/>
            </w:pPr>
            <w:r w:rsidRPr="0039343F">
              <w:t>pos1</w:t>
            </w:r>
          </w:p>
        </w:tc>
        <w:tc>
          <w:tcPr>
            <w:tcW w:w="1134" w:type="dxa"/>
          </w:tcPr>
          <w:p w14:paraId="5987E165" w14:textId="77777777" w:rsidR="00241417" w:rsidRPr="0039343F" w:rsidRDefault="00241417" w:rsidP="003A71DE">
            <w:pPr>
              <w:pStyle w:val="TAC"/>
            </w:pPr>
            <w:r w:rsidRPr="0039343F">
              <w:t>10.2</w:t>
            </w:r>
          </w:p>
        </w:tc>
      </w:tr>
      <w:tr w:rsidR="00241417" w:rsidRPr="0039343F" w14:paraId="7C2F21AB" w14:textId="77777777" w:rsidTr="003A71DE">
        <w:trPr>
          <w:cantSplit/>
          <w:jc w:val="center"/>
        </w:trPr>
        <w:tc>
          <w:tcPr>
            <w:tcW w:w="1007" w:type="dxa"/>
            <w:vMerge/>
          </w:tcPr>
          <w:p w14:paraId="1BECF520" w14:textId="77777777" w:rsidR="00241417" w:rsidRPr="0039343F" w:rsidRDefault="00241417" w:rsidP="003A71DE">
            <w:pPr>
              <w:pStyle w:val="TAC"/>
            </w:pPr>
          </w:p>
        </w:tc>
        <w:tc>
          <w:tcPr>
            <w:tcW w:w="1093" w:type="dxa"/>
            <w:vMerge/>
            <w:tcBorders>
              <w:bottom w:val="single" w:sz="4" w:space="0" w:color="auto"/>
            </w:tcBorders>
          </w:tcPr>
          <w:p w14:paraId="6C849993" w14:textId="77777777" w:rsidR="00241417" w:rsidRPr="0039343F" w:rsidRDefault="00241417" w:rsidP="003A71DE">
            <w:pPr>
              <w:pStyle w:val="TAC"/>
            </w:pPr>
          </w:p>
        </w:tc>
        <w:tc>
          <w:tcPr>
            <w:tcW w:w="1985" w:type="dxa"/>
            <w:vAlign w:val="center"/>
          </w:tcPr>
          <w:p w14:paraId="36048B26" w14:textId="77777777" w:rsidR="00241417" w:rsidRPr="0039343F" w:rsidRDefault="00241417" w:rsidP="003A71DE">
            <w:pPr>
              <w:pStyle w:val="TAC"/>
            </w:pPr>
            <w:r w:rsidRPr="0039343F">
              <w:t>TDLA30-10 Low</w:t>
            </w:r>
          </w:p>
        </w:tc>
        <w:tc>
          <w:tcPr>
            <w:tcW w:w="1418" w:type="dxa"/>
            <w:vAlign w:val="center"/>
          </w:tcPr>
          <w:p w14:paraId="675AF643" w14:textId="77777777" w:rsidR="00241417" w:rsidRPr="0039343F" w:rsidRDefault="00241417" w:rsidP="003A71DE">
            <w:pPr>
              <w:pStyle w:val="TAC"/>
            </w:pPr>
            <w:r>
              <w:rPr>
                <w:lang w:eastAsia="zh-CN"/>
              </w:rPr>
              <w:t>D-FR1-A.2.4-2</w:t>
            </w:r>
          </w:p>
        </w:tc>
        <w:tc>
          <w:tcPr>
            <w:tcW w:w="1417" w:type="dxa"/>
          </w:tcPr>
          <w:p w14:paraId="27A650CB" w14:textId="77777777" w:rsidR="00241417" w:rsidRPr="0039343F" w:rsidRDefault="00241417" w:rsidP="003A71DE">
            <w:pPr>
              <w:pStyle w:val="TAC"/>
            </w:pPr>
            <w:r w:rsidRPr="0039343F">
              <w:t>pos1</w:t>
            </w:r>
          </w:p>
        </w:tc>
        <w:tc>
          <w:tcPr>
            <w:tcW w:w="1134" w:type="dxa"/>
          </w:tcPr>
          <w:p w14:paraId="3276372A" w14:textId="77777777" w:rsidR="00241417" w:rsidRPr="0039343F" w:rsidRDefault="00241417" w:rsidP="003A71DE">
            <w:pPr>
              <w:pStyle w:val="TAC"/>
            </w:pPr>
            <w:r w:rsidRPr="0039343F">
              <w:t>12.2</w:t>
            </w:r>
          </w:p>
        </w:tc>
      </w:tr>
      <w:tr w:rsidR="00241417" w:rsidRPr="0039343F" w14:paraId="012B62A5" w14:textId="77777777" w:rsidTr="003A71DE">
        <w:trPr>
          <w:cantSplit/>
          <w:jc w:val="center"/>
        </w:trPr>
        <w:tc>
          <w:tcPr>
            <w:tcW w:w="1007" w:type="dxa"/>
            <w:vMerge/>
          </w:tcPr>
          <w:p w14:paraId="372B8E0A" w14:textId="77777777" w:rsidR="00241417" w:rsidRPr="0039343F" w:rsidRDefault="00241417" w:rsidP="003A71DE">
            <w:pPr>
              <w:pStyle w:val="TAC"/>
            </w:pPr>
          </w:p>
        </w:tc>
        <w:tc>
          <w:tcPr>
            <w:tcW w:w="1093" w:type="dxa"/>
            <w:vMerge w:val="restart"/>
          </w:tcPr>
          <w:p w14:paraId="1CF4E549" w14:textId="77777777" w:rsidR="00241417" w:rsidRPr="0039343F" w:rsidRDefault="00241417" w:rsidP="003A71DE">
            <w:pPr>
              <w:pStyle w:val="TAC"/>
            </w:pPr>
            <w:r w:rsidRPr="0039343F">
              <w:t>4</w:t>
            </w:r>
          </w:p>
        </w:tc>
        <w:tc>
          <w:tcPr>
            <w:tcW w:w="1985" w:type="dxa"/>
            <w:vAlign w:val="center"/>
          </w:tcPr>
          <w:p w14:paraId="7A0CD837" w14:textId="77777777" w:rsidR="00241417" w:rsidRPr="0039343F" w:rsidRDefault="00241417" w:rsidP="003A71DE">
            <w:pPr>
              <w:pStyle w:val="TAC"/>
            </w:pPr>
            <w:r w:rsidRPr="0039343F">
              <w:t>TDLB100-400 Low</w:t>
            </w:r>
          </w:p>
        </w:tc>
        <w:tc>
          <w:tcPr>
            <w:tcW w:w="1418" w:type="dxa"/>
            <w:vAlign w:val="center"/>
          </w:tcPr>
          <w:p w14:paraId="59CFA6BF" w14:textId="77777777" w:rsidR="00241417" w:rsidRPr="0039343F" w:rsidRDefault="00241417" w:rsidP="003A71DE">
            <w:pPr>
              <w:pStyle w:val="TAC"/>
            </w:pPr>
            <w:r>
              <w:rPr>
                <w:lang w:eastAsia="zh-CN"/>
              </w:rPr>
              <w:t>D-FR1-A.2.1-2</w:t>
            </w:r>
          </w:p>
        </w:tc>
        <w:tc>
          <w:tcPr>
            <w:tcW w:w="1417" w:type="dxa"/>
          </w:tcPr>
          <w:p w14:paraId="0E3CD577" w14:textId="77777777" w:rsidR="00241417" w:rsidRPr="0039343F" w:rsidRDefault="00241417" w:rsidP="003A71DE">
            <w:pPr>
              <w:pStyle w:val="TAC"/>
            </w:pPr>
            <w:r w:rsidRPr="0039343F">
              <w:t>pos1</w:t>
            </w:r>
          </w:p>
        </w:tc>
        <w:tc>
          <w:tcPr>
            <w:tcW w:w="1134" w:type="dxa"/>
          </w:tcPr>
          <w:p w14:paraId="4ED5F52B" w14:textId="77777777" w:rsidR="00241417" w:rsidRPr="0039343F" w:rsidRDefault="00241417" w:rsidP="003A71DE">
            <w:pPr>
              <w:pStyle w:val="TAC"/>
            </w:pPr>
            <w:r w:rsidRPr="0039343F">
              <w:t>-6.0</w:t>
            </w:r>
          </w:p>
        </w:tc>
      </w:tr>
      <w:tr w:rsidR="00241417" w:rsidRPr="0039343F" w14:paraId="3D983485" w14:textId="77777777" w:rsidTr="003A71DE">
        <w:trPr>
          <w:cantSplit/>
          <w:jc w:val="center"/>
        </w:trPr>
        <w:tc>
          <w:tcPr>
            <w:tcW w:w="1007" w:type="dxa"/>
            <w:vMerge/>
            <w:vAlign w:val="center"/>
          </w:tcPr>
          <w:p w14:paraId="7873F641" w14:textId="77777777" w:rsidR="00241417" w:rsidRPr="0039343F" w:rsidRDefault="00241417" w:rsidP="003A71DE">
            <w:pPr>
              <w:pStyle w:val="TAC"/>
            </w:pPr>
          </w:p>
        </w:tc>
        <w:tc>
          <w:tcPr>
            <w:tcW w:w="1093" w:type="dxa"/>
            <w:vMerge/>
            <w:vAlign w:val="center"/>
          </w:tcPr>
          <w:p w14:paraId="13BB232A" w14:textId="77777777" w:rsidR="00241417" w:rsidRPr="0039343F" w:rsidRDefault="00241417" w:rsidP="003A71DE">
            <w:pPr>
              <w:pStyle w:val="TAC"/>
            </w:pPr>
          </w:p>
        </w:tc>
        <w:tc>
          <w:tcPr>
            <w:tcW w:w="1985" w:type="dxa"/>
            <w:vAlign w:val="center"/>
          </w:tcPr>
          <w:p w14:paraId="0D40B18A" w14:textId="77777777" w:rsidR="00241417" w:rsidRPr="0039343F" w:rsidRDefault="00241417" w:rsidP="003A71DE">
            <w:pPr>
              <w:pStyle w:val="TAC"/>
            </w:pPr>
            <w:r w:rsidRPr="0039343F">
              <w:t>TDLC300-100 Low</w:t>
            </w:r>
          </w:p>
        </w:tc>
        <w:tc>
          <w:tcPr>
            <w:tcW w:w="1418" w:type="dxa"/>
            <w:vAlign w:val="center"/>
          </w:tcPr>
          <w:p w14:paraId="05E7C637" w14:textId="77777777" w:rsidR="00241417" w:rsidRPr="0039343F" w:rsidRDefault="00241417" w:rsidP="003A71DE">
            <w:pPr>
              <w:pStyle w:val="TAC"/>
            </w:pPr>
            <w:r>
              <w:rPr>
                <w:lang w:eastAsia="zh-CN"/>
              </w:rPr>
              <w:t>D-FR1-A.2.3-2</w:t>
            </w:r>
          </w:p>
        </w:tc>
        <w:tc>
          <w:tcPr>
            <w:tcW w:w="1417" w:type="dxa"/>
          </w:tcPr>
          <w:p w14:paraId="27ABDF9C" w14:textId="77777777" w:rsidR="00241417" w:rsidRPr="0039343F" w:rsidRDefault="00241417" w:rsidP="003A71DE">
            <w:pPr>
              <w:pStyle w:val="TAC"/>
            </w:pPr>
            <w:r w:rsidRPr="0039343F">
              <w:t>pos1</w:t>
            </w:r>
          </w:p>
        </w:tc>
        <w:tc>
          <w:tcPr>
            <w:tcW w:w="1134" w:type="dxa"/>
          </w:tcPr>
          <w:p w14:paraId="07AE1CEC" w14:textId="77777777" w:rsidR="00241417" w:rsidRPr="0039343F" w:rsidRDefault="00241417" w:rsidP="003A71DE">
            <w:pPr>
              <w:pStyle w:val="TAC"/>
            </w:pPr>
            <w:r w:rsidRPr="0039343F">
              <w:t>6.3</w:t>
            </w:r>
          </w:p>
        </w:tc>
      </w:tr>
      <w:tr w:rsidR="00241417" w:rsidRPr="0039343F" w14:paraId="0E7FCB85" w14:textId="77777777" w:rsidTr="003A71DE">
        <w:trPr>
          <w:cantSplit/>
          <w:jc w:val="center"/>
        </w:trPr>
        <w:tc>
          <w:tcPr>
            <w:tcW w:w="1007" w:type="dxa"/>
            <w:vMerge/>
          </w:tcPr>
          <w:p w14:paraId="1323A14B" w14:textId="77777777" w:rsidR="00241417" w:rsidRPr="0039343F" w:rsidRDefault="00241417" w:rsidP="003A71DE">
            <w:pPr>
              <w:pStyle w:val="TAC"/>
            </w:pPr>
          </w:p>
        </w:tc>
        <w:tc>
          <w:tcPr>
            <w:tcW w:w="1093" w:type="dxa"/>
            <w:vMerge/>
            <w:tcBorders>
              <w:bottom w:val="single" w:sz="4" w:space="0" w:color="auto"/>
            </w:tcBorders>
          </w:tcPr>
          <w:p w14:paraId="58EF7EF4" w14:textId="77777777" w:rsidR="00241417" w:rsidRPr="0039343F" w:rsidRDefault="00241417" w:rsidP="003A71DE">
            <w:pPr>
              <w:pStyle w:val="TAC"/>
            </w:pPr>
          </w:p>
        </w:tc>
        <w:tc>
          <w:tcPr>
            <w:tcW w:w="1985" w:type="dxa"/>
            <w:vAlign w:val="center"/>
          </w:tcPr>
          <w:p w14:paraId="76E64622" w14:textId="77777777" w:rsidR="00241417" w:rsidRPr="0039343F" w:rsidRDefault="00241417" w:rsidP="003A71DE">
            <w:pPr>
              <w:pStyle w:val="TAC"/>
            </w:pPr>
            <w:r w:rsidRPr="0039343F">
              <w:t>TDLA30-10 Low</w:t>
            </w:r>
          </w:p>
        </w:tc>
        <w:tc>
          <w:tcPr>
            <w:tcW w:w="1418" w:type="dxa"/>
            <w:vAlign w:val="center"/>
          </w:tcPr>
          <w:p w14:paraId="7B1D6AFA" w14:textId="77777777" w:rsidR="00241417" w:rsidRPr="0039343F" w:rsidRDefault="00241417" w:rsidP="003A71DE">
            <w:pPr>
              <w:pStyle w:val="TAC"/>
            </w:pPr>
            <w:r>
              <w:rPr>
                <w:lang w:eastAsia="zh-CN"/>
              </w:rPr>
              <w:t>D-FR1-A.2.4-2</w:t>
            </w:r>
          </w:p>
        </w:tc>
        <w:tc>
          <w:tcPr>
            <w:tcW w:w="1417" w:type="dxa"/>
          </w:tcPr>
          <w:p w14:paraId="329DF6ED" w14:textId="77777777" w:rsidR="00241417" w:rsidRPr="0039343F" w:rsidRDefault="00241417" w:rsidP="003A71DE">
            <w:pPr>
              <w:pStyle w:val="TAC"/>
            </w:pPr>
            <w:r w:rsidRPr="0039343F">
              <w:t>pos1</w:t>
            </w:r>
          </w:p>
        </w:tc>
        <w:tc>
          <w:tcPr>
            <w:tcW w:w="1134" w:type="dxa"/>
          </w:tcPr>
          <w:p w14:paraId="7116B08B" w14:textId="77777777" w:rsidR="00241417" w:rsidRPr="0039343F" w:rsidRDefault="00241417" w:rsidP="003A71DE">
            <w:pPr>
              <w:pStyle w:val="TAC"/>
            </w:pPr>
            <w:r w:rsidRPr="0039343F">
              <w:t>8.6</w:t>
            </w:r>
          </w:p>
        </w:tc>
      </w:tr>
      <w:tr w:rsidR="00241417" w:rsidRPr="0039343F" w14:paraId="12F01F5E" w14:textId="77777777" w:rsidTr="003A71DE">
        <w:trPr>
          <w:cantSplit/>
          <w:jc w:val="center"/>
        </w:trPr>
        <w:tc>
          <w:tcPr>
            <w:tcW w:w="1007" w:type="dxa"/>
            <w:vMerge/>
          </w:tcPr>
          <w:p w14:paraId="57AF6D14" w14:textId="77777777" w:rsidR="00241417" w:rsidRPr="0039343F" w:rsidRDefault="00241417" w:rsidP="003A71DE">
            <w:pPr>
              <w:pStyle w:val="TAC"/>
            </w:pPr>
          </w:p>
        </w:tc>
        <w:tc>
          <w:tcPr>
            <w:tcW w:w="1093" w:type="dxa"/>
            <w:vMerge w:val="restart"/>
          </w:tcPr>
          <w:p w14:paraId="7FF88834" w14:textId="77777777" w:rsidR="00241417" w:rsidRPr="0039343F" w:rsidRDefault="00241417" w:rsidP="003A71DE">
            <w:pPr>
              <w:pStyle w:val="TAC"/>
            </w:pPr>
            <w:r w:rsidRPr="0039343F">
              <w:t>8</w:t>
            </w:r>
          </w:p>
        </w:tc>
        <w:tc>
          <w:tcPr>
            <w:tcW w:w="1985" w:type="dxa"/>
            <w:vAlign w:val="center"/>
          </w:tcPr>
          <w:p w14:paraId="7C8E4153" w14:textId="77777777" w:rsidR="00241417" w:rsidRPr="0039343F" w:rsidRDefault="00241417" w:rsidP="003A71DE">
            <w:pPr>
              <w:pStyle w:val="TAC"/>
            </w:pPr>
            <w:r w:rsidRPr="0039343F">
              <w:t>TDLB100-400 Low</w:t>
            </w:r>
          </w:p>
        </w:tc>
        <w:tc>
          <w:tcPr>
            <w:tcW w:w="1418" w:type="dxa"/>
            <w:vAlign w:val="center"/>
          </w:tcPr>
          <w:p w14:paraId="786D18E4" w14:textId="77777777" w:rsidR="00241417" w:rsidRPr="0039343F" w:rsidRDefault="00241417" w:rsidP="003A71DE">
            <w:pPr>
              <w:pStyle w:val="TAC"/>
            </w:pPr>
            <w:r>
              <w:rPr>
                <w:lang w:eastAsia="zh-CN"/>
              </w:rPr>
              <w:t>D-FR1-A.2.1-2</w:t>
            </w:r>
          </w:p>
        </w:tc>
        <w:tc>
          <w:tcPr>
            <w:tcW w:w="1417" w:type="dxa"/>
          </w:tcPr>
          <w:p w14:paraId="0C60D9E5" w14:textId="77777777" w:rsidR="00241417" w:rsidRPr="0039343F" w:rsidRDefault="00241417" w:rsidP="003A71DE">
            <w:pPr>
              <w:pStyle w:val="TAC"/>
            </w:pPr>
            <w:r w:rsidRPr="0039343F">
              <w:t>pos1</w:t>
            </w:r>
          </w:p>
        </w:tc>
        <w:tc>
          <w:tcPr>
            <w:tcW w:w="1134" w:type="dxa"/>
          </w:tcPr>
          <w:p w14:paraId="7A93CB6D" w14:textId="77777777" w:rsidR="00241417" w:rsidRPr="0039343F" w:rsidRDefault="00241417" w:rsidP="003A71DE">
            <w:pPr>
              <w:pStyle w:val="TAC"/>
            </w:pPr>
            <w:r w:rsidRPr="0039343F">
              <w:t>-8.7</w:t>
            </w:r>
          </w:p>
        </w:tc>
      </w:tr>
      <w:tr w:rsidR="00241417" w:rsidRPr="0039343F" w14:paraId="112F6362" w14:textId="77777777" w:rsidTr="003A71DE">
        <w:trPr>
          <w:cantSplit/>
          <w:jc w:val="center"/>
        </w:trPr>
        <w:tc>
          <w:tcPr>
            <w:tcW w:w="1007" w:type="dxa"/>
            <w:vMerge/>
          </w:tcPr>
          <w:p w14:paraId="20F01BE9" w14:textId="77777777" w:rsidR="00241417" w:rsidRPr="0039343F" w:rsidRDefault="00241417" w:rsidP="003A71DE">
            <w:pPr>
              <w:pStyle w:val="TAC"/>
            </w:pPr>
          </w:p>
        </w:tc>
        <w:tc>
          <w:tcPr>
            <w:tcW w:w="1093" w:type="dxa"/>
            <w:vMerge/>
            <w:vAlign w:val="center"/>
          </w:tcPr>
          <w:p w14:paraId="366B8D6A" w14:textId="77777777" w:rsidR="00241417" w:rsidRPr="0039343F" w:rsidRDefault="00241417" w:rsidP="003A71DE">
            <w:pPr>
              <w:pStyle w:val="TAC"/>
            </w:pPr>
          </w:p>
        </w:tc>
        <w:tc>
          <w:tcPr>
            <w:tcW w:w="1985" w:type="dxa"/>
            <w:vAlign w:val="center"/>
          </w:tcPr>
          <w:p w14:paraId="571CF831" w14:textId="77777777" w:rsidR="00241417" w:rsidRPr="0039343F" w:rsidRDefault="00241417" w:rsidP="003A71DE">
            <w:pPr>
              <w:pStyle w:val="TAC"/>
            </w:pPr>
            <w:r w:rsidRPr="0039343F">
              <w:t>TDLC300-100 Low</w:t>
            </w:r>
          </w:p>
        </w:tc>
        <w:tc>
          <w:tcPr>
            <w:tcW w:w="1418" w:type="dxa"/>
            <w:vAlign w:val="center"/>
          </w:tcPr>
          <w:p w14:paraId="0D6A6418" w14:textId="77777777" w:rsidR="00241417" w:rsidRPr="0039343F" w:rsidRDefault="00241417" w:rsidP="003A71DE">
            <w:pPr>
              <w:pStyle w:val="TAC"/>
            </w:pPr>
            <w:r>
              <w:rPr>
                <w:lang w:eastAsia="zh-CN"/>
              </w:rPr>
              <w:t>D-FR1-A.2.3-2</w:t>
            </w:r>
          </w:p>
        </w:tc>
        <w:tc>
          <w:tcPr>
            <w:tcW w:w="1417" w:type="dxa"/>
          </w:tcPr>
          <w:p w14:paraId="458E9C99" w14:textId="77777777" w:rsidR="00241417" w:rsidRPr="0039343F" w:rsidRDefault="00241417" w:rsidP="003A71DE">
            <w:pPr>
              <w:pStyle w:val="TAC"/>
            </w:pPr>
            <w:r w:rsidRPr="0039343F">
              <w:t>pos1</w:t>
            </w:r>
          </w:p>
        </w:tc>
        <w:tc>
          <w:tcPr>
            <w:tcW w:w="1134" w:type="dxa"/>
          </w:tcPr>
          <w:p w14:paraId="0B1A760C" w14:textId="77777777" w:rsidR="00241417" w:rsidRPr="0039343F" w:rsidRDefault="00241417" w:rsidP="003A71DE">
            <w:pPr>
              <w:pStyle w:val="TAC"/>
            </w:pPr>
            <w:r w:rsidRPr="0039343F">
              <w:t>3.1</w:t>
            </w:r>
          </w:p>
        </w:tc>
      </w:tr>
      <w:tr w:rsidR="00241417" w:rsidRPr="0039343F" w14:paraId="4607B27C" w14:textId="77777777" w:rsidTr="003A71DE">
        <w:trPr>
          <w:cantSplit/>
          <w:jc w:val="center"/>
        </w:trPr>
        <w:tc>
          <w:tcPr>
            <w:tcW w:w="1007" w:type="dxa"/>
            <w:vMerge/>
            <w:tcBorders>
              <w:bottom w:val="single" w:sz="4" w:space="0" w:color="auto"/>
            </w:tcBorders>
          </w:tcPr>
          <w:p w14:paraId="620462D8" w14:textId="77777777" w:rsidR="00241417" w:rsidRPr="0039343F" w:rsidRDefault="00241417" w:rsidP="003A71DE">
            <w:pPr>
              <w:pStyle w:val="TAC"/>
            </w:pPr>
          </w:p>
        </w:tc>
        <w:tc>
          <w:tcPr>
            <w:tcW w:w="1093" w:type="dxa"/>
            <w:vMerge/>
            <w:tcBorders>
              <w:bottom w:val="single" w:sz="4" w:space="0" w:color="auto"/>
            </w:tcBorders>
          </w:tcPr>
          <w:p w14:paraId="5D50D3CE" w14:textId="77777777" w:rsidR="00241417" w:rsidRPr="0039343F" w:rsidRDefault="00241417" w:rsidP="003A71DE">
            <w:pPr>
              <w:pStyle w:val="TAC"/>
            </w:pPr>
          </w:p>
        </w:tc>
        <w:tc>
          <w:tcPr>
            <w:tcW w:w="1985" w:type="dxa"/>
            <w:vAlign w:val="center"/>
          </w:tcPr>
          <w:p w14:paraId="00DA6FCA" w14:textId="77777777" w:rsidR="00241417" w:rsidRPr="0039343F" w:rsidRDefault="00241417" w:rsidP="003A71DE">
            <w:pPr>
              <w:pStyle w:val="TAC"/>
            </w:pPr>
            <w:r w:rsidRPr="0039343F">
              <w:t>TDLA30-10 Low</w:t>
            </w:r>
          </w:p>
        </w:tc>
        <w:tc>
          <w:tcPr>
            <w:tcW w:w="1418" w:type="dxa"/>
            <w:vAlign w:val="center"/>
          </w:tcPr>
          <w:p w14:paraId="56FF45B7" w14:textId="77777777" w:rsidR="00241417" w:rsidRPr="0039343F" w:rsidRDefault="00241417" w:rsidP="003A71DE">
            <w:pPr>
              <w:pStyle w:val="TAC"/>
            </w:pPr>
            <w:r>
              <w:rPr>
                <w:lang w:eastAsia="zh-CN"/>
              </w:rPr>
              <w:t>D-FR1-A.2.4-2</w:t>
            </w:r>
          </w:p>
        </w:tc>
        <w:tc>
          <w:tcPr>
            <w:tcW w:w="1417" w:type="dxa"/>
          </w:tcPr>
          <w:p w14:paraId="1A225334" w14:textId="77777777" w:rsidR="00241417" w:rsidRPr="0039343F" w:rsidRDefault="00241417" w:rsidP="003A71DE">
            <w:pPr>
              <w:pStyle w:val="TAC"/>
            </w:pPr>
            <w:r w:rsidRPr="0039343F">
              <w:t>pos1</w:t>
            </w:r>
          </w:p>
        </w:tc>
        <w:tc>
          <w:tcPr>
            <w:tcW w:w="1134" w:type="dxa"/>
          </w:tcPr>
          <w:p w14:paraId="31DEA90A" w14:textId="77777777" w:rsidR="00241417" w:rsidRPr="0039343F" w:rsidRDefault="00241417" w:rsidP="003A71DE">
            <w:pPr>
              <w:pStyle w:val="TAC"/>
            </w:pPr>
            <w:r w:rsidRPr="0039343F">
              <w:t>5.5</w:t>
            </w:r>
          </w:p>
        </w:tc>
      </w:tr>
      <w:tr w:rsidR="00241417" w:rsidRPr="0039343F" w14:paraId="300E10A3" w14:textId="77777777" w:rsidTr="003A71DE">
        <w:trPr>
          <w:cantSplit/>
          <w:jc w:val="center"/>
        </w:trPr>
        <w:tc>
          <w:tcPr>
            <w:tcW w:w="1007" w:type="dxa"/>
            <w:vMerge w:val="restart"/>
            <w:vAlign w:val="center"/>
          </w:tcPr>
          <w:p w14:paraId="30570E53" w14:textId="77777777" w:rsidR="00241417" w:rsidRPr="0039343F" w:rsidRDefault="00241417" w:rsidP="003A71DE">
            <w:pPr>
              <w:pStyle w:val="TAC"/>
            </w:pPr>
            <w:r w:rsidRPr="0039343F">
              <w:t>2</w:t>
            </w:r>
          </w:p>
        </w:tc>
        <w:tc>
          <w:tcPr>
            <w:tcW w:w="1093" w:type="dxa"/>
            <w:vMerge w:val="restart"/>
            <w:vAlign w:val="center"/>
          </w:tcPr>
          <w:p w14:paraId="16CD4060" w14:textId="77777777" w:rsidR="00241417" w:rsidRPr="0039343F" w:rsidRDefault="00241417" w:rsidP="003A71DE">
            <w:pPr>
              <w:pStyle w:val="TAC"/>
            </w:pPr>
            <w:r w:rsidRPr="0039343F">
              <w:t>2</w:t>
            </w:r>
          </w:p>
        </w:tc>
        <w:tc>
          <w:tcPr>
            <w:tcW w:w="1985" w:type="dxa"/>
            <w:vAlign w:val="center"/>
          </w:tcPr>
          <w:p w14:paraId="5B2B5B85" w14:textId="77777777" w:rsidR="00241417" w:rsidRPr="0039343F" w:rsidRDefault="00241417" w:rsidP="003A71DE">
            <w:pPr>
              <w:pStyle w:val="TAC"/>
            </w:pPr>
            <w:r w:rsidRPr="0039343F">
              <w:t>TDLB100-400 Low</w:t>
            </w:r>
          </w:p>
        </w:tc>
        <w:tc>
          <w:tcPr>
            <w:tcW w:w="1418" w:type="dxa"/>
            <w:vAlign w:val="center"/>
          </w:tcPr>
          <w:p w14:paraId="2962E372" w14:textId="77777777" w:rsidR="00241417" w:rsidRPr="0039343F" w:rsidRDefault="00241417" w:rsidP="003A71DE">
            <w:pPr>
              <w:pStyle w:val="TAC"/>
            </w:pPr>
            <w:r>
              <w:rPr>
                <w:lang w:eastAsia="zh-CN"/>
              </w:rPr>
              <w:t>D-FR1-A.2.1-9</w:t>
            </w:r>
          </w:p>
        </w:tc>
        <w:tc>
          <w:tcPr>
            <w:tcW w:w="1417" w:type="dxa"/>
          </w:tcPr>
          <w:p w14:paraId="51BC55FE" w14:textId="77777777" w:rsidR="00241417" w:rsidRPr="0039343F" w:rsidRDefault="00241417" w:rsidP="003A71DE">
            <w:pPr>
              <w:pStyle w:val="TAC"/>
            </w:pPr>
            <w:r w:rsidRPr="0039343F">
              <w:t>pos1</w:t>
            </w:r>
          </w:p>
        </w:tc>
        <w:tc>
          <w:tcPr>
            <w:tcW w:w="1134" w:type="dxa"/>
          </w:tcPr>
          <w:p w14:paraId="413BD959" w14:textId="77777777" w:rsidR="00241417" w:rsidRPr="0039343F" w:rsidRDefault="00241417" w:rsidP="003A71DE">
            <w:pPr>
              <w:pStyle w:val="TAC"/>
            </w:pPr>
            <w:r w:rsidRPr="0039343F">
              <w:t>1.7</w:t>
            </w:r>
          </w:p>
        </w:tc>
      </w:tr>
      <w:tr w:rsidR="00241417" w:rsidRPr="0039343F" w14:paraId="1D0D8741" w14:textId="77777777" w:rsidTr="003A71DE">
        <w:trPr>
          <w:cantSplit/>
          <w:jc w:val="center"/>
        </w:trPr>
        <w:tc>
          <w:tcPr>
            <w:tcW w:w="1007" w:type="dxa"/>
            <w:vMerge/>
          </w:tcPr>
          <w:p w14:paraId="26A106DF" w14:textId="77777777" w:rsidR="00241417" w:rsidRPr="0039343F" w:rsidRDefault="00241417" w:rsidP="003A71DE">
            <w:pPr>
              <w:pStyle w:val="TAC"/>
            </w:pPr>
          </w:p>
        </w:tc>
        <w:tc>
          <w:tcPr>
            <w:tcW w:w="1093" w:type="dxa"/>
            <w:vMerge/>
            <w:tcBorders>
              <w:bottom w:val="single" w:sz="4" w:space="0" w:color="auto"/>
            </w:tcBorders>
          </w:tcPr>
          <w:p w14:paraId="0A9161B2" w14:textId="77777777" w:rsidR="00241417" w:rsidRPr="0039343F" w:rsidRDefault="00241417" w:rsidP="003A71DE">
            <w:pPr>
              <w:pStyle w:val="TAC"/>
            </w:pPr>
          </w:p>
        </w:tc>
        <w:tc>
          <w:tcPr>
            <w:tcW w:w="1985" w:type="dxa"/>
            <w:vAlign w:val="center"/>
          </w:tcPr>
          <w:p w14:paraId="065DA47D" w14:textId="77777777" w:rsidR="00241417" w:rsidRPr="0039343F" w:rsidRDefault="00241417" w:rsidP="003A71DE">
            <w:pPr>
              <w:pStyle w:val="TAC"/>
            </w:pPr>
            <w:r w:rsidRPr="0039343F">
              <w:t>TDLC300-100 Low</w:t>
            </w:r>
          </w:p>
        </w:tc>
        <w:tc>
          <w:tcPr>
            <w:tcW w:w="1418" w:type="dxa"/>
            <w:vAlign w:val="center"/>
          </w:tcPr>
          <w:p w14:paraId="517BF313" w14:textId="77777777" w:rsidR="00241417" w:rsidRPr="0039343F" w:rsidRDefault="00241417" w:rsidP="003A71DE">
            <w:pPr>
              <w:pStyle w:val="TAC"/>
              <w:rPr>
                <w:lang w:eastAsia="zh-CN"/>
              </w:rPr>
            </w:pPr>
            <w:r>
              <w:rPr>
                <w:lang w:eastAsia="zh-CN"/>
              </w:rPr>
              <w:t>D-FR1-A.2.3-9</w:t>
            </w:r>
          </w:p>
        </w:tc>
        <w:tc>
          <w:tcPr>
            <w:tcW w:w="1417" w:type="dxa"/>
          </w:tcPr>
          <w:p w14:paraId="1B290B6D" w14:textId="77777777" w:rsidR="00241417" w:rsidRPr="0039343F" w:rsidRDefault="00241417" w:rsidP="003A71DE">
            <w:pPr>
              <w:pStyle w:val="TAC"/>
            </w:pPr>
            <w:r w:rsidRPr="0039343F">
              <w:t>pos1</w:t>
            </w:r>
          </w:p>
        </w:tc>
        <w:tc>
          <w:tcPr>
            <w:tcW w:w="1134" w:type="dxa"/>
          </w:tcPr>
          <w:p w14:paraId="10A8212D" w14:textId="77777777" w:rsidR="00241417" w:rsidRPr="0039343F" w:rsidRDefault="00241417" w:rsidP="003A71DE">
            <w:pPr>
              <w:pStyle w:val="TAC"/>
            </w:pPr>
            <w:r w:rsidRPr="0039343F">
              <w:t>18.3</w:t>
            </w:r>
          </w:p>
        </w:tc>
      </w:tr>
      <w:tr w:rsidR="00241417" w:rsidRPr="0039343F" w14:paraId="2BB396A6" w14:textId="77777777" w:rsidTr="003A71DE">
        <w:trPr>
          <w:cantSplit/>
          <w:jc w:val="center"/>
        </w:trPr>
        <w:tc>
          <w:tcPr>
            <w:tcW w:w="1007" w:type="dxa"/>
            <w:vMerge/>
            <w:vAlign w:val="center"/>
          </w:tcPr>
          <w:p w14:paraId="2B0A7C2A" w14:textId="77777777" w:rsidR="00241417" w:rsidRPr="0039343F" w:rsidRDefault="00241417" w:rsidP="003A71DE">
            <w:pPr>
              <w:pStyle w:val="TAC"/>
            </w:pPr>
          </w:p>
        </w:tc>
        <w:tc>
          <w:tcPr>
            <w:tcW w:w="1093" w:type="dxa"/>
            <w:vMerge w:val="restart"/>
            <w:tcBorders>
              <w:top w:val="single" w:sz="4" w:space="0" w:color="auto"/>
            </w:tcBorders>
            <w:vAlign w:val="center"/>
          </w:tcPr>
          <w:p w14:paraId="4C4A2FE6" w14:textId="77777777" w:rsidR="00241417" w:rsidRPr="0039343F" w:rsidRDefault="00241417" w:rsidP="003A71DE">
            <w:pPr>
              <w:pStyle w:val="TAC"/>
            </w:pPr>
            <w:r w:rsidRPr="0039343F">
              <w:t>4</w:t>
            </w:r>
          </w:p>
        </w:tc>
        <w:tc>
          <w:tcPr>
            <w:tcW w:w="1985" w:type="dxa"/>
            <w:vAlign w:val="center"/>
          </w:tcPr>
          <w:p w14:paraId="551C5FD2" w14:textId="77777777" w:rsidR="00241417" w:rsidRPr="0039343F" w:rsidRDefault="00241417" w:rsidP="003A71DE">
            <w:pPr>
              <w:pStyle w:val="TAC"/>
            </w:pPr>
            <w:r w:rsidRPr="0039343F">
              <w:t>TDLB100-400 Low</w:t>
            </w:r>
          </w:p>
        </w:tc>
        <w:tc>
          <w:tcPr>
            <w:tcW w:w="1418" w:type="dxa"/>
            <w:vAlign w:val="center"/>
          </w:tcPr>
          <w:p w14:paraId="3C94F041" w14:textId="77777777" w:rsidR="00241417" w:rsidRPr="0039343F" w:rsidRDefault="00241417" w:rsidP="003A71DE">
            <w:pPr>
              <w:pStyle w:val="TAC"/>
              <w:rPr>
                <w:lang w:eastAsia="zh-CN"/>
              </w:rPr>
            </w:pPr>
            <w:r>
              <w:rPr>
                <w:lang w:eastAsia="zh-CN"/>
              </w:rPr>
              <w:t>D-FR1-A.2.1-9</w:t>
            </w:r>
          </w:p>
        </w:tc>
        <w:tc>
          <w:tcPr>
            <w:tcW w:w="1417" w:type="dxa"/>
          </w:tcPr>
          <w:p w14:paraId="38D1B5D8" w14:textId="77777777" w:rsidR="00241417" w:rsidRPr="0039343F" w:rsidRDefault="00241417" w:rsidP="003A71DE">
            <w:pPr>
              <w:pStyle w:val="TAC"/>
            </w:pPr>
            <w:r w:rsidRPr="0039343F">
              <w:t>pos1</w:t>
            </w:r>
          </w:p>
        </w:tc>
        <w:tc>
          <w:tcPr>
            <w:tcW w:w="1134" w:type="dxa"/>
          </w:tcPr>
          <w:p w14:paraId="6039FD34" w14:textId="77777777" w:rsidR="00241417" w:rsidRPr="0039343F" w:rsidRDefault="00241417" w:rsidP="003A71DE">
            <w:pPr>
              <w:pStyle w:val="TAC"/>
            </w:pPr>
            <w:r w:rsidRPr="0039343F">
              <w:t>-2.0</w:t>
            </w:r>
          </w:p>
        </w:tc>
      </w:tr>
      <w:tr w:rsidR="00241417" w:rsidRPr="0039343F" w14:paraId="0D30E499" w14:textId="77777777" w:rsidTr="003A71DE">
        <w:trPr>
          <w:cantSplit/>
          <w:jc w:val="center"/>
        </w:trPr>
        <w:tc>
          <w:tcPr>
            <w:tcW w:w="1007" w:type="dxa"/>
            <w:vMerge/>
          </w:tcPr>
          <w:p w14:paraId="23A72138" w14:textId="77777777" w:rsidR="00241417" w:rsidRPr="0039343F" w:rsidRDefault="00241417" w:rsidP="003A71DE">
            <w:pPr>
              <w:pStyle w:val="TAC"/>
            </w:pPr>
          </w:p>
        </w:tc>
        <w:tc>
          <w:tcPr>
            <w:tcW w:w="1093" w:type="dxa"/>
            <w:vMerge/>
            <w:tcBorders>
              <w:bottom w:val="single" w:sz="4" w:space="0" w:color="auto"/>
            </w:tcBorders>
          </w:tcPr>
          <w:p w14:paraId="5DB21CAF" w14:textId="77777777" w:rsidR="00241417" w:rsidRPr="0039343F" w:rsidRDefault="00241417" w:rsidP="003A71DE">
            <w:pPr>
              <w:pStyle w:val="TAC"/>
            </w:pPr>
          </w:p>
        </w:tc>
        <w:tc>
          <w:tcPr>
            <w:tcW w:w="1985" w:type="dxa"/>
            <w:vAlign w:val="center"/>
          </w:tcPr>
          <w:p w14:paraId="15036062" w14:textId="77777777" w:rsidR="00241417" w:rsidRPr="0039343F" w:rsidRDefault="00241417" w:rsidP="003A71DE">
            <w:pPr>
              <w:pStyle w:val="TAC"/>
            </w:pPr>
            <w:r w:rsidRPr="0039343F">
              <w:t>TDLC300-100 Low</w:t>
            </w:r>
          </w:p>
        </w:tc>
        <w:tc>
          <w:tcPr>
            <w:tcW w:w="1418" w:type="dxa"/>
            <w:vAlign w:val="center"/>
          </w:tcPr>
          <w:p w14:paraId="3D955E47" w14:textId="77777777" w:rsidR="00241417" w:rsidRPr="0039343F" w:rsidRDefault="00241417" w:rsidP="003A71DE">
            <w:pPr>
              <w:pStyle w:val="TAC"/>
              <w:rPr>
                <w:lang w:eastAsia="zh-CN"/>
              </w:rPr>
            </w:pPr>
            <w:r>
              <w:rPr>
                <w:lang w:eastAsia="zh-CN"/>
              </w:rPr>
              <w:t>D-FR1-A.2.3-9</w:t>
            </w:r>
          </w:p>
        </w:tc>
        <w:tc>
          <w:tcPr>
            <w:tcW w:w="1417" w:type="dxa"/>
          </w:tcPr>
          <w:p w14:paraId="264E98FE" w14:textId="77777777" w:rsidR="00241417" w:rsidRPr="0039343F" w:rsidRDefault="00241417" w:rsidP="003A71DE">
            <w:pPr>
              <w:pStyle w:val="TAC"/>
            </w:pPr>
            <w:r w:rsidRPr="0039343F">
              <w:t>pos1</w:t>
            </w:r>
          </w:p>
        </w:tc>
        <w:tc>
          <w:tcPr>
            <w:tcW w:w="1134" w:type="dxa"/>
          </w:tcPr>
          <w:p w14:paraId="305021E4" w14:textId="77777777" w:rsidR="00241417" w:rsidRPr="0039343F" w:rsidRDefault="00241417" w:rsidP="003A71DE">
            <w:pPr>
              <w:pStyle w:val="TAC"/>
            </w:pPr>
            <w:r w:rsidRPr="0039343F">
              <w:t>11.2</w:t>
            </w:r>
          </w:p>
        </w:tc>
      </w:tr>
      <w:tr w:rsidR="00241417" w:rsidRPr="0039343F" w14:paraId="0336FF46" w14:textId="77777777" w:rsidTr="003A71DE">
        <w:trPr>
          <w:cantSplit/>
          <w:jc w:val="center"/>
        </w:trPr>
        <w:tc>
          <w:tcPr>
            <w:tcW w:w="1007" w:type="dxa"/>
            <w:vMerge/>
          </w:tcPr>
          <w:p w14:paraId="27BE80F9" w14:textId="77777777" w:rsidR="00241417" w:rsidRPr="0039343F" w:rsidRDefault="00241417" w:rsidP="003A71DE">
            <w:pPr>
              <w:pStyle w:val="TAC"/>
            </w:pPr>
          </w:p>
        </w:tc>
        <w:tc>
          <w:tcPr>
            <w:tcW w:w="1093" w:type="dxa"/>
            <w:vMerge w:val="restart"/>
            <w:tcBorders>
              <w:top w:val="single" w:sz="4" w:space="0" w:color="auto"/>
            </w:tcBorders>
            <w:vAlign w:val="center"/>
          </w:tcPr>
          <w:p w14:paraId="52669D8F" w14:textId="77777777" w:rsidR="00241417" w:rsidRPr="0039343F" w:rsidRDefault="00241417" w:rsidP="003A71DE">
            <w:pPr>
              <w:pStyle w:val="TAC"/>
            </w:pPr>
            <w:r w:rsidRPr="0039343F">
              <w:t>8</w:t>
            </w:r>
          </w:p>
        </w:tc>
        <w:tc>
          <w:tcPr>
            <w:tcW w:w="1985" w:type="dxa"/>
            <w:vAlign w:val="center"/>
          </w:tcPr>
          <w:p w14:paraId="45B74D44" w14:textId="77777777" w:rsidR="00241417" w:rsidRPr="0039343F" w:rsidRDefault="00241417" w:rsidP="003A71DE">
            <w:pPr>
              <w:pStyle w:val="TAC"/>
            </w:pPr>
            <w:r w:rsidRPr="0039343F">
              <w:t>TDLB100-400 Low</w:t>
            </w:r>
          </w:p>
        </w:tc>
        <w:tc>
          <w:tcPr>
            <w:tcW w:w="1418" w:type="dxa"/>
            <w:vAlign w:val="center"/>
          </w:tcPr>
          <w:p w14:paraId="241C0D23" w14:textId="77777777" w:rsidR="00241417" w:rsidRPr="0039343F" w:rsidRDefault="00241417" w:rsidP="003A71DE">
            <w:pPr>
              <w:pStyle w:val="TAC"/>
              <w:rPr>
                <w:lang w:eastAsia="zh-CN"/>
              </w:rPr>
            </w:pPr>
            <w:r>
              <w:rPr>
                <w:lang w:eastAsia="zh-CN"/>
              </w:rPr>
              <w:t>D-FR1-A.2.1-9</w:t>
            </w:r>
          </w:p>
        </w:tc>
        <w:tc>
          <w:tcPr>
            <w:tcW w:w="1417" w:type="dxa"/>
          </w:tcPr>
          <w:p w14:paraId="6330AC9D" w14:textId="77777777" w:rsidR="00241417" w:rsidRPr="0039343F" w:rsidRDefault="00241417" w:rsidP="003A71DE">
            <w:pPr>
              <w:pStyle w:val="TAC"/>
            </w:pPr>
            <w:r w:rsidRPr="0039343F">
              <w:t>pos1</w:t>
            </w:r>
          </w:p>
        </w:tc>
        <w:tc>
          <w:tcPr>
            <w:tcW w:w="1134" w:type="dxa"/>
          </w:tcPr>
          <w:p w14:paraId="5D5AE604" w14:textId="77777777" w:rsidR="00241417" w:rsidRPr="0039343F" w:rsidRDefault="00241417" w:rsidP="003A71DE">
            <w:pPr>
              <w:pStyle w:val="TAC"/>
            </w:pPr>
            <w:r w:rsidRPr="0039343F">
              <w:t>-5.5</w:t>
            </w:r>
          </w:p>
        </w:tc>
      </w:tr>
      <w:tr w:rsidR="00241417" w:rsidRPr="0039343F" w14:paraId="4E354E49" w14:textId="77777777" w:rsidTr="003A71DE">
        <w:trPr>
          <w:cantSplit/>
          <w:jc w:val="center"/>
        </w:trPr>
        <w:tc>
          <w:tcPr>
            <w:tcW w:w="1007" w:type="dxa"/>
            <w:vMerge/>
          </w:tcPr>
          <w:p w14:paraId="6FEBCF68" w14:textId="77777777" w:rsidR="00241417" w:rsidRPr="0039343F" w:rsidRDefault="00241417" w:rsidP="003A71DE">
            <w:pPr>
              <w:pStyle w:val="TAC"/>
            </w:pPr>
          </w:p>
        </w:tc>
        <w:tc>
          <w:tcPr>
            <w:tcW w:w="1093" w:type="dxa"/>
            <w:vMerge/>
          </w:tcPr>
          <w:p w14:paraId="4480C4B7" w14:textId="77777777" w:rsidR="00241417" w:rsidRPr="0039343F" w:rsidRDefault="00241417" w:rsidP="003A71DE">
            <w:pPr>
              <w:pStyle w:val="TAC"/>
            </w:pPr>
          </w:p>
        </w:tc>
        <w:tc>
          <w:tcPr>
            <w:tcW w:w="1985" w:type="dxa"/>
            <w:vAlign w:val="center"/>
          </w:tcPr>
          <w:p w14:paraId="1B077BAC" w14:textId="77777777" w:rsidR="00241417" w:rsidRPr="0039343F" w:rsidRDefault="00241417" w:rsidP="003A71DE">
            <w:pPr>
              <w:pStyle w:val="TAC"/>
            </w:pPr>
            <w:r w:rsidRPr="0039343F">
              <w:t>TDLC300-100 Low</w:t>
            </w:r>
          </w:p>
        </w:tc>
        <w:tc>
          <w:tcPr>
            <w:tcW w:w="1418" w:type="dxa"/>
            <w:vAlign w:val="center"/>
          </w:tcPr>
          <w:p w14:paraId="09202B23" w14:textId="77777777" w:rsidR="00241417" w:rsidRPr="0039343F" w:rsidRDefault="00241417" w:rsidP="003A71DE">
            <w:pPr>
              <w:pStyle w:val="TAC"/>
              <w:rPr>
                <w:lang w:eastAsia="zh-CN"/>
              </w:rPr>
            </w:pPr>
            <w:r>
              <w:rPr>
                <w:lang w:eastAsia="zh-CN"/>
              </w:rPr>
              <w:t>D-FR1-A.2.3-9</w:t>
            </w:r>
          </w:p>
        </w:tc>
        <w:tc>
          <w:tcPr>
            <w:tcW w:w="1417" w:type="dxa"/>
          </w:tcPr>
          <w:p w14:paraId="3223934A" w14:textId="77777777" w:rsidR="00241417" w:rsidRPr="0039343F" w:rsidRDefault="00241417" w:rsidP="003A71DE">
            <w:pPr>
              <w:pStyle w:val="TAC"/>
            </w:pPr>
            <w:r w:rsidRPr="0039343F">
              <w:t>pos1</w:t>
            </w:r>
          </w:p>
        </w:tc>
        <w:tc>
          <w:tcPr>
            <w:tcW w:w="1134" w:type="dxa"/>
          </w:tcPr>
          <w:p w14:paraId="19D652DB" w14:textId="77777777" w:rsidR="00241417" w:rsidRPr="0039343F" w:rsidRDefault="00241417" w:rsidP="003A71DE">
            <w:pPr>
              <w:pStyle w:val="TAC"/>
            </w:pPr>
            <w:r w:rsidRPr="0039343F">
              <w:t>6.8</w:t>
            </w:r>
          </w:p>
        </w:tc>
      </w:tr>
    </w:tbl>
    <w:p w14:paraId="6E091F3B" w14:textId="77777777" w:rsidR="00241417" w:rsidRPr="0039343F" w:rsidRDefault="00241417" w:rsidP="00241417">
      <w:pPr>
        <w:rPr>
          <w:lang w:eastAsia="zh-CN"/>
        </w:rPr>
      </w:pPr>
    </w:p>
    <w:p w14:paraId="6F001D08" w14:textId="77777777" w:rsidR="00241417" w:rsidRPr="00920E66" w:rsidRDefault="00241417" w:rsidP="00241417">
      <w:pPr>
        <w:pStyle w:val="TH"/>
        <w:rPr>
          <w:lang w:eastAsia="zh-CN"/>
        </w:rPr>
      </w:pPr>
      <w:r w:rsidRPr="00920E66">
        <w:lastRenderedPageBreak/>
        <w:t>Table 8.1.2.1.2-3: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A, 20 MHz channel bandwidth</w:t>
      </w:r>
      <w:r w:rsidRPr="00920E66">
        <w:rPr>
          <w:lang w:eastAsia="zh-CN"/>
        </w:rPr>
        <w:t>, 15 kHz SCS</w:t>
      </w:r>
    </w:p>
    <w:tbl>
      <w:tblPr>
        <w:tblStyle w:val="TableGrid7"/>
        <w:tblW w:w="8104" w:type="dxa"/>
        <w:jc w:val="center"/>
        <w:tblLayout w:type="fixed"/>
        <w:tblLook w:val="04A0" w:firstRow="1" w:lastRow="0" w:firstColumn="1" w:lastColumn="0" w:noHBand="0" w:noVBand="1"/>
      </w:tblPr>
      <w:tblGrid>
        <w:gridCol w:w="1007"/>
        <w:gridCol w:w="1093"/>
        <w:gridCol w:w="1985"/>
        <w:gridCol w:w="1620"/>
        <w:gridCol w:w="1265"/>
        <w:gridCol w:w="1134"/>
      </w:tblGrid>
      <w:tr w:rsidR="00241417" w:rsidRPr="0039343F" w14:paraId="5BADE057" w14:textId="77777777" w:rsidTr="003A71DE">
        <w:trPr>
          <w:cantSplit/>
          <w:jc w:val="center"/>
        </w:trPr>
        <w:tc>
          <w:tcPr>
            <w:tcW w:w="1007" w:type="dxa"/>
            <w:tcBorders>
              <w:bottom w:val="single" w:sz="4" w:space="0" w:color="auto"/>
            </w:tcBorders>
            <w:vAlign w:val="center"/>
          </w:tcPr>
          <w:p w14:paraId="7266ACD2"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6800EA4D" w14:textId="77777777" w:rsidR="00241417" w:rsidRPr="0039343F" w:rsidRDefault="00241417" w:rsidP="003A71DE">
            <w:pPr>
              <w:pStyle w:val="TAH"/>
            </w:pPr>
            <w:r w:rsidRPr="0039343F">
              <w:t xml:space="preserve">Number of </w:t>
            </w:r>
            <w:r>
              <w:t>Demodulation Branches</w:t>
            </w:r>
          </w:p>
        </w:tc>
        <w:tc>
          <w:tcPr>
            <w:tcW w:w="1985" w:type="dxa"/>
            <w:vAlign w:val="center"/>
          </w:tcPr>
          <w:p w14:paraId="0629691D" w14:textId="357BFA7F" w:rsidR="00241417" w:rsidRPr="0039343F" w:rsidRDefault="00241417" w:rsidP="003A71DE">
            <w:pPr>
              <w:pStyle w:val="TAH"/>
            </w:pPr>
            <w:r w:rsidRPr="0039343F">
              <w:t xml:space="preserve">Propagation conditions and correlation matrix (Annex </w:t>
            </w:r>
            <w:r>
              <w:t>TBA</w:t>
            </w:r>
            <w:r w:rsidRPr="0039343F">
              <w:t>)</w:t>
            </w:r>
          </w:p>
        </w:tc>
        <w:tc>
          <w:tcPr>
            <w:tcW w:w="1620" w:type="dxa"/>
            <w:vAlign w:val="center"/>
          </w:tcPr>
          <w:p w14:paraId="7DB2288A" w14:textId="77777777" w:rsidR="00241417" w:rsidRPr="0039343F" w:rsidRDefault="00241417" w:rsidP="003A71DE">
            <w:pPr>
              <w:pStyle w:val="TAH"/>
            </w:pPr>
            <w:r w:rsidRPr="0039343F">
              <w:t>FRC</w:t>
            </w:r>
            <w:r w:rsidRPr="0039343F">
              <w:br/>
              <w:t>(Annex A)</w:t>
            </w:r>
          </w:p>
        </w:tc>
        <w:tc>
          <w:tcPr>
            <w:tcW w:w="1265" w:type="dxa"/>
            <w:vAlign w:val="center"/>
          </w:tcPr>
          <w:p w14:paraId="36CA4060" w14:textId="77777777" w:rsidR="00241417" w:rsidRPr="0039343F" w:rsidRDefault="00241417" w:rsidP="003A71DE">
            <w:pPr>
              <w:pStyle w:val="TAH"/>
            </w:pPr>
            <w:r w:rsidRPr="0039343F">
              <w:t>Additional DM-RS position</w:t>
            </w:r>
          </w:p>
        </w:tc>
        <w:tc>
          <w:tcPr>
            <w:tcW w:w="1134" w:type="dxa"/>
            <w:vAlign w:val="center"/>
          </w:tcPr>
          <w:p w14:paraId="081481AA" w14:textId="77777777" w:rsidR="00241417" w:rsidRPr="0039343F" w:rsidRDefault="00241417" w:rsidP="003A71DE">
            <w:pPr>
              <w:pStyle w:val="TAH"/>
            </w:pPr>
            <w:r w:rsidRPr="0039343F">
              <w:t>SNR</w:t>
            </w:r>
          </w:p>
          <w:p w14:paraId="15BF019F" w14:textId="77777777" w:rsidR="00241417" w:rsidRPr="0039343F" w:rsidRDefault="00241417" w:rsidP="003A71DE">
            <w:pPr>
              <w:pStyle w:val="TAH"/>
            </w:pPr>
            <w:r w:rsidRPr="0039343F">
              <w:t>(dB)</w:t>
            </w:r>
          </w:p>
        </w:tc>
      </w:tr>
      <w:tr w:rsidR="00241417" w:rsidRPr="0039343F" w14:paraId="2CF95927" w14:textId="77777777" w:rsidTr="003A71DE">
        <w:trPr>
          <w:cantSplit/>
          <w:jc w:val="center"/>
        </w:trPr>
        <w:tc>
          <w:tcPr>
            <w:tcW w:w="1007" w:type="dxa"/>
            <w:vMerge w:val="restart"/>
            <w:vAlign w:val="center"/>
          </w:tcPr>
          <w:p w14:paraId="3884508F" w14:textId="77777777" w:rsidR="00241417" w:rsidRPr="0039343F" w:rsidRDefault="00241417" w:rsidP="003A71DE">
            <w:pPr>
              <w:pStyle w:val="TAC"/>
            </w:pPr>
            <w:r w:rsidRPr="0039343F">
              <w:t>1</w:t>
            </w:r>
          </w:p>
        </w:tc>
        <w:tc>
          <w:tcPr>
            <w:tcW w:w="1093" w:type="dxa"/>
            <w:vMerge w:val="restart"/>
            <w:vAlign w:val="center"/>
          </w:tcPr>
          <w:p w14:paraId="47134774" w14:textId="77777777" w:rsidR="00241417" w:rsidRPr="0039343F" w:rsidRDefault="00241417" w:rsidP="003A71DE">
            <w:pPr>
              <w:pStyle w:val="TAC"/>
            </w:pPr>
            <w:r w:rsidRPr="0039343F">
              <w:t>2</w:t>
            </w:r>
          </w:p>
        </w:tc>
        <w:tc>
          <w:tcPr>
            <w:tcW w:w="1985" w:type="dxa"/>
            <w:vAlign w:val="center"/>
          </w:tcPr>
          <w:p w14:paraId="49A90E3F" w14:textId="77777777" w:rsidR="00241417" w:rsidRPr="0039343F" w:rsidRDefault="00241417" w:rsidP="003A71DE">
            <w:pPr>
              <w:pStyle w:val="TAC"/>
            </w:pPr>
            <w:r w:rsidRPr="0039343F">
              <w:t>TDLB100-400 Low</w:t>
            </w:r>
          </w:p>
        </w:tc>
        <w:tc>
          <w:tcPr>
            <w:tcW w:w="1620" w:type="dxa"/>
            <w:vAlign w:val="center"/>
          </w:tcPr>
          <w:p w14:paraId="7594704F" w14:textId="77777777" w:rsidR="00241417" w:rsidRPr="0039343F" w:rsidRDefault="00241417" w:rsidP="003A71DE">
            <w:pPr>
              <w:pStyle w:val="TAC"/>
            </w:pPr>
            <w:r>
              <w:rPr>
                <w:lang w:eastAsia="zh-CN"/>
              </w:rPr>
              <w:t>D-FR1-A.2.1-3</w:t>
            </w:r>
          </w:p>
        </w:tc>
        <w:tc>
          <w:tcPr>
            <w:tcW w:w="1265" w:type="dxa"/>
            <w:vAlign w:val="center"/>
          </w:tcPr>
          <w:p w14:paraId="5AA57657" w14:textId="77777777" w:rsidR="00241417" w:rsidRPr="0039343F" w:rsidRDefault="00241417" w:rsidP="003A71DE">
            <w:pPr>
              <w:pStyle w:val="TAC"/>
            </w:pPr>
            <w:r w:rsidRPr="0039343F">
              <w:t>pos1</w:t>
            </w:r>
          </w:p>
        </w:tc>
        <w:tc>
          <w:tcPr>
            <w:tcW w:w="1134" w:type="dxa"/>
            <w:vAlign w:val="center"/>
          </w:tcPr>
          <w:p w14:paraId="18B9DA53" w14:textId="77777777" w:rsidR="00241417" w:rsidRPr="0039343F" w:rsidRDefault="00241417" w:rsidP="003A71DE">
            <w:pPr>
              <w:pStyle w:val="TAC"/>
            </w:pPr>
            <w:r w:rsidRPr="0039343F">
              <w:t>-2.1</w:t>
            </w:r>
          </w:p>
        </w:tc>
      </w:tr>
      <w:tr w:rsidR="00241417" w:rsidRPr="0039343F" w14:paraId="454CAB16" w14:textId="77777777" w:rsidTr="003A71DE">
        <w:trPr>
          <w:cantSplit/>
          <w:jc w:val="center"/>
        </w:trPr>
        <w:tc>
          <w:tcPr>
            <w:tcW w:w="1007" w:type="dxa"/>
            <w:vMerge/>
            <w:vAlign w:val="center"/>
          </w:tcPr>
          <w:p w14:paraId="74DDED14" w14:textId="77777777" w:rsidR="00241417" w:rsidRPr="0039343F" w:rsidRDefault="00241417" w:rsidP="003A71DE">
            <w:pPr>
              <w:pStyle w:val="TAC"/>
            </w:pPr>
          </w:p>
        </w:tc>
        <w:tc>
          <w:tcPr>
            <w:tcW w:w="1093" w:type="dxa"/>
            <w:vMerge/>
            <w:vAlign w:val="center"/>
          </w:tcPr>
          <w:p w14:paraId="00DD1626" w14:textId="77777777" w:rsidR="00241417" w:rsidRPr="0039343F" w:rsidRDefault="00241417" w:rsidP="003A71DE">
            <w:pPr>
              <w:pStyle w:val="TAC"/>
            </w:pPr>
          </w:p>
        </w:tc>
        <w:tc>
          <w:tcPr>
            <w:tcW w:w="1985" w:type="dxa"/>
            <w:vAlign w:val="center"/>
          </w:tcPr>
          <w:p w14:paraId="3CA76946" w14:textId="77777777" w:rsidR="00241417" w:rsidRPr="0039343F" w:rsidRDefault="00241417" w:rsidP="003A71DE">
            <w:pPr>
              <w:pStyle w:val="TAC"/>
            </w:pPr>
            <w:r w:rsidRPr="0039343F">
              <w:t>TDLC300-100 Low</w:t>
            </w:r>
          </w:p>
        </w:tc>
        <w:tc>
          <w:tcPr>
            <w:tcW w:w="1620" w:type="dxa"/>
            <w:vAlign w:val="center"/>
          </w:tcPr>
          <w:p w14:paraId="7D7E887B" w14:textId="77777777" w:rsidR="00241417" w:rsidRPr="0039343F" w:rsidRDefault="00241417" w:rsidP="003A71DE">
            <w:pPr>
              <w:pStyle w:val="TAC"/>
            </w:pPr>
            <w:r>
              <w:rPr>
                <w:lang w:eastAsia="zh-CN"/>
              </w:rPr>
              <w:t>D-FR1-A.2.3-3</w:t>
            </w:r>
          </w:p>
        </w:tc>
        <w:tc>
          <w:tcPr>
            <w:tcW w:w="1265" w:type="dxa"/>
            <w:vAlign w:val="center"/>
          </w:tcPr>
          <w:p w14:paraId="7A46CB1E" w14:textId="77777777" w:rsidR="00241417" w:rsidRPr="0039343F" w:rsidRDefault="00241417" w:rsidP="003A71DE">
            <w:pPr>
              <w:pStyle w:val="TAC"/>
            </w:pPr>
            <w:r w:rsidRPr="0039343F">
              <w:t>pos1</w:t>
            </w:r>
          </w:p>
        </w:tc>
        <w:tc>
          <w:tcPr>
            <w:tcW w:w="1134" w:type="dxa"/>
            <w:vAlign w:val="center"/>
          </w:tcPr>
          <w:p w14:paraId="08EB4898" w14:textId="77777777" w:rsidR="00241417" w:rsidRPr="0039343F" w:rsidRDefault="00241417" w:rsidP="003A71DE">
            <w:pPr>
              <w:pStyle w:val="TAC"/>
            </w:pPr>
            <w:r w:rsidRPr="0039343F">
              <w:t>10.0</w:t>
            </w:r>
          </w:p>
        </w:tc>
      </w:tr>
      <w:tr w:rsidR="00241417" w:rsidRPr="0039343F" w14:paraId="4F908549" w14:textId="77777777" w:rsidTr="003A71DE">
        <w:trPr>
          <w:cantSplit/>
          <w:jc w:val="center"/>
        </w:trPr>
        <w:tc>
          <w:tcPr>
            <w:tcW w:w="1007" w:type="dxa"/>
            <w:vMerge/>
            <w:vAlign w:val="center"/>
          </w:tcPr>
          <w:p w14:paraId="294C49DA" w14:textId="77777777" w:rsidR="00241417" w:rsidRPr="0039343F" w:rsidRDefault="00241417" w:rsidP="003A71DE">
            <w:pPr>
              <w:pStyle w:val="TAC"/>
            </w:pPr>
          </w:p>
        </w:tc>
        <w:tc>
          <w:tcPr>
            <w:tcW w:w="1093" w:type="dxa"/>
            <w:vMerge/>
            <w:tcBorders>
              <w:bottom w:val="single" w:sz="4" w:space="0" w:color="auto"/>
            </w:tcBorders>
            <w:vAlign w:val="center"/>
          </w:tcPr>
          <w:p w14:paraId="6EBA0862" w14:textId="77777777" w:rsidR="00241417" w:rsidRPr="0039343F" w:rsidRDefault="00241417" w:rsidP="003A71DE">
            <w:pPr>
              <w:pStyle w:val="TAC"/>
            </w:pPr>
          </w:p>
        </w:tc>
        <w:tc>
          <w:tcPr>
            <w:tcW w:w="1985" w:type="dxa"/>
            <w:vAlign w:val="center"/>
          </w:tcPr>
          <w:p w14:paraId="71E08FC9" w14:textId="77777777" w:rsidR="00241417" w:rsidRPr="0039343F" w:rsidRDefault="00241417" w:rsidP="003A71DE">
            <w:pPr>
              <w:pStyle w:val="TAC"/>
            </w:pPr>
            <w:r w:rsidRPr="0039343F">
              <w:t>TDLA30-10 Low</w:t>
            </w:r>
          </w:p>
        </w:tc>
        <w:tc>
          <w:tcPr>
            <w:tcW w:w="1620" w:type="dxa"/>
            <w:vAlign w:val="center"/>
          </w:tcPr>
          <w:p w14:paraId="4EF8F958" w14:textId="77777777" w:rsidR="00241417" w:rsidRPr="0039343F" w:rsidRDefault="00241417" w:rsidP="003A71DE">
            <w:pPr>
              <w:pStyle w:val="TAC"/>
            </w:pPr>
            <w:r>
              <w:rPr>
                <w:lang w:eastAsia="zh-CN"/>
              </w:rPr>
              <w:t>D-FR1-A.2.4-3</w:t>
            </w:r>
          </w:p>
        </w:tc>
        <w:tc>
          <w:tcPr>
            <w:tcW w:w="1265" w:type="dxa"/>
            <w:vAlign w:val="center"/>
          </w:tcPr>
          <w:p w14:paraId="40829164" w14:textId="77777777" w:rsidR="00241417" w:rsidRPr="0039343F" w:rsidRDefault="00241417" w:rsidP="003A71DE">
            <w:pPr>
              <w:pStyle w:val="TAC"/>
            </w:pPr>
            <w:r w:rsidRPr="0039343F">
              <w:t>pos1</w:t>
            </w:r>
          </w:p>
        </w:tc>
        <w:tc>
          <w:tcPr>
            <w:tcW w:w="1134" w:type="dxa"/>
            <w:vAlign w:val="center"/>
          </w:tcPr>
          <w:p w14:paraId="6C107CCC" w14:textId="77777777" w:rsidR="00241417" w:rsidRPr="0039343F" w:rsidRDefault="00241417" w:rsidP="003A71DE">
            <w:pPr>
              <w:pStyle w:val="TAC"/>
            </w:pPr>
            <w:r w:rsidRPr="0039343F">
              <w:t>12.4</w:t>
            </w:r>
          </w:p>
        </w:tc>
      </w:tr>
      <w:tr w:rsidR="00241417" w:rsidRPr="0039343F" w14:paraId="0648FDCF" w14:textId="77777777" w:rsidTr="003A71DE">
        <w:trPr>
          <w:cantSplit/>
          <w:jc w:val="center"/>
        </w:trPr>
        <w:tc>
          <w:tcPr>
            <w:tcW w:w="1007" w:type="dxa"/>
            <w:vMerge/>
            <w:vAlign w:val="center"/>
          </w:tcPr>
          <w:p w14:paraId="76562000" w14:textId="77777777" w:rsidR="00241417" w:rsidRPr="0039343F" w:rsidRDefault="00241417" w:rsidP="003A71DE">
            <w:pPr>
              <w:pStyle w:val="TAC"/>
            </w:pPr>
          </w:p>
        </w:tc>
        <w:tc>
          <w:tcPr>
            <w:tcW w:w="1093" w:type="dxa"/>
            <w:vMerge w:val="restart"/>
            <w:vAlign w:val="center"/>
          </w:tcPr>
          <w:p w14:paraId="6116A213" w14:textId="77777777" w:rsidR="00241417" w:rsidRPr="0039343F" w:rsidRDefault="00241417" w:rsidP="003A71DE">
            <w:pPr>
              <w:pStyle w:val="TAC"/>
            </w:pPr>
            <w:r w:rsidRPr="0039343F">
              <w:t>4</w:t>
            </w:r>
          </w:p>
        </w:tc>
        <w:tc>
          <w:tcPr>
            <w:tcW w:w="1985" w:type="dxa"/>
            <w:vAlign w:val="center"/>
          </w:tcPr>
          <w:p w14:paraId="3C549954" w14:textId="77777777" w:rsidR="00241417" w:rsidRPr="0039343F" w:rsidRDefault="00241417" w:rsidP="003A71DE">
            <w:pPr>
              <w:pStyle w:val="TAC"/>
            </w:pPr>
            <w:r w:rsidRPr="0039343F">
              <w:t>TDLB100-400 Low</w:t>
            </w:r>
          </w:p>
        </w:tc>
        <w:tc>
          <w:tcPr>
            <w:tcW w:w="1620" w:type="dxa"/>
            <w:vAlign w:val="center"/>
          </w:tcPr>
          <w:p w14:paraId="148B10F9" w14:textId="77777777" w:rsidR="00241417" w:rsidRPr="0039343F" w:rsidRDefault="00241417" w:rsidP="003A71DE">
            <w:pPr>
              <w:pStyle w:val="TAC"/>
            </w:pPr>
            <w:r>
              <w:rPr>
                <w:lang w:eastAsia="zh-CN"/>
              </w:rPr>
              <w:t>D-FR1-A.2.1-3</w:t>
            </w:r>
          </w:p>
        </w:tc>
        <w:tc>
          <w:tcPr>
            <w:tcW w:w="1265" w:type="dxa"/>
            <w:vAlign w:val="center"/>
          </w:tcPr>
          <w:p w14:paraId="3616D1B0" w14:textId="77777777" w:rsidR="00241417" w:rsidRPr="0039343F" w:rsidRDefault="00241417" w:rsidP="003A71DE">
            <w:pPr>
              <w:pStyle w:val="TAC"/>
            </w:pPr>
            <w:r w:rsidRPr="0039343F">
              <w:t>pos1</w:t>
            </w:r>
          </w:p>
        </w:tc>
        <w:tc>
          <w:tcPr>
            <w:tcW w:w="1134" w:type="dxa"/>
            <w:vAlign w:val="center"/>
          </w:tcPr>
          <w:p w14:paraId="24770D61" w14:textId="77777777" w:rsidR="00241417" w:rsidRPr="0039343F" w:rsidRDefault="00241417" w:rsidP="003A71DE">
            <w:pPr>
              <w:pStyle w:val="TAC"/>
            </w:pPr>
            <w:r w:rsidRPr="0039343F">
              <w:t>-5.5</w:t>
            </w:r>
          </w:p>
        </w:tc>
      </w:tr>
      <w:tr w:rsidR="00241417" w:rsidRPr="0039343F" w14:paraId="25232C01" w14:textId="77777777" w:rsidTr="003A71DE">
        <w:trPr>
          <w:cantSplit/>
          <w:jc w:val="center"/>
        </w:trPr>
        <w:tc>
          <w:tcPr>
            <w:tcW w:w="1007" w:type="dxa"/>
            <w:vMerge/>
            <w:vAlign w:val="center"/>
          </w:tcPr>
          <w:p w14:paraId="393DB130" w14:textId="77777777" w:rsidR="00241417" w:rsidRPr="0039343F" w:rsidRDefault="00241417" w:rsidP="003A71DE">
            <w:pPr>
              <w:pStyle w:val="TAC"/>
            </w:pPr>
          </w:p>
        </w:tc>
        <w:tc>
          <w:tcPr>
            <w:tcW w:w="1093" w:type="dxa"/>
            <w:vMerge/>
            <w:vAlign w:val="center"/>
          </w:tcPr>
          <w:p w14:paraId="0EC340C1" w14:textId="77777777" w:rsidR="00241417" w:rsidRPr="0039343F" w:rsidRDefault="00241417" w:rsidP="003A71DE">
            <w:pPr>
              <w:pStyle w:val="TAC"/>
            </w:pPr>
          </w:p>
        </w:tc>
        <w:tc>
          <w:tcPr>
            <w:tcW w:w="1985" w:type="dxa"/>
            <w:vAlign w:val="center"/>
          </w:tcPr>
          <w:p w14:paraId="7397D612" w14:textId="77777777" w:rsidR="00241417" w:rsidRPr="0039343F" w:rsidRDefault="00241417" w:rsidP="003A71DE">
            <w:pPr>
              <w:pStyle w:val="TAC"/>
            </w:pPr>
            <w:r w:rsidRPr="0039343F">
              <w:t>TDLC300-100 Low</w:t>
            </w:r>
          </w:p>
        </w:tc>
        <w:tc>
          <w:tcPr>
            <w:tcW w:w="1620" w:type="dxa"/>
            <w:vAlign w:val="center"/>
          </w:tcPr>
          <w:p w14:paraId="22FC65F4" w14:textId="77777777" w:rsidR="00241417" w:rsidRPr="0039343F" w:rsidRDefault="00241417" w:rsidP="003A71DE">
            <w:pPr>
              <w:pStyle w:val="TAC"/>
            </w:pPr>
            <w:r>
              <w:rPr>
                <w:lang w:eastAsia="zh-CN"/>
              </w:rPr>
              <w:t>D-FR1-A.2.3-3</w:t>
            </w:r>
          </w:p>
        </w:tc>
        <w:tc>
          <w:tcPr>
            <w:tcW w:w="1265" w:type="dxa"/>
            <w:vAlign w:val="center"/>
          </w:tcPr>
          <w:p w14:paraId="47E00D65" w14:textId="77777777" w:rsidR="00241417" w:rsidRPr="0039343F" w:rsidRDefault="00241417" w:rsidP="003A71DE">
            <w:pPr>
              <w:pStyle w:val="TAC"/>
            </w:pPr>
            <w:r w:rsidRPr="0039343F">
              <w:t>pos1</w:t>
            </w:r>
          </w:p>
        </w:tc>
        <w:tc>
          <w:tcPr>
            <w:tcW w:w="1134" w:type="dxa"/>
            <w:vAlign w:val="center"/>
          </w:tcPr>
          <w:p w14:paraId="796EA7AA" w14:textId="77777777" w:rsidR="00241417" w:rsidRPr="0039343F" w:rsidRDefault="00241417" w:rsidP="003A71DE">
            <w:pPr>
              <w:pStyle w:val="TAC"/>
            </w:pPr>
            <w:r w:rsidRPr="0039343F">
              <w:t>6.2</w:t>
            </w:r>
          </w:p>
        </w:tc>
      </w:tr>
      <w:tr w:rsidR="00241417" w:rsidRPr="0039343F" w14:paraId="2A105E83" w14:textId="77777777" w:rsidTr="003A71DE">
        <w:trPr>
          <w:cantSplit/>
          <w:jc w:val="center"/>
        </w:trPr>
        <w:tc>
          <w:tcPr>
            <w:tcW w:w="1007" w:type="dxa"/>
            <w:vMerge/>
            <w:vAlign w:val="center"/>
          </w:tcPr>
          <w:p w14:paraId="515BF6F5" w14:textId="77777777" w:rsidR="00241417" w:rsidRPr="0039343F" w:rsidRDefault="00241417" w:rsidP="003A71DE">
            <w:pPr>
              <w:pStyle w:val="TAC"/>
            </w:pPr>
          </w:p>
        </w:tc>
        <w:tc>
          <w:tcPr>
            <w:tcW w:w="1093" w:type="dxa"/>
            <w:vMerge/>
            <w:tcBorders>
              <w:bottom w:val="single" w:sz="4" w:space="0" w:color="auto"/>
            </w:tcBorders>
            <w:vAlign w:val="center"/>
          </w:tcPr>
          <w:p w14:paraId="501DF19D" w14:textId="77777777" w:rsidR="00241417" w:rsidRPr="0039343F" w:rsidRDefault="00241417" w:rsidP="003A71DE">
            <w:pPr>
              <w:pStyle w:val="TAC"/>
            </w:pPr>
          </w:p>
        </w:tc>
        <w:tc>
          <w:tcPr>
            <w:tcW w:w="1985" w:type="dxa"/>
            <w:vAlign w:val="center"/>
          </w:tcPr>
          <w:p w14:paraId="27CB015B" w14:textId="77777777" w:rsidR="00241417" w:rsidRPr="0039343F" w:rsidRDefault="00241417" w:rsidP="003A71DE">
            <w:pPr>
              <w:pStyle w:val="TAC"/>
            </w:pPr>
            <w:r w:rsidRPr="0039343F">
              <w:t>TDLA30-10 Low</w:t>
            </w:r>
          </w:p>
        </w:tc>
        <w:tc>
          <w:tcPr>
            <w:tcW w:w="1620" w:type="dxa"/>
            <w:vAlign w:val="center"/>
          </w:tcPr>
          <w:p w14:paraId="31FFDA6C" w14:textId="77777777" w:rsidR="00241417" w:rsidRPr="0039343F" w:rsidRDefault="00241417" w:rsidP="003A71DE">
            <w:pPr>
              <w:pStyle w:val="TAC"/>
            </w:pPr>
            <w:r>
              <w:rPr>
                <w:lang w:eastAsia="zh-CN"/>
              </w:rPr>
              <w:t>D-FR1-A.2.4-3</w:t>
            </w:r>
          </w:p>
        </w:tc>
        <w:tc>
          <w:tcPr>
            <w:tcW w:w="1265" w:type="dxa"/>
            <w:vAlign w:val="center"/>
          </w:tcPr>
          <w:p w14:paraId="3F6B3D52" w14:textId="77777777" w:rsidR="00241417" w:rsidRPr="0039343F" w:rsidRDefault="00241417" w:rsidP="003A71DE">
            <w:pPr>
              <w:pStyle w:val="TAC"/>
            </w:pPr>
            <w:r w:rsidRPr="0039343F">
              <w:t>pos1</w:t>
            </w:r>
          </w:p>
        </w:tc>
        <w:tc>
          <w:tcPr>
            <w:tcW w:w="1134" w:type="dxa"/>
            <w:vAlign w:val="center"/>
          </w:tcPr>
          <w:p w14:paraId="101C55B3" w14:textId="77777777" w:rsidR="00241417" w:rsidRPr="0039343F" w:rsidRDefault="00241417" w:rsidP="003A71DE">
            <w:pPr>
              <w:pStyle w:val="TAC"/>
            </w:pPr>
            <w:r w:rsidRPr="0039343F">
              <w:t>8.6</w:t>
            </w:r>
          </w:p>
        </w:tc>
      </w:tr>
      <w:tr w:rsidR="00241417" w:rsidRPr="0039343F" w14:paraId="17606B38" w14:textId="77777777" w:rsidTr="003A71DE">
        <w:trPr>
          <w:cantSplit/>
          <w:jc w:val="center"/>
        </w:trPr>
        <w:tc>
          <w:tcPr>
            <w:tcW w:w="1007" w:type="dxa"/>
            <w:vMerge/>
            <w:vAlign w:val="center"/>
          </w:tcPr>
          <w:p w14:paraId="5106A10E" w14:textId="77777777" w:rsidR="00241417" w:rsidRPr="0039343F" w:rsidRDefault="00241417" w:rsidP="003A71DE">
            <w:pPr>
              <w:pStyle w:val="TAC"/>
            </w:pPr>
          </w:p>
        </w:tc>
        <w:tc>
          <w:tcPr>
            <w:tcW w:w="1093" w:type="dxa"/>
            <w:vMerge w:val="restart"/>
            <w:vAlign w:val="center"/>
          </w:tcPr>
          <w:p w14:paraId="065D6B49" w14:textId="77777777" w:rsidR="00241417" w:rsidRPr="0039343F" w:rsidRDefault="00241417" w:rsidP="003A71DE">
            <w:pPr>
              <w:pStyle w:val="TAC"/>
            </w:pPr>
            <w:r w:rsidRPr="0039343F">
              <w:t>8</w:t>
            </w:r>
          </w:p>
        </w:tc>
        <w:tc>
          <w:tcPr>
            <w:tcW w:w="1985" w:type="dxa"/>
            <w:vAlign w:val="center"/>
          </w:tcPr>
          <w:p w14:paraId="48E970CA" w14:textId="77777777" w:rsidR="00241417" w:rsidRPr="0039343F" w:rsidRDefault="00241417" w:rsidP="003A71DE">
            <w:pPr>
              <w:pStyle w:val="TAC"/>
            </w:pPr>
            <w:r w:rsidRPr="0039343F">
              <w:t>TDLB100-400 Low</w:t>
            </w:r>
          </w:p>
        </w:tc>
        <w:tc>
          <w:tcPr>
            <w:tcW w:w="1620" w:type="dxa"/>
            <w:vAlign w:val="center"/>
          </w:tcPr>
          <w:p w14:paraId="3E98C1BC" w14:textId="77777777" w:rsidR="00241417" w:rsidRPr="0039343F" w:rsidRDefault="00241417" w:rsidP="003A71DE">
            <w:pPr>
              <w:pStyle w:val="TAC"/>
            </w:pPr>
            <w:r>
              <w:rPr>
                <w:lang w:eastAsia="zh-CN"/>
              </w:rPr>
              <w:t>D-FR1-A.2.1-3</w:t>
            </w:r>
          </w:p>
        </w:tc>
        <w:tc>
          <w:tcPr>
            <w:tcW w:w="1265" w:type="dxa"/>
            <w:vAlign w:val="center"/>
          </w:tcPr>
          <w:p w14:paraId="054D26A9" w14:textId="77777777" w:rsidR="00241417" w:rsidRPr="0039343F" w:rsidRDefault="00241417" w:rsidP="003A71DE">
            <w:pPr>
              <w:pStyle w:val="TAC"/>
            </w:pPr>
            <w:r w:rsidRPr="0039343F">
              <w:t>pos1</w:t>
            </w:r>
          </w:p>
        </w:tc>
        <w:tc>
          <w:tcPr>
            <w:tcW w:w="1134" w:type="dxa"/>
            <w:vAlign w:val="center"/>
          </w:tcPr>
          <w:p w14:paraId="7BD0E14E" w14:textId="77777777" w:rsidR="00241417" w:rsidRPr="0039343F" w:rsidRDefault="00241417" w:rsidP="003A71DE">
            <w:pPr>
              <w:pStyle w:val="TAC"/>
            </w:pPr>
            <w:r w:rsidRPr="0039343F">
              <w:t>-8.5</w:t>
            </w:r>
          </w:p>
        </w:tc>
      </w:tr>
      <w:tr w:rsidR="00241417" w:rsidRPr="0039343F" w14:paraId="40538934" w14:textId="77777777" w:rsidTr="003A71DE">
        <w:trPr>
          <w:cantSplit/>
          <w:jc w:val="center"/>
        </w:trPr>
        <w:tc>
          <w:tcPr>
            <w:tcW w:w="1007" w:type="dxa"/>
            <w:vMerge/>
            <w:vAlign w:val="center"/>
          </w:tcPr>
          <w:p w14:paraId="68FDFCD0" w14:textId="77777777" w:rsidR="00241417" w:rsidRPr="0039343F" w:rsidRDefault="00241417" w:rsidP="003A71DE">
            <w:pPr>
              <w:pStyle w:val="TAC"/>
            </w:pPr>
          </w:p>
        </w:tc>
        <w:tc>
          <w:tcPr>
            <w:tcW w:w="1093" w:type="dxa"/>
            <w:vMerge/>
            <w:vAlign w:val="center"/>
          </w:tcPr>
          <w:p w14:paraId="72D89D9D" w14:textId="77777777" w:rsidR="00241417" w:rsidRPr="0039343F" w:rsidRDefault="00241417" w:rsidP="003A71DE">
            <w:pPr>
              <w:pStyle w:val="TAC"/>
            </w:pPr>
          </w:p>
        </w:tc>
        <w:tc>
          <w:tcPr>
            <w:tcW w:w="1985" w:type="dxa"/>
            <w:vAlign w:val="center"/>
          </w:tcPr>
          <w:p w14:paraId="7B237902" w14:textId="77777777" w:rsidR="00241417" w:rsidRPr="0039343F" w:rsidRDefault="00241417" w:rsidP="003A71DE">
            <w:pPr>
              <w:pStyle w:val="TAC"/>
            </w:pPr>
            <w:r w:rsidRPr="0039343F">
              <w:t>TDLC300-100 Low</w:t>
            </w:r>
          </w:p>
        </w:tc>
        <w:tc>
          <w:tcPr>
            <w:tcW w:w="1620" w:type="dxa"/>
            <w:vAlign w:val="center"/>
          </w:tcPr>
          <w:p w14:paraId="1AE62E00" w14:textId="77777777" w:rsidR="00241417" w:rsidRPr="0039343F" w:rsidRDefault="00241417" w:rsidP="003A71DE">
            <w:pPr>
              <w:pStyle w:val="TAC"/>
            </w:pPr>
            <w:r>
              <w:rPr>
                <w:lang w:eastAsia="zh-CN"/>
              </w:rPr>
              <w:t>D-FR1-A.2.3-3</w:t>
            </w:r>
          </w:p>
        </w:tc>
        <w:tc>
          <w:tcPr>
            <w:tcW w:w="1265" w:type="dxa"/>
            <w:vAlign w:val="center"/>
          </w:tcPr>
          <w:p w14:paraId="0B7F7B9D" w14:textId="77777777" w:rsidR="00241417" w:rsidRPr="0039343F" w:rsidRDefault="00241417" w:rsidP="003A71DE">
            <w:pPr>
              <w:pStyle w:val="TAC"/>
            </w:pPr>
            <w:r w:rsidRPr="0039343F">
              <w:t>pos1</w:t>
            </w:r>
          </w:p>
        </w:tc>
        <w:tc>
          <w:tcPr>
            <w:tcW w:w="1134" w:type="dxa"/>
            <w:vAlign w:val="center"/>
          </w:tcPr>
          <w:p w14:paraId="34B5DFB2" w14:textId="77777777" w:rsidR="00241417" w:rsidRPr="0039343F" w:rsidRDefault="00241417" w:rsidP="003A71DE">
            <w:pPr>
              <w:pStyle w:val="TAC"/>
            </w:pPr>
            <w:r w:rsidRPr="0039343F">
              <w:t>3.0</w:t>
            </w:r>
          </w:p>
        </w:tc>
      </w:tr>
      <w:tr w:rsidR="00241417" w:rsidRPr="0039343F" w14:paraId="257A904C" w14:textId="77777777" w:rsidTr="003A71DE">
        <w:trPr>
          <w:cantSplit/>
          <w:jc w:val="center"/>
        </w:trPr>
        <w:tc>
          <w:tcPr>
            <w:tcW w:w="1007" w:type="dxa"/>
            <w:vMerge/>
            <w:tcBorders>
              <w:bottom w:val="single" w:sz="4" w:space="0" w:color="auto"/>
            </w:tcBorders>
            <w:vAlign w:val="center"/>
          </w:tcPr>
          <w:p w14:paraId="5FC36C0D" w14:textId="77777777" w:rsidR="00241417" w:rsidRPr="0039343F" w:rsidRDefault="00241417" w:rsidP="003A71DE">
            <w:pPr>
              <w:pStyle w:val="TAC"/>
            </w:pPr>
          </w:p>
        </w:tc>
        <w:tc>
          <w:tcPr>
            <w:tcW w:w="1093" w:type="dxa"/>
            <w:vMerge/>
            <w:tcBorders>
              <w:bottom w:val="single" w:sz="4" w:space="0" w:color="auto"/>
            </w:tcBorders>
            <w:vAlign w:val="center"/>
          </w:tcPr>
          <w:p w14:paraId="67151898" w14:textId="77777777" w:rsidR="00241417" w:rsidRPr="0039343F" w:rsidRDefault="00241417" w:rsidP="003A71DE">
            <w:pPr>
              <w:pStyle w:val="TAC"/>
            </w:pPr>
          </w:p>
        </w:tc>
        <w:tc>
          <w:tcPr>
            <w:tcW w:w="1985" w:type="dxa"/>
            <w:vAlign w:val="center"/>
          </w:tcPr>
          <w:p w14:paraId="2F5D724F" w14:textId="77777777" w:rsidR="00241417" w:rsidRPr="0039343F" w:rsidRDefault="00241417" w:rsidP="003A71DE">
            <w:pPr>
              <w:pStyle w:val="TAC"/>
            </w:pPr>
            <w:r w:rsidRPr="0039343F">
              <w:t>TDLA30-10 Low</w:t>
            </w:r>
          </w:p>
        </w:tc>
        <w:tc>
          <w:tcPr>
            <w:tcW w:w="1620" w:type="dxa"/>
            <w:vAlign w:val="center"/>
          </w:tcPr>
          <w:p w14:paraId="2EF71A8A" w14:textId="77777777" w:rsidR="00241417" w:rsidRPr="0039343F" w:rsidRDefault="00241417" w:rsidP="003A71DE">
            <w:pPr>
              <w:pStyle w:val="TAC"/>
            </w:pPr>
            <w:r>
              <w:rPr>
                <w:lang w:eastAsia="zh-CN"/>
              </w:rPr>
              <w:t>D-FR1-A.2.4-3</w:t>
            </w:r>
          </w:p>
        </w:tc>
        <w:tc>
          <w:tcPr>
            <w:tcW w:w="1265" w:type="dxa"/>
            <w:vAlign w:val="center"/>
          </w:tcPr>
          <w:p w14:paraId="58C1F1CE" w14:textId="77777777" w:rsidR="00241417" w:rsidRPr="0039343F" w:rsidRDefault="00241417" w:rsidP="003A71DE">
            <w:pPr>
              <w:pStyle w:val="TAC"/>
            </w:pPr>
            <w:r w:rsidRPr="0039343F">
              <w:t>pos1</w:t>
            </w:r>
          </w:p>
        </w:tc>
        <w:tc>
          <w:tcPr>
            <w:tcW w:w="1134" w:type="dxa"/>
            <w:vAlign w:val="center"/>
          </w:tcPr>
          <w:p w14:paraId="2366453A" w14:textId="77777777" w:rsidR="00241417" w:rsidRPr="0039343F" w:rsidRDefault="00241417" w:rsidP="003A71DE">
            <w:pPr>
              <w:pStyle w:val="TAC"/>
            </w:pPr>
            <w:r w:rsidRPr="0039343F">
              <w:t>5.5</w:t>
            </w:r>
          </w:p>
        </w:tc>
      </w:tr>
      <w:tr w:rsidR="00241417" w:rsidRPr="0039343F" w14:paraId="161E2B71" w14:textId="77777777" w:rsidTr="003A71DE">
        <w:trPr>
          <w:cantSplit/>
          <w:jc w:val="center"/>
        </w:trPr>
        <w:tc>
          <w:tcPr>
            <w:tcW w:w="1007" w:type="dxa"/>
            <w:vMerge w:val="restart"/>
            <w:vAlign w:val="center"/>
          </w:tcPr>
          <w:p w14:paraId="69FE7F5C" w14:textId="77777777" w:rsidR="00241417" w:rsidRPr="0039343F" w:rsidRDefault="00241417" w:rsidP="003A71DE">
            <w:pPr>
              <w:pStyle w:val="TAC"/>
            </w:pPr>
            <w:r w:rsidRPr="0039343F">
              <w:t>2</w:t>
            </w:r>
          </w:p>
        </w:tc>
        <w:tc>
          <w:tcPr>
            <w:tcW w:w="1093" w:type="dxa"/>
            <w:vMerge w:val="restart"/>
            <w:vAlign w:val="center"/>
          </w:tcPr>
          <w:p w14:paraId="6368DEC3" w14:textId="77777777" w:rsidR="00241417" w:rsidRPr="0039343F" w:rsidRDefault="00241417" w:rsidP="003A71DE">
            <w:pPr>
              <w:pStyle w:val="TAC"/>
            </w:pPr>
            <w:r w:rsidRPr="0039343F">
              <w:t>2</w:t>
            </w:r>
          </w:p>
        </w:tc>
        <w:tc>
          <w:tcPr>
            <w:tcW w:w="1985" w:type="dxa"/>
            <w:vAlign w:val="center"/>
          </w:tcPr>
          <w:p w14:paraId="4936BFB9" w14:textId="77777777" w:rsidR="00241417" w:rsidRPr="0039343F" w:rsidRDefault="00241417" w:rsidP="003A71DE">
            <w:pPr>
              <w:pStyle w:val="TAC"/>
            </w:pPr>
            <w:r w:rsidRPr="0039343F">
              <w:t>TDLB100-400 Low</w:t>
            </w:r>
          </w:p>
        </w:tc>
        <w:tc>
          <w:tcPr>
            <w:tcW w:w="1620" w:type="dxa"/>
            <w:vAlign w:val="center"/>
          </w:tcPr>
          <w:p w14:paraId="5465F0BA" w14:textId="77777777" w:rsidR="00241417" w:rsidRPr="0039343F" w:rsidRDefault="00241417" w:rsidP="003A71DE">
            <w:pPr>
              <w:pStyle w:val="TAC"/>
            </w:pPr>
            <w:r>
              <w:rPr>
                <w:lang w:eastAsia="zh-CN"/>
              </w:rPr>
              <w:t>D-FR1-A2.1-10</w:t>
            </w:r>
          </w:p>
        </w:tc>
        <w:tc>
          <w:tcPr>
            <w:tcW w:w="1265" w:type="dxa"/>
            <w:vAlign w:val="center"/>
          </w:tcPr>
          <w:p w14:paraId="65D0E536" w14:textId="77777777" w:rsidR="00241417" w:rsidRPr="0039343F" w:rsidRDefault="00241417" w:rsidP="003A71DE">
            <w:pPr>
              <w:pStyle w:val="TAC"/>
            </w:pPr>
            <w:r w:rsidRPr="0039343F">
              <w:t>pos1</w:t>
            </w:r>
          </w:p>
        </w:tc>
        <w:tc>
          <w:tcPr>
            <w:tcW w:w="1134" w:type="dxa"/>
            <w:vAlign w:val="center"/>
          </w:tcPr>
          <w:p w14:paraId="19F63A10" w14:textId="77777777" w:rsidR="00241417" w:rsidRPr="0039343F" w:rsidRDefault="00241417" w:rsidP="003A71DE">
            <w:pPr>
              <w:pStyle w:val="TAC"/>
            </w:pPr>
            <w:r w:rsidRPr="0039343F">
              <w:t>2.1</w:t>
            </w:r>
          </w:p>
        </w:tc>
      </w:tr>
      <w:tr w:rsidR="00241417" w:rsidRPr="0039343F" w14:paraId="1257629F" w14:textId="77777777" w:rsidTr="003A71DE">
        <w:trPr>
          <w:cantSplit/>
          <w:jc w:val="center"/>
        </w:trPr>
        <w:tc>
          <w:tcPr>
            <w:tcW w:w="1007" w:type="dxa"/>
            <w:vMerge/>
            <w:vAlign w:val="center"/>
          </w:tcPr>
          <w:p w14:paraId="1E75474C" w14:textId="77777777" w:rsidR="00241417" w:rsidRPr="0039343F" w:rsidRDefault="00241417" w:rsidP="003A71DE">
            <w:pPr>
              <w:pStyle w:val="TAC"/>
            </w:pPr>
          </w:p>
        </w:tc>
        <w:tc>
          <w:tcPr>
            <w:tcW w:w="1093" w:type="dxa"/>
            <w:vMerge/>
            <w:tcBorders>
              <w:bottom w:val="single" w:sz="4" w:space="0" w:color="auto"/>
            </w:tcBorders>
            <w:vAlign w:val="center"/>
          </w:tcPr>
          <w:p w14:paraId="143CFFC2" w14:textId="77777777" w:rsidR="00241417" w:rsidRPr="0039343F" w:rsidRDefault="00241417" w:rsidP="003A71DE">
            <w:pPr>
              <w:pStyle w:val="TAC"/>
            </w:pPr>
          </w:p>
        </w:tc>
        <w:tc>
          <w:tcPr>
            <w:tcW w:w="1985" w:type="dxa"/>
            <w:vAlign w:val="center"/>
          </w:tcPr>
          <w:p w14:paraId="032C8474" w14:textId="77777777" w:rsidR="00241417" w:rsidRPr="0039343F" w:rsidRDefault="00241417" w:rsidP="003A71DE">
            <w:pPr>
              <w:pStyle w:val="TAC"/>
            </w:pPr>
            <w:r w:rsidRPr="0039343F">
              <w:t>TDLC300-100 Low</w:t>
            </w:r>
          </w:p>
        </w:tc>
        <w:tc>
          <w:tcPr>
            <w:tcW w:w="1620" w:type="dxa"/>
            <w:vAlign w:val="center"/>
          </w:tcPr>
          <w:p w14:paraId="5DE21AD9" w14:textId="77777777" w:rsidR="00241417" w:rsidRPr="0039343F" w:rsidRDefault="00241417" w:rsidP="003A71DE">
            <w:pPr>
              <w:pStyle w:val="TAC"/>
              <w:rPr>
                <w:lang w:eastAsia="zh-CN"/>
              </w:rPr>
            </w:pPr>
            <w:r>
              <w:rPr>
                <w:lang w:eastAsia="zh-CN"/>
              </w:rPr>
              <w:t>D-FR1-A.2.3-10</w:t>
            </w:r>
          </w:p>
        </w:tc>
        <w:tc>
          <w:tcPr>
            <w:tcW w:w="1265" w:type="dxa"/>
            <w:vAlign w:val="center"/>
          </w:tcPr>
          <w:p w14:paraId="462CE654" w14:textId="77777777" w:rsidR="00241417" w:rsidRPr="0039343F" w:rsidRDefault="00241417" w:rsidP="003A71DE">
            <w:pPr>
              <w:pStyle w:val="TAC"/>
            </w:pPr>
            <w:r w:rsidRPr="0039343F">
              <w:t>pos1</w:t>
            </w:r>
          </w:p>
        </w:tc>
        <w:tc>
          <w:tcPr>
            <w:tcW w:w="1134" w:type="dxa"/>
            <w:vAlign w:val="center"/>
          </w:tcPr>
          <w:p w14:paraId="438CF9C9" w14:textId="77777777" w:rsidR="00241417" w:rsidRPr="0039343F" w:rsidRDefault="00241417" w:rsidP="003A71DE">
            <w:pPr>
              <w:pStyle w:val="TAC"/>
            </w:pPr>
            <w:r w:rsidRPr="0039343F">
              <w:t>18.3</w:t>
            </w:r>
          </w:p>
        </w:tc>
      </w:tr>
      <w:tr w:rsidR="00241417" w:rsidRPr="0039343F" w14:paraId="79B2CC48" w14:textId="77777777" w:rsidTr="003A71DE">
        <w:trPr>
          <w:cantSplit/>
          <w:jc w:val="center"/>
        </w:trPr>
        <w:tc>
          <w:tcPr>
            <w:tcW w:w="1007" w:type="dxa"/>
            <w:vMerge/>
            <w:vAlign w:val="center"/>
          </w:tcPr>
          <w:p w14:paraId="3D6F35FE" w14:textId="77777777" w:rsidR="00241417" w:rsidRPr="0039343F" w:rsidRDefault="00241417" w:rsidP="003A71DE">
            <w:pPr>
              <w:pStyle w:val="TAC"/>
            </w:pPr>
          </w:p>
        </w:tc>
        <w:tc>
          <w:tcPr>
            <w:tcW w:w="1093" w:type="dxa"/>
            <w:vMerge w:val="restart"/>
            <w:tcBorders>
              <w:top w:val="single" w:sz="4" w:space="0" w:color="auto"/>
            </w:tcBorders>
            <w:vAlign w:val="center"/>
          </w:tcPr>
          <w:p w14:paraId="6E772F02" w14:textId="77777777" w:rsidR="00241417" w:rsidRPr="0039343F" w:rsidRDefault="00241417" w:rsidP="003A71DE">
            <w:pPr>
              <w:pStyle w:val="TAC"/>
            </w:pPr>
            <w:r w:rsidRPr="0039343F">
              <w:t>4</w:t>
            </w:r>
          </w:p>
        </w:tc>
        <w:tc>
          <w:tcPr>
            <w:tcW w:w="1985" w:type="dxa"/>
            <w:vAlign w:val="center"/>
          </w:tcPr>
          <w:p w14:paraId="6D53427B" w14:textId="77777777" w:rsidR="00241417" w:rsidRPr="0039343F" w:rsidRDefault="00241417" w:rsidP="003A71DE">
            <w:pPr>
              <w:pStyle w:val="TAC"/>
            </w:pPr>
            <w:r w:rsidRPr="0039343F">
              <w:t>TDLB100-400 Low</w:t>
            </w:r>
          </w:p>
        </w:tc>
        <w:tc>
          <w:tcPr>
            <w:tcW w:w="1620" w:type="dxa"/>
            <w:vAlign w:val="center"/>
          </w:tcPr>
          <w:p w14:paraId="2E2A521C" w14:textId="77777777" w:rsidR="00241417" w:rsidRPr="0039343F" w:rsidRDefault="00241417" w:rsidP="003A71DE">
            <w:pPr>
              <w:pStyle w:val="TAC"/>
              <w:rPr>
                <w:lang w:eastAsia="zh-CN"/>
              </w:rPr>
            </w:pPr>
            <w:r>
              <w:rPr>
                <w:lang w:eastAsia="zh-CN"/>
              </w:rPr>
              <w:t>D-FR1-A.2.1-10</w:t>
            </w:r>
          </w:p>
        </w:tc>
        <w:tc>
          <w:tcPr>
            <w:tcW w:w="1265" w:type="dxa"/>
            <w:vAlign w:val="center"/>
          </w:tcPr>
          <w:p w14:paraId="289CC587" w14:textId="77777777" w:rsidR="00241417" w:rsidRPr="0039343F" w:rsidRDefault="00241417" w:rsidP="003A71DE">
            <w:pPr>
              <w:pStyle w:val="TAC"/>
            </w:pPr>
            <w:r w:rsidRPr="0039343F">
              <w:t>pos1</w:t>
            </w:r>
          </w:p>
        </w:tc>
        <w:tc>
          <w:tcPr>
            <w:tcW w:w="1134" w:type="dxa"/>
            <w:vAlign w:val="center"/>
          </w:tcPr>
          <w:p w14:paraId="21529F37" w14:textId="77777777" w:rsidR="00241417" w:rsidRPr="0039343F" w:rsidRDefault="00241417" w:rsidP="003A71DE">
            <w:pPr>
              <w:pStyle w:val="TAC"/>
            </w:pPr>
            <w:r w:rsidRPr="0039343F">
              <w:t>-1.8</w:t>
            </w:r>
          </w:p>
        </w:tc>
      </w:tr>
      <w:tr w:rsidR="00241417" w:rsidRPr="0039343F" w14:paraId="3041E38D" w14:textId="77777777" w:rsidTr="003A71DE">
        <w:trPr>
          <w:cantSplit/>
          <w:jc w:val="center"/>
        </w:trPr>
        <w:tc>
          <w:tcPr>
            <w:tcW w:w="1007" w:type="dxa"/>
            <w:vMerge/>
            <w:vAlign w:val="center"/>
          </w:tcPr>
          <w:p w14:paraId="5B53D50C" w14:textId="77777777" w:rsidR="00241417" w:rsidRPr="0039343F" w:rsidRDefault="00241417" w:rsidP="003A71DE">
            <w:pPr>
              <w:pStyle w:val="TAC"/>
            </w:pPr>
          </w:p>
        </w:tc>
        <w:tc>
          <w:tcPr>
            <w:tcW w:w="1093" w:type="dxa"/>
            <w:vMerge/>
            <w:tcBorders>
              <w:bottom w:val="single" w:sz="4" w:space="0" w:color="auto"/>
            </w:tcBorders>
            <w:vAlign w:val="center"/>
          </w:tcPr>
          <w:p w14:paraId="3A2126F8" w14:textId="77777777" w:rsidR="00241417" w:rsidRPr="0039343F" w:rsidRDefault="00241417" w:rsidP="003A71DE">
            <w:pPr>
              <w:pStyle w:val="TAC"/>
            </w:pPr>
          </w:p>
        </w:tc>
        <w:tc>
          <w:tcPr>
            <w:tcW w:w="1985" w:type="dxa"/>
            <w:vAlign w:val="center"/>
          </w:tcPr>
          <w:p w14:paraId="24E0CA5E" w14:textId="77777777" w:rsidR="00241417" w:rsidRPr="0039343F" w:rsidRDefault="00241417" w:rsidP="003A71DE">
            <w:pPr>
              <w:pStyle w:val="TAC"/>
            </w:pPr>
            <w:r w:rsidRPr="0039343F">
              <w:t>TDLC300-100 Low</w:t>
            </w:r>
          </w:p>
        </w:tc>
        <w:tc>
          <w:tcPr>
            <w:tcW w:w="1620" w:type="dxa"/>
            <w:vAlign w:val="center"/>
          </w:tcPr>
          <w:p w14:paraId="5EC03C8E" w14:textId="77777777" w:rsidR="00241417" w:rsidRPr="0039343F" w:rsidRDefault="00241417" w:rsidP="003A71DE">
            <w:pPr>
              <w:pStyle w:val="TAC"/>
              <w:rPr>
                <w:lang w:eastAsia="zh-CN"/>
              </w:rPr>
            </w:pPr>
            <w:r>
              <w:rPr>
                <w:lang w:eastAsia="zh-CN"/>
              </w:rPr>
              <w:t>D-FR1-A.2.3-10</w:t>
            </w:r>
          </w:p>
        </w:tc>
        <w:tc>
          <w:tcPr>
            <w:tcW w:w="1265" w:type="dxa"/>
            <w:vAlign w:val="center"/>
          </w:tcPr>
          <w:p w14:paraId="0FE00D93" w14:textId="77777777" w:rsidR="00241417" w:rsidRPr="0039343F" w:rsidRDefault="00241417" w:rsidP="003A71DE">
            <w:pPr>
              <w:pStyle w:val="TAC"/>
            </w:pPr>
            <w:r w:rsidRPr="0039343F">
              <w:t>pos1</w:t>
            </w:r>
          </w:p>
        </w:tc>
        <w:tc>
          <w:tcPr>
            <w:tcW w:w="1134" w:type="dxa"/>
            <w:vAlign w:val="center"/>
          </w:tcPr>
          <w:p w14:paraId="217568CA" w14:textId="77777777" w:rsidR="00241417" w:rsidRPr="0039343F" w:rsidRDefault="00241417" w:rsidP="003A71DE">
            <w:pPr>
              <w:pStyle w:val="TAC"/>
            </w:pPr>
            <w:r w:rsidRPr="0039343F">
              <w:t>11.1</w:t>
            </w:r>
          </w:p>
        </w:tc>
      </w:tr>
      <w:tr w:rsidR="00241417" w:rsidRPr="0039343F" w14:paraId="0532A2DA" w14:textId="77777777" w:rsidTr="003A71DE">
        <w:trPr>
          <w:cantSplit/>
          <w:jc w:val="center"/>
        </w:trPr>
        <w:tc>
          <w:tcPr>
            <w:tcW w:w="1007" w:type="dxa"/>
            <w:vMerge/>
            <w:vAlign w:val="center"/>
          </w:tcPr>
          <w:p w14:paraId="6AC36DB7" w14:textId="77777777" w:rsidR="00241417" w:rsidRPr="0039343F" w:rsidRDefault="00241417" w:rsidP="003A71DE">
            <w:pPr>
              <w:pStyle w:val="TAC"/>
            </w:pPr>
          </w:p>
        </w:tc>
        <w:tc>
          <w:tcPr>
            <w:tcW w:w="1093" w:type="dxa"/>
            <w:vMerge w:val="restart"/>
            <w:tcBorders>
              <w:top w:val="single" w:sz="4" w:space="0" w:color="auto"/>
            </w:tcBorders>
            <w:vAlign w:val="center"/>
          </w:tcPr>
          <w:p w14:paraId="6654E8FC" w14:textId="77777777" w:rsidR="00241417" w:rsidRPr="0039343F" w:rsidRDefault="00241417" w:rsidP="003A71DE">
            <w:pPr>
              <w:pStyle w:val="TAC"/>
            </w:pPr>
            <w:r w:rsidRPr="0039343F">
              <w:t>8</w:t>
            </w:r>
          </w:p>
        </w:tc>
        <w:tc>
          <w:tcPr>
            <w:tcW w:w="1985" w:type="dxa"/>
            <w:vAlign w:val="center"/>
          </w:tcPr>
          <w:p w14:paraId="627AEDC7" w14:textId="77777777" w:rsidR="00241417" w:rsidRPr="0039343F" w:rsidRDefault="00241417" w:rsidP="003A71DE">
            <w:pPr>
              <w:pStyle w:val="TAC"/>
            </w:pPr>
            <w:r w:rsidRPr="0039343F">
              <w:t>TDLB100-400 Low</w:t>
            </w:r>
          </w:p>
        </w:tc>
        <w:tc>
          <w:tcPr>
            <w:tcW w:w="1620" w:type="dxa"/>
            <w:vAlign w:val="center"/>
          </w:tcPr>
          <w:p w14:paraId="2100CA28" w14:textId="77777777" w:rsidR="00241417" w:rsidRPr="0039343F" w:rsidRDefault="00241417" w:rsidP="003A71DE">
            <w:pPr>
              <w:pStyle w:val="TAC"/>
              <w:rPr>
                <w:lang w:eastAsia="zh-CN"/>
              </w:rPr>
            </w:pPr>
            <w:r>
              <w:rPr>
                <w:lang w:eastAsia="zh-CN"/>
              </w:rPr>
              <w:t>D-FR1-A.2.1-10</w:t>
            </w:r>
          </w:p>
        </w:tc>
        <w:tc>
          <w:tcPr>
            <w:tcW w:w="1265" w:type="dxa"/>
            <w:vAlign w:val="center"/>
          </w:tcPr>
          <w:p w14:paraId="3658125C" w14:textId="77777777" w:rsidR="00241417" w:rsidRPr="0039343F" w:rsidRDefault="00241417" w:rsidP="003A71DE">
            <w:pPr>
              <w:pStyle w:val="TAC"/>
            </w:pPr>
            <w:r w:rsidRPr="0039343F">
              <w:t>pos1</w:t>
            </w:r>
          </w:p>
        </w:tc>
        <w:tc>
          <w:tcPr>
            <w:tcW w:w="1134" w:type="dxa"/>
            <w:vAlign w:val="center"/>
          </w:tcPr>
          <w:p w14:paraId="6BC5253E" w14:textId="77777777" w:rsidR="00241417" w:rsidRPr="0039343F" w:rsidRDefault="00241417" w:rsidP="003A71DE">
            <w:pPr>
              <w:pStyle w:val="TAC"/>
            </w:pPr>
            <w:r w:rsidRPr="0039343F">
              <w:t>-5.3</w:t>
            </w:r>
          </w:p>
        </w:tc>
      </w:tr>
      <w:tr w:rsidR="00241417" w:rsidRPr="0039343F" w14:paraId="2D526557" w14:textId="77777777" w:rsidTr="003A71DE">
        <w:trPr>
          <w:cantSplit/>
          <w:jc w:val="center"/>
        </w:trPr>
        <w:tc>
          <w:tcPr>
            <w:tcW w:w="1007" w:type="dxa"/>
            <w:vMerge/>
            <w:vAlign w:val="center"/>
          </w:tcPr>
          <w:p w14:paraId="029E4B42" w14:textId="77777777" w:rsidR="00241417" w:rsidRPr="0039343F" w:rsidRDefault="00241417" w:rsidP="003A71DE">
            <w:pPr>
              <w:pStyle w:val="TAC"/>
            </w:pPr>
          </w:p>
        </w:tc>
        <w:tc>
          <w:tcPr>
            <w:tcW w:w="1093" w:type="dxa"/>
            <w:vMerge/>
            <w:vAlign w:val="center"/>
          </w:tcPr>
          <w:p w14:paraId="0DB9D016" w14:textId="77777777" w:rsidR="00241417" w:rsidRPr="0039343F" w:rsidRDefault="00241417" w:rsidP="003A71DE">
            <w:pPr>
              <w:pStyle w:val="TAC"/>
            </w:pPr>
          </w:p>
        </w:tc>
        <w:tc>
          <w:tcPr>
            <w:tcW w:w="1985" w:type="dxa"/>
            <w:vAlign w:val="center"/>
          </w:tcPr>
          <w:p w14:paraId="2C709CCF" w14:textId="77777777" w:rsidR="00241417" w:rsidRPr="0039343F" w:rsidRDefault="00241417" w:rsidP="003A71DE">
            <w:pPr>
              <w:pStyle w:val="TAC"/>
            </w:pPr>
            <w:r w:rsidRPr="0039343F">
              <w:t>TDLC300-100 Low</w:t>
            </w:r>
          </w:p>
        </w:tc>
        <w:tc>
          <w:tcPr>
            <w:tcW w:w="1620" w:type="dxa"/>
            <w:vAlign w:val="center"/>
          </w:tcPr>
          <w:p w14:paraId="773C803F" w14:textId="77777777" w:rsidR="00241417" w:rsidRPr="0039343F" w:rsidRDefault="00241417" w:rsidP="003A71DE">
            <w:pPr>
              <w:pStyle w:val="TAC"/>
              <w:rPr>
                <w:lang w:eastAsia="zh-CN"/>
              </w:rPr>
            </w:pPr>
            <w:r>
              <w:rPr>
                <w:lang w:eastAsia="zh-CN"/>
              </w:rPr>
              <w:t>D-FR1-A.2.3-10</w:t>
            </w:r>
          </w:p>
        </w:tc>
        <w:tc>
          <w:tcPr>
            <w:tcW w:w="1265" w:type="dxa"/>
            <w:vAlign w:val="center"/>
          </w:tcPr>
          <w:p w14:paraId="6710E2ED" w14:textId="77777777" w:rsidR="00241417" w:rsidRPr="0039343F" w:rsidRDefault="00241417" w:rsidP="003A71DE">
            <w:pPr>
              <w:pStyle w:val="TAC"/>
            </w:pPr>
            <w:r w:rsidRPr="0039343F">
              <w:t>pos1</w:t>
            </w:r>
          </w:p>
        </w:tc>
        <w:tc>
          <w:tcPr>
            <w:tcW w:w="1134" w:type="dxa"/>
            <w:vAlign w:val="center"/>
          </w:tcPr>
          <w:p w14:paraId="0DDE89A0" w14:textId="77777777" w:rsidR="00241417" w:rsidRPr="0039343F" w:rsidRDefault="00241417" w:rsidP="003A71DE">
            <w:pPr>
              <w:pStyle w:val="TAC"/>
            </w:pPr>
            <w:r w:rsidRPr="0039343F">
              <w:t>6.9</w:t>
            </w:r>
          </w:p>
        </w:tc>
      </w:tr>
    </w:tbl>
    <w:p w14:paraId="4D068682" w14:textId="77777777" w:rsidR="00241417" w:rsidRPr="0039343F" w:rsidRDefault="00241417" w:rsidP="00241417">
      <w:pPr>
        <w:rPr>
          <w:lang w:eastAsia="zh-CN"/>
        </w:rPr>
      </w:pPr>
    </w:p>
    <w:p w14:paraId="0E630325" w14:textId="77777777" w:rsidR="00241417" w:rsidRPr="00920E66" w:rsidRDefault="00241417" w:rsidP="00763B3E">
      <w:pPr>
        <w:pStyle w:val="TH"/>
        <w:rPr>
          <w:lang w:eastAsia="zh-CN"/>
        </w:rPr>
      </w:pPr>
      <w:r w:rsidRPr="00920E66">
        <w:t>Table 8.1.2.1.2-4: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A, 10 MHz channel bandwidth</w:t>
      </w:r>
      <w:r w:rsidRPr="00920E66">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70"/>
        <w:gridCol w:w="1265"/>
        <w:gridCol w:w="1134"/>
      </w:tblGrid>
      <w:tr w:rsidR="00241417" w:rsidRPr="0039343F" w14:paraId="3D2BEFEA" w14:textId="77777777" w:rsidTr="003A71DE">
        <w:trPr>
          <w:cantSplit/>
          <w:jc w:val="center"/>
        </w:trPr>
        <w:tc>
          <w:tcPr>
            <w:tcW w:w="1007" w:type="dxa"/>
            <w:tcBorders>
              <w:bottom w:val="single" w:sz="4" w:space="0" w:color="auto"/>
            </w:tcBorders>
            <w:vAlign w:val="center"/>
          </w:tcPr>
          <w:p w14:paraId="077C54B9"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47CAEC1D" w14:textId="77777777" w:rsidR="00241417" w:rsidRPr="0039343F" w:rsidRDefault="00241417" w:rsidP="003A71DE">
            <w:pPr>
              <w:pStyle w:val="TAH"/>
            </w:pPr>
            <w:r w:rsidRPr="0039343F">
              <w:t xml:space="preserve">Number of </w:t>
            </w:r>
            <w:r>
              <w:t>Demodulation Branches</w:t>
            </w:r>
          </w:p>
        </w:tc>
        <w:tc>
          <w:tcPr>
            <w:tcW w:w="1985" w:type="dxa"/>
            <w:vAlign w:val="center"/>
          </w:tcPr>
          <w:p w14:paraId="4ED0E322" w14:textId="7045B685" w:rsidR="00241417" w:rsidRPr="0039343F" w:rsidRDefault="00241417" w:rsidP="003A71DE">
            <w:pPr>
              <w:pStyle w:val="TAH"/>
            </w:pPr>
            <w:r w:rsidRPr="0039343F">
              <w:t xml:space="preserve">Propagation conditions and correlation matrix (Annex </w:t>
            </w:r>
            <w:r>
              <w:t>TBA</w:t>
            </w:r>
            <w:r w:rsidRPr="0039343F">
              <w:t>)</w:t>
            </w:r>
          </w:p>
        </w:tc>
        <w:tc>
          <w:tcPr>
            <w:tcW w:w="1570" w:type="dxa"/>
            <w:vAlign w:val="center"/>
          </w:tcPr>
          <w:p w14:paraId="3EA67DF2" w14:textId="77777777" w:rsidR="00241417" w:rsidRPr="0039343F" w:rsidRDefault="00241417" w:rsidP="003A71DE">
            <w:pPr>
              <w:pStyle w:val="TAH"/>
            </w:pPr>
            <w:r w:rsidRPr="0039343F">
              <w:t>FRC</w:t>
            </w:r>
            <w:r w:rsidRPr="0039343F">
              <w:br/>
              <w:t>(Annex A)</w:t>
            </w:r>
          </w:p>
        </w:tc>
        <w:tc>
          <w:tcPr>
            <w:tcW w:w="1265" w:type="dxa"/>
            <w:vAlign w:val="center"/>
          </w:tcPr>
          <w:p w14:paraId="143A8AA7" w14:textId="77777777" w:rsidR="00241417" w:rsidRPr="0039343F" w:rsidRDefault="00241417" w:rsidP="003A71DE">
            <w:pPr>
              <w:pStyle w:val="TAH"/>
            </w:pPr>
            <w:r w:rsidRPr="0039343F">
              <w:t>Additional DM-RS position</w:t>
            </w:r>
          </w:p>
        </w:tc>
        <w:tc>
          <w:tcPr>
            <w:tcW w:w="1134" w:type="dxa"/>
            <w:vAlign w:val="center"/>
          </w:tcPr>
          <w:p w14:paraId="24E5E510" w14:textId="77777777" w:rsidR="00241417" w:rsidRPr="0039343F" w:rsidRDefault="00241417" w:rsidP="003A71DE">
            <w:pPr>
              <w:pStyle w:val="TAH"/>
            </w:pPr>
            <w:r w:rsidRPr="0039343F">
              <w:t>SNR</w:t>
            </w:r>
          </w:p>
          <w:p w14:paraId="229159BA" w14:textId="77777777" w:rsidR="00241417" w:rsidRPr="0039343F" w:rsidRDefault="00241417" w:rsidP="003A71DE">
            <w:pPr>
              <w:pStyle w:val="TAH"/>
            </w:pPr>
            <w:r w:rsidRPr="0039343F">
              <w:t>(dB)</w:t>
            </w:r>
          </w:p>
        </w:tc>
      </w:tr>
      <w:tr w:rsidR="00241417" w:rsidRPr="0039343F" w14:paraId="284D1377" w14:textId="77777777" w:rsidTr="003A71DE">
        <w:trPr>
          <w:cantSplit/>
          <w:jc w:val="center"/>
        </w:trPr>
        <w:tc>
          <w:tcPr>
            <w:tcW w:w="1007" w:type="dxa"/>
            <w:vMerge w:val="restart"/>
            <w:vAlign w:val="center"/>
          </w:tcPr>
          <w:p w14:paraId="599FB873" w14:textId="77777777" w:rsidR="00241417" w:rsidRPr="0039343F" w:rsidRDefault="00241417" w:rsidP="003A71DE">
            <w:pPr>
              <w:pStyle w:val="TAC"/>
            </w:pPr>
            <w:r w:rsidRPr="0039343F">
              <w:t>1</w:t>
            </w:r>
          </w:p>
        </w:tc>
        <w:tc>
          <w:tcPr>
            <w:tcW w:w="1093" w:type="dxa"/>
            <w:vMerge w:val="restart"/>
            <w:vAlign w:val="center"/>
          </w:tcPr>
          <w:p w14:paraId="5F7408D0" w14:textId="77777777" w:rsidR="00241417" w:rsidRPr="0039343F" w:rsidRDefault="00241417" w:rsidP="003A71DE">
            <w:pPr>
              <w:pStyle w:val="TAC"/>
            </w:pPr>
            <w:r w:rsidRPr="0039343F">
              <w:t>2</w:t>
            </w:r>
          </w:p>
        </w:tc>
        <w:tc>
          <w:tcPr>
            <w:tcW w:w="1985" w:type="dxa"/>
            <w:vAlign w:val="center"/>
          </w:tcPr>
          <w:p w14:paraId="01830921" w14:textId="77777777" w:rsidR="00241417" w:rsidRPr="0039343F" w:rsidRDefault="00241417" w:rsidP="003A71DE">
            <w:pPr>
              <w:pStyle w:val="TAC"/>
            </w:pPr>
            <w:r w:rsidRPr="0039343F">
              <w:t>TDLB100-400 Low</w:t>
            </w:r>
          </w:p>
        </w:tc>
        <w:tc>
          <w:tcPr>
            <w:tcW w:w="1570" w:type="dxa"/>
            <w:vAlign w:val="center"/>
          </w:tcPr>
          <w:p w14:paraId="1B01EA3E" w14:textId="77777777" w:rsidR="00241417" w:rsidRPr="0039343F" w:rsidRDefault="00241417" w:rsidP="003A71DE">
            <w:pPr>
              <w:pStyle w:val="TAC"/>
            </w:pPr>
            <w:r>
              <w:rPr>
                <w:lang w:eastAsia="zh-CN"/>
              </w:rPr>
              <w:t>D-FR1-A.2.1-4</w:t>
            </w:r>
          </w:p>
        </w:tc>
        <w:tc>
          <w:tcPr>
            <w:tcW w:w="1265" w:type="dxa"/>
            <w:vAlign w:val="center"/>
          </w:tcPr>
          <w:p w14:paraId="3384094B" w14:textId="77777777" w:rsidR="00241417" w:rsidRPr="0039343F" w:rsidRDefault="00241417" w:rsidP="003A71DE">
            <w:pPr>
              <w:pStyle w:val="TAC"/>
            </w:pPr>
            <w:r w:rsidRPr="0039343F">
              <w:t>pos1</w:t>
            </w:r>
          </w:p>
        </w:tc>
        <w:tc>
          <w:tcPr>
            <w:tcW w:w="1134" w:type="dxa"/>
            <w:vAlign w:val="center"/>
          </w:tcPr>
          <w:p w14:paraId="6B654D22" w14:textId="77777777" w:rsidR="00241417" w:rsidRPr="0039343F" w:rsidRDefault="00241417" w:rsidP="003A71DE">
            <w:pPr>
              <w:pStyle w:val="TAC"/>
            </w:pPr>
            <w:r w:rsidRPr="0039343F">
              <w:t>-2.3</w:t>
            </w:r>
          </w:p>
        </w:tc>
      </w:tr>
      <w:tr w:rsidR="00241417" w:rsidRPr="0039343F" w14:paraId="685C49D3" w14:textId="77777777" w:rsidTr="003A71DE">
        <w:trPr>
          <w:cantSplit/>
          <w:jc w:val="center"/>
        </w:trPr>
        <w:tc>
          <w:tcPr>
            <w:tcW w:w="1007" w:type="dxa"/>
            <w:vMerge/>
            <w:vAlign w:val="center"/>
          </w:tcPr>
          <w:p w14:paraId="2FF09313" w14:textId="77777777" w:rsidR="00241417" w:rsidRPr="0039343F" w:rsidRDefault="00241417" w:rsidP="003A71DE">
            <w:pPr>
              <w:pStyle w:val="TAC"/>
            </w:pPr>
          </w:p>
        </w:tc>
        <w:tc>
          <w:tcPr>
            <w:tcW w:w="1093" w:type="dxa"/>
            <w:vMerge/>
            <w:vAlign w:val="center"/>
          </w:tcPr>
          <w:p w14:paraId="3B470762" w14:textId="77777777" w:rsidR="00241417" w:rsidRPr="0039343F" w:rsidRDefault="00241417" w:rsidP="003A71DE">
            <w:pPr>
              <w:pStyle w:val="TAC"/>
            </w:pPr>
          </w:p>
        </w:tc>
        <w:tc>
          <w:tcPr>
            <w:tcW w:w="1985" w:type="dxa"/>
            <w:vAlign w:val="center"/>
          </w:tcPr>
          <w:p w14:paraId="2EF31F62" w14:textId="77777777" w:rsidR="00241417" w:rsidRPr="0039343F" w:rsidRDefault="00241417" w:rsidP="003A71DE">
            <w:pPr>
              <w:pStyle w:val="TAC"/>
            </w:pPr>
            <w:r w:rsidRPr="0039343F">
              <w:t>TDLC300-100 Low</w:t>
            </w:r>
          </w:p>
        </w:tc>
        <w:tc>
          <w:tcPr>
            <w:tcW w:w="1570" w:type="dxa"/>
            <w:vAlign w:val="center"/>
          </w:tcPr>
          <w:p w14:paraId="4007B1D7" w14:textId="77777777" w:rsidR="00241417" w:rsidRPr="0039343F" w:rsidRDefault="00241417" w:rsidP="003A71DE">
            <w:pPr>
              <w:pStyle w:val="TAC"/>
            </w:pPr>
            <w:r>
              <w:rPr>
                <w:lang w:eastAsia="zh-CN"/>
              </w:rPr>
              <w:t>D-FR1-A.2.3-4</w:t>
            </w:r>
          </w:p>
        </w:tc>
        <w:tc>
          <w:tcPr>
            <w:tcW w:w="1265" w:type="dxa"/>
            <w:vAlign w:val="center"/>
          </w:tcPr>
          <w:p w14:paraId="023E6AA3" w14:textId="77777777" w:rsidR="00241417" w:rsidRPr="0039343F" w:rsidRDefault="00241417" w:rsidP="003A71DE">
            <w:pPr>
              <w:pStyle w:val="TAC"/>
            </w:pPr>
            <w:r w:rsidRPr="0039343F">
              <w:t>pos1</w:t>
            </w:r>
          </w:p>
        </w:tc>
        <w:tc>
          <w:tcPr>
            <w:tcW w:w="1134" w:type="dxa"/>
            <w:vAlign w:val="center"/>
          </w:tcPr>
          <w:p w14:paraId="2F8DA76A" w14:textId="77777777" w:rsidR="00241417" w:rsidRPr="0039343F" w:rsidRDefault="00241417" w:rsidP="003A71DE">
            <w:pPr>
              <w:pStyle w:val="TAC"/>
            </w:pPr>
            <w:r w:rsidRPr="0039343F">
              <w:t>10.2</w:t>
            </w:r>
          </w:p>
        </w:tc>
      </w:tr>
      <w:tr w:rsidR="00241417" w:rsidRPr="0039343F" w14:paraId="6EAB6A6B" w14:textId="77777777" w:rsidTr="003A71DE">
        <w:trPr>
          <w:cantSplit/>
          <w:jc w:val="center"/>
        </w:trPr>
        <w:tc>
          <w:tcPr>
            <w:tcW w:w="1007" w:type="dxa"/>
            <w:vMerge/>
            <w:vAlign w:val="center"/>
          </w:tcPr>
          <w:p w14:paraId="37891CF6" w14:textId="77777777" w:rsidR="00241417" w:rsidRPr="0039343F" w:rsidRDefault="00241417" w:rsidP="003A71DE">
            <w:pPr>
              <w:pStyle w:val="TAC"/>
            </w:pPr>
          </w:p>
        </w:tc>
        <w:tc>
          <w:tcPr>
            <w:tcW w:w="1093" w:type="dxa"/>
            <w:vMerge/>
            <w:tcBorders>
              <w:bottom w:val="single" w:sz="4" w:space="0" w:color="auto"/>
            </w:tcBorders>
            <w:vAlign w:val="center"/>
          </w:tcPr>
          <w:p w14:paraId="2228E621" w14:textId="77777777" w:rsidR="00241417" w:rsidRPr="0039343F" w:rsidRDefault="00241417" w:rsidP="003A71DE">
            <w:pPr>
              <w:pStyle w:val="TAC"/>
            </w:pPr>
          </w:p>
        </w:tc>
        <w:tc>
          <w:tcPr>
            <w:tcW w:w="1985" w:type="dxa"/>
            <w:vAlign w:val="center"/>
          </w:tcPr>
          <w:p w14:paraId="161154E3" w14:textId="77777777" w:rsidR="00241417" w:rsidRPr="0039343F" w:rsidRDefault="00241417" w:rsidP="003A71DE">
            <w:pPr>
              <w:pStyle w:val="TAC"/>
            </w:pPr>
            <w:r w:rsidRPr="0039343F">
              <w:t>TDLA30-10 Low</w:t>
            </w:r>
          </w:p>
        </w:tc>
        <w:tc>
          <w:tcPr>
            <w:tcW w:w="1570" w:type="dxa"/>
            <w:vAlign w:val="center"/>
          </w:tcPr>
          <w:p w14:paraId="31F23439" w14:textId="77777777" w:rsidR="00241417" w:rsidRPr="0039343F" w:rsidRDefault="00241417" w:rsidP="003A71DE">
            <w:pPr>
              <w:pStyle w:val="TAC"/>
            </w:pPr>
            <w:r>
              <w:rPr>
                <w:lang w:eastAsia="zh-CN"/>
              </w:rPr>
              <w:t>D-FR1-A.2.4-4</w:t>
            </w:r>
          </w:p>
        </w:tc>
        <w:tc>
          <w:tcPr>
            <w:tcW w:w="1265" w:type="dxa"/>
            <w:vAlign w:val="center"/>
          </w:tcPr>
          <w:p w14:paraId="33CA4B8B" w14:textId="77777777" w:rsidR="00241417" w:rsidRPr="0039343F" w:rsidRDefault="00241417" w:rsidP="003A71DE">
            <w:pPr>
              <w:pStyle w:val="TAC"/>
            </w:pPr>
            <w:r w:rsidRPr="0039343F">
              <w:t>pos1</w:t>
            </w:r>
          </w:p>
        </w:tc>
        <w:tc>
          <w:tcPr>
            <w:tcW w:w="1134" w:type="dxa"/>
            <w:vAlign w:val="center"/>
          </w:tcPr>
          <w:p w14:paraId="72C0EF5B" w14:textId="77777777" w:rsidR="00241417" w:rsidRPr="0039343F" w:rsidRDefault="00241417" w:rsidP="003A71DE">
            <w:pPr>
              <w:pStyle w:val="TAC"/>
            </w:pPr>
            <w:r w:rsidRPr="0039343F">
              <w:t>12.8</w:t>
            </w:r>
          </w:p>
        </w:tc>
      </w:tr>
      <w:tr w:rsidR="00241417" w:rsidRPr="0039343F" w14:paraId="12145816" w14:textId="77777777" w:rsidTr="003A71DE">
        <w:trPr>
          <w:cantSplit/>
          <w:jc w:val="center"/>
        </w:trPr>
        <w:tc>
          <w:tcPr>
            <w:tcW w:w="1007" w:type="dxa"/>
            <w:vMerge/>
            <w:vAlign w:val="center"/>
          </w:tcPr>
          <w:p w14:paraId="411E8E85" w14:textId="77777777" w:rsidR="00241417" w:rsidRPr="0039343F" w:rsidRDefault="00241417" w:rsidP="003A71DE">
            <w:pPr>
              <w:pStyle w:val="TAC"/>
            </w:pPr>
          </w:p>
        </w:tc>
        <w:tc>
          <w:tcPr>
            <w:tcW w:w="1093" w:type="dxa"/>
            <w:vMerge w:val="restart"/>
            <w:vAlign w:val="center"/>
          </w:tcPr>
          <w:p w14:paraId="4C4E63B3" w14:textId="77777777" w:rsidR="00241417" w:rsidRPr="0039343F" w:rsidRDefault="00241417" w:rsidP="003A71DE">
            <w:pPr>
              <w:pStyle w:val="TAC"/>
            </w:pPr>
            <w:r w:rsidRPr="0039343F">
              <w:t>4</w:t>
            </w:r>
          </w:p>
        </w:tc>
        <w:tc>
          <w:tcPr>
            <w:tcW w:w="1985" w:type="dxa"/>
            <w:vAlign w:val="center"/>
          </w:tcPr>
          <w:p w14:paraId="7653ACA1" w14:textId="77777777" w:rsidR="00241417" w:rsidRPr="0039343F" w:rsidRDefault="00241417" w:rsidP="003A71DE">
            <w:pPr>
              <w:pStyle w:val="TAC"/>
            </w:pPr>
            <w:r w:rsidRPr="0039343F">
              <w:t>TDLB100-400 Low</w:t>
            </w:r>
          </w:p>
        </w:tc>
        <w:tc>
          <w:tcPr>
            <w:tcW w:w="1570" w:type="dxa"/>
            <w:vAlign w:val="center"/>
          </w:tcPr>
          <w:p w14:paraId="03129E31" w14:textId="77777777" w:rsidR="00241417" w:rsidRPr="0039343F" w:rsidRDefault="00241417" w:rsidP="003A71DE">
            <w:pPr>
              <w:pStyle w:val="TAC"/>
            </w:pPr>
            <w:r>
              <w:rPr>
                <w:lang w:eastAsia="zh-CN"/>
              </w:rPr>
              <w:t>D-FR1-A.2.1-4</w:t>
            </w:r>
          </w:p>
        </w:tc>
        <w:tc>
          <w:tcPr>
            <w:tcW w:w="1265" w:type="dxa"/>
            <w:vAlign w:val="center"/>
          </w:tcPr>
          <w:p w14:paraId="7C4B8175" w14:textId="77777777" w:rsidR="00241417" w:rsidRPr="0039343F" w:rsidRDefault="00241417" w:rsidP="003A71DE">
            <w:pPr>
              <w:pStyle w:val="TAC"/>
            </w:pPr>
            <w:r w:rsidRPr="0039343F">
              <w:t>pos1</w:t>
            </w:r>
          </w:p>
        </w:tc>
        <w:tc>
          <w:tcPr>
            <w:tcW w:w="1134" w:type="dxa"/>
            <w:vAlign w:val="center"/>
          </w:tcPr>
          <w:p w14:paraId="77B26688" w14:textId="77777777" w:rsidR="00241417" w:rsidRPr="0039343F" w:rsidRDefault="00241417" w:rsidP="003A71DE">
            <w:pPr>
              <w:pStyle w:val="TAC"/>
            </w:pPr>
            <w:r w:rsidRPr="0039343F">
              <w:t>-5.6</w:t>
            </w:r>
          </w:p>
        </w:tc>
      </w:tr>
      <w:tr w:rsidR="00241417" w:rsidRPr="0039343F" w14:paraId="57E91F80" w14:textId="77777777" w:rsidTr="003A71DE">
        <w:trPr>
          <w:cantSplit/>
          <w:jc w:val="center"/>
        </w:trPr>
        <w:tc>
          <w:tcPr>
            <w:tcW w:w="1007" w:type="dxa"/>
            <w:vMerge/>
            <w:vAlign w:val="center"/>
          </w:tcPr>
          <w:p w14:paraId="3183EE07" w14:textId="77777777" w:rsidR="00241417" w:rsidRPr="0039343F" w:rsidRDefault="00241417" w:rsidP="003A71DE">
            <w:pPr>
              <w:pStyle w:val="TAC"/>
            </w:pPr>
          </w:p>
        </w:tc>
        <w:tc>
          <w:tcPr>
            <w:tcW w:w="1093" w:type="dxa"/>
            <w:vMerge/>
            <w:vAlign w:val="center"/>
          </w:tcPr>
          <w:p w14:paraId="2D4F5890" w14:textId="77777777" w:rsidR="00241417" w:rsidRPr="0039343F" w:rsidRDefault="00241417" w:rsidP="003A71DE">
            <w:pPr>
              <w:pStyle w:val="TAC"/>
            </w:pPr>
          </w:p>
        </w:tc>
        <w:tc>
          <w:tcPr>
            <w:tcW w:w="1985" w:type="dxa"/>
            <w:vAlign w:val="center"/>
          </w:tcPr>
          <w:p w14:paraId="580553DE" w14:textId="77777777" w:rsidR="00241417" w:rsidRPr="0039343F" w:rsidRDefault="00241417" w:rsidP="003A71DE">
            <w:pPr>
              <w:pStyle w:val="TAC"/>
            </w:pPr>
            <w:r w:rsidRPr="0039343F">
              <w:t>TDLC300-100 Low</w:t>
            </w:r>
          </w:p>
        </w:tc>
        <w:tc>
          <w:tcPr>
            <w:tcW w:w="1570" w:type="dxa"/>
            <w:vAlign w:val="center"/>
          </w:tcPr>
          <w:p w14:paraId="5F6F5765" w14:textId="77777777" w:rsidR="00241417" w:rsidRPr="0039343F" w:rsidRDefault="00241417" w:rsidP="003A71DE">
            <w:pPr>
              <w:pStyle w:val="TAC"/>
            </w:pPr>
            <w:r>
              <w:rPr>
                <w:lang w:eastAsia="zh-CN"/>
              </w:rPr>
              <w:t>D-FR1-A.2.3-4</w:t>
            </w:r>
          </w:p>
        </w:tc>
        <w:tc>
          <w:tcPr>
            <w:tcW w:w="1265" w:type="dxa"/>
            <w:vAlign w:val="center"/>
          </w:tcPr>
          <w:p w14:paraId="4D789F2C" w14:textId="77777777" w:rsidR="00241417" w:rsidRPr="0039343F" w:rsidRDefault="00241417" w:rsidP="003A71DE">
            <w:pPr>
              <w:pStyle w:val="TAC"/>
            </w:pPr>
            <w:r w:rsidRPr="0039343F">
              <w:t>pos1</w:t>
            </w:r>
          </w:p>
        </w:tc>
        <w:tc>
          <w:tcPr>
            <w:tcW w:w="1134" w:type="dxa"/>
            <w:vAlign w:val="center"/>
          </w:tcPr>
          <w:p w14:paraId="277F40E4" w14:textId="77777777" w:rsidR="00241417" w:rsidRPr="0039343F" w:rsidRDefault="00241417" w:rsidP="003A71DE">
            <w:pPr>
              <w:pStyle w:val="TAC"/>
            </w:pPr>
            <w:r w:rsidRPr="0039343F">
              <w:t>6.4</w:t>
            </w:r>
          </w:p>
        </w:tc>
      </w:tr>
      <w:tr w:rsidR="00241417" w:rsidRPr="0039343F" w14:paraId="56648A93" w14:textId="77777777" w:rsidTr="003A71DE">
        <w:trPr>
          <w:cantSplit/>
          <w:jc w:val="center"/>
        </w:trPr>
        <w:tc>
          <w:tcPr>
            <w:tcW w:w="1007" w:type="dxa"/>
            <w:vMerge/>
            <w:vAlign w:val="center"/>
          </w:tcPr>
          <w:p w14:paraId="256A65F1" w14:textId="77777777" w:rsidR="00241417" w:rsidRPr="0039343F" w:rsidRDefault="00241417" w:rsidP="003A71DE">
            <w:pPr>
              <w:pStyle w:val="TAC"/>
            </w:pPr>
          </w:p>
        </w:tc>
        <w:tc>
          <w:tcPr>
            <w:tcW w:w="1093" w:type="dxa"/>
            <w:vMerge/>
            <w:tcBorders>
              <w:bottom w:val="single" w:sz="4" w:space="0" w:color="auto"/>
            </w:tcBorders>
            <w:vAlign w:val="center"/>
          </w:tcPr>
          <w:p w14:paraId="7DD58C5D" w14:textId="77777777" w:rsidR="00241417" w:rsidRPr="0039343F" w:rsidRDefault="00241417" w:rsidP="003A71DE">
            <w:pPr>
              <w:pStyle w:val="TAC"/>
            </w:pPr>
          </w:p>
        </w:tc>
        <w:tc>
          <w:tcPr>
            <w:tcW w:w="1985" w:type="dxa"/>
            <w:vAlign w:val="center"/>
          </w:tcPr>
          <w:p w14:paraId="0476C65F" w14:textId="77777777" w:rsidR="00241417" w:rsidRPr="0039343F" w:rsidRDefault="00241417" w:rsidP="003A71DE">
            <w:pPr>
              <w:pStyle w:val="TAC"/>
            </w:pPr>
            <w:r w:rsidRPr="0039343F">
              <w:t>TDLA30-10 Low</w:t>
            </w:r>
          </w:p>
        </w:tc>
        <w:tc>
          <w:tcPr>
            <w:tcW w:w="1570" w:type="dxa"/>
            <w:vAlign w:val="center"/>
          </w:tcPr>
          <w:p w14:paraId="5BA4E448" w14:textId="77777777" w:rsidR="00241417" w:rsidRPr="0039343F" w:rsidRDefault="00241417" w:rsidP="003A71DE">
            <w:pPr>
              <w:pStyle w:val="TAC"/>
            </w:pPr>
            <w:r>
              <w:rPr>
                <w:lang w:eastAsia="zh-CN"/>
              </w:rPr>
              <w:t>D-FR1-A.2.4-4</w:t>
            </w:r>
          </w:p>
        </w:tc>
        <w:tc>
          <w:tcPr>
            <w:tcW w:w="1265" w:type="dxa"/>
            <w:vAlign w:val="center"/>
          </w:tcPr>
          <w:p w14:paraId="5FD679B8" w14:textId="77777777" w:rsidR="00241417" w:rsidRPr="0039343F" w:rsidRDefault="00241417" w:rsidP="003A71DE">
            <w:pPr>
              <w:pStyle w:val="TAC"/>
            </w:pPr>
            <w:r w:rsidRPr="0039343F">
              <w:t>pos1</w:t>
            </w:r>
          </w:p>
        </w:tc>
        <w:tc>
          <w:tcPr>
            <w:tcW w:w="1134" w:type="dxa"/>
            <w:vAlign w:val="center"/>
          </w:tcPr>
          <w:p w14:paraId="42086056" w14:textId="77777777" w:rsidR="00241417" w:rsidRPr="0039343F" w:rsidRDefault="00241417" w:rsidP="003A71DE">
            <w:pPr>
              <w:pStyle w:val="TAC"/>
            </w:pPr>
            <w:r w:rsidRPr="0039343F">
              <w:t>8.6</w:t>
            </w:r>
          </w:p>
        </w:tc>
      </w:tr>
      <w:tr w:rsidR="00241417" w:rsidRPr="0039343F" w14:paraId="780AB345" w14:textId="77777777" w:rsidTr="003A71DE">
        <w:trPr>
          <w:cantSplit/>
          <w:jc w:val="center"/>
        </w:trPr>
        <w:tc>
          <w:tcPr>
            <w:tcW w:w="1007" w:type="dxa"/>
            <w:vMerge/>
            <w:vAlign w:val="center"/>
          </w:tcPr>
          <w:p w14:paraId="6A25003E" w14:textId="77777777" w:rsidR="00241417" w:rsidRPr="0039343F" w:rsidRDefault="00241417" w:rsidP="003A71DE">
            <w:pPr>
              <w:pStyle w:val="TAC"/>
            </w:pPr>
          </w:p>
        </w:tc>
        <w:tc>
          <w:tcPr>
            <w:tcW w:w="1093" w:type="dxa"/>
            <w:vMerge w:val="restart"/>
            <w:vAlign w:val="center"/>
          </w:tcPr>
          <w:p w14:paraId="2887385F" w14:textId="77777777" w:rsidR="00241417" w:rsidRPr="0039343F" w:rsidRDefault="00241417" w:rsidP="003A71DE">
            <w:pPr>
              <w:pStyle w:val="TAC"/>
            </w:pPr>
            <w:r w:rsidRPr="0039343F">
              <w:t>8</w:t>
            </w:r>
          </w:p>
        </w:tc>
        <w:tc>
          <w:tcPr>
            <w:tcW w:w="1985" w:type="dxa"/>
            <w:vAlign w:val="center"/>
          </w:tcPr>
          <w:p w14:paraId="668A52ED" w14:textId="77777777" w:rsidR="00241417" w:rsidRPr="0039343F" w:rsidRDefault="00241417" w:rsidP="003A71DE">
            <w:pPr>
              <w:pStyle w:val="TAC"/>
            </w:pPr>
            <w:r w:rsidRPr="0039343F">
              <w:t>TDLB100-400 Low</w:t>
            </w:r>
          </w:p>
        </w:tc>
        <w:tc>
          <w:tcPr>
            <w:tcW w:w="1570" w:type="dxa"/>
            <w:vAlign w:val="center"/>
          </w:tcPr>
          <w:p w14:paraId="639C33B3" w14:textId="77777777" w:rsidR="00241417" w:rsidRPr="0039343F" w:rsidRDefault="00241417" w:rsidP="003A71DE">
            <w:pPr>
              <w:pStyle w:val="TAC"/>
            </w:pPr>
            <w:r>
              <w:rPr>
                <w:lang w:eastAsia="zh-CN"/>
              </w:rPr>
              <w:t>D-FR1-A.2.1-4</w:t>
            </w:r>
          </w:p>
        </w:tc>
        <w:tc>
          <w:tcPr>
            <w:tcW w:w="1265" w:type="dxa"/>
            <w:vAlign w:val="center"/>
          </w:tcPr>
          <w:p w14:paraId="7A783F8D" w14:textId="77777777" w:rsidR="00241417" w:rsidRPr="0039343F" w:rsidRDefault="00241417" w:rsidP="003A71DE">
            <w:pPr>
              <w:pStyle w:val="TAC"/>
            </w:pPr>
            <w:r w:rsidRPr="0039343F">
              <w:t>pos1</w:t>
            </w:r>
          </w:p>
        </w:tc>
        <w:tc>
          <w:tcPr>
            <w:tcW w:w="1134" w:type="dxa"/>
            <w:vAlign w:val="center"/>
          </w:tcPr>
          <w:p w14:paraId="722B0925" w14:textId="77777777" w:rsidR="00241417" w:rsidRPr="0039343F" w:rsidRDefault="00241417" w:rsidP="003A71DE">
            <w:pPr>
              <w:pStyle w:val="TAC"/>
            </w:pPr>
            <w:r w:rsidRPr="0039343F">
              <w:t>-8.6</w:t>
            </w:r>
          </w:p>
        </w:tc>
      </w:tr>
      <w:tr w:rsidR="00241417" w:rsidRPr="0039343F" w14:paraId="1C306F26" w14:textId="77777777" w:rsidTr="003A71DE">
        <w:trPr>
          <w:cantSplit/>
          <w:jc w:val="center"/>
        </w:trPr>
        <w:tc>
          <w:tcPr>
            <w:tcW w:w="1007" w:type="dxa"/>
            <w:vMerge/>
            <w:vAlign w:val="center"/>
          </w:tcPr>
          <w:p w14:paraId="4D8C4E62" w14:textId="77777777" w:rsidR="00241417" w:rsidRPr="0039343F" w:rsidRDefault="00241417" w:rsidP="003A71DE">
            <w:pPr>
              <w:pStyle w:val="TAC"/>
            </w:pPr>
          </w:p>
        </w:tc>
        <w:tc>
          <w:tcPr>
            <w:tcW w:w="1093" w:type="dxa"/>
            <w:vMerge/>
            <w:vAlign w:val="center"/>
          </w:tcPr>
          <w:p w14:paraId="1AA7EA3C" w14:textId="77777777" w:rsidR="00241417" w:rsidRPr="0039343F" w:rsidRDefault="00241417" w:rsidP="003A71DE">
            <w:pPr>
              <w:pStyle w:val="TAC"/>
            </w:pPr>
          </w:p>
        </w:tc>
        <w:tc>
          <w:tcPr>
            <w:tcW w:w="1985" w:type="dxa"/>
            <w:vAlign w:val="center"/>
          </w:tcPr>
          <w:p w14:paraId="36D1B11A" w14:textId="77777777" w:rsidR="00241417" w:rsidRPr="0039343F" w:rsidRDefault="00241417" w:rsidP="003A71DE">
            <w:pPr>
              <w:pStyle w:val="TAC"/>
            </w:pPr>
            <w:r w:rsidRPr="0039343F">
              <w:t>TDLC300-100 Low</w:t>
            </w:r>
          </w:p>
        </w:tc>
        <w:tc>
          <w:tcPr>
            <w:tcW w:w="1570" w:type="dxa"/>
            <w:vAlign w:val="center"/>
          </w:tcPr>
          <w:p w14:paraId="2583F9DB" w14:textId="77777777" w:rsidR="00241417" w:rsidRPr="0039343F" w:rsidRDefault="00241417" w:rsidP="003A71DE">
            <w:pPr>
              <w:pStyle w:val="TAC"/>
            </w:pPr>
            <w:r>
              <w:rPr>
                <w:lang w:eastAsia="zh-CN"/>
              </w:rPr>
              <w:t>D-FR1-A.2.3-4</w:t>
            </w:r>
          </w:p>
        </w:tc>
        <w:tc>
          <w:tcPr>
            <w:tcW w:w="1265" w:type="dxa"/>
            <w:vAlign w:val="center"/>
          </w:tcPr>
          <w:p w14:paraId="5314FE01" w14:textId="77777777" w:rsidR="00241417" w:rsidRPr="0039343F" w:rsidRDefault="00241417" w:rsidP="003A71DE">
            <w:pPr>
              <w:pStyle w:val="TAC"/>
            </w:pPr>
            <w:r w:rsidRPr="0039343F">
              <w:t>pos1</w:t>
            </w:r>
          </w:p>
        </w:tc>
        <w:tc>
          <w:tcPr>
            <w:tcW w:w="1134" w:type="dxa"/>
            <w:vAlign w:val="center"/>
          </w:tcPr>
          <w:p w14:paraId="67615616" w14:textId="77777777" w:rsidR="00241417" w:rsidRPr="0039343F" w:rsidRDefault="00241417" w:rsidP="003A71DE">
            <w:pPr>
              <w:pStyle w:val="TAC"/>
            </w:pPr>
            <w:r w:rsidRPr="0039343F">
              <w:t>3.3</w:t>
            </w:r>
          </w:p>
        </w:tc>
      </w:tr>
      <w:tr w:rsidR="00241417" w:rsidRPr="0039343F" w14:paraId="66761844" w14:textId="77777777" w:rsidTr="003A71DE">
        <w:trPr>
          <w:cantSplit/>
          <w:jc w:val="center"/>
        </w:trPr>
        <w:tc>
          <w:tcPr>
            <w:tcW w:w="1007" w:type="dxa"/>
            <w:vMerge/>
            <w:tcBorders>
              <w:bottom w:val="single" w:sz="4" w:space="0" w:color="auto"/>
            </w:tcBorders>
            <w:vAlign w:val="center"/>
          </w:tcPr>
          <w:p w14:paraId="0924C087" w14:textId="77777777" w:rsidR="00241417" w:rsidRPr="0039343F" w:rsidRDefault="00241417" w:rsidP="003A71DE">
            <w:pPr>
              <w:pStyle w:val="TAC"/>
            </w:pPr>
          </w:p>
        </w:tc>
        <w:tc>
          <w:tcPr>
            <w:tcW w:w="1093" w:type="dxa"/>
            <w:vMerge/>
            <w:tcBorders>
              <w:bottom w:val="single" w:sz="4" w:space="0" w:color="auto"/>
            </w:tcBorders>
            <w:vAlign w:val="center"/>
          </w:tcPr>
          <w:p w14:paraId="61FAA59A" w14:textId="77777777" w:rsidR="00241417" w:rsidRPr="0039343F" w:rsidRDefault="00241417" w:rsidP="003A71DE">
            <w:pPr>
              <w:pStyle w:val="TAC"/>
            </w:pPr>
          </w:p>
        </w:tc>
        <w:tc>
          <w:tcPr>
            <w:tcW w:w="1985" w:type="dxa"/>
            <w:vAlign w:val="center"/>
          </w:tcPr>
          <w:p w14:paraId="67AFE560" w14:textId="77777777" w:rsidR="00241417" w:rsidRPr="0039343F" w:rsidRDefault="00241417" w:rsidP="003A71DE">
            <w:pPr>
              <w:pStyle w:val="TAC"/>
            </w:pPr>
            <w:r w:rsidRPr="0039343F">
              <w:t>TDLA30-10 Low</w:t>
            </w:r>
          </w:p>
        </w:tc>
        <w:tc>
          <w:tcPr>
            <w:tcW w:w="1570" w:type="dxa"/>
            <w:vAlign w:val="center"/>
          </w:tcPr>
          <w:p w14:paraId="61FF8B4F" w14:textId="77777777" w:rsidR="00241417" w:rsidRPr="0039343F" w:rsidRDefault="00241417" w:rsidP="003A71DE">
            <w:pPr>
              <w:pStyle w:val="TAC"/>
            </w:pPr>
            <w:r>
              <w:rPr>
                <w:lang w:eastAsia="zh-CN"/>
              </w:rPr>
              <w:t>D-FR1-A.2.4-4</w:t>
            </w:r>
          </w:p>
        </w:tc>
        <w:tc>
          <w:tcPr>
            <w:tcW w:w="1265" w:type="dxa"/>
            <w:vAlign w:val="center"/>
          </w:tcPr>
          <w:p w14:paraId="23904412" w14:textId="77777777" w:rsidR="00241417" w:rsidRPr="0039343F" w:rsidRDefault="00241417" w:rsidP="003A71DE">
            <w:pPr>
              <w:pStyle w:val="TAC"/>
            </w:pPr>
            <w:r w:rsidRPr="0039343F">
              <w:t>pos1</w:t>
            </w:r>
          </w:p>
        </w:tc>
        <w:tc>
          <w:tcPr>
            <w:tcW w:w="1134" w:type="dxa"/>
            <w:vAlign w:val="center"/>
          </w:tcPr>
          <w:p w14:paraId="70902F5E" w14:textId="77777777" w:rsidR="00241417" w:rsidRPr="0039343F" w:rsidRDefault="00241417" w:rsidP="003A71DE">
            <w:pPr>
              <w:pStyle w:val="TAC"/>
            </w:pPr>
            <w:r w:rsidRPr="0039343F">
              <w:t>5.5</w:t>
            </w:r>
          </w:p>
        </w:tc>
      </w:tr>
      <w:tr w:rsidR="00241417" w:rsidRPr="0039343F" w14:paraId="7083159F" w14:textId="77777777" w:rsidTr="003A71DE">
        <w:trPr>
          <w:cantSplit/>
          <w:jc w:val="center"/>
        </w:trPr>
        <w:tc>
          <w:tcPr>
            <w:tcW w:w="1007" w:type="dxa"/>
            <w:vMerge w:val="restart"/>
            <w:vAlign w:val="center"/>
          </w:tcPr>
          <w:p w14:paraId="5B8DD0ED" w14:textId="77777777" w:rsidR="00241417" w:rsidRPr="0039343F" w:rsidRDefault="00241417" w:rsidP="003A71DE">
            <w:pPr>
              <w:pStyle w:val="TAC"/>
            </w:pPr>
            <w:r w:rsidRPr="0039343F">
              <w:t>2</w:t>
            </w:r>
          </w:p>
        </w:tc>
        <w:tc>
          <w:tcPr>
            <w:tcW w:w="1093" w:type="dxa"/>
            <w:vMerge w:val="restart"/>
            <w:vAlign w:val="center"/>
          </w:tcPr>
          <w:p w14:paraId="6A950756" w14:textId="77777777" w:rsidR="00241417" w:rsidRPr="0039343F" w:rsidRDefault="00241417" w:rsidP="003A71DE">
            <w:pPr>
              <w:pStyle w:val="TAC"/>
            </w:pPr>
            <w:r w:rsidRPr="0039343F">
              <w:t>2</w:t>
            </w:r>
          </w:p>
        </w:tc>
        <w:tc>
          <w:tcPr>
            <w:tcW w:w="1985" w:type="dxa"/>
            <w:vAlign w:val="center"/>
          </w:tcPr>
          <w:p w14:paraId="72475604" w14:textId="77777777" w:rsidR="00241417" w:rsidRPr="0039343F" w:rsidRDefault="00241417" w:rsidP="003A71DE">
            <w:pPr>
              <w:pStyle w:val="TAC"/>
            </w:pPr>
            <w:r w:rsidRPr="0039343F">
              <w:t>TDLB100-400 Low</w:t>
            </w:r>
          </w:p>
        </w:tc>
        <w:tc>
          <w:tcPr>
            <w:tcW w:w="1570" w:type="dxa"/>
            <w:vAlign w:val="center"/>
          </w:tcPr>
          <w:p w14:paraId="35BBC73F" w14:textId="77777777" w:rsidR="00241417" w:rsidRPr="0039343F" w:rsidRDefault="00241417" w:rsidP="003A71DE">
            <w:pPr>
              <w:pStyle w:val="TAC"/>
            </w:pPr>
            <w:r>
              <w:rPr>
                <w:lang w:eastAsia="zh-CN"/>
              </w:rPr>
              <w:t>D-FR1-A.2.1-11</w:t>
            </w:r>
          </w:p>
        </w:tc>
        <w:tc>
          <w:tcPr>
            <w:tcW w:w="1265" w:type="dxa"/>
            <w:vAlign w:val="center"/>
          </w:tcPr>
          <w:p w14:paraId="7FD79606" w14:textId="77777777" w:rsidR="00241417" w:rsidRPr="0039343F" w:rsidRDefault="00241417" w:rsidP="003A71DE">
            <w:pPr>
              <w:pStyle w:val="TAC"/>
            </w:pPr>
            <w:r w:rsidRPr="0039343F">
              <w:t>pos1</w:t>
            </w:r>
          </w:p>
        </w:tc>
        <w:tc>
          <w:tcPr>
            <w:tcW w:w="1134" w:type="dxa"/>
            <w:vAlign w:val="center"/>
          </w:tcPr>
          <w:p w14:paraId="0CA351BA" w14:textId="77777777" w:rsidR="00241417" w:rsidRPr="0039343F" w:rsidRDefault="00241417" w:rsidP="003A71DE">
            <w:pPr>
              <w:pStyle w:val="TAC"/>
            </w:pPr>
            <w:r w:rsidRPr="0039343F">
              <w:t>1.3</w:t>
            </w:r>
          </w:p>
        </w:tc>
      </w:tr>
      <w:tr w:rsidR="00241417" w:rsidRPr="0039343F" w14:paraId="7CC2C96C" w14:textId="77777777" w:rsidTr="003A71DE">
        <w:trPr>
          <w:cantSplit/>
          <w:jc w:val="center"/>
        </w:trPr>
        <w:tc>
          <w:tcPr>
            <w:tcW w:w="1007" w:type="dxa"/>
            <w:vMerge/>
            <w:vAlign w:val="center"/>
          </w:tcPr>
          <w:p w14:paraId="6FE178C8" w14:textId="77777777" w:rsidR="00241417" w:rsidRPr="0039343F" w:rsidRDefault="00241417" w:rsidP="003A71DE">
            <w:pPr>
              <w:pStyle w:val="TAC"/>
            </w:pPr>
          </w:p>
        </w:tc>
        <w:tc>
          <w:tcPr>
            <w:tcW w:w="1093" w:type="dxa"/>
            <w:vMerge/>
            <w:tcBorders>
              <w:bottom w:val="single" w:sz="4" w:space="0" w:color="auto"/>
            </w:tcBorders>
            <w:vAlign w:val="center"/>
          </w:tcPr>
          <w:p w14:paraId="37E392F5" w14:textId="77777777" w:rsidR="00241417" w:rsidRPr="0039343F" w:rsidRDefault="00241417" w:rsidP="003A71DE">
            <w:pPr>
              <w:pStyle w:val="TAC"/>
            </w:pPr>
          </w:p>
        </w:tc>
        <w:tc>
          <w:tcPr>
            <w:tcW w:w="1985" w:type="dxa"/>
            <w:vAlign w:val="center"/>
          </w:tcPr>
          <w:p w14:paraId="3089960C" w14:textId="77777777" w:rsidR="00241417" w:rsidRPr="0039343F" w:rsidRDefault="00241417" w:rsidP="003A71DE">
            <w:pPr>
              <w:pStyle w:val="TAC"/>
            </w:pPr>
            <w:r w:rsidRPr="0039343F">
              <w:t>TDLC300-100 Low</w:t>
            </w:r>
          </w:p>
        </w:tc>
        <w:tc>
          <w:tcPr>
            <w:tcW w:w="1570" w:type="dxa"/>
            <w:vAlign w:val="center"/>
          </w:tcPr>
          <w:p w14:paraId="294E2A6B" w14:textId="77777777" w:rsidR="00241417" w:rsidRPr="0039343F" w:rsidRDefault="00241417" w:rsidP="003A71DE">
            <w:pPr>
              <w:pStyle w:val="TAC"/>
              <w:rPr>
                <w:lang w:eastAsia="zh-CN"/>
              </w:rPr>
            </w:pPr>
            <w:r>
              <w:rPr>
                <w:lang w:eastAsia="zh-CN"/>
              </w:rPr>
              <w:t>D-FR1-A.2.3-11</w:t>
            </w:r>
          </w:p>
        </w:tc>
        <w:tc>
          <w:tcPr>
            <w:tcW w:w="1265" w:type="dxa"/>
            <w:vAlign w:val="center"/>
          </w:tcPr>
          <w:p w14:paraId="36BE1F77" w14:textId="77777777" w:rsidR="00241417" w:rsidRPr="0039343F" w:rsidRDefault="00241417" w:rsidP="003A71DE">
            <w:pPr>
              <w:pStyle w:val="TAC"/>
            </w:pPr>
            <w:r w:rsidRPr="0039343F">
              <w:t>pos1</w:t>
            </w:r>
          </w:p>
        </w:tc>
        <w:tc>
          <w:tcPr>
            <w:tcW w:w="1134" w:type="dxa"/>
            <w:vAlign w:val="center"/>
          </w:tcPr>
          <w:p w14:paraId="36C9F4D8" w14:textId="77777777" w:rsidR="00241417" w:rsidRPr="0039343F" w:rsidRDefault="00241417" w:rsidP="003A71DE">
            <w:pPr>
              <w:pStyle w:val="TAC"/>
            </w:pPr>
            <w:r w:rsidRPr="0039343F">
              <w:t>18.4</w:t>
            </w:r>
          </w:p>
        </w:tc>
      </w:tr>
      <w:tr w:rsidR="00241417" w:rsidRPr="0039343F" w14:paraId="33C6EE14" w14:textId="77777777" w:rsidTr="003A71DE">
        <w:trPr>
          <w:cantSplit/>
          <w:jc w:val="center"/>
        </w:trPr>
        <w:tc>
          <w:tcPr>
            <w:tcW w:w="1007" w:type="dxa"/>
            <w:vMerge/>
            <w:vAlign w:val="center"/>
          </w:tcPr>
          <w:p w14:paraId="57B634F6" w14:textId="77777777" w:rsidR="00241417" w:rsidRPr="0039343F" w:rsidRDefault="00241417" w:rsidP="003A71DE">
            <w:pPr>
              <w:pStyle w:val="TAC"/>
            </w:pPr>
          </w:p>
        </w:tc>
        <w:tc>
          <w:tcPr>
            <w:tcW w:w="1093" w:type="dxa"/>
            <w:vMerge w:val="restart"/>
            <w:tcBorders>
              <w:top w:val="single" w:sz="4" w:space="0" w:color="auto"/>
            </w:tcBorders>
            <w:vAlign w:val="center"/>
          </w:tcPr>
          <w:p w14:paraId="041A9D9C" w14:textId="77777777" w:rsidR="00241417" w:rsidRPr="0039343F" w:rsidRDefault="00241417" w:rsidP="003A71DE">
            <w:pPr>
              <w:pStyle w:val="TAC"/>
            </w:pPr>
            <w:r w:rsidRPr="0039343F">
              <w:t>4</w:t>
            </w:r>
          </w:p>
        </w:tc>
        <w:tc>
          <w:tcPr>
            <w:tcW w:w="1985" w:type="dxa"/>
            <w:vAlign w:val="center"/>
          </w:tcPr>
          <w:p w14:paraId="0C1D0DCA" w14:textId="77777777" w:rsidR="00241417" w:rsidRPr="0039343F" w:rsidRDefault="00241417" w:rsidP="003A71DE">
            <w:pPr>
              <w:pStyle w:val="TAC"/>
            </w:pPr>
            <w:r w:rsidRPr="0039343F">
              <w:t>TDLB100-400 Low</w:t>
            </w:r>
          </w:p>
        </w:tc>
        <w:tc>
          <w:tcPr>
            <w:tcW w:w="1570" w:type="dxa"/>
            <w:vAlign w:val="center"/>
          </w:tcPr>
          <w:p w14:paraId="51A6C6FD" w14:textId="77777777" w:rsidR="00241417" w:rsidRPr="0039343F" w:rsidRDefault="00241417" w:rsidP="003A71DE">
            <w:pPr>
              <w:pStyle w:val="TAC"/>
              <w:rPr>
                <w:lang w:eastAsia="zh-CN"/>
              </w:rPr>
            </w:pPr>
            <w:r>
              <w:rPr>
                <w:lang w:eastAsia="zh-CN"/>
              </w:rPr>
              <w:t>D-FR1-A.2.1-11</w:t>
            </w:r>
          </w:p>
        </w:tc>
        <w:tc>
          <w:tcPr>
            <w:tcW w:w="1265" w:type="dxa"/>
            <w:vAlign w:val="center"/>
          </w:tcPr>
          <w:p w14:paraId="062CB221" w14:textId="77777777" w:rsidR="00241417" w:rsidRPr="0039343F" w:rsidRDefault="00241417" w:rsidP="003A71DE">
            <w:pPr>
              <w:pStyle w:val="TAC"/>
            </w:pPr>
            <w:r w:rsidRPr="0039343F">
              <w:t>pos1</w:t>
            </w:r>
          </w:p>
        </w:tc>
        <w:tc>
          <w:tcPr>
            <w:tcW w:w="1134" w:type="dxa"/>
            <w:vAlign w:val="center"/>
          </w:tcPr>
          <w:p w14:paraId="7BBA43C6" w14:textId="77777777" w:rsidR="00241417" w:rsidRPr="0039343F" w:rsidRDefault="00241417" w:rsidP="003A71DE">
            <w:pPr>
              <w:pStyle w:val="TAC"/>
            </w:pPr>
            <w:r w:rsidRPr="0039343F">
              <w:t>-2.2</w:t>
            </w:r>
          </w:p>
        </w:tc>
      </w:tr>
      <w:tr w:rsidR="00241417" w:rsidRPr="0039343F" w14:paraId="25714CDA" w14:textId="77777777" w:rsidTr="003A71DE">
        <w:trPr>
          <w:cantSplit/>
          <w:jc w:val="center"/>
        </w:trPr>
        <w:tc>
          <w:tcPr>
            <w:tcW w:w="1007" w:type="dxa"/>
            <w:vMerge/>
            <w:vAlign w:val="center"/>
          </w:tcPr>
          <w:p w14:paraId="71A84583" w14:textId="77777777" w:rsidR="00241417" w:rsidRPr="0039343F" w:rsidRDefault="00241417" w:rsidP="003A71DE">
            <w:pPr>
              <w:pStyle w:val="TAC"/>
            </w:pPr>
          </w:p>
        </w:tc>
        <w:tc>
          <w:tcPr>
            <w:tcW w:w="1093" w:type="dxa"/>
            <w:vMerge/>
            <w:tcBorders>
              <w:bottom w:val="single" w:sz="4" w:space="0" w:color="auto"/>
            </w:tcBorders>
            <w:vAlign w:val="center"/>
          </w:tcPr>
          <w:p w14:paraId="5F7FA108" w14:textId="77777777" w:rsidR="00241417" w:rsidRPr="0039343F" w:rsidRDefault="00241417" w:rsidP="003A71DE">
            <w:pPr>
              <w:pStyle w:val="TAC"/>
            </w:pPr>
          </w:p>
        </w:tc>
        <w:tc>
          <w:tcPr>
            <w:tcW w:w="1985" w:type="dxa"/>
            <w:vAlign w:val="center"/>
          </w:tcPr>
          <w:p w14:paraId="3E51A638" w14:textId="77777777" w:rsidR="00241417" w:rsidRPr="0039343F" w:rsidRDefault="00241417" w:rsidP="003A71DE">
            <w:pPr>
              <w:pStyle w:val="TAC"/>
            </w:pPr>
            <w:r w:rsidRPr="0039343F">
              <w:t>TDLC300-100 Low</w:t>
            </w:r>
          </w:p>
        </w:tc>
        <w:tc>
          <w:tcPr>
            <w:tcW w:w="1570" w:type="dxa"/>
            <w:vAlign w:val="center"/>
          </w:tcPr>
          <w:p w14:paraId="5D6284EA" w14:textId="77777777" w:rsidR="00241417" w:rsidRPr="0039343F" w:rsidRDefault="00241417" w:rsidP="003A71DE">
            <w:pPr>
              <w:pStyle w:val="TAC"/>
              <w:rPr>
                <w:lang w:eastAsia="zh-CN"/>
              </w:rPr>
            </w:pPr>
            <w:r>
              <w:rPr>
                <w:lang w:eastAsia="zh-CN"/>
              </w:rPr>
              <w:t>D-FR1-A.2.3-11</w:t>
            </w:r>
          </w:p>
        </w:tc>
        <w:tc>
          <w:tcPr>
            <w:tcW w:w="1265" w:type="dxa"/>
            <w:vAlign w:val="center"/>
          </w:tcPr>
          <w:p w14:paraId="2791E54B" w14:textId="77777777" w:rsidR="00241417" w:rsidRPr="0039343F" w:rsidRDefault="00241417" w:rsidP="003A71DE">
            <w:pPr>
              <w:pStyle w:val="TAC"/>
            </w:pPr>
            <w:r w:rsidRPr="0039343F">
              <w:t>pos1</w:t>
            </w:r>
          </w:p>
        </w:tc>
        <w:tc>
          <w:tcPr>
            <w:tcW w:w="1134" w:type="dxa"/>
            <w:vAlign w:val="center"/>
          </w:tcPr>
          <w:p w14:paraId="23163162" w14:textId="77777777" w:rsidR="00241417" w:rsidRPr="0039343F" w:rsidRDefault="00241417" w:rsidP="003A71DE">
            <w:pPr>
              <w:pStyle w:val="TAC"/>
            </w:pPr>
            <w:r w:rsidRPr="0039343F">
              <w:t>11.2</w:t>
            </w:r>
          </w:p>
        </w:tc>
      </w:tr>
      <w:tr w:rsidR="00241417" w:rsidRPr="0039343F" w14:paraId="330525D1" w14:textId="77777777" w:rsidTr="003A71DE">
        <w:trPr>
          <w:cantSplit/>
          <w:jc w:val="center"/>
        </w:trPr>
        <w:tc>
          <w:tcPr>
            <w:tcW w:w="1007" w:type="dxa"/>
            <w:vMerge/>
            <w:vAlign w:val="center"/>
          </w:tcPr>
          <w:p w14:paraId="069E0F48" w14:textId="77777777" w:rsidR="00241417" w:rsidRPr="0039343F" w:rsidRDefault="00241417" w:rsidP="003A71DE">
            <w:pPr>
              <w:pStyle w:val="TAC"/>
            </w:pPr>
          </w:p>
        </w:tc>
        <w:tc>
          <w:tcPr>
            <w:tcW w:w="1093" w:type="dxa"/>
            <w:vMerge w:val="restart"/>
            <w:tcBorders>
              <w:top w:val="single" w:sz="4" w:space="0" w:color="auto"/>
            </w:tcBorders>
            <w:vAlign w:val="center"/>
          </w:tcPr>
          <w:p w14:paraId="78BCE697" w14:textId="77777777" w:rsidR="00241417" w:rsidRPr="0039343F" w:rsidRDefault="00241417" w:rsidP="003A71DE">
            <w:pPr>
              <w:pStyle w:val="TAC"/>
            </w:pPr>
            <w:r w:rsidRPr="0039343F">
              <w:t>8</w:t>
            </w:r>
          </w:p>
        </w:tc>
        <w:tc>
          <w:tcPr>
            <w:tcW w:w="1985" w:type="dxa"/>
            <w:vAlign w:val="center"/>
          </w:tcPr>
          <w:p w14:paraId="01E719DB" w14:textId="77777777" w:rsidR="00241417" w:rsidRPr="0039343F" w:rsidRDefault="00241417" w:rsidP="003A71DE">
            <w:pPr>
              <w:pStyle w:val="TAC"/>
            </w:pPr>
            <w:r w:rsidRPr="0039343F">
              <w:t>TDLB100-400 Low</w:t>
            </w:r>
          </w:p>
        </w:tc>
        <w:tc>
          <w:tcPr>
            <w:tcW w:w="1570" w:type="dxa"/>
            <w:vAlign w:val="center"/>
          </w:tcPr>
          <w:p w14:paraId="19D7A8B9" w14:textId="77777777" w:rsidR="00241417" w:rsidRPr="0039343F" w:rsidRDefault="00241417" w:rsidP="003A71DE">
            <w:pPr>
              <w:pStyle w:val="TAC"/>
              <w:rPr>
                <w:lang w:eastAsia="zh-CN"/>
              </w:rPr>
            </w:pPr>
            <w:r>
              <w:rPr>
                <w:lang w:eastAsia="zh-CN"/>
              </w:rPr>
              <w:t>D-FR1-A.2.1-11</w:t>
            </w:r>
          </w:p>
        </w:tc>
        <w:tc>
          <w:tcPr>
            <w:tcW w:w="1265" w:type="dxa"/>
            <w:vAlign w:val="center"/>
          </w:tcPr>
          <w:p w14:paraId="0170839A" w14:textId="77777777" w:rsidR="00241417" w:rsidRPr="0039343F" w:rsidRDefault="00241417" w:rsidP="003A71DE">
            <w:pPr>
              <w:pStyle w:val="TAC"/>
            </w:pPr>
            <w:r w:rsidRPr="0039343F">
              <w:t>pos1</w:t>
            </w:r>
          </w:p>
        </w:tc>
        <w:tc>
          <w:tcPr>
            <w:tcW w:w="1134" w:type="dxa"/>
            <w:vAlign w:val="center"/>
          </w:tcPr>
          <w:p w14:paraId="54754C83" w14:textId="77777777" w:rsidR="00241417" w:rsidRPr="0039343F" w:rsidRDefault="00241417" w:rsidP="003A71DE">
            <w:pPr>
              <w:pStyle w:val="TAC"/>
            </w:pPr>
            <w:r w:rsidRPr="0039343F">
              <w:t>-5.2</w:t>
            </w:r>
          </w:p>
        </w:tc>
      </w:tr>
      <w:tr w:rsidR="00241417" w:rsidRPr="0039343F" w14:paraId="4F0AE493" w14:textId="77777777" w:rsidTr="003A71DE">
        <w:trPr>
          <w:cantSplit/>
          <w:jc w:val="center"/>
        </w:trPr>
        <w:tc>
          <w:tcPr>
            <w:tcW w:w="1007" w:type="dxa"/>
            <w:vMerge/>
            <w:vAlign w:val="center"/>
          </w:tcPr>
          <w:p w14:paraId="67889B44" w14:textId="77777777" w:rsidR="00241417" w:rsidRPr="0039343F" w:rsidRDefault="00241417" w:rsidP="003A71DE">
            <w:pPr>
              <w:pStyle w:val="TAC"/>
            </w:pPr>
          </w:p>
        </w:tc>
        <w:tc>
          <w:tcPr>
            <w:tcW w:w="1093" w:type="dxa"/>
            <w:vMerge/>
            <w:vAlign w:val="center"/>
          </w:tcPr>
          <w:p w14:paraId="7EB95F75" w14:textId="77777777" w:rsidR="00241417" w:rsidRPr="0039343F" w:rsidRDefault="00241417" w:rsidP="003A71DE">
            <w:pPr>
              <w:pStyle w:val="TAC"/>
            </w:pPr>
          </w:p>
        </w:tc>
        <w:tc>
          <w:tcPr>
            <w:tcW w:w="1985" w:type="dxa"/>
            <w:vAlign w:val="center"/>
          </w:tcPr>
          <w:p w14:paraId="289010F4" w14:textId="77777777" w:rsidR="00241417" w:rsidRPr="0039343F" w:rsidRDefault="00241417" w:rsidP="003A71DE">
            <w:pPr>
              <w:pStyle w:val="TAC"/>
            </w:pPr>
            <w:r w:rsidRPr="0039343F">
              <w:t>TDLC300-100 Low</w:t>
            </w:r>
          </w:p>
        </w:tc>
        <w:tc>
          <w:tcPr>
            <w:tcW w:w="1570" w:type="dxa"/>
            <w:vAlign w:val="center"/>
          </w:tcPr>
          <w:p w14:paraId="39E72773" w14:textId="77777777" w:rsidR="00241417" w:rsidRPr="0039343F" w:rsidRDefault="00241417" w:rsidP="003A71DE">
            <w:pPr>
              <w:pStyle w:val="TAC"/>
              <w:rPr>
                <w:lang w:eastAsia="zh-CN"/>
              </w:rPr>
            </w:pPr>
            <w:r>
              <w:rPr>
                <w:lang w:eastAsia="zh-CN"/>
              </w:rPr>
              <w:t>D-FR1-A.2.3-11</w:t>
            </w:r>
          </w:p>
        </w:tc>
        <w:tc>
          <w:tcPr>
            <w:tcW w:w="1265" w:type="dxa"/>
            <w:vAlign w:val="center"/>
          </w:tcPr>
          <w:p w14:paraId="73E13334" w14:textId="77777777" w:rsidR="00241417" w:rsidRPr="0039343F" w:rsidRDefault="00241417" w:rsidP="003A71DE">
            <w:pPr>
              <w:pStyle w:val="TAC"/>
            </w:pPr>
            <w:r w:rsidRPr="0039343F">
              <w:t>pos1</w:t>
            </w:r>
          </w:p>
        </w:tc>
        <w:tc>
          <w:tcPr>
            <w:tcW w:w="1134" w:type="dxa"/>
            <w:vAlign w:val="center"/>
          </w:tcPr>
          <w:p w14:paraId="21763639" w14:textId="77777777" w:rsidR="00241417" w:rsidRPr="0039343F" w:rsidRDefault="00241417" w:rsidP="003A71DE">
            <w:pPr>
              <w:pStyle w:val="TAC"/>
            </w:pPr>
            <w:r w:rsidRPr="0039343F">
              <w:t>7.0</w:t>
            </w:r>
          </w:p>
        </w:tc>
      </w:tr>
    </w:tbl>
    <w:p w14:paraId="6FEFBA42" w14:textId="77777777" w:rsidR="00241417" w:rsidRPr="0039343F" w:rsidRDefault="00241417" w:rsidP="00241417">
      <w:pPr>
        <w:rPr>
          <w:lang w:eastAsia="zh-CN"/>
        </w:rPr>
      </w:pPr>
    </w:p>
    <w:p w14:paraId="5AC97487" w14:textId="77777777" w:rsidR="00241417" w:rsidRPr="00920E66" w:rsidRDefault="00241417" w:rsidP="00241417">
      <w:pPr>
        <w:pStyle w:val="TH"/>
        <w:rPr>
          <w:lang w:eastAsia="zh-CN"/>
        </w:rPr>
      </w:pPr>
      <w:r w:rsidRPr="00920E66">
        <w:lastRenderedPageBreak/>
        <w:t>Table 8.1.2.1.2-5: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A, 20 MHz channel bandwidth</w:t>
      </w:r>
      <w:r w:rsidRPr="00920E66">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70"/>
        <w:gridCol w:w="1265"/>
        <w:gridCol w:w="1134"/>
      </w:tblGrid>
      <w:tr w:rsidR="00241417" w:rsidRPr="0039343F" w14:paraId="40B47FE0" w14:textId="77777777" w:rsidTr="003A71DE">
        <w:trPr>
          <w:cantSplit/>
          <w:jc w:val="center"/>
        </w:trPr>
        <w:tc>
          <w:tcPr>
            <w:tcW w:w="1007" w:type="dxa"/>
            <w:tcBorders>
              <w:bottom w:val="single" w:sz="4" w:space="0" w:color="auto"/>
            </w:tcBorders>
            <w:vAlign w:val="center"/>
          </w:tcPr>
          <w:p w14:paraId="7D88574D"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728A1344" w14:textId="77777777" w:rsidR="00241417" w:rsidRPr="0039343F" w:rsidRDefault="00241417" w:rsidP="003A71DE">
            <w:pPr>
              <w:pStyle w:val="TAH"/>
            </w:pPr>
            <w:r w:rsidRPr="0039343F">
              <w:t xml:space="preserve">Number of </w:t>
            </w:r>
            <w:r>
              <w:t>Demodulation Branches</w:t>
            </w:r>
          </w:p>
        </w:tc>
        <w:tc>
          <w:tcPr>
            <w:tcW w:w="1985" w:type="dxa"/>
            <w:vAlign w:val="center"/>
          </w:tcPr>
          <w:p w14:paraId="3611FFEE" w14:textId="3D780B18" w:rsidR="00241417" w:rsidRPr="0039343F" w:rsidRDefault="00241417" w:rsidP="003A71DE">
            <w:pPr>
              <w:pStyle w:val="TAH"/>
            </w:pPr>
            <w:r w:rsidRPr="0039343F">
              <w:t xml:space="preserve">Propagation conditions and correlation matrix (Annex </w:t>
            </w:r>
            <w:r>
              <w:t>TBA</w:t>
            </w:r>
            <w:r w:rsidRPr="0039343F">
              <w:t>)</w:t>
            </w:r>
          </w:p>
        </w:tc>
        <w:tc>
          <w:tcPr>
            <w:tcW w:w="1570" w:type="dxa"/>
            <w:vAlign w:val="center"/>
          </w:tcPr>
          <w:p w14:paraId="6B941A69" w14:textId="77777777" w:rsidR="00241417" w:rsidRPr="0039343F" w:rsidRDefault="00241417" w:rsidP="003A71DE">
            <w:pPr>
              <w:pStyle w:val="TAH"/>
            </w:pPr>
            <w:r w:rsidRPr="0039343F">
              <w:t>FRC</w:t>
            </w:r>
            <w:r w:rsidRPr="0039343F">
              <w:br/>
              <w:t>(Annex A)</w:t>
            </w:r>
          </w:p>
        </w:tc>
        <w:tc>
          <w:tcPr>
            <w:tcW w:w="1265" w:type="dxa"/>
            <w:vAlign w:val="center"/>
          </w:tcPr>
          <w:p w14:paraId="2BC61CE4" w14:textId="77777777" w:rsidR="00241417" w:rsidRPr="0039343F" w:rsidRDefault="00241417" w:rsidP="003A71DE">
            <w:pPr>
              <w:pStyle w:val="TAH"/>
            </w:pPr>
            <w:r w:rsidRPr="0039343F">
              <w:t>Additional DM-RS position</w:t>
            </w:r>
          </w:p>
        </w:tc>
        <w:tc>
          <w:tcPr>
            <w:tcW w:w="1134" w:type="dxa"/>
            <w:vAlign w:val="center"/>
          </w:tcPr>
          <w:p w14:paraId="6A4F1C49" w14:textId="77777777" w:rsidR="00241417" w:rsidRPr="0039343F" w:rsidRDefault="00241417" w:rsidP="003A71DE">
            <w:pPr>
              <w:pStyle w:val="TAH"/>
            </w:pPr>
            <w:r w:rsidRPr="0039343F">
              <w:t>SNR</w:t>
            </w:r>
          </w:p>
          <w:p w14:paraId="77FD04F7" w14:textId="77777777" w:rsidR="00241417" w:rsidRPr="0039343F" w:rsidRDefault="00241417" w:rsidP="003A71DE">
            <w:pPr>
              <w:pStyle w:val="TAH"/>
            </w:pPr>
            <w:r w:rsidRPr="0039343F">
              <w:t>(dB)</w:t>
            </w:r>
          </w:p>
        </w:tc>
      </w:tr>
      <w:tr w:rsidR="00241417" w:rsidRPr="0039343F" w14:paraId="045FF2CD" w14:textId="77777777" w:rsidTr="003A71DE">
        <w:trPr>
          <w:cantSplit/>
          <w:jc w:val="center"/>
        </w:trPr>
        <w:tc>
          <w:tcPr>
            <w:tcW w:w="1007" w:type="dxa"/>
            <w:vMerge w:val="restart"/>
            <w:vAlign w:val="center"/>
          </w:tcPr>
          <w:p w14:paraId="679A8FDC" w14:textId="77777777" w:rsidR="00241417" w:rsidRPr="0039343F" w:rsidRDefault="00241417" w:rsidP="003A71DE">
            <w:pPr>
              <w:pStyle w:val="TAC"/>
            </w:pPr>
            <w:r w:rsidRPr="0039343F">
              <w:t>1</w:t>
            </w:r>
          </w:p>
        </w:tc>
        <w:tc>
          <w:tcPr>
            <w:tcW w:w="1093" w:type="dxa"/>
            <w:vMerge w:val="restart"/>
            <w:vAlign w:val="center"/>
          </w:tcPr>
          <w:p w14:paraId="2F8DE2CF" w14:textId="77777777" w:rsidR="00241417" w:rsidRPr="0039343F" w:rsidRDefault="00241417" w:rsidP="003A71DE">
            <w:pPr>
              <w:pStyle w:val="TAC"/>
            </w:pPr>
            <w:r w:rsidRPr="0039343F">
              <w:t>2</w:t>
            </w:r>
          </w:p>
        </w:tc>
        <w:tc>
          <w:tcPr>
            <w:tcW w:w="1985" w:type="dxa"/>
            <w:vAlign w:val="center"/>
          </w:tcPr>
          <w:p w14:paraId="7142EAA6" w14:textId="77777777" w:rsidR="00241417" w:rsidRPr="0039343F" w:rsidRDefault="00241417" w:rsidP="003A71DE">
            <w:pPr>
              <w:pStyle w:val="TAC"/>
            </w:pPr>
            <w:r w:rsidRPr="0039343F">
              <w:t>TDLB100-400 Low</w:t>
            </w:r>
          </w:p>
        </w:tc>
        <w:tc>
          <w:tcPr>
            <w:tcW w:w="1570" w:type="dxa"/>
            <w:vAlign w:val="center"/>
          </w:tcPr>
          <w:p w14:paraId="2F30DF23" w14:textId="77777777" w:rsidR="00241417" w:rsidRPr="0039343F" w:rsidRDefault="00241417" w:rsidP="003A71DE">
            <w:pPr>
              <w:pStyle w:val="TAC"/>
            </w:pPr>
            <w:r>
              <w:rPr>
                <w:lang w:eastAsia="zh-CN"/>
              </w:rPr>
              <w:t>D-FR1-A.2.1-5</w:t>
            </w:r>
          </w:p>
        </w:tc>
        <w:tc>
          <w:tcPr>
            <w:tcW w:w="1265" w:type="dxa"/>
            <w:vAlign w:val="center"/>
          </w:tcPr>
          <w:p w14:paraId="00ED0CDF" w14:textId="77777777" w:rsidR="00241417" w:rsidRPr="0039343F" w:rsidRDefault="00241417" w:rsidP="003A71DE">
            <w:pPr>
              <w:pStyle w:val="TAC"/>
            </w:pPr>
            <w:r w:rsidRPr="0039343F">
              <w:t>pos1</w:t>
            </w:r>
          </w:p>
        </w:tc>
        <w:tc>
          <w:tcPr>
            <w:tcW w:w="1134" w:type="dxa"/>
            <w:vAlign w:val="center"/>
          </w:tcPr>
          <w:p w14:paraId="2113819C" w14:textId="77777777" w:rsidR="00241417" w:rsidRPr="0039343F" w:rsidRDefault="00241417" w:rsidP="003A71DE">
            <w:pPr>
              <w:pStyle w:val="TAC"/>
            </w:pPr>
            <w:r w:rsidRPr="0039343F">
              <w:t>-2.9</w:t>
            </w:r>
          </w:p>
        </w:tc>
      </w:tr>
      <w:tr w:rsidR="00241417" w:rsidRPr="0039343F" w14:paraId="44750698" w14:textId="77777777" w:rsidTr="003A71DE">
        <w:trPr>
          <w:cantSplit/>
          <w:jc w:val="center"/>
        </w:trPr>
        <w:tc>
          <w:tcPr>
            <w:tcW w:w="1007" w:type="dxa"/>
            <w:vMerge/>
            <w:vAlign w:val="center"/>
          </w:tcPr>
          <w:p w14:paraId="6FF25921" w14:textId="77777777" w:rsidR="00241417" w:rsidRPr="0039343F" w:rsidRDefault="00241417" w:rsidP="003A71DE">
            <w:pPr>
              <w:pStyle w:val="TAC"/>
            </w:pPr>
          </w:p>
        </w:tc>
        <w:tc>
          <w:tcPr>
            <w:tcW w:w="1093" w:type="dxa"/>
            <w:vMerge/>
            <w:vAlign w:val="center"/>
          </w:tcPr>
          <w:p w14:paraId="3F524774" w14:textId="77777777" w:rsidR="00241417" w:rsidRPr="0039343F" w:rsidRDefault="00241417" w:rsidP="003A71DE">
            <w:pPr>
              <w:pStyle w:val="TAC"/>
            </w:pPr>
          </w:p>
        </w:tc>
        <w:tc>
          <w:tcPr>
            <w:tcW w:w="1985" w:type="dxa"/>
            <w:vAlign w:val="center"/>
          </w:tcPr>
          <w:p w14:paraId="528C0422" w14:textId="77777777" w:rsidR="00241417" w:rsidRPr="0039343F" w:rsidRDefault="00241417" w:rsidP="003A71DE">
            <w:pPr>
              <w:pStyle w:val="TAC"/>
            </w:pPr>
            <w:r w:rsidRPr="0039343F">
              <w:t>TDLC300-100 Low</w:t>
            </w:r>
          </w:p>
        </w:tc>
        <w:tc>
          <w:tcPr>
            <w:tcW w:w="1570" w:type="dxa"/>
            <w:vAlign w:val="center"/>
          </w:tcPr>
          <w:p w14:paraId="608761C5" w14:textId="77777777" w:rsidR="00241417" w:rsidRPr="0039343F" w:rsidRDefault="00241417" w:rsidP="003A71DE">
            <w:pPr>
              <w:pStyle w:val="TAC"/>
            </w:pPr>
            <w:r>
              <w:rPr>
                <w:lang w:eastAsia="zh-CN"/>
              </w:rPr>
              <w:t>D-FR1-A.2.3-5</w:t>
            </w:r>
          </w:p>
        </w:tc>
        <w:tc>
          <w:tcPr>
            <w:tcW w:w="1265" w:type="dxa"/>
            <w:vAlign w:val="center"/>
          </w:tcPr>
          <w:p w14:paraId="44BE9F1A" w14:textId="77777777" w:rsidR="00241417" w:rsidRPr="0039343F" w:rsidRDefault="00241417" w:rsidP="003A71DE">
            <w:pPr>
              <w:pStyle w:val="TAC"/>
            </w:pPr>
            <w:r w:rsidRPr="0039343F">
              <w:t>pos1</w:t>
            </w:r>
          </w:p>
        </w:tc>
        <w:tc>
          <w:tcPr>
            <w:tcW w:w="1134" w:type="dxa"/>
            <w:vAlign w:val="center"/>
          </w:tcPr>
          <w:p w14:paraId="5FEA8ECC" w14:textId="77777777" w:rsidR="00241417" w:rsidRPr="0039343F" w:rsidRDefault="00241417" w:rsidP="003A71DE">
            <w:pPr>
              <w:pStyle w:val="TAC"/>
            </w:pPr>
            <w:r w:rsidRPr="0039343F">
              <w:t>10.2</w:t>
            </w:r>
          </w:p>
        </w:tc>
      </w:tr>
      <w:tr w:rsidR="00241417" w:rsidRPr="0039343F" w14:paraId="256F3493" w14:textId="77777777" w:rsidTr="003A71DE">
        <w:trPr>
          <w:cantSplit/>
          <w:jc w:val="center"/>
        </w:trPr>
        <w:tc>
          <w:tcPr>
            <w:tcW w:w="1007" w:type="dxa"/>
            <w:vMerge/>
            <w:vAlign w:val="center"/>
          </w:tcPr>
          <w:p w14:paraId="588AD0EE" w14:textId="77777777" w:rsidR="00241417" w:rsidRPr="0039343F" w:rsidRDefault="00241417" w:rsidP="003A71DE">
            <w:pPr>
              <w:pStyle w:val="TAC"/>
            </w:pPr>
          </w:p>
        </w:tc>
        <w:tc>
          <w:tcPr>
            <w:tcW w:w="1093" w:type="dxa"/>
            <w:vMerge/>
            <w:tcBorders>
              <w:bottom w:val="single" w:sz="4" w:space="0" w:color="auto"/>
            </w:tcBorders>
            <w:vAlign w:val="center"/>
          </w:tcPr>
          <w:p w14:paraId="607E20E3" w14:textId="77777777" w:rsidR="00241417" w:rsidRPr="0039343F" w:rsidRDefault="00241417" w:rsidP="003A71DE">
            <w:pPr>
              <w:pStyle w:val="TAC"/>
            </w:pPr>
          </w:p>
        </w:tc>
        <w:tc>
          <w:tcPr>
            <w:tcW w:w="1985" w:type="dxa"/>
            <w:vAlign w:val="center"/>
          </w:tcPr>
          <w:p w14:paraId="61C089EA" w14:textId="77777777" w:rsidR="00241417" w:rsidRPr="0039343F" w:rsidRDefault="00241417" w:rsidP="003A71DE">
            <w:pPr>
              <w:pStyle w:val="TAC"/>
            </w:pPr>
            <w:r w:rsidRPr="0039343F">
              <w:t>TDLA30-10 Low</w:t>
            </w:r>
          </w:p>
        </w:tc>
        <w:tc>
          <w:tcPr>
            <w:tcW w:w="1570" w:type="dxa"/>
            <w:vAlign w:val="center"/>
          </w:tcPr>
          <w:p w14:paraId="3277D3F7" w14:textId="77777777" w:rsidR="00241417" w:rsidRPr="0039343F" w:rsidRDefault="00241417" w:rsidP="003A71DE">
            <w:pPr>
              <w:pStyle w:val="TAC"/>
            </w:pPr>
            <w:r>
              <w:rPr>
                <w:lang w:eastAsia="zh-CN"/>
              </w:rPr>
              <w:t>D-FR1-A.2.4-5</w:t>
            </w:r>
          </w:p>
        </w:tc>
        <w:tc>
          <w:tcPr>
            <w:tcW w:w="1265" w:type="dxa"/>
            <w:vAlign w:val="center"/>
          </w:tcPr>
          <w:p w14:paraId="3A0B6B2B" w14:textId="77777777" w:rsidR="00241417" w:rsidRPr="0039343F" w:rsidRDefault="00241417" w:rsidP="003A71DE">
            <w:pPr>
              <w:pStyle w:val="TAC"/>
            </w:pPr>
            <w:r w:rsidRPr="0039343F">
              <w:t>pos1</w:t>
            </w:r>
          </w:p>
        </w:tc>
        <w:tc>
          <w:tcPr>
            <w:tcW w:w="1134" w:type="dxa"/>
            <w:vAlign w:val="center"/>
          </w:tcPr>
          <w:p w14:paraId="631B328D" w14:textId="77777777" w:rsidR="00241417" w:rsidRPr="0039343F" w:rsidRDefault="00241417" w:rsidP="003A71DE">
            <w:pPr>
              <w:pStyle w:val="TAC"/>
            </w:pPr>
            <w:r w:rsidRPr="0039343F">
              <w:t>12.5</w:t>
            </w:r>
          </w:p>
        </w:tc>
      </w:tr>
      <w:tr w:rsidR="00241417" w:rsidRPr="0039343F" w14:paraId="022DDAC0" w14:textId="77777777" w:rsidTr="003A71DE">
        <w:trPr>
          <w:cantSplit/>
          <w:jc w:val="center"/>
        </w:trPr>
        <w:tc>
          <w:tcPr>
            <w:tcW w:w="1007" w:type="dxa"/>
            <w:vMerge/>
            <w:vAlign w:val="center"/>
          </w:tcPr>
          <w:p w14:paraId="3640ADB7" w14:textId="77777777" w:rsidR="00241417" w:rsidRPr="0039343F" w:rsidRDefault="00241417" w:rsidP="003A71DE">
            <w:pPr>
              <w:pStyle w:val="TAC"/>
            </w:pPr>
          </w:p>
        </w:tc>
        <w:tc>
          <w:tcPr>
            <w:tcW w:w="1093" w:type="dxa"/>
            <w:vMerge w:val="restart"/>
            <w:vAlign w:val="center"/>
          </w:tcPr>
          <w:p w14:paraId="6A5515CD" w14:textId="77777777" w:rsidR="00241417" w:rsidRPr="0039343F" w:rsidRDefault="00241417" w:rsidP="003A71DE">
            <w:pPr>
              <w:pStyle w:val="TAC"/>
            </w:pPr>
            <w:r w:rsidRPr="0039343F">
              <w:t>4</w:t>
            </w:r>
          </w:p>
        </w:tc>
        <w:tc>
          <w:tcPr>
            <w:tcW w:w="1985" w:type="dxa"/>
            <w:vAlign w:val="center"/>
          </w:tcPr>
          <w:p w14:paraId="5D324EE2" w14:textId="77777777" w:rsidR="00241417" w:rsidRPr="0039343F" w:rsidRDefault="00241417" w:rsidP="003A71DE">
            <w:pPr>
              <w:pStyle w:val="TAC"/>
            </w:pPr>
            <w:r w:rsidRPr="0039343F">
              <w:t>TDLB100-400 Low</w:t>
            </w:r>
          </w:p>
        </w:tc>
        <w:tc>
          <w:tcPr>
            <w:tcW w:w="1570" w:type="dxa"/>
            <w:vAlign w:val="center"/>
          </w:tcPr>
          <w:p w14:paraId="6E092624" w14:textId="77777777" w:rsidR="00241417" w:rsidRPr="0039343F" w:rsidRDefault="00241417" w:rsidP="003A71DE">
            <w:pPr>
              <w:pStyle w:val="TAC"/>
            </w:pPr>
            <w:r>
              <w:rPr>
                <w:lang w:eastAsia="zh-CN"/>
              </w:rPr>
              <w:t>D-FR1-A.2.1-5</w:t>
            </w:r>
          </w:p>
        </w:tc>
        <w:tc>
          <w:tcPr>
            <w:tcW w:w="1265" w:type="dxa"/>
            <w:vAlign w:val="center"/>
          </w:tcPr>
          <w:p w14:paraId="70091E73" w14:textId="77777777" w:rsidR="00241417" w:rsidRPr="0039343F" w:rsidRDefault="00241417" w:rsidP="003A71DE">
            <w:pPr>
              <w:pStyle w:val="TAC"/>
            </w:pPr>
            <w:r w:rsidRPr="0039343F">
              <w:t>pos1</w:t>
            </w:r>
          </w:p>
        </w:tc>
        <w:tc>
          <w:tcPr>
            <w:tcW w:w="1134" w:type="dxa"/>
            <w:vAlign w:val="center"/>
          </w:tcPr>
          <w:p w14:paraId="28E206DB" w14:textId="77777777" w:rsidR="00241417" w:rsidRPr="0039343F" w:rsidRDefault="00241417" w:rsidP="003A71DE">
            <w:pPr>
              <w:pStyle w:val="TAC"/>
            </w:pPr>
            <w:r w:rsidRPr="0039343F">
              <w:t>-6.0</w:t>
            </w:r>
          </w:p>
        </w:tc>
      </w:tr>
      <w:tr w:rsidR="00241417" w:rsidRPr="0039343F" w14:paraId="70C5EBAB" w14:textId="77777777" w:rsidTr="003A71DE">
        <w:trPr>
          <w:cantSplit/>
          <w:jc w:val="center"/>
        </w:trPr>
        <w:tc>
          <w:tcPr>
            <w:tcW w:w="1007" w:type="dxa"/>
            <w:vMerge/>
            <w:vAlign w:val="center"/>
          </w:tcPr>
          <w:p w14:paraId="342DAD66" w14:textId="77777777" w:rsidR="00241417" w:rsidRPr="0039343F" w:rsidRDefault="00241417" w:rsidP="003A71DE">
            <w:pPr>
              <w:pStyle w:val="TAC"/>
            </w:pPr>
          </w:p>
        </w:tc>
        <w:tc>
          <w:tcPr>
            <w:tcW w:w="1093" w:type="dxa"/>
            <w:vMerge/>
            <w:vAlign w:val="center"/>
          </w:tcPr>
          <w:p w14:paraId="5761FDFE" w14:textId="77777777" w:rsidR="00241417" w:rsidRPr="0039343F" w:rsidRDefault="00241417" w:rsidP="003A71DE">
            <w:pPr>
              <w:pStyle w:val="TAC"/>
            </w:pPr>
          </w:p>
        </w:tc>
        <w:tc>
          <w:tcPr>
            <w:tcW w:w="1985" w:type="dxa"/>
            <w:vAlign w:val="center"/>
          </w:tcPr>
          <w:p w14:paraId="6559E53E" w14:textId="77777777" w:rsidR="00241417" w:rsidRPr="0039343F" w:rsidRDefault="00241417" w:rsidP="003A71DE">
            <w:pPr>
              <w:pStyle w:val="TAC"/>
            </w:pPr>
            <w:r w:rsidRPr="0039343F">
              <w:t>TDLC300-100 Low</w:t>
            </w:r>
          </w:p>
        </w:tc>
        <w:tc>
          <w:tcPr>
            <w:tcW w:w="1570" w:type="dxa"/>
            <w:vAlign w:val="center"/>
          </w:tcPr>
          <w:p w14:paraId="44BC71E9" w14:textId="77777777" w:rsidR="00241417" w:rsidRPr="0039343F" w:rsidRDefault="00241417" w:rsidP="003A71DE">
            <w:pPr>
              <w:pStyle w:val="TAC"/>
            </w:pPr>
            <w:r>
              <w:rPr>
                <w:lang w:eastAsia="zh-CN"/>
              </w:rPr>
              <w:t>D-FR1-A.2.3-5</w:t>
            </w:r>
          </w:p>
        </w:tc>
        <w:tc>
          <w:tcPr>
            <w:tcW w:w="1265" w:type="dxa"/>
            <w:vAlign w:val="center"/>
          </w:tcPr>
          <w:p w14:paraId="0C6AD130" w14:textId="77777777" w:rsidR="00241417" w:rsidRPr="0039343F" w:rsidRDefault="00241417" w:rsidP="003A71DE">
            <w:pPr>
              <w:pStyle w:val="TAC"/>
            </w:pPr>
            <w:r w:rsidRPr="0039343F">
              <w:t>pos1</w:t>
            </w:r>
          </w:p>
        </w:tc>
        <w:tc>
          <w:tcPr>
            <w:tcW w:w="1134" w:type="dxa"/>
            <w:vAlign w:val="center"/>
          </w:tcPr>
          <w:p w14:paraId="78E7D43C" w14:textId="77777777" w:rsidR="00241417" w:rsidRPr="0039343F" w:rsidRDefault="00241417" w:rsidP="003A71DE">
            <w:pPr>
              <w:pStyle w:val="TAC"/>
            </w:pPr>
            <w:r w:rsidRPr="0039343F">
              <w:t>6.4</w:t>
            </w:r>
          </w:p>
        </w:tc>
      </w:tr>
      <w:tr w:rsidR="00241417" w:rsidRPr="0039343F" w14:paraId="1EA8E6C1" w14:textId="77777777" w:rsidTr="003A71DE">
        <w:trPr>
          <w:cantSplit/>
          <w:jc w:val="center"/>
        </w:trPr>
        <w:tc>
          <w:tcPr>
            <w:tcW w:w="1007" w:type="dxa"/>
            <w:vMerge/>
            <w:vAlign w:val="center"/>
          </w:tcPr>
          <w:p w14:paraId="73EEF248" w14:textId="77777777" w:rsidR="00241417" w:rsidRPr="0039343F" w:rsidRDefault="00241417" w:rsidP="003A71DE">
            <w:pPr>
              <w:pStyle w:val="TAC"/>
            </w:pPr>
          </w:p>
        </w:tc>
        <w:tc>
          <w:tcPr>
            <w:tcW w:w="1093" w:type="dxa"/>
            <w:vMerge/>
            <w:tcBorders>
              <w:bottom w:val="single" w:sz="4" w:space="0" w:color="auto"/>
            </w:tcBorders>
            <w:vAlign w:val="center"/>
          </w:tcPr>
          <w:p w14:paraId="30D1BB67" w14:textId="77777777" w:rsidR="00241417" w:rsidRPr="0039343F" w:rsidRDefault="00241417" w:rsidP="003A71DE">
            <w:pPr>
              <w:pStyle w:val="TAC"/>
            </w:pPr>
          </w:p>
        </w:tc>
        <w:tc>
          <w:tcPr>
            <w:tcW w:w="1985" w:type="dxa"/>
            <w:vAlign w:val="center"/>
          </w:tcPr>
          <w:p w14:paraId="790F3302" w14:textId="77777777" w:rsidR="00241417" w:rsidRPr="0039343F" w:rsidRDefault="00241417" w:rsidP="003A71DE">
            <w:pPr>
              <w:pStyle w:val="TAC"/>
            </w:pPr>
            <w:r w:rsidRPr="0039343F">
              <w:t>TDLA30-10 Low</w:t>
            </w:r>
          </w:p>
        </w:tc>
        <w:tc>
          <w:tcPr>
            <w:tcW w:w="1570" w:type="dxa"/>
            <w:vAlign w:val="center"/>
          </w:tcPr>
          <w:p w14:paraId="5724D6B3" w14:textId="77777777" w:rsidR="00241417" w:rsidRPr="0039343F" w:rsidRDefault="00241417" w:rsidP="003A71DE">
            <w:pPr>
              <w:pStyle w:val="TAC"/>
            </w:pPr>
            <w:r>
              <w:rPr>
                <w:lang w:eastAsia="zh-CN"/>
              </w:rPr>
              <w:t>D-FR1-A.2.4-5</w:t>
            </w:r>
          </w:p>
        </w:tc>
        <w:tc>
          <w:tcPr>
            <w:tcW w:w="1265" w:type="dxa"/>
            <w:vAlign w:val="center"/>
          </w:tcPr>
          <w:p w14:paraId="3B4D7E59" w14:textId="77777777" w:rsidR="00241417" w:rsidRPr="0039343F" w:rsidRDefault="00241417" w:rsidP="003A71DE">
            <w:pPr>
              <w:pStyle w:val="TAC"/>
            </w:pPr>
            <w:r w:rsidRPr="0039343F">
              <w:t>pos1</w:t>
            </w:r>
          </w:p>
        </w:tc>
        <w:tc>
          <w:tcPr>
            <w:tcW w:w="1134" w:type="dxa"/>
            <w:vAlign w:val="center"/>
          </w:tcPr>
          <w:p w14:paraId="26F4F6B3" w14:textId="77777777" w:rsidR="00241417" w:rsidRPr="0039343F" w:rsidRDefault="00241417" w:rsidP="003A71DE">
            <w:pPr>
              <w:pStyle w:val="TAC"/>
            </w:pPr>
            <w:r w:rsidRPr="0039343F">
              <w:t>8.6</w:t>
            </w:r>
          </w:p>
        </w:tc>
      </w:tr>
      <w:tr w:rsidR="00241417" w:rsidRPr="0039343F" w14:paraId="31A4FEAF" w14:textId="77777777" w:rsidTr="003A71DE">
        <w:trPr>
          <w:cantSplit/>
          <w:jc w:val="center"/>
        </w:trPr>
        <w:tc>
          <w:tcPr>
            <w:tcW w:w="1007" w:type="dxa"/>
            <w:vMerge/>
            <w:vAlign w:val="center"/>
          </w:tcPr>
          <w:p w14:paraId="50A936A8" w14:textId="77777777" w:rsidR="00241417" w:rsidRPr="0039343F" w:rsidRDefault="00241417" w:rsidP="003A71DE">
            <w:pPr>
              <w:pStyle w:val="TAC"/>
            </w:pPr>
          </w:p>
        </w:tc>
        <w:tc>
          <w:tcPr>
            <w:tcW w:w="1093" w:type="dxa"/>
            <w:vMerge w:val="restart"/>
            <w:vAlign w:val="center"/>
          </w:tcPr>
          <w:p w14:paraId="06A29BE2" w14:textId="77777777" w:rsidR="00241417" w:rsidRPr="0039343F" w:rsidRDefault="00241417" w:rsidP="003A71DE">
            <w:pPr>
              <w:pStyle w:val="TAC"/>
            </w:pPr>
            <w:r w:rsidRPr="0039343F">
              <w:t>8</w:t>
            </w:r>
          </w:p>
        </w:tc>
        <w:tc>
          <w:tcPr>
            <w:tcW w:w="1985" w:type="dxa"/>
            <w:vAlign w:val="center"/>
          </w:tcPr>
          <w:p w14:paraId="2742E034" w14:textId="77777777" w:rsidR="00241417" w:rsidRPr="0039343F" w:rsidRDefault="00241417" w:rsidP="003A71DE">
            <w:pPr>
              <w:pStyle w:val="TAC"/>
            </w:pPr>
            <w:r w:rsidRPr="0039343F">
              <w:t>TDLB100-400 Low</w:t>
            </w:r>
          </w:p>
        </w:tc>
        <w:tc>
          <w:tcPr>
            <w:tcW w:w="1570" w:type="dxa"/>
            <w:vAlign w:val="center"/>
          </w:tcPr>
          <w:p w14:paraId="4BA00015" w14:textId="77777777" w:rsidR="00241417" w:rsidRPr="0039343F" w:rsidRDefault="00241417" w:rsidP="003A71DE">
            <w:pPr>
              <w:pStyle w:val="TAC"/>
            </w:pPr>
            <w:r>
              <w:rPr>
                <w:lang w:eastAsia="zh-CN"/>
              </w:rPr>
              <w:t>D-FR1-A.2.1-5</w:t>
            </w:r>
          </w:p>
        </w:tc>
        <w:tc>
          <w:tcPr>
            <w:tcW w:w="1265" w:type="dxa"/>
            <w:vAlign w:val="center"/>
          </w:tcPr>
          <w:p w14:paraId="5430139F" w14:textId="77777777" w:rsidR="00241417" w:rsidRPr="0039343F" w:rsidRDefault="00241417" w:rsidP="003A71DE">
            <w:pPr>
              <w:pStyle w:val="TAC"/>
            </w:pPr>
            <w:r w:rsidRPr="0039343F">
              <w:t>pos1</w:t>
            </w:r>
          </w:p>
        </w:tc>
        <w:tc>
          <w:tcPr>
            <w:tcW w:w="1134" w:type="dxa"/>
            <w:vAlign w:val="center"/>
          </w:tcPr>
          <w:p w14:paraId="536DAD7A" w14:textId="77777777" w:rsidR="00241417" w:rsidRPr="0039343F" w:rsidRDefault="00241417" w:rsidP="003A71DE">
            <w:pPr>
              <w:pStyle w:val="TAC"/>
            </w:pPr>
            <w:r w:rsidRPr="0039343F">
              <w:t>-8.8</w:t>
            </w:r>
          </w:p>
        </w:tc>
      </w:tr>
      <w:tr w:rsidR="00241417" w:rsidRPr="0039343F" w14:paraId="435B2E28" w14:textId="77777777" w:rsidTr="003A71DE">
        <w:trPr>
          <w:cantSplit/>
          <w:jc w:val="center"/>
        </w:trPr>
        <w:tc>
          <w:tcPr>
            <w:tcW w:w="1007" w:type="dxa"/>
            <w:vMerge/>
            <w:vAlign w:val="center"/>
          </w:tcPr>
          <w:p w14:paraId="21CB3F7D" w14:textId="77777777" w:rsidR="00241417" w:rsidRPr="0039343F" w:rsidRDefault="00241417" w:rsidP="003A71DE">
            <w:pPr>
              <w:pStyle w:val="TAC"/>
            </w:pPr>
          </w:p>
        </w:tc>
        <w:tc>
          <w:tcPr>
            <w:tcW w:w="1093" w:type="dxa"/>
            <w:vMerge/>
            <w:vAlign w:val="center"/>
          </w:tcPr>
          <w:p w14:paraId="0D4F75EE" w14:textId="77777777" w:rsidR="00241417" w:rsidRPr="0039343F" w:rsidRDefault="00241417" w:rsidP="003A71DE">
            <w:pPr>
              <w:pStyle w:val="TAC"/>
            </w:pPr>
          </w:p>
        </w:tc>
        <w:tc>
          <w:tcPr>
            <w:tcW w:w="1985" w:type="dxa"/>
            <w:vAlign w:val="center"/>
          </w:tcPr>
          <w:p w14:paraId="3C6BE4EE" w14:textId="77777777" w:rsidR="00241417" w:rsidRPr="0039343F" w:rsidRDefault="00241417" w:rsidP="003A71DE">
            <w:pPr>
              <w:pStyle w:val="TAC"/>
            </w:pPr>
            <w:r w:rsidRPr="0039343F">
              <w:t>TDLC300-100 Low</w:t>
            </w:r>
          </w:p>
        </w:tc>
        <w:tc>
          <w:tcPr>
            <w:tcW w:w="1570" w:type="dxa"/>
            <w:vAlign w:val="center"/>
          </w:tcPr>
          <w:p w14:paraId="123A6484" w14:textId="77777777" w:rsidR="00241417" w:rsidRPr="0039343F" w:rsidRDefault="00241417" w:rsidP="003A71DE">
            <w:pPr>
              <w:pStyle w:val="TAC"/>
            </w:pPr>
            <w:r>
              <w:rPr>
                <w:lang w:eastAsia="zh-CN"/>
              </w:rPr>
              <w:t>D-FR1-A.2.3-5</w:t>
            </w:r>
          </w:p>
        </w:tc>
        <w:tc>
          <w:tcPr>
            <w:tcW w:w="1265" w:type="dxa"/>
            <w:vAlign w:val="center"/>
          </w:tcPr>
          <w:p w14:paraId="652EDE90" w14:textId="77777777" w:rsidR="00241417" w:rsidRPr="0039343F" w:rsidRDefault="00241417" w:rsidP="003A71DE">
            <w:pPr>
              <w:pStyle w:val="TAC"/>
            </w:pPr>
            <w:r w:rsidRPr="0039343F">
              <w:t>pos1</w:t>
            </w:r>
          </w:p>
        </w:tc>
        <w:tc>
          <w:tcPr>
            <w:tcW w:w="1134" w:type="dxa"/>
            <w:vAlign w:val="center"/>
          </w:tcPr>
          <w:p w14:paraId="521D2682" w14:textId="77777777" w:rsidR="00241417" w:rsidRPr="0039343F" w:rsidRDefault="00241417" w:rsidP="003A71DE">
            <w:pPr>
              <w:pStyle w:val="TAC"/>
            </w:pPr>
            <w:r w:rsidRPr="0039343F">
              <w:t>3.2</w:t>
            </w:r>
          </w:p>
        </w:tc>
      </w:tr>
      <w:tr w:rsidR="00241417" w:rsidRPr="0039343F" w14:paraId="1512AF50" w14:textId="77777777" w:rsidTr="003A71DE">
        <w:trPr>
          <w:cantSplit/>
          <w:jc w:val="center"/>
        </w:trPr>
        <w:tc>
          <w:tcPr>
            <w:tcW w:w="1007" w:type="dxa"/>
            <w:vMerge/>
            <w:tcBorders>
              <w:bottom w:val="single" w:sz="4" w:space="0" w:color="auto"/>
            </w:tcBorders>
            <w:vAlign w:val="center"/>
          </w:tcPr>
          <w:p w14:paraId="1C0681B6" w14:textId="77777777" w:rsidR="00241417" w:rsidRPr="0039343F" w:rsidRDefault="00241417" w:rsidP="003A71DE">
            <w:pPr>
              <w:pStyle w:val="TAC"/>
            </w:pPr>
          </w:p>
        </w:tc>
        <w:tc>
          <w:tcPr>
            <w:tcW w:w="1093" w:type="dxa"/>
            <w:vMerge/>
            <w:tcBorders>
              <w:bottom w:val="single" w:sz="4" w:space="0" w:color="auto"/>
            </w:tcBorders>
            <w:vAlign w:val="center"/>
          </w:tcPr>
          <w:p w14:paraId="40AADA0A" w14:textId="77777777" w:rsidR="00241417" w:rsidRPr="0039343F" w:rsidRDefault="00241417" w:rsidP="003A71DE">
            <w:pPr>
              <w:pStyle w:val="TAC"/>
            </w:pPr>
          </w:p>
        </w:tc>
        <w:tc>
          <w:tcPr>
            <w:tcW w:w="1985" w:type="dxa"/>
            <w:vAlign w:val="center"/>
          </w:tcPr>
          <w:p w14:paraId="757B90F0" w14:textId="77777777" w:rsidR="00241417" w:rsidRPr="0039343F" w:rsidRDefault="00241417" w:rsidP="003A71DE">
            <w:pPr>
              <w:pStyle w:val="TAC"/>
            </w:pPr>
            <w:r w:rsidRPr="0039343F">
              <w:t>TDLA30-10 Low</w:t>
            </w:r>
          </w:p>
        </w:tc>
        <w:tc>
          <w:tcPr>
            <w:tcW w:w="1570" w:type="dxa"/>
            <w:vAlign w:val="center"/>
          </w:tcPr>
          <w:p w14:paraId="20744931" w14:textId="77777777" w:rsidR="00241417" w:rsidRPr="0039343F" w:rsidRDefault="00241417" w:rsidP="003A71DE">
            <w:pPr>
              <w:pStyle w:val="TAC"/>
            </w:pPr>
            <w:r>
              <w:rPr>
                <w:lang w:eastAsia="zh-CN"/>
              </w:rPr>
              <w:t>D-FR1-A.2.4-5</w:t>
            </w:r>
          </w:p>
        </w:tc>
        <w:tc>
          <w:tcPr>
            <w:tcW w:w="1265" w:type="dxa"/>
            <w:vAlign w:val="center"/>
          </w:tcPr>
          <w:p w14:paraId="282895F9" w14:textId="77777777" w:rsidR="00241417" w:rsidRPr="0039343F" w:rsidRDefault="00241417" w:rsidP="003A71DE">
            <w:pPr>
              <w:pStyle w:val="TAC"/>
            </w:pPr>
            <w:r w:rsidRPr="0039343F">
              <w:t>pos1</w:t>
            </w:r>
          </w:p>
        </w:tc>
        <w:tc>
          <w:tcPr>
            <w:tcW w:w="1134" w:type="dxa"/>
            <w:vAlign w:val="center"/>
          </w:tcPr>
          <w:p w14:paraId="380E3BA3" w14:textId="77777777" w:rsidR="00241417" w:rsidRPr="0039343F" w:rsidRDefault="00241417" w:rsidP="003A71DE">
            <w:pPr>
              <w:pStyle w:val="TAC"/>
            </w:pPr>
            <w:r w:rsidRPr="0039343F">
              <w:t>5.5</w:t>
            </w:r>
          </w:p>
        </w:tc>
      </w:tr>
      <w:tr w:rsidR="00241417" w:rsidRPr="0039343F" w14:paraId="3C24A38D" w14:textId="77777777" w:rsidTr="003A71DE">
        <w:trPr>
          <w:cantSplit/>
          <w:jc w:val="center"/>
        </w:trPr>
        <w:tc>
          <w:tcPr>
            <w:tcW w:w="1007" w:type="dxa"/>
            <w:vMerge w:val="restart"/>
            <w:vAlign w:val="center"/>
          </w:tcPr>
          <w:p w14:paraId="08DC5467" w14:textId="77777777" w:rsidR="00241417" w:rsidRPr="0039343F" w:rsidRDefault="00241417" w:rsidP="003A71DE">
            <w:pPr>
              <w:pStyle w:val="TAC"/>
            </w:pPr>
            <w:r w:rsidRPr="0039343F">
              <w:t>2</w:t>
            </w:r>
          </w:p>
        </w:tc>
        <w:tc>
          <w:tcPr>
            <w:tcW w:w="1093" w:type="dxa"/>
            <w:vMerge w:val="restart"/>
            <w:vAlign w:val="center"/>
          </w:tcPr>
          <w:p w14:paraId="079E99B6" w14:textId="77777777" w:rsidR="00241417" w:rsidRPr="0039343F" w:rsidRDefault="00241417" w:rsidP="003A71DE">
            <w:pPr>
              <w:pStyle w:val="TAC"/>
            </w:pPr>
            <w:r w:rsidRPr="0039343F">
              <w:t>2</w:t>
            </w:r>
          </w:p>
        </w:tc>
        <w:tc>
          <w:tcPr>
            <w:tcW w:w="1985" w:type="dxa"/>
            <w:vAlign w:val="center"/>
          </w:tcPr>
          <w:p w14:paraId="6A7B879F" w14:textId="77777777" w:rsidR="00241417" w:rsidRPr="0039343F" w:rsidRDefault="00241417" w:rsidP="003A71DE">
            <w:pPr>
              <w:pStyle w:val="TAC"/>
            </w:pPr>
            <w:r w:rsidRPr="0039343F">
              <w:t>TDLB100-400 Low</w:t>
            </w:r>
          </w:p>
        </w:tc>
        <w:tc>
          <w:tcPr>
            <w:tcW w:w="1570" w:type="dxa"/>
            <w:vAlign w:val="center"/>
          </w:tcPr>
          <w:p w14:paraId="200EDAEC" w14:textId="77777777" w:rsidR="00241417" w:rsidRPr="0039343F" w:rsidRDefault="00241417" w:rsidP="003A71DE">
            <w:pPr>
              <w:pStyle w:val="TAC"/>
            </w:pPr>
            <w:r>
              <w:rPr>
                <w:lang w:eastAsia="zh-CN"/>
              </w:rPr>
              <w:t>D-FR1-A.2.1-12</w:t>
            </w:r>
          </w:p>
        </w:tc>
        <w:tc>
          <w:tcPr>
            <w:tcW w:w="1265" w:type="dxa"/>
            <w:vAlign w:val="center"/>
          </w:tcPr>
          <w:p w14:paraId="74F14262" w14:textId="77777777" w:rsidR="00241417" w:rsidRPr="0039343F" w:rsidRDefault="00241417" w:rsidP="003A71DE">
            <w:pPr>
              <w:pStyle w:val="TAC"/>
            </w:pPr>
            <w:r w:rsidRPr="0039343F">
              <w:t>pos1</w:t>
            </w:r>
          </w:p>
        </w:tc>
        <w:tc>
          <w:tcPr>
            <w:tcW w:w="1134" w:type="dxa"/>
            <w:vAlign w:val="center"/>
          </w:tcPr>
          <w:p w14:paraId="668CA1B6" w14:textId="77777777" w:rsidR="00241417" w:rsidRPr="0039343F" w:rsidRDefault="00241417" w:rsidP="003A71DE">
            <w:pPr>
              <w:pStyle w:val="TAC"/>
            </w:pPr>
            <w:r w:rsidRPr="0039343F">
              <w:t>1.3</w:t>
            </w:r>
          </w:p>
        </w:tc>
      </w:tr>
      <w:tr w:rsidR="00241417" w:rsidRPr="0039343F" w14:paraId="1A4419BD" w14:textId="77777777" w:rsidTr="003A71DE">
        <w:trPr>
          <w:cantSplit/>
          <w:jc w:val="center"/>
        </w:trPr>
        <w:tc>
          <w:tcPr>
            <w:tcW w:w="1007" w:type="dxa"/>
            <w:vMerge/>
            <w:vAlign w:val="center"/>
          </w:tcPr>
          <w:p w14:paraId="64A3294B" w14:textId="77777777" w:rsidR="00241417" w:rsidRPr="0039343F" w:rsidRDefault="00241417" w:rsidP="003A71DE">
            <w:pPr>
              <w:pStyle w:val="TAC"/>
            </w:pPr>
          </w:p>
        </w:tc>
        <w:tc>
          <w:tcPr>
            <w:tcW w:w="1093" w:type="dxa"/>
            <w:vMerge/>
            <w:tcBorders>
              <w:bottom w:val="single" w:sz="4" w:space="0" w:color="auto"/>
            </w:tcBorders>
            <w:vAlign w:val="center"/>
          </w:tcPr>
          <w:p w14:paraId="6274109D" w14:textId="77777777" w:rsidR="00241417" w:rsidRPr="0039343F" w:rsidRDefault="00241417" w:rsidP="003A71DE">
            <w:pPr>
              <w:pStyle w:val="TAC"/>
            </w:pPr>
          </w:p>
        </w:tc>
        <w:tc>
          <w:tcPr>
            <w:tcW w:w="1985" w:type="dxa"/>
            <w:vAlign w:val="center"/>
          </w:tcPr>
          <w:p w14:paraId="19AE463B" w14:textId="77777777" w:rsidR="00241417" w:rsidRPr="0039343F" w:rsidRDefault="00241417" w:rsidP="003A71DE">
            <w:pPr>
              <w:pStyle w:val="TAC"/>
            </w:pPr>
            <w:r w:rsidRPr="0039343F">
              <w:t>TDLC300-100 Low</w:t>
            </w:r>
          </w:p>
        </w:tc>
        <w:tc>
          <w:tcPr>
            <w:tcW w:w="1570" w:type="dxa"/>
            <w:vAlign w:val="center"/>
          </w:tcPr>
          <w:p w14:paraId="4DC90E30" w14:textId="77777777" w:rsidR="00241417" w:rsidRPr="0039343F" w:rsidRDefault="00241417" w:rsidP="003A71DE">
            <w:pPr>
              <w:pStyle w:val="TAC"/>
              <w:rPr>
                <w:lang w:eastAsia="zh-CN"/>
              </w:rPr>
            </w:pPr>
            <w:r>
              <w:rPr>
                <w:lang w:eastAsia="zh-CN"/>
              </w:rPr>
              <w:t>D-FR1-A.2.3-12</w:t>
            </w:r>
          </w:p>
        </w:tc>
        <w:tc>
          <w:tcPr>
            <w:tcW w:w="1265" w:type="dxa"/>
            <w:vAlign w:val="center"/>
          </w:tcPr>
          <w:p w14:paraId="35322F97" w14:textId="77777777" w:rsidR="00241417" w:rsidRPr="0039343F" w:rsidRDefault="00241417" w:rsidP="003A71DE">
            <w:pPr>
              <w:pStyle w:val="TAC"/>
            </w:pPr>
            <w:r w:rsidRPr="0039343F">
              <w:t>pos1</w:t>
            </w:r>
          </w:p>
        </w:tc>
        <w:tc>
          <w:tcPr>
            <w:tcW w:w="1134" w:type="dxa"/>
            <w:vAlign w:val="center"/>
          </w:tcPr>
          <w:p w14:paraId="615879C3" w14:textId="77777777" w:rsidR="00241417" w:rsidRPr="0039343F" w:rsidRDefault="00241417" w:rsidP="003A71DE">
            <w:pPr>
              <w:pStyle w:val="TAC"/>
            </w:pPr>
            <w:r w:rsidRPr="0039343F">
              <w:t>18.1</w:t>
            </w:r>
          </w:p>
        </w:tc>
      </w:tr>
      <w:tr w:rsidR="00241417" w:rsidRPr="0039343F" w14:paraId="5EA54B25" w14:textId="77777777" w:rsidTr="003A71DE">
        <w:trPr>
          <w:cantSplit/>
          <w:jc w:val="center"/>
        </w:trPr>
        <w:tc>
          <w:tcPr>
            <w:tcW w:w="1007" w:type="dxa"/>
            <w:vMerge/>
            <w:vAlign w:val="center"/>
          </w:tcPr>
          <w:p w14:paraId="419C30B7" w14:textId="77777777" w:rsidR="00241417" w:rsidRPr="0039343F" w:rsidRDefault="00241417" w:rsidP="003A71DE">
            <w:pPr>
              <w:pStyle w:val="TAC"/>
            </w:pPr>
          </w:p>
        </w:tc>
        <w:tc>
          <w:tcPr>
            <w:tcW w:w="1093" w:type="dxa"/>
            <w:vMerge w:val="restart"/>
            <w:tcBorders>
              <w:top w:val="single" w:sz="4" w:space="0" w:color="auto"/>
            </w:tcBorders>
            <w:vAlign w:val="center"/>
          </w:tcPr>
          <w:p w14:paraId="2005BA25" w14:textId="77777777" w:rsidR="00241417" w:rsidRPr="0039343F" w:rsidRDefault="00241417" w:rsidP="003A71DE">
            <w:pPr>
              <w:pStyle w:val="TAC"/>
            </w:pPr>
            <w:r w:rsidRPr="0039343F">
              <w:t>4</w:t>
            </w:r>
          </w:p>
        </w:tc>
        <w:tc>
          <w:tcPr>
            <w:tcW w:w="1985" w:type="dxa"/>
            <w:vAlign w:val="center"/>
          </w:tcPr>
          <w:p w14:paraId="16C2D2DE" w14:textId="77777777" w:rsidR="00241417" w:rsidRPr="0039343F" w:rsidRDefault="00241417" w:rsidP="003A71DE">
            <w:pPr>
              <w:pStyle w:val="TAC"/>
            </w:pPr>
            <w:r w:rsidRPr="0039343F">
              <w:t>TDLB100-400 Low</w:t>
            </w:r>
          </w:p>
        </w:tc>
        <w:tc>
          <w:tcPr>
            <w:tcW w:w="1570" w:type="dxa"/>
            <w:vAlign w:val="center"/>
          </w:tcPr>
          <w:p w14:paraId="4B2055AE" w14:textId="77777777" w:rsidR="00241417" w:rsidRPr="0039343F" w:rsidRDefault="00241417" w:rsidP="003A71DE">
            <w:pPr>
              <w:pStyle w:val="TAC"/>
              <w:rPr>
                <w:lang w:eastAsia="zh-CN"/>
              </w:rPr>
            </w:pPr>
            <w:r>
              <w:rPr>
                <w:lang w:eastAsia="zh-CN"/>
              </w:rPr>
              <w:t>D-FR1-A.2.1-12</w:t>
            </w:r>
          </w:p>
        </w:tc>
        <w:tc>
          <w:tcPr>
            <w:tcW w:w="1265" w:type="dxa"/>
            <w:vAlign w:val="center"/>
          </w:tcPr>
          <w:p w14:paraId="3283D58B" w14:textId="77777777" w:rsidR="00241417" w:rsidRPr="0039343F" w:rsidRDefault="00241417" w:rsidP="003A71DE">
            <w:pPr>
              <w:pStyle w:val="TAC"/>
            </w:pPr>
            <w:r w:rsidRPr="0039343F">
              <w:t>pos1</w:t>
            </w:r>
          </w:p>
        </w:tc>
        <w:tc>
          <w:tcPr>
            <w:tcW w:w="1134" w:type="dxa"/>
            <w:vAlign w:val="center"/>
          </w:tcPr>
          <w:p w14:paraId="06A40D77" w14:textId="77777777" w:rsidR="00241417" w:rsidRPr="0039343F" w:rsidRDefault="00241417" w:rsidP="003A71DE">
            <w:pPr>
              <w:pStyle w:val="TAC"/>
            </w:pPr>
            <w:r w:rsidRPr="0039343F">
              <w:t>-2.2</w:t>
            </w:r>
          </w:p>
        </w:tc>
      </w:tr>
      <w:tr w:rsidR="00241417" w:rsidRPr="0039343F" w14:paraId="6C9528F8" w14:textId="77777777" w:rsidTr="003A71DE">
        <w:trPr>
          <w:cantSplit/>
          <w:jc w:val="center"/>
        </w:trPr>
        <w:tc>
          <w:tcPr>
            <w:tcW w:w="1007" w:type="dxa"/>
            <w:vMerge/>
            <w:vAlign w:val="center"/>
          </w:tcPr>
          <w:p w14:paraId="0640BE22" w14:textId="77777777" w:rsidR="00241417" w:rsidRPr="0039343F" w:rsidRDefault="00241417" w:rsidP="003A71DE">
            <w:pPr>
              <w:pStyle w:val="TAC"/>
            </w:pPr>
          </w:p>
        </w:tc>
        <w:tc>
          <w:tcPr>
            <w:tcW w:w="1093" w:type="dxa"/>
            <w:vMerge/>
            <w:tcBorders>
              <w:bottom w:val="single" w:sz="4" w:space="0" w:color="auto"/>
            </w:tcBorders>
            <w:vAlign w:val="center"/>
          </w:tcPr>
          <w:p w14:paraId="7CCAE335" w14:textId="77777777" w:rsidR="00241417" w:rsidRPr="0039343F" w:rsidRDefault="00241417" w:rsidP="003A71DE">
            <w:pPr>
              <w:pStyle w:val="TAC"/>
            </w:pPr>
          </w:p>
        </w:tc>
        <w:tc>
          <w:tcPr>
            <w:tcW w:w="1985" w:type="dxa"/>
            <w:vAlign w:val="center"/>
          </w:tcPr>
          <w:p w14:paraId="0E7B65B0" w14:textId="77777777" w:rsidR="00241417" w:rsidRPr="0039343F" w:rsidRDefault="00241417" w:rsidP="003A71DE">
            <w:pPr>
              <w:pStyle w:val="TAC"/>
            </w:pPr>
            <w:r w:rsidRPr="0039343F">
              <w:t>TDLC300-100 Low</w:t>
            </w:r>
          </w:p>
        </w:tc>
        <w:tc>
          <w:tcPr>
            <w:tcW w:w="1570" w:type="dxa"/>
            <w:vAlign w:val="center"/>
          </w:tcPr>
          <w:p w14:paraId="2EF8C71D" w14:textId="77777777" w:rsidR="00241417" w:rsidRPr="0039343F" w:rsidRDefault="00241417" w:rsidP="003A71DE">
            <w:pPr>
              <w:pStyle w:val="TAC"/>
              <w:rPr>
                <w:lang w:eastAsia="zh-CN"/>
              </w:rPr>
            </w:pPr>
            <w:r>
              <w:rPr>
                <w:lang w:eastAsia="zh-CN"/>
              </w:rPr>
              <w:t>D-FR1-A.2.3-12</w:t>
            </w:r>
          </w:p>
        </w:tc>
        <w:tc>
          <w:tcPr>
            <w:tcW w:w="1265" w:type="dxa"/>
            <w:vAlign w:val="center"/>
          </w:tcPr>
          <w:p w14:paraId="18FB6387" w14:textId="77777777" w:rsidR="00241417" w:rsidRPr="0039343F" w:rsidRDefault="00241417" w:rsidP="003A71DE">
            <w:pPr>
              <w:pStyle w:val="TAC"/>
            </w:pPr>
            <w:r w:rsidRPr="0039343F">
              <w:t>pos1</w:t>
            </w:r>
          </w:p>
        </w:tc>
        <w:tc>
          <w:tcPr>
            <w:tcW w:w="1134" w:type="dxa"/>
            <w:vAlign w:val="center"/>
          </w:tcPr>
          <w:p w14:paraId="7F25EA29" w14:textId="77777777" w:rsidR="00241417" w:rsidRPr="0039343F" w:rsidRDefault="00241417" w:rsidP="003A71DE">
            <w:pPr>
              <w:pStyle w:val="TAC"/>
            </w:pPr>
            <w:r w:rsidRPr="0039343F">
              <w:t>11.3</w:t>
            </w:r>
          </w:p>
        </w:tc>
      </w:tr>
      <w:tr w:rsidR="00241417" w:rsidRPr="0039343F" w14:paraId="73AB3F83" w14:textId="77777777" w:rsidTr="003A71DE">
        <w:trPr>
          <w:cantSplit/>
          <w:jc w:val="center"/>
        </w:trPr>
        <w:tc>
          <w:tcPr>
            <w:tcW w:w="1007" w:type="dxa"/>
            <w:vMerge/>
            <w:vAlign w:val="center"/>
          </w:tcPr>
          <w:p w14:paraId="31519886" w14:textId="77777777" w:rsidR="00241417" w:rsidRPr="0039343F" w:rsidRDefault="00241417" w:rsidP="003A71DE">
            <w:pPr>
              <w:pStyle w:val="TAC"/>
            </w:pPr>
          </w:p>
        </w:tc>
        <w:tc>
          <w:tcPr>
            <w:tcW w:w="1093" w:type="dxa"/>
            <w:vMerge w:val="restart"/>
            <w:tcBorders>
              <w:top w:val="single" w:sz="4" w:space="0" w:color="auto"/>
            </w:tcBorders>
            <w:vAlign w:val="center"/>
          </w:tcPr>
          <w:p w14:paraId="22550BD9" w14:textId="77777777" w:rsidR="00241417" w:rsidRPr="0039343F" w:rsidRDefault="00241417" w:rsidP="003A71DE">
            <w:pPr>
              <w:pStyle w:val="TAC"/>
            </w:pPr>
            <w:r w:rsidRPr="0039343F">
              <w:t>8</w:t>
            </w:r>
          </w:p>
        </w:tc>
        <w:tc>
          <w:tcPr>
            <w:tcW w:w="1985" w:type="dxa"/>
            <w:vAlign w:val="center"/>
          </w:tcPr>
          <w:p w14:paraId="33B43C08" w14:textId="77777777" w:rsidR="00241417" w:rsidRPr="0039343F" w:rsidRDefault="00241417" w:rsidP="003A71DE">
            <w:pPr>
              <w:pStyle w:val="TAC"/>
            </w:pPr>
            <w:r w:rsidRPr="0039343F">
              <w:t>TDLB100-400 Low</w:t>
            </w:r>
          </w:p>
        </w:tc>
        <w:tc>
          <w:tcPr>
            <w:tcW w:w="1570" w:type="dxa"/>
            <w:vAlign w:val="center"/>
          </w:tcPr>
          <w:p w14:paraId="246FBB3A" w14:textId="77777777" w:rsidR="00241417" w:rsidRPr="0039343F" w:rsidRDefault="00241417" w:rsidP="003A71DE">
            <w:pPr>
              <w:pStyle w:val="TAC"/>
              <w:rPr>
                <w:lang w:eastAsia="zh-CN"/>
              </w:rPr>
            </w:pPr>
            <w:r>
              <w:rPr>
                <w:lang w:eastAsia="zh-CN"/>
              </w:rPr>
              <w:t>D-FR1-A.2.1-12</w:t>
            </w:r>
          </w:p>
        </w:tc>
        <w:tc>
          <w:tcPr>
            <w:tcW w:w="1265" w:type="dxa"/>
            <w:vAlign w:val="center"/>
          </w:tcPr>
          <w:p w14:paraId="6D6E5C03" w14:textId="77777777" w:rsidR="00241417" w:rsidRPr="0039343F" w:rsidRDefault="00241417" w:rsidP="003A71DE">
            <w:pPr>
              <w:pStyle w:val="TAC"/>
            </w:pPr>
            <w:r w:rsidRPr="0039343F">
              <w:t>pos1</w:t>
            </w:r>
          </w:p>
        </w:tc>
        <w:tc>
          <w:tcPr>
            <w:tcW w:w="1134" w:type="dxa"/>
            <w:vAlign w:val="center"/>
          </w:tcPr>
          <w:p w14:paraId="3DCCC4EB" w14:textId="77777777" w:rsidR="00241417" w:rsidRPr="0039343F" w:rsidRDefault="00241417" w:rsidP="003A71DE">
            <w:pPr>
              <w:pStyle w:val="TAC"/>
            </w:pPr>
            <w:r w:rsidRPr="0039343F">
              <w:t>-5.3</w:t>
            </w:r>
          </w:p>
        </w:tc>
      </w:tr>
      <w:tr w:rsidR="00241417" w:rsidRPr="0039343F" w14:paraId="28C41E63" w14:textId="77777777" w:rsidTr="003A71DE">
        <w:trPr>
          <w:cantSplit/>
          <w:jc w:val="center"/>
        </w:trPr>
        <w:tc>
          <w:tcPr>
            <w:tcW w:w="1007" w:type="dxa"/>
            <w:vMerge/>
            <w:vAlign w:val="center"/>
          </w:tcPr>
          <w:p w14:paraId="0BB0841F" w14:textId="77777777" w:rsidR="00241417" w:rsidRPr="0039343F" w:rsidRDefault="00241417" w:rsidP="003A71DE">
            <w:pPr>
              <w:pStyle w:val="TAC"/>
            </w:pPr>
          </w:p>
        </w:tc>
        <w:tc>
          <w:tcPr>
            <w:tcW w:w="1093" w:type="dxa"/>
            <w:vMerge/>
            <w:vAlign w:val="center"/>
          </w:tcPr>
          <w:p w14:paraId="0DC952BC" w14:textId="77777777" w:rsidR="00241417" w:rsidRPr="0039343F" w:rsidRDefault="00241417" w:rsidP="003A71DE">
            <w:pPr>
              <w:pStyle w:val="TAC"/>
            </w:pPr>
          </w:p>
        </w:tc>
        <w:tc>
          <w:tcPr>
            <w:tcW w:w="1985" w:type="dxa"/>
            <w:vAlign w:val="center"/>
          </w:tcPr>
          <w:p w14:paraId="7F77B5FB" w14:textId="77777777" w:rsidR="00241417" w:rsidRPr="0039343F" w:rsidRDefault="00241417" w:rsidP="003A71DE">
            <w:pPr>
              <w:pStyle w:val="TAC"/>
            </w:pPr>
            <w:r w:rsidRPr="0039343F">
              <w:t>TDLC300-100 Low</w:t>
            </w:r>
          </w:p>
        </w:tc>
        <w:tc>
          <w:tcPr>
            <w:tcW w:w="1570" w:type="dxa"/>
            <w:vAlign w:val="center"/>
          </w:tcPr>
          <w:p w14:paraId="2E8D6D86" w14:textId="77777777" w:rsidR="00241417" w:rsidRPr="0039343F" w:rsidRDefault="00241417" w:rsidP="003A71DE">
            <w:pPr>
              <w:pStyle w:val="TAC"/>
              <w:rPr>
                <w:lang w:eastAsia="zh-CN"/>
              </w:rPr>
            </w:pPr>
            <w:r>
              <w:rPr>
                <w:lang w:eastAsia="zh-CN"/>
              </w:rPr>
              <w:t>D-FR1-A.2.3-12</w:t>
            </w:r>
          </w:p>
        </w:tc>
        <w:tc>
          <w:tcPr>
            <w:tcW w:w="1265" w:type="dxa"/>
            <w:vAlign w:val="center"/>
          </w:tcPr>
          <w:p w14:paraId="02AF7398" w14:textId="77777777" w:rsidR="00241417" w:rsidRPr="0039343F" w:rsidRDefault="00241417" w:rsidP="003A71DE">
            <w:pPr>
              <w:pStyle w:val="TAC"/>
            </w:pPr>
            <w:r w:rsidRPr="0039343F">
              <w:t>pos1</w:t>
            </w:r>
          </w:p>
        </w:tc>
        <w:tc>
          <w:tcPr>
            <w:tcW w:w="1134" w:type="dxa"/>
            <w:vAlign w:val="center"/>
          </w:tcPr>
          <w:p w14:paraId="1FF22D64" w14:textId="77777777" w:rsidR="00241417" w:rsidRPr="0039343F" w:rsidRDefault="00241417" w:rsidP="003A71DE">
            <w:pPr>
              <w:pStyle w:val="TAC"/>
            </w:pPr>
            <w:r w:rsidRPr="0039343F">
              <w:t>6.9</w:t>
            </w:r>
          </w:p>
        </w:tc>
      </w:tr>
    </w:tbl>
    <w:p w14:paraId="06CE8A45" w14:textId="77777777" w:rsidR="00241417" w:rsidRPr="0039343F" w:rsidRDefault="00241417" w:rsidP="00241417">
      <w:pPr>
        <w:rPr>
          <w:lang w:eastAsia="zh-CN"/>
        </w:rPr>
      </w:pPr>
    </w:p>
    <w:p w14:paraId="3C9B256D" w14:textId="77777777" w:rsidR="00241417" w:rsidRPr="00920E66" w:rsidRDefault="00241417" w:rsidP="00241417">
      <w:pPr>
        <w:pStyle w:val="TH"/>
        <w:rPr>
          <w:lang w:eastAsia="zh-CN"/>
        </w:rPr>
      </w:pPr>
      <w:r w:rsidRPr="00920E66">
        <w:t>Table 8.1.2.1.2-6: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A, 40 MHz channel bandwidth</w:t>
      </w:r>
      <w:r w:rsidRPr="00920E66">
        <w:rPr>
          <w:lang w:eastAsia="zh-CN"/>
        </w:rPr>
        <w:t>, 30 kHz SCS</w:t>
      </w:r>
    </w:p>
    <w:tbl>
      <w:tblPr>
        <w:tblStyle w:val="TableGrid7"/>
        <w:tblW w:w="0" w:type="auto"/>
        <w:jc w:val="center"/>
        <w:tblLook w:val="04A0" w:firstRow="1" w:lastRow="0" w:firstColumn="1" w:lastColumn="0" w:noHBand="0" w:noVBand="1"/>
      </w:tblPr>
      <w:tblGrid>
        <w:gridCol w:w="1007"/>
        <w:gridCol w:w="1416"/>
        <w:gridCol w:w="1825"/>
        <w:gridCol w:w="1559"/>
        <w:gridCol w:w="1276"/>
        <w:gridCol w:w="850"/>
      </w:tblGrid>
      <w:tr w:rsidR="00241417" w:rsidRPr="0039343F" w14:paraId="1121CB15" w14:textId="77777777" w:rsidTr="003A71DE">
        <w:trPr>
          <w:cantSplit/>
          <w:jc w:val="center"/>
        </w:trPr>
        <w:tc>
          <w:tcPr>
            <w:tcW w:w="1007" w:type="dxa"/>
            <w:tcBorders>
              <w:bottom w:val="single" w:sz="4" w:space="0" w:color="auto"/>
            </w:tcBorders>
            <w:vAlign w:val="center"/>
          </w:tcPr>
          <w:p w14:paraId="26F78E75" w14:textId="77777777" w:rsidR="00241417" w:rsidRPr="0039343F" w:rsidRDefault="00241417" w:rsidP="003A71DE">
            <w:pPr>
              <w:pStyle w:val="TAH"/>
            </w:pPr>
            <w:r w:rsidRPr="0039343F">
              <w:t>Number of TX antennas</w:t>
            </w:r>
          </w:p>
        </w:tc>
        <w:tc>
          <w:tcPr>
            <w:tcW w:w="1416" w:type="dxa"/>
            <w:tcBorders>
              <w:bottom w:val="single" w:sz="4" w:space="0" w:color="auto"/>
            </w:tcBorders>
            <w:vAlign w:val="center"/>
          </w:tcPr>
          <w:p w14:paraId="0220D967" w14:textId="77777777" w:rsidR="00241417" w:rsidRPr="0039343F" w:rsidRDefault="00241417" w:rsidP="003A71DE">
            <w:pPr>
              <w:pStyle w:val="TAH"/>
            </w:pPr>
            <w:r w:rsidRPr="0039343F">
              <w:t xml:space="preserve">Number of </w:t>
            </w:r>
            <w:r>
              <w:t>Demodulation Branches</w:t>
            </w:r>
          </w:p>
        </w:tc>
        <w:tc>
          <w:tcPr>
            <w:tcW w:w="1825" w:type="dxa"/>
            <w:vAlign w:val="center"/>
          </w:tcPr>
          <w:p w14:paraId="4140EF0D" w14:textId="414E7E72" w:rsidR="00241417" w:rsidRPr="0039343F" w:rsidRDefault="00241417" w:rsidP="003A71DE">
            <w:pPr>
              <w:pStyle w:val="TAH"/>
            </w:pPr>
            <w:r w:rsidRPr="0039343F">
              <w:t xml:space="preserve">Propagation conditions and correlation matrix (Annex </w:t>
            </w:r>
            <w:r>
              <w:t>TBA</w:t>
            </w:r>
            <w:r w:rsidRPr="0039343F">
              <w:t>)</w:t>
            </w:r>
          </w:p>
        </w:tc>
        <w:tc>
          <w:tcPr>
            <w:tcW w:w="1559" w:type="dxa"/>
            <w:vAlign w:val="center"/>
          </w:tcPr>
          <w:p w14:paraId="731FAD20" w14:textId="77777777" w:rsidR="00241417" w:rsidRPr="0039343F" w:rsidRDefault="00241417" w:rsidP="003A71DE">
            <w:pPr>
              <w:pStyle w:val="TAH"/>
            </w:pPr>
            <w:r>
              <w:t>FRC</w:t>
            </w:r>
            <w:r>
              <w:br/>
              <w:t>(Annex A)</w:t>
            </w:r>
          </w:p>
        </w:tc>
        <w:tc>
          <w:tcPr>
            <w:tcW w:w="1276" w:type="dxa"/>
            <w:vAlign w:val="center"/>
          </w:tcPr>
          <w:p w14:paraId="21418895" w14:textId="77777777" w:rsidR="00241417" w:rsidRPr="0039343F" w:rsidRDefault="00241417" w:rsidP="003A71DE">
            <w:pPr>
              <w:pStyle w:val="TAH"/>
            </w:pPr>
            <w:r w:rsidRPr="0039343F">
              <w:t>Additional DM-RS position</w:t>
            </w:r>
          </w:p>
        </w:tc>
        <w:tc>
          <w:tcPr>
            <w:tcW w:w="850" w:type="dxa"/>
            <w:vAlign w:val="center"/>
          </w:tcPr>
          <w:p w14:paraId="6A217B97" w14:textId="77777777" w:rsidR="00241417" w:rsidRPr="0039343F" w:rsidRDefault="00241417" w:rsidP="003A71DE">
            <w:pPr>
              <w:pStyle w:val="TAH"/>
            </w:pPr>
            <w:r w:rsidRPr="0039343F">
              <w:t>SNR</w:t>
            </w:r>
          </w:p>
          <w:p w14:paraId="218F4A4A" w14:textId="77777777" w:rsidR="00241417" w:rsidRPr="0039343F" w:rsidRDefault="00241417" w:rsidP="003A71DE">
            <w:pPr>
              <w:pStyle w:val="TAH"/>
            </w:pPr>
            <w:r w:rsidRPr="0039343F">
              <w:t>(dB)</w:t>
            </w:r>
          </w:p>
        </w:tc>
      </w:tr>
      <w:tr w:rsidR="00241417" w:rsidRPr="0039343F" w14:paraId="46FEA76D" w14:textId="77777777" w:rsidTr="003A71DE">
        <w:trPr>
          <w:cantSplit/>
          <w:jc w:val="center"/>
        </w:trPr>
        <w:tc>
          <w:tcPr>
            <w:tcW w:w="1007" w:type="dxa"/>
            <w:vMerge w:val="restart"/>
            <w:vAlign w:val="center"/>
          </w:tcPr>
          <w:p w14:paraId="5878A212" w14:textId="77777777" w:rsidR="00241417" w:rsidRPr="0039343F" w:rsidRDefault="00241417" w:rsidP="003A71DE">
            <w:pPr>
              <w:pStyle w:val="TAC"/>
            </w:pPr>
            <w:r w:rsidRPr="0039343F">
              <w:t>1</w:t>
            </w:r>
          </w:p>
        </w:tc>
        <w:tc>
          <w:tcPr>
            <w:tcW w:w="1416" w:type="dxa"/>
            <w:vMerge w:val="restart"/>
            <w:vAlign w:val="center"/>
          </w:tcPr>
          <w:p w14:paraId="26EE6448" w14:textId="77777777" w:rsidR="00241417" w:rsidRPr="0039343F" w:rsidRDefault="00241417" w:rsidP="003A71DE">
            <w:pPr>
              <w:pStyle w:val="TAC"/>
            </w:pPr>
            <w:r w:rsidRPr="0039343F">
              <w:t>2</w:t>
            </w:r>
          </w:p>
        </w:tc>
        <w:tc>
          <w:tcPr>
            <w:tcW w:w="1825" w:type="dxa"/>
            <w:vAlign w:val="center"/>
          </w:tcPr>
          <w:p w14:paraId="2289EC89" w14:textId="77777777" w:rsidR="00241417" w:rsidRPr="0039343F" w:rsidRDefault="00241417" w:rsidP="003A71DE">
            <w:pPr>
              <w:pStyle w:val="TAC"/>
            </w:pPr>
            <w:r w:rsidRPr="0039343F">
              <w:t>TDLB100-400 Low</w:t>
            </w:r>
          </w:p>
        </w:tc>
        <w:tc>
          <w:tcPr>
            <w:tcW w:w="1559" w:type="dxa"/>
            <w:vAlign w:val="center"/>
          </w:tcPr>
          <w:p w14:paraId="2043F719" w14:textId="77777777" w:rsidR="00241417" w:rsidRPr="0039343F" w:rsidRDefault="00241417" w:rsidP="003A71DE">
            <w:pPr>
              <w:pStyle w:val="TAC"/>
            </w:pPr>
            <w:r>
              <w:rPr>
                <w:lang w:val="en-US"/>
              </w:rPr>
              <w:t>D-FR1-A.2.1-6</w:t>
            </w:r>
          </w:p>
        </w:tc>
        <w:tc>
          <w:tcPr>
            <w:tcW w:w="1276" w:type="dxa"/>
            <w:vAlign w:val="center"/>
          </w:tcPr>
          <w:p w14:paraId="6A6B3DD1" w14:textId="77777777" w:rsidR="00241417" w:rsidRPr="0039343F" w:rsidRDefault="00241417" w:rsidP="003A71DE">
            <w:pPr>
              <w:pStyle w:val="TAC"/>
            </w:pPr>
            <w:r w:rsidRPr="0039343F">
              <w:t>pos1</w:t>
            </w:r>
          </w:p>
        </w:tc>
        <w:tc>
          <w:tcPr>
            <w:tcW w:w="850" w:type="dxa"/>
            <w:vAlign w:val="center"/>
          </w:tcPr>
          <w:p w14:paraId="2F2F5C8F" w14:textId="77777777" w:rsidR="00241417" w:rsidRPr="0039343F" w:rsidRDefault="00241417" w:rsidP="003A71DE">
            <w:pPr>
              <w:pStyle w:val="TAC"/>
            </w:pPr>
            <w:r w:rsidRPr="0039343F">
              <w:t>-2.5</w:t>
            </w:r>
          </w:p>
        </w:tc>
      </w:tr>
      <w:tr w:rsidR="00241417" w:rsidRPr="0039343F" w14:paraId="2435CEAB" w14:textId="77777777" w:rsidTr="003A71DE">
        <w:trPr>
          <w:cantSplit/>
          <w:jc w:val="center"/>
        </w:trPr>
        <w:tc>
          <w:tcPr>
            <w:tcW w:w="1007" w:type="dxa"/>
            <w:vMerge/>
            <w:vAlign w:val="center"/>
          </w:tcPr>
          <w:p w14:paraId="3269D365" w14:textId="77777777" w:rsidR="00241417" w:rsidRPr="0039343F" w:rsidRDefault="00241417" w:rsidP="003A71DE">
            <w:pPr>
              <w:pStyle w:val="TAC"/>
            </w:pPr>
          </w:p>
        </w:tc>
        <w:tc>
          <w:tcPr>
            <w:tcW w:w="1416" w:type="dxa"/>
            <w:vMerge/>
            <w:vAlign w:val="center"/>
          </w:tcPr>
          <w:p w14:paraId="20DF9885" w14:textId="77777777" w:rsidR="00241417" w:rsidRPr="0039343F" w:rsidRDefault="00241417" w:rsidP="003A71DE">
            <w:pPr>
              <w:pStyle w:val="TAC"/>
            </w:pPr>
          </w:p>
        </w:tc>
        <w:tc>
          <w:tcPr>
            <w:tcW w:w="1825" w:type="dxa"/>
            <w:vAlign w:val="center"/>
          </w:tcPr>
          <w:p w14:paraId="3CEADD17" w14:textId="77777777" w:rsidR="00241417" w:rsidRPr="0039343F" w:rsidRDefault="00241417" w:rsidP="003A71DE">
            <w:pPr>
              <w:pStyle w:val="TAC"/>
            </w:pPr>
            <w:r w:rsidRPr="0039343F">
              <w:t>TDLC300-100 Low</w:t>
            </w:r>
          </w:p>
        </w:tc>
        <w:tc>
          <w:tcPr>
            <w:tcW w:w="1559" w:type="dxa"/>
            <w:vAlign w:val="center"/>
          </w:tcPr>
          <w:p w14:paraId="19308CBB" w14:textId="77777777" w:rsidR="00241417" w:rsidRPr="0039343F" w:rsidRDefault="00241417" w:rsidP="003A71DE">
            <w:pPr>
              <w:pStyle w:val="TAC"/>
            </w:pPr>
            <w:r>
              <w:rPr>
                <w:lang w:val="en-US"/>
              </w:rPr>
              <w:t>D-FR1-A.2.3-6</w:t>
            </w:r>
          </w:p>
        </w:tc>
        <w:tc>
          <w:tcPr>
            <w:tcW w:w="1276" w:type="dxa"/>
            <w:vAlign w:val="center"/>
          </w:tcPr>
          <w:p w14:paraId="76939F72" w14:textId="77777777" w:rsidR="00241417" w:rsidRPr="0039343F" w:rsidRDefault="00241417" w:rsidP="003A71DE">
            <w:pPr>
              <w:pStyle w:val="TAC"/>
            </w:pPr>
            <w:r w:rsidRPr="0039343F">
              <w:t>pos1</w:t>
            </w:r>
          </w:p>
        </w:tc>
        <w:tc>
          <w:tcPr>
            <w:tcW w:w="850" w:type="dxa"/>
            <w:vAlign w:val="center"/>
          </w:tcPr>
          <w:p w14:paraId="1858DD7D" w14:textId="77777777" w:rsidR="00241417" w:rsidRPr="0039343F" w:rsidRDefault="00241417" w:rsidP="003A71DE">
            <w:pPr>
              <w:pStyle w:val="TAC"/>
            </w:pPr>
            <w:r w:rsidRPr="0039343F">
              <w:t>10.0</w:t>
            </w:r>
          </w:p>
        </w:tc>
      </w:tr>
      <w:tr w:rsidR="00241417" w:rsidRPr="0039343F" w14:paraId="13A5A516" w14:textId="77777777" w:rsidTr="003A71DE">
        <w:trPr>
          <w:cantSplit/>
          <w:jc w:val="center"/>
        </w:trPr>
        <w:tc>
          <w:tcPr>
            <w:tcW w:w="1007" w:type="dxa"/>
            <w:vMerge/>
            <w:vAlign w:val="center"/>
          </w:tcPr>
          <w:p w14:paraId="3F4629D2" w14:textId="77777777" w:rsidR="00241417" w:rsidRPr="0039343F" w:rsidRDefault="00241417" w:rsidP="003A71DE">
            <w:pPr>
              <w:pStyle w:val="TAC"/>
            </w:pPr>
          </w:p>
        </w:tc>
        <w:tc>
          <w:tcPr>
            <w:tcW w:w="1416" w:type="dxa"/>
            <w:vMerge/>
            <w:tcBorders>
              <w:bottom w:val="single" w:sz="4" w:space="0" w:color="auto"/>
            </w:tcBorders>
            <w:vAlign w:val="center"/>
          </w:tcPr>
          <w:p w14:paraId="01BF43DF" w14:textId="77777777" w:rsidR="00241417" w:rsidRPr="0039343F" w:rsidRDefault="00241417" w:rsidP="003A71DE">
            <w:pPr>
              <w:pStyle w:val="TAC"/>
            </w:pPr>
          </w:p>
        </w:tc>
        <w:tc>
          <w:tcPr>
            <w:tcW w:w="1825" w:type="dxa"/>
            <w:vAlign w:val="center"/>
          </w:tcPr>
          <w:p w14:paraId="219B68AD" w14:textId="77777777" w:rsidR="00241417" w:rsidRPr="0039343F" w:rsidRDefault="00241417" w:rsidP="003A71DE">
            <w:pPr>
              <w:pStyle w:val="TAC"/>
            </w:pPr>
            <w:r w:rsidRPr="0039343F">
              <w:t>TDLA30-10 Low</w:t>
            </w:r>
          </w:p>
        </w:tc>
        <w:tc>
          <w:tcPr>
            <w:tcW w:w="1559" w:type="dxa"/>
            <w:vAlign w:val="center"/>
          </w:tcPr>
          <w:p w14:paraId="620B8433" w14:textId="77777777" w:rsidR="00241417" w:rsidRPr="0039343F" w:rsidRDefault="00241417" w:rsidP="003A71DE">
            <w:pPr>
              <w:pStyle w:val="TAC"/>
            </w:pPr>
            <w:r>
              <w:rPr>
                <w:lang w:val="en-US"/>
              </w:rPr>
              <w:t>D-FR1-A.2.4-6</w:t>
            </w:r>
          </w:p>
        </w:tc>
        <w:tc>
          <w:tcPr>
            <w:tcW w:w="1276" w:type="dxa"/>
            <w:vAlign w:val="center"/>
          </w:tcPr>
          <w:p w14:paraId="6EDB70B7" w14:textId="77777777" w:rsidR="00241417" w:rsidRPr="0039343F" w:rsidRDefault="00241417" w:rsidP="003A71DE">
            <w:pPr>
              <w:pStyle w:val="TAC"/>
            </w:pPr>
            <w:r w:rsidRPr="0039343F">
              <w:t>pos1</w:t>
            </w:r>
          </w:p>
        </w:tc>
        <w:tc>
          <w:tcPr>
            <w:tcW w:w="850" w:type="dxa"/>
            <w:vAlign w:val="center"/>
          </w:tcPr>
          <w:p w14:paraId="738014AA" w14:textId="77777777" w:rsidR="00241417" w:rsidRPr="0039343F" w:rsidRDefault="00241417" w:rsidP="003A71DE">
            <w:pPr>
              <w:pStyle w:val="TAC"/>
            </w:pPr>
            <w:r w:rsidRPr="0039343F">
              <w:t>12.4</w:t>
            </w:r>
          </w:p>
        </w:tc>
      </w:tr>
      <w:tr w:rsidR="00241417" w:rsidRPr="0039343F" w14:paraId="1FE82A6C" w14:textId="77777777" w:rsidTr="003A71DE">
        <w:trPr>
          <w:cantSplit/>
          <w:jc w:val="center"/>
        </w:trPr>
        <w:tc>
          <w:tcPr>
            <w:tcW w:w="1007" w:type="dxa"/>
            <w:vMerge/>
            <w:vAlign w:val="center"/>
          </w:tcPr>
          <w:p w14:paraId="54BB030D" w14:textId="77777777" w:rsidR="00241417" w:rsidRPr="0039343F" w:rsidRDefault="00241417" w:rsidP="003A71DE">
            <w:pPr>
              <w:pStyle w:val="TAC"/>
            </w:pPr>
          </w:p>
        </w:tc>
        <w:tc>
          <w:tcPr>
            <w:tcW w:w="1416" w:type="dxa"/>
            <w:vMerge w:val="restart"/>
            <w:vAlign w:val="center"/>
          </w:tcPr>
          <w:p w14:paraId="2570DD32" w14:textId="77777777" w:rsidR="00241417" w:rsidRPr="0039343F" w:rsidRDefault="00241417" w:rsidP="003A71DE">
            <w:pPr>
              <w:pStyle w:val="TAC"/>
            </w:pPr>
            <w:r w:rsidRPr="0039343F">
              <w:t>4</w:t>
            </w:r>
          </w:p>
        </w:tc>
        <w:tc>
          <w:tcPr>
            <w:tcW w:w="1825" w:type="dxa"/>
            <w:vAlign w:val="center"/>
          </w:tcPr>
          <w:p w14:paraId="75E287F9" w14:textId="77777777" w:rsidR="00241417" w:rsidRPr="0039343F" w:rsidRDefault="00241417" w:rsidP="003A71DE">
            <w:pPr>
              <w:pStyle w:val="TAC"/>
            </w:pPr>
            <w:r w:rsidRPr="0039343F">
              <w:t>TDLB100-400 Low</w:t>
            </w:r>
          </w:p>
        </w:tc>
        <w:tc>
          <w:tcPr>
            <w:tcW w:w="1559" w:type="dxa"/>
            <w:vAlign w:val="center"/>
          </w:tcPr>
          <w:p w14:paraId="0E87603C" w14:textId="77777777" w:rsidR="00241417" w:rsidRPr="0039343F" w:rsidRDefault="00241417" w:rsidP="003A71DE">
            <w:pPr>
              <w:pStyle w:val="TAC"/>
            </w:pPr>
            <w:r>
              <w:rPr>
                <w:lang w:val="en-US"/>
              </w:rPr>
              <w:t>D-FR1-A.2.1-6</w:t>
            </w:r>
          </w:p>
        </w:tc>
        <w:tc>
          <w:tcPr>
            <w:tcW w:w="1276" w:type="dxa"/>
            <w:vAlign w:val="center"/>
          </w:tcPr>
          <w:p w14:paraId="7A838C2D" w14:textId="77777777" w:rsidR="00241417" w:rsidRPr="0039343F" w:rsidRDefault="00241417" w:rsidP="003A71DE">
            <w:pPr>
              <w:pStyle w:val="TAC"/>
            </w:pPr>
            <w:r w:rsidRPr="0039343F">
              <w:t>pos1</w:t>
            </w:r>
          </w:p>
        </w:tc>
        <w:tc>
          <w:tcPr>
            <w:tcW w:w="850" w:type="dxa"/>
            <w:vAlign w:val="center"/>
          </w:tcPr>
          <w:p w14:paraId="23A584E6" w14:textId="77777777" w:rsidR="00241417" w:rsidRPr="0039343F" w:rsidRDefault="00241417" w:rsidP="003A71DE">
            <w:pPr>
              <w:pStyle w:val="TAC"/>
            </w:pPr>
            <w:r w:rsidRPr="0039343F">
              <w:t>-5.8</w:t>
            </w:r>
          </w:p>
        </w:tc>
      </w:tr>
      <w:tr w:rsidR="00241417" w:rsidRPr="0039343F" w14:paraId="76DCDD72" w14:textId="77777777" w:rsidTr="003A71DE">
        <w:trPr>
          <w:cantSplit/>
          <w:jc w:val="center"/>
        </w:trPr>
        <w:tc>
          <w:tcPr>
            <w:tcW w:w="1007" w:type="dxa"/>
            <w:vMerge/>
            <w:vAlign w:val="center"/>
          </w:tcPr>
          <w:p w14:paraId="28B033EC" w14:textId="77777777" w:rsidR="00241417" w:rsidRPr="0039343F" w:rsidRDefault="00241417" w:rsidP="003A71DE">
            <w:pPr>
              <w:pStyle w:val="TAC"/>
            </w:pPr>
          </w:p>
        </w:tc>
        <w:tc>
          <w:tcPr>
            <w:tcW w:w="1416" w:type="dxa"/>
            <w:vMerge/>
            <w:vAlign w:val="center"/>
          </w:tcPr>
          <w:p w14:paraId="0AC4B18A" w14:textId="77777777" w:rsidR="00241417" w:rsidRPr="0039343F" w:rsidRDefault="00241417" w:rsidP="003A71DE">
            <w:pPr>
              <w:pStyle w:val="TAC"/>
            </w:pPr>
          </w:p>
        </w:tc>
        <w:tc>
          <w:tcPr>
            <w:tcW w:w="1825" w:type="dxa"/>
            <w:vAlign w:val="center"/>
          </w:tcPr>
          <w:p w14:paraId="36DBB594" w14:textId="77777777" w:rsidR="00241417" w:rsidRPr="0039343F" w:rsidRDefault="00241417" w:rsidP="003A71DE">
            <w:pPr>
              <w:pStyle w:val="TAC"/>
            </w:pPr>
            <w:r w:rsidRPr="0039343F">
              <w:t>TDLC300-100 Low</w:t>
            </w:r>
          </w:p>
        </w:tc>
        <w:tc>
          <w:tcPr>
            <w:tcW w:w="1559" w:type="dxa"/>
            <w:vAlign w:val="center"/>
          </w:tcPr>
          <w:p w14:paraId="25D1BC51" w14:textId="77777777" w:rsidR="00241417" w:rsidRPr="0039343F" w:rsidRDefault="00241417" w:rsidP="003A71DE">
            <w:pPr>
              <w:pStyle w:val="TAC"/>
            </w:pPr>
            <w:r>
              <w:rPr>
                <w:lang w:val="en-US"/>
              </w:rPr>
              <w:t>D-FR1-A.2.3-6</w:t>
            </w:r>
          </w:p>
        </w:tc>
        <w:tc>
          <w:tcPr>
            <w:tcW w:w="1276" w:type="dxa"/>
            <w:vAlign w:val="center"/>
          </w:tcPr>
          <w:p w14:paraId="7A324930" w14:textId="77777777" w:rsidR="00241417" w:rsidRPr="0039343F" w:rsidRDefault="00241417" w:rsidP="003A71DE">
            <w:pPr>
              <w:pStyle w:val="TAC"/>
            </w:pPr>
            <w:r w:rsidRPr="0039343F">
              <w:t>pos1</w:t>
            </w:r>
          </w:p>
        </w:tc>
        <w:tc>
          <w:tcPr>
            <w:tcW w:w="850" w:type="dxa"/>
            <w:vAlign w:val="center"/>
          </w:tcPr>
          <w:p w14:paraId="762EA780" w14:textId="77777777" w:rsidR="00241417" w:rsidRPr="0039343F" w:rsidRDefault="00241417" w:rsidP="003A71DE">
            <w:pPr>
              <w:pStyle w:val="TAC"/>
            </w:pPr>
            <w:r w:rsidRPr="0039343F">
              <w:t>6.3</w:t>
            </w:r>
          </w:p>
        </w:tc>
      </w:tr>
      <w:tr w:rsidR="00241417" w:rsidRPr="0039343F" w14:paraId="5BC75E76" w14:textId="77777777" w:rsidTr="003A71DE">
        <w:trPr>
          <w:cantSplit/>
          <w:jc w:val="center"/>
        </w:trPr>
        <w:tc>
          <w:tcPr>
            <w:tcW w:w="1007" w:type="dxa"/>
            <w:vMerge/>
            <w:vAlign w:val="center"/>
          </w:tcPr>
          <w:p w14:paraId="122859AD" w14:textId="77777777" w:rsidR="00241417" w:rsidRPr="0039343F" w:rsidRDefault="00241417" w:rsidP="003A71DE">
            <w:pPr>
              <w:pStyle w:val="TAC"/>
            </w:pPr>
          </w:p>
        </w:tc>
        <w:tc>
          <w:tcPr>
            <w:tcW w:w="1416" w:type="dxa"/>
            <w:vMerge/>
            <w:tcBorders>
              <w:bottom w:val="single" w:sz="4" w:space="0" w:color="auto"/>
            </w:tcBorders>
            <w:vAlign w:val="center"/>
          </w:tcPr>
          <w:p w14:paraId="3104EDAF" w14:textId="77777777" w:rsidR="00241417" w:rsidRPr="0039343F" w:rsidRDefault="00241417" w:rsidP="003A71DE">
            <w:pPr>
              <w:pStyle w:val="TAC"/>
            </w:pPr>
          </w:p>
        </w:tc>
        <w:tc>
          <w:tcPr>
            <w:tcW w:w="1825" w:type="dxa"/>
            <w:vAlign w:val="center"/>
          </w:tcPr>
          <w:p w14:paraId="251F1004" w14:textId="77777777" w:rsidR="00241417" w:rsidRPr="0039343F" w:rsidRDefault="00241417" w:rsidP="003A71DE">
            <w:pPr>
              <w:pStyle w:val="TAC"/>
            </w:pPr>
            <w:r w:rsidRPr="0039343F">
              <w:t>TDLA30-10 Low</w:t>
            </w:r>
          </w:p>
        </w:tc>
        <w:tc>
          <w:tcPr>
            <w:tcW w:w="1559" w:type="dxa"/>
            <w:vAlign w:val="center"/>
          </w:tcPr>
          <w:p w14:paraId="33B64132" w14:textId="77777777" w:rsidR="00241417" w:rsidRPr="0039343F" w:rsidRDefault="00241417" w:rsidP="003A71DE">
            <w:pPr>
              <w:pStyle w:val="TAC"/>
            </w:pPr>
            <w:r>
              <w:rPr>
                <w:lang w:val="en-US"/>
              </w:rPr>
              <w:t>D-FR1-A.2.4-6</w:t>
            </w:r>
          </w:p>
        </w:tc>
        <w:tc>
          <w:tcPr>
            <w:tcW w:w="1276" w:type="dxa"/>
            <w:vAlign w:val="center"/>
          </w:tcPr>
          <w:p w14:paraId="71EFE989" w14:textId="77777777" w:rsidR="00241417" w:rsidRPr="0039343F" w:rsidRDefault="00241417" w:rsidP="003A71DE">
            <w:pPr>
              <w:pStyle w:val="TAC"/>
            </w:pPr>
            <w:r w:rsidRPr="0039343F">
              <w:t>pos1</w:t>
            </w:r>
          </w:p>
        </w:tc>
        <w:tc>
          <w:tcPr>
            <w:tcW w:w="850" w:type="dxa"/>
            <w:vAlign w:val="center"/>
          </w:tcPr>
          <w:p w14:paraId="1BDF2CD3" w14:textId="77777777" w:rsidR="00241417" w:rsidRPr="0039343F" w:rsidRDefault="00241417" w:rsidP="003A71DE">
            <w:pPr>
              <w:pStyle w:val="TAC"/>
            </w:pPr>
            <w:r w:rsidRPr="0039343F">
              <w:t>8.5</w:t>
            </w:r>
          </w:p>
        </w:tc>
      </w:tr>
      <w:tr w:rsidR="00241417" w:rsidRPr="0039343F" w14:paraId="273F065A" w14:textId="77777777" w:rsidTr="003A71DE">
        <w:trPr>
          <w:cantSplit/>
          <w:jc w:val="center"/>
        </w:trPr>
        <w:tc>
          <w:tcPr>
            <w:tcW w:w="1007" w:type="dxa"/>
            <w:vMerge/>
            <w:vAlign w:val="center"/>
          </w:tcPr>
          <w:p w14:paraId="0A7FBD78" w14:textId="77777777" w:rsidR="00241417" w:rsidRPr="0039343F" w:rsidRDefault="00241417" w:rsidP="003A71DE">
            <w:pPr>
              <w:pStyle w:val="TAC"/>
            </w:pPr>
          </w:p>
        </w:tc>
        <w:tc>
          <w:tcPr>
            <w:tcW w:w="1416" w:type="dxa"/>
            <w:vMerge w:val="restart"/>
            <w:vAlign w:val="center"/>
          </w:tcPr>
          <w:p w14:paraId="61946DF2" w14:textId="77777777" w:rsidR="00241417" w:rsidRPr="0039343F" w:rsidRDefault="00241417" w:rsidP="003A71DE">
            <w:pPr>
              <w:pStyle w:val="TAC"/>
            </w:pPr>
            <w:r w:rsidRPr="0039343F">
              <w:t>8</w:t>
            </w:r>
          </w:p>
        </w:tc>
        <w:tc>
          <w:tcPr>
            <w:tcW w:w="1825" w:type="dxa"/>
            <w:vAlign w:val="center"/>
          </w:tcPr>
          <w:p w14:paraId="164AD673" w14:textId="77777777" w:rsidR="00241417" w:rsidRPr="0039343F" w:rsidRDefault="00241417" w:rsidP="003A71DE">
            <w:pPr>
              <w:pStyle w:val="TAC"/>
            </w:pPr>
            <w:r w:rsidRPr="0039343F">
              <w:t>TDLB100-400 Low</w:t>
            </w:r>
          </w:p>
        </w:tc>
        <w:tc>
          <w:tcPr>
            <w:tcW w:w="1559" w:type="dxa"/>
            <w:vAlign w:val="center"/>
          </w:tcPr>
          <w:p w14:paraId="5011C514" w14:textId="77777777" w:rsidR="00241417" w:rsidRPr="0039343F" w:rsidRDefault="00241417" w:rsidP="003A71DE">
            <w:pPr>
              <w:pStyle w:val="TAC"/>
            </w:pPr>
            <w:r>
              <w:rPr>
                <w:lang w:val="en-US"/>
              </w:rPr>
              <w:t>D-FR1-A.2.1-6</w:t>
            </w:r>
          </w:p>
        </w:tc>
        <w:tc>
          <w:tcPr>
            <w:tcW w:w="1276" w:type="dxa"/>
            <w:vAlign w:val="center"/>
          </w:tcPr>
          <w:p w14:paraId="54C27F29" w14:textId="77777777" w:rsidR="00241417" w:rsidRPr="0039343F" w:rsidRDefault="00241417" w:rsidP="003A71DE">
            <w:pPr>
              <w:pStyle w:val="TAC"/>
            </w:pPr>
            <w:r w:rsidRPr="0039343F">
              <w:t>pos1</w:t>
            </w:r>
          </w:p>
        </w:tc>
        <w:tc>
          <w:tcPr>
            <w:tcW w:w="850" w:type="dxa"/>
            <w:vAlign w:val="center"/>
          </w:tcPr>
          <w:p w14:paraId="44951B24" w14:textId="77777777" w:rsidR="00241417" w:rsidRPr="0039343F" w:rsidRDefault="00241417" w:rsidP="003A71DE">
            <w:pPr>
              <w:pStyle w:val="TAC"/>
            </w:pPr>
            <w:r w:rsidRPr="0039343F">
              <w:t>-8.7</w:t>
            </w:r>
          </w:p>
        </w:tc>
      </w:tr>
      <w:tr w:rsidR="00241417" w:rsidRPr="0039343F" w14:paraId="02B89D74" w14:textId="77777777" w:rsidTr="003A71DE">
        <w:trPr>
          <w:cantSplit/>
          <w:jc w:val="center"/>
        </w:trPr>
        <w:tc>
          <w:tcPr>
            <w:tcW w:w="1007" w:type="dxa"/>
            <w:vMerge/>
            <w:vAlign w:val="center"/>
          </w:tcPr>
          <w:p w14:paraId="37E36F1B" w14:textId="77777777" w:rsidR="00241417" w:rsidRPr="0039343F" w:rsidRDefault="00241417" w:rsidP="003A71DE">
            <w:pPr>
              <w:pStyle w:val="TAC"/>
            </w:pPr>
          </w:p>
        </w:tc>
        <w:tc>
          <w:tcPr>
            <w:tcW w:w="1416" w:type="dxa"/>
            <w:vMerge/>
            <w:vAlign w:val="center"/>
          </w:tcPr>
          <w:p w14:paraId="2B2A326E" w14:textId="77777777" w:rsidR="00241417" w:rsidRPr="0039343F" w:rsidRDefault="00241417" w:rsidP="003A71DE">
            <w:pPr>
              <w:pStyle w:val="TAC"/>
            </w:pPr>
          </w:p>
        </w:tc>
        <w:tc>
          <w:tcPr>
            <w:tcW w:w="1825" w:type="dxa"/>
            <w:vAlign w:val="center"/>
          </w:tcPr>
          <w:p w14:paraId="0CDD74B7" w14:textId="77777777" w:rsidR="00241417" w:rsidRPr="0039343F" w:rsidRDefault="00241417" w:rsidP="003A71DE">
            <w:pPr>
              <w:pStyle w:val="TAC"/>
            </w:pPr>
            <w:r w:rsidRPr="0039343F">
              <w:t>TDLC300-100 Low</w:t>
            </w:r>
          </w:p>
        </w:tc>
        <w:tc>
          <w:tcPr>
            <w:tcW w:w="1559" w:type="dxa"/>
            <w:vAlign w:val="center"/>
          </w:tcPr>
          <w:p w14:paraId="26D34049" w14:textId="77777777" w:rsidR="00241417" w:rsidRPr="0039343F" w:rsidRDefault="00241417" w:rsidP="003A71DE">
            <w:pPr>
              <w:pStyle w:val="TAC"/>
            </w:pPr>
            <w:r>
              <w:rPr>
                <w:lang w:val="en-US"/>
              </w:rPr>
              <w:t>D-FR1-A.2.3-6</w:t>
            </w:r>
          </w:p>
        </w:tc>
        <w:tc>
          <w:tcPr>
            <w:tcW w:w="1276" w:type="dxa"/>
            <w:vAlign w:val="center"/>
          </w:tcPr>
          <w:p w14:paraId="11560604" w14:textId="77777777" w:rsidR="00241417" w:rsidRPr="0039343F" w:rsidRDefault="00241417" w:rsidP="003A71DE">
            <w:pPr>
              <w:pStyle w:val="TAC"/>
            </w:pPr>
            <w:r w:rsidRPr="0039343F">
              <w:t>pos1</w:t>
            </w:r>
          </w:p>
        </w:tc>
        <w:tc>
          <w:tcPr>
            <w:tcW w:w="850" w:type="dxa"/>
            <w:vAlign w:val="center"/>
          </w:tcPr>
          <w:p w14:paraId="2C318499" w14:textId="77777777" w:rsidR="00241417" w:rsidRPr="0039343F" w:rsidRDefault="00241417" w:rsidP="003A71DE">
            <w:pPr>
              <w:pStyle w:val="TAC"/>
            </w:pPr>
            <w:r w:rsidRPr="0039343F">
              <w:t>3.1</w:t>
            </w:r>
          </w:p>
        </w:tc>
      </w:tr>
      <w:tr w:rsidR="00241417" w:rsidRPr="0039343F" w14:paraId="449E4695" w14:textId="77777777" w:rsidTr="003A71DE">
        <w:trPr>
          <w:cantSplit/>
          <w:jc w:val="center"/>
        </w:trPr>
        <w:tc>
          <w:tcPr>
            <w:tcW w:w="1007" w:type="dxa"/>
            <w:vMerge/>
            <w:tcBorders>
              <w:bottom w:val="single" w:sz="4" w:space="0" w:color="auto"/>
            </w:tcBorders>
            <w:vAlign w:val="center"/>
          </w:tcPr>
          <w:p w14:paraId="7F7D23A2" w14:textId="77777777" w:rsidR="00241417" w:rsidRPr="0039343F" w:rsidRDefault="00241417" w:rsidP="003A71DE">
            <w:pPr>
              <w:pStyle w:val="TAC"/>
            </w:pPr>
          </w:p>
        </w:tc>
        <w:tc>
          <w:tcPr>
            <w:tcW w:w="1416" w:type="dxa"/>
            <w:vMerge/>
            <w:tcBorders>
              <w:bottom w:val="single" w:sz="4" w:space="0" w:color="auto"/>
            </w:tcBorders>
            <w:vAlign w:val="center"/>
          </w:tcPr>
          <w:p w14:paraId="7ECCFC67" w14:textId="77777777" w:rsidR="00241417" w:rsidRPr="0039343F" w:rsidRDefault="00241417" w:rsidP="003A71DE">
            <w:pPr>
              <w:pStyle w:val="TAC"/>
            </w:pPr>
          </w:p>
        </w:tc>
        <w:tc>
          <w:tcPr>
            <w:tcW w:w="1825" w:type="dxa"/>
            <w:vAlign w:val="center"/>
          </w:tcPr>
          <w:p w14:paraId="18FC0A9C" w14:textId="77777777" w:rsidR="00241417" w:rsidRPr="0039343F" w:rsidRDefault="00241417" w:rsidP="003A71DE">
            <w:pPr>
              <w:pStyle w:val="TAC"/>
            </w:pPr>
            <w:r w:rsidRPr="0039343F">
              <w:t>TDLA30-10 Low</w:t>
            </w:r>
          </w:p>
        </w:tc>
        <w:tc>
          <w:tcPr>
            <w:tcW w:w="1559" w:type="dxa"/>
            <w:vAlign w:val="center"/>
          </w:tcPr>
          <w:p w14:paraId="182FBAA5" w14:textId="77777777" w:rsidR="00241417" w:rsidRPr="0039343F" w:rsidRDefault="00241417" w:rsidP="003A71DE">
            <w:pPr>
              <w:pStyle w:val="TAC"/>
            </w:pPr>
            <w:r>
              <w:rPr>
                <w:lang w:val="en-US"/>
              </w:rPr>
              <w:t>D-FR1-A.2.4-6</w:t>
            </w:r>
          </w:p>
        </w:tc>
        <w:tc>
          <w:tcPr>
            <w:tcW w:w="1276" w:type="dxa"/>
            <w:vAlign w:val="center"/>
          </w:tcPr>
          <w:p w14:paraId="7A1819B7" w14:textId="77777777" w:rsidR="00241417" w:rsidRPr="0039343F" w:rsidRDefault="00241417" w:rsidP="003A71DE">
            <w:pPr>
              <w:pStyle w:val="TAC"/>
            </w:pPr>
            <w:r w:rsidRPr="0039343F">
              <w:t>pos1</w:t>
            </w:r>
          </w:p>
        </w:tc>
        <w:tc>
          <w:tcPr>
            <w:tcW w:w="850" w:type="dxa"/>
            <w:vAlign w:val="center"/>
          </w:tcPr>
          <w:p w14:paraId="099F7027" w14:textId="77777777" w:rsidR="00241417" w:rsidRPr="0039343F" w:rsidRDefault="00241417" w:rsidP="003A71DE">
            <w:pPr>
              <w:pStyle w:val="TAC"/>
            </w:pPr>
            <w:r w:rsidRPr="0039343F">
              <w:t>5.4</w:t>
            </w:r>
          </w:p>
        </w:tc>
      </w:tr>
      <w:tr w:rsidR="00241417" w:rsidRPr="0039343F" w14:paraId="5DC39BB6" w14:textId="77777777" w:rsidTr="003A71DE">
        <w:trPr>
          <w:cantSplit/>
          <w:jc w:val="center"/>
        </w:trPr>
        <w:tc>
          <w:tcPr>
            <w:tcW w:w="1007" w:type="dxa"/>
            <w:vMerge w:val="restart"/>
            <w:vAlign w:val="center"/>
          </w:tcPr>
          <w:p w14:paraId="0706A7BC" w14:textId="77777777" w:rsidR="00241417" w:rsidRPr="0039343F" w:rsidRDefault="00241417" w:rsidP="003A71DE">
            <w:pPr>
              <w:pStyle w:val="TAC"/>
            </w:pPr>
            <w:r w:rsidRPr="0039343F">
              <w:t>2</w:t>
            </w:r>
          </w:p>
        </w:tc>
        <w:tc>
          <w:tcPr>
            <w:tcW w:w="1416" w:type="dxa"/>
            <w:vMerge w:val="restart"/>
            <w:vAlign w:val="center"/>
          </w:tcPr>
          <w:p w14:paraId="255D9677" w14:textId="77777777" w:rsidR="00241417" w:rsidRPr="0039343F" w:rsidRDefault="00241417" w:rsidP="003A71DE">
            <w:pPr>
              <w:pStyle w:val="TAC"/>
            </w:pPr>
            <w:r w:rsidRPr="0039343F">
              <w:t>2</w:t>
            </w:r>
          </w:p>
        </w:tc>
        <w:tc>
          <w:tcPr>
            <w:tcW w:w="1825" w:type="dxa"/>
            <w:vAlign w:val="center"/>
          </w:tcPr>
          <w:p w14:paraId="12620B6E" w14:textId="77777777" w:rsidR="00241417" w:rsidRPr="0039343F" w:rsidRDefault="00241417" w:rsidP="003A71DE">
            <w:pPr>
              <w:pStyle w:val="TAC"/>
            </w:pPr>
            <w:r w:rsidRPr="0039343F">
              <w:t>TDLB100-400 Low</w:t>
            </w:r>
          </w:p>
        </w:tc>
        <w:tc>
          <w:tcPr>
            <w:tcW w:w="1559" w:type="dxa"/>
            <w:vAlign w:val="center"/>
          </w:tcPr>
          <w:p w14:paraId="565D3747" w14:textId="77777777" w:rsidR="00241417" w:rsidRPr="0039343F" w:rsidRDefault="00241417" w:rsidP="003A71DE">
            <w:pPr>
              <w:pStyle w:val="TAC"/>
            </w:pPr>
            <w:r>
              <w:rPr>
                <w:lang w:val="en-US" w:eastAsia="zh-CN"/>
              </w:rPr>
              <w:t>D-FR1-A.2.1-13</w:t>
            </w:r>
          </w:p>
        </w:tc>
        <w:tc>
          <w:tcPr>
            <w:tcW w:w="1276" w:type="dxa"/>
            <w:vAlign w:val="center"/>
          </w:tcPr>
          <w:p w14:paraId="511E8119" w14:textId="77777777" w:rsidR="00241417" w:rsidRPr="0039343F" w:rsidRDefault="00241417" w:rsidP="003A71DE">
            <w:pPr>
              <w:pStyle w:val="TAC"/>
            </w:pPr>
            <w:r w:rsidRPr="0039343F">
              <w:t>pos1</w:t>
            </w:r>
          </w:p>
        </w:tc>
        <w:tc>
          <w:tcPr>
            <w:tcW w:w="850" w:type="dxa"/>
            <w:vAlign w:val="center"/>
          </w:tcPr>
          <w:p w14:paraId="1A4B81EA" w14:textId="77777777" w:rsidR="00241417" w:rsidRPr="0039343F" w:rsidRDefault="00241417" w:rsidP="003A71DE">
            <w:pPr>
              <w:pStyle w:val="TAC"/>
            </w:pPr>
            <w:r w:rsidRPr="0039343F">
              <w:t>1.3</w:t>
            </w:r>
          </w:p>
        </w:tc>
      </w:tr>
      <w:tr w:rsidR="00241417" w:rsidRPr="0039343F" w14:paraId="4CAA6126" w14:textId="77777777" w:rsidTr="003A71DE">
        <w:trPr>
          <w:cantSplit/>
          <w:jc w:val="center"/>
        </w:trPr>
        <w:tc>
          <w:tcPr>
            <w:tcW w:w="1007" w:type="dxa"/>
            <w:vMerge/>
            <w:vAlign w:val="center"/>
          </w:tcPr>
          <w:p w14:paraId="34398DAE" w14:textId="77777777" w:rsidR="00241417" w:rsidRPr="0039343F" w:rsidRDefault="00241417" w:rsidP="003A71DE">
            <w:pPr>
              <w:pStyle w:val="TAC"/>
            </w:pPr>
          </w:p>
        </w:tc>
        <w:tc>
          <w:tcPr>
            <w:tcW w:w="1416" w:type="dxa"/>
            <w:vMerge/>
            <w:tcBorders>
              <w:bottom w:val="single" w:sz="4" w:space="0" w:color="auto"/>
            </w:tcBorders>
            <w:vAlign w:val="center"/>
          </w:tcPr>
          <w:p w14:paraId="1EFD09A8" w14:textId="77777777" w:rsidR="00241417" w:rsidRPr="0039343F" w:rsidRDefault="00241417" w:rsidP="003A71DE">
            <w:pPr>
              <w:pStyle w:val="TAC"/>
            </w:pPr>
          </w:p>
        </w:tc>
        <w:tc>
          <w:tcPr>
            <w:tcW w:w="1825" w:type="dxa"/>
            <w:vAlign w:val="center"/>
          </w:tcPr>
          <w:p w14:paraId="6C682368" w14:textId="77777777" w:rsidR="00241417" w:rsidRPr="0039343F" w:rsidRDefault="00241417" w:rsidP="003A71DE">
            <w:pPr>
              <w:pStyle w:val="TAC"/>
            </w:pPr>
            <w:r w:rsidRPr="0039343F">
              <w:t>TDLC300-100 Low</w:t>
            </w:r>
          </w:p>
        </w:tc>
        <w:tc>
          <w:tcPr>
            <w:tcW w:w="1559" w:type="dxa"/>
            <w:vAlign w:val="center"/>
          </w:tcPr>
          <w:p w14:paraId="72234184" w14:textId="77777777" w:rsidR="00241417" w:rsidRPr="0039343F" w:rsidRDefault="00241417" w:rsidP="003A71DE">
            <w:pPr>
              <w:pStyle w:val="TAC"/>
            </w:pPr>
            <w:r>
              <w:rPr>
                <w:lang w:val="en-US" w:eastAsia="zh-CN"/>
              </w:rPr>
              <w:t>D-FR1-A.2.3-13</w:t>
            </w:r>
          </w:p>
        </w:tc>
        <w:tc>
          <w:tcPr>
            <w:tcW w:w="1276" w:type="dxa"/>
            <w:vAlign w:val="center"/>
          </w:tcPr>
          <w:p w14:paraId="4D956528" w14:textId="77777777" w:rsidR="00241417" w:rsidRPr="0039343F" w:rsidRDefault="00241417" w:rsidP="003A71DE">
            <w:pPr>
              <w:pStyle w:val="TAC"/>
            </w:pPr>
            <w:r w:rsidRPr="0039343F">
              <w:t>pos1</w:t>
            </w:r>
          </w:p>
        </w:tc>
        <w:tc>
          <w:tcPr>
            <w:tcW w:w="850" w:type="dxa"/>
            <w:vAlign w:val="center"/>
          </w:tcPr>
          <w:p w14:paraId="77568146" w14:textId="77777777" w:rsidR="00241417" w:rsidRPr="0039343F" w:rsidRDefault="00241417" w:rsidP="003A71DE">
            <w:pPr>
              <w:pStyle w:val="TAC"/>
            </w:pPr>
            <w:r w:rsidRPr="0039343F">
              <w:t>19.5</w:t>
            </w:r>
          </w:p>
        </w:tc>
      </w:tr>
      <w:tr w:rsidR="00241417" w:rsidRPr="0039343F" w14:paraId="715EDF50" w14:textId="77777777" w:rsidTr="003A71DE">
        <w:trPr>
          <w:cantSplit/>
          <w:jc w:val="center"/>
        </w:trPr>
        <w:tc>
          <w:tcPr>
            <w:tcW w:w="1007" w:type="dxa"/>
            <w:vMerge/>
            <w:vAlign w:val="center"/>
          </w:tcPr>
          <w:p w14:paraId="3F5DDF6C" w14:textId="77777777" w:rsidR="00241417" w:rsidRPr="0039343F" w:rsidRDefault="00241417" w:rsidP="003A71DE">
            <w:pPr>
              <w:pStyle w:val="TAC"/>
            </w:pPr>
          </w:p>
        </w:tc>
        <w:tc>
          <w:tcPr>
            <w:tcW w:w="1416" w:type="dxa"/>
            <w:vMerge w:val="restart"/>
            <w:tcBorders>
              <w:top w:val="single" w:sz="4" w:space="0" w:color="auto"/>
            </w:tcBorders>
            <w:vAlign w:val="center"/>
          </w:tcPr>
          <w:p w14:paraId="0F510C4D" w14:textId="77777777" w:rsidR="00241417" w:rsidRPr="0039343F" w:rsidRDefault="00241417" w:rsidP="003A71DE">
            <w:pPr>
              <w:pStyle w:val="TAC"/>
            </w:pPr>
            <w:r w:rsidRPr="0039343F">
              <w:t>4</w:t>
            </w:r>
          </w:p>
        </w:tc>
        <w:tc>
          <w:tcPr>
            <w:tcW w:w="1825" w:type="dxa"/>
            <w:vAlign w:val="center"/>
          </w:tcPr>
          <w:p w14:paraId="3351A630" w14:textId="77777777" w:rsidR="00241417" w:rsidRPr="0039343F" w:rsidRDefault="00241417" w:rsidP="003A71DE">
            <w:pPr>
              <w:pStyle w:val="TAC"/>
            </w:pPr>
            <w:r w:rsidRPr="0039343F">
              <w:t>TDLB100-400 Low</w:t>
            </w:r>
          </w:p>
        </w:tc>
        <w:tc>
          <w:tcPr>
            <w:tcW w:w="1559" w:type="dxa"/>
            <w:vAlign w:val="center"/>
          </w:tcPr>
          <w:p w14:paraId="5E614C76" w14:textId="77777777" w:rsidR="00241417" w:rsidRPr="0039343F" w:rsidRDefault="00241417" w:rsidP="003A71DE">
            <w:pPr>
              <w:pStyle w:val="TAC"/>
            </w:pPr>
            <w:r>
              <w:rPr>
                <w:lang w:val="en-US" w:eastAsia="zh-CN"/>
              </w:rPr>
              <w:t>D-FR1-A.2.1-13</w:t>
            </w:r>
          </w:p>
        </w:tc>
        <w:tc>
          <w:tcPr>
            <w:tcW w:w="1276" w:type="dxa"/>
            <w:vAlign w:val="center"/>
          </w:tcPr>
          <w:p w14:paraId="55BF4094" w14:textId="77777777" w:rsidR="00241417" w:rsidRPr="0039343F" w:rsidRDefault="00241417" w:rsidP="003A71DE">
            <w:pPr>
              <w:pStyle w:val="TAC"/>
            </w:pPr>
            <w:r w:rsidRPr="0039343F">
              <w:t>pos1</w:t>
            </w:r>
          </w:p>
        </w:tc>
        <w:tc>
          <w:tcPr>
            <w:tcW w:w="850" w:type="dxa"/>
            <w:vAlign w:val="center"/>
          </w:tcPr>
          <w:p w14:paraId="251D5552" w14:textId="77777777" w:rsidR="00241417" w:rsidRPr="0039343F" w:rsidRDefault="00241417" w:rsidP="003A71DE">
            <w:pPr>
              <w:pStyle w:val="TAC"/>
            </w:pPr>
            <w:r w:rsidRPr="0039343F">
              <w:t>-2.3</w:t>
            </w:r>
          </w:p>
        </w:tc>
      </w:tr>
      <w:tr w:rsidR="00241417" w:rsidRPr="0039343F" w14:paraId="0E2AE560" w14:textId="77777777" w:rsidTr="003A71DE">
        <w:trPr>
          <w:cantSplit/>
          <w:jc w:val="center"/>
        </w:trPr>
        <w:tc>
          <w:tcPr>
            <w:tcW w:w="1007" w:type="dxa"/>
            <w:vMerge/>
            <w:vAlign w:val="center"/>
          </w:tcPr>
          <w:p w14:paraId="5FA9E690" w14:textId="77777777" w:rsidR="00241417" w:rsidRPr="0039343F" w:rsidRDefault="00241417" w:rsidP="003A71DE">
            <w:pPr>
              <w:pStyle w:val="TAC"/>
            </w:pPr>
          </w:p>
        </w:tc>
        <w:tc>
          <w:tcPr>
            <w:tcW w:w="1416" w:type="dxa"/>
            <w:vMerge/>
            <w:tcBorders>
              <w:bottom w:val="single" w:sz="4" w:space="0" w:color="auto"/>
            </w:tcBorders>
            <w:vAlign w:val="center"/>
          </w:tcPr>
          <w:p w14:paraId="13FF0EBD" w14:textId="77777777" w:rsidR="00241417" w:rsidRPr="0039343F" w:rsidRDefault="00241417" w:rsidP="003A71DE">
            <w:pPr>
              <w:pStyle w:val="TAC"/>
            </w:pPr>
          </w:p>
        </w:tc>
        <w:tc>
          <w:tcPr>
            <w:tcW w:w="1825" w:type="dxa"/>
            <w:vAlign w:val="center"/>
          </w:tcPr>
          <w:p w14:paraId="3AE515C5" w14:textId="77777777" w:rsidR="00241417" w:rsidRPr="0039343F" w:rsidRDefault="00241417" w:rsidP="003A71DE">
            <w:pPr>
              <w:pStyle w:val="TAC"/>
            </w:pPr>
            <w:r w:rsidRPr="0039343F">
              <w:t>TDLC300-100 Low</w:t>
            </w:r>
          </w:p>
        </w:tc>
        <w:tc>
          <w:tcPr>
            <w:tcW w:w="1559" w:type="dxa"/>
            <w:vAlign w:val="center"/>
          </w:tcPr>
          <w:p w14:paraId="0180E762" w14:textId="77777777" w:rsidR="00241417" w:rsidRPr="0039343F" w:rsidRDefault="00241417" w:rsidP="003A71DE">
            <w:pPr>
              <w:pStyle w:val="TAC"/>
            </w:pPr>
            <w:r>
              <w:rPr>
                <w:lang w:val="en-US" w:eastAsia="zh-CN"/>
              </w:rPr>
              <w:t>D-FR1-A.2.3-13</w:t>
            </w:r>
          </w:p>
        </w:tc>
        <w:tc>
          <w:tcPr>
            <w:tcW w:w="1276" w:type="dxa"/>
            <w:vAlign w:val="center"/>
          </w:tcPr>
          <w:p w14:paraId="493952A6" w14:textId="77777777" w:rsidR="00241417" w:rsidRPr="0039343F" w:rsidRDefault="00241417" w:rsidP="003A71DE">
            <w:pPr>
              <w:pStyle w:val="TAC"/>
            </w:pPr>
            <w:r w:rsidRPr="0039343F">
              <w:t>pos1</w:t>
            </w:r>
          </w:p>
        </w:tc>
        <w:tc>
          <w:tcPr>
            <w:tcW w:w="850" w:type="dxa"/>
            <w:vAlign w:val="center"/>
          </w:tcPr>
          <w:p w14:paraId="37247F0D" w14:textId="77777777" w:rsidR="00241417" w:rsidRPr="0039343F" w:rsidRDefault="00241417" w:rsidP="003A71DE">
            <w:pPr>
              <w:pStyle w:val="TAC"/>
            </w:pPr>
            <w:r w:rsidRPr="0039343F">
              <w:t>11.3</w:t>
            </w:r>
          </w:p>
        </w:tc>
      </w:tr>
      <w:tr w:rsidR="00241417" w:rsidRPr="0039343F" w14:paraId="3B0F66C0" w14:textId="77777777" w:rsidTr="003A71DE">
        <w:trPr>
          <w:cantSplit/>
          <w:jc w:val="center"/>
        </w:trPr>
        <w:tc>
          <w:tcPr>
            <w:tcW w:w="1007" w:type="dxa"/>
            <w:vMerge/>
            <w:vAlign w:val="center"/>
          </w:tcPr>
          <w:p w14:paraId="1EAE4A93" w14:textId="77777777" w:rsidR="00241417" w:rsidRPr="0039343F" w:rsidRDefault="00241417" w:rsidP="003A71DE">
            <w:pPr>
              <w:pStyle w:val="TAC"/>
            </w:pPr>
          </w:p>
        </w:tc>
        <w:tc>
          <w:tcPr>
            <w:tcW w:w="1416" w:type="dxa"/>
            <w:vMerge w:val="restart"/>
            <w:tcBorders>
              <w:top w:val="single" w:sz="4" w:space="0" w:color="auto"/>
            </w:tcBorders>
            <w:vAlign w:val="center"/>
          </w:tcPr>
          <w:p w14:paraId="1F6FB3CF" w14:textId="77777777" w:rsidR="00241417" w:rsidRPr="0039343F" w:rsidRDefault="00241417" w:rsidP="003A71DE">
            <w:pPr>
              <w:pStyle w:val="TAC"/>
            </w:pPr>
            <w:r w:rsidRPr="0039343F">
              <w:t>8</w:t>
            </w:r>
          </w:p>
        </w:tc>
        <w:tc>
          <w:tcPr>
            <w:tcW w:w="1825" w:type="dxa"/>
            <w:vAlign w:val="center"/>
          </w:tcPr>
          <w:p w14:paraId="1B51CDD7" w14:textId="77777777" w:rsidR="00241417" w:rsidRPr="0039343F" w:rsidRDefault="00241417" w:rsidP="003A71DE">
            <w:pPr>
              <w:pStyle w:val="TAC"/>
            </w:pPr>
            <w:r w:rsidRPr="0039343F">
              <w:t>TDLB100-400 Low</w:t>
            </w:r>
          </w:p>
        </w:tc>
        <w:tc>
          <w:tcPr>
            <w:tcW w:w="1559" w:type="dxa"/>
            <w:vAlign w:val="center"/>
          </w:tcPr>
          <w:p w14:paraId="2C526914" w14:textId="77777777" w:rsidR="00241417" w:rsidRPr="0039343F" w:rsidRDefault="00241417" w:rsidP="003A71DE">
            <w:pPr>
              <w:pStyle w:val="TAC"/>
            </w:pPr>
            <w:r>
              <w:rPr>
                <w:lang w:val="en-US" w:eastAsia="zh-CN"/>
              </w:rPr>
              <w:t>D-FR1-A.2.1-13</w:t>
            </w:r>
          </w:p>
        </w:tc>
        <w:tc>
          <w:tcPr>
            <w:tcW w:w="1276" w:type="dxa"/>
            <w:vAlign w:val="center"/>
          </w:tcPr>
          <w:p w14:paraId="7095F20A" w14:textId="77777777" w:rsidR="00241417" w:rsidRPr="0039343F" w:rsidRDefault="00241417" w:rsidP="003A71DE">
            <w:pPr>
              <w:pStyle w:val="TAC"/>
            </w:pPr>
            <w:r w:rsidRPr="0039343F">
              <w:t>pos1</w:t>
            </w:r>
          </w:p>
        </w:tc>
        <w:tc>
          <w:tcPr>
            <w:tcW w:w="850" w:type="dxa"/>
            <w:vAlign w:val="center"/>
          </w:tcPr>
          <w:p w14:paraId="4373584D" w14:textId="77777777" w:rsidR="00241417" w:rsidRPr="0039343F" w:rsidRDefault="00241417" w:rsidP="003A71DE">
            <w:pPr>
              <w:pStyle w:val="TAC"/>
            </w:pPr>
            <w:r w:rsidRPr="0039343F">
              <w:t>-5.2</w:t>
            </w:r>
          </w:p>
        </w:tc>
      </w:tr>
      <w:tr w:rsidR="00241417" w:rsidRPr="0039343F" w14:paraId="275B0A04" w14:textId="77777777" w:rsidTr="003A71DE">
        <w:trPr>
          <w:cantSplit/>
          <w:jc w:val="center"/>
        </w:trPr>
        <w:tc>
          <w:tcPr>
            <w:tcW w:w="1007" w:type="dxa"/>
            <w:vMerge/>
            <w:vAlign w:val="center"/>
          </w:tcPr>
          <w:p w14:paraId="58E5B95A" w14:textId="77777777" w:rsidR="00241417" w:rsidRPr="0039343F" w:rsidRDefault="00241417" w:rsidP="003A71DE">
            <w:pPr>
              <w:pStyle w:val="TAC"/>
            </w:pPr>
          </w:p>
        </w:tc>
        <w:tc>
          <w:tcPr>
            <w:tcW w:w="1416" w:type="dxa"/>
            <w:vMerge/>
            <w:vAlign w:val="center"/>
          </w:tcPr>
          <w:p w14:paraId="0004973A" w14:textId="77777777" w:rsidR="00241417" w:rsidRPr="0039343F" w:rsidRDefault="00241417" w:rsidP="003A71DE">
            <w:pPr>
              <w:pStyle w:val="TAC"/>
            </w:pPr>
          </w:p>
        </w:tc>
        <w:tc>
          <w:tcPr>
            <w:tcW w:w="1825" w:type="dxa"/>
            <w:vAlign w:val="center"/>
          </w:tcPr>
          <w:p w14:paraId="4B2A4444" w14:textId="77777777" w:rsidR="00241417" w:rsidRPr="0039343F" w:rsidRDefault="00241417" w:rsidP="003A71DE">
            <w:pPr>
              <w:pStyle w:val="TAC"/>
            </w:pPr>
            <w:r w:rsidRPr="0039343F">
              <w:t>TDLC300-100 Low</w:t>
            </w:r>
          </w:p>
        </w:tc>
        <w:tc>
          <w:tcPr>
            <w:tcW w:w="1559" w:type="dxa"/>
            <w:vAlign w:val="center"/>
          </w:tcPr>
          <w:p w14:paraId="2F89C763" w14:textId="77777777" w:rsidR="00241417" w:rsidRPr="0039343F" w:rsidRDefault="00241417" w:rsidP="003A71DE">
            <w:pPr>
              <w:pStyle w:val="TAC"/>
            </w:pPr>
            <w:r>
              <w:rPr>
                <w:lang w:val="en-US" w:eastAsia="zh-CN"/>
              </w:rPr>
              <w:t>D-FR1-A.2.3-13</w:t>
            </w:r>
          </w:p>
        </w:tc>
        <w:tc>
          <w:tcPr>
            <w:tcW w:w="1276" w:type="dxa"/>
            <w:vAlign w:val="center"/>
          </w:tcPr>
          <w:p w14:paraId="53B2EAC5" w14:textId="77777777" w:rsidR="00241417" w:rsidRPr="0039343F" w:rsidRDefault="00241417" w:rsidP="003A71DE">
            <w:pPr>
              <w:pStyle w:val="TAC"/>
            </w:pPr>
            <w:r w:rsidRPr="0039343F">
              <w:t>pos1</w:t>
            </w:r>
          </w:p>
        </w:tc>
        <w:tc>
          <w:tcPr>
            <w:tcW w:w="850" w:type="dxa"/>
            <w:vAlign w:val="center"/>
          </w:tcPr>
          <w:p w14:paraId="11E55E30" w14:textId="77777777" w:rsidR="00241417" w:rsidRPr="0039343F" w:rsidRDefault="00241417" w:rsidP="003A71DE">
            <w:pPr>
              <w:pStyle w:val="TAC"/>
            </w:pPr>
            <w:r w:rsidRPr="0039343F">
              <w:t>6.9</w:t>
            </w:r>
          </w:p>
        </w:tc>
      </w:tr>
    </w:tbl>
    <w:p w14:paraId="6A9C063B" w14:textId="77777777" w:rsidR="00241417" w:rsidRPr="0039343F" w:rsidRDefault="00241417" w:rsidP="00241417">
      <w:pPr>
        <w:rPr>
          <w:lang w:eastAsia="zh-CN"/>
        </w:rPr>
      </w:pPr>
    </w:p>
    <w:p w14:paraId="7EA7E9E9" w14:textId="77777777" w:rsidR="00241417" w:rsidRPr="00920E66" w:rsidRDefault="00241417" w:rsidP="00241417">
      <w:pPr>
        <w:pStyle w:val="TH"/>
        <w:rPr>
          <w:lang w:eastAsia="zh-CN"/>
        </w:rPr>
      </w:pPr>
      <w:r w:rsidRPr="00920E66">
        <w:lastRenderedPageBreak/>
        <w:t>Table 8.1.2.1.2-7: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A, 100 MHz channel bandwidth</w:t>
      </w:r>
      <w:r w:rsidRPr="00920E66">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70"/>
        <w:gridCol w:w="1265"/>
        <w:gridCol w:w="1134"/>
      </w:tblGrid>
      <w:tr w:rsidR="00241417" w:rsidRPr="0039343F" w14:paraId="56DEB6E3" w14:textId="77777777" w:rsidTr="003A71DE">
        <w:trPr>
          <w:cantSplit/>
          <w:jc w:val="center"/>
        </w:trPr>
        <w:tc>
          <w:tcPr>
            <w:tcW w:w="1007" w:type="dxa"/>
            <w:tcBorders>
              <w:bottom w:val="single" w:sz="4" w:space="0" w:color="auto"/>
            </w:tcBorders>
            <w:vAlign w:val="center"/>
          </w:tcPr>
          <w:p w14:paraId="0AC57FBE"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55C2454F" w14:textId="77777777" w:rsidR="00241417" w:rsidRPr="0039343F" w:rsidRDefault="00241417" w:rsidP="003A71DE">
            <w:pPr>
              <w:pStyle w:val="TAH"/>
            </w:pPr>
            <w:r w:rsidRPr="0039343F">
              <w:t xml:space="preserve">Number of </w:t>
            </w:r>
            <w:r>
              <w:t>Demodulation Branches</w:t>
            </w:r>
          </w:p>
        </w:tc>
        <w:tc>
          <w:tcPr>
            <w:tcW w:w="1985" w:type="dxa"/>
            <w:vAlign w:val="center"/>
          </w:tcPr>
          <w:p w14:paraId="18E9C4C3" w14:textId="7B55B660" w:rsidR="00241417" w:rsidRPr="0039343F" w:rsidRDefault="00241417" w:rsidP="003A71DE">
            <w:pPr>
              <w:pStyle w:val="TAH"/>
            </w:pPr>
            <w:r w:rsidRPr="0039343F">
              <w:t xml:space="preserve">Propagation conditions and correlation matrix (Annex </w:t>
            </w:r>
            <w:r>
              <w:t>TBA</w:t>
            </w:r>
            <w:r w:rsidRPr="0039343F">
              <w:t>)</w:t>
            </w:r>
          </w:p>
        </w:tc>
        <w:tc>
          <w:tcPr>
            <w:tcW w:w="1570" w:type="dxa"/>
            <w:vAlign w:val="center"/>
          </w:tcPr>
          <w:p w14:paraId="5B2E373E" w14:textId="77777777" w:rsidR="00241417" w:rsidRPr="0039343F" w:rsidRDefault="00241417" w:rsidP="003A71DE">
            <w:pPr>
              <w:pStyle w:val="TAH"/>
            </w:pPr>
            <w:r w:rsidRPr="0039343F">
              <w:t>FRC</w:t>
            </w:r>
            <w:r w:rsidRPr="0039343F">
              <w:br/>
              <w:t>(Annex A)</w:t>
            </w:r>
          </w:p>
        </w:tc>
        <w:tc>
          <w:tcPr>
            <w:tcW w:w="1265" w:type="dxa"/>
            <w:vAlign w:val="center"/>
          </w:tcPr>
          <w:p w14:paraId="170A2D87" w14:textId="77777777" w:rsidR="00241417" w:rsidRPr="0039343F" w:rsidRDefault="00241417" w:rsidP="003A71DE">
            <w:pPr>
              <w:pStyle w:val="TAH"/>
            </w:pPr>
            <w:r w:rsidRPr="0039343F">
              <w:t>Additional DM-RS position</w:t>
            </w:r>
          </w:p>
        </w:tc>
        <w:tc>
          <w:tcPr>
            <w:tcW w:w="1134" w:type="dxa"/>
            <w:vAlign w:val="center"/>
          </w:tcPr>
          <w:p w14:paraId="7C814C03" w14:textId="77777777" w:rsidR="00241417" w:rsidRPr="0039343F" w:rsidRDefault="00241417" w:rsidP="003A71DE">
            <w:pPr>
              <w:pStyle w:val="TAH"/>
            </w:pPr>
            <w:r w:rsidRPr="0039343F">
              <w:t>SNR</w:t>
            </w:r>
          </w:p>
          <w:p w14:paraId="074E033C" w14:textId="77777777" w:rsidR="00241417" w:rsidRPr="0039343F" w:rsidRDefault="00241417" w:rsidP="003A71DE">
            <w:pPr>
              <w:pStyle w:val="TAH"/>
            </w:pPr>
            <w:r w:rsidRPr="0039343F">
              <w:t>(dB)</w:t>
            </w:r>
          </w:p>
        </w:tc>
      </w:tr>
      <w:tr w:rsidR="00241417" w:rsidRPr="0039343F" w14:paraId="7B15E8E0" w14:textId="77777777" w:rsidTr="003A71DE">
        <w:trPr>
          <w:cantSplit/>
          <w:jc w:val="center"/>
        </w:trPr>
        <w:tc>
          <w:tcPr>
            <w:tcW w:w="1007" w:type="dxa"/>
            <w:vMerge w:val="restart"/>
            <w:vAlign w:val="center"/>
          </w:tcPr>
          <w:p w14:paraId="391B151B" w14:textId="77777777" w:rsidR="00241417" w:rsidRPr="0039343F" w:rsidRDefault="00241417" w:rsidP="003A71DE">
            <w:pPr>
              <w:pStyle w:val="TAC"/>
            </w:pPr>
            <w:r w:rsidRPr="0039343F">
              <w:t>1</w:t>
            </w:r>
          </w:p>
        </w:tc>
        <w:tc>
          <w:tcPr>
            <w:tcW w:w="1093" w:type="dxa"/>
            <w:vMerge w:val="restart"/>
            <w:vAlign w:val="center"/>
          </w:tcPr>
          <w:p w14:paraId="5F058333" w14:textId="77777777" w:rsidR="00241417" w:rsidRPr="0039343F" w:rsidRDefault="00241417" w:rsidP="003A71DE">
            <w:pPr>
              <w:pStyle w:val="TAC"/>
            </w:pPr>
            <w:r w:rsidRPr="0039343F">
              <w:t>2</w:t>
            </w:r>
          </w:p>
        </w:tc>
        <w:tc>
          <w:tcPr>
            <w:tcW w:w="1985" w:type="dxa"/>
            <w:vAlign w:val="center"/>
          </w:tcPr>
          <w:p w14:paraId="718725EC" w14:textId="77777777" w:rsidR="00241417" w:rsidRPr="0039343F" w:rsidRDefault="00241417" w:rsidP="003A71DE">
            <w:pPr>
              <w:pStyle w:val="TAC"/>
            </w:pPr>
            <w:r w:rsidRPr="0039343F">
              <w:t>TDLB100-400 Low</w:t>
            </w:r>
          </w:p>
        </w:tc>
        <w:tc>
          <w:tcPr>
            <w:tcW w:w="1570" w:type="dxa"/>
            <w:vAlign w:val="center"/>
          </w:tcPr>
          <w:p w14:paraId="68C6CC3D" w14:textId="77777777" w:rsidR="00241417" w:rsidRPr="0039343F" w:rsidRDefault="00241417" w:rsidP="003A71DE">
            <w:pPr>
              <w:pStyle w:val="TAC"/>
            </w:pPr>
            <w:r>
              <w:rPr>
                <w:lang w:eastAsia="zh-CN"/>
              </w:rPr>
              <w:t>D-FR1-A.2.1-7</w:t>
            </w:r>
          </w:p>
        </w:tc>
        <w:tc>
          <w:tcPr>
            <w:tcW w:w="1265" w:type="dxa"/>
            <w:vAlign w:val="center"/>
          </w:tcPr>
          <w:p w14:paraId="2D962397" w14:textId="77777777" w:rsidR="00241417" w:rsidRPr="0039343F" w:rsidRDefault="00241417" w:rsidP="003A71DE">
            <w:pPr>
              <w:pStyle w:val="TAC"/>
            </w:pPr>
            <w:r w:rsidRPr="0039343F">
              <w:t>pos1</w:t>
            </w:r>
          </w:p>
        </w:tc>
        <w:tc>
          <w:tcPr>
            <w:tcW w:w="1134" w:type="dxa"/>
            <w:vAlign w:val="center"/>
          </w:tcPr>
          <w:p w14:paraId="73E0331E" w14:textId="77777777" w:rsidR="00241417" w:rsidRPr="0039343F" w:rsidRDefault="00241417" w:rsidP="003A71DE">
            <w:pPr>
              <w:pStyle w:val="TAC"/>
            </w:pPr>
            <w:r w:rsidRPr="0039343F">
              <w:t>-2.8</w:t>
            </w:r>
          </w:p>
        </w:tc>
      </w:tr>
      <w:tr w:rsidR="00241417" w:rsidRPr="0039343F" w14:paraId="5F3A46AA" w14:textId="77777777" w:rsidTr="003A71DE">
        <w:trPr>
          <w:cantSplit/>
          <w:jc w:val="center"/>
        </w:trPr>
        <w:tc>
          <w:tcPr>
            <w:tcW w:w="1007" w:type="dxa"/>
            <w:vMerge/>
            <w:vAlign w:val="center"/>
          </w:tcPr>
          <w:p w14:paraId="1293D7A2" w14:textId="77777777" w:rsidR="00241417" w:rsidRPr="0039343F" w:rsidRDefault="00241417" w:rsidP="003A71DE">
            <w:pPr>
              <w:pStyle w:val="TAC"/>
            </w:pPr>
          </w:p>
        </w:tc>
        <w:tc>
          <w:tcPr>
            <w:tcW w:w="1093" w:type="dxa"/>
            <w:vMerge/>
            <w:vAlign w:val="center"/>
          </w:tcPr>
          <w:p w14:paraId="4CC417E0" w14:textId="77777777" w:rsidR="00241417" w:rsidRPr="0039343F" w:rsidRDefault="00241417" w:rsidP="003A71DE">
            <w:pPr>
              <w:pStyle w:val="TAC"/>
            </w:pPr>
          </w:p>
        </w:tc>
        <w:tc>
          <w:tcPr>
            <w:tcW w:w="1985" w:type="dxa"/>
            <w:vAlign w:val="center"/>
          </w:tcPr>
          <w:p w14:paraId="19D4C4CB" w14:textId="77777777" w:rsidR="00241417" w:rsidRPr="0039343F" w:rsidRDefault="00241417" w:rsidP="003A71DE">
            <w:pPr>
              <w:pStyle w:val="TAC"/>
            </w:pPr>
            <w:r w:rsidRPr="0039343F">
              <w:t>TDLC300-100 Low</w:t>
            </w:r>
          </w:p>
        </w:tc>
        <w:tc>
          <w:tcPr>
            <w:tcW w:w="1570" w:type="dxa"/>
            <w:vAlign w:val="center"/>
          </w:tcPr>
          <w:p w14:paraId="128E601D" w14:textId="77777777" w:rsidR="00241417" w:rsidRPr="0039343F" w:rsidRDefault="00241417" w:rsidP="003A71DE">
            <w:pPr>
              <w:pStyle w:val="TAC"/>
            </w:pPr>
            <w:r>
              <w:rPr>
                <w:lang w:eastAsia="zh-CN"/>
              </w:rPr>
              <w:t>D-FR1-A.2.3-7</w:t>
            </w:r>
          </w:p>
        </w:tc>
        <w:tc>
          <w:tcPr>
            <w:tcW w:w="1265" w:type="dxa"/>
            <w:vAlign w:val="center"/>
          </w:tcPr>
          <w:p w14:paraId="7B09ED22" w14:textId="77777777" w:rsidR="00241417" w:rsidRPr="0039343F" w:rsidRDefault="00241417" w:rsidP="003A71DE">
            <w:pPr>
              <w:pStyle w:val="TAC"/>
            </w:pPr>
            <w:r w:rsidRPr="0039343F">
              <w:t>pos1</w:t>
            </w:r>
          </w:p>
        </w:tc>
        <w:tc>
          <w:tcPr>
            <w:tcW w:w="1134" w:type="dxa"/>
            <w:vAlign w:val="center"/>
          </w:tcPr>
          <w:p w14:paraId="46DB1ED2" w14:textId="77777777" w:rsidR="00241417" w:rsidRPr="0039343F" w:rsidRDefault="00241417" w:rsidP="003A71DE">
            <w:pPr>
              <w:pStyle w:val="TAC"/>
            </w:pPr>
            <w:r w:rsidRPr="0039343F">
              <w:t>10.2</w:t>
            </w:r>
          </w:p>
        </w:tc>
      </w:tr>
      <w:tr w:rsidR="00241417" w:rsidRPr="0039343F" w14:paraId="4AB34BF5" w14:textId="77777777" w:rsidTr="003A71DE">
        <w:trPr>
          <w:cantSplit/>
          <w:jc w:val="center"/>
        </w:trPr>
        <w:tc>
          <w:tcPr>
            <w:tcW w:w="1007" w:type="dxa"/>
            <w:vMerge/>
            <w:vAlign w:val="center"/>
          </w:tcPr>
          <w:p w14:paraId="59B5C292" w14:textId="77777777" w:rsidR="00241417" w:rsidRPr="0039343F" w:rsidRDefault="00241417" w:rsidP="003A71DE">
            <w:pPr>
              <w:pStyle w:val="TAC"/>
            </w:pPr>
          </w:p>
        </w:tc>
        <w:tc>
          <w:tcPr>
            <w:tcW w:w="1093" w:type="dxa"/>
            <w:vMerge/>
            <w:tcBorders>
              <w:bottom w:val="single" w:sz="4" w:space="0" w:color="auto"/>
            </w:tcBorders>
            <w:vAlign w:val="center"/>
          </w:tcPr>
          <w:p w14:paraId="2CF63A93" w14:textId="77777777" w:rsidR="00241417" w:rsidRPr="0039343F" w:rsidRDefault="00241417" w:rsidP="003A71DE">
            <w:pPr>
              <w:pStyle w:val="TAC"/>
            </w:pPr>
          </w:p>
        </w:tc>
        <w:tc>
          <w:tcPr>
            <w:tcW w:w="1985" w:type="dxa"/>
            <w:vAlign w:val="center"/>
          </w:tcPr>
          <w:p w14:paraId="7D31E394" w14:textId="77777777" w:rsidR="00241417" w:rsidRPr="0039343F" w:rsidRDefault="00241417" w:rsidP="003A71DE">
            <w:pPr>
              <w:pStyle w:val="TAC"/>
            </w:pPr>
            <w:r w:rsidRPr="0039343F">
              <w:t>TDLA30-10 Low</w:t>
            </w:r>
          </w:p>
        </w:tc>
        <w:tc>
          <w:tcPr>
            <w:tcW w:w="1570" w:type="dxa"/>
            <w:vAlign w:val="center"/>
          </w:tcPr>
          <w:p w14:paraId="7DF49E39" w14:textId="77777777" w:rsidR="00241417" w:rsidRPr="0039343F" w:rsidRDefault="00241417" w:rsidP="003A71DE">
            <w:pPr>
              <w:pStyle w:val="TAC"/>
            </w:pPr>
            <w:r>
              <w:rPr>
                <w:lang w:eastAsia="zh-CN"/>
              </w:rPr>
              <w:t>D-FR1-A.2.4-7</w:t>
            </w:r>
          </w:p>
        </w:tc>
        <w:tc>
          <w:tcPr>
            <w:tcW w:w="1265" w:type="dxa"/>
            <w:vAlign w:val="center"/>
          </w:tcPr>
          <w:p w14:paraId="2C66DB7B" w14:textId="77777777" w:rsidR="00241417" w:rsidRPr="0039343F" w:rsidRDefault="00241417" w:rsidP="003A71DE">
            <w:pPr>
              <w:pStyle w:val="TAC"/>
            </w:pPr>
            <w:r w:rsidRPr="0039343F">
              <w:t>pos1</w:t>
            </w:r>
          </w:p>
        </w:tc>
        <w:tc>
          <w:tcPr>
            <w:tcW w:w="1134" w:type="dxa"/>
            <w:vAlign w:val="center"/>
          </w:tcPr>
          <w:p w14:paraId="00FED162" w14:textId="77777777" w:rsidR="00241417" w:rsidRPr="0039343F" w:rsidRDefault="00241417" w:rsidP="003A71DE">
            <w:pPr>
              <w:pStyle w:val="TAC"/>
            </w:pPr>
            <w:r w:rsidRPr="0039343F">
              <w:t>13.0</w:t>
            </w:r>
          </w:p>
        </w:tc>
      </w:tr>
      <w:tr w:rsidR="00241417" w:rsidRPr="0039343F" w14:paraId="331BC0F6" w14:textId="77777777" w:rsidTr="003A71DE">
        <w:trPr>
          <w:cantSplit/>
          <w:jc w:val="center"/>
        </w:trPr>
        <w:tc>
          <w:tcPr>
            <w:tcW w:w="1007" w:type="dxa"/>
            <w:vMerge/>
            <w:vAlign w:val="center"/>
          </w:tcPr>
          <w:p w14:paraId="5B75C80D" w14:textId="77777777" w:rsidR="00241417" w:rsidRPr="0039343F" w:rsidRDefault="00241417" w:rsidP="003A71DE">
            <w:pPr>
              <w:pStyle w:val="TAC"/>
            </w:pPr>
          </w:p>
        </w:tc>
        <w:tc>
          <w:tcPr>
            <w:tcW w:w="1093" w:type="dxa"/>
            <w:vMerge w:val="restart"/>
            <w:vAlign w:val="center"/>
          </w:tcPr>
          <w:p w14:paraId="50887C0E" w14:textId="77777777" w:rsidR="00241417" w:rsidRPr="0039343F" w:rsidRDefault="00241417" w:rsidP="003A71DE">
            <w:pPr>
              <w:pStyle w:val="TAC"/>
            </w:pPr>
            <w:r w:rsidRPr="0039343F">
              <w:t>4</w:t>
            </w:r>
          </w:p>
        </w:tc>
        <w:tc>
          <w:tcPr>
            <w:tcW w:w="1985" w:type="dxa"/>
            <w:vAlign w:val="center"/>
          </w:tcPr>
          <w:p w14:paraId="1F0BFD0E" w14:textId="77777777" w:rsidR="00241417" w:rsidRPr="0039343F" w:rsidRDefault="00241417" w:rsidP="003A71DE">
            <w:pPr>
              <w:pStyle w:val="TAC"/>
            </w:pPr>
            <w:r w:rsidRPr="0039343F">
              <w:t>TDLB100-400 Low</w:t>
            </w:r>
          </w:p>
        </w:tc>
        <w:tc>
          <w:tcPr>
            <w:tcW w:w="1570" w:type="dxa"/>
            <w:vAlign w:val="center"/>
          </w:tcPr>
          <w:p w14:paraId="29F7BF01" w14:textId="77777777" w:rsidR="00241417" w:rsidRPr="0039343F" w:rsidRDefault="00241417" w:rsidP="003A71DE">
            <w:pPr>
              <w:pStyle w:val="TAC"/>
            </w:pPr>
            <w:r>
              <w:rPr>
                <w:lang w:eastAsia="zh-CN"/>
              </w:rPr>
              <w:t>D-FR1-A.2.1-7</w:t>
            </w:r>
          </w:p>
        </w:tc>
        <w:tc>
          <w:tcPr>
            <w:tcW w:w="1265" w:type="dxa"/>
            <w:vAlign w:val="center"/>
          </w:tcPr>
          <w:p w14:paraId="206756B1" w14:textId="77777777" w:rsidR="00241417" w:rsidRPr="0039343F" w:rsidRDefault="00241417" w:rsidP="003A71DE">
            <w:pPr>
              <w:pStyle w:val="TAC"/>
            </w:pPr>
            <w:r w:rsidRPr="0039343F">
              <w:t>pos1</w:t>
            </w:r>
          </w:p>
        </w:tc>
        <w:tc>
          <w:tcPr>
            <w:tcW w:w="1134" w:type="dxa"/>
            <w:vAlign w:val="center"/>
          </w:tcPr>
          <w:p w14:paraId="37758929" w14:textId="77777777" w:rsidR="00241417" w:rsidRPr="0039343F" w:rsidRDefault="00241417" w:rsidP="003A71DE">
            <w:pPr>
              <w:pStyle w:val="TAC"/>
            </w:pPr>
            <w:r w:rsidRPr="0039343F">
              <w:t>-5.8</w:t>
            </w:r>
          </w:p>
        </w:tc>
      </w:tr>
      <w:tr w:rsidR="00241417" w:rsidRPr="0039343F" w14:paraId="3D5A41AC" w14:textId="77777777" w:rsidTr="003A71DE">
        <w:trPr>
          <w:cantSplit/>
          <w:jc w:val="center"/>
        </w:trPr>
        <w:tc>
          <w:tcPr>
            <w:tcW w:w="1007" w:type="dxa"/>
            <w:vMerge/>
            <w:vAlign w:val="center"/>
          </w:tcPr>
          <w:p w14:paraId="4AC679C1" w14:textId="77777777" w:rsidR="00241417" w:rsidRPr="0039343F" w:rsidRDefault="00241417" w:rsidP="003A71DE">
            <w:pPr>
              <w:pStyle w:val="TAC"/>
            </w:pPr>
          </w:p>
        </w:tc>
        <w:tc>
          <w:tcPr>
            <w:tcW w:w="1093" w:type="dxa"/>
            <w:vMerge/>
            <w:vAlign w:val="center"/>
          </w:tcPr>
          <w:p w14:paraId="3B39B987" w14:textId="77777777" w:rsidR="00241417" w:rsidRPr="0039343F" w:rsidRDefault="00241417" w:rsidP="003A71DE">
            <w:pPr>
              <w:pStyle w:val="TAC"/>
            </w:pPr>
          </w:p>
        </w:tc>
        <w:tc>
          <w:tcPr>
            <w:tcW w:w="1985" w:type="dxa"/>
            <w:vAlign w:val="center"/>
          </w:tcPr>
          <w:p w14:paraId="308F56C5" w14:textId="77777777" w:rsidR="00241417" w:rsidRPr="0039343F" w:rsidRDefault="00241417" w:rsidP="003A71DE">
            <w:pPr>
              <w:pStyle w:val="TAC"/>
            </w:pPr>
            <w:r w:rsidRPr="0039343F">
              <w:t>TDLC300-100 Low</w:t>
            </w:r>
          </w:p>
        </w:tc>
        <w:tc>
          <w:tcPr>
            <w:tcW w:w="1570" w:type="dxa"/>
            <w:vAlign w:val="center"/>
          </w:tcPr>
          <w:p w14:paraId="06009E89" w14:textId="77777777" w:rsidR="00241417" w:rsidRPr="0039343F" w:rsidRDefault="00241417" w:rsidP="003A71DE">
            <w:pPr>
              <w:pStyle w:val="TAC"/>
            </w:pPr>
            <w:r>
              <w:rPr>
                <w:lang w:eastAsia="zh-CN"/>
              </w:rPr>
              <w:t>D-FR1-A.2.3-7</w:t>
            </w:r>
          </w:p>
        </w:tc>
        <w:tc>
          <w:tcPr>
            <w:tcW w:w="1265" w:type="dxa"/>
            <w:vAlign w:val="center"/>
          </w:tcPr>
          <w:p w14:paraId="60CE8E83" w14:textId="77777777" w:rsidR="00241417" w:rsidRPr="0039343F" w:rsidRDefault="00241417" w:rsidP="003A71DE">
            <w:pPr>
              <w:pStyle w:val="TAC"/>
            </w:pPr>
            <w:r w:rsidRPr="0039343F">
              <w:t>pos1</w:t>
            </w:r>
          </w:p>
        </w:tc>
        <w:tc>
          <w:tcPr>
            <w:tcW w:w="1134" w:type="dxa"/>
            <w:vAlign w:val="center"/>
          </w:tcPr>
          <w:p w14:paraId="6F3E1FE3" w14:textId="77777777" w:rsidR="00241417" w:rsidRPr="0039343F" w:rsidRDefault="00241417" w:rsidP="003A71DE">
            <w:pPr>
              <w:pStyle w:val="TAC"/>
            </w:pPr>
            <w:r w:rsidRPr="0039343F">
              <w:t>6.5</w:t>
            </w:r>
          </w:p>
        </w:tc>
      </w:tr>
      <w:tr w:rsidR="00241417" w:rsidRPr="0039343F" w14:paraId="2DCBA510" w14:textId="77777777" w:rsidTr="003A71DE">
        <w:trPr>
          <w:cantSplit/>
          <w:jc w:val="center"/>
        </w:trPr>
        <w:tc>
          <w:tcPr>
            <w:tcW w:w="1007" w:type="dxa"/>
            <w:vMerge/>
            <w:vAlign w:val="center"/>
          </w:tcPr>
          <w:p w14:paraId="4A964737" w14:textId="77777777" w:rsidR="00241417" w:rsidRPr="0039343F" w:rsidRDefault="00241417" w:rsidP="003A71DE">
            <w:pPr>
              <w:pStyle w:val="TAC"/>
            </w:pPr>
          </w:p>
        </w:tc>
        <w:tc>
          <w:tcPr>
            <w:tcW w:w="1093" w:type="dxa"/>
            <w:vMerge/>
            <w:tcBorders>
              <w:bottom w:val="single" w:sz="4" w:space="0" w:color="auto"/>
            </w:tcBorders>
            <w:vAlign w:val="center"/>
          </w:tcPr>
          <w:p w14:paraId="0236D9C2" w14:textId="77777777" w:rsidR="00241417" w:rsidRPr="0039343F" w:rsidRDefault="00241417" w:rsidP="003A71DE">
            <w:pPr>
              <w:pStyle w:val="TAC"/>
            </w:pPr>
          </w:p>
        </w:tc>
        <w:tc>
          <w:tcPr>
            <w:tcW w:w="1985" w:type="dxa"/>
            <w:vAlign w:val="center"/>
          </w:tcPr>
          <w:p w14:paraId="0D4C939D" w14:textId="77777777" w:rsidR="00241417" w:rsidRPr="0039343F" w:rsidRDefault="00241417" w:rsidP="003A71DE">
            <w:pPr>
              <w:pStyle w:val="TAC"/>
            </w:pPr>
            <w:r w:rsidRPr="0039343F">
              <w:t>TDLA30-10 Low</w:t>
            </w:r>
          </w:p>
        </w:tc>
        <w:tc>
          <w:tcPr>
            <w:tcW w:w="1570" w:type="dxa"/>
            <w:vAlign w:val="center"/>
          </w:tcPr>
          <w:p w14:paraId="4DC7A0FD" w14:textId="77777777" w:rsidR="00241417" w:rsidRPr="0039343F" w:rsidRDefault="00241417" w:rsidP="003A71DE">
            <w:pPr>
              <w:pStyle w:val="TAC"/>
            </w:pPr>
            <w:r>
              <w:rPr>
                <w:lang w:eastAsia="zh-CN"/>
              </w:rPr>
              <w:t>D-FR1-A.2.4-7</w:t>
            </w:r>
          </w:p>
        </w:tc>
        <w:tc>
          <w:tcPr>
            <w:tcW w:w="1265" w:type="dxa"/>
            <w:vAlign w:val="center"/>
          </w:tcPr>
          <w:p w14:paraId="7E77E828" w14:textId="77777777" w:rsidR="00241417" w:rsidRPr="0039343F" w:rsidRDefault="00241417" w:rsidP="003A71DE">
            <w:pPr>
              <w:pStyle w:val="TAC"/>
            </w:pPr>
            <w:r w:rsidRPr="0039343F">
              <w:t>pos1</w:t>
            </w:r>
          </w:p>
        </w:tc>
        <w:tc>
          <w:tcPr>
            <w:tcW w:w="1134" w:type="dxa"/>
            <w:vAlign w:val="center"/>
          </w:tcPr>
          <w:p w14:paraId="59124AC7" w14:textId="77777777" w:rsidR="00241417" w:rsidRPr="0039343F" w:rsidRDefault="00241417" w:rsidP="003A71DE">
            <w:pPr>
              <w:pStyle w:val="TAC"/>
            </w:pPr>
            <w:r w:rsidRPr="0039343F">
              <w:t>9.0</w:t>
            </w:r>
          </w:p>
        </w:tc>
      </w:tr>
      <w:tr w:rsidR="00241417" w:rsidRPr="0039343F" w14:paraId="0B69B1F8" w14:textId="77777777" w:rsidTr="003A71DE">
        <w:trPr>
          <w:cantSplit/>
          <w:jc w:val="center"/>
        </w:trPr>
        <w:tc>
          <w:tcPr>
            <w:tcW w:w="1007" w:type="dxa"/>
            <w:vMerge/>
            <w:vAlign w:val="center"/>
          </w:tcPr>
          <w:p w14:paraId="78881872" w14:textId="77777777" w:rsidR="00241417" w:rsidRPr="0039343F" w:rsidRDefault="00241417" w:rsidP="003A71DE">
            <w:pPr>
              <w:pStyle w:val="TAC"/>
            </w:pPr>
          </w:p>
        </w:tc>
        <w:tc>
          <w:tcPr>
            <w:tcW w:w="1093" w:type="dxa"/>
            <w:vMerge w:val="restart"/>
            <w:vAlign w:val="center"/>
          </w:tcPr>
          <w:p w14:paraId="181ED21D" w14:textId="77777777" w:rsidR="00241417" w:rsidRPr="0039343F" w:rsidRDefault="00241417" w:rsidP="003A71DE">
            <w:pPr>
              <w:pStyle w:val="TAC"/>
            </w:pPr>
            <w:r w:rsidRPr="0039343F">
              <w:t>8</w:t>
            </w:r>
          </w:p>
        </w:tc>
        <w:tc>
          <w:tcPr>
            <w:tcW w:w="1985" w:type="dxa"/>
            <w:vAlign w:val="center"/>
          </w:tcPr>
          <w:p w14:paraId="716F7062" w14:textId="77777777" w:rsidR="00241417" w:rsidRPr="0039343F" w:rsidRDefault="00241417" w:rsidP="003A71DE">
            <w:pPr>
              <w:pStyle w:val="TAC"/>
            </w:pPr>
            <w:r w:rsidRPr="0039343F">
              <w:t>TDLB100-400 Low</w:t>
            </w:r>
          </w:p>
        </w:tc>
        <w:tc>
          <w:tcPr>
            <w:tcW w:w="1570" w:type="dxa"/>
            <w:vAlign w:val="center"/>
          </w:tcPr>
          <w:p w14:paraId="5B37553D" w14:textId="77777777" w:rsidR="00241417" w:rsidRPr="0039343F" w:rsidRDefault="00241417" w:rsidP="003A71DE">
            <w:pPr>
              <w:pStyle w:val="TAC"/>
            </w:pPr>
            <w:r>
              <w:rPr>
                <w:lang w:eastAsia="zh-CN"/>
              </w:rPr>
              <w:t>D-FR1-A.2.1-7</w:t>
            </w:r>
          </w:p>
        </w:tc>
        <w:tc>
          <w:tcPr>
            <w:tcW w:w="1265" w:type="dxa"/>
            <w:vAlign w:val="center"/>
          </w:tcPr>
          <w:p w14:paraId="74CDE5E4" w14:textId="77777777" w:rsidR="00241417" w:rsidRPr="0039343F" w:rsidRDefault="00241417" w:rsidP="003A71DE">
            <w:pPr>
              <w:pStyle w:val="TAC"/>
            </w:pPr>
            <w:r w:rsidRPr="0039343F">
              <w:t>pos1</w:t>
            </w:r>
          </w:p>
        </w:tc>
        <w:tc>
          <w:tcPr>
            <w:tcW w:w="1134" w:type="dxa"/>
            <w:vAlign w:val="center"/>
          </w:tcPr>
          <w:p w14:paraId="19F948C7" w14:textId="77777777" w:rsidR="00241417" w:rsidRPr="0039343F" w:rsidRDefault="00241417" w:rsidP="003A71DE">
            <w:pPr>
              <w:pStyle w:val="TAC"/>
            </w:pPr>
            <w:r w:rsidRPr="0039343F">
              <w:t>-8.7</w:t>
            </w:r>
          </w:p>
        </w:tc>
      </w:tr>
      <w:tr w:rsidR="00241417" w:rsidRPr="0039343F" w14:paraId="4B1634E8" w14:textId="77777777" w:rsidTr="003A71DE">
        <w:trPr>
          <w:cantSplit/>
          <w:jc w:val="center"/>
        </w:trPr>
        <w:tc>
          <w:tcPr>
            <w:tcW w:w="1007" w:type="dxa"/>
            <w:vMerge/>
            <w:vAlign w:val="center"/>
          </w:tcPr>
          <w:p w14:paraId="70DD28FE" w14:textId="77777777" w:rsidR="00241417" w:rsidRPr="0039343F" w:rsidRDefault="00241417" w:rsidP="003A71DE">
            <w:pPr>
              <w:pStyle w:val="TAC"/>
            </w:pPr>
          </w:p>
        </w:tc>
        <w:tc>
          <w:tcPr>
            <w:tcW w:w="1093" w:type="dxa"/>
            <w:vMerge/>
            <w:vAlign w:val="center"/>
          </w:tcPr>
          <w:p w14:paraId="6F7A976D" w14:textId="77777777" w:rsidR="00241417" w:rsidRPr="0039343F" w:rsidRDefault="00241417" w:rsidP="003A71DE">
            <w:pPr>
              <w:pStyle w:val="TAC"/>
            </w:pPr>
          </w:p>
        </w:tc>
        <w:tc>
          <w:tcPr>
            <w:tcW w:w="1985" w:type="dxa"/>
            <w:vAlign w:val="center"/>
          </w:tcPr>
          <w:p w14:paraId="4D1013E1" w14:textId="77777777" w:rsidR="00241417" w:rsidRPr="0039343F" w:rsidRDefault="00241417" w:rsidP="003A71DE">
            <w:pPr>
              <w:pStyle w:val="TAC"/>
            </w:pPr>
            <w:r w:rsidRPr="0039343F">
              <w:t>TDLC300-100 Low</w:t>
            </w:r>
          </w:p>
        </w:tc>
        <w:tc>
          <w:tcPr>
            <w:tcW w:w="1570" w:type="dxa"/>
            <w:vAlign w:val="center"/>
          </w:tcPr>
          <w:p w14:paraId="7CD76C23" w14:textId="77777777" w:rsidR="00241417" w:rsidRPr="0039343F" w:rsidRDefault="00241417" w:rsidP="003A71DE">
            <w:pPr>
              <w:pStyle w:val="TAC"/>
            </w:pPr>
            <w:r>
              <w:rPr>
                <w:lang w:eastAsia="zh-CN"/>
              </w:rPr>
              <w:t>D-FR1-A.2.3-7</w:t>
            </w:r>
          </w:p>
        </w:tc>
        <w:tc>
          <w:tcPr>
            <w:tcW w:w="1265" w:type="dxa"/>
            <w:vAlign w:val="center"/>
          </w:tcPr>
          <w:p w14:paraId="6F5C6CE7" w14:textId="77777777" w:rsidR="00241417" w:rsidRPr="0039343F" w:rsidRDefault="00241417" w:rsidP="003A71DE">
            <w:pPr>
              <w:pStyle w:val="TAC"/>
            </w:pPr>
            <w:r w:rsidRPr="0039343F">
              <w:t>pos1</w:t>
            </w:r>
          </w:p>
        </w:tc>
        <w:tc>
          <w:tcPr>
            <w:tcW w:w="1134" w:type="dxa"/>
            <w:vAlign w:val="center"/>
          </w:tcPr>
          <w:p w14:paraId="47CAD33A" w14:textId="77777777" w:rsidR="00241417" w:rsidRPr="0039343F" w:rsidRDefault="00241417" w:rsidP="003A71DE">
            <w:pPr>
              <w:pStyle w:val="TAC"/>
            </w:pPr>
            <w:r w:rsidRPr="0039343F">
              <w:t>3.2</w:t>
            </w:r>
          </w:p>
        </w:tc>
      </w:tr>
      <w:tr w:rsidR="00241417" w:rsidRPr="0039343F" w14:paraId="5C21F12F" w14:textId="77777777" w:rsidTr="003A71DE">
        <w:trPr>
          <w:cantSplit/>
          <w:jc w:val="center"/>
        </w:trPr>
        <w:tc>
          <w:tcPr>
            <w:tcW w:w="1007" w:type="dxa"/>
            <w:vMerge/>
            <w:tcBorders>
              <w:bottom w:val="single" w:sz="4" w:space="0" w:color="auto"/>
            </w:tcBorders>
            <w:vAlign w:val="center"/>
          </w:tcPr>
          <w:p w14:paraId="2DF88425" w14:textId="77777777" w:rsidR="00241417" w:rsidRPr="0039343F" w:rsidRDefault="00241417" w:rsidP="003A71DE">
            <w:pPr>
              <w:pStyle w:val="TAC"/>
            </w:pPr>
          </w:p>
        </w:tc>
        <w:tc>
          <w:tcPr>
            <w:tcW w:w="1093" w:type="dxa"/>
            <w:vMerge/>
            <w:tcBorders>
              <w:bottom w:val="single" w:sz="4" w:space="0" w:color="auto"/>
            </w:tcBorders>
            <w:vAlign w:val="center"/>
          </w:tcPr>
          <w:p w14:paraId="31F24D71" w14:textId="77777777" w:rsidR="00241417" w:rsidRPr="0039343F" w:rsidRDefault="00241417" w:rsidP="003A71DE">
            <w:pPr>
              <w:pStyle w:val="TAC"/>
            </w:pPr>
          </w:p>
        </w:tc>
        <w:tc>
          <w:tcPr>
            <w:tcW w:w="1985" w:type="dxa"/>
            <w:vAlign w:val="center"/>
          </w:tcPr>
          <w:p w14:paraId="3791C543" w14:textId="77777777" w:rsidR="00241417" w:rsidRPr="0039343F" w:rsidRDefault="00241417" w:rsidP="003A71DE">
            <w:pPr>
              <w:pStyle w:val="TAC"/>
            </w:pPr>
            <w:r w:rsidRPr="0039343F">
              <w:t>TDLA30-10 Low</w:t>
            </w:r>
          </w:p>
        </w:tc>
        <w:tc>
          <w:tcPr>
            <w:tcW w:w="1570" w:type="dxa"/>
            <w:vAlign w:val="center"/>
          </w:tcPr>
          <w:p w14:paraId="6E4973AE" w14:textId="77777777" w:rsidR="00241417" w:rsidRPr="0039343F" w:rsidRDefault="00241417" w:rsidP="003A71DE">
            <w:pPr>
              <w:pStyle w:val="TAC"/>
            </w:pPr>
            <w:r>
              <w:rPr>
                <w:lang w:eastAsia="zh-CN"/>
              </w:rPr>
              <w:t>D-FR1-A.2.4-7</w:t>
            </w:r>
          </w:p>
        </w:tc>
        <w:tc>
          <w:tcPr>
            <w:tcW w:w="1265" w:type="dxa"/>
            <w:vAlign w:val="center"/>
          </w:tcPr>
          <w:p w14:paraId="12E7B9F9" w14:textId="77777777" w:rsidR="00241417" w:rsidRPr="0039343F" w:rsidRDefault="00241417" w:rsidP="003A71DE">
            <w:pPr>
              <w:pStyle w:val="TAC"/>
            </w:pPr>
            <w:r w:rsidRPr="0039343F">
              <w:t>pos1</w:t>
            </w:r>
          </w:p>
        </w:tc>
        <w:tc>
          <w:tcPr>
            <w:tcW w:w="1134" w:type="dxa"/>
            <w:vAlign w:val="center"/>
          </w:tcPr>
          <w:p w14:paraId="5ED63E53" w14:textId="77777777" w:rsidR="00241417" w:rsidRPr="0039343F" w:rsidRDefault="00241417" w:rsidP="003A71DE">
            <w:pPr>
              <w:pStyle w:val="TAC"/>
            </w:pPr>
            <w:r w:rsidRPr="0039343F">
              <w:t>5.8</w:t>
            </w:r>
          </w:p>
        </w:tc>
      </w:tr>
      <w:tr w:rsidR="00241417" w:rsidRPr="0039343F" w14:paraId="6905DC2D" w14:textId="77777777" w:rsidTr="003A71DE">
        <w:trPr>
          <w:cantSplit/>
          <w:jc w:val="center"/>
        </w:trPr>
        <w:tc>
          <w:tcPr>
            <w:tcW w:w="1007" w:type="dxa"/>
            <w:vMerge w:val="restart"/>
            <w:vAlign w:val="center"/>
          </w:tcPr>
          <w:p w14:paraId="1D2E7BA8" w14:textId="77777777" w:rsidR="00241417" w:rsidRPr="0039343F" w:rsidRDefault="00241417" w:rsidP="003A71DE">
            <w:pPr>
              <w:pStyle w:val="TAC"/>
            </w:pPr>
            <w:r w:rsidRPr="0039343F">
              <w:t>2</w:t>
            </w:r>
          </w:p>
        </w:tc>
        <w:tc>
          <w:tcPr>
            <w:tcW w:w="1093" w:type="dxa"/>
            <w:vMerge w:val="restart"/>
            <w:vAlign w:val="center"/>
          </w:tcPr>
          <w:p w14:paraId="1B4A9EDF" w14:textId="77777777" w:rsidR="00241417" w:rsidRPr="0039343F" w:rsidRDefault="00241417" w:rsidP="003A71DE">
            <w:pPr>
              <w:pStyle w:val="TAC"/>
            </w:pPr>
            <w:r w:rsidRPr="0039343F">
              <w:t>2</w:t>
            </w:r>
          </w:p>
        </w:tc>
        <w:tc>
          <w:tcPr>
            <w:tcW w:w="1985" w:type="dxa"/>
            <w:vAlign w:val="center"/>
          </w:tcPr>
          <w:p w14:paraId="18BD8564" w14:textId="77777777" w:rsidR="00241417" w:rsidRPr="0039343F" w:rsidRDefault="00241417" w:rsidP="003A71DE">
            <w:pPr>
              <w:pStyle w:val="TAC"/>
            </w:pPr>
            <w:r w:rsidRPr="0039343F">
              <w:t>TDLB100-400 Low</w:t>
            </w:r>
          </w:p>
        </w:tc>
        <w:tc>
          <w:tcPr>
            <w:tcW w:w="1570" w:type="dxa"/>
            <w:vAlign w:val="center"/>
          </w:tcPr>
          <w:p w14:paraId="39B2FF88" w14:textId="77777777" w:rsidR="00241417" w:rsidRPr="0039343F" w:rsidRDefault="00241417" w:rsidP="003A71DE">
            <w:pPr>
              <w:pStyle w:val="TAC"/>
            </w:pPr>
            <w:r>
              <w:rPr>
                <w:lang w:eastAsia="zh-CN"/>
              </w:rPr>
              <w:t>D-FR1-A.2.1-14</w:t>
            </w:r>
          </w:p>
        </w:tc>
        <w:tc>
          <w:tcPr>
            <w:tcW w:w="1265" w:type="dxa"/>
            <w:vAlign w:val="center"/>
          </w:tcPr>
          <w:p w14:paraId="2301D2B5" w14:textId="77777777" w:rsidR="00241417" w:rsidRPr="0039343F" w:rsidRDefault="00241417" w:rsidP="003A71DE">
            <w:pPr>
              <w:pStyle w:val="TAC"/>
            </w:pPr>
            <w:r w:rsidRPr="0039343F">
              <w:t>pos1</w:t>
            </w:r>
          </w:p>
        </w:tc>
        <w:tc>
          <w:tcPr>
            <w:tcW w:w="1134" w:type="dxa"/>
            <w:vAlign w:val="center"/>
          </w:tcPr>
          <w:p w14:paraId="17FD3C7A" w14:textId="77777777" w:rsidR="00241417" w:rsidRPr="0039343F" w:rsidRDefault="00241417" w:rsidP="003A71DE">
            <w:pPr>
              <w:pStyle w:val="TAC"/>
            </w:pPr>
            <w:r w:rsidRPr="0039343F">
              <w:t>1.4</w:t>
            </w:r>
          </w:p>
        </w:tc>
      </w:tr>
      <w:tr w:rsidR="00241417" w:rsidRPr="0039343F" w14:paraId="12B9403A" w14:textId="77777777" w:rsidTr="003A71DE">
        <w:trPr>
          <w:cantSplit/>
          <w:jc w:val="center"/>
        </w:trPr>
        <w:tc>
          <w:tcPr>
            <w:tcW w:w="1007" w:type="dxa"/>
            <w:vMerge/>
            <w:vAlign w:val="center"/>
          </w:tcPr>
          <w:p w14:paraId="20DC8B9B" w14:textId="77777777" w:rsidR="00241417" w:rsidRPr="0039343F" w:rsidRDefault="00241417" w:rsidP="003A71DE">
            <w:pPr>
              <w:pStyle w:val="TAC"/>
            </w:pPr>
          </w:p>
        </w:tc>
        <w:tc>
          <w:tcPr>
            <w:tcW w:w="1093" w:type="dxa"/>
            <w:vMerge/>
            <w:tcBorders>
              <w:bottom w:val="single" w:sz="4" w:space="0" w:color="auto"/>
            </w:tcBorders>
            <w:vAlign w:val="center"/>
          </w:tcPr>
          <w:p w14:paraId="47E48A4E" w14:textId="77777777" w:rsidR="00241417" w:rsidRPr="0039343F" w:rsidRDefault="00241417" w:rsidP="003A71DE">
            <w:pPr>
              <w:pStyle w:val="TAC"/>
            </w:pPr>
          </w:p>
        </w:tc>
        <w:tc>
          <w:tcPr>
            <w:tcW w:w="1985" w:type="dxa"/>
            <w:vAlign w:val="center"/>
          </w:tcPr>
          <w:p w14:paraId="259AB9BD" w14:textId="77777777" w:rsidR="00241417" w:rsidRPr="0039343F" w:rsidRDefault="00241417" w:rsidP="003A71DE">
            <w:pPr>
              <w:pStyle w:val="TAC"/>
            </w:pPr>
            <w:r w:rsidRPr="0039343F">
              <w:t>TDLC300-100 Low</w:t>
            </w:r>
          </w:p>
        </w:tc>
        <w:tc>
          <w:tcPr>
            <w:tcW w:w="1570" w:type="dxa"/>
            <w:vAlign w:val="center"/>
          </w:tcPr>
          <w:p w14:paraId="3BD4549D" w14:textId="77777777" w:rsidR="00241417" w:rsidRPr="0039343F" w:rsidRDefault="00241417" w:rsidP="003A71DE">
            <w:pPr>
              <w:pStyle w:val="TAC"/>
              <w:rPr>
                <w:lang w:eastAsia="zh-CN"/>
              </w:rPr>
            </w:pPr>
            <w:r>
              <w:rPr>
                <w:lang w:eastAsia="zh-CN"/>
              </w:rPr>
              <w:t>D-FR1-A.2.3-14</w:t>
            </w:r>
          </w:p>
        </w:tc>
        <w:tc>
          <w:tcPr>
            <w:tcW w:w="1265" w:type="dxa"/>
            <w:vAlign w:val="center"/>
          </w:tcPr>
          <w:p w14:paraId="5BBED36A" w14:textId="77777777" w:rsidR="00241417" w:rsidRPr="0039343F" w:rsidRDefault="00241417" w:rsidP="003A71DE">
            <w:pPr>
              <w:pStyle w:val="TAC"/>
            </w:pPr>
            <w:r w:rsidRPr="0039343F">
              <w:t>pos1</w:t>
            </w:r>
          </w:p>
        </w:tc>
        <w:tc>
          <w:tcPr>
            <w:tcW w:w="1134" w:type="dxa"/>
            <w:vAlign w:val="center"/>
          </w:tcPr>
          <w:p w14:paraId="42C1752E" w14:textId="77777777" w:rsidR="00241417" w:rsidRPr="0039343F" w:rsidRDefault="00241417" w:rsidP="003A71DE">
            <w:pPr>
              <w:pStyle w:val="TAC"/>
            </w:pPr>
            <w:r w:rsidRPr="0039343F">
              <w:t>19.2</w:t>
            </w:r>
          </w:p>
        </w:tc>
      </w:tr>
      <w:tr w:rsidR="00241417" w:rsidRPr="0039343F" w14:paraId="0CCBFB49" w14:textId="77777777" w:rsidTr="003A71DE">
        <w:trPr>
          <w:cantSplit/>
          <w:jc w:val="center"/>
        </w:trPr>
        <w:tc>
          <w:tcPr>
            <w:tcW w:w="1007" w:type="dxa"/>
            <w:vMerge/>
            <w:vAlign w:val="center"/>
          </w:tcPr>
          <w:p w14:paraId="67E1B4BA" w14:textId="77777777" w:rsidR="00241417" w:rsidRPr="0039343F" w:rsidRDefault="00241417" w:rsidP="003A71DE">
            <w:pPr>
              <w:pStyle w:val="TAC"/>
            </w:pPr>
          </w:p>
        </w:tc>
        <w:tc>
          <w:tcPr>
            <w:tcW w:w="1093" w:type="dxa"/>
            <w:vMerge w:val="restart"/>
            <w:tcBorders>
              <w:top w:val="single" w:sz="4" w:space="0" w:color="auto"/>
            </w:tcBorders>
            <w:vAlign w:val="center"/>
          </w:tcPr>
          <w:p w14:paraId="58DF4498" w14:textId="77777777" w:rsidR="00241417" w:rsidRPr="0039343F" w:rsidRDefault="00241417" w:rsidP="003A71DE">
            <w:pPr>
              <w:pStyle w:val="TAC"/>
            </w:pPr>
            <w:r w:rsidRPr="0039343F">
              <w:t>4</w:t>
            </w:r>
          </w:p>
        </w:tc>
        <w:tc>
          <w:tcPr>
            <w:tcW w:w="1985" w:type="dxa"/>
            <w:vAlign w:val="center"/>
          </w:tcPr>
          <w:p w14:paraId="0857732F" w14:textId="77777777" w:rsidR="00241417" w:rsidRPr="0039343F" w:rsidRDefault="00241417" w:rsidP="003A71DE">
            <w:pPr>
              <w:pStyle w:val="TAC"/>
            </w:pPr>
            <w:r w:rsidRPr="0039343F">
              <w:t>TDLB100-400 Low</w:t>
            </w:r>
          </w:p>
        </w:tc>
        <w:tc>
          <w:tcPr>
            <w:tcW w:w="1570" w:type="dxa"/>
            <w:vAlign w:val="center"/>
          </w:tcPr>
          <w:p w14:paraId="1DEA7E22" w14:textId="77777777" w:rsidR="00241417" w:rsidRPr="0039343F" w:rsidRDefault="00241417" w:rsidP="003A71DE">
            <w:pPr>
              <w:pStyle w:val="TAC"/>
              <w:rPr>
                <w:lang w:eastAsia="zh-CN"/>
              </w:rPr>
            </w:pPr>
            <w:r>
              <w:rPr>
                <w:lang w:eastAsia="zh-CN"/>
              </w:rPr>
              <w:t>D-FR1-A.2.1-14</w:t>
            </w:r>
          </w:p>
        </w:tc>
        <w:tc>
          <w:tcPr>
            <w:tcW w:w="1265" w:type="dxa"/>
            <w:vAlign w:val="center"/>
          </w:tcPr>
          <w:p w14:paraId="47F5B0B3" w14:textId="77777777" w:rsidR="00241417" w:rsidRPr="0039343F" w:rsidRDefault="00241417" w:rsidP="003A71DE">
            <w:pPr>
              <w:pStyle w:val="TAC"/>
            </w:pPr>
            <w:r w:rsidRPr="0039343F">
              <w:t>pos1</w:t>
            </w:r>
          </w:p>
        </w:tc>
        <w:tc>
          <w:tcPr>
            <w:tcW w:w="1134" w:type="dxa"/>
            <w:vAlign w:val="center"/>
          </w:tcPr>
          <w:p w14:paraId="37888E68" w14:textId="77777777" w:rsidR="00241417" w:rsidRPr="0039343F" w:rsidRDefault="00241417" w:rsidP="003A71DE">
            <w:pPr>
              <w:pStyle w:val="TAC"/>
            </w:pPr>
            <w:r w:rsidRPr="0039343F">
              <w:t>-2.2</w:t>
            </w:r>
          </w:p>
        </w:tc>
      </w:tr>
      <w:tr w:rsidR="00241417" w:rsidRPr="0039343F" w14:paraId="2C759411" w14:textId="77777777" w:rsidTr="003A71DE">
        <w:trPr>
          <w:cantSplit/>
          <w:jc w:val="center"/>
        </w:trPr>
        <w:tc>
          <w:tcPr>
            <w:tcW w:w="1007" w:type="dxa"/>
            <w:vMerge/>
            <w:vAlign w:val="center"/>
          </w:tcPr>
          <w:p w14:paraId="0873C849" w14:textId="77777777" w:rsidR="00241417" w:rsidRPr="0039343F" w:rsidRDefault="00241417" w:rsidP="003A71DE">
            <w:pPr>
              <w:pStyle w:val="TAC"/>
            </w:pPr>
          </w:p>
        </w:tc>
        <w:tc>
          <w:tcPr>
            <w:tcW w:w="1093" w:type="dxa"/>
            <w:vMerge/>
            <w:tcBorders>
              <w:bottom w:val="single" w:sz="4" w:space="0" w:color="auto"/>
            </w:tcBorders>
            <w:vAlign w:val="center"/>
          </w:tcPr>
          <w:p w14:paraId="5CD744CD" w14:textId="77777777" w:rsidR="00241417" w:rsidRPr="0039343F" w:rsidRDefault="00241417" w:rsidP="003A71DE">
            <w:pPr>
              <w:pStyle w:val="TAC"/>
            </w:pPr>
          </w:p>
        </w:tc>
        <w:tc>
          <w:tcPr>
            <w:tcW w:w="1985" w:type="dxa"/>
            <w:vAlign w:val="center"/>
          </w:tcPr>
          <w:p w14:paraId="497753B9" w14:textId="77777777" w:rsidR="00241417" w:rsidRPr="0039343F" w:rsidRDefault="00241417" w:rsidP="003A71DE">
            <w:pPr>
              <w:pStyle w:val="TAC"/>
            </w:pPr>
            <w:r w:rsidRPr="0039343F">
              <w:t>TDLC300-100 Low</w:t>
            </w:r>
          </w:p>
        </w:tc>
        <w:tc>
          <w:tcPr>
            <w:tcW w:w="1570" w:type="dxa"/>
            <w:vAlign w:val="center"/>
          </w:tcPr>
          <w:p w14:paraId="01D3C597" w14:textId="77777777" w:rsidR="00241417" w:rsidRPr="0039343F" w:rsidRDefault="00241417" w:rsidP="003A71DE">
            <w:pPr>
              <w:pStyle w:val="TAC"/>
              <w:rPr>
                <w:lang w:eastAsia="zh-CN"/>
              </w:rPr>
            </w:pPr>
            <w:r>
              <w:rPr>
                <w:lang w:eastAsia="zh-CN"/>
              </w:rPr>
              <w:t>D-FR1-A.2.3-14</w:t>
            </w:r>
          </w:p>
        </w:tc>
        <w:tc>
          <w:tcPr>
            <w:tcW w:w="1265" w:type="dxa"/>
            <w:vAlign w:val="center"/>
          </w:tcPr>
          <w:p w14:paraId="344FDC1E" w14:textId="77777777" w:rsidR="00241417" w:rsidRPr="0039343F" w:rsidRDefault="00241417" w:rsidP="003A71DE">
            <w:pPr>
              <w:pStyle w:val="TAC"/>
            </w:pPr>
            <w:r w:rsidRPr="0039343F">
              <w:t>pos1</w:t>
            </w:r>
          </w:p>
        </w:tc>
        <w:tc>
          <w:tcPr>
            <w:tcW w:w="1134" w:type="dxa"/>
            <w:vAlign w:val="center"/>
          </w:tcPr>
          <w:p w14:paraId="76BC2F75" w14:textId="77777777" w:rsidR="00241417" w:rsidRPr="0039343F" w:rsidRDefault="00241417" w:rsidP="003A71DE">
            <w:pPr>
              <w:pStyle w:val="TAC"/>
            </w:pPr>
            <w:r w:rsidRPr="0039343F">
              <w:t>11.6</w:t>
            </w:r>
          </w:p>
        </w:tc>
      </w:tr>
      <w:tr w:rsidR="00241417" w:rsidRPr="0039343F" w14:paraId="34F8A841" w14:textId="77777777" w:rsidTr="003A71DE">
        <w:trPr>
          <w:cantSplit/>
          <w:jc w:val="center"/>
        </w:trPr>
        <w:tc>
          <w:tcPr>
            <w:tcW w:w="1007" w:type="dxa"/>
            <w:vMerge/>
            <w:vAlign w:val="center"/>
          </w:tcPr>
          <w:p w14:paraId="35BE0DB1" w14:textId="77777777" w:rsidR="00241417" w:rsidRPr="0039343F" w:rsidRDefault="00241417" w:rsidP="003A71DE">
            <w:pPr>
              <w:pStyle w:val="TAC"/>
            </w:pPr>
          </w:p>
        </w:tc>
        <w:tc>
          <w:tcPr>
            <w:tcW w:w="1093" w:type="dxa"/>
            <w:vMerge w:val="restart"/>
            <w:tcBorders>
              <w:top w:val="single" w:sz="4" w:space="0" w:color="auto"/>
            </w:tcBorders>
            <w:vAlign w:val="center"/>
          </w:tcPr>
          <w:p w14:paraId="57201E02" w14:textId="77777777" w:rsidR="00241417" w:rsidRPr="0039343F" w:rsidRDefault="00241417" w:rsidP="003A71DE">
            <w:pPr>
              <w:pStyle w:val="TAC"/>
            </w:pPr>
            <w:r w:rsidRPr="0039343F">
              <w:t>8</w:t>
            </w:r>
          </w:p>
        </w:tc>
        <w:tc>
          <w:tcPr>
            <w:tcW w:w="1985" w:type="dxa"/>
            <w:vAlign w:val="center"/>
          </w:tcPr>
          <w:p w14:paraId="062C2359" w14:textId="77777777" w:rsidR="00241417" w:rsidRPr="0039343F" w:rsidRDefault="00241417" w:rsidP="003A71DE">
            <w:pPr>
              <w:pStyle w:val="TAC"/>
            </w:pPr>
            <w:r w:rsidRPr="0039343F">
              <w:t>TDLB100-400 Low</w:t>
            </w:r>
          </w:p>
        </w:tc>
        <w:tc>
          <w:tcPr>
            <w:tcW w:w="1570" w:type="dxa"/>
            <w:vAlign w:val="center"/>
          </w:tcPr>
          <w:p w14:paraId="6654C108" w14:textId="77777777" w:rsidR="00241417" w:rsidRPr="0039343F" w:rsidRDefault="00241417" w:rsidP="003A71DE">
            <w:pPr>
              <w:pStyle w:val="TAC"/>
              <w:rPr>
                <w:lang w:eastAsia="zh-CN"/>
              </w:rPr>
            </w:pPr>
            <w:r>
              <w:rPr>
                <w:lang w:eastAsia="zh-CN"/>
              </w:rPr>
              <w:t>D-FR1-A.2.1-14</w:t>
            </w:r>
          </w:p>
        </w:tc>
        <w:tc>
          <w:tcPr>
            <w:tcW w:w="1265" w:type="dxa"/>
            <w:vAlign w:val="center"/>
          </w:tcPr>
          <w:p w14:paraId="5C7E367B" w14:textId="77777777" w:rsidR="00241417" w:rsidRPr="0039343F" w:rsidRDefault="00241417" w:rsidP="003A71DE">
            <w:pPr>
              <w:pStyle w:val="TAC"/>
            </w:pPr>
            <w:r w:rsidRPr="0039343F">
              <w:t>pos1</w:t>
            </w:r>
          </w:p>
        </w:tc>
        <w:tc>
          <w:tcPr>
            <w:tcW w:w="1134" w:type="dxa"/>
            <w:vAlign w:val="center"/>
          </w:tcPr>
          <w:p w14:paraId="70FD0012" w14:textId="77777777" w:rsidR="00241417" w:rsidRPr="0039343F" w:rsidRDefault="00241417" w:rsidP="003A71DE">
            <w:pPr>
              <w:pStyle w:val="TAC"/>
            </w:pPr>
            <w:r w:rsidRPr="0039343F">
              <w:t>-5.2</w:t>
            </w:r>
          </w:p>
        </w:tc>
      </w:tr>
      <w:tr w:rsidR="00241417" w:rsidRPr="0039343F" w14:paraId="2D01A7EA" w14:textId="77777777" w:rsidTr="003A71DE">
        <w:trPr>
          <w:cantSplit/>
          <w:jc w:val="center"/>
        </w:trPr>
        <w:tc>
          <w:tcPr>
            <w:tcW w:w="1007" w:type="dxa"/>
            <w:vMerge/>
            <w:vAlign w:val="center"/>
          </w:tcPr>
          <w:p w14:paraId="425B86E0" w14:textId="77777777" w:rsidR="00241417" w:rsidRPr="0039343F" w:rsidRDefault="00241417" w:rsidP="003A71DE">
            <w:pPr>
              <w:pStyle w:val="TAC"/>
            </w:pPr>
          </w:p>
        </w:tc>
        <w:tc>
          <w:tcPr>
            <w:tcW w:w="1093" w:type="dxa"/>
            <w:vMerge/>
            <w:vAlign w:val="center"/>
          </w:tcPr>
          <w:p w14:paraId="4C52213B" w14:textId="77777777" w:rsidR="00241417" w:rsidRPr="0039343F" w:rsidRDefault="00241417" w:rsidP="003A71DE">
            <w:pPr>
              <w:pStyle w:val="TAC"/>
            </w:pPr>
          </w:p>
        </w:tc>
        <w:tc>
          <w:tcPr>
            <w:tcW w:w="1985" w:type="dxa"/>
            <w:vAlign w:val="center"/>
          </w:tcPr>
          <w:p w14:paraId="05D1B6D1" w14:textId="77777777" w:rsidR="00241417" w:rsidRPr="0039343F" w:rsidRDefault="00241417" w:rsidP="003A71DE">
            <w:pPr>
              <w:pStyle w:val="TAC"/>
            </w:pPr>
            <w:r w:rsidRPr="0039343F">
              <w:t>TDLC300-100 Low</w:t>
            </w:r>
          </w:p>
        </w:tc>
        <w:tc>
          <w:tcPr>
            <w:tcW w:w="1570" w:type="dxa"/>
            <w:vAlign w:val="center"/>
          </w:tcPr>
          <w:p w14:paraId="595F365B" w14:textId="77777777" w:rsidR="00241417" w:rsidRPr="0039343F" w:rsidRDefault="00241417" w:rsidP="003A71DE">
            <w:pPr>
              <w:pStyle w:val="TAC"/>
              <w:rPr>
                <w:lang w:eastAsia="zh-CN"/>
              </w:rPr>
            </w:pPr>
            <w:r>
              <w:rPr>
                <w:lang w:eastAsia="zh-CN"/>
              </w:rPr>
              <w:t>D-FR1-A.2.3-14</w:t>
            </w:r>
          </w:p>
        </w:tc>
        <w:tc>
          <w:tcPr>
            <w:tcW w:w="1265" w:type="dxa"/>
            <w:vAlign w:val="center"/>
          </w:tcPr>
          <w:p w14:paraId="34B5375F" w14:textId="77777777" w:rsidR="00241417" w:rsidRPr="0039343F" w:rsidRDefault="00241417" w:rsidP="003A71DE">
            <w:pPr>
              <w:pStyle w:val="TAC"/>
            </w:pPr>
            <w:r w:rsidRPr="0039343F">
              <w:t>pos1</w:t>
            </w:r>
          </w:p>
        </w:tc>
        <w:tc>
          <w:tcPr>
            <w:tcW w:w="1134" w:type="dxa"/>
            <w:vAlign w:val="center"/>
          </w:tcPr>
          <w:p w14:paraId="271A0A16" w14:textId="77777777" w:rsidR="00241417" w:rsidRPr="0039343F" w:rsidRDefault="00241417" w:rsidP="003A71DE">
            <w:pPr>
              <w:pStyle w:val="TAC"/>
            </w:pPr>
            <w:r w:rsidRPr="0039343F">
              <w:t>7.1</w:t>
            </w:r>
          </w:p>
        </w:tc>
      </w:tr>
    </w:tbl>
    <w:p w14:paraId="33937F25" w14:textId="77777777" w:rsidR="00241417" w:rsidRPr="0039343F" w:rsidRDefault="00241417" w:rsidP="00241417">
      <w:pPr>
        <w:rPr>
          <w:lang w:eastAsia="zh-CN"/>
        </w:rPr>
      </w:pPr>
    </w:p>
    <w:p w14:paraId="3C817EB1" w14:textId="77777777" w:rsidR="00241417" w:rsidRPr="00920E66" w:rsidRDefault="00241417" w:rsidP="00241417">
      <w:pPr>
        <w:pStyle w:val="TH"/>
        <w:rPr>
          <w:lang w:eastAsia="zh-CN"/>
        </w:rPr>
      </w:pPr>
      <w:r w:rsidRPr="00920E66">
        <w:t>Table 8.1.2.1.2-8: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B, 5 MHz channel bandwidth</w:t>
      </w:r>
      <w:r w:rsidRPr="00920E66">
        <w:rPr>
          <w:lang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418"/>
        <w:gridCol w:w="1417"/>
        <w:gridCol w:w="1134"/>
      </w:tblGrid>
      <w:tr w:rsidR="00241417" w:rsidRPr="0039343F" w14:paraId="31135396" w14:textId="77777777" w:rsidTr="003A71DE">
        <w:trPr>
          <w:cantSplit/>
          <w:jc w:val="center"/>
        </w:trPr>
        <w:tc>
          <w:tcPr>
            <w:tcW w:w="1007" w:type="dxa"/>
            <w:tcBorders>
              <w:bottom w:val="single" w:sz="4" w:space="0" w:color="auto"/>
            </w:tcBorders>
            <w:vAlign w:val="center"/>
          </w:tcPr>
          <w:p w14:paraId="4EE61462"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6BA8C366" w14:textId="77777777" w:rsidR="00241417" w:rsidRPr="0039343F" w:rsidRDefault="00241417" w:rsidP="003A71DE">
            <w:pPr>
              <w:pStyle w:val="TAH"/>
            </w:pPr>
            <w:r w:rsidRPr="0039343F">
              <w:t xml:space="preserve">Number of </w:t>
            </w:r>
            <w:r>
              <w:t>Demodulation Branches</w:t>
            </w:r>
          </w:p>
        </w:tc>
        <w:tc>
          <w:tcPr>
            <w:tcW w:w="1985" w:type="dxa"/>
            <w:vAlign w:val="center"/>
          </w:tcPr>
          <w:p w14:paraId="445D0B0D" w14:textId="22426E59" w:rsidR="00241417" w:rsidRPr="0039343F" w:rsidRDefault="00241417" w:rsidP="003A71DE">
            <w:pPr>
              <w:pStyle w:val="TAH"/>
            </w:pPr>
            <w:r w:rsidRPr="0039343F">
              <w:t xml:space="preserve">Propagation conditions and correlation matrix (Annex </w:t>
            </w:r>
            <w:r>
              <w:t>TBA</w:t>
            </w:r>
            <w:r w:rsidRPr="0039343F">
              <w:t>)</w:t>
            </w:r>
          </w:p>
        </w:tc>
        <w:tc>
          <w:tcPr>
            <w:tcW w:w="1418" w:type="dxa"/>
            <w:vAlign w:val="center"/>
          </w:tcPr>
          <w:p w14:paraId="407DDA3F" w14:textId="77777777" w:rsidR="00241417" w:rsidRPr="0039343F" w:rsidRDefault="00241417" w:rsidP="003A71DE">
            <w:pPr>
              <w:pStyle w:val="TAH"/>
            </w:pPr>
            <w:r w:rsidRPr="0039343F">
              <w:t>FRC</w:t>
            </w:r>
            <w:r w:rsidRPr="0039343F">
              <w:br/>
              <w:t>(Annex A)</w:t>
            </w:r>
          </w:p>
        </w:tc>
        <w:tc>
          <w:tcPr>
            <w:tcW w:w="1417" w:type="dxa"/>
            <w:vAlign w:val="center"/>
          </w:tcPr>
          <w:p w14:paraId="372A8BA3" w14:textId="77777777" w:rsidR="00241417" w:rsidRPr="0039343F" w:rsidRDefault="00241417" w:rsidP="003A71DE">
            <w:pPr>
              <w:pStyle w:val="TAH"/>
            </w:pPr>
            <w:r w:rsidRPr="0039343F">
              <w:t>Additional DM-RS position</w:t>
            </w:r>
          </w:p>
        </w:tc>
        <w:tc>
          <w:tcPr>
            <w:tcW w:w="1134" w:type="dxa"/>
            <w:vAlign w:val="center"/>
          </w:tcPr>
          <w:p w14:paraId="763BC381" w14:textId="77777777" w:rsidR="00241417" w:rsidRPr="0039343F" w:rsidRDefault="00241417" w:rsidP="003A71DE">
            <w:pPr>
              <w:pStyle w:val="TAH"/>
            </w:pPr>
            <w:r w:rsidRPr="0039343F">
              <w:t>SNR</w:t>
            </w:r>
          </w:p>
          <w:p w14:paraId="6DC81D27" w14:textId="77777777" w:rsidR="00241417" w:rsidRPr="0039343F" w:rsidRDefault="00241417" w:rsidP="003A71DE">
            <w:pPr>
              <w:pStyle w:val="TAH"/>
            </w:pPr>
            <w:r w:rsidRPr="0039343F">
              <w:t>(dB)</w:t>
            </w:r>
          </w:p>
        </w:tc>
      </w:tr>
      <w:tr w:rsidR="00241417" w:rsidRPr="0039343F" w14:paraId="4D305017" w14:textId="77777777" w:rsidTr="003A71DE">
        <w:trPr>
          <w:cantSplit/>
          <w:jc w:val="center"/>
        </w:trPr>
        <w:tc>
          <w:tcPr>
            <w:tcW w:w="1007" w:type="dxa"/>
            <w:vMerge w:val="restart"/>
            <w:vAlign w:val="center"/>
          </w:tcPr>
          <w:p w14:paraId="4D7A630E" w14:textId="77777777" w:rsidR="00241417" w:rsidRPr="0039343F" w:rsidRDefault="00241417" w:rsidP="003A71DE">
            <w:pPr>
              <w:pStyle w:val="TAC"/>
            </w:pPr>
            <w:r w:rsidRPr="0039343F">
              <w:t>1</w:t>
            </w:r>
          </w:p>
        </w:tc>
        <w:tc>
          <w:tcPr>
            <w:tcW w:w="1093" w:type="dxa"/>
            <w:vMerge w:val="restart"/>
            <w:vAlign w:val="center"/>
          </w:tcPr>
          <w:p w14:paraId="6B36E773" w14:textId="77777777" w:rsidR="00241417" w:rsidRPr="0039343F" w:rsidRDefault="00241417" w:rsidP="003A71DE">
            <w:pPr>
              <w:pStyle w:val="TAC"/>
            </w:pPr>
            <w:r w:rsidRPr="0039343F">
              <w:t>2</w:t>
            </w:r>
          </w:p>
        </w:tc>
        <w:tc>
          <w:tcPr>
            <w:tcW w:w="1985" w:type="dxa"/>
            <w:vAlign w:val="center"/>
          </w:tcPr>
          <w:p w14:paraId="345A1F0A" w14:textId="77777777" w:rsidR="00241417" w:rsidRPr="0039343F" w:rsidRDefault="00241417" w:rsidP="003A71DE">
            <w:pPr>
              <w:pStyle w:val="TAC"/>
            </w:pPr>
            <w:r w:rsidRPr="0039343F">
              <w:t>TDLB100-400 Low</w:t>
            </w:r>
          </w:p>
        </w:tc>
        <w:tc>
          <w:tcPr>
            <w:tcW w:w="1418" w:type="dxa"/>
            <w:vAlign w:val="center"/>
          </w:tcPr>
          <w:p w14:paraId="00658AA5" w14:textId="77777777" w:rsidR="00241417" w:rsidRPr="0039343F" w:rsidRDefault="00241417" w:rsidP="003A71DE">
            <w:pPr>
              <w:pStyle w:val="TAC"/>
            </w:pPr>
            <w:r>
              <w:t>D-FR1-A.2.1-1</w:t>
            </w:r>
          </w:p>
        </w:tc>
        <w:tc>
          <w:tcPr>
            <w:tcW w:w="1417" w:type="dxa"/>
            <w:vAlign w:val="center"/>
          </w:tcPr>
          <w:p w14:paraId="52847E68" w14:textId="77777777" w:rsidR="00241417" w:rsidRPr="0039343F" w:rsidRDefault="00241417" w:rsidP="003A71DE">
            <w:pPr>
              <w:pStyle w:val="TAC"/>
            </w:pPr>
            <w:r w:rsidRPr="0039343F">
              <w:t>pos1</w:t>
            </w:r>
          </w:p>
        </w:tc>
        <w:tc>
          <w:tcPr>
            <w:tcW w:w="1134" w:type="dxa"/>
            <w:vAlign w:val="center"/>
          </w:tcPr>
          <w:p w14:paraId="3FF24AE7" w14:textId="77777777" w:rsidR="00241417" w:rsidRPr="0039343F" w:rsidRDefault="00241417" w:rsidP="003A71DE">
            <w:pPr>
              <w:pStyle w:val="TAC"/>
            </w:pPr>
            <w:r w:rsidRPr="0039343F">
              <w:t>-2.3</w:t>
            </w:r>
          </w:p>
        </w:tc>
      </w:tr>
      <w:tr w:rsidR="00241417" w:rsidRPr="0039343F" w14:paraId="3AB4453D" w14:textId="77777777" w:rsidTr="003A71DE">
        <w:trPr>
          <w:cantSplit/>
          <w:jc w:val="center"/>
        </w:trPr>
        <w:tc>
          <w:tcPr>
            <w:tcW w:w="1007" w:type="dxa"/>
            <w:vMerge/>
            <w:vAlign w:val="center"/>
          </w:tcPr>
          <w:p w14:paraId="517D69D5" w14:textId="77777777" w:rsidR="00241417" w:rsidRPr="0039343F" w:rsidRDefault="00241417" w:rsidP="003A71DE">
            <w:pPr>
              <w:pStyle w:val="TAC"/>
            </w:pPr>
          </w:p>
        </w:tc>
        <w:tc>
          <w:tcPr>
            <w:tcW w:w="1093" w:type="dxa"/>
            <w:vMerge/>
            <w:vAlign w:val="center"/>
          </w:tcPr>
          <w:p w14:paraId="5351E44C" w14:textId="77777777" w:rsidR="00241417" w:rsidRPr="0039343F" w:rsidRDefault="00241417" w:rsidP="003A71DE">
            <w:pPr>
              <w:pStyle w:val="TAC"/>
            </w:pPr>
          </w:p>
        </w:tc>
        <w:tc>
          <w:tcPr>
            <w:tcW w:w="1985" w:type="dxa"/>
            <w:vAlign w:val="center"/>
          </w:tcPr>
          <w:p w14:paraId="07B0223C" w14:textId="77777777" w:rsidR="00241417" w:rsidRPr="0039343F" w:rsidRDefault="00241417" w:rsidP="003A71DE">
            <w:pPr>
              <w:pStyle w:val="TAC"/>
            </w:pPr>
            <w:r w:rsidRPr="0039343F">
              <w:t>TDLC300-100 Low</w:t>
            </w:r>
          </w:p>
        </w:tc>
        <w:tc>
          <w:tcPr>
            <w:tcW w:w="1418" w:type="dxa"/>
            <w:vAlign w:val="center"/>
          </w:tcPr>
          <w:p w14:paraId="0B1E1D7C" w14:textId="77777777" w:rsidR="00241417" w:rsidRPr="0039343F" w:rsidRDefault="00241417" w:rsidP="003A71DE">
            <w:pPr>
              <w:pStyle w:val="TAC"/>
            </w:pPr>
            <w:r>
              <w:t>D-FR1-A.2.3-1</w:t>
            </w:r>
          </w:p>
        </w:tc>
        <w:tc>
          <w:tcPr>
            <w:tcW w:w="1417" w:type="dxa"/>
            <w:vAlign w:val="center"/>
          </w:tcPr>
          <w:p w14:paraId="1D5DCEAE" w14:textId="77777777" w:rsidR="00241417" w:rsidRPr="0039343F" w:rsidRDefault="00241417" w:rsidP="003A71DE">
            <w:pPr>
              <w:pStyle w:val="TAC"/>
            </w:pPr>
            <w:r w:rsidRPr="0039343F">
              <w:t>pos1</w:t>
            </w:r>
          </w:p>
        </w:tc>
        <w:tc>
          <w:tcPr>
            <w:tcW w:w="1134" w:type="dxa"/>
            <w:vAlign w:val="center"/>
          </w:tcPr>
          <w:p w14:paraId="32CE9844" w14:textId="77777777" w:rsidR="00241417" w:rsidRPr="0039343F" w:rsidRDefault="00241417" w:rsidP="003A71DE">
            <w:pPr>
              <w:pStyle w:val="TAC"/>
            </w:pPr>
            <w:r w:rsidRPr="0039343F">
              <w:t>10.2</w:t>
            </w:r>
          </w:p>
        </w:tc>
      </w:tr>
      <w:tr w:rsidR="00241417" w:rsidRPr="0039343F" w14:paraId="61F6D90A" w14:textId="77777777" w:rsidTr="003A71DE">
        <w:trPr>
          <w:cantSplit/>
          <w:jc w:val="center"/>
        </w:trPr>
        <w:tc>
          <w:tcPr>
            <w:tcW w:w="1007" w:type="dxa"/>
            <w:vMerge/>
            <w:vAlign w:val="center"/>
          </w:tcPr>
          <w:p w14:paraId="30D11B83" w14:textId="77777777" w:rsidR="00241417" w:rsidRPr="0039343F" w:rsidRDefault="00241417" w:rsidP="003A71DE">
            <w:pPr>
              <w:pStyle w:val="TAC"/>
            </w:pPr>
          </w:p>
        </w:tc>
        <w:tc>
          <w:tcPr>
            <w:tcW w:w="1093" w:type="dxa"/>
            <w:vMerge/>
            <w:tcBorders>
              <w:bottom w:val="single" w:sz="4" w:space="0" w:color="auto"/>
            </w:tcBorders>
            <w:vAlign w:val="center"/>
          </w:tcPr>
          <w:p w14:paraId="61194F13" w14:textId="77777777" w:rsidR="00241417" w:rsidRPr="0039343F" w:rsidRDefault="00241417" w:rsidP="003A71DE">
            <w:pPr>
              <w:pStyle w:val="TAC"/>
            </w:pPr>
          </w:p>
        </w:tc>
        <w:tc>
          <w:tcPr>
            <w:tcW w:w="1985" w:type="dxa"/>
            <w:vAlign w:val="center"/>
          </w:tcPr>
          <w:p w14:paraId="22FB679E" w14:textId="77777777" w:rsidR="00241417" w:rsidRPr="0039343F" w:rsidRDefault="00241417" w:rsidP="003A71DE">
            <w:pPr>
              <w:pStyle w:val="TAC"/>
            </w:pPr>
            <w:r w:rsidRPr="0039343F">
              <w:t>TDLA30-10 Low</w:t>
            </w:r>
          </w:p>
        </w:tc>
        <w:tc>
          <w:tcPr>
            <w:tcW w:w="1418" w:type="dxa"/>
            <w:vAlign w:val="center"/>
          </w:tcPr>
          <w:p w14:paraId="21C2D877" w14:textId="77777777" w:rsidR="00241417" w:rsidRPr="0039343F" w:rsidRDefault="00241417" w:rsidP="003A71DE">
            <w:pPr>
              <w:pStyle w:val="TAC"/>
            </w:pPr>
            <w:r>
              <w:t>D-FR1-A.2.4-1</w:t>
            </w:r>
          </w:p>
        </w:tc>
        <w:tc>
          <w:tcPr>
            <w:tcW w:w="1417" w:type="dxa"/>
            <w:vAlign w:val="center"/>
          </w:tcPr>
          <w:p w14:paraId="4AF70C52" w14:textId="77777777" w:rsidR="00241417" w:rsidRPr="0039343F" w:rsidRDefault="00241417" w:rsidP="003A71DE">
            <w:pPr>
              <w:pStyle w:val="TAC"/>
            </w:pPr>
            <w:r w:rsidRPr="0039343F">
              <w:t>pos1</w:t>
            </w:r>
          </w:p>
        </w:tc>
        <w:tc>
          <w:tcPr>
            <w:tcW w:w="1134" w:type="dxa"/>
            <w:vAlign w:val="center"/>
          </w:tcPr>
          <w:p w14:paraId="02A07D62" w14:textId="77777777" w:rsidR="00241417" w:rsidRPr="0039343F" w:rsidRDefault="00241417" w:rsidP="003A71DE">
            <w:pPr>
              <w:pStyle w:val="TAC"/>
            </w:pPr>
            <w:r w:rsidRPr="0039343F">
              <w:t>12.5</w:t>
            </w:r>
          </w:p>
        </w:tc>
      </w:tr>
      <w:tr w:rsidR="00241417" w:rsidRPr="0039343F" w14:paraId="44A99910" w14:textId="77777777" w:rsidTr="003A71DE">
        <w:trPr>
          <w:cantSplit/>
          <w:jc w:val="center"/>
        </w:trPr>
        <w:tc>
          <w:tcPr>
            <w:tcW w:w="1007" w:type="dxa"/>
            <w:vMerge/>
            <w:vAlign w:val="center"/>
          </w:tcPr>
          <w:p w14:paraId="55F13691" w14:textId="77777777" w:rsidR="00241417" w:rsidRPr="0039343F" w:rsidRDefault="00241417" w:rsidP="003A71DE">
            <w:pPr>
              <w:pStyle w:val="TAC"/>
            </w:pPr>
          </w:p>
        </w:tc>
        <w:tc>
          <w:tcPr>
            <w:tcW w:w="1093" w:type="dxa"/>
            <w:vMerge w:val="restart"/>
            <w:vAlign w:val="center"/>
          </w:tcPr>
          <w:p w14:paraId="21C732AB" w14:textId="77777777" w:rsidR="00241417" w:rsidRPr="0039343F" w:rsidRDefault="00241417" w:rsidP="003A71DE">
            <w:pPr>
              <w:pStyle w:val="TAC"/>
            </w:pPr>
            <w:r w:rsidRPr="0039343F">
              <w:t>4</w:t>
            </w:r>
          </w:p>
        </w:tc>
        <w:tc>
          <w:tcPr>
            <w:tcW w:w="1985" w:type="dxa"/>
            <w:vAlign w:val="center"/>
          </w:tcPr>
          <w:p w14:paraId="71EF835D" w14:textId="77777777" w:rsidR="00241417" w:rsidRPr="0039343F" w:rsidRDefault="00241417" w:rsidP="003A71DE">
            <w:pPr>
              <w:pStyle w:val="TAC"/>
            </w:pPr>
            <w:r w:rsidRPr="0039343F">
              <w:t>TDLB100-400 Low</w:t>
            </w:r>
          </w:p>
        </w:tc>
        <w:tc>
          <w:tcPr>
            <w:tcW w:w="1418" w:type="dxa"/>
            <w:vAlign w:val="center"/>
          </w:tcPr>
          <w:p w14:paraId="0C8F7E4D" w14:textId="77777777" w:rsidR="00241417" w:rsidRPr="0039343F" w:rsidRDefault="00241417" w:rsidP="003A71DE">
            <w:pPr>
              <w:pStyle w:val="TAC"/>
            </w:pPr>
            <w:r>
              <w:t>D-FR1-A.2.1-1</w:t>
            </w:r>
          </w:p>
        </w:tc>
        <w:tc>
          <w:tcPr>
            <w:tcW w:w="1417" w:type="dxa"/>
            <w:vAlign w:val="center"/>
          </w:tcPr>
          <w:p w14:paraId="77ECF8A8" w14:textId="77777777" w:rsidR="00241417" w:rsidRPr="0039343F" w:rsidRDefault="00241417" w:rsidP="003A71DE">
            <w:pPr>
              <w:pStyle w:val="TAC"/>
            </w:pPr>
            <w:r w:rsidRPr="0039343F">
              <w:t>pos1</w:t>
            </w:r>
          </w:p>
        </w:tc>
        <w:tc>
          <w:tcPr>
            <w:tcW w:w="1134" w:type="dxa"/>
            <w:vAlign w:val="center"/>
          </w:tcPr>
          <w:p w14:paraId="590C3712" w14:textId="77777777" w:rsidR="00241417" w:rsidRPr="0039343F" w:rsidRDefault="00241417" w:rsidP="003A71DE">
            <w:pPr>
              <w:pStyle w:val="TAC"/>
            </w:pPr>
            <w:r w:rsidRPr="0039343F">
              <w:t>-5.7</w:t>
            </w:r>
          </w:p>
        </w:tc>
      </w:tr>
      <w:tr w:rsidR="00241417" w:rsidRPr="0039343F" w14:paraId="3892A137" w14:textId="77777777" w:rsidTr="003A71DE">
        <w:trPr>
          <w:cantSplit/>
          <w:jc w:val="center"/>
        </w:trPr>
        <w:tc>
          <w:tcPr>
            <w:tcW w:w="1007" w:type="dxa"/>
            <w:vMerge/>
            <w:vAlign w:val="center"/>
          </w:tcPr>
          <w:p w14:paraId="3961C764" w14:textId="77777777" w:rsidR="00241417" w:rsidRPr="0039343F" w:rsidRDefault="00241417" w:rsidP="003A71DE">
            <w:pPr>
              <w:pStyle w:val="TAC"/>
            </w:pPr>
          </w:p>
        </w:tc>
        <w:tc>
          <w:tcPr>
            <w:tcW w:w="1093" w:type="dxa"/>
            <w:vMerge/>
            <w:vAlign w:val="center"/>
          </w:tcPr>
          <w:p w14:paraId="772B133A" w14:textId="77777777" w:rsidR="00241417" w:rsidRPr="0039343F" w:rsidRDefault="00241417" w:rsidP="003A71DE">
            <w:pPr>
              <w:pStyle w:val="TAC"/>
            </w:pPr>
          </w:p>
        </w:tc>
        <w:tc>
          <w:tcPr>
            <w:tcW w:w="1985" w:type="dxa"/>
            <w:vAlign w:val="center"/>
          </w:tcPr>
          <w:p w14:paraId="4A8D9859" w14:textId="77777777" w:rsidR="00241417" w:rsidRPr="0039343F" w:rsidRDefault="00241417" w:rsidP="003A71DE">
            <w:pPr>
              <w:pStyle w:val="TAC"/>
            </w:pPr>
            <w:r w:rsidRPr="0039343F">
              <w:t>TDLC300-100 Low</w:t>
            </w:r>
          </w:p>
        </w:tc>
        <w:tc>
          <w:tcPr>
            <w:tcW w:w="1418" w:type="dxa"/>
            <w:vAlign w:val="center"/>
          </w:tcPr>
          <w:p w14:paraId="351A66F9" w14:textId="77777777" w:rsidR="00241417" w:rsidRPr="0039343F" w:rsidRDefault="00241417" w:rsidP="003A71DE">
            <w:pPr>
              <w:pStyle w:val="TAC"/>
            </w:pPr>
            <w:r>
              <w:t>D-FR1-A.2.3-1</w:t>
            </w:r>
          </w:p>
        </w:tc>
        <w:tc>
          <w:tcPr>
            <w:tcW w:w="1417" w:type="dxa"/>
            <w:vAlign w:val="center"/>
          </w:tcPr>
          <w:p w14:paraId="50ED33BA" w14:textId="77777777" w:rsidR="00241417" w:rsidRPr="0039343F" w:rsidRDefault="00241417" w:rsidP="003A71DE">
            <w:pPr>
              <w:pStyle w:val="TAC"/>
            </w:pPr>
            <w:r w:rsidRPr="0039343F">
              <w:t>pos1</w:t>
            </w:r>
          </w:p>
        </w:tc>
        <w:tc>
          <w:tcPr>
            <w:tcW w:w="1134" w:type="dxa"/>
            <w:vAlign w:val="center"/>
          </w:tcPr>
          <w:p w14:paraId="36E6352C" w14:textId="77777777" w:rsidR="00241417" w:rsidRPr="0039343F" w:rsidRDefault="00241417" w:rsidP="003A71DE">
            <w:pPr>
              <w:pStyle w:val="TAC"/>
            </w:pPr>
            <w:r w:rsidRPr="0039343F">
              <w:t>6.3</w:t>
            </w:r>
          </w:p>
        </w:tc>
      </w:tr>
      <w:tr w:rsidR="00241417" w:rsidRPr="0039343F" w14:paraId="1D85E787" w14:textId="77777777" w:rsidTr="003A71DE">
        <w:trPr>
          <w:cantSplit/>
          <w:jc w:val="center"/>
        </w:trPr>
        <w:tc>
          <w:tcPr>
            <w:tcW w:w="1007" w:type="dxa"/>
            <w:vMerge/>
            <w:vAlign w:val="center"/>
          </w:tcPr>
          <w:p w14:paraId="6C3F98B7" w14:textId="77777777" w:rsidR="00241417" w:rsidRPr="0039343F" w:rsidRDefault="00241417" w:rsidP="003A71DE">
            <w:pPr>
              <w:pStyle w:val="TAC"/>
            </w:pPr>
          </w:p>
        </w:tc>
        <w:tc>
          <w:tcPr>
            <w:tcW w:w="1093" w:type="dxa"/>
            <w:vMerge/>
            <w:tcBorders>
              <w:bottom w:val="single" w:sz="4" w:space="0" w:color="auto"/>
            </w:tcBorders>
            <w:vAlign w:val="center"/>
          </w:tcPr>
          <w:p w14:paraId="5ED2873C" w14:textId="77777777" w:rsidR="00241417" w:rsidRPr="0039343F" w:rsidRDefault="00241417" w:rsidP="003A71DE">
            <w:pPr>
              <w:pStyle w:val="TAC"/>
            </w:pPr>
          </w:p>
        </w:tc>
        <w:tc>
          <w:tcPr>
            <w:tcW w:w="1985" w:type="dxa"/>
            <w:vAlign w:val="center"/>
          </w:tcPr>
          <w:p w14:paraId="4D9AF238" w14:textId="77777777" w:rsidR="00241417" w:rsidRPr="0039343F" w:rsidRDefault="00241417" w:rsidP="003A71DE">
            <w:pPr>
              <w:pStyle w:val="TAC"/>
            </w:pPr>
            <w:r w:rsidRPr="0039343F">
              <w:t>TDLA30-10 Low</w:t>
            </w:r>
          </w:p>
        </w:tc>
        <w:tc>
          <w:tcPr>
            <w:tcW w:w="1418" w:type="dxa"/>
            <w:vAlign w:val="center"/>
          </w:tcPr>
          <w:p w14:paraId="4C4B3DFD" w14:textId="77777777" w:rsidR="00241417" w:rsidRPr="0039343F" w:rsidRDefault="00241417" w:rsidP="003A71DE">
            <w:pPr>
              <w:pStyle w:val="TAC"/>
            </w:pPr>
            <w:r>
              <w:t>D-FR1-A.2.4-1</w:t>
            </w:r>
          </w:p>
        </w:tc>
        <w:tc>
          <w:tcPr>
            <w:tcW w:w="1417" w:type="dxa"/>
            <w:vAlign w:val="center"/>
          </w:tcPr>
          <w:p w14:paraId="7D95DF1C" w14:textId="77777777" w:rsidR="00241417" w:rsidRPr="0039343F" w:rsidRDefault="00241417" w:rsidP="003A71DE">
            <w:pPr>
              <w:pStyle w:val="TAC"/>
            </w:pPr>
            <w:r w:rsidRPr="0039343F">
              <w:t>pos1</w:t>
            </w:r>
          </w:p>
        </w:tc>
        <w:tc>
          <w:tcPr>
            <w:tcW w:w="1134" w:type="dxa"/>
            <w:vAlign w:val="center"/>
          </w:tcPr>
          <w:p w14:paraId="799D2AF5" w14:textId="77777777" w:rsidR="00241417" w:rsidRPr="0039343F" w:rsidRDefault="00241417" w:rsidP="003A71DE">
            <w:pPr>
              <w:pStyle w:val="TAC"/>
            </w:pPr>
            <w:r w:rsidRPr="0039343F">
              <w:t>8.9</w:t>
            </w:r>
          </w:p>
        </w:tc>
      </w:tr>
      <w:tr w:rsidR="00241417" w:rsidRPr="0039343F" w14:paraId="7DF6500D" w14:textId="77777777" w:rsidTr="003A71DE">
        <w:trPr>
          <w:cantSplit/>
          <w:jc w:val="center"/>
        </w:trPr>
        <w:tc>
          <w:tcPr>
            <w:tcW w:w="1007" w:type="dxa"/>
            <w:vMerge/>
            <w:vAlign w:val="center"/>
          </w:tcPr>
          <w:p w14:paraId="350FD686" w14:textId="77777777" w:rsidR="00241417" w:rsidRPr="0039343F" w:rsidRDefault="00241417" w:rsidP="003A71DE">
            <w:pPr>
              <w:pStyle w:val="TAC"/>
            </w:pPr>
          </w:p>
        </w:tc>
        <w:tc>
          <w:tcPr>
            <w:tcW w:w="1093" w:type="dxa"/>
            <w:vMerge w:val="restart"/>
            <w:vAlign w:val="center"/>
          </w:tcPr>
          <w:p w14:paraId="3BA59A29" w14:textId="77777777" w:rsidR="00241417" w:rsidRPr="0039343F" w:rsidRDefault="00241417" w:rsidP="003A71DE">
            <w:pPr>
              <w:pStyle w:val="TAC"/>
            </w:pPr>
            <w:r w:rsidRPr="0039343F">
              <w:t>8</w:t>
            </w:r>
          </w:p>
        </w:tc>
        <w:tc>
          <w:tcPr>
            <w:tcW w:w="1985" w:type="dxa"/>
            <w:vAlign w:val="center"/>
          </w:tcPr>
          <w:p w14:paraId="5B17FBAC" w14:textId="77777777" w:rsidR="00241417" w:rsidRPr="0039343F" w:rsidRDefault="00241417" w:rsidP="003A71DE">
            <w:pPr>
              <w:pStyle w:val="TAC"/>
            </w:pPr>
            <w:r w:rsidRPr="0039343F">
              <w:t>TDLB100-400 Low</w:t>
            </w:r>
          </w:p>
        </w:tc>
        <w:tc>
          <w:tcPr>
            <w:tcW w:w="1418" w:type="dxa"/>
            <w:vAlign w:val="center"/>
          </w:tcPr>
          <w:p w14:paraId="421EDB16" w14:textId="77777777" w:rsidR="00241417" w:rsidRPr="0039343F" w:rsidRDefault="00241417" w:rsidP="003A71DE">
            <w:pPr>
              <w:pStyle w:val="TAC"/>
            </w:pPr>
            <w:r>
              <w:t>D-FR1-A.2.1-1</w:t>
            </w:r>
          </w:p>
        </w:tc>
        <w:tc>
          <w:tcPr>
            <w:tcW w:w="1417" w:type="dxa"/>
            <w:vAlign w:val="center"/>
          </w:tcPr>
          <w:p w14:paraId="34C7C085" w14:textId="77777777" w:rsidR="00241417" w:rsidRPr="0039343F" w:rsidRDefault="00241417" w:rsidP="003A71DE">
            <w:pPr>
              <w:pStyle w:val="TAC"/>
            </w:pPr>
            <w:r w:rsidRPr="0039343F">
              <w:t>pos1</w:t>
            </w:r>
          </w:p>
        </w:tc>
        <w:tc>
          <w:tcPr>
            <w:tcW w:w="1134" w:type="dxa"/>
            <w:vAlign w:val="center"/>
          </w:tcPr>
          <w:p w14:paraId="6E318CE0" w14:textId="77777777" w:rsidR="00241417" w:rsidRPr="0039343F" w:rsidRDefault="00241417" w:rsidP="003A71DE">
            <w:pPr>
              <w:pStyle w:val="TAC"/>
            </w:pPr>
            <w:r w:rsidRPr="0039343F">
              <w:t>-8.7</w:t>
            </w:r>
          </w:p>
        </w:tc>
      </w:tr>
      <w:tr w:rsidR="00241417" w:rsidRPr="0039343F" w14:paraId="7CF38D45" w14:textId="77777777" w:rsidTr="003A71DE">
        <w:trPr>
          <w:cantSplit/>
          <w:jc w:val="center"/>
        </w:trPr>
        <w:tc>
          <w:tcPr>
            <w:tcW w:w="1007" w:type="dxa"/>
            <w:vMerge/>
            <w:vAlign w:val="center"/>
          </w:tcPr>
          <w:p w14:paraId="6D6A0B77" w14:textId="77777777" w:rsidR="00241417" w:rsidRPr="0039343F" w:rsidRDefault="00241417" w:rsidP="003A71DE">
            <w:pPr>
              <w:pStyle w:val="TAC"/>
            </w:pPr>
          </w:p>
        </w:tc>
        <w:tc>
          <w:tcPr>
            <w:tcW w:w="1093" w:type="dxa"/>
            <w:vMerge/>
            <w:vAlign w:val="center"/>
          </w:tcPr>
          <w:p w14:paraId="1846C11B" w14:textId="77777777" w:rsidR="00241417" w:rsidRPr="0039343F" w:rsidRDefault="00241417" w:rsidP="003A71DE">
            <w:pPr>
              <w:pStyle w:val="TAC"/>
            </w:pPr>
          </w:p>
        </w:tc>
        <w:tc>
          <w:tcPr>
            <w:tcW w:w="1985" w:type="dxa"/>
            <w:vAlign w:val="center"/>
          </w:tcPr>
          <w:p w14:paraId="6D6AD96F" w14:textId="77777777" w:rsidR="00241417" w:rsidRPr="0039343F" w:rsidRDefault="00241417" w:rsidP="003A71DE">
            <w:pPr>
              <w:pStyle w:val="TAC"/>
            </w:pPr>
            <w:r w:rsidRPr="0039343F">
              <w:t>TDLC300-100 Low</w:t>
            </w:r>
          </w:p>
        </w:tc>
        <w:tc>
          <w:tcPr>
            <w:tcW w:w="1418" w:type="dxa"/>
            <w:vAlign w:val="center"/>
          </w:tcPr>
          <w:p w14:paraId="3724731B" w14:textId="77777777" w:rsidR="00241417" w:rsidRPr="0039343F" w:rsidRDefault="00241417" w:rsidP="003A71DE">
            <w:pPr>
              <w:pStyle w:val="TAC"/>
            </w:pPr>
            <w:r>
              <w:t>D-FR1-A.2.3-1</w:t>
            </w:r>
          </w:p>
        </w:tc>
        <w:tc>
          <w:tcPr>
            <w:tcW w:w="1417" w:type="dxa"/>
            <w:vAlign w:val="center"/>
          </w:tcPr>
          <w:p w14:paraId="0C60AF59" w14:textId="77777777" w:rsidR="00241417" w:rsidRPr="0039343F" w:rsidRDefault="00241417" w:rsidP="003A71DE">
            <w:pPr>
              <w:pStyle w:val="TAC"/>
            </w:pPr>
            <w:r w:rsidRPr="0039343F">
              <w:t>pos1</w:t>
            </w:r>
          </w:p>
        </w:tc>
        <w:tc>
          <w:tcPr>
            <w:tcW w:w="1134" w:type="dxa"/>
            <w:vAlign w:val="center"/>
          </w:tcPr>
          <w:p w14:paraId="7433A951" w14:textId="77777777" w:rsidR="00241417" w:rsidRPr="0039343F" w:rsidRDefault="00241417" w:rsidP="003A71DE">
            <w:pPr>
              <w:pStyle w:val="TAC"/>
            </w:pPr>
            <w:r w:rsidRPr="0039343F">
              <w:t>3.0</w:t>
            </w:r>
          </w:p>
        </w:tc>
      </w:tr>
      <w:tr w:rsidR="00241417" w:rsidRPr="0039343F" w14:paraId="3A215FCC" w14:textId="77777777" w:rsidTr="003A71DE">
        <w:trPr>
          <w:cantSplit/>
          <w:jc w:val="center"/>
        </w:trPr>
        <w:tc>
          <w:tcPr>
            <w:tcW w:w="1007" w:type="dxa"/>
            <w:vMerge/>
            <w:tcBorders>
              <w:bottom w:val="single" w:sz="4" w:space="0" w:color="auto"/>
            </w:tcBorders>
            <w:vAlign w:val="center"/>
          </w:tcPr>
          <w:p w14:paraId="267F9238" w14:textId="77777777" w:rsidR="00241417" w:rsidRPr="0039343F" w:rsidRDefault="00241417" w:rsidP="003A71DE">
            <w:pPr>
              <w:pStyle w:val="TAC"/>
            </w:pPr>
          </w:p>
        </w:tc>
        <w:tc>
          <w:tcPr>
            <w:tcW w:w="1093" w:type="dxa"/>
            <w:vMerge/>
            <w:tcBorders>
              <w:bottom w:val="single" w:sz="4" w:space="0" w:color="auto"/>
            </w:tcBorders>
            <w:vAlign w:val="center"/>
          </w:tcPr>
          <w:p w14:paraId="07193574" w14:textId="77777777" w:rsidR="00241417" w:rsidRPr="0039343F" w:rsidRDefault="00241417" w:rsidP="003A71DE">
            <w:pPr>
              <w:pStyle w:val="TAC"/>
            </w:pPr>
          </w:p>
        </w:tc>
        <w:tc>
          <w:tcPr>
            <w:tcW w:w="1985" w:type="dxa"/>
            <w:vAlign w:val="center"/>
          </w:tcPr>
          <w:p w14:paraId="6D246513" w14:textId="77777777" w:rsidR="00241417" w:rsidRPr="0039343F" w:rsidRDefault="00241417" w:rsidP="003A71DE">
            <w:pPr>
              <w:pStyle w:val="TAC"/>
            </w:pPr>
            <w:r w:rsidRPr="0039343F">
              <w:t>TDLA30-10 Low</w:t>
            </w:r>
          </w:p>
        </w:tc>
        <w:tc>
          <w:tcPr>
            <w:tcW w:w="1418" w:type="dxa"/>
            <w:vAlign w:val="center"/>
          </w:tcPr>
          <w:p w14:paraId="2846841D" w14:textId="77777777" w:rsidR="00241417" w:rsidRPr="0039343F" w:rsidRDefault="00241417" w:rsidP="003A71DE">
            <w:pPr>
              <w:pStyle w:val="TAC"/>
            </w:pPr>
            <w:r>
              <w:t>D-FR1-A.2.4-1</w:t>
            </w:r>
          </w:p>
        </w:tc>
        <w:tc>
          <w:tcPr>
            <w:tcW w:w="1417" w:type="dxa"/>
            <w:vAlign w:val="center"/>
          </w:tcPr>
          <w:p w14:paraId="344709E7" w14:textId="77777777" w:rsidR="00241417" w:rsidRPr="0039343F" w:rsidRDefault="00241417" w:rsidP="003A71DE">
            <w:pPr>
              <w:pStyle w:val="TAC"/>
            </w:pPr>
            <w:r w:rsidRPr="0039343F">
              <w:t>pos1</w:t>
            </w:r>
          </w:p>
        </w:tc>
        <w:tc>
          <w:tcPr>
            <w:tcW w:w="1134" w:type="dxa"/>
            <w:vAlign w:val="center"/>
          </w:tcPr>
          <w:p w14:paraId="2453B3B1" w14:textId="77777777" w:rsidR="00241417" w:rsidRPr="0039343F" w:rsidRDefault="00241417" w:rsidP="003A71DE">
            <w:pPr>
              <w:pStyle w:val="TAC"/>
            </w:pPr>
            <w:r w:rsidRPr="0039343F">
              <w:t>5.7</w:t>
            </w:r>
          </w:p>
        </w:tc>
      </w:tr>
      <w:tr w:rsidR="00241417" w:rsidRPr="0039343F" w14:paraId="0939591D" w14:textId="77777777" w:rsidTr="003A71DE">
        <w:trPr>
          <w:cantSplit/>
          <w:jc w:val="center"/>
        </w:trPr>
        <w:tc>
          <w:tcPr>
            <w:tcW w:w="1007" w:type="dxa"/>
            <w:vMerge w:val="restart"/>
            <w:vAlign w:val="center"/>
          </w:tcPr>
          <w:p w14:paraId="2D64EE6D" w14:textId="77777777" w:rsidR="00241417" w:rsidRPr="0039343F" w:rsidRDefault="00241417" w:rsidP="003A71DE">
            <w:pPr>
              <w:pStyle w:val="TAC"/>
            </w:pPr>
            <w:r w:rsidRPr="0039343F">
              <w:t>2</w:t>
            </w:r>
          </w:p>
        </w:tc>
        <w:tc>
          <w:tcPr>
            <w:tcW w:w="1093" w:type="dxa"/>
            <w:vMerge w:val="restart"/>
            <w:vAlign w:val="center"/>
          </w:tcPr>
          <w:p w14:paraId="141B92DC" w14:textId="77777777" w:rsidR="00241417" w:rsidRPr="0039343F" w:rsidRDefault="00241417" w:rsidP="003A71DE">
            <w:pPr>
              <w:pStyle w:val="TAC"/>
            </w:pPr>
            <w:r w:rsidRPr="0039343F">
              <w:t>2</w:t>
            </w:r>
          </w:p>
        </w:tc>
        <w:tc>
          <w:tcPr>
            <w:tcW w:w="1985" w:type="dxa"/>
            <w:vAlign w:val="center"/>
          </w:tcPr>
          <w:p w14:paraId="00DDAB70" w14:textId="77777777" w:rsidR="00241417" w:rsidRPr="0039343F" w:rsidRDefault="00241417" w:rsidP="003A71DE">
            <w:pPr>
              <w:pStyle w:val="TAC"/>
            </w:pPr>
            <w:r w:rsidRPr="0039343F">
              <w:t>TDLB100-400 Low</w:t>
            </w:r>
          </w:p>
        </w:tc>
        <w:tc>
          <w:tcPr>
            <w:tcW w:w="1418" w:type="dxa"/>
            <w:vAlign w:val="center"/>
          </w:tcPr>
          <w:p w14:paraId="53068CED" w14:textId="77777777" w:rsidR="00241417" w:rsidRPr="0039343F" w:rsidRDefault="00241417" w:rsidP="003A71DE">
            <w:pPr>
              <w:pStyle w:val="TAC"/>
            </w:pPr>
            <w:r>
              <w:rPr>
                <w:lang w:eastAsia="zh-CN"/>
              </w:rPr>
              <w:t>D-FR1-A.2.1-8</w:t>
            </w:r>
          </w:p>
        </w:tc>
        <w:tc>
          <w:tcPr>
            <w:tcW w:w="1417" w:type="dxa"/>
            <w:vAlign w:val="center"/>
          </w:tcPr>
          <w:p w14:paraId="3D594481" w14:textId="77777777" w:rsidR="00241417" w:rsidRPr="0039343F" w:rsidRDefault="00241417" w:rsidP="003A71DE">
            <w:pPr>
              <w:pStyle w:val="TAC"/>
            </w:pPr>
            <w:r w:rsidRPr="0039343F">
              <w:t>pos1</w:t>
            </w:r>
          </w:p>
        </w:tc>
        <w:tc>
          <w:tcPr>
            <w:tcW w:w="1134" w:type="dxa"/>
            <w:vAlign w:val="center"/>
          </w:tcPr>
          <w:p w14:paraId="24A5D717" w14:textId="77777777" w:rsidR="00241417" w:rsidRPr="0039343F" w:rsidRDefault="00241417" w:rsidP="003A71DE">
            <w:pPr>
              <w:pStyle w:val="TAC"/>
            </w:pPr>
            <w:r w:rsidRPr="0039343F">
              <w:t>1.5</w:t>
            </w:r>
          </w:p>
        </w:tc>
      </w:tr>
      <w:tr w:rsidR="00241417" w:rsidRPr="0039343F" w14:paraId="57E83C89" w14:textId="77777777" w:rsidTr="003A71DE">
        <w:trPr>
          <w:cantSplit/>
          <w:jc w:val="center"/>
        </w:trPr>
        <w:tc>
          <w:tcPr>
            <w:tcW w:w="1007" w:type="dxa"/>
            <w:vMerge/>
            <w:vAlign w:val="center"/>
          </w:tcPr>
          <w:p w14:paraId="781C5325" w14:textId="77777777" w:rsidR="00241417" w:rsidRPr="0039343F" w:rsidRDefault="00241417" w:rsidP="003A71DE">
            <w:pPr>
              <w:pStyle w:val="TAC"/>
            </w:pPr>
          </w:p>
        </w:tc>
        <w:tc>
          <w:tcPr>
            <w:tcW w:w="1093" w:type="dxa"/>
            <w:vMerge/>
            <w:tcBorders>
              <w:bottom w:val="single" w:sz="4" w:space="0" w:color="auto"/>
            </w:tcBorders>
            <w:vAlign w:val="center"/>
          </w:tcPr>
          <w:p w14:paraId="71AEB9AF" w14:textId="77777777" w:rsidR="00241417" w:rsidRPr="0039343F" w:rsidRDefault="00241417" w:rsidP="003A71DE">
            <w:pPr>
              <w:pStyle w:val="TAC"/>
            </w:pPr>
          </w:p>
        </w:tc>
        <w:tc>
          <w:tcPr>
            <w:tcW w:w="1985" w:type="dxa"/>
            <w:vAlign w:val="center"/>
          </w:tcPr>
          <w:p w14:paraId="57166988" w14:textId="77777777" w:rsidR="00241417" w:rsidRPr="0039343F" w:rsidRDefault="00241417" w:rsidP="003A71DE">
            <w:pPr>
              <w:pStyle w:val="TAC"/>
            </w:pPr>
            <w:r w:rsidRPr="0039343F">
              <w:t>TDLC300-100 Low</w:t>
            </w:r>
          </w:p>
        </w:tc>
        <w:tc>
          <w:tcPr>
            <w:tcW w:w="1418" w:type="dxa"/>
            <w:vAlign w:val="center"/>
          </w:tcPr>
          <w:p w14:paraId="11DB6318" w14:textId="77777777" w:rsidR="00241417" w:rsidRPr="0039343F" w:rsidRDefault="00241417" w:rsidP="003A71DE">
            <w:pPr>
              <w:pStyle w:val="TAC"/>
              <w:rPr>
                <w:lang w:eastAsia="zh-CN"/>
              </w:rPr>
            </w:pPr>
            <w:r>
              <w:rPr>
                <w:lang w:eastAsia="zh-CN"/>
              </w:rPr>
              <w:t>D-FR1-A.2.3-8</w:t>
            </w:r>
          </w:p>
        </w:tc>
        <w:tc>
          <w:tcPr>
            <w:tcW w:w="1417" w:type="dxa"/>
            <w:vAlign w:val="center"/>
          </w:tcPr>
          <w:p w14:paraId="28755DA5" w14:textId="77777777" w:rsidR="00241417" w:rsidRPr="0039343F" w:rsidRDefault="00241417" w:rsidP="003A71DE">
            <w:pPr>
              <w:pStyle w:val="TAC"/>
            </w:pPr>
            <w:r w:rsidRPr="0039343F">
              <w:t>pos1</w:t>
            </w:r>
          </w:p>
        </w:tc>
        <w:tc>
          <w:tcPr>
            <w:tcW w:w="1134" w:type="dxa"/>
            <w:vAlign w:val="center"/>
          </w:tcPr>
          <w:p w14:paraId="3996592F" w14:textId="77777777" w:rsidR="00241417" w:rsidRPr="0039343F" w:rsidRDefault="00241417" w:rsidP="003A71DE">
            <w:pPr>
              <w:pStyle w:val="TAC"/>
            </w:pPr>
            <w:r w:rsidRPr="0039343F">
              <w:t>18.3</w:t>
            </w:r>
          </w:p>
        </w:tc>
      </w:tr>
      <w:tr w:rsidR="00241417" w:rsidRPr="0039343F" w14:paraId="6C00C7E8" w14:textId="77777777" w:rsidTr="003A71DE">
        <w:trPr>
          <w:cantSplit/>
          <w:jc w:val="center"/>
        </w:trPr>
        <w:tc>
          <w:tcPr>
            <w:tcW w:w="1007" w:type="dxa"/>
            <w:vMerge/>
            <w:vAlign w:val="center"/>
          </w:tcPr>
          <w:p w14:paraId="03673328" w14:textId="77777777" w:rsidR="00241417" w:rsidRPr="0039343F" w:rsidRDefault="00241417" w:rsidP="003A71DE">
            <w:pPr>
              <w:pStyle w:val="TAC"/>
            </w:pPr>
          </w:p>
        </w:tc>
        <w:tc>
          <w:tcPr>
            <w:tcW w:w="1093" w:type="dxa"/>
            <w:vMerge w:val="restart"/>
            <w:tcBorders>
              <w:top w:val="single" w:sz="4" w:space="0" w:color="auto"/>
            </w:tcBorders>
            <w:vAlign w:val="center"/>
          </w:tcPr>
          <w:p w14:paraId="292241C6" w14:textId="77777777" w:rsidR="00241417" w:rsidRPr="0039343F" w:rsidRDefault="00241417" w:rsidP="003A71DE">
            <w:pPr>
              <w:pStyle w:val="TAC"/>
            </w:pPr>
            <w:r w:rsidRPr="0039343F">
              <w:t>4</w:t>
            </w:r>
          </w:p>
        </w:tc>
        <w:tc>
          <w:tcPr>
            <w:tcW w:w="1985" w:type="dxa"/>
            <w:vAlign w:val="center"/>
          </w:tcPr>
          <w:p w14:paraId="22422445" w14:textId="77777777" w:rsidR="00241417" w:rsidRPr="0039343F" w:rsidRDefault="00241417" w:rsidP="003A71DE">
            <w:pPr>
              <w:pStyle w:val="TAC"/>
            </w:pPr>
            <w:r w:rsidRPr="0039343F">
              <w:t>TDLB100-400 Low</w:t>
            </w:r>
          </w:p>
        </w:tc>
        <w:tc>
          <w:tcPr>
            <w:tcW w:w="1418" w:type="dxa"/>
            <w:vAlign w:val="center"/>
          </w:tcPr>
          <w:p w14:paraId="5E762EA6" w14:textId="77777777" w:rsidR="00241417" w:rsidRPr="0039343F" w:rsidRDefault="00241417" w:rsidP="003A71DE">
            <w:pPr>
              <w:pStyle w:val="TAC"/>
              <w:rPr>
                <w:lang w:eastAsia="zh-CN"/>
              </w:rPr>
            </w:pPr>
            <w:r>
              <w:rPr>
                <w:lang w:eastAsia="zh-CN"/>
              </w:rPr>
              <w:t>D-FR1-A.2.1-8</w:t>
            </w:r>
          </w:p>
        </w:tc>
        <w:tc>
          <w:tcPr>
            <w:tcW w:w="1417" w:type="dxa"/>
            <w:vAlign w:val="center"/>
          </w:tcPr>
          <w:p w14:paraId="76E8905C" w14:textId="77777777" w:rsidR="00241417" w:rsidRPr="0039343F" w:rsidRDefault="00241417" w:rsidP="003A71DE">
            <w:pPr>
              <w:pStyle w:val="TAC"/>
            </w:pPr>
            <w:r w:rsidRPr="0039343F">
              <w:t>pos1</w:t>
            </w:r>
          </w:p>
        </w:tc>
        <w:tc>
          <w:tcPr>
            <w:tcW w:w="1134" w:type="dxa"/>
            <w:vAlign w:val="center"/>
          </w:tcPr>
          <w:p w14:paraId="52F71581" w14:textId="77777777" w:rsidR="00241417" w:rsidRPr="0039343F" w:rsidRDefault="00241417" w:rsidP="003A71DE">
            <w:pPr>
              <w:pStyle w:val="TAC"/>
            </w:pPr>
            <w:r w:rsidRPr="0039343F">
              <w:t>-2.3</w:t>
            </w:r>
          </w:p>
        </w:tc>
      </w:tr>
      <w:tr w:rsidR="00241417" w:rsidRPr="0039343F" w14:paraId="3D2BC039" w14:textId="77777777" w:rsidTr="003A71DE">
        <w:trPr>
          <w:cantSplit/>
          <w:jc w:val="center"/>
        </w:trPr>
        <w:tc>
          <w:tcPr>
            <w:tcW w:w="1007" w:type="dxa"/>
            <w:vMerge/>
            <w:vAlign w:val="center"/>
          </w:tcPr>
          <w:p w14:paraId="75020B82" w14:textId="77777777" w:rsidR="00241417" w:rsidRPr="0039343F" w:rsidRDefault="00241417" w:rsidP="003A71DE">
            <w:pPr>
              <w:pStyle w:val="TAC"/>
            </w:pPr>
          </w:p>
        </w:tc>
        <w:tc>
          <w:tcPr>
            <w:tcW w:w="1093" w:type="dxa"/>
            <w:vMerge/>
            <w:tcBorders>
              <w:bottom w:val="single" w:sz="4" w:space="0" w:color="auto"/>
            </w:tcBorders>
            <w:vAlign w:val="center"/>
          </w:tcPr>
          <w:p w14:paraId="6A8080B8" w14:textId="77777777" w:rsidR="00241417" w:rsidRPr="0039343F" w:rsidRDefault="00241417" w:rsidP="003A71DE">
            <w:pPr>
              <w:pStyle w:val="TAC"/>
            </w:pPr>
          </w:p>
        </w:tc>
        <w:tc>
          <w:tcPr>
            <w:tcW w:w="1985" w:type="dxa"/>
            <w:vAlign w:val="center"/>
          </w:tcPr>
          <w:p w14:paraId="5ED714D8" w14:textId="77777777" w:rsidR="00241417" w:rsidRPr="0039343F" w:rsidRDefault="00241417" w:rsidP="003A71DE">
            <w:pPr>
              <w:pStyle w:val="TAC"/>
            </w:pPr>
            <w:r w:rsidRPr="0039343F">
              <w:t>TDLC300-100 Low</w:t>
            </w:r>
          </w:p>
        </w:tc>
        <w:tc>
          <w:tcPr>
            <w:tcW w:w="1418" w:type="dxa"/>
            <w:vAlign w:val="center"/>
          </w:tcPr>
          <w:p w14:paraId="7C4781ED" w14:textId="77777777" w:rsidR="00241417" w:rsidRPr="0039343F" w:rsidRDefault="00241417" w:rsidP="003A71DE">
            <w:pPr>
              <w:pStyle w:val="TAC"/>
              <w:rPr>
                <w:lang w:eastAsia="zh-CN"/>
              </w:rPr>
            </w:pPr>
            <w:r>
              <w:rPr>
                <w:lang w:eastAsia="zh-CN"/>
              </w:rPr>
              <w:t>D-FR1-A.2.3-8</w:t>
            </w:r>
          </w:p>
        </w:tc>
        <w:tc>
          <w:tcPr>
            <w:tcW w:w="1417" w:type="dxa"/>
            <w:vAlign w:val="center"/>
          </w:tcPr>
          <w:p w14:paraId="5E504AAC" w14:textId="77777777" w:rsidR="00241417" w:rsidRPr="0039343F" w:rsidRDefault="00241417" w:rsidP="003A71DE">
            <w:pPr>
              <w:pStyle w:val="TAC"/>
            </w:pPr>
            <w:r w:rsidRPr="0039343F">
              <w:t>pos1</w:t>
            </w:r>
          </w:p>
        </w:tc>
        <w:tc>
          <w:tcPr>
            <w:tcW w:w="1134" w:type="dxa"/>
            <w:vAlign w:val="center"/>
          </w:tcPr>
          <w:p w14:paraId="494D7FC7" w14:textId="77777777" w:rsidR="00241417" w:rsidRPr="0039343F" w:rsidRDefault="00241417" w:rsidP="003A71DE">
            <w:pPr>
              <w:pStyle w:val="TAC"/>
            </w:pPr>
            <w:r w:rsidRPr="0039343F">
              <w:t>11.1</w:t>
            </w:r>
          </w:p>
        </w:tc>
      </w:tr>
      <w:tr w:rsidR="00241417" w:rsidRPr="0039343F" w14:paraId="10B6B5CC" w14:textId="77777777" w:rsidTr="003A71DE">
        <w:trPr>
          <w:cantSplit/>
          <w:jc w:val="center"/>
        </w:trPr>
        <w:tc>
          <w:tcPr>
            <w:tcW w:w="1007" w:type="dxa"/>
            <w:vMerge/>
            <w:vAlign w:val="center"/>
          </w:tcPr>
          <w:p w14:paraId="527A16C2" w14:textId="77777777" w:rsidR="00241417" w:rsidRPr="0039343F" w:rsidRDefault="00241417" w:rsidP="003A71DE">
            <w:pPr>
              <w:pStyle w:val="TAC"/>
            </w:pPr>
          </w:p>
        </w:tc>
        <w:tc>
          <w:tcPr>
            <w:tcW w:w="1093" w:type="dxa"/>
            <w:vMerge w:val="restart"/>
            <w:tcBorders>
              <w:top w:val="single" w:sz="4" w:space="0" w:color="auto"/>
            </w:tcBorders>
            <w:vAlign w:val="center"/>
          </w:tcPr>
          <w:p w14:paraId="30C7F854" w14:textId="77777777" w:rsidR="00241417" w:rsidRPr="0039343F" w:rsidRDefault="00241417" w:rsidP="003A71DE">
            <w:pPr>
              <w:pStyle w:val="TAC"/>
            </w:pPr>
            <w:r w:rsidRPr="0039343F">
              <w:t>8</w:t>
            </w:r>
          </w:p>
        </w:tc>
        <w:tc>
          <w:tcPr>
            <w:tcW w:w="1985" w:type="dxa"/>
            <w:vAlign w:val="center"/>
          </w:tcPr>
          <w:p w14:paraId="028E7EEB" w14:textId="77777777" w:rsidR="00241417" w:rsidRPr="0039343F" w:rsidRDefault="00241417" w:rsidP="003A71DE">
            <w:pPr>
              <w:pStyle w:val="TAC"/>
            </w:pPr>
            <w:r w:rsidRPr="0039343F">
              <w:t>TDLB100-400 Low</w:t>
            </w:r>
          </w:p>
        </w:tc>
        <w:tc>
          <w:tcPr>
            <w:tcW w:w="1418" w:type="dxa"/>
            <w:vAlign w:val="center"/>
          </w:tcPr>
          <w:p w14:paraId="2FA7AD07" w14:textId="77777777" w:rsidR="00241417" w:rsidRPr="0039343F" w:rsidRDefault="00241417" w:rsidP="003A71DE">
            <w:pPr>
              <w:pStyle w:val="TAC"/>
              <w:rPr>
                <w:lang w:eastAsia="zh-CN"/>
              </w:rPr>
            </w:pPr>
            <w:r>
              <w:rPr>
                <w:lang w:eastAsia="zh-CN"/>
              </w:rPr>
              <w:t>D-FR1-A.2.1-8</w:t>
            </w:r>
          </w:p>
        </w:tc>
        <w:tc>
          <w:tcPr>
            <w:tcW w:w="1417" w:type="dxa"/>
            <w:vAlign w:val="center"/>
          </w:tcPr>
          <w:p w14:paraId="4EA5AD1A" w14:textId="77777777" w:rsidR="00241417" w:rsidRPr="0039343F" w:rsidRDefault="00241417" w:rsidP="003A71DE">
            <w:pPr>
              <w:pStyle w:val="TAC"/>
            </w:pPr>
            <w:r w:rsidRPr="0039343F">
              <w:t>pos1</w:t>
            </w:r>
          </w:p>
        </w:tc>
        <w:tc>
          <w:tcPr>
            <w:tcW w:w="1134" w:type="dxa"/>
            <w:vAlign w:val="center"/>
          </w:tcPr>
          <w:p w14:paraId="44EE9AD5" w14:textId="77777777" w:rsidR="00241417" w:rsidRPr="0039343F" w:rsidRDefault="00241417" w:rsidP="003A71DE">
            <w:pPr>
              <w:pStyle w:val="TAC"/>
            </w:pPr>
            <w:r w:rsidRPr="0039343F">
              <w:t>-5.4</w:t>
            </w:r>
          </w:p>
        </w:tc>
      </w:tr>
      <w:tr w:rsidR="00241417" w:rsidRPr="0039343F" w14:paraId="2099F7AA" w14:textId="77777777" w:rsidTr="003A71DE">
        <w:trPr>
          <w:cantSplit/>
          <w:jc w:val="center"/>
        </w:trPr>
        <w:tc>
          <w:tcPr>
            <w:tcW w:w="1007" w:type="dxa"/>
            <w:vMerge/>
            <w:vAlign w:val="center"/>
          </w:tcPr>
          <w:p w14:paraId="4C691379" w14:textId="77777777" w:rsidR="00241417" w:rsidRPr="0039343F" w:rsidRDefault="00241417" w:rsidP="003A71DE">
            <w:pPr>
              <w:pStyle w:val="TAC"/>
            </w:pPr>
          </w:p>
        </w:tc>
        <w:tc>
          <w:tcPr>
            <w:tcW w:w="1093" w:type="dxa"/>
            <w:vMerge/>
            <w:vAlign w:val="center"/>
          </w:tcPr>
          <w:p w14:paraId="761CE3EB" w14:textId="77777777" w:rsidR="00241417" w:rsidRPr="0039343F" w:rsidRDefault="00241417" w:rsidP="003A71DE">
            <w:pPr>
              <w:pStyle w:val="TAC"/>
            </w:pPr>
          </w:p>
        </w:tc>
        <w:tc>
          <w:tcPr>
            <w:tcW w:w="1985" w:type="dxa"/>
            <w:vAlign w:val="center"/>
          </w:tcPr>
          <w:p w14:paraId="4D609BD7" w14:textId="77777777" w:rsidR="00241417" w:rsidRPr="0039343F" w:rsidRDefault="00241417" w:rsidP="003A71DE">
            <w:pPr>
              <w:pStyle w:val="TAC"/>
            </w:pPr>
            <w:r w:rsidRPr="0039343F">
              <w:t>TDLC300-100 Low</w:t>
            </w:r>
          </w:p>
        </w:tc>
        <w:tc>
          <w:tcPr>
            <w:tcW w:w="1418" w:type="dxa"/>
            <w:vAlign w:val="center"/>
          </w:tcPr>
          <w:p w14:paraId="0E476F7C" w14:textId="77777777" w:rsidR="00241417" w:rsidRPr="0039343F" w:rsidRDefault="00241417" w:rsidP="003A71DE">
            <w:pPr>
              <w:pStyle w:val="TAC"/>
              <w:rPr>
                <w:lang w:eastAsia="zh-CN"/>
              </w:rPr>
            </w:pPr>
            <w:r>
              <w:rPr>
                <w:lang w:eastAsia="zh-CN"/>
              </w:rPr>
              <w:t>D-FR1-A.2.3-8</w:t>
            </w:r>
          </w:p>
        </w:tc>
        <w:tc>
          <w:tcPr>
            <w:tcW w:w="1417" w:type="dxa"/>
            <w:vAlign w:val="center"/>
          </w:tcPr>
          <w:p w14:paraId="658C9C7F" w14:textId="77777777" w:rsidR="00241417" w:rsidRPr="0039343F" w:rsidRDefault="00241417" w:rsidP="003A71DE">
            <w:pPr>
              <w:pStyle w:val="TAC"/>
            </w:pPr>
            <w:r w:rsidRPr="0039343F">
              <w:t>pos1</w:t>
            </w:r>
          </w:p>
        </w:tc>
        <w:tc>
          <w:tcPr>
            <w:tcW w:w="1134" w:type="dxa"/>
            <w:vAlign w:val="center"/>
          </w:tcPr>
          <w:p w14:paraId="5E5C93AB" w14:textId="77777777" w:rsidR="00241417" w:rsidRPr="0039343F" w:rsidRDefault="00241417" w:rsidP="003A71DE">
            <w:pPr>
              <w:pStyle w:val="TAC"/>
            </w:pPr>
            <w:r w:rsidRPr="0039343F">
              <w:t>6.8</w:t>
            </w:r>
          </w:p>
        </w:tc>
      </w:tr>
    </w:tbl>
    <w:p w14:paraId="4DBF07DA" w14:textId="77777777" w:rsidR="00241417" w:rsidRPr="0039343F" w:rsidRDefault="00241417" w:rsidP="00241417">
      <w:pPr>
        <w:rPr>
          <w:lang w:eastAsia="zh-CN"/>
        </w:rPr>
      </w:pPr>
    </w:p>
    <w:p w14:paraId="349D20E5" w14:textId="77777777" w:rsidR="00241417" w:rsidRPr="00920E66" w:rsidRDefault="00241417" w:rsidP="00241417">
      <w:pPr>
        <w:pStyle w:val="TH"/>
        <w:rPr>
          <w:lang w:eastAsia="zh-CN"/>
        </w:rPr>
      </w:pPr>
      <w:r w:rsidRPr="00920E66">
        <w:lastRenderedPageBreak/>
        <w:t>Table 8.1.2.1.2-9: Minimum requirements for PUSCH</w:t>
      </w:r>
      <w:r w:rsidRPr="00920E66">
        <w:rPr>
          <w:rFonts w:hint="eastAsia"/>
          <w:lang w:eastAsia="zh-CN"/>
        </w:rPr>
        <w:t xml:space="preserve"> </w:t>
      </w:r>
      <w:r w:rsidRPr="00920E66">
        <w:rPr>
          <w:lang w:eastAsia="zh-CN"/>
        </w:rPr>
        <w:t>with</w:t>
      </w:r>
      <w:r w:rsidRPr="00920E66">
        <w:rPr>
          <w:rFonts w:hint="eastAsia"/>
          <w:lang w:eastAsia="zh-CN"/>
        </w:rPr>
        <w:t xml:space="preserve"> 70% of maximum throughput</w:t>
      </w:r>
      <w:r w:rsidRPr="00920E66">
        <w:t>, Type B, 10 MHz channel bandwidth</w:t>
      </w:r>
      <w:r w:rsidRPr="00920E66">
        <w:rPr>
          <w:lang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418"/>
        <w:gridCol w:w="1417"/>
        <w:gridCol w:w="1134"/>
      </w:tblGrid>
      <w:tr w:rsidR="00241417" w:rsidRPr="0039343F" w14:paraId="0C66D47D" w14:textId="77777777" w:rsidTr="003A71DE">
        <w:trPr>
          <w:cantSplit/>
          <w:jc w:val="center"/>
        </w:trPr>
        <w:tc>
          <w:tcPr>
            <w:tcW w:w="1007" w:type="dxa"/>
            <w:tcBorders>
              <w:bottom w:val="single" w:sz="4" w:space="0" w:color="auto"/>
            </w:tcBorders>
            <w:vAlign w:val="center"/>
          </w:tcPr>
          <w:p w14:paraId="0B03BDD9"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2996DA57" w14:textId="77777777" w:rsidR="00241417" w:rsidRPr="0039343F" w:rsidRDefault="00241417" w:rsidP="003A71DE">
            <w:pPr>
              <w:pStyle w:val="TAH"/>
            </w:pPr>
            <w:r w:rsidRPr="0039343F">
              <w:t xml:space="preserve">Number of </w:t>
            </w:r>
            <w:r>
              <w:t>Demodulation Branches</w:t>
            </w:r>
          </w:p>
        </w:tc>
        <w:tc>
          <w:tcPr>
            <w:tcW w:w="1985" w:type="dxa"/>
            <w:vAlign w:val="center"/>
          </w:tcPr>
          <w:p w14:paraId="1B431167" w14:textId="69900E57" w:rsidR="00241417" w:rsidRPr="0039343F" w:rsidRDefault="00241417" w:rsidP="003A71DE">
            <w:pPr>
              <w:pStyle w:val="TAH"/>
            </w:pPr>
            <w:r w:rsidRPr="0039343F">
              <w:t xml:space="preserve">Propagation conditions and correlation matrix (Annex </w:t>
            </w:r>
            <w:r>
              <w:t>TBA</w:t>
            </w:r>
            <w:r w:rsidRPr="0039343F">
              <w:t>)</w:t>
            </w:r>
          </w:p>
        </w:tc>
        <w:tc>
          <w:tcPr>
            <w:tcW w:w="1418" w:type="dxa"/>
            <w:vAlign w:val="center"/>
          </w:tcPr>
          <w:p w14:paraId="76FF4F11" w14:textId="77777777" w:rsidR="00241417" w:rsidRPr="0039343F" w:rsidRDefault="00241417" w:rsidP="003A71DE">
            <w:pPr>
              <w:pStyle w:val="TAH"/>
            </w:pPr>
            <w:r w:rsidRPr="0039343F">
              <w:t>FRC</w:t>
            </w:r>
            <w:r w:rsidRPr="0039343F">
              <w:br/>
              <w:t>(Annex A)</w:t>
            </w:r>
          </w:p>
        </w:tc>
        <w:tc>
          <w:tcPr>
            <w:tcW w:w="1417" w:type="dxa"/>
            <w:vAlign w:val="center"/>
          </w:tcPr>
          <w:p w14:paraId="3B893749" w14:textId="77777777" w:rsidR="00241417" w:rsidRPr="0039343F" w:rsidRDefault="00241417" w:rsidP="003A71DE">
            <w:pPr>
              <w:pStyle w:val="TAH"/>
            </w:pPr>
            <w:r w:rsidRPr="0039343F">
              <w:t>Additional DM-RS position</w:t>
            </w:r>
          </w:p>
        </w:tc>
        <w:tc>
          <w:tcPr>
            <w:tcW w:w="1134" w:type="dxa"/>
            <w:vAlign w:val="center"/>
          </w:tcPr>
          <w:p w14:paraId="1A1ACBF4" w14:textId="77777777" w:rsidR="00241417" w:rsidRPr="0039343F" w:rsidRDefault="00241417" w:rsidP="003A71DE">
            <w:pPr>
              <w:pStyle w:val="TAH"/>
            </w:pPr>
            <w:r w:rsidRPr="0039343F">
              <w:t>SNR</w:t>
            </w:r>
          </w:p>
          <w:p w14:paraId="110F20B7" w14:textId="77777777" w:rsidR="00241417" w:rsidRPr="0039343F" w:rsidRDefault="00241417" w:rsidP="003A71DE">
            <w:pPr>
              <w:pStyle w:val="TAH"/>
            </w:pPr>
            <w:r w:rsidRPr="0039343F">
              <w:t>(dB)</w:t>
            </w:r>
          </w:p>
        </w:tc>
      </w:tr>
      <w:tr w:rsidR="00241417" w:rsidRPr="0039343F" w14:paraId="287A3CEB" w14:textId="77777777" w:rsidTr="003A71DE">
        <w:trPr>
          <w:cantSplit/>
          <w:jc w:val="center"/>
        </w:trPr>
        <w:tc>
          <w:tcPr>
            <w:tcW w:w="1007" w:type="dxa"/>
            <w:vMerge w:val="restart"/>
            <w:vAlign w:val="center"/>
          </w:tcPr>
          <w:p w14:paraId="5FF2883D" w14:textId="77777777" w:rsidR="00241417" w:rsidRPr="0039343F" w:rsidRDefault="00241417" w:rsidP="003A71DE">
            <w:pPr>
              <w:pStyle w:val="TAC"/>
            </w:pPr>
            <w:r w:rsidRPr="0039343F">
              <w:t>1</w:t>
            </w:r>
          </w:p>
        </w:tc>
        <w:tc>
          <w:tcPr>
            <w:tcW w:w="1093" w:type="dxa"/>
            <w:vMerge w:val="restart"/>
            <w:vAlign w:val="center"/>
          </w:tcPr>
          <w:p w14:paraId="76617B47" w14:textId="77777777" w:rsidR="00241417" w:rsidRPr="0039343F" w:rsidRDefault="00241417" w:rsidP="003A71DE">
            <w:pPr>
              <w:pStyle w:val="TAC"/>
            </w:pPr>
            <w:r w:rsidRPr="0039343F">
              <w:t>2</w:t>
            </w:r>
          </w:p>
        </w:tc>
        <w:tc>
          <w:tcPr>
            <w:tcW w:w="1985" w:type="dxa"/>
            <w:vAlign w:val="center"/>
          </w:tcPr>
          <w:p w14:paraId="14C33AF2" w14:textId="77777777" w:rsidR="00241417" w:rsidRPr="0039343F" w:rsidRDefault="00241417" w:rsidP="003A71DE">
            <w:pPr>
              <w:pStyle w:val="TAC"/>
            </w:pPr>
            <w:r w:rsidRPr="0039343F">
              <w:t>TDLB100-400 Low</w:t>
            </w:r>
          </w:p>
        </w:tc>
        <w:tc>
          <w:tcPr>
            <w:tcW w:w="1418" w:type="dxa"/>
            <w:vAlign w:val="center"/>
          </w:tcPr>
          <w:p w14:paraId="20B91BF9" w14:textId="77777777" w:rsidR="00241417" w:rsidRPr="0039343F" w:rsidRDefault="00241417" w:rsidP="003A71DE">
            <w:pPr>
              <w:pStyle w:val="TAC"/>
            </w:pPr>
            <w:r>
              <w:rPr>
                <w:lang w:eastAsia="zh-CN"/>
              </w:rPr>
              <w:t>D-FR1-A.2.1-2</w:t>
            </w:r>
          </w:p>
        </w:tc>
        <w:tc>
          <w:tcPr>
            <w:tcW w:w="1417" w:type="dxa"/>
            <w:vAlign w:val="center"/>
          </w:tcPr>
          <w:p w14:paraId="7872F2ED" w14:textId="77777777" w:rsidR="00241417" w:rsidRPr="0039343F" w:rsidRDefault="00241417" w:rsidP="003A71DE">
            <w:pPr>
              <w:pStyle w:val="TAC"/>
            </w:pPr>
            <w:r w:rsidRPr="0039343F">
              <w:t>pos1</w:t>
            </w:r>
          </w:p>
        </w:tc>
        <w:tc>
          <w:tcPr>
            <w:tcW w:w="1134" w:type="dxa"/>
            <w:vAlign w:val="center"/>
          </w:tcPr>
          <w:p w14:paraId="6CDE5546" w14:textId="77777777" w:rsidR="00241417" w:rsidRPr="0039343F" w:rsidRDefault="00241417" w:rsidP="003A71DE">
            <w:pPr>
              <w:pStyle w:val="TAC"/>
            </w:pPr>
            <w:r w:rsidRPr="0039343F">
              <w:t>-2.3</w:t>
            </w:r>
          </w:p>
        </w:tc>
      </w:tr>
      <w:tr w:rsidR="00241417" w:rsidRPr="0039343F" w14:paraId="18418B63" w14:textId="77777777" w:rsidTr="003A71DE">
        <w:trPr>
          <w:cantSplit/>
          <w:jc w:val="center"/>
        </w:trPr>
        <w:tc>
          <w:tcPr>
            <w:tcW w:w="1007" w:type="dxa"/>
            <w:vMerge/>
            <w:vAlign w:val="center"/>
          </w:tcPr>
          <w:p w14:paraId="747FB8CB" w14:textId="77777777" w:rsidR="00241417" w:rsidRPr="0039343F" w:rsidRDefault="00241417" w:rsidP="003A71DE">
            <w:pPr>
              <w:pStyle w:val="TAC"/>
            </w:pPr>
          </w:p>
        </w:tc>
        <w:tc>
          <w:tcPr>
            <w:tcW w:w="1093" w:type="dxa"/>
            <w:vMerge/>
            <w:vAlign w:val="center"/>
          </w:tcPr>
          <w:p w14:paraId="62E13124" w14:textId="77777777" w:rsidR="00241417" w:rsidRPr="0039343F" w:rsidRDefault="00241417" w:rsidP="003A71DE">
            <w:pPr>
              <w:pStyle w:val="TAC"/>
            </w:pPr>
          </w:p>
        </w:tc>
        <w:tc>
          <w:tcPr>
            <w:tcW w:w="1985" w:type="dxa"/>
            <w:vAlign w:val="center"/>
          </w:tcPr>
          <w:p w14:paraId="74271368" w14:textId="77777777" w:rsidR="00241417" w:rsidRPr="0039343F" w:rsidRDefault="00241417" w:rsidP="003A71DE">
            <w:pPr>
              <w:pStyle w:val="TAC"/>
            </w:pPr>
            <w:r w:rsidRPr="0039343F">
              <w:t>TDLC300-100 Low</w:t>
            </w:r>
          </w:p>
        </w:tc>
        <w:tc>
          <w:tcPr>
            <w:tcW w:w="1418" w:type="dxa"/>
            <w:vAlign w:val="center"/>
          </w:tcPr>
          <w:p w14:paraId="1A207B1D" w14:textId="77777777" w:rsidR="00241417" w:rsidRPr="0039343F" w:rsidRDefault="00241417" w:rsidP="003A71DE">
            <w:pPr>
              <w:pStyle w:val="TAC"/>
            </w:pPr>
            <w:r>
              <w:rPr>
                <w:lang w:eastAsia="zh-CN"/>
              </w:rPr>
              <w:t>D-FR1-A.2.3-2</w:t>
            </w:r>
          </w:p>
        </w:tc>
        <w:tc>
          <w:tcPr>
            <w:tcW w:w="1417" w:type="dxa"/>
            <w:vAlign w:val="center"/>
          </w:tcPr>
          <w:p w14:paraId="6B1FC499" w14:textId="77777777" w:rsidR="00241417" w:rsidRPr="0039343F" w:rsidRDefault="00241417" w:rsidP="003A71DE">
            <w:pPr>
              <w:pStyle w:val="TAC"/>
            </w:pPr>
            <w:r w:rsidRPr="0039343F">
              <w:t>pos1</w:t>
            </w:r>
          </w:p>
        </w:tc>
        <w:tc>
          <w:tcPr>
            <w:tcW w:w="1134" w:type="dxa"/>
            <w:vAlign w:val="center"/>
          </w:tcPr>
          <w:p w14:paraId="3CC62335" w14:textId="77777777" w:rsidR="00241417" w:rsidRPr="0039343F" w:rsidRDefault="00241417" w:rsidP="003A71DE">
            <w:pPr>
              <w:pStyle w:val="TAC"/>
            </w:pPr>
            <w:r w:rsidRPr="0039343F">
              <w:t>10.5</w:t>
            </w:r>
          </w:p>
        </w:tc>
      </w:tr>
      <w:tr w:rsidR="00241417" w:rsidRPr="0039343F" w14:paraId="3C536DBB" w14:textId="77777777" w:rsidTr="003A71DE">
        <w:trPr>
          <w:cantSplit/>
          <w:jc w:val="center"/>
        </w:trPr>
        <w:tc>
          <w:tcPr>
            <w:tcW w:w="1007" w:type="dxa"/>
            <w:vMerge/>
            <w:vAlign w:val="center"/>
          </w:tcPr>
          <w:p w14:paraId="258D145B" w14:textId="77777777" w:rsidR="00241417" w:rsidRPr="0039343F" w:rsidRDefault="00241417" w:rsidP="003A71DE">
            <w:pPr>
              <w:pStyle w:val="TAC"/>
            </w:pPr>
          </w:p>
        </w:tc>
        <w:tc>
          <w:tcPr>
            <w:tcW w:w="1093" w:type="dxa"/>
            <w:vMerge/>
            <w:tcBorders>
              <w:bottom w:val="single" w:sz="4" w:space="0" w:color="auto"/>
            </w:tcBorders>
            <w:vAlign w:val="center"/>
          </w:tcPr>
          <w:p w14:paraId="3052B429" w14:textId="77777777" w:rsidR="00241417" w:rsidRPr="0039343F" w:rsidRDefault="00241417" w:rsidP="003A71DE">
            <w:pPr>
              <w:pStyle w:val="TAC"/>
            </w:pPr>
          </w:p>
        </w:tc>
        <w:tc>
          <w:tcPr>
            <w:tcW w:w="1985" w:type="dxa"/>
            <w:vAlign w:val="center"/>
          </w:tcPr>
          <w:p w14:paraId="6FD65F36" w14:textId="77777777" w:rsidR="00241417" w:rsidRPr="0039343F" w:rsidRDefault="00241417" w:rsidP="003A71DE">
            <w:pPr>
              <w:pStyle w:val="TAC"/>
            </w:pPr>
            <w:r w:rsidRPr="0039343F">
              <w:t>TDLA30-10 Low</w:t>
            </w:r>
          </w:p>
        </w:tc>
        <w:tc>
          <w:tcPr>
            <w:tcW w:w="1418" w:type="dxa"/>
            <w:vAlign w:val="center"/>
          </w:tcPr>
          <w:p w14:paraId="0E0F7E0D" w14:textId="77777777" w:rsidR="00241417" w:rsidRPr="0039343F" w:rsidRDefault="00241417" w:rsidP="003A71DE">
            <w:pPr>
              <w:pStyle w:val="TAC"/>
            </w:pPr>
            <w:r>
              <w:rPr>
                <w:lang w:eastAsia="zh-CN"/>
              </w:rPr>
              <w:t>D-FR1-A.2.4-2</w:t>
            </w:r>
          </w:p>
        </w:tc>
        <w:tc>
          <w:tcPr>
            <w:tcW w:w="1417" w:type="dxa"/>
            <w:vAlign w:val="center"/>
          </w:tcPr>
          <w:p w14:paraId="03636DB3" w14:textId="77777777" w:rsidR="00241417" w:rsidRPr="0039343F" w:rsidRDefault="00241417" w:rsidP="003A71DE">
            <w:pPr>
              <w:pStyle w:val="TAC"/>
            </w:pPr>
            <w:r w:rsidRPr="0039343F">
              <w:t>pos1</w:t>
            </w:r>
          </w:p>
        </w:tc>
        <w:tc>
          <w:tcPr>
            <w:tcW w:w="1134" w:type="dxa"/>
            <w:vAlign w:val="center"/>
          </w:tcPr>
          <w:p w14:paraId="18742F9E" w14:textId="77777777" w:rsidR="00241417" w:rsidRPr="0039343F" w:rsidRDefault="00241417" w:rsidP="003A71DE">
            <w:pPr>
              <w:pStyle w:val="TAC"/>
            </w:pPr>
            <w:r w:rsidRPr="0039343F">
              <w:t>12.6</w:t>
            </w:r>
          </w:p>
        </w:tc>
      </w:tr>
      <w:tr w:rsidR="00241417" w:rsidRPr="0039343F" w14:paraId="52856B29" w14:textId="77777777" w:rsidTr="003A71DE">
        <w:trPr>
          <w:cantSplit/>
          <w:jc w:val="center"/>
        </w:trPr>
        <w:tc>
          <w:tcPr>
            <w:tcW w:w="1007" w:type="dxa"/>
            <w:vMerge/>
            <w:vAlign w:val="center"/>
          </w:tcPr>
          <w:p w14:paraId="67A574A6" w14:textId="77777777" w:rsidR="00241417" w:rsidRPr="0039343F" w:rsidRDefault="00241417" w:rsidP="003A71DE">
            <w:pPr>
              <w:pStyle w:val="TAC"/>
            </w:pPr>
          </w:p>
        </w:tc>
        <w:tc>
          <w:tcPr>
            <w:tcW w:w="1093" w:type="dxa"/>
            <w:vMerge w:val="restart"/>
            <w:vAlign w:val="center"/>
          </w:tcPr>
          <w:p w14:paraId="5178FCB7" w14:textId="77777777" w:rsidR="00241417" w:rsidRPr="0039343F" w:rsidRDefault="00241417" w:rsidP="003A71DE">
            <w:pPr>
              <w:pStyle w:val="TAC"/>
            </w:pPr>
            <w:r w:rsidRPr="0039343F">
              <w:t>4</w:t>
            </w:r>
          </w:p>
        </w:tc>
        <w:tc>
          <w:tcPr>
            <w:tcW w:w="1985" w:type="dxa"/>
            <w:vAlign w:val="center"/>
          </w:tcPr>
          <w:p w14:paraId="2983CE5A" w14:textId="77777777" w:rsidR="00241417" w:rsidRPr="0039343F" w:rsidRDefault="00241417" w:rsidP="003A71DE">
            <w:pPr>
              <w:pStyle w:val="TAC"/>
            </w:pPr>
            <w:r w:rsidRPr="0039343F">
              <w:t>TDLB100-400 Low</w:t>
            </w:r>
          </w:p>
        </w:tc>
        <w:tc>
          <w:tcPr>
            <w:tcW w:w="1418" w:type="dxa"/>
            <w:vAlign w:val="center"/>
          </w:tcPr>
          <w:p w14:paraId="40900C51" w14:textId="77777777" w:rsidR="00241417" w:rsidRPr="0039343F" w:rsidRDefault="00241417" w:rsidP="003A71DE">
            <w:pPr>
              <w:pStyle w:val="TAC"/>
            </w:pPr>
            <w:r>
              <w:rPr>
                <w:lang w:eastAsia="zh-CN"/>
              </w:rPr>
              <w:t>D-FR1-A.2.1-2</w:t>
            </w:r>
          </w:p>
        </w:tc>
        <w:tc>
          <w:tcPr>
            <w:tcW w:w="1417" w:type="dxa"/>
            <w:vAlign w:val="center"/>
          </w:tcPr>
          <w:p w14:paraId="71354D0C" w14:textId="77777777" w:rsidR="00241417" w:rsidRPr="0039343F" w:rsidRDefault="00241417" w:rsidP="003A71DE">
            <w:pPr>
              <w:pStyle w:val="TAC"/>
            </w:pPr>
            <w:r w:rsidRPr="0039343F">
              <w:t>pos1</w:t>
            </w:r>
          </w:p>
        </w:tc>
        <w:tc>
          <w:tcPr>
            <w:tcW w:w="1134" w:type="dxa"/>
            <w:vAlign w:val="center"/>
          </w:tcPr>
          <w:p w14:paraId="24D9CC75" w14:textId="77777777" w:rsidR="00241417" w:rsidRPr="0039343F" w:rsidRDefault="00241417" w:rsidP="003A71DE">
            <w:pPr>
              <w:pStyle w:val="TAC"/>
            </w:pPr>
            <w:r w:rsidRPr="0039343F">
              <w:t>-5.7</w:t>
            </w:r>
          </w:p>
        </w:tc>
      </w:tr>
      <w:tr w:rsidR="00241417" w:rsidRPr="0039343F" w14:paraId="0533C650" w14:textId="77777777" w:rsidTr="003A71DE">
        <w:trPr>
          <w:cantSplit/>
          <w:jc w:val="center"/>
        </w:trPr>
        <w:tc>
          <w:tcPr>
            <w:tcW w:w="1007" w:type="dxa"/>
            <w:vMerge/>
            <w:vAlign w:val="center"/>
          </w:tcPr>
          <w:p w14:paraId="636CE8BF" w14:textId="77777777" w:rsidR="00241417" w:rsidRPr="0039343F" w:rsidRDefault="00241417" w:rsidP="003A71DE">
            <w:pPr>
              <w:pStyle w:val="TAC"/>
            </w:pPr>
          </w:p>
        </w:tc>
        <w:tc>
          <w:tcPr>
            <w:tcW w:w="1093" w:type="dxa"/>
            <w:vMerge/>
            <w:vAlign w:val="center"/>
          </w:tcPr>
          <w:p w14:paraId="6429D3F5" w14:textId="77777777" w:rsidR="00241417" w:rsidRPr="0039343F" w:rsidRDefault="00241417" w:rsidP="003A71DE">
            <w:pPr>
              <w:pStyle w:val="TAC"/>
            </w:pPr>
          </w:p>
        </w:tc>
        <w:tc>
          <w:tcPr>
            <w:tcW w:w="1985" w:type="dxa"/>
            <w:vAlign w:val="center"/>
          </w:tcPr>
          <w:p w14:paraId="33B53F69" w14:textId="77777777" w:rsidR="00241417" w:rsidRPr="0039343F" w:rsidRDefault="00241417" w:rsidP="003A71DE">
            <w:pPr>
              <w:pStyle w:val="TAC"/>
            </w:pPr>
            <w:r w:rsidRPr="0039343F">
              <w:t>TDLC300-100 Low</w:t>
            </w:r>
          </w:p>
        </w:tc>
        <w:tc>
          <w:tcPr>
            <w:tcW w:w="1418" w:type="dxa"/>
            <w:vAlign w:val="center"/>
          </w:tcPr>
          <w:p w14:paraId="4B4E7E14" w14:textId="77777777" w:rsidR="00241417" w:rsidRPr="0039343F" w:rsidRDefault="00241417" w:rsidP="003A71DE">
            <w:pPr>
              <w:pStyle w:val="TAC"/>
            </w:pPr>
            <w:r>
              <w:rPr>
                <w:lang w:eastAsia="zh-CN"/>
              </w:rPr>
              <w:t>D-FR1-A.2.3-2</w:t>
            </w:r>
          </w:p>
        </w:tc>
        <w:tc>
          <w:tcPr>
            <w:tcW w:w="1417" w:type="dxa"/>
            <w:vAlign w:val="center"/>
          </w:tcPr>
          <w:p w14:paraId="1D47A46D" w14:textId="77777777" w:rsidR="00241417" w:rsidRPr="0039343F" w:rsidRDefault="00241417" w:rsidP="003A71DE">
            <w:pPr>
              <w:pStyle w:val="TAC"/>
            </w:pPr>
            <w:r w:rsidRPr="0039343F">
              <w:t>pos1</w:t>
            </w:r>
          </w:p>
        </w:tc>
        <w:tc>
          <w:tcPr>
            <w:tcW w:w="1134" w:type="dxa"/>
            <w:vAlign w:val="center"/>
          </w:tcPr>
          <w:p w14:paraId="607BB74C" w14:textId="77777777" w:rsidR="00241417" w:rsidRPr="0039343F" w:rsidRDefault="00241417" w:rsidP="003A71DE">
            <w:pPr>
              <w:pStyle w:val="TAC"/>
            </w:pPr>
            <w:r w:rsidRPr="0039343F">
              <w:t>6.5</w:t>
            </w:r>
          </w:p>
        </w:tc>
      </w:tr>
      <w:tr w:rsidR="00241417" w:rsidRPr="0039343F" w14:paraId="1FEDC29E" w14:textId="77777777" w:rsidTr="003A71DE">
        <w:trPr>
          <w:cantSplit/>
          <w:jc w:val="center"/>
        </w:trPr>
        <w:tc>
          <w:tcPr>
            <w:tcW w:w="1007" w:type="dxa"/>
            <w:vMerge/>
            <w:vAlign w:val="center"/>
          </w:tcPr>
          <w:p w14:paraId="2E4BAD86" w14:textId="77777777" w:rsidR="00241417" w:rsidRPr="0039343F" w:rsidRDefault="00241417" w:rsidP="003A71DE">
            <w:pPr>
              <w:pStyle w:val="TAC"/>
            </w:pPr>
          </w:p>
        </w:tc>
        <w:tc>
          <w:tcPr>
            <w:tcW w:w="1093" w:type="dxa"/>
            <w:vMerge/>
            <w:tcBorders>
              <w:bottom w:val="single" w:sz="4" w:space="0" w:color="auto"/>
            </w:tcBorders>
            <w:vAlign w:val="center"/>
          </w:tcPr>
          <w:p w14:paraId="284CCBF1" w14:textId="77777777" w:rsidR="00241417" w:rsidRPr="0039343F" w:rsidRDefault="00241417" w:rsidP="003A71DE">
            <w:pPr>
              <w:pStyle w:val="TAC"/>
            </w:pPr>
          </w:p>
        </w:tc>
        <w:tc>
          <w:tcPr>
            <w:tcW w:w="1985" w:type="dxa"/>
            <w:vAlign w:val="center"/>
          </w:tcPr>
          <w:p w14:paraId="2538A35C" w14:textId="77777777" w:rsidR="00241417" w:rsidRPr="0039343F" w:rsidRDefault="00241417" w:rsidP="003A71DE">
            <w:pPr>
              <w:pStyle w:val="TAC"/>
            </w:pPr>
            <w:r w:rsidRPr="0039343F">
              <w:t>TDLA30-10 Low</w:t>
            </w:r>
          </w:p>
        </w:tc>
        <w:tc>
          <w:tcPr>
            <w:tcW w:w="1418" w:type="dxa"/>
            <w:vAlign w:val="center"/>
          </w:tcPr>
          <w:p w14:paraId="08DFCCDA" w14:textId="77777777" w:rsidR="00241417" w:rsidRPr="0039343F" w:rsidRDefault="00241417" w:rsidP="003A71DE">
            <w:pPr>
              <w:pStyle w:val="TAC"/>
            </w:pPr>
            <w:r>
              <w:rPr>
                <w:lang w:eastAsia="zh-CN"/>
              </w:rPr>
              <w:t>D-FR1-A.2.4-2</w:t>
            </w:r>
          </w:p>
        </w:tc>
        <w:tc>
          <w:tcPr>
            <w:tcW w:w="1417" w:type="dxa"/>
            <w:vAlign w:val="center"/>
          </w:tcPr>
          <w:p w14:paraId="0CC2852A" w14:textId="77777777" w:rsidR="00241417" w:rsidRPr="0039343F" w:rsidRDefault="00241417" w:rsidP="003A71DE">
            <w:pPr>
              <w:pStyle w:val="TAC"/>
            </w:pPr>
            <w:r w:rsidRPr="0039343F">
              <w:t>pos1</w:t>
            </w:r>
          </w:p>
        </w:tc>
        <w:tc>
          <w:tcPr>
            <w:tcW w:w="1134" w:type="dxa"/>
            <w:vAlign w:val="center"/>
          </w:tcPr>
          <w:p w14:paraId="1D7B580E" w14:textId="77777777" w:rsidR="00241417" w:rsidRPr="0039343F" w:rsidRDefault="00241417" w:rsidP="003A71DE">
            <w:pPr>
              <w:pStyle w:val="TAC"/>
            </w:pPr>
            <w:r w:rsidRPr="0039343F">
              <w:t>8.9</w:t>
            </w:r>
          </w:p>
        </w:tc>
      </w:tr>
      <w:tr w:rsidR="00241417" w:rsidRPr="0039343F" w14:paraId="17230497" w14:textId="77777777" w:rsidTr="003A71DE">
        <w:trPr>
          <w:cantSplit/>
          <w:jc w:val="center"/>
        </w:trPr>
        <w:tc>
          <w:tcPr>
            <w:tcW w:w="1007" w:type="dxa"/>
            <w:vMerge/>
            <w:vAlign w:val="center"/>
          </w:tcPr>
          <w:p w14:paraId="7F4FDD58" w14:textId="77777777" w:rsidR="00241417" w:rsidRPr="0039343F" w:rsidRDefault="00241417" w:rsidP="003A71DE">
            <w:pPr>
              <w:pStyle w:val="TAC"/>
            </w:pPr>
          </w:p>
        </w:tc>
        <w:tc>
          <w:tcPr>
            <w:tcW w:w="1093" w:type="dxa"/>
            <w:vMerge w:val="restart"/>
            <w:vAlign w:val="center"/>
          </w:tcPr>
          <w:p w14:paraId="35EB70C8" w14:textId="77777777" w:rsidR="00241417" w:rsidRPr="0039343F" w:rsidRDefault="00241417" w:rsidP="003A71DE">
            <w:pPr>
              <w:pStyle w:val="TAC"/>
            </w:pPr>
            <w:r w:rsidRPr="0039343F">
              <w:t>8</w:t>
            </w:r>
          </w:p>
        </w:tc>
        <w:tc>
          <w:tcPr>
            <w:tcW w:w="1985" w:type="dxa"/>
            <w:vAlign w:val="center"/>
          </w:tcPr>
          <w:p w14:paraId="24526D38" w14:textId="77777777" w:rsidR="00241417" w:rsidRPr="0039343F" w:rsidRDefault="00241417" w:rsidP="003A71DE">
            <w:pPr>
              <w:pStyle w:val="TAC"/>
            </w:pPr>
            <w:r w:rsidRPr="0039343F">
              <w:t>TDLB100-400 Low</w:t>
            </w:r>
          </w:p>
        </w:tc>
        <w:tc>
          <w:tcPr>
            <w:tcW w:w="1418" w:type="dxa"/>
            <w:vAlign w:val="center"/>
          </w:tcPr>
          <w:p w14:paraId="0934B88A" w14:textId="77777777" w:rsidR="00241417" w:rsidRPr="0039343F" w:rsidRDefault="00241417" w:rsidP="003A71DE">
            <w:pPr>
              <w:pStyle w:val="TAC"/>
            </w:pPr>
            <w:r>
              <w:rPr>
                <w:lang w:eastAsia="zh-CN"/>
              </w:rPr>
              <w:t>D-FR1-A.2.1-2</w:t>
            </w:r>
          </w:p>
        </w:tc>
        <w:tc>
          <w:tcPr>
            <w:tcW w:w="1417" w:type="dxa"/>
            <w:vAlign w:val="center"/>
          </w:tcPr>
          <w:p w14:paraId="46984CA4" w14:textId="77777777" w:rsidR="00241417" w:rsidRPr="0039343F" w:rsidRDefault="00241417" w:rsidP="003A71DE">
            <w:pPr>
              <w:pStyle w:val="TAC"/>
            </w:pPr>
            <w:r w:rsidRPr="0039343F">
              <w:t>pos1</w:t>
            </w:r>
          </w:p>
        </w:tc>
        <w:tc>
          <w:tcPr>
            <w:tcW w:w="1134" w:type="dxa"/>
            <w:vAlign w:val="center"/>
          </w:tcPr>
          <w:p w14:paraId="5BC1067E" w14:textId="77777777" w:rsidR="00241417" w:rsidRPr="0039343F" w:rsidRDefault="00241417" w:rsidP="003A71DE">
            <w:pPr>
              <w:pStyle w:val="TAC"/>
            </w:pPr>
            <w:r w:rsidRPr="0039343F">
              <w:t>-9.0</w:t>
            </w:r>
          </w:p>
        </w:tc>
      </w:tr>
      <w:tr w:rsidR="00241417" w:rsidRPr="0039343F" w14:paraId="076FF69B" w14:textId="77777777" w:rsidTr="003A71DE">
        <w:trPr>
          <w:cantSplit/>
          <w:jc w:val="center"/>
        </w:trPr>
        <w:tc>
          <w:tcPr>
            <w:tcW w:w="1007" w:type="dxa"/>
            <w:vMerge/>
            <w:vAlign w:val="center"/>
          </w:tcPr>
          <w:p w14:paraId="3573CF27" w14:textId="77777777" w:rsidR="00241417" w:rsidRPr="0039343F" w:rsidRDefault="00241417" w:rsidP="003A71DE">
            <w:pPr>
              <w:pStyle w:val="TAC"/>
            </w:pPr>
          </w:p>
        </w:tc>
        <w:tc>
          <w:tcPr>
            <w:tcW w:w="1093" w:type="dxa"/>
            <w:vMerge/>
            <w:vAlign w:val="center"/>
          </w:tcPr>
          <w:p w14:paraId="36DECAC8" w14:textId="77777777" w:rsidR="00241417" w:rsidRPr="0039343F" w:rsidRDefault="00241417" w:rsidP="003A71DE">
            <w:pPr>
              <w:pStyle w:val="TAC"/>
            </w:pPr>
          </w:p>
        </w:tc>
        <w:tc>
          <w:tcPr>
            <w:tcW w:w="1985" w:type="dxa"/>
            <w:vAlign w:val="center"/>
          </w:tcPr>
          <w:p w14:paraId="1C163CAA" w14:textId="77777777" w:rsidR="00241417" w:rsidRPr="0039343F" w:rsidRDefault="00241417" w:rsidP="003A71DE">
            <w:pPr>
              <w:pStyle w:val="TAC"/>
            </w:pPr>
            <w:r w:rsidRPr="0039343F">
              <w:t>TDLC300-100 Low</w:t>
            </w:r>
          </w:p>
        </w:tc>
        <w:tc>
          <w:tcPr>
            <w:tcW w:w="1418" w:type="dxa"/>
            <w:vAlign w:val="center"/>
          </w:tcPr>
          <w:p w14:paraId="1C220FB7" w14:textId="77777777" w:rsidR="00241417" w:rsidRPr="0039343F" w:rsidRDefault="00241417" w:rsidP="003A71DE">
            <w:pPr>
              <w:pStyle w:val="TAC"/>
            </w:pPr>
            <w:r>
              <w:rPr>
                <w:lang w:eastAsia="zh-CN"/>
              </w:rPr>
              <w:t>D-FR1-A.2.3-2</w:t>
            </w:r>
          </w:p>
        </w:tc>
        <w:tc>
          <w:tcPr>
            <w:tcW w:w="1417" w:type="dxa"/>
            <w:vAlign w:val="center"/>
          </w:tcPr>
          <w:p w14:paraId="61C19DAB" w14:textId="77777777" w:rsidR="00241417" w:rsidRPr="0039343F" w:rsidRDefault="00241417" w:rsidP="003A71DE">
            <w:pPr>
              <w:pStyle w:val="TAC"/>
            </w:pPr>
            <w:r w:rsidRPr="0039343F">
              <w:t>pos1</w:t>
            </w:r>
          </w:p>
        </w:tc>
        <w:tc>
          <w:tcPr>
            <w:tcW w:w="1134" w:type="dxa"/>
            <w:vAlign w:val="center"/>
          </w:tcPr>
          <w:p w14:paraId="5BCAA02E" w14:textId="77777777" w:rsidR="00241417" w:rsidRPr="0039343F" w:rsidRDefault="00241417" w:rsidP="003A71DE">
            <w:pPr>
              <w:pStyle w:val="TAC"/>
            </w:pPr>
            <w:r w:rsidRPr="0039343F">
              <w:t>3.2</w:t>
            </w:r>
          </w:p>
        </w:tc>
      </w:tr>
      <w:tr w:rsidR="00241417" w:rsidRPr="0039343F" w14:paraId="03347508" w14:textId="77777777" w:rsidTr="003A71DE">
        <w:trPr>
          <w:cantSplit/>
          <w:jc w:val="center"/>
        </w:trPr>
        <w:tc>
          <w:tcPr>
            <w:tcW w:w="1007" w:type="dxa"/>
            <w:vMerge/>
            <w:tcBorders>
              <w:bottom w:val="single" w:sz="4" w:space="0" w:color="auto"/>
            </w:tcBorders>
            <w:vAlign w:val="center"/>
          </w:tcPr>
          <w:p w14:paraId="6D544F61" w14:textId="77777777" w:rsidR="00241417" w:rsidRPr="0039343F" w:rsidRDefault="00241417" w:rsidP="003A71DE">
            <w:pPr>
              <w:pStyle w:val="TAC"/>
            </w:pPr>
          </w:p>
        </w:tc>
        <w:tc>
          <w:tcPr>
            <w:tcW w:w="1093" w:type="dxa"/>
            <w:vMerge/>
            <w:tcBorders>
              <w:bottom w:val="single" w:sz="4" w:space="0" w:color="auto"/>
            </w:tcBorders>
            <w:vAlign w:val="center"/>
          </w:tcPr>
          <w:p w14:paraId="5676297C" w14:textId="77777777" w:rsidR="00241417" w:rsidRPr="0039343F" w:rsidRDefault="00241417" w:rsidP="003A71DE">
            <w:pPr>
              <w:pStyle w:val="TAC"/>
            </w:pPr>
          </w:p>
        </w:tc>
        <w:tc>
          <w:tcPr>
            <w:tcW w:w="1985" w:type="dxa"/>
            <w:vAlign w:val="center"/>
          </w:tcPr>
          <w:p w14:paraId="0E224D98" w14:textId="77777777" w:rsidR="00241417" w:rsidRPr="0039343F" w:rsidRDefault="00241417" w:rsidP="003A71DE">
            <w:pPr>
              <w:pStyle w:val="TAC"/>
            </w:pPr>
            <w:r w:rsidRPr="0039343F">
              <w:t>TDLA30-10 Low</w:t>
            </w:r>
          </w:p>
        </w:tc>
        <w:tc>
          <w:tcPr>
            <w:tcW w:w="1418" w:type="dxa"/>
            <w:vAlign w:val="center"/>
          </w:tcPr>
          <w:p w14:paraId="55078800" w14:textId="77777777" w:rsidR="00241417" w:rsidRPr="0039343F" w:rsidRDefault="00241417" w:rsidP="003A71DE">
            <w:pPr>
              <w:pStyle w:val="TAC"/>
            </w:pPr>
            <w:r>
              <w:rPr>
                <w:lang w:eastAsia="zh-CN"/>
              </w:rPr>
              <w:t>D-FR1-A.2.4-2</w:t>
            </w:r>
          </w:p>
        </w:tc>
        <w:tc>
          <w:tcPr>
            <w:tcW w:w="1417" w:type="dxa"/>
            <w:vAlign w:val="center"/>
          </w:tcPr>
          <w:p w14:paraId="1CF9424B" w14:textId="77777777" w:rsidR="00241417" w:rsidRPr="0039343F" w:rsidRDefault="00241417" w:rsidP="003A71DE">
            <w:pPr>
              <w:pStyle w:val="TAC"/>
            </w:pPr>
            <w:r w:rsidRPr="0039343F">
              <w:t>pos1</w:t>
            </w:r>
          </w:p>
        </w:tc>
        <w:tc>
          <w:tcPr>
            <w:tcW w:w="1134" w:type="dxa"/>
            <w:vAlign w:val="center"/>
          </w:tcPr>
          <w:p w14:paraId="2170E601" w14:textId="77777777" w:rsidR="00241417" w:rsidRPr="0039343F" w:rsidRDefault="00241417" w:rsidP="003A71DE">
            <w:pPr>
              <w:pStyle w:val="TAC"/>
            </w:pPr>
            <w:r w:rsidRPr="0039343F">
              <w:t>5.8</w:t>
            </w:r>
          </w:p>
        </w:tc>
      </w:tr>
      <w:tr w:rsidR="00241417" w:rsidRPr="0039343F" w14:paraId="317413AA" w14:textId="77777777" w:rsidTr="003A71DE">
        <w:trPr>
          <w:cantSplit/>
          <w:jc w:val="center"/>
        </w:trPr>
        <w:tc>
          <w:tcPr>
            <w:tcW w:w="1007" w:type="dxa"/>
            <w:vMerge w:val="restart"/>
            <w:vAlign w:val="center"/>
          </w:tcPr>
          <w:p w14:paraId="0E7A5E05" w14:textId="77777777" w:rsidR="00241417" w:rsidRPr="0039343F" w:rsidRDefault="00241417" w:rsidP="003A71DE">
            <w:pPr>
              <w:pStyle w:val="TAC"/>
            </w:pPr>
            <w:r w:rsidRPr="0039343F">
              <w:t>2</w:t>
            </w:r>
          </w:p>
        </w:tc>
        <w:tc>
          <w:tcPr>
            <w:tcW w:w="1093" w:type="dxa"/>
            <w:vMerge w:val="restart"/>
            <w:vAlign w:val="center"/>
          </w:tcPr>
          <w:p w14:paraId="07759C72" w14:textId="77777777" w:rsidR="00241417" w:rsidRPr="0039343F" w:rsidRDefault="00241417" w:rsidP="003A71DE">
            <w:pPr>
              <w:pStyle w:val="TAC"/>
            </w:pPr>
            <w:r w:rsidRPr="0039343F">
              <w:t>2</w:t>
            </w:r>
          </w:p>
        </w:tc>
        <w:tc>
          <w:tcPr>
            <w:tcW w:w="1985" w:type="dxa"/>
            <w:vAlign w:val="center"/>
          </w:tcPr>
          <w:p w14:paraId="45FF757D" w14:textId="77777777" w:rsidR="00241417" w:rsidRPr="0039343F" w:rsidRDefault="00241417" w:rsidP="003A71DE">
            <w:pPr>
              <w:pStyle w:val="TAC"/>
            </w:pPr>
            <w:r w:rsidRPr="0039343F">
              <w:t>TDLB100-400 Low</w:t>
            </w:r>
          </w:p>
        </w:tc>
        <w:tc>
          <w:tcPr>
            <w:tcW w:w="1418" w:type="dxa"/>
            <w:vAlign w:val="center"/>
          </w:tcPr>
          <w:p w14:paraId="744B1F76" w14:textId="77777777" w:rsidR="00241417" w:rsidRPr="0039343F" w:rsidRDefault="00241417" w:rsidP="003A71DE">
            <w:pPr>
              <w:pStyle w:val="TAC"/>
            </w:pPr>
            <w:r>
              <w:rPr>
                <w:lang w:eastAsia="zh-CN"/>
              </w:rPr>
              <w:t>D-FR1-A.2.1-9</w:t>
            </w:r>
          </w:p>
        </w:tc>
        <w:tc>
          <w:tcPr>
            <w:tcW w:w="1417" w:type="dxa"/>
            <w:vAlign w:val="center"/>
          </w:tcPr>
          <w:p w14:paraId="0102F705" w14:textId="77777777" w:rsidR="00241417" w:rsidRPr="0039343F" w:rsidRDefault="00241417" w:rsidP="003A71DE">
            <w:pPr>
              <w:pStyle w:val="TAC"/>
            </w:pPr>
            <w:r w:rsidRPr="0039343F">
              <w:t>pos1</w:t>
            </w:r>
          </w:p>
        </w:tc>
        <w:tc>
          <w:tcPr>
            <w:tcW w:w="1134" w:type="dxa"/>
            <w:vAlign w:val="center"/>
          </w:tcPr>
          <w:p w14:paraId="69CB25C0" w14:textId="77777777" w:rsidR="00241417" w:rsidRPr="0039343F" w:rsidRDefault="00241417" w:rsidP="003A71DE">
            <w:pPr>
              <w:pStyle w:val="TAC"/>
            </w:pPr>
            <w:r w:rsidRPr="0039343F">
              <w:t>2.0</w:t>
            </w:r>
          </w:p>
        </w:tc>
      </w:tr>
      <w:tr w:rsidR="00241417" w:rsidRPr="0039343F" w14:paraId="48FDAC46" w14:textId="77777777" w:rsidTr="003A71DE">
        <w:trPr>
          <w:cantSplit/>
          <w:jc w:val="center"/>
        </w:trPr>
        <w:tc>
          <w:tcPr>
            <w:tcW w:w="1007" w:type="dxa"/>
            <w:vMerge/>
            <w:vAlign w:val="center"/>
          </w:tcPr>
          <w:p w14:paraId="4D2328B0" w14:textId="77777777" w:rsidR="00241417" w:rsidRPr="0039343F" w:rsidRDefault="00241417" w:rsidP="003A71DE">
            <w:pPr>
              <w:pStyle w:val="TAC"/>
            </w:pPr>
          </w:p>
        </w:tc>
        <w:tc>
          <w:tcPr>
            <w:tcW w:w="1093" w:type="dxa"/>
            <w:vMerge/>
            <w:tcBorders>
              <w:bottom w:val="single" w:sz="4" w:space="0" w:color="auto"/>
            </w:tcBorders>
            <w:vAlign w:val="center"/>
          </w:tcPr>
          <w:p w14:paraId="58DCD029" w14:textId="77777777" w:rsidR="00241417" w:rsidRPr="0039343F" w:rsidRDefault="00241417" w:rsidP="003A71DE">
            <w:pPr>
              <w:pStyle w:val="TAC"/>
            </w:pPr>
          </w:p>
        </w:tc>
        <w:tc>
          <w:tcPr>
            <w:tcW w:w="1985" w:type="dxa"/>
            <w:vAlign w:val="center"/>
          </w:tcPr>
          <w:p w14:paraId="2A2AA823" w14:textId="77777777" w:rsidR="00241417" w:rsidRPr="0039343F" w:rsidRDefault="00241417" w:rsidP="003A71DE">
            <w:pPr>
              <w:pStyle w:val="TAC"/>
            </w:pPr>
            <w:r w:rsidRPr="0039343F">
              <w:t>TDLC300-100 Low</w:t>
            </w:r>
          </w:p>
        </w:tc>
        <w:tc>
          <w:tcPr>
            <w:tcW w:w="1418" w:type="dxa"/>
            <w:vAlign w:val="center"/>
          </w:tcPr>
          <w:p w14:paraId="41810821" w14:textId="77777777" w:rsidR="00241417" w:rsidRPr="0039343F" w:rsidRDefault="00241417" w:rsidP="003A71DE">
            <w:pPr>
              <w:pStyle w:val="TAC"/>
              <w:rPr>
                <w:lang w:eastAsia="zh-CN"/>
              </w:rPr>
            </w:pPr>
            <w:r>
              <w:rPr>
                <w:lang w:eastAsia="zh-CN"/>
              </w:rPr>
              <w:t>D-FR1-A.2.3-9</w:t>
            </w:r>
          </w:p>
        </w:tc>
        <w:tc>
          <w:tcPr>
            <w:tcW w:w="1417" w:type="dxa"/>
            <w:vAlign w:val="center"/>
          </w:tcPr>
          <w:p w14:paraId="0E21A36C" w14:textId="77777777" w:rsidR="00241417" w:rsidRPr="0039343F" w:rsidRDefault="00241417" w:rsidP="003A71DE">
            <w:pPr>
              <w:pStyle w:val="TAC"/>
            </w:pPr>
            <w:r w:rsidRPr="0039343F">
              <w:t>pos1</w:t>
            </w:r>
          </w:p>
        </w:tc>
        <w:tc>
          <w:tcPr>
            <w:tcW w:w="1134" w:type="dxa"/>
            <w:vAlign w:val="center"/>
          </w:tcPr>
          <w:p w14:paraId="3B871A03" w14:textId="77777777" w:rsidR="00241417" w:rsidRPr="0039343F" w:rsidRDefault="00241417" w:rsidP="003A71DE">
            <w:pPr>
              <w:pStyle w:val="TAC"/>
            </w:pPr>
            <w:r w:rsidRPr="0039343F">
              <w:t>18.7</w:t>
            </w:r>
          </w:p>
        </w:tc>
      </w:tr>
      <w:tr w:rsidR="00241417" w:rsidRPr="0039343F" w14:paraId="376D2294" w14:textId="77777777" w:rsidTr="003A71DE">
        <w:trPr>
          <w:cantSplit/>
          <w:jc w:val="center"/>
        </w:trPr>
        <w:tc>
          <w:tcPr>
            <w:tcW w:w="1007" w:type="dxa"/>
            <w:vMerge/>
            <w:vAlign w:val="center"/>
          </w:tcPr>
          <w:p w14:paraId="46C6C256" w14:textId="77777777" w:rsidR="00241417" w:rsidRPr="0039343F" w:rsidRDefault="00241417" w:rsidP="003A71DE">
            <w:pPr>
              <w:pStyle w:val="TAC"/>
            </w:pPr>
          </w:p>
        </w:tc>
        <w:tc>
          <w:tcPr>
            <w:tcW w:w="1093" w:type="dxa"/>
            <w:vMerge w:val="restart"/>
            <w:tcBorders>
              <w:top w:val="single" w:sz="4" w:space="0" w:color="auto"/>
            </w:tcBorders>
            <w:vAlign w:val="center"/>
          </w:tcPr>
          <w:p w14:paraId="521A2CF7" w14:textId="77777777" w:rsidR="00241417" w:rsidRPr="0039343F" w:rsidRDefault="00241417" w:rsidP="003A71DE">
            <w:pPr>
              <w:pStyle w:val="TAC"/>
            </w:pPr>
            <w:r w:rsidRPr="0039343F">
              <w:t>4</w:t>
            </w:r>
          </w:p>
        </w:tc>
        <w:tc>
          <w:tcPr>
            <w:tcW w:w="1985" w:type="dxa"/>
            <w:vAlign w:val="center"/>
          </w:tcPr>
          <w:p w14:paraId="513BE3C2" w14:textId="77777777" w:rsidR="00241417" w:rsidRPr="0039343F" w:rsidRDefault="00241417" w:rsidP="003A71DE">
            <w:pPr>
              <w:pStyle w:val="TAC"/>
            </w:pPr>
            <w:r w:rsidRPr="0039343F">
              <w:t>TDLB100-400 Low</w:t>
            </w:r>
          </w:p>
        </w:tc>
        <w:tc>
          <w:tcPr>
            <w:tcW w:w="1418" w:type="dxa"/>
            <w:vAlign w:val="center"/>
          </w:tcPr>
          <w:p w14:paraId="019D7620" w14:textId="77777777" w:rsidR="00241417" w:rsidRPr="0039343F" w:rsidRDefault="00241417" w:rsidP="003A71DE">
            <w:pPr>
              <w:pStyle w:val="TAC"/>
              <w:rPr>
                <w:lang w:eastAsia="zh-CN"/>
              </w:rPr>
            </w:pPr>
            <w:r>
              <w:rPr>
                <w:lang w:eastAsia="zh-CN"/>
              </w:rPr>
              <w:t>D-FR1-A.2.1-9</w:t>
            </w:r>
          </w:p>
        </w:tc>
        <w:tc>
          <w:tcPr>
            <w:tcW w:w="1417" w:type="dxa"/>
            <w:vAlign w:val="center"/>
          </w:tcPr>
          <w:p w14:paraId="10C96BA4" w14:textId="77777777" w:rsidR="00241417" w:rsidRPr="0039343F" w:rsidRDefault="00241417" w:rsidP="003A71DE">
            <w:pPr>
              <w:pStyle w:val="TAC"/>
            </w:pPr>
            <w:r w:rsidRPr="0039343F">
              <w:t>pos1</w:t>
            </w:r>
          </w:p>
        </w:tc>
        <w:tc>
          <w:tcPr>
            <w:tcW w:w="1134" w:type="dxa"/>
            <w:vAlign w:val="center"/>
          </w:tcPr>
          <w:p w14:paraId="1A332708" w14:textId="77777777" w:rsidR="00241417" w:rsidRPr="0039343F" w:rsidRDefault="00241417" w:rsidP="003A71DE">
            <w:pPr>
              <w:pStyle w:val="TAC"/>
            </w:pPr>
            <w:r w:rsidRPr="0039343F">
              <w:t>-2.3</w:t>
            </w:r>
          </w:p>
        </w:tc>
      </w:tr>
      <w:tr w:rsidR="00241417" w:rsidRPr="0039343F" w14:paraId="64DBEB94" w14:textId="77777777" w:rsidTr="003A71DE">
        <w:trPr>
          <w:cantSplit/>
          <w:jc w:val="center"/>
        </w:trPr>
        <w:tc>
          <w:tcPr>
            <w:tcW w:w="1007" w:type="dxa"/>
            <w:vMerge/>
            <w:vAlign w:val="center"/>
          </w:tcPr>
          <w:p w14:paraId="70D46097" w14:textId="77777777" w:rsidR="00241417" w:rsidRPr="0039343F" w:rsidRDefault="00241417" w:rsidP="003A71DE">
            <w:pPr>
              <w:pStyle w:val="TAC"/>
            </w:pPr>
          </w:p>
        </w:tc>
        <w:tc>
          <w:tcPr>
            <w:tcW w:w="1093" w:type="dxa"/>
            <w:vMerge/>
            <w:tcBorders>
              <w:bottom w:val="single" w:sz="4" w:space="0" w:color="auto"/>
            </w:tcBorders>
            <w:vAlign w:val="center"/>
          </w:tcPr>
          <w:p w14:paraId="1E8A7AB1" w14:textId="77777777" w:rsidR="00241417" w:rsidRPr="0039343F" w:rsidRDefault="00241417" w:rsidP="003A71DE">
            <w:pPr>
              <w:pStyle w:val="TAC"/>
            </w:pPr>
          </w:p>
        </w:tc>
        <w:tc>
          <w:tcPr>
            <w:tcW w:w="1985" w:type="dxa"/>
            <w:vAlign w:val="center"/>
          </w:tcPr>
          <w:p w14:paraId="41919944" w14:textId="77777777" w:rsidR="00241417" w:rsidRPr="0039343F" w:rsidRDefault="00241417" w:rsidP="003A71DE">
            <w:pPr>
              <w:pStyle w:val="TAC"/>
            </w:pPr>
            <w:r w:rsidRPr="0039343F">
              <w:t>TDLC300-100 Low</w:t>
            </w:r>
          </w:p>
        </w:tc>
        <w:tc>
          <w:tcPr>
            <w:tcW w:w="1418" w:type="dxa"/>
            <w:vAlign w:val="center"/>
          </w:tcPr>
          <w:p w14:paraId="09B18BB1" w14:textId="77777777" w:rsidR="00241417" w:rsidRPr="0039343F" w:rsidRDefault="00241417" w:rsidP="003A71DE">
            <w:pPr>
              <w:pStyle w:val="TAC"/>
              <w:rPr>
                <w:lang w:eastAsia="zh-CN"/>
              </w:rPr>
            </w:pPr>
            <w:r>
              <w:rPr>
                <w:lang w:eastAsia="zh-CN"/>
              </w:rPr>
              <w:t>D-FR1-A.2.3-9</w:t>
            </w:r>
          </w:p>
        </w:tc>
        <w:tc>
          <w:tcPr>
            <w:tcW w:w="1417" w:type="dxa"/>
            <w:vAlign w:val="center"/>
          </w:tcPr>
          <w:p w14:paraId="7B48AB70" w14:textId="77777777" w:rsidR="00241417" w:rsidRPr="0039343F" w:rsidRDefault="00241417" w:rsidP="003A71DE">
            <w:pPr>
              <w:pStyle w:val="TAC"/>
            </w:pPr>
            <w:r w:rsidRPr="0039343F">
              <w:t>pos1</w:t>
            </w:r>
          </w:p>
        </w:tc>
        <w:tc>
          <w:tcPr>
            <w:tcW w:w="1134" w:type="dxa"/>
            <w:vAlign w:val="center"/>
          </w:tcPr>
          <w:p w14:paraId="2DE5D2FC" w14:textId="77777777" w:rsidR="00241417" w:rsidRPr="0039343F" w:rsidRDefault="00241417" w:rsidP="003A71DE">
            <w:pPr>
              <w:pStyle w:val="TAC"/>
            </w:pPr>
            <w:r w:rsidRPr="0039343F">
              <w:t>11.3</w:t>
            </w:r>
          </w:p>
        </w:tc>
      </w:tr>
      <w:tr w:rsidR="00241417" w:rsidRPr="0039343F" w14:paraId="744F894B" w14:textId="77777777" w:rsidTr="003A71DE">
        <w:trPr>
          <w:cantSplit/>
          <w:jc w:val="center"/>
        </w:trPr>
        <w:tc>
          <w:tcPr>
            <w:tcW w:w="1007" w:type="dxa"/>
            <w:vMerge/>
            <w:vAlign w:val="center"/>
          </w:tcPr>
          <w:p w14:paraId="63E98B64" w14:textId="77777777" w:rsidR="00241417" w:rsidRPr="0039343F" w:rsidRDefault="00241417" w:rsidP="003A71DE">
            <w:pPr>
              <w:pStyle w:val="TAC"/>
            </w:pPr>
          </w:p>
        </w:tc>
        <w:tc>
          <w:tcPr>
            <w:tcW w:w="1093" w:type="dxa"/>
            <w:vMerge w:val="restart"/>
            <w:tcBorders>
              <w:top w:val="single" w:sz="4" w:space="0" w:color="auto"/>
            </w:tcBorders>
            <w:vAlign w:val="center"/>
          </w:tcPr>
          <w:p w14:paraId="11957A7C" w14:textId="77777777" w:rsidR="00241417" w:rsidRPr="0039343F" w:rsidRDefault="00241417" w:rsidP="003A71DE">
            <w:pPr>
              <w:pStyle w:val="TAC"/>
            </w:pPr>
            <w:r w:rsidRPr="0039343F">
              <w:t>8</w:t>
            </w:r>
          </w:p>
        </w:tc>
        <w:tc>
          <w:tcPr>
            <w:tcW w:w="1985" w:type="dxa"/>
            <w:vAlign w:val="center"/>
          </w:tcPr>
          <w:p w14:paraId="2E88A3E4" w14:textId="77777777" w:rsidR="00241417" w:rsidRPr="0039343F" w:rsidRDefault="00241417" w:rsidP="003A71DE">
            <w:pPr>
              <w:pStyle w:val="TAC"/>
            </w:pPr>
            <w:r w:rsidRPr="0039343F">
              <w:t>TDLB100-400 Low</w:t>
            </w:r>
          </w:p>
        </w:tc>
        <w:tc>
          <w:tcPr>
            <w:tcW w:w="1418" w:type="dxa"/>
            <w:vAlign w:val="center"/>
          </w:tcPr>
          <w:p w14:paraId="4B04282F" w14:textId="77777777" w:rsidR="00241417" w:rsidRPr="0039343F" w:rsidRDefault="00241417" w:rsidP="003A71DE">
            <w:pPr>
              <w:pStyle w:val="TAC"/>
              <w:rPr>
                <w:lang w:eastAsia="zh-CN"/>
              </w:rPr>
            </w:pPr>
            <w:r>
              <w:rPr>
                <w:lang w:eastAsia="zh-CN"/>
              </w:rPr>
              <w:t>D-FR1-A.2.1-9</w:t>
            </w:r>
          </w:p>
        </w:tc>
        <w:tc>
          <w:tcPr>
            <w:tcW w:w="1417" w:type="dxa"/>
            <w:vAlign w:val="center"/>
          </w:tcPr>
          <w:p w14:paraId="7986826A" w14:textId="77777777" w:rsidR="00241417" w:rsidRPr="0039343F" w:rsidRDefault="00241417" w:rsidP="003A71DE">
            <w:pPr>
              <w:pStyle w:val="TAC"/>
            </w:pPr>
            <w:r w:rsidRPr="0039343F">
              <w:t>pos1</w:t>
            </w:r>
          </w:p>
        </w:tc>
        <w:tc>
          <w:tcPr>
            <w:tcW w:w="1134" w:type="dxa"/>
            <w:vAlign w:val="center"/>
          </w:tcPr>
          <w:p w14:paraId="38461990" w14:textId="77777777" w:rsidR="00241417" w:rsidRPr="0039343F" w:rsidRDefault="00241417" w:rsidP="003A71DE">
            <w:pPr>
              <w:pStyle w:val="TAC"/>
            </w:pPr>
            <w:r w:rsidRPr="0039343F">
              <w:t>-5.2</w:t>
            </w:r>
          </w:p>
        </w:tc>
      </w:tr>
      <w:tr w:rsidR="00241417" w:rsidRPr="0039343F" w14:paraId="4B745C4D" w14:textId="77777777" w:rsidTr="003A71DE">
        <w:trPr>
          <w:cantSplit/>
          <w:jc w:val="center"/>
        </w:trPr>
        <w:tc>
          <w:tcPr>
            <w:tcW w:w="1007" w:type="dxa"/>
            <w:vMerge/>
            <w:vAlign w:val="center"/>
          </w:tcPr>
          <w:p w14:paraId="2A52F63D" w14:textId="77777777" w:rsidR="00241417" w:rsidRPr="0039343F" w:rsidRDefault="00241417" w:rsidP="003A71DE">
            <w:pPr>
              <w:pStyle w:val="TAC"/>
            </w:pPr>
          </w:p>
        </w:tc>
        <w:tc>
          <w:tcPr>
            <w:tcW w:w="1093" w:type="dxa"/>
            <w:vMerge/>
            <w:vAlign w:val="center"/>
          </w:tcPr>
          <w:p w14:paraId="4BBD3C87" w14:textId="77777777" w:rsidR="00241417" w:rsidRPr="0039343F" w:rsidRDefault="00241417" w:rsidP="003A71DE">
            <w:pPr>
              <w:pStyle w:val="TAC"/>
            </w:pPr>
          </w:p>
        </w:tc>
        <w:tc>
          <w:tcPr>
            <w:tcW w:w="1985" w:type="dxa"/>
            <w:vAlign w:val="center"/>
          </w:tcPr>
          <w:p w14:paraId="35C7F3FD" w14:textId="77777777" w:rsidR="00241417" w:rsidRPr="0039343F" w:rsidRDefault="00241417" w:rsidP="003A71DE">
            <w:pPr>
              <w:pStyle w:val="TAC"/>
            </w:pPr>
            <w:r w:rsidRPr="0039343F">
              <w:t>TDLC300-100 Low</w:t>
            </w:r>
          </w:p>
        </w:tc>
        <w:tc>
          <w:tcPr>
            <w:tcW w:w="1418" w:type="dxa"/>
            <w:vAlign w:val="center"/>
          </w:tcPr>
          <w:p w14:paraId="52E80ECB" w14:textId="77777777" w:rsidR="00241417" w:rsidRPr="0039343F" w:rsidRDefault="00241417" w:rsidP="003A71DE">
            <w:pPr>
              <w:pStyle w:val="TAC"/>
              <w:rPr>
                <w:lang w:eastAsia="zh-CN"/>
              </w:rPr>
            </w:pPr>
            <w:r>
              <w:rPr>
                <w:lang w:eastAsia="zh-CN"/>
              </w:rPr>
              <w:t>D-FR1-A.2.3-9</w:t>
            </w:r>
          </w:p>
        </w:tc>
        <w:tc>
          <w:tcPr>
            <w:tcW w:w="1417" w:type="dxa"/>
            <w:vAlign w:val="center"/>
          </w:tcPr>
          <w:p w14:paraId="2B8C7271" w14:textId="77777777" w:rsidR="00241417" w:rsidRPr="0039343F" w:rsidRDefault="00241417" w:rsidP="003A71DE">
            <w:pPr>
              <w:pStyle w:val="TAC"/>
            </w:pPr>
            <w:r w:rsidRPr="0039343F">
              <w:t>pos1</w:t>
            </w:r>
          </w:p>
        </w:tc>
        <w:tc>
          <w:tcPr>
            <w:tcW w:w="1134" w:type="dxa"/>
            <w:vAlign w:val="center"/>
          </w:tcPr>
          <w:p w14:paraId="460F13B8" w14:textId="77777777" w:rsidR="00241417" w:rsidRPr="0039343F" w:rsidRDefault="00241417" w:rsidP="003A71DE">
            <w:pPr>
              <w:pStyle w:val="TAC"/>
            </w:pPr>
            <w:r w:rsidRPr="0039343F">
              <w:t>7.0</w:t>
            </w:r>
          </w:p>
        </w:tc>
      </w:tr>
    </w:tbl>
    <w:p w14:paraId="4A05C360" w14:textId="77777777" w:rsidR="00241417" w:rsidRPr="0039343F" w:rsidRDefault="00241417" w:rsidP="00241417">
      <w:pPr>
        <w:rPr>
          <w:lang w:eastAsia="zh-CN"/>
        </w:rPr>
      </w:pPr>
    </w:p>
    <w:p w14:paraId="5A2505B3" w14:textId="77777777" w:rsidR="00241417" w:rsidRPr="00B054F4" w:rsidRDefault="00241417" w:rsidP="00241417">
      <w:pPr>
        <w:pStyle w:val="TH"/>
        <w:rPr>
          <w:lang w:eastAsia="zh-CN"/>
        </w:rPr>
      </w:pPr>
      <w:r w:rsidRPr="00B054F4">
        <w:t>Table 8.1.2.1.2-10: Minimum requirements for PUSCH</w:t>
      </w:r>
      <w:r w:rsidRPr="00B054F4">
        <w:rPr>
          <w:rFonts w:hint="eastAsia"/>
          <w:lang w:eastAsia="zh-CN"/>
        </w:rPr>
        <w:t xml:space="preserve"> </w:t>
      </w:r>
      <w:r w:rsidRPr="00B054F4">
        <w:rPr>
          <w:lang w:eastAsia="zh-CN"/>
        </w:rPr>
        <w:t>with</w:t>
      </w:r>
      <w:r w:rsidRPr="00B054F4">
        <w:rPr>
          <w:rFonts w:hint="eastAsia"/>
          <w:lang w:eastAsia="zh-CN"/>
        </w:rPr>
        <w:t xml:space="preserve"> 70% of maximum throughput</w:t>
      </w:r>
      <w:r w:rsidRPr="00B054F4">
        <w:t>, Type B, 20 MHz channel bandwidth</w:t>
      </w:r>
      <w:r w:rsidRPr="00B054F4">
        <w:rPr>
          <w:lang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570"/>
        <w:gridCol w:w="1265"/>
        <w:gridCol w:w="1134"/>
      </w:tblGrid>
      <w:tr w:rsidR="00241417" w:rsidRPr="0039343F" w14:paraId="1FC1B653" w14:textId="77777777" w:rsidTr="003A71DE">
        <w:trPr>
          <w:cantSplit/>
          <w:jc w:val="center"/>
        </w:trPr>
        <w:tc>
          <w:tcPr>
            <w:tcW w:w="1007" w:type="dxa"/>
            <w:tcBorders>
              <w:bottom w:val="single" w:sz="4" w:space="0" w:color="auto"/>
            </w:tcBorders>
            <w:vAlign w:val="center"/>
          </w:tcPr>
          <w:p w14:paraId="59589D56"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3798C901" w14:textId="77777777" w:rsidR="00241417" w:rsidRPr="0039343F" w:rsidRDefault="00241417" w:rsidP="003A71DE">
            <w:pPr>
              <w:pStyle w:val="TAH"/>
            </w:pPr>
            <w:r w:rsidRPr="0039343F">
              <w:t xml:space="preserve">Number of </w:t>
            </w:r>
            <w:r>
              <w:t>Demodulation Branches</w:t>
            </w:r>
          </w:p>
        </w:tc>
        <w:tc>
          <w:tcPr>
            <w:tcW w:w="1985" w:type="dxa"/>
            <w:vAlign w:val="center"/>
          </w:tcPr>
          <w:p w14:paraId="7B640041" w14:textId="568320C8" w:rsidR="00241417" w:rsidRPr="0039343F" w:rsidRDefault="00241417" w:rsidP="003A71DE">
            <w:pPr>
              <w:pStyle w:val="TAH"/>
            </w:pPr>
            <w:r w:rsidRPr="0039343F">
              <w:t xml:space="preserve">Propagation conditions and correlation matrix (Annex </w:t>
            </w:r>
            <w:r>
              <w:t>TBA</w:t>
            </w:r>
            <w:r w:rsidRPr="0039343F">
              <w:t>)</w:t>
            </w:r>
          </w:p>
        </w:tc>
        <w:tc>
          <w:tcPr>
            <w:tcW w:w="1570" w:type="dxa"/>
            <w:vAlign w:val="center"/>
          </w:tcPr>
          <w:p w14:paraId="466AB619" w14:textId="77777777" w:rsidR="00241417" w:rsidRPr="0039343F" w:rsidRDefault="00241417" w:rsidP="003A71DE">
            <w:pPr>
              <w:pStyle w:val="TAH"/>
            </w:pPr>
            <w:r w:rsidRPr="0039343F">
              <w:t>FRC</w:t>
            </w:r>
            <w:r w:rsidRPr="0039343F">
              <w:br/>
              <w:t>(Annex A)</w:t>
            </w:r>
          </w:p>
        </w:tc>
        <w:tc>
          <w:tcPr>
            <w:tcW w:w="1265" w:type="dxa"/>
            <w:vAlign w:val="center"/>
          </w:tcPr>
          <w:p w14:paraId="06D8B9EC" w14:textId="77777777" w:rsidR="00241417" w:rsidRPr="0039343F" w:rsidRDefault="00241417" w:rsidP="003A71DE">
            <w:pPr>
              <w:pStyle w:val="TAH"/>
            </w:pPr>
            <w:r w:rsidRPr="0039343F">
              <w:t>Additional DM-RS position</w:t>
            </w:r>
          </w:p>
        </w:tc>
        <w:tc>
          <w:tcPr>
            <w:tcW w:w="1134" w:type="dxa"/>
            <w:vAlign w:val="center"/>
          </w:tcPr>
          <w:p w14:paraId="4361483C" w14:textId="77777777" w:rsidR="00241417" w:rsidRPr="0039343F" w:rsidRDefault="00241417" w:rsidP="003A71DE">
            <w:pPr>
              <w:pStyle w:val="TAH"/>
            </w:pPr>
            <w:r w:rsidRPr="0039343F">
              <w:t>SNR</w:t>
            </w:r>
          </w:p>
          <w:p w14:paraId="061CF3CD" w14:textId="77777777" w:rsidR="00241417" w:rsidRPr="0039343F" w:rsidRDefault="00241417" w:rsidP="003A71DE">
            <w:pPr>
              <w:pStyle w:val="TAH"/>
            </w:pPr>
            <w:r w:rsidRPr="0039343F">
              <w:t>(dB)</w:t>
            </w:r>
          </w:p>
        </w:tc>
      </w:tr>
      <w:tr w:rsidR="00241417" w:rsidRPr="0039343F" w14:paraId="514E3DE1" w14:textId="77777777" w:rsidTr="003A71DE">
        <w:trPr>
          <w:cantSplit/>
          <w:jc w:val="center"/>
        </w:trPr>
        <w:tc>
          <w:tcPr>
            <w:tcW w:w="1007" w:type="dxa"/>
            <w:vMerge w:val="restart"/>
            <w:vAlign w:val="center"/>
          </w:tcPr>
          <w:p w14:paraId="657C4021" w14:textId="77777777" w:rsidR="00241417" w:rsidRPr="0039343F" w:rsidRDefault="00241417" w:rsidP="003A71DE">
            <w:pPr>
              <w:pStyle w:val="TAC"/>
            </w:pPr>
            <w:r w:rsidRPr="0039343F">
              <w:t>1</w:t>
            </w:r>
          </w:p>
        </w:tc>
        <w:tc>
          <w:tcPr>
            <w:tcW w:w="1093" w:type="dxa"/>
            <w:vMerge w:val="restart"/>
            <w:vAlign w:val="center"/>
          </w:tcPr>
          <w:p w14:paraId="6AB511BF" w14:textId="77777777" w:rsidR="00241417" w:rsidRPr="0039343F" w:rsidRDefault="00241417" w:rsidP="003A71DE">
            <w:pPr>
              <w:pStyle w:val="TAC"/>
            </w:pPr>
            <w:r w:rsidRPr="0039343F">
              <w:t>2</w:t>
            </w:r>
          </w:p>
        </w:tc>
        <w:tc>
          <w:tcPr>
            <w:tcW w:w="1985" w:type="dxa"/>
            <w:vAlign w:val="center"/>
          </w:tcPr>
          <w:p w14:paraId="3F76AB79" w14:textId="77777777" w:rsidR="00241417" w:rsidRPr="0039343F" w:rsidRDefault="00241417" w:rsidP="003A71DE">
            <w:pPr>
              <w:pStyle w:val="TAC"/>
            </w:pPr>
            <w:r w:rsidRPr="0039343F">
              <w:t>TDLB100-400 Low</w:t>
            </w:r>
          </w:p>
        </w:tc>
        <w:tc>
          <w:tcPr>
            <w:tcW w:w="1570" w:type="dxa"/>
            <w:vAlign w:val="center"/>
          </w:tcPr>
          <w:p w14:paraId="469D07B0" w14:textId="77777777" w:rsidR="00241417" w:rsidRPr="0039343F" w:rsidRDefault="00241417" w:rsidP="003A71DE">
            <w:pPr>
              <w:pStyle w:val="TAC"/>
            </w:pPr>
            <w:r>
              <w:rPr>
                <w:lang w:eastAsia="zh-CN"/>
              </w:rPr>
              <w:t>D-FR1-A.2.1-3</w:t>
            </w:r>
          </w:p>
        </w:tc>
        <w:tc>
          <w:tcPr>
            <w:tcW w:w="1265" w:type="dxa"/>
            <w:vAlign w:val="center"/>
          </w:tcPr>
          <w:p w14:paraId="113CD6C3" w14:textId="77777777" w:rsidR="00241417" w:rsidRPr="0039343F" w:rsidRDefault="00241417" w:rsidP="003A71DE">
            <w:pPr>
              <w:pStyle w:val="TAC"/>
            </w:pPr>
            <w:r w:rsidRPr="0039343F">
              <w:t>pos1</w:t>
            </w:r>
          </w:p>
        </w:tc>
        <w:tc>
          <w:tcPr>
            <w:tcW w:w="1134" w:type="dxa"/>
            <w:vAlign w:val="center"/>
          </w:tcPr>
          <w:p w14:paraId="6607B8ED" w14:textId="77777777" w:rsidR="00241417" w:rsidRPr="0039343F" w:rsidRDefault="00241417" w:rsidP="003A71DE">
            <w:pPr>
              <w:pStyle w:val="TAC"/>
            </w:pPr>
            <w:r w:rsidRPr="0039343F">
              <w:t>-2.1</w:t>
            </w:r>
          </w:p>
        </w:tc>
      </w:tr>
      <w:tr w:rsidR="00241417" w:rsidRPr="0039343F" w14:paraId="43B73218" w14:textId="77777777" w:rsidTr="003A71DE">
        <w:trPr>
          <w:cantSplit/>
          <w:jc w:val="center"/>
        </w:trPr>
        <w:tc>
          <w:tcPr>
            <w:tcW w:w="1007" w:type="dxa"/>
            <w:vMerge/>
            <w:vAlign w:val="center"/>
          </w:tcPr>
          <w:p w14:paraId="41A8BC27" w14:textId="77777777" w:rsidR="00241417" w:rsidRPr="0039343F" w:rsidRDefault="00241417" w:rsidP="003A71DE">
            <w:pPr>
              <w:pStyle w:val="TAC"/>
            </w:pPr>
          </w:p>
        </w:tc>
        <w:tc>
          <w:tcPr>
            <w:tcW w:w="1093" w:type="dxa"/>
            <w:vMerge/>
            <w:vAlign w:val="center"/>
          </w:tcPr>
          <w:p w14:paraId="0146EEBA" w14:textId="77777777" w:rsidR="00241417" w:rsidRPr="0039343F" w:rsidRDefault="00241417" w:rsidP="003A71DE">
            <w:pPr>
              <w:pStyle w:val="TAC"/>
            </w:pPr>
          </w:p>
        </w:tc>
        <w:tc>
          <w:tcPr>
            <w:tcW w:w="1985" w:type="dxa"/>
            <w:vAlign w:val="center"/>
          </w:tcPr>
          <w:p w14:paraId="1940FEC9" w14:textId="77777777" w:rsidR="00241417" w:rsidRPr="0039343F" w:rsidRDefault="00241417" w:rsidP="003A71DE">
            <w:pPr>
              <w:pStyle w:val="TAC"/>
            </w:pPr>
            <w:r w:rsidRPr="0039343F">
              <w:t>TDLC300-100 Low</w:t>
            </w:r>
          </w:p>
        </w:tc>
        <w:tc>
          <w:tcPr>
            <w:tcW w:w="1570" w:type="dxa"/>
            <w:vAlign w:val="center"/>
          </w:tcPr>
          <w:p w14:paraId="6D7B14BF" w14:textId="77777777" w:rsidR="00241417" w:rsidRPr="0039343F" w:rsidRDefault="00241417" w:rsidP="003A71DE">
            <w:pPr>
              <w:pStyle w:val="TAC"/>
            </w:pPr>
            <w:r>
              <w:rPr>
                <w:lang w:eastAsia="zh-CN"/>
              </w:rPr>
              <w:t>D-FR1-A.2.3-3</w:t>
            </w:r>
          </w:p>
        </w:tc>
        <w:tc>
          <w:tcPr>
            <w:tcW w:w="1265" w:type="dxa"/>
            <w:vAlign w:val="center"/>
          </w:tcPr>
          <w:p w14:paraId="25D7E3C7" w14:textId="77777777" w:rsidR="00241417" w:rsidRPr="0039343F" w:rsidRDefault="00241417" w:rsidP="003A71DE">
            <w:pPr>
              <w:pStyle w:val="TAC"/>
            </w:pPr>
            <w:r w:rsidRPr="0039343F">
              <w:t>pos1</w:t>
            </w:r>
          </w:p>
        </w:tc>
        <w:tc>
          <w:tcPr>
            <w:tcW w:w="1134" w:type="dxa"/>
            <w:vAlign w:val="center"/>
          </w:tcPr>
          <w:p w14:paraId="664A193D" w14:textId="77777777" w:rsidR="00241417" w:rsidRPr="0039343F" w:rsidRDefault="00241417" w:rsidP="003A71DE">
            <w:pPr>
              <w:pStyle w:val="TAC"/>
            </w:pPr>
            <w:r w:rsidRPr="0039343F">
              <w:t>10.4</w:t>
            </w:r>
          </w:p>
        </w:tc>
      </w:tr>
      <w:tr w:rsidR="00241417" w:rsidRPr="0039343F" w14:paraId="153B0F7F" w14:textId="77777777" w:rsidTr="003A71DE">
        <w:trPr>
          <w:cantSplit/>
          <w:jc w:val="center"/>
        </w:trPr>
        <w:tc>
          <w:tcPr>
            <w:tcW w:w="1007" w:type="dxa"/>
            <w:vMerge/>
            <w:vAlign w:val="center"/>
          </w:tcPr>
          <w:p w14:paraId="6609A300" w14:textId="77777777" w:rsidR="00241417" w:rsidRPr="0039343F" w:rsidRDefault="00241417" w:rsidP="003A71DE">
            <w:pPr>
              <w:pStyle w:val="TAC"/>
            </w:pPr>
          </w:p>
        </w:tc>
        <w:tc>
          <w:tcPr>
            <w:tcW w:w="1093" w:type="dxa"/>
            <w:vMerge/>
            <w:tcBorders>
              <w:bottom w:val="single" w:sz="4" w:space="0" w:color="auto"/>
            </w:tcBorders>
            <w:vAlign w:val="center"/>
          </w:tcPr>
          <w:p w14:paraId="1ABF2080" w14:textId="77777777" w:rsidR="00241417" w:rsidRPr="0039343F" w:rsidRDefault="00241417" w:rsidP="003A71DE">
            <w:pPr>
              <w:pStyle w:val="TAC"/>
            </w:pPr>
          </w:p>
        </w:tc>
        <w:tc>
          <w:tcPr>
            <w:tcW w:w="1985" w:type="dxa"/>
            <w:vAlign w:val="center"/>
          </w:tcPr>
          <w:p w14:paraId="314E9EC0" w14:textId="77777777" w:rsidR="00241417" w:rsidRPr="0039343F" w:rsidRDefault="00241417" w:rsidP="003A71DE">
            <w:pPr>
              <w:pStyle w:val="TAC"/>
            </w:pPr>
            <w:r w:rsidRPr="0039343F">
              <w:t>TDLA30-10 Low</w:t>
            </w:r>
          </w:p>
        </w:tc>
        <w:tc>
          <w:tcPr>
            <w:tcW w:w="1570" w:type="dxa"/>
            <w:vAlign w:val="center"/>
          </w:tcPr>
          <w:p w14:paraId="302CF3D5" w14:textId="77777777" w:rsidR="00241417" w:rsidRPr="0039343F" w:rsidRDefault="00241417" w:rsidP="003A71DE">
            <w:pPr>
              <w:pStyle w:val="TAC"/>
            </w:pPr>
            <w:r>
              <w:rPr>
                <w:lang w:eastAsia="zh-CN"/>
              </w:rPr>
              <w:t>D-FR1-A.2.4-3</w:t>
            </w:r>
          </w:p>
        </w:tc>
        <w:tc>
          <w:tcPr>
            <w:tcW w:w="1265" w:type="dxa"/>
            <w:vAlign w:val="center"/>
          </w:tcPr>
          <w:p w14:paraId="4793022D" w14:textId="77777777" w:rsidR="00241417" w:rsidRPr="0039343F" w:rsidRDefault="00241417" w:rsidP="003A71DE">
            <w:pPr>
              <w:pStyle w:val="TAC"/>
            </w:pPr>
            <w:r w:rsidRPr="0039343F">
              <w:t>pos1</w:t>
            </w:r>
          </w:p>
        </w:tc>
        <w:tc>
          <w:tcPr>
            <w:tcW w:w="1134" w:type="dxa"/>
            <w:vAlign w:val="center"/>
          </w:tcPr>
          <w:p w14:paraId="6DC76358" w14:textId="77777777" w:rsidR="00241417" w:rsidRPr="0039343F" w:rsidRDefault="00241417" w:rsidP="003A71DE">
            <w:pPr>
              <w:pStyle w:val="TAC"/>
            </w:pPr>
            <w:r w:rsidRPr="0039343F">
              <w:t>12.3</w:t>
            </w:r>
          </w:p>
        </w:tc>
      </w:tr>
      <w:tr w:rsidR="00241417" w:rsidRPr="0039343F" w14:paraId="4E9C4478" w14:textId="77777777" w:rsidTr="003A71DE">
        <w:trPr>
          <w:cantSplit/>
          <w:jc w:val="center"/>
        </w:trPr>
        <w:tc>
          <w:tcPr>
            <w:tcW w:w="1007" w:type="dxa"/>
            <w:vMerge/>
            <w:vAlign w:val="center"/>
          </w:tcPr>
          <w:p w14:paraId="15CE3D9A" w14:textId="77777777" w:rsidR="00241417" w:rsidRPr="0039343F" w:rsidRDefault="00241417" w:rsidP="003A71DE">
            <w:pPr>
              <w:pStyle w:val="TAC"/>
            </w:pPr>
          </w:p>
        </w:tc>
        <w:tc>
          <w:tcPr>
            <w:tcW w:w="1093" w:type="dxa"/>
            <w:vMerge w:val="restart"/>
            <w:vAlign w:val="center"/>
          </w:tcPr>
          <w:p w14:paraId="241DF4D8" w14:textId="77777777" w:rsidR="00241417" w:rsidRPr="0039343F" w:rsidRDefault="00241417" w:rsidP="003A71DE">
            <w:pPr>
              <w:pStyle w:val="TAC"/>
            </w:pPr>
            <w:r w:rsidRPr="0039343F">
              <w:t>4</w:t>
            </w:r>
          </w:p>
        </w:tc>
        <w:tc>
          <w:tcPr>
            <w:tcW w:w="1985" w:type="dxa"/>
            <w:vAlign w:val="center"/>
          </w:tcPr>
          <w:p w14:paraId="2C46C947" w14:textId="77777777" w:rsidR="00241417" w:rsidRPr="0039343F" w:rsidRDefault="00241417" w:rsidP="003A71DE">
            <w:pPr>
              <w:pStyle w:val="TAC"/>
            </w:pPr>
            <w:r w:rsidRPr="0039343F">
              <w:t>TDLB100-400 Low</w:t>
            </w:r>
          </w:p>
        </w:tc>
        <w:tc>
          <w:tcPr>
            <w:tcW w:w="1570" w:type="dxa"/>
            <w:vAlign w:val="center"/>
          </w:tcPr>
          <w:p w14:paraId="32A47539" w14:textId="77777777" w:rsidR="00241417" w:rsidRPr="0039343F" w:rsidRDefault="00241417" w:rsidP="003A71DE">
            <w:pPr>
              <w:pStyle w:val="TAC"/>
            </w:pPr>
            <w:r>
              <w:rPr>
                <w:lang w:eastAsia="zh-CN"/>
              </w:rPr>
              <w:t>D-FR1-A.2.1-3</w:t>
            </w:r>
          </w:p>
        </w:tc>
        <w:tc>
          <w:tcPr>
            <w:tcW w:w="1265" w:type="dxa"/>
            <w:vAlign w:val="center"/>
          </w:tcPr>
          <w:p w14:paraId="6A31C9AC" w14:textId="77777777" w:rsidR="00241417" w:rsidRPr="0039343F" w:rsidRDefault="00241417" w:rsidP="003A71DE">
            <w:pPr>
              <w:pStyle w:val="TAC"/>
            </w:pPr>
            <w:r w:rsidRPr="0039343F">
              <w:t>pos1</w:t>
            </w:r>
          </w:p>
        </w:tc>
        <w:tc>
          <w:tcPr>
            <w:tcW w:w="1134" w:type="dxa"/>
            <w:vAlign w:val="center"/>
          </w:tcPr>
          <w:p w14:paraId="1312ADA5" w14:textId="77777777" w:rsidR="00241417" w:rsidRPr="0039343F" w:rsidRDefault="00241417" w:rsidP="003A71DE">
            <w:pPr>
              <w:pStyle w:val="TAC"/>
            </w:pPr>
            <w:r w:rsidRPr="0039343F">
              <w:t>-5.7</w:t>
            </w:r>
          </w:p>
        </w:tc>
      </w:tr>
      <w:tr w:rsidR="00241417" w:rsidRPr="0039343F" w14:paraId="3F65692F" w14:textId="77777777" w:rsidTr="003A71DE">
        <w:trPr>
          <w:cantSplit/>
          <w:jc w:val="center"/>
        </w:trPr>
        <w:tc>
          <w:tcPr>
            <w:tcW w:w="1007" w:type="dxa"/>
            <w:vMerge/>
            <w:vAlign w:val="center"/>
          </w:tcPr>
          <w:p w14:paraId="5BFB8BE7" w14:textId="77777777" w:rsidR="00241417" w:rsidRPr="0039343F" w:rsidRDefault="00241417" w:rsidP="003A71DE">
            <w:pPr>
              <w:pStyle w:val="TAC"/>
            </w:pPr>
          </w:p>
        </w:tc>
        <w:tc>
          <w:tcPr>
            <w:tcW w:w="1093" w:type="dxa"/>
            <w:vMerge/>
            <w:vAlign w:val="center"/>
          </w:tcPr>
          <w:p w14:paraId="5C3314BA" w14:textId="77777777" w:rsidR="00241417" w:rsidRPr="0039343F" w:rsidRDefault="00241417" w:rsidP="003A71DE">
            <w:pPr>
              <w:pStyle w:val="TAC"/>
            </w:pPr>
          </w:p>
        </w:tc>
        <w:tc>
          <w:tcPr>
            <w:tcW w:w="1985" w:type="dxa"/>
            <w:vAlign w:val="center"/>
          </w:tcPr>
          <w:p w14:paraId="2EAF0E6B" w14:textId="77777777" w:rsidR="00241417" w:rsidRPr="0039343F" w:rsidRDefault="00241417" w:rsidP="003A71DE">
            <w:pPr>
              <w:pStyle w:val="TAC"/>
            </w:pPr>
            <w:r w:rsidRPr="0039343F">
              <w:t>TDLC300-100 Low</w:t>
            </w:r>
          </w:p>
        </w:tc>
        <w:tc>
          <w:tcPr>
            <w:tcW w:w="1570" w:type="dxa"/>
            <w:vAlign w:val="center"/>
          </w:tcPr>
          <w:p w14:paraId="0CC8F976" w14:textId="77777777" w:rsidR="00241417" w:rsidRPr="0039343F" w:rsidRDefault="00241417" w:rsidP="003A71DE">
            <w:pPr>
              <w:pStyle w:val="TAC"/>
            </w:pPr>
            <w:r>
              <w:rPr>
                <w:lang w:eastAsia="zh-CN"/>
              </w:rPr>
              <w:t>D-FR1-A.2.3-3</w:t>
            </w:r>
          </w:p>
        </w:tc>
        <w:tc>
          <w:tcPr>
            <w:tcW w:w="1265" w:type="dxa"/>
            <w:vAlign w:val="center"/>
          </w:tcPr>
          <w:p w14:paraId="1516EE80" w14:textId="77777777" w:rsidR="00241417" w:rsidRPr="0039343F" w:rsidRDefault="00241417" w:rsidP="003A71DE">
            <w:pPr>
              <w:pStyle w:val="TAC"/>
            </w:pPr>
            <w:r w:rsidRPr="0039343F">
              <w:t>pos1</w:t>
            </w:r>
          </w:p>
        </w:tc>
        <w:tc>
          <w:tcPr>
            <w:tcW w:w="1134" w:type="dxa"/>
            <w:vAlign w:val="center"/>
          </w:tcPr>
          <w:p w14:paraId="2BC854AE" w14:textId="77777777" w:rsidR="00241417" w:rsidRPr="0039343F" w:rsidRDefault="00241417" w:rsidP="003A71DE">
            <w:pPr>
              <w:pStyle w:val="TAC"/>
            </w:pPr>
            <w:r w:rsidRPr="0039343F">
              <w:t>6.3</w:t>
            </w:r>
          </w:p>
        </w:tc>
      </w:tr>
      <w:tr w:rsidR="00241417" w:rsidRPr="0039343F" w14:paraId="2D37898C" w14:textId="77777777" w:rsidTr="003A71DE">
        <w:trPr>
          <w:cantSplit/>
          <w:jc w:val="center"/>
        </w:trPr>
        <w:tc>
          <w:tcPr>
            <w:tcW w:w="1007" w:type="dxa"/>
            <w:vMerge/>
            <w:vAlign w:val="center"/>
          </w:tcPr>
          <w:p w14:paraId="3080FEFA" w14:textId="77777777" w:rsidR="00241417" w:rsidRPr="0039343F" w:rsidRDefault="00241417" w:rsidP="003A71DE">
            <w:pPr>
              <w:pStyle w:val="TAC"/>
            </w:pPr>
          </w:p>
        </w:tc>
        <w:tc>
          <w:tcPr>
            <w:tcW w:w="1093" w:type="dxa"/>
            <w:vMerge/>
            <w:tcBorders>
              <w:bottom w:val="single" w:sz="4" w:space="0" w:color="auto"/>
            </w:tcBorders>
            <w:vAlign w:val="center"/>
          </w:tcPr>
          <w:p w14:paraId="5FC27A8F" w14:textId="77777777" w:rsidR="00241417" w:rsidRPr="0039343F" w:rsidRDefault="00241417" w:rsidP="003A71DE">
            <w:pPr>
              <w:pStyle w:val="TAC"/>
            </w:pPr>
          </w:p>
        </w:tc>
        <w:tc>
          <w:tcPr>
            <w:tcW w:w="1985" w:type="dxa"/>
            <w:vAlign w:val="center"/>
          </w:tcPr>
          <w:p w14:paraId="42E4B390" w14:textId="77777777" w:rsidR="00241417" w:rsidRPr="0039343F" w:rsidRDefault="00241417" w:rsidP="003A71DE">
            <w:pPr>
              <w:pStyle w:val="TAC"/>
            </w:pPr>
            <w:r w:rsidRPr="0039343F">
              <w:t>TDLA30-10 Low</w:t>
            </w:r>
          </w:p>
        </w:tc>
        <w:tc>
          <w:tcPr>
            <w:tcW w:w="1570" w:type="dxa"/>
            <w:vAlign w:val="center"/>
          </w:tcPr>
          <w:p w14:paraId="5AC97F91" w14:textId="77777777" w:rsidR="00241417" w:rsidRPr="0039343F" w:rsidRDefault="00241417" w:rsidP="003A71DE">
            <w:pPr>
              <w:pStyle w:val="TAC"/>
            </w:pPr>
            <w:r>
              <w:rPr>
                <w:lang w:eastAsia="zh-CN"/>
              </w:rPr>
              <w:t>D-FR1-A.2.4-3</w:t>
            </w:r>
          </w:p>
        </w:tc>
        <w:tc>
          <w:tcPr>
            <w:tcW w:w="1265" w:type="dxa"/>
            <w:vAlign w:val="center"/>
          </w:tcPr>
          <w:p w14:paraId="7F2FB8DC" w14:textId="77777777" w:rsidR="00241417" w:rsidRPr="0039343F" w:rsidRDefault="00241417" w:rsidP="003A71DE">
            <w:pPr>
              <w:pStyle w:val="TAC"/>
            </w:pPr>
            <w:r w:rsidRPr="0039343F">
              <w:t>pos1</w:t>
            </w:r>
          </w:p>
        </w:tc>
        <w:tc>
          <w:tcPr>
            <w:tcW w:w="1134" w:type="dxa"/>
            <w:vAlign w:val="center"/>
          </w:tcPr>
          <w:p w14:paraId="64D3D24C" w14:textId="77777777" w:rsidR="00241417" w:rsidRPr="0039343F" w:rsidRDefault="00241417" w:rsidP="003A71DE">
            <w:pPr>
              <w:pStyle w:val="TAC"/>
            </w:pPr>
            <w:r w:rsidRPr="0039343F">
              <w:t>8.8</w:t>
            </w:r>
          </w:p>
        </w:tc>
      </w:tr>
      <w:tr w:rsidR="00241417" w:rsidRPr="0039343F" w14:paraId="7AC81A93" w14:textId="77777777" w:rsidTr="003A71DE">
        <w:trPr>
          <w:cantSplit/>
          <w:jc w:val="center"/>
        </w:trPr>
        <w:tc>
          <w:tcPr>
            <w:tcW w:w="1007" w:type="dxa"/>
            <w:vMerge/>
            <w:vAlign w:val="center"/>
          </w:tcPr>
          <w:p w14:paraId="46A494D4" w14:textId="77777777" w:rsidR="00241417" w:rsidRPr="0039343F" w:rsidRDefault="00241417" w:rsidP="003A71DE">
            <w:pPr>
              <w:pStyle w:val="TAC"/>
            </w:pPr>
          </w:p>
        </w:tc>
        <w:tc>
          <w:tcPr>
            <w:tcW w:w="1093" w:type="dxa"/>
            <w:vMerge w:val="restart"/>
            <w:vAlign w:val="center"/>
          </w:tcPr>
          <w:p w14:paraId="32EE621B" w14:textId="77777777" w:rsidR="00241417" w:rsidRPr="0039343F" w:rsidRDefault="00241417" w:rsidP="003A71DE">
            <w:pPr>
              <w:pStyle w:val="TAC"/>
            </w:pPr>
            <w:r w:rsidRPr="0039343F">
              <w:t>8</w:t>
            </w:r>
          </w:p>
        </w:tc>
        <w:tc>
          <w:tcPr>
            <w:tcW w:w="1985" w:type="dxa"/>
            <w:vAlign w:val="center"/>
          </w:tcPr>
          <w:p w14:paraId="7E367E85" w14:textId="77777777" w:rsidR="00241417" w:rsidRPr="0039343F" w:rsidRDefault="00241417" w:rsidP="003A71DE">
            <w:pPr>
              <w:pStyle w:val="TAC"/>
            </w:pPr>
            <w:r w:rsidRPr="0039343F">
              <w:t>TDLB100-400 Low</w:t>
            </w:r>
          </w:p>
        </w:tc>
        <w:tc>
          <w:tcPr>
            <w:tcW w:w="1570" w:type="dxa"/>
            <w:vAlign w:val="center"/>
          </w:tcPr>
          <w:p w14:paraId="0BA0B6EC" w14:textId="77777777" w:rsidR="00241417" w:rsidRPr="0039343F" w:rsidRDefault="00241417" w:rsidP="003A71DE">
            <w:pPr>
              <w:pStyle w:val="TAC"/>
            </w:pPr>
            <w:r>
              <w:rPr>
                <w:lang w:eastAsia="zh-CN"/>
              </w:rPr>
              <w:t>D-FR1-A.2.1-3</w:t>
            </w:r>
          </w:p>
        </w:tc>
        <w:tc>
          <w:tcPr>
            <w:tcW w:w="1265" w:type="dxa"/>
            <w:vAlign w:val="center"/>
          </w:tcPr>
          <w:p w14:paraId="2F961FED" w14:textId="77777777" w:rsidR="00241417" w:rsidRPr="0039343F" w:rsidRDefault="00241417" w:rsidP="003A71DE">
            <w:pPr>
              <w:pStyle w:val="TAC"/>
            </w:pPr>
            <w:r w:rsidRPr="0039343F">
              <w:t>pos1</w:t>
            </w:r>
          </w:p>
        </w:tc>
        <w:tc>
          <w:tcPr>
            <w:tcW w:w="1134" w:type="dxa"/>
            <w:vAlign w:val="center"/>
          </w:tcPr>
          <w:p w14:paraId="2D5396AC" w14:textId="77777777" w:rsidR="00241417" w:rsidRPr="0039343F" w:rsidRDefault="00241417" w:rsidP="003A71DE">
            <w:pPr>
              <w:pStyle w:val="TAC"/>
            </w:pPr>
            <w:r w:rsidRPr="0039343F">
              <w:t>-8.5</w:t>
            </w:r>
          </w:p>
        </w:tc>
      </w:tr>
      <w:tr w:rsidR="00241417" w:rsidRPr="0039343F" w14:paraId="7926810E" w14:textId="77777777" w:rsidTr="003A71DE">
        <w:trPr>
          <w:cantSplit/>
          <w:jc w:val="center"/>
        </w:trPr>
        <w:tc>
          <w:tcPr>
            <w:tcW w:w="1007" w:type="dxa"/>
            <w:vMerge/>
            <w:vAlign w:val="center"/>
          </w:tcPr>
          <w:p w14:paraId="69B06E4A" w14:textId="77777777" w:rsidR="00241417" w:rsidRPr="0039343F" w:rsidRDefault="00241417" w:rsidP="003A71DE">
            <w:pPr>
              <w:pStyle w:val="TAC"/>
            </w:pPr>
          </w:p>
        </w:tc>
        <w:tc>
          <w:tcPr>
            <w:tcW w:w="1093" w:type="dxa"/>
            <w:vMerge/>
            <w:vAlign w:val="center"/>
          </w:tcPr>
          <w:p w14:paraId="3083F483" w14:textId="77777777" w:rsidR="00241417" w:rsidRPr="0039343F" w:rsidRDefault="00241417" w:rsidP="003A71DE">
            <w:pPr>
              <w:pStyle w:val="TAC"/>
            </w:pPr>
          </w:p>
        </w:tc>
        <w:tc>
          <w:tcPr>
            <w:tcW w:w="1985" w:type="dxa"/>
            <w:vAlign w:val="center"/>
          </w:tcPr>
          <w:p w14:paraId="51480115" w14:textId="77777777" w:rsidR="00241417" w:rsidRPr="0039343F" w:rsidRDefault="00241417" w:rsidP="003A71DE">
            <w:pPr>
              <w:pStyle w:val="TAC"/>
            </w:pPr>
            <w:r w:rsidRPr="0039343F">
              <w:t>TDLC300-100 Low</w:t>
            </w:r>
          </w:p>
        </w:tc>
        <w:tc>
          <w:tcPr>
            <w:tcW w:w="1570" w:type="dxa"/>
            <w:vAlign w:val="center"/>
          </w:tcPr>
          <w:p w14:paraId="525E6502" w14:textId="77777777" w:rsidR="00241417" w:rsidRPr="0039343F" w:rsidRDefault="00241417" w:rsidP="003A71DE">
            <w:pPr>
              <w:pStyle w:val="TAC"/>
            </w:pPr>
            <w:r>
              <w:rPr>
                <w:lang w:eastAsia="zh-CN"/>
              </w:rPr>
              <w:t>D-FR1-A.2.3-3</w:t>
            </w:r>
          </w:p>
        </w:tc>
        <w:tc>
          <w:tcPr>
            <w:tcW w:w="1265" w:type="dxa"/>
            <w:vAlign w:val="center"/>
          </w:tcPr>
          <w:p w14:paraId="0A55EA87" w14:textId="77777777" w:rsidR="00241417" w:rsidRPr="0039343F" w:rsidRDefault="00241417" w:rsidP="003A71DE">
            <w:pPr>
              <w:pStyle w:val="TAC"/>
            </w:pPr>
            <w:r w:rsidRPr="0039343F">
              <w:t>pos1</w:t>
            </w:r>
          </w:p>
        </w:tc>
        <w:tc>
          <w:tcPr>
            <w:tcW w:w="1134" w:type="dxa"/>
            <w:vAlign w:val="center"/>
          </w:tcPr>
          <w:p w14:paraId="1D12E6A1" w14:textId="77777777" w:rsidR="00241417" w:rsidRPr="0039343F" w:rsidRDefault="00241417" w:rsidP="003A71DE">
            <w:pPr>
              <w:pStyle w:val="TAC"/>
            </w:pPr>
            <w:r w:rsidRPr="0039343F">
              <w:t>3.1</w:t>
            </w:r>
          </w:p>
        </w:tc>
      </w:tr>
      <w:tr w:rsidR="00241417" w:rsidRPr="0039343F" w14:paraId="23A105AA" w14:textId="77777777" w:rsidTr="003A71DE">
        <w:trPr>
          <w:cantSplit/>
          <w:jc w:val="center"/>
        </w:trPr>
        <w:tc>
          <w:tcPr>
            <w:tcW w:w="1007" w:type="dxa"/>
            <w:vMerge/>
            <w:tcBorders>
              <w:bottom w:val="single" w:sz="4" w:space="0" w:color="auto"/>
            </w:tcBorders>
            <w:vAlign w:val="center"/>
          </w:tcPr>
          <w:p w14:paraId="5531FCBB" w14:textId="77777777" w:rsidR="00241417" w:rsidRPr="0039343F" w:rsidRDefault="00241417" w:rsidP="003A71DE">
            <w:pPr>
              <w:pStyle w:val="TAC"/>
            </w:pPr>
          </w:p>
        </w:tc>
        <w:tc>
          <w:tcPr>
            <w:tcW w:w="1093" w:type="dxa"/>
            <w:vMerge/>
            <w:tcBorders>
              <w:bottom w:val="single" w:sz="4" w:space="0" w:color="auto"/>
            </w:tcBorders>
            <w:vAlign w:val="center"/>
          </w:tcPr>
          <w:p w14:paraId="79B97B81" w14:textId="77777777" w:rsidR="00241417" w:rsidRPr="0039343F" w:rsidRDefault="00241417" w:rsidP="003A71DE">
            <w:pPr>
              <w:pStyle w:val="TAC"/>
            </w:pPr>
          </w:p>
        </w:tc>
        <w:tc>
          <w:tcPr>
            <w:tcW w:w="1985" w:type="dxa"/>
            <w:vAlign w:val="center"/>
          </w:tcPr>
          <w:p w14:paraId="5BC40171" w14:textId="77777777" w:rsidR="00241417" w:rsidRPr="0039343F" w:rsidRDefault="00241417" w:rsidP="003A71DE">
            <w:pPr>
              <w:pStyle w:val="TAC"/>
            </w:pPr>
            <w:r w:rsidRPr="0039343F">
              <w:t>TDLA30-10 Low</w:t>
            </w:r>
          </w:p>
        </w:tc>
        <w:tc>
          <w:tcPr>
            <w:tcW w:w="1570" w:type="dxa"/>
            <w:vAlign w:val="center"/>
          </w:tcPr>
          <w:p w14:paraId="09783661" w14:textId="77777777" w:rsidR="00241417" w:rsidRPr="0039343F" w:rsidRDefault="00241417" w:rsidP="003A71DE">
            <w:pPr>
              <w:pStyle w:val="TAC"/>
            </w:pPr>
            <w:r>
              <w:rPr>
                <w:lang w:eastAsia="zh-CN"/>
              </w:rPr>
              <w:t>D-FR1-A.2.4-3</w:t>
            </w:r>
          </w:p>
        </w:tc>
        <w:tc>
          <w:tcPr>
            <w:tcW w:w="1265" w:type="dxa"/>
            <w:vAlign w:val="center"/>
          </w:tcPr>
          <w:p w14:paraId="63CAD10C" w14:textId="77777777" w:rsidR="00241417" w:rsidRPr="0039343F" w:rsidRDefault="00241417" w:rsidP="003A71DE">
            <w:pPr>
              <w:pStyle w:val="TAC"/>
            </w:pPr>
            <w:r w:rsidRPr="0039343F">
              <w:t>pos1</w:t>
            </w:r>
          </w:p>
        </w:tc>
        <w:tc>
          <w:tcPr>
            <w:tcW w:w="1134" w:type="dxa"/>
            <w:vAlign w:val="center"/>
          </w:tcPr>
          <w:p w14:paraId="76C2A0D5" w14:textId="77777777" w:rsidR="00241417" w:rsidRPr="0039343F" w:rsidRDefault="00241417" w:rsidP="003A71DE">
            <w:pPr>
              <w:pStyle w:val="TAC"/>
            </w:pPr>
            <w:r w:rsidRPr="0039343F">
              <w:t>5.7</w:t>
            </w:r>
          </w:p>
        </w:tc>
      </w:tr>
      <w:tr w:rsidR="00241417" w:rsidRPr="0039343F" w14:paraId="03A46D72" w14:textId="77777777" w:rsidTr="003A71DE">
        <w:trPr>
          <w:cantSplit/>
          <w:jc w:val="center"/>
        </w:trPr>
        <w:tc>
          <w:tcPr>
            <w:tcW w:w="1007" w:type="dxa"/>
            <w:vMerge w:val="restart"/>
            <w:vAlign w:val="center"/>
          </w:tcPr>
          <w:p w14:paraId="73630F04" w14:textId="77777777" w:rsidR="00241417" w:rsidRPr="0039343F" w:rsidRDefault="00241417" w:rsidP="003A71DE">
            <w:pPr>
              <w:pStyle w:val="TAC"/>
            </w:pPr>
            <w:r w:rsidRPr="0039343F">
              <w:t>2</w:t>
            </w:r>
          </w:p>
        </w:tc>
        <w:tc>
          <w:tcPr>
            <w:tcW w:w="1093" w:type="dxa"/>
            <w:vMerge w:val="restart"/>
            <w:vAlign w:val="center"/>
          </w:tcPr>
          <w:p w14:paraId="3A43F880" w14:textId="77777777" w:rsidR="00241417" w:rsidRPr="0039343F" w:rsidRDefault="00241417" w:rsidP="003A71DE">
            <w:pPr>
              <w:pStyle w:val="TAC"/>
            </w:pPr>
            <w:r w:rsidRPr="0039343F">
              <w:t>2</w:t>
            </w:r>
          </w:p>
        </w:tc>
        <w:tc>
          <w:tcPr>
            <w:tcW w:w="1985" w:type="dxa"/>
            <w:vAlign w:val="center"/>
          </w:tcPr>
          <w:p w14:paraId="5CA11DA4" w14:textId="77777777" w:rsidR="00241417" w:rsidRPr="0039343F" w:rsidRDefault="00241417" w:rsidP="003A71DE">
            <w:pPr>
              <w:pStyle w:val="TAC"/>
            </w:pPr>
            <w:r w:rsidRPr="0039343F">
              <w:t>TDLB100-400 Low</w:t>
            </w:r>
          </w:p>
        </w:tc>
        <w:tc>
          <w:tcPr>
            <w:tcW w:w="1570" w:type="dxa"/>
            <w:vAlign w:val="center"/>
          </w:tcPr>
          <w:p w14:paraId="2BFAFFEF" w14:textId="77777777" w:rsidR="00241417" w:rsidRPr="0039343F" w:rsidRDefault="00241417" w:rsidP="003A71DE">
            <w:pPr>
              <w:pStyle w:val="TAC"/>
            </w:pPr>
            <w:r>
              <w:rPr>
                <w:lang w:eastAsia="zh-CN"/>
              </w:rPr>
              <w:t>D-FR1-A2.1-10</w:t>
            </w:r>
          </w:p>
        </w:tc>
        <w:tc>
          <w:tcPr>
            <w:tcW w:w="1265" w:type="dxa"/>
            <w:vAlign w:val="center"/>
          </w:tcPr>
          <w:p w14:paraId="5739481E" w14:textId="77777777" w:rsidR="00241417" w:rsidRPr="0039343F" w:rsidRDefault="00241417" w:rsidP="003A71DE">
            <w:pPr>
              <w:pStyle w:val="TAC"/>
            </w:pPr>
            <w:r w:rsidRPr="0039343F">
              <w:t>pos1</w:t>
            </w:r>
          </w:p>
        </w:tc>
        <w:tc>
          <w:tcPr>
            <w:tcW w:w="1134" w:type="dxa"/>
            <w:vAlign w:val="center"/>
          </w:tcPr>
          <w:p w14:paraId="4B908E00" w14:textId="77777777" w:rsidR="00241417" w:rsidRPr="0039343F" w:rsidRDefault="00241417" w:rsidP="003A71DE">
            <w:pPr>
              <w:pStyle w:val="TAC"/>
            </w:pPr>
            <w:r w:rsidRPr="0039343F">
              <w:t>1.6</w:t>
            </w:r>
          </w:p>
        </w:tc>
      </w:tr>
      <w:tr w:rsidR="00241417" w:rsidRPr="0039343F" w14:paraId="5D80D53E" w14:textId="77777777" w:rsidTr="003A71DE">
        <w:trPr>
          <w:cantSplit/>
          <w:jc w:val="center"/>
        </w:trPr>
        <w:tc>
          <w:tcPr>
            <w:tcW w:w="1007" w:type="dxa"/>
            <w:vMerge/>
            <w:vAlign w:val="center"/>
          </w:tcPr>
          <w:p w14:paraId="560760EA" w14:textId="77777777" w:rsidR="00241417" w:rsidRPr="0039343F" w:rsidRDefault="00241417" w:rsidP="003A71DE">
            <w:pPr>
              <w:pStyle w:val="TAC"/>
            </w:pPr>
          </w:p>
        </w:tc>
        <w:tc>
          <w:tcPr>
            <w:tcW w:w="1093" w:type="dxa"/>
            <w:vMerge/>
            <w:tcBorders>
              <w:bottom w:val="single" w:sz="4" w:space="0" w:color="auto"/>
            </w:tcBorders>
            <w:vAlign w:val="center"/>
          </w:tcPr>
          <w:p w14:paraId="741DDB2E" w14:textId="77777777" w:rsidR="00241417" w:rsidRPr="0039343F" w:rsidRDefault="00241417" w:rsidP="003A71DE">
            <w:pPr>
              <w:pStyle w:val="TAC"/>
            </w:pPr>
          </w:p>
        </w:tc>
        <w:tc>
          <w:tcPr>
            <w:tcW w:w="1985" w:type="dxa"/>
            <w:vAlign w:val="center"/>
          </w:tcPr>
          <w:p w14:paraId="386E5C50" w14:textId="77777777" w:rsidR="00241417" w:rsidRPr="0039343F" w:rsidRDefault="00241417" w:rsidP="003A71DE">
            <w:pPr>
              <w:pStyle w:val="TAC"/>
            </w:pPr>
            <w:r w:rsidRPr="0039343F">
              <w:t>TDLC300-100 Low</w:t>
            </w:r>
          </w:p>
        </w:tc>
        <w:tc>
          <w:tcPr>
            <w:tcW w:w="1570" w:type="dxa"/>
            <w:vAlign w:val="center"/>
          </w:tcPr>
          <w:p w14:paraId="7CD8326A" w14:textId="77777777" w:rsidR="00241417" w:rsidRPr="0039343F" w:rsidRDefault="00241417" w:rsidP="003A71DE">
            <w:pPr>
              <w:pStyle w:val="TAC"/>
              <w:rPr>
                <w:lang w:eastAsia="zh-CN"/>
              </w:rPr>
            </w:pPr>
            <w:r>
              <w:rPr>
                <w:lang w:eastAsia="zh-CN"/>
              </w:rPr>
              <w:t>D-FR1-A.2.3-10</w:t>
            </w:r>
          </w:p>
        </w:tc>
        <w:tc>
          <w:tcPr>
            <w:tcW w:w="1265" w:type="dxa"/>
            <w:vAlign w:val="center"/>
          </w:tcPr>
          <w:p w14:paraId="0D13060C" w14:textId="77777777" w:rsidR="00241417" w:rsidRPr="0039343F" w:rsidRDefault="00241417" w:rsidP="003A71DE">
            <w:pPr>
              <w:pStyle w:val="TAC"/>
            </w:pPr>
            <w:r w:rsidRPr="0039343F">
              <w:t>pos1</w:t>
            </w:r>
          </w:p>
        </w:tc>
        <w:tc>
          <w:tcPr>
            <w:tcW w:w="1134" w:type="dxa"/>
            <w:vAlign w:val="center"/>
          </w:tcPr>
          <w:p w14:paraId="2DDB9F73" w14:textId="77777777" w:rsidR="00241417" w:rsidRPr="0039343F" w:rsidRDefault="00241417" w:rsidP="003A71DE">
            <w:pPr>
              <w:pStyle w:val="TAC"/>
            </w:pPr>
            <w:r w:rsidRPr="0039343F">
              <w:t>18.1</w:t>
            </w:r>
          </w:p>
        </w:tc>
      </w:tr>
      <w:tr w:rsidR="00241417" w:rsidRPr="0039343F" w14:paraId="33994ED4" w14:textId="77777777" w:rsidTr="003A71DE">
        <w:trPr>
          <w:cantSplit/>
          <w:jc w:val="center"/>
        </w:trPr>
        <w:tc>
          <w:tcPr>
            <w:tcW w:w="1007" w:type="dxa"/>
            <w:vMerge/>
            <w:vAlign w:val="center"/>
          </w:tcPr>
          <w:p w14:paraId="32819CE4" w14:textId="77777777" w:rsidR="00241417" w:rsidRPr="0039343F" w:rsidRDefault="00241417" w:rsidP="003A71DE">
            <w:pPr>
              <w:pStyle w:val="TAC"/>
            </w:pPr>
          </w:p>
        </w:tc>
        <w:tc>
          <w:tcPr>
            <w:tcW w:w="1093" w:type="dxa"/>
            <w:vMerge w:val="restart"/>
            <w:tcBorders>
              <w:top w:val="single" w:sz="4" w:space="0" w:color="auto"/>
            </w:tcBorders>
            <w:vAlign w:val="center"/>
          </w:tcPr>
          <w:p w14:paraId="316CA9DA" w14:textId="77777777" w:rsidR="00241417" w:rsidRPr="0039343F" w:rsidRDefault="00241417" w:rsidP="003A71DE">
            <w:pPr>
              <w:pStyle w:val="TAC"/>
            </w:pPr>
            <w:r w:rsidRPr="0039343F">
              <w:t>4</w:t>
            </w:r>
          </w:p>
        </w:tc>
        <w:tc>
          <w:tcPr>
            <w:tcW w:w="1985" w:type="dxa"/>
            <w:vAlign w:val="center"/>
          </w:tcPr>
          <w:p w14:paraId="30BCCD90" w14:textId="77777777" w:rsidR="00241417" w:rsidRPr="0039343F" w:rsidRDefault="00241417" w:rsidP="003A71DE">
            <w:pPr>
              <w:pStyle w:val="TAC"/>
            </w:pPr>
            <w:r w:rsidRPr="0039343F">
              <w:t>TDLB100-400 Low</w:t>
            </w:r>
          </w:p>
        </w:tc>
        <w:tc>
          <w:tcPr>
            <w:tcW w:w="1570" w:type="dxa"/>
            <w:vAlign w:val="center"/>
          </w:tcPr>
          <w:p w14:paraId="5626DE16" w14:textId="77777777" w:rsidR="00241417" w:rsidRPr="0039343F" w:rsidRDefault="00241417" w:rsidP="003A71DE">
            <w:pPr>
              <w:pStyle w:val="TAC"/>
              <w:rPr>
                <w:lang w:eastAsia="zh-CN"/>
              </w:rPr>
            </w:pPr>
            <w:r>
              <w:rPr>
                <w:lang w:eastAsia="zh-CN"/>
              </w:rPr>
              <w:t>D-FR1-A.2.1-10</w:t>
            </w:r>
          </w:p>
        </w:tc>
        <w:tc>
          <w:tcPr>
            <w:tcW w:w="1265" w:type="dxa"/>
            <w:vAlign w:val="center"/>
          </w:tcPr>
          <w:p w14:paraId="2C22C47D" w14:textId="77777777" w:rsidR="00241417" w:rsidRPr="0039343F" w:rsidRDefault="00241417" w:rsidP="003A71DE">
            <w:pPr>
              <w:pStyle w:val="TAC"/>
            </w:pPr>
            <w:r w:rsidRPr="0039343F">
              <w:t>pos1</w:t>
            </w:r>
          </w:p>
        </w:tc>
        <w:tc>
          <w:tcPr>
            <w:tcW w:w="1134" w:type="dxa"/>
            <w:vAlign w:val="center"/>
          </w:tcPr>
          <w:p w14:paraId="4CD8C8B9" w14:textId="77777777" w:rsidR="00241417" w:rsidRPr="0039343F" w:rsidRDefault="00241417" w:rsidP="003A71DE">
            <w:pPr>
              <w:pStyle w:val="TAC"/>
            </w:pPr>
            <w:r w:rsidRPr="0039343F">
              <w:t>-2.0</w:t>
            </w:r>
          </w:p>
        </w:tc>
      </w:tr>
      <w:tr w:rsidR="00241417" w:rsidRPr="0039343F" w14:paraId="38E50D17" w14:textId="77777777" w:rsidTr="003A71DE">
        <w:trPr>
          <w:cantSplit/>
          <w:jc w:val="center"/>
        </w:trPr>
        <w:tc>
          <w:tcPr>
            <w:tcW w:w="1007" w:type="dxa"/>
            <w:vMerge/>
            <w:vAlign w:val="center"/>
          </w:tcPr>
          <w:p w14:paraId="1B71EAE4" w14:textId="77777777" w:rsidR="00241417" w:rsidRPr="0039343F" w:rsidRDefault="00241417" w:rsidP="003A71DE">
            <w:pPr>
              <w:pStyle w:val="TAC"/>
            </w:pPr>
          </w:p>
        </w:tc>
        <w:tc>
          <w:tcPr>
            <w:tcW w:w="1093" w:type="dxa"/>
            <w:vMerge/>
            <w:tcBorders>
              <w:bottom w:val="single" w:sz="4" w:space="0" w:color="auto"/>
            </w:tcBorders>
            <w:vAlign w:val="center"/>
          </w:tcPr>
          <w:p w14:paraId="7C4CF86D" w14:textId="77777777" w:rsidR="00241417" w:rsidRPr="0039343F" w:rsidRDefault="00241417" w:rsidP="003A71DE">
            <w:pPr>
              <w:pStyle w:val="TAC"/>
            </w:pPr>
          </w:p>
        </w:tc>
        <w:tc>
          <w:tcPr>
            <w:tcW w:w="1985" w:type="dxa"/>
            <w:vAlign w:val="center"/>
          </w:tcPr>
          <w:p w14:paraId="2FE3785E" w14:textId="77777777" w:rsidR="00241417" w:rsidRPr="0039343F" w:rsidRDefault="00241417" w:rsidP="003A71DE">
            <w:pPr>
              <w:pStyle w:val="TAC"/>
            </w:pPr>
            <w:r w:rsidRPr="0039343F">
              <w:t>TDLC300-100 Low</w:t>
            </w:r>
          </w:p>
        </w:tc>
        <w:tc>
          <w:tcPr>
            <w:tcW w:w="1570" w:type="dxa"/>
            <w:vAlign w:val="center"/>
          </w:tcPr>
          <w:p w14:paraId="448D70E9" w14:textId="77777777" w:rsidR="00241417" w:rsidRPr="0039343F" w:rsidRDefault="00241417" w:rsidP="003A71DE">
            <w:pPr>
              <w:pStyle w:val="TAC"/>
              <w:rPr>
                <w:lang w:eastAsia="zh-CN"/>
              </w:rPr>
            </w:pPr>
            <w:r>
              <w:rPr>
                <w:lang w:eastAsia="zh-CN"/>
              </w:rPr>
              <w:t>D-FR1-A.2.3-10</w:t>
            </w:r>
          </w:p>
        </w:tc>
        <w:tc>
          <w:tcPr>
            <w:tcW w:w="1265" w:type="dxa"/>
            <w:vAlign w:val="center"/>
          </w:tcPr>
          <w:p w14:paraId="01316E6B" w14:textId="77777777" w:rsidR="00241417" w:rsidRPr="0039343F" w:rsidRDefault="00241417" w:rsidP="003A71DE">
            <w:pPr>
              <w:pStyle w:val="TAC"/>
            </w:pPr>
            <w:r w:rsidRPr="0039343F">
              <w:t>pos1</w:t>
            </w:r>
          </w:p>
        </w:tc>
        <w:tc>
          <w:tcPr>
            <w:tcW w:w="1134" w:type="dxa"/>
            <w:vAlign w:val="center"/>
          </w:tcPr>
          <w:p w14:paraId="6065B531" w14:textId="77777777" w:rsidR="00241417" w:rsidRPr="0039343F" w:rsidRDefault="00241417" w:rsidP="003A71DE">
            <w:pPr>
              <w:pStyle w:val="TAC"/>
            </w:pPr>
            <w:r w:rsidRPr="0039343F">
              <w:t>11.2</w:t>
            </w:r>
          </w:p>
        </w:tc>
      </w:tr>
      <w:tr w:rsidR="00241417" w:rsidRPr="0039343F" w14:paraId="3FE3643D" w14:textId="77777777" w:rsidTr="003A71DE">
        <w:trPr>
          <w:cantSplit/>
          <w:jc w:val="center"/>
        </w:trPr>
        <w:tc>
          <w:tcPr>
            <w:tcW w:w="1007" w:type="dxa"/>
            <w:vMerge/>
            <w:vAlign w:val="center"/>
          </w:tcPr>
          <w:p w14:paraId="46340D10" w14:textId="77777777" w:rsidR="00241417" w:rsidRPr="0039343F" w:rsidRDefault="00241417" w:rsidP="003A71DE">
            <w:pPr>
              <w:pStyle w:val="TAC"/>
            </w:pPr>
          </w:p>
        </w:tc>
        <w:tc>
          <w:tcPr>
            <w:tcW w:w="1093" w:type="dxa"/>
            <w:vMerge w:val="restart"/>
            <w:tcBorders>
              <w:top w:val="single" w:sz="4" w:space="0" w:color="auto"/>
            </w:tcBorders>
            <w:vAlign w:val="center"/>
          </w:tcPr>
          <w:p w14:paraId="55E5F341" w14:textId="77777777" w:rsidR="00241417" w:rsidRPr="0039343F" w:rsidRDefault="00241417" w:rsidP="003A71DE">
            <w:pPr>
              <w:pStyle w:val="TAC"/>
            </w:pPr>
            <w:r w:rsidRPr="0039343F">
              <w:t>8</w:t>
            </w:r>
          </w:p>
        </w:tc>
        <w:tc>
          <w:tcPr>
            <w:tcW w:w="1985" w:type="dxa"/>
            <w:vAlign w:val="center"/>
          </w:tcPr>
          <w:p w14:paraId="71B1F9A6" w14:textId="77777777" w:rsidR="00241417" w:rsidRPr="0039343F" w:rsidRDefault="00241417" w:rsidP="003A71DE">
            <w:pPr>
              <w:pStyle w:val="TAC"/>
            </w:pPr>
            <w:r w:rsidRPr="0039343F">
              <w:t>TDLB100-400 Low</w:t>
            </w:r>
          </w:p>
        </w:tc>
        <w:tc>
          <w:tcPr>
            <w:tcW w:w="1570" w:type="dxa"/>
            <w:vAlign w:val="center"/>
          </w:tcPr>
          <w:p w14:paraId="53C34ADE" w14:textId="77777777" w:rsidR="00241417" w:rsidRPr="0039343F" w:rsidRDefault="00241417" w:rsidP="003A71DE">
            <w:pPr>
              <w:pStyle w:val="TAC"/>
              <w:rPr>
                <w:lang w:eastAsia="zh-CN"/>
              </w:rPr>
            </w:pPr>
            <w:r>
              <w:rPr>
                <w:lang w:eastAsia="zh-CN"/>
              </w:rPr>
              <w:t>D-FR1-A.2.1-10</w:t>
            </w:r>
          </w:p>
        </w:tc>
        <w:tc>
          <w:tcPr>
            <w:tcW w:w="1265" w:type="dxa"/>
            <w:vAlign w:val="center"/>
          </w:tcPr>
          <w:p w14:paraId="061C0057" w14:textId="77777777" w:rsidR="00241417" w:rsidRPr="0039343F" w:rsidRDefault="00241417" w:rsidP="003A71DE">
            <w:pPr>
              <w:pStyle w:val="TAC"/>
            </w:pPr>
            <w:r w:rsidRPr="0039343F">
              <w:t>pos1</w:t>
            </w:r>
          </w:p>
        </w:tc>
        <w:tc>
          <w:tcPr>
            <w:tcW w:w="1134" w:type="dxa"/>
            <w:vAlign w:val="center"/>
          </w:tcPr>
          <w:p w14:paraId="7B45CD56" w14:textId="77777777" w:rsidR="00241417" w:rsidRPr="0039343F" w:rsidRDefault="00241417" w:rsidP="003A71DE">
            <w:pPr>
              <w:pStyle w:val="TAC"/>
            </w:pPr>
            <w:r w:rsidRPr="0039343F">
              <w:t>-5.3</w:t>
            </w:r>
          </w:p>
        </w:tc>
      </w:tr>
      <w:tr w:rsidR="00241417" w:rsidRPr="0039343F" w14:paraId="3593D0C9" w14:textId="77777777" w:rsidTr="003A71DE">
        <w:trPr>
          <w:cantSplit/>
          <w:jc w:val="center"/>
        </w:trPr>
        <w:tc>
          <w:tcPr>
            <w:tcW w:w="1007" w:type="dxa"/>
            <w:vMerge/>
            <w:vAlign w:val="center"/>
          </w:tcPr>
          <w:p w14:paraId="118945B7" w14:textId="77777777" w:rsidR="00241417" w:rsidRPr="0039343F" w:rsidRDefault="00241417" w:rsidP="003A71DE">
            <w:pPr>
              <w:pStyle w:val="TAC"/>
            </w:pPr>
          </w:p>
        </w:tc>
        <w:tc>
          <w:tcPr>
            <w:tcW w:w="1093" w:type="dxa"/>
            <w:vMerge/>
            <w:vAlign w:val="center"/>
          </w:tcPr>
          <w:p w14:paraId="5A4430E1" w14:textId="77777777" w:rsidR="00241417" w:rsidRPr="0039343F" w:rsidRDefault="00241417" w:rsidP="003A71DE">
            <w:pPr>
              <w:pStyle w:val="TAC"/>
            </w:pPr>
          </w:p>
        </w:tc>
        <w:tc>
          <w:tcPr>
            <w:tcW w:w="1985" w:type="dxa"/>
            <w:vAlign w:val="center"/>
          </w:tcPr>
          <w:p w14:paraId="051418CF" w14:textId="77777777" w:rsidR="00241417" w:rsidRPr="0039343F" w:rsidRDefault="00241417" w:rsidP="003A71DE">
            <w:pPr>
              <w:pStyle w:val="TAC"/>
            </w:pPr>
            <w:r w:rsidRPr="0039343F">
              <w:t>TDLC300-100 Low</w:t>
            </w:r>
          </w:p>
        </w:tc>
        <w:tc>
          <w:tcPr>
            <w:tcW w:w="1570" w:type="dxa"/>
            <w:vAlign w:val="center"/>
          </w:tcPr>
          <w:p w14:paraId="6F087458" w14:textId="77777777" w:rsidR="00241417" w:rsidRPr="0039343F" w:rsidRDefault="00241417" w:rsidP="003A71DE">
            <w:pPr>
              <w:pStyle w:val="TAC"/>
              <w:rPr>
                <w:lang w:eastAsia="zh-CN"/>
              </w:rPr>
            </w:pPr>
            <w:r>
              <w:rPr>
                <w:lang w:eastAsia="zh-CN"/>
              </w:rPr>
              <w:t>D-FR1-A.2.3-10</w:t>
            </w:r>
          </w:p>
        </w:tc>
        <w:tc>
          <w:tcPr>
            <w:tcW w:w="1265" w:type="dxa"/>
            <w:vAlign w:val="center"/>
          </w:tcPr>
          <w:p w14:paraId="3264482F" w14:textId="77777777" w:rsidR="00241417" w:rsidRPr="0039343F" w:rsidRDefault="00241417" w:rsidP="003A71DE">
            <w:pPr>
              <w:pStyle w:val="TAC"/>
            </w:pPr>
            <w:r w:rsidRPr="0039343F">
              <w:t>pos1</w:t>
            </w:r>
          </w:p>
        </w:tc>
        <w:tc>
          <w:tcPr>
            <w:tcW w:w="1134" w:type="dxa"/>
            <w:vAlign w:val="center"/>
          </w:tcPr>
          <w:p w14:paraId="4C32026C" w14:textId="77777777" w:rsidR="00241417" w:rsidRPr="0039343F" w:rsidRDefault="00241417" w:rsidP="003A71DE">
            <w:pPr>
              <w:pStyle w:val="TAC"/>
            </w:pPr>
            <w:r w:rsidRPr="0039343F">
              <w:t>6.9</w:t>
            </w:r>
          </w:p>
        </w:tc>
      </w:tr>
    </w:tbl>
    <w:p w14:paraId="02BD89E9" w14:textId="77777777" w:rsidR="00241417" w:rsidRPr="0039343F" w:rsidRDefault="00241417" w:rsidP="00241417">
      <w:pPr>
        <w:rPr>
          <w:lang w:eastAsia="zh-CN"/>
        </w:rPr>
      </w:pPr>
    </w:p>
    <w:p w14:paraId="3C606FC9" w14:textId="77777777" w:rsidR="00241417" w:rsidRPr="00B054F4" w:rsidRDefault="00241417" w:rsidP="00241417">
      <w:pPr>
        <w:pStyle w:val="TH"/>
        <w:rPr>
          <w:lang w:eastAsia="zh-CN"/>
        </w:rPr>
      </w:pPr>
      <w:r w:rsidRPr="00B054F4">
        <w:lastRenderedPageBreak/>
        <w:t>Table 8.1.2.1.2-11: Minimum requirements for PUSCH</w:t>
      </w:r>
      <w:r w:rsidRPr="00B054F4">
        <w:rPr>
          <w:rFonts w:hint="eastAsia"/>
          <w:lang w:eastAsia="zh-CN"/>
        </w:rPr>
        <w:t xml:space="preserve"> </w:t>
      </w:r>
      <w:r w:rsidRPr="00B054F4">
        <w:rPr>
          <w:lang w:eastAsia="zh-CN"/>
        </w:rPr>
        <w:t>with</w:t>
      </w:r>
      <w:r w:rsidRPr="00B054F4">
        <w:rPr>
          <w:rFonts w:hint="eastAsia"/>
          <w:lang w:eastAsia="zh-CN"/>
        </w:rPr>
        <w:t xml:space="preserve"> 70% of maximum throughput</w:t>
      </w:r>
      <w:r w:rsidRPr="00B054F4">
        <w:t>, Type B, 10 MHz channel bandwidth</w:t>
      </w:r>
      <w:r w:rsidRPr="00B054F4">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80"/>
        <w:gridCol w:w="1255"/>
        <w:gridCol w:w="1134"/>
      </w:tblGrid>
      <w:tr w:rsidR="00241417" w:rsidRPr="0039343F" w14:paraId="2048662D" w14:textId="77777777" w:rsidTr="003A71DE">
        <w:trPr>
          <w:cantSplit/>
          <w:jc w:val="center"/>
        </w:trPr>
        <w:tc>
          <w:tcPr>
            <w:tcW w:w="1007" w:type="dxa"/>
            <w:tcBorders>
              <w:bottom w:val="single" w:sz="4" w:space="0" w:color="auto"/>
            </w:tcBorders>
            <w:vAlign w:val="center"/>
          </w:tcPr>
          <w:p w14:paraId="5AAD3814"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424D41BD" w14:textId="77777777" w:rsidR="00241417" w:rsidRPr="0039343F" w:rsidRDefault="00241417" w:rsidP="003A71DE">
            <w:pPr>
              <w:pStyle w:val="TAH"/>
            </w:pPr>
            <w:r w:rsidRPr="0039343F">
              <w:t xml:space="preserve">Number of </w:t>
            </w:r>
            <w:r>
              <w:t>Demodulation Branches</w:t>
            </w:r>
          </w:p>
        </w:tc>
        <w:tc>
          <w:tcPr>
            <w:tcW w:w="1985" w:type="dxa"/>
            <w:vAlign w:val="center"/>
          </w:tcPr>
          <w:p w14:paraId="28DFCDC6" w14:textId="7F8D7830" w:rsidR="00241417" w:rsidRPr="0039343F" w:rsidRDefault="00241417" w:rsidP="003A71DE">
            <w:pPr>
              <w:pStyle w:val="TAH"/>
            </w:pPr>
            <w:r w:rsidRPr="0039343F">
              <w:t xml:space="preserve">Propagation conditions and correlation matrix (Annex </w:t>
            </w:r>
            <w:r>
              <w:t>TBA</w:t>
            </w:r>
            <w:r w:rsidRPr="0039343F">
              <w:t>)</w:t>
            </w:r>
          </w:p>
        </w:tc>
        <w:tc>
          <w:tcPr>
            <w:tcW w:w="1580" w:type="dxa"/>
            <w:vAlign w:val="center"/>
          </w:tcPr>
          <w:p w14:paraId="2CE5DDCD" w14:textId="77777777" w:rsidR="00241417" w:rsidRPr="0039343F" w:rsidRDefault="00241417" w:rsidP="003A71DE">
            <w:pPr>
              <w:pStyle w:val="TAH"/>
            </w:pPr>
            <w:r w:rsidRPr="0039343F">
              <w:t>FRC</w:t>
            </w:r>
            <w:r w:rsidRPr="0039343F">
              <w:br/>
              <w:t>(Annex A)</w:t>
            </w:r>
          </w:p>
        </w:tc>
        <w:tc>
          <w:tcPr>
            <w:tcW w:w="1255" w:type="dxa"/>
            <w:vAlign w:val="center"/>
          </w:tcPr>
          <w:p w14:paraId="097AD625" w14:textId="77777777" w:rsidR="00241417" w:rsidRPr="0039343F" w:rsidRDefault="00241417" w:rsidP="003A71DE">
            <w:pPr>
              <w:pStyle w:val="TAH"/>
            </w:pPr>
            <w:r w:rsidRPr="0039343F">
              <w:t>Additional DM-RS position</w:t>
            </w:r>
          </w:p>
        </w:tc>
        <w:tc>
          <w:tcPr>
            <w:tcW w:w="1134" w:type="dxa"/>
            <w:vAlign w:val="center"/>
          </w:tcPr>
          <w:p w14:paraId="487606A8" w14:textId="77777777" w:rsidR="00241417" w:rsidRPr="0039343F" w:rsidRDefault="00241417" w:rsidP="003A71DE">
            <w:pPr>
              <w:pStyle w:val="TAH"/>
            </w:pPr>
            <w:r w:rsidRPr="0039343F">
              <w:t>SNR</w:t>
            </w:r>
          </w:p>
          <w:p w14:paraId="72EA443A" w14:textId="77777777" w:rsidR="00241417" w:rsidRPr="0039343F" w:rsidRDefault="00241417" w:rsidP="003A71DE">
            <w:pPr>
              <w:pStyle w:val="TAH"/>
            </w:pPr>
            <w:r w:rsidRPr="0039343F">
              <w:t>(dB)</w:t>
            </w:r>
          </w:p>
        </w:tc>
      </w:tr>
      <w:tr w:rsidR="00241417" w:rsidRPr="0039343F" w14:paraId="2FF1F188" w14:textId="77777777" w:rsidTr="003A71DE">
        <w:trPr>
          <w:cantSplit/>
          <w:jc w:val="center"/>
        </w:trPr>
        <w:tc>
          <w:tcPr>
            <w:tcW w:w="1007" w:type="dxa"/>
            <w:vMerge w:val="restart"/>
            <w:vAlign w:val="center"/>
          </w:tcPr>
          <w:p w14:paraId="14847EA1" w14:textId="77777777" w:rsidR="00241417" w:rsidRPr="0039343F" w:rsidRDefault="00241417" w:rsidP="003A71DE">
            <w:pPr>
              <w:pStyle w:val="TAC"/>
            </w:pPr>
            <w:r w:rsidRPr="0039343F">
              <w:t>1</w:t>
            </w:r>
          </w:p>
        </w:tc>
        <w:tc>
          <w:tcPr>
            <w:tcW w:w="1093" w:type="dxa"/>
            <w:vMerge w:val="restart"/>
            <w:vAlign w:val="center"/>
          </w:tcPr>
          <w:p w14:paraId="39FA9565" w14:textId="77777777" w:rsidR="00241417" w:rsidRPr="0039343F" w:rsidRDefault="00241417" w:rsidP="003A71DE">
            <w:pPr>
              <w:pStyle w:val="TAC"/>
            </w:pPr>
            <w:r w:rsidRPr="0039343F">
              <w:t>2</w:t>
            </w:r>
          </w:p>
        </w:tc>
        <w:tc>
          <w:tcPr>
            <w:tcW w:w="1985" w:type="dxa"/>
            <w:vAlign w:val="center"/>
          </w:tcPr>
          <w:p w14:paraId="5D42124A" w14:textId="77777777" w:rsidR="00241417" w:rsidRPr="0039343F" w:rsidRDefault="00241417" w:rsidP="003A71DE">
            <w:pPr>
              <w:pStyle w:val="TAC"/>
            </w:pPr>
            <w:r w:rsidRPr="0039343F">
              <w:t>TDLB100-400 Low</w:t>
            </w:r>
          </w:p>
        </w:tc>
        <w:tc>
          <w:tcPr>
            <w:tcW w:w="1580" w:type="dxa"/>
            <w:vAlign w:val="center"/>
          </w:tcPr>
          <w:p w14:paraId="4AC48F7A" w14:textId="77777777" w:rsidR="00241417" w:rsidRPr="0039343F" w:rsidRDefault="00241417" w:rsidP="003A71DE">
            <w:pPr>
              <w:pStyle w:val="TAC"/>
            </w:pPr>
            <w:r>
              <w:rPr>
                <w:lang w:eastAsia="zh-CN"/>
              </w:rPr>
              <w:t>D-FR1-A.2.1-4</w:t>
            </w:r>
          </w:p>
        </w:tc>
        <w:tc>
          <w:tcPr>
            <w:tcW w:w="1255" w:type="dxa"/>
            <w:vAlign w:val="center"/>
          </w:tcPr>
          <w:p w14:paraId="71C1190E" w14:textId="77777777" w:rsidR="00241417" w:rsidRPr="0039343F" w:rsidRDefault="00241417" w:rsidP="003A71DE">
            <w:pPr>
              <w:pStyle w:val="TAC"/>
            </w:pPr>
            <w:r w:rsidRPr="0039343F">
              <w:t>pos1</w:t>
            </w:r>
          </w:p>
        </w:tc>
        <w:tc>
          <w:tcPr>
            <w:tcW w:w="1134" w:type="dxa"/>
            <w:vAlign w:val="center"/>
          </w:tcPr>
          <w:p w14:paraId="17EB10D8" w14:textId="77777777" w:rsidR="00241417" w:rsidRPr="0039343F" w:rsidRDefault="00241417" w:rsidP="003A71DE">
            <w:pPr>
              <w:pStyle w:val="TAC"/>
            </w:pPr>
            <w:r w:rsidRPr="0039343F">
              <w:t>-2.4</w:t>
            </w:r>
          </w:p>
        </w:tc>
      </w:tr>
      <w:tr w:rsidR="00241417" w:rsidRPr="0039343F" w14:paraId="1D7175BA" w14:textId="77777777" w:rsidTr="003A71DE">
        <w:trPr>
          <w:cantSplit/>
          <w:jc w:val="center"/>
        </w:trPr>
        <w:tc>
          <w:tcPr>
            <w:tcW w:w="1007" w:type="dxa"/>
            <w:vMerge/>
            <w:vAlign w:val="center"/>
          </w:tcPr>
          <w:p w14:paraId="6FCBB7AF" w14:textId="77777777" w:rsidR="00241417" w:rsidRPr="0039343F" w:rsidRDefault="00241417" w:rsidP="003A71DE">
            <w:pPr>
              <w:pStyle w:val="TAC"/>
            </w:pPr>
          </w:p>
        </w:tc>
        <w:tc>
          <w:tcPr>
            <w:tcW w:w="1093" w:type="dxa"/>
            <w:vMerge/>
            <w:vAlign w:val="center"/>
          </w:tcPr>
          <w:p w14:paraId="7552A723" w14:textId="77777777" w:rsidR="00241417" w:rsidRPr="0039343F" w:rsidRDefault="00241417" w:rsidP="003A71DE">
            <w:pPr>
              <w:pStyle w:val="TAC"/>
            </w:pPr>
          </w:p>
        </w:tc>
        <w:tc>
          <w:tcPr>
            <w:tcW w:w="1985" w:type="dxa"/>
            <w:vAlign w:val="center"/>
          </w:tcPr>
          <w:p w14:paraId="7EE2DF93" w14:textId="77777777" w:rsidR="00241417" w:rsidRPr="0039343F" w:rsidRDefault="00241417" w:rsidP="003A71DE">
            <w:pPr>
              <w:pStyle w:val="TAC"/>
            </w:pPr>
            <w:r w:rsidRPr="0039343F">
              <w:t>TDLC300-100 Low</w:t>
            </w:r>
          </w:p>
        </w:tc>
        <w:tc>
          <w:tcPr>
            <w:tcW w:w="1580" w:type="dxa"/>
            <w:vAlign w:val="center"/>
          </w:tcPr>
          <w:p w14:paraId="60A7FFF7" w14:textId="77777777" w:rsidR="00241417" w:rsidRPr="0039343F" w:rsidRDefault="00241417" w:rsidP="003A71DE">
            <w:pPr>
              <w:pStyle w:val="TAC"/>
            </w:pPr>
            <w:r>
              <w:rPr>
                <w:lang w:eastAsia="zh-CN"/>
              </w:rPr>
              <w:t>D-FR1-A.2.3-4</w:t>
            </w:r>
          </w:p>
        </w:tc>
        <w:tc>
          <w:tcPr>
            <w:tcW w:w="1255" w:type="dxa"/>
            <w:vAlign w:val="center"/>
          </w:tcPr>
          <w:p w14:paraId="2813806C" w14:textId="77777777" w:rsidR="00241417" w:rsidRPr="0039343F" w:rsidRDefault="00241417" w:rsidP="003A71DE">
            <w:pPr>
              <w:pStyle w:val="TAC"/>
            </w:pPr>
            <w:r w:rsidRPr="0039343F">
              <w:t>pos1</w:t>
            </w:r>
          </w:p>
        </w:tc>
        <w:tc>
          <w:tcPr>
            <w:tcW w:w="1134" w:type="dxa"/>
            <w:vAlign w:val="center"/>
          </w:tcPr>
          <w:p w14:paraId="0F3272F9" w14:textId="77777777" w:rsidR="00241417" w:rsidRPr="0039343F" w:rsidRDefault="00241417" w:rsidP="003A71DE">
            <w:pPr>
              <w:pStyle w:val="TAC"/>
            </w:pPr>
            <w:r w:rsidRPr="0039343F">
              <w:t>10.1</w:t>
            </w:r>
          </w:p>
        </w:tc>
      </w:tr>
      <w:tr w:rsidR="00241417" w:rsidRPr="0039343F" w14:paraId="02093305" w14:textId="77777777" w:rsidTr="003A71DE">
        <w:trPr>
          <w:cantSplit/>
          <w:jc w:val="center"/>
        </w:trPr>
        <w:tc>
          <w:tcPr>
            <w:tcW w:w="1007" w:type="dxa"/>
            <w:vMerge/>
            <w:vAlign w:val="center"/>
          </w:tcPr>
          <w:p w14:paraId="24BE2E0C" w14:textId="77777777" w:rsidR="00241417" w:rsidRPr="0039343F" w:rsidRDefault="00241417" w:rsidP="003A71DE">
            <w:pPr>
              <w:pStyle w:val="TAC"/>
            </w:pPr>
          </w:p>
        </w:tc>
        <w:tc>
          <w:tcPr>
            <w:tcW w:w="1093" w:type="dxa"/>
            <w:vMerge/>
            <w:tcBorders>
              <w:bottom w:val="single" w:sz="4" w:space="0" w:color="auto"/>
            </w:tcBorders>
            <w:vAlign w:val="center"/>
          </w:tcPr>
          <w:p w14:paraId="2EF95528" w14:textId="77777777" w:rsidR="00241417" w:rsidRPr="0039343F" w:rsidRDefault="00241417" w:rsidP="003A71DE">
            <w:pPr>
              <w:pStyle w:val="TAC"/>
            </w:pPr>
          </w:p>
        </w:tc>
        <w:tc>
          <w:tcPr>
            <w:tcW w:w="1985" w:type="dxa"/>
            <w:vAlign w:val="center"/>
          </w:tcPr>
          <w:p w14:paraId="2E44AE5B" w14:textId="77777777" w:rsidR="00241417" w:rsidRPr="0039343F" w:rsidRDefault="00241417" w:rsidP="003A71DE">
            <w:pPr>
              <w:pStyle w:val="TAC"/>
            </w:pPr>
            <w:r w:rsidRPr="0039343F">
              <w:t>TDLA30-10 Low</w:t>
            </w:r>
          </w:p>
        </w:tc>
        <w:tc>
          <w:tcPr>
            <w:tcW w:w="1580" w:type="dxa"/>
            <w:vAlign w:val="center"/>
          </w:tcPr>
          <w:p w14:paraId="1BE1B632" w14:textId="77777777" w:rsidR="00241417" w:rsidRPr="0039343F" w:rsidRDefault="00241417" w:rsidP="003A71DE">
            <w:pPr>
              <w:pStyle w:val="TAC"/>
            </w:pPr>
            <w:r>
              <w:rPr>
                <w:lang w:eastAsia="zh-CN"/>
              </w:rPr>
              <w:t>D-FR1-A.2.4-4</w:t>
            </w:r>
          </w:p>
        </w:tc>
        <w:tc>
          <w:tcPr>
            <w:tcW w:w="1255" w:type="dxa"/>
            <w:vAlign w:val="center"/>
          </w:tcPr>
          <w:p w14:paraId="3D176D89" w14:textId="77777777" w:rsidR="00241417" w:rsidRPr="0039343F" w:rsidRDefault="00241417" w:rsidP="003A71DE">
            <w:pPr>
              <w:pStyle w:val="TAC"/>
            </w:pPr>
            <w:r w:rsidRPr="0039343F">
              <w:t>pos1</w:t>
            </w:r>
          </w:p>
        </w:tc>
        <w:tc>
          <w:tcPr>
            <w:tcW w:w="1134" w:type="dxa"/>
            <w:vAlign w:val="center"/>
          </w:tcPr>
          <w:p w14:paraId="46D204A6" w14:textId="77777777" w:rsidR="00241417" w:rsidRPr="0039343F" w:rsidRDefault="00241417" w:rsidP="003A71DE">
            <w:pPr>
              <w:pStyle w:val="TAC"/>
            </w:pPr>
            <w:r w:rsidRPr="0039343F">
              <w:t>12.5</w:t>
            </w:r>
          </w:p>
        </w:tc>
      </w:tr>
      <w:tr w:rsidR="00241417" w:rsidRPr="0039343F" w14:paraId="5B514F77" w14:textId="77777777" w:rsidTr="003A71DE">
        <w:trPr>
          <w:cantSplit/>
          <w:jc w:val="center"/>
        </w:trPr>
        <w:tc>
          <w:tcPr>
            <w:tcW w:w="1007" w:type="dxa"/>
            <w:vMerge/>
            <w:vAlign w:val="center"/>
          </w:tcPr>
          <w:p w14:paraId="35F6EAB5" w14:textId="77777777" w:rsidR="00241417" w:rsidRPr="0039343F" w:rsidRDefault="00241417" w:rsidP="003A71DE">
            <w:pPr>
              <w:pStyle w:val="TAC"/>
            </w:pPr>
          </w:p>
        </w:tc>
        <w:tc>
          <w:tcPr>
            <w:tcW w:w="1093" w:type="dxa"/>
            <w:vMerge w:val="restart"/>
            <w:vAlign w:val="center"/>
          </w:tcPr>
          <w:p w14:paraId="5C96FBD2" w14:textId="77777777" w:rsidR="00241417" w:rsidRPr="0039343F" w:rsidRDefault="00241417" w:rsidP="003A71DE">
            <w:pPr>
              <w:pStyle w:val="TAC"/>
            </w:pPr>
            <w:r w:rsidRPr="0039343F">
              <w:t>4</w:t>
            </w:r>
          </w:p>
        </w:tc>
        <w:tc>
          <w:tcPr>
            <w:tcW w:w="1985" w:type="dxa"/>
            <w:vAlign w:val="center"/>
          </w:tcPr>
          <w:p w14:paraId="27477E82" w14:textId="77777777" w:rsidR="00241417" w:rsidRPr="0039343F" w:rsidRDefault="00241417" w:rsidP="003A71DE">
            <w:pPr>
              <w:pStyle w:val="TAC"/>
            </w:pPr>
            <w:r w:rsidRPr="0039343F">
              <w:t>TDLB100-400 Low</w:t>
            </w:r>
          </w:p>
        </w:tc>
        <w:tc>
          <w:tcPr>
            <w:tcW w:w="1580" w:type="dxa"/>
            <w:vAlign w:val="center"/>
          </w:tcPr>
          <w:p w14:paraId="7CCD052F" w14:textId="77777777" w:rsidR="00241417" w:rsidRPr="0039343F" w:rsidRDefault="00241417" w:rsidP="003A71DE">
            <w:pPr>
              <w:pStyle w:val="TAC"/>
            </w:pPr>
            <w:r>
              <w:rPr>
                <w:lang w:eastAsia="zh-CN"/>
              </w:rPr>
              <w:t>D-FR1-A.2.1-4</w:t>
            </w:r>
          </w:p>
        </w:tc>
        <w:tc>
          <w:tcPr>
            <w:tcW w:w="1255" w:type="dxa"/>
            <w:vAlign w:val="center"/>
          </w:tcPr>
          <w:p w14:paraId="604CD29C" w14:textId="77777777" w:rsidR="00241417" w:rsidRPr="0039343F" w:rsidRDefault="00241417" w:rsidP="003A71DE">
            <w:pPr>
              <w:pStyle w:val="TAC"/>
            </w:pPr>
            <w:r w:rsidRPr="0039343F">
              <w:t>pos1</w:t>
            </w:r>
          </w:p>
        </w:tc>
        <w:tc>
          <w:tcPr>
            <w:tcW w:w="1134" w:type="dxa"/>
            <w:vAlign w:val="center"/>
          </w:tcPr>
          <w:p w14:paraId="7E38924B" w14:textId="77777777" w:rsidR="00241417" w:rsidRPr="0039343F" w:rsidRDefault="00241417" w:rsidP="003A71DE">
            <w:pPr>
              <w:pStyle w:val="TAC"/>
            </w:pPr>
            <w:r w:rsidRPr="0039343F">
              <w:t>-5.7</w:t>
            </w:r>
          </w:p>
        </w:tc>
      </w:tr>
      <w:tr w:rsidR="00241417" w:rsidRPr="0039343F" w14:paraId="66DE4DEB" w14:textId="77777777" w:rsidTr="003A71DE">
        <w:trPr>
          <w:cantSplit/>
          <w:jc w:val="center"/>
        </w:trPr>
        <w:tc>
          <w:tcPr>
            <w:tcW w:w="1007" w:type="dxa"/>
            <w:vMerge/>
            <w:vAlign w:val="center"/>
          </w:tcPr>
          <w:p w14:paraId="59626AC3" w14:textId="77777777" w:rsidR="00241417" w:rsidRPr="0039343F" w:rsidRDefault="00241417" w:rsidP="003A71DE">
            <w:pPr>
              <w:pStyle w:val="TAC"/>
            </w:pPr>
          </w:p>
        </w:tc>
        <w:tc>
          <w:tcPr>
            <w:tcW w:w="1093" w:type="dxa"/>
            <w:vMerge/>
            <w:vAlign w:val="center"/>
          </w:tcPr>
          <w:p w14:paraId="2FA68F36" w14:textId="77777777" w:rsidR="00241417" w:rsidRPr="0039343F" w:rsidRDefault="00241417" w:rsidP="003A71DE">
            <w:pPr>
              <w:pStyle w:val="TAC"/>
            </w:pPr>
          </w:p>
        </w:tc>
        <w:tc>
          <w:tcPr>
            <w:tcW w:w="1985" w:type="dxa"/>
            <w:vAlign w:val="center"/>
          </w:tcPr>
          <w:p w14:paraId="23D0D253" w14:textId="77777777" w:rsidR="00241417" w:rsidRPr="0039343F" w:rsidRDefault="00241417" w:rsidP="003A71DE">
            <w:pPr>
              <w:pStyle w:val="TAC"/>
            </w:pPr>
            <w:r w:rsidRPr="0039343F">
              <w:t>TDLC300-100 Low</w:t>
            </w:r>
          </w:p>
        </w:tc>
        <w:tc>
          <w:tcPr>
            <w:tcW w:w="1580" w:type="dxa"/>
            <w:vAlign w:val="center"/>
          </w:tcPr>
          <w:p w14:paraId="1D218D7A" w14:textId="77777777" w:rsidR="00241417" w:rsidRPr="0039343F" w:rsidRDefault="00241417" w:rsidP="003A71DE">
            <w:pPr>
              <w:pStyle w:val="TAC"/>
            </w:pPr>
            <w:r>
              <w:rPr>
                <w:lang w:eastAsia="zh-CN"/>
              </w:rPr>
              <w:t>D-FR1-A.2.3-4</w:t>
            </w:r>
          </w:p>
        </w:tc>
        <w:tc>
          <w:tcPr>
            <w:tcW w:w="1255" w:type="dxa"/>
            <w:vAlign w:val="center"/>
          </w:tcPr>
          <w:p w14:paraId="2B3D3433" w14:textId="77777777" w:rsidR="00241417" w:rsidRPr="0039343F" w:rsidRDefault="00241417" w:rsidP="003A71DE">
            <w:pPr>
              <w:pStyle w:val="TAC"/>
            </w:pPr>
            <w:r w:rsidRPr="0039343F">
              <w:t>pos1</w:t>
            </w:r>
          </w:p>
        </w:tc>
        <w:tc>
          <w:tcPr>
            <w:tcW w:w="1134" w:type="dxa"/>
            <w:vAlign w:val="center"/>
          </w:tcPr>
          <w:p w14:paraId="660848D0" w14:textId="77777777" w:rsidR="00241417" w:rsidRPr="0039343F" w:rsidRDefault="00241417" w:rsidP="003A71DE">
            <w:pPr>
              <w:pStyle w:val="TAC"/>
            </w:pPr>
            <w:r w:rsidRPr="0039343F">
              <w:t>6.4</w:t>
            </w:r>
          </w:p>
        </w:tc>
      </w:tr>
      <w:tr w:rsidR="00241417" w:rsidRPr="0039343F" w14:paraId="572D0021" w14:textId="77777777" w:rsidTr="003A71DE">
        <w:trPr>
          <w:cantSplit/>
          <w:jc w:val="center"/>
        </w:trPr>
        <w:tc>
          <w:tcPr>
            <w:tcW w:w="1007" w:type="dxa"/>
            <w:vMerge/>
            <w:vAlign w:val="center"/>
          </w:tcPr>
          <w:p w14:paraId="796021F6" w14:textId="77777777" w:rsidR="00241417" w:rsidRPr="0039343F" w:rsidRDefault="00241417" w:rsidP="003A71DE">
            <w:pPr>
              <w:pStyle w:val="TAC"/>
            </w:pPr>
          </w:p>
        </w:tc>
        <w:tc>
          <w:tcPr>
            <w:tcW w:w="1093" w:type="dxa"/>
            <w:vMerge/>
            <w:tcBorders>
              <w:bottom w:val="single" w:sz="4" w:space="0" w:color="auto"/>
            </w:tcBorders>
            <w:vAlign w:val="center"/>
          </w:tcPr>
          <w:p w14:paraId="7803C24A" w14:textId="77777777" w:rsidR="00241417" w:rsidRPr="0039343F" w:rsidRDefault="00241417" w:rsidP="003A71DE">
            <w:pPr>
              <w:pStyle w:val="TAC"/>
            </w:pPr>
          </w:p>
        </w:tc>
        <w:tc>
          <w:tcPr>
            <w:tcW w:w="1985" w:type="dxa"/>
            <w:vAlign w:val="center"/>
          </w:tcPr>
          <w:p w14:paraId="43418EB0" w14:textId="77777777" w:rsidR="00241417" w:rsidRPr="0039343F" w:rsidRDefault="00241417" w:rsidP="003A71DE">
            <w:pPr>
              <w:pStyle w:val="TAC"/>
            </w:pPr>
            <w:r w:rsidRPr="0039343F">
              <w:t>TDLA30-10 Low</w:t>
            </w:r>
          </w:p>
        </w:tc>
        <w:tc>
          <w:tcPr>
            <w:tcW w:w="1580" w:type="dxa"/>
            <w:vAlign w:val="center"/>
          </w:tcPr>
          <w:p w14:paraId="450BCEE1" w14:textId="77777777" w:rsidR="00241417" w:rsidRPr="0039343F" w:rsidRDefault="00241417" w:rsidP="003A71DE">
            <w:pPr>
              <w:pStyle w:val="TAC"/>
            </w:pPr>
            <w:r>
              <w:rPr>
                <w:lang w:eastAsia="zh-CN"/>
              </w:rPr>
              <w:t>D-FR1-A.2.4-4</w:t>
            </w:r>
          </w:p>
        </w:tc>
        <w:tc>
          <w:tcPr>
            <w:tcW w:w="1255" w:type="dxa"/>
            <w:vAlign w:val="center"/>
          </w:tcPr>
          <w:p w14:paraId="710C5884" w14:textId="77777777" w:rsidR="00241417" w:rsidRPr="0039343F" w:rsidRDefault="00241417" w:rsidP="003A71DE">
            <w:pPr>
              <w:pStyle w:val="TAC"/>
            </w:pPr>
            <w:r w:rsidRPr="0039343F">
              <w:t>pos1</w:t>
            </w:r>
          </w:p>
        </w:tc>
        <w:tc>
          <w:tcPr>
            <w:tcW w:w="1134" w:type="dxa"/>
            <w:vAlign w:val="center"/>
          </w:tcPr>
          <w:p w14:paraId="01ACA470" w14:textId="77777777" w:rsidR="00241417" w:rsidRPr="0039343F" w:rsidRDefault="00241417" w:rsidP="003A71DE">
            <w:pPr>
              <w:pStyle w:val="TAC"/>
            </w:pPr>
            <w:r w:rsidRPr="0039343F">
              <w:t>8.6</w:t>
            </w:r>
          </w:p>
        </w:tc>
      </w:tr>
      <w:tr w:rsidR="00241417" w:rsidRPr="0039343F" w14:paraId="5868D452" w14:textId="77777777" w:rsidTr="003A71DE">
        <w:trPr>
          <w:cantSplit/>
          <w:jc w:val="center"/>
        </w:trPr>
        <w:tc>
          <w:tcPr>
            <w:tcW w:w="1007" w:type="dxa"/>
            <w:vMerge/>
            <w:vAlign w:val="center"/>
          </w:tcPr>
          <w:p w14:paraId="746AC89B" w14:textId="77777777" w:rsidR="00241417" w:rsidRPr="0039343F" w:rsidRDefault="00241417" w:rsidP="003A71DE">
            <w:pPr>
              <w:pStyle w:val="TAC"/>
            </w:pPr>
          </w:p>
        </w:tc>
        <w:tc>
          <w:tcPr>
            <w:tcW w:w="1093" w:type="dxa"/>
            <w:vMerge w:val="restart"/>
            <w:vAlign w:val="center"/>
          </w:tcPr>
          <w:p w14:paraId="3F9ED240" w14:textId="77777777" w:rsidR="00241417" w:rsidRPr="0039343F" w:rsidRDefault="00241417" w:rsidP="003A71DE">
            <w:pPr>
              <w:pStyle w:val="TAC"/>
            </w:pPr>
            <w:r w:rsidRPr="0039343F">
              <w:t>8</w:t>
            </w:r>
          </w:p>
        </w:tc>
        <w:tc>
          <w:tcPr>
            <w:tcW w:w="1985" w:type="dxa"/>
            <w:vAlign w:val="center"/>
          </w:tcPr>
          <w:p w14:paraId="4AF4C97A" w14:textId="77777777" w:rsidR="00241417" w:rsidRPr="0039343F" w:rsidRDefault="00241417" w:rsidP="003A71DE">
            <w:pPr>
              <w:pStyle w:val="TAC"/>
            </w:pPr>
            <w:r w:rsidRPr="0039343F">
              <w:t>TDLB100-400 Low</w:t>
            </w:r>
          </w:p>
        </w:tc>
        <w:tc>
          <w:tcPr>
            <w:tcW w:w="1580" w:type="dxa"/>
            <w:vAlign w:val="center"/>
          </w:tcPr>
          <w:p w14:paraId="2BE21A33" w14:textId="77777777" w:rsidR="00241417" w:rsidRPr="0039343F" w:rsidRDefault="00241417" w:rsidP="003A71DE">
            <w:pPr>
              <w:pStyle w:val="TAC"/>
            </w:pPr>
            <w:r>
              <w:rPr>
                <w:lang w:eastAsia="zh-CN"/>
              </w:rPr>
              <w:t>D-FR1-A.2.1-4</w:t>
            </w:r>
          </w:p>
        </w:tc>
        <w:tc>
          <w:tcPr>
            <w:tcW w:w="1255" w:type="dxa"/>
            <w:vAlign w:val="center"/>
          </w:tcPr>
          <w:p w14:paraId="1C13D7F1" w14:textId="77777777" w:rsidR="00241417" w:rsidRPr="0039343F" w:rsidRDefault="00241417" w:rsidP="003A71DE">
            <w:pPr>
              <w:pStyle w:val="TAC"/>
            </w:pPr>
            <w:r w:rsidRPr="0039343F">
              <w:t>pos1</w:t>
            </w:r>
          </w:p>
        </w:tc>
        <w:tc>
          <w:tcPr>
            <w:tcW w:w="1134" w:type="dxa"/>
            <w:vAlign w:val="center"/>
          </w:tcPr>
          <w:p w14:paraId="405001FB" w14:textId="77777777" w:rsidR="00241417" w:rsidRPr="0039343F" w:rsidRDefault="00241417" w:rsidP="003A71DE">
            <w:pPr>
              <w:pStyle w:val="TAC"/>
            </w:pPr>
            <w:r w:rsidRPr="0039343F">
              <w:t>-8.8</w:t>
            </w:r>
          </w:p>
        </w:tc>
      </w:tr>
      <w:tr w:rsidR="00241417" w:rsidRPr="0039343F" w14:paraId="19361FAB" w14:textId="77777777" w:rsidTr="003A71DE">
        <w:trPr>
          <w:cantSplit/>
          <w:jc w:val="center"/>
        </w:trPr>
        <w:tc>
          <w:tcPr>
            <w:tcW w:w="1007" w:type="dxa"/>
            <w:vMerge/>
            <w:vAlign w:val="center"/>
          </w:tcPr>
          <w:p w14:paraId="48A63B56" w14:textId="77777777" w:rsidR="00241417" w:rsidRPr="0039343F" w:rsidRDefault="00241417" w:rsidP="003A71DE">
            <w:pPr>
              <w:pStyle w:val="TAC"/>
            </w:pPr>
          </w:p>
        </w:tc>
        <w:tc>
          <w:tcPr>
            <w:tcW w:w="1093" w:type="dxa"/>
            <w:vMerge/>
            <w:vAlign w:val="center"/>
          </w:tcPr>
          <w:p w14:paraId="2C3F1B26" w14:textId="77777777" w:rsidR="00241417" w:rsidRPr="0039343F" w:rsidRDefault="00241417" w:rsidP="003A71DE">
            <w:pPr>
              <w:pStyle w:val="TAC"/>
            </w:pPr>
          </w:p>
        </w:tc>
        <w:tc>
          <w:tcPr>
            <w:tcW w:w="1985" w:type="dxa"/>
            <w:vAlign w:val="center"/>
          </w:tcPr>
          <w:p w14:paraId="0C015088" w14:textId="77777777" w:rsidR="00241417" w:rsidRPr="0039343F" w:rsidRDefault="00241417" w:rsidP="003A71DE">
            <w:pPr>
              <w:pStyle w:val="TAC"/>
            </w:pPr>
            <w:r w:rsidRPr="0039343F">
              <w:t>TDLC300-100 Low</w:t>
            </w:r>
          </w:p>
        </w:tc>
        <w:tc>
          <w:tcPr>
            <w:tcW w:w="1580" w:type="dxa"/>
            <w:vAlign w:val="center"/>
          </w:tcPr>
          <w:p w14:paraId="297B2F13" w14:textId="77777777" w:rsidR="00241417" w:rsidRPr="0039343F" w:rsidRDefault="00241417" w:rsidP="003A71DE">
            <w:pPr>
              <w:pStyle w:val="TAC"/>
            </w:pPr>
            <w:r>
              <w:rPr>
                <w:lang w:eastAsia="zh-CN"/>
              </w:rPr>
              <w:t>D-FR1-A.2.3-4</w:t>
            </w:r>
          </w:p>
        </w:tc>
        <w:tc>
          <w:tcPr>
            <w:tcW w:w="1255" w:type="dxa"/>
            <w:vAlign w:val="center"/>
          </w:tcPr>
          <w:p w14:paraId="75C9B22F" w14:textId="77777777" w:rsidR="00241417" w:rsidRPr="0039343F" w:rsidRDefault="00241417" w:rsidP="003A71DE">
            <w:pPr>
              <w:pStyle w:val="TAC"/>
            </w:pPr>
            <w:r w:rsidRPr="0039343F">
              <w:t>pos1</w:t>
            </w:r>
          </w:p>
        </w:tc>
        <w:tc>
          <w:tcPr>
            <w:tcW w:w="1134" w:type="dxa"/>
            <w:vAlign w:val="center"/>
          </w:tcPr>
          <w:p w14:paraId="55C59D73" w14:textId="77777777" w:rsidR="00241417" w:rsidRPr="0039343F" w:rsidRDefault="00241417" w:rsidP="003A71DE">
            <w:pPr>
              <w:pStyle w:val="TAC"/>
            </w:pPr>
            <w:r w:rsidRPr="0039343F">
              <w:t>3.2</w:t>
            </w:r>
          </w:p>
        </w:tc>
      </w:tr>
      <w:tr w:rsidR="00241417" w:rsidRPr="0039343F" w14:paraId="44F5512E" w14:textId="77777777" w:rsidTr="003A71DE">
        <w:trPr>
          <w:cantSplit/>
          <w:jc w:val="center"/>
        </w:trPr>
        <w:tc>
          <w:tcPr>
            <w:tcW w:w="1007" w:type="dxa"/>
            <w:vMerge/>
            <w:tcBorders>
              <w:bottom w:val="single" w:sz="4" w:space="0" w:color="auto"/>
            </w:tcBorders>
            <w:vAlign w:val="center"/>
          </w:tcPr>
          <w:p w14:paraId="4C69A342" w14:textId="77777777" w:rsidR="00241417" w:rsidRPr="0039343F" w:rsidRDefault="00241417" w:rsidP="003A71DE">
            <w:pPr>
              <w:pStyle w:val="TAC"/>
            </w:pPr>
          </w:p>
        </w:tc>
        <w:tc>
          <w:tcPr>
            <w:tcW w:w="1093" w:type="dxa"/>
            <w:vMerge/>
            <w:tcBorders>
              <w:bottom w:val="single" w:sz="4" w:space="0" w:color="auto"/>
            </w:tcBorders>
            <w:vAlign w:val="center"/>
          </w:tcPr>
          <w:p w14:paraId="0BA90767" w14:textId="77777777" w:rsidR="00241417" w:rsidRPr="0039343F" w:rsidRDefault="00241417" w:rsidP="003A71DE">
            <w:pPr>
              <w:pStyle w:val="TAC"/>
            </w:pPr>
          </w:p>
        </w:tc>
        <w:tc>
          <w:tcPr>
            <w:tcW w:w="1985" w:type="dxa"/>
            <w:vAlign w:val="center"/>
          </w:tcPr>
          <w:p w14:paraId="6E8DA786" w14:textId="77777777" w:rsidR="00241417" w:rsidRPr="0039343F" w:rsidRDefault="00241417" w:rsidP="003A71DE">
            <w:pPr>
              <w:pStyle w:val="TAC"/>
            </w:pPr>
            <w:r w:rsidRPr="0039343F">
              <w:t>TDLA30-10 Low</w:t>
            </w:r>
          </w:p>
        </w:tc>
        <w:tc>
          <w:tcPr>
            <w:tcW w:w="1580" w:type="dxa"/>
            <w:vAlign w:val="center"/>
          </w:tcPr>
          <w:p w14:paraId="4B60A6DB" w14:textId="77777777" w:rsidR="00241417" w:rsidRPr="0039343F" w:rsidRDefault="00241417" w:rsidP="003A71DE">
            <w:pPr>
              <w:pStyle w:val="TAC"/>
            </w:pPr>
            <w:r>
              <w:rPr>
                <w:lang w:eastAsia="zh-CN"/>
              </w:rPr>
              <w:t>D-FR1-A.2.4-4</w:t>
            </w:r>
          </w:p>
        </w:tc>
        <w:tc>
          <w:tcPr>
            <w:tcW w:w="1255" w:type="dxa"/>
            <w:vAlign w:val="center"/>
          </w:tcPr>
          <w:p w14:paraId="55EDFE0B" w14:textId="77777777" w:rsidR="00241417" w:rsidRPr="0039343F" w:rsidRDefault="00241417" w:rsidP="003A71DE">
            <w:pPr>
              <w:pStyle w:val="TAC"/>
            </w:pPr>
            <w:r w:rsidRPr="0039343F">
              <w:t>pos1</w:t>
            </w:r>
          </w:p>
        </w:tc>
        <w:tc>
          <w:tcPr>
            <w:tcW w:w="1134" w:type="dxa"/>
            <w:vAlign w:val="center"/>
          </w:tcPr>
          <w:p w14:paraId="2637C7B6" w14:textId="77777777" w:rsidR="00241417" w:rsidRPr="0039343F" w:rsidRDefault="00241417" w:rsidP="003A71DE">
            <w:pPr>
              <w:pStyle w:val="TAC"/>
            </w:pPr>
            <w:r w:rsidRPr="0039343F">
              <w:t>5.6</w:t>
            </w:r>
          </w:p>
        </w:tc>
      </w:tr>
      <w:tr w:rsidR="00241417" w:rsidRPr="0039343F" w14:paraId="188330F5" w14:textId="77777777" w:rsidTr="003A71DE">
        <w:trPr>
          <w:cantSplit/>
          <w:jc w:val="center"/>
        </w:trPr>
        <w:tc>
          <w:tcPr>
            <w:tcW w:w="1007" w:type="dxa"/>
            <w:vMerge w:val="restart"/>
            <w:vAlign w:val="center"/>
          </w:tcPr>
          <w:p w14:paraId="1238372B" w14:textId="77777777" w:rsidR="00241417" w:rsidRPr="0039343F" w:rsidRDefault="00241417" w:rsidP="003A71DE">
            <w:pPr>
              <w:pStyle w:val="TAC"/>
            </w:pPr>
            <w:r w:rsidRPr="0039343F">
              <w:t>2</w:t>
            </w:r>
          </w:p>
        </w:tc>
        <w:tc>
          <w:tcPr>
            <w:tcW w:w="1093" w:type="dxa"/>
            <w:vMerge w:val="restart"/>
            <w:vAlign w:val="center"/>
          </w:tcPr>
          <w:p w14:paraId="11A91DDA" w14:textId="77777777" w:rsidR="00241417" w:rsidRPr="0039343F" w:rsidRDefault="00241417" w:rsidP="003A71DE">
            <w:pPr>
              <w:pStyle w:val="TAC"/>
            </w:pPr>
            <w:r w:rsidRPr="0039343F">
              <w:t>2</w:t>
            </w:r>
          </w:p>
        </w:tc>
        <w:tc>
          <w:tcPr>
            <w:tcW w:w="1985" w:type="dxa"/>
            <w:vAlign w:val="center"/>
          </w:tcPr>
          <w:p w14:paraId="1FEAF4A3" w14:textId="77777777" w:rsidR="00241417" w:rsidRPr="0039343F" w:rsidRDefault="00241417" w:rsidP="003A71DE">
            <w:pPr>
              <w:pStyle w:val="TAC"/>
            </w:pPr>
            <w:r w:rsidRPr="0039343F">
              <w:t>TDLB100-400 Low</w:t>
            </w:r>
          </w:p>
        </w:tc>
        <w:tc>
          <w:tcPr>
            <w:tcW w:w="1580" w:type="dxa"/>
            <w:vAlign w:val="center"/>
          </w:tcPr>
          <w:p w14:paraId="13B7CCC9" w14:textId="77777777" w:rsidR="00241417" w:rsidRPr="0039343F" w:rsidRDefault="00241417" w:rsidP="003A71DE">
            <w:pPr>
              <w:pStyle w:val="TAC"/>
            </w:pPr>
            <w:r>
              <w:rPr>
                <w:lang w:eastAsia="zh-CN"/>
              </w:rPr>
              <w:t>D-FR1-A.2.1-11</w:t>
            </w:r>
          </w:p>
        </w:tc>
        <w:tc>
          <w:tcPr>
            <w:tcW w:w="1255" w:type="dxa"/>
            <w:vAlign w:val="center"/>
          </w:tcPr>
          <w:p w14:paraId="0D37FE02" w14:textId="77777777" w:rsidR="00241417" w:rsidRPr="0039343F" w:rsidRDefault="00241417" w:rsidP="003A71DE">
            <w:pPr>
              <w:pStyle w:val="TAC"/>
            </w:pPr>
            <w:r w:rsidRPr="0039343F">
              <w:t>pos1</w:t>
            </w:r>
          </w:p>
        </w:tc>
        <w:tc>
          <w:tcPr>
            <w:tcW w:w="1134" w:type="dxa"/>
            <w:vAlign w:val="center"/>
          </w:tcPr>
          <w:p w14:paraId="3818550A" w14:textId="77777777" w:rsidR="00241417" w:rsidRPr="0039343F" w:rsidRDefault="00241417" w:rsidP="003A71DE">
            <w:pPr>
              <w:pStyle w:val="TAC"/>
            </w:pPr>
            <w:r w:rsidRPr="0039343F">
              <w:t>1.1</w:t>
            </w:r>
          </w:p>
        </w:tc>
      </w:tr>
      <w:tr w:rsidR="00241417" w:rsidRPr="0039343F" w14:paraId="49BA35D6" w14:textId="77777777" w:rsidTr="003A71DE">
        <w:trPr>
          <w:cantSplit/>
          <w:jc w:val="center"/>
        </w:trPr>
        <w:tc>
          <w:tcPr>
            <w:tcW w:w="1007" w:type="dxa"/>
            <w:vMerge/>
            <w:vAlign w:val="center"/>
          </w:tcPr>
          <w:p w14:paraId="7BF9F60D" w14:textId="77777777" w:rsidR="00241417" w:rsidRPr="0039343F" w:rsidRDefault="00241417" w:rsidP="003A71DE">
            <w:pPr>
              <w:pStyle w:val="TAC"/>
            </w:pPr>
          </w:p>
        </w:tc>
        <w:tc>
          <w:tcPr>
            <w:tcW w:w="1093" w:type="dxa"/>
            <w:vMerge/>
            <w:tcBorders>
              <w:bottom w:val="single" w:sz="4" w:space="0" w:color="auto"/>
            </w:tcBorders>
            <w:vAlign w:val="center"/>
          </w:tcPr>
          <w:p w14:paraId="3F6142C4" w14:textId="77777777" w:rsidR="00241417" w:rsidRPr="0039343F" w:rsidRDefault="00241417" w:rsidP="003A71DE">
            <w:pPr>
              <w:pStyle w:val="TAC"/>
            </w:pPr>
          </w:p>
        </w:tc>
        <w:tc>
          <w:tcPr>
            <w:tcW w:w="1985" w:type="dxa"/>
            <w:vAlign w:val="center"/>
          </w:tcPr>
          <w:p w14:paraId="114B1E5D" w14:textId="77777777" w:rsidR="00241417" w:rsidRPr="0039343F" w:rsidRDefault="00241417" w:rsidP="003A71DE">
            <w:pPr>
              <w:pStyle w:val="TAC"/>
            </w:pPr>
            <w:r w:rsidRPr="0039343F">
              <w:t>TDLC300-100 Low</w:t>
            </w:r>
          </w:p>
        </w:tc>
        <w:tc>
          <w:tcPr>
            <w:tcW w:w="1580" w:type="dxa"/>
            <w:vAlign w:val="center"/>
          </w:tcPr>
          <w:p w14:paraId="09D8A25E" w14:textId="77777777" w:rsidR="00241417" w:rsidRPr="0039343F" w:rsidRDefault="00241417" w:rsidP="003A71DE">
            <w:pPr>
              <w:pStyle w:val="TAC"/>
              <w:rPr>
                <w:lang w:eastAsia="zh-CN"/>
              </w:rPr>
            </w:pPr>
            <w:r>
              <w:rPr>
                <w:lang w:eastAsia="zh-CN"/>
              </w:rPr>
              <w:t>D-FR1-A.2.3-11</w:t>
            </w:r>
          </w:p>
        </w:tc>
        <w:tc>
          <w:tcPr>
            <w:tcW w:w="1255" w:type="dxa"/>
            <w:vAlign w:val="center"/>
          </w:tcPr>
          <w:p w14:paraId="56D995B0" w14:textId="77777777" w:rsidR="00241417" w:rsidRPr="0039343F" w:rsidRDefault="00241417" w:rsidP="003A71DE">
            <w:pPr>
              <w:pStyle w:val="TAC"/>
            </w:pPr>
            <w:r w:rsidRPr="0039343F">
              <w:t>pos1</w:t>
            </w:r>
          </w:p>
        </w:tc>
        <w:tc>
          <w:tcPr>
            <w:tcW w:w="1134" w:type="dxa"/>
            <w:vAlign w:val="center"/>
          </w:tcPr>
          <w:p w14:paraId="74505AD9" w14:textId="77777777" w:rsidR="00241417" w:rsidRPr="0039343F" w:rsidRDefault="00241417" w:rsidP="003A71DE">
            <w:pPr>
              <w:pStyle w:val="TAC"/>
            </w:pPr>
            <w:r w:rsidRPr="0039343F">
              <w:t>18.5</w:t>
            </w:r>
          </w:p>
        </w:tc>
      </w:tr>
      <w:tr w:rsidR="00241417" w:rsidRPr="0039343F" w14:paraId="1CCC6988" w14:textId="77777777" w:rsidTr="003A71DE">
        <w:trPr>
          <w:cantSplit/>
          <w:jc w:val="center"/>
        </w:trPr>
        <w:tc>
          <w:tcPr>
            <w:tcW w:w="1007" w:type="dxa"/>
            <w:vMerge/>
            <w:vAlign w:val="center"/>
          </w:tcPr>
          <w:p w14:paraId="07B02817" w14:textId="77777777" w:rsidR="00241417" w:rsidRPr="0039343F" w:rsidRDefault="00241417" w:rsidP="003A71DE">
            <w:pPr>
              <w:pStyle w:val="TAC"/>
            </w:pPr>
          </w:p>
        </w:tc>
        <w:tc>
          <w:tcPr>
            <w:tcW w:w="1093" w:type="dxa"/>
            <w:vMerge w:val="restart"/>
            <w:tcBorders>
              <w:top w:val="single" w:sz="4" w:space="0" w:color="auto"/>
            </w:tcBorders>
            <w:vAlign w:val="center"/>
          </w:tcPr>
          <w:p w14:paraId="0BFEA990" w14:textId="77777777" w:rsidR="00241417" w:rsidRPr="0039343F" w:rsidRDefault="00241417" w:rsidP="003A71DE">
            <w:pPr>
              <w:pStyle w:val="TAC"/>
            </w:pPr>
            <w:r w:rsidRPr="0039343F">
              <w:t>4</w:t>
            </w:r>
          </w:p>
        </w:tc>
        <w:tc>
          <w:tcPr>
            <w:tcW w:w="1985" w:type="dxa"/>
            <w:vAlign w:val="center"/>
          </w:tcPr>
          <w:p w14:paraId="43BBBD6C" w14:textId="77777777" w:rsidR="00241417" w:rsidRPr="0039343F" w:rsidRDefault="00241417" w:rsidP="003A71DE">
            <w:pPr>
              <w:pStyle w:val="TAC"/>
            </w:pPr>
            <w:r w:rsidRPr="0039343F">
              <w:t>TDLB100-400 Low</w:t>
            </w:r>
          </w:p>
        </w:tc>
        <w:tc>
          <w:tcPr>
            <w:tcW w:w="1580" w:type="dxa"/>
            <w:vAlign w:val="center"/>
          </w:tcPr>
          <w:p w14:paraId="145EB659" w14:textId="77777777" w:rsidR="00241417" w:rsidRPr="0039343F" w:rsidRDefault="00241417" w:rsidP="003A71DE">
            <w:pPr>
              <w:pStyle w:val="TAC"/>
              <w:rPr>
                <w:lang w:eastAsia="zh-CN"/>
              </w:rPr>
            </w:pPr>
            <w:r>
              <w:rPr>
                <w:lang w:eastAsia="zh-CN"/>
              </w:rPr>
              <w:t>D-FR1-A.2.1-11</w:t>
            </w:r>
          </w:p>
        </w:tc>
        <w:tc>
          <w:tcPr>
            <w:tcW w:w="1255" w:type="dxa"/>
            <w:vAlign w:val="center"/>
          </w:tcPr>
          <w:p w14:paraId="10862D35" w14:textId="77777777" w:rsidR="00241417" w:rsidRPr="0039343F" w:rsidRDefault="00241417" w:rsidP="003A71DE">
            <w:pPr>
              <w:pStyle w:val="TAC"/>
            </w:pPr>
            <w:r w:rsidRPr="0039343F">
              <w:t>pos1</w:t>
            </w:r>
          </w:p>
        </w:tc>
        <w:tc>
          <w:tcPr>
            <w:tcW w:w="1134" w:type="dxa"/>
            <w:vAlign w:val="center"/>
          </w:tcPr>
          <w:p w14:paraId="0680F890" w14:textId="77777777" w:rsidR="00241417" w:rsidRPr="0039343F" w:rsidRDefault="00241417" w:rsidP="003A71DE">
            <w:pPr>
              <w:pStyle w:val="TAC"/>
            </w:pPr>
            <w:r w:rsidRPr="0039343F">
              <w:t>-2.5</w:t>
            </w:r>
          </w:p>
        </w:tc>
      </w:tr>
      <w:tr w:rsidR="00241417" w:rsidRPr="0039343F" w14:paraId="25392EFB" w14:textId="77777777" w:rsidTr="003A71DE">
        <w:trPr>
          <w:cantSplit/>
          <w:jc w:val="center"/>
        </w:trPr>
        <w:tc>
          <w:tcPr>
            <w:tcW w:w="1007" w:type="dxa"/>
            <w:vMerge/>
            <w:vAlign w:val="center"/>
          </w:tcPr>
          <w:p w14:paraId="68F9493D" w14:textId="77777777" w:rsidR="00241417" w:rsidRPr="0039343F" w:rsidRDefault="00241417" w:rsidP="003A71DE">
            <w:pPr>
              <w:pStyle w:val="TAC"/>
            </w:pPr>
          </w:p>
        </w:tc>
        <w:tc>
          <w:tcPr>
            <w:tcW w:w="1093" w:type="dxa"/>
            <w:vMerge/>
            <w:tcBorders>
              <w:bottom w:val="single" w:sz="4" w:space="0" w:color="auto"/>
            </w:tcBorders>
            <w:vAlign w:val="center"/>
          </w:tcPr>
          <w:p w14:paraId="3E7BAA43" w14:textId="77777777" w:rsidR="00241417" w:rsidRPr="0039343F" w:rsidRDefault="00241417" w:rsidP="003A71DE">
            <w:pPr>
              <w:pStyle w:val="TAC"/>
            </w:pPr>
          </w:p>
        </w:tc>
        <w:tc>
          <w:tcPr>
            <w:tcW w:w="1985" w:type="dxa"/>
            <w:vAlign w:val="center"/>
          </w:tcPr>
          <w:p w14:paraId="293FA4E8" w14:textId="77777777" w:rsidR="00241417" w:rsidRPr="0039343F" w:rsidRDefault="00241417" w:rsidP="003A71DE">
            <w:pPr>
              <w:pStyle w:val="TAC"/>
            </w:pPr>
            <w:r w:rsidRPr="0039343F">
              <w:t>TDLC300-100 Low</w:t>
            </w:r>
          </w:p>
        </w:tc>
        <w:tc>
          <w:tcPr>
            <w:tcW w:w="1580" w:type="dxa"/>
            <w:vAlign w:val="center"/>
          </w:tcPr>
          <w:p w14:paraId="09A62696" w14:textId="77777777" w:rsidR="00241417" w:rsidRPr="0039343F" w:rsidRDefault="00241417" w:rsidP="003A71DE">
            <w:pPr>
              <w:pStyle w:val="TAC"/>
              <w:rPr>
                <w:lang w:eastAsia="zh-CN"/>
              </w:rPr>
            </w:pPr>
            <w:r>
              <w:rPr>
                <w:lang w:eastAsia="zh-CN"/>
              </w:rPr>
              <w:t>D-FR1-A.2.3-11</w:t>
            </w:r>
          </w:p>
        </w:tc>
        <w:tc>
          <w:tcPr>
            <w:tcW w:w="1255" w:type="dxa"/>
            <w:vAlign w:val="center"/>
          </w:tcPr>
          <w:p w14:paraId="4622F4DA" w14:textId="77777777" w:rsidR="00241417" w:rsidRPr="0039343F" w:rsidRDefault="00241417" w:rsidP="003A71DE">
            <w:pPr>
              <w:pStyle w:val="TAC"/>
            </w:pPr>
            <w:r w:rsidRPr="0039343F">
              <w:t>pos1</w:t>
            </w:r>
          </w:p>
        </w:tc>
        <w:tc>
          <w:tcPr>
            <w:tcW w:w="1134" w:type="dxa"/>
            <w:vAlign w:val="center"/>
          </w:tcPr>
          <w:p w14:paraId="4618170D" w14:textId="77777777" w:rsidR="00241417" w:rsidRPr="0039343F" w:rsidRDefault="00241417" w:rsidP="003A71DE">
            <w:pPr>
              <w:pStyle w:val="TAC"/>
            </w:pPr>
            <w:r w:rsidRPr="0039343F">
              <w:t>11.3</w:t>
            </w:r>
          </w:p>
        </w:tc>
      </w:tr>
      <w:tr w:rsidR="00241417" w:rsidRPr="0039343F" w14:paraId="69E5BB9A" w14:textId="77777777" w:rsidTr="003A71DE">
        <w:trPr>
          <w:cantSplit/>
          <w:jc w:val="center"/>
        </w:trPr>
        <w:tc>
          <w:tcPr>
            <w:tcW w:w="1007" w:type="dxa"/>
            <w:vMerge/>
            <w:vAlign w:val="center"/>
          </w:tcPr>
          <w:p w14:paraId="1DCC242F" w14:textId="77777777" w:rsidR="00241417" w:rsidRPr="0039343F" w:rsidRDefault="00241417" w:rsidP="003A71DE">
            <w:pPr>
              <w:pStyle w:val="TAC"/>
            </w:pPr>
          </w:p>
        </w:tc>
        <w:tc>
          <w:tcPr>
            <w:tcW w:w="1093" w:type="dxa"/>
            <w:vMerge w:val="restart"/>
            <w:tcBorders>
              <w:top w:val="single" w:sz="4" w:space="0" w:color="auto"/>
            </w:tcBorders>
            <w:vAlign w:val="center"/>
          </w:tcPr>
          <w:p w14:paraId="3B94E01D" w14:textId="77777777" w:rsidR="00241417" w:rsidRPr="0039343F" w:rsidRDefault="00241417" w:rsidP="003A71DE">
            <w:pPr>
              <w:pStyle w:val="TAC"/>
            </w:pPr>
            <w:r w:rsidRPr="0039343F">
              <w:t>8</w:t>
            </w:r>
          </w:p>
        </w:tc>
        <w:tc>
          <w:tcPr>
            <w:tcW w:w="1985" w:type="dxa"/>
            <w:vAlign w:val="center"/>
          </w:tcPr>
          <w:p w14:paraId="5966857C" w14:textId="77777777" w:rsidR="00241417" w:rsidRPr="0039343F" w:rsidRDefault="00241417" w:rsidP="003A71DE">
            <w:pPr>
              <w:pStyle w:val="TAC"/>
            </w:pPr>
            <w:r w:rsidRPr="0039343F">
              <w:t>TDLB100-400 Low</w:t>
            </w:r>
          </w:p>
        </w:tc>
        <w:tc>
          <w:tcPr>
            <w:tcW w:w="1580" w:type="dxa"/>
            <w:vAlign w:val="center"/>
          </w:tcPr>
          <w:p w14:paraId="4D1BD4CA" w14:textId="77777777" w:rsidR="00241417" w:rsidRPr="0039343F" w:rsidRDefault="00241417" w:rsidP="003A71DE">
            <w:pPr>
              <w:pStyle w:val="TAC"/>
              <w:rPr>
                <w:lang w:eastAsia="zh-CN"/>
              </w:rPr>
            </w:pPr>
            <w:r>
              <w:rPr>
                <w:lang w:eastAsia="zh-CN"/>
              </w:rPr>
              <w:t>D-FR1-A.2.1-11</w:t>
            </w:r>
          </w:p>
        </w:tc>
        <w:tc>
          <w:tcPr>
            <w:tcW w:w="1255" w:type="dxa"/>
            <w:vAlign w:val="center"/>
          </w:tcPr>
          <w:p w14:paraId="3FBF350E" w14:textId="77777777" w:rsidR="00241417" w:rsidRPr="0039343F" w:rsidRDefault="00241417" w:rsidP="003A71DE">
            <w:pPr>
              <w:pStyle w:val="TAC"/>
            </w:pPr>
            <w:r w:rsidRPr="0039343F">
              <w:t>pos1</w:t>
            </w:r>
          </w:p>
        </w:tc>
        <w:tc>
          <w:tcPr>
            <w:tcW w:w="1134" w:type="dxa"/>
            <w:vAlign w:val="center"/>
          </w:tcPr>
          <w:p w14:paraId="2563349A" w14:textId="77777777" w:rsidR="00241417" w:rsidRPr="0039343F" w:rsidRDefault="00241417" w:rsidP="003A71DE">
            <w:pPr>
              <w:pStyle w:val="TAC"/>
            </w:pPr>
            <w:r w:rsidRPr="0039343F">
              <w:t>-5.6</w:t>
            </w:r>
          </w:p>
        </w:tc>
      </w:tr>
      <w:tr w:rsidR="00241417" w:rsidRPr="0039343F" w14:paraId="2F2DE28C" w14:textId="77777777" w:rsidTr="003A71DE">
        <w:trPr>
          <w:cantSplit/>
          <w:jc w:val="center"/>
        </w:trPr>
        <w:tc>
          <w:tcPr>
            <w:tcW w:w="1007" w:type="dxa"/>
            <w:vMerge/>
            <w:vAlign w:val="center"/>
          </w:tcPr>
          <w:p w14:paraId="2D5B03F9" w14:textId="77777777" w:rsidR="00241417" w:rsidRPr="0039343F" w:rsidRDefault="00241417" w:rsidP="003A71DE">
            <w:pPr>
              <w:pStyle w:val="TAC"/>
            </w:pPr>
          </w:p>
        </w:tc>
        <w:tc>
          <w:tcPr>
            <w:tcW w:w="1093" w:type="dxa"/>
            <w:vMerge/>
            <w:vAlign w:val="center"/>
          </w:tcPr>
          <w:p w14:paraId="17B4390F" w14:textId="77777777" w:rsidR="00241417" w:rsidRPr="0039343F" w:rsidRDefault="00241417" w:rsidP="003A71DE">
            <w:pPr>
              <w:pStyle w:val="TAC"/>
            </w:pPr>
          </w:p>
        </w:tc>
        <w:tc>
          <w:tcPr>
            <w:tcW w:w="1985" w:type="dxa"/>
            <w:vAlign w:val="center"/>
          </w:tcPr>
          <w:p w14:paraId="77FDA081" w14:textId="77777777" w:rsidR="00241417" w:rsidRPr="0039343F" w:rsidRDefault="00241417" w:rsidP="003A71DE">
            <w:pPr>
              <w:pStyle w:val="TAC"/>
            </w:pPr>
            <w:r w:rsidRPr="0039343F">
              <w:t>TDLC300-100 Low</w:t>
            </w:r>
          </w:p>
        </w:tc>
        <w:tc>
          <w:tcPr>
            <w:tcW w:w="1580" w:type="dxa"/>
            <w:vAlign w:val="center"/>
          </w:tcPr>
          <w:p w14:paraId="58036D92" w14:textId="77777777" w:rsidR="00241417" w:rsidRPr="0039343F" w:rsidRDefault="00241417" w:rsidP="003A71DE">
            <w:pPr>
              <w:pStyle w:val="TAC"/>
              <w:rPr>
                <w:lang w:eastAsia="zh-CN"/>
              </w:rPr>
            </w:pPr>
            <w:r>
              <w:rPr>
                <w:lang w:eastAsia="zh-CN"/>
              </w:rPr>
              <w:t>D-FR1-A.2.3-11</w:t>
            </w:r>
          </w:p>
        </w:tc>
        <w:tc>
          <w:tcPr>
            <w:tcW w:w="1255" w:type="dxa"/>
            <w:vAlign w:val="center"/>
          </w:tcPr>
          <w:p w14:paraId="168F6BDC" w14:textId="77777777" w:rsidR="00241417" w:rsidRPr="0039343F" w:rsidRDefault="00241417" w:rsidP="003A71DE">
            <w:pPr>
              <w:pStyle w:val="TAC"/>
            </w:pPr>
            <w:r w:rsidRPr="0039343F">
              <w:t>pos1</w:t>
            </w:r>
          </w:p>
        </w:tc>
        <w:tc>
          <w:tcPr>
            <w:tcW w:w="1134" w:type="dxa"/>
            <w:vAlign w:val="center"/>
          </w:tcPr>
          <w:p w14:paraId="17298707" w14:textId="77777777" w:rsidR="00241417" w:rsidRPr="0039343F" w:rsidRDefault="00241417" w:rsidP="003A71DE">
            <w:pPr>
              <w:pStyle w:val="TAC"/>
            </w:pPr>
            <w:r w:rsidRPr="0039343F">
              <w:t>7.0</w:t>
            </w:r>
          </w:p>
        </w:tc>
      </w:tr>
    </w:tbl>
    <w:p w14:paraId="0E58E7E2" w14:textId="77777777" w:rsidR="00241417" w:rsidRPr="0039343F" w:rsidRDefault="00241417" w:rsidP="00241417">
      <w:pPr>
        <w:rPr>
          <w:lang w:eastAsia="zh-CN"/>
        </w:rPr>
      </w:pPr>
    </w:p>
    <w:p w14:paraId="03C48679" w14:textId="77777777" w:rsidR="00241417" w:rsidRPr="00B054F4" w:rsidRDefault="00241417" w:rsidP="00241417">
      <w:pPr>
        <w:pStyle w:val="TH"/>
        <w:rPr>
          <w:lang w:eastAsia="zh-CN"/>
        </w:rPr>
      </w:pPr>
      <w:r w:rsidRPr="00B054F4">
        <w:t>Table 8.1.2.1.2-12: Minimum requirements for PUSCH</w:t>
      </w:r>
      <w:r w:rsidRPr="00B054F4">
        <w:rPr>
          <w:rFonts w:hint="eastAsia"/>
          <w:lang w:eastAsia="zh-CN"/>
        </w:rPr>
        <w:t xml:space="preserve"> </w:t>
      </w:r>
      <w:r w:rsidRPr="00B054F4">
        <w:rPr>
          <w:lang w:eastAsia="zh-CN"/>
        </w:rPr>
        <w:t>with</w:t>
      </w:r>
      <w:r w:rsidRPr="00B054F4">
        <w:rPr>
          <w:rFonts w:hint="eastAsia"/>
          <w:lang w:eastAsia="zh-CN"/>
        </w:rPr>
        <w:t xml:space="preserve"> 70% of maximum throughput</w:t>
      </w:r>
      <w:r w:rsidRPr="00B054F4">
        <w:t>, Type B, 20 MHz channel bandwidth</w:t>
      </w:r>
      <w:r w:rsidRPr="00B054F4">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80"/>
        <w:gridCol w:w="1255"/>
        <w:gridCol w:w="1134"/>
      </w:tblGrid>
      <w:tr w:rsidR="00241417" w:rsidRPr="0039343F" w14:paraId="61147AD0" w14:textId="77777777" w:rsidTr="003A71DE">
        <w:trPr>
          <w:cantSplit/>
          <w:jc w:val="center"/>
        </w:trPr>
        <w:tc>
          <w:tcPr>
            <w:tcW w:w="1007" w:type="dxa"/>
            <w:tcBorders>
              <w:bottom w:val="single" w:sz="4" w:space="0" w:color="auto"/>
            </w:tcBorders>
            <w:vAlign w:val="center"/>
          </w:tcPr>
          <w:p w14:paraId="25677A5E"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0DCE3AA6" w14:textId="77777777" w:rsidR="00241417" w:rsidRPr="0039343F" w:rsidRDefault="00241417" w:rsidP="003A71DE">
            <w:pPr>
              <w:pStyle w:val="TAH"/>
            </w:pPr>
            <w:r w:rsidRPr="0039343F">
              <w:t xml:space="preserve">Number of </w:t>
            </w:r>
            <w:r>
              <w:t>Demodulation Branches</w:t>
            </w:r>
          </w:p>
        </w:tc>
        <w:tc>
          <w:tcPr>
            <w:tcW w:w="1985" w:type="dxa"/>
            <w:vAlign w:val="center"/>
          </w:tcPr>
          <w:p w14:paraId="3BACA542" w14:textId="7148B9FA" w:rsidR="00241417" w:rsidRPr="0039343F" w:rsidRDefault="00241417" w:rsidP="003A71DE">
            <w:pPr>
              <w:pStyle w:val="TAH"/>
            </w:pPr>
            <w:r w:rsidRPr="0039343F">
              <w:t xml:space="preserve">Propagation conditions and correlation matrix (Annex </w:t>
            </w:r>
            <w:r>
              <w:t>TBA</w:t>
            </w:r>
            <w:r w:rsidRPr="0039343F">
              <w:t>)</w:t>
            </w:r>
          </w:p>
        </w:tc>
        <w:tc>
          <w:tcPr>
            <w:tcW w:w="1580" w:type="dxa"/>
            <w:vAlign w:val="center"/>
          </w:tcPr>
          <w:p w14:paraId="694C9C3B" w14:textId="77777777" w:rsidR="00241417" w:rsidRPr="0039343F" w:rsidRDefault="00241417" w:rsidP="003A71DE">
            <w:pPr>
              <w:pStyle w:val="TAH"/>
            </w:pPr>
            <w:r w:rsidRPr="0039343F">
              <w:t>FRC</w:t>
            </w:r>
            <w:r w:rsidRPr="0039343F">
              <w:br/>
              <w:t>(Annex A)</w:t>
            </w:r>
          </w:p>
        </w:tc>
        <w:tc>
          <w:tcPr>
            <w:tcW w:w="1255" w:type="dxa"/>
            <w:vAlign w:val="center"/>
          </w:tcPr>
          <w:p w14:paraId="3B1279AC" w14:textId="77777777" w:rsidR="00241417" w:rsidRPr="0039343F" w:rsidRDefault="00241417" w:rsidP="003A71DE">
            <w:pPr>
              <w:pStyle w:val="TAH"/>
            </w:pPr>
            <w:r w:rsidRPr="0039343F">
              <w:t>Additional DM-RS position</w:t>
            </w:r>
          </w:p>
        </w:tc>
        <w:tc>
          <w:tcPr>
            <w:tcW w:w="1134" w:type="dxa"/>
            <w:vAlign w:val="center"/>
          </w:tcPr>
          <w:p w14:paraId="4ED28716" w14:textId="77777777" w:rsidR="00241417" w:rsidRPr="0039343F" w:rsidRDefault="00241417" w:rsidP="003A71DE">
            <w:pPr>
              <w:pStyle w:val="TAH"/>
            </w:pPr>
            <w:r w:rsidRPr="0039343F">
              <w:t>SNR</w:t>
            </w:r>
          </w:p>
          <w:p w14:paraId="7D953B65" w14:textId="77777777" w:rsidR="00241417" w:rsidRPr="0039343F" w:rsidRDefault="00241417" w:rsidP="003A71DE">
            <w:pPr>
              <w:pStyle w:val="TAH"/>
            </w:pPr>
            <w:r w:rsidRPr="0039343F">
              <w:t>(dB)</w:t>
            </w:r>
          </w:p>
        </w:tc>
      </w:tr>
      <w:tr w:rsidR="00241417" w:rsidRPr="0039343F" w14:paraId="755E8407" w14:textId="77777777" w:rsidTr="003A71DE">
        <w:trPr>
          <w:cantSplit/>
          <w:jc w:val="center"/>
        </w:trPr>
        <w:tc>
          <w:tcPr>
            <w:tcW w:w="1007" w:type="dxa"/>
            <w:vMerge w:val="restart"/>
            <w:vAlign w:val="center"/>
          </w:tcPr>
          <w:p w14:paraId="69B877C5" w14:textId="77777777" w:rsidR="00241417" w:rsidRPr="0039343F" w:rsidRDefault="00241417" w:rsidP="003A71DE">
            <w:pPr>
              <w:pStyle w:val="TAC"/>
            </w:pPr>
            <w:r w:rsidRPr="0039343F">
              <w:t>1</w:t>
            </w:r>
          </w:p>
        </w:tc>
        <w:tc>
          <w:tcPr>
            <w:tcW w:w="1093" w:type="dxa"/>
            <w:vMerge w:val="restart"/>
            <w:vAlign w:val="center"/>
          </w:tcPr>
          <w:p w14:paraId="64D7A438" w14:textId="77777777" w:rsidR="00241417" w:rsidRPr="0039343F" w:rsidRDefault="00241417" w:rsidP="003A71DE">
            <w:pPr>
              <w:pStyle w:val="TAC"/>
            </w:pPr>
            <w:r w:rsidRPr="0039343F">
              <w:t>2</w:t>
            </w:r>
          </w:p>
        </w:tc>
        <w:tc>
          <w:tcPr>
            <w:tcW w:w="1985" w:type="dxa"/>
            <w:vAlign w:val="center"/>
          </w:tcPr>
          <w:p w14:paraId="3FC3E883" w14:textId="77777777" w:rsidR="00241417" w:rsidRPr="0039343F" w:rsidRDefault="00241417" w:rsidP="003A71DE">
            <w:pPr>
              <w:pStyle w:val="TAC"/>
            </w:pPr>
            <w:r w:rsidRPr="0039343F">
              <w:t>TDLB100-400 Low</w:t>
            </w:r>
          </w:p>
        </w:tc>
        <w:tc>
          <w:tcPr>
            <w:tcW w:w="1580" w:type="dxa"/>
            <w:vAlign w:val="center"/>
          </w:tcPr>
          <w:p w14:paraId="59BBC035" w14:textId="77777777" w:rsidR="00241417" w:rsidRPr="0039343F" w:rsidRDefault="00241417" w:rsidP="003A71DE">
            <w:pPr>
              <w:pStyle w:val="TAC"/>
            </w:pPr>
            <w:r>
              <w:rPr>
                <w:lang w:eastAsia="zh-CN"/>
              </w:rPr>
              <w:t>D-FR1-A.2.1-5</w:t>
            </w:r>
          </w:p>
        </w:tc>
        <w:tc>
          <w:tcPr>
            <w:tcW w:w="1255" w:type="dxa"/>
            <w:vAlign w:val="center"/>
          </w:tcPr>
          <w:p w14:paraId="12C98A32" w14:textId="77777777" w:rsidR="00241417" w:rsidRPr="0039343F" w:rsidRDefault="00241417" w:rsidP="003A71DE">
            <w:pPr>
              <w:pStyle w:val="TAC"/>
            </w:pPr>
            <w:r w:rsidRPr="0039343F">
              <w:t>pos1</w:t>
            </w:r>
          </w:p>
        </w:tc>
        <w:tc>
          <w:tcPr>
            <w:tcW w:w="1134" w:type="dxa"/>
            <w:vAlign w:val="center"/>
          </w:tcPr>
          <w:p w14:paraId="58C76AF1" w14:textId="77777777" w:rsidR="00241417" w:rsidRPr="0039343F" w:rsidRDefault="00241417" w:rsidP="003A71DE">
            <w:pPr>
              <w:pStyle w:val="TAC"/>
            </w:pPr>
            <w:r w:rsidRPr="0039343F">
              <w:t>-2.9</w:t>
            </w:r>
          </w:p>
        </w:tc>
      </w:tr>
      <w:tr w:rsidR="00241417" w:rsidRPr="0039343F" w14:paraId="03285676" w14:textId="77777777" w:rsidTr="003A71DE">
        <w:trPr>
          <w:cantSplit/>
          <w:jc w:val="center"/>
        </w:trPr>
        <w:tc>
          <w:tcPr>
            <w:tcW w:w="1007" w:type="dxa"/>
            <w:vMerge/>
            <w:vAlign w:val="center"/>
          </w:tcPr>
          <w:p w14:paraId="45FBF0A3" w14:textId="77777777" w:rsidR="00241417" w:rsidRPr="0039343F" w:rsidRDefault="00241417" w:rsidP="003A71DE">
            <w:pPr>
              <w:pStyle w:val="TAC"/>
            </w:pPr>
          </w:p>
        </w:tc>
        <w:tc>
          <w:tcPr>
            <w:tcW w:w="1093" w:type="dxa"/>
            <w:vMerge/>
            <w:vAlign w:val="center"/>
          </w:tcPr>
          <w:p w14:paraId="6D4B6CDC" w14:textId="77777777" w:rsidR="00241417" w:rsidRPr="0039343F" w:rsidRDefault="00241417" w:rsidP="003A71DE">
            <w:pPr>
              <w:pStyle w:val="TAC"/>
            </w:pPr>
          </w:p>
        </w:tc>
        <w:tc>
          <w:tcPr>
            <w:tcW w:w="1985" w:type="dxa"/>
            <w:vAlign w:val="center"/>
          </w:tcPr>
          <w:p w14:paraId="019C375A" w14:textId="77777777" w:rsidR="00241417" w:rsidRPr="0039343F" w:rsidRDefault="00241417" w:rsidP="003A71DE">
            <w:pPr>
              <w:pStyle w:val="TAC"/>
            </w:pPr>
            <w:r w:rsidRPr="0039343F">
              <w:t>TDLC300-100 Low</w:t>
            </w:r>
          </w:p>
        </w:tc>
        <w:tc>
          <w:tcPr>
            <w:tcW w:w="1580" w:type="dxa"/>
            <w:vAlign w:val="center"/>
          </w:tcPr>
          <w:p w14:paraId="61041BE2" w14:textId="77777777" w:rsidR="00241417" w:rsidRPr="0039343F" w:rsidRDefault="00241417" w:rsidP="003A71DE">
            <w:pPr>
              <w:pStyle w:val="TAC"/>
            </w:pPr>
            <w:r>
              <w:rPr>
                <w:lang w:eastAsia="zh-CN"/>
              </w:rPr>
              <w:t>D-FR1-A.2.3-5</w:t>
            </w:r>
          </w:p>
        </w:tc>
        <w:tc>
          <w:tcPr>
            <w:tcW w:w="1255" w:type="dxa"/>
            <w:vAlign w:val="center"/>
          </w:tcPr>
          <w:p w14:paraId="75AEA309" w14:textId="77777777" w:rsidR="00241417" w:rsidRPr="0039343F" w:rsidRDefault="00241417" w:rsidP="003A71DE">
            <w:pPr>
              <w:pStyle w:val="TAC"/>
            </w:pPr>
            <w:r w:rsidRPr="0039343F">
              <w:t>pos1</w:t>
            </w:r>
          </w:p>
        </w:tc>
        <w:tc>
          <w:tcPr>
            <w:tcW w:w="1134" w:type="dxa"/>
            <w:vAlign w:val="center"/>
          </w:tcPr>
          <w:p w14:paraId="47B19830" w14:textId="77777777" w:rsidR="00241417" w:rsidRPr="0039343F" w:rsidRDefault="00241417" w:rsidP="003A71DE">
            <w:pPr>
              <w:pStyle w:val="TAC"/>
            </w:pPr>
            <w:r w:rsidRPr="0039343F">
              <w:t>10.1</w:t>
            </w:r>
          </w:p>
        </w:tc>
      </w:tr>
      <w:tr w:rsidR="00241417" w:rsidRPr="0039343F" w14:paraId="6A9CA19B" w14:textId="77777777" w:rsidTr="003A71DE">
        <w:trPr>
          <w:cantSplit/>
          <w:jc w:val="center"/>
        </w:trPr>
        <w:tc>
          <w:tcPr>
            <w:tcW w:w="1007" w:type="dxa"/>
            <w:vMerge/>
            <w:vAlign w:val="center"/>
          </w:tcPr>
          <w:p w14:paraId="3D89AB5C" w14:textId="77777777" w:rsidR="00241417" w:rsidRPr="0039343F" w:rsidRDefault="00241417" w:rsidP="003A71DE">
            <w:pPr>
              <w:pStyle w:val="TAC"/>
            </w:pPr>
          </w:p>
        </w:tc>
        <w:tc>
          <w:tcPr>
            <w:tcW w:w="1093" w:type="dxa"/>
            <w:vMerge/>
            <w:tcBorders>
              <w:bottom w:val="single" w:sz="4" w:space="0" w:color="auto"/>
            </w:tcBorders>
            <w:vAlign w:val="center"/>
          </w:tcPr>
          <w:p w14:paraId="657FAEA1" w14:textId="77777777" w:rsidR="00241417" w:rsidRPr="0039343F" w:rsidRDefault="00241417" w:rsidP="003A71DE">
            <w:pPr>
              <w:pStyle w:val="TAC"/>
            </w:pPr>
          </w:p>
        </w:tc>
        <w:tc>
          <w:tcPr>
            <w:tcW w:w="1985" w:type="dxa"/>
            <w:vAlign w:val="center"/>
          </w:tcPr>
          <w:p w14:paraId="6E5B4EE5" w14:textId="77777777" w:rsidR="00241417" w:rsidRPr="0039343F" w:rsidRDefault="00241417" w:rsidP="003A71DE">
            <w:pPr>
              <w:pStyle w:val="TAC"/>
            </w:pPr>
            <w:r w:rsidRPr="0039343F">
              <w:t>TDLA30-10 Low</w:t>
            </w:r>
          </w:p>
        </w:tc>
        <w:tc>
          <w:tcPr>
            <w:tcW w:w="1580" w:type="dxa"/>
            <w:vAlign w:val="center"/>
          </w:tcPr>
          <w:p w14:paraId="3FEEA36C" w14:textId="77777777" w:rsidR="00241417" w:rsidRPr="0039343F" w:rsidRDefault="00241417" w:rsidP="003A71DE">
            <w:pPr>
              <w:pStyle w:val="TAC"/>
            </w:pPr>
            <w:r>
              <w:rPr>
                <w:lang w:eastAsia="zh-CN"/>
              </w:rPr>
              <w:t>D-FR1-A.2.4-5</w:t>
            </w:r>
          </w:p>
        </w:tc>
        <w:tc>
          <w:tcPr>
            <w:tcW w:w="1255" w:type="dxa"/>
            <w:vAlign w:val="center"/>
          </w:tcPr>
          <w:p w14:paraId="4100465E" w14:textId="77777777" w:rsidR="00241417" w:rsidRPr="0039343F" w:rsidRDefault="00241417" w:rsidP="003A71DE">
            <w:pPr>
              <w:pStyle w:val="TAC"/>
            </w:pPr>
            <w:r w:rsidRPr="0039343F">
              <w:t>pos1</w:t>
            </w:r>
          </w:p>
        </w:tc>
        <w:tc>
          <w:tcPr>
            <w:tcW w:w="1134" w:type="dxa"/>
            <w:vAlign w:val="center"/>
          </w:tcPr>
          <w:p w14:paraId="42985FB6" w14:textId="77777777" w:rsidR="00241417" w:rsidRPr="0039343F" w:rsidRDefault="00241417" w:rsidP="003A71DE">
            <w:pPr>
              <w:pStyle w:val="TAC"/>
            </w:pPr>
            <w:r w:rsidRPr="0039343F">
              <w:t>12.5</w:t>
            </w:r>
          </w:p>
        </w:tc>
      </w:tr>
      <w:tr w:rsidR="00241417" w:rsidRPr="0039343F" w14:paraId="5F78FDF6" w14:textId="77777777" w:rsidTr="003A71DE">
        <w:trPr>
          <w:cantSplit/>
          <w:jc w:val="center"/>
        </w:trPr>
        <w:tc>
          <w:tcPr>
            <w:tcW w:w="1007" w:type="dxa"/>
            <w:vMerge/>
            <w:vAlign w:val="center"/>
          </w:tcPr>
          <w:p w14:paraId="15F0A502" w14:textId="77777777" w:rsidR="00241417" w:rsidRPr="0039343F" w:rsidRDefault="00241417" w:rsidP="003A71DE">
            <w:pPr>
              <w:pStyle w:val="TAC"/>
            </w:pPr>
          </w:p>
        </w:tc>
        <w:tc>
          <w:tcPr>
            <w:tcW w:w="1093" w:type="dxa"/>
            <w:vMerge w:val="restart"/>
            <w:vAlign w:val="center"/>
          </w:tcPr>
          <w:p w14:paraId="4BF6EE34" w14:textId="77777777" w:rsidR="00241417" w:rsidRPr="0039343F" w:rsidRDefault="00241417" w:rsidP="003A71DE">
            <w:pPr>
              <w:pStyle w:val="TAC"/>
            </w:pPr>
            <w:r w:rsidRPr="0039343F">
              <w:t>4</w:t>
            </w:r>
          </w:p>
        </w:tc>
        <w:tc>
          <w:tcPr>
            <w:tcW w:w="1985" w:type="dxa"/>
            <w:vAlign w:val="center"/>
          </w:tcPr>
          <w:p w14:paraId="5B1D2EBC" w14:textId="77777777" w:rsidR="00241417" w:rsidRPr="0039343F" w:rsidRDefault="00241417" w:rsidP="003A71DE">
            <w:pPr>
              <w:pStyle w:val="TAC"/>
            </w:pPr>
            <w:r w:rsidRPr="0039343F">
              <w:t>TDLB100-400 Low</w:t>
            </w:r>
          </w:p>
        </w:tc>
        <w:tc>
          <w:tcPr>
            <w:tcW w:w="1580" w:type="dxa"/>
            <w:vAlign w:val="center"/>
          </w:tcPr>
          <w:p w14:paraId="0996C714" w14:textId="77777777" w:rsidR="00241417" w:rsidRPr="0039343F" w:rsidRDefault="00241417" w:rsidP="003A71DE">
            <w:pPr>
              <w:pStyle w:val="TAC"/>
            </w:pPr>
            <w:r>
              <w:rPr>
                <w:lang w:eastAsia="zh-CN"/>
              </w:rPr>
              <w:t>D-FR1-A.2.1-5</w:t>
            </w:r>
          </w:p>
        </w:tc>
        <w:tc>
          <w:tcPr>
            <w:tcW w:w="1255" w:type="dxa"/>
            <w:vAlign w:val="center"/>
          </w:tcPr>
          <w:p w14:paraId="78600981" w14:textId="77777777" w:rsidR="00241417" w:rsidRPr="0039343F" w:rsidRDefault="00241417" w:rsidP="003A71DE">
            <w:pPr>
              <w:pStyle w:val="TAC"/>
            </w:pPr>
            <w:r w:rsidRPr="0039343F">
              <w:t>pos1</w:t>
            </w:r>
          </w:p>
        </w:tc>
        <w:tc>
          <w:tcPr>
            <w:tcW w:w="1134" w:type="dxa"/>
            <w:vAlign w:val="center"/>
          </w:tcPr>
          <w:p w14:paraId="17597F65" w14:textId="77777777" w:rsidR="00241417" w:rsidRPr="0039343F" w:rsidRDefault="00241417" w:rsidP="003A71DE">
            <w:pPr>
              <w:pStyle w:val="TAC"/>
            </w:pPr>
            <w:r w:rsidRPr="0039343F">
              <w:t>-6.0</w:t>
            </w:r>
          </w:p>
        </w:tc>
      </w:tr>
      <w:tr w:rsidR="00241417" w:rsidRPr="0039343F" w14:paraId="2E72880E" w14:textId="77777777" w:rsidTr="003A71DE">
        <w:trPr>
          <w:cantSplit/>
          <w:jc w:val="center"/>
        </w:trPr>
        <w:tc>
          <w:tcPr>
            <w:tcW w:w="1007" w:type="dxa"/>
            <w:vMerge/>
            <w:vAlign w:val="center"/>
          </w:tcPr>
          <w:p w14:paraId="3FB3B004" w14:textId="77777777" w:rsidR="00241417" w:rsidRPr="0039343F" w:rsidRDefault="00241417" w:rsidP="003A71DE">
            <w:pPr>
              <w:pStyle w:val="TAC"/>
            </w:pPr>
          </w:p>
        </w:tc>
        <w:tc>
          <w:tcPr>
            <w:tcW w:w="1093" w:type="dxa"/>
            <w:vMerge/>
            <w:vAlign w:val="center"/>
          </w:tcPr>
          <w:p w14:paraId="6B7467A3" w14:textId="77777777" w:rsidR="00241417" w:rsidRPr="0039343F" w:rsidRDefault="00241417" w:rsidP="003A71DE">
            <w:pPr>
              <w:pStyle w:val="TAC"/>
            </w:pPr>
          </w:p>
        </w:tc>
        <w:tc>
          <w:tcPr>
            <w:tcW w:w="1985" w:type="dxa"/>
            <w:vAlign w:val="center"/>
          </w:tcPr>
          <w:p w14:paraId="6BB8BE6A" w14:textId="77777777" w:rsidR="00241417" w:rsidRPr="0039343F" w:rsidRDefault="00241417" w:rsidP="003A71DE">
            <w:pPr>
              <w:pStyle w:val="TAC"/>
            </w:pPr>
            <w:r w:rsidRPr="0039343F">
              <w:t>TDLC300-100 Low</w:t>
            </w:r>
          </w:p>
        </w:tc>
        <w:tc>
          <w:tcPr>
            <w:tcW w:w="1580" w:type="dxa"/>
            <w:vAlign w:val="center"/>
          </w:tcPr>
          <w:p w14:paraId="296DDF6C" w14:textId="77777777" w:rsidR="00241417" w:rsidRPr="0039343F" w:rsidRDefault="00241417" w:rsidP="003A71DE">
            <w:pPr>
              <w:pStyle w:val="TAC"/>
            </w:pPr>
            <w:r>
              <w:rPr>
                <w:lang w:eastAsia="zh-CN"/>
              </w:rPr>
              <w:t>D-FR1-A.2.3-5</w:t>
            </w:r>
          </w:p>
        </w:tc>
        <w:tc>
          <w:tcPr>
            <w:tcW w:w="1255" w:type="dxa"/>
            <w:vAlign w:val="center"/>
          </w:tcPr>
          <w:p w14:paraId="7720EFE6" w14:textId="77777777" w:rsidR="00241417" w:rsidRPr="0039343F" w:rsidRDefault="00241417" w:rsidP="003A71DE">
            <w:pPr>
              <w:pStyle w:val="TAC"/>
            </w:pPr>
            <w:r w:rsidRPr="0039343F">
              <w:t>pos1</w:t>
            </w:r>
          </w:p>
        </w:tc>
        <w:tc>
          <w:tcPr>
            <w:tcW w:w="1134" w:type="dxa"/>
            <w:vAlign w:val="center"/>
          </w:tcPr>
          <w:p w14:paraId="45A03733" w14:textId="77777777" w:rsidR="00241417" w:rsidRPr="0039343F" w:rsidRDefault="00241417" w:rsidP="003A71DE">
            <w:pPr>
              <w:pStyle w:val="TAC"/>
            </w:pPr>
            <w:r w:rsidRPr="0039343F">
              <w:t>6.3</w:t>
            </w:r>
          </w:p>
        </w:tc>
      </w:tr>
      <w:tr w:rsidR="00241417" w:rsidRPr="0039343F" w14:paraId="3869606A" w14:textId="77777777" w:rsidTr="003A71DE">
        <w:trPr>
          <w:cantSplit/>
          <w:jc w:val="center"/>
        </w:trPr>
        <w:tc>
          <w:tcPr>
            <w:tcW w:w="1007" w:type="dxa"/>
            <w:vMerge/>
            <w:vAlign w:val="center"/>
          </w:tcPr>
          <w:p w14:paraId="7ADA4378" w14:textId="77777777" w:rsidR="00241417" w:rsidRPr="0039343F" w:rsidRDefault="00241417" w:rsidP="003A71DE">
            <w:pPr>
              <w:pStyle w:val="TAC"/>
            </w:pPr>
          </w:p>
        </w:tc>
        <w:tc>
          <w:tcPr>
            <w:tcW w:w="1093" w:type="dxa"/>
            <w:vMerge/>
            <w:tcBorders>
              <w:bottom w:val="single" w:sz="4" w:space="0" w:color="auto"/>
            </w:tcBorders>
            <w:vAlign w:val="center"/>
          </w:tcPr>
          <w:p w14:paraId="225B5040" w14:textId="77777777" w:rsidR="00241417" w:rsidRPr="0039343F" w:rsidRDefault="00241417" w:rsidP="003A71DE">
            <w:pPr>
              <w:pStyle w:val="TAC"/>
            </w:pPr>
          </w:p>
        </w:tc>
        <w:tc>
          <w:tcPr>
            <w:tcW w:w="1985" w:type="dxa"/>
            <w:vAlign w:val="center"/>
          </w:tcPr>
          <w:p w14:paraId="24227241" w14:textId="77777777" w:rsidR="00241417" w:rsidRPr="0039343F" w:rsidRDefault="00241417" w:rsidP="003A71DE">
            <w:pPr>
              <w:pStyle w:val="TAC"/>
            </w:pPr>
            <w:r w:rsidRPr="0039343F">
              <w:t>TDLA30-10 Low</w:t>
            </w:r>
          </w:p>
        </w:tc>
        <w:tc>
          <w:tcPr>
            <w:tcW w:w="1580" w:type="dxa"/>
            <w:vAlign w:val="center"/>
          </w:tcPr>
          <w:p w14:paraId="5885FAA2" w14:textId="77777777" w:rsidR="00241417" w:rsidRPr="0039343F" w:rsidRDefault="00241417" w:rsidP="003A71DE">
            <w:pPr>
              <w:pStyle w:val="TAC"/>
            </w:pPr>
            <w:r>
              <w:rPr>
                <w:lang w:eastAsia="zh-CN"/>
              </w:rPr>
              <w:t>D-FR1-A.2.4-5</w:t>
            </w:r>
          </w:p>
        </w:tc>
        <w:tc>
          <w:tcPr>
            <w:tcW w:w="1255" w:type="dxa"/>
            <w:vAlign w:val="center"/>
          </w:tcPr>
          <w:p w14:paraId="26ECFC95" w14:textId="77777777" w:rsidR="00241417" w:rsidRPr="0039343F" w:rsidRDefault="00241417" w:rsidP="003A71DE">
            <w:pPr>
              <w:pStyle w:val="TAC"/>
            </w:pPr>
            <w:r w:rsidRPr="0039343F">
              <w:t>pos1</w:t>
            </w:r>
          </w:p>
        </w:tc>
        <w:tc>
          <w:tcPr>
            <w:tcW w:w="1134" w:type="dxa"/>
            <w:vAlign w:val="center"/>
          </w:tcPr>
          <w:p w14:paraId="6CA2B0E6" w14:textId="77777777" w:rsidR="00241417" w:rsidRPr="0039343F" w:rsidRDefault="00241417" w:rsidP="003A71DE">
            <w:pPr>
              <w:pStyle w:val="TAC"/>
            </w:pPr>
            <w:r w:rsidRPr="0039343F">
              <w:t>8.6</w:t>
            </w:r>
          </w:p>
        </w:tc>
      </w:tr>
      <w:tr w:rsidR="00241417" w:rsidRPr="0039343F" w14:paraId="36FB6C37" w14:textId="77777777" w:rsidTr="003A71DE">
        <w:trPr>
          <w:cantSplit/>
          <w:jc w:val="center"/>
        </w:trPr>
        <w:tc>
          <w:tcPr>
            <w:tcW w:w="1007" w:type="dxa"/>
            <w:vMerge/>
            <w:vAlign w:val="center"/>
          </w:tcPr>
          <w:p w14:paraId="3DA49BE6" w14:textId="77777777" w:rsidR="00241417" w:rsidRPr="0039343F" w:rsidRDefault="00241417" w:rsidP="003A71DE">
            <w:pPr>
              <w:pStyle w:val="TAC"/>
            </w:pPr>
          </w:p>
        </w:tc>
        <w:tc>
          <w:tcPr>
            <w:tcW w:w="1093" w:type="dxa"/>
            <w:vMerge w:val="restart"/>
            <w:vAlign w:val="center"/>
          </w:tcPr>
          <w:p w14:paraId="6EFD94C7" w14:textId="77777777" w:rsidR="00241417" w:rsidRPr="0039343F" w:rsidRDefault="00241417" w:rsidP="003A71DE">
            <w:pPr>
              <w:pStyle w:val="TAC"/>
            </w:pPr>
            <w:r w:rsidRPr="0039343F">
              <w:t>8</w:t>
            </w:r>
          </w:p>
        </w:tc>
        <w:tc>
          <w:tcPr>
            <w:tcW w:w="1985" w:type="dxa"/>
            <w:vAlign w:val="center"/>
          </w:tcPr>
          <w:p w14:paraId="11418869" w14:textId="77777777" w:rsidR="00241417" w:rsidRPr="0039343F" w:rsidRDefault="00241417" w:rsidP="003A71DE">
            <w:pPr>
              <w:pStyle w:val="TAC"/>
            </w:pPr>
            <w:r w:rsidRPr="0039343F">
              <w:t>TDLB100-400 Low</w:t>
            </w:r>
          </w:p>
        </w:tc>
        <w:tc>
          <w:tcPr>
            <w:tcW w:w="1580" w:type="dxa"/>
            <w:vAlign w:val="center"/>
          </w:tcPr>
          <w:p w14:paraId="1A1AF033" w14:textId="77777777" w:rsidR="00241417" w:rsidRPr="0039343F" w:rsidRDefault="00241417" w:rsidP="003A71DE">
            <w:pPr>
              <w:pStyle w:val="TAC"/>
            </w:pPr>
            <w:r>
              <w:rPr>
                <w:lang w:eastAsia="zh-CN"/>
              </w:rPr>
              <w:t>D-FR1-A.2.1-5</w:t>
            </w:r>
          </w:p>
        </w:tc>
        <w:tc>
          <w:tcPr>
            <w:tcW w:w="1255" w:type="dxa"/>
            <w:vAlign w:val="center"/>
          </w:tcPr>
          <w:p w14:paraId="167D9604" w14:textId="77777777" w:rsidR="00241417" w:rsidRPr="0039343F" w:rsidRDefault="00241417" w:rsidP="003A71DE">
            <w:pPr>
              <w:pStyle w:val="TAC"/>
            </w:pPr>
            <w:r w:rsidRPr="0039343F">
              <w:t>pos1</w:t>
            </w:r>
          </w:p>
        </w:tc>
        <w:tc>
          <w:tcPr>
            <w:tcW w:w="1134" w:type="dxa"/>
            <w:vAlign w:val="center"/>
          </w:tcPr>
          <w:p w14:paraId="6AF0E7D9" w14:textId="77777777" w:rsidR="00241417" w:rsidRPr="0039343F" w:rsidRDefault="00241417" w:rsidP="003A71DE">
            <w:pPr>
              <w:pStyle w:val="TAC"/>
            </w:pPr>
            <w:r w:rsidRPr="0039343F">
              <w:t>-9.0</w:t>
            </w:r>
          </w:p>
        </w:tc>
      </w:tr>
      <w:tr w:rsidR="00241417" w:rsidRPr="0039343F" w14:paraId="67166C28" w14:textId="77777777" w:rsidTr="003A71DE">
        <w:trPr>
          <w:cantSplit/>
          <w:jc w:val="center"/>
        </w:trPr>
        <w:tc>
          <w:tcPr>
            <w:tcW w:w="1007" w:type="dxa"/>
            <w:vMerge/>
            <w:vAlign w:val="center"/>
          </w:tcPr>
          <w:p w14:paraId="66734189" w14:textId="77777777" w:rsidR="00241417" w:rsidRPr="0039343F" w:rsidRDefault="00241417" w:rsidP="003A71DE">
            <w:pPr>
              <w:pStyle w:val="TAC"/>
            </w:pPr>
          </w:p>
        </w:tc>
        <w:tc>
          <w:tcPr>
            <w:tcW w:w="1093" w:type="dxa"/>
            <w:vMerge/>
            <w:vAlign w:val="center"/>
          </w:tcPr>
          <w:p w14:paraId="6EA61084" w14:textId="77777777" w:rsidR="00241417" w:rsidRPr="0039343F" w:rsidRDefault="00241417" w:rsidP="003A71DE">
            <w:pPr>
              <w:pStyle w:val="TAC"/>
            </w:pPr>
          </w:p>
        </w:tc>
        <w:tc>
          <w:tcPr>
            <w:tcW w:w="1985" w:type="dxa"/>
            <w:vAlign w:val="center"/>
          </w:tcPr>
          <w:p w14:paraId="73D4796F" w14:textId="77777777" w:rsidR="00241417" w:rsidRPr="0039343F" w:rsidRDefault="00241417" w:rsidP="003A71DE">
            <w:pPr>
              <w:pStyle w:val="TAC"/>
            </w:pPr>
            <w:r w:rsidRPr="0039343F">
              <w:t>TDLC300-100 Low</w:t>
            </w:r>
          </w:p>
        </w:tc>
        <w:tc>
          <w:tcPr>
            <w:tcW w:w="1580" w:type="dxa"/>
            <w:vAlign w:val="center"/>
          </w:tcPr>
          <w:p w14:paraId="39437D4D" w14:textId="77777777" w:rsidR="00241417" w:rsidRPr="0039343F" w:rsidRDefault="00241417" w:rsidP="003A71DE">
            <w:pPr>
              <w:pStyle w:val="TAC"/>
            </w:pPr>
            <w:r>
              <w:rPr>
                <w:lang w:eastAsia="zh-CN"/>
              </w:rPr>
              <w:t>D-FR1-A.2.3-5</w:t>
            </w:r>
          </w:p>
        </w:tc>
        <w:tc>
          <w:tcPr>
            <w:tcW w:w="1255" w:type="dxa"/>
            <w:vAlign w:val="center"/>
          </w:tcPr>
          <w:p w14:paraId="6D2AD50D" w14:textId="77777777" w:rsidR="00241417" w:rsidRPr="0039343F" w:rsidRDefault="00241417" w:rsidP="003A71DE">
            <w:pPr>
              <w:pStyle w:val="TAC"/>
            </w:pPr>
            <w:r w:rsidRPr="0039343F">
              <w:t>pos1</w:t>
            </w:r>
          </w:p>
        </w:tc>
        <w:tc>
          <w:tcPr>
            <w:tcW w:w="1134" w:type="dxa"/>
            <w:vAlign w:val="center"/>
          </w:tcPr>
          <w:p w14:paraId="1F3C4B03" w14:textId="77777777" w:rsidR="00241417" w:rsidRPr="0039343F" w:rsidRDefault="00241417" w:rsidP="003A71DE">
            <w:pPr>
              <w:pStyle w:val="TAC"/>
            </w:pPr>
            <w:r w:rsidRPr="0039343F">
              <w:t>3.1</w:t>
            </w:r>
          </w:p>
        </w:tc>
      </w:tr>
      <w:tr w:rsidR="00241417" w:rsidRPr="0039343F" w14:paraId="75481C92" w14:textId="77777777" w:rsidTr="003A71DE">
        <w:trPr>
          <w:cantSplit/>
          <w:jc w:val="center"/>
        </w:trPr>
        <w:tc>
          <w:tcPr>
            <w:tcW w:w="1007" w:type="dxa"/>
            <w:vMerge/>
            <w:tcBorders>
              <w:bottom w:val="single" w:sz="4" w:space="0" w:color="auto"/>
            </w:tcBorders>
            <w:vAlign w:val="center"/>
          </w:tcPr>
          <w:p w14:paraId="624031F7" w14:textId="77777777" w:rsidR="00241417" w:rsidRPr="0039343F" w:rsidRDefault="00241417" w:rsidP="003A71DE">
            <w:pPr>
              <w:pStyle w:val="TAC"/>
            </w:pPr>
          </w:p>
        </w:tc>
        <w:tc>
          <w:tcPr>
            <w:tcW w:w="1093" w:type="dxa"/>
            <w:vMerge/>
            <w:tcBorders>
              <w:bottom w:val="single" w:sz="4" w:space="0" w:color="auto"/>
            </w:tcBorders>
            <w:vAlign w:val="center"/>
          </w:tcPr>
          <w:p w14:paraId="53C9BF19" w14:textId="77777777" w:rsidR="00241417" w:rsidRPr="0039343F" w:rsidRDefault="00241417" w:rsidP="003A71DE">
            <w:pPr>
              <w:pStyle w:val="TAC"/>
            </w:pPr>
          </w:p>
        </w:tc>
        <w:tc>
          <w:tcPr>
            <w:tcW w:w="1985" w:type="dxa"/>
            <w:vAlign w:val="center"/>
          </w:tcPr>
          <w:p w14:paraId="7DB51146" w14:textId="77777777" w:rsidR="00241417" w:rsidRPr="0039343F" w:rsidRDefault="00241417" w:rsidP="003A71DE">
            <w:pPr>
              <w:pStyle w:val="TAC"/>
            </w:pPr>
            <w:r w:rsidRPr="0039343F">
              <w:t>TDLA30-10 Low</w:t>
            </w:r>
          </w:p>
        </w:tc>
        <w:tc>
          <w:tcPr>
            <w:tcW w:w="1580" w:type="dxa"/>
            <w:vAlign w:val="center"/>
          </w:tcPr>
          <w:p w14:paraId="2664998D" w14:textId="77777777" w:rsidR="00241417" w:rsidRPr="0039343F" w:rsidRDefault="00241417" w:rsidP="003A71DE">
            <w:pPr>
              <w:pStyle w:val="TAC"/>
            </w:pPr>
            <w:r>
              <w:rPr>
                <w:lang w:eastAsia="zh-CN"/>
              </w:rPr>
              <w:t>D-FR1-A.2.4-5</w:t>
            </w:r>
          </w:p>
        </w:tc>
        <w:tc>
          <w:tcPr>
            <w:tcW w:w="1255" w:type="dxa"/>
            <w:vAlign w:val="center"/>
          </w:tcPr>
          <w:p w14:paraId="7C637815" w14:textId="77777777" w:rsidR="00241417" w:rsidRPr="0039343F" w:rsidRDefault="00241417" w:rsidP="003A71DE">
            <w:pPr>
              <w:pStyle w:val="TAC"/>
            </w:pPr>
            <w:r w:rsidRPr="0039343F">
              <w:t>pos1</w:t>
            </w:r>
          </w:p>
        </w:tc>
        <w:tc>
          <w:tcPr>
            <w:tcW w:w="1134" w:type="dxa"/>
            <w:vAlign w:val="center"/>
          </w:tcPr>
          <w:p w14:paraId="0F02B0DF" w14:textId="77777777" w:rsidR="00241417" w:rsidRPr="0039343F" w:rsidRDefault="00241417" w:rsidP="003A71DE">
            <w:pPr>
              <w:pStyle w:val="TAC"/>
            </w:pPr>
            <w:r w:rsidRPr="0039343F">
              <w:t>5.6</w:t>
            </w:r>
          </w:p>
        </w:tc>
      </w:tr>
      <w:tr w:rsidR="00241417" w:rsidRPr="0039343F" w14:paraId="29217405" w14:textId="77777777" w:rsidTr="003A71DE">
        <w:trPr>
          <w:cantSplit/>
          <w:jc w:val="center"/>
        </w:trPr>
        <w:tc>
          <w:tcPr>
            <w:tcW w:w="1007" w:type="dxa"/>
            <w:vMerge w:val="restart"/>
            <w:vAlign w:val="center"/>
          </w:tcPr>
          <w:p w14:paraId="6A7D0AC4" w14:textId="77777777" w:rsidR="00241417" w:rsidRPr="0039343F" w:rsidRDefault="00241417" w:rsidP="003A71DE">
            <w:pPr>
              <w:pStyle w:val="TAC"/>
            </w:pPr>
            <w:r w:rsidRPr="0039343F">
              <w:t>2</w:t>
            </w:r>
          </w:p>
        </w:tc>
        <w:tc>
          <w:tcPr>
            <w:tcW w:w="1093" w:type="dxa"/>
            <w:vMerge w:val="restart"/>
            <w:vAlign w:val="center"/>
          </w:tcPr>
          <w:p w14:paraId="5A12F99D" w14:textId="77777777" w:rsidR="00241417" w:rsidRPr="0039343F" w:rsidRDefault="00241417" w:rsidP="003A71DE">
            <w:pPr>
              <w:pStyle w:val="TAC"/>
            </w:pPr>
            <w:r w:rsidRPr="0039343F">
              <w:t>2</w:t>
            </w:r>
          </w:p>
        </w:tc>
        <w:tc>
          <w:tcPr>
            <w:tcW w:w="1985" w:type="dxa"/>
            <w:vAlign w:val="center"/>
          </w:tcPr>
          <w:p w14:paraId="24FED1E8" w14:textId="77777777" w:rsidR="00241417" w:rsidRPr="0039343F" w:rsidRDefault="00241417" w:rsidP="003A71DE">
            <w:pPr>
              <w:pStyle w:val="TAC"/>
            </w:pPr>
            <w:r w:rsidRPr="0039343F">
              <w:t>TDLB100-400 Low</w:t>
            </w:r>
          </w:p>
        </w:tc>
        <w:tc>
          <w:tcPr>
            <w:tcW w:w="1580" w:type="dxa"/>
            <w:vAlign w:val="center"/>
          </w:tcPr>
          <w:p w14:paraId="5EC76AE6" w14:textId="77777777" w:rsidR="00241417" w:rsidRPr="0039343F" w:rsidRDefault="00241417" w:rsidP="003A71DE">
            <w:pPr>
              <w:pStyle w:val="TAC"/>
            </w:pPr>
            <w:r>
              <w:rPr>
                <w:lang w:eastAsia="zh-CN"/>
              </w:rPr>
              <w:t>D-FR1-A.2.1-12</w:t>
            </w:r>
          </w:p>
        </w:tc>
        <w:tc>
          <w:tcPr>
            <w:tcW w:w="1255" w:type="dxa"/>
            <w:vAlign w:val="center"/>
          </w:tcPr>
          <w:p w14:paraId="235CED8C" w14:textId="77777777" w:rsidR="00241417" w:rsidRPr="0039343F" w:rsidRDefault="00241417" w:rsidP="003A71DE">
            <w:pPr>
              <w:pStyle w:val="TAC"/>
            </w:pPr>
            <w:r w:rsidRPr="0039343F">
              <w:t>pos1</w:t>
            </w:r>
          </w:p>
        </w:tc>
        <w:tc>
          <w:tcPr>
            <w:tcW w:w="1134" w:type="dxa"/>
            <w:vAlign w:val="center"/>
          </w:tcPr>
          <w:p w14:paraId="3F11CE3B" w14:textId="77777777" w:rsidR="00241417" w:rsidRPr="0039343F" w:rsidRDefault="00241417" w:rsidP="003A71DE">
            <w:pPr>
              <w:pStyle w:val="TAC"/>
            </w:pPr>
            <w:r w:rsidRPr="0039343F">
              <w:t>1.3</w:t>
            </w:r>
          </w:p>
        </w:tc>
      </w:tr>
      <w:tr w:rsidR="00241417" w:rsidRPr="0039343F" w14:paraId="13FE971E" w14:textId="77777777" w:rsidTr="003A71DE">
        <w:trPr>
          <w:cantSplit/>
          <w:jc w:val="center"/>
        </w:trPr>
        <w:tc>
          <w:tcPr>
            <w:tcW w:w="1007" w:type="dxa"/>
            <w:vMerge/>
            <w:vAlign w:val="center"/>
          </w:tcPr>
          <w:p w14:paraId="036C9B58" w14:textId="77777777" w:rsidR="00241417" w:rsidRPr="0039343F" w:rsidRDefault="00241417" w:rsidP="003A71DE">
            <w:pPr>
              <w:pStyle w:val="TAC"/>
            </w:pPr>
          </w:p>
        </w:tc>
        <w:tc>
          <w:tcPr>
            <w:tcW w:w="1093" w:type="dxa"/>
            <w:vMerge/>
            <w:tcBorders>
              <w:bottom w:val="single" w:sz="4" w:space="0" w:color="auto"/>
            </w:tcBorders>
            <w:vAlign w:val="center"/>
          </w:tcPr>
          <w:p w14:paraId="789022EE" w14:textId="77777777" w:rsidR="00241417" w:rsidRPr="0039343F" w:rsidRDefault="00241417" w:rsidP="003A71DE">
            <w:pPr>
              <w:pStyle w:val="TAC"/>
            </w:pPr>
          </w:p>
        </w:tc>
        <w:tc>
          <w:tcPr>
            <w:tcW w:w="1985" w:type="dxa"/>
            <w:vAlign w:val="center"/>
          </w:tcPr>
          <w:p w14:paraId="4C990BDB" w14:textId="77777777" w:rsidR="00241417" w:rsidRPr="0039343F" w:rsidRDefault="00241417" w:rsidP="003A71DE">
            <w:pPr>
              <w:pStyle w:val="TAC"/>
            </w:pPr>
            <w:r w:rsidRPr="0039343F">
              <w:t>TDLC300-100 Low</w:t>
            </w:r>
          </w:p>
        </w:tc>
        <w:tc>
          <w:tcPr>
            <w:tcW w:w="1580" w:type="dxa"/>
            <w:vAlign w:val="center"/>
          </w:tcPr>
          <w:p w14:paraId="2668B317" w14:textId="77777777" w:rsidR="00241417" w:rsidRPr="0039343F" w:rsidRDefault="00241417" w:rsidP="003A71DE">
            <w:pPr>
              <w:pStyle w:val="TAC"/>
              <w:rPr>
                <w:lang w:eastAsia="zh-CN"/>
              </w:rPr>
            </w:pPr>
            <w:r>
              <w:rPr>
                <w:lang w:eastAsia="zh-CN"/>
              </w:rPr>
              <w:t>D-FR1-A.2.3-12</w:t>
            </w:r>
          </w:p>
        </w:tc>
        <w:tc>
          <w:tcPr>
            <w:tcW w:w="1255" w:type="dxa"/>
            <w:vAlign w:val="center"/>
          </w:tcPr>
          <w:p w14:paraId="19AB4DBA" w14:textId="77777777" w:rsidR="00241417" w:rsidRPr="0039343F" w:rsidRDefault="00241417" w:rsidP="003A71DE">
            <w:pPr>
              <w:pStyle w:val="TAC"/>
            </w:pPr>
            <w:r w:rsidRPr="0039343F">
              <w:t>pos1</w:t>
            </w:r>
          </w:p>
        </w:tc>
        <w:tc>
          <w:tcPr>
            <w:tcW w:w="1134" w:type="dxa"/>
            <w:vAlign w:val="center"/>
          </w:tcPr>
          <w:p w14:paraId="5BD1A046" w14:textId="77777777" w:rsidR="00241417" w:rsidRPr="0039343F" w:rsidRDefault="00241417" w:rsidP="003A71DE">
            <w:pPr>
              <w:pStyle w:val="TAC"/>
            </w:pPr>
            <w:r w:rsidRPr="0039343F">
              <w:t>18.2</w:t>
            </w:r>
          </w:p>
        </w:tc>
      </w:tr>
      <w:tr w:rsidR="00241417" w:rsidRPr="0039343F" w14:paraId="51245562" w14:textId="77777777" w:rsidTr="003A71DE">
        <w:trPr>
          <w:cantSplit/>
          <w:jc w:val="center"/>
        </w:trPr>
        <w:tc>
          <w:tcPr>
            <w:tcW w:w="1007" w:type="dxa"/>
            <w:vMerge/>
            <w:vAlign w:val="center"/>
          </w:tcPr>
          <w:p w14:paraId="28F80CC7" w14:textId="77777777" w:rsidR="00241417" w:rsidRPr="0039343F" w:rsidRDefault="00241417" w:rsidP="003A71DE">
            <w:pPr>
              <w:pStyle w:val="TAC"/>
            </w:pPr>
          </w:p>
        </w:tc>
        <w:tc>
          <w:tcPr>
            <w:tcW w:w="1093" w:type="dxa"/>
            <w:vMerge w:val="restart"/>
            <w:tcBorders>
              <w:top w:val="single" w:sz="4" w:space="0" w:color="auto"/>
            </w:tcBorders>
            <w:vAlign w:val="center"/>
          </w:tcPr>
          <w:p w14:paraId="4F0EEE95" w14:textId="77777777" w:rsidR="00241417" w:rsidRPr="0039343F" w:rsidRDefault="00241417" w:rsidP="003A71DE">
            <w:pPr>
              <w:pStyle w:val="TAC"/>
            </w:pPr>
            <w:r w:rsidRPr="0039343F">
              <w:t>4</w:t>
            </w:r>
          </w:p>
        </w:tc>
        <w:tc>
          <w:tcPr>
            <w:tcW w:w="1985" w:type="dxa"/>
            <w:vAlign w:val="center"/>
          </w:tcPr>
          <w:p w14:paraId="0AE39E21" w14:textId="77777777" w:rsidR="00241417" w:rsidRPr="0039343F" w:rsidRDefault="00241417" w:rsidP="003A71DE">
            <w:pPr>
              <w:pStyle w:val="TAC"/>
            </w:pPr>
            <w:r w:rsidRPr="0039343F">
              <w:t>TDLB100-400 Low</w:t>
            </w:r>
          </w:p>
        </w:tc>
        <w:tc>
          <w:tcPr>
            <w:tcW w:w="1580" w:type="dxa"/>
            <w:vAlign w:val="center"/>
          </w:tcPr>
          <w:p w14:paraId="5935FCDA" w14:textId="77777777" w:rsidR="00241417" w:rsidRPr="0039343F" w:rsidRDefault="00241417" w:rsidP="003A71DE">
            <w:pPr>
              <w:pStyle w:val="TAC"/>
              <w:rPr>
                <w:lang w:eastAsia="zh-CN"/>
              </w:rPr>
            </w:pPr>
            <w:r>
              <w:rPr>
                <w:lang w:eastAsia="zh-CN"/>
              </w:rPr>
              <w:t>D-FR1-A.2.1-12</w:t>
            </w:r>
          </w:p>
        </w:tc>
        <w:tc>
          <w:tcPr>
            <w:tcW w:w="1255" w:type="dxa"/>
            <w:vAlign w:val="center"/>
          </w:tcPr>
          <w:p w14:paraId="07321F20" w14:textId="77777777" w:rsidR="00241417" w:rsidRPr="0039343F" w:rsidRDefault="00241417" w:rsidP="003A71DE">
            <w:pPr>
              <w:pStyle w:val="TAC"/>
            </w:pPr>
            <w:r w:rsidRPr="0039343F">
              <w:t>pos1</w:t>
            </w:r>
          </w:p>
        </w:tc>
        <w:tc>
          <w:tcPr>
            <w:tcW w:w="1134" w:type="dxa"/>
            <w:vAlign w:val="center"/>
          </w:tcPr>
          <w:p w14:paraId="28E0BFA1" w14:textId="77777777" w:rsidR="00241417" w:rsidRPr="0039343F" w:rsidRDefault="00241417" w:rsidP="003A71DE">
            <w:pPr>
              <w:pStyle w:val="TAC"/>
            </w:pPr>
            <w:r w:rsidRPr="0039343F">
              <w:t>-2.3</w:t>
            </w:r>
          </w:p>
        </w:tc>
      </w:tr>
      <w:tr w:rsidR="00241417" w:rsidRPr="0039343F" w14:paraId="32F707D5" w14:textId="77777777" w:rsidTr="003A71DE">
        <w:trPr>
          <w:cantSplit/>
          <w:jc w:val="center"/>
        </w:trPr>
        <w:tc>
          <w:tcPr>
            <w:tcW w:w="1007" w:type="dxa"/>
            <w:vMerge/>
            <w:vAlign w:val="center"/>
          </w:tcPr>
          <w:p w14:paraId="79EC7EE5" w14:textId="77777777" w:rsidR="00241417" w:rsidRPr="0039343F" w:rsidRDefault="00241417" w:rsidP="003A71DE">
            <w:pPr>
              <w:pStyle w:val="TAC"/>
            </w:pPr>
          </w:p>
        </w:tc>
        <w:tc>
          <w:tcPr>
            <w:tcW w:w="1093" w:type="dxa"/>
            <w:vMerge/>
            <w:tcBorders>
              <w:bottom w:val="single" w:sz="4" w:space="0" w:color="auto"/>
            </w:tcBorders>
            <w:vAlign w:val="center"/>
          </w:tcPr>
          <w:p w14:paraId="00CCFF6C" w14:textId="77777777" w:rsidR="00241417" w:rsidRPr="0039343F" w:rsidRDefault="00241417" w:rsidP="003A71DE">
            <w:pPr>
              <w:pStyle w:val="TAC"/>
            </w:pPr>
          </w:p>
        </w:tc>
        <w:tc>
          <w:tcPr>
            <w:tcW w:w="1985" w:type="dxa"/>
            <w:vAlign w:val="center"/>
          </w:tcPr>
          <w:p w14:paraId="536F78D2" w14:textId="77777777" w:rsidR="00241417" w:rsidRPr="0039343F" w:rsidRDefault="00241417" w:rsidP="003A71DE">
            <w:pPr>
              <w:pStyle w:val="TAC"/>
            </w:pPr>
            <w:r w:rsidRPr="0039343F">
              <w:t>TDLC300-100 Low</w:t>
            </w:r>
          </w:p>
        </w:tc>
        <w:tc>
          <w:tcPr>
            <w:tcW w:w="1580" w:type="dxa"/>
            <w:vAlign w:val="center"/>
          </w:tcPr>
          <w:p w14:paraId="767AFF08" w14:textId="77777777" w:rsidR="00241417" w:rsidRPr="0039343F" w:rsidRDefault="00241417" w:rsidP="003A71DE">
            <w:pPr>
              <w:pStyle w:val="TAC"/>
              <w:rPr>
                <w:lang w:eastAsia="zh-CN"/>
              </w:rPr>
            </w:pPr>
            <w:r>
              <w:rPr>
                <w:lang w:eastAsia="zh-CN"/>
              </w:rPr>
              <w:t>D-FR1-A.2.3-12</w:t>
            </w:r>
          </w:p>
        </w:tc>
        <w:tc>
          <w:tcPr>
            <w:tcW w:w="1255" w:type="dxa"/>
            <w:vAlign w:val="center"/>
          </w:tcPr>
          <w:p w14:paraId="6796CD0A" w14:textId="77777777" w:rsidR="00241417" w:rsidRPr="0039343F" w:rsidRDefault="00241417" w:rsidP="003A71DE">
            <w:pPr>
              <w:pStyle w:val="TAC"/>
            </w:pPr>
            <w:r w:rsidRPr="0039343F">
              <w:t>pos1</w:t>
            </w:r>
          </w:p>
        </w:tc>
        <w:tc>
          <w:tcPr>
            <w:tcW w:w="1134" w:type="dxa"/>
            <w:vAlign w:val="center"/>
          </w:tcPr>
          <w:p w14:paraId="1F44F1A5" w14:textId="77777777" w:rsidR="00241417" w:rsidRPr="0039343F" w:rsidRDefault="00241417" w:rsidP="003A71DE">
            <w:pPr>
              <w:pStyle w:val="TAC"/>
            </w:pPr>
            <w:r w:rsidRPr="0039343F">
              <w:t>11.2</w:t>
            </w:r>
          </w:p>
        </w:tc>
      </w:tr>
      <w:tr w:rsidR="00241417" w:rsidRPr="0039343F" w14:paraId="15A772B6" w14:textId="77777777" w:rsidTr="003A71DE">
        <w:trPr>
          <w:cantSplit/>
          <w:jc w:val="center"/>
        </w:trPr>
        <w:tc>
          <w:tcPr>
            <w:tcW w:w="1007" w:type="dxa"/>
            <w:vMerge/>
            <w:vAlign w:val="center"/>
          </w:tcPr>
          <w:p w14:paraId="49F43565" w14:textId="77777777" w:rsidR="00241417" w:rsidRPr="0039343F" w:rsidRDefault="00241417" w:rsidP="003A71DE">
            <w:pPr>
              <w:pStyle w:val="TAC"/>
            </w:pPr>
          </w:p>
        </w:tc>
        <w:tc>
          <w:tcPr>
            <w:tcW w:w="1093" w:type="dxa"/>
            <w:vMerge w:val="restart"/>
            <w:tcBorders>
              <w:top w:val="single" w:sz="4" w:space="0" w:color="auto"/>
            </w:tcBorders>
            <w:vAlign w:val="center"/>
          </w:tcPr>
          <w:p w14:paraId="38B13451" w14:textId="77777777" w:rsidR="00241417" w:rsidRPr="0039343F" w:rsidRDefault="00241417" w:rsidP="003A71DE">
            <w:pPr>
              <w:pStyle w:val="TAC"/>
            </w:pPr>
            <w:r w:rsidRPr="0039343F">
              <w:t>8</w:t>
            </w:r>
          </w:p>
        </w:tc>
        <w:tc>
          <w:tcPr>
            <w:tcW w:w="1985" w:type="dxa"/>
            <w:vAlign w:val="center"/>
          </w:tcPr>
          <w:p w14:paraId="0130CBFD" w14:textId="77777777" w:rsidR="00241417" w:rsidRPr="0039343F" w:rsidRDefault="00241417" w:rsidP="003A71DE">
            <w:pPr>
              <w:pStyle w:val="TAC"/>
            </w:pPr>
            <w:r w:rsidRPr="0039343F">
              <w:t>TDLB100-400 Low</w:t>
            </w:r>
          </w:p>
        </w:tc>
        <w:tc>
          <w:tcPr>
            <w:tcW w:w="1580" w:type="dxa"/>
            <w:vAlign w:val="center"/>
          </w:tcPr>
          <w:p w14:paraId="480E641A" w14:textId="77777777" w:rsidR="00241417" w:rsidRPr="0039343F" w:rsidRDefault="00241417" w:rsidP="003A71DE">
            <w:pPr>
              <w:pStyle w:val="TAC"/>
              <w:rPr>
                <w:lang w:eastAsia="zh-CN"/>
              </w:rPr>
            </w:pPr>
            <w:r>
              <w:rPr>
                <w:lang w:eastAsia="zh-CN"/>
              </w:rPr>
              <w:t>D-FR1-A.2.1-12</w:t>
            </w:r>
          </w:p>
        </w:tc>
        <w:tc>
          <w:tcPr>
            <w:tcW w:w="1255" w:type="dxa"/>
            <w:vAlign w:val="center"/>
          </w:tcPr>
          <w:p w14:paraId="6B232651" w14:textId="77777777" w:rsidR="00241417" w:rsidRPr="0039343F" w:rsidRDefault="00241417" w:rsidP="003A71DE">
            <w:pPr>
              <w:pStyle w:val="TAC"/>
            </w:pPr>
            <w:r w:rsidRPr="0039343F">
              <w:t>pos1</w:t>
            </w:r>
          </w:p>
        </w:tc>
        <w:tc>
          <w:tcPr>
            <w:tcW w:w="1134" w:type="dxa"/>
            <w:vAlign w:val="center"/>
          </w:tcPr>
          <w:p w14:paraId="3E81D3CF" w14:textId="77777777" w:rsidR="00241417" w:rsidRPr="0039343F" w:rsidRDefault="00241417" w:rsidP="003A71DE">
            <w:pPr>
              <w:pStyle w:val="TAC"/>
            </w:pPr>
            <w:r w:rsidRPr="0039343F">
              <w:t>-5.4</w:t>
            </w:r>
          </w:p>
        </w:tc>
      </w:tr>
      <w:tr w:rsidR="00241417" w:rsidRPr="0039343F" w14:paraId="4C3EFC11" w14:textId="77777777" w:rsidTr="003A71DE">
        <w:trPr>
          <w:cantSplit/>
          <w:jc w:val="center"/>
        </w:trPr>
        <w:tc>
          <w:tcPr>
            <w:tcW w:w="1007" w:type="dxa"/>
            <w:vMerge/>
            <w:vAlign w:val="center"/>
          </w:tcPr>
          <w:p w14:paraId="53E860AB" w14:textId="77777777" w:rsidR="00241417" w:rsidRPr="0039343F" w:rsidRDefault="00241417" w:rsidP="003A71DE">
            <w:pPr>
              <w:pStyle w:val="TAC"/>
            </w:pPr>
          </w:p>
        </w:tc>
        <w:tc>
          <w:tcPr>
            <w:tcW w:w="1093" w:type="dxa"/>
            <w:vMerge/>
            <w:vAlign w:val="center"/>
          </w:tcPr>
          <w:p w14:paraId="14D174F0" w14:textId="77777777" w:rsidR="00241417" w:rsidRPr="0039343F" w:rsidRDefault="00241417" w:rsidP="003A71DE">
            <w:pPr>
              <w:pStyle w:val="TAC"/>
            </w:pPr>
          </w:p>
        </w:tc>
        <w:tc>
          <w:tcPr>
            <w:tcW w:w="1985" w:type="dxa"/>
            <w:vAlign w:val="center"/>
          </w:tcPr>
          <w:p w14:paraId="427FD57B" w14:textId="77777777" w:rsidR="00241417" w:rsidRPr="0039343F" w:rsidRDefault="00241417" w:rsidP="003A71DE">
            <w:pPr>
              <w:pStyle w:val="TAC"/>
            </w:pPr>
            <w:r w:rsidRPr="0039343F">
              <w:t>TDLC300-100 Low</w:t>
            </w:r>
          </w:p>
        </w:tc>
        <w:tc>
          <w:tcPr>
            <w:tcW w:w="1580" w:type="dxa"/>
            <w:vAlign w:val="center"/>
          </w:tcPr>
          <w:p w14:paraId="3D2DB5A9" w14:textId="77777777" w:rsidR="00241417" w:rsidRPr="0039343F" w:rsidRDefault="00241417" w:rsidP="003A71DE">
            <w:pPr>
              <w:pStyle w:val="TAC"/>
              <w:rPr>
                <w:lang w:eastAsia="zh-CN"/>
              </w:rPr>
            </w:pPr>
            <w:r>
              <w:rPr>
                <w:lang w:eastAsia="zh-CN"/>
              </w:rPr>
              <w:t>D-FR1-A.2.3-12</w:t>
            </w:r>
          </w:p>
        </w:tc>
        <w:tc>
          <w:tcPr>
            <w:tcW w:w="1255" w:type="dxa"/>
            <w:vAlign w:val="center"/>
          </w:tcPr>
          <w:p w14:paraId="1D9EF667" w14:textId="77777777" w:rsidR="00241417" w:rsidRPr="0039343F" w:rsidRDefault="00241417" w:rsidP="003A71DE">
            <w:pPr>
              <w:pStyle w:val="TAC"/>
            </w:pPr>
            <w:r w:rsidRPr="0039343F">
              <w:t>pos1</w:t>
            </w:r>
          </w:p>
        </w:tc>
        <w:tc>
          <w:tcPr>
            <w:tcW w:w="1134" w:type="dxa"/>
            <w:vAlign w:val="center"/>
          </w:tcPr>
          <w:p w14:paraId="765F975F" w14:textId="77777777" w:rsidR="00241417" w:rsidRPr="0039343F" w:rsidRDefault="00241417" w:rsidP="003A71DE">
            <w:pPr>
              <w:pStyle w:val="TAC"/>
            </w:pPr>
            <w:r w:rsidRPr="0039343F">
              <w:t>7.0</w:t>
            </w:r>
          </w:p>
        </w:tc>
      </w:tr>
    </w:tbl>
    <w:p w14:paraId="2758E906" w14:textId="77777777" w:rsidR="00241417" w:rsidRPr="0039343F" w:rsidRDefault="00241417" w:rsidP="00241417">
      <w:pPr>
        <w:rPr>
          <w:lang w:eastAsia="zh-CN"/>
        </w:rPr>
      </w:pPr>
    </w:p>
    <w:p w14:paraId="18F064A6" w14:textId="77777777" w:rsidR="00241417" w:rsidRPr="00B054F4" w:rsidRDefault="00241417" w:rsidP="00241417">
      <w:pPr>
        <w:pStyle w:val="TH"/>
        <w:rPr>
          <w:lang w:eastAsia="zh-CN"/>
        </w:rPr>
      </w:pPr>
      <w:r w:rsidRPr="00B054F4">
        <w:lastRenderedPageBreak/>
        <w:t>Table 8.1.2.1.2-13: Minimum requirements for PUSCH</w:t>
      </w:r>
      <w:r w:rsidRPr="00B054F4">
        <w:rPr>
          <w:rFonts w:hint="eastAsia"/>
          <w:lang w:eastAsia="zh-CN"/>
        </w:rPr>
        <w:t xml:space="preserve"> </w:t>
      </w:r>
      <w:r w:rsidRPr="00B054F4">
        <w:rPr>
          <w:lang w:eastAsia="zh-CN"/>
        </w:rPr>
        <w:t>with</w:t>
      </w:r>
      <w:r w:rsidRPr="00B054F4">
        <w:rPr>
          <w:rFonts w:hint="eastAsia"/>
          <w:lang w:eastAsia="zh-CN"/>
        </w:rPr>
        <w:t xml:space="preserve"> 70% of maximum throughput</w:t>
      </w:r>
      <w:r w:rsidRPr="00B054F4">
        <w:t>, Type B, 40 MHz channel bandwidth</w:t>
      </w:r>
      <w:r w:rsidRPr="00B054F4">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80"/>
        <w:gridCol w:w="1255"/>
        <w:gridCol w:w="1134"/>
      </w:tblGrid>
      <w:tr w:rsidR="00241417" w:rsidRPr="0039343F" w14:paraId="32631E95" w14:textId="77777777" w:rsidTr="003A71DE">
        <w:trPr>
          <w:cantSplit/>
          <w:jc w:val="center"/>
        </w:trPr>
        <w:tc>
          <w:tcPr>
            <w:tcW w:w="1007" w:type="dxa"/>
            <w:tcBorders>
              <w:bottom w:val="single" w:sz="4" w:space="0" w:color="auto"/>
            </w:tcBorders>
            <w:vAlign w:val="center"/>
          </w:tcPr>
          <w:p w14:paraId="5951E322"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35837D59" w14:textId="77777777" w:rsidR="00241417" w:rsidRPr="0039343F" w:rsidRDefault="00241417" w:rsidP="003A71DE">
            <w:pPr>
              <w:pStyle w:val="TAH"/>
            </w:pPr>
            <w:r w:rsidRPr="0039343F">
              <w:t xml:space="preserve">Number of </w:t>
            </w:r>
            <w:r>
              <w:t>Demodulation Branches</w:t>
            </w:r>
          </w:p>
        </w:tc>
        <w:tc>
          <w:tcPr>
            <w:tcW w:w="1985" w:type="dxa"/>
            <w:vAlign w:val="center"/>
          </w:tcPr>
          <w:p w14:paraId="106C8BB0" w14:textId="0E13A56F" w:rsidR="00241417" w:rsidRPr="0039343F" w:rsidRDefault="00241417" w:rsidP="003A71DE">
            <w:pPr>
              <w:pStyle w:val="TAH"/>
            </w:pPr>
            <w:r w:rsidRPr="0039343F">
              <w:t xml:space="preserve">Propagation conditions and correlation matrix (Annex </w:t>
            </w:r>
            <w:r>
              <w:t>TBA</w:t>
            </w:r>
            <w:r w:rsidRPr="0039343F">
              <w:t>)</w:t>
            </w:r>
          </w:p>
        </w:tc>
        <w:tc>
          <w:tcPr>
            <w:tcW w:w="1580" w:type="dxa"/>
            <w:vAlign w:val="center"/>
          </w:tcPr>
          <w:p w14:paraId="2F3795F0" w14:textId="77777777" w:rsidR="00241417" w:rsidRPr="0039343F" w:rsidRDefault="00241417" w:rsidP="003A71DE">
            <w:pPr>
              <w:pStyle w:val="TAH"/>
            </w:pPr>
            <w:r w:rsidRPr="0039343F">
              <w:t>FRC</w:t>
            </w:r>
            <w:r w:rsidRPr="0039343F">
              <w:br/>
              <w:t>(Annex A)</w:t>
            </w:r>
          </w:p>
        </w:tc>
        <w:tc>
          <w:tcPr>
            <w:tcW w:w="1255" w:type="dxa"/>
            <w:vAlign w:val="center"/>
          </w:tcPr>
          <w:p w14:paraId="027FD81B" w14:textId="77777777" w:rsidR="00241417" w:rsidRPr="0039343F" w:rsidRDefault="00241417" w:rsidP="003A71DE">
            <w:pPr>
              <w:pStyle w:val="TAH"/>
            </w:pPr>
            <w:r w:rsidRPr="0039343F">
              <w:t>Additional DM-RS position</w:t>
            </w:r>
          </w:p>
        </w:tc>
        <w:tc>
          <w:tcPr>
            <w:tcW w:w="1134" w:type="dxa"/>
            <w:vAlign w:val="center"/>
          </w:tcPr>
          <w:p w14:paraId="7D9234F5" w14:textId="77777777" w:rsidR="00241417" w:rsidRPr="0039343F" w:rsidRDefault="00241417" w:rsidP="003A71DE">
            <w:pPr>
              <w:pStyle w:val="TAH"/>
            </w:pPr>
            <w:r w:rsidRPr="0039343F">
              <w:t>SNR</w:t>
            </w:r>
          </w:p>
          <w:p w14:paraId="6D06A133" w14:textId="77777777" w:rsidR="00241417" w:rsidRPr="0039343F" w:rsidRDefault="00241417" w:rsidP="003A71DE">
            <w:pPr>
              <w:pStyle w:val="TAH"/>
            </w:pPr>
            <w:r w:rsidRPr="0039343F">
              <w:t>(dB)</w:t>
            </w:r>
          </w:p>
        </w:tc>
      </w:tr>
      <w:tr w:rsidR="00241417" w:rsidRPr="0039343F" w14:paraId="0E7D0822" w14:textId="77777777" w:rsidTr="003A71DE">
        <w:trPr>
          <w:cantSplit/>
          <w:jc w:val="center"/>
        </w:trPr>
        <w:tc>
          <w:tcPr>
            <w:tcW w:w="1007" w:type="dxa"/>
            <w:vMerge w:val="restart"/>
            <w:vAlign w:val="center"/>
          </w:tcPr>
          <w:p w14:paraId="1F991A1D" w14:textId="77777777" w:rsidR="00241417" w:rsidRPr="0039343F" w:rsidRDefault="00241417" w:rsidP="003A71DE">
            <w:pPr>
              <w:pStyle w:val="TAC"/>
            </w:pPr>
            <w:r w:rsidRPr="0039343F">
              <w:t>1</w:t>
            </w:r>
          </w:p>
        </w:tc>
        <w:tc>
          <w:tcPr>
            <w:tcW w:w="1093" w:type="dxa"/>
            <w:vMerge w:val="restart"/>
            <w:vAlign w:val="center"/>
          </w:tcPr>
          <w:p w14:paraId="4F8B9829" w14:textId="77777777" w:rsidR="00241417" w:rsidRPr="0039343F" w:rsidRDefault="00241417" w:rsidP="003A71DE">
            <w:pPr>
              <w:pStyle w:val="TAC"/>
            </w:pPr>
            <w:r w:rsidRPr="0039343F">
              <w:t>2</w:t>
            </w:r>
          </w:p>
        </w:tc>
        <w:tc>
          <w:tcPr>
            <w:tcW w:w="1985" w:type="dxa"/>
            <w:vAlign w:val="center"/>
          </w:tcPr>
          <w:p w14:paraId="39593DA1" w14:textId="77777777" w:rsidR="00241417" w:rsidRPr="0039343F" w:rsidRDefault="00241417" w:rsidP="003A71DE">
            <w:pPr>
              <w:pStyle w:val="TAC"/>
            </w:pPr>
            <w:r w:rsidRPr="0039343F">
              <w:t>TDLB100-400 Low</w:t>
            </w:r>
          </w:p>
        </w:tc>
        <w:tc>
          <w:tcPr>
            <w:tcW w:w="1580" w:type="dxa"/>
            <w:vAlign w:val="center"/>
          </w:tcPr>
          <w:p w14:paraId="2F9E1012" w14:textId="77777777" w:rsidR="00241417" w:rsidRPr="0039343F" w:rsidRDefault="00241417" w:rsidP="003A71DE">
            <w:pPr>
              <w:pStyle w:val="TAC"/>
            </w:pPr>
            <w:r>
              <w:rPr>
                <w:lang w:eastAsia="zh-CN"/>
              </w:rPr>
              <w:t>D-FR1-A.2.1-6</w:t>
            </w:r>
          </w:p>
        </w:tc>
        <w:tc>
          <w:tcPr>
            <w:tcW w:w="1255" w:type="dxa"/>
            <w:vAlign w:val="center"/>
          </w:tcPr>
          <w:p w14:paraId="5DDB606C" w14:textId="77777777" w:rsidR="00241417" w:rsidRPr="0039343F" w:rsidRDefault="00241417" w:rsidP="003A71DE">
            <w:pPr>
              <w:pStyle w:val="TAC"/>
            </w:pPr>
            <w:r w:rsidRPr="0039343F">
              <w:t>pos1</w:t>
            </w:r>
          </w:p>
        </w:tc>
        <w:tc>
          <w:tcPr>
            <w:tcW w:w="1134" w:type="dxa"/>
            <w:vAlign w:val="center"/>
          </w:tcPr>
          <w:p w14:paraId="440EFFED" w14:textId="77777777" w:rsidR="00241417" w:rsidRPr="0039343F" w:rsidRDefault="00241417" w:rsidP="003A71DE">
            <w:pPr>
              <w:pStyle w:val="TAC"/>
            </w:pPr>
            <w:r w:rsidRPr="0039343F">
              <w:t>-2.5</w:t>
            </w:r>
          </w:p>
        </w:tc>
      </w:tr>
      <w:tr w:rsidR="00241417" w:rsidRPr="0039343F" w14:paraId="31FD0115" w14:textId="77777777" w:rsidTr="003A71DE">
        <w:trPr>
          <w:cantSplit/>
          <w:jc w:val="center"/>
        </w:trPr>
        <w:tc>
          <w:tcPr>
            <w:tcW w:w="1007" w:type="dxa"/>
            <w:vMerge/>
            <w:vAlign w:val="center"/>
          </w:tcPr>
          <w:p w14:paraId="6DADBC71" w14:textId="77777777" w:rsidR="00241417" w:rsidRPr="0039343F" w:rsidRDefault="00241417" w:rsidP="003A71DE">
            <w:pPr>
              <w:pStyle w:val="TAC"/>
            </w:pPr>
          </w:p>
        </w:tc>
        <w:tc>
          <w:tcPr>
            <w:tcW w:w="1093" w:type="dxa"/>
            <w:vMerge/>
            <w:vAlign w:val="center"/>
          </w:tcPr>
          <w:p w14:paraId="3D232ED1" w14:textId="77777777" w:rsidR="00241417" w:rsidRPr="0039343F" w:rsidRDefault="00241417" w:rsidP="003A71DE">
            <w:pPr>
              <w:pStyle w:val="TAC"/>
            </w:pPr>
          </w:p>
        </w:tc>
        <w:tc>
          <w:tcPr>
            <w:tcW w:w="1985" w:type="dxa"/>
            <w:vAlign w:val="center"/>
          </w:tcPr>
          <w:p w14:paraId="09C7D3D5" w14:textId="77777777" w:rsidR="00241417" w:rsidRPr="0039343F" w:rsidRDefault="00241417" w:rsidP="003A71DE">
            <w:pPr>
              <w:pStyle w:val="TAC"/>
            </w:pPr>
            <w:r w:rsidRPr="0039343F">
              <w:t>TDLC300-100 Low</w:t>
            </w:r>
          </w:p>
        </w:tc>
        <w:tc>
          <w:tcPr>
            <w:tcW w:w="1580" w:type="dxa"/>
            <w:vAlign w:val="center"/>
          </w:tcPr>
          <w:p w14:paraId="521645EE" w14:textId="77777777" w:rsidR="00241417" w:rsidRPr="0039343F" w:rsidRDefault="00241417" w:rsidP="003A71DE">
            <w:pPr>
              <w:pStyle w:val="TAC"/>
            </w:pPr>
            <w:r>
              <w:rPr>
                <w:lang w:eastAsia="zh-CN"/>
              </w:rPr>
              <w:t>D-FR1-A.2.3-6</w:t>
            </w:r>
          </w:p>
        </w:tc>
        <w:tc>
          <w:tcPr>
            <w:tcW w:w="1255" w:type="dxa"/>
            <w:vAlign w:val="center"/>
          </w:tcPr>
          <w:p w14:paraId="3B85941A" w14:textId="77777777" w:rsidR="00241417" w:rsidRPr="0039343F" w:rsidRDefault="00241417" w:rsidP="003A71DE">
            <w:pPr>
              <w:pStyle w:val="TAC"/>
            </w:pPr>
            <w:r w:rsidRPr="0039343F">
              <w:t>pos1</w:t>
            </w:r>
          </w:p>
        </w:tc>
        <w:tc>
          <w:tcPr>
            <w:tcW w:w="1134" w:type="dxa"/>
            <w:vAlign w:val="center"/>
          </w:tcPr>
          <w:p w14:paraId="0E8F7EB8" w14:textId="77777777" w:rsidR="00241417" w:rsidRPr="0039343F" w:rsidRDefault="00241417" w:rsidP="003A71DE">
            <w:pPr>
              <w:pStyle w:val="TAC"/>
            </w:pPr>
            <w:r w:rsidRPr="0039343F">
              <w:t>10.0</w:t>
            </w:r>
          </w:p>
        </w:tc>
      </w:tr>
      <w:tr w:rsidR="00241417" w:rsidRPr="0039343F" w14:paraId="5A502BAA" w14:textId="77777777" w:rsidTr="003A71DE">
        <w:trPr>
          <w:cantSplit/>
          <w:jc w:val="center"/>
        </w:trPr>
        <w:tc>
          <w:tcPr>
            <w:tcW w:w="1007" w:type="dxa"/>
            <w:vMerge/>
            <w:vAlign w:val="center"/>
          </w:tcPr>
          <w:p w14:paraId="521F4ADC" w14:textId="77777777" w:rsidR="00241417" w:rsidRPr="0039343F" w:rsidRDefault="00241417" w:rsidP="003A71DE">
            <w:pPr>
              <w:pStyle w:val="TAC"/>
            </w:pPr>
          </w:p>
        </w:tc>
        <w:tc>
          <w:tcPr>
            <w:tcW w:w="1093" w:type="dxa"/>
            <w:vMerge/>
            <w:tcBorders>
              <w:bottom w:val="single" w:sz="4" w:space="0" w:color="auto"/>
            </w:tcBorders>
            <w:vAlign w:val="center"/>
          </w:tcPr>
          <w:p w14:paraId="1587B7A9" w14:textId="77777777" w:rsidR="00241417" w:rsidRPr="0039343F" w:rsidRDefault="00241417" w:rsidP="003A71DE">
            <w:pPr>
              <w:pStyle w:val="TAC"/>
            </w:pPr>
          </w:p>
        </w:tc>
        <w:tc>
          <w:tcPr>
            <w:tcW w:w="1985" w:type="dxa"/>
            <w:vAlign w:val="center"/>
          </w:tcPr>
          <w:p w14:paraId="129D8ACA" w14:textId="77777777" w:rsidR="00241417" w:rsidRPr="0039343F" w:rsidRDefault="00241417" w:rsidP="003A71DE">
            <w:pPr>
              <w:pStyle w:val="TAC"/>
            </w:pPr>
            <w:r w:rsidRPr="0039343F">
              <w:t>TDLA30-10 Low</w:t>
            </w:r>
          </w:p>
        </w:tc>
        <w:tc>
          <w:tcPr>
            <w:tcW w:w="1580" w:type="dxa"/>
            <w:vAlign w:val="center"/>
          </w:tcPr>
          <w:p w14:paraId="40E22A4B" w14:textId="77777777" w:rsidR="00241417" w:rsidRPr="0039343F" w:rsidRDefault="00241417" w:rsidP="003A71DE">
            <w:pPr>
              <w:pStyle w:val="TAC"/>
            </w:pPr>
            <w:r>
              <w:rPr>
                <w:lang w:eastAsia="zh-CN"/>
              </w:rPr>
              <w:t>D-FR1-A.2.4-6</w:t>
            </w:r>
          </w:p>
        </w:tc>
        <w:tc>
          <w:tcPr>
            <w:tcW w:w="1255" w:type="dxa"/>
            <w:vAlign w:val="center"/>
          </w:tcPr>
          <w:p w14:paraId="3F7D60F4" w14:textId="77777777" w:rsidR="00241417" w:rsidRPr="0039343F" w:rsidRDefault="00241417" w:rsidP="003A71DE">
            <w:pPr>
              <w:pStyle w:val="TAC"/>
            </w:pPr>
            <w:r w:rsidRPr="0039343F">
              <w:t>pos1</w:t>
            </w:r>
          </w:p>
        </w:tc>
        <w:tc>
          <w:tcPr>
            <w:tcW w:w="1134" w:type="dxa"/>
            <w:vAlign w:val="center"/>
          </w:tcPr>
          <w:p w14:paraId="47FD4516" w14:textId="77777777" w:rsidR="00241417" w:rsidRPr="0039343F" w:rsidRDefault="00241417" w:rsidP="003A71DE">
            <w:pPr>
              <w:pStyle w:val="TAC"/>
            </w:pPr>
            <w:r w:rsidRPr="0039343F">
              <w:t>12.5</w:t>
            </w:r>
          </w:p>
        </w:tc>
      </w:tr>
      <w:tr w:rsidR="00241417" w:rsidRPr="0039343F" w14:paraId="5AD0C256" w14:textId="77777777" w:rsidTr="003A71DE">
        <w:trPr>
          <w:cantSplit/>
          <w:jc w:val="center"/>
        </w:trPr>
        <w:tc>
          <w:tcPr>
            <w:tcW w:w="1007" w:type="dxa"/>
            <w:vMerge/>
            <w:vAlign w:val="center"/>
          </w:tcPr>
          <w:p w14:paraId="50A80E52" w14:textId="77777777" w:rsidR="00241417" w:rsidRPr="0039343F" w:rsidRDefault="00241417" w:rsidP="003A71DE">
            <w:pPr>
              <w:pStyle w:val="TAC"/>
            </w:pPr>
          </w:p>
        </w:tc>
        <w:tc>
          <w:tcPr>
            <w:tcW w:w="1093" w:type="dxa"/>
            <w:vMerge w:val="restart"/>
            <w:vAlign w:val="center"/>
          </w:tcPr>
          <w:p w14:paraId="5A3A3967" w14:textId="77777777" w:rsidR="00241417" w:rsidRPr="0039343F" w:rsidRDefault="00241417" w:rsidP="003A71DE">
            <w:pPr>
              <w:pStyle w:val="TAC"/>
            </w:pPr>
            <w:r w:rsidRPr="0039343F">
              <w:t>4</w:t>
            </w:r>
          </w:p>
        </w:tc>
        <w:tc>
          <w:tcPr>
            <w:tcW w:w="1985" w:type="dxa"/>
            <w:vAlign w:val="center"/>
          </w:tcPr>
          <w:p w14:paraId="06B9078D" w14:textId="77777777" w:rsidR="00241417" w:rsidRPr="0039343F" w:rsidRDefault="00241417" w:rsidP="003A71DE">
            <w:pPr>
              <w:pStyle w:val="TAC"/>
            </w:pPr>
            <w:r w:rsidRPr="0039343F">
              <w:t>TDLB100-400 Low</w:t>
            </w:r>
          </w:p>
        </w:tc>
        <w:tc>
          <w:tcPr>
            <w:tcW w:w="1580" w:type="dxa"/>
            <w:vAlign w:val="center"/>
          </w:tcPr>
          <w:p w14:paraId="03636B9E" w14:textId="77777777" w:rsidR="00241417" w:rsidRPr="0039343F" w:rsidRDefault="00241417" w:rsidP="003A71DE">
            <w:pPr>
              <w:pStyle w:val="TAC"/>
            </w:pPr>
            <w:r>
              <w:rPr>
                <w:lang w:eastAsia="zh-CN"/>
              </w:rPr>
              <w:t>D-FR1-A.2.1-6</w:t>
            </w:r>
          </w:p>
        </w:tc>
        <w:tc>
          <w:tcPr>
            <w:tcW w:w="1255" w:type="dxa"/>
            <w:vAlign w:val="center"/>
          </w:tcPr>
          <w:p w14:paraId="18243324" w14:textId="77777777" w:rsidR="00241417" w:rsidRPr="0039343F" w:rsidRDefault="00241417" w:rsidP="003A71DE">
            <w:pPr>
              <w:pStyle w:val="TAC"/>
            </w:pPr>
            <w:r w:rsidRPr="0039343F">
              <w:t>pos1</w:t>
            </w:r>
          </w:p>
        </w:tc>
        <w:tc>
          <w:tcPr>
            <w:tcW w:w="1134" w:type="dxa"/>
            <w:vAlign w:val="center"/>
          </w:tcPr>
          <w:p w14:paraId="3FCA9C08" w14:textId="77777777" w:rsidR="00241417" w:rsidRPr="0039343F" w:rsidRDefault="00241417" w:rsidP="003A71DE">
            <w:pPr>
              <w:pStyle w:val="TAC"/>
            </w:pPr>
            <w:r w:rsidRPr="0039343F">
              <w:t>-5.8</w:t>
            </w:r>
          </w:p>
        </w:tc>
      </w:tr>
      <w:tr w:rsidR="00241417" w:rsidRPr="0039343F" w14:paraId="346E7C0C" w14:textId="77777777" w:rsidTr="003A71DE">
        <w:trPr>
          <w:cantSplit/>
          <w:jc w:val="center"/>
        </w:trPr>
        <w:tc>
          <w:tcPr>
            <w:tcW w:w="1007" w:type="dxa"/>
            <w:vMerge/>
            <w:vAlign w:val="center"/>
          </w:tcPr>
          <w:p w14:paraId="15BC3882" w14:textId="77777777" w:rsidR="00241417" w:rsidRPr="0039343F" w:rsidRDefault="00241417" w:rsidP="003A71DE">
            <w:pPr>
              <w:pStyle w:val="TAC"/>
            </w:pPr>
          </w:p>
        </w:tc>
        <w:tc>
          <w:tcPr>
            <w:tcW w:w="1093" w:type="dxa"/>
            <w:vMerge/>
            <w:vAlign w:val="center"/>
          </w:tcPr>
          <w:p w14:paraId="70D08FD7" w14:textId="77777777" w:rsidR="00241417" w:rsidRPr="0039343F" w:rsidRDefault="00241417" w:rsidP="003A71DE">
            <w:pPr>
              <w:pStyle w:val="TAC"/>
            </w:pPr>
          </w:p>
        </w:tc>
        <w:tc>
          <w:tcPr>
            <w:tcW w:w="1985" w:type="dxa"/>
            <w:vAlign w:val="center"/>
          </w:tcPr>
          <w:p w14:paraId="0C2B294A" w14:textId="77777777" w:rsidR="00241417" w:rsidRPr="0039343F" w:rsidRDefault="00241417" w:rsidP="003A71DE">
            <w:pPr>
              <w:pStyle w:val="TAC"/>
            </w:pPr>
            <w:r w:rsidRPr="0039343F">
              <w:t>TDLC300-100 Low</w:t>
            </w:r>
          </w:p>
        </w:tc>
        <w:tc>
          <w:tcPr>
            <w:tcW w:w="1580" w:type="dxa"/>
            <w:vAlign w:val="center"/>
          </w:tcPr>
          <w:p w14:paraId="6EDBAADC" w14:textId="77777777" w:rsidR="00241417" w:rsidRPr="0039343F" w:rsidRDefault="00241417" w:rsidP="003A71DE">
            <w:pPr>
              <w:pStyle w:val="TAC"/>
            </w:pPr>
            <w:r>
              <w:rPr>
                <w:lang w:eastAsia="zh-CN"/>
              </w:rPr>
              <w:t>D-FR1-A.2.3-6</w:t>
            </w:r>
          </w:p>
        </w:tc>
        <w:tc>
          <w:tcPr>
            <w:tcW w:w="1255" w:type="dxa"/>
            <w:vAlign w:val="center"/>
          </w:tcPr>
          <w:p w14:paraId="7C36B5DA" w14:textId="77777777" w:rsidR="00241417" w:rsidRPr="0039343F" w:rsidRDefault="00241417" w:rsidP="003A71DE">
            <w:pPr>
              <w:pStyle w:val="TAC"/>
            </w:pPr>
            <w:r w:rsidRPr="0039343F">
              <w:t>pos1</w:t>
            </w:r>
          </w:p>
        </w:tc>
        <w:tc>
          <w:tcPr>
            <w:tcW w:w="1134" w:type="dxa"/>
            <w:vAlign w:val="center"/>
          </w:tcPr>
          <w:p w14:paraId="59EB56D1" w14:textId="77777777" w:rsidR="00241417" w:rsidRPr="0039343F" w:rsidRDefault="00241417" w:rsidP="003A71DE">
            <w:pPr>
              <w:pStyle w:val="TAC"/>
            </w:pPr>
            <w:r w:rsidRPr="0039343F">
              <w:t>6.2</w:t>
            </w:r>
          </w:p>
        </w:tc>
      </w:tr>
      <w:tr w:rsidR="00241417" w:rsidRPr="0039343F" w14:paraId="0A9327BA" w14:textId="77777777" w:rsidTr="003A71DE">
        <w:trPr>
          <w:cantSplit/>
          <w:jc w:val="center"/>
        </w:trPr>
        <w:tc>
          <w:tcPr>
            <w:tcW w:w="1007" w:type="dxa"/>
            <w:vMerge/>
            <w:vAlign w:val="center"/>
          </w:tcPr>
          <w:p w14:paraId="0D99B653" w14:textId="77777777" w:rsidR="00241417" w:rsidRPr="0039343F" w:rsidRDefault="00241417" w:rsidP="003A71DE">
            <w:pPr>
              <w:pStyle w:val="TAC"/>
            </w:pPr>
          </w:p>
        </w:tc>
        <w:tc>
          <w:tcPr>
            <w:tcW w:w="1093" w:type="dxa"/>
            <w:vMerge/>
            <w:tcBorders>
              <w:bottom w:val="single" w:sz="4" w:space="0" w:color="auto"/>
            </w:tcBorders>
            <w:vAlign w:val="center"/>
          </w:tcPr>
          <w:p w14:paraId="5CF43916" w14:textId="77777777" w:rsidR="00241417" w:rsidRPr="0039343F" w:rsidRDefault="00241417" w:rsidP="003A71DE">
            <w:pPr>
              <w:pStyle w:val="TAC"/>
            </w:pPr>
          </w:p>
        </w:tc>
        <w:tc>
          <w:tcPr>
            <w:tcW w:w="1985" w:type="dxa"/>
            <w:vAlign w:val="center"/>
          </w:tcPr>
          <w:p w14:paraId="203EDDE8" w14:textId="77777777" w:rsidR="00241417" w:rsidRPr="0039343F" w:rsidRDefault="00241417" w:rsidP="003A71DE">
            <w:pPr>
              <w:pStyle w:val="TAC"/>
            </w:pPr>
            <w:r w:rsidRPr="0039343F">
              <w:t>TDLA30-10 Low</w:t>
            </w:r>
          </w:p>
        </w:tc>
        <w:tc>
          <w:tcPr>
            <w:tcW w:w="1580" w:type="dxa"/>
            <w:vAlign w:val="center"/>
          </w:tcPr>
          <w:p w14:paraId="26D3C9C0" w14:textId="77777777" w:rsidR="00241417" w:rsidRPr="0039343F" w:rsidRDefault="00241417" w:rsidP="003A71DE">
            <w:pPr>
              <w:pStyle w:val="TAC"/>
            </w:pPr>
            <w:r>
              <w:rPr>
                <w:lang w:eastAsia="zh-CN"/>
              </w:rPr>
              <w:t>D-FR1-A.2.4-6</w:t>
            </w:r>
          </w:p>
        </w:tc>
        <w:tc>
          <w:tcPr>
            <w:tcW w:w="1255" w:type="dxa"/>
            <w:vAlign w:val="center"/>
          </w:tcPr>
          <w:p w14:paraId="25EF94A2" w14:textId="77777777" w:rsidR="00241417" w:rsidRPr="0039343F" w:rsidRDefault="00241417" w:rsidP="003A71DE">
            <w:pPr>
              <w:pStyle w:val="TAC"/>
            </w:pPr>
            <w:r w:rsidRPr="0039343F">
              <w:t>pos1</w:t>
            </w:r>
          </w:p>
        </w:tc>
        <w:tc>
          <w:tcPr>
            <w:tcW w:w="1134" w:type="dxa"/>
            <w:vAlign w:val="center"/>
          </w:tcPr>
          <w:p w14:paraId="7325C212" w14:textId="77777777" w:rsidR="00241417" w:rsidRPr="0039343F" w:rsidRDefault="00241417" w:rsidP="003A71DE">
            <w:pPr>
              <w:pStyle w:val="TAC"/>
            </w:pPr>
            <w:r w:rsidRPr="0039343F">
              <w:t>8.7</w:t>
            </w:r>
          </w:p>
        </w:tc>
      </w:tr>
      <w:tr w:rsidR="00241417" w:rsidRPr="0039343F" w14:paraId="4AB7394B" w14:textId="77777777" w:rsidTr="003A71DE">
        <w:trPr>
          <w:cantSplit/>
          <w:jc w:val="center"/>
        </w:trPr>
        <w:tc>
          <w:tcPr>
            <w:tcW w:w="1007" w:type="dxa"/>
            <w:vMerge/>
            <w:vAlign w:val="center"/>
          </w:tcPr>
          <w:p w14:paraId="4A67AF5C" w14:textId="77777777" w:rsidR="00241417" w:rsidRPr="0039343F" w:rsidRDefault="00241417" w:rsidP="003A71DE">
            <w:pPr>
              <w:pStyle w:val="TAC"/>
            </w:pPr>
          </w:p>
        </w:tc>
        <w:tc>
          <w:tcPr>
            <w:tcW w:w="1093" w:type="dxa"/>
            <w:vMerge w:val="restart"/>
            <w:vAlign w:val="center"/>
          </w:tcPr>
          <w:p w14:paraId="06BF3D62" w14:textId="77777777" w:rsidR="00241417" w:rsidRPr="0039343F" w:rsidRDefault="00241417" w:rsidP="003A71DE">
            <w:pPr>
              <w:pStyle w:val="TAC"/>
            </w:pPr>
            <w:r w:rsidRPr="0039343F">
              <w:t>8</w:t>
            </w:r>
          </w:p>
        </w:tc>
        <w:tc>
          <w:tcPr>
            <w:tcW w:w="1985" w:type="dxa"/>
            <w:vAlign w:val="center"/>
          </w:tcPr>
          <w:p w14:paraId="71A28DB9" w14:textId="77777777" w:rsidR="00241417" w:rsidRPr="0039343F" w:rsidRDefault="00241417" w:rsidP="003A71DE">
            <w:pPr>
              <w:pStyle w:val="TAC"/>
            </w:pPr>
            <w:r w:rsidRPr="0039343F">
              <w:t>TDLB100-400 Low</w:t>
            </w:r>
          </w:p>
        </w:tc>
        <w:tc>
          <w:tcPr>
            <w:tcW w:w="1580" w:type="dxa"/>
            <w:vAlign w:val="center"/>
          </w:tcPr>
          <w:p w14:paraId="0423EA19" w14:textId="77777777" w:rsidR="00241417" w:rsidRPr="0039343F" w:rsidRDefault="00241417" w:rsidP="003A71DE">
            <w:pPr>
              <w:pStyle w:val="TAC"/>
            </w:pPr>
            <w:r>
              <w:rPr>
                <w:lang w:eastAsia="zh-CN"/>
              </w:rPr>
              <w:t>D-FR1-A.2.1-6</w:t>
            </w:r>
          </w:p>
        </w:tc>
        <w:tc>
          <w:tcPr>
            <w:tcW w:w="1255" w:type="dxa"/>
            <w:vAlign w:val="center"/>
          </w:tcPr>
          <w:p w14:paraId="70D8662B" w14:textId="77777777" w:rsidR="00241417" w:rsidRPr="0039343F" w:rsidRDefault="00241417" w:rsidP="003A71DE">
            <w:pPr>
              <w:pStyle w:val="TAC"/>
            </w:pPr>
            <w:r w:rsidRPr="0039343F">
              <w:t>pos1</w:t>
            </w:r>
          </w:p>
        </w:tc>
        <w:tc>
          <w:tcPr>
            <w:tcW w:w="1134" w:type="dxa"/>
            <w:vAlign w:val="center"/>
          </w:tcPr>
          <w:p w14:paraId="38D47C74" w14:textId="77777777" w:rsidR="00241417" w:rsidRPr="0039343F" w:rsidRDefault="00241417" w:rsidP="003A71DE">
            <w:pPr>
              <w:pStyle w:val="TAC"/>
            </w:pPr>
            <w:r w:rsidRPr="0039343F">
              <w:t>-8.8</w:t>
            </w:r>
          </w:p>
        </w:tc>
      </w:tr>
      <w:tr w:rsidR="00241417" w:rsidRPr="0039343F" w14:paraId="4C9C4CA4" w14:textId="77777777" w:rsidTr="003A71DE">
        <w:trPr>
          <w:cantSplit/>
          <w:jc w:val="center"/>
        </w:trPr>
        <w:tc>
          <w:tcPr>
            <w:tcW w:w="1007" w:type="dxa"/>
            <w:vMerge/>
            <w:vAlign w:val="center"/>
          </w:tcPr>
          <w:p w14:paraId="721DD333" w14:textId="77777777" w:rsidR="00241417" w:rsidRPr="0039343F" w:rsidRDefault="00241417" w:rsidP="003A71DE">
            <w:pPr>
              <w:pStyle w:val="TAC"/>
            </w:pPr>
          </w:p>
        </w:tc>
        <w:tc>
          <w:tcPr>
            <w:tcW w:w="1093" w:type="dxa"/>
            <w:vMerge/>
            <w:vAlign w:val="center"/>
          </w:tcPr>
          <w:p w14:paraId="7D3C4D60" w14:textId="77777777" w:rsidR="00241417" w:rsidRPr="0039343F" w:rsidRDefault="00241417" w:rsidP="003A71DE">
            <w:pPr>
              <w:pStyle w:val="TAC"/>
            </w:pPr>
          </w:p>
        </w:tc>
        <w:tc>
          <w:tcPr>
            <w:tcW w:w="1985" w:type="dxa"/>
            <w:vAlign w:val="center"/>
          </w:tcPr>
          <w:p w14:paraId="0D7153D7" w14:textId="77777777" w:rsidR="00241417" w:rsidRPr="0039343F" w:rsidRDefault="00241417" w:rsidP="003A71DE">
            <w:pPr>
              <w:pStyle w:val="TAC"/>
            </w:pPr>
            <w:r w:rsidRPr="0039343F">
              <w:t>TDLC300-100 Low</w:t>
            </w:r>
          </w:p>
        </w:tc>
        <w:tc>
          <w:tcPr>
            <w:tcW w:w="1580" w:type="dxa"/>
            <w:vAlign w:val="center"/>
          </w:tcPr>
          <w:p w14:paraId="4FAA0B3D" w14:textId="77777777" w:rsidR="00241417" w:rsidRPr="0039343F" w:rsidRDefault="00241417" w:rsidP="003A71DE">
            <w:pPr>
              <w:pStyle w:val="TAC"/>
            </w:pPr>
            <w:r>
              <w:rPr>
                <w:lang w:eastAsia="zh-CN"/>
              </w:rPr>
              <w:t>D-FR1-A.2.3-6</w:t>
            </w:r>
          </w:p>
        </w:tc>
        <w:tc>
          <w:tcPr>
            <w:tcW w:w="1255" w:type="dxa"/>
            <w:vAlign w:val="center"/>
          </w:tcPr>
          <w:p w14:paraId="497DFC79" w14:textId="77777777" w:rsidR="00241417" w:rsidRPr="0039343F" w:rsidRDefault="00241417" w:rsidP="003A71DE">
            <w:pPr>
              <w:pStyle w:val="TAC"/>
            </w:pPr>
            <w:r w:rsidRPr="0039343F">
              <w:t>pos1</w:t>
            </w:r>
          </w:p>
        </w:tc>
        <w:tc>
          <w:tcPr>
            <w:tcW w:w="1134" w:type="dxa"/>
            <w:vAlign w:val="center"/>
          </w:tcPr>
          <w:p w14:paraId="014B9B95" w14:textId="77777777" w:rsidR="00241417" w:rsidRPr="0039343F" w:rsidRDefault="00241417" w:rsidP="003A71DE">
            <w:pPr>
              <w:pStyle w:val="TAC"/>
            </w:pPr>
            <w:r w:rsidRPr="0039343F">
              <w:t>3.0</w:t>
            </w:r>
          </w:p>
        </w:tc>
      </w:tr>
      <w:tr w:rsidR="00241417" w:rsidRPr="0039343F" w14:paraId="47F64309" w14:textId="77777777" w:rsidTr="003A71DE">
        <w:trPr>
          <w:cantSplit/>
          <w:jc w:val="center"/>
        </w:trPr>
        <w:tc>
          <w:tcPr>
            <w:tcW w:w="1007" w:type="dxa"/>
            <w:vMerge/>
            <w:tcBorders>
              <w:bottom w:val="single" w:sz="4" w:space="0" w:color="auto"/>
            </w:tcBorders>
            <w:vAlign w:val="center"/>
          </w:tcPr>
          <w:p w14:paraId="2334FB2F" w14:textId="77777777" w:rsidR="00241417" w:rsidRPr="0039343F" w:rsidRDefault="00241417" w:rsidP="003A71DE">
            <w:pPr>
              <w:pStyle w:val="TAC"/>
            </w:pPr>
          </w:p>
        </w:tc>
        <w:tc>
          <w:tcPr>
            <w:tcW w:w="1093" w:type="dxa"/>
            <w:vMerge/>
            <w:tcBorders>
              <w:bottom w:val="single" w:sz="4" w:space="0" w:color="auto"/>
            </w:tcBorders>
            <w:vAlign w:val="center"/>
          </w:tcPr>
          <w:p w14:paraId="42950394" w14:textId="77777777" w:rsidR="00241417" w:rsidRPr="0039343F" w:rsidRDefault="00241417" w:rsidP="003A71DE">
            <w:pPr>
              <w:pStyle w:val="TAC"/>
            </w:pPr>
          </w:p>
        </w:tc>
        <w:tc>
          <w:tcPr>
            <w:tcW w:w="1985" w:type="dxa"/>
            <w:vAlign w:val="center"/>
          </w:tcPr>
          <w:p w14:paraId="69B725DF" w14:textId="77777777" w:rsidR="00241417" w:rsidRPr="0039343F" w:rsidRDefault="00241417" w:rsidP="003A71DE">
            <w:pPr>
              <w:pStyle w:val="TAC"/>
            </w:pPr>
            <w:r w:rsidRPr="0039343F">
              <w:t>TDLA30-10 Low</w:t>
            </w:r>
          </w:p>
        </w:tc>
        <w:tc>
          <w:tcPr>
            <w:tcW w:w="1580" w:type="dxa"/>
            <w:vAlign w:val="center"/>
          </w:tcPr>
          <w:p w14:paraId="3234C570" w14:textId="77777777" w:rsidR="00241417" w:rsidRPr="0039343F" w:rsidRDefault="00241417" w:rsidP="003A71DE">
            <w:pPr>
              <w:pStyle w:val="TAC"/>
            </w:pPr>
            <w:r>
              <w:rPr>
                <w:lang w:eastAsia="zh-CN"/>
              </w:rPr>
              <w:t>D-FR1-A.2.4-6</w:t>
            </w:r>
          </w:p>
        </w:tc>
        <w:tc>
          <w:tcPr>
            <w:tcW w:w="1255" w:type="dxa"/>
            <w:vAlign w:val="center"/>
          </w:tcPr>
          <w:p w14:paraId="2D8722F8" w14:textId="77777777" w:rsidR="00241417" w:rsidRPr="0039343F" w:rsidRDefault="00241417" w:rsidP="003A71DE">
            <w:pPr>
              <w:pStyle w:val="TAC"/>
            </w:pPr>
            <w:r w:rsidRPr="0039343F">
              <w:t>pos1</w:t>
            </w:r>
          </w:p>
        </w:tc>
        <w:tc>
          <w:tcPr>
            <w:tcW w:w="1134" w:type="dxa"/>
            <w:vAlign w:val="center"/>
          </w:tcPr>
          <w:p w14:paraId="3455504C" w14:textId="77777777" w:rsidR="00241417" w:rsidRPr="0039343F" w:rsidRDefault="00241417" w:rsidP="003A71DE">
            <w:pPr>
              <w:pStyle w:val="TAC"/>
            </w:pPr>
            <w:r w:rsidRPr="0039343F">
              <w:t>5.5</w:t>
            </w:r>
          </w:p>
        </w:tc>
      </w:tr>
      <w:tr w:rsidR="00241417" w:rsidRPr="0039343F" w14:paraId="26082088" w14:textId="77777777" w:rsidTr="003A71DE">
        <w:trPr>
          <w:cantSplit/>
          <w:jc w:val="center"/>
        </w:trPr>
        <w:tc>
          <w:tcPr>
            <w:tcW w:w="1007" w:type="dxa"/>
            <w:vMerge w:val="restart"/>
            <w:vAlign w:val="center"/>
          </w:tcPr>
          <w:p w14:paraId="4D76786D" w14:textId="77777777" w:rsidR="00241417" w:rsidRPr="0039343F" w:rsidRDefault="00241417" w:rsidP="003A71DE">
            <w:pPr>
              <w:pStyle w:val="TAC"/>
            </w:pPr>
            <w:r w:rsidRPr="0039343F">
              <w:t>2</w:t>
            </w:r>
          </w:p>
        </w:tc>
        <w:tc>
          <w:tcPr>
            <w:tcW w:w="1093" w:type="dxa"/>
            <w:vMerge w:val="restart"/>
            <w:vAlign w:val="center"/>
          </w:tcPr>
          <w:p w14:paraId="54F6C45D" w14:textId="77777777" w:rsidR="00241417" w:rsidRPr="0039343F" w:rsidRDefault="00241417" w:rsidP="003A71DE">
            <w:pPr>
              <w:pStyle w:val="TAC"/>
            </w:pPr>
            <w:r w:rsidRPr="0039343F">
              <w:t>2</w:t>
            </w:r>
          </w:p>
        </w:tc>
        <w:tc>
          <w:tcPr>
            <w:tcW w:w="1985" w:type="dxa"/>
            <w:vAlign w:val="center"/>
          </w:tcPr>
          <w:p w14:paraId="19D80AAA" w14:textId="77777777" w:rsidR="00241417" w:rsidRPr="0039343F" w:rsidRDefault="00241417" w:rsidP="003A71DE">
            <w:pPr>
              <w:pStyle w:val="TAC"/>
            </w:pPr>
            <w:r w:rsidRPr="0039343F">
              <w:t>TDLB100-400 Low</w:t>
            </w:r>
          </w:p>
        </w:tc>
        <w:tc>
          <w:tcPr>
            <w:tcW w:w="1580" w:type="dxa"/>
            <w:vAlign w:val="center"/>
          </w:tcPr>
          <w:p w14:paraId="101DDE4C" w14:textId="77777777" w:rsidR="00241417" w:rsidRPr="0039343F" w:rsidRDefault="00241417" w:rsidP="003A71DE">
            <w:pPr>
              <w:pStyle w:val="TAC"/>
            </w:pPr>
            <w:r>
              <w:rPr>
                <w:lang w:eastAsia="zh-CN"/>
              </w:rPr>
              <w:t>D-FR1-A.2.1-13</w:t>
            </w:r>
          </w:p>
        </w:tc>
        <w:tc>
          <w:tcPr>
            <w:tcW w:w="1255" w:type="dxa"/>
            <w:vAlign w:val="center"/>
          </w:tcPr>
          <w:p w14:paraId="64E5C879" w14:textId="77777777" w:rsidR="00241417" w:rsidRPr="0039343F" w:rsidRDefault="00241417" w:rsidP="003A71DE">
            <w:pPr>
              <w:pStyle w:val="TAC"/>
            </w:pPr>
            <w:r w:rsidRPr="0039343F">
              <w:t>pos1</w:t>
            </w:r>
          </w:p>
        </w:tc>
        <w:tc>
          <w:tcPr>
            <w:tcW w:w="1134" w:type="dxa"/>
            <w:vAlign w:val="center"/>
          </w:tcPr>
          <w:p w14:paraId="5E48B301" w14:textId="77777777" w:rsidR="00241417" w:rsidRPr="0039343F" w:rsidRDefault="00241417" w:rsidP="003A71DE">
            <w:pPr>
              <w:pStyle w:val="TAC"/>
            </w:pPr>
            <w:r w:rsidRPr="0039343F">
              <w:t>1.7</w:t>
            </w:r>
          </w:p>
        </w:tc>
      </w:tr>
      <w:tr w:rsidR="00241417" w:rsidRPr="0039343F" w14:paraId="7B8420AD" w14:textId="77777777" w:rsidTr="003A71DE">
        <w:trPr>
          <w:cantSplit/>
          <w:jc w:val="center"/>
        </w:trPr>
        <w:tc>
          <w:tcPr>
            <w:tcW w:w="1007" w:type="dxa"/>
            <w:vMerge/>
            <w:vAlign w:val="center"/>
          </w:tcPr>
          <w:p w14:paraId="20D4BBDA" w14:textId="77777777" w:rsidR="00241417" w:rsidRPr="0039343F" w:rsidRDefault="00241417" w:rsidP="003A71DE">
            <w:pPr>
              <w:pStyle w:val="TAC"/>
            </w:pPr>
          </w:p>
        </w:tc>
        <w:tc>
          <w:tcPr>
            <w:tcW w:w="1093" w:type="dxa"/>
            <w:vMerge/>
            <w:tcBorders>
              <w:bottom w:val="single" w:sz="4" w:space="0" w:color="auto"/>
            </w:tcBorders>
            <w:vAlign w:val="center"/>
          </w:tcPr>
          <w:p w14:paraId="1C3767C0" w14:textId="77777777" w:rsidR="00241417" w:rsidRPr="0039343F" w:rsidRDefault="00241417" w:rsidP="003A71DE">
            <w:pPr>
              <w:pStyle w:val="TAC"/>
            </w:pPr>
          </w:p>
        </w:tc>
        <w:tc>
          <w:tcPr>
            <w:tcW w:w="1985" w:type="dxa"/>
            <w:vAlign w:val="center"/>
          </w:tcPr>
          <w:p w14:paraId="1493E427" w14:textId="77777777" w:rsidR="00241417" w:rsidRPr="0039343F" w:rsidRDefault="00241417" w:rsidP="003A71DE">
            <w:pPr>
              <w:pStyle w:val="TAC"/>
            </w:pPr>
            <w:r w:rsidRPr="0039343F">
              <w:t>TDLC300-100 Low</w:t>
            </w:r>
          </w:p>
        </w:tc>
        <w:tc>
          <w:tcPr>
            <w:tcW w:w="1580" w:type="dxa"/>
            <w:vAlign w:val="center"/>
          </w:tcPr>
          <w:p w14:paraId="08A476E0" w14:textId="77777777" w:rsidR="00241417" w:rsidRPr="0039343F" w:rsidRDefault="00241417" w:rsidP="003A71DE">
            <w:pPr>
              <w:pStyle w:val="TAC"/>
              <w:rPr>
                <w:lang w:eastAsia="zh-CN"/>
              </w:rPr>
            </w:pPr>
            <w:r>
              <w:rPr>
                <w:lang w:eastAsia="zh-CN"/>
              </w:rPr>
              <w:t>D-FR1-A.2.3-13</w:t>
            </w:r>
          </w:p>
        </w:tc>
        <w:tc>
          <w:tcPr>
            <w:tcW w:w="1255" w:type="dxa"/>
            <w:vAlign w:val="center"/>
          </w:tcPr>
          <w:p w14:paraId="28712686" w14:textId="77777777" w:rsidR="00241417" w:rsidRPr="0039343F" w:rsidRDefault="00241417" w:rsidP="003A71DE">
            <w:pPr>
              <w:pStyle w:val="TAC"/>
            </w:pPr>
            <w:r w:rsidRPr="0039343F">
              <w:t>pos1</w:t>
            </w:r>
          </w:p>
        </w:tc>
        <w:tc>
          <w:tcPr>
            <w:tcW w:w="1134" w:type="dxa"/>
            <w:vAlign w:val="center"/>
          </w:tcPr>
          <w:p w14:paraId="17DFB088" w14:textId="77777777" w:rsidR="00241417" w:rsidRPr="0039343F" w:rsidRDefault="00241417" w:rsidP="003A71DE">
            <w:pPr>
              <w:pStyle w:val="TAC"/>
            </w:pPr>
            <w:r w:rsidRPr="0039343F">
              <w:t>18.7</w:t>
            </w:r>
          </w:p>
        </w:tc>
      </w:tr>
      <w:tr w:rsidR="00241417" w:rsidRPr="0039343F" w14:paraId="6C642F52" w14:textId="77777777" w:rsidTr="003A71DE">
        <w:trPr>
          <w:cantSplit/>
          <w:jc w:val="center"/>
        </w:trPr>
        <w:tc>
          <w:tcPr>
            <w:tcW w:w="1007" w:type="dxa"/>
            <w:vMerge/>
            <w:vAlign w:val="center"/>
          </w:tcPr>
          <w:p w14:paraId="16E693CC" w14:textId="77777777" w:rsidR="00241417" w:rsidRPr="0039343F" w:rsidRDefault="00241417" w:rsidP="003A71DE">
            <w:pPr>
              <w:pStyle w:val="TAC"/>
            </w:pPr>
          </w:p>
        </w:tc>
        <w:tc>
          <w:tcPr>
            <w:tcW w:w="1093" w:type="dxa"/>
            <w:vMerge w:val="restart"/>
            <w:tcBorders>
              <w:top w:val="single" w:sz="4" w:space="0" w:color="auto"/>
            </w:tcBorders>
            <w:vAlign w:val="center"/>
          </w:tcPr>
          <w:p w14:paraId="26C0B1D5" w14:textId="77777777" w:rsidR="00241417" w:rsidRPr="0039343F" w:rsidRDefault="00241417" w:rsidP="003A71DE">
            <w:pPr>
              <w:pStyle w:val="TAC"/>
            </w:pPr>
            <w:r w:rsidRPr="0039343F">
              <w:t>4</w:t>
            </w:r>
          </w:p>
        </w:tc>
        <w:tc>
          <w:tcPr>
            <w:tcW w:w="1985" w:type="dxa"/>
            <w:vAlign w:val="center"/>
          </w:tcPr>
          <w:p w14:paraId="4972FF1C" w14:textId="77777777" w:rsidR="00241417" w:rsidRPr="0039343F" w:rsidRDefault="00241417" w:rsidP="003A71DE">
            <w:pPr>
              <w:pStyle w:val="TAC"/>
            </w:pPr>
            <w:r w:rsidRPr="0039343F">
              <w:t>TDLB100-400 Low</w:t>
            </w:r>
          </w:p>
        </w:tc>
        <w:tc>
          <w:tcPr>
            <w:tcW w:w="1580" w:type="dxa"/>
            <w:vAlign w:val="center"/>
          </w:tcPr>
          <w:p w14:paraId="5BB1C0FE" w14:textId="77777777" w:rsidR="00241417" w:rsidRPr="0039343F" w:rsidRDefault="00241417" w:rsidP="003A71DE">
            <w:pPr>
              <w:pStyle w:val="TAC"/>
              <w:rPr>
                <w:lang w:eastAsia="zh-CN"/>
              </w:rPr>
            </w:pPr>
            <w:r>
              <w:rPr>
                <w:lang w:eastAsia="zh-CN"/>
              </w:rPr>
              <w:t>D-FR1-A.2.1-13</w:t>
            </w:r>
          </w:p>
        </w:tc>
        <w:tc>
          <w:tcPr>
            <w:tcW w:w="1255" w:type="dxa"/>
            <w:vAlign w:val="center"/>
          </w:tcPr>
          <w:p w14:paraId="4D45B8B9" w14:textId="77777777" w:rsidR="00241417" w:rsidRPr="0039343F" w:rsidRDefault="00241417" w:rsidP="003A71DE">
            <w:pPr>
              <w:pStyle w:val="TAC"/>
            </w:pPr>
            <w:r w:rsidRPr="0039343F">
              <w:t>pos1</w:t>
            </w:r>
          </w:p>
        </w:tc>
        <w:tc>
          <w:tcPr>
            <w:tcW w:w="1134" w:type="dxa"/>
            <w:vAlign w:val="center"/>
          </w:tcPr>
          <w:p w14:paraId="06CC72FE" w14:textId="77777777" w:rsidR="00241417" w:rsidRPr="0039343F" w:rsidRDefault="00241417" w:rsidP="003A71DE">
            <w:pPr>
              <w:pStyle w:val="TAC"/>
            </w:pPr>
            <w:r w:rsidRPr="0039343F">
              <w:t>-2.1</w:t>
            </w:r>
          </w:p>
        </w:tc>
      </w:tr>
      <w:tr w:rsidR="00241417" w:rsidRPr="0039343F" w14:paraId="38F5A073" w14:textId="77777777" w:rsidTr="003A71DE">
        <w:trPr>
          <w:cantSplit/>
          <w:jc w:val="center"/>
        </w:trPr>
        <w:tc>
          <w:tcPr>
            <w:tcW w:w="1007" w:type="dxa"/>
            <w:vMerge/>
            <w:vAlign w:val="center"/>
          </w:tcPr>
          <w:p w14:paraId="5A784DB4" w14:textId="77777777" w:rsidR="00241417" w:rsidRPr="0039343F" w:rsidRDefault="00241417" w:rsidP="003A71DE">
            <w:pPr>
              <w:pStyle w:val="TAC"/>
            </w:pPr>
          </w:p>
        </w:tc>
        <w:tc>
          <w:tcPr>
            <w:tcW w:w="1093" w:type="dxa"/>
            <w:vMerge/>
            <w:tcBorders>
              <w:bottom w:val="single" w:sz="4" w:space="0" w:color="auto"/>
            </w:tcBorders>
            <w:vAlign w:val="center"/>
          </w:tcPr>
          <w:p w14:paraId="5449E867" w14:textId="77777777" w:rsidR="00241417" w:rsidRPr="0039343F" w:rsidRDefault="00241417" w:rsidP="003A71DE">
            <w:pPr>
              <w:pStyle w:val="TAC"/>
            </w:pPr>
          </w:p>
        </w:tc>
        <w:tc>
          <w:tcPr>
            <w:tcW w:w="1985" w:type="dxa"/>
            <w:vAlign w:val="center"/>
          </w:tcPr>
          <w:p w14:paraId="3265947B" w14:textId="77777777" w:rsidR="00241417" w:rsidRPr="0039343F" w:rsidRDefault="00241417" w:rsidP="003A71DE">
            <w:pPr>
              <w:pStyle w:val="TAC"/>
            </w:pPr>
            <w:r w:rsidRPr="0039343F">
              <w:t>TDLC300-100 Low</w:t>
            </w:r>
          </w:p>
        </w:tc>
        <w:tc>
          <w:tcPr>
            <w:tcW w:w="1580" w:type="dxa"/>
            <w:vAlign w:val="center"/>
          </w:tcPr>
          <w:p w14:paraId="7DFDFD15" w14:textId="77777777" w:rsidR="00241417" w:rsidRPr="0039343F" w:rsidRDefault="00241417" w:rsidP="003A71DE">
            <w:pPr>
              <w:pStyle w:val="TAC"/>
              <w:rPr>
                <w:lang w:eastAsia="zh-CN"/>
              </w:rPr>
            </w:pPr>
            <w:r>
              <w:rPr>
                <w:lang w:eastAsia="zh-CN"/>
              </w:rPr>
              <w:t>D-FR1-A.2.3-13</w:t>
            </w:r>
          </w:p>
        </w:tc>
        <w:tc>
          <w:tcPr>
            <w:tcW w:w="1255" w:type="dxa"/>
            <w:vAlign w:val="center"/>
          </w:tcPr>
          <w:p w14:paraId="13E31CFF" w14:textId="77777777" w:rsidR="00241417" w:rsidRPr="0039343F" w:rsidRDefault="00241417" w:rsidP="003A71DE">
            <w:pPr>
              <w:pStyle w:val="TAC"/>
            </w:pPr>
            <w:r w:rsidRPr="0039343F">
              <w:t>pos1</w:t>
            </w:r>
          </w:p>
        </w:tc>
        <w:tc>
          <w:tcPr>
            <w:tcW w:w="1134" w:type="dxa"/>
            <w:vAlign w:val="center"/>
          </w:tcPr>
          <w:p w14:paraId="0ADC1A9D" w14:textId="77777777" w:rsidR="00241417" w:rsidRPr="0039343F" w:rsidRDefault="00241417" w:rsidP="003A71DE">
            <w:pPr>
              <w:pStyle w:val="TAC"/>
            </w:pPr>
            <w:r w:rsidRPr="0039343F">
              <w:t>11.2</w:t>
            </w:r>
          </w:p>
        </w:tc>
      </w:tr>
      <w:tr w:rsidR="00241417" w:rsidRPr="0039343F" w14:paraId="5DF80088" w14:textId="77777777" w:rsidTr="003A71DE">
        <w:trPr>
          <w:cantSplit/>
          <w:jc w:val="center"/>
        </w:trPr>
        <w:tc>
          <w:tcPr>
            <w:tcW w:w="1007" w:type="dxa"/>
            <w:vMerge/>
            <w:vAlign w:val="center"/>
          </w:tcPr>
          <w:p w14:paraId="42192415" w14:textId="77777777" w:rsidR="00241417" w:rsidRPr="0039343F" w:rsidRDefault="00241417" w:rsidP="003A71DE">
            <w:pPr>
              <w:pStyle w:val="TAC"/>
            </w:pPr>
          </w:p>
        </w:tc>
        <w:tc>
          <w:tcPr>
            <w:tcW w:w="1093" w:type="dxa"/>
            <w:vMerge w:val="restart"/>
            <w:tcBorders>
              <w:top w:val="single" w:sz="4" w:space="0" w:color="auto"/>
            </w:tcBorders>
            <w:vAlign w:val="center"/>
          </w:tcPr>
          <w:p w14:paraId="598A1E55" w14:textId="77777777" w:rsidR="00241417" w:rsidRPr="0039343F" w:rsidRDefault="00241417" w:rsidP="003A71DE">
            <w:pPr>
              <w:pStyle w:val="TAC"/>
            </w:pPr>
            <w:r w:rsidRPr="0039343F">
              <w:t>8</w:t>
            </w:r>
          </w:p>
        </w:tc>
        <w:tc>
          <w:tcPr>
            <w:tcW w:w="1985" w:type="dxa"/>
            <w:vAlign w:val="center"/>
          </w:tcPr>
          <w:p w14:paraId="22BA8184" w14:textId="77777777" w:rsidR="00241417" w:rsidRPr="0039343F" w:rsidRDefault="00241417" w:rsidP="003A71DE">
            <w:pPr>
              <w:pStyle w:val="TAC"/>
            </w:pPr>
            <w:r w:rsidRPr="0039343F">
              <w:t>TDLB100-400 Low</w:t>
            </w:r>
          </w:p>
        </w:tc>
        <w:tc>
          <w:tcPr>
            <w:tcW w:w="1580" w:type="dxa"/>
            <w:vAlign w:val="center"/>
          </w:tcPr>
          <w:p w14:paraId="6807683D" w14:textId="77777777" w:rsidR="00241417" w:rsidRPr="0039343F" w:rsidRDefault="00241417" w:rsidP="003A71DE">
            <w:pPr>
              <w:pStyle w:val="TAC"/>
              <w:rPr>
                <w:lang w:eastAsia="zh-CN"/>
              </w:rPr>
            </w:pPr>
            <w:r>
              <w:rPr>
                <w:lang w:eastAsia="zh-CN"/>
              </w:rPr>
              <w:t>D-FR1-A.2.1-13</w:t>
            </w:r>
          </w:p>
        </w:tc>
        <w:tc>
          <w:tcPr>
            <w:tcW w:w="1255" w:type="dxa"/>
            <w:vAlign w:val="center"/>
          </w:tcPr>
          <w:p w14:paraId="7F36CA57" w14:textId="77777777" w:rsidR="00241417" w:rsidRPr="0039343F" w:rsidRDefault="00241417" w:rsidP="003A71DE">
            <w:pPr>
              <w:pStyle w:val="TAC"/>
            </w:pPr>
            <w:r w:rsidRPr="0039343F">
              <w:t>pos1</w:t>
            </w:r>
          </w:p>
        </w:tc>
        <w:tc>
          <w:tcPr>
            <w:tcW w:w="1134" w:type="dxa"/>
            <w:vAlign w:val="center"/>
          </w:tcPr>
          <w:p w14:paraId="73FD782B" w14:textId="77777777" w:rsidR="00241417" w:rsidRPr="0039343F" w:rsidRDefault="00241417" w:rsidP="003A71DE">
            <w:pPr>
              <w:pStyle w:val="TAC"/>
            </w:pPr>
            <w:r w:rsidRPr="0039343F">
              <w:t>-5.2</w:t>
            </w:r>
          </w:p>
        </w:tc>
      </w:tr>
      <w:tr w:rsidR="00241417" w:rsidRPr="0039343F" w14:paraId="6E4E1667" w14:textId="77777777" w:rsidTr="003A71DE">
        <w:trPr>
          <w:cantSplit/>
          <w:jc w:val="center"/>
        </w:trPr>
        <w:tc>
          <w:tcPr>
            <w:tcW w:w="1007" w:type="dxa"/>
            <w:vMerge/>
            <w:vAlign w:val="center"/>
          </w:tcPr>
          <w:p w14:paraId="0E394570" w14:textId="77777777" w:rsidR="00241417" w:rsidRPr="0039343F" w:rsidRDefault="00241417" w:rsidP="003A71DE">
            <w:pPr>
              <w:pStyle w:val="TAC"/>
            </w:pPr>
          </w:p>
        </w:tc>
        <w:tc>
          <w:tcPr>
            <w:tcW w:w="1093" w:type="dxa"/>
            <w:vMerge/>
            <w:vAlign w:val="center"/>
          </w:tcPr>
          <w:p w14:paraId="46299FF8" w14:textId="77777777" w:rsidR="00241417" w:rsidRPr="0039343F" w:rsidRDefault="00241417" w:rsidP="003A71DE">
            <w:pPr>
              <w:pStyle w:val="TAC"/>
            </w:pPr>
          </w:p>
        </w:tc>
        <w:tc>
          <w:tcPr>
            <w:tcW w:w="1985" w:type="dxa"/>
            <w:vAlign w:val="center"/>
          </w:tcPr>
          <w:p w14:paraId="45EAD578" w14:textId="77777777" w:rsidR="00241417" w:rsidRPr="0039343F" w:rsidRDefault="00241417" w:rsidP="003A71DE">
            <w:pPr>
              <w:pStyle w:val="TAC"/>
            </w:pPr>
            <w:r w:rsidRPr="0039343F">
              <w:t>TDLC300-100 Low</w:t>
            </w:r>
          </w:p>
        </w:tc>
        <w:tc>
          <w:tcPr>
            <w:tcW w:w="1580" w:type="dxa"/>
            <w:vAlign w:val="center"/>
          </w:tcPr>
          <w:p w14:paraId="5D0C3768" w14:textId="77777777" w:rsidR="00241417" w:rsidRPr="0039343F" w:rsidRDefault="00241417" w:rsidP="003A71DE">
            <w:pPr>
              <w:pStyle w:val="TAC"/>
              <w:rPr>
                <w:lang w:eastAsia="zh-CN"/>
              </w:rPr>
            </w:pPr>
            <w:r>
              <w:rPr>
                <w:lang w:eastAsia="zh-CN"/>
              </w:rPr>
              <w:t>D-FR1-A.2.3-13</w:t>
            </w:r>
          </w:p>
        </w:tc>
        <w:tc>
          <w:tcPr>
            <w:tcW w:w="1255" w:type="dxa"/>
            <w:vAlign w:val="center"/>
          </w:tcPr>
          <w:p w14:paraId="38B67051" w14:textId="77777777" w:rsidR="00241417" w:rsidRPr="0039343F" w:rsidRDefault="00241417" w:rsidP="003A71DE">
            <w:pPr>
              <w:pStyle w:val="TAC"/>
            </w:pPr>
            <w:r w:rsidRPr="0039343F">
              <w:t>pos1</w:t>
            </w:r>
          </w:p>
        </w:tc>
        <w:tc>
          <w:tcPr>
            <w:tcW w:w="1134" w:type="dxa"/>
            <w:vAlign w:val="center"/>
          </w:tcPr>
          <w:p w14:paraId="49FF9D9B" w14:textId="77777777" w:rsidR="00241417" w:rsidRPr="0039343F" w:rsidRDefault="00241417" w:rsidP="003A71DE">
            <w:pPr>
              <w:pStyle w:val="TAC"/>
            </w:pPr>
            <w:r w:rsidRPr="0039343F">
              <w:t>6.9</w:t>
            </w:r>
          </w:p>
        </w:tc>
      </w:tr>
    </w:tbl>
    <w:p w14:paraId="44BE581E" w14:textId="77777777" w:rsidR="00241417" w:rsidRPr="0039343F" w:rsidRDefault="00241417" w:rsidP="00241417">
      <w:pPr>
        <w:rPr>
          <w:lang w:eastAsia="zh-CN"/>
        </w:rPr>
      </w:pPr>
    </w:p>
    <w:p w14:paraId="5547438D" w14:textId="77777777" w:rsidR="00241417" w:rsidRPr="00B054F4" w:rsidRDefault="00241417" w:rsidP="00241417">
      <w:pPr>
        <w:pStyle w:val="TH"/>
        <w:rPr>
          <w:lang w:eastAsia="zh-CN"/>
        </w:rPr>
      </w:pPr>
      <w:r w:rsidRPr="00B054F4">
        <w:t>Table 8.1.2.1.2-14: Minimum requirements for PUSCH</w:t>
      </w:r>
      <w:r w:rsidRPr="00B054F4">
        <w:rPr>
          <w:rFonts w:hint="eastAsia"/>
          <w:lang w:eastAsia="zh-CN"/>
        </w:rPr>
        <w:t xml:space="preserve"> </w:t>
      </w:r>
      <w:r w:rsidRPr="00B054F4">
        <w:rPr>
          <w:lang w:eastAsia="zh-CN"/>
        </w:rPr>
        <w:t>with</w:t>
      </w:r>
      <w:r w:rsidRPr="00B054F4">
        <w:rPr>
          <w:rFonts w:hint="eastAsia"/>
          <w:lang w:eastAsia="zh-CN"/>
        </w:rPr>
        <w:t xml:space="preserve"> 70% of maximum throughput</w:t>
      </w:r>
      <w:r w:rsidRPr="00B054F4">
        <w:t>, Type B, 100 MHz channel bandwidth</w:t>
      </w:r>
      <w:r w:rsidRPr="00B054F4">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80"/>
        <w:gridCol w:w="1255"/>
        <w:gridCol w:w="1134"/>
      </w:tblGrid>
      <w:tr w:rsidR="00241417" w:rsidRPr="0039343F" w14:paraId="70DB06DE" w14:textId="77777777" w:rsidTr="003A71DE">
        <w:trPr>
          <w:cantSplit/>
          <w:jc w:val="center"/>
        </w:trPr>
        <w:tc>
          <w:tcPr>
            <w:tcW w:w="1007" w:type="dxa"/>
            <w:tcBorders>
              <w:bottom w:val="single" w:sz="4" w:space="0" w:color="auto"/>
            </w:tcBorders>
            <w:vAlign w:val="center"/>
          </w:tcPr>
          <w:p w14:paraId="29F74B18" w14:textId="77777777" w:rsidR="00241417" w:rsidRPr="0039343F" w:rsidRDefault="00241417" w:rsidP="003A71DE">
            <w:pPr>
              <w:pStyle w:val="TAH"/>
            </w:pPr>
            <w:r w:rsidRPr="0039343F">
              <w:t>Number of TX antennas</w:t>
            </w:r>
          </w:p>
        </w:tc>
        <w:tc>
          <w:tcPr>
            <w:tcW w:w="1093" w:type="dxa"/>
            <w:tcBorders>
              <w:bottom w:val="single" w:sz="4" w:space="0" w:color="auto"/>
            </w:tcBorders>
            <w:vAlign w:val="center"/>
          </w:tcPr>
          <w:p w14:paraId="0F08AD84" w14:textId="77777777" w:rsidR="00241417" w:rsidRPr="0039343F" w:rsidRDefault="00241417" w:rsidP="003A71DE">
            <w:pPr>
              <w:pStyle w:val="TAH"/>
            </w:pPr>
            <w:r w:rsidRPr="0039343F">
              <w:t xml:space="preserve">Number of </w:t>
            </w:r>
            <w:r>
              <w:t>Demodulation Branches</w:t>
            </w:r>
          </w:p>
        </w:tc>
        <w:tc>
          <w:tcPr>
            <w:tcW w:w="1985" w:type="dxa"/>
            <w:vAlign w:val="center"/>
          </w:tcPr>
          <w:p w14:paraId="5AF5539A" w14:textId="22BE3F4F" w:rsidR="00241417" w:rsidRPr="0039343F" w:rsidRDefault="00241417" w:rsidP="003A71DE">
            <w:pPr>
              <w:pStyle w:val="TAH"/>
            </w:pPr>
            <w:r w:rsidRPr="0039343F">
              <w:t xml:space="preserve">Propagation conditions and correlation matrix (Annex </w:t>
            </w:r>
            <w:r>
              <w:t>TBA</w:t>
            </w:r>
            <w:r w:rsidRPr="0039343F">
              <w:t>)</w:t>
            </w:r>
          </w:p>
        </w:tc>
        <w:tc>
          <w:tcPr>
            <w:tcW w:w="1580" w:type="dxa"/>
            <w:vAlign w:val="center"/>
          </w:tcPr>
          <w:p w14:paraId="1095330F" w14:textId="77777777" w:rsidR="00241417" w:rsidRPr="0039343F" w:rsidRDefault="00241417" w:rsidP="003A71DE">
            <w:pPr>
              <w:pStyle w:val="TAH"/>
            </w:pPr>
            <w:r w:rsidRPr="0039343F">
              <w:t>FRC</w:t>
            </w:r>
            <w:r w:rsidRPr="0039343F">
              <w:br/>
              <w:t>(Annex A)</w:t>
            </w:r>
          </w:p>
        </w:tc>
        <w:tc>
          <w:tcPr>
            <w:tcW w:w="1255" w:type="dxa"/>
            <w:vAlign w:val="center"/>
          </w:tcPr>
          <w:p w14:paraId="46D48072" w14:textId="77777777" w:rsidR="00241417" w:rsidRPr="0039343F" w:rsidRDefault="00241417" w:rsidP="003A71DE">
            <w:pPr>
              <w:pStyle w:val="TAH"/>
            </w:pPr>
            <w:r w:rsidRPr="0039343F">
              <w:t>Additional DM-RS position</w:t>
            </w:r>
          </w:p>
        </w:tc>
        <w:tc>
          <w:tcPr>
            <w:tcW w:w="1134" w:type="dxa"/>
            <w:vAlign w:val="center"/>
          </w:tcPr>
          <w:p w14:paraId="61505F84" w14:textId="77777777" w:rsidR="00241417" w:rsidRPr="0039343F" w:rsidRDefault="00241417" w:rsidP="003A71DE">
            <w:pPr>
              <w:pStyle w:val="TAH"/>
            </w:pPr>
            <w:r w:rsidRPr="0039343F">
              <w:t>SNR</w:t>
            </w:r>
          </w:p>
          <w:p w14:paraId="636D3D71" w14:textId="77777777" w:rsidR="00241417" w:rsidRPr="0039343F" w:rsidRDefault="00241417" w:rsidP="003A71DE">
            <w:pPr>
              <w:pStyle w:val="TAH"/>
            </w:pPr>
            <w:r w:rsidRPr="0039343F">
              <w:t>(dB)</w:t>
            </w:r>
          </w:p>
        </w:tc>
      </w:tr>
      <w:tr w:rsidR="00241417" w:rsidRPr="0039343F" w14:paraId="4C7D0964" w14:textId="77777777" w:rsidTr="003A71DE">
        <w:trPr>
          <w:cantSplit/>
          <w:jc w:val="center"/>
        </w:trPr>
        <w:tc>
          <w:tcPr>
            <w:tcW w:w="1007" w:type="dxa"/>
            <w:vMerge w:val="restart"/>
            <w:vAlign w:val="center"/>
          </w:tcPr>
          <w:p w14:paraId="1DA3654B" w14:textId="77777777" w:rsidR="00241417" w:rsidRPr="0039343F" w:rsidRDefault="00241417" w:rsidP="003A71DE">
            <w:pPr>
              <w:pStyle w:val="TAC"/>
            </w:pPr>
            <w:r w:rsidRPr="0039343F">
              <w:t>1</w:t>
            </w:r>
          </w:p>
        </w:tc>
        <w:tc>
          <w:tcPr>
            <w:tcW w:w="1093" w:type="dxa"/>
            <w:vMerge w:val="restart"/>
            <w:vAlign w:val="center"/>
          </w:tcPr>
          <w:p w14:paraId="20719E6D" w14:textId="77777777" w:rsidR="00241417" w:rsidRPr="0039343F" w:rsidRDefault="00241417" w:rsidP="003A71DE">
            <w:pPr>
              <w:pStyle w:val="TAC"/>
            </w:pPr>
            <w:r w:rsidRPr="0039343F">
              <w:t>2</w:t>
            </w:r>
          </w:p>
        </w:tc>
        <w:tc>
          <w:tcPr>
            <w:tcW w:w="1985" w:type="dxa"/>
            <w:vAlign w:val="center"/>
          </w:tcPr>
          <w:p w14:paraId="41D78D92" w14:textId="77777777" w:rsidR="00241417" w:rsidRPr="0039343F" w:rsidRDefault="00241417" w:rsidP="003A71DE">
            <w:pPr>
              <w:pStyle w:val="TAC"/>
            </w:pPr>
            <w:r w:rsidRPr="0039343F">
              <w:t>TDLB100-400 Low</w:t>
            </w:r>
          </w:p>
        </w:tc>
        <w:tc>
          <w:tcPr>
            <w:tcW w:w="1580" w:type="dxa"/>
            <w:vAlign w:val="center"/>
          </w:tcPr>
          <w:p w14:paraId="055EE8F1" w14:textId="77777777" w:rsidR="00241417" w:rsidRPr="0039343F" w:rsidRDefault="00241417" w:rsidP="003A71DE">
            <w:pPr>
              <w:pStyle w:val="TAC"/>
            </w:pPr>
            <w:r>
              <w:rPr>
                <w:lang w:eastAsia="zh-CN"/>
              </w:rPr>
              <w:t>D-FR1-A.2.1-7</w:t>
            </w:r>
          </w:p>
        </w:tc>
        <w:tc>
          <w:tcPr>
            <w:tcW w:w="1255" w:type="dxa"/>
            <w:vAlign w:val="center"/>
          </w:tcPr>
          <w:p w14:paraId="251B234B" w14:textId="77777777" w:rsidR="00241417" w:rsidRPr="0039343F" w:rsidRDefault="00241417" w:rsidP="003A71DE">
            <w:pPr>
              <w:pStyle w:val="TAC"/>
            </w:pPr>
            <w:r w:rsidRPr="0039343F">
              <w:t>pos1</w:t>
            </w:r>
          </w:p>
        </w:tc>
        <w:tc>
          <w:tcPr>
            <w:tcW w:w="1134" w:type="dxa"/>
            <w:vAlign w:val="center"/>
          </w:tcPr>
          <w:p w14:paraId="1D25C180" w14:textId="77777777" w:rsidR="00241417" w:rsidRPr="0039343F" w:rsidRDefault="00241417" w:rsidP="003A71DE">
            <w:pPr>
              <w:pStyle w:val="TAC"/>
            </w:pPr>
            <w:r w:rsidRPr="0039343F">
              <w:t>-2.5</w:t>
            </w:r>
          </w:p>
        </w:tc>
      </w:tr>
      <w:tr w:rsidR="00241417" w:rsidRPr="0039343F" w14:paraId="7B632239" w14:textId="77777777" w:rsidTr="003A71DE">
        <w:trPr>
          <w:cantSplit/>
          <w:jc w:val="center"/>
        </w:trPr>
        <w:tc>
          <w:tcPr>
            <w:tcW w:w="1007" w:type="dxa"/>
            <w:vMerge/>
            <w:vAlign w:val="center"/>
          </w:tcPr>
          <w:p w14:paraId="73DE1C83" w14:textId="77777777" w:rsidR="00241417" w:rsidRPr="0039343F" w:rsidRDefault="00241417" w:rsidP="003A71DE">
            <w:pPr>
              <w:pStyle w:val="TAC"/>
            </w:pPr>
          </w:p>
        </w:tc>
        <w:tc>
          <w:tcPr>
            <w:tcW w:w="1093" w:type="dxa"/>
            <w:vMerge/>
            <w:vAlign w:val="center"/>
          </w:tcPr>
          <w:p w14:paraId="2AF8CFF7" w14:textId="77777777" w:rsidR="00241417" w:rsidRPr="0039343F" w:rsidRDefault="00241417" w:rsidP="003A71DE">
            <w:pPr>
              <w:pStyle w:val="TAC"/>
            </w:pPr>
          </w:p>
        </w:tc>
        <w:tc>
          <w:tcPr>
            <w:tcW w:w="1985" w:type="dxa"/>
            <w:vAlign w:val="center"/>
          </w:tcPr>
          <w:p w14:paraId="264F12AB" w14:textId="77777777" w:rsidR="00241417" w:rsidRPr="0039343F" w:rsidRDefault="00241417" w:rsidP="003A71DE">
            <w:pPr>
              <w:pStyle w:val="TAC"/>
            </w:pPr>
            <w:r w:rsidRPr="0039343F">
              <w:t>TDLC300-100 Low</w:t>
            </w:r>
          </w:p>
        </w:tc>
        <w:tc>
          <w:tcPr>
            <w:tcW w:w="1580" w:type="dxa"/>
            <w:vAlign w:val="center"/>
          </w:tcPr>
          <w:p w14:paraId="428BFF17" w14:textId="77777777" w:rsidR="00241417" w:rsidRPr="0039343F" w:rsidRDefault="00241417" w:rsidP="003A71DE">
            <w:pPr>
              <w:pStyle w:val="TAC"/>
            </w:pPr>
            <w:r>
              <w:rPr>
                <w:lang w:eastAsia="zh-CN"/>
              </w:rPr>
              <w:t>D-FR1-A.2.3-7</w:t>
            </w:r>
          </w:p>
        </w:tc>
        <w:tc>
          <w:tcPr>
            <w:tcW w:w="1255" w:type="dxa"/>
            <w:vAlign w:val="center"/>
          </w:tcPr>
          <w:p w14:paraId="0FC5EE73" w14:textId="77777777" w:rsidR="00241417" w:rsidRPr="0039343F" w:rsidRDefault="00241417" w:rsidP="003A71DE">
            <w:pPr>
              <w:pStyle w:val="TAC"/>
            </w:pPr>
            <w:r w:rsidRPr="0039343F">
              <w:t>pos1</w:t>
            </w:r>
          </w:p>
        </w:tc>
        <w:tc>
          <w:tcPr>
            <w:tcW w:w="1134" w:type="dxa"/>
            <w:vAlign w:val="center"/>
          </w:tcPr>
          <w:p w14:paraId="37596421" w14:textId="77777777" w:rsidR="00241417" w:rsidRPr="0039343F" w:rsidRDefault="00241417" w:rsidP="003A71DE">
            <w:pPr>
              <w:pStyle w:val="TAC"/>
            </w:pPr>
            <w:r w:rsidRPr="0039343F">
              <w:t>10.1</w:t>
            </w:r>
          </w:p>
        </w:tc>
      </w:tr>
      <w:tr w:rsidR="00241417" w:rsidRPr="0039343F" w14:paraId="60A65939" w14:textId="77777777" w:rsidTr="003A71DE">
        <w:trPr>
          <w:cantSplit/>
          <w:jc w:val="center"/>
        </w:trPr>
        <w:tc>
          <w:tcPr>
            <w:tcW w:w="1007" w:type="dxa"/>
            <w:vMerge/>
            <w:vAlign w:val="center"/>
          </w:tcPr>
          <w:p w14:paraId="2524D58D" w14:textId="77777777" w:rsidR="00241417" w:rsidRPr="0039343F" w:rsidRDefault="00241417" w:rsidP="003A71DE">
            <w:pPr>
              <w:pStyle w:val="TAC"/>
            </w:pPr>
          </w:p>
        </w:tc>
        <w:tc>
          <w:tcPr>
            <w:tcW w:w="1093" w:type="dxa"/>
            <w:vMerge/>
            <w:tcBorders>
              <w:bottom w:val="single" w:sz="4" w:space="0" w:color="auto"/>
            </w:tcBorders>
            <w:vAlign w:val="center"/>
          </w:tcPr>
          <w:p w14:paraId="11214AFB" w14:textId="77777777" w:rsidR="00241417" w:rsidRPr="0039343F" w:rsidRDefault="00241417" w:rsidP="003A71DE">
            <w:pPr>
              <w:pStyle w:val="TAC"/>
            </w:pPr>
          </w:p>
        </w:tc>
        <w:tc>
          <w:tcPr>
            <w:tcW w:w="1985" w:type="dxa"/>
            <w:vAlign w:val="center"/>
          </w:tcPr>
          <w:p w14:paraId="454640F8" w14:textId="77777777" w:rsidR="00241417" w:rsidRPr="0039343F" w:rsidRDefault="00241417" w:rsidP="003A71DE">
            <w:pPr>
              <w:pStyle w:val="TAC"/>
            </w:pPr>
            <w:r w:rsidRPr="0039343F">
              <w:t>TDLA30-10 Low</w:t>
            </w:r>
          </w:p>
        </w:tc>
        <w:tc>
          <w:tcPr>
            <w:tcW w:w="1580" w:type="dxa"/>
            <w:vAlign w:val="center"/>
          </w:tcPr>
          <w:p w14:paraId="3337565E" w14:textId="77777777" w:rsidR="00241417" w:rsidRPr="0039343F" w:rsidRDefault="00241417" w:rsidP="003A71DE">
            <w:pPr>
              <w:pStyle w:val="TAC"/>
            </w:pPr>
            <w:r>
              <w:rPr>
                <w:lang w:eastAsia="zh-CN"/>
              </w:rPr>
              <w:t>D-FR1-A.2.4-7</w:t>
            </w:r>
          </w:p>
        </w:tc>
        <w:tc>
          <w:tcPr>
            <w:tcW w:w="1255" w:type="dxa"/>
            <w:vAlign w:val="center"/>
          </w:tcPr>
          <w:p w14:paraId="6CF919AE" w14:textId="77777777" w:rsidR="00241417" w:rsidRPr="0039343F" w:rsidRDefault="00241417" w:rsidP="003A71DE">
            <w:pPr>
              <w:pStyle w:val="TAC"/>
            </w:pPr>
            <w:r w:rsidRPr="0039343F">
              <w:t>pos1</w:t>
            </w:r>
          </w:p>
        </w:tc>
        <w:tc>
          <w:tcPr>
            <w:tcW w:w="1134" w:type="dxa"/>
            <w:vAlign w:val="center"/>
          </w:tcPr>
          <w:p w14:paraId="2B5B17A2" w14:textId="77777777" w:rsidR="00241417" w:rsidRPr="0039343F" w:rsidRDefault="00241417" w:rsidP="003A71DE">
            <w:pPr>
              <w:pStyle w:val="TAC"/>
            </w:pPr>
            <w:r w:rsidRPr="0039343F">
              <w:t>13.1</w:t>
            </w:r>
          </w:p>
        </w:tc>
      </w:tr>
      <w:tr w:rsidR="00241417" w:rsidRPr="0039343F" w14:paraId="791944CB" w14:textId="77777777" w:rsidTr="003A71DE">
        <w:trPr>
          <w:cantSplit/>
          <w:jc w:val="center"/>
        </w:trPr>
        <w:tc>
          <w:tcPr>
            <w:tcW w:w="1007" w:type="dxa"/>
            <w:vMerge/>
            <w:vAlign w:val="center"/>
          </w:tcPr>
          <w:p w14:paraId="68B9C276" w14:textId="77777777" w:rsidR="00241417" w:rsidRPr="0039343F" w:rsidRDefault="00241417" w:rsidP="003A71DE">
            <w:pPr>
              <w:pStyle w:val="TAC"/>
            </w:pPr>
          </w:p>
        </w:tc>
        <w:tc>
          <w:tcPr>
            <w:tcW w:w="1093" w:type="dxa"/>
            <w:vMerge w:val="restart"/>
            <w:vAlign w:val="center"/>
          </w:tcPr>
          <w:p w14:paraId="39661224" w14:textId="77777777" w:rsidR="00241417" w:rsidRPr="0039343F" w:rsidRDefault="00241417" w:rsidP="003A71DE">
            <w:pPr>
              <w:pStyle w:val="TAC"/>
            </w:pPr>
            <w:r w:rsidRPr="0039343F">
              <w:t>4</w:t>
            </w:r>
          </w:p>
        </w:tc>
        <w:tc>
          <w:tcPr>
            <w:tcW w:w="1985" w:type="dxa"/>
            <w:vAlign w:val="center"/>
          </w:tcPr>
          <w:p w14:paraId="1BD2D0CA" w14:textId="77777777" w:rsidR="00241417" w:rsidRPr="0039343F" w:rsidRDefault="00241417" w:rsidP="003A71DE">
            <w:pPr>
              <w:pStyle w:val="TAC"/>
            </w:pPr>
            <w:r w:rsidRPr="0039343F">
              <w:t>TDLB100-400 Low</w:t>
            </w:r>
          </w:p>
        </w:tc>
        <w:tc>
          <w:tcPr>
            <w:tcW w:w="1580" w:type="dxa"/>
            <w:vAlign w:val="center"/>
          </w:tcPr>
          <w:p w14:paraId="01A08378" w14:textId="77777777" w:rsidR="00241417" w:rsidRPr="0039343F" w:rsidRDefault="00241417" w:rsidP="003A71DE">
            <w:pPr>
              <w:pStyle w:val="TAC"/>
            </w:pPr>
            <w:r>
              <w:rPr>
                <w:lang w:eastAsia="zh-CN"/>
              </w:rPr>
              <w:t>D-FR1-A.2.1-7</w:t>
            </w:r>
          </w:p>
        </w:tc>
        <w:tc>
          <w:tcPr>
            <w:tcW w:w="1255" w:type="dxa"/>
            <w:vAlign w:val="center"/>
          </w:tcPr>
          <w:p w14:paraId="05E03AE9" w14:textId="77777777" w:rsidR="00241417" w:rsidRPr="0039343F" w:rsidRDefault="00241417" w:rsidP="003A71DE">
            <w:pPr>
              <w:pStyle w:val="TAC"/>
            </w:pPr>
            <w:r w:rsidRPr="0039343F">
              <w:t>pos1</w:t>
            </w:r>
          </w:p>
        </w:tc>
        <w:tc>
          <w:tcPr>
            <w:tcW w:w="1134" w:type="dxa"/>
            <w:vAlign w:val="center"/>
          </w:tcPr>
          <w:p w14:paraId="0640A57C" w14:textId="77777777" w:rsidR="00241417" w:rsidRPr="0039343F" w:rsidRDefault="00241417" w:rsidP="003A71DE">
            <w:pPr>
              <w:pStyle w:val="TAC"/>
            </w:pPr>
            <w:r w:rsidRPr="0039343F">
              <w:t>-5.8</w:t>
            </w:r>
          </w:p>
        </w:tc>
      </w:tr>
      <w:tr w:rsidR="00241417" w:rsidRPr="0039343F" w14:paraId="434ED1B3" w14:textId="77777777" w:rsidTr="003A71DE">
        <w:trPr>
          <w:cantSplit/>
          <w:jc w:val="center"/>
        </w:trPr>
        <w:tc>
          <w:tcPr>
            <w:tcW w:w="1007" w:type="dxa"/>
            <w:vMerge/>
            <w:vAlign w:val="center"/>
          </w:tcPr>
          <w:p w14:paraId="597109E5" w14:textId="77777777" w:rsidR="00241417" w:rsidRPr="0039343F" w:rsidRDefault="00241417" w:rsidP="003A71DE">
            <w:pPr>
              <w:pStyle w:val="TAC"/>
            </w:pPr>
          </w:p>
        </w:tc>
        <w:tc>
          <w:tcPr>
            <w:tcW w:w="1093" w:type="dxa"/>
            <w:vMerge/>
            <w:vAlign w:val="center"/>
          </w:tcPr>
          <w:p w14:paraId="60957F04" w14:textId="77777777" w:rsidR="00241417" w:rsidRPr="0039343F" w:rsidRDefault="00241417" w:rsidP="003A71DE">
            <w:pPr>
              <w:pStyle w:val="TAC"/>
            </w:pPr>
          </w:p>
        </w:tc>
        <w:tc>
          <w:tcPr>
            <w:tcW w:w="1985" w:type="dxa"/>
            <w:vAlign w:val="center"/>
          </w:tcPr>
          <w:p w14:paraId="62369AB6" w14:textId="77777777" w:rsidR="00241417" w:rsidRPr="0039343F" w:rsidRDefault="00241417" w:rsidP="003A71DE">
            <w:pPr>
              <w:pStyle w:val="TAC"/>
            </w:pPr>
            <w:r w:rsidRPr="0039343F">
              <w:t>TDLC300-100 Low</w:t>
            </w:r>
          </w:p>
        </w:tc>
        <w:tc>
          <w:tcPr>
            <w:tcW w:w="1580" w:type="dxa"/>
            <w:vAlign w:val="center"/>
          </w:tcPr>
          <w:p w14:paraId="63DA2549" w14:textId="77777777" w:rsidR="00241417" w:rsidRPr="0039343F" w:rsidRDefault="00241417" w:rsidP="003A71DE">
            <w:pPr>
              <w:pStyle w:val="TAC"/>
            </w:pPr>
            <w:r>
              <w:rPr>
                <w:lang w:eastAsia="zh-CN"/>
              </w:rPr>
              <w:t>D-FR1-A.2.3-7</w:t>
            </w:r>
          </w:p>
        </w:tc>
        <w:tc>
          <w:tcPr>
            <w:tcW w:w="1255" w:type="dxa"/>
            <w:vAlign w:val="center"/>
          </w:tcPr>
          <w:p w14:paraId="42D5544F" w14:textId="77777777" w:rsidR="00241417" w:rsidRPr="0039343F" w:rsidRDefault="00241417" w:rsidP="003A71DE">
            <w:pPr>
              <w:pStyle w:val="TAC"/>
            </w:pPr>
            <w:r w:rsidRPr="0039343F">
              <w:t>pos1</w:t>
            </w:r>
          </w:p>
        </w:tc>
        <w:tc>
          <w:tcPr>
            <w:tcW w:w="1134" w:type="dxa"/>
            <w:vAlign w:val="center"/>
          </w:tcPr>
          <w:p w14:paraId="0D103F08" w14:textId="77777777" w:rsidR="00241417" w:rsidRPr="0039343F" w:rsidRDefault="00241417" w:rsidP="003A71DE">
            <w:pPr>
              <w:pStyle w:val="TAC"/>
            </w:pPr>
            <w:r w:rsidRPr="0039343F">
              <w:t>6.3</w:t>
            </w:r>
          </w:p>
        </w:tc>
      </w:tr>
      <w:tr w:rsidR="00241417" w:rsidRPr="0039343F" w14:paraId="1E57EAE9" w14:textId="77777777" w:rsidTr="003A71DE">
        <w:trPr>
          <w:cantSplit/>
          <w:jc w:val="center"/>
        </w:trPr>
        <w:tc>
          <w:tcPr>
            <w:tcW w:w="1007" w:type="dxa"/>
            <w:vMerge/>
            <w:vAlign w:val="center"/>
          </w:tcPr>
          <w:p w14:paraId="41CF97EB" w14:textId="77777777" w:rsidR="00241417" w:rsidRPr="0039343F" w:rsidRDefault="00241417" w:rsidP="003A71DE">
            <w:pPr>
              <w:pStyle w:val="TAC"/>
            </w:pPr>
          </w:p>
        </w:tc>
        <w:tc>
          <w:tcPr>
            <w:tcW w:w="1093" w:type="dxa"/>
            <w:vMerge/>
            <w:tcBorders>
              <w:bottom w:val="single" w:sz="4" w:space="0" w:color="auto"/>
            </w:tcBorders>
            <w:vAlign w:val="center"/>
          </w:tcPr>
          <w:p w14:paraId="5403EEAF" w14:textId="77777777" w:rsidR="00241417" w:rsidRPr="0039343F" w:rsidRDefault="00241417" w:rsidP="003A71DE">
            <w:pPr>
              <w:pStyle w:val="TAC"/>
            </w:pPr>
          </w:p>
        </w:tc>
        <w:tc>
          <w:tcPr>
            <w:tcW w:w="1985" w:type="dxa"/>
            <w:vAlign w:val="center"/>
          </w:tcPr>
          <w:p w14:paraId="35E88106" w14:textId="77777777" w:rsidR="00241417" w:rsidRPr="0039343F" w:rsidRDefault="00241417" w:rsidP="003A71DE">
            <w:pPr>
              <w:pStyle w:val="TAC"/>
            </w:pPr>
            <w:r w:rsidRPr="0039343F">
              <w:t>TDLA30-10 Low</w:t>
            </w:r>
          </w:p>
        </w:tc>
        <w:tc>
          <w:tcPr>
            <w:tcW w:w="1580" w:type="dxa"/>
            <w:vAlign w:val="center"/>
          </w:tcPr>
          <w:p w14:paraId="33AA87AA" w14:textId="77777777" w:rsidR="00241417" w:rsidRPr="0039343F" w:rsidRDefault="00241417" w:rsidP="003A71DE">
            <w:pPr>
              <w:pStyle w:val="TAC"/>
            </w:pPr>
            <w:r>
              <w:rPr>
                <w:lang w:eastAsia="zh-CN"/>
              </w:rPr>
              <w:t>D-FR1-A.2.4-7</w:t>
            </w:r>
          </w:p>
        </w:tc>
        <w:tc>
          <w:tcPr>
            <w:tcW w:w="1255" w:type="dxa"/>
            <w:vAlign w:val="center"/>
          </w:tcPr>
          <w:p w14:paraId="30235F59" w14:textId="77777777" w:rsidR="00241417" w:rsidRPr="0039343F" w:rsidRDefault="00241417" w:rsidP="003A71DE">
            <w:pPr>
              <w:pStyle w:val="TAC"/>
            </w:pPr>
            <w:r w:rsidRPr="0039343F">
              <w:t>pos1</w:t>
            </w:r>
          </w:p>
        </w:tc>
        <w:tc>
          <w:tcPr>
            <w:tcW w:w="1134" w:type="dxa"/>
            <w:vAlign w:val="center"/>
          </w:tcPr>
          <w:p w14:paraId="580DA3F6" w14:textId="77777777" w:rsidR="00241417" w:rsidRPr="0039343F" w:rsidRDefault="00241417" w:rsidP="003A71DE">
            <w:pPr>
              <w:pStyle w:val="TAC"/>
            </w:pPr>
            <w:r w:rsidRPr="0039343F">
              <w:t>9.2</w:t>
            </w:r>
          </w:p>
        </w:tc>
      </w:tr>
      <w:tr w:rsidR="00241417" w:rsidRPr="0039343F" w14:paraId="2A7D19F4" w14:textId="77777777" w:rsidTr="003A71DE">
        <w:trPr>
          <w:cantSplit/>
          <w:jc w:val="center"/>
        </w:trPr>
        <w:tc>
          <w:tcPr>
            <w:tcW w:w="1007" w:type="dxa"/>
            <w:vMerge/>
            <w:vAlign w:val="center"/>
          </w:tcPr>
          <w:p w14:paraId="2DDBBE9E" w14:textId="77777777" w:rsidR="00241417" w:rsidRPr="0039343F" w:rsidRDefault="00241417" w:rsidP="003A71DE">
            <w:pPr>
              <w:pStyle w:val="TAC"/>
            </w:pPr>
          </w:p>
        </w:tc>
        <w:tc>
          <w:tcPr>
            <w:tcW w:w="1093" w:type="dxa"/>
            <w:vMerge w:val="restart"/>
            <w:vAlign w:val="center"/>
          </w:tcPr>
          <w:p w14:paraId="622C824C" w14:textId="77777777" w:rsidR="00241417" w:rsidRPr="0039343F" w:rsidRDefault="00241417" w:rsidP="003A71DE">
            <w:pPr>
              <w:pStyle w:val="TAC"/>
            </w:pPr>
            <w:r w:rsidRPr="0039343F">
              <w:t>8</w:t>
            </w:r>
          </w:p>
        </w:tc>
        <w:tc>
          <w:tcPr>
            <w:tcW w:w="1985" w:type="dxa"/>
            <w:vAlign w:val="center"/>
          </w:tcPr>
          <w:p w14:paraId="608F81B6" w14:textId="77777777" w:rsidR="00241417" w:rsidRPr="0039343F" w:rsidRDefault="00241417" w:rsidP="003A71DE">
            <w:pPr>
              <w:pStyle w:val="TAC"/>
            </w:pPr>
            <w:r w:rsidRPr="0039343F">
              <w:t>TDLB100-400 Low</w:t>
            </w:r>
          </w:p>
        </w:tc>
        <w:tc>
          <w:tcPr>
            <w:tcW w:w="1580" w:type="dxa"/>
            <w:vAlign w:val="center"/>
          </w:tcPr>
          <w:p w14:paraId="7C7016BA" w14:textId="77777777" w:rsidR="00241417" w:rsidRPr="0039343F" w:rsidRDefault="00241417" w:rsidP="003A71DE">
            <w:pPr>
              <w:pStyle w:val="TAC"/>
            </w:pPr>
            <w:r>
              <w:rPr>
                <w:lang w:eastAsia="zh-CN"/>
              </w:rPr>
              <w:t>D-FR1-A.2.1-7</w:t>
            </w:r>
          </w:p>
        </w:tc>
        <w:tc>
          <w:tcPr>
            <w:tcW w:w="1255" w:type="dxa"/>
            <w:vAlign w:val="center"/>
          </w:tcPr>
          <w:p w14:paraId="7324E82F" w14:textId="77777777" w:rsidR="00241417" w:rsidRPr="0039343F" w:rsidRDefault="00241417" w:rsidP="003A71DE">
            <w:pPr>
              <w:pStyle w:val="TAC"/>
            </w:pPr>
            <w:r w:rsidRPr="0039343F">
              <w:t>pos1</w:t>
            </w:r>
          </w:p>
        </w:tc>
        <w:tc>
          <w:tcPr>
            <w:tcW w:w="1134" w:type="dxa"/>
            <w:vAlign w:val="center"/>
          </w:tcPr>
          <w:p w14:paraId="69EC54C6" w14:textId="77777777" w:rsidR="00241417" w:rsidRPr="0039343F" w:rsidRDefault="00241417" w:rsidP="003A71DE">
            <w:pPr>
              <w:pStyle w:val="TAC"/>
            </w:pPr>
            <w:r w:rsidRPr="0039343F">
              <w:t>-8.7</w:t>
            </w:r>
          </w:p>
        </w:tc>
      </w:tr>
      <w:tr w:rsidR="00241417" w:rsidRPr="0039343F" w14:paraId="1F3616D9" w14:textId="77777777" w:rsidTr="003A71DE">
        <w:trPr>
          <w:cantSplit/>
          <w:jc w:val="center"/>
        </w:trPr>
        <w:tc>
          <w:tcPr>
            <w:tcW w:w="1007" w:type="dxa"/>
            <w:vMerge/>
            <w:vAlign w:val="center"/>
          </w:tcPr>
          <w:p w14:paraId="1C59804E" w14:textId="77777777" w:rsidR="00241417" w:rsidRPr="0039343F" w:rsidRDefault="00241417" w:rsidP="003A71DE">
            <w:pPr>
              <w:pStyle w:val="TAC"/>
            </w:pPr>
          </w:p>
        </w:tc>
        <w:tc>
          <w:tcPr>
            <w:tcW w:w="1093" w:type="dxa"/>
            <w:vMerge/>
            <w:vAlign w:val="center"/>
          </w:tcPr>
          <w:p w14:paraId="309C01EF" w14:textId="77777777" w:rsidR="00241417" w:rsidRPr="0039343F" w:rsidRDefault="00241417" w:rsidP="003A71DE">
            <w:pPr>
              <w:pStyle w:val="TAC"/>
            </w:pPr>
          </w:p>
        </w:tc>
        <w:tc>
          <w:tcPr>
            <w:tcW w:w="1985" w:type="dxa"/>
            <w:vAlign w:val="center"/>
          </w:tcPr>
          <w:p w14:paraId="6C03003E" w14:textId="77777777" w:rsidR="00241417" w:rsidRPr="0039343F" w:rsidRDefault="00241417" w:rsidP="003A71DE">
            <w:pPr>
              <w:pStyle w:val="TAC"/>
            </w:pPr>
            <w:r w:rsidRPr="0039343F">
              <w:t>TDLC300-100 Low</w:t>
            </w:r>
          </w:p>
        </w:tc>
        <w:tc>
          <w:tcPr>
            <w:tcW w:w="1580" w:type="dxa"/>
            <w:vAlign w:val="center"/>
          </w:tcPr>
          <w:p w14:paraId="4A2D433C" w14:textId="77777777" w:rsidR="00241417" w:rsidRPr="0039343F" w:rsidRDefault="00241417" w:rsidP="003A71DE">
            <w:pPr>
              <w:pStyle w:val="TAC"/>
            </w:pPr>
            <w:r>
              <w:rPr>
                <w:lang w:eastAsia="zh-CN"/>
              </w:rPr>
              <w:t>D-FR1-A.2.3-7</w:t>
            </w:r>
          </w:p>
        </w:tc>
        <w:tc>
          <w:tcPr>
            <w:tcW w:w="1255" w:type="dxa"/>
            <w:vAlign w:val="center"/>
          </w:tcPr>
          <w:p w14:paraId="45792040" w14:textId="77777777" w:rsidR="00241417" w:rsidRPr="0039343F" w:rsidRDefault="00241417" w:rsidP="003A71DE">
            <w:pPr>
              <w:pStyle w:val="TAC"/>
            </w:pPr>
            <w:r w:rsidRPr="0039343F">
              <w:t>pos1</w:t>
            </w:r>
          </w:p>
        </w:tc>
        <w:tc>
          <w:tcPr>
            <w:tcW w:w="1134" w:type="dxa"/>
            <w:vAlign w:val="center"/>
          </w:tcPr>
          <w:p w14:paraId="52D70DB7" w14:textId="77777777" w:rsidR="00241417" w:rsidRPr="0039343F" w:rsidRDefault="00241417" w:rsidP="003A71DE">
            <w:pPr>
              <w:pStyle w:val="TAC"/>
            </w:pPr>
            <w:r w:rsidRPr="0039343F">
              <w:t>3.1</w:t>
            </w:r>
          </w:p>
        </w:tc>
      </w:tr>
      <w:tr w:rsidR="00241417" w:rsidRPr="0039343F" w14:paraId="52903223" w14:textId="77777777" w:rsidTr="003A71DE">
        <w:trPr>
          <w:cantSplit/>
          <w:jc w:val="center"/>
        </w:trPr>
        <w:tc>
          <w:tcPr>
            <w:tcW w:w="1007" w:type="dxa"/>
            <w:vMerge/>
            <w:tcBorders>
              <w:bottom w:val="single" w:sz="4" w:space="0" w:color="auto"/>
            </w:tcBorders>
            <w:vAlign w:val="center"/>
          </w:tcPr>
          <w:p w14:paraId="791755D9" w14:textId="77777777" w:rsidR="00241417" w:rsidRPr="0039343F" w:rsidRDefault="00241417" w:rsidP="003A71DE">
            <w:pPr>
              <w:pStyle w:val="TAC"/>
            </w:pPr>
          </w:p>
        </w:tc>
        <w:tc>
          <w:tcPr>
            <w:tcW w:w="1093" w:type="dxa"/>
            <w:vMerge/>
            <w:tcBorders>
              <w:bottom w:val="single" w:sz="4" w:space="0" w:color="auto"/>
            </w:tcBorders>
            <w:vAlign w:val="center"/>
          </w:tcPr>
          <w:p w14:paraId="0F456FEE" w14:textId="77777777" w:rsidR="00241417" w:rsidRPr="0039343F" w:rsidRDefault="00241417" w:rsidP="003A71DE">
            <w:pPr>
              <w:pStyle w:val="TAC"/>
            </w:pPr>
          </w:p>
        </w:tc>
        <w:tc>
          <w:tcPr>
            <w:tcW w:w="1985" w:type="dxa"/>
            <w:vAlign w:val="center"/>
          </w:tcPr>
          <w:p w14:paraId="75E3A7F1" w14:textId="77777777" w:rsidR="00241417" w:rsidRPr="0039343F" w:rsidRDefault="00241417" w:rsidP="003A71DE">
            <w:pPr>
              <w:pStyle w:val="TAC"/>
            </w:pPr>
            <w:r w:rsidRPr="0039343F">
              <w:t>TDLA30-10 Low</w:t>
            </w:r>
          </w:p>
        </w:tc>
        <w:tc>
          <w:tcPr>
            <w:tcW w:w="1580" w:type="dxa"/>
            <w:vAlign w:val="center"/>
          </w:tcPr>
          <w:p w14:paraId="39AEC861" w14:textId="77777777" w:rsidR="00241417" w:rsidRPr="0039343F" w:rsidRDefault="00241417" w:rsidP="003A71DE">
            <w:pPr>
              <w:pStyle w:val="TAC"/>
            </w:pPr>
            <w:r>
              <w:rPr>
                <w:lang w:eastAsia="zh-CN"/>
              </w:rPr>
              <w:t>D-FR1-A.2.4-7</w:t>
            </w:r>
          </w:p>
        </w:tc>
        <w:tc>
          <w:tcPr>
            <w:tcW w:w="1255" w:type="dxa"/>
            <w:vAlign w:val="center"/>
          </w:tcPr>
          <w:p w14:paraId="014A0696" w14:textId="77777777" w:rsidR="00241417" w:rsidRPr="0039343F" w:rsidRDefault="00241417" w:rsidP="003A71DE">
            <w:pPr>
              <w:pStyle w:val="TAC"/>
            </w:pPr>
            <w:r w:rsidRPr="0039343F">
              <w:t>pos1</w:t>
            </w:r>
          </w:p>
        </w:tc>
        <w:tc>
          <w:tcPr>
            <w:tcW w:w="1134" w:type="dxa"/>
            <w:vAlign w:val="center"/>
          </w:tcPr>
          <w:p w14:paraId="0FEB57B3" w14:textId="77777777" w:rsidR="00241417" w:rsidRPr="0039343F" w:rsidRDefault="00241417" w:rsidP="003A71DE">
            <w:pPr>
              <w:pStyle w:val="TAC"/>
            </w:pPr>
            <w:r w:rsidRPr="0039343F">
              <w:t>5.9</w:t>
            </w:r>
          </w:p>
        </w:tc>
      </w:tr>
      <w:tr w:rsidR="00241417" w:rsidRPr="0039343F" w14:paraId="3C8BB632" w14:textId="77777777" w:rsidTr="003A71DE">
        <w:trPr>
          <w:cantSplit/>
          <w:jc w:val="center"/>
        </w:trPr>
        <w:tc>
          <w:tcPr>
            <w:tcW w:w="1007" w:type="dxa"/>
            <w:vMerge w:val="restart"/>
            <w:vAlign w:val="center"/>
          </w:tcPr>
          <w:p w14:paraId="00E05255" w14:textId="77777777" w:rsidR="00241417" w:rsidRPr="0039343F" w:rsidRDefault="00241417" w:rsidP="003A71DE">
            <w:pPr>
              <w:pStyle w:val="TAC"/>
            </w:pPr>
            <w:r w:rsidRPr="0039343F">
              <w:t>2</w:t>
            </w:r>
          </w:p>
        </w:tc>
        <w:tc>
          <w:tcPr>
            <w:tcW w:w="1093" w:type="dxa"/>
            <w:vMerge w:val="restart"/>
            <w:vAlign w:val="center"/>
          </w:tcPr>
          <w:p w14:paraId="38C327FF" w14:textId="77777777" w:rsidR="00241417" w:rsidRPr="0039343F" w:rsidRDefault="00241417" w:rsidP="003A71DE">
            <w:pPr>
              <w:pStyle w:val="TAC"/>
            </w:pPr>
            <w:r w:rsidRPr="0039343F">
              <w:t>2</w:t>
            </w:r>
          </w:p>
        </w:tc>
        <w:tc>
          <w:tcPr>
            <w:tcW w:w="1985" w:type="dxa"/>
            <w:vAlign w:val="center"/>
          </w:tcPr>
          <w:p w14:paraId="31E2466B" w14:textId="77777777" w:rsidR="00241417" w:rsidRPr="0039343F" w:rsidRDefault="00241417" w:rsidP="003A71DE">
            <w:pPr>
              <w:pStyle w:val="TAC"/>
            </w:pPr>
            <w:r w:rsidRPr="0039343F">
              <w:t>TDLB100-400 Low</w:t>
            </w:r>
          </w:p>
        </w:tc>
        <w:tc>
          <w:tcPr>
            <w:tcW w:w="1580" w:type="dxa"/>
            <w:vAlign w:val="center"/>
          </w:tcPr>
          <w:p w14:paraId="50B44193" w14:textId="77777777" w:rsidR="00241417" w:rsidRPr="0039343F" w:rsidRDefault="00241417" w:rsidP="003A71DE">
            <w:pPr>
              <w:pStyle w:val="TAC"/>
            </w:pPr>
            <w:r>
              <w:rPr>
                <w:lang w:eastAsia="zh-CN"/>
              </w:rPr>
              <w:t>D-FR1-A.2.1-14</w:t>
            </w:r>
          </w:p>
        </w:tc>
        <w:tc>
          <w:tcPr>
            <w:tcW w:w="1255" w:type="dxa"/>
            <w:vAlign w:val="center"/>
          </w:tcPr>
          <w:p w14:paraId="2E4481EA" w14:textId="77777777" w:rsidR="00241417" w:rsidRPr="0039343F" w:rsidRDefault="00241417" w:rsidP="003A71DE">
            <w:pPr>
              <w:pStyle w:val="TAC"/>
            </w:pPr>
            <w:r w:rsidRPr="0039343F">
              <w:t>pos1</w:t>
            </w:r>
          </w:p>
        </w:tc>
        <w:tc>
          <w:tcPr>
            <w:tcW w:w="1134" w:type="dxa"/>
            <w:vAlign w:val="center"/>
          </w:tcPr>
          <w:p w14:paraId="1538BBDC" w14:textId="77777777" w:rsidR="00241417" w:rsidRPr="0039343F" w:rsidRDefault="00241417" w:rsidP="003A71DE">
            <w:pPr>
              <w:pStyle w:val="TAC"/>
            </w:pPr>
            <w:r w:rsidRPr="0039343F">
              <w:t>1.6</w:t>
            </w:r>
          </w:p>
        </w:tc>
      </w:tr>
      <w:tr w:rsidR="00241417" w:rsidRPr="0039343F" w14:paraId="3A0D3C73" w14:textId="77777777" w:rsidTr="003A71DE">
        <w:trPr>
          <w:cantSplit/>
          <w:jc w:val="center"/>
        </w:trPr>
        <w:tc>
          <w:tcPr>
            <w:tcW w:w="1007" w:type="dxa"/>
            <w:vMerge/>
            <w:vAlign w:val="center"/>
          </w:tcPr>
          <w:p w14:paraId="56D97CBF" w14:textId="77777777" w:rsidR="00241417" w:rsidRPr="0039343F" w:rsidRDefault="00241417" w:rsidP="003A71DE">
            <w:pPr>
              <w:pStyle w:val="TAC"/>
            </w:pPr>
          </w:p>
        </w:tc>
        <w:tc>
          <w:tcPr>
            <w:tcW w:w="1093" w:type="dxa"/>
            <w:vMerge/>
            <w:tcBorders>
              <w:bottom w:val="single" w:sz="4" w:space="0" w:color="auto"/>
            </w:tcBorders>
            <w:vAlign w:val="center"/>
          </w:tcPr>
          <w:p w14:paraId="70938A65" w14:textId="77777777" w:rsidR="00241417" w:rsidRPr="0039343F" w:rsidRDefault="00241417" w:rsidP="003A71DE">
            <w:pPr>
              <w:pStyle w:val="TAC"/>
            </w:pPr>
          </w:p>
        </w:tc>
        <w:tc>
          <w:tcPr>
            <w:tcW w:w="1985" w:type="dxa"/>
            <w:vAlign w:val="center"/>
          </w:tcPr>
          <w:p w14:paraId="67312AD1" w14:textId="77777777" w:rsidR="00241417" w:rsidRPr="0039343F" w:rsidRDefault="00241417" w:rsidP="003A71DE">
            <w:pPr>
              <w:pStyle w:val="TAC"/>
            </w:pPr>
            <w:r w:rsidRPr="0039343F">
              <w:t>TDLC300-100 Low</w:t>
            </w:r>
          </w:p>
        </w:tc>
        <w:tc>
          <w:tcPr>
            <w:tcW w:w="1580" w:type="dxa"/>
            <w:vAlign w:val="center"/>
          </w:tcPr>
          <w:p w14:paraId="644483F1" w14:textId="77777777" w:rsidR="00241417" w:rsidRPr="0039343F" w:rsidRDefault="00241417" w:rsidP="003A71DE">
            <w:pPr>
              <w:pStyle w:val="TAC"/>
              <w:rPr>
                <w:lang w:eastAsia="zh-CN"/>
              </w:rPr>
            </w:pPr>
            <w:r>
              <w:rPr>
                <w:lang w:eastAsia="zh-CN"/>
              </w:rPr>
              <w:t>D-FR1-A.2.3-14</w:t>
            </w:r>
          </w:p>
        </w:tc>
        <w:tc>
          <w:tcPr>
            <w:tcW w:w="1255" w:type="dxa"/>
            <w:vAlign w:val="center"/>
          </w:tcPr>
          <w:p w14:paraId="3386A398" w14:textId="77777777" w:rsidR="00241417" w:rsidRPr="0039343F" w:rsidRDefault="00241417" w:rsidP="003A71DE">
            <w:pPr>
              <w:pStyle w:val="TAC"/>
            </w:pPr>
            <w:r w:rsidRPr="0039343F">
              <w:t>pos1</w:t>
            </w:r>
          </w:p>
        </w:tc>
        <w:tc>
          <w:tcPr>
            <w:tcW w:w="1134" w:type="dxa"/>
            <w:vAlign w:val="center"/>
          </w:tcPr>
          <w:p w14:paraId="4F3EDF66" w14:textId="77777777" w:rsidR="00241417" w:rsidRPr="0039343F" w:rsidRDefault="00241417" w:rsidP="003A71DE">
            <w:pPr>
              <w:pStyle w:val="TAC"/>
            </w:pPr>
            <w:r w:rsidRPr="0039343F">
              <w:t>19.3</w:t>
            </w:r>
          </w:p>
        </w:tc>
      </w:tr>
      <w:tr w:rsidR="00241417" w:rsidRPr="0039343F" w14:paraId="0CA4460C" w14:textId="77777777" w:rsidTr="003A71DE">
        <w:trPr>
          <w:cantSplit/>
          <w:jc w:val="center"/>
        </w:trPr>
        <w:tc>
          <w:tcPr>
            <w:tcW w:w="1007" w:type="dxa"/>
            <w:vMerge/>
            <w:vAlign w:val="center"/>
          </w:tcPr>
          <w:p w14:paraId="28D4CCF0" w14:textId="77777777" w:rsidR="00241417" w:rsidRPr="0039343F" w:rsidRDefault="00241417" w:rsidP="003A71DE">
            <w:pPr>
              <w:pStyle w:val="TAC"/>
            </w:pPr>
          </w:p>
        </w:tc>
        <w:tc>
          <w:tcPr>
            <w:tcW w:w="1093" w:type="dxa"/>
            <w:vMerge w:val="restart"/>
            <w:tcBorders>
              <w:top w:val="single" w:sz="4" w:space="0" w:color="auto"/>
            </w:tcBorders>
            <w:vAlign w:val="center"/>
          </w:tcPr>
          <w:p w14:paraId="06C6DFC5" w14:textId="77777777" w:rsidR="00241417" w:rsidRPr="0039343F" w:rsidRDefault="00241417" w:rsidP="003A71DE">
            <w:pPr>
              <w:pStyle w:val="TAC"/>
            </w:pPr>
            <w:r w:rsidRPr="0039343F">
              <w:t>4</w:t>
            </w:r>
          </w:p>
        </w:tc>
        <w:tc>
          <w:tcPr>
            <w:tcW w:w="1985" w:type="dxa"/>
            <w:vAlign w:val="center"/>
          </w:tcPr>
          <w:p w14:paraId="16832E1C" w14:textId="77777777" w:rsidR="00241417" w:rsidRPr="0039343F" w:rsidRDefault="00241417" w:rsidP="003A71DE">
            <w:pPr>
              <w:pStyle w:val="TAC"/>
            </w:pPr>
            <w:r w:rsidRPr="0039343F">
              <w:t>TDLB100-400 Low</w:t>
            </w:r>
          </w:p>
        </w:tc>
        <w:tc>
          <w:tcPr>
            <w:tcW w:w="1580" w:type="dxa"/>
            <w:vAlign w:val="center"/>
          </w:tcPr>
          <w:p w14:paraId="418C9BB9" w14:textId="77777777" w:rsidR="00241417" w:rsidRPr="0039343F" w:rsidRDefault="00241417" w:rsidP="003A71DE">
            <w:pPr>
              <w:pStyle w:val="TAC"/>
              <w:rPr>
                <w:lang w:eastAsia="zh-CN"/>
              </w:rPr>
            </w:pPr>
            <w:r>
              <w:rPr>
                <w:lang w:eastAsia="zh-CN"/>
              </w:rPr>
              <w:t>D-FR1-A.2.1-14</w:t>
            </w:r>
          </w:p>
        </w:tc>
        <w:tc>
          <w:tcPr>
            <w:tcW w:w="1255" w:type="dxa"/>
            <w:vAlign w:val="center"/>
          </w:tcPr>
          <w:p w14:paraId="4A3EE0D9" w14:textId="77777777" w:rsidR="00241417" w:rsidRPr="0039343F" w:rsidRDefault="00241417" w:rsidP="003A71DE">
            <w:pPr>
              <w:pStyle w:val="TAC"/>
            </w:pPr>
            <w:r w:rsidRPr="0039343F">
              <w:t>pos1</w:t>
            </w:r>
          </w:p>
        </w:tc>
        <w:tc>
          <w:tcPr>
            <w:tcW w:w="1134" w:type="dxa"/>
            <w:vAlign w:val="center"/>
          </w:tcPr>
          <w:p w14:paraId="6944BA19" w14:textId="77777777" w:rsidR="00241417" w:rsidRPr="0039343F" w:rsidRDefault="00241417" w:rsidP="003A71DE">
            <w:pPr>
              <w:pStyle w:val="TAC"/>
            </w:pPr>
            <w:r w:rsidRPr="0039343F">
              <w:t>-2.2</w:t>
            </w:r>
          </w:p>
        </w:tc>
      </w:tr>
      <w:tr w:rsidR="00241417" w:rsidRPr="0039343F" w14:paraId="611776D1" w14:textId="77777777" w:rsidTr="003A71DE">
        <w:trPr>
          <w:cantSplit/>
          <w:jc w:val="center"/>
        </w:trPr>
        <w:tc>
          <w:tcPr>
            <w:tcW w:w="1007" w:type="dxa"/>
            <w:vMerge/>
            <w:vAlign w:val="center"/>
          </w:tcPr>
          <w:p w14:paraId="15200298" w14:textId="77777777" w:rsidR="00241417" w:rsidRPr="0039343F" w:rsidRDefault="00241417" w:rsidP="003A71DE">
            <w:pPr>
              <w:pStyle w:val="TAC"/>
            </w:pPr>
          </w:p>
        </w:tc>
        <w:tc>
          <w:tcPr>
            <w:tcW w:w="1093" w:type="dxa"/>
            <w:vMerge/>
            <w:tcBorders>
              <w:bottom w:val="single" w:sz="4" w:space="0" w:color="auto"/>
            </w:tcBorders>
            <w:vAlign w:val="center"/>
          </w:tcPr>
          <w:p w14:paraId="08103898" w14:textId="77777777" w:rsidR="00241417" w:rsidRPr="0039343F" w:rsidRDefault="00241417" w:rsidP="003A71DE">
            <w:pPr>
              <w:pStyle w:val="TAC"/>
            </w:pPr>
          </w:p>
        </w:tc>
        <w:tc>
          <w:tcPr>
            <w:tcW w:w="1985" w:type="dxa"/>
            <w:vAlign w:val="center"/>
          </w:tcPr>
          <w:p w14:paraId="7157DB9C" w14:textId="77777777" w:rsidR="00241417" w:rsidRPr="0039343F" w:rsidRDefault="00241417" w:rsidP="003A71DE">
            <w:pPr>
              <w:pStyle w:val="TAC"/>
            </w:pPr>
            <w:r w:rsidRPr="0039343F">
              <w:t>TDLC300-100 Low</w:t>
            </w:r>
          </w:p>
        </w:tc>
        <w:tc>
          <w:tcPr>
            <w:tcW w:w="1580" w:type="dxa"/>
            <w:vAlign w:val="center"/>
          </w:tcPr>
          <w:p w14:paraId="5290D8F2" w14:textId="77777777" w:rsidR="00241417" w:rsidRPr="0039343F" w:rsidRDefault="00241417" w:rsidP="003A71DE">
            <w:pPr>
              <w:pStyle w:val="TAC"/>
              <w:rPr>
                <w:lang w:eastAsia="zh-CN"/>
              </w:rPr>
            </w:pPr>
            <w:r>
              <w:rPr>
                <w:lang w:eastAsia="zh-CN"/>
              </w:rPr>
              <w:t>D-FR1-A.2.3-14</w:t>
            </w:r>
          </w:p>
        </w:tc>
        <w:tc>
          <w:tcPr>
            <w:tcW w:w="1255" w:type="dxa"/>
            <w:vAlign w:val="center"/>
          </w:tcPr>
          <w:p w14:paraId="19DF9DB3" w14:textId="77777777" w:rsidR="00241417" w:rsidRPr="0039343F" w:rsidRDefault="00241417" w:rsidP="003A71DE">
            <w:pPr>
              <w:pStyle w:val="TAC"/>
            </w:pPr>
            <w:r w:rsidRPr="0039343F">
              <w:t>pos1</w:t>
            </w:r>
          </w:p>
        </w:tc>
        <w:tc>
          <w:tcPr>
            <w:tcW w:w="1134" w:type="dxa"/>
            <w:vAlign w:val="center"/>
          </w:tcPr>
          <w:p w14:paraId="32B19114" w14:textId="77777777" w:rsidR="00241417" w:rsidRPr="0039343F" w:rsidRDefault="00241417" w:rsidP="003A71DE">
            <w:pPr>
              <w:pStyle w:val="TAC"/>
            </w:pPr>
            <w:r w:rsidRPr="0039343F">
              <w:t>11.6</w:t>
            </w:r>
          </w:p>
        </w:tc>
      </w:tr>
      <w:tr w:rsidR="00241417" w:rsidRPr="0039343F" w14:paraId="2348760D" w14:textId="77777777" w:rsidTr="003A71DE">
        <w:trPr>
          <w:cantSplit/>
          <w:jc w:val="center"/>
        </w:trPr>
        <w:tc>
          <w:tcPr>
            <w:tcW w:w="1007" w:type="dxa"/>
            <w:vMerge/>
            <w:vAlign w:val="center"/>
          </w:tcPr>
          <w:p w14:paraId="5C3625DD" w14:textId="77777777" w:rsidR="00241417" w:rsidRPr="0039343F" w:rsidRDefault="00241417" w:rsidP="003A71DE">
            <w:pPr>
              <w:pStyle w:val="TAC"/>
            </w:pPr>
          </w:p>
        </w:tc>
        <w:tc>
          <w:tcPr>
            <w:tcW w:w="1093" w:type="dxa"/>
            <w:vMerge w:val="restart"/>
            <w:tcBorders>
              <w:top w:val="single" w:sz="4" w:space="0" w:color="auto"/>
            </w:tcBorders>
            <w:vAlign w:val="center"/>
          </w:tcPr>
          <w:p w14:paraId="24576561" w14:textId="77777777" w:rsidR="00241417" w:rsidRPr="0039343F" w:rsidRDefault="00241417" w:rsidP="003A71DE">
            <w:pPr>
              <w:pStyle w:val="TAC"/>
            </w:pPr>
            <w:r w:rsidRPr="0039343F">
              <w:t>8</w:t>
            </w:r>
          </w:p>
        </w:tc>
        <w:tc>
          <w:tcPr>
            <w:tcW w:w="1985" w:type="dxa"/>
            <w:vAlign w:val="center"/>
          </w:tcPr>
          <w:p w14:paraId="47D908C3" w14:textId="77777777" w:rsidR="00241417" w:rsidRPr="0039343F" w:rsidRDefault="00241417" w:rsidP="003A71DE">
            <w:pPr>
              <w:pStyle w:val="TAC"/>
            </w:pPr>
            <w:r w:rsidRPr="0039343F">
              <w:t>TDLB100-400 Low</w:t>
            </w:r>
          </w:p>
        </w:tc>
        <w:tc>
          <w:tcPr>
            <w:tcW w:w="1580" w:type="dxa"/>
            <w:vAlign w:val="center"/>
          </w:tcPr>
          <w:p w14:paraId="6C320877" w14:textId="77777777" w:rsidR="00241417" w:rsidRPr="0039343F" w:rsidRDefault="00241417" w:rsidP="003A71DE">
            <w:pPr>
              <w:pStyle w:val="TAC"/>
              <w:rPr>
                <w:lang w:eastAsia="zh-CN"/>
              </w:rPr>
            </w:pPr>
            <w:r>
              <w:rPr>
                <w:lang w:eastAsia="zh-CN"/>
              </w:rPr>
              <w:t>D-FR1-A.2.1-14</w:t>
            </w:r>
          </w:p>
        </w:tc>
        <w:tc>
          <w:tcPr>
            <w:tcW w:w="1255" w:type="dxa"/>
            <w:vAlign w:val="center"/>
          </w:tcPr>
          <w:p w14:paraId="567B9F16" w14:textId="77777777" w:rsidR="00241417" w:rsidRPr="0039343F" w:rsidRDefault="00241417" w:rsidP="003A71DE">
            <w:pPr>
              <w:pStyle w:val="TAC"/>
            </w:pPr>
            <w:r w:rsidRPr="0039343F">
              <w:t>pos1</w:t>
            </w:r>
          </w:p>
        </w:tc>
        <w:tc>
          <w:tcPr>
            <w:tcW w:w="1134" w:type="dxa"/>
            <w:vAlign w:val="center"/>
          </w:tcPr>
          <w:p w14:paraId="5F92F185" w14:textId="77777777" w:rsidR="00241417" w:rsidRPr="0039343F" w:rsidRDefault="00241417" w:rsidP="003A71DE">
            <w:pPr>
              <w:pStyle w:val="TAC"/>
            </w:pPr>
            <w:r w:rsidRPr="0039343F">
              <w:t>-5.3</w:t>
            </w:r>
          </w:p>
        </w:tc>
      </w:tr>
      <w:tr w:rsidR="00241417" w:rsidRPr="0039343F" w14:paraId="45080AEE" w14:textId="77777777" w:rsidTr="003A71DE">
        <w:trPr>
          <w:cantSplit/>
          <w:jc w:val="center"/>
        </w:trPr>
        <w:tc>
          <w:tcPr>
            <w:tcW w:w="1007" w:type="dxa"/>
            <w:vMerge/>
            <w:vAlign w:val="center"/>
          </w:tcPr>
          <w:p w14:paraId="2DE5986E" w14:textId="77777777" w:rsidR="00241417" w:rsidRPr="0039343F" w:rsidRDefault="00241417" w:rsidP="003A71DE">
            <w:pPr>
              <w:pStyle w:val="TAC"/>
            </w:pPr>
          </w:p>
        </w:tc>
        <w:tc>
          <w:tcPr>
            <w:tcW w:w="1093" w:type="dxa"/>
            <w:vMerge/>
            <w:vAlign w:val="center"/>
          </w:tcPr>
          <w:p w14:paraId="5C158748" w14:textId="77777777" w:rsidR="00241417" w:rsidRPr="0039343F" w:rsidRDefault="00241417" w:rsidP="003A71DE">
            <w:pPr>
              <w:pStyle w:val="TAC"/>
            </w:pPr>
          </w:p>
        </w:tc>
        <w:tc>
          <w:tcPr>
            <w:tcW w:w="1985" w:type="dxa"/>
            <w:vAlign w:val="center"/>
          </w:tcPr>
          <w:p w14:paraId="40F3AE65" w14:textId="77777777" w:rsidR="00241417" w:rsidRPr="0039343F" w:rsidRDefault="00241417" w:rsidP="003A71DE">
            <w:pPr>
              <w:pStyle w:val="TAC"/>
            </w:pPr>
            <w:r w:rsidRPr="0039343F">
              <w:t>TDLC300-100 Low</w:t>
            </w:r>
          </w:p>
        </w:tc>
        <w:tc>
          <w:tcPr>
            <w:tcW w:w="1580" w:type="dxa"/>
            <w:vAlign w:val="center"/>
          </w:tcPr>
          <w:p w14:paraId="5F763F57" w14:textId="77777777" w:rsidR="00241417" w:rsidRPr="0039343F" w:rsidRDefault="00241417" w:rsidP="003A71DE">
            <w:pPr>
              <w:pStyle w:val="TAC"/>
              <w:rPr>
                <w:lang w:eastAsia="zh-CN"/>
              </w:rPr>
            </w:pPr>
            <w:r>
              <w:rPr>
                <w:lang w:eastAsia="zh-CN"/>
              </w:rPr>
              <w:t>D-FR1-A.2.3-14</w:t>
            </w:r>
          </w:p>
        </w:tc>
        <w:tc>
          <w:tcPr>
            <w:tcW w:w="1255" w:type="dxa"/>
            <w:vAlign w:val="center"/>
          </w:tcPr>
          <w:p w14:paraId="5668E6F6" w14:textId="77777777" w:rsidR="00241417" w:rsidRPr="0039343F" w:rsidRDefault="00241417" w:rsidP="003A71DE">
            <w:pPr>
              <w:pStyle w:val="TAC"/>
            </w:pPr>
            <w:r w:rsidRPr="0039343F">
              <w:t>pos1</w:t>
            </w:r>
          </w:p>
        </w:tc>
        <w:tc>
          <w:tcPr>
            <w:tcW w:w="1134" w:type="dxa"/>
            <w:vAlign w:val="center"/>
          </w:tcPr>
          <w:p w14:paraId="11715CF6" w14:textId="77777777" w:rsidR="00241417" w:rsidRPr="0039343F" w:rsidRDefault="00241417" w:rsidP="003A71DE">
            <w:pPr>
              <w:pStyle w:val="TAC"/>
            </w:pPr>
            <w:r w:rsidRPr="0039343F">
              <w:t>7.1</w:t>
            </w:r>
          </w:p>
        </w:tc>
      </w:tr>
    </w:tbl>
    <w:p w14:paraId="609823D3" w14:textId="77777777" w:rsidR="00241417" w:rsidRPr="0039343F" w:rsidRDefault="00241417" w:rsidP="00241417">
      <w:pPr>
        <w:rPr>
          <w:lang w:eastAsia="zh-CN"/>
        </w:rPr>
      </w:pPr>
    </w:p>
    <w:p w14:paraId="47A34DE9" w14:textId="77777777" w:rsidR="00241417" w:rsidRDefault="00241417" w:rsidP="00241417">
      <w:pPr>
        <w:pStyle w:val="Heading4"/>
        <w:rPr>
          <w:rFonts w:eastAsia="Malgun Gothic"/>
        </w:rPr>
      </w:pPr>
      <w:bookmarkStart w:id="3477" w:name="_Toc74583245"/>
      <w:bookmarkStart w:id="3478" w:name="_Toc76542058"/>
      <w:bookmarkStart w:id="3479" w:name="_Toc82450040"/>
      <w:bookmarkStart w:id="3480" w:name="_Toc82450688"/>
      <w:bookmarkStart w:id="3481" w:name="_Toc89949077"/>
      <w:bookmarkStart w:id="3482" w:name="_Toc98755466"/>
      <w:bookmarkStart w:id="3483" w:name="_Toc98763057"/>
      <w:bookmarkStart w:id="3484" w:name="_Toc106183986"/>
      <w:r w:rsidRPr="00B454A0">
        <w:rPr>
          <w:rFonts w:eastAsia="Malgun Gothic"/>
        </w:rPr>
        <w:t>8.</w:t>
      </w:r>
      <w:r>
        <w:rPr>
          <w:rFonts w:eastAsia="Malgun Gothic"/>
        </w:rPr>
        <w:t>1</w:t>
      </w:r>
      <w:r w:rsidRPr="00B454A0">
        <w:rPr>
          <w:rFonts w:eastAsia="Malgun Gothic"/>
        </w:rPr>
        <w:t>.</w:t>
      </w:r>
      <w:r>
        <w:rPr>
          <w:rFonts w:eastAsia="Malgun Gothic"/>
        </w:rPr>
        <w:t>2</w:t>
      </w:r>
      <w:r w:rsidRPr="00B454A0">
        <w:rPr>
          <w:rFonts w:eastAsia="Malgun Gothic"/>
        </w:rPr>
        <w:t>.</w:t>
      </w:r>
      <w:r>
        <w:rPr>
          <w:rFonts w:eastAsia="Malgun Gothic"/>
        </w:rPr>
        <w:t>2</w:t>
      </w:r>
      <w:r w:rsidRPr="00B454A0">
        <w:rPr>
          <w:rFonts w:eastAsia="Malgun Gothic"/>
        </w:rPr>
        <w:tab/>
      </w:r>
      <w:r w:rsidRPr="006E58D8">
        <w:rPr>
          <w:rFonts w:eastAsia="Malgun Gothic"/>
        </w:rPr>
        <w:t xml:space="preserve">Requirements for PUSCH with transform precoding </w:t>
      </w:r>
      <w:r>
        <w:rPr>
          <w:rFonts w:eastAsia="Malgun Gothic"/>
        </w:rPr>
        <w:t>enabled</w:t>
      </w:r>
      <w:bookmarkEnd w:id="3477"/>
      <w:bookmarkEnd w:id="3478"/>
      <w:bookmarkEnd w:id="3479"/>
      <w:bookmarkEnd w:id="3480"/>
      <w:bookmarkEnd w:id="3481"/>
      <w:bookmarkEnd w:id="3482"/>
      <w:bookmarkEnd w:id="3483"/>
      <w:bookmarkEnd w:id="3484"/>
    </w:p>
    <w:p w14:paraId="5EF0D1F0" w14:textId="77777777" w:rsidR="00241417" w:rsidRDefault="00241417" w:rsidP="00241417">
      <w:pPr>
        <w:pStyle w:val="Heading5"/>
      </w:pPr>
      <w:bookmarkStart w:id="3485" w:name="_Toc74583246"/>
      <w:bookmarkStart w:id="3486" w:name="_Toc76542059"/>
      <w:bookmarkStart w:id="3487" w:name="_Toc82450041"/>
      <w:bookmarkStart w:id="3488" w:name="_Toc82450689"/>
      <w:bookmarkStart w:id="3489" w:name="_Toc89949078"/>
      <w:bookmarkStart w:id="3490" w:name="_Toc98755467"/>
      <w:bookmarkStart w:id="3491" w:name="_Toc98763058"/>
      <w:bookmarkStart w:id="3492" w:name="_Toc106183987"/>
      <w:r>
        <w:t>8</w:t>
      </w:r>
      <w:r w:rsidRPr="00EE4A40">
        <w:t>.</w:t>
      </w:r>
      <w:r>
        <w:t>1</w:t>
      </w:r>
      <w:r w:rsidRPr="00EE4A40">
        <w:t>.</w:t>
      </w:r>
      <w:r>
        <w:t>2</w:t>
      </w:r>
      <w:r w:rsidRPr="00EE4A40">
        <w:t>.</w:t>
      </w:r>
      <w:r>
        <w:t>2</w:t>
      </w:r>
      <w:r w:rsidRPr="00EE4A40">
        <w:t>.</w:t>
      </w:r>
      <w:r>
        <w:t>1</w:t>
      </w:r>
      <w:r>
        <w:tab/>
        <w:t>General</w:t>
      </w:r>
      <w:bookmarkEnd w:id="3485"/>
      <w:bookmarkEnd w:id="3486"/>
      <w:bookmarkEnd w:id="3487"/>
      <w:bookmarkEnd w:id="3488"/>
      <w:bookmarkEnd w:id="3489"/>
      <w:bookmarkEnd w:id="3490"/>
      <w:bookmarkEnd w:id="3491"/>
      <w:bookmarkEnd w:id="3492"/>
    </w:p>
    <w:p w14:paraId="57B2CC69" w14:textId="77777777" w:rsidR="00241417" w:rsidRPr="00B054F4" w:rsidRDefault="00241417" w:rsidP="00241417">
      <w:r w:rsidRPr="00B054F4">
        <w:t>The performance requirement of PUSCH is determined by a minimum required throughput for a given SNR. The required throughput is expressed as a fraction of maximum throughput for the FRCs listed in annex A. The performance requirements assume HARQ retransmissions.</w:t>
      </w:r>
    </w:p>
    <w:p w14:paraId="0158CB63" w14:textId="77777777" w:rsidR="00241417" w:rsidRPr="00B054F4" w:rsidRDefault="00241417" w:rsidP="00241417">
      <w:pPr>
        <w:pStyle w:val="TH"/>
      </w:pPr>
      <w:r w:rsidRPr="00B054F4">
        <w:lastRenderedPageBreak/>
        <w:t>Table 8.1.2</w:t>
      </w:r>
      <w:r w:rsidRPr="00B054F4">
        <w:rPr>
          <w:lang w:eastAsia="zh-CN"/>
        </w:rPr>
        <w:t>.2.1</w:t>
      </w:r>
      <w:r w:rsidRPr="00B054F4">
        <w:t>-1: Test parameters for testing PUSCH</w:t>
      </w:r>
    </w:p>
    <w:tbl>
      <w:tblPr>
        <w:tblStyle w:val="TableGrid"/>
        <w:tblW w:w="0" w:type="auto"/>
        <w:jc w:val="center"/>
        <w:tblLayout w:type="fixed"/>
        <w:tblLook w:val="04A0" w:firstRow="1" w:lastRow="0" w:firstColumn="1" w:lastColumn="0" w:noHBand="0" w:noVBand="1"/>
      </w:tblPr>
      <w:tblGrid>
        <w:gridCol w:w="1838"/>
        <w:gridCol w:w="5387"/>
        <w:gridCol w:w="2404"/>
      </w:tblGrid>
      <w:tr w:rsidR="00241417" w:rsidRPr="00433F0D" w14:paraId="08B7D5BA" w14:textId="77777777" w:rsidTr="003A71DE">
        <w:trPr>
          <w:cantSplit/>
          <w:jc w:val="center"/>
        </w:trPr>
        <w:tc>
          <w:tcPr>
            <w:tcW w:w="7225" w:type="dxa"/>
            <w:gridSpan w:val="2"/>
            <w:vAlign w:val="center"/>
          </w:tcPr>
          <w:p w14:paraId="467F5661" w14:textId="77777777" w:rsidR="00241417" w:rsidRPr="00433F0D" w:rsidRDefault="00241417" w:rsidP="003A71DE">
            <w:pPr>
              <w:pStyle w:val="TAH"/>
            </w:pPr>
            <w:r w:rsidRPr="00433F0D">
              <w:t>Parameter</w:t>
            </w:r>
          </w:p>
        </w:tc>
        <w:tc>
          <w:tcPr>
            <w:tcW w:w="2404" w:type="dxa"/>
            <w:vAlign w:val="center"/>
          </w:tcPr>
          <w:p w14:paraId="1E2190AC" w14:textId="77777777" w:rsidR="00241417" w:rsidRPr="00433F0D" w:rsidRDefault="00241417" w:rsidP="003A71DE">
            <w:pPr>
              <w:pStyle w:val="TAH"/>
            </w:pPr>
            <w:r w:rsidRPr="00433F0D">
              <w:t>Value</w:t>
            </w:r>
          </w:p>
        </w:tc>
      </w:tr>
      <w:tr w:rsidR="00241417" w:rsidRPr="00433F0D" w14:paraId="1B1B8D3E" w14:textId="77777777" w:rsidTr="003A71DE">
        <w:trPr>
          <w:cantSplit/>
          <w:jc w:val="center"/>
        </w:trPr>
        <w:tc>
          <w:tcPr>
            <w:tcW w:w="7225" w:type="dxa"/>
            <w:gridSpan w:val="2"/>
            <w:vAlign w:val="center"/>
          </w:tcPr>
          <w:p w14:paraId="0F8EFFBD" w14:textId="77777777" w:rsidR="00241417" w:rsidRPr="00433F0D" w:rsidRDefault="00241417" w:rsidP="003A71DE">
            <w:pPr>
              <w:pStyle w:val="TAL"/>
            </w:pPr>
            <w:r w:rsidRPr="00433F0D">
              <w:t>Transform precoding</w:t>
            </w:r>
          </w:p>
        </w:tc>
        <w:tc>
          <w:tcPr>
            <w:tcW w:w="2404" w:type="dxa"/>
            <w:vAlign w:val="center"/>
          </w:tcPr>
          <w:p w14:paraId="7BF5ADDA" w14:textId="77777777" w:rsidR="00241417" w:rsidRPr="00433F0D" w:rsidRDefault="00241417" w:rsidP="003A71DE">
            <w:pPr>
              <w:pStyle w:val="TAC"/>
            </w:pPr>
            <w:r w:rsidRPr="00433F0D">
              <w:rPr>
                <w:lang w:eastAsia="zh-CN"/>
              </w:rPr>
              <w:t>Enabled</w:t>
            </w:r>
          </w:p>
        </w:tc>
      </w:tr>
      <w:tr w:rsidR="00241417" w:rsidRPr="00433F0D" w14:paraId="38ABE369" w14:textId="77777777" w:rsidTr="003A71DE">
        <w:trPr>
          <w:cantSplit/>
          <w:jc w:val="center"/>
        </w:trPr>
        <w:tc>
          <w:tcPr>
            <w:tcW w:w="7225" w:type="dxa"/>
            <w:gridSpan w:val="2"/>
            <w:vAlign w:val="center"/>
          </w:tcPr>
          <w:p w14:paraId="0B063F8B" w14:textId="77777777" w:rsidR="00241417" w:rsidRPr="00433F0D" w:rsidRDefault="00241417" w:rsidP="003A71DE">
            <w:pPr>
              <w:pStyle w:val="TAL"/>
            </w:pPr>
            <w:r>
              <w:t>Cyclic Prefix</w:t>
            </w:r>
          </w:p>
        </w:tc>
        <w:tc>
          <w:tcPr>
            <w:tcW w:w="2404" w:type="dxa"/>
            <w:vAlign w:val="center"/>
          </w:tcPr>
          <w:p w14:paraId="09C07DEF" w14:textId="77777777" w:rsidR="00241417" w:rsidRPr="00433F0D" w:rsidRDefault="00241417" w:rsidP="003A71DE">
            <w:pPr>
              <w:pStyle w:val="TAC"/>
              <w:rPr>
                <w:lang w:eastAsia="zh-CN"/>
              </w:rPr>
            </w:pPr>
            <w:r>
              <w:rPr>
                <w:lang w:eastAsia="zh-CN"/>
              </w:rPr>
              <w:t>Normal</w:t>
            </w:r>
          </w:p>
        </w:tc>
      </w:tr>
      <w:tr w:rsidR="00241417" w:rsidRPr="00B054F4" w14:paraId="13B9B061" w14:textId="77777777" w:rsidTr="003A71DE">
        <w:trPr>
          <w:cantSplit/>
          <w:jc w:val="center"/>
        </w:trPr>
        <w:tc>
          <w:tcPr>
            <w:tcW w:w="7225" w:type="dxa"/>
            <w:gridSpan w:val="2"/>
            <w:vAlign w:val="center"/>
          </w:tcPr>
          <w:p w14:paraId="354005B7" w14:textId="77777777" w:rsidR="00241417" w:rsidRPr="00433F0D" w:rsidRDefault="00241417" w:rsidP="003A71DE">
            <w:pPr>
              <w:pStyle w:val="TAL"/>
            </w:pPr>
            <w:r w:rsidRPr="00433F0D">
              <w:t>Default TDD UL-DL pattern (Note 1)</w:t>
            </w:r>
          </w:p>
        </w:tc>
        <w:tc>
          <w:tcPr>
            <w:tcW w:w="2404" w:type="dxa"/>
            <w:vAlign w:val="center"/>
          </w:tcPr>
          <w:p w14:paraId="74281DC3" w14:textId="77777777" w:rsidR="00241417" w:rsidRPr="00433F0D" w:rsidRDefault="00241417" w:rsidP="003A71DE">
            <w:pPr>
              <w:pStyle w:val="TAC"/>
            </w:pPr>
            <w:r w:rsidRPr="00433F0D">
              <w:t>15 kHz SCS:</w:t>
            </w:r>
          </w:p>
          <w:p w14:paraId="420AAB57" w14:textId="77777777" w:rsidR="00241417" w:rsidRPr="00433F0D" w:rsidRDefault="00241417" w:rsidP="003A71DE">
            <w:pPr>
              <w:pStyle w:val="TAC"/>
            </w:pPr>
            <w:r w:rsidRPr="00433F0D">
              <w:t>3D1S1U, S=10D:2G:2U</w:t>
            </w:r>
          </w:p>
          <w:p w14:paraId="2E5BF8DB" w14:textId="77777777" w:rsidR="00241417" w:rsidRPr="00433F0D" w:rsidRDefault="00241417" w:rsidP="003A71DE">
            <w:pPr>
              <w:pStyle w:val="TAC"/>
            </w:pPr>
            <w:r w:rsidRPr="00433F0D">
              <w:t>30 kHz SCS:</w:t>
            </w:r>
          </w:p>
          <w:p w14:paraId="1966B1A4" w14:textId="77777777" w:rsidR="00241417" w:rsidRPr="00433F0D" w:rsidRDefault="00241417" w:rsidP="003A71DE">
            <w:pPr>
              <w:pStyle w:val="TAC"/>
            </w:pPr>
            <w:r w:rsidRPr="00433F0D">
              <w:t>7D1S2U, S=6D:4G:4U</w:t>
            </w:r>
          </w:p>
        </w:tc>
      </w:tr>
      <w:tr w:rsidR="00241417" w:rsidRPr="00433F0D" w14:paraId="07A5D19D" w14:textId="77777777" w:rsidTr="003A71DE">
        <w:trPr>
          <w:cantSplit/>
          <w:jc w:val="center"/>
        </w:trPr>
        <w:tc>
          <w:tcPr>
            <w:tcW w:w="1838" w:type="dxa"/>
            <w:vMerge w:val="restart"/>
            <w:vAlign w:val="center"/>
          </w:tcPr>
          <w:p w14:paraId="55B03DDF" w14:textId="77777777" w:rsidR="00241417" w:rsidRPr="00433F0D" w:rsidRDefault="00241417" w:rsidP="003A71DE">
            <w:pPr>
              <w:pStyle w:val="TAL"/>
            </w:pPr>
            <w:r w:rsidRPr="00433F0D">
              <w:t>HARQ</w:t>
            </w:r>
          </w:p>
        </w:tc>
        <w:tc>
          <w:tcPr>
            <w:tcW w:w="5387" w:type="dxa"/>
            <w:vAlign w:val="center"/>
          </w:tcPr>
          <w:p w14:paraId="65427C89" w14:textId="77777777" w:rsidR="00241417" w:rsidRPr="00433F0D" w:rsidRDefault="00241417" w:rsidP="003A71DE">
            <w:pPr>
              <w:pStyle w:val="TAL"/>
            </w:pPr>
            <w:r w:rsidRPr="00433F0D">
              <w:t>Maximum number of HARQ transmissions</w:t>
            </w:r>
          </w:p>
        </w:tc>
        <w:tc>
          <w:tcPr>
            <w:tcW w:w="2404" w:type="dxa"/>
            <w:vAlign w:val="center"/>
          </w:tcPr>
          <w:p w14:paraId="42B07C85" w14:textId="77777777" w:rsidR="00241417" w:rsidRPr="00433F0D" w:rsidRDefault="00241417" w:rsidP="003A71DE">
            <w:pPr>
              <w:pStyle w:val="TAC"/>
            </w:pPr>
            <w:r w:rsidRPr="00433F0D">
              <w:t>4</w:t>
            </w:r>
          </w:p>
        </w:tc>
      </w:tr>
      <w:tr w:rsidR="00241417" w:rsidRPr="00433F0D" w14:paraId="0EB8E0AF" w14:textId="77777777" w:rsidTr="003A71DE">
        <w:trPr>
          <w:cantSplit/>
          <w:jc w:val="center"/>
        </w:trPr>
        <w:tc>
          <w:tcPr>
            <w:tcW w:w="1838" w:type="dxa"/>
            <w:vMerge/>
            <w:tcBorders>
              <w:bottom w:val="single" w:sz="4" w:space="0" w:color="auto"/>
            </w:tcBorders>
            <w:vAlign w:val="center"/>
          </w:tcPr>
          <w:p w14:paraId="7F671899" w14:textId="77777777" w:rsidR="00241417" w:rsidRPr="00433F0D" w:rsidRDefault="00241417" w:rsidP="003A71DE">
            <w:pPr>
              <w:pStyle w:val="TAL"/>
            </w:pPr>
          </w:p>
        </w:tc>
        <w:tc>
          <w:tcPr>
            <w:tcW w:w="5387" w:type="dxa"/>
            <w:vAlign w:val="center"/>
          </w:tcPr>
          <w:p w14:paraId="31279800" w14:textId="77777777" w:rsidR="00241417" w:rsidRPr="00433F0D" w:rsidRDefault="00241417" w:rsidP="003A71DE">
            <w:pPr>
              <w:pStyle w:val="TAL"/>
            </w:pPr>
            <w:r w:rsidRPr="00433F0D">
              <w:t>RV sequence</w:t>
            </w:r>
          </w:p>
        </w:tc>
        <w:tc>
          <w:tcPr>
            <w:tcW w:w="2404" w:type="dxa"/>
            <w:vAlign w:val="center"/>
          </w:tcPr>
          <w:p w14:paraId="56FEF990" w14:textId="77777777" w:rsidR="00241417" w:rsidRPr="00433F0D" w:rsidRDefault="00241417" w:rsidP="003A71DE">
            <w:pPr>
              <w:pStyle w:val="TAC"/>
            </w:pPr>
            <w:r w:rsidRPr="00433F0D">
              <w:rPr>
                <w:lang w:val="fr-FR"/>
              </w:rPr>
              <w:t>0, 2, 3, 1</w:t>
            </w:r>
          </w:p>
        </w:tc>
      </w:tr>
      <w:tr w:rsidR="00241417" w:rsidRPr="00433F0D" w14:paraId="4E4EAF5C" w14:textId="77777777" w:rsidTr="003A71DE">
        <w:trPr>
          <w:cantSplit/>
          <w:jc w:val="center"/>
        </w:trPr>
        <w:tc>
          <w:tcPr>
            <w:tcW w:w="1838" w:type="dxa"/>
            <w:vMerge w:val="restart"/>
            <w:vAlign w:val="center"/>
          </w:tcPr>
          <w:p w14:paraId="6590451B" w14:textId="77777777" w:rsidR="00241417" w:rsidRPr="00433F0D" w:rsidRDefault="00241417" w:rsidP="003A71DE">
            <w:pPr>
              <w:pStyle w:val="TAL"/>
            </w:pPr>
            <w:r w:rsidRPr="00433F0D">
              <w:t>DM-RS</w:t>
            </w:r>
          </w:p>
        </w:tc>
        <w:tc>
          <w:tcPr>
            <w:tcW w:w="5387" w:type="dxa"/>
            <w:vAlign w:val="center"/>
          </w:tcPr>
          <w:p w14:paraId="6AB80B1A" w14:textId="77777777" w:rsidR="00241417" w:rsidRPr="00433F0D" w:rsidRDefault="00241417" w:rsidP="003A71DE">
            <w:pPr>
              <w:pStyle w:val="TAL"/>
            </w:pPr>
            <w:r w:rsidRPr="00433F0D">
              <w:t>DM-RS configuration type</w:t>
            </w:r>
          </w:p>
        </w:tc>
        <w:tc>
          <w:tcPr>
            <w:tcW w:w="2404" w:type="dxa"/>
            <w:vAlign w:val="center"/>
          </w:tcPr>
          <w:p w14:paraId="318ECCAC" w14:textId="77777777" w:rsidR="00241417" w:rsidRPr="00433F0D" w:rsidRDefault="00241417" w:rsidP="003A71DE">
            <w:pPr>
              <w:pStyle w:val="TAC"/>
            </w:pPr>
            <w:r w:rsidRPr="00433F0D">
              <w:t>1</w:t>
            </w:r>
          </w:p>
        </w:tc>
      </w:tr>
      <w:tr w:rsidR="00241417" w:rsidRPr="00433F0D" w14:paraId="3D8FE8A0" w14:textId="77777777" w:rsidTr="003A71DE">
        <w:trPr>
          <w:cantSplit/>
          <w:jc w:val="center"/>
        </w:trPr>
        <w:tc>
          <w:tcPr>
            <w:tcW w:w="1838" w:type="dxa"/>
            <w:vMerge/>
            <w:vAlign w:val="center"/>
          </w:tcPr>
          <w:p w14:paraId="3BAA4433" w14:textId="77777777" w:rsidR="00241417" w:rsidRPr="00433F0D" w:rsidRDefault="00241417" w:rsidP="003A71DE">
            <w:pPr>
              <w:pStyle w:val="TAL"/>
            </w:pPr>
          </w:p>
        </w:tc>
        <w:tc>
          <w:tcPr>
            <w:tcW w:w="5387" w:type="dxa"/>
            <w:vAlign w:val="center"/>
          </w:tcPr>
          <w:p w14:paraId="0E0721F6" w14:textId="77777777" w:rsidR="00241417" w:rsidRPr="00433F0D" w:rsidRDefault="00241417" w:rsidP="003A71DE">
            <w:pPr>
              <w:pStyle w:val="TAL"/>
            </w:pPr>
            <w:r w:rsidRPr="00433F0D">
              <w:t>DM-RS duration</w:t>
            </w:r>
          </w:p>
        </w:tc>
        <w:tc>
          <w:tcPr>
            <w:tcW w:w="2404" w:type="dxa"/>
            <w:vAlign w:val="center"/>
          </w:tcPr>
          <w:p w14:paraId="42AE8E25" w14:textId="77777777" w:rsidR="00241417" w:rsidRPr="00433F0D" w:rsidRDefault="00241417" w:rsidP="003A71DE">
            <w:pPr>
              <w:pStyle w:val="TAC"/>
            </w:pPr>
            <w:r w:rsidRPr="00433F0D">
              <w:t>single-symbol DM-RS</w:t>
            </w:r>
          </w:p>
        </w:tc>
      </w:tr>
      <w:tr w:rsidR="00241417" w:rsidRPr="00433F0D" w14:paraId="2B88F19A" w14:textId="77777777" w:rsidTr="003A71DE">
        <w:trPr>
          <w:cantSplit/>
          <w:jc w:val="center"/>
        </w:trPr>
        <w:tc>
          <w:tcPr>
            <w:tcW w:w="1838" w:type="dxa"/>
            <w:vMerge/>
            <w:vAlign w:val="center"/>
          </w:tcPr>
          <w:p w14:paraId="54DC0B07" w14:textId="77777777" w:rsidR="00241417" w:rsidRPr="00433F0D" w:rsidRDefault="00241417" w:rsidP="003A71DE">
            <w:pPr>
              <w:pStyle w:val="TAL"/>
            </w:pPr>
          </w:p>
        </w:tc>
        <w:tc>
          <w:tcPr>
            <w:tcW w:w="5387" w:type="dxa"/>
            <w:vAlign w:val="center"/>
          </w:tcPr>
          <w:p w14:paraId="18A001A2" w14:textId="77777777" w:rsidR="00241417" w:rsidRPr="00433F0D" w:rsidRDefault="00241417" w:rsidP="003A71DE">
            <w:pPr>
              <w:pStyle w:val="TAL"/>
            </w:pPr>
            <w:r w:rsidRPr="00433F0D">
              <w:rPr>
                <w:rFonts w:eastAsia="DengXian"/>
                <w:lang w:eastAsia="zh-CN"/>
              </w:rPr>
              <w:t>A</w:t>
            </w:r>
            <w:r w:rsidRPr="00433F0D">
              <w:t>dditional DM-RS position</w:t>
            </w:r>
          </w:p>
        </w:tc>
        <w:tc>
          <w:tcPr>
            <w:tcW w:w="2404" w:type="dxa"/>
            <w:vAlign w:val="center"/>
          </w:tcPr>
          <w:p w14:paraId="4D6B6184" w14:textId="77777777" w:rsidR="00241417" w:rsidRPr="00433F0D" w:rsidRDefault="00241417" w:rsidP="003A71DE">
            <w:pPr>
              <w:pStyle w:val="TAC"/>
            </w:pPr>
            <w:r w:rsidRPr="00433F0D">
              <w:t>pos1</w:t>
            </w:r>
          </w:p>
        </w:tc>
      </w:tr>
      <w:tr w:rsidR="00241417" w:rsidRPr="00433F0D" w14:paraId="0349090D" w14:textId="77777777" w:rsidTr="003A71DE">
        <w:trPr>
          <w:cantSplit/>
          <w:jc w:val="center"/>
        </w:trPr>
        <w:tc>
          <w:tcPr>
            <w:tcW w:w="1838" w:type="dxa"/>
            <w:vMerge/>
            <w:vAlign w:val="center"/>
          </w:tcPr>
          <w:p w14:paraId="3FA962F5" w14:textId="77777777" w:rsidR="00241417" w:rsidRPr="00433F0D" w:rsidRDefault="00241417" w:rsidP="003A71DE">
            <w:pPr>
              <w:pStyle w:val="TAL"/>
            </w:pPr>
          </w:p>
        </w:tc>
        <w:tc>
          <w:tcPr>
            <w:tcW w:w="5387" w:type="dxa"/>
            <w:vAlign w:val="center"/>
          </w:tcPr>
          <w:p w14:paraId="60462BD1" w14:textId="77777777" w:rsidR="00241417" w:rsidRPr="00433F0D" w:rsidRDefault="00241417" w:rsidP="003A71DE">
            <w:pPr>
              <w:pStyle w:val="TAL"/>
              <w:rPr>
                <w:rFonts w:eastAsia="DengXian" w:cs="Arial"/>
                <w:szCs w:val="18"/>
                <w:lang w:eastAsia="zh-CN"/>
              </w:rPr>
            </w:pPr>
            <w:r w:rsidRPr="00433F0D">
              <w:t>Number of DM-RS CDM group(s) without data</w:t>
            </w:r>
          </w:p>
        </w:tc>
        <w:tc>
          <w:tcPr>
            <w:tcW w:w="2404" w:type="dxa"/>
            <w:vAlign w:val="center"/>
          </w:tcPr>
          <w:p w14:paraId="7F0BD075" w14:textId="77777777" w:rsidR="00241417" w:rsidRPr="00433F0D" w:rsidRDefault="00241417" w:rsidP="003A71DE">
            <w:pPr>
              <w:pStyle w:val="TAC"/>
            </w:pPr>
            <w:r w:rsidRPr="00433F0D">
              <w:t>2</w:t>
            </w:r>
          </w:p>
        </w:tc>
      </w:tr>
      <w:tr w:rsidR="00241417" w:rsidRPr="00433F0D" w14:paraId="41CD920D" w14:textId="77777777" w:rsidTr="003A71DE">
        <w:trPr>
          <w:cantSplit/>
          <w:jc w:val="center"/>
        </w:trPr>
        <w:tc>
          <w:tcPr>
            <w:tcW w:w="1838" w:type="dxa"/>
            <w:vMerge/>
            <w:vAlign w:val="center"/>
          </w:tcPr>
          <w:p w14:paraId="23ECE49B" w14:textId="77777777" w:rsidR="00241417" w:rsidRPr="00433F0D" w:rsidRDefault="00241417" w:rsidP="003A71DE">
            <w:pPr>
              <w:pStyle w:val="TAL"/>
            </w:pPr>
          </w:p>
        </w:tc>
        <w:tc>
          <w:tcPr>
            <w:tcW w:w="5387" w:type="dxa"/>
            <w:vAlign w:val="center"/>
          </w:tcPr>
          <w:p w14:paraId="520AE095" w14:textId="77777777" w:rsidR="00241417" w:rsidRPr="00433F0D" w:rsidRDefault="00241417" w:rsidP="003A71DE">
            <w:pPr>
              <w:pStyle w:val="TAL"/>
            </w:pPr>
            <w:r w:rsidRPr="00433F0D">
              <w:t>Ratio of PUSCH EPRE to DM-RS EPRE</w:t>
            </w:r>
          </w:p>
        </w:tc>
        <w:tc>
          <w:tcPr>
            <w:tcW w:w="2404" w:type="dxa"/>
            <w:vAlign w:val="center"/>
          </w:tcPr>
          <w:p w14:paraId="06568F8C" w14:textId="77777777" w:rsidR="00241417" w:rsidRPr="00433F0D" w:rsidRDefault="00241417" w:rsidP="003A71DE">
            <w:pPr>
              <w:pStyle w:val="TAC"/>
            </w:pPr>
            <w:r w:rsidRPr="00433F0D">
              <w:rPr>
                <w:lang w:eastAsia="zh-CN"/>
              </w:rPr>
              <w:t>-3 dB</w:t>
            </w:r>
          </w:p>
        </w:tc>
      </w:tr>
      <w:tr w:rsidR="00241417" w:rsidRPr="00433F0D" w14:paraId="32B300A3" w14:textId="77777777" w:rsidTr="003A71DE">
        <w:trPr>
          <w:cantSplit/>
          <w:jc w:val="center"/>
        </w:trPr>
        <w:tc>
          <w:tcPr>
            <w:tcW w:w="1838" w:type="dxa"/>
            <w:vMerge/>
            <w:vAlign w:val="center"/>
          </w:tcPr>
          <w:p w14:paraId="0668CC4D" w14:textId="77777777" w:rsidR="00241417" w:rsidRPr="00433F0D" w:rsidRDefault="00241417" w:rsidP="003A71DE">
            <w:pPr>
              <w:pStyle w:val="TAL"/>
            </w:pPr>
          </w:p>
        </w:tc>
        <w:tc>
          <w:tcPr>
            <w:tcW w:w="5387" w:type="dxa"/>
            <w:vAlign w:val="center"/>
          </w:tcPr>
          <w:p w14:paraId="7D7255B3" w14:textId="77777777" w:rsidR="00241417" w:rsidRPr="00433F0D" w:rsidRDefault="00241417" w:rsidP="003A71DE">
            <w:pPr>
              <w:pStyle w:val="TAL"/>
            </w:pPr>
            <w:r w:rsidRPr="00433F0D">
              <w:t>DM-RS port(s)</w:t>
            </w:r>
          </w:p>
        </w:tc>
        <w:tc>
          <w:tcPr>
            <w:tcW w:w="2404" w:type="dxa"/>
            <w:vAlign w:val="center"/>
          </w:tcPr>
          <w:p w14:paraId="264EA8EB" w14:textId="77777777" w:rsidR="00241417" w:rsidRPr="00433F0D" w:rsidRDefault="00241417" w:rsidP="003A71DE">
            <w:pPr>
              <w:pStyle w:val="TAC"/>
            </w:pPr>
            <w:r w:rsidRPr="00433F0D">
              <w:t>0</w:t>
            </w:r>
          </w:p>
        </w:tc>
      </w:tr>
      <w:tr w:rsidR="00241417" w:rsidRPr="00831E0A" w14:paraId="675CACC0" w14:textId="77777777" w:rsidTr="003A71DE">
        <w:trPr>
          <w:cantSplit/>
          <w:jc w:val="center"/>
        </w:trPr>
        <w:tc>
          <w:tcPr>
            <w:tcW w:w="1838" w:type="dxa"/>
            <w:vMerge/>
            <w:tcBorders>
              <w:bottom w:val="single" w:sz="4" w:space="0" w:color="auto"/>
            </w:tcBorders>
            <w:vAlign w:val="center"/>
          </w:tcPr>
          <w:p w14:paraId="182C28B6" w14:textId="77777777" w:rsidR="00241417" w:rsidRPr="00433F0D" w:rsidRDefault="00241417" w:rsidP="003A71DE">
            <w:pPr>
              <w:pStyle w:val="TAL"/>
            </w:pPr>
          </w:p>
        </w:tc>
        <w:tc>
          <w:tcPr>
            <w:tcW w:w="5387" w:type="dxa"/>
            <w:vAlign w:val="center"/>
          </w:tcPr>
          <w:p w14:paraId="71228A22" w14:textId="77777777" w:rsidR="00241417" w:rsidRPr="00433F0D" w:rsidRDefault="00241417" w:rsidP="003A71DE">
            <w:pPr>
              <w:pStyle w:val="TAL"/>
            </w:pPr>
            <w:r w:rsidRPr="00433F0D">
              <w:t>DM-RS sequence generation</w:t>
            </w:r>
          </w:p>
        </w:tc>
        <w:tc>
          <w:tcPr>
            <w:tcW w:w="2404" w:type="dxa"/>
            <w:vAlign w:val="center"/>
          </w:tcPr>
          <w:p w14:paraId="551A2725" w14:textId="77777777" w:rsidR="00241417" w:rsidRPr="00433F0D" w:rsidRDefault="00241417" w:rsidP="003A71DE">
            <w:pPr>
              <w:pStyle w:val="TAC"/>
            </w:pPr>
            <w:r w:rsidRPr="00433F0D">
              <w:t>N</w:t>
            </w:r>
            <w:r w:rsidRPr="00433F0D">
              <w:rPr>
                <w:vertAlign w:val="subscript"/>
              </w:rPr>
              <w:t>ID</w:t>
            </w:r>
            <w:r w:rsidRPr="00433F0D">
              <w:rPr>
                <w:vertAlign w:val="superscript"/>
              </w:rPr>
              <w:t>0</w:t>
            </w:r>
            <w:r w:rsidRPr="00433F0D">
              <w:t>=0, group hopping and sequence hopping are disabled</w:t>
            </w:r>
          </w:p>
        </w:tc>
      </w:tr>
      <w:tr w:rsidR="00241417" w:rsidRPr="00433F0D" w14:paraId="04B2C1B4" w14:textId="77777777" w:rsidTr="003A71DE">
        <w:trPr>
          <w:cantSplit/>
          <w:jc w:val="center"/>
        </w:trPr>
        <w:tc>
          <w:tcPr>
            <w:tcW w:w="1838" w:type="dxa"/>
            <w:vMerge w:val="restart"/>
            <w:vAlign w:val="center"/>
          </w:tcPr>
          <w:p w14:paraId="695C3AAF" w14:textId="77777777" w:rsidR="00241417" w:rsidRPr="00433F0D" w:rsidRDefault="00241417" w:rsidP="003A71DE">
            <w:pPr>
              <w:pStyle w:val="TAL"/>
            </w:pPr>
            <w:r w:rsidRPr="00433F0D">
              <w:t>Time domain resource</w:t>
            </w:r>
            <w:r>
              <w:t xml:space="preserve"> </w:t>
            </w:r>
            <w:r w:rsidRPr="00433F0D">
              <w:t>assignment</w:t>
            </w:r>
          </w:p>
        </w:tc>
        <w:tc>
          <w:tcPr>
            <w:tcW w:w="5387" w:type="dxa"/>
            <w:vAlign w:val="center"/>
          </w:tcPr>
          <w:p w14:paraId="12442BDC" w14:textId="77777777" w:rsidR="00241417" w:rsidRPr="00433F0D" w:rsidRDefault="00241417" w:rsidP="003A71DE">
            <w:pPr>
              <w:pStyle w:val="TAL"/>
            </w:pPr>
            <w:r w:rsidRPr="00433F0D">
              <w:rPr>
                <w:rFonts w:eastAsia="Batang"/>
              </w:rPr>
              <w:t>PUSCH mapping type</w:t>
            </w:r>
          </w:p>
        </w:tc>
        <w:tc>
          <w:tcPr>
            <w:tcW w:w="2404" w:type="dxa"/>
            <w:vAlign w:val="center"/>
          </w:tcPr>
          <w:p w14:paraId="5C535A0E" w14:textId="77777777" w:rsidR="00241417" w:rsidRPr="00433F0D" w:rsidRDefault="00241417" w:rsidP="003A71DE">
            <w:pPr>
              <w:pStyle w:val="TAC"/>
            </w:pPr>
            <w:r w:rsidRPr="00433F0D">
              <w:t>A, B</w:t>
            </w:r>
          </w:p>
        </w:tc>
      </w:tr>
      <w:tr w:rsidR="00241417" w:rsidRPr="00433F0D" w14:paraId="13EB5CE2" w14:textId="77777777" w:rsidTr="003A71DE">
        <w:trPr>
          <w:cantSplit/>
          <w:jc w:val="center"/>
        </w:trPr>
        <w:tc>
          <w:tcPr>
            <w:tcW w:w="1838" w:type="dxa"/>
            <w:vMerge/>
            <w:vAlign w:val="center"/>
          </w:tcPr>
          <w:p w14:paraId="58BDB81B" w14:textId="77777777" w:rsidR="00241417" w:rsidRPr="00433F0D" w:rsidRDefault="00241417" w:rsidP="003A71DE">
            <w:pPr>
              <w:pStyle w:val="TAL"/>
            </w:pPr>
          </w:p>
        </w:tc>
        <w:tc>
          <w:tcPr>
            <w:tcW w:w="5387" w:type="dxa"/>
            <w:vAlign w:val="center"/>
          </w:tcPr>
          <w:p w14:paraId="014CD9FA" w14:textId="77777777" w:rsidR="00241417" w:rsidRPr="00433F0D" w:rsidRDefault="00241417" w:rsidP="003A71DE">
            <w:pPr>
              <w:pStyle w:val="TAL"/>
              <w:rPr>
                <w:rFonts w:eastAsia="Batang"/>
              </w:rPr>
            </w:pPr>
            <w:r w:rsidRPr="00433F0D">
              <w:t>Start symbol</w:t>
            </w:r>
          </w:p>
        </w:tc>
        <w:tc>
          <w:tcPr>
            <w:tcW w:w="2404" w:type="dxa"/>
            <w:vAlign w:val="center"/>
          </w:tcPr>
          <w:p w14:paraId="7C52EA17" w14:textId="77777777" w:rsidR="00241417" w:rsidRPr="00433F0D" w:rsidRDefault="00241417" w:rsidP="003A71DE">
            <w:pPr>
              <w:pStyle w:val="TAC"/>
            </w:pPr>
            <w:r w:rsidRPr="00433F0D">
              <w:t>0</w:t>
            </w:r>
          </w:p>
        </w:tc>
      </w:tr>
      <w:tr w:rsidR="00241417" w:rsidRPr="00433F0D" w14:paraId="317EB759" w14:textId="77777777" w:rsidTr="003A71DE">
        <w:trPr>
          <w:cantSplit/>
          <w:jc w:val="center"/>
        </w:trPr>
        <w:tc>
          <w:tcPr>
            <w:tcW w:w="1838" w:type="dxa"/>
            <w:vMerge/>
            <w:tcBorders>
              <w:bottom w:val="single" w:sz="4" w:space="0" w:color="auto"/>
            </w:tcBorders>
            <w:vAlign w:val="center"/>
          </w:tcPr>
          <w:p w14:paraId="4757181A" w14:textId="77777777" w:rsidR="00241417" w:rsidRPr="00433F0D" w:rsidRDefault="00241417" w:rsidP="003A71DE">
            <w:pPr>
              <w:pStyle w:val="TAL"/>
            </w:pPr>
          </w:p>
        </w:tc>
        <w:tc>
          <w:tcPr>
            <w:tcW w:w="5387" w:type="dxa"/>
            <w:vAlign w:val="center"/>
          </w:tcPr>
          <w:p w14:paraId="73447AA7" w14:textId="77777777" w:rsidR="00241417" w:rsidRPr="00433F0D" w:rsidRDefault="00241417" w:rsidP="003A71DE">
            <w:pPr>
              <w:pStyle w:val="TAL"/>
            </w:pPr>
            <w:r w:rsidRPr="00433F0D">
              <w:t>Allocation length</w:t>
            </w:r>
          </w:p>
        </w:tc>
        <w:tc>
          <w:tcPr>
            <w:tcW w:w="2404" w:type="dxa"/>
            <w:vAlign w:val="center"/>
          </w:tcPr>
          <w:p w14:paraId="25225760" w14:textId="77777777" w:rsidR="00241417" w:rsidRPr="00433F0D" w:rsidRDefault="00241417" w:rsidP="003A71DE">
            <w:pPr>
              <w:pStyle w:val="TAC"/>
            </w:pPr>
            <w:r w:rsidRPr="00433F0D">
              <w:t>14</w:t>
            </w:r>
          </w:p>
        </w:tc>
      </w:tr>
      <w:tr w:rsidR="00241417" w:rsidRPr="00B054F4" w14:paraId="3F0525D7" w14:textId="77777777" w:rsidTr="003A71DE">
        <w:trPr>
          <w:cantSplit/>
          <w:jc w:val="center"/>
        </w:trPr>
        <w:tc>
          <w:tcPr>
            <w:tcW w:w="1838" w:type="dxa"/>
            <w:vMerge w:val="restart"/>
            <w:vAlign w:val="center"/>
          </w:tcPr>
          <w:p w14:paraId="654C9105" w14:textId="77777777" w:rsidR="00241417" w:rsidRPr="00433F0D" w:rsidRDefault="00241417" w:rsidP="003A71DE">
            <w:pPr>
              <w:pStyle w:val="TAL"/>
            </w:pPr>
            <w:r w:rsidRPr="00433F0D">
              <w:t>Frequency domain resource assignment</w:t>
            </w:r>
          </w:p>
        </w:tc>
        <w:tc>
          <w:tcPr>
            <w:tcW w:w="5387" w:type="dxa"/>
            <w:vAlign w:val="center"/>
          </w:tcPr>
          <w:p w14:paraId="456455CA" w14:textId="77777777" w:rsidR="00241417" w:rsidRPr="00433F0D" w:rsidRDefault="00241417" w:rsidP="003A71DE">
            <w:pPr>
              <w:pStyle w:val="TAL"/>
            </w:pPr>
            <w:r w:rsidRPr="00433F0D">
              <w:t>RB assignment</w:t>
            </w:r>
          </w:p>
        </w:tc>
        <w:tc>
          <w:tcPr>
            <w:tcW w:w="2404" w:type="dxa"/>
            <w:vAlign w:val="center"/>
          </w:tcPr>
          <w:p w14:paraId="353C1295" w14:textId="77777777" w:rsidR="00241417" w:rsidRPr="00433F0D" w:rsidRDefault="00241417" w:rsidP="003A71DE">
            <w:pPr>
              <w:pStyle w:val="TAC"/>
              <w:rPr>
                <w:lang w:eastAsia="zh-CN"/>
              </w:rPr>
            </w:pPr>
            <w:r w:rsidRPr="00433F0D">
              <w:t>15 kHz SCS:</w:t>
            </w:r>
            <w:r w:rsidRPr="00433F0D">
              <w:rPr>
                <w:lang w:eastAsia="zh-CN"/>
              </w:rPr>
              <w:t xml:space="preserve"> 25 PRBs in the middle of the test bandwidth</w:t>
            </w:r>
          </w:p>
          <w:p w14:paraId="5CA19CB1" w14:textId="77777777" w:rsidR="00241417" w:rsidRPr="00433F0D" w:rsidRDefault="00241417" w:rsidP="003A71DE">
            <w:pPr>
              <w:pStyle w:val="TAC"/>
            </w:pPr>
            <w:r w:rsidRPr="00433F0D">
              <w:rPr>
                <w:lang w:eastAsia="zh-CN"/>
              </w:rPr>
              <w:t xml:space="preserve"> </w:t>
            </w:r>
            <w:r w:rsidRPr="00433F0D">
              <w:t>30 kHz SCS:</w:t>
            </w:r>
            <w:r w:rsidRPr="00433F0D">
              <w:rPr>
                <w:lang w:eastAsia="zh-CN"/>
              </w:rPr>
              <w:t xml:space="preserve"> 24 PRBs in the middle of the test bandwidth</w:t>
            </w:r>
          </w:p>
        </w:tc>
      </w:tr>
      <w:tr w:rsidR="00241417" w:rsidRPr="00433F0D" w14:paraId="735643A7" w14:textId="77777777" w:rsidTr="003A71DE">
        <w:trPr>
          <w:cantSplit/>
          <w:jc w:val="center"/>
        </w:trPr>
        <w:tc>
          <w:tcPr>
            <w:tcW w:w="1838" w:type="dxa"/>
            <w:vMerge/>
            <w:vAlign w:val="center"/>
          </w:tcPr>
          <w:p w14:paraId="43898664" w14:textId="77777777" w:rsidR="00241417" w:rsidRPr="00433F0D" w:rsidRDefault="00241417" w:rsidP="003A71DE">
            <w:pPr>
              <w:pStyle w:val="TAL"/>
            </w:pPr>
          </w:p>
        </w:tc>
        <w:tc>
          <w:tcPr>
            <w:tcW w:w="5387" w:type="dxa"/>
            <w:vAlign w:val="center"/>
          </w:tcPr>
          <w:p w14:paraId="0DF589A4" w14:textId="77777777" w:rsidR="00241417" w:rsidRPr="00433F0D" w:rsidRDefault="00241417" w:rsidP="003A71DE">
            <w:pPr>
              <w:pStyle w:val="TAL"/>
            </w:pPr>
            <w:r w:rsidRPr="00433F0D">
              <w:t>Frequency hopping</w:t>
            </w:r>
          </w:p>
        </w:tc>
        <w:tc>
          <w:tcPr>
            <w:tcW w:w="2404" w:type="dxa"/>
            <w:vAlign w:val="center"/>
          </w:tcPr>
          <w:p w14:paraId="1FAE0DDB" w14:textId="77777777" w:rsidR="00241417" w:rsidRPr="00433F0D" w:rsidRDefault="00241417" w:rsidP="003A71DE">
            <w:pPr>
              <w:pStyle w:val="TAC"/>
            </w:pPr>
            <w:r w:rsidRPr="00433F0D">
              <w:t>Disabled</w:t>
            </w:r>
          </w:p>
        </w:tc>
      </w:tr>
      <w:tr w:rsidR="00241417" w:rsidRPr="00433F0D" w14:paraId="7C1CD8DA" w14:textId="77777777" w:rsidTr="003A71DE">
        <w:trPr>
          <w:cantSplit/>
          <w:jc w:val="center"/>
        </w:trPr>
        <w:tc>
          <w:tcPr>
            <w:tcW w:w="7225" w:type="dxa"/>
            <w:gridSpan w:val="2"/>
            <w:vAlign w:val="center"/>
          </w:tcPr>
          <w:p w14:paraId="4F6E473E" w14:textId="77777777" w:rsidR="00241417" w:rsidRPr="00433F0D" w:rsidRDefault="00241417" w:rsidP="003A71DE">
            <w:pPr>
              <w:pStyle w:val="TAL"/>
            </w:pPr>
            <w:r w:rsidRPr="00433F0D">
              <w:t>Code block group based PUSCH transmission</w:t>
            </w:r>
          </w:p>
        </w:tc>
        <w:tc>
          <w:tcPr>
            <w:tcW w:w="2404" w:type="dxa"/>
            <w:vAlign w:val="center"/>
          </w:tcPr>
          <w:p w14:paraId="54AFECD0" w14:textId="77777777" w:rsidR="00241417" w:rsidRPr="00433F0D" w:rsidRDefault="00241417" w:rsidP="003A71DE">
            <w:pPr>
              <w:pStyle w:val="TAC"/>
            </w:pPr>
            <w:r w:rsidRPr="00433F0D">
              <w:t>Disabled</w:t>
            </w:r>
          </w:p>
        </w:tc>
      </w:tr>
      <w:tr w:rsidR="00241417" w:rsidRPr="00B054F4" w14:paraId="2621E999" w14:textId="77777777" w:rsidTr="003A71DE">
        <w:trPr>
          <w:cantSplit/>
          <w:jc w:val="center"/>
        </w:trPr>
        <w:tc>
          <w:tcPr>
            <w:tcW w:w="9629" w:type="dxa"/>
            <w:gridSpan w:val="3"/>
            <w:vAlign w:val="center"/>
          </w:tcPr>
          <w:p w14:paraId="79B8159C" w14:textId="74E1590C" w:rsidR="00241417" w:rsidRPr="00433F0D" w:rsidRDefault="00BC408B" w:rsidP="003A71DE">
            <w:pPr>
              <w:pStyle w:val="TAN"/>
            </w:pPr>
            <w:r>
              <w:t>NOTE 1</w:t>
            </w:r>
            <w:r>
              <w:rPr>
                <w:lang w:eastAsia="zh-CN"/>
              </w:rPr>
              <w:t>:</w:t>
            </w:r>
            <w:r>
              <w:tab/>
              <w:t>The same requirements are applicable to different UL-DL patterns.</w:t>
            </w:r>
          </w:p>
        </w:tc>
      </w:tr>
    </w:tbl>
    <w:p w14:paraId="7E0B6A05" w14:textId="77777777" w:rsidR="00241417" w:rsidRPr="00B054F4" w:rsidRDefault="00241417" w:rsidP="00241417"/>
    <w:p w14:paraId="739F2D51" w14:textId="77777777" w:rsidR="00241417" w:rsidRDefault="00241417" w:rsidP="00241417">
      <w:pPr>
        <w:pStyle w:val="Heading5"/>
      </w:pPr>
      <w:bookmarkStart w:id="3493" w:name="_Toc74583247"/>
      <w:bookmarkStart w:id="3494" w:name="_Toc76542060"/>
      <w:bookmarkStart w:id="3495" w:name="_Toc82450042"/>
      <w:bookmarkStart w:id="3496" w:name="_Toc82450690"/>
      <w:bookmarkStart w:id="3497" w:name="_Toc89949079"/>
      <w:bookmarkStart w:id="3498" w:name="_Toc98755468"/>
      <w:bookmarkStart w:id="3499" w:name="_Toc98763059"/>
      <w:bookmarkStart w:id="3500" w:name="_Toc106183988"/>
      <w:r>
        <w:t>8</w:t>
      </w:r>
      <w:r w:rsidRPr="00EE4A40">
        <w:t>.</w:t>
      </w:r>
      <w:r>
        <w:t>1</w:t>
      </w:r>
      <w:r w:rsidRPr="00EE4A40">
        <w:t>.</w:t>
      </w:r>
      <w:r>
        <w:t>2</w:t>
      </w:r>
      <w:r w:rsidRPr="00EE4A40">
        <w:t>.</w:t>
      </w:r>
      <w:r>
        <w:t>2</w:t>
      </w:r>
      <w:r w:rsidRPr="00EE4A40">
        <w:t>.</w:t>
      </w:r>
      <w:r>
        <w:t>2</w:t>
      </w:r>
      <w:r>
        <w:tab/>
        <w:t>Minimum requirements</w:t>
      </w:r>
      <w:bookmarkEnd w:id="3493"/>
      <w:bookmarkEnd w:id="3494"/>
      <w:bookmarkEnd w:id="3495"/>
      <w:bookmarkEnd w:id="3496"/>
      <w:bookmarkEnd w:id="3497"/>
      <w:bookmarkEnd w:id="3498"/>
      <w:bookmarkEnd w:id="3499"/>
      <w:bookmarkEnd w:id="3500"/>
    </w:p>
    <w:p w14:paraId="3C9A72F6" w14:textId="77777777" w:rsidR="00241417" w:rsidRPr="00B054F4" w:rsidRDefault="00241417" w:rsidP="00241417">
      <w:r w:rsidRPr="00B054F4">
        <w:t xml:space="preserve">The throughput shall be equal to or larger than </w:t>
      </w:r>
      <w:r>
        <w:t>70% of the</w:t>
      </w:r>
      <w:r w:rsidRPr="00B054F4">
        <w:t xml:space="preserve"> maximum throughput for the FRCs stated in tables 8.1.</w:t>
      </w:r>
      <w:r w:rsidRPr="00B054F4">
        <w:rPr>
          <w:lang w:eastAsia="zh-CN"/>
        </w:rPr>
        <w:t>2.2.2</w:t>
      </w:r>
      <w:r w:rsidRPr="00B054F4">
        <w:t>-1 to 8.1.</w:t>
      </w:r>
      <w:r w:rsidRPr="00B054F4">
        <w:rPr>
          <w:lang w:eastAsia="zh-CN"/>
        </w:rPr>
        <w:t>2.2.2</w:t>
      </w:r>
      <w:r w:rsidRPr="00B054F4">
        <w:t>-</w:t>
      </w:r>
      <w:r w:rsidRPr="00B054F4">
        <w:rPr>
          <w:lang w:eastAsia="zh-CN"/>
        </w:rPr>
        <w:t>4</w:t>
      </w:r>
      <w:r w:rsidRPr="00B054F4">
        <w:t xml:space="preserve"> at the given SNR. FRCs are defined in annex A.</w:t>
      </w:r>
    </w:p>
    <w:p w14:paraId="0C392EFF" w14:textId="77777777" w:rsidR="00241417" w:rsidRPr="00B054F4" w:rsidRDefault="00241417" w:rsidP="00241417">
      <w:pPr>
        <w:rPr>
          <w:lang w:eastAsia="zh-CN"/>
        </w:rPr>
      </w:pPr>
    </w:p>
    <w:p w14:paraId="08CCA822" w14:textId="77777777" w:rsidR="00241417" w:rsidRPr="00B054F4" w:rsidRDefault="00241417" w:rsidP="00241417">
      <w:pPr>
        <w:pStyle w:val="TH"/>
        <w:rPr>
          <w:lang w:eastAsia="zh-CN"/>
        </w:rPr>
      </w:pPr>
      <w:r w:rsidRPr="00B054F4">
        <w:t>Table 8.1.2.2.2-1: Minimum requirements for PUSCH</w:t>
      </w:r>
      <w:r w:rsidRPr="00B054F4">
        <w:rPr>
          <w:rFonts w:eastAsia="Malgun Gothic" w:hint="eastAsia"/>
          <w:lang w:eastAsia="zh-CN"/>
        </w:rPr>
        <w:t xml:space="preserve"> </w:t>
      </w:r>
      <w:r w:rsidRPr="00B054F4">
        <w:rPr>
          <w:rFonts w:eastAsia="Malgun Gothic"/>
          <w:lang w:eastAsia="zh-CN"/>
        </w:rPr>
        <w:t>with</w:t>
      </w:r>
      <w:r w:rsidRPr="00B054F4">
        <w:rPr>
          <w:rFonts w:eastAsia="Malgun Gothic" w:hint="eastAsia"/>
          <w:lang w:eastAsia="zh-CN"/>
        </w:rPr>
        <w:t xml:space="preserve"> 70% of maximum throughput</w:t>
      </w:r>
      <w:r w:rsidRPr="00B054F4">
        <w:rPr>
          <w:lang w:eastAsia="zh-CN"/>
        </w:rPr>
        <w:t>,</w:t>
      </w:r>
      <w:r w:rsidRPr="00B054F4">
        <w:t xml:space="preserve"> </w:t>
      </w:r>
      <w:r w:rsidRPr="00B054F4">
        <w:rPr>
          <w:lang w:eastAsia="zh-CN"/>
        </w:rPr>
        <w:t>T</w:t>
      </w:r>
      <w:r w:rsidRPr="00B054F4">
        <w:rPr>
          <w:rFonts w:eastAsia="Batang"/>
        </w:rPr>
        <w:t>ype A</w:t>
      </w:r>
      <w:r w:rsidRPr="00B054F4">
        <w:t>, 5 MHz channel bandwidth</w:t>
      </w:r>
      <w:r w:rsidRPr="00B054F4">
        <w:rPr>
          <w:lang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570"/>
        <w:gridCol w:w="1265"/>
        <w:gridCol w:w="1134"/>
      </w:tblGrid>
      <w:tr w:rsidR="00241417" w:rsidRPr="006A39F9" w14:paraId="005DD267" w14:textId="77777777" w:rsidTr="003A71DE">
        <w:trPr>
          <w:cantSplit/>
          <w:jc w:val="center"/>
        </w:trPr>
        <w:tc>
          <w:tcPr>
            <w:tcW w:w="1007" w:type="dxa"/>
            <w:tcBorders>
              <w:bottom w:val="single" w:sz="4" w:space="0" w:color="auto"/>
            </w:tcBorders>
            <w:vAlign w:val="center"/>
          </w:tcPr>
          <w:p w14:paraId="2E5ADC5F" w14:textId="77777777" w:rsidR="00241417" w:rsidRPr="006A39F9" w:rsidRDefault="00241417" w:rsidP="003A71DE">
            <w:pPr>
              <w:pStyle w:val="TAH"/>
            </w:pPr>
            <w:r w:rsidRPr="006A39F9">
              <w:t>Number of TX antennas</w:t>
            </w:r>
          </w:p>
        </w:tc>
        <w:tc>
          <w:tcPr>
            <w:tcW w:w="1093" w:type="dxa"/>
            <w:tcBorders>
              <w:bottom w:val="single" w:sz="4" w:space="0" w:color="auto"/>
            </w:tcBorders>
            <w:vAlign w:val="center"/>
          </w:tcPr>
          <w:p w14:paraId="6EC4EEF1" w14:textId="77777777" w:rsidR="00241417" w:rsidRPr="006A39F9" w:rsidRDefault="00241417" w:rsidP="003A71DE">
            <w:pPr>
              <w:pStyle w:val="TAH"/>
            </w:pPr>
            <w:r w:rsidRPr="006A39F9">
              <w:t xml:space="preserve">Number of </w:t>
            </w:r>
            <w:r>
              <w:t>Demodulation Branches</w:t>
            </w:r>
          </w:p>
        </w:tc>
        <w:tc>
          <w:tcPr>
            <w:tcW w:w="1985" w:type="dxa"/>
            <w:tcBorders>
              <w:bottom w:val="single" w:sz="4" w:space="0" w:color="auto"/>
            </w:tcBorders>
            <w:vAlign w:val="center"/>
          </w:tcPr>
          <w:p w14:paraId="140F89DE" w14:textId="778F8513" w:rsidR="00241417" w:rsidRPr="006A39F9" w:rsidRDefault="00241417" w:rsidP="003A71DE">
            <w:pPr>
              <w:pStyle w:val="TAH"/>
            </w:pPr>
            <w:r w:rsidRPr="006A39F9">
              <w:t xml:space="preserve">Propagation conditions and correlation matrix (Annex </w:t>
            </w:r>
            <w:r>
              <w:t>TBA</w:t>
            </w:r>
            <w:r w:rsidRPr="006A39F9">
              <w:t>)</w:t>
            </w:r>
          </w:p>
        </w:tc>
        <w:tc>
          <w:tcPr>
            <w:tcW w:w="1570" w:type="dxa"/>
            <w:tcBorders>
              <w:bottom w:val="single" w:sz="4" w:space="0" w:color="auto"/>
            </w:tcBorders>
            <w:vAlign w:val="center"/>
          </w:tcPr>
          <w:p w14:paraId="3328B5EF" w14:textId="77777777" w:rsidR="00241417" w:rsidRPr="006A39F9" w:rsidRDefault="00241417" w:rsidP="003A71DE">
            <w:pPr>
              <w:pStyle w:val="TAH"/>
            </w:pPr>
            <w:r w:rsidRPr="006A39F9">
              <w:t>FRC</w:t>
            </w:r>
            <w:r w:rsidRPr="006A39F9">
              <w:br/>
              <w:t>(Annex A)</w:t>
            </w:r>
          </w:p>
        </w:tc>
        <w:tc>
          <w:tcPr>
            <w:tcW w:w="1265" w:type="dxa"/>
            <w:tcBorders>
              <w:bottom w:val="single" w:sz="4" w:space="0" w:color="auto"/>
            </w:tcBorders>
            <w:vAlign w:val="center"/>
          </w:tcPr>
          <w:p w14:paraId="3BD852B6" w14:textId="77777777" w:rsidR="00241417" w:rsidRPr="006A39F9" w:rsidRDefault="00241417" w:rsidP="003A71DE">
            <w:pPr>
              <w:pStyle w:val="TAH"/>
            </w:pPr>
            <w:r w:rsidRPr="006A39F9">
              <w:t>Additional DM-RS position</w:t>
            </w:r>
          </w:p>
        </w:tc>
        <w:tc>
          <w:tcPr>
            <w:tcW w:w="1134" w:type="dxa"/>
            <w:tcBorders>
              <w:bottom w:val="single" w:sz="4" w:space="0" w:color="auto"/>
            </w:tcBorders>
            <w:vAlign w:val="center"/>
          </w:tcPr>
          <w:p w14:paraId="74E9F57E" w14:textId="77777777" w:rsidR="00241417" w:rsidRPr="006A39F9" w:rsidRDefault="00241417" w:rsidP="003A71DE">
            <w:pPr>
              <w:pStyle w:val="TAH"/>
            </w:pPr>
            <w:r w:rsidRPr="006A39F9">
              <w:t>SNR</w:t>
            </w:r>
          </w:p>
          <w:p w14:paraId="4E7BD9C2" w14:textId="77777777" w:rsidR="00241417" w:rsidRPr="006A39F9" w:rsidRDefault="00241417" w:rsidP="003A71DE">
            <w:pPr>
              <w:pStyle w:val="TAH"/>
            </w:pPr>
            <w:r w:rsidRPr="006A39F9">
              <w:t>(dB)</w:t>
            </w:r>
          </w:p>
        </w:tc>
      </w:tr>
      <w:tr w:rsidR="00241417" w:rsidRPr="006A39F9" w14:paraId="4466511B" w14:textId="77777777" w:rsidTr="003A71DE">
        <w:trPr>
          <w:cantSplit/>
          <w:jc w:val="center"/>
        </w:trPr>
        <w:tc>
          <w:tcPr>
            <w:tcW w:w="1007" w:type="dxa"/>
            <w:vMerge w:val="restart"/>
            <w:vAlign w:val="center"/>
          </w:tcPr>
          <w:p w14:paraId="2A5D749D" w14:textId="77777777" w:rsidR="00241417" w:rsidRPr="006A39F9" w:rsidRDefault="00241417" w:rsidP="003A71DE">
            <w:pPr>
              <w:pStyle w:val="TAC"/>
            </w:pPr>
            <w:r w:rsidRPr="006A39F9">
              <w:t>1</w:t>
            </w:r>
          </w:p>
        </w:tc>
        <w:tc>
          <w:tcPr>
            <w:tcW w:w="1093" w:type="dxa"/>
            <w:tcBorders>
              <w:bottom w:val="single" w:sz="4" w:space="0" w:color="auto"/>
            </w:tcBorders>
            <w:vAlign w:val="center"/>
          </w:tcPr>
          <w:p w14:paraId="5E4F718B" w14:textId="77777777" w:rsidR="00241417" w:rsidRPr="006A39F9" w:rsidRDefault="00241417" w:rsidP="003A71DE">
            <w:pPr>
              <w:pStyle w:val="TAC"/>
            </w:pPr>
            <w:r w:rsidRPr="006A39F9">
              <w:t>2</w:t>
            </w:r>
          </w:p>
        </w:tc>
        <w:tc>
          <w:tcPr>
            <w:tcW w:w="1985" w:type="dxa"/>
            <w:tcBorders>
              <w:bottom w:val="single" w:sz="4" w:space="0" w:color="auto"/>
            </w:tcBorders>
            <w:vAlign w:val="center"/>
          </w:tcPr>
          <w:p w14:paraId="28C3C6CD" w14:textId="77777777" w:rsidR="00241417" w:rsidRPr="006A39F9" w:rsidRDefault="00241417" w:rsidP="003A71DE">
            <w:pPr>
              <w:pStyle w:val="TAC"/>
            </w:pPr>
            <w:r w:rsidRPr="006A39F9">
              <w:t xml:space="preserve">TDLB100-400 </w:t>
            </w:r>
            <w:r w:rsidRPr="006A39F9">
              <w:rPr>
                <w:rFonts w:cs="Arial"/>
              </w:rPr>
              <w:t>Low</w:t>
            </w:r>
          </w:p>
        </w:tc>
        <w:tc>
          <w:tcPr>
            <w:tcW w:w="1570" w:type="dxa"/>
            <w:tcBorders>
              <w:bottom w:val="single" w:sz="4" w:space="0" w:color="auto"/>
            </w:tcBorders>
            <w:vAlign w:val="center"/>
          </w:tcPr>
          <w:p w14:paraId="79AE7020" w14:textId="77777777" w:rsidR="00241417" w:rsidRPr="006A39F9" w:rsidRDefault="00241417" w:rsidP="003A71DE">
            <w:pPr>
              <w:pStyle w:val="TAC"/>
            </w:pPr>
            <w:r>
              <w:rPr>
                <w:lang w:eastAsia="zh-CN"/>
              </w:rPr>
              <w:t>D-FR1-A.2.1-15</w:t>
            </w:r>
          </w:p>
        </w:tc>
        <w:tc>
          <w:tcPr>
            <w:tcW w:w="1265" w:type="dxa"/>
            <w:tcBorders>
              <w:bottom w:val="single" w:sz="4" w:space="0" w:color="auto"/>
            </w:tcBorders>
            <w:vAlign w:val="center"/>
          </w:tcPr>
          <w:p w14:paraId="34106AAB" w14:textId="77777777" w:rsidR="00241417" w:rsidRPr="006A39F9" w:rsidRDefault="00241417" w:rsidP="003A71DE">
            <w:pPr>
              <w:pStyle w:val="TAC"/>
            </w:pPr>
            <w:r w:rsidRPr="006A39F9">
              <w:t>pos1</w:t>
            </w:r>
          </w:p>
        </w:tc>
        <w:tc>
          <w:tcPr>
            <w:tcW w:w="1134" w:type="dxa"/>
            <w:tcBorders>
              <w:bottom w:val="single" w:sz="4" w:space="0" w:color="auto"/>
            </w:tcBorders>
            <w:vAlign w:val="center"/>
          </w:tcPr>
          <w:p w14:paraId="74D90373" w14:textId="77777777" w:rsidR="00241417" w:rsidRPr="006A39F9" w:rsidRDefault="00241417" w:rsidP="003A71DE">
            <w:pPr>
              <w:pStyle w:val="TAC"/>
            </w:pPr>
            <w:r w:rsidRPr="006A39F9">
              <w:t>-2.</w:t>
            </w:r>
            <w:r w:rsidRPr="006A39F9">
              <w:rPr>
                <w:lang w:eastAsia="zh-CN"/>
              </w:rPr>
              <w:t>4</w:t>
            </w:r>
          </w:p>
        </w:tc>
      </w:tr>
      <w:tr w:rsidR="00241417" w:rsidRPr="006A39F9" w14:paraId="5C120E60" w14:textId="77777777" w:rsidTr="003A71DE">
        <w:trPr>
          <w:cantSplit/>
          <w:jc w:val="center"/>
        </w:trPr>
        <w:tc>
          <w:tcPr>
            <w:tcW w:w="1007" w:type="dxa"/>
            <w:vMerge/>
            <w:vAlign w:val="center"/>
          </w:tcPr>
          <w:p w14:paraId="24425C3E" w14:textId="77777777" w:rsidR="00241417" w:rsidRPr="006A39F9" w:rsidRDefault="00241417" w:rsidP="003A71DE">
            <w:pPr>
              <w:pStyle w:val="TAC"/>
            </w:pPr>
          </w:p>
        </w:tc>
        <w:tc>
          <w:tcPr>
            <w:tcW w:w="1093" w:type="dxa"/>
            <w:tcBorders>
              <w:top w:val="single" w:sz="4" w:space="0" w:color="auto"/>
              <w:bottom w:val="single" w:sz="4" w:space="0" w:color="auto"/>
            </w:tcBorders>
            <w:vAlign w:val="center"/>
          </w:tcPr>
          <w:p w14:paraId="20D96B6D" w14:textId="77777777" w:rsidR="00241417" w:rsidRPr="006A39F9" w:rsidRDefault="00241417" w:rsidP="003A71DE">
            <w:pPr>
              <w:pStyle w:val="TAC"/>
            </w:pPr>
            <w:r w:rsidRPr="006A39F9">
              <w:t>4</w:t>
            </w:r>
          </w:p>
        </w:tc>
        <w:tc>
          <w:tcPr>
            <w:tcW w:w="1985" w:type="dxa"/>
            <w:tcBorders>
              <w:top w:val="single" w:sz="4" w:space="0" w:color="auto"/>
              <w:bottom w:val="single" w:sz="4" w:space="0" w:color="auto"/>
            </w:tcBorders>
            <w:vAlign w:val="center"/>
          </w:tcPr>
          <w:p w14:paraId="4FFAF137" w14:textId="77777777" w:rsidR="00241417" w:rsidRPr="006A39F9" w:rsidRDefault="00241417" w:rsidP="003A71DE">
            <w:pPr>
              <w:pStyle w:val="TAC"/>
            </w:pPr>
            <w:r w:rsidRPr="006A39F9">
              <w:t>TDLB100-400</w:t>
            </w:r>
            <w:r w:rsidRPr="006A39F9">
              <w:rPr>
                <w:rFonts w:cs="Arial"/>
              </w:rPr>
              <w:t xml:space="preserve"> Low</w:t>
            </w:r>
          </w:p>
        </w:tc>
        <w:tc>
          <w:tcPr>
            <w:tcW w:w="1570" w:type="dxa"/>
            <w:tcBorders>
              <w:top w:val="single" w:sz="4" w:space="0" w:color="auto"/>
              <w:bottom w:val="single" w:sz="4" w:space="0" w:color="auto"/>
            </w:tcBorders>
            <w:vAlign w:val="center"/>
          </w:tcPr>
          <w:p w14:paraId="6904A2CB" w14:textId="77777777" w:rsidR="00241417" w:rsidRPr="006A39F9" w:rsidRDefault="00241417" w:rsidP="003A71DE">
            <w:pPr>
              <w:pStyle w:val="TAC"/>
              <w:rPr>
                <w:lang w:eastAsia="zh-CN"/>
              </w:rPr>
            </w:pPr>
            <w:r>
              <w:rPr>
                <w:lang w:eastAsia="zh-CN"/>
              </w:rPr>
              <w:t>D-FR1-A.2.1-15</w:t>
            </w:r>
          </w:p>
        </w:tc>
        <w:tc>
          <w:tcPr>
            <w:tcW w:w="1265" w:type="dxa"/>
            <w:tcBorders>
              <w:top w:val="single" w:sz="4" w:space="0" w:color="auto"/>
              <w:bottom w:val="single" w:sz="4" w:space="0" w:color="auto"/>
            </w:tcBorders>
            <w:vAlign w:val="center"/>
          </w:tcPr>
          <w:p w14:paraId="71E64173" w14:textId="77777777" w:rsidR="00241417" w:rsidRPr="006A39F9" w:rsidRDefault="00241417" w:rsidP="003A71DE">
            <w:pPr>
              <w:pStyle w:val="TAC"/>
            </w:pPr>
            <w:r w:rsidRPr="006A39F9">
              <w:t>pos1</w:t>
            </w:r>
          </w:p>
        </w:tc>
        <w:tc>
          <w:tcPr>
            <w:tcW w:w="1134" w:type="dxa"/>
            <w:tcBorders>
              <w:top w:val="single" w:sz="4" w:space="0" w:color="auto"/>
              <w:bottom w:val="single" w:sz="4" w:space="0" w:color="auto"/>
            </w:tcBorders>
            <w:vAlign w:val="center"/>
          </w:tcPr>
          <w:p w14:paraId="2969D4B6" w14:textId="77777777" w:rsidR="00241417" w:rsidRPr="006A39F9" w:rsidRDefault="00241417" w:rsidP="003A71DE">
            <w:pPr>
              <w:pStyle w:val="TAC"/>
            </w:pPr>
            <w:r w:rsidRPr="006A39F9">
              <w:t>-5.7</w:t>
            </w:r>
          </w:p>
        </w:tc>
      </w:tr>
      <w:tr w:rsidR="00241417" w:rsidRPr="006A39F9" w14:paraId="466331A6" w14:textId="77777777" w:rsidTr="003A71DE">
        <w:trPr>
          <w:cantSplit/>
          <w:jc w:val="center"/>
        </w:trPr>
        <w:tc>
          <w:tcPr>
            <w:tcW w:w="1007" w:type="dxa"/>
            <w:vMerge/>
            <w:vAlign w:val="center"/>
          </w:tcPr>
          <w:p w14:paraId="3BBE64EC" w14:textId="77777777" w:rsidR="00241417" w:rsidRPr="006A39F9" w:rsidRDefault="00241417" w:rsidP="003A71DE">
            <w:pPr>
              <w:pStyle w:val="TAC"/>
            </w:pPr>
          </w:p>
        </w:tc>
        <w:tc>
          <w:tcPr>
            <w:tcW w:w="1093" w:type="dxa"/>
            <w:tcBorders>
              <w:top w:val="single" w:sz="4" w:space="0" w:color="auto"/>
            </w:tcBorders>
            <w:vAlign w:val="center"/>
          </w:tcPr>
          <w:p w14:paraId="123288BB" w14:textId="77777777" w:rsidR="00241417" w:rsidRPr="006A39F9" w:rsidRDefault="00241417" w:rsidP="003A71DE">
            <w:pPr>
              <w:pStyle w:val="TAC"/>
            </w:pPr>
            <w:r w:rsidRPr="006A39F9">
              <w:t>8</w:t>
            </w:r>
          </w:p>
        </w:tc>
        <w:tc>
          <w:tcPr>
            <w:tcW w:w="1985" w:type="dxa"/>
            <w:tcBorders>
              <w:top w:val="single" w:sz="4" w:space="0" w:color="auto"/>
            </w:tcBorders>
            <w:vAlign w:val="center"/>
          </w:tcPr>
          <w:p w14:paraId="37B41CFD" w14:textId="77777777" w:rsidR="00241417" w:rsidRPr="006A39F9" w:rsidRDefault="00241417" w:rsidP="003A71DE">
            <w:pPr>
              <w:pStyle w:val="TAC"/>
            </w:pPr>
            <w:r w:rsidRPr="006A39F9">
              <w:t>TDLB100-400</w:t>
            </w:r>
            <w:r w:rsidRPr="006A39F9">
              <w:rPr>
                <w:rFonts w:cs="Arial"/>
              </w:rPr>
              <w:t xml:space="preserve"> Low</w:t>
            </w:r>
          </w:p>
        </w:tc>
        <w:tc>
          <w:tcPr>
            <w:tcW w:w="1570" w:type="dxa"/>
            <w:tcBorders>
              <w:top w:val="single" w:sz="4" w:space="0" w:color="auto"/>
            </w:tcBorders>
            <w:vAlign w:val="center"/>
          </w:tcPr>
          <w:p w14:paraId="13C8F273" w14:textId="77777777" w:rsidR="00241417" w:rsidRPr="006A39F9" w:rsidRDefault="00241417" w:rsidP="003A71DE">
            <w:pPr>
              <w:pStyle w:val="TAC"/>
              <w:rPr>
                <w:lang w:eastAsia="zh-CN"/>
              </w:rPr>
            </w:pPr>
            <w:r>
              <w:rPr>
                <w:lang w:eastAsia="zh-CN"/>
              </w:rPr>
              <w:t>D-FR1-A.2.1-15</w:t>
            </w:r>
          </w:p>
        </w:tc>
        <w:tc>
          <w:tcPr>
            <w:tcW w:w="1265" w:type="dxa"/>
            <w:tcBorders>
              <w:top w:val="single" w:sz="4" w:space="0" w:color="auto"/>
            </w:tcBorders>
            <w:vAlign w:val="center"/>
          </w:tcPr>
          <w:p w14:paraId="1F09E5C5" w14:textId="77777777" w:rsidR="00241417" w:rsidRPr="006A39F9" w:rsidRDefault="00241417" w:rsidP="003A71DE">
            <w:pPr>
              <w:pStyle w:val="TAC"/>
            </w:pPr>
            <w:r w:rsidRPr="006A39F9">
              <w:t>pos1</w:t>
            </w:r>
          </w:p>
        </w:tc>
        <w:tc>
          <w:tcPr>
            <w:tcW w:w="1134" w:type="dxa"/>
            <w:tcBorders>
              <w:top w:val="single" w:sz="4" w:space="0" w:color="auto"/>
            </w:tcBorders>
            <w:vAlign w:val="center"/>
          </w:tcPr>
          <w:p w14:paraId="59C06EB0" w14:textId="77777777" w:rsidR="00241417" w:rsidRPr="006A39F9" w:rsidRDefault="00241417" w:rsidP="003A71DE">
            <w:pPr>
              <w:pStyle w:val="TAC"/>
            </w:pPr>
            <w:r w:rsidRPr="006A39F9">
              <w:t>-</w:t>
            </w:r>
            <w:r w:rsidRPr="006A39F9">
              <w:rPr>
                <w:lang w:eastAsia="zh-CN"/>
              </w:rPr>
              <w:t>8.5</w:t>
            </w:r>
          </w:p>
        </w:tc>
      </w:tr>
    </w:tbl>
    <w:p w14:paraId="667493BB" w14:textId="77777777" w:rsidR="00241417" w:rsidRPr="006A39F9" w:rsidRDefault="00241417" w:rsidP="00241417">
      <w:pPr>
        <w:rPr>
          <w:lang w:eastAsia="zh-CN"/>
        </w:rPr>
      </w:pPr>
    </w:p>
    <w:p w14:paraId="21545264" w14:textId="77777777" w:rsidR="00241417" w:rsidRPr="00B054F4" w:rsidRDefault="00241417" w:rsidP="00241417">
      <w:pPr>
        <w:pStyle w:val="TH"/>
        <w:rPr>
          <w:lang w:eastAsia="zh-CN"/>
        </w:rPr>
      </w:pPr>
      <w:r w:rsidRPr="00B054F4">
        <w:t>Table 8.1.2.2.2-</w:t>
      </w:r>
      <w:r w:rsidRPr="00B054F4">
        <w:rPr>
          <w:lang w:eastAsia="zh-CN"/>
        </w:rPr>
        <w:t>2:</w:t>
      </w:r>
      <w:r w:rsidRPr="00B054F4">
        <w:t xml:space="preserve"> Minimum requirements for PUSCH</w:t>
      </w:r>
      <w:r w:rsidRPr="00B054F4">
        <w:rPr>
          <w:rFonts w:eastAsia="Malgun Gothic" w:hint="eastAsia"/>
          <w:lang w:eastAsia="zh-CN"/>
        </w:rPr>
        <w:t xml:space="preserve"> </w:t>
      </w:r>
      <w:r w:rsidRPr="00B054F4">
        <w:rPr>
          <w:rFonts w:eastAsia="Malgun Gothic"/>
          <w:lang w:eastAsia="zh-CN"/>
        </w:rPr>
        <w:t>with</w:t>
      </w:r>
      <w:r w:rsidRPr="00B054F4">
        <w:rPr>
          <w:rFonts w:eastAsia="Malgun Gothic" w:hint="eastAsia"/>
          <w:lang w:eastAsia="zh-CN"/>
        </w:rPr>
        <w:t xml:space="preserve"> 70% of maximum throughput</w:t>
      </w:r>
      <w:r w:rsidRPr="00B054F4">
        <w:rPr>
          <w:lang w:eastAsia="zh-CN"/>
        </w:rPr>
        <w:t>,</w:t>
      </w:r>
      <w:r w:rsidRPr="00B054F4">
        <w:rPr>
          <w:rFonts w:eastAsia="Batang"/>
        </w:rPr>
        <w:t xml:space="preserve"> </w:t>
      </w:r>
      <w:r w:rsidRPr="00B054F4">
        <w:rPr>
          <w:lang w:eastAsia="zh-CN"/>
        </w:rPr>
        <w:t>T</w:t>
      </w:r>
      <w:r w:rsidRPr="00B054F4">
        <w:rPr>
          <w:rFonts w:eastAsia="Batang"/>
        </w:rPr>
        <w:t>ype A</w:t>
      </w:r>
      <w:r w:rsidRPr="00B054F4">
        <w:t xml:space="preserve">, </w:t>
      </w:r>
      <w:r w:rsidRPr="00B054F4">
        <w:rPr>
          <w:lang w:eastAsia="zh-CN"/>
        </w:rPr>
        <w:t>10</w:t>
      </w:r>
      <w:r w:rsidRPr="00B054F4">
        <w:t xml:space="preserve"> MHz channel bandwidth</w:t>
      </w:r>
      <w:r w:rsidRPr="00B054F4">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570"/>
        <w:gridCol w:w="1265"/>
        <w:gridCol w:w="1134"/>
      </w:tblGrid>
      <w:tr w:rsidR="00241417" w:rsidRPr="006A39F9" w14:paraId="5B701A17" w14:textId="77777777" w:rsidTr="003A71DE">
        <w:trPr>
          <w:cantSplit/>
          <w:jc w:val="center"/>
        </w:trPr>
        <w:tc>
          <w:tcPr>
            <w:tcW w:w="1007" w:type="dxa"/>
            <w:tcBorders>
              <w:bottom w:val="single" w:sz="4" w:space="0" w:color="auto"/>
            </w:tcBorders>
            <w:vAlign w:val="center"/>
          </w:tcPr>
          <w:p w14:paraId="3AE9778F" w14:textId="77777777" w:rsidR="00241417" w:rsidRPr="006A39F9" w:rsidRDefault="00241417" w:rsidP="003A71DE">
            <w:pPr>
              <w:pStyle w:val="TAH"/>
            </w:pPr>
            <w:r w:rsidRPr="006A39F9">
              <w:t>Number of TX antennas</w:t>
            </w:r>
          </w:p>
        </w:tc>
        <w:tc>
          <w:tcPr>
            <w:tcW w:w="1093" w:type="dxa"/>
            <w:tcBorders>
              <w:bottom w:val="single" w:sz="4" w:space="0" w:color="auto"/>
            </w:tcBorders>
            <w:vAlign w:val="center"/>
          </w:tcPr>
          <w:p w14:paraId="299C6964" w14:textId="77777777" w:rsidR="00241417" w:rsidRPr="006A39F9" w:rsidRDefault="00241417" w:rsidP="003A71DE">
            <w:pPr>
              <w:pStyle w:val="TAH"/>
            </w:pPr>
            <w:r w:rsidRPr="006A39F9">
              <w:t xml:space="preserve">Number of </w:t>
            </w:r>
            <w:r>
              <w:t>Demodulation Branches</w:t>
            </w:r>
          </w:p>
        </w:tc>
        <w:tc>
          <w:tcPr>
            <w:tcW w:w="1985" w:type="dxa"/>
            <w:tcBorders>
              <w:bottom w:val="single" w:sz="4" w:space="0" w:color="auto"/>
            </w:tcBorders>
            <w:vAlign w:val="center"/>
          </w:tcPr>
          <w:p w14:paraId="7083DCE5" w14:textId="57F11FC3" w:rsidR="00241417" w:rsidRPr="006A39F9" w:rsidRDefault="00241417" w:rsidP="003A71DE">
            <w:pPr>
              <w:pStyle w:val="TAH"/>
            </w:pPr>
            <w:r w:rsidRPr="006A39F9">
              <w:t xml:space="preserve">Propagation conditions and correlation matrix (Annex </w:t>
            </w:r>
            <w:r>
              <w:t>TBA</w:t>
            </w:r>
            <w:r w:rsidRPr="006A39F9">
              <w:t>)</w:t>
            </w:r>
          </w:p>
        </w:tc>
        <w:tc>
          <w:tcPr>
            <w:tcW w:w="1570" w:type="dxa"/>
            <w:tcBorders>
              <w:bottom w:val="single" w:sz="4" w:space="0" w:color="auto"/>
            </w:tcBorders>
            <w:vAlign w:val="center"/>
          </w:tcPr>
          <w:p w14:paraId="0DBE268B" w14:textId="77777777" w:rsidR="00241417" w:rsidRPr="006A39F9" w:rsidRDefault="00241417" w:rsidP="003A71DE">
            <w:pPr>
              <w:pStyle w:val="TAH"/>
            </w:pPr>
            <w:r w:rsidRPr="006A39F9">
              <w:t>FRC</w:t>
            </w:r>
            <w:r w:rsidRPr="006A39F9">
              <w:br/>
              <w:t>(Annex A)</w:t>
            </w:r>
          </w:p>
        </w:tc>
        <w:tc>
          <w:tcPr>
            <w:tcW w:w="1265" w:type="dxa"/>
            <w:tcBorders>
              <w:bottom w:val="single" w:sz="4" w:space="0" w:color="auto"/>
            </w:tcBorders>
            <w:vAlign w:val="center"/>
          </w:tcPr>
          <w:p w14:paraId="52D964F5" w14:textId="77777777" w:rsidR="00241417" w:rsidRPr="006A39F9" w:rsidRDefault="00241417" w:rsidP="003A71DE">
            <w:pPr>
              <w:pStyle w:val="TAH"/>
            </w:pPr>
            <w:r w:rsidRPr="006A39F9">
              <w:t>Additional DM-RS position</w:t>
            </w:r>
          </w:p>
        </w:tc>
        <w:tc>
          <w:tcPr>
            <w:tcW w:w="1134" w:type="dxa"/>
            <w:tcBorders>
              <w:bottom w:val="single" w:sz="4" w:space="0" w:color="auto"/>
            </w:tcBorders>
            <w:vAlign w:val="center"/>
          </w:tcPr>
          <w:p w14:paraId="7902E943" w14:textId="77777777" w:rsidR="00241417" w:rsidRPr="006A39F9" w:rsidRDefault="00241417" w:rsidP="003A71DE">
            <w:pPr>
              <w:pStyle w:val="TAH"/>
            </w:pPr>
            <w:r w:rsidRPr="006A39F9">
              <w:t>SNR</w:t>
            </w:r>
          </w:p>
          <w:p w14:paraId="7FBB9C82" w14:textId="77777777" w:rsidR="00241417" w:rsidRPr="006A39F9" w:rsidRDefault="00241417" w:rsidP="003A71DE">
            <w:pPr>
              <w:pStyle w:val="TAH"/>
            </w:pPr>
            <w:r w:rsidRPr="006A39F9">
              <w:t>(dB)</w:t>
            </w:r>
          </w:p>
        </w:tc>
      </w:tr>
      <w:tr w:rsidR="00241417" w:rsidRPr="006A39F9" w14:paraId="157CDF46" w14:textId="77777777" w:rsidTr="003A71DE">
        <w:trPr>
          <w:cantSplit/>
          <w:jc w:val="center"/>
        </w:trPr>
        <w:tc>
          <w:tcPr>
            <w:tcW w:w="1007" w:type="dxa"/>
            <w:vMerge w:val="restart"/>
            <w:vAlign w:val="center"/>
          </w:tcPr>
          <w:p w14:paraId="76A5CFBA" w14:textId="77777777" w:rsidR="00241417" w:rsidRPr="006A39F9" w:rsidRDefault="00241417" w:rsidP="003A71DE">
            <w:pPr>
              <w:pStyle w:val="TAC"/>
            </w:pPr>
            <w:r w:rsidRPr="006A39F9">
              <w:t>1</w:t>
            </w:r>
          </w:p>
        </w:tc>
        <w:tc>
          <w:tcPr>
            <w:tcW w:w="1093" w:type="dxa"/>
            <w:tcBorders>
              <w:bottom w:val="single" w:sz="4" w:space="0" w:color="auto"/>
            </w:tcBorders>
            <w:vAlign w:val="center"/>
          </w:tcPr>
          <w:p w14:paraId="521EF793" w14:textId="77777777" w:rsidR="00241417" w:rsidRPr="006A39F9" w:rsidRDefault="00241417" w:rsidP="003A71DE">
            <w:pPr>
              <w:pStyle w:val="TAC"/>
            </w:pPr>
            <w:r w:rsidRPr="006A39F9">
              <w:t>2</w:t>
            </w:r>
          </w:p>
        </w:tc>
        <w:tc>
          <w:tcPr>
            <w:tcW w:w="1985" w:type="dxa"/>
            <w:tcBorders>
              <w:bottom w:val="single" w:sz="4" w:space="0" w:color="auto"/>
            </w:tcBorders>
            <w:vAlign w:val="center"/>
          </w:tcPr>
          <w:p w14:paraId="090C968D" w14:textId="77777777" w:rsidR="00241417" w:rsidRPr="006A39F9" w:rsidRDefault="00241417" w:rsidP="003A71DE">
            <w:pPr>
              <w:pStyle w:val="TAC"/>
            </w:pPr>
            <w:r w:rsidRPr="006A39F9">
              <w:t>TDLB100-400</w:t>
            </w:r>
            <w:r w:rsidRPr="006A39F9">
              <w:rPr>
                <w:rFonts w:cs="Arial"/>
              </w:rPr>
              <w:t xml:space="preserve"> Low</w:t>
            </w:r>
          </w:p>
        </w:tc>
        <w:tc>
          <w:tcPr>
            <w:tcW w:w="1570" w:type="dxa"/>
            <w:tcBorders>
              <w:bottom w:val="single" w:sz="4" w:space="0" w:color="auto"/>
            </w:tcBorders>
            <w:vAlign w:val="center"/>
          </w:tcPr>
          <w:p w14:paraId="42F85206" w14:textId="77777777" w:rsidR="00241417" w:rsidRPr="006A39F9" w:rsidRDefault="00241417" w:rsidP="003A71DE">
            <w:pPr>
              <w:pStyle w:val="TAC"/>
            </w:pPr>
            <w:r>
              <w:rPr>
                <w:lang w:eastAsia="zh-CN"/>
              </w:rPr>
              <w:t>D-FR1-A.2.1-16</w:t>
            </w:r>
          </w:p>
        </w:tc>
        <w:tc>
          <w:tcPr>
            <w:tcW w:w="1265" w:type="dxa"/>
            <w:tcBorders>
              <w:bottom w:val="single" w:sz="4" w:space="0" w:color="auto"/>
            </w:tcBorders>
            <w:vAlign w:val="center"/>
          </w:tcPr>
          <w:p w14:paraId="4B6F8FDD" w14:textId="77777777" w:rsidR="00241417" w:rsidRPr="006A39F9" w:rsidRDefault="00241417" w:rsidP="003A71DE">
            <w:pPr>
              <w:pStyle w:val="TAC"/>
            </w:pPr>
            <w:r w:rsidRPr="006A39F9">
              <w:t>pos1</w:t>
            </w:r>
          </w:p>
        </w:tc>
        <w:tc>
          <w:tcPr>
            <w:tcW w:w="1134" w:type="dxa"/>
            <w:tcBorders>
              <w:bottom w:val="single" w:sz="4" w:space="0" w:color="auto"/>
            </w:tcBorders>
            <w:vAlign w:val="center"/>
          </w:tcPr>
          <w:p w14:paraId="11EEE967" w14:textId="77777777" w:rsidR="00241417" w:rsidRPr="006A39F9" w:rsidRDefault="00241417" w:rsidP="003A71DE">
            <w:pPr>
              <w:pStyle w:val="TAC"/>
            </w:pPr>
            <w:r w:rsidRPr="006A39F9">
              <w:t>-</w:t>
            </w:r>
            <w:r w:rsidRPr="006A39F9">
              <w:rPr>
                <w:lang w:eastAsia="zh-CN"/>
              </w:rPr>
              <w:t>2</w:t>
            </w:r>
            <w:r w:rsidRPr="006A39F9">
              <w:t>.</w:t>
            </w:r>
            <w:r w:rsidRPr="006A39F9">
              <w:rPr>
                <w:lang w:eastAsia="zh-CN"/>
              </w:rPr>
              <w:t xml:space="preserve">5 </w:t>
            </w:r>
          </w:p>
        </w:tc>
      </w:tr>
      <w:tr w:rsidR="00241417" w:rsidRPr="006A39F9" w14:paraId="4017D592" w14:textId="77777777" w:rsidTr="003A71DE">
        <w:trPr>
          <w:cantSplit/>
          <w:jc w:val="center"/>
        </w:trPr>
        <w:tc>
          <w:tcPr>
            <w:tcW w:w="1007" w:type="dxa"/>
            <w:vMerge/>
            <w:vAlign w:val="center"/>
          </w:tcPr>
          <w:p w14:paraId="728E4583" w14:textId="77777777" w:rsidR="00241417" w:rsidRPr="006A39F9" w:rsidRDefault="00241417" w:rsidP="003A71DE">
            <w:pPr>
              <w:pStyle w:val="TAC"/>
            </w:pPr>
          </w:p>
        </w:tc>
        <w:tc>
          <w:tcPr>
            <w:tcW w:w="1093" w:type="dxa"/>
            <w:tcBorders>
              <w:top w:val="single" w:sz="4" w:space="0" w:color="auto"/>
              <w:bottom w:val="single" w:sz="4" w:space="0" w:color="auto"/>
            </w:tcBorders>
            <w:vAlign w:val="center"/>
          </w:tcPr>
          <w:p w14:paraId="570D9E8F" w14:textId="77777777" w:rsidR="00241417" w:rsidRPr="006A39F9" w:rsidRDefault="00241417" w:rsidP="003A71DE">
            <w:pPr>
              <w:pStyle w:val="TAC"/>
            </w:pPr>
            <w:r w:rsidRPr="006A39F9">
              <w:t>4</w:t>
            </w:r>
          </w:p>
        </w:tc>
        <w:tc>
          <w:tcPr>
            <w:tcW w:w="1985" w:type="dxa"/>
            <w:tcBorders>
              <w:top w:val="single" w:sz="4" w:space="0" w:color="auto"/>
              <w:bottom w:val="single" w:sz="4" w:space="0" w:color="auto"/>
            </w:tcBorders>
            <w:vAlign w:val="center"/>
          </w:tcPr>
          <w:p w14:paraId="4088CA69" w14:textId="77777777" w:rsidR="00241417" w:rsidRPr="006A39F9" w:rsidRDefault="00241417" w:rsidP="003A71DE">
            <w:pPr>
              <w:pStyle w:val="TAC"/>
            </w:pPr>
            <w:r w:rsidRPr="006A39F9">
              <w:t>TDLB100-400</w:t>
            </w:r>
            <w:r w:rsidRPr="006A39F9">
              <w:rPr>
                <w:rFonts w:cs="Arial"/>
              </w:rPr>
              <w:t xml:space="preserve"> Low</w:t>
            </w:r>
          </w:p>
        </w:tc>
        <w:tc>
          <w:tcPr>
            <w:tcW w:w="1570" w:type="dxa"/>
            <w:tcBorders>
              <w:top w:val="single" w:sz="4" w:space="0" w:color="auto"/>
              <w:bottom w:val="single" w:sz="4" w:space="0" w:color="auto"/>
            </w:tcBorders>
            <w:vAlign w:val="center"/>
          </w:tcPr>
          <w:p w14:paraId="5AC9FEA7" w14:textId="77777777" w:rsidR="00241417" w:rsidRPr="006A39F9" w:rsidRDefault="00241417" w:rsidP="003A71DE">
            <w:pPr>
              <w:pStyle w:val="TAC"/>
              <w:rPr>
                <w:lang w:eastAsia="zh-CN"/>
              </w:rPr>
            </w:pPr>
            <w:r>
              <w:rPr>
                <w:lang w:eastAsia="zh-CN"/>
              </w:rPr>
              <w:t>D-FR1-A.2.1-16</w:t>
            </w:r>
          </w:p>
        </w:tc>
        <w:tc>
          <w:tcPr>
            <w:tcW w:w="1265" w:type="dxa"/>
            <w:tcBorders>
              <w:top w:val="single" w:sz="4" w:space="0" w:color="auto"/>
              <w:bottom w:val="single" w:sz="4" w:space="0" w:color="auto"/>
            </w:tcBorders>
            <w:vAlign w:val="center"/>
          </w:tcPr>
          <w:p w14:paraId="123B24B6" w14:textId="77777777" w:rsidR="00241417" w:rsidRPr="006A39F9" w:rsidRDefault="00241417" w:rsidP="003A71DE">
            <w:pPr>
              <w:pStyle w:val="TAC"/>
            </w:pPr>
            <w:r w:rsidRPr="006A39F9">
              <w:t>pos1</w:t>
            </w:r>
          </w:p>
        </w:tc>
        <w:tc>
          <w:tcPr>
            <w:tcW w:w="1134" w:type="dxa"/>
            <w:tcBorders>
              <w:top w:val="single" w:sz="4" w:space="0" w:color="auto"/>
              <w:bottom w:val="single" w:sz="4" w:space="0" w:color="auto"/>
            </w:tcBorders>
            <w:vAlign w:val="center"/>
          </w:tcPr>
          <w:p w14:paraId="01FC1E02" w14:textId="77777777" w:rsidR="00241417" w:rsidRPr="006A39F9" w:rsidRDefault="00241417" w:rsidP="003A71DE">
            <w:pPr>
              <w:pStyle w:val="TAC"/>
            </w:pPr>
            <w:r w:rsidRPr="006A39F9">
              <w:t>-5.7</w:t>
            </w:r>
          </w:p>
        </w:tc>
      </w:tr>
      <w:tr w:rsidR="00241417" w:rsidRPr="006A39F9" w14:paraId="35886209" w14:textId="77777777" w:rsidTr="003A71DE">
        <w:trPr>
          <w:cantSplit/>
          <w:jc w:val="center"/>
        </w:trPr>
        <w:tc>
          <w:tcPr>
            <w:tcW w:w="1007" w:type="dxa"/>
            <w:vMerge/>
            <w:vAlign w:val="center"/>
          </w:tcPr>
          <w:p w14:paraId="6D690746" w14:textId="77777777" w:rsidR="00241417" w:rsidRPr="006A39F9" w:rsidRDefault="00241417" w:rsidP="003A71DE">
            <w:pPr>
              <w:pStyle w:val="TAC"/>
            </w:pPr>
          </w:p>
        </w:tc>
        <w:tc>
          <w:tcPr>
            <w:tcW w:w="1093" w:type="dxa"/>
            <w:tcBorders>
              <w:top w:val="single" w:sz="4" w:space="0" w:color="auto"/>
            </w:tcBorders>
            <w:vAlign w:val="center"/>
          </w:tcPr>
          <w:p w14:paraId="7148F2FA" w14:textId="77777777" w:rsidR="00241417" w:rsidRPr="006A39F9" w:rsidRDefault="00241417" w:rsidP="003A71DE">
            <w:pPr>
              <w:pStyle w:val="TAC"/>
            </w:pPr>
            <w:r w:rsidRPr="006A39F9">
              <w:t>8</w:t>
            </w:r>
          </w:p>
        </w:tc>
        <w:tc>
          <w:tcPr>
            <w:tcW w:w="1985" w:type="dxa"/>
            <w:tcBorders>
              <w:top w:val="single" w:sz="4" w:space="0" w:color="auto"/>
            </w:tcBorders>
            <w:vAlign w:val="center"/>
          </w:tcPr>
          <w:p w14:paraId="169E460D" w14:textId="77777777" w:rsidR="00241417" w:rsidRPr="006A39F9" w:rsidRDefault="00241417" w:rsidP="003A71DE">
            <w:pPr>
              <w:pStyle w:val="TAC"/>
            </w:pPr>
            <w:r w:rsidRPr="006A39F9">
              <w:t>TDLB100-400</w:t>
            </w:r>
            <w:r w:rsidRPr="006A39F9">
              <w:rPr>
                <w:rFonts w:cs="Arial"/>
              </w:rPr>
              <w:t xml:space="preserve"> Low</w:t>
            </w:r>
          </w:p>
        </w:tc>
        <w:tc>
          <w:tcPr>
            <w:tcW w:w="1570" w:type="dxa"/>
            <w:tcBorders>
              <w:top w:val="single" w:sz="4" w:space="0" w:color="auto"/>
            </w:tcBorders>
            <w:vAlign w:val="center"/>
          </w:tcPr>
          <w:p w14:paraId="50F2237C" w14:textId="77777777" w:rsidR="00241417" w:rsidRPr="006A39F9" w:rsidRDefault="00241417" w:rsidP="003A71DE">
            <w:pPr>
              <w:pStyle w:val="TAC"/>
              <w:rPr>
                <w:lang w:eastAsia="zh-CN"/>
              </w:rPr>
            </w:pPr>
            <w:r>
              <w:rPr>
                <w:lang w:eastAsia="zh-CN"/>
              </w:rPr>
              <w:t>D-FR1-A.2.1-16</w:t>
            </w:r>
          </w:p>
        </w:tc>
        <w:tc>
          <w:tcPr>
            <w:tcW w:w="1265" w:type="dxa"/>
            <w:tcBorders>
              <w:top w:val="single" w:sz="4" w:space="0" w:color="auto"/>
            </w:tcBorders>
            <w:vAlign w:val="center"/>
          </w:tcPr>
          <w:p w14:paraId="74481FD0" w14:textId="77777777" w:rsidR="00241417" w:rsidRPr="006A39F9" w:rsidRDefault="00241417" w:rsidP="003A71DE">
            <w:pPr>
              <w:pStyle w:val="TAC"/>
            </w:pPr>
            <w:r w:rsidRPr="006A39F9">
              <w:t>pos1</w:t>
            </w:r>
          </w:p>
        </w:tc>
        <w:tc>
          <w:tcPr>
            <w:tcW w:w="1134" w:type="dxa"/>
            <w:tcBorders>
              <w:top w:val="single" w:sz="4" w:space="0" w:color="auto"/>
            </w:tcBorders>
            <w:vAlign w:val="center"/>
          </w:tcPr>
          <w:p w14:paraId="0DF9719E" w14:textId="77777777" w:rsidR="00241417" w:rsidRPr="006A39F9" w:rsidRDefault="00241417" w:rsidP="003A71DE">
            <w:pPr>
              <w:pStyle w:val="TAC"/>
            </w:pPr>
            <w:r w:rsidRPr="006A39F9">
              <w:t>-8.4</w:t>
            </w:r>
          </w:p>
        </w:tc>
      </w:tr>
    </w:tbl>
    <w:p w14:paraId="4C25D07B" w14:textId="77777777" w:rsidR="00241417" w:rsidRPr="006A39F9" w:rsidRDefault="00241417" w:rsidP="00241417">
      <w:pPr>
        <w:rPr>
          <w:lang w:eastAsia="zh-CN"/>
        </w:rPr>
      </w:pPr>
    </w:p>
    <w:p w14:paraId="61BBD706" w14:textId="77777777" w:rsidR="00241417" w:rsidRPr="00B054F4" w:rsidRDefault="00241417" w:rsidP="00241417">
      <w:pPr>
        <w:pStyle w:val="TH"/>
        <w:rPr>
          <w:lang w:eastAsia="zh-CN"/>
        </w:rPr>
      </w:pPr>
      <w:r w:rsidRPr="00B054F4">
        <w:lastRenderedPageBreak/>
        <w:t>Table 8.1.2.2.2-3: Minimum requirements for PUSCH</w:t>
      </w:r>
      <w:r w:rsidRPr="00B054F4">
        <w:rPr>
          <w:rFonts w:eastAsia="Malgun Gothic" w:hint="eastAsia"/>
          <w:lang w:eastAsia="zh-CN"/>
        </w:rPr>
        <w:t xml:space="preserve"> </w:t>
      </w:r>
      <w:r w:rsidRPr="00B054F4">
        <w:rPr>
          <w:rFonts w:eastAsia="Malgun Gothic"/>
          <w:lang w:eastAsia="zh-CN"/>
        </w:rPr>
        <w:t>with</w:t>
      </w:r>
      <w:r w:rsidRPr="00B054F4">
        <w:rPr>
          <w:rFonts w:eastAsia="Malgun Gothic" w:hint="eastAsia"/>
          <w:lang w:eastAsia="zh-CN"/>
        </w:rPr>
        <w:t xml:space="preserve"> 70% of maximum throughput</w:t>
      </w:r>
      <w:r w:rsidRPr="00B054F4">
        <w:rPr>
          <w:lang w:eastAsia="zh-CN"/>
        </w:rPr>
        <w:t>,</w:t>
      </w:r>
      <w:r w:rsidRPr="00B054F4">
        <w:rPr>
          <w:rFonts w:eastAsia="Batang"/>
        </w:rPr>
        <w:t xml:space="preserve"> </w:t>
      </w:r>
      <w:r w:rsidRPr="00B054F4">
        <w:rPr>
          <w:lang w:eastAsia="zh-CN"/>
        </w:rPr>
        <w:t>T</w:t>
      </w:r>
      <w:r w:rsidRPr="00B054F4">
        <w:rPr>
          <w:rFonts w:eastAsia="Batang"/>
        </w:rPr>
        <w:t>ype B</w:t>
      </w:r>
      <w:r w:rsidRPr="00B054F4">
        <w:t>, 5 MHz channel bandwidth</w:t>
      </w:r>
      <w:r w:rsidRPr="00B054F4">
        <w:rPr>
          <w:lang w:eastAsia="zh-CN"/>
        </w:rPr>
        <w:t>, 15 kHz SCS</w:t>
      </w:r>
    </w:p>
    <w:tbl>
      <w:tblPr>
        <w:tblStyle w:val="TableGrid7"/>
        <w:tblW w:w="8054" w:type="dxa"/>
        <w:jc w:val="center"/>
        <w:tblLayout w:type="fixed"/>
        <w:tblLook w:val="04A0" w:firstRow="1" w:lastRow="0" w:firstColumn="1" w:lastColumn="0" w:noHBand="0" w:noVBand="1"/>
      </w:tblPr>
      <w:tblGrid>
        <w:gridCol w:w="1007"/>
        <w:gridCol w:w="1093"/>
        <w:gridCol w:w="1985"/>
        <w:gridCol w:w="1660"/>
        <w:gridCol w:w="1175"/>
        <w:gridCol w:w="1134"/>
      </w:tblGrid>
      <w:tr w:rsidR="00241417" w:rsidRPr="006A39F9" w14:paraId="45994FA6" w14:textId="77777777" w:rsidTr="003A71DE">
        <w:trPr>
          <w:cantSplit/>
          <w:jc w:val="center"/>
        </w:trPr>
        <w:tc>
          <w:tcPr>
            <w:tcW w:w="1007" w:type="dxa"/>
            <w:tcBorders>
              <w:bottom w:val="single" w:sz="4" w:space="0" w:color="auto"/>
            </w:tcBorders>
            <w:vAlign w:val="center"/>
          </w:tcPr>
          <w:p w14:paraId="7E34E0EF" w14:textId="77777777" w:rsidR="00241417" w:rsidRPr="006A39F9" w:rsidRDefault="00241417" w:rsidP="003A71DE">
            <w:pPr>
              <w:pStyle w:val="TAH"/>
            </w:pPr>
            <w:r w:rsidRPr="006A39F9">
              <w:t>Number of TX antennas</w:t>
            </w:r>
          </w:p>
        </w:tc>
        <w:tc>
          <w:tcPr>
            <w:tcW w:w="1093" w:type="dxa"/>
            <w:tcBorders>
              <w:bottom w:val="single" w:sz="4" w:space="0" w:color="auto"/>
            </w:tcBorders>
            <w:vAlign w:val="center"/>
          </w:tcPr>
          <w:p w14:paraId="4DA63645" w14:textId="77777777" w:rsidR="00241417" w:rsidRPr="006A39F9" w:rsidRDefault="00241417" w:rsidP="003A71DE">
            <w:pPr>
              <w:pStyle w:val="TAH"/>
            </w:pPr>
            <w:r w:rsidRPr="006A39F9">
              <w:t xml:space="preserve">Number of </w:t>
            </w:r>
            <w:r>
              <w:t>Demodulation Branches</w:t>
            </w:r>
          </w:p>
        </w:tc>
        <w:tc>
          <w:tcPr>
            <w:tcW w:w="1985" w:type="dxa"/>
            <w:tcBorders>
              <w:bottom w:val="single" w:sz="4" w:space="0" w:color="auto"/>
            </w:tcBorders>
            <w:vAlign w:val="center"/>
          </w:tcPr>
          <w:p w14:paraId="7C7CE23C" w14:textId="585C7167" w:rsidR="00241417" w:rsidRPr="006A39F9" w:rsidRDefault="00241417" w:rsidP="003A71DE">
            <w:pPr>
              <w:pStyle w:val="TAH"/>
            </w:pPr>
            <w:r w:rsidRPr="006A39F9">
              <w:t xml:space="preserve">Propagation conditions and correlation matrix (Annex </w:t>
            </w:r>
            <w:r>
              <w:t>TBA</w:t>
            </w:r>
            <w:r w:rsidRPr="006A39F9">
              <w:t>)</w:t>
            </w:r>
          </w:p>
        </w:tc>
        <w:tc>
          <w:tcPr>
            <w:tcW w:w="1660" w:type="dxa"/>
            <w:tcBorders>
              <w:bottom w:val="single" w:sz="4" w:space="0" w:color="auto"/>
            </w:tcBorders>
            <w:vAlign w:val="center"/>
          </w:tcPr>
          <w:p w14:paraId="5E000A96" w14:textId="77777777" w:rsidR="00241417" w:rsidRPr="006A39F9" w:rsidRDefault="00241417" w:rsidP="003A71DE">
            <w:pPr>
              <w:pStyle w:val="TAH"/>
            </w:pPr>
            <w:r w:rsidRPr="006A39F9">
              <w:t>FRC</w:t>
            </w:r>
            <w:r w:rsidRPr="006A39F9">
              <w:br/>
              <w:t>(Annex A)</w:t>
            </w:r>
          </w:p>
        </w:tc>
        <w:tc>
          <w:tcPr>
            <w:tcW w:w="1175" w:type="dxa"/>
            <w:tcBorders>
              <w:bottom w:val="single" w:sz="4" w:space="0" w:color="auto"/>
            </w:tcBorders>
            <w:vAlign w:val="center"/>
          </w:tcPr>
          <w:p w14:paraId="42A300D2" w14:textId="77777777" w:rsidR="00241417" w:rsidRPr="006A39F9" w:rsidRDefault="00241417" w:rsidP="003A71DE">
            <w:pPr>
              <w:pStyle w:val="TAH"/>
            </w:pPr>
            <w:r w:rsidRPr="006A39F9">
              <w:t>Additional DM-RS position</w:t>
            </w:r>
          </w:p>
        </w:tc>
        <w:tc>
          <w:tcPr>
            <w:tcW w:w="1134" w:type="dxa"/>
            <w:tcBorders>
              <w:bottom w:val="single" w:sz="4" w:space="0" w:color="auto"/>
            </w:tcBorders>
            <w:vAlign w:val="center"/>
          </w:tcPr>
          <w:p w14:paraId="02635A73" w14:textId="77777777" w:rsidR="00241417" w:rsidRPr="006A39F9" w:rsidRDefault="00241417" w:rsidP="003A71DE">
            <w:pPr>
              <w:pStyle w:val="TAH"/>
            </w:pPr>
            <w:r w:rsidRPr="006A39F9">
              <w:t>SNR</w:t>
            </w:r>
          </w:p>
          <w:p w14:paraId="38919F4E" w14:textId="77777777" w:rsidR="00241417" w:rsidRPr="006A39F9" w:rsidRDefault="00241417" w:rsidP="003A71DE">
            <w:pPr>
              <w:pStyle w:val="TAH"/>
            </w:pPr>
            <w:r w:rsidRPr="006A39F9">
              <w:t>(dB)</w:t>
            </w:r>
          </w:p>
        </w:tc>
      </w:tr>
      <w:tr w:rsidR="00241417" w:rsidRPr="006A39F9" w14:paraId="70BC1EFA" w14:textId="77777777" w:rsidTr="003A71DE">
        <w:trPr>
          <w:cantSplit/>
          <w:jc w:val="center"/>
        </w:trPr>
        <w:tc>
          <w:tcPr>
            <w:tcW w:w="1007" w:type="dxa"/>
            <w:vMerge w:val="restart"/>
            <w:vAlign w:val="center"/>
          </w:tcPr>
          <w:p w14:paraId="25917BC2" w14:textId="77777777" w:rsidR="00241417" w:rsidRPr="006A39F9" w:rsidRDefault="00241417" w:rsidP="003A71DE">
            <w:pPr>
              <w:pStyle w:val="TAC"/>
            </w:pPr>
            <w:r w:rsidRPr="006A39F9">
              <w:t>1</w:t>
            </w:r>
          </w:p>
        </w:tc>
        <w:tc>
          <w:tcPr>
            <w:tcW w:w="1093" w:type="dxa"/>
            <w:tcBorders>
              <w:bottom w:val="single" w:sz="4" w:space="0" w:color="auto"/>
            </w:tcBorders>
            <w:vAlign w:val="center"/>
          </w:tcPr>
          <w:p w14:paraId="59457CE5" w14:textId="77777777" w:rsidR="00241417" w:rsidRPr="006A39F9" w:rsidRDefault="00241417" w:rsidP="003A71DE">
            <w:pPr>
              <w:pStyle w:val="TAC"/>
            </w:pPr>
            <w:r w:rsidRPr="006A39F9">
              <w:t>2</w:t>
            </w:r>
          </w:p>
        </w:tc>
        <w:tc>
          <w:tcPr>
            <w:tcW w:w="1985" w:type="dxa"/>
            <w:tcBorders>
              <w:bottom w:val="single" w:sz="4" w:space="0" w:color="auto"/>
            </w:tcBorders>
            <w:vAlign w:val="center"/>
          </w:tcPr>
          <w:p w14:paraId="59D5389A" w14:textId="77777777" w:rsidR="00241417" w:rsidRPr="006A39F9" w:rsidRDefault="00241417" w:rsidP="003A71DE">
            <w:pPr>
              <w:pStyle w:val="TAC"/>
            </w:pPr>
            <w:r w:rsidRPr="006A39F9">
              <w:t xml:space="preserve">TDLB100-400 </w:t>
            </w:r>
            <w:r w:rsidRPr="006A39F9">
              <w:rPr>
                <w:rFonts w:cs="Arial"/>
              </w:rPr>
              <w:t>Low</w:t>
            </w:r>
          </w:p>
        </w:tc>
        <w:tc>
          <w:tcPr>
            <w:tcW w:w="1660" w:type="dxa"/>
            <w:tcBorders>
              <w:bottom w:val="single" w:sz="4" w:space="0" w:color="auto"/>
            </w:tcBorders>
            <w:vAlign w:val="center"/>
          </w:tcPr>
          <w:p w14:paraId="63E95CDC" w14:textId="77777777" w:rsidR="00241417" w:rsidRPr="006A39F9" w:rsidRDefault="00241417" w:rsidP="003A71DE">
            <w:pPr>
              <w:pStyle w:val="TAC"/>
            </w:pPr>
            <w:r>
              <w:rPr>
                <w:lang w:eastAsia="zh-CN"/>
              </w:rPr>
              <w:t>D-FR1-A.2.1-15</w:t>
            </w:r>
          </w:p>
        </w:tc>
        <w:tc>
          <w:tcPr>
            <w:tcW w:w="1175" w:type="dxa"/>
            <w:tcBorders>
              <w:bottom w:val="single" w:sz="4" w:space="0" w:color="auto"/>
            </w:tcBorders>
            <w:vAlign w:val="center"/>
          </w:tcPr>
          <w:p w14:paraId="0A9C59DD" w14:textId="77777777" w:rsidR="00241417" w:rsidRPr="006A39F9" w:rsidRDefault="00241417" w:rsidP="003A71DE">
            <w:pPr>
              <w:pStyle w:val="TAC"/>
            </w:pPr>
            <w:r w:rsidRPr="006A39F9">
              <w:t>pos1</w:t>
            </w:r>
          </w:p>
        </w:tc>
        <w:tc>
          <w:tcPr>
            <w:tcW w:w="1134" w:type="dxa"/>
            <w:tcBorders>
              <w:bottom w:val="single" w:sz="4" w:space="0" w:color="auto"/>
            </w:tcBorders>
            <w:vAlign w:val="center"/>
          </w:tcPr>
          <w:p w14:paraId="2B302304" w14:textId="77777777" w:rsidR="00241417" w:rsidRPr="006A39F9" w:rsidRDefault="00241417" w:rsidP="003A71DE">
            <w:pPr>
              <w:pStyle w:val="TAC"/>
            </w:pPr>
            <w:r w:rsidRPr="006A39F9">
              <w:rPr>
                <w:lang w:eastAsia="zh-CN"/>
              </w:rPr>
              <w:t>-2.3</w:t>
            </w:r>
          </w:p>
        </w:tc>
      </w:tr>
      <w:tr w:rsidR="00241417" w:rsidRPr="006A39F9" w14:paraId="3841B961" w14:textId="77777777" w:rsidTr="003A71DE">
        <w:trPr>
          <w:cantSplit/>
          <w:jc w:val="center"/>
        </w:trPr>
        <w:tc>
          <w:tcPr>
            <w:tcW w:w="1007" w:type="dxa"/>
            <w:vMerge/>
            <w:vAlign w:val="center"/>
          </w:tcPr>
          <w:p w14:paraId="7BFD4471" w14:textId="77777777" w:rsidR="00241417" w:rsidRPr="006A39F9" w:rsidRDefault="00241417" w:rsidP="003A71DE">
            <w:pPr>
              <w:pStyle w:val="TAC"/>
            </w:pPr>
          </w:p>
        </w:tc>
        <w:tc>
          <w:tcPr>
            <w:tcW w:w="1093" w:type="dxa"/>
            <w:tcBorders>
              <w:top w:val="single" w:sz="4" w:space="0" w:color="auto"/>
              <w:bottom w:val="single" w:sz="4" w:space="0" w:color="auto"/>
            </w:tcBorders>
            <w:vAlign w:val="center"/>
          </w:tcPr>
          <w:p w14:paraId="3E37AB59" w14:textId="77777777" w:rsidR="00241417" w:rsidRPr="006A39F9" w:rsidRDefault="00241417" w:rsidP="003A71DE">
            <w:pPr>
              <w:pStyle w:val="TAC"/>
            </w:pPr>
            <w:r w:rsidRPr="006A39F9">
              <w:t>4</w:t>
            </w:r>
          </w:p>
        </w:tc>
        <w:tc>
          <w:tcPr>
            <w:tcW w:w="1985" w:type="dxa"/>
            <w:tcBorders>
              <w:top w:val="single" w:sz="4" w:space="0" w:color="auto"/>
              <w:bottom w:val="single" w:sz="4" w:space="0" w:color="auto"/>
            </w:tcBorders>
            <w:vAlign w:val="center"/>
          </w:tcPr>
          <w:p w14:paraId="78B53864" w14:textId="77777777" w:rsidR="00241417" w:rsidRPr="006A39F9" w:rsidRDefault="00241417" w:rsidP="003A71DE">
            <w:pPr>
              <w:pStyle w:val="TAC"/>
            </w:pPr>
            <w:r w:rsidRPr="006A39F9">
              <w:t>TDLB100-400</w:t>
            </w:r>
            <w:r w:rsidRPr="006A39F9">
              <w:rPr>
                <w:rFonts w:cs="Arial"/>
              </w:rPr>
              <w:t xml:space="preserve"> Low</w:t>
            </w:r>
          </w:p>
        </w:tc>
        <w:tc>
          <w:tcPr>
            <w:tcW w:w="1660" w:type="dxa"/>
            <w:tcBorders>
              <w:top w:val="single" w:sz="4" w:space="0" w:color="auto"/>
              <w:bottom w:val="single" w:sz="4" w:space="0" w:color="auto"/>
            </w:tcBorders>
            <w:vAlign w:val="center"/>
          </w:tcPr>
          <w:p w14:paraId="5B4143F8" w14:textId="77777777" w:rsidR="00241417" w:rsidRPr="006A39F9" w:rsidRDefault="00241417" w:rsidP="003A71DE">
            <w:pPr>
              <w:pStyle w:val="TAC"/>
              <w:rPr>
                <w:lang w:eastAsia="zh-CN"/>
              </w:rPr>
            </w:pPr>
            <w:r>
              <w:rPr>
                <w:lang w:eastAsia="zh-CN"/>
              </w:rPr>
              <w:t>D-FR1-A.2.1-15</w:t>
            </w:r>
          </w:p>
        </w:tc>
        <w:tc>
          <w:tcPr>
            <w:tcW w:w="1175" w:type="dxa"/>
            <w:tcBorders>
              <w:top w:val="single" w:sz="4" w:space="0" w:color="auto"/>
              <w:bottom w:val="single" w:sz="4" w:space="0" w:color="auto"/>
            </w:tcBorders>
            <w:vAlign w:val="center"/>
          </w:tcPr>
          <w:p w14:paraId="71D973CE" w14:textId="77777777" w:rsidR="00241417" w:rsidRPr="006A39F9" w:rsidRDefault="00241417" w:rsidP="003A71DE">
            <w:pPr>
              <w:pStyle w:val="TAC"/>
            </w:pPr>
            <w:r w:rsidRPr="006A39F9">
              <w:t>pos1</w:t>
            </w:r>
          </w:p>
        </w:tc>
        <w:tc>
          <w:tcPr>
            <w:tcW w:w="1134" w:type="dxa"/>
            <w:tcBorders>
              <w:top w:val="single" w:sz="4" w:space="0" w:color="auto"/>
              <w:bottom w:val="single" w:sz="4" w:space="0" w:color="auto"/>
            </w:tcBorders>
            <w:vAlign w:val="center"/>
          </w:tcPr>
          <w:p w14:paraId="3E3CA98F" w14:textId="77777777" w:rsidR="00241417" w:rsidRPr="006A39F9" w:rsidRDefault="00241417" w:rsidP="003A71DE">
            <w:pPr>
              <w:pStyle w:val="TAC"/>
            </w:pPr>
            <w:r w:rsidRPr="006A39F9">
              <w:rPr>
                <w:lang w:eastAsia="zh-CN"/>
              </w:rPr>
              <w:t>-5.8</w:t>
            </w:r>
          </w:p>
        </w:tc>
      </w:tr>
      <w:tr w:rsidR="00241417" w:rsidRPr="006A39F9" w14:paraId="3CEF2B22" w14:textId="77777777" w:rsidTr="003A71DE">
        <w:trPr>
          <w:cantSplit/>
          <w:jc w:val="center"/>
        </w:trPr>
        <w:tc>
          <w:tcPr>
            <w:tcW w:w="1007" w:type="dxa"/>
            <w:vMerge/>
            <w:vAlign w:val="center"/>
          </w:tcPr>
          <w:p w14:paraId="4C717D54" w14:textId="77777777" w:rsidR="00241417" w:rsidRPr="006A39F9" w:rsidRDefault="00241417" w:rsidP="003A71DE">
            <w:pPr>
              <w:pStyle w:val="TAC"/>
            </w:pPr>
          </w:p>
        </w:tc>
        <w:tc>
          <w:tcPr>
            <w:tcW w:w="1093" w:type="dxa"/>
            <w:tcBorders>
              <w:top w:val="single" w:sz="4" w:space="0" w:color="auto"/>
            </w:tcBorders>
            <w:vAlign w:val="center"/>
          </w:tcPr>
          <w:p w14:paraId="38E1D71C" w14:textId="77777777" w:rsidR="00241417" w:rsidRPr="006A39F9" w:rsidRDefault="00241417" w:rsidP="003A71DE">
            <w:pPr>
              <w:pStyle w:val="TAC"/>
            </w:pPr>
            <w:r w:rsidRPr="006A39F9">
              <w:t>8</w:t>
            </w:r>
          </w:p>
        </w:tc>
        <w:tc>
          <w:tcPr>
            <w:tcW w:w="1985" w:type="dxa"/>
            <w:tcBorders>
              <w:top w:val="single" w:sz="4" w:space="0" w:color="auto"/>
            </w:tcBorders>
            <w:vAlign w:val="center"/>
          </w:tcPr>
          <w:p w14:paraId="4B060D9C" w14:textId="77777777" w:rsidR="00241417" w:rsidRPr="006A39F9" w:rsidRDefault="00241417" w:rsidP="003A71DE">
            <w:pPr>
              <w:pStyle w:val="TAC"/>
            </w:pPr>
            <w:r w:rsidRPr="006A39F9">
              <w:t>TDLB100-400</w:t>
            </w:r>
            <w:r w:rsidRPr="006A39F9">
              <w:rPr>
                <w:rFonts w:cs="Arial"/>
              </w:rPr>
              <w:t xml:space="preserve"> Low</w:t>
            </w:r>
          </w:p>
        </w:tc>
        <w:tc>
          <w:tcPr>
            <w:tcW w:w="1660" w:type="dxa"/>
            <w:tcBorders>
              <w:top w:val="single" w:sz="4" w:space="0" w:color="auto"/>
            </w:tcBorders>
            <w:vAlign w:val="center"/>
          </w:tcPr>
          <w:p w14:paraId="4244FB9A" w14:textId="77777777" w:rsidR="00241417" w:rsidRPr="006A39F9" w:rsidRDefault="00241417" w:rsidP="003A71DE">
            <w:pPr>
              <w:pStyle w:val="TAC"/>
              <w:rPr>
                <w:lang w:eastAsia="zh-CN"/>
              </w:rPr>
            </w:pPr>
            <w:r>
              <w:rPr>
                <w:lang w:eastAsia="zh-CN"/>
              </w:rPr>
              <w:t>D-FR1-A.2.1-15</w:t>
            </w:r>
          </w:p>
        </w:tc>
        <w:tc>
          <w:tcPr>
            <w:tcW w:w="1175" w:type="dxa"/>
            <w:tcBorders>
              <w:top w:val="single" w:sz="4" w:space="0" w:color="auto"/>
            </w:tcBorders>
            <w:vAlign w:val="center"/>
          </w:tcPr>
          <w:p w14:paraId="6B752C4B" w14:textId="77777777" w:rsidR="00241417" w:rsidRPr="006A39F9" w:rsidRDefault="00241417" w:rsidP="003A71DE">
            <w:pPr>
              <w:pStyle w:val="TAC"/>
            </w:pPr>
            <w:r w:rsidRPr="006A39F9">
              <w:t>pos1</w:t>
            </w:r>
          </w:p>
        </w:tc>
        <w:tc>
          <w:tcPr>
            <w:tcW w:w="1134" w:type="dxa"/>
            <w:tcBorders>
              <w:top w:val="single" w:sz="4" w:space="0" w:color="auto"/>
            </w:tcBorders>
            <w:vAlign w:val="center"/>
          </w:tcPr>
          <w:p w14:paraId="093121ED" w14:textId="77777777" w:rsidR="00241417" w:rsidRPr="006A39F9" w:rsidRDefault="00241417" w:rsidP="003A71DE">
            <w:pPr>
              <w:pStyle w:val="TAC"/>
            </w:pPr>
            <w:r w:rsidRPr="006A39F9">
              <w:rPr>
                <w:lang w:eastAsia="zh-CN"/>
              </w:rPr>
              <w:t>-8.6</w:t>
            </w:r>
          </w:p>
        </w:tc>
      </w:tr>
    </w:tbl>
    <w:p w14:paraId="3E568D5F" w14:textId="77777777" w:rsidR="00241417" w:rsidRPr="006A39F9" w:rsidRDefault="00241417" w:rsidP="00241417">
      <w:pPr>
        <w:rPr>
          <w:lang w:eastAsia="zh-CN"/>
        </w:rPr>
      </w:pPr>
    </w:p>
    <w:p w14:paraId="197A3D12" w14:textId="77777777" w:rsidR="00241417" w:rsidRPr="00B054F4" w:rsidRDefault="00241417" w:rsidP="00241417">
      <w:pPr>
        <w:pStyle w:val="TH"/>
        <w:rPr>
          <w:lang w:eastAsia="zh-CN"/>
        </w:rPr>
      </w:pPr>
      <w:r w:rsidRPr="00B054F4">
        <w:t>Table 8.1.2.2.2-</w:t>
      </w:r>
      <w:r w:rsidRPr="00B054F4">
        <w:rPr>
          <w:lang w:eastAsia="zh-CN"/>
        </w:rPr>
        <w:t>4:</w:t>
      </w:r>
      <w:r w:rsidRPr="00B054F4">
        <w:t xml:space="preserve"> Minimum requirements for PUSCH</w:t>
      </w:r>
      <w:r w:rsidRPr="00B054F4">
        <w:rPr>
          <w:rFonts w:eastAsia="Malgun Gothic" w:hint="eastAsia"/>
          <w:lang w:eastAsia="zh-CN"/>
        </w:rPr>
        <w:t xml:space="preserve"> </w:t>
      </w:r>
      <w:r w:rsidRPr="00B054F4">
        <w:rPr>
          <w:rFonts w:eastAsia="Malgun Gothic"/>
          <w:lang w:eastAsia="zh-CN"/>
        </w:rPr>
        <w:t>with</w:t>
      </w:r>
      <w:r w:rsidRPr="00B054F4">
        <w:rPr>
          <w:rFonts w:eastAsia="Malgun Gothic" w:hint="eastAsia"/>
          <w:lang w:eastAsia="zh-CN"/>
        </w:rPr>
        <w:t xml:space="preserve"> 70% of maximum throughput</w:t>
      </w:r>
      <w:r w:rsidRPr="00B054F4">
        <w:rPr>
          <w:lang w:eastAsia="zh-CN"/>
        </w:rPr>
        <w:t>,</w:t>
      </w:r>
      <w:r w:rsidRPr="00B054F4">
        <w:rPr>
          <w:rFonts w:eastAsia="Batang"/>
        </w:rPr>
        <w:t xml:space="preserve"> </w:t>
      </w:r>
      <w:r w:rsidRPr="00B054F4">
        <w:rPr>
          <w:lang w:eastAsia="zh-CN"/>
        </w:rPr>
        <w:t>T</w:t>
      </w:r>
      <w:r w:rsidRPr="00B054F4">
        <w:rPr>
          <w:rFonts w:eastAsia="Batang"/>
        </w:rPr>
        <w:t>ype B</w:t>
      </w:r>
      <w:r w:rsidRPr="00B054F4">
        <w:t xml:space="preserve">, </w:t>
      </w:r>
      <w:r w:rsidRPr="00B054F4">
        <w:rPr>
          <w:lang w:eastAsia="zh-CN"/>
        </w:rPr>
        <w:t>10</w:t>
      </w:r>
      <w:r w:rsidRPr="00B054F4">
        <w:t xml:space="preserve"> MHz channel bandwidth</w:t>
      </w:r>
      <w:r w:rsidRPr="00B054F4">
        <w:rPr>
          <w:lang w:eastAsia="zh-CN"/>
        </w:rPr>
        <w:t>, 30 kHz SCS</w:t>
      </w:r>
    </w:p>
    <w:tbl>
      <w:tblPr>
        <w:tblStyle w:val="TableGrid7"/>
        <w:tblW w:w="8054" w:type="dxa"/>
        <w:jc w:val="center"/>
        <w:tblLayout w:type="fixed"/>
        <w:tblLook w:val="04A0" w:firstRow="1" w:lastRow="0" w:firstColumn="1" w:lastColumn="0" w:noHBand="0" w:noVBand="1"/>
      </w:tblPr>
      <w:tblGrid>
        <w:gridCol w:w="1007"/>
        <w:gridCol w:w="1093"/>
        <w:gridCol w:w="1985"/>
        <w:gridCol w:w="1660"/>
        <w:gridCol w:w="1175"/>
        <w:gridCol w:w="1134"/>
      </w:tblGrid>
      <w:tr w:rsidR="00241417" w:rsidRPr="006A39F9" w14:paraId="676B242E" w14:textId="77777777" w:rsidTr="003A71DE">
        <w:trPr>
          <w:cantSplit/>
          <w:jc w:val="center"/>
        </w:trPr>
        <w:tc>
          <w:tcPr>
            <w:tcW w:w="1007" w:type="dxa"/>
            <w:tcBorders>
              <w:bottom w:val="single" w:sz="4" w:space="0" w:color="auto"/>
            </w:tcBorders>
            <w:vAlign w:val="center"/>
          </w:tcPr>
          <w:p w14:paraId="0185A0ED" w14:textId="77777777" w:rsidR="00241417" w:rsidRPr="006A39F9" w:rsidRDefault="00241417" w:rsidP="003A71DE">
            <w:pPr>
              <w:pStyle w:val="TAH"/>
            </w:pPr>
            <w:r w:rsidRPr="006A39F9">
              <w:t>Number of TX antennas</w:t>
            </w:r>
          </w:p>
        </w:tc>
        <w:tc>
          <w:tcPr>
            <w:tcW w:w="1093" w:type="dxa"/>
            <w:tcBorders>
              <w:bottom w:val="single" w:sz="4" w:space="0" w:color="auto"/>
            </w:tcBorders>
            <w:vAlign w:val="center"/>
          </w:tcPr>
          <w:p w14:paraId="7E7B5F36" w14:textId="77777777" w:rsidR="00241417" w:rsidRPr="006A39F9" w:rsidRDefault="00241417" w:rsidP="003A71DE">
            <w:pPr>
              <w:pStyle w:val="TAH"/>
            </w:pPr>
            <w:r w:rsidRPr="006A39F9">
              <w:t xml:space="preserve">Number of </w:t>
            </w:r>
            <w:r>
              <w:t>Demodulation Branches</w:t>
            </w:r>
          </w:p>
        </w:tc>
        <w:tc>
          <w:tcPr>
            <w:tcW w:w="1985" w:type="dxa"/>
            <w:tcBorders>
              <w:bottom w:val="single" w:sz="4" w:space="0" w:color="auto"/>
            </w:tcBorders>
            <w:vAlign w:val="center"/>
          </w:tcPr>
          <w:p w14:paraId="5E00A6E2" w14:textId="6D775608" w:rsidR="00241417" w:rsidRPr="006A39F9" w:rsidRDefault="00241417" w:rsidP="003A71DE">
            <w:pPr>
              <w:pStyle w:val="TAH"/>
            </w:pPr>
            <w:r w:rsidRPr="006A39F9">
              <w:t xml:space="preserve">Propagation conditions and correlation matrix (Annex </w:t>
            </w:r>
            <w:r>
              <w:t>TBA</w:t>
            </w:r>
            <w:r w:rsidRPr="006A39F9">
              <w:t>)</w:t>
            </w:r>
          </w:p>
        </w:tc>
        <w:tc>
          <w:tcPr>
            <w:tcW w:w="1660" w:type="dxa"/>
            <w:tcBorders>
              <w:bottom w:val="single" w:sz="4" w:space="0" w:color="auto"/>
            </w:tcBorders>
            <w:vAlign w:val="center"/>
          </w:tcPr>
          <w:p w14:paraId="5A0F12AD" w14:textId="77777777" w:rsidR="00241417" w:rsidRPr="006A39F9" w:rsidRDefault="00241417" w:rsidP="003A71DE">
            <w:pPr>
              <w:pStyle w:val="TAH"/>
            </w:pPr>
            <w:r w:rsidRPr="006A39F9">
              <w:t>FRC</w:t>
            </w:r>
            <w:r w:rsidRPr="006A39F9">
              <w:br/>
              <w:t>(Annex A)</w:t>
            </w:r>
          </w:p>
        </w:tc>
        <w:tc>
          <w:tcPr>
            <w:tcW w:w="1175" w:type="dxa"/>
            <w:tcBorders>
              <w:bottom w:val="single" w:sz="4" w:space="0" w:color="auto"/>
            </w:tcBorders>
            <w:vAlign w:val="center"/>
          </w:tcPr>
          <w:p w14:paraId="0F4C6A3E" w14:textId="77777777" w:rsidR="00241417" w:rsidRPr="006A39F9" w:rsidRDefault="00241417" w:rsidP="003A71DE">
            <w:pPr>
              <w:pStyle w:val="TAH"/>
            </w:pPr>
            <w:r w:rsidRPr="006A39F9">
              <w:t>Additional DM-RS position</w:t>
            </w:r>
          </w:p>
        </w:tc>
        <w:tc>
          <w:tcPr>
            <w:tcW w:w="1134" w:type="dxa"/>
            <w:tcBorders>
              <w:bottom w:val="single" w:sz="4" w:space="0" w:color="auto"/>
            </w:tcBorders>
            <w:vAlign w:val="center"/>
          </w:tcPr>
          <w:p w14:paraId="01947583" w14:textId="77777777" w:rsidR="00241417" w:rsidRPr="006A39F9" w:rsidRDefault="00241417" w:rsidP="003A71DE">
            <w:pPr>
              <w:pStyle w:val="TAH"/>
            </w:pPr>
            <w:r w:rsidRPr="006A39F9">
              <w:t>SNR</w:t>
            </w:r>
          </w:p>
          <w:p w14:paraId="376CE3C7" w14:textId="77777777" w:rsidR="00241417" w:rsidRPr="006A39F9" w:rsidRDefault="00241417" w:rsidP="003A71DE">
            <w:pPr>
              <w:pStyle w:val="TAH"/>
            </w:pPr>
            <w:r w:rsidRPr="006A39F9">
              <w:t>(dB)</w:t>
            </w:r>
          </w:p>
        </w:tc>
      </w:tr>
      <w:tr w:rsidR="00241417" w:rsidRPr="006A39F9" w14:paraId="12D3D9C1" w14:textId="77777777" w:rsidTr="003A71DE">
        <w:trPr>
          <w:cantSplit/>
          <w:jc w:val="center"/>
        </w:trPr>
        <w:tc>
          <w:tcPr>
            <w:tcW w:w="1007" w:type="dxa"/>
            <w:vMerge w:val="restart"/>
            <w:vAlign w:val="center"/>
          </w:tcPr>
          <w:p w14:paraId="1457EAAE" w14:textId="77777777" w:rsidR="00241417" w:rsidRPr="006A39F9" w:rsidRDefault="00241417" w:rsidP="003A71DE">
            <w:pPr>
              <w:pStyle w:val="TAC"/>
            </w:pPr>
            <w:r w:rsidRPr="006A39F9">
              <w:t>1</w:t>
            </w:r>
          </w:p>
        </w:tc>
        <w:tc>
          <w:tcPr>
            <w:tcW w:w="1093" w:type="dxa"/>
            <w:tcBorders>
              <w:bottom w:val="single" w:sz="4" w:space="0" w:color="auto"/>
            </w:tcBorders>
            <w:vAlign w:val="center"/>
          </w:tcPr>
          <w:p w14:paraId="0BD2D341" w14:textId="77777777" w:rsidR="00241417" w:rsidRPr="006A39F9" w:rsidRDefault="00241417" w:rsidP="003A71DE">
            <w:pPr>
              <w:pStyle w:val="TAC"/>
            </w:pPr>
            <w:r w:rsidRPr="006A39F9">
              <w:t>2</w:t>
            </w:r>
          </w:p>
        </w:tc>
        <w:tc>
          <w:tcPr>
            <w:tcW w:w="1985" w:type="dxa"/>
            <w:tcBorders>
              <w:bottom w:val="single" w:sz="4" w:space="0" w:color="auto"/>
            </w:tcBorders>
            <w:vAlign w:val="center"/>
          </w:tcPr>
          <w:p w14:paraId="31FF2760" w14:textId="77777777" w:rsidR="00241417" w:rsidRPr="006A39F9" w:rsidRDefault="00241417" w:rsidP="003A71DE">
            <w:pPr>
              <w:pStyle w:val="TAC"/>
            </w:pPr>
            <w:r w:rsidRPr="006A39F9">
              <w:t>TDLB100-400</w:t>
            </w:r>
            <w:r w:rsidRPr="006A39F9">
              <w:rPr>
                <w:rFonts w:cs="Arial"/>
              </w:rPr>
              <w:t xml:space="preserve"> Low</w:t>
            </w:r>
          </w:p>
        </w:tc>
        <w:tc>
          <w:tcPr>
            <w:tcW w:w="1660" w:type="dxa"/>
            <w:tcBorders>
              <w:bottom w:val="single" w:sz="4" w:space="0" w:color="auto"/>
            </w:tcBorders>
            <w:vAlign w:val="center"/>
          </w:tcPr>
          <w:p w14:paraId="249661A6" w14:textId="77777777" w:rsidR="00241417" w:rsidRPr="006A39F9" w:rsidRDefault="00241417" w:rsidP="003A71DE">
            <w:pPr>
              <w:pStyle w:val="TAC"/>
            </w:pPr>
            <w:r>
              <w:rPr>
                <w:lang w:eastAsia="zh-CN"/>
              </w:rPr>
              <w:t>D-FR1-A.2.1-16</w:t>
            </w:r>
          </w:p>
        </w:tc>
        <w:tc>
          <w:tcPr>
            <w:tcW w:w="1175" w:type="dxa"/>
            <w:tcBorders>
              <w:bottom w:val="single" w:sz="4" w:space="0" w:color="auto"/>
            </w:tcBorders>
            <w:vAlign w:val="center"/>
          </w:tcPr>
          <w:p w14:paraId="382CD3A1" w14:textId="77777777" w:rsidR="00241417" w:rsidRPr="006A39F9" w:rsidRDefault="00241417" w:rsidP="003A71DE">
            <w:pPr>
              <w:pStyle w:val="TAC"/>
            </w:pPr>
            <w:r w:rsidRPr="006A39F9">
              <w:t>pos1</w:t>
            </w:r>
          </w:p>
        </w:tc>
        <w:tc>
          <w:tcPr>
            <w:tcW w:w="1134" w:type="dxa"/>
            <w:tcBorders>
              <w:bottom w:val="single" w:sz="4" w:space="0" w:color="auto"/>
            </w:tcBorders>
            <w:vAlign w:val="center"/>
          </w:tcPr>
          <w:p w14:paraId="2ABF956A" w14:textId="77777777" w:rsidR="00241417" w:rsidRPr="006A39F9" w:rsidRDefault="00241417" w:rsidP="003A71DE">
            <w:pPr>
              <w:pStyle w:val="TAC"/>
            </w:pPr>
            <w:r w:rsidRPr="006A39F9">
              <w:t>-2.7</w:t>
            </w:r>
          </w:p>
        </w:tc>
      </w:tr>
      <w:tr w:rsidR="00241417" w:rsidRPr="006A39F9" w14:paraId="212F6066" w14:textId="77777777" w:rsidTr="003A71DE">
        <w:trPr>
          <w:cantSplit/>
          <w:jc w:val="center"/>
        </w:trPr>
        <w:tc>
          <w:tcPr>
            <w:tcW w:w="1007" w:type="dxa"/>
            <w:vMerge/>
            <w:vAlign w:val="center"/>
          </w:tcPr>
          <w:p w14:paraId="64557736" w14:textId="77777777" w:rsidR="00241417" w:rsidRPr="006A39F9" w:rsidRDefault="00241417" w:rsidP="003A71DE">
            <w:pPr>
              <w:pStyle w:val="TAC"/>
            </w:pPr>
          </w:p>
        </w:tc>
        <w:tc>
          <w:tcPr>
            <w:tcW w:w="1093" w:type="dxa"/>
            <w:tcBorders>
              <w:top w:val="single" w:sz="4" w:space="0" w:color="auto"/>
              <w:bottom w:val="single" w:sz="4" w:space="0" w:color="auto"/>
            </w:tcBorders>
            <w:vAlign w:val="center"/>
          </w:tcPr>
          <w:p w14:paraId="3DCB3200" w14:textId="77777777" w:rsidR="00241417" w:rsidRPr="006A39F9" w:rsidRDefault="00241417" w:rsidP="003A71DE">
            <w:pPr>
              <w:pStyle w:val="TAC"/>
            </w:pPr>
            <w:r w:rsidRPr="006A39F9">
              <w:t>4</w:t>
            </w:r>
          </w:p>
        </w:tc>
        <w:tc>
          <w:tcPr>
            <w:tcW w:w="1985" w:type="dxa"/>
            <w:tcBorders>
              <w:top w:val="single" w:sz="4" w:space="0" w:color="auto"/>
              <w:bottom w:val="single" w:sz="4" w:space="0" w:color="auto"/>
            </w:tcBorders>
            <w:vAlign w:val="center"/>
          </w:tcPr>
          <w:p w14:paraId="374A0C9B" w14:textId="77777777" w:rsidR="00241417" w:rsidRPr="006A39F9" w:rsidRDefault="00241417" w:rsidP="003A71DE">
            <w:pPr>
              <w:pStyle w:val="TAC"/>
            </w:pPr>
            <w:r w:rsidRPr="006A39F9">
              <w:t>TDLB100-400</w:t>
            </w:r>
            <w:r w:rsidRPr="006A39F9">
              <w:rPr>
                <w:rFonts w:cs="Arial"/>
              </w:rPr>
              <w:t xml:space="preserve"> Low</w:t>
            </w:r>
          </w:p>
        </w:tc>
        <w:tc>
          <w:tcPr>
            <w:tcW w:w="1660" w:type="dxa"/>
            <w:tcBorders>
              <w:top w:val="single" w:sz="4" w:space="0" w:color="auto"/>
              <w:bottom w:val="single" w:sz="4" w:space="0" w:color="auto"/>
            </w:tcBorders>
            <w:vAlign w:val="center"/>
          </w:tcPr>
          <w:p w14:paraId="2ED271A6" w14:textId="77777777" w:rsidR="00241417" w:rsidRPr="006A39F9" w:rsidRDefault="00241417" w:rsidP="003A71DE">
            <w:pPr>
              <w:pStyle w:val="TAC"/>
              <w:rPr>
                <w:lang w:eastAsia="zh-CN"/>
              </w:rPr>
            </w:pPr>
            <w:r>
              <w:rPr>
                <w:lang w:eastAsia="zh-CN"/>
              </w:rPr>
              <w:t>D-FR1-A.2.1-16</w:t>
            </w:r>
          </w:p>
        </w:tc>
        <w:tc>
          <w:tcPr>
            <w:tcW w:w="1175" w:type="dxa"/>
            <w:tcBorders>
              <w:top w:val="single" w:sz="4" w:space="0" w:color="auto"/>
              <w:bottom w:val="single" w:sz="4" w:space="0" w:color="auto"/>
            </w:tcBorders>
            <w:vAlign w:val="center"/>
          </w:tcPr>
          <w:p w14:paraId="5A5EB0E4" w14:textId="77777777" w:rsidR="00241417" w:rsidRPr="006A39F9" w:rsidRDefault="00241417" w:rsidP="003A71DE">
            <w:pPr>
              <w:pStyle w:val="TAC"/>
            </w:pPr>
            <w:r w:rsidRPr="006A39F9">
              <w:t>pos1</w:t>
            </w:r>
          </w:p>
        </w:tc>
        <w:tc>
          <w:tcPr>
            <w:tcW w:w="1134" w:type="dxa"/>
            <w:tcBorders>
              <w:top w:val="single" w:sz="4" w:space="0" w:color="auto"/>
              <w:bottom w:val="single" w:sz="4" w:space="0" w:color="auto"/>
            </w:tcBorders>
            <w:vAlign w:val="center"/>
          </w:tcPr>
          <w:p w14:paraId="7DB4EE85" w14:textId="77777777" w:rsidR="00241417" w:rsidRPr="006A39F9" w:rsidRDefault="00241417" w:rsidP="003A71DE">
            <w:pPr>
              <w:pStyle w:val="TAC"/>
            </w:pPr>
            <w:r w:rsidRPr="006A39F9">
              <w:t>-6.0</w:t>
            </w:r>
          </w:p>
        </w:tc>
      </w:tr>
      <w:tr w:rsidR="00241417" w:rsidRPr="006A39F9" w14:paraId="21FA50B3" w14:textId="77777777" w:rsidTr="003A71DE">
        <w:trPr>
          <w:cantSplit/>
          <w:jc w:val="center"/>
        </w:trPr>
        <w:tc>
          <w:tcPr>
            <w:tcW w:w="1007" w:type="dxa"/>
            <w:vMerge/>
            <w:vAlign w:val="center"/>
          </w:tcPr>
          <w:p w14:paraId="3191FB1A" w14:textId="77777777" w:rsidR="00241417" w:rsidRPr="006A39F9" w:rsidRDefault="00241417" w:rsidP="003A71DE">
            <w:pPr>
              <w:pStyle w:val="TAC"/>
            </w:pPr>
          </w:p>
        </w:tc>
        <w:tc>
          <w:tcPr>
            <w:tcW w:w="1093" w:type="dxa"/>
            <w:tcBorders>
              <w:top w:val="single" w:sz="4" w:space="0" w:color="auto"/>
            </w:tcBorders>
            <w:vAlign w:val="center"/>
          </w:tcPr>
          <w:p w14:paraId="485AEA50" w14:textId="77777777" w:rsidR="00241417" w:rsidRPr="006A39F9" w:rsidRDefault="00241417" w:rsidP="003A71DE">
            <w:pPr>
              <w:pStyle w:val="TAC"/>
            </w:pPr>
            <w:r w:rsidRPr="006A39F9">
              <w:t>8</w:t>
            </w:r>
          </w:p>
        </w:tc>
        <w:tc>
          <w:tcPr>
            <w:tcW w:w="1985" w:type="dxa"/>
            <w:tcBorders>
              <w:top w:val="single" w:sz="4" w:space="0" w:color="auto"/>
            </w:tcBorders>
            <w:vAlign w:val="center"/>
          </w:tcPr>
          <w:p w14:paraId="62DBDF0B" w14:textId="77777777" w:rsidR="00241417" w:rsidRPr="006A39F9" w:rsidRDefault="00241417" w:rsidP="003A71DE">
            <w:pPr>
              <w:pStyle w:val="TAC"/>
            </w:pPr>
            <w:r w:rsidRPr="006A39F9">
              <w:t>TDLB100-400</w:t>
            </w:r>
            <w:r w:rsidRPr="006A39F9">
              <w:rPr>
                <w:rFonts w:cs="Arial"/>
              </w:rPr>
              <w:t xml:space="preserve"> Low</w:t>
            </w:r>
          </w:p>
        </w:tc>
        <w:tc>
          <w:tcPr>
            <w:tcW w:w="1660" w:type="dxa"/>
            <w:tcBorders>
              <w:top w:val="single" w:sz="4" w:space="0" w:color="auto"/>
            </w:tcBorders>
            <w:vAlign w:val="center"/>
          </w:tcPr>
          <w:p w14:paraId="28089CFD" w14:textId="77777777" w:rsidR="00241417" w:rsidRPr="006A39F9" w:rsidRDefault="00241417" w:rsidP="003A71DE">
            <w:pPr>
              <w:pStyle w:val="TAC"/>
              <w:rPr>
                <w:lang w:eastAsia="zh-CN"/>
              </w:rPr>
            </w:pPr>
            <w:r>
              <w:rPr>
                <w:lang w:eastAsia="zh-CN"/>
              </w:rPr>
              <w:t>D-FR1-A.2.1-16</w:t>
            </w:r>
          </w:p>
        </w:tc>
        <w:tc>
          <w:tcPr>
            <w:tcW w:w="1175" w:type="dxa"/>
            <w:tcBorders>
              <w:top w:val="single" w:sz="4" w:space="0" w:color="auto"/>
            </w:tcBorders>
            <w:vAlign w:val="center"/>
          </w:tcPr>
          <w:p w14:paraId="6D7B5047" w14:textId="77777777" w:rsidR="00241417" w:rsidRPr="006A39F9" w:rsidRDefault="00241417" w:rsidP="003A71DE">
            <w:pPr>
              <w:pStyle w:val="TAC"/>
            </w:pPr>
            <w:r w:rsidRPr="006A39F9">
              <w:t>pos1</w:t>
            </w:r>
          </w:p>
        </w:tc>
        <w:tc>
          <w:tcPr>
            <w:tcW w:w="1134" w:type="dxa"/>
            <w:tcBorders>
              <w:top w:val="single" w:sz="4" w:space="0" w:color="auto"/>
            </w:tcBorders>
            <w:vAlign w:val="center"/>
          </w:tcPr>
          <w:p w14:paraId="2EC3A0BD" w14:textId="77777777" w:rsidR="00241417" w:rsidRPr="006A39F9" w:rsidRDefault="00241417" w:rsidP="003A71DE">
            <w:pPr>
              <w:pStyle w:val="TAC"/>
            </w:pPr>
            <w:r w:rsidRPr="006A39F9">
              <w:t>-8.8</w:t>
            </w:r>
          </w:p>
        </w:tc>
      </w:tr>
    </w:tbl>
    <w:p w14:paraId="1AF694EF" w14:textId="77777777" w:rsidR="00241417" w:rsidRDefault="00241417" w:rsidP="00241417"/>
    <w:p w14:paraId="00BC4741" w14:textId="77777777" w:rsidR="00241417" w:rsidRDefault="00241417" w:rsidP="00241417">
      <w:pPr>
        <w:pStyle w:val="Heading4"/>
        <w:rPr>
          <w:rFonts w:eastAsia="Malgun Gothic"/>
        </w:rPr>
      </w:pPr>
      <w:bookmarkStart w:id="3501" w:name="_Toc74583248"/>
      <w:bookmarkStart w:id="3502" w:name="_Toc76542061"/>
      <w:bookmarkStart w:id="3503" w:name="_Toc82450043"/>
      <w:bookmarkStart w:id="3504" w:name="_Toc82450691"/>
      <w:bookmarkStart w:id="3505" w:name="_Toc89949080"/>
      <w:bookmarkStart w:id="3506" w:name="_Toc98755469"/>
      <w:bookmarkStart w:id="3507" w:name="_Toc98763060"/>
      <w:bookmarkStart w:id="3508" w:name="_Toc106183989"/>
      <w:r w:rsidRPr="00B454A0">
        <w:rPr>
          <w:rFonts w:eastAsia="Malgun Gothic"/>
        </w:rPr>
        <w:t>8.</w:t>
      </w:r>
      <w:r>
        <w:rPr>
          <w:rFonts w:eastAsia="Malgun Gothic"/>
        </w:rPr>
        <w:t>1</w:t>
      </w:r>
      <w:r w:rsidRPr="00B454A0">
        <w:rPr>
          <w:rFonts w:eastAsia="Malgun Gothic"/>
        </w:rPr>
        <w:t>.</w:t>
      </w:r>
      <w:r>
        <w:rPr>
          <w:rFonts w:eastAsia="Malgun Gothic"/>
        </w:rPr>
        <w:t>2</w:t>
      </w:r>
      <w:r w:rsidRPr="00B454A0">
        <w:rPr>
          <w:rFonts w:eastAsia="Malgun Gothic"/>
        </w:rPr>
        <w:t>.</w:t>
      </w:r>
      <w:r>
        <w:rPr>
          <w:rFonts w:eastAsia="Malgun Gothic"/>
        </w:rPr>
        <w:t>3</w:t>
      </w:r>
      <w:r w:rsidRPr="00B454A0">
        <w:rPr>
          <w:rFonts w:eastAsia="Malgun Gothic"/>
        </w:rPr>
        <w:tab/>
      </w:r>
      <w:r w:rsidRPr="006E58D8">
        <w:rPr>
          <w:rFonts w:eastAsia="Malgun Gothic"/>
        </w:rPr>
        <w:t xml:space="preserve">Requirements for </w:t>
      </w:r>
      <w:r>
        <w:rPr>
          <w:rFonts w:eastAsia="Malgun Gothic"/>
        </w:rPr>
        <w:t>UCI multiplexed on PUSCH</w:t>
      </w:r>
      <w:bookmarkEnd w:id="3501"/>
      <w:bookmarkEnd w:id="3502"/>
      <w:bookmarkEnd w:id="3503"/>
      <w:bookmarkEnd w:id="3504"/>
      <w:bookmarkEnd w:id="3505"/>
      <w:bookmarkEnd w:id="3506"/>
      <w:bookmarkEnd w:id="3507"/>
      <w:bookmarkEnd w:id="3508"/>
    </w:p>
    <w:p w14:paraId="52064574" w14:textId="77777777" w:rsidR="00241417" w:rsidRDefault="00241417" w:rsidP="00241417">
      <w:pPr>
        <w:pStyle w:val="Heading5"/>
      </w:pPr>
      <w:bookmarkStart w:id="3509" w:name="_Toc74583249"/>
      <w:bookmarkStart w:id="3510" w:name="_Toc76542062"/>
      <w:bookmarkStart w:id="3511" w:name="_Toc82450044"/>
      <w:bookmarkStart w:id="3512" w:name="_Toc82450692"/>
      <w:bookmarkStart w:id="3513" w:name="_Toc89949081"/>
      <w:bookmarkStart w:id="3514" w:name="_Toc98755470"/>
      <w:bookmarkStart w:id="3515" w:name="_Toc98763061"/>
      <w:bookmarkStart w:id="3516" w:name="_Toc106183990"/>
      <w:r>
        <w:t>8</w:t>
      </w:r>
      <w:r w:rsidRPr="00EE4A40">
        <w:t>.</w:t>
      </w:r>
      <w:r>
        <w:t>1</w:t>
      </w:r>
      <w:r w:rsidRPr="00EE4A40">
        <w:t>.</w:t>
      </w:r>
      <w:r>
        <w:t>2</w:t>
      </w:r>
      <w:r w:rsidRPr="00EE4A40">
        <w:t>.</w:t>
      </w:r>
      <w:r>
        <w:t>3</w:t>
      </w:r>
      <w:r w:rsidRPr="00EE4A40">
        <w:t>.</w:t>
      </w:r>
      <w:r>
        <w:t>1</w:t>
      </w:r>
      <w:r>
        <w:tab/>
        <w:t>General</w:t>
      </w:r>
      <w:bookmarkEnd w:id="3509"/>
      <w:bookmarkEnd w:id="3510"/>
      <w:bookmarkEnd w:id="3511"/>
      <w:bookmarkEnd w:id="3512"/>
      <w:bookmarkEnd w:id="3513"/>
      <w:bookmarkEnd w:id="3514"/>
      <w:bookmarkEnd w:id="3515"/>
      <w:bookmarkEnd w:id="3516"/>
    </w:p>
    <w:p w14:paraId="55A35FDD" w14:textId="77777777" w:rsidR="00241417" w:rsidRPr="00B054F4" w:rsidRDefault="00241417" w:rsidP="00241417">
      <w:pPr>
        <w:rPr>
          <w:noProof/>
          <w:lang w:eastAsia="zh-CN"/>
        </w:rPr>
      </w:pPr>
      <w:r w:rsidRPr="00B054F4">
        <w:rPr>
          <w:noProof/>
          <w:lang w:eastAsia="zh-CN"/>
        </w:rPr>
        <w:t>In the tests for UCI multiplexed on PUSCH, the UCI information only contains CSI part 1 and CSI part 2 information, and there is no HACK/ACK information transmitted.</w:t>
      </w:r>
    </w:p>
    <w:p w14:paraId="77A175BA" w14:textId="77777777" w:rsidR="00241417" w:rsidRPr="00B054F4" w:rsidRDefault="00241417" w:rsidP="00241417">
      <w:pPr>
        <w:rPr>
          <w:lang w:eastAsia="zh-CN"/>
        </w:rPr>
      </w:pPr>
      <w:r w:rsidRPr="00B054F4">
        <w:rPr>
          <w:noProof/>
          <w:lang w:eastAsia="zh-CN"/>
        </w:rPr>
        <w:t xml:space="preserve">The CSI part 1 block error </w:t>
      </w:r>
      <w:r w:rsidRPr="00B054F4">
        <w:t>probability (BLER) is defined as the probability of incorrectly decoding the CSI part 1</w:t>
      </w:r>
      <w:r w:rsidRPr="00B054F4">
        <w:rPr>
          <w:lang w:eastAsia="zh-CN"/>
        </w:rPr>
        <w:t xml:space="preserve"> </w:t>
      </w:r>
      <w:r w:rsidRPr="00B054F4">
        <w:t>information when the CSI part 1 information is sent as follow:</w:t>
      </w:r>
    </w:p>
    <w:p w14:paraId="082E559D" w14:textId="77777777" w:rsidR="00241417" w:rsidRPr="00625F65" w:rsidRDefault="00241417" w:rsidP="00241417">
      <w:pPr>
        <w:pStyle w:val="EQ"/>
      </w:pPr>
      <w:r w:rsidRPr="00B054F4">
        <w:tab/>
      </w:r>
      <m:oMath>
        <m:sSub>
          <m:sSubPr>
            <m:ctrlPr>
              <w:rPr>
                <w:rFonts w:ascii="Cambria Math" w:hAnsi="Cambria Math"/>
              </w:rPr>
            </m:ctrlPr>
          </m:sSubPr>
          <m:e>
            <m:r>
              <w:rPr>
                <w:rFonts w:ascii="Cambria Math" w:hAnsi="Cambria Math"/>
              </w:rPr>
              <m:t>BLER</m:t>
            </m:r>
          </m:e>
          <m:sub>
            <m:r>
              <w:rPr>
                <w:rFonts w:ascii="Cambria Math" w:hAnsi="Cambria Math"/>
              </w:rPr>
              <m:t>CSI part 1</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#(false CSI part 1)</m:t>
            </m:r>
          </m:num>
          <m:den>
            <m:r>
              <m:rPr>
                <m:sty m:val="p"/>
              </m:rPr>
              <w:rPr>
                <w:rFonts w:ascii="Cambria Math" w:hAnsi="Cambria Math"/>
              </w:rPr>
              <m:t>#(CSI part 1)</m:t>
            </m:r>
          </m:den>
        </m:f>
      </m:oMath>
    </w:p>
    <w:p w14:paraId="74971105" w14:textId="77777777" w:rsidR="00241417" w:rsidRPr="00B054F4" w:rsidRDefault="00241417" w:rsidP="00241417">
      <w:pPr>
        <w:rPr>
          <w:lang w:eastAsia="zh-CN"/>
        </w:rPr>
      </w:pPr>
      <w:r w:rsidRPr="00B054F4">
        <w:rPr>
          <w:lang w:eastAsia="zh-CN"/>
        </w:rPr>
        <w:t>where:</w:t>
      </w:r>
    </w:p>
    <w:p w14:paraId="6274D45E" w14:textId="77777777" w:rsidR="00241417" w:rsidRPr="006C7AF4" w:rsidRDefault="00241417" w:rsidP="00241417">
      <w:pPr>
        <w:pStyle w:val="B10"/>
        <w:rPr>
          <w:lang w:val="en-US"/>
        </w:rPr>
      </w:pPr>
      <w:r w:rsidRPr="006C7AF4">
        <w:rPr>
          <w:lang w:val="en-US"/>
        </w:rPr>
        <w:t>-</w:t>
      </w:r>
      <w:r w:rsidRPr="006C7AF4">
        <w:rPr>
          <w:lang w:val="en-US"/>
        </w:rPr>
        <w:tab/>
        <w:t xml:space="preserve">#(false </w:t>
      </w:r>
      <w:r w:rsidRPr="006C7AF4">
        <w:rPr>
          <w:lang w:val="en-US" w:eastAsia="zh-CN"/>
        </w:rPr>
        <w:t>CSI part 1</w:t>
      </w:r>
      <w:r w:rsidRPr="006C7AF4">
        <w:rPr>
          <w:lang w:val="en-US"/>
        </w:rPr>
        <w:t xml:space="preserve">) denotes the number of incorrectly </w:t>
      </w:r>
      <w:r w:rsidRPr="006C7AF4">
        <w:rPr>
          <w:lang w:val="en-US" w:eastAsia="zh-CN"/>
        </w:rPr>
        <w:t xml:space="preserve">decoded </w:t>
      </w:r>
      <w:r w:rsidRPr="006C7AF4">
        <w:rPr>
          <w:lang w:val="en-US"/>
        </w:rPr>
        <w:t>CSI part</w:t>
      </w:r>
      <w:r w:rsidRPr="006C7AF4">
        <w:rPr>
          <w:lang w:val="en-US" w:eastAsia="zh-CN"/>
        </w:rPr>
        <w:t xml:space="preserve"> </w:t>
      </w:r>
      <w:r w:rsidRPr="006C7AF4">
        <w:rPr>
          <w:lang w:val="en-US"/>
        </w:rPr>
        <w:t>1 information</w:t>
      </w:r>
      <w:r w:rsidRPr="006C7AF4">
        <w:rPr>
          <w:lang w:val="en-US" w:eastAsia="zh-CN"/>
        </w:rPr>
        <w:t xml:space="preserve"> transmitted occasions</w:t>
      </w:r>
    </w:p>
    <w:p w14:paraId="3703F530" w14:textId="77777777" w:rsidR="00241417" w:rsidRPr="006C7AF4" w:rsidRDefault="00241417" w:rsidP="00241417">
      <w:pPr>
        <w:pStyle w:val="B10"/>
        <w:rPr>
          <w:lang w:val="en-US"/>
        </w:rPr>
      </w:pPr>
      <w:r w:rsidRPr="006C7AF4">
        <w:rPr>
          <w:lang w:val="en-US"/>
        </w:rPr>
        <w:t>-</w:t>
      </w:r>
      <w:r w:rsidRPr="006C7AF4">
        <w:rPr>
          <w:lang w:val="en-US"/>
        </w:rPr>
        <w:tab/>
        <w:t>#(</w:t>
      </w:r>
      <w:r w:rsidRPr="006C7AF4">
        <w:rPr>
          <w:lang w:val="en-US" w:eastAsia="zh-CN"/>
        </w:rPr>
        <w:t>CSI part 1</w:t>
      </w:r>
      <w:r w:rsidRPr="006C7AF4">
        <w:rPr>
          <w:lang w:val="en-US"/>
        </w:rPr>
        <w:t>) denotes the number of</w:t>
      </w:r>
      <w:r w:rsidRPr="006C7AF4">
        <w:rPr>
          <w:lang w:val="en-US" w:eastAsia="zh-CN"/>
        </w:rPr>
        <w:t xml:space="preserve"> CSI part 1 information transmitted occasions.</w:t>
      </w:r>
    </w:p>
    <w:p w14:paraId="2DE20084" w14:textId="77777777" w:rsidR="00241417" w:rsidRPr="008955A9" w:rsidRDefault="00241417" w:rsidP="00241417">
      <w:pPr>
        <w:rPr>
          <w:lang w:eastAsia="zh-CN"/>
        </w:rPr>
      </w:pPr>
      <w:r w:rsidRPr="008955A9">
        <w:t>The CSI part 2 block error probability is defined as the probability of incorrectly decoding the CSI part 2 information when the CSI part 2 information is sent as follows</w:t>
      </w:r>
      <w:r w:rsidRPr="008955A9">
        <w:rPr>
          <w:lang w:eastAsia="zh-CN"/>
        </w:rPr>
        <w:t>:</w:t>
      </w:r>
    </w:p>
    <w:p w14:paraId="523A85C5" w14:textId="77777777" w:rsidR="00241417" w:rsidRPr="00625F65" w:rsidRDefault="00241417" w:rsidP="00241417">
      <w:pPr>
        <w:pStyle w:val="EQ"/>
      </w:pPr>
      <w:r w:rsidRPr="00D44BC7">
        <w:tab/>
      </w:r>
      <m:oMath>
        <m:sSub>
          <m:sSubPr>
            <m:ctrlPr>
              <w:rPr>
                <w:rFonts w:ascii="Cambria Math" w:hAnsi="Cambria Math"/>
              </w:rPr>
            </m:ctrlPr>
          </m:sSubPr>
          <m:e>
            <m:r>
              <w:rPr>
                <w:rFonts w:ascii="Cambria Math" w:hAnsi="Cambria Math"/>
              </w:rPr>
              <m:t>BLER</m:t>
            </m:r>
          </m:e>
          <m:sub>
            <m:r>
              <w:rPr>
                <w:rFonts w:ascii="Cambria Math" w:hAnsi="Cambria Math"/>
              </w:rPr>
              <m:t>CSI part 2</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#(false CSI part 2)</m:t>
            </m:r>
          </m:num>
          <m:den>
            <m:r>
              <m:rPr>
                <m:sty m:val="p"/>
              </m:rPr>
              <w:rPr>
                <w:rFonts w:ascii="Cambria Math" w:hAnsi="Cambria Math"/>
              </w:rPr>
              <m:t>#(CSI part 2)</m:t>
            </m:r>
          </m:den>
        </m:f>
      </m:oMath>
    </w:p>
    <w:p w14:paraId="2A2AAACA" w14:textId="77777777" w:rsidR="00241417" w:rsidRPr="00B054F4" w:rsidRDefault="00241417" w:rsidP="00241417">
      <w:pPr>
        <w:rPr>
          <w:lang w:eastAsia="zh-CN"/>
        </w:rPr>
      </w:pPr>
      <w:r w:rsidRPr="00B054F4">
        <w:rPr>
          <w:lang w:eastAsia="zh-CN"/>
        </w:rPr>
        <w:t>where:</w:t>
      </w:r>
    </w:p>
    <w:p w14:paraId="41E6C127" w14:textId="77777777" w:rsidR="00241417" w:rsidRPr="006C7AF4" w:rsidRDefault="00241417" w:rsidP="00241417">
      <w:pPr>
        <w:pStyle w:val="B10"/>
        <w:rPr>
          <w:lang w:val="en-US"/>
        </w:rPr>
      </w:pPr>
      <w:r w:rsidRPr="006C7AF4">
        <w:rPr>
          <w:lang w:val="en-US"/>
        </w:rPr>
        <w:t>-</w:t>
      </w:r>
      <w:r w:rsidRPr="006C7AF4">
        <w:rPr>
          <w:lang w:val="en-US"/>
        </w:rPr>
        <w:tab/>
        <w:t xml:space="preserve">#(false </w:t>
      </w:r>
      <w:r w:rsidRPr="006C7AF4">
        <w:rPr>
          <w:lang w:val="en-US" w:eastAsia="zh-CN"/>
        </w:rPr>
        <w:t>CSI part 2</w:t>
      </w:r>
      <w:r w:rsidRPr="006C7AF4">
        <w:rPr>
          <w:lang w:val="en-US"/>
        </w:rPr>
        <w:t>) denotes the number of incorrectly decode</w:t>
      </w:r>
      <w:r w:rsidRPr="006C7AF4">
        <w:rPr>
          <w:lang w:val="en-US" w:eastAsia="zh-CN"/>
        </w:rPr>
        <w:t xml:space="preserve">d </w:t>
      </w:r>
      <w:r w:rsidRPr="006C7AF4">
        <w:rPr>
          <w:lang w:val="en-US"/>
        </w:rPr>
        <w:t xml:space="preserve">CSI part </w:t>
      </w:r>
      <w:r w:rsidRPr="006C7AF4">
        <w:rPr>
          <w:lang w:val="en-US" w:eastAsia="zh-CN"/>
        </w:rPr>
        <w:t>2</w:t>
      </w:r>
      <w:r w:rsidRPr="006C7AF4">
        <w:rPr>
          <w:lang w:val="en-US"/>
        </w:rPr>
        <w:t xml:space="preserve"> information transmitted occasions</w:t>
      </w:r>
    </w:p>
    <w:p w14:paraId="4C8CD0BB" w14:textId="77777777" w:rsidR="00241417" w:rsidRPr="006C7AF4" w:rsidRDefault="00241417" w:rsidP="00241417">
      <w:pPr>
        <w:pStyle w:val="B10"/>
        <w:rPr>
          <w:lang w:val="en-US"/>
        </w:rPr>
      </w:pPr>
      <w:r w:rsidRPr="006C7AF4">
        <w:rPr>
          <w:lang w:val="en-US"/>
        </w:rPr>
        <w:t>-</w:t>
      </w:r>
      <w:r w:rsidRPr="006C7AF4">
        <w:rPr>
          <w:lang w:val="en-US"/>
        </w:rPr>
        <w:tab/>
        <w:t>#(</w:t>
      </w:r>
      <w:r w:rsidRPr="006C7AF4">
        <w:rPr>
          <w:lang w:val="en-US" w:eastAsia="zh-CN"/>
        </w:rPr>
        <w:t>CSI part 2</w:t>
      </w:r>
      <w:r w:rsidRPr="006C7AF4">
        <w:rPr>
          <w:lang w:val="en-US"/>
        </w:rPr>
        <w:t xml:space="preserve">) denotes the number of CSI part </w:t>
      </w:r>
      <w:r w:rsidRPr="006C7AF4">
        <w:rPr>
          <w:lang w:val="en-US" w:eastAsia="zh-CN"/>
        </w:rPr>
        <w:t xml:space="preserve">2 </w:t>
      </w:r>
      <w:r w:rsidRPr="006C7AF4">
        <w:rPr>
          <w:lang w:val="en-US"/>
        </w:rPr>
        <w:t>information transmitted occasions.</w:t>
      </w:r>
    </w:p>
    <w:p w14:paraId="51306E6C" w14:textId="77777777" w:rsidR="00241417" w:rsidRPr="00D44BC7" w:rsidRDefault="00241417" w:rsidP="00241417">
      <w:pPr>
        <w:rPr>
          <w:lang w:eastAsia="zh-CN"/>
        </w:rPr>
      </w:pPr>
      <w:r w:rsidRPr="00D44BC7">
        <w:rPr>
          <w:lang w:eastAsia="zh-CN"/>
        </w:rPr>
        <w:t>The number of UCI information bit payload per slot is defined for two cases as follows:</w:t>
      </w:r>
    </w:p>
    <w:p w14:paraId="4A0912EE" w14:textId="77777777" w:rsidR="00241417" w:rsidRPr="00B054F4" w:rsidRDefault="00241417" w:rsidP="00241417">
      <w:pPr>
        <w:pStyle w:val="B10"/>
      </w:pPr>
      <w:r w:rsidRPr="00B054F4">
        <w:t>-</w:t>
      </w:r>
      <w:r w:rsidRPr="00B054F4">
        <w:tab/>
        <w:t>5 bits in CSI part 1, 2 bits in CSI part 2</w:t>
      </w:r>
    </w:p>
    <w:p w14:paraId="59280B4D" w14:textId="77777777" w:rsidR="00241417" w:rsidRPr="00B054F4" w:rsidRDefault="00241417" w:rsidP="00241417">
      <w:pPr>
        <w:pStyle w:val="B10"/>
        <w:rPr>
          <w:lang w:eastAsia="zh-CN"/>
        </w:rPr>
      </w:pPr>
      <w:r w:rsidRPr="00B054F4">
        <w:t>-</w:t>
      </w:r>
      <w:r w:rsidRPr="00B054F4">
        <w:tab/>
        <w:t>20 bits in CSI part 1, 20 bits in CSI part 2</w:t>
      </w:r>
    </w:p>
    <w:p w14:paraId="704676D1" w14:textId="77777777" w:rsidR="00241417" w:rsidRPr="00B054F4" w:rsidRDefault="00241417" w:rsidP="00241417">
      <w:pPr>
        <w:rPr>
          <w:lang w:eastAsia="zh-CN"/>
        </w:rPr>
      </w:pPr>
      <w:r w:rsidRPr="00B054F4">
        <w:t>The 7bits UCI case is further defined with the bitmap [c0 c1 c2 c3 c4] = [0 1 0 1 0] for CSI part 1 information, where c0 is mapping to the RI information, and with the bitmap [c0 c1] = [1 0] for CSI part2 information.</w:t>
      </w:r>
    </w:p>
    <w:p w14:paraId="5A4914B4" w14:textId="77777777" w:rsidR="00241417" w:rsidRPr="00B054F4" w:rsidRDefault="00241417" w:rsidP="00241417">
      <w:pPr>
        <w:rPr>
          <w:lang w:eastAsia="zh-CN"/>
        </w:rPr>
      </w:pPr>
      <w:r w:rsidRPr="00B054F4">
        <w:rPr>
          <w:lang w:eastAsia="zh-CN"/>
        </w:rPr>
        <w:t xml:space="preserve">The 40bits UCI information case is assumed random </w:t>
      </w:r>
      <w:r w:rsidRPr="00B054F4">
        <w:rPr>
          <w:rFonts w:hint="eastAsia"/>
          <w:lang w:eastAsia="zh-CN"/>
        </w:rPr>
        <w:t xml:space="preserve">information bit </w:t>
      </w:r>
      <w:r w:rsidRPr="00B054F4">
        <w:rPr>
          <w:lang w:eastAsia="zh-CN"/>
        </w:rPr>
        <w:t>selection.</w:t>
      </w:r>
    </w:p>
    <w:p w14:paraId="40AC2312" w14:textId="77777777" w:rsidR="00241417" w:rsidRPr="00B054F4" w:rsidRDefault="00241417" w:rsidP="00241417">
      <w:pPr>
        <w:rPr>
          <w:lang w:eastAsia="zh-CN"/>
        </w:rPr>
      </w:pPr>
      <w:r w:rsidRPr="00B054F4">
        <w:rPr>
          <w:lang w:eastAsia="zh-CN"/>
        </w:rPr>
        <w:lastRenderedPageBreak/>
        <w:t>In both tests, PUSCH data, CSI part 1 and CSI part 2 information are transmitted simultaneously.</w:t>
      </w:r>
    </w:p>
    <w:p w14:paraId="26CA2FAC" w14:textId="77777777" w:rsidR="00241417" w:rsidRPr="00B054F4" w:rsidRDefault="00241417" w:rsidP="00241417">
      <w:pPr>
        <w:rPr>
          <w:noProof/>
          <w:lang w:eastAsia="zh-CN"/>
        </w:rPr>
      </w:pPr>
    </w:p>
    <w:p w14:paraId="3593B3EC" w14:textId="77777777" w:rsidR="00241417" w:rsidRPr="00B054F4" w:rsidRDefault="00241417" w:rsidP="00241417">
      <w:pPr>
        <w:pStyle w:val="TH"/>
        <w:rPr>
          <w:lang w:eastAsia="zh-CN"/>
        </w:rPr>
      </w:pPr>
      <w:r w:rsidRPr="00B054F4">
        <w:t>Table 8.1.2.</w:t>
      </w:r>
      <w:r w:rsidRPr="00B054F4">
        <w:rPr>
          <w:lang w:eastAsia="zh-CN"/>
        </w:rPr>
        <w:t>3.1</w:t>
      </w:r>
      <w:r w:rsidRPr="00B054F4">
        <w:t xml:space="preserve">-1: Test parameters for testing </w:t>
      </w:r>
      <w:r w:rsidRPr="00B054F4">
        <w:rPr>
          <w:lang w:eastAsia="zh-CN"/>
        </w:rPr>
        <w:t>UCI on PUSCH</w:t>
      </w:r>
    </w:p>
    <w:tbl>
      <w:tblPr>
        <w:tblStyle w:val="TableGrid"/>
        <w:tblW w:w="0" w:type="auto"/>
        <w:jc w:val="center"/>
        <w:tblLayout w:type="fixed"/>
        <w:tblLook w:val="04A0" w:firstRow="1" w:lastRow="0" w:firstColumn="1" w:lastColumn="0" w:noHBand="0" w:noVBand="1"/>
      </w:tblPr>
      <w:tblGrid>
        <w:gridCol w:w="1838"/>
        <w:gridCol w:w="5387"/>
        <w:gridCol w:w="2404"/>
      </w:tblGrid>
      <w:tr w:rsidR="00241417" w:rsidRPr="00625F65" w14:paraId="11F415EC" w14:textId="77777777" w:rsidTr="003A71DE">
        <w:trPr>
          <w:cantSplit/>
          <w:jc w:val="center"/>
        </w:trPr>
        <w:tc>
          <w:tcPr>
            <w:tcW w:w="7225" w:type="dxa"/>
            <w:gridSpan w:val="2"/>
            <w:vAlign w:val="center"/>
          </w:tcPr>
          <w:p w14:paraId="7E6A47C9" w14:textId="77777777" w:rsidR="00241417" w:rsidRPr="00625F65" w:rsidRDefault="00241417" w:rsidP="003A71DE">
            <w:pPr>
              <w:pStyle w:val="TAH"/>
            </w:pPr>
            <w:r w:rsidRPr="00625F65">
              <w:t>Parameter</w:t>
            </w:r>
          </w:p>
        </w:tc>
        <w:tc>
          <w:tcPr>
            <w:tcW w:w="2404" w:type="dxa"/>
            <w:vAlign w:val="center"/>
          </w:tcPr>
          <w:p w14:paraId="4E50EF2B" w14:textId="77777777" w:rsidR="00241417" w:rsidRPr="00625F65" w:rsidRDefault="00241417" w:rsidP="003A71DE">
            <w:pPr>
              <w:pStyle w:val="TAH"/>
            </w:pPr>
            <w:r w:rsidRPr="00625F65">
              <w:t>Value</w:t>
            </w:r>
          </w:p>
        </w:tc>
      </w:tr>
      <w:tr w:rsidR="00241417" w:rsidRPr="00625F65" w14:paraId="13044CCB" w14:textId="77777777" w:rsidTr="003A71DE">
        <w:trPr>
          <w:cantSplit/>
          <w:jc w:val="center"/>
        </w:trPr>
        <w:tc>
          <w:tcPr>
            <w:tcW w:w="7225" w:type="dxa"/>
            <w:gridSpan w:val="2"/>
            <w:vAlign w:val="center"/>
          </w:tcPr>
          <w:p w14:paraId="5BF9B548" w14:textId="77777777" w:rsidR="00241417" w:rsidRPr="00625F65" w:rsidRDefault="00241417" w:rsidP="003A71DE">
            <w:pPr>
              <w:pStyle w:val="TAL"/>
            </w:pPr>
            <w:r w:rsidRPr="00625F65">
              <w:t>Transform precoding</w:t>
            </w:r>
          </w:p>
        </w:tc>
        <w:tc>
          <w:tcPr>
            <w:tcW w:w="2404" w:type="dxa"/>
            <w:vAlign w:val="center"/>
          </w:tcPr>
          <w:p w14:paraId="15AC6DFD" w14:textId="77777777" w:rsidR="00241417" w:rsidRPr="00625F65" w:rsidRDefault="00241417" w:rsidP="003A71DE">
            <w:pPr>
              <w:pStyle w:val="TAC"/>
            </w:pPr>
            <w:r w:rsidRPr="00625F65">
              <w:rPr>
                <w:rFonts w:hint="eastAsia"/>
                <w:lang w:eastAsia="zh-CN"/>
              </w:rPr>
              <w:t>Disabled</w:t>
            </w:r>
          </w:p>
        </w:tc>
      </w:tr>
      <w:tr w:rsidR="00241417" w:rsidRPr="00B054F4" w14:paraId="5C6215DA" w14:textId="77777777" w:rsidTr="003A71DE">
        <w:trPr>
          <w:cantSplit/>
          <w:jc w:val="center"/>
        </w:trPr>
        <w:tc>
          <w:tcPr>
            <w:tcW w:w="7225" w:type="dxa"/>
            <w:gridSpan w:val="2"/>
            <w:vAlign w:val="center"/>
          </w:tcPr>
          <w:p w14:paraId="2702BEF8" w14:textId="77777777" w:rsidR="00241417" w:rsidRPr="00625F65" w:rsidRDefault="00241417" w:rsidP="003A71DE">
            <w:pPr>
              <w:pStyle w:val="TAL"/>
            </w:pPr>
            <w:r w:rsidRPr="00625F65">
              <w:rPr>
                <w:rFonts w:hint="eastAsia"/>
                <w:lang w:eastAsia="zh-CN"/>
              </w:rPr>
              <w:t>Default TDD UL-DL pattern (Note 1)</w:t>
            </w:r>
          </w:p>
        </w:tc>
        <w:tc>
          <w:tcPr>
            <w:tcW w:w="2404" w:type="dxa"/>
            <w:vAlign w:val="center"/>
          </w:tcPr>
          <w:p w14:paraId="2F6504EA" w14:textId="77777777" w:rsidR="00241417" w:rsidRPr="00625F65" w:rsidRDefault="00241417" w:rsidP="003A71DE">
            <w:pPr>
              <w:pStyle w:val="TAC"/>
            </w:pPr>
            <w:r w:rsidRPr="00625F65">
              <w:t>30 kHz SCS:</w:t>
            </w:r>
          </w:p>
          <w:p w14:paraId="517A5029" w14:textId="77777777" w:rsidR="00241417" w:rsidRPr="00625F65" w:rsidRDefault="00241417" w:rsidP="003A71DE">
            <w:pPr>
              <w:pStyle w:val="TAC"/>
            </w:pPr>
            <w:r w:rsidRPr="00625F65">
              <w:t>7D1S2U, S=6D:4G:4U</w:t>
            </w:r>
          </w:p>
        </w:tc>
      </w:tr>
      <w:tr w:rsidR="00241417" w:rsidRPr="00B054F4" w14:paraId="6DE02888" w14:textId="77777777" w:rsidTr="003A71DE">
        <w:trPr>
          <w:cantSplit/>
          <w:jc w:val="center"/>
        </w:trPr>
        <w:tc>
          <w:tcPr>
            <w:tcW w:w="7225" w:type="dxa"/>
            <w:gridSpan w:val="2"/>
            <w:vAlign w:val="center"/>
          </w:tcPr>
          <w:p w14:paraId="39ED27AF" w14:textId="77777777" w:rsidR="00241417" w:rsidRPr="00625F65" w:rsidRDefault="00241417" w:rsidP="003A71DE">
            <w:pPr>
              <w:pStyle w:val="TAL"/>
              <w:rPr>
                <w:lang w:eastAsia="zh-CN"/>
              </w:rPr>
            </w:pPr>
            <w:r>
              <w:rPr>
                <w:lang w:eastAsia="zh-CN"/>
              </w:rPr>
              <w:t>Cyclic Prefix</w:t>
            </w:r>
          </w:p>
        </w:tc>
        <w:tc>
          <w:tcPr>
            <w:tcW w:w="2404" w:type="dxa"/>
            <w:vAlign w:val="center"/>
          </w:tcPr>
          <w:p w14:paraId="5A183618" w14:textId="77777777" w:rsidR="00241417" w:rsidRPr="00625F65" w:rsidRDefault="00241417" w:rsidP="003A71DE">
            <w:pPr>
              <w:pStyle w:val="TAC"/>
            </w:pPr>
            <w:r>
              <w:t>Normal</w:t>
            </w:r>
          </w:p>
        </w:tc>
      </w:tr>
      <w:tr w:rsidR="00241417" w:rsidRPr="00625F65" w14:paraId="61E5664D" w14:textId="77777777" w:rsidTr="003A71DE">
        <w:trPr>
          <w:cantSplit/>
          <w:jc w:val="center"/>
        </w:trPr>
        <w:tc>
          <w:tcPr>
            <w:tcW w:w="1838" w:type="dxa"/>
            <w:vMerge w:val="restart"/>
            <w:vAlign w:val="center"/>
          </w:tcPr>
          <w:p w14:paraId="4B7FE63D" w14:textId="77777777" w:rsidR="00241417" w:rsidRPr="00625F65" w:rsidRDefault="00241417" w:rsidP="003A71DE">
            <w:pPr>
              <w:pStyle w:val="TAL"/>
            </w:pPr>
            <w:r w:rsidRPr="00625F65">
              <w:t>HARQ</w:t>
            </w:r>
          </w:p>
        </w:tc>
        <w:tc>
          <w:tcPr>
            <w:tcW w:w="5387" w:type="dxa"/>
            <w:vAlign w:val="center"/>
          </w:tcPr>
          <w:p w14:paraId="04B07D51" w14:textId="77777777" w:rsidR="00241417" w:rsidRPr="00625F65" w:rsidRDefault="00241417" w:rsidP="003A71DE">
            <w:pPr>
              <w:pStyle w:val="TAL"/>
            </w:pPr>
            <w:r w:rsidRPr="00625F65">
              <w:t>Maximum number of HARQ transmissions</w:t>
            </w:r>
          </w:p>
        </w:tc>
        <w:tc>
          <w:tcPr>
            <w:tcW w:w="2404" w:type="dxa"/>
            <w:vAlign w:val="center"/>
          </w:tcPr>
          <w:p w14:paraId="01C44706" w14:textId="77777777" w:rsidR="00241417" w:rsidRPr="00625F65" w:rsidRDefault="00241417" w:rsidP="003A71DE">
            <w:pPr>
              <w:pStyle w:val="TAC"/>
            </w:pPr>
            <w:r w:rsidRPr="00625F65">
              <w:rPr>
                <w:lang w:eastAsia="zh-CN"/>
              </w:rPr>
              <w:t>1</w:t>
            </w:r>
          </w:p>
        </w:tc>
      </w:tr>
      <w:tr w:rsidR="00241417" w:rsidRPr="00625F65" w14:paraId="515E9268" w14:textId="77777777" w:rsidTr="003A71DE">
        <w:trPr>
          <w:cantSplit/>
          <w:jc w:val="center"/>
        </w:trPr>
        <w:tc>
          <w:tcPr>
            <w:tcW w:w="1838" w:type="dxa"/>
            <w:vMerge/>
            <w:tcBorders>
              <w:bottom w:val="single" w:sz="4" w:space="0" w:color="auto"/>
            </w:tcBorders>
            <w:vAlign w:val="center"/>
          </w:tcPr>
          <w:p w14:paraId="38928FDC" w14:textId="77777777" w:rsidR="00241417" w:rsidRPr="00625F65" w:rsidRDefault="00241417" w:rsidP="003A71DE">
            <w:pPr>
              <w:pStyle w:val="TAL"/>
            </w:pPr>
          </w:p>
        </w:tc>
        <w:tc>
          <w:tcPr>
            <w:tcW w:w="5387" w:type="dxa"/>
            <w:vAlign w:val="center"/>
          </w:tcPr>
          <w:p w14:paraId="69A5CD60" w14:textId="77777777" w:rsidR="00241417" w:rsidRPr="00625F65" w:rsidRDefault="00241417" w:rsidP="003A71DE">
            <w:pPr>
              <w:pStyle w:val="TAL"/>
            </w:pPr>
            <w:r w:rsidRPr="00625F65">
              <w:t>RV sequence</w:t>
            </w:r>
          </w:p>
        </w:tc>
        <w:tc>
          <w:tcPr>
            <w:tcW w:w="2404" w:type="dxa"/>
            <w:vAlign w:val="center"/>
          </w:tcPr>
          <w:p w14:paraId="18C4CFA4" w14:textId="77777777" w:rsidR="00241417" w:rsidRPr="00625F65" w:rsidRDefault="00241417" w:rsidP="003A71DE">
            <w:pPr>
              <w:pStyle w:val="TAC"/>
            </w:pPr>
            <w:r w:rsidRPr="00625F65">
              <w:rPr>
                <w:lang w:val="fr-FR"/>
              </w:rPr>
              <w:t>0</w:t>
            </w:r>
          </w:p>
        </w:tc>
      </w:tr>
      <w:tr w:rsidR="00241417" w:rsidRPr="00625F65" w14:paraId="1483010E" w14:textId="77777777" w:rsidTr="003A71DE">
        <w:trPr>
          <w:cantSplit/>
          <w:jc w:val="center"/>
        </w:trPr>
        <w:tc>
          <w:tcPr>
            <w:tcW w:w="1838" w:type="dxa"/>
            <w:vMerge w:val="restart"/>
            <w:vAlign w:val="center"/>
          </w:tcPr>
          <w:p w14:paraId="342372BA" w14:textId="77777777" w:rsidR="00241417" w:rsidRPr="00625F65" w:rsidRDefault="00241417" w:rsidP="003A71DE">
            <w:pPr>
              <w:pStyle w:val="TAL"/>
            </w:pPr>
            <w:r w:rsidRPr="00625F65">
              <w:t>DM</w:t>
            </w:r>
            <w:r w:rsidRPr="00625F65">
              <w:rPr>
                <w:lang w:eastAsia="zh-CN"/>
              </w:rPr>
              <w:t>-</w:t>
            </w:r>
            <w:r w:rsidRPr="00625F65">
              <w:t>RS</w:t>
            </w:r>
          </w:p>
        </w:tc>
        <w:tc>
          <w:tcPr>
            <w:tcW w:w="5387" w:type="dxa"/>
            <w:vAlign w:val="center"/>
          </w:tcPr>
          <w:p w14:paraId="4EF52655" w14:textId="77777777" w:rsidR="00241417" w:rsidRPr="00625F65" w:rsidRDefault="00241417" w:rsidP="003A71DE">
            <w:pPr>
              <w:pStyle w:val="TAL"/>
            </w:pPr>
            <w:r w:rsidRPr="00625F65">
              <w:t>DM</w:t>
            </w:r>
            <w:r w:rsidRPr="00625F65">
              <w:rPr>
                <w:lang w:eastAsia="zh-CN"/>
              </w:rPr>
              <w:t>-</w:t>
            </w:r>
            <w:r w:rsidRPr="00625F65">
              <w:t>RS configuration type</w:t>
            </w:r>
          </w:p>
        </w:tc>
        <w:tc>
          <w:tcPr>
            <w:tcW w:w="2404" w:type="dxa"/>
            <w:vAlign w:val="center"/>
          </w:tcPr>
          <w:p w14:paraId="2DCC5FC6" w14:textId="77777777" w:rsidR="00241417" w:rsidRPr="00625F65" w:rsidRDefault="00241417" w:rsidP="003A71DE">
            <w:pPr>
              <w:pStyle w:val="TAC"/>
            </w:pPr>
            <w:r w:rsidRPr="00625F65">
              <w:t>1</w:t>
            </w:r>
          </w:p>
        </w:tc>
      </w:tr>
      <w:tr w:rsidR="00241417" w:rsidRPr="00625F65" w14:paraId="603F1F06" w14:textId="77777777" w:rsidTr="003A71DE">
        <w:trPr>
          <w:cantSplit/>
          <w:jc w:val="center"/>
        </w:trPr>
        <w:tc>
          <w:tcPr>
            <w:tcW w:w="1838" w:type="dxa"/>
            <w:vMerge/>
            <w:vAlign w:val="center"/>
          </w:tcPr>
          <w:p w14:paraId="00CC2C90" w14:textId="77777777" w:rsidR="00241417" w:rsidRPr="00625F65" w:rsidRDefault="00241417" w:rsidP="003A71DE">
            <w:pPr>
              <w:pStyle w:val="TAL"/>
            </w:pPr>
          </w:p>
        </w:tc>
        <w:tc>
          <w:tcPr>
            <w:tcW w:w="5387" w:type="dxa"/>
            <w:vAlign w:val="center"/>
          </w:tcPr>
          <w:p w14:paraId="33D645D0" w14:textId="77777777" w:rsidR="00241417" w:rsidRPr="00625F65" w:rsidRDefault="00241417" w:rsidP="003A71DE">
            <w:pPr>
              <w:pStyle w:val="TAL"/>
            </w:pPr>
            <w:r w:rsidRPr="00625F65">
              <w:rPr>
                <w:lang w:eastAsia="zh-CN"/>
              </w:rPr>
              <w:t>DM-RS duration</w:t>
            </w:r>
          </w:p>
        </w:tc>
        <w:tc>
          <w:tcPr>
            <w:tcW w:w="2404" w:type="dxa"/>
            <w:vAlign w:val="center"/>
          </w:tcPr>
          <w:p w14:paraId="3E410A91" w14:textId="77777777" w:rsidR="00241417" w:rsidRPr="00625F65" w:rsidRDefault="00241417" w:rsidP="003A71DE">
            <w:pPr>
              <w:pStyle w:val="TAC"/>
            </w:pPr>
            <w:r w:rsidRPr="00625F65">
              <w:rPr>
                <w:lang w:eastAsia="zh-CN"/>
              </w:rPr>
              <w:t>Single-symbol DM-RS</w:t>
            </w:r>
          </w:p>
        </w:tc>
      </w:tr>
      <w:tr w:rsidR="00241417" w:rsidRPr="00625F65" w14:paraId="35C3E60E" w14:textId="77777777" w:rsidTr="003A71DE">
        <w:trPr>
          <w:cantSplit/>
          <w:jc w:val="center"/>
        </w:trPr>
        <w:tc>
          <w:tcPr>
            <w:tcW w:w="1838" w:type="dxa"/>
            <w:vMerge/>
            <w:vAlign w:val="center"/>
          </w:tcPr>
          <w:p w14:paraId="70961021" w14:textId="77777777" w:rsidR="00241417" w:rsidRPr="00625F65" w:rsidRDefault="00241417" w:rsidP="003A71DE">
            <w:pPr>
              <w:pStyle w:val="TAL"/>
            </w:pPr>
          </w:p>
        </w:tc>
        <w:tc>
          <w:tcPr>
            <w:tcW w:w="5387" w:type="dxa"/>
            <w:vAlign w:val="center"/>
          </w:tcPr>
          <w:p w14:paraId="47F5B1DB" w14:textId="77777777" w:rsidR="00241417" w:rsidRPr="00625F65" w:rsidRDefault="00241417" w:rsidP="003A71DE">
            <w:pPr>
              <w:pStyle w:val="TAL"/>
            </w:pPr>
            <w:r w:rsidRPr="00625F65">
              <w:rPr>
                <w:lang w:eastAsia="zh-CN"/>
              </w:rPr>
              <w:t>Additional DM-RS position</w:t>
            </w:r>
          </w:p>
        </w:tc>
        <w:tc>
          <w:tcPr>
            <w:tcW w:w="2404" w:type="dxa"/>
            <w:vAlign w:val="center"/>
          </w:tcPr>
          <w:p w14:paraId="37B4FFBE" w14:textId="77777777" w:rsidR="00241417" w:rsidRPr="00625F65" w:rsidRDefault="00241417" w:rsidP="003A71DE">
            <w:pPr>
              <w:pStyle w:val="TAC"/>
            </w:pPr>
            <w:r w:rsidRPr="00625F65">
              <w:rPr>
                <w:lang w:eastAsia="zh-CN"/>
              </w:rPr>
              <w:t>pos1</w:t>
            </w:r>
          </w:p>
        </w:tc>
      </w:tr>
      <w:tr w:rsidR="00241417" w:rsidRPr="00625F65" w14:paraId="48CA7044" w14:textId="77777777" w:rsidTr="003A71DE">
        <w:trPr>
          <w:cantSplit/>
          <w:jc w:val="center"/>
        </w:trPr>
        <w:tc>
          <w:tcPr>
            <w:tcW w:w="1838" w:type="dxa"/>
            <w:vMerge/>
            <w:vAlign w:val="center"/>
          </w:tcPr>
          <w:p w14:paraId="375D6C3F" w14:textId="77777777" w:rsidR="00241417" w:rsidRPr="00625F65" w:rsidRDefault="00241417" w:rsidP="003A71DE">
            <w:pPr>
              <w:pStyle w:val="TAL"/>
            </w:pPr>
          </w:p>
        </w:tc>
        <w:tc>
          <w:tcPr>
            <w:tcW w:w="5387" w:type="dxa"/>
            <w:vAlign w:val="center"/>
          </w:tcPr>
          <w:p w14:paraId="160E7977" w14:textId="77777777" w:rsidR="00241417" w:rsidRPr="00625F65" w:rsidRDefault="00241417" w:rsidP="003A71DE">
            <w:pPr>
              <w:pStyle w:val="TAL"/>
              <w:rPr>
                <w:rFonts w:eastAsia="DengXian" w:cs="Arial"/>
                <w:szCs w:val="18"/>
                <w:lang w:eastAsia="zh-CN"/>
              </w:rPr>
            </w:pPr>
            <w:r w:rsidRPr="00625F65">
              <w:t>Numb</w:t>
            </w:r>
            <w:r w:rsidRPr="00625F65">
              <w:rPr>
                <w:lang w:eastAsia="zh-CN"/>
              </w:rPr>
              <w:t>er of DM-RS CDM group(s) without data</w:t>
            </w:r>
          </w:p>
        </w:tc>
        <w:tc>
          <w:tcPr>
            <w:tcW w:w="2404" w:type="dxa"/>
            <w:vAlign w:val="center"/>
          </w:tcPr>
          <w:p w14:paraId="44569622" w14:textId="77777777" w:rsidR="00241417" w:rsidRPr="00625F65" w:rsidRDefault="00241417" w:rsidP="003A71DE">
            <w:pPr>
              <w:pStyle w:val="TAC"/>
            </w:pPr>
            <w:r w:rsidRPr="00625F65">
              <w:t>2</w:t>
            </w:r>
          </w:p>
        </w:tc>
      </w:tr>
      <w:tr w:rsidR="00241417" w:rsidRPr="00625F65" w14:paraId="3DFE7512" w14:textId="77777777" w:rsidTr="003A71DE">
        <w:trPr>
          <w:cantSplit/>
          <w:jc w:val="center"/>
        </w:trPr>
        <w:tc>
          <w:tcPr>
            <w:tcW w:w="1838" w:type="dxa"/>
            <w:vMerge/>
            <w:vAlign w:val="center"/>
          </w:tcPr>
          <w:p w14:paraId="1941B959" w14:textId="77777777" w:rsidR="00241417" w:rsidRPr="00625F65" w:rsidRDefault="00241417" w:rsidP="003A71DE">
            <w:pPr>
              <w:pStyle w:val="TAL"/>
            </w:pPr>
          </w:p>
        </w:tc>
        <w:tc>
          <w:tcPr>
            <w:tcW w:w="5387" w:type="dxa"/>
            <w:vAlign w:val="center"/>
          </w:tcPr>
          <w:p w14:paraId="09703A3E" w14:textId="77777777" w:rsidR="00241417" w:rsidRPr="00625F65" w:rsidRDefault="00241417" w:rsidP="003A71DE">
            <w:pPr>
              <w:pStyle w:val="TAL"/>
            </w:pPr>
            <w:r w:rsidRPr="00625F65">
              <w:rPr>
                <w:lang w:eastAsia="zh-CN"/>
              </w:rPr>
              <w:t xml:space="preserve">Ratio of PUSCH EPRE to DM-RS EPRE </w:t>
            </w:r>
          </w:p>
        </w:tc>
        <w:tc>
          <w:tcPr>
            <w:tcW w:w="2404" w:type="dxa"/>
            <w:vAlign w:val="center"/>
          </w:tcPr>
          <w:p w14:paraId="317704C3" w14:textId="77777777" w:rsidR="00241417" w:rsidRPr="00625F65" w:rsidRDefault="00241417" w:rsidP="003A71DE">
            <w:pPr>
              <w:pStyle w:val="TAC"/>
            </w:pPr>
            <w:r w:rsidRPr="00625F65">
              <w:rPr>
                <w:lang w:eastAsia="zh-CN"/>
              </w:rPr>
              <w:t>-3 dB</w:t>
            </w:r>
          </w:p>
        </w:tc>
      </w:tr>
      <w:tr w:rsidR="00241417" w:rsidRPr="00625F65" w14:paraId="0C6A910B" w14:textId="77777777" w:rsidTr="003A71DE">
        <w:trPr>
          <w:cantSplit/>
          <w:jc w:val="center"/>
        </w:trPr>
        <w:tc>
          <w:tcPr>
            <w:tcW w:w="1838" w:type="dxa"/>
            <w:vMerge/>
            <w:vAlign w:val="center"/>
          </w:tcPr>
          <w:p w14:paraId="65DE1146" w14:textId="77777777" w:rsidR="00241417" w:rsidRPr="00625F65" w:rsidRDefault="00241417" w:rsidP="003A71DE">
            <w:pPr>
              <w:pStyle w:val="TAL"/>
            </w:pPr>
          </w:p>
        </w:tc>
        <w:tc>
          <w:tcPr>
            <w:tcW w:w="5387" w:type="dxa"/>
            <w:vAlign w:val="center"/>
          </w:tcPr>
          <w:p w14:paraId="13498D30" w14:textId="77777777" w:rsidR="00241417" w:rsidRPr="00625F65" w:rsidRDefault="00241417" w:rsidP="003A71DE">
            <w:pPr>
              <w:pStyle w:val="TAL"/>
            </w:pPr>
            <w:r w:rsidRPr="00625F65">
              <w:t>DM</w:t>
            </w:r>
            <w:r w:rsidRPr="00625F65">
              <w:rPr>
                <w:lang w:eastAsia="zh-CN"/>
              </w:rPr>
              <w:t>-</w:t>
            </w:r>
            <w:r w:rsidRPr="00625F65">
              <w:t>RS port</w:t>
            </w:r>
            <w:r w:rsidRPr="00625F65">
              <w:rPr>
                <w:lang w:eastAsia="zh-CN"/>
              </w:rPr>
              <w:t>(s)</w:t>
            </w:r>
          </w:p>
        </w:tc>
        <w:tc>
          <w:tcPr>
            <w:tcW w:w="2404" w:type="dxa"/>
            <w:vAlign w:val="center"/>
          </w:tcPr>
          <w:p w14:paraId="07BA2D5A" w14:textId="77777777" w:rsidR="00241417" w:rsidRPr="00625F65" w:rsidRDefault="00241417" w:rsidP="003A71DE">
            <w:pPr>
              <w:pStyle w:val="TAC"/>
            </w:pPr>
            <w:r w:rsidRPr="00625F65">
              <w:rPr>
                <w:lang w:eastAsia="zh-CN"/>
              </w:rPr>
              <w:t>{</w:t>
            </w:r>
            <w:r w:rsidRPr="00625F65">
              <w:t>0</w:t>
            </w:r>
            <w:r w:rsidRPr="00625F65">
              <w:rPr>
                <w:lang w:eastAsia="zh-CN"/>
              </w:rPr>
              <w:t>}</w:t>
            </w:r>
          </w:p>
        </w:tc>
      </w:tr>
      <w:tr w:rsidR="00241417" w:rsidRPr="00625F65" w14:paraId="33FD151B" w14:textId="77777777" w:rsidTr="003A71DE">
        <w:trPr>
          <w:cantSplit/>
          <w:jc w:val="center"/>
        </w:trPr>
        <w:tc>
          <w:tcPr>
            <w:tcW w:w="1838" w:type="dxa"/>
            <w:vMerge/>
            <w:tcBorders>
              <w:bottom w:val="single" w:sz="4" w:space="0" w:color="auto"/>
            </w:tcBorders>
            <w:vAlign w:val="center"/>
          </w:tcPr>
          <w:p w14:paraId="6F4B0113" w14:textId="77777777" w:rsidR="00241417" w:rsidRPr="00625F65" w:rsidRDefault="00241417" w:rsidP="003A71DE">
            <w:pPr>
              <w:pStyle w:val="TAL"/>
            </w:pPr>
          </w:p>
        </w:tc>
        <w:tc>
          <w:tcPr>
            <w:tcW w:w="5387" w:type="dxa"/>
            <w:vAlign w:val="center"/>
          </w:tcPr>
          <w:p w14:paraId="2B752AF1" w14:textId="77777777" w:rsidR="00241417" w:rsidRPr="00625F65" w:rsidRDefault="00241417" w:rsidP="003A71DE">
            <w:pPr>
              <w:pStyle w:val="TAL"/>
            </w:pPr>
            <w:r w:rsidRPr="00625F65">
              <w:t>DM</w:t>
            </w:r>
            <w:r w:rsidRPr="00625F65">
              <w:rPr>
                <w:lang w:eastAsia="zh-CN"/>
              </w:rPr>
              <w:t>-</w:t>
            </w:r>
            <w:r w:rsidRPr="00625F65">
              <w:t>RS sequence generation</w:t>
            </w:r>
          </w:p>
        </w:tc>
        <w:tc>
          <w:tcPr>
            <w:tcW w:w="2404" w:type="dxa"/>
            <w:vAlign w:val="center"/>
          </w:tcPr>
          <w:p w14:paraId="48FD2EE6" w14:textId="77777777" w:rsidR="00241417" w:rsidRPr="00625F65" w:rsidRDefault="00241417" w:rsidP="003A71DE">
            <w:pPr>
              <w:pStyle w:val="TAC"/>
            </w:pPr>
            <w:r w:rsidRPr="00625F65">
              <w:t>N</w:t>
            </w:r>
            <w:r w:rsidRPr="00625F65">
              <w:rPr>
                <w:vertAlign w:val="subscript"/>
                <w:lang w:eastAsia="zh-CN"/>
              </w:rPr>
              <w:t>ID</w:t>
            </w:r>
            <w:r w:rsidRPr="00625F65">
              <w:rPr>
                <w:vertAlign w:val="superscript"/>
                <w:lang w:eastAsia="zh-CN"/>
              </w:rPr>
              <w:t>0</w:t>
            </w:r>
            <w:r w:rsidRPr="00625F65">
              <w:rPr>
                <w:lang w:eastAsia="zh-CN"/>
              </w:rPr>
              <w:t>=0, n</w:t>
            </w:r>
            <w:r w:rsidRPr="00625F65">
              <w:rPr>
                <w:vertAlign w:val="subscript"/>
                <w:lang w:eastAsia="zh-CN"/>
              </w:rPr>
              <w:t>SCID</w:t>
            </w:r>
            <w:r w:rsidRPr="00625F65">
              <w:rPr>
                <w:lang w:eastAsia="zh-CN"/>
              </w:rPr>
              <w:t>=0</w:t>
            </w:r>
          </w:p>
        </w:tc>
      </w:tr>
      <w:tr w:rsidR="00241417" w:rsidRPr="00625F65" w14:paraId="33FAEFAF" w14:textId="77777777" w:rsidTr="003A71DE">
        <w:trPr>
          <w:cantSplit/>
          <w:jc w:val="center"/>
        </w:trPr>
        <w:tc>
          <w:tcPr>
            <w:tcW w:w="1838" w:type="dxa"/>
            <w:vMerge w:val="restart"/>
            <w:vAlign w:val="center"/>
          </w:tcPr>
          <w:p w14:paraId="0F1F87B3" w14:textId="77777777" w:rsidR="00241417" w:rsidRPr="00625F65" w:rsidRDefault="00241417" w:rsidP="003A71DE">
            <w:pPr>
              <w:pStyle w:val="TAL"/>
            </w:pPr>
            <w:r w:rsidRPr="00625F65">
              <w:t>Time domain</w:t>
            </w:r>
            <w:r>
              <w:t xml:space="preserve"> </w:t>
            </w:r>
            <w:r w:rsidRPr="00625F65">
              <w:t>resource</w:t>
            </w:r>
            <w:r>
              <w:rPr>
                <w:lang w:eastAsia="zh-CN"/>
              </w:rPr>
              <w:t xml:space="preserve"> </w:t>
            </w:r>
            <w:r w:rsidRPr="00625F65">
              <w:rPr>
                <w:lang w:eastAsia="zh-CN"/>
              </w:rPr>
              <w:t>assignment</w:t>
            </w:r>
          </w:p>
        </w:tc>
        <w:tc>
          <w:tcPr>
            <w:tcW w:w="5387" w:type="dxa"/>
            <w:vAlign w:val="center"/>
          </w:tcPr>
          <w:p w14:paraId="47A59E2A" w14:textId="77777777" w:rsidR="00241417" w:rsidRPr="00625F65" w:rsidRDefault="00241417" w:rsidP="003A71DE">
            <w:pPr>
              <w:pStyle w:val="TAL"/>
            </w:pPr>
            <w:r w:rsidRPr="00625F65">
              <w:t>PUSCH mapping type</w:t>
            </w:r>
          </w:p>
        </w:tc>
        <w:tc>
          <w:tcPr>
            <w:tcW w:w="2404" w:type="dxa"/>
            <w:vAlign w:val="center"/>
          </w:tcPr>
          <w:p w14:paraId="37B19DAE" w14:textId="77777777" w:rsidR="00241417" w:rsidRPr="00625F65" w:rsidRDefault="00241417" w:rsidP="003A71DE">
            <w:pPr>
              <w:pStyle w:val="TAC"/>
            </w:pPr>
            <w:r w:rsidRPr="00625F65">
              <w:t>A</w:t>
            </w:r>
            <w:r w:rsidRPr="00625F65">
              <w:rPr>
                <w:lang w:eastAsia="zh-CN"/>
              </w:rPr>
              <w:t>,B</w:t>
            </w:r>
          </w:p>
        </w:tc>
      </w:tr>
      <w:tr w:rsidR="00241417" w:rsidRPr="00625F65" w14:paraId="55EEE7F2" w14:textId="77777777" w:rsidTr="003A71DE">
        <w:trPr>
          <w:cantSplit/>
          <w:jc w:val="center"/>
        </w:trPr>
        <w:tc>
          <w:tcPr>
            <w:tcW w:w="1838" w:type="dxa"/>
            <w:vMerge/>
            <w:vAlign w:val="center"/>
          </w:tcPr>
          <w:p w14:paraId="3CC9CD63" w14:textId="77777777" w:rsidR="00241417" w:rsidRPr="00625F65" w:rsidRDefault="00241417" w:rsidP="003A71DE">
            <w:pPr>
              <w:pStyle w:val="TAL"/>
            </w:pPr>
          </w:p>
        </w:tc>
        <w:tc>
          <w:tcPr>
            <w:tcW w:w="5387" w:type="dxa"/>
            <w:vAlign w:val="center"/>
          </w:tcPr>
          <w:p w14:paraId="24D92D60" w14:textId="77777777" w:rsidR="00241417" w:rsidRPr="00625F65" w:rsidRDefault="00241417" w:rsidP="003A71DE">
            <w:pPr>
              <w:pStyle w:val="TAL"/>
              <w:rPr>
                <w:rFonts w:eastAsia="Batang"/>
              </w:rPr>
            </w:pPr>
            <w:r w:rsidRPr="00625F65">
              <w:rPr>
                <w:lang w:eastAsia="zh-CN"/>
              </w:rPr>
              <w:t>S</w:t>
            </w:r>
            <w:r w:rsidRPr="00625F65">
              <w:t>tart</w:t>
            </w:r>
            <w:r w:rsidRPr="00625F65">
              <w:rPr>
                <w:lang w:eastAsia="zh-CN"/>
              </w:rPr>
              <w:t xml:space="preserve"> symbol</w:t>
            </w:r>
          </w:p>
        </w:tc>
        <w:tc>
          <w:tcPr>
            <w:tcW w:w="2404" w:type="dxa"/>
            <w:vAlign w:val="center"/>
          </w:tcPr>
          <w:p w14:paraId="3AAE909F" w14:textId="77777777" w:rsidR="00241417" w:rsidRPr="00625F65" w:rsidRDefault="00241417" w:rsidP="003A71DE">
            <w:pPr>
              <w:pStyle w:val="TAC"/>
            </w:pPr>
            <w:r w:rsidRPr="00625F65">
              <w:t>0</w:t>
            </w:r>
          </w:p>
        </w:tc>
      </w:tr>
      <w:tr w:rsidR="00241417" w:rsidRPr="00625F65" w14:paraId="65272DDC" w14:textId="77777777" w:rsidTr="003A71DE">
        <w:trPr>
          <w:cantSplit/>
          <w:jc w:val="center"/>
        </w:trPr>
        <w:tc>
          <w:tcPr>
            <w:tcW w:w="1838" w:type="dxa"/>
            <w:vMerge/>
            <w:tcBorders>
              <w:bottom w:val="single" w:sz="4" w:space="0" w:color="auto"/>
            </w:tcBorders>
            <w:vAlign w:val="center"/>
          </w:tcPr>
          <w:p w14:paraId="494513FE" w14:textId="77777777" w:rsidR="00241417" w:rsidRPr="00625F65" w:rsidRDefault="00241417" w:rsidP="003A71DE">
            <w:pPr>
              <w:pStyle w:val="TAL"/>
            </w:pPr>
          </w:p>
        </w:tc>
        <w:tc>
          <w:tcPr>
            <w:tcW w:w="5387" w:type="dxa"/>
            <w:vAlign w:val="center"/>
          </w:tcPr>
          <w:p w14:paraId="7A1CD262" w14:textId="77777777" w:rsidR="00241417" w:rsidRPr="00625F65" w:rsidRDefault="00241417" w:rsidP="003A71DE">
            <w:pPr>
              <w:pStyle w:val="TAL"/>
            </w:pPr>
            <w:r w:rsidRPr="00625F65">
              <w:rPr>
                <w:lang w:eastAsia="zh-CN"/>
              </w:rPr>
              <w:t>Allocation length</w:t>
            </w:r>
          </w:p>
        </w:tc>
        <w:tc>
          <w:tcPr>
            <w:tcW w:w="2404" w:type="dxa"/>
            <w:vAlign w:val="center"/>
          </w:tcPr>
          <w:p w14:paraId="3EBFF502" w14:textId="77777777" w:rsidR="00241417" w:rsidRPr="00625F65" w:rsidRDefault="00241417" w:rsidP="003A71DE">
            <w:pPr>
              <w:pStyle w:val="TAC"/>
            </w:pPr>
            <w:r w:rsidRPr="00625F65">
              <w:t>14</w:t>
            </w:r>
          </w:p>
        </w:tc>
      </w:tr>
      <w:tr w:rsidR="00241417" w:rsidRPr="00625F65" w14:paraId="759D9E12" w14:textId="77777777" w:rsidTr="003A71DE">
        <w:trPr>
          <w:cantSplit/>
          <w:jc w:val="center"/>
        </w:trPr>
        <w:tc>
          <w:tcPr>
            <w:tcW w:w="1838" w:type="dxa"/>
            <w:vMerge w:val="restart"/>
            <w:vAlign w:val="center"/>
          </w:tcPr>
          <w:p w14:paraId="2B172C7C" w14:textId="77777777" w:rsidR="00241417" w:rsidRPr="00625F65" w:rsidRDefault="00241417" w:rsidP="003A71DE">
            <w:pPr>
              <w:pStyle w:val="TAL"/>
            </w:pPr>
            <w:r w:rsidRPr="00625F65">
              <w:t>Frequency domain resource</w:t>
            </w:r>
            <w:r>
              <w:rPr>
                <w:lang w:eastAsia="zh-CN"/>
              </w:rPr>
              <w:t xml:space="preserve"> </w:t>
            </w:r>
            <w:r w:rsidRPr="00625F65">
              <w:rPr>
                <w:lang w:eastAsia="zh-CN"/>
              </w:rPr>
              <w:t>assignment</w:t>
            </w:r>
          </w:p>
        </w:tc>
        <w:tc>
          <w:tcPr>
            <w:tcW w:w="5387" w:type="dxa"/>
            <w:vAlign w:val="center"/>
          </w:tcPr>
          <w:p w14:paraId="3312698A" w14:textId="77777777" w:rsidR="00241417" w:rsidRPr="00625F65" w:rsidRDefault="00241417" w:rsidP="003A71DE">
            <w:pPr>
              <w:pStyle w:val="TAL"/>
            </w:pPr>
            <w:r w:rsidRPr="00625F65">
              <w:t>RB assignment</w:t>
            </w:r>
          </w:p>
        </w:tc>
        <w:tc>
          <w:tcPr>
            <w:tcW w:w="2404" w:type="dxa"/>
            <w:vAlign w:val="center"/>
          </w:tcPr>
          <w:p w14:paraId="64679A76" w14:textId="77777777" w:rsidR="00241417" w:rsidRPr="00625F65" w:rsidRDefault="00241417" w:rsidP="003A71DE">
            <w:pPr>
              <w:pStyle w:val="TAC"/>
            </w:pPr>
            <w:r w:rsidRPr="00625F65">
              <w:rPr>
                <w:lang w:eastAsia="zh-CN"/>
              </w:rPr>
              <w:t>Full applicable test bandwidth</w:t>
            </w:r>
          </w:p>
        </w:tc>
      </w:tr>
      <w:tr w:rsidR="00241417" w:rsidRPr="00625F65" w14:paraId="407E396A" w14:textId="77777777" w:rsidTr="003A71DE">
        <w:trPr>
          <w:cantSplit/>
          <w:jc w:val="center"/>
        </w:trPr>
        <w:tc>
          <w:tcPr>
            <w:tcW w:w="1838" w:type="dxa"/>
            <w:vMerge/>
            <w:vAlign w:val="center"/>
          </w:tcPr>
          <w:p w14:paraId="3AC60662" w14:textId="77777777" w:rsidR="00241417" w:rsidRPr="00625F65" w:rsidRDefault="00241417" w:rsidP="003A71DE">
            <w:pPr>
              <w:pStyle w:val="TAL"/>
            </w:pPr>
          </w:p>
        </w:tc>
        <w:tc>
          <w:tcPr>
            <w:tcW w:w="5387" w:type="dxa"/>
            <w:vAlign w:val="center"/>
          </w:tcPr>
          <w:p w14:paraId="59EFC287" w14:textId="77777777" w:rsidR="00241417" w:rsidRPr="00625F65" w:rsidRDefault="00241417" w:rsidP="003A71DE">
            <w:pPr>
              <w:pStyle w:val="TAL"/>
            </w:pPr>
            <w:r w:rsidRPr="00625F65">
              <w:t>Frequency hopping</w:t>
            </w:r>
          </w:p>
        </w:tc>
        <w:tc>
          <w:tcPr>
            <w:tcW w:w="2404" w:type="dxa"/>
            <w:vAlign w:val="center"/>
          </w:tcPr>
          <w:p w14:paraId="5E06A895" w14:textId="77777777" w:rsidR="00241417" w:rsidRPr="00625F65" w:rsidRDefault="00241417" w:rsidP="003A71DE">
            <w:pPr>
              <w:pStyle w:val="TAC"/>
            </w:pPr>
            <w:r w:rsidRPr="00625F65">
              <w:t>Disabled</w:t>
            </w:r>
          </w:p>
        </w:tc>
      </w:tr>
      <w:tr w:rsidR="00241417" w:rsidRPr="00625F65" w14:paraId="65EC72C5" w14:textId="77777777" w:rsidTr="003A71DE">
        <w:trPr>
          <w:cantSplit/>
          <w:jc w:val="center"/>
        </w:trPr>
        <w:tc>
          <w:tcPr>
            <w:tcW w:w="7225" w:type="dxa"/>
            <w:gridSpan w:val="2"/>
            <w:vAlign w:val="center"/>
          </w:tcPr>
          <w:p w14:paraId="456D76D1" w14:textId="77777777" w:rsidR="00241417" w:rsidRPr="00625F65" w:rsidRDefault="00241417" w:rsidP="003A71DE">
            <w:pPr>
              <w:pStyle w:val="TAL"/>
            </w:pPr>
            <w:r w:rsidRPr="00625F65">
              <w:t>Code block group based PUSCH transmission</w:t>
            </w:r>
          </w:p>
        </w:tc>
        <w:tc>
          <w:tcPr>
            <w:tcW w:w="2404" w:type="dxa"/>
            <w:vAlign w:val="center"/>
          </w:tcPr>
          <w:p w14:paraId="13740B91" w14:textId="77777777" w:rsidR="00241417" w:rsidRPr="00625F65" w:rsidRDefault="00241417" w:rsidP="003A71DE">
            <w:pPr>
              <w:pStyle w:val="TAC"/>
            </w:pPr>
            <w:r w:rsidRPr="00625F65">
              <w:t>Disabled</w:t>
            </w:r>
          </w:p>
        </w:tc>
      </w:tr>
      <w:tr w:rsidR="00241417" w:rsidRPr="00625F65" w14:paraId="47C3354A" w14:textId="77777777" w:rsidTr="003A71DE">
        <w:trPr>
          <w:cantSplit/>
          <w:jc w:val="center"/>
        </w:trPr>
        <w:tc>
          <w:tcPr>
            <w:tcW w:w="1838" w:type="dxa"/>
            <w:vMerge w:val="restart"/>
            <w:vAlign w:val="center"/>
          </w:tcPr>
          <w:p w14:paraId="3AFBD924" w14:textId="77777777" w:rsidR="00241417" w:rsidRPr="00625F65" w:rsidRDefault="00241417" w:rsidP="003A71DE">
            <w:pPr>
              <w:pStyle w:val="TAL"/>
            </w:pPr>
            <w:r w:rsidRPr="00625F65">
              <w:rPr>
                <w:lang w:eastAsia="zh-CN"/>
              </w:rPr>
              <w:t>UCI</w:t>
            </w:r>
          </w:p>
        </w:tc>
        <w:tc>
          <w:tcPr>
            <w:tcW w:w="5387" w:type="dxa"/>
            <w:vAlign w:val="center"/>
          </w:tcPr>
          <w:p w14:paraId="6AC6114B" w14:textId="77777777" w:rsidR="00241417" w:rsidRPr="00625F65" w:rsidRDefault="00241417" w:rsidP="003A71DE">
            <w:pPr>
              <w:pStyle w:val="TAL"/>
            </w:pPr>
            <w:r w:rsidRPr="00625F65">
              <w:rPr>
                <w:lang w:eastAsia="zh-CN"/>
              </w:rPr>
              <w:t>Number of CSI part 1 and CSI part 2 information bit payload</w:t>
            </w:r>
          </w:p>
        </w:tc>
        <w:tc>
          <w:tcPr>
            <w:tcW w:w="2404" w:type="dxa"/>
            <w:vAlign w:val="center"/>
          </w:tcPr>
          <w:p w14:paraId="4B925492" w14:textId="77777777" w:rsidR="00241417" w:rsidRPr="00625F65" w:rsidRDefault="00241417" w:rsidP="003A71DE">
            <w:pPr>
              <w:pStyle w:val="TAC"/>
            </w:pPr>
            <w:r w:rsidRPr="00625F65">
              <w:rPr>
                <w:lang w:eastAsia="zh-CN"/>
              </w:rPr>
              <w:t>{5,2},{20,20}</w:t>
            </w:r>
          </w:p>
        </w:tc>
      </w:tr>
      <w:tr w:rsidR="00241417" w:rsidRPr="00625F65" w14:paraId="593B7C28" w14:textId="77777777" w:rsidTr="003A71DE">
        <w:trPr>
          <w:cantSplit/>
          <w:jc w:val="center"/>
        </w:trPr>
        <w:tc>
          <w:tcPr>
            <w:tcW w:w="1838" w:type="dxa"/>
            <w:vMerge/>
            <w:vAlign w:val="center"/>
          </w:tcPr>
          <w:p w14:paraId="26E01FF7" w14:textId="77777777" w:rsidR="00241417" w:rsidRPr="00625F65" w:rsidRDefault="00241417" w:rsidP="003A71DE">
            <w:pPr>
              <w:pStyle w:val="TAL"/>
            </w:pPr>
          </w:p>
        </w:tc>
        <w:tc>
          <w:tcPr>
            <w:tcW w:w="5387" w:type="dxa"/>
            <w:vAlign w:val="center"/>
          </w:tcPr>
          <w:p w14:paraId="7F371687" w14:textId="77777777" w:rsidR="00241417" w:rsidRPr="00625F65" w:rsidRDefault="00241417" w:rsidP="003A71DE">
            <w:pPr>
              <w:pStyle w:val="TAL"/>
            </w:pPr>
            <w:r w:rsidRPr="00625F65">
              <w:rPr>
                <w:lang w:eastAsia="zh-CN"/>
              </w:rPr>
              <w:t>scaling</w:t>
            </w:r>
          </w:p>
        </w:tc>
        <w:tc>
          <w:tcPr>
            <w:tcW w:w="2404" w:type="dxa"/>
            <w:vAlign w:val="center"/>
          </w:tcPr>
          <w:p w14:paraId="7F682409" w14:textId="77777777" w:rsidR="00241417" w:rsidRPr="00625F65" w:rsidRDefault="00241417" w:rsidP="003A71DE">
            <w:pPr>
              <w:pStyle w:val="TAC"/>
            </w:pPr>
            <w:r w:rsidRPr="00625F65">
              <w:rPr>
                <w:lang w:eastAsia="zh-CN"/>
              </w:rPr>
              <w:t>1</w:t>
            </w:r>
          </w:p>
        </w:tc>
      </w:tr>
      <w:tr w:rsidR="00241417" w:rsidRPr="00625F65" w14:paraId="3CF59202" w14:textId="77777777" w:rsidTr="003A71DE">
        <w:trPr>
          <w:cantSplit/>
          <w:jc w:val="center"/>
        </w:trPr>
        <w:tc>
          <w:tcPr>
            <w:tcW w:w="1838" w:type="dxa"/>
            <w:vMerge/>
            <w:vAlign w:val="center"/>
          </w:tcPr>
          <w:p w14:paraId="5A16F35B" w14:textId="77777777" w:rsidR="00241417" w:rsidRPr="00625F65" w:rsidRDefault="00241417" w:rsidP="003A71DE">
            <w:pPr>
              <w:pStyle w:val="TAL"/>
            </w:pPr>
          </w:p>
        </w:tc>
        <w:tc>
          <w:tcPr>
            <w:tcW w:w="5387" w:type="dxa"/>
            <w:vAlign w:val="center"/>
          </w:tcPr>
          <w:p w14:paraId="3D82C852" w14:textId="77777777" w:rsidR="00241417" w:rsidRPr="00625F65" w:rsidRDefault="00241417" w:rsidP="003A71DE">
            <w:pPr>
              <w:pStyle w:val="TAL"/>
            </w:pPr>
            <w:r w:rsidRPr="00625F65">
              <w:rPr>
                <w:lang w:eastAsia="zh-CN"/>
              </w:rPr>
              <w:t>betaOffsetACK-Index1</w:t>
            </w:r>
          </w:p>
        </w:tc>
        <w:tc>
          <w:tcPr>
            <w:tcW w:w="2404" w:type="dxa"/>
            <w:vAlign w:val="center"/>
          </w:tcPr>
          <w:p w14:paraId="5D4BB898" w14:textId="77777777" w:rsidR="00241417" w:rsidRPr="00625F65" w:rsidRDefault="00241417" w:rsidP="003A71DE">
            <w:pPr>
              <w:pStyle w:val="TAC"/>
            </w:pPr>
            <w:r w:rsidRPr="00625F65">
              <w:rPr>
                <w:lang w:eastAsia="zh-CN"/>
              </w:rPr>
              <w:t>11</w:t>
            </w:r>
          </w:p>
        </w:tc>
      </w:tr>
      <w:tr w:rsidR="00241417" w:rsidRPr="00625F65" w14:paraId="590952E5" w14:textId="77777777" w:rsidTr="003A71DE">
        <w:trPr>
          <w:cantSplit/>
          <w:jc w:val="center"/>
        </w:trPr>
        <w:tc>
          <w:tcPr>
            <w:tcW w:w="1838" w:type="dxa"/>
            <w:vMerge/>
            <w:vAlign w:val="center"/>
          </w:tcPr>
          <w:p w14:paraId="33EF3B0E" w14:textId="77777777" w:rsidR="00241417" w:rsidRPr="00625F65" w:rsidRDefault="00241417" w:rsidP="003A71DE">
            <w:pPr>
              <w:pStyle w:val="TAL"/>
            </w:pPr>
          </w:p>
        </w:tc>
        <w:tc>
          <w:tcPr>
            <w:tcW w:w="5387" w:type="dxa"/>
            <w:vAlign w:val="center"/>
          </w:tcPr>
          <w:p w14:paraId="7BB96A3D" w14:textId="77777777" w:rsidR="00241417" w:rsidRPr="00625F65" w:rsidRDefault="00241417" w:rsidP="003A71DE">
            <w:pPr>
              <w:pStyle w:val="TAL"/>
              <w:rPr>
                <w:rFonts w:eastAsia="DengXian" w:cs="Arial"/>
                <w:szCs w:val="18"/>
                <w:lang w:eastAsia="zh-CN"/>
              </w:rPr>
            </w:pPr>
            <w:r w:rsidRPr="00625F65">
              <w:rPr>
                <w:lang w:eastAsia="zh-CN"/>
              </w:rPr>
              <w:t>betaOffsetCSI-Part1-Index1 and betaOffsetCSI-Part1-Index2</w:t>
            </w:r>
          </w:p>
        </w:tc>
        <w:tc>
          <w:tcPr>
            <w:tcW w:w="2404" w:type="dxa"/>
            <w:vAlign w:val="center"/>
          </w:tcPr>
          <w:p w14:paraId="132DA46B" w14:textId="77777777" w:rsidR="00241417" w:rsidRPr="00625F65" w:rsidRDefault="00241417" w:rsidP="003A71DE">
            <w:pPr>
              <w:pStyle w:val="TAC"/>
            </w:pPr>
            <w:r w:rsidRPr="00625F65">
              <w:rPr>
                <w:lang w:eastAsia="zh-CN"/>
              </w:rPr>
              <w:t>13</w:t>
            </w:r>
          </w:p>
        </w:tc>
      </w:tr>
      <w:tr w:rsidR="00241417" w:rsidRPr="00625F65" w14:paraId="013F510F" w14:textId="77777777" w:rsidTr="003A71DE">
        <w:trPr>
          <w:cantSplit/>
          <w:jc w:val="center"/>
        </w:trPr>
        <w:tc>
          <w:tcPr>
            <w:tcW w:w="1838" w:type="dxa"/>
            <w:vMerge/>
            <w:vAlign w:val="center"/>
          </w:tcPr>
          <w:p w14:paraId="55BDF39B" w14:textId="77777777" w:rsidR="00241417" w:rsidRPr="00625F65" w:rsidRDefault="00241417" w:rsidP="003A71DE">
            <w:pPr>
              <w:pStyle w:val="TAL"/>
            </w:pPr>
          </w:p>
        </w:tc>
        <w:tc>
          <w:tcPr>
            <w:tcW w:w="5387" w:type="dxa"/>
            <w:vAlign w:val="center"/>
          </w:tcPr>
          <w:p w14:paraId="73376808" w14:textId="77777777" w:rsidR="00241417" w:rsidRPr="00625F65" w:rsidRDefault="00241417" w:rsidP="003A71DE">
            <w:pPr>
              <w:pStyle w:val="TAL"/>
            </w:pPr>
            <w:r w:rsidRPr="00625F65">
              <w:rPr>
                <w:lang w:eastAsia="zh-CN"/>
              </w:rPr>
              <w:t>betaOffsetCSI-Part2-Index1 and betaOffsetCSI-Part2-Index2</w:t>
            </w:r>
          </w:p>
        </w:tc>
        <w:tc>
          <w:tcPr>
            <w:tcW w:w="2404" w:type="dxa"/>
            <w:vAlign w:val="center"/>
          </w:tcPr>
          <w:p w14:paraId="2F9EFC3C" w14:textId="77777777" w:rsidR="00241417" w:rsidRPr="00625F65" w:rsidRDefault="00241417" w:rsidP="003A71DE">
            <w:pPr>
              <w:pStyle w:val="TAC"/>
            </w:pPr>
            <w:r w:rsidRPr="00625F65">
              <w:rPr>
                <w:lang w:eastAsia="zh-CN"/>
              </w:rPr>
              <w:t>13</w:t>
            </w:r>
          </w:p>
        </w:tc>
      </w:tr>
      <w:tr w:rsidR="00241417" w:rsidRPr="00625F65" w14:paraId="49F82437" w14:textId="77777777" w:rsidTr="003A71DE">
        <w:trPr>
          <w:cantSplit/>
          <w:jc w:val="center"/>
        </w:trPr>
        <w:tc>
          <w:tcPr>
            <w:tcW w:w="1838" w:type="dxa"/>
            <w:vMerge/>
            <w:tcBorders>
              <w:bottom w:val="single" w:sz="4" w:space="0" w:color="auto"/>
            </w:tcBorders>
            <w:vAlign w:val="center"/>
          </w:tcPr>
          <w:p w14:paraId="751555F5" w14:textId="77777777" w:rsidR="00241417" w:rsidRPr="00625F65" w:rsidRDefault="00241417" w:rsidP="003A71DE">
            <w:pPr>
              <w:pStyle w:val="TAL"/>
            </w:pPr>
          </w:p>
        </w:tc>
        <w:tc>
          <w:tcPr>
            <w:tcW w:w="5387" w:type="dxa"/>
            <w:vAlign w:val="center"/>
          </w:tcPr>
          <w:p w14:paraId="4E8F89F8" w14:textId="77777777" w:rsidR="00241417" w:rsidRPr="00625F65" w:rsidRDefault="00241417" w:rsidP="003A71DE">
            <w:pPr>
              <w:pStyle w:val="TAL"/>
            </w:pPr>
            <w:r w:rsidRPr="00625F65">
              <w:rPr>
                <w:lang w:eastAsia="zh-CN"/>
              </w:rPr>
              <w:t>UCI partition for frequency hopping</w:t>
            </w:r>
          </w:p>
        </w:tc>
        <w:tc>
          <w:tcPr>
            <w:tcW w:w="2404" w:type="dxa"/>
            <w:vAlign w:val="center"/>
          </w:tcPr>
          <w:p w14:paraId="73ACDF1C" w14:textId="77777777" w:rsidR="00241417" w:rsidRPr="00625F65" w:rsidRDefault="00241417" w:rsidP="003A71DE">
            <w:pPr>
              <w:pStyle w:val="TAC"/>
            </w:pPr>
            <w:r w:rsidRPr="00625F65">
              <w:rPr>
                <w:lang w:eastAsia="zh-CN"/>
              </w:rPr>
              <w:t>Disabled</w:t>
            </w:r>
          </w:p>
        </w:tc>
      </w:tr>
      <w:tr w:rsidR="00241417" w:rsidRPr="00B054F4" w14:paraId="36C75C07" w14:textId="77777777" w:rsidTr="003A71DE">
        <w:trPr>
          <w:cantSplit/>
          <w:jc w:val="center"/>
        </w:trPr>
        <w:tc>
          <w:tcPr>
            <w:tcW w:w="9629" w:type="dxa"/>
            <w:gridSpan w:val="3"/>
            <w:vAlign w:val="center"/>
          </w:tcPr>
          <w:p w14:paraId="4F923350" w14:textId="0422077E" w:rsidR="00241417" w:rsidRPr="00625F65" w:rsidRDefault="00BC408B" w:rsidP="003A71DE">
            <w:pPr>
              <w:pStyle w:val="TAN"/>
            </w:pPr>
            <w:r>
              <w:rPr>
                <w:lang w:eastAsia="zh-CN"/>
              </w:rPr>
              <w:t>NOTE 1:</w:t>
            </w:r>
            <w:r>
              <w:rPr>
                <w:lang w:eastAsia="zh-CN"/>
              </w:rPr>
              <w:tab/>
              <w:t>The same requirements are applicable to different UL-DL patterns.</w:t>
            </w:r>
          </w:p>
        </w:tc>
      </w:tr>
    </w:tbl>
    <w:p w14:paraId="56297AFA" w14:textId="77777777" w:rsidR="00241417" w:rsidRPr="00B054F4" w:rsidRDefault="00241417" w:rsidP="00241417"/>
    <w:p w14:paraId="105FB40C" w14:textId="77777777" w:rsidR="00241417" w:rsidRDefault="00241417" w:rsidP="00241417">
      <w:pPr>
        <w:pStyle w:val="Heading5"/>
      </w:pPr>
      <w:bookmarkStart w:id="3517" w:name="_Toc74583250"/>
      <w:bookmarkStart w:id="3518" w:name="_Toc76542063"/>
      <w:bookmarkStart w:id="3519" w:name="_Toc82450045"/>
      <w:bookmarkStart w:id="3520" w:name="_Toc82450693"/>
      <w:bookmarkStart w:id="3521" w:name="_Toc89949082"/>
      <w:bookmarkStart w:id="3522" w:name="_Toc98755471"/>
      <w:bookmarkStart w:id="3523" w:name="_Toc98763062"/>
      <w:bookmarkStart w:id="3524" w:name="_Toc106183991"/>
      <w:r>
        <w:t>8</w:t>
      </w:r>
      <w:r w:rsidRPr="00EE4A40">
        <w:t>.</w:t>
      </w:r>
      <w:r>
        <w:t>1</w:t>
      </w:r>
      <w:r w:rsidRPr="00EE4A40">
        <w:t>.</w:t>
      </w:r>
      <w:r>
        <w:t>2</w:t>
      </w:r>
      <w:r w:rsidRPr="00EE4A40">
        <w:t>.</w:t>
      </w:r>
      <w:r>
        <w:t>3</w:t>
      </w:r>
      <w:r w:rsidRPr="00EE4A40">
        <w:t>.</w:t>
      </w:r>
      <w:r>
        <w:t>2</w:t>
      </w:r>
      <w:r>
        <w:tab/>
        <w:t>Minimum requirements</w:t>
      </w:r>
      <w:bookmarkEnd w:id="3517"/>
      <w:bookmarkEnd w:id="3518"/>
      <w:bookmarkEnd w:id="3519"/>
      <w:bookmarkEnd w:id="3520"/>
      <w:bookmarkEnd w:id="3521"/>
      <w:bookmarkEnd w:id="3522"/>
      <w:bookmarkEnd w:id="3523"/>
      <w:bookmarkEnd w:id="3524"/>
    </w:p>
    <w:p w14:paraId="428AE110" w14:textId="1EF7D3B7" w:rsidR="00241417" w:rsidRPr="00B054F4" w:rsidRDefault="00241417" w:rsidP="00241417">
      <w:pPr>
        <w:rPr>
          <w:lang w:eastAsia="zh-CN"/>
        </w:rPr>
      </w:pPr>
      <w:r w:rsidRPr="00B054F4">
        <w:rPr>
          <w:lang w:eastAsia="zh-CN"/>
        </w:rPr>
        <w:t>The CSI part 1 block error probability shall not exceed 0.1% at the SNR in table 8.</w:t>
      </w:r>
      <w:r w:rsidR="008C4CE6">
        <w:rPr>
          <w:lang w:eastAsia="zh-CN"/>
        </w:rPr>
        <w:t>1</w:t>
      </w:r>
      <w:r w:rsidRPr="00B054F4">
        <w:rPr>
          <w:lang w:eastAsia="zh-CN"/>
        </w:rPr>
        <w:t>.2.3.2-1 and table 8.</w:t>
      </w:r>
      <w:r w:rsidR="008C4CE6">
        <w:rPr>
          <w:lang w:eastAsia="zh-CN"/>
        </w:rPr>
        <w:t>1</w:t>
      </w:r>
      <w:r w:rsidRPr="00B054F4">
        <w:rPr>
          <w:lang w:eastAsia="zh-CN"/>
        </w:rPr>
        <w:t>.2.3.2-2.The CSI part 2 block error probability shall not exceed 1% at the SNR given in table 8.</w:t>
      </w:r>
      <w:r w:rsidR="008C4CE6">
        <w:rPr>
          <w:lang w:eastAsia="zh-CN"/>
        </w:rPr>
        <w:t>1</w:t>
      </w:r>
      <w:r w:rsidRPr="00B054F4">
        <w:rPr>
          <w:lang w:eastAsia="zh-CN"/>
        </w:rPr>
        <w:t>.2.3.2-3 and table 8.</w:t>
      </w:r>
      <w:r w:rsidR="008C4CE6">
        <w:rPr>
          <w:lang w:eastAsia="zh-CN"/>
        </w:rPr>
        <w:t>1</w:t>
      </w:r>
      <w:r w:rsidRPr="00B054F4">
        <w:rPr>
          <w:lang w:eastAsia="zh-CN"/>
        </w:rPr>
        <w:t>.2.3.2-4.</w:t>
      </w:r>
    </w:p>
    <w:p w14:paraId="64E8FF32" w14:textId="77777777" w:rsidR="00241417" w:rsidRPr="00B054F4" w:rsidRDefault="00241417" w:rsidP="00241417">
      <w:pPr>
        <w:rPr>
          <w:lang w:eastAsia="zh-CN"/>
        </w:rPr>
      </w:pPr>
    </w:p>
    <w:p w14:paraId="59931FF1" w14:textId="77777777" w:rsidR="00241417" w:rsidRPr="00B054F4" w:rsidRDefault="00241417" w:rsidP="00241417">
      <w:pPr>
        <w:pStyle w:val="TH"/>
        <w:rPr>
          <w:lang w:eastAsia="zh-CN"/>
        </w:rPr>
      </w:pPr>
      <w:r w:rsidRPr="00B054F4">
        <w:t xml:space="preserve">Table </w:t>
      </w:r>
      <w:r w:rsidRPr="00B054F4">
        <w:rPr>
          <w:lang w:eastAsia="zh-CN"/>
        </w:rPr>
        <w:t>8</w:t>
      </w:r>
      <w:r w:rsidRPr="00B054F4">
        <w:t>.1.2.</w:t>
      </w:r>
      <w:r w:rsidRPr="00B054F4">
        <w:rPr>
          <w:lang w:eastAsia="zh-CN"/>
        </w:rPr>
        <w:t>3</w:t>
      </w:r>
      <w:r w:rsidRPr="00B054F4">
        <w:t>.</w:t>
      </w:r>
      <w:r w:rsidRPr="00B054F4">
        <w:rPr>
          <w:lang w:eastAsia="zh-CN"/>
        </w:rPr>
        <w:t>2</w:t>
      </w:r>
      <w:r w:rsidRPr="00B054F4">
        <w:t xml:space="preserve">-1: Minimum requirements for </w:t>
      </w:r>
      <w:r w:rsidRPr="00B054F4">
        <w:rPr>
          <w:lang w:eastAsia="zh-CN"/>
        </w:rPr>
        <w:t xml:space="preserve">UCI multiplexed on </w:t>
      </w:r>
      <w:r w:rsidRPr="00B054F4">
        <w:t>PUSCH,</w:t>
      </w:r>
      <w:r w:rsidRPr="00B054F4">
        <w:rPr>
          <w:lang w:eastAsia="zh-CN"/>
        </w:rPr>
        <w:t xml:space="preserve"> Type A, CSI part 1, </w:t>
      </w:r>
      <w:r w:rsidRPr="00B054F4">
        <w:t>10 MHz Channel Bandwidth</w:t>
      </w:r>
      <w:r w:rsidRPr="00B054F4">
        <w:rPr>
          <w:lang w:eastAsia="zh-CN"/>
        </w:rPr>
        <w:t>, 30 kHz SCS</w:t>
      </w:r>
    </w:p>
    <w:tbl>
      <w:tblPr>
        <w:tblStyle w:val="TableGrid7"/>
        <w:tblW w:w="8906" w:type="dxa"/>
        <w:jc w:val="center"/>
        <w:tblLayout w:type="fixed"/>
        <w:tblLook w:val="04A0" w:firstRow="1" w:lastRow="0" w:firstColumn="1" w:lastColumn="0" w:noHBand="0" w:noVBand="1"/>
      </w:tblPr>
      <w:tblGrid>
        <w:gridCol w:w="1007"/>
        <w:gridCol w:w="1094"/>
        <w:gridCol w:w="1973"/>
        <w:gridCol w:w="1176"/>
        <w:gridCol w:w="1406"/>
        <w:gridCol w:w="1400"/>
        <w:gridCol w:w="850"/>
      </w:tblGrid>
      <w:tr w:rsidR="00241417" w:rsidRPr="00081D0D" w14:paraId="1EC6C282" w14:textId="77777777" w:rsidTr="003A71DE">
        <w:trPr>
          <w:cantSplit/>
          <w:jc w:val="center"/>
        </w:trPr>
        <w:tc>
          <w:tcPr>
            <w:tcW w:w="1007" w:type="dxa"/>
            <w:tcBorders>
              <w:bottom w:val="single" w:sz="4" w:space="0" w:color="auto"/>
            </w:tcBorders>
            <w:vAlign w:val="center"/>
          </w:tcPr>
          <w:p w14:paraId="7C3D4746" w14:textId="77777777" w:rsidR="00241417" w:rsidRPr="00081D0D" w:rsidRDefault="00241417" w:rsidP="003A71DE">
            <w:pPr>
              <w:pStyle w:val="TAH"/>
            </w:pPr>
            <w:r w:rsidRPr="00081D0D">
              <w:t>Number of TX antennas</w:t>
            </w:r>
          </w:p>
        </w:tc>
        <w:tc>
          <w:tcPr>
            <w:tcW w:w="1094" w:type="dxa"/>
            <w:vAlign w:val="center"/>
          </w:tcPr>
          <w:p w14:paraId="55E449C1" w14:textId="77777777" w:rsidR="00241417" w:rsidRPr="00081D0D" w:rsidRDefault="00241417" w:rsidP="003A71DE">
            <w:pPr>
              <w:pStyle w:val="TAH"/>
            </w:pPr>
            <w:r w:rsidRPr="00081D0D">
              <w:t xml:space="preserve">Number of </w:t>
            </w:r>
            <w:r>
              <w:t>Demodulation Branches</w:t>
            </w:r>
          </w:p>
        </w:tc>
        <w:tc>
          <w:tcPr>
            <w:tcW w:w="1973" w:type="dxa"/>
            <w:vAlign w:val="center"/>
          </w:tcPr>
          <w:p w14:paraId="31EE5EBC" w14:textId="162C540A" w:rsidR="00241417" w:rsidRPr="00081D0D" w:rsidRDefault="00241417" w:rsidP="003A71DE">
            <w:pPr>
              <w:pStyle w:val="TAH"/>
            </w:pPr>
            <w:r w:rsidRPr="00081D0D">
              <w:t xml:space="preserve">Propagation conditions and correlation matrix (Annex </w:t>
            </w:r>
            <w:r>
              <w:t>TBA</w:t>
            </w:r>
            <w:r w:rsidRPr="00081D0D">
              <w:t>)</w:t>
            </w:r>
          </w:p>
        </w:tc>
        <w:tc>
          <w:tcPr>
            <w:tcW w:w="1176" w:type="dxa"/>
            <w:vAlign w:val="center"/>
          </w:tcPr>
          <w:p w14:paraId="20B5222C" w14:textId="77777777" w:rsidR="00241417" w:rsidRPr="00081D0D" w:rsidRDefault="00241417" w:rsidP="003A71DE">
            <w:pPr>
              <w:pStyle w:val="TAH"/>
            </w:pPr>
            <w:r w:rsidRPr="00081D0D">
              <w:t>UCI bits</w:t>
            </w:r>
          </w:p>
          <w:p w14:paraId="5FECBD96" w14:textId="77777777" w:rsidR="00241417" w:rsidRPr="00081D0D" w:rsidRDefault="00241417" w:rsidP="003A71DE">
            <w:pPr>
              <w:pStyle w:val="TAH"/>
            </w:pPr>
            <w:r w:rsidRPr="00081D0D">
              <w:t>(CSI part 1, CSI part 2)</w:t>
            </w:r>
          </w:p>
        </w:tc>
        <w:tc>
          <w:tcPr>
            <w:tcW w:w="1406" w:type="dxa"/>
            <w:vAlign w:val="center"/>
          </w:tcPr>
          <w:p w14:paraId="183207E6" w14:textId="77777777" w:rsidR="00241417" w:rsidRPr="00081D0D" w:rsidRDefault="00241417" w:rsidP="003A71DE">
            <w:pPr>
              <w:pStyle w:val="TAH"/>
            </w:pPr>
            <w:r w:rsidRPr="00081D0D">
              <w:t>Additional DM-RS position</w:t>
            </w:r>
          </w:p>
        </w:tc>
        <w:tc>
          <w:tcPr>
            <w:tcW w:w="1400" w:type="dxa"/>
            <w:vAlign w:val="center"/>
          </w:tcPr>
          <w:p w14:paraId="5265C551" w14:textId="77777777" w:rsidR="00241417" w:rsidRPr="00081D0D" w:rsidRDefault="00241417" w:rsidP="003A71DE">
            <w:pPr>
              <w:pStyle w:val="TAH"/>
            </w:pPr>
            <w:r w:rsidRPr="00081D0D">
              <w:t>FRC</w:t>
            </w:r>
          </w:p>
          <w:p w14:paraId="254F8833" w14:textId="77777777" w:rsidR="00241417" w:rsidRPr="00081D0D" w:rsidRDefault="00241417" w:rsidP="003A71DE">
            <w:pPr>
              <w:pStyle w:val="TAH"/>
            </w:pPr>
            <w:r w:rsidRPr="00081D0D">
              <w:t>(Annex A)</w:t>
            </w:r>
          </w:p>
        </w:tc>
        <w:tc>
          <w:tcPr>
            <w:tcW w:w="850" w:type="dxa"/>
            <w:vAlign w:val="center"/>
          </w:tcPr>
          <w:p w14:paraId="7728C2D9" w14:textId="77777777" w:rsidR="00241417" w:rsidRPr="00081D0D" w:rsidRDefault="00241417" w:rsidP="003A71DE">
            <w:pPr>
              <w:pStyle w:val="TAH"/>
            </w:pPr>
            <w:r w:rsidRPr="00081D0D">
              <w:t>SNR</w:t>
            </w:r>
          </w:p>
          <w:p w14:paraId="71C7F31E" w14:textId="77777777" w:rsidR="00241417" w:rsidRPr="00081D0D" w:rsidRDefault="00241417" w:rsidP="003A71DE">
            <w:pPr>
              <w:pStyle w:val="TAH"/>
            </w:pPr>
            <w:r w:rsidRPr="00081D0D">
              <w:t>(dB)</w:t>
            </w:r>
          </w:p>
        </w:tc>
      </w:tr>
      <w:tr w:rsidR="00241417" w:rsidRPr="00081D0D" w14:paraId="3EE1E167" w14:textId="77777777" w:rsidTr="003A71DE">
        <w:trPr>
          <w:cantSplit/>
          <w:jc w:val="center"/>
        </w:trPr>
        <w:tc>
          <w:tcPr>
            <w:tcW w:w="1007" w:type="dxa"/>
            <w:vMerge w:val="restart"/>
            <w:vAlign w:val="center"/>
          </w:tcPr>
          <w:p w14:paraId="4A20AB66" w14:textId="77777777" w:rsidR="00241417" w:rsidRPr="00081D0D" w:rsidRDefault="00241417" w:rsidP="003A71DE">
            <w:pPr>
              <w:pStyle w:val="TAC"/>
              <w:rPr>
                <w:lang w:eastAsia="zh-CN"/>
              </w:rPr>
            </w:pPr>
            <w:r w:rsidRPr="00081D0D">
              <w:t>1</w:t>
            </w:r>
          </w:p>
        </w:tc>
        <w:tc>
          <w:tcPr>
            <w:tcW w:w="1094" w:type="dxa"/>
            <w:vAlign w:val="center"/>
          </w:tcPr>
          <w:p w14:paraId="625C4E68" w14:textId="77777777" w:rsidR="00241417" w:rsidRPr="00081D0D" w:rsidRDefault="00241417" w:rsidP="003A71DE">
            <w:pPr>
              <w:pStyle w:val="TAC"/>
              <w:rPr>
                <w:lang w:eastAsia="zh-CN"/>
              </w:rPr>
            </w:pPr>
            <w:r w:rsidRPr="00081D0D">
              <w:t>2</w:t>
            </w:r>
          </w:p>
        </w:tc>
        <w:tc>
          <w:tcPr>
            <w:tcW w:w="1973" w:type="dxa"/>
            <w:vAlign w:val="center"/>
          </w:tcPr>
          <w:p w14:paraId="0A38CA45"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3FB46E6A" w14:textId="77777777" w:rsidR="00241417" w:rsidRPr="00081D0D" w:rsidRDefault="00241417" w:rsidP="003A71DE">
            <w:pPr>
              <w:pStyle w:val="TAC"/>
            </w:pPr>
            <w:r w:rsidRPr="00081D0D">
              <w:t>7</w:t>
            </w:r>
            <w:r w:rsidRPr="00081D0D">
              <w:rPr>
                <w:lang w:eastAsia="zh-CN"/>
              </w:rPr>
              <w:t>(5,2)</w:t>
            </w:r>
          </w:p>
        </w:tc>
        <w:tc>
          <w:tcPr>
            <w:tcW w:w="1406" w:type="dxa"/>
            <w:vAlign w:val="center"/>
          </w:tcPr>
          <w:p w14:paraId="07FCBEF0" w14:textId="77777777" w:rsidR="00241417" w:rsidRPr="00081D0D" w:rsidRDefault="00241417" w:rsidP="003A71DE">
            <w:pPr>
              <w:pStyle w:val="TAC"/>
            </w:pPr>
            <w:r w:rsidRPr="00081D0D">
              <w:t>pos1</w:t>
            </w:r>
          </w:p>
        </w:tc>
        <w:tc>
          <w:tcPr>
            <w:tcW w:w="1400" w:type="dxa"/>
            <w:vAlign w:val="center"/>
          </w:tcPr>
          <w:p w14:paraId="0635BC48" w14:textId="77777777" w:rsidR="00241417" w:rsidRPr="00081D0D" w:rsidRDefault="00241417" w:rsidP="003A71DE">
            <w:pPr>
              <w:pStyle w:val="TAC"/>
            </w:pPr>
            <w:r>
              <w:rPr>
                <w:lang w:eastAsia="zh-CN"/>
              </w:rPr>
              <w:t>D-FR1-A.2.3-4</w:t>
            </w:r>
          </w:p>
        </w:tc>
        <w:tc>
          <w:tcPr>
            <w:tcW w:w="850" w:type="dxa"/>
            <w:vAlign w:val="center"/>
          </w:tcPr>
          <w:p w14:paraId="5684C762" w14:textId="77777777" w:rsidR="00241417" w:rsidRPr="00081D0D" w:rsidRDefault="00241417" w:rsidP="003A71DE">
            <w:pPr>
              <w:pStyle w:val="TAC"/>
              <w:rPr>
                <w:lang w:eastAsia="zh-CN"/>
              </w:rPr>
            </w:pPr>
            <w:r w:rsidRPr="00081D0D">
              <w:rPr>
                <w:lang w:eastAsia="zh-CN"/>
              </w:rPr>
              <w:t>5.</w:t>
            </w:r>
            <w:r w:rsidRPr="00081D0D">
              <w:rPr>
                <w:rFonts w:hint="eastAsia"/>
                <w:lang w:eastAsia="zh-CN"/>
              </w:rPr>
              <w:t>4</w:t>
            </w:r>
          </w:p>
        </w:tc>
      </w:tr>
      <w:tr w:rsidR="00241417" w:rsidRPr="00081D0D" w14:paraId="172D8868" w14:textId="77777777" w:rsidTr="003A71DE">
        <w:trPr>
          <w:cantSplit/>
          <w:jc w:val="center"/>
        </w:trPr>
        <w:tc>
          <w:tcPr>
            <w:tcW w:w="1007" w:type="dxa"/>
            <w:vMerge/>
            <w:vAlign w:val="center"/>
          </w:tcPr>
          <w:p w14:paraId="7A910E59" w14:textId="77777777" w:rsidR="00241417" w:rsidRPr="00081D0D" w:rsidRDefault="00241417" w:rsidP="003A71DE">
            <w:pPr>
              <w:pStyle w:val="TAC"/>
              <w:rPr>
                <w:lang w:eastAsia="zh-CN"/>
              </w:rPr>
            </w:pPr>
          </w:p>
        </w:tc>
        <w:tc>
          <w:tcPr>
            <w:tcW w:w="1094" w:type="dxa"/>
            <w:vAlign w:val="center"/>
          </w:tcPr>
          <w:p w14:paraId="29E055AF" w14:textId="77777777" w:rsidR="00241417" w:rsidRPr="00081D0D" w:rsidRDefault="00241417" w:rsidP="003A71DE">
            <w:pPr>
              <w:pStyle w:val="TAC"/>
            </w:pPr>
            <w:r w:rsidRPr="00081D0D">
              <w:t>2</w:t>
            </w:r>
          </w:p>
        </w:tc>
        <w:tc>
          <w:tcPr>
            <w:tcW w:w="1973" w:type="dxa"/>
            <w:vAlign w:val="center"/>
          </w:tcPr>
          <w:p w14:paraId="1E43DD0A"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2C838088" w14:textId="77777777" w:rsidR="00241417" w:rsidRPr="00081D0D" w:rsidRDefault="00241417" w:rsidP="003A71DE">
            <w:pPr>
              <w:pStyle w:val="TAC"/>
            </w:pPr>
            <w:r w:rsidRPr="00081D0D">
              <w:rPr>
                <w:lang w:eastAsia="zh-CN"/>
              </w:rPr>
              <w:t>40(20,20)</w:t>
            </w:r>
          </w:p>
        </w:tc>
        <w:tc>
          <w:tcPr>
            <w:tcW w:w="1406" w:type="dxa"/>
            <w:vAlign w:val="center"/>
          </w:tcPr>
          <w:p w14:paraId="4BE6A837" w14:textId="77777777" w:rsidR="00241417" w:rsidRPr="00081D0D" w:rsidRDefault="00241417" w:rsidP="003A71DE">
            <w:pPr>
              <w:pStyle w:val="TAC"/>
            </w:pPr>
            <w:r w:rsidRPr="00081D0D">
              <w:rPr>
                <w:lang w:eastAsia="zh-CN"/>
              </w:rPr>
              <w:t>pos1</w:t>
            </w:r>
          </w:p>
        </w:tc>
        <w:tc>
          <w:tcPr>
            <w:tcW w:w="1400" w:type="dxa"/>
            <w:vAlign w:val="center"/>
          </w:tcPr>
          <w:p w14:paraId="6AD01268" w14:textId="77777777" w:rsidR="00241417" w:rsidRPr="00081D0D" w:rsidRDefault="00241417" w:rsidP="003A71DE">
            <w:pPr>
              <w:pStyle w:val="TAC"/>
              <w:rPr>
                <w:lang w:eastAsia="zh-CN"/>
              </w:rPr>
            </w:pPr>
            <w:r>
              <w:rPr>
                <w:lang w:eastAsia="zh-CN"/>
              </w:rPr>
              <w:t>D-FR1-A.2.3-4</w:t>
            </w:r>
          </w:p>
        </w:tc>
        <w:tc>
          <w:tcPr>
            <w:tcW w:w="850" w:type="dxa"/>
            <w:vAlign w:val="center"/>
          </w:tcPr>
          <w:p w14:paraId="4B5F041C" w14:textId="77777777" w:rsidR="00241417" w:rsidRPr="00081D0D" w:rsidRDefault="00241417" w:rsidP="003A71DE">
            <w:pPr>
              <w:pStyle w:val="TAC"/>
              <w:rPr>
                <w:lang w:eastAsia="zh-CN"/>
              </w:rPr>
            </w:pPr>
            <w:r w:rsidRPr="00081D0D">
              <w:rPr>
                <w:lang w:eastAsia="zh-CN"/>
              </w:rPr>
              <w:t>4.</w:t>
            </w:r>
            <w:r w:rsidRPr="00081D0D">
              <w:rPr>
                <w:rFonts w:hint="eastAsia"/>
                <w:lang w:eastAsia="zh-CN"/>
              </w:rPr>
              <w:t>3</w:t>
            </w:r>
          </w:p>
        </w:tc>
      </w:tr>
    </w:tbl>
    <w:p w14:paraId="48D6B647" w14:textId="77777777" w:rsidR="00241417" w:rsidRPr="00081D0D" w:rsidRDefault="00241417" w:rsidP="00241417">
      <w:pPr>
        <w:rPr>
          <w:lang w:eastAsia="zh-CN"/>
        </w:rPr>
      </w:pPr>
    </w:p>
    <w:p w14:paraId="701B99FB" w14:textId="77777777" w:rsidR="00241417" w:rsidRPr="00B054F4" w:rsidRDefault="00241417" w:rsidP="00241417">
      <w:pPr>
        <w:pStyle w:val="TH"/>
        <w:rPr>
          <w:lang w:eastAsia="zh-CN"/>
        </w:rPr>
      </w:pPr>
      <w:r w:rsidRPr="00B054F4">
        <w:t xml:space="preserve">Table </w:t>
      </w:r>
      <w:r w:rsidRPr="00B054F4">
        <w:rPr>
          <w:lang w:eastAsia="zh-CN"/>
        </w:rPr>
        <w:t>8</w:t>
      </w:r>
      <w:r w:rsidRPr="00B054F4">
        <w:t>.1.2.</w:t>
      </w:r>
      <w:r w:rsidRPr="00B054F4">
        <w:rPr>
          <w:lang w:eastAsia="zh-CN"/>
        </w:rPr>
        <w:t>3</w:t>
      </w:r>
      <w:r w:rsidRPr="00B054F4">
        <w:t>.</w:t>
      </w:r>
      <w:r w:rsidRPr="00B054F4">
        <w:rPr>
          <w:lang w:eastAsia="zh-CN"/>
        </w:rPr>
        <w:t>2</w:t>
      </w:r>
      <w:r w:rsidRPr="00B054F4">
        <w:t>-</w:t>
      </w:r>
      <w:r w:rsidRPr="00B054F4">
        <w:rPr>
          <w:lang w:eastAsia="zh-CN"/>
        </w:rPr>
        <w:t>2</w:t>
      </w:r>
      <w:r w:rsidRPr="00B054F4">
        <w:t xml:space="preserve">: Minimum requirements for </w:t>
      </w:r>
      <w:r w:rsidRPr="00B054F4">
        <w:rPr>
          <w:lang w:eastAsia="zh-CN"/>
        </w:rPr>
        <w:t xml:space="preserve">UCI multiplexed on </w:t>
      </w:r>
      <w:r w:rsidRPr="00B054F4">
        <w:t>PUSCH,</w:t>
      </w:r>
      <w:r w:rsidRPr="00B054F4">
        <w:rPr>
          <w:lang w:eastAsia="zh-CN"/>
        </w:rPr>
        <w:t xml:space="preserve"> Type B, CSI part 1, </w:t>
      </w:r>
      <w:r w:rsidRPr="00B054F4">
        <w:t>10 MHz Channel Bandwidth</w:t>
      </w:r>
      <w:r w:rsidRPr="00B054F4">
        <w:rPr>
          <w:lang w:eastAsia="zh-CN"/>
        </w:rPr>
        <w:t>, 30 kHz SCS</w:t>
      </w:r>
    </w:p>
    <w:tbl>
      <w:tblPr>
        <w:tblStyle w:val="TableGrid7"/>
        <w:tblW w:w="8906" w:type="dxa"/>
        <w:jc w:val="center"/>
        <w:tblLayout w:type="fixed"/>
        <w:tblLook w:val="04A0" w:firstRow="1" w:lastRow="0" w:firstColumn="1" w:lastColumn="0" w:noHBand="0" w:noVBand="1"/>
      </w:tblPr>
      <w:tblGrid>
        <w:gridCol w:w="1007"/>
        <w:gridCol w:w="1094"/>
        <w:gridCol w:w="1973"/>
        <w:gridCol w:w="1176"/>
        <w:gridCol w:w="1406"/>
        <w:gridCol w:w="1400"/>
        <w:gridCol w:w="850"/>
      </w:tblGrid>
      <w:tr w:rsidR="00241417" w:rsidRPr="00081D0D" w14:paraId="698DF0C9" w14:textId="77777777" w:rsidTr="003A71DE">
        <w:trPr>
          <w:cantSplit/>
          <w:jc w:val="center"/>
        </w:trPr>
        <w:tc>
          <w:tcPr>
            <w:tcW w:w="1007" w:type="dxa"/>
            <w:tcBorders>
              <w:bottom w:val="single" w:sz="4" w:space="0" w:color="auto"/>
            </w:tcBorders>
            <w:vAlign w:val="center"/>
          </w:tcPr>
          <w:p w14:paraId="6DEF2A5E" w14:textId="77777777" w:rsidR="00241417" w:rsidRPr="00081D0D" w:rsidRDefault="00241417" w:rsidP="003A71DE">
            <w:pPr>
              <w:pStyle w:val="TAH"/>
            </w:pPr>
            <w:r w:rsidRPr="00081D0D">
              <w:t>Number of TX antennas</w:t>
            </w:r>
          </w:p>
        </w:tc>
        <w:tc>
          <w:tcPr>
            <w:tcW w:w="1094" w:type="dxa"/>
            <w:vAlign w:val="center"/>
          </w:tcPr>
          <w:p w14:paraId="0B393F7A" w14:textId="77777777" w:rsidR="00241417" w:rsidRPr="00081D0D" w:rsidRDefault="00241417" w:rsidP="003A71DE">
            <w:pPr>
              <w:pStyle w:val="TAH"/>
            </w:pPr>
            <w:r w:rsidRPr="00081D0D">
              <w:t xml:space="preserve">Number of </w:t>
            </w:r>
            <w:r>
              <w:t>Demodulation Branches</w:t>
            </w:r>
          </w:p>
        </w:tc>
        <w:tc>
          <w:tcPr>
            <w:tcW w:w="1973" w:type="dxa"/>
            <w:vAlign w:val="center"/>
          </w:tcPr>
          <w:p w14:paraId="2E44F161" w14:textId="3DA0C319" w:rsidR="00241417" w:rsidRPr="00081D0D" w:rsidRDefault="00241417" w:rsidP="003A71DE">
            <w:pPr>
              <w:pStyle w:val="TAH"/>
            </w:pPr>
            <w:r w:rsidRPr="00081D0D">
              <w:t xml:space="preserve">Propagation conditions and correlation matrix (Annex </w:t>
            </w:r>
            <w:r>
              <w:t>TBA</w:t>
            </w:r>
            <w:r w:rsidRPr="00081D0D">
              <w:t>)</w:t>
            </w:r>
          </w:p>
        </w:tc>
        <w:tc>
          <w:tcPr>
            <w:tcW w:w="1176" w:type="dxa"/>
            <w:vAlign w:val="center"/>
          </w:tcPr>
          <w:p w14:paraId="25ECE9B6" w14:textId="77777777" w:rsidR="00241417" w:rsidRPr="00081D0D" w:rsidRDefault="00241417" w:rsidP="003A71DE">
            <w:pPr>
              <w:pStyle w:val="TAH"/>
            </w:pPr>
            <w:r w:rsidRPr="00081D0D">
              <w:t>UCI bits</w:t>
            </w:r>
          </w:p>
          <w:p w14:paraId="0CCEABEF" w14:textId="77777777" w:rsidR="00241417" w:rsidRPr="00081D0D" w:rsidRDefault="00241417" w:rsidP="003A71DE">
            <w:pPr>
              <w:pStyle w:val="TAH"/>
            </w:pPr>
            <w:r w:rsidRPr="00081D0D">
              <w:t>(CSI part 1, CSI part 2)</w:t>
            </w:r>
          </w:p>
        </w:tc>
        <w:tc>
          <w:tcPr>
            <w:tcW w:w="1406" w:type="dxa"/>
            <w:vAlign w:val="center"/>
          </w:tcPr>
          <w:p w14:paraId="6FA6A7DE" w14:textId="77777777" w:rsidR="00241417" w:rsidRPr="00081D0D" w:rsidRDefault="00241417" w:rsidP="003A71DE">
            <w:pPr>
              <w:pStyle w:val="TAH"/>
            </w:pPr>
            <w:r w:rsidRPr="00081D0D">
              <w:t>Additional DM-RS position</w:t>
            </w:r>
          </w:p>
        </w:tc>
        <w:tc>
          <w:tcPr>
            <w:tcW w:w="1400" w:type="dxa"/>
            <w:vAlign w:val="center"/>
          </w:tcPr>
          <w:p w14:paraId="6782EAC1" w14:textId="77777777" w:rsidR="00241417" w:rsidRPr="00081D0D" w:rsidRDefault="00241417" w:rsidP="003A71DE">
            <w:pPr>
              <w:pStyle w:val="TAH"/>
            </w:pPr>
            <w:r w:rsidRPr="00081D0D">
              <w:t>FRC</w:t>
            </w:r>
          </w:p>
          <w:p w14:paraId="2474D8BD" w14:textId="77777777" w:rsidR="00241417" w:rsidRPr="00081D0D" w:rsidRDefault="00241417" w:rsidP="003A71DE">
            <w:pPr>
              <w:pStyle w:val="TAH"/>
            </w:pPr>
            <w:r w:rsidRPr="00081D0D">
              <w:t>(Annex A)</w:t>
            </w:r>
          </w:p>
        </w:tc>
        <w:tc>
          <w:tcPr>
            <w:tcW w:w="850" w:type="dxa"/>
            <w:vAlign w:val="center"/>
          </w:tcPr>
          <w:p w14:paraId="31AB9058" w14:textId="77777777" w:rsidR="00241417" w:rsidRPr="00081D0D" w:rsidRDefault="00241417" w:rsidP="003A71DE">
            <w:pPr>
              <w:pStyle w:val="TAH"/>
            </w:pPr>
            <w:r w:rsidRPr="00081D0D">
              <w:t>SNR</w:t>
            </w:r>
          </w:p>
          <w:p w14:paraId="1DCD56F7" w14:textId="77777777" w:rsidR="00241417" w:rsidRPr="00081D0D" w:rsidRDefault="00241417" w:rsidP="003A71DE">
            <w:pPr>
              <w:pStyle w:val="TAH"/>
            </w:pPr>
            <w:r w:rsidRPr="00081D0D">
              <w:t>(dB)</w:t>
            </w:r>
          </w:p>
        </w:tc>
      </w:tr>
      <w:tr w:rsidR="00241417" w:rsidRPr="00081D0D" w14:paraId="243ABCB0" w14:textId="77777777" w:rsidTr="003A71DE">
        <w:trPr>
          <w:cantSplit/>
          <w:jc w:val="center"/>
        </w:trPr>
        <w:tc>
          <w:tcPr>
            <w:tcW w:w="1007" w:type="dxa"/>
            <w:vMerge w:val="restart"/>
            <w:vAlign w:val="center"/>
          </w:tcPr>
          <w:p w14:paraId="055B2B8F" w14:textId="77777777" w:rsidR="00241417" w:rsidRPr="00081D0D" w:rsidRDefault="00241417" w:rsidP="003A71DE">
            <w:pPr>
              <w:pStyle w:val="TAC"/>
              <w:rPr>
                <w:lang w:eastAsia="zh-CN"/>
              </w:rPr>
            </w:pPr>
            <w:r w:rsidRPr="00081D0D">
              <w:t>1</w:t>
            </w:r>
          </w:p>
        </w:tc>
        <w:tc>
          <w:tcPr>
            <w:tcW w:w="1094" w:type="dxa"/>
            <w:vAlign w:val="center"/>
          </w:tcPr>
          <w:p w14:paraId="15A2CCF1" w14:textId="77777777" w:rsidR="00241417" w:rsidRPr="00081D0D" w:rsidRDefault="00241417" w:rsidP="003A71DE">
            <w:pPr>
              <w:pStyle w:val="TAC"/>
              <w:rPr>
                <w:lang w:eastAsia="zh-CN"/>
              </w:rPr>
            </w:pPr>
            <w:r w:rsidRPr="00081D0D">
              <w:t>2</w:t>
            </w:r>
          </w:p>
        </w:tc>
        <w:tc>
          <w:tcPr>
            <w:tcW w:w="1973" w:type="dxa"/>
            <w:vAlign w:val="center"/>
          </w:tcPr>
          <w:p w14:paraId="219CF1AD"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1CF02F33" w14:textId="77777777" w:rsidR="00241417" w:rsidRPr="00081D0D" w:rsidRDefault="00241417" w:rsidP="003A71DE">
            <w:pPr>
              <w:pStyle w:val="TAC"/>
            </w:pPr>
            <w:r w:rsidRPr="00081D0D">
              <w:t>7</w:t>
            </w:r>
            <w:r w:rsidRPr="00081D0D">
              <w:rPr>
                <w:lang w:eastAsia="zh-CN"/>
              </w:rPr>
              <w:t>(5,2)</w:t>
            </w:r>
          </w:p>
        </w:tc>
        <w:tc>
          <w:tcPr>
            <w:tcW w:w="1406" w:type="dxa"/>
            <w:vAlign w:val="center"/>
          </w:tcPr>
          <w:p w14:paraId="454F7797" w14:textId="77777777" w:rsidR="00241417" w:rsidRPr="00081D0D" w:rsidRDefault="00241417" w:rsidP="003A71DE">
            <w:pPr>
              <w:pStyle w:val="TAC"/>
            </w:pPr>
            <w:r w:rsidRPr="00081D0D">
              <w:t>pos1</w:t>
            </w:r>
          </w:p>
        </w:tc>
        <w:tc>
          <w:tcPr>
            <w:tcW w:w="1400" w:type="dxa"/>
            <w:vAlign w:val="center"/>
          </w:tcPr>
          <w:p w14:paraId="14ABC150" w14:textId="77777777" w:rsidR="00241417" w:rsidRPr="00081D0D" w:rsidRDefault="00241417" w:rsidP="003A71DE">
            <w:pPr>
              <w:pStyle w:val="TAC"/>
            </w:pPr>
            <w:r>
              <w:rPr>
                <w:lang w:eastAsia="zh-CN"/>
              </w:rPr>
              <w:t>D-FR1-A.2.3-4</w:t>
            </w:r>
          </w:p>
        </w:tc>
        <w:tc>
          <w:tcPr>
            <w:tcW w:w="850" w:type="dxa"/>
            <w:vAlign w:val="center"/>
          </w:tcPr>
          <w:p w14:paraId="1C23CB4B" w14:textId="77777777" w:rsidR="00241417" w:rsidRPr="00081D0D" w:rsidRDefault="00241417" w:rsidP="003A71DE">
            <w:pPr>
              <w:pStyle w:val="TAC"/>
              <w:rPr>
                <w:lang w:eastAsia="zh-CN"/>
              </w:rPr>
            </w:pPr>
            <w:r w:rsidRPr="00081D0D">
              <w:rPr>
                <w:rFonts w:hint="eastAsia"/>
                <w:lang w:eastAsia="zh-CN"/>
              </w:rPr>
              <w:t>5.8</w:t>
            </w:r>
          </w:p>
        </w:tc>
      </w:tr>
      <w:tr w:rsidR="00241417" w:rsidRPr="00081D0D" w14:paraId="2F629A80" w14:textId="77777777" w:rsidTr="003A71DE">
        <w:trPr>
          <w:cantSplit/>
          <w:jc w:val="center"/>
        </w:trPr>
        <w:tc>
          <w:tcPr>
            <w:tcW w:w="1007" w:type="dxa"/>
            <w:vMerge/>
            <w:vAlign w:val="center"/>
          </w:tcPr>
          <w:p w14:paraId="7C656781" w14:textId="77777777" w:rsidR="00241417" w:rsidRPr="00081D0D" w:rsidRDefault="00241417" w:rsidP="003A71DE">
            <w:pPr>
              <w:pStyle w:val="TAC"/>
              <w:rPr>
                <w:lang w:eastAsia="zh-CN"/>
              </w:rPr>
            </w:pPr>
          </w:p>
        </w:tc>
        <w:tc>
          <w:tcPr>
            <w:tcW w:w="1094" w:type="dxa"/>
            <w:vAlign w:val="center"/>
          </w:tcPr>
          <w:p w14:paraId="5940A936" w14:textId="77777777" w:rsidR="00241417" w:rsidRPr="00081D0D" w:rsidRDefault="00241417" w:rsidP="003A71DE">
            <w:pPr>
              <w:pStyle w:val="TAC"/>
            </w:pPr>
            <w:r w:rsidRPr="00081D0D">
              <w:t>2</w:t>
            </w:r>
          </w:p>
        </w:tc>
        <w:tc>
          <w:tcPr>
            <w:tcW w:w="1973" w:type="dxa"/>
            <w:vAlign w:val="center"/>
          </w:tcPr>
          <w:p w14:paraId="20A86572"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77487E4F" w14:textId="77777777" w:rsidR="00241417" w:rsidRPr="00081D0D" w:rsidRDefault="00241417" w:rsidP="003A71DE">
            <w:pPr>
              <w:pStyle w:val="TAC"/>
            </w:pPr>
            <w:r w:rsidRPr="00081D0D">
              <w:rPr>
                <w:lang w:eastAsia="zh-CN"/>
              </w:rPr>
              <w:t>40(20,20)</w:t>
            </w:r>
          </w:p>
        </w:tc>
        <w:tc>
          <w:tcPr>
            <w:tcW w:w="1406" w:type="dxa"/>
            <w:vAlign w:val="center"/>
          </w:tcPr>
          <w:p w14:paraId="332289DF" w14:textId="77777777" w:rsidR="00241417" w:rsidRPr="00081D0D" w:rsidRDefault="00241417" w:rsidP="003A71DE">
            <w:pPr>
              <w:pStyle w:val="TAC"/>
            </w:pPr>
            <w:r w:rsidRPr="00081D0D">
              <w:rPr>
                <w:lang w:eastAsia="zh-CN"/>
              </w:rPr>
              <w:t>pos1</w:t>
            </w:r>
          </w:p>
        </w:tc>
        <w:tc>
          <w:tcPr>
            <w:tcW w:w="1400" w:type="dxa"/>
            <w:vAlign w:val="center"/>
          </w:tcPr>
          <w:p w14:paraId="4F0FFC83" w14:textId="77777777" w:rsidR="00241417" w:rsidRPr="00081D0D" w:rsidRDefault="00241417" w:rsidP="003A71DE">
            <w:pPr>
              <w:pStyle w:val="TAC"/>
              <w:rPr>
                <w:lang w:eastAsia="zh-CN"/>
              </w:rPr>
            </w:pPr>
            <w:r>
              <w:rPr>
                <w:lang w:eastAsia="zh-CN"/>
              </w:rPr>
              <w:t>D-FR1-A.2.3-4</w:t>
            </w:r>
          </w:p>
        </w:tc>
        <w:tc>
          <w:tcPr>
            <w:tcW w:w="850" w:type="dxa"/>
            <w:vAlign w:val="center"/>
          </w:tcPr>
          <w:p w14:paraId="335718E3" w14:textId="77777777" w:rsidR="00241417" w:rsidRPr="00081D0D" w:rsidRDefault="00241417" w:rsidP="003A71DE">
            <w:pPr>
              <w:pStyle w:val="TAC"/>
              <w:rPr>
                <w:lang w:eastAsia="zh-CN"/>
              </w:rPr>
            </w:pPr>
            <w:r w:rsidRPr="00081D0D">
              <w:rPr>
                <w:lang w:eastAsia="zh-CN"/>
              </w:rPr>
              <w:t>4.</w:t>
            </w:r>
            <w:r w:rsidRPr="00081D0D">
              <w:rPr>
                <w:rFonts w:hint="eastAsia"/>
                <w:lang w:eastAsia="zh-CN"/>
              </w:rPr>
              <w:t>1</w:t>
            </w:r>
          </w:p>
        </w:tc>
      </w:tr>
    </w:tbl>
    <w:p w14:paraId="74CDF8C3" w14:textId="77777777" w:rsidR="00241417" w:rsidRPr="00081D0D" w:rsidRDefault="00241417" w:rsidP="00241417">
      <w:pPr>
        <w:rPr>
          <w:lang w:eastAsia="zh-CN"/>
        </w:rPr>
      </w:pPr>
    </w:p>
    <w:p w14:paraId="1CCD4FFF" w14:textId="77777777" w:rsidR="00241417" w:rsidRPr="00B054F4" w:rsidRDefault="00241417" w:rsidP="00241417">
      <w:pPr>
        <w:pStyle w:val="TH"/>
        <w:rPr>
          <w:lang w:eastAsia="zh-CN"/>
        </w:rPr>
      </w:pPr>
      <w:r w:rsidRPr="00B054F4">
        <w:lastRenderedPageBreak/>
        <w:t xml:space="preserve">Table </w:t>
      </w:r>
      <w:r w:rsidRPr="00B054F4">
        <w:rPr>
          <w:lang w:eastAsia="zh-CN"/>
        </w:rPr>
        <w:t>8.1.2.3.2-3</w:t>
      </w:r>
      <w:r w:rsidRPr="00B054F4">
        <w:t xml:space="preserve">: Minimum requirements for </w:t>
      </w:r>
      <w:r w:rsidRPr="00B054F4">
        <w:rPr>
          <w:lang w:eastAsia="zh-CN"/>
        </w:rPr>
        <w:t xml:space="preserve">UCI multiplexed on </w:t>
      </w:r>
      <w:r w:rsidRPr="00B054F4">
        <w:t>PUSCH,</w:t>
      </w:r>
      <w:r w:rsidRPr="00B054F4">
        <w:rPr>
          <w:lang w:eastAsia="zh-CN"/>
        </w:rPr>
        <w:t xml:space="preserve"> Type A, CSI part 2, </w:t>
      </w:r>
      <w:r w:rsidRPr="00B054F4">
        <w:t>10 MHz Channel Bandwidth</w:t>
      </w:r>
      <w:r w:rsidRPr="00B054F4">
        <w:rPr>
          <w:lang w:eastAsia="zh-CN"/>
        </w:rPr>
        <w:t>, 30 kHz SCS</w:t>
      </w:r>
    </w:p>
    <w:tbl>
      <w:tblPr>
        <w:tblStyle w:val="TableGrid7"/>
        <w:tblW w:w="8906" w:type="dxa"/>
        <w:jc w:val="center"/>
        <w:tblLayout w:type="fixed"/>
        <w:tblLook w:val="04A0" w:firstRow="1" w:lastRow="0" w:firstColumn="1" w:lastColumn="0" w:noHBand="0" w:noVBand="1"/>
      </w:tblPr>
      <w:tblGrid>
        <w:gridCol w:w="1007"/>
        <w:gridCol w:w="1094"/>
        <w:gridCol w:w="1973"/>
        <w:gridCol w:w="1176"/>
        <w:gridCol w:w="1406"/>
        <w:gridCol w:w="1400"/>
        <w:gridCol w:w="850"/>
      </w:tblGrid>
      <w:tr w:rsidR="00241417" w:rsidRPr="00081D0D" w14:paraId="5FD61181" w14:textId="77777777" w:rsidTr="003A71DE">
        <w:trPr>
          <w:cantSplit/>
          <w:jc w:val="center"/>
        </w:trPr>
        <w:tc>
          <w:tcPr>
            <w:tcW w:w="1007" w:type="dxa"/>
            <w:tcBorders>
              <w:bottom w:val="single" w:sz="4" w:space="0" w:color="auto"/>
            </w:tcBorders>
            <w:vAlign w:val="center"/>
          </w:tcPr>
          <w:p w14:paraId="0B82A68F" w14:textId="77777777" w:rsidR="00241417" w:rsidRPr="00081D0D" w:rsidRDefault="00241417" w:rsidP="003A71DE">
            <w:pPr>
              <w:pStyle w:val="TAH"/>
            </w:pPr>
            <w:r w:rsidRPr="00081D0D">
              <w:t>Number of TX antennas</w:t>
            </w:r>
          </w:p>
        </w:tc>
        <w:tc>
          <w:tcPr>
            <w:tcW w:w="1094" w:type="dxa"/>
            <w:vAlign w:val="center"/>
          </w:tcPr>
          <w:p w14:paraId="2E3C62EA" w14:textId="77777777" w:rsidR="00241417" w:rsidRPr="00081D0D" w:rsidRDefault="00241417" w:rsidP="003A71DE">
            <w:pPr>
              <w:pStyle w:val="TAH"/>
            </w:pPr>
            <w:r w:rsidRPr="00081D0D">
              <w:t xml:space="preserve">Number of </w:t>
            </w:r>
            <w:r>
              <w:t>Demodulation Branches</w:t>
            </w:r>
          </w:p>
        </w:tc>
        <w:tc>
          <w:tcPr>
            <w:tcW w:w="1973" w:type="dxa"/>
            <w:vAlign w:val="center"/>
          </w:tcPr>
          <w:p w14:paraId="5DAB6FDE" w14:textId="5B696A26" w:rsidR="00241417" w:rsidRPr="00081D0D" w:rsidRDefault="00241417" w:rsidP="003A71DE">
            <w:pPr>
              <w:pStyle w:val="TAH"/>
            </w:pPr>
            <w:r w:rsidRPr="00081D0D">
              <w:t xml:space="preserve">Propagation conditions and correlation matrix (Annex </w:t>
            </w:r>
            <w:r>
              <w:t>TBA</w:t>
            </w:r>
            <w:r w:rsidRPr="00081D0D">
              <w:t>)</w:t>
            </w:r>
          </w:p>
        </w:tc>
        <w:tc>
          <w:tcPr>
            <w:tcW w:w="1176" w:type="dxa"/>
            <w:vAlign w:val="center"/>
          </w:tcPr>
          <w:p w14:paraId="14EF6EB8" w14:textId="77777777" w:rsidR="00241417" w:rsidRPr="00081D0D" w:rsidRDefault="00241417" w:rsidP="003A71DE">
            <w:pPr>
              <w:pStyle w:val="TAH"/>
            </w:pPr>
            <w:r w:rsidRPr="00081D0D">
              <w:t>UCI bits</w:t>
            </w:r>
          </w:p>
          <w:p w14:paraId="40773EDE" w14:textId="77777777" w:rsidR="00241417" w:rsidRPr="00081D0D" w:rsidRDefault="00241417" w:rsidP="003A71DE">
            <w:pPr>
              <w:pStyle w:val="TAH"/>
            </w:pPr>
            <w:r w:rsidRPr="00081D0D">
              <w:t>(CSI part 1, CSI part 2)</w:t>
            </w:r>
          </w:p>
        </w:tc>
        <w:tc>
          <w:tcPr>
            <w:tcW w:w="1406" w:type="dxa"/>
            <w:vAlign w:val="center"/>
          </w:tcPr>
          <w:p w14:paraId="39B3A311" w14:textId="77777777" w:rsidR="00241417" w:rsidRPr="00081D0D" w:rsidRDefault="00241417" w:rsidP="003A71DE">
            <w:pPr>
              <w:pStyle w:val="TAH"/>
            </w:pPr>
            <w:r w:rsidRPr="00081D0D">
              <w:t>Additional DM-RS position</w:t>
            </w:r>
          </w:p>
        </w:tc>
        <w:tc>
          <w:tcPr>
            <w:tcW w:w="1400" w:type="dxa"/>
            <w:vAlign w:val="center"/>
          </w:tcPr>
          <w:p w14:paraId="3B83838A" w14:textId="77777777" w:rsidR="00241417" w:rsidRPr="00081D0D" w:rsidRDefault="00241417" w:rsidP="003A71DE">
            <w:pPr>
              <w:pStyle w:val="TAH"/>
            </w:pPr>
            <w:r w:rsidRPr="00081D0D">
              <w:t>FRC</w:t>
            </w:r>
          </w:p>
          <w:p w14:paraId="3F5A2019" w14:textId="77777777" w:rsidR="00241417" w:rsidRPr="00081D0D" w:rsidRDefault="00241417" w:rsidP="003A71DE">
            <w:pPr>
              <w:pStyle w:val="TAH"/>
            </w:pPr>
            <w:r w:rsidRPr="00081D0D">
              <w:t>(Annex A)</w:t>
            </w:r>
          </w:p>
        </w:tc>
        <w:tc>
          <w:tcPr>
            <w:tcW w:w="850" w:type="dxa"/>
            <w:vAlign w:val="center"/>
          </w:tcPr>
          <w:p w14:paraId="7F8E262F" w14:textId="77777777" w:rsidR="00241417" w:rsidRPr="00081D0D" w:rsidRDefault="00241417" w:rsidP="003A71DE">
            <w:pPr>
              <w:pStyle w:val="TAH"/>
            </w:pPr>
            <w:r w:rsidRPr="00081D0D">
              <w:t>SNR</w:t>
            </w:r>
          </w:p>
          <w:p w14:paraId="0B5BE7BE" w14:textId="77777777" w:rsidR="00241417" w:rsidRPr="00081D0D" w:rsidRDefault="00241417" w:rsidP="003A71DE">
            <w:pPr>
              <w:pStyle w:val="TAH"/>
            </w:pPr>
            <w:r w:rsidRPr="00081D0D">
              <w:t>(dB)</w:t>
            </w:r>
          </w:p>
        </w:tc>
      </w:tr>
      <w:tr w:rsidR="00241417" w:rsidRPr="00081D0D" w14:paraId="65FBBC19" w14:textId="77777777" w:rsidTr="003A71DE">
        <w:trPr>
          <w:cantSplit/>
          <w:jc w:val="center"/>
        </w:trPr>
        <w:tc>
          <w:tcPr>
            <w:tcW w:w="1007" w:type="dxa"/>
            <w:vMerge w:val="restart"/>
            <w:vAlign w:val="center"/>
          </w:tcPr>
          <w:p w14:paraId="326A6585" w14:textId="77777777" w:rsidR="00241417" w:rsidRPr="00081D0D" w:rsidRDefault="00241417" w:rsidP="003A71DE">
            <w:pPr>
              <w:pStyle w:val="TAC"/>
              <w:rPr>
                <w:lang w:eastAsia="zh-CN"/>
              </w:rPr>
            </w:pPr>
            <w:r w:rsidRPr="00081D0D">
              <w:t>1</w:t>
            </w:r>
          </w:p>
        </w:tc>
        <w:tc>
          <w:tcPr>
            <w:tcW w:w="1094" w:type="dxa"/>
            <w:vAlign w:val="center"/>
          </w:tcPr>
          <w:p w14:paraId="36C5691F" w14:textId="77777777" w:rsidR="00241417" w:rsidRPr="00081D0D" w:rsidRDefault="00241417" w:rsidP="003A71DE">
            <w:pPr>
              <w:pStyle w:val="TAC"/>
              <w:rPr>
                <w:lang w:eastAsia="zh-CN"/>
              </w:rPr>
            </w:pPr>
            <w:r w:rsidRPr="00081D0D">
              <w:t>2</w:t>
            </w:r>
          </w:p>
        </w:tc>
        <w:tc>
          <w:tcPr>
            <w:tcW w:w="1973" w:type="dxa"/>
            <w:vAlign w:val="center"/>
          </w:tcPr>
          <w:p w14:paraId="4E5EA0E1"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1F4EB0AE" w14:textId="77777777" w:rsidR="00241417" w:rsidRPr="00081D0D" w:rsidRDefault="00241417" w:rsidP="003A71DE">
            <w:pPr>
              <w:pStyle w:val="TAC"/>
            </w:pPr>
            <w:r w:rsidRPr="00081D0D">
              <w:t>7</w:t>
            </w:r>
            <w:r w:rsidRPr="00081D0D">
              <w:rPr>
                <w:lang w:eastAsia="zh-CN"/>
              </w:rPr>
              <w:t>(5,2)</w:t>
            </w:r>
          </w:p>
        </w:tc>
        <w:tc>
          <w:tcPr>
            <w:tcW w:w="1406" w:type="dxa"/>
            <w:vAlign w:val="center"/>
          </w:tcPr>
          <w:p w14:paraId="28DCCDFE" w14:textId="77777777" w:rsidR="00241417" w:rsidRPr="00081D0D" w:rsidRDefault="00241417" w:rsidP="003A71DE">
            <w:pPr>
              <w:pStyle w:val="TAC"/>
            </w:pPr>
            <w:r w:rsidRPr="00081D0D">
              <w:rPr>
                <w:lang w:eastAsia="zh-CN"/>
              </w:rPr>
              <w:t>p</w:t>
            </w:r>
            <w:r w:rsidRPr="00081D0D">
              <w:t>os1</w:t>
            </w:r>
          </w:p>
        </w:tc>
        <w:tc>
          <w:tcPr>
            <w:tcW w:w="1400" w:type="dxa"/>
            <w:vAlign w:val="center"/>
          </w:tcPr>
          <w:p w14:paraId="39D74764" w14:textId="77777777" w:rsidR="00241417" w:rsidRPr="00081D0D" w:rsidRDefault="00241417" w:rsidP="003A71DE">
            <w:pPr>
              <w:pStyle w:val="TAC"/>
            </w:pPr>
            <w:r>
              <w:rPr>
                <w:lang w:eastAsia="zh-CN"/>
              </w:rPr>
              <w:t>D-FR1-A.2.3-4</w:t>
            </w:r>
          </w:p>
        </w:tc>
        <w:tc>
          <w:tcPr>
            <w:tcW w:w="850" w:type="dxa"/>
            <w:vAlign w:val="center"/>
          </w:tcPr>
          <w:p w14:paraId="12DA9110" w14:textId="77777777" w:rsidR="00241417" w:rsidRPr="00081D0D" w:rsidRDefault="00241417" w:rsidP="003A71DE">
            <w:pPr>
              <w:pStyle w:val="TAC"/>
              <w:rPr>
                <w:lang w:eastAsia="zh-CN"/>
              </w:rPr>
            </w:pPr>
            <w:r w:rsidRPr="00081D0D">
              <w:rPr>
                <w:rFonts w:hint="eastAsia"/>
                <w:lang w:eastAsia="zh-CN"/>
              </w:rPr>
              <w:t>-0.2</w:t>
            </w:r>
          </w:p>
        </w:tc>
      </w:tr>
      <w:tr w:rsidR="00241417" w:rsidRPr="00081D0D" w14:paraId="7510D475" w14:textId="77777777" w:rsidTr="003A71DE">
        <w:trPr>
          <w:cantSplit/>
          <w:jc w:val="center"/>
        </w:trPr>
        <w:tc>
          <w:tcPr>
            <w:tcW w:w="1007" w:type="dxa"/>
            <w:vMerge/>
            <w:vAlign w:val="center"/>
          </w:tcPr>
          <w:p w14:paraId="056BE826" w14:textId="77777777" w:rsidR="00241417" w:rsidRPr="00081D0D" w:rsidRDefault="00241417" w:rsidP="003A71DE">
            <w:pPr>
              <w:pStyle w:val="TAC"/>
              <w:rPr>
                <w:lang w:eastAsia="zh-CN"/>
              </w:rPr>
            </w:pPr>
          </w:p>
        </w:tc>
        <w:tc>
          <w:tcPr>
            <w:tcW w:w="1094" w:type="dxa"/>
            <w:vAlign w:val="center"/>
          </w:tcPr>
          <w:p w14:paraId="17B59DD9" w14:textId="77777777" w:rsidR="00241417" w:rsidRPr="00081D0D" w:rsidRDefault="00241417" w:rsidP="003A71DE">
            <w:pPr>
              <w:pStyle w:val="TAC"/>
            </w:pPr>
            <w:r w:rsidRPr="00081D0D">
              <w:t>2</w:t>
            </w:r>
          </w:p>
        </w:tc>
        <w:tc>
          <w:tcPr>
            <w:tcW w:w="1973" w:type="dxa"/>
            <w:vAlign w:val="center"/>
          </w:tcPr>
          <w:p w14:paraId="2D754F78"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08768CEF" w14:textId="77777777" w:rsidR="00241417" w:rsidRPr="00081D0D" w:rsidRDefault="00241417" w:rsidP="003A71DE">
            <w:pPr>
              <w:pStyle w:val="TAC"/>
            </w:pPr>
            <w:r w:rsidRPr="00081D0D">
              <w:rPr>
                <w:lang w:eastAsia="zh-CN"/>
              </w:rPr>
              <w:t>40(20,20)</w:t>
            </w:r>
          </w:p>
        </w:tc>
        <w:tc>
          <w:tcPr>
            <w:tcW w:w="1406" w:type="dxa"/>
            <w:vAlign w:val="center"/>
          </w:tcPr>
          <w:p w14:paraId="4709543D" w14:textId="77777777" w:rsidR="00241417" w:rsidRPr="00081D0D" w:rsidRDefault="00241417" w:rsidP="003A71DE">
            <w:pPr>
              <w:pStyle w:val="TAC"/>
            </w:pPr>
            <w:r w:rsidRPr="00081D0D">
              <w:rPr>
                <w:lang w:eastAsia="zh-CN"/>
              </w:rPr>
              <w:t>pos1</w:t>
            </w:r>
          </w:p>
        </w:tc>
        <w:tc>
          <w:tcPr>
            <w:tcW w:w="1400" w:type="dxa"/>
            <w:vAlign w:val="center"/>
          </w:tcPr>
          <w:p w14:paraId="4BF17077" w14:textId="77777777" w:rsidR="00241417" w:rsidRPr="00081D0D" w:rsidRDefault="00241417" w:rsidP="003A71DE">
            <w:pPr>
              <w:pStyle w:val="TAC"/>
              <w:rPr>
                <w:lang w:eastAsia="zh-CN"/>
              </w:rPr>
            </w:pPr>
            <w:r>
              <w:rPr>
                <w:lang w:eastAsia="zh-CN"/>
              </w:rPr>
              <w:t>D-FR1-A.2.3-4</w:t>
            </w:r>
          </w:p>
        </w:tc>
        <w:tc>
          <w:tcPr>
            <w:tcW w:w="850" w:type="dxa"/>
            <w:vAlign w:val="center"/>
          </w:tcPr>
          <w:p w14:paraId="087469F0" w14:textId="77777777" w:rsidR="00241417" w:rsidRPr="00081D0D" w:rsidRDefault="00241417" w:rsidP="003A71DE">
            <w:pPr>
              <w:pStyle w:val="TAC"/>
              <w:rPr>
                <w:lang w:eastAsia="zh-CN"/>
              </w:rPr>
            </w:pPr>
            <w:r w:rsidRPr="00081D0D">
              <w:rPr>
                <w:lang w:eastAsia="zh-CN"/>
              </w:rPr>
              <w:t>2.</w:t>
            </w:r>
            <w:r w:rsidRPr="00081D0D">
              <w:rPr>
                <w:rFonts w:hint="eastAsia"/>
                <w:lang w:eastAsia="zh-CN"/>
              </w:rPr>
              <w:t>4</w:t>
            </w:r>
          </w:p>
        </w:tc>
      </w:tr>
    </w:tbl>
    <w:p w14:paraId="21B37628" w14:textId="77777777" w:rsidR="00241417" w:rsidRPr="00081D0D" w:rsidRDefault="00241417" w:rsidP="00241417">
      <w:pPr>
        <w:rPr>
          <w:lang w:eastAsia="zh-CN"/>
        </w:rPr>
      </w:pPr>
    </w:p>
    <w:p w14:paraId="7CC89480" w14:textId="77777777" w:rsidR="00241417" w:rsidRPr="00B054F4" w:rsidRDefault="00241417" w:rsidP="00241417">
      <w:pPr>
        <w:pStyle w:val="TH"/>
        <w:rPr>
          <w:lang w:eastAsia="zh-CN"/>
        </w:rPr>
      </w:pPr>
      <w:r w:rsidRPr="00B054F4">
        <w:t xml:space="preserve">Table </w:t>
      </w:r>
      <w:r w:rsidRPr="00B054F4">
        <w:rPr>
          <w:lang w:eastAsia="zh-CN"/>
        </w:rPr>
        <w:t>8.1.2.3.2-4</w:t>
      </w:r>
      <w:r w:rsidRPr="00B054F4">
        <w:t xml:space="preserve">: Minimum requirements for </w:t>
      </w:r>
      <w:r w:rsidRPr="00B054F4">
        <w:rPr>
          <w:lang w:eastAsia="zh-CN"/>
        </w:rPr>
        <w:t xml:space="preserve">UCI multiplexed on </w:t>
      </w:r>
      <w:r w:rsidRPr="00B054F4">
        <w:t>PUSCH,</w:t>
      </w:r>
      <w:r w:rsidRPr="00B054F4">
        <w:rPr>
          <w:lang w:eastAsia="zh-CN"/>
        </w:rPr>
        <w:t xml:space="preserve"> Type B, CSI part 2, </w:t>
      </w:r>
      <w:r w:rsidRPr="00B054F4">
        <w:t>10 MHz Channel Bandwidth</w:t>
      </w:r>
      <w:r w:rsidRPr="00B054F4">
        <w:rPr>
          <w:lang w:eastAsia="zh-CN"/>
        </w:rPr>
        <w:t>, 30 kHz SCS</w:t>
      </w:r>
    </w:p>
    <w:tbl>
      <w:tblPr>
        <w:tblStyle w:val="TableGrid7"/>
        <w:tblW w:w="8906" w:type="dxa"/>
        <w:jc w:val="center"/>
        <w:tblLayout w:type="fixed"/>
        <w:tblLook w:val="04A0" w:firstRow="1" w:lastRow="0" w:firstColumn="1" w:lastColumn="0" w:noHBand="0" w:noVBand="1"/>
      </w:tblPr>
      <w:tblGrid>
        <w:gridCol w:w="1007"/>
        <w:gridCol w:w="1094"/>
        <w:gridCol w:w="1973"/>
        <w:gridCol w:w="1176"/>
        <w:gridCol w:w="1406"/>
        <w:gridCol w:w="1400"/>
        <w:gridCol w:w="850"/>
      </w:tblGrid>
      <w:tr w:rsidR="00241417" w:rsidRPr="00081D0D" w14:paraId="4977BB84" w14:textId="77777777" w:rsidTr="003A71DE">
        <w:trPr>
          <w:cantSplit/>
          <w:jc w:val="center"/>
        </w:trPr>
        <w:tc>
          <w:tcPr>
            <w:tcW w:w="1007" w:type="dxa"/>
            <w:tcBorders>
              <w:bottom w:val="single" w:sz="4" w:space="0" w:color="auto"/>
            </w:tcBorders>
            <w:vAlign w:val="center"/>
          </w:tcPr>
          <w:p w14:paraId="35F5E6A4" w14:textId="77777777" w:rsidR="00241417" w:rsidRPr="00081D0D" w:rsidRDefault="00241417" w:rsidP="003A71DE">
            <w:pPr>
              <w:pStyle w:val="TAH"/>
            </w:pPr>
            <w:r w:rsidRPr="00081D0D">
              <w:t>Number of TX antennas</w:t>
            </w:r>
          </w:p>
        </w:tc>
        <w:tc>
          <w:tcPr>
            <w:tcW w:w="1094" w:type="dxa"/>
            <w:vAlign w:val="center"/>
          </w:tcPr>
          <w:p w14:paraId="359DEA09" w14:textId="77777777" w:rsidR="00241417" w:rsidRPr="00081D0D" w:rsidRDefault="00241417" w:rsidP="003A71DE">
            <w:pPr>
              <w:pStyle w:val="TAH"/>
            </w:pPr>
            <w:r w:rsidRPr="00081D0D">
              <w:t xml:space="preserve">Number of </w:t>
            </w:r>
            <w:r>
              <w:t>Demodulation Branches</w:t>
            </w:r>
          </w:p>
        </w:tc>
        <w:tc>
          <w:tcPr>
            <w:tcW w:w="1973" w:type="dxa"/>
            <w:vAlign w:val="center"/>
          </w:tcPr>
          <w:p w14:paraId="0628278D" w14:textId="761A2C5D" w:rsidR="00241417" w:rsidRPr="00081D0D" w:rsidRDefault="00241417" w:rsidP="003A71DE">
            <w:pPr>
              <w:pStyle w:val="TAH"/>
            </w:pPr>
            <w:r w:rsidRPr="00081D0D">
              <w:t xml:space="preserve">Propagation conditions and correlation matrix (Annex </w:t>
            </w:r>
            <w:r>
              <w:t>TBA</w:t>
            </w:r>
            <w:r w:rsidRPr="00081D0D">
              <w:t>)</w:t>
            </w:r>
          </w:p>
        </w:tc>
        <w:tc>
          <w:tcPr>
            <w:tcW w:w="1176" w:type="dxa"/>
            <w:vAlign w:val="center"/>
          </w:tcPr>
          <w:p w14:paraId="4D81FC40" w14:textId="77777777" w:rsidR="00241417" w:rsidRPr="00081D0D" w:rsidRDefault="00241417" w:rsidP="003A71DE">
            <w:pPr>
              <w:pStyle w:val="TAH"/>
            </w:pPr>
            <w:r w:rsidRPr="00081D0D">
              <w:t>UCI bits</w:t>
            </w:r>
          </w:p>
          <w:p w14:paraId="0EB70DA7" w14:textId="77777777" w:rsidR="00241417" w:rsidRPr="00081D0D" w:rsidRDefault="00241417" w:rsidP="003A71DE">
            <w:pPr>
              <w:pStyle w:val="TAH"/>
            </w:pPr>
            <w:r w:rsidRPr="00081D0D">
              <w:t>(CSI part 1, CSI part 2)</w:t>
            </w:r>
          </w:p>
        </w:tc>
        <w:tc>
          <w:tcPr>
            <w:tcW w:w="1406" w:type="dxa"/>
            <w:vAlign w:val="center"/>
          </w:tcPr>
          <w:p w14:paraId="1F937073" w14:textId="77777777" w:rsidR="00241417" w:rsidRPr="00081D0D" w:rsidRDefault="00241417" w:rsidP="003A71DE">
            <w:pPr>
              <w:pStyle w:val="TAH"/>
            </w:pPr>
            <w:r w:rsidRPr="00081D0D">
              <w:t>Additional DM-RS position</w:t>
            </w:r>
          </w:p>
        </w:tc>
        <w:tc>
          <w:tcPr>
            <w:tcW w:w="1400" w:type="dxa"/>
            <w:vAlign w:val="center"/>
          </w:tcPr>
          <w:p w14:paraId="764DA8C4" w14:textId="77777777" w:rsidR="00241417" w:rsidRPr="00081D0D" w:rsidRDefault="00241417" w:rsidP="003A71DE">
            <w:pPr>
              <w:pStyle w:val="TAH"/>
            </w:pPr>
            <w:r w:rsidRPr="00081D0D">
              <w:t>FRC</w:t>
            </w:r>
          </w:p>
          <w:p w14:paraId="1C5061DD" w14:textId="77777777" w:rsidR="00241417" w:rsidRPr="00081D0D" w:rsidRDefault="00241417" w:rsidP="003A71DE">
            <w:pPr>
              <w:pStyle w:val="TAH"/>
            </w:pPr>
            <w:r w:rsidRPr="00081D0D">
              <w:t>(Annex A)</w:t>
            </w:r>
          </w:p>
        </w:tc>
        <w:tc>
          <w:tcPr>
            <w:tcW w:w="850" w:type="dxa"/>
            <w:vAlign w:val="center"/>
          </w:tcPr>
          <w:p w14:paraId="52C71C19" w14:textId="77777777" w:rsidR="00241417" w:rsidRPr="00081D0D" w:rsidRDefault="00241417" w:rsidP="003A71DE">
            <w:pPr>
              <w:pStyle w:val="TAH"/>
            </w:pPr>
            <w:r w:rsidRPr="00081D0D">
              <w:t>SNR</w:t>
            </w:r>
          </w:p>
          <w:p w14:paraId="3B8DC97E" w14:textId="77777777" w:rsidR="00241417" w:rsidRPr="00081D0D" w:rsidRDefault="00241417" w:rsidP="003A71DE">
            <w:pPr>
              <w:pStyle w:val="TAH"/>
            </w:pPr>
            <w:r w:rsidRPr="00081D0D">
              <w:t>(dB)</w:t>
            </w:r>
          </w:p>
        </w:tc>
      </w:tr>
      <w:tr w:rsidR="00241417" w:rsidRPr="00081D0D" w14:paraId="2DC754E9" w14:textId="77777777" w:rsidTr="003A71DE">
        <w:trPr>
          <w:cantSplit/>
          <w:jc w:val="center"/>
        </w:trPr>
        <w:tc>
          <w:tcPr>
            <w:tcW w:w="1007" w:type="dxa"/>
            <w:vMerge w:val="restart"/>
            <w:vAlign w:val="center"/>
          </w:tcPr>
          <w:p w14:paraId="1161A181" w14:textId="77777777" w:rsidR="00241417" w:rsidRPr="00081D0D" w:rsidRDefault="00241417" w:rsidP="003A71DE">
            <w:pPr>
              <w:pStyle w:val="TAC"/>
              <w:rPr>
                <w:lang w:eastAsia="zh-CN"/>
              </w:rPr>
            </w:pPr>
            <w:r w:rsidRPr="00081D0D">
              <w:t>1</w:t>
            </w:r>
          </w:p>
        </w:tc>
        <w:tc>
          <w:tcPr>
            <w:tcW w:w="1094" w:type="dxa"/>
            <w:vAlign w:val="center"/>
          </w:tcPr>
          <w:p w14:paraId="697D9093" w14:textId="77777777" w:rsidR="00241417" w:rsidRPr="00081D0D" w:rsidRDefault="00241417" w:rsidP="003A71DE">
            <w:pPr>
              <w:pStyle w:val="TAC"/>
              <w:rPr>
                <w:lang w:eastAsia="zh-CN"/>
              </w:rPr>
            </w:pPr>
            <w:r w:rsidRPr="00081D0D">
              <w:t>2</w:t>
            </w:r>
          </w:p>
        </w:tc>
        <w:tc>
          <w:tcPr>
            <w:tcW w:w="1973" w:type="dxa"/>
            <w:vAlign w:val="center"/>
          </w:tcPr>
          <w:p w14:paraId="112058E2"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20FE84C9" w14:textId="77777777" w:rsidR="00241417" w:rsidRPr="00081D0D" w:rsidRDefault="00241417" w:rsidP="003A71DE">
            <w:pPr>
              <w:pStyle w:val="TAC"/>
            </w:pPr>
            <w:r w:rsidRPr="00081D0D">
              <w:t>7</w:t>
            </w:r>
            <w:r w:rsidRPr="00081D0D">
              <w:rPr>
                <w:lang w:eastAsia="zh-CN"/>
              </w:rPr>
              <w:t>(5,2)</w:t>
            </w:r>
          </w:p>
        </w:tc>
        <w:tc>
          <w:tcPr>
            <w:tcW w:w="1406" w:type="dxa"/>
            <w:vAlign w:val="center"/>
          </w:tcPr>
          <w:p w14:paraId="5F38CCB6" w14:textId="77777777" w:rsidR="00241417" w:rsidRPr="00081D0D" w:rsidRDefault="00241417" w:rsidP="003A71DE">
            <w:pPr>
              <w:pStyle w:val="TAC"/>
            </w:pPr>
            <w:r w:rsidRPr="00081D0D">
              <w:t>pos1</w:t>
            </w:r>
          </w:p>
        </w:tc>
        <w:tc>
          <w:tcPr>
            <w:tcW w:w="1400" w:type="dxa"/>
            <w:vAlign w:val="center"/>
          </w:tcPr>
          <w:p w14:paraId="21125D14" w14:textId="77777777" w:rsidR="00241417" w:rsidRPr="00081D0D" w:rsidRDefault="00241417" w:rsidP="003A71DE">
            <w:pPr>
              <w:pStyle w:val="TAC"/>
            </w:pPr>
            <w:r>
              <w:rPr>
                <w:lang w:eastAsia="zh-CN"/>
              </w:rPr>
              <w:t>D-FR1-A.2.3-4</w:t>
            </w:r>
          </w:p>
        </w:tc>
        <w:tc>
          <w:tcPr>
            <w:tcW w:w="850" w:type="dxa"/>
            <w:vAlign w:val="center"/>
          </w:tcPr>
          <w:p w14:paraId="58897E83" w14:textId="77777777" w:rsidR="00241417" w:rsidRPr="00081D0D" w:rsidRDefault="00241417" w:rsidP="003A71DE">
            <w:pPr>
              <w:pStyle w:val="TAC"/>
              <w:rPr>
                <w:lang w:eastAsia="zh-CN"/>
              </w:rPr>
            </w:pPr>
            <w:r w:rsidRPr="00081D0D">
              <w:rPr>
                <w:lang w:eastAsia="zh-CN"/>
              </w:rPr>
              <w:t>0.</w:t>
            </w:r>
            <w:r w:rsidRPr="00081D0D">
              <w:rPr>
                <w:rFonts w:hint="eastAsia"/>
                <w:lang w:eastAsia="zh-CN"/>
              </w:rPr>
              <w:t>3</w:t>
            </w:r>
          </w:p>
        </w:tc>
      </w:tr>
      <w:tr w:rsidR="00241417" w:rsidRPr="00081D0D" w14:paraId="2727298B" w14:textId="77777777" w:rsidTr="003A71DE">
        <w:trPr>
          <w:cantSplit/>
          <w:jc w:val="center"/>
        </w:trPr>
        <w:tc>
          <w:tcPr>
            <w:tcW w:w="1007" w:type="dxa"/>
            <w:vMerge/>
            <w:vAlign w:val="center"/>
          </w:tcPr>
          <w:p w14:paraId="53114902" w14:textId="77777777" w:rsidR="00241417" w:rsidRPr="00081D0D" w:rsidRDefault="00241417" w:rsidP="003A71DE">
            <w:pPr>
              <w:pStyle w:val="TAC"/>
              <w:rPr>
                <w:lang w:eastAsia="zh-CN"/>
              </w:rPr>
            </w:pPr>
          </w:p>
        </w:tc>
        <w:tc>
          <w:tcPr>
            <w:tcW w:w="1094" w:type="dxa"/>
            <w:vAlign w:val="center"/>
          </w:tcPr>
          <w:p w14:paraId="592AADD0" w14:textId="77777777" w:rsidR="00241417" w:rsidRPr="00081D0D" w:rsidRDefault="00241417" w:rsidP="003A71DE">
            <w:pPr>
              <w:pStyle w:val="TAC"/>
            </w:pPr>
            <w:r w:rsidRPr="00081D0D">
              <w:t>2</w:t>
            </w:r>
          </w:p>
        </w:tc>
        <w:tc>
          <w:tcPr>
            <w:tcW w:w="1973" w:type="dxa"/>
            <w:vAlign w:val="center"/>
          </w:tcPr>
          <w:p w14:paraId="555AE778" w14:textId="77777777" w:rsidR="00241417" w:rsidRPr="00081D0D" w:rsidRDefault="00241417" w:rsidP="003A71DE">
            <w:pPr>
              <w:pStyle w:val="TAC"/>
            </w:pPr>
            <w:r w:rsidRPr="00081D0D">
              <w:t>TDL</w:t>
            </w:r>
            <w:r w:rsidRPr="00081D0D">
              <w:rPr>
                <w:lang w:eastAsia="zh-CN"/>
              </w:rPr>
              <w:t>C</w:t>
            </w:r>
            <w:r w:rsidRPr="00081D0D">
              <w:t>30</w:t>
            </w:r>
            <w:r w:rsidRPr="00081D0D">
              <w:rPr>
                <w:lang w:eastAsia="zh-CN"/>
              </w:rPr>
              <w:t>0</w:t>
            </w:r>
            <w:r w:rsidRPr="00081D0D">
              <w:t>-</w:t>
            </w:r>
            <w:r w:rsidRPr="00081D0D">
              <w:rPr>
                <w:lang w:eastAsia="zh-CN"/>
              </w:rPr>
              <w:t>1</w:t>
            </w:r>
            <w:r w:rsidRPr="00081D0D">
              <w:t>00</w:t>
            </w:r>
            <w:r w:rsidRPr="00081D0D">
              <w:rPr>
                <w:lang w:eastAsia="zh-CN"/>
              </w:rPr>
              <w:t xml:space="preserve"> Low</w:t>
            </w:r>
          </w:p>
        </w:tc>
        <w:tc>
          <w:tcPr>
            <w:tcW w:w="1176" w:type="dxa"/>
            <w:vAlign w:val="center"/>
          </w:tcPr>
          <w:p w14:paraId="1B6EB772" w14:textId="77777777" w:rsidR="00241417" w:rsidRPr="00081D0D" w:rsidRDefault="00241417" w:rsidP="003A71DE">
            <w:pPr>
              <w:pStyle w:val="TAC"/>
            </w:pPr>
            <w:r w:rsidRPr="00081D0D">
              <w:rPr>
                <w:lang w:eastAsia="zh-CN"/>
              </w:rPr>
              <w:t>40(20,20)</w:t>
            </w:r>
          </w:p>
        </w:tc>
        <w:tc>
          <w:tcPr>
            <w:tcW w:w="1406" w:type="dxa"/>
            <w:vAlign w:val="center"/>
          </w:tcPr>
          <w:p w14:paraId="01804385" w14:textId="77777777" w:rsidR="00241417" w:rsidRPr="00081D0D" w:rsidRDefault="00241417" w:rsidP="003A71DE">
            <w:pPr>
              <w:pStyle w:val="TAC"/>
            </w:pPr>
            <w:r w:rsidRPr="00081D0D">
              <w:rPr>
                <w:lang w:eastAsia="zh-CN"/>
              </w:rPr>
              <w:t>pos1</w:t>
            </w:r>
          </w:p>
        </w:tc>
        <w:tc>
          <w:tcPr>
            <w:tcW w:w="1400" w:type="dxa"/>
            <w:vAlign w:val="center"/>
          </w:tcPr>
          <w:p w14:paraId="30AAF426" w14:textId="77777777" w:rsidR="00241417" w:rsidRPr="00081D0D" w:rsidRDefault="00241417" w:rsidP="003A71DE">
            <w:pPr>
              <w:pStyle w:val="TAC"/>
              <w:rPr>
                <w:lang w:eastAsia="zh-CN"/>
              </w:rPr>
            </w:pPr>
            <w:r>
              <w:rPr>
                <w:lang w:eastAsia="zh-CN"/>
              </w:rPr>
              <w:t>D-FR1-A.2.3-4</w:t>
            </w:r>
          </w:p>
        </w:tc>
        <w:tc>
          <w:tcPr>
            <w:tcW w:w="850" w:type="dxa"/>
            <w:vAlign w:val="center"/>
          </w:tcPr>
          <w:p w14:paraId="29651D70" w14:textId="77777777" w:rsidR="00241417" w:rsidRPr="00081D0D" w:rsidRDefault="00241417" w:rsidP="003A71DE">
            <w:pPr>
              <w:pStyle w:val="TAC"/>
              <w:rPr>
                <w:lang w:eastAsia="zh-CN"/>
              </w:rPr>
            </w:pPr>
            <w:r w:rsidRPr="00081D0D">
              <w:rPr>
                <w:lang w:eastAsia="zh-CN"/>
              </w:rPr>
              <w:t>2.</w:t>
            </w:r>
            <w:r w:rsidRPr="00081D0D">
              <w:rPr>
                <w:rFonts w:hint="eastAsia"/>
                <w:lang w:eastAsia="zh-CN"/>
              </w:rPr>
              <w:t>6</w:t>
            </w:r>
          </w:p>
        </w:tc>
      </w:tr>
    </w:tbl>
    <w:p w14:paraId="24717F25" w14:textId="77777777" w:rsidR="00241417" w:rsidRPr="00081D0D" w:rsidRDefault="00241417" w:rsidP="00241417">
      <w:pPr>
        <w:rPr>
          <w:lang w:eastAsia="zh-CN"/>
        </w:rPr>
      </w:pPr>
    </w:p>
    <w:p w14:paraId="31276EC5" w14:textId="77777777" w:rsidR="00241417" w:rsidRPr="00DD4DE9" w:rsidRDefault="00241417" w:rsidP="00241417">
      <w:pPr>
        <w:pStyle w:val="Heading3"/>
      </w:pPr>
      <w:bookmarkStart w:id="3525" w:name="_Toc74583251"/>
      <w:bookmarkStart w:id="3526" w:name="_Toc76542064"/>
      <w:bookmarkStart w:id="3527" w:name="_Toc82450046"/>
      <w:bookmarkStart w:id="3528" w:name="_Toc82450694"/>
      <w:bookmarkStart w:id="3529" w:name="_Toc89949083"/>
      <w:bookmarkStart w:id="3530" w:name="_Toc98755472"/>
      <w:bookmarkStart w:id="3531" w:name="_Toc98763063"/>
      <w:bookmarkStart w:id="3532" w:name="_Toc106183992"/>
      <w:r>
        <w:t>8</w:t>
      </w:r>
      <w:r w:rsidRPr="00DD4DE9">
        <w:t>.</w:t>
      </w:r>
      <w:r>
        <w:t>1</w:t>
      </w:r>
      <w:r w:rsidRPr="00DD4DE9">
        <w:t>.</w:t>
      </w:r>
      <w:r>
        <w:t>3</w:t>
      </w:r>
      <w:r w:rsidRPr="00DD4DE9">
        <w:tab/>
      </w:r>
      <w:r>
        <w:t>Performance requirements for PUCCH</w:t>
      </w:r>
      <w:bookmarkEnd w:id="3525"/>
      <w:bookmarkEnd w:id="3526"/>
      <w:bookmarkEnd w:id="3527"/>
      <w:bookmarkEnd w:id="3528"/>
      <w:bookmarkEnd w:id="3529"/>
      <w:bookmarkEnd w:id="3530"/>
      <w:bookmarkEnd w:id="3531"/>
      <w:bookmarkEnd w:id="3532"/>
      <w:r w:rsidRPr="00DD4DE9">
        <w:t xml:space="preserve"> </w:t>
      </w:r>
    </w:p>
    <w:p w14:paraId="50D13FDD" w14:textId="77777777" w:rsidR="00241417" w:rsidRDefault="00241417" w:rsidP="00241417">
      <w:pPr>
        <w:pStyle w:val="Heading4"/>
        <w:rPr>
          <w:rFonts w:eastAsia="Malgun Gothic"/>
        </w:rPr>
      </w:pPr>
      <w:bookmarkStart w:id="3533" w:name="_Toc74583252"/>
      <w:bookmarkStart w:id="3534" w:name="_Toc76542065"/>
      <w:bookmarkStart w:id="3535" w:name="_Toc82450047"/>
      <w:bookmarkStart w:id="3536" w:name="_Toc82450695"/>
      <w:bookmarkStart w:id="3537" w:name="_Toc89949084"/>
      <w:bookmarkStart w:id="3538" w:name="_Toc98755473"/>
      <w:bookmarkStart w:id="3539" w:name="_Toc98763064"/>
      <w:bookmarkStart w:id="3540" w:name="_Toc106183993"/>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.1</w:t>
      </w:r>
      <w:r w:rsidRPr="00B454A0">
        <w:rPr>
          <w:rFonts w:eastAsia="Malgun Gothic"/>
        </w:rPr>
        <w:tab/>
      </w:r>
      <w:r>
        <w:rPr>
          <w:rFonts w:eastAsia="Malgun Gothic"/>
        </w:rPr>
        <w:t>DTX to ACK probability</w:t>
      </w:r>
      <w:bookmarkEnd w:id="3533"/>
      <w:bookmarkEnd w:id="3534"/>
      <w:bookmarkEnd w:id="3535"/>
      <w:bookmarkEnd w:id="3536"/>
      <w:bookmarkEnd w:id="3537"/>
      <w:bookmarkEnd w:id="3538"/>
      <w:bookmarkEnd w:id="3539"/>
      <w:bookmarkEnd w:id="3540"/>
    </w:p>
    <w:p w14:paraId="068BDDA3" w14:textId="77777777" w:rsidR="00241417" w:rsidRDefault="00241417" w:rsidP="00241417">
      <w:pPr>
        <w:pStyle w:val="Heading5"/>
      </w:pPr>
      <w:bookmarkStart w:id="3541" w:name="_Toc74583253"/>
      <w:bookmarkStart w:id="3542" w:name="_Toc76542066"/>
      <w:bookmarkStart w:id="3543" w:name="_Toc82450048"/>
      <w:bookmarkStart w:id="3544" w:name="_Toc82450696"/>
      <w:bookmarkStart w:id="3545" w:name="_Toc89949085"/>
      <w:bookmarkStart w:id="3546" w:name="_Toc98755474"/>
      <w:bookmarkStart w:id="3547" w:name="_Toc98763065"/>
      <w:bookmarkStart w:id="3548" w:name="_Toc106183994"/>
      <w:r>
        <w:t>8</w:t>
      </w:r>
      <w:r w:rsidRPr="00EE4A40">
        <w:t>.</w:t>
      </w:r>
      <w:r>
        <w:t>1</w:t>
      </w:r>
      <w:r w:rsidRPr="00EE4A40">
        <w:t>.</w:t>
      </w:r>
      <w:r>
        <w:t>3</w:t>
      </w:r>
      <w:r w:rsidRPr="00EE4A40">
        <w:t>.</w:t>
      </w:r>
      <w:r>
        <w:t>1</w:t>
      </w:r>
      <w:r w:rsidRPr="00EE4A40">
        <w:t>.</w:t>
      </w:r>
      <w:r>
        <w:t>1</w:t>
      </w:r>
      <w:r>
        <w:tab/>
        <w:t>General</w:t>
      </w:r>
      <w:bookmarkEnd w:id="3541"/>
      <w:bookmarkEnd w:id="3542"/>
      <w:bookmarkEnd w:id="3543"/>
      <w:bookmarkEnd w:id="3544"/>
      <w:bookmarkEnd w:id="3545"/>
      <w:bookmarkEnd w:id="3546"/>
      <w:bookmarkEnd w:id="3547"/>
      <w:bookmarkEnd w:id="3548"/>
    </w:p>
    <w:p w14:paraId="3EC27801" w14:textId="77777777" w:rsidR="00241417" w:rsidRPr="00B054F4" w:rsidRDefault="00241417" w:rsidP="00241417">
      <w:r w:rsidRPr="00B054F4">
        <w:t>The DTX to ACK probability, i.e. the probability that ACK is detected when nothing was sent:</w:t>
      </w:r>
    </w:p>
    <w:p w14:paraId="45828445" w14:textId="77777777" w:rsidR="00241417" w:rsidRPr="009F6FE2" w:rsidRDefault="00241417" w:rsidP="00241417">
      <w:pPr>
        <w:pStyle w:val="EQ"/>
      </w:pPr>
      <w:r w:rsidRPr="00B054F4">
        <w:tab/>
      </w:r>
      <m:oMath>
        <m:r>
          <m:rPr>
            <m:sty m:val="p"/>
          </m:rPr>
          <w:rPr>
            <w:rFonts w:ascii="Cambria Math" w:hAnsi="Cambria Math"/>
          </w:rPr>
          <m:t>Prob</m:t>
        </m:r>
        <m:d>
          <m:dPr>
            <m:ctrlPr>
              <w:rPr>
                <w:rFonts w:ascii="Cambria Math" w:hAnsi="Cambria Math"/>
              </w:rPr>
            </m:ctrlPr>
          </m:dPr>
          <m:e>
            <m:r>
              <m:rPr>
                <m:sty m:val="p"/>
              </m:rPr>
              <w:rPr>
                <w:rFonts w:ascii="Cambria Math" w:hAnsi="Cambria Math" w:hint="eastAsia"/>
              </w:rPr>
              <m:t>PUCCH DTX→Ack bits</m:t>
            </m:r>
          </m:e>
        </m:d>
        <m:r>
          <m:rPr>
            <m:sty m:val="p"/>
          </m:rPr>
          <w:rPr>
            <w:rFonts w:ascii="Cambria Math" w:hAnsi="Cambria Math"/>
          </w:rPr>
          <m:t xml:space="preserve">= </m:t>
        </m:r>
        <m:f>
          <m:fPr>
            <m:ctrlPr>
              <w:rPr>
                <w:rFonts w:ascii="Cambria Math" w:hAnsi="Cambria Math"/>
              </w:rPr>
            </m:ctrlPr>
          </m:fPr>
          <m:num>
            <m:r>
              <m:rPr>
                <m:sty m:val="p"/>
              </m:rPr>
              <w:rPr>
                <w:rFonts w:ascii="Cambria Math" w:hAnsi="Cambria Math"/>
              </w:rPr>
              <m:t>#(</m:t>
            </m:r>
            <m:r>
              <w:rPr>
                <w:rFonts w:ascii="Cambria Math" w:hAnsi="Cambria Math"/>
              </w:rPr>
              <m:t>false</m:t>
            </m:r>
            <m:r>
              <m:rPr>
                <m:sty m:val="p"/>
              </m:rPr>
              <w:rPr>
                <w:rFonts w:ascii="Cambria Math" w:hAnsi="Cambria Math"/>
              </w:rPr>
              <m:t xml:space="preserve"> </m:t>
            </m:r>
            <m:r>
              <w:rPr>
                <w:rFonts w:ascii="Cambria Math" w:hAnsi="Cambria Math"/>
              </w:rPr>
              <m:t>ACK</m:t>
            </m:r>
            <m:r>
              <m:rPr>
                <m:sty m:val="p"/>
              </m:rPr>
              <w:rPr>
                <w:rFonts w:ascii="Cambria Math" w:hAnsi="Cambria Math"/>
              </w:rPr>
              <m:t xml:space="preserve"> </m:t>
            </m:r>
            <m:r>
              <w:rPr>
                <w:rFonts w:ascii="Cambria Math" w:hAnsi="Cambria Math"/>
              </w:rPr>
              <m:t>bits</m:t>
            </m:r>
            <m:r>
              <m:rPr>
                <m:sty m:val="p"/>
              </m:rPr>
              <w:rPr>
                <w:rFonts w:ascii="Cambria Math" w:hAnsi="Cambria Math"/>
              </w:rPr>
              <m:t>)</m:t>
            </m:r>
          </m:num>
          <m:den>
            <m:r>
              <m:rPr>
                <m:sty m:val="p"/>
              </m:rPr>
              <w:rPr>
                <w:rFonts w:ascii="Cambria Math" w:hAnsi="Cambria Math"/>
              </w:rPr>
              <m:t>#</m:t>
            </m:r>
            <m:d>
              <m:dPr>
                <m:ctrlPr>
                  <w:rPr>
                    <w:rFonts w:ascii="Cambria Math" w:hAnsi="Cambria Math"/>
                  </w:rPr>
                </m:ctrlPr>
              </m:dPr>
              <m:e>
                <m:r>
                  <m:rPr>
                    <m:sty m:val="p"/>
                  </m:rPr>
                  <w:rPr>
                    <w:rFonts w:ascii="Cambria Math" w:hAnsi="Cambria Math"/>
                  </w:rPr>
                  <m:t>PUCCH DTX</m:t>
                </m:r>
              </m:e>
            </m:d>
            <m:r>
              <m:rPr>
                <m:sty m:val="p"/>
              </m:rPr>
              <w:rPr>
                <w:rFonts w:ascii="Cambria Math" w:hAnsi="Cambria Math"/>
              </w:rPr>
              <m:t>*#(</m:t>
            </m:r>
            <m:r>
              <w:rPr>
                <w:rFonts w:ascii="Cambria Math" w:hAnsi="Cambria Math"/>
              </w:rPr>
              <m:t>ACK</m:t>
            </m:r>
            <m:r>
              <m:rPr>
                <m:sty m:val="p"/>
              </m:rPr>
              <w:rPr>
                <w:rFonts w:ascii="Cambria Math" w:hAnsi="Cambria Math"/>
              </w:rPr>
              <m:t>/</m:t>
            </m:r>
            <m:r>
              <w:rPr>
                <w:rFonts w:ascii="Cambria Math" w:hAnsi="Cambria Math"/>
              </w:rPr>
              <m:t>NACK</m:t>
            </m:r>
            <m:r>
              <m:rPr>
                <m:sty m:val="p"/>
              </m:rPr>
              <w:rPr>
                <w:rFonts w:ascii="Cambria Math" w:hAnsi="Cambria Math"/>
              </w:rPr>
              <m:t xml:space="preserve"> </m:t>
            </m:r>
            <m:r>
              <w:rPr>
                <w:rFonts w:ascii="Cambria Math" w:hAnsi="Cambria Math"/>
              </w:rPr>
              <m:t>bits</m:t>
            </m:r>
            <m:r>
              <m:rPr>
                <m:sty m:val="p"/>
              </m:rPr>
              <w:rPr>
                <w:rFonts w:ascii="Cambria Math" w:hAnsi="Cambria Math"/>
              </w:rPr>
              <m:t>)</m:t>
            </m:r>
          </m:den>
        </m:f>
      </m:oMath>
    </w:p>
    <w:p w14:paraId="3B1936F7" w14:textId="77777777" w:rsidR="00241417" w:rsidRPr="00B054F4" w:rsidRDefault="00241417" w:rsidP="00241417">
      <w:pPr>
        <w:rPr>
          <w:rFonts w:eastAsia="SimSun"/>
        </w:rPr>
      </w:pPr>
      <w:r w:rsidRPr="009F6FE2">
        <w:rPr>
          <w:lang w:eastAsia="zh-CN"/>
        </w:rPr>
        <w:t>where:</w:t>
      </w:r>
    </w:p>
    <w:p w14:paraId="515E6AC9" w14:textId="77777777" w:rsidR="00241417" w:rsidRPr="006C7AF4" w:rsidRDefault="00241417" w:rsidP="00241417">
      <w:pPr>
        <w:pStyle w:val="B10"/>
        <w:rPr>
          <w:lang w:val="en-US"/>
        </w:rPr>
      </w:pPr>
      <w:r w:rsidRPr="006C7AF4">
        <w:rPr>
          <w:lang w:val="en-US"/>
        </w:rPr>
        <w:t>-</w:t>
      </w:r>
      <w:r w:rsidRPr="006C7AF4">
        <w:rPr>
          <w:lang w:val="en-US"/>
        </w:rPr>
        <w:tab/>
        <w:t>#(false ACK bits) denotes the number of detected ACK bits.</w:t>
      </w:r>
    </w:p>
    <w:p w14:paraId="2E337EAE" w14:textId="77777777" w:rsidR="00241417" w:rsidRPr="006C7AF4" w:rsidRDefault="00241417" w:rsidP="00241417">
      <w:pPr>
        <w:pStyle w:val="B10"/>
        <w:rPr>
          <w:lang w:val="en-US"/>
        </w:rPr>
      </w:pPr>
      <w:r w:rsidRPr="006C7AF4">
        <w:rPr>
          <w:lang w:val="en-US"/>
        </w:rPr>
        <w:t>-</w:t>
      </w:r>
      <w:r w:rsidRPr="006C7AF4">
        <w:rPr>
          <w:lang w:val="en-US"/>
        </w:rPr>
        <w:tab/>
        <w:t>#(ACK/NACK bits) denotes the number of encoded bits per slot</w:t>
      </w:r>
    </w:p>
    <w:p w14:paraId="088FB500" w14:textId="77777777" w:rsidR="00241417" w:rsidRPr="006C7AF4" w:rsidRDefault="00241417" w:rsidP="00241417">
      <w:pPr>
        <w:pStyle w:val="B10"/>
        <w:rPr>
          <w:lang w:val="en-US"/>
        </w:rPr>
      </w:pPr>
      <w:r w:rsidRPr="006C7AF4">
        <w:rPr>
          <w:lang w:val="en-US"/>
        </w:rPr>
        <w:t>-</w:t>
      </w:r>
      <w:r w:rsidRPr="006C7AF4">
        <w:rPr>
          <w:lang w:val="en-US"/>
        </w:rPr>
        <w:tab/>
        <w:t>#(PUCCH DTX) denotes the number of DTX occasions</w:t>
      </w:r>
    </w:p>
    <w:p w14:paraId="0C1F8809" w14:textId="77777777" w:rsidR="00241417" w:rsidRPr="006C7AF4" w:rsidRDefault="00241417" w:rsidP="00241417">
      <w:pPr>
        <w:rPr>
          <w:lang w:val="en-US"/>
        </w:rPr>
      </w:pPr>
    </w:p>
    <w:p w14:paraId="30B27C3D" w14:textId="77777777" w:rsidR="00241417" w:rsidRDefault="00241417" w:rsidP="00241417">
      <w:pPr>
        <w:pStyle w:val="Heading5"/>
      </w:pPr>
      <w:bookmarkStart w:id="3549" w:name="_Toc74583254"/>
      <w:bookmarkStart w:id="3550" w:name="_Toc76542067"/>
      <w:bookmarkStart w:id="3551" w:name="_Toc82450049"/>
      <w:bookmarkStart w:id="3552" w:name="_Toc82450697"/>
      <w:bookmarkStart w:id="3553" w:name="_Toc89949086"/>
      <w:bookmarkStart w:id="3554" w:name="_Toc98755475"/>
      <w:bookmarkStart w:id="3555" w:name="_Toc98763066"/>
      <w:bookmarkStart w:id="3556" w:name="_Toc106183995"/>
      <w:r>
        <w:t>8</w:t>
      </w:r>
      <w:r w:rsidRPr="00EE4A40">
        <w:t>.</w:t>
      </w:r>
      <w:r>
        <w:t>1</w:t>
      </w:r>
      <w:r w:rsidRPr="00EE4A40">
        <w:t>.</w:t>
      </w:r>
      <w:r>
        <w:t>3</w:t>
      </w:r>
      <w:r w:rsidRPr="00EE4A40">
        <w:t>.</w:t>
      </w:r>
      <w:r>
        <w:t>1</w:t>
      </w:r>
      <w:r w:rsidRPr="00EE4A40">
        <w:t>.</w:t>
      </w:r>
      <w:r>
        <w:t>2     Minimum requirement</w:t>
      </w:r>
      <w:bookmarkEnd w:id="3549"/>
      <w:bookmarkEnd w:id="3550"/>
      <w:bookmarkEnd w:id="3551"/>
      <w:bookmarkEnd w:id="3552"/>
      <w:bookmarkEnd w:id="3553"/>
      <w:bookmarkEnd w:id="3554"/>
      <w:bookmarkEnd w:id="3555"/>
      <w:bookmarkEnd w:id="3556"/>
    </w:p>
    <w:p w14:paraId="4A550820" w14:textId="77777777" w:rsidR="00241417" w:rsidRPr="00B054F4" w:rsidRDefault="00241417" w:rsidP="00241417">
      <w:r w:rsidRPr="00B054F4">
        <w:t xml:space="preserve">The DTX to ACK probability shall not exceed 1% </w:t>
      </w:r>
      <w:r w:rsidRPr="002373D6">
        <w:rPr>
          <w:lang w:eastAsia="zh-CN"/>
        </w:rPr>
        <w:t>for all PUCCH formats carrying ACK/NACK bits</w:t>
      </w:r>
      <w:r w:rsidRPr="00B054F4">
        <w:t>:</w:t>
      </w:r>
    </w:p>
    <w:p w14:paraId="3B2596E8" w14:textId="77777777" w:rsidR="00241417" w:rsidRPr="002373D6" w:rsidRDefault="00241417" w:rsidP="00241417">
      <w:pPr>
        <w:pStyle w:val="EQ"/>
      </w:pPr>
      <w:r w:rsidRPr="00B054F4">
        <w:tab/>
      </w:r>
      <m:oMath>
        <m:r>
          <m:rPr>
            <m:sty m:val="p"/>
          </m:rPr>
          <w:rPr>
            <w:rFonts w:ascii="Cambria Math" w:hAnsi="Cambria Math"/>
          </w:rPr>
          <m:t>Prob</m:t>
        </m:r>
        <m:d>
          <m:dPr>
            <m:ctrlPr>
              <w:rPr>
                <w:rFonts w:ascii="Cambria Math" w:hAnsi="Cambria Math"/>
              </w:rPr>
            </m:ctrlPr>
          </m:dPr>
          <m:e>
            <m:r>
              <m:rPr>
                <m:sty m:val="p"/>
              </m:rPr>
              <w:rPr>
                <w:rFonts w:ascii="Cambria Math" w:hAnsi="Cambria Math" w:hint="eastAsia"/>
              </w:rPr>
              <m:t>PUCCH DTX→Ack bits</m:t>
            </m:r>
          </m:e>
        </m:d>
        <m:r>
          <m:rPr>
            <m:sty m:val="p"/>
          </m:rPr>
          <w:rPr>
            <w:rFonts w:ascii="Cambria Math" w:hAnsi="Cambria Math"/>
          </w:rPr>
          <m:t xml:space="preserve"> ≤ </m:t>
        </m:r>
        <m:sSup>
          <m:sSupPr>
            <m:ctrlPr>
              <w:rPr>
                <w:rFonts w:ascii="Cambria Math" w:hAnsi="Cambria Math"/>
              </w:rPr>
            </m:ctrlPr>
          </m:sSupPr>
          <m:e>
            <m:r>
              <w:rPr>
                <w:rFonts w:ascii="Cambria Math" w:hAnsi="Cambria Math"/>
              </w:rPr>
              <m:t>10</m:t>
            </m:r>
          </m:e>
          <m:sup>
            <m:r>
              <w:rPr>
                <w:rFonts w:ascii="Cambria Math" w:hAnsi="Cambria Math"/>
              </w:rPr>
              <m:t>-2</m:t>
            </m:r>
          </m:sup>
        </m:sSup>
      </m:oMath>
    </w:p>
    <w:p w14:paraId="2C1B0F9C" w14:textId="77777777" w:rsidR="00241417" w:rsidRDefault="00241417" w:rsidP="00241417"/>
    <w:p w14:paraId="25329888" w14:textId="77777777" w:rsidR="00241417" w:rsidRDefault="00241417" w:rsidP="00241417">
      <w:pPr>
        <w:pStyle w:val="Heading4"/>
        <w:rPr>
          <w:rFonts w:eastAsia="Malgun Gothic"/>
        </w:rPr>
      </w:pPr>
      <w:bookmarkStart w:id="3557" w:name="_Toc74583255"/>
      <w:bookmarkStart w:id="3558" w:name="_Toc76542068"/>
      <w:bookmarkStart w:id="3559" w:name="_Toc82450050"/>
      <w:bookmarkStart w:id="3560" w:name="_Toc82450698"/>
      <w:bookmarkStart w:id="3561" w:name="_Toc89949087"/>
      <w:bookmarkStart w:id="3562" w:name="_Toc98755476"/>
      <w:bookmarkStart w:id="3563" w:name="_Toc98763067"/>
      <w:bookmarkStart w:id="3564" w:name="_Toc106183996"/>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w:t>
      </w:r>
      <w:r>
        <w:rPr>
          <w:rFonts w:eastAsia="Malgun Gothic"/>
        </w:rPr>
        <w:t>2</w:t>
      </w:r>
      <w:r w:rsidRPr="00B454A0">
        <w:rPr>
          <w:rFonts w:eastAsia="Malgun Gothic"/>
        </w:rPr>
        <w:tab/>
      </w:r>
      <w:r>
        <w:rPr>
          <w:rFonts w:eastAsia="Malgun Gothic"/>
        </w:rPr>
        <w:t>Performance requirements for PUCCH format 0</w:t>
      </w:r>
      <w:bookmarkEnd w:id="3557"/>
      <w:bookmarkEnd w:id="3558"/>
      <w:bookmarkEnd w:id="3559"/>
      <w:bookmarkEnd w:id="3560"/>
      <w:bookmarkEnd w:id="3561"/>
      <w:bookmarkEnd w:id="3562"/>
      <w:bookmarkEnd w:id="3563"/>
      <w:bookmarkEnd w:id="3564"/>
    </w:p>
    <w:p w14:paraId="2112707A" w14:textId="77777777" w:rsidR="00241417" w:rsidRDefault="00241417" w:rsidP="00241417">
      <w:pPr>
        <w:pStyle w:val="Heading5"/>
      </w:pPr>
      <w:bookmarkStart w:id="3565" w:name="_Toc74583256"/>
      <w:bookmarkStart w:id="3566" w:name="_Toc76542069"/>
      <w:bookmarkStart w:id="3567" w:name="_Toc82450051"/>
      <w:bookmarkStart w:id="3568" w:name="_Toc82450699"/>
      <w:bookmarkStart w:id="3569" w:name="_Toc89949088"/>
      <w:bookmarkStart w:id="3570" w:name="_Toc98755477"/>
      <w:bookmarkStart w:id="3571" w:name="_Toc98763068"/>
      <w:bookmarkStart w:id="3572" w:name="_Toc106183997"/>
      <w:r>
        <w:t>8</w:t>
      </w:r>
      <w:r w:rsidRPr="00EE4A40">
        <w:t>.</w:t>
      </w:r>
      <w:r>
        <w:t>1</w:t>
      </w:r>
      <w:r w:rsidRPr="00EE4A40">
        <w:t>.</w:t>
      </w:r>
      <w:r>
        <w:t>3</w:t>
      </w:r>
      <w:r w:rsidRPr="00EE4A40">
        <w:t>.</w:t>
      </w:r>
      <w:r>
        <w:t>2</w:t>
      </w:r>
      <w:r w:rsidRPr="00EE4A40">
        <w:t>.</w:t>
      </w:r>
      <w:r>
        <w:t>1</w:t>
      </w:r>
      <w:r>
        <w:tab/>
        <w:t>General</w:t>
      </w:r>
      <w:bookmarkEnd w:id="3565"/>
      <w:bookmarkEnd w:id="3566"/>
      <w:bookmarkEnd w:id="3567"/>
      <w:bookmarkEnd w:id="3568"/>
      <w:bookmarkEnd w:id="3569"/>
      <w:bookmarkEnd w:id="3570"/>
      <w:bookmarkEnd w:id="3571"/>
      <w:bookmarkEnd w:id="3572"/>
    </w:p>
    <w:p w14:paraId="5B71AE58" w14:textId="77777777" w:rsidR="00241417" w:rsidRPr="00B054F4" w:rsidRDefault="00241417" w:rsidP="00241417">
      <w:r w:rsidRPr="00B054F4">
        <w:t>The ACK missed detection probability is the probability of not detecting an ACK when an ACK was sent.</w:t>
      </w:r>
    </w:p>
    <w:p w14:paraId="333A3E63" w14:textId="77777777" w:rsidR="00241417" w:rsidRPr="00A678CE" w:rsidRDefault="00241417" w:rsidP="00241417">
      <w:pPr>
        <w:pStyle w:val="TH"/>
      </w:pPr>
      <w:r w:rsidRPr="00A678CE">
        <w:lastRenderedPageBreak/>
        <w:t>Table 8.</w:t>
      </w:r>
      <w:r>
        <w:t>1.</w:t>
      </w:r>
      <w:r w:rsidRPr="00A678CE">
        <w:t>3.2.1-1: Test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41"/>
        <w:gridCol w:w="2268"/>
      </w:tblGrid>
      <w:tr w:rsidR="00241417" w:rsidRPr="00A678CE" w14:paraId="651D3ECA"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5C781C54" w14:textId="77777777" w:rsidR="00241417" w:rsidRPr="00A678CE" w:rsidRDefault="00241417" w:rsidP="003A71DE">
            <w:pPr>
              <w:pStyle w:val="TAH"/>
            </w:pPr>
            <w:r w:rsidRPr="00A678CE">
              <w:t>Parameter</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6E39D7B" w14:textId="77777777" w:rsidR="00241417" w:rsidRPr="00A678CE" w:rsidRDefault="00241417" w:rsidP="003A71DE">
            <w:pPr>
              <w:pStyle w:val="TAH"/>
            </w:pPr>
            <w:r w:rsidRPr="00A678CE">
              <w:t>Test</w:t>
            </w:r>
          </w:p>
        </w:tc>
      </w:tr>
      <w:tr w:rsidR="00241417" w:rsidRPr="00A678CE" w14:paraId="785C3086"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2DFEB3AF" w14:textId="77777777" w:rsidR="00241417" w:rsidRPr="00B054F4" w:rsidRDefault="00241417" w:rsidP="003A71DE">
            <w:pPr>
              <w:pStyle w:val="TAC"/>
            </w:pPr>
            <w:r w:rsidRPr="00B054F4">
              <w:t>Number of UCI information bits</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F40146C" w14:textId="77777777" w:rsidR="00241417" w:rsidRPr="00A678CE" w:rsidRDefault="00241417" w:rsidP="003A71DE">
            <w:pPr>
              <w:pStyle w:val="TAC"/>
            </w:pPr>
            <w:r w:rsidRPr="00A678CE">
              <w:t>1</w:t>
            </w:r>
          </w:p>
        </w:tc>
      </w:tr>
      <w:tr w:rsidR="00241417" w:rsidRPr="00A678CE" w14:paraId="4E4A1796"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03BE74DA" w14:textId="77777777" w:rsidR="00241417" w:rsidRPr="00A678CE" w:rsidRDefault="00241417" w:rsidP="003A71DE">
            <w:pPr>
              <w:pStyle w:val="TAC"/>
            </w:pPr>
            <w:r w:rsidRPr="00A678CE">
              <w:t>Number of PRBs</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C957F86" w14:textId="77777777" w:rsidR="00241417" w:rsidRPr="00A678CE" w:rsidRDefault="00241417" w:rsidP="003A71DE">
            <w:pPr>
              <w:pStyle w:val="TAC"/>
            </w:pPr>
            <w:r w:rsidRPr="00A678CE">
              <w:t>1</w:t>
            </w:r>
          </w:p>
        </w:tc>
      </w:tr>
      <w:tr w:rsidR="00241417" w:rsidRPr="00A678CE" w14:paraId="7313DB9E"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0B77C284" w14:textId="77777777" w:rsidR="00241417" w:rsidRPr="00B054F4" w:rsidRDefault="00241417" w:rsidP="003A71DE">
            <w:pPr>
              <w:pStyle w:val="TAC"/>
            </w:pPr>
            <w:r w:rsidRPr="00B054F4">
              <w:t>First PRB prior to frequency hopping</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C6E0072" w14:textId="77777777" w:rsidR="00241417" w:rsidRPr="00A678CE" w:rsidRDefault="00241417" w:rsidP="003A71DE">
            <w:pPr>
              <w:pStyle w:val="TAC"/>
            </w:pPr>
            <w:r w:rsidRPr="00A678CE">
              <w:t>0</w:t>
            </w:r>
          </w:p>
        </w:tc>
      </w:tr>
      <w:tr w:rsidR="00241417" w:rsidRPr="00B054F4" w14:paraId="06F49AC0"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5BDD442B" w14:textId="77777777" w:rsidR="00241417" w:rsidRPr="00A678CE" w:rsidRDefault="00241417" w:rsidP="003A71DE">
            <w:pPr>
              <w:pStyle w:val="TAC"/>
            </w:pPr>
            <w:r w:rsidRPr="00A678CE">
              <w:t>Intra-slot frequency hopping</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28D048E" w14:textId="77777777" w:rsidR="00241417" w:rsidRPr="00B054F4" w:rsidRDefault="00241417" w:rsidP="003A71DE">
            <w:pPr>
              <w:pStyle w:val="TAC"/>
            </w:pPr>
            <w:r w:rsidRPr="00B054F4">
              <w:t>N/A for 1 symbol Enabled for 2 symbols</w:t>
            </w:r>
          </w:p>
        </w:tc>
      </w:tr>
      <w:tr w:rsidR="00241417" w:rsidRPr="00B054F4" w14:paraId="3CB28D20"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70E15F16" w14:textId="77777777" w:rsidR="00241417" w:rsidRPr="00B054F4" w:rsidRDefault="00241417" w:rsidP="003A71DE">
            <w:pPr>
              <w:pStyle w:val="TAC"/>
            </w:pPr>
            <w:r w:rsidRPr="00B054F4">
              <w:t>First PRB after frequency hopping</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109B6B2" w14:textId="77777777" w:rsidR="00241417" w:rsidRPr="00B054F4" w:rsidRDefault="00241417" w:rsidP="003A71DE">
            <w:pPr>
              <w:pStyle w:val="TAC"/>
            </w:pPr>
            <w:r w:rsidRPr="00B054F4">
              <w:t>The largest PRB index – (Number of PRBs – 1)</w:t>
            </w:r>
          </w:p>
        </w:tc>
      </w:tr>
      <w:tr w:rsidR="00241417" w:rsidRPr="00A678CE" w14:paraId="33807ADC"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28DCE2E3" w14:textId="77777777" w:rsidR="00241417" w:rsidRPr="00A678CE" w:rsidRDefault="00241417" w:rsidP="003A71DE">
            <w:pPr>
              <w:pStyle w:val="TAC"/>
            </w:pPr>
            <w:r w:rsidRPr="00A678CE">
              <w:t>Group and sequence hopping</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CF8E546" w14:textId="77777777" w:rsidR="00241417" w:rsidRPr="00A678CE" w:rsidRDefault="00241417" w:rsidP="003A71DE">
            <w:pPr>
              <w:pStyle w:val="TAC"/>
            </w:pPr>
            <w:r w:rsidRPr="00A678CE">
              <w:t>neither</w:t>
            </w:r>
          </w:p>
        </w:tc>
      </w:tr>
      <w:tr w:rsidR="00241417" w:rsidRPr="00A678CE" w14:paraId="00A8B8A8"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62F607E3" w14:textId="77777777" w:rsidR="00241417" w:rsidRPr="00A678CE" w:rsidRDefault="00241417" w:rsidP="003A71DE">
            <w:pPr>
              <w:pStyle w:val="TAC"/>
            </w:pPr>
            <w:r w:rsidRPr="00A678CE">
              <w:t>Hopping ID</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39971A0" w14:textId="77777777" w:rsidR="00241417" w:rsidRPr="00A678CE" w:rsidRDefault="00241417" w:rsidP="003A71DE">
            <w:pPr>
              <w:pStyle w:val="TAC"/>
            </w:pPr>
            <w:r w:rsidRPr="00A678CE">
              <w:t>0</w:t>
            </w:r>
          </w:p>
        </w:tc>
      </w:tr>
      <w:tr w:rsidR="00241417" w:rsidRPr="00A678CE" w14:paraId="5A6F16CC" w14:textId="77777777" w:rsidTr="003A71DE">
        <w:trPr>
          <w:cantSplit/>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63C0BAFA" w14:textId="77777777" w:rsidR="00241417" w:rsidRPr="00A678CE" w:rsidRDefault="00241417" w:rsidP="003A71DE">
            <w:pPr>
              <w:pStyle w:val="TAC"/>
            </w:pPr>
            <w:r w:rsidRPr="00A678CE">
              <w:t>Initial cyclic shift</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3D200A1" w14:textId="77777777" w:rsidR="00241417" w:rsidRPr="00A678CE" w:rsidRDefault="00241417" w:rsidP="003A71DE">
            <w:pPr>
              <w:pStyle w:val="TAC"/>
            </w:pPr>
            <w:r w:rsidRPr="00A678CE">
              <w:t>0</w:t>
            </w:r>
          </w:p>
        </w:tc>
      </w:tr>
      <w:tr w:rsidR="00241417" w:rsidRPr="00A678CE" w14:paraId="4A383970" w14:textId="77777777" w:rsidTr="003A71DE">
        <w:trPr>
          <w:cantSplit/>
          <w:trHeight w:val="143"/>
          <w:jc w:val="center"/>
        </w:trPr>
        <w:tc>
          <w:tcPr>
            <w:tcW w:w="3341" w:type="dxa"/>
            <w:tcBorders>
              <w:top w:val="single" w:sz="4" w:space="0" w:color="auto"/>
              <w:left w:val="single" w:sz="4" w:space="0" w:color="auto"/>
              <w:bottom w:val="single" w:sz="4" w:space="0" w:color="auto"/>
              <w:right w:val="single" w:sz="4" w:space="0" w:color="auto"/>
            </w:tcBorders>
            <w:vAlign w:val="center"/>
            <w:hideMark/>
          </w:tcPr>
          <w:p w14:paraId="72CA891E" w14:textId="77777777" w:rsidR="00241417" w:rsidRPr="00A678CE" w:rsidRDefault="00241417" w:rsidP="003A71DE">
            <w:pPr>
              <w:pStyle w:val="TAC"/>
            </w:pPr>
            <w:r w:rsidRPr="00A678CE">
              <w:t>First symbol</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EFB2B26" w14:textId="77777777" w:rsidR="00241417" w:rsidRPr="00A678CE" w:rsidRDefault="00241417" w:rsidP="003A71DE">
            <w:pPr>
              <w:pStyle w:val="TAC"/>
            </w:pPr>
            <w:r w:rsidRPr="00A678CE">
              <w:t>13 for 1 symbol</w:t>
            </w:r>
          </w:p>
          <w:p w14:paraId="64B33655" w14:textId="77777777" w:rsidR="00241417" w:rsidRPr="00A678CE" w:rsidRDefault="00241417" w:rsidP="003A71DE">
            <w:pPr>
              <w:pStyle w:val="TAC"/>
            </w:pPr>
            <w:r w:rsidRPr="00A678CE">
              <w:t>12 for 2 symbols</w:t>
            </w:r>
          </w:p>
        </w:tc>
      </w:tr>
    </w:tbl>
    <w:p w14:paraId="6A00605E" w14:textId="77777777" w:rsidR="00241417" w:rsidRPr="00A678CE" w:rsidRDefault="00241417" w:rsidP="00241417">
      <w:pPr>
        <w:rPr>
          <w:lang w:eastAsia="zh-CN"/>
        </w:rPr>
      </w:pPr>
    </w:p>
    <w:p w14:paraId="2B7DD875" w14:textId="49702B95"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 xml:space="preserve">[3] clause </w:t>
      </w:r>
      <w:r w:rsidRPr="006C7AF4">
        <w:rPr>
          <w:lang w:val="en-US"/>
        </w:rPr>
        <w:t xml:space="preserve">6.3.3.1 </w:t>
      </w:r>
      <w:r w:rsidRPr="006C7AF4">
        <w:rPr>
          <w:lang w:val="en-US" w:eastAsia="zh-CN"/>
        </w:rPr>
        <w:t>is not taken into account for performance requirement testing, where the RB hopping is symmetric to the CC centre, i.e. intra-slot frequency hopping is enabled.]</w:t>
      </w:r>
    </w:p>
    <w:p w14:paraId="15E5BFF9" w14:textId="77777777" w:rsidR="00241417" w:rsidRPr="006C7AF4" w:rsidRDefault="00241417" w:rsidP="00241417">
      <w:pPr>
        <w:rPr>
          <w:lang w:val="en-US"/>
        </w:rPr>
      </w:pPr>
    </w:p>
    <w:p w14:paraId="2A02612A" w14:textId="77777777" w:rsidR="00241417" w:rsidRDefault="00241417" w:rsidP="00241417">
      <w:pPr>
        <w:pStyle w:val="Heading5"/>
      </w:pPr>
      <w:bookmarkStart w:id="3573" w:name="_Toc74583257"/>
      <w:bookmarkStart w:id="3574" w:name="_Toc76542070"/>
      <w:bookmarkStart w:id="3575" w:name="_Toc82450052"/>
      <w:bookmarkStart w:id="3576" w:name="_Toc82450700"/>
      <w:bookmarkStart w:id="3577" w:name="_Toc89949089"/>
      <w:bookmarkStart w:id="3578" w:name="_Toc98755478"/>
      <w:bookmarkStart w:id="3579" w:name="_Toc98763069"/>
      <w:bookmarkStart w:id="3580" w:name="_Toc106183998"/>
      <w:r>
        <w:t>8</w:t>
      </w:r>
      <w:r w:rsidRPr="00EE4A40">
        <w:t>.</w:t>
      </w:r>
      <w:r>
        <w:t>1</w:t>
      </w:r>
      <w:r w:rsidRPr="00EE4A40">
        <w:t>.</w:t>
      </w:r>
      <w:r>
        <w:t>3</w:t>
      </w:r>
      <w:r w:rsidRPr="00EE4A40">
        <w:t>.</w:t>
      </w:r>
      <w:r>
        <w:t>2</w:t>
      </w:r>
      <w:r w:rsidRPr="00EE4A40">
        <w:t>.</w:t>
      </w:r>
      <w:r>
        <w:t>2</w:t>
      </w:r>
      <w:r>
        <w:tab/>
        <w:t>Minimum requirement</w:t>
      </w:r>
      <w:bookmarkEnd w:id="3573"/>
      <w:bookmarkEnd w:id="3574"/>
      <w:bookmarkEnd w:id="3575"/>
      <w:bookmarkEnd w:id="3576"/>
      <w:bookmarkEnd w:id="3577"/>
      <w:bookmarkEnd w:id="3578"/>
      <w:bookmarkEnd w:id="3579"/>
      <w:bookmarkEnd w:id="3580"/>
    </w:p>
    <w:p w14:paraId="38565A74" w14:textId="77777777" w:rsidR="00241417" w:rsidRPr="00B054F4" w:rsidRDefault="00241417" w:rsidP="00241417">
      <w:r w:rsidRPr="00B054F4">
        <w:t>The ACK missed detection probability shall not exceed 1% at the SNR given in table 8.1.3.2.2-1 and in table 8.1.3.2.2-2.</w:t>
      </w:r>
    </w:p>
    <w:p w14:paraId="63D8F7F1" w14:textId="77777777" w:rsidR="00241417" w:rsidRPr="00B054F4" w:rsidRDefault="00241417" w:rsidP="00241417">
      <w:pPr>
        <w:pStyle w:val="TH"/>
      </w:pPr>
      <w:r w:rsidRPr="00B054F4">
        <w:t>Table 8.1.3.2.2-1: Minimum requirements for PUCCH format 0 and 15 kHz SCS</w:t>
      </w:r>
    </w:p>
    <w:tbl>
      <w:tblPr>
        <w:tblStyle w:val="TableGrid8"/>
        <w:tblW w:w="9776" w:type="dxa"/>
        <w:tblInd w:w="0" w:type="dxa"/>
        <w:tblLook w:val="04A0" w:firstRow="1" w:lastRow="0" w:firstColumn="1" w:lastColumn="0" w:noHBand="0" w:noVBand="1"/>
      </w:tblPr>
      <w:tblGrid>
        <w:gridCol w:w="1129"/>
        <w:gridCol w:w="1418"/>
        <w:gridCol w:w="2693"/>
        <w:gridCol w:w="1276"/>
        <w:gridCol w:w="1134"/>
        <w:gridCol w:w="1134"/>
        <w:gridCol w:w="992"/>
      </w:tblGrid>
      <w:tr w:rsidR="00241417" w:rsidRPr="00244EE2" w14:paraId="468D0A4D" w14:textId="77777777" w:rsidTr="003A71DE">
        <w:tc>
          <w:tcPr>
            <w:tcW w:w="1129" w:type="dxa"/>
            <w:vMerge w:val="restart"/>
            <w:vAlign w:val="center"/>
          </w:tcPr>
          <w:p w14:paraId="15ACD6A8" w14:textId="77777777" w:rsidR="00241417" w:rsidRPr="00244EE2" w:rsidRDefault="00241417" w:rsidP="003A71DE">
            <w:pPr>
              <w:pStyle w:val="TAH"/>
            </w:pPr>
            <w:r w:rsidRPr="00244EE2">
              <w:t>Number of TX antennas</w:t>
            </w:r>
          </w:p>
        </w:tc>
        <w:tc>
          <w:tcPr>
            <w:tcW w:w="1418" w:type="dxa"/>
            <w:vMerge w:val="restart"/>
            <w:vAlign w:val="center"/>
          </w:tcPr>
          <w:p w14:paraId="22B3B969" w14:textId="77777777" w:rsidR="00241417" w:rsidRPr="00244EE2" w:rsidRDefault="00241417" w:rsidP="003A71DE">
            <w:pPr>
              <w:pStyle w:val="TAH"/>
            </w:pPr>
            <w:r w:rsidRPr="00244EE2">
              <w:t>Number of RX antennas</w:t>
            </w:r>
          </w:p>
        </w:tc>
        <w:tc>
          <w:tcPr>
            <w:tcW w:w="2693" w:type="dxa"/>
            <w:vMerge w:val="restart"/>
            <w:vAlign w:val="center"/>
          </w:tcPr>
          <w:p w14:paraId="63DCA478" w14:textId="6524CF96" w:rsidR="00241417" w:rsidRPr="00244EE2" w:rsidRDefault="00241417" w:rsidP="003A71DE">
            <w:pPr>
              <w:pStyle w:val="TAH"/>
            </w:pPr>
            <w:r w:rsidRPr="00244EE2">
              <w:t>Propagation conditions and</w:t>
            </w:r>
            <w:r>
              <w:t xml:space="preserve"> </w:t>
            </w:r>
            <w:r w:rsidRPr="00244EE2">
              <w:t xml:space="preserve">correlation matrix (Annex </w:t>
            </w:r>
            <w:r>
              <w:t>TBA</w:t>
            </w:r>
            <w:r w:rsidRPr="00244EE2">
              <w:t>)</w:t>
            </w:r>
          </w:p>
        </w:tc>
        <w:tc>
          <w:tcPr>
            <w:tcW w:w="1276" w:type="dxa"/>
            <w:vMerge w:val="restart"/>
            <w:vAlign w:val="center"/>
          </w:tcPr>
          <w:p w14:paraId="229E79B2" w14:textId="77777777" w:rsidR="00241417" w:rsidRPr="00244EE2" w:rsidRDefault="00241417" w:rsidP="003A71DE">
            <w:pPr>
              <w:pStyle w:val="TAH"/>
            </w:pPr>
            <w:r w:rsidRPr="00244EE2">
              <w:t>Number of</w:t>
            </w:r>
            <w:r>
              <w:t xml:space="preserve"> </w:t>
            </w:r>
            <w:r w:rsidRPr="00244EE2">
              <w:t>OFDM symbols</w:t>
            </w:r>
          </w:p>
        </w:tc>
        <w:tc>
          <w:tcPr>
            <w:tcW w:w="3260" w:type="dxa"/>
            <w:gridSpan w:val="3"/>
            <w:vAlign w:val="center"/>
          </w:tcPr>
          <w:p w14:paraId="34AF5CEF" w14:textId="77777777" w:rsidR="00241417" w:rsidRPr="00244EE2" w:rsidRDefault="00241417" w:rsidP="003A71DE">
            <w:pPr>
              <w:pStyle w:val="TAH"/>
            </w:pPr>
            <w:r w:rsidRPr="00244EE2">
              <w:t>Channel bandwidth / SNR (dB)</w:t>
            </w:r>
          </w:p>
        </w:tc>
      </w:tr>
      <w:tr w:rsidR="00241417" w:rsidRPr="00244EE2" w14:paraId="21B7F91B" w14:textId="77777777" w:rsidTr="003A71DE">
        <w:tc>
          <w:tcPr>
            <w:tcW w:w="1129" w:type="dxa"/>
            <w:vMerge/>
            <w:tcBorders>
              <w:bottom w:val="single" w:sz="4" w:space="0" w:color="auto"/>
            </w:tcBorders>
            <w:vAlign w:val="center"/>
          </w:tcPr>
          <w:p w14:paraId="2BD0FEC5" w14:textId="77777777" w:rsidR="00241417" w:rsidRPr="00244EE2" w:rsidRDefault="00241417" w:rsidP="003A71DE">
            <w:pPr>
              <w:pStyle w:val="TAH"/>
            </w:pPr>
          </w:p>
        </w:tc>
        <w:tc>
          <w:tcPr>
            <w:tcW w:w="1418" w:type="dxa"/>
            <w:vMerge/>
            <w:tcBorders>
              <w:bottom w:val="single" w:sz="4" w:space="0" w:color="auto"/>
            </w:tcBorders>
            <w:vAlign w:val="center"/>
          </w:tcPr>
          <w:p w14:paraId="0BCA9A65" w14:textId="77777777" w:rsidR="00241417" w:rsidRPr="00244EE2" w:rsidRDefault="00241417" w:rsidP="003A71DE">
            <w:pPr>
              <w:pStyle w:val="TAH"/>
            </w:pPr>
          </w:p>
        </w:tc>
        <w:tc>
          <w:tcPr>
            <w:tcW w:w="2693" w:type="dxa"/>
            <w:vMerge/>
            <w:tcBorders>
              <w:bottom w:val="single" w:sz="4" w:space="0" w:color="auto"/>
            </w:tcBorders>
            <w:vAlign w:val="center"/>
          </w:tcPr>
          <w:p w14:paraId="7691CB76" w14:textId="77777777" w:rsidR="00241417" w:rsidRPr="00244EE2" w:rsidRDefault="00241417" w:rsidP="003A71DE">
            <w:pPr>
              <w:pStyle w:val="TAH"/>
            </w:pPr>
          </w:p>
        </w:tc>
        <w:tc>
          <w:tcPr>
            <w:tcW w:w="1276" w:type="dxa"/>
            <w:vMerge/>
            <w:vAlign w:val="center"/>
          </w:tcPr>
          <w:p w14:paraId="5237659A" w14:textId="77777777" w:rsidR="00241417" w:rsidRPr="00244EE2" w:rsidRDefault="00241417" w:rsidP="003A71DE">
            <w:pPr>
              <w:pStyle w:val="TAH"/>
            </w:pPr>
          </w:p>
        </w:tc>
        <w:tc>
          <w:tcPr>
            <w:tcW w:w="1134" w:type="dxa"/>
            <w:vAlign w:val="center"/>
          </w:tcPr>
          <w:p w14:paraId="3241A8FA" w14:textId="77777777" w:rsidR="00241417" w:rsidRPr="00244EE2" w:rsidRDefault="00241417" w:rsidP="003A71DE">
            <w:pPr>
              <w:pStyle w:val="TAH"/>
            </w:pPr>
            <w:r w:rsidRPr="00244EE2">
              <w:t>5 MHz</w:t>
            </w:r>
          </w:p>
        </w:tc>
        <w:tc>
          <w:tcPr>
            <w:tcW w:w="1134" w:type="dxa"/>
            <w:vAlign w:val="center"/>
          </w:tcPr>
          <w:p w14:paraId="1BFC451B" w14:textId="77777777" w:rsidR="00241417" w:rsidRPr="00244EE2" w:rsidRDefault="00241417" w:rsidP="003A71DE">
            <w:pPr>
              <w:pStyle w:val="TAH"/>
            </w:pPr>
            <w:r w:rsidRPr="00244EE2">
              <w:t>10 MHz</w:t>
            </w:r>
          </w:p>
        </w:tc>
        <w:tc>
          <w:tcPr>
            <w:tcW w:w="992" w:type="dxa"/>
            <w:vAlign w:val="center"/>
          </w:tcPr>
          <w:p w14:paraId="37F3DED2" w14:textId="77777777" w:rsidR="00241417" w:rsidRPr="00244EE2" w:rsidRDefault="00241417" w:rsidP="003A71DE">
            <w:pPr>
              <w:pStyle w:val="TAH"/>
            </w:pPr>
            <w:r w:rsidRPr="00244EE2">
              <w:t>20 MHz</w:t>
            </w:r>
          </w:p>
        </w:tc>
      </w:tr>
      <w:tr w:rsidR="00241417" w:rsidRPr="00244EE2" w14:paraId="573293C6" w14:textId="77777777" w:rsidTr="003A71DE">
        <w:tc>
          <w:tcPr>
            <w:tcW w:w="1129" w:type="dxa"/>
            <w:vMerge w:val="restart"/>
            <w:vAlign w:val="center"/>
          </w:tcPr>
          <w:p w14:paraId="29DC39FB" w14:textId="77777777" w:rsidR="00241417" w:rsidRPr="00244EE2" w:rsidRDefault="00241417" w:rsidP="003A71DE">
            <w:pPr>
              <w:pStyle w:val="TAC"/>
            </w:pPr>
            <w:r w:rsidRPr="00244EE2">
              <w:t>1</w:t>
            </w:r>
          </w:p>
        </w:tc>
        <w:tc>
          <w:tcPr>
            <w:tcW w:w="1418" w:type="dxa"/>
            <w:vMerge w:val="restart"/>
            <w:vAlign w:val="center"/>
          </w:tcPr>
          <w:p w14:paraId="00A91C5E" w14:textId="77777777" w:rsidR="00241417" w:rsidRPr="00244EE2" w:rsidRDefault="00241417" w:rsidP="003A71DE">
            <w:pPr>
              <w:pStyle w:val="TAC"/>
            </w:pPr>
            <w:r w:rsidRPr="00244EE2">
              <w:t>2</w:t>
            </w:r>
          </w:p>
        </w:tc>
        <w:tc>
          <w:tcPr>
            <w:tcW w:w="2693" w:type="dxa"/>
            <w:vMerge w:val="restart"/>
            <w:vAlign w:val="center"/>
          </w:tcPr>
          <w:p w14:paraId="72B1EEE1" w14:textId="77777777" w:rsidR="00241417" w:rsidRPr="00244EE2" w:rsidRDefault="00241417" w:rsidP="003A71DE">
            <w:pPr>
              <w:pStyle w:val="TAC"/>
            </w:pPr>
            <w:r w:rsidRPr="00244EE2">
              <w:t>TDLC300-100</w:t>
            </w:r>
            <w:r w:rsidRPr="00244EE2">
              <w:rPr>
                <w:lang w:eastAsia="zh-CN"/>
              </w:rPr>
              <w:t xml:space="preserve"> Low</w:t>
            </w:r>
          </w:p>
        </w:tc>
        <w:tc>
          <w:tcPr>
            <w:tcW w:w="1276" w:type="dxa"/>
            <w:vAlign w:val="center"/>
          </w:tcPr>
          <w:p w14:paraId="2F261870" w14:textId="77777777" w:rsidR="00241417" w:rsidRPr="00244EE2" w:rsidRDefault="00241417" w:rsidP="003A71DE">
            <w:pPr>
              <w:pStyle w:val="TAC"/>
            </w:pPr>
            <w:r w:rsidRPr="00244EE2">
              <w:t>1</w:t>
            </w:r>
          </w:p>
        </w:tc>
        <w:tc>
          <w:tcPr>
            <w:tcW w:w="1134" w:type="dxa"/>
            <w:vAlign w:val="center"/>
          </w:tcPr>
          <w:p w14:paraId="638458E0" w14:textId="77777777" w:rsidR="00241417" w:rsidRPr="00244EE2" w:rsidRDefault="00241417" w:rsidP="003A71DE">
            <w:pPr>
              <w:pStyle w:val="TAC"/>
            </w:pPr>
            <w:r w:rsidRPr="00244EE2">
              <w:t>9.4</w:t>
            </w:r>
          </w:p>
        </w:tc>
        <w:tc>
          <w:tcPr>
            <w:tcW w:w="1134" w:type="dxa"/>
            <w:vAlign w:val="center"/>
          </w:tcPr>
          <w:p w14:paraId="6752818F" w14:textId="77777777" w:rsidR="00241417" w:rsidRPr="00244EE2" w:rsidRDefault="00241417" w:rsidP="003A71DE">
            <w:pPr>
              <w:pStyle w:val="TAC"/>
            </w:pPr>
            <w:r w:rsidRPr="00244EE2">
              <w:t>8.8</w:t>
            </w:r>
          </w:p>
        </w:tc>
        <w:tc>
          <w:tcPr>
            <w:tcW w:w="992" w:type="dxa"/>
            <w:vAlign w:val="center"/>
          </w:tcPr>
          <w:p w14:paraId="63413246" w14:textId="77777777" w:rsidR="00241417" w:rsidRPr="00244EE2" w:rsidRDefault="00241417" w:rsidP="003A71DE">
            <w:pPr>
              <w:pStyle w:val="TAC"/>
            </w:pPr>
            <w:r w:rsidRPr="00244EE2">
              <w:t>9.3</w:t>
            </w:r>
          </w:p>
        </w:tc>
      </w:tr>
      <w:tr w:rsidR="00241417" w:rsidRPr="00244EE2" w14:paraId="3617A14A" w14:textId="77777777" w:rsidTr="003A71DE">
        <w:tc>
          <w:tcPr>
            <w:tcW w:w="1129" w:type="dxa"/>
            <w:vMerge/>
            <w:tcBorders>
              <w:bottom w:val="single" w:sz="4" w:space="0" w:color="auto"/>
            </w:tcBorders>
            <w:vAlign w:val="center"/>
          </w:tcPr>
          <w:p w14:paraId="4A5C05CB" w14:textId="77777777" w:rsidR="00241417" w:rsidRPr="00244EE2" w:rsidRDefault="00241417" w:rsidP="003A71DE">
            <w:pPr>
              <w:pStyle w:val="TAC"/>
            </w:pPr>
          </w:p>
        </w:tc>
        <w:tc>
          <w:tcPr>
            <w:tcW w:w="1418" w:type="dxa"/>
            <w:vMerge/>
            <w:tcBorders>
              <w:bottom w:val="single" w:sz="4" w:space="0" w:color="auto"/>
            </w:tcBorders>
            <w:vAlign w:val="center"/>
          </w:tcPr>
          <w:p w14:paraId="4757280B" w14:textId="77777777" w:rsidR="00241417" w:rsidRPr="00244EE2" w:rsidRDefault="00241417" w:rsidP="003A71DE">
            <w:pPr>
              <w:pStyle w:val="TAC"/>
            </w:pPr>
          </w:p>
        </w:tc>
        <w:tc>
          <w:tcPr>
            <w:tcW w:w="2693" w:type="dxa"/>
            <w:vMerge/>
            <w:tcBorders>
              <w:bottom w:val="single" w:sz="4" w:space="0" w:color="auto"/>
            </w:tcBorders>
            <w:vAlign w:val="center"/>
          </w:tcPr>
          <w:p w14:paraId="75A80C07" w14:textId="77777777" w:rsidR="00241417" w:rsidRPr="00244EE2" w:rsidRDefault="00241417" w:rsidP="003A71DE">
            <w:pPr>
              <w:pStyle w:val="TAC"/>
            </w:pPr>
          </w:p>
        </w:tc>
        <w:tc>
          <w:tcPr>
            <w:tcW w:w="1276" w:type="dxa"/>
            <w:vAlign w:val="center"/>
          </w:tcPr>
          <w:p w14:paraId="4AE2672C" w14:textId="77777777" w:rsidR="00241417" w:rsidRPr="00244EE2" w:rsidRDefault="00241417" w:rsidP="003A71DE">
            <w:pPr>
              <w:pStyle w:val="TAC"/>
            </w:pPr>
            <w:r w:rsidRPr="00244EE2">
              <w:t>2</w:t>
            </w:r>
          </w:p>
        </w:tc>
        <w:tc>
          <w:tcPr>
            <w:tcW w:w="1134" w:type="dxa"/>
            <w:vAlign w:val="center"/>
          </w:tcPr>
          <w:p w14:paraId="6A9CDBEC" w14:textId="77777777" w:rsidR="00241417" w:rsidRPr="00244EE2" w:rsidRDefault="00241417" w:rsidP="003A71DE">
            <w:pPr>
              <w:pStyle w:val="TAC"/>
            </w:pPr>
            <w:r w:rsidRPr="00244EE2">
              <w:t>2.8</w:t>
            </w:r>
          </w:p>
        </w:tc>
        <w:tc>
          <w:tcPr>
            <w:tcW w:w="1134" w:type="dxa"/>
            <w:vAlign w:val="center"/>
          </w:tcPr>
          <w:p w14:paraId="1EADDDE1" w14:textId="77777777" w:rsidR="00241417" w:rsidRPr="00244EE2" w:rsidRDefault="00241417" w:rsidP="003A71DE">
            <w:pPr>
              <w:pStyle w:val="TAC"/>
            </w:pPr>
            <w:r w:rsidRPr="00244EE2">
              <w:t>3.7</w:t>
            </w:r>
          </w:p>
        </w:tc>
        <w:tc>
          <w:tcPr>
            <w:tcW w:w="992" w:type="dxa"/>
            <w:vAlign w:val="center"/>
          </w:tcPr>
          <w:p w14:paraId="0F25BEDB" w14:textId="77777777" w:rsidR="00241417" w:rsidRPr="00244EE2" w:rsidRDefault="00241417" w:rsidP="003A71DE">
            <w:pPr>
              <w:pStyle w:val="TAC"/>
            </w:pPr>
            <w:r w:rsidRPr="00244EE2">
              <w:t>3.3</w:t>
            </w:r>
          </w:p>
        </w:tc>
      </w:tr>
      <w:tr w:rsidR="00241417" w:rsidRPr="00244EE2" w14:paraId="01107E0C" w14:textId="77777777" w:rsidTr="003A71DE">
        <w:tc>
          <w:tcPr>
            <w:tcW w:w="1129" w:type="dxa"/>
            <w:vMerge w:val="restart"/>
            <w:vAlign w:val="center"/>
          </w:tcPr>
          <w:p w14:paraId="43936388" w14:textId="77777777" w:rsidR="00241417" w:rsidRPr="00244EE2" w:rsidRDefault="00241417" w:rsidP="003A71DE">
            <w:pPr>
              <w:pStyle w:val="TAC"/>
            </w:pPr>
            <w:r w:rsidRPr="00244EE2">
              <w:t>1</w:t>
            </w:r>
          </w:p>
        </w:tc>
        <w:tc>
          <w:tcPr>
            <w:tcW w:w="1418" w:type="dxa"/>
            <w:vMerge w:val="restart"/>
            <w:vAlign w:val="center"/>
          </w:tcPr>
          <w:p w14:paraId="085E3579" w14:textId="77777777" w:rsidR="00241417" w:rsidRPr="00244EE2" w:rsidRDefault="00241417" w:rsidP="003A71DE">
            <w:pPr>
              <w:pStyle w:val="TAC"/>
            </w:pPr>
            <w:r w:rsidRPr="00244EE2">
              <w:t>4</w:t>
            </w:r>
          </w:p>
        </w:tc>
        <w:tc>
          <w:tcPr>
            <w:tcW w:w="2693" w:type="dxa"/>
            <w:vMerge w:val="restart"/>
            <w:vAlign w:val="center"/>
          </w:tcPr>
          <w:p w14:paraId="21360700" w14:textId="77777777" w:rsidR="00241417" w:rsidRPr="00244EE2" w:rsidRDefault="00241417" w:rsidP="003A71DE">
            <w:pPr>
              <w:pStyle w:val="TAC"/>
            </w:pPr>
            <w:r w:rsidRPr="00244EE2">
              <w:t>TDLC300-100</w:t>
            </w:r>
            <w:r w:rsidRPr="00244EE2">
              <w:rPr>
                <w:lang w:eastAsia="zh-CN"/>
              </w:rPr>
              <w:t xml:space="preserve"> Low</w:t>
            </w:r>
          </w:p>
        </w:tc>
        <w:tc>
          <w:tcPr>
            <w:tcW w:w="1276" w:type="dxa"/>
            <w:vAlign w:val="center"/>
          </w:tcPr>
          <w:p w14:paraId="30B74CA3" w14:textId="77777777" w:rsidR="00241417" w:rsidRPr="00244EE2" w:rsidRDefault="00241417" w:rsidP="003A71DE">
            <w:pPr>
              <w:pStyle w:val="TAC"/>
            </w:pPr>
            <w:r w:rsidRPr="00244EE2">
              <w:t>1</w:t>
            </w:r>
          </w:p>
        </w:tc>
        <w:tc>
          <w:tcPr>
            <w:tcW w:w="1134" w:type="dxa"/>
            <w:vAlign w:val="center"/>
          </w:tcPr>
          <w:p w14:paraId="0303E78E" w14:textId="77777777" w:rsidR="00241417" w:rsidRPr="00244EE2" w:rsidRDefault="00241417" w:rsidP="003A71DE">
            <w:pPr>
              <w:pStyle w:val="TAC"/>
            </w:pPr>
            <w:r w:rsidRPr="00244EE2">
              <w:t>3.0</w:t>
            </w:r>
          </w:p>
        </w:tc>
        <w:tc>
          <w:tcPr>
            <w:tcW w:w="1134" w:type="dxa"/>
            <w:vAlign w:val="center"/>
          </w:tcPr>
          <w:p w14:paraId="47D6DA00" w14:textId="77777777" w:rsidR="00241417" w:rsidRPr="00244EE2" w:rsidRDefault="00241417" w:rsidP="003A71DE">
            <w:pPr>
              <w:pStyle w:val="TAC"/>
            </w:pPr>
            <w:r w:rsidRPr="00244EE2">
              <w:t>2.9</w:t>
            </w:r>
          </w:p>
        </w:tc>
        <w:tc>
          <w:tcPr>
            <w:tcW w:w="992" w:type="dxa"/>
            <w:vAlign w:val="center"/>
          </w:tcPr>
          <w:p w14:paraId="1875FA50" w14:textId="77777777" w:rsidR="00241417" w:rsidRPr="00244EE2" w:rsidRDefault="00241417" w:rsidP="003A71DE">
            <w:pPr>
              <w:pStyle w:val="TAC"/>
            </w:pPr>
            <w:r w:rsidRPr="00244EE2">
              <w:t>3.2</w:t>
            </w:r>
          </w:p>
        </w:tc>
      </w:tr>
      <w:tr w:rsidR="00241417" w:rsidRPr="00244EE2" w14:paraId="3FAFF3D8" w14:textId="77777777" w:rsidTr="003A71DE">
        <w:tc>
          <w:tcPr>
            <w:tcW w:w="1129" w:type="dxa"/>
            <w:vMerge/>
            <w:tcBorders>
              <w:bottom w:val="single" w:sz="4" w:space="0" w:color="auto"/>
            </w:tcBorders>
            <w:vAlign w:val="center"/>
          </w:tcPr>
          <w:p w14:paraId="70C04190" w14:textId="77777777" w:rsidR="00241417" w:rsidRPr="00244EE2" w:rsidRDefault="00241417" w:rsidP="003A71DE">
            <w:pPr>
              <w:pStyle w:val="TAC"/>
            </w:pPr>
          </w:p>
        </w:tc>
        <w:tc>
          <w:tcPr>
            <w:tcW w:w="1418" w:type="dxa"/>
            <w:vMerge/>
            <w:tcBorders>
              <w:bottom w:val="single" w:sz="4" w:space="0" w:color="auto"/>
            </w:tcBorders>
            <w:vAlign w:val="center"/>
          </w:tcPr>
          <w:p w14:paraId="1AA01BCA" w14:textId="77777777" w:rsidR="00241417" w:rsidRPr="00244EE2" w:rsidRDefault="00241417" w:rsidP="003A71DE">
            <w:pPr>
              <w:pStyle w:val="TAC"/>
            </w:pPr>
          </w:p>
        </w:tc>
        <w:tc>
          <w:tcPr>
            <w:tcW w:w="2693" w:type="dxa"/>
            <w:vMerge/>
            <w:tcBorders>
              <w:bottom w:val="single" w:sz="4" w:space="0" w:color="auto"/>
            </w:tcBorders>
            <w:vAlign w:val="center"/>
          </w:tcPr>
          <w:p w14:paraId="0B56D7BF" w14:textId="77777777" w:rsidR="00241417" w:rsidRPr="00244EE2" w:rsidRDefault="00241417" w:rsidP="003A71DE">
            <w:pPr>
              <w:pStyle w:val="TAC"/>
            </w:pPr>
          </w:p>
        </w:tc>
        <w:tc>
          <w:tcPr>
            <w:tcW w:w="1276" w:type="dxa"/>
            <w:vAlign w:val="center"/>
          </w:tcPr>
          <w:p w14:paraId="1D9F792E" w14:textId="77777777" w:rsidR="00241417" w:rsidRPr="00244EE2" w:rsidRDefault="00241417" w:rsidP="003A71DE">
            <w:pPr>
              <w:pStyle w:val="TAC"/>
            </w:pPr>
            <w:r w:rsidRPr="00244EE2">
              <w:t>2</w:t>
            </w:r>
          </w:p>
        </w:tc>
        <w:tc>
          <w:tcPr>
            <w:tcW w:w="1134" w:type="dxa"/>
            <w:vAlign w:val="center"/>
          </w:tcPr>
          <w:p w14:paraId="09F8956F" w14:textId="77777777" w:rsidR="00241417" w:rsidRPr="00244EE2" w:rsidRDefault="00241417" w:rsidP="003A71DE">
            <w:pPr>
              <w:pStyle w:val="TAC"/>
            </w:pPr>
            <w:r w:rsidRPr="00244EE2">
              <w:t>-1.0</w:t>
            </w:r>
          </w:p>
        </w:tc>
        <w:tc>
          <w:tcPr>
            <w:tcW w:w="1134" w:type="dxa"/>
            <w:vAlign w:val="center"/>
          </w:tcPr>
          <w:p w14:paraId="20896DE3" w14:textId="77777777" w:rsidR="00241417" w:rsidRPr="00244EE2" w:rsidRDefault="00241417" w:rsidP="003A71DE">
            <w:pPr>
              <w:pStyle w:val="TAC"/>
            </w:pPr>
            <w:r w:rsidRPr="00244EE2">
              <w:t>-0.5</w:t>
            </w:r>
          </w:p>
        </w:tc>
        <w:tc>
          <w:tcPr>
            <w:tcW w:w="992" w:type="dxa"/>
            <w:vAlign w:val="center"/>
          </w:tcPr>
          <w:p w14:paraId="53495789" w14:textId="77777777" w:rsidR="00241417" w:rsidRPr="00244EE2" w:rsidRDefault="00241417" w:rsidP="003A71DE">
            <w:pPr>
              <w:pStyle w:val="TAC"/>
            </w:pPr>
            <w:r w:rsidRPr="00244EE2">
              <w:t>-0.8</w:t>
            </w:r>
          </w:p>
        </w:tc>
      </w:tr>
      <w:tr w:rsidR="00241417" w:rsidRPr="00244EE2" w14:paraId="0CA33C31" w14:textId="77777777" w:rsidTr="003A71DE">
        <w:tc>
          <w:tcPr>
            <w:tcW w:w="1129" w:type="dxa"/>
            <w:vMerge w:val="restart"/>
            <w:vAlign w:val="center"/>
          </w:tcPr>
          <w:p w14:paraId="5C2A6D79" w14:textId="77777777" w:rsidR="00241417" w:rsidRPr="00244EE2" w:rsidRDefault="00241417" w:rsidP="003A71DE">
            <w:pPr>
              <w:pStyle w:val="TAC"/>
            </w:pPr>
            <w:r w:rsidRPr="00244EE2">
              <w:t>1</w:t>
            </w:r>
          </w:p>
        </w:tc>
        <w:tc>
          <w:tcPr>
            <w:tcW w:w="1418" w:type="dxa"/>
            <w:vMerge w:val="restart"/>
            <w:vAlign w:val="center"/>
          </w:tcPr>
          <w:p w14:paraId="62B6AA26" w14:textId="77777777" w:rsidR="00241417" w:rsidRPr="00244EE2" w:rsidRDefault="00241417" w:rsidP="003A71DE">
            <w:pPr>
              <w:pStyle w:val="TAC"/>
            </w:pPr>
            <w:r w:rsidRPr="00244EE2">
              <w:t>8</w:t>
            </w:r>
          </w:p>
        </w:tc>
        <w:tc>
          <w:tcPr>
            <w:tcW w:w="2693" w:type="dxa"/>
            <w:vMerge w:val="restart"/>
            <w:vAlign w:val="center"/>
          </w:tcPr>
          <w:p w14:paraId="14AA62ED" w14:textId="77777777" w:rsidR="00241417" w:rsidRPr="00244EE2" w:rsidRDefault="00241417" w:rsidP="003A71DE">
            <w:pPr>
              <w:pStyle w:val="TAC"/>
            </w:pPr>
            <w:r w:rsidRPr="00244EE2">
              <w:t>TDLC300-100</w:t>
            </w:r>
            <w:r w:rsidRPr="00244EE2">
              <w:rPr>
                <w:lang w:eastAsia="zh-CN"/>
              </w:rPr>
              <w:t xml:space="preserve"> Low</w:t>
            </w:r>
          </w:p>
        </w:tc>
        <w:tc>
          <w:tcPr>
            <w:tcW w:w="1276" w:type="dxa"/>
            <w:vAlign w:val="center"/>
          </w:tcPr>
          <w:p w14:paraId="67A1DFE2" w14:textId="77777777" w:rsidR="00241417" w:rsidRPr="00244EE2" w:rsidRDefault="00241417" w:rsidP="003A71DE">
            <w:pPr>
              <w:pStyle w:val="TAC"/>
            </w:pPr>
            <w:r w:rsidRPr="00244EE2">
              <w:t>1</w:t>
            </w:r>
          </w:p>
        </w:tc>
        <w:tc>
          <w:tcPr>
            <w:tcW w:w="1134" w:type="dxa"/>
            <w:vAlign w:val="center"/>
          </w:tcPr>
          <w:p w14:paraId="4816CD5F" w14:textId="77777777" w:rsidR="00241417" w:rsidRPr="00244EE2" w:rsidRDefault="00241417" w:rsidP="003A71DE">
            <w:pPr>
              <w:pStyle w:val="TAC"/>
            </w:pPr>
            <w:r w:rsidRPr="00244EE2">
              <w:t>-1.1</w:t>
            </w:r>
          </w:p>
        </w:tc>
        <w:tc>
          <w:tcPr>
            <w:tcW w:w="1134" w:type="dxa"/>
            <w:vAlign w:val="center"/>
          </w:tcPr>
          <w:p w14:paraId="2DD1A169" w14:textId="77777777" w:rsidR="00241417" w:rsidRPr="00244EE2" w:rsidRDefault="00241417" w:rsidP="003A71DE">
            <w:pPr>
              <w:pStyle w:val="TAC"/>
            </w:pPr>
            <w:r w:rsidRPr="00244EE2">
              <w:t>-1.1</w:t>
            </w:r>
          </w:p>
        </w:tc>
        <w:tc>
          <w:tcPr>
            <w:tcW w:w="992" w:type="dxa"/>
            <w:vAlign w:val="center"/>
          </w:tcPr>
          <w:p w14:paraId="5E2A0233" w14:textId="77777777" w:rsidR="00241417" w:rsidRPr="00244EE2" w:rsidRDefault="00241417" w:rsidP="003A71DE">
            <w:pPr>
              <w:pStyle w:val="TAC"/>
            </w:pPr>
            <w:r w:rsidRPr="00244EE2">
              <w:t>-1.1</w:t>
            </w:r>
          </w:p>
        </w:tc>
      </w:tr>
      <w:tr w:rsidR="00241417" w:rsidRPr="00244EE2" w14:paraId="5BB6B91F" w14:textId="77777777" w:rsidTr="003A71DE">
        <w:tc>
          <w:tcPr>
            <w:tcW w:w="1129" w:type="dxa"/>
            <w:vMerge/>
            <w:vAlign w:val="center"/>
          </w:tcPr>
          <w:p w14:paraId="6D48D939" w14:textId="77777777" w:rsidR="00241417" w:rsidRPr="00244EE2" w:rsidRDefault="00241417" w:rsidP="003A71DE">
            <w:pPr>
              <w:pStyle w:val="TAC"/>
            </w:pPr>
          </w:p>
        </w:tc>
        <w:tc>
          <w:tcPr>
            <w:tcW w:w="1418" w:type="dxa"/>
            <w:vMerge/>
            <w:vAlign w:val="center"/>
          </w:tcPr>
          <w:p w14:paraId="1EC24D1B" w14:textId="77777777" w:rsidR="00241417" w:rsidRPr="00244EE2" w:rsidRDefault="00241417" w:rsidP="003A71DE">
            <w:pPr>
              <w:pStyle w:val="TAC"/>
            </w:pPr>
          </w:p>
        </w:tc>
        <w:tc>
          <w:tcPr>
            <w:tcW w:w="2693" w:type="dxa"/>
            <w:vMerge/>
            <w:vAlign w:val="center"/>
          </w:tcPr>
          <w:p w14:paraId="1F14BFC8" w14:textId="77777777" w:rsidR="00241417" w:rsidRPr="00244EE2" w:rsidRDefault="00241417" w:rsidP="003A71DE">
            <w:pPr>
              <w:pStyle w:val="TAC"/>
            </w:pPr>
          </w:p>
        </w:tc>
        <w:tc>
          <w:tcPr>
            <w:tcW w:w="1276" w:type="dxa"/>
            <w:vAlign w:val="center"/>
          </w:tcPr>
          <w:p w14:paraId="7A0E0D41" w14:textId="77777777" w:rsidR="00241417" w:rsidRPr="00244EE2" w:rsidRDefault="00241417" w:rsidP="003A71DE">
            <w:pPr>
              <w:pStyle w:val="TAC"/>
            </w:pPr>
            <w:r w:rsidRPr="00244EE2">
              <w:t>2</w:t>
            </w:r>
          </w:p>
        </w:tc>
        <w:tc>
          <w:tcPr>
            <w:tcW w:w="1134" w:type="dxa"/>
            <w:vAlign w:val="center"/>
          </w:tcPr>
          <w:p w14:paraId="081F8043" w14:textId="77777777" w:rsidR="00241417" w:rsidRPr="00244EE2" w:rsidRDefault="00241417" w:rsidP="003A71DE">
            <w:pPr>
              <w:pStyle w:val="TAC"/>
            </w:pPr>
            <w:r w:rsidRPr="00244EE2">
              <w:t>-4.1</w:t>
            </w:r>
          </w:p>
        </w:tc>
        <w:tc>
          <w:tcPr>
            <w:tcW w:w="1134" w:type="dxa"/>
            <w:vAlign w:val="center"/>
          </w:tcPr>
          <w:p w14:paraId="3B883161" w14:textId="77777777" w:rsidR="00241417" w:rsidRPr="00244EE2" w:rsidRDefault="00241417" w:rsidP="003A71DE">
            <w:pPr>
              <w:pStyle w:val="TAC"/>
            </w:pPr>
            <w:r w:rsidRPr="00244EE2">
              <w:t>-3.9</w:t>
            </w:r>
          </w:p>
        </w:tc>
        <w:tc>
          <w:tcPr>
            <w:tcW w:w="992" w:type="dxa"/>
            <w:vAlign w:val="center"/>
          </w:tcPr>
          <w:p w14:paraId="72DB2210" w14:textId="77777777" w:rsidR="00241417" w:rsidRPr="00244EE2" w:rsidRDefault="00241417" w:rsidP="003A71DE">
            <w:pPr>
              <w:pStyle w:val="TAC"/>
            </w:pPr>
            <w:r w:rsidRPr="00244EE2">
              <w:t>-4.0</w:t>
            </w:r>
          </w:p>
        </w:tc>
      </w:tr>
    </w:tbl>
    <w:p w14:paraId="0BE8B71A" w14:textId="77777777" w:rsidR="00241417" w:rsidRPr="00244EE2" w:rsidRDefault="00241417" w:rsidP="00241417"/>
    <w:p w14:paraId="79C515F1" w14:textId="2481DE43" w:rsidR="00241417" w:rsidRPr="00B054F4" w:rsidRDefault="00241417" w:rsidP="00241417">
      <w:pPr>
        <w:pStyle w:val="TH"/>
      </w:pPr>
      <w:r w:rsidRPr="00B054F4">
        <w:t>Table 8.</w:t>
      </w:r>
      <w:r w:rsidR="008C4CE6">
        <w:t>1</w:t>
      </w:r>
      <w:r w:rsidRPr="00B054F4">
        <w:t>.3.2.2-2: Minimum requirements for PUCCH format 0 and 30 kHz SCS</w:t>
      </w:r>
    </w:p>
    <w:tbl>
      <w:tblPr>
        <w:tblStyle w:val="TableGrid8"/>
        <w:tblW w:w="9918" w:type="dxa"/>
        <w:tblInd w:w="0" w:type="dxa"/>
        <w:tblLayout w:type="fixed"/>
        <w:tblLook w:val="04A0" w:firstRow="1" w:lastRow="0" w:firstColumn="1" w:lastColumn="0" w:noHBand="0" w:noVBand="1"/>
      </w:tblPr>
      <w:tblGrid>
        <w:gridCol w:w="1129"/>
        <w:gridCol w:w="1418"/>
        <w:gridCol w:w="2693"/>
        <w:gridCol w:w="1276"/>
        <w:gridCol w:w="850"/>
        <w:gridCol w:w="851"/>
        <w:gridCol w:w="850"/>
        <w:gridCol w:w="851"/>
      </w:tblGrid>
      <w:tr w:rsidR="00241417" w:rsidRPr="00244EE2" w14:paraId="1BAEECD4" w14:textId="77777777" w:rsidTr="003A71DE">
        <w:tc>
          <w:tcPr>
            <w:tcW w:w="1129" w:type="dxa"/>
            <w:vMerge w:val="restart"/>
            <w:vAlign w:val="center"/>
          </w:tcPr>
          <w:p w14:paraId="18E7B2EB" w14:textId="77777777" w:rsidR="00241417" w:rsidRPr="00244EE2" w:rsidRDefault="00241417" w:rsidP="003A71DE">
            <w:pPr>
              <w:pStyle w:val="TAH"/>
            </w:pPr>
            <w:r w:rsidRPr="00244EE2">
              <w:t>Number of TX antennas</w:t>
            </w:r>
          </w:p>
        </w:tc>
        <w:tc>
          <w:tcPr>
            <w:tcW w:w="1418" w:type="dxa"/>
            <w:vMerge w:val="restart"/>
            <w:vAlign w:val="center"/>
          </w:tcPr>
          <w:p w14:paraId="0BC7984C" w14:textId="77777777" w:rsidR="00241417" w:rsidRPr="00244EE2" w:rsidRDefault="00241417" w:rsidP="003A71DE">
            <w:pPr>
              <w:pStyle w:val="TAH"/>
            </w:pPr>
            <w:r w:rsidRPr="00244EE2">
              <w:t>Number of RX antennas</w:t>
            </w:r>
          </w:p>
        </w:tc>
        <w:tc>
          <w:tcPr>
            <w:tcW w:w="2693" w:type="dxa"/>
            <w:vMerge w:val="restart"/>
            <w:vAlign w:val="center"/>
          </w:tcPr>
          <w:p w14:paraId="032A548F" w14:textId="503CAB99" w:rsidR="00241417" w:rsidRPr="00244EE2" w:rsidRDefault="00241417" w:rsidP="003A71DE">
            <w:pPr>
              <w:pStyle w:val="TAH"/>
            </w:pPr>
            <w:r w:rsidRPr="00244EE2">
              <w:t>Propagation conditions and</w:t>
            </w:r>
            <w:r>
              <w:t xml:space="preserve"> </w:t>
            </w:r>
            <w:r w:rsidRPr="00244EE2">
              <w:t xml:space="preserve">correlation matrix (Annex </w:t>
            </w:r>
            <w:r>
              <w:t>TBA</w:t>
            </w:r>
            <w:r w:rsidRPr="00244EE2">
              <w:t>)</w:t>
            </w:r>
          </w:p>
        </w:tc>
        <w:tc>
          <w:tcPr>
            <w:tcW w:w="1276" w:type="dxa"/>
            <w:vMerge w:val="restart"/>
            <w:vAlign w:val="center"/>
          </w:tcPr>
          <w:p w14:paraId="09FAA73A" w14:textId="77777777" w:rsidR="00241417" w:rsidRPr="00244EE2" w:rsidRDefault="00241417" w:rsidP="003A71DE">
            <w:pPr>
              <w:pStyle w:val="TAH"/>
            </w:pPr>
            <w:r w:rsidRPr="00244EE2">
              <w:t>Number of</w:t>
            </w:r>
            <w:r>
              <w:t xml:space="preserve"> </w:t>
            </w:r>
            <w:r w:rsidRPr="00244EE2">
              <w:t>OFDM symbols</w:t>
            </w:r>
          </w:p>
        </w:tc>
        <w:tc>
          <w:tcPr>
            <w:tcW w:w="3402" w:type="dxa"/>
            <w:gridSpan w:val="4"/>
            <w:vAlign w:val="center"/>
          </w:tcPr>
          <w:p w14:paraId="6FEE152A" w14:textId="77777777" w:rsidR="00241417" w:rsidRPr="00244EE2" w:rsidRDefault="00241417" w:rsidP="003A71DE">
            <w:pPr>
              <w:pStyle w:val="TAH"/>
            </w:pPr>
            <w:r w:rsidRPr="00244EE2">
              <w:t>Channel bandwidth / SNR (dB)</w:t>
            </w:r>
          </w:p>
        </w:tc>
      </w:tr>
      <w:tr w:rsidR="00241417" w:rsidRPr="00244EE2" w14:paraId="5CE65488" w14:textId="77777777" w:rsidTr="003A71DE">
        <w:tc>
          <w:tcPr>
            <w:tcW w:w="1129" w:type="dxa"/>
            <w:vMerge/>
            <w:tcBorders>
              <w:bottom w:val="single" w:sz="4" w:space="0" w:color="auto"/>
            </w:tcBorders>
            <w:vAlign w:val="center"/>
          </w:tcPr>
          <w:p w14:paraId="20C04008" w14:textId="77777777" w:rsidR="00241417" w:rsidRPr="00244EE2" w:rsidRDefault="00241417" w:rsidP="003A71DE">
            <w:pPr>
              <w:pStyle w:val="TAH"/>
            </w:pPr>
          </w:p>
        </w:tc>
        <w:tc>
          <w:tcPr>
            <w:tcW w:w="1418" w:type="dxa"/>
            <w:vMerge/>
            <w:tcBorders>
              <w:bottom w:val="single" w:sz="4" w:space="0" w:color="auto"/>
            </w:tcBorders>
            <w:vAlign w:val="center"/>
          </w:tcPr>
          <w:p w14:paraId="0A654388" w14:textId="77777777" w:rsidR="00241417" w:rsidRPr="00244EE2" w:rsidRDefault="00241417" w:rsidP="003A71DE">
            <w:pPr>
              <w:pStyle w:val="TAH"/>
            </w:pPr>
          </w:p>
        </w:tc>
        <w:tc>
          <w:tcPr>
            <w:tcW w:w="2693" w:type="dxa"/>
            <w:vMerge/>
            <w:tcBorders>
              <w:bottom w:val="single" w:sz="4" w:space="0" w:color="auto"/>
            </w:tcBorders>
            <w:vAlign w:val="center"/>
          </w:tcPr>
          <w:p w14:paraId="69DC7CF7" w14:textId="77777777" w:rsidR="00241417" w:rsidRPr="00244EE2" w:rsidRDefault="00241417" w:rsidP="003A71DE">
            <w:pPr>
              <w:pStyle w:val="TAH"/>
            </w:pPr>
          </w:p>
        </w:tc>
        <w:tc>
          <w:tcPr>
            <w:tcW w:w="1276" w:type="dxa"/>
            <w:vMerge/>
            <w:vAlign w:val="center"/>
          </w:tcPr>
          <w:p w14:paraId="4AB2F149" w14:textId="77777777" w:rsidR="00241417" w:rsidRPr="00244EE2" w:rsidRDefault="00241417" w:rsidP="003A71DE">
            <w:pPr>
              <w:pStyle w:val="TAH"/>
            </w:pPr>
          </w:p>
        </w:tc>
        <w:tc>
          <w:tcPr>
            <w:tcW w:w="850" w:type="dxa"/>
            <w:vAlign w:val="center"/>
          </w:tcPr>
          <w:p w14:paraId="4DDF6A64" w14:textId="77777777" w:rsidR="00241417" w:rsidRPr="00244EE2" w:rsidRDefault="00241417" w:rsidP="003A71DE">
            <w:pPr>
              <w:pStyle w:val="TAH"/>
            </w:pPr>
            <w:r w:rsidRPr="00244EE2">
              <w:t>10 MHz</w:t>
            </w:r>
          </w:p>
        </w:tc>
        <w:tc>
          <w:tcPr>
            <w:tcW w:w="851" w:type="dxa"/>
            <w:vAlign w:val="center"/>
          </w:tcPr>
          <w:p w14:paraId="0F015540" w14:textId="77777777" w:rsidR="00241417" w:rsidRPr="00244EE2" w:rsidRDefault="00241417" w:rsidP="003A71DE">
            <w:pPr>
              <w:pStyle w:val="TAH"/>
            </w:pPr>
            <w:r w:rsidRPr="00244EE2">
              <w:t>20 MHz</w:t>
            </w:r>
          </w:p>
        </w:tc>
        <w:tc>
          <w:tcPr>
            <w:tcW w:w="850" w:type="dxa"/>
            <w:vAlign w:val="center"/>
          </w:tcPr>
          <w:p w14:paraId="41302056" w14:textId="77777777" w:rsidR="00241417" w:rsidRPr="00244EE2" w:rsidRDefault="00241417" w:rsidP="003A71DE">
            <w:pPr>
              <w:pStyle w:val="TAH"/>
            </w:pPr>
            <w:r w:rsidRPr="00244EE2">
              <w:t>40 MHz</w:t>
            </w:r>
          </w:p>
        </w:tc>
        <w:tc>
          <w:tcPr>
            <w:tcW w:w="851" w:type="dxa"/>
            <w:vAlign w:val="center"/>
          </w:tcPr>
          <w:p w14:paraId="6E5563E6" w14:textId="77777777" w:rsidR="00241417" w:rsidRPr="00244EE2" w:rsidRDefault="00241417" w:rsidP="003A71DE">
            <w:pPr>
              <w:pStyle w:val="TAH"/>
            </w:pPr>
            <w:r w:rsidRPr="00244EE2">
              <w:t>100 MHz</w:t>
            </w:r>
          </w:p>
        </w:tc>
      </w:tr>
      <w:tr w:rsidR="00241417" w:rsidRPr="00244EE2" w14:paraId="01589F8C" w14:textId="77777777" w:rsidTr="003A71DE">
        <w:tc>
          <w:tcPr>
            <w:tcW w:w="1129" w:type="dxa"/>
            <w:vMerge w:val="restart"/>
            <w:vAlign w:val="center"/>
          </w:tcPr>
          <w:p w14:paraId="0B45C77E" w14:textId="77777777" w:rsidR="00241417" w:rsidRPr="00244EE2" w:rsidRDefault="00241417" w:rsidP="003A71DE">
            <w:pPr>
              <w:pStyle w:val="TAC"/>
            </w:pPr>
            <w:r w:rsidRPr="00244EE2">
              <w:t>1</w:t>
            </w:r>
          </w:p>
        </w:tc>
        <w:tc>
          <w:tcPr>
            <w:tcW w:w="1418" w:type="dxa"/>
            <w:vMerge w:val="restart"/>
            <w:vAlign w:val="center"/>
          </w:tcPr>
          <w:p w14:paraId="0F02D756" w14:textId="77777777" w:rsidR="00241417" w:rsidRPr="00244EE2" w:rsidRDefault="00241417" w:rsidP="003A71DE">
            <w:pPr>
              <w:pStyle w:val="TAC"/>
            </w:pPr>
            <w:r w:rsidRPr="00244EE2">
              <w:t>2</w:t>
            </w:r>
          </w:p>
        </w:tc>
        <w:tc>
          <w:tcPr>
            <w:tcW w:w="2693" w:type="dxa"/>
            <w:vMerge w:val="restart"/>
            <w:vAlign w:val="center"/>
          </w:tcPr>
          <w:p w14:paraId="7B0BB84F" w14:textId="77777777" w:rsidR="00241417" w:rsidRPr="00244EE2" w:rsidRDefault="00241417" w:rsidP="003A71DE">
            <w:pPr>
              <w:pStyle w:val="TAC"/>
            </w:pPr>
            <w:r w:rsidRPr="00244EE2">
              <w:t>TDLC300-100</w:t>
            </w:r>
            <w:r w:rsidRPr="00244EE2">
              <w:rPr>
                <w:lang w:eastAsia="zh-CN"/>
              </w:rPr>
              <w:t xml:space="preserve"> Low</w:t>
            </w:r>
          </w:p>
        </w:tc>
        <w:tc>
          <w:tcPr>
            <w:tcW w:w="1276" w:type="dxa"/>
            <w:vAlign w:val="center"/>
          </w:tcPr>
          <w:p w14:paraId="0BAAA623" w14:textId="77777777" w:rsidR="00241417" w:rsidRPr="00244EE2" w:rsidRDefault="00241417" w:rsidP="003A71DE">
            <w:pPr>
              <w:pStyle w:val="TAC"/>
            </w:pPr>
            <w:r w:rsidRPr="00244EE2">
              <w:t>1</w:t>
            </w:r>
          </w:p>
        </w:tc>
        <w:tc>
          <w:tcPr>
            <w:tcW w:w="850" w:type="dxa"/>
            <w:vAlign w:val="center"/>
          </w:tcPr>
          <w:p w14:paraId="2CB454DF" w14:textId="77777777" w:rsidR="00241417" w:rsidRPr="00244EE2" w:rsidRDefault="00241417" w:rsidP="003A71DE">
            <w:pPr>
              <w:pStyle w:val="TAC"/>
            </w:pPr>
            <w:r w:rsidRPr="00244EE2">
              <w:t>9.8</w:t>
            </w:r>
          </w:p>
        </w:tc>
        <w:tc>
          <w:tcPr>
            <w:tcW w:w="851" w:type="dxa"/>
            <w:vAlign w:val="center"/>
          </w:tcPr>
          <w:p w14:paraId="1D28C5C8" w14:textId="77777777" w:rsidR="00241417" w:rsidRPr="00244EE2" w:rsidRDefault="00241417" w:rsidP="003A71DE">
            <w:pPr>
              <w:pStyle w:val="TAC"/>
            </w:pPr>
            <w:r w:rsidRPr="00244EE2">
              <w:t>9.8</w:t>
            </w:r>
          </w:p>
        </w:tc>
        <w:tc>
          <w:tcPr>
            <w:tcW w:w="850" w:type="dxa"/>
            <w:vAlign w:val="center"/>
          </w:tcPr>
          <w:p w14:paraId="40384A2B" w14:textId="77777777" w:rsidR="00241417" w:rsidRPr="00244EE2" w:rsidRDefault="00241417" w:rsidP="003A71DE">
            <w:pPr>
              <w:pStyle w:val="TAC"/>
            </w:pPr>
            <w:r w:rsidRPr="00244EE2">
              <w:t>9.5</w:t>
            </w:r>
          </w:p>
        </w:tc>
        <w:tc>
          <w:tcPr>
            <w:tcW w:w="851" w:type="dxa"/>
            <w:vAlign w:val="center"/>
          </w:tcPr>
          <w:p w14:paraId="4A823C85" w14:textId="77777777" w:rsidR="00241417" w:rsidRPr="00244EE2" w:rsidRDefault="00241417" w:rsidP="003A71DE">
            <w:pPr>
              <w:pStyle w:val="TAC"/>
            </w:pPr>
            <w:r w:rsidRPr="00244EE2">
              <w:t>9.2</w:t>
            </w:r>
          </w:p>
        </w:tc>
      </w:tr>
      <w:tr w:rsidR="00241417" w:rsidRPr="00244EE2" w14:paraId="207ADA5A" w14:textId="77777777" w:rsidTr="003A71DE">
        <w:tc>
          <w:tcPr>
            <w:tcW w:w="1129" w:type="dxa"/>
            <w:vMerge/>
            <w:tcBorders>
              <w:bottom w:val="single" w:sz="4" w:space="0" w:color="auto"/>
            </w:tcBorders>
            <w:vAlign w:val="center"/>
          </w:tcPr>
          <w:p w14:paraId="3FED808C" w14:textId="77777777" w:rsidR="00241417" w:rsidRPr="00244EE2" w:rsidRDefault="00241417" w:rsidP="003A71DE">
            <w:pPr>
              <w:pStyle w:val="TAC"/>
            </w:pPr>
          </w:p>
        </w:tc>
        <w:tc>
          <w:tcPr>
            <w:tcW w:w="1418" w:type="dxa"/>
            <w:vMerge/>
            <w:tcBorders>
              <w:bottom w:val="single" w:sz="4" w:space="0" w:color="auto"/>
            </w:tcBorders>
            <w:vAlign w:val="center"/>
          </w:tcPr>
          <w:p w14:paraId="156947AA" w14:textId="77777777" w:rsidR="00241417" w:rsidRPr="00244EE2" w:rsidRDefault="00241417" w:rsidP="003A71DE">
            <w:pPr>
              <w:pStyle w:val="TAC"/>
            </w:pPr>
          </w:p>
        </w:tc>
        <w:tc>
          <w:tcPr>
            <w:tcW w:w="2693" w:type="dxa"/>
            <w:vMerge/>
            <w:tcBorders>
              <w:bottom w:val="single" w:sz="4" w:space="0" w:color="auto"/>
            </w:tcBorders>
            <w:vAlign w:val="center"/>
          </w:tcPr>
          <w:p w14:paraId="02EF0AAC" w14:textId="77777777" w:rsidR="00241417" w:rsidRPr="00244EE2" w:rsidRDefault="00241417" w:rsidP="003A71DE">
            <w:pPr>
              <w:pStyle w:val="TAC"/>
            </w:pPr>
          </w:p>
        </w:tc>
        <w:tc>
          <w:tcPr>
            <w:tcW w:w="1276" w:type="dxa"/>
            <w:vAlign w:val="center"/>
          </w:tcPr>
          <w:p w14:paraId="277907A8" w14:textId="77777777" w:rsidR="00241417" w:rsidRPr="00244EE2" w:rsidRDefault="00241417" w:rsidP="003A71DE">
            <w:pPr>
              <w:pStyle w:val="TAC"/>
            </w:pPr>
            <w:r w:rsidRPr="00244EE2">
              <w:t>2</w:t>
            </w:r>
          </w:p>
        </w:tc>
        <w:tc>
          <w:tcPr>
            <w:tcW w:w="850" w:type="dxa"/>
            <w:vAlign w:val="center"/>
          </w:tcPr>
          <w:p w14:paraId="69278116" w14:textId="77777777" w:rsidR="00241417" w:rsidRPr="00244EE2" w:rsidRDefault="00241417" w:rsidP="003A71DE">
            <w:pPr>
              <w:pStyle w:val="TAC"/>
            </w:pPr>
            <w:r w:rsidRPr="00244EE2">
              <w:t>4.2</w:t>
            </w:r>
          </w:p>
        </w:tc>
        <w:tc>
          <w:tcPr>
            <w:tcW w:w="851" w:type="dxa"/>
            <w:vAlign w:val="center"/>
          </w:tcPr>
          <w:p w14:paraId="2B901DA8" w14:textId="77777777" w:rsidR="00241417" w:rsidRPr="00244EE2" w:rsidRDefault="00241417" w:rsidP="003A71DE">
            <w:pPr>
              <w:pStyle w:val="TAC"/>
            </w:pPr>
            <w:r w:rsidRPr="00244EE2">
              <w:t>3.6</w:t>
            </w:r>
          </w:p>
        </w:tc>
        <w:tc>
          <w:tcPr>
            <w:tcW w:w="850" w:type="dxa"/>
            <w:vAlign w:val="center"/>
          </w:tcPr>
          <w:p w14:paraId="52CE88C0" w14:textId="77777777" w:rsidR="00241417" w:rsidRPr="00244EE2" w:rsidRDefault="00241417" w:rsidP="003A71DE">
            <w:pPr>
              <w:pStyle w:val="TAC"/>
            </w:pPr>
            <w:r w:rsidRPr="00244EE2">
              <w:t>3.8</w:t>
            </w:r>
          </w:p>
        </w:tc>
        <w:tc>
          <w:tcPr>
            <w:tcW w:w="851" w:type="dxa"/>
            <w:vAlign w:val="center"/>
          </w:tcPr>
          <w:p w14:paraId="58611BF8" w14:textId="77777777" w:rsidR="00241417" w:rsidRPr="00244EE2" w:rsidRDefault="00241417" w:rsidP="003A71DE">
            <w:pPr>
              <w:pStyle w:val="TAC"/>
            </w:pPr>
            <w:r w:rsidRPr="00244EE2">
              <w:t>3.5</w:t>
            </w:r>
          </w:p>
        </w:tc>
      </w:tr>
      <w:tr w:rsidR="00241417" w:rsidRPr="00244EE2" w14:paraId="4FDA4E71" w14:textId="77777777" w:rsidTr="003A71DE">
        <w:tc>
          <w:tcPr>
            <w:tcW w:w="1129" w:type="dxa"/>
            <w:vMerge w:val="restart"/>
            <w:vAlign w:val="center"/>
          </w:tcPr>
          <w:p w14:paraId="24177FB2" w14:textId="77777777" w:rsidR="00241417" w:rsidRPr="00244EE2" w:rsidRDefault="00241417" w:rsidP="003A71DE">
            <w:pPr>
              <w:pStyle w:val="TAC"/>
            </w:pPr>
            <w:r w:rsidRPr="00244EE2">
              <w:t>1</w:t>
            </w:r>
          </w:p>
        </w:tc>
        <w:tc>
          <w:tcPr>
            <w:tcW w:w="1418" w:type="dxa"/>
            <w:vMerge w:val="restart"/>
            <w:vAlign w:val="center"/>
          </w:tcPr>
          <w:p w14:paraId="348A90B4" w14:textId="77777777" w:rsidR="00241417" w:rsidRPr="00244EE2" w:rsidRDefault="00241417" w:rsidP="003A71DE">
            <w:pPr>
              <w:pStyle w:val="TAC"/>
            </w:pPr>
            <w:r w:rsidRPr="00244EE2">
              <w:t>4</w:t>
            </w:r>
          </w:p>
        </w:tc>
        <w:tc>
          <w:tcPr>
            <w:tcW w:w="2693" w:type="dxa"/>
            <w:vMerge w:val="restart"/>
            <w:vAlign w:val="center"/>
          </w:tcPr>
          <w:p w14:paraId="42DE1658" w14:textId="77777777" w:rsidR="00241417" w:rsidRPr="00244EE2" w:rsidRDefault="00241417" w:rsidP="003A71DE">
            <w:pPr>
              <w:pStyle w:val="TAC"/>
            </w:pPr>
            <w:r w:rsidRPr="00244EE2">
              <w:t>TDLC300-100</w:t>
            </w:r>
            <w:r w:rsidRPr="00244EE2">
              <w:rPr>
                <w:lang w:eastAsia="zh-CN"/>
              </w:rPr>
              <w:t xml:space="preserve"> Low</w:t>
            </w:r>
          </w:p>
        </w:tc>
        <w:tc>
          <w:tcPr>
            <w:tcW w:w="1276" w:type="dxa"/>
            <w:vAlign w:val="center"/>
          </w:tcPr>
          <w:p w14:paraId="5D0BF659" w14:textId="77777777" w:rsidR="00241417" w:rsidRPr="00244EE2" w:rsidRDefault="00241417" w:rsidP="003A71DE">
            <w:pPr>
              <w:pStyle w:val="TAC"/>
            </w:pPr>
            <w:r w:rsidRPr="00244EE2">
              <w:t>1</w:t>
            </w:r>
          </w:p>
        </w:tc>
        <w:tc>
          <w:tcPr>
            <w:tcW w:w="850" w:type="dxa"/>
            <w:vAlign w:val="center"/>
          </w:tcPr>
          <w:p w14:paraId="2EF6A001" w14:textId="77777777" w:rsidR="00241417" w:rsidRPr="00244EE2" w:rsidRDefault="00241417" w:rsidP="003A71DE">
            <w:pPr>
              <w:pStyle w:val="TAC"/>
            </w:pPr>
            <w:r w:rsidRPr="00244EE2">
              <w:t>3.4</w:t>
            </w:r>
          </w:p>
        </w:tc>
        <w:tc>
          <w:tcPr>
            <w:tcW w:w="851" w:type="dxa"/>
            <w:vAlign w:val="center"/>
          </w:tcPr>
          <w:p w14:paraId="466520E0" w14:textId="77777777" w:rsidR="00241417" w:rsidRPr="00244EE2" w:rsidRDefault="00241417" w:rsidP="003A71DE">
            <w:pPr>
              <w:pStyle w:val="TAC"/>
            </w:pPr>
            <w:r w:rsidRPr="00244EE2">
              <w:t>3.4</w:t>
            </w:r>
          </w:p>
        </w:tc>
        <w:tc>
          <w:tcPr>
            <w:tcW w:w="850" w:type="dxa"/>
            <w:vAlign w:val="center"/>
          </w:tcPr>
          <w:p w14:paraId="30AB1B66" w14:textId="77777777" w:rsidR="00241417" w:rsidRPr="00244EE2" w:rsidRDefault="00241417" w:rsidP="003A71DE">
            <w:pPr>
              <w:pStyle w:val="TAC"/>
            </w:pPr>
            <w:r w:rsidRPr="00244EE2">
              <w:t>3.0</w:t>
            </w:r>
          </w:p>
        </w:tc>
        <w:tc>
          <w:tcPr>
            <w:tcW w:w="851" w:type="dxa"/>
            <w:vAlign w:val="center"/>
          </w:tcPr>
          <w:p w14:paraId="2F46F2B8" w14:textId="77777777" w:rsidR="00241417" w:rsidRPr="00244EE2" w:rsidRDefault="00241417" w:rsidP="003A71DE">
            <w:pPr>
              <w:pStyle w:val="TAC"/>
            </w:pPr>
            <w:r w:rsidRPr="00244EE2">
              <w:t>3.3</w:t>
            </w:r>
          </w:p>
        </w:tc>
      </w:tr>
      <w:tr w:rsidR="00241417" w:rsidRPr="00244EE2" w14:paraId="2B5239B8" w14:textId="77777777" w:rsidTr="003A71DE">
        <w:tc>
          <w:tcPr>
            <w:tcW w:w="1129" w:type="dxa"/>
            <w:vMerge/>
            <w:tcBorders>
              <w:bottom w:val="single" w:sz="4" w:space="0" w:color="auto"/>
            </w:tcBorders>
            <w:vAlign w:val="center"/>
          </w:tcPr>
          <w:p w14:paraId="0500177A" w14:textId="77777777" w:rsidR="00241417" w:rsidRPr="00244EE2" w:rsidRDefault="00241417" w:rsidP="003A71DE">
            <w:pPr>
              <w:pStyle w:val="TAC"/>
            </w:pPr>
          </w:p>
        </w:tc>
        <w:tc>
          <w:tcPr>
            <w:tcW w:w="1418" w:type="dxa"/>
            <w:vMerge/>
            <w:tcBorders>
              <w:bottom w:val="single" w:sz="4" w:space="0" w:color="auto"/>
            </w:tcBorders>
            <w:vAlign w:val="center"/>
          </w:tcPr>
          <w:p w14:paraId="6F914F4D" w14:textId="77777777" w:rsidR="00241417" w:rsidRPr="00244EE2" w:rsidRDefault="00241417" w:rsidP="003A71DE">
            <w:pPr>
              <w:pStyle w:val="TAC"/>
            </w:pPr>
          </w:p>
        </w:tc>
        <w:tc>
          <w:tcPr>
            <w:tcW w:w="2693" w:type="dxa"/>
            <w:vMerge/>
            <w:tcBorders>
              <w:bottom w:val="single" w:sz="4" w:space="0" w:color="auto"/>
            </w:tcBorders>
            <w:vAlign w:val="center"/>
          </w:tcPr>
          <w:p w14:paraId="349C2EB7" w14:textId="77777777" w:rsidR="00241417" w:rsidRPr="00244EE2" w:rsidRDefault="00241417" w:rsidP="003A71DE">
            <w:pPr>
              <w:pStyle w:val="TAC"/>
            </w:pPr>
          </w:p>
        </w:tc>
        <w:tc>
          <w:tcPr>
            <w:tcW w:w="1276" w:type="dxa"/>
            <w:vAlign w:val="center"/>
          </w:tcPr>
          <w:p w14:paraId="66B8F221" w14:textId="77777777" w:rsidR="00241417" w:rsidRPr="00244EE2" w:rsidRDefault="00241417" w:rsidP="003A71DE">
            <w:pPr>
              <w:pStyle w:val="TAC"/>
            </w:pPr>
            <w:r w:rsidRPr="00244EE2">
              <w:t>2</w:t>
            </w:r>
          </w:p>
        </w:tc>
        <w:tc>
          <w:tcPr>
            <w:tcW w:w="850" w:type="dxa"/>
            <w:vAlign w:val="center"/>
          </w:tcPr>
          <w:p w14:paraId="602DB90C" w14:textId="77777777" w:rsidR="00241417" w:rsidRPr="00244EE2" w:rsidRDefault="00241417" w:rsidP="003A71DE">
            <w:pPr>
              <w:pStyle w:val="TAC"/>
            </w:pPr>
            <w:r w:rsidRPr="00244EE2">
              <w:t>-0.3</w:t>
            </w:r>
          </w:p>
        </w:tc>
        <w:tc>
          <w:tcPr>
            <w:tcW w:w="851" w:type="dxa"/>
            <w:vAlign w:val="center"/>
          </w:tcPr>
          <w:p w14:paraId="5520F220" w14:textId="77777777" w:rsidR="00241417" w:rsidRPr="00244EE2" w:rsidRDefault="00241417" w:rsidP="003A71DE">
            <w:pPr>
              <w:pStyle w:val="TAC"/>
            </w:pPr>
            <w:r w:rsidRPr="00244EE2">
              <w:t>-0.4</w:t>
            </w:r>
          </w:p>
        </w:tc>
        <w:tc>
          <w:tcPr>
            <w:tcW w:w="850" w:type="dxa"/>
            <w:vAlign w:val="center"/>
          </w:tcPr>
          <w:p w14:paraId="6BF59DA0" w14:textId="77777777" w:rsidR="00241417" w:rsidRPr="00244EE2" w:rsidRDefault="00241417" w:rsidP="003A71DE">
            <w:pPr>
              <w:pStyle w:val="TAC"/>
            </w:pPr>
            <w:r w:rsidRPr="00244EE2">
              <w:t>-0.5</w:t>
            </w:r>
          </w:p>
        </w:tc>
        <w:tc>
          <w:tcPr>
            <w:tcW w:w="851" w:type="dxa"/>
            <w:vAlign w:val="center"/>
          </w:tcPr>
          <w:p w14:paraId="48ACE176" w14:textId="77777777" w:rsidR="00241417" w:rsidRPr="00244EE2" w:rsidRDefault="00241417" w:rsidP="003A71DE">
            <w:pPr>
              <w:pStyle w:val="TAC"/>
            </w:pPr>
            <w:r w:rsidRPr="00244EE2">
              <w:t>-0.8</w:t>
            </w:r>
          </w:p>
        </w:tc>
      </w:tr>
      <w:tr w:rsidR="00241417" w:rsidRPr="00244EE2" w14:paraId="4DB41449" w14:textId="77777777" w:rsidTr="003A71DE">
        <w:tc>
          <w:tcPr>
            <w:tcW w:w="1129" w:type="dxa"/>
            <w:vMerge w:val="restart"/>
            <w:vAlign w:val="center"/>
          </w:tcPr>
          <w:p w14:paraId="0C7D171F" w14:textId="77777777" w:rsidR="00241417" w:rsidRPr="00244EE2" w:rsidRDefault="00241417" w:rsidP="003A71DE">
            <w:pPr>
              <w:pStyle w:val="TAC"/>
            </w:pPr>
            <w:r w:rsidRPr="00244EE2">
              <w:t>1</w:t>
            </w:r>
          </w:p>
        </w:tc>
        <w:tc>
          <w:tcPr>
            <w:tcW w:w="1418" w:type="dxa"/>
            <w:vMerge w:val="restart"/>
            <w:vAlign w:val="center"/>
          </w:tcPr>
          <w:p w14:paraId="35ECBA7B" w14:textId="77777777" w:rsidR="00241417" w:rsidRPr="00244EE2" w:rsidRDefault="00241417" w:rsidP="003A71DE">
            <w:pPr>
              <w:pStyle w:val="TAC"/>
            </w:pPr>
            <w:r w:rsidRPr="00244EE2">
              <w:t>8</w:t>
            </w:r>
          </w:p>
        </w:tc>
        <w:tc>
          <w:tcPr>
            <w:tcW w:w="2693" w:type="dxa"/>
            <w:vMerge w:val="restart"/>
            <w:vAlign w:val="center"/>
          </w:tcPr>
          <w:p w14:paraId="55BADFB1" w14:textId="77777777" w:rsidR="00241417" w:rsidRPr="00244EE2" w:rsidRDefault="00241417" w:rsidP="003A71DE">
            <w:pPr>
              <w:pStyle w:val="TAC"/>
            </w:pPr>
            <w:r w:rsidRPr="00244EE2">
              <w:t>TDLC300-100</w:t>
            </w:r>
            <w:r w:rsidRPr="00244EE2">
              <w:rPr>
                <w:lang w:eastAsia="zh-CN"/>
              </w:rPr>
              <w:t xml:space="preserve"> Low</w:t>
            </w:r>
          </w:p>
        </w:tc>
        <w:tc>
          <w:tcPr>
            <w:tcW w:w="1276" w:type="dxa"/>
            <w:vAlign w:val="center"/>
          </w:tcPr>
          <w:p w14:paraId="7D246F6D" w14:textId="77777777" w:rsidR="00241417" w:rsidRPr="00244EE2" w:rsidRDefault="00241417" w:rsidP="003A71DE">
            <w:pPr>
              <w:pStyle w:val="TAC"/>
            </w:pPr>
            <w:r w:rsidRPr="00244EE2">
              <w:t>1</w:t>
            </w:r>
          </w:p>
        </w:tc>
        <w:tc>
          <w:tcPr>
            <w:tcW w:w="850" w:type="dxa"/>
            <w:vAlign w:val="center"/>
          </w:tcPr>
          <w:p w14:paraId="79D3988A" w14:textId="77777777" w:rsidR="00241417" w:rsidRPr="00244EE2" w:rsidRDefault="00241417" w:rsidP="003A71DE">
            <w:pPr>
              <w:pStyle w:val="TAC"/>
            </w:pPr>
            <w:r w:rsidRPr="00244EE2">
              <w:t>-1.0</w:t>
            </w:r>
          </w:p>
        </w:tc>
        <w:tc>
          <w:tcPr>
            <w:tcW w:w="851" w:type="dxa"/>
            <w:vAlign w:val="center"/>
          </w:tcPr>
          <w:p w14:paraId="458FCE5C" w14:textId="77777777" w:rsidR="00241417" w:rsidRPr="00244EE2" w:rsidRDefault="00241417" w:rsidP="003A71DE">
            <w:pPr>
              <w:pStyle w:val="TAC"/>
            </w:pPr>
            <w:r w:rsidRPr="00244EE2">
              <w:t>-1.0</w:t>
            </w:r>
          </w:p>
        </w:tc>
        <w:tc>
          <w:tcPr>
            <w:tcW w:w="850" w:type="dxa"/>
            <w:vAlign w:val="center"/>
          </w:tcPr>
          <w:p w14:paraId="38EC6C60" w14:textId="77777777" w:rsidR="00241417" w:rsidRPr="00244EE2" w:rsidRDefault="00241417" w:rsidP="003A71DE">
            <w:pPr>
              <w:pStyle w:val="TAC"/>
            </w:pPr>
            <w:r w:rsidRPr="00244EE2">
              <w:t>-1.1</w:t>
            </w:r>
          </w:p>
        </w:tc>
        <w:tc>
          <w:tcPr>
            <w:tcW w:w="851" w:type="dxa"/>
            <w:vAlign w:val="center"/>
          </w:tcPr>
          <w:p w14:paraId="61066741" w14:textId="77777777" w:rsidR="00241417" w:rsidRPr="00244EE2" w:rsidRDefault="00241417" w:rsidP="003A71DE">
            <w:pPr>
              <w:pStyle w:val="TAC"/>
            </w:pPr>
            <w:r w:rsidRPr="00244EE2">
              <w:t>-1.0</w:t>
            </w:r>
          </w:p>
        </w:tc>
      </w:tr>
      <w:tr w:rsidR="00241417" w:rsidRPr="00244EE2" w14:paraId="6DDD827E" w14:textId="77777777" w:rsidTr="003A71DE">
        <w:tc>
          <w:tcPr>
            <w:tcW w:w="1129" w:type="dxa"/>
            <w:vMerge/>
            <w:vAlign w:val="center"/>
          </w:tcPr>
          <w:p w14:paraId="107B0F09" w14:textId="77777777" w:rsidR="00241417" w:rsidRPr="00244EE2" w:rsidRDefault="00241417" w:rsidP="003A71DE">
            <w:pPr>
              <w:pStyle w:val="TAC"/>
            </w:pPr>
          </w:p>
        </w:tc>
        <w:tc>
          <w:tcPr>
            <w:tcW w:w="1418" w:type="dxa"/>
            <w:vMerge/>
            <w:vAlign w:val="center"/>
          </w:tcPr>
          <w:p w14:paraId="5BFC8FEE" w14:textId="77777777" w:rsidR="00241417" w:rsidRPr="00244EE2" w:rsidRDefault="00241417" w:rsidP="003A71DE">
            <w:pPr>
              <w:pStyle w:val="TAC"/>
            </w:pPr>
          </w:p>
        </w:tc>
        <w:tc>
          <w:tcPr>
            <w:tcW w:w="2693" w:type="dxa"/>
            <w:vMerge/>
            <w:vAlign w:val="center"/>
          </w:tcPr>
          <w:p w14:paraId="032A7821" w14:textId="77777777" w:rsidR="00241417" w:rsidRPr="00244EE2" w:rsidRDefault="00241417" w:rsidP="003A71DE">
            <w:pPr>
              <w:pStyle w:val="TAC"/>
            </w:pPr>
          </w:p>
        </w:tc>
        <w:tc>
          <w:tcPr>
            <w:tcW w:w="1276" w:type="dxa"/>
            <w:vAlign w:val="center"/>
          </w:tcPr>
          <w:p w14:paraId="0F4F353A" w14:textId="77777777" w:rsidR="00241417" w:rsidRPr="00244EE2" w:rsidRDefault="00241417" w:rsidP="003A71DE">
            <w:pPr>
              <w:pStyle w:val="TAC"/>
            </w:pPr>
            <w:r w:rsidRPr="00244EE2">
              <w:t>2</w:t>
            </w:r>
          </w:p>
        </w:tc>
        <w:tc>
          <w:tcPr>
            <w:tcW w:w="850" w:type="dxa"/>
            <w:vAlign w:val="center"/>
          </w:tcPr>
          <w:p w14:paraId="6CB99E21" w14:textId="77777777" w:rsidR="00241417" w:rsidRPr="00244EE2" w:rsidRDefault="00241417" w:rsidP="003A71DE">
            <w:pPr>
              <w:pStyle w:val="TAC"/>
            </w:pPr>
            <w:r w:rsidRPr="00244EE2">
              <w:t>-3.7</w:t>
            </w:r>
          </w:p>
        </w:tc>
        <w:tc>
          <w:tcPr>
            <w:tcW w:w="851" w:type="dxa"/>
            <w:vAlign w:val="center"/>
          </w:tcPr>
          <w:p w14:paraId="27F44157" w14:textId="77777777" w:rsidR="00241417" w:rsidRPr="00244EE2" w:rsidRDefault="00241417" w:rsidP="003A71DE">
            <w:pPr>
              <w:pStyle w:val="TAC"/>
            </w:pPr>
            <w:r w:rsidRPr="00244EE2">
              <w:t>-3.8</w:t>
            </w:r>
          </w:p>
        </w:tc>
        <w:tc>
          <w:tcPr>
            <w:tcW w:w="850" w:type="dxa"/>
            <w:vAlign w:val="center"/>
          </w:tcPr>
          <w:p w14:paraId="607B6911" w14:textId="77777777" w:rsidR="00241417" w:rsidRPr="00244EE2" w:rsidRDefault="00241417" w:rsidP="003A71DE">
            <w:pPr>
              <w:pStyle w:val="TAC"/>
            </w:pPr>
            <w:r w:rsidRPr="00244EE2">
              <w:t>-4.0</w:t>
            </w:r>
          </w:p>
        </w:tc>
        <w:tc>
          <w:tcPr>
            <w:tcW w:w="851" w:type="dxa"/>
            <w:vAlign w:val="center"/>
          </w:tcPr>
          <w:p w14:paraId="797A8F6F" w14:textId="77777777" w:rsidR="00241417" w:rsidRPr="00244EE2" w:rsidRDefault="00241417" w:rsidP="003A71DE">
            <w:pPr>
              <w:pStyle w:val="TAC"/>
            </w:pPr>
            <w:r w:rsidRPr="00244EE2">
              <w:t>-3.9</w:t>
            </w:r>
          </w:p>
        </w:tc>
      </w:tr>
    </w:tbl>
    <w:p w14:paraId="65E40EA3" w14:textId="77777777" w:rsidR="00241417" w:rsidRDefault="00241417" w:rsidP="00241417"/>
    <w:p w14:paraId="79126E95" w14:textId="77777777" w:rsidR="00241417" w:rsidRDefault="00241417" w:rsidP="00241417">
      <w:pPr>
        <w:pStyle w:val="Heading4"/>
        <w:rPr>
          <w:rFonts w:eastAsia="Malgun Gothic"/>
        </w:rPr>
      </w:pPr>
      <w:bookmarkStart w:id="3581" w:name="_Toc74583258"/>
      <w:bookmarkStart w:id="3582" w:name="_Toc76542071"/>
      <w:bookmarkStart w:id="3583" w:name="_Toc82450053"/>
      <w:bookmarkStart w:id="3584" w:name="_Toc82450701"/>
      <w:bookmarkStart w:id="3585" w:name="_Toc89949090"/>
      <w:bookmarkStart w:id="3586" w:name="_Toc98755479"/>
      <w:bookmarkStart w:id="3587" w:name="_Toc98763070"/>
      <w:bookmarkStart w:id="3588" w:name="_Toc106183999"/>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w:t>
      </w:r>
      <w:r>
        <w:rPr>
          <w:rFonts w:eastAsia="Malgun Gothic"/>
        </w:rPr>
        <w:t>3</w:t>
      </w:r>
      <w:r w:rsidRPr="00B454A0">
        <w:rPr>
          <w:rFonts w:eastAsia="Malgun Gothic"/>
        </w:rPr>
        <w:tab/>
      </w:r>
      <w:r>
        <w:rPr>
          <w:rFonts w:eastAsia="Malgun Gothic"/>
        </w:rPr>
        <w:t>Performance requirements for PUCCH format 1</w:t>
      </w:r>
      <w:bookmarkEnd w:id="3581"/>
      <w:bookmarkEnd w:id="3582"/>
      <w:bookmarkEnd w:id="3583"/>
      <w:bookmarkEnd w:id="3584"/>
      <w:bookmarkEnd w:id="3585"/>
      <w:bookmarkEnd w:id="3586"/>
      <w:bookmarkEnd w:id="3587"/>
      <w:bookmarkEnd w:id="3588"/>
    </w:p>
    <w:p w14:paraId="5329557F" w14:textId="77777777" w:rsidR="00241417" w:rsidRDefault="00241417" w:rsidP="00241417">
      <w:pPr>
        <w:pStyle w:val="Heading5"/>
      </w:pPr>
      <w:bookmarkStart w:id="3589" w:name="_Toc74583259"/>
      <w:bookmarkStart w:id="3590" w:name="_Toc76542072"/>
      <w:bookmarkStart w:id="3591" w:name="_Toc82450054"/>
      <w:bookmarkStart w:id="3592" w:name="_Toc82450702"/>
      <w:bookmarkStart w:id="3593" w:name="_Toc89949091"/>
      <w:bookmarkStart w:id="3594" w:name="_Toc98755480"/>
      <w:bookmarkStart w:id="3595" w:name="_Toc98763071"/>
      <w:bookmarkStart w:id="3596" w:name="_Toc106184000"/>
      <w:r>
        <w:t>8</w:t>
      </w:r>
      <w:r w:rsidRPr="00EE4A40">
        <w:t>.</w:t>
      </w:r>
      <w:r>
        <w:t>1</w:t>
      </w:r>
      <w:r w:rsidRPr="00EE4A40">
        <w:t>.</w:t>
      </w:r>
      <w:r>
        <w:t>3</w:t>
      </w:r>
      <w:r w:rsidRPr="00EE4A40">
        <w:t>.</w:t>
      </w:r>
      <w:r>
        <w:t>3</w:t>
      </w:r>
      <w:r w:rsidRPr="00EE4A40">
        <w:t>.</w:t>
      </w:r>
      <w:r>
        <w:t>1</w:t>
      </w:r>
      <w:r>
        <w:tab/>
        <w:t>NACK to ACK requirements</w:t>
      </w:r>
      <w:bookmarkEnd w:id="3589"/>
      <w:bookmarkEnd w:id="3590"/>
      <w:bookmarkEnd w:id="3591"/>
      <w:bookmarkEnd w:id="3592"/>
      <w:bookmarkEnd w:id="3593"/>
      <w:bookmarkEnd w:id="3594"/>
      <w:bookmarkEnd w:id="3595"/>
      <w:bookmarkEnd w:id="3596"/>
    </w:p>
    <w:p w14:paraId="73C1BD47" w14:textId="77777777" w:rsidR="00241417" w:rsidRDefault="00241417" w:rsidP="00241417">
      <w:pPr>
        <w:pStyle w:val="H6"/>
      </w:pPr>
      <w:r>
        <w:t>8</w:t>
      </w:r>
      <w:r w:rsidRPr="00D57F98">
        <w:t>.</w:t>
      </w:r>
      <w:r>
        <w:t>1</w:t>
      </w:r>
      <w:r w:rsidRPr="00D57F98">
        <w:t>.</w:t>
      </w:r>
      <w:r>
        <w:t>3</w:t>
      </w:r>
      <w:r w:rsidRPr="00D57F98">
        <w:t>.</w:t>
      </w:r>
      <w:r>
        <w:t>3</w:t>
      </w:r>
      <w:r w:rsidRPr="00D57F98">
        <w:t>.</w:t>
      </w:r>
      <w:r>
        <w:t>1</w:t>
      </w:r>
      <w:r w:rsidRPr="00D57F98">
        <w:t>.1</w:t>
      </w:r>
      <w:r>
        <w:tab/>
        <w:t>General</w:t>
      </w:r>
    </w:p>
    <w:p w14:paraId="6A874C52" w14:textId="77777777" w:rsidR="00241417" w:rsidRPr="006C7AF4" w:rsidRDefault="00241417" w:rsidP="00241417">
      <w:pPr>
        <w:rPr>
          <w:lang w:val="en-US"/>
        </w:rPr>
      </w:pPr>
      <w:r w:rsidRPr="006C7AF4">
        <w:rPr>
          <w:lang w:val="en-US"/>
        </w:rPr>
        <w:t>The NACK to ACK detection probability is the probability that an ACK bit is falsely detected when an NACK bit was sent on the particular bit position, where the NACK to ACK detection probability is defined as follows:</w:t>
      </w:r>
    </w:p>
    <w:p w14:paraId="6387C59F" w14:textId="77777777" w:rsidR="00241417" w:rsidRPr="00B054F4" w:rsidRDefault="00241417" w:rsidP="00241417">
      <w:pPr>
        <w:pStyle w:val="EQ"/>
      </w:pPr>
      <w:r w:rsidRPr="006C7AF4">
        <w:rPr>
          <w:lang w:val="en-US"/>
        </w:rPr>
        <w:tab/>
      </w:r>
      <w:r w:rsidRPr="003F2D0E">
        <w:rPr>
          <w:rFonts w:ascii="Cambria Math" w:hAnsi="Cambria Math"/>
          <w:i/>
          <w:position w:val="-24"/>
          <w:lang w:val="en-US" w:eastAsia="zh-CN"/>
        </w:rPr>
        <w:drawing>
          <wp:inline distT="0" distB="0" distL="0" distR="0" wp14:anchorId="16E7DA6F" wp14:editId="57B39FC7">
            <wp:extent cx="3816350" cy="355600"/>
            <wp:effectExtent l="0" t="0" r="0" b="0"/>
            <wp:docPr id="1710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816350" cy="355600"/>
                    </a:xfrm>
                    <a:prstGeom prst="rect">
                      <a:avLst/>
                    </a:prstGeom>
                    <a:noFill/>
                    <a:ln>
                      <a:noFill/>
                    </a:ln>
                  </pic:spPr>
                </pic:pic>
              </a:graphicData>
            </a:graphic>
          </wp:inline>
        </w:drawing>
      </w:r>
      <w:r w:rsidRPr="00B054F4">
        <w:t>,</w:t>
      </w:r>
    </w:p>
    <w:p w14:paraId="6AB54AD0" w14:textId="77777777" w:rsidR="00241417" w:rsidRPr="00B054F4" w:rsidRDefault="00241417" w:rsidP="00241417">
      <w:pPr>
        <w:rPr>
          <w:lang w:eastAsia="zh-CN"/>
        </w:rPr>
      </w:pPr>
      <w:r w:rsidRPr="00B054F4">
        <w:t>where:</w:t>
      </w:r>
    </w:p>
    <w:p w14:paraId="4803F689" w14:textId="77777777" w:rsidR="00241417" w:rsidRPr="00B054F4" w:rsidRDefault="00241417" w:rsidP="00241417">
      <w:pPr>
        <w:pStyle w:val="B10"/>
      </w:pPr>
      <w:r w:rsidRPr="00B054F4">
        <w:lastRenderedPageBreak/>
        <w:t>-</w:t>
      </w:r>
      <w:r w:rsidRPr="00B054F4">
        <w:tab/>
      </w:r>
      <w:r w:rsidRPr="003F2D0E">
        <w:rPr>
          <w:noProof/>
          <w:lang w:val="en-US" w:eastAsia="zh-CN"/>
        </w:rPr>
        <w:drawing>
          <wp:inline distT="0" distB="0" distL="0" distR="0" wp14:anchorId="21056BC3" wp14:editId="6803E2D7">
            <wp:extent cx="1079500" cy="190500"/>
            <wp:effectExtent l="0" t="0" r="0" b="0"/>
            <wp:docPr id="1710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79500" cy="190500"/>
                    </a:xfrm>
                    <a:prstGeom prst="rect">
                      <a:avLst/>
                    </a:prstGeom>
                    <a:noFill/>
                    <a:ln>
                      <a:noFill/>
                    </a:ln>
                  </pic:spPr>
                </pic:pic>
              </a:graphicData>
            </a:graphic>
          </wp:inline>
        </w:drawing>
      </w:r>
      <w:r w:rsidRPr="00B054F4">
        <w:t>denotes the total number of NACK bits transmitted</w:t>
      </w:r>
    </w:p>
    <w:p w14:paraId="5B15D1F7" w14:textId="77777777" w:rsidR="00241417" w:rsidRPr="00B054F4" w:rsidRDefault="00241417" w:rsidP="00241417">
      <w:pPr>
        <w:pStyle w:val="B10"/>
      </w:pPr>
      <w:r w:rsidRPr="00B054F4">
        <w:t>-</w:t>
      </w:r>
      <w:r w:rsidRPr="00B054F4">
        <w:tab/>
      </w:r>
      <w:r w:rsidRPr="003F2D0E">
        <w:rPr>
          <w:noProof/>
          <w:lang w:val="en-US" w:eastAsia="zh-CN"/>
        </w:rPr>
        <w:drawing>
          <wp:inline distT="0" distB="0" distL="0" distR="0" wp14:anchorId="78224B7C" wp14:editId="56B6DE23">
            <wp:extent cx="1873250" cy="190500"/>
            <wp:effectExtent l="0" t="0" r="0" b="0"/>
            <wp:docPr id="1710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73250" cy="190500"/>
                    </a:xfrm>
                    <a:prstGeom prst="rect">
                      <a:avLst/>
                    </a:prstGeom>
                    <a:noFill/>
                    <a:ln>
                      <a:noFill/>
                    </a:ln>
                  </pic:spPr>
                </pic:pic>
              </a:graphicData>
            </a:graphic>
          </wp:inline>
        </w:drawing>
      </w:r>
      <w:r w:rsidRPr="00B054F4">
        <w:t>denotes the number of NACK bits decoded as ACK bits at the receiver, i.e. the number of received ACK bits</w:t>
      </w:r>
    </w:p>
    <w:p w14:paraId="6F24D5A8" w14:textId="77777777" w:rsidR="00241417" w:rsidRPr="00B054F4" w:rsidRDefault="00241417" w:rsidP="00241417">
      <w:pPr>
        <w:pStyle w:val="B10"/>
      </w:pPr>
      <w:r w:rsidRPr="00B054F4">
        <w:t>-</w:t>
      </w:r>
      <w:r w:rsidRPr="00B054F4">
        <w:tab/>
        <w:t>NACK bits in the definition do not contain the NACK bits which are mapped from DTX, i.e. NACK bits received when DTX is sent should not be considered.</w:t>
      </w:r>
    </w:p>
    <w:p w14:paraId="73258191" w14:textId="77777777" w:rsidR="00241417" w:rsidRPr="00B054F4" w:rsidRDefault="00241417" w:rsidP="00241417">
      <w:r w:rsidRPr="00B054F4">
        <w:t>Random codeword selection is assumed.</w:t>
      </w:r>
    </w:p>
    <w:p w14:paraId="00E89B7B" w14:textId="77777777" w:rsidR="00241417" w:rsidRPr="003F2D0E" w:rsidRDefault="00241417" w:rsidP="00241417">
      <w:pPr>
        <w:pStyle w:val="TH"/>
      </w:pPr>
      <w:r w:rsidRPr="003F2D0E">
        <w:t>Table 8.</w:t>
      </w:r>
      <w:r>
        <w:t>1</w:t>
      </w:r>
      <w:r w:rsidRPr="003F2D0E">
        <w:t>.3.</w:t>
      </w:r>
      <w:r>
        <w:t>3</w:t>
      </w:r>
      <w:r w:rsidRPr="003F2D0E">
        <w:t>.1</w:t>
      </w:r>
      <w:r>
        <w:t>.1</w:t>
      </w:r>
      <w:r w:rsidRPr="003F2D0E">
        <w:t>-1: Test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5"/>
        <w:gridCol w:w="2126"/>
      </w:tblGrid>
      <w:tr w:rsidR="00241417" w:rsidRPr="003F2D0E" w14:paraId="58687A28" w14:textId="77777777" w:rsidTr="003A71DE">
        <w:trPr>
          <w:cantSplit/>
          <w:jc w:val="center"/>
        </w:trPr>
        <w:tc>
          <w:tcPr>
            <w:tcW w:w="3485" w:type="dxa"/>
          </w:tcPr>
          <w:p w14:paraId="76A15E46" w14:textId="77777777" w:rsidR="00241417" w:rsidRPr="003F2D0E" w:rsidRDefault="00241417" w:rsidP="003A71DE">
            <w:pPr>
              <w:pStyle w:val="TAH"/>
            </w:pPr>
            <w:r w:rsidRPr="003F2D0E">
              <w:t>Parameter</w:t>
            </w:r>
          </w:p>
        </w:tc>
        <w:tc>
          <w:tcPr>
            <w:tcW w:w="2126" w:type="dxa"/>
          </w:tcPr>
          <w:p w14:paraId="27AAA429" w14:textId="77777777" w:rsidR="00241417" w:rsidRPr="003F2D0E" w:rsidRDefault="00241417" w:rsidP="003A71DE">
            <w:pPr>
              <w:pStyle w:val="TAH"/>
            </w:pPr>
            <w:r w:rsidRPr="003F2D0E">
              <w:t>Test</w:t>
            </w:r>
          </w:p>
        </w:tc>
      </w:tr>
      <w:tr w:rsidR="00241417" w:rsidRPr="003F2D0E" w14:paraId="4A0836C4" w14:textId="77777777" w:rsidTr="003A71DE">
        <w:trPr>
          <w:cantSplit/>
          <w:jc w:val="center"/>
        </w:trPr>
        <w:tc>
          <w:tcPr>
            <w:tcW w:w="3485" w:type="dxa"/>
            <w:vAlign w:val="center"/>
          </w:tcPr>
          <w:p w14:paraId="3B233263" w14:textId="77777777" w:rsidR="00241417" w:rsidRPr="003F2D0E" w:rsidRDefault="00241417" w:rsidP="003A71DE">
            <w:pPr>
              <w:pStyle w:val="TAL"/>
              <w:rPr>
                <w:lang w:eastAsia="zh-CN"/>
              </w:rPr>
            </w:pPr>
            <w:r>
              <w:rPr>
                <w:lang w:eastAsia="zh-CN"/>
              </w:rPr>
              <w:t>Cyclic prefix</w:t>
            </w:r>
          </w:p>
        </w:tc>
        <w:tc>
          <w:tcPr>
            <w:tcW w:w="2126" w:type="dxa"/>
            <w:vAlign w:val="center"/>
          </w:tcPr>
          <w:p w14:paraId="5050E258" w14:textId="77777777" w:rsidR="00241417" w:rsidRPr="003F2D0E" w:rsidRDefault="00241417" w:rsidP="003A71DE">
            <w:pPr>
              <w:pStyle w:val="TAC"/>
            </w:pPr>
            <w:r>
              <w:t>Normal</w:t>
            </w:r>
          </w:p>
        </w:tc>
      </w:tr>
      <w:tr w:rsidR="00241417" w:rsidRPr="003F2D0E" w14:paraId="1E57E9F2" w14:textId="77777777" w:rsidTr="003A71DE">
        <w:trPr>
          <w:cantSplit/>
          <w:jc w:val="center"/>
        </w:trPr>
        <w:tc>
          <w:tcPr>
            <w:tcW w:w="3485" w:type="dxa"/>
            <w:vAlign w:val="center"/>
          </w:tcPr>
          <w:p w14:paraId="3829CD27" w14:textId="77777777" w:rsidR="00241417" w:rsidRPr="003F2D0E" w:rsidRDefault="00241417" w:rsidP="003A71DE">
            <w:pPr>
              <w:pStyle w:val="TAL"/>
              <w:rPr>
                <w:lang w:eastAsia="zh-CN"/>
              </w:rPr>
            </w:pPr>
            <w:r w:rsidRPr="003F2D0E">
              <w:rPr>
                <w:lang w:eastAsia="zh-CN"/>
              </w:rPr>
              <w:t>Number of information bits</w:t>
            </w:r>
          </w:p>
        </w:tc>
        <w:tc>
          <w:tcPr>
            <w:tcW w:w="2126" w:type="dxa"/>
            <w:vAlign w:val="center"/>
          </w:tcPr>
          <w:p w14:paraId="36B023BD" w14:textId="77777777" w:rsidR="00241417" w:rsidRPr="003F2D0E" w:rsidRDefault="00241417" w:rsidP="003A71DE">
            <w:pPr>
              <w:pStyle w:val="TAC"/>
            </w:pPr>
            <w:r w:rsidRPr="003F2D0E">
              <w:t>2</w:t>
            </w:r>
          </w:p>
        </w:tc>
      </w:tr>
      <w:tr w:rsidR="00241417" w:rsidRPr="003F2D0E" w14:paraId="35C39E8A" w14:textId="77777777" w:rsidTr="003A71DE">
        <w:trPr>
          <w:cantSplit/>
          <w:jc w:val="center"/>
        </w:trPr>
        <w:tc>
          <w:tcPr>
            <w:tcW w:w="3485" w:type="dxa"/>
            <w:vAlign w:val="center"/>
          </w:tcPr>
          <w:p w14:paraId="2DB6AC0D" w14:textId="77777777" w:rsidR="00241417" w:rsidRPr="003F2D0E" w:rsidRDefault="00241417" w:rsidP="003A71DE">
            <w:pPr>
              <w:pStyle w:val="TAL"/>
              <w:rPr>
                <w:rFonts w:eastAsia="?? ??" w:cs="Arial"/>
              </w:rPr>
            </w:pPr>
            <w:r w:rsidRPr="003F2D0E">
              <w:t>Number of PRBs</w:t>
            </w:r>
          </w:p>
        </w:tc>
        <w:tc>
          <w:tcPr>
            <w:tcW w:w="2126" w:type="dxa"/>
            <w:vAlign w:val="center"/>
          </w:tcPr>
          <w:p w14:paraId="53F33EF8" w14:textId="77777777" w:rsidR="00241417" w:rsidRPr="003F2D0E" w:rsidRDefault="00241417" w:rsidP="003A71DE">
            <w:pPr>
              <w:pStyle w:val="TAC"/>
            </w:pPr>
            <w:r w:rsidRPr="003F2D0E">
              <w:t>1</w:t>
            </w:r>
          </w:p>
        </w:tc>
      </w:tr>
      <w:tr w:rsidR="00241417" w:rsidRPr="003F2D0E" w14:paraId="15B8CD08" w14:textId="77777777" w:rsidTr="003A71DE">
        <w:trPr>
          <w:cantSplit/>
          <w:jc w:val="center"/>
        </w:trPr>
        <w:tc>
          <w:tcPr>
            <w:tcW w:w="3485" w:type="dxa"/>
            <w:vAlign w:val="center"/>
          </w:tcPr>
          <w:p w14:paraId="2CA5E3EF" w14:textId="77777777" w:rsidR="00241417" w:rsidRPr="003F2D0E" w:rsidRDefault="00241417" w:rsidP="003A71DE">
            <w:pPr>
              <w:pStyle w:val="TAL"/>
              <w:rPr>
                <w:rFonts w:eastAsia="?? ??" w:cs="Arial"/>
              </w:rPr>
            </w:pPr>
            <w:r w:rsidRPr="003F2D0E">
              <w:t>Number of symbols</w:t>
            </w:r>
          </w:p>
        </w:tc>
        <w:tc>
          <w:tcPr>
            <w:tcW w:w="2126" w:type="dxa"/>
            <w:vAlign w:val="center"/>
          </w:tcPr>
          <w:p w14:paraId="73260C75" w14:textId="77777777" w:rsidR="00241417" w:rsidRPr="003F2D0E" w:rsidRDefault="00241417" w:rsidP="003A71DE">
            <w:pPr>
              <w:pStyle w:val="TAC"/>
            </w:pPr>
            <w:r w:rsidRPr="003F2D0E">
              <w:t>14</w:t>
            </w:r>
          </w:p>
        </w:tc>
      </w:tr>
      <w:tr w:rsidR="00241417" w:rsidRPr="003F2D0E" w14:paraId="0EB9851B" w14:textId="77777777" w:rsidTr="003A71DE">
        <w:trPr>
          <w:cantSplit/>
          <w:jc w:val="center"/>
        </w:trPr>
        <w:tc>
          <w:tcPr>
            <w:tcW w:w="3485" w:type="dxa"/>
            <w:vAlign w:val="center"/>
          </w:tcPr>
          <w:p w14:paraId="6D9E6E5D" w14:textId="77777777" w:rsidR="00241417" w:rsidRPr="00B054F4" w:rsidRDefault="00241417" w:rsidP="003A71DE">
            <w:pPr>
              <w:pStyle w:val="TAL"/>
            </w:pPr>
            <w:r w:rsidRPr="00B054F4">
              <w:t>First PRB prior to frequency hopping</w:t>
            </w:r>
          </w:p>
        </w:tc>
        <w:tc>
          <w:tcPr>
            <w:tcW w:w="2126" w:type="dxa"/>
            <w:vAlign w:val="center"/>
          </w:tcPr>
          <w:p w14:paraId="71FCEA68" w14:textId="77777777" w:rsidR="00241417" w:rsidRPr="003F2D0E" w:rsidRDefault="00241417" w:rsidP="003A71DE">
            <w:pPr>
              <w:pStyle w:val="TAC"/>
            </w:pPr>
            <w:r w:rsidRPr="003F2D0E">
              <w:t>0</w:t>
            </w:r>
          </w:p>
        </w:tc>
      </w:tr>
      <w:tr w:rsidR="00241417" w:rsidRPr="003F2D0E" w14:paraId="62658A77" w14:textId="77777777" w:rsidTr="003A71DE">
        <w:trPr>
          <w:cantSplit/>
          <w:jc w:val="center"/>
        </w:trPr>
        <w:tc>
          <w:tcPr>
            <w:tcW w:w="3485" w:type="dxa"/>
            <w:vAlign w:val="center"/>
          </w:tcPr>
          <w:p w14:paraId="7E3410E1" w14:textId="77777777" w:rsidR="00241417" w:rsidRPr="003F2D0E" w:rsidRDefault="00241417" w:rsidP="003A71DE">
            <w:pPr>
              <w:pStyle w:val="TAL"/>
            </w:pPr>
            <w:r w:rsidRPr="003F2D0E">
              <w:t>Intra-slot frequency hopping</w:t>
            </w:r>
          </w:p>
        </w:tc>
        <w:tc>
          <w:tcPr>
            <w:tcW w:w="2126" w:type="dxa"/>
            <w:vAlign w:val="center"/>
          </w:tcPr>
          <w:p w14:paraId="2E789128" w14:textId="77777777" w:rsidR="00241417" w:rsidRPr="003F2D0E" w:rsidRDefault="00241417" w:rsidP="003A71DE">
            <w:pPr>
              <w:pStyle w:val="TAC"/>
            </w:pPr>
            <w:r w:rsidRPr="003F2D0E">
              <w:t>enabled</w:t>
            </w:r>
          </w:p>
        </w:tc>
      </w:tr>
      <w:tr w:rsidR="00241417" w:rsidRPr="00B054F4" w14:paraId="53ED5C51" w14:textId="77777777" w:rsidTr="003A71DE">
        <w:trPr>
          <w:cantSplit/>
          <w:jc w:val="center"/>
        </w:trPr>
        <w:tc>
          <w:tcPr>
            <w:tcW w:w="3485" w:type="dxa"/>
            <w:vAlign w:val="center"/>
          </w:tcPr>
          <w:p w14:paraId="6C7DD663" w14:textId="77777777" w:rsidR="00241417" w:rsidRPr="00B054F4" w:rsidRDefault="00241417" w:rsidP="003A71DE">
            <w:pPr>
              <w:pStyle w:val="TAL"/>
            </w:pPr>
            <w:r w:rsidRPr="00B054F4">
              <w:t>First PRB after frequency hopping</w:t>
            </w:r>
          </w:p>
        </w:tc>
        <w:tc>
          <w:tcPr>
            <w:tcW w:w="2126" w:type="dxa"/>
            <w:vAlign w:val="center"/>
          </w:tcPr>
          <w:p w14:paraId="32968808" w14:textId="77777777" w:rsidR="00241417" w:rsidRPr="00B054F4" w:rsidRDefault="00241417" w:rsidP="003A71DE">
            <w:pPr>
              <w:pStyle w:val="TAC"/>
            </w:pPr>
            <w:r w:rsidRPr="00B054F4">
              <w:t>The largest PRB index – (nrofPRBs – 1)</w:t>
            </w:r>
          </w:p>
        </w:tc>
      </w:tr>
      <w:tr w:rsidR="00241417" w:rsidRPr="003F2D0E" w14:paraId="7744993A" w14:textId="77777777" w:rsidTr="003A71DE">
        <w:trPr>
          <w:cantSplit/>
          <w:jc w:val="center"/>
        </w:trPr>
        <w:tc>
          <w:tcPr>
            <w:tcW w:w="3485" w:type="dxa"/>
            <w:vAlign w:val="center"/>
          </w:tcPr>
          <w:p w14:paraId="53FB7F38" w14:textId="77777777" w:rsidR="00241417" w:rsidRPr="003F2D0E" w:rsidRDefault="00241417" w:rsidP="003A71DE">
            <w:pPr>
              <w:pStyle w:val="TAL"/>
            </w:pPr>
            <w:r w:rsidRPr="003F2D0E">
              <w:t>Group and sequence hopping</w:t>
            </w:r>
          </w:p>
        </w:tc>
        <w:tc>
          <w:tcPr>
            <w:tcW w:w="2126" w:type="dxa"/>
            <w:vAlign w:val="center"/>
          </w:tcPr>
          <w:p w14:paraId="724C617B" w14:textId="77777777" w:rsidR="00241417" w:rsidRPr="003F2D0E" w:rsidRDefault="00241417" w:rsidP="003A71DE">
            <w:pPr>
              <w:pStyle w:val="TAC"/>
            </w:pPr>
            <w:r w:rsidRPr="003F2D0E">
              <w:t>neither</w:t>
            </w:r>
          </w:p>
        </w:tc>
      </w:tr>
      <w:tr w:rsidR="00241417" w:rsidRPr="003F2D0E" w14:paraId="483CA032" w14:textId="77777777" w:rsidTr="003A71DE">
        <w:trPr>
          <w:cantSplit/>
          <w:jc w:val="center"/>
        </w:trPr>
        <w:tc>
          <w:tcPr>
            <w:tcW w:w="3485" w:type="dxa"/>
            <w:vAlign w:val="center"/>
          </w:tcPr>
          <w:p w14:paraId="1DB7357E" w14:textId="77777777" w:rsidR="00241417" w:rsidRPr="003F2D0E" w:rsidRDefault="00241417" w:rsidP="003A71DE">
            <w:pPr>
              <w:pStyle w:val="TAL"/>
            </w:pPr>
            <w:r w:rsidRPr="003F2D0E">
              <w:t>Hopping ID</w:t>
            </w:r>
          </w:p>
        </w:tc>
        <w:tc>
          <w:tcPr>
            <w:tcW w:w="2126" w:type="dxa"/>
            <w:vAlign w:val="center"/>
          </w:tcPr>
          <w:p w14:paraId="188BDA26" w14:textId="77777777" w:rsidR="00241417" w:rsidRPr="003F2D0E" w:rsidRDefault="00241417" w:rsidP="003A71DE">
            <w:pPr>
              <w:pStyle w:val="TAC"/>
            </w:pPr>
            <w:r w:rsidRPr="003F2D0E">
              <w:t>0</w:t>
            </w:r>
          </w:p>
        </w:tc>
      </w:tr>
      <w:tr w:rsidR="00241417" w:rsidRPr="003F2D0E" w14:paraId="2E5DB823" w14:textId="77777777" w:rsidTr="003A71DE">
        <w:trPr>
          <w:cantSplit/>
          <w:jc w:val="center"/>
        </w:trPr>
        <w:tc>
          <w:tcPr>
            <w:tcW w:w="3485" w:type="dxa"/>
            <w:vAlign w:val="center"/>
          </w:tcPr>
          <w:p w14:paraId="58DA8770" w14:textId="77777777" w:rsidR="00241417" w:rsidRPr="003F2D0E" w:rsidRDefault="00241417" w:rsidP="003A71DE">
            <w:pPr>
              <w:pStyle w:val="TAL"/>
            </w:pPr>
            <w:r w:rsidRPr="003F2D0E">
              <w:t>Initial cyclic shift</w:t>
            </w:r>
          </w:p>
        </w:tc>
        <w:tc>
          <w:tcPr>
            <w:tcW w:w="2126" w:type="dxa"/>
            <w:vAlign w:val="center"/>
          </w:tcPr>
          <w:p w14:paraId="528AB565" w14:textId="77777777" w:rsidR="00241417" w:rsidRPr="003F2D0E" w:rsidRDefault="00241417" w:rsidP="003A71DE">
            <w:pPr>
              <w:pStyle w:val="TAC"/>
            </w:pPr>
            <w:r w:rsidRPr="003F2D0E">
              <w:t>0</w:t>
            </w:r>
          </w:p>
        </w:tc>
      </w:tr>
      <w:tr w:rsidR="00241417" w:rsidRPr="003F2D0E" w14:paraId="23B5A0A9" w14:textId="77777777" w:rsidTr="003A71DE">
        <w:trPr>
          <w:cantSplit/>
          <w:jc w:val="center"/>
        </w:trPr>
        <w:tc>
          <w:tcPr>
            <w:tcW w:w="3485" w:type="dxa"/>
            <w:vAlign w:val="center"/>
          </w:tcPr>
          <w:p w14:paraId="5C6DE563" w14:textId="77777777" w:rsidR="00241417" w:rsidRPr="003F2D0E" w:rsidRDefault="00241417" w:rsidP="003A71DE">
            <w:pPr>
              <w:pStyle w:val="TAL"/>
            </w:pPr>
            <w:r w:rsidRPr="003F2D0E">
              <w:t>First symbol</w:t>
            </w:r>
          </w:p>
        </w:tc>
        <w:tc>
          <w:tcPr>
            <w:tcW w:w="2126" w:type="dxa"/>
            <w:vAlign w:val="center"/>
          </w:tcPr>
          <w:p w14:paraId="7F05FC86" w14:textId="77777777" w:rsidR="00241417" w:rsidRPr="003F2D0E" w:rsidRDefault="00241417" w:rsidP="003A71DE">
            <w:pPr>
              <w:pStyle w:val="TAC"/>
            </w:pPr>
            <w:r w:rsidRPr="003F2D0E">
              <w:t>0</w:t>
            </w:r>
          </w:p>
        </w:tc>
      </w:tr>
      <w:tr w:rsidR="00241417" w:rsidRPr="003F2D0E" w14:paraId="16CAFF69" w14:textId="77777777" w:rsidTr="003A71DE">
        <w:trPr>
          <w:cantSplit/>
          <w:jc w:val="center"/>
        </w:trPr>
        <w:tc>
          <w:tcPr>
            <w:tcW w:w="3485" w:type="dxa"/>
            <w:vAlign w:val="center"/>
          </w:tcPr>
          <w:p w14:paraId="09E1302A" w14:textId="77777777" w:rsidR="00241417" w:rsidRPr="00B054F4" w:rsidRDefault="00241417" w:rsidP="003A71DE">
            <w:pPr>
              <w:pStyle w:val="TAL"/>
            </w:pPr>
            <w:r w:rsidRPr="00B054F4">
              <w:t>Index of orthogonal cover code (</w:t>
            </w:r>
            <w:r w:rsidRPr="00B054F4">
              <w:rPr>
                <w:i/>
              </w:rPr>
              <w:t>timeDomainOCC</w:t>
            </w:r>
            <w:r w:rsidRPr="00B054F4">
              <w:t>)</w:t>
            </w:r>
          </w:p>
        </w:tc>
        <w:tc>
          <w:tcPr>
            <w:tcW w:w="2126" w:type="dxa"/>
            <w:vAlign w:val="center"/>
          </w:tcPr>
          <w:p w14:paraId="1F017AA6" w14:textId="77777777" w:rsidR="00241417" w:rsidRPr="003F2D0E" w:rsidRDefault="00241417" w:rsidP="003A71DE">
            <w:pPr>
              <w:pStyle w:val="TAC"/>
            </w:pPr>
            <w:r w:rsidRPr="003F2D0E">
              <w:t>0</w:t>
            </w:r>
          </w:p>
        </w:tc>
      </w:tr>
    </w:tbl>
    <w:p w14:paraId="04B50F1A" w14:textId="77777777" w:rsidR="00241417" w:rsidRPr="003F2D0E" w:rsidRDefault="00241417" w:rsidP="00241417">
      <w:pPr>
        <w:rPr>
          <w:lang w:eastAsia="zh-CN"/>
        </w:rPr>
      </w:pPr>
    </w:p>
    <w:p w14:paraId="31111583" w14:textId="135C55F7"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 xml:space="preserve">[3] clause </w:t>
      </w:r>
      <w:r w:rsidRPr="006C7AF4">
        <w:rPr>
          <w:lang w:val="en-US"/>
        </w:rPr>
        <w:t xml:space="preserve">6.3.3.1 </w:t>
      </w:r>
      <w:r w:rsidRPr="006C7AF4">
        <w:rPr>
          <w:lang w:val="en-US" w:eastAsia="zh-CN"/>
        </w:rPr>
        <w:t>is not taken into account for performance requirement testing, where the RB hopping is symmetric to the CC centre, i.e. intra-slot frequency hopping is enabled.]</w:t>
      </w:r>
    </w:p>
    <w:p w14:paraId="77731DD9" w14:textId="77777777" w:rsidR="00241417" w:rsidRPr="006C7AF4" w:rsidRDefault="00241417" w:rsidP="00241417">
      <w:pPr>
        <w:rPr>
          <w:lang w:val="en-US"/>
        </w:rPr>
      </w:pPr>
    </w:p>
    <w:p w14:paraId="164D172E" w14:textId="77777777" w:rsidR="00241417" w:rsidRDefault="00241417" w:rsidP="00241417">
      <w:pPr>
        <w:pStyle w:val="H6"/>
      </w:pPr>
      <w:r>
        <w:t>8</w:t>
      </w:r>
      <w:r w:rsidRPr="00D57F98">
        <w:t>.</w:t>
      </w:r>
      <w:r>
        <w:t>1</w:t>
      </w:r>
      <w:r w:rsidRPr="00D57F98">
        <w:t>.</w:t>
      </w:r>
      <w:r>
        <w:t>3</w:t>
      </w:r>
      <w:r w:rsidRPr="00D57F98">
        <w:t>.</w:t>
      </w:r>
      <w:r>
        <w:t>3</w:t>
      </w:r>
      <w:r w:rsidRPr="00D57F98">
        <w:t>.</w:t>
      </w:r>
      <w:r>
        <w:t>1</w:t>
      </w:r>
      <w:r w:rsidRPr="00D57F98">
        <w:t>.</w:t>
      </w:r>
      <w:r>
        <w:t>2</w:t>
      </w:r>
      <w:r>
        <w:tab/>
        <w:t>Minimum requirements</w:t>
      </w:r>
    </w:p>
    <w:p w14:paraId="267EF13E" w14:textId="77777777" w:rsidR="00241417" w:rsidRPr="00B054F4" w:rsidRDefault="00241417" w:rsidP="00241417">
      <w:r w:rsidRPr="00B054F4">
        <w:rPr>
          <w:lang w:eastAsia="zh-CN"/>
        </w:rPr>
        <w:t>T</w:t>
      </w:r>
      <w:r w:rsidRPr="00B054F4">
        <w:t>he NACK to ACK probability shall not exceed 0.1% at the SNR given in table 8.1.3.3.1.2-1 and table 8.1.3.3.1.2-2.</w:t>
      </w:r>
    </w:p>
    <w:p w14:paraId="6EF98D78" w14:textId="77777777" w:rsidR="00241417" w:rsidRPr="00B054F4" w:rsidRDefault="00241417" w:rsidP="00241417">
      <w:pPr>
        <w:pStyle w:val="TH"/>
        <w:rPr>
          <w:lang w:eastAsia="zh-CN"/>
        </w:rPr>
      </w:pPr>
      <w:r w:rsidRPr="00B054F4">
        <w:t xml:space="preserve">Table 8.1.3.3.1.2-1: Minimum requirements for PUCCH format 1 with 15 kHz </w:t>
      </w:r>
      <w:r w:rsidRPr="00B054F4">
        <w:rPr>
          <w:lang w:eastAsia="zh-CN"/>
        </w:rPr>
        <w:t>SCS</w:t>
      </w:r>
    </w:p>
    <w:tbl>
      <w:tblPr>
        <w:tblStyle w:val="TableGrid9"/>
        <w:tblW w:w="6521" w:type="dxa"/>
        <w:jc w:val="center"/>
        <w:tblInd w:w="0" w:type="dxa"/>
        <w:tblLayout w:type="fixed"/>
        <w:tblLook w:val="04A0" w:firstRow="1" w:lastRow="0" w:firstColumn="1" w:lastColumn="0" w:noHBand="0" w:noVBand="1"/>
      </w:tblPr>
      <w:tblGrid>
        <w:gridCol w:w="1276"/>
        <w:gridCol w:w="1134"/>
        <w:gridCol w:w="1276"/>
        <w:gridCol w:w="850"/>
        <w:gridCol w:w="993"/>
        <w:gridCol w:w="992"/>
      </w:tblGrid>
      <w:tr w:rsidR="00241417" w:rsidRPr="006A7763" w14:paraId="1D36FE2A" w14:textId="77777777" w:rsidTr="003A71DE">
        <w:trPr>
          <w:jc w:val="center"/>
        </w:trPr>
        <w:tc>
          <w:tcPr>
            <w:tcW w:w="1276" w:type="dxa"/>
            <w:vMerge w:val="restart"/>
            <w:tcBorders>
              <w:top w:val="single" w:sz="4" w:space="0" w:color="auto"/>
            </w:tcBorders>
            <w:vAlign w:val="center"/>
          </w:tcPr>
          <w:p w14:paraId="76B52C67" w14:textId="77777777" w:rsidR="00241417" w:rsidRPr="006A7763" w:rsidRDefault="00241417" w:rsidP="003A71DE">
            <w:pPr>
              <w:pStyle w:val="TAH"/>
            </w:pPr>
            <w:r w:rsidRPr="006A7763">
              <w:t>Number of</w:t>
            </w:r>
            <w:r>
              <w:t xml:space="preserve"> </w:t>
            </w:r>
            <w:r w:rsidRPr="006A7763">
              <w:t>TX antennas</w:t>
            </w:r>
          </w:p>
        </w:tc>
        <w:tc>
          <w:tcPr>
            <w:tcW w:w="1134" w:type="dxa"/>
            <w:vMerge w:val="restart"/>
            <w:tcBorders>
              <w:top w:val="single" w:sz="4" w:space="0" w:color="auto"/>
            </w:tcBorders>
            <w:vAlign w:val="center"/>
          </w:tcPr>
          <w:p w14:paraId="1F755658" w14:textId="77777777" w:rsidR="00241417" w:rsidRPr="006A7763" w:rsidRDefault="00241417" w:rsidP="003A71DE">
            <w:pPr>
              <w:pStyle w:val="TAH"/>
            </w:pPr>
            <w:r w:rsidRPr="006A7763">
              <w:rPr>
                <w:lang w:eastAsia="zh-CN"/>
              </w:rPr>
              <w:t>Number of</w:t>
            </w:r>
            <w:r>
              <w:t xml:space="preserve"> Demodulation Branches</w:t>
            </w:r>
          </w:p>
        </w:tc>
        <w:tc>
          <w:tcPr>
            <w:tcW w:w="1276" w:type="dxa"/>
            <w:vMerge w:val="restart"/>
            <w:tcBorders>
              <w:top w:val="single" w:sz="4" w:space="0" w:color="auto"/>
            </w:tcBorders>
            <w:vAlign w:val="center"/>
          </w:tcPr>
          <w:p w14:paraId="737E293C" w14:textId="428FDAF5" w:rsidR="00241417" w:rsidRPr="006A7763" w:rsidRDefault="00241417" w:rsidP="003A71DE">
            <w:pPr>
              <w:pStyle w:val="TAH"/>
            </w:pPr>
            <w:r w:rsidRPr="006A7763">
              <w:rPr>
                <w:lang w:val="fr-FR"/>
              </w:rPr>
              <w:t>Propagation</w:t>
            </w:r>
            <w:r>
              <w:rPr>
                <w:lang w:val="fr-FR"/>
              </w:rPr>
              <w:t xml:space="preserve"> </w:t>
            </w:r>
            <w:r w:rsidRPr="006A7763">
              <w:t xml:space="preserve">conditions and correlation matrix (Annex </w:t>
            </w:r>
            <w:r>
              <w:t>TBA</w:t>
            </w:r>
            <w:r w:rsidRPr="006A7763">
              <w:t>)</w:t>
            </w:r>
          </w:p>
        </w:tc>
        <w:tc>
          <w:tcPr>
            <w:tcW w:w="2835" w:type="dxa"/>
            <w:gridSpan w:val="3"/>
            <w:tcBorders>
              <w:top w:val="single" w:sz="4" w:space="0" w:color="auto"/>
            </w:tcBorders>
            <w:vAlign w:val="center"/>
          </w:tcPr>
          <w:p w14:paraId="4A00D6A3" w14:textId="77777777" w:rsidR="00241417" w:rsidRPr="006A7763" w:rsidRDefault="00241417" w:rsidP="003A71DE">
            <w:pPr>
              <w:pStyle w:val="TAH"/>
            </w:pPr>
            <w:r w:rsidRPr="006A7763">
              <w:t>Channel bandwidth / SNR (dB)</w:t>
            </w:r>
          </w:p>
        </w:tc>
      </w:tr>
      <w:tr w:rsidR="00241417" w:rsidRPr="006A7763" w14:paraId="0560C4A2" w14:textId="77777777" w:rsidTr="003A71DE">
        <w:trPr>
          <w:jc w:val="center"/>
        </w:trPr>
        <w:tc>
          <w:tcPr>
            <w:tcW w:w="1276" w:type="dxa"/>
            <w:vMerge/>
            <w:tcBorders>
              <w:bottom w:val="single" w:sz="4" w:space="0" w:color="auto"/>
            </w:tcBorders>
            <w:vAlign w:val="center"/>
          </w:tcPr>
          <w:p w14:paraId="61C147A7" w14:textId="77777777" w:rsidR="00241417" w:rsidRPr="006A7763" w:rsidRDefault="00241417" w:rsidP="003A71DE">
            <w:pPr>
              <w:pStyle w:val="TAH"/>
            </w:pPr>
          </w:p>
        </w:tc>
        <w:tc>
          <w:tcPr>
            <w:tcW w:w="1134" w:type="dxa"/>
            <w:vMerge/>
            <w:tcBorders>
              <w:bottom w:val="single" w:sz="4" w:space="0" w:color="auto"/>
            </w:tcBorders>
            <w:vAlign w:val="center"/>
          </w:tcPr>
          <w:p w14:paraId="4EE6CCED" w14:textId="77777777" w:rsidR="00241417" w:rsidRPr="006A7763" w:rsidRDefault="00241417" w:rsidP="003A71DE">
            <w:pPr>
              <w:pStyle w:val="TAH"/>
            </w:pPr>
          </w:p>
        </w:tc>
        <w:tc>
          <w:tcPr>
            <w:tcW w:w="1276" w:type="dxa"/>
            <w:vMerge/>
            <w:tcBorders>
              <w:bottom w:val="single" w:sz="4" w:space="0" w:color="auto"/>
            </w:tcBorders>
            <w:vAlign w:val="center"/>
          </w:tcPr>
          <w:p w14:paraId="07507239" w14:textId="77777777" w:rsidR="00241417" w:rsidRPr="006A7763" w:rsidRDefault="00241417" w:rsidP="003A71DE">
            <w:pPr>
              <w:pStyle w:val="TAH"/>
            </w:pPr>
          </w:p>
        </w:tc>
        <w:tc>
          <w:tcPr>
            <w:tcW w:w="850" w:type="dxa"/>
            <w:tcBorders>
              <w:top w:val="single" w:sz="4" w:space="0" w:color="auto"/>
              <w:bottom w:val="single" w:sz="4" w:space="0" w:color="auto"/>
            </w:tcBorders>
            <w:vAlign w:val="center"/>
          </w:tcPr>
          <w:p w14:paraId="343AAB2E" w14:textId="77777777" w:rsidR="00241417" w:rsidRPr="006A7763" w:rsidRDefault="00241417" w:rsidP="003A71DE">
            <w:pPr>
              <w:pStyle w:val="TAH"/>
            </w:pPr>
            <w:r w:rsidRPr="006A7763">
              <w:t>5 MHz</w:t>
            </w:r>
          </w:p>
        </w:tc>
        <w:tc>
          <w:tcPr>
            <w:tcW w:w="993" w:type="dxa"/>
            <w:tcBorders>
              <w:top w:val="single" w:sz="4" w:space="0" w:color="auto"/>
              <w:bottom w:val="single" w:sz="4" w:space="0" w:color="auto"/>
            </w:tcBorders>
            <w:vAlign w:val="center"/>
          </w:tcPr>
          <w:p w14:paraId="49C5DF93" w14:textId="77777777" w:rsidR="00241417" w:rsidRPr="006A7763" w:rsidRDefault="00241417" w:rsidP="003A71DE">
            <w:pPr>
              <w:pStyle w:val="TAH"/>
            </w:pPr>
            <w:r w:rsidRPr="006A7763">
              <w:t>10 MHz</w:t>
            </w:r>
          </w:p>
        </w:tc>
        <w:tc>
          <w:tcPr>
            <w:tcW w:w="992" w:type="dxa"/>
            <w:tcBorders>
              <w:top w:val="single" w:sz="4" w:space="0" w:color="auto"/>
              <w:bottom w:val="single" w:sz="4" w:space="0" w:color="auto"/>
            </w:tcBorders>
            <w:vAlign w:val="center"/>
          </w:tcPr>
          <w:p w14:paraId="471ED867" w14:textId="77777777" w:rsidR="00241417" w:rsidRPr="006A7763" w:rsidRDefault="00241417" w:rsidP="003A71DE">
            <w:pPr>
              <w:pStyle w:val="TAH"/>
            </w:pPr>
            <w:r w:rsidRPr="006A7763">
              <w:t>20 MHz</w:t>
            </w:r>
          </w:p>
        </w:tc>
      </w:tr>
      <w:tr w:rsidR="00241417" w:rsidRPr="006A7763" w14:paraId="75134DE0" w14:textId="77777777" w:rsidTr="003A71DE">
        <w:trPr>
          <w:jc w:val="center"/>
        </w:trPr>
        <w:tc>
          <w:tcPr>
            <w:tcW w:w="1276" w:type="dxa"/>
            <w:vMerge w:val="restart"/>
            <w:vAlign w:val="center"/>
          </w:tcPr>
          <w:p w14:paraId="6C642CD4" w14:textId="77777777" w:rsidR="00241417" w:rsidRPr="006A7763" w:rsidRDefault="00241417" w:rsidP="003A71DE">
            <w:pPr>
              <w:pStyle w:val="TAC"/>
            </w:pPr>
            <w:r w:rsidRPr="006A7763">
              <w:rPr>
                <w:lang w:eastAsia="zh-CN"/>
              </w:rPr>
              <w:t>1</w:t>
            </w:r>
          </w:p>
        </w:tc>
        <w:tc>
          <w:tcPr>
            <w:tcW w:w="1134" w:type="dxa"/>
            <w:tcBorders>
              <w:bottom w:val="single" w:sz="4" w:space="0" w:color="auto"/>
            </w:tcBorders>
            <w:vAlign w:val="center"/>
          </w:tcPr>
          <w:p w14:paraId="5A18A0C6" w14:textId="77777777" w:rsidR="00241417" w:rsidRPr="006A7763" w:rsidRDefault="00241417" w:rsidP="003A71DE">
            <w:pPr>
              <w:pStyle w:val="TAC"/>
            </w:pPr>
            <w:r w:rsidRPr="006A7763">
              <w:rPr>
                <w:lang w:eastAsia="zh-CN"/>
              </w:rPr>
              <w:t>2</w:t>
            </w:r>
          </w:p>
        </w:tc>
        <w:tc>
          <w:tcPr>
            <w:tcW w:w="1276" w:type="dxa"/>
            <w:tcBorders>
              <w:bottom w:val="single" w:sz="4" w:space="0" w:color="auto"/>
            </w:tcBorders>
            <w:vAlign w:val="center"/>
          </w:tcPr>
          <w:p w14:paraId="7DDCAB29" w14:textId="77777777" w:rsidR="00241417" w:rsidRPr="006A7763" w:rsidRDefault="00241417" w:rsidP="003A71DE">
            <w:pPr>
              <w:pStyle w:val="TAC"/>
            </w:pPr>
            <w:r w:rsidRPr="006A7763">
              <w:t>TDLC-300-100</w:t>
            </w:r>
            <w:r w:rsidRPr="006A7763">
              <w:rPr>
                <w:lang w:eastAsia="zh-CN"/>
              </w:rPr>
              <w:t xml:space="preserve"> Low</w:t>
            </w:r>
          </w:p>
        </w:tc>
        <w:tc>
          <w:tcPr>
            <w:tcW w:w="850" w:type="dxa"/>
            <w:tcBorders>
              <w:bottom w:val="single" w:sz="4" w:space="0" w:color="auto"/>
            </w:tcBorders>
            <w:vAlign w:val="center"/>
          </w:tcPr>
          <w:p w14:paraId="159F3EEE" w14:textId="77777777" w:rsidR="00241417" w:rsidRPr="006A7763" w:rsidRDefault="00241417" w:rsidP="003A71DE">
            <w:pPr>
              <w:pStyle w:val="TAC"/>
            </w:pPr>
            <w:r w:rsidRPr="006A7763">
              <w:rPr>
                <w:lang w:eastAsia="zh-CN"/>
              </w:rPr>
              <w:t>-3.8</w:t>
            </w:r>
          </w:p>
        </w:tc>
        <w:tc>
          <w:tcPr>
            <w:tcW w:w="993" w:type="dxa"/>
            <w:tcBorders>
              <w:bottom w:val="single" w:sz="4" w:space="0" w:color="auto"/>
            </w:tcBorders>
            <w:vAlign w:val="center"/>
          </w:tcPr>
          <w:p w14:paraId="193DEDD4" w14:textId="77777777" w:rsidR="00241417" w:rsidRPr="006A7763" w:rsidRDefault="00241417" w:rsidP="003A71DE">
            <w:pPr>
              <w:pStyle w:val="TAC"/>
            </w:pPr>
            <w:r w:rsidRPr="006A7763">
              <w:rPr>
                <w:lang w:eastAsia="zh-CN"/>
              </w:rPr>
              <w:t>-3.6</w:t>
            </w:r>
          </w:p>
        </w:tc>
        <w:tc>
          <w:tcPr>
            <w:tcW w:w="992" w:type="dxa"/>
            <w:tcBorders>
              <w:bottom w:val="single" w:sz="4" w:space="0" w:color="auto"/>
            </w:tcBorders>
            <w:vAlign w:val="center"/>
          </w:tcPr>
          <w:p w14:paraId="77D9AEC9" w14:textId="77777777" w:rsidR="00241417" w:rsidRPr="006A7763" w:rsidRDefault="00241417" w:rsidP="003A71DE">
            <w:pPr>
              <w:pStyle w:val="TAC"/>
            </w:pPr>
            <w:r w:rsidRPr="006A7763">
              <w:rPr>
                <w:lang w:eastAsia="zh-CN"/>
              </w:rPr>
              <w:t>-3.6</w:t>
            </w:r>
          </w:p>
        </w:tc>
      </w:tr>
      <w:tr w:rsidR="00241417" w:rsidRPr="006A7763" w14:paraId="2550F385" w14:textId="77777777" w:rsidTr="003A71DE">
        <w:trPr>
          <w:jc w:val="center"/>
        </w:trPr>
        <w:tc>
          <w:tcPr>
            <w:tcW w:w="1276" w:type="dxa"/>
            <w:vMerge/>
            <w:vAlign w:val="center"/>
          </w:tcPr>
          <w:p w14:paraId="009F8A22" w14:textId="77777777" w:rsidR="00241417" w:rsidRPr="006A7763" w:rsidRDefault="00241417" w:rsidP="003A71DE">
            <w:pPr>
              <w:pStyle w:val="TAC"/>
            </w:pPr>
          </w:p>
        </w:tc>
        <w:tc>
          <w:tcPr>
            <w:tcW w:w="1134" w:type="dxa"/>
            <w:tcBorders>
              <w:bottom w:val="single" w:sz="4" w:space="0" w:color="auto"/>
            </w:tcBorders>
            <w:vAlign w:val="center"/>
          </w:tcPr>
          <w:p w14:paraId="0382E24B" w14:textId="77777777" w:rsidR="00241417" w:rsidRPr="006A7763" w:rsidRDefault="00241417" w:rsidP="003A71DE">
            <w:pPr>
              <w:pStyle w:val="TAC"/>
            </w:pPr>
            <w:r w:rsidRPr="006A7763">
              <w:rPr>
                <w:lang w:eastAsia="zh-CN"/>
              </w:rPr>
              <w:t>4</w:t>
            </w:r>
          </w:p>
        </w:tc>
        <w:tc>
          <w:tcPr>
            <w:tcW w:w="1276" w:type="dxa"/>
            <w:tcBorders>
              <w:bottom w:val="single" w:sz="4" w:space="0" w:color="auto"/>
            </w:tcBorders>
            <w:vAlign w:val="center"/>
          </w:tcPr>
          <w:p w14:paraId="4F30039B" w14:textId="77777777" w:rsidR="00241417" w:rsidRPr="006A7763" w:rsidRDefault="00241417" w:rsidP="003A71DE">
            <w:pPr>
              <w:pStyle w:val="TAC"/>
            </w:pPr>
            <w:r w:rsidRPr="006A7763">
              <w:t>TDLC-300-100</w:t>
            </w:r>
            <w:r w:rsidRPr="006A7763">
              <w:rPr>
                <w:lang w:eastAsia="zh-CN"/>
              </w:rPr>
              <w:t xml:space="preserve"> Low</w:t>
            </w:r>
          </w:p>
        </w:tc>
        <w:tc>
          <w:tcPr>
            <w:tcW w:w="850" w:type="dxa"/>
            <w:tcBorders>
              <w:bottom w:val="single" w:sz="4" w:space="0" w:color="auto"/>
            </w:tcBorders>
            <w:vAlign w:val="center"/>
          </w:tcPr>
          <w:p w14:paraId="000724AA" w14:textId="77777777" w:rsidR="00241417" w:rsidRPr="006A7763" w:rsidRDefault="00241417" w:rsidP="003A71DE">
            <w:pPr>
              <w:pStyle w:val="TAC"/>
            </w:pPr>
            <w:r w:rsidRPr="006A7763">
              <w:rPr>
                <w:lang w:eastAsia="zh-CN"/>
              </w:rPr>
              <w:t>-8.4</w:t>
            </w:r>
          </w:p>
        </w:tc>
        <w:tc>
          <w:tcPr>
            <w:tcW w:w="993" w:type="dxa"/>
            <w:tcBorders>
              <w:bottom w:val="single" w:sz="4" w:space="0" w:color="auto"/>
            </w:tcBorders>
            <w:vAlign w:val="center"/>
          </w:tcPr>
          <w:p w14:paraId="2D164FB2" w14:textId="77777777" w:rsidR="00241417" w:rsidRPr="006A7763" w:rsidRDefault="00241417" w:rsidP="003A71DE">
            <w:pPr>
              <w:pStyle w:val="TAC"/>
            </w:pPr>
            <w:r w:rsidRPr="006A7763">
              <w:rPr>
                <w:lang w:eastAsia="zh-CN"/>
              </w:rPr>
              <w:t>-7.6</w:t>
            </w:r>
          </w:p>
        </w:tc>
        <w:tc>
          <w:tcPr>
            <w:tcW w:w="992" w:type="dxa"/>
            <w:tcBorders>
              <w:bottom w:val="single" w:sz="4" w:space="0" w:color="auto"/>
            </w:tcBorders>
            <w:vAlign w:val="center"/>
          </w:tcPr>
          <w:p w14:paraId="4BFC3383" w14:textId="77777777" w:rsidR="00241417" w:rsidRPr="006A7763" w:rsidRDefault="00241417" w:rsidP="003A71DE">
            <w:pPr>
              <w:pStyle w:val="TAC"/>
            </w:pPr>
            <w:r w:rsidRPr="006A7763">
              <w:rPr>
                <w:lang w:eastAsia="zh-CN"/>
              </w:rPr>
              <w:t>-8.4</w:t>
            </w:r>
          </w:p>
        </w:tc>
      </w:tr>
      <w:tr w:rsidR="00241417" w:rsidRPr="006A7763" w14:paraId="6525E6BB" w14:textId="77777777" w:rsidTr="003A71DE">
        <w:trPr>
          <w:jc w:val="center"/>
        </w:trPr>
        <w:tc>
          <w:tcPr>
            <w:tcW w:w="1276" w:type="dxa"/>
            <w:vMerge/>
            <w:vAlign w:val="center"/>
          </w:tcPr>
          <w:p w14:paraId="2D9B015F" w14:textId="77777777" w:rsidR="00241417" w:rsidRPr="006A7763" w:rsidRDefault="00241417" w:rsidP="003A71DE">
            <w:pPr>
              <w:pStyle w:val="TAC"/>
            </w:pPr>
          </w:p>
        </w:tc>
        <w:tc>
          <w:tcPr>
            <w:tcW w:w="1134" w:type="dxa"/>
            <w:tcBorders>
              <w:top w:val="single" w:sz="4" w:space="0" w:color="auto"/>
            </w:tcBorders>
            <w:vAlign w:val="center"/>
          </w:tcPr>
          <w:p w14:paraId="2E905B00" w14:textId="77777777" w:rsidR="00241417" w:rsidRPr="006A7763" w:rsidRDefault="00241417" w:rsidP="003A71DE">
            <w:pPr>
              <w:pStyle w:val="TAC"/>
            </w:pPr>
            <w:r w:rsidRPr="006A7763">
              <w:rPr>
                <w:lang w:eastAsia="zh-CN"/>
              </w:rPr>
              <w:t>8</w:t>
            </w:r>
          </w:p>
        </w:tc>
        <w:tc>
          <w:tcPr>
            <w:tcW w:w="1276" w:type="dxa"/>
            <w:tcBorders>
              <w:top w:val="single" w:sz="4" w:space="0" w:color="auto"/>
            </w:tcBorders>
            <w:vAlign w:val="center"/>
          </w:tcPr>
          <w:p w14:paraId="72FFDF65" w14:textId="77777777" w:rsidR="00241417" w:rsidRPr="006A7763" w:rsidRDefault="00241417" w:rsidP="003A71DE">
            <w:pPr>
              <w:pStyle w:val="TAC"/>
            </w:pPr>
            <w:r w:rsidRPr="006A7763">
              <w:t>TDLC-300-100</w:t>
            </w:r>
            <w:r w:rsidRPr="006A7763">
              <w:rPr>
                <w:lang w:eastAsia="zh-CN"/>
              </w:rPr>
              <w:t xml:space="preserve"> Low</w:t>
            </w:r>
          </w:p>
        </w:tc>
        <w:tc>
          <w:tcPr>
            <w:tcW w:w="850" w:type="dxa"/>
            <w:tcBorders>
              <w:top w:val="single" w:sz="4" w:space="0" w:color="auto"/>
            </w:tcBorders>
            <w:vAlign w:val="center"/>
          </w:tcPr>
          <w:p w14:paraId="5D2A2212" w14:textId="77777777" w:rsidR="00241417" w:rsidRPr="006A7763" w:rsidRDefault="00241417" w:rsidP="003A71DE">
            <w:pPr>
              <w:pStyle w:val="TAC"/>
            </w:pPr>
            <w:r w:rsidRPr="006A7763">
              <w:rPr>
                <w:lang w:eastAsia="zh-CN"/>
              </w:rPr>
              <w:t>-11.8</w:t>
            </w:r>
          </w:p>
        </w:tc>
        <w:tc>
          <w:tcPr>
            <w:tcW w:w="993" w:type="dxa"/>
            <w:tcBorders>
              <w:top w:val="single" w:sz="4" w:space="0" w:color="auto"/>
            </w:tcBorders>
            <w:vAlign w:val="center"/>
          </w:tcPr>
          <w:p w14:paraId="3469FA76" w14:textId="77777777" w:rsidR="00241417" w:rsidRPr="006A7763" w:rsidRDefault="00241417" w:rsidP="003A71DE">
            <w:pPr>
              <w:pStyle w:val="TAC"/>
            </w:pPr>
            <w:r w:rsidRPr="006A7763">
              <w:rPr>
                <w:lang w:eastAsia="zh-CN"/>
              </w:rPr>
              <w:t>-11.4</w:t>
            </w:r>
          </w:p>
        </w:tc>
        <w:tc>
          <w:tcPr>
            <w:tcW w:w="992" w:type="dxa"/>
            <w:tcBorders>
              <w:top w:val="single" w:sz="4" w:space="0" w:color="auto"/>
            </w:tcBorders>
            <w:vAlign w:val="center"/>
          </w:tcPr>
          <w:p w14:paraId="60BA4640" w14:textId="77777777" w:rsidR="00241417" w:rsidRPr="006A7763" w:rsidRDefault="00241417" w:rsidP="003A71DE">
            <w:pPr>
              <w:pStyle w:val="TAC"/>
            </w:pPr>
            <w:r w:rsidRPr="006A7763">
              <w:rPr>
                <w:lang w:eastAsia="zh-CN"/>
              </w:rPr>
              <w:t>-11.4</w:t>
            </w:r>
          </w:p>
        </w:tc>
      </w:tr>
    </w:tbl>
    <w:p w14:paraId="7A1179D5" w14:textId="77777777" w:rsidR="00241417" w:rsidRPr="006A7763" w:rsidRDefault="00241417" w:rsidP="00241417"/>
    <w:p w14:paraId="0B7BE1C9" w14:textId="77777777" w:rsidR="00241417" w:rsidRPr="00B054F4" w:rsidRDefault="00241417" w:rsidP="00241417">
      <w:pPr>
        <w:pStyle w:val="TH"/>
      </w:pPr>
      <w:r w:rsidRPr="00B054F4">
        <w:lastRenderedPageBreak/>
        <w:t>Table 8.1.3.3.1.2-2: Minimum requirements for PUCCH format 1 with 30 kHz SCS</w:t>
      </w:r>
    </w:p>
    <w:tbl>
      <w:tblPr>
        <w:tblStyle w:val="TableGrid9"/>
        <w:tblW w:w="6946" w:type="dxa"/>
        <w:jc w:val="center"/>
        <w:tblInd w:w="0" w:type="dxa"/>
        <w:tblLayout w:type="fixed"/>
        <w:tblLook w:val="04A0" w:firstRow="1" w:lastRow="0" w:firstColumn="1" w:lastColumn="0" w:noHBand="0" w:noVBand="1"/>
      </w:tblPr>
      <w:tblGrid>
        <w:gridCol w:w="1276"/>
        <w:gridCol w:w="1134"/>
        <w:gridCol w:w="1276"/>
        <w:gridCol w:w="709"/>
        <w:gridCol w:w="850"/>
        <w:gridCol w:w="851"/>
        <w:gridCol w:w="850"/>
      </w:tblGrid>
      <w:tr w:rsidR="00241417" w:rsidRPr="006A7763" w14:paraId="7F4350D1" w14:textId="77777777" w:rsidTr="003A71DE">
        <w:trPr>
          <w:jc w:val="center"/>
        </w:trPr>
        <w:tc>
          <w:tcPr>
            <w:tcW w:w="1276" w:type="dxa"/>
            <w:vMerge w:val="restart"/>
            <w:tcBorders>
              <w:top w:val="single" w:sz="4" w:space="0" w:color="auto"/>
            </w:tcBorders>
            <w:vAlign w:val="center"/>
          </w:tcPr>
          <w:p w14:paraId="2A9183CF" w14:textId="77777777" w:rsidR="00241417" w:rsidRPr="006A7763" w:rsidRDefault="00241417" w:rsidP="003A71DE">
            <w:pPr>
              <w:pStyle w:val="TAH"/>
            </w:pPr>
            <w:r w:rsidRPr="006A7763">
              <w:t>Number of</w:t>
            </w:r>
            <w:r>
              <w:t xml:space="preserve"> </w:t>
            </w:r>
            <w:r w:rsidRPr="006A7763">
              <w:t>TX antennas</w:t>
            </w:r>
          </w:p>
        </w:tc>
        <w:tc>
          <w:tcPr>
            <w:tcW w:w="1134" w:type="dxa"/>
            <w:vMerge w:val="restart"/>
            <w:tcBorders>
              <w:top w:val="single" w:sz="4" w:space="0" w:color="auto"/>
            </w:tcBorders>
            <w:vAlign w:val="center"/>
          </w:tcPr>
          <w:p w14:paraId="2B7A60FC" w14:textId="77777777" w:rsidR="00241417" w:rsidRPr="006A7763" w:rsidRDefault="00241417" w:rsidP="003A71DE">
            <w:pPr>
              <w:pStyle w:val="TAH"/>
            </w:pPr>
            <w:r w:rsidRPr="006A7763">
              <w:rPr>
                <w:lang w:eastAsia="zh-CN"/>
              </w:rPr>
              <w:t>Number of</w:t>
            </w:r>
            <w:r>
              <w:rPr>
                <w:lang w:eastAsia="zh-CN"/>
              </w:rPr>
              <w:t xml:space="preserve"> </w:t>
            </w:r>
            <w:r>
              <w:t>Demodulation Branches</w:t>
            </w:r>
          </w:p>
        </w:tc>
        <w:tc>
          <w:tcPr>
            <w:tcW w:w="1276" w:type="dxa"/>
            <w:vMerge w:val="restart"/>
            <w:tcBorders>
              <w:top w:val="single" w:sz="4" w:space="0" w:color="auto"/>
            </w:tcBorders>
            <w:vAlign w:val="center"/>
          </w:tcPr>
          <w:p w14:paraId="10E773A6" w14:textId="23CFC2B2" w:rsidR="00241417" w:rsidRPr="006A7763" w:rsidRDefault="00241417" w:rsidP="003A71DE">
            <w:pPr>
              <w:pStyle w:val="TAH"/>
            </w:pPr>
            <w:r w:rsidRPr="006A7763">
              <w:rPr>
                <w:lang w:val="fr-FR"/>
              </w:rPr>
              <w:t>Propagation</w:t>
            </w:r>
            <w:r>
              <w:rPr>
                <w:lang w:val="fr-FR"/>
              </w:rPr>
              <w:t xml:space="preserve"> </w:t>
            </w:r>
            <w:r w:rsidRPr="006A7763">
              <w:t xml:space="preserve">conditions and correlation matrix (Annex </w:t>
            </w:r>
            <w:r>
              <w:t>TBA</w:t>
            </w:r>
            <w:r w:rsidRPr="006A7763">
              <w:t>)</w:t>
            </w:r>
          </w:p>
        </w:tc>
        <w:tc>
          <w:tcPr>
            <w:tcW w:w="3260" w:type="dxa"/>
            <w:gridSpan w:val="4"/>
            <w:tcBorders>
              <w:top w:val="single" w:sz="4" w:space="0" w:color="auto"/>
            </w:tcBorders>
            <w:vAlign w:val="center"/>
          </w:tcPr>
          <w:p w14:paraId="1A4C6174" w14:textId="77777777" w:rsidR="00241417" w:rsidRPr="006A7763" w:rsidRDefault="00241417" w:rsidP="003A71DE">
            <w:pPr>
              <w:pStyle w:val="TAH"/>
            </w:pPr>
            <w:r w:rsidRPr="006A7763">
              <w:t>Channel bandwidth / SNR (dB)</w:t>
            </w:r>
          </w:p>
        </w:tc>
      </w:tr>
      <w:tr w:rsidR="00241417" w:rsidRPr="006A7763" w14:paraId="4D78FEF4" w14:textId="77777777" w:rsidTr="003A71DE">
        <w:trPr>
          <w:jc w:val="center"/>
        </w:trPr>
        <w:tc>
          <w:tcPr>
            <w:tcW w:w="1276" w:type="dxa"/>
            <w:vMerge/>
            <w:tcBorders>
              <w:bottom w:val="single" w:sz="4" w:space="0" w:color="auto"/>
            </w:tcBorders>
            <w:vAlign w:val="center"/>
          </w:tcPr>
          <w:p w14:paraId="54804C2C" w14:textId="77777777" w:rsidR="00241417" w:rsidRPr="006A7763" w:rsidRDefault="00241417" w:rsidP="003A71DE">
            <w:pPr>
              <w:pStyle w:val="TAH"/>
            </w:pPr>
          </w:p>
        </w:tc>
        <w:tc>
          <w:tcPr>
            <w:tcW w:w="1134" w:type="dxa"/>
            <w:vMerge/>
            <w:tcBorders>
              <w:bottom w:val="single" w:sz="4" w:space="0" w:color="auto"/>
            </w:tcBorders>
            <w:vAlign w:val="center"/>
          </w:tcPr>
          <w:p w14:paraId="58F723B4" w14:textId="77777777" w:rsidR="00241417" w:rsidRPr="006A7763" w:rsidRDefault="00241417" w:rsidP="003A71DE">
            <w:pPr>
              <w:pStyle w:val="TAH"/>
            </w:pPr>
          </w:p>
        </w:tc>
        <w:tc>
          <w:tcPr>
            <w:tcW w:w="1276" w:type="dxa"/>
            <w:vMerge/>
            <w:tcBorders>
              <w:bottom w:val="single" w:sz="4" w:space="0" w:color="auto"/>
            </w:tcBorders>
            <w:vAlign w:val="center"/>
          </w:tcPr>
          <w:p w14:paraId="1C218390" w14:textId="77777777" w:rsidR="00241417" w:rsidRPr="006A7763" w:rsidRDefault="00241417" w:rsidP="003A71DE">
            <w:pPr>
              <w:pStyle w:val="TAH"/>
            </w:pPr>
          </w:p>
        </w:tc>
        <w:tc>
          <w:tcPr>
            <w:tcW w:w="709" w:type="dxa"/>
            <w:tcBorders>
              <w:top w:val="single" w:sz="4" w:space="0" w:color="auto"/>
              <w:bottom w:val="single" w:sz="4" w:space="0" w:color="auto"/>
            </w:tcBorders>
            <w:vAlign w:val="center"/>
          </w:tcPr>
          <w:p w14:paraId="4CC0F69D" w14:textId="77777777" w:rsidR="00241417" w:rsidRPr="006A7763" w:rsidRDefault="00241417" w:rsidP="003A71DE">
            <w:pPr>
              <w:pStyle w:val="TAH"/>
            </w:pPr>
            <w:r w:rsidRPr="006A7763">
              <w:t>10 MHz</w:t>
            </w:r>
          </w:p>
        </w:tc>
        <w:tc>
          <w:tcPr>
            <w:tcW w:w="850" w:type="dxa"/>
            <w:tcBorders>
              <w:top w:val="single" w:sz="4" w:space="0" w:color="auto"/>
              <w:bottom w:val="single" w:sz="4" w:space="0" w:color="auto"/>
            </w:tcBorders>
            <w:vAlign w:val="center"/>
          </w:tcPr>
          <w:p w14:paraId="21C1D3EE" w14:textId="77777777" w:rsidR="00241417" w:rsidRPr="006A7763" w:rsidRDefault="00241417" w:rsidP="003A71DE">
            <w:pPr>
              <w:pStyle w:val="TAH"/>
            </w:pPr>
            <w:r w:rsidRPr="006A7763">
              <w:t>20 MHz</w:t>
            </w:r>
          </w:p>
        </w:tc>
        <w:tc>
          <w:tcPr>
            <w:tcW w:w="851" w:type="dxa"/>
            <w:tcBorders>
              <w:top w:val="single" w:sz="4" w:space="0" w:color="auto"/>
              <w:bottom w:val="single" w:sz="4" w:space="0" w:color="auto"/>
            </w:tcBorders>
            <w:vAlign w:val="center"/>
          </w:tcPr>
          <w:p w14:paraId="23EC24B5" w14:textId="77777777" w:rsidR="00241417" w:rsidRPr="006A7763" w:rsidRDefault="00241417" w:rsidP="003A71DE">
            <w:pPr>
              <w:pStyle w:val="TAH"/>
            </w:pPr>
            <w:r w:rsidRPr="006A7763">
              <w:t>40 MHz</w:t>
            </w:r>
          </w:p>
        </w:tc>
        <w:tc>
          <w:tcPr>
            <w:tcW w:w="850" w:type="dxa"/>
            <w:tcBorders>
              <w:top w:val="single" w:sz="4" w:space="0" w:color="auto"/>
              <w:bottom w:val="single" w:sz="4" w:space="0" w:color="auto"/>
            </w:tcBorders>
            <w:vAlign w:val="center"/>
          </w:tcPr>
          <w:p w14:paraId="35490607" w14:textId="77777777" w:rsidR="00241417" w:rsidRPr="006A7763" w:rsidRDefault="00241417" w:rsidP="003A71DE">
            <w:pPr>
              <w:pStyle w:val="TAH"/>
            </w:pPr>
            <w:r w:rsidRPr="006A7763">
              <w:t>100 MHz</w:t>
            </w:r>
          </w:p>
        </w:tc>
      </w:tr>
      <w:tr w:rsidR="00241417" w:rsidRPr="006A7763" w14:paraId="19EE3A9E" w14:textId="77777777" w:rsidTr="003A71DE">
        <w:trPr>
          <w:jc w:val="center"/>
        </w:trPr>
        <w:tc>
          <w:tcPr>
            <w:tcW w:w="1276" w:type="dxa"/>
            <w:vMerge w:val="restart"/>
            <w:vAlign w:val="center"/>
          </w:tcPr>
          <w:p w14:paraId="35D9AA43" w14:textId="77777777" w:rsidR="00241417" w:rsidRPr="006A7763" w:rsidRDefault="00241417" w:rsidP="003A71DE">
            <w:pPr>
              <w:pStyle w:val="TAC"/>
            </w:pPr>
            <w:r w:rsidRPr="006A7763">
              <w:rPr>
                <w:lang w:eastAsia="zh-CN"/>
              </w:rPr>
              <w:t>1</w:t>
            </w:r>
          </w:p>
        </w:tc>
        <w:tc>
          <w:tcPr>
            <w:tcW w:w="1134" w:type="dxa"/>
            <w:tcBorders>
              <w:bottom w:val="single" w:sz="4" w:space="0" w:color="auto"/>
            </w:tcBorders>
            <w:vAlign w:val="center"/>
          </w:tcPr>
          <w:p w14:paraId="7A659B16" w14:textId="77777777" w:rsidR="00241417" w:rsidRPr="006A7763" w:rsidRDefault="00241417" w:rsidP="003A71DE">
            <w:pPr>
              <w:pStyle w:val="TAC"/>
            </w:pPr>
            <w:r w:rsidRPr="006A7763">
              <w:rPr>
                <w:lang w:eastAsia="zh-CN"/>
              </w:rPr>
              <w:t>2</w:t>
            </w:r>
          </w:p>
        </w:tc>
        <w:tc>
          <w:tcPr>
            <w:tcW w:w="1276" w:type="dxa"/>
            <w:tcBorders>
              <w:bottom w:val="single" w:sz="4" w:space="0" w:color="auto"/>
            </w:tcBorders>
            <w:vAlign w:val="center"/>
          </w:tcPr>
          <w:p w14:paraId="26FB9786" w14:textId="77777777" w:rsidR="00241417" w:rsidRPr="006A7763" w:rsidRDefault="00241417" w:rsidP="003A71DE">
            <w:pPr>
              <w:pStyle w:val="TAC"/>
            </w:pPr>
            <w:r w:rsidRPr="006A7763">
              <w:t>TDLC-300-100</w:t>
            </w:r>
            <w:r w:rsidRPr="006A7763">
              <w:rPr>
                <w:lang w:eastAsia="zh-CN"/>
              </w:rPr>
              <w:t xml:space="preserve"> Low</w:t>
            </w:r>
          </w:p>
        </w:tc>
        <w:tc>
          <w:tcPr>
            <w:tcW w:w="709" w:type="dxa"/>
            <w:tcBorders>
              <w:bottom w:val="single" w:sz="4" w:space="0" w:color="auto"/>
            </w:tcBorders>
            <w:vAlign w:val="center"/>
          </w:tcPr>
          <w:p w14:paraId="1CF0C553" w14:textId="77777777" w:rsidR="00241417" w:rsidRPr="006A7763" w:rsidRDefault="00241417" w:rsidP="003A71DE">
            <w:pPr>
              <w:pStyle w:val="TAC"/>
            </w:pPr>
            <w:r w:rsidRPr="006A7763">
              <w:rPr>
                <w:lang w:eastAsia="zh-CN"/>
              </w:rPr>
              <w:t>-2.8</w:t>
            </w:r>
          </w:p>
        </w:tc>
        <w:tc>
          <w:tcPr>
            <w:tcW w:w="850" w:type="dxa"/>
            <w:tcBorders>
              <w:bottom w:val="single" w:sz="4" w:space="0" w:color="auto"/>
            </w:tcBorders>
            <w:vAlign w:val="center"/>
          </w:tcPr>
          <w:p w14:paraId="5BCECC3B" w14:textId="77777777" w:rsidR="00241417" w:rsidRPr="006A7763" w:rsidRDefault="00241417" w:rsidP="003A71DE">
            <w:pPr>
              <w:pStyle w:val="TAC"/>
            </w:pPr>
            <w:r w:rsidRPr="006A7763">
              <w:rPr>
                <w:lang w:eastAsia="zh-CN"/>
              </w:rPr>
              <w:t>-3.3</w:t>
            </w:r>
          </w:p>
        </w:tc>
        <w:tc>
          <w:tcPr>
            <w:tcW w:w="851" w:type="dxa"/>
            <w:tcBorders>
              <w:bottom w:val="single" w:sz="4" w:space="0" w:color="auto"/>
            </w:tcBorders>
            <w:vAlign w:val="center"/>
          </w:tcPr>
          <w:p w14:paraId="277DCD6D" w14:textId="77777777" w:rsidR="00241417" w:rsidRPr="006A7763" w:rsidRDefault="00241417" w:rsidP="003A71DE">
            <w:pPr>
              <w:pStyle w:val="TAC"/>
              <w:rPr>
                <w:lang w:eastAsia="zh-CN"/>
              </w:rPr>
            </w:pPr>
            <w:r w:rsidRPr="006A7763">
              <w:rPr>
                <w:lang w:eastAsia="zh-CN"/>
              </w:rPr>
              <w:t>-3.9</w:t>
            </w:r>
          </w:p>
        </w:tc>
        <w:tc>
          <w:tcPr>
            <w:tcW w:w="850" w:type="dxa"/>
            <w:tcBorders>
              <w:bottom w:val="single" w:sz="4" w:space="0" w:color="auto"/>
            </w:tcBorders>
            <w:vAlign w:val="center"/>
          </w:tcPr>
          <w:p w14:paraId="203E87D8" w14:textId="77777777" w:rsidR="00241417" w:rsidRPr="006A7763" w:rsidRDefault="00241417" w:rsidP="003A71DE">
            <w:pPr>
              <w:pStyle w:val="TAC"/>
            </w:pPr>
            <w:r w:rsidRPr="006A7763">
              <w:rPr>
                <w:lang w:eastAsia="zh-CN"/>
              </w:rPr>
              <w:t>-3.5</w:t>
            </w:r>
          </w:p>
        </w:tc>
      </w:tr>
      <w:tr w:rsidR="00241417" w:rsidRPr="006A7763" w14:paraId="330CA090" w14:textId="77777777" w:rsidTr="003A71DE">
        <w:trPr>
          <w:jc w:val="center"/>
        </w:trPr>
        <w:tc>
          <w:tcPr>
            <w:tcW w:w="1276" w:type="dxa"/>
            <w:vMerge/>
            <w:vAlign w:val="center"/>
          </w:tcPr>
          <w:p w14:paraId="634B8E5F" w14:textId="77777777" w:rsidR="00241417" w:rsidRPr="006A7763" w:rsidRDefault="00241417" w:rsidP="003A71DE">
            <w:pPr>
              <w:pStyle w:val="TAC"/>
            </w:pPr>
          </w:p>
        </w:tc>
        <w:tc>
          <w:tcPr>
            <w:tcW w:w="1134" w:type="dxa"/>
            <w:tcBorders>
              <w:bottom w:val="single" w:sz="4" w:space="0" w:color="auto"/>
            </w:tcBorders>
            <w:vAlign w:val="center"/>
          </w:tcPr>
          <w:p w14:paraId="64A1BD95" w14:textId="77777777" w:rsidR="00241417" w:rsidRPr="006A7763" w:rsidRDefault="00241417" w:rsidP="003A71DE">
            <w:pPr>
              <w:pStyle w:val="TAC"/>
            </w:pPr>
            <w:r w:rsidRPr="006A7763">
              <w:rPr>
                <w:lang w:eastAsia="zh-CN"/>
              </w:rPr>
              <w:t>4</w:t>
            </w:r>
          </w:p>
        </w:tc>
        <w:tc>
          <w:tcPr>
            <w:tcW w:w="1276" w:type="dxa"/>
            <w:tcBorders>
              <w:bottom w:val="single" w:sz="4" w:space="0" w:color="auto"/>
            </w:tcBorders>
            <w:vAlign w:val="center"/>
          </w:tcPr>
          <w:p w14:paraId="2BF2ECA0" w14:textId="77777777" w:rsidR="00241417" w:rsidRPr="006A7763" w:rsidRDefault="00241417" w:rsidP="003A71DE">
            <w:pPr>
              <w:pStyle w:val="TAC"/>
            </w:pPr>
            <w:r w:rsidRPr="006A7763">
              <w:t>TDLC-300-100</w:t>
            </w:r>
            <w:r w:rsidRPr="006A7763">
              <w:rPr>
                <w:lang w:eastAsia="zh-CN"/>
              </w:rPr>
              <w:t xml:space="preserve"> Low</w:t>
            </w:r>
          </w:p>
        </w:tc>
        <w:tc>
          <w:tcPr>
            <w:tcW w:w="709" w:type="dxa"/>
            <w:tcBorders>
              <w:bottom w:val="single" w:sz="4" w:space="0" w:color="auto"/>
            </w:tcBorders>
            <w:vAlign w:val="center"/>
          </w:tcPr>
          <w:p w14:paraId="216C7465" w14:textId="77777777" w:rsidR="00241417" w:rsidRPr="006A7763" w:rsidRDefault="00241417" w:rsidP="003A71DE">
            <w:pPr>
              <w:pStyle w:val="TAC"/>
            </w:pPr>
            <w:r w:rsidRPr="006A7763">
              <w:rPr>
                <w:lang w:eastAsia="zh-CN"/>
              </w:rPr>
              <w:t>-8.1</w:t>
            </w:r>
          </w:p>
        </w:tc>
        <w:tc>
          <w:tcPr>
            <w:tcW w:w="850" w:type="dxa"/>
            <w:tcBorders>
              <w:bottom w:val="single" w:sz="4" w:space="0" w:color="auto"/>
            </w:tcBorders>
            <w:vAlign w:val="center"/>
          </w:tcPr>
          <w:p w14:paraId="58B9F7FE" w14:textId="77777777" w:rsidR="00241417" w:rsidRPr="006A7763" w:rsidRDefault="00241417" w:rsidP="003A71DE">
            <w:pPr>
              <w:pStyle w:val="TAC"/>
            </w:pPr>
            <w:r w:rsidRPr="006A7763">
              <w:rPr>
                <w:lang w:eastAsia="zh-CN"/>
              </w:rPr>
              <w:t>-8.3</w:t>
            </w:r>
          </w:p>
        </w:tc>
        <w:tc>
          <w:tcPr>
            <w:tcW w:w="851" w:type="dxa"/>
            <w:tcBorders>
              <w:bottom w:val="single" w:sz="4" w:space="0" w:color="auto"/>
            </w:tcBorders>
            <w:vAlign w:val="center"/>
          </w:tcPr>
          <w:p w14:paraId="716BB90A" w14:textId="77777777" w:rsidR="00241417" w:rsidRPr="006A7763" w:rsidRDefault="00241417" w:rsidP="003A71DE">
            <w:pPr>
              <w:pStyle w:val="TAC"/>
              <w:rPr>
                <w:lang w:eastAsia="zh-CN"/>
              </w:rPr>
            </w:pPr>
            <w:r w:rsidRPr="006A7763">
              <w:rPr>
                <w:lang w:eastAsia="zh-CN"/>
              </w:rPr>
              <w:t>-7.5</w:t>
            </w:r>
          </w:p>
        </w:tc>
        <w:tc>
          <w:tcPr>
            <w:tcW w:w="850" w:type="dxa"/>
            <w:tcBorders>
              <w:bottom w:val="single" w:sz="4" w:space="0" w:color="auto"/>
            </w:tcBorders>
            <w:vAlign w:val="center"/>
          </w:tcPr>
          <w:p w14:paraId="4CA6B8CE" w14:textId="77777777" w:rsidR="00241417" w:rsidRPr="006A7763" w:rsidRDefault="00241417" w:rsidP="003A71DE">
            <w:pPr>
              <w:pStyle w:val="TAC"/>
            </w:pPr>
            <w:r w:rsidRPr="006A7763">
              <w:rPr>
                <w:lang w:eastAsia="zh-CN"/>
              </w:rPr>
              <w:t>-8.0</w:t>
            </w:r>
          </w:p>
        </w:tc>
      </w:tr>
      <w:tr w:rsidR="00241417" w:rsidRPr="006A7763" w14:paraId="6BA3DA25" w14:textId="77777777" w:rsidTr="003A71DE">
        <w:trPr>
          <w:jc w:val="center"/>
        </w:trPr>
        <w:tc>
          <w:tcPr>
            <w:tcW w:w="1276" w:type="dxa"/>
            <w:vMerge/>
            <w:vAlign w:val="center"/>
          </w:tcPr>
          <w:p w14:paraId="0678731B" w14:textId="77777777" w:rsidR="00241417" w:rsidRPr="006A7763" w:rsidRDefault="00241417" w:rsidP="003A71DE">
            <w:pPr>
              <w:pStyle w:val="TAC"/>
            </w:pPr>
          </w:p>
        </w:tc>
        <w:tc>
          <w:tcPr>
            <w:tcW w:w="1134" w:type="dxa"/>
            <w:tcBorders>
              <w:top w:val="single" w:sz="4" w:space="0" w:color="auto"/>
            </w:tcBorders>
            <w:vAlign w:val="center"/>
          </w:tcPr>
          <w:p w14:paraId="55E48E87" w14:textId="77777777" w:rsidR="00241417" w:rsidRPr="006A7763" w:rsidRDefault="00241417" w:rsidP="003A71DE">
            <w:pPr>
              <w:pStyle w:val="TAC"/>
            </w:pPr>
            <w:r w:rsidRPr="006A7763">
              <w:rPr>
                <w:lang w:eastAsia="zh-CN"/>
              </w:rPr>
              <w:t>8</w:t>
            </w:r>
          </w:p>
        </w:tc>
        <w:tc>
          <w:tcPr>
            <w:tcW w:w="1276" w:type="dxa"/>
            <w:tcBorders>
              <w:top w:val="single" w:sz="4" w:space="0" w:color="auto"/>
            </w:tcBorders>
            <w:vAlign w:val="center"/>
          </w:tcPr>
          <w:p w14:paraId="3C3CA1F7" w14:textId="77777777" w:rsidR="00241417" w:rsidRPr="006A7763" w:rsidRDefault="00241417" w:rsidP="003A71DE">
            <w:pPr>
              <w:pStyle w:val="TAC"/>
            </w:pPr>
            <w:r w:rsidRPr="006A7763">
              <w:t>TDLC-300-100</w:t>
            </w:r>
            <w:r w:rsidRPr="006A7763">
              <w:rPr>
                <w:lang w:eastAsia="zh-CN"/>
              </w:rPr>
              <w:t xml:space="preserve"> Low</w:t>
            </w:r>
          </w:p>
        </w:tc>
        <w:tc>
          <w:tcPr>
            <w:tcW w:w="709" w:type="dxa"/>
            <w:tcBorders>
              <w:top w:val="single" w:sz="4" w:space="0" w:color="auto"/>
            </w:tcBorders>
            <w:vAlign w:val="center"/>
          </w:tcPr>
          <w:p w14:paraId="7D1E6129" w14:textId="77777777" w:rsidR="00241417" w:rsidRPr="006A7763" w:rsidRDefault="00241417" w:rsidP="003A71DE">
            <w:pPr>
              <w:pStyle w:val="TAC"/>
            </w:pPr>
            <w:r w:rsidRPr="006A7763">
              <w:rPr>
                <w:lang w:eastAsia="zh-CN"/>
              </w:rPr>
              <w:t>-11.5</w:t>
            </w:r>
          </w:p>
        </w:tc>
        <w:tc>
          <w:tcPr>
            <w:tcW w:w="850" w:type="dxa"/>
            <w:tcBorders>
              <w:top w:val="single" w:sz="4" w:space="0" w:color="auto"/>
            </w:tcBorders>
            <w:vAlign w:val="center"/>
          </w:tcPr>
          <w:p w14:paraId="11825955" w14:textId="77777777" w:rsidR="00241417" w:rsidRPr="006A7763" w:rsidRDefault="00241417" w:rsidP="003A71DE">
            <w:pPr>
              <w:pStyle w:val="TAC"/>
            </w:pPr>
            <w:r w:rsidRPr="006A7763">
              <w:rPr>
                <w:lang w:eastAsia="zh-CN"/>
              </w:rPr>
              <w:t>-11.2</w:t>
            </w:r>
          </w:p>
        </w:tc>
        <w:tc>
          <w:tcPr>
            <w:tcW w:w="851" w:type="dxa"/>
            <w:tcBorders>
              <w:top w:val="single" w:sz="4" w:space="0" w:color="auto"/>
            </w:tcBorders>
            <w:vAlign w:val="center"/>
          </w:tcPr>
          <w:p w14:paraId="50A9DA09" w14:textId="77777777" w:rsidR="00241417" w:rsidRPr="006A7763" w:rsidRDefault="00241417" w:rsidP="003A71DE">
            <w:pPr>
              <w:pStyle w:val="TAC"/>
              <w:rPr>
                <w:lang w:eastAsia="zh-CN"/>
              </w:rPr>
            </w:pPr>
            <w:r w:rsidRPr="006A7763">
              <w:rPr>
                <w:lang w:eastAsia="zh-CN"/>
              </w:rPr>
              <w:t>-11.6</w:t>
            </w:r>
          </w:p>
        </w:tc>
        <w:tc>
          <w:tcPr>
            <w:tcW w:w="850" w:type="dxa"/>
            <w:tcBorders>
              <w:top w:val="single" w:sz="4" w:space="0" w:color="auto"/>
            </w:tcBorders>
            <w:vAlign w:val="center"/>
          </w:tcPr>
          <w:p w14:paraId="1F1E620A" w14:textId="77777777" w:rsidR="00241417" w:rsidRPr="006A7763" w:rsidRDefault="00241417" w:rsidP="003A71DE">
            <w:pPr>
              <w:pStyle w:val="TAC"/>
            </w:pPr>
            <w:r w:rsidRPr="006A7763">
              <w:rPr>
                <w:lang w:eastAsia="zh-CN"/>
              </w:rPr>
              <w:t>-11.3</w:t>
            </w:r>
          </w:p>
        </w:tc>
      </w:tr>
    </w:tbl>
    <w:p w14:paraId="07F4A658" w14:textId="77777777" w:rsidR="00241417" w:rsidRDefault="00241417" w:rsidP="00241417"/>
    <w:p w14:paraId="4F9E3CD5" w14:textId="77777777" w:rsidR="00241417" w:rsidRDefault="00241417" w:rsidP="00241417">
      <w:pPr>
        <w:pStyle w:val="Heading5"/>
      </w:pPr>
      <w:bookmarkStart w:id="3597" w:name="_Toc74583260"/>
      <w:bookmarkStart w:id="3598" w:name="_Toc76542073"/>
      <w:bookmarkStart w:id="3599" w:name="_Toc82450055"/>
      <w:bookmarkStart w:id="3600" w:name="_Toc82450703"/>
      <w:bookmarkStart w:id="3601" w:name="_Toc89949092"/>
      <w:bookmarkStart w:id="3602" w:name="_Toc98755481"/>
      <w:bookmarkStart w:id="3603" w:name="_Toc98763072"/>
      <w:bookmarkStart w:id="3604" w:name="_Toc106184001"/>
      <w:r>
        <w:t>8</w:t>
      </w:r>
      <w:r w:rsidRPr="00EE4A40">
        <w:t>.</w:t>
      </w:r>
      <w:r>
        <w:t>1</w:t>
      </w:r>
      <w:r w:rsidRPr="00EE4A40">
        <w:t>.</w:t>
      </w:r>
      <w:r>
        <w:t>3</w:t>
      </w:r>
      <w:r w:rsidRPr="00EE4A40">
        <w:t>.</w:t>
      </w:r>
      <w:r>
        <w:t>3</w:t>
      </w:r>
      <w:r w:rsidRPr="00EE4A40">
        <w:t>.</w:t>
      </w:r>
      <w:r>
        <w:t>2</w:t>
      </w:r>
      <w:r>
        <w:tab/>
        <w:t>ACK missed detection requirements</w:t>
      </w:r>
      <w:bookmarkEnd w:id="3597"/>
      <w:bookmarkEnd w:id="3598"/>
      <w:bookmarkEnd w:id="3599"/>
      <w:bookmarkEnd w:id="3600"/>
      <w:bookmarkEnd w:id="3601"/>
      <w:bookmarkEnd w:id="3602"/>
      <w:bookmarkEnd w:id="3603"/>
      <w:bookmarkEnd w:id="3604"/>
    </w:p>
    <w:p w14:paraId="0490A06F" w14:textId="77777777" w:rsidR="00241417" w:rsidRDefault="00241417" w:rsidP="00241417">
      <w:pPr>
        <w:pStyle w:val="H6"/>
      </w:pPr>
      <w:r>
        <w:t>8</w:t>
      </w:r>
      <w:r w:rsidRPr="00D57F98">
        <w:t>.</w:t>
      </w:r>
      <w:r>
        <w:t>1</w:t>
      </w:r>
      <w:r w:rsidRPr="00D57F98">
        <w:t>.</w:t>
      </w:r>
      <w:r>
        <w:t>3</w:t>
      </w:r>
      <w:r w:rsidRPr="00D57F98">
        <w:t>.</w:t>
      </w:r>
      <w:r>
        <w:t>3</w:t>
      </w:r>
      <w:r w:rsidRPr="00D57F98">
        <w:t>.</w:t>
      </w:r>
      <w:r>
        <w:t>2</w:t>
      </w:r>
      <w:r w:rsidRPr="00D57F98">
        <w:t>.1</w:t>
      </w:r>
      <w:r>
        <w:tab/>
        <w:t>General</w:t>
      </w:r>
    </w:p>
    <w:p w14:paraId="3B6768C3" w14:textId="77777777" w:rsidR="00241417" w:rsidRPr="00F32B67" w:rsidRDefault="00241417" w:rsidP="00241417">
      <w:pPr>
        <w:rPr>
          <w:lang w:eastAsia="zh-CN"/>
        </w:rPr>
      </w:pPr>
      <w:r w:rsidRPr="00F32B67">
        <w:t>The ACK missed detection probability is the probability of not detecting an ACK when an ACK was sent.</w:t>
      </w:r>
      <w:r w:rsidRPr="00F32B67">
        <w:rPr>
          <w:lang w:eastAsia="zh-CN"/>
        </w:rPr>
        <w:t xml:space="preserve"> The test parameters in </w:t>
      </w:r>
      <w:r w:rsidRPr="00F32B67">
        <w:t>table 8.3.3.1.1-1</w:t>
      </w:r>
      <w:r w:rsidRPr="00F32B67">
        <w:rPr>
          <w:lang w:eastAsia="zh-CN"/>
        </w:rPr>
        <w:t xml:space="preserve"> are configured. </w:t>
      </w:r>
    </w:p>
    <w:p w14:paraId="092AE1A7" w14:textId="17623740"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 xml:space="preserve">[3] clause </w:t>
      </w:r>
      <w:r w:rsidRPr="006C7AF4">
        <w:rPr>
          <w:lang w:val="en-US"/>
        </w:rPr>
        <w:t xml:space="preserve">6.3.3.1 </w:t>
      </w:r>
      <w:r w:rsidRPr="006C7AF4">
        <w:rPr>
          <w:lang w:val="en-US" w:eastAsia="zh-CN"/>
        </w:rPr>
        <w:t>is not taken into account for performance requirement testing, where the RB hopping is symmetric to the centre, i.e. intra-slot frequency hopping is enabled.]</w:t>
      </w:r>
    </w:p>
    <w:p w14:paraId="4D1F6ADB" w14:textId="77777777" w:rsidR="00241417" w:rsidRPr="006C7AF4" w:rsidRDefault="00241417" w:rsidP="00241417">
      <w:pPr>
        <w:rPr>
          <w:lang w:val="en-US" w:eastAsia="zh-CN"/>
        </w:rPr>
      </w:pPr>
    </w:p>
    <w:p w14:paraId="49532D53" w14:textId="77777777" w:rsidR="00241417" w:rsidRPr="0034461C" w:rsidRDefault="00241417" w:rsidP="00241417">
      <w:pPr>
        <w:pStyle w:val="H6"/>
        <w:rPr>
          <w:lang w:eastAsia="zh-CN"/>
        </w:rPr>
      </w:pPr>
      <w:r>
        <w:t>8</w:t>
      </w:r>
      <w:r w:rsidRPr="00D57F98">
        <w:t>.</w:t>
      </w:r>
      <w:r>
        <w:t>1</w:t>
      </w:r>
      <w:r w:rsidRPr="00D57F98">
        <w:t>.</w:t>
      </w:r>
      <w:r>
        <w:t>3</w:t>
      </w:r>
      <w:r w:rsidRPr="00D57F98">
        <w:t>.</w:t>
      </w:r>
      <w:r>
        <w:t>3</w:t>
      </w:r>
      <w:r w:rsidRPr="00D57F98">
        <w:t>.</w:t>
      </w:r>
      <w:r>
        <w:t>2</w:t>
      </w:r>
      <w:r w:rsidRPr="00D57F98">
        <w:t>.</w:t>
      </w:r>
      <w:r>
        <w:t>2</w:t>
      </w:r>
      <w:r>
        <w:tab/>
        <w:t>Minimum requirements</w:t>
      </w:r>
    </w:p>
    <w:p w14:paraId="16FE93DC" w14:textId="77777777" w:rsidR="00241417" w:rsidRPr="00F32B67" w:rsidRDefault="00241417" w:rsidP="00241417">
      <w:pPr>
        <w:rPr>
          <w:lang w:eastAsia="zh-CN"/>
        </w:rPr>
      </w:pPr>
      <w:r w:rsidRPr="00F32B67">
        <w:t>The ACK missed detection probability shall not exceed 1% at the SNR given in table 8.1.3.3.2.2-1 and in table 8.1.3.3.2.2-2.</w:t>
      </w:r>
    </w:p>
    <w:p w14:paraId="3F7B1612" w14:textId="77777777" w:rsidR="00241417" w:rsidRPr="00F32B67" w:rsidRDefault="00241417" w:rsidP="00241417">
      <w:pPr>
        <w:pStyle w:val="TH"/>
      </w:pPr>
      <w:r w:rsidRPr="00F32B67">
        <w:t>Table 8.1.3.3.2.2-1: Minimum requirements for PUCCH format 1 with 15 kHz SCS</w:t>
      </w:r>
    </w:p>
    <w:tbl>
      <w:tblPr>
        <w:tblStyle w:val="TableGrid10"/>
        <w:tblW w:w="6521" w:type="dxa"/>
        <w:jc w:val="center"/>
        <w:tblInd w:w="0" w:type="dxa"/>
        <w:tblLayout w:type="fixed"/>
        <w:tblLook w:val="04A0" w:firstRow="1" w:lastRow="0" w:firstColumn="1" w:lastColumn="0" w:noHBand="0" w:noVBand="1"/>
      </w:tblPr>
      <w:tblGrid>
        <w:gridCol w:w="1276"/>
        <w:gridCol w:w="1134"/>
        <w:gridCol w:w="1276"/>
        <w:gridCol w:w="850"/>
        <w:gridCol w:w="993"/>
        <w:gridCol w:w="992"/>
      </w:tblGrid>
      <w:tr w:rsidR="00241417" w:rsidRPr="00E40AED" w14:paraId="234287A2" w14:textId="77777777" w:rsidTr="003A71DE">
        <w:trPr>
          <w:jc w:val="center"/>
        </w:trPr>
        <w:tc>
          <w:tcPr>
            <w:tcW w:w="1276" w:type="dxa"/>
            <w:vMerge w:val="restart"/>
            <w:tcBorders>
              <w:top w:val="single" w:sz="4" w:space="0" w:color="auto"/>
            </w:tcBorders>
            <w:vAlign w:val="center"/>
          </w:tcPr>
          <w:p w14:paraId="700A7E63" w14:textId="77777777" w:rsidR="00241417" w:rsidRPr="00E40AED" w:rsidRDefault="00241417" w:rsidP="003A71DE">
            <w:pPr>
              <w:pStyle w:val="TAH"/>
            </w:pPr>
            <w:r w:rsidRPr="00E40AED">
              <w:t>Number of</w:t>
            </w:r>
            <w:r>
              <w:t xml:space="preserve"> </w:t>
            </w:r>
            <w:r w:rsidRPr="00E40AED">
              <w:t>TX antennas</w:t>
            </w:r>
          </w:p>
        </w:tc>
        <w:tc>
          <w:tcPr>
            <w:tcW w:w="1134" w:type="dxa"/>
            <w:vMerge w:val="restart"/>
            <w:tcBorders>
              <w:top w:val="single" w:sz="4" w:space="0" w:color="auto"/>
            </w:tcBorders>
            <w:vAlign w:val="center"/>
          </w:tcPr>
          <w:p w14:paraId="5D9F919A" w14:textId="77777777" w:rsidR="00241417" w:rsidRPr="00E40AED" w:rsidRDefault="00241417" w:rsidP="003A71DE">
            <w:pPr>
              <w:pStyle w:val="TAH"/>
            </w:pPr>
            <w:r w:rsidRPr="00E40AED">
              <w:rPr>
                <w:lang w:eastAsia="zh-CN"/>
              </w:rPr>
              <w:t>Number of</w:t>
            </w:r>
            <w:r>
              <w:rPr>
                <w:lang w:eastAsia="zh-CN"/>
              </w:rPr>
              <w:t xml:space="preserve"> </w:t>
            </w:r>
            <w:r>
              <w:t>Demodulation Branches</w:t>
            </w:r>
          </w:p>
        </w:tc>
        <w:tc>
          <w:tcPr>
            <w:tcW w:w="1276" w:type="dxa"/>
            <w:vMerge w:val="restart"/>
            <w:tcBorders>
              <w:top w:val="single" w:sz="4" w:space="0" w:color="auto"/>
            </w:tcBorders>
            <w:vAlign w:val="center"/>
          </w:tcPr>
          <w:p w14:paraId="4DA1A1AD" w14:textId="746CEA65" w:rsidR="00241417" w:rsidRPr="00E40AED" w:rsidRDefault="00241417" w:rsidP="003A71DE">
            <w:pPr>
              <w:pStyle w:val="TAH"/>
            </w:pPr>
            <w:r w:rsidRPr="00E40AED">
              <w:rPr>
                <w:lang w:val="fr-FR"/>
              </w:rPr>
              <w:t>Propagation</w:t>
            </w:r>
            <w:r>
              <w:rPr>
                <w:lang w:val="fr-FR"/>
              </w:rPr>
              <w:t xml:space="preserve"> </w:t>
            </w:r>
            <w:r w:rsidRPr="00E40AED">
              <w:t xml:space="preserve">conditions and correlation matrix (Annex </w:t>
            </w:r>
            <w:r>
              <w:t>TBA</w:t>
            </w:r>
            <w:r w:rsidRPr="00E40AED">
              <w:t>)</w:t>
            </w:r>
          </w:p>
        </w:tc>
        <w:tc>
          <w:tcPr>
            <w:tcW w:w="2835" w:type="dxa"/>
            <w:gridSpan w:val="3"/>
            <w:tcBorders>
              <w:top w:val="single" w:sz="4" w:space="0" w:color="auto"/>
            </w:tcBorders>
            <w:vAlign w:val="center"/>
          </w:tcPr>
          <w:p w14:paraId="4CC456CB" w14:textId="77777777" w:rsidR="00241417" w:rsidRPr="00E40AED" w:rsidRDefault="00241417" w:rsidP="003A71DE">
            <w:pPr>
              <w:pStyle w:val="TAH"/>
            </w:pPr>
            <w:r w:rsidRPr="00E40AED">
              <w:t>Channel bandwidth / SNR (dB)</w:t>
            </w:r>
          </w:p>
        </w:tc>
      </w:tr>
      <w:tr w:rsidR="00241417" w:rsidRPr="00E40AED" w14:paraId="71E75CF6" w14:textId="77777777" w:rsidTr="003A71DE">
        <w:trPr>
          <w:jc w:val="center"/>
        </w:trPr>
        <w:tc>
          <w:tcPr>
            <w:tcW w:w="1276" w:type="dxa"/>
            <w:vMerge/>
            <w:tcBorders>
              <w:bottom w:val="single" w:sz="4" w:space="0" w:color="auto"/>
            </w:tcBorders>
            <w:vAlign w:val="center"/>
          </w:tcPr>
          <w:p w14:paraId="4A5A1C2E" w14:textId="77777777" w:rsidR="00241417" w:rsidRPr="00E40AED" w:rsidRDefault="00241417" w:rsidP="003A71DE">
            <w:pPr>
              <w:pStyle w:val="TAH"/>
            </w:pPr>
          </w:p>
        </w:tc>
        <w:tc>
          <w:tcPr>
            <w:tcW w:w="1134" w:type="dxa"/>
            <w:vMerge/>
            <w:tcBorders>
              <w:bottom w:val="single" w:sz="4" w:space="0" w:color="auto"/>
            </w:tcBorders>
            <w:vAlign w:val="center"/>
          </w:tcPr>
          <w:p w14:paraId="7DF7F1BD" w14:textId="77777777" w:rsidR="00241417" w:rsidRPr="00E40AED" w:rsidRDefault="00241417" w:rsidP="003A71DE">
            <w:pPr>
              <w:pStyle w:val="TAH"/>
            </w:pPr>
          </w:p>
        </w:tc>
        <w:tc>
          <w:tcPr>
            <w:tcW w:w="1276" w:type="dxa"/>
            <w:vMerge/>
            <w:tcBorders>
              <w:bottom w:val="single" w:sz="4" w:space="0" w:color="auto"/>
            </w:tcBorders>
            <w:vAlign w:val="center"/>
          </w:tcPr>
          <w:p w14:paraId="2C01E87B" w14:textId="77777777" w:rsidR="00241417" w:rsidRPr="00E40AED" w:rsidRDefault="00241417" w:rsidP="003A71DE">
            <w:pPr>
              <w:pStyle w:val="TAH"/>
            </w:pPr>
          </w:p>
        </w:tc>
        <w:tc>
          <w:tcPr>
            <w:tcW w:w="850" w:type="dxa"/>
            <w:tcBorders>
              <w:top w:val="single" w:sz="4" w:space="0" w:color="auto"/>
              <w:bottom w:val="single" w:sz="4" w:space="0" w:color="auto"/>
            </w:tcBorders>
            <w:vAlign w:val="center"/>
          </w:tcPr>
          <w:p w14:paraId="6040843C" w14:textId="77777777" w:rsidR="00241417" w:rsidRPr="00E40AED" w:rsidRDefault="00241417" w:rsidP="003A71DE">
            <w:pPr>
              <w:pStyle w:val="TAH"/>
            </w:pPr>
            <w:r w:rsidRPr="00E40AED">
              <w:t>5 MHz</w:t>
            </w:r>
          </w:p>
        </w:tc>
        <w:tc>
          <w:tcPr>
            <w:tcW w:w="993" w:type="dxa"/>
            <w:tcBorders>
              <w:top w:val="single" w:sz="4" w:space="0" w:color="auto"/>
              <w:bottom w:val="single" w:sz="4" w:space="0" w:color="auto"/>
            </w:tcBorders>
            <w:vAlign w:val="center"/>
          </w:tcPr>
          <w:p w14:paraId="261DCB90" w14:textId="77777777" w:rsidR="00241417" w:rsidRPr="00E40AED" w:rsidRDefault="00241417" w:rsidP="003A71DE">
            <w:pPr>
              <w:pStyle w:val="TAH"/>
            </w:pPr>
            <w:r w:rsidRPr="00E40AED">
              <w:t>10 MHz</w:t>
            </w:r>
          </w:p>
        </w:tc>
        <w:tc>
          <w:tcPr>
            <w:tcW w:w="992" w:type="dxa"/>
            <w:tcBorders>
              <w:top w:val="single" w:sz="4" w:space="0" w:color="auto"/>
              <w:bottom w:val="single" w:sz="4" w:space="0" w:color="auto"/>
            </w:tcBorders>
            <w:vAlign w:val="center"/>
          </w:tcPr>
          <w:p w14:paraId="60171E04" w14:textId="77777777" w:rsidR="00241417" w:rsidRPr="00E40AED" w:rsidRDefault="00241417" w:rsidP="003A71DE">
            <w:pPr>
              <w:pStyle w:val="TAH"/>
            </w:pPr>
            <w:r w:rsidRPr="00E40AED">
              <w:t>20 MHz</w:t>
            </w:r>
          </w:p>
        </w:tc>
      </w:tr>
      <w:tr w:rsidR="00241417" w:rsidRPr="00E40AED" w14:paraId="655F01B2" w14:textId="77777777" w:rsidTr="003A71DE">
        <w:trPr>
          <w:jc w:val="center"/>
        </w:trPr>
        <w:tc>
          <w:tcPr>
            <w:tcW w:w="1276" w:type="dxa"/>
            <w:vMerge w:val="restart"/>
            <w:vAlign w:val="center"/>
          </w:tcPr>
          <w:p w14:paraId="53E63D95" w14:textId="77777777" w:rsidR="00241417" w:rsidRPr="00E40AED" w:rsidRDefault="00241417" w:rsidP="003A71DE">
            <w:pPr>
              <w:pStyle w:val="TAC"/>
            </w:pPr>
            <w:r w:rsidRPr="00E40AED">
              <w:rPr>
                <w:lang w:eastAsia="zh-CN"/>
              </w:rPr>
              <w:t>1</w:t>
            </w:r>
          </w:p>
        </w:tc>
        <w:tc>
          <w:tcPr>
            <w:tcW w:w="1134" w:type="dxa"/>
            <w:tcBorders>
              <w:bottom w:val="single" w:sz="4" w:space="0" w:color="auto"/>
            </w:tcBorders>
            <w:vAlign w:val="center"/>
          </w:tcPr>
          <w:p w14:paraId="42D54C7A" w14:textId="77777777" w:rsidR="00241417" w:rsidRPr="00E40AED" w:rsidRDefault="00241417" w:rsidP="003A71DE">
            <w:pPr>
              <w:pStyle w:val="TAC"/>
            </w:pPr>
            <w:r w:rsidRPr="00E40AED">
              <w:rPr>
                <w:lang w:eastAsia="zh-CN"/>
              </w:rPr>
              <w:t>2</w:t>
            </w:r>
          </w:p>
        </w:tc>
        <w:tc>
          <w:tcPr>
            <w:tcW w:w="1276" w:type="dxa"/>
            <w:tcBorders>
              <w:bottom w:val="single" w:sz="4" w:space="0" w:color="auto"/>
            </w:tcBorders>
            <w:vAlign w:val="center"/>
          </w:tcPr>
          <w:p w14:paraId="0BE3CBE0" w14:textId="77777777" w:rsidR="00241417" w:rsidRPr="00E40AED" w:rsidRDefault="00241417" w:rsidP="003A71DE">
            <w:pPr>
              <w:pStyle w:val="TAC"/>
            </w:pPr>
            <w:r w:rsidRPr="00E40AED">
              <w:t>TDLC-300-100</w:t>
            </w:r>
            <w:r w:rsidRPr="00E40AED">
              <w:rPr>
                <w:lang w:eastAsia="zh-CN"/>
              </w:rPr>
              <w:t xml:space="preserve"> Low</w:t>
            </w:r>
          </w:p>
        </w:tc>
        <w:tc>
          <w:tcPr>
            <w:tcW w:w="850" w:type="dxa"/>
            <w:tcBorders>
              <w:bottom w:val="single" w:sz="4" w:space="0" w:color="auto"/>
            </w:tcBorders>
            <w:vAlign w:val="center"/>
          </w:tcPr>
          <w:p w14:paraId="3D1104E6" w14:textId="77777777" w:rsidR="00241417" w:rsidRPr="00E40AED" w:rsidRDefault="00241417" w:rsidP="003A71DE">
            <w:pPr>
              <w:pStyle w:val="TAC"/>
            </w:pPr>
            <w:r w:rsidRPr="00E40AED">
              <w:rPr>
                <w:lang w:eastAsia="zh-CN"/>
              </w:rPr>
              <w:t>-5.0</w:t>
            </w:r>
          </w:p>
        </w:tc>
        <w:tc>
          <w:tcPr>
            <w:tcW w:w="993" w:type="dxa"/>
            <w:tcBorders>
              <w:bottom w:val="single" w:sz="4" w:space="0" w:color="auto"/>
            </w:tcBorders>
            <w:vAlign w:val="center"/>
          </w:tcPr>
          <w:p w14:paraId="50F5D20E" w14:textId="77777777" w:rsidR="00241417" w:rsidRPr="00E40AED" w:rsidRDefault="00241417" w:rsidP="003A71DE">
            <w:pPr>
              <w:pStyle w:val="TAC"/>
            </w:pPr>
            <w:r w:rsidRPr="00E40AED">
              <w:rPr>
                <w:lang w:eastAsia="zh-CN"/>
              </w:rPr>
              <w:t>-4.4</w:t>
            </w:r>
          </w:p>
        </w:tc>
        <w:tc>
          <w:tcPr>
            <w:tcW w:w="992" w:type="dxa"/>
            <w:tcBorders>
              <w:bottom w:val="single" w:sz="4" w:space="0" w:color="auto"/>
            </w:tcBorders>
            <w:vAlign w:val="center"/>
          </w:tcPr>
          <w:p w14:paraId="01884F83" w14:textId="77777777" w:rsidR="00241417" w:rsidRPr="00E40AED" w:rsidRDefault="00241417" w:rsidP="003A71DE">
            <w:pPr>
              <w:pStyle w:val="TAC"/>
            </w:pPr>
            <w:r w:rsidRPr="00E40AED">
              <w:rPr>
                <w:lang w:eastAsia="zh-CN"/>
              </w:rPr>
              <w:t>-5.0</w:t>
            </w:r>
          </w:p>
        </w:tc>
      </w:tr>
      <w:tr w:rsidR="00241417" w:rsidRPr="00E40AED" w14:paraId="18A867C4" w14:textId="77777777" w:rsidTr="003A71DE">
        <w:trPr>
          <w:jc w:val="center"/>
        </w:trPr>
        <w:tc>
          <w:tcPr>
            <w:tcW w:w="1276" w:type="dxa"/>
            <w:vMerge/>
            <w:vAlign w:val="center"/>
          </w:tcPr>
          <w:p w14:paraId="08D0F0D8" w14:textId="77777777" w:rsidR="00241417" w:rsidRPr="00E40AED" w:rsidRDefault="00241417" w:rsidP="003A71DE">
            <w:pPr>
              <w:pStyle w:val="TAC"/>
            </w:pPr>
          </w:p>
        </w:tc>
        <w:tc>
          <w:tcPr>
            <w:tcW w:w="1134" w:type="dxa"/>
            <w:tcBorders>
              <w:bottom w:val="single" w:sz="4" w:space="0" w:color="auto"/>
            </w:tcBorders>
            <w:vAlign w:val="center"/>
          </w:tcPr>
          <w:p w14:paraId="52B451FA" w14:textId="77777777" w:rsidR="00241417" w:rsidRPr="00E40AED" w:rsidRDefault="00241417" w:rsidP="003A71DE">
            <w:pPr>
              <w:pStyle w:val="TAC"/>
            </w:pPr>
            <w:r w:rsidRPr="00E40AED">
              <w:rPr>
                <w:lang w:eastAsia="zh-CN"/>
              </w:rPr>
              <w:t>4</w:t>
            </w:r>
          </w:p>
        </w:tc>
        <w:tc>
          <w:tcPr>
            <w:tcW w:w="1276" w:type="dxa"/>
            <w:tcBorders>
              <w:bottom w:val="single" w:sz="4" w:space="0" w:color="auto"/>
            </w:tcBorders>
            <w:vAlign w:val="center"/>
          </w:tcPr>
          <w:p w14:paraId="6AB9D6E8" w14:textId="77777777" w:rsidR="00241417" w:rsidRPr="00E40AED" w:rsidRDefault="00241417" w:rsidP="003A71DE">
            <w:pPr>
              <w:pStyle w:val="TAC"/>
            </w:pPr>
            <w:r w:rsidRPr="00E40AED">
              <w:t>TDLC-300-100</w:t>
            </w:r>
            <w:r w:rsidRPr="00E40AED">
              <w:rPr>
                <w:lang w:eastAsia="zh-CN"/>
              </w:rPr>
              <w:t xml:space="preserve"> Low</w:t>
            </w:r>
          </w:p>
        </w:tc>
        <w:tc>
          <w:tcPr>
            <w:tcW w:w="850" w:type="dxa"/>
            <w:tcBorders>
              <w:bottom w:val="single" w:sz="4" w:space="0" w:color="auto"/>
            </w:tcBorders>
            <w:vAlign w:val="center"/>
          </w:tcPr>
          <w:p w14:paraId="7676827B" w14:textId="77777777" w:rsidR="00241417" w:rsidRPr="00E40AED" w:rsidRDefault="00241417" w:rsidP="003A71DE">
            <w:pPr>
              <w:pStyle w:val="TAC"/>
            </w:pPr>
            <w:r w:rsidRPr="00E40AED">
              <w:rPr>
                <w:lang w:eastAsia="zh-CN"/>
              </w:rPr>
              <w:t>-8.6</w:t>
            </w:r>
          </w:p>
        </w:tc>
        <w:tc>
          <w:tcPr>
            <w:tcW w:w="993" w:type="dxa"/>
            <w:tcBorders>
              <w:bottom w:val="single" w:sz="4" w:space="0" w:color="auto"/>
            </w:tcBorders>
            <w:vAlign w:val="center"/>
          </w:tcPr>
          <w:p w14:paraId="3B78A0B8" w14:textId="77777777" w:rsidR="00241417" w:rsidRPr="00E40AED" w:rsidRDefault="00241417" w:rsidP="003A71DE">
            <w:pPr>
              <w:pStyle w:val="TAC"/>
            </w:pPr>
            <w:r w:rsidRPr="00E40AED">
              <w:rPr>
                <w:lang w:eastAsia="zh-CN"/>
              </w:rPr>
              <w:t>-8.2</w:t>
            </w:r>
          </w:p>
        </w:tc>
        <w:tc>
          <w:tcPr>
            <w:tcW w:w="992" w:type="dxa"/>
            <w:tcBorders>
              <w:bottom w:val="single" w:sz="4" w:space="0" w:color="auto"/>
            </w:tcBorders>
            <w:vAlign w:val="center"/>
          </w:tcPr>
          <w:p w14:paraId="1DBA8C63" w14:textId="77777777" w:rsidR="00241417" w:rsidRPr="00E40AED" w:rsidRDefault="00241417" w:rsidP="003A71DE">
            <w:pPr>
              <w:pStyle w:val="TAC"/>
            </w:pPr>
            <w:r w:rsidRPr="00E40AED">
              <w:rPr>
                <w:lang w:eastAsia="zh-CN"/>
              </w:rPr>
              <w:t>-8.5</w:t>
            </w:r>
          </w:p>
        </w:tc>
      </w:tr>
      <w:tr w:rsidR="00241417" w:rsidRPr="00E40AED" w14:paraId="3F744F4B" w14:textId="77777777" w:rsidTr="003A71DE">
        <w:trPr>
          <w:jc w:val="center"/>
        </w:trPr>
        <w:tc>
          <w:tcPr>
            <w:tcW w:w="1276" w:type="dxa"/>
            <w:vMerge/>
            <w:vAlign w:val="center"/>
          </w:tcPr>
          <w:p w14:paraId="0FA18DB7" w14:textId="77777777" w:rsidR="00241417" w:rsidRPr="00E40AED" w:rsidRDefault="00241417" w:rsidP="003A71DE">
            <w:pPr>
              <w:pStyle w:val="TAC"/>
            </w:pPr>
          </w:p>
        </w:tc>
        <w:tc>
          <w:tcPr>
            <w:tcW w:w="1134" w:type="dxa"/>
            <w:tcBorders>
              <w:top w:val="single" w:sz="4" w:space="0" w:color="auto"/>
            </w:tcBorders>
            <w:vAlign w:val="center"/>
          </w:tcPr>
          <w:p w14:paraId="43C67235" w14:textId="77777777" w:rsidR="00241417" w:rsidRPr="00E40AED" w:rsidRDefault="00241417" w:rsidP="003A71DE">
            <w:pPr>
              <w:pStyle w:val="TAC"/>
            </w:pPr>
            <w:r w:rsidRPr="00E40AED">
              <w:rPr>
                <w:lang w:eastAsia="zh-CN"/>
              </w:rPr>
              <w:t>8</w:t>
            </w:r>
          </w:p>
        </w:tc>
        <w:tc>
          <w:tcPr>
            <w:tcW w:w="1276" w:type="dxa"/>
            <w:tcBorders>
              <w:top w:val="single" w:sz="4" w:space="0" w:color="auto"/>
            </w:tcBorders>
            <w:vAlign w:val="center"/>
          </w:tcPr>
          <w:p w14:paraId="2F183518" w14:textId="77777777" w:rsidR="00241417" w:rsidRPr="00E40AED" w:rsidRDefault="00241417" w:rsidP="003A71DE">
            <w:pPr>
              <w:pStyle w:val="TAC"/>
            </w:pPr>
            <w:r w:rsidRPr="00E40AED">
              <w:t>TDLC-300-100</w:t>
            </w:r>
            <w:r w:rsidRPr="00E40AED">
              <w:rPr>
                <w:lang w:eastAsia="zh-CN"/>
              </w:rPr>
              <w:t xml:space="preserve"> Low</w:t>
            </w:r>
          </w:p>
        </w:tc>
        <w:tc>
          <w:tcPr>
            <w:tcW w:w="850" w:type="dxa"/>
            <w:tcBorders>
              <w:top w:val="single" w:sz="4" w:space="0" w:color="auto"/>
            </w:tcBorders>
            <w:vAlign w:val="center"/>
          </w:tcPr>
          <w:p w14:paraId="4EB9AB64" w14:textId="77777777" w:rsidR="00241417" w:rsidRPr="00E40AED" w:rsidRDefault="00241417" w:rsidP="003A71DE">
            <w:pPr>
              <w:pStyle w:val="TAC"/>
            </w:pPr>
            <w:r w:rsidRPr="00E40AED">
              <w:rPr>
                <w:lang w:eastAsia="zh-CN"/>
              </w:rPr>
              <w:t>-11.6</w:t>
            </w:r>
          </w:p>
        </w:tc>
        <w:tc>
          <w:tcPr>
            <w:tcW w:w="993" w:type="dxa"/>
            <w:tcBorders>
              <w:top w:val="single" w:sz="4" w:space="0" w:color="auto"/>
            </w:tcBorders>
            <w:vAlign w:val="center"/>
          </w:tcPr>
          <w:p w14:paraId="43F0F4B8" w14:textId="77777777" w:rsidR="00241417" w:rsidRPr="00E40AED" w:rsidRDefault="00241417" w:rsidP="003A71DE">
            <w:pPr>
              <w:pStyle w:val="TAC"/>
            </w:pPr>
            <w:r w:rsidRPr="00E40AED">
              <w:rPr>
                <w:lang w:eastAsia="zh-CN"/>
              </w:rPr>
              <w:t>-11.5</w:t>
            </w:r>
          </w:p>
        </w:tc>
        <w:tc>
          <w:tcPr>
            <w:tcW w:w="992" w:type="dxa"/>
            <w:tcBorders>
              <w:top w:val="single" w:sz="4" w:space="0" w:color="auto"/>
            </w:tcBorders>
            <w:vAlign w:val="center"/>
          </w:tcPr>
          <w:p w14:paraId="0DE90513" w14:textId="77777777" w:rsidR="00241417" w:rsidRPr="00E40AED" w:rsidRDefault="00241417" w:rsidP="003A71DE">
            <w:pPr>
              <w:pStyle w:val="TAC"/>
            </w:pPr>
            <w:r w:rsidRPr="00E40AED">
              <w:rPr>
                <w:lang w:eastAsia="zh-CN"/>
              </w:rPr>
              <w:t>-11.5</w:t>
            </w:r>
          </w:p>
        </w:tc>
      </w:tr>
    </w:tbl>
    <w:p w14:paraId="6C12BC39" w14:textId="77777777" w:rsidR="00241417" w:rsidRPr="00E40AED" w:rsidRDefault="00241417" w:rsidP="00241417"/>
    <w:p w14:paraId="25CBB797" w14:textId="77777777" w:rsidR="00241417" w:rsidRPr="00F32B67" w:rsidRDefault="00241417" w:rsidP="00241417">
      <w:pPr>
        <w:pStyle w:val="TH"/>
      </w:pPr>
      <w:r w:rsidRPr="00F32B67">
        <w:t>Table 8.1.3.3.2.2-2: Minimum requirements for PUCCH format 1 with 30 kHz SCS</w:t>
      </w:r>
    </w:p>
    <w:tbl>
      <w:tblPr>
        <w:tblStyle w:val="TableGrid10"/>
        <w:tblW w:w="6946" w:type="dxa"/>
        <w:jc w:val="center"/>
        <w:tblInd w:w="0" w:type="dxa"/>
        <w:tblLayout w:type="fixed"/>
        <w:tblLook w:val="04A0" w:firstRow="1" w:lastRow="0" w:firstColumn="1" w:lastColumn="0" w:noHBand="0" w:noVBand="1"/>
      </w:tblPr>
      <w:tblGrid>
        <w:gridCol w:w="1276"/>
        <w:gridCol w:w="1134"/>
        <w:gridCol w:w="1276"/>
        <w:gridCol w:w="709"/>
        <w:gridCol w:w="850"/>
        <w:gridCol w:w="851"/>
        <w:gridCol w:w="850"/>
      </w:tblGrid>
      <w:tr w:rsidR="00241417" w:rsidRPr="00E40AED" w14:paraId="17EA9F57" w14:textId="77777777" w:rsidTr="003A71DE">
        <w:trPr>
          <w:jc w:val="center"/>
        </w:trPr>
        <w:tc>
          <w:tcPr>
            <w:tcW w:w="1276" w:type="dxa"/>
            <w:vMerge w:val="restart"/>
            <w:tcBorders>
              <w:top w:val="single" w:sz="4" w:space="0" w:color="auto"/>
            </w:tcBorders>
            <w:vAlign w:val="center"/>
          </w:tcPr>
          <w:p w14:paraId="134EF074" w14:textId="77777777" w:rsidR="00241417" w:rsidRPr="00E40AED" w:rsidRDefault="00241417" w:rsidP="003A71DE">
            <w:pPr>
              <w:pStyle w:val="TAH"/>
            </w:pPr>
            <w:r w:rsidRPr="00E40AED">
              <w:t>Number of</w:t>
            </w:r>
            <w:r>
              <w:t xml:space="preserve"> </w:t>
            </w:r>
            <w:r w:rsidRPr="00E40AED">
              <w:t>TX antennas</w:t>
            </w:r>
          </w:p>
        </w:tc>
        <w:tc>
          <w:tcPr>
            <w:tcW w:w="1134" w:type="dxa"/>
            <w:vMerge w:val="restart"/>
            <w:tcBorders>
              <w:top w:val="single" w:sz="4" w:space="0" w:color="auto"/>
            </w:tcBorders>
            <w:vAlign w:val="center"/>
          </w:tcPr>
          <w:p w14:paraId="566B4863" w14:textId="77777777" w:rsidR="00241417" w:rsidRPr="00E40AED" w:rsidRDefault="00241417" w:rsidP="003A71DE">
            <w:pPr>
              <w:pStyle w:val="TAH"/>
            </w:pPr>
            <w:r w:rsidRPr="00E40AED">
              <w:rPr>
                <w:lang w:eastAsia="zh-CN"/>
              </w:rPr>
              <w:t>Number of</w:t>
            </w:r>
            <w:r>
              <w:rPr>
                <w:lang w:eastAsia="zh-CN"/>
              </w:rPr>
              <w:t xml:space="preserve"> </w:t>
            </w:r>
            <w:r>
              <w:t>Demodulation Branches</w:t>
            </w:r>
          </w:p>
        </w:tc>
        <w:tc>
          <w:tcPr>
            <w:tcW w:w="1276" w:type="dxa"/>
            <w:vMerge w:val="restart"/>
            <w:tcBorders>
              <w:top w:val="single" w:sz="4" w:space="0" w:color="auto"/>
            </w:tcBorders>
            <w:vAlign w:val="center"/>
          </w:tcPr>
          <w:p w14:paraId="6CC4EB48" w14:textId="11692CB0" w:rsidR="00241417" w:rsidRPr="00E40AED" w:rsidRDefault="00241417" w:rsidP="003A71DE">
            <w:pPr>
              <w:pStyle w:val="TAH"/>
            </w:pPr>
            <w:r w:rsidRPr="00E40AED">
              <w:rPr>
                <w:lang w:val="fr-FR"/>
              </w:rPr>
              <w:t>Propagation</w:t>
            </w:r>
            <w:r>
              <w:rPr>
                <w:lang w:val="fr-FR"/>
              </w:rPr>
              <w:t xml:space="preserve"> </w:t>
            </w:r>
            <w:r w:rsidRPr="00E40AED">
              <w:t xml:space="preserve">conditions and correlation matrix (Annex </w:t>
            </w:r>
            <w:r>
              <w:t>TBA</w:t>
            </w:r>
            <w:r w:rsidRPr="00E40AED">
              <w:t>)</w:t>
            </w:r>
          </w:p>
        </w:tc>
        <w:tc>
          <w:tcPr>
            <w:tcW w:w="3260" w:type="dxa"/>
            <w:gridSpan w:val="4"/>
            <w:tcBorders>
              <w:top w:val="single" w:sz="4" w:space="0" w:color="auto"/>
            </w:tcBorders>
            <w:vAlign w:val="center"/>
          </w:tcPr>
          <w:p w14:paraId="598329E2" w14:textId="77777777" w:rsidR="00241417" w:rsidRPr="00E40AED" w:rsidRDefault="00241417" w:rsidP="003A71DE">
            <w:pPr>
              <w:pStyle w:val="TAH"/>
            </w:pPr>
            <w:r w:rsidRPr="00E40AED">
              <w:t>Channel bandwidth / SNR (dB)</w:t>
            </w:r>
          </w:p>
        </w:tc>
      </w:tr>
      <w:tr w:rsidR="00241417" w:rsidRPr="00E40AED" w14:paraId="37688986" w14:textId="77777777" w:rsidTr="003A71DE">
        <w:trPr>
          <w:jc w:val="center"/>
        </w:trPr>
        <w:tc>
          <w:tcPr>
            <w:tcW w:w="1276" w:type="dxa"/>
            <w:vMerge/>
            <w:tcBorders>
              <w:bottom w:val="single" w:sz="4" w:space="0" w:color="auto"/>
            </w:tcBorders>
            <w:vAlign w:val="center"/>
          </w:tcPr>
          <w:p w14:paraId="1EEF9716" w14:textId="77777777" w:rsidR="00241417" w:rsidRPr="00E40AED" w:rsidRDefault="00241417" w:rsidP="003A71DE">
            <w:pPr>
              <w:pStyle w:val="TAH"/>
            </w:pPr>
          </w:p>
        </w:tc>
        <w:tc>
          <w:tcPr>
            <w:tcW w:w="1134" w:type="dxa"/>
            <w:vMerge/>
            <w:tcBorders>
              <w:bottom w:val="single" w:sz="4" w:space="0" w:color="auto"/>
            </w:tcBorders>
            <w:vAlign w:val="center"/>
          </w:tcPr>
          <w:p w14:paraId="6883EF98" w14:textId="77777777" w:rsidR="00241417" w:rsidRPr="00E40AED" w:rsidRDefault="00241417" w:rsidP="003A71DE">
            <w:pPr>
              <w:pStyle w:val="TAH"/>
            </w:pPr>
          </w:p>
        </w:tc>
        <w:tc>
          <w:tcPr>
            <w:tcW w:w="1276" w:type="dxa"/>
            <w:vMerge/>
            <w:tcBorders>
              <w:bottom w:val="single" w:sz="4" w:space="0" w:color="auto"/>
            </w:tcBorders>
            <w:vAlign w:val="center"/>
          </w:tcPr>
          <w:p w14:paraId="288B9ACC" w14:textId="77777777" w:rsidR="00241417" w:rsidRPr="00E40AED" w:rsidRDefault="00241417" w:rsidP="003A71DE">
            <w:pPr>
              <w:pStyle w:val="TAH"/>
            </w:pPr>
          </w:p>
        </w:tc>
        <w:tc>
          <w:tcPr>
            <w:tcW w:w="709" w:type="dxa"/>
            <w:tcBorders>
              <w:top w:val="single" w:sz="4" w:space="0" w:color="auto"/>
              <w:bottom w:val="single" w:sz="4" w:space="0" w:color="auto"/>
            </w:tcBorders>
            <w:vAlign w:val="center"/>
          </w:tcPr>
          <w:p w14:paraId="0EBE5243" w14:textId="77777777" w:rsidR="00241417" w:rsidRPr="00E40AED" w:rsidRDefault="00241417" w:rsidP="003A71DE">
            <w:pPr>
              <w:pStyle w:val="TAH"/>
            </w:pPr>
            <w:r w:rsidRPr="00E40AED">
              <w:t>10 MHz</w:t>
            </w:r>
          </w:p>
        </w:tc>
        <w:tc>
          <w:tcPr>
            <w:tcW w:w="850" w:type="dxa"/>
            <w:tcBorders>
              <w:top w:val="single" w:sz="4" w:space="0" w:color="auto"/>
              <w:bottom w:val="single" w:sz="4" w:space="0" w:color="auto"/>
            </w:tcBorders>
            <w:vAlign w:val="center"/>
          </w:tcPr>
          <w:p w14:paraId="36669920" w14:textId="77777777" w:rsidR="00241417" w:rsidRPr="00E40AED" w:rsidRDefault="00241417" w:rsidP="003A71DE">
            <w:pPr>
              <w:pStyle w:val="TAH"/>
            </w:pPr>
            <w:r w:rsidRPr="00E40AED">
              <w:t>20 MHz</w:t>
            </w:r>
          </w:p>
        </w:tc>
        <w:tc>
          <w:tcPr>
            <w:tcW w:w="851" w:type="dxa"/>
            <w:tcBorders>
              <w:top w:val="single" w:sz="4" w:space="0" w:color="auto"/>
              <w:bottom w:val="single" w:sz="4" w:space="0" w:color="auto"/>
            </w:tcBorders>
            <w:vAlign w:val="center"/>
          </w:tcPr>
          <w:p w14:paraId="190D30BA" w14:textId="77777777" w:rsidR="00241417" w:rsidRPr="00E40AED" w:rsidRDefault="00241417" w:rsidP="003A71DE">
            <w:pPr>
              <w:pStyle w:val="TAH"/>
            </w:pPr>
            <w:r w:rsidRPr="00E40AED">
              <w:t>40 MHz</w:t>
            </w:r>
          </w:p>
        </w:tc>
        <w:tc>
          <w:tcPr>
            <w:tcW w:w="850" w:type="dxa"/>
            <w:tcBorders>
              <w:top w:val="single" w:sz="4" w:space="0" w:color="auto"/>
              <w:bottom w:val="single" w:sz="4" w:space="0" w:color="auto"/>
            </w:tcBorders>
            <w:vAlign w:val="center"/>
          </w:tcPr>
          <w:p w14:paraId="2A1309B7" w14:textId="77777777" w:rsidR="00241417" w:rsidRPr="00E40AED" w:rsidRDefault="00241417" w:rsidP="003A71DE">
            <w:pPr>
              <w:pStyle w:val="TAH"/>
            </w:pPr>
            <w:r w:rsidRPr="00E40AED">
              <w:t>100 MHz</w:t>
            </w:r>
          </w:p>
        </w:tc>
      </w:tr>
      <w:tr w:rsidR="00241417" w:rsidRPr="00E40AED" w14:paraId="1470580D" w14:textId="77777777" w:rsidTr="003A71DE">
        <w:trPr>
          <w:jc w:val="center"/>
        </w:trPr>
        <w:tc>
          <w:tcPr>
            <w:tcW w:w="1276" w:type="dxa"/>
            <w:vMerge w:val="restart"/>
            <w:vAlign w:val="center"/>
          </w:tcPr>
          <w:p w14:paraId="40709D91" w14:textId="77777777" w:rsidR="00241417" w:rsidRPr="00E40AED" w:rsidRDefault="00241417" w:rsidP="003A71DE">
            <w:pPr>
              <w:pStyle w:val="TAC"/>
            </w:pPr>
            <w:r w:rsidRPr="00E40AED">
              <w:rPr>
                <w:lang w:eastAsia="zh-CN"/>
              </w:rPr>
              <w:t>1</w:t>
            </w:r>
          </w:p>
        </w:tc>
        <w:tc>
          <w:tcPr>
            <w:tcW w:w="1134" w:type="dxa"/>
            <w:tcBorders>
              <w:bottom w:val="single" w:sz="4" w:space="0" w:color="auto"/>
            </w:tcBorders>
            <w:vAlign w:val="center"/>
          </w:tcPr>
          <w:p w14:paraId="3B598CE2" w14:textId="77777777" w:rsidR="00241417" w:rsidRPr="00E40AED" w:rsidRDefault="00241417" w:rsidP="003A71DE">
            <w:pPr>
              <w:pStyle w:val="TAC"/>
            </w:pPr>
            <w:r w:rsidRPr="00E40AED">
              <w:rPr>
                <w:lang w:eastAsia="zh-CN"/>
              </w:rPr>
              <w:t>2</w:t>
            </w:r>
          </w:p>
        </w:tc>
        <w:tc>
          <w:tcPr>
            <w:tcW w:w="1276" w:type="dxa"/>
            <w:tcBorders>
              <w:bottom w:val="single" w:sz="4" w:space="0" w:color="auto"/>
            </w:tcBorders>
            <w:vAlign w:val="center"/>
          </w:tcPr>
          <w:p w14:paraId="757E7F55" w14:textId="77777777" w:rsidR="00241417" w:rsidRPr="00E40AED" w:rsidRDefault="00241417" w:rsidP="003A71DE">
            <w:pPr>
              <w:pStyle w:val="TAC"/>
            </w:pPr>
            <w:r w:rsidRPr="00E40AED">
              <w:t>TDLC-300-100</w:t>
            </w:r>
            <w:r w:rsidRPr="00E40AED">
              <w:rPr>
                <w:lang w:eastAsia="zh-CN"/>
              </w:rPr>
              <w:t xml:space="preserve"> Low</w:t>
            </w:r>
          </w:p>
        </w:tc>
        <w:tc>
          <w:tcPr>
            <w:tcW w:w="709" w:type="dxa"/>
            <w:tcBorders>
              <w:bottom w:val="single" w:sz="4" w:space="0" w:color="auto"/>
            </w:tcBorders>
            <w:vAlign w:val="center"/>
          </w:tcPr>
          <w:p w14:paraId="10E7D9CA" w14:textId="77777777" w:rsidR="00241417" w:rsidRPr="00E40AED" w:rsidRDefault="00241417" w:rsidP="003A71DE">
            <w:pPr>
              <w:pStyle w:val="TAC"/>
            </w:pPr>
            <w:r w:rsidRPr="00E40AED">
              <w:rPr>
                <w:lang w:eastAsia="zh-CN"/>
              </w:rPr>
              <w:t>-3.9</w:t>
            </w:r>
          </w:p>
        </w:tc>
        <w:tc>
          <w:tcPr>
            <w:tcW w:w="850" w:type="dxa"/>
            <w:tcBorders>
              <w:bottom w:val="single" w:sz="4" w:space="0" w:color="auto"/>
            </w:tcBorders>
            <w:vAlign w:val="center"/>
          </w:tcPr>
          <w:p w14:paraId="299AE23E" w14:textId="77777777" w:rsidR="00241417" w:rsidRPr="00E40AED" w:rsidRDefault="00241417" w:rsidP="003A71DE">
            <w:pPr>
              <w:pStyle w:val="TAC"/>
            </w:pPr>
            <w:r w:rsidRPr="00E40AED">
              <w:rPr>
                <w:lang w:eastAsia="zh-CN"/>
              </w:rPr>
              <w:t>-4.4</w:t>
            </w:r>
          </w:p>
        </w:tc>
        <w:tc>
          <w:tcPr>
            <w:tcW w:w="851" w:type="dxa"/>
            <w:tcBorders>
              <w:bottom w:val="single" w:sz="4" w:space="0" w:color="auto"/>
            </w:tcBorders>
            <w:vAlign w:val="center"/>
          </w:tcPr>
          <w:p w14:paraId="35E61F6B" w14:textId="77777777" w:rsidR="00241417" w:rsidRPr="00E40AED" w:rsidRDefault="00241417" w:rsidP="003A71DE">
            <w:pPr>
              <w:pStyle w:val="TAC"/>
              <w:rPr>
                <w:lang w:eastAsia="zh-CN"/>
              </w:rPr>
            </w:pPr>
            <w:r w:rsidRPr="00E40AED">
              <w:rPr>
                <w:lang w:eastAsia="zh-CN"/>
              </w:rPr>
              <w:t>-4.4</w:t>
            </w:r>
          </w:p>
        </w:tc>
        <w:tc>
          <w:tcPr>
            <w:tcW w:w="850" w:type="dxa"/>
            <w:tcBorders>
              <w:bottom w:val="single" w:sz="4" w:space="0" w:color="auto"/>
            </w:tcBorders>
            <w:vAlign w:val="center"/>
          </w:tcPr>
          <w:p w14:paraId="58501CDE" w14:textId="77777777" w:rsidR="00241417" w:rsidRPr="00E40AED" w:rsidRDefault="00241417" w:rsidP="003A71DE">
            <w:pPr>
              <w:pStyle w:val="TAC"/>
            </w:pPr>
            <w:r w:rsidRPr="00E40AED">
              <w:rPr>
                <w:lang w:eastAsia="zh-CN"/>
              </w:rPr>
              <w:t>-4.2</w:t>
            </w:r>
          </w:p>
        </w:tc>
      </w:tr>
      <w:tr w:rsidR="00241417" w:rsidRPr="00E40AED" w14:paraId="37ECF856" w14:textId="77777777" w:rsidTr="003A71DE">
        <w:trPr>
          <w:jc w:val="center"/>
        </w:trPr>
        <w:tc>
          <w:tcPr>
            <w:tcW w:w="1276" w:type="dxa"/>
            <w:vMerge/>
            <w:vAlign w:val="center"/>
          </w:tcPr>
          <w:p w14:paraId="34EEB7AD" w14:textId="77777777" w:rsidR="00241417" w:rsidRPr="00E40AED" w:rsidRDefault="00241417" w:rsidP="003A71DE">
            <w:pPr>
              <w:pStyle w:val="TAC"/>
            </w:pPr>
          </w:p>
        </w:tc>
        <w:tc>
          <w:tcPr>
            <w:tcW w:w="1134" w:type="dxa"/>
            <w:tcBorders>
              <w:bottom w:val="single" w:sz="4" w:space="0" w:color="auto"/>
            </w:tcBorders>
            <w:vAlign w:val="center"/>
          </w:tcPr>
          <w:p w14:paraId="4509303A" w14:textId="77777777" w:rsidR="00241417" w:rsidRPr="00E40AED" w:rsidRDefault="00241417" w:rsidP="003A71DE">
            <w:pPr>
              <w:pStyle w:val="TAC"/>
            </w:pPr>
            <w:r w:rsidRPr="00E40AED">
              <w:rPr>
                <w:lang w:eastAsia="zh-CN"/>
              </w:rPr>
              <w:t>4</w:t>
            </w:r>
          </w:p>
        </w:tc>
        <w:tc>
          <w:tcPr>
            <w:tcW w:w="1276" w:type="dxa"/>
            <w:tcBorders>
              <w:bottom w:val="single" w:sz="4" w:space="0" w:color="auto"/>
            </w:tcBorders>
            <w:vAlign w:val="center"/>
          </w:tcPr>
          <w:p w14:paraId="0C8C0CBF" w14:textId="77777777" w:rsidR="00241417" w:rsidRPr="00E40AED" w:rsidRDefault="00241417" w:rsidP="003A71DE">
            <w:pPr>
              <w:pStyle w:val="TAC"/>
            </w:pPr>
            <w:r w:rsidRPr="00E40AED">
              <w:t>TDLC-300-100</w:t>
            </w:r>
            <w:r w:rsidRPr="00E40AED">
              <w:rPr>
                <w:lang w:eastAsia="zh-CN"/>
              </w:rPr>
              <w:t xml:space="preserve"> Low</w:t>
            </w:r>
          </w:p>
        </w:tc>
        <w:tc>
          <w:tcPr>
            <w:tcW w:w="709" w:type="dxa"/>
            <w:tcBorders>
              <w:bottom w:val="single" w:sz="4" w:space="0" w:color="auto"/>
            </w:tcBorders>
            <w:vAlign w:val="center"/>
          </w:tcPr>
          <w:p w14:paraId="73D1AF89" w14:textId="77777777" w:rsidR="00241417" w:rsidRPr="00E40AED" w:rsidRDefault="00241417" w:rsidP="003A71DE">
            <w:pPr>
              <w:pStyle w:val="TAC"/>
            </w:pPr>
            <w:r w:rsidRPr="00E40AED">
              <w:rPr>
                <w:lang w:eastAsia="zh-CN"/>
              </w:rPr>
              <w:t>-8.0</w:t>
            </w:r>
          </w:p>
        </w:tc>
        <w:tc>
          <w:tcPr>
            <w:tcW w:w="850" w:type="dxa"/>
            <w:tcBorders>
              <w:bottom w:val="single" w:sz="4" w:space="0" w:color="auto"/>
            </w:tcBorders>
            <w:vAlign w:val="center"/>
          </w:tcPr>
          <w:p w14:paraId="4E4804CB" w14:textId="77777777" w:rsidR="00241417" w:rsidRPr="00E40AED" w:rsidRDefault="00241417" w:rsidP="003A71DE">
            <w:pPr>
              <w:pStyle w:val="TAC"/>
            </w:pPr>
            <w:r w:rsidRPr="00E40AED">
              <w:rPr>
                <w:lang w:eastAsia="zh-CN"/>
              </w:rPr>
              <w:t>-8.1</w:t>
            </w:r>
          </w:p>
        </w:tc>
        <w:tc>
          <w:tcPr>
            <w:tcW w:w="851" w:type="dxa"/>
            <w:tcBorders>
              <w:bottom w:val="single" w:sz="4" w:space="0" w:color="auto"/>
            </w:tcBorders>
            <w:vAlign w:val="center"/>
          </w:tcPr>
          <w:p w14:paraId="3BECBA7C" w14:textId="77777777" w:rsidR="00241417" w:rsidRPr="00E40AED" w:rsidRDefault="00241417" w:rsidP="003A71DE">
            <w:pPr>
              <w:pStyle w:val="TAC"/>
              <w:rPr>
                <w:lang w:eastAsia="zh-CN"/>
              </w:rPr>
            </w:pPr>
            <w:r w:rsidRPr="00E40AED">
              <w:rPr>
                <w:lang w:eastAsia="zh-CN"/>
              </w:rPr>
              <w:t>-8.4</w:t>
            </w:r>
          </w:p>
        </w:tc>
        <w:tc>
          <w:tcPr>
            <w:tcW w:w="850" w:type="dxa"/>
            <w:tcBorders>
              <w:bottom w:val="single" w:sz="4" w:space="0" w:color="auto"/>
            </w:tcBorders>
            <w:vAlign w:val="center"/>
          </w:tcPr>
          <w:p w14:paraId="03BAFF9E" w14:textId="77777777" w:rsidR="00241417" w:rsidRPr="00E40AED" w:rsidRDefault="00241417" w:rsidP="003A71DE">
            <w:pPr>
              <w:pStyle w:val="TAC"/>
            </w:pPr>
            <w:r w:rsidRPr="00E40AED">
              <w:rPr>
                <w:lang w:eastAsia="zh-CN"/>
              </w:rPr>
              <w:t>-8.3</w:t>
            </w:r>
          </w:p>
        </w:tc>
      </w:tr>
      <w:tr w:rsidR="00241417" w:rsidRPr="00E40AED" w14:paraId="665CF76F" w14:textId="77777777" w:rsidTr="003A71DE">
        <w:trPr>
          <w:jc w:val="center"/>
        </w:trPr>
        <w:tc>
          <w:tcPr>
            <w:tcW w:w="1276" w:type="dxa"/>
            <w:vMerge/>
            <w:vAlign w:val="center"/>
          </w:tcPr>
          <w:p w14:paraId="18FFCDF7" w14:textId="77777777" w:rsidR="00241417" w:rsidRPr="00E40AED" w:rsidRDefault="00241417" w:rsidP="003A71DE">
            <w:pPr>
              <w:pStyle w:val="TAC"/>
            </w:pPr>
          </w:p>
        </w:tc>
        <w:tc>
          <w:tcPr>
            <w:tcW w:w="1134" w:type="dxa"/>
            <w:tcBorders>
              <w:top w:val="single" w:sz="4" w:space="0" w:color="auto"/>
            </w:tcBorders>
            <w:vAlign w:val="center"/>
          </w:tcPr>
          <w:p w14:paraId="288D4497" w14:textId="77777777" w:rsidR="00241417" w:rsidRPr="00E40AED" w:rsidRDefault="00241417" w:rsidP="003A71DE">
            <w:pPr>
              <w:pStyle w:val="TAC"/>
            </w:pPr>
            <w:r w:rsidRPr="00E40AED">
              <w:rPr>
                <w:lang w:eastAsia="zh-CN"/>
              </w:rPr>
              <w:t>8</w:t>
            </w:r>
          </w:p>
        </w:tc>
        <w:tc>
          <w:tcPr>
            <w:tcW w:w="1276" w:type="dxa"/>
            <w:tcBorders>
              <w:top w:val="single" w:sz="4" w:space="0" w:color="auto"/>
            </w:tcBorders>
            <w:vAlign w:val="center"/>
          </w:tcPr>
          <w:p w14:paraId="4E8D0FC0" w14:textId="77777777" w:rsidR="00241417" w:rsidRPr="00E40AED" w:rsidRDefault="00241417" w:rsidP="003A71DE">
            <w:pPr>
              <w:pStyle w:val="TAC"/>
            </w:pPr>
            <w:r w:rsidRPr="00E40AED">
              <w:t>TDLC-300-100</w:t>
            </w:r>
            <w:r w:rsidRPr="00E40AED">
              <w:rPr>
                <w:lang w:eastAsia="zh-CN"/>
              </w:rPr>
              <w:t xml:space="preserve"> Low</w:t>
            </w:r>
          </w:p>
        </w:tc>
        <w:tc>
          <w:tcPr>
            <w:tcW w:w="709" w:type="dxa"/>
            <w:tcBorders>
              <w:top w:val="single" w:sz="4" w:space="0" w:color="auto"/>
            </w:tcBorders>
            <w:vAlign w:val="center"/>
          </w:tcPr>
          <w:p w14:paraId="14A209C0" w14:textId="77777777" w:rsidR="00241417" w:rsidRPr="00E40AED" w:rsidRDefault="00241417" w:rsidP="003A71DE">
            <w:pPr>
              <w:pStyle w:val="TAC"/>
            </w:pPr>
            <w:r w:rsidRPr="00E40AED">
              <w:rPr>
                <w:lang w:eastAsia="zh-CN"/>
              </w:rPr>
              <w:t>-11.4</w:t>
            </w:r>
          </w:p>
        </w:tc>
        <w:tc>
          <w:tcPr>
            <w:tcW w:w="850" w:type="dxa"/>
            <w:tcBorders>
              <w:top w:val="single" w:sz="4" w:space="0" w:color="auto"/>
            </w:tcBorders>
            <w:vAlign w:val="center"/>
          </w:tcPr>
          <w:p w14:paraId="275CCBCA" w14:textId="77777777" w:rsidR="00241417" w:rsidRPr="00E40AED" w:rsidRDefault="00241417" w:rsidP="003A71DE">
            <w:pPr>
              <w:pStyle w:val="TAC"/>
            </w:pPr>
            <w:r w:rsidRPr="00E40AED">
              <w:rPr>
                <w:lang w:eastAsia="zh-CN"/>
              </w:rPr>
              <w:t>-11.4</w:t>
            </w:r>
          </w:p>
        </w:tc>
        <w:tc>
          <w:tcPr>
            <w:tcW w:w="851" w:type="dxa"/>
            <w:tcBorders>
              <w:top w:val="single" w:sz="4" w:space="0" w:color="auto"/>
            </w:tcBorders>
            <w:vAlign w:val="center"/>
          </w:tcPr>
          <w:p w14:paraId="2E02D156" w14:textId="77777777" w:rsidR="00241417" w:rsidRPr="00E40AED" w:rsidRDefault="00241417" w:rsidP="003A71DE">
            <w:pPr>
              <w:pStyle w:val="TAC"/>
              <w:rPr>
                <w:lang w:eastAsia="zh-CN"/>
              </w:rPr>
            </w:pPr>
            <w:r w:rsidRPr="00E40AED">
              <w:rPr>
                <w:lang w:eastAsia="zh-CN"/>
              </w:rPr>
              <w:t>-11.4</w:t>
            </w:r>
          </w:p>
        </w:tc>
        <w:tc>
          <w:tcPr>
            <w:tcW w:w="850" w:type="dxa"/>
            <w:tcBorders>
              <w:top w:val="single" w:sz="4" w:space="0" w:color="auto"/>
            </w:tcBorders>
            <w:vAlign w:val="center"/>
          </w:tcPr>
          <w:p w14:paraId="3D2598A0" w14:textId="77777777" w:rsidR="00241417" w:rsidRPr="00E40AED" w:rsidRDefault="00241417" w:rsidP="003A71DE">
            <w:pPr>
              <w:pStyle w:val="TAC"/>
            </w:pPr>
            <w:r w:rsidRPr="00E40AED">
              <w:rPr>
                <w:lang w:eastAsia="zh-CN"/>
              </w:rPr>
              <w:t>-11.4</w:t>
            </w:r>
          </w:p>
        </w:tc>
      </w:tr>
    </w:tbl>
    <w:p w14:paraId="178D37D7" w14:textId="77777777" w:rsidR="00241417" w:rsidRDefault="00241417" w:rsidP="00241417"/>
    <w:p w14:paraId="1FA3F6C5" w14:textId="77777777" w:rsidR="00241417" w:rsidRDefault="00241417" w:rsidP="00241417">
      <w:pPr>
        <w:pStyle w:val="Heading4"/>
        <w:rPr>
          <w:rFonts w:eastAsia="Malgun Gothic"/>
        </w:rPr>
      </w:pPr>
      <w:bookmarkStart w:id="3605" w:name="_Toc74583261"/>
      <w:bookmarkStart w:id="3606" w:name="_Toc76542074"/>
      <w:bookmarkStart w:id="3607" w:name="_Toc82450056"/>
      <w:bookmarkStart w:id="3608" w:name="_Toc82450704"/>
      <w:bookmarkStart w:id="3609" w:name="_Toc89949093"/>
      <w:bookmarkStart w:id="3610" w:name="_Toc98755482"/>
      <w:bookmarkStart w:id="3611" w:name="_Toc98763073"/>
      <w:bookmarkStart w:id="3612" w:name="_Toc106184002"/>
      <w:r w:rsidRPr="00B454A0">
        <w:rPr>
          <w:rFonts w:eastAsia="Malgun Gothic"/>
        </w:rPr>
        <w:lastRenderedPageBreak/>
        <w:t>8.</w:t>
      </w:r>
      <w:r>
        <w:rPr>
          <w:rFonts w:eastAsia="Malgun Gothic"/>
        </w:rPr>
        <w:t>1</w:t>
      </w:r>
      <w:r w:rsidRPr="00B454A0">
        <w:rPr>
          <w:rFonts w:eastAsia="Malgun Gothic"/>
        </w:rPr>
        <w:t>.</w:t>
      </w:r>
      <w:r>
        <w:rPr>
          <w:rFonts w:eastAsia="Malgun Gothic"/>
        </w:rPr>
        <w:t>3</w:t>
      </w:r>
      <w:r w:rsidRPr="00B454A0">
        <w:rPr>
          <w:rFonts w:eastAsia="Malgun Gothic"/>
        </w:rPr>
        <w:t>.</w:t>
      </w:r>
      <w:r>
        <w:rPr>
          <w:rFonts w:eastAsia="Malgun Gothic"/>
        </w:rPr>
        <w:t>4</w:t>
      </w:r>
      <w:r w:rsidRPr="00B454A0">
        <w:rPr>
          <w:rFonts w:eastAsia="Malgun Gothic"/>
        </w:rPr>
        <w:tab/>
      </w:r>
      <w:r>
        <w:rPr>
          <w:rFonts w:eastAsia="Malgun Gothic"/>
        </w:rPr>
        <w:t>Performance requirements for PUCCH format 2</w:t>
      </w:r>
      <w:bookmarkEnd w:id="3605"/>
      <w:bookmarkEnd w:id="3606"/>
      <w:bookmarkEnd w:id="3607"/>
      <w:bookmarkEnd w:id="3608"/>
      <w:bookmarkEnd w:id="3609"/>
      <w:bookmarkEnd w:id="3610"/>
      <w:bookmarkEnd w:id="3611"/>
      <w:bookmarkEnd w:id="3612"/>
    </w:p>
    <w:p w14:paraId="703E97DD" w14:textId="77777777" w:rsidR="00241417" w:rsidRDefault="00241417" w:rsidP="00241417">
      <w:pPr>
        <w:pStyle w:val="Heading5"/>
      </w:pPr>
      <w:bookmarkStart w:id="3613" w:name="_Toc74583262"/>
      <w:bookmarkStart w:id="3614" w:name="_Toc76542075"/>
      <w:bookmarkStart w:id="3615" w:name="_Toc82450057"/>
      <w:bookmarkStart w:id="3616" w:name="_Toc82450705"/>
      <w:bookmarkStart w:id="3617" w:name="_Toc89949094"/>
      <w:bookmarkStart w:id="3618" w:name="_Toc98755483"/>
      <w:bookmarkStart w:id="3619" w:name="_Toc98763074"/>
      <w:bookmarkStart w:id="3620" w:name="_Toc106184003"/>
      <w:r>
        <w:t>8</w:t>
      </w:r>
      <w:r w:rsidRPr="00EE4A40">
        <w:t>.</w:t>
      </w:r>
      <w:r>
        <w:t>1</w:t>
      </w:r>
      <w:r w:rsidRPr="00EE4A40">
        <w:t>.</w:t>
      </w:r>
      <w:r>
        <w:t>3</w:t>
      </w:r>
      <w:r w:rsidRPr="00EE4A40">
        <w:t>.</w:t>
      </w:r>
      <w:r>
        <w:t>4</w:t>
      </w:r>
      <w:r w:rsidRPr="00EE4A40">
        <w:t>.</w:t>
      </w:r>
      <w:r>
        <w:t>1</w:t>
      </w:r>
      <w:r>
        <w:tab/>
        <w:t>NACK to ACK requirements</w:t>
      </w:r>
      <w:bookmarkEnd w:id="3613"/>
      <w:bookmarkEnd w:id="3614"/>
      <w:bookmarkEnd w:id="3615"/>
      <w:bookmarkEnd w:id="3616"/>
      <w:bookmarkEnd w:id="3617"/>
      <w:bookmarkEnd w:id="3618"/>
      <w:bookmarkEnd w:id="3619"/>
      <w:bookmarkEnd w:id="3620"/>
    </w:p>
    <w:p w14:paraId="2C54F13F" w14:textId="77777777" w:rsidR="00241417" w:rsidRDefault="00241417" w:rsidP="00241417">
      <w:pPr>
        <w:pStyle w:val="H6"/>
      </w:pPr>
      <w:r>
        <w:t>8</w:t>
      </w:r>
      <w:r w:rsidRPr="00D57F98">
        <w:t>.</w:t>
      </w:r>
      <w:r>
        <w:t>1</w:t>
      </w:r>
      <w:r w:rsidRPr="00D57F98">
        <w:t>.</w:t>
      </w:r>
      <w:r>
        <w:t>3</w:t>
      </w:r>
      <w:r w:rsidRPr="00D57F98">
        <w:t>.</w:t>
      </w:r>
      <w:r>
        <w:t>4</w:t>
      </w:r>
      <w:r w:rsidRPr="00D57F98">
        <w:t>.</w:t>
      </w:r>
      <w:r>
        <w:t>1</w:t>
      </w:r>
      <w:r w:rsidRPr="00D57F98">
        <w:t>.</w:t>
      </w:r>
      <w:r>
        <w:t>1</w:t>
      </w:r>
      <w:r>
        <w:tab/>
        <w:t>General</w:t>
      </w:r>
    </w:p>
    <w:p w14:paraId="51B7D062" w14:textId="77777777" w:rsidR="00241417" w:rsidRPr="00F32B67" w:rsidRDefault="00241417" w:rsidP="00241417">
      <w:pPr>
        <w:rPr>
          <w:lang w:eastAsia="zh-CN"/>
        </w:rPr>
      </w:pPr>
      <w:r w:rsidRPr="00F32B67">
        <w:t>The ACK missed detection probability is the probability of not detecting an ACK when an ACK was sent.</w:t>
      </w:r>
    </w:p>
    <w:p w14:paraId="13C218EB" w14:textId="77777777" w:rsidR="00241417" w:rsidRPr="00F32B67" w:rsidRDefault="00241417" w:rsidP="00241417">
      <w:pPr>
        <w:rPr>
          <w:rFonts w:eastAsia="SimSun"/>
          <w:lang w:eastAsia="zh-CN"/>
        </w:rPr>
      </w:pPr>
      <w:r w:rsidRPr="00F32B67">
        <w:rPr>
          <w:lang w:eastAsia="zh-CN"/>
        </w:rPr>
        <w:t>The ACK missed detection requirement only applies to the PUCCH format 2 with 4 UCI bits.</w:t>
      </w:r>
    </w:p>
    <w:p w14:paraId="1842B6A1" w14:textId="77777777" w:rsidR="00241417" w:rsidRPr="00C1044F" w:rsidRDefault="00241417" w:rsidP="00241417">
      <w:pPr>
        <w:pStyle w:val="TH"/>
      </w:pPr>
      <w:r w:rsidRPr="00C1044F">
        <w:t>Table 8.</w:t>
      </w:r>
      <w:r>
        <w:t>1.</w:t>
      </w:r>
      <w:r w:rsidRPr="00C1044F">
        <w:t>3.</w:t>
      </w:r>
      <w:r w:rsidRPr="00C1044F">
        <w:rPr>
          <w:lang w:eastAsia="zh-CN"/>
        </w:rPr>
        <w:t>4</w:t>
      </w:r>
      <w:r w:rsidRPr="00C1044F">
        <w:t>.1.1-1: Test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3"/>
        <w:gridCol w:w="2370"/>
      </w:tblGrid>
      <w:tr w:rsidR="00241417" w:rsidRPr="00C1044F" w14:paraId="2A41A75F" w14:textId="77777777" w:rsidTr="003A71DE">
        <w:trPr>
          <w:cantSplit/>
          <w:jc w:val="center"/>
        </w:trPr>
        <w:tc>
          <w:tcPr>
            <w:tcW w:w="3343" w:type="dxa"/>
            <w:vAlign w:val="center"/>
          </w:tcPr>
          <w:p w14:paraId="52650E5C" w14:textId="77777777" w:rsidR="00241417" w:rsidRPr="00C1044F" w:rsidRDefault="00241417" w:rsidP="003A71DE">
            <w:pPr>
              <w:pStyle w:val="TAH"/>
            </w:pPr>
            <w:r w:rsidRPr="00C1044F">
              <w:t>Parameter</w:t>
            </w:r>
          </w:p>
        </w:tc>
        <w:tc>
          <w:tcPr>
            <w:tcW w:w="2370" w:type="dxa"/>
            <w:vAlign w:val="center"/>
          </w:tcPr>
          <w:p w14:paraId="09E4D164" w14:textId="77777777" w:rsidR="00241417" w:rsidRPr="00C1044F" w:rsidRDefault="00241417" w:rsidP="003A71DE">
            <w:pPr>
              <w:pStyle w:val="TAH"/>
              <w:rPr>
                <w:rFonts w:eastAsia="DengXian"/>
                <w:lang w:eastAsia="zh-CN"/>
              </w:rPr>
            </w:pPr>
            <w:r w:rsidRPr="00C1044F">
              <w:rPr>
                <w:lang w:eastAsia="zh-CN"/>
              </w:rPr>
              <w:t>Value</w:t>
            </w:r>
          </w:p>
        </w:tc>
      </w:tr>
      <w:tr w:rsidR="00241417" w:rsidRPr="00C1044F" w14:paraId="22C86837" w14:textId="77777777" w:rsidTr="003A71DE">
        <w:trPr>
          <w:cantSplit/>
          <w:jc w:val="center"/>
        </w:trPr>
        <w:tc>
          <w:tcPr>
            <w:tcW w:w="3343" w:type="dxa"/>
            <w:vAlign w:val="center"/>
          </w:tcPr>
          <w:p w14:paraId="33BEAA46" w14:textId="77777777" w:rsidR="00241417" w:rsidRPr="00C1044F" w:rsidRDefault="00241417" w:rsidP="003A71DE">
            <w:pPr>
              <w:pStyle w:val="TAL"/>
              <w:rPr>
                <w:lang w:eastAsia="zh-CN"/>
              </w:rPr>
            </w:pPr>
            <w:r>
              <w:rPr>
                <w:lang w:eastAsia="zh-CN"/>
              </w:rPr>
              <w:t>Cyclic Prefix</w:t>
            </w:r>
          </w:p>
        </w:tc>
        <w:tc>
          <w:tcPr>
            <w:tcW w:w="2370" w:type="dxa"/>
            <w:vAlign w:val="center"/>
          </w:tcPr>
          <w:p w14:paraId="34971333" w14:textId="77777777" w:rsidR="00241417" w:rsidRPr="00C1044F" w:rsidRDefault="00241417" w:rsidP="003A71DE">
            <w:pPr>
              <w:pStyle w:val="TAC"/>
              <w:rPr>
                <w:lang w:eastAsia="zh-CN"/>
              </w:rPr>
            </w:pPr>
            <w:r>
              <w:rPr>
                <w:lang w:eastAsia="zh-CN"/>
              </w:rPr>
              <w:t>Normal</w:t>
            </w:r>
          </w:p>
        </w:tc>
      </w:tr>
      <w:tr w:rsidR="00241417" w:rsidRPr="00C1044F" w14:paraId="05168E38" w14:textId="77777777" w:rsidTr="003A71DE">
        <w:trPr>
          <w:cantSplit/>
          <w:jc w:val="center"/>
        </w:trPr>
        <w:tc>
          <w:tcPr>
            <w:tcW w:w="3343" w:type="dxa"/>
            <w:vAlign w:val="center"/>
          </w:tcPr>
          <w:p w14:paraId="7D52D3E7" w14:textId="77777777" w:rsidR="00241417" w:rsidRPr="00C1044F" w:rsidRDefault="00241417" w:rsidP="003A71DE">
            <w:pPr>
              <w:pStyle w:val="TAL"/>
              <w:rPr>
                <w:rFonts w:eastAsia="DengXian"/>
                <w:lang w:eastAsia="zh-CN"/>
              </w:rPr>
            </w:pPr>
            <w:r w:rsidRPr="00C1044F">
              <w:rPr>
                <w:lang w:eastAsia="zh-CN"/>
              </w:rPr>
              <w:t>Modulation order</w:t>
            </w:r>
          </w:p>
        </w:tc>
        <w:tc>
          <w:tcPr>
            <w:tcW w:w="2370" w:type="dxa"/>
            <w:vAlign w:val="center"/>
          </w:tcPr>
          <w:p w14:paraId="6D984185" w14:textId="77777777" w:rsidR="00241417" w:rsidRPr="00C1044F" w:rsidRDefault="00241417" w:rsidP="003A71DE">
            <w:pPr>
              <w:pStyle w:val="TAC"/>
              <w:rPr>
                <w:lang w:eastAsia="zh-CN"/>
              </w:rPr>
            </w:pPr>
            <w:r w:rsidRPr="00C1044F">
              <w:rPr>
                <w:lang w:eastAsia="zh-CN"/>
              </w:rPr>
              <w:t>QSPK</w:t>
            </w:r>
          </w:p>
        </w:tc>
      </w:tr>
      <w:tr w:rsidR="00241417" w:rsidRPr="00C1044F" w14:paraId="2C3E8E64" w14:textId="77777777" w:rsidTr="003A71DE">
        <w:trPr>
          <w:cantSplit/>
          <w:jc w:val="center"/>
        </w:trPr>
        <w:tc>
          <w:tcPr>
            <w:tcW w:w="3343" w:type="dxa"/>
            <w:vAlign w:val="center"/>
          </w:tcPr>
          <w:p w14:paraId="4D5ABA68" w14:textId="77777777" w:rsidR="00241417" w:rsidRPr="00F32B67" w:rsidRDefault="00241417" w:rsidP="003A71DE">
            <w:pPr>
              <w:pStyle w:val="TAL"/>
              <w:rPr>
                <w:rFonts w:eastAsia="DengXian" w:cs="Arial"/>
                <w:lang w:eastAsia="zh-CN"/>
              </w:rPr>
            </w:pPr>
            <w:r w:rsidRPr="00F32B67">
              <w:rPr>
                <w:rFonts w:hint="eastAsia"/>
                <w:lang w:eastAsia="zh-CN"/>
              </w:rPr>
              <w:t>First PRB prior to frequency hopping</w:t>
            </w:r>
          </w:p>
        </w:tc>
        <w:tc>
          <w:tcPr>
            <w:tcW w:w="2370" w:type="dxa"/>
            <w:vAlign w:val="center"/>
          </w:tcPr>
          <w:p w14:paraId="2CAE0D3C" w14:textId="77777777" w:rsidR="00241417" w:rsidRPr="00C1044F" w:rsidRDefault="00241417" w:rsidP="003A71DE">
            <w:pPr>
              <w:pStyle w:val="TAC"/>
              <w:rPr>
                <w:lang w:eastAsia="zh-CN"/>
              </w:rPr>
            </w:pPr>
            <w:r w:rsidRPr="00C1044F">
              <w:rPr>
                <w:lang w:eastAsia="zh-CN"/>
              </w:rPr>
              <w:t>0</w:t>
            </w:r>
          </w:p>
        </w:tc>
      </w:tr>
      <w:tr w:rsidR="00241417" w:rsidRPr="00C1044F" w14:paraId="0BCD00C7" w14:textId="77777777" w:rsidTr="003A71DE">
        <w:trPr>
          <w:cantSplit/>
          <w:jc w:val="center"/>
        </w:trPr>
        <w:tc>
          <w:tcPr>
            <w:tcW w:w="3343" w:type="dxa"/>
            <w:vAlign w:val="center"/>
          </w:tcPr>
          <w:p w14:paraId="76E952C3" w14:textId="77777777" w:rsidR="00241417" w:rsidRPr="00C1044F" w:rsidRDefault="00241417" w:rsidP="003A71DE">
            <w:pPr>
              <w:pStyle w:val="TAL"/>
              <w:rPr>
                <w:rFonts w:eastAsia="DengXian" w:cs="Arial"/>
                <w:lang w:eastAsia="zh-CN"/>
              </w:rPr>
            </w:pPr>
            <w:r w:rsidRPr="00C1044F">
              <w:rPr>
                <w:lang w:eastAsia="zh-CN"/>
              </w:rPr>
              <w:t>I</w:t>
            </w:r>
            <w:r w:rsidRPr="00C1044F">
              <w:rPr>
                <w:rFonts w:hint="eastAsia"/>
                <w:lang w:eastAsia="zh-CN"/>
              </w:rPr>
              <w:t>ntra-slot frequency hopping</w:t>
            </w:r>
          </w:p>
        </w:tc>
        <w:tc>
          <w:tcPr>
            <w:tcW w:w="2370" w:type="dxa"/>
            <w:vAlign w:val="center"/>
          </w:tcPr>
          <w:p w14:paraId="70190B22" w14:textId="77777777" w:rsidR="00241417" w:rsidRPr="00C1044F" w:rsidRDefault="00241417" w:rsidP="003A71DE">
            <w:pPr>
              <w:pStyle w:val="TAC"/>
              <w:rPr>
                <w:lang w:eastAsia="zh-CN"/>
              </w:rPr>
            </w:pPr>
            <w:r w:rsidRPr="00C1044F">
              <w:rPr>
                <w:lang w:eastAsia="zh-CN"/>
              </w:rPr>
              <w:t xml:space="preserve">N/A </w:t>
            </w:r>
          </w:p>
        </w:tc>
      </w:tr>
      <w:tr w:rsidR="00241417" w:rsidRPr="00831E0A" w14:paraId="6146CD9F" w14:textId="77777777" w:rsidTr="003A71DE">
        <w:trPr>
          <w:cantSplit/>
          <w:jc w:val="center"/>
        </w:trPr>
        <w:tc>
          <w:tcPr>
            <w:tcW w:w="3343" w:type="dxa"/>
            <w:vAlign w:val="center"/>
          </w:tcPr>
          <w:p w14:paraId="52A39BA6" w14:textId="77777777" w:rsidR="00241417" w:rsidRPr="00F32B67" w:rsidRDefault="00241417" w:rsidP="003A71DE">
            <w:pPr>
              <w:pStyle w:val="TAL"/>
              <w:rPr>
                <w:rFonts w:eastAsia="DengXian"/>
                <w:lang w:eastAsia="zh-CN"/>
              </w:rPr>
            </w:pPr>
            <w:r w:rsidRPr="00F32B67">
              <w:rPr>
                <w:rFonts w:hint="eastAsia"/>
                <w:lang w:eastAsia="zh-CN"/>
              </w:rPr>
              <w:t>First PRB after frequency hopping</w:t>
            </w:r>
          </w:p>
        </w:tc>
        <w:tc>
          <w:tcPr>
            <w:tcW w:w="2370" w:type="dxa"/>
            <w:vAlign w:val="center"/>
          </w:tcPr>
          <w:p w14:paraId="69970279" w14:textId="77777777" w:rsidR="00241417" w:rsidRPr="006C7AF4" w:rsidRDefault="00241417" w:rsidP="003A71DE">
            <w:pPr>
              <w:pStyle w:val="TAC"/>
              <w:rPr>
                <w:rFonts w:eastAsia="DengXian"/>
                <w:lang w:val="en-US" w:eastAsia="zh-CN"/>
              </w:rPr>
            </w:pPr>
            <w:r w:rsidRPr="006C7AF4">
              <w:rPr>
                <w:lang w:val="en-US" w:eastAsia="zh-CN"/>
              </w:rPr>
              <w:t xml:space="preserve">The largest PRB index </w:t>
            </w:r>
            <w:r w:rsidRPr="006C7AF4">
              <w:rPr>
                <w:lang w:val="en-US"/>
              </w:rPr>
              <w:t xml:space="preserve">– </w:t>
            </w:r>
            <w:r w:rsidRPr="006C7AF4">
              <w:rPr>
                <w:lang w:val="en-US" w:eastAsia="zh-CN"/>
              </w:rPr>
              <w:t xml:space="preserve"> (Number of PRBs </w:t>
            </w:r>
            <w:r w:rsidRPr="006C7AF4">
              <w:rPr>
                <w:lang w:val="en-US"/>
              </w:rPr>
              <w:t>–</w:t>
            </w:r>
            <w:r w:rsidRPr="006C7AF4">
              <w:rPr>
                <w:lang w:val="en-US" w:eastAsia="zh-CN"/>
              </w:rPr>
              <w:t xml:space="preserve"> 1)</w:t>
            </w:r>
          </w:p>
        </w:tc>
      </w:tr>
      <w:tr w:rsidR="00241417" w:rsidRPr="00C1044F" w14:paraId="7A85C923" w14:textId="77777777" w:rsidTr="003A71DE">
        <w:trPr>
          <w:cantSplit/>
          <w:jc w:val="center"/>
        </w:trPr>
        <w:tc>
          <w:tcPr>
            <w:tcW w:w="3343" w:type="dxa"/>
            <w:vAlign w:val="center"/>
          </w:tcPr>
          <w:p w14:paraId="744B3BA7" w14:textId="77777777" w:rsidR="00241417" w:rsidRPr="00C1044F" w:rsidRDefault="00241417" w:rsidP="003A71DE">
            <w:pPr>
              <w:pStyle w:val="TAL"/>
              <w:rPr>
                <w:rFonts w:eastAsia="DengXian"/>
                <w:lang w:eastAsia="zh-CN"/>
              </w:rPr>
            </w:pPr>
            <w:r w:rsidRPr="00C1044F">
              <w:rPr>
                <w:rFonts w:hint="eastAsia"/>
                <w:lang w:eastAsia="zh-CN"/>
              </w:rPr>
              <w:t>Number of PRBs</w:t>
            </w:r>
          </w:p>
        </w:tc>
        <w:tc>
          <w:tcPr>
            <w:tcW w:w="2370" w:type="dxa"/>
            <w:vAlign w:val="center"/>
          </w:tcPr>
          <w:p w14:paraId="053C6F48" w14:textId="77777777" w:rsidR="00241417" w:rsidRPr="00C1044F" w:rsidRDefault="00241417" w:rsidP="003A71DE">
            <w:pPr>
              <w:pStyle w:val="TAC"/>
              <w:rPr>
                <w:rFonts w:eastAsia="DengXian"/>
                <w:lang w:eastAsia="zh-CN"/>
              </w:rPr>
            </w:pPr>
            <w:r w:rsidRPr="00C1044F">
              <w:rPr>
                <w:lang w:eastAsia="zh-CN"/>
              </w:rPr>
              <w:t>4</w:t>
            </w:r>
          </w:p>
        </w:tc>
      </w:tr>
      <w:tr w:rsidR="00241417" w:rsidRPr="00C1044F" w14:paraId="09854A4F" w14:textId="77777777" w:rsidTr="003A71DE">
        <w:trPr>
          <w:cantSplit/>
          <w:jc w:val="center"/>
        </w:trPr>
        <w:tc>
          <w:tcPr>
            <w:tcW w:w="3343" w:type="dxa"/>
            <w:vAlign w:val="center"/>
          </w:tcPr>
          <w:p w14:paraId="79823574" w14:textId="77777777" w:rsidR="00241417" w:rsidRPr="00C1044F" w:rsidRDefault="00241417" w:rsidP="003A71DE">
            <w:pPr>
              <w:pStyle w:val="TAL"/>
              <w:rPr>
                <w:rFonts w:eastAsia="DengXian"/>
                <w:lang w:eastAsia="zh-CN"/>
              </w:rPr>
            </w:pPr>
            <w:r w:rsidRPr="00C1044F">
              <w:rPr>
                <w:rFonts w:hint="eastAsia"/>
                <w:lang w:eastAsia="zh-CN"/>
              </w:rPr>
              <w:t xml:space="preserve">Number of symbols </w:t>
            </w:r>
          </w:p>
        </w:tc>
        <w:tc>
          <w:tcPr>
            <w:tcW w:w="2370" w:type="dxa"/>
            <w:vAlign w:val="center"/>
          </w:tcPr>
          <w:p w14:paraId="13499928" w14:textId="77777777" w:rsidR="00241417" w:rsidRPr="00C1044F" w:rsidRDefault="00241417" w:rsidP="003A71DE">
            <w:pPr>
              <w:pStyle w:val="TAC"/>
              <w:rPr>
                <w:rFonts w:eastAsia="DengXian"/>
                <w:lang w:eastAsia="zh-CN"/>
              </w:rPr>
            </w:pPr>
            <w:r w:rsidRPr="00C1044F">
              <w:rPr>
                <w:lang w:eastAsia="zh-CN"/>
              </w:rPr>
              <w:t>1</w:t>
            </w:r>
          </w:p>
        </w:tc>
      </w:tr>
      <w:tr w:rsidR="00241417" w:rsidRPr="00C1044F" w14:paraId="5504F78F" w14:textId="77777777" w:rsidTr="003A71DE">
        <w:trPr>
          <w:cantSplit/>
          <w:jc w:val="center"/>
        </w:trPr>
        <w:tc>
          <w:tcPr>
            <w:tcW w:w="3343" w:type="dxa"/>
            <w:vAlign w:val="center"/>
          </w:tcPr>
          <w:p w14:paraId="598063B5" w14:textId="77777777" w:rsidR="00241417" w:rsidRPr="00F32B67" w:rsidRDefault="00241417" w:rsidP="003A71DE">
            <w:pPr>
              <w:pStyle w:val="TAL"/>
              <w:rPr>
                <w:rFonts w:eastAsia="DengXian"/>
                <w:lang w:eastAsia="zh-CN"/>
              </w:rPr>
            </w:pPr>
            <w:r w:rsidRPr="00F32B67">
              <w:rPr>
                <w:rFonts w:hint="eastAsia"/>
                <w:lang w:eastAsia="zh-CN"/>
              </w:rPr>
              <w:t>The number of UCI information bits</w:t>
            </w:r>
          </w:p>
        </w:tc>
        <w:tc>
          <w:tcPr>
            <w:tcW w:w="2370" w:type="dxa"/>
            <w:vAlign w:val="center"/>
          </w:tcPr>
          <w:p w14:paraId="2D7DFAA3" w14:textId="77777777" w:rsidR="00241417" w:rsidRPr="00C1044F" w:rsidRDefault="00241417" w:rsidP="003A71DE">
            <w:pPr>
              <w:pStyle w:val="TAC"/>
              <w:rPr>
                <w:lang w:eastAsia="zh-CN"/>
              </w:rPr>
            </w:pPr>
            <w:r w:rsidRPr="00C1044F">
              <w:rPr>
                <w:lang w:eastAsia="zh-CN"/>
              </w:rPr>
              <w:t>4</w:t>
            </w:r>
          </w:p>
        </w:tc>
      </w:tr>
      <w:tr w:rsidR="00241417" w:rsidRPr="00C1044F" w14:paraId="07239E3E" w14:textId="77777777" w:rsidTr="003A71DE">
        <w:trPr>
          <w:cantSplit/>
          <w:jc w:val="center"/>
        </w:trPr>
        <w:tc>
          <w:tcPr>
            <w:tcW w:w="3343" w:type="dxa"/>
            <w:vAlign w:val="center"/>
          </w:tcPr>
          <w:p w14:paraId="3A9A1991" w14:textId="77777777" w:rsidR="00241417" w:rsidRPr="00C1044F" w:rsidRDefault="00241417" w:rsidP="003A71DE">
            <w:pPr>
              <w:pStyle w:val="TAL"/>
              <w:rPr>
                <w:lang w:eastAsia="zh-CN"/>
              </w:rPr>
            </w:pPr>
            <w:r w:rsidRPr="00C1044F">
              <w:rPr>
                <w:rFonts w:hint="eastAsia"/>
                <w:lang w:eastAsia="zh-CN"/>
              </w:rPr>
              <w:t>First symbol</w:t>
            </w:r>
          </w:p>
        </w:tc>
        <w:tc>
          <w:tcPr>
            <w:tcW w:w="2370" w:type="dxa"/>
            <w:vAlign w:val="center"/>
          </w:tcPr>
          <w:p w14:paraId="44D3A9BD" w14:textId="77777777" w:rsidR="00241417" w:rsidRPr="00C1044F" w:rsidRDefault="00241417" w:rsidP="003A71DE">
            <w:pPr>
              <w:pStyle w:val="TAC"/>
              <w:rPr>
                <w:lang w:eastAsia="zh-CN"/>
              </w:rPr>
            </w:pPr>
            <w:r w:rsidRPr="00C1044F">
              <w:rPr>
                <w:lang w:eastAsia="zh-CN"/>
              </w:rPr>
              <w:t>13</w:t>
            </w:r>
          </w:p>
        </w:tc>
      </w:tr>
      <w:tr w:rsidR="00241417" w:rsidRPr="00C1044F" w14:paraId="60B855A5" w14:textId="77777777" w:rsidTr="003A71DE">
        <w:trPr>
          <w:cantSplit/>
          <w:trHeight w:val="107"/>
          <w:jc w:val="center"/>
        </w:trPr>
        <w:tc>
          <w:tcPr>
            <w:tcW w:w="3343" w:type="dxa"/>
            <w:vAlign w:val="center"/>
          </w:tcPr>
          <w:p w14:paraId="7C7A572F" w14:textId="77777777" w:rsidR="00241417" w:rsidRPr="00C1044F" w:rsidRDefault="00241417" w:rsidP="003A71DE">
            <w:pPr>
              <w:pStyle w:val="TAL"/>
              <w:rPr>
                <w:lang w:eastAsia="zh-CN"/>
              </w:rPr>
            </w:pPr>
            <w:r w:rsidRPr="00C1044F">
              <w:rPr>
                <w:rFonts w:hint="eastAsia"/>
                <w:lang w:eastAsia="zh-CN"/>
              </w:rPr>
              <w:t>DM-RS sequence generation</w:t>
            </w:r>
          </w:p>
        </w:tc>
        <w:tc>
          <w:tcPr>
            <w:tcW w:w="2370" w:type="dxa"/>
            <w:vAlign w:val="center"/>
          </w:tcPr>
          <w:p w14:paraId="7C6F9BC9" w14:textId="77777777" w:rsidR="00241417" w:rsidRPr="00C1044F" w:rsidRDefault="00241417" w:rsidP="003A71DE">
            <w:pPr>
              <w:pStyle w:val="TAC"/>
              <w:rPr>
                <w:rFonts w:eastAsia="SimSun"/>
                <w:lang w:eastAsia="zh-CN"/>
              </w:rPr>
            </w:pPr>
            <w:r w:rsidRPr="00C1044F">
              <w:rPr>
                <w:i/>
              </w:rPr>
              <w:t>N</w:t>
            </w:r>
            <w:r w:rsidRPr="00C1044F">
              <w:rPr>
                <w:i/>
                <w:vertAlign w:val="subscript"/>
              </w:rPr>
              <w:t>ID</w:t>
            </w:r>
            <w:r w:rsidRPr="00C1044F">
              <w:rPr>
                <w:vertAlign w:val="superscript"/>
              </w:rPr>
              <w:t>0</w:t>
            </w:r>
            <w:r w:rsidRPr="00C1044F">
              <w:t>=0</w:t>
            </w:r>
          </w:p>
        </w:tc>
      </w:tr>
    </w:tbl>
    <w:p w14:paraId="1ABA7CE0" w14:textId="77777777" w:rsidR="00241417" w:rsidRPr="00C1044F" w:rsidRDefault="00241417" w:rsidP="00241417">
      <w:pPr>
        <w:rPr>
          <w:lang w:eastAsia="zh-CN"/>
        </w:rPr>
      </w:pPr>
    </w:p>
    <w:p w14:paraId="7F55605B" w14:textId="56373F27"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[3] clause 6.3.3.1 is not taken into account for performance requirement testing, where the RB hopping is symmetric to the CC center, i.e. intra-slot frequency hopping is enabled.]</w:t>
      </w:r>
    </w:p>
    <w:p w14:paraId="095E921A" w14:textId="77777777" w:rsidR="00241417" w:rsidRPr="006C7AF4" w:rsidRDefault="00241417" w:rsidP="00241417">
      <w:pPr>
        <w:rPr>
          <w:lang w:val="en-US" w:eastAsia="zh-CN"/>
        </w:rPr>
      </w:pPr>
    </w:p>
    <w:p w14:paraId="0C17997C" w14:textId="77777777" w:rsidR="00241417" w:rsidRDefault="00241417" w:rsidP="00241417">
      <w:pPr>
        <w:pStyle w:val="H6"/>
      </w:pPr>
      <w:r>
        <w:t>8</w:t>
      </w:r>
      <w:r w:rsidRPr="00D57F98">
        <w:t>.</w:t>
      </w:r>
      <w:r>
        <w:t>1</w:t>
      </w:r>
      <w:r w:rsidRPr="00D57F98">
        <w:t>.</w:t>
      </w:r>
      <w:r>
        <w:t>3</w:t>
      </w:r>
      <w:r w:rsidRPr="00D57F98">
        <w:t>.</w:t>
      </w:r>
      <w:r>
        <w:t>4</w:t>
      </w:r>
      <w:r w:rsidRPr="00D57F98">
        <w:t>.</w:t>
      </w:r>
      <w:r>
        <w:t>1</w:t>
      </w:r>
      <w:r w:rsidRPr="00D57F98">
        <w:t>.</w:t>
      </w:r>
      <w:r>
        <w:t>2</w:t>
      </w:r>
      <w:r>
        <w:tab/>
        <w:t>Minimum requirements</w:t>
      </w:r>
    </w:p>
    <w:p w14:paraId="0067D9B5" w14:textId="77777777" w:rsidR="00241417" w:rsidRPr="00F32B67" w:rsidRDefault="00241417" w:rsidP="00241417">
      <w:pPr>
        <w:rPr>
          <w:rFonts w:eastAsia="DengXian"/>
          <w:lang w:eastAsia="zh-CN"/>
        </w:rPr>
      </w:pPr>
      <w:r w:rsidRPr="00F32B67">
        <w:rPr>
          <w:rFonts w:eastAsia="DengXian"/>
          <w:lang w:eastAsia="zh-CN"/>
        </w:rPr>
        <w:t xml:space="preserve">The ACK missed detection probability shall not exceed 1% </w:t>
      </w:r>
      <w:r w:rsidRPr="00F32B67">
        <w:t xml:space="preserve">at the SNR given in </w:t>
      </w:r>
      <w:r w:rsidRPr="00F32B67">
        <w:rPr>
          <w:lang w:eastAsia="zh-CN"/>
        </w:rPr>
        <w:t>t</w:t>
      </w:r>
      <w:r w:rsidRPr="00F32B67">
        <w:t>able 8.1.3.</w:t>
      </w:r>
      <w:r w:rsidRPr="00F32B67">
        <w:rPr>
          <w:lang w:eastAsia="zh-CN"/>
        </w:rPr>
        <w:t>4.</w:t>
      </w:r>
      <w:r w:rsidRPr="00F32B67">
        <w:rPr>
          <w:rFonts w:eastAsia="SimSun"/>
          <w:lang w:eastAsia="zh-CN"/>
        </w:rPr>
        <w:t>1</w:t>
      </w:r>
      <w:r w:rsidRPr="00F32B67">
        <w:rPr>
          <w:lang w:eastAsia="zh-CN"/>
        </w:rPr>
        <w:t>.2</w:t>
      </w:r>
      <w:r w:rsidRPr="00F32B67">
        <w:t xml:space="preserve">-1 and </w:t>
      </w:r>
      <w:r w:rsidRPr="00F32B67">
        <w:rPr>
          <w:lang w:eastAsia="zh-CN"/>
        </w:rPr>
        <w:t>t</w:t>
      </w:r>
      <w:r w:rsidRPr="00F32B67">
        <w:t>able 8.1.3.</w:t>
      </w:r>
      <w:r w:rsidRPr="00F32B67">
        <w:rPr>
          <w:lang w:eastAsia="zh-CN"/>
        </w:rPr>
        <w:t>4</w:t>
      </w:r>
      <w:r w:rsidRPr="00F32B67">
        <w:t>.</w:t>
      </w:r>
      <w:r w:rsidRPr="00F32B67">
        <w:rPr>
          <w:rFonts w:eastAsia="SimSun"/>
          <w:lang w:eastAsia="zh-CN"/>
        </w:rPr>
        <w:t>1</w:t>
      </w:r>
      <w:r w:rsidRPr="00F32B67">
        <w:rPr>
          <w:lang w:eastAsia="zh-CN"/>
        </w:rPr>
        <w:t>.2</w:t>
      </w:r>
      <w:r w:rsidRPr="00F32B67">
        <w:t>-2</w:t>
      </w:r>
      <w:r w:rsidRPr="00F32B67">
        <w:rPr>
          <w:lang w:eastAsia="zh-CN"/>
        </w:rPr>
        <w:t xml:space="preserve"> for 4UCI bits.</w:t>
      </w:r>
    </w:p>
    <w:p w14:paraId="2B1795F3" w14:textId="77777777" w:rsidR="00241417" w:rsidRPr="00F32B67" w:rsidRDefault="00241417" w:rsidP="00241417">
      <w:pPr>
        <w:pStyle w:val="TH"/>
      </w:pPr>
      <w:r w:rsidRPr="00F32B67">
        <w:t>Table 8.1.3.</w:t>
      </w:r>
      <w:r w:rsidRPr="00F32B67">
        <w:rPr>
          <w:lang w:eastAsia="zh-CN"/>
        </w:rPr>
        <w:t>4</w:t>
      </w:r>
      <w:r w:rsidRPr="00F32B67">
        <w:t>.</w:t>
      </w:r>
      <w:r w:rsidRPr="00F32B67">
        <w:rPr>
          <w:rFonts w:eastAsia="SimSun"/>
          <w:lang w:eastAsia="zh-CN"/>
        </w:rPr>
        <w:t>1</w:t>
      </w:r>
      <w:r w:rsidRPr="00F32B67">
        <w:rPr>
          <w:lang w:eastAsia="zh-CN"/>
        </w:rPr>
        <w:t>.2</w:t>
      </w:r>
      <w:r w:rsidRPr="00F32B67">
        <w:t xml:space="preserve">-1: Minimum requirements for PUCCH format </w:t>
      </w:r>
      <w:r w:rsidRPr="00F32B67">
        <w:rPr>
          <w:lang w:eastAsia="zh-CN"/>
        </w:rPr>
        <w:t>2</w:t>
      </w:r>
      <w:r w:rsidRPr="00F32B67">
        <w:t xml:space="preserve"> with 15</w:t>
      </w:r>
      <w:r w:rsidRPr="00F32B67">
        <w:rPr>
          <w:lang w:eastAsia="zh-CN"/>
        </w:rPr>
        <w:t xml:space="preserve"> </w:t>
      </w:r>
      <w:r w:rsidRPr="00F32B67">
        <w:t>kHz SCS</w:t>
      </w:r>
    </w:p>
    <w:tbl>
      <w:tblPr>
        <w:tblStyle w:val="TableGrid11"/>
        <w:tblW w:w="6521" w:type="dxa"/>
        <w:jc w:val="center"/>
        <w:tblInd w:w="0" w:type="dxa"/>
        <w:tblLayout w:type="fixed"/>
        <w:tblLook w:val="04A0" w:firstRow="1" w:lastRow="0" w:firstColumn="1" w:lastColumn="0" w:noHBand="0" w:noVBand="1"/>
      </w:tblPr>
      <w:tblGrid>
        <w:gridCol w:w="1276"/>
        <w:gridCol w:w="1134"/>
        <w:gridCol w:w="1276"/>
        <w:gridCol w:w="850"/>
        <w:gridCol w:w="993"/>
        <w:gridCol w:w="992"/>
      </w:tblGrid>
      <w:tr w:rsidR="00241417" w:rsidRPr="005E2D10" w14:paraId="6CAC6975" w14:textId="77777777" w:rsidTr="003A71DE">
        <w:trPr>
          <w:jc w:val="center"/>
        </w:trPr>
        <w:tc>
          <w:tcPr>
            <w:tcW w:w="1276" w:type="dxa"/>
            <w:vMerge w:val="restart"/>
            <w:tcBorders>
              <w:top w:val="single" w:sz="4" w:space="0" w:color="auto"/>
            </w:tcBorders>
            <w:vAlign w:val="center"/>
          </w:tcPr>
          <w:p w14:paraId="42E050AA" w14:textId="77777777" w:rsidR="00241417" w:rsidRPr="005E2D10" w:rsidRDefault="00241417" w:rsidP="003A71DE">
            <w:pPr>
              <w:pStyle w:val="TAH"/>
            </w:pPr>
            <w:r w:rsidRPr="005E2D10">
              <w:t>Number of</w:t>
            </w:r>
            <w:r>
              <w:t xml:space="preserve"> </w:t>
            </w:r>
            <w:r w:rsidRPr="005E2D10">
              <w:t>TX antennas</w:t>
            </w:r>
          </w:p>
        </w:tc>
        <w:tc>
          <w:tcPr>
            <w:tcW w:w="1134" w:type="dxa"/>
            <w:vMerge w:val="restart"/>
            <w:tcBorders>
              <w:top w:val="single" w:sz="4" w:space="0" w:color="auto"/>
            </w:tcBorders>
            <w:vAlign w:val="center"/>
          </w:tcPr>
          <w:p w14:paraId="32835343" w14:textId="77777777" w:rsidR="00241417" w:rsidRPr="005E2D10" w:rsidRDefault="00241417" w:rsidP="003A71DE">
            <w:pPr>
              <w:pStyle w:val="TAH"/>
            </w:pPr>
            <w:r w:rsidRPr="005E2D10">
              <w:rPr>
                <w:lang w:eastAsia="zh-CN"/>
              </w:rPr>
              <w:t>Number of</w:t>
            </w:r>
            <w:r>
              <w:rPr>
                <w:lang w:eastAsia="zh-CN"/>
              </w:rPr>
              <w:t xml:space="preserve"> </w:t>
            </w:r>
            <w:r>
              <w:t>Demodulation Branches</w:t>
            </w:r>
          </w:p>
        </w:tc>
        <w:tc>
          <w:tcPr>
            <w:tcW w:w="1276" w:type="dxa"/>
            <w:vMerge w:val="restart"/>
            <w:tcBorders>
              <w:top w:val="single" w:sz="4" w:space="0" w:color="auto"/>
            </w:tcBorders>
            <w:vAlign w:val="center"/>
          </w:tcPr>
          <w:p w14:paraId="731E1272" w14:textId="0AE4297E" w:rsidR="00241417" w:rsidRPr="005E2D10" w:rsidRDefault="00241417" w:rsidP="003A71DE">
            <w:pPr>
              <w:pStyle w:val="TAH"/>
            </w:pPr>
            <w:r w:rsidRPr="005E2D10">
              <w:rPr>
                <w:lang w:val="fr-FR"/>
              </w:rPr>
              <w:t>Propagation</w:t>
            </w:r>
            <w:r>
              <w:rPr>
                <w:lang w:val="fr-FR"/>
              </w:rPr>
              <w:t xml:space="preserve"> </w:t>
            </w:r>
            <w:r w:rsidRPr="005E2D10">
              <w:t xml:space="preserve">conditions and correlation matrix (Annex </w:t>
            </w:r>
            <w:r>
              <w:t>TBA</w:t>
            </w:r>
            <w:r w:rsidRPr="005E2D10">
              <w:t>)</w:t>
            </w:r>
          </w:p>
        </w:tc>
        <w:tc>
          <w:tcPr>
            <w:tcW w:w="2835" w:type="dxa"/>
            <w:gridSpan w:val="3"/>
            <w:tcBorders>
              <w:top w:val="single" w:sz="4" w:space="0" w:color="auto"/>
            </w:tcBorders>
            <w:vAlign w:val="center"/>
          </w:tcPr>
          <w:p w14:paraId="63B688D6" w14:textId="77777777" w:rsidR="00241417" w:rsidRPr="005E2D10" w:rsidRDefault="00241417" w:rsidP="003A71DE">
            <w:pPr>
              <w:pStyle w:val="TAH"/>
            </w:pPr>
            <w:r w:rsidRPr="005E2D10">
              <w:t>Channel bandwidth / SNR (dB)</w:t>
            </w:r>
          </w:p>
        </w:tc>
      </w:tr>
      <w:tr w:rsidR="00241417" w:rsidRPr="005E2D10" w14:paraId="4EA46764" w14:textId="77777777" w:rsidTr="003A71DE">
        <w:trPr>
          <w:jc w:val="center"/>
        </w:trPr>
        <w:tc>
          <w:tcPr>
            <w:tcW w:w="1276" w:type="dxa"/>
            <w:vMerge/>
            <w:tcBorders>
              <w:bottom w:val="single" w:sz="4" w:space="0" w:color="auto"/>
            </w:tcBorders>
            <w:vAlign w:val="center"/>
          </w:tcPr>
          <w:p w14:paraId="2D56A70A" w14:textId="77777777" w:rsidR="00241417" w:rsidRPr="005E2D10" w:rsidRDefault="00241417" w:rsidP="003A71DE">
            <w:pPr>
              <w:pStyle w:val="TAH"/>
            </w:pPr>
          </w:p>
        </w:tc>
        <w:tc>
          <w:tcPr>
            <w:tcW w:w="1134" w:type="dxa"/>
            <w:vMerge/>
            <w:tcBorders>
              <w:bottom w:val="single" w:sz="4" w:space="0" w:color="auto"/>
            </w:tcBorders>
            <w:vAlign w:val="center"/>
          </w:tcPr>
          <w:p w14:paraId="7052F615" w14:textId="77777777" w:rsidR="00241417" w:rsidRPr="005E2D10" w:rsidRDefault="00241417" w:rsidP="003A71DE">
            <w:pPr>
              <w:pStyle w:val="TAH"/>
            </w:pPr>
          </w:p>
        </w:tc>
        <w:tc>
          <w:tcPr>
            <w:tcW w:w="1276" w:type="dxa"/>
            <w:vMerge/>
            <w:tcBorders>
              <w:bottom w:val="single" w:sz="4" w:space="0" w:color="auto"/>
            </w:tcBorders>
            <w:vAlign w:val="center"/>
          </w:tcPr>
          <w:p w14:paraId="39B78076" w14:textId="77777777" w:rsidR="00241417" w:rsidRPr="005E2D10" w:rsidRDefault="00241417" w:rsidP="003A71DE">
            <w:pPr>
              <w:pStyle w:val="TAH"/>
            </w:pPr>
          </w:p>
        </w:tc>
        <w:tc>
          <w:tcPr>
            <w:tcW w:w="850" w:type="dxa"/>
            <w:tcBorders>
              <w:top w:val="single" w:sz="4" w:space="0" w:color="auto"/>
              <w:bottom w:val="single" w:sz="4" w:space="0" w:color="auto"/>
            </w:tcBorders>
            <w:vAlign w:val="center"/>
          </w:tcPr>
          <w:p w14:paraId="4FC7FA05" w14:textId="77777777" w:rsidR="00241417" w:rsidRPr="005E2D10" w:rsidRDefault="00241417" w:rsidP="003A71DE">
            <w:pPr>
              <w:pStyle w:val="TAH"/>
            </w:pPr>
            <w:r w:rsidRPr="005E2D10">
              <w:t>5 MHz</w:t>
            </w:r>
          </w:p>
        </w:tc>
        <w:tc>
          <w:tcPr>
            <w:tcW w:w="993" w:type="dxa"/>
            <w:tcBorders>
              <w:top w:val="single" w:sz="4" w:space="0" w:color="auto"/>
              <w:bottom w:val="single" w:sz="4" w:space="0" w:color="auto"/>
            </w:tcBorders>
            <w:vAlign w:val="center"/>
          </w:tcPr>
          <w:p w14:paraId="45CF72C6" w14:textId="77777777" w:rsidR="00241417" w:rsidRPr="005E2D10" w:rsidRDefault="00241417" w:rsidP="003A71DE">
            <w:pPr>
              <w:pStyle w:val="TAH"/>
            </w:pPr>
            <w:r w:rsidRPr="005E2D10">
              <w:t>10 MHz</w:t>
            </w:r>
          </w:p>
        </w:tc>
        <w:tc>
          <w:tcPr>
            <w:tcW w:w="992" w:type="dxa"/>
            <w:tcBorders>
              <w:top w:val="single" w:sz="4" w:space="0" w:color="auto"/>
              <w:bottom w:val="single" w:sz="4" w:space="0" w:color="auto"/>
            </w:tcBorders>
            <w:vAlign w:val="center"/>
          </w:tcPr>
          <w:p w14:paraId="4272F16B" w14:textId="77777777" w:rsidR="00241417" w:rsidRPr="005E2D10" w:rsidRDefault="00241417" w:rsidP="003A71DE">
            <w:pPr>
              <w:pStyle w:val="TAH"/>
            </w:pPr>
            <w:r w:rsidRPr="005E2D10">
              <w:t>20 MHz</w:t>
            </w:r>
          </w:p>
        </w:tc>
      </w:tr>
      <w:tr w:rsidR="00241417" w:rsidRPr="005E2D10" w14:paraId="011D66BF" w14:textId="77777777" w:rsidTr="003A71DE">
        <w:trPr>
          <w:jc w:val="center"/>
        </w:trPr>
        <w:tc>
          <w:tcPr>
            <w:tcW w:w="1276" w:type="dxa"/>
            <w:vMerge w:val="restart"/>
            <w:vAlign w:val="center"/>
          </w:tcPr>
          <w:p w14:paraId="141F5926" w14:textId="77777777" w:rsidR="00241417" w:rsidRPr="005E2D10" w:rsidRDefault="00241417" w:rsidP="003A71DE">
            <w:pPr>
              <w:pStyle w:val="TAC"/>
            </w:pPr>
            <w:r w:rsidRPr="005E2D10">
              <w:rPr>
                <w:lang w:eastAsia="zh-CN"/>
              </w:rPr>
              <w:t>1</w:t>
            </w:r>
          </w:p>
        </w:tc>
        <w:tc>
          <w:tcPr>
            <w:tcW w:w="1134" w:type="dxa"/>
            <w:tcBorders>
              <w:bottom w:val="single" w:sz="4" w:space="0" w:color="auto"/>
            </w:tcBorders>
            <w:vAlign w:val="center"/>
          </w:tcPr>
          <w:p w14:paraId="11ABB6E9" w14:textId="77777777" w:rsidR="00241417" w:rsidRPr="005E2D10" w:rsidRDefault="00241417" w:rsidP="003A71DE">
            <w:pPr>
              <w:pStyle w:val="TAC"/>
            </w:pPr>
            <w:r w:rsidRPr="005E2D10">
              <w:rPr>
                <w:lang w:eastAsia="zh-CN"/>
              </w:rPr>
              <w:t>2</w:t>
            </w:r>
          </w:p>
        </w:tc>
        <w:tc>
          <w:tcPr>
            <w:tcW w:w="1276" w:type="dxa"/>
            <w:tcBorders>
              <w:bottom w:val="single" w:sz="4" w:space="0" w:color="auto"/>
            </w:tcBorders>
            <w:vAlign w:val="center"/>
          </w:tcPr>
          <w:p w14:paraId="0394D3A7" w14:textId="77777777" w:rsidR="00241417" w:rsidRPr="005E2D10" w:rsidRDefault="00241417" w:rsidP="003A71DE">
            <w:pPr>
              <w:pStyle w:val="TAC"/>
            </w:pPr>
            <w:r w:rsidRPr="005E2D10">
              <w:t>TDLC300-100</w:t>
            </w:r>
            <w:r w:rsidRPr="005E2D10" w:rsidDel="002E550C">
              <w:t xml:space="preserve"> </w:t>
            </w:r>
            <w:r w:rsidRPr="005E2D10">
              <w:t>Low</w:t>
            </w:r>
          </w:p>
        </w:tc>
        <w:tc>
          <w:tcPr>
            <w:tcW w:w="850" w:type="dxa"/>
            <w:tcBorders>
              <w:bottom w:val="single" w:sz="4" w:space="0" w:color="auto"/>
            </w:tcBorders>
            <w:vAlign w:val="center"/>
          </w:tcPr>
          <w:p w14:paraId="7F885A52" w14:textId="77777777" w:rsidR="00241417" w:rsidRPr="005E2D10" w:rsidRDefault="00241417" w:rsidP="003A71DE">
            <w:pPr>
              <w:pStyle w:val="TAC"/>
            </w:pPr>
            <w:r w:rsidRPr="005E2D10">
              <w:rPr>
                <w:lang w:eastAsia="zh-CN"/>
              </w:rPr>
              <w:t>5.8</w:t>
            </w:r>
          </w:p>
        </w:tc>
        <w:tc>
          <w:tcPr>
            <w:tcW w:w="993" w:type="dxa"/>
            <w:tcBorders>
              <w:bottom w:val="single" w:sz="4" w:space="0" w:color="auto"/>
            </w:tcBorders>
            <w:vAlign w:val="center"/>
          </w:tcPr>
          <w:p w14:paraId="2CFE05E2" w14:textId="77777777" w:rsidR="00241417" w:rsidRPr="005E2D10" w:rsidRDefault="00241417" w:rsidP="003A71DE">
            <w:pPr>
              <w:pStyle w:val="TAC"/>
            </w:pPr>
            <w:r w:rsidRPr="005E2D10">
              <w:rPr>
                <w:lang w:eastAsia="zh-CN"/>
              </w:rPr>
              <w:t>5.</w:t>
            </w:r>
            <w:r w:rsidRPr="005E2D10">
              <w:rPr>
                <w:rFonts w:hint="eastAsia"/>
                <w:lang w:eastAsia="zh-CN"/>
              </w:rPr>
              <w:t>6</w:t>
            </w:r>
          </w:p>
        </w:tc>
        <w:tc>
          <w:tcPr>
            <w:tcW w:w="992" w:type="dxa"/>
            <w:tcBorders>
              <w:bottom w:val="single" w:sz="4" w:space="0" w:color="auto"/>
            </w:tcBorders>
            <w:vAlign w:val="center"/>
          </w:tcPr>
          <w:p w14:paraId="28347FF3" w14:textId="77777777" w:rsidR="00241417" w:rsidRPr="005E2D10" w:rsidRDefault="00241417" w:rsidP="003A71DE">
            <w:pPr>
              <w:pStyle w:val="TAC"/>
            </w:pPr>
            <w:r w:rsidRPr="005E2D10">
              <w:rPr>
                <w:rFonts w:hint="eastAsia"/>
                <w:lang w:eastAsia="zh-CN"/>
              </w:rPr>
              <w:t>5.9</w:t>
            </w:r>
          </w:p>
        </w:tc>
      </w:tr>
      <w:tr w:rsidR="00241417" w:rsidRPr="005E2D10" w14:paraId="5FFE4735" w14:textId="77777777" w:rsidTr="003A71DE">
        <w:trPr>
          <w:jc w:val="center"/>
        </w:trPr>
        <w:tc>
          <w:tcPr>
            <w:tcW w:w="1276" w:type="dxa"/>
            <w:vMerge/>
            <w:vAlign w:val="center"/>
          </w:tcPr>
          <w:p w14:paraId="5FFB5C37" w14:textId="77777777" w:rsidR="00241417" w:rsidRPr="005E2D10" w:rsidRDefault="00241417" w:rsidP="003A71DE">
            <w:pPr>
              <w:pStyle w:val="TAC"/>
            </w:pPr>
          </w:p>
        </w:tc>
        <w:tc>
          <w:tcPr>
            <w:tcW w:w="1134" w:type="dxa"/>
            <w:tcBorders>
              <w:bottom w:val="single" w:sz="4" w:space="0" w:color="auto"/>
            </w:tcBorders>
            <w:vAlign w:val="center"/>
          </w:tcPr>
          <w:p w14:paraId="490D97FA" w14:textId="77777777" w:rsidR="00241417" w:rsidRPr="005E2D10" w:rsidRDefault="00241417" w:rsidP="003A71DE">
            <w:pPr>
              <w:pStyle w:val="TAC"/>
            </w:pPr>
            <w:r w:rsidRPr="005E2D10">
              <w:rPr>
                <w:lang w:eastAsia="zh-CN"/>
              </w:rPr>
              <w:t>4</w:t>
            </w:r>
          </w:p>
        </w:tc>
        <w:tc>
          <w:tcPr>
            <w:tcW w:w="1276" w:type="dxa"/>
            <w:tcBorders>
              <w:bottom w:val="single" w:sz="4" w:space="0" w:color="auto"/>
            </w:tcBorders>
            <w:vAlign w:val="center"/>
          </w:tcPr>
          <w:p w14:paraId="298C29A3" w14:textId="77777777" w:rsidR="00241417" w:rsidRPr="005E2D10" w:rsidRDefault="00241417" w:rsidP="003A71DE">
            <w:pPr>
              <w:pStyle w:val="TAC"/>
            </w:pPr>
            <w:r w:rsidRPr="005E2D10">
              <w:t>TDLC300-100</w:t>
            </w:r>
            <w:r w:rsidRPr="005E2D10" w:rsidDel="002E550C">
              <w:t xml:space="preserve"> </w:t>
            </w:r>
            <w:r w:rsidRPr="005E2D10">
              <w:t>Low</w:t>
            </w:r>
          </w:p>
        </w:tc>
        <w:tc>
          <w:tcPr>
            <w:tcW w:w="850" w:type="dxa"/>
            <w:tcBorders>
              <w:bottom w:val="single" w:sz="4" w:space="0" w:color="auto"/>
            </w:tcBorders>
            <w:vAlign w:val="center"/>
          </w:tcPr>
          <w:p w14:paraId="01262790" w14:textId="77777777" w:rsidR="00241417" w:rsidRPr="005E2D10" w:rsidRDefault="00241417" w:rsidP="003A71DE">
            <w:pPr>
              <w:pStyle w:val="TAC"/>
            </w:pPr>
            <w:r w:rsidRPr="005E2D10">
              <w:rPr>
                <w:lang w:eastAsia="zh-CN"/>
              </w:rPr>
              <w:t>0.4</w:t>
            </w:r>
          </w:p>
        </w:tc>
        <w:tc>
          <w:tcPr>
            <w:tcW w:w="993" w:type="dxa"/>
            <w:tcBorders>
              <w:bottom w:val="single" w:sz="4" w:space="0" w:color="auto"/>
            </w:tcBorders>
            <w:vAlign w:val="center"/>
          </w:tcPr>
          <w:p w14:paraId="2FC86E85" w14:textId="77777777" w:rsidR="00241417" w:rsidRPr="005E2D10" w:rsidRDefault="00241417" w:rsidP="003A71DE">
            <w:pPr>
              <w:pStyle w:val="TAC"/>
            </w:pPr>
            <w:r w:rsidRPr="005E2D10">
              <w:rPr>
                <w:lang w:eastAsia="zh-CN"/>
              </w:rPr>
              <w:t>0.</w:t>
            </w:r>
            <w:r w:rsidRPr="005E2D10">
              <w:rPr>
                <w:rFonts w:hint="eastAsia"/>
                <w:lang w:eastAsia="zh-CN"/>
              </w:rPr>
              <w:t>5</w:t>
            </w:r>
          </w:p>
        </w:tc>
        <w:tc>
          <w:tcPr>
            <w:tcW w:w="992" w:type="dxa"/>
            <w:tcBorders>
              <w:bottom w:val="single" w:sz="4" w:space="0" w:color="auto"/>
            </w:tcBorders>
            <w:vAlign w:val="center"/>
          </w:tcPr>
          <w:p w14:paraId="3744A86E" w14:textId="77777777" w:rsidR="00241417" w:rsidRPr="005E2D10" w:rsidRDefault="00241417" w:rsidP="003A71DE">
            <w:pPr>
              <w:pStyle w:val="TAC"/>
            </w:pPr>
            <w:r w:rsidRPr="005E2D10">
              <w:rPr>
                <w:lang w:eastAsia="zh-CN"/>
              </w:rPr>
              <w:t>0.3</w:t>
            </w:r>
          </w:p>
        </w:tc>
      </w:tr>
      <w:tr w:rsidR="00241417" w:rsidRPr="005E2D10" w14:paraId="13321221" w14:textId="77777777" w:rsidTr="003A71DE">
        <w:trPr>
          <w:jc w:val="center"/>
        </w:trPr>
        <w:tc>
          <w:tcPr>
            <w:tcW w:w="1276" w:type="dxa"/>
            <w:vMerge/>
            <w:vAlign w:val="center"/>
          </w:tcPr>
          <w:p w14:paraId="38FEAA19" w14:textId="77777777" w:rsidR="00241417" w:rsidRPr="005E2D10" w:rsidRDefault="00241417" w:rsidP="003A71DE">
            <w:pPr>
              <w:pStyle w:val="TAC"/>
            </w:pPr>
          </w:p>
        </w:tc>
        <w:tc>
          <w:tcPr>
            <w:tcW w:w="1134" w:type="dxa"/>
            <w:tcBorders>
              <w:top w:val="single" w:sz="4" w:space="0" w:color="auto"/>
            </w:tcBorders>
            <w:vAlign w:val="center"/>
          </w:tcPr>
          <w:p w14:paraId="1CD065DD" w14:textId="77777777" w:rsidR="00241417" w:rsidRPr="005E2D10" w:rsidRDefault="00241417" w:rsidP="003A71DE">
            <w:pPr>
              <w:pStyle w:val="TAC"/>
            </w:pPr>
            <w:r w:rsidRPr="005E2D10">
              <w:rPr>
                <w:lang w:eastAsia="zh-CN"/>
              </w:rPr>
              <w:t>8</w:t>
            </w:r>
          </w:p>
        </w:tc>
        <w:tc>
          <w:tcPr>
            <w:tcW w:w="1276" w:type="dxa"/>
            <w:tcBorders>
              <w:top w:val="single" w:sz="4" w:space="0" w:color="auto"/>
            </w:tcBorders>
            <w:vAlign w:val="center"/>
          </w:tcPr>
          <w:p w14:paraId="01E08E87" w14:textId="77777777" w:rsidR="00241417" w:rsidRPr="005E2D10" w:rsidRDefault="00241417" w:rsidP="003A71DE">
            <w:pPr>
              <w:pStyle w:val="TAC"/>
            </w:pPr>
            <w:r w:rsidRPr="005E2D10">
              <w:t>TDLC300-100</w:t>
            </w:r>
            <w:r w:rsidRPr="005E2D10" w:rsidDel="002E550C">
              <w:t xml:space="preserve"> </w:t>
            </w:r>
            <w:r w:rsidRPr="005E2D10">
              <w:t>Low</w:t>
            </w:r>
          </w:p>
        </w:tc>
        <w:tc>
          <w:tcPr>
            <w:tcW w:w="850" w:type="dxa"/>
            <w:tcBorders>
              <w:top w:val="single" w:sz="4" w:space="0" w:color="auto"/>
            </w:tcBorders>
            <w:vAlign w:val="center"/>
          </w:tcPr>
          <w:p w14:paraId="1EC89036" w14:textId="77777777" w:rsidR="00241417" w:rsidRPr="005E2D10" w:rsidRDefault="00241417" w:rsidP="003A71DE">
            <w:pPr>
              <w:pStyle w:val="TAC"/>
            </w:pPr>
            <w:r w:rsidRPr="005E2D10">
              <w:rPr>
                <w:lang w:eastAsia="zh-CN"/>
              </w:rPr>
              <w:t>-3.5</w:t>
            </w:r>
          </w:p>
        </w:tc>
        <w:tc>
          <w:tcPr>
            <w:tcW w:w="993" w:type="dxa"/>
            <w:tcBorders>
              <w:top w:val="single" w:sz="4" w:space="0" w:color="auto"/>
            </w:tcBorders>
            <w:vAlign w:val="center"/>
          </w:tcPr>
          <w:p w14:paraId="0F511FD2" w14:textId="77777777" w:rsidR="00241417" w:rsidRPr="005E2D10" w:rsidRDefault="00241417" w:rsidP="003A71DE">
            <w:pPr>
              <w:pStyle w:val="TAC"/>
            </w:pPr>
            <w:r w:rsidRPr="005E2D10">
              <w:rPr>
                <w:lang w:eastAsia="zh-CN"/>
              </w:rPr>
              <w:t>-3.5</w:t>
            </w:r>
          </w:p>
        </w:tc>
        <w:tc>
          <w:tcPr>
            <w:tcW w:w="992" w:type="dxa"/>
            <w:tcBorders>
              <w:top w:val="single" w:sz="4" w:space="0" w:color="auto"/>
            </w:tcBorders>
            <w:vAlign w:val="center"/>
          </w:tcPr>
          <w:p w14:paraId="363E683F" w14:textId="77777777" w:rsidR="00241417" w:rsidRPr="005E2D10" w:rsidRDefault="00241417" w:rsidP="003A71DE">
            <w:pPr>
              <w:pStyle w:val="TAC"/>
            </w:pPr>
            <w:r w:rsidRPr="005E2D10">
              <w:rPr>
                <w:lang w:eastAsia="zh-CN"/>
              </w:rPr>
              <w:t>-3.5</w:t>
            </w:r>
          </w:p>
        </w:tc>
      </w:tr>
    </w:tbl>
    <w:p w14:paraId="02EE3C48" w14:textId="77777777" w:rsidR="00241417" w:rsidRPr="005E2D10" w:rsidRDefault="00241417" w:rsidP="00241417"/>
    <w:p w14:paraId="088B43CB" w14:textId="77777777" w:rsidR="00241417" w:rsidRPr="005E2D10" w:rsidRDefault="00241417" w:rsidP="00241417">
      <w:pPr>
        <w:pStyle w:val="TH"/>
      </w:pPr>
      <w:r w:rsidRPr="005E2D10">
        <w:lastRenderedPageBreak/>
        <w:t>Table 8.</w:t>
      </w:r>
      <w:r>
        <w:t>1.</w:t>
      </w:r>
      <w:r w:rsidRPr="005E2D10">
        <w:t>3.</w:t>
      </w:r>
      <w:r w:rsidRPr="005E2D10">
        <w:rPr>
          <w:lang w:eastAsia="zh-CN"/>
        </w:rPr>
        <w:t>4</w:t>
      </w:r>
      <w:r w:rsidRPr="005E2D10">
        <w:t>.</w:t>
      </w:r>
      <w:r w:rsidRPr="005E2D10">
        <w:rPr>
          <w:rFonts w:eastAsia="SimSun"/>
          <w:lang w:eastAsia="zh-CN"/>
        </w:rPr>
        <w:t>1</w:t>
      </w:r>
      <w:r w:rsidRPr="005E2D10">
        <w:rPr>
          <w:lang w:eastAsia="zh-CN"/>
        </w:rPr>
        <w:t>.2</w:t>
      </w:r>
      <w:r w:rsidRPr="005E2D10">
        <w:t>-</w:t>
      </w:r>
      <w:r w:rsidRPr="005E2D10">
        <w:rPr>
          <w:lang w:eastAsia="zh-CN"/>
        </w:rPr>
        <w:t>2</w:t>
      </w:r>
      <w:r w:rsidRPr="005E2D10">
        <w:t xml:space="preserve">: Minimum requirements for PUCCH format </w:t>
      </w:r>
      <w:r w:rsidRPr="005E2D10">
        <w:rPr>
          <w:lang w:eastAsia="zh-CN"/>
        </w:rPr>
        <w:t>2</w:t>
      </w:r>
      <w:r w:rsidRPr="005E2D10">
        <w:t xml:space="preserve"> with </w:t>
      </w:r>
      <w:r w:rsidRPr="005E2D10">
        <w:rPr>
          <w:lang w:eastAsia="zh-CN"/>
        </w:rPr>
        <w:t xml:space="preserve">30 </w:t>
      </w:r>
      <w:r w:rsidRPr="005E2D10">
        <w:t>kHz SCS</w:t>
      </w:r>
    </w:p>
    <w:tbl>
      <w:tblPr>
        <w:tblStyle w:val="TableGrid11"/>
        <w:tblW w:w="6946" w:type="dxa"/>
        <w:jc w:val="center"/>
        <w:tblInd w:w="0" w:type="dxa"/>
        <w:tblLayout w:type="fixed"/>
        <w:tblLook w:val="04A0" w:firstRow="1" w:lastRow="0" w:firstColumn="1" w:lastColumn="0" w:noHBand="0" w:noVBand="1"/>
      </w:tblPr>
      <w:tblGrid>
        <w:gridCol w:w="1276"/>
        <w:gridCol w:w="1134"/>
        <w:gridCol w:w="1276"/>
        <w:gridCol w:w="709"/>
        <w:gridCol w:w="850"/>
        <w:gridCol w:w="851"/>
        <w:gridCol w:w="850"/>
      </w:tblGrid>
      <w:tr w:rsidR="00241417" w:rsidRPr="005E2D10" w14:paraId="2A15F1CC" w14:textId="77777777" w:rsidTr="003A71DE">
        <w:trPr>
          <w:jc w:val="center"/>
        </w:trPr>
        <w:tc>
          <w:tcPr>
            <w:tcW w:w="1276" w:type="dxa"/>
            <w:vMerge w:val="restart"/>
            <w:tcBorders>
              <w:top w:val="single" w:sz="4" w:space="0" w:color="auto"/>
            </w:tcBorders>
            <w:vAlign w:val="center"/>
          </w:tcPr>
          <w:p w14:paraId="61B4679D" w14:textId="77777777" w:rsidR="00241417" w:rsidRPr="005E2D10" w:rsidRDefault="00241417" w:rsidP="003A71DE">
            <w:pPr>
              <w:pStyle w:val="TAH"/>
            </w:pPr>
            <w:r w:rsidRPr="005E2D10">
              <w:t>Number of</w:t>
            </w:r>
            <w:r>
              <w:t xml:space="preserve"> </w:t>
            </w:r>
            <w:r w:rsidRPr="005E2D10">
              <w:t>TX antennas</w:t>
            </w:r>
          </w:p>
        </w:tc>
        <w:tc>
          <w:tcPr>
            <w:tcW w:w="1134" w:type="dxa"/>
            <w:vMerge w:val="restart"/>
            <w:tcBorders>
              <w:top w:val="single" w:sz="4" w:space="0" w:color="auto"/>
            </w:tcBorders>
            <w:vAlign w:val="center"/>
          </w:tcPr>
          <w:p w14:paraId="60F7CA97" w14:textId="77777777" w:rsidR="00241417" w:rsidRPr="005E2D10" w:rsidRDefault="00241417" w:rsidP="003A71DE">
            <w:pPr>
              <w:pStyle w:val="TAH"/>
            </w:pPr>
            <w:r w:rsidRPr="005E2D10">
              <w:rPr>
                <w:lang w:eastAsia="zh-CN"/>
              </w:rPr>
              <w:t>Number of</w:t>
            </w:r>
            <w:r>
              <w:rPr>
                <w:lang w:eastAsia="zh-CN"/>
              </w:rPr>
              <w:t xml:space="preserve"> </w:t>
            </w:r>
            <w:r>
              <w:t>Demodulation Branches</w:t>
            </w:r>
          </w:p>
        </w:tc>
        <w:tc>
          <w:tcPr>
            <w:tcW w:w="1276" w:type="dxa"/>
            <w:vMerge w:val="restart"/>
            <w:tcBorders>
              <w:top w:val="single" w:sz="4" w:space="0" w:color="auto"/>
            </w:tcBorders>
            <w:vAlign w:val="center"/>
          </w:tcPr>
          <w:p w14:paraId="1D23E83C" w14:textId="6E187A2C" w:rsidR="00241417" w:rsidRPr="005E2D10" w:rsidRDefault="00241417" w:rsidP="003A71DE">
            <w:pPr>
              <w:pStyle w:val="TAH"/>
            </w:pPr>
            <w:r w:rsidRPr="005E2D10">
              <w:rPr>
                <w:lang w:val="fr-FR"/>
              </w:rPr>
              <w:t>Propagation</w:t>
            </w:r>
            <w:r>
              <w:rPr>
                <w:lang w:val="fr-FR"/>
              </w:rPr>
              <w:t xml:space="preserve"> </w:t>
            </w:r>
            <w:r w:rsidRPr="005E2D10">
              <w:t xml:space="preserve">conditions and correlation matrix (Annex </w:t>
            </w:r>
            <w:r>
              <w:t>TBA</w:t>
            </w:r>
            <w:r w:rsidRPr="005E2D10">
              <w:t>)</w:t>
            </w:r>
          </w:p>
        </w:tc>
        <w:tc>
          <w:tcPr>
            <w:tcW w:w="3260" w:type="dxa"/>
            <w:gridSpan w:val="4"/>
            <w:tcBorders>
              <w:top w:val="single" w:sz="4" w:space="0" w:color="auto"/>
            </w:tcBorders>
            <w:vAlign w:val="center"/>
          </w:tcPr>
          <w:p w14:paraId="0591166C" w14:textId="77777777" w:rsidR="00241417" w:rsidRPr="005E2D10" w:rsidRDefault="00241417" w:rsidP="003A71DE">
            <w:pPr>
              <w:pStyle w:val="TAH"/>
            </w:pPr>
            <w:r w:rsidRPr="005E2D10">
              <w:t>Channel bandwidth / SNR (dB)</w:t>
            </w:r>
          </w:p>
        </w:tc>
      </w:tr>
      <w:tr w:rsidR="00241417" w:rsidRPr="005E2D10" w14:paraId="3AB5A112" w14:textId="77777777" w:rsidTr="003A71DE">
        <w:trPr>
          <w:jc w:val="center"/>
        </w:trPr>
        <w:tc>
          <w:tcPr>
            <w:tcW w:w="1276" w:type="dxa"/>
            <w:vMerge/>
            <w:tcBorders>
              <w:bottom w:val="single" w:sz="4" w:space="0" w:color="auto"/>
            </w:tcBorders>
            <w:vAlign w:val="center"/>
          </w:tcPr>
          <w:p w14:paraId="26E9DA4E" w14:textId="77777777" w:rsidR="00241417" w:rsidRPr="005E2D10" w:rsidRDefault="00241417" w:rsidP="003A71DE">
            <w:pPr>
              <w:pStyle w:val="TAH"/>
            </w:pPr>
          </w:p>
        </w:tc>
        <w:tc>
          <w:tcPr>
            <w:tcW w:w="1134" w:type="dxa"/>
            <w:vMerge/>
            <w:tcBorders>
              <w:bottom w:val="single" w:sz="4" w:space="0" w:color="auto"/>
            </w:tcBorders>
            <w:vAlign w:val="center"/>
          </w:tcPr>
          <w:p w14:paraId="7468A8D7" w14:textId="77777777" w:rsidR="00241417" w:rsidRPr="005E2D10" w:rsidRDefault="00241417" w:rsidP="003A71DE">
            <w:pPr>
              <w:pStyle w:val="TAH"/>
            </w:pPr>
          </w:p>
        </w:tc>
        <w:tc>
          <w:tcPr>
            <w:tcW w:w="1276" w:type="dxa"/>
            <w:vMerge/>
            <w:tcBorders>
              <w:bottom w:val="single" w:sz="4" w:space="0" w:color="auto"/>
            </w:tcBorders>
            <w:vAlign w:val="center"/>
          </w:tcPr>
          <w:p w14:paraId="6E223D62" w14:textId="77777777" w:rsidR="00241417" w:rsidRPr="005E2D10" w:rsidRDefault="00241417" w:rsidP="003A71DE">
            <w:pPr>
              <w:pStyle w:val="TAH"/>
            </w:pPr>
          </w:p>
        </w:tc>
        <w:tc>
          <w:tcPr>
            <w:tcW w:w="709" w:type="dxa"/>
            <w:tcBorders>
              <w:top w:val="single" w:sz="4" w:space="0" w:color="auto"/>
              <w:bottom w:val="single" w:sz="4" w:space="0" w:color="auto"/>
            </w:tcBorders>
            <w:vAlign w:val="center"/>
          </w:tcPr>
          <w:p w14:paraId="3299CD6A" w14:textId="77777777" w:rsidR="00241417" w:rsidRPr="005E2D10" w:rsidRDefault="00241417" w:rsidP="003A71DE">
            <w:pPr>
              <w:pStyle w:val="TAH"/>
            </w:pPr>
            <w:r w:rsidRPr="005E2D10">
              <w:t>10 MHz</w:t>
            </w:r>
          </w:p>
        </w:tc>
        <w:tc>
          <w:tcPr>
            <w:tcW w:w="850" w:type="dxa"/>
            <w:tcBorders>
              <w:top w:val="single" w:sz="4" w:space="0" w:color="auto"/>
              <w:bottom w:val="single" w:sz="4" w:space="0" w:color="auto"/>
            </w:tcBorders>
            <w:vAlign w:val="center"/>
          </w:tcPr>
          <w:p w14:paraId="516A3C3D" w14:textId="77777777" w:rsidR="00241417" w:rsidRPr="005E2D10" w:rsidRDefault="00241417" w:rsidP="003A71DE">
            <w:pPr>
              <w:pStyle w:val="TAH"/>
            </w:pPr>
            <w:r w:rsidRPr="005E2D10">
              <w:t>20 MHz</w:t>
            </w:r>
          </w:p>
        </w:tc>
        <w:tc>
          <w:tcPr>
            <w:tcW w:w="851" w:type="dxa"/>
            <w:tcBorders>
              <w:top w:val="single" w:sz="4" w:space="0" w:color="auto"/>
              <w:bottom w:val="single" w:sz="4" w:space="0" w:color="auto"/>
            </w:tcBorders>
            <w:vAlign w:val="center"/>
          </w:tcPr>
          <w:p w14:paraId="7395DD1A" w14:textId="77777777" w:rsidR="00241417" w:rsidRPr="005E2D10" w:rsidRDefault="00241417" w:rsidP="003A71DE">
            <w:pPr>
              <w:pStyle w:val="TAH"/>
            </w:pPr>
            <w:r w:rsidRPr="005E2D10">
              <w:t>40 MHz</w:t>
            </w:r>
          </w:p>
        </w:tc>
        <w:tc>
          <w:tcPr>
            <w:tcW w:w="850" w:type="dxa"/>
            <w:tcBorders>
              <w:top w:val="single" w:sz="4" w:space="0" w:color="auto"/>
              <w:bottom w:val="single" w:sz="4" w:space="0" w:color="auto"/>
            </w:tcBorders>
            <w:vAlign w:val="center"/>
          </w:tcPr>
          <w:p w14:paraId="575032B1" w14:textId="77777777" w:rsidR="00241417" w:rsidRPr="005E2D10" w:rsidRDefault="00241417" w:rsidP="003A71DE">
            <w:pPr>
              <w:pStyle w:val="TAH"/>
            </w:pPr>
            <w:r w:rsidRPr="005E2D10">
              <w:t>100 MHz</w:t>
            </w:r>
          </w:p>
        </w:tc>
      </w:tr>
      <w:tr w:rsidR="00241417" w:rsidRPr="005E2D10" w14:paraId="0853B35B" w14:textId="77777777" w:rsidTr="003A71DE">
        <w:trPr>
          <w:jc w:val="center"/>
        </w:trPr>
        <w:tc>
          <w:tcPr>
            <w:tcW w:w="1276" w:type="dxa"/>
            <w:vMerge w:val="restart"/>
            <w:vAlign w:val="center"/>
          </w:tcPr>
          <w:p w14:paraId="64F0F12D" w14:textId="77777777" w:rsidR="00241417" w:rsidRPr="005E2D10" w:rsidRDefault="00241417" w:rsidP="003A71DE">
            <w:pPr>
              <w:pStyle w:val="TAC"/>
            </w:pPr>
            <w:r w:rsidRPr="005E2D10">
              <w:rPr>
                <w:lang w:eastAsia="zh-CN"/>
              </w:rPr>
              <w:t>1</w:t>
            </w:r>
          </w:p>
        </w:tc>
        <w:tc>
          <w:tcPr>
            <w:tcW w:w="1134" w:type="dxa"/>
            <w:tcBorders>
              <w:bottom w:val="single" w:sz="4" w:space="0" w:color="auto"/>
            </w:tcBorders>
            <w:vAlign w:val="center"/>
          </w:tcPr>
          <w:p w14:paraId="0A6129B0" w14:textId="77777777" w:rsidR="00241417" w:rsidRPr="005E2D10" w:rsidRDefault="00241417" w:rsidP="003A71DE">
            <w:pPr>
              <w:pStyle w:val="TAC"/>
            </w:pPr>
            <w:r w:rsidRPr="005E2D10">
              <w:rPr>
                <w:lang w:eastAsia="zh-CN"/>
              </w:rPr>
              <w:t>2</w:t>
            </w:r>
          </w:p>
        </w:tc>
        <w:tc>
          <w:tcPr>
            <w:tcW w:w="1276" w:type="dxa"/>
            <w:tcBorders>
              <w:bottom w:val="single" w:sz="4" w:space="0" w:color="auto"/>
            </w:tcBorders>
            <w:vAlign w:val="center"/>
          </w:tcPr>
          <w:p w14:paraId="4C88EC59" w14:textId="77777777" w:rsidR="00241417" w:rsidRPr="005E2D10" w:rsidRDefault="00241417" w:rsidP="003A71DE">
            <w:pPr>
              <w:pStyle w:val="TAC"/>
            </w:pPr>
            <w:r w:rsidRPr="005E2D10">
              <w:t>TDLC300-100</w:t>
            </w:r>
            <w:r w:rsidRPr="005E2D10" w:rsidDel="002E550C">
              <w:t xml:space="preserve"> </w:t>
            </w:r>
            <w:r w:rsidRPr="005E2D10">
              <w:t>Low</w:t>
            </w:r>
          </w:p>
        </w:tc>
        <w:tc>
          <w:tcPr>
            <w:tcW w:w="709" w:type="dxa"/>
            <w:tcBorders>
              <w:bottom w:val="single" w:sz="4" w:space="0" w:color="auto"/>
            </w:tcBorders>
            <w:vAlign w:val="center"/>
          </w:tcPr>
          <w:p w14:paraId="3BE00100" w14:textId="77777777" w:rsidR="00241417" w:rsidRPr="005E2D10" w:rsidRDefault="00241417" w:rsidP="003A71DE">
            <w:pPr>
              <w:pStyle w:val="TAC"/>
            </w:pPr>
            <w:r w:rsidRPr="005E2D10">
              <w:rPr>
                <w:lang w:eastAsia="zh-CN"/>
              </w:rPr>
              <w:t>5.</w:t>
            </w:r>
            <w:r w:rsidRPr="005E2D10">
              <w:rPr>
                <w:rFonts w:hint="eastAsia"/>
                <w:lang w:eastAsia="zh-CN"/>
              </w:rPr>
              <w:t>5</w:t>
            </w:r>
          </w:p>
        </w:tc>
        <w:tc>
          <w:tcPr>
            <w:tcW w:w="850" w:type="dxa"/>
            <w:tcBorders>
              <w:bottom w:val="single" w:sz="4" w:space="0" w:color="auto"/>
            </w:tcBorders>
            <w:vAlign w:val="center"/>
          </w:tcPr>
          <w:p w14:paraId="1B9341B5" w14:textId="77777777" w:rsidR="00241417" w:rsidRPr="005E2D10" w:rsidRDefault="00241417" w:rsidP="003A71DE">
            <w:pPr>
              <w:pStyle w:val="TAC"/>
            </w:pPr>
            <w:r w:rsidRPr="005E2D10">
              <w:rPr>
                <w:lang w:eastAsia="zh-CN"/>
              </w:rPr>
              <w:t>5.</w:t>
            </w:r>
            <w:r w:rsidRPr="005E2D10">
              <w:rPr>
                <w:rFonts w:hint="eastAsia"/>
                <w:lang w:eastAsia="zh-CN"/>
              </w:rPr>
              <w:t>6</w:t>
            </w:r>
          </w:p>
        </w:tc>
        <w:tc>
          <w:tcPr>
            <w:tcW w:w="851" w:type="dxa"/>
            <w:tcBorders>
              <w:bottom w:val="single" w:sz="4" w:space="0" w:color="auto"/>
            </w:tcBorders>
            <w:vAlign w:val="center"/>
          </w:tcPr>
          <w:p w14:paraId="7B4C7506" w14:textId="77777777" w:rsidR="00241417" w:rsidRPr="005E2D10" w:rsidRDefault="00241417" w:rsidP="003A71DE">
            <w:pPr>
              <w:pStyle w:val="TAC"/>
              <w:rPr>
                <w:lang w:eastAsia="zh-CN"/>
              </w:rPr>
            </w:pPr>
            <w:r w:rsidRPr="005E2D10">
              <w:rPr>
                <w:lang w:eastAsia="zh-CN"/>
              </w:rPr>
              <w:t>5.</w:t>
            </w:r>
            <w:r w:rsidRPr="005E2D10">
              <w:rPr>
                <w:rFonts w:hint="eastAsia"/>
                <w:lang w:eastAsia="zh-CN"/>
              </w:rPr>
              <w:t>5</w:t>
            </w:r>
          </w:p>
        </w:tc>
        <w:tc>
          <w:tcPr>
            <w:tcW w:w="850" w:type="dxa"/>
            <w:tcBorders>
              <w:bottom w:val="single" w:sz="4" w:space="0" w:color="auto"/>
            </w:tcBorders>
            <w:vAlign w:val="center"/>
          </w:tcPr>
          <w:p w14:paraId="3F3250D4" w14:textId="77777777" w:rsidR="00241417" w:rsidRPr="005E2D10" w:rsidRDefault="00241417" w:rsidP="003A71DE">
            <w:pPr>
              <w:pStyle w:val="TAC"/>
            </w:pPr>
            <w:r w:rsidRPr="005E2D10">
              <w:rPr>
                <w:lang w:eastAsia="zh-CN"/>
              </w:rPr>
              <w:t>5.</w:t>
            </w:r>
            <w:r w:rsidRPr="005E2D10">
              <w:rPr>
                <w:rFonts w:hint="eastAsia"/>
                <w:lang w:eastAsia="zh-CN"/>
              </w:rPr>
              <w:t>7</w:t>
            </w:r>
          </w:p>
        </w:tc>
      </w:tr>
      <w:tr w:rsidR="00241417" w:rsidRPr="005E2D10" w14:paraId="27AD13AE" w14:textId="77777777" w:rsidTr="003A71DE">
        <w:trPr>
          <w:jc w:val="center"/>
        </w:trPr>
        <w:tc>
          <w:tcPr>
            <w:tcW w:w="1276" w:type="dxa"/>
            <w:vMerge/>
            <w:vAlign w:val="center"/>
          </w:tcPr>
          <w:p w14:paraId="0E145179" w14:textId="77777777" w:rsidR="00241417" w:rsidRPr="005E2D10" w:rsidRDefault="00241417" w:rsidP="003A71DE">
            <w:pPr>
              <w:pStyle w:val="TAC"/>
            </w:pPr>
          </w:p>
        </w:tc>
        <w:tc>
          <w:tcPr>
            <w:tcW w:w="1134" w:type="dxa"/>
            <w:tcBorders>
              <w:bottom w:val="single" w:sz="4" w:space="0" w:color="auto"/>
            </w:tcBorders>
            <w:vAlign w:val="center"/>
          </w:tcPr>
          <w:p w14:paraId="3C865743" w14:textId="77777777" w:rsidR="00241417" w:rsidRPr="005E2D10" w:rsidRDefault="00241417" w:rsidP="003A71DE">
            <w:pPr>
              <w:pStyle w:val="TAC"/>
            </w:pPr>
            <w:r w:rsidRPr="005E2D10">
              <w:rPr>
                <w:lang w:eastAsia="zh-CN"/>
              </w:rPr>
              <w:t>4</w:t>
            </w:r>
          </w:p>
        </w:tc>
        <w:tc>
          <w:tcPr>
            <w:tcW w:w="1276" w:type="dxa"/>
            <w:tcBorders>
              <w:bottom w:val="single" w:sz="4" w:space="0" w:color="auto"/>
            </w:tcBorders>
            <w:vAlign w:val="center"/>
          </w:tcPr>
          <w:p w14:paraId="08CE8A0C" w14:textId="77777777" w:rsidR="00241417" w:rsidRPr="005E2D10" w:rsidRDefault="00241417" w:rsidP="003A71DE">
            <w:pPr>
              <w:pStyle w:val="TAC"/>
            </w:pPr>
            <w:r w:rsidRPr="005E2D10">
              <w:t>TDLC300-100</w:t>
            </w:r>
            <w:r w:rsidRPr="005E2D10" w:rsidDel="002E550C">
              <w:t xml:space="preserve"> </w:t>
            </w:r>
            <w:r w:rsidRPr="005E2D10">
              <w:t>Low</w:t>
            </w:r>
          </w:p>
        </w:tc>
        <w:tc>
          <w:tcPr>
            <w:tcW w:w="709" w:type="dxa"/>
            <w:tcBorders>
              <w:bottom w:val="single" w:sz="4" w:space="0" w:color="auto"/>
            </w:tcBorders>
            <w:vAlign w:val="center"/>
          </w:tcPr>
          <w:p w14:paraId="7692A6A1" w14:textId="77777777" w:rsidR="00241417" w:rsidRPr="005E2D10" w:rsidRDefault="00241417" w:rsidP="003A71DE">
            <w:pPr>
              <w:pStyle w:val="TAC"/>
            </w:pPr>
            <w:r w:rsidRPr="005E2D10">
              <w:rPr>
                <w:lang w:eastAsia="zh-CN"/>
              </w:rPr>
              <w:t>0.3</w:t>
            </w:r>
          </w:p>
        </w:tc>
        <w:tc>
          <w:tcPr>
            <w:tcW w:w="850" w:type="dxa"/>
            <w:tcBorders>
              <w:bottom w:val="single" w:sz="4" w:space="0" w:color="auto"/>
            </w:tcBorders>
            <w:vAlign w:val="center"/>
          </w:tcPr>
          <w:p w14:paraId="730F5822" w14:textId="77777777" w:rsidR="00241417" w:rsidRPr="005E2D10" w:rsidRDefault="00241417" w:rsidP="003A71DE">
            <w:pPr>
              <w:pStyle w:val="TAC"/>
            </w:pPr>
            <w:r w:rsidRPr="005E2D10">
              <w:rPr>
                <w:lang w:eastAsia="zh-CN"/>
              </w:rPr>
              <w:t>0.2</w:t>
            </w:r>
          </w:p>
        </w:tc>
        <w:tc>
          <w:tcPr>
            <w:tcW w:w="851" w:type="dxa"/>
            <w:tcBorders>
              <w:bottom w:val="single" w:sz="4" w:space="0" w:color="auto"/>
            </w:tcBorders>
            <w:vAlign w:val="center"/>
          </w:tcPr>
          <w:p w14:paraId="2EB5150D" w14:textId="77777777" w:rsidR="00241417" w:rsidRPr="005E2D10" w:rsidRDefault="00241417" w:rsidP="003A71DE">
            <w:pPr>
              <w:pStyle w:val="TAC"/>
              <w:rPr>
                <w:lang w:eastAsia="zh-CN"/>
              </w:rPr>
            </w:pPr>
            <w:r w:rsidRPr="005E2D10">
              <w:rPr>
                <w:lang w:eastAsia="zh-CN"/>
              </w:rPr>
              <w:t>0.</w:t>
            </w:r>
            <w:r w:rsidRPr="005E2D10">
              <w:rPr>
                <w:rFonts w:hint="eastAsia"/>
                <w:lang w:eastAsia="zh-CN"/>
              </w:rPr>
              <w:t>3</w:t>
            </w:r>
          </w:p>
        </w:tc>
        <w:tc>
          <w:tcPr>
            <w:tcW w:w="850" w:type="dxa"/>
            <w:tcBorders>
              <w:bottom w:val="single" w:sz="4" w:space="0" w:color="auto"/>
            </w:tcBorders>
            <w:vAlign w:val="center"/>
          </w:tcPr>
          <w:p w14:paraId="73F56192" w14:textId="77777777" w:rsidR="00241417" w:rsidRPr="005E2D10" w:rsidRDefault="00241417" w:rsidP="003A71DE">
            <w:pPr>
              <w:pStyle w:val="TAC"/>
            </w:pPr>
            <w:r w:rsidRPr="005E2D10">
              <w:rPr>
                <w:rFonts w:hint="eastAsia"/>
                <w:lang w:eastAsia="zh-CN"/>
              </w:rPr>
              <w:t>0.4</w:t>
            </w:r>
          </w:p>
        </w:tc>
      </w:tr>
      <w:tr w:rsidR="00241417" w:rsidRPr="005E2D10" w14:paraId="23F1E1C5" w14:textId="77777777" w:rsidTr="003A71DE">
        <w:trPr>
          <w:jc w:val="center"/>
        </w:trPr>
        <w:tc>
          <w:tcPr>
            <w:tcW w:w="1276" w:type="dxa"/>
            <w:vMerge/>
            <w:vAlign w:val="center"/>
          </w:tcPr>
          <w:p w14:paraId="35D8B495" w14:textId="77777777" w:rsidR="00241417" w:rsidRPr="005E2D10" w:rsidRDefault="00241417" w:rsidP="003A71DE">
            <w:pPr>
              <w:pStyle w:val="TAC"/>
            </w:pPr>
          </w:p>
        </w:tc>
        <w:tc>
          <w:tcPr>
            <w:tcW w:w="1134" w:type="dxa"/>
            <w:tcBorders>
              <w:top w:val="single" w:sz="4" w:space="0" w:color="auto"/>
            </w:tcBorders>
            <w:vAlign w:val="center"/>
          </w:tcPr>
          <w:p w14:paraId="55947EB6" w14:textId="77777777" w:rsidR="00241417" w:rsidRPr="005E2D10" w:rsidRDefault="00241417" w:rsidP="003A71DE">
            <w:pPr>
              <w:pStyle w:val="TAC"/>
            </w:pPr>
            <w:r w:rsidRPr="005E2D10">
              <w:rPr>
                <w:lang w:eastAsia="zh-CN"/>
              </w:rPr>
              <w:t>8</w:t>
            </w:r>
          </w:p>
        </w:tc>
        <w:tc>
          <w:tcPr>
            <w:tcW w:w="1276" w:type="dxa"/>
            <w:tcBorders>
              <w:top w:val="single" w:sz="4" w:space="0" w:color="auto"/>
            </w:tcBorders>
            <w:vAlign w:val="center"/>
          </w:tcPr>
          <w:p w14:paraId="3CCDEA01" w14:textId="77777777" w:rsidR="00241417" w:rsidRPr="005E2D10" w:rsidRDefault="00241417" w:rsidP="003A71DE">
            <w:pPr>
              <w:pStyle w:val="TAC"/>
            </w:pPr>
            <w:r w:rsidRPr="005E2D10">
              <w:t>TDLC300-100</w:t>
            </w:r>
            <w:r w:rsidRPr="005E2D10" w:rsidDel="002E550C">
              <w:t xml:space="preserve"> </w:t>
            </w:r>
            <w:r w:rsidRPr="005E2D10">
              <w:t>Low</w:t>
            </w:r>
          </w:p>
        </w:tc>
        <w:tc>
          <w:tcPr>
            <w:tcW w:w="709" w:type="dxa"/>
            <w:tcBorders>
              <w:top w:val="single" w:sz="4" w:space="0" w:color="auto"/>
            </w:tcBorders>
            <w:vAlign w:val="center"/>
          </w:tcPr>
          <w:p w14:paraId="4296F2B1" w14:textId="77777777" w:rsidR="00241417" w:rsidRPr="005E2D10" w:rsidRDefault="00241417" w:rsidP="003A71DE">
            <w:pPr>
              <w:pStyle w:val="TAC"/>
            </w:pPr>
            <w:r w:rsidRPr="005E2D10">
              <w:rPr>
                <w:lang w:eastAsia="zh-CN"/>
              </w:rPr>
              <w:t>-3.6</w:t>
            </w:r>
          </w:p>
        </w:tc>
        <w:tc>
          <w:tcPr>
            <w:tcW w:w="850" w:type="dxa"/>
            <w:tcBorders>
              <w:top w:val="single" w:sz="4" w:space="0" w:color="auto"/>
            </w:tcBorders>
            <w:vAlign w:val="center"/>
          </w:tcPr>
          <w:p w14:paraId="33E95155" w14:textId="77777777" w:rsidR="00241417" w:rsidRPr="005E2D10" w:rsidRDefault="00241417" w:rsidP="003A71DE">
            <w:pPr>
              <w:pStyle w:val="TAC"/>
            </w:pPr>
            <w:r w:rsidRPr="005E2D10">
              <w:rPr>
                <w:lang w:eastAsia="zh-CN"/>
              </w:rPr>
              <w:t>-3.6</w:t>
            </w:r>
          </w:p>
        </w:tc>
        <w:tc>
          <w:tcPr>
            <w:tcW w:w="851" w:type="dxa"/>
            <w:tcBorders>
              <w:top w:val="single" w:sz="4" w:space="0" w:color="auto"/>
            </w:tcBorders>
            <w:vAlign w:val="center"/>
          </w:tcPr>
          <w:p w14:paraId="18E20C56" w14:textId="77777777" w:rsidR="00241417" w:rsidRPr="005E2D10" w:rsidRDefault="00241417" w:rsidP="003A71DE">
            <w:pPr>
              <w:pStyle w:val="TAC"/>
              <w:rPr>
                <w:lang w:eastAsia="zh-CN"/>
              </w:rPr>
            </w:pPr>
            <w:r w:rsidRPr="005E2D10">
              <w:rPr>
                <w:lang w:eastAsia="zh-CN"/>
              </w:rPr>
              <w:t>-3.</w:t>
            </w:r>
            <w:r w:rsidRPr="005E2D10">
              <w:rPr>
                <w:rFonts w:hint="eastAsia"/>
                <w:lang w:eastAsia="zh-CN"/>
              </w:rPr>
              <w:t>5</w:t>
            </w:r>
          </w:p>
        </w:tc>
        <w:tc>
          <w:tcPr>
            <w:tcW w:w="850" w:type="dxa"/>
            <w:tcBorders>
              <w:top w:val="single" w:sz="4" w:space="0" w:color="auto"/>
            </w:tcBorders>
            <w:vAlign w:val="center"/>
          </w:tcPr>
          <w:p w14:paraId="33000CA5" w14:textId="77777777" w:rsidR="00241417" w:rsidRPr="005E2D10" w:rsidRDefault="00241417" w:rsidP="003A71DE">
            <w:pPr>
              <w:pStyle w:val="TAC"/>
            </w:pPr>
            <w:r w:rsidRPr="005E2D10">
              <w:rPr>
                <w:rFonts w:hint="eastAsia"/>
                <w:lang w:eastAsia="zh-CN"/>
              </w:rPr>
              <w:t>-3.3</w:t>
            </w:r>
          </w:p>
        </w:tc>
      </w:tr>
    </w:tbl>
    <w:p w14:paraId="116F1584" w14:textId="77777777" w:rsidR="00241417" w:rsidRPr="00C1044F" w:rsidRDefault="00241417" w:rsidP="00241417">
      <w:pPr>
        <w:rPr>
          <w:lang w:eastAsia="zh-CN"/>
        </w:rPr>
      </w:pPr>
    </w:p>
    <w:p w14:paraId="6D991F59" w14:textId="77777777" w:rsidR="00241417" w:rsidRDefault="00241417" w:rsidP="00241417">
      <w:pPr>
        <w:pStyle w:val="Heading5"/>
      </w:pPr>
      <w:bookmarkStart w:id="3621" w:name="_Toc74583263"/>
      <w:bookmarkStart w:id="3622" w:name="_Toc76542076"/>
      <w:bookmarkStart w:id="3623" w:name="_Toc82450058"/>
      <w:bookmarkStart w:id="3624" w:name="_Toc82450706"/>
      <w:bookmarkStart w:id="3625" w:name="_Toc89949095"/>
      <w:bookmarkStart w:id="3626" w:name="_Toc98755484"/>
      <w:bookmarkStart w:id="3627" w:name="_Toc98763075"/>
      <w:bookmarkStart w:id="3628" w:name="_Toc106184004"/>
      <w:r>
        <w:t>8</w:t>
      </w:r>
      <w:r w:rsidRPr="00EE4A40">
        <w:t>.</w:t>
      </w:r>
      <w:r>
        <w:t>1</w:t>
      </w:r>
      <w:r w:rsidRPr="00EE4A40">
        <w:t>.</w:t>
      </w:r>
      <w:r>
        <w:t>3</w:t>
      </w:r>
      <w:r w:rsidRPr="00EE4A40">
        <w:t>.</w:t>
      </w:r>
      <w:r>
        <w:t>4</w:t>
      </w:r>
      <w:r w:rsidRPr="00EE4A40">
        <w:t>.</w:t>
      </w:r>
      <w:r>
        <w:t>2</w:t>
      </w:r>
      <w:r>
        <w:tab/>
        <w:t>UCI BLER performance requirements</w:t>
      </w:r>
      <w:bookmarkEnd w:id="3621"/>
      <w:bookmarkEnd w:id="3622"/>
      <w:bookmarkEnd w:id="3623"/>
      <w:bookmarkEnd w:id="3624"/>
      <w:bookmarkEnd w:id="3625"/>
      <w:bookmarkEnd w:id="3626"/>
      <w:bookmarkEnd w:id="3627"/>
      <w:bookmarkEnd w:id="3628"/>
    </w:p>
    <w:p w14:paraId="26549497" w14:textId="77777777" w:rsidR="00241417" w:rsidRDefault="00241417" w:rsidP="00241417">
      <w:pPr>
        <w:pStyle w:val="H6"/>
      </w:pPr>
      <w:r>
        <w:t>8</w:t>
      </w:r>
      <w:r w:rsidRPr="00D57F98">
        <w:t>.</w:t>
      </w:r>
      <w:r>
        <w:t>1</w:t>
      </w:r>
      <w:r w:rsidRPr="00D57F98">
        <w:t>.</w:t>
      </w:r>
      <w:r>
        <w:t>3</w:t>
      </w:r>
      <w:r w:rsidRPr="00D57F98">
        <w:t>.</w:t>
      </w:r>
      <w:r>
        <w:t>4</w:t>
      </w:r>
      <w:r w:rsidRPr="00D57F98">
        <w:t>.</w:t>
      </w:r>
      <w:r>
        <w:t>2</w:t>
      </w:r>
      <w:r w:rsidRPr="00D57F98">
        <w:t>.</w:t>
      </w:r>
      <w:r>
        <w:t>1</w:t>
      </w:r>
      <w:r>
        <w:tab/>
        <w:t>General</w:t>
      </w:r>
    </w:p>
    <w:p w14:paraId="15D5370E" w14:textId="77777777" w:rsidR="00241417" w:rsidRPr="00AC4131" w:rsidRDefault="00241417" w:rsidP="00241417">
      <w:pPr>
        <w:rPr>
          <w:rFonts w:eastAsia="DengXian"/>
          <w:lang w:eastAsia="zh-CN"/>
        </w:rPr>
      </w:pPr>
      <w:r w:rsidRPr="00AC4131">
        <w:rPr>
          <w:lang w:eastAsia="zh-CN"/>
        </w:rPr>
        <w:t>The UCI block error probability (BLER) is defined as the probability of incorrectly decoding the UCI information when the UCI information is sent.</w:t>
      </w:r>
      <w:r w:rsidRPr="00AC4131">
        <w:rPr>
          <w:rFonts w:eastAsia="DengXian"/>
          <w:lang w:eastAsia="zh-CN"/>
        </w:rPr>
        <w:t xml:space="preserve"> The UCI information does not contain CSI part 2.</w:t>
      </w:r>
    </w:p>
    <w:p w14:paraId="2FADD187" w14:textId="5C270E20"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 xml:space="preserve">[3] clause </w:t>
      </w:r>
      <w:r w:rsidRPr="006C7AF4">
        <w:rPr>
          <w:lang w:val="en-US"/>
        </w:rPr>
        <w:t xml:space="preserve">6.3.3.1 </w:t>
      </w:r>
      <w:r w:rsidRPr="006C7AF4">
        <w:rPr>
          <w:lang w:val="en-US" w:eastAsia="zh-CN"/>
        </w:rPr>
        <w:t>is not taken into account for performance requirement testing, where the RB hopping is symmetric to the CC centre, i.e. intra-slot frequency hopping is enabled.]</w:t>
      </w:r>
    </w:p>
    <w:p w14:paraId="3A4BFFC9" w14:textId="77777777" w:rsidR="00241417" w:rsidRPr="00D44BC7" w:rsidRDefault="00241417" w:rsidP="00241417">
      <w:pPr>
        <w:rPr>
          <w:lang w:eastAsia="zh-CN"/>
        </w:rPr>
      </w:pPr>
      <w:r w:rsidRPr="00D44BC7">
        <w:rPr>
          <w:lang w:eastAsia="zh-CN"/>
        </w:rPr>
        <w:t>The UCI block error probability performance requirement only applies to the PUCCH format 2 with 22 UCI bits.</w:t>
      </w:r>
    </w:p>
    <w:p w14:paraId="10A09066" w14:textId="77777777" w:rsidR="00241417" w:rsidRPr="00AC4131" w:rsidRDefault="00241417" w:rsidP="00241417">
      <w:pPr>
        <w:pStyle w:val="TH"/>
      </w:pPr>
      <w:r w:rsidRPr="00AC4131">
        <w:t>Table 8.</w:t>
      </w:r>
      <w:r>
        <w:t>1.</w:t>
      </w:r>
      <w:r w:rsidRPr="00AC4131">
        <w:t>3.</w:t>
      </w:r>
      <w:r w:rsidRPr="00AC4131">
        <w:rPr>
          <w:lang w:eastAsia="zh-CN"/>
        </w:rPr>
        <w:t>4</w:t>
      </w:r>
      <w:r w:rsidRPr="00AC4131">
        <w:t>.</w:t>
      </w:r>
      <w:r w:rsidRPr="00AC4131">
        <w:rPr>
          <w:rFonts w:eastAsia="SimSun"/>
          <w:lang w:eastAsia="zh-CN"/>
        </w:rPr>
        <w:t>2</w:t>
      </w:r>
      <w:r w:rsidRPr="00AC4131">
        <w:t>.1-1: Test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5"/>
        <w:gridCol w:w="2268"/>
      </w:tblGrid>
      <w:tr w:rsidR="00241417" w:rsidRPr="00AC4131" w14:paraId="70CC37DF" w14:textId="77777777" w:rsidTr="003A71DE">
        <w:trPr>
          <w:cantSplit/>
          <w:jc w:val="center"/>
        </w:trPr>
        <w:tc>
          <w:tcPr>
            <w:tcW w:w="3485" w:type="dxa"/>
            <w:vAlign w:val="center"/>
          </w:tcPr>
          <w:p w14:paraId="7AD04C61" w14:textId="77777777" w:rsidR="00241417" w:rsidRPr="00AC4131" w:rsidRDefault="00241417" w:rsidP="003A71DE">
            <w:pPr>
              <w:pStyle w:val="TAH"/>
            </w:pPr>
            <w:r w:rsidRPr="00AC4131">
              <w:t>Parameter</w:t>
            </w:r>
          </w:p>
        </w:tc>
        <w:tc>
          <w:tcPr>
            <w:tcW w:w="2268" w:type="dxa"/>
            <w:vAlign w:val="center"/>
          </w:tcPr>
          <w:p w14:paraId="240F0F57" w14:textId="77777777" w:rsidR="00241417" w:rsidRPr="00AC4131" w:rsidRDefault="00241417" w:rsidP="003A71DE">
            <w:pPr>
              <w:pStyle w:val="TAH"/>
              <w:rPr>
                <w:lang w:eastAsia="zh-CN"/>
              </w:rPr>
            </w:pPr>
            <w:r w:rsidRPr="00AC4131">
              <w:rPr>
                <w:lang w:eastAsia="zh-CN"/>
              </w:rPr>
              <w:t>Value</w:t>
            </w:r>
            <w:r w:rsidRPr="00AC4131">
              <w:rPr>
                <w:rFonts w:eastAsia="?? ??"/>
                <w:lang w:eastAsia="zh-CN"/>
              </w:rPr>
              <w:t xml:space="preserve"> </w:t>
            </w:r>
          </w:p>
        </w:tc>
      </w:tr>
      <w:tr w:rsidR="00241417" w:rsidRPr="00AC4131" w14:paraId="040FE8D8" w14:textId="77777777" w:rsidTr="003A71DE">
        <w:trPr>
          <w:cantSplit/>
          <w:jc w:val="center"/>
        </w:trPr>
        <w:tc>
          <w:tcPr>
            <w:tcW w:w="3485" w:type="dxa"/>
            <w:vAlign w:val="center"/>
          </w:tcPr>
          <w:p w14:paraId="658859D9" w14:textId="77777777" w:rsidR="00241417" w:rsidRPr="00AC4131" w:rsidRDefault="00241417" w:rsidP="003A71DE">
            <w:pPr>
              <w:pStyle w:val="TAL"/>
              <w:rPr>
                <w:lang w:eastAsia="zh-CN"/>
              </w:rPr>
            </w:pPr>
            <w:r>
              <w:rPr>
                <w:lang w:eastAsia="zh-CN"/>
              </w:rPr>
              <w:t>Cyclic Prefix</w:t>
            </w:r>
          </w:p>
        </w:tc>
        <w:tc>
          <w:tcPr>
            <w:tcW w:w="2268" w:type="dxa"/>
            <w:vAlign w:val="center"/>
          </w:tcPr>
          <w:p w14:paraId="3AEBD324" w14:textId="77777777" w:rsidR="00241417" w:rsidRPr="00AC4131" w:rsidRDefault="00241417" w:rsidP="003A71DE">
            <w:pPr>
              <w:pStyle w:val="TAC"/>
              <w:rPr>
                <w:lang w:eastAsia="zh-CN"/>
              </w:rPr>
            </w:pPr>
            <w:r>
              <w:rPr>
                <w:lang w:eastAsia="zh-CN"/>
              </w:rPr>
              <w:t>Normal</w:t>
            </w:r>
          </w:p>
        </w:tc>
      </w:tr>
      <w:tr w:rsidR="00241417" w:rsidRPr="00AC4131" w14:paraId="5B6D8919" w14:textId="77777777" w:rsidTr="003A71DE">
        <w:trPr>
          <w:cantSplit/>
          <w:jc w:val="center"/>
        </w:trPr>
        <w:tc>
          <w:tcPr>
            <w:tcW w:w="3485" w:type="dxa"/>
            <w:vAlign w:val="center"/>
          </w:tcPr>
          <w:p w14:paraId="716454FF" w14:textId="77777777" w:rsidR="00241417" w:rsidRPr="00AC4131" w:rsidRDefault="00241417" w:rsidP="003A71DE">
            <w:pPr>
              <w:pStyle w:val="TAL"/>
              <w:rPr>
                <w:rFonts w:eastAsia="DengXian"/>
                <w:lang w:eastAsia="zh-CN"/>
              </w:rPr>
            </w:pPr>
            <w:r w:rsidRPr="00AC4131">
              <w:rPr>
                <w:lang w:eastAsia="zh-CN"/>
              </w:rPr>
              <w:t>Modulation order</w:t>
            </w:r>
          </w:p>
        </w:tc>
        <w:tc>
          <w:tcPr>
            <w:tcW w:w="2268" w:type="dxa"/>
            <w:vAlign w:val="center"/>
          </w:tcPr>
          <w:p w14:paraId="311DB31F" w14:textId="77777777" w:rsidR="00241417" w:rsidRPr="00AC4131" w:rsidRDefault="00241417" w:rsidP="003A71DE">
            <w:pPr>
              <w:pStyle w:val="TAC"/>
              <w:rPr>
                <w:lang w:eastAsia="zh-CN"/>
              </w:rPr>
            </w:pPr>
            <w:r w:rsidRPr="00AC4131">
              <w:rPr>
                <w:lang w:eastAsia="zh-CN"/>
              </w:rPr>
              <w:t>QSPK</w:t>
            </w:r>
          </w:p>
        </w:tc>
      </w:tr>
      <w:tr w:rsidR="00241417" w:rsidRPr="00AC4131" w14:paraId="736FB237" w14:textId="77777777" w:rsidTr="003A71DE">
        <w:trPr>
          <w:cantSplit/>
          <w:jc w:val="center"/>
        </w:trPr>
        <w:tc>
          <w:tcPr>
            <w:tcW w:w="3485" w:type="dxa"/>
            <w:vAlign w:val="center"/>
          </w:tcPr>
          <w:p w14:paraId="14315FF2" w14:textId="77777777" w:rsidR="00241417" w:rsidRPr="00AC4131" w:rsidRDefault="00241417" w:rsidP="003A71DE">
            <w:pPr>
              <w:pStyle w:val="TAL"/>
              <w:rPr>
                <w:rFonts w:eastAsia="DengXian" w:cs="Arial"/>
                <w:lang w:eastAsia="zh-CN"/>
              </w:rPr>
            </w:pPr>
            <w:r w:rsidRPr="00AC4131">
              <w:rPr>
                <w:rFonts w:hint="eastAsia"/>
                <w:lang w:eastAsia="zh-CN"/>
              </w:rPr>
              <w:t>First PRB prior to frequency hopping</w:t>
            </w:r>
          </w:p>
        </w:tc>
        <w:tc>
          <w:tcPr>
            <w:tcW w:w="2268" w:type="dxa"/>
            <w:vAlign w:val="center"/>
          </w:tcPr>
          <w:p w14:paraId="453A94EA" w14:textId="77777777" w:rsidR="00241417" w:rsidRPr="00AC4131" w:rsidRDefault="00241417" w:rsidP="003A71DE">
            <w:pPr>
              <w:pStyle w:val="TAC"/>
              <w:rPr>
                <w:lang w:eastAsia="zh-CN"/>
              </w:rPr>
            </w:pPr>
            <w:r w:rsidRPr="00AC4131">
              <w:rPr>
                <w:lang w:eastAsia="zh-CN"/>
              </w:rPr>
              <w:t>0</w:t>
            </w:r>
          </w:p>
        </w:tc>
      </w:tr>
      <w:tr w:rsidR="00241417" w:rsidRPr="00AC4131" w14:paraId="353D26D6" w14:textId="77777777" w:rsidTr="003A71DE">
        <w:trPr>
          <w:cantSplit/>
          <w:jc w:val="center"/>
        </w:trPr>
        <w:tc>
          <w:tcPr>
            <w:tcW w:w="3485" w:type="dxa"/>
            <w:vAlign w:val="center"/>
          </w:tcPr>
          <w:p w14:paraId="1F14E6B0" w14:textId="77777777" w:rsidR="00241417" w:rsidRPr="00AC4131" w:rsidRDefault="00241417" w:rsidP="003A71DE">
            <w:pPr>
              <w:pStyle w:val="TAL"/>
              <w:rPr>
                <w:rFonts w:eastAsia="DengXian" w:cs="Arial"/>
                <w:lang w:eastAsia="zh-CN"/>
              </w:rPr>
            </w:pPr>
            <w:r w:rsidRPr="00AC4131">
              <w:rPr>
                <w:lang w:eastAsia="zh-CN"/>
              </w:rPr>
              <w:t>I</w:t>
            </w:r>
            <w:r w:rsidRPr="00AC4131">
              <w:rPr>
                <w:rFonts w:hint="eastAsia"/>
                <w:lang w:eastAsia="zh-CN"/>
              </w:rPr>
              <w:t>ntra-slot frequency hopping</w:t>
            </w:r>
          </w:p>
        </w:tc>
        <w:tc>
          <w:tcPr>
            <w:tcW w:w="2268" w:type="dxa"/>
            <w:vAlign w:val="center"/>
          </w:tcPr>
          <w:p w14:paraId="7FE2A767" w14:textId="77777777" w:rsidR="00241417" w:rsidRPr="00AC4131" w:rsidRDefault="00241417" w:rsidP="003A71DE">
            <w:pPr>
              <w:pStyle w:val="TAC"/>
              <w:rPr>
                <w:rFonts w:eastAsia="DengXian"/>
                <w:lang w:eastAsia="zh-CN"/>
              </w:rPr>
            </w:pPr>
            <w:r w:rsidRPr="00AC4131">
              <w:rPr>
                <w:lang w:eastAsia="zh-CN"/>
              </w:rPr>
              <w:t>enabled</w:t>
            </w:r>
          </w:p>
        </w:tc>
      </w:tr>
      <w:tr w:rsidR="00241417" w:rsidRPr="00436CEF" w14:paraId="785BDD89" w14:textId="77777777" w:rsidTr="003A71DE">
        <w:trPr>
          <w:cantSplit/>
          <w:jc w:val="center"/>
        </w:trPr>
        <w:tc>
          <w:tcPr>
            <w:tcW w:w="3485" w:type="dxa"/>
            <w:vAlign w:val="center"/>
          </w:tcPr>
          <w:p w14:paraId="0607A282" w14:textId="77777777" w:rsidR="00241417" w:rsidRPr="00AC4131" w:rsidRDefault="00241417" w:rsidP="003A71DE">
            <w:pPr>
              <w:pStyle w:val="TAL"/>
              <w:rPr>
                <w:rFonts w:eastAsia="DengXian"/>
                <w:lang w:eastAsia="zh-CN"/>
              </w:rPr>
            </w:pPr>
            <w:r w:rsidRPr="00AC4131">
              <w:rPr>
                <w:rFonts w:hint="eastAsia"/>
                <w:lang w:eastAsia="zh-CN"/>
              </w:rPr>
              <w:t>Frist PRB after frequency hopping</w:t>
            </w:r>
          </w:p>
        </w:tc>
        <w:tc>
          <w:tcPr>
            <w:tcW w:w="2268" w:type="dxa"/>
            <w:vAlign w:val="center"/>
          </w:tcPr>
          <w:p w14:paraId="6DF202A1" w14:textId="77777777" w:rsidR="00241417" w:rsidRPr="00AC4131" w:rsidRDefault="00241417" w:rsidP="003A71DE">
            <w:pPr>
              <w:pStyle w:val="TAC"/>
              <w:rPr>
                <w:rFonts w:eastAsia="DengXian"/>
                <w:lang w:eastAsia="zh-CN"/>
              </w:rPr>
            </w:pPr>
            <w:r w:rsidRPr="00AC4131">
              <w:rPr>
                <w:lang w:eastAsia="zh-CN"/>
              </w:rPr>
              <w:t xml:space="preserve">The largest PRB index </w:t>
            </w:r>
            <w:r w:rsidRPr="00AC4131">
              <w:t xml:space="preserve">– </w:t>
            </w:r>
            <w:r w:rsidRPr="00AC4131">
              <w:rPr>
                <w:rFonts w:hint="eastAsia"/>
                <w:lang w:eastAsia="zh-CN"/>
              </w:rPr>
              <w:t>(Number of PRBs</w:t>
            </w:r>
            <w:r w:rsidRPr="00AC4131">
              <w:rPr>
                <w:lang w:eastAsia="zh-CN"/>
              </w:rPr>
              <w:t xml:space="preserve"> </w:t>
            </w:r>
            <w:r w:rsidRPr="00AC4131">
              <w:t xml:space="preserve">– </w:t>
            </w:r>
            <w:r w:rsidRPr="00AC4131">
              <w:rPr>
                <w:rFonts w:hint="eastAsia"/>
                <w:lang w:eastAsia="zh-CN"/>
              </w:rPr>
              <w:t>1)</w:t>
            </w:r>
          </w:p>
        </w:tc>
      </w:tr>
      <w:tr w:rsidR="00241417" w:rsidRPr="00AC4131" w14:paraId="6A52FA99" w14:textId="77777777" w:rsidTr="003A71DE">
        <w:trPr>
          <w:cantSplit/>
          <w:jc w:val="center"/>
        </w:trPr>
        <w:tc>
          <w:tcPr>
            <w:tcW w:w="3485" w:type="dxa"/>
            <w:vAlign w:val="center"/>
          </w:tcPr>
          <w:p w14:paraId="774EC521" w14:textId="77777777" w:rsidR="00241417" w:rsidRPr="00AC4131" w:rsidRDefault="00241417" w:rsidP="003A71DE">
            <w:pPr>
              <w:pStyle w:val="TAL"/>
              <w:rPr>
                <w:rFonts w:eastAsia="DengXian"/>
                <w:lang w:eastAsia="zh-CN"/>
              </w:rPr>
            </w:pPr>
            <w:r w:rsidRPr="00AC4131">
              <w:rPr>
                <w:rFonts w:hint="eastAsia"/>
                <w:lang w:eastAsia="zh-CN"/>
              </w:rPr>
              <w:t>Number of PRBs</w:t>
            </w:r>
          </w:p>
        </w:tc>
        <w:tc>
          <w:tcPr>
            <w:tcW w:w="2268" w:type="dxa"/>
            <w:vAlign w:val="center"/>
          </w:tcPr>
          <w:p w14:paraId="23ED86A4" w14:textId="77777777" w:rsidR="00241417" w:rsidRPr="00AC4131" w:rsidRDefault="00241417" w:rsidP="003A71DE">
            <w:pPr>
              <w:pStyle w:val="TAC"/>
              <w:rPr>
                <w:rFonts w:eastAsia="DengXian"/>
                <w:lang w:eastAsia="zh-CN"/>
              </w:rPr>
            </w:pPr>
            <w:r w:rsidRPr="00AC4131">
              <w:rPr>
                <w:lang w:eastAsia="zh-CN"/>
              </w:rPr>
              <w:t>9</w:t>
            </w:r>
          </w:p>
        </w:tc>
      </w:tr>
      <w:tr w:rsidR="00241417" w:rsidRPr="00AC4131" w14:paraId="4FD823E1" w14:textId="77777777" w:rsidTr="003A71DE">
        <w:trPr>
          <w:cantSplit/>
          <w:jc w:val="center"/>
        </w:trPr>
        <w:tc>
          <w:tcPr>
            <w:tcW w:w="3485" w:type="dxa"/>
            <w:vAlign w:val="center"/>
          </w:tcPr>
          <w:p w14:paraId="0C64A231" w14:textId="77777777" w:rsidR="00241417" w:rsidRPr="00AC4131" w:rsidRDefault="00241417" w:rsidP="003A71DE">
            <w:pPr>
              <w:pStyle w:val="TAL"/>
              <w:rPr>
                <w:rFonts w:eastAsia="DengXian"/>
                <w:lang w:eastAsia="zh-CN"/>
              </w:rPr>
            </w:pPr>
            <w:r w:rsidRPr="00AC4131">
              <w:rPr>
                <w:rFonts w:hint="eastAsia"/>
                <w:lang w:eastAsia="zh-CN"/>
              </w:rPr>
              <w:t>Number of symbols</w:t>
            </w:r>
          </w:p>
        </w:tc>
        <w:tc>
          <w:tcPr>
            <w:tcW w:w="2268" w:type="dxa"/>
            <w:vAlign w:val="center"/>
          </w:tcPr>
          <w:p w14:paraId="0BAEE6C7" w14:textId="77777777" w:rsidR="00241417" w:rsidRPr="00AC4131" w:rsidRDefault="00241417" w:rsidP="003A71DE">
            <w:pPr>
              <w:pStyle w:val="TAC"/>
              <w:rPr>
                <w:rFonts w:eastAsia="DengXian"/>
                <w:lang w:eastAsia="zh-CN"/>
              </w:rPr>
            </w:pPr>
            <w:r w:rsidRPr="00AC4131">
              <w:rPr>
                <w:lang w:eastAsia="zh-CN"/>
              </w:rPr>
              <w:t>2</w:t>
            </w:r>
          </w:p>
        </w:tc>
      </w:tr>
      <w:tr w:rsidR="00241417" w:rsidRPr="00AC4131" w14:paraId="014DE20C" w14:textId="77777777" w:rsidTr="003A71DE">
        <w:trPr>
          <w:cantSplit/>
          <w:jc w:val="center"/>
        </w:trPr>
        <w:tc>
          <w:tcPr>
            <w:tcW w:w="3485" w:type="dxa"/>
            <w:vAlign w:val="center"/>
          </w:tcPr>
          <w:p w14:paraId="31E5426F" w14:textId="77777777" w:rsidR="00241417" w:rsidRPr="00AC4131" w:rsidRDefault="00241417" w:rsidP="003A71DE">
            <w:pPr>
              <w:pStyle w:val="TAL"/>
              <w:rPr>
                <w:rFonts w:eastAsia="DengXian"/>
                <w:lang w:eastAsia="zh-CN"/>
              </w:rPr>
            </w:pPr>
            <w:r w:rsidRPr="00AC4131">
              <w:rPr>
                <w:rFonts w:hint="eastAsia"/>
                <w:lang w:eastAsia="zh-CN"/>
              </w:rPr>
              <w:t>The number of UCI information bits</w:t>
            </w:r>
          </w:p>
        </w:tc>
        <w:tc>
          <w:tcPr>
            <w:tcW w:w="2268" w:type="dxa"/>
            <w:vAlign w:val="center"/>
          </w:tcPr>
          <w:p w14:paraId="4332720B" w14:textId="77777777" w:rsidR="00241417" w:rsidRPr="00AC4131" w:rsidRDefault="00241417" w:rsidP="003A71DE">
            <w:pPr>
              <w:pStyle w:val="TAC"/>
              <w:rPr>
                <w:lang w:eastAsia="zh-CN"/>
              </w:rPr>
            </w:pPr>
            <w:r w:rsidRPr="00AC4131">
              <w:rPr>
                <w:lang w:eastAsia="zh-CN"/>
              </w:rPr>
              <w:t>22</w:t>
            </w:r>
          </w:p>
        </w:tc>
      </w:tr>
      <w:tr w:rsidR="00241417" w:rsidRPr="00AC4131" w14:paraId="27C37332" w14:textId="77777777" w:rsidTr="003A71DE">
        <w:trPr>
          <w:cantSplit/>
          <w:jc w:val="center"/>
        </w:trPr>
        <w:tc>
          <w:tcPr>
            <w:tcW w:w="3485" w:type="dxa"/>
            <w:vAlign w:val="center"/>
          </w:tcPr>
          <w:p w14:paraId="23E595DE" w14:textId="77777777" w:rsidR="00241417" w:rsidRPr="00AC4131" w:rsidRDefault="00241417" w:rsidP="003A71DE">
            <w:pPr>
              <w:pStyle w:val="TAL"/>
              <w:rPr>
                <w:lang w:eastAsia="zh-CN"/>
              </w:rPr>
            </w:pPr>
            <w:r w:rsidRPr="00AC4131">
              <w:rPr>
                <w:rFonts w:hint="eastAsia"/>
                <w:lang w:eastAsia="zh-CN"/>
              </w:rPr>
              <w:t>First symbol</w:t>
            </w:r>
          </w:p>
        </w:tc>
        <w:tc>
          <w:tcPr>
            <w:tcW w:w="2268" w:type="dxa"/>
            <w:vAlign w:val="center"/>
          </w:tcPr>
          <w:p w14:paraId="39B31F45" w14:textId="77777777" w:rsidR="00241417" w:rsidRPr="00AC4131" w:rsidRDefault="00241417" w:rsidP="003A71DE">
            <w:pPr>
              <w:pStyle w:val="TAC"/>
              <w:rPr>
                <w:lang w:eastAsia="zh-CN"/>
              </w:rPr>
            </w:pPr>
            <w:r w:rsidRPr="00AC4131">
              <w:rPr>
                <w:lang w:eastAsia="zh-CN"/>
              </w:rPr>
              <w:t>12</w:t>
            </w:r>
          </w:p>
        </w:tc>
      </w:tr>
      <w:tr w:rsidR="00241417" w:rsidRPr="00AC4131" w14:paraId="214B9043" w14:textId="77777777" w:rsidTr="003A71DE">
        <w:trPr>
          <w:cantSplit/>
          <w:jc w:val="center"/>
        </w:trPr>
        <w:tc>
          <w:tcPr>
            <w:tcW w:w="3485" w:type="dxa"/>
            <w:vAlign w:val="center"/>
          </w:tcPr>
          <w:p w14:paraId="10270E26" w14:textId="77777777" w:rsidR="00241417" w:rsidRPr="00AC4131" w:rsidRDefault="00241417" w:rsidP="003A71DE">
            <w:pPr>
              <w:pStyle w:val="TAL"/>
              <w:rPr>
                <w:lang w:eastAsia="zh-CN"/>
              </w:rPr>
            </w:pPr>
            <w:r w:rsidRPr="00AC4131">
              <w:rPr>
                <w:rFonts w:hint="eastAsia"/>
                <w:lang w:eastAsia="zh-CN"/>
              </w:rPr>
              <w:t>DM-RS sequence generation</w:t>
            </w:r>
          </w:p>
        </w:tc>
        <w:tc>
          <w:tcPr>
            <w:tcW w:w="2268" w:type="dxa"/>
            <w:vAlign w:val="center"/>
          </w:tcPr>
          <w:p w14:paraId="45567822" w14:textId="77777777" w:rsidR="00241417" w:rsidRPr="00AC4131" w:rsidRDefault="00241417" w:rsidP="003A71DE">
            <w:pPr>
              <w:pStyle w:val="TAC"/>
              <w:rPr>
                <w:rFonts w:eastAsia="SimSun"/>
                <w:lang w:eastAsia="zh-CN"/>
              </w:rPr>
            </w:pPr>
            <w:r w:rsidRPr="00AC4131">
              <w:rPr>
                <w:i/>
              </w:rPr>
              <w:t>N</w:t>
            </w:r>
            <w:r w:rsidRPr="00AC4131">
              <w:rPr>
                <w:i/>
                <w:vertAlign w:val="subscript"/>
              </w:rPr>
              <w:t>ID</w:t>
            </w:r>
            <w:r w:rsidRPr="00AC4131">
              <w:rPr>
                <w:vertAlign w:val="superscript"/>
              </w:rPr>
              <w:t>0</w:t>
            </w:r>
            <w:r w:rsidRPr="00AC4131">
              <w:t>=0</w:t>
            </w:r>
          </w:p>
        </w:tc>
      </w:tr>
    </w:tbl>
    <w:p w14:paraId="6AEA20FF" w14:textId="77777777" w:rsidR="00241417" w:rsidRDefault="00241417" w:rsidP="00241417"/>
    <w:p w14:paraId="3300BB7E" w14:textId="77777777" w:rsidR="00241417" w:rsidRDefault="00241417" w:rsidP="00241417">
      <w:pPr>
        <w:pStyle w:val="H6"/>
      </w:pPr>
      <w:r>
        <w:t>8</w:t>
      </w:r>
      <w:r w:rsidRPr="00D57F98">
        <w:t>.</w:t>
      </w:r>
      <w:r>
        <w:t>1</w:t>
      </w:r>
      <w:r w:rsidRPr="00D57F98">
        <w:t>.</w:t>
      </w:r>
      <w:r>
        <w:t>3</w:t>
      </w:r>
      <w:r w:rsidRPr="00D57F98">
        <w:t>.</w:t>
      </w:r>
      <w:r>
        <w:t>4</w:t>
      </w:r>
      <w:r w:rsidRPr="00D57F98">
        <w:t>.</w:t>
      </w:r>
      <w:r>
        <w:t>2</w:t>
      </w:r>
      <w:r w:rsidRPr="00D57F98">
        <w:t>.</w:t>
      </w:r>
      <w:r>
        <w:t>2</w:t>
      </w:r>
      <w:r>
        <w:tab/>
        <w:t>Minimum requirement</w:t>
      </w:r>
    </w:p>
    <w:p w14:paraId="3E259722" w14:textId="77777777" w:rsidR="00241417" w:rsidRPr="008F5F91" w:rsidRDefault="00241417" w:rsidP="00241417">
      <w:pPr>
        <w:rPr>
          <w:rFonts w:eastAsia="DengXian"/>
          <w:lang w:eastAsia="zh-CN"/>
        </w:rPr>
      </w:pPr>
      <w:r w:rsidRPr="008F5F91">
        <w:rPr>
          <w:lang w:eastAsia="zh-CN"/>
        </w:rPr>
        <w:t>The UCI block error probability</w:t>
      </w:r>
      <w:r w:rsidRPr="008F5F91">
        <w:t xml:space="preserve"> shall not exceed 1% at the SNR given in </w:t>
      </w:r>
      <w:r w:rsidRPr="008F5F91">
        <w:rPr>
          <w:lang w:eastAsia="zh-CN"/>
        </w:rPr>
        <w:t>t</w:t>
      </w:r>
      <w:r w:rsidRPr="008F5F91">
        <w:t>able 8.</w:t>
      </w:r>
      <w:r>
        <w:t>2.</w:t>
      </w:r>
      <w:r w:rsidRPr="008F5F91">
        <w:t>3.</w:t>
      </w:r>
      <w:r w:rsidRPr="008F5F91">
        <w:rPr>
          <w:lang w:eastAsia="zh-CN"/>
        </w:rPr>
        <w:t>4</w:t>
      </w:r>
      <w:r w:rsidRPr="008F5F91">
        <w:t>.</w:t>
      </w:r>
      <w:r w:rsidRPr="008F5F91">
        <w:rPr>
          <w:rFonts w:eastAsia="SimSun"/>
          <w:lang w:eastAsia="zh-CN"/>
        </w:rPr>
        <w:t>2</w:t>
      </w:r>
      <w:r w:rsidRPr="008F5F91">
        <w:rPr>
          <w:lang w:eastAsia="zh-CN"/>
        </w:rPr>
        <w:t>.2</w:t>
      </w:r>
      <w:r w:rsidRPr="008F5F91">
        <w:t xml:space="preserve">-1 and </w:t>
      </w:r>
      <w:r w:rsidRPr="008F5F91">
        <w:rPr>
          <w:lang w:eastAsia="zh-CN"/>
        </w:rPr>
        <w:t>t</w:t>
      </w:r>
      <w:r w:rsidRPr="008F5F91">
        <w:t>able 8.</w:t>
      </w:r>
      <w:r>
        <w:t>1.</w:t>
      </w:r>
      <w:r w:rsidRPr="008F5F91">
        <w:t>3.</w:t>
      </w:r>
      <w:r w:rsidRPr="008F5F91">
        <w:rPr>
          <w:lang w:eastAsia="zh-CN"/>
        </w:rPr>
        <w:t>4</w:t>
      </w:r>
      <w:r w:rsidRPr="008F5F91">
        <w:t>.</w:t>
      </w:r>
      <w:r w:rsidRPr="008F5F91">
        <w:rPr>
          <w:rFonts w:eastAsia="SimSun"/>
          <w:lang w:eastAsia="zh-CN"/>
        </w:rPr>
        <w:t>2</w:t>
      </w:r>
      <w:r w:rsidRPr="008F5F91">
        <w:rPr>
          <w:lang w:eastAsia="zh-CN"/>
        </w:rPr>
        <w:t>.2</w:t>
      </w:r>
      <w:r w:rsidRPr="008F5F91">
        <w:t>-2</w:t>
      </w:r>
      <w:r w:rsidRPr="008F5F91">
        <w:rPr>
          <w:lang w:eastAsia="zh-CN"/>
        </w:rPr>
        <w:t xml:space="preserve"> for 22 UCI bits.</w:t>
      </w:r>
    </w:p>
    <w:p w14:paraId="4323BC55" w14:textId="77777777" w:rsidR="00241417" w:rsidRPr="008F5F91" w:rsidRDefault="00241417" w:rsidP="00241417">
      <w:pPr>
        <w:pStyle w:val="TH"/>
      </w:pPr>
      <w:r w:rsidRPr="008F5F91">
        <w:t>Table 8.</w:t>
      </w:r>
      <w:r>
        <w:t>1.</w:t>
      </w:r>
      <w:r w:rsidRPr="008F5F91">
        <w:t>3.</w:t>
      </w:r>
      <w:r w:rsidRPr="008F5F91">
        <w:rPr>
          <w:lang w:eastAsia="zh-CN"/>
        </w:rPr>
        <w:t>4</w:t>
      </w:r>
      <w:r w:rsidRPr="008F5F91">
        <w:t>.</w:t>
      </w:r>
      <w:r w:rsidRPr="008F5F91">
        <w:rPr>
          <w:rFonts w:eastAsia="SimSun"/>
          <w:lang w:eastAsia="zh-CN"/>
        </w:rPr>
        <w:t>2</w:t>
      </w:r>
      <w:r w:rsidRPr="008F5F91">
        <w:rPr>
          <w:lang w:eastAsia="zh-CN"/>
        </w:rPr>
        <w:t>.2</w:t>
      </w:r>
      <w:r w:rsidRPr="008F5F91">
        <w:t xml:space="preserve">-1: Minimum requirements for PUCCH format </w:t>
      </w:r>
      <w:r w:rsidRPr="008F5F91">
        <w:rPr>
          <w:lang w:eastAsia="zh-CN"/>
        </w:rPr>
        <w:t>2</w:t>
      </w:r>
      <w:r w:rsidRPr="008F5F91">
        <w:t xml:space="preserve"> with 15</w:t>
      </w:r>
      <w:r w:rsidRPr="008F5F91">
        <w:rPr>
          <w:lang w:eastAsia="zh-CN"/>
        </w:rPr>
        <w:t xml:space="preserve"> </w:t>
      </w:r>
      <w:r w:rsidRPr="008F5F91">
        <w:t>kHz SCS</w:t>
      </w:r>
    </w:p>
    <w:tbl>
      <w:tblPr>
        <w:tblStyle w:val="TableGrid12"/>
        <w:tblW w:w="5245" w:type="dxa"/>
        <w:jc w:val="center"/>
        <w:tblInd w:w="0" w:type="dxa"/>
        <w:tblLayout w:type="fixed"/>
        <w:tblLook w:val="04A0" w:firstRow="1" w:lastRow="0" w:firstColumn="1" w:lastColumn="0" w:noHBand="0" w:noVBand="1"/>
      </w:tblPr>
      <w:tblGrid>
        <w:gridCol w:w="1276"/>
        <w:gridCol w:w="1134"/>
        <w:gridCol w:w="850"/>
        <w:gridCol w:w="993"/>
        <w:gridCol w:w="992"/>
      </w:tblGrid>
      <w:tr w:rsidR="00241417" w:rsidRPr="008F5F91" w14:paraId="5B6040AD" w14:textId="77777777" w:rsidTr="003A71DE">
        <w:trPr>
          <w:jc w:val="center"/>
        </w:trPr>
        <w:tc>
          <w:tcPr>
            <w:tcW w:w="1276" w:type="dxa"/>
            <w:vMerge w:val="restart"/>
            <w:tcBorders>
              <w:top w:val="single" w:sz="4" w:space="0" w:color="auto"/>
            </w:tcBorders>
            <w:vAlign w:val="center"/>
          </w:tcPr>
          <w:p w14:paraId="4CFCDF92" w14:textId="77777777" w:rsidR="00241417" w:rsidRPr="008F5F91" w:rsidRDefault="00241417" w:rsidP="003A71DE">
            <w:pPr>
              <w:pStyle w:val="TAH"/>
            </w:pPr>
            <w:r w:rsidRPr="008F5F91">
              <w:t>Number of</w:t>
            </w:r>
            <w:r>
              <w:t xml:space="preserve"> </w:t>
            </w:r>
            <w:r w:rsidRPr="008F5F91">
              <w:t>TX antennas</w:t>
            </w:r>
          </w:p>
        </w:tc>
        <w:tc>
          <w:tcPr>
            <w:tcW w:w="1134" w:type="dxa"/>
            <w:vMerge w:val="restart"/>
            <w:tcBorders>
              <w:top w:val="single" w:sz="4" w:space="0" w:color="auto"/>
            </w:tcBorders>
            <w:vAlign w:val="center"/>
          </w:tcPr>
          <w:p w14:paraId="1C19C3F3" w14:textId="77777777" w:rsidR="00241417" w:rsidRPr="008F5F91" w:rsidRDefault="00241417" w:rsidP="003A71DE">
            <w:pPr>
              <w:pStyle w:val="TAH"/>
            </w:pPr>
            <w:r w:rsidRPr="008F5F91">
              <w:rPr>
                <w:lang w:eastAsia="zh-CN"/>
              </w:rPr>
              <w:t>Number of</w:t>
            </w:r>
            <w:r>
              <w:rPr>
                <w:lang w:eastAsia="zh-CN"/>
              </w:rPr>
              <w:t xml:space="preserve"> </w:t>
            </w:r>
            <w:r>
              <w:t>Demodulation Branches</w:t>
            </w:r>
          </w:p>
        </w:tc>
        <w:tc>
          <w:tcPr>
            <w:tcW w:w="2835" w:type="dxa"/>
            <w:gridSpan w:val="3"/>
            <w:tcBorders>
              <w:top w:val="single" w:sz="4" w:space="0" w:color="auto"/>
            </w:tcBorders>
            <w:vAlign w:val="center"/>
          </w:tcPr>
          <w:p w14:paraId="237F07F0" w14:textId="77777777" w:rsidR="00241417" w:rsidRPr="008F5F91" w:rsidRDefault="00241417" w:rsidP="003A71DE">
            <w:pPr>
              <w:pStyle w:val="TAH"/>
            </w:pPr>
            <w:r w:rsidRPr="008F5F91">
              <w:t>Channel bandwidth / SNR (dB)</w:t>
            </w:r>
          </w:p>
        </w:tc>
      </w:tr>
      <w:tr w:rsidR="00241417" w:rsidRPr="008F5F91" w14:paraId="4A0EBC8D" w14:textId="77777777" w:rsidTr="003A71DE">
        <w:trPr>
          <w:jc w:val="center"/>
        </w:trPr>
        <w:tc>
          <w:tcPr>
            <w:tcW w:w="1276" w:type="dxa"/>
            <w:vMerge/>
            <w:tcBorders>
              <w:bottom w:val="single" w:sz="4" w:space="0" w:color="auto"/>
            </w:tcBorders>
            <w:vAlign w:val="center"/>
          </w:tcPr>
          <w:p w14:paraId="169E196C" w14:textId="77777777" w:rsidR="00241417" w:rsidRPr="008F5F91" w:rsidRDefault="00241417" w:rsidP="003A71DE">
            <w:pPr>
              <w:pStyle w:val="TAH"/>
            </w:pPr>
          </w:p>
        </w:tc>
        <w:tc>
          <w:tcPr>
            <w:tcW w:w="1134" w:type="dxa"/>
            <w:vMerge/>
            <w:tcBorders>
              <w:bottom w:val="single" w:sz="4" w:space="0" w:color="auto"/>
            </w:tcBorders>
            <w:vAlign w:val="center"/>
          </w:tcPr>
          <w:p w14:paraId="4A41FF47" w14:textId="77777777" w:rsidR="00241417" w:rsidRPr="008F5F91" w:rsidRDefault="00241417" w:rsidP="003A71DE">
            <w:pPr>
              <w:pStyle w:val="TAH"/>
            </w:pPr>
          </w:p>
        </w:tc>
        <w:tc>
          <w:tcPr>
            <w:tcW w:w="850" w:type="dxa"/>
            <w:tcBorders>
              <w:top w:val="single" w:sz="4" w:space="0" w:color="auto"/>
              <w:bottom w:val="single" w:sz="4" w:space="0" w:color="auto"/>
            </w:tcBorders>
            <w:vAlign w:val="center"/>
          </w:tcPr>
          <w:p w14:paraId="60EB25BA" w14:textId="77777777" w:rsidR="00241417" w:rsidRPr="008F5F91" w:rsidRDefault="00241417" w:rsidP="003A71DE">
            <w:pPr>
              <w:pStyle w:val="TAH"/>
            </w:pPr>
            <w:r w:rsidRPr="008F5F91">
              <w:t>5 MHz</w:t>
            </w:r>
          </w:p>
        </w:tc>
        <w:tc>
          <w:tcPr>
            <w:tcW w:w="993" w:type="dxa"/>
            <w:tcBorders>
              <w:top w:val="single" w:sz="4" w:space="0" w:color="auto"/>
              <w:bottom w:val="single" w:sz="4" w:space="0" w:color="auto"/>
            </w:tcBorders>
            <w:vAlign w:val="center"/>
          </w:tcPr>
          <w:p w14:paraId="38132FBB" w14:textId="77777777" w:rsidR="00241417" w:rsidRPr="008F5F91" w:rsidRDefault="00241417" w:rsidP="003A71DE">
            <w:pPr>
              <w:pStyle w:val="TAH"/>
            </w:pPr>
            <w:r w:rsidRPr="008F5F91">
              <w:t>10 MHz</w:t>
            </w:r>
          </w:p>
        </w:tc>
        <w:tc>
          <w:tcPr>
            <w:tcW w:w="992" w:type="dxa"/>
            <w:tcBorders>
              <w:top w:val="single" w:sz="4" w:space="0" w:color="auto"/>
              <w:bottom w:val="single" w:sz="4" w:space="0" w:color="auto"/>
            </w:tcBorders>
            <w:vAlign w:val="center"/>
          </w:tcPr>
          <w:p w14:paraId="531AE6A2" w14:textId="77777777" w:rsidR="00241417" w:rsidRPr="008F5F91" w:rsidRDefault="00241417" w:rsidP="003A71DE">
            <w:pPr>
              <w:pStyle w:val="TAH"/>
            </w:pPr>
            <w:r w:rsidRPr="008F5F91">
              <w:t>20 MHz</w:t>
            </w:r>
          </w:p>
        </w:tc>
      </w:tr>
      <w:tr w:rsidR="00241417" w:rsidRPr="008F5F91" w14:paraId="1525C41C" w14:textId="77777777" w:rsidTr="003A71DE">
        <w:trPr>
          <w:jc w:val="center"/>
        </w:trPr>
        <w:tc>
          <w:tcPr>
            <w:tcW w:w="1276" w:type="dxa"/>
            <w:vMerge w:val="restart"/>
            <w:vAlign w:val="center"/>
          </w:tcPr>
          <w:p w14:paraId="3264560C" w14:textId="77777777" w:rsidR="00241417" w:rsidRPr="008F5F91" w:rsidRDefault="00241417" w:rsidP="003A71DE">
            <w:pPr>
              <w:pStyle w:val="TAC"/>
            </w:pPr>
            <w:r w:rsidRPr="008F5F91">
              <w:rPr>
                <w:lang w:eastAsia="zh-CN"/>
              </w:rPr>
              <w:t>1</w:t>
            </w:r>
          </w:p>
        </w:tc>
        <w:tc>
          <w:tcPr>
            <w:tcW w:w="1134" w:type="dxa"/>
            <w:tcBorders>
              <w:bottom w:val="single" w:sz="4" w:space="0" w:color="auto"/>
            </w:tcBorders>
            <w:vAlign w:val="center"/>
          </w:tcPr>
          <w:p w14:paraId="4E45E89E" w14:textId="77777777" w:rsidR="00241417" w:rsidRPr="008F5F91" w:rsidRDefault="00241417" w:rsidP="003A71DE">
            <w:pPr>
              <w:pStyle w:val="TAC"/>
            </w:pPr>
            <w:r w:rsidRPr="008F5F91">
              <w:rPr>
                <w:lang w:eastAsia="zh-CN"/>
              </w:rPr>
              <w:t>2</w:t>
            </w:r>
          </w:p>
        </w:tc>
        <w:tc>
          <w:tcPr>
            <w:tcW w:w="850" w:type="dxa"/>
            <w:tcBorders>
              <w:bottom w:val="single" w:sz="4" w:space="0" w:color="auto"/>
            </w:tcBorders>
            <w:vAlign w:val="center"/>
          </w:tcPr>
          <w:p w14:paraId="6AF9E291" w14:textId="77777777" w:rsidR="00241417" w:rsidRPr="008F5F91" w:rsidRDefault="00241417" w:rsidP="003A71DE">
            <w:pPr>
              <w:pStyle w:val="TAC"/>
            </w:pPr>
            <w:r w:rsidRPr="008F5F91">
              <w:rPr>
                <w:lang w:eastAsia="zh-CN"/>
              </w:rPr>
              <w:t>0.2</w:t>
            </w:r>
          </w:p>
        </w:tc>
        <w:tc>
          <w:tcPr>
            <w:tcW w:w="993" w:type="dxa"/>
            <w:tcBorders>
              <w:bottom w:val="single" w:sz="4" w:space="0" w:color="auto"/>
            </w:tcBorders>
            <w:vAlign w:val="center"/>
          </w:tcPr>
          <w:p w14:paraId="0F75C778" w14:textId="77777777" w:rsidR="00241417" w:rsidRPr="008F5F91" w:rsidRDefault="00241417" w:rsidP="003A71DE">
            <w:pPr>
              <w:pStyle w:val="TAC"/>
            </w:pPr>
            <w:r w:rsidRPr="008F5F91">
              <w:rPr>
                <w:lang w:eastAsia="zh-CN"/>
              </w:rPr>
              <w:t>0.8</w:t>
            </w:r>
          </w:p>
        </w:tc>
        <w:tc>
          <w:tcPr>
            <w:tcW w:w="992" w:type="dxa"/>
            <w:tcBorders>
              <w:bottom w:val="single" w:sz="4" w:space="0" w:color="auto"/>
            </w:tcBorders>
            <w:vAlign w:val="center"/>
          </w:tcPr>
          <w:p w14:paraId="3472048F" w14:textId="77777777" w:rsidR="00241417" w:rsidRPr="008F5F91" w:rsidRDefault="00241417" w:rsidP="003A71DE">
            <w:pPr>
              <w:pStyle w:val="TAC"/>
            </w:pPr>
            <w:r w:rsidRPr="008F5F91">
              <w:rPr>
                <w:lang w:eastAsia="zh-CN"/>
              </w:rPr>
              <w:t>1.2</w:t>
            </w:r>
          </w:p>
        </w:tc>
      </w:tr>
      <w:tr w:rsidR="00241417" w:rsidRPr="008F5F91" w14:paraId="4B07D01E" w14:textId="77777777" w:rsidTr="003A71DE">
        <w:trPr>
          <w:jc w:val="center"/>
        </w:trPr>
        <w:tc>
          <w:tcPr>
            <w:tcW w:w="1276" w:type="dxa"/>
            <w:vMerge/>
            <w:vAlign w:val="center"/>
          </w:tcPr>
          <w:p w14:paraId="64E117B3" w14:textId="77777777" w:rsidR="00241417" w:rsidRPr="008F5F91" w:rsidRDefault="00241417" w:rsidP="003A71DE">
            <w:pPr>
              <w:pStyle w:val="TAC"/>
            </w:pPr>
          </w:p>
        </w:tc>
        <w:tc>
          <w:tcPr>
            <w:tcW w:w="1134" w:type="dxa"/>
            <w:tcBorders>
              <w:bottom w:val="single" w:sz="4" w:space="0" w:color="auto"/>
            </w:tcBorders>
            <w:vAlign w:val="center"/>
          </w:tcPr>
          <w:p w14:paraId="2A570A57" w14:textId="77777777" w:rsidR="00241417" w:rsidRPr="008F5F91" w:rsidRDefault="00241417" w:rsidP="003A71DE">
            <w:pPr>
              <w:pStyle w:val="TAC"/>
            </w:pPr>
            <w:r w:rsidRPr="008F5F91">
              <w:rPr>
                <w:lang w:eastAsia="zh-CN"/>
              </w:rPr>
              <w:t>4</w:t>
            </w:r>
          </w:p>
        </w:tc>
        <w:tc>
          <w:tcPr>
            <w:tcW w:w="850" w:type="dxa"/>
            <w:tcBorders>
              <w:bottom w:val="single" w:sz="4" w:space="0" w:color="auto"/>
            </w:tcBorders>
            <w:vAlign w:val="center"/>
          </w:tcPr>
          <w:p w14:paraId="68347D0D" w14:textId="77777777" w:rsidR="00241417" w:rsidRPr="008F5F91" w:rsidRDefault="00241417" w:rsidP="003A71DE">
            <w:pPr>
              <w:pStyle w:val="TAC"/>
            </w:pPr>
            <w:r w:rsidRPr="008F5F91">
              <w:rPr>
                <w:lang w:eastAsia="zh-CN"/>
              </w:rPr>
              <w:t>-3.6</w:t>
            </w:r>
          </w:p>
        </w:tc>
        <w:tc>
          <w:tcPr>
            <w:tcW w:w="993" w:type="dxa"/>
            <w:tcBorders>
              <w:bottom w:val="single" w:sz="4" w:space="0" w:color="auto"/>
            </w:tcBorders>
            <w:vAlign w:val="center"/>
          </w:tcPr>
          <w:p w14:paraId="40AE4692" w14:textId="77777777" w:rsidR="00241417" w:rsidRPr="008F5F91" w:rsidRDefault="00241417" w:rsidP="003A71DE">
            <w:pPr>
              <w:pStyle w:val="TAC"/>
            </w:pPr>
            <w:r w:rsidRPr="008F5F91">
              <w:rPr>
                <w:lang w:eastAsia="zh-CN"/>
              </w:rPr>
              <w:t>-3.2</w:t>
            </w:r>
          </w:p>
        </w:tc>
        <w:tc>
          <w:tcPr>
            <w:tcW w:w="992" w:type="dxa"/>
            <w:tcBorders>
              <w:bottom w:val="single" w:sz="4" w:space="0" w:color="auto"/>
            </w:tcBorders>
            <w:vAlign w:val="center"/>
          </w:tcPr>
          <w:p w14:paraId="78D629A0" w14:textId="77777777" w:rsidR="00241417" w:rsidRPr="008F5F91" w:rsidRDefault="00241417" w:rsidP="003A71DE">
            <w:pPr>
              <w:pStyle w:val="TAC"/>
            </w:pPr>
            <w:r w:rsidRPr="008F5F91">
              <w:rPr>
                <w:lang w:eastAsia="zh-CN"/>
              </w:rPr>
              <w:t>-3.2</w:t>
            </w:r>
          </w:p>
        </w:tc>
      </w:tr>
      <w:tr w:rsidR="00241417" w:rsidRPr="008F5F91" w14:paraId="423BB818" w14:textId="77777777" w:rsidTr="003A71DE">
        <w:trPr>
          <w:jc w:val="center"/>
        </w:trPr>
        <w:tc>
          <w:tcPr>
            <w:tcW w:w="1276" w:type="dxa"/>
            <w:vMerge/>
            <w:vAlign w:val="center"/>
          </w:tcPr>
          <w:p w14:paraId="05C7E572" w14:textId="77777777" w:rsidR="00241417" w:rsidRPr="008F5F91" w:rsidRDefault="00241417" w:rsidP="003A71DE">
            <w:pPr>
              <w:pStyle w:val="TAC"/>
            </w:pPr>
          </w:p>
        </w:tc>
        <w:tc>
          <w:tcPr>
            <w:tcW w:w="1134" w:type="dxa"/>
            <w:tcBorders>
              <w:top w:val="single" w:sz="4" w:space="0" w:color="auto"/>
            </w:tcBorders>
            <w:vAlign w:val="center"/>
          </w:tcPr>
          <w:p w14:paraId="60B9F205" w14:textId="77777777" w:rsidR="00241417" w:rsidRPr="008F5F91" w:rsidRDefault="00241417" w:rsidP="003A71DE">
            <w:pPr>
              <w:pStyle w:val="TAC"/>
            </w:pPr>
            <w:r w:rsidRPr="008F5F91">
              <w:rPr>
                <w:lang w:eastAsia="zh-CN"/>
              </w:rPr>
              <w:t>8</w:t>
            </w:r>
          </w:p>
        </w:tc>
        <w:tc>
          <w:tcPr>
            <w:tcW w:w="850" w:type="dxa"/>
            <w:tcBorders>
              <w:top w:val="single" w:sz="4" w:space="0" w:color="auto"/>
            </w:tcBorders>
            <w:vAlign w:val="center"/>
          </w:tcPr>
          <w:p w14:paraId="58869F14" w14:textId="77777777" w:rsidR="00241417" w:rsidRPr="008F5F91" w:rsidRDefault="00241417" w:rsidP="003A71DE">
            <w:pPr>
              <w:pStyle w:val="TAC"/>
            </w:pPr>
            <w:r w:rsidRPr="008F5F91">
              <w:rPr>
                <w:lang w:eastAsia="zh-CN"/>
              </w:rPr>
              <w:t>-6.8</w:t>
            </w:r>
          </w:p>
        </w:tc>
        <w:tc>
          <w:tcPr>
            <w:tcW w:w="993" w:type="dxa"/>
            <w:tcBorders>
              <w:top w:val="single" w:sz="4" w:space="0" w:color="auto"/>
            </w:tcBorders>
            <w:vAlign w:val="center"/>
          </w:tcPr>
          <w:p w14:paraId="3F91A65F" w14:textId="77777777" w:rsidR="00241417" w:rsidRPr="008F5F91" w:rsidRDefault="00241417" w:rsidP="003A71DE">
            <w:pPr>
              <w:pStyle w:val="TAC"/>
            </w:pPr>
            <w:r w:rsidRPr="008F5F91">
              <w:rPr>
                <w:lang w:eastAsia="zh-CN"/>
              </w:rPr>
              <w:t>-</w:t>
            </w:r>
            <w:r w:rsidRPr="008F5F91">
              <w:rPr>
                <w:rFonts w:hint="eastAsia"/>
                <w:lang w:eastAsia="zh-CN"/>
              </w:rPr>
              <w:t>6.7</w:t>
            </w:r>
          </w:p>
        </w:tc>
        <w:tc>
          <w:tcPr>
            <w:tcW w:w="992" w:type="dxa"/>
            <w:tcBorders>
              <w:top w:val="single" w:sz="4" w:space="0" w:color="auto"/>
            </w:tcBorders>
            <w:vAlign w:val="center"/>
          </w:tcPr>
          <w:p w14:paraId="51A857C3" w14:textId="77777777" w:rsidR="00241417" w:rsidRPr="008F5F91" w:rsidRDefault="00241417" w:rsidP="003A71DE">
            <w:pPr>
              <w:pStyle w:val="TAC"/>
            </w:pPr>
            <w:r w:rsidRPr="008F5F91">
              <w:rPr>
                <w:lang w:eastAsia="zh-CN"/>
              </w:rPr>
              <w:t>-6.8</w:t>
            </w:r>
          </w:p>
        </w:tc>
      </w:tr>
    </w:tbl>
    <w:p w14:paraId="08124BE9" w14:textId="77777777" w:rsidR="00241417" w:rsidRPr="008F5F91" w:rsidRDefault="00241417" w:rsidP="00241417"/>
    <w:p w14:paraId="40F6DF4B" w14:textId="77777777" w:rsidR="00241417" w:rsidRPr="008F5F91" w:rsidRDefault="00241417" w:rsidP="00241417">
      <w:pPr>
        <w:pStyle w:val="TH"/>
      </w:pPr>
      <w:r w:rsidRPr="008F5F91">
        <w:lastRenderedPageBreak/>
        <w:t>Table 8.</w:t>
      </w:r>
      <w:r>
        <w:t>1.</w:t>
      </w:r>
      <w:r w:rsidRPr="008F5F91">
        <w:t>3.</w:t>
      </w:r>
      <w:r w:rsidRPr="008F5F91">
        <w:rPr>
          <w:lang w:eastAsia="zh-CN"/>
        </w:rPr>
        <w:t>4</w:t>
      </w:r>
      <w:r w:rsidRPr="008F5F91">
        <w:t>.</w:t>
      </w:r>
      <w:r w:rsidRPr="008F5F91">
        <w:rPr>
          <w:rFonts w:eastAsia="SimSun"/>
          <w:lang w:eastAsia="zh-CN"/>
        </w:rPr>
        <w:t>2</w:t>
      </w:r>
      <w:r w:rsidRPr="008F5F91">
        <w:rPr>
          <w:lang w:eastAsia="zh-CN"/>
        </w:rPr>
        <w:t>.2</w:t>
      </w:r>
      <w:r w:rsidRPr="008F5F91">
        <w:t>-</w:t>
      </w:r>
      <w:r w:rsidRPr="008F5F91">
        <w:rPr>
          <w:lang w:eastAsia="zh-CN"/>
        </w:rPr>
        <w:t>2</w:t>
      </w:r>
      <w:r w:rsidRPr="008F5F91">
        <w:t xml:space="preserve">: Minimum requirements for PUCCH format </w:t>
      </w:r>
      <w:r w:rsidRPr="008F5F91">
        <w:rPr>
          <w:lang w:eastAsia="zh-CN"/>
        </w:rPr>
        <w:t>2</w:t>
      </w:r>
      <w:r w:rsidRPr="008F5F91">
        <w:t xml:space="preserve"> with </w:t>
      </w:r>
      <w:r w:rsidRPr="008F5F91">
        <w:rPr>
          <w:lang w:eastAsia="zh-CN"/>
        </w:rPr>
        <w:t xml:space="preserve">30 </w:t>
      </w:r>
      <w:r w:rsidRPr="008F5F91">
        <w:t>kHz SCS</w:t>
      </w:r>
    </w:p>
    <w:tbl>
      <w:tblPr>
        <w:tblStyle w:val="TableGrid12"/>
        <w:tblW w:w="8505" w:type="dxa"/>
        <w:jc w:val="center"/>
        <w:tblInd w:w="0" w:type="dxa"/>
        <w:tblLayout w:type="fixed"/>
        <w:tblLook w:val="04A0" w:firstRow="1" w:lastRow="0" w:firstColumn="1" w:lastColumn="0" w:noHBand="0" w:noVBand="1"/>
      </w:tblPr>
      <w:tblGrid>
        <w:gridCol w:w="1276"/>
        <w:gridCol w:w="1134"/>
        <w:gridCol w:w="1559"/>
        <w:gridCol w:w="1276"/>
        <w:gridCol w:w="709"/>
        <w:gridCol w:w="850"/>
        <w:gridCol w:w="851"/>
        <w:gridCol w:w="850"/>
      </w:tblGrid>
      <w:tr w:rsidR="00241417" w:rsidRPr="008F5F91" w14:paraId="1E0C94C1" w14:textId="77777777" w:rsidTr="003A71DE">
        <w:trPr>
          <w:jc w:val="center"/>
        </w:trPr>
        <w:tc>
          <w:tcPr>
            <w:tcW w:w="1276" w:type="dxa"/>
            <w:vMerge w:val="restart"/>
            <w:tcBorders>
              <w:top w:val="single" w:sz="4" w:space="0" w:color="auto"/>
            </w:tcBorders>
            <w:vAlign w:val="center"/>
          </w:tcPr>
          <w:p w14:paraId="59E11C2F" w14:textId="77777777" w:rsidR="00241417" w:rsidRPr="008F5F91" w:rsidRDefault="00241417" w:rsidP="003A71DE">
            <w:pPr>
              <w:pStyle w:val="TAH"/>
            </w:pPr>
            <w:r w:rsidRPr="008F5F91">
              <w:t>Number of</w:t>
            </w:r>
            <w:r>
              <w:t xml:space="preserve"> </w:t>
            </w:r>
            <w:r w:rsidRPr="008F5F91">
              <w:t>TX antennas</w:t>
            </w:r>
          </w:p>
        </w:tc>
        <w:tc>
          <w:tcPr>
            <w:tcW w:w="1134" w:type="dxa"/>
            <w:vMerge w:val="restart"/>
            <w:tcBorders>
              <w:top w:val="single" w:sz="4" w:space="0" w:color="auto"/>
            </w:tcBorders>
            <w:vAlign w:val="center"/>
          </w:tcPr>
          <w:p w14:paraId="2C030C0B" w14:textId="77777777" w:rsidR="00241417" w:rsidRPr="008F5F91" w:rsidRDefault="00241417" w:rsidP="003A71DE">
            <w:pPr>
              <w:pStyle w:val="TAH"/>
            </w:pPr>
            <w:r w:rsidRPr="008F5F91">
              <w:rPr>
                <w:lang w:eastAsia="zh-CN"/>
              </w:rPr>
              <w:t>Number of</w:t>
            </w:r>
            <w:r>
              <w:rPr>
                <w:lang w:eastAsia="zh-CN"/>
              </w:rPr>
              <w:t xml:space="preserve"> </w:t>
            </w:r>
            <w:r>
              <w:t>Demodulation Branches</w:t>
            </w:r>
          </w:p>
        </w:tc>
        <w:tc>
          <w:tcPr>
            <w:tcW w:w="1559" w:type="dxa"/>
            <w:vMerge w:val="restart"/>
            <w:tcBorders>
              <w:top w:val="single" w:sz="4" w:space="0" w:color="auto"/>
            </w:tcBorders>
            <w:vAlign w:val="center"/>
          </w:tcPr>
          <w:p w14:paraId="0BF1DB17" w14:textId="77777777" w:rsidR="00241417" w:rsidRPr="008F5F91" w:rsidRDefault="00241417" w:rsidP="003A71DE">
            <w:pPr>
              <w:pStyle w:val="TAH"/>
            </w:pPr>
            <w:r w:rsidRPr="008F5F91">
              <w:t>Cyclic Prefix</w:t>
            </w:r>
          </w:p>
        </w:tc>
        <w:tc>
          <w:tcPr>
            <w:tcW w:w="1276" w:type="dxa"/>
            <w:vMerge w:val="restart"/>
            <w:tcBorders>
              <w:top w:val="single" w:sz="4" w:space="0" w:color="auto"/>
            </w:tcBorders>
            <w:vAlign w:val="center"/>
          </w:tcPr>
          <w:p w14:paraId="586EB3B5" w14:textId="3C13DB0D" w:rsidR="00241417" w:rsidRPr="008F5F91" w:rsidRDefault="00241417" w:rsidP="003A71DE">
            <w:pPr>
              <w:pStyle w:val="TAH"/>
            </w:pPr>
            <w:r w:rsidRPr="008F5F91">
              <w:rPr>
                <w:lang w:val="fr-FR"/>
              </w:rPr>
              <w:t>Propagation</w:t>
            </w:r>
            <w:r>
              <w:rPr>
                <w:lang w:val="fr-FR"/>
              </w:rPr>
              <w:t xml:space="preserve"> </w:t>
            </w:r>
            <w:r w:rsidRPr="008F5F91">
              <w:t xml:space="preserve">conditions and correlation matrix (Annex </w:t>
            </w:r>
            <w:r>
              <w:t>TBA</w:t>
            </w:r>
            <w:r w:rsidRPr="008F5F91">
              <w:t>)</w:t>
            </w:r>
          </w:p>
        </w:tc>
        <w:tc>
          <w:tcPr>
            <w:tcW w:w="3260" w:type="dxa"/>
            <w:gridSpan w:val="4"/>
            <w:tcBorders>
              <w:top w:val="single" w:sz="4" w:space="0" w:color="auto"/>
            </w:tcBorders>
            <w:vAlign w:val="center"/>
          </w:tcPr>
          <w:p w14:paraId="29F102FE" w14:textId="77777777" w:rsidR="00241417" w:rsidRPr="008F5F91" w:rsidRDefault="00241417" w:rsidP="003A71DE">
            <w:pPr>
              <w:pStyle w:val="TAH"/>
            </w:pPr>
            <w:r w:rsidRPr="008F5F91">
              <w:t>Channel bandwidth / SNR (dB)</w:t>
            </w:r>
          </w:p>
        </w:tc>
      </w:tr>
      <w:tr w:rsidR="00241417" w:rsidRPr="008F5F91" w14:paraId="051E344A" w14:textId="77777777" w:rsidTr="003A71DE">
        <w:trPr>
          <w:jc w:val="center"/>
        </w:trPr>
        <w:tc>
          <w:tcPr>
            <w:tcW w:w="1276" w:type="dxa"/>
            <w:vMerge/>
            <w:tcBorders>
              <w:bottom w:val="single" w:sz="4" w:space="0" w:color="auto"/>
            </w:tcBorders>
            <w:vAlign w:val="center"/>
          </w:tcPr>
          <w:p w14:paraId="63B378B8" w14:textId="77777777" w:rsidR="00241417" w:rsidRPr="008F5F91" w:rsidRDefault="00241417" w:rsidP="003A71DE">
            <w:pPr>
              <w:pStyle w:val="TAH"/>
            </w:pPr>
          </w:p>
        </w:tc>
        <w:tc>
          <w:tcPr>
            <w:tcW w:w="1134" w:type="dxa"/>
            <w:vMerge/>
            <w:tcBorders>
              <w:bottom w:val="single" w:sz="4" w:space="0" w:color="auto"/>
            </w:tcBorders>
            <w:vAlign w:val="center"/>
          </w:tcPr>
          <w:p w14:paraId="772B050E" w14:textId="77777777" w:rsidR="00241417" w:rsidRPr="008F5F91" w:rsidRDefault="00241417" w:rsidP="003A71DE">
            <w:pPr>
              <w:pStyle w:val="TAH"/>
            </w:pPr>
          </w:p>
        </w:tc>
        <w:tc>
          <w:tcPr>
            <w:tcW w:w="1559" w:type="dxa"/>
            <w:vMerge/>
            <w:tcBorders>
              <w:bottom w:val="single" w:sz="4" w:space="0" w:color="auto"/>
            </w:tcBorders>
            <w:vAlign w:val="center"/>
          </w:tcPr>
          <w:p w14:paraId="486DDE99" w14:textId="77777777" w:rsidR="00241417" w:rsidRPr="008F5F91" w:rsidRDefault="00241417" w:rsidP="003A71DE">
            <w:pPr>
              <w:pStyle w:val="TAH"/>
            </w:pPr>
          </w:p>
        </w:tc>
        <w:tc>
          <w:tcPr>
            <w:tcW w:w="1276" w:type="dxa"/>
            <w:vMerge/>
            <w:tcBorders>
              <w:bottom w:val="single" w:sz="4" w:space="0" w:color="auto"/>
            </w:tcBorders>
            <w:vAlign w:val="center"/>
          </w:tcPr>
          <w:p w14:paraId="3A017ECE" w14:textId="77777777" w:rsidR="00241417" w:rsidRPr="008F5F91" w:rsidRDefault="00241417" w:rsidP="003A71DE">
            <w:pPr>
              <w:pStyle w:val="TAH"/>
            </w:pPr>
          </w:p>
        </w:tc>
        <w:tc>
          <w:tcPr>
            <w:tcW w:w="709" w:type="dxa"/>
            <w:tcBorders>
              <w:top w:val="single" w:sz="4" w:space="0" w:color="auto"/>
              <w:bottom w:val="single" w:sz="4" w:space="0" w:color="auto"/>
            </w:tcBorders>
            <w:vAlign w:val="center"/>
          </w:tcPr>
          <w:p w14:paraId="666A7BE7" w14:textId="77777777" w:rsidR="00241417" w:rsidRPr="008F5F91" w:rsidRDefault="00241417" w:rsidP="003A71DE">
            <w:pPr>
              <w:pStyle w:val="TAH"/>
            </w:pPr>
            <w:r w:rsidRPr="008F5F91">
              <w:t>10 MHz</w:t>
            </w:r>
          </w:p>
        </w:tc>
        <w:tc>
          <w:tcPr>
            <w:tcW w:w="850" w:type="dxa"/>
            <w:tcBorders>
              <w:top w:val="single" w:sz="4" w:space="0" w:color="auto"/>
              <w:bottom w:val="single" w:sz="4" w:space="0" w:color="auto"/>
            </w:tcBorders>
            <w:vAlign w:val="center"/>
          </w:tcPr>
          <w:p w14:paraId="1E20294F" w14:textId="77777777" w:rsidR="00241417" w:rsidRPr="008F5F91" w:rsidRDefault="00241417" w:rsidP="003A71DE">
            <w:pPr>
              <w:pStyle w:val="TAH"/>
            </w:pPr>
            <w:r w:rsidRPr="008F5F91">
              <w:t>20 MHz</w:t>
            </w:r>
          </w:p>
        </w:tc>
        <w:tc>
          <w:tcPr>
            <w:tcW w:w="851" w:type="dxa"/>
            <w:tcBorders>
              <w:top w:val="single" w:sz="4" w:space="0" w:color="auto"/>
              <w:bottom w:val="single" w:sz="4" w:space="0" w:color="auto"/>
            </w:tcBorders>
            <w:vAlign w:val="center"/>
          </w:tcPr>
          <w:p w14:paraId="52DD6DC0" w14:textId="77777777" w:rsidR="00241417" w:rsidRPr="008F5F91" w:rsidRDefault="00241417" w:rsidP="003A71DE">
            <w:pPr>
              <w:pStyle w:val="TAH"/>
            </w:pPr>
            <w:r w:rsidRPr="008F5F91">
              <w:t>40 MHz</w:t>
            </w:r>
          </w:p>
        </w:tc>
        <w:tc>
          <w:tcPr>
            <w:tcW w:w="850" w:type="dxa"/>
            <w:tcBorders>
              <w:top w:val="single" w:sz="4" w:space="0" w:color="auto"/>
              <w:bottom w:val="single" w:sz="4" w:space="0" w:color="auto"/>
            </w:tcBorders>
            <w:vAlign w:val="center"/>
          </w:tcPr>
          <w:p w14:paraId="13C8457B" w14:textId="77777777" w:rsidR="00241417" w:rsidRPr="008F5F91" w:rsidRDefault="00241417" w:rsidP="003A71DE">
            <w:pPr>
              <w:pStyle w:val="TAH"/>
            </w:pPr>
            <w:r w:rsidRPr="008F5F91">
              <w:t>100 MHz</w:t>
            </w:r>
          </w:p>
        </w:tc>
      </w:tr>
      <w:tr w:rsidR="00241417" w:rsidRPr="008F5F91" w14:paraId="68A1A2D3" w14:textId="77777777" w:rsidTr="003A71DE">
        <w:trPr>
          <w:jc w:val="center"/>
        </w:trPr>
        <w:tc>
          <w:tcPr>
            <w:tcW w:w="1276" w:type="dxa"/>
            <w:vMerge w:val="restart"/>
            <w:vAlign w:val="center"/>
          </w:tcPr>
          <w:p w14:paraId="72C89BA0" w14:textId="77777777" w:rsidR="00241417" w:rsidRPr="008F5F91" w:rsidRDefault="00241417" w:rsidP="003A71DE">
            <w:pPr>
              <w:pStyle w:val="TAC"/>
            </w:pPr>
            <w:r w:rsidRPr="008F5F91">
              <w:rPr>
                <w:lang w:eastAsia="zh-CN"/>
              </w:rPr>
              <w:t>1</w:t>
            </w:r>
          </w:p>
        </w:tc>
        <w:tc>
          <w:tcPr>
            <w:tcW w:w="1134" w:type="dxa"/>
            <w:tcBorders>
              <w:bottom w:val="single" w:sz="4" w:space="0" w:color="auto"/>
            </w:tcBorders>
            <w:vAlign w:val="center"/>
          </w:tcPr>
          <w:p w14:paraId="1507316E" w14:textId="77777777" w:rsidR="00241417" w:rsidRPr="008F5F91" w:rsidRDefault="00241417" w:rsidP="003A71DE">
            <w:pPr>
              <w:pStyle w:val="TAC"/>
            </w:pPr>
            <w:r w:rsidRPr="008F5F91">
              <w:rPr>
                <w:lang w:eastAsia="zh-CN"/>
              </w:rPr>
              <w:t>2</w:t>
            </w:r>
          </w:p>
        </w:tc>
        <w:tc>
          <w:tcPr>
            <w:tcW w:w="1559" w:type="dxa"/>
            <w:tcBorders>
              <w:bottom w:val="single" w:sz="4" w:space="0" w:color="auto"/>
            </w:tcBorders>
            <w:vAlign w:val="center"/>
          </w:tcPr>
          <w:p w14:paraId="4FFFF671" w14:textId="77777777" w:rsidR="00241417" w:rsidRPr="008F5F91" w:rsidRDefault="00241417" w:rsidP="003A71DE">
            <w:pPr>
              <w:pStyle w:val="TAC"/>
            </w:pPr>
            <w:r w:rsidRPr="008F5F91">
              <w:t>Normal</w:t>
            </w:r>
          </w:p>
        </w:tc>
        <w:tc>
          <w:tcPr>
            <w:tcW w:w="1276" w:type="dxa"/>
            <w:tcBorders>
              <w:bottom w:val="single" w:sz="4" w:space="0" w:color="auto"/>
            </w:tcBorders>
            <w:vAlign w:val="center"/>
          </w:tcPr>
          <w:p w14:paraId="299E30B5" w14:textId="77777777" w:rsidR="00241417" w:rsidRPr="008F5F91" w:rsidRDefault="00241417" w:rsidP="003A71DE">
            <w:pPr>
              <w:pStyle w:val="TAC"/>
            </w:pPr>
            <w:r w:rsidRPr="008F5F91">
              <w:t>TDLC300-100</w:t>
            </w:r>
            <w:r w:rsidRPr="008F5F91" w:rsidDel="002E550C">
              <w:t xml:space="preserve"> </w:t>
            </w:r>
            <w:r w:rsidRPr="008F5F91">
              <w:t>Low</w:t>
            </w:r>
          </w:p>
        </w:tc>
        <w:tc>
          <w:tcPr>
            <w:tcW w:w="709" w:type="dxa"/>
            <w:tcBorders>
              <w:bottom w:val="single" w:sz="4" w:space="0" w:color="auto"/>
            </w:tcBorders>
            <w:vAlign w:val="center"/>
          </w:tcPr>
          <w:p w14:paraId="34BF598F" w14:textId="77777777" w:rsidR="00241417" w:rsidRPr="008F5F91" w:rsidRDefault="00241417" w:rsidP="003A71DE">
            <w:pPr>
              <w:pStyle w:val="TAC"/>
            </w:pPr>
            <w:r w:rsidRPr="008F5F91">
              <w:rPr>
                <w:lang w:eastAsia="zh-CN"/>
              </w:rPr>
              <w:t>0.5</w:t>
            </w:r>
          </w:p>
        </w:tc>
        <w:tc>
          <w:tcPr>
            <w:tcW w:w="850" w:type="dxa"/>
            <w:tcBorders>
              <w:bottom w:val="single" w:sz="4" w:space="0" w:color="auto"/>
            </w:tcBorders>
            <w:vAlign w:val="center"/>
          </w:tcPr>
          <w:p w14:paraId="2BDB9991" w14:textId="77777777" w:rsidR="00241417" w:rsidRPr="008F5F91" w:rsidRDefault="00241417" w:rsidP="003A71DE">
            <w:pPr>
              <w:pStyle w:val="TAC"/>
            </w:pPr>
            <w:r w:rsidRPr="008F5F91">
              <w:rPr>
                <w:lang w:eastAsia="zh-CN"/>
              </w:rPr>
              <w:t>1.1</w:t>
            </w:r>
          </w:p>
        </w:tc>
        <w:tc>
          <w:tcPr>
            <w:tcW w:w="851" w:type="dxa"/>
            <w:tcBorders>
              <w:bottom w:val="single" w:sz="4" w:space="0" w:color="auto"/>
            </w:tcBorders>
            <w:vAlign w:val="center"/>
          </w:tcPr>
          <w:p w14:paraId="229F289E" w14:textId="77777777" w:rsidR="00241417" w:rsidRPr="008F5F91" w:rsidRDefault="00241417" w:rsidP="003A71DE">
            <w:pPr>
              <w:pStyle w:val="TAC"/>
              <w:rPr>
                <w:lang w:eastAsia="zh-CN"/>
              </w:rPr>
            </w:pPr>
            <w:r w:rsidRPr="008F5F91">
              <w:rPr>
                <w:lang w:eastAsia="zh-CN"/>
              </w:rPr>
              <w:t>0.4</w:t>
            </w:r>
          </w:p>
        </w:tc>
        <w:tc>
          <w:tcPr>
            <w:tcW w:w="850" w:type="dxa"/>
            <w:tcBorders>
              <w:bottom w:val="single" w:sz="4" w:space="0" w:color="auto"/>
            </w:tcBorders>
            <w:vAlign w:val="center"/>
          </w:tcPr>
          <w:p w14:paraId="4EE6002D" w14:textId="77777777" w:rsidR="00241417" w:rsidRPr="008F5F91" w:rsidRDefault="00241417" w:rsidP="003A71DE">
            <w:pPr>
              <w:pStyle w:val="TAC"/>
            </w:pPr>
            <w:r w:rsidRPr="008F5F91">
              <w:rPr>
                <w:lang w:eastAsia="zh-CN"/>
              </w:rPr>
              <w:t>0.3</w:t>
            </w:r>
            <w:r w:rsidRPr="008F5F91" w:rsidDel="001E2D1E">
              <w:rPr>
                <w:lang w:eastAsia="zh-CN"/>
              </w:rPr>
              <w:t xml:space="preserve"> </w:t>
            </w:r>
          </w:p>
        </w:tc>
      </w:tr>
      <w:tr w:rsidR="00241417" w:rsidRPr="008F5F91" w14:paraId="0A2A1570" w14:textId="77777777" w:rsidTr="003A71DE">
        <w:trPr>
          <w:jc w:val="center"/>
        </w:trPr>
        <w:tc>
          <w:tcPr>
            <w:tcW w:w="1276" w:type="dxa"/>
            <w:vMerge/>
            <w:vAlign w:val="center"/>
          </w:tcPr>
          <w:p w14:paraId="1BF068BF" w14:textId="77777777" w:rsidR="00241417" w:rsidRPr="008F5F91" w:rsidRDefault="00241417" w:rsidP="003A71DE">
            <w:pPr>
              <w:pStyle w:val="TAC"/>
            </w:pPr>
          </w:p>
        </w:tc>
        <w:tc>
          <w:tcPr>
            <w:tcW w:w="1134" w:type="dxa"/>
            <w:tcBorders>
              <w:bottom w:val="single" w:sz="4" w:space="0" w:color="auto"/>
            </w:tcBorders>
            <w:vAlign w:val="center"/>
          </w:tcPr>
          <w:p w14:paraId="70EF3708" w14:textId="77777777" w:rsidR="00241417" w:rsidRPr="008F5F91" w:rsidRDefault="00241417" w:rsidP="003A71DE">
            <w:pPr>
              <w:pStyle w:val="TAC"/>
            </w:pPr>
            <w:r w:rsidRPr="008F5F91">
              <w:rPr>
                <w:lang w:eastAsia="zh-CN"/>
              </w:rPr>
              <w:t>4</w:t>
            </w:r>
          </w:p>
        </w:tc>
        <w:tc>
          <w:tcPr>
            <w:tcW w:w="1559" w:type="dxa"/>
            <w:tcBorders>
              <w:bottom w:val="single" w:sz="4" w:space="0" w:color="auto"/>
            </w:tcBorders>
            <w:vAlign w:val="center"/>
          </w:tcPr>
          <w:p w14:paraId="241F3155" w14:textId="77777777" w:rsidR="00241417" w:rsidRPr="008F5F91" w:rsidRDefault="00241417" w:rsidP="003A71DE">
            <w:pPr>
              <w:pStyle w:val="TAC"/>
            </w:pPr>
            <w:r w:rsidRPr="008F5F91">
              <w:t>Normal</w:t>
            </w:r>
          </w:p>
        </w:tc>
        <w:tc>
          <w:tcPr>
            <w:tcW w:w="1276" w:type="dxa"/>
            <w:tcBorders>
              <w:bottom w:val="single" w:sz="4" w:space="0" w:color="auto"/>
            </w:tcBorders>
            <w:vAlign w:val="center"/>
          </w:tcPr>
          <w:p w14:paraId="5BB4546E" w14:textId="77777777" w:rsidR="00241417" w:rsidRPr="008F5F91" w:rsidRDefault="00241417" w:rsidP="003A71DE">
            <w:pPr>
              <w:pStyle w:val="TAC"/>
            </w:pPr>
            <w:r w:rsidRPr="008F5F91">
              <w:t>TDLC300-100</w:t>
            </w:r>
            <w:r w:rsidRPr="008F5F91" w:rsidDel="002E550C">
              <w:t xml:space="preserve"> </w:t>
            </w:r>
            <w:r w:rsidRPr="008F5F91">
              <w:t>Low</w:t>
            </w:r>
          </w:p>
        </w:tc>
        <w:tc>
          <w:tcPr>
            <w:tcW w:w="709" w:type="dxa"/>
            <w:tcBorders>
              <w:bottom w:val="single" w:sz="4" w:space="0" w:color="auto"/>
            </w:tcBorders>
            <w:vAlign w:val="center"/>
          </w:tcPr>
          <w:p w14:paraId="3017F5E6" w14:textId="77777777" w:rsidR="00241417" w:rsidRPr="008F5F91" w:rsidRDefault="00241417" w:rsidP="003A71DE">
            <w:pPr>
              <w:pStyle w:val="TAC"/>
            </w:pPr>
            <w:r w:rsidRPr="008F5F91">
              <w:rPr>
                <w:lang w:eastAsia="zh-CN"/>
              </w:rPr>
              <w:t>-3.3</w:t>
            </w:r>
          </w:p>
        </w:tc>
        <w:tc>
          <w:tcPr>
            <w:tcW w:w="850" w:type="dxa"/>
            <w:tcBorders>
              <w:bottom w:val="single" w:sz="4" w:space="0" w:color="auto"/>
            </w:tcBorders>
            <w:vAlign w:val="center"/>
          </w:tcPr>
          <w:p w14:paraId="22414EA6" w14:textId="77777777" w:rsidR="00241417" w:rsidRPr="008F5F91" w:rsidRDefault="00241417" w:rsidP="003A71DE">
            <w:pPr>
              <w:pStyle w:val="TAC"/>
            </w:pPr>
            <w:r w:rsidRPr="008F5F91">
              <w:rPr>
                <w:rFonts w:hint="eastAsia"/>
                <w:lang w:eastAsia="zh-CN"/>
              </w:rPr>
              <w:t>-</w:t>
            </w:r>
            <w:r w:rsidRPr="008F5F91">
              <w:rPr>
                <w:lang w:eastAsia="zh-CN"/>
              </w:rPr>
              <w:t>2.9</w:t>
            </w:r>
          </w:p>
        </w:tc>
        <w:tc>
          <w:tcPr>
            <w:tcW w:w="851" w:type="dxa"/>
            <w:tcBorders>
              <w:bottom w:val="single" w:sz="4" w:space="0" w:color="auto"/>
            </w:tcBorders>
            <w:vAlign w:val="center"/>
          </w:tcPr>
          <w:p w14:paraId="3E7304D4" w14:textId="77777777" w:rsidR="00241417" w:rsidRPr="008F5F91" w:rsidRDefault="00241417" w:rsidP="003A71DE">
            <w:pPr>
              <w:pStyle w:val="TAC"/>
              <w:rPr>
                <w:lang w:eastAsia="zh-CN"/>
              </w:rPr>
            </w:pPr>
            <w:r w:rsidRPr="008F5F91">
              <w:rPr>
                <w:lang w:eastAsia="zh-CN"/>
              </w:rPr>
              <w:t>-3.3</w:t>
            </w:r>
          </w:p>
        </w:tc>
        <w:tc>
          <w:tcPr>
            <w:tcW w:w="850" w:type="dxa"/>
            <w:tcBorders>
              <w:bottom w:val="single" w:sz="4" w:space="0" w:color="auto"/>
            </w:tcBorders>
            <w:vAlign w:val="center"/>
          </w:tcPr>
          <w:p w14:paraId="5D8D20A4" w14:textId="77777777" w:rsidR="00241417" w:rsidRPr="008F5F91" w:rsidRDefault="00241417" w:rsidP="003A71DE">
            <w:pPr>
              <w:pStyle w:val="TAC"/>
            </w:pPr>
            <w:r w:rsidRPr="008F5F91">
              <w:rPr>
                <w:lang w:eastAsia="zh-CN"/>
              </w:rPr>
              <w:t>-3.4</w:t>
            </w:r>
          </w:p>
        </w:tc>
      </w:tr>
      <w:tr w:rsidR="00241417" w:rsidRPr="008F5F91" w14:paraId="1055F7CC" w14:textId="77777777" w:rsidTr="003A71DE">
        <w:trPr>
          <w:jc w:val="center"/>
        </w:trPr>
        <w:tc>
          <w:tcPr>
            <w:tcW w:w="1276" w:type="dxa"/>
            <w:vMerge/>
            <w:vAlign w:val="center"/>
          </w:tcPr>
          <w:p w14:paraId="0B8525B5" w14:textId="77777777" w:rsidR="00241417" w:rsidRPr="008F5F91" w:rsidRDefault="00241417" w:rsidP="003A71DE">
            <w:pPr>
              <w:pStyle w:val="TAC"/>
            </w:pPr>
          </w:p>
        </w:tc>
        <w:tc>
          <w:tcPr>
            <w:tcW w:w="1134" w:type="dxa"/>
            <w:tcBorders>
              <w:top w:val="single" w:sz="4" w:space="0" w:color="auto"/>
            </w:tcBorders>
            <w:vAlign w:val="center"/>
          </w:tcPr>
          <w:p w14:paraId="0E045731" w14:textId="77777777" w:rsidR="00241417" w:rsidRPr="008F5F91" w:rsidRDefault="00241417" w:rsidP="003A71DE">
            <w:pPr>
              <w:pStyle w:val="TAC"/>
            </w:pPr>
            <w:r w:rsidRPr="008F5F91">
              <w:rPr>
                <w:lang w:eastAsia="zh-CN"/>
              </w:rPr>
              <w:t>8</w:t>
            </w:r>
          </w:p>
        </w:tc>
        <w:tc>
          <w:tcPr>
            <w:tcW w:w="1559" w:type="dxa"/>
            <w:tcBorders>
              <w:top w:val="single" w:sz="4" w:space="0" w:color="auto"/>
            </w:tcBorders>
            <w:vAlign w:val="center"/>
          </w:tcPr>
          <w:p w14:paraId="57919C63" w14:textId="77777777" w:rsidR="00241417" w:rsidRPr="008F5F91" w:rsidRDefault="00241417" w:rsidP="003A71DE">
            <w:pPr>
              <w:pStyle w:val="TAC"/>
            </w:pPr>
            <w:r w:rsidRPr="008F5F91">
              <w:t>Normal</w:t>
            </w:r>
          </w:p>
        </w:tc>
        <w:tc>
          <w:tcPr>
            <w:tcW w:w="1276" w:type="dxa"/>
            <w:tcBorders>
              <w:top w:val="single" w:sz="4" w:space="0" w:color="auto"/>
            </w:tcBorders>
            <w:vAlign w:val="center"/>
          </w:tcPr>
          <w:p w14:paraId="0829548A" w14:textId="77777777" w:rsidR="00241417" w:rsidRPr="008F5F91" w:rsidRDefault="00241417" w:rsidP="003A71DE">
            <w:pPr>
              <w:pStyle w:val="TAC"/>
            </w:pPr>
            <w:r w:rsidRPr="008F5F91">
              <w:t>TDLC300-100</w:t>
            </w:r>
            <w:r w:rsidRPr="008F5F91" w:rsidDel="002E550C">
              <w:t xml:space="preserve"> </w:t>
            </w:r>
            <w:r w:rsidRPr="008F5F91">
              <w:t>Low</w:t>
            </w:r>
          </w:p>
        </w:tc>
        <w:tc>
          <w:tcPr>
            <w:tcW w:w="709" w:type="dxa"/>
            <w:tcBorders>
              <w:top w:val="single" w:sz="4" w:space="0" w:color="auto"/>
            </w:tcBorders>
            <w:vAlign w:val="center"/>
          </w:tcPr>
          <w:p w14:paraId="349CEC0E" w14:textId="77777777" w:rsidR="00241417" w:rsidRPr="008F5F91" w:rsidRDefault="00241417" w:rsidP="003A71DE">
            <w:pPr>
              <w:pStyle w:val="TAC"/>
            </w:pPr>
            <w:r w:rsidRPr="008F5F91">
              <w:rPr>
                <w:lang w:eastAsia="zh-CN"/>
              </w:rPr>
              <w:t>-</w:t>
            </w:r>
            <w:r w:rsidRPr="008F5F91">
              <w:rPr>
                <w:rFonts w:hint="eastAsia"/>
                <w:lang w:eastAsia="zh-CN"/>
              </w:rPr>
              <w:t>5.8</w:t>
            </w:r>
          </w:p>
        </w:tc>
        <w:tc>
          <w:tcPr>
            <w:tcW w:w="850" w:type="dxa"/>
            <w:tcBorders>
              <w:top w:val="single" w:sz="4" w:space="0" w:color="auto"/>
            </w:tcBorders>
            <w:vAlign w:val="center"/>
          </w:tcPr>
          <w:p w14:paraId="0318983A" w14:textId="77777777" w:rsidR="00241417" w:rsidRPr="008F5F91" w:rsidRDefault="00241417" w:rsidP="003A71DE">
            <w:pPr>
              <w:pStyle w:val="TAC"/>
            </w:pPr>
            <w:r w:rsidRPr="008F5F91">
              <w:rPr>
                <w:lang w:eastAsia="zh-CN"/>
              </w:rPr>
              <w:t>-</w:t>
            </w:r>
            <w:r w:rsidRPr="008F5F91">
              <w:rPr>
                <w:rFonts w:hint="eastAsia"/>
                <w:lang w:eastAsia="zh-CN"/>
              </w:rPr>
              <w:t>5.8</w:t>
            </w:r>
          </w:p>
        </w:tc>
        <w:tc>
          <w:tcPr>
            <w:tcW w:w="851" w:type="dxa"/>
            <w:tcBorders>
              <w:top w:val="single" w:sz="4" w:space="0" w:color="auto"/>
            </w:tcBorders>
            <w:vAlign w:val="center"/>
          </w:tcPr>
          <w:p w14:paraId="619492F4" w14:textId="77777777" w:rsidR="00241417" w:rsidRPr="008F5F91" w:rsidRDefault="00241417" w:rsidP="003A71DE">
            <w:pPr>
              <w:pStyle w:val="TAC"/>
              <w:rPr>
                <w:lang w:eastAsia="zh-CN"/>
              </w:rPr>
            </w:pPr>
            <w:r w:rsidRPr="008F5F91">
              <w:rPr>
                <w:lang w:eastAsia="zh-CN"/>
              </w:rPr>
              <w:t>-6.7</w:t>
            </w:r>
          </w:p>
        </w:tc>
        <w:tc>
          <w:tcPr>
            <w:tcW w:w="850" w:type="dxa"/>
            <w:tcBorders>
              <w:top w:val="single" w:sz="4" w:space="0" w:color="auto"/>
            </w:tcBorders>
            <w:vAlign w:val="center"/>
          </w:tcPr>
          <w:p w14:paraId="1BD68917" w14:textId="77777777" w:rsidR="00241417" w:rsidRPr="008F5F91" w:rsidRDefault="00241417" w:rsidP="003A71DE">
            <w:pPr>
              <w:pStyle w:val="TAC"/>
            </w:pPr>
            <w:r w:rsidRPr="008F5F91">
              <w:rPr>
                <w:rFonts w:hint="eastAsia"/>
                <w:lang w:eastAsia="zh-CN"/>
              </w:rPr>
              <w:t>-5.9</w:t>
            </w:r>
          </w:p>
        </w:tc>
      </w:tr>
    </w:tbl>
    <w:p w14:paraId="4D1008AD" w14:textId="77777777" w:rsidR="00241417" w:rsidRDefault="00241417" w:rsidP="00241417"/>
    <w:p w14:paraId="7B29BE32" w14:textId="77777777" w:rsidR="00241417" w:rsidRDefault="00241417" w:rsidP="00241417">
      <w:pPr>
        <w:pStyle w:val="Heading4"/>
        <w:rPr>
          <w:rFonts w:eastAsia="Malgun Gothic"/>
        </w:rPr>
      </w:pPr>
      <w:bookmarkStart w:id="3629" w:name="_Toc74583264"/>
      <w:bookmarkStart w:id="3630" w:name="_Toc76542077"/>
      <w:bookmarkStart w:id="3631" w:name="_Toc82450059"/>
      <w:bookmarkStart w:id="3632" w:name="_Toc82450707"/>
      <w:bookmarkStart w:id="3633" w:name="_Toc89949096"/>
      <w:bookmarkStart w:id="3634" w:name="_Toc98755485"/>
      <w:bookmarkStart w:id="3635" w:name="_Toc98763076"/>
      <w:bookmarkStart w:id="3636" w:name="_Toc106184005"/>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w:t>
      </w:r>
      <w:r>
        <w:rPr>
          <w:rFonts w:eastAsia="Malgun Gothic"/>
        </w:rPr>
        <w:t>5</w:t>
      </w:r>
      <w:r w:rsidRPr="00B454A0">
        <w:rPr>
          <w:rFonts w:eastAsia="Malgun Gothic"/>
        </w:rPr>
        <w:tab/>
      </w:r>
      <w:r>
        <w:rPr>
          <w:rFonts w:eastAsia="Malgun Gothic"/>
        </w:rPr>
        <w:t>Performance requirements for PUCCH format 3</w:t>
      </w:r>
      <w:bookmarkEnd w:id="3629"/>
      <w:bookmarkEnd w:id="3630"/>
      <w:bookmarkEnd w:id="3631"/>
      <w:bookmarkEnd w:id="3632"/>
      <w:bookmarkEnd w:id="3633"/>
      <w:bookmarkEnd w:id="3634"/>
      <w:bookmarkEnd w:id="3635"/>
      <w:bookmarkEnd w:id="3636"/>
    </w:p>
    <w:p w14:paraId="0B726CD8" w14:textId="77777777" w:rsidR="00241417" w:rsidRDefault="00241417" w:rsidP="00241417">
      <w:pPr>
        <w:pStyle w:val="Heading5"/>
      </w:pPr>
      <w:bookmarkStart w:id="3637" w:name="_Toc74583265"/>
      <w:bookmarkStart w:id="3638" w:name="_Toc76542078"/>
      <w:bookmarkStart w:id="3639" w:name="_Toc82450060"/>
      <w:bookmarkStart w:id="3640" w:name="_Toc82450708"/>
      <w:bookmarkStart w:id="3641" w:name="_Toc89949097"/>
      <w:bookmarkStart w:id="3642" w:name="_Toc98755486"/>
      <w:bookmarkStart w:id="3643" w:name="_Toc98763077"/>
      <w:bookmarkStart w:id="3644" w:name="_Toc106184006"/>
      <w:r>
        <w:t>8</w:t>
      </w:r>
      <w:r w:rsidRPr="00EE4A40">
        <w:t>.</w:t>
      </w:r>
      <w:r>
        <w:t>1</w:t>
      </w:r>
      <w:r w:rsidRPr="00EE4A40">
        <w:t>.</w:t>
      </w:r>
      <w:r>
        <w:t>3</w:t>
      </w:r>
      <w:r w:rsidRPr="00EE4A40">
        <w:t>.</w:t>
      </w:r>
      <w:r>
        <w:t>5</w:t>
      </w:r>
      <w:r w:rsidRPr="00EE4A40">
        <w:t>.</w:t>
      </w:r>
      <w:r>
        <w:t>1</w:t>
      </w:r>
      <w:r>
        <w:tab/>
        <w:t>General</w:t>
      </w:r>
      <w:bookmarkEnd w:id="3637"/>
      <w:bookmarkEnd w:id="3638"/>
      <w:bookmarkEnd w:id="3639"/>
      <w:bookmarkEnd w:id="3640"/>
      <w:bookmarkEnd w:id="3641"/>
      <w:bookmarkEnd w:id="3642"/>
      <w:bookmarkEnd w:id="3643"/>
      <w:bookmarkEnd w:id="3644"/>
    </w:p>
    <w:p w14:paraId="3FC64481" w14:textId="77777777" w:rsidR="00241417" w:rsidRPr="000424BA" w:rsidRDefault="00241417" w:rsidP="00241417">
      <w:pPr>
        <w:rPr>
          <w:lang w:eastAsia="zh-CN"/>
        </w:rPr>
      </w:pPr>
      <w:r w:rsidRPr="000424BA">
        <w:rPr>
          <w:lang w:eastAsia="zh-CN"/>
        </w:rPr>
        <w:t xml:space="preserve">The performance is measured by the required SNR at UCI </w:t>
      </w:r>
      <w:r w:rsidRPr="000424BA">
        <w:t>block error probability</w:t>
      </w:r>
      <w:r w:rsidRPr="000424BA">
        <w:rPr>
          <w:rFonts w:eastAsia="MS Mincho"/>
        </w:rPr>
        <w:t xml:space="preserve"> </w:t>
      </w:r>
      <w:r w:rsidRPr="000424BA">
        <w:rPr>
          <w:lang w:eastAsia="zh-CN"/>
        </w:rPr>
        <w:t>not exceeding 1%.</w:t>
      </w:r>
    </w:p>
    <w:p w14:paraId="343EDEE2" w14:textId="77777777" w:rsidR="00241417" w:rsidRPr="000424BA" w:rsidRDefault="00241417" w:rsidP="00241417">
      <w:pPr>
        <w:rPr>
          <w:lang w:eastAsia="zh-CN"/>
        </w:rPr>
      </w:pPr>
      <w:r w:rsidRPr="000424BA">
        <w:rPr>
          <w:lang w:eastAsia="zh-CN"/>
        </w:rPr>
        <w:t xml:space="preserve">The UCI block error probability is defined as the conditional probability of incorrectly decoding the UCI information when the UCI information is sent. </w:t>
      </w:r>
      <w:r w:rsidRPr="000424BA">
        <w:rPr>
          <w:rFonts w:eastAsia="DengXian"/>
          <w:lang w:eastAsia="zh-CN"/>
        </w:rPr>
        <w:t>The UCI information does not contain CSI part 2</w:t>
      </w:r>
      <w:r w:rsidRPr="000424BA">
        <w:rPr>
          <w:lang w:eastAsia="zh-CN"/>
        </w:rPr>
        <w:t xml:space="preserve">. </w:t>
      </w:r>
    </w:p>
    <w:p w14:paraId="6AF94BA8" w14:textId="5DD01604"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 xml:space="preserve">[3] clause </w:t>
      </w:r>
      <w:r w:rsidRPr="006C7AF4">
        <w:rPr>
          <w:lang w:val="en-US"/>
        </w:rPr>
        <w:t xml:space="preserve">6.3.3.1 </w:t>
      </w:r>
      <w:r w:rsidRPr="006C7AF4">
        <w:rPr>
          <w:lang w:val="en-US" w:eastAsia="zh-CN"/>
        </w:rPr>
        <w:t>is not taken into account for performance requirement testing, where the RB hopping is symmetric to the centre, i.e. intra-slot frequency hopping is enabled.]</w:t>
      </w:r>
    </w:p>
    <w:p w14:paraId="78D857C6" w14:textId="77777777" w:rsidR="00241417" w:rsidRPr="000424BA" w:rsidRDefault="00241417" w:rsidP="00241417">
      <w:pPr>
        <w:pStyle w:val="TH"/>
      </w:pPr>
      <w:r w:rsidRPr="000424BA">
        <w:t>Table 8.</w:t>
      </w:r>
      <w:r>
        <w:t>1.</w:t>
      </w:r>
      <w:r w:rsidRPr="000424BA">
        <w:t xml:space="preserve">3.5.1-1: Test Parameters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48"/>
        <w:gridCol w:w="1225"/>
        <w:gridCol w:w="1225"/>
      </w:tblGrid>
      <w:tr w:rsidR="00241417" w:rsidRPr="000424BA" w14:paraId="056A2E3F" w14:textId="77777777" w:rsidTr="003A71DE">
        <w:trPr>
          <w:cantSplit/>
          <w:jc w:val="center"/>
        </w:trPr>
        <w:tc>
          <w:tcPr>
            <w:tcW w:w="2548" w:type="dxa"/>
            <w:vAlign w:val="center"/>
          </w:tcPr>
          <w:p w14:paraId="1EAC4EED" w14:textId="77777777" w:rsidR="00241417" w:rsidRPr="000424BA" w:rsidRDefault="00241417" w:rsidP="003A71DE">
            <w:pPr>
              <w:pStyle w:val="TAH"/>
            </w:pPr>
            <w:r w:rsidRPr="000424BA">
              <w:t>Parameter</w:t>
            </w:r>
          </w:p>
        </w:tc>
        <w:tc>
          <w:tcPr>
            <w:tcW w:w="1225" w:type="dxa"/>
            <w:vAlign w:val="center"/>
          </w:tcPr>
          <w:p w14:paraId="535CA7A6" w14:textId="77777777" w:rsidR="00241417" w:rsidRPr="000424BA" w:rsidRDefault="00241417" w:rsidP="003A71DE">
            <w:pPr>
              <w:pStyle w:val="TAH"/>
            </w:pPr>
            <w:r w:rsidRPr="000424BA">
              <w:t>Test 1</w:t>
            </w:r>
          </w:p>
        </w:tc>
        <w:tc>
          <w:tcPr>
            <w:tcW w:w="1225" w:type="dxa"/>
            <w:vAlign w:val="center"/>
          </w:tcPr>
          <w:p w14:paraId="24986512" w14:textId="77777777" w:rsidR="00241417" w:rsidRPr="000424BA" w:rsidRDefault="00241417" w:rsidP="003A71DE">
            <w:pPr>
              <w:pStyle w:val="TAH"/>
            </w:pPr>
            <w:r w:rsidRPr="000424BA">
              <w:t>Test 2</w:t>
            </w:r>
          </w:p>
        </w:tc>
      </w:tr>
      <w:tr w:rsidR="00241417" w:rsidRPr="000424BA" w14:paraId="79EFED88" w14:textId="77777777" w:rsidTr="003A71DE">
        <w:trPr>
          <w:cantSplit/>
          <w:jc w:val="center"/>
        </w:trPr>
        <w:tc>
          <w:tcPr>
            <w:tcW w:w="2548" w:type="dxa"/>
            <w:vAlign w:val="center"/>
          </w:tcPr>
          <w:p w14:paraId="557CDE08" w14:textId="77777777" w:rsidR="00241417" w:rsidRPr="000424BA" w:rsidRDefault="00241417" w:rsidP="003A71DE">
            <w:pPr>
              <w:pStyle w:val="TAL"/>
              <w:rPr>
                <w:lang w:eastAsia="zh-CN"/>
              </w:rPr>
            </w:pPr>
            <w:r>
              <w:rPr>
                <w:lang w:eastAsia="zh-CN"/>
              </w:rPr>
              <w:t>Cyclic Prefix</w:t>
            </w:r>
          </w:p>
        </w:tc>
        <w:tc>
          <w:tcPr>
            <w:tcW w:w="2450" w:type="dxa"/>
            <w:gridSpan w:val="2"/>
            <w:vAlign w:val="center"/>
          </w:tcPr>
          <w:p w14:paraId="325ECD1F" w14:textId="77777777" w:rsidR="00241417" w:rsidRPr="000424BA" w:rsidRDefault="00241417" w:rsidP="003A71DE">
            <w:pPr>
              <w:pStyle w:val="TAC"/>
              <w:rPr>
                <w:lang w:eastAsia="zh-CN"/>
              </w:rPr>
            </w:pPr>
            <w:r>
              <w:rPr>
                <w:lang w:eastAsia="zh-CN"/>
              </w:rPr>
              <w:t>Normal</w:t>
            </w:r>
          </w:p>
        </w:tc>
      </w:tr>
      <w:tr w:rsidR="00241417" w:rsidRPr="000424BA" w14:paraId="161A1764" w14:textId="77777777" w:rsidTr="003A71DE">
        <w:trPr>
          <w:cantSplit/>
          <w:jc w:val="center"/>
        </w:trPr>
        <w:tc>
          <w:tcPr>
            <w:tcW w:w="2548" w:type="dxa"/>
            <w:vAlign w:val="center"/>
          </w:tcPr>
          <w:p w14:paraId="0478815B" w14:textId="77777777" w:rsidR="00241417" w:rsidRPr="000424BA" w:rsidRDefault="00241417" w:rsidP="003A71DE">
            <w:pPr>
              <w:pStyle w:val="TAL"/>
              <w:rPr>
                <w:lang w:eastAsia="zh-CN"/>
              </w:rPr>
            </w:pPr>
            <w:r w:rsidRPr="000424BA">
              <w:rPr>
                <w:lang w:eastAsia="zh-CN"/>
              </w:rPr>
              <w:t>Modulation order</w:t>
            </w:r>
          </w:p>
        </w:tc>
        <w:tc>
          <w:tcPr>
            <w:tcW w:w="2450" w:type="dxa"/>
            <w:gridSpan w:val="2"/>
            <w:vAlign w:val="center"/>
          </w:tcPr>
          <w:p w14:paraId="1E0738C8" w14:textId="77777777" w:rsidR="00241417" w:rsidRPr="000424BA" w:rsidRDefault="00241417" w:rsidP="003A71DE">
            <w:pPr>
              <w:pStyle w:val="TAC"/>
              <w:rPr>
                <w:lang w:eastAsia="zh-CN"/>
              </w:rPr>
            </w:pPr>
            <w:r w:rsidRPr="000424BA">
              <w:rPr>
                <w:lang w:eastAsia="zh-CN"/>
              </w:rPr>
              <w:t>QPSK</w:t>
            </w:r>
          </w:p>
        </w:tc>
      </w:tr>
      <w:tr w:rsidR="00241417" w:rsidRPr="000424BA" w14:paraId="678C6460" w14:textId="77777777" w:rsidTr="003A71DE">
        <w:trPr>
          <w:cantSplit/>
          <w:jc w:val="center"/>
        </w:trPr>
        <w:tc>
          <w:tcPr>
            <w:tcW w:w="2548" w:type="dxa"/>
            <w:vAlign w:val="center"/>
          </w:tcPr>
          <w:p w14:paraId="02001CCA" w14:textId="77777777" w:rsidR="00241417" w:rsidRPr="000424BA" w:rsidRDefault="00241417" w:rsidP="003A71DE">
            <w:pPr>
              <w:pStyle w:val="TAL"/>
              <w:rPr>
                <w:rFonts w:eastAsia="?? ??" w:cs="Arial"/>
              </w:rPr>
            </w:pPr>
            <w:r w:rsidRPr="000424BA">
              <w:rPr>
                <w:lang w:eastAsia="zh-CN"/>
              </w:rPr>
              <w:t>First PRB prior to frequency hopping</w:t>
            </w:r>
          </w:p>
        </w:tc>
        <w:tc>
          <w:tcPr>
            <w:tcW w:w="2450" w:type="dxa"/>
            <w:gridSpan w:val="2"/>
            <w:vAlign w:val="center"/>
          </w:tcPr>
          <w:p w14:paraId="595D3378" w14:textId="77777777" w:rsidR="00241417" w:rsidRPr="000424BA" w:rsidRDefault="00241417" w:rsidP="003A71DE">
            <w:pPr>
              <w:pStyle w:val="TAC"/>
            </w:pPr>
            <w:r w:rsidRPr="000424BA">
              <w:t>0</w:t>
            </w:r>
          </w:p>
        </w:tc>
      </w:tr>
      <w:tr w:rsidR="00241417" w:rsidRPr="000424BA" w14:paraId="03A8F3B3" w14:textId="77777777" w:rsidTr="003A71DE">
        <w:trPr>
          <w:cantSplit/>
          <w:jc w:val="center"/>
        </w:trPr>
        <w:tc>
          <w:tcPr>
            <w:tcW w:w="2548" w:type="dxa"/>
            <w:vAlign w:val="center"/>
          </w:tcPr>
          <w:p w14:paraId="0FF3A94B" w14:textId="77777777" w:rsidR="00241417" w:rsidRPr="000424BA" w:rsidRDefault="00241417" w:rsidP="003A71DE">
            <w:pPr>
              <w:pStyle w:val="TAL"/>
              <w:rPr>
                <w:rFonts w:eastAsia="?? ??" w:cs="Arial"/>
              </w:rPr>
            </w:pPr>
            <w:r w:rsidRPr="000424BA">
              <w:rPr>
                <w:lang w:eastAsia="zh-CN"/>
              </w:rPr>
              <w:t>I</w:t>
            </w:r>
            <w:r w:rsidRPr="000424BA">
              <w:rPr>
                <w:rFonts w:hint="eastAsia"/>
                <w:lang w:eastAsia="zh-CN"/>
              </w:rPr>
              <w:t>ntra-</w:t>
            </w:r>
            <w:r w:rsidRPr="000424BA">
              <w:rPr>
                <w:lang w:eastAsia="zh-CN"/>
              </w:rPr>
              <w:t>slot frequency hopping</w:t>
            </w:r>
          </w:p>
        </w:tc>
        <w:tc>
          <w:tcPr>
            <w:tcW w:w="2450" w:type="dxa"/>
            <w:gridSpan w:val="2"/>
            <w:vAlign w:val="center"/>
          </w:tcPr>
          <w:p w14:paraId="11B263BD" w14:textId="77777777" w:rsidR="00241417" w:rsidRPr="000424BA" w:rsidRDefault="00241417" w:rsidP="003A71DE">
            <w:pPr>
              <w:pStyle w:val="TAC"/>
            </w:pPr>
            <w:r w:rsidRPr="000424BA">
              <w:t>enabled</w:t>
            </w:r>
          </w:p>
        </w:tc>
      </w:tr>
      <w:tr w:rsidR="00241417" w:rsidRPr="00436CEF" w14:paraId="16870BBD" w14:textId="77777777" w:rsidTr="003A71DE">
        <w:trPr>
          <w:cantSplit/>
          <w:jc w:val="center"/>
        </w:trPr>
        <w:tc>
          <w:tcPr>
            <w:tcW w:w="2548" w:type="dxa"/>
            <w:vAlign w:val="center"/>
          </w:tcPr>
          <w:p w14:paraId="0399C9B0" w14:textId="77777777" w:rsidR="00241417" w:rsidRPr="000424BA" w:rsidRDefault="00241417" w:rsidP="003A71DE">
            <w:pPr>
              <w:pStyle w:val="TAL"/>
              <w:rPr>
                <w:rFonts w:eastAsia="?? ??" w:cs="Arial"/>
              </w:rPr>
            </w:pPr>
            <w:r w:rsidRPr="000424BA">
              <w:rPr>
                <w:lang w:eastAsia="zh-CN"/>
              </w:rPr>
              <w:t>First PRB after frequency hopping</w:t>
            </w:r>
          </w:p>
        </w:tc>
        <w:tc>
          <w:tcPr>
            <w:tcW w:w="2450" w:type="dxa"/>
            <w:gridSpan w:val="2"/>
            <w:vAlign w:val="center"/>
          </w:tcPr>
          <w:p w14:paraId="3DDB0622" w14:textId="77777777" w:rsidR="00241417" w:rsidRPr="000424BA" w:rsidRDefault="00241417" w:rsidP="003A71DE">
            <w:pPr>
              <w:pStyle w:val="TAC"/>
            </w:pPr>
            <w:r w:rsidRPr="000424BA">
              <w:t>The largest PRB index – (Number of PRBs – 1)</w:t>
            </w:r>
          </w:p>
        </w:tc>
      </w:tr>
      <w:tr w:rsidR="00241417" w:rsidRPr="000424BA" w14:paraId="27F89D34" w14:textId="77777777" w:rsidTr="003A71DE">
        <w:trPr>
          <w:cantSplit/>
          <w:jc w:val="center"/>
        </w:trPr>
        <w:tc>
          <w:tcPr>
            <w:tcW w:w="2548" w:type="dxa"/>
            <w:vAlign w:val="center"/>
          </w:tcPr>
          <w:p w14:paraId="55DA0CC7" w14:textId="77777777" w:rsidR="00241417" w:rsidRPr="000424BA" w:rsidRDefault="00241417" w:rsidP="003A71DE">
            <w:pPr>
              <w:pStyle w:val="TAL"/>
            </w:pPr>
            <w:r w:rsidRPr="000424BA">
              <w:rPr>
                <w:lang w:eastAsia="zh-CN"/>
              </w:rPr>
              <w:t>Group and sequence hopping</w:t>
            </w:r>
          </w:p>
        </w:tc>
        <w:tc>
          <w:tcPr>
            <w:tcW w:w="2450" w:type="dxa"/>
            <w:gridSpan w:val="2"/>
            <w:vAlign w:val="center"/>
          </w:tcPr>
          <w:p w14:paraId="29291432" w14:textId="77777777" w:rsidR="00241417" w:rsidRPr="000424BA" w:rsidRDefault="00241417" w:rsidP="003A71DE">
            <w:pPr>
              <w:pStyle w:val="TAC"/>
            </w:pPr>
            <w:r w:rsidRPr="000424BA">
              <w:t>neither</w:t>
            </w:r>
          </w:p>
        </w:tc>
      </w:tr>
      <w:tr w:rsidR="00241417" w:rsidRPr="000424BA" w14:paraId="2D8112DE" w14:textId="77777777" w:rsidTr="003A71DE">
        <w:trPr>
          <w:cantSplit/>
          <w:jc w:val="center"/>
        </w:trPr>
        <w:tc>
          <w:tcPr>
            <w:tcW w:w="2548" w:type="dxa"/>
            <w:vAlign w:val="center"/>
          </w:tcPr>
          <w:p w14:paraId="07B3A1F8" w14:textId="77777777" w:rsidR="00241417" w:rsidRPr="000424BA" w:rsidRDefault="00241417" w:rsidP="003A71DE">
            <w:pPr>
              <w:pStyle w:val="TAL"/>
            </w:pPr>
            <w:r w:rsidRPr="000424BA">
              <w:rPr>
                <w:lang w:eastAsia="zh-CN"/>
              </w:rPr>
              <w:t>Hopping ID</w:t>
            </w:r>
          </w:p>
        </w:tc>
        <w:tc>
          <w:tcPr>
            <w:tcW w:w="2450" w:type="dxa"/>
            <w:gridSpan w:val="2"/>
            <w:vAlign w:val="center"/>
          </w:tcPr>
          <w:p w14:paraId="115964EA" w14:textId="77777777" w:rsidR="00241417" w:rsidRPr="000424BA" w:rsidRDefault="00241417" w:rsidP="003A71DE">
            <w:pPr>
              <w:pStyle w:val="TAC"/>
            </w:pPr>
            <w:r w:rsidRPr="000424BA">
              <w:t>0</w:t>
            </w:r>
          </w:p>
        </w:tc>
      </w:tr>
      <w:tr w:rsidR="00241417" w:rsidRPr="000424BA" w14:paraId="33F41742" w14:textId="77777777" w:rsidTr="003A71DE">
        <w:trPr>
          <w:cantSplit/>
          <w:jc w:val="center"/>
        </w:trPr>
        <w:tc>
          <w:tcPr>
            <w:tcW w:w="2548" w:type="dxa"/>
            <w:vAlign w:val="center"/>
          </w:tcPr>
          <w:p w14:paraId="4BBD886B" w14:textId="77777777" w:rsidR="00241417" w:rsidRPr="000424BA" w:rsidRDefault="00241417" w:rsidP="003A71DE">
            <w:pPr>
              <w:pStyle w:val="TAL"/>
              <w:rPr>
                <w:rFonts w:eastAsia="?? ??" w:cs="Arial"/>
              </w:rPr>
            </w:pPr>
            <w:r w:rsidRPr="000424BA">
              <w:rPr>
                <w:lang w:eastAsia="zh-CN"/>
              </w:rPr>
              <w:t>Number of PRBs</w:t>
            </w:r>
          </w:p>
        </w:tc>
        <w:tc>
          <w:tcPr>
            <w:tcW w:w="1225" w:type="dxa"/>
            <w:vAlign w:val="center"/>
          </w:tcPr>
          <w:p w14:paraId="41274C6F" w14:textId="77777777" w:rsidR="00241417" w:rsidRPr="000424BA" w:rsidRDefault="00241417" w:rsidP="003A71DE">
            <w:pPr>
              <w:pStyle w:val="TAC"/>
            </w:pPr>
            <w:r w:rsidRPr="000424BA">
              <w:t>1</w:t>
            </w:r>
          </w:p>
        </w:tc>
        <w:tc>
          <w:tcPr>
            <w:tcW w:w="1225" w:type="dxa"/>
            <w:vAlign w:val="center"/>
          </w:tcPr>
          <w:p w14:paraId="1BAC16D1" w14:textId="77777777" w:rsidR="00241417" w:rsidRPr="000424BA" w:rsidRDefault="00241417" w:rsidP="003A71DE">
            <w:pPr>
              <w:pStyle w:val="TAC"/>
            </w:pPr>
            <w:r w:rsidRPr="000424BA">
              <w:t>3</w:t>
            </w:r>
          </w:p>
        </w:tc>
      </w:tr>
      <w:tr w:rsidR="00241417" w:rsidRPr="000424BA" w14:paraId="5CC877A5" w14:textId="77777777" w:rsidTr="003A71DE">
        <w:trPr>
          <w:cantSplit/>
          <w:jc w:val="center"/>
        </w:trPr>
        <w:tc>
          <w:tcPr>
            <w:tcW w:w="2548" w:type="dxa"/>
            <w:vAlign w:val="center"/>
          </w:tcPr>
          <w:p w14:paraId="362D15D2" w14:textId="77777777" w:rsidR="00241417" w:rsidRPr="000424BA" w:rsidRDefault="00241417" w:rsidP="003A71DE">
            <w:pPr>
              <w:pStyle w:val="TAL"/>
              <w:rPr>
                <w:rFonts w:eastAsia="?? ??" w:cs="Arial"/>
              </w:rPr>
            </w:pPr>
            <w:r w:rsidRPr="000424BA">
              <w:rPr>
                <w:lang w:eastAsia="zh-CN"/>
              </w:rPr>
              <w:t>Number of symbols</w:t>
            </w:r>
          </w:p>
        </w:tc>
        <w:tc>
          <w:tcPr>
            <w:tcW w:w="1225" w:type="dxa"/>
            <w:vAlign w:val="center"/>
          </w:tcPr>
          <w:p w14:paraId="7AAAE0C4" w14:textId="77777777" w:rsidR="00241417" w:rsidRPr="000424BA" w:rsidRDefault="00241417" w:rsidP="003A71DE">
            <w:pPr>
              <w:pStyle w:val="TAC"/>
            </w:pPr>
            <w:r w:rsidRPr="000424BA">
              <w:t>14</w:t>
            </w:r>
          </w:p>
        </w:tc>
        <w:tc>
          <w:tcPr>
            <w:tcW w:w="1225" w:type="dxa"/>
            <w:vAlign w:val="center"/>
          </w:tcPr>
          <w:p w14:paraId="087DCA59" w14:textId="77777777" w:rsidR="00241417" w:rsidRPr="000424BA" w:rsidRDefault="00241417" w:rsidP="003A71DE">
            <w:pPr>
              <w:pStyle w:val="TAC"/>
            </w:pPr>
            <w:r w:rsidRPr="000424BA">
              <w:t>4</w:t>
            </w:r>
          </w:p>
        </w:tc>
      </w:tr>
      <w:tr w:rsidR="00241417" w:rsidRPr="000424BA" w14:paraId="63F987FE" w14:textId="77777777" w:rsidTr="003A71DE">
        <w:trPr>
          <w:cantSplit/>
          <w:jc w:val="center"/>
        </w:trPr>
        <w:tc>
          <w:tcPr>
            <w:tcW w:w="2548" w:type="dxa"/>
            <w:vAlign w:val="center"/>
          </w:tcPr>
          <w:p w14:paraId="11A2E171" w14:textId="77777777" w:rsidR="00241417" w:rsidRPr="000424BA" w:rsidRDefault="00241417" w:rsidP="003A71DE">
            <w:pPr>
              <w:pStyle w:val="TAL"/>
            </w:pPr>
            <w:r w:rsidRPr="000424BA">
              <w:rPr>
                <w:lang w:eastAsia="zh-CN"/>
              </w:rPr>
              <w:t>The number of UCI information bits</w:t>
            </w:r>
          </w:p>
        </w:tc>
        <w:tc>
          <w:tcPr>
            <w:tcW w:w="1225" w:type="dxa"/>
            <w:vAlign w:val="center"/>
          </w:tcPr>
          <w:p w14:paraId="30AF6021" w14:textId="77777777" w:rsidR="00241417" w:rsidRPr="000424BA" w:rsidRDefault="00241417" w:rsidP="003A71DE">
            <w:pPr>
              <w:pStyle w:val="TAC"/>
            </w:pPr>
            <w:r w:rsidRPr="000424BA">
              <w:t>16</w:t>
            </w:r>
          </w:p>
        </w:tc>
        <w:tc>
          <w:tcPr>
            <w:tcW w:w="1225" w:type="dxa"/>
            <w:vAlign w:val="center"/>
          </w:tcPr>
          <w:p w14:paraId="53078EAE" w14:textId="77777777" w:rsidR="00241417" w:rsidRPr="000424BA" w:rsidRDefault="00241417" w:rsidP="003A71DE">
            <w:pPr>
              <w:pStyle w:val="TAC"/>
            </w:pPr>
            <w:r w:rsidRPr="000424BA">
              <w:t>16</w:t>
            </w:r>
          </w:p>
        </w:tc>
      </w:tr>
      <w:tr w:rsidR="00241417" w:rsidRPr="000424BA" w14:paraId="785CED89" w14:textId="77777777" w:rsidTr="003A71DE">
        <w:trPr>
          <w:cantSplit/>
          <w:jc w:val="center"/>
        </w:trPr>
        <w:tc>
          <w:tcPr>
            <w:tcW w:w="2548" w:type="dxa"/>
            <w:vAlign w:val="center"/>
          </w:tcPr>
          <w:p w14:paraId="76E312DB" w14:textId="77777777" w:rsidR="00241417" w:rsidRPr="000424BA" w:rsidRDefault="00241417" w:rsidP="003A71DE">
            <w:pPr>
              <w:pStyle w:val="TAL"/>
            </w:pPr>
            <w:r w:rsidRPr="000424BA">
              <w:rPr>
                <w:lang w:eastAsia="zh-CN"/>
              </w:rPr>
              <w:t>First symbol</w:t>
            </w:r>
          </w:p>
        </w:tc>
        <w:tc>
          <w:tcPr>
            <w:tcW w:w="1225" w:type="dxa"/>
            <w:vAlign w:val="center"/>
          </w:tcPr>
          <w:p w14:paraId="005757DE" w14:textId="77777777" w:rsidR="00241417" w:rsidRPr="000424BA" w:rsidRDefault="00241417" w:rsidP="003A71DE">
            <w:pPr>
              <w:pStyle w:val="TAC"/>
            </w:pPr>
            <w:r w:rsidRPr="000424BA">
              <w:t>0</w:t>
            </w:r>
          </w:p>
        </w:tc>
        <w:tc>
          <w:tcPr>
            <w:tcW w:w="1225" w:type="dxa"/>
            <w:vAlign w:val="center"/>
          </w:tcPr>
          <w:p w14:paraId="31D2A050" w14:textId="77777777" w:rsidR="00241417" w:rsidRPr="000424BA" w:rsidRDefault="00241417" w:rsidP="003A71DE">
            <w:pPr>
              <w:pStyle w:val="TAC"/>
            </w:pPr>
            <w:r w:rsidRPr="000424BA">
              <w:t>0</w:t>
            </w:r>
          </w:p>
        </w:tc>
      </w:tr>
    </w:tbl>
    <w:p w14:paraId="20118C25" w14:textId="77777777" w:rsidR="00241417" w:rsidRDefault="00241417" w:rsidP="00241417"/>
    <w:p w14:paraId="5C3A2628" w14:textId="77777777" w:rsidR="00241417" w:rsidRDefault="00241417" w:rsidP="00241417">
      <w:pPr>
        <w:pStyle w:val="Heading5"/>
      </w:pPr>
      <w:bookmarkStart w:id="3645" w:name="_Toc74583266"/>
      <w:bookmarkStart w:id="3646" w:name="_Toc76542079"/>
      <w:bookmarkStart w:id="3647" w:name="_Toc82450061"/>
      <w:bookmarkStart w:id="3648" w:name="_Toc82450709"/>
      <w:bookmarkStart w:id="3649" w:name="_Toc89949098"/>
      <w:bookmarkStart w:id="3650" w:name="_Toc98755487"/>
      <w:bookmarkStart w:id="3651" w:name="_Toc98763078"/>
      <w:bookmarkStart w:id="3652" w:name="_Toc106184007"/>
      <w:r>
        <w:t>8</w:t>
      </w:r>
      <w:r w:rsidRPr="00EE4A40">
        <w:t>.</w:t>
      </w:r>
      <w:r>
        <w:t>1</w:t>
      </w:r>
      <w:r w:rsidRPr="00EE4A40">
        <w:t>.</w:t>
      </w:r>
      <w:r>
        <w:t>3</w:t>
      </w:r>
      <w:r w:rsidRPr="00EE4A40">
        <w:t>.</w:t>
      </w:r>
      <w:r>
        <w:t>5</w:t>
      </w:r>
      <w:r w:rsidRPr="00EE4A40">
        <w:t>.</w:t>
      </w:r>
      <w:r>
        <w:t>2</w:t>
      </w:r>
      <w:r>
        <w:tab/>
        <w:t>Minimum requirements</w:t>
      </w:r>
      <w:bookmarkEnd w:id="3645"/>
      <w:bookmarkEnd w:id="3646"/>
      <w:bookmarkEnd w:id="3647"/>
      <w:bookmarkEnd w:id="3648"/>
      <w:bookmarkEnd w:id="3649"/>
      <w:bookmarkEnd w:id="3650"/>
      <w:bookmarkEnd w:id="3651"/>
      <w:bookmarkEnd w:id="3652"/>
    </w:p>
    <w:p w14:paraId="3DD6A7A5" w14:textId="77777777" w:rsidR="00241417" w:rsidRPr="00200383" w:rsidRDefault="00241417" w:rsidP="00241417">
      <w:pPr>
        <w:rPr>
          <w:lang w:eastAsia="zh-CN"/>
        </w:rPr>
      </w:pPr>
      <w:r w:rsidRPr="00200383">
        <w:t>The UCI block error probability shall not exceed 1% at the SNR given in Table 8.</w:t>
      </w:r>
      <w:r>
        <w:t>2.</w:t>
      </w:r>
      <w:r w:rsidRPr="00200383">
        <w:t>3.5.2-1 and Table 8.</w:t>
      </w:r>
      <w:r>
        <w:t>2.</w:t>
      </w:r>
      <w:r w:rsidRPr="00200383">
        <w:t>3.5.2-2.</w:t>
      </w:r>
    </w:p>
    <w:p w14:paraId="6EEA39FC" w14:textId="77777777" w:rsidR="00241417" w:rsidRPr="00200383" w:rsidRDefault="00241417" w:rsidP="00241417">
      <w:pPr>
        <w:pStyle w:val="TH"/>
      </w:pPr>
      <w:r w:rsidRPr="00200383">
        <w:lastRenderedPageBreak/>
        <w:t>Table 8.</w:t>
      </w:r>
      <w:r>
        <w:t>2.</w:t>
      </w:r>
      <w:r w:rsidRPr="00200383">
        <w:t>3.5.2-1: Minimum requirements for PUCCH format 3 with 15</w:t>
      </w:r>
      <w:r w:rsidRPr="00200383">
        <w:rPr>
          <w:lang w:eastAsia="zh-CN"/>
        </w:rPr>
        <w:t xml:space="preserve"> </w:t>
      </w:r>
      <w:r w:rsidRPr="00200383">
        <w:t>kHz SCS</w:t>
      </w:r>
    </w:p>
    <w:tbl>
      <w:tblPr>
        <w:tblStyle w:val="TableGrid13"/>
        <w:tblW w:w="7512" w:type="dxa"/>
        <w:jc w:val="center"/>
        <w:tblInd w:w="0" w:type="dxa"/>
        <w:tblLayout w:type="fixed"/>
        <w:tblLook w:val="04A0" w:firstRow="1" w:lastRow="0" w:firstColumn="1" w:lastColumn="0" w:noHBand="0" w:noVBand="1"/>
      </w:tblPr>
      <w:tblGrid>
        <w:gridCol w:w="992"/>
        <w:gridCol w:w="1134"/>
        <w:gridCol w:w="1134"/>
        <w:gridCol w:w="1417"/>
        <w:gridCol w:w="851"/>
        <w:gridCol w:w="992"/>
        <w:gridCol w:w="992"/>
      </w:tblGrid>
      <w:tr w:rsidR="00241417" w:rsidRPr="00200383" w14:paraId="19AF4EA2" w14:textId="77777777" w:rsidTr="003A71DE">
        <w:trPr>
          <w:jc w:val="center"/>
        </w:trPr>
        <w:tc>
          <w:tcPr>
            <w:tcW w:w="992" w:type="dxa"/>
            <w:vMerge w:val="restart"/>
            <w:tcBorders>
              <w:top w:val="single" w:sz="4" w:space="0" w:color="auto"/>
            </w:tcBorders>
            <w:vAlign w:val="center"/>
          </w:tcPr>
          <w:p w14:paraId="2ABF589B" w14:textId="77777777" w:rsidR="00241417" w:rsidRPr="00200383" w:rsidRDefault="00241417" w:rsidP="003A71DE">
            <w:pPr>
              <w:pStyle w:val="TAH"/>
            </w:pPr>
            <w:r w:rsidRPr="00200383">
              <w:t>Test Number</w:t>
            </w:r>
          </w:p>
        </w:tc>
        <w:tc>
          <w:tcPr>
            <w:tcW w:w="1134" w:type="dxa"/>
            <w:vMerge w:val="restart"/>
            <w:tcBorders>
              <w:top w:val="single" w:sz="4" w:space="0" w:color="auto"/>
            </w:tcBorders>
            <w:vAlign w:val="center"/>
          </w:tcPr>
          <w:p w14:paraId="09B7070E" w14:textId="77777777" w:rsidR="00241417" w:rsidRPr="00200383" w:rsidRDefault="00241417" w:rsidP="003A71DE">
            <w:pPr>
              <w:pStyle w:val="TAH"/>
            </w:pPr>
            <w:r w:rsidRPr="00200383">
              <w:t>Number of</w:t>
            </w:r>
            <w:r>
              <w:t xml:space="preserve"> </w:t>
            </w:r>
            <w:r w:rsidRPr="00200383">
              <w:t>TX antennas</w:t>
            </w:r>
          </w:p>
        </w:tc>
        <w:tc>
          <w:tcPr>
            <w:tcW w:w="1134" w:type="dxa"/>
            <w:vMerge w:val="restart"/>
            <w:tcBorders>
              <w:top w:val="single" w:sz="4" w:space="0" w:color="auto"/>
            </w:tcBorders>
            <w:vAlign w:val="center"/>
          </w:tcPr>
          <w:p w14:paraId="4D966845" w14:textId="77777777" w:rsidR="00241417" w:rsidRPr="00200383" w:rsidRDefault="00241417" w:rsidP="003A71DE">
            <w:pPr>
              <w:pStyle w:val="TAH"/>
            </w:pPr>
            <w:r w:rsidRPr="00200383">
              <w:t>Number of</w:t>
            </w:r>
            <w:r>
              <w:t xml:space="preserve"> Demodulation Branches</w:t>
            </w:r>
          </w:p>
        </w:tc>
        <w:tc>
          <w:tcPr>
            <w:tcW w:w="1417" w:type="dxa"/>
            <w:vMerge w:val="restart"/>
            <w:tcBorders>
              <w:top w:val="single" w:sz="4" w:space="0" w:color="auto"/>
            </w:tcBorders>
            <w:vAlign w:val="center"/>
          </w:tcPr>
          <w:p w14:paraId="1E2B0426" w14:textId="77777777" w:rsidR="00241417" w:rsidRPr="00200383" w:rsidRDefault="00241417" w:rsidP="003A71DE">
            <w:pPr>
              <w:pStyle w:val="TAH"/>
            </w:pPr>
            <w:r w:rsidRPr="00200383">
              <w:t>Additional DM-RS configuration</w:t>
            </w:r>
          </w:p>
        </w:tc>
        <w:tc>
          <w:tcPr>
            <w:tcW w:w="2835" w:type="dxa"/>
            <w:gridSpan w:val="3"/>
            <w:tcBorders>
              <w:top w:val="single" w:sz="4" w:space="0" w:color="auto"/>
            </w:tcBorders>
            <w:vAlign w:val="center"/>
          </w:tcPr>
          <w:p w14:paraId="734ADA8D" w14:textId="77777777" w:rsidR="00241417" w:rsidRPr="00200383" w:rsidRDefault="00241417" w:rsidP="003A71DE">
            <w:pPr>
              <w:pStyle w:val="TAH"/>
            </w:pPr>
            <w:r w:rsidRPr="00200383">
              <w:t>Channel bandwidth / SNR (dB)</w:t>
            </w:r>
          </w:p>
        </w:tc>
      </w:tr>
      <w:tr w:rsidR="00241417" w:rsidRPr="00200383" w14:paraId="7C39F3A6" w14:textId="77777777" w:rsidTr="003A71DE">
        <w:trPr>
          <w:jc w:val="center"/>
        </w:trPr>
        <w:tc>
          <w:tcPr>
            <w:tcW w:w="992" w:type="dxa"/>
            <w:vMerge/>
            <w:tcBorders>
              <w:bottom w:val="single" w:sz="4" w:space="0" w:color="auto"/>
            </w:tcBorders>
            <w:vAlign w:val="center"/>
          </w:tcPr>
          <w:p w14:paraId="7568569E" w14:textId="77777777" w:rsidR="00241417" w:rsidRPr="00200383" w:rsidRDefault="00241417" w:rsidP="003A71DE">
            <w:pPr>
              <w:pStyle w:val="TAH"/>
            </w:pPr>
          </w:p>
        </w:tc>
        <w:tc>
          <w:tcPr>
            <w:tcW w:w="1134" w:type="dxa"/>
            <w:vMerge/>
            <w:tcBorders>
              <w:bottom w:val="single" w:sz="4" w:space="0" w:color="auto"/>
            </w:tcBorders>
            <w:vAlign w:val="center"/>
          </w:tcPr>
          <w:p w14:paraId="3ECFED53" w14:textId="77777777" w:rsidR="00241417" w:rsidRPr="00200383" w:rsidRDefault="00241417" w:rsidP="003A71DE">
            <w:pPr>
              <w:pStyle w:val="TAH"/>
            </w:pPr>
          </w:p>
        </w:tc>
        <w:tc>
          <w:tcPr>
            <w:tcW w:w="1134" w:type="dxa"/>
            <w:vMerge/>
            <w:tcBorders>
              <w:bottom w:val="single" w:sz="4" w:space="0" w:color="auto"/>
            </w:tcBorders>
            <w:vAlign w:val="center"/>
          </w:tcPr>
          <w:p w14:paraId="49D061CB" w14:textId="77777777" w:rsidR="00241417" w:rsidRPr="00200383" w:rsidRDefault="00241417" w:rsidP="003A71DE">
            <w:pPr>
              <w:pStyle w:val="TAH"/>
            </w:pPr>
          </w:p>
        </w:tc>
        <w:tc>
          <w:tcPr>
            <w:tcW w:w="1417" w:type="dxa"/>
            <w:vMerge/>
            <w:tcBorders>
              <w:bottom w:val="single" w:sz="4" w:space="0" w:color="auto"/>
            </w:tcBorders>
            <w:vAlign w:val="center"/>
          </w:tcPr>
          <w:p w14:paraId="5A447E03" w14:textId="77777777" w:rsidR="00241417" w:rsidRPr="00200383" w:rsidRDefault="00241417" w:rsidP="003A71DE">
            <w:pPr>
              <w:pStyle w:val="TAH"/>
            </w:pPr>
          </w:p>
        </w:tc>
        <w:tc>
          <w:tcPr>
            <w:tcW w:w="851" w:type="dxa"/>
            <w:tcBorders>
              <w:top w:val="single" w:sz="4" w:space="0" w:color="auto"/>
              <w:bottom w:val="single" w:sz="4" w:space="0" w:color="auto"/>
            </w:tcBorders>
            <w:vAlign w:val="center"/>
          </w:tcPr>
          <w:p w14:paraId="10A32E0E" w14:textId="77777777" w:rsidR="00241417" w:rsidRPr="00200383" w:rsidRDefault="00241417" w:rsidP="003A71DE">
            <w:pPr>
              <w:pStyle w:val="TAH"/>
            </w:pPr>
            <w:r w:rsidRPr="00200383">
              <w:t>5 MHz</w:t>
            </w:r>
          </w:p>
        </w:tc>
        <w:tc>
          <w:tcPr>
            <w:tcW w:w="992" w:type="dxa"/>
            <w:tcBorders>
              <w:top w:val="single" w:sz="4" w:space="0" w:color="auto"/>
              <w:bottom w:val="single" w:sz="4" w:space="0" w:color="auto"/>
            </w:tcBorders>
            <w:vAlign w:val="center"/>
          </w:tcPr>
          <w:p w14:paraId="5F2A9751" w14:textId="77777777" w:rsidR="00241417" w:rsidRPr="00200383" w:rsidRDefault="00241417" w:rsidP="003A71DE">
            <w:pPr>
              <w:pStyle w:val="TAH"/>
            </w:pPr>
            <w:r w:rsidRPr="00200383">
              <w:t>10 MHz</w:t>
            </w:r>
          </w:p>
        </w:tc>
        <w:tc>
          <w:tcPr>
            <w:tcW w:w="992" w:type="dxa"/>
            <w:tcBorders>
              <w:top w:val="single" w:sz="4" w:space="0" w:color="auto"/>
              <w:bottom w:val="single" w:sz="4" w:space="0" w:color="auto"/>
            </w:tcBorders>
            <w:vAlign w:val="center"/>
          </w:tcPr>
          <w:p w14:paraId="7FFBDC28" w14:textId="77777777" w:rsidR="00241417" w:rsidRPr="00200383" w:rsidRDefault="00241417" w:rsidP="003A71DE">
            <w:pPr>
              <w:pStyle w:val="TAH"/>
            </w:pPr>
            <w:r w:rsidRPr="00200383">
              <w:t>20 MHz</w:t>
            </w:r>
          </w:p>
        </w:tc>
      </w:tr>
      <w:tr w:rsidR="00241417" w:rsidRPr="00200383" w14:paraId="3044F0C1" w14:textId="77777777" w:rsidTr="003A71DE">
        <w:trPr>
          <w:jc w:val="center"/>
        </w:trPr>
        <w:tc>
          <w:tcPr>
            <w:tcW w:w="992" w:type="dxa"/>
            <w:vMerge w:val="restart"/>
            <w:vAlign w:val="center"/>
          </w:tcPr>
          <w:p w14:paraId="564510BA" w14:textId="77777777" w:rsidR="00241417" w:rsidRPr="00200383" w:rsidRDefault="00241417" w:rsidP="003A71DE">
            <w:pPr>
              <w:pStyle w:val="TAC"/>
            </w:pPr>
            <w:r w:rsidRPr="00200383">
              <w:rPr>
                <w:lang w:eastAsia="zh-CN"/>
              </w:rPr>
              <w:t>1</w:t>
            </w:r>
          </w:p>
        </w:tc>
        <w:tc>
          <w:tcPr>
            <w:tcW w:w="1134" w:type="dxa"/>
            <w:vMerge w:val="restart"/>
            <w:vAlign w:val="center"/>
          </w:tcPr>
          <w:p w14:paraId="329F9F4A" w14:textId="77777777" w:rsidR="00241417" w:rsidRPr="00200383" w:rsidRDefault="00241417" w:rsidP="003A71DE">
            <w:pPr>
              <w:pStyle w:val="TAC"/>
            </w:pPr>
            <w:r w:rsidRPr="00200383">
              <w:rPr>
                <w:lang w:eastAsia="zh-CN"/>
              </w:rPr>
              <w:t>1</w:t>
            </w:r>
          </w:p>
        </w:tc>
        <w:tc>
          <w:tcPr>
            <w:tcW w:w="1134" w:type="dxa"/>
            <w:vMerge w:val="restart"/>
            <w:vAlign w:val="center"/>
          </w:tcPr>
          <w:p w14:paraId="30AEAD0E" w14:textId="77777777" w:rsidR="00241417" w:rsidRPr="00200383" w:rsidRDefault="00241417" w:rsidP="003A71DE">
            <w:pPr>
              <w:pStyle w:val="TAC"/>
            </w:pPr>
            <w:r w:rsidRPr="00200383">
              <w:rPr>
                <w:lang w:eastAsia="zh-CN"/>
              </w:rPr>
              <w:t>2</w:t>
            </w:r>
          </w:p>
        </w:tc>
        <w:tc>
          <w:tcPr>
            <w:tcW w:w="1417" w:type="dxa"/>
            <w:tcBorders>
              <w:bottom w:val="single" w:sz="4" w:space="0" w:color="auto"/>
            </w:tcBorders>
            <w:vAlign w:val="center"/>
          </w:tcPr>
          <w:p w14:paraId="3831BD64"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673B6DDB" w14:textId="77777777" w:rsidR="00241417" w:rsidRPr="00200383" w:rsidRDefault="00241417" w:rsidP="003A71DE">
            <w:pPr>
              <w:pStyle w:val="TAC"/>
            </w:pPr>
            <w:r w:rsidRPr="00200383">
              <w:rPr>
                <w:lang w:eastAsia="zh-CN"/>
              </w:rPr>
              <w:t>0.2</w:t>
            </w:r>
          </w:p>
        </w:tc>
        <w:tc>
          <w:tcPr>
            <w:tcW w:w="992" w:type="dxa"/>
            <w:tcBorders>
              <w:bottom w:val="single" w:sz="4" w:space="0" w:color="auto"/>
            </w:tcBorders>
            <w:vAlign w:val="center"/>
          </w:tcPr>
          <w:p w14:paraId="6DF2642A" w14:textId="77777777" w:rsidR="00241417" w:rsidRPr="00200383" w:rsidRDefault="00241417" w:rsidP="003A71DE">
            <w:pPr>
              <w:pStyle w:val="TAC"/>
            </w:pPr>
            <w:r w:rsidRPr="00200383">
              <w:rPr>
                <w:lang w:eastAsia="zh-CN"/>
              </w:rPr>
              <w:t>1.1</w:t>
            </w:r>
          </w:p>
        </w:tc>
        <w:tc>
          <w:tcPr>
            <w:tcW w:w="992" w:type="dxa"/>
            <w:tcBorders>
              <w:bottom w:val="single" w:sz="4" w:space="0" w:color="auto"/>
            </w:tcBorders>
            <w:vAlign w:val="center"/>
          </w:tcPr>
          <w:p w14:paraId="06F997E5" w14:textId="77777777" w:rsidR="00241417" w:rsidRPr="00200383" w:rsidRDefault="00241417" w:rsidP="003A71DE">
            <w:pPr>
              <w:pStyle w:val="TAC"/>
            </w:pPr>
            <w:r w:rsidRPr="00200383">
              <w:rPr>
                <w:lang w:eastAsia="zh-CN"/>
              </w:rPr>
              <w:t>0.3</w:t>
            </w:r>
          </w:p>
        </w:tc>
      </w:tr>
      <w:tr w:rsidR="00241417" w:rsidRPr="00200383" w14:paraId="730DF902" w14:textId="77777777" w:rsidTr="003A71DE">
        <w:trPr>
          <w:jc w:val="center"/>
        </w:trPr>
        <w:tc>
          <w:tcPr>
            <w:tcW w:w="992" w:type="dxa"/>
            <w:vMerge/>
            <w:vAlign w:val="center"/>
          </w:tcPr>
          <w:p w14:paraId="5FD4D74E" w14:textId="77777777" w:rsidR="00241417" w:rsidRPr="00200383" w:rsidRDefault="00241417" w:rsidP="003A71DE">
            <w:pPr>
              <w:pStyle w:val="TAC"/>
            </w:pPr>
          </w:p>
        </w:tc>
        <w:tc>
          <w:tcPr>
            <w:tcW w:w="1134" w:type="dxa"/>
            <w:vMerge/>
            <w:vAlign w:val="center"/>
          </w:tcPr>
          <w:p w14:paraId="0354B836" w14:textId="77777777" w:rsidR="00241417" w:rsidRPr="00200383" w:rsidRDefault="00241417" w:rsidP="003A71DE">
            <w:pPr>
              <w:pStyle w:val="TAC"/>
            </w:pPr>
          </w:p>
        </w:tc>
        <w:tc>
          <w:tcPr>
            <w:tcW w:w="1134" w:type="dxa"/>
            <w:vMerge/>
            <w:tcBorders>
              <w:bottom w:val="single" w:sz="4" w:space="0" w:color="auto"/>
            </w:tcBorders>
            <w:vAlign w:val="center"/>
          </w:tcPr>
          <w:p w14:paraId="642BA02B" w14:textId="77777777" w:rsidR="00241417" w:rsidRPr="00200383" w:rsidRDefault="00241417" w:rsidP="003A71DE">
            <w:pPr>
              <w:pStyle w:val="TAC"/>
            </w:pPr>
          </w:p>
        </w:tc>
        <w:tc>
          <w:tcPr>
            <w:tcW w:w="1417" w:type="dxa"/>
            <w:tcBorders>
              <w:bottom w:val="single" w:sz="4" w:space="0" w:color="auto"/>
            </w:tcBorders>
            <w:vAlign w:val="center"/>
          </w:tcPr>
          <w:p w14:paraId="78AC866F" w14:textId="77777777" w:rsidR="00241417" w:rsidRPr="00200383" w:rsidRDefault="00241417" w:rsidP="003A71DE">
            <w:pPr>
              <w:pStyle w:val="TAC"/>
            </w:pPr>
            <w:r w:rsidRPr="00200383">
              <w:rPr>
                <w:lang w:eastAsia="zh-CN"/>
              </w:rPr>
              <w:t>Additional DM-RS</w:t>
            </w:r>
          </w:p>
        </w:tc>
        <w:tc>
          <w:tcPr>
            <w:tcW w:w="851" w:type="dxa"/>
            <w:tcBorders>
              <w:bottom w:val="single" w:sz="4" w:space="0" w:color="auto"/>
            </w:tcBorders>
            <w:vAlign w:val="center"/>
          </w:tcPr>
          <w:p w14:paraId="0DAE47FD" w14:textId="77777777" w:rsidR="00241417" w:rsidRPr="00200383" w:rsidRDefault="00241417" w:rsidP="003A71DE">
            <w:pPr>
              <w:pStyle w:val="TAC"/>
            </w:pPr>
            <w:r w:rsidRPr="00200383">
              <w:rPr>
                <w:lang w:eastAsia="zh-CN"/>
              </w:rPr>
              <w:t>-0.1</w:t>
            </w:r>
          </w:p>
        </w:tc>
        <w:tc>
          <w:tcPr>
            <w:tcW w:w="992" w:type="dxa"/>
            <w:tcBorders>
              <w:bottom w:val="single" w:sz="4" w:space="0" w:color="auto"/>
            </w:tcBorders>
            <w:vAlign w:val="center"/>
          </w:tcPr>
          <w:p w14:paraId="720C6B88" w14:textId="77777777" w:rsidR="00241417" w:rsidRPr="00200383" w:rsidRDefault="00241417" w:rsidP="003A71DE">
            <w:pPr>
              <w:pStyle w:val="TAC"/>
            </w:pPr>
            <w:r w:rsidRPr="00200383">
              <w:rPr>
                <w:lang w:eastAsia="zh-CN"/>
              </w:rPr>
              <w:t>0.5</w:t>
            </w:r>
          </w:p>
        </w:tc>
        <w:tc>
          <w:tcPr>
            <w:tcW w:w="992" w:type="dxa"/>
            <w:tcBorders>
              <w:bottom w:val="single" w:sz="4" w:space="0" w:color="auto"/>
            </w:tcBorders>
            <w:vAlign w:val="center"/>
          </w:tcPr>
          <w:p w14:paraId="61862A34" w14:textId="77777777" w:rsidR="00241417" w:rsidRPr="00200383" w:rsidRDefault="00241417" w:rsidP="003A71DE">
            <w:pPr>
              <w:pStyle w:val="TAC"/>
            </w:pPr>
            <w:r w:rsidRPr="00200383">
              <w:rPr>
                <w:lang w:eastAsia="zh-CN"/>
              </w:rPr>
              <w:t>-0.1</w:t>
            </w:r>
          </w:p>
        </w:tc>
      </w:tr>
      <w:tr w:rsidR="00241417" w:rsidRPr="00200383" w14:paraId="579471FD" w14:textId="77777777" w:rsidTr="003A71DE">
        <w:trPr>
          <w:jc w:val="center"/>
        </w:trPr>
        <w:tc>
          <w:tcPr>
            <w:tcW w:w="992" w:type="dxa"/>
            <w:vMerge/>
            <w:vAlign w:val="center"/>
          </w:tcPr>
          <w:p w14:paraId="7A16C60C" w14:textId="77777777" w:rsidR="00241417" w:rsidRPr="00200383" w:rsidRDefault="00241417" w:rsidP="003A71DE">
            <w:pPr>
              <w:pStyle w:val="TAC"/>
            </w:pPr>
          </w:p>
        </w:tc>
        <w:tc>
          <w:tcPr>
            <w:tcW w:w="1134" w:type="dxa"/>
            <w:vMerge/>
            <w:vAlign w:val="center"/>
          </w:tcPr>
          <w:p w14:paraId="56B8B22B" w14:textId="77777777" w:rsidR="00241417" w:rsidRPr="00200383" w:rsidRDefault="00241417" w:rsidP="003A71DE">
            <w:pPr>
              <w:pStyle w:val="TAC"/>
            </w:pPr>
          </w:p>
        </w:tc>
        <w:tc>
          <w:tcPr>
            <w:tcW w:w="1134" w:type="dxa"/>
            <w:vMerge w:val="restart"/>
            <w:vAlign w:val="center"/>
          </w:tcPr>
          <w:p w14:paraId="0698068C" w14:textId="77777777" w:rsidR="00241417" w:rsidRPr="00200383" w:rsidRDefault="00241417" w:rsidP="003A71DE">
            <w:pPr>
              <w:pStyle w:val="TAC"/>
            </w:pPr>
            <w:r w:rsidRPr="00200383">
              <w:rPr>
                <w:lang w:eastAsia="zh-CN"/>
              </w:rPr>
              <w:t>4</w:t>
            </w:r>
          </w:p>
        </w:tc>
        <w:tc>
          <w:tcPr>
            <w:tcW w:w="1417" w:type="dxa"/>
            <w:tcBorders>
              <w:bottom w:val="single" w:sz="4" w:space="0" w:color="auto"/>
            </w:tcBorders>
            <w:vAlign w:val="center"/>
          </w:tcPr>
          <w:p w14:paraId="113FE40E"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5B1CB398" w14:textId="77777777" w:rsidR="00241417" w:rsidRPr="00200383" w:rsidRDefault="00241417" w:rsidP="003A71DE">
            <w:pPr>
              <w:pStyle w:val="TAC"/>
            </w:pPr>
            <w:r w:rsidRPr="00200383">
              <w:rPr>
                <w:lang w:eastAsia="zh-CN"/>
              </w:rPr>
              <w:t>-3.8</w:t>
            </w:r>
          </w:p>
        </w:tc>
        <w:tc>
          <w:tcPr>
            <w:tcW w:w="992" w:type="dxa"/>
            <w:tcBorders>
              <w:bottom w:val="single" w:sz="4" w:space="0" w:color="auto"/>
            </w:tcBorders>
            <w:vAlign w:val="center"/>
          </w:tcPr>
          <w:p w14:paraId="7722A522" w14:textId="77777777" w:rsidR="00241417" w:rsidRPr="00200383" w:rsidRDefault="00241417" w:rsidP="003A71DE">
            <w:pPr>
              <w:pStyle w:val="TAC"/>
            </w:pPr>
            <w:r w:rsidRPr="00200383">
              <w:rPr>
                <w:lang w:eastAsia="zh-CN"/>
              </w:rPr>
              <w:t>-3.3</w:t>
            </w:r>
          </w:p>
        </w:tc>
        <w:tc>
          <w:tcPr>
            <w:tcW w:w="992" w:type="dxa"/>
            <w:tcBorders>
              <w:bottom w:val="single" w:sz="4" w:space="0" w:color="auto"/>
            </w:tcBorders>
            <w:vAlign w:val="center"/>
          </w:tcPr>
          <w:p w14:paraId="0725FE2B" w14:textId="77777777" w:rsidR="00241417" w:rsidRPr="00200383" w:rsidRDefault="00241417" w:rsidP="003A71DE">
            <w:pPr>
              <w:pStyle w:val="TAC"/>
            </w:pPr>
            <w:r w:rsidRPr="00200383">
              <w:rPr>
                <w:lang w:eastAsia="zh-CN"/>
              </w:rPr>
              <w:t>-3.8</w:t>
            </w:r>
          </w:p>
        </w:tc>
      </w:tr>
      <w:tr w:rsidR="00241417" w:rsidRPr="00200383" w14:paraId="0AF24B9B" w14:textId="77777777" w:rsidTr="003A71DE">
        <w:trPr>
          <w:jc w:val="center"/>
        </w:trPr>
        <w:tc>
          <w:tcPr>
            <w:tcW w:w="992" w:type="dxa"/>
            <w:vMerge/>
            <w:vAlign w:val="center"/>
          </w:tcPr>
          <w:p w14:paraId="74E5E3DA" w14:textId="77777777" w:rsidR="00241417" w:rsidRPr="00200383" w:rsidRDefault="00241417" w:rsidP="003A71DE">
            <w:pPr>
              <w:pStyle w:val="TAC"/>
            </w:pPr>
          </w:p>
        </w:tc>
        <w:tc>
          <w:tcPr>
            <w:tcW w:w="1134" w:type="dxa"/>
            <w:vMerge/>
            <w:vAlign w:val="center"/>
          </w:tcPr>
          <w:p w14:paraId="32632672" w14:textId="77777777" w:rsidR="00241417" w:rsidRPr="00200383" w:rsidRDefault="00241417" w:rsidP="003A71DE">
            <w:pPr>
              <w:pStyle w:val="TAC"/>
            </w:pPr>
          </w:p>
        </w:tc>
        <w:tc>
          <w:tcPr>
            <w:tcW w:w="1134" w:type="dxa"/>
            <w:vMerge/>
            <w:tcBorders>
              <w:bottom w:val="single" w:sz="4" w:space="0" w:color="auto"/>
            </w:tcBorders>
            <w:vAlign w:val="center"/>
          </w:tcPr>
          <w:p w14:paraId="20C6ADD2" w14:textId="77777777" w:rsidR="00241417" w:rsidRPr="00200383" w:rsidRDefault="00241417" w:rsidP="003A71DE">
            <w:pPr>
              <w:pStyle w:val="TAC"/>
            </w:pPr>
          </w:p>
        </w:tc>
        <w:tc>
          <w:tcPr>
            <w:tcW w:w="1417" w:type="dxa"/>
            <w:tcBorders>
              <w:bottom w:val="single" w:sz="4" w:space="0" w:color="auto"/>
            </w:tcBorders>
            <w:vAlign w:val="center"/>
          </w:tcPr>
          <w:p w14:paraId="010712EE" w14:textId="77777777" w:rsidR="00241417" w:rsidRPr="00200383" w:rsidRDefault="00241417" w:rsidP="003A71DE">
            <w:pPr>
              <w:pStyle w:val="TAC"/>
            </w:pPr>
            <w:r w:rsidRPr="00200383">
              <w:rPr>
                <w:lang w:eastAsia="zh-CN"/>
              </w:rPr>
              <w:t>Additional DM-RS</w:t>
            </w:r>
          </w:p>
        </w:tc>
        <w:tc>
          <w:tcPr>
            <w:tcW w:w="851" w:type="dxa"/>
            <w:tcBorders>
              <w:bottom w:val="single" w:sz="4" w:space="0" w:color="auto"/>
            </w:tcBorders>
            <w:vAlign w:val="center"/>
          </w:tcPr>
          <w:p w14:paraId="076DEC70" w14:textId="77777777" w:rsidR="00241417" w:rsidRPr="00200383" w:rsidRDefault="00241417" w:rsidP="003A71DE">
            <w:pPr>
              <w:pStyle w:val="TAC"/>
            </w:pPr>
            <w:r w:rsidRPr="00200383">
              <w:rPr>
                <w:lang w:eastAsia="zh-CN"/>
              </w:rPr>
              <w:t>-4.3</w:t>
            </w:r>
          </w:p>
        </w:tc>
        <w:tc>
          <w:tcPr>
            <w:tcW w:w="992" w:type="dxa"/>
            <w:tcBorders>
              <w:bottom w:val="single" w:sz="4" w:space="0" w:color="auto"/>
            </w:tcBorders>
            <w:vAlign w:val="center"/>
          </w:tcPr>
          <w:p w14:paraId="1F142C1A" w14:textId="77777777" w:rsidR="00241417" w:rsidRPr="00200383" w:rsidRDefault="00241417" w:rsidP="003A71DE">
            <w:pPr>
              <w:pStyle w:val="TAC"/>
            </w:pPr>
            <w:r w:rsidRPr="00200383">
              <w:rPr>
                <w:lang w:eastAsia="zh-CN"/>
              </w:rPr>
              <w:t>-4.0</w:t>
            </w:r>
          </w:p>
        </w:tc>
        <w:tc>
          <w:tcPr>
            <w:tcW w:w="992" w:type="dxa"/>
            <w:tcBorders>
              <w:bottom w:val="single" w:sz="4" w:space="0" w:color="auto"/>
            </w:tcBorders>
            <w:vAlign w:val="center"/>
          </w:tcPr>
          <w:p w14:paraId="63ECB540" w14:textId="77777777" w:rsidR="00241417" w:rsidRPr="00200383" w:rsidRDefault="00241417" w:rsidP="003A71DE">
            <w:pPr>
              <w:pStyle w:val="TAC"/>
            </w:pPr>
            <w:r w:rsidRPr="00200383">
              <w:rPr>
                <w:lang w:eastAsia="zh-CN"/>
              </w:rPr>
              <w:t>-4.0</w:t>
            </w:r>
          </w:p>
        </w:tc>
      </w:tr>
      <w:tr w:rsidR="00241417" w:rsidRPr="00200383" w14:paraId="5FA67CBD" w14:textId="77777777" w:rsidTr="003A71DE">
        <w:trPr>
          <w:jc w:val="center"/>
        </w:trPr>
        <w:tc>
          <w:tcPr>
            <w:tcW w:w="992" w:type="dxa"/>
            <w:vMerge/>
            <w:vAlign w:val="center"/>
          </w:tcPr>
          <w:p w14:paraId="0C4B31F5" w14:textId="77777777" w:rsidR="00241417" w:rsidRPr="00200383" w:rsidRDefault="00241417" w:rsidP="003A71DE">
            <w:pPr>
              <w:pStyle w:val="TAC"/>
            </w:pPr>
          </w:p>
        </w:tc>
        <w:tc>
          <w:tcPr>
            <w:tcW w:w="1134" w:type="dxa"/>
            <w:vMerge/>
            <w:vAlign w:val="center"/>
          </w:tcPr>
          <w:p w14:paraId="3BC843C5" w14:textId="77777777" w:rsidR="00241417" w:rsidRPr="00200383" w:rsidRDefault="00241417" w:rsidP="003A71DE">
            <w:pPr>
              <w:pStyle w:val="TAC"/>
            </w:pPr>
          </w:p>
        </w:tc>
        <w:tc>
          <w:tcPr>
            <w:tcW w:w="1134" w:type="dxa"/>
            <w:vMerge w:val="restart"/>
            <w:vAlign w:val="center"/>
          </w:tcPr>
          <w:p w14:paraId="0CDCA626" w14:textId="77777777" w:rsidR="00241417" w:rsidRPr="00200383" w:rsidRDefault="00241417" w:rsidP="003A71DE">
            <w:pPr>
              <w:pStyle w:val="TAC"/>
            </w:pPr>
            <w:r w:rsidRPr="00200383">
              <w:rPr>
                <w:lang w:eastAsia="zh-CN"/>
              </w:rPr>
              <w:t>8</w:t>
            </w:r>
          </w:p>
        </w:tc>
        <w:tc>
          <w:tcPr>
            <w:tcW w:w="1417" w:type="dxa"/>
            <w:tcBorders>
              <w:bottom w:val="single" w:sz="4" w:space="0" w:color="auto"/>
            </w:tcBorders>
            <w:vAlign w:val="center"/>
          </w:tcPr>
          <w:p w14:paraId="07DEC185"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07B2CA43" w14:textId="77777777" w:rsidR="00241417" w:rsidRPr="00200383" w:rsidRDefault="00241417" w:rsidP="003A71DE">
            <w:pPr>
              <w:pStyle w:val="TAC"/>
            </w:pPr>
            <w:r w:rsidRPr="00200383">
              <w:rPr>
                <w:lang w:eastAsia="zh-CN"/>
              </w:rPr>
              <w:t>-7.0</w:t>
            </w:r>
          </w:p>
        </w:tc>
        <w:tc>
          <w:tcPr>
            <w:tcW w:w="992" w:type="dxa"/>
            <w:tcBorders>
              <w:bottom w:val="single" w:sz="4" w:space="0" w:color="auto"/>
            </w:tcBorders>
            <w:vAlign w:val="center"/>
          </w:tcPr>
          <w:p w14:paraId="71060FA1" w14:textId="77777777" w:rsidR="00241417" w:rsidRPr="00200383" w:rsidRDefault="00241417" w:rsidP="003A71DE">
            <w:pPr>
              <w:pStyle w:val="TAC"/>
            </w:pPr>
            <w:r w:rsidRPr="00200383">
              <w:rPr>
                <w:lang w:eastAsia="zh-CN"/>
              </w:rPr>
              <w:t>-6.7</w:t>
            </w:r>
          </w:p>
        </w:tc>
        <w:tc>
          <w:tcPr>
            <w:tcW w:w="992" w:type="dxa"/>
            <w:tcBorders>
              <w:bottom w:val="single" w:sz="4" w:space="0" w:color="auto"/>
            </w:tcBorders>
            <w:vAlign w:val="center"/>
          </w:tcPr>
          <w:p w14:paraId="10928289" w14:textId="77777777" w:rsidR="00241417" w:rsidRPr="00200383" w:rsidRDefault="00241417" w:rsidP="003A71DE">
            <w:pPr>
              <w:pStyle w:val="TAC"/>
            </w:pPr>
            <w:r w:rsidRPr="00200383">
              <w:rPr>
                <w:lang w:eastAsia="zh-CN"/>
              </w:rPr>
              <w:t>-6.9</w:t>
            </w:r>
          </w:p>
        </w:tc>
      </w:tr>
      <w:tr w:rsidR="00241417" w:rsidRPr="00200383" w14:paraId="4D6540C2" w14:textId="77777777" w:rsidTr="003A71DE">
        <w:trPr>
          <w:jc w:val="center"/>
        </w:trPr>
        <w:tc>
          <w:tcPr>
            <w:tcW w:w="992" w:type="dxa"/>
            <w:vMerge/>
            <w:vAlign w:val="center"/>
          </w:tcPr>
          <w:p w14:paraId="110C36A1" w14:textId="77777777" w:rsidR="00241417" w:rsidRPr="00200383" w:rsidRDefault="00241417" w:rsidP="003A71DE">
            <w:pPr>
              <w:pStyle w:val="TAC"/>
            </w:pPr>
          </w:p>
        </w:tc>
        <w:tc>
          <w:tcPr>
            <w:tcW w:w="1134" w:type="dxa"/>
            <w:vMerge/>
            <w:vAlign w:val="center"/>
          </w:tcPr>
          <w:p w14:paraId="1C987B68" w14:textId="77777777" w:rsidR="00241417" w:rsidRPr="00200383" w:rsidRDefault="00241417" w:rsidP="003A71DE">
            <w:pPr>
              <w:pStyle w:val="TAC"/>
            </w:pPr>
          </w:p>
        </w:tc>
        <w:tc>
          <w:tcPr>
            <w:tcW w:w="1134" w:type="dxa"/>
            <w:vMerge/>
            <w:tcBorders>
              <w:bottom w:val="single" w:sz="4" w:space="0" w:color="auto"/>
            </w:tcBorders>
            <w:vAlign w:val="center"/>
          </w:tcPr>
          <w:p w14:paraId="20C3121C" w14:textId="77777777" w:rsidR="00241417" w:rsidRPr="00200383" w:rsidRDefault="00241417" w:rsidP="003A71DE">
            <w:pPr>
              <w:pStyle w:val="TAC"/>
            </w:pPr>
          </w:p>
        </w:tc>
        <w:tc>
          <w:tcPr>
            <w:tcW w:w="1417" w:type="dxa"/>
            <w:tcBorders>
              <w:top w:val="single" w:sz="4" w:space="0" w:color="auto"/>
              <w:bottom w:val="single" w:sz="4" w:space="0" w:color="auto"/>
            </w:tcBorders>
            <w:vAlign w:val="center"/>
          </w:tcPr>
          <w:p w14:paraId="769A8107" w14:textId="77777777" w:rsidR="00241417" w:rsidRPr="00200383" w:rsidRDefault="00241417" w:rsidP="003A71DE">
            <w:pPr>
              <w:pStyle w:val="TAC"/>
            </w:pPr>
            <w:r w:rsidRPr="00200383">
              <w:rPr>
                <w:lang w:eastAsia="zh-CN"/>
              </w:rPr>
              <w:t>Additional DM-RS</w:t>
            </w:r>
          </w:p>
        </w:tc>
        <w:tc>
          <w:tcPr>
            <w:tcW w:w="851" w:type="dxa"/>
            <w:tcBorders>
              <w:top w:val="single" w:sz="4" w:space="0" w:color="auto"/>
              <w:bottom w:val="single" w:sz="4" w:space="0" w:color="auto"/>
            </w:tcBorders>
            <w:vAlign w:val="center"/>
          </w:tcPr>
          <w:p w14:paraId="2054E6FA" w14:textId="77777777" w:rsidR="00241417" w:rsidRPr="00200383" w:rsidRDefault="00241417" w:rsidP="003A71DE">
            <w:pPr>
              <w:pStyle w:val="TAC"/>
            </w:pPr>
            <w:r w:rsidRPr="00200383">
              <w:rPr>
                <w:lang w:eastAsia="zh-CN"/>
              </w:rPr>
              <w:t>-7.7</w:t>
            </w:r>
          </w:p>
        </w:tc>
        <w:tc>
          <w:tcPr>
            <w:tcW w:w="992" w:type="dxa"/>
            <w:tcBorders>
              <w:top w:val="single" w:sz="4" w:space="0" w:color="auto"/>
              <w:bottom w:val="single" w:sz="4" w:space="0" w:color="auto"/>
            </w:tcBorders>
            <w:vAlign w:val="center"/>
          </w:tcPr>
          <w:p w14:paraId="742DBAFE" w14:textId="77777777" w:rsidR="00241417" w:rsidRPr="00200383" w:rsidRDefault="00241417" w:rsidP="003A71DE">
            <w:pPr>
              <w:pStyle w:val="TAC"/>
            </w:pPr>
            <w:r w:rsidRPr="00200383">
              <w:rPr>
                <w:lang w:eastAsia="zh-CN"/>
              </w:rPr>
              <w:t>-7.5</w:t>
            </w:r>
          </w:p>
        </w:tc>
        <w:tc>
          <w:tcPr>
            <w:tcW w:w="992" w:type="dxa"/>
            <w:tcBorders>
              <w:top w:val="single" w:sz="4" w:space="0" w:color="auto"/>
              <w:bottom w:val="single" w:sz="4" w:space="0" w:color="auto"/>
            </w:tcBorders>
            <w:vAlign w:val="center"/>
          </w:tcPr>
          <w:p w14:paraId="196B88A1" w14:textId="77777777" w:rsidR="00241417" w:rsidRPr="00200383" w:rsidRDefault="00241417" w:rsidP="003A71DE">
            <w:pPr>
              <w:pStyle w:val="TAC"/>
            </w:pPr>
            <w:r w:rsidRPr="00200383">
              <w:rPr>
                <w:lang w:eastAsia="zh-CN"/>
              </w:rPr>
              <w:t>-7.7</w:t>
            </w:r>
          </w:p>
        </w:tc>
      </w:tr>
      <w:tr w:rsidR="00241417" w:rsidRPr="00200383" w14:paraId="5E6935B2" w14:textId="77777777" w:rsidTr="003A71DE">
        <w:trPr>
          <w:jc w:val="center"/>
        </w:trPr>
        <w:tc>
          <w:tcPr>
            <w:tcW w:w="992" w:type="dxa"/>
            <w:vMerge w:val="restart"/>
            <w:vAlign w:val="center"/>
          </w:tcPr>
          <w:p w14:paraId="40723C20" w14:textId="77777777" w:rsidR="00241417" w:rsidRPr="00200383" w:rsidRDefault="00241417" w:rsidP="003A71DE">
            <w:pPr>
              <w:pStyle w:val="TAC"/>
            </w:pPr>
            <w:r w:rsidRPr="00200383">
              <w:rPr>
                <w:lang w:eastAsia="zh-CN"/>
              </w:rPr>
              <w:t>2</w:t>
            </w:r>
          </w:p>
        </w:tc>
        <w:tc>
          <w:tcPr>
            <w:tcW w:w="1134" w:type="dxa"/>
            <w:vMerge w:val="restart"/>
            <w:vAlign w:val="center"/>
          </w:tcPr>
          <w:p w14:paraId="797975CF" w14:textId="77777777" w:rsidR="00241417" w:rsidRPr="00200383" w:rsidRDefault="00241417" w:rsidP="003A71DE">
            <w:pPr>
              <w:pStyle w:val="TAC"/>
            </w:pPr>
            <w:r w:rsidRPr="00200383">
              <w:rPr>
                <w:lang w:eastAsia="zh-CN"/>
              </w:rPr>
              <w:t>1</w:t>
            </w:r>
          </w:p>
        </w:tc>
        <w:tc>
          <w:tcPr>
            <w:tcW w:w="1134" w:type="dxa"/>
            <w:tcBorders>
              <w:bottom w:val="single" w:sz="4" w:space="0" w:color="auto"/>
            </w:tcBorders>
            <w:vAlign w:val="center"/>
          </w:tcPr>
          <w:p w14:paraId="43A96C67" w14:textId="77777777" w:rsidR="00241417" w:rsidRPr="00200383" w:rsidRDefault="00241417" w:rsidP="003A71DE">
            <w:pPr>
              <w:pStyle w:val="TAC"/>
            </w:pPr>
            <w:r w:rsidRPr="00200383">
              <w:rPr>
                <w:lang w:eastAsia="zh-CN"/>
              </w:rPr>
              <w:t>2</w:t>
            </w:r>
          </w:p>
        </w:tc>
        <w:tc>
          <w:tcPr>
            <w:tcW w:w="1417" w:type="dxa"/>
            <w:tcBorders>
              <w:bottom w:val="single" w:sz="4" w:space="0" w:color="auto"/>
            </w:tcBorders>
            <w:vAlign w:val="center"/>
          </w:tcPr>
          <w:p w14:paraId="55B07BF7"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6E9096AF" w14:textId="77777777" w:rsidR="00241417" w:rsidRPr="00200383" w:rsidRDefault="00241417" w:rsidP="003A71DE">
            <w:pPr>
              <w:pStyle w:val="TAC"/>
            </w:pPr>
            <w:r w:rsidRPr="00200383">
              <w:rPr>
                <w:lang w:eastAsia="zh-CN"/>
              </w:rPr>
              <w:t>1.4</w:t>
            </w:r>
          </w:p>
        </w:tc>
        <w:tc>
          <w:tcPr>
            <w:tcW w:w="992" w:type="dxa"/>
            <w:tcBorders>
              <w:bottom w:val="single" w:sz="4" w:space="0" w:color="auto"/>
            </w:tcBorders>
            <w:vAlign w:val="center"/>
          </w:tcPr>
          <w:p w14:paraId="3BF19D41" w14:textId="77777777" w:rsidR="00241417" w:rsidRPr="00200383" w:rsidRDefault="00241417" w:rsidP="003A71DE">
            <w:pPr>
              <w:pStyle w:val="TAC"/>
            </w:pPr>
            <w:r w:rsidRPr="00200383">
              <w:rPr>
                <w:lang w:eastAsia="zh-CN"/>
              </w:rPr>
              <w:t>2.2</w:t>
            </w:r>
          </w:p>
        </w:tc>
        <w:tc>
          <w:tcPr>
            <w:tcW w:w="992" w:type="dxa"/>
            <w:tcBorders>
              <w:bottom w:val="single" w:sz="4" w:space="0" w:color="auto"/>
            </w:tcBorders>
            <w:vAlign w:val="center"/>
          </w:tcPr>
          <w:p w14:paraId="3F2A8CD2" w14:textId="77777777" w:rsidR="00241417" w:rsidRPr="00200383" w:rsidRDefault="00241417" w:rsidP="003A71DE">
            <w:pPr>
              <w:pStyle w:val="TAC"/>
            </w:pPr>
            <w:r w:rsidRPr="00200383">
              <w:rPr>
                <w:lang w:eastAsia="zh-CN"/>
              </w:rPr>
              <w:t>2.0</w:t>
            </w:r>
          </w:p>
        </w:tc>
      </w:tr>
      <w:tr w:rsidR="00241417" w:rsidRPr="00200383" w14:paraId="323C48C3" w14:textId="77777777" w:rsidTr="003A71DE">
        <w:trPr>
          <w:jc w:val="center"/>
        </w:trPr>
        <w:tc>
          <w:tcPr>
            <w:tcW w:w="992" w:type="dxa"/>
            <w:vMerge/>
            <w:vAlign w:val="center"/>
          </w:tcPr>
          <w:p w14:paraId="053DCC9A" w14:textId="77777777" w:rsidR="00241417" w:rsidRPr="00200383" w:rsidRDefault="00241417" w:rsidP="003A71DE">
            <w:pPr>
              <w:pStyle w:val="TAC"/>
            </w:pPr>
          </w:p>
        </w:tc>
        <w:tc>
          <w:tcPr>
            <w:tcW w:w="1134" w:type="dxa"/>
            <w:vMerge/>
            <w:vAlign w:val="center"/>
          </w:tcPr>
          <w:p w14:paraId="2EDEE8BE" w14:textId="77777777" w:rsidR="00241417" w:rsidRPr="00200383" w:rsidRDefault="00241417" w:rsidP="003A71DE">
            <w:pPr>
              <w:pStyle w:val="TAC"/>
            </w:pPr>
          </w:p>
        </w:tc>
        <w:tc>
          <w:tcPr>
            <w:tcW w:w="1134" w:type="dxa"/>
            <w:tcBorders>
              <w:top w:val="single" w:sz="4" w:space="0" w:color="auto"/>
              <w:bottom w:val="single" w:sz="4" w:space="0" w:color="auto"/>
            </w:tcBorders>
            <w:vAlign w:val="center"/>
          </w:tcPr>
          <w:p w14:paraId="38938EBA" w14:textId="77777777" w:rsidR="00241417" w:rsidRPr="00200383" w:rsidRDefault="00241417" w:rsidP="003A71DE">
            <w:pPr>
              <w:pStyle w:val="TAC"/>
            </w:pPr>
            <w:r w:rsidRPr="00200383">
              <w:rPr>
                <w:lang w:eastAsia="zh-CN"/>
              </w:rPr>
              <w:t>4</w:t>
            </w:r>
          </w:p>
        </w:tc>
        <w:tc>
          <w:tcPr>
            <w:tcW w:w="1417" w:type="dxa"/>
            <w:tcBorders>
              <w:top w:val="single" w:sz="4" w:space="0" w:color="auto"/>
              <w:bottom w:val="single" w:sz="4" w:space="0" w:color="auto"/>
            </w:tcBorders>
            <w:vAlign w:val="center"/>
          </w:tcPr>
          <w:p w14:paraId="0FD736E9" w14:textId="77777777" w:rsidR="00241417" w:rsidRPr="00200383" w:rsidRDefault="00241417" w:rsidP="003A71DE">
            <w:pPr>
              <w:pStyle w:val="TAC"/>
            </w:pPr>
            <w:r w:rsidRPr="00200383">
              <w:rPr>
                <w:lang w:eastAsia="zh-CN"/>
              </w:rPr>
              <w:t>No additional DM-RS</w:t>
            </w:r>
          </w:p>
        </w:tc>
        <w:tc>
          <w:tcPr>
            <w:tcW w:w="851" w:type="dxa"/>
            <w:tcBorders>
              <w:top w:val="single" w:sz="4" w:space="0" w:color="auto"/>
              <w:bottom w:val="single" w:sz="4" w:space="0" w:color="auto"/>
            </w:tcBorders>
            <w:vAlign w:val="center"/>
          </w:tcPr>
          <w:p w14:paraId="4E624B1B" w14:textId="77777777" w:rsidR="00241417" w:rsidRPr="00200383" w:rsidRDefault="00241417" w:rsidP="003A71DE">
            <w:pPr>
              <w:pStyle w:val="TAC"/>
            </w:pPr>
            <w:r w:rsidRPr="00200383">
              <w:rPr>
                <w:lang w:eastAsia="zh-CN"/>
              </w:rPr>
              <w:t>-3.1</w:t>
            </w:r>
          </w:p>
        </w:tc>
        <w:tc>
          <w:tcPr>
            <w:tcW w:w="992" w:type="dxa"/>
            <w:tcBorders>
              <w:top w:val="single" w:sz="4" w:space="0" w:color="auto"/>
              <w:bottom w:val="single" w:sz="4" w:space="0" w:color="auto"/>
            </w:tcBorders>
            <w:vAlign w:val="center"/>
          </w:tcPr>
          <w:p w14:paraId="2BE82912" w14:textId="77777777" w:rsidR="00241417" w:rsidRPr="00200383" w:rsidRDefault="00241417" w:rsidP="003A71DE">
            <w:pPr>
              <w:pStyle w:val="TAC"/>
            </w:pPr>
            <w:r w:rsidRPr="00200383">
              <w:rPr>
                <w:lang w:eastAsia="zh-CN"/>
              </w:rPr>
              <w:t>-2.5</w:t>
            </w:r>
          </w:p>
        </w:tc>
        <w:tc>
          <w:tcPr>
            <w:tcW w:w="992" w:type="dxa"/>
            <w:tcBorders>
              <w:top w:val="single" w:sz="4" w:space="0" w:color="auto"/>
              <w:bottom w:val="single" w:sz="4" w:space="0" w:color="auto"/>
            </w:tcBorders>
            <w:vAlign w:val="center"/>
          </w:tcPr>
          <w:p w14:paraId="047C5E5A" w14:textId="77777777" w:rsidR="00241417" w:rsidRPr="00200383" w:rsidRDefault="00241417" w:rsidP="003A71DE">
            <w:pPr>
              <w:pStyle w:val="TAC"/>
            </w:pPr>
            <w:r w:rsidRPr="00200383">
              <w:rPr>
                <w:lang w:eastAsia="zh-CN"/>
              </w:rPr>
              <w:t>-2.5</w:t>
            </w:r>
          </w:p>
        </w:tc>
      </w:tr>
      <w:tr w:rsidR="00241417" w:rsidRPr="00200383" w14:paraId="2F096849" w14:textId="77777777" w:rsidTr="003A71DE">
        <w:trPr>
          <w:jc w:val="center"/>
        </w:trPr>
        <w:tc>
          <w:tcPr>
            <w:tcW w:w="992" w:type="dxa"/>
            <w:vMerge/>
            <w:tcBorders>
              <w:bottom w:val="single" w:sz="4" w:space="0" w:color="auto"/>
            </w:tcBorders>
            <w:vAlign w:val="center"/>
          </w:tcPr>
          <w:p w14:paraId="4DC01ECE" w14:textId="77777777" w:rsidR="00241417" w:rsidRPr="00200383" w:rsidRDefault="00241417" w:rsidP="003A71DE">
            <w:pPr>
              <w:pStyle w:val="TAC"/>
            </w:pPr>
          </w:p>
        </w:tc>
        <w:tc>
          <w:tcPr>
            <w:tcW w:w="1134" w:type="dxa"/>
            <w:vMerge/>
            <w:tcBorders>
              <w:bottom w:val="single" w:sz="4" w:space="0" w:color="auto"/>
            </w:tcBorders>
            <w:vAlign w:val="center"/>
          </w:tcPr>
          <w:p w14:paraId="5E6AA6FE" w14:textId="77777777" w:rsidR="00241417" w:rsidRPr="00200383" w:rsidRDefault="00241417" w:rsidP="003A71DE">
            <w:pPr>
              <w:pStyle w:val="TAC"/>
            </w:pPr>
          </w:p>
        </w:tc>
        <w:tc>
          <w:tcPr>
            <w:tcW w:w="1134" w:type="dxa"/>
            <w:tcBorders>
              <w:bottom w:val="single" w:sz="4" w:space="0" w:color="auto"/>
            </w:tcBorders>
            <w:vAlign w:val="center"/>
          </w:tcPr>
          <w:p w14:paraId="3C95362A" w14:textId="77777777" w:rsidR="00241417" w:rsidRPr="00200383" w:rsidRDefault="00241417" w:rsidP="003A71DE">
            <w:pPr>
              <w:pStyle w:val="TAC"/>
            </w:pPr>
            <w:r w:rsidRPr="00200383">
              <w:rPr>
                <w:lang w:eastAsia="zh-CN"/>
              </w:rPr>
              <w:t>8</w:t>
            </w:r>
          </w:p>
        </w:tc>
        <w:tc>
          <w:tcPr>
            <w:tcW w:w="1417" w:type="dxa"/>
            <w:tcBorders>
              <w:bottom w:val="single" w:sz="4" w:space="0" w:color="auto"/>
            </w:tcBorders>
            <w:vAlign w:val="center"/>
          </w:tcPr>
          <w:p w14:paraId="434BC592"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4CE7437C" w14:textId="77777777" w:rsidR="00241417" w:rsidRPr="00200383" w:rsidRDefault="00241417" w:rsidP="003A71DE">
            <w:pPr>
              <w:pStyle w:val="TAC"/>
            </w:pPr>
            <w:r w:rsidRPr="00200383">
              <w:rPr>
                <w:lang w:eastAsia="zh-CN"/>
              </w:rPr>
              <w:t>-6.5</w:t>
            </w:r>
          </w:p>
        </w:tc>
        <w:tc>
          <w:tcPr>
            <w:tcW w:w="992" w:type="dxa"/>
            <w:tcBorders>
              <w:bottom w:val="single" w:sz="4" w:space="0" w:color="auto"/>
            </w:tcBorders>
            <w:vAlign w:val="center"/>
          </w:tcPr>
          <w:p w14:paraId="5F14D6E5" w14:textId="77777777" w:rsidR="00241417" w:rsidRPr="00200383" w:rsidRDefault="00241417" w:rsidP="003A71DE">
            <w:pPr>
              <w:pStyle w:val="TAC"/>
            </w:pPr>
            <w:r w:rsidRPr="00200383">
              <w:rPr>
                <w:lang w:eastAsia="zh-CN"/>
              </w:rPr>
              <w:t>-6.0</w:t>
            </w:r>
          </w:p>
        </w:tc>
        <w:tc>
          <w:tcPr>
            <w:tcW w:w="992" w:type="dxa"/>
            <w:tcBorders>
              <w:bottom w:val="single" w:sz="4" w:space="0" w:color="auto"/>
            </w:tcBorders>
            <w:vAlign w:val="center"/>
          </w:tcPr>
          <w:p w14:paraId="3D84E9C8" w14:textId="77777777" w:rsidR="00241417" w:rsidRPr="00200383" w:rsidRDefault="00241417" w:rsidP="003A71DE">
            <w:pPr>
              <w:pStyle w:val="TAC"/>
            </w:pPr>
            <w:r w:rsidRPr="00200383">
              <w:rPr>
                <w:lang w:eastAsia="zh-CN"/>
              </w:rPr>
              <w:t>-6.2</w:t>
            </w:r>
          </w:p>
        </w:tc>
      </w:tr>
    </w:tbl>
    <w:p w14:paraId="16F28F11" w14:textId="77777777" w:rsidR="00241417" w:rsidRPr="00200383" w:rsidRDefault="00241417" w:rsidP="00241417"/>
    <w:p w14:paraId="72672AC8" w14:textId="77777777" w:rsidR="00241417" w:rsidRPr="00200383" w:rsidRDefault="00241417" w:rsidP="00241417">
      <w:pPr>
        <w:pStyle w:val="TH"/>
      </w:pPr>
      <w:r w:rsidRPr="00200383">
        <w:t>Table 8.</w:t>
      </w:r>
      <w:r>
        <w:t>1.</w:t>
      </w:r>
      <w:r w:rsidRPr="00200383">
        <w:t>3.5.2-2: Minimum requirements for PUCCH format 3 with 30</w:t>
      </w:r>
      <w:r w:rsidRPr="00200383">
        <w:rPr>
          <w:lang w:eastAsia="zh-CN"/>
        </w:rPr>
        <w:t xml:space="preserve"> </w:t>
      </w:r>
      <w:r w:rsidRPr="00200383">
        <w:t>kHz SCS</w:t>
      </w:r>
    </w:p>
    <w:tbl>
      <w:tblPr>
        <w:tblStyle w:val="TableGrid13"/>
        <w:tblW w:w="10348" w:type="dxa"/>
        <w:jc w:val="center"/>
        <w:tblInd w:w="0" w:type="dxa"/>
        <w:tblLayout w:type="fixed"/>
        <w:tblLook w:val="04A0" w:firstRow="1" w:lastRow="0" w:firstColumn="1" w:lastColumn="0" w:noHBand="0" w:noVBand="1"/>
      </w:tblPr>
      <w:tblGrid>
        <w:gridCol w:w="992"/>
        <w:gridCol w:w="993"/>
        <w:gridCol w:w="992"/>
        <w:gridCol w:w="850"/>
        <w:gridCol w:w="1560"/>
        <w:gridCol w:w="1417"/>
        <w:gridCol w:w="851"/>
        <w:gridCol w:w="850"/>
        <w:gridCol w:w="992"/>
        <w:gridCol w:w="851"/>
      </w:tblGrid>
      <w:tr w:rsidR="00241417" w:rsidRPr="00200383" w14:paraId="0E1E49BE" w14:textId="77777777" w:rsidTr="003A71DE">
        <w:trPr>
          <w:jc w:val="center"/>
        </w:trPr>
        <w:tc>
          <w:tcPr>
            <w:tcW w:w="992" w:type="dxa"/>
            <w:vMerge w:val="restart"/>
            <w:tcBorders>
              <w:top w:val="single" w:sz="4" w:space="0" w:color="auto"/>
            </w:tcBorders>
            <w:vAlign w:val="center"/>
          </w:tcPr>
          <w:p w14:paraId="7AE12FEA" w14:textId="77777777" w:rsidR="00241417" w:rsidRPr="00200383" w:rsidRDefault="00241417" w:rsidP="003A71DE">
            <w:pPr>
              <w:pStyle w:val="TAH"/>
            </w:pPr>
            <w:r w:rsidRPr="00200383">
              <w:t>Test Number</w:t>
            </w:r>
          </w:p>
        </w:tc>
        <w:tc>
          <w:tcPr>
            <w:tcW w:w="993" w:type="dxa"/>
            <w:vMerge w:val="restart"/>
            <w:tcBorders>
              <w:top w:val="single" w:sz="4" w:space="0" w:color="auto"/>
            </w:tcBorders>
            <w:vAlign w:val="center"/>
          </w:tcPr>
          <w:p w14:paraId="2BF82E8D" w14:textId="77777777" w:rsidR="00241417" w:rsidRPr="00200383" w:rsidRDefault="00241417" w:rsidP="003A71DE">
            <w:pPr>
              <w:pStyle w:val="TAH"/>
            </w:pPr>
            <w:r w:rsidRPr="00200383">
              <w:t>Number of TX antennas</w:t>
            </w:r>
          </w:p>
        </w:tc>
        <w:tc>
          <w:tcPr>
            <w:tcW w:w="992" w:type="dxa"/>
            <w:vMerge w:val="restart"/>
            <w:tcBorders>
              <w:top w:val="single" w:sz="4" w:space="0" w:color="auto"/>
            </w:tcBorders>
            <w:vAlign w:val="center"/>
          </w:tcPr>
          <w:p w14:paraId="6B1EAB84" w14:textId="77777777" w:rsidR="00241417" w:rsidRPr="00200383" w:rsidRDefault="00241417" w:rsidP="003A71DE">
            <w:pPr>
              <w:pStyle w:val="TAH"/>
            </w:pPr>
            <w:r w:rsidRPr="00200383">
              <w:t xml:space="preserve">Number of </w:t>
            </w:r>
            <w:r>
              <w:t>Demodulation Branches</w:t>
            </w:r>
          </w:p>
        </w:tc>
        <w:tc>
          <w:tcPr>
            <w:tcW w:w="850" w:type="dxa"/>
            <w:vMerge w:val="restart"/>
            <w:tcBorders>
              <w:top w:val="single" w:sz="4" w:space="0" w:color="auto"/>
            </w:tcBorders>
            <w:vAlign w:val="center"/>
          </w:tcPr>
          <w:p w14:paraId="12A6CE0F" w14:textId="77777777" w:rsidR="00241417" w:rsidRPr="00200383" w:rsidRDefault="00241417" w:rsidP="003A71DE">
            <w:pPr>
              <w:pStyle w:val="TAH"/>
            </w:pPr>
            <w:r w:rsidRPr="00200383">
              <w:t>Cyclic Prefix</w:t>
            </w:r>
          </w:p>
        </w:tc>
        <w:tc>
          <w:tcPr>
            <w:tcW w:w="1560" w:type="dxa"/>
            <w:vMerge w:val="restart"/>
            <w:tcBorders>
              <w:top w:val="single" w:sz="4" w:space="0" w:color="auto"/>
            </w:tcBorders>
            <w:vAlign w:val="center"/>
          </w:tcPr>
          <w:p w14:paraId="243BC687" w14:textId="60C75F4E" w:rsidR="00241417" w:rsidRPr="00200383" w:rsidRDefault="00241417" w:rsidP="003A71DE">
            <w:pPr>
              <w:pStyle w:val="TAH"/>
            </w:pPr>
            <w:r w:rsidRPr="00200383">
              <w:t>Propagation</w:t>
            </w:r>
            <w:r>
              <w:t xml:space="preserve"> </w:t>
            </w:r>
            <w:r w:rsidRPr="00200383">
              <w:t xml:space="preserve">conditions and correlation matrix (Annex </w:t>
            </w:r>
            <w:r>
              <w:t>TBA</w:t>
            </w:r>
            <w:r w:rsidRPr="00200383">
              <w:t>)</w:t>
            </w:r>
          </w:p>
        </w:tc>
        <w:tc>
          <w:tcPr>
            <w:tcW w:w="1417" w:type="dxa"/>
            <w:vMerge w:val="restart"/>
            <w:tcBorders>
              <w:top w:val="single" w:sz="4" w:space="0" w:color="auto"/>
            </w:tcBorders>
            <w:vAlign w:val="center"/>
          </w:tcPr>
          <w:p w14:paraId="243C01E9" w14:textId="77777777" w:rsidR="00241417" w:rsidRPr="00200383" w:rsidRDefault="00241417" w:rsidP="003A71DE">
            <w:pPr>
              <w:pStyle w:val="TAH"/>
            </w:pPr>
            <w:r w:rsidRPr="00200383">
              <w:t>Additional DM-RS configuration</w:t>
            </w:r>
          </w:p>
        </w:tc>
        <w:tc>
          <w:tcPr>
            <w:tcW w:w="3544" w:type="dxa"/>
            <w:gridSpan w:val="4"/>
            <w:tcBorders>
              <w:top w:val="single" w:sz="4" w:space="0" w:color="auto"/>
            </w:tcBorders>
            <w:vAlign w:val="center"/>
          </w:tcPr>
          <w:p w14:paraId="2D220B75" w14:textId="77777777" w:rsidR="00241417" w:rsidRPr="00200383" w:rsidRDefault="00241417" w:rsidP="003A71DE">
            <w:pPr>
              <w:pStyle w:val="TAH"/>
            </w:pPr>
            <w:r w:rsidRPr="00200383">
              <w:t>Channel bandwidth / SNR (dB)</w:t>
            </w:r>
          </w:p>
        </w:tc>
      </w:tr>
      <w:tr w:rsidR="00241417" w:rsidRPr="00200383" w14:paraId="5401C77F" w14:textId="77777777" w:rsidTr="003A71DE">
        <w:trPr>
          <w:jc w:val="center"/>
        </w:trPr>
        <w:tc>
          <w:tcPr>
            <w:tcW w:w="992" w:type="dxa"/>
            <w:vMerge/>
            <w:tcBorders>
              <w:bottom w:val="single" w:sz="4" w:space="0" w:color="auto"/>
            </w:tcBorders>
            <w:vAlign w:val="center"/>
          </w:tcPr>
          <w:p w14:paraId="3AFFC761" w14:textId="77777777" w:rsidR="00241417" w:rsidRPr="00200383" w:rsidRDefault="00241417" w:rsidP="003A71DE">
            <w:pPr>
              <w:pStyle w:val="TAH"/>
            </w:pPr>
          </w:p>
        </w:tc>
        <w:tc>
          <w:tcPr>
            <w:tcW w:w="993" w:type="dxa"/>
            <w:vMerge/>
            <w:tcBorders>
              <w:bottom w:val="single" w:sz="4" w:space="0" w:color="auto"/>
            </w:tcBorders>
            <w:vAlign w:val="center"/>
          </w:tcPr>
          <w:p w14:paraId="0190A76A" w14:textId="77777777" w:rsidR="00241417" w:rsidRPr="00200383" w:rsidRDefault="00241417" w:rsidP="003A71DE">
            <w:pPr>
              <w:pStyle w:val="TAH"/>
            </w:pPr>
          </w:p>
        </w:tc>
        <w:tc>
          <w:tcPr>
            <w:tcW w:w="992" w:type="dxa"/>
            <w:vMerge/>
            <w:tcBorders>
              <w:bottom w:val="single" w:sz="4" w:space="0" w:color="auto"/>
            </w:tcBorders>
            <w:vAlign w:val="center"/>
          </w:tcPr>
          <w:p w14:paraId="25733273" w14:textId="77777777" w:rsidR="00241417" w:rsidRPr="00200383" w:rsidRDefault="00241417" w:rsidP="003A71DE">
            <w:pPr>
              <w:pStyle w:val="TAH"/>
            </w:pPr>
          </w:p>
        </w:tc>
        <w:tc>
          <w:tcPr>
            <w:tcW w:w="850" w:type="dxa"/>
            <w:vMerge/>
            <w:tcBorders>
              <w:bottom w:val="single" w:sz="4" w:space="0" w:color="auto"/>
            </w:tcBorders>
            <w:vAlign w:val="center"/>
          </w:tcPr>
          <w:p w14:paraId="4F632E4F" w14:textId="77777777" w:rsidR="00241417" w:rsidRPr="00200383" w:rsidRDefault="00241417" w:rsidP="003A71DE">
            <w:pPr>
              <w:pStyle w:val="TAH"/>
            </w:pPr>
          </w:p>
        </w:tc>
        <w:tc>
          <w:tcPr>
            <w:tcW w:w="1560" w:type="dxa"/>
            <w:vMerge/>
            <w:tcBorders>
              <w:bottom w:val="single" w:sz="4" w:space="0" w:color="auto"/>
            </w:tcBorders>
            <w:vAlign w:val="center"/>
          </w:tcPr>
          <w:p w14:paraId="2AF46B73" w14:textId="77777777" w:rsidR="00241417" w:rsidRPr="00200383" w:rsidRDefault="00241417" w:rsidP="003A71DE">
            <w:pPr>
              <w:pStyle w:val="TAH"/>
            </w:pPr>
          </w:p>
        </w:tc>
        <w:tc>
          <w:tcPr>
            <w:tcW w:w="1417" w:type="dxa"/>
            <w:vMerge/>
            <w:tcBorders>
              <w:bottom w:val="single" w:sz="4" w:space="0" w:color="auto"/>
            </w:tcBorders>
            <w:vAlign w:val="center"/>
          </w:tcPr>
          <w:p w14:paraId="7DCAD55E" w14:textId="77777777" w:rsidR="00241417" w:rsidRPr="00200383" w:rsidRDefault="00241417" w:rsidP="003A71DE">
            <w:pPr>
              <w:pStyle w:val="TAH"/>
            </w:pPr>
          </w:p>
        </w:tc>
        <w:tc>
          <w:tcPr>
            <w:tcW w:w="851" w:type="dxa"/>
            <w:tcBorders>
              <w:top w:val="single" w:sz="4" w:space="0" w:color="auto"/>
              <w:bottom w:val="single" w:sz="4" w:space="0" w:color="auto"/>
            </w:tcBorders>
            <w:vAlign w:val="center"/>
          </w:tcPr>
          <w:p w14:paraId="696878FF" w14:textId="77777777" w:rsidR="00241417" w:rsidRPr="00200383" w:rsidRDefault="00241417" w:rsidP="003A71DE">
            <w:pPr>
              <w:pStyle w:val="TAH"/>
            </w:pPr>
            <w:r w:rsidRPr="00200383">
              <w:t>10 MHz</w:t>
            </w:r>
          </w:p>
        </w:tc>
        <w:tc>
          <w:tcPr>
            <w:tcW w:w="850" w:type="dxa"/>
            <w:tcBorders>
              <w:top w:val="single" w:sz="4" w:space="0" w:color="auto"/>
              <w:bottom w:val="single" w:sz="4" w:space="0" w:color="auto"/>
            </w:tcBorders>
            <w:vAlign w:val="center"/>
          </w:tcPr>
          <w:p w14:paraId="67F6C698" w14:textId="77777777" w:rsidR="00241417" w:rsidRPr="00200383" w:rsidRDefault="00241417" w:rsidP="003A71DE">
            <w:pPr>
              <w:pStyle w:val="TAH"/>
            </w:pPr>
            <w:r w:rsidRPr="00200383">
              <w:t>20 MHz</w:t>
            </w:r>
          </w:p>
        </w:tc>
        <w:tc>
          <w:tcPr>
            <w:tcW w:w="992" w:type="dxa"/>
            <w:tcBorders>
              <w:top w:val="single" w:sz="4" w:space="0" w:color="auto"/>
              <w:bottom w:val="single" w:sz="4" w:space="0" w:color="auto"/>
            </w:tcBorders>
            <w:vAlign w:val="center"/>
          </w:tcPr>
          <w:p w14:paraId="012DAE02" w14:textId="77777777" w:rsidR="00241417" w:rsidRPr="00200383" w:rsidRDefault="00241417" w:rsidP="003A71DE">
            <w:pPr>
              <w:pStyle w:val="TAH"/>
            </w:pPr>
            <w:r w:rsidRPr="00200383">
              <w:t>40 MHz</w:t>
            </w:r>
          </w:p>
        </w:tc>
        <w:tc>
          <w:tcPr>
            <w:tcW w:w="851" w:type="dxa"/>
            <w:tcBorders>
              <w:top w:val="single" w:sz="4" w:space="0" w:color="auto"/>
              <w:bottom w:val="single" w:sz="4" w:space="0" w:color="auto"/>
            </w:tcBorders>
            <w:vAlign w:val="center"/>
          </w:tcPr>
          <w:p w14:paraId="50792EB5" w14:textId="77777777" w:rsidR="00241417" w:rsidRPr="00200383" w:rsidRDefault="00241417" w:rsidP="003A71DE">
            <w:pPr>
              <w:pStyle w:val="TAH"/>
            </w:pPr>
            <w:r w:rsidRPr="00200383">
              <w:t>100 MHz</w:t>
            </w:r>
          </w:p>
        </w:tc>
      </w:tr>
      <w:tr w:rsidR="00241417" w:rsidRPr="00200383" w14:paraId="7CE119FC" w14:textId="77777777" w:rsidTr="003A71DE">
        <w:trPr>
          <w:jc w:val="center"/>
        </w:trPr>
        <w:tc>
          <w:tcPr>
            <w:tcW w:w="992" w:type="dxa"/>
            <w:vMerge w:val="restart"/>
            <w:vAlign w:val="center"/>
          </w:tcPr>
          <w:p w14:paraId="634F2E19" w14:textId="77777777" w:rsidR="00241417" w:rsidRPr="00200383" w:rsidRDefault="00241417" w:rsidP="003A71DE">
            <w:pPr>
              <w:pStyle w:val="TAC"/>
            </w:pPr>
            <w:r w:rsidRPr="00200383">
              <w:rPr>
                <w:lang w:eastAsia="zh-CN"/>
              </w:rPr>
              <w:t>1</w:t>
            </w:r>
          </w:p>
        </w:tc>
        <w:tc>
          <w:tcPr>
            <w:tcW w:w="993" w:type="dxa"/>
            <w:vMerge w:val="restart"/>
            <w:vAlign w:val="center"/>
          </w:tcPr>
          <w:p w14:paraId="6FA8628D" w14:textId="77777777" w:rsidR="00241417" w:rsidRPr="00200383" w:rsidRDefault="00241417" w:rsidP="003A71DE">
            <w:pPr>
              <w:pStyle w:val="TAC"/>
            </w:pPr>
            <w:r w:rsidRPr="00200383">
              <w:rPr>
                <w:lang w:eastAsia="zh-CN"/>
              </w:rPr>
              <w:t>1</w:t>
            </w:r>
          </w:p>
        </w:tc>
        <w:tc>
          <w:tcPr>
            <w:tcW w:w="992" w:type="dxa"/>
            <w:vMerge w:val="restart"/>
            <w:vAlign w:val="center"/>
          </w:tcPr>
          <w:p w14:paraId="29D9A386" w14:textId="77777777" w:rsidR="00241417" w:rsidRPr="00200383" w:rsidRDefault="00241417" w:rsidP="003A71DE">
            <w:pPr>
              <w:pStyle w:val="TAC"/>
            </w:pPr>
            <w:r w:rsidRPr="00200383">
              <w:rPr>
                <w:lang w:eastAsia="zh-CN"/>
              </w:rPr>
              <w:t>2</w:t>
            </w:r>
          </w:p>
        </w:tc>
        <w:tc>
          <w:tcPr>
            <w:tcW w:w="850" w:type="dxa"/>
            <w:vMerge w:val="restart"/>
            <w:vAlign w:val="center"/>
          </w:tcPr>
          <w:p w14:paraId="1D631F87" w14:textId="77777777" w:rsidR="00241417" w:rsidRPr="00200383" w:rsidRDefault="00241417" w:rsidP="003A71DE">
            <w:pPr>
              <w:pStyle w:val="TAC"/>
            </w:pPr>
            <w:r w:rsidRPr="00200383">
              <w:t>Normal</w:t>
            </w:r>
          </w:p>
        </w:tc>
        <w:tc>
          <w:tcPr>
            <w:tcW w:w="1560" w:type="dxa"/>
            <w:vMerge w:val="restart"/>
            <w:vAlign w:val="center"/>
          </w:tcPr>
          <w:p w14:paraId="7EBD3B55" w14:textId="77777777" w:rsidR="00241417" w:rsidRPr="00200383" w:rsidRDefault="00241417" w:rsidP="003A71DE">
            <w:pPr>
              <w:pStyle w:val="TAC"/>
            </w:pPr>
            <w:r w:rsidRPr="00200383">
              <w:t>TDLC300-100</w:t>
            </w:r>
            <w:r w:rsidRPr="00200383" w:rsidDel="002E550C">
              <w:t xml:space="preserve"> </w:t>
            </w:r>
            <w:r w:rsidRPr="00200383">
              <w:t>Low</w:t>
            </w:r>
          </w:p>
        </w:tc>
        <w:tc>
          <w:tcPr>
            <w:tcW w:w="1417" w:type="dxa"/>
            <w:tcBorders>
              <w:bottom w:val="single" w:sz="4" w:space="0" w:color="auto"/>
            </w:tcBorders>
            <w:vAlign w:val="center"/>
          </w:tcPr>
          <w:p w14:paraId="3C9A1C0C"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7F32CF0C" w14:textId="77777777" w:rsidR="00241417" w:rsidRPr="00200383" w:rsidRDefault="00241417" w:rsidP="003A71DE">
            <w:pPr>
              <w:pStyle w:val="TAC"/>
            </w:pPr>
            <w:r w:rsidRPr="00200383">
              <w:rPr>
                <w:lang w:eastAsia="zh-CN"/>
              </w:rPr>
              <w:t>0.9</w:t>
            </w:r>
          </w:p>
        </w:tc>
        <w:tc>
          <w:tcPr>
            <w:tcW w:w="850" w:type="dxa"/>
            <w:tcBorders>
              <w:bottom w:val="single" w:sz="4" w:space="0" w:color="auto"/>
            </w:tcBorders>
            <w:vAlign w:val="center"/>
          </w:tcPr>
          <w:p w14:paraId="5B3E05A1" w14:textId="77777777" w:rsidR="00241417" w:rsidRPr="00200383" w:rsidRDefault="00241417" w:rsidP="003A71DE">
            <w:pPr>
              <w:pStyle w:val="TAC"/>
            </w:pPr>
            <w:r w:rsidRPr="00200383">
              <w:rPr>
                <w:lang w:eastAsia="zh-CN"/>
              </w:rPr>
              <w:t>0.6</w:t>
            </w:r>
          </w:p>
        </w:tc>
        <w:tc>
          <w:tcPr>
            <w:tcW w:w="992" w:type="dxa"/>
            <w:tcBorders>
              <w:bottom w:val="single" w:sz="4" w:space="0" w:color="auto"/>
            </w:tcBorders>
            <w:vAlign w:val="center"/>
          </w:tcPr>
          <w:p w14:paraId="756ADE82" w14:textId="77777777" w:rsidR="00241417" w:rsidRPr="00200383" w:rsidRDefault="00241417" w:rsidP="003A71DE">
            <w:pPr>
              <w:pStyle w:val="TAC"/>
            </w:pPr>
            <w:r w:rsidRPr="00200383">
              <w:rPr>
                <w:lang w:eastAsia="zh-CN"/>
              </w:rPr>
              <w:t>0.6</w:t>
            </w:r>
          </w:p>
        </w:tc>
        <w:tc>
          <w:tcPr>
            <w:tcW w:w="851" w:type="dxa"/>
            <w:tcBorders>
              <w:bottom w:val="single" w:sz="4" w:space="0" w:color="auto"/>
            </w:tcBorders>
            <w:vAlign w:val="center"/>
          </w:tcPr>
          <w:p w14:paraId="1FE70615" w14:textId="77777777" w:rsidR="00241417" w:rsidRPr="00200383" w:rsidRDefault="00241417" w:rsidP="003A71DE">
            <w:pPr>
              <w:pStyle w:val="TAC"/>
            </w:pPr>
            <w:r w:rsidRPr="00200383">
              <w:rPr>
                <w:lang w:eastAsia="zh-CN"/>
              </w:rPr>
              <w:t>0.9</w:t>
            </w:r>
          </w:p>
        </w:tc>
      </w:tr>
      <w:tr w:rsidR="00241417" w:rsidRPr="00200383" w14:paraId="572F92F5" w14:textId="77777777" w:rsidTr="003A71DE">
        <w:trPr>
          <w:jc w:val="center"/>
        </w:trPr>
        <w:tc>
          <w:tcPr>
            <w:tcW w:w="992" w:type="dxa"/>
            <w:vMerge/>
            <w:vAlign w:val="center"/>
          </w:tcPr>
          <w:p w14:paraId="62AEC7E3" w14:textId="77777777" w:rsidR="00241417" w:rsidRPr="00200383" w:rsidRDefault="00241417" w:rsidP="003A71DE">
            <w:pPr>
              <w:pStyle w:val="TAC"/>
            </w:pPr>
          </w:p>
        </w:tc>
        <w:tc>
          <w:tcPr>
            <w:tcW w:w="993" w:type="dxa"/>
            <w:vMerge/>
            <w:vAlign w:val="center"/>
          </w:tcPr>
          <w:p w14:paraId="66374CAB" w14:textId="77777777" w:rsidR="00241417" w:rsidRPr="00200383" w:rsidRDefault="00241417" w:rsidP="003A71DE">
            <w:pPr>
              <w:pStyle w:val="TAC"/>
            </w:pPr>
          </w:p>
        </w:tc>
        <w:tc>
          <w:tcPr>
            <w:tcW w:w="992" w:type="dxa"/>
            <w:vMerge/>
            <w:tcBorders>
              <w:bottom w:val="single" w:sz="4" w:space="0" w:color="auto"/>
            </w:tcBorders>
            <w:vAlign w:val="center"/>
          </w:tcPr>
          <w:p w14:paraId="728529F7" w14:textId="77777777" w:rsidR="00241417" w:rsidRPr="00200383" w:rsidRDefault="00241417" w:rsidP="003A71DE">
            <w:pPr>
              <w:pStyle w:val="TAC"/>
            </w:pPr>
          </w:p>
        </w:tc>
        <w:tc>
          <w:tcPr>
            <w:tcW w:w="850" w:type="dxa"/>
            <w:vMerge/>
            <w:tcBorders>
              <w:bottom w:val="single" w:sz="4" w:space="0" w:color="auto"/>
            </w:tcBorders>
            <w:vAlign w:val="center"/>
          </w:tcPr>
          <w:p w14:paraId="79A7CD81" w14:textId="77777777" w:rsidR="00241417" w:rsidRPr="00200383" w:rsidRDefault="00241417" w:rsidP="003A71DE">
            <w:pPr>
              <w:pStyle w:val="TAC"/>
            </w:pPr>
          </w:p>
        </w:tc>
        <w:tc>
          <w:tcPr>
            <w:tcW w:w="1560" w:type="dxa"/>
            <w:vMerge/>
            <w:tcBorders>
              <w:bottom w:val="single" w:sz="4" w:space="0" w:color="auto"/>
            </w:tcBorders>
            <w:vAlign w:val="center"/>
          </w:tcPr>
          <w:p w14:paraId="3583D9E8" w14:textId="77777777" w:rsidR="00241417" w:rsidRPr="00200383" w:rsidRDefault="00241417" w:rsidP="003A71DE">
            <w:pPr>
              <w:pStyle w:val="TAC"/>
            </w:pPr>
          </w:p>
        </w:tc>
        <w:tc>
          <w:tcPr>
            <w:tcW w:w="1417" w:type="dxa"/>
            <w:tcBorders>
              <w:bottom w:val="single" w:sz="4" w:space="0" w:color="auto"/>
            </w:tcBorders>
            <w:vAlign w:val="center"/>
          </w:tcPr>
          <w:p w14:paraId="1E4B5F7E" w14:textId="77777777" w:rsidR="00241417" w:rsidRPr="00200383" w:rsidRDefault="00241417" w:rsidP="003A71DE">
            <w:pPr>
              <w:pStyle w:val="TAC"/>
            </w:pPr>
            <w:r w:rsidRPr="00200383">
              <w:rPr>
                <w:lang w:eastAsia="zh-CN"/>
              </w:rPr>
              <w:t>Additional DM-RS</w:t>
            </w:r>
          </w:p>
        </w:tc>
        <w:tc>
          <w:tcPr>
            <w:tcW w:w="851" w:type="dxa"/>
            <w:tcBorders>
              <w:bottom w:val="single" w:sz="4" w:space="0" w:color="auto"/>
            </w:tcBorders>
            <w:vAlign w:val="center"/>
          </w:tcPr>
          <w:p w14:paraId="4C9B1FD1" w14:textId="77777777" w:rsidR="00241417" w:rsidRPr="00200383" w:rsidRDefault="00241417" w:rsidP="003A71DE">
            <w:pPr>
              <w:pStyle w:val="TAC"/>
            </w:pPr>
            <w:r w:rsidRPr="00200383">
              <w:rPr>
                <w:lang w:eastAsia="zh-CN"/>
              </w:rPr>
              <w:t>0.5</w:t>
            </w:r>
          </w:p>
        </w:tc>
        <w:tc>
          <w:tcPr>
            <w:tcW w:w="850" w:type="dxa"/>
            <w:tcBorders>
              <w:bottom w:val="single" w:sz="4" w:space="0" w:color="auto"/>
            </w:tcBorders>
            <w:vAlign w:val="center"/>
          </w:tcPr>
          <w:p w14:paraId="762073DB" w14:textId="77777777" w:rsidR="00241417" w:rsidRPr="00200383" w:rsidRDefault="00241417" w:rsidP="003A71DE">
            <w:pPr>
              <w:pStyle w:val="TAC"/>
            </w:pPr>
            <w:r w:rsidRPr="00200383">
              <w:rPr>
                <w:lang w:eastAsia="zh-CN"/>
              </w:rPr>
              <w:t>0.3</w:t>
            </w:r>
          </w:p>
        </w:tc>
        <w:tc>
          <w:tcPr>
            <w:tcW w:w="992" w:type="dxa"/>
            <w:tcBorders>
              <w:bottom w:val="single" w:sz="4" w:space="0" w:color="auto"/>
            </w:tcBorders>
            <w:vAlign w:val="center"/>
          </w:tcPr>
          <w:p w14:paraId="56099E14" w14:textId="77777777" w:rsidR="00241417" w:rsidRPr="00200383" w:rsidRDefault="00241417" w:rsidP="003A71DE">
            <w:pPr>
              <w:pStyle w:val="TAC"/>
            </w:pPr>
            <w:r w:rsidRPr="00200383">
              <w:rPr>
                <w:lang w:eastAsia="zh-CN"/>
              </w:rPr>
              <w:t>0.0</w:t>
            </w:r>
          </w:p>
        </w:tc>
        <w:tc>
          <w:tcPr>
            <w:tcW w:w="851" w:type="dxa"/>
            <w:tcBorders>
              <w:bottom w:val="single" w:sz="4" w:space="0" w:color="auto"/>
            </w:tcBorders>
            <w:vAlign w:val="center"/>
          </w:tcPr>
          <w:p w14:paraId="4A02597B" w14:textId="77777777" w:rsidR="00241417" w:rsidRPr="00200383" w:rsidRDefault="00241417" w:rsidP="003A71DE">
            <w:pPr>
              <w:pStyle w:val="TAC"/>
            </w:pPr>
            <w:r w:rsidRPr="00200383">
              <w:rPr>
                <w:lang w:eastAsia="zh-CN"/>
              </w:rPr>
              <w:t>0.1</w:t>
            </w:r>
          </w:p>
        </w:tc>
      </w:tr>
      <w:tr w:rsidR="00241417" w:rsidRPr="00200383" w14:paraId="6D5836F9" w14:textId="77777777" w:rsidTr="003A71DE">
        <w:trPr>
          <w:jc w:val="center"/>
        </w:trPr>
        <w:tc>
          <w:tcPr>
            <w:tcW w:w="992" w:type="dxa"/>
            <w:vMerge/>
            <w:vAlign w:val="center"/>
          </w:tcPr>
          <w:p w14:paraId="5725A196" w14:textId="77777777" w:rsidR="00241417" w:rsidRPr="00200383" w:rsidRDefault="00241417" w:rsidP="003A71DE">
            <w:pPr>
              <w:pStyle w:val="TAC"/>
            </w:pPr>
          </w:p>
        </w:tc>
        <w:tc>
          <w:tcPr>
            <w:tcW w:w="993" w:type="dxa"/>
            <w:vMerge/>
            <w:vAlign w:val="center"/>
          </w:tcPr>
          <w:p w14:paraId="59B4D680" w14:textId="77777777" w:rsidR="00241417" w:rsidRPr="00200383" w:rsidRDefault="00241417" w:rsidP="003A71DE">
            <w:pPr>
              <w:pStyle w:val="TAC"/>
            </w:pPr>
          </w:p>
        </w:tc>
        <w:tc>
          <w:tcPr>
            <w:tcW w:w="992" w:type="dxa"/>
            <w:vMerge w:val="restart"/>
            <w:vAlign w:val="center"/>
          </w:tcPr>
          <w:p w14:paraId="0995D2A2" w14:textId="77777777" w:rsidR="00241417" w:rsidRPr="00200383" w:rsidRDefault="00241417" w:rsidP="003A71DE">
            <w:pPr>
              <w:pStyle w:val="TAC"/>
            </w:pPr>
            <w:r w:rsidRPr="00200383">
              <w:rPr>
                <w:lang w:eastAsia="zh-CN"/>
              </w:rPr>
              <w:t>4</w:t>
            </w:r>
          </w:p>
        </w:tc>
        <w:tc>
          <w:tcPr>
            <w:tcW w:w="850" w:type="dxa"/>
            <w:vMerge w:val="restart"/>
            <w:vAlign w:val="center"/>
          </w:tcPr>
          <w:p w14:paraId="53BE3411" w14:textId="77777777" w:rsidR="00241417" w:rsidRPr="00200383" w:rsidRDefault="00241417" w:rsidP="003A71DE">
            <w:pPr>
              <w:pStyle w:val="TAC"/>
            </w:pPr>
            <w:r w:rsidRPr="00200383">
              <w:t>Normal</w:t>
            </w:r>
          </w:p>
        </w:tc>
        <w:tc>
          <w:tcPr>
            <w:tcW w:w="1560" w:type="dxa"/>
            <w:vMerge w:val="restart"/>
            <w:vAlign w:val="center"/>
          </w:tcPr>
          <w:p w14:paraId="42E05840" w14:textId="77777777" w:rsidR="00241417" w:rsidRPr="00200383" w:rsidRDefault="00241417" w:rsidP="003A71DE">
            <w:pPr>
              <w:pStyle w:val="TAC"/>
            </w:pPr>
            <w:r w:rsidRPr="00200383">
              <w:t>TDLC300-100</w:t>
            </w:r>
            <w:r w:rsidRPr="00200383" w:rsidDel="002E550C">
              <w:t xml:space="preserve"> </w:t>
            </w:r>
            <w:r w:rsidRPr="00200383">
              <w:t>Low</w:t>
            </w:r>
          </w:p>
        </w:tc>
        <w:tc>
          <w:tcPr>
            <w:tcW w:w="1417" w:type="dxa"/>
            <w:tcBorders>
              <w:bottom w:val="single" w:sz="4" w:space="0" w:color="auto"/>
            </w:tcBorders>
            <w:vAlign w:val="center"/>
          </w:tcPr>
          <w:p w14:paraId="33A6748E"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13D2353E" w14:textId="77777777" w:rsidR="00241417" w:rsidRPr="00200383" w:rsidRDefault="00241417" w:rsidP="003A71DE">
            <w:pPr>
              <w:pStyle w:val="TAC"/>
            </w:pPr>
            <w:r w:rsidRPr="00200383">
              <w:rPr>
                <w:lang w:eastAsia="zh-CN"/>
              </w:rPr>
              <w:t>-3.1</w:t>
            </w:r>
          </w:p>
        </w:tc>
        <w:tc>
          <w:tcPr>
            <w:tcW w:w="850" w:type="dxa"/>
            <w:tcBorders>
              <w:bottom w:val="single" w:sz="4" w:space="0" w:color="auto"/>
            </w:tcBorders>
            <w:vAlign w:val="center"/>
          </w:tcPr>
          <w:p w14:paraId="02515435" w14:textId="77777777" w:rsidR="00241417" w:rsidRPr="00200383" w:rsidRDefault="00241417" w:rsidP="003A71DE">
            <w:pPr>
              <w:pStyle w:val="TAC"/>
            </w:pPr>
            <w:r w:rsidRPr="00200383">
              <w:rPr>
                <w:lang w:eastAsia="zh-CN"/>
              </w:rPr>
              <w:t>-3.4</w:t>
            </w:r>
          </w:p>
        </w:tc>
        <w:tc>
          <w:tcPr>
            <w:tcW w:w="992" w:type="dxa"/>
            <w:tcBorders>
              <w:bottom w:val="single" w:sz="4" w:space="0" w:color="auto"/>
            </w:tcBorders>
            <w:vAlign w:val="center"/>
          </w:tcPr>
          <w:p w14:paraId="05183014" w14:textId="77777777" w:rsidR="00241417" w:rsidRPr="00200383" w:rsidRDefault="00241417" w:rsidP="003A71DE">
            <w:pPr>
              <w:pStyle w:val="TAC"/>
            </w:pPr>
            <w:r w:rsidRPr="00200383">
              <w:rPr>
                <w:lang w:eastAsia="zh-CN"/>
              </w:rPr>
              <w:t>-3.2</w:t>
            </w:r>
          </w:p>
        </w:tc>
        <w:tc>
          <w:tcPr>
            <w:tcW w:w="851" w:type="dxa"/>
            <w:tcBorders>
              <w:bottom w:val="single" w:sz="4" w:space="0" w:color="auto"/>
            </w:tcBorders>
            <w:vAlign w:val="center"/>
          </w:tcPr>
          <w:p w14:paraId="0BF912F0" w14:textId="77777777" w:rsidR="00241417" w:rsidRPr="00200383" w:rsidRDefault="00241417" w:rsidP="003A71DE">
            <w:pPr>
              <w:pStyle w:val="TAC"/>
            </w:pPr>
            <w:r w:rsidRPr="00200383">
              <w:rPr>
                <w:lang w:eastAsia="zh-CN"/>
              </w:rPr>
              <w:t>-3.5</w:t>
            </w:r>
          </w:p>
        </w:tc>
      </w:tr>
      <w:tr w:rsidR="00241417" w:rsidRPr="00200383" w14:paraId="602093D1" w14:textId="77777777" w:rsidTr="003A71DE">
        <w:trPr>
          <w:jc w:val="center"/>
        </w:trPr>
        <w:tc>
          <w:tcPr>
            <w:tcW w:w="992" w:type="dxa"/>
            <w:vMerge/>
            <w:vAlign w:val="center"/>
          </w:tcPr>
          <w:p w14:paraId="6C41EF6F" w14:textId="77777777" w:rsidR="00241417" w:rsidRPr="00200383" w:rsidRDefault="00241417" w:rsidP="003A71DE">
            <w:pPr>
              <w:pStyle w:val="TAC"/>
            </w:pPr>
          </w:p>
        </w:tc>
        <w:tc>
          <w:tcPr>
            <w:tcW w:w="993" w:type="dxa"/>
            <w:vMerge/>
            <w:vAlign w:val="center"/>
          </w:tcPr>
          <w:p w14:paraId="388B6DBC" w14:textId="77777777" w:rsidR="00241417" w:rsidRPr="00200383" w:rsidRDefault="00241417" w:rsidP="003A71DE">
            <w:pPr>
              <w:pStyle w:val="TAC"/>
            </w:pPr>
          </w:p>
        </w:tc>
        <w:tc>
          <w:tcPr>
            <w:tcW w:w="992" w:type="dxa"/>
            <w:vMerge/>
            <w:tcBorders>
              <w:bottom w:val="single" w:sz="4" w:space="0" w:color="auto"/>
            </w:tcBorders>
            <w:vAlign w:val="center"/>
          </w:tcPr>
          <w:p w14:paraId="57FD9B3D" w14:textId="77777777" w:rsidR="00241417" w:rsidRPr="00200383" w:rsidRDefault="00241417" w:rsidP="003A71DE">
            <w:pPr>
              <w:pStyle w:val="TAC"/>
            </w:pPr>
          </w:p>
        </w:tc>
        <w:tc>
          <w:tcPr>
            <w:tcW w:w="850" w:type="dxa"/>
            <w:vMerge/>
            <w:tcBorders>
              <w:bottom w:val="single" w:sz="4" w:space="0" w:color="auto"/>
            </w:tcBorders>
            <w:vAlign w:val="center"/>
          </w:tcPr>
          <w:p w14:paraId="37395A1D" w14:textId="77777777" w:rsidR="00241417" w:rsidRPr="00200383" w:rsidRDefault="00241417" w:rsidP="003A71DE">
            <w:pPr>
              <w:pStyle w:val="TAC"/>
            </w:pPr>
          </w:p>
        </w:tc>
        <w:tc>
          <w:tcPr>
            <w:tcW w:w="1560" w:type="dxa"/>
            <w:vMerge/>
            <w:tcBorders>
              <w:bottom w:val="single" w:sz="4" w:space="0" w:color="auto"/>
            </w:tcBorders>
            <w:vAlign w:val="center"/>
          </w:tcPr>
          <w:p w14:paraId="2E42D40B" w14:textId="77777777" w:rsidR="00241417" w:rsidRPr="00200383" w:rsidRDefault="00241417" w:rsidP="003A71DE">
            <w:pPr>
              <w:pStyle w:val="TAC"/>
            </w:pPr>
          </w:p>
        </w:tc>
        <w:tc>
          <w:tcPr>
            <w:tcW w:w="1417" w:type="dxa"/>
            <w:tcBorders>
              <w:bottom w:val="single" w:sz="4" w:space="0" w:color="auto"/>
            </w:tcBorders>
            <w:vAlign w:val="center"/>
          </w:tcPr>
          <w:p w14:paraId="54CD64BD" w14:textId="77777777" w:rsidR="00241417" w:rsidRPr="00200383" w:rsidRDefault="00241417" w:rsidP="003A71DE">
            <w:pPr>
              <w:pStyle w:val="TAC"/>
            </w:pPr>
            <w:r w:rsidRPr="00200383">
              <w:rPr>
                <w:lang w:eastAsia="zh-CN"/>
              </w:rPr>
              <w:t>Additional DM-RS</w:t>
            </w:r>
          </w:p>
        </w:tc>
        <w:tc>
          <w:tcPr>
            <w:tcW w:w="851" w:type="dxa"/>
            <w:tcBorders>
              <w:bottom w:val="single" w:sz="4" w:space="0" w:color="auto"/>
            </w:tcBorders>
            <w:vAlign w:val="center"/>
          </w:tcPr>
          <w:p w14:paraId="669E9015" w14:textId="77777777" w:rsidR="00241417" w:rsidRPr="00200383" w:rsidRDefault="00241417" w:rsidP="003A71DE">
            <w:pPr>
              <w:pStyle w:val="TAC"/>
            </w:pPr>
            <w:r w:rsidRPr="00200383">
              <w:rPr>
                <w:lang w:eastAsia="zh-CN"/>
              </w:rPr>
              <w:t>-3.7</w:t>
            </w:r>
          </w:p>
        </w:tc>
        <w:tc>
          <w:tcPr>
            <w:tcW w:w="850" w:type="dxa"/>
            <w:tcBorders>
              <w:bottom w:val="single" w:sz="4" w:space="0" w:color="auto"/>
            </w:tcBorders>
            <w:vAlign w:val="center"/>
          </w:tcPr>
          <w:p w14:paraId="6C0A6545" w14:textId="77777777" w:rsidR="00241417" w:rsidRPr="00200383" w:rsidRDefault="00241417" w:rsidP="003A71DE">
            <w:pPr>
              <w:pStyle w:val="TAC"/>
            </w:pPr>
            <w:r w:rsidRPr="00200383">
              <w:rPr>
                <w:lang w:eastAsia="zh-CN"/>
              </w:rPr>
              <w:t>-4.1</w:t>
            </w:r>
          </w:p>
        </w:tc>
        <w:tc>
          <w:tcPr>
            <w:tcW w:w="992" w:type="dxa"/>
            <w:tcBorders>
              <w:bottom w:val="single" w:sz="4" w:space="0" w:color="auto"/>
            </w:tcBorders>
            <w:vAlign w:val="center"/>
          </w:tcPr>
          <w:p w14:paraId="65DBFAA1" w14:textId="77777777" w:rsidR="00241417" w:rsidRPr="00200383" w:rsidRDefault="00241417" w:rsidP="003A71DE">
            <w:pPr>
              <w:pStyle w:val="TAC"/>
            </w:pPr>
            <w:r w:rsidRPr="00200383">
              <w:rPr>
                <w:lang w:eastAsia="zh-CN"/>
              </w:rPr>
              <w:t>-4.0</w:t>
            </w:r>
          </w:p>
        </w:tc>
        <w:tc>
          <w:tcPr>
            <w:tcW w:w="851" w:type="dxa"/>
            <w:tcBorders>
              <w:bottom w:val="single" w:sz="4" w:space="0" w:color="auto"/>
            </w:tcBorders>
            <w:vAlign w:val="center"/>
          </w:tcPr>
          <w:p w14:paraId="432AE85A" w14:textId="77777777" w:rsidR="00241417" w:rsidRPr="00200383" w:rsidRDefault="00241417" w:rsidP="003A71DE">
            <w:pPr>
              <w:pStyle w:val="TAC"/>
            </w:pPr>
            <w:r w:rsidRPr="00200383">
              <w:rPr>
                <w:lang w:eastAsia="zh-CN"/>
              </w:rPr>
              <w:t>-4.2</w:t>
            </w:r>
          </w:p>
        </w:tc>
      </w:tr>
      <w:tr w:rsidR="00241417" w:rsidRPr="00200383" w14:paraId="7FF16EAF" w14:textId="77777777" w:rsidTr="003A71DE">
        <w:trPr>
          <w:jc w:val="center"/>
        </w:trPr>
        <w:tc>
          <w:tcPr>
            <w:tcW w:w="992" w:type="dxa"/>
            <w:vMerge/>
            <w:vAlign w:val="center"/>
          </w:tcPr>
          <w:p w14:paraId="5CD3B1EF" w14:textId="77777777" w:rsidR="00241417" w:rsidRPr="00200383" w:rsidRDefault="00241417" w:rsidP="003A71DE">
            <w:pPr>
              <w:pStyle w:val="TAC"/>
            </w:pPr>
          </w:p>
        </w:tc>
        <w:tc>
          <w:tcPr>
            <w:tcW w:w="993" w:type="dxa"/>
            <w:vMerge/>
            <w:vAlign w:val="center"/>
          </w:tcPr>
          <w:p w14:paraId="405E0513" w14:textId="77777777" w:rsidR="00241417" w:rsidRPr="00200383" w:rsidRDefault="00241417" w:rsidP="003A71DE">
            <w:pPr>
              <w:pStyle w:val="TAC"/>
            </w:pPr>
          </w:p>
        </w:tc>
        <w:tc>
          <w:tcPr>
            <w:tcW w:w="992" w:type="dxa"/>
            <w:vMerge w:val="restart"/>
            <w:vAlign w:val="center"/>
          </w:tcPr>
          <w:p w14:paraId="71F58F47" w14:textId="77777777" w:rsidR="00241417" w:rsidRPr="00200383" w:rsidRDefault="00241417" w:rsidP="003A71DE">
            <w:pPr>
              <w:pStyle w:val="TAC"/>
            </w:pPr>
            <w:r w:rsidRPr="00200383">
              <w:rPr>
                <w:lang w:eastAsia="zh-CN"/>
              </w:rPr>
              <w:t>8</w:t>
            </w:r>
          </w:p>
        </w:tc>
        <w:tc>
          <w:tcPr>
            <w:tcW w:w="850" w:type="dxa"/>
            <w:vMerge w:val="restart"/>
            <w:vAlign w:val="center"/>
          </w:tcPr>
          <w:p w14:paraId="74868DC7" w14:textId="77777777" w:rsidR="00241417" w:rsidRPr="00200383" w:rsidRDefault="00241417" w:rsidP="003A71DE">
            <w:pPr>
              <w:pStyle w:val="TAC"/>
            </w:pPr>
            <w:r w:rsidRPr="00200383">
              <w:t>Normal</w:t>
            </w:r>
          </w:p>
        </w:tc>
        <w:tc>
          <w:tcPr>
            <w:tcW w:w="1560" w:type="dxa"/>
            <w:vMerge w:val="restart"/>
            <w:vAlign w:val="center"/>
          </w:tcPr>
          <w:p w14:paraId="68F9F637" w14:textId="77777777" w:rsidR="00241417" w:rsidRPr="00200383" w:rsidRDefault="00241417" w:rsidP="003A71DE">
            <w:pPr>
              <w:pStyle w:val="TAC"/>
            </w:pPr>
            <w:r w:rsidRPr="00200383">
              <w:t>TDLC300-100</w:t>
            </w:r>
            <w:r w:rsidRPr="00200383" w:rsidDel="002E550C">
              <w:t xml:space="preserve"> </w:t>
            </w:r>
            <w:r w:rsidRPr="00200383">
              <w:t>Low</w:t>
            </w:r>
          </w:p>
        </w:tc>
        <w:tc>
          <w:tcPr>
            <w:tcW w:w="1417" w:type="dxa"/>
            <w:tcBorders>
              <w:bottom w:val="single" w:sz="4" w:space="0" w:color="auto"/>
            </w:tcBorders>
            <w:vAlign w:val="center"/>
          </w:tcPr>
          <w:p w14:paraId="58677D9C"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154ABD84" w14:textId="77777777" w:rsidR="00241417" w:rsidRPr="00200383" w:rsidRDefault="00241417" w:rsidP="003A71DE">
            <w:pPr>
              <w:pStyle w:val="TAC"/>
            </w:pPr>
            <w:r w:rsidRPr="00200383">
              <w:rPr>
                <w:lang w:eastAsia="zh-CN"/>
              </w:rPr>
              <w:t>-6.6</w:t>
            </w:r>
          </w:p>
        </w:tc>
        <w:tc>
          <w:tcPr>
            <w:tcW w:w="850" w:type="dxa"/>
            <w:tcBorders>
              <w:bottom w:val="single" w:sz="4" w:space="0" w:color="auto"/>
            </w:tcBorders>
            <w:vAlign w:val="center"/>
          </w:tcPr>
          <w:p w14:paraId="6F551D62" w14:textId="77777777" w:rsidR="00241417" w:rsidRPr="00200383" w:rsidRDefault="00241417" w:rsidP="003A71DE">
            <w:pPr>
              <w:pStyle w:val="TAC"/>
            </w:pPr>
            <w:r w:rsidRPr="00200383">
              <w:rPr>
                <w:lang w:eastAsia="zh-CN"/>
              </w:rPr>
              <w:t>-6.7</w:t>
            </w:r>
          </w:p>
        </w:tc>
        <w:tc>
          <w:tcPr>
            <w:tcW w:w="992" w:type="dxa"/>
            <w:tcBorders>
              <w:bottom w:val="single" w:sz="4" w:space="0" w:color="auto"/>
            </w:tcBorders>
            <w:vAlign w:val="center"/>
          </w:tcPr>
          <w:p w14:paraId="2F552DCA" w14:textId="77777777" w:rsidR="00241417" w:rsidRPr="00200383" w:rsidRDefault="00241417" w:rsidP="003A71DE">
            <w:pPr>
              <w:pStyle w:val="TAC"/>
            </w:pPr>
            <w:r w:rsidRPr="00200383">
              <w:rPr>
                <w:lang w:eastAsia="zh-CN"/>
              </w:rPr>
              <w:t>-6.8</w:t>
            </w:r>
          </w:p>
        </w:tc>
        <w:tc>
          <w:tcPr>
            <w:tcW w:w="851" w:type="dxa"/>
            <w:tcBorders>
              <w:bottom w:val="single" w:sz="4" w:space="0" w:color="auto"/>
            </w:tcBorders>
            <w:vAlign w:val="center"/>
          </w:tcPr>
          <w:p w14:paraId="71CA7B84" w14:textId="77777777" w:rsidR="00241417" w:rsidRPr="00200383" w:rsidRDefault="00241417" w:rsidP="003A71DE">
            <w:pPr>
              <w:pStyle w:val="TAC"/>
            </w:pPr>
            <w:r w:rsidRPr="00200383">
              <w:rPr>
                <w:lang w:eastAsia="zh-CN"/>
              </w:rPr>
              <w:t>-6.8</w:t>
            </w:r>
          </w:p>
        </w:tc>
      </w:tr>
      <w:tr w:rsidR="00241417" w:rsidRPr="00200383" w14:paraId="66F886C8" w14:textId="77777777" w:rsidTr="003A71DE">
        <w:trPr>
          <w:jc w:val="center"/>
        </w:trPr>
        <w:tc>
          <w:tcPr>
            <w:tcW w:w="992" w:type="dxa"/>
            <w:vMerge/>
            <w:vAlign w:val="center"/>
          </w:tcPr>
          <w:p w14:paraId="6C3039F7" w14:textId="77777777" w:rsidR="00241417" w:rsidRPr="00200383" w:rsidRDefault="00241417" w:rsidP="003A71DE">
            <w:pPr>
              <w:pStyle w:val="TAC"/>
            </w:pPr>
          </w:p>
        </w:tc>
        <w:tc>
          <w:tcPr>
            <w:tcW w:w="993" w:type="dxa"/>
            <w:vMerge/>
            <w:vAlign w:val="center"/>
          </w:tcPr>
          <w:p w14:paraId="112CA574" w14:textId="77777777" w:rsidR="00241417" w:rsidRPr="00200383" w:rsidRDefault="00241417" w:rsidP="003A71DE">
            <w:pPr>
              <w:pStyle w:val="TAC"/>
            </w:pPr>
          </w:p>
        </w:tc>
        <w:tc>
          <w:tcPr>
            <w:tcW w:w="992" w:type="dxa"/>
            <w:vMerge/>
            <w:tcBorders>
              <w:bottom w:val="single" w:sz="4" w:space="0" w:color="auto"/>
            </w:tcBorders>
            <w:vAlign w:val="center"/>
          </w:tcPr>
          <w:p w14:paraId="78D41C31" w14:textId="77777777" w:rsidR="00241417" w:rsidRPr="00200383" w:rsidRDefault="00241417" w:rsidP="003A71DE">
            <w:pPr>
              <w:pStyle w:val="TAC"/>
            </w:pPr>
          </w:p>
        </w:tc>
        <w:tc>
          <w:tcPr>
            <w:tcW w:w="850" w:type="dxa"/>
            <w:vMerge/>
            <w:tcBorders>
              <w:bottom w:val="single" w:sz="4" w:space="0" w:color="auto"/>
            </w:tcBorders>
            <w:vAlign w:val="center"/>
          </w:tcPr>
          <w:p w14:paraId="7C4A87D2" w14:textId="77777777" w:rsidR="00241417" w:rsidRPr="00200383" w:rsidRDefault="00241417" w:rsidP="003A71DE">
            <w:pPr>
              <w:pStyle w:val="TAC"/>
            </w:pPr>
          </w:p>
        </w:tc>
        <w:tc>
          <w:tcPr>
            <w:tcW w:w="1560" w:type="dxa"/>
            <w:vMerge/>
            <w:tcBorders>
              <w:bottom w:val="single" w:sz="4" w:space="0" w:color="auto"/>
            </w:tcBorders>
            <w:vAlign w:val="center"/>
          </w:tcPr>
          <w:p w14:paraId="52498597" w14:textId="77777777" w:rsidR="00241417" w:rsidRPr="00200383" w:rsidRDefault="00241417" w:rsidP="003A71DE">
            <w:pPr>
              <w:pStyle w:val="TAC"/>
            </w:pPr>
          </w:p>
        </w:tc>
        <w:tc>
          <w:tcPr>
            <w:tcW w:w="1417" w:type="dxa"/>
            <w:tcBorders>
              <w:top w:val="single" w:sz="4" w:space="0" w:color="auto"/>
              <w:bottom w:val="single" w:sz="4" w:space="0" w:color="auto"/>
            </w:tcBorders>
            <w:vAlign w:val="center"/>
          </w:tcPr>
          <w:p w14:paraId="6996C6E6" w14:textId="77777777" w:rsidR="00241417" w:rsidRPr="00200383" w:rsidRDefault="00241417" w:rsidP="003A71DE">
            <w:pPr>
              <w:pStyle w:val="TAC"/>
            </w:pPr>
            <w:r w:rsidRPr="00200383">
              <w:rPr>
                <w:lang w:eastAsia="zh-CN"/>
              </w:rPr>
              <w:t>Additional DM-RS</w:t>
            </w:r>
          </w:p>
        </w:tc>
        <w:tc>
          <w:tcPr>
            <w:tcW w:w="851" w:type="dxa"/>
            <w:tcBorders>
              <w:top w:val="single" w:sz="4" w:space="0" w:color="auto"/>
              <w:bottom w:val="single" w:sz="4" w:space="0" w:color="auto"/>
            </w:tcBorders>
            <w:vAlign w:val="center"/>
          </w:tcPr>
          <w:p w14:paraId="5859459D" w14:textId="77777777" w:rsidR="00241417" w:rsidRPr="00200383" w:rsidRDefault="00241417" w:rsidP="003A71DE">
            <w:pPr>
              <w:pStyle w:val="TAC"/>
            </w:pPr>
            <w:r w:rsidRPr="00200383">
              <w:rPr>
                <w:lang w:eastAsia="zh-CN"/>
              </w:rPr>
              <w:t>-7.5</w:t>
            </w:r>
          </w:p>
        </w:tc>
        <w:tc>
          <w:tcPr>
            <w:tcW w:w="850" w:type="dxa"/>
            <w:tcBorders>
              <w:top w:val="single" w:sz="4" w:space="0" w:color="auto"/>
              <w:bottom w:val="single" w:sz="4" w:space="0" w:color="auto"/>
            </w:tcBorders>
            <w:vAlign w:val="center"/>
          </w:tcPr>
          <w:p w14:paraId="73D06CA0" w14:textId="77777777" w:rsidR="00241417" w:rsidRPr="00200383" w:rsidRDefault="00241417" w:rsidP="003A71DE">
            <w:pPr>
              <w:pStyle w:val="TAC"/>
            </w:pPr>
            <w:r w:rsidRPr="00200383">
              <w:rPr>
                <w:lang w:eastAsia="zh-CN"/>
              </w:rPr>
              <w:t>-7.6</w:t>
            </w:r>
          </w:p>
        </w:tc>
        <w:tc>
          <w:tcPr>
            <w:tcW w:w="992" w:type="dxa"/>
            <w:tcBorders>
              <w:top w:val="single" w:sz="4" w:space="0" w:color="auto"/>
              <w:bottom w:val="single" w:sz="4" w:space="0" w:color="auto"/>
            </w:tcBorders>
            <w:vAlign w:val="center"/>
          </w:tcPr>
          <w:p w14:paraId="1DE4391A" w14:textId="77777777" w:rsidR="00241417" w:rsidRPr="00200383" w:rsidRDefault="00241417" w:rsidP="003A71DE">
            <w:pPr>
              <w:pStyle w:val="TAC"/>
            </w:pPr>
            <w:r w:rsidRPr="00200383">
              <w:rPr>
                <w:lang w:eastAsia="zh-CN"/>
              </w:rPr>
              <w:t>-7.6</w:t>
            </w:r>
          </w:p>
        </w:tc>
        <w:tc>
          <w:tcPr>
            <w:tcW w:w="851" w:type="dxa"/>
            <w:tcBorders>
              <w:top w:val="single" w:sz="4" w:space="0" w:color="auto"/>
              <w:bottom w:val="single" w:sz="4" w:space="0" w:color="auto"/>
            </w:tcBorders>
            <w:vAlign w:val="center"/>
          </w:tcPr>
          <w:p w14:paraId="576F6167" w14:textId="77777777" w:rsidR="00241417" w:rsidRPr="00200383" w:rsidRDefault="00241417" w:rsidP="003A71DE">
            <w:pPr>
              <w:pStyle w:val="TAC"/>
            </w:pPr>
            <w:r w:rsidRPr="00200383">
              <w:rPr>
                <w:lang w:eastAsia="zh-CN"/>
              </w:rPr>
              <w:t>-7.7</w:t>
            </w:r>
          </w:p>
        </w:tc>
      </w:tr>
      <w:tr w:rsidR="00241417" w:rsidRPr="00200383" w14:paraId="43523D04" w14:textId="77777777" w:rsidTr="003A71DE">
        <w:trPr>
          <w:jc w:val="center"/>
        </w:trPr>
        <w:tc>
          <w:tcPr>
            <w:tcW w:w="992" w:type="dxa"/>
            <w:vMerge w:val="restart"/>
            <w:vAlign w:val="center"/>
          </w:tcPr>
          <w:p w14:paraId="675782BE" w14:textId="77777777" w:rsidR="00241417" w:rsidRPr="00200383" w:rsidRDefault="00241417" w:rsidP="003A71DE">
            <w:pPr>
              <w:pStyle w:val="TAC"/>
            </w:pPr>
            <w:r w:rsidRPr="00200383">
              <w:rPr>
                <w:lang w:eastAsia="zh-CN"/>
              </w:rPr>
              <w:t>2</w:t>
            </w:r>
          </w:p>
        </w:tc>
        <w:tc>
          <w:tcPr>
            <w:tcW w:w="993" w:type="dxa"/>
            <w:vMerge w:val="restart"/>
            <w:vAlign w:val="center"/>
          </w:tcPr>
          <w:p w14:paraId="233F95EE" w14:textId="77777777" w:rsidR="00241417" w:rsidRPr="00200383" w:rsidRDefault="00241417" w:rsidP="003A71DE">
            <w:pPr>
              <w:pStyle w:val="TAC"/>
            </w:pPr>
            <w:r w:rsidRPr="00200383">
              <w:rPr>
                <w:lang w:eastAsia="zh-CN"/>
              </w:rPr>
              <w:t>1</w:t>
            </w:r>
          </w:p>
        </w:tc>
        <w:tc>
          <w:tcPr>
            <w:tcW w:w="992" w:type="dxa"/>
            <w:tcBorders>
              <w:bottom w:val="single" w:sz="4" w:space="0" w:color="auto"/>
            </w:tcBorders>
            <w:vAlign w:val="center"/>
          </w:tcPr>
          <w:p w14:paraId="59679C4F" w14:textId="77777777" w:rsidR="00241417" w:rsidRPr="00200383" w:rsidRDefault="00241417" w:rsidP="003A71DE">
            <w:pPr>
              <w:pStyle w:val="TAC"/>
            </w:pPr>
            <w:r w:rsidRPr="00200383">
              <w:rPr>
                <w:lang w:eastAsia="zh-CN"/>
              </w:rPr>
              <w:t>2</w:t>
            </w:r>
          </w:p>
        </w:tc>
        <w:tc>
          <w:tcPr>
            <w:tcW w:w="850" w:type="dxa"/>
            <w:tcBorders>
              <w:bottom w:val="single" w:sz="4" w:space="0" w:color="auto"/>
            </w:tcBorders>
            <w:vAlign w:val="center"/>
          </w:tcPr>
          <w:p w14:paraId="76E45C29" w14:textId="77777777" w:rsidR="00241417" w:rsidRPr="00200383" w:rsidRDefault="00241417" w:rsidP="003A71DE">
            <w:pPr>
              <w:pStyle w:val="TAC"/>
            </w:pPr>
            <w:r w:rsidRPr="00200383">
              <w:t>Normal</w:t>
            </w:r>
          </w:p>
        </w:tc>
        <w:tc>
          <w:tcPr>
            <w:tcW w:w="1560" w:type="dxa"/>
            <w:tcBorders>
              <w:bottom w:val="single" w:sz="4" w:space="0" w:color="auto"/>
            </w:tcBorders>
            <w:vAlign w:val="center"/>
          </w:tcPr>
          <w:p w14:paraId="31B08C74" w14:textId="77777777" w:rsidR="00241417" w:rsidRPr="00200383" w:rsidRDefault="00241417" w:rsidP="003A71DE">
            <w:pPr>
              <w:pStyle w:val="TAC"/>
            </w:pPr>
            <w:r w:rsidRPr="00200383">
              <w:t>TDLC300-100</w:t>
            </w:r>
            <w:r w:rsidRPr="00200383" w:rsidDel="002E550C">
              <w:t xml:space="preserve"> </w:t>
            </w:r>
            <w:r w:rsidRPr="00200383">
              <w:t>Low</w:t>
            </w:r>
          </w:p>
        </w:tc>
        <w:tc>
          <w:tcPr>
            <w:tcW w:w="1417" w:type="dxa"/>
            <w:tcBorders>
              <w:bottom w:val="single" w:sz="4" w:space="0" w:color="auto"/>
            </w:tcBorders>
            <w:vAlign w:val="center"/>
          </w:tcPr>
          <w:p w14:paraId="5D0905D8"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3E322927" w14:textId="77777777" w:rsidR="00241417" w:rsidRPr="00200383" w:rsidRDefault="00241417" w:rsidP="003A71DE">
            <w:pPr>
              <w:pStyle w:val="TAC"/>
            </w:pPr>
            <w:r w:rsidRPr="00200383">
              <w:rPr>
                <w:lang w:eastAsia="zh-CN"/>
              </w:rPr>
              <w:t>1.8</w:t>
            </w:r>
          </w:p>
        </w:tc>
        <w:tc>
          <w:tcPr>
            <w:tcW w:w="850" w:type="dxa"/>
            <w:tcBorders>
              <w:bottom w:val="single" w:sz="4" w:space="0" w:color="auto"/>
            </w:tcBorders>
            <w:vAlign w:val="center"/>
          </w:tcPr>
          <w:p w14:paraId="25619669" w14:textId="77777777" w:rsidR="00241417" w:rsidRPr="00200383" w:rsidRDefault="00241417" w:rsidP="003A71DE">
            <w:pPr>
              <w:pStyle w:val="TAC"/>
            </w:pPr>
            <w:r w:rsidRPr="00200383">
              <w:rPr>
                <w:lang w:eastAsia="zh-CN"/>
              </w:rPr>
              <w:t>2.0</w:t>
            </w:r>
          </w:p>
        </w:tc>
        <w:tc>
          <w:tcPr>
            <w:tcW w:w="992" w:type="dxa"/>
            <w:tcBorders>
              <w:bottom w:val="single" w:sz="4" w:space="0" w:color="auto"/>
            </w:tcBorders>
            <w:vAlign w:val="center"/>
          </w:tcPr>
          <w:p w14:paraId="2BD3FA6F" w14:textId="77777777" w:rsidR="00241417" w:rsidRPr="00200383" w:rsidRDefault="00241417" w:rsidP="003A71DE">
            <w:pPr>
              <w:pStyle w:val="TAC"/>
            </w:pPr>
            <w:r w:rsidRPr="00200383">
              <w:rPr>
                <w:lang w:eastAsia="zh-CN"/>
              </w:rPr>
              <w:t>2.0</w:t>
            </w:r>
          </w:p>
        </w:tc>
        <w:tc>
          <w:tcPr>
            <w:tcW w:w="851" w:type="dxa"/>
            <w:tcBorders>
              <w:bottom w:val="single" w:sz="4" w:space="0" w:color="auto"/>
            </w:tcBorders>
            <w:vAlign w:val="center"/>
          </w:tcPr>
          <w:p w14:paraId="7E3B4851" w14:textId="77777777" w:rsidR="00241417" w:rsidRPr="00200383" w:rsidRDefault="00241417" w:rsidP="003A71DE">
            <w:pPr>
              <w:pStyle w:val="TAC"/>
            </w:pPr>
            <w:r w:rsidRPr="00200383">
              <w:rPr>
                <w:lang w:eastAsia="zh-CN"/>
              </w:rPr>
              <w:t>1.5</w:t>
            </w:r>
          </w:p>
        </w:tc>
      </w:tr>
      <w:tr w:rsidR="00241417" w:rsidRPr="00200383" w14:paraId="2356F9C7" w14:textId="77777777" w:rsidTr="003A71DE">
        <w:trPr>
          <w:jc w:val="center"/>
        </w:trPr>
        <w:tc>
          <w:tcPr>
            <w:tcW w:w="992" w:type="dxa"/>
            <w:vMerge/>
            <w:vAlign w:val="center"/>
          </w:tcPr>
          <w:p w14:paraId="44FBAA61" w14:textId="77777777" w:rsidR="00241417" w:rsidRPr="00200383" w:rsidRDefault="00241417" w:rsidP="003A71DE">
            <w:pPr>
              <w:pStyle w:val="TAC"/>
            </w:pPr>
          </w:p>
        </w:tc>
        <w:tc>
          <w:tcPr>
            <w:tcW w:w="993" w:type="dxa"/>
            <w:vMerge/>
            <w:vAlign w:val="center"/>
          </w:tcPr>
          <w:p w14:paraId="05C4229C" w14:textId="77777777" w:rsidR="00241417" w:rsidRPr="00200383" w:rsidRDefault="00241417" w:rsidP="003A71DE">
            <w:pPr>
              <w:pStyle w:val="TAC"/>
            </w:pPr>
          </w:p>
        </w:tc>
        <w:tc>
          <w:tcPr>
            <w:tcW w:w="992" w:type="dxa"/>
            <w:tcBorders>
              <w:top w:val="single" w:sz="4" w:space="0" w:color="auto"/>
              <w:bottom w:val="single" w:sz="4" w:space="0" w:color="auto"/>
            </w:tcBorders>
            <w:vAlign w:val="center"/>
          </w:tcPr>
          <w:p w14:paraId="50706634" w14:textId="77777777" w:rsidR="00241417" w:rsidRPr="00200383" w:rsidRDefault="00241417" w:rsidP="003A71DE">
            <w:pPr>
              <w:pStyle w:val="TAC"/>
            </w:pPr>
            <w:r w:rsidRPr="00200383">
              <w:rPr>
                <w:lang w:eastAsia="zh-CN"/>
              </w:rPr>
              <w:t>4</w:t>
            </w:r>
          </w:p>
        </w:tc>
        <w:tc>
          <w:tcPr>
            <w:tcW w:w="850" w:type="dxa"/>
            <w:tcBorders>
              <w:top w:val="single" w:sz="4" w:space="0" w:color="auto"/>
              <w:bottom w:val="single" w:sz="4" w:space="0" w:color="auto"/>
            </w:tcBorders>
            <w:vAlign w:val="center"/>
          </w:tcPr>
          <w:p w14:paraId="030DC730" w14:textId="77777777" w:rsidR="00241417" w:rsidRPr="00200383" w:rsidRDefault="00241417" w:rsidP="003A71DE">
            <w:pPr>
              <w:pStyle w:val="TAC"/>
            </w:pPr>
            <w:r w:rsidRPr="00200383">
              <w:t>Normal</w:t>
            </w:r>
          </w:p>
        </w:tc>
        <w:tc>
          <w:tcPr>
            <w:tcW w:w="1560" w:type="dxa"/>
            <w:tcBorders>
              <w:top w:val="single" w:sz="4" w:space="0" w:color="auto"/>
              <w:bottom w:val="single" w:sz="4" w:space="0" w:color="auto"/>
            </w:tcBorders>
            <w:vAlign w:val="center"/>
          </w:tcPr>
          <w:p w14:paraId="429F3E4D" w14:textId="77777777" w:rsidR="00241417" w:rsidRPr="00200383" w:rsidRDefault="00241417" w:rsidP="003A71DE">
            <w:pPr>
              <w:pStyle w:val="TAC"/>
            </w:pPr>
            <w:r w:rsidRPr="00200383">
              <w:t>TDLC300-100</w:t>
            </w:r>
            <w:r w:rsidRPr="00200383" w:rsidDel="002E550C">
              <w:t xml:space="preserve"> </w:t>
            </w:r>
            <w:r w:rsidRPr="00200383">
              <w:t>Low</w:t>
            </w:r>
          </w:p>
        </w:tc>
        <w:tc>
          <w:tcPr>
            <w:tcW w:w="1417" w:type="dxa"/>
            <w:tcBorders>
              <w:top w:val="single" w:sz="4" w:space="0" w:color="auto"/>
              <w:bottom w:val="single" w:sz="4" w:space="0" w:color="auto"/>
            </w:tcBorders>
            <w:vAlign w:val="center"/>
          </w:tcPr>
          <w:p w14:paraId="7225DCD9" w14:textId="77777777" w:rsidR="00241417" w:rsidRPr="00200383" w:rsidRDefault="00241417" w:rsidP="003A71DE">
            <w:pPr>
              <w:pStyle w:val="TAC"/>
            </w:pPr>
            <w:r w:rsidRPr="00200383">
              <w:rPr>
                <w:lang w:eastAsia="zh-CN"/>
              </w:rPr>
              <w:t>No additional DM-RS</w:t>
            </w:r>
          </w:p>
        </w:tc>
        <w:tc>
          <w:tcPr>
            <w:tcW w:w="851" w:type="dxa"/>
            <w:tcBorders>
              <w:top w:val="single" w:sz="4" w:space="0" w:color="auto"/>
              <w:bottom w:val="single" w:sz="4" w:space="0" w:color="auto"/>
            </w:tcBorders>
            <w:vAlign w:val="center"/>
          </w:tcPr>
          <w:p w14:paraId="31966F9D" w14:textId="77777777" w:rsidR="00241417" w:rsidRPr="00200383" w:rsidRDefault="00241417" w:rsidP="003A71DE">
            <w:pPr>
              <w:pStyle w:val="TAC"/>
            </w:pPr>
            <w:r w:rsidRPr="00200383">
              <w:rPr>
                <w:lang w:eastAsia="zh-CN"/>
              </w:rPr>
              <w:t>-2.9</w:t>
            </w:r>
          </w:p>
        </w:tc>
        <w:tc>
          <w:tcPr>
            <w:tcW w:w="850" w:type="dxa"/>
            <w:tcBorders>
              <w:top w:val="single" w:sz="4" w:space="0" w:color="auto"/>
              <w:bottom w:val="single" w:sz="4" w:space="0" w:color="auto"/>
            </w:tcBorders>
            <w:vAlign w:val="center"/>
          </w:tcPr>
          <w:p w14:paraId="73449A65" w14:textId="77777777" w:rsidR="00241417" w:rsidRPr="00200383" w:rsidRDefault="00241417" w:rsidP="003A71DE">
            <w:pPr>
              <w:pStyle w:val="TAC"/>
            </w:pPr>
            <w:r w:rsidRPr="00200383">
              <w:rPr>
                <w:lang w:eastAsia="zh-CN"/>
              </w:rPr>
              <w:t>-3.0</w:t>
            </w:r>
          </w:p>
        </w:tc>
        <w:tc>
          <w:tcPr>
            <w:tcW w:w="992" w:type="dxa"/>
            <w:tcBorders>
              <w:top w:val="single" w:sz="4" w:space="0" w:color="auto"/>
              <w:bottom w:val="single" w:sz="4" w:space="0" w:color="auto"/>
            </w:tcBorders>
            <w:vAlign w:val="center"/>
          </w:tcPr>
          <w:p w14:paraId="29E41605" w14:textId="77777777" w:rsidR="00241417" w:rsidRPr="00200383" w:rsidRDefault="00241417" w:rsidP="003A71DE">
            <w:pPr>
              <w:pStyle w:val="TAC"/>
            </w:pPr>
            <w:r w:rsidRPr="00200383">
              <w:rPr>
                <w:lang w:eastAsia="zh-CN"/>
              </w:rPr>
              <w:t>-2.4</w:t>
            </w:r>
          </w:p>
        </w:tc>
        <w:tc>
          <w:tcPr>
            <w:tcW w:w="851" w:type="dxa"/>
            <w:tcBorders>
              <w:top w:val="single" w:sz="4" w:space="0" w:color="auto"/>
              <w:bottom w:val="single" w:sz="4" w:space="0" w:color="auto"/>
            </w:tcBorders>
            <w:vAlign w:val="center"/>
          </w:tcPr>
          <w:p w14:paraId="2E2D8513" w14:textId="77777777" w:rsidR="00241417" w:rsidRPr="00200383" w:rsidRDefault="00241417" w:rsidP="003A71DE">
            <w:pPr>
              <w:pStyle w:val="TAC"/>
            </w:pPr>
            <w:r w:rsidRPr="00200383">
              <w:rPr>
                <w:lang w:eastAsia="zh-CN"/>
              </w:rPr>
              <w:t>-3.0</w:t>
            </w:r>
          </w:p>
        </w:tc>
      </w:tr>
      <w:tr w:rsidR="00241417" w:rsidRPr="00200383" w14:paraId="2F19189E" w14:textId="77777777" w:rsidTr="003A71DE">
        <w:trPr>
          <w:jc w:val="center"/>
        </w:trPr>
        <w:tc>
          <w:tcPr>
            <w:tcW w:w="992" w:type="dxa"/>
            <w:vMerge/>
            <w:tcBorders>
              <w:bottom w:val="single" w:sz="4" w:space="0" w:color="auto"/>
            </w:tcBorders>
            <w:vAlign w:val="center"/>
          </w:tcPr>
          <w:p w14:paraId="5AB912E5" w14:textId="77777777" w:rsidR="00241417" w:rsidRPr="00200383" w:rsidRDefault="00241417" w:rsidP="003A71DE">
            <w:pPr>
              <w:pStyle w:val="TAC"/>
            </w:pPr>
          </w:p>
        </w:tc>
        <w:tc>
          <w:tcPr>
            <w:tcW w:w="993" w:type="dxa"/>
            <w:vMerge/>
            <w:tcBorders>
              <w:bottom w:val="single" w:sz="4" w:space="0" w:color="auto"/>
            </w:tcBorders>
            <w:vAlign w:val="center"/>
          </w:tcPr>
          <w:p w14:paraId="0916BF99" w14:textId="77777777" w:rsidR="00241417" w:rsidRPr="00200383" w:rsidRDefault="00241417" w:rsidP="003A71DE">
            <w:pPr>
              <w:pStyle w:val="TAC"/>
            </w:pPr>
          </w:p>
        </w:tc>
        <w:tc>
          <w:tcPr>
            <w:tcW w:w="992" w:type="dxa"/>
            <w:tcBorders>
              <w:bottom w:val="single" w:sz="4" w:space="0" w:color="auto"/>
            </w:tcBorders>
            <w:vAlign w:val="center"/>
          </w:tcPr>
          <w:p w14:paraId="48C11358" w14:textId="77777777" w:rsidR="00241417" w:rsidRPr="00200383" w:rsidRDefault="00241417" w:rsidP="003A71DE">
            <w:pPr>
              <w:pStyle w:val="TAC"/>
            </w:pPr>
            <w:r w:rsidRPr="00200383">
              <w:rPr>
                <w:lang w:eastAsia="zh-CN"/>
              </w:rPr>
              <w:t>8</w:t>
            </w:r>
          </w:p>
        </w:tc>
        <w:tc>
          <w:tcPr>
            <w:tcW w:w="850" w:type="dxa"/>
            <w:tcBorders>
              <w:bottom w:val="single" w:sz="4" w:space="0" w:color="auto"/>
            </w:tcBorders>
            <w:vAlign w:val="center"/>
          </w:tcPr>
          <w:p w14:paraId="320FEABD" w14:textId="77777777" w:rsidR="00241417" w:rsidRPr="00200383" w:rsidRDefault="00241417" w:rsidP="003A71DE">
            <w:pPr>
              <w:pStyle w:val="TAC"/>
            </w:pPr>
            <w:r w:rsidRPr="00200383">
              <w:t>Normal</w:t>
            </w:r>
          </w:p>
        </w:tc>
        <w:tc>
          <w:tcPr>
            <w:tcW w:w="1560" w:type="dxa"/>
            <w:tcBorders>
              <w:bottom w:val="single" w:sz="4" w:space="0" w:color="auto"/>
            </w:tcBorders>
            <w:vAlign w:val="center"/>
          </w:tcPr>
          <w:p w14:paraId="27AD3159" w14:textId="77777777" w:rsidR="00241417" w:rsidRPr="00200383" w:rsidRDefault="00241417" w:rsidP="003A71DE">
            <w:pPr>
              <w:pStyle w:val="TAC"/>
            </w:pPr>
            <w:r w:rsidRPr="00200383">
              <w:t>TDLC300-100</w:t>
            </w:r>
            <w:r w:rsidRPr="00200383" w:rsidDel="002E550C">
              <w:t xml:space="preserve"> </w:t>
            </w:r>
            <w:r w:rsidRPr="00200383">
              <w:t>Low</w:t>
            </w:r>
          </w:p>
        </w:tc>
        <w:tc>
          <w:tcPr>
            <w:tcW w:w="1417" w:type="dxa"/>
            <w:tcBorders>
              <w:bottom w:val="single" w:sz="4" w:space="0" w:color="auto"/>
            </w:tcBorders>
            <w:vAlign w:val="center"/>
          </w:tcPr>
          <w:p w14:paraId="3A4AF142" w14:textId="77777777" w:rsidR="00241417" w:rsidRPr="00200383" w:rsidRDefault="00241417" w:rsidP="003A71DE">
            <w:pPr>
              <w:pStyle w:val="TAC"/>
            </w:pPr>
            <w:r w:rsidRPr="00200383">
              <w:rPr>
                <w:lang w:eastAsia="zh-CN"/>
              </w:rPr>
              <w:t>No additional DM-RS</w:t>
            </w:r>
          </w:p>
        </w:tc>
        <w:tc>
          <w:tcPr>
            <w:tcW w:w="851" w:type="dxa"/>
            <w:tcBorders>
              <w:bottom w:val="single" w:sz="4" w:space="0" w:color="auto"/>
            </w:tcBorders>
            <w:vAlign w:val="center"/>
          </w:tcPr>
          <w:p w14:paraId="68164738" w14:textId="77777777" w:rsidR="00241417" w:rsidRPr="00200383" w:rsidRDefault="00241417" w:rsidP="003A71DE">
            <w:pPr>
              <w:pStyle w:val="TAC"/>
            </w:pPr>
            <w:r w:rsidRPr="00200383">
              <w:rPr>
                <w:lang w:eastAsia="zh-CN"/>
              </w:rPr>
              <w:t>-6.4</w:t>
            </w:r>
          </w:p>
        </w:tc>
        <w:tc>
          <w:tcPr>
            <w:tcW w:w="850" w:type="dxa"/>
            <w:tcBorders>
              <w:bottom w:val="single" w:sz="4" w:space="0" w:color="auto"/>
            </w:tcBorders>
            <w:vAlign w:val="center"/>
          </w:tcPr>
          <w:p w14:paraId="39B70BCE" w14:textId="77777777" w:rsidR="00241417" w:rsidRPr="00200383" w:rsidRDefault="00241417" w:rsidP="003A71DE">
            <w:pPr>
              <w:pStyle w:val="TAC"/>
            </w:pPr>
            <w:r w:rsidRPr="00200383">
              <w:rPr>
                <w:lang w:eastAsia="zh-CN"/>
              </w:rPr>
              <w:t>-6.0</w:t>
            </w:r>
          </w:p>
        </w:tc>
        <w:tc>
          <w:tcPr>
            <w:tcW w:w="992" w:type="dxa"/>
            <w:tcBorders>
              <w:bottom w:val="single" w:sz="4" w:space="0" w:color="auto"/>
            </w:tcBorders>
            <w:vAlign w:val="center"/>
          </w:tcPr>
          <w:p w14:paraId="3E4CBD38" w14:textId="77777777" w:rsidR="00241417" w:rsidRPr="00200383" w:rsidRDefault="00241417" w:rsidP="003A71DE">
            <w:pPr>
              <w:pStyle w:val="TAC"/>
            </w:pPr>
            <w:r w:rsidRPr="00200383">
              <w:rPr>
                <w:lang w:eastAsia="zh-CN"/>
              </w:rPr>
              <w:t>-6.4</w:t>
            </w:r>
          </w:p>
        </w:tc>
        <w:tc>
          <w:tcPr>
            <w:tcW w:w="851" w:type="dxa"/>
            <w:tcBorders>
              <w:bottom w:val="single" w:sz="4" w:space="0" w:color="auto"/>
            </w:tcBorders>
            <w:vAlign w:val="center"/>
          </w:tcPr>
          <w:p w14:paraId="2103EFF4" w14:textId="77777777" w:rsidR="00241417" w:rsidRPr="00200383" w:rsidRDefault="00241417" w:rsidP="003A71DE">
            <w:pPr>
              <w:pStyle w:val="TAC"/>
            </w:pPr>
            <w:r w:rsidRPr="00200383">
              <w:rPr>
                <w:lang w:eastAsia="zh-CN"/>
              </w:rPr>
              <w:t>-6.2</w:t>
            </w:r>
          </w:p>
        </w:tc>
      </w:tr>
    </w:tbl>
    <w:p w14:paraId="70D228FB" w14:textId="77777777" w:rsidR="00241417" w:rsidRDefault="00241417" w:rsidP="00241417"/>
    <w:p w14:paraId="497B1F3E" w14:textId="77777777" w:rsidR="00241417" w:rsidRDefault="00241417" w:rsidP="00241417">
      <w:pPr>
        <w:pStyle w:val="Heading4"/>
        <w:rPr>
          <w:rFonts w:eastAsia="Malgun Gothic"/>
        </w:rPr>
      </w:pPr>
      <w:bookmarkStart w:id="3653" w:name="_Toc74583267"/>
      <w:bookmarkStart w:id="3654" w:name="_Toc76542080"/>
      <w:bookmarkStart w:id="3655" w:name="_Toc82450062"/>
      <w:bookmarkStart w:id="3656" w:name="_Toc82450710"/>
      <w:bookmarkStart w:id="3657" w:name="_Toc89949099"/>
      <w:bookmarkStart w:id="3658" w:name="_Toc98755488"/>
      <w:bookmarkStart w:id="3659" w:name="_Toc98763079"/>
      <w:bookmarkStart w:id="3660" w:name="_Toc106184008"/>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w:t>
      </w:r>
      <w:r>
        <w:rPr>
          <w:rFonts w:eastAsia="Malgun Gothic"/>
        </w:rPr>
        <w:t>6</w:t>
      </w:r>
      <w:r w:rsidRPr="00B454A0">
        <w:rPr>
          <w:rFonts w:eastAsia="Malgun Gothic"/>
        </w:rPr>
        <w:tab/>
      </w:r>
      <w:r>
        <w:rPr>
          <w:rFonts w:eastAsia="Malgun Gothic"/>
        </w:rPr>
        <w:t>Performance requirements for PUCCH format 4</w:t>
      </w:r>
      <w:bookmarkEnd w:id="3653"/>
      <w:bookmarkEnd w:id="3654"/>
      <w:bookmarkEnd w:id="3655"/>
      <w:bookmarkEnd w:id="3656"/>
      <w:bookmarkEnd w:id="3657"/>
      <w:bookmarkEnd w:id="3658"/>
      <w:bookmarkEnd w:id="3659"/>
      <w:bookmarkEnd w:id="3660"/>
    </w:p>
    <w:p w14:paraId="136A6352" w14:textId="77777777" w:rsidR="00241417" w:rsidRDefault="00241417" w:rsidP="00241417">
      <w:pPr>
        <w:pStyle w:val="Heading5"/>
      </w:pPr>
      <w:bookmarkStart w:id="3661" w:name="_Toc74583268"/>
      <w:bookmarkStart w:id="3662" w:name="_Toc76542081"/>
      <w:bookmarkStart w:id="3663" w:name="_Toc82450063"/>
      <w:bookmarkStart w:id="3664" w:name="_Toc82450711"/>
      <w:bookmarkStart w:id="3665" w:name="_Toc89949100"/>
      <w:bookmarkStart w:id="3666" w:name="_Toc98755489"/>
      <w:bookmarkStart w:id="3667" w:name="_Toc98763080"/>
      <w:bookmarkStart w:id="3668" w:name="_Toc106184009"/>
      <w:r>
        <w:t>8</w:t>
      </w:r>
      <w:r w:rsidRPr="00EE4A40">
        <w:t>.</w:t>
      </w:r>
      <w:r>
        <w:t>1</w:t>
      </w:r>
      <w:r w:rsidRPr="00EE4A40">
        <w:t>.</w:t>
      </w:r>
      <w:r>
        <w:t>3</w:t>
      </w:r>
      <w:r w:rsidRPr="00EE4A40">
        <w:t>.</w:t>
      </w:r>
      <w:r>
        <w:t>6</w:t>
      </w:r>
      <w:r w:rsidRPr="00EE4A40">
        <w:t>.</w:t>
      </w:r>
      <w:r>
        <w:t>1</w:t>
      </w:r>
      <w:r>
        <w:tab/>
        <w:t>General</w:t>
      </w:r>
      <w:bookmarkEnd w:id="3661"/>
      <w:bookmarkEnd w:id="3662"/>
      <w:bookmarkEnd w:id="3663"/>
      <w:bookmarkEnd w:id="3664"/>
      <w:bookmarkEnd w:id="3665"/>
      <w:bookmarkEnd w:id="3666"/>
      <w:bookmarkEnd w:id="3667"/>
      <w:bookmarkEnd w:id="3668"/>
    </w:p>
    <w:p w14:paraId="7370F370" w14:textId="77777777" w:rsidR="00241417" w:rsidRPr="00C3259A" w:rsidRDefault="00241417" w:rsidP="00241417">
      <w:pPr>
        <w:rPr>
          <w:lang w:eastAsia="zh-CN"/>
        </w:rPr>
      </w:pPr>
      <w:r w:rsidRPr="00C3259A">
        <w:rPr>
          <w:lang w:eastAsia="zh-CN"/>
        </w:rPr>
        <w:t>The performance is measured by the required SNR at UCI block error probability not exceeding 1%.</w:t>
      </w:r>
    </w:p>
    <w:p w14:paraId="4F3807CC" w14:textId="77777777" w:rsidR="00241417" w:rsidRPr="00C3259A" w:rsidRDefault="00241417" w:rsidP="00241417">
      <w:pPr>
        <w:rPr>
          <w:lang w:eastAsia="zh-CN"/>
        </w:rPr>
      </w:pPr>
      <w:r w:rsidRPr="00C3259A">
        <w:rPr>
          <w:lang w:eastAsia="zh-CN"/>
        </w:rPr>
        <w:t xml:space="preserve">The UCI block error probability is defined as the conditional probability of incorrectly decoding the UCI information when the UCI information is sent. </w:t>
      </w:r>
      <w:r w:rsidRPr="00C3259A">
        <w:rPr>
          <w:rFonts w:eastAsia="DengXian"/>
          <w:lang w:eastAsia="zh-CN"/>
        </w:rPr>
        <w:t>The UCI information does not contain CSI part 2</w:t>
      </w:r>
      <w:r w:rsidRPr="00C3259A">
        <w:rPr>
          <w:lang w:eastAsia="zh-CN"/>
        </w:rPr>
        <w:t xml:space="preserve">. </w:t>
      </w:r>
    </w:p>
    <w:p w14:paraId="338FFD8B" w14:textId="233F7C8E" w:rsidR="00241417" w:rsidRPr="006C7AF4" w:rsidRDefault="00241417" w:rsidP="00241417">
      <w:pPr>
        <w:rPr>
          <w:lang w:val="en-US" w:eastAsia="zh-CN"/>
        </w:rPr>
      </w:pPr>
      <w:r w:rsidRPr="006C7AF4">
        <w:rPr>
          <w:lang w:val="en-US" w:eastAsia="zh-CN"/>
        </w:rPr>
        <w:t>[The transient period as specified in TS 38.101-1</w:t>
      </w:r>
      <w:r w:rsidR="00ED70DB">
        <w:rPr>
          <w:lang w:val="en-US" w:eastAsia="zh-CN"/>
        </w:rPr>
        <w:t xml:space="preserve"> </w:t>
      </w:r>
      <w:r w:rsidRPr="006C7AF4">
        <w:rPr>
          <w:lang w:val="en-US" w:eastAsia="zh-CN"/>
        </w:rPr>
        <w:t xml:space="preserve">[3] clause </w:t>
      </w:r>
      <w:r w:rsidRPr="006C7AF4">
        <w:rPr>
          <w:lang w:val="en-US"/>
        </w:rPr>
        <w:t xml:space="preserve">6.3.3.1 </w:t>
      </w:r>
      <w:r w:rsidRPr="006C7AF4">
        <w:rPr>
          <w:lang w:val="en-US" w:eastAsia="zh-CN"/>
        </w:rPr>
        <w:t>is not taken into account for performance requirement testing, where the RB hopping is symmetric to the centre, i.e. intra-slot frequency hopping is enabled.]</w:t>
      </w:r>
    </w:p>
    <w:p w14:paraId="35FE8E92" w14:textId="77777777" w:rsidR="00241417" w:rsidRPr="00C3259A" w:rsidRDefault="00241417" w:rsidP="00241417">
      <w:pPr>
        <w:pStyle w:val="TH"/>
      </w:pPr>
      <w:r w:rsidRPr="00C3259A">
        <w:lastRenderedPageBreak/>
        <w:t>Table 8.</w:t>
      </w:r>
      <w:r>
        <w:t>1.</w:t>
      </w:r>
      <w:r w:rsidRPr="00C3259A">
        <w:t>3.6.1-1: Test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25"/>
        <w:gridCol w:w="2552"/>
      </w:tblGrid>
      <w:tr w:rsidR="00241417" w:rsidRPr="00C3259A" w14:paraId="0C62B890" w14:textId="77777777" w:rsidTr="003A71DE">
        <w:trPr>
          <w:cantSplit/>
          <w:jc w:val="center"/>
        </w:trPr>
        <w:tc>
          <w:tcPr>
            <w:tcW w:w="2925" w:type="dxa"/>
            <w:vAlign w:val="center"/>
          </w:tcPr>
          <w:p w14:paraId="01B03F0D" w14:textId="77777777" w:rsidR="00241417" w:rsidRPr="00C3259A" w:rsidRDefault="00241417" w:rsidP="003A71DE">
            <w:pPr>
              <w:pStyle w:val="TAH"/>
            </w:pPr>
            <w:r w:rsidRPr="00C3259A">
              <w:t>Parameter</w:t>
            </w:r>
          </w:p>
        </w:tc>
        <w:tc>
          <w:tcPr>
            <w:tcW w:w="2552" w:type="dxa"/>
            <w:vAlign w:val="center"/>
          </w:tcPr>
          <w:p w14:paraId="616F7830" w14:textId="77777777" w:rsidR="00241417" w:rsidRPr="00C3259A" w:rsidRDefault="00241417" w:rsidP="003A71DE">
            <w:pPr>
              <w:pStyle w:val="TAH"/>
            </w:pPr>
            <w:r w:rsidRPr="00C3259A">
              <w:t>Value</w:t>
            </w:r>
          </w:p>
        </w:tc>
      </w:tr>
      <w:tr w:rsidR="00241417" w:rsidRPr="00C3259A" w14:paraId="7248DA01" w14:textId="77777777" w:rsidTr="003A71DE">
        <w:trPr>
          <w:cantSplit/>
          <w:jc w:val="center"/>
        </w:trPr>
        <w:tc>
          <w:tcPr>
            <w:tcW w:w="2925" w:type="dxa"/>
            <w:vAlign w:val="center"/>
          </w:tcPr>
          <w:p w14:paraId="424F1EBD" w14:textId="77777777" w:rsidR="00241417" w:rsidRPr="00C3259A" w:rsidRDefault="00241417" w:rsidP="003A71DE">
            <w:pPr>
              <w:pStyle w:val="TAL"/>
              <w:rPr>
                <w:lang w:eastAsia="zh-CN"/>
              </w:rPr>
            </w:pPr>
            <w:r>
              <w:rPr>
                <w:lang w:eastAsia="zh-CN"/>
              </w:rPr>
              <w:t>Cyclic Prefix</w:t>
            </w:r>
          </w:p>
        </w:tc>
        <w:tc>
          <w:tcPr>
            <w:tcW w:w="2552" w:type="dxa"/>
            <w:vAlign w:val="center"/>
          </w:tcPr>
          <w:p w14:paraId="705B1BDD" w14:textId="77777777" w:rsidR="00241417" w:rsidRPr="00C3259A" w:rsidRDefault="00241417" w:rsidP="003A71DE">
            <w:pPr>
              <w:pStyle w:val="TAC"/>
              <w:rPr>
                <w:lang w:eastAsia="zh-CN"/>
              </w:rPr>
            </w:pPr>
            <w:r>
              <w:rPr>
                <w:lang w:eastAsia="zh-CN"/>
              </w:rPr>
              <w:t>Normal</w:t>
            </w:r>
          </w:p>
        </w:tc>
      </w:tr>
      <w:tr w:rsidR="00241417" w:rsidRPr="00C3259A" w14:paraId="39F25C29" w14:textId="77777777" w:rsidTr="003A71DE">
        <w:trPr>
          <w:cantSplit/>
          <w:jc w:val="center"/>
        </w:trPr>
        <w:tc>
          <w:tcPr>
            <w:tcW w:w="2925" w:type="dxa"/>
            <w:vAlign w:val="center"/>
          </w:tcPr>
          <w:p w14:paraId="6FE047C7" w14:textId="77777777" w:rsidR="00241417" w:rsidRPr="00C3259A" w:rsidRDefault="00241417" w:rsidP="003A71DE">
            <w:pPr>
              <w:pStyle w:val="TAL"/>
              <w:rPr>
                <w:lang w:eastAsia="zh-CN"/>
              </w:rPr>
            </w:pPr>
            <w:r w:rsidRPr="00C3259A">
              <w:rPr>
                <w:lang w:eastAsia="zh-CN"/>
              </w:rPr>
              <w:t>Modulation order</w:t>
            </w:r>
          </w:p>
        </w:tc>
        <w:tc>
          <w:tcPr>
            <w:tcW w:w="2552" w:type="dxa"/>
            <w:vAlign w:val="center"/>
          </w:tcPr>
          <w:p w14:paraId="0A2EA165" w14:textId="77777777" w:rsidR="00241417" w:rsidRPr="00C3259A" w:rsidRDefault="00241417" w:rsidP="003A71DE">
            <w:pPr>
              <w:pStyle w:val="TAC"/>
              <w:rPr>
                <w:lang w:eastAsia="zh-CN"/>
              </w:rPr>
            </w:pPr>
            <w:r w:rsidRPr="00C3259A">
              <w:rPr>
                <w:lang w:eastAsia="zh-CN"/>
              </w:rPr>
              <w:t>QPSK</w:t>
            </w:r>
          </w:p>
        </w:tc>
      </w:tr>
      <w:tr w:rsidR="00241417" w:rsidRPr="00C3259A" w14:paraId="65190BC5" w14:textId="77777777" w:rsidTr="003A71DE">
        <w:trPr>
          <w:cantSplit/>
          <w:jc w:val="center"/>
        </w:trPr>
        <w:tc>
          <w:tcPr>
            <w:tcW w:w="2925" w:type="dxa"/>
            <w:vAlign w:val="center"/>
          </w:tcPr>
          <w:p w14:paraId="21C65AC7" w14:textId="77777777" w:rsidR="00241417" w:rsidRPr="00C3259A" w:rsidRDefault="00241417" w:rsidP="003A71DE">
            <w:pPr>
              <w:pStyle w:val="TAL"/>
              <w:rPr>
                <w:rFonts w:eastAsia="?? ??" w:cs="Arial"/>
              </w:rPr>
            </w:pPr>
            <w:r w:rsidRPr="00C3259A">
              <w:t>First PRB prior to frequency hopping</w:t>
            </w:r>
          </w:p>
        </w:tc>
        <w:tc>
          <w:tcPr>
            <w:tcW w:w="2552" w:type="dxa"/>
            <w:vAlign w:val="center"/>
          </w:tcPr>
          <w:p w14:paraId="51953B84" w14:textId="77777777" w:rsidR="00241417" w:rsidRPr="00C3259A" w:rsidRDefault="00241417" w:rsidP="003A71DE">
            <w:pPr>
              <w:pStyle w:val="TAC"/>
            </w:pPr>
            <w:r w:rsidRPr="00C3259A">
              <w:t>0</w:t>
            </w:r>
          </w:p>
        </w:tc>
      </w:tr>
      <w:tr w:rsidR="00241417" w:rsidRPr="00C3259A" w14:paraId="632129FA" w14:textId="77777777" w:rsidTr="003A71DE">
        <w:trPr>
          <w:cantSplit/>
          <w:jc w:val="center"/>
        </w:trPr>
        <w:tc>
          <w:tcPr>
            <w:tcW w:w="2925" w:type="dxa"/>
            <w:vAlign w:val="center"/>
          </w:tcPr>
          <w:p w14:paraId="0CE57616" w14:textId="77777777" w:rsidR="00241417" w:rsidRPr="00C3259A" w:rsidRDefault="00241417" w:rsidP="003A71DE">
            <w:pPr>
              <w:pStyle w:val="TAL"/>
            </w:pPr>
            <w:r w:rsidRPr="00C3259A">
              <w:rPr>
                <w:lang w:eastAsia="zh-CN"/>
              </w:rPr>
              <w:t>Number of PRBs</w:t>
            </w:r>
          </w:p>
        </w:tc>
        <w:tc>
          <w:tcPr>
            <w:tcW w:w="2552" w:type="dxa"/>
            <w:vAlign w:val="center"/>
          </w:tcPr>
          <w:p w14:paraId="59EFE496" w14:textId="77777777" w:rsidR="00241417" w:rsidRPr="00C3259A" w:rsidRDefault="00241417" w:rsidP="003A71DE">
            <w:pPr>
              <w:pStyle w:val="TAC"/>
              <w:rPr>
                <w:rFonts w:eastAsia="?? ??"/>
              </w:rPr>
            </w:pPr>
            <w:r w:rsidRPr="00C3259A">
              <w:rPr>
                <w:lang w:eastAsia="zh-CN"/>
              </w:rPr>
              <w:t>1</w:t>
            </w:r>
          </w:p>
        </w:tc>
      </w:tr>
      <w:tr w:rsidR="00241417" w:rsidRPr="00C3259A" w14:paraId="2FF351B9" w14:textId="77777777" w:rsidTr="003A71DE">
        <w:trPr>
          <w:cantSplit/>
          <w:jc w:val="center"/>
        </w:trPr>
        <w:tc>
          <w:tcPr>
            <w:tcW w:w="2925" w:type="dxa"/>
            <w:vAlign w:val="center"/>
          </w:tcPr>
          <w:p w14:paraId="0A5453B6" w14:textId="77777777" w:rsidR="00241417" w:rsidRPr="00C3259A" w:rsidRDefault="00241417" w:rsidP="003A71DE">
            <w:pPr>
              <w:pStyle w:val="TAL"/>
              <w:rPr>
                <w:rFonts w:eastAsia="?? ??" w:cs="Arial"/>
              </w:rPr>
            </w:pPr>
            <w:r w:rsidRPr="00C3259A">
              <w:t>Intra-slot frequency hopping</w:t>
            </w:r>
          </w:p>
        </w:tc>
        <w:tc>
          <w:tcPr>
            <w:tcW w:w="2552" w:type="dxa"/>
            <w:vAlign w:val="center"/>
          </w:tcPr>
          <w:p w14:paraId="601C1234" w14:textId="77777777" w:rsidR="00241417" w:rsidRPr="00C3259A" w:rsidRDefault="00241417" w:rsidP="003A71DE">
            <w:pPr>
              <w:pStyle w:val="TAC"/>
            </w:pPr>
            <w:r w:rsidRPr="00C3259A">
              <w:t>enabled</w:t>
            </w:r>
          </w:p>
        </w:tc>
      </w:tr>
      <w:tr w:rsidR="00241417" w:rsidRPr="00436CEF" w14:paraId="0EC68BF3" w14:textId="77777777" w:rsidTr="003A71DE">
        <w:trPr>
          <w:cantSplit/>
          <w:jc w:val="center"/>
        </w:trPr>
        <w:tc>
          <w:tcPr>
            <w:tcW w:w="2925" w:type="dxa"/>
            <w:vAlign w:val="center"/>
          </w:tcPr>
          <w:p w14:paraId="2492F136" w14:textId="77777777" w:rsidR="00241417" w:rsidRPr="00C3259A" w:rsidRDefault="00241417" w:rsidP="003A71DE">
            <w:pPr>
              <w:pStyle w:val="TAL"/>
              <w:rPr>
                <w:rFonts w:eastAsia="?? ??" w:cs="Arial"/>
              </w:rPr>
            </w:pPr>
            <w:r w:rsidRPr="00C3259A">
              <w:t>First PRB after frequency hopping</w:t>
            </w:r>
          </w:p>
        </w:tc>
        <w:tc>
          <w:tcPr>
            <w:tcW w:w="2552" w:type="dxa"/>
            <w:vAlign w:val="center"/>
          </w:tcPr>
          <w:p w14:paraId="343C77A4" w14:textId="77777777" w:rsidR="00241417" w:rsidRPr="00C3259A" w:rsidRDefault="00241417" w:rsidP="003A71DE">
            <w:pPr>
              <w:pStyle w:val="TAC"/>
            </w:pPr>
            <w:r w:rsidRPr="00C3259A">
              <w:t>The largest PRB index – (Number of PRBs – 1)</w:t>
            </w:r>
          </w:p>
        </w:tc>
      </w:tr>
      <w:tr w:rsidR="00241417" w:rsidRPr="00C3259A" w14:paraId="428C10B7" w14:textId="77777777" w:rsidTr="003A71DE">
        <w:trPr>
          <w:cantSplit/>
          <w:jc w:val="center"/>
        </w:trPr>
        <w:tc>
          <w:tcPr>
            <w:tcW w:w="2925" w:type="dxa"/>
            <w:vAlign w:val="center"/>
          </w:tcPr>
          <w:p w14:paraId="71F393AF" w14:textId="77777777" w:rsidR="00241417" w:rsidRPr="00C3259A" w:rsidRDefault="00241417" w:rsidP="003A71DE">
            <w:pPr>
              <w:pStyle w:val="TAL"/>
            </w:pPr>
            <w:r w:rsidRPr="00C3259A">
              <w:t>Group and sequence hopping</w:t>
            </w:r>
          </w:p>
        </w:tc>
        <w:tc>
          <w:tcPr>
            <w:tcW w:w="2552" w:type="dxa"/>
            <w:vAlign w:val="center"/>
          </w:tcPr>
          <w:p w14:paraId="2875996F" w14:textId="77777777" w:rsidR="00241417" w:rsidRPr="00C3259A" w:rsidRDefault="00241417" w:rsidP="003A71DE">
            <w:pPr>
              <w:pStyle w:val="TAC"/>
            </w:pPr>
            <w:r w:rsidRPr="00C3259A">
              <w:t>neither</w:t>
            </w:r>
          </w:p>
        </w:tc>
      </w:tr>
      <w:tr w:rsidR="00241417" w:rsidRPr="00C3259A" w14:paraId="1A268035" w14:textId="77777777" w:rsidTr="003A71DE">
        <w:trPr>
          <w:cantSplit/>
          <w:jc w:val="center"/>
        </w:trPr>
        <w:tc>
          <w:tcPr>
            <w:tcW w:w="2925" w:type="dxa"/>
            <w:vAlign w:val="center"/>
          </w:tcPr>
          <w:p w14:paraId="126A0AB5" w14:textId="77777777" w:rsidR="00241417" w:rsidRPr="00C3259A" w:rsidRDefault="00241417" w:rsidP="003A71DE">
            <w:pPr>
              <w:pStyle w:val="TAL"/>
            </w:pPr>
            <w:r w:rsidRPr="00C3259A">
              <w:t>Hopping ID</w:t>
            </w:r>
          </w:p>
        </w:tc>
        <w:tc>
          <w:tcPr>
            <w:tcW w:w="2552" w:type="dxa"/>
            <w:vAlign w:val="center"/>
          </w:tcPr>
          <w:p w14:paraId="09298D83" w14:textId="77777777" w:rsidR="00241417" w:rsidRPr="00C3259A" w:rsidRDefault="00241417" w:rsidP="003A71DE">
            <w:pPr>
              <w:pStyle w:val="TAC"/>
            </w:pPr>
            <w:r w:rsidRPr="00C3259A">
              <w:t>0</w:t>
            </w:r>
          </w:p>
        </w:tc>
      </w:tr>
      <w:tr w:rsidR="00241417" w:rsidRPr="00C3259A" w14:paraId="79C8546B" w14:textId="77777777" w:rsidTr="003A71DE">
        <w:trPr>
          <w:cantSplit/>
          <w:jc w:val="center"/>
        </w:trPr>
        <w:tc>
          <w:tcPr>
            <w:tcW w:w="2925" w:type="dxa"/>
            <w:vAlign w:val="center"/>
          </w:tcPr>
          <w:p w14:paraId="52112BC6" w14:textId="77777777" w:rsidR="00241417" w:rsidRPr="00C3259A" w:rsidRDefault="00241417" w:rsidP="003A71DE">
            <w:pPr>
              <w:pStyle w:val="TAL"/>
              <w:rPr>
                <w:rFonts w:eastAsia="?? ??" w:cs="Arial"/>
              </w:rPr>
            </w:pPr>
            <w:r w:rsidRPr="00C3259A">
              <w:t>Number of symbols</w:t>
            </w:r>
          </w:p>
        </w:tc>
        <w:tc>
          <w:tcPr>
            <w:tcW w:w="2552" w:type="dxa"/>
            <w:vAlign w:val="center"/>
          </w:tcPr>
          <w:p w14:paraId="77C91F72" w14:textId="77777777" w:rsidR="00241417" w:rsidRPr="00C3259A" w:rsidRDefault="00241417" w:rsidP="003A71DE">
            <w:pPr>
              <w:pStyle w:val="TAC"/>
            </w:pPr>
            <w:r w:rsidRPr="00C3259A">
              <w:t>14</w:t>
            </w:r>
          </w:p>
        </w:tc>
      </w:tr>
      <w:tr w:rsidR="00241417" w:rsidRPr="00C3259A" w14:paraId="64242517" w14:textId="77777777" w:rsidTr="003A71DE">
        <w:trPr>
          <w:cantSplit/>
          <w:jc w:val="center"/>
        </w:trPr>
        <w:tc>
          <w:tcPr>
            <w:tcW w:w="2925" w:type="dxa"/>
            <w:vAlign w:val="center"/>
          </w:tcPr>
          <w:p w14:paraId="155B7E64" w14:textId="77777777" w:rsidR="00241417" w:rsidRPr="00C3259A" w:rsidRDefault="00241417" w:rsidP="003A71DE">
            <w:pPr>
              <w:pStyle w:val="TAL"/>
            </w:pPr>
            <w:r w:rsidRPr="00C3259A">
              <w:t>The number of UCI information bits</w:t>
            </w:r>
          </w:p>
        </w:tc>
        <w:tc>
          <w:tcPr>
            <w:tcW w:w="2552" w:type="dxa"/>
            <w:vAlign w:val="center"/>
          </w:tcPr>
          <w:p w14:paraId="720C7CFF" w14:textId="77777777" w:rsidR="00241417" w:rsidRPr="00C3259A" w:rsidRDefault="00241417" w:rsidP="003A71DE">
            <w:pPr>
              <w:pStyle w:val="TAC"/>
            </w:pPr>
            <w:r w:rsidRPr="00C3259A">
              <w:t>22</w:t>
            </w:r>
          </w:p>
        </w:tc>
      </w:tr>
      <w:tr w:rsidR="00241417" w:rsidRPr="00C3259A" w14:paraId="0983F516" w14:textId="77777777" w:rsidTr="003A71DE">
        <w:trPr>
          <w:cantSplit/>
          <w:jc w:val="center"/>
        </w:trPr>
        <w:tc>
          <w:tcPr>
            <w:tcW w:w="2925" w:type="dxa"/>
            <w:vAlign w:val="center"/>
          </w:tcPr>
          <w:p w14:paraId="59AFD745" w14:textId="77777777" w:rsidR="00241417" w:rsidRPr="00C3259A" w:rsidRDefault="00241417" w:rsidP="003A71DE">
            <w:pPr>
              <w:pStyle w:val="TAL"/>
            </w:pPr>
            <w:r w:rsidRPr="00C3259A">
              <w:t>First symbol</w:t>
            </w:r>
          </w:p>
        </w:tc>
        <w:tc>
          <w:tcPr>
            <w:tcW w:w="2552" w:type="dxa"/>
            <w:vAlign w:val="center"/>
          </w:tcPr>
          <w:p w14:paraId="49E24BD5" w14:textId="77777777" w:rsidR="00241417" w:rsidRPr="00C3259A" w:rsidRDefault="00241417" w:rsidP="003A71DE">
            <w:pPr>
              <w:pStyle w:val="TAC"/>
            </w:pPr>
            <w:r w:rsidRPr="00C3259A">
              <w:t>0</w:t>
            </w:r>
          </w:p>
        </w:tc>
      </w:tr>
      <w:tr w:rsidR="00241417" w:rsidRPr="00C3259A" w14:paraId="28FDC7BD" w14:textId="77777777" w:rsidTr="003A71DE">
        <w:trPr>
          <w:cantSplit/>
          <w:jc w:val="center"/>
        </w:trPr>
        <w:tc>
          <w:tcPr>
            <w:tcW w:w="2925" w:type="dxa"/>
            <w:vAlign w:val="center"/>
          </w:tcPr>
          <w:p w14:paraId="265E0424" w14:textId="77777777" w:rsidR="00241417" w:rsidRPr="00C3259A" w:rsidRDefault="00241417" w:rsidP="003A71DE">
            <w:pPr>
              <w:pStyle w:val="TAL"/>
            </w:pPr>
            <w:r w:rsidRPr="00C3259A">
              <w:t>Length of the orthogonal cover code</w:t>
            </w:r>
          </w:p>
        </w:tc>
        <w:tc>
          <w:tcPr>
            <w:tcW w:w="2552" w:type="dxa"/>
            <w:vAlign w:val="center"/>
          </w:tcPr>
          <w:p w14:paraId="7FD1A6ED" w14:textId="77777777" w:rsidR="00241417" w:rsidRPr="00C3259A" w:rsidRDefault="00241417" w:rsidP="003A71DE">
            <w:pPr>
              <w:pStyle w:val="TAC"/>
            </w:pPr>
            <w:r w:rsidRPr="00C3259A">
              <w:t>n2</w:t>
            </w:r>
          </w:p>
        </w:tc>
      </w:tr>
      <w:tr w:rsidR="00241417" w:rsidRPr="00C3259A" w14:paraId="6C6A264B" w14:textId="77777777" w:rsidTr="003A71DE">
        <w:trPr>
          <w:cantSplit/>
          <w:jc w:val="center"/>
        </w:trPr>
        <w:tc>
          <w:tcPr>
            <w:tcW w:w="2925" w:type="dxa"/>
            <w:vAlign w:val="center"/>
          </w:tcPr>
          <w:p w14:paraId="2AE45808" w14:textId="77777777" w:rsidR="00241417" w:rsidRPr="00C3259A" w:rsidRDefault="00241417" w:rsidP="003A71DE">
            <w:pPr>
              <w:pStyle w:val="TAL"/>
            </w:pPr>
            <w:r w:rsidRPr="00C3259A">
              <w:t>Index of the orthogonal cover code</w:t>
            </w:r>
          </w:p>
        </w:tc>
        <w:tc>
          <w:tcPr>
            <w:tcW w:w="2552" w:type="dxa"/>
            <w:vAlign w:val="center"/>
          </w:tcPr>
          <w:p w14:paraId="1511F17E" w14:textId="77777777" w:rsidR="00241417" w:rsidRPr="00C3259A" w:rsidRDefault="00241417" w:rsidP="003A71DE">
            <w:pPr>
              <w:pStyle w:val="TAC"/>
            </w:pPr>
            <w:r w:rsidRPr="00C3259A">
              <w:t>n0</w:t>
            </w:r>
          </w:p>
        </w:tc>
      </w:tr>
    </w:tbl>
    <w:p w14:paraId="3F4BFBF0" w14:textId="77777777" w:rsidR="00241417" w:rsidRDefault="00241417" w:rsidP="00241417"/>
    <w:p w14:paraId="610D0738" w14:textId="77777777" w:rsidR="00241417" w:rsidRDefault="00241417" w:rsidP="00241417">
      <w:pPr>
        <w:pStyle w:val="Heading5"/>
      </w:pPr>
      <w:bookmarkStart w:id="3669" w:name="_Toc74583269"/>
      <w:bookmarkStart w:id="3670" w:name="_Toc76542082"/>
      <w:bookmarkStart w:id="3671" w:name="_Toc82450064"/>
      <w:bookmarkStart w:id="3672" w:name="_Toc82450712"/>
      <w:bookmarkStart w:id="3673" w:name="_Toc89949101"/>
      <w:bookmarkStart w:id="3674" w:name="_Toc98755490"/>
      <w:bookmarkStart w:id="3675" w:name="_Toc98763081"/>
      <w:bookmarkStart w:id="3676" w:name="_Toc106184010"/>
      <w:r>
        <w:t>8</w:t>
      </w:r>
      <w:r w:rsidRPr="00EE4A40">
        <w:t>.</w:t>
      </w:r>
      <w:r>
        <w:t>1</w:t>
      </w:r>
      <w:r w:rsidRPr="00EE4A40">
        <w:t>.</w:t>
      </w:r>
      <w:r>
        <w:t>3</w:t>
      </w:r>
      <w:r w:rsidRPr="00EE4A40">
        <w:t>.</w:t>
      </w:r>
      <w:r>
        <w:t>6</w:t>
      </w:r>
      <w:r w:rsidRPr="00EE4A40">
        <w:t>.</w:t>
      </w:r>
      <w:r>
        <w:t>2</w:t>
      </w:r>
      <w:r>
        <w:tab/>
        <w:t>Minimum requirement</w:t>
      </w:r>
      <w:bookmarkEnd w:id="3669"/>
      <w:bookmarkEnd w:id="3670"/>
      <w:bookmarkEnd w:id="3671"/>
      <w:bookmarkEnd w:id="3672"/>
      <w:bookmarkEnd w:id="3673"/>
      <w:bookmarkEnd w:id="3674"/>
      <w:bookmarkEnd w:id="3675"/>
      <w:bookmarkEnd w:id="3676"/>
    </w:p>
    <w:p w14:paraId="4BDAD1CD" w14:textId="77777777" w:rsidR="00241417" w:rsidRPr="00F5405A" w:rsidRDefault="00241417" w:rsidP="00241417">
      <w:pPr>
        <w:rPr>
          <w:lang w:eastAsia="zh-CN"/>
        </w:rPr>
      </w:pPr>
      <w:r w:rsidRPr="00F5405A">
        <w:t>The UCI block error probability shall not exceed 1% at the SNR given in Table 8.</w:t>
      </w:r>
      <w:r>
        <w:t>2.</w:t>
      </w:r>
      <w:r w:rsidRPr="00F5405A">
        <w:t>3.</w:t>
      </w:r>
      <w:r w:rsidRPr="00F5405A">
        <w:rPr>
          <w:lang w:eastAsia="zh-CN"/>
        </w:rPr>
        <w:t>6.2</w:t>
      </w:r>
      <w:r w:rsidRPr="00F5405A">
        <w:t>-1 and Table 8.</w:t>
      </w:r>
      <w:r>
        <w:t>2.</w:t>
      </w:r>
      <w:r w:rsidRPr="00F5405A">
        <w:t>3.</w:t>
      </w:r>
      <w:r w:rsidRPr="00F5405A">
        <w:rPr>
          <w:lang w:eastAsia="zh-CN"/>
        </w:rPr>
        <w:t>6.2</w:t>
      </w:r>
      <w:r w:rsidRPr="00F5405A">
        <w:t>-2.</w:t>
      </w:r>
    </w:p>
    <w:p w14:paraId="24AF72E0" w14:textId="77777777" w:rsidR="00241417" w:rsidRPr="00F5405A" w:rsidRDefault="00241417" w:rsidP="00241417">
      <w:pPr>
        <w:pStyle w:val="TH"/>
      </w:pPr>
      <w:r w:rsidRPr="00F5405A">
        <w:t>Table 8.</w:t>
      </w:r>
      <w:r>
        <w:t>1.</w:t>
      </w:r>
      <w:r w:rsidRPr="00F5405A">
        <w:t>3.6.2-1: Required SNR for PUCCH format 4 with 15</w:t>
      </w:r>
      <w:r w:rsidRPr="00F5405A">
        <w:rPr>
          <w:lang w:eastAsia="zh-CN"/>
        </w:rPr>
        <w:t xml:space="preserve"> </w:t>
      </w:r>
      <w:r w:rsidRPr="00F5405A">
        <w:t>kHz SCS</w:t>
      </w:r>
    </w:p>
    <w:tbl>
      <w:tblPr>
        <w:tblStyle w:val="TableGrid14"/>
        <w:tblW w:w="8080" w:type="dxa"/>
        <w:jc w:val="center"/>
        <w:tblInd w:w="0" w:type="dxa"/>
        <w:tblLayout w:type="fixed"/>
        <w:tblLook w:val="04A0" w:firstRow="1" w:lastRow="0" w:firstColumn="1" w:lastColumn="0" w:noHBand="0" w:noVBand="1"/>
      </w:tblPr>
      <w:tblGrid>
        <w:gridCol w:w="1134"/>
        <w:gridCol w:w="1134"/>
        <w:gridCol w:w="1560"/>
        <w:gridCol w:w="1417"/>
        <w:gridCol w:w="851"/>
        <w:gridCol w:w="992"/>
        <w:gridCol w:w="992"/>
      </w:tblGrid>
      <w:tr w:rsidR="00241417" w:rsidRPr="00F5405A" w14:paraId="70CF2DB1" w14:textId="77777777" w:rsidTr="003A71DE">
        <w:trPr>
          <w:jc w:val="center"/>
        </w:trPr>
        <w:tc>
          <w:tcPr>
            <w:tcW w:w="1134" w:type="dxa"/>
            <w:vMerge w:val="restart"/>
            <w:tcBorders>
              <w:top w:val="single" w:sz="4" w:space="0" w:color="auto"/>
            </w:tcBorders>
            <w:vAlign w:val="center"/>
          </w:tcPr>
          <w:p w14:paraId="79D6C733" w14:textId="77777777" w:rsidR="00241417" w:rsidRPr="00F5405A" w:rsidRDefault="00241417" w:rsidP="003A71DE">
            <w:pPr>
              <w:pStyle w:val="TAH"/>
            </w:pPr>
            <w:r w:rsidRPr="00F5405A">
              <w:t>Number of</w:t>
            </w:r>
            <w:r>
              <w:t xml:space="preserve"> </w:t>
            </w:r>
            <w:r w:rsidRPr="00F5405A">
              <w:t>TX antennas</w:t>
            </w:r>
          </w:p>
        </w:tc>
        <w:tc>
          <w:tcPr>
            <w:tcW w:w="1134" w:type="dxa"/>
            <w:vMerge w:val="restart"/>
            <w:tcBorders>
              <w:top w:val="single" w:sz="4" w:space="0" w:color="auto"/>
            </w:tcBorders>
            <w:vAlign w:val="center"/>
          </w:tcPr>
          <w:p w14:paraId="3FA4E8D6" w14:textId="77777777" w:rsidR="00241417" w:rsidRPr="00F5405A" w:rsidRDefault="00241417" w:rsidP="003A71DE">
            <w:pPr>
              <w:pStyle w:val="TAH"/>
            </w:pPr>
            <w:r w:rsidRPr="00F5405A">
              <w:t>Number of</w:t>
            </w:r>
            <w:r>
              <w:t xml:space="preserve"> Demodulation Branches</w:t>
            </w:r>
          </w:p>
        </w:tc>
        <w:tc>
          <w:tcPr>
            <w:tcW w:w="1560" w:type="dxa"/>
            <w:vMerge w:val="restart"/>
            <w:tcBorders>
              <w:top w:val="single" w:sz="4" w:space="0" w:color="auto"/>
            </w:tcBorders>
            <w:vAlign w:val="center"/>
          </w:tcPr>
          <w:p w14:paraId="34853694" w14:textId="5BA02E84" w:rsidR="00241417" w:rsidRPr="00F5405A" w:rsidRDefault="00241417" w:rsidP="003A71DE">
            <w:pPr>
              <w:pStyle w:val="TAH"/>
            </w:pPr>
            <w:r w:rsidRPr="00F5405A">
              <w:t>Propagation</w:t>
            </w:r>
            <w:r>
              <w:t xml:space="preserve"> </w:t>
            </w:r>
            <w:r w:rsidRPr="00F5405A">
              <w:t xml:space="preserve">conditions and correlation matrix (Annex </w:t>
            </w:r>
            <w:r>
              <w:t>TBA</w:t>
            </w:r>
            <w:r w:rsidRPr="00F5405A">
              <w:t>)</w:t>
            </w:r>
          </w:p>
        </w:tc>
        <w:tc>
          <w:tcPr>
            <w:tcW w:w="1417" w:type="dxa"/>
            <w:vMerge w:val="restart"/>
            <w:tcBorders>
              <w:top w:val="single" w:sz="4" w:space="0" w:color="auto"/>
            </w:tcBorders>
            <w:vAlign w:val="center"/>
          </w:tcPr>
          <w:p w14:paraId="758BA7A0" w14:textId="77777777" w:rsidR="00241417" w:rsidRPr="00F5405A" w:rsidRDefault="00241417" w:rsidP="003A71DE">
            <w:pPr>
              <w:pStyle w:val="TAH"/>
            </w:pPr>
            <w:r w:rsidRPr="00F5405A">
              <w:t>Additional DM-RS configuration</w:t>
            </w:r>
          </w:p>
        </w:tc>
        <w:tc>
          <w:tcPr>
            <w:tcW w:w="2835" w:type="dxa"/>
            <w:gridSpan w:val="3"/>
            <w:tcBorders>
              <w:top w:val="single" w:sz="4" w:space="0" w:color="auto"/>
            </w:tcBorders>
            <w:vAlign w:val="center"/>
          </w:tcPr>
          <w:p w14:paraId="09AA997E" w14:textId="77777777" w:rsidR="00241417" w:rsidRPr="00F5405A" w:rsidRDefault="00241417" w:rsidP="003A71DE">
            <w:pPr>
              <w:pStyle w:val="TAH"/>
            </w:pPr>
            <w:r w:rsidRPr="00F5405A">
              <w:t>Channel bandwidth / SNR (dB)</w:t>
            </w:r>
          </w:p>
        </w:tc>
      </w:tr>
      <w:tr w:rsidR="00241417" w:rsidRPr="00F5405A" w14:paraId="0A2D501E" w14:textId="77777777" w:rsidTr="003A71DE">
        <w:trPr>
          <w:jc w:val="center"/>
        </w:trPr>
        <w:tc>
          <w:tcPr>
            <w:tcW w:w="1134" w:type="dxa"/>
            <w:vMerge/>
            <w:tcBorders>
              <w:bottom w:val="single" w:sz="4" w:space="0" w:color="auto"/>
            </w:tcBorders>
            <w:vAlign w:val="center"/>
          </w:tcPr>
          <w:p w14:paraId="5718E4F9" w14:textId="77777777" w:rsidR="00241417" w:rsidRPr="00F5405A" w:rsidRDefault="00241417" w:rsidP="003A71DE">
            <w:pPr>
              <w:pStyle w:val="TAH"/>
            </w:pPr>
          </w:p>
        </w:tc>
        <w:tc>
          <w:tcPr>
            <w:tcW w:w="1134" w:type="dxa"/>
            <w:vMerge/>
            <w:tcBorders>
              <w:bottom w:val="single" w:sz="4" w:space="0" w:color="auto"/>
            </w:tcBorders>
            <w:vAlign w:val="center"/>
          </w:tcPr>
          <w:p w14:paraId="71150017" w14:textId="77777777" w:rsidR="00241417" w:rsidRPr="00F5405A" w:rsidRDefault="00241417" w:rsidP="003A71DE">
            <w:pPr>
              <w:pStyle w:val="TAH"/>
            </w:pPr>
          </w:p>
        </w:tc>
        <w:tc>
          <w:tcPr>
            <w:tcW w:w="1560" w:type="dxa"/>
            <w:vMerge/>
            <w:tcBorders>
              <w:bottom w:val="single" w:sz="4" w:space="0" w:color="auto"/>
            </w:tcBorders>
            <w:vAlign w:val="center"/>
          </w:tcPr>
          <w:p w14:paraId="4DB1782D" w14:textId="77777777" w:rsidR="00241417" w:rsidRPr="00F5405A" w:rsidRDefault="00241417" w:rsidP="003A71DE">
            <w:pPr>
              <w:pStyle w:val="TAH"/>
            </w:pPr>
          </w:p>
        </w:tc>
        <w:tc>
          <w:tcPr>
            <w:tcW w:w="1417" w:type="dxa"/>
            <w:vMerge/>
            <w:tcBorders>
              <w:bottom w:val="single" w:sz="4" w:space="0" w:color="auto"/>
            </w:tcBorders>
            <w:vAlign w:val="center"/>
          </w:tcPr>
          <w:p w14:paraId="2C5C4013" w14:textId="77777777" w:rsidR="00241417" w:rsidRPr="00F5405A" w:rsidRDefault="00241417" w:rsidP="003A71DE">
            <w:pPr>
              <w:pStyle w:val="TAH"/>
            </w:pPr>
          </w:p>
        </w:tc>
        <w:tc>
          <w:tcPr>
            <w:tcW w:w="851" w:type="dxa"/>
            <w:tcBorders>
              <w:top w:val="single" w:sz="4" w:space="0" w:color="auto"/>
              <w:bottom w:val="single" w:sz="4" w:space="0" w:color="auto"/>
            </w:tcBorders>
            <w:vAlign w:val="center"/>
          </w:tcPr>
          <w:p w14:paraId="6A12D7B1" w14:textId="77777777" w:rsidR="00241417" w:rsidRPr="00F5405A" w:rsidRDefault="00241417" w:rsidP="003A71DE">
            <w:pPr>
              <w:pStyle w:val="TAH"/>
            </w:pPr>
            <w:r w:rsidRPr="00F5405A">
              <w:t>5 MHz</w:t>
            </w:r>
          </w:p>
        </w:tc>
        <w:tc>
          <w:tcPr>
            <w:tcW w:w="992" w:type="dxa"/>
            <w:tcBorders>
              <w:top w:val="single" w:sz="4" w:space="0" w:color="auto"/>
              <w:bottom w:val="single" w:sz="4" w:space="0" w:color="auto"/>
            </w:tcBorders>
            <w:vAlign w:val="center"/>
          </w:tcPr>
          <w:p w14:paraId="6FE98361" w14:textId="77777777" w:rsidR="00241417" w:rsidRPr="00F5405A" w:rsidRDefault="00241417" w:rsidP="003A71DE">
            <w:pPr>
              <w:pStyle w:val="TAH"/>
            </w:pPr>
            <w:r w:rsidRPr="00F5405A">
              <w:t>10 MHz</w:t>
            </w:r>
          </w:p>
        </w:tc>
        <w:tc>
          <w:tcPr>
            <w:tcW w:w="992" w:type="dxa"/>
            <w:tcBorders>
              <w:top w:val="single" w:sz="4" w:space="0" w:color="auto"/>
              <w:bottom w:val="single" w:sz="4" w:space="0" w:color="auto"/>
            </w:tcBorders>
            <w:vAlign w:val="center"/>
          </w:tcPr>
          <w:p w14:paraId="6C621786" w14:textId="77777777" w:rsidR="00241417" w:rsidRPr="00F5405A" w:rsidRDefault="00241417" w:rsidP="003A71DE">
            <w:pPr>
              <w:pStyle w:val="TAH"/>
            </w:pPr>
            <w:r w:rsidRPr="00F5405A">
              <w:t>20 MHz</w:t>
            </w:r>
          </w:p>
        </w:tc>
      </w:tr>
      <w:tr w:rsidR="00241417" w:rsidRPr="00F5405A" w14:paraId="5FC9E433" w14:textId="77777777" w:rsidTr="003A71DE">
        <w:trPr>
          <w:jc w:val="center"/>
        </w:trPr>
        <w:tc>
          <w:tcPr>
            <w:tcW w:w="1134" w:type="dxa"/>
            <w:vMerge w:val="restart"/>
            <w:vAlign w:val="center"/>
          </w:tcPr>
          <w:p w14:paraId="076739B0" w14:textId="77777777" w:rsidR="00241417" w:rsidRPr="00F5405A" w:rsidRDefault="00241417" w:rsidP="003A71DE">
            <w:pPr>
              <w:pStyle w:val="TAC"/>
            </w:pPr>
            <w:r w:rsidRPr="00F5405A">
              <w:rPr>
                <w:lang w:eastAsia="zh-CN"/>
              </w:rPr>
              <w:t>1</w:t>
            </w:r>
          </w:p>
        </w:tc>
        <w:tc>
          <w:tcPr>
            <w:tcW w:w="1134" w:type="dxa"/>
            <w:vMerge w:val="restart"/>
            <w:vAlign w:val="center"/>
          </w:tcPr>
          <w:p w14:paraId="1E1CBD8D" w14:textId="77777777" w:rsidR="00241417" w:rsidRPr="00F5405A" w:rsidRDefault="00241417" w:rsidP="003A71DE">
            <w:pPr>
              <w:pStyle w:val="TAC"/>
            </w:pPr>
            <w:r w:rsidRPr="00F5405A">
              <w:rPr>
                <w:lang w:eastAsia="zh-CN"/>
              </w:rPr>
              <w:t>2</w:t>
            </w:r>
          </w:p>
        </w:tc>
        <w:tc>
          <w:tcPr>
            <w:tcW w:w="1560" w:type="dxa"/>
            <w:vMerge w:val="restart"/>
            <w:vAlign w:val="center"/>
          </w:tcPr>
          <w:p w14:paraId="4FA08EEE" w14:textId="77777777" w:rsidR="00241417" w:rsidRPr="00F5405A" w:rsidRDefault="00241417" w:rsidP="003A71DE">
            <w:pPr>
              <w:pStyle w:val="TAC"/>
            </w:pPr>
            <w:r w:rsidRPr="00F5405A">
              <w:t>TDLC300-100</w:t>
            </w:r>
            <w:r w:rsidRPr="00F5405A" w:rsidDel="002E550C">
              <w:t xml:space="preserve"> </w:t>
            </w:r>
            <w:r w:rsidRPr="00F5405A">
              <w:t>Low</w:t>
            </w:r>
          </w:p>
        </w:tc>
        <w:tc>
          <w:tcPr>
            <w:tcW w:w="1417" w:type="dxa"/>
            <w:tcBorders>
              <w:bottom w:val="single" w:sz="4" w:space="0" w:color="auto"/>
            </w:tcBorders>
            <w:vAlign w:val="center"/>
          </w:tcPr>
          <w:p w14:paraId="5D982FF4" w14:textId="77777777" w:rsidR="00241417" w:rsidRPr="00F5405A" w:rsidRDefault="00241417" w:rsidP="003A71DE">
            <w:pPr>
              <w:pStyle w:val="TAC"/>
            </w:pPr>
            <w:r w:rsidRPr="00F5405A">
              <w:rPr>
                <w:lang w:eastAsia="zh-CN"/>
              </w:rPr>
              <w:t>No additional DM-RS</w:t>
            </w:r>
          </w:p>
        </w:tc>
        <w:tc>
          <w:tcPr>
            <w:tcW w:w="851" w:type="dxa"/>
            <w:tcBorders>
              <w:bottom w:val="single" w:sz="4" w:space="0" w:color="auto"/>
            </w:tcBorders>
            <w:vAlign w:val="center"/>
          </w:tcPr>
          <w:p w14:paraId="32748845" w14:textId="77777777" w:rsidR="00241417" w:rsidRPr="00F5405A" w:rsidRDefault="00241417" w:rsidP="003A71DE">
            <w:pPr>
              <w:pStyle w:val="TAC"/>
            </w:pPr>
            <w:r w:rsidRPr="00F5405A">
              <w:rPr>
                <w:lang w:eastAsia="zh-CN"/>
              </w:rPr>
              <w:t>1.8</w:t>
            </w:r>
          </w:p>
        </w:tc>
        <w:tc>
          <w:tcPr>
            <w:tcW w:w="992" w:type="dxa"/>
            <w:tcBorders>
              <w:bottom w:val="single" w:sz="4" w:space="0" w:color="auto"/>
            </w:tcBorders>
            <w:vAlign w:val="center"/>
          </w:tcPr>
          <w:p w14:paraId="3B9C96BC" w14:textId="77777777" w:rsidR="00241417" w:rsidRPr="00F5405A" w:rsidRDefault="00241417" w:rsidP="003A71DE">
            <w:pPr>
              <w:pStyle w:val="TAC"/>
            </w:pPr>
            <w:r w:rsidRPr="00F5405A">
              <w:rPr>
                <w:lang w:eastAsia="zh-CN"/>
              </w:rPr>
              <w:t>2.6</w:t>
            </w:r>
          </w:p>
        </w:tc>
        <w:tc>
          <w:tcPr>
            <w:tcW w:w="992" w:type="dxa"/>
            <w:tcBorders>
              <w:bottom w:val="single" w:sz="4" w:space="0" w:color="auto"/>
            </w:tcBorders>
            <w:vAlign w:val="center"/>
          </w:tcPr>
          <w:p w14:paraId="014F71B5" w14:textId="77777777" w:rsidR="00241417" w:rsidRPr="00F5405A" w:rsidRDefault="00241417" w:rsidP="003A71DE">
            <w:pPr>
              <w:pStyle w:val="TAC"/>
            </w:pPr>
            <w:r w:rsidRPr="00F5405A">
              <w:rPr>
                <w:lang w:eastAsia="zh-CN"/>
              </w:rPr>
              <w:t>2.2</w:t>
            </w:r>
          </w:p>
        </w:tc>
      </w:tr>
      <w:tr w:rsidR="00241417" w:rsidRPr="00F5405A" w14:paraId="37113899" w14:textId="77777777" w:rsidTr="003A71DE">
        <w:trPr>
          <w:jc w:val="center"/>
        </w:trPr>
        <w:tc>
          <w:tcPr>
            <w:tcW w:w="1134" w:type="dxa"/>
            <w:vMerge/>
            <w:vAlign w:val="center"/>
          </w:tcPr>
          <w:p w14:paraId="5F446240" w14:textId="77777777" w:rsidR="00241417" w:rsidRPr="00F5405A" w:rsidRDefault="00241417" w:rsidP="003A71DE">
            <w:pPr>
              <w:pStyle w:val="TAC"/>
            </w:pPr>
          </w:p>
        </w:tc>
        <w:tc>
          <w:tcPr>
            <w:tcW w:w="1134" w:type="dxa"/>
            <w:vMerge/>
            <w:tcBorders>
              <w:bottom w:val="single" w:sz="4" w:space="0" w:color="auto"/>
            </w:tcBorders>
            <w:vAlign w:val="center"/>
          </w:tcPr>
          <w:p w14:paraId="5D7A21DE" w14:textId="77777777" w:rsidR="00241417" w:rsidRPr="00F5405A" w:rsidRDefault="00241417" w:rsidP="003A71DE">
            <w:pPr>
              <w:pStyle w:val="TAC"/>
            </w:pPr>
          </w:p>
        </w:tc>
        <w:tc>
          <w:tcPr>
            <w:tcW w:w="1560" w:type="dxa"/>
            <w:vMerge/>
            <w:tcBorders>
              <w:bottom w:val="single" w:sz="4" w:space="0" w:color="auto"/>
            </w:tcBorders>
            <w:vAlign w:val="center"/>
          </w:tcPr>
          <w:p w14:paraId="31721BB7" w14:textId="77777777" w:rsidR="00241417" w:rsidRPr="00F5405A" w:rsidRDefault="00241417" w:rsidP="003A71DE">
            <w:pPr>
              <w:pStyle w:val="TAC"/>
            </w:pPr>
          </w:p>
        </w:tc>
        <w:tc>
          <w:tcPr>
            <w:tcW w:w="1417" w:type="dxa"/>
            <w:tcBorders>
              <w:bottom w:val="single" w:sz="4" w:space="0" w:color="auto"/>
            </w:tcBorders>
            <w:vAlign w:val="center"/>
          </w:tcPr>
          <w:p w14:paraId="019DFBB3" w14:textId="77777777" w:rsidR="00241417" w:rsidRPr="00F5405A" w:rsidRDefault="00241417" w:rsidP="003A71DE">
            <w:pPr>
              <w:pStyle w:val="TAC"/>
            </w:pPr>
            <w:r w:rsidRPr="00F5405A">
              <w:rPr>
                <w:lang w:eastAsia="zh-CN"/>
              </w:rPr>
              <w:t>Additional DM-RS</w:t>
            </w:r>
          </w:p>
        </w:tc>
        <w:tc>
          <w:tcPr>
            <w:tcW w:w="851" w:type="dxa"/>
            <w:tcBorders>
              <w:bottom w:val="single" w:sz="4" w:space="0" w:color="auto"/>
            </w:tcBorders>
            <w:vAlign w:val="center"/>
          </w:tcPr>
          <w:p w14:paraId="24CDA8B1" w14:textId="77777777" w:rsidR="00241417" w:rsidRPr="00F5405A" w:rsidRDefault="00241417" w:rsidP="003A71DE">
            <w:pPr>
              <w:pStyle w:val="TAC"/>
            </w:pPr>
            <w:r w:rsidRPr="00F5405A">
              <w:rPr>
                <w:lang w:eastAsia="zh-CN"/>
              </w:rPr>
              <w:t>1.6</w:t>
            </w:r>
          </w:p>
        </w:tc>
        <w:tc>
          <w:tcPr>
            <w:tcW w:w="992" w:type="dxa"/>
            <w:tcBorders>
              <w:bottom w:val="single" w:sz="4" w:space="0" w:color="auto"/>
            </w:tcBorders>
            <w:vAlign w:val="center"/>
          </w:tcPr>
          <w:p w14:paraId="00CD5DA8" w14:textId="77777777" w:rsidR="00241417" w:rsidRPr="00F5405A" w:rsidRDefault="00241417" w:rsidP="003A71DE">
            <w:pPr>
              <w:pStyle w:val="TAC"/>
            </w:pPr>
            <w:r w:rsidRPr="00F5405A">
              <w:rPr>
                <w:lang w:eastAsia="zh-CN"/>
              </w:rPr>
              <w:t>2.4</w:t>
            </w:r>
          </w:p>
        </w:tc>
        <w:tc>
          <w:tcPr>
            <w:tcW w:w="992" w:type="dxa"/>
            <w:tcBorders>
              <w:bottom w:val="single" w:sz="4" w:space="0" w:color="auto"/>
            </w:tcBorders>
            <w:vAlign w:val="center"/>
          </w:tcPr>
          <w:p w14:paraId="618E9C5B" w14:textId="77777777" w:rsidR="00241417" w:rsidRPr="00F5405A" w:rsidRDefault="00241417" w:rsidP="003A71DE">
            <w:pPr>
              <w:pStyle w:val="TAC"/>
            </w:pPr>
            <w:r w:rsidRPr="00F5405A">
              <w:rPr>
                <w:lang w:eastAsia="zh-CN"/>
              </w:rPr>
              <w:t>1.8</w:t>
            </w:r>
          </w:p>
        </w:tc>
      </w:tr>
      <w:tr w:rsidR="00241417" w:rsidRPr="00F5405A" w14:paraId="54DAA2C8" w14:textId="77777777" w:rsidTr="003A71DE">
        <w:trPr>
          <w:jc w:val="center"/>
        </w:trPr>
        <w:tc>
          <w:tcPr>
            <w:tcW w:w="1134" w:type="dxa"/>
            <w:vMerge/>
            <w:vAlign w:val="center"/>
          </w:tcPr>
          <w:p w14:paraId="2AB511A3" w14:textId="77777777" w:rsidR="00241417" w:rsidRPr="00F5405A" w:rsidRDefault="00241417" w:rsidP="003A71DE">
            <w:pPr>
              <w:pStyle w:val="TAC"/>
            </w:pPr>
          </w:p>
        </w:tc>
        <w:tc>
          <w:tcPr>
            <w:tcW w:w="1134" w:type="dxa"/>
            <w:vMerge w:val="restart"/>
            <w:vAlign w:val="center"/>
          </w:tcPr>
          <w:p w14:paraId="7F725BB3" w14:textId="77777777" w:rsidR="00241417" w:rsidRPr="00F5405A" w:rsidRDefault="00241417" w:rsidP="003A71DE">
            <w:pPr>
              <w:pStyle w:val="TAC"/>
            </w:pPr>
            <w:r w:rsidRPr="00F5405A">
              <w:rPr>
                <w:lang w:eastAsia="zh-CN"/>
              </w:rPr>
              <w:t>4</w:t>
            </w:r>
          </w:p>
        </w:tc>
        <w:tc>
          <w:tcPr>
            <w:tcW w:w="1560" w:type="dxa"/>
            <w:vMerge w:val="restart"/>
            <w:vAlign w:val="center"/>
          </w:tcPr>
          <w:p w14:paraId="6134D8C9" w14:textId="77777777" w:rsidR="00241417" w:rsidRPr="00F5405A" w:rsidRDefault="00241417" w:rsidP="003A71DE">
            <w:pPr>
              <w:pStyle w:val="TAC"/>
            </w:pPr>
            <w:r w:rsidRPr="00F5405A">
              <w:t>TDLC300-100</w:t>
            </w:r>
            <w:r w:rsidRPr="00F5405A" w:rsidDel="002E550C">
              <w:t xml:space="preserve"> </w:t>
            </w:r>
            <w:r w:rsidRPr="00F5405A">
              <w:t>Low</w:t>
            </w:r>
          </w:p>
        </w:tc>
        <w:tc>
          <w:tcPr>
            <w:tcW w:w="1417" w:type="dxa"/>
            <w:tcBorders>
              <w:bottom w:val="single" w:sz="4" w:space="0" w:color="auto"/>
            </w:tcBorders>
            <w:vAlign w:val="center"/>
          </w:tcPr>
          <w:p w14:paraId="436D937A" w14:textId="77777777" w:rsidR="00241417" w:rsidRPr="00F5405A" w:rsidRDefault="00241417" w:rsidP="003A71DE">
            <w:pPr>
              <w:pStyle w:val="TAC"/>
            </w:pPr>
            <w:r w:rsidRPr="00F5405A">
              <w:rPr>
                <w:lang w:eastAsia="zh-CN"/>
              </w:rPr>
              <w:t>No additional DM-RS</w:t>
            </w:r>
          </w:p>
        </w:tc>
        <w:tc>
          <w:tcPr>
            <w:tcW w:w="851" w:type="dxa"/>
            <w:tcBorders>
              <w:bottom w:val="single" w:sz="4" w:space="0" w:color="auto"/>
            </w:tcBorders>
            <w:vAlign w:val="center"/>
          </w:tcPr>
          <w:p w14:paraId="5DBF7DD8" w14:textId="77777777" w:rsidR="00241417" w:rsidRPr="00F5405A" w:rsidRDefault="00241417" w:rsidP="003A71DE">
            <w:pPr>
              <w:pStyle w:val="TAC"/>
            </w:pPr>
            <w:r w:rsidRPr="00F5405A">
              <w:rPr>
                <w:lang w:eastAsia="zh-CN"/>
              </w:rPr>
              <w:t>-2.3</w:t>
            </w:r>
          </w:p>
        </w:tc>
        <w:tc>
          <w:tcPr>
            <w:tcW w:w="992" w:type="dxa"/>
            <w:tcBorders>
              <w:bottom w:val="single" w:sz="4" w:space="0" w:color="auto"/>
            </w:tcBorders>
            <w:vAlign w:val="center"/>
          </w:tcPr>
          <w:p w14:paraId="164BAF19" w14:textId="77777777" w:rsidR="00241417" w:rsidRPr="00F5405A" w:rsidRDefault="00241417" w:rsidP="003A71DE">
            <w:pPr>
              <w:pStyle w:val="TAC"/>
            </w:pPr>
            <w:r w:rsidRPr="00F5405A">
              <w:rPr>
                <w:lang w:eastAsia="zh-CN"/>
              </w:rPr>
              <w:t>-1.9</w:t>
            </w:r>
          </w:p>
        </w:tc>
        <w:tc>
          <w:tcPr>
            <w:tcW w:w="992" w:type="dxa"/>
            <w:tcBorders>
              <w:bottom w:val="single" w:sz="4" w:space="0" w:color="auto"/>
            </w:tcBorders>
            <w:vAlign w:val="center"/>
          </w:tcPr>
          <w:p w14:paraId="70890D93" w14:textId="77777777" w:rsidR="00241417" w:rsidRPr="00F5405A" w:rsidRDefault="00241417" w:rsidP="003A71DE">
            <w:pPr>
              <w:pStyle w:val="TAC"/>
            </w:pPr>
            <w:r w:rsidRPr="00F5405A">
              <w:rPr>
                <w:lang w:eastAsia="zh-CN"/>
              </w:rPr>
              <w:t>-2.2</w:t>
            </w:r>
          </w:p>
        </w:tc>
      </w:tr>
      <w:tr w:rsidR="00241417" w:rsidRPr="00F5405A" w14:paraId="03A6174C" w14:textId="77777777" w:rsidTr="003A71DE">
        <w:trPr>
          <w:jc w:val="center"/>
        </w:trPr>
        <w:tc>
          <w:tcPr>
            <w:tcW w:w="1134" w:type="dxa"/>
            <w:vMerge/>
            <w:vAlign w:val="center"/>
          </w:tcPr>
          <w:p w14:paraId="62A3BF86" w14:textId="77777777" w:rsidR="00241417" w:rsidRPr="00F5405A" w:rsidRDefault="00241417" w:rsidP="003A71DE">
            <w:pPr>
              <w:pStyle w:val="TAC"/>
            </w:pPr>
          </w:p>
        </w:tc>
        <w:tc>
          <w:tcPr>
            <w:tcW w:w="1134" w:type="dxa"/>
            <w:vMerge/>
            <w:tcBorders>
              <w:bottom w:val="single" w:sz="4" w:space="0" w:color="auto"/>
            </w:tcBorders>
            <w:vAlign w:val="center"/>
          </w:tcPr>
          <w:p w14:paraId="3EF774F6" w14:textId="77777777" w:rsidR="00241417" w:rsidRPr="00F5405A" w:rsidRDefault="00241417" w:rsidP="003A71DE">
            <w:pPr>
              <w:pStyle w:val="TAC"/>
            </w:pPr>
          </w:p>
        </w:tc>
        <w:tc>
          <w:tcPr>
            <w:tcW w:w="1560" w:type="dxa"/>
            <w:vMerge/>
            <w:tcBorders>
              <w:bottom w:val="single" w:sz="4" w:space="0" w:color="auto"/>
            </w:tcBorders>
            <w:vAlign w:val="center"/>
          </w:tcPr>
          <w:p w14:paraId="364ECFD1" w14:textId="77777777" w:rsidR="00241417" w:rsidRPr="00F5405A" w:rsidRDefault="00241417" w:rsidP="003A71DE">
            <w:pPr>
              <w:pStyle w:val="TAC"/>
            </w:pPr>
          </w:p>
        </w:tc>
        <w:tc>
          <w:tcPr>
            <w:tcW w:w="1417" w:type="dxa"/>
            <w:tcBorders>
              <w:bottom w:val="single" w:sz="4" w:space="0" w:color="auto"/>
            </w:tcBorders>
            <w:vAlign w:val="center"/>
          </w:tcPr>
          <w:p w14:paraId="08876596" w14:textId="77777777" w:rsidR="00241417" w:rsidRPr="00F5405A" w:rsidRDefault="00241417" w:rsidP="003A71DE">
            <w:pPr>
              <w:pStyle w:val="TAC"/>
            </w:pPr>
            <w:r w:rsidRPr="00F5405A">
              <w:rPr>
                <w:lang w:eastAsia="zh-CN"/>
              </w:rPr>
              <w:t>Additional DM-RS</w:t>
            </w:r>
          </w:p>
        </w:tc>
        <w:tc>
          <w:tcPr>
            <w:tcW w:w="851" w:type="dxa"/>
            <w:tcBorders>
              <w:bottom w:val="single" w:sz="4" w:space="0" w:color="auto"/>
            </w:tcBorders>
            <w:vAlign w:val="center"/>
          </w:tcPr>
          <w:p w14:paraId="4D50EB1B" w14:textId="77777777" w:rsidR="00241417" w:rsidRPr="00F5405A" w:rsidRDefault="00241417" w:rsidP="003A71DE">
            <w:pPr>
              <w:pStyle w:val="TAC"/>
            </w:pPr>
            <w:r w:rsidRPr="00F5405A">
              <w:rPr>
                <w:lang w:eastAsia="zh-CN"/>
              </w:rPr>
              <w:t>-2.9</w:t>
            </w:r>
          </w:p>
        </w:tc>
        <w:tc>
          <w:tcPr>
            <w:tcW w:w="992" w:type="dxa"/>
            <w:tcBorders>
              <w:bottom w:val="single" w:sz="4" w:space="0" w:color="auto"/>
            </w:tcBorders>
            <w:vAlign w:val="center"/>
          </w:tcPr>
          <w:p w14:paraId="34584CD1" w14:textId="77777777" w:rsidR="00241417" w:rsidRPr="00F5405A" w:rsidRDefault="00241417" w:rsidP="003A71DE">
            <w:pPr>
              <w:pStyle w:val="TAC"/>
            </w:pPr>
            <w:r w:rsidRPr="00F5405A">
              <w:rPr>
                <w:lang w:eastAsia="zh-CN"/>
              </w:rPr>
              <w:t>-2.6</w:t>
            </w:r>
          </w:p>
        </w:tc>
        <w:tc>
          <w:tcPr>
            <w:tcW w:w="992" w:type="dxa"/>
            <w:tcBorders>
              <w:bottom w:val="single" w:sz="4" w:space="0" w:color="auto"/>
            </w:tcBorders>
            <w:vAlign w:val="center"/>
          </w:tcPr>
          <w:p w14:paraId="3A87B7E1" w14:textId="77777777" w:rsidR="00241417" w:rsidRPr="00F5405A" w:rsidRDefault="00241417" w:rsidP="003A71DE">
            <w:pPr>
              <w:pStyle w:val="TAC"/>
            </w:pPr>
            <w:r w:rsidRPr="00F5405A">
              <w:rPr>
                <w:lang w:eastAsia="zh-CN"/>
              </w:rPr>
              <w:t>-2.7</w:t>
            </w:r>
          </w:p>
        </w:tc>
      </w:tr>
      <w:tr w:rsidR="00241417" w:rsidRPr="00F5405A" w14:paraId="3B6DEA98" w14:textId="77777777" w:rsidTr="003A71DE">
        <w:trPr>
          <w:jc w:val="center"/>
        </w:trPr>
        <w:tc>
          <w:tcPr>
            <w:tcW w:w="1134" w:type="dxa"/>
            <w:vMerge/>
            <w:vAlign w:val="center"/>
          </w:tcPr>
          <w:p w14:paraId="15D868F2" w14:textId="77777777" w:rsidR="00241417" w:rsidRPr="00F5405A" w:rsidRDefault="00241417" w:rsidP="003A71DE">
            <w:pPr>
              <w:pStyle w:val="TAC"/>
            </w:pPr>
          </w:p>
        </w:tc>
        <w:tc>
          <w:tcPr>
            <w:tcW w:w="1134" w:type="dxa"/>
            <w:vMerge w:val="restart"/>
            <w:vAlign w:val="center"/>
          </w:tcPr>
          <w:p w14:paraId="2A3ED772" w14:textId="77777777" w:rsidR="00241417" w:rsidRPr="00F5405A" w:rsidRDefault="00241417" w:rsidP="003A71DE">
            <w:pPr>
              <w:pStyle w:val="TAC"/>
            </w:pPr>
            <w:r w:rsidRPr="00F5405A">
              <w:rPr>
                <w:lang w:eastAsia="zh-CN"/>
              </w:rPr>
              <w:t>8</w:t>
            </w:r>
          </w:p>
        </w:tc>
        <w:tc>
          <w:tcPr>
            <w:tcW w:w="1560" w:type="dxa"/>
            <w:vMerge w:val="restart"/>
            <w:vAlign w:val="center"/>
          </w:tcPr>
          <w:p w14:paraId="47DBE77C" w14:textId="77777777" w:rsidR="00241417" w:rsidRPr="00F5405A" w:rsidRDefault="00241417" w:rsidP="003A71DE">
            <w:pPr>
              <w:pStyle w:val="TAC"/>
            </w:pPr>
            <w:r w:rsidRPr="00F5405A">
              <w:t>TDLC300-100</w:t>
            </w:r>
            <w:r w:rsidRPr="00F5405A" w:rsidDel="002E550C">
              <w:t xml:space="preserve"> </w:t>
            </w:r>
            <w:r w:rsidRPr="00F5405A">
              <w:t>Low</w:t>
            </w:r>
          </w:p>
        </w:tc>
        <w:tc>
          <w:tcPr>
            <w:tcW w:w="1417" w:type="dxa"/>
            <w:tcBorders>
              <w:bottom w:val="single" w:sz="4" w:space="0" w:color="auto"/>
            </w:tcBorders>
            <w:vAlign w:val="center"/>
          </w:tcPr>
          <w:p w14:paraId="5A4C6D4B" w14:textId="77777777" w:rsidR="00241417" w:rsidRPr="00F5405A" w:rsidRDefault="00241417" w:rsidP="003A71DE">
            <w:pPr>
              <w:pStyle w:val="TAC"/>
            </w:pPr>
            <w:r w:rsidRPr="00F5405A">
              <w:rPr>
                <w:lang w:eastAsia="zh-CN"/>
              </w:rPr>
              <w:t>No additional DM-RS</w:t>
            </w:r>
          </w:p>
        </w:tc>
        <w:tc>
          <w:tcPr>
            <w:tcW w:w="851" w:type="dxa"/>
            <w:tcBorders>
              <w:bottom w:val="single" w:sz="4" w:space="0" w:color="auto"/>
            </w:tcBorders>
            <w:vAlign w:val="center"/>
          </w:tcPr>
          <w:p w14:paraId="4109A9A4" w14:textId="77777777" w:rsidR="00241417" w:rsidRPr="00F5405A" w:rsidRDefault="00241417" w:rsidP="003A71DE">
            <w:pPr>
              <w:pStyle w:val="TAC"/>
            </w:pPr>
            <w:r w:rsidRPr="00F5405A">
              <w:rPr>
                <w:lang w:eastAsia="zh-CN"/>
              </w:rPr>
              <w:t>-5.9</w:t>
            </w:r>
          </w:p>
        </w:tc>
        <w:tc>
          <w:tcPr>
            <w:tcW w:w="992" w:type="dxa"/>
            <w:tcBorders>
              <w:bottom w:val="single" w:sz="4" w:space="0" w:color="auto"/>
            </w:tcBorders>
            <w:vAlign w:val="center"/>
          </w:tcPr>
          <w:p w14:paraId="2ABDD8CA" w14:textId="77777777" w:rsidR="00241417" w:rsidRPr="00F5405A" w:rsidRDefault="00241417" w:rsidP="003A71DE">
            <w:pPr>
              <w:pStyle w:val="TAC"/>
            </w:pPr>
            <w:r w:rsidRPr="00F5405A">
              <w:rPr>
                <w:lang w:eastAsia="zh-CN"/>
              </w:rPr>
              <w:t>-5.7</w:t>
            </w:r>
          </w:p>
        </w:tc>
        <w:tc>
          <w:tcPr>
            <w:tcW w:w="992" w:type="dxa"/>
            <w:tcBorders>
              <w:bottom w:val="single" w:sz="4" w:space="0" w:color="auto"/>
            </w:tcBorders>
            <w:vAlign w:val="center"/>
          </w:tcPr>
          <w:p w14:paraId="5032798D" w14:textId="77777777" w:rsidR="00241417" w:rsidRPr="00F5405A" w:rsidRDefault="00241417" w:rsidP="003A71DE">
            <w:pPr>
              <w:pStyle w:val="TAC"/>
            </w:pPr>
            <w:r w:rsidRPr="00F5405A">
              <w:rPr>
                <w:lang w:eastAsia="zh-CN"/>
              </w:rPr>
              <w:t>-5.8</w:t>
            </w:r>
          </w:p>
        </w:tc>
      </w:tr>
      <w:tr w:rsidR="00241417" w:rsidRPr="00F5405A" w14:paraId="76B0FD86" w14:textId="77777777" w:rsidTr="003A71DE">
        <w:trPr>
          <w:jc w:val="center"/>
        </w:trPr>
        <w:tc>
          <w:tcPr>
            <w:tcW w:w="1134" w:type="dxa"/>
            <w:vMerge/>
            <w:vAlign w:val="center"/>
          </w:tcPr>
          <w:p w14:paraId="02CD90EE" w14:textId="77777777" w:rsidR="00241417" w:rsidRPr="00F5405A" w:rsidRDefault="00241417" w:rsidP="003A71DE">
            <w:pPr>
              <w:pStyle w:val="TAC"/>
            </w:pPr>
          </w:p>
        </w:tc>
        <w:tc>
          <w:tcPr>
            <w:tcW w:w="1134" w:type="dxa"/>
            <w:vMerge/>
            <w:tcBorders>
              <w:bottom w:val="single" w:sz="4" w:space="0" w:color="auto"/>
            </w:tcBorders>
            <w:vAlign w:val="center"/>
          </w:tcPr>
          <w:p w14:paraId="233DA76C" w14:textId="77777777" w:rsidR="00241417" w:rsidRPr="00F5405A" w:rsidRDefault="00241417" w:rsidP="003A71DE">
            <w:pPr>
              <w:pStyle w:val="TAC"/>
            </w:pPr>
          </w:p>
        </w:tc>
        <w:tc>
          <w:tcPr>
            <w:tcW w:w="1560" w:type="dxa"/>
            <w:vMerge/>
            <w:tcBorders>
              <w:bottom w:val="single" w:sz="4" w:space="0" w:color="auto"/>
            </w:tcBorders>
            <w:vAlign w:val="center"/>
          </w:tcPr>
          <w:p w14:paraId="0F4C8D1E" w14:textId="77777777" w:rsidR="00241417" w:rsidRPr="00F5405A" w:rsidRDefault="00241417" w:rsidP="003A71DE">
            <w:pPr>
              <w:pStyle w:val="TAC"/>
            </w:pPr>
          </w:p>
        </w:tc>
        <w:tc>
          <w:tcPr>
            <w:tcW w:w="1417" w:type="dxa"/>
            <w:tcBorders>
              <w:top w:val="single" w:sz="4" w:space="0" w:color="auto"/>
              <w:bottom w:val="single" w:sz="4" w:space="0" w:color="auto"/>
            </w:tcBorders>
            <w:vAlign w:val="center"/>
          </w:tcPr>
          <w:p w14:paraId="06CE68D5" w14:textId="77777777" w:rsidR="00241417" w:rsidRPr="00F5405A" w:rsidRDefault="00241417" w:rsidP="003A71DE">
            <w:pPr>
              <w:pStyle w:val="TAC"/>
            </w:pPr>
            <w:r w:rsidRPr="00F5405A">
              <w:rPr>
                <w:lang w:eastAsia="zh-CN"/>
              </w:rPr>
              <w:t>Additional DM-RS</w:t>
            </w:r>
          </w:p>
        </w:tc>
        <w:tc>
          <w:tcPr>
            <w:tcW w:w="851" w:type="dxa"/>
            <w:tcBorders>
              <w:top w:val="single" w:sz="4" w:space="0" w:color="auto"/>
              <w:bottom w:val="single" w:sz="4" w:space="0" w:color="auto"/>
            </w:tcBorders>
            <w:vAlign w:val="center"/>
          </w:tcPr>
          <w:p w14:paraId="379857F2" w14:textId="77777777" w:rsidR="00241417" w:rsidRPr="00F5405A" w:rsidRDefault="00241417" w:rsidP="003A71DE">
            <w:pPr>
              <w:pStyle w:val="TAC"/>
            </w:pPr>
            <w:r w:rsidRPr="00F5405A">
              <w:rPr>
                <w:lang w:eastAsia="zh-CN"/>
              </w:rPr>
              <w:t>-6.6</w:t>
            </w:r>
          </w:p>
        </w:tc>
        <w:tc>
          <w:tcPr>
            <w:tcW w:w="992" w:type="dxa"/>
            <w:tcBorders>
              <w:top w:val="single" w:sz="4" w:space="0" w:color="auto"/>
              <w:bottom w:val="single" w:sz="4" w:space="0" w:color="auto"/>
            </w:tcBorders>
            <w:vAlign w:val="center"/>
          </w:tcPr>
          <w:p w14:paraId="6A72AAF7" w14:textId="77777777" w:rsidR="00241417" w:rsidRPr="00F5405A" w:rsidRDefault="00241417" w:rsidP="003A71DE">
            <w:pPr>
              <w:pStyle w:val="TAC"/>
            </w:pPr>
            <w:r w:rsidRPr="00F5405A">
              <w:rPr>
                <w:lang w:eastAsia="zh-CN"/>
              </w:rPr>
              <w:t>-6.4</w:t>
            </w:r>
          </w:p>
        </w:tc>
        <w:tc>
          <w:tcPr>
            <w:tcW w:w="992" w:type="dxa"/>
            <w:tcBorders>
              <w:top w:val="single" w:sz="4" w:space="0" w:color="auto"/>
              <w:bottom w:val="single" w:sz="4" w:space="0" w:color="auto"/>
            </w:tcBorders>
            <w:vAlign w:val="center"/>
          </w:tcPr>
          <w:p w14:paraId="4C15AD95" w14:textId="77777777" w:rsidR="00241417" w:rsidRPr="00F5405A" w:rsidRDefault="00241417" w:rsidP="003A71DE">
            <w:pPr>
              <w:pStyle w:val="TAC"/>
            </w:pPr>
            <w:r w:rsidRPr="00F5405A">
              <w:rPr>
                <w:lang w:eastAsia="zh-CN"/>
              </w:rPr>
              <w:t>-6.3</w:t>
            </w:r>
          </w:p>
        </w:tc>
      </w:tr>
    </w:tbl>
    <w:p w14:paraId="7EFAFA0F" w14:textId="77777777" w:rsidR="00241417" w:rsidRPr="00F5405A" w:rsidRDefault="00241417" w:rsidP="00241417"/>
    <w:p w14:paraId="7D57FF5E" w14:textId="77777777" w:rsidR="00241417" w:rsidRPr="00F5405A" w:rsidRDefault="00241417" w:rsidP="00241417">
      <w:pPr>
        <w:pStyle w:val="TH"/>
      </w:pPr>
      <w:r w:rsidRPr="00F5405A">
        <w:lastRenderedPageBreak/>
        <w:t>Table 8.</w:t>
      </w:r>
      <w:r>
        <w:t>1.</w:t>
      </w:r>
      <w:r w:rsidRPr="00F5405A">
        <w:t>3.6.2-2: Required SNR for PUCCH format 4 with 30</w:t>
      </w:r>
      <w:r w:rsidRPr="00F5405A">
        <w:rPr>
          <w:lang w:eastAsia="zh-CN"/>
        </w:rPr>
        <w:t xml:space="preserve"> </w:t>
      </w:r>
      <w:r w:rsidRPr="00F5405A">
        <w:t>kHz SCS</w:t>
      </w:r>
    </w:p>
    <w:tbl>
      <w:tblPr>
        <w:tblStyle w:val="TableGrid14"/>
        <w:tblW w:w="8506" w:type="dxa"/>
        <w:jc w:val="center"/>
        <w:tblInd w:w="0" w:type="dxa"/>
        <w:tblLayout w:type="fixed"/>
        <w:tblLook w:val="04A0" w:firstRow="1" w:lastRow="0" w:firstColumn="1" w:lastColumn="0" w:noHBand="0" w:noVBand="1"/>
      </w:tblPr>
      <w:tblGrid>
        <w:gridCol w:w="993"/>
        <w:gridCol w:w="992"/>
        <w:gridCol w:w="1560"/>
        <w:gridCol w:w="1417"/>
        <w:gridCol w:w="851"/>
        <w:gridCol w:w="850"/>
        <w:gridCol w:w="992"/>
        <w:gridCol w:w="851"/>
      </w:tblGrid>
      <w:tr w:rsidR="00241417" w:rsidRPr="00F5405A" w14:paraId="36C76625" w14:textId="77777777" w:rsidTr="003A71DE">
        <w:trPr>
          <w:jc w:val="center"/>
        </w:trPr>
        <w:tc>
          <w:tcPr>
            <w:tcW w:w="993" w:type="dxa"/>
            <w:vMerge w:val="restart"/>
            <w:tcBorders>
              <w:top w:val="single" w:sz="4" w:space="0" w:color="auto"/>
            </w:tcBorders>
            <w:vAlign w:val="center"/>
          </w:tcPr>
          <w:p w14:paraId="33ECA4F9" w14:textId="77777777" w:rsidR="00241417" w:rsidRPr="00F5405A" w:rsidRDefault="00241417" w:rsidP="003A71DE">
            <w:pPr>
              <w:pStyle w:val="TAH"/>
            </w:pPr>
            <w:r w:rsidRPr="00F5405A">
              <w:t>Number of TX antennas</w:t>
            </w:r>
          </w:p>
        </w:tc>
        <w:tc>
          <w:tcPr>
            <w:tcW w:w="992" w:type="dxa"/>
            <w:vMerge w:val="restart"/>
            <w:tcBorders>
              <w:top w:val="single" w:sz="4" w:space="0" w:color="auto"/>
            </w:tcBorders>
            <w:vAlign w:val="center"/>
          </w:tcPr>
          <w:p w14:paraId="1881A69F" w14:textId="77777777" w:rsidR="00241417" w:rsidRPr="00F5405A" w:rsidRDefault="00241417" w:rsidP="003A71DE">
            <w:pPr>
              <w:pStyle w:val="TAH"/>
            </w:pPr>
            <w:r w:rsidRPr="00F5405A">
              <w:t xml:space="preserve">Number of </w:t>
            </w:r>
            <w:r>
              <w:t>Demodulation Branches</w:t>
            </w:r>
          </w:p>
        </w:tc>
        <w:tc>
          <w:tcPr>
            <w:tcW w:w="1560" w:type="dxa"/>
            <w:vMerge w:val="restart"/>
            <w:tcBorders>
              <w:top w:val="single" w:sz="4" w:space="0" w:color="auto"/>
            </w:tcBorders>
            <w:vAlign w:val="center"/>
          </w:tcPr>
          <w:p w14:paraId="40E1E426" w14:textId="2B256F79" w:rsidR="00241417" w:rsidRPr="00F5405A" w:rsidRDefault="00241417" w:rsidP="003A71DE">
            <w:pPr>
              <w:pStyle w:val="TAH"/>
            </w:pPr>
            <w:r w:rsidRPr="00F5405A">
              <w:t>Propagation</w:t>
            </w:r>
            <w:r>
              <w:t xml:space="preserve"> </w:t>
            </w:r>
            <w:r w:rsidRPr="00F5405A">
              <w:t xml:space="preserve">conditions and correlation matrix (Annex </w:t>
            </w:r>
            <w:r>
              <w:t>TBA</w:t>
            </w:r>
            <w:r w:rsidRPr="00F5405A">
              <w:t>)</w:t>
            </w:r>
          </w:p>
        </w:tc>
        <w:tc>
          <w:tcPr>
            <w:tcW w:w="1417" w:type="dxa"/>
            <w:vMerge w:val="restart"/>
            <w:tcBorders>
              <w:top w:val="single" w:sz="4" w:space="0" w:color="auto"/>
            </w:tcBorders>
            <w:vAlign w:val="center"/>
          </w:tcPr>
          <w:p w14:paraId="34FA5D19" w14:textId="77777777" w:rsidR="00241417" w:rsidRPr="00F5405A" w:rsidRDefault="00241417" w:rsidP="003A71DE">
            <w:pPr>
              <w:pStyle w:val="TAH"/>
            </w:pPr>
            <w:r w:rsidRPr="00F5405A">
              <w:t>Additional DM-RS configuration</w:t>
            </w:r>
          </w:p>
        </w:tc>
        <w:tc>
          <w:tcPr>
            <w:tcW w:w="3544" w:type="dxa"/>
            <w:gridSpan w:val="4"/>
            <w:tcBorders>
              <w:top w:val="single" w:sz="4" w:space="0" w:color="auto"/>
            </w:tcBorders>
            <w:vAlign w:val="center"/>
          </w:tcPr>
          <w:p w14:paraId="03D25304" w14:textId="77777777" w:rsidR="00241417" w:rsidRPr="00F5405A" w:rsidRDefault="00241417" w:rsidP="003A71DE">
            <w:pPr>
              <w:pStyle w:val="TAH"/>
            </w:pPr>
            <w:r w:rsidRPr="00F5405A">
              <w:t>Channel bandwidth / SNR (dB)</w:t>
            </w:r>
          </w:p>
        </w:tc>
      </w:tr>
      <w:tr w:rsidR="00241417" w:rsidRPr="00F5405A" w14:paraId="0016486A" w14:textId="77777777" w:rsidTr="003A71DE">
        <w:trPr>
          <w:jc w:val="center"/>
        </w:trPr>
        <w:tc>
          <w:tcPr>
            <w:tcW w:w="993" w:type="dxa"/>
            <w:vMerge/>
            <w:tcBorders>
              <w:bottom w:val="single" w:sz="4" w:space="0" w:color="auto"/>
            </w:tcBorders>
            <w:vAlign w:val="center"/>
          </w:tcPr>
          <w:p w14:paraId="1AA65AEE" w14:textId="77777777" w:rsidR="00241417" w:rsidRPr="00F5405A" w:rsidRDefault="00241417" w:rsidP="003A71DE">
            <w:pPr>
              <w:pStyle w:val="TAH"/>
            </w:pPr>
          </w:p>
        </w:tc>
        <w:tc>
          <w:tcPr>
            <w:tcW w:w="992" w:type="dxa"/>
            <w:vMerge/>
            <w:tcBorders>
              <w:bottom w:val="single" w:sz="4" w:space="0" w:color="auto"/>
            </w:tcBorders>
            <w:vAlign w:val="center"/>
          </w:tcPr>
          <w:p w14:paraId="7AFB2CDB" w14:textId="77777777" w:rsidR="00241417" w:rsidRPr="00F5405A" w:rsidRDefault="00241417" w:rsidP="003A71DE">
            <w:pPr>
              <w:pStyle w:val="TAH"/>
            </w:pPr>
          </w:p>
        </w:tc>
        <w:tc>
          <w:tcPr>
            <w:tcW w:w="1560" w:type="dxa"/>
            <w:vMerge/>
            <w:tcBorders>
              <w:bottom w:val="single" w:sz="4" w:space="0" w:color="auto"/>
            </w:tcBorders>
            <w:vAlign w:val="center"/>
          </w:tcPr>
          <w:p w14:paraId="10F4C9F1" w14:textId="77777777" w:rsidR="00241417" w:rsidRPr="00F5405A" w:rsidRDefault="00241417" w:rsidP="003A71DE">
            <w:pPr>
              <w:pStyle w:val="TAH"/>
            </w:pPr>
          </w:p>
        </w:tc>
        <w:tc>
          <w:tcPr>
            <w:tcW w:w="1417" w:type="dxa"/>
            <w:vMerge/>
            <w:tcBorders>
              <w:bottom w:val="single" w:sz="4" w:space="0" w:color="auto"/>
            </w:tcBorders>
            <w:vAlign w:val="center"/>
          </w:tcPr>
          <w:p w14:paraId="19F3EA1C" w14:textId="77777777" w:rsidR="00241417" w:rsidRPr="00F5405A" w:rsidRDefault="00241417" w:rsidP="003A71DE">
            <w:pPr>
              <w:pStyle w:val="TAH"/>
            </w:pPr>
          </w:p>
        </w:tc>
        <w:tc>
          <w:tcPr>
            <w:tcW w:w="851" w:type="dxa"/>
            <w:tcBorders>
              <w:top w:val="single" w:sz="4" w:space="0" w:color="auto"/>
              <w:bottom w:val="single" w:sz="4" w:space="0" w:color="auto"/>
            </w:tcBorders>
            <w:vAlign w:val="center"/>
          </w:tcPr>
          <w:p w14:paraId="3D68F98E" w14:textId="77777777" w:rsidR="00241417" w:rsidRPr="00F5405A" w:rsidRDefault="00241417" w:rsidP="003A71DE">
            <w:pPr>
              <w:pStyle w:val="TAH"/>
            </w:pPr>
            <w:r w:rsidRPr="00F5405A">
              <w:t>10 MHz</w:t>
            </w:r>
          </w:p>
        </w:tc>
        <w:tc>
          <w:tcPr>
            <w:tcW w:w="850" w:type="dxa"/>
            <w:tcBorders>
              <w:top w:val="single" w:sz="4" w:space="0" w:color="auto"/>
              <w:bottom w:val="single" w:sz="4" w:space="0" w:color="auto"/>
            </w:tcBorders>
            <w:vAlign w:val="center"/>
          </w:tcPr>
          <w:p w14:paraId="7F3A9E10" w14:textId="77777777" w:rsidR="00241417" w:rsidRPr="00F5405A" w:rsidRDefault="00241417" w:rsidP="003A71DE">
            <w:pPr>
              <w:pStyle w:val="TAH"/>
            </w:pPr>
            <w:r w:rsidRPr="00F5405A">
              <w:t>20 MHz</w:t>
            </w:r>
          </w:p>
        </w:tc>
        <w:tc>
          <w:tcPr>
            <w:tcW w:w="992" w:type="dxa"/>
            <w:tcBorders>
              <w:top w:val="single" w:sz="4" w:space="0" w:color="auto"/>
              <w:bottom w:val="single" w:sz="4" w:space="0" w:color="auto"/>
            </w:tcBorders>
            <w:vAlign w:val="center"/>
          </w:tcPr>
          <w:p w14:paraId="06CED815" w14:textId="77777777" w:rsidR="00241417" w:rsidRPr="00F5405A" w:rsidRDefault="00241417" w:rsidP="003A71DE">
            <w:pPr>
              <w:pStyle w:val="TAH"/>
            </w:pPr>
            <w:r w:rsidRPr="00F5405A">
              <w:t>40 MHz</w:t>
            </w:r>
          </w:p>
        </w:tc>
        <w:tc>
          <w:tcPr>
            <w:tcW w:w="851" w:type="dxa"/>
            <w:tcBorders>
              <w:top w:val="single" w:sz="4" w:space="0" w:color="auto"/>
              <w:bottom w:val="single" w:sz="4" w:space="0" w:color="auto"/>
            </w:tcBorders>
            <w:vAlign w:val="center"/>
          </w:tcPr>
          <w:p w14:paraId="4844524E" w14:textId="77777777" w:rsidR="00241417" w:rsidRPr="00F5405A" w:rsidRDefault="00241417" w:rsidP="003A71DE">
            <w:pPr>
              <w:pStyle w:val="TAH"/>
            </w:pPr>
            <w:r w:rsidRPr="00F5405A">
              <w:t>100 MHz</w:t>
            </w:r>
          </w:p>
        </w:tc>
      </w:tr>
      <w:tr w:rsidR="00241417" w:rsidRPr="00F5405A" w14:paraId="07CBBFBF" w14:textId="77777777" w:rsidTr="003A71DE">
        <w:trPr>
          <w:jc w:val="center"/>
        </w:trPr>
        <w:tc>
          <w:tcPr>
            <w:tcW w:w="993" w:type="dxa"/>
            <w:vMerge w:val="restart"/>
            <w:vAlign w:val="center"/>
          </w:tcPr>
          <w:p w14:paraId="71E4C852" w14:textId="77777777" w:rsidR="00241417" w:rsidRPr="00F5405A" w:rsidRDefault="00241417" w:rsidP="003A71DE">
            <w:pPr>
              <w:pStyle w:val="TAC"/>
            </w:pPr>
            <w:r w:rsidRPr="00F5405A">
              <w:rPr>
                <w:lang w:eastAsia="zh-CN"/>
              </w:rPr>
              <w:t>1</w:t>
            </w:r>
          </w:p>
        </w:tc>
        <w:tc>
          <w:tcPr>
            <w:tcW w:w="992" w:type="dxa"/>
            <w:vMerge w:val="restart"/>
            <w:vAlign w:val="center"/>
          </w:tcPr>
          <w:p w14:paraId="70E5EC5F" w14:textId="77777777" w:rsidR="00241417" w:rsidRPr="00F5405A" w:rsidRDefault="00241417" w:rsidP="003A71DE">
            <w:pPr>
              <w:pStyle w:val="TAC"/>
            </w:pPr>
            <w:r w:rsidRPr="00F5405A">
              <w:rPr>
                <w:lang w:eastAsia="zh-CN"/>
              </w:rPr>
              <w:t>2</w:t>
            </w:r>
          </w:p>
        </w:tc>
        <w:tc>
          <w:tcPr>
            <w:tcW w:w="1560" w:type="dxa"/>
            <w:vMerge w:val="restart"/>
            <w:vAlign w:val="center"/>
          </w:tcPr>
          <w:p w14:paraId="3FA9E66F" w14:textId="77777777" w:rsidR="00241417" w:rsidRPr="00F5405A" w:rsidRDefault="00241417" w:rsidP="003A71DE">
            <w:pPr>
              <w:pStyle w:val="TAC"/>
            </w:pPr>
            <w:r w:rsidRPr="00F5405A">
              <w:t>TDLC300-100</w:t>
            </w:r>
            <w:r w:rsidRPr="00F5405A" w:rsidDel="002E550C">
              <w:t xml:space="preserve"> </w:t>
            </w:r>
            <w:r w:rsidRPr="00F5405A">
              <w:t>Low</w:t>
            </w:r>
          </w:p>
        </w:tc>
        <w:tc>
          <w:tcPr>
            <w:tcW w:w="1417" w:type="dxa"/>
            <w:tcBorders>
              <w:bottom w:val="single" w:sz="4" w:space="0" w:color="auto"/>
            </w:tcBorders>
            <w:vAlign w:val="center"/>
          </w:tcPr>
          <w:p w14:paraId="73F9F5C8" w14:textId="77777777" w:rsidR="00241417" w:rsidRPr="00F5405A" w:rsidRDefault="00241417" w:rsidP="003A71DE">
            <w:pPr>
              <w:pStyle w:val="TAC"/>
            </w:pPr>
            <w:r w:rsidRPr="00F5405A">
              <w:rPr>
                <w:lang w:eastAsia="zh-CN"/>
              </w:rPr>
              <w:t>No additional DM-RS</w:t>
            </w:r>
          </w:p>
        </w:tc>
        <w:tc>
          <w:tcPr>
            <w:tcW w:w="851" w:type="dxa"/>
            <w:tcBorders>
              <w:bottom w:val="single" w:sz="4" w:space="0" w:color="auto"/>
            </w:tcBorders>
            <w:vAlign w:val="center"/>
          </w:tcPr>
          <w:p w14:paraId="5756E21B" w14:textId="77777777" w:rsidR="00241417" w:rsidRPr="00F5405A" w:rsidRDefault="00241417" w:rsidP="003A71DE">
            <w:pPr>
              <w:pStyle w:val="TAC"/>
            </w:pPr>
            <w:r w:rsidRPr="00F5405A">
              <w:rPr>
                <w:lang w:eastAsia="zh-CN"/>
              </w:rPr>
              <w:t>3.1</w:t>
            </w:r>
          </w:p>
        </w:tc>
        <w:tc>
          <w:tcPr>
            <w:tcW w:w="850" w:type="dxa"/>
            <w:tcBorders>
              <w:bottom w:val="single" w:sz="4" w:space="0" w:color="auto"/>
            </w:tcBorders>
            <w:vAlign w:val="center"/>
          </w:tcPr>
          <w:p w14:paraId="3B2D07BE" w14:textId="77777777" w:rsidR="00241417" w:rsidRPr="00F5405A" w:rsidRDefault="00241417" w:rsidP="003A71DE">
            <w:pPr>
              <w:pStyle w:val="TAC"/>
            </w:pPr>
            <w:r w:rsidRPr="00F5405A">
              <w:rPr>
                <w:lang w:eastAsia="zh-CN"/>
              </w:rPr>
              <w:t>2.8</w:t>
            </w:r>
          </w:p>
        </w:tc>
        <w:tc>
          <w:tcPr>
            <w:tcW w:w="992" w:type="dxa"/>
            <w:tcBorders>
              <w:bottom w:val="single" w:sz="4" w:space="0" w:color="auto"/>
            </w:tcBorders>
            <w:vAlign w:val="center"/>
          </w:tcPr>
          <w:p w14:paraId="498EC702" w14:textId="77777777" w:rsidR="00241417" w:rsidRPr="00F5405A" w:rsidRDefault="00241417" w:rsidP="003A71DE">
            <w:pPr>
              <w:pStyle w:val="TAC"/>
            </w:pPr>
            <w:r w:rsidRPr="00F5405A">
              <w:rPr>
                <w:lang w:eastAsia="zh-CN"/>
              </w:rPr>
              <w:t>3.1</w:t>
            </w:r>
          </w:p>
        </w:tc>
        <w:tc>
          <w:tcPr>
            <w:tcW w:w="851" w:type="dxa"/>
            <w:tcBorders>
              <w:bottom w:val="single" w:sz="4" w:space="0" w:color="auto"/>
            </w:tcBorders>
            <w:vAlign w:val="center"/>
          </w:tcPr>
          <w:p w14:paraId="05758068" w14:textId="77777777" w:rsidR="00241417" w:rsidRPr="00F5405A" w:rsidRDefault="00241417" w:rsidP="003A71DE">
            <w:pPr>
              <w:pStyle w:val="TAC"/>
            </w:pPr>
            <w:r w:rsidRPr="00F5405A">
              <w:rPr>
                <w:lang w:eastAsia="zh-CN"/>
              </w:rPr>
              <w:t>2.8</w:t>
            </w:r>
          </w:p>
        </w:tc>
      </w:tr>
      <w:tr w:rsidR="00241417" w:rsidRPr="00F5405A" w14:paraId="7B6A5986" w14:textId="77777777" w:rsidTr="003A71DE">
        <w:trPr>
          <w:jc w:val="center"/>
        </w:trPr>
        <w:tc>
          <w:tcPr>
            <w:tcW w:w="993" w:type="dxa"/>
            <w:vMerge/>
            <w:vAlign w:val="center"/>
          </w:tcPr>
          <w:p w14:paraId="2E87AB13" w14:textId="77777777" w:rsidR="00241417" w:rsidRPr="00F5405A" w:rsidRDefault="00241417" w:rsidP="003A71DE">
            <w:pPr>
              <w:pStyle w:val="TAC"/>
            </w:pPr>
          </w:p>
        </w:tc>
        <w:tc>
          <w:tcPr>
            <w:tcW w:w="992" w:type="dxa"/>
            <w:vMerge/>
            <w:tcBorders>
              <w:bottom w:val="single" w:sz="4" w:space="0" w:color="auto"/>
            </w:tcBorders>
            <w:vAlign w:val="center"/>
          </w:tcPr>
          <w:p w14:paraId="25BAC395" w14:textId="77777777" w:rsidR="00241417" w:rsidRPr="00F5405A" w:rsidRDefault="00241417" w:rsidP="003A71DE">
            <w:pPr>
              <w:pStyle w:val="TAC"/>
            </w:pPr>
          </w:p>
        </w:tc>
        <w:tc>
          <w:tcPr>
            <w:tcW w:w="1560" w:type="dxa"/>
            <w:vMerge/>
            <w:tcBorders>
              <w:bottom w:val="single" w:sz="4" w:space="0" w:color="auto"/>
            </w:tcBorders>
            <w:vAlign w:val="center"/>
          </w:tcPr>
          <w:p w14:paraId="08EDF024" w14:textId="77777777" w:rsidR="00241417" w:rsidRPr="00F5405A" w:rsidRDefault="00241417" w:rsidP="003A71DE">
            <w:pPr>
              <w:pStyle w:val="TAC"/>
            </w:pPr>
          </w:p>
        </w:tc>
        <w:tc>
          <w:tcPr>
            <w:tcW w:w="1417" w:type="dxa"/>
            <w:tcBorders>
              <w:bottom w:val="single" w:sz="4" w:space="0" w:color="auto"/>
            </w:tcBorders>
            <w:vAlign w:val="center"/>
          </w:tcPr>
          <w:p w14:paraId="2B2253B8" w14:textId="77777777" w:rsidR="00241417" w:rsidRPr="00F5405A" w:rsidRDefault="00241417" w:rsidP="003A71DE">
            <w:pPr>
              <w:pStyle w:val="TAC"/>
            </w:pPr>
            <w:r w:rsidRPr="00F5405A">
              <w:rPr>
                <w:lang w:eastAsia="zh-CN"/>
              </w:rPr>
              <w:t>Additional DM-RS</w:t>
            </w:r>
          </w:p>
        </w:tc>
        <w:tc>
          <w:tcPr>
            <w:tcW w:w="851" w:type="dxa"/>
            <w:tcBorders>
              <w:bottom w:val="single" w:sz="4" w:space="0" w:color="auto"/>
            </w:tcBorders>
            <w:vAlign w:val="center"/>
          </w:tcPr>
          <w:p w14:paraId="5EF28DFD" w14:textId="77777777" w:rsidR="00241417" w:rsidRPr="00F5405A" w:rsidRDefault="00241417" w:rsidP="003A71DE">
            <w:pPr>
              <w:pStyle w:val="TAC"/>
            </w:pPr>
            <w:r w:rsidRPr="00F5405A">
              <w:rPr>
                <w:lang w:eastAsia="zh-CN"/>
              </w:rPr>
              <w:t>2.8</w:t>
            </w:r>
          </w:p>
        </w:tc>
        <w:tc>
          <w:tcPr>
            <w:tcW w:w="850" w:type="dxa"/>
            <w:tcBorders>
              <w:bottom w:val="single" w:sz="4" w:space="0" w:color="auto"/>
            </w:tcBorders>
            <w:vAlign w:val="center"/>
          </w:tcPr>
          <w:p w14:paraId="1A3DFC14" w14:textId="77777777" w:rsidR="00241417" w:rsidRPr="00F5405A" w:rsidRDefault="00241417" w:rsidP="003A71DE">
            <w:pPr>
              <w:pStyle w:val="TAC"/>
            </w:pPr>
            <w:r w:rsidRPr="00F5405A">
              <w:rPr>
                <w:lang w:eastAsia="zh-CN"/>
              </w:rPr>
              <w:t>2.3</w:t>
            </w:r>
          </w:p>
        </w:tc>
        <w:tc>
          <w:tcPr>
            <w:tcW w:w="992" w:type="dxa"/>
            <w:tcBorders>
              <w:bottom w:val="single" w:sz="4" w:space="0" w:color="auto"/>
            </w:tcBorders>
            <w:vAlign w:val="center"/>
          </w:tcPr>
          <w:p w14:paraId="56FC4496" w14:textId="77777777" w:rsidR="00241417" w:rsidRPr="00F5405A" w:rsidRDefault="00241417" w:rsidP="003A71DE">
            <w:pPr>
              <w:pStyle w:val="TAC"/>
            </w:pPr>
            <w:r w:rsidRPr="00F5405A">
              <w:rPr>
                <w:lang w:eastAsia="zh-CN"/>
              </w:rPr>
              <w:t>3.1</w:t>
            </w:r>
          </w:p>
        </w:tc>
        <w:tc>
          <w:tcPr>
            <w:tcW w:w="851" w:type="dxa"/>
            <w:tcBorders>
              <w:bottom w:val="single" w:sz="4" w:space="0" w:color="auto"/>
            </w:tcBorders>
            <w:vAlign w:val="center"/>
          </w:tcPr>
          <w:p w14:paraId="26E0069C" w14:textId="77777777" w:rsidR="00241417" w:rsidRPr="00F5405A" w:rsidRDefault="00241417" w:rsidP="003A71DE">
            <w:pPr>
              <w:pStyle w:val="TAC"/>
            </w:pPr>
            <w:r w:rsidRPr="00F5405A">
              <w:rPr>
                <w:lang w:eastAsia="zh-CN"/>
              </w:rPr>
              <w:t>2.2</w:t>
            </w:r>
          </w:p>
        </w:tc>
      </w:tr>
      <w:tr w:rsidR="00241417" w:rsidRPr="00F5405A" w14:paraId="3C69BF7B" w14:textId="77777777" w:rsidTr="003A71DE">
        <w:trPr>
          <w:jc w:val="center"/>
        </w:trPr>
        <w:tc>
          <w:tcPr>
            <w:tcW w:w="993" w:type="dxa"/>
            <w:vMerge/>
            <w:vAlign w:val="center"/>
          </w:tcPr>
          <w:p w14:paraId="39F95521" w14:textId="77777777" w:rsidR="00241417" w:rsidRPr="00F5405A" w:rsidRDefault="00241417" w:rsidP="003A71DE">
            <w:pPr>
              <w:pStyle w:val="TAC"/>
            </w:pPr>
          </w:p>
        </w:tc>
        <w:tc>
          <w:tcPr>
            <w:tcW w:w="992" w:type="dxa"/>
            <w:vMerge w:val="restart"/>
            <w:vAlign w:val="center"/>
          </w:tcPr>
          <w:p w14:paraId="2D4398BF" w14:textId="77777777" w:rsidR="00241417" w:rsidRPr="00F5405A" w:rsidRDefault="00241417" w:rsidP="003A71DE">
            <w:pPr>
              <w:pStyle w:val="TAC"/>
            </w:pPr>
            <w:r w:rsidRPr="00F5405A">
              <w:rPr>
                <w:lang w:eastAsia="zh-CN"/>
              </w:rPr>
              <w:t>4</w:t>
            </w:r>
          </w:p>
        </w:tc>
        <w:tc>
          <w:tcPr>
            <w:tcW w:w="1560" w:type="dxa"/>
            <w:vMerge w:val="restart"/>
            <w:vAlign w:val="center"/>
          </w:tcPr>
          <w:p w14:paraId="1547B55A" w14:textId="77777777" w:rsidR="00241417" w:rsidRPr="00F5405A" w:rsidRDefault="00241417" w:rsidP="003A71DE">
            <w:pPr>
              <w:pStyle w:val="TAC"/>
            </w:pPr>
            <w:r w:rsidRPr="00F5405A">
              <w:t>TDLC300-100</w:t>
            </w:r>
            <w:r w:rsidRPr="00F5405A" w:rsidDel="002E550C">
              <w:t xml:space="preserve"> </w:t>
            </w:r>
            <w:r w:rsidRPr="00F5405A">
              <w:t>Low</w:t>
            </w:r>
          </w:p>
        </w:tc>
        <w:tc>
          <w:tcPr>
            <w:tcW w:w="1417" w:type="dxa"/>
            <w:tcBorders>
              <w:bottom w:val="single" w:sz="4" w:space="0" w:color="auto"/>
            </w:tcBorders>
            <w:vAlign w:val="center"/>
          </w:tcPr>
          <w:p w14:paraId="7B04E8A0" w14:textId="77777777" w:rsidR="00241417" w:rsidRPr="00F5405A" w:rsidRDefault="00241417" w:rsidP="003A71DE">
            <w:pPr>
              <w:pStyle w:val="TAC"/>
            </w:pPr>
            <w:r w:rsidRPr="00F5405A">
              <w:rPr>
                <w:lang w:eastAsia="zh-CN"/>
              </w:rPr>
              <w:t>No additional DM-RS</w:t>
            </w:r>
          </w:p>
        </w:tc>
        <w:tc>
          <w:tcPr>
            <w:tcW w:w="851" w:type="dxa"/>
            <w:tcBorders>
              <w:bottom w:val="single" w:sz="4" w:space="0" w:color="auto"/>
            </w:tcBorders>
            <w:vAlign w:val="center"/>
          </w:tcPr>
          <w:p w14:paraId="065D4567" w14:textId="77777777" w:rsidR="00241417" w:rsidRPr="00F5405A" w:rsidRDefault="00241417" w:rsidP="003A71DE">
            <w:pPr>
              <w:pStyle w:val="TAC"/>
            </w:pPr>
            <w:r w:rsidRPr="00F5405A">
              <w:rPr>
                <w:lang w:eastAsia="zh-CN"/>
              </w:rPr>
              <w:t>-1.7</w:t>
            </w:r>
          </w:p>
        </w:tc>
        <w:tc>
          <w:tcPr>
            <w:tcW w:w="850" w:type="dxa"/>
            <w:tcBorders>
              <w:bottom w:val="single" w:sz="4" w:space="0" w:color="auto"/>
            </w:tcBorders>
            <w:vAlign w:val="center"/>
          </w:tcPr>
          <w:p w14:paraId="433C3CE3" w14:textId="77777777" w:rsidR="00241417" w:rsidRPr="00F5405A" w:rsidRDefault="00241417" w:rsidP="003A71DE">
            <w:pPr>
              <w:pStyle w:val="TAC"/>
            </w:pPr>
            <w:r w:rsidRPr="00F5405A">
              <w:rPr>
                <w:lang w:eastAsia="zh-CN"/>
              </w:rPr>
              <w:t>-1.9</w:t>
            </w:r>
          </w:p>
        </w:tc>
        <w:tc>
          <w:tcPr>
            <w:tcW w:w="992" w:type="dxa"/>
            <w:tcBorders>
              <w:bottom w:val="single" w:sz="4" w:space="0" w:color="auto"/>
            </w:tcBorders>
            <w:vAlign w:val="center"/>
          </w:tcPr>
          <w:p w14:paraId="78F89A57" w14:textId="77777777" w:rsidR="00241417" w:rsidRPr="00F5405A" w:rsidRDefault="00241417" w:rsidP="003A71DE">
            <w:pPr>
              <w:pStyle w:val="TAC"/>
            </w:pPr>
            <w:r w:rsidRPr="00F5405A">
              <w:rPr>
                <w:lang w:eastAsia="zh-CN"/>
              </w:rPr>
              <w:t>-1.7</w:t>
            </w:r>
          </w:p>
        </w:tc>
        <w:tc>
          <w:tcPr>
            <w:tcW w:w="851" w:type="dxa"/>
            <w:tcBorders>
              <w:bottom w:val="single" w:sz="4" w:space="0" w:color="auto"/>
            </w:tcBorders>
            <w:vAlign w:val="center"/>
          </w:tcPr>
          <w:p w14:paraId="7445FF8D" w14:textId="77777777" w:rsidR="00241417" w:rsidRPr="00F5405A" w:rsidRDefault="00241417" w:rsidP="003A71DE">
            <w:pPr>
              <w:pStyle w:val="TAC"/>
            </w:pPr>
            <w:r w:rsidRPr="00F5405A">
              <w:rPr>
                <w:lang w:eastAsia="zh-CN"/>
              </w:rPr>
              <w:t>-2.1</w:t>
            </w:r>
          </w:p>
        </w:tc>
      </w:tr>
      <w:tr w:rsidR="00241417" w:rsidRPr="00F5405A" w14:paraId="5EF79C9D" w14:textId="77777777" w:rsidTr="003A71DE">
        <w:trPr>
          <w:jc w:val="center"/>
        </w:trPr>
        <w:tc>
          <w:tcPr>
            <w:tcW w:w="993" w:type="dxa"/>
            <w:vMerge/>
            <w:vAlign w:val="center"/>
          </w:tcPr>
          <w:p w14:paraId="3FE3A3E1" w14:textId="77777777" w:rsidR="00241417" w:rsidRPr="00F5405A" w:rsidRDefault="00241417" w:rsidP="003A71DE">
            <w:pPr>
              <w:pStyle w:val="TAC"/>
            </w:pPr>
          </w:p>
        </w:tc>
        <w:tc>
          <w:tcPr>
            <w:tcW w:w="992" w:type="dxa"/>
            <w:vMerge/>
            <w:tcBorders>
              <w:bottom w:val="single" w:sz="4" w:space="0" w:color="auto"/>
            </w:tcBorders>
            <w:vAlign w:val="center"/>
          </w:tcPr>
          <w:p w14:paraId="1B12D28C" w14:textId="77777777" w:rsidR="00241417" w:rsidRPr="00F5405A" w:rsidRDefault="00241417" w:rsidP="003A71DE">
            <w:pPr>
              <w:pStyle w:val="TAC"/>
            </w:pPr>
          </w:p>
        </w:tc>
        <w:tc>
          <w:tcPr>
            <w:tcW w:w="1560" w:type="dxa"/>
            <w:vMerge/>
            <w:tcBorders>
              <w:bottom w:val="single" w:sz="4" w:space="0" w:color="auto"/>
            </w:tcBorders>
            <w:vAlign w:val="center"/>
          </w:tcPr>
          <w:p w14:paraId="3C23F63D" w14:textId="77777777" w:rsidR="00241417" w:rsidRPr="00F5405A" w:rsidRDefault="00241417" w:rsidP="003A71DE">
            <w:pPr>
              <w:pStyle w:val="TAC"/>
            </w:pPr>
          </w:p>
        </w:tc>
        <w:tc>
          <w:tcPr>
            <w:tcW w:w="1417" w:type="dxa"/>
            <w:tcBorders>
              <w:bottom w:val="single" w:sz="4" w:space="0" w:color="auto"/>
            </w:tcBorders>
            <w:vAlign w:val="center"/>
          </w:tcPr>
          <w:p w14:paraId="4AAA5089" w14:textId="77777777" w:rsidR="00241417" w:rsidRPr="00F5405A" w:rsidRDefault="00241417" w:rsidP="003A71DE">
            <w:pPr>
              <w:pStyle w:val="TAC"/>
            </w:pPr>
            <w:r w:rsidRPr="00F5405A">
              <w:rPr>
                <w:lang w:eastAsia="zh-CN"/>
              </w:rPr>
              <w:t>Additional DM-RS</w:t>
            </w:r>
          </w:p>
        </w:tc>
        <w:tc>
          <w:tcPr>
            <w:tcW w:w="851" w:type="dxa"/>
            <w:tcBorders>
              <w:bottom w:val="single" w:sz="4" w:space="0" w:color="auto"/>
            </w:tcBorders>
            <w:vAlign w:val="center"/>
          </w:tcPr>
          <w:p w14:paraId="02E07176" w14:textId="77777777" w:rsidR="00241417" w:rsidRPr="00F5405A" w:rsidRDefault="00241417" w:rsidP="003A71DE">
            <w:pPr>
              <w:pStyle w:val="TAC"/>
            </w:pPr>
            <w:r w:rsidRPr="00F5405A">
              <w:rPr>
                <w:lang w:eastAsia="zh-CN"/>
              </w:rPr>
              <w:t>-2.0</w:t>
            </w:r>
          </w:p>
        </w:tc>
        <w:tc>
          <w:tcPr>
            <w:tcW w:w="850" w:type="dxa"/>
            <w:tcBorders>
              <w:bottom w:val="single" w:sz="4" w:space="0" w:color="auto"/>
            </w:tcBorders>
            <w:vAlign w:val="center"/>
          </w:tcPr>
          <w:p w14:paraId="776D7F99" w14:textId="77777777" w:rsidR="00241417" w:rsidRPr="00F5405A" w:rsidRDefault="00241417" w:rsidP="003A71DE">
            <w:pPr>
              <w:pStyle w:val="TAC"/>
            </w:pPr>
            <w:r w:rsidRPr="00F5405A">
              <w:rPr>
                <w:lang w:eastAsia="zh-CN"/>
              </w:rPr>
              <w:t>-2.5</w:t>
            </w:r>
          </w:p>
        </w:tc>
        <w:tc>
          <w:tcPr>
            <w:tcW w:w="992" w:type="dxa"/>
            <w:tcBorders>
              <w:bottom w:val="single" w:sz="4" w:space="0" w:color="auto"/>
            </w:tcBorders>
            <w:vAlign w:val="center"/>
          </w:tcPr>
          <w:p w14:paraId="3EC51894" w14:textId="77777777" w:rsidR="00241417" w:rsidRPr="00F5405A" w:rsidRDefault="00241417" w:rsidP="003A71DE">
            <w:pPr>
              <w:pStyle w:val="TAC"/>
            </w:pPr>
            <w:r w:rsidRPr="00F5405A">
              <w:rPr>
                <w:lang w:eastAsia="zh-CN"/>
              </w:rPr>
              <w:t>-2.5</w:t>
            </w:r>
          </w:p>
        </w:tc>
        <w:tc>
          <w:tcPr>
            <w:tcW w:w="851" w:type="dxa"/>
            <w:tcBorders>
              <w:bottom w:val="single" w:sz="4" w:space="0" w:color="auto"/>
            </w:tcBorders>
            <w:vAlign w:val="center"/>
          </w:tcPr>
          <w:p w14:paraId="2A4CCA3F" w14:textId="77777777" w:rsidR="00241417" w:rsidRPr="00F5405A" w:rsidRDefault="00241417" w:rsidP="003A71DE">
            <w:pPr>
              <w:pStyle w:val="TAC"/>
            </w:pPr>
            <w:r w:rsidRPr="00F5405A">
              <w:rPr>
                <w:lang w:eastAsia="zh-CN"/>
              </w:rPr>
              <w:t>-2.4</w:t>
            </w:r>
          </w:p>
        </w:tc>
      </w:tr>
      <w:tr w:rsidR="00241417" w:rsidRPr="00F5405A" w14:paraId="354A5BFF" w14:textId="77777777" w:rsidTr="003A71DE">
        <w:trPr>
          <w:jc w:val="center"/>
        </w:trPr>
        <w:tc>
          <w:tcPr>
            <w:tcW w:w="993" w:type="dxa"/>
            <w:vMerge/>
            <w:vAlign w:val="center"/>
          </w:tcPr>
          <w:p w14:paraId="5C40290C" w14:textId="77777777" w:rsidR="00241417" w:rsidRPr="00F5405A" w:rsidRDefault="00241417" w:rsidP="003A71DE">
            <w:pPr>
              <w:pStyle w:val="TAC"/>
            </w:pPr>
          </w:p>
        </w:tc>
        <w:tc>
          <w:tcPr>
            <w:tcW w:w="992" w:type="dxa"/>
            <w:vMerge w:val="restart"/>
            <w:vAlign w:val="center"/>
          </w:tcPr>
          <w:p w14:paraId="24738E6C" w14:textId="77777777" w:rsidR="00241417" w:rsidRPr="00F5405A" w:rsidRDefault="00241417" w:rsidP="003A71DE">
            <w:pPr>
              <w:pStyle w:val="TAC"/>
            </w:pPr>
            <w:r w:rsidRPr="00F5405A">
              <w:rPr>
                <w:lang w:eastAsia="zh-CN"/>
              </w:rPr>
              <w:t>8</w:t>
            </w:r>
          </w:p>
        </w:tc>
        <w:tc>
          <w:tcPr>
            <w:tcW w:w="1560" w:type="dxa"/>
            <w:vMerge w:val="restart"/>
            <w:vAlign w:val="center"/>
          </w:tcPr>
          <w:p w14:paraId="002B8FA4" w14:textId="77777777" w:rsidR="00241417" w:rsidRPr="00F5405A" w:rsidRDefault="00241417" w:rsidP="003A71DE">
            <w:pPr>
              <w:pStyle w:val="TAC"/>
            </w:pPr>
            <w:r w:rsidRPr="00F5405A">
              <w:t>TDLC300-100</w:t>
            </w:r>
            <w:r w:rsidRPr="00F5405A" w:rsidDel="002E550C">
              <w:t xml:space="preserve"> </w:t>
            </w:r>
            <w:r w:rsidRPr="00F5405A">
              <w:t>Low</w:t>
            </w:r>
          </w:p>
        </w:tc>
        <w:tc>
          <w:tcPr>
            <w:tcW w:w="1417" w:type="dxa"/>
            <w:tcBorders>
              <w:bottom w:val="single" w:sz="4" w:space="0" w:color="auto"/>
            </w:tcBorders>
            <w:vAlign w:val="center"/>
          </w:tcPr>
          <w:p w14:paraId="22324838" w14:textId="77777777" w:rsidR="00241417" w:rsidRPr="00F5405A" w:rsidRDefault="00241417" w:rsidP="003A71DE">
            <w:pPr>
              <w:pStyle w:val="TAC"/>
            </w:pPr>
            <w:r w:rsidRPr="00F5405A">
              <w:rPr>
                <w:lang w:eastAsia="zh-CN"/>
              </w:rPr>
              <w:t>No additional DM-RS</w:t>
            </w:r>
          </w:p>
        </w:tc>
        <w:tc>
          <w:tcPr>
            <w:tcW w:w="851" w:type="dxa"/>
            <w:tcBorders>
              <w:bottom w:val="single" w:sz="4" w:space="0" w:color="auto"/>
            </w:tcBorders>
            <w:vAlign w:val="center"/>
          </w:tcPr>
          <w:p w14:paraId="7E094450" w14:textId="77777777" w:rsidR="00241417" w:rsidRPr="00F5405A" w:rsidRDefault="00241417" w:rsidP="003A71DE">
            <w:pPr>
              <w:pStyle w:val="TAC"/>
            </w:pPr>
            <w:r w:rsidRPr="00F5405A">
              <w:rPr>
                <w:lang w:eastAsia="zh-CN"/>
              </w:rPr>
              <w:t>-5.6</w:t>
            </w:r>
          </w:p>
        </w:tc>
        <w:tc>
          <w:tcPr>
            <w:tcW w:w="850" w:type="dxa"/>
            <w:tcBorders>
              <w:bottom w:val="single" w:sz="4" w:space="0" w:color="auto"/>
            </w:tcBorders>
            <w:vAlign w:val="center"/>
          </w:tcPr>
          <w:p w14:paraId="448EB396" w14:textId="77777777" w:rsidR="00241417" w:rsidRPr="00F5405A" w:rsidRDefault="00241417" w:rsidP="003A71DE">
            <w:pPr>
              <w:pStyle w:val="TAC"/>
            </w:pPr>
            <w:r w:rsidRPr="00F5405A">
              <w:rPr>
                <w:lang w:eastAsia="zh-CN"/>
              </w:rPr>
              <w:t>-5.5</w:t>
            </w:r>
          </w:p>
        </w:tc>
        <w:tc>
          <w:tcPr>
            <w:tcW w:w="992" w:type="dxa"/>
            <w:tcBorders>
              <w:bottom w:val="single" w:sz="4" w:space="0" w:color="auto"/>
            </w:tcBorders>
            <w:vAlign w:val="center"/>
          </w:tcPr>
          <w:p w14:paraId="318C6B84" w14:textId="77777777" w:rsidR="00241417" w:rsidRPr="00F5405A" w:rsidRDefault="00241417" w:rsidP="003A71DE">
            <w:pPr>
              <w:pStyle w:val="TAC"/>
            </w:pPr>
            <w:r w:rsidRPr="00F5405A">
              <w:rPr>
                <w:lang w:eastAsia="zh-CN"/>
              </w:rPr>
              <w:t>-5.5</w:t>
            </w:r>
          </w:p>
        </w:tc>
        <w:tc>
          <w:tcPr>
            <w:tcW w:w="851" w:type="dxa"/>
            <w:tcBorders>
              <w:bottom w:val="single" w:sz="4" w:space="0" w:color="auto"/>
            </w:tcBorders>
            <w:vAlign w:val="center"/>
          </w:tcPr>
          <w:p w14:paraId="7305819D" w14:textId="77777777" w:rsidR="00241417" w:rsidRPr="00F5405A" w:rsidRDefault="00241417" w:rsidP="003A71DE">
            <w:pPr>
              <w:pStyle w:val="TAC"/>
            </w:pPr>
            <w:r w:rsidRPr="00F5405A">
              <w:rPr>
                <w:lang w:eastAsia="zh-CN"/>
              </w:rPr>
              <w:t>-5.5</w:t>
            </w:r>
          </w:p>
        </w:tc>
      </w:tr>
      <w:tr w:rsidR="00241417" w:rsidRPr="00F5405A" w14:paraId="0CE111CA" w14:textId="77777777" w:rsidTr="003A71DE">
        <w:trPr>
          <w:jc w:val="center"/>
        </w:trPr>
        <w:tc>
          <w:tcPr>
            <w:tcW w:w="993" w:type="dxa"/>
            <w:vMerge/>
            <w:vAlign w:val="center"/>
          </w:tcPr>
          <w:p w14:paraId="00B81823" w14:textId="77777777" w:rsidR="00241417" w:rsidRPr="00F5405A" w:rsidRDefault="00241417" w:rsidP="003A71DE">
            <w:pPr>
              <w:pStyle w:val="TAC"/>
            </w:pPr>
          </w:p>
        </w:tc>
        <w:tc>
          <w:tcPr>
            <w:tcW w:w="992" w:type="dxa"/>
            <w:vMerge/>
            <w:tcBorders>
              <w:bottom w:val="single" w:sz="4" w:space="0" w:color="auto"/>
            </w:tcBorders>
            <w:vAlign w:val="center"/>
          </w:tcPr>
          <w:p w14:paraId="3182A9AB" w14:textId="77777777" w:rsidR="00241417" w:rsidRPr="00F5405A" w:rsidRDefault="00241417" w:rsidP="003A71DE">
            <w:pPr>
              <w:pStyle w:val="TAC"/>
            </w:pPr>
          </w:p>
        </w:tc>
        <w:tc>
          <w:tcPr>
            <w:tcW w:w="1560" w:type="dxa"/>
            <w:vMerge/>
            <w:tcBorders>
              <w:bottom w:val="single" w:sz="4" w:space="0" w:color="auto"/>
            </w:tcBorders>
            <w:vAlign w:val="center"/>
          </w:tcPr>
          <w:p w14:paraId="7CB3CC60" w14:textId="77777777" w:rsidR="00241417" w:rsidRPr="00F5405A" w:rsidRDefault="00241417" w:rsidP="003A71DE">
            <w:pPr>
              <w:pStyle w:val="TAC"/>
            </w:pPr>
          </w:p>
        </w:tc>
        <w:tc>
          <w:tcPr>
            <w:tcW w:w="1417" w:type="dxa"/>
            <w:tcBorders>
              <w:top w:val="single" w:sz="4" w:space="0" w:color="auto"/>
              <w:bottom w:val="single" w:sz="4" w:space="0" w:color="auto"/>
            </w:tcBorders>
            <w:vAlign w:val="center"/>
          </w:tcPr>
          <w:p w14:paraId="18B4809E" w14:textId="77777777" w:rsidR="00241417" w:rsidRPr="00F5405A" w:rsidRDefault="00241417" w:rsidP="003A71DE">
            <w:pPr>
              <w:pStyle w:val="TAC"/>
            </w:pPr>
            <w:r w:rsidRPr="00F5405A">
              <w:rPr>
                <w:lang w:eastAsia="zh-CN"/>
              </w:rPr>
              <w:t>Additional DM-RS</w:t>
            </w:r>
          </w:p>
        </w:tc>
        <w:tc>
          <w:tcPr>
            <w:tcW w:w="851" w:type="dxa"/>
            <w:tcBorders>
              <w:top w:val="single" w:sz="4" w:space="0" w:color="auto"/>
              <w:bottom w:val="single" w:sz="4" w:space="0" w:color="auto"/>
            </w:tcBorders>
            <w:vAlign w:val="center"/>
          </w:tcPr>
          <w:p w14:paraId="5FB6E152" w14:textId="77777777" w:rsidR="00241417" w:rsidRPr="00F5405A" w:rsidRDefault="00241417" w:rsidP="003A71DE">
            <w:pPr>
              <w:pStyle w:val="TAC"/>
            </w:pPr>
            <w:r w:rsidRPr="00F5405A">
              <w:rPr>
                <w:lang w:eastAsia="zh-CN"/>
              </w:rPr>
              <w:t>-6.2</w:t>
            </w:r>
          </w:p>
        </w:tc>
        <w:tc>
          <w:tcPr>
            <w:tcW w:w="850" w:type="dxa"/>
            <w:tcBorders>
              <w:top w:val="single" w:sz="4" w:space="0" w:color="auto"/>
              <w:bottom w:val="single" w:sz="4" w:space="0" w:color="auto"/>
            </w:tcBorders>
            <w:vAlign w:val="center"/>
          </w:tcPr>
          <w:p w14:paraId="05EF0246" w14:textId="77777777" w:rsidR="00241417" w:rsidRPr="00F5405A" w:rsidRDefault="00241417" w:rsidP="003A71DE">
            <w:pPr>
              <w:pStyle w:val="TAC"/>
            </w:pPr>
            <w:r w:rsidRPr="00F5405A">
              <w:rPr>
                <w:lang w:eastAsia="zh-CN"/>
              </w:rPr>
              <w:t>-6.1</w:t>
            </w:r>
          </w:p>
        </w:tc>
        <w:tc>
          <w:tcPr>
            <w:tcW w:w="992" w:type="dxa"/>
            <w:tcBorders>
              <w:top w:val="single" w:sz="4" w:space="0" w:color="auto"/>
              <w:bottom w:val="single" w:sz="4" w:space="0" w:color="auto"/>
            </w:tcBorders>
            <w:vAlign w:val="center"/>
          </w:tcPr>
          <w:p w14:paraId="3D36F818" w14:textId="77777777" w:rsidR="00241417" w:rsidRPr="00F5405A" w:rsidRDefault="00241417" w:rsidP="003A71DE">
            <w:pPr>
              <w:pStyle w:val="TAC"/>
            </w:pPr>
            <w:r w:rsidRPr="00F5405A">
              <w:rPr>
                <w:lang w:eastAsia="zh-CN"/>
              </w:rPr>
              <w:t>-6.4</w:t>
            </w:r>
          </w:p>
        </w:tc>
        <w:tc>
          <w:tcPr>
            <w:tcW w:w="851" w:type="dxa"/>
            <w:tcBorders>
              <w:top w:val="single" w:sz="4" w:space="0" w:color="auto"/>
              <w:bottom w:val="single" w:sz="4" w:space="0" w:color="auto"/>
            </w:tcBorders>
            <w:vAlign w:val="center"/>
          </w:tcPr>
          <w:p w14:paraId="00D88132" w14:textId="77777777" w:rsidR="00241417" w:rsidRPr="00F5405A" w:rsidRDefault="00241417" w:rsidP="003A71DE">
            <w:pPr>
              <w:pStyle w:val="TAC"/>
            </w:pPr>
            <w:r w:rsidRPr="00F5405A">
              <w:rPr>
                <w:lang w:eastAsia="zh-CN"/>
              </w:rPr>
              <w:t>-6.2</w:t>
            </w:r>
          </w:p>
        </w:tc>
      </w:tr>
    </w:tbl>
    <w:p w14:paraId="317435D2" w14:textId="77777777" w:rsidR="00241417" w:rsidRDefault="00241417" w:rsidP="00241417"/>
    <w:p w14:paraId="52418A8C" w14:textId="77777777" w:rsidR="00241417" w:rsidRDefault="00241417" w:rsidP="00241417">
      <w:pPr>
        <w:pStyle w:val="Heading4"/>
        <w:rPr>
          <w:rFonts w:eastAsia="Malgun Gothic"/>
        </w:rPr>
      </w:pPr>
      <w:bookmarkStart w:id="3677" w:name="_Toc74583270"/>
      <w:bookmarkStart w:id="3678" w:name="_Toc76542083"/>
      <w:bookmarkStart w:id="3679" w:name="_Toc82450065"/>
      <w:bookmarkStart w:id="3680" w:name="_Toc82450713"/>
      <w:bookmarkStart w:id="3681" w:name="_Toc89949102"/>
      <w:bookmarkStart w:id="3682" w:name="_Toc98755491"/>
      <w:bookmarkStart w:id="3683" w:name="_Toc98763082"/>
      <w:bookmarkStart w:id="3684" w:name="_Toc106184011"/>
      <w:r w:rsidRPr="00B454A0">
        <w:rPr>
          <w:rFonts w:eastAsia="Malgun Gothic"/>
        </w:rPr>
        <w:t>8.</w:t>
      </w:r>
      <w:r>
        <w:rPr>
          <w:rFonts w:eastAsia="Malgun Gothic"/>
        </w:rPr>
        <w:t>1</w:t>
      </w:r>
      <w:r w:rsidRPr="00B454A0">
        <w:rPr>
          <w:rFonts w:eastAsia="Malgun Gothic"/>
        </w:rPr>
        <w:t>.</w:t>
      </w:r>
      <w:r>
        <w:rPr>
          <w:rFonts w:eastAsia="Malgun Gothic"/>
        </w:rPr>
        <w:t>3</w:t>
      </w:r>
      <w:r w:rsidRPr="00B454A0">
        <w:rPr>
          <w:rFonts w:eastAsia="Malgun Gothic"/>
        </w:rPr>
        <w:t>.</w:t>
      </w:r>
      <w:r>
        <w:rPr>
          <w:rFonts w:eastAsia="Malgun Gothic"/>
        </w:rPr>
        <w:t>7</w:t>
      </w:r>
      <w:r w:rsidRPr="00B454A0">
        <w:rPr>
          <w:rFonts w:eastAsia="Malgun Gothic"/>
        </w:rPr>
        <w:tab/>
      </w:r>
      <w:r>
        <w:rPr>
          <w:rFonts w:eastAsia="Malgun Gothic"/>
        </w:rPr>
        <w:t>Performance requirements for multi-slot PUCCH</w:t>
      </w:r>
      <w:bookmarkEnd w:id="3677"/>
      <w:bookmarkEnd w:id="3678"/>
      <w:bookmarkEnd w:id="3679"/>
      <w:bookmarkEnd w:id="3680"/>
      <w:bookmarkEnd w:id="3681"/>
      <w:bookmarkEnd w:id="3682"/>
      <w:bookmarkEnd w:id="3683"/>
      <w:bookmarkEnd w:id="3684"/>
    </w:p>
    <w:p w14:paraId="376D0978" w14:textId="77777777" w:rsidR="00241417" w:rsidRDefault="00241417" w:rsidP="00241417">
      <w:pPr>
        <w:pStyle w:val="Heading5"/>
      </w:pPr>
      <w:bookmarkStart w:id="3685" w:name="_Toc74583271"/>
      <w:bookmarkStart w:id="3686" w:name="_Toc76542084"/>
      <w:bookmarkStart w:id="3687" w:name="_Toc82450066"/>
      <w:bookmarkStart w:id="3688" w:name="_Toc82450714"/>
      <w:bookmarkStart w:id="3689" w:name="_Toc89949103"/>
      <w:bookmarkStart w:id="3690" w:name="_Toc98755492"/>
      <w:bookmarkStart w:id="3691" w:name="_Toc98763083"/>
      <w:bookmarkStart w:id="3692" w:name="_Toc106184012"/>
      <w:r>
        <w:t>8</w:t>
      </w:r>
      <w:r w:rsidRPr="00EE4A40">
        <w:t>.</w:t>
      </w:r>
      <w:r>
        <w:t>1</w:t>
      </w:r>
      <w:r w:rsidRPr="00EE4A40">
        <w:t>.</w:t>
      </w:r>
      <w:r>
        <w:t>3</w:t>
      </w:r>
      <w:r w:rsidRPr="00EE4A40">
        <w:t>.</w:t>
      </w:r>
      <w:r>
        <w:t>7</w:t>
      </w:r>
      <w:r w:rsidRPr="00EE4A40">
        <w:t>.</w:t>
      </w:r>
      <w:r>
        <w:t>1</w:t>
      </w:r>
      <w:r>
        <w:tab/>
        <w:t>General</w:t>
      </w:r>
      <w:bookmarkEnd w:id="3685"/>
      <w:bookmarkEnd w:id="3686"/>
      <w:bookmarkEnd w:id="3687"/>
      <w:bookmarkEnd w:id="3688"/>
      <w:bookmarkEnd w:id="3689"/>
      <w:bookmarkEnd w:id="3690"/>
      <w:bookmarkEnd w:id="3691"/>
      <w:bookmarkEnd w:id="3692"/>
    </w:p>
    <w:p w14:paraId="6D111243" w14:textId="77777777" w:rsidR="00241417" w:rsidRDefault="00241417" w:rsidP="00241417">
      <w:pPr>
        <w:pStyle w:val="Heading5"/>
      </w:pPr>
      <w:bookmarkStart w:id="3693" w:name="_Toc74583272"/>
      <w:bookmarkStart w:id="3694" w:name="_Toc76542085"/>
      <w:bookmarkStart w:id="3695" w:name="_Toc82450067"/>
      <w:bookmarkStart w:id="3696" w:name="_Toc82450715"/>
      <w:bookmarkStart w:id="3697" w:name="_Toc89949104"/>
      <w:bookmarkStart w:id="3698" w:name="_Toc98755493"/>
      <w:bookmarkStart w:id="3699" w:name="_Toc98763084"/>
      <w:bookmarkStart w:id="3700" w:name="_Toc106184013"/>
      <w:r>
        <w:t>8</w:t>
      </w:r>
      <w:r w:rsidRPr="00EE4A40">
        <w:t>.</w:t>
      </w:r>
      <w:r>
        <w:t>1</w:t>
      </w:r>
      <w:r w:rsidRPr="00EE4A40">
        <w:t>.</w:t>
      </w:r>
      <w:r>
        <w:t>3</w:t>
      </w:r>
      <w:r w:rsidRPr="00EE4A40">
        <w:t>.</w:t>
      </w:r>
      <w:r>
        <w:t>7</w:t>
      </w:r>
      <w:r w:rsidRPr="00EE4A40">
        <w:t>.</w:t>
      </w:r>
      <w:r>
        <w:t>2</w:t>
      </w:r>
      <w:r>
        <w:tab/>
        <w:t>Performance requirements for multi-slot PUCCH format 1</w:t>
      </w:r>
      <w:bookmarkEnd w:id="3693"/>
      <w:bookmarkEnd w:id="3694"/>
      <w:bookmarkEnd w:id="3695"/>
      <w:bookmarkEnd w:id="3696"/>
      <w:bookmarkEnd w:id="3697"/>
      <w:bookmarkEnd w:id="3698"/>
      <w:bookmarkEnd w:id="3699"/>
      <w:bookmarkEnd w:id="3700"/>
    </w:p>
    <w:p w14:paraId="42F69418" w14:textId="77777777" w:rsidR="00241417" w:rsidRDefault="00241417" w:rsidP="00241417">
      <w:pPr>
        <w:pStyle w:val="H6"/>
      </w:pPr>
      <w:r>
        <w:t>8</w:t>
      </w:r>
      <w:r w:rsidRPr="00D57F98">
        <w:t>.</w:t>
      </w:r>
      <w:r>
        <w:t>1</w:t>
      </w:r>
      <w:r w:rsidRPr="00D57F98">
        <w:t>.</w:t>
      </w:r>
      <w:r>
        <w:t>3</w:t>
      </w:r>
      <w:r w:rsidRPr="00D57F98">
        <w:t>.</w:t>
      </w:r>
      <w:r>
        <w:t>7</w:t>
      </w:r>
      <w:r w:rsidRPr="00D57F98">
        <w:t>.</w:t>
      </w:r>
      <w:r>
        <w:t>2</w:t>
      </w:r>
      <w:r w:rsidRPr="00D57F98">
        <w:t>.</w:t>
      </w:r>
      <w:r>
        <w:t>1</w:t>
      </w:r>
      <w:r>
        <w:tab/>
        <w:t>ACK to NACK requirements</w:t>
      </w:r>
    </w:p>
    <w:p w14:paraId="089C2B06" w14:textId="77777777" w:rsidR="00241417" w:rsidRDefault="00241417" w:rsidP="00241417">
      <w:pPr>
        <w:pStyle w:val="H6"/>
      </w:pPr>
      <w:r>
        <w:t>8</w:t>
      </w:r>
      <w:r w:rsidRPr="00D57F98">
        <w:t>.</w:t>
      </w:r>
      <w:r>
        <w:t>1</w:t>
      </w:r>
      <w:r w:rsidRPr="00D57F98">
        <w:t>.</w:t>
      </w:r>
      <w:r>
        <w:t>3</w:t>
      </w:r>
      <w:r w:rsidRPr="00D57F98">
        <w:t>.</w:t>
      </w:r>
      <w:r>
        <w:t>7</w:t>
      </w:r>
      <w:r w:rsidRPr="00D57F98">
        <w:t>.</w:t>
      </w:r>
      <w:r>
        <w:t>2</w:t>
      </w:r>
      <w:r w:rsidRPr="00D57F98">
        <w:t>.</w:t>
      </w:r>
      <w:r>
        <w:t>1.1</w:t>
      </w:r>
      <w:r>
        <w:tab/>
        <w:t>General</w:t>
      </w:r>
    </w:p>
    <w:p w14:paraId="6A2B3189" w14:textId="77777777" w:rsidR="00241417" w:rsidRPr="006C7AF4" w:rsidRDefault="00241417" w:rsidP="00241417">
      <w:pPr>
        <w:rPr>
          <w:lang w:val="en-US"/>
        </w:rPr>
      </w:pPr>
      <w:r w:rsidRPr="006C7AF4">
        <w:rPr>
          <w:lang w:val="en-US"/>
        </w:rPr>
        <w:t>The NACK to ACK detection probability is the probability that an ACK bit is falsely detected when an NACK bit was sent on the particular bit position, where the NACK to ACK detection probability is defined as follows:</w:t>
      </w:r>
    </w:p>
    <w:p w14:paraId="161842FE" w14:textId="77777777" w:rsidR="00241417" w:rsidRPr="007C1899" w:rsidRDefault="00241417" w:rsidP="00241417">
      <w:pPr>
        <w:pStyle w:val="EQ"/>
      </w:pPr>
      <w:r w:rsidRPr="006C7AF4">
        <w:rPr>
          <w:lang w:val="en-US"/>
        </w:rPr>
        <w:tab/>
      </w:r>
      <w:r w:rsidRPr="007C1899">
        <w:rPr>
          <w:rFonts w:ascii="Cambria Math" w:hAnsi="Cambria Math"/>
          <w:i/>
          <w:position w:val="-24"/>
          <w:lang w:val="en-US" w:eastAsia="zh-CN"/>
        </w:rPr>
        <w:drawing>
          <wp:inline distT="0" distB="0" distL="0" distR="0" wp14:anchorId="4074DBED" wp14:editId="5E25EC8F">
            <wp:extent cx="3816350" cy="355600"/>
            <wp:effectExtent l="0" t="0" r="0" b="0"/>
            <wp:docPr id="1710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816350" cy="355600"/>
                    </a:xfrm>
                    <a:prstGeom prst="rect">
                      <a:avLst/>
                    </a:prstGeom>
                    <a:noFill/>
                    <a:ln>
                      <a:noFill/>
                    </a:ln>
                  </pic:spPr>
                </pic:pic>
              </a:graphicData>
            </a:graphic>
          </wp:inline>
        </w:drawing>
      </w:r>
      <w:r w:rsidRPr="007C1899">
        <w:t>,</w:t>
      </w:r>
    </w:p>
    <w:p w14:paraId="3BCEC52B" w14:textId="77777777" w:rsidR="00241417" w:rsidRPr="007C1899" w:rsidRDefault="00241417" w:rsidP="00241417">
      <w:pPr>
        <w:rPr>
          <w:lang w:eastAsia="zh-CN"/>
        </w:rPr>
      </w:pPr>
      <w:r w:rsidRPr="007C1899">
        <w:t>where:</w:t>
      </w:r>
    </w:p>
    <w:p w14:paraId="066ED39F" w14:textId="77777777" w:rsidR="00241417" w:rsidRPr="007C1899" w:rsidRDefault="00241417" w:rsidP="00241417">
      <w:pPr>
        <w:pStyle w:val="B10"/>
      </w:pPr>
      <w:r w:rsidRPr="007C1899">
        <w:t>-</w:t>
      </w:r>
      <w:r w:rsidRPr="007C1899">
        <w:tab/>
      </w:r>
      <w:r w:rsidRPr="007C1899">
        <w:rPr>
          <w:noProof/>
          <w:lang w:val="en-US" w:eastAsia="zh-CN"/>
        </w:rPr>
        <w:drawing>
          <wp:inline distT="0" distB="0" distL="0" distR="0" wp14:anchorId="6FF12581" wp14:editId="1138B3DC">
            <wp:extent cx="1079500" cy="190500"/>
            <wp:effectExtent l="0" t="0" r="0" b="0"/>
            <wp:docPr id="1710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79500" cy="190500"/>
                    </a:xfrm>
                    <a:prstGeom prst="rect">
                      <a:avLst/>
                    </a:prstGeom>
                    <a:noFill/>
                    <a:ln>
                      <a:noFill/>
                    </a:ln>
                  </pic:spPr>
                </pic:pic>
              </a:graphicData>
            </a:graphic>
          </wp:inline>
        </w:drawing>
      </w:r>
      <w:r w:rsidRPr="007C1899">
        <w:t>denotes the total number of NACK bits transmitted</w:t>
      </w:r>
    </w:p>
    <w:p w14:paraId="64B93BCC" w14:textId="77777777" w:rsidR="00241417" w:rsidRPr="007C1899" w:rsidRDefault="00241417" w:rsidP="00241417">
      <w:pPr>
        <w:pStyle w:val="B10"/>
      </w:pPr>
      <w:r w:rsidRPr="007C1899">
        <w:t>-</w:t>
      </w:r>
      <w:r w:rsidRPr="007C1899">
        <w:tab/>
      </w:r>
      <w:r w:rsidRPr="007C1899">
        <w:rPr>
          <w:noProof/>
          <w:lang w:val="en-US" w:eastAsia="zh-CN"/>
        </w:rPr>
        <w:drawing>
          <wp:inline distT="0" distB="0" distL="0" distR="0" wp14:anchorId="4758CB46" wp14:editId="347B19CB">
            <wp:extent cx="1873250" cy="190500"/>
            <wp:effectExtent l="0" t="0" r="0" b="0"/>
            <wp:docPr id="17100"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73250" cy="190500"/>
                    </a:xfrm>
                    <a:prstGeom prst="rect">
                      <a:avLst/>
                    </a:prstGeom>
                    <a:noFill/>
                    <a:ln>
                      <a:noFill/>
                    </a:ln>
                  </pic:spPr>
                </pic:pic>
              </a:graphicData>
            </a:graphic>
          </wp:inline>
        </w:drawing>
      </w:r>
      <w:r w:rsidRPr="007C1899">
        <w:t>denotes the number of NACK bits decoded as ACK bits at the receiver, i.e. the number of received ACK bits</w:t>
      </w:r>
    </w:p>
    <w:p w14:paraId="3137F46D" w14:textId="77777777" w:rsidR="00241417" w:rsidRPr="007C1899" w:rsidRDefault="00241417" w:rsidP="00241417">
      <w:pPr>
        <w:pStyle w:val="B10"/>
      </w:pPr>
      <w:r w:rsidRPr="007C1899">
        <w:t>-</w:t>
      </w:r>
      <w:r w:rsidRPr="007C1899">
        <w:tab/>
        <w:t>NACK bits in the definition do not contain the NACK bits which are mapped from DTX, i.e. NACK bits received when DTX is sent should not be considered.</w:t>
      </w:r>
    </w:p>
    <w:p w14:paraId="4AA8C1FA" w14:textId="77777777" w:rsidR="00241417" w:rsidRPr="007C1899" w:rsidRDefault="00241417" w:rsidP="00241417">
      <w:r w:rsidRPr="007C1899">
        <w:t>Random codeword selection is assumed.</w:t>
      </w:r>
    </w:p>
    <w:p w14:paraId="47267F7E" w14:textId="77777777" w:rsidR="00241417" w:rsidRPr="007C1899" w:rsidRDefault="00241417" w:rsidP="00241417">
      <w:pPr>
        <w:pStyle w:val="TH"/>
      </w:pPr>
      <w:r w:rsidRPr="007C1899">
        <w:lastRenderedPageBreak/>
        <w:t>Table 8.</w:t>
      </w:r>
      <w:r>
        <w:t>1.</w:t>
      </w:r>
      <w:r w:rsidRPr="007C1899">
        <w:t>3.7.2.1.1-1: Test Parameters for multi-slot PUCCH format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3"/>
        <w:gridCol w:w="2254"/>
      </w:tblGrid>
      <w:tr w:rsidR="00241417" w:rsidRPr="007C1899" w14:paraId="1ED6F829" w14:textId="77777777" w:rsidTr="003A71DE">
        <w:trPr>
          <w:cantSplit/>
          <w:jc w:val="center"/>
        </w:trPr>
        <w:tc>
          <w:tcPr>
            <w:tcW w:w="3573" w:type="dxa"/>
            <w:vAlign w:val="center"/>
          </w:tcPr>
          <w:p w14:paraId="2AF5DF4A" w14:textId="77777777" w:rsidR="00241417" w:rsidRPr="007C1899" w:rsidRDefault="00241417" w:rsidP="003A71DE">
            <w:pPr>
              <w:pStyle w:val="TAH"/>
            </w:pPr>
            <w:r w:rsidRPr="007C1899">
              <w:t>Parameter</w:t>
            </w:r>
          </w:p>
        </w:tc>
        <w:tc>
          <w:tcPr>
            <w:tcW w:w="2254" w:type="dxa"/>
            <w:vAlign w:val="center"/>
          </w:tcPr>
          <w:p w14:paraId="3583DD8B" w14:textId="77777777" w:rsidR="00241417" w:rsidRPr="007C1899" w:rsidRDefault="00241417" w:rsidP="003A71DE">
            <w:pPr>
              <w:pStyle w:val="TAH"/>
            </w:pPr>
            <w:r w:rsidRPr="007C1899">
              <w:t>Test</w:t>
            </w:r>
          </w:p>
        </w:tc>
      </w:tr>
      <w:tr w:rsidR="00241417" w:rsidRPr="007C1899" w14:paraId="69C4B282" w14:textId="77777777" w:rsidTr="003A71DE">
        <w:trPr>
          <w:cantSplit/>
          <w:jc w:val="center"/>
        </w:trPr>
        <w:tc>
          <w:tcPr>
            <w:tcW w:w="3573" w:type="dxa"/>
            <w:vAlign w:val="center"/>
          </w:tcPr>
          <w:p w14:paraId="37FB0E7E" w14:textId="77777777" w:rsidR="00241417" w:rsidRPr="007C1899" w:rsidRDefault="00241417" w:rsidP="003A71DE">
            <w:pPr>
              <w:pStyle w:val="TAL"/>
              <w:rPr>
                <w:lang w:eastAsia="zh-CN"/>
              </w:rPr>
            </w:pPr>
            <w:r>
              <w:rPr>
                <w:lang w:eastAsia="zh-CN"/>
              </w:rPr>
              <w:t>Cyclic Prefix</w:t>
            </w:r>
          </w:p>
        </w:tc>
        <w:tc>
          <w:tcPr>
            <w:tcW w:w="2254" w:type="dxa"/>
            <w:vAlign w:val="center"/>
          </w:tcPr>
          <w:p w14:paraId="3567CA32" w14:textId="77777777" w:rsidR="00241417" w:rsidRPr="007C1899" w:rsidRDefault="00241417" w:rsidP="003A71DE">
            <w:pPr>
              <w:pStyle w:val="TAC"/>
            </w:pPr>
            <w:r>
              <w:t>Normal</w:t>
            </w:r>
          </w:p>
        </w:tc>
      </w:tr>
      <w:tr w:rsidR="00241417" w:rsidRPr="007C1899" w14:paraId="29595158" w14:textId="77777777" w:rsidTr="003A71DE">
        <w:trPr>
          <w:cantSplit/>
          <w:jc w:val="center"/>
        </w:trPr>
        <w:tc>
          <w:tcPr>
            <w:tcW w:w="3573" w:type="dxa"/>
            <w:vAlign w:val="center"/>
          </w:tcPr>
          <w:p w14:paraId="3A0116F8" w14:textId="77777777" w:rsidR="00241417" w:rsidRPr="007C1899" w:rsidRDefault="00241417" w:rsidP="003A71DE">
            <w:pPr>
              <w:pStyle w:val="TAL"/>
              <w:rPr>
                <w:lang w:eastAsia="zh-CN"/>
              </w:rPr>
            </w:pPr>
            <w:r w:rsidRPr="007C1899">
              <w:rPr>
                <w:lang w:eastAsia="zh-CN"/>
              </w:rPr>
              <w:t>Number of information bits</w:t>
            </w:r>
          </w:p>
        </w:tc>
        <w:tc>
          <w:tcPr>
            <w:tcW w:w="2254" w:type="dxa"/>
            <w:vAlign w:val="center"/>
          </w:tcPr>
          <w:p w14:paraId="56DAF797" w14:textId="77777777" w:rsidR="00241417" w:rsidRPr="007C1899" w:rsidRDefault="00241417" w:rsidP="003A71DE">
            <w:pPr>
              <w:pStyle w:val="TAC"/>
            </w:pPr>
            <w:r w:rsidRPr="007C1899">
              <w:t>2</w:t>
            </w:r>
          </w:p>
        </w:tc>
      </w:tr>
      <w:tr w:rsidR="00241417" w:rsidRPr="007C1899" w14:paraId="3193F2E6" w14:textId="77777777" w:rsidTr="003A71DE">
        <w:trPr>
          <w:cantSplit/>
          <w:jc w:val="center"/>
        </w:trPr>
        <w:tc>
          <w:tcPr>
            <w:tcW w:w="3573" w:type="dxa"/>
            <w:vAlign w:val="center"/>
          </w:tcPr>
          <w:p w14:paraId="62926F9D" w14:textId="77777777" w:rsidR="00241417" w:rsidRPr="007C1899" w:rsidRDefault="00241417" w:rsidP="003A71DE">
            <w:pPr>
              <w:pStyle w:val="TAL"/>
              <w:rPr>
                <w:rFonts w:eastAsia="?? ??" w:cs="Arial"/>
              </w:rPr>
            </w:pPr>
            <w:r w:rsidRPr="007C1899">
              <w:t>Number of PRBs</w:t>
            </w:r>
          </w:p>
        </w:tc>
        <w:tc>
          <w:tcPr>
            <w:tcW w:w="2254" w:type="dxa"/>
            <w:vAlign w:val="center"/>
          </w:tcPr>
          <w:p w14:paraId="26D0C14A" w14:textId="77777777" w:rsidR="00241417" w:rsidRPr="007C1899" w:rsidRDefault="00241417" w:rsidP="003A71DE">
            <w:pPr>
              <w:pStyle w:val="TAC"/>
            </w:pPr>
            <w:r w:rsidRPr="007C1899">
              <w:t>1</w:t>
            </w:r>
          </w:p>
        </w:tc>
      </w:tr>
      <w:tr w:rsidR="00241417" w:rsidRPr="007C1899" w14:paraId="578CDF9F" w14:textId="77777777" w:rsidTr="003A71DE">
        <w:trPr>
          <w:cantSplit/>
          <w:jc w:val="center"/>
        </w:trPr>
        <w:tc>
          <w:tcPr>
            <w:tcW w:w="3573" w:type="dxa"/>
            <w:vAlign w:val="center"/>
          </w:tcPr>
          <w:p w14:paraId="13DA322E" w14:textId="77777777" w:rsidR="00241417" w:rsidRPr="007C1899" w:rsidRDefault="00241417" w:rsidP="003A71DE">
            <w:pPr>
              <w:pStyle w:val="TAL"/>
              <w:rPr>
                <w:rFonts w:eastAsia="?? ??" w:cs="Arial"/>
              </w:rPr>
            </w:pPr>
            <w:r w:rsidRPr="007C1899">
              <w:t>Number of symbols</w:t>
            </w:r>
          </w:p>
        </w:tc>
        <w:tc>
          <w:tcPr>
            <w:tcW w:w="2254" w:type="dxa"/>
            <w:vAlign w:val="center"/>
          </w:tcPr>
          <w:p w14:paraId="34C3D345" w14:textId="77777777" w:rsidR="00241417" w:rsidRPr="007C1899" w:rsidRDefault="00241417" w:rsidP="003A71DE">
            <w:pPr>
              <w:pStyle w:val="TAC"/>
            </w:pPr>
            <w:r w:rsidRPr="007C1899">
              <w:t>14</w:t>
            </w:r>
          </w:p>
        </w:tc>
      </w:tr>
      <w:tr w:rsidR="00241417" w:rsidRPr="007C1899" w14:paraId="3C86F804" w14:textId="77777777" w:rsidTr="003A71DE">
        <w:trPr>
          <w:cantSplit/>
          <w:jc w:val="center"/>
        </w:trPr>
        <w:tc>
          <w:tcPr>
            <w:tcW w:w="3573" w:type="dxa"/>
            <w:vAlign w:val="center"/>
          </w:tcPr>
          <w:p w14:paraId="526BC3A2" w14:textId="77777777" w:rsidR="00241417" w:rsidRPr="007C1899" w:rsidRDefault="00241417" w:rsidP="003A71DE">
            <w:pPr>
              <w:pStyle w:val="TAL"/>
            </w:pPr>
            <w:r w:rsidRPr="007C1899">
              <w:t>First PRB prior to frequency hopping</w:t>
            </w:r>
          </w:p>
        </w:tc>
        <w:tc>
          <w:tcPr>
            <w:tcW w:w="2254" w:type="dxa"/>
            <w:vAlign w:val="center"/>
          </w:tcPr>
          <w:p w14:paraId="0B3CF4C6" w14:textId="77777777" w:rsidR="00241417" w:rsidRPr="007C1899" w:rsidRDefault="00241417" w:rsidP="003A71DE">
            <w:pPr>
              <w:pStyle w:val="TAC"/>
            </w:pPr>
            <w:r w:rsidRPr="007C1899">
              <w:t>0</w:t>
            </w:r>
          </w:p>
        </w:tc>
      </w:tr>
      <w:tr w:rsidR="00241417" w:rsidRPr="007C1899" w14:paraId="38E1EDD0" w14:textId="77777777" w:rsidTr="003A71DE">
        <w:trPr>
          <w:cantSplit/>
          <w:jc w:val="center"/>
        </w:trPr>
        <w:tc>
          <w:tcPr>
            <w:tcW w:w="3573" w:type="dxa"/>
            <w:vAlign w:val="center"/>
          </w:tcPr>
          <w:p w14:paraId="20E5921D" w14:textId="77777777" w:rsidR="00241417" w:rsidRPr="007C1899" w:rsidRDefault="00241417" w:rsidP="003A71DE">
            <w:pPr>
              <w:pStyle w:val="TAL"/>
            </w:pPr>
            <w:r w:rsidRPr="007C1899">
              <w:t>Intra-slot frequency hopping</w:t>
            </w:r>
          </w:p>
        </w:tc>
        <w:tc>
          <w:tcPr>
            <w:tcW w:w="2254" w:type="dxa"/>
            <w:vAlign w:val="center"/>
          </w:tcPr>
          <w:p w14:paraId="22232227" w14:textId="77777777" w:rsidR="00241417" w:rsidRPr="007C1899" w:rsidRDefault="00241417" w:rsidP="003A71DE">
            <w:pPr>
              <w:pStyle w:val="TAC"/>
            </w:pPr>
            <w:r w:rsidRPr="007C1899">
              <w:t>disabled</w:t>
            </w:r>
          </w:p>
        </w:tc>
      </w:tr>
      <w:tr w:rsidR="00241417" w:rsidRPr="007C1899" w14:paraId="587CC5EC" w14:textId="77777777" w:rsidTr="003A71DE">
        <w:trPr>
          <w:cantSplit/>
          <w:jc w:val="center"/>
        </w:trPr>
        <w:tc>
          <w:tcPr>
            <w:tcW w:w="3573" w:type="dxa"/>
            <w:vAlign w:val="center"/>
          </w:tcPr>
          <w:p w14:paraId="4E6D0E84" w14:textId="77777777" w:rsidR="00241417" w:rsidRPr="007C1899" w:rsidRDefault="00241417" w:rsidP="003A71DE">
            <w:pPr>
              <w:pStyle w:val="TAL"/>
            </w:pPr>
            <w:r w:rsidRPr="007C1899">
              <w:t xml:space="preserve">Inter-slot frequency hopping </w:t>
            </w:r>
          </w:p>
        </w:tc>
        <w:tc>
          <w:tcPr>
            <w:tcW w:w="2254" w:type="dxa"/>
            <w:vAlign w:val="center"/>
          </w:tcPr>
          <w:p w14:paraId="48D2C282" w14:textId="77777777" w:rsidR="00241417" w:rsidRPr="007C1899" w:rsidRDefault="00241417" w:rsidP="003A71DE">
            <w:pPr>
              <w:pStyle w:val="TAC"/>
              <w:rPr>
                <w:rFonts w:eastAsia="?? ??"/>
              </w:rPr>
            </w:pPr>
            <w:r w:rsidRPr="007C1899">
              <w:t>enabled</w:t>
            </w:r>
          </w:p>
        </w:tc>
      </w:tr>
      <w:tr w:rsidR="00241417" w:rsidRPr="00327E1C" w14:paraId="6F828F8F" w14:textId="77777777" w:rsidTr="003A71DE">
        <w:trPr>
          <w:cantSplit/>
          <w:jc w:val="center"/>
        </w:trPr>
        <w:tc>
          <w:tcPr>
            <w:tcW w:w="3573" w:type="dxa"/>
            <w:vAlign w:val="center"/>
          </w:tcPr>
          <w:p w14:paraId="45C1E0A0" w14:textId="77777777" w:rsidR="00241417" w:rsidRPr="007C1899" w:rsidRDefault="00241417" w:rsidP="003A71DE">
            <w:pPr>
              <w:pStyle w:val="TAL"/>
            </w:pPr>
            <w:r w:rsidRPr="007C1899">
              <w:t>First PRB after frequency hopping</w:t>
            </w:r>
          </w:p>
        </w:tc>
        <w:tc>
          <w:tcPr>
            <w:tcW w:w="2254" w:type="dxa"/>
            <w:vAlign w:val="center"/>
          </w:tcPr>
          <w:p w14:paraId="39D33790" w14:textId="77777777" w:rsidR="00241417" w:rsidRPr="007C1899" w:rsidRDefault="00241417" w:rsidP="003A71DE">
            <w:pPr>
              <w:pStyle w:val="TAC"/>
            </w:pPr>
            <w:r w:rsidRPr="007C1899">
              <w:t xml:space="preserve">The largest PRB index </w:t>
            </w:r>
          </w:p>
          <w:p w14:paraId="77075631" w14:textId="77777777" w:rsidR="00241417" w:rsidRPr="007C1899" w:rsidRDefault="00241417" w:rsidP="003A71DE">
            <w:pPr>
              <w:pStyle w:val="TAC"/>
            </w:pPr>
            <w:r w:rsidRPr="007C1899">
              <w:t>– (nrofPRBs – 1)</w:t>
            </w:r>
          </w:p>
        </w:tc>
      </w:tr>
      <w:tr w:rsidR="00241417" w:rsidRPr="007C1899" w14:paraId="0A644A06" w14:textId="77777777" w:rsidTr="003A71DE">
        <w:trPr>
          <w:cantSplit/>
          <w:jc w:val="center"/>
        </w:trPr>
        <w:tc>
          <w:tcPr>
            <w:tcW w:w="3573" w:type="dxa"/>
            <w:vAlign w:val="center"/>
          </w:tcPr>
          <w:p w14:paraId="7ECA413B" w14:textId="77777777" w:rsidR="00241417" w:rsidRPr="007C1899" w:rsidRDefault="00241417" w:rsidP="003A71DE">
            <w:pPr>
              <w:pStyle w:val="TAL"/>
            </w:pPr>
            <w:r w:rsidRPr="007C1899">
              <w:t>Group and sequence hopping</w:t>
            </w:r>
          </w:p>
        </w:tc>
        <w:tc>
          <w:tcPr>
            <w:tcW w:w="2254" w:type="dxa"/>
            <w:vAlign w:val="center"/>
          </w:tcPr>
          <w:p w14:paraId="30355E02" w14:textId="77777777" w:rsidR="00241417" w:rsidRPr="007C1899" w:rsidRDefault="00241417" w:rsidP="003A71DE">
            <w:pPr>
              <w:pStyle w:val="TAC"/>
            </w:pPr>
            <w:r w:rsidRPr="007C1899">
              <w:t>neither</w:t>
            </w:r>
          </w:p>
        </w:tc>
      </w:tr>
      <w:tr w:rsidR="00241417" w:rsidRPr="007C1899" w14:paraId="5D545B89" w14:textId="77777777" w:rsidTr="003A71DE">
        <w:trPr>
          <w:cantSplit/>
          <w:jc w:val="center"/>
        </w:trPr>
        <w:tc>
          <w:tcPr>
            <w:tcW w:w="3573" w:type="dxa"/>
            <w:vAlign w:val="center"/>
          </w:tcPr>
          <w:p w14:paraId="44786CBF" w14:textId="77777777" w:rsidR="00241417" w:rsidRPr="007C1899" w:rsidRDefault="00241417" w:rsidP="003A71DE">
            <w:pPr>
              <w:pStyle w:val="TAL"/>
            </w:pPr>
            <w:r w:rsidRPr="007C1899">
              <w:t>Hopping ID</w:t>
            </w:r>
          </w:p>
        </w:tc>
        <w:tc>
          <w:tcPr>
            <w:tcW w:w="2254" w:type="dxa"/>
            <w:vAlign w:val="center"/>
          </w:tcPr>
          <w:p w14:paraId="5AF0A770" w14:textId="77777777" w:rsidR="00241417" w:rsidRPr="007C1899" w:rsidRDefault="00241417" w:rsidP="003A71DE">
            <w:pPr>
              <w:pStyle w:val="TAC"/>
            </w:pPr>
            <w:r w:rsidRPr="007C1899">
              <w:t>0</w:t>
            </w:r>
          </w:p>
        </w:tc>
      </w:tr>
      <w:tr w:rsidR="00241417" w:rsidRPr="007C1899" w14:paraId="2867CD28" w14:textId="77777777" w:rsidTr="003A71DE">
        <w:trPr>
          <w:cantSplit/>
          <w:jc w:val="center"/>
        </w:trPr>
        <w:tc>
          <w:tcPr>
            <w:tcW w:w="3573" w:type="dxa"/>
            <w:vAlign w:val="center"/>
          </w:tcPr>
          <w:p w14:paraId="08488D89" w14:textId="77777777" w:rsidR="00241417" w:rsidRPr="007C1899" w:rsidRDefault="00241417" w:rsidP="003A71DE">
            <w:pPr>
              <w:pStyle w:val="TAL"/>
            </w:pPr>
            <w:r w:rsidRPr="007C1899">
              <w:t>Initial cyclic shift</w:t>
            </w:r>
          </w:p>
        </w:tc>
        <w:tc>
          <w:tcPr>
            <w:tcW w:w="2254" w:type="dxa"/>
            <w:vAlign w:val="center"/>
          </w:tcPr>
          <w:p w14:paraId="626A706C" w14:textId="77777777" w:rsidR="00241417" w:rsidRPr="007C1899" w:rsidRDefault="00241417" w:rsidP="003A71DE">
            <w:pPr>
              <w:pStyle w:val="TAC"/>
            </w:pPr>
            <w:r w:rsidRPr="007C1899">
              <w:t>0</w:t>
            </w:r>
          </w:p>
        </w:tc>
      </w:tr>
      <w:tr w:rsidR="00241417" w:rsidRPr="007C1899" w14:paraId="0B57A751" w14:textId="77777777" w:rsidTr="003A71DE">
        <w:trPr>
          <w:cantSplit/>
          <w:jc w:val="center"/>
        </w:trPr>
        <w:tc>
          <w:tcPr>
            <w:tcW w:w="3573" w:type="dxa"/>
            <w:vAlign w:val="center"/>
          </w:tcPr>
          <w:p w14:paraId="31363CEB" w14:textId="77777777" w:rsidR="00241417" w:rsidRPr="007C1899" w:rsidRDefault="00241417" w:rsidP="003A71DE">
            <w:pPr>
              <w:pStyle w:val="TAL"/>
            </w:pPr>
            <w:r w:rsidRPr="007C1899">
              <w:t>First symbol</w:t>
            </w:r>
          </w:p>
        </w:tc>
        <w:tc>
          <w:tcPr>
            <w:tcW w:w="2254" w:type="dxa"/>
            <w:vAlign w:val="center"/>
          </w:tcPr>
          <w:p w14:paraId="08CBBE7E" w14:textId="77777777" w:rsidR="00241417" w:rsidRPr="007C1899" w:rsidRDefault="00241417" w:rsidP="003A71DE">
            <w:pPr>
              <w:pStyle w:val="TAC"/>
            </w:pPr>
            <w:r w:rsidRPr="007C1899">
              <w:t>0</w:t>
            </w:r>
          </w:p>
        </w:tc>
      </w:tr>
      <w:tr w:rsidR="00241417" w:rsidRPr="007C1899" w14:paraId="08EBB480" w14:textId="77777777" w:rsidTr="003A71DE">
        <w:trPr>
          <w:cantSplit/>
          <w:jc w:val="center"/>
        </w:trPr>
        <w:tc>
          <w:tcPr>
            <w:tcW w:w="3573" w:type="dxa"/>
            <w:vAlign w:val="center"/>
          </w:tcPr>
          <w:p w14:paraId="3CBA831A" w14:textId="77777777" w:rsidR="00241417" w:rsidRPr="007C1899" w:rsidRDefault="00241417" w:rsidP="003A71DE">
            <w:pPr>
              <w:pStyle w:val="TAL"/>
            </w:pPr>
            <w:r w:rsidRPr="007C1899">
              <w:t>Index of orthogonal cover code (</w:t>
            </w:r>
            <w:r w:rsidRPr="007C1899">
              <w:rPr>
                <w:i/>
              </w:rPr>
              <w:t>timeDomainOCC</w:t>
            </w:r>
            <w:r w:rsidRPr="007C1899">
              <w:t>)</w:t>
            </w:r>
          </w:p>
        </w:tc>
        <w:tc>
          <w:tcPr>
            <w:tcW w:w="2254" w:type="dxa"/>
            <w:vAlign w:val="center"/>
          </w:tcPr>
          <w:p w14:paraId="5A444A85" w14:textId="77777777" w:rsidR="00241417" w:rsidRPr="007C1899" w:rsidRDefault="00241417" w:rsidP="003A71DE">
            <w:pPr>
              <w:pStyle w:val="TAC"/>
            </w:pPr>
            <w:r w:rsidRPr="007C1899">
              <w:t>0</w:t>
            </w:r>
          </w:p>
        </w:tc>
      </w:tr>
      <w:tr w:rsidR="00241417" w:rsidRPr="007C1899" w14:paraId="05D20A5E" w14:textId="77777777" w:rsidTr="003A71DE">
        <w:trPr>
          <w:cantSplit/>
          <w:jc w:val="center"/>
        </w:trPr>
        <w:tc>
          <w:tcPr>
            <w:tcW w:w="3573" w:type="dxa"/>
            <w:vAlign w:val="center"/>
          </w:tcPr>
          <w:p w14:paraId="5578405B" w14:textId="77777777" w:rsidR="00241417" w:rsidRPr="007C1899" w:rsidRDefault="00241417" w:rsidP="003A71DE">
            <w:pPr>
              <w:pStyle w:val="TAL"/>
            </w:pPr>
            <w:r w:rsidRPr="007C1899">
              <w:t>Number of slots for PUCCH repetition</w:t>
            </w:r>
          </w:p>
        </w:tc>
        <w:tc>
          <w:tcPr>
            <w:tcW w:w="2254" w:type="dxa"/>
            <w:vAlign w:val="center"/>
          </w:tcPr>
          <w:p w14:paraId="0149C332" w14:textId="77777777" w:rsidR="00241417" w:rsidRPr="007C1899" w:rsidRDefault="00241417" w:rsidP="003A71DE">
            <w:pPr>
              <w:pStyle w:val="TAC"/>
            </w:pPr>
            <w:r w:rsidRPr="007C1899">
              <w:t>2</w:t>
            </w:r>
          </w:p>
        </w:tc>
      </w:tr>
    </w:tbl>
    <w:p w14:paraId="65E46A46" w14:textId="77777777" w:rsidR="00241417" w:rsidRPr="007C1899" w:rsidRDefault="00241417" w:rsidP="00241417">
      <w:pPr>
        <w:rPr>
          <w:lang w:eastAsia="zh-CN"/>
        </w:rPr>
      </w:pPr>
    </w:p>
    <w:p w14:paraId="06CDF8A0" w14:textId="77777777" w:rsidR="00241417" w:rsidRDefault="00241417" w:rsidP="00241417">
      <w:pPr>
        <w:pStyle w:val="H6"/>
      </w:pPr>
      <w:r>
        <w:t>8</w:t>
      </w:r>
      <w:r w:rsidRPr="00D57F98">
        <w:t>.</w:t>
      </w:r>
      <w:r>
        <w:t>1</w:t>
      </w:r>
      <w:r w:rsidRPr="00D57F98">
        <w:t>.</w:t>
      </w:r>
      <w:r>
        <w:t>3</w:t>
      </w:r>
      <w:r w:rsidRPr="00D57F98">
        <w:t>.</w:t>
      </w:r>
      <w:r>
        <w:t>7</w:t>
      </w:r>
      <w:r w:rsidRPr="00D57F98">
        <w:t>.</w:t>
      </w:r>
      <w:r>
        <w:t>2</w:t>
      </w:r>
      <w:r w:rsidRPr="00D57F98">
        <w:t>.</w:t>
      </w:r>
      <w:r>
        <w:t>1.2</w:t>
      </w:r>
      <w:r>
        <w:tab/>
        <w:t>Minimum requirements</w:t>
      </w:r>
    </w:p>
    <w:p w14:paraId="26C7C9A6" w14:textId="77777777" w:rsidR="00241417" w:rsidRPr="00EC655B" w:rsidRDefault="00241417" w:rsidP="00241417">
      <w:r w:rsidRPr="00EC655B">
        <w:rPr>
          <w:lang w:eastAsia="zh-CN"/>
        </w:rPr>
        <w:t>T</w:t>
      </w:r>
      <w:r w:rsidRPr="00EC655B">
        <w:t>he multi-slot NACK to ACK probability shall not exceed 0.1% at the SNR given in table 8.</w:t>
      </w:r>
      <w:r>
        <w:t>2.</w:t>
      </w:r>
      <w:r w:rsidRPr="00EC655B">
        <w:t>3.7.2.1.2-1.</w:t>
      </w:r>
    </w:p>
    <w:p w14:paraId="598FAFA2" w14:textId="77777777" w:rsidR="00241417" w:rsidRPr="00EC655B" w:rsidRDefault="00241417" w:rsidP="00241417">
      <w:pPr>
        <w:pStyle w:val="TH"/>
      </w:pPr>
      <w:r w:rsidRPr="00EC655B">
        <w:t>Table 8.</w:t>
      </w:r>
      <w:r>
        <w:t>1.</w:t>
      </w:r>
      <w:r w:rsidRPr="00EC655B">
        <w:t>3.7.2.1.2-1: Minimum requirements for multi-slot PUCCH format 1 with 30kHz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1075"/>
        <w:gridCol w:w="2515"/>
        <w:gridCol w:w="2075"/>
      </w:tblGrid>
      <w:tr w:rsidR="00241417" w:rsidRPr="00EC655B" w14:paraId="79D4B047" w14:textId="77777777" w:rsidTr="003A71DE">
        <w:trPr>
          <w:cantSplit/>
          <w:jc w:val="center"/>
        </w:trPr>
        <w:tc>
          <w:tcPr>
            <w:tcW w:w="1080" w:type="dxa"/>
            <w:vMerge w:val="restart"/>
            <w:vAlign w:val="center"/>
          </w:tcPr>
          <w:p w14:paraId="7851BAE1" w14:textId="77777777" w:rsidR="00241417" w:rsidRPr="00EC655B" w:rsidRDefault="00241417" w:rsidP="003A71DE">
            <w:pPr>
              <w:pStyle w:val="TAH"/>
              <w:rPr>
                <w:lang w:eastAsia="zh-CN"/>
              </w:rPr>
            </w:pPr>
            <w:r w:rsidRPr="00EC655B">
              <w:t xml:space="preserve">Number of </w:t>
            </w:r>
            <w:r w:rsidRPr="00EC655B">
              <w:rPr>
                <w:lang w:eastAsia="zh-CN"/>
              </w:rPr>
              <w:t>T</w:t>
            </w:r>
            <w:r w:rsidRPr="00EC655B">
              <w:t>X</w:t>
            </w:r>
            <w:r>
              <w:t xml:space="preserve"> </w:t>
            </w:r>
            <w:r w:rsidRPr="00EC655B">
              <w:t>antennas</w:t>
            </w:r>
          </w:p>
        </w:tc>
        <w:tc>
          <w:tcPr>
            <w:tcW w:w="1075" w:type="dxa"/>
            <w:vMerge w:val="restart"/>
            <w:vAlign w:val="center"/>
          </w:tcPr>
          <w:p w14:paraId="727B528E" w14:textId="77777777" w:rsidR="00241417" w:rsidRPr="00EC655B" w:rsidRDefault="00241417" w:rsidP="003A71DE">
            <w:pPr>
              <w:pStyle w:val="TAH"/>
              <w:rPr>
                <w:lang w:eastAsia="zh-CN"/>
              </w:rPr>
            </w:pPr>
            <w:r w:rsidRPr="00EC655B">
              <w:t>Number</w:t>
            </w:r>
            <w:r w:rsidRPr="00EC655B">
              <w:rPr>
                <w:lang w:eastAsia="zh-CN"/>
              </w:rPr>
              <w:t xml:space="preserve"> of RX</w:t>
            </w:r>
            <w:r>
              <w:rPr>
                <w:lang w:eastAsia="zh-CN"/>
              </w:rPr>
              <w:t xml:space="preserve"> </w:t>
            </w:r>
            <w:r w:rsidRPr="00EC655B">
              <w:rPr>
                <w:lang w:eastAsia="zh-CN"/>
              </w:rPr>
              <w:t>antennas</w:t>
            </w:r>
          </w:p>
        </w:tc>
        <w:tc>
          <w:tcPr>
            <w:tcW w:w="2515" w:type="dxa"/>
            <w:vMerge w:val="restart"/>
            <w:vAlign w:val="center"/>
          </w:tcPr>
          <w:p w14:paraId="001B0581" w14:textId="56322F8D" w:rsidR="00241417" w:rsidRPr="00EC655B" w:rsidRDefault="00241417" w:rsidP="003A71DE">
            <w:pPr>
              <w:pStyle w:val="TAH"/>
            </w:pPr>
            <w:r w:rsidRPr="00EC655B">
              <w:rPr>
                <w:lang w:val="fr-FR"/>
              </w:rPr>
              <w:t>Propagation conditions</w:t>
            </w:r>
            <w:r w:rsidRPr="00EC655B">
              <w:t xml:space="preserve"> and correlation matrix</w:t>
            </w:r>
            <w:r>
              <w:t xml:space="preserve"> </w:t>
            </w:r>
            <w:r w:rsidRPr="00EC655B">
              <w:t xml:space="preserve">(Annex </w:t>
            </w:r>
            <w:r>
              <w:t>TBA</w:t>
            </w:r>
            <w:r w:rsidRPr="00EC655B">
              <w:t>)</w:t>
            </w:r>
          </w:p>
        </w:tc>
        <w:tc>
          <w:tcPr>
            <w:tcW w:w="2075" w:type="dxa"/>
            <w:shd w:val="clear" w:color="auto" w:fill="auto"/>
          </w:tcPr>
          <w:p w14:paraId="27AED957" w14:textId="77777777" w:rsidR="00241417" w:rsidRPr="00EC655B" w:rsidRDefault="00241417" w:rsidP="003A71DE">
            <w:pPr>
              <w:pStyle w:val="TAH"/>
              <w:rPr>
                <w:lang w:eastAsia="zh-CN"/>
              </w:rPr>
            </w:pPr>
            <w:r w:rsidRPr="00EC655B">
              <w:t>Channel bandwidth  / SNR (dB)</w:t>
            </w:r>
          </w:p>
        </w:tc>
      </w:tr>
      <w:tr w:rsidR="00241417" w:rsidRPr="00EC655B" w14:paraId="44E7128E" w14:textId="77777777" w:rsidTr="003A71DE">
        <w:trPr>
          <w:cantSplit/>
          <w:jc w:val="center"/>
        </w:trPr>
        <w:tc>
          <w:tcPr>
            <w:tcW w:w="1080" w:type="dxa"/>
            <w:vMerge/>
            <w:vAlign w:val="center"/>
          </w:tcPr>
          <w:p w14:paraId="6F7B7B91" w14:textId="77777777" w:rsidR="00241417" w:rsidRPr="00EC655B" w:rsidRDefault="00241417" w:rsidP="003A71DE">
            <w:pPr>
              <w:pStyle w:val="TAH"/>
              <w:rPr>
                <w:lang w:eastAsia="zh-CN"/>
              </w:rPr>
            </w:pPr>
          </w:p>
        </w:tc>
        <w:tc>
          <w:tcPr>
            <w:tcW w:w="1075" w:type="dxa"/>
            <w:vMerge/>
            <w:vAlign w:val="center"/>
          </w:tcPr>
          <w:p w14:paraId="6F40598B" w14:textId="77777777" w:rsidR="00241417" w:rsidRPr="00EC655B" w:rsidRDefault="00241417" w:rsidP="003A71DE">
            <w:pPr>
              <w:pStyle w:val="TAH"/>
              <w:rPr>
                <w:lang w:eastAsia="zh-CN"/>
              </w:rPr>
            </w:pPr>
          </w:p>
        </w:tc>
        <w:tc>
          <w:tcPr>
            <w:tcW w:w="2515" w:type="dxa"/>
            <w:vMerge/>
            <w:vAlign w:val="center"/>
          </w:tcPr>
          <w:p w14:paraId="12B80AAE" w14:textId="77777777" w:rsidR="00241417" w:rsidRPr="00EC655B" w:rsidRDefault="00241417" w:rsidP="003A71DE">
            <w:pPr>
              <w:pStyle w:val="TAH"/>
            </w:pPr>
          </w:p>
        </w:tc>
        <w:tc>
          <w:tcPr>
            <w:tcW w:w="2075" w:type="dxa"/>
            <w:shd w:val="clear" w:color="auto" w:fill="auto"/>
            <w:vAlign w:val="center"/>
          </w:tcPr>
          <w:p w14:paraId="397E7F51" w14:textId="77777777" w:rsidR="00241417" w:rsidRPr="00EC655B" w:rsidRDefault="00241417" w:rsidP="003A71DE">
            <w:pPr>
              <w:pStyle w:val="TAH"/>
              <w:rPr>
                <w:lang w:eastAsia="zh-CN"/>
              </w:rPr>
            </w:pPr>
            <w:r w:rsidRPr="00EC655B">
              <w:t>40 MHz</w:t>
            </w:r>
          </w:p>
        </w:tc>
      </w:tr>
      <w:tr w:rsidR="00241417" w:rsidRPr="00EC655B" w14:paraId="30B1C3DD" w14:textId="77777777" w:rsidTr="003A71DE">
        <w:trPr>
          <w:cantSplit/>
          <w:jc w:val="center"/>
        </w:trPr>
        <w:tc>
          <w:tcPr>
            <w:tcW w:w="1080" w:type="dxa"/>
            <w:vAlign w:val="center"/>
          </w:tcPr>
          <w:p w14:paraId="6FBF9A0A" w14:textId="77777777" w:rsidR="00241417" w:rsidRPr="00EC655B" w:rsidRDefault="00241417" w:rsidP="003A71DE">
            <w:pPr>
              <w:pStyle w:val="TAC"/>
              <w:rPr>
                <w:lang w:eastAsia="zh-CN"/>
              </w:rPr>
            </w:pPr>
            <w:r w:rsidRPr="00EC655B">
              <w:rPr>
                <w:lang w:eastAsia="zh-CN"/>
              </w:rPr>
              <w:t>1</w:t>
            </w:r>
          </w:p>
        </w:tc>
        <w:tc>
          <w:tcPr>
            <w:tcW w:w="1075" w:type="dxa"/>
            <w:vAlign w:val="center"/>
          </w:tcPr>
          <w:p w14:paraId="24856446" w14:textId="77777777" w:rsidR="00241417" w:rsidRPr="00EC655B" w:rsidRDefault="00241417" w:rsidP="003A71DE">
            <w:pPr>
              <w:pStyle w:val="TAC"/>
              <w:rPr>
                <w:lang w:eastAsia="zh-CN"/>
              </w:rPr>
            </w:pPr>
            <w:r w:rsidRPr="00EC655B">
              <w:rPr>
                <w:lang w:eastAsia="zh-CN"/>
              </w:rPr>
              <w:t>2</w:t>
            </w:r>
          </w:p>
        </w:tc>
        <w:tc>
          <w:tcPr>
            <w:tcW w:w="2515" w:type="dxa"/>
            <w:vAlign w:val="center"/>
          </w:tcPr>
          <w:p w14:paraId="2C64A7F9" w14:textId="77777777" w:rsidR="00241417" w:rsidRPr="00EC655B" w:rsidRDefault="00241417" w:rsidP="003A71DE">
            <w:pPr>
              <w:pStyle w:val="TAC"/>
            </w:pPr>
            <w:r w:rsidRPr="00EC655B">
              <w:t>TDLC-300-100</w:t>
            </w:r>
            <w:r w:rsidRPr="00EC655B">
              <w:rPr>
                <w:lang w:eastAsia="zh-CN"/>
              </w:rPr>
              <w:t xml:space="preserve"> Low</w:t>
            </w:r>
          </w:p>
        </w:tc>
        <w:tc>
          <w:tcPr>
            <w:tcW w:w="2075" w:type="dxa"/>
            <w:shd w:val="clear" w:color="auto" w:fill="auto"/>
            <w:vAlign w:val="center"/>
          </w:tcPr>
          <w:p w14:paraId="2C8CCD6E" w14:textId="77777777" w:rsidR="00241417" w:rsidRPr="00EC655B" w:rsidRDefault="00241417" w:rsidP="003A71DE">
            <w:pPr>
              <w:pStyle w:val="TAC"/>
              <w:rPr>
                <w:lang w:eastAsia="zh-CN"/>
              </w:rPr>
            </w:pPr>
            <w:r w:rsidRPr="00EC655B">
              <w:rPr>
                <w:lang w:eastAsia="zh-CN"/>
              </w:rPr>
              <w:t>-6.3</w:t>
            </w:r>
          </w:p>
        </w:tc>
      </w:tr>
    </w:tbl>
    <w:p w14:paraId="2EB3B307" w14:textId="77777777" w:rsidR="00241417" w:rsidRDefault="00241417" w:rsidP="00241417"/>
    <w:p w14:paraId="3EE7E0CB" w14:textId="77777777" w:rsidR="00241417" w:rsidRDefault="00241417" w:rsidP="00241417">
      <w:pPr>
        <w:pStyle w:val="H6"/>
      </w:pPr>
      <w:r>
        <w:t>8</w:t>
      </w:r>
      <w:r w:rsidRPr="00D57F98">
        <w:t>.</w:t>
      </w:r>
      <w:r>
        <w:t>1</w:t>
      </w:r>
      <w:r w:rsidRPr="00D57F98">
        <w:t>.</w:t>
      </w:r>
      <w:r>
        <w:t>3</w:t>
      </w:r>
      <w:r w:rsidRPr="00D57F98">
        <w:t>.</w:t>
      </w:r>
      <w:r>
        <w:t>7</w:t>
      </w:r>
      <w:r w:rsidRPr="00D57F98">
        <w:t>.</w:t>
      </w:r>
      <w:r>
        <w:t>2</w:t>
      </w:r>
      <w:r w:rsidRPr="00D57F98">
        <w:t>.</w:t>
      </w:r>
      <w:r>
        <w:t>2</w:t>
      </w:r>
      <w:r>
        <w:tab/>
        <w:t>ACK missed detection requirements</w:t>
      </w:r>
    </w:p>
    <w:p w14:paraId="60A7B000" w14:textId="77777777" w:rsidR="00241417" w:rsidRDefault="00241417" w:rsidP="00241417">
      <w:pPr>
        <w:pStyle w:val="H6"/>
      </w:pPr>
      <w:r>
        <w:t>8</w:t>
      </w:r>
      <w:r w:rsidRPr="00D57F98">
        <w:t>.</w:t>
      </w:r>
      <w:r>
        <w:t>1</w:t>
      </w:r>
      <w:r w:rsidRPr="00D57F98">
        <w:t>.</w:t>
      </w:r>
      <w:r>
        <w:t>3</w:t>
      </w:r>
      <w:r w:rsidRPr="00D57F98">
        <w:t>.</w:t>
      </w:r>
      <w:r>
        <w:t>7</w:t>
      </w:r>
      <w:r w:rsidRPr="00D57F98">
        <w:t>.</w:t>
      </w:r>
      <w:r>
        <w:t>2</w:t>
      </w:r>
      <w:r w:rsidRPr="00D57F98">
        <w:t>.</w:t>
      </w:r>
      <w:r>
        <w:t>2.1</w:t>
      </w:r>
      <w:r>
        <w:tab/>
        <w:t>General</w:t>
      </w:r>
    </w:p>
    <w:p w14:paraId="1C17CB31" w14:textId="77777777" w:rsidR="00241417" w:rsidRPr="00BC073A" w:rsidRDefault="00241417" w:rsidP="00241417">
      <w:pPr>
        <w:rPr>
          <w:lang w:eastAsia="zh-CN"/>
        </w:rPr>
      </w:pPr>
      <w:r w:rsidRPr="00BC073A">
        <w:t>The ACK missed detection probability is the probability of not detecting an ACK when an ACK was sent.</w:t>
      </w:r>
      <w:r w:rsidRPr="00BC073A">
        <w:rPr>
          <w:lang w:eastAsia="zh-CN"/>
        </w:rPr>
        <w:t xml:space="preserve"> The test parameters in </w:t>
      </w:r>
      <w:r w:rsidRPr="00BC073A">
        <w:t>table 8.</w:t>
      </w:r>
      <w:r>
        <w:t>2.</w:t>
      </w:r>
      <w:r w:rsidRPr="00BC073A">
        <w:t xml:space="preserve">3.7.2.1.1-1 </w:t>
      </w:r>
      <w:r w:rsidRPr="00BC073A">
        <w:rPr>
          <w:lang w:eastAsia="zh-CN"/>
        </w:rPr>
        <w:t>are configured.</w:t>
      </w:r>
    </w:p>
    <w:p w14:paraId="57DACC73" w14:textId="77777777" w:rsidR="00241417" w:rsidRDefault="00241417" w:rsidP="00241417">
      <w:pPr>
        <w:pStyle w:val="H6"/>
      </w:pPr>
      <w:r>
        <w:t>8</w:t>
      </w:r>
      <w:r w:rsidRPr="00D57F98">
        <w:t>.</w:t>
      </w:r>
      <w:r>
        <w:t>1</w:t>
      </w:r>
      <w:r w:rsidRPr="00D57F98">
        <w:t>.</w:t>
      </w:r>
      <w:r>
        <w:t>3</w:t>
      </w:r>
      <w:r w:rsidRPr="00D57F98">
        <w:t>.</w:t>
      </w:r>
      <w:r>
        <w:t>7</w:t>
      </w:r>
      <w:r w:rsidRPr="00D57F98">
        <w:t>.</w:t>
      </w:r>
      <w:r>
        <w:t>2</w:t>
      </w:r>
      <w:r w:rsidRPr="00D57F98">
        <w:t>.</w:t>
      </w:r>
      <w:r>
        <w:t>2.2</w:t>
      </w:r>
      <w:r>
        <w:tab/>
        <w:t>Minimum requirements</w:t>
      </w:r>
    </w:p>
    <w:p w14:paraId="7FE233B6" w14:textId="77777777" w:rsidR="00241417" w:rsidRPr="00794D3B" w:rsidRDefault="00241417" w:rsidP="00241417">
      <w:pPr>
        <w:rPr>
          <w:lang w:eastAsia="zh-CN"/>
        </w:rPr>
      </w:pPr>
      <w:r w:rsidRPr="00794D3B">
        <w:t>The multi-slot ACK missed detection probability shall not exceed 1% at the SNR given in table 8.</w:t>
      </w:r>
      <w:r>
        <w:t>2.</w:t>
      </w:r>
      <w:r w:rsidRPr="00794D3B">
        <w:t>3.7.2.2.2-1.</w:t>
      </w:r>
    </w:p>
    <w:p w14:paraId="23E6C874" w14:textId="77777777" w:rsidR="00241417" w:rsidRPr="00794D3B" w:rsidRDefault="00241417" w:rsidP="00241417">
      <w:pPr>
        <w:pStyle w:val="TH"/>
      </w:pPr>
      <w:r w:rsidRPr="00794D3B">
        <w:t>Table 8.</w:t>
      </w:r>
      <w:r>
        <w:t>1.</w:t>
      </w:r>
      <w:r w:rsidRPr="00794D3B">
        <w:t>3.7.2.2.2-1: Minimum requirements for multi-slot PUCCH format 1 with 30kHz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1075"/>
        <w:gridCol w:w="2515"/>
        <w:gridCol w:w="2075"/>
      </w:tblGrid>
      <w:tr w:rsidR="00241417" w:rsidRPr="00794D3B" w14:paraId="23D6F3BD" w14:textId="77777777" w:rsidTr="003A71DE">
        <w:trPr>
          <w:cantSplit/>
          <w:jc w:val="center"/>
        </w:trPr>
        <w:tc>
          <w:tcPr>
            <w:tcW w:w="1080" w:type="dxa"/>
            <w:vMerge w:val="restart"/>
            <w:vAlign w:val="center"/>
          </w:tcPr>
          <w:p w14:paraId="67A4BD04" w14:textId="77777777" w:rsidR="00241417" w:rsidRPr="00794D3B" w:rsidRDefault="00241417" w:rsidP="003A71DE">
            <w:pPr>
              <w:pStyle w:val="TAH"/>
              <w:rPr>
                <w:lang w:eastAsia="zh-CN"/>
              </w:rPr>
            </w:pPr>
            <w:r w:rsidRPr="00794D3B">
              <w:t xml:space="preserve">Number of </w:t>
            </w:r>
            <w:r w:rsidRPr="00794D3B">
              <w:rPr>
                <w:lang w:eastAsia="zh-CN"/>
              </w:rPr>
              <w:t>T</w:t>
            </w:r>
            <w:r w:rsidRPr="00794D3B">
              <w:t>X</w:t>
            </w:r>
            <w:r>
              <w:t xml:space="preserve"> </w:t>
            </w:r>
            <w:r w:rsidRPr="00794D3B">
              <w:t>antennas</w:t>
            </w:r>
          </w:p>
        </w:tc>
        <w:tc>
          <w:tcPr>
            <w:tcW w:w="1075" w:type="dxa"/>
            <w:vMerge w:val="restart"/>
            <w:vAlign w:val="center"/>
          </w:tcPr>
          <w:p w14:paraId="35F4291B" w14:textId="77777777" w:rsidR="00241417" w:rsidRPr="00794D3B" w:rsidRDefault="00241417" w:rsidP="003A71DE">
            <w:pPr>
              <w:pStyle w:val="TAH"/>
              <w:rPr>
                <w:lang w:eastAsia="zh-CN"/>
              </w:rPr>
            </w:pPr>
            <w:r w:rsidRPr="00794D3B">
              <w:t>Number</w:t>
            </w:r>
            <w:r w:rsidRPr="00794D3B">
              <w:rPr>
                <w:lang w:eastAsia="zh-CN"/>
              </w:rPr>
              <w:t xml:space="preserve"> of RX</w:t>
            </w:r>
            <w:r>
              <w:rPr>
                <w:lang w:eastAsia="zh-CN"/>
              </w:rPr>
              <w:t xml:space="preserve"> </w:t>
            </w:r>
            <w:r w:rsidRPr="00794D3B">
              <w:rPr>
                <w:lang w:eastAsia="zh-CN"/>
              </w:rPr>
              <w:t>antennas</w:t>
            </w:r>
          </w:p>
        </w:tc>
        <w:tc>
          <w:tcPr>
            <w:tcW w:w="2515" w:type="dxa"/>
            <w:vMerge w:val="restart"/>
            <w:vAlign w:val="center"/>
          </w:tcPr>
          <w:p w14:paraId="72D9C4CD" w14:textId="5E570FB5" w:rsidR="00241417" w:rsidRPr="00794D3B" w:rsidRDefault="00241417" w:rsidP="003A71DE">
            <w:pPr>
              <w:pStyle w:val="TAH"/>
            </w:pPr>
            <w:r w:rsidRPr="00794D3B">
              <w:rPr>
                <w:lang w:val="fr-FR"/>
              </w:rPr>
              <w:t>Propagation conditions</w:t>
            </w:r>
            <w:r w:rsidRPr="00794D3B">
              <w:t xml:space="preserve"> and correlation matrix</w:t>
            </w:r>
            <w:r>
              <w:t xml:space="preserve"> </w:t>
            </w:r>
            <w:r w:rsidRPr="00794D3B">
              <w:t xml:space="preserve">(Annex </w:t>
            </w:r>
            <w:r>
              <w:t>TBA</w:t>
            </w:r>
            <w:r w:rsidRPr="00794D3B">
              <w:t>)</w:t>
            </w:r>
          </w:p>
        </w:tc>
        <w:tc>
          <w:tcPr>
            <w:tcW w:w="2075" w:type="dxa"/>
            <w:shd w:val="clear" w:color="auto" w:fill="auto"/>
          </w:tcPr>
          <w:p w14:paraId="275FDE11" w14:textId="77777777" w:rsidR="00241417" w:rsidRPr="00794D3B" w:rsidRDefault="00241417" w:rsidP="003A71DE">
            <w:pPr>
              <w:pStyle w:val="TAH"/>
              <w:rPr>
                <w:lang w:eastAsia="zh-CN"/>
              </w:rPr>
            </w:pPr>
            <w:r w:rsidRPr="00794D3B">
              <w:t>Channel bandwidth  / SNR (dB)</w:t>
            </w:r>
          </w:p>
        </w:tc>
      </w:tr>
      <w:tr w:rsidR="00241417" w:rsidRPr="00794D3B" w14:paraId="0590571A" w14:textId="77777777" w:rsidTr="003A71DE">
        <w:trPr>
          <w:cantSplit/>
          <w:jc w:val="center"/>
        </w:trPr>
        <w:tc>
          <w:tcPr>
            <w:tcW w:w="1080" w:type="dxa"/>
            <w:vMerge/>
            <w:vAlign w:val="center"/>
          </w:tcPr>
          <w:p w14:paraId="08517108" w14:textId="77777777" w:rsidR="00241417" w:rsidRPr="00794D3B" w:rsidRDefault="00241417" w:rsidP="003A71DE">
            <w:pPr>
              <w:pStyle w:val="TAH"/>
              <w:rPr>
                <w:lang w:eastAsia="zh-CN"/>
              </w:rPr>
            </w:pPr>
          </w:p>
        </w:tc>
        <w:tc>
          <w:tcPr>
            <w:tcW w:w="1075" w:type="dxa"/>
            <w:vMerge/>
            <w:vAlign w:val="center"/>
          </w:tcPr>
          <w:p w14:paraId="3769EB71" w14:textId="77777777" w:rsidR="00241417" w:rsidRPr="00794D3B" w:rsidRDefault="00241417" w:rsidP="003A71DE">
            <w:pPr>
              <w:pStyle w:val="TAH"/>
              <w:rPr>
                <w:lang w:eastAsia="zh-CN"/>
              </w:rPr>
            </w:pPr>
          </w:p>
        </w:tc>
        <w:tc>
          <w:tcPr>
            <w:tcW w:w="2515" w:type="dxa"/>
            <w:vMerge/>
            <w:vAlign w:val="center"/>
          </w:tcPr>
          <w:p w14:paraId="757A15FB" w14:textId="77777777" w:rsidR="00241417" w:rsidRPr="00794D3B" w:rsidRDefault="00241417" w:rsidP="003A71DE">
            <w:pPr>
              <w:pStyle w:val="TAH"/>
            </w:pPr>
          </w:p>
        </w:tc>
        <w:tc>
          <w:tcPr>
            <w:tcW w:w="2075" w:type="dxa"/>
            <w:shd w:val="clear" w:color="auto" w:fill="auto"/>
            <w:vAlign w:val="center"/>
          </w:tcPr>
          <w:p w14:paraId="67AA2668" w14:textId="77777777" w:rsidR="00241417" w:rsidRPr="00794D3B" w:rsidRDefault="00241417" w:rsidP="003A71DE">
            <w:pPr>
              <w:pStyle w:val="TAH"/>
              <w:rPr>
                <w:lang w:eastAsia="zh-CN"/>
              </w:rPr>
            </w:pPr>
            <w:r w:rsidRPr="00794D3B">
              <w:t>40 MHz</w:t>
            </w:r>
          </w:p>
        </w:tc>
      </w:tr>
      <w:tr w:rsidR="00241417" w:rsidRPr="00794D3B" w14:paraId="5A08A164" w14:textId="77777777" w:rsidTr="003A71DE">
        <w:trPr>
          <w:cantSplit/>
          <w:jc w:val="center"/>
        </w:trPr>
        <w:tc>
          <w:tcPr>
            <w:tcW w:w="1080" w:type="dxa"/>
            <w:vAlign w:val="center"/>
          </w:tcPr>
          <w:p w14:paraId="0D6A2277" w14:textId="77777777" w:rsidR="00241417" w:rsidRPr="00794D3B" w:rsidRDefault="00241417" w:rsidP="003A71DE">
            <w:pPr>
              <w:pStyle w:val="TAC"/>
              <w:rPr>
                <w:lang w:eastAsia="zh-CN"/>
              </w:rPr>
            </w:pPr>
            <w:r w:rsidRPr="00794D3B">
              <w:rPr>
                <w:lang w:eastAsia="zh-CN"/>
              </w:rPr>
              <w:t>1</w:t>
            </w:r>
          </w:p>
        </w:tc>
        <w:tc>
          <w:tcPr>
            <w:tcW w:w="1075" w:type="dxa"/>
            <w:vAlign w:val="center"/>
          </w:tcPr>
          <w:p w14:paraId="3BB8F48A" w14:textId="77777777" w:rsidR="00241417" w:rsidRPr="00794D3B" w:rsidRDefault="00241417" w:rsidP="003A71DE">
            <w:pPr>
              <w:pStyle w:val="TAC"/>
              <w:rPr>
                <w:lang w:eastAsia="zh-CN"/>
              </w:rPr>
            </w:pPr>
            <w:r w:rsidRPr="00794D3B">
              <w:rPr>
                <w:lang w:eastAsia="zh-CN"/>
              </w:rPr>
              <w:t>2</w:t>
            </w:r>
          </w:p>
        </w:tc>
        <w:tc>
          <w:tcPr>
            <w:tcW w:w="2515" w:type="dxa"/>
            <w:vAlign w:val="center"/>
          </w:tcPr>
          <w:p w14:paraId="418A2CA5" w14:textId="77777777" w:rsidR="00241417" w:rsidRPr="00794D3B" w:rsidRDefault="00241417" w:rsidP="003A71DE">
            <w:pPr>
              <w:pStyle w:val="TAC"/>
            </w:pPr>
            <w:r w:rsidRPr="00794D3B">
              <w:t>TDLC-300-100</w:t>
            </w:r>
            <w:r w:rsidRPr="00794D3B">
              <w:rPr>
                <w:lang w:eastAsia="zh-CN"/>
              </w:rPr>
              <w:t xml:space="preserve"> Low</w:t>
            </w:r>
          </w:p>
        </w:tc>
        <w:tc>
          <w:tcPr>
            <w:tcW w:w="2075" w:type="dxa"/>
            <w:shd w:val="clear" w:color="auto" w:fill="auto"/>
            <w:vAlign w:val="center"/>
          </w:tcPr>
          <w:p w14:paraId="6CDF9FF6" w14:textId="77777777" w:rsidR="00241417" w:rsidRPr="00794D3B" w:rsidRDefault="00241417" w:rsidP="003A71DE">
            <w:pPr>
              <w:pStyle w:val="TAC"/>
              <w:rPr>
                <w:lang w:eastAsia="zh-CN"/>
              </w:rPr>
            </w:pPr>
            <w:r w:rsidRPr="00794D3B">
              <w:rPr>
                <w:lang w:eastAsia="zh-CN"/>
              </w:rPr>
              <w:t>-7.6</w:t>
            </w:r>
          </w:p>
        </w:tc>
      </w:tr>
    </w:tbl>
    <w:p w14:paraId="18247171" w14:textId="77777777" w:rsidR="00241417" w:rsidRDefault="00241417" w:rsidP="00241417"/>
    <w:p w14:paraId="4920B60C" w14:textId="77777777" w:rsidR="00241417" w:rsidRPr="00DD4DE9" w:rsidRDefault="00241417" w:rsidP="00241417">
      <w:pPr>
        <w:pStyle w:val="Heading3"/>
      </w:pPr>
      <w:bookmarkStart w:id="3701" w:name="_Toc74583273"/>
      <w:bookmarkStart w:id="3702" w:name="_Toc76542086"/>
      <w:bookmarkStart w:id="3703" w:name="_Toc82450068"/>
      <w:bookmarkStart w:id="3704" w:name="_Toc82450716"/>
      <w:bookmarkStart w:id="3705" w:name="_Toc89949105"/>
      <w:bookmarkStart w:id="3706" w:name="_Toc98755494"/>
      <w:bookmarkStart w:id="3707" w:name="_Toc98763085"/>
      <w:bookmarkStart w:id="3708" w:name="_Toc106184014"/>
      <w:r>
        <w:t>8</w:t>
      </w:r>
      <w:r w:rsidRPr="00DD4DE9">
        <w:t>.</w:t>
      </w:r>
      <w:r>
        <w:t>1</w:t>
      </w:r>
      <w:r w:rsidRPr="00DD4DE9">
        <w:t>.</w:t>
      </w:r>
      <w:r>
        <w:t>4</w:t>
      </w:r>
      <w:r w:rsidRPr="00DD4DE9">
        <w:tab/>
      </w:r>
      <w:r>
        <w:t>Performance requirements for PRACH</w:t>
      </w:r>
      <w:bookmarkEnd w:id="3701"/>
      <w:bookmarkEnd w:id="3702"/>
      <w:bookmarkEnd w:id="3703"/>
      <w:bookmarkEnd w:id="3704"/>
      <w:bookmarkEnd w:id="3705"/>
      <w:bookmarkEnd w:id="3706"/>
      <w:bookmarkEnd w:id="3707"/>
      <w:bookmarkEnd w:id="3708"/>
      <w:r w:rsidRPr="00DD4DE9">
        <w:t xml:space="preserve"> </w:t>
      </w:r>
    </w:p>
    <w:p w14:paraId="06F4B478" w14:textId="77777777" w:rsidR="00241417" w:rsidRDefault="00241417" w:rsidP="00241417">
      <w:pPr>
        <w:pStyle w:val="Heading4"/>
        <w:rPr>
          <w:rFonts w:eastAsia="Malgun Gothic"/>
        </w:rPr>
      </w:pPr>
      <w:bookmarkStart w:id="3709" w:name="_Toc74583274"/>
      <w:bookmarkStart w:id="3710" w:name="_Toc76542087"/>
      <w:bookmarkStart w:id="3711" w:name="_Toc82450069"/>
      <w:bookmarkStart w:id="3712" w:name="_Toc82450717"/>
      <w:bookmarkStart w:id="3713" w:name="_Toc89949106"/>
      <w:bookmarkStart w:id="3714" w:name="_Toc98755495"/>
      <w:bookmarkStart w:id="3715" w:name="_Toc98763086"/>
      <w:bookmarkStart w:id="3716" w:name="_Toc106184015"/>
      <w:r w:rsidRPr="00B454A0">
        <w:rPr>
          <w:rFonts w:eastAsia="Malgun Gothic"/>
        </w:rPr>
        <w:t>8.</w:t>
      </w:r>
      <w:r>
        <w:rPr>
          <w:rFonts w:eastAsia="Malgun Gothic"/>
        </w:rPr>
        <w:t>1</w:t>
      </w:r>
      <w:r w:rsidRPr="00B454A0">
        <w:rPr>
          <w:rFonts w:eastAsia="Malgun Gothic"/>
        </w:rPr>
        <w:t>.</w:t>
      </w:r>
      <w:r>
        <w:rPr>
          <w:rFonts w:eastAsia="Malgun Gothic"/>
        </w:rPr>
        <w:t>4</w:t>
      </w:r>
      <w:r w:rsidRPr="00B454A0">
        <w:rPr>
          <w:rFonts w:eastAsia="Malgun Gothic"/>
        </w:rPr>
        <w:t>.1</w:t>
      </w:r>
      <w:r w:rsidRPr="00B454A0">
        <w:rPr>
          <w:rFonts w:eastAsia="Malgun Gothic"/>
        </w:rPr>
        <w:tab/>
      </w:r>
      <w:r>
        <w:rPr>
          <w:rFonts w:eastAsia="Malgun Gothic"/>
        </w:rPr>
        <w:t>PRACH false alarm probability</w:t>
      </w:r>
      <w:bookmarkEnd w:id="3709"/>
      <w:bookmarkEnd w:id="3710"/>
      <w:bookmarkEnd w:id="3711"/>
      <w:bookmarkEnd w:id="3712"/>
      <w:bookmarkEnd w:id="3713"/>
      <w:bookmarkEnd w:id="3714"/>
      <w:bookmarkEnd w:id="3715"/>
      <w:bookmarkEnd w:id="3716"/>
    </w:p>
    <w:p w14:paraId="74BC055B" w14:textId="77777777" w:rsidR="00241417" w:rsidRDefault="00241417" w:rsidP="00241417">
      <w:pPr>
        <w:pStyle w:val="Heading5"/>
      </w:pPr>
      <w:bookmarkStart w:id="3717" w:name="_Toc74583275"/>
      <w:bookmarkStart w:id="3718" w:name="_Toc76542088"/>
      <w:bookmarkStart w:id="3719" w:name="_Toc82450070"/>
      <w:bookmarkStart w:id="3720" w:name="_Toc82450718"/>
      <w:bookmarkStart w:id="3721" w:name="_Toc89949107"/>
      <w:bookmarkStart w:id="3722" w:name="_Toc98755496"/>
      <w:bookmarkStart w:id="3723" w:name="_Toc98763087"/>
      <w:bookmarkStart w:id="3724" w:name="_Toc106184016"/>
      <w:r>
        <w:t>8</w:t>
      </w:r>
      <w:r w:rsidRPr="00EE4A40">
        <w:t>.</w:t>
      </w:r>
      <w:r>
        <w:t>1</w:t>
      </w:r>
      <w:r w:rsidRPr="00EE4A40">
        <w:t>.</w:t>
      </w:r>
      <w:r>
        <w:t>4</w:t>
      </w:r>
      <w:r w:rsidRPr="00EE4A40">
        <w:t>.</w:t>
      </w:r>
      <w:r>
        <w:t>1</w:t>
      </w:r>
      <w:r w:rsidRPr="00EE4A40">
        <w:t>.</w:t>
      </w:r>
      <w:r>
        <w:t>1</w:t>
      </w:r>
      <w:r>
        <w:tab/>
        <w:t>General</w:t>
      </w:r>
      <w:bookmarkEnd w:id="3717"/>
      <w:bookmarkEnd w:id="3718"/>
      <w:bookmarkEnd w:id="3719"/>
      <w:bookmarkEnd w:id="3720"/>
      <w:bookmarkEnd w:id="3721"/>
      <w:bookmarkEnd w:id="3722"/>
      <w:bookmarkEnd w:id="3723"/>
      <w:bookmarkEnd w:id="3724"/>
    </w:p>
    <w:p w14:paraId="6C2662E0" w14:textId="77777777" w:rsidR="00241417" w:rsidRPr="005C062C" w:rsidRDefault="00241417" w:rsidP="00241417">
      <w:r w:rsidRPr="005C062C">
        <w:t>The false alarm requirement is valid for any number of receive antennas, for any channel bandwidth.</w:t>
      </w:r>
    </w:p>
    <w:p w14:paraId="17AC1E18" w14:textId="77777777" w:rsidR="00241417" w:rsidRPr="005C062C" w:rsidRDefault="00241417" w:rsidP="00241417">
      <w:r w:rsidRPr="005C062C">
        <w:t>The false alarm probability is the conditional total probability of erroneous detection of the preamble (i.e. erroneous detection from any detector) when input is only noise.</w:t>
      </w:r>
    </w:p>
    <w:p w14:paraId="410B35CB" w14:textId="77777777" w:rsidR="00241417" w:rsidRDefault="00241417" w:rsidP="00241417">
      <w:pPr>
        <w:pStyle w:val="Heading5"/>
      </w:pPr>
      <w:bookmarkStart w:id="3725" w:name="_Toc74583276"/>
      <w:bookmarkStart w:id="3726" w:name="_Toc76542089"/>
      <w:bookmarkStart w:id="3727" w:name="_Toc82450071"/>
      <w:bookmarkStart w:id="3728" w:name="_Toc82450719"/>
      <w:bookmarkStart w:id="3729" w:name="_Toc89949108"/>
      <w:bookmarkStart w:id="3730" w:name="_Toc98755497"/>
      <w:bookmarkStart w:id="3731" w:name="_Toc98763088"/>
      <w:bookmarkStart w:id="3732" w:name="_Toc106184017"/>
      <w:r>
        <w:t>8</w:t>
      </w:r>
      <w:r w:rsidRPr="00EE4A40">
        <w:t>.</w:t>
      </w:r>
      <w:r>
        <w:t>1</w:t>
      </w:r>
      <w:r w:rsidRPr="00EE4A40">
        <w:t>.</w:t>
      </w:r>
      <w:r>
        <w:t>4</w:t>
      </w:r>
      <w:r w:rsidRPr="00EE4A40">
        <w:t>.</w:t>
      </w:r>
      <w:r>
        <w:t>1</w:t>
      </w:r>
      <w:r w:rsidRPr="00EE4A40">
        <w:t>.</w:t>
      </w:r>
      <w:r>
        <w:t>2</w:t>
      </w:r>
      <w:r>
        <w:tab/>
        <w:t>Minimum requirement</w:t>
      </w:r>
      <w:bookmarkEnd w:id="3725"/>
      <w:bookmarkEnd w:id="3726"/>
      <w:bookmarkEnd w:id="3727"/>
      <w:bookmarkEnd w:id="3728"/>
      <w:bookmarkEnd w:id="3729"/>
      <w:bookmarkEnd w:id="3730"/>
      <w:bookmarkEnd w:id="3731"/>
      <w:bookmarkEnd w:id="3732"/>
    </w:p>
    <w:p w14:paraId="661B73A0" w14:textId="77777777" w:rsidR="00241417" w:rsidRDefault="00241417" w:rsidP="00241417">
      <w:r w:rsidRPr="004C51A4">
        <w:t>The false alarm probability shall be less than or equal to 0.1%.</w:t>
      </w:r>
    </w:p>
    <w:p w14:paraId="462FBAE2" w14:textId="77777777" w:rsidR="00241417" w:rsidRDefault="00241417" w:rsidP="00241417">
      <w:pPr>
        <w:pStyle w:val="Heading4"/>
        <w:rPr>
          <w:rFonts w:eastAsia="Malgun Gothic"/>
        </w:rPr>
      </w:pPr>
      <w:bookmarkStart w:id="3733" w:name="_Toc74583277"/>
      <w:bookmarkStart w:id="3734" w:name="_Toc76542090"/>
      <w:bookmarkStart w:id="3735" w:name="_Toc82450072"/>
      <w:bookmarkStart w:id="3736" w:name="_Toc82450720"/>
      <w:bookmarkStart w:id="3737" w:name="_Toc89949109"/>
      <w:bookmarkStart w:id="3738" w:name="_Toc98755498"/>
      <w:bookmarkStart w:id="3739" w:name="_Toc98763089"/>
      <w:bookmarkStart w:id="3740" w:name="_Toc106184018"/>
      <w:r w:rsidRPr="00B454A0">
        <w:rPr>
          <w:rFonts w:eastAsia="Malgun Gothic"/>
        </w:rPr>
        <w:lastRenderedPageBreak/>
        <w:t>8.</w:t>
      </w:r>
      <w:r>
        <w:rPr>
          <w:rFonts w:eastAsia="Malgun Gothic"/>
        </w:rPr>
        <w:t>1</w:t>
      </w:r>
      <w:r w:rsidRPr="00B454A0">
        <w:rPr>
          <w:rFonts w:eastAsia="Malgun Gothic"/>
        </w:rPr>
        <w:t>.</w:t>
      </w:r>
      <w:r>
        <w:rPr>
          <w:rFonts w:eastAsia="Malgun Gothic"/>
        </w:rPr>
        <w:t>4</w:t>
      </w:r>
      <w:r w:rsidRPr="00B454A0">
        <w:rPr>
          <w:rFonts w:eastAsia="Malgun Gothic"/>
        </w:rPr>
        <w:t>.</w:t>
      </w:r>
      <w:r>
        <w:rPr>
          <w:rFonts w:eastAsia="Malgun Gothic"/>
        </w:rPr>
        <w:t>2</w:t>
      </w:r>
      <w:r w:rsidRPr="00B454A0">
        <w:rPr>
          <w:rFonts w:eastAsia="Malgun Gothic"/>
        </w:rPr>
        <w:tab/>
      </w:r>
      <w:r>
        <w:rPr>
          <w:rFonts w:eastAsia="Malgun Gothic"/>
        </w:rPr>
        <w:t>PRACH detection requirements</w:t>
      </w:r>
      <w:bookmarkEnd w:id="3733"/>
      <w:bookmarkEnd w:id="3734"/>
      <w:bookmarkEnd w:id="3735"/>
      <w:bookmarkEnd w:id="3736"/>
      <w:bookmarkEnd w:id="3737"/>
      <w:bookmarkEnd w:id="3738"/>
      <w:bookmarkEnd w:id="3739"/>
      <w:bookmarkEnd w:id="3740"/>
    </w:p>
    <w:p w14:paraId="30215050" w14:textId="77777777" w:rsidR="00241417" w:rsidRDefault="00241417" w:rsidP="00241417">
      <w:pPr>
        <w:pStyle w:val="Heading5"/>
      </w:pPr>
      <w:bookmarkStart w:id="3741" w:name="_Toc74583278"/>
      <w:bookmarkStart w:id="3742" w:name="_Toc76542091"/>
      <w:bookmarkStart w:id="3743" w:name="_Toc82450073"/>
      <w:bookmarkStart w:id="3744" w:name="_Toc82450721"/>
      <w:bookmarkStart w:id="3745" w:name="_Toc89949110"/>
      <w:bookmarkStart w:id="3746" w:name="_Toc98755499"/>
      <w:bookmarkStart w:id="3747" w:name="_Toc98763090"/>
      <w:bookmarkStart w:id="3748" w:name="_Toc106184019"/>
      <w:r>
        <w:t>8</w:t>
      </w:r>
      <w:r w:rsidRPr="00EE4A40">
        <w:t>.</w:t>
      </w:r>
      <w:r>
        <w:t>1</w:t>
      </w:r>
      <w:r w:rsidRPr="00EE4A40">
        <w:t>.</w:t>
      </w:r>
      <w:r>
        <w:t>4</w:t>
      </w:r>
      <w:r w:rsidRPr="00EE4A40">
        <w:t>.</w:t>
      </w:r>
      <w:r>
        <w:t>2</w:t>
      </w:r>
      <w:r w:rsidRPr="00EE4A40">
        <w:t>.</w:t>
      </w:r>
      <w:r>
        <w:t>1</w:t>
      </w:r>
      <w:r>
        <w:tab/>
        <w:t>General</w:t>
      </w:r>
      <w:bookmarkEnd w:id="3741"/>
      <w:bookmarkEnd w:id="3742"/>
      <w:bookmarkEnd w:id="3743"/>
      <w:bookmarkEnd w:id="3744"/>
      <w:bookmarkEnd w:id="3745"/>
      <w:bookmarkEnd w:id="3746"/>
      <w:bookmarkEnd w:id="3747"/>
      <w:bookmarkEnd w:id="3748"/>
    </w:p>
    <w:p w14:paraId="0912C93C" w14:textId="77777777" w:rsidR="00241417" w:rsidRPr="004360EC" w:rsidRDefault="00241417" w:rsidP="00241417">
      <w:pPr>
        <w:rPr>
          <w:rFonts w:eastAsia="?c?e?o“A‘??S?V?b?N‘I" w:cs="v4.2.0"/>
        </w:rPr>
      </w:pPr>
      <w:r w:rsidRPr="004360EC">
        <w:t xml:space="preserve">The probability of detection is the conditional probability of correct detection of the preamble when the signal is present. There are several error cases – detecting different preamble than the one that was sent, not detecting a preamble at all or correct preamble detection but with the wrong timing estimation. </w:t>
      </w:r>
      <w:r>
        <w:rPr>
          <w:rFonts w:cs="v4.2.0"/>
          <w:lang w:eastAsia="zh-CN"/>
        </w:rPr>
        <w:t>A</w:t>
      </w:r>
      <w:r w:rsidRPr="004360EC">
        <w:rPr>
          <w:rFonts w:cs="v4.2.0"/>
          <w:lang w:eastAsia="zh-CN"/>
        </w:rPr>
        <w:t xml:space="preserve"> timing </w:t>
      </w:r>
      <w:r w:rsidRPr="004360EC">
        <w:rPr>
          <w:rFonts w:eastAsia="?c?e?o“A‘??S?V?b?N‘I" w:cs="v4.2.0"/>
        </w:rPr>
        <w:t xml:space="preserve">estimation error occurs if the estimation error of the timing of the strongest path is larger than </w:t>
      </w:r>
      <w:r w:rsidRPr="004360EC">
        <w:rPr>
          <w:rFonts w:cs="v4.2.0"/>
          <w:lang w:eastAsia="zh-CN"/>
        </w:rPr>
        <w:t xml:space="preserve">the time error tolerance given in Table </w:t>
      </w:r>
      <w:r w:rsidRPr="004360EC">
        <w:rPr>
          <w:rFonts w:eastAsia="‚c‚e‚o“Á‘¾ƒSƒVƒbƒN‘Ì"/>
        </w:rPr>
        <w:t>8.</w:t>
      </w:r>
      <w:r>
        <w:rPr>
          <w:rFonts w:eastAsia="‚c‚e‚o“Á‘¾ƒSƒVƒbƒN‘Ì"/>
        </w:rPr>
        <w:t>1.</w:t>
      </w:r>
      <w:r w:rsidRPr="004360EC">
        <w:rPr>
          <w:rFonts w:eastAsia="‚c‚e‚o“Á‘¾ƒSƒVƒbƒN‘Ì"/>
        </w:rPr>
        <w:t>4.</w:t>
      </w:r>
      <w:r w:rsidRPr="004360EC">
        <w:rPr>
          <w:lang w:eastAsia="zh-CN"/>
        </w:rPr>
        <w:t>2</w:t>
      </w:r>
      <w:r w:rsidRPr="004360EC">
        <w:rPr>
          <w:rFonts w:eastAsia="‚c‚e‚o“Á‘¾ƒSƒVƒbƒN‘Ì"/>
        </w:rPr>
        <w:t>.</w:t>
      </w:r>
      <w:r w:rsidRPr="004360EC">
        <w:rPr>
          <w:lang w:eastAsia="zh-CN"/>
        </w:rPr>
        <w:t>1</w:t>
      </w:r>
      <w:r w:rsidRPr="004360EC">
        <w:rPr>
          <w:rFonts w:eastAsia="‚c‚e‚o“Á‘¾ƒSƒVƒbƒN‘Ì"/>
        </w:rPr>
        <w:t>-1</w:t>
      </w:r>
      <w:r w:rsidRPr="004360EC">
        <w:rPr>
          <w:rFonts w:eastAsia="?c?e?o“A‘??S?V?b?N‘I" w:cs="v4.2.0"/>
        </w:rPr>
        <w:t>.</w:t>
      </w:r>
    </w:p>
    <w:p w14:paraId="30BEB0CE" w14:textId="77777777" w:rsidR="00241417" w:rsidRPr="004360EC" w:rsidRDefault="00241417" w:rsidP="00241417">
      <w:pPr>
        <w:pStyle w:val="TH"/>
        <w:rPr>
          <w:lang w:eastAsia="zh-CN"/>
        </w:rPr>
      </w:pPr>
      <w:r w:rsidRPr="004360EC">
        <w:rPr>
          <w:rFonts w:eastAsia="‚c‚e‚o“Á‘¾ƒSƒVƒbƒN‘Ì"/>
        </w:rPr>
        <w:t>Table 8.</w:t>
      </w:r>
      <w:r>
        <w:rPr>
          <w:rFonts w:eastAsia="‚c‚e‚o“Á‘¾ƒSƒVƒbƒN‘Ì"/>
        </w:rPr>
        <w:t>1.</w:t>
      </w:r>
      <w:r w:rsidRPr="004360EC">
        <w:rPr>
          <w:rFonts w:eastAsia="‚c‚e‚o“Á‘¾ƒSƒVƒbƒN‘Ì"/>
        </w:rPr>
        <w:t>4.</w:t>
      </w:r>
      <w:r w:rsidRPr="004360EC">
        <w:rPr>
          <w:lang w:eastAsia="zh-CN"/>
        </w:rPr>
        <w:t>2</w:t>
      </w:r>
      <w:r w:rsidRPr="004360EC">
        <w:rPr>
          <w:rFonts w:eastAsia="‚c‚e‚o“Á‘¾ƒSƒVƒbƒN‘Ì"/>
        </w:rPr>
        <w:t>.</w:t>
      </w:r>
      <w:r w:rsidRPr="004360EC">
        <w:rPr>
          <w:lang w:eastAsia="zh-CN"/>
        </w:rPr>
        <w:t>1</w:t>
      </w:r>
      <w:r w:rsidRPr="004360EC">
        <w:rPr>
          <w:rFonts w:eastAsia="‚c‚e‚o“Á‘¾ƒSƒVƒbƒN‘Ì"/>
        </w:rPr>
        <w:t xml:space="preserve">-1: </w:t>
      </w:r>
      <w:r w:rsidRPr="004360EC">
        <w:rPr>
          <w:lang w:eastAsia="zh-CN"/>
        </w:rPr>
        <w:t xml:space="preserve">Time error tolerance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84"/>
        <w:gridCol w:w="1559"/>
        <w:gridCol w:w="1739"/>
      </w:tblGrid>
      <w:tr w:rsidR="00241417" w:rsidRPr="004360EC" w14:paraId="3F3FDDE9" w14:textId="77777777" w:rsidTr="003A71DE">
        <w:trPr>
          <w:cantSplit/>
          <w:trHeight w:val="621"/>
          <w:jc w:val="center"/>
        </w:trPr>
        <w:tc>
          <w:tcPr>
            <w:tcW w:w="1484" w:type="dxa"/>
            <w:vAlign w:val="center"/>
          </w:tcPr>
          <w:p w14:paraId="1E91968B" w14:textId="77777777" w:rsidR="00241417" w:rsidRPr="004360EC" w:rsidRDefault="00241417" w:rsidP="003A71DE">
            <w:pPr>
              <w:pStyle w:val="TAH"/>
              <w:rPr>
                <w:lang w:eastAsia="zh-CN"/>
              </w:rPr>
            </w:pPr>
            <w:r w:rsidRPr="004360EC">
              <w:rPr>
                <w:lang w:eastAsia="zh-CN"/>
              </w:rPr>
              <w:t>PRACH</w:t>
            </w:r>
            <w:r>
              <w:rPr>
                <w:lang w:eastAsia="zh-CN"/>
              </w:rPr>
              <w:t xml:space="preserve"> </w:t>
            </w:r>
            <w:r w:rsidRPr="004360EC">
              <w:rPr>
                <w:lang w:eastAsia="zh-CN"/>
              </w:rPr>
              <w:t>preamble</w:t>
            </w:r>
          </w:p>
        </w:tc>
        <w:tc>
          <w:tcPr>
            <w:tcW w:w="1559" w:type="dxa"/>
            <w:vAlign w:val="center"/>
          </w:tcPr>
          <w:p w14:paraId="524925D1" w14:textId="77777777" w:rsidR="00241417" w:rsidRPr="004360EC" w:rsidRDefault="00241417" w:rsidP="003A71DE">
            <w:pPr>
              <w:pStyle w:val="TAH"/>
              <w:rPr>
                <w:lang w:eastAsia="zh-CN"/>
              </w:rPr>
            </w:pPr>
            <w:r w:rsidRPr="004360EC">
              <w:rPr>
                <w:lang w:eastAsia="zh-CN"/>
              </w:rPr>
              <w:t>PRACH SCS</w:t>
            </w:r>
            <w:r>
              <w:rPr>
                <w:lang w:eastAsia="zh-CN"/>
              </w:rPr>
              <w:t xml:space="preserve"> </w:t>
            </w:r>
            <w:r w:rsidRPr="004360EC">
              <w:rPr>
                <w:lang w:eastAsia="zh-CN"/>
              </w:rPr>
              <w:t>(kHz)</w:t>
            </w:r>
          </w:p>
        </w:tc>
        <w:tc>
          <w:tcPr>
            <w:tcW w:w="1739" w:type="dxa"/>
            <w:vAlign w:val="center"/>
          </w:tcPr>
          <w:p w14:paraId="5B3C9C2A" w14:textId="77777777" w:rsidR="00241417" w:rsidRPr="004360EC" w:rsidRDefault="00241417" w:rsidP="003A71DE">
            <w:pPr>
              <w:pStyle w:val="TAH"/>
              <w:rPr>
                <w:lang w:eastAsia="zh-CN"/>
              </w:rPr>
            </w:pPr>
            <w:r w:rsidRPr="004360EC">
              <w:rPr>
                <w:lang w:eastAsia="zh-CN"/>
              </w:rPr>
              <w:t>Time error tolerance</w:t>
            </w:r>
          </w:p>
        </w:tc>
      </w:tr>
      <w:tr w:rsidR="00241417" w:rsidRPr="004360EC" w14:paraId="659EEF34" w14:textId="77777777" w:rsidTr="003A71DE">
        <w:trPr>
          <w:cantSplit/>
          <w:jc w:val="center"/>
        </w:trPr>
        <w:tc>
          <w:tcPr>
            <w:tcW w:w="1484" w:type="dxa"/>
            <w:tcBorders>
              <w:bottom w:val="single" w:sz="4" w:space="0" w:color="auto"/>
            </w:tcBorders>
            <w:vAlign w:val="center"/>
          </w:tcPr>
          <w:p w14:paraId="103107A4" w14:textId="77777777" w:rsidR="00241417" w:rsidRPr="004360EC" w:rsidRDefault="00241417" w:rsidP="003A71DE">
            <w:pPr>
              <w:pStyle w:val="TAC"/>
              <w:rPr>
                <w:lang w:eastAsia="zh-CN"/>
              </w:rPr>
            </w:pPr>
            <w:r w:rsidRPr="004360EC">
              <w:rPr>
                <w:lang w:eastAsia="zh-CN"/>
              </w:rPr>
              <w:t>0</w:t>
            </w:r>
          </w:p>
        </w:tc>
        <w:tc>
          <w:tcPr>
            <w:tcW w:w="1559" w:type="dxa"/>
            <w:vAlign w:val="center"/>
          </w:tcPr>
          <w:p w14:paraId="43FEE9CE" w14:textId="77777777" w:rsidR="00241417" w:rsidRPr="004360EC" w:rsidRDefault="00241417" w:rsidP="003A71DE">
            <w:pPr>
              <w:pStyle w:val="TAC"/>
              <w:rPr>
                <w:lang w:eastAsia="zh-CN"/>
              </w:rPr>
            </w:pPr>
            <w:r w:rsidRPr="004360EC">
              <w:rPr>
                <w:lang w:eastAsia="zh-CN"/>
              </w:rPr>
              <w:t>1.25</w:t>
            </w:r>
          </w:p>
        </w:tc>
        <w:tc>
          <w:tcPr>
            <w:tcW w:w="1739" w:type="dxa"/>
            <w:vAlign w:val="center"/>
          </w:tcPr>
          <w:p w14:paraId="255C6BC3" w14:textId="77777777" w:rsidR="00241417" w:rsidRPr="004360EC" w:rsidRDefault="00241417" w:rsidP="003A71DE">
            <w:pPr>
              <w:pStyle w:val="TAC"/>
              <w:rPr>
                <w:lang w:eastAsia="zh-CN"/>
              </w:rPr>
            </w:pPr>
            <w:r w:rsidRPr="004360EC">
              <w:rPr>
                <w:lang w:eastAsia="zh-CN"/>
              </w:rPr>
              <w:t>2.55 us</w:t>
            </w:r>
          </w:p>
        </w:tc>
      </w:tr>
      <w:tr w:rsidR="00241417" w:rsidRPr="004360EC" w14:paraId="0C58DCA7" w14:textId="77777777" w:rsidTr="003A71DE">
        <w:trPr>
          <w:cantSplit/>
          <w:jc w:val="center"/>
        </w:trPr>
        <w:tc>
          <w:tcPr>
            <w:tcW w:w="1484" w:type="dxa"/>
            <w:vMerge w:val="restart"/>
            <w:vAlign w:val="center"/>
          </w:tcPr>
          <w:p w14:paraId="1D4B9627" w14:textId="77777777" w:rsidR="00241417" w:rsidRPr="004360EC" w:rsidRDefault="00241417" w:rsidP="003A71DE">
            <w:pPr>
              <w:pStyle w:val="TAC"/>
              <w:rPr>
                <w:lang w:eastAsia="zh-CN"/>
              </w:rPr>
            </w:pPr>
            <w:r w:rsidRPr="004360EC">
              <w:rPr>
                <w:lang w:eastAsia="zh-CN"/>
              </w:rPr>
              <w:t>A1, A2, A3, B4,</w:t>
            </w:r>
            <w:r>
              <w:rPr>
                <w:lang w:eastAsia="zh-CN"/>
              </w:rPr>
              <w:t xml:space="preserve"> </w:t>
            </w:r>
            <w:r w:rsidRPr="004360EC">
              <w:rPr>
                <w:lang w:eastAsia="zh-CN"/>
              </w:rPr>
              <w:t>C0, C2</w:t>
            </w:r>
          </w:p>
        </w:tc>
        <w:tc>
          <w:tcPr>
            <w:tcW w:w="1559" w:type="dxa"/>
            <w:vAlign w:val="center"/>
          </w:tcPr>
          <w:p w14:paraId="77CC1E19" w14:textId="77777777" w:rsidR="00241417" w:rsidRPr="004360EC" w:rsidRDefault="00241417" w:rsidP="003A71DE">
            <w:pPr>
              <w:pStyle w:val="TAC"/>
              <w:rPr>
                <w:lang w:eastAsia="zh-CN"/>
              </w:rPr>
            </w:pPr>
            <w:r w:rsidRPr="004360EC">
              <w:rPr>
                <w:lang w:eastAsia="zh-CN"/>
              </w:rPr>
              <w:t>15</w:t>
            </w:r>
          </w:p>
        </w:tc>
        <w:tc>
          <w:tcPr>
            <w:tcW w:w="1739" w:type="dxa"/>
            <w:vAlign w:val="center"/>
          </w:tcPr>
          <w:p w14:paraId="6CAB8D4E" w14:textId="77777777" w:rsidR="00241417" w:rsidRPr="004360EC" w:rsidRDefault="00241417" w:rsidP="003A71DE">
            <w:pPr>
              <w:pStyle w:val="TAC"/>
              <w:rPr>
                <w:lang w:eastAsia="zh-CN"/>
              </w:rPr>
            </w:pPr>
            <w:r w:rsidRPr="004360EC">
              <w:rPr>
                <w:lang w:eastAsia="zh-CN"/>
              </w:rPr>
              <w:t>2.03 us</w:t>
            </w:r>
          </w:p>
        </w:tc>
      </w:tr>
      <w:tr w:rsidR="00241417" w:rsidRPr="004360EC" w14:paraId="705D1B18" w14:textId="77777777" w:rsidTr="003A71DE">
        <w:trPr>
          <w:cantSplit/>
          <w:trHeight w:val="107"/>
          <w:jc w:val="center"/>
        </w:trPr>
        <w:tc>
          <w:tcPr>
            <w:tcW w:w="1484" w:type="dxa"/>
            <w:vMerge/>
            <w:vAlign w:val="center"/>
          </w:tcPr>
          <w:p w14:paraId="4815BB20" w14:textId="77777777" w:rsidR="00241417" w:rsidRPr="004360EC" w:rsidRDefault="00241417" w:rsidP="003A71DE">
            <w:pPr>
              <w:pStyle w:val="TAC"/>
              <w:rPr>
                <w:lang w:eastAsia="zh-CN"/>
              </w:rPr>
            </w:pPr>
          </w:p>
        </w:tc>
        <w:tc>
          <w:tcPr>
            <w:tcW w:w="1559" w:type="dxa"/>
            <w:tcBorders>
              <w:bottom w:val="single" w:sz="4" w:space="0" w:color="auto"/>
            </w:tcBorders>
            <w:vAlign w:val="center"/>
          </w:tcPr>
          <w:p w14:paraId="04B886E8" w14:textId="77777777" w:rsidR="00241417" w:rsidRPr="004360EC" w:rsidRDefault="00241417" w:rsidP="003A71DE">
            <w:pPr>
              <w:pStyle w:val="TAC"/>
              <w:rPr>
                <w:lang w:eastAsia="zh-CN"/>
              </w:rPr>
            </w:pPr>
            <w:r w:rsidRPr="004360EC">
              <w:rPr>
                <w:lang w:eastAsia="zh-CN"/>
              </w:rPr>
              <w:t>30</w:t>
            </w:r>
          </w:p>
        </w:tc>
        <w:tc>
          <w:tcPr>
            <w:tcW w:w="1739" w:type="dxa"/>
            <w:tcBorders>
              <w:bottom w:val="single" w:sz="4" w:space="0" w:color="auto"/>
            </w:tcBorders>
            <w:vAlign w:val="center"/>
          </w:tcPr>
          <w:p w14:paraId="361C2250" w14:textId="77777777" w:rsidR="00241417" w:rsidRPr="004360EC" w:rsidRDefault="00241417" w:rsidP="003A71DE">
            <w:pPr>
              <w:pStyle w:val="TAC"/>
              <w:rPr>
                <w:lang w:eastAsia="zh-CN"/>
              </w:rPr>
            </w:pPr>
            <w:r>
              <w:rPr>
                <w:lang w:eastAsia="zh-CN"/>
              </w:rPr>
              <w:t xml:space="preserve">1.77 </w:t>
            </w:r>
            <w:r w:rsidRPr="004360EC">
              <w:rPr>
                <w:lang w:eastAsia="zh-CN"/>
              </w:rPr>
              <w:t>us</w:t>
            </w:r>
          </w:p>
        </w:tc>
      </w:tr>
    </w:tbl>
    <w:p w14:paraId="3EE56539" w14:textId="77777777" w:rsidR="00241417" w:rsidRPr="004360EC" w:rsidRDefault="00241417" w:rsidP="00241417">
      <w:pPr>
        <w:rPr>
          <w:lang w:eastAsia="zh-CN"/>
        </w:rPr>
      </w:pPr>
    </w:p>
    <w:p w14:paraId="01691F24" w14:textId="77777777" w:rsidR="00241417" w:rsidRDefault="00241417" w:rsidP="00241417">
      <w:r w:rsidRPr="004360EC">
        <w:rPr>
          <w:lang w:eastAsia="zh-CN"/>
        </w:rPr>
        <w:t xml:space="preserve">The test preambles for normal mode are listed in table </w:t>
      </w:r>
      <w:r w:rsidRPr="002F28B9">
        <w:rPr>
          <w:lang w:eastAsia="zh-CN"/>
        </w:rPr>
        <w:t>A.</w:t>
      </w:r>
      <w:r>
        <w:rPr>
          <w:lang w:eastAsia="zh-CN"/>
        </w:rPr>
        <w:t>2.5</w:t>
      </w:r>
      <w:r w:rsidRPr="002F28B9">
        <w:rPr>
          <w:lang w:eastAsia="zh-CN"/>
        </w:rPr>
        <w:t>-1</w:t>
      </w:r>
      <w:r w:rsidRPr="004360EC">
        <w:rPr>
          <w:lang w:eastAsia="zh-CN"/>
        </w:rPr>
        <w:t xml:space="preserve"> and the </w:t>
      </w:r>
      <w:r w:rsidRPr="004360EC">
        <w:t>test parameter</w:t>
      </w:r>
      <w:r w:rsidRPr="004360EC">
        <w:rPr>
          <w:lang w:eastAsia="zh-CN"/>
        </w:rPr>
        <w:t xml:space="preserve"> </w:t>
      </w:r>
      <w:r w:rsidRPr="004360EC">
        <w:rPr>
          <w:i/>
          <w:iCs/>
        </w:rPr>
        <w:t>msg1-FrequencyStart</w:t>
      </w:r>
      <w:r w:rsidRPr="004360EC">
        <w:rPr>
          <w:lang w:eastAsia="zh-CN"/>
        </w:rPr>
        <w:t xml:space="preserve"> is set to 0.</w:t>
      </w:r>
    </w:p>
    <w:p w14:paraId="38DC5CFA" w14:textId="77777777" w:rsidR="00241417" w:rsidRDefault="00241417" w:rsidP="00241417">
      <w:pPr>
        <w:pStyle w:val="Heading5"/>
      </w:pPr>
      <w:bookmarkStart w:id="3749" w:name="_Toc74583279"/>
      <w:bookmarkStart w:id="3750" w:name="_Toc76542092"/>
      <w:bookmarkStart w:id="3751" w:name="_Toc82450074"/>
      <w:bookmarkStart w:id="3752" w:name="_Toc82450722"/>
      <w:bookmarkStart w:id="3753" w:name="_Toc89949111"/>
      <w:bookmarkStart w:id="3754" w:name="_Toc98755500"/>
      <w:bookmarkStart w:id="3755" w:name="_Toc98763091"/>
      <w:bookmarkStart w:id="3756" w:name="_Toc106184020"/>
      <w:r>
        <w:t>8</w:t>
      </w:r>
      <w:r w:rsidRPr="00EE4A40">
        <w:t>.</w:t>
      </w:r>
      <w:r>
        <w:t>1</w:t>
      </w:r>
      <w:r w:rsidRPr="00EE4A40">
        <w:t>.</w:t>
      </w:r>
      <w:r>
        <w:t>4</w:t>
      </w:r>
      <w:r w:rsidRPr="00EE4A40">
        <w:t>.</w:t>
      </w:r>
      <w:r>
        <w:t>2</w:t>
      </w:r>
      <w:r w:rsidRPr="00EE4A40">
        <w:t>.</w:t>
      </w:r>
      <w:r>
        <w:t>2</w:t>
      </w:r>
      <w:r>
        <w:tab/>
        <w:t>Minimum requirements for normal mode</w:t>
      </w:r>
      <w:bookmarkEnd w:id="3749"/>
      <w:bookmarkEnd w:id="3750"/>
      <w:bookmarkEnd w:id="3751"/>
      <w:bookmarkEnd w:id="3752"/>
      <w:bookmarkEnd w:id="3753"/>
      <w:bookmarkEnd w:id="3754"/>
      <w:bookmarkEnd w:id="3755"/>
      <w:bookmarkEnd w:id="3756"/>
    </w:p>
    <w:p w14:paraId="78E7C5CC" w14:textId="77777777" w:rsidR="00241417" w:rsidRPr="00380DE4" w:rsidRDefault="00241417" w:rsidP="00241417">
      <w:pPr>
        <w:rPr>
          <w:lang w:eastAsia="zh-CN"/>
        </w:rPr>
      </w:pPr>
      <w:r w:rsidRPr="00380DE4">
        <w:t xml:space="preserve">The probability of detection shall be equal to or exceed 99% for the SNR levels listed in </w:t>
      </w:r>
      <w:r w:rsidRPr="00380DE4">
        <w:rPr>
          <w:lang w:eastAsia="zh-CN"/>
        </w:rPr>
        <w:t>Tables</w:t>
      </w:r>
      <w:r w:rsidRPr="00380DE4">
        <w:t xml:space="preserve"> 8.</w:t>
      </w:r>
      <w:r>
        <w:t>1.</w:t>
      </w:r>
      <w:r w:rsidRPr="00380DE4">
        <w:t>4.2.</w:t>
      </w:r>
      <w:r w:rsidRPr="00380DE4">
        <w:rPr>
          <w:lang w:eastAsia="zh-CN"/>
        </w:rPr>
        <w:t>2</w:t>
      </w:r>
      <w:r w:rsidRPr="00380DE4">
        <w:t>-1</w:t>
      </w:r>
      <w:r w:rsidRPr="00380DE4">
        <w:rPr>
          <w:lang w:eastAsia="zh-CN"/>
        </w:rPr>
        <w:t xml:space="preserve"> to </w:t>
      </w:r>
      <w:r w:rsidRPr="00380DE4">
        <w:t>8.</w:t>
      </w:r>
      <w:r>
        <w:t>1.</w:t>
      </w:r>
      <w:r w:rsidRPr="00380DE4">
        <w:t>4.2.</w:t>
      </w:r>
      <w:r w:rsidRPr="00380DE4">
        <w:rPr>
          <w:lang w:eastAsia="zh-CN"/>
        </w:rPr>
        <w:t>2-3</w:t>
      </w:r>
      <w:r w:rsidRPr="00380DE4">
        <w:t>.</w:t>
      </w:r>
    </w:p>
    <w:p w14:paraId="6E9C2CC0" w14:textId="77777777" w:rsidR="00241417" w:rsidRPr="00380DE4" w:rsidRDefault="00241417" w:rsidP="00241417">
      <w:pPr>
        <w:pStyle w:val="TH"/>
        <w:rPr>
          <w:lang w:eastAsia="zh-CN"/>
        </w:rPr>
      </w:pPr>
      <w:r w:rsidRPr="00380DE4">
        <w:t>Table 8.</w:t>
      </w:r>
      <w:r>
        <w:t>1.</w:t>
      </w:r>
      <w:r w:rsidRPr="00380DE4">
        <w:t>4.</w:t>
      </w:r>
      <w:r w:rsidRPr="00380DE4">
        <w:rPr>
          <w:lang w:eastAsia="zh-CN"/>
        </w:rPr>
        <w:t>2</w:t>
      </w:r>
      <w:r w:rsidRPr="00380DE4">
        <w:t>.</w:t>
      </w:r>
      <w:r w:rsidRPr="00380DE4">
        <w:rPr>
          <w:lang w:eastAsia="zh-CN"/>
        </w:rPr>
        <w:t>2</w:t>
      </w:r>
      <w:r w:rsidRPr="00380DE4">
        <w:t>-1: PRACH missed detection requirements for Normal Mode</w:t>
      </w:r>
      <w:r w:rsidRPr="00380DE4">
        <w:rPr>
          <w:lang w:eastAsia="zh-CN"/>
        </w:rPr>
        <w:t>, 1.25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1134"/>
        <w:gridCol w:w="1985"/>
        <w:gridCol w:w="1417"/>
        <w:gridCol w:w="898"/>
      </w:tblGrid>
      <w:tr w:rsidR="00241417" w:rsidRPr="00380DE4" w14:paraId="54DD78FF" w14:textId="77777777" w:rsidTr="003A71DE">
        <w:trPr>
          <w:cantSplit/>
          <w:jc w:val="center"/>
        </w:trPr>
        <w:tc>
          <w:tcPr>
            <w:tcW w:w="1134" w:type="dxa"/>
            <w:vMerge w:val="restart"/>
            <w:vAlign w:val="center"/>
          </w:tcPr>
          <w:p w14:paraId="786DB583" w14:textId="77777777" w:rsidR="00241417" w:rsidRPr="00380DE4" w:rsidRDefault="00241417" w:rsidP="003A71DE">
            <w:pPr>
              <w:pStyle w:val="TAH"/>
              <w:rPr>
                <w:lang w:eastAsia="zh-CN"/>
              </w:rPr>
            </w:pPr>
            <w:r w:rsidRPr="00380DE4">
              <w:t xml:space="preserve">Number of </w:t>
            </w:r>
            <w:r w:rsidRPr="00380DE4">
              <w:rPr>
                <w:lang w:eastAsia="zh-CN"/>
              </w:rPr>
              <w:t>T</w:t>
            </w:r>
            <w:r w:rsidRPr="00380DE4">
              <w:t>X</w:t>
            </w:r>
            <w:r>
              <w:t xml:space="preserve"> </w:t>
            </w:r>
            <w:r w:rsidRPr="00380DE4">
              <w:t>antennas</w:t>
            </w:r>
          </w:p>
        </w:tc>
        <w:tc>
          <w:tcPr>
            <w:tcW w:w="1134" w:type="dxa"/>
            <w:vMerge w:val="restart"/>
            <w:vAlign w:val="center"/>
          </w:tcPr>
          <w:p w14:paraId="23D954DC" w14:textId="77777777" w:rsidR="00241417" w:rsidRPr="00380DE4" w:rsidRDefault="00241417" w:rsidP="003A71DE">
            <w:pPr>
              <w:pStyle w:val="TAH"/>
              <w:rPr>
                <w:lang w:eastAsia="zh-CN"/>
              </w:rPr>
            </w:pPr>
            <w:r w:rsidRPr="00380DE4">
              <w:t>Number of RX</w:t>
            </w:r>
            <w:r>
              <w:t xml:space="preserve"> </w:t>
            </w:r>
            <w:r w:rsidRPr="00380DE4">
              <w:t>antennas</w:t>
            </w:r>
          </w:p>
        </w:tc>
        <w:tc>
          <w:tcPr>
            <w:tcW w:w="1985" w:type="dxa"/>
            <w:vMerge w:val="restart"/>
            <w:vAlign w:val="center"/>
          </w:tcPr>
          <w:p w14:paraId="63992F8C" w14:textId="4D028AA4" w:rsidR="00241417" w:rsidRPr="00380DE4" w:rsidRDefault="00241417" w:rsidP="003A71DE">
            <w:pPr>
              <w:pStyle w:val="TAH"/>
            </w:pPr>
            <w:r w:rsidRPr="00380DE4">
              <w:t xml:space="preserve">Propagation conditions and correlation matrix (Annex </w:t>
            </w:r>
            <w:r>
              <w:t>TBA</w:t>
            </w:r>
            <w:r w:rsidRPr="00380DE4">
              <w:t>)</w:t>
            </w:r>
          </w:p>
        </w:tc>
        <w:tc>
          <w:tcPr>
            <w:tcW w:w="1417" w:type="dxa"/>
            <w:vMerge w:val="restart"/>
            <w:vAlign w:val="center"/>
          </w:tcPr>
          <w:p w14:paraId="06C1ED79" w14:textId="77777777" w:rsidR="00241417" w:rsidRPr="00380DE4" w:rsidRDefault="00241417" w:rsidP="003A71DE">
            <w:pPr>
              <w:pStyle w:val="TAH"/>
            </w:pPr>
            <w:r w:rsidRPr="00380DE4">
              <w:t>Frequency offset</w:t>
            </w:r>
          </w:p>
        </w:tc>
        <w:tc>
          <w:tcPr>
            <w:tcW w:w="898" w:type="dxa"/>
            <w:shd w:val="clear" w:color="auto" w:fill="auto"/>
            <w:vAlign w:val="center"/>
          </w:tcPr>
          <w:p w14:paraId="58BFE5BD" w14:textId="77777777" w:rsidR="00241417" w:rsidRPr="00380DE4" w:rsidRDefault="00241417" w:rsidP="003A71DE">
            <w:pPr>
              <w:pStyle w:val="TAH"/>
              <w:rPr>
                <w:lang w:eastAsia="zh-CN"/>
              </w:rPr>
            </w:pPr>
            <w:r w:rsidRPr="00380DE4">
              <w:t>SNR (dB)</w:t>
            </w:r>
          </w:p>
        </w:tc>
      </w:tr>
      <w:tr w:rsidR="00241417" w:rsidRPr="00380DE4" w14:paraId="57A8A26E" w14:textId="77777777" w:rsidTr="003A71DE">
        <w:trPr>
          <w:cantSplit/>
          <w:jc w:val="center"/>
        </w:trPr>
        <w:tc>
          <w:tcPr>
            <w:tcW w:w="1134" w:type="dxa"/>
            <w:vMerge/>
            <w:tcBorders>
              <w:bottom w:val="single" w:sz="4" w:space="0" w:color="auto"/>
            </w:tcBorders>
            <w:vAlign w:val="center"/>
          </w:tcPr>
          <w:p w14:paraId="4F77B9B5" w14:textId="77777777" w:rsidR="00241417" w:rsidRPr="00380DE4" w:rsidRDefault="00241417" w:rsidP="003A71DE">
            <w:pPr>
              <w:pStyle w:val="TAH"/>
              <w:rPr>
                <w:lang w:eastAsia="zh-CN"/>
              </w:rPr>
            </w:pPr>
          </w:p>
        </w:tc>
        <w:tc>
          <w:tcPr>
            <w:tcW w:w="1134" w:type="dxa"/>
            <w:vMerge/>
            <w:tcBorders>
              <w:bottom w:val="single" w:sz="4" w:space="0" w:color="auto"/>
            </w:tcBorders>
            <w:vAlign w:val="center"/>
          </w:tcPr>
          <w:p w14:paraId="3F1C443F" w14:textId="77777777" w:rsidR="00241417" w:rsidRPr="00380DE4" w:rsidRDefault="00241417" w:rsidP="003A71DE">
            <w:pPr>
              <w:pStyle w:val="TAH"/>
              <w:rPr>
                <w:lang w:eastAsia="zh-CN"/>
              </w:rPr>
            </w:pPr>
          </w:p>
        </w:tc>
        <w:tc>
          <w:tcPr>
            <w:tcW w:w="1985" w:type="dxa"/>
            <w:vMerge/>
            <w:vAlign w:val="center"/>
          </w:tcPr>
          <w:p w14:paraId="3A730984" w14:textId="77777777" w:rsidR="00241417" w:rsidRPr="00380DE4" w:rsidRDefault="00241417" w:rsidP="003A71DE">
            <w:pPr>
              <w:pStyle w:val="TAH"/>
            </w:pPr>
          </w:p>
        </w:tc>
        <w:tc>
          <w:tcPr>
            <w:tcW w:w="1417" w:type="dxa"/>
            <w:vMerge/>
            <w:vAlign w:val="center"/>
          </w:tcPr>
          <w:p w14:paraId="6A40E49E" w14:textId="77777777" w:rsidR="00241417" w:rsidRPr="00380DE4" w:rsidRDefault="00241417" w:rsidP="003A71DE">
            <w:pPr>
              <w:pStyle w:val="TAH"/>
            </w:pPr>
          </w:p>
        </w:tc>
        <w:tc>
          <w:tcPr>
            <w:tcW w:w="898" w:type="dxa"/>
            <w:shd w:val="clear" w:color="auto" w:fill="auto"/>
            <w:vAlign w:val="center"/>
          </w:tcPr>
          <w:p w14:paraId="568F6F2B" w14:textId="77777777" w:rsidR="00241417" w:rsidRPr="00380DE4" w:rsidRDefault="00241417" w:rsidP="003A71DE">
            <w:pPr>
              <w:pStyle w:val="TAH"/>
              <w:rPr>
                <w:lang w:eastAsia="zh-CN"/>
              </w:rPr>
            </w:pPr>
            <w:r w:rsidRPr="00380DE4">
              <w:t xml:space="preserve">Burst format </w:t>
            </w:r>
            <w:r w:rsidRPr="00380DE4">
              <w:rPr>
                <w:lang w:eastAsia="ja-JP"/>
              </w:rPr>
              <w:t>0</w:t>
            </w:r>
          </w:p>
        </w:tc>
      </w:tr>
      <w:tr w:rsidR="00241417" w:rsidRPr="00380DE4" w14:paraId="1CAF42AA" w14:textId="77777777" w:rsidTr="003A71DE">
        <w:trPr>
          <w:cantSplit/>
          <w:jc w:val="center"/>
        </w:trPr>
        <w:tc>
          <w:tcPr>
            <w:tcW w:w="1134" w:type="dxa"/>
            <w:vMerge w:val="restart"/>
            <w:vAlign w:val="center"/>
          </w:tcPr>
          <w:p w14:paraId="7B6C3FAE" w14:textId="77777777" w:rsidR="00241417" w:rsidRPr="00380DE4" w:rsidRDefault="00241417" w:rsidP="003A71DE">
            <w:pPr>
              <w:pStyle w:val="TAC"/>
              <w:rPr>
                <w:lang w:eastAsia="zh-CN"/>
              </w:rPr>
            </w:pPr>
            <w:r w:rsidRPr="00380DE4">
              <w:t>1</w:t>
            </w:r>
          </w:p>
        </w:tc>
        <w:tc>
          <w:tcPr>
            <w:tcW w:w="1134" w:type="dxa"/>
            <w:tcBorders>
              <w:bottom w:val="nil"/>
            </w:tcBorders>
            <w:vAlign w:val="center"/>
          </w:tcPr>
          <w:p w14:paraId="02D401BB" w14:textId="77777777" w:rsidR="00241417" w:rsidRPr="00380DE4" w:rsidRDefault="00241417" w:rsidP="003A71DE">
            <w:pPr>
              <w:pStyle w:val="TAC"/>
              <w:rPr>
                <w:lang w:eastAsia="zh-CN"/>
              </w:rPr>
            </w:pPr>
            <w:r w:rsidRPr="00380DE4">
              <w:t>2</w:t>
            </w:r>
          </w:p>
        </w:tc>
        <w:tc>
          <w:tcPr>
            <w:tcW w:w="1985" w:type="dxa"/>
            <w:vAlign w:val="center"/>
          </w:tcPr>
          <w:p w14:paraId="1A531ECE" w14:textId="77777777" w:rsidR="00241417" w:rsidRPr="00380DE4" w:rsidRDefault="00241417" w:rsidP="003A71DE">
            <w:pPr>
              <w:pStyle w:val="TAC"/>
            </w:pPr>
            <w:r w:rsidRPr="00380DE4">
              <w:rPr>
                <w:lang w:eastAsia="zh-CN"/>
              </w:rPr>
              <w:t>TDLC300-100 Low</w:t>
            </w:r>
          </w:p>
        </w:tc>
        <w:tc>
          <w:tcPr>
            <w:tcW w:w="1417" w:type="dxa"/>
            <w:vAlign w:val="center"/>
          </w:tcPr>
          <w:p w14:paraId="01D17D57" w14:textId="77777777" w:rsidR="00241417" w:rsidRPr="00380DE4" w:rsidRDefault="00241417" w:rsidP="003A71DE">
            <w:pPr>
              <w:pStyle w:val="TAC"/>
            </w:pPr>
            <w:r w:rsidRPr="00380DE4">
              <w:rPr>
                <w:lang w:eastAsia="zh-CN"/>
              </w:rPr>
              <w:t xml:space="preserve">400 </w:t>
            </w:r>
            <w:r w:rsidRPr="00380DE4">
              <w:t>Hz</w:t>
            </w:r>
            <w:r w:rsidRPr="00380DE4" w:rsidDel="001B2AD9">
              <w:rPr>
                <w:lang w:eastAsia="zh-CN"/>
              </w:rPr>
              <w:t xml:space="preserve"> </w:t>
            </w:r>
          </w:p>
        </w:tc>
        <w:tc>
          <w:tcPr>
            <w:tcW w:w="898" w:type="dxa"/>
            <w:shd w:val="clear" w:color="auto" w:fill="auto"/>
            <w:vAlign w:val="center"/>
          </w:tcPr>
          <w:p w14:paraId="5CC21512" w14:textId="77777777" w:rsidR="00241417" w:rsidRPr="00380DE4" w:rsidRDefault="00241417" w:rsidP="003A71DE">
            <w:pPr>
              <w:pStyle w:val="TAC"/>
              <w:rPr>
                <w:lang w:eastAsia="zh-CN"/>
              </w:rPr>
            </w:pPr>
            <w:r w:rsidRPr="00380DE4">
              <w:t>-6.6</w:t>
            </w:r>
          </w:p>
        </w:tc>
      </w:tr>
      <w:tr w:rsidR="00241417" w:rsidRPr="00380DE4" w14:paraId="0AD9AEDD" w14:textId="77777777" w:rsidTr="003A71DE">
        <w:trPr>
          <w:cantSplit/>
          <w:jc w:val="center"/>
        </w:trPr>
        <w:tc>
          <w:tcPr>
            <w:tcW w:w="1134" w:type="dxa"/>
            <w:vMerge/>
            <w:vAlign w:val="center"/>
          </w:tcPr>
          <w:p w14:paraId="0A9D2630" w14:textId="77777777" w:rsidR="00241417" w:rsidRPr="00380DE4" w:rsidRDefault="00241417" w:rsidP="003A71DE">
            <w:pPr>
              <w:pStyle w:val="TAC"/>
              <w:rPr>
                <w:lang w:eastAsia="zh-CN"/>
              </w:rPr>
            </w:pPr>
          </w:p>
        </w:tc>
        <w:tc>
          <w:tcPr>
            <w:tcW w:w="1134" w:type="dxa"/>
            <w:tcBorders>
              <w:bottom w:val="nil"/>
            </w:tcBorders>
            <w:vAlign w:val="center"/>
          </w:tcPr>
          <w:p w14:paraId="49CEBC47" w14:textId="77777777" w:rsidR="00241417" w:rsidRPr="00380DE4" w:rsidRDefault="00241417" w:rsidP="003A71DE">
            <w:pPr>
              <w:pStyle w:val="TAC"/>
              <w:rPr>
                <w:lang w:eastAsia="zh-CN"/>
              </w:rPr>
            </w:pPr>
            <w:r w:rsidRPr="00380DE4">
              <w:rPr>
                <w:lang w:eastAsia="zh-CN"/>
              </w:rPr>
              <w:t>4</w:t>
            </w:r>
          </w:p>
        </w:tc>
        <w:tc>
          <w:tcPr>
            <w:tcW w:w="1985" w:type="dxa"/>
            <w:vAlign w:val="center"/>
          </w:tcPr>
          <w:p w14:paraId="1B19DC84" w14:textId="77777777" w:rsidR="00241417" w:rsidRPr="00380DE4" w:rsidRDefault="00241417" w:rsidP="003A71DE">
            <w:pPr>
              <w:pStyle w:val="TAC"/>
              <w:rPr>
                <w:lang w:eastAsia="zh-CN"/>
              </w:rPr>
            </w:pPr>
            <w:r w:rsidRPr="00380DE4">
              <w:rPr>
                <w:lang w:eastAsia="zh-CN"/>
              </w:rPr>
              <w:t>TDLC300-100 Low</w:t>
            </w:r>
          </w:p>
        </w:tc>
        <w:tc>
          <w:tcPr>
            <w:tcW w:w="1417" w:type="dxa"/>
            <w:vAlign w:val="center"/>
          </w:tcPr>
          <w:p w14:paraId="4A2D7CEF" w14:textId="77777777" w:rsidR="00241417" w:rsidRPr="00380DE4" w:rsidRDefault="00241417" w:rsidP="003A71DE">
            <w:pPr>
              <w:pStyle w:val="TAC"/>
              <w:rPr>
                <w:lang w:eastAsia="zh-CN"/>
              </w:rPr>
            </w:pPr>
            <w:r w:rsidRPr="00380DE4">
              <w:rPr>
                <w:lang w:eastAsia="zh-CN"/>
              </w:rPr>
              <w:t xml:space="preserve">400 </w:t>
            </w:r>
            <w:r w:rsidRPr="00380DE4">
              <w:t>Hz</w:t>
            </w:r>
            <w:r w:rsidRPr="00380DE4" w:rsidDel="001B2AD9">
              <w:rPr>
                <w:lang w:eastAsia="zh-CN"/>
              </w:rPr>
              <w:t xml:space="preserve"> </w:t>
            </w:r>
          </w:p>
        </w:tc>
        <w:tc>
          <w:tcPr>
            <w:tcW w:w="898" w:type="dxa"/>
            <w:shd w:val="clear" w:color="auto" w:fill="auto"/>
            <w:vAlign w:val="center"/>
          </w:tcPr>
          <w:p w14:paraId="4E1EB384" w14:textId="77777777" w:rsidR="00241417" w:rsidRPr="00380DE4" w:rsidRDefault="00241417" w:rsidP="003A71DE">
            <w:pPr>
              <w:pStyle w:val="TAC"/>
            </w:pPr>
            <w:r w:rsidRPr="00380DE4">
              <w:t>-11.9</w:t>
            </w:r>
          </w:p>
        </w:tc>
      </w:tr>
      <w:tr w:rsidR="00241417" w:rsidRPr="00380DE4" w14:paraId="7B414094" w14:textId="77777777" w:rsidTr="003A71DE">
        <w:trPr>
          <w:cantSplit/>
          <w:jc w:val="center"/>
        </w:trPr>
        <w:tc>
          <w:tcPr>
            <w:tcW w:w="1134" w:type="dxa"/>
            <w:vMerge/>
            <w:tcBorders>
              <w:bottom w:val="single" w:sz="4" w:space="0" w:color="auto"/>
            </w:tcBorders>
            <w:vAlign w:val="center"/>
          </w:tcPr>
          <w:p w14:paraId="5C161AF1" w14:textId="77777777" w:rsidR="00241417" w:rsidRPr="00380DE4" w:rsidRDefault="00241417" w:rsidP="003A71DE">
            <w:pPr>
              <w:pStyle w:val="TAC"/>
              <w:rPr>
                <w:lang w:eastAsia="zh-CN"/>
              </w:rPr>
            </w:pPr>
          </w:p>
        </w:tc>
        <w:tc>
          <w:tcPr>
            <w:tcW w:w="1134" w:type="dxa"/>
            <w:tcBorders>
              <w:bottom w:val="single" w:sz="4" w:space="0" w:color="auto"/>
            </w:tcBorders>
            <w:vAlign w:val="center"/>
          </w:tcPr>
          <w:p w14:paraId="57147467" w14:textId="77777777" w:rsidR="00241417" w:rsidRPr="00380DE4" w:rsidRDefault="00241417" w:rsidP="003A71DE">
            <w:pPr>
              <w:pStyle w:val="TAC"/>
              <w:rPr>
                <w:lang w:eastAsia="zh-CN"/>
              </w:rPr>
            </w:pPr>
            <w:r w:rsidRPr="00380DE4">
              <w:rPr>
                <w:lang w:eastAsia="zh-CN"/>
              </w:rPr>
              <w:t>8</w:t>
            </w:r>
          </w:p>
        </w:tc>
        <w:tc>
          <w:tcPr>
            <w:tcW w:w="1985" w:type="dxa"/>
            <w:tcBorders>
              <w:bottom w:val="single" w:sz="4" w:space="0" w:color="auto"/>
            </w:tcBorders>
            <w:vAlign w:val="center"/>
          </w:tcPr>
          <w:p w14:paraId="46C27FFD" w14:textId="77777777" w:rsidR="00241417" w:rsidRPr="00380DE4" w:rsidRDefault="00241417" w:rsidP="003A71DE">
            <w:pPr>
              <w:pStyle w:val="TAC"/>
              <w:rPr>
                <w:lang w:eastAsia="zh-CN"/>
              </w:rPr>
            </w:pPr>
            <w:r w:rsidRPr="00380DE4">
              <w:rPr>
                <w:lang w:eastAsia="zh-CN"/>
              </w:rPr>
              <w:t>TDLC300-100 Low</w:t>
            </w:r>
          </w:p>
        </w:tc>
        <w:tc>
          <w:tcPr>
            <w:tcW w:w="1417" w:type="dxa"/>
            <w:vAlign w:val="center"/>
          </w:tcPr>
          <w:p w14:paraId="2EB4EE51" w14:textId="77777777" w:rsidR="00241417" w:rsidRPr="00380DE4" w:rsidRDefault="00241417" w:rsidP="003A71DE">
            <w:pPr>
              <w:pStyle w:val="TAC"/>
              <w:rPr>
                <w:lang w:eastAsia="zh-CN"/>
              </w:rPr>
            </w:pPr>
            <w:r w:rsidRPr="00380DE4">
              <w:rPr>
                <w:lang w:eastAsia="zh-CN"/>
              </w:rPr>
              <w:t xml:space="preserve">400 </w:t>
            </w:r>
            <w:r w:rsidRPr="00380DE4">
              <w:t>Hz</w:t>
            </w:r>
            <w:r w:rsidRPr="00380DE4" w:rsidDel="001B2AD9">
              <w:rPr>
                <w:lang w:eastAsia="zh-CN"/>
              </w:rPr>
              <w:t xml:space="preserve"> </w:t>
            </w:r>
          </w:p>
        </w:tc>
        <w:tc>
          <w:tcPr>
            <w:tcW w:w="898" w:type="dxa"/>
            <w:shd w:val="clear" w:color="auto" w:fill="auto"/>
            <w:vAlign w:val="center"/>
          </w:tcPr>
          <w:p w14:paraId="6E27785C" w14:textId="77777777" w:rsidR="00241417" w:rsidRPr="00380DE4" w:rsidRDefault="00241417" w:rsidP="003A71DE">
            <w:pPr>
              <w:pStyle w:val="TAC"/>
            </w:pPr>
            <w:r w:rsidRPr="00380DE4">
              <w:t>-15.8</w:t>
            </w:r>
          </w:p>
        </w:tc>
      </w:tr>
    </w:tbl>
    <w:p w14:paraId="115761FC" w14:textId="77777777" w:rsidR="00241417" w:rsidRPr="00380DE4" w:rsidRDefault="00241417" w:rsidP="00241417">
      <w:pPr>
        <w:rPr>
          <w:noProof/>
        </w:rPr>
      </w:pPr>
    </w:p>
    <w:p w14:paraId="6056A988" w14:textId="77777777" w:rsidR="00241417" w:rsidRPr="00380DE4" w:rsidRDefault="00241417" w:rsidP="00241417">
      <w:pPr>
        <w:pStyle w:val="TH"/>
        <w:rPr>
          <w:lang w:eastAsia="zh-CN"/>
        </w:rPr>
      </w:pPr>
      <w:r w:rsidRPr="00380DE4">
        <w:t>Table 8.</w:t>
      </w:r>
      <w:r>
        <w:t>1.</w:t>
      </w:r>
      <w:r w:rsidRPr="00380DE4">
        <w:t>4.</w:t>
      </w:r>
      <w:r w:rsidRPr="00380DE4">
        <w:rPr>
          <w:lang w:eastAsia="zh-CN"/>
        </w:rPr>
        <w:t>2</w:t>
      </w:r>
      <w:r w:rsidRPr="00380DE4">
        <w:t>.</w:t>
      </w:r>
      <w:r w:rsidRPr="00380DE4">
        <w:rPr>
          <w:lang w:eastAsia="zh-CN"/>
        </w:rPr>
        <w:t>2</w:t>
      </w:r>
      <w:r w:rsidRPr="00380DE4">
        <w:t>-</w:t>
      </w:r>
      <w:r w:rsidRPr="00380DE4">
        <w:rPr>
          <w:lang w:eastAsia="zh-CN"/>
        </w:rPr>
        <w:t>2</w:t>
      </w:r>
      <w:r w:rsidRPr="00380DE4">
        <w:t>: PRACH missed detection requirements for Normal Mode</w:t>
      </w:r>
      <w:r w:rsidRPr="00380DE4">
        <w:rPr>
          <w:lang w:eastAsia="zh-CN"/>
        </w:rPr>
        <w:t>, 15 kHz SCS</w:t>
      </w:r>
    </w:p>
    <w:tbl>
      <w:tblPr>
        <w:tblStyle w:val="TableGrid15"/>
        <w:tblW w:w="10060" w:type="dxa"/>
        <w:jc w:val="center"/>
        <w:tblInd w:w="0" w:type="dxa"/>
        <w:tblLayout w:type="fixed"/>
        <w:tblLook w:val="04A0" w:firstRow="1" w:lastRow="0" w:firstColumn="1" w:lastColumn="0" w:noHBand="0" w:noVBand="1"/>
      </w:tblPr>
      <w:tblGrid>
        <w:gridCol w:w="1129"/>
        <w:gridCol w:w="993"/>
        <w:gridCol w:w="1417"/>
        <w:gridCol w:w="1134"/>
        <w:gridCol w:w="992"/>
        <w:gridCol w:w="851"/>
        <w:gridCol w:w="850"/>
        <w:gridCol w:w="851"/>
        <w:gridCol w:w="850"/>
        <w:gridCol w:w="993"/>
      </w:tblGrid>
      <w:tr w:rsidR="00241417" w:rsidRPr="00380DE4" w14:paraId="09A0B76A" w14:textId="77777777" w:rsidTr="003A71DE">
        <w:trPr>
          <w:cantSplit/>
          <w:jc w:val="center"/>
        </w:trPr>
        <w:tc>
          <w:tcPr>
            <w:tcW w:w="1129" w:type="dxa"/>
            <w:vMerge w:val="restart"/>
            <w:vAlign w:val="center"/>
          </w:tcPr>
          <w:p w14:paraId="77B2ADF4" w14:textId="77777777" w:rsidR="00241417" w:rsidRPr="00380DE4" w:rsidRDefault="00241417" w:rsidP="003A71DE">
            <w:pPr>
              <w:pStyle w:val="TAH"/>
            </w:pPr>
            <w:r w:rsidRPr="00380DE4">
              <w:t>Number of</w:t>
            </w:r>
            <w:r>
              <w:t xml:space="preserve"> </w:t>
            </w:r>
            <w:r w:rsidRPr="00380DE4">
              <w:rPr>
                <w:lang w:eastAsia="zh-CN"/>
              </w:rPr>
              <w:t>T</w:t>
            </w:r>
            <w:r w:rsidRPr="00380DE4">
              <w:t>X antennas</w:t>
            </w:r>
          </w:p>
        </w:tc>
        <w:tc>
          <w:tcPr>
            <w:tcW w:w="993" w:type="dxa"/>
            <w:vMerge w:val="restart"/>
            <w:vAlign w:val="center"/>
          </w:tcPr>
          <w:p w14:paraId="1CC86AE5" w14:textId="77777777" w:rsidR="00241417" w:rsidRPr="00380DE4" w:rsidRDefault="00241417" w:rsidP="003A71DE">
            <w:pPr>
              <w:pStyle w:val="TAH"/>
            </w:pPr>
            <w:r w:rsidRPr="00380DE4">
              <w:t xml:space="preserve">Number of </w:t>
            </w:r>
            <w:r>
              <w:t>Demodulation Branches</w:t>
            </w:r>
          </w:p>
        </w:tc>
        <w:tc>
          <w:tcPr>
            <w:tcW w:w="1417" w:type="dxa"/>
            <w:vMerge w:val="restart"/>
            <w:vAlign w:val="center"/>
          </w:tcPr>
          <w:p w14:paraId="4FB99368" w14:textId="758D8107" w:rsidR="00241417" w:rsidRPr="00380DE4" w:rsidRDefault="00241417" w:rsidP="003A71DE">
            <w:pPr>
              <w:pStyle w:val="TAH"/>
            </w:pPr>
            <w:r w:rsidRPr="00380DE4">
              <w:rPr>
                <w:lang w:val="fr-FR"/>
              </w:rPr>
              <w:t>Propagation</w:t>
            </w:r>
            <w:r>
              <w:rPr>
                <w:lang w:val="fr-FR"/>
              </w:rPr>
              <w:t xml:space="preserve"> </w:t>
            </w:r>
            <w:r w:rsidRPr="00380DE4">
              <w:t xml:space="preserve">conditions and correlation matrix (Annex </w:t>
            </w:r>
            <w:r>
              <w:t>TBA</w:t>
            </w:r>
            <w:r w:rsidRPr="00380DE4">
              <w:t>)</w:t>
            </w:r>
          </w:p>
        </w:tc>
        <w:tc>
          <w:tcPr>
            <w:tcW w:w="1134" w:type="dxa"/>
            <w:vMerge w:val="restart"/>
            <w:vAlign w:val="center"/>
          </w:tcPr>
          <w:p w14:paraId="1D58C9CF" w14:textId="77777777" w:rsidR="00241417" w:rsidRPr="00380DE4" w:rsidRDefault="00241417" w:rsidP="003A71DE">
            <w:pPr>
              <w:pStyle w:val="TAH"/>
            </w:pPr>
            <w:r w:rsidRPr="00380DE4">
              <w:t>Frequency</w:t>
            </w:r>
            <w:r>
              <w:t xml:space="preserve"> </w:t>
            </w:r>
            <w:r w:rsidRPr="00380DE4">
              <w:t>offset</w:t>
            </w:r>
          </w:p>
        </w:tc>
        <w:tc>
          <w:tcPr>
            <w:tcW w:w="5387" w:type="dxa"/>
            <w:gridSpan w:val="6"/>
            <w:vAlign w:val="center"/>
          </w:tcPr>
          <w:p w14:paraId="7242D98C" w14:textId="77777777" w:rsidR="00241417" w:rsidRPr="00380DE4" w:rsidRDefault="00241417" w:rsidP="003A71DE">
            <w:pPr>
              <w:pStyle w:val="TAH"/>
            </w:pPr>
            <w:r w:rsidRPr="00380DE4">
              <w:t>SNR (dB)</w:t>
            </w:r>
          </w:p>
        </w:tc>
      </w:tr>
      <w:tr w:rsidR="00241417" w:rsidRPr="00380DE4" w14:paraId="30FFE8B4" w14:textId="77777777" w:rsidTr="003A71DE">
        <w:trPr>
          <w:cantSplit/>
          <w:jc w:val="center"/>
        </w:trPr>
        <w:tc>
          <w:tcPr>
            <w:tcW w:w="1129" w:type="dxa"/>
            <w:vMerge/>
            <w:tcBorders>
              <w:bottom w:val="single" w:sz="4" w:space="0" w:color="auto"/>
            </w:tcBorders>
            <w:vAlign w:val="center"/>
          </w:tcPr>
          <w:p w14:paraId="75A9122E" w14:textId="77777777" w:rsidR="00241417" w:rsidRPr="00380DE4" w:rsidRDefault="00241417" w:rsidP="003A71DE">
            <w:pPr>
              <w:pStyle w:val="TAH"/>
            </w:pPr>
          </w:p>
        </w:tc>
        <w:tc>
          <w:tcPr>
            <w:tcW w:w="993" w:type="dxa"/>
            <w:vMerge/>
            <w:tcBorders>
              <w:bottom w:val="single" w:sz="4" w:space="0" w:color="auto"/>
            </w:tcBorders>
            <w:vAlign w:val="center"/>
          </w:tcPr>
          <w:p w14:paraId="722B6326" w14:textId="77777777" w:rsidR="00241417" w:rsidRPr="00380DE4" w:rsidRDefault="00241417" w:rsidP="003A71DE">
            <w:pPr>
              <w:pStyle w:val="TAH"/>
            </w:pPr>
          </w:p>
        </w:tc>
        <w:tc>
          <w:tcPr>
            <w:tcW w:w="1417" w:type="dxa"/>
            <w:vMerge/>
            <w:tcBorders>
              <w:bottom w:val="single" w:sz="4" w:space="0" w:color="auto"/>
            </w:tcBorders>
            <w:vAlign w:val="center"/>
          </w:tcPr>
          <w:p w14:paraId="05878D23" w14:textId="77777777" w:rsidR="00241417" w:rsidRPr="00380DE4" w:rsidRDefault="00241417" w:rsidP="003A71DE">
            <w:pPr>
              <w:pStyle w:val="TAH"/>
            </w:pPr>
          </w:p>
        </w:tc>
        <w:tc>
          <w:tcPr>
            <w:tcW w:w="1134" w:type="dxa"/>
            <w:vMerge/>
            <w:tcBorders>
              <w:bottom w:val="single" w:sz="4" w:space="0" w:color="auto"/>
            </w:tcBorders>
            <w:vAlign w:val="center"/>
          </w:tcPr>
          <w:p w14:paraId="3C3E3395" w14:textId="77777777" w:rsidR="00241417" w:rsidRPr="00380DE4" w:rsidRDefault="00241417" w:rsidP="003A71DE">
            <w:pPr>
              <w:pStyle w:val="TAH"/>
            </w:pPr>
          </w:p>
        </w:tc>
        <w:tc>
          <w:tcPr>
            <w:tcW w:w="992" w:type="dxa"/>
            <w:vAlign w:val="center"/>
          </w:tcPr>
          <w:p w14:paraId="394DB9FD" w14:textId="77777777" w:rsidR="00241417" w:rsidRPr="00380DE4" w:rsidRDefault="00241417" w:rsidP="003A71DE">
            <w:pPr>
              <w:pStyle w:val="TAH"/>
            </w:pPr>
            <w:r w:rsidRPr="00380DE4">
              <w:t xml:space="preserve">Burst format </w:t>
            </w:r>
            <w:r w:rsidRPr="00380DE4">
              <w:rPr>
                <w:lang w:eastAsia="zh-CN"/>
              </w:rPr>
              <w:t>A1</w:t>
            </w:r>
          </w:p>
        </w:tc>
        <w:tc>
          <w:tcPr>
            <w:tcW w:w="851" w:type="dxa"/>
            <w:vAlign w:val="center"/>
          </w:tcPr>
          <w:p w14:paraId="75E4F719" w14:textId="77777777" w:rsidR="00241417" w:rsidRPr="00380DE4" w:rsidRDefault="00241417" w:rsidP="003A71DE">
            <w:pPr>
              <w:pStyle w:val="TAH"/>
            </w:pPr>
            <w:r w:rsidRPr="00380DE4">
              <w:t xml:space="preserve">Burst format </w:t>
            </w:r>
            <w:r w:rsidRPr="00380DE4">
              <w:rPr>
                <w:lang w:eastAsia="zh-CN"/>
              </w:rPr>
              <w:t>A2</w:t>
            </w:r>
          </w:p>
        </w:tc>
        <w:tc>
          <w:tcPr>
            <w:tcW w:w="850" w:type="dxa"/>
            <w:vAlign w:val="center"/>
          </w:tcPr>
          <w:p w14:paraId="6BE87244" w14:textId="77777777" w:rsidR="00241417" w:rsidRPr="00380DE4" w:rsidRDefault="00241417" w:rsidP="003A71DE">
            <w:pPr>
              <w:pStyle w:val="TAH"/>
            </w:pPr>
            <w:r w:rsidRPr="00380DE4">
              <w:t xml:space="preserve">Burst format </w:t>
            </w:r>
            <w:r w:rsidRPr="00380DE4">
              <w:rPr>
                <w:lang w:eastAsia="zh-CN"/>
              </w:rPr>
              <w:t>A3</w:t>
            </w:r>
          </w:p>
        </w:tc>
        <w:tc>
          <w:tcPr>
            <w:tcW w:w="851" w:type="dxa"/>
            <w:vAlign w:val="center"/>
          </w:tcPr>
          <w:p w14:paraId="4F748207" w14:textId="77777777" w:rsidR="00241417" w:rsidRPr="00380DE4" w:rsidRDefault="00241417" w:rsidP="003A71DE">
            <w:pPr>
              <w:pStyle w:val="TAH"/>
            </w:pPr>
            <w:r w:rsidRPr="00380DE4">
              <w:t xml:space="preserve">Burst format </w:t>
            </w:r>
            <w:r w:rsidRPr="00380DE4">
              <w:rPr>
                <w:lang w:eastAsia="zh-CN"/>
              </w:rPr>
              <w:t>B4</w:t>
            </w:r>
          </w:p>
        </w:tc>
        <w:tc>
          <w:tcPr>
            <w:tcW w:w="850" w:type="dxa"/>
            <w:vAlign w:val="center"/>
          </w:tcPr>
          <w:p w14:paraId="43AD32F7" w14:textId="77777777" w:rsidR="00241417" w:rsidRPr="00380DE4" w:rsidRDefault="00241417" w:rsidP="003A71DE">
            <w:pPr>
              <w:pStyle w:val="TAH"/>
            </w:pPr>
            <w:r w:rsidRPr="00380DE4">
              <w:t xml:space="preserve">Burst format </w:t>
            </w:r>
            <w:r w:rsidRPr="00380DE4">
              <w:rPr>
                <w:lang w:eastAsia="zh-CN"/>
              </w:rPr>
              <w:t>C0</w:t>
            </w:r>
          </w:p>
        </w:tc>
        <w:tc>
          <w:tcPr>
            <w:tcW w:w="993" w:type="dxa"/>
            <w:vAlign w:val="center"/>
          </w:tcPr>
          <w:p w14:paraId="66890133" w14:textId="77777777" w:rsidR="00241417" w:rsidRPr="00380DE4" w:rsidRDefault="00241417" w:rsidP="003A71DE">
            <w:pPr>
              <w:pStyle w:val="TAH"/>
            </w:pPr>
            <w:r w:rsidRPr="00380DE4">
              <w:t xml:space="preserve">Burst format </w:t>
            </w:r>
            <w:r w:rsidRPr="00380DE4">
              <w:rPr>
                <w:lang w:eastAsia="zh-CN"/>
              </w:rPr>
              <w:t>C2</w:t>
            </w:r>
          </w:p>
        </w:tc>
      </w:tr>
      <w:tr w:rsidR="00241417" w:rsidRPr="00380DE4" w14:paraId="281383C8" w14:textId="77777777" w:rsidTr="003A71DE">
        <w:trPr>
          <w:cantSplit/>
          <w:jc w:val="center"/>
        </w:trPr>
        <w:tc>
          <w:tcPr>
            <w:tcW w:w="1129" w:type="dxa"/>
            <w:vMerge w:val="restart"/>
            <w:vAlign w:val="center"/>
          </w:tcPr>
          <w:p w14:paraId="648F1FCC" w14:textId="77777777" w:rsidR="00241417" w:rsidRPr="00380DE4" w:rsidRDefault="00241417" w:rsidP="003A71DE">
            <w:pPr>
              <w:pStyle w:val="TAC"/>
            </w:pPr>
            <w:r w:rsidRPr="00380DE4">
              <w:t>1</w:t>
            </w:r>
          </w:p>
        </w:tc>
        <w:tc>
          <w:tcPr>
            <w:tcW w:w="993" w:type="dxa"/>
            <w:tcBorders>
              <w:bottom w:val="nil"/>
            </w:tcBorders>
            <w:vAlign w:val="center"/>
          </w:tcPr>
          <w:p w14:paraId="61C3D037" w14:textId="77777777" w:rsidR="00241417" w:rsidRPr="00380DE4" w:rsidRDefault="00241417" w:rsidP="003A71DE">
            <w:pPr>
              <w:pStyle w:val="TAC"/>
            </w:pPr>
            <w:r w:rsidRPr="00380DE4">
              <w:t>2</w:t>
            </w:r>
          </w:p>
        </w:tc>
        <w:tc>
          <w:tcPr>
            <w:tcW w:w="1417" w:type="dxa"/>
            <w:tcBorders>
              <w:bottom w:val="single" w:sz="4" w:space="0" w:color="auto"/>
            </w:tcBorders>
            <w:vAlign w:val="center"/>
          </w:tcPr>
          <w:p w14:paraId="3017B888" w14:textId="77777777" w:rsidR="00241417" w:rsidRPr="00380DE4" w:rsidRDefault="00241417" w:rsidP="003A71DE">
            <w:pPr>
              <w:pStyle w:val="TAC"/>
            </w:pPr>
            <w:r w:rsidRPr="00380DE4">
              <w:rPr>
                <w:lang w:eastAsia="zh-CN"/>
              </w:rPr>
              <w:t>TDLC300-100 Low</w:t>
            </w:r>
          </w:p>
        </w:tc>
        <w:tc>
          <w:tcPr>
            <w:tcW w:w="1134" w:type="dxa"/>
            <w:tcBorders>
              <w:bottom w:val="single" w:sz="4" w:space="0" w:color="auto"/>
            </w:tcBorders>
            <w:vAlign w:val="center"/>
          </w:tcPr>
          <w:p w14:paraId="190EF820" w14:textId="77777777" w:rsidR="00241417" w:rsidRPr="00380DE4" w:rsidRDefault="00241417" w:rsidP="003A71DE">
            <w:pPr>
              <w:pStyle w:val="TAC"/>
            </w:pPr>
            <w:r w:rsidRPr="00380DE4">
              <w:rPr>
                <w:lang w:eastAsia="zh-CN"/>
              </w:rPr>
              <w:t>400 Hz</w:t>
            </w:r>
          </w:p>
        </w:tc>
        <w:tc>
          <w:tcPr>
            <w:tcW w:w="992" w:type="dxa"/>
            <w:vAlign w:val="center"/>
          </w:tcPr>
          <w:p w14:paraId="6E51985F" w14:textId="77777777" w:rsidR="00241417" w:rsidRPr="00380DE4" w:rsidRDefault="00241417" w:rsidP="003A71DE">
            <w:pPr>
              <w:pStyle w:val="TAC"/>
            </w:pPr>
            <w:r w:rsidRPr="00380DE4">
              <w:t>-2.1</w:t>
            </w:r>
          </w:p>
        </w:tc>
        <w:tc>
          <w:tcPr>
            <w:tcW w:w="851" w:type="dxa"/>
            <w:vAlign w:val="center"/>
          </w:tcPr>
          <w:p w14:paraId="4B4F6FEB" w14:textId="77777777" w:rsidR="00241417" w:rsidRPr="00380DE4" w:rsidRDefault="00241417" w:rsidP="003A71DE">
            <w:pPr>
              <w:pStyle w:val="TAC"/>
            </w:pPr>
            <w:r w:rsidRPr="00380DE4">
              <w:t>-4.8</w:t>
            </w:r>
          </w:p>
        </w:tc>
        <w:tc>
          <w:tcPr>
            <w:tcW w:w="850" w:type="dxa"/>
            <w:vAlign w:val="center"/>
          </w:tcPr>
          <w:p w14:paraId="41856A81" w14:textId="77777777" w:rsidR="00241417" w:rsidRPr="00380DE4" w:rsidRDefault="00241417" w:rsidP="003A71DE">
            <w:pPr>
              <w:pStyle w:val="TAC"/>
            </w:pPr>
            <w:r w:rsidRPr="00380DE4">
              <w:t>-6.6</w:t>
            </w:r>
          </w:p>
        </w:tc>
        <w:tc>
          <w:tcPr>
            <w:tcW w:w="851" w:type="dxa"/>
            <w:vAlign w:val="center"/>
          </w:tcPr>
          <w:p w14:paraId="3653B26D" w14:textId="77777777" w:rsidR="00241417" w:rsidRPr="00380DE4" w:rsidRDefault="00241417" w:rsidP="003A71DE">
            <w:pPr>
              <w:pStyle w:val="TAC"/>
            </w:pPr>
            <w:r w:rsidRPr="00380DE4">
              <w:t>-8.8</w:t>
            </w:r>
          </w:p>
        </w:tc>
        <w:tc>
          <w:tcPr>
            <w:tcW w:w="850" w:type="dxa"/>
            <w:vAlign w:val="center"/>
          </w:tcPr>
          <w:p w14:paraId="43F0D817" w14:textId="77777777" w:rsidR="00241417" w:rsidRPr="00380DE4" w:rsidRDefault="00241417" w:rsidP="003A71DE">
            <w:pPr>
              <w:pStyle w:val="TAC"/>
            </w:pPr>
            <w:r w:rsidRPr="00380DE4">
              <w:t>0.8</w:t>
            </w:r>
          </w:p>
        </w:tc>
        <w:tc>
          <w:tcPr>
            <w:tcW w:w="993" w:type="dxa"/>
            <w:vAlign w:val="center"/>
          </w:tcPr>
          <w:p w14:paraId="099EB1B1" w14:textId="77777777" w:rsidR="00241417" w:rsidRPr="00380DE4" w:rsidRDefault="00241417" w:rsidP="003A71DE">
            <w:pPr>
              <w:pStyle w:val="TAC"/>
            </w:pPr>
            <w:r w:rsidRPr="00380DE4">
              <w:t>-4.9</w:t>
            </w:r>
          </w:p>
        </w:tc>
      </w:tr>
      <w:tr w:rsidR="00241417" w:rsidRPr="00380DE4" w14:paraId="02A0EE80" w14:textId="77777777" w:rsidTr="003A71DE">
        <w:trPr>
          <w:cantSplit/>
          <w:jc w:val="center"/>
        </w:trPr>
        <w:tc>
          <w:tcPr>
            <w:tcW w:w="1129" w:type="dxa"/>
            <w:vMerge/>
            <w:vAlign w:val="center"/>
          </w:tcPr>
          <w:p w14:paraId="0FB35724" w14:textId="77777777" w:rsidR="00241417" w:rsidRPr="00380DE4" w:rsidRDefault="00241417" w:rsidP="003A71DE">
            <w:pPr>
              <w:pStyle w:val="TAC"/>
            </w:pPr>
          </w:p>
        </w:tc>
        <w:tc>
          <w:tcPr>
            <w:tcW w:w="993" w:type="dxa"/>
            <w:tcBorders>
              <w:bottom w:val="nil"/>
            </w:tcBorders>
            <w:vAlign w:val="center"/>
          </w:tcPr>
          <w:p w14:paraId="6E22BE7E" w14:textId="77777777" w:rsidR="00241417" w:rsidRPr="00380DE4" w:rsidRDefault="00241417" w:rsidP="003A71DE">
            <w:pPr>
              <w:pStyle w:val="TAC"/>
            </w:pPr>
            <w:r w:rsidRPr="00380DE4">
              <w:rPr>
                <w:lang w:eastAsia="zh-CN"/>
              </w:rPr>
              <w:t>4</w:t>
            </w:r>
          </w:p>
        </w:tc>
        <w:tc>
          <w:tcPr>
            <w:tcW w:w="1417" w:type="dxa"/>
            <w:tcBorders>
              <w:bottom w:val="single" w:sz="4" w:space="0" w:color="auto"/>
            </w:tcBorders>
            <w:vAlign w:val="center"/>
          </w:tcPr>
          <w:p w14:paraId="45F2CD60" w14:textId="77777777" w:rsidR="00241417" w:rsidRPr="00380DE4" w:rsidRDefault="00241417" w:rsidP="003A71DE">
            <w:pPr>
              <w:pStyle w:val="TAC"/>
            </w:pPr>
            <w:r w:rsidRPr="00380DE4">
              <w:rPr>
                <w:lang w:eastAsia="zh-CN"/>
              </w:rPr>
              <w:t>TDLC300-100 Low</w:t>
            </w:r>
          </w:p>
        </w:tc>
        <w:tc>
          <w:tcPr>
            <w:tcW w:w="1134" w:type="dxa"/>
            <w:tcBorders>
              <w:bottom w:val="single" w:sz="4" w:space="0" w:color="auto"/>
            </w:tcBorders>
            <w:vAlign w:val="center"/>
          </w:tcPr>
          <w:p w14:paraId="0EBDC168" w14:textId="77777777" w:rsidR="00241417" w:rsidRPr="00380DE4" w:rsidRDefault="00241417" w:rsidP="003A71DE">
            <w:pPr>
              <w:pStyle w:val="TAC"/>
            </w:pPr>
            <w:r w:rsidRPr="00380DE4">
              <w:rPr>
                <w:lang w:eastAsia="zh-CN"/>
              </w:rPr>
              <w:t>400 Hz</w:t>
            </w:r>
          </w:p>
        </w:tc>
        <w:tc>
          <w:tcPr>
            <w:tcW w:w="992" w:type="dxa"/>
            <w:vAlign w:val="center"/>
          </w:tcPr>
          <w:p w14:paraId="20B16AFB" w14:textId="77777777" w:rsidR="00241417" w:rsidRPr="00380DE4" w:rsidRDefault="00241417" w:rsidP="003A71DE">
            <w:pPr>
              <w:pStyle w:val="TAC"/>
            </w:pPr>
            <w:r w:rsidRPr="00380DE4">
              <w:t>-7.3</w:t>
            </w:r>
          </w:p>
        </w:tc>
        <w:tc>
          <w:tcPr>
            <w:tcW w:w="851" w:type="dxa"/>
            <w:vAlign w:val="center"/>
          </w:tcPr>
          <w:p w14:paraId="5161DB80" w14:textId="77777777" w:rsidR="00241417" w:rsidRPr="00380DE4" w:rsidRDefault="00241417" w:rsidP="003A71DE">
            <w:pPr>
              <w:pStyle w:val="TAC"/>
            </w:pPr>
            <w:r w:rsidRPr="00380DE4">
              <w:t>-10.3</w:t>
            </w:r>
          </w:p>
        </w:tc>
        <w:tc>
          <w:tcPr>
            <w:tcW w:w="850" w:type="dxa"/>
            <w:vAlign w:val="center"/>
          </w:tcPr>
          <w:p w14:paraId="322E9FCF" w14:textId="77777777" w:rsidR="00241417" w:rsidRPr="00380DE4" w:rsidRDefault="00241417" w:rsidP="003A71DE">
            <w:pPr>
              <w:pStyle w:val="TAC"/>
            </w:pPr>
            <w:r w:rsidRPr="00380DE4">
              <w:t>-11.7</w:t>
            </w:r>
          </w:p>
        </w:tc>
        <w:tc>
          <w:tcPr>
            <w:tcW w:w="851" w:type="dxa"/>
            <w:vAlign w:val="center"/>
          </w:tcPr>
          <w:p w14:paraId="41B587AA" w14:textId="77777777" w:rsidR="00241417" w:rsidRPr="00380DE4" w:rsidRDefault="00241417" w:rsidP="003A71DE">
            <w:pPr>
              <w:pStyle w:val="TAC"/>
            </w:pPr>
            <w:r w:rsidRPr="00380DE4">
              <w:t>-13.8</w:t>
            </w:r>
          </w:p>
        </w:tc>
        <w:tc>
          <w:tcPr>
            <w:tcW w:w="850" w:type="dxa"/>
            <w:vAlign w:val="center"/>
          </w:tcPr>
          <w:p w14:paraId="6C2258D3" w14:textId="77777777" w:rsidR="00241417" w:rsidRPr="00380DE4" w:rsidRDefault="00241417" w:rsidP="003A71DE">
            <w:pPr>
              <w:pStyle w:val="TAC"/>
            </w:pPr>
            <w:r w:rsidRPr="00380DE4">
              <w:t>-4.3</w:t>
            </w:r>
          </w:p>
        </w:tc>
        <w:tc>
          <w:tcPr>
            <w:tcW w:w="993" w:type="dxa"/>
            <w:vAlign w:val="center"/>
          </w:tcPr>
          <w:p w14:paraId="7CB68F35" w14:textId="77777777" w:rsidR="00241417" w:rsidRPr="00380DE4" w:rsidRDefault="00241417" w:rsidP="003A71DE">
            <w:pPr>
              <w:pStyle w:val="TAC"/>
            </w:pPr>
            <w:r w:rsidRPr="00380DE4">
              <w:t>-10.2</w:t>
            </w:r>
          </w:p>
        </w:tc>
      </w:tr>
      <w:tr w:rsidR="00241417" w:rsidRPr="00380DE4" w14:paraId="2A41EE4C" w14:textId="77777777" w:rsidTr="003A71DE">
        <w:trPr>
          <w:cantSplit/>
          <w:jc w:val="center"/>
        </w:trPr>
        <w:tc>
          <w:tcPr>
            <w:tcW w:w="1129" w:type="dxa"/>
            <w:vMerge/>
            <w:tcBorders>
              <w:bottom w:val="single" w:sz="4" w:space="0" w:color="auto"/>
            </w:tcBorders>
            <w:vAlign w:val="center"/>
          </w:tcPr>
          <w:p w14:paraId="72EA5CEB" w14:textId="77777777" w:rsidR="00241417" w:rsidRPr="00380DE4" w:rsidRDefault="00241417" w:rsidP="003A71DE">
            <w:pPr>
              <w:pStyle w:val="TAC"/>
            </w:pPr>
          </w:p>
        </w:tc>
        <w:tc>
          <w:tcPr>
            <w:tcW w:w="993" w:type="dxa"/>
            <w:tcBorders>
              <w:bottom w:val="single" w:sz="4" w:space="0" w:color="auto"/>
            </w:tcBorders>
            <w:vAlign w:val="center"/>
          </w:tcPr>
          <w:p w14:paraId="23FB9AF6" w14:textId="77777777" w:rsidR="00241417" w:rsidRPr="00380DE4" w:rsidRDefault="00241417" w:rsidP="003A71DE">
            <w:pPr>
              <w:pStyle w:val="TAC"/>
            </w:pPr>
            <w:r w:rsidRPr="00380DE4">
              <w:rPr>
                <w:lang w:eastAsia="zh-CN"/>
              </w:rPr>
              <w:t>8</w:t>
            </w:r>
          </w:p>
        </w:tc>
        <w:tc>
          <w:tcPr>
            <w:tcW w:w="1417" w:type="dxa"/>
            <w:tcBorders>
              <w:bottom w:val="single" w:sz="4" w:space="0" w:color="auto"/>
            </w:tcBorders>
            <w:vAlign w:val="center"/>
          </w:tcPr>
          <w:p w14:paraId="06749607" w14:textId="77777777" w:rsidR="00241417" w:rsidRPr="00380DE4" w:rsidRDefault="00241417" w:rsidP="003A71DE">
            <w:pPr>
              <w:pStyle w:val="TAC"/>
            </w:pPr>
            <w:r w:rsidRPr="00380DE4">
              <w:rPr>
                <w:lang w:eastAsia="zh-CN"/>
              </w:rPr>
              <w:t>TDLC300-100 Low</w:t>
            </w:r>
          </w:p>
        </w:tc>
        <w:tc>
          <w:tcPr>
            <w:tcW w:w="1134" w:type="dxa"/>
            <w:tcBorders>
              <w:bottom w:val="single" w:sz="4" w:space="0" w:color="auto"/>
            </w:tcBorders>
            <w:vAlign w:val="center"/>
          </w:tcPr>
          <w:p w14:paraId="41AC4909" w14:textId="77777777" w:rsidR="00241417" w:rsidRPr="00380DE4" w:rsidRDefault="00241417" w:rsidP="003A71DE">
            <w:pPr>
              <w:pStyle w:val="TAC"/>
            </w:pPr>
            <w:r w:rsidRPr="00380DE4">
              <w:rPr>
                <w:lang w:eastAsia="zh-CN"/>
              </w:rPr>
              <w:t>400 Hz</w:t>
            </w:r>
          </w:p>
        </w:tc>
        <w:tc>
          <w:tcPr>
            <w:tcW w:w="992" w:type="dxa"/>
            <w:vAlign w:val="center"/>
          </w:tcPr>
          <w:p w14:paraId="097AA47B" w14:textId="77777777" w:rsidR="00241417" w:rsidRPr="00380DE4" w:rsidRDefault="00241417" w:rsidP="003A71DE">
            <w:pPr>
              <w:pStyle w:val="TAC"/>
            </w:pPr>
            <w:r w:rsidRPr="00380DE4">
              <w:t>-11.0</w:t>
            </w:r>
          </w:p>
        </w:tc>
        <w:tc>
          <w:tcPr>
            <w:tcW w:w="851" w:type="dxa"/>
            <w:vAlign w:val="center"/>
          </w:tcPr>
          <w:p w14:paraId="4104BDBA" w14:textId="77777777" w:rsidR="00241417" w:rsidRPr="00380DE4" w:rsidRDefault="00241417" w:rsidP="003A71DE">
            <w:pPr>
              <w:pStyle w:val="TAC"/>
            </w:pPr>
            <w:r w:rsidRPr="00380DE4">
              <w:t>-13.9</w:t>
            </w:r>
          </w:p>
        </w:tc>
        <w:tc>
          <w:tcPr>
            <w:tcW w:w="850" w:type="dxa"/>
            <w:vAlign w:val="center"/>
          </w:tcPr>
          <w:p w14:paraId="6DEF6781" w14:textId="77777777" w:rsidR="00241417" w:rsidRPr="00380DE4" w:rsidRDefault="00241417" w:rsidP="003A71DE">
            <w:pPr>
              <w:pStyle w:val="TAC"/>
            </w:pPr>
            <w:r w:rsidRPr="00380DE4">
              <w:t>-15.2</w:t>
            </w:r>
          </w:p>
        </w:tc>
        <w:tc>
          <w:tcPr>
            <w:tcW w:w="851" w:type="dxa"/>
            <w:vAlign w:val="center"/>
          </w:tcPr>
          <w:p w14:paraId="14629F06" w14:textId="77777777" w:rsidR="00241417" w:rsidRPr="00380DE4" w:rsidRDefault="00241417" w:rsidP="003A71DE">
            <w:pPr>
              <w:pStyle w:val="TAC"/>
            </w:pPr>
            <w:r w:rsidRPr="00380DE4">
              <w:t>-17.3</w:t>
            </w:r>
          </w:p>
        </w:tc>
        <w:tc>
          <w:tcPr>
            <w:tcW w:w="850" w:type="dxa"/>
            <w:vAlign w:val="center"/>
          </w:tcPr>
          <w:p w14:paraId="267B7708" w14:textId="77777777" w:rsidR="00241417" w:rsidRPr="00380DE4" w:rsidRDefault="00241417" w:rsidP="003A71DE">
            <w:pPr>
              <w:pStyle w:val="TAC"/>
            </w:pPr>
            <w:r w:rsidRPr="00380DE4">
              <w:t>-8.1</w:t>
            </w:r>
          </w:p>
        </w:tc>
        <w:tc>
          <w:tcPr>
            <w:tcW w:w="993" w:type="dxa"/>
            <w:vAlign w:val="center"/>
          </w:tcPr>
          <w:p w14:paraId="69923D2E" w14:textId="77777777" w:rsidR="00241417" w:rsidRPr="00380DE4" w:rsidRDefault="00241417" w:rsidP="003A71DE">
            <w:pPr>
              <w:pStyle w:val="TAC"/>
            </w:pPr>
            <w:r w:rsidRPr="00380DE4">
              <w:t>-13.9</w:t>
            </w:r>
          </w:p>
        </w:tc>
      </w:tr>
    </w:tbl>
    <w:p w14:paraId="3E5F9241" w14:textId="77777777" w:rsidR="00241417" w:rsidRPr="00380DE4" w:rsidRDefault="00241417" w:rsidP="00241417"/>
    <w:p w14:paraId="737AADBD" w14:textId="77777777" w:rsidR="00241417" w:rsidRPr="00380DE4" w:rsidRDefault="00241417" w:rsidP="00241417">
      <w:pPr>
        <w:pStyle w:val="TH"/>
      </w:pPr>
      <w:r w:rsidRPr="00380DE4">
        <w:lastRenderedPageBreak/>
        <w:t>Table 8.</w:t>
      </w:r>
      <w:r>
        <w:t>1.</w:t>
      </w:r>
      <w:r w:rsidRPr="00380DE4">
        <w:t>4.</w:t>
      </w:r>
      <w:r w:rsidRPr="00380DE4">
        <w:rPr>
          <w:lang w:eastAsia="zh-CN"/>
        </w:rPr>
        <w:t>2</w:t>
      </w:r>
      <w:r w:rsidRPr="00380DE4">
        <w:t>.</w:t>
      </w:r>
      <w:r w:rsidRPr="00380DE4">
        <w:rPr>
          <w:lang w:eastAsia="zh-CN"/>
        </w:rPr>
        <w:t>2</w:t>
      </w:r>
      <w:r w:rsidRPr="00380DE4">
        <w:t>-</w:t>
      </w:r>
      <w:r w:rsidRPr="00380DE4">
        <w:rPr>
          <w:lang w:eastAsia="zh-CN"/>
        </w:rPr>
        <w:t>3</w:t>
      </w:r>
      <w:r w:rsidRPr="00380DE4">
        <w:t>: PRACH missed detection requirements for Normal Mode</w:t>
      </w:r>
      <w:r w:rsidRPr="00380DE4">
        <w:rPr>
          <w:lang w:eastAsia="zh-CN"/>
        </w:rPr>
        <w:t>, 30 kHz SCS</w:t>
      </w:r>
    </w:p>
    <w:tbl>
      <w:tblPr>
        <w:tblStyle w:val="TableGrid15"/>
        <w:tblW w:w="10060" w:type="dxa"/>
        <w:jc w:val="center"/>
        <w:tblInd w:w="0" w:type="dxa"/>
        <w:tblLayout w:type="fixed"/>
        <w:tblLook w:val="04A0" w:firstRow="1" w:lastRow="0" w:firstColumn="1" w:lastColumn="0" w:noHBand="0" w:noVBand="1"/>
      </w:tblPr>
      <w:tblGrid>
        <w:gridCol w:w="1129"/>
        <w:gridCol w:w="993"/>
        <w:gridCol w:w="1417"/>
        <w:gridCol w:w="1134"/>
        <w:gridCol w:w="992"/>
        <w:gridCol w:w="851"/>
        <w:gridCol w:w="850"/>
        <w:gridCol w:w="851"/>
        <w:gridCol w:w="850"/>
        <w:gridCol w:w="993"/>
      </w:tblGrid>
      <w:tr w:rsidR="00241417" w:rsidRPr="00380DE4" w14:paraId="4DCBD4A4" w14:textId="77777777" w:rsidTr="003A71DE">
        <w:trPr>
          <w:cantSplit/>
          <w:jc w:val="center"/>
        </w:trPr>
        <w:tc>
          <w:tcPr>
            <w:tcW w:w="1129" w:type="dxa"/>
            <w:vMerge w:val="restart"/>
            <w:vAlign w:val="center"/>
          </w:tcPr>
          <w:p w14:paraId="44681B9A" w14:textId="77777777" w:rsidR="00241417" w:rsidRPr="00380DE4" w:rsidRDefault="00241417" w:rsidP="003A71DE">
            <w:pPr>
              <w:pStyle w:val="TAH"/>
            </w:pPr>
            <w:r w:rsidRPr="00380DE4">
              <w:t>Number of</w:t>
            </w:r>
            <w:r>
              <w:t xml:space="preserve"> </w:t>
            </w:r>
            <w:r w:rsidRPr="00380DE4">
              <w:rPr>
                <w:lang w:eastAsia="zh-CN"/>
              </w:rPr>
              <w:t>T</w:t>
            </w:r>
            <w:r w:rsidRPr="00380DE4">
              <w:t>X antennas</w:t>
            </w:r>
          </w:p>
        </w:tc>
        <w:tc>
          <w:tcPr>
            <w:tcW w:w="993" w:type="dxa"/>
            <w:vMerge w:val="restart"/>
            <w:vAlign w:val="center"/>
          </w:tcPr>
          <w:p w14:paraId="68F7CB2B" w14:textId="77777777" w:rsidR="00241417" w:rsidRPr="00380DE4" w:rsidRDefault="00241417" w:rsidP="003A71DE">
            <w:pPr>
              <w:pStyle w:val="TAH"/>
            </w:pPr>
            <w:r w:rsidRPr="00380DE4">
              <w:t xml:space="preserve">Number of </w:t>
            </w:r>
            <w:r>
              <w:t>Demodulation Branches</w:t>
            </w:r>
          </w:p>
        </w:tc>
        <w:tc>
          <w:tcPr>
            <w:tcW w:w="1417" w:type="dxa"/>
            <w:vMerge w:val="restart"/>
            <w:vAlign w:val="center"/>
          </w:tcPr>
          <w:p w14:paraId="053A23DD" w14:textId="509BE65F" w:rsidR="00241417" w:rsidRPr="00380DE4" w:rsidRDefault="00241417" w:rsidP="003A71DE">
            <w:pPr>
              <w:pStyle w:val="TAH"/>
            </w:pPr>
            <w:r w:rsidRPr="00380DE4">
              <w:rPr>
                <w:lang w:val="fr-FR"/>
              </w:rPr>
              <w:t>Propagation</w:t>
            </w:r>
            <w:r>
              <w:rPr>
                <w:lang w:val="fr-FR"/>
              </w:rPr>
              <w:t xml:space="preserve"> </w:t>
            </w:r>
            <w:r w:rsidRPr="00380DE4">
              <w:t xml:space="preserve">conditions and correlation matrix (Annex </w:t>
            </w:r>
            <w:r>
              <w:t>TBA</w:t>
            </w:r>
            <w:r w:rsidRPr="00380DE4">
              <w:t>)</w:t>
            </w:r>
          </w:p>
        </w:tc>
        <w:tc>
          <w:tcPr>
            <w:tcW w:w="1134" w:type="dxa"/>
            <w:vMerge w:val="restart"/>
            <w:vAlign w:val="center"/>
          </w:tcPr>
          <w:p w14:paraId="227E96B3" w14:textId="77777777" w:rsidR="00241417" w:rsidRPr="00380DE4" w:rsidRDefault="00241417" w:rsidP="003A71DE">
            <w:pPr>
              <w:pStyle w:val="TAH"/>
            </w:pPr>
            <w:r w:rsidRPr="00380DE4">
              <w:t>Frequency</w:t>
            </w:r>
            <w:r>
              <w:t xml:space="preserve"> </w:t>
            </w:r>
            <w:r w:rsidRPr="00380DE4">
              <w:t>offset</w:t>
            </w:r>
          </w:p>
        </w:tc>
        <w:tc>
          <w:tcPr>
            <w:tcW w:w="5387" w:type="dxa"/>
            <w:gridSpan w:val="6"/>
            <w:vAlign w:val="center"/>
          </w:tcPr>
          <w:p w14:paraId="6D681A74" w14:textId="77777777" w:rsidR="00241417" w:rsidRPr="00380DE4" w:rsidRDefault="00241417" w:rsidP="003A71DE">
            <w:pPr>
              <w:pStyle w:val="TAH"/>
            </w:pPr>
            <w:r w:rsidRPr="00380DE4">
              <w:t>SNR (dB)</w:t>
            </w:r>
          </w:p>
        </w:tc>
      </w:tr>
      <w:tr w:rsidR="00241417" w:rsidRPr="00380DE4" w14:paraId="714A0A36" w14:textId="77777777" w:rsidTr="003A71DE">
        <w:trPr>
          <w:cantSplit/>
          <w:jc w:val="center"/>
        </w:trPr>
        <w:tc>
          <w:tcPr>
            <w:tcW w:w="1129" w:type="dxa"/>
            <w:vMerge/>
            <w:tcBorders>
              <w:bottom w:val="single" w:sz="4" w:space="0" w:color="auto"/>
            </w:tcBorders>
            <w:vAlign w:val="center"/>
          </w:tcPr>
          <w:p w14:paraId="1FA98533" w14:textId="77777777" w:rsidR="00241417" w:rsidRPr="00380DE4" w:rsidRDefault="00241417" w:rsidP="003A71DE">
            <w:pPr>
              <w:pStyle w:val="TAH"/>
            </w:pPr>
          </w:p>
        </w:tc>
        <w:tc>
          <w:tcPr>
            <w:tcW w:w="993" w:type="dxa"/>
            <w:vMerge/>
            <w:tcBorders>
              <w:bottom w:val="single" w:sz="4" w:space="0" w:color="auto"/>
            </w:tcBorders>
            <w:vAlign w:val="center"/>
          </w:tcPr>
          <w:p w14:paraId="4567C567" w14:textId="77777777" w:rsidR="00241417" w:rsidRPr="00380DE4" w:rsidRDefault="00241417" w:rsidP="003A71DE">
            <w:pPr>
              <w:pStyle w:val="TAH"/>
            </w:pPr>
          </w:p>
        </w:tc>
        <w:tc>
          <w:tcPr>
            <w:tcW w:w="1417" w:type="dxa"/>
            <w:vMerge/>
            <w:tcBorders>
              <w:bottom w:val="single" w:sz="4" w:space="0" w:color="auto"/>
            </w:tcBorders>
            <w:vAlign w:val="center"/>
          </w:tcPr>
          <w:p w14:paraId="390CCC05" w14:textId="77777777" w:rsidR="00241417" w:rsidRPr="00380DE4" w:rsidRDefault="00241417" w:rsidP="003A71DE">
            <w:pPr>
              <w:pStyle w:val="TAH"/>
            </w:pPr>
          </w:p>
        </w:tc>
        <w:tc>
          <w:tcPr>
            <w:tcW w:w="1134" w:type="dxa"/>
            <w:vMerge/>
            <w:tcBorders>
              <w:bottom w:val="single" w:sz="4" w:space="0" w:color="auto"/>
            </w:tcBorders>
            <w:vAlign w:val="center"/>
          </w:tcPr>
          <w:p w14:paraId="3AFBC039" w14:textId="77777777" w:rsidR="00241417" w:rsidRPr="00380DE4" w:rsidRDefault="00241417" w:rsidP="003A71DE">
            <w:pPr>
              <w:pStyle w:val="TAH"/>
            </w:pPr>
          </w:p>
        </w:tc>
        <w:tc>
          <w:tcPr>
            <w:tcW w:w="992" w:type="dxa"/>
            <w:vAlign w:val="center"/>
          </w:tcPr>
          <w:p w14:paraId="670A0D77" w14:textId="77777777" w:rsidR="00241417" w:rsidRPr="00380DE4" w:rsidRDefault="00241417" w:rsidP="003A71DE">
            <w:pPr>
              <w:pStyle w:val="TAH"/>
            </w:pPr>
            <w:r w:rsidRPr="00380DE4">
              <w:t xml:space="preserve">Burst format </w:t>
            </w:r>
            <w:r w:rsidRPr="00380DE4">
              <w:rPr>
                <w:lang w:eastAsia="zh-CN"/>
              </w:rPr>
              <w:t>A1</w:t>
            </w:r>
          </w:p>
        </w:tc>
        <w:tc>
          <w:tcPr>
            <w:tcW w:w="851" w:type="dxa"/>
            <w:vAlign w:val="center"/>
          </w:tcPr>
          <w:p w14:paraId="07B3885E" w14:textId="77777777" w:rsidR="00241417" w:rsidRPr="00380DE4" w:rsidRDefault="00241417" w:rsidP="003A71DE">
            <w:pPr>
              <w:pStyle w:val="TAH"/>
            </w:pPr>
            <w:r w:rsidRPr="00380DE4">
              <w:t xml:space="preserve">Burst format </w:t>
            </w:r>
            <w:r w:rsidRPr="00380DE4">
              <w:rPr>
                <w:lang w:eastAsia="zh-CN"/>
              </w:rPr>
              <w:t>A2</w:t>
            </w:r>
          </w:p>
        </w:tc>
        <w:tc>
          <w:tcPr>
            <w:tcW w:w="850" w:type="dxa"/>
            <w:vAlign w:val="center"/>
          </w:tcPr>
          <w:p w14:paraId="0D83347A" w14:textId="77777777" w:rsidR="00241417" w:rsidRPr="00380DE4" w:rsidRDefault="00241417" w:rsidP="003A71DE">
            <w:pPr>
              <w:pStyle w:val="TAH"/>
            </w:pPr>
            <w:r w:rsidRPr="00380DE4">
              <w:t xml:space="preserve">Burst format </w:t>
            </w:r>
            <w:r w:rsidRPr="00380DE4">
              <w:rPr>
                <w:lang w:eastAsia="zh-CN"/>
              </w:rPr>
              <w:t>A3</w:t>
            </w:r>
          </w:p>
        </w:tc>
        <w:tc>
          <w:tcPr>
            <w:tcW w:w="851" w:type="dxa"/>
            <w:vAlign w:val="center"/>
          </w:tcPr>
          <w:p w14:paraId="7D80D3E1" w14:textId="77777777" w:rsidR="00241417" w:rsidRPr="00380DE4" w:rsidRDefault="00241417" w:rsidP="003A71DE">
            <w:pPr>
              <w:pStyle w:val="TAH"/>
            </w:pPr>
            <w:r w:rsidRPr="00380DE4">
              <w:t xml:space="preserve">Burst format </w:t>
            </w:r>
            <w:r w:rsidRPr="00380DE4">
              <w:rPr>
                <w:lang w:eastAsia="zh-CN"/>
              </w:rPr>
              <w:t>B4</w:t>
            </w:r>
          </w:p>
        </w:tc>
        <w:tc>
          <w:tcPr>
            <w:tcW w:w="850" w:type="dxa"/>
            <w:vAlign w:val="center"/>
          </w:tcPr>
          <w:p w14:paraId="524D5B58" w14:textId="77777777" w:rsidR="00241417" w:rsidRPr="00380DE4" w:rsidRDefault="00241417" w:rsidP="003A71DE">
            <w:pPr>
              <w:pStyle w:val="TAH"/>
            </w:pPr>
            <w:r w:rsidRPr="00380DE4">
              <w:t xml:space="preserve">Burst format </w:t>
            </w:r>
            <w:r w:rsidRPr="00380DE4">
              <w:rPr>
                <w:lang w:eastAsia="zh-CN"/>
              </w:rPr>
              <w:t>C0</w:t>
            </w:r>
          </w:p>
        </w:tc>
        <w:tc>
          <w:tcPr>
            <w:tcW w:w="993" w:type="dxa"/>
            <w:vAlign w:val="center"/>
          </w:tcPr>
          <w:p w14:paraId="7CB61B80" w14:textId="77777777" w:rsidR="00241417" w:rsidRPr="00380DE4" w:rsidRDefault="00241417" w:rsidP="003A71DE">
            <w:pPr>
              <w:pStyle w:val="TAH"/>
            </w:pPr>
            <w:r w:rsidRPr="00380DE4">
              <w:t xml:space="preserve">Burst format </w:t>
            </w:r>
            <w:r w:rsidRPr="00380DE4">
              <w:rPr>
                <w:lang w:eastAsia="zh-CN"/>
              </w:rPr>
              <w:t>C2</w:t>
            </w:r>
          </w:p>
        </w:tc>
      </w:tr>
      <w:tr w:rsidR="00241417" w:rsidRPr="00380DE4" w14:paraId="69B2853E" w14:textId="77777777" w:rsidTr="003A71DE">
        <w:trPr>
          <w:cantSplit/>
          <w:jc w:val="center"/>
        </w:trPr>
        <w:tc>
          <w:tcPr>
            <w:tcW w:w="1129" w:type="dxa"/>
            <w:vMerge w:val="restart"/>
            <w:vAlign w:val="center"/>
          </w:tcPr>
          <w:p w14:paraId="4076BE9D" w14:textId="77777777" w:rsidR="00241417" w:rsidRPr="00380DE4" w:rsidRDefault="00241417" w:rsidP="003A71DE">
            <w:pPr>
              <w:pStyle w:val="TAC"/>
            </w:pPr>
            <w:r w:rsidRPr="00380DE4">
              <w:t>1</w:t>
            </w:r>
          </w:p>
        </w:tc>
        <w:tc>
          <w:tcPr>
            <w:tcW w:w="993" w:type="dxa"/>
            <w:tcBorders>
              <w:bottom w:val="nil"/>
            </w:tcBorders>
            <w:vAlign w:val="center"/>
          </w:tcPr>
          <w:p w14:paraId="267B76C3" w14:textId="77777777" w:rsidR="00241417" w:rsidRPr="00380DE4" w:rsidRDefault="00241417" w:rsidP="003A71DE">
            <w:pPr>
              <w:pStyle w:val="TAC"/>
            </w:pPr>
            <w:r w:rsidRPr="00380DE4">
              <w:t>2</w:t>
            </w:r>
          </w:p>
        </w:tc>
        <w:tc>
          <w:tcPr>
            <w:tcW w:w="1417" w:type="dxa"/>
            <w:tcBorders>
              <w:bottom w:val="single" w:sz="4" w:space="0" w:color="auto"/>
            </w:tcBorders>
            <w:vAlign w:val="center"/>
          </w:tcPr>
          <w:p w14:paraId="6987D5A1" w14:textId="77777777" w:rsidR="00241417" w:rsidRPr="00380DE4" w:rsidRDefault="00241417" w:rsidP="003A71DE">
            <w:pPr>
              <w:pStyle w:val="TAC"/>
            </w:pPr>
            <w:r w:rsidRPr="00380DE4">
              <w:rPr>
                <w:lang w:eastAsia="zh-CN"/>
              </w:rPr>
              <w:t>TDLC300-100 Low</w:t>
            </w:r>
          </w:p>
        </w:tc>
        <w:tc>
          <w:tcPr>
            <w:tcW w:w="1134" w:type="dxa"/>
            <w:tcBorders>
              <w:bottom w:val="single" w:sz="4" w:space="0" w:color="auto"/>
            </w:tcBorders>
            <w:vAlign w:val="center"/>
          </w:tcPr>
          <w:p w14:paraId="1B1B6392" w14:textId="77777777" w:rsidR="00241417" w:rsidRPr="00380DE4" w:rsidRDefault="00241417" w:rsidP="003A71DE">
            <w:pPr>
              <w:pStyle w:val="TAC"/>
            </w:pPr>
            <w:r w:rsidRPr="00380DE4">
              <w:rPr>
                <w:lang w:eastAsia="zh-CN"/>
              </w:rPr>
              <w:t>400 Hz</w:t>
            </w:r>
          </w:p>
        </w:tc>
        <w:tc>
          <w:tcPr>
            <w:tcW w:w="992" w:type="dxa"/>
            <w:vAlign w:val="center"/>
          </w:tcPr>
          <w:p w14:paraId="04C7A8F7" w14:textId="77777777" w:rsidR="00241417" w:rsidRPr="00380DE4" w:rsidRDefault="00241417" w:rsidP="003A71DE">
            <w:pPr>
              <w:pStyle w:val="TAC"/>
            </w:pPr>
            <w:r w:rsidRPr="00380DE4">
              <w:t>-2.8</w:t>
            </w:r>
          </w:p>
        </w:tc>
        <w:tc>
          <w:tcPr>
            <w:tcW w:w="851" w:type="dxa"/>
            <w:vAlign w:val="center"/>
          </w:tcPr>
          <w:p w14:paraId="7AA9C5CC" w14:textId="77777777" w:rsidR="00241417" w:rsidRPr="00380DE4" w:rsidRDefault="00241417" w:rsidP="003A71DE">
            <w:pPr>
              <w:pStyle w:val="TAC"/>
            </w:pPr>
            <w:r w:rsidRPr="00380DE4">
              <w:t>-5.7</w:t>
            </w:r>
          </w:p>
        </w:tc>
        <w:tc>
          <w:tcPr>
            <w:tcW w:w="850" w:type="dxa"/>
            <w:vAlign w:val="center"/>
          </w:tcPr>
          <w:p w14:paraId="5E161A8B" w14:textId="77777777" w:rsidR="00241417" w:rsidRPr="00380DE4" w:rsidRDefault="00241417" w:rsidP="003A71DE">
            <w:pPr>
              <w:pStyle w:val="TAC"/>
            </w:pPr>
            <w:r w:rsidRPr="00380DE4">
              <w:t>-7.4</w:t>
            </w:r>
          </w:p>
        </w:tc>
        <w:tc>
          <w:tcPr>
            <w:tcW w:w="851" w:type="dxa"/>
            <w:vAlign w:val="center"/>
          </w:tcPr>
          <w:p w14:paraId="11053505" w14:textId="77777777" w:rsidR="00241417" w:rsidRPr="00380DE4" w:rsidRDefault="00241417" w:rsidP="003A71DE">
            <w:pPr>
              <w:pStyle w:val="TAC"/>
            </w:pPr>
            <w:r w:rsidRPr="00380DE4">
              <w:t>-9.9</w:t>
            </w:r>
          </w:p>
        </w:tc>
        <w:tc>
          <w:tcPr>
            <w:tcW w:w="850" w:type="dxa"/>
            <w:vAlign w:val="center"/>
          </w:tcPr>
          <w:p w14:paraId="0FCFB139" w14:textId="77777777" w:rsidR="00241417" w:rsidRPr="00380DE4" w:rsidRDefault="00241417" w:rsidP="003A71DE">
            <w:pPr>
              <w:pStyle w:val="TAC"/>
            </w:pPr>
            <w:r w:rsidRPr="00380DE4">
              <w:t>0.1</w:t>
            </w:r>
          </w:p>
        </w:tc>
        <w:tc>
          <w:tcPr>
            <w:tcW w:w="993" w:type="dxa"/>
            <w:vAlign w:val="center"/>
          </w:tcPr>
          <w:p w14:paraId="2DCE9839" w14:textId="77777777" w:rsidR="00241417" w:rsidRPr="00380DE4" w:rsidRDefault="00241417" w:rsidP="003A71DE">
            <w:pPr>
              <w:pStyle w:val="TAC"/>
            </w:pPr>
            <w:r w:rsidRPr="00380DE4">
              <w:t>-5.6</w:t>
            </w:r>
          </w:p>
        </w:tc>
      </w:tr>
      <w:tr w:rsidR="00241417" w:rsidRPr="00380DE4" w14:paraId="0AABE727" w14:textId="77777777" w:rsidTr="003A71DE">
        <w:trPr>
          <w:cantSplit/>
          <w:jc w:val="center"/>
        </w:trPr>
        <w:tc>
          <w:tcPr>
            <w:tcW w:w="1129" w:type="dxa"/>
            <w:vMerge/>
            <w:vAlign w:val="center"/>
          </w:tcPr>
          <w:p w14:paraId="00AE80C1" w14:textId="77777777" w:rsidR="00241417" w:rsidRPr="00380DE4" w:rsidRDefault="00241417" w:rsidP="003A71DE">
            <w:pPr>
              <w:pStyle w:val="TAC"/>
            </w:pPr>
          </w:p>
        </w:tc>
        <w:tc>
          <w:tcPr>
            <w:tcW w:w="993" w:type="dxa"/>
            <w:tcBorders>
              <w:bottom w:val="nil"/>
            </w:tcBorders>
            <w:vAlign w:val="center"/>
          </w:tcPr>
          <w:p w14:paraId="418E2ECD" w14:textId="77777777" w:rsidR="00241417" w:rsidRPr="00380DE4" w:rsidRDefault="00241417" w:rsidP="003A71DE">
            <w:pPr>
              <w:pStyle w:val="TAC"/>
            </w:pPr>
            <w:r w:rsidRPr="00380DE4">
              <w:rPr>
                <w:lang w:eastAsia="zh-CN"/>
              </w:rPr>
              <w:t>4</w:t>
            </w:r>
          </w:p>
        </w:tc>
        <w:tc>
          <w:tcPr>
            <w:tcW w:w="1417" w:type="dxa"/>
            <w:tcBorders>
              <w:bottom w:val="single" w:sz="4" w:space="0" w:color="auto"/>
            </w:tcBorders>
            <w:vAlign w:val="center"/>
          </w:tcPr>
          <w:p w14:paraId="06A63B47" w14:textId="77777777" w:rsidR="00241417" w:rsidRPr="00380DE4" w:rsidRDefault="00241417" w:rsidP="003A71DE">
            <w:pPr>
              <w:pStyle w:val="TAC"/>
            </w:pPr>
            <w:r w:rsidRPr="00380DE4">
              <w:rPr>
                <w:lang w:eastAsia="zh-CN"/>
              </w:rPr>
              <w:t>TDLC300-100 Low</w:t>
            </w:r>
          </w:p>
        </w:tc>
        <w:tc>
          <w:tcPr>
            <w:tcW w:w="1134" w:type="dxa"/>
            <w:tcBorders>
              <w:bottom w:val="single" w:sz="4" w:space="0" w:color="auto"/>
            </w:tcBorders>
            <w:vAlign w:val="center"/>
          </w:tcPr>
          <w:p w14:paraId="323CD8B4" w14:textId="77777777" w:rsidR="00241417" w:rsidRPr="00380DE4" w:rsidRDefault="00241417" w:rsidP="003A71DE">
            <w:pPr>
              <w:pStyle w:val="TAC"/>
            </w:pPr>
            <w:r w:rsidRPr="00380DE4">
              <w:rPr>
                <w:lang w:eastAsia="zh-CN"/>
              </w:rPr>
              <w:t>400 Hz</w:t>
            </w:r>
          </w:p>
        </w:tc>
        <w:tc>
          <w:tcPr>
            <w:tcW w:w="992" w:type="dxa"/>
            <w:vAlign w:val="center"/>
          </w:tcPr>
          <w:p w14:paraId="635236EC" w14:textId="77777777" w:rsidR="00241417" w:rsidRPr="00380DE4" w:rsidRDefault="00241417" w:rsidP="003A71DE">
            <w:pPr>
              <w:pStyle w:val="TAC"/>
            </w:pPr>
            <w:r w:rsidRPr="00380DE4">
              <w:t>-7.2</w:t>
            </w:r>
          </w:p>
        </w:tc>
        <w:tc>
          <w:tcPr>
            <w:tcW w:w="851" w:type="dxa"/>
            <w:vAlign w:val="center"/>
          </w:tcPr>
          <w:p w14:paraId="6411EB27" w14:textId="77777777" w:rsidR="00241417" w:rsidRPr="00380DE4" w:rsidRDefault="00241417" w:rsidP="003A71DE">
            <w:pPr>
              <w:pStyle w:val="TAC"/>
            </w:pPr>
            <w:r w:rsidRPr="00380DE4">
              <w:t>-10.4</w:t>
            </w:r>
          </w:p>
        </w:tc>
        <w:tc>
          <w:tcPr>
            <w:tcW w:w="850" w:type="dxa"/>
            <w:vAlign w:val="center"/>
          </w:tcPr>
          <w:p w14:paraId="1E7714D5" w14:textId="77777777" w:rsidR="00241417" w:rsidRPr="00380DE4" w:rsidRDefault="00241417" w:rsidP="003A71DE">
            <w:pPr>
              <w:pStyle w:val="TAC"/>
            </w:pPr>
            <w:r w:rsidRPr="00380DE4">
              <w:t>-12.0</w:t>
            </w:r>
          </w:p>
        </w:tc>
        <w:tc>
          <w:tcPr>
            <w:tcW w:w="851" w:type="dxa"/>
            <w:vAlign w:val="center"/>
          </w:tcPr>
          <w:p w14:paraId="5966E4CD" w14:textId="77777777" w:rsidR="00241417" w:rsidRPr="00380DE4" w:rsidRDefault="00241417" w:rsidP="003A71DE">
            <w:pPr>
              <w:pStyle w:val="TAC"/>
            </w:pPr>
            <w:r w:rsidRPr="00380DE4">
              <w:t>-14.5</w:t>
            </w:r>
          </w:p>
        </w:tc>
        <w:tc>
          <w:tcPr>
            <w:tcW w:w="850" w:type="dxa"/>
            <w:vAlign w:val="center"/>
          </w:tcPr>
          <w:p w14:paraId="5B6479DE" w14:textId="77777777" w:rsidR="00241417" w:rsidRPr="00380DE4" w:rsidRDefault="00241417" w:rsidP="003A71DE">
            <w:pPr>
              <w:pStyle w:val="TAC"/>
            </w:pPr>
            <w:r w:rsidRPr="00380DE4">
              <w:t>-4.5</w:t>
            </w:r>
          </w:p>
        </w:tc>
        <w:tc>
          <w:tcPr>
            <w:tcW w:w="993" w:type="dxa"/>
            <w:vAlign w:val="center"/>
          </w:tcPr>
          <w:p w14:paraId="38A41AFB" w14:textId="77777777" w:rsidR="00241417" w:rsidRPr="00380DE4" w:rsidRDefault="00241417" w:rsidP="003A71DE">
            <w:pPr>
              <w:pStyle w:val="TAC"/>
            </w:pPr>
            <w:r w:rsidRPr="00380DE4">
              <w:t>-10.4</w:t>
            </w:r>
          </w:p>
        </w:tc>
      </w:tr>
      <w:tr w:rsidR="00241417" w:rsidRPr="00380DE4" w14:paraId="43243611" w14:textId="77777777" w:rsidTr="003A71DE">
        <w:trPr>
          <w:cantSplit/>
          <w:jc w:val="center"/>
        </w:trPr>
        <w:tc>
          <w:tcPr>
            <w:tcW w:w="1129" w:type="dxa"/>
            <w:vMerge/>
            <w:tcBorders>
              <w:bottom w:val="single" w:sz="4" w:space="0" w:color="auto"/>
            </w:tcBorders>
            <w:vAlign w:val="center"/>
          </w:tcPr>
          <w:p w14:paraId="7FCF8015" w14:textId="77777777" w:rsidR="00241417" w:rsidRPr="00380DE4" w:rsidRDefault="00241417" w:rsidP="003A71DE">
            <w:pPr>
              <w:pStyle w:val="TAC"/>
            </w:pPr>
          </w:p>
        </w:tc>
        <w:tc>
          <w:tcPr>
            <w:tcW w:w="993" w:type="dxa"/>
            <w:tcBorders>
              <w:bottom w:val="single" w:sz="4" w:space="0" w:color="auto"/>
            </w:tcBorders>
            <w:vAlign w:val="center"/>
          </w:tcPr>
          <w:p w14:paraId="56719951" w14:textId="77777777" w:rsidR="00241417" w:rsidRPr="00380DE4" w:rsidRDefault="00241417" w:rsidP="003A71DE">
            <w:pPr>
              <w:pStyle w:val="TAC"/>
            </w:pPr>
            <w:r w:rsidRPr="00380DE4">
              <w:rPr>
                <w:lang w:eastAsia="zh-CN"/>
              </w:rPr>
              <w:t>8</w:t>
            </w:r>
          </w:p>
        </w:tc>
        <w:tc>
          <w:tcPr>
            <w:tcW w:w="1417" w:type="dxa"/>
            <w:tcBorders>
              <w:bottom w:val="single" w:sz="4" w:space="0" w:color="auto"/>
            </w:tcBorders>
            <w:vAlign w:val="center"/>
          </w:tcPr>
          <w:p w14:paraId="5F13A3A6" w14:textId="77777777" w:rsidR="00241417" w:rsidRPr="00380DE4" w:rsidRDefault="00241417" w:rsidP="003A71DE">
            <w:pPr>
              <w:pStyle w:val="TAC"/>
            </w:pPr>
            <w:r w:rsidRPr="00380DE4">
              <w:rPr>
                <w:lang w:eastAsia="zh-CN"/>
              </w:rPr>
              <w:t>TDLC300-100 Low</w:t>
            </w:r>
          </w:p>
        </w:tc>
        <w:tc>
          <w:tcPr>
            <w:tcW w:w="1134" w:type="dxa"/>
            <w:tcBorders>
              <w:bottom w:val="single" w:sz="4" w:space="0" w:color="auto"/>
            </w:tcBorders>
            <w:vAlign w:val="center"/>
          </w:tcPr>
          <w:p w14:paraId="0F79EE60" w14:textId="77777777" w:rsidR="00241417" w:rsidRPr="00380DE4" w:rsidRDefault="00241417" w:rsidP="003A71DE">
            <w:pPr>
              <w:pStyle w:val="TAC"/>
            </w:pPr>
            <w:r w:rsidRPr="00380DE4">
              <w:rPr>
                <w:lang w:eastAsia="zh-CN"/>
              </w:rPr>
              <w:t>400 Hz</w:t>
            </w:r>
          </w:p>
        </w:tc>
        <w:tc>
          <w:tcPr>
            <w:tcW w:w="992" w:type="dxa"/>
            <w:vAlign w:val="center"/>
          </w:tcPr>
          <w:p w14:paraId="53BA8EE6" w14:textId="77777777" w:rsidR="00241417" w:rsidRPr="00380DE4" w:rsidRDefault="00241417" w:rsidP="003A71DE">
            <w:pPr>
              <w:pStyle w:val="TAC"/>
            </w:pPr>
            <w:r w:rsidRPr="00380DE4">
              <w:t>-10.7</w:t>
            </w:r>
          </w:p>
        </w:tc>
        <w:tc>
          <w:tcPr>
            <w:tcW w:w="851" w:type="dxa"/>
            <w:vAlign w:val="center"/>
          </w:tcPr>
          <w:p w14:paraId="3708E5F9" w14:textId="77777777" w:rsidR="00241417" w:rsidRPr="00380DE4" w:rsidRDefault="00241417" w:rsidP="003A71DE">
            <w:pPr>
              <w:pStyle w:val="TAC"/>
            </w:pPr>
            <w:r w:rsidRPr="00380DE4">
              <w:t>-13.7</w:t>
            </w:r>
          </w:p>
        </w:tc>
        <w:tc>
          <w:tcPr>
            <w:tcW w:w="850" w:type="dxa"/>
            <w:vAlign w:val="center"/>
          </w:tcPr>
          <w:p w14:paraId="6B6B41D1" w14:textId="77777777" w:rsidR="00241417" w:rsidRPr="00380DE4" w:rsidRDefault="00241417" w:rsidP="003A71DE">
            <w:pPr>
              <w:pStyle w:val="TAC"/>
            </w:pPr>
            <w:r w:rsidRPr="00380DE4">
              <w:t>-15.1</w:t>
            </w:r>
          </w:p>
        </w:tc>
        <w:tc>
          <w:tcPr>
            <w:tcW w:w="851" w:type="dxa"/>
            <w:vAlign w:val="center"/>
          </w:tcPr>
          <w:p w14:paraId="0CC8F041" w14:textId="77777777" w:rsidR="00241417" w:rsidRPr="00380DE4" w:rsidRDefault="00241417" w:rsidP="003A71DE">
            <w:pPr>
              <w:pStyle w:val="TAC"/>
            </w:pPr>
            <w:r w:rsidRPr="00380DE4">
              <w:t>-17.6</w:t>
            </w:r>
          </w:p>
        </w:tc>
        <w:tc>
          <w:tcPr>
            <w:tcW w:w="850" w:type="dxa"/>
            <w:vAlign w:val="center"/>
          </w:tcPr>
          <w:p w14:paraId="13B5B4E0" w14:textId="77777777" w:rsidR="00241417" w:rsidRPr="00380DE4" w:rsidRDefault="00241417" w:rsidP="003A71DE">
            <w:pPr>
              <w:pStyle w:val="TAC"/>
            </w:pPr>
            <w:r w:rsidRPr="00380DE4">
              <w:t>-7.8</w:t>
            </w:r>
          </w:p>
        </w:tc>
        <w:tc>
          <w:tcPr>
            <w:tcW w:w="993" w:type="dxa"/>
            <w:vAlign w:val="center"/>
          </w:tcPr>
          <w:p w14:paraId="3CE89EE3" w14:textId="77777777" w:rsidR="00241417" w:rsidRPr="00380DE4" w:rsidRDefault="00241417" w:rsidP="003A71DE">
            <w:pPr>
              <w:pStyle w:val="TAC"/>
            </w:pPr>
            <w:r w:rsidRPr="00380DE4">
              <w:t>-13.7</w:t>
            </w:r>
          </w:p>
        </w:tc>
      </w:tr>
    </w:tbl>
    <w:p w14:paraId="5F3B0E94" w14:textId="77777777" w:rsidR="00241417" w:rsidRPr="00380DE4" w:rsidRDefault="00241417" w:rsidP="00241417"/>
    <w:p w14:paraId="77AB2CE3" w14:textId="77777777" w:rsidR="00241417" w:rsidRDefault="00241417" w:rsidP="00241417">
      <w:pPr>
        <w:pStyle w:val="Heading2"/>
      </w:pPr>
      <w:bookmarkStart w:id="3757" w:name="_Toc74583280"/>
      <w:bookmarkStart w:id="3758" w:name="_Toc76542093"/>
      <w:bookmarkStart w:id="3759" w:name="_Toc82450075"/>
      <w:bookmarkStart w:id="3760" w:name="_Toc82450723"/>
      <w:bookmarkStart w:id="3761" w:name="_Toc89949112"/>
      <w:bookmarkStart w:id="3762" w:name="_Toc98755501"/>
      <w:bookmarkStart w:id="3763" w:name="_Toc98763092"/>
      <w:bookmarkStart w:id="3764" w:name="_Toc106184021"/>
      <w:r>
        <w:t>8.2</w:t>
      </w:r>
      <w:r>
        <w:tab/>
        <w:t>IAB-MT requirements</w:t>
      </w:r>
      <w:bookmarkEnd w:id="3757"/>
      <w:bookmarkEnd w:id="3758"/>
      <w:bookmarkEnd w:id="3759"/>
      <w:bookmarkEnd w:id="3760"/>
      <w:bookmarkEnd w:id="3761"/>
      <w:bookmarkEnd w:id="3762"/>
      <w:bookmarkEnd w:id="3763"/>
      <w:bookmarkEnd w:id="3764"/>
    </w:p>
    <w:p w14:paraId="7CE5FA98" w14:textId="77777777" w:rsidR="00241417" w:rsidRDefault="00241417" w:rsidP="00241417">
      <w:pPr>
        <w:pStyle w:val="Heading3"/>
      </w:pPr>
      <w:bookmarkStart w:id="3765" w:name="_Toc74583281"/>
      <w:bookmarkStart w:id="3766" w:name="_Toc76542094"/>
      <w:bookmarkStart w:id="3767" w:name="_Toc82450076"/>
      <w:bookmarkStart w:id="3768" w:name="_Toc82450724"/>
      <w:bookmarkStart w:id="3769" w:name="_Toc89949113"/>
      <w:bookmarkStart w:id="3770" w:name="_Toc98755502"/>
      <w:bookmarkStart w:id="3771" w:name="_Toc98763093"/>
      <w:bookmarkStart w:id="3772" w:name="_Toc106184022"/>
      <w:r>
        <w:t>8.2.1</w:t>
      </w:r>
      <w:r>
        <w:tab/>
        <w:t>General</w:t>
      </w:r>
      <w:bookmarkEnd w:id="3765"/>
      <w:bookmarkEnd w:id="3766"/>
      <w:bookmarkEnd w:id="3767"/>
      <w:bookmarkEnd w:id="3768"/>
      <w:bookmarkEnd w:id="3769"/>
      <w:bookmarkEnd w:id="3770"/>
      <w:bookmarkEnd w:id="3771"/>
      <w:bookmarkEnd w:id="3772"/>
    </w:p>
    <w:p w14:paraId="1DCB9C6C" w14:textId="77777777" w:rsidR="00241417" w:rsidRDefault="00241417" w:rsidP="00241417">
      <w:r>
        <w:rPr>
          <w:lang w:eastAsia="ko-KR"/>
        </w:rPr>
        <w:t xml:space="preserve">Conducted performance requirements specify the ability of the </w:t>
      </w:r>
      <w:r>
        <w:rPr>
          <w:i/>
          <w:lang w:eastAsia="ko-KR"/>
        </w:rPr>
        <w:t>IAB-MT type 1-H</w:t>
      </w:r>
      <w:r>
        <w:rPr>
          <w:lang w:eastAsia="ko-KR"/>
        </w:rPr>
        <w:t xml:space="preserve"> to correctly demodulate signals in various conditions and configurations. Conducted performance requirements are specified at the </w:t>
      </w:r>
      <w:r>
        <w:rPr>
          <w:i/>
          <w:iCs/>
        </w:rPr>
        <w:t>TAB connector(s)</w:t>
      </w:r>
      <w:r>
        <w:t xml:space="preserve"> (for </w:t>
      </w:r>
      <w:r>
        <w:rPr>
          <w:i/>
          <w:iCs/>
        </w:rPr>
        <w:t>IAB-MT type 1-H</w:t>
      </w:r>
      <w:r>
        <w:t>).</w:t>
      </w:r>
    </w:p>
    <w:p w14:paraId="228826DF" w14:textId="25386E75" w:rsidR="008C4CE6" w:rsidRDefault="008C4CE6" w:rsidP="008C4CE6">
      <w:r>
        <w:t>Conducted performance requirements for the IAB-MT are specified for the fixed reference channels defined in annex A and the propagation conditions in annex I. The requirements only apply to those FRCs that are supported by the IAB-MT.</w:t>
      </w:r>
    </w:p>
    <w:p w14:paraId="598C2A2B" w14:textId="77777777" w:rsidR="00241417" w:rsidRDefault="00241417" w:rsidP="00241417">
      <w:r>
        <w:t xml:space="preserve">The SNR used in this clause is </w:t>
      </w:r>
      <w:r>
        <w:rPr>
          <w:lang w:eastAsia="zh-CN"/>
        </w:rPr>
        <w:t xml:space="preserve">specified based on a single carrier and </w:t>
      </w:r>
      <w:r>
        <w:t>defined as:</w:t>
      </w:r>
    </w:p>
    <w:p w14:paraId="713A8CB5" w14:textId="77777777" w:rsidR="00241417" w:rsidRDefault="00241417" w:rsidP="00241417">
      <w:pPr>
        <w:pStyle w:val="B10"/>
      </w:pPr>
      <w:r>
        <w:t>SNR = S / N</w:t>
      </w:r>
    </w:p>
    <w:p w14:paraId="6E34FAD4" w14:textId="77777777" w:rsidR="00241417" w:rsidRDefault="00241417" w:rsidP="00241417">
      <w:r>
        <w:t>Where:</w:t>
      </w:r>
    </w:p>
    <w:p w14:paraId="0187999F" w14:textId="77777777" w:rsidR="00241417" w:rsidRDefault="00241417" w:rsidP="00241417">
      <w:pPr>
        <w:pStyle w:val="B10"/>
      </w:pPr>
      <w:r>
        <w:t>S</w:t>
      </w:r>
      <w:r>
        <w:tab/>
        <w:t xml:space="preserve">is the total signal energy in the slot on a single </w:t>
      </w:r>
      <w:r>
        <w:rPr>
          <w:i/>
        </w:rPr>
        <w:t>TAB connector</w:t>
      </w:r>
      <w:r>
        <w:t xml:space="preserve"> (for </w:t>
      </w:r>
      <w:r>
        <w:rPr>
          <w:i/>
        </w:rPr>
        <w:t>IAB-MT type 1-H</w:t>
      </w:r>
      <w:r>
        <w:t>).</w:t>
      </w:r>
    </w:p>
    <w:p w14:paraId="4A1D0CF4" w14:textId="77777777" w:rsidR="00241417" w:rsidRDefault="00241417" w:rsidP="00241417">
      <w:pPr>
        <w:pStyle w:val="B10"/>
      </w:pPr>
      <w:r>
        <w:t>N</w:t>
      </w:r>
      <w:r>
        <w:tab/>
        <w:t xml:space="preserve">is the noise energy in a bandwidth corresponding to the transmission bandwidth over the duration of a slot on a single TAB connector (for </w:t>
      </w:r>
      <w:r>
        <w:rPr>
          <w:i/>
        </w:rPr>
        <w:t>IAB-MT type 1-H</w:t>
      </w:r>
      <w:r>
        <w:t>).</w:t>
      </w:r>
    </w:p>
    <w:p w14:paraId="5786BC37" w14:textId="77777777" w:rsidR="00241417" w:rsidRDefault="00241417" w:rsidP="00241417">
      <w:pPr>
        <w:pStyle w:val="Heading3"/>
        <w:rPr>
          <w:rFonts w:eastAsia="SimSun"/>
        </w:rPr>
      </w:pPr>
      <w:bookmarkStart w:id="3773" w:name="_Toc74583282"/>
      <w:bookmarkStart w:id="3774" w:name="_Toc76542095"/>
      <w:bookmarkStart w:id="3775" w:name="_Toc82450077"/>
      <w:bookmarkStart w:id="3776" w:name="_Toc82450725"/>
      <w:bookmarkStart w:id="3777" w:name="_Toc89949114"/>
      <w:bookmarkStart w:id="3778" w:name="_Toc98755503"/>
      <w:bookmarkStart w:id="3779" w:name="_Toc98763094"/>
      <w:bookmarkStart w:id="3780" w:name="_Toc106184023"/>
      <w:r>
        <w:t>8.2.2</w:t>
      </w:r>
      <w:r>
        <w:tab/>
        <w:t>Demodulation performance requirements</w:t>
      </w:r>
      <w:bookmarkEnd w:id="3773"/>
      <w:bookmarkEnd w:id="3774"/>
      <w:bookmarkEnd w:id="3775"/>
      <w:bookmarkEnd w:id="3776"/>
      <w:bookmarkEnd w:id="3777"/>
      <w:bookmarkEnd w:id="3778"/>
      <w:bookmarkEnd w:id="3779"/>
      <w:bookmarkEnd w:id="3780"/>
    </w:p>
    <w:p w14:paraId="66EF6B89" w14:textId="77777777" w:rsidR="00241417" w:rsidRDefault="00241417" w:rsidP="00241417">
      <w:pPr>
        <w:pStyle w:val="Heading4"/>
      </w:pPr>
      <w:bookmarkStart w:id="3781" w:name="_Toc74583283"/>
      <w:bookmarkStart w:id="3782" w:name="_Toc76542096"/>
      <w:bookmarkStart w:id="3783" w:name="_Toc82450078"/>
      <w:bookmarkStart w:id="3784" w:name="_Toc82450726"/>
      <w:bookmarkStart w:id="3785" w:name="_Toc89949115"/>
      <w:bookmarkStart w:id="3786" w:name="_Toc98755504"/>
      <w:bookmarkStart w:id="3787" w:name="_Toc98763095"/>
      <w:bookmarkStart w:id="3788" w:name="_Toc106184024"/>
      <w:r>
        <w:t>8.2.2.1</w:t>
      </w:r>
      <w:r>
        <w:tab/>
      </w:r>
      <w:r w:rsidRPr="0021076E">
        <w:t>Performance requirements for PDSCH</w:t>
      </w:r>
      <w:bookmarkEnd w:id="3781"/>
      <w:bookmarkEnd w:id="3782"/>
      <w:bookmarkEnd w:id="3783"/>
      <w:bookmarkEnd w:id="3784"/>
      <w:bookmarkEnd w:id="3785"/>
      <w:bookmarkEnd w:id="3786"/>
      <w:bookmarkEnd w:id="3787"/>
      <w:bookmarkEnd w:id="3788"/>
    </w:p>
    <w:p w14:paraId="09FD53A5" w14:textId="77777777" w:rsidR="00241417" w:rsidRDefault="00241417" w:rsidP="00241417">
      <w:pPr>
        <w:pStyle w:val="Heading5"/>
        <w:rPr>
          <w:lang w:eastAsia="zh-CN"/>
        </w:rPr>
      </w:pPr>
      <w:bookmarkStart w:id="3789" w:name="_Toc74583284"/>
      <w:bookmarkStart w:id="3790" w:name="_Toc76542097"/>
      <w:bookmarkStart w:id="3791" w:name="_Toc82450079"/>
      <w:bookmarkStart w:id="3792" w:name="_Toc82450727"/>
      <w:bookmarkStart w:id="3793" w:name="_Toc89949116"/>
      <w:bookmarkStart w:id="3794" w:name="_Toc98755505"/>
      <w:bookmarkStart w:id="3795" w:name="_Toc98763096"/>
      <w:bookmarkStart w:id="3796" w:name="_Toc106184025"/>
      <w:r>
        <w:rPr>
          <w:rFonts w:hint="eastAsia"/>
          <w:lang w:eastAsia="zh-CN"/>
        </w:rPr>
        <w:t>8</w:t>
      </w:r>
      <w:r>
        <w:rPr>
          <w:lang w:eastAsia="zh-CN"/>
        </w:rPr>
        <w:t>.2.2.1.1</w:t>
      </w:r>
      <w:r>
        <w:rPr>
          <w:lang w:eastAsia="zh-CN"/>
        </w:rPr>
        <w:tab/>
        <w:t>General</w:t>
      </w:r>
      <w:bookmarkEnd w:id="3789"/>
      <w:bookmarkEnd w:id="3790"/>
      <w:bookmarkEnd w:id="3791"/>
      <w:bookmarkEnd w:id="3792"/>
      <w:bookmarkEnd w:id="3793"/>
      <w:bookmarkEnd w:id="3794"/>
      <w:bookmarkEnd w:id="3795"/>
      <w:bookmarkEnd w:id="3796"/>
    </w:p>
    <w:p w14:paraId="567E917E" w14:textId="77777777" w:rsidR="00241417" w:rsidRDefault="00241417" w:rsidP="00241417">
      <w:r>
        <w:t>The performance requirement of PDSCH is determined by a minimum required throughput for a given SNR. The required throughput is expressed as a fraction of maximum throughput for the FRCs listed in annex A. The performance requirements assume HARQ retransmissions.</w:t>
      </w:r>
    </w:p>
    <w:p w14:paraId="50A08396" w14:textId="77777777" w:rsidR="00241417" w:rsidRDefault="00241417" w:rsidP="00241417">
      <w:pPr>
        <w:pStyle w:val="TH"/>
      </w:pPr>
      <w:r>
        <w:t>Table: 8.2.2</w:t>
      </w:r>
      <w:r>
        <w:rPr>
          <w:lang w:eastAsia="zh-CN"/>
        </w:rPr>
        <w:t>.1.1</w:t>
      </w:r>
      <w:r>
        <w:t>-1 Test parameters for testing PDSCH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0"/>
        <w:gridCol w:w="2244"/>
        <w:gridCol w:w="5427"/>
      </w:tblGrid>
      <w:tr w:rsidR="00241417" w14:paraId="73C1B7A9"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8E4F227" w14:textId="77777777" w:rsidR="00241417" w:rsidRDefault="00241417" w:rsidP="003A71DE">
            <w:pPr>
              <w:pStyle w:val="TAH"/>
              <w:snapToGrid w:val="0"/>
              <w:rPr>
                <w:rFonts w:cs="Arial"/>
              </w:rPr>
            </w:pPr>
            <w:r>
              <w:rPr>
                <w:rFonts w:cs="Arial"/>
              </w:rPr>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422A81C8" w14:textId="77777777" w:rsidR="00241417" w:rsidRDefault="00241417" w:rsidP="003A71DE">
            <w:pPr>
              <w:pStyle w:val="TAH"/>
              <w:snapToGrid w:val="0"/>
              <w:rPr>
                <w:rFonts w:cs="Arial"/>
              </w:rPr>
            </w:pPr>
            <w:r>
              <w:rPr>
                <w:rFonts w:cs="Arial"/>
              </w:rPr>
              <w:t>Value</w:t>
            </w:r>
          </w:p>
        </w:tc>
      </w:tr>
      <w:tr w:rsidR="00241417" w14:paraId="6B3EE70D"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9AFBEB6" w14:textId="77777777" w:rsidR="00241417" w:rsidRDefault="00241417" w:rsidP="003A71DE">
            <w:pPr>
              <w:pStyle w:val="TAL"/>
            </w:pPr>
            <w:r>
              <w:t>Cyclic prefix</w:t>
            </w:r>
          </w:p>
        </w:tc>
        <w:tc>
          <w:tcPr>
            <w:tcW w:w="0" w:type="auto"/>
            <w:tcBorders>
              <w:top w:val="single" w:sz="4" w:space="0" w:color="auto"/>
              <w:left w:val="single" w:sz="4" w:space="0" w:color="auto"/>
              <w:bottom w:val="single" w:sz="4" w:space="0" w:color="auto"/>
              <w:right w:val="single" w:sz="4" w:space="0" w:color="auto"/>
            </w:tcBorders>
            <w:vAlign w:val="center"/>
            <w:hideMark/>
          </w:tcPr>
          <w:p w14:paraId="163430C0" w14:textId="77777777" w:rsidR="00241417" w:rsidRDefault="00241417" w:rsidP="003A71DE">
            <w:pPr>
              <w:pStyle w:val="TAC"/>
              <w:rPr>
                <w:lang w:eastAsia="zh-CN"/>
              </w:rPr>
            </w:pPr>
            <w:r>
              <w:rPr>
                <w:lang w:eastAsia="zh-CN"/>
              </w:rPr>
              <w:t>Normal</w:t>
            </w:r>
          </w:p>
        </w:tc>
      </w:tr>
      <w:tr w:rsidR="00241417" w14:paraId="27C8E3BA"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732CB7E" w14:textId="77777777" w:rsidR="00241417" w:rsidRDefault="00241417" w:rsidP="003A71DE">
            <w:pPr>
              <w:pStyle w:val="TAL"/>
              <w:snapToGrid w:val="0"/>
            </w:pPr>
            <w:r>
              <w:t>Default TDD UL-DL pattern (Note 1)</w:t>
            </w:r>
          </w:p>
        </w:tc>
        <w:tc>
          <w:tcPr>
            <w:tcW w:w="0" w:type="auto"/>
            <w:tcBorders>
              <w:top w:val="single" w:sz="4" w:space="0" w:color="auto"/>
              <w:left w:val="single" w:sz="4" w:space="0" w:color="auto"/>
              <w:bottom w:val="single" w:sz="4" w:space="0" w:color="auto"/>
              <w:right w:val="single" w:sz="4" w:space="0" w:color="auto"/>
            </w:tcBorders>
            <w:vAlign w:val="center"/>
            <w:hideMark/>
          </w:tcPr>
          <w:p w14:paraId="22B57EA9" w14:textId="77777777" w:rsidR="00241417" w:rsidRDefault="00241417" w:rsidP="003A71DE">
            <w:pPr>
              <w:pStyle w:val="TAC"/>
            </w:pPr>
            <w:r>
              <w:t>7D1S2U, S=6D:4G:4U</w:t>
            </w:r>
          </w:p>
        </w:tc>
      </w:tr>
      <w:tr w:rsidR="00241417" w14:paraId="3EB1E14D"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0D5113D" w14:textId="77777777" w:rsidR="00241417" w:rsidRDefault="00241417" w:rsidP="003A71DE">
            <w:pPr>
              <w:pStyle w:val="TAL"/>
              <w:snapToGrid w:val="0"/>
            </w:pPr>
            <w:r>
              <w:t>HARQ</w:t>
            </w:r>
          </w:p>
        </w:tc>
        <w:tc>
          <w:tcPr>
            <w:tcW w:w="0" w:type="auto"/>
            <w:tcBorders>
              <w:top w:val="single" w:sz="4" w:space="0" w:color="auto"/>
              <w:left w:val="single" w:sz="4" w:space="0" w:color="auto"/>
              <w:bottom w:val="single" w:sz="4" w:space="0" w:color="auto"/>
              <w:right w:val="single" w:sz="4" w:space="0" w:color="auto"/>
            </w:tcBorders>
            <w:vAlign w:val="center"/>
            <w:hideMark/>
          </w:tcPr>
          <w:p w14:paraId="6903339D" w14:textId="77777777" w:rsidR="00241417" w:rsidRDefault="00241417" w:rsidP="003A71DE">
            <w:pPr>
              <w:pStyle w:val="TAL"/>
              <w:snapToGrid w:val="0"/>
            </w:pPr>
            <w:r>
              <w:t>Maximum number of HARQ transmissions</w:t>
            </w:r>
          </w:p>
        </w:tc>
        <w:tc>
          <w:tcPr>
            <w:tcW w:w="0" w:type="auto"/>
            <w:tcBorders>
              <w:top w:val="single" w:sz="4" w:space="0" w:color="auto"/>
              <w:left w:val="single" w:sz="4" w:space="0" w:color="auto"/>
              <w:bottom w:val="single" w:sz="4" w:space="0" w:color="auto"/>
              <w:right w:val="single" w:sz="4" w:space="0" w:color="auto"/>
            </w:tcBorders>
            <w:vAlign w:val="center"/>
            <w:hideMark/>
          </w:tcPr>
          <w:p w14:paraId="3AE001CD" w14:textId="77777777" w:rsidR="00241417" w:rsidRDefault="00241417" w:rsidP="003A71DE">
            <w:pPr>
              <w:pStyle w:val="TAC"/>
            </w:pPr>
            <w:r>
              <w:t>4</w:t>
            </w:r>
          </w:p>
        </w:tc>
      </w:tr>
      <w:tr w:rsidR="00241417" w14:paraId="21648D16"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91D19EB"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C782921" w14:textId="77777777" w:rsidR="00241417" w:rsidRDefault="00241417" w:rsidP="003A71DE">
            <w:pPr>
              <w:pStyle w:val="TAL"/>
              <w:snapToGrid w:val="0"/>
            </w:pPr>
            <w:r>
              <w:t>RV sequence</w:t>
            </w:r>
          </w:p>
        </w:tc>
        <w:tc>
          <w:tcPr>
            <w:tcW w:w="0" w:type="auto"/>
            <w:tcBorders>
              <w:top w:val="single" w:sz="4" w:space="0" w:color="auto"/>
              <w:left w:val="single" w:sz="4" w:space="0" w:color="auto"/>
              <w:bottom w:val="single" w:sz="4" w:space="0" w:color="auto"/>
              <w:right w:val="single" w:sz="4" w:space="0" w:color="auto"/>
            </w:tcBorders>
            <w:vAlign w:val="center"/>
            <w:hideMark/>
          </w:tcPr>
          <w:p w14:paraId="28CED23F" w14:textId="77777777" w:rsidR="00241417" w:rsidRDefault="00241417" w:rsidP="003A71DE">
            <w:pPr>
              <w:pStyle w:val="TAC"/>
            </w:pPr>
            <w:r>
              <w:rPr>
                <w:lang w:val="fr-FR"/>
              </w:rPr>
              <w:t>0, 2, 3, 1</w:t>
            </w:r>
          </w:p>
        </w:tc>
      </w:tr>
      <w:tr w:rsidR="00241417" w14:paraId="1B72C110"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985426F" w14:textId="77777777" w:rsidR="00241417" w:rsidRDefault="00241417" w:rsidP="003A71DE">
            <w:pPr>
              <w:pStyle w:val="TAL"/>
              <w:snapToGrid w:val="0"/>
            </w:pPr>
            <w:r>
              <w:t>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78527410" w14:textId="77777777" w:rsidR="00241417" w:rsidRDefault="00241417" w:rsidP="003A71DE">
            <w:pPr>
              <w:pStyle w:val="TAL"/>
              <w:snapToGrid w:val="0"/>
            </w:pPr>
            <w:r>
              <w:t>DM-RS configuration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0E3B7E8E" w14:textId="77777777" w:rsidR="00241417" w:rsidRDefault="00241417" w:rsidP="003A71DE">
            <w:pPr>
              <w:pStyle w:val="TAC"/>
            </w:pPr>
            <w:r>
              <w:t>1</w:t>
            </w:r>
          </w:p>
        </w:tc>
      </w:tr>
      <w:tr w:rsidR="00241417" w14:paraId="5EB15CC2"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65547D"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666F26F" w14:textId="77777777" w:rsidR="00241417" w:rsidRDefault="00241417" w:rsidP="003A71DE">
            <w:pPr>
              <w:pStyle w:val="TAL"/>
              <w:snapToGrid w:val="0"/>
            </w:pPr>
            <w:r>
              <w:t>DM-RS duration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666F80E9" w14:textId="77777777" w:rsidR="00241417" w:rsidRDefault="00241417" w:rsidP="003A71DE">
            <w:pPr>
              <w:pStyle w:val="TAC"/>
            </w:pPr>
            <w:r>
              <w:t>single-symbol DM-RS</w:t>
            </w:r>
          </w:p>
        </w:tc>
      </w:tr>
      <w:tr w:rsidR="00241417" w14:paraId="12ABAF7D"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54070D1"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434E2CF" w14:textId="77777777" w:rsidR="00241417" w:rsidRDefault="00241417" w:rsidP="003A71DE">
            <w:pPr>
              <w:pStyle w:val="TAL"/>
              <w:snapToGrid w:val="0"/>
            </w:pPr>
            <w:r>
              <w:t>DM-RS position (</w:t>
            </w:r>
            <w:r>
              <w:rPr>
                <w:i/>
              </w:rPr>
              <w:t>l</w:t>
            </w:r>
            <w:r>
              <w:rPr>
                <w:i/>
                <w:vertAlign w:val="subscript"/>
              </w:rPr>
              <w:t>0</w:t>
            </w:r>
            <w: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1BEDF3B9" w14:textId="77777777" w:rsidR="00241417" w:rsidRDefault="00241417" w:rsidP="003A71DE">
            <w:pPr>
              <w:pStyle w:val="TAC"/>
              <w:rPr>
                <w:lang w:eastAsia="zh-CN"/>
              </w:rPr>
            </w:pPr>
            <w:r>
              <w:rPr>
                <w:lang w:eastAsia="zh-CN"/>
              </w:rPr>
              <w:t>2</w:t>
            </w:r>
          </w:p>
        </w:tc>
      </w:tr>
      <w:tr w:rsidR="00241417" w14:paraId="35FE4CE8"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78197D"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D76AA67" w14:textId="77777777" w:rsidR="00241417" w:rsidRDefault="00241417" w:rsidP="003A71DE">
            <w:pPr>
              <w:pStyle w:val="TAL"/>
              <w:snapToGrid w:val="0"/>
            </w:pPr>
            <w:r>
              <w:rPr>
                <w:rFonts w:eastAsia="DengXian" w:cs="Arial"/>
                <w:szCs w:val="18"/>
                <w:lang w:eastAsia="zh-CN"/>
              </w:rPr>
              <w:t>A</w:t>
            </w:r>
            <w:r>
              <w:rPr>
                <w:rFonts w:cs="Arial"/>
                <w:szCs w:val="18"/>
              </w:rPr>
              <w:t>dditional DM-RS position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6C73EAA9" w14:textId="77777777" w:rsidR="00241417" w:rsidRDefault="00241417" w:rsidP="003A71DE">
            <w:pPr>
              <w:pStyle w:val="TAC"/>
            </w:pPr>
            <w:r>
              <w:rPr>
                <w:rFonts w:cs="Arial"/>
              </w:rPr>
              <w:t>pos</w:t>
            </w:r>
            <w:r>
              <w:t>1</w:t>
            </w:r>
          </w:p>
        </w:tc>
      </w:tr>
      <w:tr w:rsidR="00241417" w14:paraId="637938BF"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7D92F54"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1F99B8E" w14:textId="77777777" w:rsidR="00241417" w:rsidRDefault="00241417" w:rsidP="003A71DE">
            <w:pPr>
              <w:pStyle w:val="TAL"/>
              <w:snapToGrid w:val="0"/>
            </w:pPr>
            <w:r>
              <w:t>Number of DM-RS CDM group(s) without data</w:t>
            </w:r>
          </w:p>
        </w:tc>
        <w:tc>
          <w:tcPr>
            <w:tcW w:w="0" w:type="auto"/>
            <w:tcBorders>
              <w:top w:val="single" w:sz="4" w:space="0" w:color="auto"/>
              <w:left w:val="single" w:sz="4" w:space="0" w:color="auto"/>
              <w:bottom w:val="single" w:sz="4" w:space="0" w:color="auto"/>
              <w:right w:val="single" w:sz="4" w:space="0" w:color="auto"/>
            </w:tcBorders>
            <w:vAlign w:val="center"/>
            <w:hideMark/>
          </w:tcPr>
          <w:p w14:paraId="3FD1821C" w14:textId="77777777" w:rsidR="00241417" w:rsidRDefault="00241417" w:rsidP="003A71DE">
            <w:pPr>
              <w:pStyle w:val="TAC"/>
            </w:pPr>
            <w:r>
              <w:t>1 for Rank 1 and Rank 2 tests</w:t>
            </w:r>
            <w:r>
              <w:br/>
              <w:t>2 for Rank 3 and Rank 4 tests</w:t>
            </w:r>
          </w:p>
        </w:tc>
      </w:tr>
      <w:tr w:rsidR="00241417" w14:paraId="162CC3D6"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82E9A7"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54A8596" w14:textId="77777777" w:rsidR="00241417" w:rsidRDefault="00241417" w:rsidP="003A71DE">
            <w:pPr>
              <w:pStyle w:val="TAL"/>
              <w:snapToGrid w:val="0"/>
            </w:pPr>
            <w:r>
              <w:t>DM-RS port(s)</w:t>
            </w:r>
          </w:p>
        </w:tc>
        <w:tc>
          <w:tcPr>
            <w:tcW w:w="0" w:type="auto"/>
            <w:tcBorders>
              <w:top w:val="single" w:sz="4" w:space="0" w:color="auto"/>
              <w:left w:val="single" w:sz="4" w:space="0" w:color="auto"/>
              <w:bottom w:val="single" w:sz="4" w:space="0" w:color="auto"/>
              <w:right w:val="single" w:sz="4" w:space="0" w:color="auto"/>
            </w:tcBorders>
            <w:vAlign w:val="center"/>
            <w:hideMark/>
          </w:tcPr>
          <w:p w14:paraId="16F37DC6" w14:textId="77777777" w:rsidR="00241417" w:rsidRDefault="00241417" w:rsidP="003A71DE">
            <w:pPr>
              <w:pStyle w:val="TAC"/>
            </w:pPr>
            <w:r>
              <w:t>{1000} for Rank 1 tests</w:t>
            </w:r>
            <w:r>
              <w:br/>
              <w:t>{1000-1001} for Rank 2 tests</w:t>
            </w:r>
            <w:r>
              <w:br/>
              <w:t>{1000-1002} for Rank 3 tests</w:t>
            </w:r>
            <w:r>
              <w:br/>
              <w:t>{1000-1003} for Rank 4 tests</w:t>
            </w:r>
          </w:p>
        </w:tc>
      </w:tr>
      <w:tr w:rsidR="00241417" w14:paraId="2C327219"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E61B757"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5C37334" w14:textId="77777777" w:rsidR="00241417" w:rsidRDefault="00241417" w:rsidP="003A71DE">
            <w:pPr>
              <w:pStyle w:val="TAL"/>
              <w:snapToGrid w:val="0"/>
            </w:pPr>
            <w:r>
              <w:t>DM-RS sequence generation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06274944" w14:textId="77777777" w:rsidR="00241417" w:rsidRDefault="00241417" w:rsidP="003A71DE">
            <w:pPr>
              <w:pStyle w:val="TAC"/>
            </w:pPr>
            <w:r>
              <w:t>N</w:t>
            </w:r>
            <w:r>
              <w:rPr>
                <w:vertAlign w:val="subscript"/>
              </w:rPr>
              <w:t>ID</w:t>
            </w:r>
            <w:r>
              <w:rPr>
                <w:rFonts w:cs="Arial"/>
                <w:vertAlign w:val="superscript"/>
              </w:rPr>
              <w:t>0</w:t>
            </w:r>
            <w:r>
              <w:t>=0</w:t>
            </w:r>
          </w:p>
        </w:tc>
      </w:tr>
      <w:tr w:rsidR="00241417" w14:paraId="1F51CC2A"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64FEBFF" w14:textId="77777777" w:rsidR="00241417" w:rsidRDefault="00241417" w:rsidP="003A71DE">
            <w:pPr>
              <w:pStyle w:val="TAL"/>
              <w:snapToGrid w:val="0"/>
            </w:pPr>
            <w:r>
              <w:t>Time domain resource assignment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631D50FA" w14:textId="77777777" w:rsidR="00241417" w:rsidRDefault="00241417" w:rsidP="003A71DE">
            <w:pPr>
              <w:pStyle w:val="TAL"/>
              <w:snapToGrid w:val="0"/>
            </w:pPr>
            <w:r>
              <w:rPr>
                <w:rFonts w:eastAsia="Batang"/>
              </w:rPr>
              <w:t>PDSCH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76B881A0" w14:textId="77777777" w:rsidR="00241417" w:rsidRDefault="00241417" w:rsidP="003A71DE">
            <w:pPr>
              <w:pStyle w:val="TAC"/>
              <w:rPr>
                <w:lang w:eastAsia="zh-CN"/>
              </w:rPr>
            </w:pPr>
            <w:r>
              <w:t>A</w:t>
            </w:r>
          </w:p>
        </w:tc>
      </w:tr>
      <w:tr w:rsidR="00241417" w14:paraId="3F432CC7"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12369C"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5C5BFDB" w14:textId="77777777" w:rsidR="00241417" w:rsidRDefault="00241417" w:rsidP="003A71DE">
            <w:pPr>
              <w:pStyle w:val="TAL"/>
              <w:snapToGrid w:val="0"/>
            </w:pPr>
            <w:r>
              <w:t>Start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3E5E35CF" w14:textId="77777777" w:rsidR="00241417" w:rsidRDefault="00241417" w:rsidP="003A71DE">
            <w:pPr>
              <w:pStyle w:val="TAC"/>
              <w:rPr>
                <w:lang w:eastAsia="zh-CN"/>
              </w:rPr>
            </w:pPr>
            <w:r>
              <w:t>2</w:t>
            </w:r>
          </w:p>
        </w:tc>
      </w:tr>
      <w:tr w:rsidR="00241417" w14:paraId="25148198"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F199B53"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4686823" w14:textId="77777777" w:rsidR="00241417" w:rsidRDefault="00241417" w:rsidP="003A71DE">
            <w:pPr>
              <w:pStyle w:val="TAL"/>
              <w:snapToGrid w:val="0"/>
            </w:pPr>
            <w:r>
              <w:t>Allocation length</w:t>
            </w:r>
          </w:p>
        </w:tc>
        <w:tc>
          <w:tcPr>
            <w:tcW w:w="0" w:type="auto"/>
            <w:tcBorders>
              <w:top w:val="single" w:sz="4" w:space="0" w:color="auto"/>
              <w:left w:val="single" w:sz="4" w:space="0" w:color="auto"/>
              <w:bottom w:val="single" w:sz="4" w:space="0" w:color="auto"/>
              <w:right w:val="single" w:sz="4" w:space="0" w:color="auto"/>
            </w:tcBorders>
            <w:vAlign w:val="center"/>
            <w:hideMark/>
          </w:tcPr>
          <w:p w14:paraId="146FEE45" w14:textId="77777777" w:rsidR="00241417" w:rsidRDefault="00241417" w:rsidP="003A71DE">
            <w:pPr>
              <w:pStyle w:val="TAC"/>
              <w:rPr>
                <w:lang w:eastAsia="zh-CN"/>
              </w:rPr>
            </w:pPr>
            <w:r>
              <w:t>12</w:t>
            </w:r>
          </w:p>
        </w:tc>
      </w:tr>
      <w:tr w:rsidR="00241417" w14:paraId="6174F458" w14:textId="77777777" w:rsidTr="003A71DE">
        <w:trPr>
          <w:trHeight w:val="341"/>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EBC645C" w14:textId="77777777" w:rsidR="00241417" w:rsidRDefault="00241417" w:rsidP="003A71DE">
            <w:pPr>
              <w:pStyle w:val="TAL"/>
              <w:snapToGrid w:val="0"/>
            </w:pPr>
            <w:r>
              <w:t>Frequency domain resource assignment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3C62E37B" w14:textId="77777777" w:rsidR="00241417" w:rsidRDefault="00241417" w:rsidP="003A71DE">
            <w:pPr>
              <w:pStyle w:val="TAL"/>
              <w:snapToGrid w:val="0"/>
            </w:pPr>
            <w:r>
              <w:t>RB assignment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38BDB928" w14:textId="77777777" w:rsidR="00241417" w:rsidRDefault="00241417" w:rsidP="003A71DE">
            <w:pPr>
              <w:pStyle w:val="TAC"/>
              <w:rPr>
                <w:lang w:eastAsia="zh-CN"/>
              </w:rPr>
            </w:pPr>
            <w:r>
              <w:t>Full applicable test bandwidth</w:t>
            </w:r>
          </w:p>
        </w:tc>
      </w:tr>
      <w:tr w:rsidR="00241417" w14:paraId="5BA512BB"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ECEB260" w14:textId="77777777" w:rsidR="00241417" w:rsidRDefault="00241417" w:rsidP="003A71DE">
            <w:pPr>
              <w:pStyle w:val="TAC"/>
              <w:jc w:val="left"/>
            </w:pPr>
            <w:r>
              <w:rPr>
                <w:lang w:val="en-US"/>
              </w:rPr>
              <w:t>PT</w:t>
            </w:r>
            <w:r>
              <w:rPr>
                <w:lang w:val="en-US" w:eastAsia="zh-CN"/>
              </w:rPr>
              <w:t>-</w:t>
            </w:r>
            <w:r>
              <w:rPr>
                <w:lang w:val="en-US"/>
              </w:rPr>
              <w:t>RS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3A9E07FC" w14:textId="77777777" w:rsidR="00241417" w:rsidRDefault="00241417" w:rsidP="003A71DE">
            <w:pPr>
              <w:pStyle w:val="TAC"/>
            </w:pPr>
            <w:r>
              <w:t>Not configured</w:t>
            </w:r>
          </w:p>
        </w:tc>
      </w:tr>
      <w:tr w:rsidR="00241417" w14:paraId="5C66D2EF" w14:textId="77777777" w:rsidTr="003A71DE">
        <w:trPr>
          <w:trHeight w:val="58"/>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6CC7503" w14:textId="77777777" w:rsidR="00241417" w:rsidRDefault="00241417" w:rsidP="003A71DE">
            <w:pPr>
              <w:pStyle w:val="TAC"/>
              <w:jc w:val="left"/>
            </w:pPr>
            <w:r>
              <w:t>PRB bundling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4CB1CF34" w14:textId="77777777" w:rsidR="00241417" w:rsidRDefault="00241417" w:rsidP="003A71DE">
            <w:pPr>
              <w:pStyle w:val="TAC"/>
            </w:pPr>
            <w:r>
              <w:t>2</w:t>
            </w:r>
          </w:p>
        </w:tc>
      </w:tr>
      <w:tr w:rsidR="00241417" w14:paraId="3CC67D5A" w14:textId="77777777" w:rsidTr="003A71DE">
        <w:trPr>
          <w:trHeight w:val="58"/>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FB6FAE1" w14:textId="77777777" w:rsidR="00241417" w:rsidRDefault="00241417" w:rsidP="003A71DE">
            <w:pPr>
              <w:pStyle w:val="TAC"/>
              <w:jc w:val="left"/>
            </w:pPr>
            <w:r>
              <w:rPr>
                <w:szCs w:val="22"/>
                <w:lang w:eastAsia="ja-JP"/>
              </w:rPr>
              <w:t>VRB-to-PRB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59C384B2" w14:textId="77777777" w:rsidR="00241417" w:rsidRDefault="00241417" w:rsidP="003A71DE">
            <w:pPr>
              <w:pStyle w:val="TAC"/>
            </w:pPr>
            <w:r>
              <w:t>Not interleaved</w:t>
            </w:r>
          </w:p>
        </w:tc>
      </w:tr>
      <w:tr w:rsidR="00241417" w14:paraId="17694FD4" w14:textId="77777777" w:rsidTr="003A71DE">
        <w:trPr>
          <w:trHeight w:val="58"/>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5C3B39F" w14:textId="77777777" w:rsidR="00241417" w:rsidRDefault="00241417" w:rsidP="003A71DE">
            <w:pPr>
              <w:pStyle w:val="TAC"/>
              <w:jc w:val="left"/>
            </w:pPr>
            <w:r>
              <w:t>PDSCH &amp; PDSCH DMRS Precoding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5FCEB101" w14:textId="77777777" w:rsidR="00241417" w:rsidRDefault="00241417" w:rsidP="003A71DE">
            <w:pPr>
              <w:pStyle w:val="TAL"/>
            </w:pPr>
            <w:r>
              <w:t>Single Panel Type I, Random precoder selection updated per slot, with equal probability of each applicable i</w:t>
            </w:r>
            <w:r>
              <w:rPr>
                <w:vertAlign w:val="subscript"/>
              </w:rPr>
              <w:t>1</w:t>
            </w:r>
            <w:r>
              <w:t>, i</w:t>
            </w:r>
            <w:r>
              <w:rPr>
                <w:vertAlign w:val="subscript"/>
              </w:rPr>
              <w:t>2</w:t>
            </w:r>
            <w:r>
              <w:t xml:space="preserve"> combination, and with PRB bundling granularity</w:t>
            </w:r>
          </w:p>
        </w:tc>
      </w:tr>
      <w:tr w:rsidR="00241417" w14:paraId="26EE08E1" w14:textId="77777777" w:rsidTr="003A71DE">
        <w:trPr>
          <w:jc w:val="center"/>
        </w:trPr>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3E283109" w14:textId="77777777" w:rsidR="00241417" w:rsidRDefault="00241417" w:rsidP="003A71DE">
            <w:pPr>
              <w:pStyle w:val="TAN"/>
            </w:pPr>
            <w:r>
              <w:t>Note 1</w:t>
            </w:r>
            <w:r>
              <w:rPr>
                <w:lang w:eastAsia="zh-CN"/>
              </w:rPr>
              <w:t>:</w:t>
            </w:r>
            <w:r>
              <w:t xml:space="preserve"> </w:t>
            </w:r>
            <w:r>
              <w:tab/>
              <w:t>The same requirements are applicable to TDD with different UL-DL patterns.</w:t>
            </w:r>
          </w:p>
        </w:tc>
      </w:tr>
    </w:tbl>
    <w:p w14:paraId="14D754B7" w14:textId="77777777" w:rsidR="00241417" w:rsidRPr="0021076E" w:rsidRDefault="00241417" w:rsidP="00241417">
      <w:pPr>
        <w:rPr>
          <w:lang w:eastAsia="zh-CN"/>
        </w:rPr>
      </w:pPr>
    </w:p>
    <w:p w14:paraId="23D9B411" w14:textId="77777777" w:rsidR="00241417" w:rsidRDefault="00241417" w:rsidP="00241417">
      <w:pPr>
        <w:pStyle w:val="Heading5"/>
        <w:rPr>
          <w:lang w:eastAsia="zh-CN"/>
        </w:rPr>
      </w:pPr>
      <w:bookmarkStart w:id="3797" w:name="_Toc74583285"/>
      <w:bookmarkStart w:id="3798" w:name="_Toc76542098"/>
      <w:bookmarkStart w:id="3799" w:name="_Toc82450080"/>
      <w:bookmarkStart w:id="3800" w:name="_Toc82450728"/>
      <w:bookmarkStart w:id="3801" w:name="_Toc89949117"/>
      <w:bookmarkStart w:id="3802" w:name="_Toc98755506"/>
      <w:bookmarkStart w:id="3803" w:name="_Toc98763097"/>
      <w:bookmarkStart w:id="3804" w:name="_Toc106184026"/>
      <w:r>
        <w:rPr>
          <w:lang w:eastAsia="zh-CN"/>
        </w:rPr>
        <w:t>8.2.2.1.2</w:t>
      </w:r>
      <w:r>
        <w:rPr>
          <w:lang w:eastAsia="zh-CN"/>
        </w:rPr>
        <w:tab/>
        <w:t>Minimum requirements</w:t>
      </w:r>
      <w:bookmarkEnd w:id="3797"/>
      <w:bookmarkEnd w:id="3798"/>
      <w:bookmarkEnd w:id="3799"/>
      <w:bookmarkEnd w:id="3800"/>
      <w:bookmarkEnd w:id="3801"/>
      <w:bookmarkEnd w:id="3802"/>
      <w:bookmarkEnd w:id="3803"/>
      <w:bookmarkEnd w:id="3804"/>
    </w:p>
    <w:p w14:paraId="71DDC3DE" w14:textId="77777777" w:rsidR="00241417" w:rsidRDefault="00241417" w:rsidP="00241417">
      <w:r>
        <w:t>The throughput shall be equal to or larger than the fraction of maximum throughput for the FRCs stated in tables 8.2.2.1</w:t>
      </w:r>
      <w:r>
        <w:rPr>
          <w:lang w:eastAsia="zh-CN"/>
        </w:rPr>
        <w:t>.2</w:t>
      </w:r>
      <w:r>
        <w:t>-1 to 8.2.2.1</w:t>
      </w:r>
      <w:r>
        <w:rPr>
          <w:lang w:eastAsia="zh-CN"/>
        </w:rPr>
        <w:t>.2</w:t>
      </w:r>
      <w:r>
        <w:t>-</w:t>
      </w:r>
      <w:r>
        <w:rPr>
          <w:lang w:eastAsia="zh-CN"/>
        </w:rPr>
        <w:t>4</w:t>
      </w:r>
      <w:r>
        <w:t xml:space="preserve"> at the given SNR with the test parameters stated in Table 8.2.2.1.1-1.</w:t>
      </w:r>
    </w:p>
    <w:p w14:paraId="63B017BA" w14:textId="77777777" w:rsidR="00241417" w:rsidRDefault="00241417" w:rsidP="00241417">
      <w:pPr>
        <w:pStyle w:val="TH"/>
      </w:pPr>
      <w:r>
        <w:t>Table 8.2.2</w:t>
      </w:r>
      <w:r>
        <w:rPr>
          <w:lang w:eastAsia="zh-CN"/>
        </w:rPr>
        <w:t>.1.2</w:t>
      </w:r>
      <w:r>
        <w:t xml:space="preserve">-1: </w:t>
      </w:r>
      <w:r>
        <w:rPr>
          <w:rFonts w:eastAsia="Malgun Gothic"/>
        </w:rPr>
        <w:t>Minimum requirements for PDSCH Type A with Rank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1009"/>
        <w:gridCol w:w="1912"/>
        <w:gridCol w:w="1758"/>
        <w:gridCol w:w="1579"/>
        <w:gridCol w:w="1783"/>
        <w:gridCol w:w="597"/>
      </w:tblGrid>
      <w:tr w:rsidR="00241417" w14:paraId="15DA3331" w14:textId="77777777" w:rsidTr="003A71DE">
        <w:trPr>
          <w:trHeight w:val="495"/>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58B32FA" w14:textId="77777777" w:rsidR="00241417" w:rsidRDefault="00241417" w:rsidP="003A71DE">
            <w:pPr>
              <w:pStyle w:val="TAH"/>
              <w:rPr>
                <w:lang w:val="en-US" w:eastAsia="zh-CN"/>
              </w:rPr>
            </w:pPr>
            <w:r>
              <w:rPr>
                <w:lang w:val="en-US" w:eastAsia="zh-CN"/>
              </w:rPr>
              <w:t>Test number</w:t>
            </w:r>
          </w:p>
        </w:tc>
        <w:tc>
          <w:tcPr>
            <w:tcW w:w="0" w:type="auto"/>
            <w:tcBorders>
              <w:top w:val="single" w:sz="4" w:space="0" w:color="auto"/>
              <w:left w:val="single" w:sz="4" w:space="0" w:color="auto"/>
              <w:bottom w:val="single" w:sz="4" w:space="0" w:color="auto"/>
              <w:right w:val="single" w:sz="4" w:space="0" w:color="auto"/>
            </w:tcBorders>
            <w:vAlign w:val="center"/>
            <w:hideMark/>
          </w:tcPr>
          <w:p w14:paraId="782F9D0C" w14:textId="77777777" w:rsidR="00241417" w:rsidRDefault="00241417" w:rsidP="003A71DE">
            <w:pPr>
              <w:pStyle w:val="TAH"/>
              <w:rPr>
                <w:lang w:val="en-US" w:eastAsia="zh-CN"/>
              </w:rPr>
            </w:pPr>
            <w:r>
              <w:t>FRC (Annex A)</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55A8DBDB" w14:textId="77777777" w:rsidR="00241417" w:rsidRDefault="00241417" w:rsidP="003A71DE">
            <w:pPr>
              <w:pStyle w:val="TAH"/>
              <w:rPr>
                <w:lang w:val="fr-FR"/>
              </w:rPr>
            </w:pPr>
            <w:r>
              <w:t>Bandwidth</w:t>
            </w:r>
            <w:r>
              <w:rPr>
                <w:lang w:eastAsia="zh-CN"/>
              </w:rPr>
              <w:t xml:space="preserve"> (MHz) </w:t>
            </w:r>
            <w:r>
              <w:t>/</w:t>
            </w:r>
            <w:r>
              <w:rPr>
                <w:lang w:eastAsia="zh-CN"/>
              </w:rPr>
              <w:t xml:space="preserve"> </w:t>
            </w:r>
            <w:r>
              <w:t>Subcarrier spacing</w:t>
            </w:r>
            <w:r>
              <w:rPr>
                <w:lang w:eastAsia="zh-CN"/>
              </w:rPr>
              <w:t xml:space="preserve"> (kHz)</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4A073C32" w14:textId="00F2483D" w:rsidR="00241417" w:rsidRDefault="009F2BA2" w:rsidP="003A71DE">
            <w:pPr>
              <w:pStyle w:val="TAH"/>
              <w:rPr>
                <w:lang w:val="en-US" w:eastAsia="zh-CN"/>
              </w:rPr>
            </w:pPr>
            <w:r>
              <w:rPr>
                <w:lang w:val="fr-FR"/>
              </w:rPr>
              <w:t>Propagation conditions</w:t>
            </w:r>
            <w:r>
              <w:rPr>
                <w:lang w:val="fr-FR" w:eastAsia="zh-CN"/>
              </w:rPr>
              <w:t xml:space="preserve"> </w:t>
            </w:r>
            <w:r>
              <w:rPr>
                <w:lang w:val="fr-FR"/>
              </w:rPr>
              <w:t xml:space="preserve">(Annex </w:t>
            </w:r>
            <w:r>
              <w:rPr>
                <w:rFonts w:hint="eastAsia"/>
                <w:lang w:eastAsia="zh-CN"/>
              </w:rPr>
              <w:t>I</w:t>
            </w:r>
            <w:r>
              <w:rPr>
                <w:lang w:val="fr-FR"/>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129D29A0" w14:textId="77777777" w:rsidR="00241417" w:rsidRDefault="00241417" w:rsidP="003A71DE">
            <w:pPr>
              <w:pStyle w:val="TAH"/>
              <w:rPr>
                <w:lang w:val="en-US" w:eastAsia="zh-CN"/>
              </w:rPr>
            </w:pPr>
            <w:r>
              <w:rPr>
                <w:lang w:val="en-US" w:eastAsia="zh-CN"/>
              </w:rPr>
              <w:t>Antenna configuration</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3252A256" w14:textId="77777777" w:rsidR="00241417" w:rsidRDefault="00241417" w:rsidP="003A71DE">
            <w:pPr>
              <w:pStyle w:val="TAH"/>
              <w:rPr>
                <w:lang w:val="en-US" w:eastAsia="zh-CN"/>
              </w:rPr>
            </w:pPr>
            <w:r>
              <w:rPr>
                <w:lang w:val="en-US" w:eastAsia="zh-CN"/>
              </w:rPr>
              <w:t>Fraction of maximum throughput (%)</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272A9476" w14:textId="77777777" w:rsidR="00241417" w:rsidRDefault="00241417" w:rsidP="003A71DE">
            <w:pPr>
              <w:pStyle w:val="TAH"/>
            </w:pPr>
            <w:r>
              <w:t>SNR</w:t>
            </w:r>
          </w:p>
          <w:p w14:paraId="278E36D4" w14:textId="77777777" w:rsidR="00241417" w:rsidRDefault="00241417" w:rsidP="003A71DE">
            <w:pPr>
              <w:pStyle w:val="TAH"/>
              <w:rPr>
                <w:lang w:val="en-US" w:eastAsia="zh-CN"/>
              </w:rPr>
            </w:pPr>
            <w:r>
              <w:t>(dB)</w:t>
            </w:r>
          </w:p>
        </w:tc>
      </w:tr>
      <w:tr w:rsidR="00241417" w14:paraId="243D7021" w14:textId="77777777" w:rsidTr="003A71DE">
        <w:trPr>
          <w:trHeight w:val="225"/>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EEA9FE9" w14:textId="77777777" w:rsidR="00241417" w:rsidRDefault="00241417" w:rsidP="003A71DE">
            <w:pPr>
              <w:pStyle w:val="TAC"/>
              <w:rPr>
                <w:lang w:val="en-US" w:eastAsia="zh-CN"/>
              </w:rPr>
            </w:pPr>
            <w:r>
              <w:rPr>
                <w:lang w:val="en-US" w:eastAsia="zh-CN"/>
              </w:rPr>
              <w:t>1-1</w:t>
            </w:r>
          </w:p>
        </w:tc>
        <w:tc>
          <w:tcPr>
            <w:tcW w:w="0" w:type="auto"/>
            <w:tcBorders>
              <w:top w:val="single" w:sz="4" w:space="0" w:color="auto"/>
              <w:left w:val="single" w:sz="4" w:space="0" w:color="auto"/>
              <w:bottom w:val="single" w:sz="4" w:space="0" w:color="auto"/>
              <w:right w:val="single" w:sz="4" w:space="0" w:color="auto"/>
            </w:tcBorders>
            <w:vAlign w:val="center"/>
            <w:hideMark/>
          </w:tcPr>
          <w:p w14:paraId="3A05A7EE" w14:textId="77777777" w:rsidR="00241417" w:rsidRDefault="00241417" w:rsidP="003A71DE">
            <w:pPr>
              <w:pStyle w:val="TAC"/>
              <w:rPr>
                <w:highlight w:val="yellow"/>
                <w:lang w:val="en-US" w:eastAsia="zh-CN"/>
              </w:rPr>
            </w:pPr>
            <w:r w:rsidRPr="00C1362E">
              <w:t>M-FR1-A.3.3-1</w:t>
            </w:r>
          </w:p>
        </w:tc>
        <w:tc>
          <w:tcPr>
            <w:tcW w:w="0" w:type="auto"/>
            <w:tcBorders>
              <w:top w:val="single" w:sz="4" w:space="0" w:color="auto"/>
              <w:left w:val="single" w:sz="4" w:space="0" w:color="auto"/>
              <w:bottom w:val="single" w:sz="4" w:space="0" w:color="auto"/>
              <w:right w:val="single" w:sz="4" w:space="0" w:color="auto"/>
            </w:tcBorders>
            <w:vAlign w:val="center"/>
            <w:hideMark/>
          </w:tcPr>
          <w:p w14:paraId="060819B9" w14:textId="77777777" w:rsidR="00241417" w:rsidRDefault="00241417" w:rsidP="003A71DE">
            <w:pPr>
              <w:pStyle w:val="TAC"/>
              <w:rPr>
                <w:lang w:val="en-US" w:eastAsia="zh-CN"/>
              </w:rPr>
            </w:pPr>
            <w:r>
              <w:rPr>
                <w:lang w:val="en-US" w:eastAsia="zh-CN"/>
              </w:rPr>
              <w:t>40/30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FCF93E3" w14:textId="77777777" w:rsidR="00241417" w:rsidRDefault="00241417" w:rsidP="003A71DE">
            <w:pPr>
              <w:pStyle w:val="TAC"/>
              <w:rPr>
                <w:lang w:val="en-US" w:eastAsia="zh-CN"/>
              </w:rPr>
            </w:pPr>
            <w:r>
              <w:rPr>
                <w:lang w:val="en-US" w:eastAsia="zh-CN"/>
              </w:rPr>
              <w:t>TDLA30-10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96968D2" w14:textId="77777777" w:rsidR="00241417" w:rsidRDefault="00241417" w:rsidP="003A71DE">
            <w:pPr>
              <w:pStyle w:val="TAC"/>
              <w:rPr>
                <w:lang w:val="en-US" w:eastAsia="zh-CN"/>
              </w:rPr>
            </w:pPr>
            <w:r>
              <w:rPr>
                <w:lang w:val="en-US" w:eastAsia="zh-CN"/>
              </w:rPr>
              <w:t>2x4, ULA Low</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BE715C8" w14:textId="77777777" w:rsidR="00241417" w:rsidRDefault="00241417" w:rsidP="003A71DE">
            <w:pPr>
              <w:pStyle w:val="TAC"/>
              <w:rPr>
                <w:lang w:val="en-US" w:eastAsia="zh-CN"/>
              </w:rPr>
            </w:pPr>
            <w:r>
              <w:rPr>
                <w:lang w:val="en-US" w:eastAsia="zh-CN"/>
              </w:rPr>
              <w:t>70</w:t>
            </w:r>
          </w:p>
        </w:tc>
        <w:tc>
          <w:tcPr>
            <w:tcW w:w="0" w:type="auto"/>
            <w:tcBorders>
              <w:top w:val="single" w:sz="4" w:space="0" w:color="auto"/>
              <w:left w:val="single" w:sz="4" w:space="0" w:color="auto"/>
              <w:bottom w:val="single" w:sz="4" w:space="0" w:color="auto"/>
              <w:right w:val="single" w:sz="4" w:space="0" w:color="auto"/>
            </w:tcBorders>
            <w:vAlign w:val="center"/>
            <w:hideMark/>
          </w:tcPr>
          <w:p w14:paraId="2B3B7D2A" w14:textId="77777777" w:rsidR="00241417" w:rsidRDefault="00241417" w:rsidP="003A71DE">
            <w:pPr>
              <w:pStyle w:val="TAC"/>
              <w:rPr>
                <w:lang w:val="en-US" w:eastAsia="zh-CN"/>
              </w:rPr>
            </w:pPr>
            <w:r>
              <w:rPr>
                <w:lang w:val="en-US" w:eastAsia="zh-CN"/>
              </w:rPr>
              <w:t>21.6</w:t>
            </w:r>
          </w:p>
        </w:tc>
      </w:tr>
      <w:tr w:rsidR="009F2BA2" w14:paraId="05330AE4" w14:textId="77777777" w:rsidTr="003A71DE">
        <w:trPr>
          <w:trHeight w:val="225"/>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4035A7B" w14:textId="77777777" w:rsidR="009F2BA2" w:rsidRDefault="009F2BA2" w:rsidP="009F2BA2">
            <w:pPr>
              <w:pStyle w:val="TAC"/>
              <w:rPr>
                <w:lang w:val="en-US" w:eastAsia="zh-CN"/>
              </w:rPr>
            </w:pPr>
            <w:r>
              <w:rPr>
                <w:lang w:val="en-US" w:eastAsia="zh-CN"/>
              </w:rPr>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6FB31F3C" w14:textId="77777777" w:rsidR="009F2BA2" w:rsidRDefault="009F2BA2" w:rsidP="009F2BA2">
            <w:pPr>
              <w:pStyle w:val="TAC"/>
              <w:rPr>
                <w:highlight w:val="yellow"/>
                <w:lang w:val="en-US" w:eastAsia="zh-CN"/>
              </w:rPr>
            </w:pPr>
            <w:r w:rsidRPr="00C1362E">
              <w:t>M-FR1-A.3.1-1</w:t>
            </w:r>
          </w:p>
        </w:tc>
        <w:tc>
          <w:tcPr>
            <w:tcW w:w="0" w:type="auto"/>
            <w:tcBorders>
              <w:top w:val="single" w:sz="4" w:space="0" w:color="auto"/>
              <w:left w:val="single" w:sz="4" w:space="0" w:color="auto"/>
              <w:bottom w:val="single" w:sz="4" w:space="0" w:color="auto"/>
              <w:right w:val="single" w:sz="4" w:space="0" w:color="auto"/>
            </w:tcBorders>
            <w:vAlign w:val="center"/>
            <w:hideMark/>
          </w:tcPr>
          <w:p w14:paraId="45C238FB" w14:textId="77777777" w:rsidR="009F2BA2" w:rsidRDefault="009F2BA2" w:rsidP="009F2BA2">
            <w:pPr>
              <w:pStyle w:val="TAC"/>
              <w:rPr>
                <w:lang w:val="en-US" w:eastAsia="zh-CN"/>
              </w:rPr>
            </w:pPr>
            <w:r>
              <w:rPr>
                <w:lang w:val="en-US" w:eastAsia="zh-CN"/>
              </w:rPr>
              <w:t>40/30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710DC82" w14:textId="77777777" w:rsidR="009F2BA2" w:rsidRDefault="009F2BA2" w:rsidP="009F2BA2">
            <w:pPr>
              <w:pStyle w:val="TAC"/>
              <w:rPr>
                <w:lang w:val="en-US" w:eastAsia="zh-CN"/>
              </w:rPr>
            </w:pPr>
            <w:r>
              <w:rPr>
                <w:lang w:val="en-US" w:eastAsia="zh-CN"/>
              </w:rPr>
              <w:t>TDLA30-10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CE85392" w14:textId="77777777" w:rsidR="009F2BA2" w:rsidRDefault="009F2BA2" w:rsidP="009F2BA2">
            <w:pPr>
              <w:pStyle w:val="TAC"/>
              <w:rPr>
                <w:lang w:val="en-US" w:eastAsia="zh-CN"/>
              </w:rPr>
            </w:pPr>
            <w:r>
              <w:rPr>
                <w:lang w:val="en-US" w:eastAsia="zh-CN"/>
              </w:rPr>
              <w:t>2x4, ULA Low</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7DAFAE8" w14:textId="77777777" w:rsidR="009F2BA2" w:rsidRDefault="009F2BA2" w:rsidP="009F2BA2">
            <w:pPr>
              <w:pStyle w:val="TAC"/>
              <w:rPr>
                <w:lang w:val="en-US" w:eastAsia="zh-CN"/>
              </w:rPr>
            </w:pPr>
            <w:r>
              <w:rPr>
                <w:lang w:val="en-US" w:eastAsia="zh-CN"/>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16D85B4B" w14:textId="03D9F37B" w:rsidR="009F2BA2" w:rsidRDefault="009F2BA2" w:rsidP="009F2BA2">
            <w:pPr>
              <w:pStyle w:val="TAC"/>
              <w:rPr>
                <w:highlight w:val="yellow"/>
                <w:lang w:val="en-US" w:eastAsia="zh-CN"/>
              </w:rPr>
            </w:pPr>
            <w:r>
              <w:rPr>
                <w:lang w:val="en-US" w:eastAsia="zh-CN"/>
              </w:rPr>
              <w:t>-1.1</w:t>
            </w:r>
          </w:p>
        </w:tc>
      </w:tr>
    </w:tbl>
    <w:p w14:paraId="12357A9D" w14:textId="77777777" w:rsidR="00241417" w:rsidRDefault="00241417" w:rsidP="00241417">
      <w:pPr>
        <w:rPr>
          <w:lang w:eastAsia="zh-CN"/>
        </w:rPr>
      </w:pPr>
    </w:p>
    <w:p w14:paraId="28AD8BD7" w14:textId="77777777" w:rsidR="00241417" w:rsidRDefault="00241417" w:rsidP="00241417">
      <w:pPr>
        <w:pStyle w:val="TH"/>
      </w:pPr>
      <w:r>
        <w:t>Table 8.2.2</w:t>
      </w:r>
      <w:r>
        <w:rPr>
          <w:lang w:eastAsia="zh-CN"/>
        </w:rPr>
        <w:t>.1.2</w:t>
      </w:r>
      <w:r>
        <w:t xml:space="preserve">-2: </w:t>
      </w:r>
      <w:r>
        <w:rPr>
          <w:rFonts w:eastAsia="Malgun Gothic"/>
        </w:rPr>
        <w:t>Minimum requirements for PDSCH Type A with Rank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1009"/>
        <w:gridCol w:w="1912"/>
        <w:gridCol w:w="1758"/>
        <w:gridCol w:w="1579"/>
        <w:gridCol w:w="1783"/>
        <w:gridCol w:w="597"/>
      </w:tblGrid>
      <w:tr w:rsidR="00241417" w14:paraId="32D6CB45" w14:textId="77777777" w:rsidTr="003A71DE">
        <w:trPr>
          <w:trHeight w:val="495"/>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4DA706D" w14:textId="77777777" w:rsidR="00241417" w:rsidRDefault="00241417" w:rsidP="003A71DE">
            <w:pPr>
              <w:pStyle w:val="TAH"/>
              <w:rPr>
                <w:lang w:val="en-US" w:eastAsia="zh-CN"/>
              </w:rPr>
            </w:pPr>
            <w:r>
              <w:rPr>
                <w:lang w:val="en-US" w:eastAsia="zh-CN"/>
              </w:rPr>
              <w:t>Test number</w:t>
            </w:r>
          </w:p>
        </w:tc>
        <w:tc>
          <w:tcPr>
            <w:tcW w:w="0" w:type="auto"/>
            <w:tcBorders>
              <w:top w:val="single" w:sz="4" w:space="0" w:color="auto"/>
              <w:left w:val="single" w:sz="4" w:space="0" w:color="auto"/>
              <w:bottom w:val="single" w:sz="4" w:space="0" w:color="auto"/>
              <w:right w:val="single" w:sz="4" w:space="0" w:color="auto"/>
            </w:tcBorders>
            <w:vAlign w:val="center"/>
            <w:hideMark/>
          </w:tcPr>
          <w:p w14:paraId="6B17DDB6" w14:textId="77777777" w:rsidR="00241417" w:rsidRDefault="00241417" w:rsidP="003A71DE">
            <w:pPr>
              <w:pStyle w:val="TAH"/>
              <w:rPr>
                <w:lang w:val="en-US" w:eastAsia="zh-CN"/>
              </w:rPr>
            </w:pPr>
            <w:r>
              <w:t>FRC (Annex A)</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0DA18056" w14:textId="77777777" w:rsidR="00241417" w:rsidRDefault="00241417" w:rsidP="003A71DE">
            <w:pPr>
              <w:pStyle w:val="TAH"/>
              <w:rPr>
                <w:lang w:val="fr-FR"/>
              </w:rPr>
            </w:pPr>
            <w:r>
              <w:t>Bandwidth</w:t>
            </w:r>
            <w:r>
              <w:rPr>
                <w:lang w:eastAsia="zh-CN"/>
              </w:rPr>
              <w:t xml:space="preserve"> (MHz) </w:t>
            </w:r>
            <w:r>
              <w:t>/</w:t>
            </w:r>
            <w:r>
              <w:rPr>
                <w:lang w:eastAsia="zh-CN"/>
              </w:rPr>
              <w:t xml:space="preserve"> </w:t>
            </w:r>
            <w:r>
              <w:t>Subcarrier spacing</w:t>
            </w:r>
            <w:r>
              <w:rPr>
                <w:lang w:eastAsia="zh-CN"/>
              </w:rPr>
              <w:t xml:space="preserve"> (kHz)</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07C52868" w14:textId="5B5E6530" w:rsidR="00241417" w:rsidRDefault="009F2BA2" w:rsidP="003A71DE">
            <w:pPr>
              <w:pStyle w:val="TAH"/>
              <w:rPr>
                <w:lang w:val="en-US" w:eastAsia="zh-CN"/>
              </w:rPr>
            </w:pPr>
            <w:r>
              <w:rPr>
                <w:lang w:val="fr-FR"/>
              </w:rPr>
              <w:t>Propagation conditions</w:t>
            </w:r>
            <w:r>
              <w:rPr>
                <w:lang w:val="fr-FR" w:eastAsia="zh-CN"/>
              </w:rPr>
              <w:t xml:space="preserve"> </w:t>
            </w:r>
            <w:r>
              <w:rPr>
                <w:lang w:val="fr-FR"/>
              </w:rPr>
              <w:t xml:space="preserve">(Annex </w:t>
            </w:r>
            <w:r>
              <w:t>I</w:t>
            </w:r>
            <w:r>
              <w:rPr>
                <w:lang w:val="fr-FR"/>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31ABC3FF" w14:textId="77777777" w:rsidR="00241417" w:rsidRDefault="00241417" w:rsidP="003A71DE">
            <w:pPr>
              <w:pStyle w:val="TAH"/>
              <w:rPr>
                <w:lang w:val="en-US" w:eastAsia="zh-CN"/>
              </w:rPr>
            </w:pPr>
            <w:r>
              <w:rPr>
                <w:lang w:val="en-US" w:eastAsia="zh-CN"/>
              </w:rPr>
              <w:t>Antenna configuration</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258AD98B" w14:textId="77777777" w:rsidR="00241417" w:rsidRDefault="00241417" w:rsidP="003A71DE">
            <w:pPr>
              <w:pStyle w:val="TAH"/>
              <w:rPr>
                <w:lang w:val="en-US" w:eastAsia="zh-CN"/>
              </w:rPr>
            </w:pPr>
            <w:r>
              <w:rPr>
                <w:lang w:val="en-US" w:eastAsia="zh-CN"/>
              </w:rPr>
              <w:t>Fraction of maximum throughput (%)</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5AC85D0C" w14:textId="77777777" w:rsidR="00241417" w:rsidRDefault="00241417" w:rsidP="003A71DE">
            <w:pPr>
              <w:pStyle w:val="TAH"/>
            </w:pPr>
            <w:r>
              <w:t>SNR</w:t>
            </w:r>
          </w:p>
          <w:p w14:paraId="53A66E00" w14:textId="77777777" w:rsidR="00241417" w:rsidRDefault="00241417" w:rsidP="003A71DE">
            <w:pPr>
              <w:pStyle w:val="TAH"/>
              <w:rPr>
                <w:lang w:val="en-US" w:eastAsia="zh-CN"/>
              </w:rPr>
            </w:pPr>
            <w:r>
              <w:t>(dB)</w:t>
            </w:r>
          </w:p>
        </w:tc>
      </w:tr>
      <w:tr w:rsidR="00241417" w14:paraId="231D20F9" w14:textId="77777777" w:rsidTr="003A71DE">
        <w:trPr>
          <w:trHeight w:val="225"/>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7540E4AA" w14:textId="77777777" w:rsidR="00241417" w:rsidRDefault="00241417" w:rsidP="003A71DE">
            <w:pPr>
              <w:pStyle w:val="TAC"/>
              <w:rPr>
                <w:lang w:val="en-US" w:eastAsia="zh-CN"/>
              </w:rPr>
            </w:pPr>
            <w:r>
              <w:rPr>
                <w:lang w:val="en-US" w:eastAsia="zh-CN"/>
              </w:rPr>
              <w:t>2-1</w:t>
            </w:r>
          </w:p>
        </w:tc>
        <w:tc>
          <w:tcPr>
            <w:tcW w:w="0" w:type="auto"/>
            <w:tcBorders>
              <w:top w:val="single" w:sz="4" w:space="0" w:color="auto"/>
              <w:left w:val="single" w:sz="4" w:space="0" w:color="auto"/>
              <w:bottom w:val="single" w:sz="4" w:space="0" w:color="auto"/>
              <w:right w:val="single" w:sz="4" w:space="0" w:color="auto"/>
            </w:tcBorders>
            <w:vAlign w:val="center"/>
            <w:hideMark/>
          </w:tcPr>
          <w:p w14:paraId="55913C5A" w14:textId="77777777" w:rsidR="00241417" w:rsidRDefault="00241417" w:rsidP="003A71DE">
            <w:pPr>
              <w:pStyle w:val="TAC"/>
              <w:rPr>
                <w:highlight w:val="yellow"/>
                <w:lang w:val="en-US" w:eastAsia="zh-CN"/>
              </w:rPr>
            </w:pPr>
            <w:r w:rsidRPr="00C1362E">
              <w:t>M-FR1-A.3.2-1</w:t>
            </w:r>
          </w:p>
        </w:tc>
        <w:tc>
          <w:tcPr>
            <w:tcW w:w="0" w:type="auto"/>
            <w:tcBorders>
              <w:top w:val="single" w:sz="4" w:space="0" w:color="auto"/>
              <w:left w:val="single" w:sz="4" w:space="0" w:color="auto"/>
              <w:bottom w:val="single" w:sz="4" w:space="0" w:color="auto"/>
              <w:right w:val="single" w:sz="4" w:space="0" w:color="auto"/>
            </w:tcBorders>
            <w:vAlign w:val="center"/>
            <w:hideMark/>
          </w:tcPr>
          <w:p w14:paraId="3FC5266E" w14:textId="77777777" w:rsidR="00241417" w:rsidRDefault="00241417" w:rsidP="003A71DE">
            <w:pPr>
              <w:pStyle w:val="TAC"/>
              <w:rPr>
                <w:lang w:val="en-US" w:eastAsia="zh-CN"/>
              </w:rPr>
            </w:pPr>
            <w:r>
              <w:rPr>
                <w:lang w:val="en-US" w:eastAsia="zh-CN"/>
              </w:rPr>
              <w:t>40/30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9602CB8" w14:textId="77777777" w:rsidR="00241417" w:rsidRDefault="00241417" w:rsidP="003A71DE">
            <w:pPr>
              <w:pStyle w:val="TAC"/>
              <w:rPr>
                <w:lang w:val="en-US" w:eastAsia="zh-CN"/>
              </w:rPr>
            </w:pPr>
            <w:r>
              <w:rPr>
                <w:lang w:val="en-US" w:eastAsia="zh-CN"/>
              </w:rPr>
              <w:t>TDLA30-10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9A051C1" w14:textId="77777777" w:rsidR="00241417" w:rsidRDefault="00241417" w:rsidP="003A71DE">
            <w:pPr>
              <w:pStyle w:val="TAC"/>
              <w:rPr>
                <w:lang w:val="en-US" w:eastAsia="zh-CN"/>
              </w:rPr>
            </w:pPr>
            <w:r>
              <w:rPr>
                <w:lang w:val="en-US" w:eastAsia="zh-CN"/>
              </w:rPr>
              <w:t>2x4, ULA Low</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66D3AD2" w14:textId="77777777" w:rsidR="00241417" w:rsidRDefault="00241417" w:rsidP="003A71DE">
            <w:pPr>
              <w:pStyle w:val="TAC"/>
              <w:rPr>
                <w:lang w:val="en-US" w:eastAsia="zh-CN"/>
              </w:rPr>
            </w:pPr>
            <w:r>
              <w:rPr>
                <w:lang w:val="en-US" w:eastAsia="zh-CN"/>
              </w:rPr>
              <w:t>70</w:t>
            </w:r>
          </w:p>
        </w:tc>
        <w:tc>
          <w:tcPr>
            <w:tcW w:w="0" w:type="auto"/>
            <w:tcBorders>
              <w:top w:val="single" w:sz="4" w:space="0" w:color="auto"/>
              <w:left w:val="single" w:sz="4" w:space="0" w:color="auto"/>
              <w:bottom w:val="single" w:sz="4" w:space="0" w:color="auto"/>
              <w:right w:val="single" w:sz="4" w:space="0" w:color="auto"/>
            </w:tcBorders>
            <w:vAlign w:val="center"/>
            <w:hideMark/>
          </w:tcPr>
          <w:p w14:paraId="47765EBC" w14:textId="77777777" w:rsidR="00241417" w:rsidRDefault="00241417" w:rsidP="003A71DE">
            <w:pPr>
              <w:pStyle w:val="TAC"/>
              <w:rPr>
                <w:lang w:val="en-US" w:eastAsia="zh-CN"/>
              </w:rPr>
            </w:pPr>
            <w:r>
              <w:rPr>
                <w:lang w:val="en-US" w:eastAsia="zh-CN"/>
              </w:rPr>
              <w:t>13.6</w:t>
            </w:r>
          </w:p>
        </w:tc>
      </w:tr>
    </w:tbl>
    <w:p w14:paraId="2F86BFA8" w14:textId="77777777" w:rsidR="00241417" w:rsidRDefault="00241417" w:rsidP="00241417">
      <w:pPr>
        <w:rPr>
          <w:lang w:eastAsia="zh-CN"/>
        </w:rPr>
      </w:pPr>
    </w:p>
    <w:p w14:paraId="5F7369A5" w14:textId="77777777" w:rsidR="00241417" w:rsidRDefault="00241417" w:rsidP="00241417">
      <w:pPr>
        <w:pStyle w:val="TH"/>
      </w:pPr>
      <w:r>
        <w:t>Table 8.2.2</w:t>
      </w:r>
      <w:r>
        <w:rPr>
          <w:lang w:eastAsia="zh-CN"/>
        </w:rPr>
        <w:t>.1.2</w:t>
      </w:r>
      <w:r>
        <w:t xml:space="preserve">-3: </w:t>
      </w:r>
      <w:r>
        <w:rPr>
          <w:rFonts w:eastAsia="Malgun Gothic"/>
        </w:rPr>
        <w:t>Minimum requirements for PDSCH Type A with Rank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1009"/>
        <w:gridCol w:w="1912"/>
        <w:gridCol w:w="1758"/>
        <w:gridCol w:w="1579"/>
        <w:gridCol w:w="1783"/>
        <w:gridCol w:w="597"/>
      </w:tblGrid>
      <w:tr w:rsidR="00241417" w14:paraId="02E35958" w14:textId="77777777" w:rsidTr="003A71DE">
        <w:trPr>
          <w:trHeight w:val="495"/>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9A8C212" w14:textId="77777777" w:rsidR="00241417" w:rsidRDefault="00241417" w:rsidP="003A71DE">
            <w:pPr>
              <w:pStyle w:val="TAH"/>
              <w:rPr>
                <w:lang w:val="en-US" w:eastAsia="zh-CN"/>
              </w:rPr>
            </w:pPr>
            <w:r>
              <w:rPr>
                <w:lang w:val="en-US" w:eastAsia="zh-CN"/>
              </w:rPr>
              <w:t>Test number</w:t>
            </w:r>
          </w:p>
        </w:tc>
        <w:tc>
          <w:tcPr>
            <w:tcW w:w="0" w:type="auto"/>
            <w:tcBorders>
              <w:top w:val="single" w:sz="4" w:space="0" w:color="auto"/>
              <w:left w:val="single" w:sz="4" w:space="0" w:color="auto"/>
              <w:bottom w:val="single" w:sz="4" w:space="0" w:color="auto"/>
              <w:right w:val="single" w:sz="4" w:space="0" w:color="auto"/>
            </w:tcBorders>
            <w:vAlign w:val="center"/>
            <w:hideMark/>
          </w:tcPr>
          <w:p w14:paraId="0A2A124C" w14:textId="77777777" w:rsidR="00241417" w:rsidRDefault="00241417" w:rsidP="003A71DE">
            <w:pPr>
              <w:pStyle w:val="TAH"/>
              <w:rPr>
                <w:lang w:val="en-US" w:eastAsia="zh-CN"/>
              </w:rPr>
            </w:pPr>
            <w:r>
              <w:t>FRC (Annex A)</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0B0C945A" w14:textId="77777777" w:rsidR="00241417" w:rsidRDefault="00241417" w:rsidP="003A71DE">
            <w:pPr>
              <w:pStyle w:val="TAH"/>
              <w:rPr>
                <w:lang w:val="fr-FR"/>
              </w:rPr>
            </w:pPr>
            <w:r>
              <w:t>Bandwidth</w:t>
            </w:r>
            <w:r>
              <w:rPr>
                <w:lang w:eastAsia="zh-CN"/>
              </w:rPr>
              <w:t xml:space="preserve"> (MHz) </w:t>
            </w:r>
            <w:r>
              <w:t>/</w:t>
            </w:r>
            <w:r>
              <w:rPr>
                <w:lang w:eastAsia="zh-CN"/>
              </w:rPr>
              <w:t xml:space="preserve"> </w:t>
            </w:r>
            <w:r>
              <w:t>Subcarrier spacing</w:t>
            </w:r>
            <w:r>
              <w:rPr>
                <w:lang w:eastAsia="zh-CN"/>
              </w:rPr>
              <w:t xml:space="preserve"> (kHz)</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7CA3F0A5" w14:textId="4F5CC26C" w:rsidR="00241417" w:rsidRDefault="009F2BA2" w:rsidP="003A71DE">
            <w:pPr>
              <w:pStyle w:val="TAH"/>
              <w:rPr>
                <w:lang w:val="en-US" w:eastAsia="zh-CN"/>
              </w:rPr>
            </w:pPr>
            <w:r>
              <w:rPr>
                <w:lang w:val="fr-FR"/>
              </w:rPr>
              <w:t>Propagation conditions</w:t>
            </w:r>
            <w:r>
              <w:rPr>
                <w:lang w:val="fr-FR" w:eastAsia="zh-CN"/>
              </w:rPr>
              <w:t xml:space="preserve"> </w:t>
            </w:r>
            <w:r>
              <w:rPr>
                <w:lang w:val="fr-FR"/>
              </w:rPr>
              <w:t xml:space="preserve">(Annex </w:t>
            </w:r>
            <w:r>
              <w:t>I</w:t>
            </w:r>
            <w:r>
              <w:rPr>
                <w:lang w:val="fr-FR"/>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3853F3BC" w14:textId="77777777" w:rsidR="00241417" w:rsidRDefault="00241417" w:rsidP="003A71DE">
            <w:pPr>
              <w:pStyle w:val="TAH"/>
              <w:rPr>
                <w:lang w:val="en-US" w:eastAsia="zh-CN"/>
              </w:rPr>
            </w:pPr>
            <w:r>
              <w:rPr>
                <w:lang w:val="en-US" w:eastAsia="zh-CN"/>
              </w:rPr>
              <w:t>Antenna configuration</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07BA4EA3" w14:textId="77777777" w:rsidR="00241417" w:rsidRDefault="00241417" w:rsidP="003A71DE">
            <w:pPr>
              <w:pStyle w:val="TAH"/>
              <w:rPr>
                <w:lang w:val="en-US" w:eastAsia="zh-CN"/>
              </w:rPr>
            </w:pPr>
            <w:r>
              <w:rPr>
                <w:lang w:val="en-US" w:eastAsia="zh-CN"/>
              </w:rPr>
              <w:t>Fraction of maximum throughput (%)</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116786CE" w14:textId="77777777" w:rsidR="00241417" w:rsidRDefault="00241417" w:rsidP="003A71DE">
            <w:pPr>
              <w:pStyle w:val="TAH"/>
            </w:pPr>
            <w:r>
              <w:t>SNR</w:t>
            </w:r>
          </w:p>
          <w:p w14:paraId="4BAB3A2B" w14:textId="77777777" w:rsidR="00241417" w:rsidRDefault="00241417" w:rsidP="003A71DE">
            <w:pPr>
              <w:pStyle w:val="TAH"/>
              <w:rPr>
                <w:lang w:val="en-US" w:eastAsia="zh-CN"/>
              </w:rPr>
            </w:pPr>
            <w:r>
              <w:t>(dB)</w:t>
            </w:r>
          </w:p>
        </w:tc>
      </w:tr>
      <w:tr w:rsidR="009F2BA2" w14:paraId="7496F907" w14:textId="77777777" w:rsidTr="003A71DE">
        <w:trPr>
          <w:trHeight w:val="225"/>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6E730A6" w14:textId="77777777" w:rsidR="009F2BA2" w:rsidRDefault="009F2BA2" w:rsidP="009F2BA2">
            <w:pPr>
              <w:pStyle w:val="TAC"/>
              <w:rPr>
                <w:highlight w:val="yellow"/>
                <w:lang w:val="en-US" w:eastAsia="zh-CN"/>
              </w:rPr>
            </w:pPr>
            <w:r w:rsidRPr="0021076E">
              <w:rPr>
                <w:lang w:val="en-US" w:eastAsia="zh-CN"/>
              </w:rPr>
              <w:t>3-1</w:t>
            </w:r>
          </w:p>
        </w:tc>
        <w:tc>
          <w:tcPr>
            <w:tcW w:w="0" w:type="auto"/>
            <w:tcBorders>
              <w:top w:val="single" w:sz="4" w:space="0" w:color="auto"/>
              <w:left w:val="single" w:sz="4" w:space="0" w:color="auto"/>
              <w:bottom w:val="single" w:sz="4" w:space="0" w:color="auto"/>
              <w:right w:val="single" w:sz="4" w:space="0" w:color="auto"/>
            </w:tcBorders>
            <w:vAlign w:val="center"/>
            <w:hideMark/>
          </w:tcPr>
          <w:p w14:paraId="4E424C8A" w14:textId="77777777" w:rsidR="009F2BA2" w:rsidRPr="00C1362E" w:rsidRDefault="009F2BA2" w:rsidP="009F2BA2">
            <w:pPr>
              <w:pStyle w:val="TAC"/>
              <w:rPr>
                <w:lang w:val="en-US" w:eastAsia="zh-CN"/>
              </w:rPr>
            </w:pPr>
            <w:r w:rsidRPr="00C1362E">
              <w:t>M-FR1-A.3.1-2</w:t>
            </w:r>
          </w:p>
        </w:tc>
        <w:tc>
          <w:tcPr>
            <w:tcW w:w="0" w:type="auto"/>
            <w:tcBorders>
              <w:top w:val="single" w:sz="4" w:space="0" w:color="auto"/>
              <w:left w:val="single" w:sz="4" w:space="0" w:color="auto"/>
              <w:bottom w:val="single" w:sz="4" w:space="0" w:color="auto"/>
              <w:right w:val="single" w:sz="4" w:space="0" w:color="auto"/>
            </w:tcBorders>
            <w:vAlign w:val="center"/>
            <w:hideMark/>
          </w:tcPr>
          <w:p w14:paraId="607F1AC1" w14:textId="77777777" w:rsidR="009F2BA2" w:rsidRPr="00C1362E" w:rsidRDefault="009F2BA2" w:rsidP="009F2BA2">
            <w:pPr>
              <w:pStyle w:val="TAC"/>
              <w:rPr>
                <w:lang w:val="en-US" w:eastAsia="zh-CN"/>
              </w:rPr>
            </w:pPr>
            <w:r w:rsidRPr="00C1362E">
              <w:rPr>
                <w:lang w:val="en-US" w:eastAsia="zh-CN"/>
              </w:rPr>
              <w:t>40/30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732490A" w14:textId="77777777" w:rsidR="009F2BA2" w:rsidRPr="00C1362E" w:rsidRDefault="009F2BA2" w:rsidP="009F2BA2">
            <w:pPr>
              <w:pStyle w:val="TAC"/>
              <w:rPr>
                <w:lang w:val="en-US" w:eastAsia="zh-CN"/>
              </w:rPr>
            </w:pPr>
            <w:r w:rsidRPr="00C1362E">
              <w:rPr>
                <w:lang w:val="en-US" w:eastAsia="zh-CN"/>
              </w:rPr>
              <w:t>TDLA30-10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F28BFD4" w14:textId="77777777" w:rsidR="009F2BA2" w:rsidRPr="00C1362E" w:rsidRDefault="009F2BA2" w:rsidP="009F2BA2">
            <w:pPr>
              <w:pStyle w:val="TAC"/>
              <w:rPr>
                <w:lang w:val="en-US" w:eastAsia="zh-CN"/>
              </w:rPr>
            </w:pPr>
            <w:r w:rsidRPr="00C1362E">
              <w:rPr>
                <w:lang w:val="en-US" w:eastAsia="zh-CN"/>
              </w:rPr>
              <w:t>4x4, ULA Low</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953EE86" w14:textId="77777777" w:rsidR="009F2BA2" w:rsidRPr="00C1362E" w:rsidRDefault="009F2BA2" w:rsidP="009F2BA2">
            <w:pPr>
              <w:pStyle w:val="TAC"/>
              <w:rPr>
                <w:lang w:val="en-US" w:eastAsia="zh-CN"/>
              </w:rPr>
            </w:pPr>
            <w:r w:rsidRPr="00C1362E">
              <w:rPr>
                <w:lang w:val="en-US" w:eastAsia="zh-CN"/>
              </w:rPr>
              <w:t>70</w:t>
            </w:r>
          </w:p>
        </w:tc>
        <w:tc>
          <w:tcPr>
            <w:tcW w:w="0" w:type="auto"/>
            <w:tcBorders>
              <w:top w:val="single" w:sz="4" w:space="0" w:color="auto"/>
              <w:left w:val="single" w:sz="4" w:space="0" w:color="auto"/>
              <w:bottom w:val="single" w:sz="4" w:space="0" w:color="auto"/>
              <w:right w:val="single" w:sz="4" w:space="0" w:color="auto"/>
            </w:tcBorders>
            <w:vAlign w:val="center"/>
            <w:hideMark/>
          </w:tcPr>
          <w:p w14:paraId="33F26199" w14:textId="4B2BB6A7" w:rsidR="009F2BA2" w:rsidRPr="00C1362E" w:rsidRDefault="009F2BA2" w:rsidP="009F2BA2">
            <w:pPr>
              <w:pStyle w:val="TAC"/>
              <w:rPr>
                <w:lang w:val="en-US" w:eastAsia="zh-CN"/>
              </w:rPr>
            </w:pPr>
            <w:r>
              <w:rPr>
                <w:lang w:val="en-US" w:eastAsia="zh-CN"/>
              </w:rPr>
              <w:t>11.4</w:t>
            </w:r>
          </w:p>
        </w:tc>
      </w:tr>
    </w:tbl>
    <w:p w14:paraId="5EDC8890" w14:textId="77777777" w:rsidR="00241417" w:rsidRDefault="00241417" w:rsidP="00241417">
      <w:pPr>
        <w:rPr>
          <w:lang w:eastAsia="zh-CN"/>
        </w:rPr>
      </w:pPr>
    </w:p>
    <w:p w14:paraId="4D6FE270" w14:textId="77777777" w:rsidR="00241417" w:rsidRDefault="00241417" w:rsidP="00241417">
      <w:pPr>
        <w:pStyle w:val="TH"/>
      </w:pPr>
      <w:r>
        <w:t>Table 8.2.2</w:t>
      </w:r>
      <w:r>
        <w:rPr>
          <w:lang w:eastAsia="zh-CN"/>
        </w:rPr>
        <w:t>.1.2</w:t>
      </w:r>
      <w:r>
        <w:t xml:space="preserve">-4: </w:t>
      </w:r>
      <w:r>
        <w:rPr>
          <w:rFonts w:eastAsia="Malgun Gothic"/>
        </w:rPr>
        <w:t>Minimum requirements for PDSCH Type A with Rank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1009"/>
        <w:gridCol w:w="1912"/>
        <w:gridCol w:w="1758"/>
        <w:gridCol w:w="1579"/>
        <w:gridCol w:w="1783"/>
        <w:gridCol w:w="597"/>
      </w:tblGrid>
      <w:tr w:rsidR="00241417" w14:paraId="5D9D0BAF" w14:textId="77777777" w:rsidTr="003A71DE">
        <w:trPr>
          <w:trHeight w:val="495"/>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84ED2A1" w14:textId="77777777" w:rsidR="00241417" w:rsidRDefault="00241417" w:rsidP="003A71DE">
            <w:pPr>
              <w:pStyle w:val="TAH"/>
              <w:rPr>
                <w:lang w:val="en-US" w:eastAsia="zh-CN"/>
              </w:rPr>
            </w:pPr>
            <w:r>
              <w:rPr>
                <w:lang w:val="en-US" w:eastAsia="zh-CN"/>
              </w:rPr>
              <w:t>Test number</w:t>
            </w:r>
          </w:p>
        </w:tc>
        <w:tc>
          <w:tcPr>
            <w:tcW w:w="0" w:type="auto"/>
            <w:tcBorders>
              <w:top w:val="single" w:sz="4" w:space="0" w:color="auto"/>
              <w:left w:val="single" w:sz="4" w:space="0" w:color="auto"/>
              <w:bottom w:val="single" w:sz="4" w:space="0" w:color="auto"/>
              <w:right w:val="single" w:sz="4" w:space="0" w:color="auto"/>
            </w:tcBorders>
            <w:vAlign w:val="center"/>
            <w:hideMark/>
          </w:tcPr>
          <w:p w14:paraId="62F35290" w14:textId="77777777" w:rsidR="00241417" w:rsidRDefault="00241417" w:rsidP="003A71DE">
            <w:pPr>
              <w:pStyle w:val="TAH"/>
              <w:rPr>
                <w:lang w:val="en-US" w:eastAsia="zh-CN"/>
              </w:rPr>
            </w:pPr>
            <w:r>
              <w:t>FRC (Annex A)</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2BB3439E" w14:textId="77777777" w:rsidR="00241417" w:rsidRDefault="00241417" w:rsidP="003A71DE">
            <w:pPr>
              <w:pStyle w:val="TAH"/>
              <w:rPr>
                <w:lang w:val="fr-FR"/>
              </w:rPr>
            </w:pPr>
            <w:r>
              <w:t>Bandwidth</w:t>
            </w:r>
            <w:r>
              <w:rPr>
                <w:lang w:eastAsia="zh-CN"/>
              </w:rPr>
              <w:t xml:space="preserve"> (MHz) </w:t>
            </w:r>
            <w:r>
              <w:t>/</w:t>
            </w:r>
            <w:r>
              <w:rPr>
                <w:lang w:eastAsia="zh-CN"/>
              </w:rPr>
              <w:t xml:space="preserve"> </w:t>
            </w:r>
            <w:r>
              <w:t>Subcarrier spacing</w:t>
            </w:r>
            <w:r>
              <w:rPr>
                <w:lang w:eastAsia="zh-CN"/>
              </w:rPr>
              <w:t xml:space="preserve"> (kHz)</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1735CE0E" w14:textId="670B119D" w:rsidR="00241417" w:rsidRDefault="009F2BA2" w:rsidP="003A71DE">
            <w:pPr>
              <w:pStyle w:val="TAH"/>
              <w:rPr>
                <w:lang w:val="en-US" w:eastAsia="zh-CN"/>
              </w:rPr>
            </w:pPr>
            <w:r>
              <w:rPr>
                <w:lang w:val="fr-FR"/>
              </w:rPr>
              <w:t>Propagation conditions</w:t>
            </w:r>
            <w:r>
              <w:rPr>
                <w:lang w:val="fr-FR" w:eastAsia="zh-CN"/>
              </w:rPr>
              <w:t xml:space="preserve"> </w:t>
            </w:r>
            <w:r>
              <w:rPr>
                <w:lang w:val="fr-FR"/>
              </w:rPr>
              <w:t xml:space="preserve">(Annex </w:t>
            </w:r>
            <w:r>
              <w:t>I</w:t>
            </w:r>
            <w:r>
              <w:rPr>
                <w:lang w:val="fr-FR"/>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062EB7C5" w14:textId="77777777" w:rsidR="00241417" w:rsidRDefault="00241417" w:rsidP="003A71DE">
            <w:pPr>
              <w:pStyle w:val="TAH"/>
              <w:rPr>
                <w:lang w:val="en-US" w:eastAsia="zh-CN"/>
              </w:rPr>
            </w:pPr>
            <w:r>
              <w:rPr>
                <w:lang w:val="en-US" w:eastAsia="zh-CN"/>
              </w:rPr>
              <w:t>Antenna configuration</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494CBB63" w14:textId="77777777" w:rsidR="00241417" w:rsidRDefault="00241417" w:rsidP="003A71DE">
            <w:pPr>
              <w:pStyle w:val="TAH"/>
              <w:rPr>
                <w:lang w:val="en-US" w:eastAsia="zh-CN"/>
              </w:rPr>
            </w:pPr>
            <w:r>
              <w:rPr>
                <w:lang w:val="en-US" w:eastAsia="zh-CN"/>
              </w:rPr>
              <w:t>Fraction of maximum throughput (%)</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hideMark/>
          </w:tcPr>
          <w:p w14:paraId="1FBD8EFF" w14:textId="77777777" w:rsidR="00241417" w:rsidRDefault="00241417" w:rsidP="003A71DE">
            <w:pPr>
              <w:pStyle w:val="TAH"/>
            </w:pPr>
            <w:r>
              <w:t>SNR</w:t>
            </w:r>
          </w:p>
          <w:p w14:paraId="462391CC" w14:textId="77777777" w:rsidR="00241417" w:rsidRDefault="00241417" w:rsidP="003A71DE">
            <w:pPr>
              <w:pStyle w:val="TAH"/>
              <w:rPr>
                <w:lang w:val="en-US" w:eastAsia="zh-CN"/>
              </w:rPr>
            </w:pPr>
            <w:r>
              <w:t>(dB)</w:t>
            </w:r>
          </w:p>
        </w:tc>
      </w:tr>
      <w:tr w:rsidR="00241417" w14:paraId="22C85246" w14:textId="77777777" w:rsidTr="003A71DE">
        <w:trPr>
          <w:trHeight w:val="225"/>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CD62AD6" w14:textId="77777777" w:rsidR="00241417" w:rsidRDefault="00241417" w:rsidP="003A71DE">
            <w:pPr>
              <w:pStyle w:val="TAC"/>
              <w:rPr>
                <w:lang w:val="en-US" w:eastAsia="zh-CN"/>
              </w:rPr>
            </w:pPr>
            <w:r>
              <w:rPr>
                <w:lang w:val="en-US" w:eastAsia="zh-CN"/>
              </w:rPr>
              <w:t>4-1</w:t>
            </w:r>
          </w:p>
        </w:tc>
        <w:tc>
          <w:tcPr>
            <w:tcW w:w="0" w:type="auto"/>
            <w:tcBorders>
              <w:top w:val="single" w:sz="4" w:space="0" w:color="auto"/>
              <w:left w:val="single" w:sz="4" w:space="0" w:color="auto"/>
              <w:bottom w:val="single" w:sz="4" w:space="0" w:color="auto"/>
              <w:right w:val="single" w:sz="4" w:space="0" w:color="auto"/>
            </w:tcBorders>
            <w:vAlign w:val="center"/>
            <w:hideMark/>
          </w:tcPr>
          <w:p w14:paraId="6F365404" w14:textId="77777777" w:rsidR="00241417" w:rsidRDefault="00241417" w:rsidP="003A71DE">
            <w:pPr>
              <w:pStyle w:val="TAC"/>
              <w:rPr>
                <w:highlight w:val="yellow"/>
                <w:lang w:val="en-US" w:eastAsia="zh-CN"/>
              </w:rPr>
            </w:pPr>
            <w:r w:rsidRPr="00C1362E">
              <w:t>M-FR1-A.3.1-3</w:t>
            </w:r>
          </w:p>
        </w:tc>
        <w:tc>
          <w:tcPr>
            <w:tcW w:w="0" w:type="auto"/>
            <w:tcBorders>
              <w:top w:val="single" w:sz="4" w:space="0" w:color="auto"/>
              <w:left w:val="single" w:sz="4" w:space="0" w:color="auto"/>
              <w:bottom w:val="single" w:sz="4" w:space="0" w:color="auto"/>
              <w:right w:val="single" w:sz="4" w:space="0" w:color="auto"/>
            </w:tcBorders>
            <w:vAlign w:val="center"/>
            <w:hideMark/>
          </w:tcPr>
          <w:p w14:paraId="12421C76" w14:textId="77777777" w:rsidR="00241417" w:rsidRDefault="00241417" w:rsidP="003A71DE">
            <w:pPr>
              <w:pStyle w:val="TAC"/>
              <w:rPr>
                <w:lang w:val="en-US" w:eastAsia="zh-CN"/>
              </w:rPr>
            </w:pPr>
            <w:r>
              <w:rPr>
                <w:lang w:val="en-US" w:eastAsia="zh-CN"/>
              </w:rPr>
              <w:t>40/30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D4A89DA" w14:textId="77777777" w:rsidR="00241417" w:rsidRDefault="00241417" w:rsidP="003A71DE">
            <w:pPr>
              <w:pStyle w:val="TAC"/>
              <w:rPr>
                <w:lang w:val="en-US" w:eastAsia="zh-CN"/>
              </w:rPr>
            </w:pPr>
            <w:r>
              <w:rPr>
                <w:lang w:val="en-US" w:eastAsia="zh-CN"/>
              </w:rPr>
              <w:t>TDLA30-10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F971F66" w14:textId="77777777" w:rsidR="00241417" w:rsidRDefault="00241417" w:rsidP="003A71DE">
            <w:pPr>
              <w:pStyle w:val="TAC"/>
              <w:rPr>
                <w:lang w:val="en-US" w:eastAsia="zh-CN"/>
              </w:rPr>
            </w:pPr>
            <w:r>
              <w:rPr>
                <w:lang w:val="en-US" w:eastAsia="zh-CN"/>
              </w:rPr>
              <w:t>4x4, ULA Low</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39C7687" w14:textId="77777777" w:rsidR="00241417" w:rsidRDefault="00241417" w:rsidP="003A71DE">
            <w:pPr>
              <w:pStyle w:val="TAC"/>
              <w:rPr>
                <w:lang w:val="en-US" w:eastAsia="zh-CN"/>
              </w:rPr>
            </w:pPr>
            <w:r>
              <w:rPr>
                <w:lang w:val="en-US" w:eastAsia="zh-CN"/>
              </w:rPr>
              <w:t>70</w:t>
            </w:r>
          </w:p>
        </w:tc>
        <w:tc>
          <w:tcPr>
            <w:tcW w:w="0" w:type="auto"/>
            <w:tcBorders>
              <w:top w:val="single" w:sz="4" w:space="0" w:color="auto"/>
              <w:left w:val="single" w:sz="4" w:space="0" w:color="auto"/>
              <w:bottom w:val="single" w:sz="4" w:space="0" w:color="auto"/>
              <w:right w:val="single" w:sz="4" w:space="0" w:color="auto"/>
            </w:tcBorders>
            <w:vAlign w:val="center"/>
            <w:hideMark/>
          </w:tcPr>
          <w:p w14:paraId="047BF73B" w14:textId="77777777" w:rsidR="00241417" w:rsidRDefault="00241417" w:rsidP="003A71DE">
            <w:pPr>
              <w:pStyle w:val="TAC"/>
              <w:rPr>
                <w:lang w:val="en-US" w:eastAsia="zh-CN"/>
              </w:rPr>
            </w:pPr>
            <w:r>
              <w:rPr>
                <w:lang w:val="en-US" w:eastAsia="zh-CN"/>
              </w:rPr>
              <w:t>15.4</w:t>
            </w:r>
          </w:p>
        </w:tc>
      </w:tr>
    </w:tbl>
    <w:p w14:paraId="7A0917F9" w14:textId="77777777" w:rsidR="00241417" w:rsidRDefault="00241417" w:rsidP="00241417">
      <w:pPr>
        <w:rPr>
          <w:lang w:eastAsia="zh-CN"/>
        </w:rPr>
      </w:pPr>
    </w:p>
    <w:p w14:paraId="49E9B5C6" w14:textId="77777777" w:rsidR="00241417" w:rsidRDefault="00241417" w:rsidP="00241417">
      <w:pPr>
        <w:pStyle w:val="Heading4"/>
      </w:pPr>
      <w:bookmarkStart w:id="3805" w:name="_Toc74583286"/>
      <w:bookmarkStart w:id="3806" w:name="_Toc76542099"/>
      <w:bookmarkStart w:id="3807" w:name="_Toc82450081"/>
      <w:bookmarkStart w:id="3808" w:name="_Toc82450729"/>
      <w:bookmarkStart w:id="3809" w:name="_Toc89949118"/>
      <w:bookmarkStart w:id="3810" w:name="_Toc98755507"/>
      <w:bookmarkStart w:id="3811" w:name="_Toc98763098"/>
      <w:bookmarkStart w:id="3812" w:name="_Toc106184027"/>
      <w:r>
        <w:lastRenderedPageBreak/>
        <w:t>8.2.2.2</w:t>
      </w:r>
      <w:r>
        <w:tab/>
      </w:r>
      <w:r w:rsidRPr="0021076E">
        <w:t>Performance requirements for PDCCH</w:t>
      </w:r>
      <w:bookmarkEnd w:id="3805"/>
      <w:bookmarkEnd w:id="3806"/>
      <w:bookmarkEnd w:id="3807"/>
      <w:bookmarkEnd w:id="3808"/>
      <w:bookmarkEnd w:id="3809"/>
      <w:bookmarkEnd w:id="3810"/>
      <w:bookmarkEnd w:id="3811"/>
      <w:bookmarkEnd w:id="3812"/>
    </w:p>
    <w:p w14:paraId="25EF52C2" w14:textId="77777777" w:rsidR="00241417" w:rsidRDefault="00241417" w:rsidP="00241417">
      <w:pPr>
        <w:pStyle w:val="Heading5"/>
        <w:rPr>
          <w:lang w:eastAsia="zh-CN"/>
        </w:rPr>
      </w:pPr>
      <w:bookmarkStart w:id="3813" w:name="_Toc74583287"/>
      <w:bookmarkStart w:id="3814" w:name="_Toc76542100"/>
      <w:bookmarkStart w:id="3815" w:name="_Toc82450082"/>
      <w:bookmarkStart w:id="3816" w:name="_Toc82450730"/>
      <w:bookmarkStart w:id="3817" w:name="_Toc89949119"/>
      <w:bookmarkStart w:id="3818" w:name="_Toc98755508"/>
      <w:bookmarkStart w:id="3819" w:name="_Toc98763099"/>
      <w:bookmarkStart w:id="3820" w:name="_Toc106184028"/>
      <w:r>
        <w:rPr>
          <w:rFonts w:hint="eastAsia"/>
          <w:lang w:eastAsia="zh-CN"/>
        </w:rPr>
        <w:t>8</w:t>
      </w:r>
      <w:r>
        <w:rPr>
          <w:lang w:eastAsia="zh-CN"/>
        </w:rPr>
        <w:t>.2.2.2.1</w:t>
      </w:r>
      <w:r>
        <w:rPr>
          <w:lang w:eastAsia="zh-CN"/>
        </w:rPr>
        <w:tab/>
        <w:t>General</w:t>
      </w:r>
      <w:bookmarkEnd w:id="3813"/>
      <w:bookmarkEnd w:id="3814"/>
      <w:bookmarkEnd w:id="3815"/>
      <w:bookmarkEnd w:id="3816"/>
      <w:bookmarkEnd w:id="3817"/>
      <w:bookmarkEnd w:id="3818"/>
      <w:bookmarkEnd w:id="3819"/>
      <w:bookmarkEnd w:id="3820"/>
    </w:p>
    <w:p w14:paraId="6946B08B" w14:textId="77777777" w:rsidR="00241417" w:rsidRPr="0021076E" w:rsidRDefault="00241417" w:rsidP="00241417">
      <w:r>
        <w:t>The receiver characteristics of the PDCCH are determined by the probability of miss-detection of the Downlink Scheduling Grant (Pm-dsg).</w:t>
      </w:r>
    </w:p>
    <w:p w14:paraId="57EFBD0E" w14:textId="77777777" w:rsidR="00241417" w:rsidRDefault="00241417" w:rsidP="00241417">
      <w:pPr>
        <w:pStyle w:val="TH"/>
      </w:pPr>
      <w:r>
        <w:t>Table: 8.2.2.2.1-1 Test parameters for testing PDCCH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42"/>
        <w:gridCol w:w="6789"/>
      </w:tblGrid>
      <w:tr w:rsidR="00241417" w14:paraId="12A8F66B"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334A5E4" w14:textId="77777777" w:rsidR="00241417" w:rsidRDefault="00241417" w:rsidP="003A71DE">
            <w:pPr>
              <w:pStyle w:val="TAH"/>
              <w:snapToGrid w:val="0"/>
              <w:rPr>
                <w:rFonts w:cs="Arial"/>
              </w:rPr>
            </w:pPr>
            <w:r>
              <w:rPr>
                <w:rFonts w:cs="Arial"/>
              </w:rPr>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35CCF392" w14:textId="77777777" w:rsidR="00241417" w:rsidRDefault="00241417" w:rsidP="003A71DE">
            <w:pPr>
              <w:pStyle w:val="TAH"/>
              <w:snapToGrid w:val="0"/>
              <w:rPr>
                <w:rFonts w:cs="Arial"/>
              </w:rPr>
            </w:pPr>
            <w:r>
              <w:rPr>
                <w:rFonts w:cs="Arial"/>
              </w:rPr>
              <w:t>Value</w:t>
            </w:r>
          </w:p>
        </w:tc>
      </w:tr>
      <w:tr w:rsidR="00241417" w14:paraId="5CC91DF8"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7021A32" w14:textId="77777777" w:rsidR="00241417" w:rsidRDefault="00241417" w:rsidP="003A71DE">
            <w:pPr>
              <w:pStyle w:val="TAL"/>
            </w:pPr>
            <w:r>
              <w:t>Cyclic prefix</w:t>
            </w:r>
          </w:p>
        </w:tc>
        <w:tc>
          <w:tcPr>
            <w:tcW w:w="0" w:type="auto"/>
            <w:tcBorders>
              <w:top w:val="single" w:sz="4" w:space="0" w:color="auto"/>
              <w:left w:val="single" w:sz="4" w:space="0" w:color="auto"/>
              <w:bottom w:val="single" w:sz="4" w:space="0" w:color="auto"/>
              <w:right w:val="single" w:sz="4" w:space="0" w:color="auto"/>
            </w:tcBorders>
            <w:vAlign w:val="center"/>
            <w:hideMark/>
          </w:tcPr>
          <w:p w14:paraId="26B3DA44" w14:textId="77777777" w:rsidR="00241417" w:rsidRDefault="00241417" w:rsidP="003A71DE">
            <w:pPr>
              <w:pStyle w:val="TAC"/>
              <w:rPr>
                <w:lang w:eastAsia="zh-CN"/>
              </w:rPr>
            </w:pPr>
            <w:r>
              <w:rPr>
                <w:lang w:eastAsia="zh-CN"/>
              </w:rPr>
              <w:t>Normal</w:t>
            </w:r>
          </w:p>
        </w:tc>
      </w:tr>
      <w:tr w:rsidR="00241417" w14:paraId="06592F97"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A8FA6EF" w14:textId="77777777" w:rsidR="00241417" w:rsidRDefault="00241417" w:rsidP="003A71DE">
            <w:pPr>
              <w:pStyle w:val="TAL"/>
            </w:pPr>
            <w:r>
              <w:t>Default TDD UL-DL pattern (Note 1)</w:t>
            </w:r>
          </w:p>
        </w:tc>
        <w:tc>
          <w:tcPr>
            <w:tcW w:w="0" w:type="auto"/>
            <w:tcBorders>
              <w:top w:val="single" w:sz="4" w:space="0" w:color="auto"/>
              <w:left w:val="single" w:sz="4" w:space="0" w:color="auto"/>
              <w:bottom w:val="single" w:sz="4" w:space="0" w:color="auto"/>
              <w:right w:val="single" w:sz="4" w:space="0" w:color="auto"/>
            </w:tcBorders>
            <w:vAlign w:val="center"/>
            <w:hideMark/>
          </w:tcPr>
          <w:p w14:paraId="6403F19E" w14:textId="77777777" w:rsidR="00241417" w:rsidRDefault="00241417" w:rsidP="003A71DE">
            <w:pPr>
              <w:pStyle w:val="TAC"/>
            </w:pPr>
            <w:r>
              <w:t>7D1S2U, S=6D:4G:4U</w:t>
            </w:r>
          </w:p>
        </w:tc>
      </w:tr>
      <w:tr w:rsidR="00241417" w14:paraId="4BCFA2CD"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6836AA1" w14:textId="77777777" w:rsidR="00241417" w:rsidRDefault="00241417" w:rsidP="003A71DE">
            <w:pPr>
              <w:pStyle w:val="TAL"/>
            </w:pPr>
            <w:r>
              <w:t>DM-RS sequence generation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1A9E73DD" w14:textId="77777777" w:rsidR="00241417" w:rsidRDefault="00241417" w:rsidP="003A71DE">
            <w:pPr>
              <w:pStyle w:val="TAC"/>
            </w:pPr>
            <w:r>
              <w:t>N</w:t>
            </w:r>
            <w:r>
              <w:rPr>
                <w:vertAlign w:val="subscript"/>
              </w:rPr>
              <w:t>ID</w:t>
            </w:r>
            <w:r>
              <w:t>=0</w:t>
            </w:r>
          </w:p>
        </w:tc>
      </w:tr>
      <w:tr w:rsidR="00241417" w14:paraId="473E8AA7"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7A5712E" w14:textId="77777777" w:rsidR="00241417" w:rsidRDefault="00241417" w:rsidP="003A71DE">
            <w:pPr>
              <w:pStyle w:val="TAL"/>
            </w:pPr>
            <w:r>
              <w:t>Frequency domain resource allocation for CORESET</w:t>
            </w:r>
          </w:p>
        </w:tc>
        <w:tc>
          <w:tcPr>
            <w:tcW w:w="0" w:type="auto"/>
            <w:tcBorders>
              <w:top w:val="single" w:sz="4" w:space="0" w:color="auto"/>
              <w:left w:val="single" w:sz="4" w:space="0" w:color="auto"/>
              <w:bottom w:val="single" w:sz="4" w:space="0" w:color="auto"/>
              <w:right w:val="single" w:sz="4" w:space="0" w:color="auto"/>
            </w:tcBorders>
            <w:vAlign w:val="center"/>
            <w:hideMark/>
          </w:tcPr>
          <w:p w14:paraId="20F3E255" w14:textId="77777777" w:rsidR="00241417" w:rsidRDefault="00241417" w:rsidP="003A71DE">
            <w:pPr>
              <w:pStyle w:val="TAC"/>
              <w:rPr>
                <w:lang w:eastAsia="zh-CN"/>
              </w:rPr>
            </w:pPr>
            <w:r>
              <w:rPr>
                <w:lang w:eastAsia="zh-CN"/>
              </w:rPr>
              <w:t>Start from RB = 0 with contiguous RB allocation</w:t>
            </w:r>
          </w:p>
        </w:tc>
      </w:tr>
      <w:tr w:rsidR="00241417" w14:paraId="70AF4830"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55A1637" w14:textId="77777777" w:rsidR="00241417" w:rsidRDefault="00241417" w:rsidP="003A71DE">
            <w:pPr>
              <w:pStyle w:val="TAL"/>
            </w:pPr>
            <w:r>
              <w:t>CCE to REG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2C1304E3" w14:textId="77777777" w:rsidR="00241417" w:rsidRDefault="00241417" w:rsidP="003A71DE">
            <w:pPr>
              <w:pStyle w:val="TAC"/>
            </w:pPr>
            <w:r>
              <w:t>Interleaved</w:t>
            </w:r>
          </w:p>
        </w:tc>
      </w:tr>
      <w:tr w:rsidR="00241417" w14:paraId="42F55B9F"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F713D78" w14:textId="77777777" w:rsidR="00241417" w:rsidRDefault="00241417" w:rsidP="003A71DE">
            <w:pPr>
              <w:pStyle w:val="TAL"/>
            </w:pPr>
            <w:r>
              <w:t>Interleaver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064FEAF5" w14:textId="77777777" w:rsidR="00241417" w:rsidRDefault="00241417" w:rsidP="003A71DE">
            <w:pPr>
              <w:pStyle w:val="TAC"/>
              <w:rPr>
                <w:lang w:eastAsia="zh-CN"/>
              </w:rPr>
            </w:pPr>
            <w:r>
              <w:rPr>
                <w:lang w:eastAsia="zh-CN"/>
              </w:rPr>
              <w:t>3</w:t>
            </w:r>
          </w:p>
        </w:tc>
      </w:tr>
      <w:tr w:rsidR="00241417" w14:paraId="2906F462"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9C8B974" w14:textId="77777777" w:rsidR="00241417" w:rsidRDefault="00241417" w:rsidP="003A71DE">
            <w:pPr>
              <w:pStyle w:val="TAL"/>
            </w:pPr>
            <w:r>
              <w:t>REG bundle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047F770E" w14:textId="77777777" w:rsidR="00241417" w:rsidRDefault="00241417" w:rsidP="003A71DE">
            <w:pPr>
              <w:pStyle w:val="TAC"/>
              <w:rPr>
                <w:lang w:eastAsia="zh-CN"/>
              </w:rPr>
            </w:pPr>
            <w:r>
              <w:rPr>
                <w:rFonts w:hint="eastAsia"/>
                <w:lang w:eastAsia="zh-CN"/>
              </w:rPr>
              <w:t>2</w:t>
            </w:r>
            <w:r>
              <w:rPr>
                <w:lang w:eastAsia="zh-CN"/>
              </w:rPr>
              <w:t xml:space="preserve"> for test with 1Tx</w:t>
            </w:r>
            <w:r>
              <w:rPr>
                <w:lang w:eastAsia="zh-CN"/>
              </w:rPr>
              <w:br/>
              <w:t>6 for test with 2Tx</w:t>
            </w:r>
          </w:p>
        </w:tc>
      </w:tr>
      <w:tr w:rsidR="00241417" w14:paraId="5098AD81"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ADA1218" w14:textId="77777777" w:rsidR="00241417" w:rsidRDefault="00241417" w:rsidP="003A71DE">
            <w:pPr>
              <w:pStyle w:val="TAL"/>
            </w:pPr>
            <w:r>
              <w:rPr>
                <w:rFonts w:cs="Arial"/>
                <w:lang w:eastAsia="zh-CN"/>
              </w:rPr>
              <w:t>Shift Index</w:t>
            </w:r>
          </w:p>
        </w:tc>
        <w:tc>
          <w:tcPr>
            <w:tcW w:w="0" w:type="auto"/>
            <w:tcBorders>
              <w:top w:val="single" w:sz="4" w:space="0" w:color="auto"/>
              <w:left w:val="single" w:sz="4" w:space="0" w:color="auto"/>
              <w:bottom w:val="single" w:sz="4" w:space="0" w:color="auto"/>
              <w:right w:val="single" w:sz="4" w:space="0" w:color="auto"/>
            </w:tcBorders>
            <w:vAlign w:val="center"/>
            <w:hideMark/>
          </w:tcPr>
          <w:p w14:paraId="6AF4E8ED" w14:textId="77777777" w:rsidR="00241417" w:rsidRDefault="00241417" w:rsidP="003A71DE">
            <w:pPr>
              <w:pStyle w:val="TAC"/>
              <w:rPr>
                <w:lang w:eastAsia="zh-CN"/>
              </w:rPr>
            </w:pPr>
            <w:r>
              <w:rPr>
                <w:lang w:eastAsia="zh-CN"/>
              </w:rPr>
              <w:t>0</w:t>
            </w:r>
          </w:p>
        </w:tc>
      </w:tr>
      <w:tr w:rsidR="00241417" w14:paraId="7CB79DC3"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C450CCD" w14:textId="77777777" w:rsidR="00241417" w:rsidRDefault="00241417" w:rsidP="003A71DE">
            <w:pPr>
              <w:pStyle w:val="TAL"/>
              <w:rPr>
                <w:rFonts w:cs="Arial"/>
                <w:lang w:eastAsia="zh-CN"/>
              </w:rPr>
            </w:pPr>
            <w:r>
              <w:t>Slots for PDCCH monitoring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5008CD45" w14:textId="77777777" w:rsidR="00241417" w:rsidRDefault="00241417" w:rsidP="003A71DE">
            <w:pPr>
              <w:pStyle w:val="TAC"/>
              <w:rPr>
                <w:lang w:eastAsia="zh-CN"/>
              </w:rPr>
            </w:pPr>
            <w:r>
              <w:rPr>
                <w:lang w:eastAsia="zh-CN"/>
              </w:rPr>
              <w:t>Each slot</w:t>
            </w:r>
          </w:p>
        </w:tc>
      </w:tr>
      <w:tr w:rsidR="00241417" w14:paraId="166E0C49"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B2C4FE8" w14:textId="77777777" w:rsidR="00241417" w:rsidRDefault="00241417" w:rsidP="003A71DE">
            <w:pPr>
              <w:pStyle w:val="TAL"/>
              <w:rPr>
                <w:rFonts w:cs="Arial"/>
                <w:lang w:eastAsia="zh-CN"/>
              </w:rPr>
            </w:pPr>
            <w:r>
              <w:t xml:space="preserve">Number of PDCCH candidates for the tested </w:t>
            </w:r>
            <w:r>
              <w:rPr>
                <w:szCs w:val="18"/>
                <w:lang w:val="fr-FR"/>
              </w:rPr>
              <w:t>aggregation level</w:t>
            </w:r>
          </w:p>
        </w:tc>
        <w:tc>
          <w:tcPr>
            <w:tcW w:w="0" w:type="auto"/>
            <w:tcBorders>
              <w:top w:val="single" w:sz="4" w:space="0" w:color="auto"/>
              <w:left w:val="single" w:sz="4" w:space="0" w:color="auto"/>
              <w:bottom w:val="single" w:sz="4" w:space="0" w:color="auto"/>
              <w:right w:val="single" w:sz="4" w:space="0" w:color="auto"/>
            </w:tcBorders>
            <w:vAlign w:val="center"/>
            <w:hideMark/>
          </w:tcPr>
          <w:p w14:paraId="5E0239BE" w14:textId="77777777" w:rsidR="00241417" w:rsidRDefault="00241417" w:rsidP="003A71DE">
            <w:pPr>
              <w:pStyle w:val="TAC"/>
              <w:rPr>
                <w:lang w:eastAsia="zh-CN"/>
              </w:rPr>
            </w:pPr>
            <w:r>
              <w:rPr>
                <w:lang w:eastAsia="zh-CN"/>
              </w:rPr>
              <w:t>1</w:t>
            </w:r>
          </w:p>
        </w:tc>
      </w:tr>
      <w:tr w:rsidR="00241417" w14:paraId="563586E1"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6DA1354" w14:textId="77777777" w:rsidR="00241417" w:rsidRDefault="00241417" w:rsidP="003A71DE">
            <w:pPr>
              <w:pStyle w:val="TAL"/>
              <w:rPr>
                <w:rFonts w:cs="Arial"/>
                <w:lang w:eastAsia="zh-CN"/>
              </w:rPr>
            </w:pPr>
            <w:r>
              <w:t>PDCCH Precoding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472449F1" w14:textId="77777777" w:rsidR="00241417" w:rsidRDefault="00241417" w:rsidP="003A71DE">
            <w:pPr>
              <w:pStyle w:val="TAL"/>
              <w:rPr>
                <w:lang w:eastAsia="zh-CN"/>
              </w:rPr>
            </w:pPr>
            <w:r>
              <w:t>Single Panel Type I, Random precoder selection updated per slot, with equal probability of each applicable i</w:t>
            </w:r>
            <w:r>
              <w:rPr>
                <w:vertAlign w:val="subscript"/>
              </w:rPr>
              <w:t>1</w:t>
            </w:r>
            <w:r>
              <w:t>, i</w:t>
            </w:r>
            <w:r>
              <w:rPr>
                <w:vertAlign w:val="subscript"/>
              </w:rPr>
              <w:t>2</w:t>
            </w:r>
            <w:r>
              <w:t xml:space="preserve"> combination with</w:t>
            </w:r>
            <w:r>
              <w:rPr>
                <w:lang w:eastAsia="zh-CN"/>
              </w:rPr>
              <w:t xml:space="preserve"> REG </w:t>
            </w:r>
            <w:r>
              <w:t>bundling granularity</w:t>
            </w:r>
            <w:r>
              <w:rPr>
                <w:lang w:eastAsia="zh-CN"/>
              </w:rPr>
              <w:t xml:space="preserve"> for number of Tx larger than 1</w:t>
            </w:r>
          </w:p>
        </w:tc>
      </w:tr>
      <w:tr w:rsidR="00241417" w14:paraId="13C6F416"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E8447E5" w14:textId="77777777" w:rsidR="00241417" w:rsidRDefault="00241417" w:rsidP="003A71DE">
            <w:pPr>
              <w:pStyle w:val="TAL"/>
            </w:pPr>
            <w:r>
              <w:t>Note 1</w:t>
            </w:r>
            <w:r>
              <w:rPr>
                <w:lang w:eastAsia="zh-CN"/>
              </w:rPr>
              <w:t>:</w:t>
            </w:r>
            <w:r>
              <w:t xml:space="preserve"> </w:t>
            </w:r>
            <w:r>
              <w:tab/>
              <w:t>The same requirements are applicable to TDD with different UL-DL patterns.</w:t>
            </w:r>
          </w:p>
        </w:tc>
      </w:tr>
    </w:tbl>
    <w:p w14:paraId="528EA5F1" w14:textId="77777777" w:rsidR="00241417" w:rsidRPr="0021076E" w:rsidRDefault="00241417" w:rsidP="00241417">
      <w:pPr>
        <w:rPr>
          <w:lang w:eastAsia="zh-CN"/>
        </w:rPr>
      </w:pPr>
    </w:p>
    <w:p w14:paraId="4580DFFF" w14:textId="77777777" w:rsidR="00241417" w:rsidRDefault="00241417" w:rsidP="00241417">
      <w:pPr>
        <w:pStyle w:val="Heading5"/>
      </w:pPr>
      <w:bookmarkStart w:id="3821" w:name="_Toc74583288"/>
      <w:bookmarkStart w:id="3822" w:name="_Toc76542101"/>
      <w:bookmarkStart w:id="3823" w:name="_Toc82450083"/>
      <w:bookmarkStart w:id="3824" w:name="_Toc82450731"/>
      <w:bookmarkStart w:id="3825" w:name="_Toc89949120"/>
      <w:bookmarkStart w:id="3826" w:name="_Toc98755509"/>
      <w:bookmarkStart w:id="3827" w:name="_Toc98763100"/>
      <w:bookmarkStart w:id="3828" w:name="_Toc106184029"/>
      <w:r>
        <w:t>8.2.2.2.2</w:t>
      </w:r>
      <w:r>
        <w:tab/>
      </w:r>
      <w:r>
        <w:rPr>
          <w:lang w:eastAsia="zh-CN"/>
        </w:rPr>
        <w:t>Minimum requirements</w:t>
      </w:r>
      <w:bookmarkEnd w:id="3821"/>
      <w:bookmarkEnd w:id="3822"/>
      <w:bookmarkEnd w:id="3823"/>
      <w:bookmarkEnd w:id="3824"/>
      <w:bookmarkEnd w:id="3825"/>
      <w:bookmarkEnd w:id="3826"/>
      <w:bookmarkEnd w:id="3827"/>
      <w:bookmarkEnd w:id="3828"/>
    </w:p>
    <w:p w14:paraId="7C1E247B" w14:textId="77777777" w:rsidR="00241417" w:rsidRDefault="00241417" w:rsidP="00241417">
      <w:r>
        <w:t>The Pm-dsg shall be equal to or smaller than 1%, for the cases stated in Table 8.2.2</w:t>
      </w:r>
      <w:r>
        <w:rPr>
          <w:lang w:eastAsia="zh-CN"/>
        </w:rPr>
        <w:t>.2.2</w:t>
      </w:r>
      <w:r>
        <w:t>-1 at the given SNR with the test parameters stated in Table 8.2.2.2.1-1</w:t>
      </w:r>
      <w:r>
        <w:rPr>
          <w:lang w:eastAsia="zh-CN"/>
        </w:rPr>
        <w:t>.</w:t>
      </w:r>
    </w:p>
    <w:p w14:paraId="2B6A83A3" w14:textId="77777777" w:rsidR="00241417" w:rsidRDefault="00241417" w:rsidP="00241417">
      <w:pPr>
        <w:pStyle w:val="TH"/>
      </w:pPr>
      <w:r>
        <w:t xml:space="preserve">Table 8.2.2.2.2-1: </w:t>
      </w:r>
      <w:r>
        <w:rPr>
          <w:rFonts w:eastAsia="Malgun Gothic"/>
        </w:rPr>
        <w:t>Minimum requirements for PDCCH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9"/>
        <w:gridCol w:w="1084"/>
        <w:gridCol w:w="1038"/>
        <w:gridCol w:w="1038"/>
        <w:gridCol w:w="1099"/>
        <w:gridCol w:w="909"/>
        <w:gridCol w:w="1208"/>
        <w:gridCol w:w="1144"/>
        <w:gridCol w:w="567"/>
        <w:gridCol w:w="703"/>
      </w:tblGrid>
      <w:tr w:rsidR="00241417" w14:paraId="6AF0FE01" w14:textId="77777777" w:rsidTr="003A71DE">
        <w:trPr>
          <w:trHeight w:val="495"/>
          <w:jc w:val="center"/>
        </w:trPr>
        <w:tc>
          <w:tcPr>
            <w:tcW w:w="839" w:type="dxa"/>
            <w:tcBorders>
              <w:top w:val="single" w:sz="4" w:space="0" w:color="auto"/>
              <w:left w:val="single" w:sz="4" w:space="0" w:color="auto"/>
              <w:bottom w:val="single" w:sz="4" w:space="0" w:color="auto"/>
              <w:right w:val="single" w:sz="4" w:space="0" w:color="auto"/>
            </w:tcBorders>
            <w:vAlign w:val="center"/>
            <w:hideMark/>
          </w:tcPr>
          <w:p w14:paraId="3048CEEB" w14:textId="77777777" w:rsidR="00241417" w:rsidRDefault="00241417" w:rsidP="003A71DE">
            <w:pPr>
              <w:pStyle w:val="TAH"/>
              <w:rPr>
                <w:szCs w:val="18"/>
                <w:lang w:val="en-US" w:eastAsia="zh-CN"/>
              </w:rPr>
            </w:pPr>
            <w:r>
              <w:rPr>
                <w:szCs w:val="18"/>
                <w:lang w:val="en-US" w:eastAsia="zh-CN"/>
              </w:rPr>
              <w:t>Test number</w:t>
            </w:r>
          </w:p>
        </w:tc>
        <w:tc>
          <w:tcPr>
            <w:tcW w:w="1084" w:type="dxa"/>
            <w:tcBorders>
              <w:top w:val="single" w:sz="4" w:space="0" w:color="auto"/>
              <w:left w:val="single" w:sz="4" w:space="0" w:color="auto"/>
              <w:bottom w:val="single" w:sz="4" w:space="0" w:color="auto"/>
              <w:right w:val="single" w:sz="4" w:space="0" w:color="auto"/>
            </w:tcBorders>
            <w:vAlign w:val="center"/>
            <w:hideMark/>
          </w:tcPr>
          <w:p w14:paraId="7436EAE1" w14:textId="77777777" w:rsidR="00241417" w:rsidRDefault="00241417" w:rsidP="003A71DE">
            <w:pPr>
              <w:pStyle w:val="TAH"/>
              <w:rPr>
                <w:szCs w:val="18"/>
                <w:lang w:val="en-US" w:eastAsia="zh-CN"/>
              </w:rPr>
            </w:pPr>
            <w:r>
              <w:t>Bandwidth</w:t>
            </w:r>
            <w:r>
              <w:rPr>
                <w:lang w:eastAsia="zh-CN"/>
              </w:rPr>
              <w:t xml:space="preserve"> (MHz) </w:t>
            </w:r>
            <w:r>
              <w:t>/</w:t>
            </w:r>
            <w:r>
              <w:rPr>
                <w:lang w:eastAsia="zh-CN"/>
              </w:rPr>
              <w:t xml:space="preserve"> </w:t>
            </w:r>
            <w:r>
              <w:t>Subcarrier spacing</w:t>
            </w:r>
            <w:r>
              <w:rPr>
                <w:lang w:eastAsia="zh-CN"/>
              </w:rPr>
              <w:t xml:space="preserve"> (kHz)</w:t>
            </w:r>
          </w:p>
        </w:tc>
        <w:tc>
          <w:tcPr>
            <w:tcW w:w="1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DDADF3" w14:textId="77777777" w:rsidR="00241417" w:rsidRDefault="00241417" w:rsidP="003A71DE">
            <w:pPr>
              <w:pStyle w:val="TAH"/>
              <w:rPr>
                <w:szCs w:val="18"/>
                <w:lang w:val="en-US" w:eastAsia="zh-CN"/>
              </w:rPr>
            </w:pPr>
            <w:r>
              <w:rPr>
                <w:szCs w:val="18"/>
                <w:lang w:val="en-US" w:eastAsia="zh-CN"/>
              </w:rPr>
              <w:t>CORESET RB</w:t>
            </w:r>
          </w:p>
        </w:tc>
        <w:tc>
          <w:tcPr>
            <w:tcW w:w="1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6738FD" w14:textId="77777777" w:rsidR="00241417" w:rsidRDefault="00241417" w:rsidP="003A71DE">
            <w:pPr>
              <w:pStyle w:val="TAH"/>
              <w:rPr>
                <w:rFonts w:cs="Arial"/>
                <w:bCs/>
                <w:color w:val="000000"/>
                <w:szCs w:val="18"/>
                <w:lang w:val="en-US" w:eastAsia="zh-CN"/>
              </w:rPr>
            </w:pPr>
            <w:r>
              <w:rPr>
                <w:rFonts w:cs="Arial"/>
                <w:bCs/>
                <w:color w:val="000000"/>
                <w:szCs w:val="18"/>
              </w:rPr>
              <w:t>CORESET duration</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022989" w14:textId="77777777" w:rsidR="00241417" w:rsidRDefault="00241417" w:rsidP="003A71DE">
            <w:pPr>
              <w:pStyle w:val="TAH"/>
              <w:rPr>
                <w:szCs w:val="18"/>
                <w:lang w:val="fr-FR"/>
              </w:rPr>
            </w:pPr>
            <w:r>
              <w:rPr>
                <w:szCs w:val="18"/>
                <w:lang w:val="fr-FR"/>
              </w:rPr>
              <w:t>Aggregation level</w:t>
            </w:r>
          </w:p>
        </w:tc>
        <w:tc>
          <w:tcPr>
            <w:tcW w:w="9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004EA0" w14:textId="77777777" w:rsidR="00241417" w:rsidRDefault="00241417" w:rsidP="003A71DE">
            <w:pPr>
              <w:pStyle w:val="TAH"/>
              <w:rPr>
                <w:szCs w:val="18"/>
                <w:lang w:val="fr-FR"/>
              </w:rPr>
            </w:pPr>
            <w:r>
              <w:rPr>
                <w:szCs w:val="18"/>
              </w:rPr>
              <w:t>FRC (Annex A)</w:t>
            </w:r>
          </w:p>
        </w:tc>
        <w:tc>
          <w:tcPr>
            <w:tcW w:w="120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D53281" w14:textId="2EAF91EC" w:rsidR="00241417" w:rsidRDefault="009F2BA2" w:rsidP="003A71DE">
            <w:pPr>
              <w:pStyle w:val="TAH"/>
              <w:rPr>
                <w:szCs w:val="18"/>
                <w:lang w:val="en-US" w:eastAsia="zh-CN"/>
              </w:rPr>
            </w:pPr>
            <w:r>
              <w:rPr>
                <w:szCs w:val="18"/>
                <w:lang w:val="fr-FR"/>
              </w:rPr>
              <w:t>Propagation conditions</w:t>
            </w:r>
            <w:r>
              <w:rPr>
                <w:szCs w:val="18"/>
                <w:lang w:val="fr-FR" w:eastAsia="zh-CN"/>
              </w:rPr>
              <w:t xml:space="preserve"> </w:t>
            </w:r>
            <w:r>
              <w:rPr>
                <w:szCs w:val="18"/>
                <w:lang w:val="fr-FR"/>
              </w:rPr>
              <w:t xml:space="preserve">(Annex </w:t>
            </w:r>
            <w:r>
              <w:t>I</w:t>
            </w:r>
            <w:r>
              <w:rPr>
                <w:szCs w:val="18"/>
                <w:lang w:val="fr-FR"/>
              </w:rPr>
              <w:t>)</w:t>
            </w:r>
          </w:p>
        </w:tc>
        <w:tc>
          <w:tcPr>
            <w:tcW w:w="114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FF6BA8" w14:textId="77777777" w:rsidR="00241417" w:rsidRDefault="00241417" w:rsidP="003A71DE">
            <w:pPr>
              <w:pStyle w:val="TAH"/>
              <w:rPr>
                <w:szCs w:val="18"/>
                <w:lang w:val="en-US" w:eastAsia="zh-CN"/>
              </w:rPr>
            </w:pPr>
            <w:r>
              <w:rPr>
                <w:szCs w:val="18"/>
                <w:lang w:val="en-US" w:eastAsia="zh-CN"/>
              </w:rPr>
              <w:t>Antenna configuration</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D20258" w14:textId="77777777" w:rsidR="00241417" w:rsidRDefault="00241417" w:rsidP="003A71DE">
            <w:pPr>
              <w:pStyle w:val="TAH"/>
              <w:rPr>
                <w:szCs w:val="18"/>
                <w:lang w:val="en-US" w:eastAsia="zh-CN"/>
              </w:rPr>
            </w:pPr>
            <w:r>
              <w:rPr>
                <w:szCs w:val="18"/>
                <w:lang w:val="en-US" w:eastAsia="zh-CN"/>
              </w:rPr>
              <w:t>Pm-dsg (%)</w:t>
            </w:r>
          </w:p>
        </w:tc>
        <w:tc>
          <w:tcPr>
            <w:tcW w:w="70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B0BC8A" w14:textId="77777777" w:rsidR="00241417" w:rsidRDefault="00241417" w:rsidP="003A71DE">
            <w:pPr>
              <w:pStyle w:val="TAH"/>
              <w:rPr>
                <w:szCs w:val="18"/>
              </w:rPr>
            </w:pPr>
            <w:r>
              <w:rPr>
                <w:szCs w:val="18"/>
              </w:rPr>
              <w:t>SNR</w:t>
            </w:r>
          </w:p>
          <w:p w14:paraId="073DDA6B" w14:textId="77777777" w:rsidR="00241417" w:rsidRDefault="00241417" w:rsidP="003A71DE">
            <w:pPr>
              <w:pStyle w:val="TAH"/>
              <w:rPr>
                <w:szCs w:val="18"/>
                <w:lang w:val="en-US" w:eastAsia="zh-CN"/>
              </w:rPr>
            </w:pPr>
            <w:r>
              <w:rPr>
                <w:szCs w:val="18"/>
              </w:rPr>
              <w:t>(dB)</w:t>
            </w:r>
          </w:p>
        </w:tc>
      </w:tr>
      <w:tr w:rsidR="00241417" w14:paraId="66D16106" w14:textId="77777777" w:rsidTr="003A71DE">
        <w:trPr>
          <w:trHeight w:val="225"/>
          <w:jc w:val="center"/>
        </w:trPr>
        <w:tc>
          <w:tcPr>
            <w:tcW w:w="839" w:type="dxa"/>
            <w:tcBorders>
              <w:top w:val="single" w:sz="4" w:space="0" w:color="auto"/>
              <w:left w:val="single" w:sz="4" w:space="0" w:color="auto"/>
              <w:bottom w:val="single" w:sz="4" w:space="0" w:color="auto"/>
              <w:right w:val="single" w:sz="4" w:space="0" w:color="auto"/>
            </w:tcBorders>
            <w:noWrap/>
            <w:vAlign w:val="center"/>
            <w:hideMark/>
          </w:tcPr>
          <w:p w14:paraId="3A4D62FA" w14:textId="77777777" w:rsidR="00241417" w:rsidRDefault="00241417" w:rsidP="003A71DE">
            <w:pPr>
              <w:pStyle w:val="TAC"/>
              <w:rPr>
                <w:szCs w:val="18"/>
                <w:lang w:val="en-US" w:eastAsia="zh-CN"/>
              </w:rPr>
            </w:pPr>
            <w:r>
              <w:rPr>
                <w:szCs w:val="18"/>
                <w:lang w:val="en-US" w:eastAsia="zh-CN"/>
              </w:rPr>
              <w:t>1</w:t>
            </w:r>
          </w:p>
        </w:tc>
        <w:tc>
          <w:tcPr>
            <w:tcW w:w="1084" w:type="dxa"/>
            <w:tcBorders>
              <w:top w:val="single" w:sz="4" w:space="0" w:color="auto"/>
              <w:left w:val="single" w:sz="4" w:space="0" w:color="auto"/>
              <w:bottom w:val="single" w:sz="4" w:space="0" w:color="auto"/>
              <w:right w:val="single" w:sz="4" w:space="0" w:color="auto"/>
            </w:tcBorders>
            <w:vAlign w:val="center"/>
            <w:hideMark/>
          </w:tcPr>
          <w:p w14:paraId="45DAD8FA" w14:textId="77777777" w:rsidR="00241417" w:rsidRDefault="00241417" w:rsidP="003A71DE">
            <w:pPr>
              <w:pStyle w:val="TAC"/>
              <w:rPr>
                <w:szCs w:val="18"/>
                <w:lang w:val="en-US" w:eastAsia="zh-CN"/>
              </w:rPr>
            </w:pPr>
            <w:r>
              <w:rPr>
                <w:szCs w:val="18"/>
                <w:lang w:val="en-US" w:eastAsia="zh-CN"/>
              </w:rPr>
              <w:t>40/30</w:t>
            </w:r>
          </w:p>
        </w:tc>
        <w:tc>
          <w:tcPr>
            <w:tcW w:w="1038" w:type="dxa"/>
            <w:tcBorders>
              <w:top w:val="single" w:sz="4" w:space="0" w:color="auto"/>
              <w:left w:val="single" w:sz="4" w:space="0" w:color="auto"/>
              <w:bottom w:val="single" w:sz="4" w:space="0" w:color="auto"/>
              <w:right w:val="single" w:sz="4" w:space="0" w:color="auto"/>
            </w:tcBorders>
            <w:vAlign w:val="center"/>
            <w:hideMark/>
          </w:tcPr>
          <w:p w14:paraId="77C2C596" w14:textId="77777777" w:rsidR="00241417" w:rsidRDefault="00241417" w:rsidP="003A71DE">
            <w:pPr>
              <w:pStyle w:val="TAC"/>
              <w:rPr>
                <w:szCs w:val="18"/>
                <w:lang w:val="en-US" w:eastAsia="zh-CN"/>
              </w:rPr>
            </w:pPr>
            <w:r>
              <w:rPr>
                <w:szCs w:val="18"/>
                <w:lang w:val="en-US" w:eastAsia="zh-CN"/>
              </w:rPr>
              <w:t>102</w:t>
            </w:r>
          </w:p>
        </w:tc>
        <w:tc>
          <w:tcPr>
            <w:tcW w:w="1038" w:type="dxa"/>
            <w:tcBorders>
              <w:top w:val="single" w:sz="4" w:space="0" w:color="auto"/>
              <w:left w:val="single" w:sz="4" w:space="0" w:color="auto"/>
              <w:bottom w:val="single" w:sz="4" w:space="0" w:color="auto"/>
              <w:right w:val="single" w:sz="4" w:space="0" w:color="auto"/>
            </w:tcBorders>
            <w:noWrap/>
            <w:vAlign w:val="center"/>
            <w:hideMark/>
          </w:tcPr>
          <w:p w14:paraId="0622F25F" w14:textId="77777777" w:rsidR="00241417" w:rsidRDefault="00241417" w:rsidP="003A71DE">
            <w:pPr>
              <w:pStyle w:val="TAC"/>
              <w:rPr>
                <w:szCs w:val="18"/>
                <w:lang w:val="en-US" w:eastAsia="zh-CN"/>
              </w:rPr>
            </w:pPr>
            <w:r>
              <w:rPr>
                <w:szCs w:val="18"/>
                <w:lang w:val="en-US" w:eastAsia="zh-CN"/>
              </w:rPr>
              <w:t>1</w:t>
            </w:r>
          </w:p>
        </w:tc>
        <w:tc>
          <w:tcPr>
            <w:tcW w:w="1099" w:type="dxa"/>
            <w:tcBorders>
              <w:top w:val="single" w:sz="4" w:space="0" w:color="auto"/>
              <w:left w:val="single" w:sz="4" w:space="0" w:color="auto"/>
              <w:bottom w:val="single" w:sz="4" w:space="0" w:color="auto"/>
              <w:right w:val="single" w:sz="4" w:space="0" w:color="auto"/>
            </w:tcBorders>
            <w:vAlign w:val="center"/>
            <w:hideMark/>
          </w:tcPr>
          <w:p w14:paraId="05B8E920" w14:textId="77777777" w:rsidR="00241417" w:rsidRDefault="00241417" w:rsidP="003A71DE">
            <w:pPr>
              <w:pStyle w:val="TAC"/>
              <w:rPr>
                <w:szCs w:val="18"/>
                <w:lang w:val="en-US" w:eastAsia="zh-CN"/>
              </w:rPr>
            </w:pPr>
            <w:r>
              <w:rPr>
                <w:szCs w:val="18"/>
                <w:lang w:val="en-US" w:eastAsia="zh-CN"/>
              </w:rPr>
              <w:t>2</w:t>
            </w:r>
          </w:p>
        </w:tc>
        <w:tc>
          <w:tcPr>
            <w:tcW w:w="909" w:type="dxa"/>
            <w:tcBorders>
              <w:top w:val="single" w:sz="4" w:space="0" w:color="auto"/>
              <w:left w:val="single" w:sz="4" w:space="0" w:color="auto"/>
              <w:bottom w:val="single" w:sz="4" w:space="0" w:color="auto"/>
              <w:right w:val="single" w:sz="4" w:space="0" w:color="auto"/>
            </w:tcBorders>
            <w:vAlign w:val="center"/>
            <w:hideMark/>
          </w:tcPr>
          <w:p w14:paraId="21D43676" w14:textId="77777777" w:rsidR="00241417" w:rsidRPr="00762AFB" w:rsidRDefault="00241417" w:rsidP="003A71DE">
            <w:pPr>
              <w:pStyle w:val="TAC"/>
            </w:pPr>
            <w:r w:rsidRPr="00762AFB">
              <w:t>M-FR1-A.3.4-1</w:t>
            </w:r>
          </w:p>
        </w:tc>
        <w:tc>
          <w:tcPr>
            <w:tcW w:w="1208" w:type="dxa"/>
            <w:tcBorders>
              <w:top w:val="single" w:sz="4" w:space="0" w:color="auto"/>
              <w:left w:val="single" w:sz="4" w:space="0" w:color="auto"/>
              <w:bottom w:val="single" w:sz="4" w:space="0" w:color="auto"/>
              <w:right w:val="single" w:sz="4" w:space="0" w:color="auto"/>
            </w:tcBorders>
            <w:noWrap/>
            <w:vAlign w:val="center"/>
            <w:hideMark/>
          </w:tcPr>
          <w:p w14:paraId="653A0B6E" w14:textId="77777777" w:rsidR="00241417" w:rsidRDefault="00241417" w:rsidP="003A71DE">
            <w:pPr>
              <w:pStyle w:val="TAC"/>
              <w:rPr>
                <w:szCs w:val="18"/>
                <w:lang w:val="en-US" w:eastAsia="zh-CN"/>
              </w:rPr>
            </w:pPr>
            <w:r>
              <w:rPr>
                <w:szCs w:val="18"/>
                <w:lang w:val="en-US" w:eastAsia="zh-CN"/>
              </w:rPr>
              <w:t>TDLA30-10</w:t>
            </w:r>
          </w:p>
        </w:tc>
        <w:tc>
          <w:tcPr>
            <w:tcW w:w="1144" w:type="dxa"/>
            <w:tcBorders>
              <w:top w:val="single" w:sz="4" w:space="0" w:color="auto"/>
              <w:left w:val="single" w:sz="4" w:space="0" w:color="auto"/>
              <w:bottom w:val="single" w:sz="4" w:space="0" w:color="auto"/>
              <w:right w:val="single" w:sz="4" w:space="0" w:color="auto"/>
            </w:tcBorders>
            <w:noWrap/>
            <w:vAlign w:val="center"/>
            <w:hideMark/>
          </w:tcPr>
          <w:p w14:paraId="7ED56E7F" w14:textId="77777777" w:rsidR="00241417" w:rsidRDefault="00241417" w:rsidP="003A71DE">
            <w:pPr>
              <w:pStyle w:val="TAC"/>
              <w:rPr>
                <w:szCs w:val="18"/>
                <w:lang w:val="en-US" w:eastAsia="zh-CN"/>
              </w:rPr>
            </w:pPr>
            <w:r>
              <w:rPr>
                <w:szCs w:val="18"/>
                <w:lang w:val="en-US" w:eastAsia="zh-CN"/>
              </w:rPr>
              <w:t>1x4, ULA Low</w:t>
            </w:r>
          </w:p>
        </w:tc>
        <w:tc>
          <w:tcPr>
            <w:tcW w:w="567" w:type="dxa"/>
            <w:tcBorders>
              <w:top w:val="single" w:sz="4" w:space="0" w:color="auto"/>
              <w:left w:val="single" w:sz="4" w:space="0" w:color="auto"/>
              <w:bottom w:val="single" w:sz="4" w:space="0" w:color="auto"/>
              <w:right w:val="single" w:sz="4" w:space="0" w:color="auto"/>
            </w:tcBorders>
            <w:noWrap/>
            <w:vAlign w:val="center"/>
            <w:hideMark/>
          </w:tcPr>
          <w:p w14:paraId="5CFD01C9" w14:textId="77777777" w:rsidR="00241417" w:rsidRDefault="00241417" w:rsidP="003A71DE">
            <w:pPr>
              <w:pStyle w:val="TAC"/>
              <w:rPr>
                <w:szCs w:val="18"/>
                <w:lang w:val="en-US" w:eastAsia="zh-CN"/>
              </w:rPr>
            </w:pPr>
            <w:r>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713A5B67" w14:textId="77777777" w:rsidR="00241417" w:rsidRDefault="00241417" w:rsidP="003A71DE">
            <w:pPr>
              <w:pStyle w:val="TAC"/>
              <w:rPr>
                <w:szCs w:val="18"/>
                <w:lang w:val="en-US" w:eastAsia="zh-CN"/>
              </w:rPr>
            </w:pPr>
            <w:r>
              <w:rPr>
                <w:szCs w:val="18"/>
                <w:lang w:val="en-US" w:eastAsia="zh-CN"/>
              </w:rPr>
              <w:t>2.1</w:t>
            </w:r>
          </w:p>
        </w:tc>
      </w:tr>
      <w:tr w:rsidR="009F2BA2" w14:paraId="53020E48" w14:textId="77777777" w:rsidTr="003A71DE">
        <w:trPr>
          <w:trHeight w:val="225"/>
          <w:jc w:val="center"/>
        </w:trPr>
        <w:tc>
          <w:tcPr>
            <w:tcW w:w="839" w:type="dxa"/>
            <w:tcBorders>
              <w:top w:val="single" w:sz="4" w:space="0" w:color="auto"/>
              <w:left w:val="single" w:sz="4" w:space="0" w:color="auto"/>
              <w:bottom w:val="single" w:sz="4" w:space="0" w:color="auto"/>
              <w:right w:val="single" w:sz="4" w:space="0" w:color="auto"/>
            </w:tcBorders>
            <w:noWrap/>
            <w:vAlign w:val="center"/>
            <w:hideMark/>
          </w:tcPr>
          <w:p w14:paraId="0983FE85" w14:textId="77777777" w:rsidR="009F2BA2" w:rsidRDefault="009F2BA2" w:rsidP="009F2BA2">
            <w:pPr>
              <w:pStyle w:val="TAC"/>
              <w:rPr>
                <w:szCs w:val="18"/>
                <w:lang w:val="en-US" w:eastAsia="zh-CN"/>
              </w:rPr>
            </w:pPr>
            <w:r>
              <w:rPr>
                <w:szCs w:val="18"/>
                <w:lang w:val="en-US" w:eastAsia="zh-CN"/>
              </w:rPr>
              <w:t>2</w:t>
            </w:r>
          </w:p>
        </w:tc>
        <w:tc>
          <w:tcPr>
            <w:tcW w:w="1084" w:type="dxa"/>
            <w:tcBorders>
              <w:top w:val="single" w:sz="4" w:space="0" w:color="auto"/>
              <w:left w:val="single" w:sz="4" w:space="0" w:color="auto"/>
              <w:bottom w:val="single" w:sz="4" w:space="0" w:color="auto"/>
              <w:right w:val="single" w:sz="4" w:space="0" w:color="auto"/>
            </w:tcBorders>
            <w:vAlign w:val="center"/>
            <w:hideMark/>
          </w:tcPr>
          <w:p w14:paraId="27C7F7E7" w14:textId="77777777" w:rsidR="009F2BA2" w:rsidRDefault="009F2BA2" w:rsidP="009F2BA2">
            <w:pPr>
              <w:pStyle w:val="TAC"/>
              <w:rPr>
                <w:szCs w:val="18"/>
                <w:lang w:val="en-US" w:eastAsia="zh-CN"/>
              </w:rPr>
            </w:pPr>
            <w:r>
              <w:rPr>
                <w:szCs w:val="18"/>
                <w:lang w:val="en-US" w:eastAsia="zh-CN"/>
              </w:rPr>
              <w:t>40/30</w:t>
            </w:r>
          </w:p>
        </w:tc>
        <w:tc>
          <w:tcPr>
            <w:tcW w:w="1038" w:type="dxa"/>
            <w:tcBorders>
              <w:top w:val="single" w:sz="4" w:space="0" w:color="auto"/>
              <w:left w:val="single" w:sz="4" w:space="0" w:color="auto"/>
              <w:bottom w:val="single" w:sz="4" w:space="0" w:color="auto"/>
              <w:right w:val="single" w:sz="4" w:space="0" w:color="auto"/>
            </w:tcBorders>
            <w:vAlign w:val="center"/>
            <w:hideMark/>
          </w:tcPr>
          <w:p w14:paraId="3D7E2C9D" w14:textId="77777777" w:rsidR="009F2BA2" w:rsidRDefault="009F2BA2" w:rsidP="009F2BA2">
            <w:pPr>
              <w:pStyle w:val="TAC"/>
              <w:rPr>
                <w:szCs w:val="18"/>
                <w:lang w:val="en-US" w:eastAsia="zh-CN"/>
              </w:rPr>
            </w:pPr>
            <w:r>
              <w:rPr>
                <w:szCs w:val="18"/>
                <w:lang w:val="en-US" w:eastAsia="zh-CN"/>
              </w:rPr>
              <w:t>102</w:t>
            </w:r>
          </w:p>
        </w:tc>
        <w:tc>
          <w:tcPr>
            <w:tcW w:w="1038" w:type="dxa"/>
            <w:tcBorders>
              <w:top w:val="single" w:sz="4" w:space="0" w:color="auto"/>
              <w:left w:val="single" w:sz="4" w:space="0" w:color="auto"/>
              <w:bottom w:val="single" w:sz="4" w:space="0" w:color="auto"/>
              <w:right w:val="single" w:sz="4" w:space="0" w:color="auto"/>
            </w:tcBorders>
            <w:noWrap/>
            <w:vAlign w:val="center"/>
            <w:hideMark/>
          </w:tcPr>
          <w:p w14:paraId="2C8258C1" w14:textId="77777777" w:rsidR="009F2BA2" w:rsidRDefault="009F2BA2" w:rsidP="009F2BA2">
            <w:pPr>
              <w:pStyle w:val="TAC"/>
              <w:rPr>
                <w:szCs w:val="18"/>
                <w:lang w:val="en-US" w:eastAsia="zh-CN"/>
              </w:rPr>
            </w:pPr>
            <w:r>
              <w:rPr>
                <w:szCs w:val="18"/>
                <w:lang w:val="en-US" w:eastAsia="zh-CN"/>
              </w:rPr>
              <w:t>1</w:t>
            </w:r>
          </w:p>
        </w:tc>
        <w:tc>
          <w:tcPr>
            <w:tcW w:w="1099" w:type="dxa"/>
            <w:tcBorders>
              <w:top w:val="single" w:sz="4" w:space="0" w:color="auto"/>
              <w:left w:val="single" w:sz="4" w:space="0" w:color="auto"/>
              <w:bottom w:val="single" w:sz="4" w:space="0" w:color="auto"/>
              <w:right w:val="single" w:sz="4" w:space="0" w:color="auto"/>
            </w:tcBorders>
            <w:vAlign w:val="center"/>
            <w:hideMark/>
          </w:tcPr>
          <w:p w14:paraId="1F93B629" w14:textId="77777777" w:rsidR="009F2BA2" w:rsidRDefault="009F2BA2" w:rsidP="009F2BA2">
            <w:pPr>
              <w:pStyle w:val="TAC"/>
              <w:rPr>
                <w:szCs w:val="18"/>
                <w:lang w:val="en-US" w:eastAsia="zh-CN"/>
              </w:rPr>
            </w:pPr>
            <w:r>
              <w:rPr>
                <w:szCs w:val="18"/>
                <w:lang w:val="en-US" w:eastAsia="zh-CN"/>
              </w:rPr>
              <w:t>4</w:t>
            </w:r>
          </w:p>
        </w:tc>
        <w:tc>
          <w:tcPr>
            <w:tcW w:w="909" w:type="dxa"/>
            <w:tcBorders>
              <w:top w:val="single" w:sz="4" w:space="0" w:color="auto"/>
              <w:left w:val="single" w:sz="4" w:space="0" w:color="auto"/>
              <w:bottom w:val="single" w:sz="4" w:space="0" w:color="auto"/>
              <w:right w:val="single" w:sz="4" w:space="0" w:color="auto"/>
            </w:tcBorders>
            <w:vAlign w:val="center"/>
            <w:hideMark/>
          </w:tcPr>
          <w:p w14:paraId="00C018C4" w14:textId="77777777" w:rsidR="009F2BA2" w:rsidRPr="00762AFB" w:rsidRDefault="009F2BA2" w:rsidP="009F2BA2">
            <w:pPr>
              <w:pStyle w:val="TAC"/>
            </w:pPr>
            <w:r w:rsidRPr="00762AFB">
              <w:t>M-FR1-A.3.4-1</w:t>
            </w:r>
          </w:p>
        </w:tc>
        <w:tc>
          <w:tcPr>
            <w:tcW w:w="1208" w:type="dxa"/>
            <w:tcBorders>
              <w:top w:val="single" w:sz="4" w:space="0" w:color="auto"/>
              <w:left w:val="single" w:sz="4" w:space="0" w:color="auto"/>
              <w:bottom w:val="single" w:sz="4" w:space="0" w:color="auto"/>
              <w:right w:val="single" w:sz="4" w:space="0" w:color="auto"/>
            </w:tcBorders>
            <w:noWrap/>
            <w:vAlign w:val="center"/>
            <w:hideMark/>
          </w:tcPr>
          <w:p w14:paraId="6482D0D2" w14:textId="77777777" w:rsidR="009F2BA2" w:rsidRDefault="009F2BA2" w:rsidP="009F2BA2">
            <w:pPr>
              <w:pStyle w:val="TAC"/>
              <w:rPr>
                <w:szCs w:val="18"/>
                <w:lang w:val="en-US" w:eastAsia="zh-CN"/>
              </w:rPr>
            </w:pPr>
            <w:r>
              <w:rPr>
                <w:szCs w:val="18"/>
                <w:lang w:val="en-US" w:eastAsia="zh-CN"/>
              </w:rPr>
              <w:t>TDLA30-10</w:t>
            </w:r>
          </w:p>
        </w:tc>
        <w:tc>
          <w:tcPr>
            <w:tcW w:w="1144" w:type="dxa"/>
            <w:tcBorders>
              <w:top w:val="single" w:sz="4" w:space="0" w:color="auto"/>
              <w:left w:val="single" w:sz="4" w:space="0" w:color="auto"/>
              <w:bottom w:val="single" w:sz="4" w:space="0" w:color="auto"/>
              <w:right w:val="single" w:sz="4" w:space="0" w:color="auto"/>
            </w:tcBorders>
            <w:noWrap/>
            <w:vAlign w:val="center"/>
            <w:hideMark/>
          </w:tcPr>
          <w:p w14:paraId="0991FC48" w14:textId="77777777" w:rsidR="009F2BA2" w:rsidRDefault="009F2BA2" w:rsidP="009F2BA2">
            <w:pPr>
              <w:pStyle w:val="TAC"/>
              <w:rPr>
                <w:szCs w:val="18"/>
                <w:lang w:val="en-US" w:eastAsia="zh-CN"/>
              </w:rPr>
            </w:pPr>
            <w:r>
              <w:rPr>
                <w:szCs w:val="18"/>
                <w:lang w:val="en-US" w:eastAsia="zh-CN"/>
              </w:rPr>
              <w:t>1x4, ULA Low</w:t>
            </w:r>
          </w:p>
        </w:tc>
        <w:tc>
          <w:tcPr>
            <w:tcW w:w="567" w:type="dxa"/>
            <w:tcBorders>
              <w:top w:val="single" w:sz="4" w:space="0" w:color="auto"/>
              <w:left w:val="single" w:sz="4" w:space="0" w:color="auto"/>
              <w:bottom w:val="single" w:sz="4" w:space="0" w:color="auto"/>
              <w:right w:val="single" w:sz="4" w:space="0" w:color="auto"/>
            </w:tcBorders>
            <w:noWrap/>
            <w:vAlign w:val="center"/>
            <w:hideMark/>
          </w:tcPr>
          <w:p w14:paraId="40881BFD" w14:textId="77777777" w:rsidR="009F2BA2" w:rsidRDefault="009F2BA2" w:rsidP="009F2BA2">
            <w:pPr>
              <w:pStyle w:val="TAC"/>
              <w:rPr>
                <w:szCs w:val="18"/>
                <w:lang w:val="en-US" w:eastAsia="zh-CN"/>
              </w:rPr>
            </w:pPr>
            <w:r>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40A69DD7" w14:textId="1663A7D9" w:rsidR="009F2BA2" w:rsidRPr="00C1362E" w:rsidRDefault="009F2BA2" w:rsidP="009F2BA2">
            <w:pPr>
              <w:pStyle w:val="TAC"/>
              <w:rPr>
                <w:szCs w:val="18"/>
                <w:lang w:val="en-US" w:eastAsia="zh-CN"/>
              </w:rPr>
            </w:pPr>
            <w:r>
              <w:rPr>
                <w:szCs w:val="18"/>
                <w:lang w:val="en-US" w:eastAsia="zh-CN"/>
              </w:rPr>
              <w:t>0.7</w:t>
            </w:r>
          </w:p>
        </w:tc>
      </w:tr>
      <w:tr w:rsidR="009F2BA2" w14:paraId="55422004" w14:textId="77777777" w:rsidTr="003A71DE">
        <w:trPr>
          <w:trHeight w:val="225"/>
          <w:jc w:val="center"/>
        </w:trPr>
        <w:tc>
          <w:tcPr>
            <w:tcW w:w="839" w:type="dxa"/>
            <w:tcBorders>
              <w:top w:val="single" w:sz="4" w:space="0" w:color="auto"/>
              <w:left w:val="single" w:sz="4" w:space="0" w:color="auto"/>
              <w:bottom w:val="single" w:sz="4" w:space="0" w:color="auto"/>
              <w:right w:val="single" w:sz="4" w:space="0" w:color="auto"/>
            </w:tcBorders>
            <w:noWrap/>
            <w:vAlign w:val="center"/>
            <w:hideMark/>
          </w:tcPr>
          <w:p w14:paraId="10EABD72" w14:textId="77777777" w:rsidR="009F2BA2" w:rsidRDefault="009F2BA2" w:rsidP="009F2BA2">
            <w:pPr>
              <w:pStyle w:val="TAC"/>
              <w:rPr>
                <w:szCs w:val="18"/>
                <w:lang w:val="en-US" w:eastAsia="zh-CN"/>
              </w:rPr>
            </w:pPr>
            <w:r>
              <w:rPr>
                <w:szCs w:val="18"/>
                <w:lang w:val="en-US" w:eastAsia="zh-CN"/>
              </w:rPr>
              <w:t>3</w:t>
            </w:r>
          </w:p>
        </w:tc>
        <w:tc>
          <w:tcPr>
            <w:tcW w:w="1084" w:type="dxa"/>
            <w:tcBorders>
              <w:top w:val="single" w:sz="4" w:space="0" w:color="auto"/>
              <w:left w:val="single" w:sz="4" w:space="0" w:color="auto"/>
              <w:bottom w:val="single" w:sz="4" w:space="0" w:color="auto"/>
              <w:right w:val="single" w:sz="4" w:space="0" w:color="auto"/>
            </w:tcBorders>
            <w:vAlign w:val="center"/>
            <w:hideMark/>
          </w:tcPr>
          <w:p w14:paraId="1872775D" w14:textId="77777777" w:rsidR="009F2BA2" w:rsidRDefault="009F2BA2" w:rsidP="009F2BA2">
            <w:pPr>
              <w:pStyle w:val="TAC"/>
              <w:rPr>
                <w:szCs w:val="18"/>
                <w:lang w:val="en-US" w:eastAsia="zh-CN"/>
              </w:rPr>
            </w:pPr>
            <w:r>
              <w:rPr>
                <w:szCs w:val="18"/>
                <w:lang w:val="en-US" w:eastAsia="zh-CN"/>
              </w:rPr>
              <w:t>40/30</w:t>
            </w:r>
          </w:p>
        </w:tc>
        <w:tc>
          <w:tcPr>
            <w:tcW w:w="1038" w:type="dxa"/>
            <w:tcBorders>
              <w:top w:val="single" w:sz="4" w:space="0" w:color="auto"/>
              <w:left w:val="single" w:sz="4" w:space="0" w:color="auto"/>
              <w:bottom w:val="single" w:sz="4" w:space="0" w:color="auto"/>
              <w:right w:val="single" w:sz="4" w:space="0" w:color="auto"/>
            </w:tcBorders>
            <w:vAlign w:val="center"/>
            <w:hideMark/>
          </w:tcPr>
          <w:p w14:paraId="7A59E00E" w14:textId="77777777" w:rsidR="009F2BA2" w:rsidRDefault="009F2BA2" w:rsidP="009F2BA2">
            <w:pPr>
              <w:pStyle w:val="TAC"/>
              <w:rPr>
                <w:szCs w:val="18"/>
                <w:lang w:val="en-US" w:eastAsia="zh-CN"/>
              </w:rPr>
            </w:pPr>
            <w:r>
              <w:rPr>
                <w:szCs w:val="18"/>
                <w:lang w:val="en-US" w:eastAsia="zh-CN"/>
              </w:rPr>
              <w:t>90</w:t>
            </w:r>
          </w:p>
        </w:tc>
        <w:tc>
          <w:tcPr>
            <w:tcW w:w="1038" w:type="dxa"/>
            <w:tcBorders>
              <w:top w:val="single" w:sz="4" w:space="0" w:color="auto"/>
              <w:left w:val="single" w:sz="4" w:space="0" w:color="auto"/>
              <w:bottom w:val="single" w:sz="4" w:space="0" w:color="auto"/>
              <w:right w:val="single" w:sz="4" w:space="0" w:color="auto"/>
            </w:tcBorders>
            <w:noWrap/>
            <w:vAlign w:val="center"/>
            <w:hideMark/>
          </w:tcPr>
          <w:p w14:paraId="64F57EE8" w14:textId="77777777" w:rsidR="009F2BA2" w:rsidRDefault="009F2BA2" w:rsidP="009F2BA2">
            <w:pPr>
              <w:pStyle w:val="TAC"/>
              <w:rPr>
                <w:szCs w:val="18"/>
                <w:lang w:val="en-US" w:eastAsia="zh-CN"/>
              </w:rPr>
            </w:pPr>
            <w:r>
              <w:rPr>
                <w:szCs w:val="18"/>
                <w:lang w:val="en-US" w:eastAsia="zh-CN"/>
              </w:rPr>
              <w:t>1</w:t>
            </w:r>
          </w:p>
        </w:tc>
        <w:tc>
          <w:tcPr>
            <w:tcW w:w="1099" w:type="dxa"/>
            <w:tcBorders>
              <w:top w:val="single" w:sz="4" w:space="0" w:color="auto"/>
              <w:left w:val="single" w:sz="4" w:space="0" w:color="auto"/>
              <w:bottom w:val="single" w:sz="4" w:space="0" w:color="auto"/>
              <w:right w:val="single" w:sz="4" w:space="0" w:color="auto"/>
            </w:tcBorders>
            <w:vAlign w:val="center"/>
            <w:hideMark/>
          </w:tcPr>
          <w:p w14:paraId="39127401" w14:textId="77777777" w:rsidR="009F2BA2" w:rsidRDefault="009F2BA2" w:rsidP="009F2BA2">
            <w:pPr>
              <w:pStyle w:val="TAC"/>
              <w:rPr>
                <w:szCs w:val="18"/>
                <w:lang w:val="en-US" w:eastAsia="zh-CN"/>
              </w:rPr>
            </w:pPr>
            <w:r>
              <w:rPr>
                <w:szCs w:val="18"/>
                <w:lang w:val="en-US" w:eastAsia="zh-CN"/>
              </w:rPr>
              <w:t>8</w:t>
            </w:r>
          </w:p>
        </w:tc>
        <w:tc>
          <w:tcPr>
            <w:tcW w:w="909" w:type="dxa"/>
            <w:tcBorders>
              <w:top w:val="single" w:sz="4" w:space="0" w:color="auto"/>
              <w:left w:val="single" w:sz="4" w:space="0" w:color="auto"/>
              <w:bottom w:val="single" w:sz="4" w:space="0" w:color="auto"/>
              <w:right w:val="single" w:sz="4" w:space="0" w:color="auto"/>
            </w:tcBorders>
            <w:vAlign w:val="center"/>
            <w:hideMark/>
          </w:tcPr>
          <w:p w14:paraId="13F92F85" w14:textId="77777777" w:rsidR="009F2BA2" w:rsidRPr="00762AFB" w:rsidRDefault="009F2BA2" w:rsidP="009F2BA2">
            <w:pPr>
              <w:pStyle w:val="TAC"/>
            </w:pPr>
            <w:r w:rsidRPr="00762AFB">
              <w:t>M-FR1-A.3.4-1</w:t>
            </w:r>
          </w:p>
        </w:tc>
        <w:tc>
          <w:tcPr>
            <w:tcW w:w="1208" w:type="dxa"/>
            <w:tcBorders>
              <w:top w:val="single" w:sz="4" w:space="0" w:color="auto"/>
              <w:left w:val="single" w:sz="4" w:space="0" w:color="auto"/>
              <w:bottom w:val="single" w:sz="4" w:space="0" w:color="auto"/>
              <w:right w:val="single" w:sz="4" w:space="0" w:color="auto"/>
            </w:tcBorders>
            <w:noWrap/>
            <w:vAlign w:val="center"/>
            <w:hideMark/>
          </w:tcPr>
          <w:p w14:paraId="59A0BD08" w14:textId="77777777" w:rsidR="009F2BA2" w:rsidRDefault="009F2BA2" w:rsidP="009F2BA2">
            <w:pPr>
              <w:pStyle w:val="TAC"/>
              <w:rPr>
                <w:szCs w:val="18"/>
                <w:lang w:val="en-US" w:eastAsia="zh-CN"/>
              </w:rPr>
            </w:pPr>
            <w:r>
              <w:rPr>
                <w:szCs w:val="18"/>
                <w:lang w:val="en-US" w:eastAsia="zh-CN"/>
              </w:rPr>
              <w:t>TDLA30-10</w:t>
            </w:r>
          </w:p>
        </w:tc>
        <w:tc>
          <w:tcPr>
            <w:tcW w:w="1144" w:type="dxa"/>
            <w:tcBorders>
              <w:top w:val="single" w:sz="4" w:space="0" w:color="auto"/>
              <w:left w:val="single" w:sz="4" w:space="0" w:color="auto"/>
              <w:bottom w:val="single" w:sz="4" w:space="0" w:color="auto"/>
              <w:right w:val="single" w:sz="4" w:space="0" w:color="auto"/>
            </w:tcBorders>
            <w:noWrap/>
            <w:vAlign w:val="center"/>
            <w:hideMark/>
          </w:tcPr>
          <w:p w14:paraId="0680D332" w14:textId="77777777" w:rsidR="009F2BA2" w:rsidRDefault="009F2BA2" w:rsidP="009F2BA2">
            <w:pPr>
              <w:pStyle w:val="TAC"/>
              <w:rPr>
                <w:szCs w:val="18"/>
                <w:lang w:val="en-US" w:eastAsia="zh-CN"/>
              </w:rPr>
            </w:pPr>
            <w:r>
              <w:rPr>
                <w:szCs w:val="18"/>
                <w:lang w:val="en-US" w:eastAsia="zh-CN"/>
              </w:rPr>
              <w:t>2x4, ULA Low</w:t>
            </w:r>
          </w:p>
        </w:tc>
        <w:tc>
          <w:tcPr>
            <w:tcW w:w="567" w:type="dxa"/>
            <w:tcBorders>
              <w:top w:val="single" w:sz="4" w:space="0" w:color="auto"/>
              <w:left w:val="single" w:sz="4" w:space="0" w:color="auto"/>
              <w:bottom w:val="single" w:sz="4" w:space="0" w:color="auto"/>
              <w:right w:val="single" w:sz="4" w:space="0" w:color="auto"/>
            </w:tcBorders>
            <w:noWrap/>
            <w:vAlign w:val="center"/>
            <w:hideMark/>
          </w:tcPr>
          <w:p w14:paraId="1732DF3C" w14:textId="77777777" w:rsidR="009F2BA2" w:rsidRDefault="009F2BA2" w:rsidP="009F2BA2">
            <w:pPr>
              <w:pStyle w:val="TAC"/>
              <w:rPr>
                <w:szCs w:val="18"/>
                <w:lang w:val="en-US" w:eastAsia="zh-CN"/>
              </w:rPr>
            </w:pPr>
            <w:r>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15AAD1DF" w14:textId="71A9B07F" w:rsidR="009F2BA2" w:rsidRPr="00C1362E" w:rsidRDefault="009F2BA2" w:rsidP="009F2BA2">
            <w:pPr>
              <w:pStyle w:val="TAC"/>
              <w:rPr>
                <w:szCs w:val="18"/>
                <w:lang w:val="en-US" w:eastAsia="zh-CN"/>
              </w:rPr>
            </w:pPr>
            <w:r>
              <w:rPr>
                <w:szCs w:val="18"/>
                <w:lang w:val="en-US" w:eastAsia="zh-CN"/>
              </w:rPr>
              <w:t>-4.1</w:t>
            </w:r>
          </w:p>
        </w:tc>
      </w:tr>
    </w:tbl>
    <w:p w14:paraId="64D328A5" w14:textId="77777777" w:rsidR="00241417" w:rsidRPr="00A72326" w:rsidRDefault="00241417" w:rsidP="00241417">
      <w:pPr>
        <w:rPr>
          <w:lang w:val="nb-NO"/>
        </w:rPr>
      </w:pPr>
    </w:p>
    <w:p w14:paraId="13CB3110" w14:textId="77777777" w:rsidR="00241417" w:rsidRDefault="00241417" w:rsidP="00241417">
      <w:pPr>
        <w:pStyle w:val="Heading3"/>
      </w:pPr>
      <w:bookmarkStart w:id="3829" w:name="_Toc74583289"/>
      <w:bookmarkStart w:id="3830" w:name="_Toc76542102"/>
      <w:bookmarkStart w:id="3831" w:name="_Toc82450084"/>
      <w:bookmarkStart w:id="3832" w:name="_Toc82450732"/>
      <w:bookmarkStart w:id="3833" w:name="_Toc89949121"/>
      <w:bookmarkStart w:id="3834" w:name="_Toc98755510"/>
      <w:bookmarkStart w:id="3835" w:name="_Toc98763101"/>
      <w:bookmarkStart w:id="3836" w:name="_Toc106184030"/>
      <w:r>
        <w:t>8.2.3</w:t>
      </w:r>
      <w:r>
        <w:tab/>
        <w:t>CSI r</w:t>
      </w:r>
      <w:r w:rsidRPr="004D33FB">
        <w:t>eporting requirements</w:t>
      </w:r>
      <w:bookmarkEnd w:id="3829"/>
      <w:bookmarkEnd w:id="3830"/>
      <w:bookmarkEnd w:id="3831"/>
      <w:bookmarkEnd w:id="3832"/>
      <w:bookmarkEnd w:id="3833"/>
      <w:bookmarkEnd w:id="3834"/>
      <w:bookmarkEnd w:id="3835"/>
      <w:bookmarkEnd w:id="3836"/>
    </w:p>
    <w:p w14:paraId="7525F499" w14:textId="77777777" w:rsidR="00241417" w:rsidRPr="00C83B6D" w:rsidRDefault="00241417" w:rsidP="00241417">
      <w:pPr>
        <w:pStyle w:val="Heading4"/>
      </w:pPr>
      <w:bookmarkStart w:id="3837" w:name="_Toc74583290"/>
      <w:bookmarkStart w:id="3838" w:name="_Toc76542103"/>
      <w:bookmarkStart w:id="3839" w:name="_Toc82450085"/>
      <w:bookmarkStart w:id="3840" w:name="_Toc82450733"/>
      <w:bookmarkStart w:id="3841" w:name="_Toc89949122"/>
      <w:bookmarkStart w:id="3842" w:name="_Toc98755511"/>
      <w:bookmarkStart w:id="3843" w:name="_Toc98763102"/>
      <w:bookmarkStart w:id="3844" w:name="_Toc106184031"/>
      <w:r>
        <w:t>8.2.3.1</w:t>
      </w:r>
      <w:r>
        <w:tab/>
        <w:t>General</w:t>
      </w:r>
      <w:bookmarkEnd w:id="3837"/>
      <w:bookmarkEnd w:id="3838"/>
      <w:bookmarkEnd w:id="3839"/>
      <w:bookmarkEnd w:id="3840"/>
      <w:bookmarkEnd w:id="3841"/>
      <w:bookmarkEnd w:id="3842"/>
      <w:bookmarkEnd w:id="3843"/>
      <w:bookmarkEnd w:id="3844"/>
    </w:p>
    <w:p w14:paraId="4C257DDA" w14:textId="77777777" w:rsidR="00241417" w:rsidRDefault="00241417" w:rsidP="00241417">
      <w:pPr>
        <w:rPr>
          <w:rFonts w:eastAsia="SimSun"/>
        </w:rPr>
      </w:pPr>
      <w:r w:rsidRPr="00C25669">
        <w:rPr>
          <w:rFonts w:eastAsia="SimSun"/>
        </w:rPr>
        <w:t xml:space="preserve">This </w:t>
      </w:r>
      <w:r>
        <w:rPr>
          <w:rFonts w:eastAsia="SimSun"/>
        </w:rPr>
        <w:t>clause</w:t>
      </w:r>
      <w:r w:rsidRPr="00C25669">
        <w:rPr>
          <w:rFonts w:eastAsia="SimSun"/>
        </w:rPr>
        <w:t xml:space="preserve"> includes </w:t>
      </w:r>
      <w:r w:rsidRPr="00C25669">
        <w:rPr>
          <w:rFonts w:eastAsia="SimSun"/>
          <w:lang w:eastAsia="zh-CN"/>
        </w:rPr>
        <w:t>conducted</w:t>
      </w:r>
      <w:r w:rsidRPr="00C25669">
        <w:rPr>
          <w:rFonts w:eastAsia="SimSun" w:hint="eastAsia"/>
          <w:lang w:eastAsia="zh-CN"/>
        </w:rPr>
        <w:t xml:space="preserve"> </w:t>
      </w:r>
      <w:r w:rsidRPr="00C25669">
        <w:rPr>
          <w:rFonts w:eastAsia="SimSun"/>
        </w:rPr>
        <w:t>requirements for the reporting of channel state information (CSI).</w:t>
      </w:r>
    </w:p>
    <w:p w14:paraId="555A002A" w14:textId="77777777" w:rsidR="00241417" w:rsidRPr="00D92666" w:rsidRDefault="00241417" w:rsidP="00241417">
      <w:pPr>
        <w:pStyle w:val="Heading5"/>
        <w:rPr>
          <w:rFonts w:eastAsia="SimSun"/>
        </w:rPr>
      </w:pPr>
      <w:bookmarkStart w:id="3845" w:name="_Toc74583291"/>
      <w:bookmarkStart w:id="3846" w:name="_Toc76542104"/>
      <w:bookmarkStart w:id="3847" w:name="_Toc82450086"/>
      <w:bookmarkStart w:id="3848" w:name="_Toc82450734"/>
      <w:bookmarkStart w:id="3849" w:name="_Toc89949123"/>
      <w:bookmarkStart w:id="3850" w:name="_Toc98755512"/>
      <w:bookmarkStart w:id="3851" w:name="_Toc98763103"/>
      <w:bookmarkStart w:id="3852" w:name="_Toc106184032"/>
      <w:r>
        <w:t>8.2.3.1.1</w:t>
      </w:r>
      <w:r>
        <w:tab/>
        <w:t>Common test parameters</w:t>
      </w:r>
      <w:bookmarkEnd w:id="3845"/>
      <w:bookmarkEnd w:id="3846"/>
      <w:bookmarkEnd w:id="3847"/>
      <w:bookmarkEnd w:id="3848"/>
      <w:bookmarkEnd w:id="3849"/>
      <w:bookmarkEnd w:id="3850"/>
      <w:bookmarkEnd w:id="3851"/>
      <w:bookmarkEnd w:id="3852"/>
    </w:p>
    <w:p w14:paraId="78C541A4" w14:textId="77777777" w:rsidR="00241417" w:rsidRPr="00C25669" w:rsidRDefault="00241417" w:rsidP="00241417">
      <w:pPr>
        <w:rPr>
          <w:rFonts w:eastAsia="SimSun"/>
          <w:lang w:eastAsia="zh-CN"/>
        </w:rPr>
      </w:pPr>
      <w:r w:rsidRPr="00C25669">
        <w:rPr>
          <w:rFonts w:eastAsia="SimSun" w:hint="eastAsia"/>
          <w:lang w:eastAsia="zh-CN"/>
        </w:rPr>
        <w:t xml:space="preserve">Parameters specified in Table </w:t>
      </w:r>
      <w:r>
        <w:rPr>
          <w:rFonts w:eastAsia="SimSun"/>
          <w:lang w:eastAsia="zh-CN"/>
        </w:rPr>
        <w:t>8</w:t>
      </w:r>
      <w:r w:rsidRPr="00C25669">
        <w:rPr>
          <w:rFonts w:eastAsia="SimSun" w:hint="eastAsia"/>
          <w:lang w:eastAsia="zh-CN"/>
        </w:rPr>
        <w:t>.</w:t>
      </w:r>
      <w:r>
        <w:rPr>
          <w:rFonts w:eastAsia="SimSun"/>
          <w:lang w:eastAsia="zh-CN"/>
        </w:rPr>
        <w:t>2</w:t>
      </w:r>
      <w:r w:rsidRPr="00C25669">
        <w:rPr>
          <w:rFonts w:eastAsia="SimSun" w:hint="eastAsia"/>
          <w:lang w:eastAsia="zh-CN"/>
        </w:rPr>
        <w:t>.</w:t>
      </w:r>
      <w:r>
        <w:rPr>
          <w:rFonts w:eastAsia="SimSun"/>
          <w:lang w:eastAsia="zh-CN"/>
        </w:rPr>
        <w:t>3.1</w:t>
      </w:r>
      <w:r w:rsidRPr="00C25669">
        <w:rPr>
          <w:rFonts w:eastAsia="SimSun" w:hint="eastAsia"/>
          <w:lang w:eastAsia="zh-CN"/>
        </w:rPr>
        <w:t>-1 are applied f</w:t>
      </w:r>
      <w:r w:rsidRPr="00C25669">
        <w:rPr>
          <w:rFonts w:eastAsia="SimSun"/>
        </w:rPr>
        <w:t xml:space="preserve">or all test cases in </w:t>
      </w:r>
      <w:r>
        <w:rPr>
          <w:rFonts w:eastAsia="SimSun"/>
        </w:rPr>
        <w:t>clause</w:t>
      </w:r>
      <w:r w:rsidRPr="00C25669">
        <w:rPr>
          <w:rFonts w:eastAsia="SimSun" w:hint="eastAsia"/>
          <w:lang w:eastAsia="zh-CN"/>
        </w:rPr>
        <w:t xml:space="preserve"> </w:t>
      </w:r>
      <w:r>
        <w:rPr>
          <w:rFonts w:eastAsia="SimSun"/>
          <w:lang w:eastAsia="zh-CN"/>
        </w:rPr>
        <w:t xml:space="preserve">8.2.3 </w:t>
      </w:r>
      <w:r w:rsidRPr="00C25669">
        <w:rPr>
          <w:rFonts w:eastAsia="SimSun" w:hint="eastAsia"/>
          <w:lang w:eastAsia="zh-CN"/>
        </w:rPr>
        <w:t>unless otherwise stated.</w:t>
      </w:r>
    </w:p>
    <w:p w14:paraId="4274307B" w14:textId="77777777" w:rsidR="00241417" w:rsidRPr="00C25669" w:rsidRDefault="00241417" w:rsidP="00241417">
      <w:pPr>
        <w:pStyle w:val="TH"/>
        <w:rPr>
          <w:lang w:eastAsia="zh-CN"/>
        </w:rPr>
      </w:pPr>
      <w:r w:rsidRPr="00C25669">
        <w:rPr>
          <w:rFonts w:hint="eastAsia"/>
          <w:lang w:eastAsia="zh-CN"/>
        </w:rPr>
        <w:lastRenderedPageBreak/>
        <w:t xml:space="preserve">Table </w:t>
      </w:r>
      <w:r w:rsidRPr="00D92666">
        <w:rPr>
          <w:lang w:eastAsia="zh-CN"/>
        </w:rPr>
        <w:t>8.2.3.1-1</w:t>
      </w:r>
      <w:r w:rsidRPr="00C25669">
        <w:rPr>
          <w:rFonts w:hint="eastAsia"/>
          <w:lang w:eastAsia="zh-CN"/>
        </w:rPr>
        <w:t>: Test parameters for CSI test cases</w:t>
      </w:r>
    </w:p>
    <w:tbl>
      <w:tblPr>
        <w:tblW w:w="38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74"/>
        <w:gridCol w:w="27"/>
        <w:gridCol w:w="7"/>
        <w:gridCol w:w="2942"/>
        <w:gridCol w:w="981"/>
        <w:gridCol w:w="1958"/>
      </w:tblGrid>
      <w:tr w:rsidR="00241417" w:rsidRPr="00C25669" w14:paraId="469F4C72" w14:textId="77777777" w:rsidTr="003A71DE">
        <w:trPr>
          <w:trHeight w:val="197"/>
          <w:jc w:val="center"/>
        </w:trPr>
        <w:tc>
          <w:tcPr>
            <w:tcW w:w="3011" w:type="pct"/>
            <w:gridSpan w:val="4"/>
            <w:shd w:val="clear" w:color="auto" w:fill="auto"/>
          </w:tcPr>
          <w:p w14:paraId="7E74BAEB" w14:textId="77777777" w:rsidR="00241417" w:rsidRPr="00C25669" w:rsidRDefault="00241417" w:rsidP="003A71DE">
            <w:pPr>
              <w:pStyle w:val="TAH"/>
              <w:rPr>
                <w:rFonts w:eastAsia="SimSun"/>
              </w:rPr>
            </w:pPr>
            <w:r w:rsidRPr="00C25669">
              <w:rPr>
                <w:rFonts w:eastAsia="SimSun"/>
              </w:rPr>
              <w:lastRenderedPageBreak/>
              <w:t>Parameter</w:t>
            </w:r>
          </w:p>
        </w:tc>
        <w:tc>
          <w:tcPr>
            <w:tcW w:w="664" w:type="pct"/>
            <w:shd w:val="clear" w:color="auto" w:fill="auto"/>
          </w:tcPr>
          <w:p w14:paraId="5F33BA36" w14:textId="77777777" w:rsidR="00241417" w:rsidRPr="00C25669" w:rsidRDefault="00241417" w:rsidP="003A71DE">
            <w:pPr>
              <w:pStyle w:val="TAH"/>
              <w:rPr>
                <w:rFonts w:eastAsia="SimSun"/>
              </w:rPr>
            </w:pPr>
            <w:r w:rsidRPr="00C25669">
              <w:rPr>
                <w:rFonts w:eastAsia="SimSun"/>
              </w:rPr>
              <w:t>Unit</w:t>
            </w:r>
          </w:p>
        </w:tc>
        <w:tc>
          <w:tcPr>
            <w:tcW w:w="1325" w:type="pct"/>
            <w:shd w:val="clear" w:color="auto" w:fill="auto"/>
          </w:tcPr>
          <w:p w14:paraId="5E7B98BC" w14:textId="77777777" w:rsidR="00241417" w:rsidRPr="00C25669" w:rsidRDefault="00241417" w:rsidP="003A71DE">
            <w:pPr>
              <w:pStyle w:val="TAH"/>
              <w:rPr>
                <w:rFonts w:eastAsia="SimSun"/>
              </w:rPr>
            </w:pPr>
            <w:r w:rsidRPr="00C25669">
              <w:rPr>
                <w:rFonts w:eastAsia="SimSun"/>
              </w:rPr>
              <w:t>Value</w:t>
            </w:r>
          </w:p>
        </w:tc>
      </w:tr>
      <w:tr w:rsidR="00241417" w:rsidRPr="00C25669" w14:paraId="6A36CDBF" w14:textId="77777777" w:rsidTr="003A71DE">
        <w:trPr>
          <w:trHeight w:val="417"/>
          <w:jc w:val="center"/>
        </w:trPr>
        <w:tc>
          <w:tcPr>
            <w:tcW w:w="3011" w:type="pct"/>
            <w:gridSpan w:val="4"/>
            <w:shd w:val="clear" w:color="auto" w:fill="auto"/>
            <w:vAlign w:val="center"/>
          </w:tcPr>
          <w:p w14:paraId="68449DAF" w14:textId="77777777" w:rsidR="00241417" w:rsidRPr="00C25669" w:rsidRDefault="00241417" w:rsidP="003A71DE">
            <w:pPr>
              <w:pStyle w:val="TAL"/>
              <w:rPr>
                <w:rFonts w:eastAsia="SimSun"/>
              </w:rPr>
            </w:pPr>
            <w:r w:rsidRPr="00C25669">
              <w:rPr>
                <w:rFonts w:eastAsia="SimSun"/>
              </w:rPr>
              <w:t>PDSCH transmission scheme</w:t>
            </w:r>
          </w:p>
        </w:tc>
        <w:tc>
          <w:tcPr>
            <w:tcW w:w="664" w:type="pct"/>
            <w:shd w:val="clear" w:color="auto" w:fill="auto"/>
            <w:vAlign w:val="center"/>
          </w:tcPr>
          <w:p w14:paraId="2B622E79" w14:textId="77777777" w:rsidR="00241417" w:rsidRPr="00C25669" w:rsidRDefault="00241417" w:rsidP="003A71DE">
            <w:pPr>
              <w:pStyle w:val="TAC"/>
              <w:rPr>
                <w:rFonts w:eastAsia="SimSun"/>
              </w:rPr>
            </w:pPr>
          </w:p>
        </w:tc>
        <w:tc>
          <w:tcPr>
            <w:tcW w:w="1325" w:type="pct"/>
            <w:shd w:val="clear" w:color="auto" w:fill="auto"/>
            <w:vAlign w:val="center"/>
          </w:tcPr>
          <w:p w14:paraId="709DA102" w14:textId="77777777" w:rsidR="00241417" w:rsidRPr="00C25669" w:rsidRDefault="00241417" w:rsidP="003A71DE">
            <w:pPr>
              <w:pStyle w:val="TAC"/>
              <w:rPr>
                <w:rFonts w:eastAsia="SimSun"/>
              </w:rPr>
            </w:pPr>
            <w:r w:rsidRPr="00C25669">
              <w:rPr>
                <w:rFonts w:eastAsia="SimSun"/>
              </w:rPr>
              <w:t>Transmission scheme 1</w:t>
            </w:r>
          </w:p>
        </w:tc>
      </w:tr>
      <w:tr w:rsidR="00241417" w:rsidRPr="00C25669" w14:paraId="3FB1744D" w14:textId="77777777" w:rsidTr="003A71DE">
        <w:trPr>
          <w:trHeight w:val="417"/>
          <w:jc w:val="center"/>
        </w:trPr>
        <w:tc>
          <w:tcPr>
            <w:tcW w:w="3011" w:type="pct"/>
            <w:gridSpan w:val="4"/>
            <w:shd w:val="clear" w:color="auto" w:fill="auto"/>
            <w:vAlign w:val="center"/>
          </w:tcPr>
          <w:p w14:paraId="53801AB0" w14:textId="77777777" w:rsidR="00241417" w:rsidRPr="00C41926" w:rsidRDefault="00241417" w:rsidP="003A71DE">
            <w:pPr>
              <w:pStyle w:val="TAL"/>
              <w:rPr>
                <w:rFonts w:eastAsia="SimSun"/>
                <w:lang w:val="en-US"/>
              </w:rPr>
            </w:pPr>
            <w:r>
              <w:rPr>
                <w:rFonts w:eastAsia="SimSun"/>
                <w:lang w:val="en-US"/>
              </w:rPr>
              <w:t>Duplex mode</w:t>
            </w:r>
          </w:p>
        </w:tc>
        <w:tc>
          <w:tcPr>
            <w:tcW w:w="664" w:type="pct"/>
            <w:shd w:val="clear" w:color="auto" w:fill="auto"/>
            <w:vAlign w:val="center"/>
          </w:tcPr>
          <w:p w14:paraId="748CA6E7" w14:textId="77777777" w:rsidR="00241417" w:rsidRPr="00C25669" w:rsidRDefault="00241417" w:rsidP="003A71DE">
            <w:pPr>
              <w:pStyle w:val="TAC"/>
              <w:rPr>
                <w:rFonts w:eastAsia="SimSun"/>
              </w:rPr>
            </w:pPr>
          </w:p>
        </w:tc>
        <w:tc>
          <w:tcPr>
            <w:tcW w:w="1325" w:type="pct"/>
            <w:shd w:val="clear" w:color="auto" w:fill="auto"/>
            <w:vAlign w:val="center"/>
          </w:tcPr>
          <w:p w14:paraId="52EBEB5F" w14:textId="77777777" w:rsidR="00241417" w:rsidRPr="00C25669" w:rsidRDefault="00241417" w:rsidP="003A71DE">
            <w:pPr>
              <w:pStyle w:val="TAC"/>
              <w:rPr>
                <w:rFonts w:eastAsia="SimSun"/>
              </w:rPr>
            </w:pPr>
            <w:r>
              <w:rPr>
                <w:rFonts w:eastAsia="SimSun"/>
              </w:rPr>
              <w:t>TDD</w:t>
            </w:r>
          </w:p>
        </w:tc>
      </w:tr>
      <w:tr w:rsidR="00241417" w:rsidRPr="00C25669" w14:paraId="4E6808B6" w14:textId="77777777" w:rsidTr="003A71DE">
        <w:trPr>
          <w:trHeight w:val="208"/>
          <w:jc w:val="center"/>
        </w:trPr>
        <w:tc>
          <w:tcPr>
            <w:tcW w:w="997" w:type="pct"/>
            <w:vMerge w:val="restart"/>
            <w:shd w:val="clear" w:color="auto" w:fill="auto"/>
            <w:vAlign w:val="center"/>
          </w:tcPr>
          <w:p w14:paraId="15C7912E" w14:textId="77777777" w:rsidR="00241417" w:rsidRPr="00C25669" w:rsidRDefault="00241417" w:rsidP="003A71DE">
            <w:pPr>
              <w:pStyle w:val="TAL"/>
              <w:rPr>
                <w:rFonts w:eastAsia="SimSun"/>
                <w:lang w:eastAsia="ja-JP"/>
              </w:rPr>
            </w:pPr>
            <w:r w:rsidRPr="00C25669">
              <w:rPr>
                <w:rFonts w:eastAsia="SimSun"/>
              </w:rPr>
              <w:t>Actual carrier configuration</w:t>
            </w:r>
          </w:p>
        </w:tc>
        <w:tc>
          <w:tcPr>
            <w:tcW w:w="2014" w:type="pct"/>
            <w:gridSpan w:val="3"/>
            <w:shd w:val="clear" w:color="auto" w:fill="auto"/>
            <w:vAlign w:val="center"/>
          </w:tcPr>
          <w:p w14:paraId="24195812" w14:textId="77777777" w:rsidR="00241417" w:rsidRPr="00C25669" w:rsidRDefault="00241417" w:rsidP="003A71DE">
            <w:pPr>
              <w:pStyle w:val="TAL"/>
              <w:rPr>
                <w:rFonts w:eastAsia="SimSun"/>
                <w:lang w:eastAsia="ja-JP"/>
              </w:rPr>
            </w:pPr>
            <w:r w:rsidRPr="00C25669">
              <w:rPr>
                <w:rFonts w:eastAsia="SimSun"/>
              </w:rPr>
              <w:t xml:space="preserve">Offset between Point A and the lowest usable subcarrier on this carrier (Note </w:t>
            </w:r>
            <w:r>
              <w:rPr>
                <w:rFonts w:eastAsia="SimSun"/>
              </w:rPr>
              <w:t>2</w:t>
            </w:r>
            <w:r w:rsidRPr="00C25669">
              <w:rPr>
                <w:rFonts w:eastAsia="SimSun"/>
              </w:rPr>
              <w:t>)</w:t>
            </w:r>
          </w:p>
        </w:tc>
        <w:tc>
          <w:tcPr>
            <w:tcW w:w="664" w:type="pct"/>
            <w:shd w:val="clear" w:color="auto" w:fill="auto"/>
            <w:vAlign w:val="center"/>
          </w:tcPr>
          <w:p w14:paraId="7B547384" w14:textId="77777777" w:rsidR="00241417" w:rsidRPr="00C25669" w:rsidRDefault="00241417" w:rsidP="003A71DE">
            <w:pPr>
              <w:pStyle w:val="TAC"/>
              <w:rPr>
                <w:rFonts w:eastAsia="SimSun"/>
              </w:rPr>
            </w:pPr>
            <w:r w:rsidRPr="00C25669">
              <w:rPr>
                <w:rFonts w:eastAsia="SimSun"/>
              </w:rPr>
              <w:t>RBs</w:t>
            </w:r>
          </w:p>
        </w:tc>
        <w:tc>
          <w:tcPr>
            <w:tcW w:w="1325" w:type="pct"/>
            <w:shd w:val="clear" w:color="auto" w:fill="auto"/>
            <w:vAlign w:val="center"/>
          </w:tcPr>
          <w:p w14:paraId="71E08C01" w14:textId="77777777" w:rsidR="00241417" w:rsidRPr="00C25669" w:rsidRDefault="00241417" w:rsidP="003A71DE">
            <w:pPr>
              <w:pStyle w:val="TAC"/>
              <w:rPr>
                <w:rFonts w:eastAsia="SimSun"/>
              </w:rPr>
            </w:pPr>
            <w:r w:rsidRPr="00C25669">
              <w:rPr>
                <w:rFonts w:eastAsia="SimSun"/>
              </w:rPr>
              <w:t>0</w:t>
            </w:r>
          </w:p>
        </w:tc>
      </w:tr>
      <w:tr w:rsidR="00241417" w:rsidRPr="00C25669" w14:paraId="1C7916F1" w14:textId="77777777" w:rsidTr="003A71DE">
        <w:trPr>
          <w:trHeight w:val="208"/>
          <w:jc w:val="center"/>
        </w:trPr>
        <w:tc>
          <w:tcPr>
            <w:tcW w:w="997" w:type="pct"/>
            <w:vMerge/>
            <w:shd w:val="clear" w:color="auto" w:fill="auto"/>
            <w:vAlign w:val="center"/>
          </w:tcPr>
          <w:p w14:paraId="0822FBD2" w14:textId="77777777" w:rsidR="00241417" w:rsidRPr="00C25669" w:rsidRDefault="00241417" w:rsidP="003A71DE">
            <w:pPr>
              <w:pStyle w:val="TAL"/>
              <w:rPr>
                <w:rFonts w:eastAsia="SimSun"/>
                <w:lang w:eastAsia="ja-JP"/>
              </w:rPr>
            </w:pPr>
          </w:p>
        </w:tc>
        <w:tc>
          <w:tcPr>
            <w:tcW w:w="2014" w:type="pct"/>
            <w:gridSpan w:val="3"/>
            <w:shd w:val="clear" w:color="auto" w:fill="auto"/>
            <w:vAlign w:val="center"/>
          </w:tcPr>
          <w:p w14:paraId="412368A0" w14:textId="77777777" w:rsidR="00241417" w:rsidRPr="00C25669" w:rsidRDefault="00241417" w:rsidP="003A71DE">
            <w:pPr>
              <w:pStyle w:val="TAL"/>
              <w:rPr>
                <w:rFonts w:eastAsia="SimSun"/>
                <w:lang w:eastAsia="ja-JP"/>
              </w:rPr>
            </w:pPr>
            <w:r w:rsidRPr="00C25669">
              <w:rPr>
                <w:rFonts w:eastAsia="SimSun"/>
              </w:rPr>
              <w:t>Subcarrier spacing</w:t>
            </w:r>
          </w:p>
        </w:tc>
        <w:tc>
          <w:tcPr>
            <w:tcW w:w="664" w:type="pct"/>
            <w:shd w:val="clear" w:color="auto" w:fill="auto"/>
            <w:vAlign w:val="center"/>
          </w:tcPr>
          <w:p w14:paraId="0671AAF4" w14:textId="77777777" w:rsidR="00241417" w:rsidRPr="00C25669" w:rsidRDefault="00241417" w:rsidP="003A71DE">
            <w:pPr>
              <w:pStyle w:val="TAC"/>
              <w:rPr>
                <w:rFonts w:eastAsia="SimSun"/>
              </w:rPr>
            </w:pPr>
            <w:r w:rsidRPr="00C25669">
              <w:rPr>
                <w:rFonts w:eastAsia="SimSun"/>
              </w:rPr>
              <w:t>kHz</w:t>
            </w:r>
          </w:p>
        </w:tc>
        <w:tc>
          <w:tcPr>
            <w:tcW w:w="1325" w:type="pct"/>
            <w:shd w:val="clear" w:color="auto" w:fill="auto"/>
            <w:vAlign w:val="center"/>
          </w:tcPr>
          <w:p w14:paraId="51B80A89" w14:textId="77777777" w:rsidR="00241417" w:rsidRPr="00C25669" w:rsidRDefault="00241417" w:rsidP="003A71DE">
            <w:pPr>
              <w:pStyle w:val="TAC"/>
              <w:rPr>
                <w:rFonts w:eastAsia="SimSun"/>
              </w:rPr>
            </w:pPr>
            <w:r w:rsidRPr="00C25669">
              <w:rPr>
                <w:rFonts w:eastAsia="SimSun"/>
              </w:rPr>
              <w:t>15 or 30</w:t>
            </w:r>
          </w:p>
        </w:tc>
      </w:tr>
      <w:tr w:rsidR="00241417" w:rsidRPr="00C25669" w14:paraId="0D68B42F" w14:textId="77777777" w:rsidTr="003A71DE">
        <w:trPr>
          <w:trHeight w:val="208"/>
          <w:jc w:val="center"/>
        </w:trPr>
        <w:tc>
          <w:tcPr>
            <w:tcW w:w="997" w:type="pct"/>
            <w:vMerge w:val="restart"/>
            <w:shd w:val="clear" w:color="auto" w:fill="auto"/>
            <w:vAlign w:val="center"/>
          </w:tcPr>
          <w:p w14:paraId="6C71E7FA" w14:textId="77777777" w:rsidR="00241417" w:rsidRPr="00C25669" w:rsidRDefault="00241417" w:rsidP="003A71DE">
            <w:pPr>
              <w:pStyle w:val="TAL"/>
              <w:rPr>
                <w:rFonts w:eastAsia="SimSun"/>
                <w:lang w:eastAsia="zh-CN"/>
              </w:rPr>
            </w:pPr>
            <w:r w:rsidRPr="00C25669">
              <w:rPr>
                <w:rFonts w:eastAsia="SimSun"/>
              </w:rPr>
              <w:t>DL BWP configuration #1</w:t>
            </w:r>
          </w:p>
        </w:tc>
        <w:tc>
          <w:tcPr>
            <w:tcW w:w="2014" w:type="pct"/>
            <w:gridSpan w:val="3"/>
            <w:shd w:val="clear" w:color="auto" w:fill="auto"/>
            <w:vAlign w:val="center"/>
          </w:tcPr>
          <w:p w14:paraId="68DD4626" w14:textId="77777777" w:rsidR="00241417" w:rsidRPr="00C25669" w:rsidRDefault="00241417" w:rsidP="003A71DE">
            <w:pPr>
              <w:pStyle w:val="TAL"/>
              <w:rPr>
                <w:rFonts w:eastAsia="SimSun"/>
                <w:lang w:eastAsia="zh-CN"/>
              </w:rPr>
            </w:pPr>
            <w:r w:rsidRPr="00C25669">
              <w:rPr>
                <w:rFonts w:eastAsia="SimSun"/>
              </w:rPr>
              <w:t>Cyclic prefix</w:t>
            </w:r>
          </w:p>
        </w:tc>
        <w:tc>
          <w:tcPr>
            <w:tcW w:w="664" w:type="pct"/>
            <w:shd w:val="clear" w:color="auto" w:fill="auto"/>
            <w:vAlign w:val="center"/>
          </w:tcPr>
          <w:p w14:paraId="0BD9020A" w14:textId="77777777" w:rsidR="00241417" w:rsidRPr="00C25669" w:rsidRDefault="00241417" w:rsidP="003A71DE">
            <w:pPr>
              <w:pStyle w:val="TAC"/>
              <w:rPr>
                <w:rFonts w:eastAsia="SimSun"/>
              </w:rPr>
            </w:pPr>
          </w:p>
        </w:tc>
        <w:tc>
          <w:tcPr>
            <w:tcW w:w="1325" w:type="pct"/>
            <w:shd w:val="clear" w:color="auto" w:fill="auto"/>
            <w:vAlign w:val="center"/>
          </w:tcPr>
          <w:p w14:paraId="1F2FF222" w14:textId="77777777" w:rsidR="00241417" w:rsidRPr="00C25669" w:rsidRDefault="00241417" w:rsidP="003A71DE">
            <w:pPr>
              <w:pStyle w:val="TAC"/>
              <w:rPr>
                <w:rFonts w:eastAsia="SimSun"/>
              </w:rPr>
            </w:pPr>
            <w:r w:rsidRPr="00C25669">
              <w:rPr>
                <w:rFonts w:eastAsia="SimSun"/>
              </w:rPr>
              <w:t>Normal</w:t>
            </w:r>
          </w:p>
        </w:tc>
      </w:tr>
      <w:tr w:rsidR="00241417" w:rsidRPr="00C25669" w14:paraId="5E27FA25" w14:textId="77777777" w:rsidTr="003A71DE">
        <w:trPr>
          <w:trHeight w:val="208"/>
          <w:jc w:val="center"/>
        </w:trPr>
        <w:tc>
          <w:tcPr>
            <w:tcW w:w="997" w:type="pct"/>
            <w:vMerge/>
            <w:shd w:val="clear" w:color="auto" w:fill="auto"/>
            <w:vAlign w:val="center"/>
          </w:tcPr>
          <w:p w14:paraId="04D51A89" w14:textId="77777777" w:rsidR="00241417" w:rsidRPr="00C25669" w:rsidRDefault="00241417" w:rsidP="003A71DE">
            <w:pPr>
              <w:pStyle w:val="TAL"/>
              <w:rPr>
                <w:rFonts w:eastAsia="SimSun"/>
                <w:lang w:eastAsia="zh-CN"/>
              </w:rPr>
            </w:pPr>
          </w:p>
        </w:tc>
        <w:tc>
          <w:tcPr>
            <w:tcW w:w="2014" w:type="pct"/>
            <w:gridSpan w:val="3"/>
            <w:shd w:val="clear" w:color="auto" w:fill="auto"/>
            <w:vAlign w:val="center"/>
          </w:tcPr>
          <w:p w14:paraId="7E67BABB" w14:textId="77777777" w:rsidR="00241417" w:rsidRPr="00C25669" w:rsidRDefault="00241417" w:rsidP="003A71DE">
            <w:pPr>
              <w:pStyle w:val="TAL"/>
              <w:rPr>
                <w:rFonts w:eastAsia="SimSun"/>
                <w:lang w:eastAsia="zh-CN"/>
              </w:rPr>
            </w:pPr>
            <w:r w:rsidRPr="00C25669">
              <w:rPr>
                <w:rFonts w:eastAsia="SimSun"/>
              </w:rPr>
              <w:t>RB offset</w:t>
            </w:r>
          </w:p>
        </w:tc>
        <w:tc>
          <w:tcPr>
            <w:tcW w:w="664" w:type="pct"/>
            <w:shd w:val="clear" w:color="auto" w:fill="auto"/>
            <w:vAlign w:val="center"/>
          </w:tcPr>
          <w:p w14:paraId="6C738447" w14:textId="77777777" w:rsidR="00241417" w:rsidRPr="00C25669" w:rsidRDefault="00241417" w:rsidP="003A71DE">
            <w:pPr>
              <w:pStyle w:val="TAC"/>
              <w:rPr>
                <w:rFonts w:eastAsia="SimSun"/>
              </w:rPr>
            </w:pPr>
            <w:r w:rsidRPr="00C25669">
              <w:rPr>
                <w:rFonts w:eastAsia="SimSun"/>
              </w:rPr>
              <w:t>RBs</w:t>
            </w:r>
          </w:p>
        </w:tc>
        <w:tc>
          <w:tcPr>
            <w:tcW w:w="1325" w:type="pct"/>
            <w:shd w:val="clear" w:color="auto" w:fill="auto"/>
            <w:vAlign w:val="center"/>
          </w:tcPr>
          <w:p w14:paraId="26A68ACF" w14:textId="77777777" w:rsidR="00241417" w:rsidRPr="00C25669" w:rsidRDefault="00241417" w:rsidP="003A71DE">
            <w:pPr>
              <w:pStyle w:val="TAC"/>
              <w:rPr>
                <w:rFonts w:eastAsia="SimSun"/>
              </w:rPr>
            </w:pPr>
            <w:r w:rsidRPr="00C25669">
              <w:rPr>
                <w:rFonts w:eastAsia="SimSun"/>
              </w:rPr>
              <w:t>0</w:t>
            </w:r>
          </w:p>
        </w:tc>
      </w:tr>
      <w:tr w:rsidR="00241417" w:rsidRPr="00C25669" w14:paraId="233437DF" w14:textId="77777777" w:rsidTr="003A71DE">
        <w:trPr>
          <w:trHeight w:val="208"/>
          <w:jc w:val="center"/>
        </w:trPr>
        <w:tc>
          <w:tcPr>
            <w:tcW w:w="997" w:type="pct"/>
            <w:vMerge/>
            <w:shd w:val="clear" w:color="auto" w:fill="auto"/>
            <w:vAlign w:val="center"/>
          </w:tcPr>
          <w:p w14:paraId="3EB43A34" w14:textId="77777777" w:rsidR="00241417" w:rsidRPr="00C25669" w:rsidRDefault="00241417" w:rsidP="003A71DE">
            <w:pPr>
              <w:pStyle w:val="TAL"/>
              <w:rPr>
                <w:rFonts w:eastAsia="SimSun"/>
                <w:lang w:eastAsia="zh-CN"/>
              </w:rPr>
            </w:pPr>
          </w:p>
        </w:tc>
        <w:tc>
          <w:tcPr>
            <w:tcW w:w="2014" w:type="pct"/>
            <w:gridSpan w:val="3"/>
            <w:shd w:val="clear" w:color="auto" w:fill="auto"/>
            <w:vAlign w:val="center"/>
          </w:tcPr>
          <w:p w14:paraId="2329B1C9" w14:textId="77777777" w:rsidR="00241417" w:rsidRPr="00C25669" w:rsidRDefault="00241417" w:rsidP="003A71DE">
            <w:pPr>
              <w:pStyle w:val="TAL"/>
              <w:rPr>
                <w:rFonts w:eastAsia="SimSun"/>
                <w:lang w:eastAsia="zh-CN"/>
              </w:rPr>
            </w:pPr>
            <w:r w:rsidRPr="00C25669">
              <w:rPr>
                <w:rFonts w:eastAsia="SimSun"/>
              </w:rPr>
              <w:t>Number of contiguous PRB</w:t>
            </w:r>
          </w:p>
        </w:tc>
        <w:tc>
          <w:tcPr>
            <w:tcW w:w="664" w:type="pct"/>
            <w:shd w:val="clear" w:color="auto" w:fill="auto"/>
            <w:vAlign w:val="center"/>
          </w:tcPr>
          <w:p w14:paraId="11963E25" w14:textId="77777777" w:rsidR="00241417" w:rsidRPr="00C25669" w:rsidRDefault="00241417" w:rsidP="003A71DE">
            <w:pPr>
              <w:pStyle w:val="TAC"/>
              <w:rPr>
                <w:rFonts w:eastAsia="SimSun"/>
              </w:rPr>
            </w:pPr>
            <w:r w:rsidRPr="00C25669">
              <w:rPr>
                <w:rFonts w:eastAsia="SimSun"/>
              </w:rPr>
              <w:t>PRBs</w:t>
            </w:r>
          </w:p>
        </w:tc>
        <w:tc>
          <w:tcPr>
            <w:tcW w:w="1325" w:type="pct"/>
            <w:shd w:val="clear" w:color="auto" w:fill="auto"/>
            <w:vAlign w:val="center"/>
          </w:tcPr>
          <w:p w14:paraId="4BDAC7EA" w14:textId="77777777" w:rsidR="00241417" w:rsidRPr="00C25669" w:rsidRDefault="00241417" w:rsidP="003A71DE">
            <w:pPr>
              <w:pStyle w:val="TAC"/>
              <w:rPr>
                <w:rFonts w:eastAsia="SimSun"/>
              </w:rPr>
            </w:pPr>
            <w:r w:rsidRPr="00C25669">
              <w:rPr>
                <w:rFonts w:eastAsia="SimSun"/>
              </w:rPr>
              <w:t>Maximum transmission bandwidth configuration</w:t>
            </w:r>
            <w:r w:rsidRPr="00C25669">
              <w:rPr>
                <w:rFonts w:eastAsia="SimSun" w:hint="eastAsia"/>
              </w:rPr>
              <w:t xml:space="preserve"> as specified in </w:t>
            </w:r>
            <w:r w:rsidRPr="00C25669">
              <w:rPr>
                <w:rFonts w:eastAsia="SimSun"/>
              </w:rPr>
              <w:t>clause </w:t>
            </w:r>
            <w:r>
              <w:rPr>
                <w:rFonts w:eastAsia="SimSun"/>
              </w:rPr>
              <w:t>TBA</w:t>
            </w:r>
            <w:r w:rsidRPr="00C25669">
              <w:rPr>
                <w:rFonts w:eastAsia="SimSun"/>
              </w:rPr>
              <w:t xml:space="preserve"> for tested channel bandwidth and subcarrier spacing</w:t>
            </w:r>
          </w:p>
        </w:tc>
      </w:tr>
      <w:tr w:rsidR="00241417" w:rsidRPr="00C25669" w14:paraId="12354AD3" w14:textId="77777777" w:rsidTr="003A71DE">
        <w:trPr>
          <w:trHeight w:val="208"/>
          <w:jc w:val="center"/>
        </w:trPr>
        <w:tc>
          <w:tcPr>
            <w:tcW w:w="3011" w:type="pct"/>
            <w:gridSpan w:val="4"/>
            <w:shd w:val="clear" w:color="auto" w:fill="auto"/>
            <w:vAlign w:val="center"/>
          </w:tcPr>
          <w:p w14:paraId="25503404" w14:textId="77777777" w:rsidR="00241417" w:rsidRPr="00C25669" w:rsidRDefault="00241417" w:rsidP="003A71DE">
            <w:pPr>
              <w:pStyle w:val="TAL"/>
              <w:rPr>
                <w:rFonts w:eastAsia="SimSun"/>
                <w:lang w:eastAsia="ja-JP"/>
              </w:rPr>
            </w:pPr>
            <w:r w:rsidRPr="00C25669">
              <w:rPr>
                <w:rFonts w:eastAsia="SimSun"/>
              </w:rPr>
              <w:t>Active DL BWP index</w:t>
            </w:r>
          </w:p>
        </w:tc>
        <w:tc>
          <w:tcPr>
            <w:tcW w:w="664" w:type="pct"/>
            <w:shd w:val="clear" w:color="auto" w:fill="auto"/>
            <w:vAlign w:val="center"/>
          </w:tcPr>
          <w:p w14:paraId="10E8344E" w14:textId="77777777" w:rsidR="00241417" w:rsidRPr="00C25669" w:rsidRDefault="00241417" w:rsidP="003A71DE">
            <w:pPr>
              <w:pStyle w:val="TAC"/>
              <w:rPr>
                <w:rFonts w:eastAsia="SimSun"/>
              </w:rPr>
            </w:pPr>
          </w:p>
        </w:tc>
        <w:tc>
          <w:tcPr>
            <w:tcW w:w="1325" w:type="pct"/>
            <w:shd w:val="clear" w:color="auto" w:fill="auto"/>
            <w:vAlign w:val="center"/>
          </w:tcPr>
          <w:p w14:paraId="372B4650" w14:textId="77777777" w:rsidR="00241417" w:rsidRPr="00C25669" w:rsidRDefault="00241417" w:rsidP="003A71DE">
            <w:pPr>
              <w:pStyle w:val="TAC"/>
              <w:rPr>
                <w:rFonts w:eastAsia="SimSun"/>
              </w:rPr>
            </w:pPr>
            <w:r w:rsidRPr="00C25669">
              <w:rPr>
                <w:rFonts w:eastAsia="SimSun"/>
              </w:rPr>
              <w:t>1</w:t>
            </w:r>
          </w:p>
        </w:tc>
      </w:tr>
      <w:tr w:rsidR="00241417" w:rsidRPr="00C25669" w14:paraId="308CF671" w14:textId="77777777" w:rsidTr="003A71DE">
        <w:trPr>
          <w:trHeight w:val="208"/>
          <w:jc w:val="center"/>
        </w:trPr>
        <w:tc>
          <w:tcPr>
            <w:tcW w:w="3011" w:type="pct"/>
            <w:gridSpan w:val="4"/>
            <w:tcBorders>
              <w:right w:val="single" w:sz="4" w:space="0" w:color="auto"/>
            </w:tcBorders>
            <w:shd w:val="clear" w:color="auto" w:fill="auto"/>
            <w:vAlign w:val="center"/>
          </w:tcPr>
          <w:p w14:paraId="21843960" w14:textId="77777777" w:rsidR="00241417" w:rsidRPr="00C25669" w:rsidRDefault="00241417" w:rsidP="003A71DE">
            <w:pPr>
              <w:pStyle w:val="TAL"/>
              <w:rPr>
                <w:rFonts w:eastAsia="SimSun"/>
                <w:lang w:eastAsia="zh-CN"/>
              </w:rPr>
            </w:pPr>
            <w:r w:rsidRPr="00C25669">
              <w:rPr>
                <w:rFonts w:eastAsia="SimSun" w:hint="eastAsia"/>
                <w:lang w:eastAsia="zh-CN"/>
              </w:rPr>
              <w:t>Cross carrier scheduling</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6899DE9B"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71FDCC21" w14:textId="77777777" w:rsidR="00241417" w:rsidRPr="00C25669" w:rsidRDefault="00241417" w:rsidP="003A71DE">
            <w:pPr>
              <w:pStyle w:val="TAC"/>
              <w:rPr>
                <w:rFonts w:eastAsia="SimSun"/>
                <w:lang w:eastAsia="zh-CN"/>
              </w:rPr>
            </w:pPr>
            <w:r w:rsidRPr="00C25669">
              <w:rPr>
                <w:rFonts w:eastAsia="SimSun" w:hint="eastAsia"/>
                <w:lang w:eastAsia="zh-CN"/>
              </w:rPr>
              <w:t>Not configured</w:t>
            </w:r>
          </w:p>
        </w:tc>
      </w:tr>
      <w:tr w:rsidR="00241417" w:rsidRPr="00C25669" w14:paraId="634CE9C3" w14:textId="77777777" w:rsidTr="003A71DE">
        <w:trPr>
          <w:trHeight w:val="208"/>
          <w:jc w:val="center"/>
        </w:trPr>
        <w:tc>
          <w:tcPr>
            <w:tcW w:w="1015" w:type="pct"/>
            <w:gridSpan w:val="2"/>
            <w:vMerge w:val="restart"/>
            <w:shd w:val="clear" w:color="auto" w:fill="auto"/>
            <w:vAlign w:val="center"/>
          </w:tcPr>
          <w:p w14:paraId="2AD7089F" w14:textId="77777777" w:rsidR="00241417" w:rsidRPr="00C25669" w:rsidRDefault="00241417" w:rsidP="003A71DE">
            <w:pPr>
              <w:pStyle w:val="TAL"/>
              <w:rPr>
                <w:rFonts w:eastAsia="SimSun"/>
                <w:i/>
              </w:rPr>
            </w:pPr>
            <w:r w:rsidRPr="00C25669">
              <w:rPr>
                <w:rFonts w:eastAsia="SimSun"/>
              </w:rPr>
              <w:t>PDSCH configuration</w:t>
            </w:r>
          </w:p>
        </w:tc>
        <w:tc>
          <w:tcPr>
            <w:tcW w:w="1996" w:type="pct"/>
            <w:gridSpan w:val="2"/>
            <w:shd w:val="clear" w:color="auto" w:fill="auto"/>
            <w:vAlign w:val="center"/>
          </w:tcPr>
          <w:p w14:paraId="16727EC0" w14:textId="77777777" w:rsidR="00241417" w:rsidRPr="00C25669" w:rsidRDefault="00241417" w:rsidP="003A71DE">
            <w:pPr>
              <w:pStyle w:val="TAL"/>
              <w:rPr>
                <w:rFonts w:eastAsia="SimSun"/>
                <w:i/>
              </w:rPr>
            </w:pPr>
            <w:r w:rsidRPr="00C25669">
              <w:rPr>
                <w:rFonts w:eastAsia="SimSun"/>
              </w:rPr>
              <w:t>Mapping type</w:t>
            </w:r>
          </w:p>
        </w:tc>
        <w:tc>
          <w:tcPr>
            <w:tcW w:w="664" w:type="pct"/>
            <w:shd w:val="clear" w:color="auto" w:fill="auto"/>
            <w:vAlign w:val="center"/>
          </w:tcPr>
          <w:p w14:paraId="41754E10" w14:textId="77777777" w:rsidR="00241417" w:rsidRPr="00C25669" w:rsidRDefault="00241417" w:rsidP="003A71DE">
            <w:pPr>
              <w:pStyle w:val="TAC"/>
              <w:rPr>
                <w:rFonts w:eastAsia="SimSun"/>
              </w:rPr>
            </w:pPr>
          </w:p>
        </w:tc>
        <w:tc>
          <w:tcPr>
            <w:tcW w:w="1325" w:type="pct"/>
            <w:shd w:val="clear" w:color="auto" w:fill="auto"/>
            <w:vAlign w:val="center"/>
          </w:tcPr>
          <w:p w14:paraId="4C408C23" w14:textId="77777777" w:rsidR="00241417" w:rsidRPr="00C25669" w:rsidRDefault="00241417" w:rsidP="003A71DE">
            <w:pPr>
              <w:pStyle w:val="TAC"/>
              <w:rPr>
                <w:rFonts w:eastAsia="SimSun"/>
                <w:lang w:eastAsia="zh-CN"/>
              </w:rPr>
            </w:pPr>
            <w:r w:rsidRPr="00C25669">
              <w:rPr>
                <w:rFonts w:eastAsia="SimSun"/>
                <w:lang w:eastAsia="zh-CN"/>
              </w:rPr>
              <w:t>Type A</w:t>
            </w:r>
          </w:p>
        </w:tc>
      </w:tr>
      <w:tr w:rsidR="00241417" w:rsidRPr="00C25669" w14:paraId="5C3101F0" w14:textId="77777777" w:rsidTr="003A71DE">
        <w:trPr>
          <w:trHeight w:val="145"/>
          <w:jc w:val="center"/>
        </w:trPr>
        <w:tc>
          <w:tcPr>
            <w:tcW w:w="1015" w:type="pct"/>
            <w:gridSpan w:val="2"/>
            <w:vMerge/>
            <w:shd w:val="clear" w:color="auto" w:fill="auto"/>
            <w:vAlign w:val="center"/>
          </w:tcPr>
          <w:p w14:paraId="18B0CFE2" w14:textId="77777777" w:rsidR="00241417" w:rsidRPr="00C25669" w:rsidRDefault="00241417" w:rsidP="003A71DE">
            <w:pPr>
              <w:pStyle w:val="TAL"/>
              <w:rPr>
                <w:rFonts w:eastAsia="SimSun"/>
              </w:rPr>
            </w:pPr>
          </w:p>
        </w:tc>
        <w:tc>
          <w:tcPr>
            <w:tcW w:w="1996" w:type="pct"/>
            <w:gridSpan w:val="2"/>
            <w:shd w:val="clear" w:color="auto" w:fill="auto"/>
            <w:vAlign w:val="center"/>
          </w:tcPr>
          <w:p w14:paraId="5223D61C" w14:textId="77777777" w:rsidR="00241417" w:rsidRPr="00C25669" w:rsidRDefault="00241417" w:rsidP="003A71DE">
            <w:pPr>
              <w:pStyle w:val="TAL"/>
              <w:rPr>
                <w:rFonts w:eastAsia="SimSun"/>
              </w:rPr>
            </w:pPr>
            <w:r w:rsidRPr="00C25669">
              <w:rPr>
                <w:rFonts w:eastAsia="SimSun"/>
                <w:i/>
              </w:rPr>
              <w:t>k0</w:t>
            </w:r>
          </w:p>
        </w:tc>
        <w:tc>
          <w:tcPr>
            <w:tcW w:w="664" w:type="pct"/>
            <w:shd w:val="clear" w:color="auto" w:fill="auto"/>
            <w:vAlign w:val="center"/>
          </w:tcPr>
          <w:p w14:paraId="43D9D52D" w14:textId="77777777" w:rsidR="00241417" w:rsidRPr="00C25669" w:rsidRDefault="00241417" w:rsidP="003A71DE">
            <w:pPr>
              <w:pStyle w:val="TAC"/>
              <w:rPr>
                <w:rFonts w:eastAsia="SimSun"/>
              </w:rPr>
            </w:pPr>
          </w:p>
        </w:tc>
        <w:tc>
          <w:tcPr>
            <w:tcW w:w="1325" w:type="pct"/>
            <w:shd w:val="clear" w:color="auto" w:fill="auto"/>
            <w:vAlign w:val="center"/>
          </w:tcPr>
          <w:p w14:paraId="16D3F37F" w14:textId="77777777" w:rsidR="00241417" w:rsidRPr="00C25669" w:rsidRDefault="00241417" w:rsidP="003A71DE">
            <w:pPr>
              <w:pStyle w:val="TAC"/>
              <w:rPr>
                <w:rFonts w:eastAsia="SimSun"/>
                <w:lang w:eastAsia="zh-CN"/>
              </w:rPr>
            </w:pPr>
            <w:r w:rsidRPr="00C25669">
              <w:rPr>
                <w:rFonts w:eastAsia="SimSun"/>
                <w:lang w:eastAsia="zh-CN"/>
              </w:rPr>
              <w:t>0</w:t>
            </w:r>
          </w:p>
        </w:tc>
      </w:tr>
      <w:tr w:rsidR="00241417" w:rsidRPr="00C25669" w14:paraId="4CC45232" w14:textId="77777777" w:rsidTr="003A71DE">
        <w:trPr>
          <w:trHeight w:val="145"/>
          <w:jc w:val="center"/>
        </w:trPr>
        <w:tc>
          <w:tcPr>
            <w:tcW w:w="1015" w:type="pct"/>
            <w:gridSpan w:val="2"/>
            <w:vMerge/>
            <w:shd w:val="clear" w:color="auto" w:fill="auto"/>
            <w:vAlign w:val="center"/>
          </w:tcPr>
          <w:p w14:paraId="5F2433DF" w14:textId="77777777" w:rsidR="00241417" w:rsidRPr="00C25669" w:rsidRDefault="00241417" w:rsidP="003A71DE">
            <w:pPr>
              <w:pStyle w:val="TAL"/>
              <w:rPr>
                <w:rFonts w:eastAsia="SimSun"/>
              </w:rPr>
            </w:pPr>
          </w:p>
        </w:tc>
        <w:tc>
          <w:tcPr>
            <w:tcW w:w="1996" w:type="pct"/>
            <w:gridSpan w:val="2"/>
            <w:shd w:val="clear" w:color="auto" w:fill="auto"/>
            <w:vAlign w:val="center"/>
          </w:tcPr>
          <w:p w14:paraId="0AE6CA22" w14:textId="77777777" w:rsidR="00241417" w:rsidRPr="00C25669" w:rsidRDefault="00241417" w:rsidP="003A71DE">
            <w:pPr>
              <w:pStyle w:val="TAL"/>
              <w:rPr>
                <w:rFonts w:eastAsia="SimSun"/>
              </w:rPr>
            </w:pPr>
            <w:r w:rsidRPr="00C25669">
              <w:rPr>
                <w:rFonts w:eastAsia="SimSun"/>
              </w:rPr>
              <w:t xml:space="preserve">Starting symbol (S) </w:t>
            </w:r>
          </w:p>
        </w:tc>
        <w:tc>
          <w:tcPr>
            <w:tcW w:w="664" w:type="pct"/>
            <w:shd w:val="clear" w:color="auto" w:fill="auto"/>
            <w:vAlign w:val="center"/>
          </w:tcPr>
          <w:p w14:paraId="52E51ED7" w14:textId="77777777" w:rsidR="00241417" w:rsidRPr="00C25669" w:rsidRDefault="00241417" w:rsidP="003A71DE">
            <w:pPr>
              <w:pStyle w:val="TAC"/>
              <w:rPr>
                <w:rFonts w:eastAsia="SimSun"/>
              </w:rPr>
            </w:pPr>
          </w:p>
        </w:tc>
        <w:tc>
          <w:tcPr>
            <w:tcW w:w="1325" w:type="pct"/>
            <w:shd w:val="clear" w:color="auto" w:fill="auto"/>
            <w:vAlign w:val="center"/>
          </w:tcPr>
          <w:p w14:paraId="3ADD098E" w14:textId="77777777" w:rsidR="00241417" w:rsidRPr="00C25669" w:rsidRDefault="00241417" w:rsidP="003A71DE">
            <w:pPr>
              <w:pStyle w:val="TAC"/>
              <w:rPr>
                <w:rFonts w:eastAsia="SimSun"/>
                <w:lang w:eastAsia="zh-CN"/>
              </w:rPr>
            </w:pPr>
            <w:r w:rsidRPr="00C25669">
              <w:rPr>
                <w:rFonts w:eastAsia="SimSun"/>
                <w:lang w:eastAsia="zh-CN"/>
              </w:rPr>
              <w:t>2</w:t>
            </w:r>
          </w:p>
        </w:tc>
      </w:tr>
      <w:tr w:rsidR="00241417" w:rsidRPr="00C25669" w14:paraId="19A2432E" w14:textId="77777777" w:rsidTr="003A71DE">
        <w:trPr>
          <w:trHeight w:val="145"/>
          <w:jc w:val="center"/>
        </w:trPr>
        <w:tc>
          <w:tcPr>
            <w:tcW w:w="1015" w:type="pct"/>
            <w:gridSpan w:val="2"/>
            <w:vMerge/>
            <w:shd w:val="clear" w:color="auto" w:fill="auto"/>
            <w:vAlign w:val="center"/>
          </w:tcPr>
          <w:p w14:paraId="22921831" w14:textId="77777777" w:rsidR="00241417" w:rsidRPr="00C25669" w:rsidRDefault="00241417" w:rsidP="003A71DE">
            <w:pPr>
              <w:pStyle w:val="TAL"/>
              <w:rPr>
                <w:rFonts w:eastAsia="SimSun"/>
              </w:rPr>
            </w:pPr>
          </w:p>
        </w:tc>
        <w:tc>
          <w:tcPr>
            <w:tcW w:w="1996" w:type="pct"/>
            <w:gridSpan w:val="2"/>
            <w:shd w:val="clear" w:color="auto" w:fill="auto"/>
            <w:vAlign w:val="center"/>
          </w:tcPr>
          <w:p w14:paraId="59B6C2FA" w14:textId="77777777" w:rsidR="00241417" w:rsidRPr="00C25669" w:rsidRDefault="00241417" w:rsidP="003A71DE">
            <w:pPr>
              <w:pStyle w:val="TAL"/>
              <w:rPr>
                <w:rFonts w:eastAsia="SimSun"/>
              </w:rPr>
            </w:pPr>
            <w:r w:rsidRPr="00C25669">
              <w:rPr>
                <w:rFonts w:eastAsia="SimSun"/>
              </w:rPr>
              <w:t>Length (L)</w:t>
            </w:r>
          </w:p>
        </w:tc>
        <w:tc>
          <w:tcPr>
            <w:tcW w:w="664" w:type="pct"/>
            <w:shd w:val="clear" w:color="auto" w:fill="auto"/>
            <w:vAlign w:val="center"/>
          </w:tcPr>
          <w:p w14:paraId="5362CCFB" w14:textId="77777777" w:rsidR="00241417" w:rsidRPr="00C25669" w:rsidRDefault="00241417" w:rsidP="003A71DE">
            <w:pPr>
              <w:pStyle w:val="TAC"/>
              <w:rPr>
                <w:rFonts w:eastAsia="SimSun"/>
              </w:rPr>
            </w:pPr>
          </w:p>
        </w:tc>
        <w:tc>
          <w:tcPr>
            <w:tcW w:w="1325" w:type="pct"/>
            <w:shd w:val="clear" w:color="auto" w:fill="auto"/>
            <w:vAlign w:val="center"/>
          </w:tcPr>
          <w:p w14:paraId="105EA30F" w14:textId="77777777" w:rsidR="00241417" w:rsidRPr="00C25669" w:rsidRDefault="00241417" w:rsidP="003A71DE">
            <w:pPr>
              <w:pStyle w:val="TAC"/>
              <w:rPr>
                <w:rFonts w:eastAsia="SimSun"/>
                <w:lang w:eastAsia="zh-CN"/>
              </w:rPr>
            </w:pPr>
            <w:r w:rsidRPr="00C25669">
              <w:rPr>
                <w:rFonts w:eastAsia="SimSun"/>
                <w:lang w:eastAsia="zh-CN"/>
              </w:rPr>
              <w:t>12</w:t>
            </w:r>
          </w:p>
        </w:tc>
      </w:tr>
      <w:tr w:rsidR="00241417" w:rsidRPr="00C25669" w14:paraId="2BB2B11A" w14:textId="77777777" w:rsidTr="003A71DE">
        <w:trPr>
          <w:trHeight w:val="145"/>
          <w:jc w:val="center"/>
        </w:trPr>
        <w:tc>
          <w:tcPr>
            <w:tcW w:w="1015" w:type="pct"/>
            <w:gridSpan w:val="2"/>
            <w:vMerge/>
            <w:shd w:val="clear" w:color="auto" w:fill="auto"/>
            <w:vAlign w:val="center"/>
          </w:tcPr>
          <w:p w14:paraId="00F7EF31" w14:textId="77777777" w:rsidR="00241417" w:rsidRPr="00C25669" w:rsidRDefault="00241417" w:rsidP="003A71DE">
            <w:pPr>
              <w:pStyle w:val="TAL"/>
              <w:rPr>
                <w:rFonts w:eastAsia="SimSun"/>
              </w:rPr>
            </w:pPr>
          </w:p>
        </w:tc>
        <w:tc>
          <w:tcPr>
            <w:tcW w:w="1996" w:type="pct"/>
            <w:gridSpan w:val="2"/>
            <w:shd w:val="clear" w:color="auto" w:fill="auto"/>
            <w:vAlign w:val="center"/>
          </w:tcPr>
          <w:p w14:paraId="429FD61C" w14:textId="77777777" w:rsidR="00241417" w:rsidRPr="00C25669" w:rsidRDefault="00241417" w:rsidP="003A71DE">
            <w:pPr>
              <w:pStyle w:val="TAL"/>
              <w:rPr>
                <w:rFonts w:eastAsia="SimSun"/>
              </w:rPr>
            </w:pPr>
            <w:r w:rsidRPr="00C25669">
              <w:rPr>
                <w:rFonts w:eastAsia="SimSun"/>
              </w:rPr>
              <w:t>PDSCH aggregation factor</w:t>
            </w:r>
          </w:p>
        </w:tc>
        <w:tc>
          <w:tcPr>
            <w:tcW w:w="664" w:type="pct"/>
            <w:shd w:val="clear" w:color="auto" w:fill="auto"/>
            <w:vAlign w:val="center"/>
          </w:tcPr>
          <w:p w14:paraId="08E5C991" w14:textId="77777777" w:rsidR="00241417" w:rsidRPr="00C25669" w:rsidRDefault="00241417" w:rsidP="003A71DE">
            <w:pPr>
              <w:pStyle w:val="TAC"/>
              <w:rPr>
                <w:rFonts w:eastAsia="SimSun"/>
              </w:rPr>
            </w:pPr>
          </w:p>
        </w:tc>
        <w:tc>
          <w:tcPr>
            <w:tcW w:w="1325" w:type="pct"/>
            <w:shd w:val="clear" w:color="auto" w:fill="auto"/>
            <w:vAlign w:val="center"/>
          </w:tcPr>
          <w:p w14:paraId="72727300" w14:textId="77777777" w:rsidR="00241417" w:rsidRPr="00C25669" w:rsidRDefault="00241417" w:rsidP="003A71DE">
            <w:pPr>
              <w:pStyle w:val="TAC"/>
              <w:rPr>
                <w:rFonts w:eastAsia="SimSun"/>
                <w:lang w:eastAsia="zh-CN"/>
              </w:rPr>
            </w:pPr>
            <w:r w:rsidRPr="00C25669">
              <w:rPr>
                <w:rFonts w:eastAsia="SimSun"/>
                <w:lang w:eastAsia="zh-CN"/>
              </w:rPr>
              <w:t>1</w:t>
            </w:r>
          </w:p>
        </w:tc>
      </w:tr>
      <w:tr w:rsidR="00241417" w:rsidRPr="00C25669" w14:paraId="4962B2E5" w14:textId="77777777" w:rsidTr="003A71DE">
        <w:trPr>
          <w:trHeight w:val="145"/>
          <w:jc w:val="center"/>
        </w:trPr>
        <w:tc>
          <w:tcPr>
            <w:tcW w:w="1015" w:type="pct"/>
            <w:gridSpan w:val="2"/>
            <w:vMerge/>
            <w:shd w:val="clear" w:color="auto" w:fill="auto"/>
            <w:vAlign w:val="center"/>
          </w:tcPr>
          <w:p w14:paraId="0140EDB8" w14:textId="77777777" w:rsidR="00241417" w:rsidRPr="00C25669" w:rsidRDefault="00241417" w:rsidP="003A71DE">
            <w:pPr>
              <w:pStyle w:val="TAL"/>
              <w:rPr>
                <w:rFonts w:eastAsia="SimSun"/>
              </w:rPr>
            </w:pPr>
          </w:p>
        </w:tc>
        <w:tc>
          <w:tcPr>
            <w:tcW w:w="1996" w:type="pct"/>
            <w:gridSpan w:val="2"/>
            <w:shd w:val="clear" w:color="auto" w:fill="auto"/>
            <w:vAlign w:val="center"/>
          </w:tcPr>
          <w:p w14:paraId="32EC52F5" w14:textId="77777777" w:rsidR="00241417" w:rsidRPr="00C25669" w:rsidRDefault="00241417" w:rsidP="003A71DE">
            <w:pPr>
              <w:pStyle w:val="TAL"/>
              <w:rPr>
                <w:rFonts w:eastAsia="SimSun"/>
              </w:rPr>
            </w:pPr>
            <w:r w:rsidRPr="00C25669">
              <w:rPr>
                <w:rFonts w:eastAsia="SimSun"/>
              </w:rPr>
              <w:t>PRB bundling type</w:t>
            </w:r>
          </w:p>
        </w:tc>
        <w:tc>
          <w:tcPr>
            <w:tcW w:w="664" w:type="pct"/>
            <w:shd w:val="clear" w:color="auto" w:fill="auto"/>
            <w:vAlign w:val="center"/>
          </w:tcPr>
          <w:p w14:paraId="2F3753CD" w14:textId="77777777" w:rsidR="00241417" w:rsidRPr="00C25669" w:rsidRDefault="00241417" w:rsidP="003A71DE">
            <w:pPr>
              <w:pStyle w:val="TAC"/>
              <w:rPr>
                <w:rFonts w:eastAsia="SimSun"/>
              </w:rPr>
            </w:pPr>
          </w:p>
        </w:tc>
        <w:tc>
          <w:tcPr>
            <w:tcW w:w="1325" w:type="pct"/>
            <w:shd w:val="clear" w:color="auto" w:fill="auto"/>
            <w:vAlign w:val="center"/>
          </w:tcPr>
          <w:p w14:paraId="7896B9CC" w14:textId="77777777" w:rsidR="00241417" w:rsidRPr="00C25669" w:rsidRDefault="00241417" w:rsidP="003A71DE">
            <w:pPr>
              <w:pStyle w:val="TAC"/>
              <w:rPr>
                <w:rFonts w:eastAsia="SimSun"/>
                <w:lang w:eastAsia="zh-CN"/>
              </w:rPr>
            </w:pPr>
            <w:r w:rsidRPr="00C25669">
              <w:rPr>
                <w:rFonts w:eastAsia="SimSun"/>
                <w:lang w:eastAsia="zh-CN"/>
              </w:rPr>
              <w:t>Static</w:t>
            </w:r>
          </w:p>
        </w:tc>
      </w:tr>
      <w:tr w:rsidR="00241417" w:rsidRPr="00C25669" w14:paraId="19A4451E" w14:textId="77777777" w:rsidTr="003A71DE">
        <w:trPr>
          <w:trHeight w:val="145"/>
          <w:jc w:val="center"/>
        </w:trPr>
        <w:tc>
          <w:tcPr>
            <w:tcW w:w="1015" w:type="pct"/>
            <w:gridSpan w:val="2"/>
            <w:vMerge/>
            <w:shd w:val="clear" w:color="auto" w:fill="auto"/>
            <w:vAlign w:val="center"/>
          </w:tcPr>
          <w:p w14:paraId="6A75CD16" w14:textId="77777777" w:rsidR="00241417" w:rsidRPr="00C25669" w:rsidRDefault="00241417" w:rsidP="003A71DE">
            <w:pPr>
              <w:pStyle w:val="TAL"/>
              <w:rPr>
                <w:rFonts w:eastAsia="SimSun"/>
              </w:rPr>
            </w:pPr>
          </w:p>
        </w:tc>
        <w:tc>
          <w:tcPr>
            <w:tcW w:w="1996" w:type="pct"/>
            <w:gridSpan w:val="2"/>
            <w:shd w:val="clear" w:color="auto" w:fill="auto"/>
            <w:vAlign w:val="center"/>
          </w:tcPr>
          <w:p w14:paraId="4449B349" w14:textId="77777777" w:rsidR="00241417" w:rsidRPr="00C25669" w:rsidRDefault="00241417" w:rsidP="003A71DE">
            <w:pPr>
              <w:pStyle w:val="TAL"/>
              <w:rPr>
                <w:rFonts w:eastAsia="SimSun"/>
              </w:rPr>
            </w:pPr>
            <w:r w:rsidRPr="00C25669">
              <w:rPr>
                <w:rFonts w:eastAsia="SimSun"/>
              </w:rPr>
              <w:t>PRB bundling size</w:t>
            </w:r>
          </w:p>
        </w:tc>
        <w:tc>
          <w:tcPr>
            <w:tcW w:w="664" w:type="pct"/>
            <w:shd w:val="clear" w:color="auto" w:fill="auto"/>
            <w:vAlign w:val="center"/>
          </w:tcPr>
          <w:p w14:paraId="5A6FDFBE" w14:textId="77777777" w:rsidR="00241417" w:rsidRPr="00C25669" w:rsidRDefault="00241417" w:rsidP="003A71DE">
            <w:pPr>
              <w:pStyle w:val="TAC"/>
              <w:rPr>
                <w:rFonts w:eastAsia="SimSun"/>
              </w:rPr>
            </w:pPr>
          </w:p>
        </w:tc>
        <w:tc>
          <w:tcPr>
            <w:tcW w:w="1325" w:type="pct"/>
            <w:shd w:val="clear" w:color="auto" w:fill="auto"/>
            <w:vAlign w:val="center"/>
          </w:tcPr>
          <w:p w14:paraId="10E76F44" w14:textId="77777777" w:rsidR="00241417" w:rsidRPr="00C25669" w:rsidRDefault="00241417" w:rsidP="003A71DE">
            <w:pPr>
              <w:pStyle w:val="TAC"/>
              <w:rPr>
                <w:rFonts w:eastAsia="SimSun"/>
                <w:lang w:eastAsia="zh-CN"/>
              </w:rPr>
            </w:pPr>
            <w:r w:rsidRPr="00C25669">
              <w:rPr>
                <w:rFonts w:eastAsia="SimSun"/>
                <w:lang w:eastAsia="zh-CN"/>
              </w:rPr>
              <w:t>2</w:t>
            </w:r>
          </w:p>
        </w:tc>
      </w:tr>
      <w:tr w:rsidR="00241417" w:rsidRPr="00C25669" w14:paraId="7C796F2F" w14:textId="77777777" w:rsidTr="003A71DE">
        <w:trPr>
          <w:trHeight w:val="145"/>
          <w:jc w:val="center"/>
        </w:trPr>
        <w:tc>
          <w:tcPr>
            <w:tcW w:w="1015" w:type="pct"/>
            <w:gridSpan w:val="2"/>
            <w:vMerge/>
            <w:shd w:val="clear" w:color="auto" w:fill="auto"/>
            <w:vAlign w:val="center"/>
          </w:tcPr>
          <w:p w14:paraId="4DFC5954" w14:textId="77777777" w:rsidR="00241417" w:rsidRPr="00C25669" w:rsidRDefault="00241417" w:rsidP="003A71DE">
            <w:pPr>
              <w:pStyle w:val="TAL"/>
              <w:rPr>
                <w:rFonts w:eastAsia="SimSun"/>
              </w:rPr>
            </w:pPr>
          </w:p>
        </w:tc>
        <w:tc>
          <w:tcPr>
            <w:tcW w:w="1996" w:type="pct"/>
            <w:gridSpan w:val="2"/>
            <w:shd w:val="clear" w:color="auto" w:fill="auto"/>
            <w:vAlign w:val="center"/>
          </w:tcPr>
          <w:p w14:paraId="64FBC5A7" w14:textId="77777777" w:rsidR="00241417" w:rsidRPr="00C25669" w:rsidRDefault="00241417" w:rsidP="003A71DE">
            <w:pPr>
              <w:pStyle w:val="TAL"/>
              <w:rPr>
                <w:rFonts w:eastAsia="SimSun"/>
              </w:rPr>
            </w:pPr>
            <w:r w:rsidRPr="00C25669">
              <w:rPr>
                <w:rFonts w:eastAsia="SimSun"/>
              </w:rPr>
              <w:t>Resource allocation type</w:t>
            </w:r>
          </w:p>
        </w:tc>
        <w:tc>
          <w:tcPr>
            <w:tcW w:w="664" w:type="pct"/>
            <w:shd w:val="clear" w:color="auto" w:fill="auto"/>
            <w:vAlign w:val="center"/>
          </w:tcPr>
          <w:p w14:paraId="29DA8537" w14:textId="77777777" w:rsidR="00241417" w:rsidRPr="00C25669" w:rsidRDefault="00241417" w:rsidP="003A71DE">
            <w:pPr>
              <w:pStyle w:val="TAC"/>
              <w:rPr>
                <w:rFonts w:eastAsia="SimSun"/>
              </w:rPr>
            </w:pPr>
          </w:p>
        </w:tc>
        <w:tc>
          <w:tcPr>
            <w:tcW w:w="1325" w:type="pct"/>
            <w:shd w:val="clear" w:color="auto" w:fill="auto"/>
            <w:vAlign w:val="center"/>
          </w:tcPr>
          <w:p w14:paraId="3F3557E3" w14:textId="77777777" w:rsidR="00241417" w:rsidRPr="00C25669" w:rsidRDefault="00241417" w:rsidP="003A71DE">
            <w:pPr>
              <w:pStyle w:val="TAC"/>
              <w:rPr>
                <w:rFonts w:eastAsia="SimSun"/>
                <w:lang w:eastAsia="zh-CN"/>
              </w:rPr>
            </w:pPr>
            <w:r w:rsidRPr="00C25669">
              <w:rPr>
                <w:rFonts w:eastAsia="SimSun"/>
                <w:lang w:eastAsia="zh-CN"/>
              </w:rPr>
              <w:t>t</w:t>
            </w:r>
            <w:r w:rsidRPr="00C25669">
              <w:rPr>
                <w:rFonts w:eastAsia="SimSun" w:hint="eastAsia"/>
                <w:lang w:eastAsia="zh-CN"/>
              </w:rPr>
              <w:t xml:space="preserve">ype </w:t>
            </w:r>
            <w:r w:rsidRPr="00C25669">
              <w:rPr>
                <w:rFonts w:eastAsia="SimSun"/>
                <w:lang w:eastAsia="zh-CN"/>
              </w:rPr>
              <w:t>0</w:t>
            </w:r>
          </w:p>
        </w:tc>
      </w:tr>
      <w:tr w:rsidR="00241417" w:rsidRPr="00C25669" w14:paraId="6549920C" w14:textId="77777777" w:rsidTr="003A71DE">
        <w:trPr>
          <w:trHeight w:val="145"/>
          <w:jc w:val="center"/>
        </w:trPr>
        <w:tc>
          <w:tcPr>
            <w:tcW w:w="1015" w:type="pct"/>
            <w:gridSpan w:val="2"/>
            <w:vMerge/>
            <w:shd w:val="clear" w:color="auto" w:fill="auto"/>
            <w:vAlign w:val="center"/>
          </w:tcPr>
          <w:p w14:paraId="59AB6877" w14:textId="77777777" w:rsidR="00241417" w:rsidRPr="00C25669" w:rsidRDefault="00241417" w:rsidP="003A71DE">
            <w:pPr>
              <w:pStyle w:val="TAL"/>
              <w:rPr>
                <w:rFonts w:eastAsia="SimSun"/>
              </w:rPr>
            </w:pPr>
          </w:p>
        </w:tc>
        <w:tc>
          <w:tcPr>
            <w:tcW w:w="1996" w:type="pct"/>
            <w:gridSpan w:val="2"/>
            <w:shd w:val="clear" w:color="auto" w:fill="auto"/>
            <w:vAlign w:val="center"/>
          </w:tcPr>
          <w:p w14:paraId="1FD389F4" w14:textId="77777777" w:rsidR="00241417" w:rsidRPr="00C25669" w:rsidRDefault="00241417" w:rsidP="003A71DE">
            <w:pPr>
              <w:pStyle w:val="TAL"/>
              <w:rPr>
                <w:rFonts w:eastAsia="SimSun"/>
              </w:rPr>
            </w:pPr>
            <w:r w:rsidRPr="00C25669">
              <w:rPr>
                <w:rFonts w:eastAsia="SimSun"/>
                <w:lang w:eastAsia="ja-JP"/>
              </w:rPr>
              <w:t>VRB-to-PRB mapping type</w:t>
            </w:r>
          </w:p>
        </w:tc>
        <w:tc>
          <w:tcPr>
            <w:tcW w:w="664" w:type="pct"/>
            <w:shd w:val="clear" w:color="auto" w:fill="auto"/>
            <w:vAlign w:val="center"/>
          </w:tcPr>
          <w:p w14:paraId="11601EA0" w14:textId="77777777" w:rsidR="00241417" w:rsidRPr="00C25669" w:rsidRDefault="00241417" w:rsidP="003A71DE">
            <w:pPr>
              <w:pStyle w:val="TAC"/>
              <w:rPr>
                <w:rFonts w:eastAsia="SimSun"/>
              </w:rPr>
            </w:pPr>
          </w:p>
        </w:tc>
        <w:tc>
          <w:tcPr>
            <w:tcW w:w="1325" w:type="pct"/>
            <w:shd w:val="clear" w:color="auto" w:fill="auto"/>
            <w:vAlign w:val="center"/>
          </w:tcPr>
          <w:p w14:paraId="2F839075" w14:textId="77777777" w:rsidR="00241417" w:rsidRPr="00C25669" w:rsidRDefault="00241417" w:rsidP="003A71DE">
            <w:pPr>
              <w:pStyle w:val="TAC"/>
              <w:rPr>
                <w:rFonts w:eastAsia="SimSun"/>
                <w:lang w:eastAsia="zh-CN"/>
              </w:rPr>
            </w:pPr>
            <w:r w:rsidRPr="00C25669">
              <w:rPr>
                <w:rFonts w:eastAsia="SimSun"/>
                <w:lang w:eastAsia="zh-CN"/>
              </w:rPr>
              <w:t>Non-interleaved</w:t>
            </w:r>
          </w:p>
        </w:tc>
      </w:tr>
      <w:tr w:rsidR="00241417" w:rsidRPr="00C25669" w14:paraId="6D340BCC" w14:textId="77777777" w:rsidTr="003A71DE">
        <w:trPr>
          <w:trHeight w:val="145"/>
          <w:jc w:val="center"/>
        </w:trPr>
        <w:tc>
          <w:tcPr>
            <w:tcW w:w="1015" w:type="pct"/>
            <w:gridSpan w:val="2"/>
            <w:vMerge/>
            <w:shd w:val="clear" w:color="auto" w:fill="auto"/>
            <w:vAlign w:val="center"/>
          </w:tcPr>
          <w:p w14:paraId="5274C361" w14:textId="77777777" w:rsidR="00241417" w:rsidRPr="00C25669" w:rsidRDefault="00241417" w:rsidP="003A71DE">
            <w:pPr>
              <w:pStyle w:val="TAL"/>
              <w:rPr>
                <w:rFonts w:eastAsia="SimSun"/>
              </w:rPr>
            </w:pPr>
          </w:p>
        </w:tc>
        <w:tc>
          <w:tcPr>
            <w:tcW w:w="1996" w:type="pct"/>
            <w:gridSpan w:val="2"/>
            <w:shd w:val="clear" w:color="auto" w:fill="auto"/>
            <w:vAlign w:val="center"/>
          </w:tcPr>
          <w:p w14:paraId="64784517" w14:textId="77777777" w:rsidR="00241417" w:rsidRPr="00C25669" w:rsidRDefault="00241417" w:rsidP="003A71DE">
            <w:pPr>
              <w:pStyle w:val="TAL"/>
              <w:rPr>
                <w:rFonts w:eastAsia="SimSun"/>
                <w:lang w:eastAsia="ja-JP"/>
              </w:rPr>
            </w:pPr>
            <w:r w:rsidRPr="00C25669">
              <w:rPr>
                <w:rFonts w:eastAsia="SimSun"/>
                <w:lang w:eastAsia="ja-JP"/>
              </w:rPr>
              <w:t>VRB-to-PRB mapping interleaver bundle size</w:t>
            </w:r>
          </w:p>
        </w:tc>
        <w:tc>
          <w:tcPr>
            <w:tcW w:w="664" w:type="pct"/>
            <w:shd w:val="clear" w:color="auto" w:fill="auto"/>
            <w:vAlign w:val="center"/>
          </w:tcPr>
          <w:p w14:paraId="74FF6FEC" w14:textId="77777777" w:rsidR="00241417" w:rsidRPr="00C25669" w:rsidRDefault="00241417" w:rsidP="003A71DE">
            <w:pPr>
              <w:pStyle w:val="TAC"/>
              <w:rPr>
                <w:rFonts w:eastAsia="SimSun"/>
              </w:rPr>
            </w:pPr>
          </w:p>
        </w:tc>
        <w:tc>
          <w:tcPr>
            <w:tcW w:w="1325" w:type="pct"/>
            <w:shd w:val="clear" w:color="auto" w:fill="auto"/>
            <w:vAlign w:val="center"/>
          </w:tcPr>
          <w:p w14:paraId="0675B882" w14:textId="77777777" w:rsidR="00241417" w:rsidRPr="00C25669" w:rsidRDefault="00241417" w:rsidP="003A71DE">
            <w:pPr>
              <w:pStyle w:val="TAC"/>
              <w:rPr>
                <w:rFonts w:eastAsia="SimSun"/>
                <w:lang w:eastAsia="zh-CN"/>
              </w:rPr>
            </w:pPr>
            <w:r w:rsidRPr="00C25669">
              <w:rPr>
                <w:rFonts w:eastAsia="SimSun" w:hint="eastAsia"/>
                <w:lang w:eastAsia="zh-CN"/>
              </w:rPr>
              <w:t>N/A</w:t>
            </w:r>
          </w:p>
        </w:tc>
      </w:tr>
      <w:tr w:rsidR="00241417" w:rsidRPr="00C25669" w14:paraId="31448C0E" w14:textId="77777777" w:rsidTr="003A71DE">
        <w:trPr>
          <w:trHeight w:val="197"/>
          <w:jc w:val="center"/>
        </w:trPr>
        <w:tc>
          <w:tcPr>
            <w:tcW w:w="1015" w:type="pct"/>
            <w:gridSpan w:val="2"/>
            <w:vMerge w:val="restart"/>
            <w:shd w:val="clear" w:color="auto" w:fill="auto"/>
            <w:vAlign w:val="center"/>
          </w:tcPr>
          <w:p w14:paraId="00B57046" w14:textId="77777777" w:rsidR="00241417" w:rsidRPr="00C25669" w:rsidRDefault="00241417" w:rsidP="003A71DE">
            <w:pPr>
              <w:pStyle w:val="TAL"/>
              <w:rPr>
                <w:rFonts w:eastAsia="SimSun"/>
              </w:rPr>
            </w:pPr>
            <w:r w:rsidRPr="00C25669">
              <w:rPr>
                <w:rFonts w:eastAsia="SimSun"/>
              </w:rPr>
              <w:t>PDSCH DMRS configuration</w:t>
            </w:r>
          </w:p>
        </w:tc>
        <w:tc>
          <w:tcPr>
            <w:tcW w:w="1996" w:type="pct"/>
            <w:gridSpan w:val="2"/>
            <w:shd w:val="clear" w:color="auto" w:fill="auto"/>
            <w:vAlign w:val="center"/>
          </w:tcPr>
          <w:p w14:paraId="4BA0D4EB" w14:textId="77777777" w:rsidR="00241417" w:rsidRPr="00C25669" w:rsidRDefault="00241417" w:rsidP="003A71DE">
            <w:pPr>
              <w:pStyle w:val="TAL"/>
              <w:rPr>
                <w:rFonts w:eastAsia="SimSun"/>
              </w:rPr>
            </w:pPr>
            <w:r w:rsidRPr="00C25669">
              <w:rPr>
                <w:rFonts w:eastAsia="SimSun"/>
              </w:rPr>
              <w:t>DMRS Type</w:t>
            </w:r>
          </w:p>
        </w:tc>
        <w:tc>
          <w:tcPr>
            <w:tcW w:w="664" w:type="pct"/>
            <w:shd w:val="clear" w:color="auto" w:fill="auto"/>
            <w:vAlign w:val="center"/>
          </w:tcPr>
          <w:p w14:paraId="74150AA5" w14:textId="77777777" w:rsidR="00241417" w:rsidRPr="00C25669" w:rsidRDefault="00241417" w:rsidP="003A71DE">
            <w:pPr>
              <w:pStyle w:val="TAC"/>
              <w:rPr>
                <w:rFonts w:eastAsia="SimSun"/>
              </w:rPr>
            </w:pPr>
          </w:p>
        </w:tc>
        <w:tc>
          <w:tcPr>
            <w:tcW w:w="1325" w:type="pct"/>
            <w:shd w:val="clear" w:color="auto" w:fill="auto"/>
            <w:vAlign w:val="center"/>
          </w:tcPr>
          <w:p w14:paraId="664647FC" w14:textId="77777777" w:rsidR="00241417" w:rsidRPr="00C25669" w:rsidRDefault="00241417" w:rsidP="003A71DE">
            <w:pPr>
              <w:pStyle w:val="TAC"/>
              <w:rPr>
                <w:rFonts w:eastAsia="SimSun"/>
                <w:lang w:eastAsia="zh-CN"/>
              </w:rPr>
            </w:pPr>
            <w:r w:rsidRPr="00C25669">
              <w:rPr>
                <w:rFonts w:eastAsia="SimSun"/>
                <w:lang w:eastAsia="zh-CN"/>
              </w:rPr>
              <w:t>Type 1</w:t>
            </w:r>
          </w:p>
        </w:tc>
      </w:tr>
      <w:tr w:rsidR="00241417" w:rsidRPr="00C25669" w14:paraId="6AC7B41F" w14:textId="77777777" w:rsidTr="003A71DE">
        <w:trPr>
          <w:trHeight w:val="145"/>
          <w:jc w:val="center"/>
        </w:trPr>
        <w:tc>
          <w:tcPr>
            <w:tcW w:w="1015" w:type="pct"/>
            <w:gridSpan w:val="2"/>
            <w:vMerge/>
            <w:shd w:val="clear" w:color="auto" w:fill="auto"/>
            <w:vAlign w:val="center"/>
          </w:tcPr>
          <w:p w14:paraId="2DBDB214" w14:textId="77777777" w:rsidR="00241417" w:rsidRPr="00C25669" w:rsidRDefault="00241417" w:rsidP="003A71DE">
            <w:pPr>
              <w:pStyle w:val="TAL"/>
              <w:rPr>
                <w:rFonts w:eastAsia="SimSun"/>
              </w:rPr>
            </w:pPr>
          </w:p>
        </w:tc>
        <w:tc>
          <w:tcPr>
            <w:tcW w:w="1996" w:type="pct"/>
            <w:gridSpan w:val="2"/>
            <w:shd w:val="clear" w:color="auto" w:fill="auto"/>
            <w:vAlign w:val="center"/>
          </w:tcPr>
          <w:p w14:paraId="61657D8F" w14:textId="77777777" w:rsidR="00241417" w:rsidRPr="00C25669" w:rsidRDefault="00241417" w:rsidP="003A71DE">
            <w:pPr>
              <w:pStyle w:val="TAL"/>
              <w:rPr>
                <w:rFonts w:eastAsia="SimSun"/>
              </w:rPr>
            </w:pPr>
            <w:r w:rsidRPr="00C25669">
              <w:rPr>
                <w:rFonts w:eastAsia="SimSun"/>
              </w:rPr>
              <w:t>Number of additional DMRS</w:t>
            </w:r>
          </w:p>
        </w:tc>
        <w:tc>
          <w:tcPr>
            <w:tcW w:w="664" w:type="pct"/>
            <w:shd w:val="clear" w:color="auto" w:fill="auto"/>
            <w:vAlign w:val="center"/>
          </w:tcPr>
          <w:p w14:paraId="0D8EBE0E" w14:textId="77777777" w:rsidR="00241417" w:rsidRPr="00C25669" w:rsidRDefault="00241417" w:rsidP="003A71DE">
            <w:pPr>
              <w:pStyle w:val="TAC"/>
              <w:rPr>
                <w:rFonts w:eastAsia="SimSun"/>
              </w:rPr>
            </w:pPr>
          </w:p>
        </w:tc>
        <w:tc>
          <w:tcPr>
            <w:tcW w:w="1325" w:type="pct"/>
            <w:shd w:val="clear" w:color="auto" w:fill="auto"/>
            <w:vAlign w:val="center"/>
          </w:tcPr>
          <w:p w14:paraId="381DD02A" w14:textId="77777777" w:rsidR="00241417" w:rsidRPr="00C25669" w:rsidRDefault="00241417" w:rsidP="003A71DE">
            <w:pPr>
              <w:pStyle w:val="TAC"/>
              <w:rPr>
                <w:rFonts w:eastAsia="SimSun"/>
                <w:lang w:eastAsia="zh-CN"/>
              </w:rPr>
            </w:pPr>
            <w:r w:rsidRPr="00C25669">
              <w:rPr>
                <w:rFonts w:eastAsia="SimSun"/>
                <w:lang w:eastAsia="zh-CN"/>
              </w:rPr>
              <w:t>1</w:t>
            </w:r>
          </w:p>
        </w:tc>
      </w:tr>
      <w:tr w:rsidR="00241417" w:rsidRPr="00C25669" w14:paraId="2755E392" w14:textId="77777777" w:rsidTr="003A71DE">
        <w:trPr>
          <w:trHeight w:val="145"/>
          <w:jc w:val="center"/>
        </w:trPr>
        <w:tc>
          <w:tcPr>
            <w:tcW w:w="1015" w:type="pct"/>
            <w:gridSpan w:val="2"/>
            <w:vMerge/>
            <w:shd w:val="clear" w:color="auto" w:fill="auto"/>
            <w:vAlign w:val="center"/>
          </w:tcPr>
          <w:p w14:paraId="0A55F370" w14:textId="77777777" w:rsidR="00241417" w:rsidRPr="00C25669" w:rsidRDefault="00241417" w:rsidP="003A71DE">
            <w:pPr>
              <w:pStyle w:val="TAL"/>
              <w:rPr>
                <w:rFonts w:eastAsia="SimSun"/>
              </w:rPr>
            </w:pPr>
          </w:p>
        </w:tc>
        <w:tc>
          <w:tcPr>
            <w:tcW w:w="1996" w:type="pct"/>
            <w:gridSpan w:val="2"/>
            <w:shd w:val="clear" w:color="auto" w:fill="auto"/>
            <w:vAlign w:val="center"/>
          </w:tcPr>
          <w:p w14:paraId="1E68D200" w14:textId="77777777" w:rsidR="00241417" w:rsidRPr="00C25669" w:rsidRDefault="00241417" w:rsidP="003A71DE">
            <w:pPr>
              <w:pStyle w:val="TAL"/>
              <w:rPr>
                <w:rFonts w:eastAsia="SimSun"/>
              </w:rPr>
            </w:pPr>
            <w:r w:rsidRPr="00C25669">
              <w:rPr>
                <w:rFonts w:eastAsia="SimSun"/>
              </w:rPr>
              <w:t>Maximum number of OFDM symbols for DL front loaded DMRS</w:t>
            </w:r>
          </w:p>
        </w:tc>
        <w:tc>
          <w:tcPr>
            <w:tcW w:w="664" w:type="pct"/>
            <w:shd w:val="clear" w:color="auto" w:fill="auto"/>
            <w:vAlign w:val="center"/>
          </w:tcPr>
          <w:p w14:paraId="364D1A53" w14:textId="77777777" w:rsidR="00241417" w:rsidRPr="00C25669" w:rsidRDefault="00241417" w:rsidP="003A71DE">
            <w:pPr>
              <w:pStyle w:val="TAC"/>
              <w:rPr>
                <w:rFonts w:eastAsia="SimSun"/>
              </w:rPr>
            </w:pPr>
          </w:p>
        </w:tc>
        <w:tc>
          <w:tcPr>
            <w:tcW w:w="1325" w:type="pct"/>
            <w:shd w:val="clear" w:color="auto" w:fill="auto"/>
            <w:vAlign w:val="center"/>
          </w:tcPr>
          <w:p w14:paraId="46F7B134" w14:textId="77777777" w:rsidR="00241417" w:rsidRPr="00C25669" w:rsidRDefault="00241417" w:rsidP="003A71DE">
            <w:pPr>
              <w:pStyle w:val="TAC"/>
              <w:rPr>
                <w:rFonts w:eastAsia="SimSun"/>
                <w:lang w:eastAsia="zh-CN"/>
              </w:rPr>
            </w:pPr>
            <w:r w:rsidRPr="00C25669">
              <w:rPr>
                <w:rFonts w:eastAsia="SimSun" w:hint="eastAsia"/>
                <w:lang w:eastAsia="zh-CN"/>
              </w:rPr>
              <w:t>1</w:t>
            </w:r>
          </w:p>
        </w:tc>
      </w:tr>
      <w:tr w:rsidR="00241417" w:rsidRPr="00C25669" w14:paraId="617AEB3D" w14:textId="77777777" w:rsidTr="003A71DE">
        <w:trPr>
          <w:trHeight w:val="145"/>
          <w:jc w:val="center"/>
        </w:trPr>
        <w:tc>
          <w:tcPr>
            <w:tcW w:w="1015" w:type="pct"/>
            <w:gridSpan w:val="2"/>
            <w:vMerge/>
            <w:shd w:val="clear" w:color="auto" w:fill="auto"/>
            <w:vAlign w:val="center"/>
          </w:tcPr>
          <w:p w14:paraId="25081D0D" w14:textId="77777777" w:rsidR="00241417" w:rsidRPr="00C25669" w:rsidRDefault="00241417" w:rsidP="003A71DE">
            <w:pPr>
              <w:pStyle w:val="TAL"/>
              <w:rPr>
                <w:rFonts w:eastAsia="SimSun"/>
              </w:rPr>
            </w:pPr>
          </w:p>
        </w:tc>
        <w:tc>
          <w:tcPr>
            <w:tcW w:w="1996" w:type="pct"/>
            <w:gridSpan w:val="2"/>
            <w:shd w:val="clear" w:color="auto" w:fill="auto"/>
            <w:vAlign w:val="center"/>
          </w:tcPr>
          <w:p w14:paraId="434F3A5D" w14:textId="77777777" w:rsidR="00241417" w:rsidRPr="00C25669" w:rsidRDefault="00241417" w:rsidP="003A71DE">
            <w:pPr>
              <w:pStyle w:val="TAL"/>
              <w:rPr>
                <w:rFonts w:eastAsia="SimSun"/>
              </w:rPr>
            </w:pPr>
            <w:r w:rsidRPr="00C25669">
              <w:rPr>
                <w:rFonts w:eastAsia="SimSun" w:hint="eastAsia"/>
                <w:lang w:eastAsia="zh-CN"/>
              </w:rPr>
              <w:t>DMRS ports indexes</w:t>
            </w:r>
          </w:p>
        </w:tc>
        <w:tc>
          <w:tcPr>
            <w:tcW w:w="664" w:type="pct"/>
            <w:shd w:val="clear" w:color="auto" w:fill="auto"/>
            <w:vAlign w:val="center"/>
          </w:tcPr>
          <w:p w14:paraId="517ED5EE" w14:textId="77777777" w:rsidR="00241417" w:rsidRPr="00C25669" w:rsidRDefault="00241417" w:rsidP="003A71DE">
            <w:pPr>
              <w:pStyle w:val="TAC"/>
              <w:rPr>
                <w:rFonts w:eastAsia="SimSun"/>
              </w:rPr>
            </w:pPr>
          </w:p>
        </w:tc>
        <w:tc>
          <w:tcPr>
            <w:tcW w:w="1325" w:type="pct"/>
            <w:shd w:val="clear" w:color="auto" w:fill="auto"/>
            <w:vAlign w:val="center"/>
          </w:tcPr>
          <w:p w14:paraId="09E1E4A1" w14:textId="77777777" w:rsidR="00241417" w:rsidRPr="00C25669" w:rsidRDefault="00241417" w:rsidP="003A71DE">
            <w:pPr>
              <w:pStyle w:val="TAC"/>
              <w:rPr>
                <w:rFonts w:eastAsia="SimSun"/>
                <w:lang w:eastAsia="zh-CN"/>
              </w:rPr>
            </w:pPr>
            <w:r w:rsidRPr="00C25669">
              <w:rPr>
                <w:rFonts w:eastAsia="SimSun" w:hint="eastAsia"/>
                <w:lang w:eastAsia="zh-CN"/>
              </w:rPr>
              <w:t>{1000} for Rank1</w:t>
            </w:r>
          </w:p>
          <w:p w14:paraId="3A0CADCF" w14:textId="77777777" w:rsidR="00241417" w:rsidRPr="00C25669" w:rsidRDefault="00241417" w:rsidP="003A71DE">
            <w:pPr>
              <w:pStyle w:val="TAC"/>
              <w:rPr>
                <w:rFonts w:eastAsia="SimSun"/>
                <w:lang w:eastAsia="zh-CN"/>
              </w:rPr>
            </w:pPr>
            <w:r w:rsidRPr="00C25669">
              <w:rPr>
                <w:rFonts w:eastAsia="SimSun" w:hint="eastAsia"/>
                <w:lang w:eastAsia="zh-CN"/>
              </w:rPr>
              <w:t>{1000,1001} for Rank2</w:t>
            </w:r>
          </w:p>
          <w:p w14:paraId="1374B651" w14:textId="77777777" w:rsidR="00241417" w:rsidRPr="00C25669" w:rsidRDefault="00241417" w:rsidP="003A71DE">
            <w:pPr>
              <w:pStyle w:val="TAC"/>
              <w:rPr>
                <w:rFonts w:eastAsia="SimSun"/>
                <w:lang w:eastAsia="zh-CN"/>
              </w:rPr>
            </w:pPr>
            <w:r w:rsidRPr="00C25669">
              <w:rPr>
                <w:rFonts w:eastAsia="SimSun" w:hint="eastAsia"/>
                <w:lang w:eastAsia="zh-CN"/>
              </w:rPr>
              <w:t>{1000,1001,1002} for Rank3</w:t>
            </w:r>
          </w:p>
          <w:p w14:paraId="7F830C47" w14:textId="77777777" w:rsidR="00241417" w:rsidRPr="00C25669" w:rsidRDefault="00241417" w:rsidP="003A71DE">
            <w:pPr>
              <w:pStyle w:val="TAC"/>
              <w:rPr>
                <w:rFonts w:eastAsia="SimSun"/>
                <w:lang w:eastAsia="zh-CN"/>
              </w:rPr>
            </w:pPr>
            <w:r w:rsidRPr="00C25669">
              <w:rPr>
                <w:rFonts w:eastAsia="SimSun" w:hint="eastAsia"/>
                <w:lang w:eastAsia="zh-CN"/>
              </w:rPr>
              <w:t>{1000,1001,1002,1003} for Rank4</w:t>
            </w:r>
          </w:p>
        </w:tc>
      </w:tr>
      <w:tr w:rsidR="00241417" w:rsidRPr="00C25669" w14:paraId="652781BB" w14:textId="77777777" w:rsidTr="003A71DE">
        <w:trPr>
          <w:trHeight w:val="145"/>
          <w:jc w:val="center"/>
        </w:trPr>
        <w:tc>
          <w:tcPr>
            <w:tcW w:w="1015" w:type="pct"/>
            <w:gridSpan w:val="2"/>
            <w:vMerge/>
            <w:shd w:val="clear" w:color="auto" w:fill="auto"/>
            <w:vAlign w:val="center"/>
          </w:tcPr>
          <w:p w14:paraId="439F6F48" w14:textId="77777777" w:rsidR="00241417" w:rsidRPr="00C25669" w:rsidRDefault="00241417" w:rsidP="003A71DE">
            <w:pPr>
              <w:pStyle w:val="TAL"/>
              <w:rPr>
                <w:rFonts w:eastAsia="SimSun"/>
              </w:rPr>
            </w:pPr>
          </w:p>
        </w:tc>
        <w:tc>
          <w:tcPr>
            <w:tcW w:w="1996" w:type="pct"/>
            <w:gridSpan w:val="2"/>
            <w:shd w:val="clear" w:color="auto" w:fill="auto"/>
            <w:vAlign w:val="center"/>
          </w:tcPr>
          <w:p w14:paraId="567CFB1E" w14:textId="77777777" w:rsidR="00241417" w:rsidRPr="00C25669" w:rsidRDefault="00241417" w:rsidP="003A71DE">
            <w:pPr>
              <w:pStyle w:val="TAL"/>
              <w:rPr>
                <w:rFonts w:eastAsia="SimSun"/>
              </w:rPr>
            </w:pPr>
            <w:r w:rsidRPr="00C25669">
              <w:rPr>
                <w:rFonts w:eastAsia="SimSun"/>
              </w:rPr>
              <w:t>Number of PDSCH DMRS CDM group(s) without data</w:t>
            </w:r>
          </w:p>
        </w:tc>
        <w:tc>
          <w:tcPr>
            <w:tcW w:w="664" w:type="pct"/>
            <w:shd w:val="clear" w:color="auto" w:fill="auto"/>
            <w:vAlign w:val="center"/>
          </w:tcPr>
          <w:p w14:paraId="13BA7F33" w14:textId="77777777" w:rsidR="00241417" w:rsidRPr="00C25669" w:rsidRDefault="00241417" w:rsidP="003A71DE">
            <w:pPr>
              <w:pStyle w:val="TAC"/>
              <w:rPr>
                <w:rFonts w:eastAsia="SimSun"/>
              </w:rPr>
            </w:pPr>
          </w:p>
        </w:tc>
        <w:tc>
          <w:tcPr>
            <w:tcW w:w="1325" w:type="pct"/>
            <w:shd w:val="clear" w:color="auto" w:fill="auto"/>
            <w:vAlign w:val="center"/>
          </w:tcPr>
          <w:p w14:paraId="74AE7E12" w14:textId="77777777" w:rsidR="00241417" w:rsidRPr="00C25669" w:rsidRDefault="00241417" w:rsidP="003A71DE">
            <w:pPr>
              <w:pStyle w:val="TAC"/>
              <w:rPr>
                <w:rFonts w:eastAsia="SimSun"/>
                <w:strike/>
                <w:lang w:eastAsia="zh-CN"/>
              </w:rPr>
            </w:pPr>
            <w:r w:rsidRPr="00C25669">
              <w:rPr>
                <w:rFonts w:eastAsia="SimSun" w:hint="eastAsia"/>
                <w:lang w:eastAsia="zh-CN"/>
              </w:rPr>
              <w:t>2</w:t>
            </w:r>
          </w:p>
        </w:tc>
      </w:tr>
      <w:tr w:rsidR="00241417" w:rsidRPr="00C25669" w14:paraId="4546790C" w14:textId="77777777" w:rsidTr="003A71DE">
        <w:trPr>
          <w:trHeight w:val="145"/>
          <w:jc w:val="center"/>
        </w:trPr>
        <w:tc>
          <w:tcPr>
            <w:tcW w:w="1020" w:type="pct"/>
            <w:gridSpan w:val="3"/>
            <w:vMerge w:val="restart"/>
            <w:shd w:val="clear" w:color="auto" w:fill="auto"/>
            <w:vAlign w:val="center"/>
          </w:tcPr>
          <w:p w14:paraId="37A8D340" w14:textId="77777777" w:rsidR="00241417" w:rsidRPr="00C25669" w:rsidRDefault="00241417" w:rsidP="003A71DE">
            <w:pPr>
              <w:pStyle w:val="TAL"/>
              <w:rPr>
                <w:rFonts w:eastAsia="SimSun"/>
              </w:rPr>
            </w:pPr>
            <w:r>
              <w:rPr>
                <w:rFonts w:eastAsia="SimSun"/>
              </w:rPr>
              <w:t>PTRS configuration</w:t>
            </w:r>
          </w:p>
        </w:tc>
        <w:tc>
          <w:tcPr>
            <w:tcW w:w="1991" w:type="pct"/>
            <w:tcBorders>
              <w:top w:val="single" w:sz="4" w:space="0" w:color="auto"/>
              <w:left w:val="single" w:sz="4" w:space="0" w:color="auto"/>
              <w:bottom w:val="single" w:sz="4" w:space="0" w:color="auto"/>
              <w:right w:val="single" w:sz="4" w:space="0" w:color="auto"/>
            </w:tcBorders>
            <w:shd w:val="clear" w:color="auto" w:fill="auto"/>
            <w:vAlign w:val="center"/>
          </w:tcPr>
          <w:p w14:paraId="62BD22CD" w14:textId="77777777" w:rsidR="00241417" w:rsidRPr="00C25669" w:rsidRDefault="00241417" w:rsidP="003A71DE">
            <w:pPr>
              <w:pStyle w:val="TAL"/>
              <w:rPr>
                <w:rFonts w:eastAsia="SimSun"/>
              </w:rPr>
            </w:pPr>
            <w:r w:rsidRPr="00C25669">
              <w:rPr>
                <w:rFonts w:eastAsia="SimSun"/>
              </w:rPr>
              <w:t>Frequency density (</w:t>
            </w:r>
            <w:r w:rsidRPr="00C25669">
              <w:rPr>
                <w:rFonts w:eastAsia="SimSun"/>
                <w:i/>
              </w:rPr>
              <w:t>K</w:t>
            </w:r>
            <w:r w:rsidRPr="00C25669">
              <w:rPr>
                <w:rFonts w:eastAsia="SimSun"/>
                <w:i/>
                <w:vertAlign w:val="subscript"/>
              </w:rPr>
              <w:t>PT-RS</w:t>
            </w:r>
            <w:r w:rsidRPr="00C25669">
              <w:rPr>
                <w:rFonts w:eastAsia="SimSun"/>
              </w:rPr>
              <w:t>)</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0CED098A" w14:textId="77777777" w:rsidR="00241417" w:rsidRPr="00C25669" w:rsidRDefault="00241417" w:rsidP="003A71DE">
            <w:pPr>
              <w:pStyle w:val="TAC"/>
              <w:rPr>
                <w:rFonts w:eastAsia="SimSun"/>
                <w:lang w:eastAsia="zh-C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7C93984B" w14:textId="77777777" w:rsidR="00241417" w:rsidRPr="00C25669" w:rsidRDefault="00241417" w:rsidP="003A71DE">
            <w:pPr>
              <w:pStyle w:val="TAC"/>
              <w:rPr>
                <w:rFonts w:eastAsia="SimSun"/>
              </w:rPr>
            </w:pPr>
            <w:r w:rsidRPr="00C25669">
              <w:rPr>
                <w:rFonts w:eastAsia="SimSun" w:hint="eastAsia"/>
                <w:lang w:eastAsia="zh-CN"/>
              </w:rPr>
              <w:t>N/A</w:t>
            </w:r>
          </w:p>
        </w:tc>
      </w:tr>
      <w:tr w:rsidR="00241417" w:rsidRPr="00C25669" w14:paraId="5ECE8759" w14:textId="77777777" w:rsidTr="003A71DE">
        <w:trPr>
          <w:trHeight w:val="145"/>
          <w:jc w:val="center"/>
        </w:trPr>
        <w:tc>
          <w:tcPr>
            <w:tcW w:w="1020" w:type="pct"/>
            <w:gridSpan w:val="3"/>
            <w:vMerge/>
            <w:shd w:val="clear" w:color="auto" w:fill="auto"/>
            <w:vAlign w:val="center"/>
          </w:tcPr>
          <w:p w14:paraId="3B9E8851" w14:textId="77777777" w:rsidR="00241417" w:rsidRPr="00C25669" w:rsidRDefault="00241417" w:rsidP="003A71DE">
            <w:pPr>
              <w:pStyle w:val="TAL"/>
              <w:rPr>
                <w:rFonts w:eastAsia="SimSun"/>
              </w:rPr>
            </w:pPr>
          </w:p>
        </w:tc>
        <w:tc>
          <w:tcPr>
            <w:tcW w:w="1991" w:type="pct"/>
            <w:tcBorders>
              <w:top w:val="single" w:sz="4" w:space="0" w:color="auto"/>
              <w:left w:val="single" w:sz="4" w:space="0" w:color="auto"/>
              <w:bottom w:val="single" w:sz="4" w:space="0" w:color="auto"/>
              <w:right w:val="single" w:sz="4" w:space="0" w:color="auto"/>
            </w:tcBorders>
            <w:shd w:val="clear" w:color="auto" w:fill="auto"/>
            <w:vAlign w:val="center"/>
          </w:tcPr>
          <w:p w14:paraId="4BE065CA" w14:textId="77777777" w:rsidR="00241417" w:rsidRPr="00C25669" w:rsidRDefault="00241417" w:rsidP="003A71DE">
            <w:pPr>
              <w:pStyle w:val="TAL"/>
              <w:rPr>
                <w:rFonts w:eastAsia="SimSun"/>
              </w:rPr>
            </w:pPr>
            <w:r w:rsidRPr="00C25669">
              <w:rPr>
                <w:rFonts w:eastAsia="SimSun"/>
                <w:lang w:val="en-US"/>
              </w:rPr>
              <w:t xml:space="preserve">Time density </w:t>
            </w:r>
            <w:r w:rsidRPr="00C25669">
              <w:rPr>
                <w:rFonts w:eastAsia="SimSun"/>
              </w:rPr>
              <w:t>(</w:t>
            </w:r>
            <w:r w:rsidRPr="00C25669">
              <w:rPr>
                <w:rFonts w:eastAsia="SimSun"/>
                <w:i/>
              </w:rPr>
              <w:t>L</w:t>
            </w:r>
            <w:r w:rsidRPr="00C25669">
              <w:rPr>
                <w:rFonts w:eastAsia="SimSun"/>
                <w:i/>
                <w:vertAlign w:val="subscript"/>
              </w:rPr>
              <w:t>PT-RS</w:t>
            </w:r>
            <w:r w:rsidRPr="00C25669">
              <w:rPr>
                <w:rFonts w:eastAsia="SimSun"/>
              </w:rPr>
              <w:t>)</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7AADD277" w14:textId="77777777" w:rsidR="00241417" w:rsidRPr="00C25669" w:rsidRDefault="00241417" w:rsidP="003A71DE">
            <w:pPr>
              <w:pStyle w:val="TAC"/>
              <w:rPr>
                <w:rFonts w:eastAsia="SimSun"/>
                <w:lang w:eastAsia="zh-C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7970287F" w14:textId="77777777" w:rsidR="00241417" w:rsidRPr="00C25669" w:rsidRDefault="00241417" w:rsidP="003A71DE">
            <w:pPr>
              <w:pStyle w:val="TAC"/>
              <w:rPr>
                <w:rFonts w:eastAsia="SimSun"/>
              </w:rPr>
            </w:pPr>
            <w:r w:rsidRPr="00C25669">
              <w:rPr>
                <w:rFonts w:eastAsia="SimSun" w:hint="eastAsia"/>
                <w:lang w:eastAsia="zh-CN"/>
              </w:rPr>
              <w:t>N/A</w:t>
            </w:r>
          </w:p>
        </w:tc>
      </w:tr>
      <w:tr w:rsidR="00241417" w:rsidRPr="00C25669" w14:paraId="196E4AE1" w14:textId="77777777" w:rsidTr="003A71DE">
        <w:trPr>
          <w:trHeight w:val="145"/>
          <w:jc w:val="center"/>
        </w:trPr>
        <w:tc>
          <w:tcPr>
            <w:tcW w:w="1020" w:type="pct"/>
            <w:gridSpan w:val="3"/>
            <w:vMerge w:val="restart"/>
            <w:shd w:val="clear" w:color="auto" w:fill="auto"/>
            <w:vAlign w:val="center"/>
          </w:tcPr>
          <w:p w14:paraId="342B3ADF" w14:textId="77777777" w:rsidR="00241417" w:rsidRPr="00C25669" w:rsidRDefault="00241417" w:rsidP="003A71DE">
            <w:pPr>
              <w:pStyle w:val="TAL"/>
              <w:rPr>
                <w:rFonts w:eastAsia="SimSun"/>
              </w:rPr>
            </w:pPr>
            <w:r w:rsidRPr="00C25669">
              <w:rPr>
                <w:rFonts w:eastAsia="SimSun"/>
              </w:rPr>
              <w:t>NZP CSI-RS for CSI acquisition</w:t>
            </w:r>
          </w:p>
        </w:tc>
        <w:tc>
          <w:tcPr>
            <w:tcW w:w="1991" w:type="pct"/>
            <w:tcBorders>
              <w:top w:val="single" w:sz="4" w:space="0" w:color="auto"/>
              <w:left w:val="single" w:sz="4" w:space="0" w:color="auto"/>
              <w:bottom w:val="single" w:sz="4" w:space="0" w:color="auto"/>
              <w:right w:val="single" w:sz="4" w:space="0" w:color="auto"/>
            </w:tcBorders>
            <w:shd w:val="clear" w:color="auto" w:fill="auto"/>
            <w:vAlign w:val="center"/>
          </w:tcPr>
          <w:p w14:paraId="797E592C" w14:textId="77777777" w:rsidR="00241417" w:rsidRPr="00C25669" w:rsidRDefault="00241417" w:rsidP="003A71DE">
            <w:pPr>
              <w:pStyle w:val="TAL"/>
              <w:rPr>
                <w:rFonts w:eastAsia="SimSun"/>
              </w:rPr>
            </w:pPr>
            <w:r w:rsidRPr="00C25669">
              <w:rPr>
                <w:rFonts w:eastAsia="SimSun"/>
              </w:rPr>
              <w:t>Frequency Occupation</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7F2FD6DB" w14:textId="77777777" w:rsidR="00241417" w:rsidRPr="00C25669" w:rsidRDefault="00241417" w:rsidP="003A71DE">
            <w:pPr>
              <w:pStyle w:val="TAC"/>
              <w:rPr>
                <w:rFonts w:eastAsia="SimSun"/>
                <w:lang w:eastAsia="zh-C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695282B9" w14:textId="77777777" w:rsidR="00241417" w:rsidRPr="00C25669" w:rsidRDefault="00241417" w:rsidP="003A71DE">
            <w:pPr>
              <w:pStyle w:val="TAC"/>
              <w:rPr>
                <w:rFonts w:eastAsia="SimSun"/>
              </w:rPr>
            </w:pPr>
            <w:r w:rsidRPr="00C25669">
              <w:rPr>
                <w:rFonts w:eastAsia="SimSun"/>
              </w:rPr>
              <w:t>Start PRB 0</w:t>
            </w:r>
          </w:p>
          <w:p w14:paraId="1D6DD417" w14:textId="77777777" w:rsidR="00241417" w:rsidRPr="00C25669" w:rsidRDefault="00241417" w:rsidP="003A71DE">
            <w:pPr>
              <w:pStyle w:val="TAC"/>
              <w:rPr>
                <w:rFonts w:eastAsia="SimSun"/>
              </w:rPr>
            </w:pPr>
            <w:r w:rsidRPr="00C25669">
              <w:rPr>
                <w:rFonts w:eastAsia="SimSun"/>
              </w:rPr>
              <w:t>Number of PRB = BWP size</w:t>
            </w:r>
          </w:p>
        </w:tc>
      </w:tr>
      <w:tr w:rsidR="00241417" w:rsidRPr="00C25669" w14:paraId="0B033CD0" w14:textId="77777777" w:rsidTr="003A71DE">
        <w:trPr>
          <w:trHeight w:val="145"/>
          <w:jc w:val="center"/>
        </w:trPr>
        <w:tc>
          <w:tcPr>
            <w:tcW w:w="1020" w:type="pct"/>
            <w:gridSpan w:val="3"/>
            <w:vMerge/>
            <w:shd w:val="clear" w:color="auto" w:fill="auto"/>
            <w:vAlign w:val="center"/>
          </w:tcPr>
          <w:p w14:paraId="373B4905" w14:textId="77777777" w:rsidR="00241417" w:rsidRPr="00C25669" w:rsidRDefault="00241417" w:rsidP="003A71DE">
            <w:pPr>
              <w:pStyle w:val="TAL"/>
              <w:rPr>
                <w:rFonts w:eastAsia="SimSun"/>
              </w:rPr>
            </w:pPr>
          </w:p>
        </w:tc>
        <w:tc>
          <w:tcPr>
            <w:tcW w:w="1991" w:type="pct"/>
            <w:tcBorders>
              <w:top w:val="single" w:sz="4" w:space="0" w:color="auto"/>
              <w:left w:val="single" w:sz="4" w:space="0" w:color="auto"/>
              <w:bottom w:val="single" w:sz="4" w:space="0" w:color="auto"/>
              <w:right w:val="single" w:sz="4" w:space="0" w:color="auto"/>
            </w:tcBorders>
            <w:shd w:val="clear" w:color="auto" w:fill="auto"/>
            <w:vAlign w:val="center"/>
          </w:tcPr>
          <w:p w14:paraId="786D0FE4" w14:textId="77777777" w:rsidR="00241417" w:rsidRPr="00C25669" w:rsidRDefault="00241417" w:rsidP="003A71DE">
            <w:pPr>
              <w:pStyle w:val="TAL"/>
              <w:rPr>
                <w:rFonts w:eastAsia="SimSun"/>
              </w:rPr>
            </w:pPr>
            <w:r w:rsidRPr="00C25669">
              <w:rPr>
                <w:rFonts w:eastAsia="SimSun"/>
              </w:rPr>
              <w:t>QCL info</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0B079E2F" w14:textId="77777777" w:rsidR="00241417" w:rsidRPr="00C25669" w:rsidRDefault="00241417" w:rsidP="003A71DE">
            <w:pPr>
              <w:pStyle w:val="TAC"/>
              <w:rPr>
                <w:rFonts w:eastAsia="SimSun"/>
                <w:lang w:eastAsia="zh-C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3E4C2A65" w14:textId="77777777" w:rsidR="00241417" w:rsidRPr="00C25669" w:rsidRDefault="00241417" w:rsidP="003A71DE">
            <w:pPr>
              <w:pStyle w:val="TAC"/>
              <w:rPr>
                <w:rFonts w:eastAsia="SimSun"/>
              </w:rPr>
            </w:pPr>
            <w:r w:rsidRPr="00C25669">
              <w:rPr>
                <w:rFonts w:eastAsia="SimSun"/>
              </w:rPr>
              <w:t>TCI state #1</w:t>
            </w:r>
          </w:p>
        </w:tc>
      </w:tr>
      <w:tr w:rsidR="00241417" w:rsidRPr="00C25669" w14:paraId="28AFBA3E" w14:textId="77777777" w:rsidTr="003A71DE">
        <w:trPr>
          <w:trHeight w:val="405"/>
          <w:jc w:val="center"/>
        </w:trPr>
        <w:tc>
          <w:tcPr>
            <w:tcW w:w="301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16409C0E" w14:textId="77777777" w:rsidR="00241417" w:rsidRPr="00C25669" w:rsidRDefault="00241417" w:rsidP="003A71DE">
            <w:pPr>
              <w:pStyle w:val="TAL"/>
              <w:rPr>
                <w:rFonts w:eastAsia="SimSun"/>
                <w:lang w:val="en-US"/>
              </w:rPr>
            </w:pPr>
            <w:r w:rsidRPr="00C25669">
              <w:rPr>
                <w:rFonts w:eastAsia="SimSun"/>
                <w:lang w:val="en-US"/>
              </w:rPr>
              <w:t>Number of HARQ Processes</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47AF8A2B"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tcPr>
          <w:p w14:paraId="34547F98" w14:textId="77777777" w:rsidR="00241417" w:rsidRPr="00C25669" w:rsidRDefault="00241417" w:rsidP="003A71DE">
            <w:pPr>
              <w:pStyle w:val="TAC"/>
              <w:rPr>
                <w:rFonts w:eastAsia="SimSun"/>
              </w:rPr>
            </w:pPr>
            <w:r w:rsidRPr="00C25669">
              <w:rPr>
                <w:rFonts w:eastAsia="SimSun"/>
                <w:lang w:eastAsia="zh-CN"/>
              </w:rPr>
              <w:t>8</w:t>
            </w:r>
          </w:p>
        </w:tc>
      </w:tr>
      <w:tr w:rsidR="00241417" w:rsidRPr="00C25669" w14:paraId="1CCCF259" w14:textId="77777777" w:rsidTr="003A71DE">
        <w:trPr>
          <w:trHeight w:val="208"/>
          <w:jc w:val="center"/>
        </w:trPr>
        <w:tc>
          <w:tcPr>
            <w:tcW w:w="301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7888B60F" w14:textId="77777777" w:rsidR="00241417" w:rsidRPr="00C25669" w:rsidRDefault="00241417" w:rsidP="003A71DE">
            <w:pPr>
              <w:pStyle w:val="TAL"/>
              <w:rPr>
                <w:rFonts w:eastAsia="SimSun"/>
                <w:lang w:val="en-US"/>
              </w:rPr>
            </w:pPr>
            <w:r w:rsidRPr="00C25669">
              <w:rPr>
                <w:rFonts w:eastAsia="SimSun"/>
              </w:rPr>
              <w:t>HARQ ACK/NACK bundling</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2FBD5FFA"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tcPr>
          <w:p w14:paraId="0F17BD7C" w14:textId="77777777" w:rsidR="00241417" w:rsidRPr="00C25669" w:rsidRDefault="00241417" w:rsidP="003A71DE">
            <w:pPr>
              <w:pStyle w:val="TAC"/>
              <w:rPr>
                <w:rFonts w:eastAsia="SimSun"/>
                <w:lang w:eastAsia="zh-CN"/>
              </w:rPr>
            </w:pPr>
            <w:r w:rsidRPr="00C25669">
              <w:rPr>
                <w:rFonts w:eastAsia="SimSun"/>
                <w:lang w:eastAsia="zh-CN"/>
              </w:rPr>
              <w:t>Multiplexed</w:t>
            </w:r>
          </w:p>
        </w:tc>
      </w:tr>
      <w:tr w:rsidR="00241417" w:rsidRPr="00C25669" w14:paraId="657BA827" w14:textId="77777777" w:rsidTr="003A71DE">
        <w:trPr>
          <w:trHeight w:val="220"/>
          <w:jc w:val="center"/>
        </w:trPr>
        <w:tc>
          <w:tcPr>
            <w:tcW w:w="301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7D7A11ED" w14:textId="77777777" w:rsidR="00241417" w:rsidRPr="00C25669" w:rsidRDefault="00241417" w:rsidP="003A71DE">
            <w:pPr>
              <w:pStyle w:val="TAL"/>
              <w:rPr>
                <w:rFonts w:eastAsia="SimSun"/>
              </w:rPr>
            </w:pPr>
            <w:r w:rsidRPr="00C25669">
              <w:rPr>
                <w:rFonts w:eastAsia="SimSun"/>
              </w:rPr>
              <w:t>Redundancy version coding sequence</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4F0EA9E2"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tcPr>
          <w:p w14:paraId="00981574" w14:textId="77777777" w:rsidR="00241417" w:rsidRPr="00C25669" w:rsidRDefault="00241417" w:rsidP="003A71DE">
            <w:pPr>
              <w:pStyle w:val="TAC"/>
              <w:rPr>
                <w:rFonts w:eastAsia="SimSun"/>
              </w:rPr>
            </w:pPr>
            <w:r w:rsidRPr="00C25669">
              <w:rPr>
                <w:rFonts w:eastAsia="SimSun"/>
                <w:lang w:eastAsia="zh-CN"/>
              </w:rPr>
              <w:t>{0,2,3,1}</w:t>
            </w:r>
          </w:p>
        </w:tc>
      </w:tr>
      <w:tr w:rsidR="00241417" w:rsidRPr="00C25669" w14:paraId="0CDA1753" w14:textId="77777777" w:rsidTr="003A71DE">
        <w:trPr>
          <w:trHeight w:val="417"/>
          <w:jc w:val="center"/>
        </w:trPr>
        <w:tc>
          <w:tcPr>
            <w:tcW w:w="301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53EED608" w14:textId="77777777" w:rsidR="00241417" w:rsidRPr="00C25669" w:rsidRDefault="00241417" w:rsidP="003A71DE">
            <w:pPr>
              <w:pStyle w:val="TAL"/>
              <w:rPr>
                <w:rFonts w:eastAsia="SimSun"/>
                <w:lang w:val="en-US"/>
              </w:rPr>
            </w:pPr>
            <w:r w:rsidRPr="00C25669">
              <w:rPr>
                <w:rFonts w:eastAsia="SimSun"/>
                <w:lang w:val="en-US"/>
              </w:rPr>
              <w:t>K1 value</w:t>
            </w:r>
            <w:r w:rsidRPr="00C25669">
              <w:rPr>
                <w:rFonts w:eastAsia="SimSun"/>
                <w:lang w:val="en-US"/>
              </w:rPr>
              <w:br/>
              <w:t>(</w:t>
            </w:r>
            <w:r w:rsidRPr="00C25669">
              <w:rPr>
                <w:rFonts w:eastAsia="SimSun"/>
              </w:rPr>
              <w:t>PDSCH-to-HARQ-timing-indicator</w:t>
            </w:r>
            <w:r w:rsidRPr="00C25669">
              <w:rPr>
                <w:rFonts w:eastAsia="SimSun"/>
                <w:lang w:val="en-US"/>
              </w:rPr>
              <w:t>)</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0C95CB7F"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69AC91C3" w14:textId="77777777" w:rsidR="00241417" w:rsidRPr="00C25669" w:rsidRDefault="00241417" w:rsidP="003A71DE">
            <w:pPr>
              <w:pStyle w:val="TAC"/>
              <w:rPr>
                <w:rFonts w:eastAsia="SimSun"/>
              </w:rPr>
            </w:pPr>
            <w:r w:rsidRPr="00C25669">
              <w:rPr>
                <w:rFonts w:eastAsia="SimSun"/>
              </w:rPr>
              <w:t>For FR1.30-1:</w:t>
            </w:r>
          </w:p>
          <w:p w14:paraId="1C60E2BF" w14:textId="77777777" w:rsidR="00241417" w:rsidRPr="00C25669" w:rsidRDefault="00241417" w:rsidP="003A71DE">
            <w:pPr>
              <w:pStyle w:val="TAC"/>
              <w:rPr>
                <w:rFonts w:eastAsia="SimSun"/>
                <w:lang w:val="en-US" w:eastAsia="zh-CN"/>
              </w:rPr>
            </w:pPr>
            <w:r w:rsidRPr="00C25669">
              <w:rPr>
                <w:rFonts w:eastAsia="SimSun"/>
                <w:lang w:val="en-US" w:eastAsia="zh-CN"/>
              </w:rPr>
              <w:t>8</w:t>
            </w:r>
            <w:r w:rsidRPr="00C25669">
              <w:rPr>
                <w:rFonts w:eastAsia="SimSun"/>
                <w:lang w:eastAsia="zh-CN"/>
              </w:rPr>
              <w:t xml:space="preserve"> if mod(i,10) = 0</w:t>
            </w:r>
            <w:r w:rsidRPr="00C25669">
              <w:rPr>
                <w:rFonts w:eastAsia="SimSun"/>
                <w:lang w:eastAsia="zh-CN"/>
              </w:rPr>
              <w:br/>
            </w:r>
            <w:r w:rsidRPr="00C25669">
              <w:rPr>
                <w:rFonts w:eastAsia="SimSun"/>
                <w:lang w:val="en-US" w:eastAsia="zh-CN"/>
              </w:rPr>
              <w:t>6</w:t>
            </w:r>
            <w:r w:rsidRPr="00C25669">
              <w:rPr>
                <w:rFonts w:eastAsia="SimSun"/>
                <w:lang w:eastAsia="zh-CN"/>
              </w:rPr>
              <w:t xml:space="preserve"> if mod(i,10) = </w:t>
            </w:r>
            <w:r w:rsidRPr="00C25669">
              <w:rPr>
                <w:rFonts w:eastAsia="SimSun"/>
                <w:lang w:val="en-US" w:eastAsia="zh-CN"/>
              </w:rPr>
              <w:t>2</w:t>
            </w:r>
            <w:r w:rsidRPr="00C25669">
              <w:rPr>
                <w:rFonts w:eastAsia="SimSun"/>
                <w:lang w:eastAsia="zh-CN"/>
              </w:rPr>
              <w:br/>
            </w:r>
            <w:r w:rsidRPr="00C25669">
              <w:rPr>
                <w:rFonts w:eastAsia="SimSun"/>
                <w:lang w:val="en-US" w:eastAsia="zh-CN"/>
              </w:rPr>
              <w:t>5</w:t>
            </w:r>
            <w:r w:rsidRPr="00C25669">
              <w:rPr>
                <w:rFonts w:eastAsia="SimSun"/>
                <w:lang w:eastAsia="zh-CN"/>
              </w:rPr>
              <w:t xml:space="preserve"> if mod(i,10) = 3</w:t>
            </w:r>
            <w:r w:rsidRPr="00C25669">
              <w:rPr>
                <w:rFonts w:eastAsia="SimSun"/>
                <w:lang w:eastAsia="zh-CN"/>
              </w:rPr>
              <w:br/>
            </w:r>
            <w:r w:rsidRPr="00C25669">
              <w:rPr>
                <w:rFonts w:eastAsia="SimSun"/>
                <w:lang w:val="en-US" w:eastAsia="zh-CN"/>
              </w:rPr>
              <w:t>5</w:t>
            </w:r>
            <w:r w:rsidRPr="00C25669">
              <w:rPr>
                <w:rFonts w:eastAsia="SimSun"/>
                <w:lang w:eastAsia="zh-CN"/>
              </w:rPr>
              <w:t xml:space="preserve"> if mod(i,10) = </w:t>
            </w:r>
            <w:r w:rsidRPr="00C25669">
              <w:rPr>
                <w:rFonts w:eastAsia="SimSun"/>
                <w:lang w:val="en-US" w:eastAsia="zh-CN"/>
              </w:rPr>
              <w:t>4</w:t>
            </w:r>
            <w:r w:rsidRPr="00C25669">
              <w:rPr>
                <w:rFonts w:eastAsia="SimSun"/>
                <w:lang w:val="en-US" w:eastAsia="zh-CN"/>
              </w:rPr>
              <w:br/>
              <w:t>4</w:t>
            </w:r>
            <w:r w:rsidRPr="00C25669">
              <w:rPr>
                <w:rFonts w:eastAsia="SimSun"/>
                <w:lang w:eastAsia="zh-CN"/>
              </w:rPr>
              <w:t xml:space="preserve"> if mod(i,10) = </w:t>
            </w:r>
            <w:r w:rsidRPr="00C25669">
              <w:rPr>
                <w:rFonts w:eastAsia="SimSun"/>
                <w:lang w:val="en-US" w:eastAsia="zh-CN"/>
              </w:rPr>
              <w:t>5</w:t>
            </w:r>
            <w:r w:rsidRPr="00C25669">
              <w:rPr>
                <w:rFonts w:eastAsia="SimSun"/>
                <w:lang w:val="en-US" w:eastAsia="zh-CN"/>
              </w:rPr>
              <w:br/>
              <w:t>3</w:t>
            </w:r>
            <w:r w:rsidRPr="00C25669">
              <w:rPr>
                <w:rFonts w:eastAsia="SimSun"/>
                <w:lang w:eastAsia="zh-CN"/>
              </w:rPr>
              <w:t xml:space="preserve"> if mod(i,10) = </w:t>
            </w:r>
            <w:r w:rsidRPr="00C25669">
              <w:rPr>
                <w:rFonts w:eastAsia="SimSun"/>
                <w:lang w:val="en-US" w:eastAsia="zh-CN"/>
              </w:rPr>
              <w:t>6</w:t>
            </w:r>
          </w:p>
          <w:p w14:paraId="4BE78B5C" w14:textId="77777777" w:rsidR="00241417" w:rsidRPr="00C25669" w:rsidRDefault="00241417" w:rsidP="003A71DE">
            <w:pPr>
              <w:pStyle w:val="TAC"/>
              <w:rPr>
                <w:rFonts w:eastAsia="SimSun"/>
                <w:lang w:eastAsia="zh-CN"/>
              </w:rPr>
            </w:pPr>
            <w:r w:rsidRPr="00C25669">
              <w:rPr>
                <w:rFonts w:eastAsia="SimSun"/>
                <w:lang w:val="en-US" w:eastAsia="zh-CN"/>
              </w:rPr>
              <w:t>W</w:t>
            </w:r>
            <w:r w:rsidRPr="00C25669">
              <w:rPr>
                <w:rFonts w:eastAsia="SimSun" w:hint="eastAsia"/>
                <w:lang w:val="en-US" w:eastAsia="zh-CN"/>
              </w:rPr>
              <w:t xml:space="preserve">here </w:t>
            </w:r>
            <w:r w:rsidRPr="00C25669">
              <w:rPr>
                <w:rFonts w:eastAsia="SimSun"/>
                <w:lang w:val="en-US" w:eastAsia="zh-CN"/>
              </w:rPr>
              <w:t>i is slot index per radio frame with 0~19</w:t>
            </w:r>
          </w:p>
        </w:tc>
      </w:tr>
      <w:tr w:rsidR="00241417" w:rsidRPr="00C25669" w14:paraId="4C5868AC" w14:textId="77777777" w:rsidTr="003A71DE">
        <w:trPr>
          <w:trHeight w:val="417"/>
          <w:jc w:val="center"/>
        </w:trPr>
        <w:tc>
          <w:tcPr>
            <w:tcW w:w="301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25BD88E5" w14:textId="77777777" w:rsidR="00241417" w:rsidRPr="00C25669" w:rsidRDefault="00241417" w:rsidP="003A71DE">
            <w:pPr>
              <w:pStyle w:val="TAL"/>
              <w:rPr>
                <w:rFonts w:eastAsia="SimSun"/>
                <w:lang w:val="en-US" w:eastAsia="zh-CN"/>
              </w:rPr>
            </w:pPr>
            <w:r w:rsidRPr="00C25669">
              <w:rPr>
                <w:rFonts w:eastAsia="SimSun" w:hint="eastAsia"/>
                <w:lang w:val="en-US" w:eastAsia="zh-CN"/>
              </w:rPr>
              <w:lastRenderedPageBreak/>
              <w:t xml:space="preserve">Symbols for </w:t>
            </w:r>
            <w:r w:rsidRPr="00C25669">
              <w:rPr>
                <w:rFonts w:eastAsia="SimSun"/>
                <w:lang w:val="en-US" w:eastAsia="zh-CN"/>
              </w:rPr>
              <w:t>unused</w:t>
            </w:r>
            <w:r w:rsidRPr="00C25669">
              <w:rPr>
                <w:rFonts w:eastAsia="SimSun" w:hint="eastAsia"/>
                <w:lang w:val="en-US" w:eastAsia="zh-CN"/>
              </w:rPr>
              <w:t xml:space="preserve"> R</w:t>
            </w:r>
            <w:r w:rsidRPr="00C25669">
              <w:rPr>
                <w:rFonts w:eastAsia="SimSun"/>
                <w:lang w:val="en-US" w:eastAsia="zh-CN"/>
              </w:rPr>
              <w:t>Es</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73398671"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00E7814F" w14:textId="77777777" w:rsidR="00241417" w:rsidRPr="00C25669" w:rsidRDefault="00241417" w:rsidP="003A71DE">
            <w:pPr>
              <w:pStyle w:val="TAC"/>
              <w:rPr>
                <w:rFonts w:eastAsia="SimSun"/>
                <w:lang w:eastAsia="zh-CN"/>
              </w:rPr>
            </w:pPr>
            <w:r>
              <w:rPr>
                <w:rFonts w:eastAsia="SimSun"/>
              </w:rPr>
              <w:t>OP.1 TDD as defined in Annex TBA</w:t>
            </w:r>
          </w:p>
        </w:tc>
      </w:tr>
      <w:tr w:rsidR="00241417" w:rsidRPr="00C25669" w14:paraId="26CF81D5" w14:textId="77777777" w:rsidTr="003A71DE">
        <w:trPr>
          <w:trHeight w:val="417"/>
          <w:jc w:val="center"/>
        </w:trPr>
        <w:tc>
          <w:tcPr>
            <w:tcW w:w="3011"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76B4786E" w14:textId="77777777" w:rsidR="00241417" w:rsidRPr="00C25669" w:rsidRDefault="00241417" w:rsidP="003A71DE">
            <w:pPr>
              <w:pStyle w:val="TAL"/>
              <w:rPr>
                <w:rFonts w:eastAsia="SimSun"/>
                <w:lang w:val="en-US" w:eastAsia="zh-CN"/>
              </w:rPr>
            </w:pPr>
            <w:r w:rsidRPr="00282513">
              <w:rPr>
                <w:rFonts w:eastAsia="SimSun"/>
              </w:rPr>
              <w:t>Physical signals, channels mapping and precoding</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047D197D" w14:textId="77777777" w:rsidR="00241417" w:rsidRPr="00C25669" w:rsidRDefault="00241417" w:rsidP="003A71DE">
            <w:pPr>
              <w:pStyle w:val="TAC"/>
              <w:rPr>
                <w:rFonts w:eastAsia="SimSun"/>
              </w:rPr>
            </w:pPr>
          </w:p>
        </w:tc>
        <w:tc>
          <w:tcPr>
            <w:tcW w:w="1325" w:type="pct"/>
            <w:tcBorders>
              <w:top w:val="single" w:sz="4" w:space="0" w:color="auto"/>
              <w:left w:val="single" w:sz="4" w:space="0" w:color="auto"/>
              <w:bottom w:val="single" w:sz="4" w:space="0" w:color="auto"/>
              <w:right w:val="single" w:sz="4" w:space="0" w:color="auto"/>
            </w:tcBorders>
            <w:shd w:val="clear" w:color="auto" w:fill="auto"/>
            <w:vAlign w:val="center"/>
          </w:tcPr>
          <w:p w14:paraId="4E4777E6" w14:textId="77777777" w:rsidR="00241417" w:rsidRPr="00C25669" w:rsidRDefault="00241417" w:rsidP="003A71DE">
            <w:pPr>
              <w:pStyle w:val="TAC"/>
              <w:rPr>
                <w:rFonts w:eastAsia="SimSun"/>
                <w:lang w:eastAsia="zh-CN"/>
              </w:rPr>
            </w:pPr>
            <w:r w:rsidRPr="00661924">
              <w:rPr>
                <w:rFonts w:eastAsia="SimSun" w:hint="eastAsia"/>
              </w:rPr>
              <w:t xml:space="preserve">As specified in </w:t>
            </w:r>
            <w:r w:rsidRPr="00661924">
              <w:rPr>
                <w:rFonts w:eastAsia="SimSun" w:hint="eastAsia"/>
                <w:lang w:eastAsia="zh-CN"/>
              </w:rPr>
              <w:t xml:space="preserve">Annex </w:t>
            </w:r>
            <w:r>
              <w:rPr>
                <w:rFonts w:eastAsia="SimSun"/>
                <w:lang w:eastAsia="zh-CN"/>
              </w:rPr>
              <w:t>TBA</w:t>
            </w:r>
          </w:p>
        </w:tc>
      </w:tr>
      <w:tr w:rsidR="00241417" w:rsidRPr="00C25669" w14:paraId="6020B4FC" w14:textId="77777777" w:rsidTr="003A71DE">
        <w:trPr>
          <w:trHeight w:val="417"/>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tcPr>
          <w:p w14:paraId="01B4829A" w14:textId="77777777" w:rsidR="00241417" w:rsidRPr="00C25669" w:rsidRDefault="00241417" w:rsidP="003A71DE">
            <w:pPr>
              <w:pStyle w:val="TAN"/>
              <w:rPr>
                <w:lang w:val="en-US" w:eastAsia="zh-CN"/>
              </w:rPr>
            </w:pPr>
            <w:r w:rsidRPr="00C25669">
              <w:rPr>
                <w:lang w:val="en-US" w:eastAsia="zh-CN"/>
              </w:rPr>
              <w:t>Note 1:</w:t>
            </w:r>
            <w:r>
              <w:t xml:space="preserve"> </w:t>
            </w:r>
            <w:r w:rsidRPr="00C25669">
              <w:tab/>
            </w:r>
            <w:r w:rsidRPr="00C25669">
              <w:rPr>
                <w:lang w:val="en-US" w:eastAsia="zh-CN"/>
              </w:rPr>
              <w:t>PDSCH is not scheduled on slots containing CSI-RS or slots which are not full DL.</w:t>
            </w:r>
          </w:p>
          <w:p w14:paraId="05030698" w14:textId="29515A2F" w:rsidR="00241417" w:rsidRPr="00C25669" w:rsidRDefault="00241417" w:rsidP="003A71DE">
            <w:pPr>
              <w:pStyle w:val="TAN"/>
            </w:pPr>
            <w:r w:rsidRPr="00C25669">
              <w:t xml:space="preserve">Note </w:t>
            </w:r>
            <w:r>
              <w:t>2</w:t>
            </w:r>
            <w:r w:rsidRPr="00C25669">
              <w:t>:</w:t>
            </w:r>
            <w:r w:rsidRPr="00C25669">
              <w:tab/>
              <w:t xml:space="preserve">Point A coincides with minimum guard band as specified in Table 5.3.3-1 from TS 38.101-1 </w:t>
            </w:r>
            <w:r w:rsidR="00ED70DB">
              <w:t>[3]</w:t>
            </w:r>
            <w:r w:rsidRPr="00C25669">
              <w:t xml:space="preserve"> for tested channel bandwidth and subcarrier spacing.</w:t>
            </w:r>
          </w:p>
        </w:tc>
      </w:tr>
    </w:tbl>
    <w:p w14:paraId="61CC081E" w14:textId="77777777" w:rsidR="00241417" w:rsidRPr="00BD4B0B" w:rsidRDefault="00241417" w:rsidP="00241417"/>
    <w:p w14:paraId="6B605CFC" w14:textId="77777777" w:rsidR="00241417" w:rsidRDefault="00241417" w:rsidP="00241417">
      <w:pPr>
        <w:pStyle w:val="Heading4"/>
      </w:pPr>
      <w:bookmarkStart w:id="3853" w:name="_Toc74583292"/>
      <w:bookmarkStart w:id="3854" w:name="_Toc76542105"/>
      <w:bookmarkStart w:id="3855" w:name="_Toc82450087"/>
      <w:bookmarkStart w:id="3856" w:name="_Toc82450735"/>
      <w:bookmarkStart w:id="3857" w:name="_Toc89949124"/>
      <w:bookmarkStart w:id="3858" w:name="_Toc98755513"/>
      <w:bookmarkStart w:id="3859" w:name="_Toc98763104"/>
      <w:bookmarkStart w:id="3860" w:name="_Toc106184033"/>
      <w:r>
        <w:t>8.2.3.2</w:t>
      </w:r>
      <w:r>
        <w:tab/>
        <w:t>R</w:t>
      </w:r>
      <w:r w:rsidRPr="004D33FB">
        <w:t>eporting</w:t>
      </w:r>
      <w:r w:rsidRPr="00E24654">
        <w:t xml:space="preserve"> </w:t>
      </w:r>
      <w:r>
        <w:t>of Channel Quality Indicator (CQI)</w:t>
      </w:r>
      <w:bookmarkEnd w:id="3853"/>
      <w:bookmarkEnd w:id="3854"/>
      <w:bookmarkEnd w:id="3855"/>
      <w:bookmarkEnd w:id="3856"/>
      <w:bookmarkEnd w:id="3857"/>
      <w:bookmarkEnd w:id="3858"/>
      <w:bookmarkEnd w:id="3859"/>
      <w:bookmarkEnd w:id="3860"/>
    </w:p>
    <w:p w14:paraId="6ADC1393" w14:textId="77777777" w:rsidR="00241417" w:rsidRDefault="00241417" w:rsidP="00241417">
      <w:pPr>
        <w:pStyle w:val="Heading5"/>
        <w:rPr>
          <w:rFonts w:eastAsia="SimSun"/>
        </w:rPr>
      </w:pPr>
      <w:bookmarkStart w:id="3861" w:name="_Toc74583293"/>
      <w:bookmarkStart w:id="3862" w:name="_Toc76542106"/>
      <w:bookmarkStart w:id="3863" w:name="_Toc82450088"/>
      <w:bookmarkStart w:id="3864" w:name="_Toc82450736"/>
      <w:bookmarkStart w:id="3865" w:name="_Toc89949125"/>
      <w:bookmarkStart w:id="3866" w:name="_Toc98755514"/>
      <w:bookmarkStart w:id="3867" w:name="_Toc98763105"/>
      <w:bookmarkStart w:id="3868" w:name="_Toc106184034"/>
      <w:r>
        <w:t>8.2.3.2.1</w:t>
      </w:r>
      <w:r>
        <w:tab/>
        <w:t>General</w:t>
      </w:r>
      <w:bookmarkEnd w:id="3861"/>
      <w:bookmarkEnd w:id="3862"/>
      <w:bookmarkEnd w:id="3863"/>
      <w:bookmarkEnd w:id="3864"/>
      <w:bookmarkEnd w:id="3865"/>
      <w:bookmarkEnd w:id="3866"/>
      <w:bookmarkEnd w:id="3867"/>
      <w:bookmarkEnd w:id="3868"/>
    </w:p>
    <w:p w14:paraId="17E7DB20" w14:textId="77777777" w:rsidR="00241417" w:rsidRDefault="00241417" w:rsidP="00241417">
      <w:pPr>
        <w:rPr>
          <w:rFonts w:eastAsia="SimSun"/>
        </w:rPr>
      </w:pPr>
      <w:r>
        <w:rPr>
          <w:rFonts w:eastAsia="SimSun"/>
        </w:rPr>
        <w:t xml:space="preserve">The reporting accuracy of the channel quality indicator (CQI) under frequency non-selective conditions is determined by the reporting variance and the BLER performance using the transport format indicated by the reported CQI median. The purpose is to verify that the reported CQI values are in accordance with the CQI definition given in TS 38.214 [11]. To account </w:t>
      </w:r>
      <w:r w:rsidRPr="00DD5299">
        <w:rPr>
          <w:rFonts w:eastAsia="SimSun"/>
        </w:rPr>
        <w:t>for</w:t>
      </w:r>
      <w:r>
        <w:rPr>
          <w:rFonts w:eastAsia="SimSun"/>
        </w:rPr>
        <w:t xml:space="preserve"> sensitivity of the input SNR the reporting definition is considered to be verified if the reporting accuracy is met for at least one of two SNR levels separated by an offset of 1 dB.</w:t>
      </w:r>
    </w:p>
    <w:p w14:paraId="34CE23AE" w14:textId="77777777" w:rsidR="00241417" w:rsidRDefault="00241417" w:rsidP="00241417">
      <w:pPr>
        <w:pStyle w:val="TH"/>
        <w:rPr>
          <w:rFonts w:eastAsia="SimSun"/>
          <w:lang w:eastAsia="zh-CN"/>
        </w:rPr>
      </w:pPr>
      <w:r>
        <w:t>Table 8.2.3.2.</w:t>
      </w:r>
      <w:r>
        <w:rPr>
          <w:rFonts w:eastAsia="SimSun"/>
          <w:lang w:eastAsia="zh-CN"/>
        </w:rPr>
        <w:t>1</w:t>
      </w:r>
      <w:r>
        <w:t>-1: Test parameters for testing CQI reporting</w:t>
      </w:r>
    </w:p>
    <w:tbl>
      <w:tblPr>
        <w:tblW w:w="0" w:type="auto"/>
        <w:tblInd w:w="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0"/>
        <w:gridCol w:w="4083"/>
        <w:gridCol w:w="656"/>
        <w:gridCol w:w="490"/>
        <w:gridCol w:w="490"/>
        <w:gridCol w:w="585"/>
        <w:gridCol w:w="585"/>
      </w:tblGrid>
      <w:tr w:rsidR="00241417" w14:paraId="35317722"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33BA7DF" w14:textId="77777777" w:rsidR="00241417" w:rsidRDefault="00241417" w:rsidP="003A71DE">
            <w:pPr>
              <w:pStyle w:val="TAH"/>
            </w:pPr>
            <w:r>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02A3F1CE" w14:textId="77777777" w:rsidR="00241417" w:rsidRDefault="00241417" w:rsidP="003A71DE">
            <w:pPr>
              <w:pStyle w:val="TAH"/>
            </w:pPr>
            <w:r>
              <w:t>Unit</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6800C81" w14:textId="77777777" w:rsidR="00241417" w:rsidRDefault="00241417" w:rsidP="003A71DE">
            <w:pPr>
              <w:pStyle w:val="TAH"/>
            </w:pPr>
            <w:r>
              <w:t>Test 1</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96C9232" w14:textId="77777777" w:rsidR="00241417" w:rsidRDefault="00241417" w:rsidP="003A71DE">
            <w:pPr>
              <w:pStyle w:val="TAH"/>
              <w:rPr>
                <w:lang w:eastAsia="zh-CN"/>
              </w:rPr>
            </w:pPr>
            <w:r>
              <w:rPr>
                <w:lang w:eastAsia="zh-CN"/>
              </w:rPr>
              <w:t>Test 2</w:t>
            </w:r>
          </w:p>
        </w:tc>
      </w:tr>
      <w:tr w:rsidR="00241417" w14:paraId="11E0F693"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tcPr>
          <w:p w14:paraId="45B42D91" w14:textId="77777777" w:rsidR="00241417" w:rsidRDefault="00241417" w:rsidP="003A71DE">
            <w:pPr>
              <w:pStyle w:val="TAL"/>
            </w:pPr>
            <w:r>
              <w:t>Bandwidth</w:t>
            </w:r>
          </w:p>
        </w:tc>
        <w:tc>
          <w:tcPr>
            <w:tcW w:w="0" w:type="auto"/>
            <w:tcBorders>
              <w:top w:val="single" w:sz="4" w:space="0" w:color="auto"/>
              <w:left w:val="single" w:sz="4" w:space="0" w:color="auto"/>
              <w:bottom w:val="single" w:sz="4" w:space="0" w:color="auto"/>
              <w:right w:val="single" w:sz="4" w:space="0" w:color="auto"/>
            </w:tcBorders>
            <w:vAlign w:val="center"/>
          </w:tcPr>
          <w:p w14:paraId="2C44E1D4" w14:textId="77777777" w:rsidR="00241417" w:rsidRDefault="00241417" w:rsidP="003A71DE">
            <w:pPr>
              <w:pStyle w:val="TAC"/>
            </w:pPr>
            <w:r>
              <w:t>MHz</w:t>
            </w:r>
          </w:p>
        </w:tc>
        <w:tc>
          <w:tcPr>
            <w:tcW w:w="0" w:type="auto"/>
            <w:gridSpan w:val="4"/>
            <w:tcBorders>
              <w:top w:val="single" w:sz="4" w:space="0" w:color="auto"/>
              <w:left w:val="single" w:sz="4" w:space="0" w:color="auto"/>
              <w:bottom w:val="single" w:sz="4" w:space="0" w:color="auto"/>
              <w:right w:val="single" w:sz="4" w:space="0" w:color="auto"/>
            </w:tcBorders>
            <w:vAlign w:val="center"/>
          </w:tcPr>
          <w:p w14:paraId="699846CC" w14:textId="77777777" w:rsidR="00241417" w:rsidRDefault="00241417" w:rsidP="003A71DE">
            <w:pPr>
              <w:pStyle w:val="TAC"/>
              <w:rPr>
                <w:lang w:eastAsia="zh-CN"/>
              </w:rPr>
            </w:pPr>
            <w:r>
              <w:rPr>
                <w:lang w:eastAsia="zh-CN"/>
              </w:rPr>
              <w:t>40</w:t>
            </w:r>
          </w:p>
        </w:tc>
      </w:tr>
      <w:tr w:rsidR="00241417" w14:paraId="147B41EA"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tcPr>
          <w:p w14:paraId="7E601F8B" w14:textId="77777777" w:rsidR="00241417" w:rsidRDefault="00241417" w:rsidP="003A71DE">
            <w:pPr>
              <w:pStyle w:val="TAL"/>
            </w:pPr>
            <w:r>
              <w:t>Subcarrier spacing</w:t>
            </w:r>
          </w:p>
        </w:tc>
        <w:tc>
          <w:tcPr>
            <w:tcW w:w="0" w:type="auto"/>
            <w:tcBorders>
              <w:top w:val="single" w:sz="4" w:space="0" w:color="auto"/>
              <w:left w:val="single" w:sz="4" w:space="0" w:color="auto"/>
              <w:bottom w:val="single" w:sz="4" w:space="0" w:color="auto"/>
              <w:right w:val="single" w:sz="4" w:space="0" w:color="auto"/>
            </w:tcBorders>
            <w:vAlign w:val="center"/>
          </w:tcPr>
          <w:p w14:paraId="48A715E6" w14:textId="77777777" w:rsidR="00241417" w:rsidRDefault="00241417" w:rsidP="003A71DE">
            <w:pPr>
              <w:pStyle w:val="TAC"/>
            </w:pPr>
            <w:r>
              <w:t>kHz</w:t>
            </w:r>
          </w:p>
        </w:tc>
        <w:tc>
          <w:tcPr>
            <w:tcW w:w="0" w:type="auto"/>
            <w:gridSpan w:val="4"/>
            <w:tcBorders>
              <w:top w:val="single" w:sz="4" w:space="0" w:color="auto"/>
              <w:left w:val="single" w:sz="4" w:space="0" w:color="auto"/>
              <w:bottom w:val="single" w:sz="4" w:space="0" w:color="auto"/>
              <w:right w:val="single" w:sz="4" w:space="0" w:color="auto"/>
            </w:tcBorders>
            <w:vAlign w:val="center"/>
          </w:tcPr>
          <w:p w14:paraId="4D0002E1" w14:textId="77777777" w:rsidR="00241417" w:rsidRDefault="00241417" w:rsidP="003A71DE">
            <w:pPr>
              <w:pStyle w:val="TAC"/>
              <w:rPr>
                <w:lang w:eastAsia="zh-CN"/>
              </w:rPr>
            </w:pPr>
            <w:r>
              <w:rPr>
                <w:lang w:eastAsia="zh-CN"/>
              </w:rPr>
              <w:t>30</w:t>
            </w:r>
          </w:p>
        </w:tc>
      </w:tr>
      <w:tr w:rsidR="00241417" w14:paraId="39D907ED"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79C6F1F" w14:textId="77777777" w:rsidR="00241417" w:rsidRDefault="00241417" w:rsidP="003A71DE">
            <w:pPr>
              <w:pStyle w:val="TAL"/>
            </w:pPr>
            <w:r>
              <w:t>Default TDD UL-DL pattern (Note 1)</w:t>
            </w:r>
          </w:p>
        </w:tc>
        <w:tc>
          <w:tcPr>
            <w:tcW w:w="0" w:type="auto"/>
            <w:tcBorders>
              <w:top w:val="single" w:sz="4" w:space="0" w:color="auto"/>
              <w:left w:val="single" w:sz="4" w:space="0" w:color="auto"/>
              <w:bottom w:val="single" w:sz="4" w:space="0" w:color="auto"/>
              <w:right w:val="single" w:sz="4" w:space="0" w:color="auto"/>
            </w:tcBorders>
            <w:vAlign w:val="center"/>
          </w:tcPr>
          <w:p w14:paraId="275FCC2F" w14:textId="77777777" w:rsidR="00241417" w:rsidRDefault="00241417" w:rsidP="003A71DE">
            <w:pPr>
              <w:pStyle w:val="TAC"/>
              <w:rPr>
                <w:rFonts w:eastAsia="SimSun"/>
              </w:rPr>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2128EB56" w14:textId="77777777" w:rsidR="00241417" w:rsidRDefault="00241417" w:rsidP="003A71DE">
            <w:pPr>
              <w:pStyle w:val="TAC"/>
              <w:rPr>
                <w:lang w:eastAsia="zh-CN"/>
              </w:rPr>
            </w:pPr>
            <w:r>
              <w:rPr>
                <w:lang w:eastAsia="zh-CN"/>
              </w:rPr>
              <w:t>7D1S2U, S=6D:4G:4U</w:t>
            </w:r>
          </w:p>
        </w:tc>
      </w:tr>
      <w:tr w:rsidR="00241417" w14:paraId="207141D1"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tcPr>
          <w:p w14:paraId="5611E617" w14:textId="77777777" w:rsidR="00241417" w:rsidRPr="00B81335" w:rsidRDefault="00241417" w:rsidP="003A71DE">
            <w:pPr>
              <w:pStyle w:val="TAL"/>
            </w:pPr>
            <w:r w:rsidRPr="00B81335">
              <w:t>SNR</w:t>
            </w:r>
          </w:p>
        </w:tc>
        <w:tc>
          <w:tcPr>
            <w:tcW w:w="0" w:type="auto"/>
            <w:tcBorders>
              <w:top w:val="single" w:sz="4" w:space="0" w:color="auto"/>
              <w:left w:val="single" w:sz="4" w:space="0" w:color="auto"/>
              <w:bottom w:val="single" w:sz="4" w:space="0" w:color="auto"/>
              <w:right w:val="single" w:sz="4" w:space="0" w:color="auto"/>
            </w:tcBorders>
            <w:vAlign w:val="center"/>
          </w:tcPr>
          <w:p w14:paraId="07B4D5C7" w14:textId="77777777" w:rsidR="00241417" w:rsidRDefault="00241417" w:rsidP="003A71DE">
            <w:pPr>
              <w:pStyle w:val="TAC"/>
            </w:pPr>
            <w:r>
              <w:t xml:space="preserve"> dB</w:t>
            </w:r>
          </w:p>
        </w:tc>
        <w:tc>
          <w:tcPr>
            <w:tcW w:w="0" w:type="auto"/>
            <w:tcBorders>
              <w:top w:val="single" w:sz="4" w:space="0" w:color="auto"/>
              <w:left w:val="single" w:sz="4" w:space="0" w:color="auto"/>
              <w:bottom w:val="single" w:sz="4" w:space="0" w:color="auto"/>
              <w:right w:val="single" w:sz="4" w:space="0" w:color="auto"/>
            </w:tcBorders>
            <w:vAlign w:val="center"/>
          </w:tcPr>
          <w:p w14:paraId="3F79E977" w14:textId="77777777" w:rsidR="00241417" w:rsidRDefault="00241417" w:rsidP="003A71DE">
            <w:pPr>
              <w:pStyle w:val="TAC"/>
              <w:rPr>
                <w:lang w:eastAsia="zh-CN"/>
              </w:rPr>
            </w:pPr>
            <w:r>
              <w:rPr>
                <w:rFonts w:cs="Arial"/>
                <w:lang w:eastAsia="zh-CN"/>
              </w:rPr>
              <w:t>5</w:t>
            </w:r>
          </w:p>
        </w:tc>
        <w:tc>
          <w:tcPr>
            <w:tcW w:w="0" w:type="auto"/>
            <w:tcBorders>
              <w:top w:val="single" w:sz="4" w:space="0" w:color="auto"/>
              <w:left w:val="single" w:sz="4" w:space="0" w:color="auto"/>
              <w:bottom w:val="single" w:sz="4" w:space="0" w:color="auto"/>
              <w:right w:val="single" w:sz="4" w:space="0" w:color="auto"/>
            </w:tcBorders>
            <w:vAlign w:val="center"/>
          </w:tcPr>
          <w:p w14:paraId="42FE6095" w14:textId="77777777" w:rsidR="00241417" w:rsidRDefault="00241417" w:rsidP="003A71DE">
            <w:pPr>
              <w:pStyle w:val="TAC"/>
              <w:rPr>
                <w:lang w:eastAsia="zh-CN"/>
              </w:rPr>
            </w:pPr>
            <w:r>
              <w:rPr>
                <w:rFonts w:cs="Arial"/>
                <w:lang w:eastAsia="zh-CN"/>
              </w:rPr>
              <w:t>6</w:t>
            </w:r>
          </w:p>
        </w:tc>
        <w:tc>
          <w:tcPr>
            <w:tcW w:w="0" w:type="auto"/>
            <w:tcBorders>
              <w:top w:val="single" w:sz="4" w:space="0" w:color="auto"/>
              <w:left w:val="single" w:sz="4" w:space="0" w:color="auto"/>
              <w:bottom w:val="single" w:sz="4" w:space="0" w:color="auto"/>
              <w:right w:val="single" w:sz="4" w:space="0" w:color="auto"/>
            </w:tcBorders>
            <w:vAlign w:val="center"/>
          </w:tcPr>
          <w:p w14:paraId="33CC129D" w14:textId="77777777" w:rsidR="00241417" w:rsidRDefault="00241417" w:rsidP="003A71DE">
            <w:pPr>
              <w:pStyle w:val="TAC"/>
              <w:rPr>
                <w:lang w:eastAsia="zh-CN"/>
              </w:rPr>
            </w:pPr>
            <w:r>
              <w:rPr>
                <w:rFonts w:cs="Arial"/>
                <w:lang w:eastAsia="zh-CN"/>
              </w:rPr>
              <w:t>11</w:t>
            </w:r>
          </w:p>
        </w:tc>
        <w:tc>
          <w:tcPr>
            <w:tcW w:w="0" w:type="auto"/>
            <w:tcBorders>
              <w:top w:val="single" w:sz="4" w:space="0" w:color="auto"/>
              <w:left w:val="single" w:sz="4" w:space="0" w:color="auto"/>
              <w:bottom w:val="single" w:sz="4" w:space="0" w:color="auto"/>
              <w:right w:val="single" w:sz="4" w:space="0" w:color="auto"/>
            </w:tcBorders>
            <w:vAlign w:val="center"/>
          </w:tcPr>
          <w:p w14:paraId="36F2ECC0" w14:textId="77777777" w:rsidR="00241417" w:rsidRDefault="00241417" w:rsidP="003A71DE">
            <w:pPr>
              <w:pStyle w:val="TAC"/>
              <w:rPr>
                <w:lang w:eastAsia="zh-CN"/>
              </w:rPr>
            </w:pPr>
            <w:r>
              <w:rPr>
                <w:rFonts w:cs="Arial"/>
                <w:lang w:eastAsia="zh-CN"/>
              </w:rPr>
              <w:t>12</w:t>
            </w:r>
          </w:p>
        </w:tc>
      </w:tr>
      <w:tr w:rsidR="00241417" w14:paraId="36F86F0B"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3F6AE04" w14:textId="77777777" w:rsidR="00241417" w:rsidRDefault="00241417" w:rsidP="003A71DE">
            <w:pPr>
              <w:pStyle w:val="TAL"/>
            </w:pPr>
            <w:r>
              <w:t>Propagation channel</w:t>
            </w:r>
          </w:p>
        </w:tc>
        <w:tc>
          <w:tcPr>
            <w:tcW w:w="0" w:type="auto"/>
            <w:tcBorders>
              <w:top w:val="single" w:sz="4" w:space="0" w:color="auto"/>
              <w:left w:val="single" w:sz="4" w:space="0" w:color="auto"/>
              <w:bottom w:val="single" w:sz="4" w:space="0" w:color="auto"/>
              <w:right w:val="single" w:sz="4" w:space="0" w:color="auto"/>
            </w:tcBorders>
            <w:vAlign w:val="center"/>
          </w:tcPr>
          <w:p w14:paraId="197EA70C"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2ADB37CD" w14:textId="77777777" w:rsidR="00241417" w:rsidRDefault="00241417" w:rsidP="003A71DE">
            <w:pPr>
              <w:pStyle w:val="TAC"/>
            </w:pPr>
            <w:r>
              <w:rPr>
                <w:rFonts w:eastAsia="SimSun"/>
              </w:rPr>
              <w:t>AWGN</w:t>
            </w:r>
          </w:p>
        </w:tc>
      </w:tr>
      <w:tr w:rsidR="00241417" w14:paraId="5E49DBE1"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3C8BBFB" w14:textId="77777777" w:rsidR="00241417" w:rsidRDefault="00241417" w:rsidP="003A71DE">
            <w:pPr>
              <w:pStyle w:val="TAL"/>
            </w:pPr>
            <w:r w:rsidRPr="00B81335">
              <w:t>Antenna configuration</w:t>
            </w:r>
          </w:p>
        </w:tc>
        <w:tc>
          <w:tcPr>
            <w:tcW w:w="0" w:type="auto"/>
            <w:tcBorders>
              <w:top w:val="single" w:sz="4" w:space="0" w:color="auto"/>
              <w:left w:val="single" w:sz="4" w:space="0" w:color="auto"/>
              <w:bottom w:val="single" w:sz="4" w:space="0" w:color="auto"/>
              <w:right w:val="single" w:sz="4" w:space="0" w:color="auto"/>
            </w:tcBorders>
            <w:vAlign w:val="center"/>
          </w:tcPr>
          <w:p w14:paraId="76E074DB"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1BEFEC53" w14:textId="77777777" w:rsidR="00241417" w:rsidRDefault="00241417" w:rsidP="003A71DE">
            <w:pPr>
              <w:pStyle w:val="TAC"/>
              <w:rPr>
                <w:rFonts w:eastAsia="SimSun"/>
                <w:lang w:val="en-US" w:eastAsia="zh-CN"/>
              </w:rPr>
            </w:pPr>
            <w:r>
              <w:rPr>
                <w:rFonts w:eastAsia="SimSun"/>
              </w:rPr>
              <w:t>2x4</w:t>
            </w:r>
          </w:p>
        </w:tc>
      </w:tr>
      <w:tr w:rsidR="00241417" w14:paraId="64D397B0"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2853BA0" w14:textId="77777777" w:rsidR="00241417" w:rsidRDefault="00241417" w:rsidP="003A71DE">
            <w:pPr>
              <w:pStyle w:val="TAL"/>
            </w:pPr>
            <w:r>
              <w:t>Beamforming Model</w:t>
            </w:r>
          </w:p>
        </w:tc>
        <w:tc>
          <w:tcPr>
            <w:tcW w:w="0" w:type="auto"/>
            <w:tcBorders>
              <w:top w:val="single" w:sz="4" w:space="0" w:color="auto"/>
              <w:left w:val="single" w:sz="4" w:space="0" w:color="auto"/>
              <w:bottom w:val="single" w:sz="4" w:space="0" w:color="auto"/>
              <w:right w:val="single" w:sz="4" w:space="0" w:color="auto"/>
            </w:tcBorders>
            <w:vAlign w:val="center"/>
          </w:tcPr>
          <w:p w14:paraId="5C4D50C0"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1D1FB79C" w14:textId="77777777" w:rsidR="00241417" w:rsidRDefault="00241417" w:rsidP="003A71DE">
            <w:pPr>
              <w:pStyle w:val="TAC"/>
              <w:rPr>
                <w:rFonts w:eastAsia="SimSun"/>
                <w:lang w:val="en-US" w:eastAsia="zh-CN"/>
              </w:rPr>
            </w:pPr>
            <w:r>
              <w:rPr>
                <w:rFonts w:eastAsia="SimSun"/>
              </w:rPr>
              <w:t xml:space="preserve">As specified in </w:t>
            </w:r>
            <w:r>
              <w:rPr>
                <w:rFonts w:eastAsia="SimSun"/>
                <w:lang w:eastAsia="zh-CN"/>
              </w:rPr>
              <w:t>Annex TBA</w:t>
            </w:r>
          </w:p>
        </w:tc>
      </w:tr>
      <w:tr w:rsidR="00241417" w14:paraId="41B52E85" w14:textId="77777777" w:rsidTr="003A71DE">
        <w:trPr>
          <w:trHeight w:val="70"/>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46F27BC" w14:textId="77777777" w:rsidR="00241417" w:rsidRDefault="00241417" w:rsidP="003A71DE">
            <w:pPr>
              <w:pStyle w:val="TAL"/>
            </w:pPr>
            <w:r>
              <w:t>NZP CSI-RS for CSI acquisition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5754273F" w14:textId="77777777" w:rsidR="00241417" w:rsidRDefault="00241417" w:rsidP="003A71DE">
            <w:pPr>
              <w:pStyle w:val="TAL"/>
            </w:pPr>
            <w:r>
              <w:t>CSI-RS resource Type</w:t>
            </w:r>
          </w:p>
        </w:tc>
        <w:tc>
          <w:tcPr>
            <w:tcW w:w="0" w:type="auto"/>
            <w:tcBorders>
              <w:top w:val="single" w:sz="4" w:space="0" w:color="auto"/>
              <w:left w:val="single" w:sz="4" w:space="0" w:color="auto"/>
              <w:bottom w:val="single" w:sz="4" w:space="0" w:color="auto"/>
              <w:right w:val="single" w:sz="4" w:space="0" w:color="auto"/>
            </w:tcBorders>
            <w:vAlign w:val="center"/>
          </w:tcPr>
          <w:p w14:paraId="52726E75"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0B045ECA" w14:textId="77777777" w:rsidR="00241417" w:rsidRDefault="00241417" w:rsidP="003A71DE">
            <w:pPr>
              <w:pStyle w:val="TAC"/>
            </w:pPr>
            <w:r>
              <w:rPr>
                <w:rFonts w:eastAsia="SimSun"/>
              </w:rPr>
              <w:t>Periodic</w:t>
            </w:r>
          </w:p>
        </w:tc>
      </w:tr>
      <w:tr w:rsidR="00241417" w14:paraId="25BA95FF"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EC67490"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7E72A6C1" w14:textId="77777777" w:rsidR="00241417" w:rsidRDefault="00241417" w:rsidP="003A71DE">
            <w:pPr>
              <w:pStyle w:val="TAL"/>
            </w:pPr>
            <w:r>
              <w:t>Number of CSI-RS ports (</w:t>
            </w:r>
            <w:r>
              <w:rPr>
                <w:i/>
              </w:rPr>
              <w:t>X</w:t>
            </w:r>
            <w:r>
              <w:t>)</w:t>
            </w:r>
          </w:p>
        </w:tc>
        <w:tc>
          <w:tcPr>
            <w:tcW w:w="0" w:type="auto"/>
            <w:tcBorders>
              <w:top w:val="single" w:sz="4" w:space="0" w:color="auto"/>
              <w:left w:val="single" w:sz="4" w:space="0" w:color="auto"/>
              <w:bottom w:val="single" w:sz="4" w:space="0" w:color="auto"/>
              <w:right w:val="single" w:sz="4" w:space="0" w:color="auto"/>
            </w:tcBorders>
            <w:vAlign w:val="center"/>
          </w:tcPr>
          <w:p w14:paraId="0F743047"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76CD880" w14:textId="77777777" w:rsidR="00241417" w:rsidRDefault="00241417" w:rsidP="003A71DE">
            <w:pPr>
              <w:pStyle w:val="TAC"/>
              <w:rPr>
                <w:rFonts w:eastAsia="SimSun"/>
                <w:lang w:val="en-US"/>
              </w:rPr>
            </w:pPr>
            <w:r>
              <w:rPr>
                <w:rFonts w:eastAsia="SimSun"/>
                <w:lang w:eastAsia="zh-CN"/>
              </w:rPr>
              <w:t>2</w:t>
            </w:r>
          </w:p>
        </w:tc>
      </w:tr>
      <w:tr w:rsidR="00241417" w14:paraId="524AA9CE"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21915E8"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176A1696" w14:textId="77777777" w:rsidR="00241417" w:rsidRDefault="00241417" w:rsidP="003A71DE">
            <w:pPr>
              <w:pStyle w:val="TAL"/>
            </w:pPr>
            <w:r>
              <w:t>CDM Type</w:t>
            </w:r>
          </w:p>
        </w:tc>
        <w:tc>
          <w:tcPr>
            <w:tcW w:w="0" w:type="auto"/>
            <w:tcBorders>
              <w:top w:val="single" w:sz="4" w:space="0" w:color="auto"/>
              <w:left w:val="single" w:sz="4" w:space="0" w:color="auto"/>
              <w:bottom w:val="single" w:sz="4" w:space="0" w:color="auto"/>
              <w:right w:val="single" w:sz="4" w:space="0" w:color="auto"/>
            </w:tcBorders>
            <w:vAlign w:val="center"/>
          </w:tcPr>
          <w:p w14:paraId="5BF13FE6"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512D4F5E" w14:textId="77777777" w:rsidR="00241417" w:rsidRDefault="00241417" w:rsidP="003A71DE">
            <w:pPr>
              <w:pStyle w:val="TAC"/>
            </w:pPr>
            <w:r>
              <w:rPr>
                <w:rFonts w:eastAsia="SimSun"/>
              </w:rPr>
              <w:t>FD-CDM2</w:t>
            </w:r>
          </w:p>
        </w:tc>
      </w:tr>
      <w:tr w:rsidR="00241417" w14:paraId="1D766DB7"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56129D1"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4B8DF291" w14:textId="77777777" w:rsidR="00241417" w:rsidRDefault="00241417" w:rsidP="003A71DE">
            <w:pPr>
              <w:pStyle w:val="TAL"/>
            </w:pPr>
            <w:r>
              <w:t>Density (ρ)</w:t>
            </w:r>
          </w:p>
        </w:tc>
        <w:tc>
          <w:tcPr>
            <w:tcW w:w="0" w:type="auto"/>
            <w:tcBorders>
              <w:top w:val="single" w:sz="4" w:space="0" w:color="auto"/>
              <w:left w:val="single" w:sz="4" w:space="0" w:color="auto"/>
              <w:bottom w:val="single" w:sz="4" w:space="0" w:color="auto"/>
              <w:right w:val="single" w:sz="4" w:space="0" w:color="auto"/>
            </w:tcBorders>
            <w:vAlign w:val="center"/>
          </w:tcPr>
          <w:p w14:paraId="1F9F94FF"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4823B8D4" w14:textId="77777777" w:rsidR="00241417" w:rsidRDefault="00241417" w:rsidP="003A71DE">
            <w:pPr>
              <w:pStyle w:val="TAC"/>
            </w:pPr>
            <w:r>
              <w:t>1</w:t>
            </w:r>
          </w:p>
        </w:tc>
      </w:tr>
      <w:tr w:rsidR="00241417" w14:paraId="066EEF2B"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35BD102"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546E1729" w14:textId="77777777" w:rsidR="00241417" w:rsidRDefault="00241417" w:rsidP="003A71DE">
            <w:pPr>
              <w:pStyle w:val="TAL"/>
            </w:pPr>
            <w:r>
              <w:t>First subcarrier index in the PRB used for CSI-RS (k</w:t>
            </w:r>
            <w:r>
              <w:rPr>
                <w:vertAlign w:val="subscript"/>
              </w:rPr>
              <w:t>0</w:t>
            </w:r>
            <w:r>
              <w:t>, k</w:t>
            </w:r>
            <w:r>
              <w:rPr>
                <w:vertAlign w:val="subscript"/>
              </w:rPr>
              <w:t>1</w:t>
            </w:r>
            <w:r>
              <w:t>)</w:t>
            </w:r>
          </w:p>
        </w:tc>
        <w:tc>
          <w:tcPr>
            <w:tcW w:w="0" w:type="auto"/>
            <w:tcBorders>
              <w:top w:val="single" w:sz="4" w:space="0" w:color="auto"/>
              <w:left w:val="single" w:sz="4" w:space="0" w:color="auto"/>
              <w:bottom w:val="single" w:sz="4" w:space="0" w:color="auto"/>
              <w:right w:val="single" w:sz="4" w:space="0" w:color="auto"/>
            </w:tcBorders>
            <w:vAlign w:val="center"/>
          </w:tcPr>
          <w:p w14:paraId="1E7B6D24"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0016D17A" w14:textId="77777777" w:rsidR="00241417" w:rsidRDefault="00241417" w:rsidP="003A71DE">
            <w:pPr>
              <w:pStyle w:val="TAC"/>
            </w:pPr>
            <w:r>
              <w:rPr>
                <w:rFonts w:eastAsia="SimSun"/>
                <w:lang w:eastAsia="zh-CN"/>
              </w:rPr>
              <w:t>Row 3,(6,-)</w:t>
            </w:r>
          </w:p>
        </w:tc>
      </w:tr>
      <w:tr w:rsidR="00241417" w14:paraId="331DFF65"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DA00CA"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0E5D2769" w14:textId="77777777" w:rsidR="00241417" w:rsidRDefault="00241417" w:rsidP="003A71DE">
            <w:pPr>
              <w:pStyle w:val="TAL"/>
            </w:pPr>
            <w:r>
              <w:t>First OFDM symbol in the PRB used for CSI-RS (l</w:t>
            </w:r>
            <w:r>
              <w:rPr>
                <w:vertAlign w:val="subscript"/>
              </w:rPr>
              <w:t>0</w:t>
            </w:r>
            <w:r>
              <w:t>)</w:t>
            </w:r>
          </w:p>
        </w:tc>
        <w:tc>
          <w:tcPr>
            <w:tcW w:w="0" w:type="auto"/>
            <w:tcBorders>
              <w:top w:val="single" w:sz="4" w:space="0" w:color="auto"/>
              <w:left w:val="single" w:sz="4" w:space="0" w:color="auto"/>
              <w:bottom w:val="single" w:sz="4" w:space="0" w:color="auto"/>
              <w:right w:val="single" w:sz="4" w:space="0" w:color="auto"/>
            </w:tcBorders>
            <w:vAlign w:val="center"/>
          </w:tcPr>
          <w:p w14:paraId="26BDA93C"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55121E37" w14:textId="77777777" w:rsidR="00241417" w:rsidRDefault="00241417" w:rsidP="003A71DE">
            <w:pPr>
              <w:pStyle w:val="TAC"/>
            </w:pPr>
            <w:r>
              <w:rPr>
                <w:rFonts w:eastAsia="SimSun"/>
                <w:lang w:eastAsia="zh-CN"/>
              </w:rPr>
              <w:t>13</w:t>
            </w:r>
          </w:p>
        </w:tc>
      </w:tr>
      <w:tr w:rsidR="00241417" w14:paraId="56C934FF"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DB903F"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22399076" w14:textId="77777777" w:rsidR="00241417" w:rsidRDefault="00241417" w:rsidP="003A71DE">
            <w:pPr>
              <w:pStyle w:val="TAL"/>
            </w:pPr>
            <w:r>
              <w:t>NZP CSI-RS-timeConfig</w:t>
            </w:r>
          </w:p>
          <w:p w14:paraId="1567D4F6" w14:textId="77777777" w:rsidR="00241417" w:rsidRDefault="00241417" w:rsidP="003A71DE">
            <w:pPr>
              <w:pStyle w:val="TAL"/>
            </w:pPr>
            <w:r>
              <w:t>periodicity and offset</w:t>
            </w:r>
          </w:p>
        </w:tc>
        <w:tc>
          <w:tcPr>
            <w:tcW w:w="0" w:type="auto"/>
            <w:tcBorders>
              <w:top w:val="single" w:sz="4" w:space="0" w:color="auto"/>
              <w:left w:val="single" w:sz="4" w:space="0" w:color="auto"/>
              <w:bottom w:val="single" w:sz="4" w:space="0" w:color="auto"/>
              <w:right w:val="single" w:sz="4" w:space="0" w:color="auto"/>
            </w:tcBorders>
            <w:vAlign w:val="center"/>
            <w:hideMark/>
          </w:tcPr>
          <w:p w14:paraId="4B61AFE4" w14:textId="77777777" w:rsidR="00241417" w:rsidRDefault="00241417" w:rsidP="003A71DE">
            <w:pPr>
              <w:pStyle w:val="TAC"/>
            </w:pPr>
            <w:r>
              <w:t>slot</w:t>
            </w: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DA5A573" w14:textId="77777777" w:rsidR="00241417" w:rsidRDefault="00241417" w:rsidP="003A71DE">
            <w:pPr>
              <w:pStyle w:val="TAC"/>
            </w:pPr>
            <w:r>
              <w:rPr>
                <w:rFonts w:eastAsia="SimSun"/>
                <w:lang w:eastAsia="zh-CN"/>
              </w:rPr>
              <w:t>10/1</w:t>
            </w:r>
          </w:p>
        </w:tc>
      </w:tr>
      <w:tr w:rsidR="00241417" w14:paraId="5C5DB754"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002FD2C" w14:textId="77777777" w:rsidR="00241417" w:rsidRDefault="00241417" w:rsidP="003A71DE">
            <w:pPr>
              <w:pStyle w:val="TAL"/>
            </w:pPr>
            <w:r>
              <w:t>ReportConfigType</w:t>
            </w:r>
          </w:p>
        </w:tc>
        <w:tc>
          <w:tcPr>
            <w:tcW w:w="0" w:type="auto"/>
            <w:tcBorders>
              <w:top w:val="single" w:sz="4" w:space="0" w:color="auto"/>
              <w:left w:val="single" w:sz="4" w:space="0" w:color="auto"/>
              <w:bottom w:val="single" w:sz="4" w:space="0" w:color="auto"/>
              <w:right w:val="single" w:sz="4" w:space="0" w:color="auto"/>
            </w:tcBorders>
            <w:vAlign w:val="center"/>
          </w:tcPr>
          <w:p w14:paraId="0DB72EFE"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47928DFB" w14:textId="77777777" w:rsidR="00241417" w:rsidRDefault="00241417" w:rsidP="003A71DE">
            <w:pPr>
              <w:pStyle w:val="TAC"/>
            </w:pPr>
            <w:r>
              <w:rPr>
                <w:rFonts w:eastAsia="SimSun"/>
              </w:rPr>
              <w:t>Periodic</w:t>
            </w:r>
          </w:p>
        </w:tc>
      </w:tr>
      <w:tr w:rsidR="00241417" w14:paraId="164B9C2D"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24EEB48" w14:textId="77777777" w:rsidR="00241417" w:rsidRDefault="00241417" w:rsidP="003A71DE">
            <w:pPr>
              <w:pStyle w:val="TAL"/>
            </w:pPr>
            <w:r>
              <w:t>CQI-table</w:t>
            </w:r>
          </w:p>
        </w:tc>
        <w:tc>
          <w:tcPr>
            <w:tcW w:w="0" w:type="auto"/>
            <w:tcBorders>
              <w:top w:val="single" w:sz="4" w:space="0" w:color="auto"/>
              <w:left w:val="single" w:sz="4" w:space="0" w:color="auto"/>
              <w:bottom w:val="single" w:sz="4" w:space="0" w:color="auto"/>
              <w:right w:val="single" w:sz="4" w:space="0" w:color="auto"/>
            </w:tcBorders>
            <w:vAlign w:val="center"/>
          </w:tcPr>
          <w:p w14:paraId="78A4F3DB"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6B2C1C6E" w14:textId="77777777" w:rsidR="00241417" w:rsidRDefault="00241417" w:rsidP="003A71DE">
            <w:pPr>
              <w:pStyle w:val="TAC"/>
              <w:rPr>
                <w:rFonts w:eastAsia="SimSun"/>
                <w:lang w:eastAsia="zh-CN"/>
              </w:rPr>
            </w:pPr>
            <w:r>
              <w:t xml:space="preserve">Table </w:t>
            </w:r>
            <w:r>
              <w:rPr>
                <w:rFonts w:eastAsia="SimSun"/>
                <w:lang w:eastAsia="zh-CN"/>
              </w:rPr>
              <w:t>2</w:t>
            </w:r>
          </w:p>
        </w:tc>
      </w:tr>
      <w:tr w:rsidR="00241417" w14:paraId="2DCCF3E5"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6DB339B2" w14:textId="77777777" w:rsidR="00241417" w:rsidRDefault="00241417" w:rsidP="003A71DE">
            <w:pPr>
              <w:pStyle w:val="TAL"/>
            </w:pPr>
            <w:r>
              <w:t>reportQuantity</w:t>
            </w:r>
          </w:p>
        </w:tc>
        <w:tc>
          <w:tcPr>
            <w:tcW w:w="0" w:type="auto"/>
            <w:tcBorders>
              <w:top w:val="single" w:sz="4" w:space="0" w:color="auto"/>
              <w:left w:val="single" w:sz="4" w:space="0" w:color="auto"/>
              <w:bottom w:val="single" w:sz="4" w:space="0" w:color="auto"/>
              <w:right w:val="single" w:sz="4" w:space="0" w:color="auto"/>
            </w:tcBorders>
            <w:vAlign w:val="center"/>
          </w:tcPr>
          <w:p w14:paraId="0FB94938"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523A9E04" w14:textId="77777777" w:rsidR="00241417" w:rsidRDefault="00241417" w:rsidP="003A71DE">
            <w:pPr>
              <w:pStyle w:val="TAC"/>
            </w:pPr>
            <w:r>
              <w:rPr>
                <w:rFonts w:eastAsia="SimSun"/>
              </w:rPr>
              <w:t>cri-RI-PMI-CQI</w:t>
            </w:r>
          </w:p>
        </w:tc>
      </w:tr>
      <w:tr w:rsidR="00241417" w14:paraId="77E989EB"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AB55602" w14:textId="77777777" w:rsidR="00241417" w:rsidRDefault="00241417" w:rsidP="003A71DE">
            <w:pPr>
              <w:pStyle w:val="TAL"/>
            </w:pPr>
            <w:r>
              <w:t>cqi-FormatIndicator</w:t>
            </w:r>
          </w:p>
        </w:tc>
        <w:tc>
          <w:tcPr>
            <w:tcW w:w="0" w:type="auto"/>
            <w:tcBorders>
              <w:top w:val="single" w:sz="4" w:space="0" w:color="auto"/>
              <w:left w:val="single" w:sz="4" w:space="0" w:color="auto"/>
              <w:bottom w:val="single" w:sz="4" w:space="0" w:color="auto"/>
              <w:right w:val="single" w:sz="4" w:space="0" w:color="auto"/>
            </w:tcBorders>
            <w:vAlign w:val="center"/>
          </w:tcPr>
          <w:p w14:paraId="09B15EF3"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4944A0B" w14:textId="77777777" w:rsidR="00241417" w:rsidRDefault="00241417" w:rsidP="003A71DE">
            <w:pPr>
              <w:pStyle w:val="TAC"/>
            </w:pPr>
            <w:r>
              <w:rPr>
                <w:rFonts w:eastAsia="SimSun"/>
                <w:lang w:val="en-US"/>
              </w:rPr>
              <w:t>Wide</w:t>
            </w:r>
            <w:r>
              <w:rPr>
                <w:rFonts w:eastAsia="SimSun"/>
              </w:rPr>
              <w:t>band</w:t>
            </w:r>
          </w:p>
        </w:tc>
      </w:tr>
      <w:tr w:rsidR="00241417" w14:paraId="70FB6944"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55CFB60" w14:textId="77777777" w:rsidR="00241417" w:rsidRDefault="00241417" w:rsidP="003A71DE">
            <w:pPr>
              <w:pStyle w:val="TAL"/>
            </w:pPr>
            <w:r>
              <w:t>pmi-FormatIndicator</w:t>
            </w:r>
            <w:r>
              <w:rPr>
                <w:i/>
              </w:rPr>
              <w:t xml:space="preserve">  </w:t>
            </w:r>
          </w:p>
        </w:tc>
        <w:tc>
          <w:tcPr>
            <w:tcW w:w="0" w:type="auto"/>
            <w:tcBorders>
              <w:top w:val="single" w:sz="4" w:space="0" w:color="auto"/>
              <w:left w:val="single" w:sz="4" w:space="0" w:color="auto"/>
              <w:bottom w:val="single" w:sz="4" w:space="0" w:color="auto"/>
              <w:right w:val="single" w:sz="4" w:space="0" w:color="auto"/>
            </w:tcBorders>
            <w:vAlign w:val="center"/>
          </w:tcPr>
          <w:p w14:paraId="6B246737"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6E98A4E9" w14:textId="77777777" w:rsidR="00241417" w:rsidRDefault="00241417" w:rsidP="003A71DE">
            <w:pPr>
              <w:pStyle w:val="TAC"/>
            </w:pPr>
            <w:r>
              <w:rPr>
                <w:rFonts w:eastAsia="SimSun"/>
              </w:rPr>
              <w:t>Wideband</w:t>
            </w:r>
          </w:p>
        </w:tc>
      </w:tr>
      <w:tr w:rsidR="00241417" w14:paraId="29F37C8E"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80241D2" w14:textId="77777777" w:rsidR="00241417" w:rsidRDefault="00241417" w:rsidP="003A71DE">
            <w:pPr>
              <w:pStyle w:val="TAL"/>
            </w:pPr>
            <w:r>
              <w:t>Sub-band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09A419B1" w14:textId="77777777" w:rsidR="00241417" w:rsidRDefault="00241417" w:rsidP="003A71DE">
            <w:pPr>
              <w:pStyle w:val="TAC"/>
            </w:pPr>
            <w:r>
              <w:rPr>
                <w:rFonts w:eastAsia="SimSun"/>
              </w:rPr>
              <w:t>RB</w:t>
            </w: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77A4D46" w14:textId="77777777" w:rsidR="00241417" w:rsidRDefault="00241417" w:rsidP="003A71DE">
            <w:pPr>
              <w:pStyle w:val="TAC"/>
            </w:pPr>
            <w:r>
              <w:rPr>
                <w:lang w:eastAsia="zh-CN"/>
              </w:rPr>
              <w:t>16</w:t>
            </w:r>
          </w:p>
        </w:tc>
      </w:tr>
      <w:tr w:rsidR="00241417" w14:paraId="3C542D41"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CFE0C74" w14:textId="77777777" w:rsidR="00241417" w:rsidRDefault="00241417" w:rsidP="003A71DE">
            <w:pPr>
              <w:pStyle w:val="TAL"/>
            </w:pPr>
            <w:r>
              <w:t>Csi-ReportingBand</w:t>
            </w:r>
          </w:p>
        </w:tc>
        <w:tc>
          <w:tcPr>
            <w:tcW w:w="0" w:type="auto"/>
            <w:tcBorders>
              <w:top w:val="single" w:sz="4" w:space="0" w:color="auto"/>
              <w:left w:val="single" w:sz="4" w:space="0" w:color="auto"/>
              <w:bottom w:val="single" w:sz="4" w:space="0" w:color="auto"/>
              <w:right w:val="single" w:sz="4" w:space="0" w:color="auto"/>
            </w:tcBorders>
            <w:vAlign w:val="center"/>
          </w:tcPr>
          <w:p w14:paraId="3930B92C" w14:textId="77777777" w:rsidR="00241417" w:rsidRDefault="00241417" w:rsidP="003A71DE">
            <w:pPr>
              <w:pStyle w:val="TAC"/>
              <w:rPr>
                <w:rFonts w:eastAsia="SimSun"/>
              </w:rPr>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1D3CB0B7" w14:textId="77777777" w:rsidR="00241417" w:rsidRDefault="00241417" w:rsidP="003A71DE">
            <w:pPr>
              <w:pStyle w:val="TAC"/>
            </w:pPr>
            <w:r>
              <w:t>1111111</w:t>
            </w:r>
          </w:p>
        </w:tc>
      </w:tr>
      <w:tr w:rsidR="00241417" w14:paraId="4429D9FF"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458E91D" w14:textId="77777777" w:rsidR="00241417" w:rsidRDefault="00241417" w:rsidP="003A71DE">
            <w:pPr>
              <w:pStyle w:val="TAL"/>
            </w:pPr>
            <w:r>
              <w:t>CSI-Report periodicity and offset</w:t>
            </w:r>
          </w:p>
        </w:tc>
        <w:tc>
          <w:tcPr>
            <w:tcW w:w="0" w:type="auto"/>
            <w:tcBorders>
              <w:top w:val="single" w:sz="4" w:space="0" w:color="auto"/>
              <w:left w:val="single" w:sz="4" w:space="0" w:color="auto"/>
              <w:bottom w:val="single" w:sz="4" w:space="0" w:color="auto"/>
              <w:right w:val="single" w:sz="4" w:space="0" w:color="auto"/>
            </w:tcBorders>
            <w:vAlign w:val="center"/>
            <w:hideMark/>
          </w:tcPr>
          <w:p w14:paraId="61F3B07C" w14:textId="77777777" w:rsidR="00241417" w:rsidRDefault="00241417" w:rsidP="003A71DE">
            <w:pPr>
              <w:pStyle w:val="TAC"/>
            </w:pPr>
            <w:r>
              <w:t>slot</w:t>
            </w: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5CC672AA" w14:textId="77777777" w:rsidR="00241417" w:rsidRDefault="00241417" w:rsidP="003A71DE">
            <w:pPr>
              <w:pStyle w:val="TAC"/>
            </w:pPr>
            <w:r>
              <w:rPr>
                <w:rFonts w:eastAsia="SimSun"/>
                <w:lang w:eastAsia="zh-CN"/>
              </w:rPr>
              <w:t>10</w:t>
            </w:r>
            <w:r>
              <w:t>/9</w:t>
            </w:r>
          </w:p>
        </w:tc>
      </w:tr>
      <w:tr w:rsidR="00241417" w14:paraId="059FE532" w14:textId="77777777" w:rsidTr="003A71DE">
        <w:trPr>
          <w:trHeight w:val="70"/>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49CD73E" w14:textId="77777777" w:rsidR="00241417" w:rsidRDefault="00241417" w:rsidP="003A71DE">
            <w:pPr>
              <w:pStyle w:val="TAL"/>
            </w:pPr>
            <w:r>
              <w:t>Codebook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5FFA2390" w14:textId="77777777" w:rsidR="00241417" w:rsidRDefault="00241417" w:rsidP="003A71DE">
            <w:pPr>
              <w:pStyle w:val="TAL"/>
            </w:pPr>
            <w:r>
              <w:t>Codebook Type</w:t>
            </w:r>
          </w:p>
        </w:tc>
        <w:tc>
          <w:tcPr>
            <w:tcW w:w="0" w:type="auto"/>
            <w:tcBorders>
              <w:top w:val="single" w:sz="4" w:space="0" w:color="auto"/>
              <w:left w:val="single" w:sz="4" w:space="0" w:color="auto"/>
              <w:bottom w:val="single" w:sz="4" w:space="0" w:color="auto"/>
              <w:right w:val="single" w:sz="4" w:space="0" w:color="auto"/>
            </w:tcBorders>
            <w:vAlign w:val="center"/>
          </w:tcPr>
          <w:p w14:paraId="1A333471"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96F8075" w14:textId="77777777" w:rsidR="00241417" w:rsidRDefault="00241417" w:rsidP="003A71DE">
            <w:pPr>
              <w:pStyle w:val="TAC"/>
            </w:pPr>
            <w:r>
              <w:rPr>
                <w:rFonts w:eastAsia="SimSun"/>
              </w:rPr>
              <w:t>typeI-SinglePanel</w:t>
            </w:r>
          </w:p>
        </w:tc>
      </w:tr>
      <w:tr w:rsidR="00241417" w14:paraId="6B970EEA"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22856B9"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4093F3D0" w14:textId="77777777" w:rsidR="00241417" w:rsidRDefault="00241417" w:rsidP="003A71DE">
            <w:pPr>
              <w:pStyle w:val="TAL"/>
            </w:pPr>
            <w:r>
              <w:t>Codebook Mode</w:t>
            </w:r>
          </w:p>
        </w:tc>
        <w:tc>
          <w:tcPr>
            <w:tcW w:w="0" w:type="auto"/>
            <w:tcBorders>
              <w:top w:val="single" w:sz="4" w:space="0" w:color="auto"/>
              <w:left w:val="single" w:sz="4" w:space="0" w:color="auto"/>
              <w:bottom w:val="single" w:sz="4" w:space="0" w:color="auto"/>
              <w:right w:val="single" w:sz="4" w:space="0" w:color="auto"/>
            </w:tcBorders>
            <w:vAlign w:val="center"/>
          </w:tcPr>
          <w:p w14:paraId="06FD4F07"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ECD7890" w14:textId="77777777" w:rsidR="00241417" w:rsidRDefault="00241417" w:rsidP="003A71DE">
            <w:pPr>
              <w:pStyle w:val="TAC"/>
            </w:pPr>
            <w:r>
              <w:t>1</w:t>
            </w:r>
          </w:p>
        </w:tc>
      </w:tr>
      <w:tr w:rsidR="00241417" w14:paraId="103C2F5F"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D2428B6"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0F3A91C8" w14:textId="77777777" w:rsidR="00241417" w:rsidRDefault="00241417" w:rsidP="003A71DE">
            <w:pPr>
              <w:pStyle w:val="TAL"/>
            </w:pPr>
            <w:r>
              <w:t>(CodebookConfig-N1, CodebookConfig-N2)</w:t>
            </w:r>
          </w:p>
        </w:tc>
        <w:tc>
          <w:tcPr>
            <w:tcW w:w="0" w:type="auto"/>
            <w:tcBorders>
              <w:top w:val="single" w:sz="4" w:space="0" w:color="auto"/>
              <w:left w:val="single" w:sz="4" w:space="0" w:color="auto"/>
              <w:bottom w:val="single" w:sz="4" w:space="0" w:color="auto"/>
              <w:right w:val="single" w:sz="4" w:space="0" w:color="auto"/>
            </w:tcBorders>
            <w:vAlign w:val="center"/>
          </w:tcPr>
          <w:p w14:paraId="54F759F5"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042DD9A" w14:textId="77777777" w:rsidR="00241417" w:rsidRDefault="00241417" w:rsidP="003A71DE">
            <w:pPr>
              <w:pStyle w:val="TAC"/>
            </w:pPr>
            <w:r>
              <w:rPr>
                <w:rFonts w:eastAsia="SimSun"/>
              </w:rPr>
              <w:t>Not configured</w:t>
            </w:r>
          </w:p>
        </w:tc>
      </w:tr>
      <w:tr w:rsidR="00241417" w14:paraId="3FF53D48"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FF1FB7E"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314A0284" w14:textId="77777777" w:rsidR="00241417" w:rsidRDefault="00241417" w:rsidP="003A71DE">
            <w:pPr>
              <w:pStyle w:val="TAL"/>
            </w:pPr>
            <w:r>
              <w:t>CodebookSubsetRestriction</w:t>
            </w:r>
          </w:p>
        </w:tc>
        <w:tc>
          <w:tcPr>
            <w:tcW w:w="0" w:type="auto"/>
            <w:tcBorders>
              <w:top w:val="single" w:sz="4" w:space="0" w:color="auto"/>
              <w:left w:val="single" w:sz="4" w:space="0" w:color="auto"/>
              <w:bottom w:val="single" w:sz="4" w:space="0" w:color="auto"/>
              <w:right w:val="single" w:sz="4" w:space="0" w:color="auto"/>
            </w:tcBorders>
            <w:vAlign w:val="center"/>
          </w:tcPr>
          <w:p w14:paraId="7F4F5199"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20FA5E02" w14:textId="77777777" w:rsidR="00241417" w:rsidRDefault="00241417" w:rsidP="003A71DE">
            <w:pPr>
              <w:pStyle w:val="TAC"/>
            </w:pPr>
            <w:r>
              <w:t>010000</w:t>
            </w:r>
          </w:p>
        </w:tc>
      </w:tr>
      <w:tr w:rsidR="00241417" w14:paraId="61BF0254" w14:textId="77777777" w:rsidTr="003A71DE">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E3CC2BB" w14:textId="77777777" w:rsidR="00241417" w:rsidRDefault="00241417" w:rsidP="003A71DE">
            <w:pPr>
              <w:pStyle w:val="TAL"/>
            </w:pPr>
          </w:p>
        </w:tc>
        <w:tc>
          <w:tcPr>
            <w:tcW w:w="0" w:type="auto"/>
            <w:tcBorders>
              <w:top w:val="single" w:sz="4" w:space="0" w:color="auto"/>
              <w:left w:val="single" w:sz="4" w:space="0" w:color="auto"/>
              <w:bottom w:val="single" w:sz="4" w:space="0" w:color="auto"/>
              <w:right w:val="single" w:sz="4" w:space="0" w:color="auto"/>
            </w:tcBorders>
            <w:vAlign w:val="center"/>
            <w:hideMark/>
          </w:tcPr>
          <w:p w14:paraId="3C075607" w14:textId="77777777" w:rsidR="00241417" w:rsidRDefault="00241417" w:rsidP="003A71DE">
            <w:pPr>
              <w:pStyle w:val="TAL"/>
            </w:pPr>
            <w:r>
              <w:t>RI Restriction</w:t>
            </w:r>
          </w:p>
        </w:tc>
        <w:tc>
          <w:tcPr>
            <w:tcW w:w="0" w:type="auto"/>
            <w:tcBorders>
              <w:top w:val="single" w:sz="4" w:space="0" w:color="auto"/>
              <w:left w:val="single" w:sz="4" w:space="0" w:color="auto"/>
              <w:bottom w:val="single" w:sz="4" w:space="0" w:color="auto"/>
              <w:right w:val="single" w:sz="4" w:space="0" w:color="auto"/>
            </w:tcBorders>
            <w:vAlign w:val="center"/>
          </w:tcPr>
          <w:p w14:paraId="007C1912"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3DA88CD" w14:textId="77777777" w:rsidR="00241417" w:rsidRDefault="00241417" w:rsidP="003A71DE">
            <w:pPr>
              <w:pStyle w:val="TAC"/>
            </w:pPr>
            <w:r>
              <w:t>N/A</w:t>
            </w:r>
          </w:p>
        </w:tc>
      </w:tr>
      <w:tr w:rsidR="00241417" w14:paraId="6C942AA3"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7C93E65" w14:textId="77777777" w:rsidR="00241417" w:rsidRDefault="00241417" w:rsidP="003A71DE">
            <w:pPr>
              <w:pStyle w:val="TAL"/>
            </w:pPr>
            <w:r>
              <w:t>Maximum number of HARQ transmission</w:t>
            </w:r>
          </w:p>
        </w:tc>
        <w:tc>
          <w:tcPr>
            <w:tcW w:w="0" w:type="auto"/>
            <w:tcBorders>
              <w:top w:val="single" w:sz="4" w:space="0" w:color="auto"/>
              <w:left w:val="single" w:sz="4" w:space="0" w:color="auto"/>
              <w:bottom w:val="single" w:sz="4" w:space="0" w:color="auto"/>
              <w:right w:val="single" w:sz="4" w:space="0" w:color="auto"/>
            </w:tcBorders>
            <w:vAlign w:val="center"/>
          </w:tcPr>
          <w:p w14:paraId="7E6BA42B" w14:textId="77777777" w:rsidR="00241417" w:rsidRDefault="00241417" w:rsidP="003A71DE">
            <w:pPr>
              <w:pStyle w:val="TAC"/>
              <w:rPr>
                <w:rFonts w:eastAsia="SimSun"/>
              </w:rPr>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02861304" w14:textId="77777777" w:rsidR="00241417" w:rsidRDefault="00241417" w:rsidP="003A71DE">
            <w:pPr>
              <w:pStyle w:val="TAC"/>
            </w:pPr>
            <w:r>
              <w:t>1</w:t>
            </w:r>
          </w:p>
        </w:tc>
      </w:tr>
      <w:tr w:rsidR="00241417" w14:paraId="21C68A93" w14:textId="77777777" w:rsidTr="003A71DE">
        <w:trPr>
          <w:trHeight w:val="70"/>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B34932D" w14:textId="77777777" w:rsidR="00241417" w:rsidRDefault="00241417" w:rsidP="003A71DE">
            <w:pPr>
              <w:pStyle w:val="TAL"/>
            </w:pPr>
            <w:r>
              <w:t>Measurement channel</w:t>
            </w:r>
          </w:p>
        </w:tc>
        <w:tc>
          <w:tcPr>
            <w:tcW w:w="0" w:type="auto"/>
            <w:tcBorders>
              <w:top w:val="single" w:sz="4" w:space="0" w:color="auto"/>
              <w:left w:val="single" w:sz="4" w:space="0" w:color="auto"/>
              <w:bottom w:val="single" w:sz="4" w:space="0" w:color="auto"/>
              <w:right w:val="single" w:sz="4" w:space="0" w:color="auto"/>
            </w:tcBorders>
            <w:vAlign w:val="center"/>
          </w:tcPr>
          <w:p w14:paraId="7AFED560" w14:textId="77777777" w:rsidR="00241417" w:rsidRDefault="00241417" w:rsidP="003A71DE">
            <w:pPr>
              <w:pStyle w:val="TAC"/>
            </w:pP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1D4CAE47" w14:textId="77777777" w:rsidR="00241417" w:rsidRDefault="00241417" w:rsidP="003A71DE">
            <w:pPr>
              <w:pStyle w:val="TAC"/>
            </w:pPr>
            <w:r w:rsidRPr="002352F4">
              <w:t>M-FR1-A.3.5-2</w:t>
            </w:r>
          </w:p>
        </w:tc>
      </w:tr>
      <w:tr w:rsidR="00241417" w14:paraId="528F9EA6" w14:textId="77777777" w:rsidTr="003A71DE">
        <w:trPr>
          <w:trHeight w:val="70"/>
        </w:trPr>
        <w:tc>
          <w:tcPr>
            <w:tcW w:w="0" w:type="auto"/>
            <w:gridSpan w:val="7"/>
            <w:tcBorders>
              <w:top w:val="single" w:sz="4" w:space="0" w:color="auto"/>
              <w:left w:val="single" w:sz="4" w:space="0" w:color="auto"/>
              <w:bottom w:val="single" w:sz="4" w:space="0" w:color="auto"/>
              <w:right w:val="single" w:sz="4" w:space="0" w:color="auto"/>
            </w:tcBorders>
            <w:vAlign w:val="center"/>
            <w:hideMark/>
          </w:tcPr>
          <w:p w14:paraId="58BEE665" w14:textId="77777777" w:rsidR="00241417" w:rsidRDefault="00241417" w:rsidP="003A71DE">
            <w:pPr>
              <w:pStyle w:val="TAL"/>
              <w:rPr>
                <w:lang w:eastAsia="zh-CN"/>
              </w:rPr>
            </w:pPr>
            <w:r>
              <w:rPr>
                <w:lang w:eastAsia="zh-CN"/>
              </w:rPr>
              <w:t>Note 1:</w:t>
            </w:r>
            <w:r w:rsidRPr="00FD6D7A">
              <w:rPr>
                <w:lang w:eastAsia="zh-CN"/>
              </w:rPr>
              <w:tab/>
            </w:r>
            <w:r>
              <w:rPr>
                <w:lang w:eastAsia="zh-CN"/>
              </w:rPr>
              <w:t>The same requirements are applicable for TDD with different UL-DL pattern.</w:t>
            </w:r>
          </w:p>
          <w:p w14:paraId="2E9984FD" w14:textId="28861011" w:rsidR="00241417" w:rsidRDefault="00BC408B" w:rsidP="003A71DE">
            <w:pPr>
              <w:pStyle w:val="TAL"/>
              <w:rPr>
                <w:highlight w:val="yellow"/>
                <w:lang w:eastAsia="zh-CN"/>
              </w:rPr>
            </w:pPr>
            <w:r w:rsidRPr="00283F83">
              <w:rPr>
                <w:lang w:eastAsia="zh-CN"/>
              </w:rPr>
              <w:t>Note 2:</w:t>
            </w:r>
            <w:r w:rsidRPr="00FD6D7A">
              <w:rPr>
                <w:lang w:eastAsia="zh-CN"/>
              </w:rPr>
              <w:tab/>
            </w:r>
            <w:r w:rsidRPr="00283F83">
              <w:rPr>
                <w:lang w:eastAsia="zh-CN"/>
              </w:rPr>
              <w:t>SSB, TRS, CSI-RS, and/or other unspecified test parameters with respect to TS 38.101-4 [</w:t>
            </w:r>
            <w:r>
              <w:rPr>
                <w:rFonts w:hint="eastAsia"/>
                <w:lang w:eastAsia="zh-CN"/>
              </w:rPr>
              <w:t>28</w:t>
            </w:r>
            <w:r w:rsidRPr="00283F83">
              <w:rPr>
                <w:lang w:eastAsia="zh-CN"/>
              </w:rPr>
              <w:t>] are left up to test implementation, if transmitted or needed.</w:t>
            </w:r>
          </w:p>
        </w:tc>
      </w:tr>
    </w:tbl>
    <w:p w14:paraId="6AC61DBE" w14:textId="77777777" w:rsidR="00241417" w:rsidRDefault="00241417" w:rsidP="00241417">
      <w:pPr>
        <w:rPr>
          <w:rFonts w:eastAsia="SimSun"/>
        </w:rPr>
      </w:pPr>
    </w:p>
    <w:p w14:paraId="4D700140" w14:textId="77777777" w:rsidR="00241417" w:rsidRDefault="00241417" w:rsidP="00241417">
      <w:pPr>
        <w:pStyle w:val="Heading5"/>
        <w:rPr>
          <w:rFonts w:eastAsia="SimSun"/>
        </w:rPr>
      </w:pPr>
      <w:bookmarkStart w:id="3869" w:name="_Toc74583294"/>
      <w:bookmarkStart w:id="3870" w:name="_Toc76542107"/>
      <w:bookmarkStart w:id="3871" w:name="_Toc82450089"/>
      <w:bookmarkStart w:id="3872" w:name="_Toc82450737"/>
      <w:bookmarkStart w:id="3873" w:name="_Toc89949126"/>
      <w:bookmarkStart w:id="3874" w:name="_Toc98755515"/>
      <w:bookmarkStart w:id="3875" w:name="_Toc98763106"/>
      <w:bookmarkStart w:id="3876" w:name="_Toc106184035"/>
      <w:r>
        <w:t>8.2.3.2.2</w:t>
      </w:r>
      <w:r>
        <w:tab/>
        <w:t>Minimum requirements</w:t>
      </w:r>
      <w:bookmarkEnd w:id="3869"/>
      <w:bookmarkEnd w:id="3870"/>
      <w:bookmarkEnd w:id="3871"/>
      <w:bookmarkEnd w:id="3872"/>
      <w:bookmarkEnd w:id="3873"/>
      <w:bookmarkEnd w:id="3874"/>
      <w:bookmarkEnd w:id="3875"/>
      <w:bookmarkEnd w:id="3876"/>
    </w:p>
    <w:p w14:paraId="5CECDE92" w14:textId="77777777" w:rsidR="00241417" w:rsidRDefault="00241417" w:rsidP="00241417">
      <w:pPr>
        <w:rPr>
          <w:rFonts w:eastAsia="SimSun"/>
        </w:rPr>
      </w:pPr>
      <w:r>
        <w:rPr>
          <w:rFonts w:eastAsia="SimSun"/>
        </w:rPr>
        <w:t xml:space="preserve">For the parameters specified in Table 8.2.3.2.1-1, and using the downlink physical channels specified in </w:t>
      </w:r>
      <w:r>
        <w:rPr>
          <w:rFonts w:eastAsia="SimSun"/>
          <w:lang w:eastAsia="zh-CN"/>
        </w:rPr>
        <w:t>Annex TBA</w:t>
      </w:r>
      <w:r>
        <w:rPr>
          <w:rFonts w:eastAsia="SimSun"/>
        </w:rPr>
        <w:t>, the minimum requirements are specified by the following:</w:t>
      </w:r>
    </w:p>
    <w:p w14:paraId="06237D94" w14:textId="77777777" w:rsidR="00241417" w:rsidRDefault="00241417" w:rsidP="00241417">
      <w:pPr>
        <w:ind w:left="568" w:hanging="284"/>
        <w:rPr>
          <w:rFonts w:eastAsia="SimSun"/>
        </w:rPr>
      </w:pPr>
      <w:r>
        <w:rPr>
          <w:rFonts w:eastAsia="SimSun"/>
        </w:rPr>
        <w:lastRenderedPageBreak/>
        <w:t>a)</w:t>
      </w:r>
      <w:r>
        <w:rPr>
          <w:rFonts w:eastAsia="SimSun"/>
        </w:rPr>
        <w:tab/>
        <w:t>The reported CQI value according to the reference channel shall be in the range of ±1 of the reported median more than 90% of the time.</w:t>
      </w:r>
    </w:p>
    <w:p w14:paraId="1A9557E2" w14:textId="77777777" w:rsidR="00241417" w:rsidRDefault="00241417" w:rsidP="00241417">
      <w:pPr>
        <w:ind w:left="568" w:hanging="284"/>
        <w:rPr>
          <w:rFonts w:eastAsia="SimSun"/>
        </w:rPr>
      </w:pPr>
      <w:r>
        <w:rPr>
          <w:rFonts w:eastAsia="SimSun"/>
        </w:rPr>
        <w:t>b)</w:t>
      </w:r>
      <w:r>
        <w:rPr>
          <w:rFonts w:eastAsia="SimSun"/>
        </w:rPr>
        <w:tab/>
        <w:t>If the PDSCH BLER using the transport format indicated by median CQI is less than or equal to 0.1, then the BLER using the transport format indicated by the (median CQI+1) shall be greater than 0.1. If the PDSCH BLER using the transport format indicated by the median CQI is greater than 0.1, then the BLER using transport format indicated by (median CQI-1) shall be less than or equal to 0.1.</w:t>
      </w:r>
    </w:p>
    <w:p w14:paraId="6E5926A8" w14:textId="77777777" w:rsidR="00241417" w:rsidRDefault="00241417" w:rsidP="00241417">
      <w:pPr>
        <w:ind w:left="568" w:hanging="284"/>
        <w:rPr>
          <w:rFonts w:eastAsia="SimSun"/>
        </w:rPr>
      </w:pPr>
    </w:p>
    <w:p w14:paraId="6D2CE5A7" w14:textId="77777777" w:rsidR="00241417" w:rsidRDefault="00241417" w:rsidP="00241417">
      <w:pPr>
        <w:pStyle w:val="Heading4"/>
      </w:pPr>
      <w:bookmarkStart w:id="3877" w:name="_Toc74583295"/>
      <w:bookmarkStart w:id="3878" w:name="_Toc76542108"/>
      <w:bookmarkStart w:id="3879" w:name="_Toc82450090"/>
      <w:bookmarkStart w:id="3880" w:name="_Toc82450738"/>
      <w:bookmarkStart w:id="3881" w:name="_Toc89949127"/>
      <w:bookmarkStart w:id="3882" w:name="_Toc98755516"/>
      <w:bookmarkStart w:id="3883" w:name="_Toc98763107"/>
      <w:bookmarkStart w:id="3884" w:name="_Toc106184036"/>
      <w:r>
        <w:t>8.2.3.3</w:t>
      </w:r>
      <w:r>
        <w:tab/>
        <w:t>R</w:t>
      </w:r>
      <w:r w:rsidRPr="004D33FB">
        <w:t>eporting</w:t>
      </w:r>
      <w:r>
        <w:t xml:space="preserve"> of Precoding Matrix Indicator (PMI)</w:t>
      </w:r>
      <w:bookmarkEnd w:id="3877"/>
      <w:bookmarkEnd w:id="3878"/>
      <w:bookmarkEnd w:id="3879"/>
      <w:bookmarkEnd w:id="3880"/>
      <w:bookmarkEnd w:id="3881"/>
      <w:bookmarkEnd w:id="3882"/>
      <w:bookmarkEnd w:id="3883"/>
      <w:bookmarkEnd w:id="3884"/>
    </w:p>
    <w:p w14:paraId="6E7323C9" w14:textId="77777777" w:rsidR="00241417" w:rsidRDefault="00241417" w:rsidP="00241417">
      <w:pPr>
        <w:pStyle w:val="Heading5"/>
        <w:rPr>
          <w:rFonts w:eastAsia="SimSun"/>
        </w:rPr>
      </w:pPr>
      <w:bookmarkStart w:id="3885" w:name="_Toc74583296"/>
      <w:bookmarkStart w:id="3886" w:name="_Toc76542109"/>
      <w:bookmarkStart w:id="3887" w:name="_Toc82450091"/>
      <w:bookmarkStart w:id="3888" w:name="_Toc82450739"/>
      <w:bookmarkStart w:id="3889" w:name="_Toc89949128"/>
      <w:bookmarkStart w:id="3890" w:name="_Toc98755517"/>
      <w:bookmarkStart w:id="3891" w:name="_Toc98763108"/>
      <w:bookmarkStart w:id="3892" w:name="_Toc106184037"/>
      <w:r>
        <w:t>8.2.3.3.1</w:t>
      </w:r>
      <w:r>
        <w:tab/>
        <w:t>General</w:t>
      </w:r>
      <w:bookmarkEnd w:id="3885"/>
      <w:bookmarkEnd w:id="3886"/>
      <w:bookmarkEnd w:id="3887"/>
      <w:bookmarkEnd w:id="3888"/>
      <w:bookmarkEnd w:id="3889"/>
      <w:bookmarkEnd w:id="3890"/>
      <w:bookmarkEnd w:id="3891"/>
      <w:bookmarkEnd w:id="3892"/>
    </w:p>
    <w:p w14:paraId="4DA52879" w14:textId="36F33ACF" w:rsidR="003F2900" w:rsidRDefault="003F2900" w:rsidP="003F2900">
      <w:pPr>
        <w:rPr>
          <w:rFonts w:eastAsia="SimSun"/>
        </w:rPr>
      </w:pPr>
      <w:bookmarkStart w:id="3893" w:name="_Hlk37069531"/>
      <w:r>
        <w:rPr>
          <w:rFonts w:eastAsia="SimSun"/>
        </w:rPr>
        <w:t xml:space="preserve">The minimum performance requirements of PMI reporting are defined based on the precoding gain, expressed as the relative increase in throughput when the transmitter is configured according to the </w:t>
      </w:r>
      <w:r>
        <w:rPr>
          <w:rFonts w:eastAsia="SimSun"/>
          <w:lang w:val="en-US" w:eastAsia="zh-CN"/>
        </w:rPr>
        <w:t>IAB-MT</w:t>
      </w:r>
      <w:r>
        <w:rPr>
          <w:rFonts w:eastAsia="SimSun"/>
        </w:rPr>
        <w:t xml:space="preserve"> reported PMI compared to the case when the transmitter is using random precoding, respectively. When the transmitter uses random precoding, for each PDSCH allocation a precoder is randomly generated </w:t>
      </w:r>
      <w:r>
        <w:t>with equal propability of each applicable i</w:t>
      </w:r>
      <w:r>
        <w:rPr>
          <w:vertAlign w:val="subscript"/>
        </w:rPr>
        <w:t>1</w:t>
      </w:r>
      <w:r>
        <w:t xml:space="preserve"> and i</w:t>
      </w:r>
      <w:r>
        <w:rPr>
          <w:vertAlign w:val="subscript"/>
        </w:rPr>
        <w:t>2</w:t>
      </w:r>
      <w:r>
        <w:t xml:space="preserve"> combination </w:t>
      </w:r>
      <w:r>
        <w:rPr>
          <w:rFonts w:eastAsia="SimSun"/>
        </w:rPr>
        <w:t>and applied to the PDSCH. A fixed transport format (FRC) is configured for all requirements.</w:t>
      </w:r>
    </w:p>
    <w:bookmarkEnd w:id="3893"/>
    <w:p w14:paraId="37381336" w14:textId="77777777" w:rsidR="00241417" w:rsidRPr="00C25669" w:rsidRDefault="00241417" w:rsidP="00241417">
      <w:pPr>
        <w:rPr>
          <w:rFonts w:eastAsia="SimSun"/>
          <w:lang w:eastAsia="zh-CN"/>
        </w:rPr>
      </w:pPr>
      <w:r w:rsidRPr="00C25669">
        <w:rPr>
          <w:rFonts w:eastAsia="SimSun"/>
        </w:rPr>
        <w:t xml:space="preserve">The requirements for transmission mode </w:t>
      </w:r>
      <w:r w:rsidRPr="00C25669">
        <w:rPr>
          <w:rFonts w:eastAsia="SimSun" w:hint="eastAsia"/>
        </w:rPr>
        <w:t>1</w:t>
      </w:r>
      <w:r w:rsidRPr="00C25669">
        <w:rPr>
          <w:rFonts w:eastAsia="SimSun"/>
        </w:rPr>
        <w:t xml:space="preserve"> with higher layer parameter </w:t>
      </w:r>
      <w:r w:rsidRPr="00C25669">
        <w:rPr>
          <w:rFonts w:eastAsia="SimSun"/>
          <w:i/>
        </w:rPr>
        <w:t>codebookType</w:t>
      </w:r>
      <w:r w:rsidRPr="00C25669">
        <w:rPr>
          <w:rFonts w:eastAsia="SimSun"/>
        </w:rPr>
        <w:t xml:space="preserve"> set to 'typeI-SinglePanel</w:t>
      </w:r>
      <w:r>
        <w:rPr>
          <w:rFonts w:ascii="Arial" w:eastAsia="SimSun" w:hAnsi="Arial"/>
          <w:sz w:val="18"/>
        </w:rPr>
        <w:t>'</w:t>
      </w:r>
      <w:r w:rsidRPr="00C25669">
        <w:rPr>
          <w:rFonts w:eastAsia="SimSun"/>
        </w:rPr>
        <w:t xml:space="preserve"> are specified in terms of the ratio</w:t>
      </w:r>
      <w:r w:rsidRPr="00C25669">
        <w:rPr>
          <w:rFonts w:eastAsia="SimSun" w:hint="eastAsia"/>
          <w:lang w:eastAsia="zh-CN"/>
        </w:rPr>
        <w:t>:</w:t>
      </w:r>
    </w:p>
    <w:p w14:paraId="7D45DE5F" w14:textId="77777777" w:rsidR="00241417" w:rsidRPr="00C25669" w:rsidRDefault="00241417" w:rsidP="00241417">
      <w:pPr>
        <w:pStyle w:val="EQ"/>
        <w:jc w:val="center"/>
      </w:pPr>
      <w:r w:rsidRPr="00C25669">
        <w:rPr>
          <w:lang w:eastAsia="ko-KR"/>
        </w:rPr>
        <w:object w:dxaOrig="2079" w:dyaOrig="740" w14:anchorId="50CF13BD">
          <v:shape id="_x0000_i1033" type="#_x0000_t75" style="width:103pt;height:37.1pt" o:ole="">
            <v:imagedata r:id="rId35" o:title=""/>
          </v:shape>
          <o:OLEObject Type="Embed" ProgID="Equation.3" ShapeID="_x0000_i1033" DrawAspect="Content" ObjectID="_1734764415" r:id="rId36"/>
        </w:object>
      </w:r>
    </w:p>
    <w:p w14:paraId="49F8E1AE" w14:textId="2C23EA72" w:rsidR="003F2900" w:rsidRDefault="003F2900" w:rsidP="003F2900">
      <w:pPr>
        <w:rPr>
          <w:rFonts w:eastAsia="SimSun"/>
          <w:lang w:eastAsia="zh-CN"/>
        </w:rPr>
      </w:pPr>
      <w:r>
        <w:rPr>
          <w:rFonts w:eastAsia="SimSun"/>
          <w:lang w:eastAsia="zh-CN"/>
        </w:rPr>
        <w:t xml:space="preserve">In the definition of </w:t>
      </w:r>
      <w:r>
        <w:rPr>
          <w:rFonts w:eastAsia="SimSun"/>
          <w:i/>
          <w:lang w:eastAsia="zh-CN"/>
        </w:rPr>
        <w:t>γ</w:t>
      </w:r>
      <w:r>
        <w:rPr>
          <w:rFonts w:eastAsia="SimSun"/>
          <w:lang w:eastAsia="zh-CN"/>
        </w:rPr>
        <w:t>, for 4TX,  8TX PMI requirements,</w:t>
      </w:r>
      <w:r>
        <w:rPr>
          <w:rFonts w:eastAsia="SimSun"/>
        </w:rPr>
        <w:t xml:space="preserve"> </w:t>
      </w:r>
      <w:r>
        <w:rPr>
          <w:position w:val="-14"/>
          <w:lang w:eastAsia="ko-KR"/>
        </w:rPr>
        <w:object w:dxaOrig="990" w:dyaOrig="300" w14:anchorId="26E78C2D">
          <v:shape id="_x0000_i1034" type="#_x0000_t75" style="width:49.85pt;height:15.5pt" o:ole="">
            <v:imagedata r:id="rId37" o:title=""/>
          </v:shape>
          <o:OLEObject Type="Embed" ProgID="Equation.DSMT4" ShapeID="_x0000_i1034" DrawAspect="Content" ObjectID="_1734764416" r:id="rId38"/>
        </w:object>
      </w:r>
      <w:r>
        <w:rPr>
          <w:rFonts w:eastAsia="SimSun"/>
          <w:lang w:eastAsia="zh-CN"/>
        </w:rPr>
        <w:t xml:space="preserve">is 90 % of the maximum throughput obtained at </w:t>
      </w:r>
      <w:r>
        <w:rPr>
          <w:position w:val="-14"/>
          <w:lang w:eastAsia="ko-KR"/>
        </w:rPr>
        <w:object w:dxaOrig="1260" w:dyaOrig="300" w14:anchorId="1BF95CF6">
          <v:shape id="_x0000_i1035" type="#_x0000_t75" style="width:63.7pt;height:15.5pt" o:ole="">
            <v:imagedata r:id="rId39" o:title=""/>
          </v:shape>
          <o:OLEObject Type="Embed" ProgID="Equation.DSMT4" ShapeID="_x0000_i1035" DrawAspect="Content" ObjectID="_1734764417" r:id="rId40"/>
        </w:object>
      </w:r>
      <w:r>
        <w:rPr>
          <w:rFonts w:eastAsia="SimSun"/>
          <w:lang w:eastAsia="zh-CN"/>
        </w:rPr>
        <w:t xml:space="preserve"> using the precoders configured according to the </w:t>
      </w:r>
      <w:r>
        <w:rPr>
          <w:rFonts w:eastAsia="SimSun"/>
          <w:lang w:val="en-US" w:eastAsia="zh-CN"/>
        </w:rPr>
        <w:t>IAB-MT</w:t>
      </w:r>
      <w:r>
        <w:rPr>
          <w:rFonts w:eastAsia="SimSun"/>
          <w:lang w:eastAsia="zh-CN"/>
        </w:rPr>
        <w:t xml:space="preserve"> reports, </w:t>
      </w:r>
      <w:r>
        <w:rPr>
          <w:rFonts w:eastAsia="SimSun"/>
        </w:rPr>
        <w:t xml:space="preserve">and </w:t>
      </w:r>
      <w:r>
        <w:rPr>
          <w:position w:val="-14"/>
          <w:lang w:eastAsia="ko-KR"/>
        </w:rPr>
        <w:object w:dxaOrig="765" w:dyaOrig="375" w14:anchorId="48700F33">
          <v:shape id="_x0000_i1036" type="#_x0000_t75" style="width:38.75pt;height:19.4pt" o:ole="">
            <v:imagedata r:id="rId41" o:title=""/>
          </v:shape>
          <o:OLEObject Type="Embed" ProgID="Equation.DSMT4" ShapeID="_x0000_i1036" DrawAspect="Content" ObjectID="_1734764418" r:id="rId42"/>
        </w:object>
      </w:r>
      <w:r>
        <w:rPr>
          <w:rFonts w:eastAsia="SimSun"/>
          <w:lang w:eastAsia="zh-CN"/>
        </w:rPr>
        <w:t xml:space="preserve">is </w:t>
      </w:r>
      <w:r>
        <w:rPr>
          <w:rFonts w:eastAsia="SimSun"/>
        </w:rPr>
        <w:t xml:space="preserve">the throughput measured at </w:t>
      </w:r>
      <w:r>
        <w:rPr>
          <w:position w:val="-14"/>
          <w:lang w:eastAsia="ko-KR"/>
        </w:rPr>
        <w:object w:dxaOrig="1290" w:dyaOrig="345" w14:anchorId="0E03FC76">
          <v:shape id="_x0000_i1037" type="#_x0000_t75" style="width:64.25pt;height:17.7pt" o:ole="">
            <v:imagedata r:id="rId39" o:title=""/>
          </v:shape>
          <o:OLEObject Type="Embed" ProgID="Equation.DSMT4" ShapeID="_x0000_i1037" DrawAspect="Content" ObjectID="_1734764419" r:id="rId43"/>
        </w:object>
      </w:r>
      <w:r>
        <w:rPr>
          <w:rFonts w:eastAsia="SimSun"/>
        </w:rPr>
        <w:t>with</w:t>
      </w:r>
      <w:r>
        <w:rPr>
          <w:rFonts w:eastAsia="SimSun"/>
          <w:lang w:eastAsia="zh-CN"/>
        </w:rPr>
        <w:t xml:space="preserve"> random precoding.</w:t>
      </w:r>
    </w:p>
    <w:p w14:paraId="127F8F2D" w14:textId="77777777" w:rsidR="00241417" w:rsidRDefault="00241417" w:rsidP="00241417">
      <w:pPr>
        <w:pStyle w:val="TH"/>
        <w:rPr>
          <w:lang w:eastAsia="zh-CN"/>
        </w:rPr>
      </w:pPr>
      <w:r w:rsidRPr="00C25669">
        <w:lastRenderedPageBreak/>
        <w:t xml:space="preserve">Table </w:t>
      </w:r>
      <w:r>
        <w:rPr>
          <w:lang w:eastAsia="zh-CN"/>
        </w:rPr>
        <w:t>8</w:t>
      </w:r>
      <w:r w:rsidRPr="00C25669">
        <w:rPr>
          <w:rFonts w:hint="eastAsia"/>
          <w:lang w:eastAsia="zh-CN"/>
        </w:rPr>
        <w:t>.</w:t>
      </w:r>
      <w:r>
        <w:rPr>
          <w:lang w:eastAsia="zh-CN"/>
        </w:rPr>
        <w:t>2</w:t>
      </w:r>
      <w:r w:rsidRPr="00C25669">
        <w:rPr>
          <w:rFonts w:hint="eastAsia"/>
          <w:lang w:eastAsia="zh-CN"/>
        </w:rPr>
        <w:t>.3.</w:t>
      </w:r>
      <w:r>
        <w:rPr>
          <w:lang w:eastAsia="zh-CN"/>
        </w:rPr>
        <w:t>3</w:t>
      </w:r>
      <w:r w:rsidRPr="00C25669">
        <w:rPr>
          <w:rFonts w:hint="eastAsia"/>
          <w:lang w:eastAsia="zh-CN"/>
        </w:rPr>
        <w:t>.1-1</w:t>
      </w:r>
      <w:r w:rsidRPr="00C25669">
        <w:t xml:space="preserve">: </w:t>
      </w:r>
      <w:r w:rsidRPr="00C25669">
        <w:rPr>
          <w:rFonts w:hint="eastAsia"/>
          <w:lang w:eastAsia="zh-CN"/>
        </w:rPr>
        <w:t>T</w:t>
      </w:r>
      <w:r w:rsidRPr="00C25669">
        <w:t xml:space="preserve">est parameters </w:t>
      </w:r>
      <w:r>
        <w:t>for testing PMI reporting</w:t>
      </w:r>
    </w:p>
    <w:tbl>
      <w:tblPr>
        <w:tblW w:w="96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06"/>
        <w:gridCol w:w="1730"/>
        <w:gridCol w:w="865"/>
        <w:gridCol w:w="2847"/>
        <w:gridCol w:w="2847"/>
      </w:tblGrid>
      <w:tr w:rsidR="00241417" w:rsidRPr="00C25669" w14:paraId="1ED48135"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hideMark/>
          </w:tcPr>
          <w:p w14:paraId="42A47DD9" w14:textId="77777777" w:rsidR="00241417" w:rsidRPr="00C25669" w:rsidRDefault="00241417" w:rsidP="003A71DE">
            <w:pPr>
              <w:keepNext/>
              <w:keepLines/>
              <w:spacing w:after="0"/>
              <w:jc w:val="center"/>
              <w:rPr>
                <w:rFonts w:ascii="Arial" w:hAnsi="Arial"/>
                <w:b/>
                <w:sz w:val="18"/>
              </w:rPr>
            </w:pPr>
            <w:r w:rsidRPr="00C25669">
              <w:rPr>
                <w:rFonts w:ascii="Arial" w:eastAsia="SimSun" w:hAnsi="Arial"/>
                <w:b/>
                <w:sz w:val="18"/>
              </w:rPr>
              <w:t>Parameter</w:t>
            </w:r>
          </w:p>
        </w:tc>
        <w:tc>
          <w:tcPr>
            <w:tcW w:w="865" w:type="dxa"/>
            <w:tcBorders>
              <w:top w:val="single" w:sz="4" w:space="0" w:color="auto"/>
              <w:left w:val="single" w:sz="4" w:space="0" w:color="auto"/>
              <w:bottom w:val="single" w:sz="4" w:space="0" w:color="auto"/>
              <w:right w:val="single" w:sz="4" w:space="0" w:color="auto"/>
            </w:tcBorders>
            <w:vAlign w:val="center"/>
            <w:hideMark/>
          </w:tcPr>
          <w:p w14:paraId="3B7CD921" w14:textId="77777777" w:rsidR="00241417" w:rsidRPr="00C25669" w:rsidRDefault="00241417" w:rsidP="003A71DE">
            <w:pPr>
              <w:keepNext/>
              <w:keepLines/>
              <w:spacing w:after="0"/>
              <w:jc w:val="center"/>
              <w:rPr>
                <w:rFonts w:ascii="Arial" w:hAnsi="Arial"/>
                <w:b/>
                <w:sz w:val="18"/>
              </w:rPr>
            </w:pPr>
            <w:r w:rsidRPr="00C25669">
              <w:rPr>
                <w:rFonts w:ascii="Arial" w:eastAsia="SimSun" w:hAnsi="Arial"/>
                <w:b/>
                <w:sz w:val="18"/>
              </w:rPr>
              <w:t>Unit</w:t>
            </w:r>
          </w:p>
        </w:tc>
        <w:tc>
          <w:tcPr>
            <w:tcW w:w="2847" w:type="dxa"/>
            <w:tcBorders>
              <w:top w:val="single" w:sz="4" w:space="0" w:color="auto"/>
              <w:left w:val="single" w:sz="4" w:space="0" w:color="auto"/>
              <w:bottom w:val="single" w:sz="4" w:space="0" w:color="auto"/>
              <w:right w:val="single" w:sz="4" w:space="0" w:color="auto"/>
            </w:tcBorders>
            <w:vAlign w:val="center"/>
            <w:hideMark/>
          </w:tcPr>
          <w:p w14:paraId="3FA2A506" w14:textId="77777777" w:rsidR="00241417" w:rsidRPr="00C25669" w:rsidRDefault="00241417" w:rsidP="003A71DE">
            <w:pPr>
              <w:keepNext/>
              <w:keepLines/>
              <w:spacing w:after="0"/>
              <w:jc w:val="center"/>
              <w:rPr>
                <w:rFonts w:ascii="Arial" w:hAnsi="Arial"/>
                <w:b/>
                <w:sz w:val="18"/>
              </w:rPr>
            </w:pPr>
            <w:r w:rsidRPr="00C25669">
              <w:rPr>
                <w:rFonts w:ascii="Arial" w:eastAsia="SimSun" w:hAnsi="Arial"/>
                <w:b/>
                <w:sz w:val="18"/>
              </w:rPr>
              <w:t>Test 1</w:t>
            </w:r>
          </w:p>
        </w:tc>
        <w:tc>
          <w:tcPr>
            <w:tcW w:w="2847" w:type="dxa"/>
            <w:tcBorders>
              <w:top w:val="single" w:sz="4" w:space="0" w:color="auto"/>
              <w:left w:val="single" w:sz="4" w:space="0" w:color="auto"/>
              <w:bottom w:val="single" w:sz="4" w:space="0" w:color="auto"/>
              <w:right w:val="single" w:sz="4" w:space="0" w:color="auto"/>
            </w:tcBorders>
          </w:tcPr>
          <w:p w14:paraId="5DA1AF72" w14:textId="77777777" w:rsidR="00241417" w:rsidRPr="00C25669" w:rsidRDefault="00241417" w:rsidP="003A71DE">
            <w:pPr>
              <w:keepNext/>
              <w:keepLines/>
              <w:spacing w:after="0"/>
              <w:jc w:val="center"/>
              <w:rPr>
                <w:rFonts w:ascii="Arial" w:eastAsia="SimSun" w:hAnsi="Arial"/>
                <w:b/>
                <w:sz w:val="18"/>
              </w:rPr>
            </w:pPr>
            <w:r>
              <w:rPr>
                <w:rFonts w:ascii="Arial" w:eastAsia="SimSun" w:hAnsi="Arial"/>
                <w:b/>
                <w:sz w:val="18"/>
              </w:rPr>
              <w:t>Test 2</w:t>
            </w:r>
          </w:p>
        </w:tc>
      </w:tr>
      <w:tr w:rsidR="00241417" w:rsidRPr="00C25669" w14:paraId="700F0598"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hideMark/>
          </w:tcPr>
          <w:p w14:paraId="596D8B18"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Bandwidth</w:t>
            </w:r>
          </w:p>
        </w:tc>
        <w:tc>
          <w:tcPr>
            <w:tcW w:w="865" w:type="dxa"/>
            <w:tcBorders>
              <w:top w:val="single" w:sz="4" w:space="0" w:color="auto"/>
              <w:left w:val="single" w:sz="4" w:space="0" w:color="auto"/>
              <w:bottom w:val="single" w:sz="4" w:space="0" w:color="auto"/>
              <w:right w:val="single" w:sz="4" w:space="0" w:color="auto"/>
            </w:tcBorders>
            <w:vAlign w:val="center"/>
            <w:hideMark/>
          </w:tcPr>
          <w:p w14:paraId="5A7E0470" w14:textId="77777777" w:rsidR="00241417" w:rsidRPr="00C25669" w:rsidRDefault="00241417" w:rsidP="003A71DE">
            <w:pPr>
              <w:keepNext/>
              <w:keepLines/>
              <w:spacing w:after="0"/>
              <w:jc w:val="center"/>
              <w:rPr>
                <w:rFonts w:ascii="Arial" w:hAnsi="Arial"/>
                <w:sz w:val="18"/>
              </w:rPr>
            </w:pPr>
            <w:r w:rsidRPr="00C25669">
              <w:rPr>
                <w:rFonts w:ascii="Arial" w:eastAsia="SimSun" w:hAnsi="Arial"/>
                <w:sz w:val="18"/>
              </w:rPr>
              <w:t>MHz</w:t>
            </w: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2F7D2C08"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40</w:t>
            </w:r>
          </w:p>
        </w:tc>
      </w:tr>
      <w:tr w:rsidR="00241417" w:rsidRPr="00C25669" w14:paraId="721BF622"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0B569E7E"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Subcarrier spacing</w:t>
            </w:r>
          </w:p>
        </w:tc>
        <w:tc>
          <w:tcPr>
            <w:tcW w:w="865" w:type="dxa"/>
            <w:tcBorders>
              <w:top w:val="single" w:sz="4" w:space="0" w:color="auto"/>
              <w:left w:val="single" w:sz="4" w:space="0" w:color="auto"/>
              <w:bottom w:val="single" w:sz="4" w:space="0" w:color="auto"/>
              <w:right w:val="single" w:sz="4" w:space="0" w:color="auto"/>
            </w:tcBorders>
            <w:vAlign w:val="center"/>
          </w:tcPr>
          <w:p w14:paraId="150B0E6F"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hint="eastAsia"/>
                <w:sz w:val="18"/>
                <w:lang w:eastAsia="zh-CN"/>
              </w:rPr>
              <w:t>kHz</w:t>
            </w: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643576D0"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30</w:t>
            </w:r>
          </w:p>
        </w:tc>
      </w:tr>
      <w:tr w:rsidR="00241417" w:rsidRPr="00C25669" w14:paraId="4309B909"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35BE57C2" w14:textId="77777777" w:rsidR="00241417" w:rsidRPr="00C25669" w:rsidRDefault="00241417" w:rsidP="003A71DE">
            <w:pPr>
              <w:keepNext/>
              <w:keepLines/>
              <w:spacing w:after="0"/>
              <w:rPr>
                <w:rFonts w:ascii="Arial" w:eastAsia="SimSun" w:hAnsi="Arial"/>
                <w:sz w:val="18"/>
                <w:lang w:eastAsia="zh-CN"/>
              </w:rPr>
            </w:pPr>
            <w:r w:rsidRPr="00C25669">
              <w:rPr>
                <w:rFonts w:ascii="Arial" w:eastAsia="SimSun" w:hAnsi="Arial" w:hint="eastAsia"/>
                <w:sz w:val="18"/>
                <w:lang w:eastAsia="zh-CN"/>
              </w:rPr>
              <w:t>TDD DL-UL configuration</w:t>
            </w:r>
            <w:r>
              <w:rPr>
                <w:rFonts w:ascii="Arial" w:eastAsia="SimSun" w:hAnsi="Arial"/>
                <w:sz w:val="18"/>
                <w:lang w:eastAsia="zh-CN"/>
              </w:rPr>
              <w:t xml:space="preserve"> (Note 1)</w:t>
            </w:r>
          </w:p>
        </w:tc>
        <w:tc>
          <w:tcPr>
            <w:tcW w:w="865" w:type="dxa"/>
            <w:tcBorders>
              <w:top w:val="single" w:sz="4" w:space="0" w:color="auto"/>
              <w:left w:val="single" w:sz="4" w:space="0" w:color="auto"/>
              <w:bottom w:val="single" w:sz="4" w:space="0" w:color="auto"/>
              <w:right w:val="single" w:sz="4" w:space="0" w:color="auto"/>
            </w:tcBorders>
            <w:vAlign w:val="center"/>
          </w:tcPr>
          <w:p w14:paraId="62398C69"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4CC774D" w14:textId="77777777" w:rsidR="00241417" w:rsidRPr="00046927" w:rsidRDefault="00241417" w:rsidP="003A71DE">
            <w:pPr>
              <w:keepNext/>
              <w:keepLines/>
              <w:spacing w:after="0"/>
              <w:jc w:val="center"/>
              <w:rPr>
                <w:rFonts w:ascii="Arial" w:eastAsia="SimSun" w:hAnsi="Arial"/>
                <w:sz w:val="18"/>
                <w:lang w:eastAsia="zh-CN"/>
              </w:rPr>
            </w:pPr>
            <w:r w:rsidRPr="00046927">
              <w:rPr>
                <w:rFonts w:ascii="Arial" w:eastAsia="SimSun" w:hAnsi="Arial"/>
                <w:sz w:val="18"/>
                <w:lang w:eastAsia="zh-CN"/>
              </w:rPr>
              <w:t>7D1S2U, S=6D:4G:4U</w:t>
            </w:r>
          </w:p>
        </w:tc>
      </w:tr>
      <w:tr w:rsidR="00241417" w:rsidRPr="00C25669" w14:paraId="0BFB19AA"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hideMark/>
          </w:tcPr>
          <w:p w14:paraId="670C75F8"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Propagation channel</w:t>
            </w:r>
          </w:p>
        </w:tc>
        <w:tc>
          <w:tcPr>
            <w:tcW w:w="865" w:type="dxa"/>
            <w:tcBorders>
              <w:top w:val="single" w:sz="4" w:space="0" w:color="auto"/>
              <w:left w:val="single" w:sz="4" w:space="0" w:color="auto"/>
              <w:bottom w:val="single" w:sz="4" w:space="0" w:color="auto"/>
              <w:right w:val="single" w:sz="4" w:space="0" w:color="auto"/>
            </w:tcBorders>
            <w:vAlign w:val="center"/>
          </w:tcPr>
          <w:p w14:paraId="641693EB"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1357CA1" w14:textId="77777777" w:rsidR="00241417" w:rsidRPr="00C25669" w:rsidRDefault="00241417" w:rsidP="003A71DE">
            <w:pPr>
              <w:keepNext/>
              <w:keepLines/>
              <w:spacing w:after="0"/>
              <w:jc w:val="center"/>
              <w:rPr>
                <w:rFonts w:ascii="Arial" w:eastAsia="SimSun" w:hAnsi="Arial"/>
                <w:kern w:val="2"/>
                <w:sz w:val="18"/>
                <w:lang w:eastAsia="zh-CN"/>
              </w:rPr>
            </w:pPr>
            <w:r w:rsidRPr="00C25669">
              <w:rPr>
                <w:rFonts w:ascii="Arial" w:eastAsia="SimSun" w:hAnsi="Arial" w:hint="eastAsia"/>
                <w:kern w:val="2"/>
                <w:sz w:val="18"/>
                <w:lang w:eastAsia="zh-CN"/>
              </w:rPr>
              <w:t>TDLA30-5</w:t>
            </w:r>
          </w:p>
        </w:tc>
      </w:tr>
      <w:tr w:rsidR="00241417" w:rsidRPr="00C25669" w14:paraId="1047E476"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hideMark/>
          </w:tcPr>
          <w:p w14:paraId="3B1434D2"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Antenna configuration</w:t>
            </w:r>
          </w:p>
        </w:tc>
        <w:tc>
          <w:tcPr>
            <w:tcW w:w="865" w:type="dxa"/>
            <w:tcBorders>
              <w:top w:val="single" w:sz="4" w:space="0" w:color="auto"/>
              <w:left w:val="single" w:sz="4" w:space="0" w:color="auto"/>
              <w:bottom w:val="single" w:sz="4" w:space="0" w:color="auto"/>
              <w:right w:val="single" w:sz="4" w:space="0" w:color="auto"/>
            </w:tcBorders>
            <w:vAlign w:val="center"/>
          </w:tcPr>
          <w:p w14:paraId="113B409F"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292ACF8E" w14:textId="77777777" w:rsidR="00241417" w:rsidRPr="00C25669" w:rsidRDefault="00241417" w:rsidP="003A71DE">
            <w:pPr>
              <w:keepNext/>
              <w:keepLines/>
              <w:spacing w:after="0"/>
              <w:jc w:val="center"/>
              <w:rPr>
                <w:rFonts w:ascii="Arial" w:eastAsia="SimSun" w:hAnsi="Arial"/>
                <w:kern w:val="2"/>
                <w:sz w:val="18"/>
                <w:lang w:eastAsia="zh-CN"/>
              </w:rPr>
            </w:pPr>
            <w:r w:rsidRPr="00C25669">
              <w:rPr>
                <w:rFonts w:ascii="Arial" w:eastAsia="SimSun" w:hAnsi="Arial"/>
                <w:kern w:val="2"/>
                <w:sz w:val="18"/>
                <w:lang w:eastAsia="zh-CN"/>
              </w:rPr>
              <w:t xml:space="preserve">High XP </w:t>
            </w:r>
            <w:r w:rsidRPr="00C25669">
              <w:rPr>
                <w:rFonts w:ascii="Arial" w:eastAsia="SimSun" w:hAnsi="Arial" w:hint="eastAsia"/>
                <w:kern w:val="2"/>
                <w:sz w:val="18"/>
                <w:lang w:eastAsia="zh-CN"/>
              </w:rPr>
              <w:t>4</w:t>
            </w:r>
            <w:r w:rsidRPr="00C25669">
              <w:rPr>
                <w:rFonts w:ascii="Arial" w:eastAsia="?? ??" w:hAnsi="Arial"/>
                <w:kern w:val="2"/>
                <w:sz w:val="18"/>
              </w:rPr>
              <w:t xml:space="preserve"> x </w:t>
            </w:r>
            <w:r w:rsidRPr="00C25669">
              <w:rPr>
                <w:rFonts w:ascii="Arial" w:eastAsia="SimSun" w:hAnsi="Arial" w:hint="eastAsia"/>
                <w:kern w:val="2"/>
                <w:sz w:val="18"/>
                <w:lang w:eastAsia="zh-CN"/>
              </w:rPr>
              <w:t>4</w:t>
            </w:r>
          </w:p>
          <w:p w14:paraId="6A695279" w14:textId="77777777" w:rsidR="00241417" w:rsidRPr="00C25669" w:rsidRDefault="00241417" w:rsidP="003A71DE">
            <w:pPr>
              <w:keepNext/>
              <w:keepLines/>
              <w:spacing w:after="0"/>
              <w:jc w:val="center"/>
              <w:rPr>
                <w:rFonts w:ascii="Arial" w:hAnsi="Arial"/>
                <w:sz w:val="18"/>
              </w:rPr>
            </w:pPr>
            <w:r w:rsidRPr="00C25669">
              <w:rPr>
                <w:rFonts w:ascii="Arial" w:eastAsia="SimSun" w:hAnsi="Arial" w:hint="eastAsia"/>
                <w:kern w:val="2"/>
                <w:sz w:val="18"/>
                <w:lang w:eastAsia="zh-CN"/>
              </w:rPr>
              <w:t>(N1,N2) = (2,1)</w:t>
            </w:r>
          </w:p>
        </w:tc>
        <w:tc>
          <w:tcPr>
            <w:tcW w:w="2847" w:type="dxa"/>
            <w:tcBorders>
              <w:top w:val="single" w:sz="4" w:space="0" w:color="auto"/>
              <w:left w:val="single" w:sz="4" w:space="0" w:color="auto"/>
              <w:bottom w:val="single" w:sz="4" w:space="0" w:color="auto"/>
              <w:right w:val="single" w:sz="4" w:space="0" w:color="auto"/>
            </w:tcBorders>
          </w:tcPr>
          <w:p w14:paraId="658DEEA1" w14:textId="77777777" w:rsidR="00241417" w:rsidRPr="00C25669" w:rsidRDefault="00241417" w:rsidP="003A71DE">
            <w:pPr>
              <w:keepNext/>
              <w:keepLines/>
              <w:spacing w:after="0"/>
              <w:jc w:val="center"/>
              <w:rPr>
                <w:rFonts w:ascii="Arial" w:eastAsia="SimSun" w:hAnsi="Arial"/>
                <w:kern w:val="2"/>
                <w:sz w:val="18"/>
                <w:lang w:eastAsia="zh-CN"/>
              </w:rPr>
            </w:pPr>
            <w:r w:rsidRPr="00C25669">
              <w:rPr>
                <w:rFonts w:ascii="Arial" w:eastAsia="SimSun" w:hAnsi="Arial"/>
                <w:kern w:val="2"/>
                <w:sz w:val="18"/>
                <w:lang w:eastAsia="zh-CN"/>
              </w:rPr>
              <w:t xml:space="preserve">High XP </w:t>
            </w:r>
            <w:r w:rsidRPr="00C25669">
              <w:rPr>
                <w:rFonts w:ascii="Arial" w:eastAsia="SimSun" w:hAnsi="Arial" w:hint="eastAsia"/>
                <w:kern w:val="2"/>
                <w:sz w:val="18"/>
                <w:lang w:eastAsia="zh-CN"/>
              </w:rPr>
              <w:t>8</w:t>
            </w:r>
            <w:r w:rsidRPr="00C25669">
              <w:rPr>
                <w:rFonts w:ascii="Arial" w:eastAsia="?? ??" w:hAnsi="Arial"/>
                <w:kern w:val="2"/>
                <w:sz w:val="18"/>
              </w:rPr>
              <w:t xml:space="preserve"> x </w:t>
            </w:r>
            <w:r w:rsidRPr="00C25669">
              <w:rPr>
                <w:rFonts w:ascii="Arial" w:eastAsia="SimSun" w:hAnsi="Arial" w:hint="eastAsia"/>
                <w:kern w:val="2"/>
                <w:sz w:val="18"/>
                <w:lang w:eastAsia="zh-CN"/>
              </w:rPr>
              <w:t>4</w:t>
            </w:r>
          </w:p>
          <w:p w14:paraId="11088E4D" w14:textId="77777777" w:rsidR="00241417" w:rsidRPr="00C25669" w:rsidRDefault="00241417" w:rsidP="003A71DE">
            <w:pPr>
              <w:keepNext/>
              <w:keepLines/>
              <w:spacing w:after="0"/>
              <w:jc w:val="center"/>
              <w:rPr>
                <w:rFonts w:ascii="Arial" w:eastAsia="SimSun" w:hAnsi="Arial"/>
                <w:kern w:val="2"/>
                <w:sz w:val="18"/>
                <w:lang w:eastAsia="zh-CN"/>
              </w:rPr>
            </w:pPr>
            <w:r w:rsidRPr="00C25669">
              <w:rPr>
                <w:rFonts w:ascii="Arial" w:eastAsia="SimSun" w:hAnsi="Arial" w:hint="eastAsia"/>
                <w:kern w:val="2"/>
                <w:sz w:val="18"/>
                <w:lang w:eastAsia="zh-CN"/>
              </w:rPr>
              <w:t>(N1,N2) = (4,1)</w:t>
            </w:r>
          </w:p>
        </w:tc>
      </w:tr>
      <w:tr w:rsidR="00241417" w:rsidRPr="00C25669" w14:paraId="218A2D6C"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hideMark/>
          </w:tcPr>
          <w:p w14:paraId="31143718"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Beamforming Model</w:t>
            </w:r>
          </w:p>
        </w:tc>
        <w:tc>
          <w:tcPr>
            <w:tcW w:w="865" w:type="dxa"/>
            <w:tcBorders>
              <w:top w:val="single" w:sz="4" w:space="0" w:color="auto"/>
              <w:left w:val="single" w:sz="4" w:space="0" w:color="auto"/>
              <w:bottom w:val="single" w:sz="4" w:space="0" w:color="auto"/>
              <w:right w:val="single" w:sz="4" w:space="0" w:color="auto"/>
            </w:tcBorders>
            <w:vAlign w:val="center"/>
          </w:tcPr>
          <w:p w14:paraId="6F925E58"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D3A52DF"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hint="eastAsia"/>
                <w:sz w:val="18"/>
              </w:rPr>
              <w:t xml:space="preserve">As specified in </w:t>
            </w:r>
            <w:r w:rsidRPr="00C25669">
              <w:rPr>
                <w:rFonts w:ascii="Arial" w:eastAsia="SimSun" w:hAnsi="Arial" w:hint="eastAsia"/>
                <w:sz w:val="18"/>
                <w:lang w:eastAsia="zh-CN"/>
              </w:rPr>
              <w:t xml:space="preserve">Annex </w:t>
            </w:r>
            <w:r>
              <w:rPr>
                <w:rFonts w:ascii="Arial" w:eastAsia="SimSun" w:hAnsi="Arial"/>
                <w:sz w:val="18"/>
                <w:lang w:eastAsia="zh-CN"/>
              </w:rPr>
              <w:t>TBA</w:t>
            </w:r>
          </w:p>
        </w:tc>
      </w:tr>
      <w:tr w:rsidR="00241417" w:rsidRPr="00C25669" w14:paraId="36B3DA8E" w14:textId="77777777" w:rsidTr="003A71DE">
        <w:trPr>
          <w:trHeight w:val="71"/>
          <w:jc w:val="center"/>
        </w:trPr>
        <w:tc>
          <w:tcPr>
            <w:tcW w:w="1406" w:type="dxa"/>
            <w:vMerge w:val="restart"/>
            <w:tcBorders>
              <w:top w:val="single" w:sz="4" w:space="0" w:color="auto"/>
              <w:left w:val="single" w:sz="4" w:space="0" w:color="auto"/>
              <w:right w:val="single" w:sz="4" w:space="0" w:color="auto"/>
            </w:tcBorders>
            <w:vAlign w:val="center"/>
            <w:hideMark/>
          </w:tcPr>
          <w:p w14:paraId="4CFD5E1A"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NZP CSI-RS for CSI acquisition</w:t>
            </w:r>
          </w:p>
          <w:p w14:paraId="2F0FEB6E"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vAlign w:val="center"/>
          </w:tcPr>
          <w:p w14:paraId="10C7A897"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CSI-RS resource</w:t>
            </w:r>
            <w:r w:rsidRPr="00C25669">
              <w:rPr>
                <w:rFonts w:ascii="Arial" w:eastAsia="SimSun" w:hAnsi="Arial" w:hint="eastAsia"/>
                <w:sz w:val="18"/>
              </w:rPr>
              <w:t xml:space="preserve"> </w:t>
            </w:r>
            <w:r w:rsidRPr="00C25669">
              <w:rPr>
                <w:rFonts w:ascii="Arial" w:eastAsia="SimSun" w:hAnsi="Arial"/>
                <w:sz w:val="18"/>
              </w:rPr>
              <w:t>Type</w:t>
            </w:r>
          </w:p>
        </w:tc>
        <w:tc>
          <w:tcPr>
            <w:tcW w:w="865" w:type="dxa"/>
            <w:tcBorders>
              <w:top w:val="single" w:sz="4" w:space="0" w:color="auto"/>
              <w:left w:val="single" w:sz="4" w:space="0" w:color="auto"/>
              <w:bottom w:val="single" w:sz="4" w:space="0" w:color="auto"/>
              <w:right w:val="single" w:sz="4" w:space="0" w:color="auto"/>
            </w:tcBorders>
            <w:vAlign w:val="center"/>
          </w:tcPr>
          <w:p w14:paraId="569B6339"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223A6EA8"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Aperiodic</w:t>
            </w:r>
          </w:p>
        </w:tc>
      </w:tr>
      <w:tr w:rsidR="00241417" w:rsidRPr="00C25669" w14:paraId="219A0328" w14:textId="77777777" w:rsidTr="003A71DE">
        <w:trPr>
          <w:trHeight w:val="71"/>
          <w:jc w:val="center"/>
        </w:trPr>
        <w:tc>
          <w:tcPr>
            <w:tcW w:w="1406" w:type="dxa"/>
            <w:vMerge/>
            <w:tcBorders>
              <w:left w:val="single" w:sz="4" w:space="0" w:color="auto"/>
              <w:right w:val="single" w:sz="4" w:space="0" w:color="auto"/>
            </w:tcBorders>
            <w:vAlign w:val="center"/>
          </w:tcPr>
          <w:p w14:paraId="2CD443EB"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vAlign w:val="center"/>
          </w:tcPr>
          <w:p w14:paraId="663E490A"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Number of CSI-RS ports (</w:t>
            </w:r>
            <w:r w:rsidRPr="00C25669">
              <w:rPr>
                <w:rFonts w:ascii="Arial" w:eastAsia="SimSun" w:hAnsi="Arial"/>
                <w:i/>
                <w:sz w:val="18"/>
              </w:rPr>
              <w:t>X</w:t>
            </w:r>
            <w:r w:rsidRPr="00C25669">
              <w:rPr>
                <w:rFonts w:ascii="Arial" w:eastAsia="SimSun" w:hAnsi="Arial"/>
                <w:sz w:val="18"/>
              </w:rPr>
              <w:t>)</w:t>
            </w:r>
          </w:p>
        </w:tc>
        <w:tc>
          <w:tcPr>
            <w:tcW w:w="865" w:type="dxa"/>
            <w:tcBorders>
              <w:top w:val="single" w:sz="4" w:space="0" w:color="auto"/>
              <w:left w:val="single" w:sz="4" w:space="0" w:color="auto"/>
              <w:bottom w:val="single" w:sz="4" w:space="0" w:color="auto"/>
              <w:right w:val="single" w:sz="4" w:space="0" w:color="auto"/>
            </w:tcBorders>
            <w:vAlign w:val="center"/>
          </w:tcPr>
          <w:p w14:paraId="7E84E716"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4BA22AC2"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4</w:t>
            </w:r>
          </w:p>
        </w:tc>
        <w:tc>
          <w:tcPr>
            <w:tcW w:w="2847" w:type="dxa"/>
            <w:tcBorders>
              <w:top w:val="single" w:sz="4" w:space="0" w:color="auto"/>
              <w:left w:val="single" w:sz="4" w:space="0" w:color="auto"/>
              <w:bottom w:val="single" w:sz="4" w:space="0" w:color="auto"/>
              <w:right w:val="single" w:sz="4" w:space="0" w:color="auto"/>
            </w:tcBorders>
            <w:vAlign w:val="center"/>
          </w:tcPr>
          <w:p w14:paraId="274F2061" w14:textId="77777777" w:rsidR="00241417" w:rsidRPr="00C25669"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8</w:t>
            </w:r>
          </w:p>
        </w:tc>
      </w:tr>
      <w:tr w:rsidR="00241417" w:rsidRPr="00C25669" w14:paraId="1AD6555B" w14:textId="77777777" w:rsidTr="003A71DE">
        <w:trPr>
          <w:trHeight w:val="71"/>
          <w:jc w:val="center"/>
        </w:trPr>
        <w:tc>
          <w:tcPr>
            <w:tcW w:w="1406" w:type="dxa"/>
            <w:vMerge/>
            <w:tcBorders>
              <w:left w:val="single" w:sz="4" w:space="0" w:color="auto"/>
              <w:right w:val="single" w:sz="4" w:space="0" w:color="auto"/>
            </w:tcBorders>
            <w:vAlign w:val="center"/>
            <w:hideMark/>
          </w:tcPr>
          <w:p w14:paraId="2C77C7CF"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vAlign w:val="center"/>
          </w:tcPr>
          <w:p w14:paraId="0A392579"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CDM Type</w:t>
            </w:r>
          </w:p>
        </w:tc>
        <w:tc>
          <w:tcPr>
            <w:tcW w:w="865" w:type="dxa"/>
            <w:tcBorders>
              <w:top w:val="single" w:sz="4" w:space="0" w:color="auto"/>
              <w:left w:val="single" w:sz="4" w:space="0" w:color="auto"/>
              <w:bottom w:val="single" w:sz="4" w:space="0" w:color="auto"/>
              <w:right w:val="single" w:sz="4" w:space="0" w:color="auto"/>
            </w:tcBorders>
            <w:vAlign w:val="center"/>
          </w:tcPr>
          <w:p w14:paraId="4D5F3B31"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596EB565"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FD-CDM2</w:t>
            </w:r>
          </w:p>
        </w:tc>
        <w:tc>
          <w:tcPr>
            <w:tcW w:w="2847" w:type="dxa"/>
            <w:tcBorders>
              <w:top w:val="single" w:sz="4" w:space="0" w:color="auto"/>
              <w:left w:val="single" w:sz="4" w:space="0" w:color="auto"/>
              <w:bottom w:val="single" w:sz="4" w:space="0" w:color="auto"/>
              <w:right w:val="single" w:sz="4" w:space="0" w:color="auto"/>
            </w:tcBorders>
          </w:tcPr>
          <w:p w14:paraId="0731C16E" w14:textId="77777777" w:rsidR="00241417" w:rsidRPr="00C25669" w:rsidRDefault="00241417" w:rsidP="003A71DE">
            <w:pPr>
              <w:keepNext/>
              <w:keepLines/>
              <w:spacing w:after="0"/>
              <w:jc w:val="center"/>
              <w:rPr>
                <w:rFonts w:ascii="Arial" w:eastAsia="SimSun" w:hAnsi="Arial"/>
                <w:sz w:val="18"/>
                <w:lang w:eastAsia="zh-CN"/>
              </w:rPr>
            </w:pPr>
            <w:r w:rsidRPr="00B05356">
              <w:rPr>
                <w:rFonts w:ascii="Arial" w:eastAsia="SimSun" w:hAnsi="Arial"/>
                <w:sz w:val="18"/>
                <w:lang w:eastAsia="zh-CN"/>
              </w:rPr>
              <w:t>CDM4 (FD2, TD2)</w:t>
            </w:r>
          </w:p>
        </w:tc>
      </w:tr>
      <w:tr w:rsidR="00241417" w:rsidRPr="00C25669" w14:paraId="218C1290" w14:textId="77777777" w:rsidTr="003A71DE">
        <w:trPr>
          <w:trHeight w:val="71"/>
          <w:jc w:val="center"/>
        </w:trPr>
        <w:tc>
          <w:tcPr>
            <w:tcW w:w="1406" w:type="dxa"/>
            <w:vMerge/>
            <w:tcBorders>
              <w:left w:val="single" w:sz="4" w:space="0" w:color="auto"/>
              <w:right w:val="single" w:sz="4" w:space="0" w:color="auto"/>
            </w:tcBorders>
            <w:vAlign w:val="center"/>
            <w:hideMark/>
          </w:tcPr>
          <w:p w14:paraId="2B9546F9"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vAlign w:val="center"/>
          </w:tcPr>
          <w:p w14:paraId="18D079CE"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Density (ρ)</w:t>
            </w:r>
          </w:p>
        </w:tc>
        <w:tc>
          <w:tcPr>
            <w:tcW w:w="865" w:type="dxa"/>
            <w:tcBorders>
              <w:top w:val="single" w:sz="4" w:space="0" w:color="auto"/>
              <w:left w:val="single" w:sz="4" w:space="0" w:color="auto"/>
              <w:bottom w:val="single" w:sz="4" w:space="0" w:color="auto"/>
              <w:right w:val="single" w:sz="4" w:space="0" w:color="auto"/>
            </w:tcBorders>
            <w:vAlign w:val="center"/>
          </w:tcPr>
          <w:p w14:paraId="10DD81EC"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1CCDE30C"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1</w:t>
            </w:r>
          </w:p>
        </w:tc>
      </w:tr>
      <w:tr w:rsidR="00241417" w:rsidRPr="00C25669" w14:paraId="5437BC4B" w14:textId="77777777" w:rsidTr="003A71DE">
        <w:trPr>
          <w:trHeight w:val="71"/>
          <w:jc w:val="center"/>
        </w:trPr>
        <w:tc>
          <w:tcPr>
            <w:tcW w:w="1406" w:type="dxa"/>
            <w:vMerge/>
            <w:tcBorders>
              <w:left w:val="single" w:sz="4" w:space="0" w:color="auto"/>
              <w:right w:val="single" w:sz="4" w:space="0" w:color="auto"/>
            </w:tcBorders>
            <w:vAlign w:val="center"/>
            <w:hideMark/>
          </w:tcPr>
          <w:p w14:paraId="15B0D191" w14:textId="77777777" w:rsidR="00241417" w:rsidRPr="00C25669" w:rsidRDefault="00241417" w:rsidP="003A71DE">
            <w:pPr>
              <w:keepNext/>
              <w:keepLines/>
              <w:spacing w:after="0"/>
              <w:rPr>
                <w:rFonts w:ascii="Arial" w:hAnsi="Arial"/>
                <w:b/>
                <w:sz w:val="18"/>
              </w:rPr>
            </w:pPr>
          </w:p>
        </w:tc>
        <w:tc>
          <w:tcPr>
            <w:tcW w:w="1730" w:type="dxa"/>
            <w:tcBorders>
              <w:top w:val="single" w:sz="4" w:space="0" w:color="auto"/>
              <w:left w:val="single" w:sz="4" w:space="0" w:color="auto"/>
              <w:bottom w:val="single" w:sz="4" w:space="0" w:color="auto"/>
              <w:right w:val="single" w:sz="4" w:space="0" w:color="auto"/>
            </w:tcBorders>
            <w:vAlign w:val="center"/>
          </w:tcPr>
          <w:p w14:paraId="3B646471"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First subcarrier index in the PRB used for CSI-RS</w:t>
            </w:r>
            <w:r w:rsidRPr="00C25669" w:rsidDel="0032520A">
              <w:rPr>
                <w:rFonts w:ascii="Arial" w:eastAsia="SimSun" w:hAnsi="Arial"/>
                <w:sz w:val="18"/>
              </w:rPr>
              <w:t xml:space="preserve"> </w:t>
            </w:r>
            <w:r w:rsidRPr="00C25669">
              <w:rPr>
                <w:rFonts w:ascii="Arial" w:eastAsia="SimSun" w:hAnsi="Arial"/>
                <w:sz w:val="18"/>
              </w:rPr>
              <w:t>(k</w:t>
            </w:r>
            <w:r w:rsidRPr="00C25669">
              <w:rPr>
                <w:rFonts w:ascii="Arial" w:eastAsia="SimSun" w:hAnsi="Arial"/>
                <w:sz w:val="18"/>
                <w:vertAlign w:val="subscript"/>
              </w:rPr>
              <w:t>0</w:t>
            </w:r>
            <w:r w:rsidRPr="00C25669">
              <w:rPr>
                <w:rFonts w:ascii="Arial" w:eastAsia="SimSun" w:hAnsi="Arial"/>
                <w:sz w:val="18"/>
              </w:rPr>
              <w:t>, k</w:t>
            </w:r>
            <w:r w:rsidRPr="00C25669">
              <w:rPr>
                <w:rFonts w:ascii="Arial" w:eastAsia="SimSun" w:hAnsi="Arial"/>
                <w:sz w:val="18"/>
                <w:vertAlign w:val="subscript"/>
              </w:rPr>
              <w:t>1</w:t>
            </w:r>
            <w:r w:rsidRPr="00C25669">
              <w:rPr>
                <w:rFonts w:ascii="Arial" w:eastAsia="SimSun" w:hAnsi="Arial"/>
                <w:sz w:val="18"/>
              </w:rPr>
              <w:t>)</w:t>
            </w:r>
          </w:p>
        </w:tc>
        <w:tc>
          <w:tcPr>
            <w:tcW w:w="865" w:type="dxa"/>
            <w:tcBorders>
              <w:top w:val="single" w:sz="4" w:space="0" w:color="auto"/>
              <w:left w:val="single" w:sz="4" w:space="0" w:color="auto"/>
              <w:bottom w:val="single" w:sz="4" w:space="0" w:color="auto"/>
              <w:right w:val="single" w:sz="4" w:space="0" w:color="auto"/>
            </w:tcBorders>
            <w:vAlign w:val="center"/>
          </w:tcPr>
          <w:p w14:paraId="156E28CE"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3E2033F0"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Row 4, (0,-)</w:t>
            </w:r>
          </w:p>
        </w:tc>
        <w:tc>
          <w:tcPr>
            <w:tcW w:w="2847" w:type="dxa"/>
            <w:tcBorders>
              <w:top w:val="single" w:sz="4" w:space="0" w:color="auto"/>
              <w:left w:val="single" w:sz="4" w:space="0" w:color="auto"/>
              <w:bottom w:val="single" w:sz="4" w:space="0" w:color="auto"/>
              <w:right w:val="single" w:sz="4" w:space="0" w:color="auto"/>
            </w:tcBorders>
            <w:vAlign w:val="center"/>
          </w:tcPr>
          <w:p w14:paraId="74755481" w14:textId="77777777" w:rsidR="00241417" w:rsidRPr="00C25669" w:rsidRDefault="00241417" w:rsidP="003A71DE">
            <w:pPr>
              <w:keepNext/>
              <w:keepLines/>
              <w:spacing w:after="0"/>
              <w:jc w:val="center"/>
              <w:rPr>
                <w:rFonts w:ascii="Arial" w:eastAsia="SimSun" w:hAnsi="Arial"/>
                <w:sz w:val="18"/>
                <w:lang w:eastAsia="zh-CN"/>
              </w:rPr>
            </w:pPr>
            <w:r w:rsidRPr="0095480C">
              <w:rPr>
                <w:rFonts w:ascii="Arial" w:eastAsia="SimSun" w:hAnsi="Arial"/>
                <w:sz w:val="18"/>
                <w:lang w:eastAsia="zh-CN"/>
              </w:rPr>
              <w:t>Row 8, (4,6)</w:t>
            </w:r>
          </w:p>
        </w:tc>
      </w:tr>
      <w:tr w:rsidR="00241417" w:rsidRPr="00C25669" w14:paraId="4758B2E8" w14:textId="77777777" w:rsidTr="003A71DE">
        <w:trPr>
          <w:trHeight w:val="71"/>
          <w:jc w:val="center"/>
        </w:trPr>
        <w:tc>
          <w:tcPr>
            <w:tcW w:w="1406" w:type="dxa"/>
            <w:vMerge/>
            <w:tcBorders>
              <w:left w:val="single" w:sz="4" w:space="0" w:color="auto"/>
              <w:right w:val="single" w:sz="4" w:space="0" w:color="auto"/>
            </w:tcBorders>
            <w:vAlign w:val="center"/>
            <w:hideMark/>
          </w:tcPr>
          <w:p w14:paraId="793F6495"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vAlign w:val="center"/>
          </w:tcPr>
          <w:p w14:paraId="10029215"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First OFDM symbol in the PRB used for CSI-RS (l</w:t>
            </w:r>
            <w:r w:rsidRPr="00C25669">
              <w:rPr>
                <w:rFonts w:ascii="Arial" w:eastAsia="SimSun" w:hAnsi="Arial"/>
                <w:sz w:val="18"/>
                <w:vertAlign w:val="subscript"/>
              </w:rPr>
              <w:t>0</w:t>
            </w:r>
            <w:r w:rsidRPr="00C25669">
              <w:rPr>
                <w:rFonts w:ascii="Arial" w:eastAsia="SimSun" w:hAnsi="Arial"/>
                <w:sz w:val="18"/>
              </w:rPr>
              <w:t>, l</w:t>
            </w:r>
            <w:r w:rsidRPr="00C25669">
              <w:rPr>
                <w:rFonts w:ascii="Arial" w:eastAsia="SimSun" w:hAnsi="Arial"/>
                <w:sz w:val="18"/>
                <w:vertAlign w:val="subscript"/>
              </w:rPr>
              <w:t>1</w:t>
            </w:r>
            <w:r w:rsidRPr="00C25669">
              <w:rPr>
                <w:rFonts w:ascii="Arial" w:eastAsia="SimSun" w:hAnsi="Arial"/>
                <w:sz w:val="18"/>
              </w:rPr>
              <w:t>)</w:t>
            </w:r>
          </w:p>
        </w:tc>
        <w:tc>
          <w:tcPr>
            <w:tcW w:w="865" w:type="dxa"/>
            <w:tcBorders>
              <w:top w:val="single" w:sz="4" w:space="0" w:color="auto"/>
              <w:left w:val="single" w:sz="4" w:space="0" w:color="auto"/>
              <w:bottom w:val="single" w:sz="4" w:space="0" w:color="auto"/>
              <w:right w:val="single" w:sz="4" w:space="0" w:color="auto"/>
            </w:tcBorders>
            <w:vAlign w:val="center"/>
          </w:tcPr>
          <w:p w14:paraId="4DAADD1C"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2EF15ED4"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(13,-)</w:t>
            </w:r>
          </w:p>
        </w:tc>
        <w:tc>
          <w:tcPr>
            <w:tcW w:w="2847" w:type="dxa"/>
            <w:tcBorders>
              <w:top w:val="single" w:sz="4" w:space="0" w:color="auto"/>
              <w:left w:val="single" w:sz="4" w:space="0" w:color="auto"/>
              <w:bottom w:val="single" w:sz="4" w:space="0" w:color="auto"/>
              <w:right w:val="single" w:sz="4" w:space="0" w:color="auto"/>
            </w:tcBorders>
            <w:vAlign w:val="center"/>
          </w:tcPr>
          <w:p w14:paraId="7CCFB4D1" w14:textId="77777777" w:rsidR="00241417" w:rsidRPr="00C25669" w:rsidRDefault="00241417" w:rsidP="003A71DE">
            <w:pPr>
              <w:keepNext/>
              <w:keepLines/>
              <w:spacing w:after="0"/>
              <w:jc w:val="center"/>
              <w:rPr>
                <w:rFonts w:ascii="Arial" w:eastAsia="SimSun" w:hAnsi="Arial"/>
                <w:sz w:val="18"/>
                <w:lang w:eastAsia="zh-CN"/>
              </w:rPr>
            </w:pPr>
            <w:r w:rsidRPr="00593A8A">
              <w:rPr>
                <w:rFonts w:ascii="Arial" w:eastAsia="SimSun" w:hAnsi="Arial"/>
                <w:sz w:val="18"/>
                <w:lang w:eastAsia="zh-CN"/>
              </w:rPr>
              <w:t>(5,-)</w:t>
            </w:r>
          </w:p>
        </w:tc>
      </w:tr>
      <w:tr w:rsidR="00241417" w:rsidRPr="00C25669" w14:paraId="76205AD3" w14:textId="77777777" w:rsidTr="003A71DE">
        <w:trPr>
          <w:trHeight w:val="424"/>
          <w:jc w:val="center"/>
        </w:trPr>
        <w:tc>
          <w:tcPr>
            <w:tcW w:w="1406" w:type="dxa"/>
            <w:vMerge/>
            <w:tcBorders>
              <w:left w:val="single" w:sz="4" w:space="0" w:color="auto"/>
              <w:right w:val="single" w:sz="4" w:space="0" w:color="auto"/>
            </w:tcBorders>
            <w:vAlign w:val="center"/>
          </w:tcPr>
          <w:p w14:paraId="30D44739"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right w:val="single" w:sz="4" w:space="0" w:color="auto"/>
            </w:tcBorders>
            <w:vAlign w:val="center"/>
          </w:tcPr>
          <w:p w14:paraId="5ABD207C"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CSI-RS</w:t>
            </w:r>
          </w:p>
          <w:p w14:paraId="24941987" w14:textId="77777777" w:rsidR="00241417" w:rsidRPr="00C25669" w:rsidRDefault="00241417" w:rsidP="003A71DE">
            <w:pPr>
              <w:keepNext/>
              <w:keepLines/>
              <w:spacing w:after="0"/>
              <w:rPr>
                <w:rFonts w:ascii="Arial" w:eastAsia="SimSun" w:hAnsi="Arial"/>
                <w:sz w:val="18"/>
              </w:rPr>
            </w:pPr>
            <w:r w:rsidRPr="00C25669">
              <w:rPr>
                <w:rFonts w:ascii="Arial" w:eastAsia="SimSun" w:hAnsi="Arial" w:hint="eastAsia"/>
                <w:sz w:val="18"/>
                <w:lang w:eastAsia="zh-CN"/>
              </w:rPr>
              <w:t>interval</w:t>
            </w:r>
            <w:r w:rsidRPr="00C25669">
              <w:rPr>
                <w:rFonts w:ascii="Arial" w:eastAsia="SimSun" w:hAnsi="Arial"/>
                <w:sz w:val="18"/>
              </w:rPr>
              <w:t xml:space="preserve"> and offset</w:t>
            </w:r>
          </w:p>
        </w:tc>
        <w:tc>
          <w:tcPr>
            <w:tcW w:w="865" w:type="dxa"/>
            <w:tcBorders>
              <w:top w:val="single" w:sz="4" w:space="0" w:color="auto"/>
              <w:left w:val="single" w:sz="4" w:space="0" w:color="auto"/>
              <w:right w:val="single" w:sz="4" w:space="0" w:color="auto"/>
            </w:tcBorders>
            <w:vAlign w:val="center"/>
          </w:tcPr>
          <w:p w14:paraId="60A419C5" w14:textId="77777777" w:rsidR="00241417" w:rsidRPr="00C25669" w:rsidRDefault="00241417" w:rsidP="003A71DE">
            <w:pPr>
              <w:keepNext/>
              <w:keepLines/>
              <w:spacing w:after="0"/>
              <w:jc w:val="center"/>
              <w:rPr>
                <w:rFonts w:ascii="Arial" w:hAnsi="Arial"/>
                <w:sz w:val="18"/>
              </w:rPr>
            </w:pPr>
            <w:r>
              <w:rPr>
                <w:rFonts w:ascii="Arial" w:hAnsi="Arial"/>
                <w:sz w:val="18"/>
              </w:rPr>
              <w:t>slot</w:t>
            </w:r>
          </w:p>
        </w:tc>
        <w:tc>
          <w:tcPr>
            <w:tcW w:w="5694" w:type="dxa"/>
            <w:gridSpan w:val="2"/>
            <w:tcBorders>
              <w:top w:val="single" w:sz="4" w:space="0" w:color="auto"/>
              <w:left w:val="single" w:sz="4" w:space="0" w:color="auto"/>
              <w:right w:val="single" w:sz="4" w:space="0" w:color="auto"/>
            </w:tcBorders>
            <w:vAlign w:val="center"/>
          </w:tcPr>
          <w:p w14:paraId="127D9095"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Not configured</w:t>
            </w:r>
          </w:p>
        </w:tc>
      </w:tr>
      <w:tr w:rsidR="00241417" w:rsidRPr="00C25669" w14:paraId="6825C7FF"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5249416B"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ReportConfigType</w:t>
            </w:r>
          </w:p>
        </w:tc>
        <w:tc>
          <w:tcPr>
            <w:tcW w:w="865" w:type="dxa"/>
            <w:tcBorders>
              <w:top w:val="single" w:sz="4" w:space="0" w:color="auto"/>
              <w:left w:val="single" w:sz="4" w:space="0" w:color="auto"/>
              <w:bottom w:val="single" w:sz="4" w:space="0" w:color="auto"/>
              <w:right w:val="single" w:sz="4" w:space="0" w:color="auto"/>
            </w:tcBorders>
            <w:vAlign w:val="center"/>
          </w:tcPr>
          <w:p w14:paraId="5F5F8DF2"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6FD56237"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Aperiodic</w:t>
            </w:r>
          </w:p>
        </w:tc>
      </w:tr>
      <w:tr w:rsidR="00241417" w:rsidRPr="00C25669" w14:paraId="522B4E91"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0C7670C2"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CQI-table</w:t>
            </w:r>
          </w:p>
        </w:tc>
        <w:tc>
          <w:tcPr>
            <w:tcW w:w="865" w:type="dxa"/>
            <w:tcBorders>
              <w:top w:val="single" w:sz="4" w:space="0" w:color="auto"/>
              <w:left w:val="single" w:sz="4" w:space="0" w:color="auto"/>
              <w:bottom w:val="single" w:sz="4" w:space="0" w:color="auto"/>
              <w:right w:val="single" w:sz="4" w:space="0" w:color="auto"/>
            </w:tcBorders>
            <w:vAlign w:val="center"/>
          </w:tcPr>
          <w:p w14:paraId="36D08444"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786EEA9C"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Table 1</w:t>
            </w:r>
          </w:p>
        </w:tc>
      </w:tr>
      <w:tr w:rsidR="00241417" w:rsidRPr="00C25669" w14:paraId="72442A92"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62720018"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reportQuantity</w:t>
            </w:r>
          </w:p>
        </w:tc>
        <w:tc>
          <w:tcPr>
            <w:tcW w:w="865" w:type="dxa"/>
            <w:tcBorders>
              <w:top w:val="single" w:sz="4" w:space="0" w:color="auto"/>
              <w:left w:val="single" w:sz="4" w:space="0" w:color="auto"/>
              <w:bottom w:val="single" w:sz="4" w:space="0" w:color="auto"/>
              <w:right w:val="single" w:sz="4" w:space="0" w:color="auto"/>
            </w:tcBorders>
            <w:vAlign w:val="center"/>
          </w:tcPr>
          <w:p w14:paraId="4A7A7661"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71C4306"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lang w:eastAsia="zh-CN"/>
              </w:rPr>
              <w:t>cri-RI-PMI-CQI</w:t>
            </w:r>
          </w:p>
        </w:tc>
      </w:tr>
      <w:tr w:rsidR="00241417" w:rsidRPr="00C25669" w14:paraId="5A9019FA"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3C222ABC"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cqi-FormatIndicator</w:t>
            </w:r>
          </w:p>
        </w:tc>
        <w:tc>
          <w:tcPr>
            <w:tcW w:w="865" w:type="dxa"/>
            <w:tcBorders>
              <w:top w:val="single" w:sz="4" w:space="0" w:color="auto"/>
              <w:left w:val="single" w:sz="4" w:space="0" w:color="auto"/>
              <w:bottom w:val="single" w:sz="4" w:space="0" w:color="auto"/>
              <w:right w:val="single" w:sz="4" w:space="0" w:color="auto"/>
            </w:tcBorders>
            <w:vAlign w:val="center"/>
          </w:tcPr>
          <w:p w14:paraId="05CE4657"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56D3B7D"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Wideband</w:t>
            </w:r>
          </w:p>
        </w:tc>
      </w:tr>
      <w:tr w:rsidR="00241417" w:rsidRPr="00C25669" w14:paraId="2BD17FF5"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6541776A"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pmi-FormatIndicator</w:t>
            </w:r>
            <w:r w:rsidRPr="00C25669">
              <w:rPr>
                <w:rFonts w:ascii="Arial" w:eastAsia="SimSun" w:hAnsi="Arial"/>
                <w:i/>
                <w:sz w:val="18"/>
              </w:rPr>
              <w:t xml:space="preserve">  </w:t>
            </w:r>
          </w:p>
        </w:tc>
        <w:tc>
          <w:tcPr>
            <w:tcW w:w="865" w:type="dxa"/>
            <w:tcBorders>
              <w:top w:val="single" w:sz="4" w:space="0" w:color="auto"/>
              <w:left w:val="single" w:sz="4" w:space="0" w:color="auto"/>
              <w:bottom w:val="single" w:sz="4" w:space="0" w:color="auto"/>
              <w:right w:val="single" w:sz="4" w:space="0" w:color="auto"/>
            </w:tcBorders>
            <w:vAlign w:val="center"/>
          </w:tcPr>
          <w:p w14:paraId="1B8F176B"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B822BA7"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Wideband</w:t>
            </w:r>
          </w:p>
        </w:tc>
      </w:tr>
      <w:tr w:rsidR="00241417" w:rsidRPr="00C25669" w14:paraId="39AFC20C"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1F26AF20" w14:textId="77777777" w:rsidR="00241417" w:rsidRPr="00C25669" w:rsidRDefault="00241417" w:rsidP="003A71DE">
            <w:pPr>
              <w:keepNext/>
              <w:keepLines/>
              <w:spacing w:after="0"/>
              <w:rPr>
                <w:rFonts w:ascii="Arial" w:eastAsia="SimSun" w:hAnsi="Arial"/>
                <w:sz w:val="18"/>
              </w:rPr>
            </w:pPr>
            <w:r w:rsidRPr="00C25669">
              <w:rPr>
                <w:rFonts w:ascii="Arial" w:eastAsia="SimSun" w:hAnsi="Arial" w:cs="Arial"/>
                <w:sz w:val="18"/>
                <w:szCs w:val="18"/>
              </w:rPr>
              <w:t>Sub-band Size</w:t>
            </w:r>
          </w:p>
        </w:tc>
        <w:tc>
          <w:tcPr>
            <w:tcW w:w="865" w:type="dxa"/>
            <w:tcBorders>
              <w:top w:val="single" w:sz="4" w:space="0" w:color="auto"/>
              <w:left w:val="single" w:sz="4" w:space="0" w:color="auto"/>
              <w:bottom w:val="single" w:sz="4" w:space="0" w:color="auto"/>
              <w:right w:val="single" w:sz="4" w:space="0" w:color="auto"/>
            </w:tcBorders>
            <w:vAlign w:val="center"/>
          </w:tcPr>
          <w:p w14:paraId="2A191F4A" w14:textId="77777777" w:rsidR="00241417" w:rsidRPr="00C25669" w:rsidRDefault="00241417" w:rsidP="003A71DE">
            <w:pPr>
              <w:keepNext/>
              <w:keepLines/>
              <w:spacing w:after="0"/>
              <w:jc w:val="center"/>
              <w:rPr>
                <w:rFonts w:ascii="Arial" w:hAnsi="Arial"/>
                <w:sz w:val="18"/>
              </w:rPr>
            </w:pPr>
            <w:r w:rsidRPr="00C25669">
              <w:rPr>
                <w:rFonts w:ascii="Arial" w:eastAsia="SimSun" w:hAnsi="Arial" w:cs="Arial"/>
                <w:sz w:val="18"/>
                <w:szCs w:val="18"/>
              </w:rPr>
              <w:t>RB</w:t>
            </w: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20D22A5C" w14:textId="77777777" w:rsidR="00241417" w:rsidRPr="00C25669" w:rsidRDefault="00241417" w:rsidP="003A71DE">
            <w:pPr>
              <w:keepNext/>
              <w:keepLines/>
              <w:spacing w:after="0"/>
              <w:jc w:val="center"/>
              <w:rPr>
                <w:rFonts w:ascii="Arial" w:eastAsia="SimSun" w:hAnsi="Arial" w:cs="Arial"/>
                <w:sz w:val="18"/>
                <w:szCs w:val="18"/>
              </w:rPr>
            </w:pPr>
            <w:r w:rsidRPr="00C25669">
              <w:rPr>
                <w:rFonts w:ascii="Arial" w:eastAsia="SimSun" w:hAnsi="Arial" w:cs="Arial"/>
                <w:sz w:val="18"/>
                <w:szCs w:val="18"/>
              </w:rPr>
              <w:t>16</w:t>
            </w:r>
          </w:p>
        </w:tc>
      </w:tr>
      <w:tr w:rsidR="00241417" w:rsidRPr="00C25669" w14:paraId="64C107F8"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26B409CC" w14:textId="77777777" w:rsidR="00241417" w:rsidRPr="00C25669" w:rsidRDefault="00241417" w:rsidP="003A71DE">
            <w:pPr>
              <w:keepNext/>
              <w:keepLines/>
              <w:spacing w:after="0"/>
              <w:rPr>
                <w:rFonts w:ascii="Arial" w:eastAsia="SimSun" w:hAnsi="Arial"/>
                <w:sz w:val="18"/>
              </w:rPr>
            </w:pPr>
            <w:r w:rsidRPr="00C25669">
              <w:rPr>
                <w:rFonts w:ascii="Arial" w:eastAsia="SimSun" w:hAnsi="Arial" w:cs="Arial"/>
                <w:sz w:val="18"/>
                <w:szCs w:val="18"/>
              </w:rPr>
              <w:t>csi-ReportingBand</w:t>
            </w:r>
          </w:p>
        </w:tc>
        <w:tc>
          <w:tcPr>
            <w:tcW w:w="865" w:type="dxa"/>
            <w:tcBorders>
              <w:top w:val="single" w:sz="4" w:space="0" w:color="auto"/>
              <w:left w:val="single" w:sz="4" w:space="0" w:color="auto"/>
              <w:bottom w:val="single" w:sz="4" w:space="0" w:color="auto"/>
              <w:right w:val="single" w:sz="4" w:space="0" w:color="auto"/>
            </w:tcBorders>
            <w:vAlign w:val="center"/>
          </w:tcPr>
          <w:p w14:paraId="63E89CDE"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6DD6CE9B" w14:textId="77777777" w:rsidR="00241417" w:rsidRPr="00C25669" w:rsidRDefault="00241417" w:rsidP="003A71DE">
            <w:pPr>
              <w:keepNext/>
              <w:keepLines/>
              <w:spacing w:after="0"/>
              <w:jc w:val="center"/>
              <w:rPr>
                <w:rFonts w:ascii="Arial" w:eastAsia="SimSun" w:hAnsi="Arial" w:cs="Arial"/>
                <w:sz w:val="18"/>
                <w:szCs w:val="18"/>
              </w:rPr>
            </w:pPr>
            <w:r w:rsidRPr="00C25669">
              <w:rPr>
                <w:rFonts w:ascii="Arial" w:eastAsia="SimSun" w:hAnsi="Arial" w:cs="Arial"/>
                <w:sz w:val="18"/>
                <w:szCs w:val="18"/>
              </w:rPr>
              <w:t>1111111</w:t>
            </w:r>
          </w:p>
        </w:tc>
      </w:tr>
      <w:tr w:rsidR="00241417" w:rsidRPr="00C25669" w14:paraId="3923E6C9"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5C5B9214"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 xml:space="preserve">CSI-Report </w:t>
            </w:r>
            <w:r w:rsidRPr="00C25669">
              <w:rPr>
                <w:rFonts w:ascii="Arial" w:eastAsia="SimSun" w:hAnsi="Arial" w:hint="eastAsia"/>
                <w:sz w:val="18"/>
                <w:lang w:eastAsia="zh-CN"/>
              </w:rPr>
              <w:t>interval</w:t>
            </w:r>
            <w:r w:rsidRPr="00C25669">
              <w:rPr>
                <w:rFonts w:ascii="Arial" w:eastAsia="SimSun" w:hAnsi="Arial"/>
                <w:sz w:val="18"/>
              </w:rPr>
              <w:t xml:space="preserve"> and offset</w:t>
            </w:r>
          </w:p>
        </w:tc>
        <w:tc>
          <w:tcPr>
            <w:tcW w:w="865" w:type="dxa"/>
            <w:tcBorders>
              <w:top w:val="single" w:sz="4" w:space="0" w:color="auto"/>
              <w:left w:val="single" w:sz="4" w:space="0" w:color="auto"/>
              <w:bottom w:val="single" w:sz="4" w:space="0" w:color="auto"/>
              <w:right w:val="single" w:sz="4" w:space="0" w:color="auto"/>
            </w:tcBorders>
            <w:vAlign w:val="center"/>
          </w:tcPr>
          <w:p w14:paraId="3FFFF311"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slot</w:t>
            </w: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91C98EF"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Not configured</w:t>
            </w:r>
          </w:p>
        </w:tc>
      </w:tr>
      <w:tr w:rsidR="00241417" w:rsidRPr="00C25669" w14:paraId="3DA106C8"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31597E51" w14:textId="77777777" w:rsidR="00241417" w:rsidRPr="00C25669" w:rsidRDefault="00241417" w:rsidP="003A71DE">
            <w:pPr>
              <w:keepNext/>
              <w:keepLines/>
              <w:spacing w:after="0"/>
              <w:rPr>
                <w:rFonts w:ascii="Arial" w:eastAsia="SimSun" w:hAnsi="Arial"/>
                <w:sz w:val="18"/>
              </w:rPr>
            </w:pPr>
            <w:r w:rsidRPr="00C25669">
              <w:rPr>
                <w:rFonts w:ascii="Arial" w:hAnsi="Arial"/>
                <w:sz w:val="18"/>
              </w:rPr>
              <w:t>Aperiodic Report Slot Offset</w:t>
            </w:r>
          </w:p>
        </w:tc>
        <w:tc>
          <w:tcPr>
            <w:tcW w:w="865" w:type="dxa"/>
            <w:tcBorders>
              <w:top w:val="single" w:sz="4" w:space="0" w:color="auto"/>
              <w:left w:val="single" w:sz="4" w:space="0" w:color="auto"/>
              <w:bottom w:val="single" w:sz="4" w:space="0" w:color="auto"/>
              <w:right w:val="single" w:sz="4" w:space="0" w:color="auto"/>
            </w:tcBorders>
            <w:vAlign w:val="center"/>
          </w:tcPr>
          <w:p w14:paraId="514FC656" w14:textId="77777777" w:rsidR="00241417" w:rsidRPr="00C25669" w:rsidRDefault="00241417" w:rsidP="003A71DE">
            <w:pPr>
              <w:keepNext/>
              <w:keepLines/>
              <w:spacing w:after="0"/>
              <w:jc w:val="center"/>
              <w:rPr>
                <w:rFonts w:ascii="Arial" w:eastAsia="SimSun" w:hAnsi="Arial"/>
                <w:sz w:val="18"/>
                <w:lang w:eastAsia="zh-CN"/>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7C78B412" w14:textId="77777777" w:rsidR="00241417" w:rsidRPr="00C25669" w:rsidRDefault="00241417" w:rsidP="003A71DE">
            <w:pPr>
              <w:keepNext/>
              <w:keepLines/>
              <w:spacing w:after="0"/>
              <w:jc w:val="center"/>
              <w:rPr>
                <w:rFonts w:ascii="Arial" w:hAnsi="Arial"/>
                <w:sz w:val="18"/>
                <w:lang w:eastAsia="zh-CN"/>
              </w:rPr>
            </w:pPr>
            <w:r w:rsidRPr="00C25669">
              <w:rPr>
                <w:rFonts w:ascii="Arial" w:hAnsi="Arial"/>
                <w:sz w:val="18"/>
                <w:lang w:eastAsia="zh-CN"/>
              </w:rPr>
              <w:t>8</w:t>
            </w:r>
          </w:p>
        </w:tc>
      </w:tr>
      <w:tr w:rsidR="00241417" w:rsidRPr="00C25669" w14:paraId="4A83C0A0"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658E0464" w14:textId="77777777" w:rsidR="00241417" w:rsidRPr="00C25669" w:rsidRDefault="00241417" w:rsidP="003A71DE">
            <w:pPr>
              <w:keepNext/>
              <w:keepLines/>
              <w:spacing w:after="0"/>
              <w:rPr>
                <w:rFonts w:ascii="Arial" w:eastAsia="SimSun" w:hAnsi="Arial"/>
                <w:sz w:val="18"/>
              </w:rPr>
            </w:pPr>
            <w:r w:rsidRPr="00C25669">
              <w:rPr>
                <w:rFonts w:ascii="Arial" w:hAnsi="Arial"/>
                <w:sz w:val="18"/>
              </w:rPr>
              <w:t>CSI request</w:t>
            </w:r>
          </w:p>
        </w:tc>
        <w:tc>
          <w:tcPr>
            <w:tcW w:w="865" w:type="dxa"/>
            <w:tcBorders>
              <w:top w:val="single" w:sz="4" w:space="0" w:color="auto"/>
              <w:left w:val="single" w:sz="4" w:space="0" w:color="auto"/>
              <w:bottom w:val="single" w:sz="4" w:space="0" w:color="auto"/>
              <w:right w:val="single" w:sz="4" w:space="0" w:color="auto"/>
            </w:tcBorders>
            <w:vAlign w:val="center"/>
          </w:tcPr>
          <w:p w14:paraId="144B5316" w14:textId="77777777" w:rsidR="00241417" w:rsidRPr="00C25669" w:rsidRDefault="00241417" w:rsidP="003A71DE">
            <w:pPr>
              <w:keepNext/>
              <w:keepLines/>
              <w:spacing w:after="0"/>
              <w:jc w:val="center"/>
              <w:rPr>
                <w:rFonts w:ascii="Arial" w:eastAsia="SimSun" w:hAnsi="Arial"/>
                <w:sz w:val="18"/>
                <w:lang w:eastAsia="zh-CN"/>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28BF35E8" w14:textId="77777777" w:rsidR="00241417" w:rsidRPr="00C25669" w:rsidRDefault="00241417" w:rsidP="003A71DE">
            <w:pPr>
              <w:keepNext/>
              <w:keepLines/>
              <w:spacing w:after="0"/>
              <w:jc w:val="center"/>
              <w:rPr>
                <w:rFonts w:ascii="Arial" w:hAnsi="Arial"/>
                <w:sz w:val="18"/>
                <w:lang w:eastAsia="zh-CN"/>
              </w:rPr>
            </w:pPr>
            <w:r w:rsidRPr="00C25669">
              <w:rPr>
                <w:rFonts w:ascii="Arial" w:hAnsi="Arial"/>
                <w:sz w:val="18"/>
                <w:lang w:eastAsia="zh-CN"/>
              </w:rPr>
              <w:t>1 in slots i, where mod(i, 10) = 1, otherwise it is equal to 0</w:t>
            </w:r>
          </w:p>
        </w:tc>
      </w:tr>
      <w:tr w:rsidR="00241417" w:rsidRPr="00C25669" w14:paraId="1CCCC9BB"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3B818E92" w14:textId="77777777" w:rsidR="00241417" w:rsidRPr="00C25669" w:rsidRDefault="00241417" w:rsidP="003A71DE">
            <w:pPr>
              <w:keepNext/>
              <w:keepLines/>
              <w:spacing w:after="0"/>
              <w:rPr>
                <w:rFonts w:ascii="Arial" w:eastAsia="SimSun" w:hAnsi="Arial"/>
                <w:sz w:val="18"/>
              </w:rPr>
            </w:pPr>
            <w:r w:rsidRPr="00C25669">
              <w:rPr>
                <w:rFonts w:ascii="Arial" w:hAnsi="Arial"/>
                <w:sz w:val="18"/>
              </w:rPr>
              <w:t>CSI-AperiodicTriggerStateList</w:t>
            </w:r>
          </w:p>
        </w:tc>
        <w:tc>
          <w:tcPr>
            <w:tcW w:w="865" w:type="dxa"/>
            <w:tcBorders>
              <w:top w:val="single" w:sz="4" w:space="0" w:color="auto"/>
              <w:left w:val="single" w:sz="4" w:space="0" w:color="auto"/>
              <w:bottom w:val="single" w:sz="4" w:space="0" w:color="auto"/>
              <w:right w:val="single" w:sz="4" w:space="0" w:color="auto"/>
            </w:tcBorders>
            <w:vAlign w:val="center"/>
          </w:tcPr>
          <w:p w14:paraId="744745B6" w14:textId="77777777" w:rsidR="00241417" w:rsidRPr="00C25669" w:rsidRDefault="00241417" w:rsidP="003A71DE">
            <w:pPr>
              <w:keepNext/>
              <w:keepLines/>
              <w:spacing w:after="0"/>
              <w:jc w:val="center"/>
              <w:rPr>
                <w:rFonts w:ascii="Arial" w:eastAsia="SimSun" w:hAnsi="Arial"/>
                <w:sz w:val="18"/>
                <w:lang w:eastAsia="zh-CN"/>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6D4A4CAD" w14:textId="77777777" w:rsidR="00241417" w:rsidRPr="00C25669" w:rsidRDefault="00241417" w:rsidP="003A71DE">
            <w:pPr>
              <w:keepNext/>
              <w:keepLines/>
              <w:spacing w:after="0"/>
              <w:jc w:val="center"/>
              <w:rPr>
                <w:rFonts w:ascii="Arial" w:hAnsi="Arial"/>
                <w:sz w:val="18"/>
                <w:lang w:eastAsia="zh-CN"/>
              </w:rPr>
            </w:pPr>
            <w:r w:rsidRPr="00C25669">
              <w:rPr>
                <w:rFonts w:ascii="Arial" w:hAnsi="Arial"/>
                <w:sz w:val="18"/>
                <w:lang w:eastAsia="zh-CN"/>
              </w:rPr>
              <w:t>One State with one Associated Report Configuration</w:t>
            </w:r>
          </w:p>
          <w:p w14:paraId="566C88E6" w14:textId="77777777" w:rsidR="00241417" w:rsidRPr="00C25669" w:rsidRDefault="00241417" w:rsidP="003A71DE">
            <w:pPr>
              <w:keepNext/>
              <w:keepLines/>
              <w:spacing w:after="0"/>
              <w:jc w:val="center"/>
              <w:rPr>
                <w:rFonts w:ascii="Arial" w:hAnsi="Arial"/>
                <w:sz w:val="18"/>
                <w:lang w:eastAsia="zh-CN"/>
              </w:rPr>
            </w:pPr>
            <w:r w:rsidRPr="00C25669">
              <w:rPr>
                <w:rFonts w:ascii="Arial" w:hAnsi="Arial"/>
                <w:sz w:val="18"/>
                <w:lang w:eastAsia="zh-CN"/>
              </w:rPr>
              <w:t>Associated Report Configuration contains pointers to NZP CSI-RS and CSI-IM</w:t>
            </w:r>
          </w:p>
        </w:tc>
      </w:tr>
      <w:tr w:rsidR="00241417" w:rsidRPr="00C25669" w14:paraId="1C0B2701" w14:textId="77777777" w:rsidTr="003A71DE">
        <w:trPr>
          <w:trHeight w:val="71"/>
          <w:jc w:val="center"/>
        </w:trPr>
        <w:tc>
          <w:tcPr>
            <w:tcW w:w="1406" w:type="dxa"/>
            <w:vMerge w:val="restart"/>
            <w:tcBorders>
              <w:top w:val="single" w:sz="4" w:space="0" w:color="auto"/>
              <w:left w:val="single" w:sz="4" w:space="0" w:color="auto"/>
              <w:right w:val="single" w:sz="4" w:space="0" w:color="auto"/>
            </w:tcBorders>
            <w:vAlign w:val="center"/>
            <w:hideMark/>
          </w:tcPr>
          <w:p w14:paraId="7763CD2B"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Codebook configuration</w:t>
            </w:r>
          </w:p>
        </w:tc>
        <w:tc>
          <w:tcPr>
            <w:tcW w:w="1730" w:type="dxa"/>
            <w:tcBorders>
              <w:top w:val="single" w:sz="4" w:space="0" w:color="auto"/>
              <w:left w:val="single" w:sz="4" w:space="0" w:color="auto"/>
              <w:bottom w:val="single" w:sz="4" w:space="0" w:color="auto"/>
              <w:right w:val="single" w:sz="4" w:space="0" w:color="auto"/>
            </w:tcBorders>
          </w:tcPr>
          <w:p w14:paraId="4AC2DA57"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Codebook Type</w:t>
            </w:r>
          </w:p>
        </w:tc>
        <w:tc>
          <w:tcPr>
            <w:tcW w:w="865" w:type="dxa"/>
            <w:tcBorders>
              <w:top w:val="single" w:sz="4" w:space="0" w:color="auto"/>
              <w:left w:val="single" w:sz="4" w:space="0" w:color="auto"/>
              <w:bottom w:val="single" w:sz="4" w:space="0" w:color="auto"/>
              <w:right w:val="single" w:sz="4" w:space="0" w:color="auto"/>
            </w:tcBorders>
            <w:vAlign w:val="center"/>
          </w:tcPr>
          <w:p w14:paraId="303F0EDA"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7E299377"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lang w:eastAsia="zh-CN"/>
              </w:rPr>
              <w:t>typeI-SinglePanel</w:t>
            </w:r>
          </w:p>
        </w:tc>
      </w:tr>
      <w:tr w:rsidR="00241417" w:rsidRPr="00C25669" w14:paraId="7AF8840A" w14:textId="77777777" w:rsidTr="003A71DE">
        <w:trPr>
          <w:trHeight w:val="71"/>
          <w:jc w:val="center"/>
        </w:trPr>
        <w:tc>
          <w:tcPr>
            <w:tcW w:w="1406" w:type="dxa"/>
            <w:vMerge/>
            <w:tcBorders>
              <w:left w:val="single" w:sz="4" w:space="0" w:color="auto"/>
              <w:right w:val="single" w:sz="4" w:space="0" w:color="auto"/>
            </w:tcBorders>
            <w:hideMark/>
          </w:tcPr>
          <w:p w14:paraId="72E4250E"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tcPr>
          <w:p w14:paraId="356E862B"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Codebook Mode</w:t>
            </w:r>
          </w:p>
        </w:tc>
        <w:tc>
          <w:tcPr>
            <w:tcW w:w="865" w:type="dxa"/>
            <w:tcBorders>
              <w:top w:val="single" w:sz="4" w:space="0" w:color="auto"/>
              <w:left w:val="single" w:sz="4" w:space="0" w:color="auto"/>
              <w:bottom w:val="single" w:sz="4" w:space="0" w:color="auto"/>
              <w:right w:val="single" w:sz="4" w:space="0" w:color="auto"/>
            </w:tcBorders>
            <w:vAlign w:val="center"/>
          </w:tcPr>
          <w:p w14:paraId="6C1DF1AA"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53CD02FD"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1</w:t>
            </w:r>
          </w:p>
        </w:tc>
      </w:tr>
      <w:tr w:rsidR="00241417" w:rsidRPr="00C25669" w14:paraId="59140BB5" w14:textId="77777777" w:rsidTr="003A71DE">
        <w:trPr>
          <w:trHeight w:val="71"/>
          <w:jc w:val="center"/>
        </w:trPr>
        <w:tc>
          <w:tcPr>
            <w:tcW w:w="1406" w:type="dxa"/>
            <w:vMerge/>
            <w:tcBorders>
              <w:left w:val="single" w:sz="4" w:space="0" w:color="auto"/>
              <w:right w:val="single" w:sz="4" w:space="0" w:color="auto"/>
            </w:tcBorders>
            <w:hideMark/>
          </w:tcPr>
          <w:p w14:paraId="2AEE758F"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tcPr>
          <w:p w14:paraId="1920C798"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(CodebookConfig-N1,</w:t>
            </w:r>
            <w:r>
              <w:rPr>
                <w:rFonts w:ascii="Arial" w:eastAsia="SimSun" w:hAnsi="Arial"/>
                <w:sz w:val="18"/>
              </w:rPr>
              <w:t xml:space="preserve"> </w:t>
            </w:r>
            <w:r w:rsidRPr="00C25669">
              <w:rPr>
                <w:rFonts w:ascii="Arial" w:eastAsia="SimSun" w:hAnsi="Arial"/>
                <w:sz w:val="18"/>
              </w:rPr>
              <w:t>CodebookConfig-N2)</w:t>
            </w:r>
          </w:p>
        </w:tc>
        <w:tc>
          <w:tcPr>
            <w:tcW w:w="865" w:type="dxa"/>
            <w:tcBorders>
              <w:top w:val="single" w:sz="4" w:space="0" w:color="auto"/>
              <w:left w:val="single" w:sz="4" w:space="0" w:color="auto"/>
              <w:bottom w:val="single" w:sz="4" w:space="0" w:color="auto"/>
              <w:right w:val="single" w:sz="4" w:space="0" w:color="auto"/>
            </w:tcBorders>
            <w:vAlign w:val="center"/>
          </w:tcPr>
          <w:p w14:paraId="1995C120"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211EB73A"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(2,1)</w:t>
            </w:r>
          </w:p>
        </w:tc>
        <w:tc>
          <w:tcPr>
            <w:tcW w:w="2847" w:type="dxa"/>
            <w:tcBorders>
              <w:top w:val="single" w:sz="4" w:space="0" w:color="auto"/>
              <w:left w:val="single" w:sz="4" w:space="0" w:color="auto"/>
              <w:bottom w:val="single" w:sz="4" w:space="0" w:color="auto"/>
              <w:right w:val="single" w:sz="4" w:space="0" w:color="auto"/>
            </w:tcBorders>
            <w:vAlign w:val="center"/>
          </w:tcPr>
          <w:p w14:paraId="3267F44D"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(4,1)</w:t>
            </w:r>
          </w:p>
        </w:tc>
      </w:tr>
      <w:tr w:rsidR="00241417" w:rsidRPr="00C25669" w14:paraId="4D0FF198" w14:textId="77777777" w:rsidTr="003A71DE">
        <w:trPr>
          <w:trHeight w:val="71"/>
          <w:jc w:val="center"/>
        </w:trPr>
        <w:tc>
          <w:tcPr>
            <w:tcW w:w="1406" w:type="dxa"/>
            <w:vMerge/>
            <w:tcBorders>
              <w:left w:val="single" w:sz="4" w:space="0" w:color="auto"/>
              <w:right w:val="single" w:sz="4" w:space="0" w:color="auto"/>
            </w:tcBorders>
          </w:tcPr>
          <w:p w14:paraId="71120182"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tcPr>
          <w:p w14:paraId="5AD0C180"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(CodebookConfig-O1,</w:t>
            </w:r>
            <w:r>
              <w:rPr>
                <w:rFonts w:ascii="Arial" w:eastAsia="SimSun" w:hAnsi="Arial"/>
                <w:sz w:val="18"/>
              </w:rPr>
              <w:t xml:space="preserve"> </w:t>
            </w:r>
            <w:r w:rsidRPr="00C25669">
              <w:rPr>
                <w:rFonts w:ascii="Arial" w:eastAsia="SimSun" w:hAnsi="Arial"/>
                <w:sz w:val="18"/>
              </w:rPr>
              <w:t>CodebookConfig-O2)</w:t>
            </w:r>
          </w:p>
        </w:tc>
        <w:tc>
          <w:tcPr>
            <w:tcW w:w="865" w:type="dxa"/>
            <w:tcBorders>
              <w:top w:val="single" w:sz="4" w:space="0" w:color="auto"/>
              <w:left w:val="single" w:sz="4" w:space="0" w:color="auto"/>
              <w:bottom w:val="single" w:sz="4" w:space="0" w:color="auto"/>
              <w:right w:val="single" w:sz="4" w:space="0" w:color="auto"/>
            </w:tcBorders>
            <w:vAlign w:val="center"/>
          </w:tcPr>
          <w:p w14:paraId="159C2D49" w14:textId="77777777" w:rsidR="00241417" w:rsidRPr="00C25669" w:rsidRDefault="00241417" w:rsidP="003A71DE">
            <w:pPr>
              <w:keepNext/>
              <w:keepLines/>
              <w:spacing w:after="0"/>
              <w:jc w:val="center"/>
              <w:rPr>
                <w:rFonts w:ascii="Arial"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2381FE92"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w:t>
            </w:r>
            <w:r w:rsidRPr="00C25669">
              <w:rPr>
                <w:rFonts w:ascii="Arial" w:eastAsia="SimSun" w:hAnsi="Arial"/>
                <w:sz w:val="18"/>
                <w:lang w:eastAsia="zh-CN"/>
              </w:rPr>
              <w:t>4,1</w:t>
            </w:r>
            <w:r w:rsidRPr="00C25669">
              <w:rPr>
                <w:rFonts w:ascii="Arial" w:eastAsia="SimSun" w:hAnsi="Arial" w:hint="eastAsia"/>
                <w:sz w:val="18"/>
                <w:lang w:eastAsia="zh-CN"/>
              </w:rPr>
              <w:t>)</w:t>
            </w:r>
          </w:p>
        </w:tc>
      </w:tr>
      <w:tr w:rsidR="00241417" w:rsidRPr="00C25669" w14:paraId="62C21EE9" w14:textId="77777777" w:rsidTr="003A71DE">
        <w:trPr>
          <w:trHeight w:val="71"/>
          <w:jc w:val="center"/>
        </w:trPr>
        <w:tc>
          <w:tcPr>
            <w:tcW w:w="1406" w:type="dxa"/>
            <w:vMerge/>
            <w:tcBorders>
              <w:left w:val="single" w:sz="4" w:space="0" w:color="auto"/>
              <w:right w:val="single" w:sz="4" w:space="0" w:color="auto"/>
            </w:tcBorders>
            <w:hideMark/>
          </w:tcPr>
          <w:p w14:paraId="77B423CA"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tcPr>
          <w:p w14:paraId="54CDF8D6" w14:textId="77777777" w:rsidR="00241417" w:rsidRPr="00C25669" w:rsidRDefault="00241417" w:rsidP="003A71DE">
            <w:pPr>
              <w:keepNext/>
              <w:keepLines/>
              <w:spacing w:after="0"/>
              <w:rPr>
                <w:rFonts w:ascii="Arial" w:hAnsi="Arial"/>
                <w:sz w:val="18"/>
              </w:rPr>
            </w:pPr>
            <w:r w:rsidRPr="00C25669">
              <w:rPr>
                <w:rFonts w:ascii="Arial" w:eastAsia="SimSun" w:hAnsi="Arial"/>
                <w:sz w:val="18"/>
              </w:rPr>
              <w:t>CodebookSubsetRestriction</w:t>
            </w:r>
          </w:p>
        </w:tc>
        <w:tc>
          <w:tcPr>
            <w:tcW w:w="865" w:type="dxa"/>
            <w:tcBorders>
              <w:top w:val="single" w:sz="4" w:space="0" w:color="auto"/>
              <w:left w:val="single" w:sz="4" w:space="0" w:color="auto"/>
              <w:bottom w:val="single" w:sz="4" w:space="0" w:color="auto"/>
              <w:right w:val="single" w:sz="4" w:space="0" w:color="auto"/>
            </w:tcBorders>
            <w:vAlign w:val="center"/>
          </w:tcPr>
          <w:p w14:paraId="7CD01EB4"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5736CDFC"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11111111</w:t>
            </w:r>
          </w:p>
        </w:tc>
        <w:tc>
          <w:tcPr>
            <w:tcW w:w="2847" w:type="dxa"/>
            <w:tcBorders>
              <w:top w:val="single" w:sz="4" w:space="0" w:color="auto"/>
              <w:left w:val="single" w:sz="4" w:space="0" w:color="auto"/>
              <w:bottom w:val="single" w:sz="4" w:space="0" w:color="auto"/>
              <w:right w:val="single" w:sz="4" w:space="0" w:color="auto"/>
            </w:tcBorders>
            <w:vAlign w:val="center"/>
          </w:tcPr>
          <w:p w14:paraId="6C891A48" w14:textId="77777777" w:rsidR="00241417" w:rsidRPr="00C25669" w:rsidRDefault="00241417" w:rsidP="003A71DE">
            <w:pPr>
              <w:keepNext/>
              <w:keepLines/>
              <w:spacing w:after="0"/>
              <w:jc w:val="center"/>
              <w:rPr>
                <w:rFonts w:ascii="Arial" w:eastAsia="SimSun" w:hAnsi="Arial"/>
                <w:sz w:val="18"/>
                <w:lang w:eastAsia="zh-CN"/>
              </w:rPr>
            </w:pPr>
            <w:r w:rsidRPr="00AE114C">
              <w:rPr>
                <w:rFonts w:ascii="Arial" w:eastAsia="SimSun" w:hAnsi="Arial"/>
                <w:sz w:val="18"/>
                <w:lang w:eastAsia="zh-CN"/>
              </w:rPr>
              <w:t>0x FFFF</w:t>
            </w:r>
          </w:p>
        </w:tc>
      </w:tr>
      <w:tr w:rsidR="00241417" w:rsidRPr="00C25669" w14:paraId="6B933657" w14:textId="77777777" w:rsidTr="003A71DE">
        <w:trPr>
          <w:trHeight w:val="71"/>
          <w:jc w:val="center"/>
        </w:trPr>
        <w:tc>
          <w:tcPr>
            <w:tcW w:w="1406" w:type="dxa"/>
            <w:vMerge/>
            <w:tcBorders>
              <w:left w:val="single" w:sz="4" w:space="0" w:color="auto"/>
              <w:bottom w:val="single" w:sz="4" w:space="0" w:color="auto"/>
              <w:right w:val="single" w:sz="4" w:space="0" w:color="auto"/>
            </w:tcBorders>
          </w:tcPr>
          <w:p w14:paraId="4C28BA11" w14:textId="77777777" w:rsidR="00241417" w:rsidRPr="00C25669" w:rsidRDefault="00241417" w:rsidP="003A71DE">
            <w:pPr>
              <w:keepNext/>
              <w:keepLines/>
              <w:spacing w:after="0"/>
              <w:rPr>
                <w:rFonts w:ascii="Arial" w:hAnsi="Arial"/>
                <w:sz w:val="18"/>
              </w:rPr>
            </w:pPr>
          </w:p>
        </w:tc>
        <w:tc>
          <w:tcPr>
            <w:tcW w:w="1730" w:type="dxa"/>
            <w:tcBorders>
              <w:top w:val="single" w:sz="4" w:space="0" w:color="auto"/>
              <w:left w:val="single" w:sz="4" w:space="0" w:color="auto"/>
              <w:bottom w:val="single" w:sz="4" w:space="0" w:color="auto"/>
              <w:right w:val="single" w:sz="4" w:space="0" w:color="auto"/>
            </w:tcBorders>
          </w:tcPr>
          <w:p w14:paraId="51770DD1"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RI Restriction</w:t>
            </w:r>
          </w:p>
        </w:tc>
        <w:tc>
          <w:tcPr>
            <w:tcW w:w="865" w:type="dxa"/>
            <w:tcBorders>
              <w:top w:val="single" w:sz="4" w:space="0" w:color="auto"/>
              <w:left w:val="single" w:sz="4" w:space="0" w:color="auto"/>
              <w:bottom w:val="single" w:sz="4" w:space="0" w:color="auto"/>
              <w:right w:val="single" w:sz="4" w:space="0" w:color="auto"/>
            </w:tcBorders>
            <w:vAlign w:val="center"/>
          </w:tcPr>
          <w:p w14:paraId="5F59FD7D" w14:textId="77777777" w:rsidR="00241417" w:rsidRPr="00C25669" w:rsidRDefault="00241417" w:rsidP="003A71DE">
            <w:pPr>
              <w:keepNext/>
              <w:keepLines/>
              <w:spacing w:after="0"/>
              <w:jc w:val="center"/>
              <w:rPr>
                <w:rFonts w:ascii="Arial" w:hAnsi="Arial"/>
                <w:sz w:val="18"/>
              </w:rPr>
            </w:pPr>
          </w:p>
        </w:tc>
        <w:tc>
          <w:tcPr>
            <w:tcW w:w="2847" w:type="dxa"/>
            <w:tcBorders>
              <w:top w:val="single" w:sz="4" w:space="0" w:color="auto"/>
              <w:left w:val="single" w:sz="4" w:space="0" w:color="auto"/>
              <w:bottom w:val="single" w:sz="4" w:space="0" w:color="auto"/>
              <w:right w:val="single" w:sz="4" w:space="0" w:color="auto"/>
            </w:tcBorders>
            <w:vAlign w:val="center"/>
          </w:tcPr>
          <w:p w14:paraId="1A5E9A33"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00000001</w:t>
            </w:r>
          </w:p>
        </w:tc>
        <w:tc>
          <w:tcPr>
            <w:tcW w:w="2847" w:type="dxa"/>
            <w:tcBorders>
              <w:top w:val="single" w:sz="4" w:space="0" w:color="auto"/>
              <w:left w:val="single" w:sz="4" w:space="0" w:color="auto"/>
              <w:bottom w:val="single" w:sz="4" w:space="0" w:color="auto"/>
              <w:right w:val="single" w:sz="4" w:space="0" w:color="auto"/>
            </w:tcBorders>
            <w:vAlign w:val="center"/>
          </w:tcPr>
          <w:p w14:paraId="3A4E5EAF"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00000010</w:t>
            </w:r>
          </w:p>
        </w:tc>
      </w:tr>
      <w:tr w:rsidR="00241417" w:rsidRPr="00C25669" w14:paraId="6DC98D2C"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tcPr>
          <w:p w14:paraId="09988E7C" w14:textId="77777777" w:rsidR="00241417" w:rsidRPr="00C25669" w:rsidRDefault="00241417" w:rsidP="003A71DE">
            <w:pPr>
              <w:keepNext/>
              <w:keepLines/>
              <w:spacing w:after="0"/>
              <w:rPr>
                <w:rFonts w:ascii="Arial" w:eastAsia="SimSun" w:hAnsi="Arial"/>
                <w:sz w:val="18"/>
                <w:lang w:eastAsia="zh-CN"/>
              </w:rPr>
            </w:pPr>
            <w:r w:rsidRPr="00477840">
              <w:rPr>
                <w:rFonts w:ascii="Arial" w:eastAsia="SimSun" w:hAnsi="Arial"/>
                <w:sz w:val="18"/>
                <w:lang w:eastAsia="zh-CN"/>
              </w:rPr>
              <w:t xml:space="preserve">CQI/RI/PMI delay </w:t>
            </w:r>
          </w:p>
        </w:tc>
        <w:tc>
          <w:tcPr>
            <w:tcW w:w="865" w:type="dxa"/>
            <w:tcBorders>
              <w:top w:val="single" w:sz="4" w:space="0" w:color="auto"/>
              <w:left w:val="single" w:sz="4" w:space="0" w:color="auto"/>
              <w:bottom w:val="single" w:sz="4" w:space="0" w:color="auto"/>
              <w:right w:val="single" w:sz="4" w:space="0" w:color="auto"/>
            </w:tcBorders>
          </w:tcPr>
          <w:p w14:paraId="3C9EEDA9" w14:textId="77777777" w:rsidR="00241417" w:rsidRPr="00C25669" w:rsidRDefault="00241417" w:rsidP="003A71DE">
            <w:pPr>
              <w:keepNext/>
              <w:keepLines/>
              <w:spacing w:after="0"/>
              <w:jc w:val="center"/>
              <w:rPr>
                <w:rFonts w:ascii="Arial" w:eastAsia="SimSun" w:hAnsi="Arial"/>
                <w:sz w:val="18"/>
                <w:lang w:eastAsia="zh-CN"/>
              </w:rPr>
            </w:pPr>
            <w:r w:rsidRPr="00477840">
              <w:rPr>
                <w:rFonts w:ascii="Arial" w:eastAsia="SimSun" w:hAnsi="Arial"/>
                <w:sz w:val="18"/>
                <w:lang w:eastAsia="zh-CN"/>
              </w:rPr>
              <w:t>ms</w:t>
            </w:r>
          </w:p>
        </w:tc>
        <w:tc>
          <w:tcPr>
            <w:tcW w:w="2847" w:type="dxa"/>
            <w:tcBorders>
              <w:top w:val="single" w:sz="4" w:space="0" w:color="auto"/>
              <w:left w:val="single" w:sz="4" w:space="0" w:color="auto"/>
              <w:bottom w:val="single" w:sz="4" w:space="0" w:color="auto"/>
              <w:right w:val="single" w:sz="4" w:space="0" w:color="auto"/>
            </w:tcBorders>
          </w:tcPr>
          <w:p w14:paraId="3810323A" w14:textId="77777777" w:rsidR="00241417" w:rsidRPr="00C25669" w:rsidRDefault="00241417" w:rsidP="003A71DE">
            <w:pPr>
              <w:keepNext/>
              <w:keepLines/>
              <w:spacing w:after="0"/>
              <w:jc w:val="center"/>
              <w:rPr>
                <w:rFonts w:ascii="Arial" w:eastAsia="SimSun" w:hAnsi="Arial"/>
                <w:sz w:val="18"/>
                <w:lang w:eastAsia="zh-CN"/>
              </w:rPr>
            </w:pPr>
            <w:r w:rsidRPr="00477840">
              <w:rPr>
                <w:rFonts w:ascii="Arial" w:eastAsia="SimSun" w:hAnsi="Arial"/>
                <w:sz w:val="18"/>
                <w:lang w:eastAsia="zh-CN"/>
              </w:rPr>
              <w:t>5.5</w:t>
            </w:r>
          </w:p>
        </w:tc>
        <w:tc>
          <w:tcPr>
            <w:tcW w:w="2847" w:type="dxa"/>
            <w:tcBorders>
              <w:top w:val="single" w:sz="4" w:space="0" w:color="auto"/>
              <w:left w:val="single" w:sz="4" w:space="0" w:color="auto"/>
              <w:bottom w:val="single" w:sz="4" w:space="0" w:color="auto"/>
              <w:right w:val="single" w:sz="4" w:space="0" w:color="auto"/>
            </w:tcBorders>
          </w:tcPr>
          <w:p w14:paraId="6063BFFF" w14:textId="77777777" w:rsidR="00241417" w:rsidRPr="00C25669" w:rsidRDefault="00241417" w:rsidP="003A71DE">
            <w:pPr>
              <w:keepNext/>
              <w:keepLines/>
              <w:spacing w:after="0"/>
              <w:jc w:val="center"/>
              <w:rPr>
                <w:rFonts w:ascii="Arial" w:eastAsia="SimSun" w:hAnsi="Arial"/>
                <w:sz w:val="18"/>
                <w:lang w:eastAsia="zh-CN"/>
              </w:rPr>
            </w:pPr>
            <w:r w:rsidRPr="00477840">
              <w:rPr>
                <w:rFonts w:ascii="Arial" w:eastAsia="SimSun" w:hAnsi="Arial"/>
                <w:sz w:val="18"/>
                <w:lang w:eastAsia="zh-CN"/>
              </w:rPr>
              <w:t>6.5</w:t>
            </w:r>
          </w:p>
        </w:tc>
      </w:tr>
      <w:tr w:rsidR="00241417" w:rsidRPr="00C25669" w14:paraId="3B48A4C2"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tcPr>
          <w:p w14:paraId="6839D4A2"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Maximum number of HARQ transmission</w:t>
            </w:r>
          </w:p>
        </w:tc>
        <w:tc>
          <w:tcPr>
            <w:tcW w:w="865" w:type="dxa"/>
            <w:tcBorders>
              <w:top w:val="single" w:sz="4" w:space="0" w:color="auto"/>
              <w:left w:val="single" w:sz="4" w:space="0" w:color="auto"/>
              <w:bottom w:val="single" w:sz="4" w:space="0" w:color="auto"/>
              <w:right w:val="single" w:sz="4" w:space="0" w:color="auto"/>
            </w:tcBorders>
            <w:vAlign w:val="center"/>
          </w:tcPr>
          <w:p w14:paraId="0D9F2A3D" w14:textId="77777777" w:rsidR="00241417" w:rsidRPr="00C25669" w:rsidRDefault="00241417" w:rsidP="003A71DE">
            <w:pPr>
              <w:keepNext/>
              <w:keepLines/>
              <w:spacing w:after="0"/>
              <w:jc w:val="center"/>
              <w:rPr>
                <w:rFonts w:ascii="Arial" w:eastAsia="SimSun" w:hAnsi="Arial"/>
                <w:sz w:val="18"/>
              </w:rPr>
            </w:pPr>
          </w:p>
        </w:tc>
        <w:tc>
          <w:tcPr>
            <w:tcW w:w="5694" w:type="dxa"/>
            <w:gridSpan w:val="2"/>
            <w:tcBorders>
              <w:top w:val="single" w:sz="4" w:space="0" w:color="auto"/>
              <w:left w:val="single" w:sz="4" w:space="0" w:color="auto"/>
              <w:bottom w:val="single" w:sz="4" w:space="0" w:color="auto"/>
              <w:right w:val="single" w:sz="4" w:space="0" w:color="auto"/>
            </w:tcBorders>
            <w:vAlign w:val="center"/>
          </w:tcPr>
          <w:p w14:paraId="2E242267"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4</w:t>
            </w:r>
          </w:p>
        </w:tc>
      </w:tr>
      <w:tr w:rsidR="00241417" w:rsidRPr="00C25669" w14:paraId="669F3520" w14:textId="77777777" w:rsidTr="003A71DE">
        <w:trPr>
          <w:trHeight w:val="71"/>
          <w:jc w:val="center"/>
        </w:trPr>
        <w:tc>
          <w:tcPr>
            <w:tcW w:w="3136" w:type="dxa"/>
            <w:gridSpan w:val="2"/>
            <w:tcBorders>
              <w:top w:val="single" w:sz="4" w:space="0" w:color="auto"/>
              <w:left w:val="single" w:sz="4" w:space="0" w:color="auto"/>
              <w:bottom w:val="single" w:sz="4" w:space="0" w:color="auto"/>
              <w:right w:val="single" w:sz="4" w:space="0" w:color="auto"/>
            </w:tcBorders>
            <w:vAlign w:val="center"/>
            <w:hideMark/>
          </w:tcPr>
          <w:p w14:paraId="6CE56A0F" w14:textId="77777777" w:rsidR="00241417" w:rsidRPr="00C25669" w:rsidRDefault="00241417" w:rsidP="003A71DE">
            <w:pPr>
              <w:pStyle w:val="TAL"/>
            </w:pPr>
            <w:r w:rsidRPr="00C25669">
              <w:t>Measurement channel</w:t>
            </w:r>
          </w:p>
        </w:tc>
        <w:tc>
          <w:tcPr>
            <w:tcW w:w="865" w:type="dxa"/>
            <w:tcBorders>
              <w:top w:val="single" w:sz="4" w:space="0" w:color="auto"/>
              <w:left w:val="single" w:sz="4" w:space="0" w:color="auto"/>
              <w:bottom w:val="single" w:sz="4" w:space="0" w:color="auto"/>
              <w:right w:val="single" w:sz="4" w:space="0" w:color="auto"/>
            </w:tcBorders>
            <w:vAlign w:val="center"/>
          </w:tcPr>
          <w:p w14:paraId="3822BB82" w14:textId="77777777" w:rsidR="00241417" w:rsidRPr="00C25669" w:rsidRDefault="00241417" w:rsidP="003A71DE">
            <w:pPr>
              <w:pStyle w:val="TAC"/>
            </w:pPr>
          </w:p>
        </w:tc>
        <w:tc>
          <w:tcPr>
            <w:tcW w:w="2847" w:type="dxa"/>
            <w:tcBorders>
              <w:top w:val="single" w:sz="4" w:space="0" w:color="auto"/>
              <w:left w:val="single" w:sz="4" w:space="0" w:color="auto"/>
              <w:bottom w:val="single" w:sz="4" w:space="0" w:color="auto"/>
              <w:right w:val="single" w:sz="4" w:space="0" w:color="auto"/>
            </w:tcBorders>
            <w:vAlign w:val="center"/>
          </w:tcPr>
          <w:p w14:paraId="27804005" w14:textId="29FAFC0C" w:rsidR="00241417" w:rsidRDefault="00241417" w:rsidP="003A71DE">
            <w:pPr>
              <w:pStyle w:val="TAC"/>
              <w:rPr>
                <w:rFonts w:cs="Arial"/>
                <w:szCs w:val="18"/>
              </w:rPr>
            </w:pPr>
            <w:r>
              <w:rPr>
                <w:lang w:eastAsia="zh-CN"/>
              </w:rPr>
              <w:t>M-FR1-A.3.5-5</w:t>
            </w:r>
          </w:p>
        </w:tc>
        <w:tc>
          <w:tcPr>
            <w:tcW w:w="2847" w:type="dxa"/>
            <w:tcBorders>
              <w:top w:val="single" w:sz="4" w:space="0" w:color="auto"/>
              <w:left w:val="single" w:sz="4" w:space="0" w:color="auto"/>
              <w:bottom w:val="single" w:sz="4" w:space="0" w:color="auto"/>
              <w:right w:val="single" w:sz="4" w:space="0" w:color="auto"/>
            </w:tcBorders>
            <w:vAlign w:val="center"/>
          </w:tcPr>
          <w:p w14:paraId="7E24D8D4" w14:textId="6112AC9D" w:rsidR="00241417" w:rsidRPr="004E1CDF" w:rsidRDefault="00241417" w:rsidP="003A71DE">
            <w:pPr>
              <w:pStyle w:val="TAC"/>
              <w:rPr>
                <w:rFonts w:cs="Arial"/>
                <w:szCs w:val="18"/>
                <w:lang w:val="en-US"/>
              </w:rPr>
            </w:pPr>
            <w:r w:rsidRPr="004E1CDF">
              <w:rPr>
                <w:rFonts w:cs="Arial"/>
                <w:szCs w:val="18"/>
              </w:rPr>
              <w:t>M-FR1-A.3.</w:t>
            </w:r>
            <w:r>
              <w:rPr>
                <w:rFonts w:cs="Arial"/>
                <w:szCs w:val="18"/>
              </w:rPr>
              <w:t>5</w:t>
            </w:r>
            <w:r w:rsidRPr="004E1CDF">
              <w:rPr>
                <w:rFonts w:cs="Arial"/>
                <w:szCs w:val="18"/>
              </w:rPr>
              <w:t>-</w:t>
            </w:r>
            <w:r>
              <w:rPr>
                <w:rFonts w:cs="Arial"/>
                <w:szCs w:val="18"/>
                <w:lang w:val="en-US"/>
              </w:rPr>
              <w:t>6</w:t>
            </w:r>
          </w:p>
        </w:tc>
      </w:tr>
      <w:tr w:rsidR="00241417" w:rsidRPr="00C25669" w14:paraId="5CDAB4F0" w14:textId="77777777" w:rsidTr="003A71DE">
        <w:trPr>
          <w:trHeight w:val="71"/>
          <w:jc w:val="center"/>
        </w:trPr>
        <w:tc>
          <w:tcPr>
            <w:tcW w:w="9695" w:type="dxa"/>
            <w:gridSpan w:val="5"/>
            <w:tcBorders>
              <w:top w:val="single" w:sz="4" w:space="0" w:color="auto"/>
              <w:left w:val="single" w:sz="4" w:space="0" w:color="auto"/>
              <w:bottom w:val="single" w:sz="4" w:space="0" w:color="auto"/>
              <w:right w:val="single" w:sz="4" w:space="0" w:color="auto"/>
            </w:tcBorders>
            <w:vAlign w:val="center"/>
          </w:tcPr>
          <w:p w14:paraId="04C5ED10" w14:textId="77777777" w:rsidR="00241417" w:rsidRDefault="00241417" w:rsidP="003A71DE">
            <w:pPr>
              <w:keepNext/>
              <w:keepLines/>
              <w:spacing w:after="0"/>
              <w:ind w:left="851" w:hanging="851"/>
              <w:rPr>
                <w:rFonts w:ascii="Arial" w:eastAsia="SimSun" w:hAnsi="Arial"/>
                <w:sz w:val="18"/>
              </w:rPr>
            </w:pPr>
            <w:r w:rsidRPr="00167DF6">
              <w:rPr>
                <w:rFonts w:ascii="Arial" w:eastAsia="SimSun" w:hAnsi="Arial"/>
                <w:sz w:val="18"/>
              </w:rPr>
              <w:t>Note 1:</w:t>
            </w:r>
            <w:r w:rsidRPr="007428EC">
              <w:rPr>
                <w:rFonts w:ascii="Arial" w:eastAsia="SimSun" w:hAnsi="Arial"/>
                <w:sz w:val="18"/>
                <w:lang w:eastAsia="zh-CN"/>
              </w:rPr>
              <w:tab/>
            </w:r>
            <w:r w:rsidRPr="00167DF6">
              <w:rPr>
                <w:rFonts w:ascii="Arial" w:eastAsia="SimSun" w:hAnsi="Arial"/>
                <w:sz w:val="18"/>
              </w:rPr>
              <w:t>The same requirements are applicable for TDD with different UL-DL pattern.</w:t>
            </w:r>
          </w:p>
          <w:p w14:paraId="38242986" w14:textId="77777777" w:rsidR="00241417" w:rsidRPr="007428EC" w:rsidRDefault="00241417" w:rsidP="003A71DE">
            <w:pPr>
              <w:keepNext/>
              <w:keepLines/>
              <w:spacing w:after="0"/>
              <w:ind w:left="851" w:hanging="851"/>
              <w:rPr>
                <w:rFonts w:ascii="Arial" w:eastAsia="SimSun" w:hAnsi="Arial"/>
                <w:sz w:val="18"/>
              </w:rPr>
            </w:pPr>
            <w:r w:rsidRPr="007428EC">
              <w:rPr>
                <w:rFonts w:ascii="Arial" w:eastAsia="SimSun" w:hAnsi="Arial"/>
                <w:sz w:val="18"/>
              </w:rPr>
              <w:t xml:space="preserve">Note </w:t>
            </w:r>
            <w:r>
              <w:rPr>
                <w:rFonts w:ascii="Arial" w:eastAsia="SimSun" w:hAnsi="Arial"/>
                <w:sz w:val="18"/>
              </w:rPr>
              <w:t>2</w:t>
            </w:r>
            <w:r w:rsidRPr="007428EC">
              <w:rPr>
                <w:rFonts w:ascii="Arial" w:eastAsia="SimSun" w:hAnsi="Arial"/>
                <w:sz w:val="18"/>
              </w:rPr>
              <w:t>:</w:t>
            </w:r>
            <w:r w:rsidRPr="007428EC">
              <w:rPr>
                <w:rFonts w:ascii="Arial" w:eastAsia="SimSun" w:hAnsi="Arial"/>
                <w:sz w:val="18"/>
                <w:lang w:eastAsia="zh-CN"/>
              </w:rPr>
              <w:tab/>
            </w:r>
            <w:r w:rsidRPr="00B320F6">
              <w:rPr>
                <w:rFonts w:ascii="Arial" w:eastAsia="SimSun" w:hAnsi="Arial"/>
                <w:sz w:val="18"/>
                <w:lang w:eastAsia="zh-CN"/>
              </w:rPr>
              <w:t>When Throughput is measured using</w:t>
            </w:r>
            <w:r w:rsidRPr="007428EC">
              <w:rPr>
                <w:rFonts w:ascii="Arial" w:eastAsia="SimSun" w:hAnsi="Arial"/>
                <w:sz w:val="18"/>
              </w:rPr>
              <w:t xml:space="preserve"> random precoder selection, the precoder shall be updated in each</w:t>
            </w:r>
            <w:r w:rsidRPr="007428EC">
              <w:rPr>
                <w:rFonts w:ascii="Arial" w:eastAsia="SimSun" w:hAnsi="Arial" w:hint="eastAsia"/>
                <w:sz w:val="18"/>
              </w:rPr>
              <w:t xml:space="preserve"> slot</w:t>
            </w:r>
            <w:r w:rsidRPr="007428EC">
              <w:rPr>
                <w:rFonts w:ascii="Arial" w:eastAsia="SimSun" w:hAnsi="Arial"/>
                <w:sz w:val="18"/>
              </w:rPr>
              <w:t xml:space="preserve"> (</w:t>
            </w:r>
            <w:r w:rsidRPr="007428EC">
              <w:rPr>
                <w:rFonts w:ascii="Arial" w:eastAsia="SimSun" w:hAnsi="Arial" w:hint="eastAsia"/>
                <w:sz w:val="18"/>
                <w:lang w:eastAsia="zh-CN"/>
              </w:rPr>
              <w:t>0.5</w:t>
            </w:r>
            <w:r w:rsidRPr="007428EC">
              <w:rPr>
                <w:rFonts w:ascii="Arial" w:eastAsia="SimSun" w:hAnsi="Arial"/>
                <w:sz w:val="18"/>
              </w:rPr>
              <w:t xml:space="preserve"> ms granularity)</w:t>
            </w:r>
            <w:r w:rsidRPr="00B320F6">
              <w:rPr>
                <w:rFonts w:ascii="Arial" w:eastAsia="SimSun" w:hAnsi="Arial"/>
                <w:sz w:val="18"/>
              </w:rPr>
              <w:t xml:space="preserve"> with equal probability of each applicable i</w:t>
            </w:r>
            <w:r w:rsidRPr="00B320F6">
              <w:rPr>
                <w:rFonts w:ascii="Arial" w:eastAsia="SimSun" w:hAnsi="Arial"/>
                <w:sz w:val="18"/>
                <w:vertAlign w:val="subscript"/>
              </w:rPr>
              <w:t>1</w:t>
            </w:r>
            <w:r w:rsidRPr="00B320F6">
              <w:rPr>
                <w:rFonts w:ascii="Arial" w:eastAsia="SimSun" w:hAnsi="Arial"/>
                <w:sz w:val="18"/>
              </w:rPr>
              <w:t>, i</w:t>
            </w:r>
            <w:r w:rsidRPr="00B320F6">
              <w:rPr>
                <w:rFonts w:ascii="Arial" w:eastAsia="SimSun" w:hAnsi="Arial"/>
                <w:sz w:val="18"/>
                <w:vertAlign w:val="subscript"/>
              </w:rPr>
              <w:t>2</w:t>
            </w:r>
            <w:r w:rsidRPr="00B320F6">
              <w:rPr>
                <w:rFonts w:ascii="Arial" w:eastAsia="SimSun" w:hAnsi="Arial"/>
                <w:sz w:val="18"/>
              </w:rPr>
              <w:t xml:space="preserve"> combination</w:t>
            </w:r>
            <w:r w:rsidRPr="007428EC">
              <w:rPr>
                <w:rFonts w:ascii="Arial" w:eastAsia="SimSun" w:hAnsi="Arial" w:hint="eastAsia"/>
                <w:sz w:val="18"/>
              </w:rPr>
              <w:t>.</w:t>
            </w:r>
          </w:p>
          <w:p w14:paraId="386EB52C" w14:textId="78E5E9AF" w:rsidR="003F2900" w:rsidRDefault="003F2900" w:rsidP="003F2900">
            <w:pPr>
              <w:keepNext/>
              <w:keepLines/>
              <w:spacing w:after="0"/>
              <w:ind w:left="851" w:hanging="851"/>
              <w:rPr>
                <w:rFonts w:ascii="Arial" w:eastAsia="SimSun" w:hAnsi="Arial"/>
                <w:sz w:val="18"/>
              </w:rPr>
            </w:pPr>
            <w:r>
              <w:rPr>
                <w:rFonts w:ascii="Arial" w:eastAsia="SimSun" w:hAnsi="Arial"/>
                <w:sz w:val="18"/>
              </w:rPr>
              <w:t>Note 3:</w:t>
            </w:r>
            <w:r>
              <w:rPr>
                <w:rFonts w:ascii="Arial" w:eastAsia="SimSun" w:hAnsi="Arial"/>
                <w:sz w:val="18"/>
                <w:lang w:eastAsia="zh-CN"/>
              </w:rPr>
              <w:tab/>
            </w:r>
            <w:r>
              <w:rPr>
                <w:rFonts w:ascii="Arial" w:eastAsia="SimSun" w:hAnsi="Arial"/>
                <w:sz w:val="18"/>
              </w:rPr>
              <w:t xml:space="preserve">If the </w:t>
            </w:r>
            <w:r>
              <w:rPr>
                <w:rFonts w:ascii="Arial" w:eastAsia="SimSun" w:hAnsi="Arial"/>
                <w:sz w:val="18"/>
                <w:lang w:val="en-US" w:eastAsia="zh-CN"/>
              </w:rPr>
              <w:t>IAB-MT</w:t>
            </w:r>
            <w:r>
              <w:rPr>
                <w:rFonts w:ascii="Arial" w:eastAsia="SimSun" w:hAnsi="Arial"/>
                <w:sz w:val="18"/>
              </w:rPr>
              <w:t xml:space="preserve"> reports in an available uplink reporting instance at </w:t>
            </w:r>
            <w:r>
              <w:rPr>
                <w:rFonts w:ascii="Arial" w:eastAsia="SimSun" w:hAnsi="Arial"/>
                <w:sz w:val="18"/>
                <w:lang w:eastAsia="zh-CN"/>
              </w:rPr>
              <w:t>slot</w:t>
            </w:r>
            <w:r>
              <w:rPr>
                <w:rFonts w:ascii="Arial" w:eastAsia="SimSun" w:hAnsi="Arial"/>
                <w:sz w:val="18"/>
              </w:rPr>
              <w:t xml:space="preserve">#n based on PMI estimation at a downlink </w:t>
            </w:r>
            <w:r>
              <w:rPr>
                <w:rFonts w:ascii="Arial" w:eastAsia="SimSun" w:hAnsi="Arial"/>
                <w:sz w:val="18"/>
                <w:lang w:eastAsia="zh-CN"/>
              </w:rPr>
              <w:t>slot</w:t>
            </w:r>
            <w:r>
              <w:rPr>
                <w:rFonts w:ascii="Arial" w:eastAsia="SimSun" w:hAnsi="Arial"/>
                <w:sz w:val="18"/>
              </w:rPr>
              <w:t xml:space="preserve"> not later than </w:t>
            </w:r>
            <w:r>
              <w:rPr>
                <w:rFonts w:ascii="Arial" w:eastAsia="SimSun" w:hAnsi="Arial"/>
                <w:sz w:val="18"/>
                <w:lang w:eastAsia="zh-CN"/>
              </w:rPr>
              <w:t>slot</w:t>
            </w:r>
            <w:r>
              <w:rPr>
                <w:rFonts w:ascii="Arial" w:eastAsia="SimSun" w:hAnsi="Arial"/>
                <w:sz w:val="18"/>
              </w:rPr>
              <w:t>#(n-</w:t>
            </w:r>
            <w:r>
              <w:rPr>
                <w:rFonts w:ascii="Arial" w:eastAsia="SimSun" w:hAnsi="Arial"/>
                <w:sz w:val="18"/>
                <w:lang w:eastAsia="zh-CN"/>
              </w:rPr>
              <w:t>4</w:t>
            </w:r>
            <w:r>
              <w:rPr>
                <w:rFonts w:ascii="Arial" w:eastAsia="SimSun" w:hAnsi="Arial"/>
                <w:sz w:val="18"/>
              </w:rPr>
              <w:t xml:space="preserve">) for test 1 and not later than </w:t>
            </w:r>
            <w:r>
              <w:rPr>
                <w:rFonts w:ascii="Arial" w:eastAsia="SimSun" w:hAnsi="Arial"/>
                <w:sz w:val="18"/>
                <w:lang w:eastAsia="zh-CN"/>
              </w:rPr>
              <w:t>slot</w:t>
            </w:r>
            <w:r>
              <w:rPr>
                <w:rFonts w:ascii="Arial" w:eastAsia="SimSun" w:hAnsi="Arial"/>
                <w:sz w:val="18"/>
              </w:rPr>
              <w:t>#(n-</w:t>
            </w:r>
            <w:r>
              <w:rPr>
                <w:rFonts w:ascii="Arial" w:eastAsia="SimSun" w:hAnsi="Arial"/>
                <w:sz w:val="18"/>
                <w:lang w:eastAsia="zh-CN"/>
              </w:rPr>
              <w:t>6</w:t>
            </w:r>
            <w:r>
              <w:rPr>
                <w:rFonts w:ascii="Arial" w:eastAsia="SimSun" w:hAnsi="Arial"/>
                <w:sz w:val="18"/>
              </w:rPr>
              <w:t xml:space="preserve">) for test 2, this reported PMI cannot be applied at the gNB downlink before </w:t>
            </w:r>
            <w:r>
              <w:rPr>
                <w:rFonts w:ascii="Arial" w:eastAsia="SimSun" w:hAnsi="Arial"/>
                <w:sz w:val="18"/>
                <w:lang w:eastAsia="zh-CN"/>
              </w:rPr>
              <w:t>slot</w:t>
            </w:r>
            <w:r>
              <w:rPr>
                <w:rFonts w:ascii="Arial" w:eastAsia="SimSun" w:hAnsi="Arial"/>
                <w:sz w:val="18"/>
              </w:rPr>
              <w:t>#(n+</w:t>
            </w:r>
            <w:r>
              <w:rPr>
                <w:rFonts w:ascii="Arial" w:eastAsia="SimSun" w:hAnsi="Arial"/>
                <w:sz w:val="18"/>
                <w:lang w:eastAsia="zh-CN"/>
              </w:rPr>
              <w:t>4</w:t>
            </w:r>
            <w:r>
              <w:rPr>
                <w:rFonts w:ascii="Arial" w:eastAsia="SimSun" w:hAnsi="Arial"/>
                <w:sz w:val="18"/>
              </w:rPr>
              <w:t xml:space="preserve">) for test 1 and before </w:t>
            </w:r>
            <w:r>
              <w:rPr>
                <w:rFonts w:ascii="Arial" w:eastAsia="SimSun" w:hAnsi="Arial"/>
                <w:sz w:val="18"/>
                <w:lang w:eastAsia="zh-CN"/>
              </w:rPr>
              <w:t>slot</w:t>
            </w:r>
            <w:r>
              <w:rPr>
                <w:rFonts w:ascii="Arial" w:eastAsia="SimSun" w:hAnsi="Arial"/>
                <w:sz w:val="18"/>
              </w:rPr>
              <w:t>#(n+</w:t>
            </w:r>
            <w:r>
              <w:rPr>
                <w:rFonts w:ascii="Arial" w:eastAsia="SimSun" w:hAnsi="Arial"/>
                <w:sz w:val="18"/>
                <w:lang w:eastAsia="zh-CN"/>
              </w:rPr>
              <w:t>6</w:t>
            </w:r>
            <w:r>
              <w:rPr>
                <w:rFonts w:ascii="Arial" w:eastAsia="SimSun" w:hAnsi="Arial"/>
                <w:sz w:val="18"/>
              </w:rPr>
              <w:t>) for test 2.</w:t>
            </w:r>
          </w:p>
          <w:p w14:paraId="346845C5" w14:textId="77777777" w:rsidR="00241417" w:rsidRDefault="00241417" w:rsidP="003A71DE">
            <w:pPr>
              <w:keepNext/>
              <w:keepLines/>
              <w:spacing w:after="0"/>
              <w:ind w:left="851" w:hanging="851"/>
              <w:rPr>
                <w:rFonts w:ascii="Arial" w:hAnsi="Arial" w:cs="Arial"/>
                <w:noProof/>
                <w:sz w:val="18"/>
                <w:szCs w:val="18"/>
                <w:lang w:eastAsia="zh-CN"/>
              </w:rPr>
            </w:pPr>
            <w:r w:rsidRPr="00C25669">
              <w:rPr>
                <w:rFonts w:ascii="Arial" w:eastAsia="SimSun" w:hAnsi="Arial" w:hint="eastAsia"/>
                <w:sz w:val="18"/>
              </w:rPr>
              <w:t xml:space="preserve">Note </w:t>
            </w:r>
            <w:r>
              <w:rPr>
                <w:rFonts w:ascii="Arial" w:eastAsia="SimSun" w:hAnsi="Arial"/>
                <w:sz w:val="18"/>
                <w:lang w:eastAsia="zh-CN"/>
              </w:rPr>
              <w:t>4</w:t>
            </w:r>
            <w:r w:rsidRPr="00C25669">
              <w:rPr>
                <w:rFonts w:ascii="Arial" w:eastAsia="SimSun" w:hAnsi="Arial" w:hint="eastAsia"/>
                <w:sz w:val="18"/>
              </w:rPr>
              <w:t>:</w:t>
            </w:r>
            <w:r w:rsidRPr="00C25669">
              <w:rPr>
                <w:rFonts w:ascii="Arial" w:eastAsia="SimSun" w:hAnsi="Arial"/>
                <w:sz w:val="18"/>
                <w:lang w:eastAsia="zh-CN"/>
              </w:rPr>
              <w:tab/>
            </w:r>
            <w:r w:rsidRPr="00C25669">
              <w:rPr>
                <w:rFonts w:ascii="Arial" w:eastAsia="SimSun" w:hAnsi="Arial"/>
                <w:sz w:val="18"/>
              </w:rPr>
              <w:t xml:space="preserve">Randomization of the principle beam direction shall be used as specified in </w:t>
            </w:r>
            <w:r>
              <w:rPr>
                <w:rFonts w:ascii="Arial" w:hAnsi="Arial" w:cs="Arial"/>
                <w:noProof/>
                <w:sz w:val="18"/>
                <w:szCs w:val="18"/>
                <w:lang w:eastAsia="zh-CN"/>
              </w:rPr>
              <w:t>TBA</w:t>
            </w:r>
          </w:p>
          <w:p w14:paraId="1F495F53" w14:textId="3A2324DB" w:rsidR="00241417" w:rsidRPr="00167DF6" w:rsidRDefault="00BC408B" w:rsidP="003A71DE">
            <w:pPr>
              <w:keepNext/>
              <w:keepLines/>
              <w:spacing w:after="0"/>
              <w:ind w:left="851" w:hanging="851"/>
              <w:rPr>
                <w:rFonts w:ascii="Arial" w:eastAsia="SimSun" w:hAnsi="Arial"/>
                <w:sz w:val="18"/>
              </w:rPr>
            </w:pPr>
            <w:r w:rsidRPr="0097309A">
              <w:rPr>
                <w:rFonts w:ascii="Arial" w:eastAsia="SimSun" w:hAnsi="Arial"/>
                <w:sz w:val="18"/>
              </w:rPr>
              <w:t>Note 5:</w:t>
            </w:r>
            <w:r w:rsidRPr="0097309A">
              <w:rPr>
                <w:rFonts w:ascii="Arial" w:eastAsia="SimSun" w:hAnsi="Arial"/>
                <w:sz w:val="18"/>
              </w:rPr>
              <w:tab/>
              <w:t>SSB, TRS, CSI-RS, and/or other unspecified test parameters with respect to TS 38.101-4 [</w:t>
            </w:r>
            <w:r>
              <w:rPr>
                <w:rFonts w:ascii="Arial" w:eastAsia="SimSun" w:hAnsi="Arial" w:hint="eastAsia"/>
                <w:sz w:val="18"/>
                <w:lang w:eastAsia="zh-CN"/>
              </w:rPr>
              <w:t>28</w:t>
            </w:r>
            <w:r w:rsidRPr="0097309A">
              <w:rPr>
                <w:rFonts w:ascii="Arial" w:eastAsia="SimSun" w:hAnsi="Arial"/>
                <w:sz w:val="18"/>
              </w:rPr>
              <w:t>] are left up to test implementation, if transmitted or needed.</w:t>
            </w:r>
          </w:p>
        </w:tc>
      </w:tr>
    </w:tbl>
    <w:p w14:paraId="4D5C4775" w14:textId="77777777" w:rsidR="00241417" w:rsidRDefault="00241417" w:rsidP="00241417">
      <w:pPr>
        <w:rPr>
          <w:rFonts w:eastAsia="SimSun"/>
          <w:lang w:eastAsia="zh-CN"/>
        </w:rPr>
      </w:pPr>
    </w:p>
    <w:p w14:paraId="682E3F66" w14:textId="77777777" w:rsidR="00241417" w:rsidRDefault="00241417" w:rsidP="00241417">
      <w:pPr>
        <w:pStyle w:val="Heading5"/>
        <w:rPr>
          <w:rFonts w:eastAsia="SimSun"/>
        </w:rPr>
      </w:pPr>
      <w:bookmarkStart w:id="3894" w:name="_Toc74583297"/>
      <w:bookmarkStart w:id="3895" w:name="_Toc76542110"/>
      <w:bookmarkStart w:id="3896" w:name="_Toc82450092"/>
      <w:bookmarkStart w:id="3897" w:name="_Toc82450740"/>
      <w:bookmarkStart w:id="3898" w:name="_Toc89949129"/>
      <w:bookmarkStart w:id="3899" w:name="_Toc98755518"/>
      <w:bookmarkStart w:id="3900" w:name="_Toc98763109"/>
      <w:bookmarkStart w:id="3901" w:name="_Toc106184038"/>
      <w:r>
        <w:lastRenderedPageBreak/>
        <w:t>8.2.3.3.2</w:t>
      </w:r>
      <w:r>
        <w:tab/>
        <w:t>Minimum requirements</w:t>
      </w:r>
      <w:bookmarkEnd w:id="3894"/>
      <w:bookmarkEnd w:id="3895"/>
      <w:bookmarkEnd w:id="3896"/>
      <w:bookmarkEnd w:id="3897"/>
      <w:bookmarkEnd w:id="3898"/>
      <w:bookmarkEnd w:id="3899"/>
      <w:bookmarkEnd w:id="3900"/>
      <w:bookmarkEnd w:id="3901"/>
    </w:p>
    <w:p w14:paraId="51431B79" w14:textId="77777777" w:rsidR="00241417" w:rsidRPr="003A5674" w:rsidRDefault="00241417" w:rsidP="00241417">
      <w:pPr>
        <w:rPr>
          <w:rFonts w:eastAsia="SimSun"/>
        </w:rPr>
      </w:pPr>
      <w:r>
        <w:rPr>
          <w:rFonts w:eastAsia="SimSun"/>
        </w:rPr>
        <w:t xml:space="preserve">For the parameters specified in Table 8.2.3.2.1-1 and using the downlink physical channels specified in </w:t>
      </w:r>
      <w:r>
        <w:rPr>
          <w:rFonts w:eastAsia="SimSun"/>
          <w:lang w:eastAsia="zh-CN"/>
        </w:rPr>
        <w:t>Annex TBA</w:t>
      </w:r>
      <w:r>
        <w:rPr>
          <w:rFonts w:eastAsia="SimSun"/>
        </w:rPr>
        <w:t>, the minimum requirements are specified in Table 8.2.3.2.2-1:</w:t>
      </w:r>
    </w:p>
    <w:p w14:paraId="1681CE9F" w14:textId="77777777" w:rsidR="00241417" w:rsidRPr="003A5674" w:rsidRDefault="00241417" w:rsidP="00241417">
      <w:pPr>
        <w:pStyle w:val="TH"/>
        <w:rPr>
          <w:lang w:eastAsia="zh-CN"/>
        </w:rPr>
      </w:pPr>
      <w:r w:rsidRPr="00C25669">
        <w:t xml:space="preserve">Table </w:t>
      </w:r>
      <w:r>
        <w:rPr>
          <w:lang w:eastAsia="zh-CN"/>
        </w:rPr>
        <w:t>8</w:t>
      </w:r>
      <w:r w:rsidRPr="00C25669">
        <w:rPr>
          <w:rFonts w:hint="eastAsia"/>
          <w:lang w:eastAsia="zh-CN"/>
        </w:rPr>
        <w:t>.</w:t>
      </w:r>
      <w:r>
        <w:rPr>
          <w:lang w:eastAsia="zh-CN"/>
        </w:rPr>
        <w:t>2</w:t>
      </w:r>
      <w:r w:rsidRPr="00C25669">
        <w:rPr>
          <w:rFonts w:hint="eastAsia"/>
          <w:lang w:eastAsia="zh-CN"/>
        </w:rPr>
        <w:t>.3.2.</w:t>
      </w:r>
      <w:r>
        <w:rPr>
          <w:lang w:eastAsia="zh-CN"/>
        </w:rPr>
        <w:t>2</w:t>
      </w:r>
      <w:r w:rsidRPr="00C25669">
        <w:t>-</w:t>
      </w:r>
      <w:r>
        <w:t>1</w:t>
      </w:r>
      <w:r w:rsidRPr="00C25669">
        <w:rPr>
          <w:rFonts w:hint="eastAsia"/>
          <w:lang w:eastAsia="zh-CN"/>
        </w:rPr>
        <w:t>:</w:t>
      </w:r>
      <w:r w:rsidRPr="00C25669">
        <w:t xml:space="preserve"> Minimum requirement</w:t>
      </w:r>
      <w:r>
        <w:t xml:space="preserve"> for PMI reporting</w:t>
      </w:r>
    </w:p>
    <w:tbl>
      <w:tblPr>
        <w:tblW w:w="5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1701"/>
        <w:gridCol w:w="1701"/>
      </w:tblGrid>
      <w:tr w:rsidR="00241417" w:rsidRPr="00C25669" w14:paraId="6A6DDB10" w14:textId="77777777" w:rsidTr="003A71DE">
        <w:trPr>
          <w:jc w:val="center"/>
        </w:trPr>
        <w:tc>
          <w:tcPr>
            <w:tcW w:w="2126" w:type="dxa"/>
            <w:tcBorders>
              <w:top w:val="single" w:sz="4" w:space="0" w:color="auto"/>
              <w:left w:val="single" w:sz="4" w:space="0" w:color="auto"/>
              <w:bottom w:val="single" w:sz="4" w:space="0" w:color="auto"/>
              <w:right w:val="single" w:sz="4" w:space="0" w:color="auto"/>
            </w:tcBorders>
            <w:hideMark/>
          </w:tcPr>
          <w:p w14:paraId="0CE05F30" w14:textId="77777777" w:rsidR="00241417" w:rsidRPr="00C25669" w:rsidRDefault="00241417" w:rsidP="003A71DE">
            <w:pPr>
              <w:keepNext/>
              <w:keepLines/>
              <w:spacing w:after="0"/>
              <w:jc w:val="center"/>
              <w:rPr>
                <w:rFonts w:ascii="Arial" w:hAnsi="Arial"/>
                <w:b/>
                <w:sz w:val="18"/>
              </w:rPr>
            </w:pPr>
            <w:r w:rsidRPr="00C25669">
              <w:rPr>
                <w:rFonts w:ascii="Arial" w:eastAsia="SimSun" w:hAnsi="Arial"/>
                <w:b/>
                <w:sz w:val="18"/>
              </w:rPr>
              <w:t>Parameter</w:t>
            </w:r>
          </w:p>
        </w:tc>
        <w:tc>
          <w:tcPr>
            <w:tcW w:w="1701" w:type="dxa"/>
            <w:tcBorders>
              <w:top w:val="single" w:sz="4" w:space="0" w:color="auto"/>
              <w:left w:val="single" w:sz="4" w:space="0" w:color="auto"/>
              <w:bottom w:val="single" w:sz="4" w:space="0" w:color="auto"/>
              <w:right w:val="single" w:sz="4" w:space="0" w:color="auto"/>
            </w:tcBorders>
            <w:hideMark/>
          </w:tcPr>
          <w:p w14:paraId="16B07B79" w14:textId="77777777" w:rsidR="00241417" w:rsidRPr="00C25669" w:rsidRDefault="00241417" w:rsidP="003A71DE">
            <w:pPr>
              <w:keepNext/>
              <w:keepLines/>
              <w:spacing w:after="0"/>
              <w:jc w:val="center"/>
              <w:rPr>
                <w:rFonts w:ascii="Arial" w:hAnsi="Arial"/>
                <w:b/>
                <w:sz w:val="18"/>
              </w:rPr>
            </w:pPr>
            <w:r w:rsidRPr="00C25669">
              <w:rPr>
                <w:rFonts w:ascii="Arial" w:eastAsia="SimSun" w:hAnsi="Arial"/>
                <w:b/>
                <w:sz w:val="18"/>
              </w:rPr>
              <w:t>Test 1</w:t>
            </w:r>
          </w:p>
        </w:tc>
        <w:tc>
          <w:tcPr>
            <w:tcW w:w="1701" w:type="dxa"/>
            <w:tcBorders>
              <w:top w:val="single" w:sz="4" w:space="0" w:color="auto"/>
              <w:left w:val="single" w:sz="4" w:space="0" w:color="auto"/>
              <w:bottom w:val="single" w:sz="4" w:space="0" w:color="auto"/>
              <w:right w:val="single" w:sz="4" w:space="0" w:color="auto"/>
            </w:tcBorders>
          </w:tcPr>
          <w:p w14:paraId="0B7D8BEE" w14:textId="77777777" w:rsidR="00241417" w:rsidRPr="00C25669" w:rsidRDefault="00241417" w:rsidP="003A71DE">
            <w:pPr>
              <w:keepNext/>
              <w:keepLines/>
              <w:spacing w:after="0"/>
              <w:jc w:val="center"/>
              <w:rPr>
                <w:rFonts w:ascii="Arial" w:eastAsia="SimSun" w:hAnsi="Arial"/>
                <w:b/>
                <w:sz w:val="18"/>
              </w:rPr>
            </w:pPr>
            <w:r>
              <w:rPr>
                <w:rFonts w:ascii="Arial" w:eastAsia="SimSun" w:hAnsi="Arial"/>
                <w:b/>
                <w:sz w:val="18"/>
              </w:rPr>
              <w:t>Test 2</w:t>
            </w:r>
          </w:p>
        </w:tc>
      </w:tr>
      <w:tr w:rsidR="00241417" w:rsidRPr="00C25669" w14:paraId="2835366A" w14:textId="77777777" w:rsidTr="003A71DE">
        <w:trPr>
          <w:jc w:val="center"/>
        </w:trPr>
        <w:tc>
          <w:tcPr>
            <w:tcW w:w="2126" w:type="dxa"/>
            <w:tcBorders>
              <w:top w:val="single" w:sz="4" w:space="0" w:color="auto"/>
              <w:left w:val="single" w:sz="4" w:space="0" w:color="auto"/>
              <w:bottom w:val="single" w:sz="4" w:space="0" w:color="auto"/>
              <w:right w:val="single" w:sz="4" w:space="0" w:color="auto"/>
            </w:tcBorders>
            <w:hideMark/>
          </w:tcPr>
          <w:p w14:paraId="1379D818" w14:textId="77777777" w:rsidR="00241417" w:rsidRPr="00C25669" w:rsidRDefault="00241417" w:rsidP="003A71DE">
            <w:pPr>
              <w:keepNext/>
              <w:keepLines/>
              <w:spacing w:after="0"/>
              <w:jc w:val="center"/>
              <w:rPr>
                <w:rFonts w:ascii="Arial" w:hAnsi="Arial" w:cs="Arial"/>
                <w:sz w:val="18"/>
              </w:rPr>
            </w:pPr>
            <w:r w:rsidRPr="00C25669">
              <w:rPr>
                <w:rFonts w:ascii="Symbol" w:eastAsia="?? ??" w:hAnsi="Symbol" w:cs="Arial"/>
                <w:i/>
                <w:iCs/>
                <w:sz w:val="18"/>
              </w:rPr>
              <w:t></w:t>
            </w:r>
          </w:p>
        </w:tc>
        <w:tc>
          <w:tcPr>
            <w:tcW w:w="1701" w:type="dxa"/>
            <w:tcBorders>
              <w:top w:val="single" w:sz="4" w:space="0" w:color="auto"/>
              <w:left w:val="single" w:sz="4" w:space="0" w:color="auto"/>
              <w:bottom w:val="single" w:sz="4" w:space="0" w:color="auto"/>
              <w:right w:val="single" w:sz="4" w:space="0" w:color="auto"/>
            </w:tcBorders>
            <w:hideMark/>
          </w:tcPr>
          <w:p w14:paraId="4463DE0B" w14:textId="77777777" w:rsidR="00241417" w:rsidRPr="00C25669" w:rsidRDefault="00241417" w:rsidP="003A71DE">
            <w:pPr>
              <w:keepNext/>
              <w:keepLines/>
              <w:spacing w:after="0"/>
              <w:jc w:val="center"/>
              <w:rPr>
                <w:rFonts w:ascii="Arial" w:hAnsi="Arial"/>
                <w:sz w:val="18"/>
                <w:lang w:eastAsia="zh-CN"/>
              </w:rPr>
            </w:pPr>
            <w:r w:rsidRPr="00C25669">
              <w:rPr>
                <w:rFonts w:ascii="Arial" w:eastAsia="SimSun" w:hAnsi="Arial" w:hint="eastAsia"/>
                <w:sz w:val="18"/>
                <w:lang w:eastAsia="zh-CN"/>
              </w:rPr>
              <w:t>1.3</w:t>
            </w:r>
          </w:p>
        </w:tc>
        <w:tc>
          <w:tcPr>
            <w:tcW w:w="1701" w:type="dxa"/>
            <w:tcBorders>
              <w:top w:val="single" w:sz="4" w:space="0" w:color="auto"/>
              <w:left w:val="single" w:sz="4" w:space="0" w:color="auto"/>
              <w:bottom w:val="single" w:sz="4" w:space="0" w:color="auto"/>
              <w:right w:val="single" w:sz="4" w:space="0" w:color="auto"/>
            </w:tcBorders>
          </w:tcPr>
          <w:p w14:paraId="464A3738" w14:textId="77777777" w:rsidR="00241417" w:rsidRPr="00C25669"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1.5</w:t>
            </w:r>
          </w:p>
        </w:tc>
      </w:tr>
    </w:tbl>
    <w:p w14:paraId="1C753689" w14:textId="77777777" w:rsidR="00241417" w:rsidRDefault="00241417" w:rsidP="00241417">
      <w:pPr>
        <w:rPr>
          <w:rFonts w:eastAsia="SimSun"/>
          <w:lang w:eastAsia="zh-CN"/>
        </w:rPr>
      </w:pPr>
    </w:p>
    <w:p w14:paraId="57B9D7D2" w14:textId="77777777" w:rsidR="00241417" w:rsidRDefault="00241417" w:rsidP="00241417">
      <w:pPr>
        <w:pStyle w:val="Heading4"/>
      </w:pPr>
      <w:bookmarkStart w:id="3902" w:name="_Toc74583298"/>
      <w:bookmarkStart w:id="3903" w:name="_Toc76542111"/>
      <w:bookmarkStart w:id="3904" w:name="_Toc82450093"/>
      <w:bookmarkStart w:id="3905" w:name="_Toc82450741"/>
      <w:bookmarkStart w:id="3906" w:name="_Toc89949130"/>
      <w:bookmarkStart w:id="3907" w:name="_Toc98755519"/>
      <w:bookmarkStart w:id="3908" w:name="_Toc98763110"/>
      <w:bookmarkStart w:id="3909" w:name="_Toc106184039"/>
      <w:r>
        <w:t>8.2.3.4</w:t>
      </w:r>
      <w:r>
        <w:tab/>
        <w:t>R</w:t>
      </w:r>
      <w:r w:rsidRPr="004D33FB">
        <w:t>eporting</w:t>
      </w:r>
      <w:r>
        <w:t xml:space="preserve"> of Rank Indicator (RI)</w:t>
      </w:r>
      <w:bookmarkEnd w:id="3902"/>
      <w:bookmarkEnd w:id="3903"/>
      <w:bookmarkEnd w:id="3904"/>
      <w:bookmarkEnd w:id="3905"/>
      <w:bookmarkEnd w:id="3906"/>
      <w:bookmarkEnd w:id="3907"/>
      <w:bookmarkEnd w:id="3908"/>
      <w:bookmarkEnd w:id="3909"/>
    </w:p>
    <w:p w14:paraId="0F997A05" w14:textId="77777777" w:rsidR="00241417" w:rsidRDefault="00241417" w:rsidP="00241417">
      <w:pPr>
        <w:pStyle w:val="Heading5"/>
        <w:rPr>
          <w:rFonts w:eastAsia="SimSun"/>
        </w:rPr>
      </w:pPr>
      <w:bookmarkStart w:id="3910" w:name="_Toc74583299"/>
      <w:bookmarkStart w:id="3911" w:name="_Toc76542112"/>
      <w:bookmarkStart w:id="3912" w:name="_Toc82450094"/>
      <w:bookmarkStart w:id="3913" w:name="_Toc82450742"/>
      <w:bookmarkStart w:id="3914" w:name="_Toc89949131"/>
      <w:bookmarkStart w:id="3915" w:name="_Toc98755520"/>
      <w:bookmarkStart w:id="3916" w:name="_Toc98763111"/>
      <w:bookmarkStart w:id="3917" w:name="_Toc106184040"/>
      <w:r>
        <w:t>8.2.3.4.1</w:t>
      </w:r>
      <w:r>
        <w:tab/>
        <w:t>General</w:t>
      </w:r>
      <w:bookmarkEnd w:id="3910"/>
      <w:bookmarkEnd w:id="3911"/>
      <w:bookmarkEnd w:id="3912"/>
      <w:bookmarkEnd w:id="3913"/>
      <w:bookmarkEnd w:id="3914"/>
      <w:bookmarkEnd w:id="3915"/>
      <w:bookmarkEnd w:id="3916"/>
      <w:bookmarkEnd w:id="3917"/>
    </w:p>
    <w:p w14:paraId="0DEAC66B" w14:textId="77777777" w:rsidR="00241417" w:rsidRDefault="00241417" w:rsidP="00241417">
      <w:pPr>
        <w:rPr>
          <w:rFonts w:eastAsia="SimSun"/>
        </w:rPr>
      </w:pPr>
      <w:r w:rsidRPr="00B021AA">
        <w:rPr>
          <w:rFonts w:eastAsia="SimSun"/>
        </w:rPr>
        <w:t>The purpose of this test is to verify that the reported rank indicator accurately represents the channel rank. The accuracy of RI reporting is determined by the relative increase of the throughput obtained when transmitting based on the reported rank compared to the case for which a fixed rank is used for transmission.</w:t>
      </w:r>
    </w:p>
    <w:p w14:paraId="02CABDFB" w14:textId="77777777" w:rsidR="00241417" w:rsidRPr="00C25669" w:rsidRDefault="00241417" w:rsidP="00241417">
      <w:pPr>
        <w:pStyle w:val="TH"/>
      </w:pPr>
      <w:r w:rsidRPr="00C25669">
        <w:lastRenderedPageBreak/>
        <w:t xml:space="preserve">Table </w:t>
      </w:r>
      <w:r w:rsidRPr="008A048A">
        <w:t>8.2.3.</w:t>
      </w:r>
      <w:r>
        <w:t>4</w:t>
      </w:r>
      <w:r w:rsidRPr="008A048A">
        <w:t>.1</w:t>
      </w:r>
      <w:r>
        <w:t>-1</w:t>
      </w:r>
      <w:r w:rsidRPr="00C25669">
        <w:t xml:space="preserve">: </w:t>
      </w:r>
      <w:r w:rsidRPr="008A048A">
        <w:t xml:space="preserve">Test parameters for testing </w:t>
      </w:r>
      <w:r>
        <w:t>RI</w:t>
      </w:r>
      <w:r w:rsidRPr="008A048A">
        <w:t xml:space="preserve"> reporting</w:t>
      </w:r>
    </w:p>
    <w:tbl>
      <w:tblPr>
        <w:tblW w:w="101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6"/>
        <w:gridCol w:w="71"/>
        <w:gridCol w:w="2654"/>
        <w:gridCol w:w="740"/>
        <w:gridCol w:w="1376"/>
        <w:gridCol w:w="1376"/>
        <w:gridCol w:w="1376"/>
        <w:gridCol w:w="1377"/>
      </w:tblGrid>
      <w:tr w:rsidR="00241417" w:rsidRPr="00C25669" w14:paraId="518EDDD7"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36E7081F" w14:textId="77777777" w:rsidR="00241417" w:rsidRPr="00C25669" w:rsidRDefault="00241417" w:rsidP="003A71DE">
            <w:pPr>
              <w:keepNext/>
              <w:keepLines/>
              <w:spacing w:after="0"/>
              <w:jc w:val="center"/>
              <w:rPr>
                <w:rFonts w:ascii="Arial" w:eastAsia="SimSun" w:hAnsi="Arial"/>
                <w:b/>
                <w:sz w:val="18"/>
              </w:rPr>
            </w:pPr>
            <w:r w:rsidRPr="00C25669">
              <w:rPr>
                <w:rFonts w:ascii="Arial" w:eastAsia="SimSun" w:hAnsi="Arial"/>
                <w:b/>
                <w:sz w:val="18"/>
              </w:rPr>
              <w:t>Parameter</w:t>
            </w:r>
          </w:p>
        </w:tc>
        <w:tc>
          <w:tcPr>
            <w:tcW w:w="740" w:type="dxa"/>
            <w:tcBorders>
              <w:top w:val="single" w:sz="4" w:space="0" w:color="auto"/>
              <w:left w:val="single" w:sz="4" w:space="0" w:color="auto"/>
              <w:bottom w:val="single" w:sz="4" w:space="0" w:color="auto"/>
              <w:right w:val="single" w:sz="4" w:space="0" w:color="auto"/>
            </w:tcBorders>
            <w:vAlign w:val="center"/>
            <w:hideMark/>
          </w:tcPr>
          <w:p w14:paraId="582F611C" w14:textId="77777777" w:rsidR="00241417" w:rsidRPr="00C25669" w:rsidRDefault="00241417" w:rsidP="003A71DE">
            <w:pPr>
              <w:keepNext/>
              <w:keepLines/>
              <w:spacing w:after="0"/>
              <w:jc w:val="center"/>
              <w:rPr>
                <w:rFonts w:ascii="Arial" w:eastAsia="SimSun" w:hAnsi="Arial"/>
                <w:b/>
                <w:sz w:val="18"/>
              </w:rPr>
            </w:pPr>
            <w:r w:rsidRPr="00C25669">
              <w:rPr>
                <w:rFonts w:ascii="Arial" w:eastAsia="SimSun" w:hAnsi="Arial"/>
                <w:b/>
                <w:sz w:val="18"/>
              </w:rPr>
              <w:t>Unit</w:t>
            </w:r>
          </w:p>
        </w:tc>
        <w:tc>
          <w:tcPr>
            <w:tcW w:w="1376" w:type="dxa"/>
            <w:tcBorders>
              <w:top w:val="single" w:sz="4" w:space="0" w:color="auto"/>
              <w:left w:val="single" w:sz="4" w:space="0" w:color="auto"/>
              <w:bottom w:val="single" w:sz="4" w:space="0" w:color="auto"/>
              <w:right w:val="single" w:sz="4" w:space="0" w:color="auto"/>
            </w:tcBorders>
            <w:vAlign w:val="center"/>
            <w:hideMark/>
          </w:tcPr>
          <w:p w14:paraId="2CAD4378" w14:textId="77777777" w:rsidR="00241417" w:rsidRPr="00C25669" w:rsidRDefault="00241417" w:rsidP="003A71DE">
            <w:pPr>
              <w:keepNext/>
              <w:keepLines/>
              <w:spacing w:after="0"/>
              <w:jc w:val="center"/>
              <w:rPr>
                <w:rFonts w:ascii="Arial" w:eastAsia="SimSun" w:hAnsi="Arial"/>
                <w:b/>
                <w:sz w:val="18"/>
              </w:rPr>
            </w:pPr>
            <w:r w:rsidRPr="00C25669">
              <w:rPr>
                <w:rFonts w:ascii="Arial" w:eastAsia="SimSun" w:hAnsi="Arial"/>
                <w:b/>
                <w:sz w:val="18"/>
              </w:rPr>
              <w:t>Test 1</w:t>
            </w:r>
          </w:p>
        </w:tc>
        <w:tc>
          <w:tcPr>
            <w:tcW w:w="1376" w:type="dxa"/>
            <w:tcBorders>
              <w:top w:val="single" w:sz="4" w:space="0" w:color="auto"/>
              <w:left w:val="single" w:sz="4" w:space="0" w:color="auto"/>
              <w:bottom w:val="single" w:sz="4" w:space="0" w:color="auto"/>
              <w:right w:val="single" w:sz="4" w:space="0" w:color="auto"/>
            </w:tcBorders>
            <w:vAlign w:val="center"/>
          </w:tcPr>
          <w:p w14:paraId="0E021356" w14:textId="77777777" w:rsidR="00241417" w:rsidRPr="00C25669" w:rsidRDefault="00241417" w:rsidP="003A71DE">
            <w:pPr>
              <w:keepNext/>
              <w:keepLines/>
              <w:spacing w:after="0"/>
              <w:jc w:val="center"/>
              <w:rPr>
                <w:rFonts w:ascii="Arial" w:eastAsia="SimSun" w:hAnsi="Arial"/>
                <w:b/>
                <w:sz w:val="18"/>
              </w:rPr>
            </w:pPr>
            <w:r w:rsidRPr="00C25669">
              <w:rPr>
                <w:rFonts w:ascii="Arial" w:eastAsia="SimSun" w:hAnsi="Arial"/>
                <w:b/>
                <w:sz w:val="18"/>
              </w:rPr>
              <w:t>Test 2</w:t>
            </w:r>
          </w:p>
        </w:tc>
        <w:tc>
          <w:tcPr>
            <w:tcW w:w="1376" w:type="dxa"/>
            <w:tcBorders>
              <w:top w:val="single" w:sz="4" w:space="0" w:color="auto"/>
              <w:left w:val="single" w:sz="4" w:space="0" w:color="auto"/>
              <w:bottom w:val="single" w:sz="4" w:space="0" w:color="auto"/>
              <w:right w:val="single" w:sz="4" w:space="0" w:color="auto"/>
            </w:tcBorders>
            <w:vAlign w:val="center"/>
          </w:tcPr>
          <w:p w14:paraId="00AC7B53" w14:textId="77777777" w:rsidR="00241417" w:rsidRPr="00C25669" w:rsidRDefault="00241417" w:rsidP="003A71DE">
            <w:pPr>
              <w:keepNext/>
              <w:keepLines/>
              <w:spacing w:after="0"/>
              <w:jc w:val="center"/>
              <w:rPr>
                <w:rFonts w:ascii="Arial" w:eastAsia="SimSun" w:hAnsi="Arial"/>
                <w:b/>
                <w:sz w:val="18"/>
              </w:rPr>
            </w:pPr>
            <w:r w:rsidRPr="00C25669">
              <w:rPr>
                <w:rFonts w:ascii="Arial" w:eastAsia="SimSun" w:hAnsi="Arial"/>
                <w:b/>
                <w:sz w:val="18"/>
              </w:rPr>
              <w:t>Test 3</w:t>
            </w:r>
          </w:p>
        </w:tc>
        <w:tc>
          <w:tcPr>
            <w:tcW w:w="1377" w:type="dxa"/>
            <w:tcBorders>
              <w:top w:val="single" w:sz="4" w:space="0" w:color="auto"/>
              <w:left w:val="single" w:sz="4" w:space="0" w:color="auto"/>
              <w:bottom w:val="single" w:sz="4" w:space="0" w:color="auto"/>
              <w:right w:val="single" w:sz="4" w:space="0" w:color="auto"/>
            </w:tcBorders>
            <w:vAlign w:val="center"/>
          </w:tcPr>
          <w:p w14:paraId="7403D1A7" w14:textId="77777777" w:rsidR="00241417" w:rsidRPr="00C25669" w:rsidRDefault="00241417" w:rsidP="003A71DE">
            <w:pPr>
              <w:keepNext/>
              <w:keepLines/>
              <w:spacing w:after="0"/>
              <w:jc w:val="center"/>
              <w:rPr>
                <w:rFonts w:ascii="Arial" w:eastAsia="SimSun" w:hAnsi="Arial"/>
                <w:b/>
                <w:sz w:val="18"/>
              </w:rPr>
            </w:pPr>
            <w:r w:rsidRPr="00C25669">
              <w:rPr>
                <w:rFonts w:ascii="Arial" w:eastAsia="SimSun" w:hAnsi="Arial"/>
                <w:b/>
                <w:sz w:val="18"/>
              </w:rPr>
              <w:t>Test 4</w:t>
            </w:r>
          </w:p>
        </w:tc>
      </w:tr>
      <w:tr w:rsidR="00241417" w:rsidRPr="00C25669" w14:paraId="700B1970"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70E17551"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Bandwidth</w:t>
            </w:r>
          </w:p>
        </w:tc>
        <w:tc>
          <w:tcPr>
            <w:tcW w:w="740" w:type="dxa"/>
            <w:tcBorders>
              <w:top w:val="single" w:sz="4" w:space="0" w:color="auto"/>
              <w:left w:val="single" w:sz="4" w:space="0" w:color="auto"/>
              <w:bottom w:val="single" w:sz="4" w:space="0" w:color="auto"/>
              <w:right w:val="single" w:sz="4" w:space="0" w:color="auto"/>
            </w:tcBorders>
            <w:vAlign w:val="center"/>
            <w:hideMark/>
          </w:tcPr>
          <w:p w14:paraId="145E9A11"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MHz</w:t>
            </w: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0C49388C"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40</w:t>
            </w:r>
          </w:p>
        </w:tc>
      </w:tr>
      <w:tr w:rsidR="00241417" w:rsidRPr="00C25669" w14:paraId="1720E5C4"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74DBE1EF"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Subcarrier spacing</w:t>
            </w:r>
          </w:p>
        </w:tc>
        <w:tc>
          <w:tcPr>
            <w:tcW w:w="740" w:type="dxa"/>
            <w:tcBorders>
              <w:top w:val="single" w:sz="4" w:space="0" w:color="auto"/>
              <w:left w:val="single" w:sz="4" w:space="0" w:color="auto"/>
              <w:bottom w:val="single" w:sz="4" w:space="0" w:color="auto"/>
              <w:right w:val="single" w:sz="4" w:space="0" w:color="auto"/>
            </w:tcBorders>
            <w:vAlign w:val="center"/>
          </w:tcPr>
          <w:p w14:paraId="32777E98"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hint="eastAsia"/>
                <w:sz w:val="18"/>
                <w:lang w:eastAsia="zh-CN"/>
              </w:rPr>
              <w:t>kHz</w:t>
            </w: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2D404EEF"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hint="eastAsia"/>
                <w:sz w:val="18"/>
                <w:lang w:eastAsia="zh-CN"/>
              </w:rPr>
              <w:t>30</w:t>
            </w:r>
          </w:p>
        </w:tc>
      </w:tr>
      <w:tr w:rsidR="00241417" w:rsidRPr="00C25669" w14:paraId="583C3A04"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641B59DB" w14:textId="77777777" w:rsidR="00241417" w:rsidRPr="00C25669" w:rsidRDefault="00241417" w:rsidP="003A71DE">
            <w:pPr>
              <w:keepNext/>
              <w:keepLines/>
              <w:spacing w:after="0"/>
              <w:rPr>
                <w:rFonts w:ascii="Arial" w:eastAsia="SimSun" w:hAnsi="Arial"/>
                <w:sz w:val="18"/>
              </w:rPr>
            </w:pPr>
            <w:r w:rsidRPr="00677BA3">
              <w:rPr>
                <w:rFonts w:ascii="Arial" w:eastAsia="SimSun" w:hAnsi="Arial"/>
                <w:sz w:val="18"/>
              </w:rPr>
              <w:t>Default TDD UL-DL pattern (Note 1)</w:t>
            </w:r>
          </w:p>
        </w:tc>
        <w:tc>
          <w:tcPr>
            <w:tcW w:w="740" w:type="dxa"/>
            <w:tcBorders>
              <w:top w:val="single" w:sz="4" w:space="0" w:color="auto"/>
              <w:left w:val="single" w:sz="4" w:space="0" w:color="auto"/>
              <w:bottom w:val="single" w:sz="4" w:space="0" w:color="auto"/>
              <w:right w:val="single" w:sz="4" w:space="0" w:color="auto"/>
            </w:tcBorders>
            <w:vAlign w:val="center"/>
          </w:tcPr>
          <w:p w14:paraId="0853159B"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76709620" w14:textId="77777777" w:rsidR="00241417" w:rsidRPr="00C25669" w:rsidRDefault="00241417" w:rsidP="003A71DE">
            <w:pPr>
              <w:keepNext/>
              <w:keepLines/>
              <w:spacing w:after="0"/>
              <w:jc w:val="center"/>
              <w:rPr>
                <w:rFonts w:ascii="Arial" w:eastAsia="SimSun" w:hAnsi="Arial"/>
                <w:sz w:val="18"/>
              </w:rPr>
            </w:pPr>
            <w:r w:rsidRPr="000E5CFF">
              <w:rPr>
                <w:rFonts w:ascii="Arial" w:eastAsia="SimSun" w:hAnsi="Arial"/>
                <w:sz w:val="18"/>
                <w:lang w:eastAsia="zh-CN"/>
              </w:rPr>
              <w:t>7D1S2U, S=6D:4G:4U</w:t>
            </w:r>
          </w:p>
        </w:tc>
      </w:tr>
      <w:tr w:rsidR="00241417" w:rsidRPr="00C25669" w14:paraId="350B713A"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198A96FA" w14:textId="77777777" w:rsidR="00241417" w:rsidRPr="00C25669" w:rsidRDefault="00241417" w:rsidP="003A71DE">
            <w:pPr>
              <w:keepNext/>
              <w:keepLines/>
              <w:spacing w:after="0"/>
              <w:rPr>
                <w:rFonts w:ascii="Arial" w:eastAsia="?? ??" w:hAnsi="Arial"/>
                <w:sz w:val="18"/>
              </w:rPr>
            </w:pPr>
            <w:r w:rsidRPr="00C25669">
              <w:rPr>
                <w:rFonts w:ascii="Arial" w:eastAsia="?? ??" w:hAnsi="Arial"/>
                <w:sz w:val="18"/>
              </w:rPr>
              <w:t xml:space="preserve">SNR </w:t>
            </w:r>
          </w:p>
        </w:tc>
        <w:tc>
          <w:tcPr>
            <w:tcW w:w="740" w:type="dxa"/>
            <w:tcBorders>
              <w:top w:val="single" w:sz="4" w:space="0" w:color="auto"/>
              <w:left w:val="single" w:sz="4" w:space="0" w:color="auto"/>
              <w:bottom w:val="single" w:sz="4" w:space="0" w:color="auto"/>
              <w:right w:val="single" w:sz="4" w:space="0" w:color="auto"/>
            </w:tcBorders>
            <w:vAlign w:val="center"/>
            <w:hideMark/>
          </w:tcPr>
          <w:p w14:paraId="74CEC165"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dB</w:t>
            </w:r>
          </w:p>
        </w:tc>
        <w:tc>
          <w:tcPr>
            <w:tcW w:w="1376" w:type="dxa"/>
            <w:tcBorders>
              <w:top w:val="single" w:sz="4" w:space="0" w:color="auto"/>
              <w:left w:val="single" w:sz="4" w:space="0" w:color="auto"/>
              <w:bottom w:val="single" w:sz="4" w:space="0" w:color="auto"/>
              <w:right w:val="single" w:sz="4" w:space="0" w:color="auto"/>
            </w:tcBorders>
            <w:vAlign w:val="center"/>
          </w:tcPr>
          <w:p w14:paraId="3ADE31F5"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-2</w:t>
            </w:r>
          </w:p>
        </w:tc>
        <w:tc>
          <w:tcPr>
            <w:tcW w:w="1376" w:type="dxa"/>
            <w:tcBorders>
              <w:top w:val="single" w:sz="4" w:space="0" w:color="auto"/>
              <w:left w:val="single" w:sz="4" w:space="0" w:color="auto"/>
              <w:bottom w:val="single" w:sz="4" w:space="0" w:color="auto"/>
              <w:right w:val="single" w:sz="4" w:space="0" w:color="auto"/>
            </w:tcBorders>
            <w:vAlign w:val="center"/>
          </w:tcPr>
          <w:p w14:paraId="792F5DFD"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16</w:t>
            </w:r>
          </w:p>
        </w:tc>
        <w:tc>
          <w:tcPr>
            <w:tcW w:w="1376" w:type="dxa"/>
            <w:tcBorders>
              <w:top w:val="single" w:sz="4" w:space="0" w:color="auto"/>
              <w:left w:val="single" w:sz="4" w:space="0" w:color="auto"/>
              <w:bottom w:val="single" w:sz="4" w:space="0" w:color="auto"/>
              <w:right w:val="single" w:sz="4" w:space="0" w:color="auto"/>
            </w:tcBorders>
            <w:vAlign w:val="center"/>
          </w:tcPr>
          <w:p w14:paraId="2935B8E2"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16</w:t>
            </w:r>
          </w:p>
        </w:tc>
        <w:tc>
          <w:tcPr>
            <w:tcW w:w="1377" w:type="dxa"/>
            <w:tcBorders>
              <w:top w:val="single" w:sz="4" w:space="0" w:color="auto"/>
              <w:left w:val="single" w:sz="4" w:space="0" w:color="auto"/>
              <w:bottom w:val="single" w:sz="4" w:space="0" w:color="auto"/>
              <w:right w:val="single" w:sz="4" w:space="0" w:color="auto"/>
            </w:tcBorders>
            <w:vAlign w:val="center"/>
          </w:tcPr>
          <w:p w14:paraId="0D028741"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22</w:t>
            </w:r>
          </w:p>
        </w:tc>
      </w:tr>
      <w:tr w:rsidR="00241417" w:rsidRPr="00C25669" w14:paraId="02E7E1FA"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130382C8"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Propagation channel</w:t>
            </w:r>
          </w:p>
        </w:tc>
        <w:tc>
          <w:tcPr>
            <w:tcW w:w="740" w:type="dxa"/>
            <w:tcBorders>
              <w:top w:val="single" w:sz="4" w:space="0" w:color="auto"/>
              <w:left w:val="single" w:sz="4" w:space="0" w:color="auto"/>
              <w:bottom w:val="single" w:sz="4" w:space="0" w:color="auto"/>
              <w:right w:val="single" w:sz="4" w:space="0" w:color="auto"/>
            </w:tcBorders>
            <w:vAlign w:val="center"/>
          </w:tcPr>
          <w:p w14:paraId="08BCFBCA"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tcPr>
          <w:p w14:paraId="551432A6"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TDLA30-</w:t>
            </w:r>
            <w:r w:rsidRPr="00C25669">
              <w:rPr>
                <w:rFonts w:ascii="Arial" w:eastAsia="SimSun" w:hAnsi="Arial" w:hint="eastAsia"/>
                <w:sz w:val="18"/>
                <w:lang w:eastAsia="zh-CN"/>
              </w:rPr>
              <w:t>5</w:t>
            </w:r>
          </w:p>
        </w:tc>
      </w:tr>
      <w:tr w:rsidR="00241417" w:rsidRPr="00C25669" w14:paraId="063F68D9"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14D4D4DE"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Antenna configuration</w:t>
            </w:r>
          </w:p>
        </w:tc>
        <w:tc>
          <w:tcPr>
            <w:tcW w:w="740" w:type="dxa"/>
            <w:tcBorders>
              <w:top w:val="single" w:sz="4" w:space="0" w:color="auto"/>
              <w:left w:val="single" w:sz="4" w:space="0" w:color="auto"/>
              <w:bottom w:val="single" w:sz="4" w:space="0" w:color="auto"/>
              <w:right w:val="single" w:sz="4" w:space="0" w:color="auto"/>
            </w:tcBorders>
            <w:vAlign w:val="center"/>
          </w:tcPr>
          <w:p w14:paraId="43F70019"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75CB9971"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ULA Low 2x4</w:t>
            </w:r>
          </w:p>
        </w:tc>
        <w:tc>
          <w:tcPr>
            <w:tcW w:w="1376" w:type="dxa"/>
            <w:tcBorders>
              <w:top w:val="single" w:sz="4" w:space="0" w:color="auto"/>
              <w:left w:val="single" w:sz="4" w:space="0" w:color="auto"/>
              <w:bottom w:val="single" w:sz="4" w:space="0" w:color="auto"/>
              <w:right w:val="single" w:sz="4" w:space="0" w:color="auto"/>
            </w:tcBorders>
            <w:vAlign w:val="center"/>
          </w:tcPr>
          <w:p w14:paraId="1ECA8681"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ULA Low 2x4</w:t>
            </w:r>
          </w:p>
        </w:tc>
        <w:tc>
          <w:tcPr>
            <w:tcW w:w="1376" w:type="dxa"/>
            <w:tcBorders>
              <w:top w:val="single" w:sz="4" w:space="0" w:color="auto"/>
              <w:left w:val="single" w:sz="4" w:space="0" w:color="auto"/>
              <w:bottom w:val="single" w:sz="4" w:space="0" w:color="auto"/>
              <w:right w:val="single" w:sz="4" w:space="0" w:color="auto"/>
            </w:tcBorders>
            <w:vAlign w:val="center"/>
          </w:tcPr>
          <w:p w14:paraId="5A96BF7B"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ULA High 2x4</w:t>
            </w:r>
          </w:p>
        </w:tc>
        <w:tc>
          <w:tcPr>
            <w:tcW w:w="1377" w:type="dxa"/>
            <w:tcBorders>
              <w:top w:val="single" w:sz="4" w:space="0" w:color="auto"/>
              <w:left w:val="single" w:sz="4" w:space="0" w:color="auto"/>
              <w:bottom w:val="single" w:sz="4" w:space="0" w:color="auto"/>
              <w:right w:val="single" w:sz="4" w:space="0" w:color="auto"/>
            </w:tcBorders>
            <w:vAlign w:val="center"/>
          </w:tcPr>
          <w:p w14:paraId="643CA97F"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ULA Low 4x4</w:t>
            </w:r>
          </w:p>
        </w:tc>
      </w:tr>
      <w:tr w:rsidR="00241417" w:rsidRPr="00C25669" w14:paraId="2FC81996"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49A5FC09"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Beamforming Model</w:t>
            </w:r>
          </w:p>
        </w:tc>
        <w:tc>
          <w:tcPr>
            <w:tcW w:w="740" w:type="dxa"/>
            <w:tcBorders>
              <w:top w:val="single" w:sz="4" w:space="0" w:color="auto"/>
              <w:left w:val="single" w:sz="4" w:space="0" w:color="auto"/>
              <w:bottom w:val="single" w:sz="4" w:space="0" w:color="auto"/>
              <w:right w:val="single" w:sz="4" w:space="0" w:color="auto"/>
            </w:tcBorders>
            <w:vAlign w:val="center"/>
          </w:tcPr>
          <w:p w14:paraId="7FC2CFBD"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6FA88A21"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 xml:space="preserve">As defined in Annex </w:t>
            </w:r>
            <w:r>
              <w:rPr>
                <w:rFonts w:ascii="Arial" w:eastAsia="SimSun" w:hAnsi="Arial"/>
                <w:sz w:val="18"/>
              </w:rPr>
              <w:t>TBA</w:t>
            </w:r>
          </w:p>
        </w:tc>
      </w:tr>
      <w:tr w:rsidR="00241417" w:rsidRPr="00C25669" w14:paraId="56761F0F" w14:textId="77777777" w:rsidTr="003A71DE">
        <w:trPr>
          <w:trHeight w:val="70"/>
          <w:jc w:val="center"/>
        </w:trPr>
        <w:tc>
          <w:tcPr>
            <w:tcW w:w="1196" w:type="dxa"/>
            <w:vMerge w:val="restart"/>
            <w:tcBorders>
              <w:top w:val="single" w:sz="4" w:space="0" w:color="auto"/>
              <w:left w:val="single" w:sz="4" w:space="0" w:color="auto"/>
              <w:right w:val="single" w:sz="4" w:space="0" w:color="auto"/>
            </w:tcBorders>
            <w:vAlign w:val="center"/>
            <w:hideMark/>
          </w:tcPr>
          <w:p w14:paraId="2A8A643D"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NZP CSI-RS for CSI acquisition</w:t>
            </w:r>
          </w:p>
          <w:p w14:paraId="1A343C59" w14:textId="77777777" w:rsidR="00241417" w:rsidRPr="00C25669" w:rsidRDefault="00241417" w:rsidP="003A71DE">
            <w:pPr>
              <w:keepNext/>
              <w:keepLines/>
              <w:spacing w:after="0"/>
              <w:rPr>
                <w:rFonts w:ascii="Arial" w:eastAsia="SimSun" w:hAnsi="Arial"/>
                <w:sz w:val="18"/>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60FBE10C"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CSI-RS resource</w:t>
            </w:r>
            <w:r w:rsidRPr="00C25669">
              <w:rPr>
                <w:rFonts w:ascii="Arial" w:eastAsia="SimSun" w:hAnsi="Arial" w:hint="eastAsia"/>
                <w:sz w:val="18"/>
              </w:rPr>
              <w:t xml:space="preserve"> </w:t>
            </w:r>
            <w:r w:rsidRPr="00C25669">
              <w:rPr>
                <w:rFonts w:ascii="Arial" w:eastAsia="SimSun" w:hAnsi="Arial"/>
                <w:sz w:val="18"/>
              </w:rPr>
              <w:t>Type</w:t>
            </w:r>
          </w:p>
        </w:tc>
        <w:tc>
          <w:tcPr>
            <w:tcW w:w="740" w:type="dxa"/>
            <w:tcBorders>
              <w:top w:val="single" w:sz="4" w:space="0" w:color="auto"/>
              <w:left w:val="single" w:sz="4" w:space="0" w:color="auto"/>
              <w:bottom w:val="single" w:sz="4" w:space="0" w:color="auto"/>
              <w:right w:val="single" w:sz="4" w:space="0" w:color="auto"/>
            </w:tcBorders>
            <w:vAlign w:val="center"/>
          </w:tcPr>
          <w:p w14:paraId="39F56479"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161C4B01"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Periodic</w:t>
            </w:r>
          </w:p>
        </w:tc>
      </w:tr>
      <w:tr w:rsidR="00241417" w:rsidRPr="00C25669" w14:paraId="05234CDD" w14:textId="77777777" w:rsidTr="003A71DE">
        <w:trPr>
          <w:trHeight w:val="70"/>
          <w:jc w:val="center"/>
        </w:trPr>
        <w:tc>
          <w:tcPr>
            <w:tcW w:w="1196" w:type="dxa"/>
            <w:vMerge/>
            <w:tcBorders>
              <w:left w:val="single" w:sz="4" w:space="0" w:color="auto"/>
              <w:right w:val="single" w:sz="4" w:space="0" w:color="auto"/>
            </w:tcBorders>
            <w:vAlign w:val="center"/>
          </w:tcPr>
          <w:p w14:paraId="0C92570C" w14:textId="77777777" w:rsidR="00241417" w:rsidRPr="00C25669" w:rsidRDefault="00241417" w:rsidP="003A71DE">
            <w:pPr>
              <w:keepNext/>
              <w:keepLines/>
              <w:spacing w:after="0"/>
              <w:rPr>
                <w:rFonts w:ascii="Arial" w:eastAsia="SimSun" w:hAnsi="Arial"/>
                <w:sz w:val="18"/>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65221D9B"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Number of CSI-RS ports (</w:t>
            </w:r>
            <w:r w:rsidRPr="00C25669">
              <w:rPr>
                <w:rFonts w:ascii="Arial" w:eastAsia="SimSun" w:hAnsi="Arial"/>
                <w:i/>
                <w:sz w:val="18"/>
              </w:rPr>
              <w:t>X</w:t>
            </w:r>
            <w:r w:rsidRPr="00C25669">
              <w:rPr>
                <w:rFonts w:ascii="Arial" w:eastAsia="SimSun" w:hAnsi="Arial"/>
                <w:sz w:val="18"/>
              </w:rPr>
              <w:t>)</w:t>
            </w:r>
          </w:p>
        </w:tc>
        <w:tc>
          <w:tcPr>
            <w:tcW w:w="740" w:type="dxa"/>
            <w:tcBorders>
              <w:top w:val="single" w:sz="4" w:space="0" w:color="auto"/>
              <w:left w:val="single" w:sz="4" w:space="0" w:color="auto"/>
              <w:bottom w:val="single" w:sz="4" w:space="0" w:color="auto"/>
              <w:right w:val="single" w:sz="4" w:space="0" w:color="auto"/>
            </w:tcBorders>
            <w:vAlign w:val="center"/>
          </w:tcPr>
          <w:p w14:paraId="68D6B0A0"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0F42EADB"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2</w:t>
            </w:r>
          </w:p>
        </w:tc>
        <w:tc>
          <w:tcPr>
            <w:tcW w:w="1376" w:type="dxa"/>
            <w:tcBorders>
              <w:top w:val="single" w:sz="4" w:space="0" w:color="auto"/>
              <w:left w:val="single" w:sz="4" w:space="0" w:color="auto"/>
              <w:bottom w:val="single" w:sz="4" w:space="0" w:color="auto"/>
              <w:right w:val="single" w:sz="4" w:space="0" w:color="auto"/>
            </w:tcBorders>
            <w:vAlign w:val="center"/>
          </w:tcPr>
          <w:p w14:paraId="15388949"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2</w:t>
            </w:r>
          </w:p>
        </w:tc>
        <w:tc>
          <w:tcPr>
            <w:tcW w:w="1376" w:type="dxa"/>
            <w:tcBorders>
              <w:top w:val="single" w:sz="4" w:space="0" w:color="auto"/>
              <w:left w:val="single" w:sz="4" w:space="0" w:color="auto"/>
              <w:bottom w:val="single" w:sz="4" w:space="0" w:color="auto"/>
              <w:right w:val="single" w:sz="4" w:space="0" w:color="auto"/>
            </w:tcBorders>
            <w:vAlign w:val="center"/>
          </w:tcPr>
          <w:p w14:paraId="34F77210"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2</w:t>
            </w:r>
          </w:p>
        </w:tc>
        <w:tc>
          <w:tcPr>
            <w:tcW w:w="1377" w:type="dxa"/>
            <w:tcBorders>
              <w:top w:val="single" w:sz="4" w:space="0" w:color="auto"/>
              <w:left w:val="single" w:sz="4" w:space="0" w:color="auto"/>
              <w:bottom w:val="single" w:sz="4" w:space="0" w:color="auto"/>
              <w:right w:val="single" w:sz="4" w:space="0" w:color="auto"/>
            </w:tcBorders>
            <w:vAlign w:val="center"/>
          </w:tcPr>
          <w:p w14:paraId="13DFA0AA" w14:textId="77777777" w:rsidR="00241417" w:rsidRDefault="00241417" w:rsidP="003A71DE">
            <w:pPr>
              <w:keepNext/>
              <w:keepLines/>
              <w:spacing w:after="0"/>
              <w:jc w:val="center"/>
              <w:rPr>
                <w:rFonts w:ascii="Arial" w:eastAsia="SimSun" w:hAnsi="Arial"/>
                <w:sz w:val="18"/>
              </w:rPr>
            </w:pPr>
            <w:r>
              <w:rPr>
                <w:rFonts w:ascii="Arial" w:eastAsia="SimSun" w:hAnsi="Arial"/>
                <w:sz w:val="18"/>
              </w:rPr>
              <w:t>4</w:t>
            </w:r>
          </w:p>
        </w:tc>
      </w:tr>
      <w:tr w:rsidR="00241417" w:rsidRPr="00C25669" w14:paraId="5C8B372B" w14:textId="77777777" w:rsidTr="003A71DE">
        <w:trPr>
          <w:trHeight w:val="70"/>
          <w:jc w:val="center"/>
        </w:trPr>
        <w:tc>
          <w:tcPr>
            <w:tcW w:w="1196" w:type="dxa"/>
            <w:vMerge/>
            <w:tcBorders>
              <w:left w:val="single" w:sz="4" w:space="0" w:color="auto"/>
              <w:right w:val="single" w:sz="4" w:space="0" w:color="auto"/>
            </w:tcBorders>
            <w:vAlign w:val="center"/>
            <w:hideMark/>
          </w:tcPr>
          <w:p w14:paraId="3648691E" w14:textId="77777777" w:rsidR="00241417" w:rsidRPr="00C25669" w:rsidRDefault="00241417" w:rsidP="003A71DE">
            <w:pPr>
              <w:keepNext/>
              <w:keepLines/>
              <w:spacing w:after="0"/>
              <w:rPr>
                <w:rFonts w:ascii="Arial" w:eastAsia="SimSun" w:hAnsi="Arial"/>
                <w:sz w:val="18"/>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12F56B88"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CDM Type</w:t>
            </w:r>
          </w:p>
        </w:tc>
        <w:tc>
          <w:tcPr>
            <w:tcW w:w="740" w:type="dxa"/>
            <w:tcBorders>
              <w:top w:val="single" w:sz="4" w:space="0" w:color="auto"/>
              <w:left w:val="single" w:sz="4" w:space="0" w:color="auto"/>
              <w:bottom w:val="single" w:sz="4" w:space="0" w:color="auto"/>
              <w:right w:val="single" w:sz="4" w:space="0" w:color="auto"/>
            </w:tcBorders>
            <w:vAlign w:val="center"/>
          </w:tcPr>
          <w:p w14:paraId="6C2B0CC1"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4A954BD6"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FD-CDM2</w:t>
            </w:r>
          </w:p>
        </w:tc>
      </w:tr>
      <w:tr w:rsidR="00241417" w:rsidRPr="00C25669" w14:paraId="06D9B53B" w14:textId="77777777" w:rsidTr="003A71DE">
        <w:trPr>
          <w:trHeight w:val="70"/>
          <w:jc w:val="center"/>
        </w:trPr>
        <w:tc>
          <w:tcPr>
            <w:tcW w:w="1196" w:type="dxa"/>
            <w:vMerge/>
            <w:tcBorders>
              <w:left w:val="single" w:sz="4" w:space="0" w:color="auto"/>
              <w:right w:val="single" w:sz="4" w:space="0" w:color="auto"/>
            </w:tcBorders>
            <w:vAlign w:val="center"/>
            <w:hideMark/>
          </w:tcPr>
          <w:p w14:paraId="63D05212" w14:textId="77777777" w:rsidR="00241417" w:rsidRPr="00C25669" w:rsidRDefault="00241417" w:rsidP="003A71DE">
            <w:pPr>
              <w:keepNext/>
              <w:keepLines/>
              <w:spacing w:after="0"/>
              <w:rPr>
                <w:rFonts w:ascii="Arial" w:eastAsia="SimSun" w:hAnsi="Arial"/>
                <w:sz w:val="18"/>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49E97A7E"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Density (ρ)</w:t>
            </w:r>
          </w:p>
        </w:tc>
        <w:tc>
          <w:tcPr>
            <w:tcW w:w="740" w:type="dxa"/>
            <w:tcBorders>
              <w:top w:val="single" w:sz="4" w:space="0" w:color="auto"/>
              <w:left w:val="single" w:sz="4" w:space="0" w:color="auto"/>
              <w:bottom w:val="single" w:sz="4" w:space="0" w:color="auto"/>
              <w:right w:val="single" w:sz="4" w:space="0" w:color="auto"/>
            </w:tcBorders>
            <w:vAlign w:val="center"/>
          </w:tcPr>
          <w:p w14:paraId="1D0D1A94"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1AC15B56"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1</w:t>
            </w:r>
          </w:p>
        </w:tc>
      </w:tr>
      <w:tr w:rsidR="00241417" w:rsidRPr="00C25669" w14:paraId="671E5721" w14:textId="77777777" w:rsidTr="003A71DE">
        <w:trPr>
          <w:trHeight w:val="70"/>
          <w:jc w:val="center"/>
        </w:trPr>
        <w:tc>
          <w:tcPr>
            <w:tcW w:w="1196" w:type="dxa"/>
            <w:vMerge/>
            <w:tcBorders>
              <w:left w:val="single" w:sz="4" w:space="0" w:color="auto"/>
              <w:right w:val="single" w:sz="4" w:space="0" w:color="auto"/>
            </w:tcBorders>
            <w:vAlign w:val="center"/>
            <w:hideMark/>
          </w:tcPr>
          <w:p w14:paraId="690A5ABE" w14:textId="77777777" w:rsidR="00241417" w:rsidRPr="00C25669" w:rsidRDefault="00241417" w:rsidP="003A71DE">
            <w:pPr>
              <w:keepNext/>
              <w:keepLines/>
              <w:spacing w:after="0"/>
              <w:rPr>
                <w:rFonts w:ascii="Arial" w:eastAsia="SimSun" w:hAnsi="Arial"/>
                <w:b/>
                <w:sz w:val="18"/>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4D4821B6"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First subcarrier index in the PRB used for CSI-RS</w:t>
            </w:r>
            <w:r w:rsidRPr="00C25669" w:rsidDel="0032520A">
              <w:rPr>
                <w:rFonts w:ascii="Arial" w:eastAsia="SimSun" w:hAnsi="Arial"/>
                <w:sz w:val="18"/>
              </w:rPr>
              <w:t xml:space="preserve"> </w:t>
            </w:r>
            <w:r w:rsidRPr="00C25669">
              <w:rPr>
                <w:rFonts w:ascii="Arial" w:eastAsia="SimSun" w:hAnsi="Arial"/>
                <w:sz w:val="18"/>
              </w:rPr>
              <w:t>(k</w:t>
            </w:r>
            <w:r w:rsidRPr="00C25669">
              <w:rPr>
                <w:rFonts w:ascii="Arial" w:eastAsia="SimSun" w:hAnsi="Arial"/>
                <w:sz w:val="18"/>
                <w:vertAlign w:val="subscript"/>
              </w:rPr>
              <w:t>0</w:t>
            </w:r>
            <w:r w:rsidRPr="00C25669">
              <w:rPr>
                <w:rFonts w:ascii="Arial" w:eastAsia="SimSun" w:hAnsi="Arial"/>
                <w:sz w:val="18"/>
              </w:rPr>
              <w:t>, k</w:t>
            </w:r>
            <w:r w:rsidRPr="00C25669">
              <w:rPr>
                <w:rFonts w:ascii="Arial" w:eastAsia="SimSun" w:hAnsi="Arial"/>
                <w:sz w:val="18"/>
                <w:vertAlign w:val="subscript"/>
              </w:rPr>
              <w:t>1</w:t>
            </w:r>
            <w:r w:rsidRPr="00C25669">
              <w:rPr>
                <w:rFonts w:ascii="Arial" w:eastAsia="SimSun" w:hAnsi="Arial"/>
                <w:sz w:val="18"/>
              </w:rPr>
              <w:t>)</w:t>
            </w:r>
          </w:p>
        </w:tc>
        <w:tc>
          <w:tcPr>
            <w:tcW w:w="740" w:type="dxa"/>
            <w:tcBorders>
              <w:top w:val="single" w:sz="4" w:space="0" w:color="auto"/>
              <w:left w:val="single" w:sz="4" w:space="0" w:color="auto"/>
              <w:bottom w:val="single" w:sz="4" w:space="0" w:color="auto"/>
              <w:right w:val="single" w:sz="4" w:space="0" w:color="auto"/>
            </w:tcBorders>
            <w:vAlign w:val="center"/>
          </w:tcPr>
          <w:p w14:paraId="6342122A"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78BFC74C"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Row 3 (6,-)</w:t>
            </w:r>
          </w:p>
        </w:tc>
        <w:tc>
          <w:tcPr>
            <w:tcW w:w="1376" w:type="dxa"/>
            <w:tcBorders>
              <w:top w:val="single" w:sz="4" w:space="0" w:color="auto"/>
              <w:left w:val="single" w:sz="4" w:space="0" w:color="auto"/>
              <w:bottom w:val="single" w:sz="4" w:space="0" w:color="auto"/>
              <w:right w:val="single" w:sz="4" w:space="0" w:color="auto"/>
            </w:tcBorders>
            <w:vAlign w:val="center"/>
          </w:tcPr>
          <w:p w14:paraId="704D99FB"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Row 3 (6,-)</w:t>
            </w:r>
          </w:p>
        </w:tc>
        <w:tc>
          <w:tcPr>
            <w:tcW w:w="1376" w:type="dxa"/>
            <w:tcBorders>
              <w:top w:val="single" w:sz="4" w:space="0" w:color="auto"/>
              <w:left w:val="single" w:sz="4" w:space="0" w:color="auto"/>
              <w:bottom w:val="single" w:sz="4" w:space="0" w:color="auto"/>
              <w:right w:val="single" w:sz="4" w:space="0" w:color="auto"/>
            </w:tcBorders>
            <w:vAlign w:val="center"/>
          </w:tcPr>
          <w:p w14:paraId="6C191742"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Row 3 (6,-)</w:t>
            </w:r>
          </w:p>
        </w:tc>
        <w:tc>
          <w:tcPr>
            <w:tcW w:w="1377" w:type="dxa"/>
            <w:tcBorders>
              <w:top w:val="single" w:sz="4" w:space="0" w:color="auto"/>
              <w:left w:val="single" w:sz="4" w:space="0" w:color="auto"/>
              <w:bottom w:val="single" w:sz="4" w:space="0" w:color="auto"/>
              <w:right w:val="single" w:sz="4" w:space="0" w:color="auto"/>
            </w:tcBorders>
            <w:vAlign w:val="center"/>
          </w:tcPr>
          <w:p w14:paraId="199E4088"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Row 4 (0,-)</w:t>
            </w:r>
          </w:p>
        </w:tc>
      </w:tr>
      <w:tr w:rsidR="00241417" w:rsidRPr="00C25669" w14:paraId="2A5E5980" w14:textId="77777777" w:rsidTr="003A71DE">
        <w:trPr>
          <w:trHeight w:val="70"/>
          <w:jc w:val="center"/>
        </w:trPr>
        <w:tc>
          <w:tcPr>
            <w:tcW w:w="1196" w:type="dxa"/>
            <w:vMerge/>
            <w:tcBorders>
              <w:left w:val="single" w:sz="4" w:space="0" w:color="auto"/>
              <w:right w:val="single" w:sz="4" w:space="0" w:color="auto"/>
            </w:tcBorders>
            <w:vAlign w:val="center"/>
            <w:hideMark/>
          </w:tcPr>
          <w:p w14:paraId="12016FE6" w14:textId="77777777" w:rsidR="00241417" w:rsidRPr="00C25669" w:rsidRDefault="00241417" w:rsidP="003A71DE">
            <w:pPr>
              <w:keepNext/>
              <w:keepLines/>
              <w:spacing w:after="0"/>
              <w:rPr>
                <w:rFonts w:ascii="Arial" w:eastAsia="SimSun" w:hAnsi="Arial"/>
                <w:sz w:val="18"/>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5C2E750A"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First OFDM symbol in the PRB used for CSI-RS (l</w:t>
            </w:r>
            <w:r w:rsidRPr="00C25669">
              <w:rPr>
                <w:rFonts w:ascii="Arial" w:eastAsia="SimSun" w:hAnsi="Arial"/>
                <w:sz w:val="18"/>
                <w:vertAlign w:val="subscript"/>
              </w:rPr>
              <w:t>0</w:t>
            </w:r>
            <w:r w:rsidRPr="00C25669">
              <w:rPr>
                <w:rFonts w:ascii="Arial" w:eastAsia="SimSun" w:hAnsi="Arial"/>
                <w:sz w:val="18"/>
              </w:rPr>
              <w:t>, l</w:t>
            </w:r>
            <w:r w:rsidRPr="00C25669">
              <w:rPr>
                <w:rFonts w:ascii="Arial" w:eastAsia="SimSun" w:hAnsi="Arial"/>
                <w:sz w:val="18"/>
                <w:vertAlign w:val="subscript"/>
              </w:rPr>
              <w:t>1</w:t>
            </w:r>
            <w:r w:rsidRPr="00C25669">
              <w:rPr>
                <w:rFonts w:ascii="Arial" w:eastAsia="SimSun" w:hAnsi="Arial"/>
                <w:sz w:val="18"/>
              </w:rPr>
              <w:t>)</w:t>
            </w:r>
          </w:p>
        </w:tc>
        <w:tc>
          <w:tcPr>
            <w:tcW w:w="740" w:type="dxa"/>
            <w:tcBorders>
              <w:top w:val="single" w:sz="4" w:space="0" w:color="auto"/>
              <w:left w:val="single" w:sz="4" w:space="0" w:color="auto"/>
              <w:bottom w:val="single" w:sz="4" w:space="0" w:color="auto"/>
              <w:right w:val="single" w:sz="4" w:space="0" w:color="auto"/>
            </w:tcBorders>
            <w:vAlign w:val="center"/>
          </w:tcPr>
          <w:p w14:paraId="7D4CDA18"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0857C647"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(13,</w:t>
            </w:r>
            <w:r>
              <w:rPr>
                <w:rFonts w:ascii="Arial" w:eastAsia="SimSun" w:hAnsi="Arial"/>
                <w:sz w:val="18"/>
              </w:rPr>
              <w:t xml:space="preserve"> </w:t>
            </w:r>
            <w:r w:rsidRPr="00C25669">
              <w:rPr>
                <w:rFonts w:ascii="Arial" w:eastAsia="SimSun" w:hAnsi="Arial"/>
                <w:sz w:val="18"/>
              </w:rPr>
              <w:t>-)</w:t>
            </w:r>
          </w:p>
        </w:tc>
      </w:tr>
      <w:tr w:rsidR="00241417" w:rsidRPr="00C25669" w14:paraId="4F4403DE" w14:textId="77777777" w:rsidTr="003A71DE">
        <w:trPr>
          <w:trHeight w:val="70"/>
          <w:jc w:val="center"/>
        </w:trPr>
        <w:tc>
          <w:tcPr>
            <w:tcW w:w="1196" w:type="dxa"/>
            <w:vMerge/>
            <w:tcBorders>
              <w:left w:val="single" w:sz="4" w:space="0" w:color="auto"/>
              <w:right w:val="single" w:sz="4" w:space="0" w:color="auto"/>
            </w:tcBorders>
            <w:vAlign w:val="center"/>
            <w:hideMark/>
          </w:tcPr>
          <w:p w14:paraId="009C56D3" w14:textId="77777777" w:rsidR="00241417" w:rsidRPr="00C25669" w:rsidRDefault="00241417" w:rsidP="003A71DE">
            <w:pPr>
              <w:keepNext/>
              <w:keepLines/>
              <w:spacing w:after="0"/>
              <w:rPr>
                <w:rFonts w:ascii="Arial" w:eastAsia="SimSun" w:hAnsi="Arial"/>
                <w:sz w:val="18"/>
              </w:rPr>
            </w:pPr>
          </w:p>
        </w:tc>
        <w:tc>
          <w:tcPr>
            <w:tcW w:w="2725" w:type="dxa"/>
            <w:gridSpan w:val="2"/>
            <w:tcBorders>
              <w:top w:val="single" w:sz="4" w:space="0" w:color="auto"/>
              <w:left w:val="single" w:sz="4" w:space="0" w:color="auto"/>
              <w:bottom w:val="single" w:sz="4" w:space="0" w:color="auto"/>
              <w:right w:val="single" w:sz="4" w:space="0" w:color="auto"/>
            </w:tcBorders>
          </w:tcPr>
          <w:p w14:paraId="08BB8F88"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NZP CSI-RS-timeConfig</w:t>
            </w:r>
          </w:p>
          <w:p w14:paraId="1E7E14B3"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periodicity and offset</w:t>
            </w:r>
          </w:p>
        </w:tc>
        <w:tc>
          <w:tcPr>
            <w:tcW w:w="740" w:type="dxa"/>
            <w:tcBorders>
              <w:top w:val="single" w:sz="4" w:space="0" w:color="auto"/>
              <w:left w:val="single" w:sz="4" w:space="0" w:color="auto"/>
              <w:bottom w:val="single" w:sz="4" w:space="0" w:color="auto"/>
              <w:right w:val="single" w:sz="4" w:space="0" w:color="auto"/>
            </w:tcBorders>
            <w:vAlign w:val="center"/>
            <w:hideMark/>
          </w:tcPr>
          <w:p w14:paraId="65ECD028"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slot</w:t>
            </w: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48FA8EC5"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10/1</w:t>
            </w:r>
          </w:p>
        </w:tc>
      </w:tr>
      <w:tr w:rsidR="00241417" w:rsidRPr="00C25669" w14:paraId="4ED49E90"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7F552F7D"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ReportConfigType</w:t>
            </w:r>
          </w:p>
        </w:tc>
        <w:tc>
          <w:tcPr>
            <w:tcW w:w="740" w:type="dxa"/>
            <w:tcBorders>
              <w:top w:val="single" w:sz="4" w:space="0" w:color="auto"/>
              <w:left w:val="single" w:sz="4" w:space="0" w:color="auto"/>
              <w:bottom w:val="single" w:sz="4" w:space="0" w:color="auto"/>
              <w:right w:val="single" w:sz="4" w:space="0" w:color="auto"/>
            </w:tcBorders>
            <w:vAlign w:val="center"/>
          </w:tcPr>
          <w:p w14:paraId="020BD86F"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1B7ABDEB"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Periodic</w:t>
            </w:r>
          </w:p>
        </w:tc>
      </w:tr>
      <w:tr w:rsidR="00241417" w:rsidRPr="00C25669" w14:paraId="6B59CDDF"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4DD3E203"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CQI-table</w:t>
            </w:r>
          </w:p>
        </w:tc>
        <w:tc>
          <w:tcPr>
            <w:tcW w:w="740" w:type="dxa"/>
            <w:tcBorders>
              <w:top w:val="single" w:sz="4" w:space="0" w:color="auto"/>
              <w:left w:val="single" w:sz="4" w:space="0" w:color="auto"/>
              <w:bottom w:val="single" w:sz="4" w:space="0" w:color="auto"/>
              <w:right w:val="single" w:sz="4" w:space="0" w:color="auto"/>
            </w:tcBorders>
            <w:vAlign w:val="center"/>
          </w:tcPr>
          <w:p w14:paraId="549275EA"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11C27045"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Table 2</w:t>
            </w:r>
          </w:p>
        </w:tc>
      </w:tr>
      <w:tr w:rsidR="00241417" w:rsidRPr="00C25669" w14:paraId="2B9F7440"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6F3BD6CD"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reportQuantity</w:t>
            </w:r>
          </w:p>
        </w:tc>
        <w:tc>
          <w:tcPr>
            <w:tcW w:w="740" w:type="dxa"/>
            <w:tcBorders>
              <w:top w:val="single" w:sz="4" w:space="0" w:color="auto"/>
              <w:left w:val="single" w:sz="4" w:space="0" w:color="auto"/>
              <w:bottom w:val="single" w:sz="4" w:space="0" w:color="auto"/>
              <w:right w:val="single" w:sz="4" w:space="0" w:color="auto"/>
            </w:tcBorders>
            <w:vAlign w:val="center"/>
          </w:tcPr>
          <w:p w14:paraId="65AC5ACD"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20244CB5" w14:textId="77777777" w:rsidR="00241417" w:rsidRPr="000E5CFF" w:rsidRDefault="00241417" w:rsidP="003A71DE">
            <w:pPr>
              <w:keepNext/>
              <w:keepLines/>
              <w:spacing w:after="0"/>
              <w:jc w:val="center"/>
              <w:rPr>
                <w:rFonts w:ascii="Arial" w:eastAsia="SimSun" w:hAnsi="Arial"/>
                <w:sz w:val="18"/>
              </w:rPr>
            </w:pPr>
            <w:r w:rsidRPr="00C25669">
              <w:rPr>
                <w:rFonts w:ascii="Arial" w:eastAsia="SimSun" w:hAnsi="Arial"/>
                <w:iCs/>
                <w:sz w:val="18"/>
              </w:rPr>
              <w:t>cri-RI-PMI-CQI</w:t>
            </w:r>
          </w:p>
        </w:tc>
      </w:tr>
      <w:tr w:rsidR="00241417" w:rsidRPr="00C25669" w14:paraId="2C373897"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1F3B9371"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cqi-FormatIndicator</w:t>
            </w:r>
          </w:p>
        </w:tc>
        <w:tc>
          <w:tcPr>
            <w:tcW w:w="740" w:type="dxa"/>
            <w:tcBorders>
              <w:top w:val="single" w:sz="4" w:space="0" w:color="auto"/>
              <w:left w:val="single" w:sz="4" w:space="0" w:color="auto"/>
              <w:bottom w:val="single" w:sz="4" w:space="0" w:color="auto"/>
              <w:right w:val="single" w:sz="4" w:space="0" w:color="auto"/>
            </w:tcBorders>
            <w:vAlign w:val="center"/>
          </w:tcPr>
          <w:p w14:paraId="4B9427DF"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0DCA7D57"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Wideband</w:t>
            </w:r>
          </w:p>
        </w:tc>
      </w:tr>
      <w:tr w:rsidR="00241417" w:rsidRPr="00C25669" w14:paraId="13FCA510"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5D82C55B"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pmi-FormatIndicator</w:t>
            </w:r>
            <w:r w:rsidRPr="00C25669">
              <w:rPr>
                <w:rFonts w:ascii="Arial" w:eastAsia="SimSun" w:hAnsi="Arial"/>
                <w:i/>
                <w:sz w:val="18"/>
              </w:rPr>
              <w:t xml:space="preserve">  </w:t>
            </w:r>
          </w:p>
        </w:tc>
        <w:tc>
          <w:tcPr>
            <w:tcW w:w="740" w:type="dxa"/>
            <w:tcBorders>
              <w:top w:val="single" w:sz="4" w:space="0" w:color="auto"/>
              <w:left w:val="single" w:sz="4" w:space="0" w:color="auto"/>
              <w:bottom w:val="single" w:sz="4" w:space="0" w:color="auto"/>
              <w:right w:val="single" w:sz="4" w:space="0" w:color="auto"/>
            </w:tcBorders>
            <w:vAlign w:val="center"/>
          </w:tcPr>
          <w:p w14:paraId="7CDA1F5A"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56F1C418"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Wideband</w:t>
            </w:r>
          </w:p>
        </w:tc>
      </w:tr>
      <w:tr w:rsidR="00241417" w:rsidRPr="00C25669" w14:paraId="156AFF12"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5E551035"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Sub-band Size</w:t>
            </w:r>
          </w:p>
        </w:tc>
        <w:tc>
          <w:tcPr>
            <w:tcW w:w="740" w:type="dxa"/>
            <w:tcBorders>
              <w:top w:val="single" w:sz="4" w:space="0" w:color="auto"/>
              <w:left w:val="single" w:sz="4" w:space="0" w:color="auto"/>
              <w:bottom w:val="single" w:sz="4" w:space="0" w:color="auto"/>
              <w:right w:val="single" w:sz="4" w:space="0" w:color="auto"/>
            </w:tcBorders>
            <w:vAlign w:val="center"/>
          </w:tcPr>
          <w:p w14:paraId="005BA058"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RB</w:t>
            </w: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5622F056"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16</w:t>
            </w:r>
          </w:p>
        </w:tc>
      </w:tr>
      <w:tr w:rsidR="00241417" w:rsidRPr="00C25669" w14:paraId="77295F54"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44C7FFA6"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csi-ReportingBand</w:t>
            </w:r>
          </w:p>
        </w:tc>
        <w:tc>
          <w:tcPr>
            <w:tcW w:w="740" w:type="dxa"/>
            <w:tcBorders>
              <w:top w:val="single" w:sz="4" w:space="0" w:color="auto"/>
              <w:left w:val="single" w:sz="4" w:space="0" w:color="auto"/>
              <w:bottom w:val="single" w:sz="4" w:space="0" w:color="auto"/>
              <w:right w:val="single" w:sz="4" w:space="0" w:color="auto"/>
            </w:tcBorders>
            <w:vAlign w:val="center"/>
          </w:tcPr>
          <w:p w14:paraId="47A7604A"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7B25E0AE"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1111111</w:t>
            </w:r>
          </w:p>
        </w:tc>
      </w:tr>
      <w:tr w:rsidR="00241417" w:rsidRPr="00C25669" w14:paraId="2A0C7171"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093B1DEB"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CSI-Report periodicity and offset</w:t>
            </w:r>
          </w:p>
        </w:tc>
        <w:tc>
          <w:tcPr>
            <w:tcW w:w="740" w:type="dxa"/>
            <w:tcBorders>
              <w:top w:val="single" w:sz="4" w:space="0" w:color="auto"/>
              <w:left w:val="single" w:sz="4" w:space="0" w:color="auto"/>
              <w:bottom w:val="single" w:sz="4" w:space="0" w:color="auto"/>
              <w:right w:val="single" w:sz="4" w:space="0" w:color="auto"/>
            </w:tcBorders>
            <w:vAlign w:val="center"/>
          </w:tcPr>
          <w:p w14:paraId="3BF77259"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slot</w:t>
            </w: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1EEAA018"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10/</w:t>
            </w:r>
            <w:r w:rsidRPr="00C25669">
              <w:rPr>
                <w:rFonts w:ascii="Arial" w:eastAsia="SimSun" w:hAnsi="Arial" w:hint="eastAsia"/>
                <w:sz w:val="18"/>
                <w:lang w:eastAsia="zh-CN"/>
              </w:rPr>
              <w:t>9</w:t>
            </w:r>
          </w:p>
        </w:tc>
      </w:tr>
      <w:tr w:rsidR="00241417" w:rsidRPr="00C25669" w14:paraId="724322BE" w14:textId="77777777" w:rsidTr="003A71DE">
        <w:trPr>
          <w:trHeight w:val="70"/>
          <w:jc w:val="center"/>
        </w:trPr>
        <w:tc>
          <w:tcPr>
            <w:tcW w:w="1267" w:type="dxa"/>
            <w:gridSpan w:val="2"/>
            <w:vMerge w:val="restart"/>
            <w:tcBorders>
              <w:top w:val="single" w:sz="4" w:space="0" w:color="auto"/>
              <w:left w:val="single" w:sz="4" w:space="0" w:color="auto"/>
              <w:right w:val="single" w:sz="4" w:space="0" w:color="auto"/>
            </w:tcBorders>
            <w:vAlign w:val="center"/>
            <w:hideMark/>
          </w:tcPr>
          <w:p w14:paraId="3A68C2C9"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Codebook configuration</w:t>
            </w:r>
          </w:p>
        </w:tc>
        <w:tc>
          <w:tcPr>
            <w:tcW w:w="2654" w:type="dxa"/>
            <w:tcBorders>
              <w:top w:val="single" w:sz="4" w:space="0" w:color="auto"/>
              <w:left w:val="single" w:sz="4" w:space="0" w:color="auto"/>
              <w:bottom w:val="single" w:sz="4" w:space="0" w:color="auto"/>
              <w:right w:val="single" w:sz="4" w:space="0" w:color="auto"/>
            </w:tcBorders>
          </w:tcPr>
          <w:p w14:paraId="60055E7A"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Codebook Type</w:t>
            </w:r>
          </w:p>
        </w:tc>
        <w:tc>
          <w:tcPr>
            <w:tcW w:w="740" w:type="dxa"/>
            <w:tcBorders>
              <w:top w:val="single" w:sz="4" w:space="0" w:color="auto"/>
              <w:left w:val="single" w:sz="4" w:space="0" w:color="auto"/>
              <w:bottom w:val="single" w:sz="4" w:space="0" w:color="auto"/>
              <w:right w:val="single" w:sz="4" w:space="0" w:color="auto"/>
            </w:tcBorders>
            <w:vAlign w:val="center"/>
          </w:tcPr>
          <w:p w14:paraId="490656C5"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133BA55A"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typeI-SinglePanel</w:t>
            </w:r>
          </w:p>
        </w:tc>
      </w:tr>
      <w:tr w:rsidR="00241417" w:rsidRPr="00C25669" w14:paraId="1D75C7FB" w14:textId="77777777" w:rsidTr="003A71DE">
        <w:trPr>
          <w:trHeight w:val="70"/>
          <w:jc w:val="center"/>
        </w:trPr>
        <w:tc>
          <w:tcPr>
            <w:tcW w:w="1267" w:type="dxa"/>
            <w:gridSpan w:val="2"/>
            <w:vMerge/>
            <w:tcBorders>
              <w:left w:val="single" w:sz="4" w:space="0" w:color="auto"/>
              <w:right w:val="single" w:sz="4" w:space="0" w:color="auto"/>
            </w:tcBorders>
            <w:hideMark/>
          </w:tcPr>
          <w:p w14:paraId="1498C3F1" w14:textId="77777777" w:rsidR="00241417" w:rsidRPr="00C25669" w:rsidRDefault="00241417" w:rsidP="003A71DE">
            <w:pPr>
              <w:keepNext/>
              <w:keepLines/>
              <w:spacing w:after="0"/>
              <w:rPr>
                <w:rFonts w:ascii="Arial" w:eastAsia="SimSun" w:hAnsi="Arial"/>
                <w:sz w:val="18"/>
              </w:rPr>
            </w:pPr>
          </w:p>
        </w:tc>
        <w:tc>
          <w:tcPr>
            <w:tcW w:w="2654" w:type="dxa"/>
            <w:tcBorders>
              <w:top w:val="single" w:sz="4" w:space="0" w:color="auto"/>
              <w:left w:val="single" w:sz="4" w:space="0" w:color="auto"/>
              <w:bottom w:val="single" w:sz="4" w:space="0" w:color="auto"/>
              <w:right w:val="single" w:sz="4" w:space="0" w:color="auto"/>
            </w:tcBorders>
          </w:tcPr>
          <w:p w14:paraId="43A1C433"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Codebook Mode</w:t>
            </w:r>
          </w:p>
        </w:tc>
        <w:tc>
          <w:tcPr>
            <w:tcW w:w="740" w:type="dxa"/>
            <w:tcBorders>
              <w:top w:val="single" w:sz="4" w:space="0" w:color="auto"/>
              <w:left w:val="single" w:sz="4" w:space="0" w:color="auto"/>
              <w:bottom w:val="single" w:sz="4" w:space="0" w:color="auto"/>
              <w:right w:val="single" w:sz="4" w:space="0" w:color="auto"/>
            </w:tcBorders>
            <w:vAlign w:val="center"/>
          </w:tcPr>
          <w:p w14:paraId="2FF0B597"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40732C42"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1</w:t>
            </w:r>
          </w:p>
        </w:tc>
      </w:tr>
      <w:tr w:rsidR="00241417" w:rsidRPr="00C25669" w14:paraId="2F1BA0A8" w14:textId="77777777" w:rsidTr="003A71DE">
        <w:trPr>
          <w:trHeight w:val="70"/>
          <w:jc w:val="center"/>
        </w:trPr>
        <w:tc>
          <w:tcPr>
            <w:tcW w:w="1267" w:type="dxa"/>
            <w:gridSpan w:val="2"/>
            <w:vMerge/>
            <w:tcBorders>
              <w:left w:val="single" w:sz="4" w:space="0" w:color="auto"/>
              <w:right w:val="single" w:sz="4" w:space="0" w:color="auto"/>
            </w:tcBorders>
            <w:hideMark/>
          </w:tcPr>
          <w:p w14:paraId="4A85A028" w14:textId="77777777" w:rsidR="00241417" w:rsidRPr="00C25669" w:rsidRDefault="00241417" w:rsidP="003A71DE">
            <w:pPr>
              <w:keepNext/>
              <w:keepLines/>
              <w:spacing w:after="0"/>
              <w:rPr>
                <w:rFonts w:ascii="Arial" w:eastAsia="SimSun" w:hAnsi="Arial"/>
                <w:sz w:val="18"/>
              </w:rPr>
            </w:pPr>
          </w:p>
        </w:tc>
        <w:tc>
          <w:tcPr>
            <w:tcW w:w="2654" w:type="dxa"/>
            <w:tcBorders>
              <w:top w:val="single" w:sz="4" w:space="0" w:color="auto"/>
              <w:left w:val="single" w:sz="4" w:space="0" w:color="auto"/>
              <w:bottom w:val="single" w:sz="4" w:space="0" w:color="auto"/>
              <w:right w:val="single" w:sz="4" w:space="0" w:color="auto"/>
            </w:tcBorders>
          </w:tcPr>
          <w:p w14:paraId="035DEC50"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(CodebookConfig-N1,</w:t>
            </w:r>
            <w:r>
              <w:rPr>
                <w:rFonts w:ascii="Arial" w:eastAsia="SimSun" w:hAnsi="Arial"/>
                <w:sz w:val="18"/>
              </w:rPr>
              <w:t xml:space="preserve"> </w:t>
            </w:r>
            <w:r w:rsidRPr="00C25669">
              <w:rPr>
                <w:rFonts w:ascii="Arial" w:eastAsia="SimSun" w:hAnsi="Arial"/>
                <w:sz w:val="18"/>
              </w:rPr>
              <w:t>CodebookConfig-N2)</w:t>
            </w:r>
          </w:p>
        </w:tc>
        <w:tc>
          <w:tcPr>
            <w:tcW w:w="740" w:type="dxa"/>
            <w:tcBorders>
              <w:top w:val="single" w:sz="4" w:space="0" w:color="auto"/>
              <w:left w:val="single" w:sz="4" w:space="0" w:color="auto"/>
              <w:bottom w:val="single" w:sz="4" w:space="0" w:color="auto"/>
              <w:right w:val="single" w:sz="4" w:space="0" w:color="auto"/>
            </w:tcBorders>
            <w:vAlign w:val="center"/>
          </w:tcPr>
          <w:p w14:paraId="453F5B01"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2A931A12"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N/A</w:t>
            </w:r>
          </w:p>
        </w:tc>
        <w:tc>
          <w:tcPr>
            <w:tcW w:w="1376" w:type="dxa"/>
            <w:tcBorders>
              <w:top w:val="single" w:sz="4" w:space="0" w:color="auto"/>
              <w:left w:val="single" w:sz="4" w:space="0" w:color="auto"/>
              <w:bottom w:val="single" w:sz="4" w:space="0" w:color="auto"/>
              <w:right w:val="single" w:sz="4" w:space="0" w:color="auto"/>
            </w:tcBorders>
            <w:vAlign w:val="center"/>
          </w:tcPr>
          <w:p w14:paraId="685BDCCF"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N/A</w:t>
            </w:r>
          </w:p>
        </w:tc>
        <w:tc>
          <w:tcPr>
            <w:tcW w:w="1376" w:type="dxa"/>
            <w:tcBorders>
              <w:top w:val="single" w:sz="4" w:space="0" w:color="auto"/>
              <w:left w:val="single" w:sz="4" w:space="0" w:color="auto"/>
              <w:bottom w:val="single" w:sz="4" w:space="0" w:color="auto"/>
              <w:right w:val="single" w:sz="4" w:space="0" w:color="auto"/>
            </w:tcBorders>
            <w:vAlign w:val="center"/>
          </w:tcPr>
          <w:p w14:paraId="2732DADA"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N/A</w:t>
            </w:r>
          </w:p>
        </w:tc>
        <w:tc>
          <w:tcPr>
            <w:tcW w:w="1377" w:type="dxa"/>
            <w:tcBorders>
              <w:top w:val="single" w:sz="4" w:space="0" w:color="auto"/>
              <w:left w:val="single" w:sz="4" w:space="0" w:color="auto"/>
              <w:bottom w:val="single" w:sz="4" w:space="0" w:color="auto"/>
              <w:right w:val="single" w:sz="4" w:space="0" w:color="auto"/>
            </w:tcBorders>
            <w:vAlign w:val="center"/>
          </w:tcPr>
          <w:p w14:paraId="65029504"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(2,1)</w:t>
            </w:r>
          </w:p>
        </w:tc>
      </w:tr>
      <w:tr w:rsidR="00241417" w:rsidRPr="00C25669" w14:paraId="7A28CCB0" w14:textId="77777777" w:rsidTr="003A71DE">
        <w:trPr>
          <w:trHeight w:val="70"/>
          <w:jc w:val="center"/>
        </w:trPr>
        <w:tc>
          <w:tcPr>
            <w:tcW w:w="1267" w:type="dxa"/>
            <w:gridSpan w:val="2"/>
            <w:vMerge/>
            <w:tcBorders>
              <w:left w:val="single" w:sz="4" w:space="0" w:color="auto"/>
              <w:right w:val="single" w:sz="4" w:space="0" w:color="auto"/>
            </w:tcBorders>
            <w:hideMark/>
          </w:tcPr>
          <w:p w14:paraId="51EF1D94" w14:textId="77777777" w:rsidR="00241417" w:rsidRPr="00C25669" w:rsidRDefault="00241417" w:rsidP="003A71DE">
            <w:pPr>
              <w:keepNext/>
              <w:keepLines/>
              <w:spacing w:after="0"/>
              <w:rPr>
                <w:rFonts w:ascii="Arial" w:eastAsia="SimSun" w:hAnsi="Arial"/>
                <w:sz w:val="18"/>
              </w:rPr>
            </w:pPr>
          </w:p>
        </w:tc>
        <w:tc>
          <w:tcPr>
            <w:tcW w:w="2654" w:type="dxa"/>
            <w:tcBorders>
              <w:top w:val="single" w:sz="4" w:space="0" w:color="auto"/>
              <w:left w:val="single" w:sz="4" w:space="0" w:color="auto"/>
              <w:bottom w:val="single" w:sz="4" w:space="0" w:color="auto"/>
              <w:right w:val="single" w:sz="4" w:space="0" w:color="auto"/>
            </w:tcBorders>
          </w:tcPr>
          <w:p w14:paraId="5D4E9AB8"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CodebookSubsetRestriction</w:t>
            </w:r>
          </w:p>
        </w:tc>
        <w:tc>
          <w:tcPr>
            <w:tcW w:w="740" w:type="dxa"/>
            <w:tcBorders>
              <w:top w:val="single" w:sz="4" w:space="0" w:color="auto"/>
              <w:left w:val="single" w:sz="4" w:space="0" w:color="auto"/>
              <w:bottom w:val="single" w:sz="4" w:space="0" w:color="auto"/>
              <w:right w:val="single" w:sz="4" w:space="0" w:color="auto"/>
            </w:tcBorders>
            <w:vAlign w:val="center"/>
          </w:tcPr>
          <w:p w14:paraId="2B926A86"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2B0D5CD0"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010000 for fixed rank 2,</w:t>
            </w:r>
          </w:p>
          <w:p w14:paraId="3AAE7200"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010011 for following rank</w:t>
            </w:r>
          </w:p>
        </w:tc>
        <w:tc>
          <w:tcPr>
            <w:tcW w:w="1376" w:type="dxa"/>
            <w:tcBorders>
              <w:top w:val="single" w:sz="4" w:space="0" w:color="auto"/>
              <w:left w:val="single" w:sz="4" w:space="0" w:color="auto"/>
              <w:bottom w:val="single" w:sz="4" w:space="0" w:color="auto"/>
              <w:right w:val="single" w:sz="4" w:space="0" w:color="auto"/>
            </w:tcBorders>
            <w:vAlign w:val="center"/>
          </w:tcPr>
          <w:p w14:paraId="51584D0E"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000011 for fixed rank 1,</w:t>
            </w:r>
          </w:p>
          <w:p w14:paraId="4390F0DF"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010011 for following rank</w:t>
            </w:r>
          </w:p>
        </w:tc>
        <w:tc>
          <w:tcPr>
            <w:tcW w:w="1376" w:type="dxa"/>
            <w:tcBorders>
              <w:top w:val="single" w:sz="4" w:space="0" w:color="auto"/>
              <w:left w:val="single" w:sz="4" w:space="0" w:color="auto"/>
              <w:bottom w:val="single" w:sz="4" w:space="0" w:color="auto"/>
              <w:right w:val="single" w:sz="4" w:space="0" w:color="auto"/>
            </w:tcBorders>
            <w:vAlign w:val="center"/>
          </w:tcPr>
          <w:p w14:paraId="2A756C3C"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000011 for fixed rank 1,</w:t>
            </w:r>
          </w:p>
          <w:p w14:paraId="75C60FBD"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sz w:val="18"/>
              </w:rPr>
              <w:t>010011 for following rank</w:t>
            </w:r>
          </w:p>
        </w:tc>
        <w:tc>
          <w:tcPr>
            <w:tcW w:w="1377" w:type="dxa"/>
            <w:tcBorders>
              <w:top w:val="single" w:sz="4" w:space="0" w:color="auto"/>
              <w:left w:val="single" w:sz="4" w:space="0" w:color="auto"/>
              <w:bottom w:val="single" w:sz="4" w:space="0" w:color="auto"/>
              <w:right w:val="single" w:sz="4" w:space="0" w:color="auto"/>
            </w:tcBorders>
            <w:vAlign w:val="center"/>
          </w:tcPr>
          <w:p w14:paraId="4A56AC9D"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11111111</w:t>
            </w:r>
          </w:p>
        </w:tc>
      </w:tr>
      <w:tr w:rsidR="00241417" w:rsidRPr="00C25669" w14:paraId="0DC24948" w14:textId="77777777" w:rsidTr="003A71DE">
        <w:trPr>
          <w:trHeight w:val="70"/>
          <w:jc w:val="center"/>
        </w:trPr>
        <w:tc>
          <w:tcPr>
            <w:tcW w:w="1267" w:type="dxa"/>
            <w:gridSpan w:val="2"/>
            <w:vMerge/>
            <w:tcBorders>
              <w:left w:val="single" w:sz="4" w:space="0" w:color="auto"/>
              <w:bottom w:val="single" w:sz="4" w:space="0" w:color="auto"/>
              <w:right w:val="single" w:sz="4" w:space="0" w:color="auto"/>
            </w:tcBorders>
          </w:tcPr>
          <w:p w14:paraId="0A416AFC" w14:textId="77777777" w:rsidR="00241417" w:rsidRPr="00C25669" w:rsidRDefault="00241417" w:rsidP="003A71DE">
            <w:pPr>
              <w:keepNext/>
              <w:keepLines/>
              <w:spacing w:after="0"/>
              <w:rPr>
                <w:rFonts w:ascii="Arial" w:eastAsia="SimSun" w:hAnsi="Arial"/>
                <w:sz w:val="18"/>
              </w:rPr>
            </w:pPr>
          </w:p>
        </w:tc>
        <w:tc>
          <w:tcPr>
            <w:tcW w:w="2654" w:type="dxa"/>
            <w:tcBorders>
              <w:top w:val="single" w:sz="4" w:space="0" w:color="auto"/>
              <w:left w:val="single" w:sz="4" w:space="0" w:color="auto"/>
              <w:bottom w:val="single" w:sz="4" w:space="0" w:color="auto"/>
              <w:right w:val="single" w:sz="4" w:space="0" w:color="auto"/>
            </w:tcBorders>
          </w:tcPr>
          <w:p w14:paraId="0AB20085"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RI Restriction</w:t>
            </w:r>
          </w:p>
        </w:tc>
        <w:tc>
          <w:tcPr>
            <w:tcW w:w="740" w:type="dxa"/>
            <w:tcBorders>
              <w:top w:val="single" w:sz="4" w:space="0" w:color="auto"/>
              <w:left w:val="single" w:sz="4" w:space="0" w:color="auto"/>
              <w:bottom w:val="single" w:sz="4" w:space="0" w:color="auto"/>
              <w:right w:val="single" w:sz="4" w:space="0" w:color="auto"/>
            </w:tcBorders>
            <w:vAlign w:val="center"/>
          </w:tcPr>
          <w:p w14:paraId="69CA9FEB"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1D65DDA7"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N/A</w:t>
            </w:r>
          </w:p>
        </w:tc>
        <w:tc>
          <w:tcPr>
            <w:tcW w:w="1376" w:type="dxa"/>
            <w:tcBorders>
              <w:top w:val="single" w:sz="4" w:space="0" w:color="auto"/>
              <w:left w:val="single" w:sz="4" w:space="0" w:color="auto"/>
              <w:bottom w:val="single" w:sz="4" w:space="0" w:color="auto"/>
              <w:right w:val="single" w:sz="4" w:space="0" w:color="auto"/>
            </w:tcBorders>
            <w:vAlign w:val="center"/>
          </w:tcPr>
          <w:p w14:paraId="67F51CFE"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N/A</w:t>
            </w:r>
          </w:p>
        </w:tc>
        <w:tc>
          <w:tcPr>
            <w:tcW w:w="1376" w:type="dxa"/>
            <w:tcBorders>
              <w:top w:val="single" w:sz="4" w:space="0" w:color="auto"/>
              <w:left w:val="single" w:sz="4" w:space="0" w:color="auto"/>
              <w:bottom w:val="single" w:sz="4" w:space="0" w:color="auto"/>
              <w:right w:val="single" w:sz="4" w:space="0" w:color="auto"/>
            </w:tcBorders>
            <w:vAlign w:val="center"/>
          </w:tcPr>
          <w:p w14:paraId="4166277F"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N/A</w:t>
            </w:r>
          </w:p>
        </w:tc>
        <w:tc>
          <w:tcPr>
            <w:tcW w:w="1377" w:type="dxa"/>
            <w:tcBorders>
              <w:top w:val="single" w:sz="4" w:space="0" w:color="auto"/>
              <w:left w:val="single" w:sz="4" w:space="0" w:color="auto"/>
              <w:bottom w:val="single" w:sz="4" w:space="0" w:color="auto"/>
              <w:right w:val="single" w:sz="4" w:space="0" w:color="auto"/>
            </w:tcBorders>
            <w:vAlign w:val="center"/>
          </w:tcPr>
          <w:p w14:paraId="07060A35"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cs="v5.0.0" w:hint="eastAsia"/>
                <w:sz w:val="18"/>
                <w:lang w:eastAsia="zh-CN"/>
              </w:rPr>
              <w:t>00000010 for fixed Ra</w:t>
            </w:r>
            <w:r w:rsidRPr="00C25669">
              <w:rPr>
                <w:rFonts w:ascii="Arial" w:eastAsia="SimSun" w:hAnsi="Arial" w:cs="v5.0.0"/>
                <w:sz w:val="18"/>
                <w:lang w:eastAsia="zh-CN"/>
              </w:rPr>
              <w:t xml:space="preserve">nk 2 and </w:t>
            </w:r>
            <w:r w:rsidRPr="00C25669">
              <w:rPr>
                <w:rFonts w:ascii="Arial" w:eastAsia="SimSun" w:hAnsi="Arial" w:cs="v5.0.0" w:hint="eastAsia"/>
                <w:sz w:val="18"/>
                <w:lang w:eastAsia="zh-CN"/>
              </w:rPr>
              <w:t>00001111 for follow RI</w:t>
            </w:r>
          </w:p>
        </w:tc>
      </w:tr>
      <w:tr w:rsidR="00241417" w:rsidRPr="00C25669" w14:paraId="24A4C4C9"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71820135"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 xml:space="preserve">CQI/RI/PMI delay </w:t>
            </w:r>
          </w:p>
        </w:tc>
        <w:tc>
          <w:tcPr>
            <w:tcW w:w="740" w:type="dxa"/>
            <w:tcBorders>
              <w:top w:val="single" w:sz="4" w:space="0" w:color="auto"/>
              <w:left w:val="single" w:sz="4" w:space="0" w:color="auto"/>
              <w:bottom w:val="single" w:sz="4" w:space="0" w:color="auto"/>
              <w:right w:val="single" w:sz="4" w:space="0" w:color="auto"/>
            </w:tcBorders>
            <w:vAlign w:val="center"/>
            <w:hideMark/>
          </w:tcPr>
          <w:p w14:paraId="237534FC"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ms</w:t>
            </w: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627E5C38" w14:textId="77777777" w:rsidR="00241417" w:rsidRPr="00C25669" w:rsidRDefault="00241417" w:rsidP="003A71DE">
            <w:pPr>
              <w:keepNext/>
              <w:keepLines/>
              <w:spacing w:after="0"/>
              <w:jc w:val="center"/>
              <w:rPr>
                <w:rFonts w:ascii="Arial" w:eastAsia="SimSun" w:hAnsi="Arial"/>
                <w:sz w:val="18"/>
                <w:lang w:eastAsia="zh-CN"/>
              </w:rPr>
            </w:pPr>
            <w:r w:rsidRPr="00C25669">
              <w:rPr>
                <w:rFonts w:ascii="Arial" w:eastAsia="SimSun" w:hAnsi="Arial" w:hint="eastAsia"/>
                <w:sz w:val="18"/>
                <w:lang w:eastAsia="zh-CN"/>
              </w:rPr>
              <w:t>9.5</w:t>
            </w:r>
          </w:p>
        </w:tc>
      </w:tr>
      <w:tr w:rsidR="00241417" w:rsidRPr="00C25669" w14:paraId="41A6D023"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tcPr>
          <w:p w14:paraId="601E10D5"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Maximum number of HARQ transmission</w:t>
            </w:r>
          </w:p>
        </w:tc>
        <w:tc>
          <w:tcPr>
            <w:tcW w:w="740" w:type="dxa"/>
            <w:tcBorders>
              <w:top w:val="single" w:sz="4" w:space="0" w:color="auto"/>
              <w:left w:val="single" w:sz="4" w:space="0" w:color="auto"/>
              <w:bottom w:val="single" w:sz="4" w:space="0" w:color="auto"/>
              <w:right w:val="single" w:sz="4" w:space="0" w:color="auto"/>
            </w:tcBorders>
            <w:vAlign w:val="center"/>
          </w:tcPr>
          <w:p w14:paraId="7C78B5F5" w14:textId="77777777" w:rsidR="00241417" w:rsidRPr="00C25669" w:rsidRDefault="00241417" w:rsidP="003A71DE">
            <w:pPr>
              <w:keepNext/>
              <w:keepLines/>
              <w:spacing w:after="0"/>
              <w:jc w:val="center"/>
              <w:rPr>
                <w:rFonts w:ascii="Arial" w:eastAsia="SimSun" w:hAnsi="Arial"/>
                <w:sz w:val="18"/>
              </w:rPr>
            </w:pPr>
          </w:p>
        </w:tc>
        <w:tc>
          <w:tcPr>
            <w:tcW w:w="5505" w:type="dxa"/>
            <w:gridSpan w:val="4"/>
            <w:tcBorders>
              <w:top w:val="single" w:sz="4" w:space="0" w:color="auto"/>
              <w:left w:val="single" w:sz="4" w:space="0" w:color="auto"/>
              <w:bottom w:val="single" w:sz="4" w:space="0" w:color="auto"/>
              <w:right w:val="single" w:sz="4" w:space="0" w:color="auto"/>
            </w:tcBorders>
            <w:vAlign w:val="center"/>
          </w:tcPr>
          <w:p w14:paraId="3DE97E80"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1</w:t>
            </w:r>
          </w:p>
        </w:tc>
      </w:tr>
      <w:tr w:rsidR="00241417" w:rsidRPr="00C25669" w14:paraId="5A4429B2" w14:textId="77777777" w:rsidTr="003A71DE">
        <w:trPr>
          <w:trHeight w:val="70"/>
          <w:jc w:val="center"/>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378BAE2D" w14:textId="77777777" w:rsidR="00241417" w:rsidRPr="00C25669" w:rsidRDefault="00241417" w:rsidP="003A71DE">
            <w:pPr>
              <w:keepNext/>
              <w:keepLines/>
              <w:spacing w:after="0"/>
              <w:rPr>
                <w:rFonts w:ascii="Arial" w:eastAsia="SimSun" w:hAnsi="Arial"/>
                <w:sz w:val="18"/>
              </w:rPr>
            </w:pPr>
            <w:r w:rsidRPr="00C25669">
              <w:rPr>
                <w:rFonts w:ascii="Arial" w:eastAsia="SimSun" w:hAnsi="Arial"/>
                <w:sz w:val="18"/>
              </w:rPr>
              <w:t>RI Configuration</w:t>
            </w:r>
          </w:p>
        </w:tc>
        <w:tc>
          <w:tcPr>
            <w:tcW w:w="740" w:type="dxa"/>
            <w:tcBorders>
              <w:top w:val="single" w:sz="4" w:space="0" w:color="auto"/>
              <w:left w:val="single" w:sz="4" w:space="0" w:color="auto"/>
              <w:bottom w:val="single" w:sz="4" w:space="0" w:color="auto"/>
              <w:right w:val="single" w:sz="4" w:space="0" w:color="auto"/>
            </w:tcBorders>
            <w:vAlign w:val="center"/>
          </w:tcPr>
          <w:p w14:paraId="04A5B790" w14:textId="77777777" w:rsidR="00241417" w:rsidRPr="00C25669" w:rsidRDefault="00241417" w:rsidP="003A71DE">
            <w:pPr>
              <w:keepNext/>
              <w:keepLines/>
              <w:spacing w:after="0"/>
              <w:jc w:val="center"/>
              <w:rPr>
                <w:rFonts w:ascii="Arial" w:eastAsia="SimSun" w:hAnsi="Arial"/>
                <w:sz w:val="18"/>
              </w:rPr>
            </w:pPr>
          </w:p>
        </w:tc>
        <w:tc>
          <w:tcPr>
            <w:tcW w:w="1376" w:type="dxa"/>
            <w:tcBorders>
              <w:top w:val="single" w:sz="4" w:space="0" w:color="auto"/>
              <w:left w:val="single" w:sz="4" w:space="0" w:color="auto"/>
              <w:bottom w:val="single" w:sz="4" w:space="0" w:color="auto"/>
              <w:right w:val="single" w:sz="4" w:space="0" w:color="auto"/>
            </w:tcBorders>
            <w:vAlign w:val="center"/>
          </w:tcPr>
          <w:p w14:paraId="647FC02A"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Fixed RI = 2 and follow RI</w:t>
            </w:r>
          </w:p>
        </w:tc>
        <w:tc>
          <w:tcPr>
            <w:tcW w:w="1376" w:type="dxa"/>
            <w:tcBorders>
              <w:top w:val="single" w:sz="4" w:space="0" w:color="auto"/>
              <w:left w:val="single" w:sz="4" w:space="0" w:color="auto"/>
              <w:bottom w:val="single" w:sz="4" w:space="0" w:color="auto"/>
              <w:right w:val="single" w:sz="4" w:space="0" w:color="auto"/>
            </w:tcBorders>
            <w:vAlign w:val="center"/>
          </w:tcPr>
          <w:p w14:paraId="13FBF596"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Fixed RI = 1 and follow RI</w:t>
            </w:r>
          </w:p>
        </w:tc>
        <w:tc>
          <w:tcPr>
            <w:tcW w:w="1376" w:type="dxa"/>
            <w:tcBorders>
              <w:top w:val="single" w:sz="4" w:space="0" w:color="auto"/>
              <w:left w:val="single" w:sz="4" w:space="0" w:color="auto"/>
              <w:bottom w:val="single" w:sz="4" w:space="0" w:color="auto"/>
              <w:right w:val="single" w:sz="4" w:space="0" w:color="auto"/>
            </w:tcBorders>
            <w:vAlign w:val="center"/>
          </w:tcPr>
          <w:p w14:paraId="4409254D"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Fixed RI = 1 and follow RI</w:t>
            </w:r>
          </w:p>
        </w:tc>
        <w:tc>
          <w:tcPr>
            <w:tcW w:w="1377" w:type="dxa"/>
            <w:tcBorders>
              <w:top w:val="single" w:sz="4" w:space="0" w:color="auto"/>
              <w:left w:val="single" w:sz="4" w:space="0" w:color="auto"/>
              <w:bottom w:val="single" w:sz="4" w:space="0" w:color="auto"/>
              <w:right w:val="single" w:sz="4" w:space="0" w:color="auto"/>
            </w:tcBorders>
            <w:vAlign w:val="center"/>
          </w:tcPr>
          <w:p w14:paraId="2DE8E273" w14:textId="77777777" w:rsidR="00241417" w:rsidRPr="00C25669" w:rsidRDefault="00241417" w:rsidP="003A71DE">
            <w:pPr>
              <w:keepNext/>
              <w:keepLines/>
              <w:spacing w:after="0"/>
              <w:jc w:val="center"/>
              <w:rPr>
                <w:rFonts w:ascii="Arial" w:eastAsia="SimSun" w:hAnsi="Arial"/>
                <w:sz w:val="18"/>
              </w:rPr>
            </w:pPr>
            <w:r w:rsidRPr="00C25669">
              <w:rPr>
                <w:rFonts w:ascii="Arial" w:eastAsia="SimSun" w:hAnsi="Arial"/>
                <w:sz w:val="18"/>
              </w:rPr>
              <w:t>Fixed RI = 2 and follow RI</w:t>
            </w:r>
          </w:p>
        </w:tc>
      </w:tr>
      <w:tr w:rsidR="00241417" w:rsidRPr="00C25669" w14:paraId="48454A8A" w14:textId="77777777" w:rsidTr="003A71DE">
        <w:trPr>
          <w:trHeight w:val="70"/>
          <w:jc w:val="center"/>
        </w:trPr>
        <w:tc>
          <w:tcPr>
            <w:tcW w:w="10166" w:type="dxa"/>
            <w:gridSpan w:val="8"/>
            <w:tcBorders>
              <w:top w:val="single" w:sz="4" w:space="0" w:color="auto"/>
              <w:left w:val="single" w:sz="4" w:space="0" w:color="auto"/>
              <w:bottom w:val="single" w:sz="4" w:space="0" w:color="auto"/>
              <w:right w:val="single" w:sz="4" w:space="0" w:color="auto"/>
            </w:tcBorders>
            <w:vAlign w:val="center"/>
          </w:tcPr>
          <w:p w14:paraId="04007C4A" w14:textId="77777777" w:rsidR="00241417" w:rsidRDefault="00241417" w:rsidP="003A71DE">
            <w:pPr>
              <w:pStyle w:val="TAN"/>
              <w:rPr>
                <w:lang w:eastAsia="zh-CN"/>
              </w:rPr>
            </w:pPr>
            <w:r>
              <w:rPr>
                <w:lang w:eastAsia="zh-CN"/>
              </w:rPr>
              <w:t>Note 1:</w:t>
            </w:r>
            <w:r w:rsidRPr="00CF23CC">
              <w:rPr>
                <w:rFonts w:eastAsia="SimSun"/>
              </w:rPr>
              <w:tab/>
            </w:r>
            <w:r>
              <w:rPr>
                <w:lang w:eastAsia="zh-CN"/>
              </w:rPr>
              <w:t>The same requirements are applicable for TDD with different UL-DL pattern.</w:t>
            </w:r>
          </w:p>
          <w:p w14:paraId="78833C10" w14:textId="7149C6BD" w:rsidR="00BC408B" w:rsidRDefault="00BC408B" w:rsidP="00BC408B">
            <w:pPr>
              <w:pStyle w:val="TAN"/>
              <w:rPr>
                <w:rFonts w:eastAsia="SimSun"/>
              </w:rPr>
            </w:pPr>
            <w:r w:rsidRPr="00CF23CC">
              <w:rPr>
                <w:rFonts w:eastAsia="SimSun"/>
              </w:rPr>
              <w:t xml:space="preserve">Note </w:t>
            </w:r>
            <w:r>
              <w:rPr>
                <w:rFonts w:eastAsia="SimSun"/>
              </w:rPr>
              <w:t>2</w:t>
            </w:r>
            <w:r w:rsidRPr="00CF23CC">
              <w:rPr>
                <w:rFonts w:eastAsia="SimSun"/>
              </w:rPr>
              <w:t>:</w:t>
            </w:r>
            <w:r w:rsidRPr="00CF23CC">
              <w:rPr>
                <w:rFonts w:eastAsia="SimSun"/>
              </w:rPr>
              <w:tab/>
              <w:t>SSB, TRS, CSI-RS, and/or other unspecified test parameters with respect to TS 38.101-4 [</w:t>
            </w:r>
            <w:r>
              <w:rPr>
                <w:rFonts w:eastAsia="SimSun" w:hint="eastAsia"/>
                <w:lang w:eastAsia="zh-CN"/>
              </w:rPr>
              <w:t>28</w:t>
            </w:r>
            <w:r w:rsidRPr="00CF23CC">
              <w:rPr>
                <w:rFonts w:eastAsia="SimSun"/>
              </w:rPr>
              <w:t>] are left up to test implementation, if transmitted or needed.</w:t>
            </w:r>
          </w:p>
          <w:p w14:paraId="0162D9AC" w14:textId="5DA421FB" w:rsidR="00241417" w:rsidRPr="00C25669" w:rsidRDefault="00BC408B" w:rsidP="00BC408B">
            <w:pPr>
              <w:pStyle w:val="TAN"/>
              <w:rPr>
                <w:rFonts w:eastAsia="SimSun"/>
              </w:rPr>
            </w:pPr>
            <w:r w:rsidRPr="002956AD">
              <w:rPr>
                <w:rFonts w:eastAsia="SimSun"/>
              </w:rPr>
              <w:t>Note 3:</w:t>
            </w:r>
            <w:r w:rsidRPr="002956AD">
              <w:rPr>
                <w:rFonts w:eastAsia="SimSun"/>
              </w:rPr>
              <w:tab/>
            </w:r>
            <w:r w:rsidRPr="00CB42CC">
              <w:rPr>
                <w:rFonts w:eastAsia="SimSun"/>
              </w:rPr>
              <w:t>Measurements channels are specified in Table A.3.5-1. M-FR1-A.3.5-1 is used for Rank 1 case. M-FR1-A.3.5-2 is used for Rank 2 case. M-FR1-A.3.5-3 is used for Rank 3 case. M-FR1-A.3.5-4 is used for Rank 4 case</w:t>
            </w:r>
            <w:r>
              <w:rPr>
                <w:rFonts w:eastAsia="SimSun"/>
              </w:rPr>
              <w:t>.</w:t>
            </w:r>
          </w:p>
        </w:tc>
      </w:tr>
    </w:tbl>
    <w:p w14:paraId="25496CAC" w14:textId="77777777" w:rsidR="00241417" w:rsidRDefault="00241417" w:rsidP="00241417">
      <w:pPr>
        <w:rPr>
          <w:rFonts w:eastAsia="SimSun"/>
        </w:rPr>
      </w:pPr>
    </w:p>
    <w:p w14:paraId="0CDACDF1" w14:textId="77777777" w:rsidR="00241417" w:rsidRDefault="00241417" w:rsidP="00241417">
      <w:pPr>
        <w:pStyle w:val="Heading5"/>
        <w:rPr>
          <w:rFonts w:eastAsia="SimSun"/>
        </w:rPr>
      </w:pPr>
      <w:bookmarkStart w:id="3918" w:name="_Toc74583300"/>
      <w:bookmarkStart w:id="3919" w:name="_Toc76542113"/>
      <w:bookmarkStart w:id="3920" w:name="_Toc82450095"/>
      <w:bookmarkStart w:id="3921" w:name="_Toc82450743"/>
      <w:bookmarkStart w:id="3922" w:name="_Toc89949132"/>
      <w:bookmarkStart w:id="3923" w:name="_Toc98755521"/>
      <w:bookmarkStart w:id="3924" w:name="_Toc98763112"/>
      <w:bookmarkStart w:id="3925" w:name="_Toc106184041"/>
      <w:r>
        <w:t>8.2.3.4.2</w:t>
      </w:r>
      <w:r>
        <w:tab/>
        <w:t>Minimum requirements</w:t>
      </w:r>
      <w:bookmarkEnd w:id="3918"/>
      <w:bookmarkEnd w:id="3919"/>
      <w:bookmarkEnd w:id="3920"/>
      <w:bookmarkEnd w:id="3921"/>
      <w:bookmarkEnd w:id="3922"/>
      <w:bookmarkEnd w:id="3923"/>
      <w:bookmarkEnd w:id="3924"/>
      <w:bookmarkEnd w:id="3925"/>
    </w:p>
    <w:p w14:paraId="411B46A8" w14:textId="77777777" w:rsidR="00241417" w:rsidRPr="00C25669" w:rsidRDefault="00241417" w:rsidP="00241417">
      <w:pPr>
        <w:tabs>
          <w:tab w:val="left" w:pos="6096"/>
        </w:tabs>
        <w:rPr>
          <w:rFonts w:eastAsia="SimSun"/>
        </w:rPr>
      </w:pPr>
      <w:r w:rsidRPr="00C25669">
        <w:rPr>
          <w:rFonts w:eastAsia="SimSun"/>
        </w:rPr>
        <w:t xml:space="preserve">The minimum performance requirement in Table </w:t>
      </w:r>
      <w:r w:rsidRPr="00650D40">
        <w:rPr>
          <w:rFonts w:eastAsia="SimSun"/>
        </w:rPr>
        <w:t>8.2.3.</w:t>
      </w:r>
      <w:r>
        <w:rPr>
          <w:rFonts w:eastAsia="SimSun"/>
        </w:rPr>
        <w:t>4</w:t>
      </w:r>
      <w:r w:rsidRPr="00650D40">
        <w:rPr>
          <w:rFonts w:eastAsia="SimSun"/>
        </w:rPr>
        <w:t>.2-1</w:t>
      </w:r>
      <w:r w:rsidRPr="00C25669">
        <w:rPr>
          <w:rFonts w:eastAsia="SimSun"/>
        </w:rPr>
        <w:t>is defined as</w:t>
      </w:r>
    </w:p>
    <w:p w14:paraId="6B8325FE" w14:textId="2742C959" w:rsidR="005E3596" w:rsidRDefault="005E3596" w:rsidP="005E3596">
      <w:pPr>
        <w:pStyle w:val="B10"/>
        <w:rPr>
          <w:rFonts w:eastAsia="SimSun"/>
        </w:rPr>
      </w:pPr>
      <w:r>
        <w:rPr>
          <w:rFonts w:eastAsia="SimSun"/>
        </w:rPr>
        <w:t>a)</w:t>
      </w:r>
      <w:r>
        <w:rPr>
          <w:rFonts w:eastAsia="SimSun"/>
        </w:rPr>
        <w:tab/>
        <w:t xml:space="preserve">The ratio of the throughput obtained when transmitting based on </w:t>
      </w:r>
      <w:r>
        <w:rPr>
          <w:rFonts w:eastAsia="SimSun"/>
          <w:lang w:val="en-US" w:eastAsia="zh-CN"/>
        </w:rPr>
        <w:t>IAB-MT</w:t>
      </w:r>
      <w:r>
        <w:rPr>
          <w:rFonts w:eastAsia="SimSun"/>
        </w:rPr>
        <w:t xml:space="preserve"> reported RI and that obtained when transmitting with fixed rank 1 shall be ≥ </w:t>
      </w:r>
      <w:r>
        <w:rPr>
          <w:rFonts w:ascii="Symbol" w:eastAsia="SimSun" w:hAnsi="Symbol"/>
        </w:rPr>
        <w:t></w:t>
      </w:r>
      <w:r>
        <w:rPr>
          <w:rFonts w:ascii="Symbol" w:eastAsia="SimSun" w:hAnsi="Symbol"/>
          <w:vertAlign w:val="subscript"/>
        </w:rPr>
        <w:t></w:t>
      </w:r>
      <w:r>
        <w:rPr>
          <w:rFonts w:eastAsia="SimSun"/>
        </w:rPr>
        <w:t>;</w:t>
      </w:r>
    </w:p>
    <w:p w14:paraId="21557B8F" w14:textId="48332F07" w:rsidR="005E3596" w:rsidRDefault="005E3596" w:rsidP="005E3596">
      <w:pPr>
        <w:pStyle w:val="B10"/>
        <w:rPr>
          <w:rFonts w:eastAsia="SimSun"/>
        </w:rPr>
      </w:pPr>
      <w:r>
        <w:rPr>
          <w:rFonts w:eastAsia="SimSun"/>
        </w:rPr>
        <w:t>b)</w:t>
      </w:r>
      <w:r>
        <w:rPr>
          <w:rFonts w:eastAsia="SimSun"/>
        </w:rPr>
        <w:tab/>
        <w:t xml:space="preserve">The ratio of the throughput obtained when transmitting based on </w:t>
      </w:r>
      <w:r>
        <w:rPr>
          <w:rFonts w:eastAsia="SimSun"/>
          <w:lang w:val="en-US" w:eastAsia="zh-CN"/>
        </w:rPr>
        <w:t>IAB-MT</w:t>
      </w:r>
      <w:r>
        <w:rPr>
          <w:rFonts w:eastAsia="SimSun"/>
        </w:rPr>
        <w:t xml:space="preserve"> reported RI and that obtained when transmitting with fixed rank 2 shall be ≥ </w:t>
      </w:r>
      <w:r>
        <w:rPr>
          <w:rFonts w:ascii="Symbol" w:eastAsia="SimSun" w:hAnsi="Symbol"/>
        </w:rPr>
        <w:t></w:t>
      </w:r>
      <w:r>
        <w:rPr>
          <w:rFonts w:ascii="Symbol" w:eastAsia="SimSun" w:hAnsi="Symbol"/>
          <w:vertAlign w:val="subscript"/>
        </w:rPr>
        <w:t></w:t>
      </w:r>
      <w:r>
        <w:rPr>
          <w:rFonts w:eastAsia="SimSun"/>
        </w:rPr>
        <w:t>;</w:t>
      </w:r>
    </w:p>
    <w:p w14:paraId="30E60C9D" w14:textId="77777777" w:rsidR="00241417" w:rsidRDefault="00241417" w:rsidP="00241417">
      <w:pPr>
        <w:rPr>
          <w:rFonts w:eastAsia="SimSun"/>
        </w:rPr>
      </w:pPr>
      <w:r w:rsidRPr="00C25669">
        <w:rPr>
          <w:rFonts w:eastAsia="SimSun"/>
        </w:rPr>
        <w:t xml:space="preserve">For the parameters specified in Table </w:t>
      </w:r>
      <w:r w:rsidRPr="00292EBD">
        <w:rPr>
          <w:rFonts w:eastAsia="SimSun"/>
        </w:rPr>
        <w:t>8.2.3.3.1-1</w:t>
      </w:r>
      <w:r w:rsidRPr="00C25669">
        <w:rPr>
          <w:rFonts w:eastAsia="SimSun"/>
        </w:rPr>
        <w:t xml:space="preserve"> and using the downlink physical channels specified in Annex </w:t>
      </w:r>
      <w:r>
        <w:rPr>
          <w:rFonts w:eastAsia="SimSun"/>
          <w:lang w:eastAsia="zh-CN"/>
        </w:rPr>
        <w:t>TBA</w:t>
      </w:r>
      <w:r w:rsidRPr="00C25669">
        <w:rPr>
          <w:rFonts w:eastAsia="SimSun"/>
        </w:rPr>
        <w:t xml:space="preserve">, the minimum requirements are specified in Table </w:t>
      </w:r>
      <w:r w:rsidRPr="00292EBD">
        <w:rPr>
          <w:rFonts w:eastAsia="SimSun"/>
        </w:rPr>
        <w:t>8.2.3.</w:t>
      </w:r>
      <w:r>
        <w:rPr>
          <w:rFonts w:eastAsia="SimSun"/>
        </w:rPr>
        <w:t>4</w:t>
      </w:r>
      <w:r w:rsidRPr="00292EBD">
        <w:rPr>
          <w:rFonts w:eastAsia="SimSun"/>
        </w:rPr>
        <w:t>.2-1</w:t>
      </w:r>
      <w:r w:rsidRPr="00C25669">
        <w:rPr>
          <w:rFonts w:eastAsia="SimSun"/>
        </w:rPr>
        <w:t>.</w:t>
      </w:r>
    </w:p>
    <w:p w14:paraId="047EB3D0" w14:textId="77777777" w:rsidR="00241417" w:rsidRPr="00C25669" w:rsidRDefault="00241417" w:rsidP="00241417">
      <w:pPr>
        <w:pStyle w:val="TH"/>
      </w:pPr>
      <w:r w:rsidRPr="00C25669">
        <w:lastRenderedPageBreak/>
        <w:t xml:space="preserve">Table </w:t>
      </w:r>
      <w:r w:rsidRPr="00F33C47">
        <w:t>8.2.3.</w:t>
      </w:r>
      <w:r>
        <w:t>4</w:t>
      </w:r>
      <w:r w:rsidRPr="00F33C47">
        <w:t>.2</w:t>
      </w:r>
      <w:r w:rsidRPr="00C25669">
        <w:t>-</w:t>
      </w:r>
      <w:r>
        <w:t>1</w:t>
      </w:r>
      <w:r w:rsidRPr="00C25669">
        <w:t>: Minimum requirement</w:t>
      </w:r>
      <w:r>
        <w:t xml:space="preserve"> for RI 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4"/>
        <w:gridCol w:w="1412"/>
        <w:gridCol w:w="1412"/>
        <w:gridCol w:w="1412"/>
        <w:gridCol w:w="1412"/>
      </w:tblGrid>
      <w:tr w:rsidR="00241417" w:rsidRPr="00C25669" w14:paraId="093AA76F" w14:textId="77777777" w:rsidTr="003A71DE">
        <w:trPr>
          <w:jc w:val="center"/>
        </w:trPr>
        <w:tc>
          <w:tcPr>
            <w:tcW w:w="1984" w:type="dxa"/>
            <w:tcBorders>
              <w:bottom w:val="nil"/>
            </w:tcBorders>
          </w:tcPr>
          <w:p w14:paraId="0BC4DEB3" w14:textId="77777777" w:rsidR="00241417" w:rsidRPr="00C25669" w:rsidRDefault="00241417" w:rsidP="00241417">
            <w:pPr>
              <w:pStyle w:val="TAH"/>
              <w:rPr>
                <w:rFonts w:eastAsia="?? ??"/>
              </w:rPr>
            </w:pPr>
          </w:p>
        </w:tc>
        <w:tc>
          <w:tcPr>
            <w:tcW w:w="1412" w:type="dxa"/>
            <w:tcBorders>
              <w:bottom w:val="nil"/>
            </w:tcBorders>
          </w:tcPr>
          <w:p w14:paraId="1AA02BFB" w14:textId="77777777" w:rsidR="00241417" w:rsidRPr="00C25669" w:rsidRDefault="00241417" w:rsidP="00241417">
            <w:pPr>
              <w:pStyle w:val="TAH"/>
              <w:rPr>
                <w:rFonts w:eastAsia="?? ??"/>
              </w:rPr>
            </w:pPr>
            <w:r w:rsidRPr="00C25669">
              <w:rPr>
                <w:rFonts w:eastAsia="?? ??"/>
              </w:rPr>
              <w:t>Test 1</w:t>
            </w:r>
          </w:p>
        </w:tc>
        <w:tc>
          <w:tcPr>
            <w:tcW w:w="1412" w:type="dxa"/>
            <w:tcBorders>
              <w:bottom w:val="nil"/>
            </w:tcBorders>
          </w:tcPr>
          <w:p w14:paraId="0DC40372" w14:textId="77777777" w:rsidR="00241417" w:rsidRPr="00C25669" w:rsidRDefault="00241417" w:rsidP="00241417">
            <w:pPr>
              <w:pStyle w:val="TAH"/>
              <w:rPr>
                <w:rFonts w:eastAsia="?? ??"/>
              </w:rPr>
            </w:pPr>
            <w:r w:rsidRPr="00C25669">
              <w:rPr>
                <w:rFonts w:eastAsia="?? ??"/>
              </w:rPr>
              <w:t>Test 2</w:t>
            </w:r>
          </w:p>
        </w:tc>
        <w:tc>
          <w:tcPr>
            <w:tcW w:w="1412" w:type="dxa"/>
            <w:tcBorders>
              <w:bottom w:val="nil"/>
            </w:tcBorders>
          </w:tcPr>
          <w:p w14:paraId="33C4D5ED" w14:textId="77777777" w:rsidR="00241417" w:rsidRPr="00C25669" w:rsidRDefault="00241417" w:rsidP="00241417">
            <w:pPr>
              <w:pStyle w:val="TAH"/>
              <w:rPr>
                <w:rFonts w:eastAsia="?? ??"/>
              </w:rPr>
            </w:pPr>
            <w:r w:rsidRPr="00C25669">
              <w:rPr>
                <w:rFonts w:eastAsia="?? ??"/>
              </w:rPr>
              <w:t>Test 3</w:t>
            </w:r>
          </w:p>
        </w:tc>
        <w:tc>
          <w:tcPr>
            <w:tcW w:w="1412" w:type="dxa"/>
            <w:tcBorders>
              <w:bottom w:val="nil"/>
            </w:tcBorders>
          </w:tcPr>
          <w:p w14:paraId="214FB0B4" w14:textId="77777777" w:rsidR="00241417" w:rsidRPr="00C25669" w:rsidRDefault="00241417" w:rsidP="00241417">
            <w:pPr>
              <w:pStyle w:val="TAH"/>
              <w:rPr>
                <w:rFonts w:eastAsia="?? ??"/>
              </w:rPr>
            </w:pPr>
            <w:r w:rsidRPr="00C25669">
              <w:rPr>
                <w:rFonts w:eastAsia="?? ??"/>
              </w:rPr>
              <w:t>Test 4</w:t>
            </w:r>
          </w:p>
        </w:tc>
      </w:tr>
      <w:tr w:rsidR="00241417" w:rsidRPr="00C25669" w14:paraId="520AF998" w14:textId="77777777" w:rsidTr="003A71DE">
        <w:trPr>
          <w:cantSplit/>
          <w:jc w:val="center"/>
        </w:trPr>
        <w:tc>
          <w:tcPr>
            <w:tcW w:w="1984" w:type="dxa"/>
          </w:tcPr>
          <w:p w14:paraId="2A361016" w14:textId="77777777" w:rsidR="00241417" w:rsidRPr="00C25669" w:rsidRDefault="00241417" w:rsidP="00241417">
            <w:pPr>
              <w:pStyle w:val="TAC"/>
              <w:rPr>
                <w:rFonts w:eastAsia="?? ??" w:cs="v5.0.0"/>
                <w:vertAlign w:val="subscript"/>
              </w:rPr>
            </w:pPr>
            <w:r w:rsidRPr="00C25669">
              <w:rPr>
                <w:rFonts w:ascii="Symbol" w:eastAsia="?? ??" w:hAnsi="Symbol"/>
                <w:i/>
                <w:iCs/>
              </w:rPr>
              <w:t></w:t>
            </w:r>
            <w:r w:rsidRPr="00C25669">
              <w:rPr>
                <w:rFonts w:eastAsia="?? ??"/>
                <w:vertAlign w:val="subscript"/>
              </w:rPr>
              <w:t>1</w:t>
            </w:r>
          </w:p>
        </w:tc>
        <w:tc>
          <w:tcPr>
            <w:tcW w:w="1412" w:type="dxa"/>
          </w:tcPr>
          <w:p w14:paraId="7713EFC2" w14:textId="77777777" w:rsidR="00241417" w:rsidRPr="00C25669" w:rsidRDefault="00241417" w:rsidP="00241417">
            <w:pPr>
              <w:pStyle w:val="TAC"/>
              <w:rPr>
                <w:rFonts w:eastAsia="?? ??" w:cs="v5.0.0"/>
              </w:rPr>
            </w:pPr>
            <w:r w:rsidRPr="00C25669">
              <w:rPr>
                <w:rFonts w:eastAsia="?? ??" w:cs="v5.0.0"/>
              </w:rPr>
              <w:t>N/A</w:t>
            </w:r>
          </w:p>
        </w:tc>
        <w:tc>
          <w:tcPr>
            <w:tcW w:w="1412" w:type="dxa"/>
          </w:tcPr>
          <w:p w14:paraId="52E1E886" w14:textId="77777777" w:rsidR="00241417" w:rsidRPr="00C25669" w:rsidRDefault="00241417" w:rsidP="00241417">
            <w:pPr>
              <w:pStyle w:val="TAC"/>
              <w:rPr>
                <w:rFonts w:eastAsia="?? ??" w:cs="v5.0.0"/>
              </w:rPr>
            </w:pPr>
            <w:r w:rsidRPr="00C25669">
              <w:rPr>
                <w:rFonts w:eastAsia="?? ??" w:cs="v5.0.0"/>
              </w:rPr>
              <w:t>1.05</w:t>
            </w:r>
          </w:p>
        </w:tc>
        <w:tc>
          <w:tcPr>
            <w:tcW w:w="1412" w:type="dxa"/>
          </w:tcPr>
          <w:p w14:paraId="3FA2510B" w14:textId="77777777" w:rsidR="00241417" w:rsidRPr="00C25669" w:rsidRDefault="00241417" w:rsidP="00241417">
            <w:pPr>
              <w:pStyle w:val="TAC"/>
              <w:rPr>
                <w:rFonts w:eastAsia="?? ??" w:cs="v5.0.0"/>
              </w:rPr>
            </w:pPr>
            <w:r w:rsidRPr="00C25669">
              <w:rPr>
                <w:rFonts w:eastAsia="?? ??" w:cs="v5.0.0"/>
              </w:rPr>
              <w:t>0.9</w:t>
            </w:r>
          </w:p>
        </w:tc>
        <w:tc>
          <w:tcPr>
            <w:tcW w:w="1412" w:type="dxa"/>
          </w:tcPr>
          <w:p w14:paraId="510BF035" w14:textId="77777777" w:rsidR="00241417" w:rsidRPr="00C25669" w:rsidRDefault="00241417" w:rsidP="00241417">
            <w:pPr>
              <w:pStyle w:val="TAC"/>
              <w:rPr>
                <w:rFonts w:eastAsia="?? ??" w:cs="v5.0.0"/>
              </w:rPr>
            </w:pPr>
            <w:r w:rsidRPr="00C25669">
              <w:rPr>
                <w:rFonts w:eastAsia="?? ??" w:cs="v5.0.0"/>
              </w:rPr>
              <w:t>N/A</w:t>
            </w:r>
          </w:p>
        </w:tc>
      </w:tr>
      <w:tr w:rsidR="00241417" w:rsidRPr="00C25669" w14:paraId="10C20A81" w14:textId="77777777" w:rsidTr="003A71DE">
        <w:trPr>
          <w:cantSplit/>
          <w:jc w:val="center"/>
        </w:trPr>
        <w:tc>
          <w:tcPr>
            <w:tcW w:w="1984" w:type="dxa"/>
          </w:tcPr>
          <w:p w14:paraId="0A161BFB" w14:textId="77777777" w:rsidR="00241417" w:rsidRPr="00C25669" w:rsidRDefault="00241417" w:rsidP="00241417">
            <w:pPr>
              <w:pStyle w:val="TAC"/>
              <w:rPr>
                <w:rFonts w:ascii="Symbol" w:eastAsia="?? ??" w:hAnsi="Symbol" w:hint="eastAsia"/>
                <w:i/>
                <w:iCs/>
              </w:rPr>
            </w:pPr>
            <w:r w:rsidRPr="00C25669">
              <w:rPr>
                <w:rFonts w:ascii="Symbol" w:eastAsia="?? ??" w:hAnsi="Symbol"/>
                <w:i/>
                <w:iCs/>
              </w:rPr>
              <w:t></w:t>
            </w:r>
            <w:r w:rsidRPr="00C25669">
              <w:rPr>
                <w:rFonts w:eastAsia="?? ??"/>
                <w:vertAlign w:val="subscript"/>
              </w:rPr>
              <w:t>2</w:t>
            </w:r>
          </w:p>
        </w:tc>
        <w:tc>
          <w:tcPr>
            <w:tcW w:w="1412" w:type="dxa"/>
          </w:tcPr>
          <w:p w14:paraId="0D3C24E8" w14:textId="77777777" w:rsidR="00241417" w:rsidRPr="00C25669" w:rsidRDefault="00241417" w:rsidP="00241417">
            <w:pPr>
              <w:pStyle w:val="TAC"/>
              <w:rPr>
                <w:rFonts w:eastAsia="?? ??" w:cs="v5.0.0"/>
              </w:rPr>
            </w:pPr>
            <w:r w:rsidRPr="00C25669">
              <w:rPr>
                <w:rFonts w:cs="v5.0.0" w:hint="eastAsia"/>
                <w:lang w:eastAsia="zh-CN"/>
              </w:rPr>
              <w:t>0.9</w:t>
            </w:r>
          </w:p>
        </w:tc>
        <w:tc>
          <w:tcPr>
            <w:tcW w:w="1412" w:type="dxa"/>
          </w:tcPr>
          <w:p w14:paraId="57609F03" w14:textId="77777777" w:rsidR="00241417" w:rsidRPr="00C25669" w:rsidRDefault="00241417" w:rsidP="00241417">
            <w:pPr>
              <w:pStyle w:val="TAC"/>
              <w:rPr>
                <w:rFonts w:eastAsia="?? ??" w:cs="v5.0.0"/>
              </w:rPr>
            </w:pPr>
            <w:r w:rsidRPr="00C25669">
              <w:rPr>
                <w:rFonts w:eastAsia="?? ??" w:cs="v5.0.0"/>
              </w:rPr>
              <w:t>N/A</w:t>
            </w:r>
          </w:p>
        </w:tc>
        <w:tc>
          <w:tcPr>
            <w:tcW w:w="1412" w:type="dxa"/>
          </w:tcPr>
          <w:p w14:paraId="30C121EA" w14:textId="77777777" w:rsidR="00241417" w:rsidRPr="00C25669" w:rsidRDefault="00241417" w:rsidP="00241417">
            <w:pPr>
              <w:pStyle w:val="TAC"/>
              <w:rPr>
                <w:rFonts w:eastAsia="?? ??" w:cs="v5.0.0"/>
              </w:rPr>
            </w:pPr>
            <w:r w:rsidRPr="00C25669">
              <w:rPr>
                <w:rFonts w:eastAsia="?? ??" w:cs="v5.0.0"/>
              </w:rPr>
              <w:t>N/A</w:t>
            </w:r>
          </w:p>
        </w:tc>
        <w:tc>
          <w:tcPr>
            <w:tcW w:w="1412" w:type="dxa"/>
          </w:tcPr>
          <w:p w14:paraId="7C3ED017" w14:textId="77777777" w:rsidR="00241417" w:rsidRPr="00C25669" w:rsidRDefault="00241417" w:rsidP="00241417">
            <w:pPr>
              <w:pStyle w:val="TAC"/>
              <w:rPr>
                <w:rFonts w:eastAsia="?? ??" w:cs="v5.0.0"/>
              </w:rPr>
            </w:pPr>
            <w:r w:rsidRPr="00C25669">
              <w:rPr>
                <w:rFonts w:cs="v5.0.0" w:hint="eastAsia"/>
                <w:lang w:eastAsia="zh-CN"/>
              </w:rPr>
              <w:t>0.9</w:t>
            </w:r>
          </w:p>
        </w:tc>
      </w:tr>
    </w:tbl>
    <w:p w14:paraId="7F19ABFC" w14:textId="77777777" w:rsidR="00241417" w:rsidRPr="00361DD4" w:rsidRDefault="00241417" w:rsidP="00241417"/>
    <w:p w14:paraId="49BAE852" w14:textId="3626A17B" w:rsidR="00077B6E" w:rsidRDefault="00077B6E" w:rsidP="00077B6E">
      <w:pPr>
        <w:pStyle w:val="Heading1"/>
      </w:pPr>
      <w:bookmarkStart w:id="3926" w:name="_Toc74583301"/>
      <w:bookmarkStart w:id="3927" w:name="_Toc76542114"/>
      <w:bookmarkStart w:id="3928" w:name="_Toc82450096"/>
      <w:bookmarkStart w:id="3929" w:name="_Toc82450744"/>
      <w:bookmarkStart w:id="3930" w:name="_Toc89949133"/>
      <w:bookmarkStart w:id="3931" w:name="_Toc98755522"/>
      <w:bookmarkStart w:id="3932" w:name="_Toc98763113"/>
      <w:bookmarkStart w:id="3933" w:name="_Toc106184042"/>
      <w:bookmarkEnd w:id="3413"/>
      <w:r w:rsidRPr="007E346D">
        <w:t>9</w:t>
      </w:r>
      <w:r w:rsidRPr="007E346D">
        <w:tab/>
        <w:t>Radiated transmitter characteristics</w:t>
      </w:r>
      <w:bookmarkEnd w:id="3414"/>
      <w:bookmarkEnd w:id="3415"/>
      <w:bookmarkEnd w:id="3416"/>
      <w:bookmarkEnd w:id="3417"/>
      <w:bookmarkEnd w:id="3418"/>
      <w:bookmarkEnd w:id="3419"/>
      <w:bookmarkEnd w:id="3420"/>
      <w:bookmarkEnd w:id="3421"/>
      <w:bookmarkEnd w:id="3422"/>
      <w:bookmarkEnd w:id="3423"/>
      <w:bookmarkEnd w:id="3424"/>
      <w:bookmarkEnd w:id="3425"/>
      <w:bookmarkEnd w:id="3926"/>
      <w:bookmarkEnd w:id="3927"/>
      <w:bookmarkEnd w:id="3928"/>
      <w:bookmarkEnd w:id="3929"/>
      <w:bookmarkEnd w:id="3930"/>
      <w:bookmarkEnd w:id="3931"/>
      <w:bookmarkEnd w:id="3932"/>
      <w:bookmarkEnd w:id="3933"/>
    </w:p>
    <w:p w14:paraId="226F6855" w14:textId="0D3ACC43" w:rsidR="00077B6E" w:rsidRDefault="00077B6E" w:rsidP="008E40BE">
      <w:pPr>
        <w:pStyle w:val="Heading2"/>
      </w:pPr>
      <w:bookmarkStart w:id="3934" w:name="_Toc13080328"/>
      <w:bookmarkStart w:id="3935" w:name="_Toc18916182"/>
      <w:bookmarkStart w:id="3936" w:name="_Toc53185423"/>
      <w:bookmarkStart w:id="3937" w:name="_Toc53185799"/>
      <w:bookmarkStart w:id="3938" w:name="_Toc57820284"/>
      <w:bookmarkStart w:id="3939" w:name="_Toc57821211"/>
      <w:bookmarkStart w:id="3940" w:name="_Toc61183487"/>
      <w:bookmarkStart w:id="3941" w:name="_Toc61183881"/>
      <w:bookmarkStart w:id="3942" w:name="_Toc61184273"/>
      <w:bookmarkStart w:id="3943" w:name="_Toc61184665"/>
      <w:bookmarkStart w:id="3944" w:name="_Toc61185055"/>
      <w:bookmarkStart w:id="3945" w:name="_Toc66386399"/>
      <w:bookmarkStart w:id="3946" w:name="_Toc74583302"/>
      <w:bookmarkStart w:id="3947" w:name="_Toc76542115"/>
      <w:bookmarkStart w:id="3948" w:name="_Toc82450097"/>
      <w:bookmarkStart w:id="3949" w:name="_Toc82450745"/>
      <w:bookmarkStart w:id="3950" w:name="_Toc89949134"/>
      <w:bookmarkStart w:id="3951" w:name="_Toc98755523"/>
      <w:bookmarkStart w:id="3952" w:name="_Toc98763114"/>
      <w:bookmarkStart w:id="3953" w:name="_Toc106184043"/>
      <w:r w:rsidRPr="007E346D">
        <w:t>9.1</w:t>
      </w:r>
      <w:r w:rsidRPr="007E346D">
        <w:tab/>
        <w:t>General</w:t>
      </w:r>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p>
    <w:p w14:paraId="1E0D22EB" w14:textId="77777777" w:rsidR="00567111" w:rsidRDefault="00567111" w:rsidP="00567111">
      <w:r>
        <w:t xml:space="preserve">Radiated transmitter characteristics requirements apply on the </w:t>
      </w:r>
      <w:r>
        <w:rPr>
          <w:i/>
        </w:rPr>
        <w:t xml:space="preserve">IAB-DU </w:t>
      </w:r>
      <w:r w:rsidRPr="00702051">
        <w:rPr>
          <w:iCs/>
        </w:rPr>
        <w:t>and</w:t>
      </w:r>
      <w:r>
        <w:rPr>
          <w:i/>
        </w:rPr>
        <w:t xml:space="preserve"> IAB-MT type 1-H</w:t>
      </w:r>
      <w:r>
        <w:t xml:space="preserve">, </w:t>
      </w:r>
      <w:r>
        <w:rPr>
          <w:i/>
        </w:rPr>
        <w:t xml:space="preserve">IAB-DU </w:t>
      </w:r>
      <w:r w:rsidRPr="00EC18B4">
        <w:rPr>
          <w:iCs/>
        </w:rPr>
        <w:t>and</w:t>
      </w:r>
      <w:r>
        <w:rPr>
          <w:i/>
        </w:rPr>
        <w:t xml:space="preserve"> IAB-MT type 1-O</w:t>
      </w:r>
      <w:r>
        <w:t xml:space="preserve">, or </w:t>
      </w:r>
      <w:r>
        <w:rPr>
          <w:i/>
        </w:rPr>
        <w:t xml:space="preserve">IAB-DU </w:t>
      </w:r>
      <w:r w:rsidRPr="00EC18B4">
        <w:rPr>
          <w:iCs/>
        </w:rPr>
        <w:t>and</w:t>
      </w:r>
      <w:r>
        <w:rPr>
          <w:i/>
        </w:rPr>
        <w:t xml:space="preserve"> IAB-MT type 2-O</w:t>
      </w:r>
      <w:r>
        <w:t xml:space="preserve"> including all its functional components active and for all foreseen modes of operation unless otherwise stated.</w:t>
      </w:r>
    </w:p>
    <w:p w14:paraId="23BACFED" w14:textId="7759855D" w:rsidR="00567111" w:rsidRPr="00567111" w:rsidRDefault="00567111" w:rsidP="00567111">
      <w:pPr>
        <w:rPr>
          <w:lang w:eastAsia="zh-CN"/>
        </w:rPr>
      </w:pPr>
      <w:r>
        <w:rPr>
          <w:rFonts w:eastAsia="MS Mincho"/>
          <w:iCs/>
          <w:lang w:eastAsia="ja-JP"/>
        </w:rPr>
        <w:t>When calculating the IAB output power and TX emissions limits (N</w:t>
      </w:r>
      <w:r>
        <w:rPr>
          <w:rFonts w:eastAsia="MS Mincho"/>
          <w:iCs/>
          <w:vertAlign w:val="subscript"/>
          <w:lang w:eastAsia="ja-JP"/>
        </w:rPr>
        <w:t>TXU,counted</w:t>
      </w:r>
      <w:r>
        <w:rPr>
          <w:rFonts w:eastAsia="MS Mincho"/>
          <w:iCs/>
          <w:lang w:eastAsia="ja-JP"/>
        </w:rPr>
        <w:t xml:space="preserve">) defined for </w:t>
      </w:r>
      <w:r>
        <w:rPr>
          <w:i/>
        </w:rPr>
        <w:t xml:space="preserve">IAB-DU and IAB-MT type 1-H </w:t>
      </w:r>
      <w:r w:rsidRPr="00702051">
        <w:t>in clause 6.1 shall be applied for</w:t>
      </w:r>
      <w:r>
        <w:rPr>
          <w:i/>
        </w:rPr>
        <w:t xml:space="preserve"> IAB-MT type 1-O. </w:t>
      </w:r>
    </w:p>
    <w:p w14:paraId="3F0554D3" w14:textId="63BDB0FF" w:rsidR="00CD1521" w:rsidRPr="005913F7" w:rsidRDefault="00077B6E" w:rsidP="00C91B26">
      <w:pPr>
        <w:pStyle w:val="Heading2"/>
        <w:rPr>
          <w:rFonts w:eastAsiaTheme="minorEastAsia"/>
          <w:lang w:eastAsia="zh-CN"/>
        </w:rPr>
      </w:pPr>
      <w:bookmarkStart w:id="3954" w:name="_Toc13080329"/>
      <w:bookmarkStart w:id="3955" w:name="_Toc18916183"/>
      <w:bookmarkStart w:id="3956" w:name="_Toc53185424"/>
      <w:bookmarkStart w:id="3957" w:name="_Toc53185800"/>
      <w:bookmarkStart w:id="3958" w:name="_Toc57820285"/>
      <w:bookmarkStart w:id="3959" w:name="_Toc57821212"/>
      <w:bookmarkStart w:id="3960" w:name="_Toc61183488"/>
      <w:bookmarkStart w:id="3961" w:name="_Toc61183882"/>
      <w:bookmarkStart w:id="3962" w:name="_Toc61184274"/>
      <w:bookmarkStart w:id="3963" w:name="_Toc61184666"/>
      <w:bookmarkStart w:id="3964" w:name="_Toc61185056"/>
      <w:bookmarkStart w:id="3965" w:name="_Toc66386400"/>
      <w:bookmarkStart w:id="3966" w:name="_Toc74583303"/>
      <w:bookmarkStart w:id="3967" w:name="_Toc76542116"/>
      <w:bookmarkStart w:id="3968" w:name="_Toc82450098"/>
      <w:bookmarkStart w:id="3969" w:name="_Toc82450746"/>
      <w:bookmarkStart w:id="3970" w:name="_Toc89949135"/>
      <w:bookmarkStart w:id="3971" w:name="_Toc98755524"/>
      <w:bookmarkStart w:id="3972" w:name="_Toc98763115"/>
      <w:bookmarkStart w:id="3973" w:name="_Toc106184044"/>
      <w:r w:rsidRPr="007E346D">
        <w:t>9.2</w:t>
      </w:r>
      <w:r w:rsidRPr="007E346D">
        <w:tab/>
        <w:t>Radiated transmit power</w:t>
      </w:r>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p>
    <w:p w14:paraId="5E2D7482" w14:textId="76B4BA23" w:rsidR="00D20C3C" w:rsidRDefault="00D20C3C" w:rsidP="00D20C3C">
      <w:pPr>
        <w:pStyle w:val="Heading3"/>
      </w:pPr>
      <w:bookmarkStart w:id="3974" w:name="_Toc53185425"/>
      <w:bookmarkStart w:id="3975" w:name="_Toc53185801"/>
      <w:bookmarkStart w:id="3976" w:name="_Toc57820286"/>
      <w:bookmarkStart w:id="3977" w:name="_Toc57821213"/>
      <w:bookmarkStart w:id="3978" w:name="_Toc61183489"/>
      <w:bookmarkStart w:id="3979" w:name="_Toc61183883"/>
      <w:bookmarkStart w:id="3980" w:name="_Toc61184275"/>
      <w:bookmarkStart w:id="3981" w:name="_Toc61184667"/>
      <w:bookmarkStart w:id="3982" w:name="_Toc61185057"/>
      <w:bookmarkStart w:id="3983" w:name="_Toc66386401"/>
      <w:bookmarkStart w:id="3984" w:name="_Toc74583304"/>
      <w:bookmarkStart w:id="3985" w:name="_Toc76542117"/>
      <w:bookmarkStart w:id="3986" w:name="_Toc82450099"/>
      <w:bookmarkStart w:id="3987" w:name="_Toc82450747"/>
      <w:bookmarkStart w:id="3988" w:name="_Toc89949136"/>
      <w:bookmarkStart w:id="3989" w:name="_Toc98755525"/>
      <w:bookmarkStart w:id="3990" w:name="_Toc98763116"/>
      <w:bookmarkStart w:id="3991" w:name="_Toc106184045"/>
      <w:bookmarkStart w:id="3992" w:name="_Toc13080333"/>
      <w:bookmarkStart w:id="3993" w:name="_Toc18916184"/>
      <w:r>
        <w:t>9.2.1</w:t>
      </w:r>
      <w:r w:rsidR="00815C5B">
        <w:tab/>
      </w:r>
      <w:r w:rsidR="00D06741">
        <w:t>General</w:t>
      </w:r>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p>
    <w:p w14:paraId="762BB3B8" w14:textId="54485474" w:rsidR="00AB3A87" w:rsidRDefault="00AB3A87" w:rsidP="00AB3A87">
      <w:pPr>
        <w:rPr>
          <w:lang w:eastAsia="ja-JP"/>
        </w:rPr>
      </w:pPr>
      <w:r>
        <w:rPr>
          <w:rFonts w:cs="v5.0.0"/>
          <w:i/>
          <w:snapToGrid w:val="0"/>
          <w:lang w:eastAsia="zh-CN"/>
        </w:rPr>
        <w:t xml:space="preserve">IAB-DU </w:t>
      </w:r>
      <w:r w:rsidRPr="00702051">
        <w:rPr>
          <w:rFonts w:cs="v5.0.0"/>
          <w:iCs/>
          <w:snapToGrid w:val="0"/>
          <w:lang w:eastAsia="zh-CN"/>
        </w:rPr>
        <w:t>and</w:t>
      </w:r>
      <w:r>
        <w:rPr>
          <w:rFonts w:cs="v5.0.0"/>
          <w:i/>
          <w:snapToGrid w:val="0"/>
          <w:lang w:eastAsia="zh-CN"/>
        </w:rPr>
        <w:t xml:space="preserve"> IAB-MT type 1-H, IAB-DU </w:t>
      </w:r>
      <w:r w:rsidRPr="00702051">
        <w:rPr>
          <w:rFonts w:cs="v5.0.0"/>
          <w:iCs/>
          <w:snapToGrid w:val="0"/>
          <w:lang w:eastAsia="zh-CN"/>
        </w:rPr>
        <w:t>and</w:t>
      </w:r>
      <w:r>
        <w:rPr>
          <w:rFonts w:cs="v5.0.0"/>
          <w:i/>
          <w:snapToGrid w:val="0"/>
          <w:lang w:eastAsia="zh-CN"/>
        </w:rPr>
        <w:t xml:space="preserve"> IAB-MT type 1-O</w:t>
      </w:r>
      <w:r>
        <w:rPr>
          <w:rFonts w:cs="v5.0.0"/>
          <w:snapToGrid w:val="0"/>
          <w:lang w:eastAsia="zh-CN"/>
        </w:rPr>
        <w:t xml:space="preserve"> and </w:t>
      </w:r>
      <w:r>
        <w:rPr>
          <w:rFonts w:cs="v5.0.0"/>
          <w:i/>
          <w:snapToGrid w:val="0"/>
          <w:lang w:eastAsia="zh-CN"/>
        </w:rPr>
        <w:t xml:space="preserve">IAB-DU </w:t>
      </w:r>
      <w:r w:rsidRPr="00702051">
        <w:rPr>
          <w:rFonts w:cs="v5.0.0"/>
          <w:iCs/>
          <w:snapToGrid w:val="0"/>
          <w:lang w:eastAsia="zh-CN"/>
        </w:rPr>
        <w:t>and</w:t>
      </w:r>
      <w:r>
        <w:rPr>
          <w:rFonts w:cs="v5.0.0"/>
          <w:i/>
          <w:snapToGrid w:val="0"/>
          <w:lang w:eastAsia="zh-CN"/>
        </w:rPr>
        <w:t xml:space="preserve"> IAB-MT type 2-O</w:t>
      </w:r>
      <w:r>
        <w:rPr>
          <w:rFonts w:cs="v5.0.0"/>
          <w:snapToGrid w:val="0"/>
          <w:lang w:eastAsia="zh-CN"/>
        </w:rPr>
        <w:t xml:space="preserve"> are declared to support one or more beams, as per manufacturer</w:t>
      </w:r>
      <w:r>
        <w:t>'</w:t>
      </w:r>
      <w:r>
        <w:rPr>
          <w:rFonts w:cs="v5.0.0"/>
          <w:snapToGrid w:val="0"/>
          <w:lang w:eastAsia="zh-CN"/>
        </w:rPr>
        <w:t xml:space="preserve">s declarations. </w:t>
      </w:r>
      <w:r>
        <w:rPr>
          <w:lang w:eastAsia="zh-CN"/>
        </w:rPr>
        <w:t xml:space="preserve">Radiated transmit power is defined as the EIRP level for a declared beam at a specific </w:t>
      </w:r>
      <w:r>
        <w:rPr>
          <w:i/>
          <w:lang w:eastAsia="zh-CN"/>
        </w:rPr>
        <w:t>beam peak direction</w:t>
      </w:r>
      <w:r>
        <w:rPr>
          <w:lang w:eastAsia="zh-CN"/>
        </w:rPr>
        <w:t>. Declarations are done for IAB-DU and IAB-MT separately.</w:t>
      </w:r>
    </w:p>
    <w:p w14:paraId="059A94F4" w14:textId="77777777" w:rsidR="00AB3A87" w:rsidRDefault="00AB3A87" w:rsidP="00AB3A87">
      <w:pPr>
        <w:rPr>
          <w:lang w:eastAsia="ja-JP"/>
        </w:rPr>
      </w:pPr>
      <w:r>
        <w:t>F</w:t>
      </w:r>
      <w:r>
        <w:rPr>
          <w:lang w:eastAsia="ja-JP"/>
        </w:rPr>
        <w:t>or each beam, the requirement is based on declaration of a beam identity,</w:t>
      </w:r>
      <w:r>
        <w:rPr>
          <w:i/>
          <w:lang w:eastAsia="ja-JP"/>
        </w:rPr>
        <w:t xml:space="preserve"> reference beam direction pair</w:t>
      </w:r>
      <w:r>
        <w:rPr>
          <w:lang w:eastAsia="ja-JP"/>
        </w:rPr>
        <w:t xml:space="preserve">, beamwidth, </w:t>
      </w:r>
      <w:r>
        <w:rPr>
          <w:i/>
          <w:lang w:eastAsia="ja-JP"/>
        </w:rPr>
        <w:t>rated beam EIRP</w:t>
      </w:r>
      <w:r>
        <w:rPr>
          <w:lang w:eastAsia="ja-JP"/>
        </w:rPr>
        <w:t>,</w:t>
      </w:r>
      <w:r>
        <w:rPr>
          <w:i/>
          <w:lang w:eastAsia="ja-JP"/>
        </w:rPr>
        <w:t xml:space="preserve"> </w:t>
      </w:r>
      <w:r>
        <w:rPr>
          <w:i/>
          <w:lang w:eastAsia="zh-CN"/>
        </w:rPr>
        <w:t>OTA peak directions set</w:t>
      </w:r>
      <w:r>
        <w:rPr>
          <w:lang w:eastAsia="ja-JP"/>
        </w:rPr>
        <w:t>, the</w:t>
      </w:r>
      <w:r>
        <w:rPr>
          <w:i/>
          <w:lang w:eastAsia="ja-JP"/>
        </w:rPr>
        <w:t xml:space="preserve"> beam direction pairs</w:t>
      </w:r>
      <w:r>
        <w:rPr>
          <w:lang w:eastAsia="ja-JP"/>
        </w:rPr>
        <w:t xml:space="preserve"> at the maximum steering directions and their associated</w:t>
      </w:r>
      <w:r>
        <w:rPr>
          <w:i/>
          <w:lang w:eastAsia="ja-JP"/>
        </w:rPr>
        <w:t xml:space="preserve"> rated beam EIRP</w:t>
      </w:r>
      <w:r>
        <w:rPr>
          <w:lang w:eastAsia="ja-JP"/>
        </w:rPr>
        <w:t xml:space="preserve"> and beamwidth(s).</w:t>
      </w:r>
    </w:p>
    <w:p w14:paraId="165118E7" w14:textId="77777777" w:rsidR="00AB3A87" w:rsidRDefault="00AB3A87" w:rsidP="00AB3A87">
      <w:r>
        <w:rPr>
          <w:lang w:eastAsia="ja-JP"/>
        </w:rPr>
        <w:t xml:space="preserve">For a declared beam and </w:t>
      </w:r>
      <w:r>
        <w:rPr>
          <w:i/>
          <w:lang w:eastAsia="ja-JP"/>
        </w:rPr>
        <w:t>beam direction pair</w:t>
      </w:r>
      <w:r>
        <w:rPr>
          <w:lang w:eastAsia="ja-JP"/>
        </w:rPr>
        <w:t>, the</w:t>
      </w:r>
      <w:r>
        <w:rPr>
          <w:i/>
          <w:lang w:eastAsia="ja-JP"/>
        </w:rPr>
        <w:t xml:space="preserve"> rated beam EIRP</w:t>
      </w:r>
      <w:r>
        <w:rPr>
          <w:lang w:eastAsia="ja-JP"/>
        </w:rPr>
        <w:t xml:space="preserve"> level is the maximum power that the base station is declared to radiate at the associated </w:t>
      </w:r>
      <w:r>
        <w:rPr>
          <w:i/>
          <w:lang w:eastAsia="ja-JP"/>
        </w:rPr>
        <w:t>beam peak direction</w:t>
      </w:r>
      <w:r>
        <w:rPr>
          <w:lang w:eastAsia="ja-JP"/>
        </w:rPr>
        <w:t xml:space="preserve"> during the </w:t>
      </w:r>
      <w:r>
        <w:rPr>
          <w:i/>
          <w:lang w:eastAsia="ja-JP"/>
        </w:rPr>
        <w:t>transmitter ON period</w:t>
      </w:r>
      <w:r>
        <w:rPr>
          <w:lang w:eastAsia="ja-JP"/>
        </w:rPr>
        <w:t>.</w:t>
      </w:r>
    </w:p>
    <w:p w14:paraId="40351B9A" w14:textId="3CD6152A" w:rsidR="00AB3A87" w:rsidRDefault="00AB3A87" w:rsidP="00AB3A87">
      <w:r>
        <w:t xml:space="preserve">For each </w:t>
      </w:r>
      <w:r>
        <w:rPr>
          <w:i/>
        </w:rPr>
        <w:t xml:space="preserve">beam peak direction </w:t>
      </w:r>
      <w:r>
        <w:t xml:space="preserve">associated with a </w:t>
      </w:r>
      <w:r>
        <w:rPr>
          <w:i/>
        </w:rPr>
        <w:t>beam direction pair</w:t>
      </w:r>
      <w:r>
        <w:t xml:space="preserve"> within the </w:t>
      </w:r>
      <w:r>
        <w:rPr>
          <w:i/>
          <w:lang w:eastAsia="zh-CN"/>
        </w:rPr>
        <w:t>OTA peak directions set</w:t>
      </w:r>
      <w:r>
        <w:t>, a specific</w:t>
      </w:r>
      <w:r>
        <w:rPr>
          <w:i/>
        </w:rPr>
        <w:t xml:space="preserve"> rated beam EIRP</w:t>
      </w:r>
      <w:r>
        <w:t xml:space="preserve"> level may be claimed. Any claimed value shall be met within the accuracy requirement as described below. </w:t>
      </w:r>
      <w:r>
        <w:rPr>
          <w:i/>
        </w:rPr>
        <w:t>Rated beam EIRP</w:t>
      </w:r>
      <w:r>
        <w:t xml:space="preserve"> is only required to be declared for the </w:t>
      </w:r>
      <w:r>
        <w:rPr>
          <w:i/>
        </w:rPr>
        <w:t>beam direction pairs</w:t>
      </w:r>
      <w:r>
        <w:t xml:space="preserve"> subject to conformance testing.</w:t>
      </w:r>
    </w:p>
    <w:p w14:paraId="5070B9F0" w14:textId="77777777" w:rsidR="00AB3A87" w:rsidRDefault="00AB3A87" w:rsidP="00AB3A87">
      <w:pPr>
        <w:pStyle w:val="NO"/>
        <w:rPr>
          <w:lang w:eastAsia="zh-CN"/>
        </w:rPr>
      </w:pPr>
      <w:r>
        <w:rPr>
          <w:lang w:eastAsia="zh-CN"/>
        </w:rPr>
        <w:t>NOTE 1:</w:t>
      </w:r>
      <w:r>
        <w:rPr>
          <w:lang w:eastAsia="zh-CN"/>
        </w:rPr>
        <w:tab/>
      </w:r>
      <w:r>
        <w:rPr>
          <w:i/>
          <w:lang w:eastAsia="zh-CN"/>
        </w:rPr>
        <w:t xml:space="preserve">OTA peak directions set </w:t>
      </w:r>
      <w:r>
        <w:rPr>
          <w:lang w:eastAsia="ja-JP"/>
        </w:rPr>
        <w:t>is set of</w:t>
      </w:r>
      <w:r>
        <w:rPr>
          <w:lang w:eastAsia="zh-CN"/>
        </w:rPr>
        <w:t xml:space="preserve"> </w:t>
      </w:r>
      <w:r>
        <w:rPr>
          <w:i/>
        </w:rPr>
        <w:t>beam peak directions</w:t>
      </w:r>
      <w:r>
        <w:t xml:space="preserve"> for which the EIRP accuracy requirement is intended to be met. The </w:t>
      </w:r>
      <w:r>
        <w:rPr>
          <w:i/>
        </w:rPr>
        <w:t>beam peak directions</w:t>
      </w:r>
      <w:r>
        <w:t xml:space="preserve"> are related to a corresponding contiguous range or discrete list of </w:t>
      </w:r>
      <w:r>
        <w:rPr>
          <w:i/>
        </w:rPr>
        <w:t>beam centre directions</w:t>
      </w:r>
      <w:r>
        <w:t xml:space="preserve"> by the</w:t>
      </w:r>
      <w:r>
        <w:rPr>
          <w:i/>
        </w:rPr>
        <w:t xml:space="preserve"> beam direction pairs</w:t>
      </w:r>
      <w:r>
        <w:t xml:space="preserve"> included in the set.</w:t>
      </w:r>
    </w:p>
    <w:p w14:paraId="0F9A019C" w14:textId="77777777" w:rsidR="00AB3A87" w:rsidRDefault="00AB3A87" w:rsidP="00AB3A87">
      <w:pPr>
        <w:pStyle w:val="NO"/>
        <w:rPr>
          <w:lang w:eastAsia="zh-CN"/>
        </w:rPr>
      </w:pPr>
      <w:r>
        <w:rPr>
          <w:lang w:eastAsia="zh-CN"/>
        </w:rPr>
        <w:t>NOTE 2:</w:t>
      </w:r>
      <w:r>
        <w:rPr>
          <w:lang w:eastAsia="zh-CN"/>
        </w:rPr>
        <w:tab/>
      </w:r>
      <w:r>
        <w:rPr>
          <w:lang w:eastAsia="ja-JP"/>
        </w:rPr>
        <w:t xml:space="preserve">A </w:t>
      </w:r>
      <w:r>
        <w:rPr>
          <w:i/>
          <w:lang w:eastAsia="ja-JP"/>
        </w:rPr>
        <w:t>beam direction pair</w:t>
      </w:r>
      <w:r>
        <w:rPr>
          <w:lang w:eastAsia="ja-JP"/>
        </w:rPr>
        <w:t xml:space="preserve"> is </w:t>
      </w:r>
      <w:r>
        <w:rPr>
          <w:lang w:eastAsia="zh-CN"/>
        </w:rPr>
        <w:t xml:space="preserve">data set consisting of </w:t>
      </w:r>
      <w:r>
        <w:t>the</w:t>
      </w:r>
      <w:r>
        <w:rPr>
          <w:i/>
        </w:rPr>
        <w:t xml:space="preserve"> beam centre direction </w:t>
      </w:r>
      <w:r>
        <w:t xml:space="preserve">and the related </w:t>
      </w:r>
      <w:r>
        <w:rPr>
          <w:i/>
        </w:rPr>
        <w:t>beam peak direction.</w:t>
      </w:r>
    </w:p>
    <w:p w14:paraId="223C73D9" w14:textId="77777777" w:rsidR="00AB3A87" w:rsidRDefault="00AB3A87" w:rsidP="00AB3A87">
      <w:pPr>
        <w:pStyle w:val="NO"/>
        <w:rPr>
          <w:lang w:eastAsia="zh-CN"/>
        </w:rPr>
      </w:pPr>
      <w:r>
        <w:t>NOTE 3:</w:t>
      </w:r>
      <w:r>
        <w:tab/>
        <w:t>A declared EIRP value is a value provided by the manufacturer for verification according to the conformance specification declaration requirements, whereas a claimed EIRP value is provided by the manufacturer to the equipment user for normal operation of the equipment and is not subject to formal conformance testing.</w:t>
      </w:r>
    </w:p>
    <w:p w14:paraId="04350BD3" w14:textId="77777777" w:rsidR="00AB3A87" w:rsidRDefault="00AB3A87" w:rsidP="00AB3A87">
      <w:pPr>
        <w:pStyle w:val="B10"/>
      </w:pPr>
      <w:r>
        <w:tab/>
        <w:t xml:space="preserve">For </w:t>
      </w:r>
      <w:r>
        <w:rPr>
          <w:i/>
        </w:rPr>
        <w:t>operating bands</w:t>
      </w:r>
      <w:r>
        <w:t xml:space="preserve"> where the supported </w:t>
      </w:r>
      <w:r>
        <w:rPr>
          <w:i/>
        </w:rPr>
        <w:t>fractional bandwidth</w:t>
      </w:r>
      <w:r>
        <w:t xml:space="preserve"> (FBW) is larger than 6%, two rated carrier EIRP may be declared by manufacturer:</w:t>
      </w:r>
    </w:p>
    <w:p w14:paraId="021355C7" w14:textId="77777777" w:rsidR="00AB3A87" w:rsidRDefault="00AB3A87" w:rsidP="00AB3A87">
      <w:pPr>
        <w:pStyle w:val="B10"/>
        <w:rPr>
          <w:lang w:eastAsia="zh-CN"/>
        </w:rPr>
      </w:pPr>
      <w:r>
        <w:rPr>
          <w:lang w:eastAsia="zh-CN"/>
        </w:rPr>
        <w:t>-</w:t>
      </w:r>
      <w:r>
        <w:rPr>
          <w:lang w:eastAsia="zh-CN"/>
        </w:rPr>
        <w:tab/>
        <w:t>P</w:t>
      </w:r>
      <w:r>
        <w:rPr>
          <w:vertAlign w:val="subscript"/>
          <w:lang w:eastAsia="ja-JP"/>
        </w:rPr>
        <w:t>r</w:t>
      </w:r>
      <w:r>
        <w:rPr>
          <w:vertAlign w:val="subscript"/>
          <w:lang w:eastAsia="zh-CN"/>
        </w:rPr>
        <w:t>ated,c,FBWlow</w:t>
      </w:r>
      <w:r>
        <w:rPr>
          <w:lang w:eastAsia="zh-CN"/>
        </w:rPr>
        <w:t xml:space="preserve"> for lower supported frequency range, and</w:t>
      </w:r>
    </w:p>
    <w:p w14:paraId="3ACE68A4" w14:textId="77777777" w:rsidR="00AB3A87" w:rsidRDefault="00AB3A87" w:rsidP="00AB3A87">
      <w:pPr>
        <w:pStyle w:val="B10"/>
        <w:rPr>
          <w:lang w:eastAsia="zh-CN"/>
        </w:rPr>
      </w:pPr>
      <w:r>
        <w:rPr>
          <w:lang w:eastAsia="zh-CN"/>
        </w:rPr>
        <w:t>-</w:t>
      </w:r>
      <w:r>
        <w:rPr>
          <w:lang w:eastAsia="zh-CN"/>
        </w:rPr>
        <w:tab/>
        <w:t>P</w:t>
      </w:r>
      <w:r>
        <w:rPr>
          <w:vertAlign w:val="subscript"/>
          <w:lang w:eastAsia="ja-JP"/>
        </w:rPr>
        <w:t>r</w:t>
      </w:r>
      <w:r>
        <w:rPr>
          <w:vertAlign w:val="subscript"/>
          <w:lang w:eastAsia="zh-CN"/>
        </w:rPr>
        <w:t>ated,c,FBWhigh</w:t>
      </w:r>
      <w:r>
        <w:rPr>
          <w:lang w:eastAsia="zh-CN"/>
        </w:rPr>
        <w:t xml:space="preserve"> for higher supported frequency range.</w:t>
      </w:r>
    </w:p>
    <w:p w14:paraId="1B914203" w14:textId="77777777" w:rsidR="00AB3A87" w:rsidRDefault="00AB3A87" w:rsidP="00C91B26">
      <w:pPr>
        <w:rPr>
          <w:lang w:eastAsia="zh-CN"/>
        </w:rPr>
      </w:pPr>
      <w:r>
        <w:rPr>
          <w:lang w:eastAsia="zh-CN"/>
        </w:rPr>
        <w:t>For frequencies in between F</w:t>
      </w:r>
      <w:r>
        <w:rPr>
          <w:vertAlign w:val="subscript"/>
          <w:lang w:eastAsia="zh-CN"/>
        </w:rPr>
        <w:t>FBWlow</w:t>
      </w:r>
      <w:r>
        <w:rPr>
          <w:lang w:eastAsia="zh-CN"/>
        </w:rPr>
        <w:t xml:space="preserve"> and F</w:t>
      </w:r>
      <w:r>
        <w:rPr>
          <w:vertAlign w:val="subscript"/>
          <w:lang w:eastAsia="zh-CN"/>
        </w:rPr>
        <w:t>FBWhigh</w:t>
      </w:r>
      <w:r>
        <w:rPr>
          <w:lang w:eastAsia="zh-CN"/>
        </w:rPr>
        <w:t xml:space="preserve"> the rated carrier EIRP is:</w:t>
      </w:r>
    </w:p>
    <w:p w14:paraId="2E9E1CD2" w14:textId="77777777" w:rsidR="00AB3A87" w:rsidRDefault="00AB3A87" w:rsidP="00AB3A87">
      <w:pPr>
        <w:pStyle w:val="B10"/>
        <w:rPr>
          <w:lang w:eastAsia="zh-CN"/>
        </w:rPr>
      </w:pPr>
      <w:r>
        <w:rPr>
          <w:lang w:eastAsia="zh-CN"/>
        </w:rPr>
        <w:t>-</w:t>
      </w:r>
      <w:r>
        <w:rPr>
          <w:lang w:eastAsia="zh-CN"/>
        </w:rPr>
        <w:tab/>
        <w:t>P</w:t>
      </w:r>
      <w:r>
        <w:rPr>
          <w:vertAlign w:val="subscript"/>
          <w:lang w:eastAsia="ja-JP"/>
        </w:rPr>
        <w:t>r</w:t>
      </w:r>
      <w:r>
        <w:rPr>
          <w:vertAlign w:val="subscript"/>
          <w:lang w:eastAsia="zh-CN"/>
        </w:rPr>
        <w:t>ated,c,FBWlow,</w:t>
      </w:r>
      <w:r>
        <w:rPr>
          <w:lang w:eastAsia="zh-CN"/>
        </w:rPr>
        <w:t xml:space="preserve"> for the carrier whose </w:t>
      </w:r>
      <w:r>
        <w:rPr>
          <w:lang w:eastAsia="ja-JP"/>
        </w:rPr>
        <w:t>carrier frequency is within</w:t>
      </w:r>
      <w:r>
        <w:rPr>
          <w:lang w:eastAsia="zh-CN"/>
        </w:rPr>
        <w:t xml:space="preserve"> frequency range F</w:t>
      </w:r>
      <w:r>
        <w:rPr>
          <w:vertAlign w:val="subscript"/>
          <w:lang w:eastAsia="zh-CN"/>
        </w:rPr>
        <w:t>FBWlow</w:t>
      </w:r>
      <w:r>
        <w:rPr>
          <w:lang w:eastAsia="zh-CN"/>
        </w:rPr>
        <w:t xml:space="preserve"> ≤ f &lt; (F</w:t>
      </w:r>
      <w:r>
        <w:rPr>
          <w:vertAlign w:val="subscript"/>
          <w:lang w:eastAsia="zh-CN"/>
        </w:rPr>
        <w:t>FBWlow</w:t>
      </w:r>
      <w:r>
        <w:rPr>
          <w:lang w:eastAsia="zh-CN"/>
        </w:rPr>
        <w:t xml:space="preserve"> +F</w:t>
      </w:r>
      <w:r>
        <w:rPr>
          <w:vertAlign w:val="subscript"/>
          <w:lang w:eastAsia="zh-CN"/>
        </w:rPr>
        <w:t>FBWhigh</w:t>
      </w:r>
      <w:r>
        <w:rPr>
          <w:lang w:eastAsia="zh-CN"/>
        </w:rPr>
        <w:t>) / 2,</w:t>
      </w:r>
    </w:p>
    <w:p w14:paraId="02C472D1" w14:textId="77777777" w:rsidR="00AB3A87" w:rsidRDefault="00AB3A87" w:rsidP="00AB3A87">
      <w:pPr>
        <w:pStyle w:val="B10"/>
        <w:rPr>
          <w:lang w:eastAsia="zh-CN"/>
        </w:rPr>
      </w:pPr>
      <w:r>
        <w:rPr>
          <w:lang w:eastAsia="zh-CN"/>
        </w:rPr>
        <w:t>-</w:t>
      </w:r>
      <w:r>
        <w:rPr>
          <w:lang w:eastAsia="zh-CN"/>
        </w:rPr>
        <w:tab/>
        <w:t>P</w:t>
      </w:r>
      <w:r>
        <w:rPr>
          <w:vertAlign w:val="subscript"/>
          <w:lang w:eastAsia="ja-JP"/>
        </w:rPr>
        <w:t>r</w:t>
      </w:r>
      <w:r>
        <w:rPr>
          <w:vertAlign w:val="subscript"/>
          <w:lang w:eastAsia="zh-CN"/>
        </w:rPr>
        <w:t xml:space="preserve">ated,c,FBWhigh, </w:t>
      </w:r>
      <w:r>
        <w:rPr>
          <w:lang w:eastAsia="zh-CN"/>
        </w:rPr>
        <w:t xml:space="preserve">for the carrier whose </w:t>
      </w:r>
      <w:r>
        <w:rPr>
          <w:lang w:eastAsia="ja-JP"/>
        </w:rPr>
        <w:t>carrier frequency is within</w:t>
      </w:r>
      <w:r>
        <w:rPr>
          <w:lang w:eastAsia="zh-CN"/>
        </w:rPr>
        <w:t xml:space="preserve"> frequency range (F</w:t>
      </w:r>
      <w:r>
        <w:rPr>
          <w:vertAlign w:val="subscript"/>
          <w:lang w:eastAsia="zh-CN"/>
        </w:rPr>
        <w:t>FBWlow</w:t>
      </w:r>
      <w:r>
        <w:rPr>
          <w:lang w:eastAsia="zh-CN"/>
        </w:rPr>
        <w:t xml:space="preserve"> +F</w:t>
      </w:r>
      <w:r>
        <w:rPr>
          <w:vertAlign w:val="subscript"/>
          <w:lang w:eastAsia="zh-CN"/>
        </w:rPr>
        <w:t>FBWhigh</w:t>
      </w:r>
      <w:r>
        <w:rPr>
          <w:lang w:eastAsia="zh-CN"/>
        </w:rPr>
        <w:t>) / 2 ≤ f ≤F</w:t>
      </w:r>
      <w:r>
        <w:rPr>
          <w:vertAlign w:val="subscript"/>
          <w:lang w:eastAsia="zh-CN"/>
        </w:rPr>
        <w:t>FBWhigh</w:t>
      </w:r>
      <w:r>
        <w:rPr>
          <w:lang w:eastAsia="zh-CN"/>
        </w:rPr>
        <w:t>.</w:t>
      </w:r>
    </w:p>
    <w:p w14:paraId="7662583F" w14:textId="77777777" w:rsidR="00AB3A87" w:rsidRPr="00D20C3C" w:rsidRDefault="00AB3A87" w:rsidP="00121CA7"/>
    <w:p w14:paraId="60B975D7" w14:textId="3A2A72B2" w:rsidR="00D20C3C" w:rsidRDefault="00D20C3C" w:rsidP="00955C78">
      <w:pPr>
        <w:pStyle w:val="Heading3"/>
      </w:pPr>
      <w:bookmarkStart w:id="3994" w:name="_Toc53185426"/>
      <w:bookmarkStart w:id="3995" w:name="_Toc53185802"/>
      <w:bookmarkStart w:id="3996" w:name="_Toc57820287"/>
      <w:bookmarkStart w:id="3997" w:name="_Toc57821214"/>
      <w:bookmarkStart w:id="3998" w:name="_Toc61183490"/>
      <w:bookmarkStart w:id="3999" w:name="_Toc61183884"/>
      <w:bookmarkStart w:id="4000" w:name="_Toc61184276"/>
      <w:bookmarkStart w:id="4001" w:name="_Toc61184668"/>
      <w:bookmarkStart w:id="4002" w:name="_Toc61185058"/>
      <w:bookmarkStart w:id="4003" w:name="_Toc66386402"/>
      <w:bookmarkStart w:id="4004" w:name="_Toc74583305"/>
      <w:bookmarkStart w:id="4005" w:name="_Toc76542118"/>
      <w:bookmarkStart w:id="4006" w:name="_Toc82450100"/>
      <w:bookmarkStart w:id="4007" w:name="_Toc82450748"/>
      <w:bookmarkStart w:id="4008" w:name="_Toc89949137"/>
      <w:bookmarkStart w:id="4009" w:name="_Toc98755526"/>
      <w:bookmarkStart w:id="4010" w:name="_Toc98763117"/>
      <w:bookmarkStart w:id="4011" w:name="_Toc106184046"/>
      <w:r>
        <w:t>9.2.2</w:t>
      </w:r>
      <w:r w:rsidR="00815C5B">
        <w:tab/>
      </w:r>
      <w:r w:rsidR="00207FE1">
        <w:t xml:space="preserve">Minimum requirement for </w:t>
      </w:r>
      <w:r w:rsidR="00207FE1" w:rsidRPr="00B15C29">
        <w:t>IAB</w:t>
      </w:r>
      <w:r w:rsidR="00207FE1">
        <w:t xml:space="preserve">-DU </w:t>
      </w:r>
      <w:r w:rsidR="00207FE1" w:rsidRPr="00B15C29">
        <w:t>type 1-H</w:t>
      </w:r>
      <w:r w:rsidR="00207FE1">
        <w:t xml:space="preserve">, IAB-DU type 1-O, </w:t>
      </w:r>
      <w:r w:rsidR="00207FE1" w:rsidRPr="00B15C29">
        <w:t>IAB</w:t>
      </w:r>
      <w:r w:rsidR="00207FE1">
        <w:t>-MT</w:t>
      </w:r>
      <w:r w:rsidR="00207FE1" w:rsidRPr="00B15C29">
        <w:t xml:space="preserve"> type 1-</w:t>
      </w:r>
      <w:r w:rsidR="00207FE1">
        <w:t>H</w:t>
      </w:r>
      <w:r w:rsidR="00482130">
        <w:t xml:space="preserve"> and IAB-MT type 1-O</w:t>
      </w:r>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p>
    <w:p w14:paraId="73714AC0" w14:textId="77777777" w:rsidR="00F162F1" w:rsidRDefault="00F162F1" w:rsidP="00F162F1">
      <w:pPr>
        <w:rPr>
          <w:lang w:eastAsia="zh-CN"/>
        </w:rPr>
      </w:pPr>
      <w:r>
        <w:rPr>
          <w:lang w:eastAsia="zh-CN"/>
        </w:rPr>
        <w:t>For each declared beam, in normal conditions, for any specific</w:t>
      </w:r>
      <w:r>
        <w:rPr>
          <w:i/>
          <w:lang w:eastAsia="zh-CN"/>
        </w:rPr>
        <w:t xml:space="preserve"> beam peak direction </w:t>
      </w:r>
      <w:r>
        <w:rPr>
          <w:lang w:eastAsia="zh-CN"/>
        </w:rPr>
        <w:t xml:space="preserve">associated with a </w:t>
      </w:r>
      <w:r>
        <w:rPr>
          <w:i/>
          <w:lang w:eastAsia="zh-CN"/>
        </w:rPr>
        <w:t>beam direction pair</w:t>
      </w:r>
      <w:r>
        <w:rPr>
          <w:lang w:eastAsia="zh-CN"/>
        </w:rPr>
        <w:t xml:space="preserve"> within the</w:t>
      </w:r>
      <w:r>
        <w:rPr>
          <w:i/>
          <w:lang w:eastAsia="zh-CN"/>
        </w:rPr>
        <w:t xml:space="preserve"> OTA peak directions set</w:t>
      </w:r>
      <w:r>
        <w:rPr>
          <w:lang w:eastAsia="zh-CN"/>
        </w:rPr>
        <w:t xml:space="preserve">, a manufacturer claimed EIRP level in the corresponding </w:t>
      </w:r>
      <w:r>
        <w:rPr>
          <w:i/>
          <w:lang w:eastAsia="zh-CN"/>
        </w:rPr>
        <w:t>beam peak direction</w:t>
      </w:r>
      <w:r>
        <w:rPr>
          <w:lang w:eastAsia="zh-CN"/>
        </w:rPr>
        <w:t xml:space="preserve"> shall be achievable to within ±2.2 dB of the claimed value.</w:t>
      </w:r>
    </w:p>
    <w:p w14:paraId="5C4DA7E0" w14:textId="77777777" w:rsidR="00F162F1" w:rsidRDefault="00F162F1" w:rsidP="00F162F1">
      <w:pPr>
        <w:rPr>
          <w:lang w:eastAsia="zh-CN"/>
        </w:rPr>
      </w:pPr>
      <w:r>
        <w:rPr>
          <w:lang w:eastAsia="zh-CN"/>
        </w:rPr>
        <w:t xml:space="preserve">For </w:t>
      </w:r>
      <w:r>
        <w:rPr>
          <w:i/>
          <w:lang w:eastAsia="zh-CN"/>
        </w:rPr>
        <w:t>IAB type 1-O</w:t>
      </w:r>
      <w:r>
        <w:rPr>
          <w:lang w:eastAsia="zh-CN"/>
        </w:rPr>
        <w:t xml:space="preserve"> only, for each declared beam, in extreme conditions, for any specific</w:t>
      </w:r>
      <w:r>
        <w:rPr>
          <w:i/>
          <w:lang w:eastAsia="zh-CN"/>
        </w:rPr>
        <w:t xml:space="preserve"> beam peak direction </w:t>
      </w:r>
      <w:r>
        <w:rPr>
          <w:lang w:eastAsia="zh-CN"/>
        </w:rPr>
        <w:t xml:space="preserve">associated with a </w:t>
      </w:r>
      <w:r>
        <w:rPr>
          <w:i/>
          <w:lang w:eastAsia="zh-CN"/>
        </w:rPr>
        <w:t>beam direction pair</w:t>
      </w:r>
      <w:r>
        <w:rPr>
          <w:lang w:eastAsia="zh-CN"/>
        </w:rPr>
        <w:t xml:space="preserve"> within the </w:t>
      </w:r>
      <w:r>
        <w:rPr>
          <w:i/>
          <w:lang w:eastAsia="zh-CN"/>
        </w:rPr>
        <w:t>OTA peak directions set</w:t>
      </w:r>
      <w:r>
        <w:rPr>
          <w:lang w:eastAsia="zh-CN"/>
        </w:rPr>
        <w:t xml:space="preserve">, a manufacturer claimed EIRP level in the corresponding </w:t>
      </w:r>
      <w:r>
        <w:rPr>
          <w:i/>
          <w:lang w:eastAsia="zh-CN"/>
        </w:rPr>
        <w:t>beam peak direction</w:t>
      </w:r>
      <w:r>
        <w:rPr>
          <w:lang w:eastAsia="zh-CN"/>
        </w:rPr>
        <w:t xml:space="preserve"> shall be achievable to within ±2.7 dB of the claimed value.</w:t>
      </w:r>
    </w:p>
    <w:p w14:paraId="12C56D6B" w14:textId="397EA2E9" w:rsidR="00DA416D" w:rsidRDefault="00DA416D" w:rsidP="00DA416D">
      <w:pPr>
        <w:rPr>
          <w:lang w:eastAsia="zh-CN"/>
        </w:rPr>
      </w:pPr>
      <w:r>
        <w:t>Normal and extreme conditions are defined in TS 38.141-2 [21], annex B.</w:t>
      </w:r>
    </w:p>
    <w:p w14:paraId="223C8B3D" w14:textId="037CB547" w:rsidR="00D20C3C" w:rsidRDefault="00F162F1" w:rsidP="00121CA7">
      <w:r>
        <w:t>In certain regions, the minimum requirement for normal conditions may apply also for some conditions outside the range of conditions defined as normal.</w:t>
      </w:r>
    </w:p>
    <w:p w14:paraId="2019B2CE" w14:textId="3B70B74E" w:rsidR="004A36C5" w:rsidRDefault="004A36C5" w:rsidP="004A36C5">
      <w:pPr>
        <w:pStyle w:val="Heading3"/>
      </w:pPr>
      <w:bookmarkStart w:id="4012" w:name="_Toc53185427"/>
      <w:bookmarkStart w:id="4013" w:name="_Toc53185803"/>
      <w:bookmarkStart w:id="4014" w:name="_Toc57820288"/>
      <w:bookmarkStart w:id="4015" w:name="_Toc57821215"/>
      <w:bookmarkStart w:id="4016" w:name="_Toc61183491"/>
      <w:bookmarkStart w:id="4017" w:name="_Toc61183885"/>
      <w:bookmarkStart w:id="4018" w:name="_Toc61184277"/>
      <w:bookmarkStart w:id="4019" w:name="_Toc61184669"/>
      <w:bookmarkStart w:id="4020" w:name="_Toc61185059"/>
      <w:bookmarkStart w:id="4021" w:name="_Toc66386403"/>
      <w:bookmarkStart w:id="4022" w:name="_Toc74583306"/>
      <w:bookmarkStart w:id="4023" w:name="_Toc76542119"/>
      <w:bookmarkStart w:id="4024" w:name="_Toc82450101"/>
      <w:bookmarkStart w:id="4025" w:name="_Toc82450749"/>
      <w:bookmarkStart w:id="4026" w:name="_Toc89949138"/>
      <w:bookmarkStart w:id="4027" w:name="_Toc98755527"/>
      <w:bookmarkStart w:id="4028" w:name="_Toc98763118"/>
      <w:bookmarkStart w:id="4029" w:name="_Toc106184047"/>
      <w:r>
        <w:t>9.2.3</w:t>
      </w:r>
      <w:r w:rsidR="00815C5B">
        <w:tab/>
      </w:r>
      <w:r>
        <w:t>Minimum requirement for IAB-DU</w:t>
      </w:r>
      <w:r w:rsidRPr="00B15C29">
        <w:t xml:space="preserve"> type 2-O</w:t>
      </w:r>
      <w:r>
        <w:t xml:space="preserve"> and IAB-MT type 2-O</w:t>
      </w:r>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p>
    <w:p w14:paraId="14ED5471" w14:textId="77777777" w:rsidR="004A36C5" w:rsidRDefault="004A36C5" w:rsidP="004A36C5">
      <w:pPr>
        <w:rPr>
          <w:lang w:eastAsia="zh-CN"/>
        </w:rPr>
      </w:pPr>
      <w:r>
        <w:rPr>
          <w:lang w:eastAsia="zh-CN"/>
        </w:rPr>
        <w:t>For each declared beam, in normal conditions, for any specific</w:t>
      </w:r>
      <w:r>
        <w:rPr>
          <w:i/>
          <w:lang w:eastAsia="zh-CN"/>
        </w:rPr>
        <w:t xml:space="preserve"> beam peak direction </w:t>
      </w:r>
      <w:r>
        <w:rPr>
          <w:lang w:eastAsia="zh-CN"/>
        </w:rPr>
        <w:t xml:space="preserve">associated with a </w:t>
      </w:r>
      <w:r>
        <w:rPr>
          <w:i/>
          <w:lang w:eastAsia="zh-CN"/>
        </w:rPr>
        <w:t>beam direction pair</w:t>
      </w:r>
      <w:r>
        <w:rPr>
          <w:lang w:eastAsia="zh-CN"/>
        </w:rPr>
        <w:t xml:space="preserve"> within the </w:t>
      </w:r>
      <w:r>
        <w:rPr>
          <w:i/>
          <w:lang w:eastAsia="zh-CN"/>
        </w:rPr>
        <w:t>OTA peak directions set</w:t>
      </w:r>
      <w:r>
        <w:rPr>
          <w:lang w:eastAsia="zh-CN"/>
        </w:rPr>
        <w:t xml:space="preserve">, a manufacturer claimed EIRP level in the corresponding </w:t>
      </w:r>
      <w:r>
        <w:rPr>
          <w:i/>
          <w:lang w:eastAsia="zh-CN"/>
        </w:rPr>
        <w:t>beam peak direction</w:t>
      </w:r>
      <w:r>
        <w:rPr>
          <w:lang w:eastAsia="zh-CN"/>
        </w:rPr>
        <w:t xml:space="preserve"> shall be achievable to within ± 3.4 dB of the claimed value.</w:t>
      </w:r>
    </w:p>
    <w:p w14:paraId="6FCD3117" w14:textId="77777777" w:rsidR="004A36C5" w:rsidRDefault="004A36C5" w:rsidP="004A36C5">
      <w:pPr>
        <w:rPr>
          <w:lang w:eastAsia="zh-CN"/>
        </w:rPr>
      </w:pPr>
      <w:r>
        <w:rPr>
          <w:lang w:eastAsia="zh-CN"/>
        </w:rPr>
        <w:t>For each declared beam, in extreme conditions, for any specific</w:t>
      </w:r>
      <w:r>
        <w:rPr>
          <w:i/>
          <w:lang w:eastAsia="zh-CN"/>
        </w:rPr>
        <w:t xml:space="preserve"> beam peak direction </w:t>
      </w:r>
      <w:r>
        <w:rPr>
          <w:lang w:eastAsia="zh-CN"/>
        </w:rPr>
        <w:t xml:space="preserve">associated with a </w:t>
      </w:r>
      <w:r>
        <w:rPr>
          <w:i/>
          <w:lang w:eastAsia="zh-CN"/>
        </w:rPr>
        <w:t>beam direction pair</w:t>
      </w:r>
      <w:r>
        <w:rPr>
          <w:lang w:eastAsia="zh-CN"/>
        </w:rPr>
        <w:t xml:space="preserve"> within the </w:t>
      </w:r>
      <w:r>
        <w:rPr>
          <w:i/>
          <w:lang w:eastAsia="zh-CN"/>
        </w:rPr>
        <w:t>OTA peak directions set</w:t>
      </w:r>
      <w:r>
        <w:rPr>
          <w:lang w:eastAsia="zh-CN"/>
        </w:rPr>
        <w:t xml:space="preserve">, a manufacturer claimed EIRP level in the corresponding </w:t>
      </w:r>
      <w:r>
        <w:rPr>
          <w:i/>
          <w:lang w:eastAsia="zh-CN"/>
        </w:rPr>
        <w:t>beam peak direction</w:t>
      </w:r>
      <w:r>
        <w:rPr>
          <w:lang w:eastAsia="zh-CN"/>
        </w:rPr>
        <w:t xml:space="preserve"> shall be achievable to within ± 4.5 dB of the claimed value.</w:t>
      </w:r>
    </w:p>
    <w:p w14:paraId="5DE888C9" w14:textId="1253CFD3" w:rsidR="005B3785" w:rsidRDefault="005B3785" w:rsidP="005B3785">
      <w:pPr>
        <w:rPr>
          <w:lang w:eastAsia="zh-CN"/>
        </w:rPr>
      </w:pPr>
      <w:r>
        <w:t>Normal and extreme conditions are defined in TS 38.141-2 [21], annex B.</w:t>
      </w:r>
    </w:p>
    <w:p w14:paraId="17F731D5" w14:textId="3A0918D5" w:rsidR="004A36C5" w:rsidRDefault="004A36C5" w:rsidP="00121CA7">
      <w:r>
        <w:t>In certain regions, the minimum requirement for normal conditions may apply also for some conditions outside the range of conditions defined as normal.</w:t>
      </w:r>
    </w:p>
    <w:p w14:paraId="128C7C26" w14:textId="2C273776" w:rsidR="00C83BB2" w:rsidRPr="00C83BB2" w:rsidRDefault="00C83BB2" w:rsidP="00815C5B">
      <w:pPr>
        <w:pStyle w:val="Heading3"/>
        <w:rPr>
          <w:rFonts w:eastAsia="MS Mincho"/>
          <w:lang w:eastAsia="fi-FI"/>
        </w:rPr>
      </w:pPr>
      <w:bookmarkStart w:id="4030" w:name="_Toc53185428"/>
      <w:bookmarkStart w:id="4031" w:name="_Toc53185804"/>
      <w:bookmarkStart w:id="4032" w:name="_Toc57820289"/>
      <w:bookmarkStart w:id="4033" w:name="_Toc57821216"/>
      <w:bookmarkStart w:id="4034" w:name="_Toc61183492"/>
      <w:bookmarkStart w:id="4035" w:name="_Toc61183886"/>
      <w:bookmarkStart w:id="4036" w:name="_Toc61184278"/>
      <w:bookmarkStart w:id="4037" w:name="_Toc61184670"/>
      <w:bookmarkStart w:id="4038" w:name="_Toc61185060"/>
      <w:bookmarkStart w:id="4039" w:name="_Toc66386404"/>
      <w:bookmarkStart w:id="4040" w:name="_Toc74583307"/>
      <w:bookmarkStart w:id="4041" w:name="_Toc76542120"/>
      <w:bookmarkStart w:id="4042" w:name="_Toc82450102"/>
      <w:bookmarkStart w:id="4043" w:name="_Toc82450750"/>
      <w:bookmarkStart w:id="4044" w:name="_Toc89949139"/>
      <w:bookmarkStart w:id="4045" w:name="_Toc98755528"/>
      <w:bookmarkStart w:id="4046" w:name="_Toc98763119"/>
      <w:bookmarkStart w:id="4047" w:name="_Toc106184048"/>
      <w:r w:rsidRPr="00C83BB2">
        <w:rPr>
          <w:rFonts w:eastAsia="MS Mincho"/>
        </w:rPr>
        <w:t>9.2.</w:t>
      </w:r>
      <w:r w:rsidR="000E3494">
        <w:rPr>
          <w:rFonts w:eastAsia="MS Mincho"/>
        </w:rPr>
        <w:t>4</w:t>
      </w:r>
      <w:r w:rsidRPr="00C83BB2">
        <w:rPr>
          <w:rFonts w:eastAsia="MS Mincho"/>
        </w:rPr>
        <w:tab/>
        <w:t>Configured radiated output power</w:t>
      </w:r>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p>
    <w:p w14:paraId="32836F2F" w14:textId="6D4E1C7D" w:rsidR="00C83BB2" w:rsidRPr="00C83BB2" w:rsidRDefault="00C83BB2" w:rsidP="00815C5B">
      <w:pPr>
        <w:pStyle w:val="Heading4"/>
        <w:rPr>
          <w:rFonts w:eastAsia="MS Mincho"/>
        </w:rPr>
      </w:pPr>
      <w:bookmarkStart w:id="4048" w:name="_Toc53185429"/>
      <w:bookmarkStart w:id="4049" w:name="_Toc53185805"/>
      <w:bookmarkStart w:id="4050" w:name="_Toc57820290"/>
      <w:bookmarkStart w:id="4051" w:name="_Toc57821217"/>
      <w:bookmarkStart w:id="4052" w:name="_Toc61183493"/>
      <w:bookmarkStart w:id="4053" w:name="_Toc61183887"/>
      <w:bookmarkStart w:id="4054" w:name="_Toc61184279"/>
      <w:bookmarkStart w:id="4055" w:name="_Toc61184671"/>
      <w:bookmarkStart w:id="4056" w:name="_Toc61185061"/>
      <w:bookmarkStart w:id="4057" w:name="_Toc66386405"/>
      <w:bookmarkStart w:id="4058" w:name="_Toc74583308"/>
      <w:bookmarkStart w:id="4059" w:name="_Toc76542121"/>
      <w:bookmarkStart w:id="4060" w:name="_Toc82450103"/>
      <w:bookmarkStart w:id="4061" w:name="_Toc82450751"/>
      <w:bookmarkStart w:id="4062" w:name="_Toc89949140"/>
      <w:bookmarkStart w:id="4063" w:name="_Toc98755529"/>
      <w:bookmarkStart w:id="4064" w:name="_Toc98763120"/>
      <w:bookmarkStart w:id="4065" w:name="_Toc106184049"/>
      <w:r w:rsidRPr="00C83BB2">
        <w:rPr>
          <w:rFonts w:eastAsia="MS Mincho"/>
        </w:rPr>
        <w:t>9.2.</w:t>
      </w:r>
      <w:r w:rsidR="000E3494">
        <w:rPr>
          <w:rFonts w:eastAsia="MS Mincho"/>
        </w:rPr>
        <w:t>4</w:t>
      </w:r>
      <w:r w:rsidRPr="00C83BB2">
        <w:rPr>
          <w:rFonts w:eastAsia="MS Mincho"/>
        </w:rPr>
        <w:t>.1</w:t>
      </w:r>
      <w:r w:rsidRPr="00C83BB2">
        <w:rPr>
          <w:rFonts w:eastAsia="MS Mincho"/>
        </w:rPr>
        <w:tab/>
      </w:r>
      <w:r>
        <w:rPr>
          <w:rFonts w:eastAsia="MS Mincho"/>
        </w:rPr>
        <w:t xml:space="preserve">IAB-MT </w:t>
      </w:r>
      <w:r w:rsidRPr="00C83BB2">
        <w:rPr>
          <w:rFonts w:eastAsia="MS Mincho"/>
        </w:rPr>
        <w:t>configured output power</w:t>
      </w:r>
      <w:r>
        <w:rPr>
          <w:rFonts w:eastAsia="MS Mincho"/>
        </w:rPr>
        <w:t xml:space="preserve"> for IAB-MT type 1-H, 1-O and 2-O</w:t>
      </w:r>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p>
    <w:p w14:paraId="774D2C72" w14:textId="77777777" w:rsidR="00C83BB2" w:rsidRDefault="00C83BB2" w:rsidP="00C83BB2">
      <w:pPr>
        <w:pStyle w:val="B10"/>
        <w:ind w:left="0" w:firstLine="0"/>
      </w:pPr>
      <w:r w:rsidRPr="00E105F4">
        <w:t>The configured maximum output power P</w:t>
      </w:r>
      <w:r w:rsidRPr="00E105F4">
        <w:rPr>
          <w:vertAlign w:val="subscript"/>
        </w:rPr>
        <w:t>CMAX,f,c</w:t>
      </w:r>
      <w:r w:rsidRPr="00E105F4">
        <w:t xml:space="preserve"> </w:t>
      </w:r>
      <w:r>
        <w:t>is set in each slot</w:t>
      </w:r>
      <w:r w:rsidRPr="00E105F4">
        <w:t xml:space="preserve"> according to the following </w:t>
      </w:r>
      <w:r>
        <w:t>equation:</w:t>
      </w:r>
    </w:p>
    <w:p w14:paraId="66AF1177" w14:textId="3B27B998" w:rsidR="00C83BB2" w:rsidRDefault="00C83BB2" w:rsidP="00C83BB2">
      <w:pPr>
        <w:jc w:val="center"/>
        <w:rPr>
          <w:lang w:eastAsia="zh-CN"/>
        </w:rPr>
      </w:pPr>
      <w:r>
        <w:rPr>
          <w:lang w:eastAsia="zh-CN"/>
        </w:rPr>
        <w:t>P</w:t>
      </w:r>
      <w:r>
        <w:rPr>
          <w:vertAlign w:val="subscript"/>
          <w:lang w:eastAsia="zh-CN"/>
        </w:rPr>
        <w:t>CMAX,f,c</w:t>
      </w:r>
      <w:r>
        <w:rPr>
          <w:lang w:eastAsia="zh-CN"/>
        </w:rPr>
        <w:t xml:space="preserve"> = </w:t>
      </w:r>
      <w:r>
        <w:t>P</w:t>
      </w:r>
      <w:r>
        <w:rPr>
          <w:vertAlign w:val="subscript"/>
          <w:lang w:eastAsia="zh-CN"/>
        </w:rPr>
        <w:t>Rated,c,EIRP</w:t>
      </w:r>
    </w:p>
    <w:p w14:paraId="04BD8B8B" w14:textId="4D213FE7" w:rsidR="00C83BB2" w:rsidRPr="00D20C3C" w:rsidRDefault="00C83BB2" w:rsidP="00121CA7">
      <w:r>
        <w:t>where P</w:t>
      </w:r>
      <w:r>
        <w:rPr>
          <w:vertAlign w:val="subscript"/>
        </w:rPr>
        <w:t>Rated</w:t>
      </w:r>
      <w:r>
        <w:rPr>
          <w:vertAlign w:val="subscript"/>
          <w:lang w:eastAsia="zh-CN"/>
        </w:rPr>
        <w:t xml:space="preserve">,c,EIRP </w:t>
      </w:r>
      <w:r w:rsidRPr="00680798">
        <w:rPr>
          <w:lang w:eastAsia="zh-CN"/>
        </w:rPr>
        <w:t>is declared</w:t>
      </w:r>
      <w:r>
        <w:rPr>
          <w:vertAlign w:val="subscript"/>
          <w:lang w:eastAsia="zh-CN"/>
        </w:rPr>
        <w:t xml:space="preserve"> </w:t>
      </w:r>
      <w:r>
        <w:t xml:space="preserve">by manufacturer. </w:t>
      </w:r>
    </w:p>
    <w:p w14:paraId="1F3B542D" w14:textId="79DED950" w:rsidR="00CD1521" w:rsidRPr="005913F7" w:rsidRDefault="00077B6E" w:rsidP="00C60E58">
      <w:pPr>
        <w:pStyle w:val="Heading2"/>
        <w:rPr>
          <w:rFonts w:eastAsiaTheme="minorEastAsia"/>
          <w:lang w:eastAsia="zh-CN"/>
        </w:rPr>
      </w:pPr>
      <w:bookmarkStart w:id="4066" w:name="_Toc53185430"/>
      <w:bookmarkStart w:id="4067" w:name="_Toc53185806"/>
      <w:bookmarkStart w:id="4068" w:name="_Toc57820291"/>
      <w:bookmarkStart w:id="4069" w:name="_Toc57821218"/>
      <w:bookmarkStart w:id="4070" w:name="_Toc61183494"/>
      <w:bookmarkStart w:id="4071" w:name="_Toc61183888"/>
      <w:bookmarkStart w:id="4072" w:name="_Toc61184280"/>
      <w:bookmarkStart w:id="4073" w:name="_Toc61184672"/>
      <w:bookmarkStart w:id="4074" w:name="_Toc61185062"/>
      <w:bookmarkStart w:id="4075" w:name="_Toc66386406"/>
      <w:bookmarkStart w:id="4076" w:name="_Toc74583309"/>
      <w:bookmarkStart w:id="4077" w:name="_Toc76542122"/>
      <w:bookmarkStart w:id="4078" w:name="_Toc82450104"/>
      <w:bookmarkStart w:id="4079" w:name="_Toc82450752"/>
      <w:bookmarkStart w:id="4080" w:name="_Toc89949141"/>
      <w:bookmarkStart w:id="4081" w:name="_Toc98755530"/>
      <w:bookmarkStart w:id="4082" w:name="_Toc98763121"/>
      <w:bookmarkStart w:id="4083" w:name="_Toc106184050"/>
      <w:r w:rsidRPr="007E346D">
        <w:t>9.3</w:t>
      </w:r>
      <w:r w:rsidRPr="007E346D">
        <w:tab/>
      </w:r>
      <w:bookmarkEnd w:id="3992"/>
      <w:bookmarkEnd w:id="3993"/>
      <w:bookmarkEnd w:id="4066"/>
      <w:bookmarkEnd w:id="4067"/>
      <w:bookmarkEnd w:id="4068"/>
      <w:bookmarkEnd w:id="4069"/>
      <w:bookmarkEnd w:id="4070"/>
      <w:bookmarkEnd w:id="4071"/>
      <w:bookmarkEnd w:id="4072"/>
      <w:bookmarkEnd w:id="4073"/>
      <w:bookmarkEnd w:id="4074"/>
      <w:r w:rsidR="00736E81">
        <w:t xml:space="preserve">OTA </w:t>
      </w:r>
      <w:r w:rsidR="00736E81">
        <w:rPr>
          <w:rFonts w:hint="eastAsia"/>
          <w:lang w:eastAsia="zh-CN"/>
        </w:rPr>
        <w:t>IAB</w:t>
      </w:r>
      <w:r w:rsidR="00736E81" w:rsidRPr="007E346D">
        <w:t xml:space="preserve"> output power</w:t>
      </w:r>
      <w:bookmarkEnd w:id="4075"/>
      <w:bookmarkEnd w:id="4076"/>
      <w:bookmarkEnd w:id="4077"/>
      <w:bookmarkEnd w:id="4078"/>
      <w:bookmarkEnd w:id="4079"/>
      <w:bookmarkEnd w:id="4080"/>
      <w:bookmarkEnd w:id="4081"/>
      <w:bookmarkEnd w:id="4082"/>
      <w:bookmarkEnd w:id="4083"/>
    </w:p>
    <w:p w14:paraId="6F12DE45" w14:textId="73F72D31" w:rsidR="00692B3D" w:rsidRDefault="00692B3D" w:rsidP="00692B3D">
      <w:pPr>
        <w:pStyle w:val="Heading3"/>
      </w:pPr>
      <w:bookmarkStart w:id="4084" w:name="_Toc53185431"/>
      <w:bookmarkStart w:id="4085" w:name="_Toc53185807"/>
      <w:bookmarkStart w:id="4086" w:name="_Toc57820292"/>
      <w:bookmarkStart w:id="4087" w:name="_Toc57821219"/>
      <w:bookmarkStart w:id="4088" w:name="_Toc61183495"/>
      <w:bookmarkStart w:id="4089" w:name="_Toc61183889"/>
      <w:bookmarkStart w:id="4090" w:name="_Toc61184281"/>
      <w:bookmarkStart w:id="4091" w:name="_Toc61184673"/>
      <w:bookmarkStart w:id="4092" w:name="_Toc61185063"/>
      <w:bookmarkStart w:id="4093" w:name="_Toc66386407"/>
      <w:bookmarkStart w:id="4094" w:name="_Toc74583310"/>
      <w:bookmarkStart w:id="4095" w:name="_Toc76542123"/>
      <w:bookmarkStart w:id="4096" w:name="_Toc82450105"/>
      <w:bookmarkStart w:id="4097" w:name="_Toc82450753"/>
      <w:bookmarkStart w:id="4098" w:name="_Toc89949142"/>
      <w:bookmarkStart w:id="4099" w:name="_Toc98755531"/>
      <w:bookmarkStart w:id="4100" w:name="_Toc98763122"/>
      <w:bookmarkStart w:id="4101" w:name="_Toc106184051"/>
      <w:bookmarkStart w:id="4102" w:name="_Toc13080338"/>
      <w:bookmarkStart w:id="4103" w:name="_Toc18916185"/>
      <w:bookmarkStart w:id="4104" w:name="_Hlk500499328"/>
      <w:r>
        <w:t>9.3.1</w:t>
      </w:r>
      <w:r w:rsidR="00C60E58">
        <w:tab/>
      </w:r>
      <w:r w:rsidR="00E21C77">
        <w:t>General</w:t>
      </w:r>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p>
    <w:p w14:paraId="742CF27D" w14:textId="77777777" w:rsidR="00216BA5" w:rsidRDefault="00216BA5" w:rsidP="00216BA5">
      <w:pPr>
        <w:rPr>
          <w:lang w:eastAsia="zh-CN"/>
        </w:rPr>
      </w:pPr>
      <w:r>
        <w:rPr>
          <w:lang w:eastAsia="zh-CN"/>
        </w:rPr>
        <w:t xml:space="preserve">OTA IAB output power is declared as the TRP radiated requirement, with the output power accuracy requirement defined at the RIB </w:t>
      </w:r>
      <w:r>
        <w:rPr>
          <w:rFonts w:cs="v5.0.0"/>
          <w:snapToGrid w:val="0"/>
        </w:rPr>
        <w:t xml:space="preserve">during the </w:t>
      </w:r>
      <w:r>
        <w:rPr>
          <w:rFonts w:cs="v5.0.0"/>
          <w:i/>
          <w:snapToGrid w:val="0"/>
        </w:rPr>
        <w:t>transmitter ON period</w:t>
      </w:r>
      <w:r>
        <w:rPr>
          <w:lang w:eastAsia="zh-CN"/>
        </w:rPr>
        <w:t>.</w:t>
      </w:r>
      <w:r>
        <w:rPr>
          <w:lang w:val="en-US" w:eastAsia="zh-CN"/>
        </w:rPr>
        <w:t xml:space="preserve"> TRP does not change with beamforming settings as long as the </w:t>
      </w:r>
      <w:r>
        <w:rPr>
          <w:i/>
          <w:iCs/>
          <w:lang w:val="en-US" w:eastAsia="zh-CN"/>
        </w:rPr>
        <w:t>beam peak direction</w:t>
      </w:r>
      <w:r>
        <w:rPr>
          <w:lang w:val="en-US" w:eastAsia="zh-CN"/>
        </w:rPr>
        <w:t xml:space="preserve"> is within the </w:t>
      </w:r>
      <w:r>
        <w:rPr>
          <w:i/>
          <w:iCs/>
          <w:lang w:val="en-US" w:eastAsia="zh-CN"/>
        </w:rPr>
        <w:t>OTA peak directions set</w:t>
      </w:r>
      <w:r>
        <w:rPr>
          <w:lang w:val="en-US" w:eastAsia="zh-CN"/>
        </w:rPr>
        <w:t xml:space="preserve">. Thus the TRP accuracy requirement must be met for any beamforming setting for which the </w:t>
      </w:r>
      <w:r>
        <w:rPr>
          <w:i/>
          <w:iCs/>
          <w:lang w:val="en-US" w:eastAsia="zh-CN"/>
        </w:rPr>
        <w:t>beam peak direction</w:t>
      </w:r>
      <w:r>
        <w:rPr>
          <w:lang w:val="en-US" w:eastAsia="zh-CN"/>
        </w:rPr>
        <w:t xml:space="preserve"> is within the </w:t>
      </w:r>
      <w:r>
        <w:rPr>
          <w:i/>
          <w:iCs/>
          <w:lang w:val="en-US" w:eastAsia="zh-CN"/>
        </w:rPr>
        <w:t>OTA peak directions set</w:t>
      </w:r>
      <w:r>
        <w:rPr>
          <w:lang w:val="en-US" w:eastAsia="zh-CN"/>
        </w:rPr>
        <w:t>. Declarations are made separately for IAB-DU and IAB-MT.</w:t>
      </w:r>
    </w:p>
    <w:p w14:paraId="7B5F8CF5" w14:textId="77777777" w:rsidR="00216BA5" w:rsidRDefault="00216BA5" w:rsidP="00216BA5">
      <w:r>
        <w:t xml:space="preserve">The IAB </w:t>
      </w:r>
      <w:r>
        <w:rPr>
          <w:i/>
        </w:rPr>
        <w:t>rated carrier TRP output power</w:t>
      </w:r>
      <w:r>
        <w:t xml:space="preserve"> for </w:t>
      </w:r>
      <w:r>
        <w:rPr>
          <w:i/>
        </w:rPr>
        <w:t xml:space="preserve">IAB type 1-O </w:t>
      </w:r>
      <w:r>
        <w:t xml:space="preserve">shall be within limits as specified in table 9.3.1-1 for </w:t>
      </w:r>
      <w:r w:rsidRPr="00702051">
        <w:rPr>
          <w:i/>
          <w:iCs/>
        </w:rPr>
        <w:t>IAB-DU type 1-O</w:t>
      </w:r>
      <w:r>
        <w:t xml:space="preserve"> and in table 9.3.1-2 for </w:t>
      </w:r>
      <w:r w:rsidRPr="00702051">
        <w:rPr>
          <w:i/>
          <w:iCs/>
        </w:rPr>
        <w:t>IAB-MT type 1-O</w:t>
      </w:r>
      <w:r>
        <w:t>.</w:t>
      </w:r>
    </w:p>
    <w:p w14:paraId="1BAF9468" w14:textId="77777777" w:rsidR="00216BA5" w:rsidRDefault="00216BA5" w:rsidP="00216BA5">
      <w:pPr>
        <w:pStyle w:val="TH"/>
      </w:pPr>
      <w:r>
        <w:lastRenderedPageBreak/>
        <w:t xml:space="preserve">Table 9.3.1-1: IAB-DU </w:t>
      </w:r>
      <w:r>
        <w:rPr>
          <w:i/>
        </w:rPr>
        <w:t xml:space="preserve">rated carrier TRP output power </w:t>
      </w:r>
      <w:r>
        <w:t xml:space="preserve">limits for </w:t>
      </w:r>
      <w:r>
        <w:rPr>
          <w:i/>
        </w:rPr>
        <w:t>IAB-DU type 1-O</w:t>
      </w:r>
    </w:p>
    <w:tbl>
      <w:tblPr>
        <w:tblW w:w="0" w:type="auto"/>
        <w:jc w:val="center"/>
        <w:tblCellMar>
          <w:left w:w="0" w:type="dxa"/>
          <w:right w:w="0" w:type="dxa"/>
        </w:tblCellMar>
        <w:tblLook w:val="04A0" w:firstRow="1" w:lastRow="0" w:firstColumn="1" w:lastColumn="0" w:noHBand="0" w:noVBand="1"/>
      </w:tblPr>
      <w:tblGrid>
        <w:gridCol w:w="2632"/>
        <w:gridCol w:w="5508"/>
      </w:tblGrid>
      <w:tr w:rsidR="00216BA5" w14:paraId="7F56F0C4"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39DD27EF" w14:textId="77777777" w:rsidR="00216BA5" w:rsidRDefault="00216BA5" w:rsidP="00BD1F8C">
            <w:pPr>
              <w:pStyle w:val="TAH"/>
            </w:pPr>
            <w:r>
              <w:t>IAB-DU class</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7451C09B" w14:textId="77777777" w:rsidR="00216BA5" w:rsidRDefault="00216BA5" w:rsidP="00BD1F8C">
            <w:pPr>
              <w:pStyle w:val="TAH"/>
            </w:pPr>
            <w:r>
              <w:t>P</w:t>
            </w:r>
            <w:r>
              <w:rPr>
                <w:vertAlign w:val="subscript"/>
              </w:rPr>
              <w:t>rated,c,TRP</w:t>
            </w:r>
          </w:p>
        </w:tc>
      </w:tr>
      <w:tr w:rsidR="00216BA5" w14:paraId="26180790"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455F9626" w14:textId="77777777" w:rsidR="00216BA5" w:rsidRDefault="00216BA5" w:rsidP="00BD1F8C">
            <w:pPr>
              <w:pStyle w:val="TAC"/>
            </w:pPr>
            <w:r>
              <w:t xml:space="preserve">Wide Area IAB-DU </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7F100EE3" w14:textId="77777777" w:rsidR="00216BA5" w:rsidRDefault="00216BA5" w:rsidP="00BD1F8C">
            <w:pPr>
              <w:pStyle w:val="TAC"/>
            </w:pPr>
            <w:r>
              <w:t>(note)</w:t>
            </w:r>
          </w:p>
        </w:tc>
      </w:tr>
      <w:tr w:rsidR="00216BA5" w14:paraId="1F68753D"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02E6E4C6" w14:textId="77777777" w:rsidR="00216BA5" w:rsidRDefault="00216BA5" w:rsidP="00BD1F8C">
            <w:pPr>
              <w:pStyle w:val="TAC"/>
            </w:pPr>
            <w:r>
              <w:t>Medium Range IAB-DU</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6EE34204" w14:textId="77777777" w:rsidR="00216BA5" w:rsidRDefault="00216BA5" w:rsidP="00BD1F8C">
            <w:pPr>
              <w:pStyle w:val="TAC"/>
            </w:pPr>
            <w:r>
              <w:t>≤ + 47 dBm</w:t>
            </w:r>
          </w:p>
        </w:tc>
      </w:tr>
      <w:tr w:rsidR="00216BA5" w14:paraId="3D7527FE"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05667137" w14:textId="77777777" w:rsidR="00216BA5" w:rsidRDefault="00216BA5" w:rsidP="00BD1F8C">
            <w:pPr>
              <w:pStyle w:val="TAC"/>
            </w:pPr>
            <w:r>
              <w:t>Local Area IAB-DU</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46120C78" w14:textId="77777777" w:rsidR="00216BA5" w:rsidRDefault="00216BA5" w:rsidP="00BD1F8C">
            <w:pPr>
              <w:pStyle w:val="TAC"/>
            </w:pPr>
            <w:r>
              <w:t>≤ + 33 dBm</w:t>
            </w:r>
          </w:p>
        </w:tc>
      </w:tr>
      <w:tr w:rsidR="00216BA5" w:rsidRPr="00DD7617" w14:paraId="628031CD" w14:textId="77777777" w:rsidTr="00BD1F8C">
        <w:trPr>
          <w:jc w:val="center"/>
        </w:trPr>
        <w:tc>
          <w:tcPr>
            <w:tcW w:w="0" w:type="auto"/>
            <w:gridSpan w:val="2"/>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528C114A" w14:textId="77777777" w:rsidR="00216BA5" w:rsidRDefault="00216BA5" w:rsidP="00BD1F8C">
            <w:pPr>
              <w:pStyle w:val="TAN"/>
            </w:pPr>
            <w:r>
              <w:t>NOTE:</w:t>
            </w:r>
            <w:r>
              <w:tab/>
              <w:t xml:space="preserve">There is no upper limit for the </w:t>
            </w:r>
            <w:r>
              <w:rPr>
                <w:bCs/>
              </w:rPr>
              <w:t>P</w:t>
            </w:r>
            <w:r>
              <w:rPr>
                <w:bCs/>
                <w:vertAlign w:val="subscript"/>
              </w:rPr>
              <w:t>rated,c,TRP</w:t>
            </w:r>
            <w:r>
              <w:t xml:space="preserve"> of the Wide Area IAB-DU</w:t>
            </w:r>
          </w:p>
        </w:tc>
      </w:tr>
    </w:tbl>
    <w:p w14:paraId="6B037138" w14:textId="77777777" w:rsidR="00216BA5" w:rsidRDefault="00216BA5" w:rsidP="00216BA5">
      <w:pPr>
        <w:rPr>
          <w:lang w:eastAsia="zh-CN"/>
        </w:rPr>
      </w:pPr>
    </w:p>
    <w:p w14:paraId="7E1B52D2" w14:textId="77777777" w:rsidR="00216BA5" w:rsidRDefault="00216BA5" w:rsidP="00216BA5">
      <w:pPr>
        <w:pStyle w:val="TH"/>
      </w:pPr>
      <w:r>
        <w:t xml:space="preserve">Table 9.3.1-2: IAB-MT </w:t>
      </w:r>
      <w:r>
        <w:rPr>
          <w:i/>
        </w:rPr>
        <w:t xml:space="preserve">rated carrier TRP output power </w:t>
      </w:r>
      <w:r>
        <w:t xml:space="preserve">limits for </w:t>
      </w:r>
      <w:r>
        <w:rPr>
          <w:i/>
        </w:rPr>
        <w:t>IAB-MT type 1-O</w:t>
      </w:r>
    </w:p>
    <w:tbl>
      <w:tblPr>
        <w:tblW w:w="0" w:type="auto"/>
        <w:jc w:val="center"/>
        <w:tblCellMar>
          <w:left w:w="0" w:type="dxa"/>
          <w:right w:w="0" w:type="dxa"/>
        </w:tblCellMar>
        <w:tblLook w:val="04A0" w:firstRow="1" w:lastRow="0" w:firstColumn="1" w:lastColumn="0" w:noHBand="0" w:noVBand="1"/>
      </w:tblPr>
      <w:tblGrid>
        <w:gridCol w:w="2632"/>
        <w:gridCol w:w="5508"/>
      </w:tblGrid>
      <w:tr w:rsidR="00216BA5" w14:paraId="09E0AA0A"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79454EA0" w14:textId="77777777" w:rsidR="00216BA5" w:rsidRDefault="00216BA5" w:rsidP="00BD1F8C">
            <w:pPr>
              <w:pStyle w:val="TAH"/>
            </w:pPr>
            <w:r>
              <w:t>IAB-MT class</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72E65891" w14:textId="77777777" w:rsidR="00216BA5" w:rsidRDefault="00216BA5" w:rsidP="00BD1F8C">
            <w:pPr>
              <w:pStyle w:val="TAH"/>
            </w:pPr>
            <w:r>
              <w:t>P</w:t>
            </w:r>
            <w:r>
              <w:rPr>
                <w:vertAlign w:val="subscript"/>
              </w:rPr>
              <w:t>rated,c,TRP</w:t>
            </w:r>
          </w:p>
        </w:tc>
      </w:tr>
      <w:tr w:rsidR="00216BA5" w14:paraId="77DCF3F5"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0AE802C0" w14:textId="77777777" w:rsidR="00216BA5" w:rsidRDefault="00216BA5" w:rsidP="00BD1F8C">
            <w:pPr>
              <w:pStyle w:val="TAC"/>
            </w:pPr>
            <w:r>
              <w:t xml:space="preserve">Wide Area IAB-MT </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01BE2D4F" w14:textId="77777777" w:rsidR="00216BA5" w:rsidRDefault="00216BA5" w:rsidP="00BD1F8C">
            <w:pPr>
              <w:pStyle w:val="TAC"/>
            </w:pPr>
            <w:r>
              <w:t>(note)</w:t>
            </w:r>
          </w:p>
        </w:tc>
      </w:tr>
      <w:tr w:rsidR="00216BA5" w14:paraId="7F4B5923" w14:textId="77777777" w:rsidTr="00BD1F8C">
        <w:trPr>
          <w:jc w:val="center"/>
        </w:trPr>
        <w:tc>
          <w:tcPr>
            <w:tcW w:w="2632"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tcPr>
          <w:p w14:paraId="7287EA0D" w14:textId="77777777" w:rsidR="00216BA5" w:rsidRDefault="00216BA5" w:rsidP="00BD1F8C">
            <w:pPr>
              <w:pStyle w:val="TAC"/>
            </w:pPr>
            <w:r>
              <w:t>Local Area IAB-MT</w:t>
            </w:r>
          </w:p>
        </w:tc>
        <w:tc>
          <w:tcPr>
            <w:tcW w:w="5508" w:type="dxa"/>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tcPr>
          <w:p w14:paraId="632AE2CA" w14:textId="77777777" w:rsidR="00216BA5" w:rsidRDefault="00216BA5" w:rsidP="00BD1F8C">
            <w:pPr>
              <w:pStyle w:val="TAC"/>
            </w:pPr>
            <w:r>
              <w:t xml:space="preserve">≤ 24 dBm </w:t>
            </w:r>
            <w:r>
              <w:rPr>
                <w:lang w:eastAsia="ja-JP"/>
              </w:rPr>
              <w:t>+ 10log(</w:t>
            </w:r>
            <w:r>
              <w:rPr>
                <w:rFonts w:eastAsia="MS Mincho"/>
                <w:iCs/>
                <w:lang w:eastAsia="ja-JP"/>
              </w:rPr>
              <w:t>N</w:t>
            </w:r>
            <w:r>
              <w:rPr>
                <w:rFonts w:eastAsia="MS Mincho"/>
                <w:iCs/>
                <w:vertAlign w:val="subscript"/>
                <w:lang w:eastAsia="ja-JP"/>
              </w:rPr>
              <w:t>TXU,counted</w:t>
            </w:r>
            <w:r>
              <w:rPr>
                <w:lang w:eastAsia="ja-JP"/>
              </w:rPr>
              <w:t>)</w:t>
            </w:r>
          </w:p>
        </w:tc>
      </w:tr>
      <w:tr w:rsidR="00216BA5" w:rsidRPr="00DD7617" w14:paraId="20D6C50D" w14:textId="77777777" w:rsidTr="00BD1F8C">
        <w:trPr>
          <w:jc w:val="center"/>
        </w:trPr>
        <w:tc>
          <w:tcPr>
            <w:tcW w:w="0" w:type="auto"/>
            <w:gridSpan w:val="2"/>
            <w:tcBorders>
              <w:top w:val="single" w:sz="6" w:space="0" w:color="000000"/>
              <w:left w:val="single" w:sz="6" w:space="0" w:color="000000"/>
              <w:bottom w:val="single" w:sz="6" w:space="0" w:color="000000"/>
              <w:right w:val="single" w:sz="6" w:space="0" w:color="000000"/>
            </w:tcBorders>
            <w:tcMar>
              <w:top w:w="15" w:type="dxa"/>
              <w:left w:w="28" w:type="dxa"/>
              <w:bottom w:w="0" w:type="dxa"/>
              <w:right w:w="108" w:type="dxa"/>
            </w:tcMar>
            <w:hideMark/>
          </w:tcPr>
          <w:p w14:paraId="08A79A4A" w14:textId="77777777" w:rsidR="00216BA5" w:rsidRDefault="00216BA5" w:rsidP="00BD1F8C">
            <w:pPr>
              <w:pStyle w:val="TAN"/>
            </w:pPr>
            <w:r>
              <w:t>NOTE:</w:t>
            </w:r>
            <w:r>
              <w:tab/>
              <w:t xml:space="preserve">There is no upper limit for the </w:t>
            </w:r>
            <w:r>
              <w:rPr>
                <w:bCs/>
              </w:rPr>
              <w:t>P</w:t>
            </w:r>
            <w:r>
              <w:rPr>
                <w:bCs/>
                <w:vertAlign w:val="subscript"/>
              </w:rPr>
              <w:t>rated,c,TRP</w:t>
            </w:r>
            <w:r>
              <w:t xml:space="preserve"> of the Wide Area IAB-MT.</w:t>
            </w:r>
          </w:p>
        </w:tc>
      </w:tr>
    </w:tbl>
    <w:p w14:paraId="6A525817" w14:textId="77777777" w:rsidR="00216BA5" w:rsidRDefault="00216BA5" w:rsidP="00216BA5">
      <w:pPr>
        <w:rPr>
          <w:lang w:eastAsia="zh-CN"/>
        </w:rPr>
      </w:pPr>
    </w:p>
    <w:p w14:paraId="740A586C" w14:textId="77777777" w:rsidR="00216BA5" w:rsidRDefault="00216BA5" w:rsidP="00216BA5">
      <w:pPr>
        <w:rPr>
          <w:lang w:eastAsia="zh-CN"/>
        </w:rPr>
      </w:pPr>
      <w:r>
        <w:t xml:space="preserve">There is no upper limit for the </w:t>
      </w:r>
      <w:r>
        <w:rPr>
          <w:i/>
          <w:lang w:eastAsia="zh-CN"/>
        </w:rPr>
        <w:t>rated carrier TRP output power</w:t>
      </w:r>
      <w:r>
        <w:rPr>
          <w:lang w:eastAsia="zh-CN"/>
        </w:rPr>
        <w:t xml:space="preserve"> of </w:t>
      </w:r>
      <w:r>
        <w:rPr>
          <w:i/>
          <w:lang w:eastAsia="zh-CN"/>
        </w:rPr>
        <w:t>IAB type 2-O</w:t>
      </w:r>
      <w:r>
        <w:rPr>
          <w:lang w:eastAsia="zh-CN"/>
        </w:rPr>
        <w:t>.</w:t>
      </w:r>
    </w:p>
    <w:p w14:paraId="4BEF20EB" w14:textId="77777777" w:rsidR="00216BA5" w:rsidRDefault="00216BA5" w:rsidP="00216BA5">
      <w:pPr>
        <w:rPr>
          <w:lang w:eastAsia="zh-CN"/>
        </w:rPr>
      </w:pPr>
      <w:r>
        <w:rPr>
          <w:lang w:eastAsia="zh-CN"/>
        </w:rPr>
        <w:t>Despite the general requirements for the IAB output power described in clauses 9.3.2 – 9.3.3, additional regional requirements might be applicable.</w:t>
      </w:r>
    </w:p>
    <w:p w14:paraId="2F4E40E9" w14:textId="01580ACA" w:rsidR="00DE3F78" w:rsidRPr="00DE3F78" w:rsidRDefault="00216BA5" w:rsidP="00C91B26">
      <w:pPr>
        <w:pStyle w:val="NO"/>
      </w:pPr>
      <w:r>
        <w:t>NOTE:</w:t>
      </w:r>
      <w:r>
        <w:tab/>
        <w:t xml:space="preserve">In certain regions, power limits corresponding to IAB classes may apply for </w:t>
      </w:r>
      <w:r>
        <w:rPr>
          <w:i/>
        </w:rPr>
        <w:t>IAB type 2-O</w:t>
      </w:r>
      <w:r>
        <w:t>.</w:t>
      </w:r>
    </w:p>
    <w:p w14:paraId="24245809" w14:textId="5EBDB10E" w:rsidR="00DE3F78" w:rsidRDefault="00DE3F78">
      <w:pPr>
        <w:pStyle w:val="Heading3"/>
      </w:pPr>
      <w:bookmarkStart w:id="4105" w:name="_Toc53185432"/>
      <w:bookmarkStart w:id="4106" w:name="_Toc53185808"/>
      <w:bookmarkStart w:id="4107" w:name="_Toc57820293"/>
      <w:bookmarkStart w:id="4108" w:name="_Toc57821220"/>
      <w:bookmarkStart w:id="4109" w:name="_Toc61183496"/>
      <w:bookmarkStart w:id="4110" w:name="_Toc61183890"/>
      <w:bookmarkStart w:id="4111" w:name="_Toc61184282"/>
      <w:bookmarkStart w:id="4112" w:name="_Toc61184674"/>
      <w:bookmarkStart w:id="4113" w:name="_Toc61185064"/>
      <w:bookmarkStart w:id="4114" w:name="_Toc66386408"/>
      <w:bookmarkStart w:id="4115" w:name="_Toc74583311"/>
      <w:bookmarkStart w:id="4116" w:name="_Toc76542124"/>
      <w:bookmarkStart w:id="4117" w:name="_Toc82450106"/>
      <w:bookmarkStart w:id="4118" w:name="_Toc82450754"/>
      <w:bookmarkStart w:id="4119" w:name="_Toc89949143"/>
      <w:bookmarkStart w:id="4120" w:name="_Toc98755532"/>
      <w:bookmarkStart w:id="4121" w:name="_Toc98763123"/>
      <w:bookmarkStart w:id="4122" w:name="_Toc106184052"/>
      <w:r>
        <w:t>9.3.2</w:t>
      </w:r>
      <w:r w:rsidR="00C60E58">
        <w:tab/>
      </w:r>
      <w:r w:rsidR="0098337B">
        <w:t xml:space="preserve">Minimum requirement for </w:t>
      </w:r>
      <w:r w:rsidR="0098337B" w:rsidRPr="00702051">
        <w:t>IAB</w:t>
      </w:r>
      <w:r w:rsidR="0098337B">
        <w:t>-DU</w:t>
      </w:r>
      <w:r w:rsidR="0098337B" w:rsidRPr="00702051">
        <w:t xml:space="preserve"> type 1-O</w:t>
      </w:r>
      <w:r w:rsidR="0098337B">
        <w:t xml:space="preserve"> and IAB-MT type 1-O</w:t>
      </w:r>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p>
    <w:p w14:paraId="7F5FED6F" w14:textId="77777777" w:rsidR="00D84E81" w:rsidRDefault="00D84E81" w:rsidP="00D84E81">
      <w:r>
        <w:t xml:space="preserve">In normal conditions, the </w:t>
      </w:r>
      <w:r>
        <w:rPr>
          <w:i/>
        </w:rPr>
        <w:t>IAB type 1-O</w:t>
      </w:r>
      <w:r>
        <w:t xml:space="preserve"> </w:t>
      </w:r>
      <w:r>
        <w:rPr>
          <w:i/>
        </w:rPr>
        <w:t>maximum carrier TRP output power</w:t>
      </w:r>
      <w:r>
        <w:t>, P</w:t>
      </w:r>
      <w:r>
        <w:rPr>
          <w:vertAlign w:val="subscript"/>
        </w:rPr>
        <w:t>max,c</w:t>
      </w:r>
      <w:r>
        <w:t>,</w:t>
      </w:r>
      <w:r>
        <w:rPr>
          <w:vertAlign w:val="subscript"/>
        </w:rPr>
        <w:t>TRP</w:t>
      </w:r>
      <w:r>
        <w:t xml:space="preserve"> measured at </w:t>
      </w:r>
      <w:r>
        <w:rPr>
          <w:lang w:eastAsia="zh-CN"/>
        </w:rPr>
        <w:t xml:space="preserve">the RIB </w:t>
      </w:r>
      <w:r>
        <w:t xml:space="preserve">shall remain within ±2 dB of the </w:t>
      </w:r>
      <w:r>
        <w:rPr>
          <w:i/>
        </w:rPr>
        <w:t>rated carrier TRP output power</w:t>
      </w:r>
      <w:r>
        <w:t xml:space="preserve"> P</w:t>
      </w:r>
      <w:r>
        <w:rPr>
          <w:vertAlign w:val="subscript"/>
        </w:rPr>
        <w:t>rated,c,TRP</w:t>
      </w:r>
      <w:r>
        <w:t>, as declared by the manufacturer.</w:t>
      </w:r>
    </w:p>
    <w:p w14:paraId="6EE168F3" w14:textId="578A2BD0" w:rsidR="0013541B" w:rsidRDefault="0013541B" w:rsidP="0013541B">
      <w:bookmarkStart w:id="4123" w:name="_Toc53185433"/>
      <w:bookmarkStart w:id="4124" w:name="_Toc53185809"/>
      <w:bookmarkStart w:id="4125" w:name="_Toc57820294"/>
      <w:bookmarkStart w:id="4126" w:name="_Toc57821221"/>
      <w:bookmarkStart w:id="4127" w:name="_Toc61183497"/>
      <w:bookmarkStart w:id="4128" w:name="_Toc61183891"/>
      <w:bookmarkStart w:id="4129" w:name="_Toc61184283"/>
      <w:bookmarkStart w:id="4130" w:name="_Toc61184675"/>
      <w:bookmarkStart w:id="4131" w:name="_Toc61185065"/>
      <w:r>
        <w:t>Normal conditions are defined in TS 38.141-1 [22], annex B.</w:t>
      </w:r>
    </w:p>
    <w:p w14:paraId="3E58EFB4" w14:textId="77777777" w:rsidR="0075549F" w:rsidRDefault="0075549F" w:rsidP="0075549F">
      <w:pPr>
        <w:pStyle w:val="Heading3"/>
      </w:pPr>
      <w:bookmarkStart w:id="4132" w:name="_Toc66386409"/>
      <w:bookmarkStart w:id="4133" w:name="_Toc74583312"/>
      <w:bookmarkStart w:id="4134" w:name="_Toc76542125"/>
      <w:bookmarkStart w:id="4135" w:name="_Toc82450107"/>
      <w:bookmarkStart w:id="4136" w:name="_Toc82450755"/>
      <w:bookmarkStart w:id="4137" w:name="_Toc89949144"/>
      <w:bookmarkStart w:id="4138" w:name="_Toc98755533"/>
      <w:bookmarkStart w:id="4139" w:name="_Toc98763124"/>
      <w:bookmarkStart w:id="4140" w:name="_Toc106184053"/>
      <w:r>
        <w:t>9.3.3</w:t>
      </w:r>
      <w:r>
        <w:tab/>
        <w:t xml:space="preserve">Minimum requirement for </w:t>
      </w:r>
      <w:r w:rsidRPr="00702051">
        <w:t>IAB type 2-O</w:t>
      </w:r>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p>
    <w:p w14:paraId="74F0A507" w14:textId="77777777" w:rsidR="0075549F" w:rsidRDefault="0075549F" w:rsidP="0075549F">
      <w:r>
        <w:t xml:space="preserve">In normal conditions, the </w:t>
      </w:r>
      <w:r>
        <w:rPr>
          <w:i/>
        </w:rPr>
        <w:t>IAB type 2-O</w:t>
      </w:r>
      <w:r>
        <w:t xml:space="preserve"> </w:t>
      </w:r>
      <w:r>
        <w:rPr>
          <w:i/>
        </w:rPr>
        <w:t>maximum carrier TRP output power</w:t>
      </w:r>
      <w:r>
        <w:t>, P</w:t>
      </w:r>
      <w:r>
        <w:rPr>
          <w:vertAlign w:val="subscript"/>
        </w:rPr>
        <w:t>max,c</w:t>
      </w:r>
      <w:r>
        <w:t>,</w:t>
      </w:r>
      <w:r>
        <w:rPr>
          <w:vertAlign w:val="subscript"/>
        </w:rPr>
        <w:t>TRP</w:t>
      </w:r>
      <w:r>
        <w:t xml:space="preserve"> measured at </w:t>
      </w:r>
      <w:r>
        <w:rPr>
          <w:lang w:val="en-US" w:eastAsia="zh-CN"/>
        </w:rPr>
        <w:t xml:space="preserve">the RIB </w:t>
      </w:r>
      <w:r>
        <w:t xml:space="preserve">shall remain within ±3 dB of the </w:t>
      </w:r>
      <w:r>
        <w:rPr>
          <w:i/>
        </w:rPr>
        <w:t>rated carrier TRP output power</w:t>
      </w:r>
      <w:r>
        <w:t xml:space="preserve"> P</w:t>
      </w:r>
      <w:r>
        <w:rPr>
          <w:vertAlign w:val="subscript"/>
        </w:rPr>
        <w:t>rated,c,TRP</w:t>
      </w:r>
      <w:r>
        <w:t>, as declared by the manufacturer.</w:t>
      </w:r>
    </w:p>
    <w:p w14:paraId="0CEE7802" w14:textId="558B8FA8" w:rsidR="00884F39" w:rsidRPr="00DE3F78" w:rsidRDefault="00884F39" w:rsidP="00884F39">
      <w:bookmarkStart w:id="4141" w:name="_Toc53185434"/>
      <w:bookmarkStart w:id="4142" w:name="_Toc53185810"/>
      <w:bookmarkStart w:id="4143" w:name="_Toc57820295"/>
      <w:bookmarkStart w:id="4144" w:name="_Toc57821222"/>
      <w:bookmarkStart w:id="4145" w:name="_Toc61183498"/>
      <w:bookmarkStart w:id="4146" w:name="_Toc61183892"/>
      <w:bookmarkStart w:id="4147" w:name="_Toc61184284"/>
      <w:bookmarkStart w:id="4148" w:name="_Toc61184676"/>
      <w:bookmarkStart w:id="4149" w:name="_Toc61185066"/>
      <w:r>
        <w:t>Normal conditions are defined in TS 38.141-2 [21], annex B.</w:t>
      </w:r>
    </w:p>
    <w:p w14:paraId="4218F7FF" w14:textId="44C42783" w:rsidR="00077B6E" w:rsidRDefault="00077B6E" w:rsidP="00077B6E">
      <w:pPr>
        <w:pStyle w:val="Heading2"/>
      </w:pPr>
      <w:bookmarkStart w:id="4150" w:name="_Toc66386410"/>
      <w:bookmarkStart w:id="4151" w:name="_Toc74583313"/>
      <w:bookmarkStart w:id="4152" w:name="_Toc76542126"/>
      <w:bookmarkStart w:id="4153" w:name="_Toc82450108"/>
      <w:bookmarkStart w:id="4154" w:name="_Toc82450756"/>
      <w:bookmarkStart w:id="4155" w:name="_Toc89949145"/>
      <w:bookmarkStart w:id="4156" w:name="_Toc98755534"/>
      <w:bookmarkStart w:id="4157" w:name="_Toc98763125"/>
      <w:bookmarkStart w:id="4158" w:name="_Toc106184054"/>
      <w:r w:rsidRPr="007E346D">
        <w:t>9.4</w:t>
      </w:r>
      <w:r w:rsidRPr="007E346D">
        <w:tab/>
        <w:t>OTA output power dynamics</w:t>
      </w:r>
      <w:bookmarkEnd w:id="4102"/>
      <w:bookmarkEnd w:id="4103"/>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p>
    <w:p w14:paraId="342C9559" w14:textId="16E5E8B5" w:rsidR="005A701A" w:rsidRPr="005A701A" w:rsidRDefault="005A701A" w:rsidP="005A701A">
      <w:pPr>
        <w:pStyle w:val="Heading3"/>
        <w:rPr>
          <w:lang w:eastAsia="en-US"/>
        </w:rPr>
      </w:pPr>
      <w:bookmarkStart w:id="4159" w:name="_Toc53185435"/>
      <w:bookmarkStart w:id="4160" w:name="_Toc53185811"/>
      <w:bookmarkStart w:id="4161" w:name="_Toc57820296"/>
      <w:bookmarkStart w:id="4162" w:name="_Toc57821223"/>
      <w:bookmarkStart w:id="4163" w:name="_Toc61183499"/>
      <w:bookmarkStart w:id="4164" w:name="_Toc61183893"/>
      <w:bookmarkStart w:id="4165" w:name="_Toc61184285"/>
      <w:bookmarkStart w:id="4166" w:name="_Toc61184677"/>
      <w:bookmarkStart w:id="4167" w:name="_Toc61185067"/>
      <w:bookmarkStart w:id="4168" w:name="_Toc66386411"/>
      <w:bookmarkStart w:id="4169" w:name="_Toc74583314"/>
      <w:bookmarkStart w:id="4170" w:name="_Toc76542127"/>
      <w:bookmarkStart w:id="4171" w:name="_Toc82450109"/>
      <w:bookmarkStart w:id="4172" w:name="_Toc82450757"/>
      <w:bookmarkStart w:id="4173" w:name="_Toc89949146"/>
      <w:bookmarkStart w:id="4174" w:name="_Toc98755535"/>
      <w:bookmarkStart w:id="4175" w:name="_Toc98763126"/>
      <w:bookmarkStart w:id="4176" w:name="_Toc106184055"/>
      <w:r>
        <w:rPr>
          <w:rFonts w:hint="eastAsia"/>
        </w:rPr>
        <w:t>9.</w:t>
      </w:r>
      <w:r>
        <w:t>4</w:t>
      </w:r>
      <w:r>
        <w:rPr>
          <w:rFonts w:hint="eastAsia"/>
        </w:rPr>
        <w:t>.</w:t>
      </w:r>
      <w:r>
        <w:t>1</w:t>
      </w:r>
      <w:r>
        <w:rPr>
          <w:rFonts w:hint="eastAsia"/>
        </w:rPr>
        <w:tab/>
      </w:r>
      <w:r>
        <w:t>IAB-DU OTA Output Power Dynamics</w:t>
      </w:r>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p>
    <w:p w14:paraId="5B253829" w14:textId="77777777" w:rsidR="0038091E" w:rsidRPr="00E26D09" w:rsidRDefault="0038091E" w:rsidP="0038091E">
      <w:pPr>
        <w:pStyle w:val="Heading4"/>
      </w:pPr>
      <w:bookmarkStart w:id="4177" w:name="_Toc21127629"/>
      <w:bookmarkStart w:id="4178" w:name="_Toc29811838"/>
      <w:bookmarkStart w:id="4179" w:name="_Toc53185436"/>
      <w:bookmarkStart w:id="4180" w:name="_Toc53185812"/>
      <w:bookmarkStart w:id="4181" w:name="_Toc57820297"/>
      <w:bookmarkStart w:id="4182" w:name="_Toc57821224"/>
      <w:bookmarkStart w:id="4183" w:name="_Toc61183500"/>
      <w:bookmarkStart w:id="4184" w:name="_Toc61183894"/>
      <w:bookmarkStart w:id="4185" w:name="_Toc61184286"/>
      <w:bookmarkStart w:id="4186" w:name="_Toc61184678"/>
      <w:bookmarkStart w:id="4187" w:name="_Toc61185068"/>
      <w:bookmarkStart w:id="4188" w:name="_Toc66386412"/>
      <w:bookmarkStart w:id="4189" w:name="_Toc74583315"/>
      <w:bookmarkStart w:id="4190" w:name="_Toc76542128"/>
      <w:bookmarkStart w:id="4191" w:name="_Toc82450110"/>
      <w:bookmarkStart w:id="4192" w:name="_Toc82450758"/>
      <w:bookmarkStart w:id="4193" w:name="_Toc89949147"/>
      <w:bookmarkStart w:id="4194" w:name="_Toc98755536"/>
      <w:bookmarkStart w:id="4195" w:name="_Toc98763127"/>
      <w:bookmarkStart w:id="4196" w:name="_Toc106184056"/>
      <w:bookmarkStart w:id="4197" w:name="_Hlk500499284"/>
      <w:r w:rsidRPr="00E26D09">
        <w:t>9.4.1</w:t>
      </w:r>
      <w:r>
        <w:t>.1</w:t>
      </w:r>
      <w:r w:rsidRPr="00E26D09">
        <w:tab/>
        <w:t>General</w:t>
      </w:r>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p>
    <w:p w14:paraId="3DE86712" w14:textId="77777777" w:rsidR="0038091E" w:rsidRPr="00E26D09" w:rsidRDefault="0038091E" w:rsidP="0038091E">
      <w:pPr>
        <w:rPr>
          <w:rFonts w:cs="v4.2.0"/>
        </w:rPr>
      </w:pPr>
      <w:r w:rsidRPr="00E26D09">
        <w:t xml:space="preserve">The requirements in </w:t>
      </w:r>
      <w:r>
        <w:t>clause</w:t>
      </w:r>
      <w:r w:rsidRPr="00E26D09">
        <w:t xml:space="preserve"> 9.4 apply during the </w:t>
      </w:r>
      <w:r w:rsidRPr="00E26D09">
        <w:rPr>
          <w:i/>
        </w:rPr>
        <w:t>transmitter ON period</w:t>
      </w:r>
      <w:r w:rsidRPr="00E26D09">
        <w:t xml:space="preserve">. </w:t>
      </w:r>
      <w:r w:rsidRPr="00E26D09">
        <w:rPr>
          <w:rFonts w:cs="v4.2.0"/>
        </w:rPr>
        <w:t xml:space="preserve">Transmit signal quality (as specified in </w:t>
      </w:r>
      <w:r>
        <w:rPr>
          <w:rFonts w:cs="v4.2.0"/>
        </w:rPr>
        <w:t>clause</w:t>
      </w:r>
      <w:r w:rsidRPr="00E26D09">
        <w:rPr>
          <w:rFonts w:cs="v4.2.0"/>
        </w:rPr>
        <w:t xml:space="preserve"> 9.6) shall be maintained for the o</w:t>
      </w:r>
      <w:r w:rsidRPr="00E26D09">
        <w:t>utput power dynamics requirements</w:t>
      </w:r>
      <w:r w:rsidRPr="00E26D09">
        <w:rPr>
          <w:rFonts w:cs="v4.2.0"/>
        </w:rPr>
        <w:t>.</w:t>
      </w:r>
    </w:p>
    <w:p w14:paraId="17C6DFC7" w14:textId="77777777" w:rsidR="0038091E" w:rsidRPr="00E26D09" w:rsidRDefault="0038091E" w:rsidP="0038091E">
      <w:r w:rsidRPr="00E26D09">
        <w:rPr>
          <w:rFonts w:cs="v4.2.0"/>
        </w:rPr>
        <w:t xml:space="preserve">The OTA output power requirements are </w:t>
      </w:r>
      <w:r w:rsidRPr="00E26D09">
        <w:rPr>
          <w:i/>
          <w:lang w:eastAsia="zh-CN"/>
        </w:rPr>
        <w:t>directional requirements</w:t>
      </w:r>
      <w:r w:rsidRPr="00E26D09">
        <w:rPr>
          <w:lang w:eastAsia="zh-CN"/>
        </w:rPr>
        <w:t xml:space="preserve"> and apply to </w:t>
      </w:r>
      <w:r w:rsidRPr="00E26D09">
        <w:t xml:space="preserve">the </w:t>
      </w:r>
      <w:r w:rsidRPr="00E26D09">
        <w:rPr>
          <w:i/>
        </w:rPr>
        <w:t>beam peak directions</w:t>
      </w:r>
      <w:r w:rsidRPr="00E26D09">
        <w:t xml:space="preserve"> over the </w:t>
      </w:r>
      <w:r w:rsidRPr="00E26D09">
        <w:rPr>
          <w:i/>
        </w:rPr>
        <w:t>OTA peak directions set</w:t>
      </w:r>
      <w:r w:rsidRPr="00E26D09">
        <w:t>.</w:t>
      </w:r>
    </w:p>
    <w:p w14:paraId="43839EA6" w14:textId="77777777" w:rsidR="0038091E" w:rsidRPr="00E26D09" w:rsidRDefault="0038091E" w:rsidP="0038091E">
      <w:pPr>
        <w:pStyle w:val="Heading4"/>
        <w:rPr>
          <w:lang w:eastAsia="zh-CN"/>
        </w:rPr>
      </w:pPr>
      <w:bookmarkStart w:id="4198" w:name="_Toc21127630"/>
      <w:bookmarkStart w:id="4199" w:name="_Toc29811839"/>
      <w:bookmarkStart w:id="4200" w:name="_Toc53185437"/>
      <w:bookmarkStart w:id="4201" w:name="_Toc53185813"/>
      <w:bookmarkStart w:id="4202" w:name="_Toc57820298"/>
      <w:bookmarkStart w:id="4203" w:name="_Toc57821225"/>
      <w:bookmarkStart w:id="4204" w:name="_Toc61183501"/>
      <w:bookmarkStart w:id="4205" w:name="_Toc61183895"/>
      <w:bookmarkStart w:id="4206" w:name="_Toc61184287"/>
      <w:bookmarkStart w:id="4207" w:name="_Toc61184679"/>
      <w:bookmarkStart w:id="4208" w:name="_Toc61185069"/>
      <w:bookmarkStart w:id="4209" w:name="_Toc66386413"/>
      <w:bookmarkStart w:id="4210" w:name="_Toc74583316"/>
      <w:bookmarkStart w:id="4211" w:name="_Toc76542129"/>
      <w:bookmarkStart w:id="4212" w:name="_Toc82450111"/>
      <w:bookmarkStart w:id="4213" w:name="_Toc82450759"/>
      <w:bookmarkStart w:id="4214" w:name="_Toc89949148"/>
      <w:bookmarkStart w:id="4215" w:name="_Toc98755537"/>
      <w:bookmarkStart w:id="4216" w:name="_Toc98763128"/>
      <w:bookmarkStart w:id="4217" w:name="_Toc106184057"/>
      <w:r w:rsidRPr="00E26D09">
        <w:t>9.4.</w:t>
      </w:r>
      <w:r>
        <w:t>1.</w:t>
      </w:r>
      <w:r w:rsidRPr="00E26D09">
        <w:t>2</w:t>
      </w:r>
      <w:r w:rsidRPr="00E26D09">
        <w:tab/>
        <w:t>OTA RE power control dynamic range</w:t>
      </w:r>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p>
    <w:p w14:paraId="2B6A197A" w14:textId="77777777" w:rsidR="0038091E" w:rsidRPr="00E26D09" w:rsidRDefault="0038091E" w:rsidP="0038091E">
      <w:pPr>
        <w:pStyle w:val="Heading5"/>
      </w:pPr>
      <w:bookmarkStart w:id="4218" w:name="_Toc21127631"/>
      <w:bookmarkStart w:id="4219" w:name="_Toc29811840"/>
      <w:bookmarkStart w:id="4220" w:name="_Toc53185438"/>
      <w:bookmarkStart w:id="4221" w:name="_Toc53185814"/>
      <w:bookmarkStart w:id="4222" w:name="_Toc57820299"/>
      <w:bookmarkStart w:id="4223" w:name="_Toc57821226"/>
      <w:bookmarkStart w:id="4224" w:name="_Toc61183502"/>
      <w:bookmarkStart w:id="4225" w:name="_Toc61183896"/>
      <w:bookmarkStart w:id="4226" w:name="_Toc61184288"/>
      <w:bookmarkStart w:id="4227" w:name="_Toc61184680"/>
      <w:bookmarkStart w:id="4228" w:name="_Toc61185070"/>
      <w:bookmarkStart w:id="4229" w:name="_Toc66386414"/>
      <w:bookmarkStart w:id="4230" w:name="_Toc74583317"/>
      <w:bookmarkStart w:id="4231" w:name="_Toc76542130"/>
      <w:bookmarkStart w:id="4232" w:name="_Toc82450112"/>
      <w:bookmarkStart w:id="4233" w:name="_Toc82450760"/>
      <w:bookmarkStart w:id="4234" w:name="_Toc89949149"/>
      <w:bookmarkStart w:id="4235" w:name="_Toc98755538"/>
      <w:bookmarkStart w:id="4236" w:name="_Toc98763129"/>
      <w:bookmarkStart w:id="4237" w:name="_Toc106184058"/>
      <w:r w:rsidRPr="00E26D09">
        <w:t>9.4.</w:t>
      </w:r>
      <w:r>
        <w:t>1.</w:t>
      </w:r>
      <w:r w:rsidRPr="00E26D09">
        <w:t>2.1</w:t>
      </w:r>
      <w:r w:rsidRPr="00E26D09">
        <w:tab/>
        <w:t>General</w:t>
      </w:r>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p>
    <w:p w14:paraId="206028A0" w14:textId="77777777" w:rsidR="0038091E" w:rsidRPr="00E26D09" w:rsidRDefault="0038091E" w:rsidP="0038091E">
      <w:pPr>
        <w:rPr>
          <w:rFonts w:cs="v5.0.0"/>
        </w:rPr>
      </w:pPr>
      <w:r w:rsidRPr="00E26D09">
        <w:t>The OTA RE power control dynamic range is t</w:t>
      </w:r>
      <w:r w:rsidRPr="00E26D09">
        <w:rPr>
          <w:rFonts w:cs="v5.0.0"/>
        </w:rPr>
        <w:t xml:space="preserve">he difference between the power of an RE and the </w:t>
      </w:r>
      <w:r w:rsidRPr="00E26D09">
        <w:t xml:space="preserve">average RE power for a BS at maximum output power </w:t>
      </w:r>
      <w:r w:rsidRPr="00E26D09">
        <w:rPr>
          <w:rFonts w:cs="v5.0.0"/>
        </w:rPr>
        <w:t>(</w:t>
      </w:r>
      <w:r w:rsidRPr="00E26D09">
        <w:t>P</w:t>
      </w:r>
      <w:r w:rsidRPr="00E26D09">
        <w:rPr>
          <w:vertAlign w:val="subscript"/>
        </w:rPr>
        <w:t>max</w:t>
      </w:r>
      <w:r w:rsidRPr="00E26D09">
        <w:rPr>
          <w:vertAlign w:val="subscript"/>
          <w:lang w:eastAsia="zh-CN"/>
        </w:rPr>
        <w:t>,c,EIRP</w:t>
      </w:r>
      <w:r w:rsidRPr="00E26D09">
        <w:t xml:space="preserve">) </w:t>
      </w:r>
      <w:r w:rsidRPr="00E26D09">
        <w:rPr>
          <w:rFonts w:cs="v5.0.0"/>
        </w:rPr>
        <w:t>for a specified reference condition.</w:t>
      </w:r>
    </w:p>
    <w:p w14:paraId="24034AA8" w14:textId="77777777" w:rsidR="0038091E" w:rsidRPr="00E26D09" w:rsidRDefault="0038091E" w:rsidP="0038091E">
      <w:r w:rsidRPr="00E26D09">
        <w:rPr>
          <w:rFonts w:cs="v5.0.0"/>
        </w:rPr>
        <w:t xml:space="preserve">This requirement shall apply at each RIB supporting transmission in the </w:t>
      </w:r>
      <w:r w:rsidRPr="00E26D09">
        <w:rPr>
          <w:rFonts w:cs="v5.0.0"/>
          <w:i/>
        </w:rPr>
        <w:t>operating band</w:t>
      </w:r>
      <w:r w:rsidRPr="00E26D09">
        <w:rPr>
          <w:rFonts w:cs="v5.0.0"/>
        </w:rPr>
        <w:t>.</w:t>
      </w:r>
    </w:p>
    <w:p w14:paraId="2D53E247" w14:textId="77777777" w:rsidR="0038091E" w:rsidRPr="00E26D09" w:rsidRDefault="0038091E" w:rsidP="0038091E">
      <w:pPr>
        <w:pStyle w:val="Heading5"/>
      </w:pPr>
      <w:bookmarkStart w:id="4238" w:name="_Toc21127632"/>
      <w:bookmarkStart w:id="4239" w:name="_Toc29811841"/>
      <w:bookmarkStart w:id="4240" w:name="_Toc53185439"/>
      <w:bookmarkStart w:id="4241" w:name="_Toc53185815"/>
      <w:bookmarkStart w:id="4242" w:name="_Toc57820300"/>
      <w:bookmarkStart w:id="4243" w:name="_Toc57821227"/>
      <w:bookmarkStart w:id="4244" w:name="_Toc61183503"/>
      <w:bookmarkStart w:id="4245" w:name="_Toc61183897"/>
      <w:bookmarkStart w:id="4246" w:name="_Toc61184289"/>
      <w:bookmarkStart w:id="4247" w:name="_Toc61184681"/>
      <w:bookmarkStart w:id="4248" w:name="_Toc61185071"/>
      <w:bookmarkStart w:id="4249" w:name="_Toc66386415"/>
      <w:bookmarkStart w:id="4250" w:name="_Toc74583318"/>
      <w:bookmarkStart w:id="4251" w:name="_Toc76542131"/>
      <w:bookmarkStart w:id="4252" w:name="_Toc82450113"/>
      <w:bookmarkStart w:id="4253" w:name="_Toc82450761"/>
      <w:bookmarkStart w:id="4254" w:name="_Toc89949150"/>
      <w:bookmarkStart w:id="4255" w:name="_Toc98755539"/>
      <w:bookmarkStart w:id="4256" w:name="_Toc98763130"/>
      <w:bookmarkStart w:id="4257" w:name="_Toc106184059"/>
      <w:r w:rsidRPr="00E26D09">
        <w:t>9.4</w:t>
      </w:r>
      <w:r>
        <w:t>.1</w:t>
      </w:r>
      <w:r w:rsidRPr="00E26D09">
        <w:t>.2.2</w:t>
      </w:r>
      <w:r w:rsidRPr="00E26D09">
        <w:tab/>
        <w:t xml:space="preserve">Minimum requirement for </w:t>
      </w:r>
      <w:r>
        <w:rPr>
          <w:i/>
        </w:rPr>
        <w:t>IAB-DU</w:t>
      </w:r>
      <w:r w:rsidRPr="00E26D09">
        <w:rPr>
          <w:i/>
        </w:rPr>
        <w:t xml:space="preserve"> type 1-O</w:t>
      </w:r>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p>
    <w:p w14:paraId="061C9011" w14:textId="70B73E37" w:rsidR="0038091E" w:rsidRPr="00E26D09" w:rsidRDefault="0038091E" w:rsidP="0038091E">
      <w:r w:rsidRPr="00E26D09">
        <w:t xml:space="preserve">The OTA RE power control dynamic range is specified the same as the conducted RE power control dynamic range requirement for </w:t>
      </w:r>
      <w:r>
        <w:t>BS</w:t>
      </w:r>
      <w:r w:rsidRPr="00E26D09">
        <w:rPr>
          <w:i/>
        </w:rPr>
        <w:t xml:space="preserve"> type 1-H</w:t>
      </w:r>
      <w:r w:rsidRPr="00E26D09">
        <w:t xml:space="preserve"> </w:t>
      </w:r>
      <w:r>
        <w:t>in TS 38.104x[</w:t>
      </w:r>
      <w:r w:rsidR="00353F81">
        <w:t>2</w:t>
      </w:r>
      <w:r>
        <w:t>], subclause 6.3.2.2</w:t>
      </w:r>
      <w:r w:rsidRPr="00E26D09">
        <w:t>.</w:t>
      </w:r>
    </w:p>
    <w:p w14:paraId="10CFA097" w14:textId="77777777" w:rsidR="0038091E" w:rsidRPr="00E26D09" w:rsidRDefault="0038091E" w:rsidP="0038091E">
      <w:pPr>
        <w:pStyle w:val="Heading4"/>
      </w:pPr>
      <w:bookmarkStart w:id="4258" w:name="_Toc21127633"/>
      <w:bookmarkStart w:id="4259" w:name="_Toc29811842"/>
      <w:bookmarkStart w:id="4260" w:name="_Toc53185440"/>
      <w:bookmarkStart w:id="4261" w:name="_Toc53185816"/>
      <w:bookmarkStart w:id="4262" w:name="_Toc57820301"/>
      <w:bookmarkStart w:id="4263" w:name="_Toc57821228"/>
      <w:bookmarkStart w:id="4264" w:name="_Toc61183504"/>
      <w:bookmarkStart w:id="4265" w:name="_Toc61183898"/>
      <w:bookmarkStart w:id="4266" w:name="_Toc61184290"/>
      <w:bookmarkStart w:id="4267" w:name="_Toc61184682"/>
      <w:bookmarkStart w:id="4268" w:name="_Toc61185072"/>
      <w:bookmarkStart w:id="4269" w:name="_Toc66386416"/>
      <w:bookmarkStart w:id="4270" w:name="_Toc74583319"/>
      <w:bookmarkStart w:id="4271" w:name="_Toc76542132"/>
      <w:bookmarkStart w:id="4272" w:name="_Toc82450114"/>
      <w:bookmarkStart w:id="4273" w:name="_Toc82450762"/>
      <w:bookmarkStart w:id="4274" w:name="_Toc89949151"/>
      <w:bookmarkStart w:id="4275" w:name="_Toc98755540"/>
      <w:bookmarkStart w:id="4276" w:name="_Toc98763131"/>
      <w:bookmarkStart w:id="4277" w:name="_Toc106184060"/>
      <w:r w:rsidRPr="00E26D09">
        <w:lastRenderedPageBreak/>
        <w:t>9.4.</w:t>
      </w:r>
      <w:r>
        <w:t>1.3</w:t>
      </w:r>
      <w:r w:rsidRPr="00E26D09">
        <w:tab/>
        <w:t>OTA total power dynamic range</w:t>
      </w:r>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p>
    <w:p w14:paraId="08506E1E" w14:textId="77777777" w:rsidR="0038091E" w:rsidRPr="00E26D09" w:rsidRDefault="0038091E" w:rsidP="0038091E">
      <w:pPr>
        <w:pStyle w:val="Heading5"/>
      </w:pPr>
      <w:bookmarkStart w:id="4278" w:name="_Toc21127634"/>
      <w:bookmarkStart w:id="4279" w:name="_Toc29811843"/>
      <w:bookmarkStart w:id="4280" w:name="_Toc53185441"/>
      <w:bookmarkStart w:id="4281" w:name="_Toc53185817"/>
      <w:bookmarkStart w:id="4282" w:name="_Toc57820302"/>
      <w:bookmarkStart w:id="4283" w:name="_Toc57821229"/>
      <w:bookmarkStart w:id="4284" w:name="_Toc61183505"/>
      <w:bookmarkStart w:id="4285" w:name="_Toc61183899"/>
      <w:bookmarkStart w:id="4286" w:name="_Toc61184291"/>
      <w:bookmarkStart w:id="4287" w:name="_Toc61184683"/>
      <w:bookmarkStart w:id="4288" w:name="_Toc61185073"/>
      <w:bookmarkStart w:id="4289" w:name="_Toc66386417"/>
      <w:bookmarkStart w:id="4290" w:name="_Toc74583320"/>
      <w:bookmarkStart w:id="4291" w:name="_Toc76542133"/>
      <w:bookmarkStart w:id="4292" w:name="_Toc82450115"/>
      <w:bookmarkStart w:id="4293" w:name="_Toc82450763"/>
      <w:bookmarkStart w:id="4294" w:name="_Toc89949152"/>
      <w:bookmarkStart w:id="4295" w:name="_Toc98755541"/>
      <w:bookmarkStart w:id="4296" w:name="_Toc98763132"/>
      <w:bookmarkStart w:id="4297" w:name="_Toc106184061"/>
      <w:r w:rsidRPr="00E26D09">
        <w:t>9.4.</w:t>
      </w:r>
      <w:r>
        <w:t>1.3.1</w:t>
      </w:r>
      <w:r w:rsidRPr="00E26D09">
        <w:tab/>
        <w:t>General</w:t>
      </w:r>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p>
    <w:p w14:paraId="109D1D4A" w14:textId="77777777" w:rsidR="0038091E" w:rsidRPr="00E26D09" w:rsidRDefault="0038091E" w:rsidP="0038091E">
      <w:r w:rsidRPr="00E26D09">
        <w:t>The OTA total power dynamic range is the difference between the maximum and the minimum transmit power of an OFDM symbol for a specified reference condition.</w:t>
      </w:r>
    </w:p>
    <w:p w14:paraId="76794FAF" w14:textId="77777777" w:rsidR="0038091E" w:rsidRPr="00E26D09" w:rsidRDefault="0038091E" w:rsidP="0038091E">
      <w:r w:rsidRPr="00E26D09">
        <w:t xml:space="preserve">This requirement shall apply at each RIB supporting transmission in the </w:t>
      </w:r>
      <w:r w:rsidRPr="00E26D09">
        <w:rPr>
          <w:i/>
        </w:rPr>
        <w:t>operating band</w:t>
      </w:r>
      <w:r w:rsidRPr="00E26D09">
        <w:t>.</w:t>
      </w:r>
    </w:p>
    <w:p w14:paraId="26F2E86F" w14:textId="77777777" w:rsidR="0038091E" w:rsidRPr="00E26D09" w:rsidRDefault="0038091E" w:rsidP="0038091E">
      <w:pPr>
        <w:pStyle w:val="NO"/>
      </w:pPr>
      <w:r w:rsidRPr="00E26D09">
        <w:t>NOTE 1:</w:t>
      </w:r>
      <w:r w:rsidRPr="00E26D09">
        <w:tab/>
        <w:t xml:space="preserve">The upper limit of the OTA total power dynamic range is the </w:t>
      </w:r>
      <w:r>
        <w:t>IAB-DU</w:t>
      </w:r>
      <w:r w:rsidRPr="00E26D09">
        <w:t xml:space="preserve"> maximum carrier EIRP (P</w:t>
      </w:r>
      <w:r w:rsidRPr="00E26D09">
        <w:rPr>
          <w:vertAlign w:val="subscript"/>
        </w:rPr>
        <w:t>max</w:t>
      </w:r>
      <w:r w:rsidRPr="00E26D09">
        <w:rPr>
          <w:vertAlign w:val="subscript"/>
          <w:lang w:eastAsia="zh-CN"/>
        </w:rPr>
        <w:t>,c,EIRP</w:t>
      </w:r>
      <w:r w:rsidRPr="00E26D09">
        <w:t xml:space="preserve">) </w:t>
      </w:r>
      <w:bookmarkStart w:id="4298" w:name="_Hlk528437478"/>
      <w:r w:rsidRPr="00E26D09">
        <w:t>when transmitting on all RBs</w:t>
      </w:r>
      <w:bookmarkEnd w:id="4298"/>
      <w:r w:rsidRPr="00E26D09">
        <w:t>. The lower limit of the OTA total power dynamic range is the average EIRP for single RB transmission in the same direction using the same beam. The OFDM symbol carries PDSCH and not contain RS or SSB.</w:t>
      </w:r>
    </w:p>
    <w:p w14:paraId="4FCBA78A" w14:textId="77777777" w:rsidR="0038091E" w:rsidRPr="00E26D09" w:rsidRDefault="0038091E" w:rsidP="0038091E">
      <w:pPr>
        <w:pStyle w:val="Heading5"/>
      </w:pPr>
      <w:bookmarkStart w:id="4299" w:name="_Toc21127635"/>
      <w:bookmarkStart w:id="4300" w:name="_Toc29811844"/>
      <w:bookmarkStart w:id="4301" w:name="_Toc53185442"/>
      <w:bookmarkStart w:id="4302" w:name="_Toc53185818"/>
      <w:bookmarkStart w:id="4303" w:name="_Toc57820303"/>
      <w:bookmarkStart w:id="4304" w:name="_Toc57821230"/>
      <w:bookmarkStart w:id="4305" w:name="_Toc61183506"/>
      <w:bookmarkStart w:id="4306" w:name="_Toc61183900"/>
      <w:bookmarkStart w:id="4307" w:name="_Toc61184292"/>
      <w:bookmarkStart w:id="4308" w:name="_Toc61184684"/>
      <w:bookmarkStart w:id="4309" w:name="_Toc61185074"/>
      <w:bookmarkStart w:id="4310" w:name="_Toc66386418"/>
      <w:bookmarkStart w:id="4311" w:name="_Toc74583321"/>
      <w:bookmarkStart w:id="4312" w:name="_Toc76542134"/>
      <w:bookmarkStart w:id="4313" w:name="_Toc82450116"/>
      <w:bookmarkStart w:id="4314" w:name="_Toc82450764"/>
      <w:bookmarkStart w:id="4315" w:name="_Toc89949153"/>
      <w:bookmarkStart w:id="4316" w:name="_Toc98755542"/>
      <w:bookmarkStart w:id="4317" w:name="_Toc98763133"/>
      <w:bookmarkStart w:id="4318" w:name="_Toc106184062"/>
      <w:r w:rsidRPr="00E26D09">
        <w:t>9.4.</w:t>
      </w:r>
      <w:r>
        <w:t>1.3.</w:t>
      </w:r>
      <w:r w:rsidRPr="00E26D09">
        <w:t>2</w:t>
      </w:r>
      <w:r w:rsidRPr="00E26D09">
        <w:tab/>
        <w:t xml:space="preserve">Minimum requirement for </w:t>
      </w:r>
      <w:r>
        <w:rPr>
          <w:i/>
        </w:rPr>
        <w:t>IAB-DU</w:t>
      </w:r>
      <w:r w:rsidRPr="00E26D09">
        <w:rPr>
          <w:i/>
        </w:rPr>
        <w:t xml:space="preserve"> type 1-O</w:t>
      </w:r>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p>
    <w:p w14:paraId="52E74255" w14:textId="5B2E703B" w:rsidR="0038091E" w:rsidRPr="00E26D09" w:rsidRDefault="0038091E" w:rsidP="0038091E">
      <w:r w:rsidRPr="00E26D09">
        <w:t xml:space="preserve">The </w:t>
      </w:r>
      <w:r>
        <w:t>OTA t</w:t>
      </w:r>
      <w:r w:rsidRPr="000C5861">
        <w:t>otal power dynamic range</w:t>
      </w:r>
      <w:r w:rsidRPr="00E26D09">
        <w:t xml:space="preserve"> is specified the same as the </w:t>
      </w:r>
      <w:r>
        <w:t>t</w:t>
      </w:r>
      <w:r w:rsidRPr="000C5861">
        <w:t>otal power dynamic range</w:t>
      </w:r>
      <w:r w:rsidRPr="00E26D09">
        <w:t xml:space="preserve"> requirement for </w:t>
      </w:r>
      <w:r>
        <w:t>BS</w:t>
      </w:r>
      <w:r w:rsidRPr="00E26D09">
        <w:rPr>
          <w:i/>
        </w:rPr>
        <w:t xml:space="preserve"> type 1-H</w:t>
      </w:r>
      <w:r w:rsidRPr="00E26D09">
        <w:t xml:space="preserve"> </w:t>
      </w:r>
      <w:r>
        <w:t>in TS 38.104x[</w:t>
      </w:r>
      <w:r w:rsidR="00353F81">
        <w:t>2</w:t>
      </w:r>
      <w:r>
        <w:t xml:space="preserve">], subclause 6.3.3.2, where references to </w:t>
      </w:r>
      <w:r w:rsidRPr="00A922D4">
        <w:rPr>
          <w:i/>
        </w:rPr>
        <w:t>BS channel bandwidth</w:t>
      </w:r>
      <w:r>
        <w:t xml:space="preserve"> apply to </w:t>
      </w:r>
      <w:r w:rsidRPr="00A922D4">
        <w:rPr>
          <w:i/>
        </w:rPr>
        <w:t>IAB-DU channel bandwidth</w:t>
      </w:r>
      <w:r>
        <w:t>.</w:t>
      </w:r>
    </w:p>
    <w:p w14:paraId="0CE8919F" w14:textId="77777777" w:rsidR="0038091E" w:rsidRPr="00E26D09" w:rsidRDefault="0038091E" w:rsidP="0038091E">
      <w:pPr>
        <w:pStyle w:val="Heading5"/>
      </w:pPr>
      <w:bookmarkStart w:id="4319" w:name="_Toc21127636"/>
      <w:bookmarkStart w:id="4320" w:name="_Toc29811845"/>
      <w:bookmarkStart w:id="4321" w:name="_Toc53185443"/>
      <w:bookmarkStart w:id="4322" w:name="_Toc53185819"/>
      <w:bookmarkStart w:id="4323" w:name="_Toc57820304"/>
      <w:bookmarkStart w:id="4324" w:name="_Toc57821231"/>
      <w:bookmarkStart w:id="4325" w:name="_Toc61183507"/>
      <w:bookmarkStart w:id="4326" w:name="_Toc61183901"/>
      <w:bookmarkStart w:id="4327" w:name="_Toc61184293"/>
      <w:bookmarkStart w:id="4328" w:name="_Toc61184685"/>
      <w:bookmarkStart w:id="4329" w:name="_Toc61185075"/>
      <w:bookmarkStart w:id="4330" w:name="_Toc66386419"/>
      <w:bookmarkStart w:id="4331" w:name="_Toc74583322"/>
      <w:bookmarkStart w:id="4332" w:name="_Toc76542135"/>
      <w:bookmarkStart w:id="4333" w:name="_Toc82450117"/>
      <w:bookmarkStart w:id="4334" w:name="_Toc82450765"/>
      <w:bookmarkStart w:id="4335" w:name="_Toc89949154"/>
      <w:bookmarkStart w:id="4336" w:name="_Toc98755543"/>
      <w:bookmarkStart w:id="4337" w:name="_Toc98763134"/>
      <w:bookmarkStart w:id="4338" w:name="_Toc106184063"/>
      <w:r w:rsidRPr="00E26D09">
        <w:t>9.4.</w:t>
      </w:r>
      <w:r>
        <w:t>1.3</w:t>
      </w:r>
      <w:r w:rsidRPr="00E26D09">
        <w:t>.3</w:t>
      </w:r>
      <w:r w:rsidRPr="00E26D09">
        <w:tab/>
        <w:t xml:space="preserve">Minimum requirement for </w:t>
      </w:r>
      <w:r>
        <w:rPr>
          <w:i/>
        </w:rPr>
        <w:t xml:space="preserve">IAB-DU </w:t>
      </w:r>
      <w:r w:rsidRPr="00E26D09">
        <w:rPr>
          <w:i/>
        </w:rPr>
        <w:t>type 2-O</w:t>
      </w:r>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p>
    <w:p w14:paraId="512732F7" w14:textId="78FAAB51" w:rsidR="0038091E" w:rsidRPr="00E26D09" w:rsidRDefault="0038091E" w:rsidP="0038091E">
      <w:r w:rsidRPr="00E26D09">
        <w:t xml:space="preserve">The </w:t>
      </w:r>
      <w:r>
        <w:t>OTA t</w:t>
      </w:r>
      <w:r w:rsidRPr="000C5861">
        <w:t>otal power dynamic range</w:t>
      </w:r>
      <w:r w:rsidRPr="00E26D09">
        <w:t xml:space="preserve"> is specified the same as the </w:t>
      </w:r>
      <w:r>
        <w:t>OTA t</w:t>
      </w:r>
      <w:r w:rsidRPr="000C5861">
        <w:t>otal power dynamic range</w:t>
      </w:r>
      <w:r w:rsidRPr="00E26D09">
        <w:t xml:space="preserve"> requirement for </w:t>
      </w:r>
      <w:r>
        <w:t>BS</w:t>
      </w:r>
      <w:r>
        <w:rPr>
          <w:i/>
        </w:rPr>
        <w:t xml:space="preserve"> type 2-O</w:t>
      </w:r>
      <w:r w:rsidRPr="00E26D09">
        <w:t xml:space="preserve"> </w:t>
      </w:r>
      <w:r>
        <w:t>in TS 38.104x[</w:t>
      </w:r>
      <w:r w:rsidR="00353F81">
        <w:t>2</w:t>
      </w:r>
      <w:r>
        <w:t>], subclause 9.4.3.3.</w:t>
      </w:r>
      <w:r w:rsidRPr="00E26D09">
        <w:t xml:space="preserve"> </w:t>
      </w:r>
    </w:p>
    <w:p w14:paraId="67DAFC07" w14:textId="3E6E4FD8" w:rsidR="0038091E" w:rsidRPr="00C31963" w:rsidRDefault="0038091E" w:rsidP="0038091E">
      <w:pPr>
        <w:pStyle w:val="Heading3"/>
      </w:pPr>
      <w:bookmarkStart w:id="4339" w:name="_Toc53185444"/>
      <w:bookmarkStart w:id="4340" w:name="_Toc53185820"/>
      <w:bookmarkStart w:id="4341" w:name="_Toc57820305"/>
      <w:bookmarkStart w:id="4342" w:name="_Toc57821232"/>
      <w:bookmarkStart w:id="4343" w:name="_Toc61183508"/>
      <w:bookmarkStart w:id="4344" w:name="_Toc61183902"/>
      <w:bookmarkStart w:id="4345" w:name="_Toc61184294"/>
      <w:bookmarkStart w:id="4346" w:name="_Toc61184686"/>
      <w:bookmarkStart w:id="4347" w:name="_Toc61185076"/>
      <w:bookmarkStart w:id="4348" w:name="_Toc66386420"/>
      <w:bookmarkStart w:id="4349" w:name="_Toc74583323"/>
      <w:bookmarkStart w:id="4350" w:name="_Toc76542136"/>
      <w:bookmarkStart w:id="4351" w:name="_Toc82450118"/>
      <w:bookmarkStart w:id="4352" w:name="_Toc82450766"/>
      <w:bookmarkStart w:id="4353" w:name="_Toc89949155"/>
      <w:bookmarkStart w:id="4354" w:name="_Toc98755544"/>
      <w:bookmarkStart w:id="4355" w:name="_Toc98763135"/>
      <w:bookmarkStart w:id="4356" w:name="_Toc106184064"/>
      <w:bookmarkEnd w:id="4197"/>
      <w:r>
        <w:rPr>
          <w:rFonts w:hint="eastAsia"/>
        </w:rPr>
        <w:t>9.</w:t>
      </w:r>
      <w:r>
        <w:t>4</w:t>
      </w:r>
      <w:r>
        <w:rPr>
          <w:rFonts w:hint="eastAsia"/>
        </w:rPr>
        <w:t>.</w:t>
      </w:r>
      <w:r>
        <w:t>2</w:t>
      </w:r>
      <w:r>
        <w:rPr>
          <w:rFonts w:hint="eastAsia"/>
        </w:rPr>
        <w:tab/>
      </w:r>
      <w:r>
        <w:t>IAB-M</w:t>
      </w:r>
      <w:r w:rsidR="00BF4DA8">
        <w:t>T</w:t>
      </w:r>
      <w:r>
        <w:t xml:space="preserve"> OTA Output Power Dynamics</w:t>
      </w:r>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p>
    <w:p w14:paraId="4AA0DB16" w14:textId="77777777" w:rsidR="00812F6B" w:rsidRPr="00E26D09" w:rsidRDefault="00812F6B" w:rsidP="00812F6B">
      <w:pPr>
        <w:pStyle w:val="Heading4"/>
      </w:pPr>
      <w:bookmarkStart w:id="4357" w:name="_Toc53185445"/>
      <w:bookmarkStart w:id="4358" w:name="_Toc53185821"/>
      <w:bookmarkStart w:id="4359" w:name="_Toc57820306"/>
      <w:bookmarkStart w:id="4360" w:name="_Toc57821233"/>
      <w:bookmarkStart w:id="4361" w:name="_Toc61183509"/>
      <w:bookmarkStart w:id="4362" w:name="_Toc61183903"/>
      <w:bookmarkStart w:id="4363" w:name="_Toc61184295"/>
      <w:bookmarkStart w:id="4364" w:name="_Toc61184687"/>
      <w:bookmarkStart w:id="4365" w:name="_Toc61185077"/>
      <w:bookmarkStart w:id="4366" w:name="_Toc66386421"/>
      <w:bookmarkStart w:id="4367" w:name="_Toc74583324"/>
      <w:bookmarkStart w:id="4368" w:name="_Toc76542137"/>
      <w:bookmarkStart w:id="4369" w:name="_Toc82450119"/>
      <w:bookmarkStart w:id="4370" w:name="_Toc82450767"/>
      <w:bookmarkStart w:id="4371" w:name="_Toc89949156"/>
      <w:bookmarkStart w:id="4372" w:name="_Toc98755545"/>
      <w:bookmarkStart w:id="4373" w:name="_Toc98763136"/>
      <w:bookmarkStart w:id="4374" w:name="_Toc106184065"/>
      <w:r w:rsidRPr="00E26D09">
        <w:t>9.4.</w:t>
      </w:r>
      <w:r>
        <w:t>2.1</w:t>
      </w:r>
      <w:r w:rsidRPr="00E26D09">
        <w:tab/>
        <w:t>OTA total power dynamic range</w:t>
      </w:r>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p>
    <w:p w14:paraId="1801B270" w14:textId="77777777" w:rsidR="00812F6B" w:rsidRPr="00E26D09" w:rsidRDefault="00812F6B" w:rsidP="00812F6B">
      <w:pPr>
        <w:pStyle w:val="Heading5"/>
      </w:pPr>
      <w:bookmarkStart w:id="4375" w:name="_Toc53185446"/>
      <w:bookmarkStart w:id="4376" w:name="_Toc53185822"/>
      <w:bookmarkStart w:id="4377" w:name="_Toc57820307"/>
      <w:bookmarkStart w:id="4378" w:name="_Toc57821234"/>
      <w:bookmarkStart w:id="4379" w:name="_Toc61183510"/>
      <w:bookmarkStart w:id="4380" w:name="_Toc61183904"/>
      <w:bookmarkStart w:id="4381" w:name="_Toc61184296"/>
      <w:bookmarkStart w:id="4382" w:name="_Toc61184688"/>
      <w:bookmarkStart w:id="4383" w:name="_Toc61185078"/>
      <w:bookmarkStart w:id="4384" w:name="_Toc66386422"/>
      <w:bookmarkStart w:id="4385" w:name="_Toc74583325"/>
      <w:bookmarkStart w:id="4386" w:name="_Toc76542138"/>
      <w:bookmarkStart w:id="4387" w:name="_Toc82450120"/>
      <w:bookmarkStart w:id="4388" w:name="_Toc82450768"/>
      <w:bookmarkStart w:id="4389" w:name="_Toc89949157"/>
      <w:bookmarkStart w:id="4390" w:name="_Toc98755546"/>
      <w:bookmarkStart w:id="4391" w:name="_Toc98763137"/>
      <w:bookmarkStart w:id="4392" w:name="_Toc106184066"/>
      <w:r w:rsidRPr="00E26D09">
        <w:t>9.4.</w:t>
      </w:r>
      <w:r>
        <w:t>2</w:t>
      </w:r>
      <w:r w:rsidRPr="00E26D09">
        <w:t>.1</w:t>
      </w:r>
      <w:r>
        <w:t>.1</w:t>
      </w:r>
      <w:r w:rsidRPr="00E26D09">
        <w:tab/>
        <w:t>General</w:t>
      </w:r>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p>
    <w:p w14:paraId="14272531" w14:textId="77777777" w:rsidR="00812F6B" w:rsidRDefault="00812F6B" w:rsidP="00812F6B">
      <w:r w:rsidRPr="00E26D09">
        <w:t>The OTA total power dynamic range is the difference between the maximum and the minimum</w:t>
      </w:r>
      <w:r>
        <w:t xml:space="preserve"> controlled</w:t>
      </w:r>
      <w:r w:rsidRPr="00E26D09">
        <w:t xml:space="preserve"> transmit power </w:t>
      </w:r>
      <w:r w:rsidRPr="001C0CC4">
        <w:t xml:space="preserve">in the channel bandwidth for </w:t>
      </w:r>
      <w:r>
        <w:t xml:space="preserve">a specified reference condition. The maximum and minimum </w:t>
      </w:r>
      <w:r w:rsidRPr="001C0CC4">
        <w:t>output power</w:t>
      </w:r>
      <w:r>
        <w:t>s</w:t>
      </w:r>
      <w:r w:rsidRPr="001C0CC4">
        <w:t xml:space="preserve"> </w:t>
      </w:r>
      <w:r>
        <w:t>are</w:t>
      </w:r>
      <w:r w:rsidRPr="001C0CC4">
        <w:t xml:space="preserve"> defined as the mean power in at least one sub-frame 1ms</w:t>
      </w:r>
    </w:p>
    <w:p w14:paraId="3CCA8C9D" w14:textId="3E8D2C41" w:rsidR="00812F6B" w:rsidRPr="00C704F1" w:rsidRDefault="00812F6B" w:rsidP="00812F6B">
      <w:pPr>
        <w:pStyle w:val="NO"/>
      </w:pPr>
      <w:r>
        <w:rPr>
          <w:rFonts w:hint="eastAsia"/>
        </w:rPr>
        <w:t>N</w:t>
      </w:r>
      <w:r>
        <w:t>ote. The specified reference condition(s) are specified in the conformance specification. Changes in the controlled transmit power in the channel bandwidth due to changes in the specified reference condition are not include as part of the dynamic range.</w:t>
      </w:r>
    </w:p>
    <w:p w14:paraId="127FB7CA" w14:textId="717CD515" w:rsidR="00812F6B" w:rsidRPr="00C704F1" w:rsidRDefault="00812F6B" w:rsidP="00812F6B">
      <w:r w:rsidRPr="00E26D09">
        <w:t xml:space="preserve">This requirement shall apply at each RIB supporting transmission in the </w:t>
      </w:r>
      <w:r w:rsidRPr="00E26D09">
        <w:rPr>
          <w:i/>
        </w:rPr>
        <w:t>operating band</w:t>
      </w:r>
      <w:r w:rsidRPr="00E26D09">
        <w:t>.</w:t>
      </w:r>
    </w:p>
    <w:p w14:paraId="48BA6D31" w14:textId="77777777" w:rsidR="00812F6B" w:rsidRPr="00E26D09" w:rsidRDefault="00812F6B" w:rsidP="00812F6B">
      <w:pPr>
        <w:pStyle w:val="Heading5"/>
      </w:pPr>
      <w:bookmarkStart w:id="4393" w:name="_Toc53185447"/>
      <w:bookmarkStart w:id="4394" w:name="_Toc53185823"/>
      <w:bookmarkStart w:id="4395" w:name="_Toc57820308"/>
      <w:bookmarkStart w:id="4396" w:name="_Toc57821235"/>
      <w:bookmarkStart w:id="4397" w:name="_Toc61183511"/>
      <w:bookmarkStart w:id="4398" w:name="_Toc61183905"/>
      <w:bookmarkStart w:id="4399" w:name="_Toc61184297"/>
      <w:bookmarkStart w:id="4400" w:name="_Toc61184689"/>
      <w:bookmarkStart w:id="4401" w:name="_Toc61185079"/>
      <w:bookmarkStart w:id="4402" w:name="_Toc66386423"/>
      <w:bookmarkStart w:id="4403" w:name="_Toc74583326"/>
      <w:bookmarkStart w:id="4404" w:name="_Toc76542139"/>
      <w:bookmarkStart w:id="4405" w:name="_Toc82450121"/>
      <w:bookmarkStart w:id="4406" w:name="_Toc82450769"/>
      <w:bookmarkStart w:id="4407" w:name="_Toc89949158"/>
      <w:bookmarkStart w:id="4408" w:name="_Toc98755547"/>
      <w:bookmarkStart w:id="4409" w:name="_Toc98763138"/>
      <w:bookmarkStart w:id="4410" w:name="_Toc106184067"/>
      <w:r w:rsidRPr="00E26D09">
        <w:t>9.4.</w:t>
      </w:r>
      <w:r>
        <w:t>2</w:t>
      </w:r>
      <w:r w:rsidRPr="00E26D09">
        <w:t>.</w:t>
      </w:r>
      <w:r>
        <w:t>1.</w:t>
      </w:r>
      <w:r w:rsidRPr="00E26D09">
        <w:t>2</w:t>
      </w:r>
      <w:r w:rsidRPr="00E26D09">
        <w:tab/>
      </w:r>
      <w:r w:rsidRPr="006542AC">
        <w:t xml:space="preserve">Minimum requirement for </w:t>
      </w:r>
      <w:r w:rsidRPr="00743313">
        <w:t>IAB-MT type 1-O</w:t>
      </w:r>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p>
    <w:p w14:paraId="32FBBC1B" w14:textId="77777777" w:rsidR="00812F6B" w:rsidRDefault="00812F6B" w:rsidP="00812F6B">
      <w:r>
        <w:t xml:space="preserve">For a wide area IAB-MT the </w:t>
      </w:r>
      <w:r w:rsidRPr="00F95B02">
        <w:t>total power dynamic range for each NR carrier shall be larger than or equal to</w:t>
      </w:r>
      <w:r>
        <w:t xml:space="preserve"> 5 dB.</w:t>
      </w:r>
    </w:p>
    <w:p w14:paraId="7E6C2056" w14:textId="77777777" w:rsidR="00812F6B" w:rsidRPr="006C041E" w:rsidRDefault="00812F6B" w:rsidP="00812F6B">
      <w:r>
        <w:t xml:space="preserve">For a local area IAB-MT the </w:t>
      </w:r>
      <w:r w:rsidRPr="00F95B02">
        <w:t>total power dynamic range for each NR carrier shall be larger than or equal to</w:t>
      </w:r>
      <w:r>
        <w:t xml:space="preserve"> 10 dB.</w:t>
      </w:r>
    </w:p>
    <w:p w14:paraId="15217CDB" w14:textId="77777777" w:rsidR="00812F6B" w:rsidRPr="00E26D09" w:rsidRDefault="00812F6B" w:rsidP="00812F6B">
      <w:pPr>
        <w:pStyle w:val="Heading5"/>
      </w:pPr>
      <w:bookmarkStart w:id="4411" w:name="_Toc53185448"/>
      <w:bookmarkStart w:id="4412" w:name="_Toc53185824"/>
      <w:bookmarkStart w:id="4413" w:name="_Toc57820309"/>
      <w:bookmarkStart w:id="4414" w:name="_Toc57821236"/>
      <w:bookmarkStart w:id="4415" w:name="_Toc61183512"/>
      <w:bookmarkStart w:id="4416" w:name="_Toc61183906"/>
      <w:bookmarkStart w:id="4417" w:name="_Toc61184298"/>
      <w:bookmarkStart w:id="4418" w:name="_Toc61184690"/>
      <w:bookmarkStart w:id="4419" w:name="_Toc61185080"/>
      <w:bookmarkStart w:id="4420" w:name="_Toc66386424"/>
      <w:bookmarkStart w:id="4421" w:name="_Toc74583327"/>
      <w:bookmarkStart w:id="4422" w:name="_Toc76542140"/>
      <w:bookmarkStart w:id="4423" w:name="_Toc82450122"/>
      <w:bookmarkStart w:id="4424" w:name="_Toc82450770"/>
      <w:bookmarkStart w:id="4425" w:name="_Toc89949159"/>
      <w:bookmarkStart w:id="4426" w:name="_Toc98755548"/>
      <w:bookmarkStart w:id="4427" w:name="_Toc98763139"/>
      <w:bookmarkStart w:id="4428" w:name="_Toc106184068"/>
      <w:r w:rsidRPr="00E26D09">
        <w:t>9.4.</w:t>
      </w:r>
      <w:r>
        <w:t>2.1</w:t>
      </w:r>
      <w:r w:rsidRPr="00E26D09">
        <w:t>.3</w:t>
      </w:r>
      <w:r w:rsidRPr="00E26D09">
        <w:tab/>
      </w:r>
      <w:r w:rsidRPr="006542AC">
        <w:t xml:space="preserve">Minimum requirement for </w:t>
      </w:r>
      <w:r w:rsidRPr="00743313">
        <w:t>IAB-MT type 2-O</w:t>
      </w:r>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p>
    <w:p w14:paraId="40BF898B" w14:textId="77777777" w:rsidR="00812F6B" w:rsidRDefault="00812F6B" w:rsidP="00812F6B">
      <w:r>
        <w:t xml:space="preserve">For a wide area IAB-MT the </w:t>
      </w:r>
      <w:r w:rsidRPr="00F95B02">
        <w:t>total power dynamic range for each NR carrier shall be larger than or equal to</w:t>
      </w:r>
      <w:r>
        <w:t xml:space="preserve"> 5 dB.</w:t>
      </w:r>
    </w:p>
    <w:p w14:paraId="2E51555F" w14:textId="3FFA9EFD" w:rsidR="00CD1521" w:rsidRPr="00C91B26" w:rsidRDefault="00812F6B" w:rsidP="005913F7">
      <w:r>
        <w:t xml:space="preserve">For a local area IAB-MT the </w:t>
      </w:r>
      <w:r w:rsidRPr="00F95B02">
        <w:t>total power dynamic range for each NR carrier shall be larger than or equal to</w:t>
      </w:r>
      <w:r>
        <w:t xml:space="preserve"> 10 dB.</w:t>
      </w:r>
    </w:p>
    <w:p w14:paraId="6550D0F1" w14:textId="0BC54C1B" w:rsidR="00D52CD6" w:rsidRDefault="00D52CD6" w:rsidP="00C91B26">
      <w:pPr>
        <w:pStyle w:val="Heading3"/>
        <w:rPr>
          <w:rFonts w:eastAsia="MS Mincho"/>
        </w:rPr>
      </w:pPr>
      <w:bookmarkStart w:id="4429" w:name="_Toc53185449"/>
      <w:bookmarkStart w:id="4430" w:name="_Toc53185825"/>
      <w:bookmarkStart w:id="4431" w:name="_Toc57820310"/>
      <w:bookmarkStart w:id="4432" w:name="_Toc57821237"/>
      <w:bookmarkStart w:id="4433" w:name="_Toc61183513"/>
      <w:bookmarkStart w:id="4434" w:name="_Toc61183907"/>
      <w:bookmarkStart w:id="4435" w:name="_Toc61184299"/>
      <w:bookmarkStart w:id="4436" w:name="_Toc61184691"/>
      <w:bookmarkStart w:id="4437" w:name="_Toc61185081"/>
      <w:bookmarkStart w:id="4438" w:name="_Toc66386425"/>
      <w:bookmarkStart w:id="4439" w:name="_Toc74583328"/>
      <w:bookmarkStart w:id="4440" w:name="_Toc76542141"/>
      <w:bookmarkStart w:id="4441" w:name="_Toc82450123"/>
      <w:bookmarkStart w:id="4442" w:name="_Toc82450771"/>
      <w:bookmarkStart w:id="4443" w:name="_Toc89949160"/>
      <w:bookmarkStart w:id="4444" w:name="_Toc98755549"/>
      <w:bookmarkStart w:id="4445" w:name="_Toc98763140"/>
      <w:bookmarkStart w:id="4446" w:name="_Toc106184069"/>
      <w:bookmarkStart w:id="4447" w:name="_Toc13080347"/>
      <w:bookmarkStart w:id="4448" w:name="_Toc18916186"/>
      <w:bookmarkEnd w:id="4104"/>
      <w:r>
        <w:rPr>
          <w:rFonts w:eastAsia="MS Mincho"/>
        </w:rPr>
        <w:t>9.4.</w:t>
      </w:r>
      <w:r w:rsidR="00CB6483">
        <w:rPr>
          <w:rFonts w:eastAsia="MS Mincho"/>
        </w:rPr>
        <w:t>3</w:t>
      </w:r>
      <w:r>
        <w:rPr>
          <w:rFonts w:eastAsia="MS Mincho"/>
        </w:rPr>
        <w:tab/>
        <w:t>Power control</w:t>
      </w:r>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p>
    <w:p w14:paraId="686C94F3" w14:textId="2FF15821" w:rsidR="00D52CD6" w:rsidRPr="00254612" w:rsidRDefault="00D52CD6" w:rsidP="00D52CD6">
      <w:pPr>
        <w:pStyle w:val="Heading4"/>
        <w:ind w:left="0" w:firstLine="0"/>
        <w:rPr>
          <w:rFonts w:eastAsia="MS Mincho"/>
        </w:rPr>
      </w:pPr>
      <w:bookmarkStart w:id="4449" w:name="_Toc53185450"/>
      <w:bookmarkStart w:id="4450" w:name="_Toc53185826"/>
      <w:bookmarkStart w:id="4451" w:name="_Toc57820311"/>
      <w:bookmarkStart w:id="4452" w:name="_Toc57821238"/>
      <w:bookmarkStart w:id="4453" w:name="_Toc61183514"/>
      <w:bookmarkStart w:id="4454" w:name="_Toc61183908"/>
      <w:bookmarkStart w:id="4455" w:name="_Toc61184300"/>
      <w:bookmarkStart w:id="4456" w:name="_Toc61184692"/>
      <w:bookmarkStart w:id="4457" w:name="_Toc61185082"/>
      <w:bookmarkStart w:id="4458" w:name="_Toc66386426"/>
      <w:bookmarkStart w:id="4459" w:name="_Toc74583329"/>
      <w:bookmarkStart w:id="4460" w:name="_Toc76542142"/>
      <w:bookmarkStart w:id="4461" w:name="_Toc82450124"/>
      <w:bookmarkStart w:id="4462" w:name="_Toc82450772"/>
      <w:bookmarkStart w:id="4463" w:name="_Toc89949161"/>
      <w:bookmarkStart w:id="4464" w:name="_Toc98755550"/>
      <w:bookmarkStart w:id="4465" w:name="_Toc98763141"/>
      <w:bookmarkStart w:id="4466" w:name="_Toc106184070"/>
      <w:r>
        <w:rPr>
          <w:rFonts w:eastAsia="MS Mincho"/>
        </w:rPr>
        <w:t>9.4.</w:t>
      </w:r>
      <w:r w:rsidR="00CB6483">
        <w:rPr>
          <w:rFonts w:eastAsia="MS Mincho"/>
        </w:rPr>
        <w:t>3</w:t>
      </w:r>
      <w:r>
        <w:rPr>
          <w:rFonts w:eastAsia="MS Mincho"/>
        </w:rPr>
        <w:t>.1</w:t>
      </w:r>
      <w:r>
        <w:rPr>
          <w:rFonts w:eastAsia="MS Mincho"/>
        </w:rPr>
        <w:tab/>
        <w:t>Power control for local area IAB-MT type 1-O</w:t>
      </w:r>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p>
    <w:p w14:paraId="289B2198" w14:textId="03A65669" w:rsidR="00D52CD6" w:rsidRPr="00680798" w:rsidRDefault="00D52CD6" w:rsidP="00D52CD6">
      <w:pPr>
        <w:pStyle w:val="Heading5"/>
      </w:pPr>
      <w:bookmarkStart w:id="4467" w:name="_Toc53185451"/>
      <w:bookmarkStart w:id="4468" w:name="_Toc53185827"/>
      <w:bookmarkStart w:id="4469" w:name="_Toc57820312"/>
      <w:bookmarkStart w:id="4470" w:name="_Toc57821239"/>
      <w:bookmarkStart w:id="4471" w:name="_Toc61183515"/>
      <w:bookmarkStart w:id="4472" w:name="_Toc61183909"/>
      <w:bookmarkStart w:id="4473" w:name="_Toc61184301"/>
      <w:bookmarkStart w:id="4474" w:name="_Toc61184693"/>
      <w:bookmarkStart w:id="4475" w:name="_Toc61185083"/>
      <w:bookmarkStart w:id="4476" w:name="_Toc66386427"/>
      <w:bookmarkStart w:id="4477" w:name="_Toc74583330"/>
      <w:bookmarkStart w:id="4478" w:name="_Toc76542143"/>
      <w:bookmarkStart w:id="4479" w:name="_Toc82450125"/>
      <w:bookmarkStart w:id="4480" w:name="_Toc82450773"/>
      <w:bookmarkStart w:id="4481" w:name="_Toc89949162"/>
      <w:bookmarkStart w:id="4482" w:name="_Toc98755551"/>
      <w:bookmarkStart w:id="4483" w:name="_Toc98763142"/>
      <w:bookmarkStart w:id="4484" w:name="_Toc106184071"/>
      <w:r w:rsidRPr="00680798">
        <w:t>9.4.</w:t>
      </w:r>
      <w:r w:rsidR="00CB6483">
        <w:t>3</w:t>
      </w:r>
      <w:r w:rsidRPr="00680798">
        <w:t>.1.1</w:t>
      </w:r>
      <w:r w:rsidRPr="00680798">
        <w:tab/>
        <w:t xml:space="preserve">Relative </w:t>
      </w:r>
      <w:r>
        <w:t>EIRP</w:t>
      </w:r>
      <w:r w:rsidRPr="00680798">
        <w:t xml:space="preserve"> tolerance for local area IAB-MT type </w:t>
      </w:r>
      <w:r>
        <w:t>1</w:t>
      </w:r>
      <w:r w:rsidRPr="00680798">
        <w:t>-O</w:t>
      </w:r>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p>
    <w:p w14:paraId="62648C99" w14:textId="77777777" w:rsidR="00D52CD6" w:rsidRDefault="00D52CD6" w:rsidP="00D52CD6">
      <w:r>
        <w:t>The relative EIRP tolerance is the ability of the transmitter to set its radiated output power in a target sub-frame (1 ms) relatively to the power of the most recently transmitted reference sub-frame (1 ms) if the transmission gap between these sub-frames is 20 ms.</w:t>
      </w:r>
    </w:p>
    <w:p w14:paraId="4672B541" w14:textId="691398BB" w:rsidR="00D52CD6" w:rsidRDefault="00D52CD6" w:rsidP="00D52CD6">
      <w:pPr>
        <w:rPr>
          <w:rFonts w:eastAsia="MS Mincho"/>
        </w:rPr>
      </w:pPr>
      <w:r>
        <w:t>The minimum requirements specified in Table 9.4.</w:t>
      </w:r>
      <w:r w:rsidR="00C36D6D">
        <w:t>3</w:t>
      </w:r>
      <w:r>
        <w:t>.1.1-1 apply only when the output power is within the limits set by declared maximum output power and specified dynamic range.</w:t>
      </w:r>
    </w:p>
    <w:p w14:paraId="39A05921" w14:textId="0BE17078" w:rsidR="00D52CD6" w:rsidRDefault="00D52CD6" w:rsidP="00D52CD6">
      <w:r>
        <w:lastRenderedPageBreak/>
        <w:t>2 exceptions are allowed for each of two test patterns. The test patterns are a monotonically increasing power sweep and a monotonically decreasing power sweep. For those exceptions, the power tolerance limit is a maximum of [± 11.0 dB] in Table 9.4.</w:t>
      </w:r>
      <w:r w:rsidR="00C36D6D">
        <w:t>3</w:t>
      </w:r>
      <w:r>
        <w:t>.1.1-1.</w:t>
      </w:r>
    </w:p>
    <w:p w14:paraId="57880AA6" w14:textId="020BDEF2" w:rsidR="00D52CD6" w:rsidRDefault="00D52CD6" w:rsidP="00D52CD6">
      <w:pPr>
        <w:pStyle w:val="TH"/>
      </w:pPr>
      <w:r>
        <w:t>Table 9.4.</w:t>
      </w:r>
      <w:r w:rsidR="00C36D6D">
        <w:t>3</w:t>
      </w:r>
      <w:r>
        <w:t xml:space="preserve">.1.1-1: Relative EIRP tolerance </w:t>
      </w:r>
      <w:r w:rsidRPr="00680798">
        <w:t xml:space="preserve">for local area IAB-MT type </w:t>
      </w:r>
      <w:r>
        <w:t>1</w:t>
      </w:r>
      <w:r w:rsidRPr="00680798">
        <w: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D52CD6" w:rsidRPr="00680798" w14:paraId="1633628E"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190D5CF8" w14:textId="77777777" w:rsidR="00D52CD6" w:rsidRDefault="00D52CD6" w:rsidP="00BD1F8C">
            <w:pPr>
              <w:pStyle w:val="TAH"/>
            </w:pPr>
            <w:r>
              <w:t xml:space="preserve">Power step </w:t>
            </w:r>
            <w:r>
              <w:rPr>
                <w:rFonts w:cs="Arial"/>
              </w:rPr>
              <w:t>∆</w:t>
            </w:r>
            <w:r>
              <w:t>P (Up or down)</w:t>
            </w:r>
          </w:p>
          <w:p w14:paraId="30B467B1" w14:textId="77777777" w:rsidR="00D52CD6" w:rsidRDefault="00D52CD6" w:rsidP="00BD1F8C">
            <w:pPr>
              <w:pStyle w:val="TAH"/>
            </w:pPr>
            <w:r>
              <w:t xml:space="preserve"> (dB)</w:t>
            </w:r>
          </w:p>
        </w:tc>
        <w:tc>
          <w:tcPr>
            <w:tcW w:w="2977" w:type="dxa"/>
            <w:tcBorders>
              <w:top w:val="single" w:sz="4" w:space="0" w:color="auto"/>
              <w:left w:val="single" w:sz="4" w:space="0" w:color="auto"/>
              <w:bottom w:val="single" w:sz="4" w:space="0" w:color="auto"/>
              <w:right w:val="single" w:sz="4" w:space="0" w:color="auto"/>
            </w:tcBorders>
            <w:vAlign w:val="center"/>
            <w:hideMark/>
          </w:tcPr>
          <w:p w14:paraId="13FAC3BA" w14:textId="77777777" w:rsidR="00D52CD6" w:rsidRDefault="00D52CD6" w:rsidP="00BD1F8C">
            <w:pPr>
              <w:pStyle w:val="TAH"/>
              <w:rPr>
                <w:lang w:val="en-US"/>
              </w:rPr>
            </w:pPr>
            <w:r>
              <w:t>EIRP tolerance (dB)</w:t>
            </w:r>
          </w:p>
        </w:tc>
      </w:tr>
      <w:tr w:rsidR="00D52CD6" w14:paraId="1E1C598F"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4C58ACF7" w14:textId="77777777" w:rsidR="00D52CD6" w:rsidRDefault="00D52CD6" w:rsidP="00BD1F8C">
            <w:pPr>
              <w:pStyle w:val="TAC"/>
            </w:pPr>
            <w:r>
              <w:t>ΔP &lt; 2</w:t>
            </w:r>
          </w:p>
        </w:tc>
        <w:tc>
          <w:tcPr>
            <w:tcW w:w="2977" w:type="dxa"/>
            <w:tcBorders>
              <w:top w:val="single" w:sz="4" w:space="0" w:color="auto"/>
              <w:left w:val="single" w:sz="4" w:space="0" w:color="auto"/>
              <w:bottom w:val="single" w:sz="4" w:space="0" w:color="auto"/>
              <w:right w:val="single" w:sz="4" w:space="0" w:color="auto"/>
            </w:tcBorders>
            <w:vAlign w:val="center"/>
            <w:hideMark/>
          </w:tcPr>
          <w:p w14:paraId="00F04F3C" w14:textId="77777777" w:rsidR="00D52CD6" w:rsidRDefault="00D52CD6" w:rsidP="00BD1F8C">
            <w:pPr>
              <w:pStyle w:val="TAC"/>
            </w:pPr>
            <w:r>
              <w:rPr>
                <w:rFonts w:cs="Arial"/>
              </w:rPr>
              <w:t>[± 2.5]</w:t>
            </w:r>
          </w:p>
        </w:tc>
      </w:tr>
      <w:tr w:rsidR="00D52CD6" w14:paraId="32DC5015"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40A49599" w14:textId="77777777" w:rsidR="00D52CD6" w:rsidRDefault="00D52CD6" w:rsidP="00BD1F8C">
            <w:pPr>
              <w:pStyle w:val="TAC"/>
            </w:pPr>
            <w:r>
              <w:t>2 ≤ ΔP &lt; 3</w:t>
            </w:r>
          </w:p>
        </w:tc>
        <w:tc>
          <w:tcPr>
            <w:tcW w:w="2977" w:type="dxa"/>
            <w:tcBorders>
              <w:top w:val="single" w:sz="4" w:space="0" w:color="auto"/>
              <w:left w:val="single" w:sz="4" w:space="0" w:color="auto"/>
              <w:bottom w:val="single" w:sz="4" w:space="0" w:color="auto"/>
              <w:right w:val="single" w:sz="4" w:space="0" w:color="auto"/>
            </w:tcBorders>
            <w:vAlign w:val="center"/>
            <w:hideMark/>
          </w:tcPr>
          <w:p w14:paraId="050BDAFA" w14:textId="77777777" w:rsidR="00D52CD6" w:rsidRDefault="00D52CD6" w:rsidP="00BD1F8C">
            <w:pPr>
              <w:pStyle w:val="TAC"/>
            </w:pPr>
            <w:r>
              <w:rPr>
                <w:rFonts w:cs="Arial"/>
              </w:rPr>
              <w:t>[± 3.5]</w:t>
            </w:r>
          </w:p>
        </w:tc>
      </w:tr>
      <w:tr w:rsidR="00D52CD6" w14:paraId="05A3580A"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48F9165C" w14:textId="77777777" w:rsidR="00D52CD6" w:rsidRDefault="00D52CD6" w:rsidP="00BD1F8C">
            <w:pPr>
              <w:pStyle w:val="TAC"/>
            </w:pPr>
            <w:r>
              <w:t>3 ≤ ΔP &lt; 4</w:t>
            </w:r>
          </w:p>
        </w:tc>
        <w:tc>
          <w:tcPr>
            <w:tcW w:w="2977" w:type="dxa"/>
            <w:tcBorders>
              <w:top w:val="single" w:sz="4" w:space="0" w:color="auto"/>
              <w:left w:val="single" w:sz="4" w:space="0" w:color="auto"/>
              <w:bottom w:val="single" w:sz="4" w:space="0" w:color="auto"/>
              <w:right w:val="single" w:sz="4" w:space="0" w:color="auto"/>
            </w:tcBorders>
            <w:vAlign w:val="center"/>
            <w:hideMark/>
          </w:tcPr>
          <w:p w14:paraId="16DBB45F" w14:textId="77777777" w:rsidR="00D52CD6" w:rsidRDefault="00D52CD6" w:rsidP="00BD1F8C">
            <w:pPr>
              <w:pStyle w:val="TAC"/>
            </w:pPr>
            <w:r>
              <w:rPr>
                <w:rFonts w:cs="Arial"/>
              </w:rPr>
              <w:t>[± 4.5]</w:t>
            </w:r>
          </w:p>
        </w:tc>
      </w:tr>
      <w:tr w:rsidR="00D52CD6" w14:paraId="539B727D"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66751B99" w14:textId="77777777" w:rsidR="00D52CD6" w:rsidRDefault="00D52CD6" w:rsidP="00BD1F8C">
            <w:pPr>
              <w:pStyle w:val="TAC"/>
            </w:pPr>
            <w:r>
              <w:t>4 ≤ ΔP &lt; 10</w:t>
            </w:r>
          </w:p>
        </w:tc>
        <w:tc>
          <w:tcPr>
            <w:tcW w:w="2977" w:type="dxa"/>
            <w:tcBorders>
              <w:top w:val="single" w:sz="4" w:space="0" w:color="auto"/>
              <w:left w:val="single" w:sz="4" w:space="0" w:color="auto"/>
              <w:bottom w:val="single" w:sz="4" w:space="0" w:color="auto"/>
              <w:right w:val="single" w:sz="4" w:space="0" w:color="auto"/>
            </w:tcBorders>
            <w:vAlign w:val="center"/>
            <w:hideMark/>
          </w:tcPr>
          <w:p w14:paraId="35B09D9D" w14:textId="77777777" w:rsidR="00D52CD6" w:rsidRDefault="00D52CD6" w:rsidP="00BD1F8C">
            <w:pPr>
              <w:pStyle w:val="TAC"/>
            </w:pPr>
            <w:r>
              <w:rPr>
                <w:rFonts w:cs="Arial"/>
              </w:rPr>
              <w:t>[± 5.5]</w:t>
            </w:r>
          </w:p>
        </w:tc>
      </w:tr>
    </w:tbl>
    <w:p w14:paraId="0D84192E" w14:textId="77777777" w:rsidR="00D52CD6" w:rsidRDefault="00D52CD6" w:rsidP="00C91B26"/>
    <w:p w14:paraId="1FC69F2D" w14:textId="1877FEE0" w:rsidR="00D52CD6" w:rsidRPr="00680798" w:rsidRDefault="00D52CD6" w:rsidP="00D52CD6">
      <w:pPr>
        <w:pStyle w:val="Heading5"/>
      </w:pPr>
      <w:bookmarkStart w:id="4485" w:name="_Toc53185452"/>
      <w:bookmarkStart w:id="4486" w:name="_Toc53185828"/>
      <w:bookmarkStart w:id="4487" w:name="_Toc57820313"/>
      <w:bookmarkStart w:id="4488" w:name="_Toc57821240"/>
      <w:bookmarkStart w:id="4489" w:name="_Toc61183516"/>
      <w:bookmarkStart w:id="4490" w:name="_Toc61183910"/>
      <w:bookmarkStart w:id="4491" w:name="_Toc61184302"/>
      <w:bookmarkStart w:id="4492" w:name="_Toc61184694"/>
      <w:bookmarkStart w:id="4493" w:name="_Toc61185084"/>
      <w:bookmarkStart w:id="4494" w:name="_Toc66386428"/>
      <w:bookmarkStart w:id="4495" w:name="_Toc74583331"/>
      <w:bookmarkStart w:id="4496" w:name="_Toc76542144"/>
      <w:bookmarkStart w:id="4497" w:name="_Toc82450126"/>
      <w:bookmarkStart w:id="4498" w:name="_Toc82450774"/>
      <w:bookmarkStart w:id="4499" w:name="_Toc89949163"/>
      <w:bookmarkStart w:id="4500" w:name="_Toc98755552"/>
      <w:bookmarkStart w:id="4501" w:name="_Toc98763143"/>
      <w:bookmarkStart w:id="4502" w:name="_Toc106184072"/>
      <w:r w:rsidRPr="00680798">
        <w:t>9.4.</w:t>
      </w:r>
      <w:r w:rsidR="00CB6483">
        <w:t>3</w:t>
      </w:r>
      <w:r w:rsidRPr="00680798">
        <w:t>.</w:t>
      </w:r>
      <w:r>
        <w:t>1.2</w:t>
      </w:r>
      <w:r w:rsidRPr="00680798">
        <w:tab/>
        <w:t xml:space="preserve">Aggregate </w:t>
      </w:r>
      <w:r>
        <w:t>EIRP</w:t>
      </w:r>
      <w:r w:rsidRPr="00680798">
        <w:t xml:space="preserve"> tolerance for local area IAB-MT type </w:t>
      </w:r>
      <w:r>
        <w:t>1</w:t>
      </w:r>
      <w:r w:rsidRPr="00680798">
        <w:t>-</w:t>
      </w:r>
      <w:r>
        <w:t>O</w:t>
      </w:r>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p>
    <w:p w14:paraId="21D5544C" w14:textId="77777777" w:rsidR="00D52CD6" w:rsidRDefault="00D52CD6" w:rsidP="00D52CD6">
      <w:r>
        <w:t>The aggregate EIRP control tolerance is the ability of the transmitter to maintain its EIRP in a sub-frame (1 ms) during non-contiguous transmissions within [21ms] in response to 0 dB TPC commands with respect to the first UE transmission and all other power control parameters as specified in 3GPP TS 38.213 [10]kept constant.</w:t>
      </w:r>
    </w:p>
    <w:p w14:paraId="100F9E03" w14:textId="7334EE16" w:rsidR="00D52CD6" w:rsidRDefault="00D52CD6" w:rsidP="00D52CD6">
      <w:pPr>
        <w:rPr>
          <w:rFonts w:eastAsia="MS Mincho"/>
        </w:rPr>
      </w:pPr>
      <w:r>
        <w:t>The minimum requirements specified in Table 9.4.</w:t>
      </w:r>
      <w:r w:rsidR="00C36D6D">
        <w:t>3</w:t>
      </w:r>
      <w:r>
        <w:t>.1.2-1 apply only when the output power is within the limits set by declared maximum output power and specified dynamic range.</w:t>
      </w:r>
    </w:p>
    <w:p w14:paraId="422D879F" w14:textId="7D5C5865" w:rsidR="00D52CD6" w:rsidRDefault="00D52CD6" w:rsidP="00D52CD6">
      <w:pPr>
        <w:pStyle w:val="TH"/>
      </w:pPr>
      <w:r>
        <w:t>Table 9.4.</w:t>
      </w:r>
      <w:r w:rsidR="00C36D6D">
        <w:t>3</w:t>
      </w:r>
      <w:r>
        <w:t>.1.2-1: Aggregate power tolerance</w:t>
      </w:r>
      <w:r w:rsidRPr="00F117ED">
        <w:t xml:space="preserve"> </w:t>
      </w:r>
      <w:r w:rsidRPr="00680798">
        <w:t xml:space="preserve">for local area IAB-MT type </w:t>
      </w:r>
      <w:r>
        <w:t>1</w:t>
      </w:r>
      <w:r w:rsidRPr="00680798">
        <w: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77"/>
      </w:tblGrid>
      <w:tr w:rsidR="00D52CD6" w:rsidRPr="00680798" w14:paraId="383AE1B9"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67B8B0E2" w14:textId="77777777" w:rsidR="00D52CD6" w:rsidRDefault="00D52CD6" w:rsidP="00BD1F8C">
            <w:pPr>
              <w:pStyle w:val="TAH"/>
            </w:pPr>
            <w:r>
              <w:t>TPC command</w:t>
            </w:r>
          </w:p>
        </w:tc>
        <w:tc>
          <w:tcPr>
            <w:tcW w:w="2977" w:type="dxa"/>
            <w:tcBorders>
              <w:top w:val="single" w:sz="4" w:space="0" w:color="auto"/>
              <w:left w:val="single" w:sz="4" w:space="0" w:color="auto"/>
              <w:bottom w:val="single" w:sz="4" w:space="0" w:color="auto"/>
              <w:right w:val="single" w:sz="4" w:space="0" w:color="auto"/>
            </w:tcBorders>
            <w:hideMark/>
          </w:tcPr>
          <w:p w14:paraId="3366AAF0" w14:textId="77777777" w:rsidR="00D52CD6" w:rsidRDefault="00D52CD6" w:rsidP="00BD1F8C">
            <w:pPr>
              <w:pStyle w:val="TAH"/>
            </w:pPr>
            <w:r>
              <w:t>UL channel</w:t>
            </w:r>
          </w:p>
        </w:tc>
        <w:tc>
          <w:tcPr>
            <w:tcW w:w="2977" w:type="dxa"/>
            <w:tcBorders>
              <w:top w:val="single" w:sz="4" w:space="0" w:color="auto"/>
              <w:left w:val="single" w:sz="4" w:space="0" w:color="auto"/>
              <w:bottom w:val="single" w:sz="4" w:space="0" w:color="auto"/>
              <w:right w:val="single" w:sz="4" w:space="0" w:color="auto"/>
            </w:tcBorders>
            <w:hideMark/>
          </w:tcPr>
          <w:p w14:paraId="04B8950E" w14:textId="77777777" w:rsidR="00D52CD6" w:rsidRDefault="00D52CD6" w:rsidP="00BD1F8C">
            <w:pPr>
              <w:pStyle w:val="TAH"/>
            </w:pPr>
            <w:r>
              <w:t>Aggregate EIRP tolerance within [21 ms]</w:t>
            </w:r>
          </w:p>
        </w:tc>
      </w:tr>
      <w:tr w:rsidR="00D52CD6" w14:paraId="20C0451C"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45F2536B" w14:textId="77777777" w:rsidR="00D52CD6" w:rsidRDefault="00D52CD6" w:rsidP="00BD1F8C">
            <w:pPr>
              <w:pStyle w:val="TAC"/>
            </w:pPr>
            <w:r>
              <w:t>0 dB</w:t>
            </w:r>
          </w:p>
        </w:tc>
        <w:tc>
          <w:tcPr>
            <w:tcW w:w="2977" w:type="dxa"/>
            <w:tcBorders>
              <w:top w:val="single" w:sz="4" w:space="0" w:color="auto"/>
              <w:left w:val="single" w:sz="4" w:space="0" w:color="auto"/>
              <w:bottom w:val="single" w:sz="4" w:space="0" w:color="auto"/>
              <w:right w:val="single" w:sz="4" w:space="0" w:color="auto"/>
            </w:tcBorders>
            <w:hideMark/>
          </w:tcPr>
          <w:p w14:paraId="7C770835" w14:textId="77777777" w:rsidR="00D52CD6" w:rsidRDefault="00D52CD6" w:rsidP="00BD1F8C">
            <w:pPr>
              <w:pStyle w:val="TAC"/>
            </w:pPr>
            <w:r>
              <w:t>PUCCH</w:t>
            </w:r>
          </w:p>
        </w:tc>
        <w:tc>
          <w:tcPr>
            <w:tcW w:w="2977" w:type="dxa"/>
            <w:tcBorders>
              <w:top w:val="single" w:sz="4" w:space="0" w:color="auto"/>
              <w:left w:val="single" w:sz="4" w:space="0" w:color="auto"/>
              <w:bottom w:val="single" w:sz="4" w:space="0" w:color="auto"/>
              <w:right w:val="single" w:sz="4" w:space="0" w:color="auto"/>
            </w:tcBorders>
            <w:hideMark/>
          </w:tcPr>
          <w:p w14:paraId="7D82DF5F" w14:textId="77777777" w:rsidR="00D52CD6" w:rsidRDefault="00D52CD6" w:rsidP="00BD1F8C">
            <w:pPr>
              <w:pStyle w:val="TAC"/>
            </w:pPr>
            <w:r>
              <w:rPr>
                <w:rFonts w:cs="Arial"/>
              </w:rPr>
              <w:t>[± 2.5 dB]</w:t>
            </w:r>
          </w:p>
        </w:tc>
      </w:tr>
      <w:tr w:rsidR="00D52CD6" w14:paraId="11D3D6E0"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0B2817EB" w14:textId="77777777" w:rsidR="00D52CD6" w:rsidRDefault="00D52CD6" w:rsidP="00BD1F8C">
            <w:pPr>
              <w:pStyle w:val="TAC"/>
            </w:pPr>
            <w:r>
              <w:t>0 dB</w:t>
            </w:r>
          </w:p>
        </w:tc>
        <w:tc>
          <w:tcPr>
            <w:tcW w:w="2977" w:type="dxa"/>
            <w:tcBorders>
              <w:top w:val="single" w:sz="4" w:space="0" w:color="auto"/>
              <w:left w:val="single" w:sz="4" w:space="0" w:color="auto"/>
              <w:bottom w:val="single" w:sz="4" w:space="0" w:color="auto"/>
              <w:right w:val="single" w:sz="4" w:space="0" w:color="auto"/>
            </w:tcBorders>
            <w:hideMark/>
          </w:tcPr>
          <w:p w14:paraId="1C2A568F" w14:textId="77777777" w:rsidR="00D52CD6" w:rsidRDefault="00D52CD6" w:rsidP="00BD1F8C">
            <w:pPr>
              <w:pStyle w:val="TAC"/>
            </w:pPr>
            <w:r>
              <w:t>PUSCH</w:t>
            </w:r>
          </w:p>
        </w:tc>
        <w:tc>
          <w:tcPr>
            <w:tcW w:w="2977" w:type="dxa"/>
            <w:tcBorders>
              <w:top w:val="single" w:sz="4" w:space="0" w:color="auto"/>
              <w:left w:val="single" w:sz="4" w:space="0" w:color="auto"/>
              <w:bottom w:val="single" w:sz="4" w:space="0" w:color="auto"/>
              <w:right w:val="single" w:sz="4" w:space="0" w:color="auto"/>
            </w:tcBorders>
            <w:hideMark/>
          </w:tcPr>
          <w:p w14:paraId="1F476AAB" w14:textId="77777777" w:rsidR="00D52CD6" w:rsidRDefault="00D52CD6" w:rsidP="00BD1F8C">
            <w:pPr>
              <w:pStyle w:val="TAC"/>
            </w:pPr>
            <w:r>
              <w:rPr>
                <w:rFonts w:cs="Arial"/>
              </w:rPr>
              <w:t>[± 3.5 dB]</w:t>
            </w:r>
          </w:p>
        </w:tc>
      </w:tr>
    </w:tbl>
    <w:p w14:paraId="06E6FE0F" w14:textId="77777777" w:rsidR="00D52CD6" w:rsidRDefault="00D52CD6" w:rsidP="00C91B26">
      <w:pPr>
        <w:rPr>
          <w:rFonts w:eastAsia="MS Mincho"/>
          <w:lang w:val="fi-FI"/>
        </w:rPr>
      </w:pPr>
    </w:p>
    <w:p w14:paraId="66AD3F24" w14:textId="35CA17E1" w:rsidR="00D52CD6" w:rsidRPr="00254612" w:rsidRDefault="00D52CD6" w:rsidP="00D52CD6">
      <w:pPr>
        <w:pStyle w:val="Heading4"/>
        <w:ind w:left="0" w:firstLine="0"/>
        <w:rPr>
          <w:rFonts w:eastAsia="MS Mincho"/>
        </w:rPr>
      </w:pPr>
      <w:bookmarkStart w:id="4503" w:name="_Toc53185453"/>
      <w:bookmarkStart w:id="4504" w:name="_Toc53185829"/>
      <w:bookmarkStart w:id="4505" w:name="_Toc57820314"/>
      <w:bookmarkStart w:id="4506" w:name="_Toc57821241"/>
      <w:bookmarkStart w:id="4507" w:name="_Toc61183517"/>
      <w:bookmarkStart w:id="4508" w:name="_Toc61183911"/>
      <w:bookmarkStart w:id="4509" w:name="_Toc61184303"/>
      <w:bookmarkStart w:id="4510" w:name="_Toc61184695"/>
      <w:bookmarkStart w:id="4511" w:name="_Toc61185085"/>
      <w:bookmarkStart w:id="4512" w:name="_Toc66386429"/>
      <w:bookmarkStart w:id="4513" w:name="_Toc74583332"/>
      <w:bookmarkStart w:id="4514" w:name="_Toc76542145"/>
      <w:bookmarkStart w:id="4515" w:name="_Toc82450127"/>
      <w:bookmarkStart w:id="4516" w:name="_Toc82450775"/>
      <w:bookmarkStart w:id="4517" w:name="_Toc89949164"/>
      <w:bookmarkStart w:id="4518" w:name="_Toc98755553"/>
      <w:bookmarkStart w:id="4519" w:name="_Toc98763144"/>
      <w:bookmarkStart w:id="4520" w:name="_Toc106184073"/>
      <w:r>
        <w:rPr>
          <w:rFonts w:eastAsia="MS Mincho"/>
        </w:rPr>
        <w:t>9.4.</w:t>
      </w:r>
      <w:r w:rsidR="00CB6483">
        <w:rPr>
          <w:rFonts w:eastAsia="MS Mincho"/>
        </w:rPr>
        <w:t>3</w:t>
      </w:r>
      <w:r>
        <w:rPr>
          <w:rFonts w:eastAsia="MS Mincho"/>
        </w:rPr>
        <w:t>.2</w:t>
      </w:r>
      <w:r>
        <w:rPr>
          <w:rFonts w:eastAsia="MS Mincho"/>
        </w:rPr>
        <w:tab/>
        <w:t>Power control for local area IAB-MT type 2-O</w:t>
      </w:r>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p>
    <w:p w14:paraId="1F5C430A" w14:textId="31FD2EB7" w:rsidR="00D52CD6" w:rsidRPr="00680798" w:rsidRDefault="00D52CD6" w:rsidP="00D52CD6">
      <w:pPr>
        <w:pStyle w:val="Heading5"/>
      </w:pPr>
      <w:bookmarkStart w:id="4521" w:name="_Toc53185454"/>
      <w:bookmarkStart w:id="4522" w:name="_Toc53185830"/>
      <w:bookmarkStart w:id="4523" w:name="_Toc57820315"/>
      <w:bookmarkStart w:id="4524" w:name="_Toc57821242"/>
      <w:bookmarkStart w:id="4525" w:name="_Toc61183518"/>
      <w:bookmarkStart w:id="4526" w:name="_Toc61183912"/>
      <w:bookmarkStart w:id="4527" w:name="_Toc61184304"/>
      <w:bookmarkStart w:id="4528" w:name="_Toc61184696"/>
      <w:bookmarkStart w:id="4529" w:name="_Toc61185086"/>
      <w:bookmarkStart w:id="4530" w:name="_Toc66386430"/>
      <w:bookmarkStart w:id="4531" w:name="_Toc74583333"/>
      <w:bookmarkStart w:id="4532" w:name="_Toc76542146"/>
      <w:bookmarkStart w:id="4533" w:name="_Toc82450128"/>
      <w:bookmarkStart w:id="4534" w:name="_Toc82450776"/>
      <w:bookmarkStart w:id="4535" w:name="_Toc89949165"/>
      <w:bookmarkStart w:id="4536" w:name="_Toc98755554"/>
      <w:bookmarkStart w:id="4537" w:name="_Toc98763145"/>
      <w:bookmarkStart w:id="4538" w:name="_Toc106184074"/>
      <w:r w:rsidRPr="00680798">
        <w:t>9.4.</w:t>
      </w:r>
      <w:r w:rsidR="00CB6483">
        <w:t>3</w:t>
      </w:r>
      <w:r w:rsidRPr="00680798">
        <w:t>.</w:t>
      </w:r>
      <w:r>
        <w:t>2</w:t>
      </w:r>
      <w:r w:rsidRPr="00680798">
        <w:t>.1</w:t>
      </w:r>
      <w:r w:rsidRPr="00680798">
        <w:tab/>
        <w:t xml:space="preserve">Relative </w:t>
      </w:r>
      <w:r>
        <w:t>EIRP</w:t>
      </w:r>
      <w:r w:rsidRPr="00680798">
        <w:t xml:space="preserve"> tolerance for local area IAB-MT type </w:t>
      </w:r>
      <w:r>
        <w:t>2</w:t>
      </w:r>
      <w:r w:rsidRPr="00680798">
        <w:t>-O</w:t>
      </w:r>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p>
    <w:p w14:paraId="31848CE2" w14:textId="77777777" w:rsidR="00D52CD6" w:rsidRDefault="00D52CD6" w:rsidP="00D52CD6">
      <w:r>
        <w:t>The relative EIRP tolerance is the ability of the transmitter to set its radiated output power in a target sub-frame (1 ms) relatively to the power of the most recently transmitted reference sub-frame (1 ms) if the transmission gap between these sub-frames is 20 ms.</w:t>
      </w:r>
    </w:p>
    <w:p w14:paraId="451D810F" w14:textId="3C5FA0A5" w:rsidR="00D52CD6" w:rsidRDefault="00D52CD6" w:rsidP="00D52CD6">
      <w:pPr>
        <w:rPr>
          <w:rFonts w:eastAsia="MS Mincho"/>
        </w:rPr>
      </w:pPr>
      <w:r>
        <w:t>The minimum requirements specified in Table 9.4.</w:t>
      </w:r>
      <w:r w:rsidR="00E91D84">
        <w:t>3</w:t>
      </w:r>
      <w:r>
        <w:t>.1.1-1 apply only when the output power is within the limits set by declared maximum output power and specified dynamic range.</w:t>
      </w:r>
    </w:p>
    <w:p w14:paraId="17ECF6D1" w14:textId="65587849" w:rsidR="00D52CD6" w:rsidRDefault="00D52CD6" w:rsidP="00D52CD6">
      <w:r>
        <w:t>2 exceptions are allowed for each of two test patterns. The test patterns are a monotonically increasing power sweep and a monotonically decreasing power sweep. For those exceptions, the power tolerance limit is a maximum of [± 11.0 dB] in Table 9.4.</w:t>
      </w:r>
      <w:r w:rsidR="00E91D84">
        <w:t>3</w:t>
      </w:r>
      <w:r>
        <w:t>.1.1-1.</w:t>
      </w:r>
    </w:p>
    <w:p w14:paraId="78C565A5" w14:textId="228E9656" w:rsidR="00D52CD6" w:rsidRDefault="00D52CD6" w:rsidP="00D52CD6">
      <w:pPr>
        <w:pStyle w:val="TH"/>
      </w:pPr>
      <w:r>
        <w:t>Table 9.4.</w:t>
      </w:r>
      <w:r w:rsidR="00E91D84">
        <w:t>3</w:t>
      </w:r>
      <w:r>
        <w:t xml:space="preserve">.2.1-1: Relative EIRP tolerance </w:t>
      </w:r>
      <w:r w:rsidRPr="00680798">
        <w:t xml:space="preserve">for local area IAB-MT type </w:t>
      </w:r>
      <w:r>
        <w:t>2</w:t>
      </w:r>
      <w:r w:rsidRPr="00680798">
        <w: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D52CD6" w:rsidRPr="00F117ED" w14:paraId="33B22402"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47D97436" w14:textId="77777777" w:rsidR="00D52CD6" w:rsidRDefault="00D52CD6" w:rsidP="00BD1F8C">
            <w:pPr>
              <w:pStyle w:val="TAH"/>
            </w:pPr>
            <w:r>
              <w:t xml:space="preserve">Power step </w:t>
            </w:r>
            <w:r>
              <w:rPr>
                <w:rFonts w:cs="Arial"/>
              </w:rPr>
              <w:t>∆</w:t>
            </w:r>
            <w:r>
              <w:t>P (Up or down)</w:t>
            </w:r>
          </w:p>
          <w:p w14:paraId="7C4C0C76" w14:textId="77777777" w:rsidR="00D52CD6" w:rsidRDefault="00D52CD6" w:rsidP="00BD1F8C">
            <w:pPr>
              <w:pStyle w:val="TAH"/>
            </w:pPr>
            <w:r>
              <w:t xml:space="preserve"> (dB)</w:t>
            </w:r>
          </w:p>
        </w:tc>
        <w:tc>
          <w:tcPr>
            <w:tcW w:w="2977" w:type="dxa"/>
            <w:tcBorders>
              <w:top w:val="single" w:sz="4" w:space="0" w:color="auto"/>
              <w:left w:val="single" w:sz="4" w:space="0" w:color="auto"/>
              <w:bottom w:val="single" w:sz="4" w:space="0" w:color="auto"/>
              <w:right w:val="single" w:sz="4" w:space="0" w:color="auto"/>
            </w:tcBorders>
            <w:vAlign w:val="center"/>
            <w:hideMark/>
          </w:tcPr>
          <w:p w14:paraId="0C870AB3" w14:textId="77777777" w:rsidR="00D52CD6" w:rsidRDefault="00D52CD6" w:rsidP="00BD1F8C">
            <w:pPr>
              <w:pStyle w:val="TAH"/>
              <w:rPr>
                <w:lang w:val="en-US"/>
              </w:rPr>
            </w:pPr>
            <w:r>
              <w:t>EIRP tolerance (dB)</w:t>
            </w:r>
          </w:p>
        </w:tc>
      </w:tr>
      <w:tr w:rsidR="00C91B26" w14:paraId="30BD01F4"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541C364B" w14:textId="77777777" w:rsidR="00C91B26" w:rsidRDefault="00C91B26" w:rsidP="00C91B26">
            <w:pPr>
              <w:pStyle w:val="TAC"/>
            </w:pPr>
            <w:r>
              <w:t>ΔP &lt; 2</w:t>
            </w:r>
          </w:p>
        </w:tc>
        <w:tc>
          <w:tcPr>
            <w:tcW w:w="2977" w:type="dxa"/>
            <w:tcBorders>
              <w:top w:val="single" w:sz="4" w:space="0" w:color="auto"/>
              <w:left w:val="single" w:sz="4" w:space="0" w:color="auto"/>
              <w:bottom w:val="single" w:sz="4" w:space="0" w:color="auto"/>
              <w:right w:val="single" w:sz="4" w:space="0" w:color="auto"/>
            </w:tcBorders>
            <w:vAlign w:val="center"/>
            <w:hideMark/>
          </w:tcPr>
          <w:p w14:paraId="595BC5B8" w14:textId="5778692E" w:rsidR="00C91B26" w:rsidRDefault="00C91B26" w:rsidP="00C91B26">
            <w:pPr>
              <w:pStyle w:val="TAC"/>
            </w:pPr>
            <w:r>
              <w:t>[±3.0]</w:t>
            </w:r>
          </w:p>
        </w:tc>
      </w:tr>
      <w:tr w:rsidR="00C91B26" w14:paraId="7749C393"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5E00CCDF" w14:textId="77777777" w:rsidR="00C91B26" w:rsidRDefault="00C91B26" w:rsidP="00C91B26">
            <w:pPr>
              <w:pStyle w:val="TAC"/>
            </w:pPr>
            <w:r>
              <w:t>2 ≤ ΔP &lt; 3</w:t>
            </w:r>
          </w:p>
        </w:tc>
        <w:tc>
          <w:tcPr>
            <w:tcW w:w="2977" w:type="dxa"/>
            <w:tcBorders>
              <w:top w:val="single" w:sz="4" w:space="0" w:color="auto"/>
              <w:left w:val="single" w:sz="4" w:space="0" w:color="auto"/>
              <w:bottom w:val="single" w:sz="4" w:space="0" w:color="auto"/>
              <w:right w:val="single" w:sz="4" w:space="0" w:color="auto"/>
            </w:tcBorders>
            <w:vAlign w:val="center"/>
            <w:hideMark/>
          </w:tcPr>
          <w:p w14:paraId="5FC0820B" w14:textId="4167F948" w:rsidR="00C91B26" w:rsidRDefault="00C91B26" w:rsidP="00C91B26">
            <w:pPr>
              <w:pStyle w:val="TAC"/>
            </w:pPr>
            <w:r>
              <w:t>[±4.0]</w:t>
            </w:r>
          </w:p>
        </w:tc>
      </w:tr>
      <w:tr w:rsidR="00C91B26" w14:paraId="23EFC724"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63E0C79A" w14:textId="77777777" w:rsidR="00C91B26" w:rsidRDefault="00C91B26" w:rsidP="00C91B26">
            <w:pPr>
              <w:pStyle w:val="TAC"/>
            </w:pPr>
            <w:r>
              <w:t>3 ≤ ΔP &lt; 4</w:t>
            </w:r>
          </w:p>
        </w:tc>
        <w:tc>
          <w:tcPr>
            <w:tcW w:w="2977" w:type="dxa"/>
            <w:tcBorders>
              <w:top w:val="single" w:sz="4" w:space="0" w:color="auto"/>
              <w:left w:val="single" w:sz="4" w:space="0" w:color="auto"/>
              <w:bottom w:val="single" w:sz="4" w:space="0" w:color="auto"/>
              <w:right w:val="single" w:sz="4" w:space="0" w:color="auto"/>
            </w:tcBorders>
            <w:vAlign w:val="center"/>
            <w:hideMark/>
          </w:tcPr>
          <w:p w14:paraId="415639AF" w14:textId="4CD30464" w:rsidR="00C91B26" w:rsidRDefault="00C91B26" w:rsidP="00C91B26">
            <w:pPr>
              <w:pStyle w:val="TAC"/>
            </w:pPr>
            <w:r>
              <w:t>[±5.0]</w:t>
            </w:r>
          </w:p>
        </w:tc>
      </w:tr>
      <w:tr w:rsidR="00C91B26" w14:paraId="4DBBA239"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vAlign w:val="center"/>
            <w:hideMark/>
          </w:tcPr>
          <w:p w14:paraId="40B77E61" w14:textId="77777777" w:rsidR="00C91B26" w:rsidRDefault="00C91B26" w:rsidP="00C91B26">
            <w:pPr>
              <w:pStyle w:val="TAC"/>
            </w:pPr>
            <w:r>
              <w:t>4 ≤ ΔP &lt; 10</w:t>
            </w:r>
          </w:p>
        </w:tc>
        <w:tc>
          <w:tcPr>
            <w:tcW w:w="2977" w:type="dxa"/>
            <w:tcBorders>
              <w:top w:val="single" w:sz="4" w:space="0" w:color="auto"/>
              <w:left w:val="single" w:sz="4" w:space="0" w:color="auto"/>
              <w:bottom w:val="single" w:sz="4" w:space="0" w:color="auto"/>
              <w:right w:val="single" w:sz="4" w:space="0" w:color="auto"/>
            </w:tcBorders>
            <w:vAlign w:val="center"/>
            <w:hideMark/>
          </w:tcPr>
          <w:p w14:paraId="5A7821F5" w14:textId="565C43DF" w:rsidR="00C91B26" w:rsidRDefault="00C91B26" w:rsidP="00C91B26">
            <w:pPr>
              <w:pStyle w:val="TAC"/>
            </w:pPr>
            <w:r>
              <w:t>[±6.0]</w:t>
            </w:r>
          </w:p>
        </w:tc>
      </w:tr>
    </w:tbl>
    <w:p w14:paraId="324B45F7" w14:textId="77777777" w:rsidR="00D52CD6" w:rsidRDefault="00D52CD6" w:rsidP="00C91B26"/>
    <w:p w14:paraId="0CC7E5BB" w14:textId="7F4F889F" w:rsidR="00D52CD6" w:rsidRPr="00680798" w:rsidRDefault="00D52CD6" w:rsidP="00D52CD6">
      <w:pPr>
        <w:pStyle w:val="Heading5"/>
      </w:pPr>
      <w:bookmarkStart w:id="4539" w:name="_Toc53185455"/>
      <w:bookmarkStart w:id="4540" w:name="_Toc53185831"/>
      <w:bookmarkStart w:id="4541" w:name="_Toc57820316"/>
      <w:bookmarkStart w:id="4542" w:name="_Toc57821243"/>
      <w:bookmarkStart w:id="4543" w:name="_Toc61183519"/>
      <w:bookmarkStart w:id="4544" w:name="_Toc61183913"/>
      <w:bookmarkStart w:id="4545" w:name="_Toc61184305"/>
      <w:bookmarkStart w:id="4546" w:name="_Toc61184697"/>
      <w:bookmarkStart w:id="4547" w:name="_Toc61185087"/>
      <w:bookmarkStart w:id="4548" w:name="_Toc66386431"/>
      <w:bookmarkStart w:id="4549" w:name="_Toc74583334"/>
      <w:bookmarkStart w:id="4550" w:name="_Toc76542147"/>
      <w:bookmarkStart w:id="4551" w:name="_Toc82450129"/>
      <w:bookmarkStart w:id="4552" w:name="_Toc82450777"/>
      <w:bookmarkStart w:id="4553" w:name="_Toc89949166"/>
      <w:bookmarkStart w:id="4554" w:name="_Toc98755555"/>
      <w:bookmarkStart w:id="4555" w:name="_Toc98763146"/>
      <w:bookmarkStart w:id="4556" w:name="_Toc106184075"/>
      <w:r w:rsidRPr="00680798">
        <w:t>9.4.</w:t>
      </w:r>
      <w:r w:rsidR="00CB6483">
        <w:t>3</w:t>
      </w:r>
      <w:r w:rsidRPr="00680798">
        <w:t>.</w:t>
      </w:r>
      <w:r>
        <w:t>2.2</w:t>
      </w:r>
      <w:r w:rsidRPr="00680798">
        <w:tab/>
        <w:t xml:space="preserve">Aggregate </w:t>
      </w:r>
      <w:r>
        <w:t>EIRP</w:t>
      </w:r>
      <w:r w:rsidRPr="00680798">
        <w:t xml:space="preserve"> tolerance for local area IAB-MT type </w:t>
      </w:r>
      <w:r>
        <w:t>2</w:t>
      </w:r>
      <w:r w:rsidRPr="00680798">
        <w:t>-</w:t>
      </w:r>
      <w:r>
        <w:t>O</w:t>
      </w:r>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p>
    <w:p w14:paraId="6BC4F7F8" w14:textId="77777777" w:rsidR="00D52CD6" w:rsidRDefault="00D52CD6" w:rsidP="00D52CD6">
      <w:r>
        <w:t>The aggregate EIRP control tolerance is the ability of the transmitter to maintain its EIRP in a sub-frame (1 ms) during non-contiguous transmissions within [21ms] in response to 0 dB TPC commands with respect to the first UE transmission and all other power control parameters as specified in 3GPP TS 38.213 [10] kept constant.</w:t>
      </w:r>
    </w:p>
    <w:p w14:paraId="7E69D868" w14:textId="4902A37B" w:rsidR="00D52CD6" w:rsidRDefault="00D52CD6" w:rsidP="00D52CD6">
      <w:pPr>
        <w:rPr>
          <w:rFonts w:eastAsia="MS Mincho"/>
        </w:rPr>
      </w:pPr>
      <w:r>
        <w:t>The minimum requirements specified in Table 9.4.</w:t>
      </w:r>
      <w:r w:rsidR="00E91D84">
        <w:t>3</w:t>
      </w:r>
      <w:r>
        <w:t>.1.2-1 apply only when the output power is within the limits set by declared maximum output power and specified dynamic range.</w:t>
      </w:r>
    </w:p>
    <w:p w14:paraId="3D9FFC9A" w14:textId="2E1215CE" w:rsidR="00D52CD6" w:rsidRDefault="00D52CD6" w:rsidP="00D52CD6">
      <w:pPr>
        <w:pStyle w:val="TH"/>
      </w:pPr>
      <w:r>
        <w:lastRenderedPageBreak/>
        <w:t>Table 9.4.</w:t>
      </w:r>
      <w:r w:rsidR="00E91D84">
        <w:t>3</w:t>
      </w:r>
      <w:r>
        <w:t>.2.2-1: Aggregate power tolerance</w:t>
      </w:r>
      <w:r w:rsidRPr="00F117ED">
        <w:t xml:space="preserve"> </w:t>
      </w:r>
      <w:r w:rsidRPr="00680798">
        <w:t xml:space="preserve">for local area IAB-MT type </w:t>
      </w:r>
      <w:r>
        <w:t>2</w:t>
      </w:r>
      <w:r w:rsidRPr="00680798">
        <w: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77"/>
      </w:tblGrid>
      <w:tr w:rsidR="00D52CD6" w:rsidRPr="00F117ED" w14:paraId="34A94007"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3DAA6C4C" w14:textId="77777777" w:rsidR="00D52CD6" w:rsidRDefault="00D52CD6" w:rsidP="00BD1F8C">
            <w:pPr>
              <w:pStyle w:val="TAH"/>
            </w:pPr>
            <w:r>
              <w:t>TPC command</w:t>
            </w:r>
          </w:p>
        </w:tc>
        <w:tc>
          <w:tcPr>
            <w:tcW w:w="2977" w:type="dxa"/>
            <w:tcBorders>
              <w:top w:val="single" w:sz="4" w:space="0" w:color="auto"/>
              <w:left w:val="single" w:sz="4" w:space="0" w:color="auto"/>
              <w:bottom w:val="single" w:sz="4" w:space="0" w:color="auto"/>
              <w:right w:val="single" w:sz="4" w:space="0" w:color="auto"/>
            </w:tcBorders>
            <w:hideMark/>
          </w:tcPr>
          <w:p w14:paraId="4E097CF8" w14:textId="77777777" w:rsidR="00D52CD6" w:rsidRDefault="00D52CD6" w:rsidP="00BD1F8C">
            <w:pPr>
              <w:pStyle w:val="TAH"/>
            </w:pPr>
            <w:r>
              <w:t>UL channel</w:t>
            </w:r>
          </w:p>
        </w:tc>
        <w:tc>
          <w:tcPr>
            <w:tcW w:w="2977" w:type="dxa"/>
            <w:tcBorders>
              <w:top w:val="single" w:sz="4" w:space="0" w:color="auto"/>
              <w:left w:val="single" w:sz="4" w:space="0" w:color="auto"/>
              <w:bottom w:val="single" w:sz="4" w:space="0" w:color="auto"/>
              <w:right w:val="single" w:sz="4" w:space="0" w:color="auto"/>
            </w:tcBorders>
            <w:hideMark/>
          </w:tcPr>
          <w:p w14:paraId="5D0C1C5F" w14:textId="77777777" w:rsidR="00D52CD6" w:rsidRDefault="00D52CD6" w:rsidP="00BD1F8C">
            <w:pPr>
              <w:pStyle w:val="TAH"/>
            </w:pPr>
            <w:r>
              <w:t>Aggregate EIRP tolerance within [21 ms]</w:t>
            </w:r>
          </w:p>
        </w:tc>
      </w:tr>
      <w:tr w:rsidR="00C91B26" w14:paraId="52FB9BBC"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5C0A2C60" w14:textId="77777777" w:rsidR="00C91B26" w:rsidRDefault="00C91B26" w:rsidP="00C91B26">
            <w:pPr>
              <w:pStyle w:val="TAC"/>
            </w:pPr>
            <w:r>
              <w:t>0 dB</w:t>
            </w:r>
          </w:p>
        </w:tc>
        <w:tc>
          <w:tcPr>
            <w:tcW w:w="2977" w:type="dxa"/>
            <w:tcBorders>
              <w:top w:val="single" w:sz="4" w:space="0" w:color="auto"/>
              <w:left w:val="single" w:sz="4" w:space="0" w:color="auto"/>
              <w:bottom w:val="single" w:sz="4" w:space="0" w:color="auto"/>
              <w:right w:val="single" w:sz="4" w:space="0" w:color="auto"/>
            </w:tcBorders>
            <w:hideMark/>
          </w:tcPr>
          <w:p w14:paraId="0D5544EE" w14:textId="77777777" w:rsidR="00C91B26" w:rsidRDefault="00C91B26" w:rsidP="00C91B26">
            <w:pPr>
              <w:pStyle w:val="TAC"/>
            </w:pPr>
            <w:r>
              <w:t>PUCCH</w:t>
            </w:r>
          </w:p>
        </w:tc>
        <w:tc>
          <w:tcPr>
            <w:tcW w:w="2977" w:type="dxa"/>
            <w:tcBorders>
              <w:top w:val="single" w:sz="4" w:space="0" w:color="auto"/>
              <w:left w:val="single" w:sz="4" w:space="0" w:color="auto"/>
              <w:bottom w:val="single" w:sz="4" w:space="0" w:color="auto"/>
              <w:right w:val="single" w:sz="4" w:space="0" w:color="auto"/>
            </w:tcBorders>
            <w:hideMark/>
          </w:tcPr>
          <w:p w14:paraId="1B422113" w14:textId="2CA4B028" w:rsidR="00C91B26" w:rsidRDefault="00C91B26" w:rsidP="00C91B26">
            <w:pPr>
              <w:pStyle w:val="TAC"/>
            </w:pPr>
            <w:r>
              <w:t>[± 3.5 dB]</w:t>
            </w:r>
          </w:p>
        </w:tc>
      </w:tr>
      <w:tr w:rsidR="00C91B26" w14:paraId="60839B4B" w14:textId="77777777" w:rsidTr="00BD1F8C">
        <w:trPr>
          <w:jc w:val="center"/>
        </w:trPr>
        <w:tc>
          <w:tcPr>
            <w:tcW w:w="1951" w:type="dxa"/>
            <w:tcBorders>
              <w:top w:val="single" w:sz="4" w:space="0" w:color="auto"/>
              <w:left w:val="single" w:sz="4" w:space="0" w:color="auto"/>
              <w:bottom w:val="single" w:sz="4" w:space="0" w:color="auto"/>
              <w:right w:val="single" w:sz="4" w:space="0" w:color="auto"/>
            </w:tcBorders>
            <w:hideMark/>
          </w:tcPr>
          <w:p w14:paraId="1992603A" w14:textId="77777777" w:rsidR="00C91B26" w:rsidRDefault="00C91B26" w:rsidP="00C91B26">
            <w:pPr>
              <w:pStyle w:val="TAC"/>
            </w:pPr>
            <w:r>
              <w:t>0 dB</w:t>
            </w:r>
          </w:p>
        </w:tc>
        <w:tc>
          <w:tcPr>
            <w:tcW w:w="2977" w:type="dxa"/>
            <w:tcBorders>
              <w:top w:val="single" w:sz="4" w:space="0" w:color="auto"/>
              <w:left w:val="single" w:sz="4" w:space="0" w:color="auto"/>
              <w:bottom w:val="single" w:sz="4" w:space="0" w:color="auto"/>
              <w:right w:val="single" w:sz="4" w:space="0" w:color="auto"/>
            </w:tcBorders>
            <w:hideMark/>
          </w:tcPr>
          <w:p w14:paraId="1F825E40" w14:textId="77777777" w:rsidR="00C91B26" w:rsidRDefault="00C91B26" w:rsidP="00C91B26">
            <w:pPr>
              <w:pStyle w:val="TAC"/>
            </w:pPr>
            <w:r>
              <w:t>PUSCH</w:t>
            </w:r>
          </w:p>
        </w:tc>
        <w:tc>
          <w:tcPr>
            <w:tcW w:w="2977" w:type="dxa"/>
            <w:tcBorders>
              <w:top w:val="single" w:sz="4" w:space="0" w:color="auto"/>
              <w:left w:val="single" w:sz="4" w:space="0" w:color="auto"/>
              <w:bottom w:val="single" w:sz="4" w:space="0" w:color="auto"/>
              <w:right w:val="single" w:sz="4" w:space="0" w:color="auto"/>
            </w:tcBorders>
            <w:hideMark/>
          </w:tcPr>
          <w:p w14:paraId="6766742C" w14:textId="4506C8D2" w:rsidR="00C91B26" w:rsidRDefault="00C91B26" w:rsidP="00C91B26">
            <w:pPr>
              <w:pStyle w:val="TAC"/>
            </w:pPr>
            <w:r>
              <w:t>[± 3.5 dB]</w:t>
            </w:r>
          </w:p>
        </w:tc>
      </w:tr>
    </w:tbl>
    <w:p w14:paraId="0E7D0DBD" w14:textId="77777777" w:rsidR="00D52CD6" w:rsidRPr="00CF394A" w:rsidRDefault="00D52CD6" w:rsidP="007A1E38"/>
    <w:p w14:paraId="0144F69B" w14:textId="77777777" w:rsidR="00077B6E" w:rsidRDefault="00077B6E" w:rsidP="00077B6E">
      <w:pPr>
        <w:pStyle w:val="Heading2"/>
        <w:rPr>
          <w:rFonts w:eastAsiaTheme="minorEastAsia"/>
          <w:lang w:eastAsia="zh-CN"/>
        </w:rPr>
      </w:pPr>
      <w:bookmarkStart w:id="4557" w:name="_Toc53185456"/>
      <w:bookmarkStart w:id="4558" w:name="_Toc53185832"/>
      <w:bookmarkStart w:id="4559" w:name="_Toc57820317"/>
      <w:bookmarkStart w:id="4560" w:name="_Toc57821244"/>
      <w:bookmarkStart w:id="4561" w:name="_Toc61183520"/>
      <w:bookmarkStart w:id="4562" w:name="_Toc61183914"/>
      <w:bookmarkStart w:id="4563" w:name="_Toc61184306"/>
      <w:bookmarkStart w:id="4564" w:name="_Toc61184698"/>
      <w:bookmarkStart w:id="4565" w:name="_Toc61185088"/>
      <w:bookmarkStart w:id="4566" w:name="_Toc66386432"/>
      <w:bookmarkStart w:id="4567" w:name="_Toc74583335"/>
      <w:bookmarkStart w:id="4568" w:name="_Toc76542148"/>
      <w:bookmarkStart w:id="4569" w:name="_Toc82450130"/>
      <w:bookmarkStart w:id="4570" w:name="_Toc82450778"/>
      <w:bookmarkStart w:id="4571" w:name="_Toc89949167"/>
      <w:bookmarkStart w:id="4572" w:name="_Toc98755556"/>
      <w:bookmarkStart w:id="4573" w:name="_Toc98763147"/>
      <w:bookmarkStart w:id="4574" w:name="_Toc106184076"/>
      <w:r w:rsidRPr="007E346D">
        <w:t>9.5</w:t>
      </w:r>
      <w:r w:rsidRPr="007E346D">
        <w:tab/>
        <w:t>OTA transmit ON/OFF power</w:t>
      </w:r>
      <w:bookmarkEnd w:id="4447"/>
      <w:bookmarkEnd w:id="4448"/>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p>
    <w:p w14:paraId="78901E6C" w14:textId="77777777" w:rsidR="0076232D" w:rsidRDefault="0076232D" w:rsidP="0076232D">
      <w:pPr>
        <w:pStyle w:val="Heading3"/>
      </w:pPr>
      <w:bookmarkStart w:id="4575" w:name="_Toc29811847"/>
      <w:bookmarkStart w:id="4576" w:name="_Toc21127638"/>
      <w:bookmarkStart w:id="4577" w:name="_Toc53185457"/>
      <w:bookmarkStart w:id="4578" w:name="_Toc53185833"/>
      <w:bookmarkStart w:id="4579" w:name="_Toc57820318"/>
      <w:bookmarkStart w:id="4580" w:name="_Toc57821245"/>
      <w:bookmarkStart w:id="4581" w:name="_Toc61183521"/>
      <w:bookmarkStart w:id="4582" w:name="_Toc61183915"/>
      <w:bookmarkStart w:id="4583" w:name="_Toc61184307"/>
      <w:bookmarkStart w:id="4584" w:name="_Toc61184699"/>
      <w:bookmarkStart w:id="4585" w:name="_Toc61185089"/>
      <w:bookmarkStart w:id="4586" w:name="_Toc66386433"/>
      <w:bookmarkStart w:id="4587" w:name="_Toc74583336"/>
      <w:bookmarkStart w:id="4588" w:name="_Toc76542149"/>
      <w:bookmarkStart w:id="4589" w:name="_Toc82450131"/>
      <w:bookmarkStart w:id="4590" w:name="_Toc82450779"/>
      <w:bookmarkStart w:id="4591" w:name="_Toc89949168"/>
      <w:bookmarkStart w:id="4592" w:name="_Toc98755557"/>
      <w:bookmarkStart w:id="4593" w:name="_Toc98763148"/>
      <w:bookmarkStart w:id="4594" w:name="_Toc106184077"/>
      <w:r>
        <w:t>9.5.1</w:t>
      </w:r>
      <w:r>
        <w:tab/>
        <w:t>General</w:t>
      </w:r>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p>
    <w:p w14:paraId="397EB324" w14:textId="4ACAA79B" w:rsidR="00C91B26" w:rsidRPr="00C91B26" w:rsidRDefault="00C91B26" w:rsidP="00C91B26">
      <w:pPr>
        <w:pStyle w:val="Guidance"/>
        <w:rPr>
          <w:rFonts w:cs="v4.2.0"/>
          <w:color w:val="auto"/>
        </w:rPr>
      </w:pPr>
      <w:bookmarkStart w:id="4595" w:name="_Toc29811848"/>
      <w:bookmarkStart w:id="4596" w:name="_Toc21127639"/>
      <w:bookmarkStart w:id="4597" w:name="_Toc53185458"/>
      <w:bookmarkStart w:id="4598" w:name="_Toc53185834"/>
      <w:r>
        <w:rPr>
          <w:i w:val="0"/>
          <w:color w:val="auto"/>
          <w:lang w:eastAsia="zh-CN"/>
        </w:rPr>
        <w:t>OTA t</w:t>
      </w:r>
      <w:r>
        <w:rPr>
          <w:i w:val="0"/>
          <w:color w:val="auto"/>
        </w:rPr>
        <w:t>ransmit ON/OFF power requirements</w:t>
      </w:r>
      <w:r>
        <w:rPr>
          <w:i w:val="0"/>
          <w:color w:val="auto"/>
          <w:kern w:val="2"/>
          <w:lang w:eastAsia="zh-CN"/>
        </w:rPr>
        <w:t xml:space="preserve"> apply to TDD operation of </w:t>
      </w:r>
      <w:r>
        <w:rPr>
          <w:rFonts w:hint="eastAsia"/>
          <w:i w:val="0"/>
          <w:color w:val="auto"/>
          <w:kern w:val="2"/>
          <w:lang w:eastAsia="zh-CN"/>
        </w:rPr>
        <w:t>IAB-DU and TDD operation of IAB-MT</w:t>
      </w:r>
      <w:r>
        <w:rPr>
          <w:i w:val="0"/>
          <w:color w:val="auto"/>
        </w:rPr>
        <w:t>.</w:t>
      </w:r>
    </w:p>
    <w:p w14:paraId="3A1665FC" w14:textId="77777777" w:rsidR="0076232D" w:rsidRDefault="0076232D" w:rsidP="0076232D">
      <w:pPr>
        <w:pStyle w:val="Heading3"/>
      </w:pPr>
      <w:bookmarkStart w:id="4599" w:name="_Toc57820319"/>
      <w:bookmarkStart w:id="4600" w:name="_Toc57821246"/>
      <w:bookmarkStart w:id="4601" w:name="_Toc61183522"/>
      <w:bookmarkStart w:id="4602" w:name="_Toc61183916"/>
      <w:bookmarkStart w:id="4603" w:name="_Toc61184308"/>
      <w:bookmarkStart w:id="4604" w:name="_Toc61184700"/>
      <w:bookmarkStart w:id="4605" w:name="_Toc61185090"/>
      <w:bookmarkStart w:id="4606" w:name="_Toc66386434"/>
      <w:bookmarkStart w:id="4607" w:name="_Toc74583337"/>
      <w:bookmarkStart w:id="4608" w:name="_Toc76542150"/>
      <w:bookmarkStart w:id="4609" w:name="_Toc82450132"/>
      <w:bookmarkStart w:id="4610" w:name="_Toc82450780"/>
      <w:bookmarkStart w:id="4611" w:name="_Toc89949169"/>
      <w:bookmarkStart w:id="4612" w:name="_Toc98755558"/>
      <w:bookmarkStart w:id="4613" w:name="_Toc98763149"/>
      <w:bookmarkStart w:id="4614" w:name="_Toc106184078"/>
      <w:r>
        <w:t>9.5.2</w:t>
      </w:r>
      <w:r>
        <w:tab/>
        <w:t>OTA transmitter OFF power</w:t>
      </w:r>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p>
    <w:p w14:paraId="0853506A" w14:textId="77777777" w:rsidR="0076232D" w:rsidRDefault="0076232D" w:rsidP="0076232D">
      <w:pPr>
        <w:pStyle w:val="Heading4"/>
      </w:pPr>
      <w:bookmarkStart w:id="4615" w:name="_Toc29811849"/>
      <w:bookmarkStart w:id="4616" w:name="_Toc21127640"/>
      <w:bookmarkStart w:id="4617" w:name="_Toc53185459"/>
      <w:bookmarkStart w:id="4618" w:name="_Toc53185835"/>
      <w:bookmarkStart w:id="4619" w:name="_Toc57820320"/>
      <w:bookmarkStart w:id="4620" w:name="_Toc57821247"/>
      <w:bookmarkStart w:id="4621" w:name="_Toc61183523"/>
      <w:bookmarkStart w:id="4622" w:name="_Toc61183917"/>
      <w:bookmarkStart w:id="4623" w:name="_Toc61184309"/>
      <w:bookmarkStart w:id="4624" w:name="_Toc61184701"/>
      <w:bookmarkStart w:id="4625" w:name="_Toc61185091"/>
      <w:bookmarkStart w:id="4626" w:name="_Toc66386435"/>
      <w:bookmarkStart w:id="4627" w:name="_Toc74583338"/>
      <w:bookmarkStart w:id="4628" w:name="_Toc76542151"/>
      <w:bookmarkStart w:id="4629" w:name="_Toc82450133"/>
      <w:bookmarkStart w:id="4630" w:name="_Toc82450781"/>
      <w:bookmarkStart w:id="4631" w:name="_Toc89949170"/>
      <w:bookmarkStart w:id="4632" w:name="_Toc98755559"/>
      <w:bookmarkStart w:id="4633" w:name="_Toc98763150"/>
      <w:bookmarkStart w:id="4634" w:name="_Toc106184079"/>
      <w:r>
        <w:t>9.5.2.1</w:t>
      </w:r>
      <w:r>
        <w:tab/>
        <w:t>General</w:t>
      </w:r>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p>
    <w:p w14:paraId="7F409A24" w14:textId="77777777" w:rsidR="0076232D" w:rsidRDefault="0076232D" w:rsidP="0076232D">
      <w:r>
        <w:t xml:space="preserve">OTA transmitter OFF power is defined as the mean power measured over 70/N µs filtered with a square filter of bandwidth equal to the </w:t>
      </w:r>
      <w:r>
        <w:rPr>
          <w:i/>
        </w:rPr>
        <w:t>transmission bandwidth configuration</w:t>
      </w:r>
      <w:r>
        <w:t xml:space="preserve"> of the </w:t>
      </w:r>
      <w:r>
        <w:rPr>
          <w:rFonts w:hint="eastAsia"/>
        </w:rPr>
        <w:t>IAB</w:t>
      </w:r>
      <w:r>
        <w:t xml:space="preserve"> (BW</w:t>
      </w:r>
      <w:r>
        <w:rPr>
          <w:vertAlign w:val="subscript"/>
        </w:rPr>
        <w:t>Config</w:t>
      </w:r>
      <w:r>
        <w:t>) centred</w:t>
      </w:r>
      <w:bookmarkStart w:id="4635" w:name="_Hlk498674997"/>
      <w:r>
        <w:t xml:space="preserve"> on the assigned channel frequency during the </w:t>
      </w:r>
      <w:r>
        <w:rPr>
          <w:i/>
        </w:rPr>
        <w:t>transmitter OFF period</w:t>
      </w:r>
      <w:r>
        <w:t>. N = SCS/15, where SCS is Sub Carrier Spacing in kHz</w:t>
      </w:r>
      <w:bookmarkEnd w:id="4635"/>
      <w:r>
        <w:t>.</w:t>
      </w:r>
    </w:p>
    <w:p w14:paraId="25759CA5" w14:textId="798E31E7" w:rsidR="007905EC" w:rsidRDefault="007905EC" w:rsidP="007905EC">
      <w:r>
        <w:t xml:space="preserve">For </w:t>
      </w:r>
      <w:r>
        <w:rPr>
          <w:rFonts w:hint="eastAsia"/>
        </w:rPr>
        <w:t>IAB</w:t>
      </w:r>
      <w:r>
        <w:t xml:space="preserve"> supporting intra-band contiguous CA, the </w:t>
      </w:r>
      <w:r>
        <w:rPr>
          <w:lang w:val="en-US"/>
        </w:rPr>
        <w:t xml:space="preserve">OTA </w:t>
      </w:r>
      <w:r>
        <w:t>transmitter OFF power is defined as the mean power measured over 70</w:t>
      </w:r>
      <w:r>
        <w:rPr>
          <w:lang w:val="en-US"/>
        </w:rPr>
        <w:t>/N</w:t>
      </w:r>
      <w:r>
        <w:t xml:space="preserve"> us filtered with a square filter of bandwidth equal to the </w:t>
      </w:r>
      <w:r w:rsidRPr="00AF5F1C">
        <w:rPr>
          <w:i/>
          <w:iCs/>
        </w:rPr>
        <w:t xml:space="preserve">Aggregated </w:t>
      </w:r>
      <w:r w:rsidRPr="00AF5F1C">
        <w:rPr>
          <w:rFonts w:hint="eastAsia"/>
          <w:i/>
          <w:iCs/>
          <w:lang w:val="en-US"/>
        </w:rPr>
        <w:t>IAB</w:t>
      </w:r>
      <w:r>
        <w:rPr>
          <w:rFonts w:hint="eastAsia"/>
          <w:i/>
          <w:iCs/>
          <w:lang w:val="en-US"/>
        </w:rPr>
        <w:t>-DU</w:t>
      </w:r>
      <w:r>
        <w:rPr>
          <w:i/>
          <w:iCs/>
          <w:lang w:val="en-US"/>
        </w:rPr>
        <w:t xml:space="preserve"> </w:t>
      </w:r>
      <w:r w:rsidRPr="00361F12">
        <w:rPr>
          <w:lang w:val="en-US"/>
        </w:rPr>
        <w:t>or</w:t>
      </w:r>
      <w:r>
        <w:rPr>
          <w:i/>
          <w:iCs/>
          <w:lang w:val="en-US"/>
        </w:rPr>
        <w:t xml:space="preserve"> IAB-</w:t>
      </w:r>
      <w:r>
        <w:rPr>
          <w:rFonts w:hint="eastAsia"/>
          <w:i/>
          <w:iCs/>
          <w:lang w:val="en-US"/>
        </w:rPr>
        <w:t>MT</w:t>
      </w:r>
      <w:r w:rsidRPr="00AF5F1C">
        <w:rPr>
          <w:rFonts w:hint="eastAsia"/>
          <w:i/>
          <w:iCs/>
          <w:lang w:val="en-US"/>
        </w:rPr>
        <w:t xml:space="preserve"> </w:t>
      </w:r>
      <w:r w:rsidRPr="00AF5F1C">
        <w:rPr>
          <w:i/>
          <w:iCs/>
        </w:rPr>
        <w:t>Channel Bandwidth</w:t>
      </w:r>
      <w:r w:rsidRPr="00AF5F1C">
        <w:t xml:space="preserve"> </w:t>
      </w:r>
      <w:r w:rsidRPr="00AF5F1C">
        <w:rPr>
          <w:bCs/>
        </w:rPr>
        <w:t>BW</w:t>
      </w:r>
      <w:r w:rsidRPr="00AF5F1C">
        <w:rPr>
          <w:bCs/>
          <w:vertAlign w:val="subscript"/>
        </w:rPr>
        <w:t>Channel_CA</w:t>
      </w:r>
      <w:r>
        <w:rPr>
          <w:bCs/>
        </w:rPr>
        <w:t xml:space="preserve"> centred on (F</w:t>
      </w:r>
      <w:r>
        <w:rPr>
          <w:bCs/>
          <w:vertAlign w:val="subscript"/>
        </w:rPr>
        <w:t>edge,high</w:t>
      </w:r>
      <w:r>
        <w:rPr>
          <w:bCs/>
        </w:rPr>
        <w:t>+F</w:t>
      </w:r>
      <w:r>
        <w:rPr>
          <w:bCs/>
          <w:vertAlign w:val="subscript"/>
        </w:rPr>
        <w:t>edge,low</w:t>
      </w:r>
      <w:r>
        <w:rPr>
          <w:bCs/>
        </w:rPr>
        <w:t xml:space="preserve">)/2 during the </w:t>
      </w:r>
      <w:r>
        <w:rPr>
          <w:bCs/>
          <w:i/>
          <w:iCs/>
        </w:rPr>
        <w:t>transmitter OFF period</w:t>
      </w:r>
      <w:r>
        <w:rPr>
          <w:bCs/>
        </w:rPr>
        <w:t>.</w:t>
      </w:r>
      <w:r>
        <w:rPr>
          <w:bCs/>
          <w:lang w:val="en-US"/>
        </w:rPr>
        <w:t xml:space="preserve"> </w:t>
      </w:r>
      <w:r>
        <w:t xml:space="preserve">N = SCS/15, where SCS is </w:t>
      </w:r>
      <w:r>
        <w:rPr>
          <w:lang w:val="en-US"/>
        </w:rPr>
        <w:t xml:space="preserve">the smallest supported </w:t>
      </w:r>
      <w:r>
        <w:t>Sub Carrier Spacing in kHz</w:t>
      </w:r>
      <w:r>
        <w:rPr>
          <w:lang w:val="en-US"/>
        </w:rPr>
        <w:t xml:space="preserve"> in the </w:t>
      </w:r>
      <w:r>
        <w:rPr>
          <w:i/>
          <w:iCs/>
        </w:rPr>
        <w:t xml:space="preserve">Aggregated </w:t>
      </w:r>
      <w:r>
        <w:rPr>
          <w:rFonts w:hint="eastAsia"/>
          <w:i/>
          <w:iCs/>
        </w:rPr>
        <w:t>IAB</w:t>
      </w:r>
      <w:r>
        <w:rPr>
          <w:i/>
          <w:iCs/>
        </w:rPr>
        <w:t>-DU</w:t>
      </w:r>
      <w:r>
        <w:rPr>
          <w:rFonts w:hint="eastAsia"/>
          <w:i/>
          <w:iCs/>
        </w:rPr>
        <w:t xml:space="preserve"> </w:t>
      </w:r>
      <w:r>
        <w:rPr>
          <w:i/>
          <w:iCs/>
        </w:rPr>
        <w:t>Channel Bandwidth</w:t>
      </w:r>
      <w:r>
        <w:t xml:space="preserve"> or </w:t>
      </w:r>
      <w:r>
        <w:rPr>
          <w:i/>
          <w:iCs/>
        </w:rPr>
        <w:t>Aggregated IAB-MT Channel Bandwidth</w:t>
      </w:r>
      <w:r>
        <w:t>.</w:t>
      </w:r>
    </w:p>
    <w:p w14:paraId="2DB09103" w14:textId="77777777" w:rsidR="0076232D" w:rsidRDefault="0076232D" w:rsidP="0076232D">
      <w:r>
        <w:t xml:space="preserve">For </w:t>
      </w:r>
      <w:r>
        <w:rPr>
          <w:rFonts w:hint="eastAsia"/>
          <w:i/>
        </w:rPr>
        <w:t>IAB</w:t>
      </w:r>
      <w:r>
        <w:rPr>
          <w:i/>
        </w:rPr>
        <w:t xml:space="preserve"> type 1-O</w:t>
      </w:r>
      <w:r>
        <w:t xml:space="preserve">, the transmitter OFF power is defined as the output power at the </w:t>
      </w:r>
      <w:r>
        <w:rPr>
          <w:i/>
        </w:rPr>
        <w:t>co-location reference antenna</w:t>
      </w:r>
      <w:r>
        <w:t xml:space="preserve"> conducted output(s). For </w:t>
      </w:r>
      <w:r>
        <w:rPr>
          <w:rFonts w:hint="eastAsia"/>
          <w:i/>
        </w:rPr>
        <w:t>IAB</w:t>
      </w:r>
      <w:r>
        <w:rPr>
          <w:i/>
        </w:rPr>
        <w:t xml:space="preserve"> type 2-O</w:t>
      </w:r>
      <w:r>
        <w:t xml:space="preserve"> the transmitter OFF power is defined as TRP.</w:t>
      </w:r>
    </w:p>
    <w:p w14:paraId="69B7D98F" w14:textId="77777777" w:rsidR="0076232D" w:rsidRDefault="0076232D" w:rsidP="0076232D">
      <w:r>
        <w:t xml:space="preserve">For </w:t>
      </w:r>
      <w:r>
        <w:rPr>
          <w:i/>
        </w:rPr>
        <w:t>multi-band</w:t>
      </w:r>
      <w:r>
        <w:t xml:space="preserve"> </w:t>
      </w:r>
      <w:r>
        <w:rPr>
          <w:i/>
        </w:rPr>
        <w:t xml:space="preserve">RIBs </w:t>
      </w:r>
      <w:bookmarkStart w:id="4636" w:name="_Hlk528438836"/>
      <w:r>
        <w:t>and</w:t>
      </w:r>
      <w:r>
        <w:rPr>
          <w:i/>
        </w:rPr>
        <w:t xml:space="preserve"> single band RIBs </w:t>
      </w:r>
      <w:r>
        <w:t>supporting transmission in multiple bands</w:t>
      </w:r>
      <w:bookmarkEnd w:id="4636"/>
      <w:r>
        <w:t xml:space="preserve">, the requirement is only applicable during the </w:t>
      </w:r>
      <w:r>
        <w:rPr>
          <w:i/>
        </w:rPr>
        <w:t>transmitter OFF period</w:t>
      </w:r>
      <w:r>
        <w:t xml:space="preserve"> in all supported </w:t>
      </w:r>
      <w:r>
        <w:rPr>
          <w:i/>
        </w:rPr>
        <w:t>operating bands</w:t>
      </w:r>
      <w:r>
        <w:t>.</w:t>
      </w:r>
    </w:p>
    <w:p w14:paraId="4D222900" w14:textId="5D16E0A5" w:rsidR="0076232D" w:rsidRDefault="0076232D" w:rsidP="0076232D">
      <w:pPr>
        <w:pStyle w:val="Heading4"/>
      </w:pPr>
      <w:bookmarkStart w:id="4637" w:name="_Toc53185460"/>
      <w:bookmarkStart w:id="4638" w:name="_Toc53185836"/>
      <w:bookmarkStart w:id="4639" w:name="_Toc57820321"/>
      <w:bookmarkStart w:id="4640" w:name="_Toc57821248"/>
      <w:bookmarkStart w:id="4641" w:name="_Toc61183524"/>
      <w:bookmarkStart w:id="4642" w:name="_Toc61183918"/>
      <w:bookmarkStart w:id="4643" w:name="_Toc61184310"/>
      <w:bookmarkStart w:id="4644" w:name="_Toc61184702"/>
      <w:bookmarkStart w:id="4645" w:name="_Toc61185092"/>
      <w:bookmarkStart w:id="4646" w:name="_Toc66386436"/>
      <w:bookmarkStart w:id="4647" w:name="_Toc74583339"/>
      <w:bookmarkStart w:id="4648" w:name="_Toc76542152"/>
      <w:bookmarkStart w:id="4649" w:name="_Toc82450134"/>
      <w:bookmarkStart w:id="4650" w:name="_Toc82450782"/>
      <w:bookmarkStart w:id="4651" w:name="_Toc89949171"/>
      <w:bookmarkStart w:id="4652" w:name="_Toc98755560"/>
      <w:bookmarkStart w:id="4653" w:name="_Toc98763151"/>
      <w:bookmarkStart w:id="4654" w:name="_Toc106184080"/>
      <w:r>
        <w:rPr>
          <w:rFonts w:hint="eastAsia"/>
        </w:rPr>
        <w:t>9.5.2.2</w:t>
      </w:r>
      <w:r w:rsidR="00C91B26">
        <w:tab/>
      </w:r>
      <w:r>
        <w:t xml:space="preserve">Minimum requirement for </w:t>
      </w:r>
      <w:r w:rsidRPr="00FD6337">
        <w:rPr>
          <w:rFonts w:hint="eastAsia"/>
        </w:rPr>
        <w:t>IAB-DU</w:t>
      </w:r>
      <w:r w:rsidRPr="00FD6337">
        <w:t xml:space="preserve"> type 1-O</w:t>
      </w:r>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p>
    <w:p w14:paraId="328BCDFA" w14:textId="650C5450" w:rsidR="0076232D" w:rsidRPr="003217BD" w:rsidRDefault="0076232D" w:rsidP="0076232D">
      <w:r>
        <w:rPr>
          <w:rFonts w:hint="eastAsia"/>
        </w:rPr>
        <w:t xml:space="preserve">The BS requirements specified in </w:t>
      </w:r>
      <w:r>
        <w:t>9.5.2.2</w:t>
      </w:r>
      <w:r>
        <w:rPr>
          <w:rFonts w:hint="eastAsia"/>
        </w:rPr>
        <w:t xml:space="preserve"> in TS 38.104 [</w:t>
      </w:r>
      <w:r w:rsidR="00A4061E">
        <w:t>2</w:t>
      </w:r>
      <w:r>
        <w:rPr>
          <w:rFonts w:hint="eastAsia"/>
        </w:rPr>
        <w:t xml:space="preserve">] apply to </w:t>
      </w:r>
      <w:r>
        <w:rPr>
          <w:rFonts w:hint="eastAsia"/>
          <w:i/>
        </w:rPr>
        <w:t>IAB-DU</w:t>
      </w:r>
      <w:r>
        <w:rPr>
          <w:i/>
        </w:rPr>
        <w:t xml:space="preserve"> type 1-</w:t>
      </w:r>
      <w:r>
        <w:rPr>
          <w:rFonts w:hint="eastAsia"/>
          <w:i/>
        </w:rPr>
        <w:t>O</w:t>
      </w:r>
      <w:r>
        <w:t>.</w:t>
      </w:r>
    </w:p>
    <w:p w14:paraId="3869B5A7" w14:textId="45AEA962" w:rsidR="0076232D" w:rsidRDefault="0076232D" w:rsidP="0076232D">
      <w:pPr>
        <w:pStyle w:val="Heading4"/>
      </w:pPr>
      <w:bookmarkStart w:id="4655" w:name="_Toc53185461"/>
      <w:bookmarkStart w:id="4656" w:name="_Toc53185837"/>
      <w:bookmarkStart w:id="4657" w:name="_Toc57820322"/>
      <w:bookmarkStart w:id="4658" w:name="_Toc57821249"/>
      <w:bookmarkStart w:id="4659" w:name="_Toc61183525"/>
      <w:bookmarkStart w:id="4660" w:name="_Toc61183919"/>
      <w:bookmarkStart w:id="4661" w:name="_Toc61184311"/>
      <w:bookmarkStart w:id="4662" w:name="_Toc61184703"/>
      <w:bookmarkStart w:id="4663" w:name="_Toc61185093"/>
      <w:bookmarkStart w:id="4664" w:name="_Toc66386437"/>
      <w:bookmarkStart w:id="4665" w:name="_Toc74583340"/>
      <w:bookmarkStart w:id="4666" w:name="_Toc76542153"/>
      <w:bookmarkStart w:id="4667" w:name="_Toc82450135"/>
      <w:bookmarkStart w:id="4668" w:name="_Toc82450783"/>
      <w:bookmarkStart w:id="4669" w:name="_Toc89949172"/>
      <w:bookmarkStart w:id="4670" w:name="_Toc98755561"/>
      <w:bookmarkStart w:id="4671" w:name="_Toc98763152"/>
      <w:bookmarkStart w:id="4672" w:name="_Toc106184081"/>
      <w:r>
        <w:rPr>
          <w:rFonts w:hint="eastAsia"/>
        </w:rPr>
        <w:t>9.5.2.3</w:t>
      </w:r>
      <w:r w:rsidR="00C91B26">
        <w:tab/>
      </w:r>
      <w:r>
        <w:t xml:space="preserve">Minimum requirement for </w:t>
      </w:r>
      <w:r w:rsidRPr="00FD6337">
        <w:rPr>
          <w:rFonts w:hint="eastAsia"/>
        </w:rPr>
        <w:t>IAB-DU</w:t>
      </w:r>
      <w:r w:rsidRPr="00FD6337">
        <w:t xml:space="preserve"> type </w:t>
      </w:r>
      <w:r>
        <w:rPr>
          <w:rFonts w:hint="eastAsia"/>
        </w:rPr>
        <w:t>2</w:t>
      </w:r>
      <w:r w:rsidRPr="00FD6337">
        <w:t>-O</w:t>
      </w:r>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p>
    <w:p w14:paraId="4A6AAC99" w14:textId="24A163D2" w:rsidR="0076232D" w:rsidRPr="003217BD" w:rsidRDefault="0076232D" w:rsidP="0076232D">
      <w:r>
        <w:rPr>
          <w:rFonts w:hint="eastAsia"/>
        </w:rPr>
        <w:t xml:space="preserve">The BS requirements specified in </w:t>
      </w:r>
      <w:r>
        <w:t>9.5.2.</w:t>
      </w:r>
      <w:r>
        <w:rPr>
          <w:rFonts w:hint="eastAsia"/>
        </w:rPr>
        <w:t>3 in TS 38.104 [</w:t>
      </w:r>
      <w:r w:rsidR="00A4061E">
        <w:t>2</w:t>
      </w:r>
      <w:r>
        <w:rPr>
          <w:rFonts w:hint="eastAsia"/>
        </w:rPr>
        <w:t xml:space="preserve">] apply to </w:t>
      </w:r>
      <w:r>
        <w:rPr>
          <w:rFonts w:hint="eastAsia"/>
          <w:i/>
        </w:rPr>
        <w:t>IAB-DU</w:t>
      </w:r>
      <w:r>
        <w:rPr>
          <w:i/>
        </w:rPr>
        <w:t xml:space="preserve"> type 1-</w:t>
      </w:r>
      <w:r>
        <w:rPr>
          <w:rFonts w:hint="eastAsia"/>
          <w:i/>
        </w:rPr>
        <w:t>O</w:t>
      </w:r>
      <w:r>
        <w:t>.</w:t>
      </w:r>
    </w:p>
    <w:p w14:paraId="796C36C1" w14:textId="628D2F75" w:rsidR="0076232D" w:rsidRDefault="0076232D" w:rsidP="0076232D">
      <w:pPr>
        <w:pStyle w:val="Heading4"/>
      </w:pPr>
      <w:bookmarkStart w:id="4673" w:name="_Toc53185462"/>
      <w:bookmarkStart w:id="4674" w:name="_Toc53185838"/>
      <w:bookmarkStart w:id="4675" w:name="_Toc57820323"/>
      <w:bookmarkStart w:id="4676" w:name="_Toc57821250"/>
      <w:bookmarkStart w:id="4677" w:name="_Toc61183526"/>
      <w:bookmarkStart w:id="4678" w:name="_Toc61183920"/>
      <w:bookmarkStart w:id="4679" w:name="_Toc61184312"/>
      <w:bookmarkStart w:id="4680" w:name="_Toc61184704"/>
      <w:bookmarkStart w:id="4681" w:name="_Toc61185094"/>
      <w:bookmarkStart w:id="4682" w:name="_Toc66386438"/>
      <w:bookmarkStart w:id="4683" w:name="_Toc74583341"/>
      <w:bookmarkStart w:id="4684" w:name="_Toc76542154"/>
      <w:bookmarkStart w:id="4685" w:name="_Toc82450136"/>
      <w:bookmarkStart w:id="4686" w:name="_Toc82450784"/>
      <w:bookmarkStart w:id="4687" w:name="_Toc89949173"/>
      <w:bookmarkStart w:id="4688" w:name="_Toc98755562"/>
      <w:bookmarkStart w:id="4689" w:name="_Toc98763153"/>
      <w:bookmarkStart w:id="4690" w:name="_Toc106184082"/>
      <w:r>
        <w:rPr>
          <w:rFonts w:hint="eastAsia"/>
        </w:rPr>
        <w:t>9.5.2.4</w:t>
      </w:r>
      <w:r w:rsidR="00C91B26">
        <w:tab/>
      </w:r>
      <w:r>
        <w:t xml:space="preserve">Minimum requirement for </w:t>
      </w:r>
      <w:r w:rsidRPr="00FD6337">
        <w:rPr>
          <w:rFonts w:hint="eastAsia"/>
        </w:rPr>
        <w:t>IAB-</w:t>
      </w:r>
      <w:r>
        <w:rPr>
          <w:rFonts w:hint="eastAsia"/>
        </w:rPr>
        <w:t>MT</w:t>
      </w:r>
      <w:r w:rsidRPr="00FD6337">
        <w:t xml:space="preserve"> type 1-O</w:t>
      </w:r>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p>
    <w:p w14:paraId="477D8DC3" w14:textId="2B44F517" w:rsidR="0076232D" w:rsidRPr="003217BD" w:rsidRDefault="0076232D" w:rsidP="0076232D">
      <w:r>
        <w:rPr>
          <w:rFonts w:hint="eastAsia"/>
        </w:rPr>
        <w:t xml:space="preserve">The BS requirements specified in </w:t>
      </w:r>
      <w:r>
        <w:t>9.5.2.2</w:t>
      </w:r>
      <w:r>
        <w:rPr>
          <w:rFonts w:hint="eastAsia"/>
        </w:rPr>
        <w:t xml:space="preserve"> in TS 38.104 [</w:t>
      </w:r>
      <w:r w:rsidR="00A4061E">
        <w:t>2</w:t>
      </w:r>
      <w:r>
        <w:rPr>
          <w:rFonts w:hint="eastAsia"/>
        </w:rPr>
        <w:t xml:space="preserve">] apply to </w:t>
      </w:r>
      <w:r>
        <w:rPr>
          <w:rFonts w:hint="eastAsia"/>
          <w:i/>
        </w:rPr>
        <w:t>IAB-MT</w:t>
      </w:r>
      <w:r>
        <w:rPr>
          <w:i/>
        </w:rPr>
        <w:t xml:space="preserve"> type 1-</w:t>
      </w:r>
      <w:r>
        <w:rPr>
          <w:rFonts w:hint="eastAsia"/>
          <w:i/>
        </w:rPr>
        <w:t>O</w:t>
      </w:r>
      <w:r>
        <w:t>.</w:t>
      </w:r>
    </w:p>
    <w:p w14:paraId="36B45139" w14:textId="4237522E" w:rsidR="0076232D" w:rsidRDefault="0076232D" w:rsidP="0076232D">
      <w:pPr>
        <w:pStyle w:val="Heading4"/>
      </w:pPr>
      <w:bookmarkStart w:id="4691" w:name="_Toc53185463"/>
      <w:bookmarkStart w:id="4692" w:name="_Toc53185839"/>
      <w:bookmarkStart w:id="4693" w:name="_Toc57820324"/>
      <w:bookmarkStart w:id="4694" w:name="_Toc57821251"/>
      <w:bookmarkStart w:id="4695" w:name="_Toc61183527"/>
      <w:bookmarkStart w:id="4696" w:name="_Toc61183921"/>
      <w:bookmarkStart w:id="4697" w:name="_Toc61184313"/>
      <w:bookmarkStart w:id="4698" w:name="_Toc61184705"/>
      <w:bookmarkStart w:id="4699" w:name="_Toc61185095"/>
      <w:bookmarkStart w:id="4700" w:name="_Toc66386439"/>
      <w:bookmarkStart w:id="4701" w:name="_Toc74583342"/>
      <w:bookmarkStart w:id="4702" w:name="_Toc76542155"/>
      <w:bookmarkStart w:id="4703" w:name="_Toc82450137"/>
      <w:bookmarkStart w:id="4704" w:name="_Toc82450785"/>
      <w:bookmarkStart w:id="4705" w:name="_Toc89949174"/>
      <w:bookmarkStart w:id="4706" w:name="_Toc98755563"/>
      <w:bookmarkStart w:id="4707" w:name="_Toc98763154"/>
      <w:bookmarkStart w:id="4708" w:name="_Toc106184083"/>
      <w:r>
        <w:rPr>
          <w:rFonts w:hint="eastAsia"/>
        </w:rPr>
        <w:t>9.5.2.5</w:t>
      </w:r>
      <w:r w:rsidR="00C91B26">
        <w:tab/>
      </w:r>
      <w:r>
        <w:t xml:space="preserve">Minimum requirement for </w:t>
      </w:r>
      <w:r w:rsidRPr="00FD6337">
        <w:rPr>
          <w:rFonts w:hint="eastAsia"/>
        </w:rPr>
        <w:t>IAB-</w:t>
      </w:r>
      <w:r>
        <w:rPr>
          <w:rFonts w:hint="eastAsia"/>
        </w:rPr>
        <w:t>MT</w:t>
      </w:r>
      <w:r w:rsidRPr="00FD6337">
        <w:t xml:space="preserve"> type </w:t>
      </w:r>
      <w:r>
        <w:rPr>
          <w:rFonts w:hint="eastAsia"/>
        </w:rPr>
        <w:t>2</w:t>
      </w:r>
      <w:r w:rsidRPr="00FD6337">
        <w:t>-O</w:t>
      </w:r>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p>
    <w:p w14:paraId="3E9CDA50" w14:textId="0B1FF558" w:rsidR="0076232D" w:rsidRPr="00481D2D" w:rsidRDefault="0076232D" w:rsidP="0076232D">
      <w:r>
        <w:rPr>
          <w:rFonts w:hint="eastAsia"/>
        </w:rPr>
        <w:t xml:space="preserve">The BS requirements specified in </w:t>
      </w:r>
      <w:r>
        <w:t>9.5.2.</w:t>
      </w:r>
      <w:r>
        <w:rPr>
          <w:rFonts w:hint="eastAsia"/>
        </w:rPr>
        <w:t>3 in TS 38.104 [</w:t>
      </w:r>
      <w:r w:rsidR="00A4061E">
        <w:t>2</w:t>
      </w:r>
      <w:r>
        <w:rPr>
          <w:rFonts w:hint="eastAsia"/>
        </w:rPr>
        <w:t xml:space="preserve">] apply to </w:t>
      </w:r>
      <w:r>
        <w:rPr>
          <w:rFonts w:hint="eastAsia"/>
          <w:i/>
        </w:rPr>
        <w:t>IAB-DU</w:t>
      </w:r>
      <w:r>
        <w:rPr>
          <w:i/>
        </w:rPr>
        <w:t xml:space="preserve"> type 1-</w:t>
      </w:r>
      <w:r>
        <w:rPr>
          <w:rFonts w:hint="eastAsia"/>
          <w:i/>
        </w:rPr>
        <w:t>O</w:t>
      </w:r>
      <w:r>
        <w:t>.</w:t>
      </w:r>
    </w:p>
    <w:p w14:paraId="22700A67" w14:textId="77777777" w:rsidR="0076232D" w:rsidRDefault="0076232D" w:rsidP="0076232D">
      <w:pPr>
        <w:pStyle w:val="Heading3"/>
      </w:pPr>
      <w:bookmarkStart w:id="4709" w:name="_Toc29811852"/>
      <w:bookmarkStart w:id="4710" w:name="_Toc21127643"/>
      <w:bookmarkStart w:id="4711" w:name="_Toc53185464"/>
      <w:bookmarkStart w:id="4712" w:name="_Toc53185840"/>
      <w:bookmarkStart w:id="4713" w:name="_Toc57820325"/>
      <w:bookmarkStart w:id="4714" w:name="_Toc57821252"/>
      <w:bookmarkStart w:id="4715" w:name="_Toc61183528"/>
      <w:bookmarkStart w:id="4716" w:name="_Toc61183922"/>
      <w:bookmarkStart w:id="4717" w:name="_Toc61184314"/>
      <w:bookmarkStart w:id="4718" w:name="_Toc61184706"/>
      <w:bookmarkStart w:id="4719" w:name="_Toc61185096"/>
      <w:bookmarkStart w:id="4720" w:name="_Toc66386440"/>
      <w:bookmarkStart w:id="4721" w:name="_Toc74583343"/>
      <w:bookmarkStart w:id="4722" w:name="_Toc76542156"/>
      <w:bookmarkStart w:id="4723" w:name="_Toc82450138"/>
      <w:bookmarkStart w:id="4724" w:name="_Toc82450786"/>
      <w:bookmarkStart w:id="4725" w:name="_Toc89949175"/>
      <w:bookmarkStart w:id="4726" w:name="_Toc98755564"/>
      <w:bookmarkStart w:id="4727" w:name="_Toc98763155"/>
      <w:bookmarkStart w:id="4728" w:name="_Toc106184084"/>
      <w:r>
        <w:t>9.5.3</w:t>
      </w:r>
      <w:r>
        <w:tab/>
        <w:t>OTA transient period</w:t>
      </w:r>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p>
    <w:p w14:paraId="3F4BD501" w14:textId="77777777" w:rsidR="0076232D" w:rsidRDefault="0076232D" w:rsidP="0076232D">
      <w:pPr>
        <w:pStyle w:val="Heading4"/>
      </w:pPr>
      <w:bookmarkStart w:id="4729" w:name="_Toc29811853"/>
      <w:bookmarkStart w:id="4730" w:name="_Toc21127644"/>
      <w:bookmarkStart w:id="4731" w:name="_Toc53185465"/>
      <w:bookmarkStart w:id="4732" w:name="_Toc53185841"/>
      <w:bookmarkStart w:id="4733" w:name="_Toc57820326"/>
      <w:bookmarkStart w:id="4734" w:name="_Toc57821253"/>
      <w:bookmarkStart w:id="4735" w:name="_Toc61183529"/>
      <w:bookmarkStart w:id="4736" w:name="_Toc61183923"/>
      <w:bookmarkStart w:id="4737" w:name="_Toc61184315"/>
      <w:bookmarkStart w:id="4738" w:name="_Toc61184707"/>
      <w:bookmarkStart w:id="4739" w:name="_Toc61185097"/>
      <w:bookmarkStart w:id="4740" w:name="_Toc66386441"/>
      <w:bookmarkStart w:id="4741" w:name="_Toc74583344"/>
      <w:bookmarkStart w:id="4742" w:name="_Toc76542157"/>
      <w:bookmarkStart w:id="4743" w:name="_Toc82450139"/>
      <w:bookmarkStart w:id="4744" w:name="_Toc82450787"/>
      <w:bookmarkStart w:id="4745" w:name="_Toc89949176"/>
      <w:bookmarkStart w:id="4746" w:name="_Toc98755565"/>
      <w:bookmarkStart w:id="4747" w:name="_Toc98763156"/>
      <w:bookmarkStart w:id="4748" w:name="_Toc106184085"/>
      <w:r>
        <w:t>9.5.3.1</w:t>
      </w:r>
      <w:r>
        <w:tab/>
        <w:t>General</w:t>
      </w:r>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p>
    <w:p w14:paraId="5B375B0F" w14:textId="77777777" w:rsidR="0076232D" w:rsidRDefault="0076232D" w:rsidP="0076232D">
      <w:r>
        <w:t xml:space="preserve">The OTA </w:t>
      </w:r>
      <w:r>
        <w:rPr>
          <w:i/>
        </w:rPr>
        <w:t>transmitter transient period</w:t>
      </w:r>
      <w:r>
        <w:t xml:space="preserve"> is the time period during which the transmitter is changing from the tra</w:t>
      </w:r>
      <w:r>
        <w:rPr>
          <w:i/>
        </w:rPr>
        <w:t>nsmitter OFF period</w:t>
      </w:r>
      <w:r>
        <w:t xml:space="preserve"> to the </w:t>
      </w:r>
      <w:r>
        <w:rPr>
          <w:i/>
        </w:rPr>
        <w:t xml:space="preserve">transmitter ON period </w:t>
      </w:r>
      <w:r>
        <w:t xml:space="preserve">or vice versa. The </w:t>
      </w:r>
      <w:r>
        <w:rPr>
          <w:i/>
        </w:rPr>
        <w:t>transmitter transient period</w:t>
      </w:r>
      <w:r>
        <w:t xml:space="preserve"> is illustrated in figure 6.4.2.1-1</w:t>
      </w:r>
      <w:r>
        <w:rPr>
          <w:rFonts w:hint="eastAsia"/>
        </w:rPr>
        <w:t xml:space="preserve"> for IAB-DU and IAB-MT.</w:t>
      </w:r>
    </w:p>
    <w:p w14:paraId="75AD242A" w14:textId="77777777" w:rsidR="0076232D" w:rsidRDefault="0076232D" w:rsidP="0076232D">
      <w:r>
        <w:t xml:space="preserve">This requirement </w:t>
      </w:r>
      <w:r>
        <w:rPr>
          <w:lang w:val="en-US"/>
        </w:rPr>
        <w:t>shall be applied</w:t>
      </w:r>
      <w:r>
        <w:t xml:space="preserve"> at each RIB supporting transmission in the </w:t>
      </w:r>
      <w:r>
        <w:rPr>
          <w:i/>
          <w:iCs/>
        </w:rPr>
        <w:t>operating band</w:t>
      </w:r>
      <w:r>
        <w:t>.</w:t>
      </w:r>
    </w:p>
    <w:p w14:paraId="0E5157AC" w14:textId="2C3BE2D1" w:rsidR="0076232D" w:rsidRDefault="0076232D" w:rsidP="0076232D">
      <w:pPr>
        <w:pStyle w:val="Heading4"/>
      </w:pPr>
      <w:bookmarkStart w:id="4749" w:name="_Toc53185466"/>
      <w:bookmarkStart w:id="4750" w:name="_Toc53185842"/>
      <w:bookmarkStart w:id="4751" w:name="_Toc57820327"/>
      <w:bookmarkStart w:id="4752" w:name="_Toc57821254"/>
      <w:bookmarkStart w:id="4753" w:name="_Toc61183530"/>
      <w:bookmarkStart w:id="4754" w:name="_Toc61183924"/>
      <w:bookmarkStart w:id="4755" w:name="_Toc61184316"/>
      <w:bookmarkStart w:id="4756" w:name="_Toc61184708"/>
      <w:bookmarkStart w:id="4757" w:name="_Toc61185098"/>
      <w:bookmarkStart w:id="4758" w:name="_Toc66386442"/>
      <w:bookmarkStart w:id="4759" w:name="_Toc74583345"/>
      <w:bookmarkStart w:id="4760" w:name="_Toc76542158"/>
      <w:bookmarkStart w:id="4761" w:name="_Toc82450140"/>
      <w:bookmarkStart w:id="4762" w:name="_Toc82450788"/>
      <w:bookmarkStart w:id="4763" w:name="_Toc89949177"/>
      <w:bookmarkStart w:id="4764" w:name="_Toc98755566"/>
      <w:bookmarkStart w:id="4765" w:name="_Toc98763157"/>
      <w:bookmarkStart w:id="4766" w:name="_Toc106184086"/>
      <w:r>
        <w:rPr>
          <w:rFonts w:hint="eastAsia"/>
        </w:rPr>
        <w:t>9.5.3.2</w:t>
      </w:r>
      <w:r w:rsidR="00C91B26">
        <w:tab/>
      </w:r>
      <w:r>
        <w:t xml:space="preserve">Minimum requirement for </w:t>
      </w:r>
      <w:r w:rsidRPr="00FD6337">
        <w:rPr>
          <w:rFonts w:hint="eastAsia"/>
        </w:rPr>
        <w:t>IAB-DU</w:t>
      </w:r>
      <w:r w:rsidRPr="00FD6337">
        <w:t xml:space="preserve"> type 1-O</w:t>
      </w:r>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p>
    <w:p w14:paraId="619D1110" w14:textId="614C596B" w:rsidR="0076232D" w:rsidRPr="003217BD" w:rsidRDefault="0076232D" w:rsidP="0076232D">
      <w:r>
        <w:rPr>
          <w:rFonts w:hint="eastAsia"/>
        </w:rPr>
        <w:t xml:space="preserve">The BS requirements specified in </w:t>
      </w:r>
      <w:r>
        <w:t>9.5.</w:t>
      </w:r>
      <w:r>
        <w:rPr>
          <w:rFonts w:hint="eastAsia"/>
        </w:rPr>
        <w:t>3</w:t>
      </w:r>
      <w:r>
        <w:t>.</w:t>
      </w:r>
      <w:r>
        <w:rPr>
          <w:rFonts w:hint="eastAsia"/>
        </w:rPr>
        <w:t>2 in TS 38.104 [</w:t>
      </w:r>
      <w:r w:rsidR="00A4061E">
        <w:t>2</w:t>
      </w:r>
      <w:r>
        <w:rPr>
          <w:rFonts w:hint="eastAsia"/>
        </w:rPr>
        <w:t xml:space="preserve">] apply to </w:t>
      </w:r>
      <w:r>
        <w:rPr>
          <w:rFonts w:hint="eastAsia"/>
          <w:i/>
        </w:rPr>
        <w:t>IAB-DU</w:t>
      </w:r>
      <w:r>
        <w:rPr>
          <w:i/>
        </w:rPr>
        <w:t xml:space="preserve"> type 1-</w:t>
      </w:r>
      <w:r>
        <w:rPr>
          <w:rFonts w:hint="eastAsia"/>
          <w:i/>
        </w:rPr>
        <w:t>O</w:t>
      </w:r>
      <w:r>
        <w:t>.</w:t>
      </w:r>
    </w:p>
    <w:p w14:paraId="61A479C3" w14:textId="6A93A8DA" w:rsidR="0076232D" w:rsidRDefault="0076232D" w:rsidP="0076232D">
      <w:pPr>
        <w:pStyle w:val="Heading4"/>
      </w:pPr>
      <w:bookmarkStart w:id="4767" w:name="_Toc53185467"/>
      <w:bookmarkStart w:id="4768" w:name="_Toc53185843"/>
      <w:bookmarkStart w:id="4769" w:name="_Toc57820328"/>
      <w:bookmarkStart w:id="4770" w:name="_Toc57821255"/>
      <w:bookmarkStart w:id="4771" w:name="_Toc61183531"/>
      <w:bookmarkStart w:id="4772" w:name="_Toc61183925"/>
      <w:bookmarkStart w:id="4773" w:name="_Toc61184317"/>
      <w:bookmarkStart w:id="4774" w:name="_Toc61184709"/>
      <w:bookmarkStart w:id="4775" w:name="_Toc61185099"/>
      <w:bookmarkStart w:id="4776" w:name="_Toc66386443"/>
      <w:bookmarkStart w:id="4777" w:name="_Toc74583346"/>
      <w:bookmarkStart w:id="4778" w:name="_Toc76542159"/>
      <w:bookmarkStart w:id="4779" w:name="_Toc82450141"/>
      <w:bookmarkStart w:id="4780" w:name="_Toc82450789"/>
      <w:bookmarkStart w:id="4781" w:name="_Toc89949178"/>
      <w:bookmarkStart w:id="4782" w:name="_Toc98755567"/>
      <w:bookmarkStart w:id="4783" w:name="_Toc98763158"/>
      <w:bookmarkStart w:id="4784" w:name="_Toc106184087"/>
      <w:r>
        <w:rPr>
          <w:rFonts w:hint="eastAsia"/>
        </w:rPr>
        <w:lastRenderedPageBreak/>
        <w:t>9.5.</w:t>
      </w:r>
      <w:r>
        <w:t>3</w:t>
      </w:r>
      <w:r>
        <w:rPr>
          <w:rFonts w:hint="eastAsia"/>
        </w:rPr>
        <w:t>.3</w:t>
      </w:r>
      <w:r w:rsidR="00C91B26">
        <w:tab/>
      </w:r>
      <w:r>
        <w:t xml:space="preserve">Minimum requirement for </w:t>
      </w:r>
      <w:r w:rsidRPr="00FD6337">
        <w:rPr>
          <w:rFonts w:hint="eastAsia"/>
        </w:rPr>
        <w:t>IAB-DU</w:t>
      </w:r>
      <w:r w:rsidRPr="00FD6337">
        <w:t xml:space="preserve"> type </w:t>
      </w:r>
      <w:r>
        <w:rPr>
          <w:rFonts w:hint="eastAsia"/>
        </w:rPr>
        <w:t>2</w:t>
      </w:r>
      <w:r w:rsidRPr="00FD6337">
        <w:t>-O</w:t>
      </w:r>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p>
    <w:p w14:paraId="7DE01DB4" w14:textId="2078E0A7" w:rsidR="0076232D" w:rsidRPr="003217BD" w:rsidRDefault="0076232D" w:rsidP="00C60E58">
      <w:r>
        <w:rPr>
          <w:rFonts w:hint="eastAsia"/>
        </w:rPr>
        <w:t xml:space="preserve">The BS requirements specified in </w:t>
      </w:r>
      <w:r>
        <w:t>9.5.</w:t>
      </w:r>
      <w:r>
        <w:rPr>
          <w:rFonts w:hint="eastAsia"/>
        </w:rPr>
        <w:t>3</w:t>
      </w:r>
      <w:r>
        <w:t>.</w:t>
      </w:r>
      <w:r>
        <w:rPr>
          <w:rFonts w:hint="eastAsia"/>
        </w:rPr>
        <w:t>3 in TS 38.104 [</w:t>
      </w:r>
      <w:r w:rsidR="00A4061E">
        <w:t>2</w:t>
      </w:r>
      <w:r>
        <w:rPr>
          <w:rFonts w:hint="eastAsia"/>
        </w:rPr>
        <w:t xml:space="preserve">] apply to </w:t>
      </w:r>
      <w:r>
        <w:rPr>
          <w:rFonts w:hint="eastAsia"/>
          <w:i/>
        </w:rPr>
        <w:t>IAB-DU</w:t>
      </w:r>
      <w:r>
        <w:rPr>
          <w:i/>
        </w:rPr>
        <w:t xml:space="preserve"> type </w:t>
      </w:r>
      <w:r>
        <w:rPr>
          <w:rFonts w:hint="eastAsia"/>
          <w:i/>
        </w:rPr>
        <w:t>2</w:t>
      </w:r>
      <w:r>
        <w:rPr>
          <w:i/>
        </w:rPr>
        <w:t>-</w:t>
      </w:r>
      <w:r>
        <w:rPr>
          <w:rFonts w:hint="eastAsia"/>
          <w:i/>
        </w:rPr>
        <w:t>O</w:t>
      </w:r>
      <w:r>
        <w:t>.</w:t>
      </w:r>
    </w:p>
    <w:p w14:paraId="19E089DD" w14:textId="68DC4C31" w:rsidR="0076232D" w:rsidRDefault="0076232D" w:rsidP="00C60E58">
      <w:pPr>
        <w:pStyle w:val="Heading4"/>
      </w:pPr>
      <w:bookmarkStart w:id="4785" w:name="_Toc53185468"/>
      <w:bookmarkStart w:id="4786" w:name="_Toc53185844"/>
      <w:bookmarkStart w:id="4787" w:name="_Toc57820329"/>
      <w:bookmarkStart w:id="4788" w:name="_Toc57821256"/>
      <w:bookmarkStart w:id="4789" w:name="_Toc61183532"/>
      <w:bookmarkStart w:id="4790" w:name="_Toc61183926"/>
      <w:bookmarkStart w:id="4791" w:name="_Toc61184318"/>
      <w:bookmarkStart w:id="4792" w:name="_Toc61184710"/>
      <w:bookmarkStart w:id="4793" w:name="_Toc61185100"/>
      <w:bookmarkStart w:id="4794" w:name="_Toc66386444"/>
      <w:bookmarkStart w:id="4795" w:name="_Toc74583347"/>
      <w:bookmarkStart w:id="4796" w:name="_Toc76542160"/>
      <w:bookmarkStart w:id="4797" w:name="_Toc82450142"/>
      <w:bookmarkStart w:id="4798" w:name="_Toc82450790"/>
      <w:bookmarkStart w:id="4799" w:name="_Toc89949179"/>
      <w:bookmarkStart w:id="4800" w:name="_Toc98755568"/>
      <w:bookmarkStart w:id="4801" w:name="_Toc98763159"/>
      <w:bookmarkStart w:id="4802" w:name="_Toc106184088"/>
      <w:r>
        <w:rPr>
          <w:rFonts w:hint="eastAsia"/>
        </w:rPr>
        <w:t>9.5.</w:t>
      </w:r>
      <w:r>
        <w:t>3</w:t>
      </w:r>
      <w:r>
        <w:rPr>
          <w:rFonts w:hint="eastAsia"/>
        </w:rPr>
        <w:t>.4</w:t>
      </w:r>
      <w:r w:rsidR="00C91B26">
        <w:tab/>
      </w:r>
      <w:r>
        <w:t xml:space="preserve">Minimum requirement for </w:t>
      </w:r>
      <w:r w:rsidRPr="00FD6337">
        <w:rPr>
          <w:rFonts w:hint="eastAsia"/>
        </w:rPr>
        <w:t>IAB-</w:t>
      </w:r>
      <w:r>
        <w:rPr>
          <w:rFonts w:hint="eastAsia"/>
        </w:rPr>
        <w:t>MT</w:t>
      </w:r>
      <w:r w:rsidRPr="00FD6337">
        <w:t xml:space="preserve"> type 1-O</w:t>
      </w:r>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p>
    <w:p w14:paraId="5615A658" w14:textId="5C2123CC" w:rsidR="0076232D" w:rsidRPr="003217BD" w:rsidRDefault="0076232D" w:rsidP="0076232D">
      <w:r>
        <w:rPr>
          <w:rFonts w:hint="eastAsia"/>
        </w:rPr>
        <w:t xml:space="preserve">The BS requirements specified in </w:t>
      </w:r>
      <w:r>
        <w:t>9.5.</w:t>
      </w:r>
      <w:r>
        <w:rPr>
          <w:rFonts w:hint="eastAsia"/>
        </w:rPr>
        <w:t>3</w:t>
      </w:r>
      <w:r>
        <w:t>.</w:t>
      </w:r>
      <w:r>
        <w:rPr>
          <w:rFonts w:hint="eastAsia"/>
        </w:rPr>
        <w:t>2 in TS 38.104 [</w:t>
      </w:r>
      <w:r w:rsidR="00A4061E">
        <w:t>2</w:t>
      </w:r>
      <w:r>
        <w:rPr>
          <w:rFonts w:hint="eastAsia"/>
        </w:rPr>
        <w:t xml:space="preserve">] apply to </w:t>
      </w:r>
      <w:r>
        <w:rPr>
          <w:rFonts w:hint="eastAsia"/>
          <w:i/>
        </w:rPr>
        <w:t>IAB-MT</w:t>
      </w:r>
      <w:r>
        <w:rPr>
          <w:i/>
        </w:rPr>
        <w:t xml:space="preserve"> type 1-</w:t>
      </w:r>
      <w:r>
        <w:rPr>
          <w:rFonts w:hint="eastAsia"/>
          <w:i/>
        </w:rPr>
        <w:t>O</w:t>
      </w:r>
      <w:r>
        <w:t>.</w:t>
      </w:r>
    </w:p>
    <w:p w14:paraId="179B6D9D" w14:textId="63FA4E6D" w:rsidR="0076232D" w:rsidRPr="00481D2D" w:rsidRDefault="0076232D" w:rsidP="0076232D">
      <w:pPr>
        <w:pStyle w:val="Heading4"/>
      </w:pPr>
      <w:bookmarkStart w:id="4803" w:name="_Toc53185469"/>
      <w:bookmarkStart w:id="4804" w:name="_Toc53185845"/>
      <w:bookmarkStart w:id="4805" w:name="_Toc57820330"/>
      <w:bookmarkStart w:id="4806" w:name="_Toc57821257"/>
      <w:bookmarkStart w:id="4807" w:name="_Toc61183533"/>
      <w:bookmarkStart w:id="4808" w:name="_Toc61183927"/>
      <w:bookmarkStart w:id="4809" w:name="_Toc61184319"/>
      <w:bookmarkStart w:id="4810" w:name="_Toc61184711"/>
      <w:bookmarkStart w:id="4811" w:name="_Toc61185101"/>
      <w:bookmarkStart w:id="4812" w:name="_Toc66386445"/>
      <w:bookmarkStart w:id="4813" w:name="_Toc74583348"/>
      <w:bookmarkStart w:id="4814" w:name="_Toc76542161"/>
      <w:bookmarkStart w:id="4815" w:name="_Toc82450143"/>
      <w:bookmarkStart w:id="4816" w:name="_Toc82450791"/>
      <w:bookmarkStart w:id="4817" w:name="_Toc89949180"/>
      <w:bookmarkStart w:id="4818" w:name="_Toc98755569"/>
      <w:bookmarkStart w:id="4819" w:name="_Toc98763160"/>
      <w:bookmarkStart w:id="4820" w:name="_Toc106184089"/>
      <w:r>
        <w:rPr>
          <w:rFonts w:hint="eastAsia"/>
        </w:rPr>
        <w:t>9.5.</w:t>
      </w:r>
      <w:r>
        <w:t>3</w:t>
      </w:r>
      <w:r>
        <w:rPr>
          <w:rFonts w:hint="eastAsia"/>
        </w:rPr>
        <w:t>.5</w:t>
      </w:r>
      <w:r w:rsidR="00C91B26">
        <w:tab/>
      </w:r>
      <w:r>
        <w:t xml:space="preserve">Minimum requirement for </w:t>
      </w:r>
      <w:r w:rsidRPr="00FD6337">
        <w:rPr>
          <w:rFonts w:hint="eastAsia"/>
        </w:rPr>
        <w:t>IAB-</w:t>
      </w:r>
      <w:r>
        <w:rPr>
          <w:rFonts w:hint="eastAsia"/>
        </w:rPr>
        <w:t>MT</w:t>
      </w:r>
      <w:r w:rsidRPr="00FD6337">
        <w:t xml:space="preserve"> type </w:t>
      </w:r>
      <w:r>
        <w:rPr>
          <w:rFonts w:hint="eastAsia"/>
        </w:rPr>
        <w:t>2</w:t>
      </w:r>
      <w:r w:rsidRPr="00FD6337">
        <w:t>-O</w:t>
      </w:r>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p>
    <w:p w14:paraId="7E5E5AFA" w14:textId="0E0468C0" w:rsidR="00D22B93" w:rsidRPr="00D22B93" w:rsidRDefault="0076232D" w:rsidP="007A1E38">
      <w:r>
        <w:rPr>
          <w:rFonts w:hint="eastAsia"/>
        </w:rPr>
        <w:t xml:space="preserve">The BS requirements specified in </w:t>
      </w:r>
      <w:r>
        <w:t>9.5.</w:t>
      </w:r>
      <w:r>
        <w:rPr>
          <w:rFonts w:hint="eastAsia"/>
        </w:rPr>
        <w:t>3</w:t>
      </w:r>
      <w:r>
        <w:t>.</w:t>
      </w:r>
      <w:r>
        <w:rPr>
          <w:rFonts w:hint="eastAsia"/>
        </w:rPr>
        <w:t>3 in TS 38.104 [</w:t>
      </w:r>
      <w:r w:rsidR="00A4061E">
        <w:t>2</w:t>
      </w:r>
      <w:r>
        <w:rPr>
          <w:rFonts w:hint="eastAsia"/>
        </w:rPr>
        <w:t xml:space="preserve">] apply to </w:t>
      </w:r>
      <w:r>
        <w:rPr>
          <w:rFonts w:hint="eastAsia"/>
          <w:i/>
        </w:rPr>
        <w:t>IAB-MT</w:t>
      </w:r>
      <w:r>
        <w:rPr>
          <w:i/>
        </w:rPr>
        <w:t xml:space="preserve"> type </w:t>
      </w:r>
      <w:r>
        <w:rPr>
          <w:rFonts w:hint="eastAsia"/>
          <w:i/>
        </w:rPr>
        <w:t>2</w:t>
      </w:r>
      <w:r>
        <w:rPr>
          <w:i/>
        </w:rPr>
        <w:t>-</w:t>
      </w:r>
      <w:r>
        <w:rPr>
          <w:rFonts w:hint="eastAsia"/>
          <w:i/>
        </w:rPr>
        <w:t>O</w:t>
      </w:r>
      <w:r>
        <w:t>.</w:t>
      </w:r>
      <w:bookmarkStart w:id="4821" w:name="_Toc13080357"/>
      <w:bookmarkStart w:id="4822" w:name="_Toc18916187"/>
    </w:p>
    <w:p w14:paraId="33F749CC" w14:textId="77777777" w:rsidR="00077B6E" w:rsidRDefault="00077B6E" w:rsidP="00077B6E">
      <w:pPr>
        <w:pStyle w:val="Heading2"/>
        <w:rPr>
          <w:rFonts w:eastAsiaTheme="minorEastAsia"/>
          <w:lang w:eastAsia="zh-CN"/>
        </w:rPr>
      </w:pPr>
      <w:bookmarkStart w:id="4823" w:name="_Toc53185470"/>
      <w:bookmarkStart w:id="4824" w:name="_Toc53185846"/>
      <w:bookmarkStart w:id="4825" w:name="_Toc57820331"/>
      <w:bookmarkStart w:id="4826" w:name="_Toc57821258"/>
      <w:bookmarkStart w:id="4827" w:name="_Toc61183534"/>
      <w:bookmarkStart w:id="4828" w:name="_Toc61183928"/>
      <w:bookmarkStart w:id="4829" w:name="_Toc61184320"/>
      <w:bookmarkStart w:id="4830" w:name="_Toc61184712"/>
      <w:bookmarkStart w:id="4831" w:name="_Toc61185102"/>
      <w:bookmarkStart w:id="4832" w:name="_Toc66386446"/>
      <w:bookmarkStart w:id="4833" w:name="_Toc74583349"/>
      <w:bookmarkStart w:id="4834" w:name="_Toc76542162"/>
      <w:bookmarkStart w:id="4835" w:name="_Toc82450144"/>
      <w:bookmarkStart w:id="4836" w:name="_Toc82450792"/>
      <w:bookmarkStart w:id="4837" w:name="_Toc89949181"/>
      <w:bookmarkStart w:id="4838" w:name="_Toc98755570"/>
      <w:bookmarkStart w:id="4839" w:name="_Toc98763161"/>
      <w:bookmarkStart w:id="4840" w:name="_Toc106184090"/>
      <w:r w:rsidRPr="007E346D">
        <w:t>9.6</w:t>
      </w:r>
      <w:r w:rsidRPr="007E346D">
        <w:tab/>
        <w:t>OTA transmitted signal quality</w:t>
      </w:r>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p>
    <w:p w14:paraId="67A09639" w14:textId="77777777" w:rsidR="00DE67B3" w:rsidRDefault="00DE67B3" w:rsidP="00DE67B3">
      <w:pPr>
        <w:pStyle w:val="Heading3"/>
      </w:pPr>
      <w:bookmarkStart w:id="4841" w:name="_Toc29811857"/>
      <w:bookmarkStart w:id="4842" w:name="_Toc21127648"/>
      <w:bookmarkStart w:id="4843" w:name="_Toc53185471"/>
      <w:bookmarkStart w:id="4844" w:name="_Toc53185847"/>
      <w:bookmarkStart w:id="4845" w:name="_Toc57820332"/>
      <w:bookmarkStart w:id="4846" w:name="_Toc57821259"/>
      <w:bookmarkStart w:id="4847" w:name="_Toc61183535"/>
      <w:bookmarkStart w:id="4848" w:name="_Toc61183929"/>
      <w:bookmarkStart w:id="4849" w:name="_Toc61184321"/>
      <w:bookmarkStart w:id="4850" w:name="_Toc61184713"/>
      <w:bookmarkStart w:id="4851" w:name="_Toc61185103"/>
      <w:bookmarkStart w:id="4852" w:name="_Toc66386447"/>
      <w:bookmarkStart w:id="4853" w:name="_Toc74583350"/>
      <w:bookmarkStart w:id="4854" w:name="_Toc76542163"/>
      <w:bookmarkStart w:id="4855" w:name="_Toc82450145"/>
      <w:bookmarkStart w:id="4856" w:name="_Toc82450793"/>
      <w:bookmarkStart w:id="4857" w:name="_Toc89949182"/>
      <w:bookmarkStart w:id="4858" w:name="_Toc98755571"/>
      <w:bookmarkStart w:id="4859" w:name="_Toc98763162"/>
      <w:bookmarkStart w:id="4860" w:name="_Toc106184091"/>
      <w:r>
        <w:t>9.6.1</w:t>
      </w:r>
      <w:r>
        <w:tab/>
        <w:t>OTA frequency error</w:t>
      </w:r>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p>
    <w:p w14:paraId="16AFE9E4" w14:textId="53FF14C2" w:rsidR="00DE67B3" w:rsidRPr="00F11CE5" w:rsidRDefault="00DE67B3" w:rsidP="00DE67B3">
      <w:pPr>
        <w:pStyle w:val="Heading4"/>
      </w:pPr>
      <w:bookmarkStart w:id="4861" w:name="_Toc53185472"/>
      <w:bookmarkStart w:id="4862" w:name="_Toc53185848"/>
      <w:bookmarkStart w:id="4863" w:name="_Toc57820333"/>
      <w:bookmarkStart w:id="4864" w:name="_Toc57821260"/>
      <w:bookmarkStart w:id="4865" w:name="_Toc61183536"/>
      <w:bookmarkStart w:id="4866" w:name="_Toc61183930"/>
      <w:bookmarkStart w:id="4867" w:name="_Toc61184322"/>
      <w:bookmarkStart w:id="4868" w:name="_Toc61184714"/>
      <w:bookmarkStart w:id="4869" w:name="_Toc61185104"/>
      <w:bookmarkStart w:id="4870" w:name="_Toc66386448"/>
      <w:bookmarkStart w:id="4871" w:name="_Toc74583351"/>
      <w:bookmarkStart w:id="4872" w:name="_Toc76542164"/>
      <w:bookmarkStart w:id="4873" w:name="_Toc82450146"/>
      <w:bookmarkStart w:id="4874" w:name="_Toc82450794"/>
      <w:bookmarkStart w:id="4875" w:name="_Toc89949183"/>
      <w:bookmarkStart w:id="4876" w:name="_Toc98755572"/>
      <w:bookmarkStart w:id="4877" w:name="_Toc98763163"/>
      <w:bookmarkStart w:id="4878" w:name="_Toc106184092"/>
      <w:r w:rsidRPr="00D92747">
        <w:t>9.6.1.1</w:t>
      </w:r>
      <w:r w:rsidR="006C53A6">
        <w:tab/>
      </w:r>
      <w:r>
        <w:rPr>
          <w:rFonts w:hint="eastAsia"/>
        </w:rPr>
        <w:t xml:space="preserve">IAB-DU </w:t>
      </w:r>
      <w:r w:rsidRPr="00D92747">
        <w:t xml:space="preserve">OTA </w:t>
      </w:r>
      <w:r>
        <w:rPr>
          <w:rFonts w:hint="eastAsia"/>
        </w:rPr>
        <w:t>frequency error</w:t>
      </w:r>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p>
    <w:p w14:paraId="5B1D549A" w14:textId="7A45C9C4" w:rsidR="006C53A6" w:rsidRDefault="006C53A6" w:rsidP="006C53A6">
      <w:pPr>
        <w:rPr>
          <w:rFonts w:cs="v4.2.0"/>
        </w:rPr>
      </w:pPr>
      <w:bookmarkStart w:id="4879" w:name="_Toc53185473"/>
      <w:bookmarkStart w:id="4880" w:name="_Toc53185849"/>
      <w:r w:rsidRPr="00C05DAD">
        <w:rPr>
          <w:rFonts w:cs="v4.2.0"/>
        </w:rPr>
        <w:t xml:space="preserve">The </w:t>
      </w:r>
      <w:r>
        <w:rPr>
          <w:rFonts w:cs="v4.2.0"/>
        </w:rPr>
        <w:t xml:space="preserve">requirements in clause </w:t>
      </w:r>
      <w:r>
        <w:rPr>
          <w:rFonts w:cs="v4.2.0" w:hint="eastAsia"/>
          <w:lang w:eastAsia="zh-CN"/>
        </w:rPr>
        <w:t>9</w:t>
      </w:r>
      <w:r>
        <w:rPr>
          <w:rFonts w:cs="v4.2.0" w:hint="eastAsia"/>
        </w:rPr>
        <w:t>.</w:t>
      </w:r>
      <w:r>
        <w:rPr>
          <w:rFonts w:cs="v4.2.0" w:hint="eastAsia"/>
          <w:lang w:eastAsia="zh-CN"/>
        </w:rPr>
        <w:t>6</w:t>
      </w:r>
      <w:r>
        <w:rPr>
          <w:rFonts w:cs="v4.2.0" w:hint="eastAsia"/>
        </w:rPr>
        <w:t>.1 for BS type 1-</w:t>
      </w:r>
      <w:r>
        <w:rPr>
          <w:rFonts w:cs="v4.2.0" w:hint="eastAsia"/>
          <w:lang w:eastAsia="zh-CN"/>
        </w:rPr>
        <w:t xml:space="preserve">O and </w:t>
      </w:r>
      <w:r>
        <w:rPr>
          <w:rFonts w:cs="v4.2.0" w:hint="eastAsia"/>
        </w:rPr>
        <w:t xml:space="preserve">type </w:t>
      </w:r>
      <w:r>
        <w:rPr>
          <w:rFonts w:cs="v4.2.0" w:hint="eastAsia"/>
          <w:lang w:eastAsia="zh-CN"/>
        </w:rPr>
        <w:t>2</w:t>
      </w:r>
      <w:r>
        <w:rPr>
          <w:rFonts w:cs="v4.2.0" w:hint="eastAsia"/>
        </w:rPr>
        <w:t>-</w:t>
      </w:r>
      <w:r>
        <w:rPr>
          <w:rFonts w:cs="v4.2.0" w:hint="eastAsia"/>
          <w:lang w:eastAsia="zh-CN"/>
        </w:rPr>
        <w:t>O</w:t>
      </w:r>
      <w:r>
        <w:rPr>
          <w:rFonts w:cs="v4.2.0"/>
        </w:rPr>
        <w:t xml:space="preserve"> in TS 38.1</w:t>
      </w:r>
      <w:r>
        <w:rPr>
          <w:rFonts w:cs="v4.2.0" w:hint="eastAsia"/>
        </w:rPr>
        <w:t>04</w:t>
      </w:r>
      <w:r>
        <w:rPr>
          <w:rFonts w:cs="v4.2.0"/>
        </w:rPr>
        <w:t xml:space="preserve"> [</w:t>
      </w:r>
      <w:r>
        <w:rPr>
          <w:rFonts w:cs="v4.2.0"/>
          <w:lang w:eastAsia="zh-CN"/>
        </w:rPr>
        <w:t>2</w:t>
      </w:r>
      <w:r>
        <w:rPr>
          <w:rFonts w:cs="v4.2.0"/>
        </w:rPr>
        <w:t xml:space="preserve">] apply to </w:t>
      </w:r>
      <w:r w:rsidRPr="00025A8C">
        <w:rPr>
          <w:rFonts w:cs="v4.2.0"/>
        </w:rPr>
        <w:t xml:space="preserve">IAB-DU </w:t>
      </w:r>
      <w:r>
        <w:rPr>
          <w:rFonts w:cs="v4.2.0" w:hint="eastAsia"/>
        </w:rPr>
        <w:t>type 1-</w:t>
      </w:r>
      <w:r>
        <w:rPr>
          <w:rFonts w:cs="v4.2.0" w:hint="eastAsia"/>
          <w:lang w:eastAsia="zh-CN"/>
        </w:rPr>
        <w:t xml:space="preserve">O and </w:t>
      </w:r>
      <w:r>
        <w:rPr>
          <w:rFonts w:cs="v4.2.0" w:hint="eastAsia"/>
        </w:rPr>
        <w:t xml:space="preserve">type </w:t>
      </w:r>
      <w:r>
        <w:rPr>
          <w:rFonts w:cs="v4.2.0" w:hint="eastAsia"/>
          <w:lang w:eastAsia="zh-CN"/>
        </w:rPr>
        <w:t>2</w:t>
      </w:r>
      <w:r>
        <w:rPr>
          <w:rFonts w:cs="v4.2.0" w:hint="eastAsia"/>
        </w:rPr>
        <w:t>-</w:t>
      </w:r>
      <w:r>
        <w:rPr>
          <w:rFonts w:cs="v4.2.0" w:hint="eastAsia"/>
          <w:lang w:eastAsia="zh-CN"/>
        </w:rPr>
        <w:t>O respectively</w:t>
      </w:r>
      <w:r>
        <w:rPr>
          <w:rFonts w:cs="v4.2.0"/>
        </w:rPr>
        <w:t>.</w:t>
      </w:r>
    </w:p>
    <w:p w14:paraId="16751E7E" w14:textId="53F61354" w:rsidR="00724326" w:rsidRDefault="00724326" w:rsidP="00724326">
      <w:pPr>
        <w:pStyle w:val="Heading4"/>
      </w:pPr>
      <w:bookmarkStart w:id="4881" w:name="_Toc57820334"/>
      <w:bookmarkStart w:id="4882" w:name="_Toc57821261"/>
      <w:bookmarkStart w:id="4883" w:name="_Toc61183537"/>
      <w:bookmarkStart w:id="4884" w:name="_Toc61183931"/>
      <w:bookmarkStart w:id="4885" w:name="_Toc61184323"/>
      <w:bookmarkStart w:id="4886" w:name="_Toc61184715"/>
      <w:bookmarkStart w:id="4887" w:name="_Toc61185105"/>
      <w:bookmarkStart w:id="4888" w:name="_Toc66386449"/>
      <w:bookmarkStart w:id="4889" w:name="_Toc74583352"/>
      <w:bookmarkStart w:id="4890" w:name="_Toc76542165"/>
      <w:bookmarkStart w:id="4891" w:name="_Toc82450147"/>
      <w:bookmarkStart w:id="4892" w:name="_Toc82450795"/>
      <w:bookmarkStart w:id="4893" w:name="_Toc89949184"/>
      <w:bookmarkStart w:id="4894" w:name="_Toc98755573"/>
      <w:bookmarkStart w:id="4895" w:name="_Toc98763164"/>
      <w:bookmarkStart w:id="4896" w:name="_Toc106184093"/>
      <w:r w:rsidRPr="00D92747">
        <w:t>9.6.1.</w:t>
      </w:r>
      <w:r>
        <w:rPr>
          <w:rFonts w:hint="eastAsia"/>
        </w:rPr>
        <w:t>2</w:t>
      </w:r>
      <w:r w:rsidR="006C53A6">
        <w:tab/>
      </w:r>
      <w:r>
        <w:rPr>
          <w:rFonts w:hint="eastAsia"/>
        </w:rPr>
        <w:t xml:space="preserve">IAB-MT </w:t>
      </w:r>
      <w:r w:rsidRPr="00D92747">
        <w:t xml:space="preserve">OTA </w:t>
      </w:r>
      <w:r>
        <w:rPr>
          <w:rFonts w:hint="eastAsia"/>
        </w:rPr>
        <w:t>frequency error</w:t>
      </w:r>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p>
    <w:p w14:paraId="261F92C7" w14:textId="391AC08D" w:rsidR="00724326" w:rsidRPr="0095278E" w:rsidRDefault="00724326" w:rsidP="00724326">
      <w:pPr>
        <w:pStyle w:val="Heading5"/>
      </w:pPr>
      <w:bookmarkStart w:id="4897" w:name="_Toc53185474"/>
      <w:bookmarkStart w:id="4898" w:name="_Toc53185850"/>
      <w:bookmarkStart w:id="4899" w:name="_Toc57820335"/>
      <w:bookmarkStart w:id="4900" w:name="_Toc57821262"/>
      <w:bookmarkStart w:id="4901" w:name="_Toc61183538"/>
      <w:bookmarkStart w:id="4902" w:name="_Toc61183932"/>
      <w:bookmarkStart w:id="4903" w:name="_Toc61184324"/>
      <w:bookmarkStart w:id="4904" w:name="_Toc61184716"/>
      <w:bookmarkStart w:id="4905" w:name="_Toc61185106"/>
      <w:bookmarkStart w:id="4906" w:name="_Toc66386450"/>
      <w:bookmarkStart w:id="4907" w:name="_Toc74583353"/>
      <w:bookmarkStart w:id="4908" w:name="_Toc76542166"/>
      <w:bookmarkStart w:id="4909" w:name="_Toc82450148"/>
      <w:bookmarkStart w:id="4910" w:name="_Toc82450796"/>
      <w:bookmarkStart w:id="4911" w:name="_Toc89949185"/>
      <w:bookmarkStart w:id="4912" w:name="_Toc98755574"/>
      <w:bookmarkStart w:id="4913" w:name="_Toc98763165"/>
      <w:bookmarkStart w:id="4914" w:name="_Toc106184094"/>
      <w:r>
        <w:rPr>
          <w:rFonts w:hint="eastAsia"/>
        </w:rPr>
        <w:t>9.6.1.2.1</w:t>
      </w:r>
      <w:r w:rsidR="006C53A6">
        <w:tab/>
      </w:r>
      <w:r>
        <w:t>General</w:t>
      </w:r>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p>
    <w:p w14:paraId="1269DCB6" w14:textId="144BE2D7" w:rsidR="006C53A6" w:rsidRPr="0095278E" w:rsidRDefault="006C53A6" w:rsidP="006C53A6">
      <w:pPr>
        <w:rPr>
          <w:rFonts w:cs="v5.0.0"/>
        </w:rPr>
      </w:pPr>
      <w:bookmarkStart w:id="4915" w:name="_Toc53185475"/>
      <w:bookmarkStart w:id="4916" w:name="_Toc53185851"/>
      <w:r w:rsidRPr="00E26D09">
        <w:t xml:space="preserve">The requirements in subclause </w:t>
      </w:r>
      <w:r w:rsidRPr="00E26D09">
        <w:rPr>
          <w:lang w:eastAsia="zh-CN"/>
        </w:rPr>
        <w:t>9</w:t>
      </w:r>
      <w:r w:rsidRPr="00E26D09">
        <w:t>.</w:t>
      </w:r>
      <w:r w:rsidRPr="00E26D09">
        <w:rPr>
          <w:lang w:eastAsia="zh-CN"/>
        </w:rPr>
        <w:t>6.1</w:t>
      </w:r>
      <w:r>
        <w:rPr>
          <w:lang w:eastAsia="zh-CN"/>
        </w:rPr>
        <w:t>.2</w:t>
      </w:r>
      <w:r w:rsidRPr="00E26D09">
        <w:t xml:space="preserve"> apply to the </w:t>
      </w:r>
      <w:r w:rsidRPr="00E26D09">
        <w:rPr>
          <w:i/>
        </w:rPr>
        <w:t>transmitter ON period</w:t>
      </w:r>
      <w:r w:rsidRPr="00E26D09">
        <w:t>.</w:t>
      </w:r>
      <w:r w:rsidRPr="007E346D">
        <w:rPr>
          <w:rFonts w:cs="v5.0.0"/>
        </w:rPr>
        <w:t xml:space="preserve">OTA frequency error requirement is defined as a </w:t>
      </w:r>
      <w:r w:rsidRPr="004B2E00">
        <w:rPr>
          <w:rFonts w:cs="v5.0.0"/>
          <w:i/>
        </w:rPr>
        <w:t>directional requirement</w:t>
      </w:r>
      <w:r w:rsidRPr="007E346D">
        <w:rPr>
          <w:rFonts w:cs="v5.0.0"/>
        </w:rPr>
        <w:t xml:space="preserve"> at the RIB and shall be met within the </w:t>
      </w:r>
      <w:r w:rsidRPr="004B2E00">
        <w:rPr>
          <w:rFonts w:cs="v5.0.0"/>
          <w:i/>
        </w:rPr>
        <w:t>OTA coverage range</w:t>
      </w:r>
      <w:r w:rsidRPr="007E346D">
        <w:rPr>
          <w:rFonts w:cs="v5.0.0"/>
        </w:rPr>
        <w:t>.</w:t>
      </w:r>
    </w:p>
    <w:p w14:paraId="4E6F0385" w14:textId="728F1116" w:rsidR="00724326" w:rsidRPr="00CB1F2B" w:rsidRDefault="00724326" w:rsidP="00724326">
      <w:pPr>
        <w:pStyle w:val="Heading5"/>
      </w:pPr>
      <w:bookmarkStart w:id="4917" w:name="_Toc57820336"/>
      <w:bookmarkStart w:id="4918" w:name="_Toc57821263"/>
      <w:bookmarkStart w:id="4919" w:name="_Toc61183539"/>
      <w:bookmarkStart w:id="4920" w:name="_Toc61183933"/>
      <w:bookmarkStart w:id="4921" w:name="_Toc61184325"/>
      <w:bookmarkStart w:id="4922" w:name="_Toc61184717"/>
      <w:bookmarkStart w:id="4923" w:name="_Toc61185107"/>
      <w:bookmarkStart w:id="4924" w:name="_Toc66386451"/>
      <w:bookmarkStart w:id="4925" w:name="_Toc74583354"/>
      <w:bookmarkStart w:id="4926" w:name="_Toc76542167"/>
      <w:bookmarkStart w:id="4927" w:name="_Toc82450149"/>
      <w:bookmarkStart w:id="4928" w:name="_Toc82450797"/>
      <w:bookmarkStart w:id="4929" w:name="_Toc89949186"/>
      <w:bookmarkStart w:id="4930" w:name="_Toc98755575"/>
      <w:bookmarkStart w:id="4931" w:name="_Toc98763166"/>
      <w:bookmarkStart w:id="4932" w:name="_Toc106184095"/>
      <w:r>
        <w:rPr>
          <w:rFonts w:hint="eastAsia"/>
        </w:rPr>
        <w:t>9.6.1.2.</w:t>
      </w:r>
      <w:r>
        <w:t>2</w:t>
      </w:r>
      <w:r w:rsidR="006C53A6">
        <w:tab/>
      </w:r>
      <w:r w:rsidRPr="00E26D09">
        <w:t xml:space="preserve">Minimum requirement for </w:t>
      </w:r>
      <w:r w:rsidRPr="001159BE">
        <w:t>IAB-</w:t>
      </w:r>
      <w:r>
        <w:t>MT</w:t>
      </w:r>
      <w:r w:rsidRPr="001159BE">
        <w:t xml:space="preserve"> type 1-O</w:t>
      </w:r>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p>
    <w:p w14:paraId="13E6D7F7" w14:textId="77777777" w:rsidR="00724326" w:rsidRDefault="00724326" w:rsidP="00724326">
      <w:pPr>
        <w:rPr>
          <w:rFonts w:cs="v5.0.0"/>
        </w:rPr>
      </w:pPr>
      <w:r>
        <w:rPr>
          <w:bCs/>
          <w:color w:val="000000"/>
        </w:rPr>
        <w:t xml:space="preserve">The </w:t>
      </w:r>
      <w:r>
        <w:rPr>
          <w:rFonts w:hint="eastAsia"/>
        </w:rPr>
        <w:t>IAB-MT</w:t>
      </w:r>
      <w:r>
        <w:rPr>
          <w:bCs/>
          <w:color w:val="000000"/>
        </w:rPr>
        <w:t xml:space="preserve"> basic measurement interval of modulated carrier frequency is 1 UL slot. The mean value of basic measurements of </w:t>
      </w:r>
      <w:r>
        <w:t xml:space="preserve">IAB-MT modulated carrier frequency shall be accurate to within ± 0.1 PPM observed over a period of 1 msec of cumulated measurement intervals compared to the carrier frequency received from the </w:t>
      </w:r>
      <w:r>
        <w:rPr>
          <w:rFonts w:hint="eastAsia"/>
          <w:lang w:eastAsia="zh-CN"/>
        </w:rPr>
        <w:t>parent node</w:t>
      </w:r>
      <w:r>
        <w:t>.</w:t>
      </w:r>
    </w:p>
    <w:p w14:paraId="19F7DF9F" w14:textId="55CB52B9" w:rsidR="00724326" w:rsidRPr="00CB1F2B" w:rsidRDefault="00724326" w:rsidP="006C53A6">
      <w:pPr>
        <w:pStyle w:val="Heading5"/>
      </w:pPr>
      <w:bookmarkStart w:id="4933" w:name="_Toc53185476"/>
      <w:bookmarkStart w:id="4934" w:name="_Toc53185852"/>
      <w:bookmarkStart w:id="4935" w:name="_Toc57820337"/>
      <w:bookmarkStart w:id="4936" w:name="_Toc57821264"/>
      <w:bookmarkStart w:id="4937" w:name="_Toc61183540"/>
      <w:bookmarkStart w:id="4938" w:name="_Toc61183934"/>
      <w:bookmarkStart w:id="4939" w:name="_Toc61184326"/>
      <w:bookmarkStart w:id="4940" w:name="_Toc61184718"/>
      <w:bookmarkStart w:id="4941" w:name="_Toc61185108"/>
      <w:bookmarkStart w:id="4942" w:name="_Toc66386452"/>
      <w:bookmarkStart w:id="4943" w:name="_Toc74583355"/>
      <w:bookmarkStart w:id="4944" w:name="_Toc76542168"/>
      <w:bookmarkStart w:id="4945" w:name="_Toc82450150"/>
      <w:bookmarkStart w:id="4946" w:name="_Toc82450798"/>
      <w:bookmarkStart w:id="4947" w:name="_Toc89949187"/>
      <w:bookmarkStart w:id="4948" w:name="_Toc98755576"/>
      <w:bookmarkStart w:id="4949" w:name="_Toc98763167"/>
      <w:bookmarkStart w:id="4950" w:name="_Toc106184096"/>
      <w:r>
        <w:rPr>
          <w:rFonts w:hint="eastAsia"/>
        </w:rPr>
        <w:t>9.6.1.2.</w:t>
      </w:r>
      <w:r>
        <w:t>3</w:t>
      </w:r>
      <w:r w:rsidR="006C53A6">
        <w:tab/>
      </w:r>
      <w:r w:rsidRPr="00E26D09">
        <w:t xml:space="preserve">Minimum requirement for </w:t>
      </w:r>
      <w:r w:rsidRPr="001159BE">
        <w:t>IAB-</w:t>
      </w:r>
      <w:r>
        <w:t>MT</w:t>
      </w:r>
      <w:r w:rsidRPr="001159BE">
        <w:t xml:space="preserve"> type 2-O</w:t>
      </w:r>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p>
    <w:p w14:paraId="06873896" w14:textId="1B1D6C72" w:rsidR="00724326" w:rsidRDefault="00724326" w:rsidP="00DE67B3">
      <w:pPr>
        <w:rPr>
          <w:rFonts w:cs="v4.2.0"/>
          <w:lang w:eastAsia="zh-CN"/>
        </w:rPr>
      </w:pPr>
      <w:r>
        <w:rPr>
          <w:bCs/>
          <w:color w:val="000000"/>
        </w:rPr>
        <w:t xml:space="preserve">The </w:t>
      </w:r>
      <w:r>
        <w:rPr>
          <w:rFonts w:hint="eastAsia"/>
        </w:rPr>
        <w:t>IAB-MT</w:t>
      </w:r>
      <w:r>
        <w:rPr>
          <w:bCs/>
          <w:color w:val="000000"/>
        </w:rPr>
        <w:t xml:space="preserve"> basic measurement interval of modulated carrier frequency is 1 UL slot. The mean value of basic measurements of </w:t>
      </w:r>
      <w:r>
        <w:t xml:space="preserve">IAB-MT modulated carrier frequency shall be accurate to within ± 0.1 PPM observed over a period of 1 msec of cumulated measurement intervals compared to the carrier frequency received from the </w:t>
      </w:r>
      <w:r>
        <w:rPr>
          <w:rFonts w:hint="eastAsia"/>
          <w:lang w:eastAsia="zh-CN"/>
        </w:rPr>
        <w:t>parent node</w:t>
      </w:r>
      <w:r>
        <w:t>.</w:t>
      </w:r>
    </w:p>
    <w:p w14:paraId="79975214" w14:textId="77777777" w:rsidR="00DE67B3" w:rsidRDefault="00DE67B3" w:rsidP="00DE67B3">
      <w:pPr>
        <w:pStyle w:val="Heading3"/>
      </w:pPr>
      <w:bookmarkStart w:id="4951" w:name="_Toc29811861"/>
      <w:bookmarkStart w:id="4952" w:name="_Toc21127652"/>
      <w:bookmarkStart w:id="4953" w:name="_Toc53185477"/>
      <w:bookmarkStart w:id="4954" w:name="_Toc53185853"/>
      <w:bookmarkStart w:id="4955" w:name="_Toc57820338"/>
      <w:bookmarkStart w:id="4956" w:name="_Toc57821265"/>
      <w:bookmarkStart w:id="4957" w:name="_Toc61183541"/>
      <w:bookmarkStart w:id="4958" w:name="_Toc61183935"/>
      <w:bookmarkStart w:id="4959" w:name="_Toc61184327"/>
      <w:bookmarkStart w:id="4960" w:name="_Toc61184719"/>
      <w:bookmarkStart w:id="4961" w:name="_Toc61185109"/>
      <w:bookmarkStart w:id="4962" w:name="_Toc66386453"/>
      <w:bookmarkStart w:id="4963" w:name="_Toc74583356"/>
      <w:bookmarkStart w:id="4964" w:name="_Toc76542169"/>
      <w:bookmarkStart w:id="4965" w:name="_Toc82450151"/>
      <w:bookmarkStart w:id="4966" w:name="_Toc82450799"/>
      <w:bookmarkStart w:id="4967" w:name="_Toc89949188"/>
      <w:bookmarkStart w:id="4968" w:name="_Toc98755577"/>
      <w:bookmarkStart w:id="4969" w:name="_Toc98763168"/>
      <w:bookmarkStart w:id="4970" w:name="_Toc106184097"/>
      <w:r>
        <w:t>9.6.2</w:t>
      </w:r>
      <w:r>
        <w:tab/>
        <w:t>OTA modulation quality</w:t>
      </w:r>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p>
    <w:p w14:paraId="3D34BC48" w14:textId="6A91A840" w:rsidR="00DE67B3" w:rsidRDefault="00DE67B3" w:rsidP="00DE67B3">
      <w:pPr>
        <w:pStyle w:val="Heading4"/>
      </w:pPr>
      <w:bookmarkStart w:id="4971" w:name="_Toc53185478"/>
      <w:bookmarkStart w:id="4972" w:name="_Toc53185854"/>
      <w:bookmarkStart w:id="4973" w:name="_Toc57820339"/>
      <w:bookmarkStart w:id="4974" w:name="_Toc57821266"/>
      <w:bookmarkStart w:id="4975" w:name="_Toc61183542"/>
      <w:bookmarkStart w:id="4976" w:name="_Toc61183936"/>
      <w:bookmarkStart w:id="4977" w:name="_Toc61184328"/>
      <w:bookmarkStart w:id="4978" w:name="_Toc61184720"/>
      <w:bookmarkStart w:id="4979" w:name="_Toc61185110"/>
      <w:bookmarkStart w:id="4980" w:name="_Toc66386454"/>
      <w:bookmarkStart w:id="4981" w:name="_Toc74583357"/>
      <w:bookmarkStart w:id="4982" w:name="_Toc76542170"/>
      <w:bookmarkStart w:id="4983" w:name="_Toc82450152"/>
      <w:bookmarkStart w:id="4984" w:name="_Toc82450800"/>
      <w:bookmarkStart w:id="4985" w:name="_Toc89949189"/>
      <w:bookmarkStart w:id="4986" w:name="_Toc98755578"/>
      <w:bookmarkStart w:id="4987" w:name="_Toc98763169"/>
      <w:bookmarkStart w:id="4988" w:name="_Toc106184098"/>
      <w:r>
        <w:rPr>
          <w:rFonts w:hint="eastAsia"/>
        </w:rPr>
        <w:t>9.6.2.1</w:t>
      </w:r>
      <w:r w:rsidR="00815C5B">
        <w:tab/>
      </w:r>
      <w:r>
        <w:rPr>
          <w:rFonts w:hint="eastAsia"/>
        </w:rPr>
        <w:t>IAB-DU OTA m</w:t>
      </w:r>
      <w:r>
        <w:t>odulation quality</w:t>
      </w:r>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p>
    <w:p w14:paraId="18B224B0" w14:textId="77777777" w:rsidR="008E7174" w:rsidRDefault="008E7174" w:rsidP="008E7174">
      <w:pPr>
        <w:rPr>
          <w:rFonts w:cs="v4.2.0"/>
        </w:rPr>
      </w:pPr>
      <w:bookmarkStart w:id="4989" w:name="_Toc53185479"/>
      <w:bookmarkStart w:id="4990" w:name="_Toc53185855"/>
      <w:bookmarkStart w:id="4991" w:name="_Toc57820340"/>
      <w:bookmarkStart w:id="4992" w:name="_Toc57821267"/>
      <w:bookmarkStart w:id="4993" w:name="_Toc61183543"/>
      <w:bookmarkStart w:id="4994" w:name="_Toc61183937"/>
      <w:bookmarkStart w:id="4995" w:name="_Toc61184329"/>
      <w:bookmarkStart w:id="4996" w:name="_Toc61184721"/>
      <w:bookmarkStart w:id="4997" w:name="_Toc61185111"/>
      <w:bookmarkStart w:id="4998" w:name="_Toc66386455"/>
      <w:bookmarkStart w:id="4999" w:name="_Toc74583358"/>
      <w:bookmarkStart w:id="5000" w:name="_Toc76542171"/>
      <w:bookmarkStart w:id="5001" w:name="_Toc82450153"/>
      <w:bookmarkStart w:id="5002" w:name="_Toc82450801"/>
      <w:bookmarkStart w:id="5003" w:name="_Toc89949190"/>
      <w:bookmarkStart w:id="5004" w:name="_Toc98755579"/>
      <w:r>
        <w:rPr>
          <w:rFonts w:cs="v4.2.0"/>
        </w:rPr>
        <w:t xml:space="preserve">The requirements in clause </w:t>
      </w:r>
      <w:r>
        <w:rPr>
          <w:rFonts w:cs="v4.2.0" w:hint="eastAsia"/>
          <w:lang w:eastAsia="zh-CN"/>
        </w:rPr>
        <w:t>9</w:t>
      </w:r>
      <w:r>
        <w:rPr>
          <w:rFonts w:cs="v4.2.0" w:hint="eastAsia"/>
        </w:rPr>
        <w:t>.</w:t>
      </w:r>
      <w:r>
        <w:rPr>
          <w:rFonts w:cs="v4.2.0" w:hint="eastAsia"/>
          <w:lang w:eastAsia="zh-CN"/>
        </w:rPr>
        <w:t>6</w:t>
      </w:r>
      <w:r>
        <w:rPr>
          <w:rFonts w:cs="v4.2.0" w:hint="eastAsia"/>
        </w:rPr>
        <w:t>.</w:t>
      </w:r>
      <w:r>
        <w:rPr>
          <w:rFonts w:cs="v4.2.0" w:hint="eastAsia"/>
          <w:lang w:eastAsia="zh-CN"/>
        </w:rPr>
        <w:t>2</w:t>
      </w:r>
      <w:r>
        <w:rPr>
          <w:rFonts w:cs="v4.2.0" w:hint="eastAsia"/>
        </w:rPr>
        <w:t xml:space="preserve"> for BS type 1-</w:t>
      </w:r>
      <w:r>
        <w:rPr>
          <w:rFonts w:cs="v4.2.0" w:hint="eastAsia"/>
          <w:lang w:eastAsia="zh-CN"/>
        </w:rPr>
        <w:t xml:space="preserve">O and </w:t>
      </w:r>
      <w:r>
        <w:rPr>
          <w:rFonts w:cs="v4.2.0" w:hint="eastAsia"/>
        </w:rPr>
        <w:t xml:space="preserve">type </w:t>
      </w:r>
      <w:r>
        <w:rPr>
          <w:rFonts w:cs="v4.2.0" w:hint="eastAsia"/>
          <w:lang w:eastAsia="zh-CN"/>
        </w:rPr>
        <w:t>2</w:t>
      </w:r>
      <w:r>
        <w:rPr>
          <w:rFonts w:cs="v4.2.0" w:hint="eastAsia"/>
        </w:rPr>
        <w:t>-</w:t>
      </w:r>
      <w:r>
        <w:rPr>
          <w:rFonts w:cs="v4.2.0" w:hint="eastAsia"/>
          <w:lang w:eastAsia="zh-CN"/>
        </w:rPr>
        <w:t>O</w:t>
      </w:r>
      <w:r>
        <w:rPr>
          <w:rFonts w:cs="v4.2.0"/>
        </w:rPr>
        <w:t xml:space="preserve"> in TS 38.1</w:t>
      </w:r>
      <w:r>
        <w:rPr>
          <w:rFonts w:cs="v4.2.0" w:hint="eastAsia"/>
        </w:rPr>
        <w:t>04</w:t>
      </w:r>
      <w:r>
        <w:rPr>
          <w:rFonts w:cs="v4.2.0"/>
        </w:rPr>
        <w:t xml:space="preserve"> [</w:t>
      </w:r>
      <w:r>
        <w:rPr>
          <w:rFonts w:cs="v4.2.0"/>
          <w:lang w:eastAsia="zh-CN"/>
        </w:rPr>
        <w:t>2</w:t>
      </w:r>
      <w:r>
        <w:rPr>
          <w:rFonts w:cs="v4.2.0"/>
        </w:rPr>
        <w:t xml:space="preserve">] apply to IAB-DU </w:t>
      </w:r>
      <w:r>
        <w:rPr>
          <w:rFonts w:cs="v4.2.0" w:hint="eastAsia"/>
        </w:rPr>
        <w:t>type 1-</w:t>
      </w:r>
      <w:r>
        <w:rPr>
          <w:rFonts w:cs="v4.2.0" w:hint="eastAsia"/>
          <w:lang w:eastAsia="zh-CN"/>
        </w:rPr>
        <w:t xml:space="preserve">O and </w:t>
      </w:r>
      <w:r>
        <w:rPr>
          <w:rFonts w:cs="v4.2.0" w:hint="eastAsia"/>
        </w:rPr>
        <w:t xml:space="preserve">type </w:t>
      </w:r>
      <w:r>
        <w:rPr>
          <w:rFonts w:cs="v4.2.0" w:hint="eastAsia"/>
          <w:lang w:eastAsia="zh-CN"/>
        </w:rPr>
        <w:t>2</w:t>
      </w:r>
      <w:r>
        <w:rPr>
          <w:rFonts w:cs="v4.2.0" w:hint="eastAsia"/>
        </w:rPr>
        <w:t>-</w:t>
      </w:r>
      <w:r>
        <w:rPr>
          <w:rFonts w:cs="v4.2.0" w:hint="eastAsia"/>
          <w:lang w:eastAsia="zh-CN"/>
        </w:rPr>
        <w:t>O respectively</w:t>
      </w:r>
      <w:r>
        <w:rPr>
          <w:rFonts w:cs="v4.2.0"/>
        </w:rPr>
        <w:t>.</w:t>
      </w:r>
    </w:p>
    <w:p w14:paraId="053630A2" w14:textId="77777777" w:rsidR="008E7174" w:rsidRDefault="008E7174" w:rsidP="008E7174">
      <w:pPr>
        <w:pStyle w:val="NO"/>
        <w:rPr>
          <w:lang w:val="en-US" w:eastAsia="zh-CN"/>
        </w:rPr>
      </w:pPr>
      <w:r>
        <w:rPr>
          <w:lang w:val="en-US" w:eastAsia="zh-CN"/>
        </w:rPr>
        <w:t>N</w:t>
      </w:r>
      <w:r>
        <w:rPr>
          <w:rFonts w:hint="eastAsia"/>
          <w:lang w:val="en-US" w:eastAsia="zh-CN"/>
        </w:rPr>
        <w:t>OTE</w:t>
      </w:r>
      <w:r>
        <w:rPr>
          <w:lang w:val="en-US" w:eastAsia="zh-CN"/>
        </w:rPr>
        <w:t>:</w:t>
      </w:r>
      <w:r>
        <w:t xml:space="preserve"> </w:t>
      </w:r>
      <w:r>
        <w:tab/>
        <w:t>When the indicated IAB-MT transmission timing mode is set to ‘Case6’ as specified in 3GPP TS 38.213 [10], the power imbalance</w:t>
      </w:r>
      <w:r>
        <w:rPr>
          <w:lang w:val="en-US"/>
        </w:rPr>
        <w:t xml:space="preserve"> for simultaneous transmission</w:t>
      </w:r>
      <w:r>
        <w:t xml:space="preserve"> between IAB-DU and IAB-MT under which the system can be operated is declared by manufacturer</w:t>
      </w:r>
      <w:r>
        <w:rPr>
          <w:rFonts w:hint="eastAsia"/>
          <w:lang w:val="en-US" w:eastAsia="zh-CN"/>
        </w:rPr>
        <w:t>.</w:t>
      </w:r>
    </w:p>
    <w:p w14:paraId="52B2B055" w14:textId="59385218" w:rsidR="00A74AD7" w:rsidRDefault="00A74AD7" w:rsidP="00A74AD7">
      <w:pPr>
        <w:pStyle w:val="Heading4"/>
      </w:pPr>
      <w:bookmarkStart w:id="5005" w:name="_Toc98763170"/>
      <w:bookmarkStart w:id="5006" w:name="_Toc106184099"/>
      <w:r>
        <w:rPr>
          <w:rFonts w:hint="eastAsia"/>
        </w:rPr>
        <w:t>9.6.2.2</w:t>
      </w:r>
      <w:r w:rsidR="006C53A6">
        <w:tab/>
      </w:r>
      <w:r>
        <w:rPr>
          <w:rFonts w:hint="eastAsia"/>
        </w:rPr>
        <w:t>IAB-MT OTA m</w:t>
      </w:r>
      <w:r>
        <w:t>odulation quality</w:t>
      </w:r>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p>
    <w:p w14:paraId="2C23860C" w14:textId="59D09789" w:rsidR="00A74AD7" w:rsidRDefault="00A74AD7" w:rsidP="00A74AD7">
      <w:pPr>
        <w:pStyle w:val="Heading5"/>
        <w:rPr>
          <w:rStyle w:val="h5Char1"/>
          <w:rFonts w:eastAsiaTheme="minorEastAsia"/>
          <w:lang w:eastAsia="zh-CN"/>
        </w:rPr>
      </w:pPr>
      <w:bookmarkStart w:id="5007" w:name="_Toc53185480"/>
      <w:bookmarkStart w:id="5008" w:name="_Toc53185856"/>
      <w:bookmarkStart w:id="5009" w:name="_Toc57820341"/>
      <w:bookmarkStart w:id="5010" w:name="_Toc57821268"/>
      <w:bookmarkStart w:id="5011" w:name="_Toc61183544"/>
      <w:bookmarkStart w:id="5012" w:name="_Toc61183938"/>
      <w:bookmarkStart w:id="5013" w:name="_Toc61184330"/>
      <w:bookmarkStart w:id="5014" w:name="_Toc61184722"/>
      <w:bookmarkStart w:id="5015" w:name="_Toc61185112"/>
      <w:bookmarkStart w:id="5016" w:name="_Toc66386456"/>
      <w:bookmarkStart w:id="5017" w:name="_Toc74583359"/>
      <w:bookmarkStart w:id="5018" w:name="_Toc76542172"/>
      <w:bookmarkStart w:id="5019" w:name="_Toc82450154"/>
      <w:bookmarkStart w:id="5020" w:name="_Toc82450802"/>
      <w:bookmarkStart w:id="5021" w:name="_Toc89949191"/>
      <w:bookmarkStart w:id="5022" w:name="_Toc98755580"/>
      <w:bookmarkStart w:id="5023" w:name="_Toc98763171"/>
      <w:bookmarkStart w:id="5024" w:name="_Toc106184100"/>
      <w:r w:rsidRPr="00201F6F">
        <w:rPr>
          <w:rStyle w:val="h5Char1"/>
          <w:rFonts w:hint="eastAsia"/>
        </w:rPr>
        <w:t>9.6.2.2.1</w:t>
      </w:r>
      <w:r w:rsidR="006C53A6">
        <w:tab/>
      </w:r>
      <w:r w:rsidRPr="001159BE">
        <w:rPr>
          <w:rStyle w:val="h5Char1"/>
        </w:rPr>
        <w:t>General</w:t>
      </w:r>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p>
    <w:p w14:paraId="69DA33AD" w14:textId="77777777" w:rsidR="00A74AD7" w:rsidRDefault="00A74AD7" w:rsidP="00A74AD7">
      <w:r>
        <w:t xml:space="preserve">Modulation quality is defined by the difference between the measured carrier signal and an ideal signal. Modulation quality can e.g. be expressed as Error Vector Magnitude (EVM). Details about how the EVM is determined are specified in Annex </w:t>
      </w:r>
      <w:r>
        <w:rPr>
          <w:rFonts w:eastAsiaTheme="minorEastAsia" w:hint="eastAsia"/>
          <w:lang w:eastAsia="zh-CN"/>
        </w:rPr>
        <w:t>D</w:t>
      </w:r>
      <w:r>
        <w:t xml:space="preserve"> for FR1 and Annex </w:t>
      </w:r>
      <w:r>
        <w:rPr>
          <w:rFonts w:eastAsiaTheme="minorEastAsia" w:hint="eastAsia"/>
          <w:lang w:eastAsia="zh-CN"/>
        </w:rPr>
        <w:t>E</w:t>
      </w:r>
      <w:r>
        <w:t xml:space="preserve"> for FR2.</w:t>
      </w:r>
    </w:p>
    <w:p w14:paraId="10B2AEB3" w14:textId="77777777" w:rsidR="008E7174" w:rsidRDefault="008E7174" w:rsidP="008E7174">
      <w:pPr>
        <w:rPr>
          <w:rFonts w:cs="v5.0.0"/>
        </w:rPr>
      </w:pPr>
      <w:bookmarkStart w:id="5025" w:name="_Toc53185481"/>
      <w:bookmarkStart w:id="5026" w:name="_Toc53185857"/>
      <w:bookmarkStart w:id="5027" w:name="_Toc57820342"/>
      <w:bookmarkStart w:id="5028" w:name="_Toc57821269"/>
      <w:bookmarkStart w:id="5029" w:name="_Toc61183545"/>
      <w:bookmarkStart w:id="5030" w:name="_Toc61183939"/>
      <w:bookmarkStart w:id="5031" w:name="_Toc61184331"/>
      <w:bookmarkStart w:id="5032" w:name="_Toc61184723"/>
      <w:bookmarkStart w:id="5033" w:name="_Toc61185113"/>
      <w:bookmarkStart w:id="5034" w:name="_Toc66386457"/>
      <w:bookmarkStart w:id="5035" w:name="_Toc74583360"/>
      <w:bookmarkStart w:id="5036" w:name="_Toc76542173"/>
      <w:bookmarkStart w:id="5037" w:name="_Toc82450155"/>
      <w:bookmarkStart w:id="5038" w:name="_Toc82450803"/>
      <w:bookmarkStart w:id="5039" w:name="_Toc89949192"/>
      <w:bookmarkStart w:id="5040" w:name="_Toc98755581"/>
      <w:r>
        <w:rPr>
          <w:rFonts w:cs="v5.0.0"/>
        </w:rPr>
        <w:t xml:space="preserve">OTA modulation quality requirement is defined as a </w:t>
      </w:r>
      <w:r>
        <w:rPr>
          <w:rFonts w:cs="v5.0.0"/>
          <w:i/>
        </w:rPr>
        <w:t>directional requirement</w:t>
      </w:r>
      <w:r>
        <w:rPr>
          <w:rFonts w:cs="v5.0.0"/>
        </w:rPr>
        <w:t xml:space="preserve"> at the RIB and shall be met within the </w:t>
      </w:r>
      <w:r>
        <w:rPr>
          <w:rFonts w:cs="v5.0.0"/>
          <w:i/>
        </w:rPr>
        <w:t>OTA coverage range</w:t>
      </w:r>
      <w:r>
        <w:rPr>
          <w:rFonts w:cs="v5.0.0"/>
        </w:rPr>
        <w:t>.</w:t>
      </w:r>
    </w:p>
    <w:p w14:paraId="31E4BEAD" w14:textId="77777777" w:rsidR="008E7174" w:rsidRDefault="008E7174" w:rsidP="008E7174">
      <w:pPr>
        <w:pStyle w:val="NO"/>
        <w:rPr>
          <w:lang w:val="en-US" w:eastAsia="zh-CN"/>
        </w:rPr>
      </w:pPr>
      <w:r>
        <w:rPr>
          <w:rFonts w:eastAsia="SimSun" w:cs="v4.2.0"/>
          <w:lang w:val="en-US" w:eastAsia="zh-CN"/>
        </w:rPr>
        <w:lastRenderedPageBreak/>
        <w:t>N</w:t>
      </w:r>
      <w:r>
        <w:rPr>
          <w:rFonts w:hint="eastAsia"/>
          <w:lang w:val="en-US" w:eastAsia="zh-CN"/>
        </w:rPr>
        <w:t>OTE</w:t>
      </w:r>
      <w:r>
        <w:rPr>
          <w:rFonts w:eastAsia="SimSun" w:cs="v4.2.0"/>
          <w:lang w:val="en-US" w:eastAsia="zh-CN"/>
        </w:rPr>
        <w:t>:</w:t>
      </w:r>
      <w:r>
        <w:t xml:space="preserve"> </w:t>
      </w:r>
      <w:r>
        <w:tab/>
        <w:t>When the indicated IAB-MT transmission timing mode is set to ‘Case6’ as specified in 3GPP TS 38.213 [10], the power imbalance</w:t>
      </w:r>
      <w:r>
        <w:rPr>
          <w:lang w:val="en-US"/>
        </w:rPr>
        <w:t xml:space="preserve"> for simultaneous transmission</w:t>
      </w:r>
      <w:r>
        <w:t xml:space="preserve"> between IAB-DU and IAB-MT under which the system can be operated is declared by manufacturer</w:t>
      </w:r>
      <w:r>
        <w:rPr>
          <w:rFonts w:hint="eastAsia"/>
          <w:lang w:val="en-US" w:eastAsia="zh-CN"/>
        </w:rPr>
        <w:t>.</w:t>
      </w:r>
    </w:p>
    <w:p w14:paraId="0017CB60" w14:textId="1BC9CB25" w:rsidR="00A74AD7" w:rsidRPr="001159BE" w:rsidRDefault="00A74AD7" w:rsidP="00A74AD7">
      <w:pPr>
        <w:pStyle w:val="Heading5"/>
        <w:rPr>
          <w:rStyle w:val="h5Char1"/>
        </w:rPr>
      </w:pPr>
      <w:bookmarkStart w:id="5041" w:name="_Toc98763172"/>
      <w:bookmarkStart w:id="5042" w:name="_Toc106184101"/>
      <w:r w:rsidRPr="001159BE">
        <w:rPr>
          <w:rStyle w:val="h5Char1"/>
        </w:rPr>
        <w:t>9.6.2.2.2</w:t>
      </w:r>
      <w:r w:rsidR="006C53A6">
        <w:tab/>
      </w:r>
      <w:r w:rsidRPr="001159BE">
        <w:rPr>
          <w:rStyle w:val="h5Char1"/>
        </w:rPr>
        <w:t>Minimum requirement for IAB-MT type 1-O</w:t>
      </w:r>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p>
    <w:p w14:paraId="2BE1C0AC" w14:textId="77777777" w:rsidR="00A74AD7" w:rsidRDefault="00A74AD7" w:rsidP="00A74AD7">
      <w:pPr>
        <w:rPr>
          <w:rFonts w:eastAsiaTheme="minorEastAsia"/>
          <w:lang w:eastAsia="zh-CN"/>
        </w:rPr>
      </w:pPr>
      <w:r>
        <w:rPr>
          <w:lang w:val="en-US" w:eastAsia="zh-CN"/>
        </w:rPr>
        <w:t xml:space="preserve">For </w:t>
      </w:r>
      <w:r w:rsidRPr="00182E48">
        <w:rPr>
          <w:rFonts w:eastAsiaTheme="minorEastAsia" w:hint="eastAsia"/>
          <w:iCs/>
          <w:lang w:val="en-US" w:eastAsia="zh-CN"/>
        </w:rPr>
        <w:t>IAB-MT</w:t>
      </w:r>
      <w:r w:rsidRPr="00182E48">
        <w:rPr>
          <w:iCs/>
          <w:lang w:val="en-US" w:eastAsia="zh-CN"/>
        </w:rPr>
        <w:t xml:space="preserve"> type 1-O</w:t>
      </w:r>
      <w:r>
        <w:rPr>
          <w:lang w:val="en-US" w:eastAsia="zh-CN"/>
        </w:rPr>
        <w:t xml:space="preserve">, </w:t>
      </w:r>
      <w:r>
        <w:t xml:space="preserve">the EVM levels </w:t>
      </w:r>
      <w:r>
        <w:rPr>
          <w:rFonts w:eastAsia="SimSun"/>
          <w:lang w:val="en-US" w:eastAsia="zh-CN"/>
        </w:rPr>
        <w:t xml:space="preserve">of </w:t>
      </w:r>
      <w:r>
        <w:rPr>
          <w:rFonts w:eastAsia="SimSun"/>
        </w:rPr>
        <w:t xml:space="preserve">each </w:t>
      </w:r>
      <w:r>
        <w:rPr>
          <w:rFonts w:eastAsia="SimSun"/>
          <w:lang w:val="en-US" w:eastAsia="zh-CN"/>
        </w:rPr>
        <w:t xml:space="preserve">NR </w:t>
      </w:r>
      <w:r>
        <w:rPr>
          <w:rFonts w:eastAsia="SimSun"/>
        </w:rPr>
        <w:t>carrier</w:t>
      </w:r>
      <w:r>
        <w:t xml:space="preserve"> for different modulation schemes outlined in table 6.5.</w:t>
      </w:r>
      <w:r>
        <w:rPr>
          <w:rFonts w:eastAsia="SimSun"/>
          <w:lang w:val="en-US" w:eastAsia="zh-CN"/>
        </w:rPr>
        <w:t>2</w:t>
      </w:r>
      <w:r>
        <w:t>.</w:t>
      </w:r>
      <w:r>
        <w:rPr>
          <w:rFonts w:eastAsia="SimSun"/>
          <w:lang w:val="en-US" w:eastAsia="zh-CN"/>
        </w:rPr>
        <w:t>2</w:t>
      </w:r>
      <w:r>
        <w:rPr>
          <w:rFonts w:eastAsia="SimSun" w:hint="eastAsia"/>
          <w:lang w:val="en-US" w:eastAsia="zh-CN"/>
        </w:rPr>
        <w:t>.2</w:t>
      </w:r>
      <w:r>
        <w:t xml:space="preserve">-1 shall be met. Requirements shall be the same as </w:t>
      </w:r>
      <w:r>
        <w:rPr>
          <w:lang w:val="en-US" w:eastAsia="zh-CN"/>
        </w:rPr>
        <w:t xml:space="preserve">clause </w:t>
      </w:r>
      <w:r>
        <w:t>6.5.2.2</w:t>
      </w:r>
      <w:r>
        <w:rPr>
          <w:rFonts w:eastAsiaTheme="minorEastAsia" w:hint="eastAsia"/>
          <w:lang w:eastAsia="zh-CN"/>
        </w:rPr>
        <w:t>.2</w:t>
      </w:r>
      <w:r>
        <w:t>.</w:t>
      </w:r>
    </w:p>
    <w:p w14:paraId="10E4665B" w14:textId="52CC94EB" w:rsidR="00A74AD7" w:rsidRPr="001159BE" w:rsidRDefault="00A74AD7" w:rsidP="00A74AD7">
      <w:pPr>
        <w:pStyle w:val="Heading5"/>
        <w:rPr>
          <w:rStyle w:val="h5Char1"/>
        </w:rPr>
      </w:pPr>
      <w:bookmarkStart w:id="5043" w:name="_Toc53185482"/>
      <w:bookmarkStart w:id="5044" w:name="_Toc53185858"/>
      <w:bookmarkStart w:id="5045" w:name="_Toc57820343"/>
      <w:bookmarkStart w:id="5046" w:name="_Toc57821270"/>
      <w:bookmarkStart w:id="5047" w:name="_Toc61183546"/>
      <w:bookmarkStart w:id="5048" w:name="_Toc61183940"/>
      <w:bookmarkStart w:id="5049" w:name="_Toc61184332"/>
      <w:bookmarkStart w:id="5050" w:name="_Toc61184724"/>
      <w:bookmarkStart w:id="5051" w:name="_Toc61185114"/>
      <w:bookmarkStart w:id="5052" w:name="_Toc66386458"/>
      <w:bookmarkStart w:id="5053" w:name="_Toc74583361"/>
      <w:bookmarkStart w:id="5054" w:name="_Toc76542174"/>
      <w:bookmarkStart w:id="5055" w:name="_Toc82450156"/>
      <w:bookmarkStart w:id="5056" w:name="_Toc82450804"/>
      <w:bookmarkStart w:id="5057" w:name="_Toc89949193"/>
      <w:bookmarkStart w:id="5058" w:name="_Toc98755582"/>
      <w:bookmarkStart w:id="5059" w:name="_Toc98763173"/>
      <w:bookmarkStart w:id="5060" w:name="_Toc106184102"/>
      <w:r w:rsidRPr="001159BE">
        <w:rPr>
          <w:rStyle w:val="h5Char1"/>
        </w:rPr>
        <w:t>9.6.2.2.3</w:t>
      </w:r>
      <w:r w:rsidR="006C53A6">
        <w:tab/>
      </w:r>
      <w:r w:rsidRPr="001159BE">
        <w:rPr>
          <w:rStyle w:val="h5Char1"/>
        </w:rPr>
        <w:t>Minimum requirement for IAB-MT type 2-O</w:t>
      </w:r>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p>
    <w:p w14:paraId="0DAEAAD5" w14:textId="6BC842FA" w:rsidR="006C53A6" w:rsidRDefault="006C53A6" w:rsidP="006C53A6">
      <w:r>
        <w:t xml:space="preserve">For </w:t>
      </w:r>
      <w:r w:rsidRPr="00182E48">
        <w:rPr>
          <w:rFonts w:hint="eastAsia"/>
          <w:iCs/>
          <w:lang w:eastAsia="zh-CN"/>
        </w:rPr>
        <w:t>IAB-MT</w:t>
      </w:r>
      <w:r w:rsidRPr="00182E48">
        <w:rPr>
          <w:iCs/>
        </w:rPr>
        <w:t xml:space="preserve"> typ</w:t>
      </w:r>
      <w:r w:rsidRPr="00182E48">
        <w:rPr>
          <w:szCs w:val="22"/>
        </w:rPr>
        <w:t xml:space="preserve">e </w:t>
      </w:r>
      <w:r w:rsidRPr="00182E48">
        <w:rPr>
          <w:rFonts w:eastAsia="MS Mincho"/>
          <w:szCs w:val="22"/>
          <w:lang w:val="en-US" w:eastAsia="zh-CN"/>
        </w:rPr>
        <w:t>2-O</w:t>
      </w:r>
      <w:r>
        <w:rPr>
          <w:szCs w:val="22"/>
        </w:rPr>
        <w:t xml:space="preserve">, the EVM levels </w:t>
      </w:r>
      <w:r>
        <w:rPr>
          <w:rFonts w:eastAsia="MS Mincho"/>
          <w:szCs w:val="22"/>
        </w:rPr>
        <w:t>of each NR carrier</w:t>
      </w:r>
      <w:r>
        <w:rPr>
          <w:szCs w:val="22"/>
        </w:rPr>
        <w:t xml:space="preserve"> for different modulation schemes outlined in table </w:t>
      </w:r>
      <w:r>
        <w:rPr>
          <w:rFonts w:eastAsia="MS Mincho"/>
          <w:szCs w:val="22"/>
          <w:lang w:val="en-US" w:eastAsia="zh-CN"/>
        </w:rPr>
        <w:t>9.6.2.</w:t>
      </w:r>
      <w:r>
        <w:rPr>
          <w:rFonts w:hint="eastAsia"/>
          <w:szCs w:val="22"/>
          <w:lang w:val="en-US" w:eastAsia="zh-CN"/>
        </w:rPr>
        <w:t>2.</w:t>
      </w:r>
      <w:r>
        <w:rPr>
          <w:rFonts w:eastAsia="MS Mincho"/>
          <w:szCs w:val="22"/>
          <w:lang w:val="en-US" w:eastAsia="zh-CN"/>
        </w:rPr>
        <w:t>3</w:t>
      </w:r>
      <w:r>
        <w:rPr>
          <w:szCs w:val="22"/>
        </w:rPr>
        <w:t>-1</w:t>
      </w:r>
      <w:r>
        <w:rPr>
          <w:rFonts w:eastAsia="MS Mincho"/>
          <w:szCs w:val="22"/>
          <w:lang w:val="en-US" w:eastAsia="zh-CN"/>
        </w:rPr>
        <w:t xml:space="preserve"> </w:t>
      </w:r>
      <w:r>
        <w:rPr>
          <w:szCs w:val="22"/>
        </w:rPr>
        <w:t>shall be met</w:t>
      </w:r>
      <w:r w:rsidRPr="00B04D1A">
        <w:t xml:space="preserve"> </w:t>
      </w:r>
      <w:r w:rsidRPr="00B04D1A">
        <w:rPr>
          <w:szCs w:val="22"/>
        </w:rPr>
        <w:t>., following the EVM frame structure described in clause 9.6.2.2.4.</w:t>
      </w:r>
    </w:p>
    <w:p w14:paraId="7D49740C" w14:textId="77777777" w:rsidR="00A74AD7" w:rsidRDefault="00A74AD7" w:rsidP="00A74AD7">
      <w:pPr>
        <w:pStyle w:val="TH"/>
        <w:rPr>
          <w:lang w:eastAsia="zh-CN"/>
        </w:rPr>
      </w:pPr>
      <w:r>
        <w:t xml:space="preserve">Table </w:t>
      </w:r>
      <w:r>
        <w:rPr>
          <w:rFonts w:eastAsiaTheme="minorEastAsia" w:hint="eastAsia"/>
          <w:lang w:eastAsia="zh-CN"/>
        </w:rPr>
        <w:t>9.6.2.2.3</w:t>
      </w:r>
      <w:r>
        <w:t>-1: Minimum requirements for error vector magnitude</w:t>
      </w:r>
    </w:p>
    <w:tbl>
      <w:tblPr>
        <w:tblW w:w="61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6"/>
        <w:gridCol w:w="1080"/>
        <w:gridCol w:w="2520"/>
      </w:tblGrid>
      <w:tr w:rsidR="00A74AD7" w14:paraId="0CE1D84F" w14:textId="77777777" w:rsidTr="00BD1F8C">
        <w:trPr>
          <w:jc w:val="center"/>
        </w:trPr>
        <w:tc>
          <w:tcPr>
            <w:tcW w:w="2516" w:type="dxa"/>
            <w:tcBorders>
              <w:top w:val="single" w:sz="4" w:space="0" w:color="auto"/>
              <w:left w:val="single" w:sz="4" w:space="0" w:color="auto"/>
              <w:bottom w:val="single" w:sz="4" w:space="0" w:color="auto"/>
              <w:right w:val="single" w:sz="4" w:space="0" w:color="auto"/>
            </w:tcBorders>
            <w:hideMark/>
          </w:tcPr>
          <w:p w14:paraId="05F5F091" w14:textId="77777777" w:rsidR="00A74AD7" w:rsidRDefault="00A74AD7" w:rsidP="00BD1F8C">
            <w:pPr>
              <w:pStyle w:val="TAH"/>
              <w:rPr>
                <w:rFonts w:cs="v5.0.0"/>
              </w:rPr>
            </w:pPr>
            <w:r>
              <w:rPr>
                <w:rFonts w:cs="v5.0.0"/>
                <w:b w:val="0"/>
              </w:rPr>
              <w:br w:type="page"/>
            </w:r>
            <w:r>
              <w:rPr>
                <w:rFonts w:cs="v5.0.0"/>
              </w:rPr>
              <w:t>Parameter</w:t>
            </w:r>
          </w:p>
        </w:tc>
        <w:tc>
          <w:tcPr>
            <w:tcW w:w="1080" w:type="dxa"/>
            <w:tcBorders>
              <w:top w:val="single" w:sz="4" w:space="0" w:color="auto"/>
              <w:left w:val="single" w:sz="4" w:space="0" w:color="auto"/>
              <w:bottom w:val="single" w:sz="4" w:space="0" w:color="auto"/>
              <w:right w:val="single" w:sz="4" w:space="0" w:color="auto"/>
            </w:tcBorders>
            <w:hideMark/>
          </w:tcPr>
          <w:p w14:paraId="471A960F" w14:textId="77777777" w:rsidR="00A74AD7" w:rsidRDefault="00A74AD7" w:rsidP="00BD1F8C">
            <w:pPr>
              <w:pStyle w:val="TAH"/>
              <w:rPr>
                <w:rFonts w:cs="v5.0.0"/>
              </w:rPr>
            </w:pPr>
            <w:r>
              <w:rPr>
                <w:rFonts w:cs="v5.0.0"/>
              </w:rPr>
              <w:t>Unit</w:t>
            </w:r>
          </w:p>
        </w:tc>
        <w:tc>
          <w:tcPr>
            <w:tcW w:w="2520" w:type="dxa"/>
            <w:tcBorders>
              <w:top w:val="single" w:sz="4" w:space="0" w:color="auto"/>
              <w:left w:val="single" w:sz="4" w:space="0" w:color="auto"/>
              <w:bottom w:val="single" w:sz="4" w:space="0" w:color="auto"/>
              <w:right w:val="single" w:sz="4" w:space="0" w:color="auto"/>
            </w:tcBorders>
            <w:hideMark/>
          </w:tcPr>
          <w:p w14:paraId="61FB9DCE" w14:textId="77777777" w:rsidR="00A74AD7" w:rsidRDefault="00A74AD7" w:rsidP="00BD1F8C">
            <w:pPr>
              <w:pStyle w:val="TAH"/>
              <w:rPr>
                <w:rFonts w:cs="v5.0.0"/>
              </w:rPr>
            </w:pPr>
            <w:r>
              <w:rPr>
                <w:rFonts w:cs="v5.0.0"/>
              </w:rPr>
              <w:t>Average EVM level</w:t>
            </w:r>
          </w:p>
        </w:tc>
      </w:tr>
      <w:tr w:rsidR="00A74AD7" w14:paraId="0F6E1960" w14:textId="77777777" w:rsidTr="00BD1F8C">
        <w:trPr>
          <w:jc w:val="center"/>
        </w:trPr>
        <w:tc>
          <w:tcPr>
            <w:tcW w:w="2516" w:type="dxa"/>
            <w:tcBorders>
              <w:top w:val="single" w:sz="4" w:space="0" w:color="auto"/>
              <w:left w:val="single" w:sz="4" w:space="0" w:color="auto"/>
              <w:bottom w:val="single" w:sz="4" w:space="0" w:color="auto"/>
              <w:right w:val="single" w:sz="4" w:space="0" w:color="auto"/>
            </w:tcBorders>
            <w:hideMark/>
          </w:tcPr>
          <w:p w14:paraId="4F33F476" w14:textId="77777777" w:rsidR="00A74AD7" w:rsidRDefault="00A74AD7" w:rsidP="00BD1F8C">
            <w:pPr>
              <w:pStyle w:val="TAC"/>
            </w:pPr>
            <w:r>
              <w:t xml:space="preserve">QPSK </w:t>
            </w:r>
          </w:p>
        </w:tc>
        <w:tc>
          <w:tcPr>
            <w:tcW w:w="1080" w:type="dxa"/>
            <w:tcBorders>
              <w:top w:val="single" w:sz="4" w:space="0" w:color="auto"/>
              <w:left w:val="single" w:sz="4" w:space="0" w:color="auto"/>
              <w:bottom w:val="single" w:sz="4" w:space="0" w:color="auto"/>
              <w:right w:val="single" w:sz="4" w:space="0" w:color="auto"/>
            </w:tcBorders>
            <w:hideMark/>
          </w:tcPr>
          <w:p w14:paraId="173641B0" w14:textId="77777777" w:rsidR="00A74AD7" w:rsidRDefault="00A74AD7" w:rsidP="00BD1F8C">
            <w:pPr>
              <w:pStyle w:val="TAC"/>
            </w:pPr>
            <w:r>
              <w:t>%</w:t>
            </w:r>
          </w:p>
        </w:tc>
        <w:tc>
          <w:tcPr>
            <w:tcW w:w="2520" w:type="dxa"/>
            <w:tcBorders>
              <w:top w:val="single" w:sz="4" w:space="0" w:color="auto"/>
              <w:left w:val="single" w:sz="4" w:space="0" w:color="auto"/>
              <w:bottom w:val="single" w:sz="4" w:space="0" w:color="auto"/>
              <w:right w:val="single" w:sz="4" w:space="0" w:color="auto"/>
            </w:tcBorders>
            <w:hideMark/>
          </w:tcPr>
          <w:p w14:paraId="1782C938" w14:textId="77777777" w:rsidR="00A74AD7" w:rsidRDefault="00A74AD7" w:rsidP="00BD1F8C">
            <w:pPr>
              <w:pStyle w:val="TAC"/>
            </w:pPr>
            <w:r>
              <w:t>17.5</w:t>
            </w:r>
          </w:p>
        </w:tc>
      </w:tr>
      <w:tr w:rsidR="00A74AD7" w14:paraId="092BA12C" w14:textId="77777777" w:rsidTr="00BD1F8C">
        <w:trPr>
          <w:jc w:val="center"/>
        </w:trPr>
        <w:tc>
          <w:tcPr>
            <w:tcW w:w="2516" w:type="dxa"/>
            <w:tcBorders>
              <w:top w:val="single" w:sz="4" w:space="0" w:color="auto"/>
              <w:left w:val="single" w:sz="4" w:space="0" w:color="auto"/>
              <w:bottom w:val="single" w:sz="4" w:space="0" w:color="auto"/>
              <w:right w:val="single" w:sz="4" w:space="0" w:color="auto"/>
            </w:tcBorders>
            <w:hideMark/>
          </w:tcPr>
          <w:p w14:paraId="0DD03BEA" w14:textId="77777777" w:rsidR="00A74AD7" w:rsidRDefault="00A74AD7" w:rsidP="00BD1F8C">
            <w:pPr>
              <w:pStyle w:val="TAC"/>
            </w:pPr>
            <w:r>
              <w:t>16</w:t>
            </w:r>
            <w:r>
              <w:rPr>
                <w:rFonts w:eastAsia="Malgun Gothic"/>
              </w:rPr>
              <w:t xml:space="preserve"> </w:t>
            </w:r>
            <w:r>
              <w:t xml:space="preserve">QAM </w:t>
            </w:r>
          </w:p>
        </w:tc>
        <w:tc>
          <w:tcPr>
            <w:tcW w:w="1080" w:type="dxa"/>
            <w:tcBorders>
              <w:top w:val="single" w:sz="4" w:space="0" w:color="auto"/>
              <w:left w:val="single" w:sz="4" w:space="0" w:color="auto"/>
              <w:bottom w:val="single" w:sz="4" w:space="0" w:color="auto"/>
              <w:right w:val="single" w:sz="4" w:space="0" w:color="auto"/>
            </w:tcBorders>
            <w:hideMark/>
          </w:tcPr>
          <w:p w14:paraId="089730CA" w14:textId="77777777" w:rsidR="00A74AD7" w:rsidRDefault="00A74AD7" w:rsidP="00BD1F8C">
            <w:pPr>
              <w:pStyle w:val="TAC"/>
            </w:pPr>
            <w:r>
              <w:t>%</w:t>
            </w:r>
          </w:p>
        </w:tc>
        <w:tc>
          <w:tcPr>
            <w:tcW w:w="2520" w:type="dxa"/>
            <w:tcBorders>
              <w:top w:val="single" w:sz="4" w:space="0" w:color="auto"/>
              <w:left w:val="single" w:sz="4" w:space="0" w:color="auto"/>
              <w:bottom w:val="single" w:sz="4" w:space="0" w:color="auto"/>
              <w:right w:val="single" w:sz="4" w:space="0" w:color="auto"/>
            </w:tcBorders>
            <w:hideMark/>
          </w:tcPr>
          <w:p w14:paraId="2B377260" w14:textId="77777777" w:rsidR="00A74AD7" w:rsidRDefault="00A74AD7" w:rsidP="00BD1F8C">
            <w:pPr>
              <w:pStyle w:val="TAC"/>
            </w:pPr>
            <w:r>
              <w:t>12.5</w:t>
            </w:r>
          </w:p>
        </w:tc>
      </w:tr>
      <w:tr w:rsidR="00A74AD7" w14:paraId="1CECC9CC" w14:textId="77777777" w:rsidTr="00BD1F8C">
        <w:trPr>
          <w:jc w:val="center"/>
        </w:trPr>
        <w:tc>
          <w:tcPr>
            <w:tcW w:w="2516" w:type="dxa"/>
            <w:tcBorders>
              <w:top w:val="single" w:sz="4" w:space="0" w:color="auto"/>
              <w:left w:val="single" w:sz="4" w:space="0" w:color="auto"/>
              <w:bottom w:val="single" w:sz="4" w:space="0" w:color="auto"/>
              <w:right w:val="single" w:sz="4" w:space="0" w:color="auto"/>
            </w:tcBorders>
            <w:hideMark/>
          </w:tcPr>
          <w:p w14:paraId="69D2D5B8" w14:textId="77777777" w:rsidR="00A74AD7" w:rsidRDefault="00A74AD7" w:rsidP="00BD1F8C">
            <w:pPr>
              <w:pStyle w:val="TAC"/>
            </w:pPr>
            <w:r>
              <w:rPr>
                <w:lang w:eastAsia="zh-CN"/>
              </w:rPr>
              <w:t>64</w:t>
            </w:r>
            <w:r>
              <w:rPr>
                <w:rFonts w:eastAsia="Malgun Gothic"/>
              </w:rPr>
              <w:t xml:space="preserve"> </w:t>
            </w:r>
            <w:r>
              <w:t xml:space="preserve">QAM </w:t>
            </w:r>
          </w:p>
        </w:tc>
        <w:tc>
          <w:tcPr>
            <w:tcW w:w="1080" w:type="dxa"/>
            <w:tcBorders>
              <w:top w:val="single" w:sz="4" w:space="0" w:color="auto"/>
              <w:left w:val="single" w:sz="4" w:space="0" w:color="auto"/>
              <w:bottom w:val="single" w:sz="4" w:space="0" w:color="auto"/>
              <w:right w:val="single" w:sz="4" w:space="0" w:color="auto"/>
            </w:tcBorders>
            <w:hideMark/>
          </w:tcPr>
          <w:p w14:paraId="585DF1A6" w14:textId="77777777" w:rsidR="00A74AD7" w:rsidRDefault="00A74AD7" w:rsidP="00BD1F8C">
            <w:pPr>
              <w:pStyle w:val="TAC"/>
            </w:pPr>
            <w:r>
              <w:t>%</w:t>
            </w:r>
          </w:p>
        </w:tc>
        <w:tc>
          <w:tcPr>
            <w:tcW w:w="2520" w:type="dxa"/>
            <w:tcBorders>
              <w:top w:val="single" w:sz="4" w:space="0" w:color="auto"/>
              <w:left w:val="single" w:sz="4" w:space="0" w:color="auto"/>
              <w:bottom w:val="single" w:sz="4" w:space="0" w:color="auto"/>
              <w:right w:val="single" w:sz="4" w:space="0" w:color="auto"/>
            </w:tcBorders>
            <w:hideMark/>
          </w:tcPr>
          <w:p w14:paraId="270C462C" w14:textId="77777777" w:rsidR="00A74AD7" w:rsidRDefault="00A74AD7" w:rsidP="00BD1F8C">
            <w:pPr>
              <w:pStyle w:val="TAC"/>
            </w:pPr>
            <w:r>
              <w:t>8.0</w:t>
            </w:r>
          </w:p>
        </w:tc>
      </w:tr>
    </w:tbl>
    <w:p w14:paraId="43065959" w14:textId="46F450DA" w:rsidR="00A74AD7" w:rsidRDefault="00A74AD7" w:rsidP="006C53A6">
      <w:pPr>
        <w:rPr>
          <w:lang w:eastAsia="zh-CN"/>
        </w:rPr>
      </w:pPr>
    </w:p>
    <w:p w14:paraId="420BC0E4" w14:textId="77777777" w:rsidR="006C53A6" w:rsidRDefault="006C53A6" w:rsidP="006C53A6">
      <w:pPr>
        <w:pStyle w:val="Heading5"/>
      </w:pPr>
      <w:bookmarkStart w:id="5061" w:name="_Toc57820344"/>
      <w:bookmarkStart w:id="5062" w:name="_Toc57821271"/>
      <w:bookmarkStart w:id="5063" w:name="_Toc61183547"/>
      <w:bookmarkStart w:id="5064" w:name="_Toc61183941"/>
      <w:bookmarkStart w:id="5065" w:name="_Toc61184333"/>
      <w:bookmarkStart w:id="5066" w:name="_Toc61184725"/>
      <w:bookmarkStart w:id="5067" w:name="_Toc61185115"/>
      <w:bookmarkStart w:id="5068" w:name="_Toc66386459"/>
      <w:bookmarkStart w:id="5069" w:name="_Toc74583362"/>
      <w:bookmarkStart w:id="5070" w:name="_Toc76542175"/>
      <w:bookmarkStart w:id="5071" w:name="_Toc82450157"/>
      <w:bookmarkStart w:id="5072" w:name="_Toc82450805"/>
      <w:bookmarkStart w:id="5073" w:name="_Toc89949194"/>
      <w:bookmarkStart w:id="5074" w:name="_Toc98755583"/>
      <w:bookmarkStart w:id="5075" w:name="_Toc98763174"/>
      <w:bookmarkStart w:id="5076" w:name="_Toc106184103"/>
      <w:r w:rsidRPr="002E2528">
        <w:rPr>
          <w:rFonts w:eastAsia="MS Mincho" w:cs="Arial"/>
        </w:rPr>
        <w:t>9.6.2.2.</w:t>
      </w:r>
      <w:r>
        <w:rPr>
          <w:rFonts w:cs="Arial" w:hint="eastAsia"/>
          <w:lang w:eastAsia="zh-CN"/>
        </w:rPr>
        <w:t>4</w:t>
      </w:r>
      <w:r>
        <w:tab/>
        <w:t>EVM frame structure for measurement</w:t>
      </w:r>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p>
    <w:p w14:paraId="57F3CC15" w14:textId="77777777" w:rsidR="006C53A6" w:rsidRDefault="006C53A6" w:rsidP="006C53A6">
      <w:r>
        <w:t xml:space="preserve">EVM shall be evaluated for each NR carrier over all allocated resource blocks and </w:t>
      </w:r>
      <w:r>
        <w:rPr>
          <w:rFonts w:hint="eastAsia"/>
          <w:lang w:eastAsia="zh-CN"/>
        </w:rPr>
        <w:t>up</w:t>
      </w:r>
      <w:r>
        <w:t xml:space="preserve">link subframes. Different modulation schemes listed in table </w:t>
      </w:r>
      <w:r w:rsidRPr="002E2528">
        <w:t>9.6.2.2.3-1</w:t>
      </w:r>
      <w:r>
        <w:t xml:space="preserve"> shall be considered for rank 1.</w:t>
      </w:r>
    </w:p>
    <w:p w14:paraId="3641B481" w14:textId="15166655" w:rsidR="00A74AD7" w:rsidRPr="00C63320" w:rsidRDefault="006C53A6" w:rsidP="00DE67B3">
      <w:r>
        <w:t>For NR, for all bandwidths, the EVM measurement shall be performed</w:t>
      </w:r>
      <w:r>
        <w:rPr>
          <w:rFonts w:eastAsia="SimSun"/>
        </w:rPr>
        <w:t xml:space="preserve"> for each NR carrier</w:t>
      </w:r>
      <w:r>
        <w:t xml:space="preserve"> over all allocated resource blocks and </w:t>
      </w:r>
      <w:r>
        <w:rPr>
          <w:rFonts w:hint="eastAsia"/>
          <w:lang w:eastAsia="zh-CN"/>
        </w:rPr>
        <w:t>up</w:t>
      </w:r>
      <w:r>
        <w:t xml:space="preserve">link subframes within 10 ms measurement periods. </w:t>
      </w:r>
      <w:r>
        <w:rPr>
          <w:rFonts w:eastAsia="SimSun"/>
        </w:rPr>
        <w:t>The boundaries of the EVM measurement periods need not be aligned with radio frame boundaries.</w:t>
      </w:r>
    </w:p>
    <w:p w14:paraId="35266735" w14:textId="77777777" w:rsidR="00DE67B3" w:rsidRDefault="00DE67B3" w:rsidP="00DE67B3">
      <w:pPr>
        <w:pStyle w:val="Heading3"/>
        <w:rPr>
          <w:lang w:val="en-US"/>
        </w:rPr>
      </w:pPr>
      <w:bookmarkStart w:id="5077" w:name="_Toc29811866"/>
      <w:bookmarkStart w:id="5078" w:name="_Toc21127657"/>
      <w:bookmarkStart w:id="5079" w:name="_Toc53185483"/>
      <w:bookmarkStart w:id="5080" w:name="_Toc53185859"/>
      <w:bookmarkStart w:id="5081" w:name="_Toc57820345"/>
      <w:bookmarkStart w:id="5082" w:name="_Toc57821272"/>
      <w:bookmarkStart w:id="5083" w:name="_Toc61183548"/>
      <w:bookmarkStart w:id="5084" w:name="_Toc61183942"/>
      <w:bookmarkStart w:id="5085" w:name="_Toc61184334"/>
      <w:bookmarkStart w:id="5086" w:name="_Toc61184726"/>
      <w:bookmarkStart w:id="5087" w:name="_Toc61185116"/>
      <w:bookmarkStart w:id="5088" w:name="_Toc66386460"/>
      <w:bookmarkStart w:id="5089" w:name="_Toc74583363"/>
      <w:bookmarkStart w:id="5090" w:name="_Toc76542176"/>
      <w:bookmarkStart w:id="5091" w:name="_Toc82450158"/>
      <w:bookmarkStart w:id="5092" w:name="_Toc82450806"/>
      <w:bookmarkStart w:id="5093" w:name="_Toc89949195"/>
      <w:bookmarkStart w:id="5094" w:name="_Toc98755584"/>
      <w:bookmarkStart w:id="5095" w:name="_Toc98763175"/>
      <w:bookmarkStart w:id="5096" w:name="_Toc106184104"/>
      <w:r>
        <w:rPr>
          <w:lang w:val="en-US"/>
        </w:rPr>
        <w:t>9.6.3</w:t>
      </w:r>
      <w:r>
        <w:rPr>
          <w:lang w:val="en-US"/>
        </w:rPr>
        <w:tab/>
        <w:t>OTA time alignment error</w:t>
      </w:r>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p>
    <w:p w14:paraId="1D523126" w14:textId="1535845A" w:rsidR="00DE67B3" w:rsidRPr="00124B40" w:rsidRDefault="00DE67B3" w:rsidP="00DE67B3">
      <w:pPr>
        <w:pStyle w:val="Heading4"/>
      </w:pPr>
      <w:bookmarkStart w:id="5097" w:name="_Toc53185484"/>
      <w:bookmarkStart w:id="5098" w:name="_Toc53185860"/>
      <w:bookmarkStart w:id="5099" w:name="_Toc57820346"/>
      <w:bookmarkStart w:id="5100" w:name="_Toc57821273"/>
      <w:bookmarkStart w:id="5101" w:name="_Toc61183549"/>
      <w:bookmarkStart w:id="5102" w:name="_Toc61183943"/>
      <w:bookmarkStart w:id="5103" w:name="_Toc61184335"/>
      <w:bookmarkStart w:id="5104" w:name="_Toc61184727"/>
      <w:bookmarkStart w:id="5105" w:name="_Toc61185117"/>
      <w:bookmarkStart w:id="5106" w:name="_Toc66386461"/>
      <w:bookmarkStart w:id="5107" w:name="_Toc74583364"/>
      <w:bookmarkStart w:id="5108" w:name="_Toc76542177"/>
      <w:bookmarkStart w:id="5109" w:name="_Toc82450159"/>
      <w:bookmarkStart w:id="5110" w:name="_Toc82450807"/>
      <w:bookmarkStart w:id="5111" w:name="_Toc89949196"/>
      <w:bookmarkStart w:id="5112" w:name="_Toc98755585"/>
      <w:bookmarkStart w:id="5113" w:name="_Toc98763176"/>
      <w:bookmarkStart w:id="5114" w:name="_Toc106184105"/>
      <w:r>
        <w:rPr>
          <w:rFonts w:hint="eastAsia"/>
        </w:rPr>
        <w:t>9.6.3.1</w:t>
      </w:r>
      <w:r w:rsidR="00815C5B">
        <w:tab/>
      </w:r>
      <w:r>
        <w:rPr>
          <w:rFonts w:hint="eastAsia"/>
        </w:rPr>
        <w:t>IAB-DU OTA t</w:t>
      </w:r>
      <w:r>
        <w:t>ime alignment error</w:t>
      </w:r>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p>
    <w:p w14:paraId="3D1DB788" w14:textId="102FF603" w:rsidR="00CD1521" w:rsidRPr="00DE67B3" w:rsidRDefault="00DE67B3" w:rsidP="005913F7">
      <w:pPr>
        <w:rPr>
          <w:rFonts w:cs="v4.2.0"/>
          <w:lang w:eastAsia="zh-CN"/>
        </w:rPr>
      </w:pPr>
      <w:r w:rsidRPr="00C05DAD">
        <w:rPr>
          <w:rFonts w:cs="v4.2.0"/>
        </w:rPr>
        <w:t xml:space="preserve">The </w:t>
      </w:r>
      <w:r>
        <w:rPr>
          <w:rFonts w:cs="v4.2.0"/>
        </w:rPr>
        <w:t xml:space="preserve">requirements in clause </w:t>
      </w:r>
      <w:r>
        <w:rPr>
          <w:rFonts w:cs="v4.2.0" w:hint="eastAsia"/>
          <w:lang w:eastAsia="zh-CN"/>
        </w:rPr>
        <w:t>9</w:t>
      </w:r>
      <w:r>
        <w:rPr>
          <w:rFonts w:cs="v4.2.0" w:hint="eastAsia"/>
        </w:rPr>
        <w:t>.</w:t>
      </w:r>
      <w:r>
        <w:rPr>
          <w:rFonts w:cs="v4.2.0" w:hint="eastAsia"/>
          <w:lang w:eastAsia="zh-CN"/>
        </w:rPr>
        <w:t>6</w:t>
      </w:r>
      <w:r>
        <w:rPr>
          <w:rFonts w:cs="v4.2.0" w:hint="eastAsia"/>
        </w:rPr>
        <w:t>.</w:t>
      </w:r>
      <w:r>
        <w:rPr>
          <w:rFonts w:cs="v4.2.0" w:hint="eastAsia"/>
          <w:lang w:eastAsia="zh-CN"/>
        </w:rPr>
        <w:t>3</w:t>
      </w:r>
      <w:r>
        <w:rPr>
          <w:rFonts w:cs="v4.2.0" w:hint="eastAsia"/>
        </w:rPr>
        <w:t xml:space="preserve"> for BS type 1-</w:t>
      </w:r>
      <w:r>
        <w:rPr>
          <w:rFonts w:cs="v4.2.0" w:hint="eastAsia"/>
          <w:lang w:eastAsia="zh-CN"/>
        </w:rPr>
        <w:t xml:space="preserve">O and </w:t>
      </w:r>
      <w:r>
        <w:rPr>
          <w:rFonts w:cs="v4.2.0" w:hint="eastAsia"/>
        </w:rPr>
        <w:t xml:space="preserve">type </w:t>
      </w:r>
      <w:r>
        <w:rPr>
          <w:rFonts w:cs="v4.2.0" w:hint="eastAsia"/>
          <w:lang w:eastAsia="zh-CN"/>
        </w:rPr>
        <w:t>2</w:t>
      </w:r>
      <w:r>
        <w:rPr>
          <w:rFonts w:cs="v4.2.0" w:hint="eastAsia"/>
        </w:rPr>
        <w:t>-</w:t>
      </w:r>
      <w:r>
        <w:rPr>
          <w:rFonts w:cs="v4.2.0" w:hint="eastAsia"/>
          <w:lang w:eastAsia="zh-CN"/>
        </w:rPr>
        <w:t>O</w:t>
      </w:r>
      <w:r>
        <w:rPr>
          <w:rFonts w:cs="v4.2.0"/>
        </w:rPr>
        <w:t xml:space="preserve"> in TS 38.1</w:t>
      </w:r>
      <w:r>
        <w:rPr>
          <w:rFonts w:cs="v4.2.0" w:hint="eastAsia"/>
        </w:rPr>
        <w:t>04</w:t>
      </w:r>
      <w:r>
        <w:rPr>
          <w:rFonts w:cs="v4.2.0"/>
        </w:rPr>
        <w:t xml:space="preserve"> [</w:t>
      </w:r>
      <w:r w:rsidR="00A4061E">
        <w:rPr>
          <w:rFonts w:cs="v4.2.0"/>
          <w:lang w:eastAsia="zh-CN"/>
        </w:rPr>
        <w:t>2</w:t>
      </w:r>
      <w:r>
        <w:rPr>
          <w:rFonts w:cs="v4.2.0"/>
        </w:rPr>
        <w:t xml:space="preserve">] apply to </w:t>
      </w:r>
      <w:r w:rsidRPr="00025A8C">
        <w:rPr>
          <w:rFonts w:cs="v4.2.0"/>
        </w:rPr>
        <w:t xml:space="preserve">IAB-DU </w:t>
      </w:r>
      <w:r>
        <w:rPr>
          <w:rFonts w:cs="v4.2.0" w:hint="eastAsia"/>
        </w:rPr>
        <w:t>type 1-</w:t>
      </w:r>
      <w:r>
        <w:rPr>
          <w:rFonts w:cs="v4.2.0" w:hint="eastAsia"/>
          <w:lang w:eastAsia="zh-CN"/>
        </w:rPr>
        <w:t xml:space="preserve">O and </w:t>
      </w:r>
      <w:r>
        <w:rPr>
          <w:rFonts w:cs="v4.2.0" w:hint="eastAsia"/>
        </w:rPr>
        <w:t xml:space="preserve">type </w:t>
      </w:r>
      <w:r>
        <w:rPr>
          <w:rFonts w:cs="v4.2.0" w:hint="eastAsia"/>
          <w:lang w:eastAsia="zh-CN"/>
        </w:rPr>
        <w:t>2</w:t>
      </w:r>
      <w:r>
        <w:rPr>
          <w:rFonts w:cs="v4.2.0" w:hint="eastAsia"/>
        </w:rPr>
        <w:t>-</w:t>
      </w:r>
      <w:r>
        <w:rPr>
          <w:rFonts w:cs="v4.2.0" w:hint="eastAsia"/>
          <w:lang w:eastAsia="zh-CN"/>
        </w:rPr>
        <w:t>O respectively</w:t>
      </w:r>
      <w:r>
        <w:rPr>
          <w:rFonts w:cs="v4.2.0"/>
        </w:rPr>
        <w:t>.</w:t>
      </w:r>
    </w:p>
    <w:p w14:paraId="109B0167" w14:textId="77777777" w:rsidR="008E7174" w:rsidRDefault="008E7174" w:rsidP="008E7174">
      <w:pPr>
        <w:pStyle w:val="Heading3"/>
      </w:pPr>
      <w:bookmarkStart w:id="5115" w:name="_Toc98763177"/>
      <w:bookmarkStart w:id="5116" w:name="_Toc106184106"/>
      <w:bookmarkStart w:id="5117" w:name="_Toc13080371"/>
      <w:bookmarkStart w:id="5118" w:name="_Toc18916188"/>
      <w:r>
        <w:t>9.6.4</w:t>
      </w:r>
      <w:r>
        <w:tab/>
        <w:t>Timing error between IAB-DU and IAB-MT of the same IAB-Node</w:t>
      </w:r>
      <w:bookmarkEnd w:id="5115"/>
      <w:bookmarkEnd w:id="5116"/>
    </w:p>
    <w:p w14:paraId="25918F8E" w14:textId="099BC1B1" w:rsidR="008E7174" w:rsidRDefault="000218B8" w:rsidP="008E7174">
      <w:r>
        <w:t>When the indicated IAB-MT transmission timing mode is set to ‘Case6’ as specified in 3GPP TS 38.213 [10] and IAB-DU and IAB-MT of the same IAB-Node are transmitting simultaneously, the timing error between transmission timing of IAB-DU and IAB-MT shall not exceed</w:t>
      </w:r>
      <w:r w:rsidR="00FE3676">
        <w:rPr>
          <w:rStyle w:val="normaltextrun"/>
          <w:color w:val="000000"/>
          <w:shd w:val="clear" w:color="auto" w:fill="FFFFFF"/>
        </w:rPr>
        <w:t xml:space="preserve"> </w:t>
      </w:r>
      <w:r>
        <w:rPr>
          <w:rStyle w:val="normaltextrun"/>
          <w:color w:val="000000"/>
          <w:shd w:val="clear" w:color="auto" w:fill="FFFFFF"/>
        </w:rPr>
        <w:t>3µs.</w:t>
      </w:r>
    </w:p>
    <w:p w14:paraId="0387B77E" w14:textId="77777777" w:rsidR="00E2075F" w:rsidRPr="00E2075F" w:rsidRDefault="00E2075F" w:rsidP="007A1E38"/>
    <w:p w14:paraId="3816BD84" w14:textId="77777777" w:rsidR="00077B6E" w:rsidRDefault="00077B6E" w:rsidP="00077B6E">
      <w:pPr>
        <w:pStyle w:val="Heading2"/>
        <w:rPr>
          <w:rFonts w:eastAsiaTheme="minorEastAsia"/>
          <w:lang w:eastAsia="zh-CN"/>
        </w:rPr>
      </w:pPr>
      <w:bookmarkStart w:id="5119" w:name="_Toc53185485"/>
      <w:bookmarkStart w:id="5120" w:name="_Toc53185861"/>
      <w:bookmarkStart w:id="5121" w:name="_Toc57820347"/>
      <w:bookmarkStart w:id="5122" w:name="_Toc57821274"/>
      <w:bookmarkStart w:id="5123" w:name="_Toc61183550"/>
      <w:bookmarkStart w:id="5124" w:name="_Toc61183944"/>
      <w:bookmarkStart w:id="5125" w:name="_Toc61184336"/>
      <w:bookmarkStart w:id="5126" w:name="_Toc61184728"/>
      <w:bookmarkStart w:id="5127" w:name="_Toc61185118"/>
      <w:bookmarkStart w:id="5128" w:name="_Toc66386462"/>
      <w:bookmarkStart w:id="5129" w:name="_Toc74583365"/>
      <w:bookmarkStart w:id="5130" w:name="_Toc76542178"/>
      <w:bookmarkStart w:id="5131" w:name="_Toc82450160"/>
      <w:bookmarkStart w:id="5132" w:name="_Toc82450808"/>
      <w:bookmarkStart w:id="5133" w:name="_Toc89949197"/>
      <w:bookmarkStart w:id="5134" w:name="_Toc98755586"/>
      <w:bookmarkStart w:id="5135" w:name="_Toc98763178"/>
      <w:bookmarkStart w:id="5136" w:name="_Toc106184107"/>
      <w:r w:rsidRPr="007E346D">
        <w:t>9.7</w:t>
      </w:r>
      <w:r w:rsidRPr="007E346D">
        <w:tab/>
        <w:t>OTA unwanted emissions</w:t>
      </w:r>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p>
    <w:p w14:paraId="2D09CE5D" w14:textId="77777777" w:rsidR="00CA0334" w:rsidRDefault="00CA0334" w:rsidP="00CA0334">
      <w:pPr>
        <w:pStyle w:val="Heading3"/>
      </w:pPr>
      <w:bookmarkStart w:id="5137" w:name="_Toc45893649"/>
      <w:bookmarkStart w:id="5138" w:name="_Toc44712336"/>
      <w:bookmarkStart w:id="5139" w:name="_Toc37267733"/>
      <w:bookmarkStart w:id="5140" w:name="_Toc37260345"/>
      <w:bookmarkStart w:id="5141" w:name="_Toc36817423"/>
      <w:bookmarkStart w:id="5142" w:name="_Toc29811871"/>
      <w:bookmarkStart w:id="5143" w:name="_Toc21127662"/>
      <w:bookmarkStart w:id="5144" w:name="_Toc53185486"/>
      <w:bookmarkStart w:id="5145" w:name="_Toc53185862"/>
      <w:bookmarkStart w:id="5146" w:name="_Toc57820348"/>
      <w:bookmarkStart w:id="5147" w:name="_Toc57821275"/>
      <w:bookmarkStart w:id="5148" w:name="_Toc61183551"/>
      <w:bookmarkStart w:id="5149" w:name="_Toc61183945"/>
      <w:bookmarkStart w:id="5150" w:name="_Toc61184337"/>
      <w:bookmarkStart w:id="5151" w:name="_Toc61184729"/>
      <w:bookmarkStart w:id="5152" w:name="_Toc61185119"/>
      <w:bookmarkStart w:id="5153" w:name="_Toc66386463"/>
      <w:bookmarkStart w:id="5154" w:name="_Toc74583366"/>
      <w:bookmarkStart w:id="5155" w:name="_Toc76542179"/>
      <w:bookmarkStart w:id="5156" w:name="_Toc82450161"/>
      <w:bookmarkStart w:id="5157" w:name="_Toc82450809"/>
      <w:bookmarkStart w:id="5158" w:name="_Toc89949198"/>
      <w:bookmarkStart w:id="5159" w:name="_Toc98755587"/>
      <w:bookmarkStart w:id="5160" w:name="_Toc98763179"/>
      <w:bookmarkStart w:id="5161" w:name="_Toc106184108"/>
      <w:r>
        <w:t>9.7.1</w:t>
      </w:r>
      <w:r>
        <w:tab/>
        <w:t>General</w:t>
      </w:r>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p>
    <w:p w14:paraId="2C63A746" w14:textId="1AD08046" w:rsidR="006C53A6" w:rsidRDefault="006C53A6" w:rsidP="006C53A6">
      <w:bookmarkStart w:id="5162" w:name="_Hlk505597907"/>
      <w:r>
        <w:t xml:space="preserve">Unwanted emissions consist of so-called out-of-band emissions and spurious emissions according to ITU definitions </w:t>
      </w:r>
      <w:r>
        <w:rPr>
          <w:rFonts w:cs="Arial"/>
        </w:rPr>
        <w:t>ITU-R SM.329</w:t>
      </w:r>
      <w:r>
        <w:t xml:space="preserve"> [16]. In ITU terminology, out of band emissions are unwanted emissions immediately outside the </w:t>
      </w:r>
      <w:r>
        <w:rPr>
          <w:i/>
        </w:rPr>
        <w:t>channel bandwidth</w:t>
      </w:r>
      <w:r>
        <w:t xml:space="preserve"> resulting from the modulation process and non-linearity in the transmitter but excluding spurious emissions. Spurious emissions are emissions which are caused by unwanted transmitter effects such as harmonics emission, parasitic emission, intermodulation products and frequency conversion products, but exclude out of band emissions.</w:t>
      </w:r>
    </w:p>
    <w:p w14:paraId="3839BD69" w14:textId="77777777" w:rsidR="00CA0334" w:rsidRDefault="00CA0334" w:rsidP="00CA0334">
      <w:pPr>
        <w:rPr>
          <w:rFonts w:cs="v5.0.0"/>
        </w:rPr>
      </w:pPr>
      <w:r>
        <w:rPr>
          <w:rFonts w:cs="v5.0.0"/>
        </w:rPr>
        <w:t xml:space="preserve">The OTA out-of-band emissions requirement for the </w:t>
      </w:r>
      <w:r>
        <w:rPr>
          <w:rFonts w:cs="v5.0.0"/>
          <w:i/>
        </w:rPr>
        <w:t>IAB-MT type 1-O. IAB-DU type 1-O, IAB-DU type 1-O</w:t>
      </w:r>
      <w:r>
        <w:rPr>
          <w:rFonts w:cs="v5.0.0"/>
        </w:rPr>
        <w:t xml:space="preserve"> and </w:t>
      </w:r>
      <w:r>
        <w:rPr>
          <w:rFonts w:cs="v5.0.0"/>
          <w:i/>
        </w:rPr>
        <w:t xml:space="preserve">IAB-DU type 2-O </w:t>
      </w:r>
      <w:r>
        <w:rPr>
          <w:rFonts w:cs="v5.0.0"/>
        </w:rPr>
        <w:t>transmitter is specified both in terms of Adjacent Channel Leakage power Ratio (ACLR) and operating band unwanted emissions (OBUE). OTA Unwanted emissions outside of this frequency range are limited by an OTA spurious emissions requirement.</w:t>
      </w:r>
    </w:p>
    <w:p w14:paraId="1A2443EE" w14:textId="77777777" w:rsidR="00CA0334" w:rsidRDefault="00CA0334" w:rsidP="00CA0334">
      <w:pPr>
        <w:rPr>
          <w:rFonts w:cs="v5.0.0"/>
        </w:rPr>
      </w:pPr>
      <w:r>
        <w:rPr>
          <w:rFonts w:cs="v5.0.0"/>
        </w:rPr>
        <w:lastRenderedPageBreak/>
        <w:t xml:space="preserve">The maximum offset of the operating band unwanted emissions mask from the </w:t>
      </w:r>
      <w:r>
        <w:rPr>
          <w:rFonts w:cs="v5.0.0"/>
          <w:i/>
        </w:rPr>
        <w:t>operating band</w:t>
      </w:r>
      <w:r>
        <w:rPr>
          <w:rFonts w:cs="v5.0.0"/>
        </w:rPr>
        <w:t xml:space="preserve"> edge is </w:t>
      </w:r>
      <w:r>
        <w:t>Δf</w:t>
      </w:r>
      <w:r>
        <w:rPr>
          <w:vertAlign w:val="subscript"/>
        </w:rPr>
        <w:t>OBUE</w:t>
      </w:r>
      <w:r>
        <w:rPr>
          <w:rFonts w:cs="v5.0.0"/>
        </w:rPr>
        <w:t xml:space="preserve">. The value of </w:t>
      </w:r>
      <w:r>
        <w:t>Δf</w:t>
      </w:r>
      <w:r>
        <w:rPr>
          <w:vertAlign w:val="subscript"/>
        </w:rPr>
        <w:t>OBUE</w:t>
      </w:r>
      <w:r>
        <w:rPr>
          <w:rFonts w:cs="v5.0.0"/>
        </w:rPr>
        <w:t xml:space="preserve"> is defined in table 9.7.1-1 </w:t>
      </w:r>
      <w:r w:rsidRPr="00743313">
        <w:rPr>
          <w:rFonts w:cs="v5.0.0"/>
          <w:i/>
          <w:iCs/>
        </w:rPr>
        <w:t>IAB-DU type 1-O</w:t>
      </w:r>
      <w:r>
        <w:rPr>
          <w:rFonts w:cs="v5.0.0"/>
        </w:rPr>
        <w:t xml:space="preserve"> and </w:t>
      </w:r>
      <w:r w:rsidRPr="00743313">
        <w:rPr>
          <w:rFonts w:cs="v5.0.0"/>
          <w:i/>
          <w:iCs/>
        </w:rPr>
        <w:t>type 2-O</w:t>
      </w:r>
      <w:r>
        <w:rPr>
          <w:rFonts w:cs="v5.0.0"/>
        </w:rPr>
        <w:t xml:space="preserve"> and in table 9.7.1-2 </w:t>
      </w:r>
      <w:r w:rsidRPr="00743313">
        <w:rPr>
          <w:rFonts w:cs="v5.0.0"/>
          <w:i/>
          <w:iCs/>
        </w:rPr>
        <w:t>IAB-MT type 1-O</w:t>
      </w:r>
      <w:r>
        <w:rPr>
          <w:rFonts w:cs="v5.0.0"/>
        </w:rPr>
        <w:t xml:space="preserve"> and </w:t>
      </w:r>
      <w:r w:rsidRPr="00743313">
        <w:rPr>
          <w:rFonts w:cs="v5.0.0"/>
          <w:i/>
          <w:iCs/>
        </w:rPr>
        <w:t>type 2-O</w:t>
      </w:r>
      <w:r>
        <w:rPr>
          <w:rFonts w:cs="v5.0.0"/>
        </w:rPr>
        <w:t xml:space="preserve"> for NR </w:t>
      </w:r>
      <w:r>
        <w:rPr>
          <w:rFonts w:cs="v5.0.0"/>
          <w:i/>
        </w:rPr>
        <w:t>operating bands</w:t>
      </w:r>
      <w:r>
        <w:rPr>
          <w:rFonts w:cs="v5.0.0"/>
        </w:rPr>
        <w:t>.</w:t>
      </w:r>
    </w:p>
    <w:p w14:paraId="7C4ED2AE" w14:textId="77777777" w:rsidR="00CA0334" w:rsidRDefault="00CA0334" w:rsidP="00CA0334">
      <w:pPr>
        <w:pStyle w:val="TH"/>
      </w:pPr>
      <w:r>
        <w:t>Table 9.7.1-1: Maximum offset Δf</w:t>
      </w:r>
      <w:r>
        <w:rPr>
          <w:vertAlign w:val="subscript"/>
        </w:rPr>
        <w:t>OBUE</w:t>
      </w:r>
      <w:r>
        <w:t xml:space="preserve"> outside the downlink </w:t>
      </w:r>
      <w:r>
        <w:rPr>
          <w:i/>
        </w:rPr>
        <w:t xml:space="preserve">operating band </w:t>
      </w:r>
      <w:r w:rsidRPr="00743313">
        <w:rPr>
          <w:iCs/>
        </w:rPr>
        <w:t>for IAB-DU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5"/>
        <w:gridCol w:w="3801"/>
        <w:gridCol w:w="1784"/>
      </w:tblGrid>
      <w:tr w:rsidR="00CA0334" w14:paraId="1319DDE4" w14:textId="77777777" w:rsidTr="004C7013">
        <w:trPr>
          <w:jc w:val="center"/>
        </w:trPr>
        <w:tc>
          <w:tcPr>
            <w:tcW w:w="1845" w:type="dxa"/>
            <w:tcBorders>
              <w:top w:val="single" w:sz="4" w:space="0" w:color="auto"/>
              <w:left w:val="single" w:sz="4" w:space="0" w:color="auto"/>
              <w:bottom w:val="single" w:sz="4" w:space="0" w:color="auto"/>
              <w:right w:val="single" w:sz="4" w:space="0" w:color="auto"/>
            </w:tcBorders>
            <w:hideMark/>
          </w:tcPr>
          <w:p w14:paraId="76F55984" w14:textId="77777777" w:rsidR="00CA0334" w:rsidRDefault="00CA0334" w:rsidP="00BD1F8C">
            <w:pPr>
              <w:pStyle w:val="TAH"/>
            </w:pPr>
            <w:r>
              <w:t>IAB-DU type</w:t>
            </w:r>
          </w:p>
        </w:tc>
        <w:tc>
          <w:tcPr>
            <w:tcW w:w="3801" w:type="dxa"/>
            <w:tcBorders>
              <w:top w:val="single" w:sz="4" w:space="0" w:color="auto"/>
              <w:left w:val="single" w:sz="4" w:space="0" w:color="auto"/>
              <w:bottom w:val="single" w:sz="4" w:space="0" w:color="auto"/>
              <w:right w:val="single" w:sz="4" w:space="0" w:color="auto"/>
            </w:tcBorders>
            <w:hideMark/>
          </w:tcPr>
          <w:p w14:paraId="3D7803FB" w14:textId="77777777" w:rsidR="00CA0334" w:rsidRDefault="00CA0334" w:rsidP="00BD1F8C">
            <w:pPr>
              <w:pStyle w:val="TAH"/>
            </w:pPr>
            <w:r>
              <w:rPr>
                <w:i/>
              </w:rPr>
              <w:t>Operating band</w:t>
            </w:r>
            <w:r>
              <w:t xml:space="preserve"> characteristics</w:t>
            </w:r>
          </w:p>
        </w:tc>
        <w:tc>
          <w:tcPr>
            <w:tcW w:w="1784" w:type="dxa"/>
            <w:tcBorders>
              <w:top w:val="single" w:sz="4" w:space="0" w:color="auto"/>
              <w:left w:val="single" w:sz="4" w:space="0" w:color="auto"/>
              <w:bottom w:val="single" w:sz="4" w:space="0" w:color="auto"/>
              <w:right w:val="single" w:sz="4" w:space="0" w:color="auto"/>
            </w:tcBorders>
            <w:hideMark/>
          </w:tcPr>
          <w:p w14:paraId="403D84BB" w14:textId="77777777" w:rsidR="00CA0334" w:rsidRDefault="00CA0334" w:rsidP="00BD1F8C">
            <w:pPr>
              <w:pStyle w:val="TAH"/>
            </w:pPr>
            <w:r>
              <w:t>Δf</w:t>
            </w:r>
            <w:r>
              <w:rPr>
                <w:vertAlign w:val="subscript"/>
              </w:rPr>
              <w:t>OBUE</w:t>
            </w:r>
            <w:r>
              <w:t xml:space="preserve"> (MHz)</w:t>
            </w:r>
          </w:p>
        </w:tc>
      </w:tr>
      <w:tr w:rsidR="004C7013" w14:paraId="0730703D" w14:textId="77777777" w:rsidTr="004C7013">
        <w:trPr>
          <w:jc w:val="center"/>
        </w:trPr>
        <w:tc>
          <w:tcPr>
            <w:tcW w:w="1845" w:type="dxa"/>
            <w:tcBorders>
              <w:top w:val="single" w:sz="4" w:space="0" w:color="auto"/>
              <w:left w:val="single" w:sz="4" w:space="0" w:color="auto"/>
              <w:bottom w:val="nil"/>
              <w:right w:val="single" w:sz="4" w:space="0" w:color="auto"/>
            </w:tcBorders>
            <w:shd w:val="clear" w:color="auto" w:fill="auto"/>
            <w:vAlign w:val="center"/>
            <w:hideMark/>
          </w:tcPr>
          <w:p w14:paraId="62623324" w14:textId="77777777" w:rsidR="004C7013" w:rsidRDefault="004C7013" w:rsidP="00BD1F8C">
            <w:pPr>
              <w:pStyle w:val="TAC"/>
              <w:rPr>
                <w:i/>
              </w:rPr>
            </w:pPr>
            <w:r>
              <w:rPr>
                <w:i/>
                <w:lang w:eastAsia="zh-CN"/>
              </w:rPr>
              <w:t>IAB-DU type 1-O</w:t>
            </w:r>
          </w:p>
        </w:tc>
        <w:tc>
          <w:tcPr>
            <w:tcW w:w="3801" w:type="dxa"/>
            <w:tcBorders>
              <w:top w:val="single" w:sz="4" w:space="0" w:color="auto"/>
              <w:left w:val="single" w:sz="4" w:space="0" w:color="auto"/>
              <w:bottom w:val="single" w:sz="4" w:space="0" w:color="auto"/>
              <w:right w:val="single" w:sz="4" w:space="0" w:color="auto"/>
            </w:tcBorders>
            <w:hideMark/>
          </w:tcPr>
          <w:p w14:paraId="6C50D892" w14:textId="77777777" w:rsidR="004C7013" w:rsidRDefault="004C7013" w:rsidP="00BD1F8C">
            <w:pPr>
              <w:pStyle w:val="TAC"/>
            </w:pPr>
            <w:r>
              <w:t>F</w:t>
            </w:r>
            <w:r>
              <w:rPr>
                <w:vertAlign w:val="subscript"/>
              </w:rPr>
              <w:t>DL,high</w:t>
            </w:r>
            <w:r>
              <w:t xml:space="preserve"> – F</w:t>
            </w:r>
            <w:r>
              <w:rPr>
                <w:vertAlign w:val="subscript"/>
              </w:rPr>
              <w:t>DL,low</w:t>
            </w:r>
            <w:r>
              <w:t xml:space="preserve">  &lt; 100 MHz</w:t>
            </w:r>
          </w:p>
        </w:tc>
        <w:tc>
          <w:tcPr>
            <w:tcW w:w="1784" w:type="dxa"/>
            <w:tcBorders>
              <w:top w:val="single" w:sz="4" w:space="0" w:color="auto"/>
              <w:left w:val="single" w:sz="4" w:space="0" w:color="auto"/>
              <w:bottom w:val="single" w:sz="4" w:space="0" w:color="auto"/>
              <w:right w:val="single" w:sz="4" w:space="0" w:color="auto"/>
            </w:tcBorders>
            <w:hideMark/>
          </w:tcPr>
          <w:p w14:paraId="749159D7" w14:textId="77777777" w:rsidR="004C7013" w:rsidRDefault="004C7013" w:rsidP="00BD1F8C">
            <w:pPr>
              <w:pStyle w:val="TAC"/>
            </w:pPr>
            <w:r>
              <w:t>10</w:t>
            </w:r>
          </w:p>
        </w:tc>
      </w:tr>
      <w:tr w:rsidR="004C7013" w14:paraId="38B85A3A" w14:textId="77777777" w:rsidTr="004C7013">
        <w:trPr>
          <w:jc w:val="center"/>
        </w:trPr>
        <w:tc>
          <w:tcPr>
            <w:tcW w:w="1845" w:type="dxa"/>
            <w:tcBorders>
              <w:top w:val="nil"/>
              <w:left w:val="single" w:sz="4" w:space="0" w:color="auto"/>
              <w:bottom w:val="single" w:sz="4" w:space="0" w:color="auto"/>
              <w:right w:val="single" w:sz="4" w:space="0" w:color="auto"/>
            </w:tcBorders>
            <w:shd w:val="clear" w:color="auto" w:fill="auto"/>
            <w:vAlign w:val="center"/>
            <w:hideMark/>
          </w:tcPr>
          <w:p w14:paraId="684E939F" w14:textId="77777777" w:rsidR="004C7013" w:rsidRDefault="004C7013" w:rsidP="00BD1F8C">
            <w:pPr>
              <w:spacing w:after="0"/>
              <w:rPr>
                <w:rFonts w:ascii="Arial" w:hAnsi="Arial"/>
                <w:i/>
                <w:sz w:val="18"/>
              </w:rPr>
            </w:pPr>
          </w:p>
        </w:tc>
        <w:tc>
          <w:tcPr>
            <w:tcW w:w="3801" w:type="dxa"/>
            <w:tcBorders>
              <w:top w:val="single" w:sz="4" w:space="0" w:color="auto"/>
              <w:left w:val="single" w:sz="4" w:space="0" w:color="auto"/>
              <w:bottom w:val="single" w:sz="4" w:space="0" w:color="auto"/>
              <w:right w:val="single" w:sz="4" w:space="0" w:color="auto"/>
            </w:tcBorders>
            <w:hideMark/>
          </w:tcPr>
          <w:p w14:paraId="29823532" w14:textId="77777777" w:rsidR="004C7013" w:rsidRDefault="004C7013" w:rsidP="00BD1F8C">
            <w:pPr>
              <w:pStyle w:val="TAC"/>
              <w:rPr>
                <w:b/>
              </w:rPr>
            </w:pPr>
            <w:r>
              <w:t>100 MHz ≤ F</w:t>
            </w:r>
            <w:r>
              <w:rPr>
                <w:vertAlign w:val="subscript"/>
              </w:rPr>
              <w:t>DL,high</w:t>
            </w:r>
            <w:r>
              <w:t xml:space="preserve"> – F</w:t>
            </w:r>
            <w:r>
              <w:rPr>
                <w:vertAlign w:val="subscript"/>
              </w:rPr>
              <w:t>DL,low</w:t>
            </w:r>
            <w:r>
              <w:t xml:space="preserve">  ≤ 900 MHz   </w:t>
            </w:r>
          </w:p>
        </w:tc>
        <w:tc>
          <w:tcPr>
            <w:tcW w:w="1784" w:type="dxa"/>
            <w:tcBorders>
              <w:top w:val="single" w:sz="4" w:space="0" w:color="auto"/>
              <w:left w:val="single" w:sz="4" w:space="0" w:color="auto"/>
              <w:bottom w:val="single" w:sz="4" w:space="0" w:color="auto"/>
              <w:right w:val="single" w:sz="4" w:space="0" w:color="auto"/>
            </w:tcBorders>
            <w:hideMark/>
          </w:tcPr>
          <w:p w14:paraId="033F915D" w14:textId="77777777" w:rsidR="004C7013" w:rsidRDefault="004C7013" w:rsidP="00BD1F8C">
            <w:pPr>
              <w:pStyle w:val="TAC"/>
            </w:pPr>
            <w:r>
              <w:t>40</w:t>
            </w:r>
          </w:p>
        </w:tc>
      </w:tr>
      <w:tr w:rsidR="00CA0334" w14:paraId="38F9AAE8" w14:textId="77777777" w:rsidTr="00BD1F8C">
        <w:trPr>
          <w:jc w:val="center"/>
        </w:trPr>
        <w:tc>
          <w:tcPr>
            <w:tcW w:w="1845" w:type="dxa"/>
            <w:tcBorders>
              <w:top w:val="single" w:sz="4" w:space="0" w:color="auto"/>
              <w:left w:val="single" w:sz="4" w:space="0" w:color="auto"/>
              <w:bottom w:val="single" w:sz="4" w:space="0" w:color="auto"/>
              <w:right w:val="single" w:sz="4" w:space="0" w:color="auto"/>
            </w:tcBorders>
            <w:vAlign w:val="center"/>
            <w:hideMark/>
          </w:tcPr>
          <w:p w14:paraId="136A3AD1" w14:textId="77777777" w:rsidR="00CA0334" w:rsidRDefault="00CA0334" w:rsidP="00BD1F8C">
            <w:pPr>
              <w:pStyle w:val="TAC"/>
              <w:rPr>
                <w:i/>
              </w:rPr>
            </w:pPr>
            <w:r>
              <w:rPr>
                <w:i/>
              </w:rPr>
              <w:t>IAB-DU type 2-O</w:t>
            </w:r>
          </w:p>
        </w:tc>
        <w:tc>
          <w:tcPr>
            <w:tcW w:w="3801" w:type="dxa"/>
            <w:tcBorders>
              <w:top w:val="single" w:sz="4" w:space="0" w:color="auto"/>
              <w:left w:val="single" w:sz="4" w:space="0" w:color="auto"/>
              <w:bottom w:val="single" w:sz="4" w:space="0" w:color="auto"/>
              <w:right w:val="single" w:sz="4" w:space="0" w:color="auto"/>
            </w:tcBorders>
            <w:hideMark/>
          </w:tcPr>
          <w:p w14:paraId="6D5F22F0" w14:textId="77777777" w:rsidR="00CA0334" w:rsidRDefault="00CA0334" w:rsidP="00BD1F8C">
            <w:pPr>
              <w:pStyle w:val="TAC"/>
            </w:pPr>
            <w:r>
              <w:t>F</w:t>
            </w:r>
            <w:r>
              <w:rPr>
                <w:vertAlign w:val="subscript"/>
              </w:rPr>
              <w:t>DL,high</w:t>
            </w:r>
            <w:r>
              <w:t xml:space="preserve"> – F</w:t>
            </w:r>
            <w:r>
              <w:rPr>
                <w:vertAlign w:val="subscript"/>
              </w:rPr>
              <w:t>DL,low</w:t>
            </w:r>
            <w:r>
              <w:t xml:space="preserve"> ≤ 4000 MHz</w:t>
            </w:r>
          </w:p>
        </w:tc>
        <w:tc>
          <w:tcPr>
            <w:tcW w:w="1784" w:type="dxa"/>
            <w:tcBorders>
              <w:top w:val="single" w:sz="4" w:space="0" w:color="auto"/>
              <w:left w:val="single" w:sz="4" w:space="0" w:color="auto"/>
              <w:bottom w:val="single" w:sz="4" w:space="0" w:color="auto"/>
              <w:right w:val="single" w:sz="4" w:space="0" w:color="auto"/>
            </w:tcBorders>
            <w:hideMark/>
          </w:tcPr>
          <w:p w14:paraId="75CC482C" w14:textId="77777777" w:rsidR="00CA0334" w:rsidRDefault="00CA0334" w:rsidP="00BD1F8C">
            <w:pPr>
              <w:pStyle w:val="TAC"/>
            </w:pPr>
            <w:r>
              <w:t>1500</w:t>
            </w:r>
          </w:p>
        </w:tc>
      </w:tr>
    </w:tbl>
    <w:bookmarkEnd w:id="5162"/>
    <w:p w14:paraId="5D1E67E9" w14:textId="77777777" w:rsidR="00CA0334" w:rsidRDefault="00CA0334" w:rsidP="00CA0334">
      <w:pPr>
        <w:pStyle w:val="TH"/>
      </w:pPr>
      <w:r>
        <w:t>Table 9.7.1-2: Maximum offset Δf</w:t>
      </w:r>
      <w:r>
        <w:rPr>
          <w:vertAlign w:val="subscript"/>
        </w:rPr>
        <w:t>OBUE</w:t>
      </w:r>
      <w:r>
        <w:t xml:space="preserve"> outside the uplink </w:t>
      </w:r>
      <w:r>
        <w:rPr>
          <w:i/>
        </w:rPr>
        <w:t xml:space="preserve">operating band </w:t>
      </w:r>
      <w:r w:rsidRPr="00C41B39">
        <w:rPr>
          <w:iCs/>
        </w:rPr>
        <w:t>for IAB-</w:t>
      </w:r>
      <w:r>
        <w:rPr>
          <w:iCs/>
        </w:rPr>
        <w:t>MT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5"/>
        <w:gridCol w:w="3801"/>
        <w:gridCol w:w="1784"/>
      </w:tblGrid>
      <w:tr w:rsidR="00CA0334" w14:paraId="0B879F55" w14:textId="77777777" w:rsidTr="004C7013">
        <w:trPr>
          <w:jc w:val="center"/>
        </w:trPr>
        <w:tc>
          <w:tcPr>
            <w:tcW w:w="1845" w:type="dxa"/>
            <w:tcBorders>
              <w:top w:val="single" w:sz="4" w:space="0" w:color="auto"/>
              <w:left w:val="single" w:sz="4" w:space="0" w:color="auto"/>
              <w:bottom w:val="single" w:sz="4" w:space="0" w:color="auto"/>
              <w:right w:val="single" w:sz="4" w:space="0" w:color="auto"/>
            </w:tcBorders>
            <w:hideMark/>
          </w:tcPr>
          <w:p w14:paraId="7285497B" w14:textId="77777777" w:rsidR="00CA0334" w:rsidRDefault="00CA0334" w:rsidP="00BD1F8C">
            <w:pPr>
              <w:pStyle w:val="TAH"/>
            </w:pPr>
            <w:r>
              <w:t>IAB-MT type</w:t>
            </w:r>
          </w:p>
        </w:tc>
        <w:tc>
          <w:tcPr>
            <w:tcW w:w="3801" w:type="dxa"/>
            <w:tcBorders>
              <w:top w:val="single" w:sz="4" w:space="0" w:color="auto"/>
              <w:left w:val="single" w:sz="4" w:space="0" w:color="auto"/>
              <w:bottom w:val="single" w:sz="4" w:space="0" w:color="auto"/>
              <w:right w:val="single" w:sz="4" w:space="0" w:color="auto"/>
            </w:tcBorders>
            <w:hideMark/>
          </w:tcPr>
          <w:p w14:paraId="7E60ECD7" w14:textId="77777777" w:rsidR="00CA0334" w:rsidRDefault="00CA0334" w:rsidP="00BD1F8C">
            <w:pPr>
              <w:pStyle w:val="TAH"/>
            </w:pPr>
            <w:r>
              <w:rPr>
                <w:i/>
              </w:rPr>
              <w:t>Operating band</w:t>
            </w:r>
            <w:r>
              <w:t xml:space="preserve"> characteristics</w:t>
            </w:r>
          </w:p>
        </w:tc>
        <w:tc>
          <w:tcPr>
            <w:tcW w:w="1784" w:type="dxa"/>
            <w:tcBorders>
              <w:top w:val="single" w:sz="4" w:space="0" w:color="auto"/>
              <w:left w:val="single" w:sz="4" w:space="0" w:color="auto"/>
              <w:bottom w:val="single" w:sz="4" w:space="0" w:color="auto"/>
              <w:right w:val="single" w:sz="4" w:space="0" w:color="auto"/>
            </w:tcBorders>
            <w:hideMark/>
          </w:tcPr>
          <w:p w14:paraId="676AE95E" w14:textId="77777777" w:rsidR="00CA0334" w:rsidRDefault="00CA0334" w:rsidP="00BD1F8C">
            <w:pPr>
              <w:pStyle w:val="TAH"/>
            </w:pPr>
            <w:r>
              <w:t>Δf</w:t>
            </w:r>
            <w:r>
              <w:rPr>
                <w:vertAlign w:val="subscript"/>
              </w:rPr>
              <w:t>OBUE</w:t>
            </w:r>
            <w:r>
              <w:t xml:space="preserve"> (MHz)</w:t>
            </w:r>
          </w:p>
        </w:tc>
      </w:tr>
      <w:tr w:rsidR="004C7013" w14:paraId="7FCDB50A" w14:textId="77777777" w:rsidTr="004C7013">
        <w:trPr>
          <w:jc w:val="center"/>
        </w:trPr>
        <w:tc>
          <w:tcPr>
            <w:tcW w:w="1845" w:type="dxa"/>
            <w:tcBorders>
              <w:top w:val="single" w:sz="4" w:space="0" w:color="auto"/>
              <w:left w:val="single" w:sz="4" w:space="0" w:color="auto"/>
              <w:bottom w:val="nil"/>
              <w:right w:val="single" w:sz="4" w:space="0" w:color="auto"/>
            </w:tcBorders>
            <w:shd w:val="clear" w:color="auto" w:fill="auto"/>
            <w:vAlign w:val="center"/>
            <w:hideMark/>
          </w:tcPr>
          <w:p w14:paraId="6CF82DBC" w14:textId="77777777" w:rsidR="004C7013" w:rsidRDefault="004C7013" w:rsidP="00BD1F8C">
            <w:pPr>
              <w:pStyle w:val="TAC"/>
              <w:rPr>
                <w:i/>
              </w:rPr>
            </w:pPr>
            <w:r>
              <w:rPr>
                <w:i/>
                <w:lang w:eastAsia="zh-CN"/>
              </w:rPr>
              <w:t>IAB-MT type 1-O</w:t>
            </w:r>
          </w:p>
        </w:tc>
        <w:tc>
          <w:tcPr>
            <w:tcW w:w="3801" w:type="dxa"/>
            <w:tcBorders>
              <w:top w:val="single" w:sz="4" w:space="0" w:color="auto"/>
              <w:left w:val="single" w:sz="4" w:space="0" w:color="auto"/>
              <w:bottom w:val="single" w:sz="4" w:space="0" w:color="auto"/>
              <w:right w:val="single" w:sz="4" w:space="0" w:color="auto"/>
            </w:tcBorders>
            <w:hideMark/>
          </w:tcPr>
          <w:p w14:paraId="07FF656F" w14:textId="77777777" w:rsidR="004C7013" w:rsidRDefault="004C7013" w:rsidP="00BD1F8C">
            <w:pPr>
              <w:pStyle w:val="TAC"/>
            </w:pPr>
            <w:r>
              <w:t>F</w:t>
            </w:r>
            <w:r w:rsidRPr="00743313">
              <w:rPr>
                <w:vertAlign w:val="subscript"/>
              </w:rPr>
              <w:t>U</w:t>
            </w:r>
            <w:r>
              <w:rPr>
                <w:vertAlign w:val="subscript"/>
              </w:rPr>
              <w:t>L,high</w:t>
            </w:r>
            <w:r>
              <w:t xml:space="preserve"> – F</w:t>
            </w:r>
            <w:r>
              <w:rPr>
                <w:vertAlign w:val="subscript"/>
              </w:rPr>
              <w:t>UL,low</w:t>
            </w:r>
            <w:r>
              <w:t xml:space="preserve">  &lt; 100 MHz</w:t>
            </w:r>
          </w:p>
        </w:tc>
        <w:tc>
          <w:tcPr>
            <w:tcW w:w="1784" w:type="dxa"/>
            <w:tcBorders>
              <w:top w:val="single" w:sz="4" w:space="0" w:color="auto"/>
              <w:left w:val="single" w:sz="4" w:space="0" w:color="auto"/>
              <w:bottom w:val="single" w:sz="4" w:space="0" w:color="auto"/>
              <w:right w:val="single" w:sz="4" w:space="0" w:color="auto"/>
            </w:tcBorders>
            <w:hideMark/>
          </w:tcPr>
          <w:p w14:paraId="6BE30899" w14:textId="77777777" w:rsidR="004C7013" w:rsidRDefault="004C7013" w:rsidP="00BD1F8C">
            <w:pPr>
              <w:pStyle w:val="TAC"/>
            </w:pPr>
            <w:r>
              <w:t>10</w:t>
            </w:r>
          </w:p>
        </w:tc>
      </w:tr>
      <w:tr w:rsidR="004C7013" w14:paraId="62531CD7" w14:textId="77777777" w:rsidTr="004C7013">
        <w:trPr>
          <w:jc w:val="center"/>
        </w:trPr>
        <w:tc>
          <w:tcPr>
            <w:tcW w:w="1845" w:type="dxa"/>
            <w:tcBorders>
              <w:top w:val="nil"/>
              <w:left w:val="single" w:sz="4" w:space="0" w:color="auto"/>
              <w:bottom w:val="single" w:sz="4" w:space="0" w:color="auto"/>
              <w:right w:val="single" w:sz="4" w:space="0" w:color="auto"/>
            </w:tcBorders>
            <w:shd w:val="clear" w:color="auto" w:fill="auto"/>
            <w:vAlign w:val="center"/>
            <w:hideMark/>
          </w:tcPr>
          <w:p w14:paraId="11A72A5C" w14:textId="77777777" w:rsidR="004C7013" w:rsidRDefault="004C7013" w:rsidP="00BD1F8C">
            <w:pPr>
              <w:spacing w:after="0"/>
              <w:rPr>
                <w:rFonts w:ascii="Arial" w:hAnsi="Arial"/>
                <w:i/>
                <w:sz w:val="18"/>
              </w:rPr>
            </w:pPr>
          </w:p>
        </w:tc>
        <w:tc>
          <w:tcPr>
            <w:tcW w:w="3801" w:type="dxa"/>
            <w:tcBorders>
              <w:top w:val="single" w:sz="4" w:space="0" w:color="auto"/>
              <w:left w:val="single" w:sz="4" w:space="0" w:color="auto"/>
              <w:bottom w:val="single" w:sz="4" w:space="0" w:color="auto"/>
              <w:right w:val="single" w:sz="4" w:space="0" w:color="auto"/>
            </w:tcBorders>
            <w:hideMark/>
          </w:tcPr>
          <w:p w14:paraId="5510CA49" w14:textId="77777777" w:rsidR="004C7013" w:rsidRDefault="004C7013" w:rsidP="00BD1F8C">
            <w:pPr>
              <w:pStyle w:val="TAC"/>
              <w:rPr>
                <w:b/>
              </w:rPr>
            </w:pPr>
            <w:r>
              <w:t>100 MHz ≤ F</w:t>
            </w:r>
            <w:r>
              <w:rPr>
                <w:vertAlign w:val="subscript"/>
              </w:rPr>
              <w:t>UL,high</w:t>
            </w:r>
            <w:r>
              <w:t xml:space="preserve"> – F</w:t>
            </w:r>
            <w:r>
              <w:rPr>
                <w:vertAlign w:val="subscript"/>
              </w:rPr>
              <w:t>UL,low</w:t>
            </w:r>
            <w:r>
              <w:t xml:space="preserve">  ≤ 900 MHz   </w:t>
            </w:r>
          </w:p>
        </w:tc>
        <w:tc>
          <w:tcPr>
            <w:tcW w:w="1784" w:type="dxa"/>
            <w:tcBorders>
              <w:top w:val="single" w:sz="4" w:space="0" w:color="auto"/>
              <w:left w:val="single" w:sz="4" w:space="0" w:color="auto"/>
              <w:bottom w:val="single" w:sz="4" w:space="0" w:color="auto"/>
              <w:right w:val="single" w:sz="4" w:space="0" w:color="auto"/>
            </w:tcBorders>
            <w:hideMark/>
          </w:tcPr>
          <w:p w14:paraId="002D3B93" w14:textId="77777777" w:rsidR="004C7013" w:rsidRDefault="004C7013" w:rsidP="00BD1F8C">
            <w:pPr>
              <w:pStyle w:val="TAC"/>
            </w:pPr>
            <w:r>
              <w:t>40</w:t>
            </w:r>
          </w:p>
        </w:tc>
      </w:tr>
      <w:tr w:rsidR="00CA0334" w14:paraId="54300F31" w14:textId="77777777" w:rsidTr="00BD1F8C">
        <w:trPr>
          <w:jc w:val="center"/>
        </w:trPr>
        <w:tc>
          <w:tcPr>
            <w:tcW w:w="1845" w:type="dxa"/>
            <w:tcBorders>
              <w:top w:val="single" w:sz="4" w:space="0" w:color="auto"/>
              <w:left w:val="single" w:sz="4" w:space="0" w:color="auto"/>
              <w:bottom w:val="single" w:sz="4" w:space="0" w:color="auto"/>
              <w:right w:val="single" w:sz="4" w:space="0" w:color="auto"/>
            </w:tcBorders>
            <w:vAlign w:val="center"/>
            <w:hideMark/>
          </w:tcPr>
          <w:p w14:paraId="298644EA" w14:textId="77777777" w:rsidR="00CA0334" w:rsidRDefault="00CA0334" w:rsidP="00BD1F8C">
            <w:pPr>
              <w:pStyle w:val="TAC"/>
              <w:rPr>
                <w:i/>
              </w:rPr>
            </w:pPr>
            <w:r>
              <w:rPr>
                <w:i/>
              </w:rPr>
              <w:t>IAB-MT type 2-O</w:t>
            </w:r>
          </w:p>
        </w:tc>
        <w:tc>
          <w:tcPr>
            <w:tcW w:w="3801" w:type="dxa"/>
            <w:tcBorders>
              <w:top w:val="single" w:sz="4" w:space="0" w:color="auto"/>
              <w:left w:val="single" w:sz="4" w:space="0" w:color="auto"/>
              <w:bottom w:val="single" w:sz="4" w:space="0" w:color="auto"/>
              <w:right w:val="single" w:sz="4" w:space="0" w:color="auto"/>
            </w:tcBorders>
            <w:hideMark/>
          </w:tcPr>
          <w:p w14:paraId="1F0EA0F2" w14:textId="77777777" w:rsidR="00CA0334" w:rsidRDefault="00CA0334" w:rsidP="00BD1F8C">
            <w:pPr>
              <w:pStyle w:val="TAC"/>
            </w:pPr>
            <w:r>
              <w:t>F</w:t>
            </w:r>
            <w:r>
              <w:rPr>
                <w:vertAlign w:val="subscript"/>
              </w:rPr>
              <w:t>UL,high</w:t>
            </w:r>
            <w:r>
              <w:t xml:space="preserve"> – F</w:t>
            </w:r>
            <w:r>
              <w:rPr>
                <w:vertAlign w:val="subscript"/>
              </w:rPr>
              <w:t>UL,low</w:t>
            </w:r>
            <w:r>
              <w:t xml:space="preserve"> ≤ 4000 MHz</w:t>
            </w:r>
          </w:p>
        </w:tc>
        <w:tc>
          <w:tcPr>
            <w:tcW w:w="1784" w:type="dxa"/>
            <w:tcBorders>
              <w:top w:val="single" w:sz="4" w:space="0" w:color="auto"/>
              <w:left w:val="single" w:sz="4" w:space="0" w:color="auto"/>
              <w:bottom w:val="single" w:sz="4" w:space="0" w:color="auto"/>
              <w:right w:val="single" w:sz="4" w:space="0" w:color="auto"/>
            </w:tcBorders>
            <w:hideMark/>
          </w:tcPr>
          <w:p w14:paraId="0F4138E3" w14:textId="77777777" w:rsidR="00CA0334" w:rsidRDefault="00CA0334" w:rsidP="00BD1F8C">
            <w:pPr>
              <w:pStyle w:val="TAC"/>
            </w:pPr>
            <w:r>
              <w:t>1500</w:t>
            </w:r>
          </w:p>
        </w:tc>
      </w:tr>
    </w:tbl>
    <w:p w14:paraId="52C3A384" w14:textId="77777777" w:rsidR="00CA0334" w:rsidRDefault="00CA0334" w:rsidP="00CA0334"/>
    <w:p w14:paraId="3664DB31" w14:textId="77777777" w:rsidR="00CA0334" w:rsidRDefault="00CA0334" w:rsidP="00CA0334">
      <w:r>
        <w:t xml:space="preserve">The unwanted emission requirements are applied per cell for all the configurations.  Requirements for OTA unwanted emissions are captured using TRP, </w:t>
      </w:r>
      <w:r>
        <w:rPr>
          <w:i/>
        </w:rPr>
        <w:t>directional requirements</w:t>
      </w:r>
      <w:r>
        <w:t xml:space="preserve"> or co-location requirements as described per requirement.</w:t>
      </w:r>
    </w:p>
    <w:p w14:paraId="5639B147" w14:textId="77777777" w:rsidR="00CA0334" w:rsidRDefault="00CA0334" w:rsidP="00CA0334">
      <w:r>
        <w:t>There is in addition a requirement for occupied bandwidth.</w:t>
      </w:r>
    </w:p>
    <w:p w14:paraId="7E52DFC2" w14:textId="77777777" w:rsidR="00CA0334" w:rsidRDefault="00CA0334" w:rsidP="00CA0334">
      <w:pPr>
        <w:pStyle w:val="Heading3"/>
        <w:rPr>
          <w:szCs w:val="28"/>
        </w:rPr>
      </w:pPr>
      <w:bookmarkStart w:id="5163" w:name="_Toc45893650"/>
      <w:bookmarkStart w:id="5164" w:name="_Toc44712337"/>
      <w:bookmarkStart w:id="5165" w:name="_Toc37267734"/>
      <w:bookmarkStart w:id="5166" w:name="_Toc37260346"/>
      <w:bookmarkStart w:id="5167" w:name="_Toc36817424"/>
      <w:bookmarkStart w:id="5168" w:name="_Toc29811872"/>
      <w:bookmarkStart w:id="5169" w:name="_Toc21127663"/>
      <w:bookmarkStart w:id="5170" w:name="_Toc53185487"/>
      <w:bookmarkStart w:id="5171" w:name="_Toc53185863"/>
      <w:bookmarkStart w:id="5172" w:name="_Toc57820349"/>
      <w:bookmarkStart w:id="5173" w:name="_Toc57821276"/>
      <w:bookmarkStart w:id="5174" w:name="_Toc61183552"/>
      <w:bookmarkStart w:id="5175" w:name="_Toc61183946"/>
      <w:bookmarkStart w:id="5176" w:name="_Toc61184338"/>
      <w:bookmarkStart w:id="5177" w:name="_Toc61184730"/>
      <w:bookmarkStart w:id="5178" w:name="_Toc61185120"/>
      <w:bookmarkStart w:id="5179" w:name="_Toc66386464"/>
      <w:bookmarkStart w:id="5180" w:name="_Toc74583367"/>
      <w:bookmarkStart w:id="5181" w:name="_Toc76542180"/>
      <w:bookmarkStart w:id="5182" w:name="_Toc82450162"/>
      <w:bookmarkStart w:id="5183" w:name="_Toc82450810"/>
      <w:bookmarkStart w:id="5184" w:name="_Toc89949199"/>
      <w:bookmarkStart w:id="5185" w:name="_Toc98755588"/>
      <w:bookmarkStart w:id="5186" w:name="_Toc98763180"/>
      <w:bookmarkStart w:id="5187" w:name="_Toc106184109"/>
      <w:r>
        <w:rPr>
          <w:szCs w:val="28"/>
        </w:rPr>
        <w:t>9.7.2</w:t>
      </w:r>
      <w:r>
        <w:rPr>
          <w:szCs w:val="28"/>
        </w:rPr>
        <w:tab/>
        <w:t>OTA occupied bandwidth</w:t>
      </w:r>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p>
    <w:p w14:paraId="4C5F160E" w14:textId="77777777" w:rsidR="00CA0334" w:rsidRDefault="00CA0334" w:rsidP="00CA0334">
      <w:pPr>
        <w:pStyle w:val="Heading4"/>
      </w:pPr>
      <w:bookmarkStart w:id="5188" w:name="_Toc45893651"/>
      <w:bookmarkStart w:id="5189" w:name="_Toc44712338"/>
      <w:bookmarkStart w:id="5190" w:name="_Toc37267735"/>
      <w:bookmarkStart w:id="5191" w:name="_Toc37260347"/>
      <w:bookmarkStart w:id="5192" w:name="_Toc36817425"/>
      <w:bookmarkStart w:id="5193" w:name="_Toc29811873"/>
      <w:bookmarkStart w:id="5194" w:name="_Toc21127664"/>
      <w:bookmarkStart w:id="5195" w:name="_Toc53185488"/>
      <w:bookmarkStart w:id="5196" w:name="_Toc53185864"/>
      <w:bookmarkStart w:id="5197" w:name="_Toc57820350"/>
      <w:bookmarkStart w:id="5198" w:name="_Toc57821277"/>
      <w:bookmarkStart w:id="5199" w:name="_Toc61183553"/>
      <w:bookmarkStart w:id="5200" w:name="_Toc61183947"/>
      <w:bookmarkStart w:id="5201" w:name="_Toc61184339"/>
      <w:bookmarkStart w:id="5202" w:name="_Toc61184731"/>
      <w:bookmarkStart w:id="5203" w:name="_Toc61185121"/>
      <w:bookmarkStart w:id="5204" w:name="_Toc66386465"/>
      <w:bookmarkStart w:id="5205" w:name="_Toc74583368"/>
      <w:bookmarkStart w:id="5206" w:name="_Toc76542181"/>
      <w:bookmarkStart w:id="5207" w:name="_Toc82450163"/>
      <w:bookmarkStart w:id="5208" w:name="_Toc82450811"/>
      <w:bookmarkStart w:id="5209" w:name="_Toc89949200"/>
      <w:bookmarkStart w:id="5210" w:name="_Toc98755589"/>
      <w:bookmarkStart w:id="5211" w:name="_Toc98763181"/>
      <w:bookmarkStart w:id="5212" w:name="_Toc106184110"/>
      <w:r>
        <w:t>9.7.2.1</w:t>
      </w:r>
      <w:r>
        <w:tab/>
        <w:t>General</w:t>
      </w:r>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p>
    <w:p w14:paraId="76DDE53C" w14:textId="77777777" w:rsidR="00CA0334" w:rsidRDefault="00CA0334" w:rsidP="00CA0334">
      <w:r>
        <w:rPr>
          <w:lang w:eastAsia="zh-CN"/>
        </w:rPr>
        <w:t>T</w:t>
      </w:r>
      <w:r>
        <w:t xml:space="preserve">he OTA occupied bandwidth is the width of a frequency band such that, below the lower and above the upper frequency limits, the mean powers emitted are each equal to a specified percentage </w:t>
      </w:r>
      <w:r>
        <w:rPr>
          <w:rFonts w:ascii="Symbol" w:hAnsi="Symbol" w:cs="v4.2.0"/>
        </w:rPr>
        <w:t></w:t>
      </w:r>
      <w:r>
        <w:t>/2 of the total mean transmitted power. See also recommendation ITU-R SM.328 [</w:t>
      </w:r>
      <w:r>
        <w:rPr>
          <w:lang w:eastAsia="zh-CN"/>
        </w:rPr>
        <w:t>3</w:t>
      </w:r>
      <w:r>
        <w:t>].</w:t>
      </w:r>
    </w:p>
    <w:p w14:paraId="39B019F2" w14:textId="77777777" w:rsidR="00CA0334" w:rsidRDefault="00CA0334" w:rsidP="00CA0334">
      <w:r>
        <w:t xml:space="preserve">The value of </w:t>
      </w:r>
      <w:r>
        <w:rPr>
          <w:rFonts w:ascii="Symbol" w:hAnsi="Symbol" w:cs="v4.2.0"/>
        </w:rPr>
        <w:t></w:t>
      </w:r>
      <w:r>
        <w:t>/2 shall be taken as 0.5%.</w:t>
      </w:r>
    </w:p>
    <w:p w14:paraId="33E0292A" w14:textId="77777777" w:rsidR="00CA0334" w:rsidRDefault="00CA0334" w:rsidP="00CA0334">
      <w:r>
        <w:t xml:space="preserve">The OTA occupied bandwidth requirement shall apply during the </w:t>
      </w:r>
      <w:r>
        <w:rPr>
          <w:i/>
        </w:rPr>
        <w:t>transmitter ON period</w:t>
      </w:r>
      <w:r>
        <w:t xml:space="preserve"> for a single transmitted carrier. The minimum requirement below may be applied regionally. There may also be regional requirements to declare the OTA occupied bandwidth according to the definition in the present clause.</w:t>
      </w:r>
    </w:p>
    <w:p w14:paraId="3997F857" w14:textId="77777777" w:rsidR="00CA0334" w:rsidRDefault="00CA0334" w:rsidP="00CA0334">
      <w:pPr>
        <w:rPr>
          <w:lang w:eastAsia="zh-CN"/>
        </w:rPr>
      </w:pPr>
      <w:r>
        <w:t xml:space="preserve">The OTA occupied bandwidth is defined as a </w:t>
      </w:r>
      <w:r>
        <w:rPr>
          <w:i/>
        </w:rPr>
        <w:t>directional requirement</w:t>
      </w:r>
      <w:r>
        <w:t xml:space="preserve"> and shall be met in the manufacturer's declared </w:t>
      </w:r>
      <w:r>
        <w:rPr>
          <w:i/>
        </w:rPr>
        <w:t xml:space="preserve">OTA coverage range </w:t>
      </w:r>
      <w:r>
        <w:t>at the RIB</w:t>
      </w:r>
      <w:r>
        <w:rPr>
          <w:lang w:eastAsia="zh-CN"/>
        </w:rPr>
        <w:t>.</w:t>
      </w:r>
    </w:p>
    <w:p w14:paraId="161EF168" w14:textId="77777777" w:rsidR="00CA0334" w:rsidRDefault="00CA0334" w:rsidP="00CA0334">
      <w:pPr>
        <w:pStyle w:val="Heading4"/>
        <w:rPr>
          <w:szCs w:val="28"/>
          <w:lang w:eastAsia="zh-CN"/>
        </w:rPr>
      </w:pPr>
      <w:bookmarkStart w:id="5213" w:name="_Toc45893652"/>
      <w:bookmarkStart w:id="5214" w:name="_Toc44712339"/>
      <w:bookmarkStart w:id="5215" w:name="_Toc37267736"/>
      <w:bookmarkStart w:id="5216" w:name="_Toc37260348"/>
      <w:bookmarkStart w:id="5217" w:name="_Toc36817426"/>
      <w:bookmarkStart w:id="5218" w:name="_Toc29811874"/>
      <w:bookmarkStart w:id="5219" w:name="_Toc21127665"/>
      <w:bookmarkStart w:id="5220" w:name="_Toc53185489"/>
      <w:bookmarkStart w:id="5221" w:name="_Toc53185865"/>
      <w:bookmarkStart w:id="5222" w:name="_Toc57820351"/>
      <w:bookmarkStart w:id="5223" w:name="_Toc57821278"/>
      <w:bookmarkStart w:id="5224" w:name="_Toc61183554"/>
      <w:bookmarkStart w:id="5225" w:name="_Toc61183948"/>
      <w:bookmarkStart w:id="5226" w:name="_Toc61184340"/>
      <w:bookmarkStart w:id="5227" w:name="_Toc61184732"/>
      <w:bookmarkStart w:id="5228" w:name="_Toc61185122"/>
      <w:bookmarkStart w:id="5229" w:name="_Toc66386466"/>
      <w:bookmarkStart w:id="5230" w:name="_Toc74583369"/>
      <w:bookmarkStart w:id="5231" w:name="_Toc76542182"/>
      <w:bookmarkStart w:id="5232" w:name="_Toc82450164"/>
      <w:bookmarkStart w:id="5233" w:name="_Toc82450812"/>
      <w:bookmarkStart w:id="5234" w:name="_Toc89949201"/>
      <w:bookmarkStart w:id="5235" w:name="_Toc98755590"/>
      <w:bookmarkStart w:id="5236" w:name="_Toc98763182"/>
      <w:bookmarkStart w:id="5237" w:name="_Toc106184111"/>
      <w:r>
        <w:t>9.7.2.2</w:t>
      </w:r>
      <w:r>
        <w:tab/>
        <w:t>Minimum requirement</w:t>
      </w:r>
      <w:r>
        <w:rPr>
          <w:lang w:eastAsia="zh-CN"/>
        </w:rPr>
        <w:t xml:space="preserve"> for </w:t>
      </w:r>
      <w:r>
        <w:rPr>
          <w:i/>
          <w:lang w:eastAsia="zh-CN"/>
        </w:rPr>
        <w:t>IAB-DU type 1-O</w:t>
      </w:r>
      <w:r>
        <w:rPr>
          <w:lang w:eastAsia="zh-CN"/>
        </w:rPr>
        <w:t xml:space="preserve"> and </w:t>
      </w:r>
      <w:r>
        <w:rPr>
          <w:i/>
          <w:iCs/>
          <w:lang w:val="en-US" w:eastAsia="zh-CN"/>
        </w:rPr>
        <w:t xml:space="preserve">IAB-DU type </w:t>
      </w:r>
      <w:r>
        <w:rPr>
          <w:lang w:eastAsia="zh-CN"/>
        </w:rPr>
        <w:t>2-O</w:t>
      </w:r>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p>
    <w:p w14:paraId="3C1FE76B" w14:textId="77777777" w:rsidR="00CA0334" w:rsidRDefault="00CA0334" w:rsidP="00CA0334">
      <w:pPr>
        <w:rPr>
          <w:bCs/>
          <w:iCs/>
        </w:rPr>
      </w:pPr>
      <w:r>
        <w:rPr>
          <w:rFonts w:cs="v5.0.0"/>
          <w:snapToGrid w:val="0"/>
          <w:lang w:eastAsia="zh-CN"/>
        </w:rPr>
        <w:t>The OTA occupied bandwidth</w:t>
      </w:r>
      <w:r>
        <w:rPr>
          <w:rFonts w:cs="v5.0.0"/>
          <w:snapToGrid w:val="0"/>
        </w:rPr>
        <w:t xml:space="preserve"> </w:t>
      </w:r>
      <w:r>
        <w:rPr>
          <w:snapToGrid w:val="0"/>
        </w:rPr>
        <w:t xml:space="preserve">for each </w:t>
      </w:r>
      <w:r>
        <w:rPr>
          <w:snapToGrid w:val="0"/>
          <w:lang w:eastAsia="zh-CN"/>
        </w:rPr>
        <w:t>NR</w:t>
      </w:r>
      <w:r>
        <w:rPr>
          <w:snapToGrid w:val="0"/>
        </w:rPr>
        <w:t xml:space="preserve"> carrier</w:t>
      </w:r>
      <w:r>
        <w:rPr>
          <w:rFonts w:cs="v5.0.0"/>
          <w:snapToGrid w:val="0"/>
        </w:rPr>
        <w:t xml:space="preserve"> shall be less than the </w:t>
      </w:r>
      <w:r>
        <w:rPr>
          <w:rFonts w:cs="v5.0.0"/>
          <w:i/>
          <w:snapToGrid w:val="0"/>
        </w:rPr>
        <w:t>IAB-DU channel bandwidth</w:t>
      </w:r>
      <w:r>
        <w:rPr>
          <w:rFonts w:cs="v5.0.0"/>
          <w:snapToGrid w:val="0"/>
          <w:lang w:eastAsia="zh-CN"/>
        </w:rPr>
        <w:t>.</w:t>
      </w:r>
      <w:r>
        <w:rPr>
          <w:snapToGrid w:val="0"/>
        </w:rPr>
        <w:t xml:space="preserve"> For </w:t>
      </w:r>
      <w:r>
        <w:t xml:space="preserve">intra-band </w:t>
      </w:r>
      <w:r>
        <w:rPr>
          <w:snapToGrid w:val="0"/>
        </w:rPr>
        <w:t>contiguous CA, t</w:t>
      </w:r>
      <w:r>
        <w:rPr>
          <w:bCs/>
        </w:rPr>
        <w:t xml:space="preserve">he </w:t>
      </w:r>
      <w:r>
        <w:rPr>
          <w:bCs/>
          <w:lang w:val="en-US" w:eastAsia="zh-CN"/>
        </w:rPr>
        <w:t xml:space="preserve">OTA </w:t>
      </w:r>
      <w:r>
        <w:rPr>
          <w:bCs/>
        </w:rPr>
        <w:t xml:space="preserve">occupied bandwidth shall be less than or equal to the </w:t>
      </w:r>
      <w:r>
        <w:rPr>
          <w:bCs/>
          <w:i/>
          <w:iCs/>
        </w:rPr>
        <w:t xml:space="preserve">Aggregated </w:t>
      </w:r>
      <w:r>
        <w:rPr>
          <w:bCs/>
          <w:i/>
          <w:iCs/>
          <w:lang w:val="en-US" w:eastAsia="zh-CN"/>
        </w:rPr>
        <w:t xml:space="preserve">IAB-DU </w:t>
      </w:r>
      <w:r>
        <w:rPr>
          <w:bCs/>
          <w:i/>
          <w:iCs/>
        </w:rPr>
        <w:t>Channel Bandwidth</w:t>
      </w:r>
      <w:r>
        <w:rPr>
          <w:bCs/>
          <w:iCs/>
        </w:rPr>
        <w:t>.</w:t>
      </w:r>
    </w:p>
    <w:p w14:paraId="2EFDB609" w14:textId="77777777" w:rsidR="00CA0334" w:rsidRDefault="00CA0334" w:rsidP="00CA0334">
      <w:pPr>
        <w:pStyle w:val="Heading4"/>
        <w:rPr>
          <w:szCs w:val="28"/>
          <w:lang w:eastAsia="zh-CN"/>
        </w:rPr>
      </w:pPr>
      <w:bookmarkStart w:id="5238" w:name="_Toc53185490"/>
      <w:bookmarkStart w:id="5239" w:name="_Toc53185866"/>
      <w:bookmarkStart w:id="5240" w:name="_Toc57820352"/>
      <w:bookmarkStart w:id="5241" w:name="_Toc57821279"/>
      <w:bookmarkStart w:id="5242" w:name="_Toc61183555"/>
      <w:bookmarkStart w:id="5243" w:name="_Toc61183949"/>
      <w:bookmarkStart w:id="5244" w:name="_Toc61184341"/>
      <w:bookmarkStart w:id="5245" w:name="_Toc61184733"/>
      <w:bookmarkStart w:id="5246" w:name="_Toc61185123"/>
      <w:bookmarkStart w:id="5247" w:name="_Toc66386467"/>
      <w:bookmarkStart w:id="5248" w:name="_Toc74583370"/>
      <w:bookmarkStart w:id="5249" w:name="_Toc76542183"/>
      <w:bookmarkStart w:id="5250" w:name="_Toc82450165"/>
      <w:bookmarkStart w:id="5251" w:name="_Toc82450813"/>
      <w:bookmarkStart w:id="5252" w:name="_Toc89949202"/>
      <w:bookmarkStart w:id="5253" w:name="_Toc98755591"/>
      <w:bookmarkStart w:id="5254" w:name="_Toc98763183"/>
      <w:bookmarkStart w:id="5255" w:name="_Toc106184112"/>
      <w:r>
        <w:t>9.7.2.3</w:t>
      </w:r>
      <w:r>
        <w:tab/>
        <w:t>Minimum requirement</w:t>
      </w:r>
      <w:r>
        <w:rPr>
          <w:lang w:eastAsia="zh-CN"/>
        </w:rPr>
        <w:t xml:space="preserve"> for </w:t>
      </w:r>
      <w:r>
        <w:rPr>
          <w:i/>
          <w:lang w:eastAsia="zh-CN"/>
        </w:rPr>
        <w:t>IAB-MT type 1-O</w:t>
      </w:r>
      <w:r>
        <w:rPr>
          <w:lang w:eastAsia="zh-CN"/>
        </w:rPr>
        <w:t xml:space="preserve"> and </w:t>
      </w:r>
      <w:r>
        <w:rPr>
          <w:i/>
          <w:iCs/>
          <w:lang w:val="en-US" w:eastAsia="zh-CN"/>
        </w:rPr>
        <w:t xml:space="preserve">IAB-MT type </w:t>
      </w:r>
      <w:r>
        <w:rPr>
          <w:lang w:eastAsia="zh-CN"/>
        </w:rPr>
        <w:t>2-O</w:t>
      </w:r>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p>
    <w:p w14:paraId="563D39A8" w14:textId="77777777" w:rsidR="00CA0334" w:rsidRDefault="00CA0334" w:rsidP="00CA0334">
      <w:pPr>
        <w:rPr>
          <w:lang w:eastAsia="zh-CN"/>
        </w:rPr>
      </w:pPr>
      <w:r>
        <w:rPr>
          <w:rFonts w:cs="v5.0.0"/>
          <w:snapToGrid w:val="0"/>
          <w:lang w:eastAsia="zh-CN"/>
        </w:rPr>
        <w:t>The OTA occupied bandwidth</w:t>
      </w:r>
      <w:r>
        <w:rPr>
          <w:rFonts w:cs="v5.0.0"/>
          <w:snapToGrid w:val="0"/>
        </w:rPr>
        <w:t xml:space="preserve"> </w:t>
      </w:r>
      <w:r>
        <w:rPr>
          <w:snapToGrid w:val="0"/>
        </w:rPr>
        <w:t xml:space="preserve">for each </w:t>
      </w:r>
      <w:r>
        <w:rPr>
          <w:snapToGrid w:val="0"/>
          <w:lang w:eastAsia="zh-CN"/>
        </w:rPr>
        <w:t>NR</w:t>
      </w:r>
      <w:r>
        <w:rPr>
          <w:snapToGrid w:val="0"/>
        </w:rPr>
        <w:t xml:space="preserve"> carrier</w:t>
      </w:r>
      <w:r>
        <w:rPr>
          <w:rFonts w:cs="v5.0.0"/>
          <w:snapToGrid w:val="0"/>
        </w:rPr>
        <w:t xml:space="preserve"> shall be less than the </w:t>
      </w:r>
      <w:r>
        <w:rPr>
          <w:rFonts w:cs="v5.0.0"/>
          <w:i/>
          <w:snapToGrid w:val="0"/>
        </w:rPr>
        <w:t>IAB-MT channel bandwidth</w:t>
      </w:r>
      <w:r>
        <w:rPr>
          <w:rFonts w:cs="v5.0.0"/>
          <w:snapToGrid w:val="0"/>
          <w:lang w:eastAsia="zh-CN"/>
        </w:rPr>
        <w:t>.</w:t>
      </w:r>
      <w:r>
        <w:rPr>
          <w:snapToGrid w:val="0"/>
        </w:rPr>
        <w:t xml:space="preserve"> For </w:t>
      </w:r>
      <w:r>
        <w:t xml:space="preserve">intra-band </w:t>
      </w:r>
      <w:r>
        <w:rPr>
          <w:snapToGrid w:val="0"/>
        </w:rPr>
        <w:t>contiguous CA, t</w:t>
      </w:r>
      <w:r>
        <w:rPr>
          <w:bCs/>
        </w:rPr>
        <w:t xml:space="preserve">he </w:t>
      </w:r>
      <w:r>
        <w:rPr>
          <w:bCs/>
          <w:lang w:val="en-US" w:eastAsia="zh-CN"/>
        </w:rPr>
        <w:t xml:space="preserve">OTA </w:t>
      </w:r>
      <w:r>
        <w:rPr>
          <w:bCs/>
        </w:rPr>
        <w:t xml:space="preserve">occupied bandwidth shall be less than or equal to the </w:t>
      </w:r>
      <w:r>
        <w:rPr>
          <w:bCs/>
          <w:i/>
          <w:iCs/>
        </w:rPr>
        <w:t xml:space="preserve">Aggregated </w:t>
      </w:r>
      <w:r>
        <w:rPr>
          <w:bCs/>
          <w:i/>
          <w:iCs/>
          <w:lang w:eastAsia="zh-CN"/>
        </w:rPr>
        <w:t>IAB-MT</w:t>
      </w:r>
      <w:r>
        <w:rPr>
          <w:bCs/>
          <w:i/>
          <w:iCs/>
          <w:lang w:val="en-US" w:eastAsia="zh-CN"/>
        </w:rPr>
        <w:t xml:space="preserve"> </w:t>
      </w:r>
      <w:r>
        <w:rPr>
          <w:bCs/>
          <w:i/>
          <w:iCs/>
        </w:rPr>
        <w:t>Channel Bandwidth</w:t>
      </w:r>
      <w:r>
        <w:rPr>
          <w:bCs/>
          <w:iCs/>
        </w:rPr>
        <w:t>.</w:t>
      </w:r>
    </w:p>
    <w:p w14:paraId="05D9B954" w14:textId="77777777" w:rsidR="00CA0334" w:rsidRDefault="00CA0334" w:rsidP="00CA0334">
      <w:pPr>
        <w:pStyle w:val="Heading3"/>
      </w:pPr>
      <w:bookmarkStart w:id="5256" w:name="_Toc45893653"/>
      <w:bookmarkStart w:id="5257" w:name="_Toc44712340"/>
      <w:bookmarkStart w:id="5258" w:name="_Toc37267737"/>
      <w:bookmarkStart w:id="5259" w:name="_Toc37260349"/>
      <w:bookmarkStart w:id="5260" w:name="_Toc36817427"/>
      <w:bookmarkStart w:id="5261" w:name="_Toc29811875"/>
      <w:bookmarkStart w:id="5262" w:name="_Toc21127666"/>
      <w:bookmarkStart w:id="5263" w:name="_Toc53185491"/>
      <w:bookmarkStart w:id="5264" w:name="_Toc53185867"/>
      <w:bookmarkStart w:id="5265" w:name="_Toc57820353"/>
      <w:bookmarkStart w:id="5266" w:name="_Toc57821280"/>
      <w:bookmarkStart w:id="5267" w:name="_Toc61183556"/>
      <w:bookmarkStart w:id="5268" w:name="_Toc61183950"/>
      <w:bookmarkStart w:id="5269" w:name="_Toc61184342"/>
      <w:bookmarkStart w:id="5270" w:name="_Toc61184734"/>
      <w:bookmarkStart w:id="5271" w:name="_Toc61185124"/>
      <w:bookmarkStart w:id="5272" w:name="_Toc66386468"/>
      <w:bookmarkStart w:id="5273" w:name="_Toc74583371"/>
      <w:bookmarkStart w:id="5274" w:name="_Toc76542184"/>
      <w:bookmarkStart w:id="5275" w:name="_Toc82450166"/>
      <w:bookmarkStart w:id="5276" w:name="_Toc82450814"/>
      <w:bookmarkStart w:id="5277" w:name="_Toc89949203"/>
      <w:bookmarkStart w:id="5278" w:name="_Toc98755592"/>
      <w:bookmarkStart w:id="5279" w:name="_Toc98763184"/>
      <w:bookmarkStart w:id="5280" w:name="_Toc106184113"/>
      <w:r>
        <w:t>9.7.3</w:t>
      </w:r>
      <w:r>
        <w:tab/>
        <w:t>OTA Adjacent Channel Leakage Power Ratio (ACLR)</w:t>
      </w:r>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p>
    <w:p w14:paraId="0CA77016" w14:textId="77777777" w:rsidR="00CA0334" w:rsidRDefault="00CA0334" w:rsidP="00CA0334">
      <w:pPr>
        <w:pStyle w:val="Heading4"/>
      </w:pPr>
      <w:bookmarkStart w:id="5281" w:name="_Toc45893654"/>
      <w:bookmarkStart w:id="5282" w:name="_Toc44712341"/>
      <w:bookmarkStart w:id="5283" w:name="_Toc37267738"/>
      <w:bookmarkStart w:id="5284" w:name="_Toc37260350"/>
      <w:bookmarkStart w:id="5285" w:name="_Toc36817428"/>
      <w:bookmarkStart w:id="5286" w:name="_Toc29811876"/>
      <w:bookmarkStart w:id="5287" w:name="_Toc21127667"/>
      <w:bookmarkStart w:id="5288" w:name="_Toc53185492"/>
      <w:bookmarkStart w:id="5289" w:name="_Toc53185868"/>
      <w:bookmarkStart w:id="5290" w:name="_Toc57820354"/>
      <w:bookmarkStart w:id="5291" w:name="_Toc57821281"/>
      <w:bookmarkStart w:id="5292" w:name="_Toc61183557"/>
      <w:bookmarkStart w:id="5293" w:name="_Toc61183951"/>
      <w:bookmarkStart w:id="5294" w:name="_Toc61184343"/>
      <w:bookmarkStart w:id="5295" w:name="_Toc61184735"/>
      <w:bookmarkStart w:id="5296" w:name="_Toc61185125"/>
      <w:bookmarkStart w:id="5297" w:name="_Toc66386469"/>
      <w:bookmarkStart w:id="5298" w:name="_Toc74583372"/>
      <w:bookmarkStart w:id="5299" w:name="_Toc76542185"/>
      <w:bookmarkStart w:id="5300" w:name="_Toc82450167"/>
      <w:bookmarkStart w:id="5301" w:name="_Toc82450815"/>
      <w:bookmarkStart w:id="5302" w:name="_Toc89949204"/>
      <w:bookmarkStart w:id="5303" w:name="_Toc98755593"/>
      <w:bookmarkStart w:id="5304" w:name="_Toc98763185"/>
      <w:bookmarkStart w:id="5305" w:name="_Toc106184114"/>
      <w:r>
        <w:t>9.7.3.1</w:t>
      </w:r>
      <w:r>
        <w:tab/>
        <w:t>General</w:t>
      </w:r>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p>
    <w:p w14:paraId="135C037D" w14:textId="77777777" w:rsidR="0021029A" w:rsidRDefault="0021029A" w:rsidP="0021029A">
      <w:bookmarkStart w:id="5306" w:name="_Hlk47639108"/>
      <w:bookmarkStart w:id="5307" w:name="_Toc45893655"/>
      <w:bookmarkStart w:id="5308" w:name="_Toc44712342"/>
      <w:bookmarkStart w:id="5309" w:name="_Toc37267739"/>
      <w:bookmarkStart w:id="5310" w:name="_Toc37260351"/>
      <w:bookmarkStart w:id="5311" w:name="_Toc36817429"/>
      <w:bookmarkStart w:id="5312" w:name="_Toc29811877"/>
      <w:bookmarkStart w:id="5313" w:name="_Toc21127668"/>
      <w:bookmarkStart w:id="5314" w:name="_Toc53185493"/>
      <w:bookmarkStart w:id="5315" w:name="_Toc53185869"/>
      <w:bookmarkStart w:id="5316" w:name="_Toc57820355"/>
      <w:bookmarkStart w:id="5317" w:name="_Toc57821282"/>
      <w:bookmarkStart w:id="5318" w:name="_Toc61183558"/>
      <w:bookmarkStart w:id="5319" w:name="_Toc61183952"/>
      <w:bookmarkStart w:id="5320" w:name="_Toc61184344"/>
      <w:bookmarkStart w:id="5321" w:name="_Toc61184736"/>
      <w:bookmarkStart w:id="5322" w:name="_Toc61185126"/>
      <w:bookmarkStart w:id="5323" w:name="_Toc66386470"/>
      <w:bookmarkStart w:id="5324" w:name="_Toc74583373"/>
      <w:bookmarkStart w:id="5325" w:name="_Toc76542186"/>
      <w:bookmarkStart w:id="5326" w:name="_Toc82450168"/>
      <w:bookmarkStart w:id="5327" w:name="_Toc82450816"/>
      <w:bookmarkStart w:id="5328" w:name="_Toc89949205"/>
      <w:bookmarkStart w:id="5329" w:name="_Toc98755594"/>
      <w:r>
        <w:t xml:space="preserve">OTA Adjacent Channel Leakage power Ratio (ACLR) is the ratio of the filtered mean power centred on the assigned channel frequency </w:t>
      </w:r>
      <w:bookmarkEnd w:id="5306"/>
      <w:r>
        <w:t>to the filtered mean power centred on an adjacent channel frequency. The measured power is TRP.</w:t>
      </w:r>
    </w:p>
    <w:p w14:paraId="4BFE8C54" w14:textId="77777777" w:rsidR="0021029A" w:rsidRDefault="0021029A" w:rsidP="0021029A">
      <w:r>
        <w:t xml:space="preserve">The requirement </w:t>
      </w:r>
      <w:r>
        <w:rPr>
          <w:rFonts w:eastAsia="SimSun"/>
          <w:lang w:val="en-US" w:eastAsia="zh-CN"/>
        </w:rPr>
        <w:t xml:space="preserve">shall be applied </w:t>
      </w:r>
      <w:r>
        <w:t xml:space="preserve">per RIB during the </w:t>
      </w:r>
      <w:r>
        <w:rPr>
          <w:i/>
        </w:rPr>
        <w:t>transmitter ON period</w:t>
      </w:r>
      <w:r>
        <w:t>.</w:t>
      </w:r>
    </w:p>
    <w:p w14:paraId="7F5A5C03" w14:textId="77777777" w:rsidR="0021029A" w:rsidRDefault="0021029A" w:rsidP="0021029A">
      <w:pPr>
        <w:pStyle w:val="NO"/>
        <w:rPr>
          <w:lang w:val="en-US" w:eastAsia="zh-CN"/>
        </w:rPr>
      </w:pPr>
      <w:r>
        <w:rPr>
          <w:rFonts w:eastAsia="SimSun" w:cs="v4.2.0"/>
          <w:lang w:val="en-US" w:eastAsia="zh-CN"/>
        </w:rPr>
        <w:t>N</w:t>
      </w:r>
      <w:r>
        <w:rPr>
          <w:rFonts w:hint="eastAsia"/>
          <w:lang w:val="en-US" w:eastAsia="zh-CN"/>
        </w:rPr>
        <w:t>OTE</w:t>
      </w:r>
      <w:r>
        <w:rPr>
          <w:rFonts w:eastAsia="SimSun" w:cs="v4.2.0"/>
          <w:lang w:val="en-US" w:eastAsia="zh-CN"/>
        </w:rPr>
        <w:t>:</w:t>
      </w:r>
      <w:r>
        <w:t xml:space="preserve"> </w:t>
      </w:r>
      <w:r>
        <w:tab/>
        <w:t>When the indicated IAB-MT transmission timing mode is set to ‘Case6’ as specified in 3GPP TS 38.213 [10], the power imbalance</w:t>
      </w:r>
      <w:r>
        <w:rPr>
          <w:lang w:val="en-US"/>
        </w:rPr>
        <w:t xml:space="preserve"> for simultaneous transmission</w:t>
      </w:r>
      <w:r>
        <w:t xml:space="preserve"> between IAB-DU and IAB-MT under which the system can be operated is declared by manufacturer</w:t>
      </w:r>
      <w:r>
        <w:rPr>
          <w:rFonts w:hint="eastAsia"/>
          <w:lang w:val="en-US" w:eastAsia="zh-CN"/>
        </w:rPr>
        <w:t>.</w:t>
      </w:r>
    </w:p>
    <w:p w14:paraId="73B0CE35" w14:textId="77777777" w:rsidR="00CA0334" w:rsidRDefault="00CA0334" w:rsidP="00CA0334">
      <w:pPr>
        <w:pStyle w:val="Heading4"/>
      </w:pPr>
      <w:bookmarkStart w:id="5330" w:name="_Toc98763186"/>
      <w:bookmarkStart w:id="5331" w:name="_Toc106184115"/>
      <w:r>
        <w:lastRenderedPageBreak/>
        <w:t>9.7.3.2</w:t>
      </w:r>
      <w:r>
        <w:tab/>
        <w:t xml:space="preserve">Minimum requirement for </w:t>
      </w:r>
      <w:r>
        <w:rPr>
          <w:i/>
        </w:rPr>
        <w:t>IAB-DU type 1-O and IAB-MT type 1-O</w:t>
      </w:r>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p>
    <w:p w14:paraId="60E3C3B5" w14:textId="77777777" w:rsidR="00CA0334" w:rsidRDefault="00CA0334" w:rsidP="00CA0334">
      <w:r>
        <w:t xml:space="preserve">The ACLR </w:t>
      </w:r>
      <w:r>
        <w:rPr>
          <w:lang w:val="en-US" w:eastAsia="zh-CN"/>
        </w:rPr>
        <w:t xml:space="preserve">(CACLR) </w:t>
      </w:r>
      <w:r>
        <w:t xml:space="preserve">absolute </w:t>
      </w:r>
      <w:r>
        <w:rPr>
          <w:i/>
        </w:rPr>
        <w:t>basic limits</w:t>
      </w:r>
      <w:r>
        <w:t xml:space="preserve"> in table 6.6.3.2-2 + X</w:t>
      </w:r>
      <w:r>
        <w:rPr>
          <w:rFonts w:eastAsia="SimSun"/>
          <w:lang w:val="en-US" w:eastAsia="zh-CN"/>
        </w:rPr>
        <w:t xml:space="preserve">, </w:t>
      </w:r>
      <w:r>
        <w:t>6.6.3.2-5 + X (where and X = 9 dB for IAB-DU and X = 10log</w:t>
      </w:r>
      <w:r>
        <w:rPr>
          <w:vertAlign w:val="subscript"/>
        </w:rPr>
        <w:t>10</w:t>
      </w:r>
      <w:r>
        <w:t>(N</w:t>
      </w:r>
      <w:r>
        <w:rPr>
          <w:vertAlign w:val="subscript"/>
        </w:rPr>
        <w:t>TXU,countedpercell</w:t>
      </w:r>
      <w:r>
        <w:t xml:space="preserve">) for IAB-MT) or the ACLR (CACLR) </w:t>
      </w:r>
      <w:r>
        <w:rPr>
          <w:i/>
        </w:rPr>
        <w:t>basic limit</w:t>
      </w:r>
      <w:r>
        <w:t xml:space="preserve"> in table 6.6.3.2-1, 6.6.3.2-3 or 6.6.3.2-4, whichever is less stringent, shall apply.</w:t>
      </w:r>
    </w:p>
    <w:p w14:paraId="1CD7EBB8" w14:textId="77777777" w:rsidR="00CA0334" w:rsidRDefault="00CA0334" w:rsidP="00CA0334">
      <w:r>
        <w:rPr>
          <w:rFonts w:eastAsia="SimSun"/>
        </w:rPr>
        <w:t xml:space="preserve">For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w:t>
      </w:r>
      <w:r>
        <w:rPr>
          <w:rFonts w:cs="v5.0.0"/>
          <w:lang w:val="en-US" w:eastAsia="zh-CN"/>
        </w:rPr>
        <w:t xml:space="preserve">in </w:t>
      </w:r>
      <w:r>
        <w:rPr>
          <w:rFonts w:eastAsia="SimSun"/>
        </w:rPr>
        <w:t>multi-carrier or contiguous CA,</w:t>
      </w:r>
      <w:r>
        <w:rPr>
          <w:rFonts w:eastAsia="SimSun"/>
          <w:lang w:val="en-US" w:eastAsia="zh-CN"/>
        </w:rPr>
        <w:t xml:space="preserve"> </w:t>
      </w:r>
      <w:r>
        <w:rPr>
          <w:rFonts w:eastAsia="SimSun"/>
        </w:rPr>
        <w:t xml:space="preserve">the </w:t>
      </w:r>
      <w:r>
        <w:rPr>
          <w:rFonts w:eastAsia="SimSun"/>
          <w:lang w:val="en-US" w:eastAsia="zh-CN"/>
        </w:rPr>
        <w:t xml:space="preserve">ACLR </w:t>
      </w:r>
      <w:r>
        <w:rPr>
          <w:rFonts w:cs="v5.0.0"/>
        </w:rPr>
        <w:t>requirements</w:t>
      </w:r>
      <w:r>
        <w:t xml:space="preserve"> in clause 6.6.3.2</w:t>
      </w:r>
      <w:r>
        <w:rPr>
          <w:lang w:val="en-US" w:eastAsia="zh-CN"/>
        </w:rPr>
        <w:t xml:space="preserve"> shall </w:t>
      </w:r>
      <w:r>
        <w:t>apply to </w:t>
      </w:r>
      <w:r>
        <w:rPr>
          <w:rFonts w:eastAsia="SimSun"/>
          <w:i/>
          <w:iCs/>
          <w:lang w:val="en-US" w:eastAsia="zh-CN"/>
        </w:rPr>
        <w:t xml:space="preserve">IAB-DU </w:t>
      </w:r>
      <w:r w:rsidRPr="00743313">
        <w:rPr>
          <w:rFonts w:eastAsia="SimSun"/>
          <w:lang w:val="en-US" w:eastAsia="zh-CN"/>
        </w:rPr>
        <w:t>and</w:t>
      </w:r>
      <w:r>
        <w:rPr>
          <w:rFonts w:eastAsia="SimSun"/>
          <w:i/>
          <w:iCs/>
          <w:lang w:val="en-US" w:eastAsia="zh-CN"/>
        </w:rPr>
        <w:t xml:space="preserve"> IAB-MT </w:t>
      </w:r>
      <w:r>
        <w:rPr>
          <w:i/>
          <w:iCs/>
        </w:rPr>
        <w:t>channel bandwidths</w:t>
      </w:r>
      <w:r>
        <w:t xml:space="preserve"> of the outermost carrier</w:t>
      </w:r>
      <w:r>
        <w:rPr>
          <w:lang w:val="en-US" w:eastAsia="zh-CN"/>
        </w:rPr>
        <w:t xml:space="preserve"> </w:t>
      </w:r>
      <w:r>
        <w:t>for the frequency ranges defined in table 6.6.</w:t>
      </w:r>
      <w:r>
        <w:rPr>
          <w:rFonts w:eastAsia="SimSun"/>
          <w:lang w:eastAsia="zh-CN"/>
        </w:rPr>
        <w:t>3</w:t>
      </w:r>
      <w:r>
        <w:t>.2-1</w:t>
      </w:r>
      <w:r>
        <w:rPr>
          <w:lang w:val="en-US" w:eastAsia="zh-CN"/>
        </w:rPr>
        <w:t>.</w:t>
      </w:r>
      <w:r>
        <w:t xml:space="preserve">For a RIB operating in </w:t>
      </w:r>
      <w:r>
        <w:rPr>
          <w:i/>
        </w:rPr>
        <w:t>non-contiguous spectrum</w:t>
      </w:r>
      <w:r>
        <w:t xml:space="preserve">, the ACLR requirement in clause 6.6.3.2 shall apply in </w:t>
      </w:r>
      <w:r>
        <w:rPr>
          <w:i/>
        </w:rPr>
        <w:t>sub-block gaps</w:t>
      </w:r>
      <w:r>
        <w:t xml:space="preserve"> for the frequency ranges defined in table 6.6.3.2-3, while the CACLR requirement in clause 6.6.3.2 shall apply in </w:t>
      </w:r>
      <w:r>
        <w:rPr>
          <w:i/>
        </w:rPr>
        <w:t>sub-block gaps</w:t>
      </w:r>
      <w:r>
        <w:t xml:space="preserve"> for the frequency ranges defined in table 6.6.3.2-4.</w:t>
      </w:r>
    </w:p>
    <w:p w14:paraId="227ABA14" w14:textId="77777777" w:rsidR="00CA0334" w:rsidRDefault="00CA0334" w:rsidP="00CA0334">
      <w:r>
        <w:t xml:space="preserve">For a </w:t>
      </w:r>
      <w:r>
        <w:rPr>
          <w:i/>
        </w:rPr>
        <w:t>multi-band RIB</w:t>
      </w:r>
      <w:r>
        <w:t xml:space="preserve">, the ACLR requirement in clause 6.6.3.2 shall apply in </w:t>
      </w:r>
      <w:r>
        <w:rPr>
          <w:i/>
        </w:rPr>
        <w:t>Inter RF Bandwidth gaps</w:t>
      </w:r>
      <w:r>
        <w:t xml:space="preserve"> for the frequency ranges defined in table 6.6.3.2-3, while the </w:t>
      </w:r>
      <w:r>
        <w:rPr>
          <w:lang w:val="en-US" w:eastAsia="zh-CN"/>
        </w:rPr>
        <w:t xml:space="preserve">CACLR </w:t>
      </w:r>
      <w:r>
        <w:t xml:space="preserve">requirement in clause 6.6.3.2 shall apply in </w:t>
      </w:r>
      <w:r>
        <w:rPr>
          <w:i/>
        </w:rPr>
        <w:t>Inter RF Bandwidth gaps</w:t>
      </w:r>
      <w:r>
        <w:t xml:space="preserve"> for the frequency ranges defined in table 6.6.3.2-4.</w:t>
      </w:r>
    </w:p>
    <w:p w14:paraId="594148A3" w14:textId="77777777" w:rsidR="00CA0334" w:rsidRDefault="00CA0334" w:rsidP="00CA0334">
      <w:pPr>
        <w:pStyle w:val="Heading4"/>
      </w:pPr>
      <w:bookmarkStart w:id="5332" w:name="_Toc45893656"/>
      <w:bookmarkStart w:id="5333" w:name="_Toc44712343"/>
      <w:bookmarkStart w:id="5334" w:name="_Toc37267740"/>
      <w:bookmarkStart w:id="5335" w:name="_Toc37260352"/>
      <w:bookmarkStart w:id="5336" w:name="_Toc36817430"/>
      <w:bookmarkStart w:id="5337" w:name="_Toc29811878"/>
      <w:bookmarkStart w:id="5338" w:name="_Toc21127669"/>
      <w:bookmarkStart w:id="5339" w:name="_Toc53185494"/>
      <w:bookmarkStart w:id="5340" w:name="_Toc53185870"/>
      <w:bookmarkStart w:id="5341" w:name="_Toc57820356"/>
      <w:bookmarkStart w:id="5342" w:name="_Toc57821283"/>
      <w:bookmarkStart w:id="5343" w:name="_Toc61183559"/>
      <w:bookmarkStart w:id="5344" w:name="_Toc61183953"/>
      <w:bookmarkStart w:id="5345" w:name="_Toc61184345"/>
      <w:bookmarkStart w:id="5346" w:name="_Toc61184737"/>
      <w:bookmarkStart w:id="5347" w:name="_Toc61185127"/>
      <w:bookmarkStart w:id="5348" w:name="_Toc66386471"/>
      <w:bookmarkStart w:id="5349" w:name="_Toc74583374"/>
      <w:bookmarkStart w:id="5350" w:name="_Toc76542187"/>
      <w:bookmarkStart w:id="5351" w:name="_Toc82450169"/>
      <w:bookmarkStart w:id="5352" w:name="_Toc82450817"/>
      <w:bookmarkStart w:id="5353" w:name="_Toc89949206"/>
      <w:bookmarkStart w:id="5354" w:name="_Toc98755595"/>
      <w:bookmarkStart w:id="5355" w:name="_Toc98763187"/>
      <w:bookmarkStart w:id="5356" w:name="_Toc106184116"/>
      <w:r>
        <w:t>9.7.3.3</w:t>
      </w:r>
      <w:r>
        <w:tab/>
        <w:t xml:space="preserve">Minimum requirement for </w:t>
      </w:r>
      <w:r>
        <w:rPr>
          <w:i/>
        </w:rPr>
        <w:t>IAB-DU type 2-O</w:t>
      </w:r>
      <w:bookmarkEnd w:id="5332"/>
      <w:bookmarkEnd w:id="5333"/>
      <w:bookmarkEnd w:id="5334"/>
      <w:bookmarkEnd w:id="5335"/>
      <w:bookmarkEnd w:id="5336"/>
      <w:bookmarkEnd w:id="5337"/>
      <w:bookmarkEnd w:id="5338"/>
      <w:r>
        <w:rPr>
          <w:i/>
        </w:rPr>
        <w:t xml:space="preserve"> </w:t>
      </w:r>
      <w:r w:rsidRPr="00743313">
        <w:rPr>
          <w:iCs/>
        </w:rPr>
        <w:t>and</w:t>
      </w:r>
      <w:r>
        <w:rPr>
          <w:i/>
        </w:rPr>
        <w:t xml:space="preserve"> Wide Area IAB-MT type 2-O</w:t>
      </w:r>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p>
    <w:p w14:paraId="388C77F9" w14:textId="77777777" w:rsidR="00CA0334" w:rsidRDefault="00CA0334" w:rsidP="00CA0334">
      <w:bookmarkStart w:id="5357" w:name="_Hlk515966075"/>
      <w:r>
        <w:t>The OTA ACLR limit is specified in table 9.7.3.3-1.</w:t>
      </w:r>
    </w:p>
    <w:p w14:paraId="7FE34E5D" w14:textId="77777777" w:rsidR="00CA0334" w:rsidRDefault="00CA0334" w:rsidP="00CA0334">
      <w:r>
        <w:t>The OTA ACLR absolute limit is specified in table 9.7.3.3-2.</w:t>
      </w:r>
    </w:p>
    <w:bookmarkEnd w:id="5357"/>
    <w:p w14:paraId="4E424DDB" w14:textId="77777777" w:rsidR="00CA0334" w:rsidRDefault="00CA0334" w:rsidP="00CA0334">
      <w:r>
        <w:t xml:space="preserve">The OTA ACLR (CACLR) absolute limit in table 9.7.3.3-2 </w:t>
      </w:r>
      <w:r>
        <w:rPr>
          <w:lang w:val="en-US" w:eastAsia="zh-CN"/>
        </w:rPr>
        <w:t xml:space="preserve">or </w:t>
      </w:r>
      <w:r>
        <w:t>9.7.3.3-</w:t>
      </w:r>
      <w:r>
        <w:rPr>
          <w:rFonts w:eastAsia="SimSun"/>
          <w:lang w:val="en-US" w:eastAsia="zh-CN"/>
        </w:rPr>
        <w:t>5</w:t>
      </w:r>
      <w:r>
        <w:t xml:space="preserve"> or the ACLR (CACLR) limit in table 9.7.3.3-1, 9.7.3.3-3 or 9.7.3.3-4, </w:t>
      </w:r>
      <w:bookmarkStart w:id="5358" w:name="_Hlk515966152"/>
      <w:r>
        <w:t>whichever is less stringent, shall apply.</w:t>
      </w:r>
    </w:p>
    <w:bookmarkEnd w:id="5358"/>
    <w:p w14:paraId="60B19F00" w14:textId="77777777" w:rsidR="00CA0334" w:rsidRDefault="00CA0334" w:rsidP="00CA0334">
      <w:r>
        <w:rPr>
          <w:rFonts w:eastAsia="SimSun"/>
        </w:rPr>
        <w:t xml:space="preserve">For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w:t>
      </w:r>
      <w:r>
        <w:rPr>
          <w:rFonts w:cs="v5.0.0"/>
          <w:lang w:val="en-US" w:eastAsia="zh-CN"/>
        </w:rPr>
        <w:t xml:space="preserve">in </w:t>
      </w:r>
      <w:r>
        <w:rPr>
          <w:rFonts w:eastAsia="SimSun"/>
        </w:rPr>
        <w:t>multi-carrier or contiguous CA,</w:t>
      </w:r>
      <w:r>
        <w:rPr>
          <w:rFonts w:eastAsia="SimSun"/>
          <w:lang w:val="en-US" w:eastAsia="zh-CN"/>
        </w:rPr>
        <w:t xml:space="preserve"> </w:t>
      </w:r>
      <w:r>
        <w:rPr>
          <w:rFonts w:eastAsia="SimSun"/>
        </w:rPr>
        <w:t xml:space="preserve">the </w:t>
      </w:r>
      <w:r>
        <w:rPr>
          <w:rFonts w:eastAsia="SimSun"/>
          <w:lang w:val="en-US" w:eastAsia="zh-CN"/>
        </w:rPr>
        <w:t xml:space="preserve">OTA ACLR </w:t>
      </w:r>
      <w:r>
        <w:rPr>
          <w:rFonts w:cs="v5.0.0"/>
        </w:rPr>
        <w:t>requirements</w:t>
      </w:r>
      <w:r>
        <w:t xml:space="preserve"> in table 9.7.3.3-</w:t>
      </w:r>
      <w:r>
        <w:rPr>
          <w:lang w:val="en-US" w:eastAsia="zh-CN"/>
        </w:rPr>
        <w:t xml:space="preserve">1 shall </w:t>
      </w:r>
      <w:r>
        <w:t>apply to </w:t>
      </w:r>
      <w:r>
        <w:rPr>
          <w:rFonts w:eastAsia="SimSun"/>
          <w:i/>
          <w:iCs/>
          <w:lang w:val="en-US" w:eastAsia="zh-CN"/>
        </w:rPr>
        <w:t xml:space="preserve">IAB-DU </w:t>
      </w:r>
      <w:r w:rsidRPr="00743313">
        <w:rPr>
          <w:rFonts w:eastAsia="SimSun"/>
          <w:lang w:val="en-US" w:eastAsia="zh-CN"/>
        </w:rPr>
        <w:t>and</w:t>
      </w:r>
      <w:r>
        <w:rPr>
          <w:rFonts w:eastAsia="SimSun"/>
          <w:i/>
          <w:iCs/>
          <w:lang w:val="en-US" w:eastAsia="zh-CN"/>
        </w:rPr>
        <w:t xml:space="preserve"> IAB-MT </w:t>
      </w:r>
      <w:r>
        <w:rPr>
          <w:i/>
          <w:iCs/>
        </w:rPr>
        <w:t>channel bandwidths</w:t>
      </w:r>
      <w:r>
        <w:t xml:space="preserve"> of the outermost carrier</w:t>
      </w:r>
      <w:r>
        <w:rPr>
          <w:lang w:val="en-US" w:eastAsia="zh-CN"/>
        </w:rPr>
        <w:t xml:space="preserve"> </w:t>
      </w:r>
      <w:r>
        <w:t xml:space="preserve">for the frequency ranges defined in </w:t>
      </w:r>
      <w:r>
        <w:rPr>
          <w:lang w:val="en-US" w:eastAsia="zh-CN"/>
        </w:rPr>
        <w:t xml:space="preserve">the </w:t>
      </w:r>
      <w:r>
        <w:t>table</w:t>
      </w:r>
      <w:r>
        <w:rPr>
          <w:lang w:val="en-US" w:eastAsia="zh-CN"/>
        </w:rPr>
        <w:t>.</w:t>
      </w:r>
      <w:r>
        <w:t xml:space="preserve">For a RIB operating in </w:t>
      </w:r>
      <w:r>
        <w:rPr>
          <w:i/>
        </w:rPr>
        <w:t>non-contiguous spectrum</w:t>
      </w:r>
      <w:r>
        <w:t xml:space="preserve">, the OTA ACLR requirement in table 9.7.3.3-3 shall apply in </w:t>
      </w:r>
      <w:r>
        <w:rPr>
          <w:i/>
        </w:rPr>
        <w:t>sub-block gaps</w:t>
      </w:r>
      <w:r>
        <w:t xml:space="preserve"> for the frequency ranges defined in the table, while the OTA CACLR requirement in table 9.7.3.3-4 shall apply in </w:t>
      </w:r>
      <w:r>
        <w:rPr>
          <w:i/>
        </w:rPr>
        <w:t>sub-block gaps</w:t>
      </w:r>
      <w:r>
        <w:t xml:space="preserve"> for the frequency ranges defined in the table.</w:t>
      </w:r>
    </w:p>
    <w:p w14:paraId="192DB80A" w14:textId="77777777" w:rsidR="00CA0334" w:rsidRDefault="00CA0334" w:rsidP="00CA0334">
      <w:r>
        <w:t xml:space="preserve">The CACLR in a </w:t>
      </w:r>
      <w:r>
        <w:rPr>
          <w:i/>
        </w:rPr>
        <w:t>sub-block gap</w:t>
      </w:r>
      <w:r>
        <w:t xml:space="preserve"> is the ratio of:</w:t>
      </w:r>
    </w:p>
    <w:p w14:paraId="09FA26D6" w14:textId="77777777" w:rsidR="00CA0334" w:rsidRDefault="00CA0334" w:rsidP="00CA0334">
      <w:pPr>
        <w:pStyle w:val="B10"/>
      </w:pPr>
      <w:r>
        <w:t>a)</w:t>
      </w:r>
      <w:r>
        <w:tab/>
        <w:t xml:space="preserve">the sum of the filtered mean power centred on the assigned channel frequencies for the two carriers adjacent to each side of the </w:t>
      </w:r>
      <w:r>
        <w:rPr>
          <w:i/>
        </w:rPr>
        <w:t>sub-block gap</w:t>
      </w:r>
      <w:r>
        <w:t>, and</w:t>
      </w:r>
    </w:p>
    <w:p w14:paraId="5CB092FE" w14:textId="77777777" w:rsidR="00CA0334" w:rsidRDefault="00CA0334" w:rsidP="00CA0334">
      <w:pPr>
        <w:pStyle w:val="B10"/>
      </w:pPr>
      <w:r>
        <w:t>b)</w:t>
      </w:r>
      <w:r>
        <w:tab/>
        <w:t xml:space="preserve">the filtered mean power centred on a frequency channel adjacent to one of the respective </w:t>
      </w:r>
      <w:r>
        <w:rPr>
          <w:i/>
        </w:rPr>
        <w:t>sub-block</w:t>
      </w:r>
      <w:r>
        <w:t xml:space="preserve"> edges.</w:t>
      </w:r>
    </w:p>
    <w:p w14:paraId="7D03FD66" w14:textId="77777777" w:rsidR="00CA0334" w:rsidRDefault="00CA0334" w:rsidP="00CA0334">
      <w:r>
        <w:t xml:space="preserve">The assumed filter for the adjacent channel frequency is defined in table </w:t>
      </w:r>
      <w:r>
        <w:rPr>
          <w:rFonts w:cs="v5.0.0"/>
        </w:rPr>
        <w:t xml:space="preserve">9.7.3.3-4 </w:t>
      </w:r>
      <w:r>
        <w:t xml:space="preserve">and the filters on the assigned channels are defined in table </w:t>
      </w:r>
      <w:r>
        <w:rPr>
          <w:rFonts w:cs="v5.0.0"/>
        </w:rPr>
        <w:t>9.7.3.3</w:t>
      </w:r>
      <w:r>
        <w:t>-6.</w:t>
      </w:r>
    </w:p>
    <w:p w14:paraId="1D1D3E2C" w14:textId="77777777" w:rsidR="00CA0334" w:rsidRDefault="00CA0334" w:rsidP="00CA0334">
      <w:pPr>
        <w:rPr>
          <w:rFonts w:eastAsia="SimSun"/>
        </w:rPr>
      </w:pPr>
      <w:r>
        <w:rPr>
          <w:rFonts w:cs="v5.0.0"/>
        </w:rPr>
        <w:t xml:space="preserve">For operation in </w:t>
      </w:r>
      <w:r>
        <w:rPr>
          <w:rFonts w:cs="v5.0.0"/>
          <w:i/>
        </w:rPr>
        <w:t>non-contiguous spectrum</w:t>
      </w:r>
      <w:r>
        <w:rPr>
          <w:rFonts w:cs="v5.0.0"/>
        </w:rPr>
        <w:t xml:space="preserve">, the CACLR for NR carriers located on either side of the </w:t>
      </w:r>
      <w:r>
        <w:rPr>
          <w:rFonts w:cs="v5.0.0"/>
          <w:i/>
        </w:rPr>
        <w:t>sub-block gap</w:t>
      </w:r>
      <w:r>
        <w:rPr>
          <w:rFonts w:cs="v5.0.0"/>
        </w:rPr>
        <w:t xml:space="preserve"> shall be higher than the value specified in table 9.7.3.3-4.</w:t>
      </w:r>
    </w:p>
    <w:p w14:paraId="0FE6EE9F" w14:textId="77777777" w:rsidR="006C53A6" w:rsidRDefault="006C53A6" w:rsidP="006C53A6">
      <w:pPr>
        <w:pStyle w:val="TH"/>
      </w:pPr>
      <w:r>
        <w:t xml:space="preserve">Table 9.7.3.3-1: </w:t>
      </w:r>
      <w:r>
        <w:rPr>
          <w:i/>
        </w:rPr>
        <w:t>IAB-DU type 2-O</w:t>
      </w:r>
      <w:r>
        <w:t xml:space="preserve"> and Wide area </w:t>
      </w:r>
      <w:r w:rsidRPr="0063534F">
        <w:rPr>
          <w:i/>
          <w:iCs/>
        </w:rPr>
        <w:t>IAB-MT type 2-O</w:t>
      </w:r>
      <w:r>
        <w:t xml:space="preserve"> ACLR limit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7"/>
        <w:gridCol w:w="2062"/>
        <w:gridCol w:w="1779"/>
        <w:gridCol w:w="1600"/>
        <w:gridCol w:w="2723"/>
      </w:tblGrid>
      <w:tr w:rsidR="00CA0334" w14:paraId="4C7E9A65" w14:textId="77777777" w:rsidTr="00BD1F8C">
        <w:trPr>
          <w:trHeight w:val="1490"/>
        </w:trPr>
        <w:tc>
          <w:tcPr>
            <w:tcW w:w="1373" w:type="dxa"/>
            <w:tcBorders>
              <w:top w:val="single" w:sz="4" w:space="0" w:color="auto"/>
              <w:left w:val="single" w:sz="4" w:space="0" w:color="auto"/>
              <w:bottom w:val="single" w:sz="4" w:space="0" w:color="auto"/>
              <w:right w:val="single" w:sz="4" w:space="0" w:color="auto"/>
            </w:tcBorders>
            <w:hideMark/>
          </w:tcPr>
          <w:p w14:paraId="06DB410E" w14:textId="77777777" w:rsidR="00CA0334" w:rsidRDefault="00CA0334" w:rsidP="00BD1F8C">
            <w:pPr>
              <w:pStyle w:val="TAH"/>
            </w:pPr>
            <w:r>
              <w:rPr>
                <w:i/>
              </w:rPr>
              <w:t xml:space="preserve">IAB-DU </w:t>
            </w:r>
            <w:r w:rsidRPr="00743313">
              <w:rPr>
                <w:iCs/>
              </w:rPr>
              <w:t>and</w:t>
            </w:r>
            <w:r>
              <w:rPr>
                <w:i/>
              </w:rPr>
              <w:t xml:space="preserve"> IAB-MT channel bandwidth</w:t>
            </w:r>
            <w:r>
              <w:t xml:space="preserve"> of </w:t>
            </w:r>
            <w:r>
              <w:rPr>
                <w:i/>
              </w:rPr>
              <w:t>lowest/highest carrier</w:t>
            </w:r>
            <w:r>
              <w:t xml:space="preserve"> transmitted</w:t>
            </w:r>
          </w:p>
          <w:p w14:paraId="245B6AEA" w14:textId="77777777" w:rsidR="00CA0334" w:rsidRDefault="00CA0334" w:rsidP="00BD1F8C">
            <w:pPr>
              <w:pStyle w:val="TAH"/>
            </w:pPr>
            <w:r>
              <w:rPr>
                <w:rFonts w:cs="Arial"/>
              </w:rPr>
              <w:t>BW</w:t>
            </w:r>
            <w:r>
              <w:rPr>
                <w:rFonts w:cs="Arial"/>
                <w:vertAlign w:val="subscript"/>
              </w:rPr>
              <w:t>Channel</w:t>
            </w:r>
            <w:r>
              <w:rPr>
                <w:rFonts w:cs="v5.0.0"/>
              </w:rPr>
              <w:t xml:space="preserve"> </w:t>
            </w:r>
            <w:r>
              <w:t>(MHz)</w:t>
            </w:r>
          </w:p>
        </w:tc>
        <w:tc>
          <w:tcPr>
            <w:tcW w:w="2137" w:type="dxa"/>
            <w:tcBorders>
              <w:top w:val="single" w:sz="4" w:space="0" w:color="auto"/>
              <w:left w:val="single" w:sz="4" w:space="0" w:color="auto"/>
              <w:bottom w:val="single" w:sz="4" w:space="0" w:color="auto"/>
              <w:right w:val="single" w:sz="4" w:space="0" w:color="auto"/>
            </w:tcBorders>
            <w:hideMark/>
          </w:tcPr>
          <w:p w14:paraId="622148A8" w14:textId="77777777" w:rsidR="00CA0334" w:rsidRDefault="00CA0334" w:rsidP="00BD1F8C">
            <w:pPr>
              <w:pStyle w:val="TAH"/>
            </w:pPr>
            <w:r>
              <w:rPr>
                <w:i/>
              </w:rPr>
              <w:t xml:space="preserve">IAB-DU </w:t>
            </w:r>
            <w:r w:rsidRPr="00C41B39">
              <w:rPr>
                <w:iCs/>
              </w:rPr>
              <w:t>and</w:t>
            </w:r>
            <w:r>
              <w:rPr>
                <w:i/>
              </w:rPr>
              <w:t xml:space="preserve"> IAB-MT </w:t>
            </w:r>
            <w:r>
              <w:t xml:space="preserve">adjacent channel centre frequency offset below the </w:t>
            </w:r>
            <w:r>
              <w:rPr>
                <w:i/>
              </w:rPr>
              <w:t>lowest</w:t>
            </w:r>
            <w:r>
              <w:t xml:space="preserve"> or above the </w:t>
            </w:r>
            <w:r>
              <w:rPr>
                <w:i/>
              </w:rPr>
              <w:t>highest carrier</w:t>
            </w:r>
            <w:r>
              <w:t xml:space="preserve"> centre frequency transmitted</w:t>
            </w:r>
          </w:p>
        </w:tc>
        <w:tc>
          <w:tcPr>
            <w:tcW w:w="1843" w:type="dxa"/>
            <w:tcBorders>
              <w:top w:val="single" w:sz="4" w:space="0" w:color="auto"/>
              <w:left w:val="single" w:sz="4" w:space="0" w:color="auto"/>
              <w:bottom w:val="single" w:sz="4" w:space="0" w:color="auto"/>
              <w:right w:val="single" w:sz="4" w:space="0" w:color="auto"/>
            </w:tcBorders>
            <w:hideMark/>
          </w:tcPr>
          <w:p w14:paraId="31ED30F8" w14:textId="77777777" w:rsidR="00CA0334" w:rsidRDefault="00CA0334" w:rsidP="00BD1F8C">
            <w:pPr>
              <w:pStyle w:val="TAH"/>
            </w:pPr>
            <w:r>
              <w:t>Assumed adjacent channel carrier</w:t>
            </w:r>
          </w:p>
        </w:tc>
        <w:tc>
          <w:tcPr>
            <w:tcW w:w="1610" w:type="dxa"/>
            <w:tcBorders>
              <w:top w:val="single" w:sz="4" w:space="0" w:color="auto"/>
              <w:left w:val="single" w:sz="4" w:space="0" w:color="auto"/>
              <w:bottom w:val="single" w:sz="4" w:space="0" w:color="auto"/>
              <w:right w:val="single" w:sz="4" w:space="0" w:color="auto"/>
            </w:tcBorders>
            <w:hideMark/>
          </w:tcPr>
          <w:p w14:paraId="737C6F0F" w14:textId="77777777" w:rsidR="00CA0334" w:rsidRDefault="00CA0334" w:rsidP="00BD1F8C">
            <w:pPr>
              <w:pStyle w:val="TAH"/>
            </w:pPr>
            <w:r>
              <w:t>Filter on the adjacent channel frequency and corresponding filter bandwidth</w:t>
            </w:r>
          </w:p>
        </w:tc>
        <w:tc>
          <w:tcPr>
            <w:tcW w:w="2894" w:type="dxa"/>
            <w:tcBorders>
              <w:top w:val="single" w:sz="4" w:space="0" w:color="auto"/>
              <w:left w:val="single" w:sz="4" w:space="0" w:color="auto"/>
              <w:bottom w:val="single" w:sz="4" w:space="0" w:color="auto"/>
              <w:right w:val="single" w:sz="4" w:space="0" w:color="auto"/>
            </w:tcBorders>
          </w:tcPr>
          <w:p w14:paraId="07BD91E8" w14:textId="77777777" w:rsidR="00CA0334" w:rsidRDefault="00CA0334" w:rsidP="00BD1F8C">
            <w:pPr>
              <w:pStyle w:val="TAH"/>
            </w:pPr>
            <w:r>
              <w:t>ACLR limit</w:t>
            </w:r>
          </w:p>
          <w:p w14:paraId="1BB6BD08" w14:textId="747C0E93" w:rsidR="00CA0334" w:rsidRDefault="00CA0334" w:rsidP="006C53A6">
            <w:pPr>
              <w:pStyle w:val="TAH"/>
            </w:pPr>
            <w:r>
              <w:t>(dB)</w:t>
            </w:r>
          </w:p>
        </w:tc>
      </w:tr>
      <w:tr w:rsidR="00CA0334" w14:paraId="2B917A25" w14:textId="77777777" w:rsidTr="006C53A6">
        <w:trPr>
          <w:trHeight w:val="201"/>
        </w:trPr>
        <w:tc>
          <w:tcPr>
            <w:tcW w:w="1373" w:type="dxa"/>
            <w:tcBorders>
              <w:top w:val="single" w:sz="4" w:space="0" w:color="auto"/>
              <w:left w:val="single" w:sz="4" w:space="0" w:color="auto"/>
              <w:bottom w:val="single" w:sz="4" w:space="0" w:color="auto"/>
              <w:right w:val="single" w:sz="4" w:space="0" w:color="auto"/>
            </w:tcBorders>
            <w:hideMark/>
          </w:tcPr>
          <w:p w14:paraId="2FF60144" w14:textId="77777777" w:rsidR="00CA0334" w:rsidRDefault="00CA0334" w:rsidP="006C53A6">
            <w:pPr>
              <w:pStyle w:val="TAC"/>
            </w:pPr>
            <w:r>
              <w:t>50, 100, 200, 400</w:t>
            </w:r>
          </w:p>
        </w:tc>
        <w:tc>
          <w:tcPr>
            <w:tcW w:w="2137" w:type="dxa"/>
            <w:tcBorders>
              <w:top w:val="single" w:sz="4" w:space="0" w:color="auto"/>
              <w:left w:val="single" w:sz="4" w:space="0" w:color="auto"/>
              <w:bottom w:val="single" w:sz="4" w:space="0" w:color="auto"/>
              <w:right w:val="single" w:sz="4" w:space="0" w:color="auto"/>
            </w:tcBorders>
            <w:hideMark/>
          </w:tcPr>
          <w:p w14:paraId="0B9B48C0" w14:textId="77777777" w:rsidR="00CA0334" w:rsidRDefault="00CA0334" w:rsidP="006C53A6">
            <w:pPr>
              <w:pStyle w:val="TAC"/>
            </w:pPr>
            <w:r>
              <w:t>BW</w:t>
            </w:r>
            <w:r>
              <w:rPr>
                <w:vertAlign w:val="subscript"/>
              </w:rPr>
              <w:t>Channel</w:t>
            </w:r>
          </w:p>
        </w:tc>
        <w:tc>
          <w:tcPr>
            <w:tcW w:w="1843" w:type="dxa"/>
            <w:tcBorders>
              <w:top w:val="single" w:sz="4" w:space="0" w:color="auto"/>
              <w:left w:val="single" w:sz="4" w:space="0" w:color="auto"/>
              <w:bottom w:val="single" w:sz="4" w:space="0" w:color="auto"/>
              <w:right w:val="single" w:sz="4" w:space="0" w:color="auto"/>
            </w:tcBorders>
            <w:hideMark/>
          </w:tcPr>
          <w:p w14:paraId="5F42A652" w14:textId="77777777" w:rsidR="00CA0334" w:rsidRDefault="00CA0334" w:rsidP="006C53A6">
            <w:pPr>
              <w:pStyle w:val="TAC"/>
            </w:pPr>
            <w:r>
              <w:t>NR of same BW (Note 2)</w:t>
            </w:r>
          </w:p>
        </w:tc>
        <w:tc>
          <w:tcPr>
            <w:tcW w:w="1610" w:type="dxa"/>
            <w:tcBorders>
              <w:top w:val="single" w:sz="4" w:space="0" w:color="auto"/>
              <w:left w:val="single" w:sz="4" w:space="0" w:color="auto"/>
              <w:bottom w:val="single" w:sz="4" w:space="0" w:color="auto"/>
              <w:right w:val="single" w:sz="4" w:space="0" w:color="auto"/>
            </w:tcBorders>
            <w:hideMark/>
          </w:tcPr>
          <w:p w14:paraId="1AF376F3" w14:textId="77777777" w:rsidR="00CA0334" w:rsidRDefault="00CA0334" w:rsidP="006C53A6">
            <w:pPr>
              <w:pStyle w:val="TAC"/>
            </w:pPr>
            <w:r>
              <w:rPr>
                <w:lang w:eastAsia="zh-CN"/>
              </w:rPr>
              <w:t>Square (</w:t>
            </w:r>
            <w:r>
              <w:rPr>
                <w:rFonts w:cs="Arial"/>
                <w:lang w:eastAsia="zh-CN"/>
              </w:rPr>
              <w:t>BW</w:t>
            </w:r>
            <w:r>
              <w:rPr>
                <w:rFonts w:cs="Arial"/>
                <w:vertAlign w:val="subscript"/>
                <w:lang w:eastAsia="zh-CN"/>
              </w:rPr>
              <w:t>Config</w:t>
            </w:r>
            <w:r>
              <w:rPr>
                <w:lang w:eastAsia="zh-CN"/>
              </w:rPr>
              <w:t>)</w:t>
            </w:r>
          </w:p>
        </w:tc>
        <w:tc>
          <w:tcPr>
            <w:tcW w:w="2894" w:type="dxa"/>
            <w:tcBorders>
              <w:top w:val="single" w:sz="4" w:space="0" w:color="auto"/>
              <w:left w:val="single" w:sz="4" w:space="0" w:color="auto"/>
              <w:bottom w:val="single" w:sz="4" w:space="0" w:color="auto"/>
              <w:right w:val="single" w:sz="4" w:space="0" w:color="auto"/>
            </w:tcBorders>
            <w:hideMark/>
          </w:tcPr>
          <w:p w14:paraId="092715FB" w14:textId="77777777" w:rsidR="00CA0334" w:rsidRDefault="00CA0334" w:rsidP="006C53A6">
            <w:pPr>
              <w:pStyle w:val="TAC"/>
            </w:pPr>
            <w:r>
              <w:t>28 (Note 3)</w:t>
            </w:r>
          </w:p>
          <w:p w14:paraId="3B82FF86" w14:textId="77777777" w:rsidR="00CA0334" w:rsidRDefault="00CA0334" w:rsidP="006C53A6">
            <w:pPr>
              <w:pStyle w:val="TAC"/>
            </w:pPr>
            <w:r>
              <w:t>26 (Note 4)</w:t>
            </w:r>
          </w:p>
        </w:tc>
      </w:tr>
      <w:tr w:rsidR="00CA0334" w:rsidRPr="00AB3358" w14:paraId="0AC1CE54" w14:textId="77777777" w:rsidTr="00BD1F8C">
        <w:trPr>
          <w:trHeight w:val="201"/>
        </w:trPr>
        <w:tc>
          <w:tcPr>
            <w:tcW w:w="9857" w:type="dxa"/>
            <w:gridSpan w:val="5"/>
            <w:tcBorders>
              <w:top w:val="single" w:sz="4" w:space="0" w:color="auto"/>
              <w:left w:val="single" w:sz="4" w:space="0" w:color="auto"/>
              <w:bottom w:val="single" w:sz="4" w:space="0" w:color="auto"/>
              <w:right w:val="single" w:sz="4" w:space="0" w:color="auto"/>
            </w:tcBorders>
            <w:hideMark/>
          </w:tcPr>
          <w:p w14:paraId="07079557" w14:textId="77777777" w:rsidR="00CA0334" w:rsidRDefault="00CA0334" w:rsidP="00BD1F8C">
            <w:pPr>
              <w:pStyle w:val="TAN"/>
            </w:pPr>
            <w:r>
              <w:t>NOTE 1:</w:t>
            </w:r>
            <w:r>
              <w:tab/>
              <w:t>BW</w:t>
            </w:r>
            <w:r>
              <w:rPr>
                <w:vertAlign w:val="subscript"/>
              </w:rPr>
              <w:t>Channel</w:t>
            </w:r>
            <w:r>
              <w:t xml:space="preserve"> and </w:t>
            </w:r>
            <w:r>
              <w:rPr>
                <w:rFonts w:cs="Arial"/>
                <w:lang w:eastAsia="zh-CN"/>
              </w:rPr>
              <w:t>BW</w:t>
            </w:r>
            <w:r>
              <w:rPr>
                <w:rFonts w:cs="Arial"/>
                <w:vertAlign w:val="subscript"/>
                <w:lang w:eastAsia="zh-CN"/>
              </w:rPr>
              <w:t>Config</w:t>
            </w:r>
            <w:r>
              <w:t xml:space="preserve"> are the </w:t>
            </w:r>
            <w:r>
              <w:rPr>
                <w:i/>
              </w:rPr>
              <w:t xml:space="preserve">IAB-DU </w:t>
            </w:r>
            <w:r w:rsidRPr="00743313">
              <w:rPr>
                <w:iCs/>
              </w:rPr>
              <w:t>and</w:t>
            </w:r>
            <w:r>
              <w:rPr>
                <w:i/>
              </w:rPr>
              <w:t xml:space="preserve"> IAB-MT channel bandwidth</w:t>
            </w:r>
            <w:r>
              <w:t xml:space="preserve"> and </w:t>
            </w:r>
            <w:r>
              <w:rPr>
                <w:i/>
              </w:rPr>
              <w:t>transmission bandwidth configuration</w:t>
            </w:r>
            <w:r>
              <w:t xml:space="preserve"> of the </w:t>
            </w:r>
            <w:r>
              <w:rPr>
                <w:i/>
              </w:rPr>
              <w:t>lowest/highest carrier</w:t>
            </w:r>
            <w:r>
              <w:t xml:space="preserve"> transmitted on the assigned channel frequency.</w:t>
            </w:r>
          </w:p>
          <w:p w14:paraId="48F8F16A" w14:textId="77777777" w:rsidR="00CA0334" w:rsidRDefault="00CA0334" w:rsidP="00BD1F8C">
            <w:pPr>
              <w:pStyle w:val="TAN"/>
              <w:rPr>
                <w:rFonts w:cs="v5.0.0"/>
              </w:rPr>
            </w:pPr>
            <w:r>
              <w:t>NOTE 2:</w:t>
            </w:r>
            <w:r>
              <w:tab/>
              <w:t xml:space="preserve">With SCS that provides largest </w:t>
            </w:r>
            <w:r>
              <w:rPr>
                <w:rFonts w:cs="Arial"/>
                <w:i/>
              </w:rPr>
              <w:t>transmission bandwidth configuration</w:t>
            </w:r>
            <w:r>
              <w:rPr>
                <w:rFonts w:cs="Arial"/>
              </w:rPr>
              <w:t xml:space="preserve"> (BW</w:t>
            </w:r>
            <w:r>
              <w:rPr>
                <w:rFonts w:cs="Arial"/>
                <w:vertAlign w:val="subscript"/>
              </w:rPr>
              <w:t>Config</w:t>
            </w:r>
            <w:r>
              <w:rPr>
                <w:rFonts w:cs="v5.0.0"/>
              </w:rPr>
              <w:t>).</w:t>
            </w:r>
          </w:p>
          <w:p w14:paraId="11523BF0" w14:textId="77777777" w:rsidR="00CA0334" w:rsidRDefault="00CA0334" w:rsidP="00BD1F8C">
            <w:pPr>
              <w:pStyle w:val="TAN"/>
            </w:pPr>
            <w:r>
              <w:t>NOTE 3:</w:t>
            </w:r>
            <w:r>
              <w:tab/>
              <w:t>Applicable to bands defined within the frequency spectrum range of 24.25 – 33.4 GHz</w:t>
            </w:r>
          </w:p>
          <w:p w14:paraId="1AD22428" w14:textId="77777777" w:rsidR="00CA0334" w:rsidRDefault="00CA0334" w:rsidP="00BD1F8C">
            <w:pPr>
              <w:pStyle w:val="TAN"/>
            </w:pPr>
            <w:r>
              <w:t>NOTE 4:</w:t>
            </w:r>
            <w:r>
              <w:tab/>
              <w:t>Applicable to bands defined within the frequency spectrum range of 37 – 52.6 GHz</w:t>
            </w:r>
          </w:p>
        </w:tc>
      </w:tr>
    </w:tbl>
    <w:p w14:paraId="48151E0B" w14:textId="77777777" w:rsidR="00CA0334" w:rsidRDefault="00CA0334" w:rsidP="00CA0334"/>
    <w:p w14:paraId="05312E06" w14:textId="77777777" w:rsidR="006C53A6" w:rsidRDefault="006C53A6" w:rsidP="006C53A6">
      <w:pPr>
        <w:pStyle w:val="TH"/>
      </w:pPr>
      <w:r>
        <w:lastRenderedPageBreak/>
        <w:t xml:space="preserve">Table 9.7.3.3-2: </w:t>
      </w:r>
      <w:r>
        <w:rPr>
          <w:i/>
        </w:rPr>
        <w:t>IAB-DU type 2-O</w:t>
      </w:r>
      <w:r>
        <w:t xml:space="preserve"> and Wide area I</w:t>
      </w:r>
      <w:r w:rsidRPr="0063534F">
        <w:rPr>
          <w:i/>
          <w:iCs/>
        </w:rPr>
        <w:t>AB-MT type 2-O</w:t>
      </w:r>
      <w:r>
        <w:t xml:space="preserve"> ACLR absolute limit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693"/>
      </w:tblGrid>
      <w:tr w:rsidR="00CA0334" w14:paraId="1BDF9F58"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28647026" w14:textId="77777777" w:rsidR="00CA0334" w:rsidRDefault="00CA0334" w:rsidP="00BD1F8C">
            <w:pPr>
              <w:pStyle w:val="TAH"/>
            </w:pPr>
            <w:r>
              <w:t>IAB-DU and IAB-MT class</w:t>
            </w:r>
          </w:p>
        </w:tc>
        <w:tc>
          <w:tcPr>
            <w:tcW w:w="2693" w:type="dxa"/>
            <w:tcBorders>
              <w:top w:val="single" w:sz="4" w:space="0" w:color="auto"/>
              <w:left w:val="single" w:sz="4" w:space="0" w:color="auto"/>
              <w:bottom w:val="single" w:sz="4" w:space="0" w:color="auto"/>
              <w:right w:val="single" w:sz="4" w:space="0" w:color="auto"/>
            </w:tcBorders>
            <w:hideMark/>
          </w:tcPr>
          <w:p w14:paraId="302F265E" w14:textId="77777777" w:rsidR="00CA0334" w:rsidRDefault="00CA0334" w:rsidP="00BD1F8C">
            <w:pPr>
              <w:pStyle w:val="TAH"/>
            </w:pPr>
            <w:r>
              <w:t>ACLR absolute limit</w:t>
            </w:r>
          </w:p>
        </w:tc>
      </w:tr>
      <w:tr w:rsidR="00CA0334" w14:paraId="5C94769C"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6CF0B979" w14:textId="77777777" w:rsidR="00CA0334" w:rsidRDefault="00CA0334" w:rsidP="00BD1F8C">
            <w:pPr>
              <w:pStyle w:val="TAC"/>
            </w:pPr>
            <w:r>
              <w:t>Wide area IAB-DU and Wide area IAB-MT</w:t>
            </w:r>
          </w:p>
        </w:tc>
        <w:tc>
          <w:tcPr>
            <w:tcW w:w="2693" w:type="dxa"/>
            <w:tcBorders>
              <w:top w:val="single" w:sz="4" w:space="0" w:color="auto"/>
              <w:left w:val="single" w:sz="4" w:space="0" w:color="auto"/>
              <w:bottom w:val="single" w:sz="4" w:space="0" w:color="auto"/>
              <w:right w:val="single" w:sz="4" w:space="0" w:color="auto"/>
            </w:tcBorders>
            <w:hideMark/>
          </w:tcPr>
          <w:p w14:paraId="6A08543C" w14:textId="77777777" w:rsidR="00CA0334" w:rsidRDefault="00CA0334" w:rsidP="00BD1F8C">
            <w:pPr>
              <w:pStyle w:val="TAC"/>
            </w:pPr>
            <w:r>
              <w:t>-13 dBm/MHz</w:t>
            </w:r>
          </w:p>
        </w:tc>
      </w:tr>
      <w:tr w:rsidR="00CA0334" w14:paraId="5B5426C7"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46971F54" w14:textId="77777777" w:rsidR="00CA0334" w:rsidRDefault="00CA0334" w:rsidP="00BD1F8C">
            <w:pPr>
              <w:pStyle w:val="TAC"/>
            </w:pPr>
            <w:r>
              <w:t>Medium range IAB-DU</w:t>
            </w:r>
          </w:p>
        </w:tc>
        <w:tc>
          <w:tcPr>
            <w:tcW w:w="2693" w:type="dxa"/>
            <w:tcBorders>
              <w:top w:val="single" w:sz="4" w:space="0" w:color="auto"/>
              <w:left w:val="single" w:sz="4" w:space="0" w:color="auto"/>
              <w:bottom w:val="single" w:sz="4" w:space="0" w:color="auto"/>
              <w:right w:val="single" w:sz="4" w:space="0" w:color="auto"/>
            </w:tcBorders>
            <w:hideMark/>
          </w:tcPr>
          <w:p w14:paraId="2E99BF7F" w14:textId="77777777" w:rsidR="00CA0334" w:rsidRDefault="00CA0334" w:rsidP="00BD1F8C">
            <w:pPr>
              <w:pStyle w:val="TAC"/>
            </w:pPr>
            <w:r>
              <w:t>-20 dBm/MHz</w:t>
            </w:r>
          </w:p>
        </w:tc>
      </w:tr>
      <w:tr w:rsidR="00CA0334" w14:paraId="55A1A2C4"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4660909C" w14:textId="77777777" w:rsidR="00CA0334" w:rsidRDefault="00CA0334" w:rsidP="00BD1F8C">
            <w:pPr>
              <w:pStyle w:val="TAC"/>
            </w:pPr>
            <w:r>
              <w:t>Local area IAB-DU</w:t>
            </w:r>
          </w:p>
        </w:tc>
        <w:tc>
          <w:tcPr>
            <w:tcW w:w="2693" w:type="dxa"/>
            <w:tcBorders>
              <w:top w:val="single" w:sz="4" w:space="0" w:color="auto"/>
              <w:left w:val="single" w:sz="4" w:space="0" w:color="auto"/>
              <w:bottom w:val="single" w:sz="4" w:space="0" w:color="auto"/>
              <w:right w:val="single" w:sz="4" w:space="0" w:color="auto"/>
            </w:tcBorders>
            <w:hideMark/>
          </w:tcPr>
          <w:p w14:paraId="0198953B" w14:textId="77777777" w:rsidR="00CA0334" w:rsidRDefault="00CA0334" w:rsidP="00BD1F8C">
            <w:pPr>
              <w:pStyle w:val="TAC"/>
            </w:pPr>
            <w:r>
              <w:t>-20 dBm/MHz</w:t>
            </w:r>
          </w:p>
        </w:tc>
      </w:tr>
    </w:tbl>
    <w:p w14:paraId="34EE2B19" w14:textId="77777777" w:rsidR="00CA0334" w:rsidRDefault="00CA0334" w:rsidP="00CA0334"/>
    <w:p w14:paraId="55DFEB59" w14:textId="77777777" w:rsidR="006C53A6" w:rsidRDefault="006C53A6" w:rsidP="006C53A6">
      <w:pPr>
        <w:pStyle w:val="TH"/>
        <w:rPr>
          <w:lang w:val="en-US"/>
        </w:rPr>
      </w:pPr>
      <w:r>
        <w:rPr>
          <w:lang w:val="en-US"/>
        </w:rPr>
        <w:t xml:space="preserve">Table 9.7.3.3-3: </w:t>
      </w:r>
      <w:r>
        <w:rPr>
          <w:i/>
        </w:rPr>
        <w:t>IAB DU type 2-O</w:t>
      </w:r>
      <w:r>
        <w:t xml:space="preserve"> and Wide Area </w:t>
      </w:r>
      <w:r w:rsidRPr="0063534F">
        <w:rPr>
          <w:i/>
          <w:iCs/>
        </w:rPr>
        <w:t>IAB-MT type 2-O</w:t>
      </w:r>
      <w:r>
        <w:t xml:space="preserve"> ACLR limit in non-contiguous spectrum</w:t>
      </w:r>
    </w:p>
    <w:tbl>
      <w:tblPr>
        <w:tblW w:w="997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57"/>
        <w:gridCol w:w="1354"/>
        <w:gridCol w:w="2192"/>
        <w:gridCol w:w="1296"/>
        <w:gridCol w:w="2144"/>
        <w:gridCol w:w="1230"/>
      </w:tblGrid>
      <w:tr w:rsidR="00CA0334" w14:paraId="748384AD" w14:textId="77777777" w:rsidTr="00BD1F8C">
        <w:trPr>
          <w:cantSplit/>
          <w:jc w:val="center"/>
        </w:trPr>
        <w:tc>
          <w:tcPr>
            <w:tcW w:w="1757" w:type="dxa"/>
            <w:tcBorders>
              <w:top w:val="single" w:sz="6" w:space="0" w:color="auto"/>
              <w:left w:val="single" w:sz="6" w:space="0" w:color="auto"/>
              <w:bottom w:val="single" w:sz="6" w:space="0" w:color="auto"/>
              <w:right w:val="single" w:sz="6" w:space="0" w:color="auto"/>
            </w:tcBorders>
            <w:hideMark/>
          </w:tcPr>
          <w:p w14:paraId="5D0832A0" w14:textId="77777777" w:rsidR="00CA0334" w:rsidRDefault="00CA0334" w:rsidP="00BD1F8C">
            <w:pPr>
              <w:pStyle w:val="TAH"/>
              <w:rPr>
                <w:lang w:eastAsia="zh-CN"/>
              </w:rPr>
            </w:pPr>
            <w:r>
              <w:rPr>
                <w:rFonts w:eastAsia="SimSun"/>
                <w:i/>
                <w:lang w:eastAsia="zh-CN"/>
              </w:rPr>
              <w:t xml:space="preserve">IAB-DU </w:t>
            </w:r>
            <w:r w:rsidRPr="00743313">
              <w:rPr>
                <w:rFonts w:eastAsia="SimSun"/>
                <w:iCs/>
                <w:lang w:eastAsia="zh-CN"/>
              </w:rPr>
              <w:t>and</w:t>
            </w:r>
            <w:r>
              <w:rPr>
                <w:rFonts w:eastAsia="SimSun"/>
                <w:i/>
                <w:lang w:eastAsia="zh-CN"/>
              </w:rPr>
              <w:t xml:space="preserve"> IAB-MT channel bandwidth</w:t>
            </w:r>
            <w:r>
              <w:rPr>
                <w:lang w:eastAsia="zh-CN"/>
              </w:rPr>
              <w:t xml:space="preserve"> </w:t>
            </w:r>
            <w:r>
              <w:rPr>
                <w:rFonts w:eastAsia="SimSun"/>
                <w:lang w:eastAsia="zh-CN"/>
              </w:rPr>
              <w:t xml:space="preserve">of </w:t>
            </w:r>
            <w:r>
              <w:rPr>
                <w:rFonts w:eastAsia="SimSun"/>
                <w:i/>
                <w:lang w:eastAsia="zh-CN"/>
              </w:rPr>
              <w:t>l</w:t>
            </w:r>
            <w:r>
              <w:rPr>
                <w:rFonts w:eastAsia="SimSun" w:cs="Arial"/>
                <w:i/>
                <w:lang w:eastAsia="zh-CN"/>
              </w:rPr>
              <w:t>owest/highest carrier</w:t>
            </w:r>
            <w:r>
              <w:rPr>
                <w:lang w:eastAsia="zh-CN"/>
              </w:rPr>
              <w:t xml:space="preserve"> transmitted </w:t>
            </w:r>
            <w:r>
              <w:t>(MHz)</w:t>
            </w:r>
          </w:p>
        </w:tc>
        <w:tc>
          <w:tcPr>
            <w:tcW w:w="0" w:type="auto"/>
            <w:tcBorders>
              <w:top w:val="single" w:sz="6" w:space="0" w:color="auto"/>
              <w:left w:val="single" w:sz="6" w:space="0" w:color="auto"/>
              <w:bottom w:val="single" w:sz="6" w:space="0" w:color="auto"/>
              <w:right w:val="single" w:sz="6" w:space="0" w:color="auto"/>
            </w:tcBorders>
            <w:hideMark/>
          </w:tcPr>
          <w:p w14:paraId="1E8B0D2D" w14:textId="77777777" w:rsidR="00CA0334" w:rsidRDefault="00CA0334" w:rsidP="00BD1F8C">
            <w:pPr>
              <w:pStyle w:val="TAH"/>
              <w:rPr>
                <w:rFonts w:cs="Arial"/>
                <w:szCs w:val="18"/>
                <w:lang w:eastAsia="zh-CN"/>
              </w:rPr>
            </w:pPr>
            <w:r>
              <w:rPr>
                <w:rFonts w:cs="Arial"/>
                <w:i/>
                <w:szCs w:val="18"/>
                <w:lang w:eastAsia="zh-CN"/>
              </w:rPr>
              <w:t>Sub-block gap</w:t>
            </w:r>
            <w:r>
              <w:rPr>
                <w:rFonts w:cs="Arial"/>
                <w:szCs w:val="18"/>
                <w:lang w:eastAsia="zh-CN"/>
              </w:rPr>
              <w:t xml:space="preserve"> size (W</w:t>
            </w:r>
            <w:r>
              <w:rPr>
                <w:rFonts w:cs="Arial"/>
                <w:szCs w:val="18"/>
                <w:vertAlign w:val="subscript"/>
                <w:lang w:eastAsia="zh-CN"/>
              </w:rPr>
              <w:t>gap</w:t>
            </w:r>
            <w:r>
              <w:rPr>
                <w:rFonts w:cs="Arial"/>
                <w:szCs w:val="18"/>
                <w:lang w:eastAsia="zh-CN"/>
              </w:rPr>
              <w:t>) where the limit applies (MHz)</w:t>
            </w:r>
          </w:p>
        </w:tc>
        <w:tc>
          <w:tcPr>
            <w:tcW w:w="0" w:type="auto"/>
            <w:tcBorders>
              <w:top w:val="single" w:sz="6" w:space="0" w:color="auto"/>
              <w:left w:val="single" w:sz="6" w:space="0" w:color="auto"/>
              <w:bottom w:val="single" w:sz="6" w:space="0" w:color="auto"/>
              <w:right w:val="single" w:sz="6" w:space="0" w:color="auto"/>
            </w:tcBorders>
            <w:hideMark/>
          </w:tcPr>
          <w:p w14:paraId="57854426" w14:textId="77777777" w:rsidR="00CA0334" w:rsidRDefault="00CA0334" w:rsidP="00BD1F8C">
            <w:pPr>
              <w:pStyle w:val="TAH"/>
              <w:rPr>
                <w:lang w:eastAsia="zh-CN"/>
              </w:rPr>
            </w:pPr>
            <w:r>
              <w:rPr>
                <w:rFonts w:eastAsia="SimSun"/>
                <w:i/>
                <w:lang w:eastAsia="zh-CN"/>
              </w:rPr>
              <w:t xml:space="preserve">IAB-DU </w:t>
            </w:r>
            <w:r w:rsidRPr="00743313">
              <w:rPr>
                <w:rFonts w:eastAsia="SimSun"/>
                <w:iCs/>
                <w:lang w:eastAsia="zh-CN"/>
              </w:rPr>
              <w:t>and</w:t>
            </w:r>
            <w:r>
              <w:rPr>
                <w:rFonts w:eastAsia="SimSun"/>
                <w:i/>
                <w:lang w:eastAsia="zh-CN"/>
              </w:rPr>
              <w:t xml:space="preserve"> IAB-MT</w:t>
            </w:r>
            <w:r>
              <w:rPr>
                <w:lang w:eastAsia="zh-CN"/>
              </w:rPr>
              <w:t xml:space="preserve"> adjacent channel centre frequency offset below or above the </w:t>
            </w:r>
            <w:r>
              <w:rPr>
                <w:rFonts w:eastAsia="SimSun"/>
                <w:i/>
                <w:lang w:eastAsia="zh-CN"/>
              </w:rPr>
              <w:t>sub-block</w:t>
            </w:r>
            <w:r>
              <w:rPr>
                <w:rFonts w:eastAsia="SimSun"/>
                <w:lang w:eastAsia="zh-CN"/>
              </w:rPr>
              <w:t xml:space="preserve"> edge (inside the gap)</w:t>
            </w:r>
          </w:p>
        </w:tc>
        <w:tc>
          <w:tcPr>
            <w:tcW w:w="0" w:type="auto"/>
            <w:tcBorders>
              <w:top w:val="single" w:sz="6" w:space="0" w:color="auto"/>
              <w:left w:val="single" w:sz="6" w:space="0" w:color="auto"/>
              <w:bottom w:val="single" w:sz="6" w:space="0" w:color="auto"/>
              <w:right w:val="single" w:sz="6" w:space="0" w:color="auto"/>
            </w:tcBorders>
            <w:hideMark/>
          </w:tcPr>
          <w:p w14:paraId="2E94469D" w14:textId="77777777" w:rsidR="00CA0334" w:rsidRDefault="00CA0334" w:rsidP="00BD1F8C">
            <w:pPr>
              <w:pStyle w:val="TAH"/>
              <w:rPr>
                <w:lang w:eastAsia="zh-CN"/>
              </w:rPr>
            </w:pPr>
            <w:r>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0965C297" w14:textId="77777777" w:rsidR="00CA0334" w:rsidRDefault="00CA0334" w:rsidP="00BD1F8C">
            <w:pPr>
              <w:pStyle w:val="TAH"/>
              <w:rPr>
                <w:lang w:eastAsia="zh-CN"/>
              </w:rPr>
            </w:pPr>
            <w:r>
              <w:rPr>
                <w:lang w:eastAsia="zh-CN"/>
              </w:rPr>
              <w:t>Filter on the adjacent channel frequency and corresponding filter bandwidth</w:t>
            </w:r>
          </w:p>
        </w:tc>
        <w:tc>
          <w:tcPr>
            <w:tcW w:w="1230" w:type="dxa"/>
            <w:tcBorders>
              <w:top w:val="single" w:sz="6" w:space="0" w:color="auto"/>
              <w:left w:val="single" w:sz="6" w:space="0" w:color="auto"/>
              <w:bottom w:val="single" w:sz="6" w:space="0" w:color="auto"/>
              <w:right w:val="single" w:sz="6" w:space="0" w:color="auto"/>
            </w:tcBorders>
            <w:hideMark/>
          </w:tcPr>
          <w:p w14:paraId="1FE6CE42" w14:textId="77777777" w:rsidR="00CA0334" w:rsidRDefault="00CA0334" w:rsidP="00BD1F8C">
            <w:pPr>
              <w:pStyle w:val="TAH"/>
              <w:rPr>
                <w:lang w:eastAsia="zh-CN"/>
              </w:rPr>
            </w:pPr>
            <w:r>
              <w:rPr>
                <w:lang w:eastAsia="zh-CN"/>
              </w:rPr>
              <w:t>ACLR limit</w:t>
            </w:r>
          </w:p>
        </w:tc>
      </w:tr>
      <w:tr w:rsidR="00CA0334" w14:paraId="2AFB1D6D" w14:textId="77777777" w:rsidTr="006C53A6">
        <w:trPr>
          <w:cantSplit/>
          <w:jc w:val="center"/>
        </w:trPr>
        <w:tc>
          <w:tcPr>
            <w:tcW w:w="1757" w:type="dxa"/>
            <w:tcBorders>
              <w:top w:val="single" w:sz="6" w:space="0" w:color="auto"/>
              <w:left w:val="single" w:sz="6" w:space="0" w:color="auto"/>
              <w:bottom w:val="single" w:sz="6" w:space="0" w:color="auto"/>
              <w:right w:val="single" w:sz="6" w:space="0" w:color="auto"/>
            </w:tcBorders>
            <w:hideMark/>
          </w:tcPr>
          <w:p w14:paraId="7485E4B8" w14:textId="77777777" w:rsidR="00CA0334" w:rsidRDefault="00CA0334" w:rsidP="006C53A6">
            <w:pPr>
              <w:pStyle w:val="TAC"/>
              <w:rPr>
                <w:rFonts w:eastAsia="SimSun"/>
                <w:lang w:eastAsia="zh-CN"/>
              </w:rPr>
            </w:pPr>
            <w:r>
              <w:rPr>
                <w:lang w:eastAsia="zh-CN"/>
              </w:rPr>
              <w:t>50, 100</w:t>
            </w:r>
          </w:p>
        </w:tc>
        <w:tc>
          <w:tcPr>
            <w:tcW w:w="0" w:type="auto"/>
            <w:tcBorders>
              <w:top w:val="single" w:sz="6" w:space="0" w:color="auto"/>
              <w:left w:val="single" w:sz="6" w:space="0" w:color="auto"/>
              <w:bottom w:val="single" w:sz="6" w:space="0" w:color="auto"/>
              <w:right w:val="single" w:sz="6" w:space="0" w:color="auto"/>
            </w:tcBorders>
            <w:hideMark/>
          </w:tcPr>
          <w:p w14:paraId="4FA45B0F" w14:textId="77777777" w:rsidR="00CA0334" w:rsidRDefault="00CA0334" w:rsidP="006C53A6">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100 (Note 5)</w:t>
            </w:r>
          </w:p>
          <w:p w14:paraId="6F461DCC" w14:textId="77777777" w:rsidR="00CA0334" w:rsidRDefault="00CA0334" w:rsidP="006C53A6">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250 (Note 6)</w:t>
            </w:r>
          </w:p>
        </w:tc>
        <w:tc>
          <w:tcPr>
            <w:tcW w:w="0" w:type="auto"/>
            <w:tcBorders>
              <w:top w:val="single" w:sz="6" w:space="0" w:color="auto"/>
              <w:left w:val="single" w:sz="6" w:space="0" w:color="auto"/>
              <w:bottom w:val="single" w:sz="6" w:space="0" w:color="auto"/>
              <w:right w:val="single" w:sz="6" w:space="0" w:color="auto"/>
            </w:tcBorders>
            <w:hideMark/>
          </w:tcPr>
          <w:p w14:paraId="6FF202A8" w14:textId="77777777" w:rsidR="00CA0334" w:rsidRDefault="00CA0334" w:rsidP="006C53A6">
            <w:pPr>
              <w:pStyle w:val="TAC"/>
              <w:rPr>
                <w:lang w:eastAsia="zh-CN"/>
              </w:rPr>
            </w:pPr>
            <w:r>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325CE86F" w14:textId="77777777" w:rsidR="00CA0334" w:rsidRDefault="00CA0334" w:rsidP="006C53A6">
            <w:pPr>
              <w:pStyle w:val="TAC"/>
              <w:rPr>
                <w:lang w:eastAsia="zh-CN"/>
              </w:rPr>
            </w:pPr>
            <w:r>
              <w:rPr>
                <w:rFonts w:eastAsia="SimSun"/>
                <w:lang w:eastAsia="zh-CN"/>
              </w:rPr>
              <w:t xml:space="preserve">50 MHz </w:t>
            </w:r>
            <w:r>
              <w:rPr>
                <w:lang w:eastAsia="zh-CN"/>
              </w:rPr>
              <w:t xml:space="preserve">NR </w:t>
            </w:r>
            <w:r>
              <w:t>(Note 2)</w:t>
            </w:r>
          </w:p>
        </w:tc>
        <w:tc>
          <w:tcPr>
            <w:tcW w:w="0" w:type="auto"/>
            <w:tcBorders>
              <w:top w:val="single" w:sz="6" w:space="0" w:color="auto"/>
              <w:left w:val="single" w:sz="6" w:space="0" w:color="auto"/>
              <w:bottom w:val="single" w:sz="6" w:space="0" w:color="auto"/>
              <w:right w:val="single" w:sz="6" w:space="0" w:color="auto"/>
            </w:tcBorders>
            <w:hideMark/>
          </w:tcPr>
          <w:p w14:paraId="314DB87A" w14:textId="77777777" w:rsidR="00CA0334" w:rsidRDefault="00CA0334" w:rsidP="006C53A6">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30" w:type="dxa"/>
            <w:tcBorders>
              <w:top w:val="single" w:sz="6" w:space="0" w:color="auto"/>
              <w:left w:val="single" w:sz="6" w:space="0" w:color="auto"/>
              <w:bottom w:val="single" w:sz="6" w:space="0" w:color="auto"/>
              <w:right w:val="single" w:sz="6" w:space="0" w:color="auto"/>
            </w:tcBorders>
          </w:tcPr>
          <w:p w14:paraId="70240CE8" w14:textId="09D7C1BD" w:rsidR="00CA0334" w:rsidRDefault="00CA0334" w:rsidP="006C53A6">
            <w:pPr>
              <w:pStyle w:val="TAC"/>
            </w:pPr>
            <w:r>
              <w:t>28 (Note 3)</w:t>
            </w:r>
          </w:p>
          <w:p w14:paraId="321000CA" w14:textId="77777777" w:rsidR="00CA0334" w:rsidRDefault="00CA0334" w:rsidP="006C53A6">
            <w:pPr>
              <w:pStyle w:val="TAC"/>
              <w:rPr>
                <w:lang w:eastAsia="zh-CN"/>
              </w:rPr>
            </w:pPr>
            <w:r>
              <w:t>26 (Note 4)</w:t>
            </w:r>
          </w:p>
        </w:tc>
      </w:tr>
      <w:tr w:rsidR="00CA0334" w14:paraId="49FE605C" w14:textId="77777777" w:rsidTr="006C53A6">
        <w:trPr>
          <w:cantSplit/>
          <w:jc w:val="center"/>
        </w:trPr>
        <w:tc>
          <w:tcPr>
            <w:tcW w:w="1757" w:type="dxa"/>
            <w:tcBorders>
              <w:top w:val="single" w:sz="6" w:space="0" w:color="auto"/>
              <w:left w:val="single" w:sz="6" w:space="0" w:color="auto"/>
              <w:bottom w:val="single" w:sz="6" w:space="0" w:color="auto"/>
              <w:right w:val="single" w:sz="6" w:space="0" w:color="auto"/>
            </w:tcBorders>
            <w:hideMark/>
          </w:tcPr>
          <w:p w14:paraId="7EA4A27B" w14:textId="77777777" w:rsidR="00CA0334" w:rsidRDefault="00CA0334" w:rsidP="006C53A6">
            <w:pPr>
              <w:pStyle w:val="TAC"/>
              <w:rPr>
                <w:rFonts w:eastAsia="SimSun"/>
                <w:lang w:eastAsia="zh-CN"/>
              </w:rPr>
            </w:pPr>
            <w:r>
              <w:rPr>
                <w:rFonts w:eastAsia="SimSun"/>
                <w:lang w:eastAsia="zh-CN"/>
              </w:rPr>
              <w:t>200, 400</w:t>
            </w:r>
          </w:p>
        </w:tc>
        <w:tc>
          <w:tcPr>
            <w:tcW w:w="0" w:type="auto"/>
            <w:tcBorders>
              <w:top w:val="single" w:sz="6" w:space="0" w:color="auto"/>
              <w:left w:val="single" w:sz="6" w:space="0" w:color="auto"/>
              <w:bottom w:val="single" w:sz="6" w:space="0" w:color="auto"/>
              <w:right w:val="single" w:sz="6" w:space="0" w:color="auto"/>
            </w:tcBorders>
            <w:hideMark/>
          </w:tcPr>
          <w:p w14:paraId="0CFA3841" w14:textId="77777777" w:rsidR="00CA0334" w:rsidRDefault="00CA0334" w:rsidP="006C53A6">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400 (Note 6)</w:t>
            </w:r>
          </w:p>
          <w:p w14:paraId="764CDAEB" w14:textId="57FF54D6" w:rsidR="00CA0334" w:rsidRDefault="00CA0334" w:rsidP="006C53A6">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250 (Note 5)</w:t>
            </w:r>
          </w:p>
        </w:tc>
        <w:tc>
          <w:tcPr>
            <w:tcW w:w="0" w:type="auto"/>
            <w:tcBorders>
              <w:top w:val="single" w:sz="6" w:space="0" w:color="auto"/>
              <w:left w:val="single" w:sz="6" w:space="0" w:color="auto"/>
              <w:bottom w:val="single" w:sz="6" w:space="0" w:color="auto"/>
              <w:right w:val="single" w:sz="6" w:space="0" w:color="auto"/>
            </w:tcBorders>
            <w:hideMark/>
          </w:tcPr>
          <w:p w14:paraId="7D776A3F" w14:textId="77777777" w:rsidR="00CA0334" w:rsidRDefault="00CA0334" w:rsidP="006C53A6">
            <w:pPr>
              <w:pStyle w:val="TAC"/>
              <w:rPr>
                <w:lang w:eastAsia="zh-CN"/>
              </w:rPr>
            </w:pPr>
            <w:r>
              <w:rPr>
                <w:rFonts w:cs="Arial"/>
                <w:lang w:eastAsia="zh-CN"/>
              </w:rPr>
              <w:t>100 MHz</w:t>
            </w:r>
          </w:p>
        </w:tc>
        <w:tc>
          <w:tcPr>
            <w:tcW w:w="0" w:type="auto"/>
            <w:tcBorders>
              <w:top w:val="single" w:sz="6" w:space="0" w:color="auto"/>
              <w:left w:val="single" w:sz="6" w:space="0" w:color="auto"/>
              <w:bottom w:val="single" w:sz="6" w:space="0" w:color="auto"/>
              <w:right w:val="single" w:sz="6" w:space="0" w:color="auto"/>
            </w:tcBorders>
            <w:hideMark/>
          </w:tcPr>
          <w:p w14:paraId="6933DCE8" w14:textId="77777777" w:rsidR="00CA0334" w:rsidRDefault="00CA0334" w:rsidP="006C53A6">
            <w:pPr>
              <w:pStyle w:val="TAC"/>
              <w:rPr>
                <w:lang w:eastAsia="zh-CN"/>
              </w:rPr>
            </w:pPr>
            <w:r>
              <w:rPr>
                <w:lang w:eastAsia="zh-CN"/>
              </w:rPr>
              <w:t xml:space="preserve">200 MHz NR </w:t>
            </w:r>
            <w:r>
              <w:t>(Note 2)</w:t>
            </w:r>
          </w:p>
        </w:tc>
        <w:tc>
          <w:tcPr>
            <w:tcW w:w="0" w:type="auto"/>
            <w:tcBorders>
              <w:top w:val="single" w:sz="6" w:space="0" w:color="auto"/>
              <w:left w:val="single" w:sz="6" w:space="0" w:color="auto"/>
              <w:bottom w:val="single" w:sz="6" w:space="0" w:color="auto"/>
              <w:right w:val="single" w:sz="6" w:space="0" w:color="auto"/>
            </w:tcBorders>
            <w:hideMark/>
          </w:tcPr>
          <w:p w14:paraId="05AEB163" w14:textId="77777777" w:rsidR="00CA0334" w:rsidRDefault="00CA0334" w:rsidP="006C53A6">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30" w:type="dxa"/>
            <w:tcBorders>
              <w:top w:val="single" w:sz="6" w:space="0" w:color="auto"/>
              <w:left w:val="single" w:sz="6" w:space="0" w:color="auto"/>
              <w:bottom w:val="single" w:sz="6" w:space="0" w:color="auto"/>
              <w:right w:val="single" w:sz="6" w:space="0" w:color="auto"/>
            </w:tcBorders>
          </w:tcPr>
          <w:p w14:paraId="0819A0ED" w14:textId="3B3978BD" w:rsidR="00CA0334" w:rsidRDefault="00CA0334" w:rsidP="006C53A6">
            <w:pPr>
              <w:pStyle w:val="TAC"/>
            </w:pPr>
            <w:r>
              <w:t>28 (Note 3)</w:t>
            </w:r>
          </w:p>
          <w:p w14:paraId="5A3F5074" w14:textId="77777777" w:rsidR="00CA0334" w:rsidRDefault="00CA0334" w:rsidP="006C53A6">
            <w:pPr>
              <w:pStyle w:val="TAC"/>
              <w:rPr>
                <w:lang w:eastAsia="zh-CN"/>
              </w:rPr>
            </w:pPr>
            <w:r>
              <w:t>26 (Note 4)</w:t>
            </w:r>
          </w:p>
        </w:tc>
      </w:tr>
      <w:tr w:rsidR="00CA0334" w:rsidRPr="00AB3358" w14:paraId="56669914" w14:textId="77777777" w:rsidTr="00BD1F8C">
        <w:trPr>
          <w:cantSplit/>
          <w:jc w:val="center"/>
        </w:trPr>
        <w:tc>
          <w:tcPr>
            <w:tcW w:w="9973" w:type="dxa"/>
            <w:gridSpan w:val="6"/>
            <w:tcBorders>
              <w:top w:val="single" w:sz="6" w:space="0" w:color="auto"/>
              <w:left w:val="single" w:sz="6" w:space="0" w:color="auto"/>
              <w:bottom w:val="single" w:sz="6" w:space="0" w:color="auto"/>
              <w:right w:val="single" w:sz="6" w:space="0" w:color="auto"/>
            </w:tcBorders>
            <w:hideMark/>
          </w:tcPr>
          <w:p w14:paraId="3EC38AAE" w14:textId="77777777" w:rsidR="00CA0334" w:rsidRDefault="00CA0334" w:rsidP="00BD1F8C">
            <w:pPr>
              <w:pStyle w:val="TAN"/>
              <w:rPr>
                <w:lang w:eastAsia="zh-CN"/>
              </w:rPr>
            </w:pPr>
            <w:r>
              <w:rPr>
                <w:lang w:eastAsia="zh-CN"/>
              </w:rPr>
              <w:t>NOTE 1:</w:t>
            </w:r>
            <w:r>
              <w:rPr>
                <w:lang w:eastAsia="zh-CN"/>
              </w:rPr>
              <w:tab/>
              <w:t>BW</w:t>
            </w:r>
            <w:r>
              <w:rPr>
                <w:vertAlign w:val="subscript"/>
                <w:lang w:eastAsia="zh-CN"/>
              </w:rPr>
              <w:t>Config</w:t>
            </w:r>
            <w:r>
              <w:rPr>
                <w:lang w:eastAsia="zh-CN"/>
              </w:rPr>
              <w:t xml:space="preserve"> is the </w:t>
            </w:r>
            <w:r>
              <w:rPr>
                <w:i/>
                <w:lang w:eastAsia="zh-CN"/>
              </w:rPr>
              <w:t>transmission bandwidth configuration</w:t>
            </w:r>
            <w:r>
              <w:rPr>
                <w:lang w:eastAsia="zh-CN"/>
              </w:rPr>
              <w:t xml:space="preserve"> of the </w:t>
            </w:r>
            <w:r>
              <w:rPr>
                <w:rFonts w:cs="v5.0.0"/>
                <w:lang w:eastAsia="zh-CN"/>
              </w:rPr>
              <w:t>assumed adjacent channel carrier</w:t>
            </w:r>
            <w:r>
              <w:rPr>
                <w:lang w:eastAsia="zh-CN"/>
              </w:rPr>
              <w:t>.</w:t>
            </w:r>
          </w:p>
          <w:p w14:paraId="6EAC0635" w14:textId="77777777" w:rsidR="00CA0334" w:rsidRDefault="00CA0334" w:rsidP="00BD1F8C">
            <w:pPr>
              <w:pStyle w:val="TAN"/>
              <w:rPr>
                <w:rFonts w:cs="v5.0.0"/>
              </w:rPr>
            </w:pPr>
            <w:r>
              <w:t>NOTE 2:</w:t>
            </w:r>
            <w:r>
              <w:tab/>
              <w:t xml:space="preserve">With SCS that provides largest </w:t>
            </w:r>
            <w:r>
              <w:rPr>
                <w:rFonts w:cs="Arial"/>
                <w:i/>
              </w:rPr>
              <w:t>transmission bandwidth configuration</w:t>
            </w:r>
            <w:r>
              <w:rPr>
                <w:rFonts w:cs="Arial"/>
              </w:rPr>
              <w:t xml:space="preserve"> (BW</w:t>
            </w:r>
            <w:r>
              <w:rPr>
                <w:rFonts w:cs="Arial"/>
                <w:vertAlign w:val="subscript"/>
              </w:rPr>
              <w:t>Config</w:t>
            </w:r>
            <w:r>
              <w:rPr>
                <w:rFonts w:cs="v5.0.0"/>
              </w:rPr>
              <w:t>).</w:t>
            </w:r>
          </w:p>
          <w:p w14:paraId="587706A7" w14:textId="77777777" w:rsidR="00CA0334" w:rsidRDefault="00CA0334" w:rsidP="00BD1F8C">
            <w:pPr>
              <w:pStyle w:val="TAN"/>
              <w:rPr>
                <w:rFonts w:eastAsia="SimSun"/>
                <w:lang w:eastAsia="zh-CN"/>
              </w:rPr>
            </w:pPr>
            <w:r>
              <w:rPr>
                <w:rFonts w:eastAsia="SimSun"/>
                <w:lang w:eastAsia="zh-CN"/>
              </w:rPr>
              <w:t>NOTE 3:</w:t>
            </w:r>
            <w:r>
              <w:rPr>
                <w:rFonts w:eastAsia="SimSun"/>
                <w:lang w:eastAsia="zh-CN"/>
              </w:rPr>
              <w:tab/>
              <w:t>Applicable to bands defined within the frequency spectrum range of 24.25 – 33.4 GHz.</w:t>
            </w:r>
          </w:p>
          <w:p w14:paraId="694727FB" w14:textId="77777777" w:rsidR="00CA0334" w:rsidRDefault="00CA0334" w:rsidP="00BD1F8C">
            <w:pPr>
              <w:pStyle w:val="TAN"/>
              <w:rPr>
                <w:rFonts w:eastAsia="SimSun"/>
                <w:lang w:eastAsia="zh-CN"/>
              </w:rPr>
            </w:pPr>
            <w:r>
              <w:rPr>
                <w:rFonts w:eastAsia="SimSun"/>
                <w:lang w:eastAsia="zh-CN"/>
              </w:rPr>
              <w:t>NOTE 4:</w:t>
            </w:r>
            <w:r>
              <w:rPr>
                <w:rFonts w:eastAsia="SimSun"/>
                <w:lang w:eastAsia="zh-CN"/>
              </w:rPr>
              <w:tab/>
              <w:t>Applicable to bands defined within the frequency spectrum range of 37 – 52.6 GHz.</w:t>
            </w:r>
          </w:p>
          <w:p w14:paraId="69D5B6ED" w14:textId="77777777" w:rsidR="00CA0334" w:rsidRDefault="00CA0334" w:rsidP="00BD1F8C">
            <w:pPr>
              <w:pStyle w:val="TAN"/>
              <w:rPr>
                <w:rFonts w:eastAsia="SimSun"/>
                <w:lang w:eastAsia="zh-CN"/>
              </w:rPr>
            </w:pPr>
            <w:r>
              <w:rPr>
                <w:rFonts w:eastAsia="SimSun"/>
                <w:lang w:eastAsia="zh-CN"/>
              </w:rPr>
              <w:t>NOTE 5:</w:t>
            </w:r>
            <w:r>
              <w:rPr>
                <w:rFonts w:eastAsia="SimSun"/>
                <w:lang w:eastAsia="zh-CN"/>
              </w:rPr>
              <w:tab/>
              <w:t xml:space="preserve">Applicable in case the </w:t>
            </w:r>
            <w:r>
              <w:rPr>
                <w:rFonts w:eastAsia="SimSun"/>
                <w:i/>
                <w:lang w:eastAsia="zh-CN"/>
              </w:rPr>
              <w:t>IAB-DU or IAB-MT</w:t>
            </w:r>
            <w:r>
              <w:rPr>
                <w:i/>
              </w:rPr>
              <w:t xml:space="preserve"> channel bandwidth</w:t>
            </w:r>
            <w:r>
              <w:rPr>
                <w:rFonts w:eastAsia="SimSun"/>
                <w:lang w:eastAsia="zh-CN"/>
              </w:rPr>
              <w:t xml:space="preserve"> of the NR carrier transmitted at the other edge of the gap is 50 or 100 MHz.</w:t>
            </w:r>
          </w:p>
          <w:p w14:paraId="46D78DC5" w14:textId="77777777" w:rsidR="00CA0334" w:rsidRDefault="00CA0334" w:rsidP="00BD1F8C">
            <w:pPr>
              <w:pStyle w:val="TAN"/>
              <w:rPr>
                <w:rFonts w:eastAsia="SimSun"/>
                <w:lang w:eastAsia="zh-CN"/>
              </w:rPr>
            </w:pPr>
            <w:r>
              <w:rPr>
                <w:rFonts w:eastAsia="SimSun"/>
                <w:lang w:eastAsia="zh-CN"/>
              </w:rPr>
              <w:t>NOTE 6:</w:t>
            </w:r>
            <w:r>
              <w:rPr>
                <w:rFonts w:eastAsia="SimSun"/>
                <w:lang w:eastAsia="zh-CN"/>
              </w:rPr>
              <w:tab/>
              <w:t xml:space="preserve">Applicable in case the </w:t>
            </w:r>
            <w:r>
              <w:rPr>
                <w:rFonts w:eastAsia="SimSun"/>
                <w:i/>
                <w:lang w:eastAsia="zh-CN"/>
              </w:rPr>
              <w:t>IAB-DU or IAB-MT</w:t>
            </w:r>
            <w:r>
              <w:rPr>
                <w:i/>
              </w:rPr>
              <w:t xml:space="preserve"> channel bandwidth</w:t>
            </w:r>
            <w:r>
              <w:rPr>
                <w:rFonts w:eastAsia="SimSun"/>
                <w:lang w:eastAsia="zh-CN"/>
              </w:rPr>
              <w:t xml:space="preserve"> of the NR carrier transmitted at the other edge of the gap is 200 or 400 MHz.</w:t>
            </w:r>
          </w:p>
        </w:tc>
      </w:tr>
    </w:tbl>
    <w:p w14:paraId="390B7E4A" w14:textId="77777777" w:rsidR="00CA0334" w:rsidRDefault="00CA0334" w:rsidP="00CA0334">
      <w:pPr>
        <w:rPr>
          <w:szCs w:val="24"/>
        </w:rPr>
      </w:pPr>
    </w:p>
    <w:p w14:paraId="2B72557E" w14:textId="77777777" w:rsidR="006C53A6" w:rsidRDefault="006C53A6" w:rsidP="006C53A6">
      <w:pPr>
        <w:pStyle w:val="TH"/>
        <w:rPr>
          <w:lang w:val="en-US"/>
        </w:rPr>
      </w:pPr>
      <w:r>
        <w:rPr>
          <w:lang w:val="en-US"/>
        </w:rPr>
        <w:t xml:space="preserve">Table 9.7.3.3-4: </w:t>
      </w:r>
      <w:r>
        <w:rPr>
          <w:i/>
        </w:rPr>
        <w:t>IAB DU type 2-O</w:t>
      </w:r>
      <w:r>
        <w:t xml:space="preserve"> and Wide Area </w:t>
      </w:r>
      <w:r w:rsidRPr="0063534F">
        <w:rPr>
          <w:i/>
          <w:iCs/>
        </w:rPr>
        <w:t>IAB-MT type 2-O</w:t>
      </w:r>
      <w:r>
        <w:t xml:space="preserve"> CACLR limit in non-contiguous spectrum</w:t>
      </w:r>
    </w:p>
    <w:tbl>
      <w:tblPr>
        <w:tblW w:w="999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0"/>
        <w:gridCol w:w="1718"/>
        <w:gridCol w:w="1458"/>
        <w:gridCol w:w="2022"/>
        <w:gridCol w:w="1303"/>
        <w:gridCol w:w="2161"/>
        <w:gridCol w:w="1283"/>
        <w:gridCol w:w="30"/>
      </w:tblGrid>
      <w:tr w:rsidR="00CA0334" w14:paraId="0DE6AFBD" w14:textId="77777777" w:rsidTr="00BD1F8C">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48A64775" w14:textId="77777777" w:rsidR="00CA0334" w:rsidRDefault="00CA0334" w:rsidP="00BD1F8C">
            <w:pPr>
              <w:pStyle w:val="TAH"/>
              <w:rPr>
                <w:lang w:eastAsia="zh-CN"/>
              </w:rPr>
            </w:pPr>
            <w:r>
              <w:rPr>
                <w:rFonts w:eastAsia="SimSun"/>
                <w:i/>
                <w:lang w:eastAsia="zh-CN"/>
              </w:rPr>
              <w:t xml:space="preserve">IAB-DU </w:t>
            </w:r>
            <w:r w:rsidRPr="00C41B39">
              <w:rPr>
                <w:rFonts w:eastAsia="SimSun"/>
                <w:iCs/>
                <w:lang w:eastAsia="zh-CN"/>
              </w:rPr>
              <w:t>and</w:t>
            </w:r>
            <w:r>
              <w:rPr>
                <w:rFonts w:eastAsia="SimSun"/>
                <w:i/>
                <w:lang w:eastAsia="zh-CN"/>
              </w:rPr>
              <w:t xml:space="preserve"> IAB-MT channel bandwidth</w:t>
            </w:r>
            <w:r>
              <w:rPr>
                <w:lang w:eastAsia="zh-CN"/>
              </w:rPr>
              <w:t xml:space="preserve"> </w:t>
            </w:r>
            <w:r>
              <w:rPr>
                <w:rFonts w:eastAsia="SimSun"/>
                <w:lang w:eastAsia="zh-CN"/>
              </w:rPr>
              <w:t xml:space="preserve">of </w:t>
            </w:r>
            <w:r>
              <w:rPr>
                <w:rFonts w:eastAsia="SimSun"/>
                <w:i/>
                <w:lang w:eastAsia="zh-CN"/>
              </w:rPr>
              <w:t>l</w:t>
            </w:r>
            <w:r>
              <w:rPr>
                <w:rFonts w:eastAsia="SimSun" w:cs="Arial"/>
                <w:i/>
                <w:lang w:eastAsia="zh-CN"/>
              </w:rPr>
              <w:t>owest/highest carrier</w:t>
            </w:r>
            <w:r>
              <w:rPr>
                <w:lang w:eastAsia="zh-CN"/>
              </w:rPr>
              <w:t xml:space="preserve"> transmitted (MHz) </w:t>
            </w:r>
          </w:p>
        </w:tc>
        <w:tc>
          <w:tcPr>
            <w:tcW w:w="1458" w:type="dxa"/>
            <w:tcBorders>
              <w:top w:val="single" w:sz="6" w:space="0" w:color="auto"/>
              <w:left w:val="single" w:sz="6" w:space="0" w:color="auto"/>
              <w:bottom w:val="single" w:sz="6" w:space="0" w:color="auto"/>
              <w:right w:val="single" w:sz="6" w:space="0" w:color="auto"/>
            </w:tcBorders>
            <w:hideMark/>
          </w:tcPr>
          <w:p w14:paraId="2E1025ED" w14:textId="77777777" w:rsidR="00CA0334" w:rsidRDefault="00CA0334" w:rsidP="00BD1F8C">
            <w:pPr>
              <w:pStyle w:val="TAH"/>
              <w:rPr>
                <w:rFonts w:cs="Arial"/>
                <w:szCs w:val="18"/>
                <w:lang w:eastAsia="zh-CN"/>
              </w:rPr>
            </w:pPr>
            <w:r>
              <w:rPr>
                <w:rFonts w:cs="Arial"/>
                <w:i/>
                <w:szCs w:val="18"/>
                <w:lang w:eastAsia="zh-CN"/>
              </w:rPr>
              <w:t>Sub-block gap</w:t>
            </w:r>
            <w:r>
              <w:rPr>
                <w:rFonts w:cs="Arial"/>
                <w:szCs w:val="18"/>
                <w:lang w:eastAsia="zh-CN"/>
              </w:rPr>
              <w:t xml:space="preserve"> size (W</w:t>
            </w:r>
            <w:r>
              <w:rPr>
                <w:rFonts w:cs="Arial"/>
                <w:szCs w:val="18"/>
                <w:vertAlign w:val="subscript"/>
                <w:lang w:eastAsia="zh-CN"/>
              </w:rPr>
              <w:t>gap</w:t>
            </w:r>
            <w:r>
              <w:rPr>
                <w:rFonts w:cs="Arial"/>
                <w:szCs w:val="18"/>
                <w:lang w:eastAsia="zh-CN"/>
              </w:rPr>
              <w:t>) where the limit applies (MHz)</w:t>
            </w:r>
          </w:p>
        </w:tc>
        <w:tc>
          <w:tcPr>
            <w:tcW w:w="2022" w:type="dxa"/>
            <w:tcBorders>
              <w:top w:val="single" w:sz="6" w:space="0" w:color="auto"/>
              <w:left w:val="single" w:sz="6" w:space="0" w:color="auto"/>
              <w:bottom w:val="single" w:sz="6" w:space="0" w:color="auto"/>
              <w:right w:val="single" w:sz="6" w:space="0" w:color="auto"/>
            </w:tcBorders>
            <w:hideMark/>
          </w:tcPr>
          <w:p w14:paraId="3C8BC772" w14:textId="77777777" w:rsidR="00CA0334" w:rsidRDefault="00CA0334" w:rsidP="00BD1F8C">
            <w:pPr>
              <w:pStyle w:val="TAH"/>
              <w:rPr>
                <w:lang w:eastAsia="zh-CN"/>
              </w:rPr>
            </w:pPr>
            <w:r>
              <w:rPr>
                <w:rFonts w:eastAsia="SimSun"/>
                <w:i/>
                <w:lang w:eastAsia="zh-CN"/>
              </w:rPr>
              <w:t xml:space="preserve">IAB-DU </w:t>
            </w:r>
            <w:r w:rsidRPr="00C41B39">
              <w:rPr>
                <w:rFonts w:eastAsia="SimSun"/>
                <w:iCs/>
                <w:lang w:eastAsia="zh-CN"/>
              </w:rPr>
              <w:t>and</w:t>
            </w:r>
            <w:r>
              <w:rPr>
                <w:rFonts w:eastAsia="SimSun"/>
                <w:i/>
                <w:lang w:eastAsia="zh-CN"/>
              </w:rPr>
              <w:t xml:space="preserve"> IAB-MT</w:t>
            </w:r>
            <w:r>
              <w:rPr>
                <w:lang w:eastAsia="zh-CN"/>
              </w:rPr>
              <w:t xml:space="preserve"> adjacent channel centre frequency offset below or above the </w:t>
            </w:r>
            <w:r>
              <w:rPr>
                <w:rFonts w:eastAsia="SimSun"/>
                <w:i/>
                <w:lang w:eastAsia="zh-CN"/>
              </w:rPr>
              <w:t>sub-block</w:t>
            </w:r>
            <w:r>
              <w:rPr>
                <w:rFonts w:eastAsia="SimSun"/>
                <w:lang w:eastAsia="zh-CN"/>
              </w:rPr>
              <w:t xml:space="preserve"> edge (inside the gap)</w:t>
            </w:r>
          </w:p>
        </w:tc>
        <w:tc>
          <w:tcPr>
            <w:tcW w:w="0" w:type="auto"/>
            <w:tcBorders>
              <w:top w:val="single" w:sz="6" w:space="0" w:color="auto"/>
              <w:left w:val="single" w:sz="6" w:space="0" w:color="auto"/>
              <w:bottom w:val="single" w:sz="6" w:space="0" w:color="auto"/>
              <w:right w:val="single" w:sz="6" w:space="0" w:color="auto"/>
            </w:tcBorders>
            <w:hideMark/>
          </w:tcPr>
          <w:p w14:paraId="596F2BCA" w14:textId="77777777" w:rsidR="00CA0334" w:rsidRDefault="00CA0334" w:rsidP="00BD1F8C">
            <w:pPr>
              <w:pStyle w:val="TAH"/>
              <w:rPr>
                <w:lang w:eastAsia="zh-CN"/>
              </w:rPr>
            </w:pPr>
            <w:r>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18EFDA3F" w14:textId="77777777" w:rsidR="00CA0334" w:rsidRDefault="00CA0334" w:rsidP="00BD1F8C">
            <w:pPr>
              <w:pStyle w:val="TAH"/>
              <w:rPr>
                <w:lang w:eastAsia="zh-CN"/>
              </w:rPr>
            </w:pPr>
            <w:r>
              <w:rPr>
                <w:lang w:eastAsia="zh-CN"/>
              </w:rPr>
              <w:t>Filter on the adjacent channel frequency and corresponding filter bandwidth</w:t>
            </w:r>
          </w:p>
        </w:tc>
        <w:tc>
          <w:tcPr>
            <w:tcW w:w="1283" w:type="dxa"/>
            <w:tcBorders>
              <w:top w:val="single" w:sz="6" w:space="0" w:color="auto"/>
              <w:left w:val="single" w:sz="6" w:space="0" w:color="auto"/>
              <w:bottom w:val="single" w:sz="6" w:space="0" w:color="auto"/>
              <w:right w:val="single" w:sz="6" w:space="0" w:color="auto"/>
            </w:tcBorders>
            <w:hideMark/>
          </w:tcPr>
          <w:p w14:paraId="44947203" w14:textId="77777777" w:rsidR="00CA0334" w:rsidRDefault="00CA0334" w:rsidP="00BD1F8C">
            <w:pPr>
              <w:pStyle w:val="TAH"/>
              <w:rPr>
                <w:lang w:eastAsia="zh-CN"/>
              </w:rPr>
            </w:pPr>
            <w:r>
              <w:rPr>
                <w:lang w:eastAsia="zh-CN"/>
              </w:rPr>
              <w:t>CACLR limit</w:t>
            </w:r>
          </w:p>
        </w:tc>
      </w:tr>
      <w:tr w:rsidR="00CA0334" w14:paraId="29388A9B" w14:textId="77777777" w:rsidTr="006C53A6">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65F0A68C" w14:textId="77777777" w:rsidR="00CA0334" w:rsidRDefault="00CA0334" w:rsidP="006C53A6">
            <w:pPr>
              <w:pStyle w:val="TAC"/>
              <w:rPr>
                <w:rFonts w:eastAsia="SimSun"/>
                <w:lang w:eastAsia="zh-CN"/>
              </w:rPr>
            </w:pPr>
            <w:r>
              <w:rPr>
                <w:lang w:eastAsia="zh-CN"/>
              </w:rPr>
              <w:t>50, 100</w:t>
            </w:r>
          </w:p>
        </w:tc>
        <w:tc>
          <w:tcPr>
            <w:tcW w:w="1458" w:type="dxa"/>
            <w:tcBorders>
              <w:top w:val="single" w:sz="6" w:space="0" w:color="auto"/>
              <w:left w:val="single" w:sz="6" w:space="0" w:color="auto"/>
              <w:bottom w:val="single" w:sz="6" w:space="0" w:color="auto"/>
              <w:right w:val="single" w:sz="6" w:space="0" w:color="auto"/>
            </w:tcBorders>
            <w:hideMark/>
          </w:tcPr>
          <w:p w14:paraId="5C322E3C" w14:textId="77777777" w:rsidR="00CA0334" w:rsidRDefault="00CA0334" w:rsidP="006C53A6">
            <w:pPr>
              <w:pStyle w:val="TAC"/>
              <w:rPr>
                <w:rFonts w:cs="Arial"/>
                <w:szCs w:val="18"/>
                <w:lang w:val="en-US"/>
              </w:rPr>
            </w:pPr>
            <w:r>
              <w:rPr>
                <w:rFonts w:cs="Arial"/>
                <w:szCs w:val="18"/>
                <w:lang w:eastAsia="zh-CN"/>
              </w:rPr>
              <w:t>50 ≤W</w:t>
            </w:r>
            <w:r>
              <w:rPr>
                <w:rFonts w:cs="Arial"/>
                <w:szCs w:val="18"/>
                <w:vertAlign w:val="subscript"/>
                <w:lang w:eastAsia="zh-CN"/>
              </w:rPr>
              <w:t>gap</w:t>
            </w:r>
            <w:r>
              <w:rPr>
                <w:rFonts w:cs="Arial"/>
                <w:szCs w:val="18"/>
                <w:lang w:eastAsia="zh-CN"/>
              </w:rPr>
              <w:t xml:space="preserve">&lt; 100 </w:t>
            </w:r>
            <w:r>
              <w:rPr>
                <w:rFonts w:cs="Arial"/>
                <w:szCs w:val="18"/>
                <w:lang w:val="en-US"/>
              </w:rPr>
              <w:t>(Note 5)</w:t>
            </w:r>
          </w:p>
          <w:p w14:paraId="0C24AAC9" w14:textId="77777777" w:rsidR="00CA0334" w:rsidRDefault="00CA0334" w:rsidP="006C53A6">
            <w:pPr>
              <w:pStyle w:val="TAC"/>
              <w:rPr>
                <w:rFonts w:cs="Arial"/>
                <w:szCs w:val="18"/>
                <w:lang w:eastAsia="zh-CN"/>
              </w:rPr>
            </w:pPr>
            <w:r>
              <w:rPr>
                <w:rFonts w:cs="Arial"/>
                <w:szCs w:val="18"/>
                <w:lang w:eastAsia="zh-CN"/>
              </w:rPr>
              <w:t>50 ≤W</w:t>
            </w:r>
            <w:r>
              <w:rPr>
                <w:rFonts w:cs="Arial"/>
                <w:szCs w:val="18"/>
                <w:vertAlign w:val="subscript"/>
                <w:lang w:eastAsia="zh-CN"/>
              </w:rPr>
              <w:t>gap</w:t>
            </w:r>
            <w:r>
              <w:rPr>
                <w:rFonts w:cs="Arial"/>
                <w:szCs w:val="18"/>
                <w:lang w:eastAsia="zh-CN"/>
              </w:rPr>
              <w:t>&lt; 250 (Note 6)</w:t>
            </w:r>
          </w:p>
        </w:tc>
        <w:tc>
          <w:tcPr>
            <w:tcW w:w="2022" w:type="dxa"/>
            <w:tcBorders>
              <w:top w:val="single" w:sz="6" w:space="0" w:color="auto"/>
              <w:left w:val="single" w:sz="6" w:space="0" w:color="auto"/>
              <w:bottom w:val="single" w:sz="6" w:space="0" w:color="auto"/>
              <w:right w:val="single" w:sz="6" w:space="0" w:color="auto"/>
            </w:tcBorders>
            <w:hideMark/>
          </w:tcPr>
          <w:p w14:paraId="75B8A593" w14:textId="77777777" w:rsidR="00CA0334" w:rsidRDefault="00CA0334" w:rsidP="006C53A6">
            <w:pPr>
              <w:pStyle w:val="TAC"/>
              <w:rPr>
                <w:lang w:eastAsia="zh-CN"/>
              </w:rPr>
            </w:pPr>
            <w:r>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47B50052" w14:textId="77777777" w:rsidR="00CA0334" w:rsidRDefault="00CA0334" w:rsidP="006C53A6">
            <w:pPr>
              <w:pStyle w:val="TAC"/>
              <w:rPr>
                <w:lang w:eastAsia="zh-CN"/>
              </w:rPr>
            </w:pPr>
            <w:r>
              <w:rPr>
                <w:rFonts w:eastAsia="SimSun"/>
                <w:lang w:eastAsia="zh-CN"/>
              </w:rPr>
              <w:t xml:space="preserve">50 MHz </w:t>
            </w:r>
            <w:r>
              <w:rPr>
                <w:lang w:eastAsia="zh-CN"/>
              </w:rPr>
              <w:t xml:space="preserve">NR </w:t>
            </w:r>
            <w:r>
              <w:t>(Note 2)</w:t>
            </w:r>
          </w:p>
        </w:tc>
        <w:tc>
          <w:tcPr>
            <w:tcW w:w="0" w:type="auto"/>
            <w:tcBorders>
              <w:top w:val="single" w:sz="6" w:space="0" w:color="auto"/>
              <w:left w:val="single" w:sz="6" w:space="0" w:color="auto"/>
              <w:bottom w:val="single" w:sz="6" w:space="0" w:color="auto"/>
              <w:right w:val="single" w:sz="6" w:space="0" w:color="auto"/>
            </w:tcBorders>
            <w:hideMark/>
          </w:tcPr>
          <w:p w14:paraId="05DA36D0" w14:textId="77777777" w:rsidR="00CA0334" w:rsidRDefault="00CA0334" w:rsidP="006C53A6">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83" w:type="dxa"/>
            <w:tcBorders>
              <w:top w:val="single" w:sz="6" w:space="0" w:color="auto"/>
              <w:left w:val="single" w:sz="6" w:space="0" w:color="auto"/>
              <w:bottom w:val="single" w:sz="6" w:space="0" w:color="auto"/>
              <w:right w:val="single" w:sz="6" w:space="0" w:color="auto"/>
            </w:tcBorders>
          </w:tcPr>
          <w:p w14:paraId="7AF1474A" w14:textId="0EB45BED" w:rsidR="00CA0334" w:rsidRDefault="00CA0334" w:rsidP="006C53A6">
            <w:pPr>
              <w:pStyle w:val="TAC"/>
            </w:pPr>
            <w:r>
              <w:t>28 (Note 3)</w:t>
            </w:r>
          </w:p>
          <w:p w14:paraId="1548E9A8" w14:textId="77777777" w:rsidR="00CA0334" w:rsidRDefault="00CA0334" w:rsidP="006C53A6">
            <w:pPr>
              <w:pStyle w:val="TAC"/>
              <w:rPr>
                <w:lang w:eastAsia="zh-CN"/>
              </w:rPr>
            </w:pPr>
            <w:r>
              <w:t>26 (Note 4)</w:t>
            </w:r>
          </w:p>
        </w:tc>
      </w:tr>
      <w:tr w:rsidR="00CA0334" w14:paraId="5A0864FA" w14:textId="77777777" w:rsidTr="006C53A6">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792A151A" w14:textId="77777777" w:rsidR="00CA0334" w:rsidRDefault="00CA0334" w:rsidP="006C53A6">
            <w:pPr>
              <w:pStyle w:val="TAC"/>
              <w:rPr>
                <w:rFonts w:eastAsia="SimSun"/>
                <w:lang w:eastAsia="zh-CN"/>
              </w:rPr>
            </w:pPr>
            <w:r>
              <w:rPr>
                <w:rFonts w:eastAsia="SimSun"/>
                <w:lang w:eastAsia="zh-CN"/>
              </w:rPr>
              <w:t>200, 400</w:t>
            </w:r>
          </w:p>
        </w:tc>
        <w:tc>
          <w:tcPr>
            <w:tcW w:w="1458" w:type="dxa"/>
            <w:tcBorders>
              <w:top w:val="single" w:sz="6" w:space="0" w:color="auto"/>
              <w:left w:val="single" w:sz="6" w:space="0" w:color="auto"/>
              <w:bottom w:val="single" w:sz="6" w:space="0" w:color="auto"/>
              <w:right w:val="single" w:sz="6" w:space="0" w:color="auto"/>
            </w:tcBorders>
            <w:hideMark/>
          </w:tcPr>
          <w:p w14:paraId="5E787A82" w14:textId="77777777" w:rsidR="00CA0334" w:rsidRDefault="00CA0334" w:rsidP="006C53A6">
            <w:pPr>
              <w:pStyle w:val="TAC"/>
              <w:rPr>
                <w:rFonts w:cs="Arial"/>
                <w:lang w:val="en-US"/>
              </w:rPr>
            </w:pPr>
            <w:r>
              <w:rPr>
                <w:rFonts w:cs="Arial"/>
                <w:lang w:eastAsia="zh-CN"/>
              </w:rPr>
              <w:t>200 ≤</w:t>
            </w:r>
            <w:r>
              <w:rPr>
                <w:rFonts w:cs="Arial"/>
                <w:szCs w:val="18"/>
                <w:lang w:eastAsia="zh-CN"/>
              </w:rPr>
              <w:t>W</w:t>
            </w:r>
            <w:r>
              <w:rPr>
                <w:rFonts w:cs="Arial"/>
                <w:szCs w:val="18"/>
                <w:vertAlign w:val="subscript"/>
                <w:lang w:eastAsia="zh-CN"/>
              </w:rPr>
              <w:t>gap</w:t>
            </w:r>
            <w:r>
              <w:rPr>
                <w:rFonts w:cs="Arial"/>
                <w:lang w:eastAsia="zh-CN"/>
              </w:rPr>
              <w:t xml:space="preserve">&lt; 400 </w:t>
            </w:r>
            <w:r>
              <w:rPr>
                <w:rFonts w:cs="Arial"/>
                <w:lang w:val="en-US"/>
              </w:rPr>
              <w:t>(Note 6)</w:t>
            </w:r>
          </w:p>
          <w:p w14:paraId="4F00B500" w14:textId="77777777" w:rsidR="00CA0334" w:rsidRDefault="00CA0334" w:rsidP="006C53A6">
            <w:pPr>
              <w:pStyle w:val="TAC"/>
              <w:rPr>
                <w:rFonts w:cs="Arial"/>
                <w:lang w:eastAsia="zh-CN"/>
              </w:rPr>
            </w:pPr>
            <w:r>
              <w:rPr>
                <w:rFonts w:cs="Arial"/>
                <w:lang w:eastAsia="zh-CN"/>
              </w:rPr>
              <w:t>200 ≤</w:t>
            </w:r>
            <w:r>
              <w:rPr>
                <w:rFonts w:cs="Arial"/>
                <w:szCs w:val="18"/>
                <w:lang w:eastAsia="zh-CN"/>
              </w:rPr>
              <w:t>W</w:t>
            </w:r>
            <w:r>
              <w:rPr>
                <w:rFonts w:cs="Arial"/>
                <w:szCs w:val="18"/>
                <w:vertAlign w:val="subscript"/>
                <w:lang w:eastAsia="zh-CN"/>
              </w:rPr>
              <w:t>gap</w:t>
            </w:r>
            <w:r>
              <w:rPr>
                <w:rFonts w:cs="Arial"/>
                <w:lang w:eastAsia="zh-CN"/>
              </w:rPr>
              <w:t>&lt; 250 (Note 5)</w:t>
            </w:r>
          </w:p>
        </w:tc>
        <w:tc>
          <w:tcPr>
            <w:tcW w:w="2022" w:type="dxa"/>
            <w:tcBorders>
              <w:top w:val="single" w:sz="6" w:space="0" w:color="auto"/>
              <w:left w:val="single" w:sz="6" w:space="0" w:color="auto"/>
              <w:bottom w:val="single" w:sz="6" w:space="0" w:color="auto"/>
              <w:right w:val="single" w:sz="6" w:space="0" w:color="auto"/>
            </w:tcBorders>
            <w:hideMark/>
          </w:tcPr>
          <w:p w14:paraId="692CB0CA" w14:textId="77777777" w:rsidR="00CA0334" w:rsidRDefault="00CA0334" w:rsidP="006C53A6">
            <w:pPr>
              <w:pStyle w:val="TAC"/>
              <w:rPr>
                <w:lang w:eastAsia="zh-CN"/>
              </w:rPr>
            </w:pPr>
            <w:r>
              <w:rPr>
                <w:rFonts w:cs="Arial"/>
                <w:lang w:eastAsia="zh-CN"/>
              </w:rPr>
              <w:t>100 MHz</w:t>
            </w:r>
          </w:p>
        </w:tc>
        <w:tc>
          <w:tcPr>
            <w:tcW w:w="0" w:type="auto"/>
            <w:tcBorders>
              <w:top w:val="single" w:sz="6" w:space="0" w:color="auto"/>
              <w:left w:val="single" w:sz="6" w:space="0" w:color="auto"/>
              <w:bottom w:val="single" w:sz="6" w:space="0" w:color="auto"/>
              <w:right w:val="single" w:sz="6" w:space="0" w:color="auto"/>
            </w:tcBorders>
            <w:hideMark/>
          </w:tcPr>
          <w:p w14:paraId="728735E2" w14:textId="77777777" w:rsidR="00CA0334" w:rsidRDefault="00CA0334" w:rsidP="006C53A6">
            <w:pPr>
              <w:pStyle w:val="TAC"/>
              <w:rPr>
                <w:lang w:eastAsia="zh-CN"/>
              </w:rPr>
            </w:pPr>
            <w:r>
              <w:rPr>
                <w:lang w:eastAsia="zh-CN"/>
              </w:rPr>
              <w:t xml:space="preserve">200 MHz NR </w:t>
            </w:r>
            <w:r>
              <w:t>(Note 2)</w:t>
            </w:r>
          </w:p>
        </w:tc>
        <w:tc>
          <w:tcPr>
            <w:tcW w:w="0" w:type="auto"/>
            <w:tcBorders>
              <w:top w:val="single" w:sz="6" w:space="0" w:color="auto"/>
              <w:left w:val="single" w:sz="6" w:space="0" w:color="auto"/>
              <w:bottom w:val="single" w:sz="6" w:space="0" w:color="auto"/>
              <w:right w:val="single" w:sz="6" w:space="0" w:color="auto"/>
            </w:tcBorders>
            <w:hideMark/>
          </w:tcPr>
          <w:p w14:paraId="482B0CA6" w14:textId="77777777" w:rsidR="00CA0334" w:rsidRDefault="00CA0334" w:rsidP="006C53A6">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83" w:type="dxa"/>
            <w:tcBorders>
              <w:top w:val="single" w:sz="6" w:space="0" w:color="auto"/>
              <w:left w:val="single" w:sz="6" w:space="0" w:color="auto"/>
              <w:bottom w:val="single" w:sz="6" w:space="0" w:color="auto"/>
              <w:right w:val="single" w:sz="6" w:space="0" w:color="auto"/>
            </w:tcBorders>
          </w:tcPr>
          <w:p w14:paraId="74877814" w14:textId="4FAD8FE2" w:rsidR="00CA0334" w:rsidRDefault="00CA0334" w:rsidP="006C53A6">
            <w:pPr>
              <w:pStyle w:val="TAC"/>
            </w:pPr>
            <w:r>
              <w:t>28 (Note 3)</w:t>
            </w:r>
          </w:p>
          <w:p w14:paraId="0C16996B" w14:textId="77777777" w:rsidR="00CA0334" w:rsidRDefault="00CA0334" w:rsidP="006C53A6">
            <w:pPr>
              <w:pStyle w:val="TAC"/>
              <w:rPr>
                <w:lang w:eastAsia="zh-CN"/>
              </w:rPr>
            </w:pPr>
            <w:r>
              <w:t>26 (Note 4)</w:t>
            </w:r>
          </w:p>
        </w:tc>
      </w:tr>
      <w:tr w:rsidR="00CA0334" w:rsidRPr="00AB3358" w14:paraId="13E2AAB6" w14:textId="77777777" w:rsidTr="00BD1F8C">
        <w:trPr>
          <w:gridBefore w:val="1"/>
          <w:wBefore w:w="20" w:type="dxa"/>
          <w:cantSplit/>
          <w:jc w:val="center"/>
        </w:trPr>
        <w:tc>
          <w:tcPr>
            <w:tcW w:w="9975" w:type="dxa"/>
            <w:gridSpan w:val="7"/>
            <w:tcBorders>
              <w:top w:val="single" w:sz="6" w:space="0" w:color="auto"/>
              <w:left w:val="single" w:sz="6" w:space="0" w:color="auto"/>
              <w:bottom w:val="single" w:sz="6" w:space="0" w:color="auto"/>
              <w:right w:val="single" w:sz="6" w:space="0" w:color="auto"/>
            </w:tcBorders>
            <w:hideMark/>
          </w:tcPr>
          <w:p w14:paraId="0F16B320" w14:textId="77777777" w:rsidR="00CA0334" w:rsidRDefault="00CA0334" w:rsidP="00BD1F8C">
            <w:pPr>
              <w:pStyle w:val="TAN"/>
              <w:rPr>
                <w:lang w:eastAsia="zh-CN"/>
              </w:rPr>
            </w:pPr>
            <w:r>
              <w:rPr>
                <w:lang w:eastAsia="zh-CN"/>
              </w:rPr>
              <w:t>NOTE 1:</w:t>
            </w:r>
            <w:r>
              <w:rPr>
                <w:lang w:eastAsia="zh-CN"/>
              </w:rPr>
              <w:tab/>
              <w:t>BW</w:t>
            </w:r>
            <w:r>
              <w:rPr>
                <w:vertAlign w:val="subscript"/>
                <w:lang w:eastAsia="zh-CN"/>
              </w:rPr>
              <w:t>Config</w:t>
            </w:r>
            <w:r>
              <w:rPr>
                <w:lang w:eastAsia="zh-CN"/>
              </w:rPr>
              <w:t xml:space="preserve"> is the transmission bandwidth configuration of the </w:t>
            </w:r>
            <w:r>
              <w:rPr>
                <w:rFonts w:cs="v5.0.0"/>
                <w:lang w:eastAsia="zh-CN"/>
              </w:rPr>
              <w:t>assumed adjacent channel carrier</w:t>
            </w:r>
            <w:r>
              <w:rPr>
                <w:lang w:eastAsia="zh-CN"/>
              </w:rPr>
              <w:t>.</w:t>
            </w:r>
          </w:p>
          <w:p w14:paraId="74E2801B" w14:textId="77777777" w:rsidR="00CA0334" w:rsidRDefault="00CA0334" w:rsidP="00BD1F8C">
            <w:pPr>
              <w:pStyle w:val="TAN"/>
              <w:rPr>
                <w:rFonts w:cs="v5.0.0"/>
              </w:rPr>
            </w:pPr>
            <w:r>
              <w:t>NOTE 2:</w:t>
            </w:r>
            <w:r>
              <w:tab/>
              <w:t xml:space="preserve">With SCS that provides largest </w:t>
            </w:r>
            <w:r>
              <w:rPr>
                <w:rFonts w:cs="Arial"/>
              </w:rPr>
              <w:t>transmission bandwidth configuration (BW</w:t>
            </w:r>
            <w:r>
              <w:rPr>
                <w:rFonts w:cs="Arial"/>
                <w:vertAlign w:val="subscript"/>
              </w:rPr>
              <w:t>Config</w:t>
            </w:r>
            <w:r>
              <w:rPr>
                <w:rFonts w:cs="v5.0.0"/>
              </w:rPr>
              <w:t>).</w:t>
            </w:r>
          </w:p>
          <w:p w14:paraId="30596F77" w14:textId="77777777" w:rsidR="00CA0334" w:rsidRDefault="00CA0334" w:rsidP="00BD1F8C">
            <w:pPr>
              <w:pStyle w:val="TAN"/>
              <w:rPr>
                <w:rFonts w:eastAsia="SimSun"/>
                <w:lang w:eastAsia="zh-CN"/>
              </w:rPr>
            </w:pPr>
            <w:r>
              <w:rPr>
                <w:rFonts w:eastAsia="SimSun"/>
                <w:lang w:eastAsia="zh-CN"/>
              </w:rPr>
              <w:t>NOTE 3:</w:t>
            </w:r>
            <w:r>
              <w:rPr>
                <w:rFonts w:eastAsia="SimSun"/>
                <w:lang w:eastAsia="zh-CN"/>
              </w:rPr>
              <w:tab/>
              <w:t>Applicable to bands defined within the frequency spectrum range of 24.25 – 33.4 GHz.</w:t>
            </w:r>
          </w:p>
          <w:p w14:paraId="7215F22F" w14:textId="77777777" w:rsidR="00CA0334" w:rsidRDefault="00CA0334" w:rsidP="00BD1F8C">
            <w:pPr>
              <w:pStyle w:val="TAN"/>
              <w:rPr>
                <w:rFonts w:eastAsia="SimSun"/>
                <w:lang w:eastAsia="zh-CN"/>
              </w:rPr>
            </w:pPr>
            <w:r>
              <w:rPr>
                <w:rFonts w:eastAsia="SimSun"/>
                <w:lang w:eastAsia="zh-CN"/>
              </w:rPr>
              <w:t>NOTE 4:</w:t>
            </w:r>
            <w:r>
              <w:rPr>
                <w:rFonts w:eastAsia="SimSun"/>
                <w:lang w:eastAsia="zh-CN"/>
              </w:rPr>
              <w:tab/>
              <w:t>Applicable to bands defined within the frequency spectrum range of 37 – 52.6 GHz.</w:t>
            </w:r>
          </w:p>
          <w:p w14:paraId="4EF8D9A1" w14:textId="77777777" w:rsidR="00CA0334" w:rsidRDefault="00CA0334" w:rsidP="00BD1F8C">
            <w:pPr>
              <w:pStyle w:val="TAN"/>
              <w:rPr>
                <w:rFonts w:eastAsia="SimSun"/>
                <w:lang w:eastAsia="zh-CN"/>
              </w:rPr>
            </w:pPr>
            <w:r>
              <w:rPr>
                <w:rFonts w:eastAsia="SimSun"/>
                <w:lang w:eastAsia="zh-CN"/>
              </w:rPr>
              <w:t>NOTE 5:</w:t>
            </w:r>
            <w:r>
              <w:rPr>
                <w:rFonts w:eastAsia="SimSun"/>
                <w:lang w:eastAsia="zh-CN"/>
              </w:rPr>
              <w:tab/>
              <w:t xml:space="preserve">Applicable in case the </w:t>
            </w:r>
            <w:r>
              <w:rPr>
                <w:i/>
              </w:rPr>
              <w:t xml:space="preserve">IAB-DU </w:t>
            </w:r>
            <w:r w:rsidRPr="00743313">
              <w:rPr>
                <w:iCs/>
              </w:rPr>
              <w:t>or</w:t>
            </w:r>
            <w:r>
              <w:rPr>
                <w:i/>
              </w:rPr>
              <w:t xml:space="preserve"> IAB-MT channel bandwidth</w:t>
            </w:r>
            <w:r>
              <w:rPr>
                <w:rFonts w:eastAsia="SimSun"/>
                <w:lang w:eastAsia="zh-CN"/>
              </w:rPr>
              <w:t xml:space="preserve"> of the NR carrier transmitted at the other edge of the gap is 50 or 100 MHz.</w:t>
            </w:r>
          </w:p>
          <w:p w14:paraId="3BC1C656" w14:textId="77777777" w:rsidR="00CA0334" w:rsidRDefault="00CA0334" w:rsidP="00BD1F8C">
            <w:pPr>
              <w:pStyle w:val="TAN"/>
              <w:rPr>
                <w:rFonts w:eastAsia="SimSun"/>
                <w:lang w:eastAsia="zh-CN"/>
              </w:rPr>
            </w:pPr>
            <w:r>
              <w:rPr>
                <w:rFonts w:eastAsia="SimSun"/>
                <w:lang w:eastAsia="zh-CN"/>
              </w:rPr>
              <w:t>NOTE 6:</w:t>
            </w:r>
            <w:r>
              <w:rPr>
                <w:rFonts w:eastAsia="SimSun"/>
                <w:lang w:eastAsia="zh-CN"/>
              </w:rPr>
              <w:tab/>
              <w:t xml:space="preserve">Applicable in case the </w:t>
            </w:r>
            <w:r>
              <w:rPr>
                <w:i/>
              </w:rPr>
              <w:t xml:space="preserve">IAB-DU </w:t>
            </w:r>
            <w:r w:rsidRPr="00C41B39">
              <w:rPr>
                <w:iCs/>
              </w:rPr>
              <w:t>or</w:t>
            </w:r>
            <w:r>
              <w:rPr>
                <w:i/>
              </w:rPr>
              <w:t xml:space="preserve"> IAB-MT channel bandwidth</w:t>
            </w:r>
            <w:r>
              <w:rPr>
                <w:rFonts w:eastAsia="SimSun"/>
                <w:lang w:eastAsia="zh-CN"/>
              </w:rPr>
              <w:t xml:space="preserve"> of the NR carrier transmitted at the other edge of the gap is 200 or 400 MHz.</w:t>
            </w:r>
          </w:p>
        </w:tc>
      </w:tr>
    </w:tbl>
    <w:p w14:paraId="79BBB6F2" w14:textId="77777777" w:rsidR="00CA0334" w:rsidRDefault="00CA0334" w:rsidP="00CA0334">
      <w:pPr>
        <w:rPr>
          <w:szCs w:val="24"/>
        </w:rPr>
      </w:pPr>
    </w:p>
    <w:p w14:paraId="0B542FB8" w14:textId="77777777" w:rsidR="006C53A6" w:rsidRDefault="006C53A6" w:rsidP="006C53A6">
      <w:pPr>
        <w:pStyle w:val="TH"/>
      </w:pPr>
      <w:r>
        <w:lastRenderedPageBreak/>
        <w:t>Table 9.7.3.3-</w:t>
      </w:r>
      <w:r>
        <w:rPr>
          <w:rFonts w:eastAsia="SimSun"/>
        </w:rPr>
        <w:t>5</w:t>
      </w:r>
      <w:r>
        <w:t xml:space="preserve">: </w:t>
      </w:r>
      <w:r>
        <w:rPr>
          <w:i/>
        </w:rPr>
        <w:t>IAB-DU type 2-O</w:t>
      </w:r>
      <w:r>
        <w:t xml:space="preserve"> and Wide area </w:t>
      </w:r>
      <w:r w:rsidRPr="0063534F">
        <w:rPr>
          <w:i/>
          <w:iCs/>
        </w:rPr>
        <w:t>IAB-MT type 2-O</w:t>
      </w:r>
      <w:r>
        <w:t xml:space="preserve"> </w:t>
      </w:r>
      <w:r>
        <w:rPr>
          <w:rFonts w:eastAsia="SimSun"/>
        </w:rPr>
        <w:t>C</w:t>
      </w:r>
      <w:r>
        <w:t>ACLR absolute limit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2693"/>
      </w:tblGrid>
      <w:tr w:rsidR="00CA0334" w14:paraId="6F1E74E9"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3D1469FF" w14:textId="77777777" w:rsidR="00CA0334" w:rsidRDefault="00CA0334" w:rsidP="00BD1F8C">
            <w:pPr>
              <w:pStyle w:val="TAH"/>
            </w:pPr>
            <w:r w:rsidRPr="00AB294F">
              <w:t>IAB-DU and IAB-MT class</w:t>
            </w:r>
          </w:p>
        </w:tc>
        <w:tc>
          <w:tcPr>
            <w:tcW w:w="2693" w:type="dxa"/>
            <w:tcBorders>
              <w:top w:val="single" w:sz="4" w:space="0" w:color="auto"/>
              <w:left w:val="single" w:sz="4" w:space="0" w:color="auto"/>
              <w:bottom w:val="single" w:sz="4" w:space="0" w:color="auto"/>
              <w:right w:val="single" w:sz="4" w:space="0" w:color="auto"/>
            </w:tcBorders>
            <w:hideMark/>
          </w:tcPr>
          <w:p w14:paraId="533338FF" w14:textId="77777777" w:rsidR="00CA0334" w:rsidRDefault="00CA0334" w:rsidP="00BD1F8C">
            <w:pPr>
              <w:pStyle w:val="TAH"/>
            </w:pPr>
            <w:r>
              <w:rPr>
                <w:rFonts w:eastAsia="SimSun"/>
                <w:lang w:val="en-US" w:eastAsia="zh-CN"/>
              </w:rPr>
              <w:t>C</w:t>
            </w:r>
            <w:r>
              <w:t>ACLR absolute limit</w:t>
            </w:r>
          </w:p>
        </w:tc>
      </w:tr>
      <w:tr w:rsidR="00CA0334" w14:paraId="3B6E97B8"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7E780C85" w14:textId="77777777" w:rsidR="00CA0334" w:rsidRDefault="00CA0334" w:rsidP="00BD1F8C">
            <w:pPr>
              <w:pStyle w:val="TAC"/>
            </w:pPr>
            <w:r w:rsidRPr="00AB294F">
              <w:t>Wide area IAB-DU and Wide area IAB-MT</w:t>
            </w:r>
          </w:p>
        </w:tc>
        <w:tc>
          <w:tcPr>
            <w:tcW w:w="2693" w:type="dxa"/>
            <w:tcBorders>
              <w:top w:val="single" w:sz="4" w:space="0" w:color="auto"/>
              <w:left w:val="single" w:sz="4" w:space="0" w:color="auto"/>
              <w:bottom w:val="single" w:sz="4" w:space="0" w:color="auto"/>
              <w:right w:val="single" w:sz="4" w:space="0" w:color="auto"/>
            </w:tcBorders>
            <w:hideMark/>
          </w:tcPr>
          <w:p w14:paraId="5E855083" w14:textId="77777777" w:rsidR="00CA0334" w:rsidRDefault="00CA0334" w:rsidP="00BD1F8C">
            <w:pPr>
              <w:pStyle w:val="TAC"/>
            </w:pPr>
            <w:r>
              <w:t>-13 dBm/MHz</w:t>
            </w:r>
          </w:p>
        </w:tc>
      </w:tr>
      <w:tr w:rsidR="00CA0334" w14:paraId="0CD14601"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1CBF376D" w14:textId="77777777" w:rsidR="00CA0334" w:rsidRDefault="00CA0334" w:rsidP="00BD1F8C">
            <w:pPr>
              <w:pStyle w:val="TAC"/>
            </w:pPr>
            <w:r w:rsidRPr="00AB294F">
              <w:t>Medium range IAB-DU</w:t>
            </w:r>
          </w:p>
        </w:tc>
        <w:tc>
          <w:tcPr>
            <w:tcW w:w="2693" w:type="dxa"/>
            <w:tcBorders>
              <w:top w:val="single" w:sz="4" w:space="0" w:color="auto"/>
              <w:left w:val="single" w:sz="4" w:space="0" w:color="auto"/>
              <w:bottom w:val="single" w:sz="4" w:space="0" w:color="auto"/>
              <w:right w:val="single" w:sz="4" w:space="0" w:color="auto"/>
            </w:tcBorders>
            <w:hideMark/>
          </w:tcPr>
          <w:p w14:paraId="6EBE124F" w14:textId="77777777" w:rsidR="00CA0334" w:rsidRDefault="00CA0334" w:rsidP="00BD1F8C">
            <w:pPr>
              <w:pStyle w:val="TAC"/>
            </w:pPr>
            <w:r>
              <w:t>-20 dBm/MHz</w:t>
            </w:r>
          </w:p>
        </w:tc>
      </w:tr>
      <w:tr w:rsidR="00CA0334" w14:paraId="3C591F52"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53775E04" w14:textId="77777777" w:rsidR="00CA0334" w:rsidRDefault="00CA0334" w:rsidP="00BD1F8C">
            <w:pPr>
              <w:pStyle w:val="TAC"/>
            </w:pPr>
            <w:r w:rsidRPr="00AB294F">
              <w:t>Local area IAB-DU</w:t>
            </w:r>
          </w:p>
        </w:tc>
        <w:tc>
          <w:tcPr>
            <w:tcW w:w="2693" w:type="dxa"/>
            <w:tcBorders>
              <w:top w:val="single" w:sz="4" w:space="0" w:color="auto"/>
              <w:left w:val="single" w:sz="4" w:space="0" w:color="auto"/>
              <w:bottom w:val="single" w:sz="4" w:space="0" w:color="auto"/>
              <w:right w:val="single" w:sz="4" w:space="0" w:color="auto"/>
            </w:tcBorders>
            <w:hideMark/>
          </w:tcPr>
          <w:p w14:paraId="255EAE80" w14:textId="77777777" w:rsidR="00CA0334" w:rsidRDefault="00CA0334" w:rsidP="00BD1F8C">
            <w:pPr>
              <w:pStyle w:val="TAC"/>
            </w:pPr>
            <w:r>
              <w:t>-20 dBm/MHz</w:t>
            </w:r>
          </w:p>
        </w:tc>
      </w:tr>
    </w:tbl>
    <w:p w14:paraId="421356D2" w14:textId="77777777" w:rsidR="00CA0334" w:rsidRDefault="00CA0334" w:rsidP="00CA0334"/>
    <w:p w14:paraId="7AF67B72" w14:textId="77777777" w:rsidR="00CA0334" w:rsidRDefault="00CA0334" w:rsidP="00CA0334">
      <w:pPr>
        <w:pStyle w:val="TH"/>
      </w:pPr>
      <w:r>
        <w:t>Table 9.7.3.3-6: Filter parameters for the assigned channel</w:t>
      </w:r>
    </w:p>
    <w:tbl>
      <w:tblPr>
        <w:tblW w:w="642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596"/>
        <w:gridCol w:w="3824"/>
      </w:tblGrid>
      <w:tr w:rsidR="00CA0334" w:rsidRPr="00AB3358" w14:paraId="268A1C06" w14:textId="77777777" w:rsidTr="00BD1F8C">
        <w:trPr>
          <w:cantSplit/>
          <w:jc w:val="center"/>
        </w:trPr>
        <w:tc>
          <w:tcPr>
            <w:tcW w:w="2596" w:type="dxa"/>
            <w:tcBorders>
              <w:top w:val="single" w:sz="6" w:space="0" w:color="auto"/>
              <w:left w:val="single" w:sz="6" w:space="0" w:color="auto"/>
              <w:bottom w:val="single" w:sz="6" w:space="0" w:color="auto"/>
              <w:right w:val="single" w:sz="6" w:space="0" w:color="auto"/>
            </w:tcBorders>
            <w:hideMark/>
          </w:tcPr>
          <w:p w14:paraId="5CEAB75A" w14:textId="77777777" w:rsidR="00CA0334" w:rsidRDefault="00CA0334" w:rsidP="00BD1F8C">
            <w:pPr>
              <w:pStyle w:val="TAH"/>
              <w:rPr>
                <w:rFonts w:eastAsia="SimSun"/>
              </w:rPr>
            </w:pPr>
            <w:r>
              <w:rPr>
                <w:rFonts w:eastAsia="SimSun"/>
              </w:rPr>
              <w:t xml:space="preserve">RAT of the carrier adjacent to the </w:t>
            </w:r>
            <w:r>
              <w:rPr>
                <w:rFonts w:eastAsia="SimSun"/>
                <w:i/>
              </w:rPr>
              <w:t>sub-block gap</w:t>
            </w:r>
            <w:r>
              <w:rPr>
                <w:rFonts w:eastAsia="SimSun"/>
              </w:rPr>
              <w:t xml:space="preserve"> </w:t>
            </w:r>
          </w:p>
        </w:tc>
        <w:tc>
          <w:tcPr>
            <w:tcW w:w="3824" w:type="dxa"/>
            <w:tcBorders>
              <w:top w:val="single" w:sz="6" w:space="0" w:color="auto"/>
              <w:left w:val="single" w:sz="6" w:space="0" w:color="auto"/>
              <w:bottom w:val="single" w:sz="6" w:space="0" w:color="auto"/>
              <w:right w:val="single" w:sz="6" w:space="0" w:color="auto"/>
            </w:tcBorders>
            <w:hideMark/>
          </w:tcPr>
          <w:p w14:paraId="3388EA1D" w14:textId="77777777" w:rsidR="00CA0334" w:rsidRDefault="00CA0334" w:rsidP="00BD1F8C">
            <w:pPr>
              <w:pStyle w:val="TAH"/>
            </w:pPr>
            <w:r>
              <w:t>Filter on the assigned channel frequency and corresponding filter bandwidth</w:t>
            </w:r>
          </w:p>
        </w:tc>
      </w:tr>
      <w:tr w:rsidR="00CA0334" w:rsidRPr="00AB3358" w14:paraId="0B096F94" w14:textId="77777777" w:rsidTr="00BD1F8C">
        <w:trPr>
          <w:cantSplit/>
          <w:jc w:val="center"/>
        </w:trPr>
        <w:tc>
          <w:tcPr>
            <w:tcW w:w="2596" w:type="dxa"/>
            <w:tcBorders>
              <w:top w:val="single" w:sz="6" w:space="0" w:color="auto"/>
              <w:left w:val="single" w:sz="6" w:space="0" w:color="auto"/>
              <w:bottom w:val="single" w:sz="6" w:space="0" w:color="auto"/>
              <w:right w:val="single" w:sz="6" w:space="0" w:color="auto"/>
            </w:tcBorders>
            <w:vAlign w:val="center"/>
            <w:hideMark/>
          </w:tcPr>
          <w:p w14:paraId="1B61E295" w14:textId="77777777" w:rsidR="00CA0334" w:rsidRDefault="00CA0334" w:rsidP="00BD1F8C">
            <w:pPr>
              <w:pStyle w:val="TAC"/>
              <w:rPr>
                <w:rFonts w:eastAsia="SimSun"/>
              </w:rPr>
            </w:pPr>
            <w:r>
              <w:rPr>
                <w:rFonts w:eastAsia="SimSun"/>
              </w:rPr>
              <w:t>NR</w:t>
            </w:r>
          </w:p>
        </w:tc>
        <w:tc>
          <w:tcPr>
            <w:tcW w:w="3824" w:type="dxa"/>
            <w:tcBorders>
              <w:top w:val="single" w:sz="6" w:space="0" w:color="auto"/>
              <w:left w:val="single" w:sz="6" w:space="0" w:color="auto"/>
              <w:bottom w:val="single" w:sz="6" w:space="0" w:color="auto"/>
              <w:right w:val="single" w:sz="6" w:space="0" w:color="auto"/>
            </w:tcBorders>
            <w:hideMark/>
          </w:tcPr>
          <w:p w14:paraId="153E1DC9" w14:textId="77777777" w:rsidR="00CA0334" w:rsidRDefault="00CA0334" w:rsidP="00BD1F8C">
            <w:pPr>
              <w:pStyle w:val="TAC"/>
            </w:pPr>
            <w:r>
              <w:t xml:space="preserve">NR of same BW with SCS that provides largest </w:t>
            </w:r>
            <w:r>
              <w:rPr>
                <w:i/>
              </w:rPr>
              <w:t>transmission bandwidth configuration</w:t>
            </w:r>
          </w:p>
        </w:tc>
      </w:tr>
    </w:tbl>
    <w:p w14:paraId="13976EA0" w14:textId="77777777" w:rsidR="00815C5B" w:rsidRDefault="00815C5B" w:rsidP="00815C5B">
      <w:bookmarkStart w:id="5359" w:name="_Toc53185495"/>
      <w:bookmarkStart w:id="5360" w:name="_Toc53185871"/>
      <w:bookmarkStart w:id="5361" w:name="_Toc57820357"/>
    </w:p>
    <w:p w14:paraId="040A4627" w14:textId="202DAECB" w:rsidR="00CA0334" w:rsidRDefault="00CA0334" w:rsidP="00CA0334">
      <w:pPr>
        <w:pStyle w:val="Heading4"/>
      </w:pPr>
      <w:bookmarkStart w:id="5362" w:name="_Toc57821284"/>
      <w:bookmarkStart w:id="5363" w:name="_Toc61183560"/>
      <w:bookmarkStart w:id="5364" w:name="_Toc61183954"/>
      <w:bookmarkStart w:id="5365" w:name="_Toc61184346"/>
      <w:bookmarkStart w:id="5366" w:name="_Toc61184738"/>
      <w:bookmarkStart w:id="5367" w:name="_Toc61185128"/>
      <w:bookmarkStart w:id="5368" w:name="_Toc66386472"/>
      <w:bookmarkStart w:id="5369" w:name="_Toc74583375"/>
      <w:bookmarkStart w:id="5370" w:name="_Toc76542188"/>
      <w:bookmarkStart w:id="5371" w:name="_Toc82450170"/>
      <w:bookmarkStart w:id="5372" w:name="_Toc82450818"/>
      <w:bookmarkStart w:id="5373" w:name="_Toc89949207"/>
      <w:bookmarkStart w:id="5374" w:name="_Toc98755596"/>
      <w:bookmarkStart w:id="5375" w:name="_Toc98763188"/>
      <w:bookmarkStart w:id="5376" w:name="_Toc106184117"/>
      <w:r>
        <w:t>9.7.3.4</w:t>
      </w:r>
      <w:r>
        <w:tab/>
        <w:t xml:space="preserve">Minimum requirement for </w:t>
      </w:r>
      <w:r>
        <w:rPr>
          <w:i/>
        </w:rPr>
        <w:t>Local Area IAB-MT type 2-O</w:t>
      </w:r>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p>
    <w:p w14:paraId="1932014A" w14:textId="77777777" w:rsidR="00CA0334" w:rsidRDefault="00CA0334" w:rsidP="00CA0334">
      <w:r>
        <w:t>The OTA ACLR limit is specified in table 9.7.3.4-1.</w:t>
      </w:r>
    </w:p>
    <w:p w14:paraId="2E68336C" w14:textId="77777777" w:rsidR="00CA0334" w:rsidRDefault="00CA0334" w:rsidP="00CA0334">
      <w:r>
        <w:t>The OTA ACLR absolute limit is specified in table 9.7.3.4-2.</w:t>
      </w:r>
    </w:p>
    <w:p w14:paraId="6E899145" w14:textId="77777777" w:rsidR="00CA0334" w:rsidRDefault="00CA0334" w:rsidP="00CA0334">
      <w:r>
        <w:t xml:space="preserve">The OTA ACLR (CACLR) absolute limit in table 9.7.3.4-2 </w:t>
      </w:r>
      <w:r>
        <w:rPr>
          <w:lang w:val="en-US" w:eastAsia="zh-CN"/>
        </w:rPr>
        <w:t xml:space="preserve">or </w:t>
      </w:r>
      <w:r>
        <w:t>9.7.3.4-</w:t>
      </w:r>
      <w:r>
        <w:rPr>
          <w:rFonts w:eastAsia="SimSun"/>
          <w:lang w:val="en-US" w:eastAsia="zh-CN"/>
        </w:rPr>
        <w:t>5</w:t>
      </w:r>
      <w:r>
        <w:t xml:space="preserve"> or the ACLR (CACLR) limit in table 9.7.3.4-1, 9.7.3.4-3 or 9.7.3.4-4, whichever is less stringent, shall apply.</w:t>
      </w:r>
    </w:p>
    <w:p w14:paraId="2E96F882" w14:textId="77777777" w:rsidR="00CA0334" w:rsidRDefault="00CA0334" w:rsidP="00CA0334">
      <w:r>
        <w:t>Requirements specified for Local Area IAB-DU type 2-O in clause 9.7.3.3 shall apply to Local Area IAB-MT type 2-O during transmission in DL timeslot.</w:t>
      </w:r>
    </w:p>
    <w:p w14:paraId="70C85131" w14:textId="77777777" w:rsidR="00CA0334" w:rsidRDefault="00CA0334" w:rsidP="00CA0334">
      <w:r>
        <w:rPr>
          <w:rFonts w:eastAsia="SimSun"/>
        </w:rPr>
        <w:t xml:space="preserve">For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w:t>
      </w:r>
      <w:r>
        <w:rPr>
          <w:rFonts w:cs="v5.0.0"/>
          <w:lang w:val="en-US" w:eastAsia="zh-CN"/>
        </w:rPr>
        <w:t xml:space="preserve">in </w:t>
      </w:r>
      <w:r>
        <w:rPr>
          <w:rFonts w:eastAsia="SimSun"/>
        </w:rPr>
        <w:t>multi-carrier or contiguous CA,</w:t>
      </w:r>
      <w:r>
        <w:rPr>
          <w:rFonts w:eastAsia="SimSun"/>
          <w:lang w:val="en-US" w:eastAsia="zh-CN"/>
        </w:rPr>
        <w:t xml:space="preserve"> </w:t>
      </w:r>
      <w:r>
        <w:rPr>
          <w:rFonts w:eastAsia="SimSun"/>
        </w:rPr>
        <w:t xml:space="preserve">the </w:t>
      </w:r>
      <w:r>
        <w:rPr>
          <w:rFonts w:eastAsia="SimSun"/>
          <w:lang w:val="en-US" w:eastAsia="zh-CN"/>
        </w:rPr>
        <w:t xml:space="preserve">OTA ACLR </w:t>
      </w:r>
      <w:r>
        <w:rPr>
          <w:rFonts w:cs="v5.0.0"/>
        </w:rPr>
        <w:t>requirements</w:t>
      </w:r>
      <w:r>
        <w:t xml:space="preserve"> in table 9.7.3.4-</w:t>
      </w:r>
      <w:r>
        <w:rPr>
          <w:lang w:val="en-US" w:eastAsia="zh-CN"/>
        </w:rPr>
        <w:t xml:space="preserve">1 shall </w:t>
      </w:r>
      <w:r>
        <w:t>apply to </w:t>
      </w:r>
      <w:r>
        <w:rPr>
          <w:rFonts w:eastAsia="SimSun"/>
          <w:i/>
          <w:iCs/>
          <w:lang w:val="en-US" w:eastAsia="zh-CN"/>
        </w:rPr>
        <w:t xml:space="preserve">IAB-MT </w:t>
      </w:r>
      <w:r>
        <w:rPr>
          <w:i/>
          <w:iCs/>
        </w:rPr>
        <w:t>channel bandwidths</w:t>
      </w:r>
      <w:r>
        <w:t xml:space="preserve"> of the outermost carrier</w:t>
      </w:r>
      <w:r>
        <w:rPr>
          <w:lang w:val="en-US" w:eastAsia="zh-CN"/>
        </w:rPr>
        <w:t xml:space="preserve"> </w:t>
      </w:r>
      <w:r>
        <w:t xml:space="preserve">for the frequency ranges defined in </w:t>
      </w:r>
      <w:r>
        <w:rPr>
          <w:lang w:val="en-US" w:eastAsia="zh-CN"/>
        </w:rPr>
        <w:t xml:space="preserve">the </w:t>
      </w:r>
      <w:r>
        <w:t>table</w:t>
      </w:r>
      <w:r>
        <w:rPr>
          <w:lang w:val="en-US" w:eastAsia="zh-CN"/>
        </w:rPr>
        <w:t>.</w:t>
      </w:r>
      <w:r>
        <w:t xml:space="preserve">For a RIB operating in </w:t>
      </w:r>
      <w:r>
        <w:rPr>
          <w:i/>
        </w:rPr>
        <w:t>non-contiguous spectrum</w:t>
      </w:r>
      <w:r>
        <w:t xml:space="preserve">, the OTA ACLR requirement in table 9.7.3.4-3 shall apply in </w:t>
      </w:r>
      <w:r>
        <w:rPr>
          <w:i/>
        </w:rPr>
        <w:t>sub-block gaps</w:t>
      </w:r>
      <w:r>
        <w:t xml:space="preserve"> for the frequency ranges defined in the table, while the OTA CACLR requirement in table 9.7.3.4-4 shall apply in </w:t>
      </w:r>
      <w:r>
        <w:rPr>
          <w:i/>
        </w:rPr>
        <w:t>sub-block gaps</w:t>
      </w:r>
      <w:r>
        <w:t xml:space="preserve"> for the frequency ranges defined in the table.</w:t>
      </w:r>
    </w:p>
    <w:p w14:paraId="4FDFA6F5" w14:textId="77777777" w:rsidR="00CA0334" w:rsidRDefault="00CA0334" w:rsidP="00CA0334">
      <w:r>
        <w:t xml:space="preserve">The CACLR in a </w:t>
      </w:r>
      <w:r>
        <w:rPr>
          <w:i/>
        </w:rPr>
        <w:t>sub-block gap</w:t>
      </w:r>
      <w:r>
        <w:t xml:space="preserve"> is the ratio of:</w:t>
      </w:r>
    </w:p>
    <w:p w14:paraId="5214DD0B" w14:textId="77777777" w:rsidR="00CA0334" w:rsidRDefault="00CA0334" w:rsidP="00CA0334">
      <w:pPr>
        <w:pStyle w:val="B10"/>
      </w:pPr>
      <w:r>
        <w:t>a)</w:t>
      </w:r>
      <w:r>
        <w:tab/>
        <w:t xml:space="preserve">the sum of the filtered mean power centred on the assigned channel frequencies for the two carriers adjacent to each side of the </w:t>
      </w:r>
      <w:r>
        <w:rPr>
          <w:i/>
        </w:rPr>
        <w:t>sub-block gap</w:t>
      </w:r>
      <w:r>
        <w:t>, and</w:t>
      </w:r>
    </w:p>
    <w:p w14:paraId="0570D940" w14:textId="77777777" w:rsidR="00CA0334" w:rsidRDefault="00CA0334" w:rsidP="00CA0334">
      <w:pPr>
        <w:pStyle w:val="B10"/>
      </w:pPr>
      <w:r>
        <w:t>b)</w:t>
      </w:r>
      <w:r>
        <w:tab/>
        <w:t xml:space="preserve">the filtered mean power centred on a frequency channel adjacent to one of the respective </w:t>
      </w:r>
      <w:r>
        <w:rPr>
          <w:i/>
        </w:rPr>
        <w:t>sub-block</w:t>
      </w:r>
      <w:r>
        <w:t xml:space="preserve"> edges.</w:t>
      </w:r>
    </w:p>
    <w:p w14:paraId="554B0F17" w14:textId="77777777" w:rsidR="00CA0334" w:rsidRDefault="00CA0334" w:rsidP="00CA0334">
      <w:r>
        <w:t xml:space="preserve">The assumed filter for the adjacent channel frequency is defined in table </w:t>
      </w:r>
      <w:r>
        <w:rPr>
          <w:rFonts w:cs="v5.0.0"/>
        </w:rPr>
        <w:t xml:space="preserve">9.7.3.4-4 </w:t>
      </w:r>
      <w:r>
        <w:t xml:space="preserve">and the filters on the assigned channels are defined in table </w:t>
      </w:r>
      <w:r>
        <w:rPr>
          <w:rFonts w:cs="v5.0.0"/>
        </w:rPr>
        <w:t>9.7.3.4</w:t>
      </w:r>
      <w:r>
        <w:t>-6.</w:t>
      </w:r>
    </w:p>
    <w:p w14:paraId="3B8ED0F4" w14:textId="77777777" w:rsidR="00CA0334" w:rsidRDefault="00CA0334" w:rsidP="00CA0334">
      <w:pPr>
        <w:rPr>
          <w:rFonts w:eastAsia="SimSun"/>
        </w:rPr>
      </w:pPr>
      <w:r>
        <w:rPr>
          <w:rFonts w:cs="v5.0.0"/>
        </w:rPr>
        <w:t xml:space="preserve">For operation in </w:t>
      </w:r>
      <w:r>
        <w:rPr>
          <w:rFonts w:cs="v5.0.0"/>
          <w:i/>
        </w:rPr>
        <w:t>non-contiguous spectrum</w:t>
      </w:r>
      <w:r>
        <w:rPr>
          <w:rFonts w:cs="v5.0.0"/>
        </w:rPr>
        <w:t xml:space="preserve">, the CACLR for NR carriers located on either side of the </w:t>
      </w:r>
      <w:r>
        <w:rPr>
          <w:rFonts w:cs="v5.0.0"/>
          <w:i/>
        </w:rPr>
        <w:t>sub-block gap</w:t>
      </w:r>
      <w:r>
        <w:rPr>
          <w:rFonts w:cs="v5.0.0"/>
        </w:rPr>
        <w:t xml:space="preserve"> shall be higher than the value specified in table 9.7.3.4-4.</w:t>
      </w:r>
    </w:p>
    <w:p w14:paraId="70F2F42F" w14:textId="77777777" w:rsidR="00CA0334" w:rsidRDefault="00CA0334" w:rsidP="00CA0334">
      <w:pPr>
        <w:pStyle w:val="TH"/>
      </w:pPr>
      <w:r>
        <w:t xml:space="preserve">Table 9.7.3.4-1: Local Area </w:t>
      </w:r>
      <w:r>
        <w:rPr>
          <w:i/>
        </w:rPr>
        <w:t>IAB-MT type 2-O</w:t>
      </w:r>
      <w:r>
        <w:t xml:space="preserve"> ACLR limit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7"/>
        <w:gridCol w:w="2062"/>
        <w:gridCol w:w="1779"/>
        <w:gridCol w:w="1600"/>
        <w:gridCol w:w="2723"/>
      </w:tblGrid>
      <w:tr w:rsidR="00CA0334" w14:paraId="582B9FD3" w14:textId="77777777" w:rsidTr="00BD1F8C">
        <w:trPr>
          <w:trHeight w:val="1490"/>
        </w:trPr>
        <w:tc>
          <w:tcPr>
            <w:tcW w:w="1373" w:type="dxa"/>
            <w:tcBorders>
              <w:top w:val="single" w:sz="4" w:space="0" w:color="auto"/>
              <w:left w:val="single" w:sz="4" w:space="0" w:color="auto"/>
              <w:bottom w:val="single" w:sz="4" w:space="0" w:color="auto"/>
              <w:right w:val="single" w:sz="4" w:space="0" w:color="auto"/>
            </w:tcBorders>
            <w:hideMark/>
          </w:tcPr>
          <w:p w14:paraId="338E9D38" w14:textId="77777777" w:rsidR="00CA0334" w:rsidRDefault="00CA0334" w:rsidP="00BD1F8C">
            <w:pPr>
              <w:pStyle w:val="TAH"/>
            </w:pPr>
            <w:r>
              <w:rPr>
                <w:i/>
              </w:rPr>
              <w:t>IAB-MT channel bandwidth</w:t>
            </w:r>
            <w:r>
              <w:t xml:space="preserve"> of </w:t>
            </w:r>
            <w:r>
              <w:rPr>
                <w:i/>
              </w:rPr>
              <w:t>lowest/highest carrier</w:t>
            </w:r>
            <w:r>
              <w:t xml:space="preserve"> transmitted</w:t>
            </w:r>
          </w:p>
          <w:p w14:paraId="013247C9" w14:textId="77777777" w:rsidR="00CA0334" w:rsidRDefault="00CA0334" w:rsidP="00BD1F8C">
            <w:pPr>
              <w:pStyle w:val="TAH"/>
            </w:pPr>
            <w:r>
              <w:rPr>
                <w:rFonts w:cs="Arial"/>
              </w:rPr>
              <w:t>BW</w:t>
            </w:r>
            <w:r>
              <w:rPr>
                <w:rFonts w:cs="Arial"/>
                <w:vertAlign w:val="subscript"/>
              </w:rPr>
              <w:t>Channel</w:t>
            </w:r>
            <w:r>
              <w:rPr>
                <w:rFonts w:cs="v5.0.0"/>
              </w:rPr>
              <w:t xml:space="preserve"> </w:t>
            </w:r>
            <w:r>
              <w:t>(MHz)</w:t>
            </w:r>
          </w:p>
        </w:tc>
        <w:tc>
          <w:tcPr>
            <w:tcW w:w="2137" w:type="dxa"/>
            <w:tcBorders>
              <w:top w:val="single" w:sz="4" w:space="0" w:color="auto"/>
              <w:left w:val="single" w:sz="4" w:space="0" w:color="auto"/>
              <w:bottom w:val="single" w:sz="4" w:space="0" w:color="auto"/>
              <w:right w:val="single" w:sz="4" w:space="0" w:color="auto"/>
            </w:tcBorders>
            <w:hideMark/>
          </w:tcPr>
          <w:p w14:paraId="00F8A6B7" w14:textId="77777777" w:rsidR="00CA0334" w:rsidRDefault="00CA0334" w:rsidP="00BD1F8C">
            <w:pPr>
              <w:pStyle w:val="TAH"/>
            </w:pPr>
            <w:r>
              <w:rPr>
                <w:i/>
              </w:rPr>
              <w:t xml:space="preserve">IAB-MT </w:t>
            </w:r>
            <w:r>
              <w:t xml:space="preserve">adjacent channel centre frequency offset below the </w:t>
            </w:r>
            <w:r>
              <w:rPr>
                <w:i/>
              </w:rPr>
              <w:t>lowest</w:t>
            </w:r>
            <w:r>
              <w:t xml:space="preserve"> or above the </w:t>
            </w:r>
            <w:r>
              <w:rPr>
                <w:i/>
              </w:rPr>
              <w:t>highest carrier</w:t>
            </w:r>
            <w:r>
              <w:t xml:space="preserve"> centre frequency transmitted</w:t>
            </w:r>
          </w:p>
        </w:tc>
        <w:tc>
          <w:tcPr>
            <w:tcW w:w="1843" w:type="dxa"/>
            <w:tcBorders>
              <w:top w:val="single" w:sz="4" w:space="0" w:color="auto"/>
              <w:left w:val="single" w:sz="4" w:space="0" w:color="auto"/>
              <w:bottom w:val="single" w:sz="4" w:space="0" w:color="auto"/>
              <w:right w:val="single" w:sz="4" w:space="0" w:color="auto"/>
            </w:tcBorders>
            <w:hideMark/>
          </w:tcPr>
          <w:p w14:paraId="5E2072E7" w14:textId="77777777" w:rsidR="00CA0334" w:rsidRDefault="00CA0334" w:rsidP="00BD1F8C">
            <w:pPr>
              <w:pStyle w:val="TAH"/>
            </w:pPr>
            <w:r>
              <w:t>Assumed adjacent channel carrier</w:t>
            </w:r>
          </w:p>
        </w:tc>
        <w:tc>
          <w:tcPr>
            <w:tcW w:w="1610" w:type="dxa"/>
            <w:tcBorders>
              <w:top w:val="single" w:sz="4" w:space="0" w:color="auto"/>
              <w:left w:val="single" w:sz="4" w:space="0" w:color="auto"/>
              <w:bottom w:val="single" w:sz="4" w:space="0" w:color="auto"/>
              <w:right w:val="single" w:sz="4" w:space="0" w:color="auto"/>
            </w:tcBorders>
            <w:hideMark/>
          </w:tcPr>
          <w:p w14:paraId="1DE4E4A4" w14:textId="77777777" w:rsidR="00CA0334" w:rsidRDefault="00CA0334" w:rsidP="00BD1F8C">
            <w:pPr>
              <w:pStyle w:val="TAH"/>
            </w:pPr>
            <w:r>
              <w:t>Filter on the adjacent channel frequency and corresponding filter bandwidth</w:t>
            </w:r>
          </w:p>
        </w:tc>
        <w:tc>
          <w:tcPr>
            <w:tcW w:w="2894" w:type="dxa"/>
            <w:tcBorders>
              <w:top w:val="single" w:sz="4" w:space="0" w:color="auto"/>
              <w:left w:val="single" w:sz="4" w:space="0" w:color="auto"/>
              <w:bottom w:val="single" w:sz="4" w:space="0" w:color="auto"/>
              <w:right w:val="single" w:sz="4" w:space="0" w:color="auto"/>
            </w:tcBorders>
          </w:tcPr>
          <w:p w14:paraId="71243533" w14:textId="77777777" w:rsidR="00CA0334" w:rsidRDefault="00CA0334" w:rsidP="00BD1F8C">
            <w:pPr>
              <w:pStyle w:val="TAH"/>
            </w:pPr>
            <w:r>
              <w:t>ACLR limit</w:t>
            </w:r>
          </w:p>
          <w:p w14:paraId="1519ECA0" w14:textId="77777777" w:rsidR="00CA0334" w:rsidRDefault="00CA0334" w:rsidP="00BD1F8C">
            <w:pPr>
              <w:pStyle w:val="TAH"/>
            </w:pPr>
            <w:r>
              <w:t>(dB)</w:t>
            </w:r>
          </w:p>
          <w:p w14:paraId="1E977CC9" w14:textId="77777777" w:rsidR="00CA0334" w:rsidRDefault="00CA0334" w:rsidP="00BD1F8C">
            <w:pPr>
              <w:pStyle w:val="TAC"/>
            </w:pPr>
          </w:p>
          <w:p w14:paraId="349AE983" w14:textId="77777777" w:rsidR="00CA0334" w:rsidRDefault="00CA0334" w:rsidP="00BD1F8C">
            <w:pPr>
              <w:pStyle w:val="TAC"/>
            </w:pPr>
          </w:p>
          <w:p w14:paraId="35FD0CCC" w14:textId="77777777" w:rsidR="00CA0334" w:rsidRDefault="00CA0334" w:rsidP="00BD1F8C">
            <w:pPr>
              <w:pStyle w:val="TAC"/>
            </w:pPr>
          </w:p>
          <w:p w14:paraId="47E0CF84" w14:textId="77777777" w:rsidR="00CA0334" w:rsidRDefault="00CA0334" w:rsidP="00BD1F8C">
            <w:pPr>
              <w:pStyle w:val="TAC"/>
            </w:pPr>
          </w:p>
          <w:p w14:paraId="1685D9E4" w14:textId="77777777" w:rsidR="00CA0334" w:rsidRDefault="00CA0334" w:rsidP="00BD1F8C">
            <w:pPr>
              <w:pStyle w:val="TAC"/>
            </w:pPr>
          </w:p>
          <w:p w14:paraId="2804B8A0" w14:textId="77777777" w:rsidR="00CA0334" w:rsidRDefault="00CA0334" w:rsidP="00BD1F8C">
            <w:pPr>
              <w:pStyle w:val="TAC"/>
            </w:pPr>
          </w:p>
        </w:tc>
      </w:tr>
      <w:tr w:rsidR="00CA0334" w14:paraId="1A2B1421" w14:textId="77777777" w:rsidTr="00BD1F8C">
        <w:trPr>
          <w:trHeight w:val="201"/>
        </w:trPr>
        <w:tc>
          <w:tcPr>
            <w:tcW w:w="1373" w:type="dxa"/>
            <w:tcBorders>
              <w:top w:val="single" w:sz="4" w:space="0" w:color="auto"/>
              <w:left w:val="single" w:sz="4" w:space="0" w:color="auto"/>
              <w:bottom w:val="single" w:sz="4" w:space="0" w:color="auto"/>
              <w:right w:val="single" w:sz="4" w:space="0" w:color="auto"/>
            </w:tcBorders>
            <w:vAlign w:val="center"/>
            <w:hideMark/>
          </w:tcPr>
          <w:p w14:paraId="1C9F495B" w14:textId="77777777" w:rsidR="00CA0334" w:rsidRDefault="00CA0334" w:rsidP="00BD1F8C">
            <w:pPr>
              <w:pStyle w:val="TAC"/>
            </w:pPr>
            <w:r>
              <w:t>50, 100, 200, 400</w:t>
            </w:r>
          </w:p>
        </w:tc>
        <w:tc>
          <w:tcPr>
            <w:tcW w:w="2137" w:type="dxa"/>
            <w:tcBorders>
              <w:top w:val="single" w:sz="4" w:space="0" w:color="auto"/>
              <w:left w:val="single" w:sz="4" w:space="0" w:color="auto"/>
              <w:bottom w:val="single" w:sz="4" w:space="0" w:color="auto"/>
              <w:right w:val="single" w:sz="4" w:space="0" w:color="auto"/>
            </w:tcBorders>
            <w:vAlign w:val="center"/>
            <w:hideMark/>
          </w:tcPr>
          <w:p w14:paraId="25CDEA86" w14:textId="77777777" w:rsidR="00CA0334" w:rsidRDefault="00CA0334" w:rsidP="00BD1F8C">
            <w:pPr>
              <w:pStyle w:val="TAC"/>
            </w:pPr>
            <w:r>
              <w:t>BW</w:t>
            </w:r>
            <w:r>
              <w:rPr>
                <w:vertAlign w:val="subscript"/>
              </w:rPr>
              <w:t>Channel</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7AACE93" w14:textId="77777777" w:rsidR="00CA0334" w:rsidRDefault="00CA0334" w:rsidP="00BD1F8C">
            <w:pPr>
              <w:pStyle w:val="TAC"/>
            </w:pPr>
            <w:r>
              <w:t>NR of same BW (Note 2)</w:t>
            </w:r>
          </w:p>
        </w:tc>
        <w:tc>
          <w:tcPr>
            <w:tcW w:w="1610" w:type="dxa"/>
            <w:tcBorders>
              <w:top w:val="single" w:sz="4" w:space="0" w:color="auto"/>
              <w:left w:val="single" w:sz="4" w:space="0" w:color="auto"/>
              <w:bottom w:val="single" w:sz="4" w:space="0" w:color="auto"/>
              <w:right w:val="single" w:sz="4" w:space="0" w:color="auto"/>
            </w:tcBorders>
            <w:vAlign w:val="center"/>
            <w:hideMark/>
          </w:tcPr>
          <w:p w14:paraId="1EC3CA93" w14:textId="77777777" w:rsidR="00CA0334" w:rsidRDefault="00CA0334" w:rsidP="00BD1F8C">
            <w:pPr>
              <w:pStyle w:val="TAC"/>
            </w:pPr>
            <w:r>
              <w:rPr>
                <w:lang w:eastAsia="zh-CN"/>
              </w:rPr>
              <w:t>Square (</w:t>
            </w:r>
            <w:r>
              <w:rPr>
                <w:rFonts w:cs="Arial"/>
                <w:lang w:eastAsia="zh-CN"/>
              </w:rPr>
              <w:t>BW</w:t>
            </w:r>
            <w:r>
              <w:rPr>
                <w:rFonts w:cs="Arial"/>
                <w:vertAlign w:val="subscript"/>
                <w:lang w:eastAsia="zh-CN"/>
              </w:rPr>
              <w:t>Config</w:t>
            </w:r>
            <w:r>
              <w:rPr>
                <w:lang w:eastAsia="zh-CN"/>
              </w:rPr>
              <w:t>)</w:t>
            </w:r>
          </w:p>
        </w:tc>
        <w:tc>
          <w:tcPr>
            <w:tcW w:w="2894" w:type="dxa"/>
            <w:tcBorders>
              <w:top w:val="single" w:sz="4" w:space="0" w:color="auto"/>
              <w:left w:val="single" w:sz="4" w:space="0" w:color="auto"/>
              <w:bottom w:val="single" w:sz="4" w:space="0" w:color="auto"/>
              <w:right w:val="single" w:sz="4" w:space="0" w:color="auto"/>
            </w:tcBorders>
            <w:vAlign w:val="center"/>
            <w:hideMark/>
          </w:tcPr>
          <w:p w14:paraId="583F35D4" w14:textId="77777777" w:rsidR="00CA0334" w:rsidRDefault="00CA0334" w:rsidP="00BD1F8C">
            <w:pPr>
              <w:pStyle w:val="TAC"/>
            </w:pPr>
            <w:r>
              <w:t>24 (Note 3)</w:t>
            </w:r>
          </w:p>
          <w:p w14:paraId="0C00EA59" w14:textId="77777777" w:rsidR="00CA0334" w:rsidRDefault="00CA0334" w:rsidP="00BD1F8C">
            <w:pPr>
              <w:pStyle w:val="TAC"/>
            </w:pPr>
          </w:p>
        </w:tc>
      </w:tr>
      <w:tr w:rsidR="00CA0334" w:rsidRPr="00AB3358" w14:paraId="7856B4A7" w14:textId="77777777" w:rsidTr="00BD1F8C">
        <w:trPr>
          <w:trHeight w:val="201"/>
        </w:trPr>
        <w:tc>
          <w:tcPr>
            <w:tcW w:w="9857" w:type="dxa"/>
            <w:gridSpan w:val="5"/>
            <w:tcBorders>
              <w:top w:val="single" w:sz="4" w:space="0" w:color="auto"/>
              <w:left w:val="single" w:sz="4" w:space="0" w:color="auto"/>
              <w:bottom w:val="single" w:sz="4" w:space="0" w:color="auto"/>
              <w:right w:val="single" w:sz="4" w:space="0" w:color="auto"/>
            </w:tcBorders>
            <w:hideMark/>
          </w:tcPr>
          <w:p w14:paraId="01AFE785" w14:textId="77777777" w:rsidR="00CA0334" w:rsidRDefault="00CA0334" w:rsidP="00BD1F8C">
            <w:pPr>
              <w:pStyle w:val="TAN"/>
            </w:pPr>
            <w:r>
              <w:t>NOTE 1:</w:t>
            </w:r>
            <w:r>
              <w:tab/>
              <w:t>BW</w:t>
            </w:r>
            <w:r>
              <w:rPr>
                <w:vertAlign w:val="subscript"/>
              </w:rPr>
              <w:t>Channel</w:t>
            </w:r>
            <w:r>
              <w:t xml:space="preserve"> and </w:t>
            </w:r>
            <w:r>
              <w:rPr>
                <w:rFonts w:cs="Arial"/>
                <w:lang w:eastAsia="zh-CN"/>
              </w:rPr>
              <w:t>BW</w:t>
            </w:r>
            <w:r>
              <w:rPr>
                <w:rFonts w:cs="Arial"/>
                <w:vertAlign w:val="subscript"/>
                <w:lang w:eastAsia="zh-CN"/>
              </w:rPr>
              <w:t>Config</w:t>
            </w:r>
            <w:r>
              <w:t xml:space="preserve"> are the </w:t>
            </w:r>
            <w:r>
              <w:rPr>
                <w:i/>
              </w:rPr>
              <w:t>IAB-MT channel bandwidth</w:t>
            </w:r>
            <w:r>
              <w:t xml:space="preserve"> and </w:t>
            </w:r>
            <w:r>
              <w:rPr>
                <w:i/>
              </w:rPr>
              <w:t>transmission bandwidth configuration</w:t>
            </w:r>
            <w:r>
              <w:t xml:space="preserve"> of the </w:t>
            </w:r>
            <w:r>
              <w:rPr>
                <w:i/>
              </w:rPr>
              <w:t>lowest/highest carrier</w:t>
            </w:r>
            <w:r>
              <w:t xml:space="preserve"> transmitted on the assigned channel frequency.</w:t>
            </w:r>
          </w:p>
          <w:p w14:paraId="54518F44" w14:textId="77777777" w:rsidR="00CA0334" w:rsidRDefault="00CA0334" w:rsidP="00BD1F8C">
            <w:pPr>
              <w:pStyle w:val="TAN"/>
              <w:rPr>
                <w:rFonts w:cs="v5.0.0"/>
              </w:rPr>
            </w:pPr>
            <w:r>
              <w:t>NOTE 2:</w:t>
            </w:r>
            <w:r>
              <w:tab/>
              <w:t xml:space="preserve">With SCS that provides largest </w:t>
            </w:r>
            <w:r>
              <w:rPr>
                <w:rFonts w:cs="Arial"/>
                <w:i/>
              </w:rPr>
              <w:t>transmission bandwidth configuration</w:t>
            </w:r>
            <w:r>
              <w:rPr>
                <w:rFonts w:cs="Arial"/>
              </w:rPr>
              <w:t xml:space="preserve"> (BW</w:t>
            </w:r>
            <w:r>
              <w:rPr>
                <w:rFonts w:cs="Arial"/>
                <w:vertAlign w:val="subscript"/>
              </w:rPr>
              <w:t>Config</w:t>
            </w:r>
            <w:r>
              <w:rPr>
                <w:rFonts w:cs="v5.0.0"/>
              </w:rPr>
              <w:t>).</w:t>
            </w:r>
          </w:p>
          <w:p w14:paraId="57F1F527" w14:textId="77777777" w:rsidR="00CA0334" w:rsidRDefault="00CA0334" w:rsidP="00BD1F8C">
            <w:pPr>
              <w:pStyle w:val="TAN"/>
            </w:pPr>
            <w:r>
              <w:t>NOTE 3:</w:t>
            </w:r>
            <w:r>
              <w:tab/>
              <w:t>Applicable to bands defined within the frequency spectrum range of 24.25 – 33.4 GHz and 37 – 52.6 GHz</w:t>
            </w:r>
          </w:p>
        </w:tc>
      </w:tr>
    </w:tbl>
    <w:p w14:paraId="315D628E" w14:textId="77777777" w:rsidR="00CA0334" w:rsidRDefault="00CA0334" w:rsidP="00CA0334"/>
    <w:p w14:paraId="669AAD09" w14:textId="77777777" w:rsidR="00CA0334" w:rsidRDefault="00CA0334" w:rsidP="00CA0334">
      <w:pPr>
        <w:pStyle w:val="TH"/>
      </w:pPr>
      <w:r>
        <w:lastRenderedPageBreak/>
        <w:t xml:space="preserve">Table 9.7.3.3-2: </w:t>
      </w:r>
      <w:r w:rsidRPr="00743313">
        <w:rPr>
          <w:iCs/>
        </w:rPr>
        <w:t>Local Area</w:t>
      </w:r>
      <w:r>
        <w:t xml:space="preserve"> </w:t>
      </w:r>
      <w:r w:rsidRPr="00743313">
        <w:rPr>
          <w:i/>
          <w:iCs/>
        </w:rPr>
        <w:t>IAB-MT type 2-O</w:t>
      </w:r>
      <w:r>
        <w:t xml:space="preserve"> ACLR absolute limit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693"/>
      </w:tblGrid>
      <w:tr w:rsidR="00CA0334" w14:paraId="573AE5CC" w14:textId="77777777" w:rsidTr="00815C5B">
        <w:trPr>
          <w:trHeight w:val="187"/>
          <w:jc w:val="center"/>
        </w:trPr>
        <w:tc>
          <w:tcPr>
            <w:tcW w:w="2376" w:type="dxa"/>
            <w:tcBorders>
              <w:top w:val="single" w:sz="4" w:space="0" w:color="auto"/>
              <w:left w:val="single" w:sz="4" w:space="0" w:color="auto"/>
              <w:bottom w:val="single" w:sz="4" w:space="0" w:color="auto"/>
              <w:right w:val="single" w:sz="4" w:space="0" w:color="auto"/>
            </w:tcBorders>
            <w:hideMark/>
          </w:tcPr>
          <w:p w14:paraId="56ED2F19" w14:textId="77777777" w:rsidR="00CA0334" w:rsidRDefault="00CA0334" w:rsidP="00815C5B">
            <w:pPr>
              <w:pStyle w:val="TAH"/>
            </w:pPr>
            <w:r>
              <w:t>IAB-MT class</w:t>
            </w:r>
          </w:p>
        </w:tc>
        <w:tc>
          <w:tcPr>
            <w:tcW w:w="2693" w:type="dxa"/>
            <w:tcBorders>
              <w:top w:val="single" w:sz="4" w:space="0" w:color="auto"/>
              <w:left w:val="single" w:sz="4" w:space="0" w:color="auto"/>
              <w:bottom w:val="single" w:sz="4" w:space="0" w:color="auto"/>
              <w:right w:val="single" w:sz="4" w:space="0" w:color="auto"/>
            </w:tcBorders>
            <w:hideMark/>
          </w:tcPr>
          <w:p w14:paraId="6434C372" w14:textId="77777777" w:rsidR="00CA0334" w:rsidRDefault="00CA0334" w:rsidP="00815C5B">
            <w:pPr>
              <w:pStyle w:val="TAH"/>
            </w:pPr>
            <w:r>
              <w:t>ACLR absolute limit</w:t>
            </w:r>
          </w:p>
        </w:tc>
      </w:tr>
      <w:tr w:rsidR="00CA0334" w14:paraId="5548C83C" w14:textId="77777777" w:rsidTr="00815C5B">
        <w:trPr>
          <w:trHeight w:val="187"/>
          <w:jc w:val="center"/>
        </w:trPr>
        <w:tc>
          <w:tcPr>
            <w:tcW w:w="2376" w:type="dxa"/>
            <w:tcBorders>
              <w:top w:val="single" w:sz="4" w:space="0" w:color="auto"/>
              <w:left w:val="single" w:sz="4" w:space="0" w:color="auto"/>
              <w:bottom w:val="single" w:sz="4" w:space="0" w:color="auto"/>
              <w:right w:val="single" w:sz="4" w:space="0" w:color="auto"/>
            </w:tcBorders>
            <w:hideMark/>
          </w:tcPr>
          <w:p w14:paraId="098EA6D8" w14:textId="77777777" w:rsidR="00CA0334" w:rsidRDefault="00CA0334" w:rsidP="00815C5B">
            <w:pPr>
              <w:pStyle w:val="TAC"/>
            </w:pPr>
            <w:r>
              <w:t>Local area IAB-MT</w:t>
            </w:r>
          </w:p>
        </w:tc>
        <w:tc>
          <w:tcPr>
            <w:tcW w:w="2693" w:type="dxa"/>
            <w:tcBorders>
              <w:top w:val="single" w:sz="4" w:space="0" w:color="auto"/>
              <w:left w:val="single" w:sz="4" w:space="0" w:color="auto"/>
              <w:bottom w:val="single" w:sz="4" w:space="0" w:color="auto"/>
              <w:right w:val="single" w:sz="4" w:space="0" w:color="auto"/>
            </w:tcBorders>
            <w:hideMark/>
          </w:tcPr>
          <w:p w14:paraId="40A356E1" w14:textId="77777777" w:rsidR="00CA0334" w:rsidRDefault="00CA0334" w:rsidP="00815C5B">
            <w:pPr>
              <w:pStyle w:val="TAC"/>
            </w:pPr>
            <w:r>
              <w:t>-20 dBm/MHz</w:t>
            </w:r>
          </w:p>
        </w:tc>
      </w:tr>
    </w:tbl>
    <w:p w14:paraId="64367F1C" w14:textId="77777777" w:rsidR="00CA0334" w:rsidRDefault="00CA0334" w:rsidP="00CA0334"/>
    <w:p w14:paraId="19B742CB" w14:textId="77777777" w:rsidR="00CA0334" w:rsidRDefault="00CA0334" w:rsidP="00CA0334">
      <w:pPr>
        <w:pStyle w:val="TH"/>
        <w:rPr>
          <w:lang w:val="en-US"/>
        </w:rPr>
      </w:pPr>
      <w:r>
        <w:rPr>
          <w:lang w:val="en-US"/>
        </w:rPr>
        <w:t xml:space="preserve">Table 9.7.3.3-3: </w:t>
      </w:r>
      <w:r w:rsidRPr="00743313">
        <w:rPr>
          <w:iCs/>
        </w:rPr>
        <w:t>Local Area</w:t>
      </w:r>
      <w:r>
        <w:t xml:space="preserve"> </w:t>
      </w:r>
      <w:r w:rsidRPr="00743313">
        <w:rPr>
          <w:i/>
          <w:iCs/>
        </w:rPr>
        <w:t>IAB-MT type 2-O</w:t>
      </w:r>
      <w:r>
        <w:t xml:space="preserve"> ACLR limit in non-contiguous spectrum</w:t>
      </w:r>
    </w:p>
    <w:tbl>
      <w:tblPr>
        <w:tblW w:w="997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57"/>
        <w:gridCol w:w="1383"/>
        <w:gridCol w:w="2113"/>
        <w:gridCol w:w="1310"/>
        <w:gridCol w:w="2180"/>
        <w:gridCol w:w="1230"/>
      </w:tblGrid>
      <w:tr w:rsidR="00CA0334" w14:paraId="62234959" w14:textId="77777777" w:rsidTr="00BD1F8C">
        <w:trPr>
          <w:cantSplit/>
          <w:jc w:val="center"/>
        </w:trPr>
        <w:tc>
          <w:tcPr>
            <w:tcW w:w="1757" w:type="dxa"/>
            <w:tcBorders>
              <w:top w:val="single" w:sz="6" w:space="0" w:color="auto"/>
              <w:left w:val="single" w:sz="6" w:space="0" w:color="auto"/>
              <w:bottom w:val="single" w:sz="6" w:space="0" w:color="auto"/>
              <w:right w:val="single" w:sz="6" w:space="0" w:color="auto"/>
            </w:tcBorders>
            <w:hideMark/>
          </w:tcPr>
          <w:p w14:paraId="268A359F" w14:textId="77777777" w:rsidR="00CA0334" w:rsidRDefault="00CA0334" w:rsidP="00BD1F8C">
            <w:pPr>
              <w:pStyle w:val="TAH"/>
              <w:rPr>
                <w:lang w:eastAsia="zh-CN"/>
              </w:rPr>
            </w:pPr>
            <w:r>
              <w:rPr>
                <w:rFonts w:eastAsia="SimSun"/>
                <w:i/>
                <w:lang w:eastAsia="zh-CN"/>
              </w:rPr>
              <w:t>IAB-MT channel bandwidth</w:t>
            </w:r>
            <w:r>
              <w:rPr>
                <w:lang w:eastAsia="zh-CN"/>
              </w:rPr>
              <w:t xml:space="preserve"> </w:t>
            </w:r>
            <w:r>
              <w:rPr>
                <w:rFonts w:eastAsia="SimSun"/>
                <w:lang w:eastAsia="zh-CN"/>
              </w:rPr>
              <w:t xml:space="preserve">of </w:t>
            </w:r>
            <w:r>
              <w:rPr>
                <w:rFonts w:eastAsia="SimSun"/>
                <w:i/>
                <w:lang w:eastAsia="zh-CN"/>
              </w:rPr>
              <w:t>l</w:t>
            </w:r>
            <w:r>
              <w:rPr>
                <w:rFonts w:eastAsia="SimSun" w:cs="Arial"/>
                <w:i/>
                <w:lang w:eastAsia="zh-CN"/>
              </w:rPr>
              <w:t>owest/highest carrier</w:t>
            </w:r>
            <w:r>
              <w:rPr>
                <w:lang w:eastAsia="zh-CN"/>
              </w:rPr>
              <w:t xml:space="preserve"> transmitted </w:t>
            </w:r>
            <w:r>
              <w:t>(MHz)</w:t>
            </w:r>
          </w:p>
        </w:tc>
        <w:tc>
          <w:tcPr>
            <w:tcW w:w="0" w:type="auto"/>
            <w:tcBorders>
              <w:top w:val="single" w:sz="6" w:space="0" w:color="auto"/>
              <w:left w:val="single" w:sz="6" w:space="0" w:color="auto"/>
              <w:bottom w:val="single" w:sz="6" w:space="0" w:color="auto"/>
              <w:right w:val="single" w:sz="6" w:space="0" w:color="auto"/>
            </w:tcBorders>
            <w:hideMark/>
          </w:tcPr>
          <w:p w14:paraId="1F37E05E" w14:textId="77777777" w:rsidR="00CA0334" w:rsidRDefault="00CA0334" w:rsidP="00BD1F8C">
            <w:pPr>
              <w:pStyle w:val="TAH"/>
              <w:rPr>
                <w:rFonts w:cs="Arial"/>
                <w:szCs w:val="18"/>
                <w:lang w:eastAsia="zh-CN"/>
              </w:rPr>
            </w:pPr>
            <w:r>
              <w:rPr>
                <w:rFonts w:cs="Arial"/>
                <w:i/>
                <w:szCs w:val="18"/>
                <w:lang w:eastAsia="zh-CN"/>
              </w:rPr>
              <w:t>Sub-block gap</w:t>
            </w:r>
            <w:r>
              <w:rPr>
                <w:rFonts w:cs="Arial"/>
                <w:szCs w:val="18"/>
                <w:lang w:eastAsia="zh-CN"/>
              </w:rPr>
              <w:t xml:space="preserve"> size (W</w:t>
            </w:r>
            <w:r>
              <w:rPr>
                <w:rFonts w:cs="Arial"/>
                <w:szCs w:val="18"/>
                <w:vertAlign w:val="subscript"/>
                <w:lang w:eastAsia="zh-CN"/>
              </w:rPr>
              <w:t>gap</w:t>
            </w:r>
            <w:r>
              <w:rPr>
                <w:rFonts w:cs="Arial"/>
                <w:szCs w:val="18"/>
                <w:lang w:eastAsia="zh-CN"/>
              </w:rPr>
              <w:t>) where the limit applies (MHz)</w:t>
            </w:r>
          </w:p>
        </w:tc>
        <w:tc>
          <w:tcPr>
            <w:tcW w:w="0" w:type="auto"/>
            <w:tcBorders>
              <w:top w:val="single" w:sz="6" w:space="0" w:color="auto"/>
              <w:left w:val="single" w:sz="6" w:space="0" w:color="auto"/>
              <w:bottom w:val="single" w:sz="6" w:space="0" w:color="auto"/>
              <w:right w:val="single" w:sz="6" w:space="0" w:color="auto"/>
            </w:tcBorders>
            <w:hideMark/>
          </w:tcPr>
          <w:p w14:paraId="3DA73431" w14:textId="77777777" w:rsidR="00CA0334" w:rsidRDefault="00CA0334" w:rsidP="00BD1F8C">
            <w:pPr>
              <w:pStyle w:val="TAH"/>
              <w:rPr>
                <w:lang w:eastAsia="zh-CN"/>
              </w:rPr>
            </w:pPr>
            <w:r>
              <w:rPr>
                <w:rFonts w:eastAsia="SimSun"/>
                <w:i/>
                <w:lang w:eastAsia="zh-CN"/>
              </w:rPr>
              <w:t>IAB-MT</w:t>
            </w:r>
            <w:r>
              <w:rPr>
                <w:lang w:eastAsia="zh-CN"/>
              </w:rPr>
              <w:t xml:space="preserve"> adjacent channel centre frequency offset below or above the </w:t>
            </w:r>
            <w:r>
              <w:rPr>
                <w:rFonts w:eastAsia="SimSun"/>
                <w:i/>
                <w:lang w:eastAsia="zh-CN"/>
              </w:rPr>
              <w:t>sub-block</w:t>
            </w:r>
            <w:r>
              <w:rPr>
                <w:rFonts w:eastAsia="SimSun"/>
                <w:lang w:eastAsia="zh-CN"/>
              </w:rPr>
              <w:t xml:space="preserve"> edge (inside the gap)</w:t>
            </w:r>
          </w:p>
        </w:tc>
        <w:tc>
          <w:tcPr>
            <w:tcW w:w="0" w:type="auto"/>
            <w:tcBorders>
              <w:top w:val="single" w:sz="6" w:space="0" w:color="auto"/>
              <w:left w:val="single" w:sz="6" w:space="0" w:color="auto"/>
              <w:bottom w:val="single" w:sz="6" w:space="0" w:color="auto"/>
              <w:right w:val="single" w:sz="6" w:space="0" w:color="auto"/>
            </w:tcBorders>
            <w:hideMark/>
          </w:tcPr>
          <w:p w14:paraId="5289FE90" w14:textId="77777777" w:rsidR="00CA0334" w:rsidRDefault="00CA0334" w:rsidP="00BD1F8C">
            <w:pPr>
              <w:pStyle w:val="TAH"/>
              <w:rPr>
                <w:lang w:eastAsia="zh-CN"/>
              </w:rPr>
            </w:pPr>
            <w:r>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12F7AE16" w14:textId="77777777" w:rsidR="00CA0334" w:rsidRDefault="00CA0334" w:rsidP="00BD1F8C">
            <w:pPr>
              <w:pStyle w:val="TAH"/>
              <w:rPr>
                <w:lang w:eastAsia="zh-CN"/>
              </w:rPr>
            </w:pPr>
            <w:r>
              <w:rPr>
                <w:lang w:eastAsia="zh-CN"/>
              </w:rPr>
              <w:t>Filter on the adjacent channel frequency and corresponding filter bandwidth</w:t>
            </w:r>
          </w:p>
        </w:tc>
        <w:tc>
          <w:tcPr>
            <w:tcW w:w="1230" w:type="dxa"/>
            <w:tcBorders>
              <w:top w:val="single" w:sz="6" w:space="0" w:color="auto"/>
              <w:left w:val="single" w:sz="6" w:space="0" w:color="auto"/>
              <w:bottom w:val="single" w:sz="6" w:space="0" w:color="auto"/>
              <w:right w:val="single" w:sz="6" w:space="0" w:color="auto"/>
            </w:tcBorders>
            <w:hideMark/>
          </w:tcPr>
          <w:p w14:paraId="42DE3851" w14:textId="77777777" w:rsidR="00CA0334" w:rsidRDefault="00CA0334" w:rsidP="00BD1F8C">
            <w:pPr>
              <w:pStyle w:val="TAH"/>
              <w:rPr>
                <w:lang w:eastAsia="zh-CN"/>
              </w:rPr>
            </w:pPr>
            <w:r>
              <w:rPr>
                <w:lang w:eastAsia="zh-CN"/>
              </w:rPr>
              <w:t>ACLR limit</w:t>
            </w:r>
          </w:p>
        </w:tc>
      </w:tr>
      <w:tr w:rsidR="00CA0334" w14:paraId="5005DFE3" w14:textId="77777777" w:rsidTr="00815C5B">
        <w:trPr>
          <w:cantSplit/>
          <w:jc w:val="center"/>
        </w:trPr>
        <w:tc>
          <w:tcPr>
            <w:tcW w:w="1757" w:type="dxa"/>
            <w:tcBorders>
              <w:top w:val="single" w:sz="6" w:space="0" w:color="auto"/>
              <w:left w:val="single" w:sz="6" w:space="0" w:color="auto"/>
              <w:bottom w:val="single" w:sz="6" w:space="0" w:color="auto"/>
              <w:right w:val="single" w:sz="6" w:space="0" w:color="auto"/>
            </w:tcBorders>
            <w:hideMark/>
          </w:tcPr>
          <w:p w14:paraId="7EC1D7EF" w14:textId="77777777" w:rsidR="00CA0334" w:rsidRDefault="00CA0334" w:rsidP="00815C5B">
            <w:pPr>
              <w:pStyle w:val="TAC"/>
              <w:rPr>
                <w:rFonts w:eastAsia="SimSun"/>
                <w:lang w:eastAsia="zh-CN"/>
              </w:rPr>
            </w:pPr>
            <w:r>
              <w:rPr>
                <w:lang w:eastAsia="zh-CN"/>
              </w:rPr>
              <w:t>50, 100</w:t>
            </w:r>
          </w:p>
        </w:tc>
        <w:tc>
          <w:tcPr>
            <w:tcW w:w="0" w:type="auto"/>
            <w:tcBorders>
              <w:top w:val="single" w:sz="6" w:space="0" w:color="auto"/>
              <w:left w:val="single" w:sz="6" w:space="0" w:color="auto"/>
              <w:bottom w:val="single" w:sz="6" w:space="0" w:color="auto"/>
              <w:right w:val="single" w:sz="6" w:space="0" w:color="auto"/>
            </w:tcBorders>
            <w:hideMark/>
          </w:tcPr>
          <w:p w14:paraId="6D85EEA6" w14:textId="77777777" w:rsidR="00CA0334" w:rsidRDefault="00CA0334" w:rsidP="00815C5B">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100 (Note 4)</w:t>
            </w:r>
          </w:p>
          <w:p w14:paraId="462135D7" w14:textId="77777777" w:rsidR="00CA0334" w:rsidRDefault="00CA0334" w:rsidP="00815C5B">
            <w:pPr>
              <w:pStyle w:val="TAC"/>
              <w:rPr>
                <w:rFonts w:cs="Arial"/>
                <w:szCs w:val="18"/>
                <w:lang w:eastAsia="zh-CN"/>
              </w:rPr>
            </w:pPr>
            <w:r>
              <w:rPr>
                <w:rFonts w:cs="Arial"/>
                <w:szCs w:val="18"/>
                <w:lang w:eastAsia="zh-CN"/>
              </w:rPr>
              <w:t>W</w:t>
            </w:r>
            <w:r>
              <w:rPr>
                <w:rFonts w:cs="Arial"/>
                <w:szCs w:val="18"/>
                <w:vertAlign w:val="subscript"/>
                <w:lang w:eastAsia="zh-CN"/>
              </w:rPr>
              <w:t>gap</w:t>
            </w:r>
            <w:r>
              <w:rPr>
                <w:rFonts w:cs="Arial"/>
                <w:szCs w:val="18"/>
                <w:lang w:eastAsia="zh-CN"/>
              </w:rPr>
              <w:t>≥ 250 (Note 5)</w:t>
            </w:r>
          </w:p>
        </w:tc>
        <w:tc>
          <w:tcPr>
            <w:tcW w:w="0" w:type="auto"/>
            <w:tcBorders>
              <w:top w:val="single" w:sz="6" w:space="0" w:color="auto"/>
              <w:left w:val="single" w:sz="6" w:space="0" w:color="auto"/>
              <w:bottom w:val="single" w:sz="6" w:space="0" w:color="auto"/>
              <w:right w:val="single" w:sz="6" w:space="0" w:color="auto"/>
            </w:tcBorders>
            <w:hideMark/>
          </w:tcPr>
          <w:p w14:paraId="031B435D" w14:textId="77777777" w:rsidR="00CA0334" w:rsidRDefault="00CA0334" w:rsidP="00815C5B">
            <w:pPr>
              <w:pStyle w:val="TAC"/>
              <w:rPr>
                <w:lang w:eastAsia="zh-CN"/>
              </w:rPr>
            </w:pPr>
            <w:r>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47F3FA7C" w14:textId="77777777" w:rsidR="00CA0334" w:rsidRDefault="00CA0334" w:rsidP="00815C5B">
            <w:pPr>
              <w:pStyle w:val="TAC"/>
              <w:rPr>
                <w:lang w:eastAsia="zh-CN"/>
              </w:rPr>
            </w:pPr>
            <w:r>
              <w:rPr>
                <w:rFonts w:eastAsia="SimSun"/>
                <w:lang w:eastAsia="zh-CN"/>
              </w:rPr>
              <w:t xml:space="preserve">50 MHz </w:t>
            </w:r>
            <w:r>
              <w:rPr>
                <w:lang w:eastAsia="zh-CN"/>
              </w:rPr>
              <w:t xml:space="preserve">NR </w:t>
            </w:r>
            <w:r>
              <w:t>(Note 2)</w:t>
            </w:r>
          </w:p>
        </w:tc>
        <w:tc>
          <w:tcPr>
            <w:tcW w:w="0" w:type="auto"/>
            <w:tcBorders>
              <w:top w:val="single" w:sz="6" w:space="0" w:color="auto"/>
              <w:left w:val="single" w:sz="6" w:space="0" w:color="auto"/>
              <w:bottom w:val="single" w:sz="6" w:space="0" w:color="auto"/>
              <w:right w:val="single" w:sz="6" w:space="0" w:color="auto"/>
            </w:tcBorders>
            <w:hideMark/>
          </w:tcPr>
          <w:p w14:paraId="75DD4DA0" w14:textId="77777777" w:rsidR="00CA0334" w:rsidRDefault="00CA0334" w:rsidP="00815C5B">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30" w:type="dxa"/>
            <w:tcBorders>
              <w:top w:val="single" w:sz="6" w:space="0" w:color="auto"/>
              <w:left w:val="single" w:sz="6" w:space="0" w:color="auto"/>
              <w:bottom w:val="single" w:sz="6" w:space="0" w:color="auto"/>
              <w:right w:val="single" w:sz="6" w:space="0" w:color="auto"/>
            </w:tcBorders>
          </w:tcPr>
          <w:p w14:paraId="45F7D727" w14:textId="77777777" w:rsidR="00CA0334" w:rsidRDefault="00CA0334" w:rsidP="00815C5B">
            <w:pPr>
              <w:pStyle w:val="TAC"/>
            </w:pPr>
            <w:r>
              <w:t>24 (Note 3)</w:t>
            </w:r>
          </w:p>
        </w:tc>
      </w:tr>
      <w:tr w:rsidR="00CA0334" w14:paraId="25CE97BD" w14:textId="77777777" w:rsidTr="00815C5B">
        <w:trPr>
          <w:cantSplit/>
          <w:jc w:val="center"/>
        </w:trPr>
        <w:tc>
          <w:tcPr>
            <w:tcW w:w="1757" w:type="dxa"/>
            <w:tcBorders>
              <w:top w:val="single" w:sz="6" w:space="0" w:color="auto"/>
              <w:left w:val="single" w:sz="6" w:space="0" w:color="auto"/>
              <w:bottom w:val="single" w:sz="6" w:space="0" w:color="auto"/>
              <w:right w:val="single" w:sz="6" w:space="0" w:color="auto"/>
            </w:tcBorders>
            <w:hideMark/>
          </w:tcPr>
          <w:p w14:paraId="0C6AF6D0" w14:textId="77777777" w:rsidR="00CA0334" w:rsidRDefault="00CA0334" w:rsidP="00815C5B">
            <w:pPr>
              <w:pStyle w:val="TAC"/>
              <w:rPr>
                <w:rFonts w:eastAsia="SimSun"/>
                <w:lang w:eastAsia="zh-CN"/>
              </w:rPr>
            </w:pPr>
            <w:r>
              <w:rPr>
                <w:rFonts w:eastAsia="SimSun"/>
                <w:lang w:eastAsia="zh-CN"/>
              </w:rPr>
              <w:t>200, 400</w:t>
            </w:r>
          </w:p>
        </w:tc>
        <w:tc>
          <w:tcPr>
            <w:tcW w:w="0" w:type="auto"/>
            <w:tcBorders>
              <w:top w:val="single" w:sz="6" w:space="0" w:color="auto"/>
              <w:left w:val="single" w:sz="6" w:space="0" w:color="auto"/>
              <w:bottom w:val="single" w:sz="6" w:space="0" w:color="auto"/>
              <w:right w:val="single" w:sz="6" w:space="0" w:color="auto"/>
            </w:tcBorders>
            <w:hideMark/>
          </w:tcPr>
          <w:p w14:paraId="7E8B39E3" w14:textId="77777777" w:rsidR="00CA0334" w:rsidRDefault="00CA0334" w:rsidP="00815C5B">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400 (Note 5)</w:t>
            </w:r>
          </w:p>
          <w:p w14:paraId="3E38BFBD" w14:textId="48D5B2CB" w:rsidR="00CA0334" w:rsidRDefault="00CA0334" w:rsidP="00815C5B">
            <w:pPr>
              <w:pStyle w:val="TAC"/>
              <w:rPr>
                <w:rFonts w:cs="Arial"/>
                <w:lang w:eastAsia="zh-CN"/>
              </w:rPr>
            </w:pPr>
            <w:r>
              <w:rPr>
                <w:rFonts w:cs="Arial"/>
                <w:szCs w:val="18"/>
                <w:lang w:eastAsia="zh-CN"/>
              </w:rPr>
              <w:t>W</w:t>
            </w:r>
            <w:r>
              <w:rPr>
                <w:rFonts w:cs="Arial"/>
                <w:szCs w:val="18"/>
                <w:vertAlign w:val="subscript"/>
                <w:lang w:eastAsia="zh-CN"/>
              </w:rPr>
              <w:t>gap</w:t>
            </w:r>
            <w:r>
              <w:rPr>
                <w:rFonts w:cs="Arial"/>
                <w:lang w:eastAsia="zh-CN"/>
              </w:rPr>
              <w:t>≥ 250 (Note 4)</w:t>
            </w:r>
          </w:p>
        </w:tc>
        <w:tc>
          <w:tcPr>
            <w:tcW w:w="0" w:type="auto"/>
            <w:tcBorders>
              <w:top w:val="single" w:sz="6" w:space="0" w:color="auto"/>
              <w:left w:val="single" w:sz="6" w:space="0" w:color="auto"/>
              <w:bottom w:val="single" w:sz="6" w:space="0" w:color="auto"/>
              <w:right w:val="single" w:sz="6" w:space="0" w:color="auto"/>
            </w:tcBorders>
            <w:hideMark/>
          </w:tcPr>
          <w:p w14:paraId="22207C52" w14:textId="77777777" w:rsidR="00CA0334" w:rsidRDefault="00CA0334" w:rsidP="00815C5B">
            <w:pPr>
              <w:pStyle w:val="TAC"/>
              <w:rPr>
                <w:lang w:eastAsia="zh-CN"/>
              </w:rPr>
            </w:pPr>
            <w:r>
              <w:rPr>
                <w:rFonts w:cs="Arial"/>
                <w:lang w:eastAsia="zh-CN"/>
              </w:rPr>
              <w:t>100 MHz</w:t>
            </w:r>
          </w:p>
        </w:tc>
        <w:tc>
          <w:tcPr>
            <w:tcW w:w="0" w:type="auto"/>
            <w:tcBorders>
              <w:top w:val="single" w:sz="6" w:space="0" w:color="auto"/>
              <w:left w:val="single" w:sz="6" w:space="0" w:color="auto"/>
              <w:bottom w:val="single" w:sz="6" w:space="0" w:color="auto"/>
              <w:right w:val="single" w:sz="6" w:space="0" w:color="auto"/>
            </w:tcBorders>
            <w:hideMark/>
          </w:tcPr>
          <w:p w14:paraId="534E1447" w14:textId="77777777" w:rsidR="00CA0334" w:rsidRDefault="00CA0334" w:rsidP="00815C5B">
            <w:pPr>
              <w:pStyle w:val="TAC"/>
              <w:rPr>
                <w:lang w:eastAsia="zh-CN"/>
              </w:rPr>
            </w:pPr>
            <w:r>
              <w:rPr>
                <w:lang w:eastAsia="zh-CN"/>
              </w:rPr>
              <w:t xml:space="preserve">200 MHz NR </w:t>
            </w:r>
            <w:r>
              <w:t>(Note 2)</w:t>
            </w:r>
          </w:p>
        </w:tc>
        <w:tc>
          <w:tcPr>
            <w:tcW w:w="0" w:type="auto"/>
            <w:tcBorders>
              <w:top w:val="single" w:sz="6" w:space="0" w:color="auto"/>
              <w:left w:val="single" w:sz="6" w:space="0" w:color="auto"/>
              <w:bottom w:val="single" w:sz="6" w:space="0" w:color="auto"/>
              <w:right w:val="single" w:sz="6" w:space="0" w:color="auto"/>
            </w:tcBorders>
            <w:hideMark/>
          </w:tcPr>
          <w:p w14:paraId="756CD45C" w14:textId="77777777" w:rsidR="00CA0334" w:rsidRDefault="00CA0334" w:rsidP="00815C5B">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30" w:type="dxa"/>
            <w:tcBorders>
              <w:top w:val="single" w:sz="6" w:space="0" w:color="auto"/>
              <w:left w:val="single" w:sz="6" w:space="0" w:color="auto"/>
              <w:bottom w:val="single" w:sz="6" w:space="0" w:color="auto"/>
              <w:right w:val="single" w:sz="6" w:space="0" w:color="auto"/>
            </w:tcBorders>
          </w:tcPr>
          <w:p w14:paraId="6B1BD531" w14:textId="77777777" w:rsidR="00CA0334" w:rsidRDefault="00CA0334" w:rsidP="00815C5B">
            <w:pPr>
              <w:pStyle w:val="TAC"/>
            </w:pPr>
            <w:r>
              <w:t>24 (Note 3)</w:t>
            </w:r>
          </w:p>
        </w:tc>
      </w:tr>
      <w:tr w:rsidR="00CA0334" w:rsidRPr="00AB3358" w14:paraId="51E404B9" w14:textId="77777777" w:rsidTr="00BD1F8C">
        <w:trPr>
          <w:cantSplit/>
          <w:jc w:val="center"/>
        </w:trPr>
        <w:tc>
          <w:tcPr>
            <w:tcW w:w="9973" w:type="dxa"/>
            <w:gridSpan w:val="6"/>
            <w:tcBorders>
              <w:top w:val="single" w:sz="6" w:space="0" w:color="auto"/>
              <w:left w:val="single" w:sz="6" w:space="0" w:color="auto"/>
              <w:bottom w:val="single" w:sz="6" w:space="0" w:color="auto"/>
              <w:right w:val="single" w:sz="6" w:space="0" w:color="auto"/>
            </w:tcBorders>
            <w:hideMark/>
          </w:tcPr>
          <w:p w14:paraId="019FE689" w14:textId="77777777" w:rsidR="00CA0334" w:rsidRDefault="00CA0334" w:rsidP="00815C5B">
            <w:pPr>
              <w:pStyle w:val="TAN"/>
              <w:rPr>
                <w:lang w:eastAsia="zh-CN"/>
              </w:rPr>
            </w:pPr>
            <w:r>
              <w:rPr>
                <w:lang w:eastAsia="zh-CN"/>
              </w:rPr>
              <w:t>NOTE 1:</w:t>
            </w:r>
            <w:r>
              <w:rPr>
                <w:lang w:eastAsia="zh-CN"/>
              </w:rPr>
              <w:tab/>
              <w:t>BW</w:t>
            </w:r>
            <w:r>
              <w:rPr>
                <w:vertAlign w:val="subscript"/>
                <w:lang w:eastAsia="zh-CN"/>
              </w:rPr>
              <w:t>Config</w:t>
            </w:r>
            <w:r>
              <w:rPr>
                <w:lang w:eastAsia="zh-CN"/>
              </w:rPr>
              <w:t xml:space="preserve"> is the </w:t>
            </w:r>
            <w:r>
              <w:rPr>
                <w:i/>
                <w:lang w:eastAsia="zh-CN"/>
              </w:rPr>
              <w:t>transmission bandwidth configuration</w:t>
            </w:r>
            <w:r>
              <w:rPr>
                <w:lang w:eastAsia="zh-CN"/>
              </w:rPr>
              <w:t xml:space="preserve"> of the </w:t>
            </w:r>
            <w:r>
              <w:rPr>
                <w:rFonts w:cs="v5.0.0"/>
                <w:lang w:eastAsia="zh-CN"/>
              </w:rPr>
              <w:t>assumed adjacent channel carrier</w:t>
            </w:r>
            <w:r>
              <w:rPr>
                <w:lang w:eastAsia="zh-CN"/>
              </w:rPr>
              <w:t>.</w:t>
            </w:r>
          </w:p>
          <w:p w14:paraId="6E5BC413" w14:textId="77777777" w:rsidR="00CA0334" w:rsidRDefault="00CA0334" w:rsidP="00815C5B">
            <w:pPr>
              <w:pStyle w:val="TAN"/>
              <w:rPr>
                <w:rFonts w:cs="v5.0.0"/>
              </w:rPr>
            </w:pPr>
            <w:r>
              <w:t>NOTE 2:</w:t>
            </w:r>
            <w:r>
              <w:tab/>
              <w:t xml:space="preserve">With SCS that provides largest </w:t>
            </w:r>
            <w:r>
              <w:rPr>
                <w:rFonts w:cs="Arial"/>
                <w:i/>
              </w:rPr>
              <w:t>transmission bandwidth configuration</w:t>
            </w:r>
            <w:r>
              <w:rPr>
                <w:rFonts w:cs="Arial"/>
              </w:rPr>
              <w:t xml:space="preserve"> (BW</w:t>
            </w:r>
            <w:r>
              <w:rPr>
                <w:rFonts w:cs="Arial"/>
                <w:vertAlign w:val="subscript"/>
              </w:rPr>
              <w:t>Config</w:t>
            </w:r>
            <w:r>
              <w:rPr>
                <w:rFonts w:cs="v5.0.0"/>
              </w:rPr>
              <w:t>).</w:t>
            </w:r>
          </w:p>
          <w:p w14:paraId="517DF07C" w14:textId="77777777" w:rsidR="00CA0334" w:rsidRDefault="00CA0334" w:rsidP="00815C5B">
            <w:pPr>
              <w:pStyle w:val="TAN"/>
              <w:rPr>
                <w:rFonts w:eastAsia="SimSun"/>
                <w:lang w:eastAsia="zh-CN"/>
              </w:rPr>
            </w:pPr>
            <w:r>
              <w:rPr>
                <w:rFonts w:eastAsia="SimSun"/>
                <w:lang w:eastAsia="zh-CN"/>
              </w:rPr>
              <w:t>NOTE 3:</w:t>
            </w:r>
            <w:r>
              <w:rPr>
                <w:rFonts w:eastAsia="SimSun"/>
                <w:lang w:eastAsia="zh-CN"/>
              </w:rPr>
              <w:tab/>
              <w:t>Applicable to bands defined within the frequency spectrum range of 24.25 – 33.4 GHz and 37 – 52.6 GHz.</w:t>
            </w:r>
          </w:p>
          <w:p w14:paraId="677F937F" w14:textId="77777777" w:rsidR="00CA0334" w:rsidRDefault="00CA0334" w:rsidP="00815C5B">
            <w:pPr>
              <w:pStyle w:val="TAN"/>
              <w:rPr>
                <w:rFonts w:eastAsia="SimSun"/>
                <w:lang w:eastAsia="zh-CN"/>
              </w:rPr>
            </w:pPr>
            <w:r>
              <w:rPr>
                <w:rFonts w:eastAsia="SimSun"/>
                <w:lang w:eastAsia="zh-CN"/>
              </w:rPr>
              <w:t>NOTE 4:</w:t>
            </w:r>
            <w:r>
              <w:rPr>
                <w:rFonts w:eastAsia="SimSun"/>
                <w:lang w:eastAsia="zh-CN"/>
              </w:rPr>
              <w:tab/>
              <w:t xml:space="preserve">Applicable in case the </w:t>
            </w:r>
            <w:r>
              <w:rPr>
                <w:rFonts w:eastAsia="SimSun"/>
                <w:i/>
                <w:lang w:eastAsia="zh-CN"/>
              </w:rPr>
              <w:t>IAB-MT</w:t>
            </w:r>
            <w:r>
              <w:rPr>
                <w:i/>
              </w:rPr>
              <w:t xml:space="preserve"> channel bandwidth</w:t>
            </w:r>
            <w:r>
              <w:rPr>
                <w:rFonts w:eastAsia="SimSun"/>
                <w:lang w:eastAsia="zh-CN"/>
              </w:rPr>
              <w:t xml:space="preserve"> of the NR carrier transmitted at the other edge of the gap is 50 or 100 MHz.</w:t>
            </w:r>
          </w:p>
          <w:p w14:paraId="244A4FCC" w14:textId="77777777" w:rsidR="00CA0334" w:rsidRDefault="00CA0334" w:rsidP="00815C5B">
            <w:pPr>
              <w:pStyle w:val="TAN"/>
              <w:rPr>
                <w:rFonts w:eastAsia="SimSun"/>
                <w:lang w:eastAsia="zh-CN"/>
              </w:rPr>
            </w:pPr>
            <w:r>
              <w:rPr>
                <w:rFonts w:eastAsia="SimSun"/>
                <w:lang w:eastAsia="zh-CN"/>
              </w:rPr>
              <w:t>NOTE 5:</w:t>
            </w:r>
            <w:r>
              <w:rPr>
                <w:rFonts w:eastAsia="SimSun"/>
                <w:lang w:eastAsia="zh-CN"/>
              </w:rPr>
              <w:tab/>
              <w:t xml:space="preserve">Applicable in case the </w:t>
            </w:r>
            <w:r>
              <w:rPr>
                <w:rFonts w:eastAsia="SimSun"/>
                <w:i/>
                <w:lang w:eastAsia="zh-CN"/>
              </w:rPr>
              <w:t>IAB-MT</w:t>
            </w:r>
            <w:r>
              <w:rPr>
                <w:i/>
              </w:rPr>
              <w:t xml:space="preserve"> channel bandwidth</w:t>
            </w:r>
            <w:r>
              <w:rPr>
                <w:rFonts w:eastAsia="SimSun"/>
                <w:lang w:eastAsia="zh-CN"/>
              </w:rPr>
              <w:t xml:space="preserve"> of the NR carrier transmitted at the other edge of the gap is 200 or 400 MHz.</w:t>
            </w:r>
          </w:p>
        </w:tc>
      </w:tr>
    </w:tbl>
    <w:p w14:paraId="33960F37" w14:textId="77777777" w:rsidR="00CA0334" w:rsidRDefault="00CA0334" w:rsidP="00CA0334">
      <w:pPr>
        <w:rPr>
          <w:szCs w:val="24"/>
        </w:rPr>
      </w:pPr>
    </w:p>
    <w:p w14:paraId="1ED27AF0" w14:textId="77777777" w:rsidR="00CA0334" w:rsidRDefault="00CA0334" w:rsidP="00CA0334">
      <w:pPr>
        <w:pStyle w:val="TH"/>
        <w:rPr>
          <w:lang w:val="en-US"/>
        </w:rPr>
      </w:pPr>
      <w:r>
        <w:rPr>
          <w:lang w:val="en-US"/>
        </w:rPr>
        <w:t>Table 9.7.3.3-4: Local Area</w:t>
      </w:r>
      <w:r>
        <w:t xml:space="preserve"> </w:t>
      </w:r>
      <w:r w:rsidRPr="00743313">
        <w:rPr>
          <w:i/>
          <w:iCs/>
        </w:rPr>
        <w:t>IAB-MT type 2-O</w:t>
      </w:r>
      <w:r>
        <w:t xml:space="preserve"> CACLR limit in non-contiguous spectrum</w:t>
      </w:r>
    </w:p>
    <w:tbl>
      <w:tblPr>
        <w:tblW w:w="999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0"/>
        <w:gridCol w:w="1718"/>
        <w:gridCol w:w="1458"/>
        <w:gridCol w:w="2022"/>
        <w:gridCol w:w="1303"/>
        <w:gridCol w:w="2161"/>
        <w:gridCol w:w="1283"/>
        <w:gridCol w:w="30"/>
      </w:tblGrid>
      <w:tr w:rsidR="00CA0334" w14:paraId="2A5A74B3" w14:textId="77777777" w:rsidTr="00BD1F8C">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0BC30762" w14:textId="77777777" w:rsidR="00CA0334" w:rsidRDefault="00CA0334" w:rsidP="00BD1F8C">
            <w:pPr>
              <w:pStyle w:val="TAH"/>
              <w:rPr>
                <w:lang w:eastAsia="zh-CN"/>
              </w:rPr>
            </w:pPr>
            <w:r>
              <w:rPr>
                <w:rFonts w:eastAsia="SimSun"/>
                <w:i/>
                <w:lang w:eastAsia="zh-CN"/>
              </w:rPr>
              <w:t>IAB-MT channel bandwidth</w:t>
            </w:r>
            <w:r>
              <w:rPr>
                <w:lang w:eastAsia="zh-CN"/>
              </w:rPr>
              <w:t xml:space="preserve"> </w:t>
            </w:r>
            <w:r>
              <w:rPr>
                <w:rFonts w:eastAsia="SimSun"/>
                <w:lang w:eastAsia="zh-CN"/>
              </w:rPr>
              <w:t xml:space="preserve">of </w:t>
            </w:r>
            <w:r>
              <w:rPr>
                <w:rFonts w:eastAsia="SimSun"/>
                <w:i/>
                <w:lang w:eastAsia="zh-CN"/>
              </w:rPr>
              <w:t>l</w:t>
            </w:r>
            <w:r>
              <w:rPr>
                <w:rFonts w:eastAsia="SimSun" w:cs="Arial"/>
                <w:i/>
                <w:lang w:eastAsia="zh-CN"/>
              </w:rPr>
              <w:t>owest/highest carrier</w:t>
            </w:r>
            <w:r>
              <w:rPr>
                <w:lang w:eastAsia="zh-CN"/>
              </w:rPr>
              <w:t xml:space="preserve"> transmitted (MHz) </w:t>
            </w:r>
          </w:p>
        </w:tc>
        <w:tc>
          <w:tcPr>
            <w:tcW w:w="1458" w:type="dxa"/>
            <w:tcBorders>
              <w:top w:val="single" w:sz="6" w:space="0" w:color="auto"/>
              <w:left w:val="single" w:sz="6" w:space="0" w:color="auto"/>
              <w:bottom w:val="single" w:sz="6" w:space="0" w:color="auto"/>
              <w:right w:val="single" w:sz="6" w:space="0" w:color="auto"/>
            </w:tcBorders>
            <w:hideMark/>
          </w:tcPr>
          <w:p w14:paraId="53FEE4EF" w14:textId="77777777" w:rsidR="00CA0334" w:rsidRDefault="00CA0334" w:rsidP="00BD1F8C">
            <w:pPr>
              <w:pStyle w:val="TAH"/>
              <w:rPr>
                <w:rFonts w:cs="Arial"/>
                <w:szCs w:val="18"/>
                <w:lang w:eastAsia="zh-CN"/>
              </w:rPr>
            </w:pPr>
            <w:r>
              <w:rPr>
                <w:rFonts w:cs="Arial"/>
                <w:i/>
                <w:szCs w:val="18"/>
                <w:lang w:eastAsia="zh-CN"/>
              </w:rPr>
              <w:t>Sub-block gap</w:t>
            </w:r>
            <w:r>
              <w:rPr>
                <w:rFonts w:cs="Arial"/>
                <w:szCs w:val="18"/>
                <w:lang w:eastAsia="zh-CN"/>
              </w:rPr>
              <w:t xml:space="preserve"> size (W</w:t>
            </w:r>
            <w:r>
              <w:rPr>
                <w:rFonts w:cs="Arial"/>
                <w:szCs w:val="18"/>
                <w:vertAlign w:val="subscript"/>
                <w:lang w:eastAsia="zh-CN"/>
              </w:rPr>
              <w:t>gap</w:t>
            </w:r>
            <w:r>
              <w:rPr>
                <w:rFonts w:cs="Arial"/>
                <w:szCs w:val="18"/>
                <w:lang w:eastAsia="zh-CN"/>
              </w:rPr>
              <w:t>) where the limit applies (MHz)</w:t>
            </w:r>
          </w:p>
        </w:tc>
        <w:tc>
          <w:tcPr>
            <w:tcW w:w="2022" w:type="dxa"/>
            <w:tcBorders>
              <w:top w:val="single" w:sz="6" w:space="0" w:color="auto"/>
              <w:left w:val="single" w:sz="6" w:space="0" w:color="auto"/>
              <w:bottom w:val="single" w:sz="6" w:space="0" w:color="auto"/>
              <w:right w:val="single" w:sz="6" w:space="0" w:color="auto"/>
            </w:tcBorders>
            <w:hideMark/>
          </w:tcPr>
          <w:p w14:paraId="74A196B6" w14:textId="77777777" w:rsidR="00CA0334" w:rsidRDefault="00CA0334" w:rsidP="00BD1F8C">
            <w:pPr>
              <w:pStyle w:val="TAH"/>
              <w:rPr>
                <w:lang w:eastAsia="zh-CN"/>
              </w:rPr>
            </w:pPr>
            <w:r>
              <w:rPr>
                <w:rFonts w:eastAsia="SimSun"/>
                <w:i/>
                <w:lang w:eastAsia="zh-CN"/>
              </w:rPr>
              <w:t>IAB-MT</w:t>
            </w:r>
            <w:r>
              <w:rPr>
                <w:lang w:eastAsia="zh-CN"/>
              </w:rPr>
              <w:t xml:space="preserve"> adjacent channel centre frequency offset below or above the </w:t>
            </w:r>
            <w:r>
              <w:rPr>
                <w:rFonts w:eastAsia="SimSun"/>
                <w:i/>
                <w:lang w:eastAsia="zh-CN"/>
              </w:rPr>
              <w:t>sub-block</w:t>
            </w:r>
            <w:r>
              <w:rPr>
                <w:rFonts w:eastAsia="SimSun"/>
                <w:lang w:eastAsia="zh-CN"/>
              </w:rPr>
              <w:t xml:space="preserve"> edge (inside the gap)</w:t>
            </w:r>
          </w:p>
        </w:tc>
        <w:tc>
          <w:tcPr>
            <w:tcW w:w="0" w:type="auto"/>
            <w:tcBorders>
              <w:top w:val="single" w:sz="6" w:space="0" w:color="auto"/>
              <w:left w:val="single" w:sz="6" w:space="0" w:color="auto"/>
              <w:bottom w:val="single" w:sz="6" w:space="0" w:color="auto"/>
              <w:right w:val="single" w:sz="6" w:space="0" w:color="auto"/>
            </w:tcBorders>
            <w:hideMark/>
          </w:tcPr>
          <w:p w14:paraId="761FC7EA" w14:textId="77777777" w:rsidR="00CA0334" w:rsidRDefault="00CA0334" w:rsidP="00BD1F8C">
            <w:pPr>
              <w:pStyle w:val="TAH"/>
              <w:rPr>
                <w:lang w:eastAsia="zh-CN"/>
              </w:rPr>
            </w:pPr>
            <w:r>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3C454954" w14:textId="77777777" w:rsidR="00CA0334" w:rsidRDefault="00CA0334" w:rsidP="00BD1F8C">
            <w:pPr>
              <w:pStyle w:val="TAH"/>
              <w:rPr>
                <w:lang w:eastAsia="zh-CN"/>
              </w:rPr>
            </w:pPr>
            <w:r>
              <w:rPr>
                <w:lang w:eastAsia="zh-CN"/>
              </w:rPr>
              <w:t>Filter on the adjacent channel frequency and corresponding filter bandwidth</w:t>
            </w:r>
          </w:p>
        </w:tc>
        <w:tc>
          <w:tcPr>
            <w:tcW w:w="1283" w:type="dxa"/>
            <w:tcBorders>
              <w:top w:val="single" w:sz="6" w:space="0" w:color="auto"/>
              <w:left w:val="single" w:sz="6" w:space="0" w:color="auto"/>
              <w:bottom w:val="single" w:sz="6" w:space="0" w:color="auto"/>
              <w:right w:val="single" w:sz="6" w:space="0" w:color="auto"/>
            </w:tcBorders>
            <w:hideMark/>
          </w:tcPr>
          <w:p w14:paraId="491AF5F4" w14:textId="77777777" w:rsidR="00CA0334" w:rsidRDefault="00CA0334" w:rsidP="00BD1F8C">
            <w:pPr>
              <w:pStyle w:val="TAH"/>
              <w:rPr>
                <w:lang w:eastAsia="zh-CN"/>
              </w:rPr>
            </w:pPr>
            <w:r>
              <w:rPr>
                <w:lang w:eastAsia="zh-CN"/>
              </w:rPr>
              <w:t>CACLR limit</w:t>
            </w:r>
          </w:p>
        </w:tc>
      </w:tr>
      <w:tr w:rsidR="00CA0334" w14:paraId="2BC953EF" w14:textId="77777777" w:rsidTr="00815C5B">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6B3BAF72" w14:textId="77777777" w:rsidR="00CA0334" w:rsidRDefault="00CA0334" w:rsidP="00815C5B">
            <w:pPr>
              <w:pStyle w:val="TAC"/>
              <w:rPr>
                <w:rFonts w:eastAsia="SimSun"/>
                <w:lang w:eastAsia="zh-CN"/>
              </w:rPr>
            </w:pPr>
            <w:r>
              <w:rPr>
                <w:lang w:eastAsia="zh-CN"/>
              </w:rPr>
              <w:t>50, 100</w:t>
            </w:r>
          </w:p>
        </w:tc>
        <w:tc>
          <w:tcPr>
            <w:tcW w:w="1458" w:type="dxa"/>
            <w:tcBorders>
              <w:top w:val="single" w:sz="6" w:space="0" w:color="auto"/>
              <w:left w:val="single" w:sz="6" w:space="0" w:color="auto"/>
              <w:bottom w:val="single" w:sz="6" w:space="0" w:color="auto"/>
              <w:right w:val="single" w:sz="6" w:space="0" w:color="auto"/>
            </w:tcBorders>
            <w:hideMark/>
          </w:tcPr>
          <w:p w14:paraId="6BC69FFF" w14:textId="77777777" w:rsidR="00CA0334" w:rsidRDefault="00CA0334" w:rsidP="00815C5B">
            <w:pPr>
              <w:pStyle w:val="TAC"/>
              <w:rPr>
                <w:rFonts w:cs="Arial"/>
                <w:szCs w:val="18"/>
                <w:lang w:val="en-US"/>
              </w:rPr>
            </w:pPr>
            <w:r>
              <w:rPr>
                <w:rFonts w:cs="Arial"/>
                <w:szCs w:val="18"/>
                <w:lang w:eastAsia="zh-CN"/>
              </w:rPr>
              <w:t>50 ≤W</w:t>
            </w:r>
            <w:r>
              <w:rPr>
                <w:rFonts w:cs="Arial"/>
                <w:szCs w:val="18"/>
                <w:vertAlign w:val="subscript"/>
                <w:lang w:eastAsia="zh-CN"/>
              </w:rPr>
              <w:t>gap</w:t>
            </w:r>
            <w:r>
              <w:rPr>
                <w:rFonts w:cs="Arial"/>
                <w:szCs w:val="18"/>
                <w:lang w:eastAsia="zh-CN"/>
              </w:rPr>
              <w:t xml:space="preserve">&lt; 100 </w:t>
            </w:r>
            <w:r>
              <w:rPr>
                <w:rFonts w:cs="Arial"/>
                <w:szCs w:val="18"/>
                <w:lang w:val="en-US"/>
              </w:rPr>
              <w:t>(Note 4)</w:t>
            </w:r>
          </w:p>
          <w:p w14:paraId="3DF4F5F1" w14:textId="77777777" w:rsidR="00CA0334" w:rsidRDefault="00CA0334" w:rsidP="00815C5B">
            <w:pPr>
              <w:pStyle w:val="TAC"/>
              <w:rPr>
                <w:rFonts w:cs="Arial"/>
                <w:szCs w:val="18"/>
                <w:lang w:eastAsia="zh-CN"/>
              </w:rPr>
            </w:pPr>
            <w:r>
              <w:rPr>
                <w:rFonts w:cs="Arial"/>
                <w:szCs w:val="18"/>
                <w:lang w:eastAsia="zh-CN"/>
              </w:rPr>
              <w:t>50 ≤W</w:t>
            </w:r>
            <w:r>
              <w:rPr>
                <w:rFonts w:cs="Arial"/>
                <w:szCs w:val="18"/>
                <w:vertAlign w:val="subscript"/>
                <w:lang w:eastAsia="zh-CN"/>
              </w:rPr>
              <w:t>gap</w:t>
            </w:r>
            <w:r>
              <w:rPr>
                <w:rFonts w:cs="Arial"/>
                <w:szCs w:val="18"/>
                <w:lang w:eastAsia="zh-CN"/>
              </w:rPr>
              <w:t>&lt; 250 (Note 5)</w:t>
            </w:r>
          </w:p>
        </w:tc>
        <w:tc>
          <w:tcPr>
            <w:tcW w:w="2022" w:type="dxa"/>
            <w:tcBorders>
              <w:top w:val="single" w:sz="6" w:space="0" w:color="auto"/>
              <w:left w:val="single" w:sz="6" w:space="0" w:color="auto"/>
              <w:bottom w:val="single" w:sz="6" w:space="0" w:color="auto"/>
              <w:right w:val="single" w:sz="6" w:space="0" w:color="auto"/>
            </w:tcBorders>
            <w:hideMark/>
          </w:tcPr>
          <w:p w14:paraId="798C0593" w14:textId="77777777" w:rsidR="00CA0334" w:rsidRDefault="00CA0334" w:rsidP="00815C5B">
            <w:pPr>
              <w:pStyle w:val="TAC"/>
              <w:rPr>
                <w:lang w:eastAsia="zh-CN"/>
              </w:rPr>
            </w:pPr>
            <w:r>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0BBECF3E" w14:textId="77777777" w:rsidR="00CA0334" w:rsidRDefault="00CA0334" w:rsidP="00815C5B">
            <w:pPr>
              <w:pStyle w:val="TAC"/>
              <w:rPr>
                <w:lang w:eastAsia="zh-CN"/>
              </w:rPr>
            </w:pPr>
            <w:r>
              <w:rPr>
                <w:rFonts w:eastAsia="SimSun"/>
                <w:lang w:eastAsia="zh-CN"/>
              </w:rPr>
              <w:t xml:space="preserve">50 MHz </w:t>
            </w:r>
            <w:r>
              <w:rPr>
                <w:lang w:eastAsia="zh-CN"/>
              </w:rPr>
              <w:t xml:space="preserve">NR </w:t>
            </w:r>
            <w:r>
              <w:t>(Note 2)</w:t>
            </w:r>
          </w:p>
        </w:tc>
        <w:tc>
          <w:tcPr>
            <w:tcW w:w="0" w:type="auto"/>
            <w:tcBorders>
              <w:top w:val="single" w:sz="6" w:space="0" w:color="auto"/>
              <w:left w:val="single" w:sz="6" w:space="0" w:color="auto"/>
              <w:bottom w:val="single" w:sz="6" w:space="0" w:color="auto"/>
              <w:right w:val="single" w:sz="6" w:space="0" w:color="auto"/>
            </w:tcBorders>
            <w:hideMark/>
          </w:tcPr>
          <w:p w14:paraId="3221344C" w14:textId="77777777" w:rsidR="00CA0334" w:rsidRDefault="00CA0334" w:rsidP="00815C5B">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83" w:type="dxa"/>
            <w:tcBorders>
              <w:top w:val="single" w:sz="6" w:space="0" w:color="auto"/>
              <w:left w:val="single" w:sz="6" w:space="0" w:color="auto"/>
              <w:bottom w:val="single" w:sz="6" w:space="0" w:color="auto"/>
              <w:right w:val="single" w:sz="6" w:space="0" w:color="auto"/>
            </w:tcBorders>
          </w:tcPr>
          <w:p w14:paraId="3338F986" w14:textId="3BFFC00E" w:rsidR="00CA0334" w:rsidRDefault="00CA0334" w:rsidP="00815C5B">
            <w:pPr>
              <w:pStyle w:val="TAC"/>
            </w:pPr>
            <w:r>
              <w:t>24 (Note 3)</w:t>
            </w:r>
          </w:p>
        </w:tc>
      </w:tr>
      <w:tr w:rsidR="00CA0334" w14:paraId="4BF40A1C" w14:textId="77777777" w:rsidTr="00815C5B">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65A5D1E3" w14:textId="77777777" w:rsidR="00CA0334" w:rsidRDefault="00CA0334" w:rsidP="00815C5B">
            <w:pPr>
              <w:pStyle w:val="TAC"/>
              <w:rPr>
                <w:rFonts w:eastAsia="SimSun"/>
                <w:lang w:eastAsia="zh-CN"/>
              </w:rPr>
            </w:pPr>
            <w:r>
              <w:rPr>
                <w:rFonts w:eastAsia="SimSun"/>
                <w:lang w:eastAsia="zh-CN"/>
              </w:rPr>
              <w:t>200, 400</w:t>
            </w:r>
          </w:p>
        </w:tc>
        <w:tc>
          <w:tcPr>
            <w:tcW w:w="1458" w:type="dxa"/>
            <w:tcBorders>
              <w:top w:val="single" w:sz="6" w:space="0" w:color="auto"/>
              <w:left w:val="single" w:sz="6" w:space="0" w:color="auto"/>
              <w:bottom w:val="single" w:sz="6" w:space="0" w:color="auto"/>
              <w:right w:val="single" w:sz="6" w:space="0" w:color="auto"/>
            </w:tcBorders>
            <w:hideMark/>
          </w:tcPr>
          <w:p w14:paraId="2571D80B" w14:textId="77777777" w:rsidR="00CA0334" w:rsidRDefault="00CA0334" w:rsidP="00815C5B">
            <w:pPr>
              <w:pStyle w:val="TAC"/>
              <w:rPr>
                <w:rFonts w:cs="Arial"/>
                <w:lang w:val="en-US"/>
              </w:rPr>
            </w:pPr>
            <w:r>
              <w:rPr>
                <w:rFonts w:cs="Arial"/>
                <w:lang w:eastAsia="zh-CN"/>
              </w:rPr>
              <w:t>200 ≤</w:t>
            </w:r>
            <w:r>
              <w:rPr>
                <w:rFonts w:cs="Arial"/>
                <w:szCs w:val="18"/>
                <w:lang w:eastAsia="zh-CN"/>
              </w:rPr>
              <w:t>W</w:t>
            </w:r>
            <w:r>
              <w:rPr>
                <w:rFonts w:cs="Arial"/>
                <w:szCs w:val="18"/>
                <w:vertAlign w:val="subscript"/>
                <w:lang w:eastAsia="zh-CN"/>
              </w:rPr>
              <w:t>gap</w:t>
            </w:r>
            <w:r>
              <w:rPr>
                <w:rFonts w:cs="Arial"/>
                <w:lang w:eastAsia="zh-CN"/>
              </w:rPr>
              <w:t xml:space="preserve">&lt; 400 </w:t>
            </w:r>
            <w:r>
              <w:rPr>
                <w:rFonts w:cs="Arial"/>
                <w:lang w:val="en-US"/>
              </w:rPr>
              <w:t>(Note 5)</w:t>
            </w:r>
          </w:p>
          <w:p w14:paraId="1B79EB06" w14:textId="77777777" w:rsidR="00CA0334" w:rsidRDefault="00CA0334" w:rsidP="00815C5B">
            <w:pPr>
              <w:pStyle w:val="TAC"/>
              <w:rPr>
                <w:rFonts w:cs="Arial"/>
                <w:lang w:eastAsia="zh-CN"/>
              </w:rPr>
            </w:pPr>
            <w:r>
              <w:rPr>
                <w:rFonts w:cs="Arial"/>
                <w:lang w:eastAsia="zh-CN"/>
              </w:rPr>
              <w:t>200 ≤</w:t>
            </w:r>
            <w:r>
              <w:rPr>
                <w:rFonts w:cs="Arial"/>
                <w:szCs w:val="18"/>
                <w:lang w:eastAsia="zh-CN"/>
              </w:rPr>
              <w:t>W</w:t>
            </w:r>
            <w:r>
              <w:rPr>
                <w:rFonts w:cs="Arial"/>
                <w:szCs w:val="18"/>
                <w:vertAlign w:val="subscript"/>
                <w:lang w:eastAsia="zh-CN"/>
              </w:rPr>
              <w:t>gap</w:t>
            </w:r>
            <w:r>
              <w:rPr>
                <w:rFonts w:cs="Arial"/>
                <w:lang w:eastAsia="zh-CN"/>
              </w:rPr>
              <w:t>&lt; 250 (Note 4)</w:t>
            </w:r>
          </w:p>
        </w:tc>
        <w:tc>
          <w:tcPr>
            <w:tcW w:w="2022" w:type="dxa"/>
            <w:tcBorders>
              <w:top w:val="single" w:sz="6" w:space="0" w:color="auto"/>
              <w:left w:val="single" w:sz="6" w:space="0" w:color="auto"/>
              <w:bottom w:val="single" w:sz="6" w:space="0" w:color="auto"/>
              <w:right w:val="single" w:sz="6" w:space="0" w:color="auto"/>
            </w:tcBorders>
            <w:hideMark/>
          </w:tcPr>
          <w:p w14:paraId="2F3A1488" w14:textId="77777777" w:rsidR="00CA0334" w:rsidRDefault="00CA0334" w:rsidP="00815C5B">
            <w:pPr>
              <w:pStyle w:val="TAC"/>
              <w:rPr>
                <w:lang w:eastAsia="zh-CN"/>
              </w:rPr>
            </w:pPr>
            <w:r>
              <w:rPr>
                <w:rFonts w:cs="Arial"/>
                <w:lang w:eastAsia="zh-CN"/>
              </w:rPr>
              <w:t>100 MHz</w:t>
            </w:r>
          </w:p>
        </w:tc>
        <w:tc>
          <w:tcPr>
            <w:tcW w:w="0" w:type="auto"/>
            <w:tcBorders>
              <w:top w:val="single" w:sz="6" w:space="0" w:color="auto"/>
              <w:left w:val="single" w:sz="6" w:space="0" w:color="auto"/>
              <w:bottom w:val="single" w:sz="6" w:space="0" w:color="auto"/>
              <w:right w:val="single" w:sz="6" w:space="0" w:color="auto"/>
            </w:tcBorders>
            <w:hideMark/>
          </w:tcPr>
          <w:p w14:paraId="62326698" w14:textId="77777777" w:rsidR="00CA0334" w:rsidRDefault="00CA0334" w:rsidP="00815C5B">
            <w:pPr>
              <w:pStyle w:val="TAC"/>
              <w:rPr>
                <w:lang w:eastAsia="zh-CN"/>
              </w:rPr>
            </w:pPr>
            <w:r>
              <w:rPr>
                <w:lang w:eastAsia="zh-CN"/>
              </w:rPr>
              <w:t xml:space="preserve">200 MHz NR </w:t>
            </w:r>
            <w:r>
              <w:t>(Note 2)</w:t>
            </w:r>
          </w:p>
        </w:tc>
        <w:tc>
          <w:tcPr>
            <w:tcW w:w="0" w:type="auto"/>
            <w:tcBorders>
              <w:top w:val="single" w:sz="6" w:space="0" w:color="auto"/>
              <w:left w:val="single" w:sz="6" w:space="0" w:color="auto"/>
              <w:bottom w:val="single" w:sz="6" w:space="0" w:color="auto"/>
              <w:right w:val="single" w:sz="6" w:space="0" w:color="auto"/>
            </w:tcBorders>
            <w:hideMark/>
          </w:tcPr>
          <w:p w14:paraId="4296B01B" w14:textId="77777777" w:rsidR="00CA0334" w:rsidRDefault="00CA0334" w:rsidP="00815C5B">
            <w:pPr>
              <w:pStyle w:val="TAC"/>
              <w:rPr>
                <w:lang w:eastAsia="zh-CN"/>
              </w:rPr>
            </w:pPr>
            <w:r>
              <w:rPr>
                <w:lang w:eastAsia="zh-CN"/>
              </w:rPr>
              <w:t>Square (</w:t>
            </w:r>
            <w:r>
              <w:rPr>
                <w:rFonts w:cs="Arial"/>
                <w:lang w:eastAsia="zh-CN"/>
              </w:rPr>
              <w:t>BW</w:t>
            </w:r>
            <w:r>
              <w:rPr>
                <w:rFonts w:cs="Arial"/>
                <w:vertAlign w:val="subscript"/>
                <w:lang w:eastAsia="zh-CN"/>
              </w:rPr>
              <w:t>Config</w:t>
            </w:r>
            <w:r>
              <w:rPr>
                <w:lang w:eastAsia="zh-CN"/>
              </w:rPr>
              <w:t>)</w:t>
            </w:r>
          </w:p>
        </w:tc>
        <w:tc>
          <w:tcPr>
            <w:tcW w:w="1283" w:type="dxa"/>
            <w:tcBorders>
              <w:top w:val="single" w:sz="6" w:space="0" w:color="auto"/>
              <w:left w:val="single" w:sz="6" w:space="0" w:color="auto"/>
              <w:bottom w:val="single" w:sz="6" w:space="0" w:color="auto"/>
              <w:right w:val="single" w:sz="6" w:space="0" w:color="auto"/>
            </w:tcBorders>
          </w:tcPr>
          <w:p w14:paraId="076BC1BC" w14:textId="79304C2A" w:rsidR="00CA0334" w:rsidRDefault="00CA0334" w:rsidP="00815C5B">
            <w:pPr>
              <w:pStyle w:val="TAC"/>
            </w:pPr>
            <w:r>
              <w:t>24 (Note 3)</w:t>
            </w:r>
          </w:p>
        </w:tc>
      </w:tr>
      <w:tr w:rsidR="00CA0334" w:rsidRPr="00AB3358" w14:paraId="069F835B" w14:textId="77777777" w:rsidTr="00BD1F8C">
        <w:trPr>
          <w:gridBefore w:val="1"/>
          <w:wBefore w:w="20" w:type="dxa"/>
          <w:cantSplit/>
          <w:jc w:val="center"/>
        </w:trPr>
        <w:tc>
          <w:tcPr>
            <w:tcW w:w="9975" w:type="dxa"/>
            <w:gridSpan w:val="7"/>
            <w:tcBorders>
              <w:top w:val="single" w:sz="6" w:space="0" w:color="auto"/>
              <w:left w:val="single" w:sz="6" w:space="0" w:color="auto"/>
              <w:bottom w:val="single" w:sz="6" w:space="0" w:color="auto"/>
              <w:right w:val="single" w:sz="6" w:space="0" w:color="auto"/>
            </w:tcBorders>
            <w:hideMark/>
          </w:tcPr>
          <w:p w14:paraId="6C34B294" w14:textId="77777777" w:rsidR="00CA0334" w:rsidRDefault="00CA0334" w:rsidP="00BD1F8C">
            <w:pPr>
              <w:pStyle w:val="TAN"/>
              <w:rPr>
                <w:lang w:eastAsia="zh-CN"/>
              </w:rPr>
            </w:pPr>
            <w:r>
              <w:rPr>
                <w:lang w:eastAsia="zh-CN"/>
              </w:rPr>
              <w:t>NOTE 1:</w:t>
            </w:r>
            <w:r>
              <w:rPr>
                <w:lang w:eastAsia="zh-CN"/>
              </w:rPr>
              <w:tab/>
              <w:t>BW</w:t>
            </w:r>
            <w:r>
              <w:rPr>
                <w:vertAlign w:val="subscript"/>
                <w:lang w:eastAsia="zh-CN"/>
              </w:rPr>
              <w:t>Config</w:t>
            </w:r>
            <w:r>
              <w:rPr>
                <w:lang w:eastAsia="zh-CN"/>
              </w:rPr>
              <w:t xml:space="preserve"> is the transmission bandwidth configuration of the </w:t>
            </w:r>
            <w:r>
              <w:rPr>
                <w:rFonts w:cs="v5.0.0"/>
                <w:lang w:eastAsia="zh-CN"/>
              </w:rPr>
              <w:t>assumed adjacent channel carrier</w:t>
            </w:r>
            <w:r>
              <w:rPr>
                <w:lang w:eastAsia="zh-CN"/>
              </w:rPr>
              <w:t>.</w:t>
            </w:r>
          </w:p>
          <w:p w14:paraId="3CB3D2E0" w14:textId="77777777" w:rsidR="00CA0334" w:rsidRDefault="00CA0334" w:rsidP="00BD1F8C">
            <w:pPr>
              <w:pStyle w:val="TAN"/>
              <w:rPr>
                <w:rFonts w:cs="v5.0.0"/>
              </w:rPr>
            </w:pPr>
            <w:r>
              <w:t>NOTE 2:</w:t>
            </w:r>
            <w:r>
              <w:tab/>
              <w:t xml:space="preserve">With SCS that provides largest </w:t>
            </w:r>
            <w:r>
              <w:rPr>
                <w:rFonts w:cs="Arial"/>
              </w:rPr>
              <w:t>transmission bandwidth configuration (BW</w:t>
            </w:r>
            <w:r>
              <w:rPr>
                <w:rFonts w:cs="Arial"/>
                <w:vertAlign w:val="subscript"/>
              </w:rPr>
              <w:t>Config</w:t>
            </w:r>
            <w:r>
              <w:rPr>
                <w:rFonts w:cs="v5.0.0"/>
              </w:rPr>
              <w:t>).</w:t>
            </w:r>
          </w:p>
          <w:p w14:paraId="59AD9FA2" w14:textId="77777777" w:rsidR="00CA0334" w:rsidRDefault="00CA0334" w:rsidP="00BD1F8C">
            <w:pPr>
              <w:pStyle w:val="TAN"/>
              <w:rPr>
                <w:rFonts w:eastAsia="SimSun"/>
                <w:lang w:eastAsia="zh-CN"/>
              </w:rPr>
            </w:pPr>
            <w:r>
              <w:rPr>
                <w:rFonts w:eastAsia="SimSun"/>
                <w:lang w:eastAsia="zh-CN"/>
              </w:rPr>
              <w:t>NOTE 3:</w:t>
            </w:r>
            <w:r>
              <w:rPr>
                <w:rFonts w:eastAsia="SimSun"/>
                <w:lang w:eastAsia="zh-CN"/>
              </w:rPr>
              <w:tab/>
              <w:t>Applicable to bands defined within the frequency spectrum range of 24.25 – 33.4 GHz.</w:t>
            </w:r>
          </w:p>
          <w:p w14:paraId="74D1F5E5" w14:textId="77777777" w:rsidR="00CA0334" w:rsidRDefault="00CA0334" w:rsidP="00BD1F8C">
            <w:pPr>
              <w:pStyle w:val="TAN"/>
              <w:rPr>
                <w:rFonts w:eastAsia="SimSun"/>
                <w:lang w:eastAsia="zh-CN"/>
              </w:rPr>
            </w:pPr>
            <w:r>
              <w:rPr>
                <w:rFonts w:eastAsia="SimSun"/>
                <w:lang w:eastAsia="zh-CN"/>
              </w:rPr>
              <w:t>NOTE 4:</w:t>
            </w:r>
            <w:r>
              <w:rPr>
                <w:rFonts w:eastAsia="SimSun"/>
                <w:lang w:eastAsia="zh-CN"/>
              </w:rPr>
              <w:tab/>
              <w:t xml:space="preserve">Applicable in case the </w:t>
            </w:r>
            <w:r>
              <w:rPr>
                <w:i/>
              </w:rPr>
              <w:t>IAB-MT channel bandwidth</w:t>
            </w:r>
            <w:r>
              <w:rPr>
                <w:rFonts w:eastAsia="SimSun"/>
                <w:lang w:eastAsia="zh-CN"/>
              </w:rPr>
              <w:t xml:space="preserve"> of the NR carrier transmitted at the other edge of the gap is 50 or 100 MHz.</w:t>
            </w:r>
          </w:p>
          <w:p w14:paraId="35D34F8C" w14:textId="77777777" w:rsidR="00CA0334" w:rsidRDefault="00CA0334" w:rsidP="00BD1F8C">
            <w:pPr>
              <w:pStyle w:val="TAN"/>
              <w:rPr>
                <w:rFonts w:eastAsia="SimSun"/>
                <w:lang w:eastAsia="zh-CN"/>
              </w:rPr>
            </w:pPr>
            <w:r>
              <w:rPr>
                <w:rFonts w:eastAsia="SimSun"/>
                <w:lang w:eastAsia="zh-CN"/>
              </w:rPr>
              <w:t>NOTE 5:</w:t>
            </w:r>
            <w:r>
              <w:rPr>
                <w:rFonts w:eastAsia="SimSun"/>
                <w:lang w:eastAsia="zh-CN"/>
              </w:rPr>
              <w:tab/>
              <w:t xml:space="preserve">Applicable in case the </w:t>
            </w:r>
            <w:r>
              <w:rPr>
                <w:i/>
              </w:rPr>
              <w:t>IAB-MT channel bandwidth</w:t>
            </w:r>
            <w:r>
              <w:rPr>
                <w:rFonts w:eastAsia="SimSun"/>
                <w:lang w:eastAsia="zh-CN"/>
              </w:rPr>
              <w:t xml:space="preserve"> of the NR carrier transmitted at the other edge of the gap is 200 or 400 MHz.</w:t>
            </w:r>
          </w:p>
        </w:tc>
      </w:tr>
    </w:tbl>
    <w:p w14:paraId="307EF734" w14:textId="77777777" w:rsidR="00CA0334" w:rsidRDefault="00CA0334" w:rsidP="00CA0334">
      <w:pPr>
        <w:rPr>
          <w:szCs w:val="24"/>
        </w:rPr>
      </w:pPr>
    </w:p>
    <w:p w14:paraId="11DE41C3" w14:textId="77777777" w:rsidR="00CA0334" w:rsidRDefault="00CA0334" w:rsidP="00CA0334">
      <w:pPr>
        <w:pStyle w:val="TH"/>
      </w:pPr>
      <w:r>
        <w:t>Table 9.7.3.3-</w:t>
      </w:r>
      <w:r>
        <w:rPr>
          <w:rFonts w:eastAsia="SimSun"/>
        </w:rPr>
        <w:t>5</w:t>
      </w:r>
      <w:r>
        <w:t xml:space="preserve">: </w:t>
      </w:r>
      <w:r w:rsidRPr="00743313">
        <w:rPr>
          <w:iCs/>
        </w:rPr>
        <w:t>Local Area</w:t>
      </w:r>
      <w:r>
        <w:t xml:space="preserve"> </w:t>
      </w:r>
      <w:r w:rsidRPr="00743313">
        <w:rPr>
          <w:i/>
          <w:iCs/>
        </w:rPr>
        <w:t>IAB-MT type 2-O</w:t>
      </w:r>
      <w:r>
        <w:t xml:space="preserve"> </w:t>
      </w:r>
      <w:r>
        <w:rPr>
          <w:rFonts w:eastAsia="SimSun"/>
        </w:rPr>
        <w:t>C</w:t>
      </w:r>
      <w:r>
        <w:t>ACLR absolute limit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2693"/>
      </w:tblGrid>
      <w:tr w:rsidR="00CA0334" w14:paraId="6E32E125"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168D8E57" w14:textId="77777777" w:rsidR="00CA0334" w:rsidRDefault="00CA0334" w:rsidP="00BD1F8C">
            <w:pPr>
              <w:pStyle w:val="TAH"/>
            </w:pPr>
            <w:r>
              <w:t>IAB-MT class</w:t>
            </w:r>
          </w:p>
        </w:tc>
        <w:tc>
          <w:tcPr>
            <w:tcW w:w="2693" w:type="dxa"/>
            <w:tcBorders>
              <w:top w:val="single" w:sz="4" w:space="0" w:color="auto"/>
              <w:left w:val="single" w:sz="4" w:space="0" w:color="auto"/>
              <w:bottom w:val="single" w:sz="4" w:space="0" w:color="auto"/>
              <w:right w:val="single" w:sz="4" w:space="0" w:color="auto"/>
            </w:tcBorders>
            <w:hideMark/>
          </w:tcPr>
          <w:p w14:paraId="4F9A516F" w14:textId="77777777" w:rsidR="00CA0334" w:rsidRDefault="00CA0334" w:rsidP="00BD1F8C">
            <w:pPr>
              <w:pStyle w:val="TAH"/>
            </w:pPr>
            <w:r>
              <w:rPr>
                <w:rFonts w:eastAsia="SimSun"/>
                <w:lang w:val="en-US" w:eastAsia="zh-CN"/>
              </w:rPr>
              <w:t>C</w:t>
            </w:r>
            <w:r>
              <w:t>ACLR absolute limit</w:t>
            </w:r>
          </w:p>
        </w:tc>
      </w:tr>
      <w:tr w:rsidR="00CA0334" w14:paraId="080FF399" w14:textId="77777777" w:rsidTr="00BD1F8C">
        <w:trPr>
          <w:jc w:val="center"/>
        </w:trPr>
        <w:tc>
          <w:tcPr>
            <w:tcW w:w="2376" w:type="dxa"/>
            <w:tcBorders>
              <w:top w:val="single" w:sz="4" w:space="0" w:color="auto"/>
              <w:left w:val="single" w:sz="4" w:space="0" w:color="auto"/>
              <w:bottom w:val="single" w:sz="4" w:space="0" w:color="auto"/>
              <w:right w:val="single" w:sz="4" w:space="0" w:color="auto"/>
            </w:tcBorders>
            <w:hideMark/>
          </w:tcPr>
          <w:p w14:paraId="30F42FC5" w14:textId="77777777" w:rsidR="00CA0334" w:rsidRDefault="00CA0334" w:rsidP="00BD1F8C">
            <w:pPr>
              <w:pStyle w:val="TAC"/>
            </w:pPr>
            <w:r>
              <w:t>Local area IAB-MT</w:t>
            </w:r>
          </w:p>
        </w:tc>
        <w:tc>
          <w:tcPr>
            <w:tcW w:w="2693" w:type="dxa"/>
            <w:tcBorders>
              <w:top w:val="single" w:sz="4" w:space="0" w:color="auto"/>
              <w:left w:val="single" w:sz="4" w:space="0" w:color="auto"/>
              <w:bottom w:val="single" w:sz="4" w:space="0" w:color="auto"/>
              <w:right w:val="single" w:sz="4" w:space="0" w:color="auto"/>
            </w:tcBorders>
            <w:hideMark/>
          </w:tcPr>
          <w:p w14:paraId="22D95EA0" w14:textId="77777777" w:rsidR="00CA0334" w:rsidRDefault="00CA0334" w:rsidP="00BD1F8C">
            <w:pPr>
              <w:pStyle w:val="TAC"/>
            </w:pPr>
            <w:r>
              <w:t>-20 dBm/MHz</w:t>
            </w:r>
          </w:p>
        </w:tc>
      </w:tr>
    </w:tbl>
    <w:p w14:paraId="6700F565" w14:textId="77777777" w:rsidR="00CA0334" w:rsidRDefault="00CA0334" w:rsidP="00CA0334"/>
    <w:p w14:paraId="2AD3021A" w14:textId="77777777" w:rsidR="00CA0334" w:rsidRDefault="00CA0334" w:rsidP="00CA0334">
      <w:pPr>
        <w:pStyle w:val="TH"/>
      </w:pPr>
      <w:r>
        <w:lastRenderedPageBreak/>
        <w:t>Table 9.7.3.3-6: Filter parameters for the assigned channel</w:t>
      </w:r>
    </w:p>
    <w:tbl>
      <w:tblPr>
        <w:tblW w:w="642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596"/>
        <w:gridCol w:w="3824"/>
      </w:tblGrid>
      <w:tr w:rsidR="00CA0334" w:rsidRPr="00AB3358" w14:paraId="22A58BC7" w14:textId="77777777" w:rsidTr="00BD1F8C">
        <w:trPr>
          <w:cantSplit/>
          <w:jc w:val="center"/>
        </w:trPr>
        <w:tc>
          <w:tcPr>
            <w:tcW w:w="2597" w:type="dxa"/>
            <w:tcBorders>
              <w:top w:val="single" w:sz="6" w:space="0" w:color="auto"/>
              <w:left w:val="single" w:sz="6" w:space="0" w:color="auto"/>
              <w:bottom w:val="single" w:sz="6" w:space="0" w:color="auto"/>
              <w:right w:val="single" w:sz="6" w:space="0" w:color="auto"/>
            </w:tcBorders>
            <w:hideMark/>
          </w:tcPr>
          <w:p w14:paraId="7C047430" w14:textId="77777777" w:rsidR="00CA0334" w:rsidRDefault="00CA0334" w:rsidP="00BD1F8C">
            <w:pPr>
              <w:pStyle w:val="TAH"/>
              <w:rPr>
                <w:rFonts w:eastAsia="SimSun"/>
              </w:rPr>
            </w:pPr>
            <w:r>
              <w:rPr>
                <w:rFonts w:eastAsia="SimSun"/>
              </w:rPr>
              <w:t xml:space="preserve">RAT of the carrier adjacent to the </w:t>
            </w:r>
            <w:r>
              <w:rPr>
                <w:rFonts w:eastAsia="SimSun"/>
                <w:i/>
              </w:rPr>
              <w:t>sub-block gap</w:t>
            </w:r>
            <w:r>
              <w:rPr>
                <w:rFonts w:eastAsia="SimSun"/>
              </w:rPr>
              <w:t xml:space="preserve"> </w:t>
            </w:r>
          </w:p>
        </w:tc>
        <w:tc>
          <w:tcPr>
            <w:tcW w:w="3825" w:type="dxa"/>
            <w:tcBorders>
              <w:top w:val="single" w:sz="6" w:space="0" w:color="auto"/>
              <w:left w:val="single" w:sz="6" w:space="0" w:color="auto"/>
              <w:bottom w:val="single" w:sz="6" w:space="0" w:color="auto"/>
              <w:right w:val="single" w:sz="6" w:space="0" w:color="auto"/>
            </w:tcBorders>
            <w:hideMark/>
          </w:tcPr>
          <w:p w14:paraId="51EA3FFC" w14:textId="77777777" w:rsidR="00CA0334" w:rsidRDefault="00CA0334" w:rsidP="00BD1F8C">
            <w:pPr>
              <w:pStyle w:val="TAH"/>
            </w:pPr>
            <w:r>
              <w:t>Filter on the assigned channel frequency and corresponding filter bandwidth</w:t>
            </w:r>
          </w:p>
        </w:tc>
      </w:tr>
      <w:tr w:rsidR="00CA0334" w:rsidRPr="00AB3358" w14:paraId="3A9EB45B" w14:textId="77777777" w:rsidTr="00815C5B">
        <w:trPr>
          <w:cantSplit/>
          <w:jc w:val="center"/>
        </w:trPr>
        <w:tc>
          <w:tcPr>
            <w:tcW w:w="2597" w:type="dxa"/>
            <w:tcBorders>
              <w:top w:val="single" w:sz="6" w:space="0" w:color="auto"/>
              <w:left w:val="single" w:sz="6" w:space="0" w:color="auto"/>
              <w:bottom w:val="single" w:sz="6" w:space="0" w:color="auto"/>
              <w:right w:val="single" w:sz="6" w:space="0" w:color="auto"/>
            </w:tcBorders>
            <w:hideMark/>
          </w:tcPr>
          <w:p w14:paraId="43F013FB" w14:textId="77777777" w:rsidR="00CA0334" w:rsidRDefault="00CA0334" w:rsidP="00815C5B">
            <w:pPr>
              <w:pStyle w:val="TAC"/>
              <w:rPr>
                <w:rFonts w:eastAsia="SimSun"/>
              </w:rPr>
            </w:pPr>
            <w:r>
              <w:rPr>
                <w:rFonts w:eastAsia="SimSun"/>
              </w:rPr>
              <w:t>NR</w:t>
            </w:r>
          </w:p>
        </w:tc>
        <w:tc>
          <w:tcPr>
            <w:tcW w:w="3825" w:type="dxa"/>
            <w:tcBorders>
              <w:top w:val="single" w:sz="6" w:space="0" w:color="auto"/>
              <w:left w:val="single" w:sz="6" w:space="0" w:color="auto"/>
              <w:bottom w:val="single" w:sz="6" w:space="0" w:color="auto"/>
              <w:right w:val="single" w:sz="6" w:space="0" w:color="auto"/>
            </w:tcBorders>
            <w:hideMark/>
          </w:tcPr>
          <w:p w14:paraId="6C3B50FC" w14:textId="77777777" w:rsidR="00CA0334" w:rsidRDefault="00CA0334" w:rsidP="00815C5B">
            <w:pPr>
              <w:pStyle w:val="TAC"/>
            </w:pPr>
            <w:r>
              <w:t xml:space="preserve">NR of same BW with SCS that provides largest </w:t>
            </w:r>
            <w:r>
              <w:rPr>
                <w:i/>
              </w:rPr>
              <w:t>transmission bandwidth configuration</w:t>
            </w:r>
          </w:p>
        </w:tc>
      </w:tr>
    </w:tbl>
    <w:p w14:paraId="7579D49B" w14:textId="77777777" w:rsidR="00CA0334" w:rsidRDefault="00CA0334" w:rsidP="00CA0334"/>
    <w:p w14:paraId="5DDE3E6F" w14:textId="77777777" w:rsidR="00CA0334" w:rsidRDefault="00CA0334" w:rsidP="00CA0334">
      <w:pPr>
        <w:pStyle w:val="Heading3"/>
      </w:pPr>
      <w:bookmarkStart w:id="5377" w:name="_Toc21127670"/>
      <w:bookmarkStart w:id="5378" w:name="_Toc29811879"/>
      <w:bookmarkStart w:id="5379" w:name="_Toc36817431"/>
      <w:bookmarkStart w:id="5380" w:name="_Toc37260353"/>
      <w:bookmarkStart w:id="5381" w:name="_Toc37267741"/>
      <w:bookmarkStart w:id="5382" w:name="_Toc44712344"/>
      <w:bookmarkStart w:id="5383" w:name="_Toc45893657"/>
      <w:bookmarkStart w:id="5384" w:name="_Toc53185496"/>
      <w:bookmarkStart w:id="5385" w:name="_Toc53185872"/>
      <w:bookmarkStart w:id="5386" w:name="_Toc57820358"/>
      <w:bookmarkStart w:id="5387" w:name="_Toc57821285"/>
      <w:bookmarkStart w:id="5388" w:name="_Toc61183561"/>
      <w:bookmarkStart w:id="5389" w:name="_Toc61183955"/>
      <w:bookmarkStart w:id="5390" w:name="_Toc61184347"/>
      <w:bookmarkStart w:id="5391" w:name="_Toc61184739"/>
      <w:bookmarkStart w:id="5392" w:name="_Toc61185129"/>
      <w:bookmarkStart w:id="5393" w:name="_Toc66386473"/>
      <w:bookmarkStart w:id="5394" w:name="_Toc74583376"/>
      <w:bookmarkStart w:id="5395" w:name="_Toc76542189"/>
      <w:bookmarkStart w:id="5396" w:name="_Toc82450171"/>
      <w:bookmarkStart w:id="5397" w:name="_Toc82450819"/>
      <w:bookmarkStart w:id="5398" w:name="_Toc89949208"/>
      <w:bookmarkStart w:id="5399" w:name="_Toc98755597"/>
      <w:bookmarkStart w:id="5400" w:name="_Toc98763189"/>
      <w:bookmarkStart w:id="5401" w:name="_Toc106184118"/>
      <w:r>
        <w:t>9.7.4</w:t>
      </w:r>
      <w:r>
        <w:tab/>
        <w:t>OTA</w:t>
      </w:r>
      <w:bookmarkStart w:id="5402" w:name="_Hlk496084370"/>
      <w:r>
        <w:t xml:space="preserve"> operating band unwanted emissions</w:t>
      </w:r>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p>
    <w:p w14:paraId="320E198B" w14:textId="77777777" w:rsidR="00CA0334" w:rsidRDefault="00CA0334" w:rsidP="00CA0334">
      <w:pPr>
        <w:pStyle w:val="Heading4"/>
      </w:pPr>
      <w:bookmarkStart w:id="5403" w:name="_Toc45893658"/>
      <w:bookmarkStart w:id="5404" w:name="_Toc44712345"/>
      <w:bookmarkStart w:id="5405" w:name="_Toc37267742"/>
      <w:bookmarkStart w:id="5406" w:name="_Toc37260354"/>
      <w:bookmarkStart w:id="5407" w:name="_Toc36817432"/>
      <w:bookmarkStart w:id="5408" w:name="_Toc29811880"/>
      <w:bookmarkStart w:id="5409" w:name="_Toc21127671"/>
      <w:bookmarkStart w:id="5410" w:name="_Toc53185497"/>
      <w:bookmarkStart w:id="5411" w:name="_Toc53185873"/>
      <w:bookmarkStart w:id="5412" w:name="_Toc57820359"/>
      <w:bookmarkStart w:id="5413" w:name="_Toc57821286"/>
      <w:bookmarkStart w:id="5414" w:name="_Toc61183562"/>
      <w:bookmarkStart w:id="5415" w:name="_Toc61183956"/>
      <w:bookmarkStart w:id="5416" w:name="_Toc61184348"/>
      <w:bookmarkStart w:id="5417" w:name="_Toc61184740"/>
      <w:bookmarkStart w:id="5418" w:name="_Toc61185130"/>
      <w:bookmarkStart w:id="5419" w:name="_Toc66386474"/>
      <w:bookmarkStart w:id="5420" w:name="_Toc74583377"/>
      <w:bookmarkStart w:id="5421" w:name="_Toc76542190"/>
      <w:bookmarkStart w:id="5422" w:name="_Toc82450172"/>
      <w:bookmarkStart w:id="5423" w:name="_Toc82450820"/>
      <w:bookmarkStart w:id="5424" w:name="_Toc89949209"/>
      <w:bookmarkStart w:id="5425" w:name="_Toc98755598"/>
      <w:bookmarkStart w:id="5426" w:name="_Toc98763190"/>
      <w:bookmarkStart w:id="5427" w:name="_Toc106184119"/>
      <w:r>
        <w:t>9.7.4.1</w:t>
      </w:r>
      <w:r>
        <w:tab/>
        <w:t>General</w:t>
      </w:r>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p>
    <w:p w14:paraId="61F6AE94" w14:textId="77777777" w:rsidR="00CA0334" w:rsidRDefault="00CA0334" w:rsidP="00CA0334">
      <w:r>
        <w:t>The OTA limits for operating band unwanted emissions are specified as TRP per RIB unless otherwise stated.</w:t>
      </w:r>
    </w:p>
    <w:p w14:paraId="4F944FBD" w14:textId="77777777" w:rsidR="00CA0334" w:rsidRDefault="00CA0334" w:rsidP="00CA0334">
      <w:pPr>
        <w:pStyle w:val="Heading4"/>
      </w:pPr>
      <w:bookmarkStart w:id="5428" w:name="_Toc45893659"/>
      <w:bookmarkStart w:id="5429" w:name="_Toc44712346"/>
      <w:bookmarkStart w:id="5430" w:name="_Toc37267743"/>
      <w:bookmarkStart w:id="5431" w:name="_Toc37260355"/>
      <w:bookmarkStart w:id="5432" w:name="_Toc36817433"/>
      <w:bookmarkStart w:id="5433" w:name="_Toc29811881"/>
      <w:bookmarkStart w:id="5434" w:name="_Toc21127672"/>
      <w:bookmarkStart w:id="5435" w:name="_Toc53185498"/>
      <w:bookmarkStart w:id="5436" w:name="_Toc53185874"/>
      <w:bookmarkStart w:id="5437" w:name="_Toc57820360"/>
      <w:bookmarkStart w:id="5438" w:name="_Toc57821287"/>
      <w:bookmarkStart w:id="5439" w:name="_Toc61183563"/>
      <w:bookmarkStart w:id="5440" w:name="_Toc61183957"/>
      <w:bookmarkStart w:id="5441" w:name="_Toc61184349"/>
      <w:bookmarkStart w:id="5442" w:name="_Toc61184741"/>
      <w:bookmarkStart w:id="5443" w:name="_Toc61185131"/>
      <w:bookmarkStart w:id="5444" w:name="_Toc66386475"/>
      <w:bookmarkStart w:id="5445" w:name="_Toc74583378"/>
      <w:bookmarkStart w:id="5446" w:name="_Toc76542191"/>
      <w:bookmarkStart w:id="5447" w:name="_Toc82450173"/>
      <w:bookmarkStart w:id="5448" w:name="_Toc82450821"/>
      <w:bookmarkStart w:id="5449" w:name="_Toc89949210"/>
      <w:bookmarkStart w:id="5450" w:name="_Toc98755599"/>
      <w:bookmarkStart w:id="5451" w:name="_Toc98763191"/>
      <w:bookmarkStart w:id="5452" w:name="_Toc106184120"/>
      <w:r>
        <w:t>9.7.4.2</w:t>
      </w:r>
      <w:r>
        <w:tab/>
        <w:t xml:space="preserve">Minimum requirement for </w:t>
      </w:r>
      <w:r>
        <w:rPr>
          <w:i/>
        </w:rPr>
        <w:t>IAB-DU type 1-O</w:t>
      </w:r>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p>
    <w:p w14:paraId="07C3D5B0" w14:textId="77777777" w:rsidR="00CA0334" w:rsidRDefault="00CA0334" w:rsidP="00CA0334">
      <w:r>
        <w:t xml:space="preserve">Out-of-band emissions in FR1 are limited by OTA operating band unwanted emission limits. Unless otherwise stated, the </w:t>
      </w:r>
      <w:r>
        <w:rPr>
          <w:rFonts w:eastAsia="SimSun"/>
          <w:lang w:eastAsia="zh-CN"/>
        </w:rPr>
        <w:t>o</w:t>
      </w:r>
      <w:r>
        <w:t>perating band unwanted emission limits in FR1 are defined from</w:t>
      </w:r>
      <w:r>
        <w:rPr>
          <w:rFonts w:eastAsia="SimSun"/>
          <w:lang w:eastAsia="zh-CN"/>
        </w:rPr>
        <w:t xml:space="preserve"> </w:t>
      </w:r>
      <w:r>
        <w:rPr>
          <w:rFonts w:cs="v5.0.0"/>
        </w:rPr>
        <w:t>Δf</w:t>
      </w:r>
      <w:r>
        <w:rPr>
          <w:rFonts w:cs="v5.0.0"/>
          <w:vertAlign w:val="subscript"/>
        </w:rPr>
        <w:t>OBUE</w:t>
      </w:r>
      <w:r>
        <w:t xml:space="preserve"> below the lowest frequency of each supported downlink </w:t>
      </w:r>
      <w:r>
        <w:rPr>
          <w:i/>
        </w:rPr>
        <w:t>operating band</w:t>
      </w:r>
      <w:r>
        <w:t xml:space="preserve"> up to</w:t>
      </w:r>
      <w:r>
        <w:rPr>
          <w:rFonts w:eastAsia="SimSun"/>
          <w:lang w:eastAsia="zh-CN"/>
        </w:rPr>
        <w:t xml:space="preserve"> </w:t>
      </w:r>
      <w:r>
        <w:rPr>
          <w:rFonts w:cs="v5.0.0"/>
        </w:rPr>
        <w:t>Δf</w:t>
      </w:r>
      <w:r>
        <w:rPr>
          <w:rFonts w:cs="v5.0.0"/>
          <w:vertAlign w:val="subscript"/>
        </w:rPr>
        <w:t>OBUE</w:t>
      </w:r>
      <w:r>
        <w:rPr>
          <w:rFonts w:eastAsia="SimSun"/>
          <w:lang w:eastAsia="zh-CN"/>
        </w:rPr>
        <w:t xml:space="preserve"> </w:t>
      </w:r>
      <w:r>
        <w:t xml:space="preserve">above the highest frequency of each supported downlink </w:t>
      </w:r>
      <w:r>
        <w:rPr>
          <w:i/>
        </w:rPr>
        <w:t>operating band</w:t>
      </w:r>
      <w:r>
        <w:t>.</w:t>
      </w:r>
      <w:r>
        <w:rPr>
          <w:lang w:val="en-US" w:eastAsia="zh-CN"/>
        </w:rPr>
        <w:t xml:space="preserve"> </w:t>
      </w:r>
      <w:r>
        <w:rPr>
          <w:rFonts w:cs="v5.0.0"/>
        </w:rPr>
        <w:t>The value</w:t>
      </w:r>
      <w:r>
        <w:rPr>
          <w:rFonts w:cs="v5.0.0"/>
          <w:lang w:eastAsia="zh-CN"/>
        </w:rPr>
        <w:t>s</w:t>
      </w:r>
      <w:r>
        <w:rPr>
          <w:rFonts w:cs="v5.0.0"/>
        </w:rPr>
        <w:t xml:space="preserve"> of </w:t>
      </w:r>
      <w:r>
        <w:t>Δf</w:t>
      </w:r>
      <w:r>
        <w:rPr>
          <w:vertAlign w:val="subscript"/>
        </w:rPr>
        <w:t>OBUE</w:t>
      </w:r>
      <w:r>
        <w:rPr>
          <w:rFonts w:cs="v5.0.0"/>
        </w:rPr>
        <w:t xml:space="preserve"> </w:t>
      </w:r>
      <w:r>
        <w:rPr>
          <w:rFonts w:cs="v5.0.0"/>
          <w:lang w:eastAsia="zh-CN"/>
        </w:rPr>
        <w:t>are</w:t>
      </w:r>
      <w:r>
        <w:rPr>
          <w:rFonts w:cs="v5.0.0"/>
        </w:rPr>
        <w:t xml:space="preserve"> defined in table 9.7.1-1 for the NR </w:t>
      </w:r>
      <w:r>
        <w:rPr>
          <w:rFonts w:cs="v5.0.0"/>
          <w:i/>
        </w:rPr>
        <w:t>operating bands</w:t>
      </w:r>
      <w:r>
        <w:rPr>
          <w:rFonts w:cs="v5.0.0"/>
        </w:rPr>
        <w:t>.</w:t>
      </w:r>
    </w:p>
    <w:p w14:paraId="7EE9741C" w14:textId="77777777" w:rsidR="00CA0334" w:rsidRDefault="00CA0334" w:rsidP="00CA0334">
      <w:pPr>
        <w:rPr>
          <w:lang w:val="en-US" w:eastAsia="zh-CN"/>
        </w:rPr>
      </w:pPr>
      <w:r>
        <w:t>The requirements shall apply whatever the type of transmitter considered and for all transmission modes foreseen by the manufacturer's specification</w:t>
      </w:r>
      <w:r>
        <w:rPr>
          <w:rFonts w:cs="v5.0.0"/>
        </w:rPr>
        <w:t xml:space="preserve">. </w:t>
      </w:r>
      <w:r>
        <w:rPr>
          <w:rFonts w:eastAsia="SimSun"/>
        </w:rPr>
        <w:t xml:space="preserve">For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w:t>
      </w:r>
      <w:r>
        <w:rPr>
          <w:rFonts w:cs="v5.0.0"/>
          <w:lang w:val="en-US" w:eastAsia="zh-CN"/>
        </w:rPr>
        <w:t xml:space="preserve">in </w:t>
      </w:r>
      <w:r>
        <w:rPr>
          <w:rFonts w:eastAsia="SimSun"/>
        </w:rPr>
        <w:t xml:space="preserve">multi-carrier or contiguous CA, the </w:t>
      </w:r>
      <w:r>
        <w:rPr>
          <w:rFonts w:cs="v5.0.0"/>
        </w:rPr>
        <w:t>requirements</w:t>
      </w:r>
      <w:r>
        <w:rPr>
          <w:lang w:val="en-US" w:eastAsia="zh-CN"/>
        </w:rPr>
        <w:t xml:space="preserve"> </w:t>
      </w:r>
      <w:r>
        <w:t>apply to </w:t>
      </w:r>
      <w:r>
        <w:rPr>
          <w:rFonts w:eastAsia="SimSun"/>
          <w:i/>
          <w:iCs/>
          <w:lang w:val="en-US" w:eastAsia="zh-CN"/>
        </w:rPr>
        <w:t xml:space="preserve">IAB-DU </w:t>
      </w:r>
      <w:r>
        <w:rPr>
          <w:i/>
          <w:iCs/>
        </w:rPr>
        <w:t>channel bandwidths</w:t>
      </w:r>
      <w:r>
        <w:t xml:space="preserve"> of the outermost carrier</w:t>
      </w:r>
      <w:r>
        <w:rPr>
          <w:lang w:val="en-US" w:eastAsia="zh-CN"/>
        </w:rPr>
        <w:t xml:space="preserve"> </w:t>
      </w:r>
      <w:r>
        <w:t>for the frequency ranges defined in clause 6.6.</w:t>
      </w:r>
      <w:r>
        <w:rPr>
          <w:lang w:val="en-US" w:eastAsia="zh-CN"/>
        </w:rPr>
        <w:t>4.1</w:t>
      </w:r>
      <w:r>
        <w:t>.</w:t>
      </w:r>
    </w:p>
    <w:p w14:paraId="5D1858B2" w14:textId="77777777" w:rsidR="00CA0334" w:rsidRDefault="00CA0334" w:rsidP="00CA0334">
      <w:pPr>
        <w:rPr>
          <w:rFonts w:cs="v5.0.0"/>
        </w:rPr>
      </w:pPr>
      <w:r>
        <w:rPr>
          <w:lang w:val="en-US" w:eastAsia="zh-CN"/>
        </w:rPr>
        <w:t>F</w:t>
      </w:r>
      <w:r>
        <w:rPr>
          <w:rFonts w:cs="v5.0.0"/>
        </w:rPr>
        <w:t>or</w:t>
      </w:r>
      <w:r>
        <w:rPr>
          <w:rFonts w:eastAsia="SimSun"/>
        </w:rPr>
        <w:t xml:space="preserve">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in </w:t>
      </w:r>
      <w:r>
        <w:rPr>
          <w:rFonts w:cs="v5.0.0"/>
          <w:i/>
        </w:rPr>
        <w:t>non-contiguous spectrum</w:t>
      </w:r>
      <w:r>
        <w:rPr>
          <w:rFonts w:cs="v5.0.0"/>
        </w:rPr>
        <w:t xml:space="preserve">, the requirements </w:t>
      </w:r>
      <w:r>
        <w:rPr>
          <w:rFonts w:cs="v5.0.0"/>
          <w:lang w:val="en-US" w:eastAsia="zh-CN"/>
        </w:rPr>
        <w:t xml:space="preserve">shall </w:t>
      </w:r>
      <w:r>
        <w:rPr>
          <w:rFonts w:cs="v5.0.0"/>
        </w:rPr>
        <w:t xml:space="preserve">apply inside any </w:t>
      </w:r>
      <w:r>
        <w:rPr>
          <w:rFonts w:cs="v5.0.0"/>
          <w:i/>
        </w:rPr>
        <w:t>sub-block gap</w:t>
      </w:r>
      <w:r>
        <w:rPr>
          <w:rFonts w:cs="v5.0.0"/>
          <w:lang w:val="en-US" w:eastAsia="zh-CN"/>
        </w:rPr>
        <w:t xml:space="preserve"> </w:t>
      </w:r>
      <w:r>
        <w:t>for the frequency ranges defined in clause 6.6.</w:t>
      </w:r>
      <w:r>
        <w:rPr>
          <w:lang w:val="en-US" w:eastAsia="zh-CN"/>
        </w:rPr>
        <w:t>4.1</w:t>
      </w:r>
      <w:r>
        <w:rPr>
          <w:rFonts w:cs="v5.0.0"/>
        </w:rPr>
        <w:t>.</w:t>
      </w:r>
    </w:p>
    <w:p w14:paraId="0A0F8EB1" w14:textId="77777777" w:rsidR="00CA0334" w:rsidRDefault="00CA0334" w:rsidP="00CA0334">
      <w:r>
        <w:rPr>
          <w:rFonts w:cs="v5.0.0"/>
          <w:lang w:val="en-US" w:eastAsia="zh-CN"/>
        </w:rPr>
        <w:t>F</w:t>
      </w:r>
      <w:r>
        <w:rPr>
          <w:rFonts w:cs="v5.0.0"/>
          <w:lang w:eastAsia="zh-CN"/>
        </w:rPr>
        <w:t>or</w:t>
      </w:r>
      <w:r>
        <w:rPr>
          <w:rFonts w:eastAsia="SimSun"/>
        </w:rPr>
        <w:t xml:space="preserve"> </w:t>
      </w:r>
      <w:r>
        <w:rPr>
          <w:rFonts w:eastAsia="SimSun"/>
          <w:lang w:val="en-US" w:eastAsia="zh-CN"/>
        </w:rPr>
        <w:t xml:space="preserve">a </w:t>
      </w:r>
      <w:r>
        <w:rPr>
          <w:rFonts w:eastAsia="SimSun"/>
          <w:i/>
          <w:iCs/>
          <w:lang w:val="en-US" w:eastAsia="zh-CN"/>
        </w:rPr>
        <w:t>multi-band RIB</w:t>
      </w:r>
      <w:r>
        <w:rPr>
          <w:rFonts w:cs="v5.0.0"/>
        </w:rPr>
        <w:t xml:space="preserve">, the requirements </w:t>
      </w:r>
      <w:r>
        <w:rPr>
          <w:rFonts w:cs="v5.0.0"/>
          <w:lang w:val="en-US" w:eastAsia="zh-CN"/>
        </w:rPr>
        <w:t xml:space="preserve">shall </w:t>
      </w:r>
      <w:r>
        <w:rPr>
          <w:rFonts w:cs="v5.0.0"/>
        </w:rPr>
        <w:t xml:space="preserve">apply inside any </w:t>
      </w:r>
      <w:r>
        <w:rPr>
          <w:rFonts w:cs="v5.0.0"/>
          <w:i/>
          <w:lang w:eastAsia="zh-CN"/>
        </w:rPr>
        <w:t>Inter RF Bandwidth</w:t>
      </w:r>
      <w:r>
        <w:rPr>
          <w:rFonts w:cs="v5.0.0"/>
          <w:i/>
        </w:rPr>
        <w:t xml:space="preserve"> gap</w:t>
      </w:r>
      <w:r>
        <w:rPr>
          <w:rFonts w:cs="v5.0.0"/>
          <w:lang w:val="en-US" w:eastAsia="zh-CN"/>
        </w:rPr>
        <w:t xml:space="preserve"> </w:t>
      </w:r>
      <w:r>
        <w:t>for the frequency ranges defined in clause 6.6.</w:t>
      </w:r>
      <w:r>
        <w:rPr>
          <w:lang w:val="en-US" w:eastAsia="zh-CN"/>
        </w:rPr>
        <w:t>4.1.</w:t>
      </w:r>
    </w:p>
    <w:p w14:paraId="11E1D09B" w14:textId="77777777" w:rsidR="00CA0334" w:rsidRDefault="00CA0334" w:rsidP="00CA0334">
      <w:r>
        <w:t xml:space="preserve">The OTA operating band unwanted emission requirement for </w:t>
      </w:r>
      <w:r>
        <w:rPr>
          <w:i/>
        </w:rPr>
        <w:t>IAB-DU type 1-O</w:t>
      </w:r>
      <w:r>
        <w:t xml:space="preserve"> is that for each applicable </w:t>
      </w:r>
      <w:r>
        <w:rPr>
          <w:i/>
        </w:rPr>
        <w:t>basic limit</w:t>
      </w:r>
      <w:r>
        <w:t xml:space="preserve"> in clause 6.6.4.2, t</w:t>
      </w:r>
      <w:r>
        <w:rPr>
          <w:rFonts w:cs="v5.0.0"/>
        </w:rPr>
        <w:t xml:space="preserve">he power of any unwanted emission shall </w:t>
      </w:r>
      <w:r>
        <w:t xml:space="preserve">not exceed an OTA limit specified as the </w:t>
      </w:r>
      <w:r>
        <w:rPr>
          <w:i/>
        </w:rPr>
        <w:t>basic limit</w:t>
      </w:r>
      <w:r>
        <w:t xml:space="preserve"> + X, where X = 9 dB.</w:t>
      </w:r>
    </w:p>
    <w:p w14:paraId="1F0C758B" w14:textId="77777777" w:rsidR="00CA0334" w:rsidRDefault="00CA0334" w:rsidP="00CA0334">
      <w:pPr>
        <w:pStyle w:val="Heading4"/>
      </w:pPr>
      <w:bookmarkStart w:id="5453" w:name="_Toc53185499"/>
      <w:bookmarkStart w:id="5454" w:name="_Toc53185875"/>
      <w:bookmarkStart w:id="5455" w:name="_Toc57820361"/>
      <w:bookmarkStart w:id="5456" w:name="_Toc57821288"/>
      <w:bookmarkStart w:id="5457" w:name="_Toc61183564"/>
      <w:bookmarkStart w:id="5458" w:name="_Toc61183958"/>
      <w:bookmarkStart w:id="5459" w:name="_Toc61184350"/>
      <w:bookmarkStart w:id="5460" w:name="_Toc61184742"/>
      <w:bookmarkStart w:id="5461" w:name="_Toc61185132"/>
      <w:bookmarkStart w:id="5462" w:name="_Toc66386476"/>
      <w:bookmarkStart w:id="5463" w:name="_Toc74583379"/>
      <w:bookmarkStart w:id="5464" w:name="_Toc76542192"/>
      <w:bookmarkStart w:id="5465" w:name="_Toc82450174"/>
      <w:bookmarkStart w:id="5466" w:name="_Toc82450822"/>
      <w:bookmarkStart w:id="5467" w:name="_Toc89949211"/>
      <w:bookmarkStart w:id="5468" w:name="_Toc98755600"/>
      <w:bookmarkStart w:id="5469" w:name="_Toc98763192"/>
      <w:bookmarkStart w:id="5470" w:name="_Toc106184121"/>
      <w:r>
        <w:t>9.7.4.3</w:t>
      </w:r>
      <w:r>
        <w:tab/>
        <w:t xml:space="preserve">Minimum requirement for </w:t>
      </w:r>
      <w:r>
        <w:rPr>
          <w:i/>
        </w:rPr>
        <w:t>IAB-MT type 1-O</w:t>
      </w:r>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p>
    <w:p w14:paraId="3C0627EB" w14:textId="77777777" w:rsidR="00CA0334" w:rsidRDefault="00CA0334" w:rsidP="00CA0334">
      <w:r>
        <w:t xml:space="preserve">Out-of-band emissions in FR1 are limited by OTA operating band unwanted emission limits. Unless otherwise stated, the </w:t>
      </w:r>
      <w:r>
        <w:rPr>
          <w:rFonts w:eastAsia="SimSun"/>
          <w:lang w:eastAsia="zh-CN"/>
        </w:rPr>
        <w:t>o</w:t>
      </w:r>
      <w:r>
        <w:t>perating band unwanted emission limits in FR1 are defined from</w:t>
      </w:r>
      <w:r>
        <w:rPr>
          <w:rFonts w:eastAsia="SimSun"/>
          <w:lang w:eastAsia="zh-CN"/>
        </w:rPr>
        <w:t xml:space="preserve"> </w:t>
      </w:r>
      <w:r>
        <w:rPr>
          <w:rFonts w:cs="v5.0.0"/>
        </w:rPr>
        <w:t>Δf</w:t>
      </w:r>
      <w:r>
        <w:rPr>
          <w:rFonts w:cs="v5.0.0"/>
          <w:vertAlign w:val="subscript"/>
        </w:rPr>
        <w:t>OBUE</w:t>
      </w:r>
      <w:r>
        <w:t xml:space="preserve"> below the lowest frequency of each supported uplink </w:t>
      </w:r>
      <w:r>
        <w:rPr>
          <w:i/>
        </w:rPr>
        <w:t>operating band</w:t>
      </w:r>
      <w:r>
        <w:t xml:space="preserve"> up to</w:t>
      </w:r>
      <w:r>
        <w:rPr>
          <w:rFonts w:eastAsia="SimSun"/>
          <w:lang w:eastAsia="zh-CN"/>
        </w:rPr>
        <w:t xml:space="preserve"> </w:t>
      </w:r>
      <w:r>
        <w:rPr>
          <w:rFonts w:cs="v5.0.0"/>
        </w:rPr>
        <w:t>Δf</w:t>
      </w:r>
      <w:r>
        <w:rPr>
          <w:rFonts w:cs="v5.0.0"/>
          <w:vertAlign w:val="subscript"/>
        </w:rPr>
        <w:t>OBUE</w:t>
      </w:r>
      <w:r>
        <w:rPr>
          <w:rFonts w:eastAsia="SimSun"/>
          <w:lang w:eastAsia="zh-CN"/>
        </w:rPr>
        <w:t xml:space="preserve"> </w:t>
      </w:r>
      <w:r>
        <w:t xml:space="preserve">above the highest frequency of each supported uplink </w:t>
      </w:r>
      <w:r>
        <w:rPr>
          <w:i/>
        </w:rPr>
        <w:t>operating band</w:t>
      </w:r>
      <w:r>
        <w:t>.</w:t>
      </w:r>
      <w:r>
        <w:rPr>
          <w:lang w:val="en-US" w:eastAsia="zh-CN"/>
        </w:rPr>
        <w:t xml:space="preserve"> </w:t>
      </w:r>
      <w:r>
        <w:rPr>
          <w:rFonts w:cs="v5.0.0"/>
        </w:rPr>
        <w:t>The value</w:t>
      </w:r>
      <w:r>
        <w:rPr>
          <w:rFonts w:cs="v5.0.0"/>
          <w:lang w:eastAsia="zh-CN"/>
        </w:rPr>
        <w:t>s</w:t>
      </w:r>
      <w:r>
        <w:rPr>
          <w:rFonts w:cs="v5.0.0"/>
        </w:rPr>
        <w:t xml:space="preserve"> of </w:t>
      </w:r>
      <w:r>
        <w:t>Δf</w:t>
      </w:r>
      <w:r>
        <w:rPr>
          <w:vertAlign w:val="subscript"/>
        </w:rPr>
        <w:t>OBUE</w:t>
      </w:r>
      <w:r>
        <w:rPr>
          <w:rFonts w:cs="v5.0.0"/>
        </w:rPr>
        <w:t xml:space="preserve"> </w:t>
      </w:r>
      <w:r>
        <w:rPr>
          <w:rFonts w:cs="v5.0.0"/>
          <w:lang w:eastAsia="zh-CN"/>
        </w:rPr>
        <w:t>are</w:t>
      </w:r>
      <w:r>
        <w:rPr>
          <w:rFonts w:cs="v5.0.0"/>
        </w:rPr>
        <w:t xml:space="preserve"> defined in table 9.7.1-2 for the NR </w:t>
      </w:r>
      <w:r>
        <w:rPr>
          <w:rFonts w:cs="v5.0.0"/>
          <w:i/>
        </w:rPr>
        <w:t>operating bands</w:t>
      </w:r>
      <w:r>
        <w:rPr>
          <w:rFonts w:cs="v5.0.0"/>
        </w:rPr>
        <w:t>.</w:t>
      </w:r>
    </w:p>
    <w:p w14:paraId="533634B7" w14:textId="77777777" w:rsidR="00CA0334" w:rsidRDefault="00CA0334" w:rsidP="00CA0334">
      <w:pPr>
        <w:rPr>
          <w:lang w:val="en-US" w:eastAsia="zh-CN"/>
        </w:rPr>
      </w:pPr>
      <w:r>
        <w:t>The requirements shall apply whatever the type of transmitter considered and for all transmission modes foreseen by the manufacturer's specification</w:t>
      </w:r>
      <w:r>
        <w:rPr>
          <w:rFonts w:cs="v5.0.0"/>
        </w:rPr>
        <w:t xml:space="preserve">. </w:t>
      </w:r>
      <w:r>
        <w:rPr>
          <w:rFonts w:eastAsia="SimSun"/>
        </w:rPr>
        <w:t xml:space="preserve">For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w:t>
      </w:r>
      <w:r>
        <w:rPr>
          <w:rFonts w:cs="v5.0.0"/>
          <w:lang w:val="en-US" w:eastAsia="zh-CN"/>
        </w:rPr>
        <w:t xml:space="preserve">in </w:t>
      </w:r>
      <w:r>
        <w:rPr>
          <w:rFonts w:eastAsia="SimSun"/>
        </w:rPr>
        <w:t xml:space="preserve">multi-carrier or contiguous CA, the </w:t>
      </w:r>
      <w:r>
        <w:rPr>
          <w:rFonts w:cs="v5.0.0"/>
        </w:rPr>
        <w:t>requirements</w:t>
      </w:r>
      <w:r>
        <w:rPr>
          <w:lang w:val="en-US" w:eastAsia="zh-CN"/>
        </w:rPr>
        <w:t xml:space="preserve"> </w:t>
      </w:r>
      <w:r>
        <w:t>apply to </w:t>
      </w:r>
      <w:r>
        <w:rPr>
          <w:rFonts w:eastAsia="SimSun"/>
          <w:i/>
          <w:iCs/>
          <w:lang w:val="en-US" w:eastAsia="zh-CN"/>
        </w:rPr>
        <w:t xml:space="preserve">IAB-MT </w:t>
      </w:r>
      <w:r>
        <w:rPr>
          <w:i/>
          <w:iCs/>
        </w:rPr>
        <w:t>channel bandwidths</w:t>
      </w:r>
      <w:r>
        <w:t xml:space="preserve"> of the outermost carrier</w:t>
      </w:r>
      <w:r>
        <w:rPr>
          <w:lang w:val="en-US" w:eastAsia="zh-CN"/>
        </w:rPr>
        <w:t xml:space="preserve"> </w:t>
      </w:r>
      <w:r>
        <w:t>for the frequency ranges defined in clause 6.6.</w:t>
      </w:r>
      <w:r>
        <w:rPr>
          <w:lang w:val="en-US" w:eastAsia="zh-CN"/>
        </w:rPr>
        <w:t>4.1</w:t>
      </w:r>
      <w:r>
        <w:t>.</w:t>
      </w:r>
    </w:p>
    <w:p w14:paraId="61914238" w14:textId="77777777" w:rsidR="00CA0334" w:rsidRDefault="00CA0334" w:rsidP="00CA0334">
      <w:pPr>
        <w:rPr>
          <w:rFonts w:cs="v5.0.0"/>
        </w:rPr>
      </w:pPr>
      <w:r>
        <w:rPr>
          <w:lang w:val="en-US" w:eastAsia="zh-CN"/>
        </w:rPr>
        <w:t>F</w:t>
      </w:r>
      <w:r>
        <w:rPr>
          <w:rFonts w:cs="v5.0.0"/>
        </w:rPr>
        <w:t>or</w:t>
      </w:r>
      <w:r>
        <w:rPr>
          <w:rFonts w:eastAsia="SimSun"/>
        </w:rPr>
        <w:t xml:space="preserve">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in </w:t>
      </w:r>
      <w:r>
        <w:rPr>
          <w:rFonts w:cs="v5.0.0"/>
          <w:i/>
        </w:rPr>
        <w:t>non-contiguous spectrum</w:t>
      </w:r>
      <w:r>
        <w:rPr>
          <w:rFonts w:cs="v5.0.0"/>
        </w:rPr>
        <w:t xml:space="preserve">, the requirements </w:t>
      </w:r>
      <w:r>
        <w:rPr>
          <w:rFonts w:cs="v5.0.0"/>
          <w:lang w:val="en-US" w:eastAsia="zh-CN"/>
        </w:rPr>
        <w:t xml:space="preserve">shall </w:t>
      </w:r>
      <w:r>
        <w:rPr>
          <w:rFonts w:cs="v5.0.0"/>
        </w:rPr>
        <w:t xml:space="preserve">apply inside any </w:t>
      </w:r>
      <w:r>
        <w:rPr>
          <w:rFonts w:cs="v5.0.0"/>
          <w:i/>
        </w:rPr>
        <w:t>sub-block gap</w:t>
      </w:r>
      <w:r>
        <w:rPr>
          <w:rFonts w:cs="v5.0.0"/>
          <w:lang w:val="en-US" w:eastAsia="zh-CN"/>
        </w:rPr>
        <w:t xml:space="preserve"> </w:t>
      </w:r>
      <w:r>
        <w:t>for the frequency ranges defined in clause 6.6.</w:t>
      </w:r>
      <w:r>
        <w:rPr>
          <w:lang w:val="en-US" w:eastAsia="zh-CN"/>
        </w:rPr>
        <w:t>4.1</w:t>
      </w:r>
      <w:r>
        <w:rPr>
          <w:rFonts w:cs="v5.0.0"/>
        </w:rPr>
        <w:t>.</w:t>
      </w:r>
    </w:p>
    <w:p w14:paraId="1CA65435" w14:textId="77777777" w:rsidR="00CA0334" w:rsidRDefault="00CA0334" w:rsidP="00CA0334">
      <w:r>
        <w:rPr>
          <w:rFonts w:cs="v5.0.0"/>
          <w:lang w:val="en-US" w:eastAsia="zh-CN"/>
        </w:rPr>
        <w:t>F</w:t>
      </w:r>
      <w:r>
        <w:rPr>
          <w:rFonts w:cs="v5.0.0"/>
          <w:lang w:eastAsia="zh-CN"/>
        </w:rPr>
        <w:t>or</w:t>
      </w:r>
      <w:r>
        <w:rPr>
          <w:rFonts w:eastAsia="SimSun"/>
        </w:rPr>
        <w:t xml:space="preserve"> </w:t>
      </w:r>
      <w:r>
        <w:rPr>
          <w:rFonts w:eastAsia="SimSun"/>
          <w:lang w:val="en-US" w:eastAsia="zh-CN"/>
        </w:rPr>
        <w:t xml:space="preserve">a </w:t>
      </w:r>
      <w:r>
        <w:rPr>
          <w:rFonts w:eastAsia="SimSun"/>
          <w:i/>
          <w:iCs/>
          <w:lang w:val="en-US" w:eastAsia="zh-CN"/>
        </w:rPr>
        <w:t>multi-band RIB</w:t>
      </w:r>
      <w:r>
        <w:rPr>
          <w:rFonts w:cs="v5.0.0"/>
        </w:rPr>
        <w:t xml:space="preserve">, the requirements </w:t>
      </w:r>
      <w:r>
        <w:rPr>
          <w:rFonts w:cs="v5.0.0"/>
          <w:lang w:val="en-US" w:eastAsia="zh-CN"/>
        </w:rPr>
        <w:t xml:space="preserve">shall </w:t>
      </w:r>
      <w:r>
        <w:rPr>
          <w:rFonts w:cs="v5.0.0"/>
        </w:rPr>
        <w:t xml:space="preserve">apply inside any </w:t>
      </w:r>
      <w:r>
        <w:rPr>
          <w:rFonts w:cs="v5.0.0"/>
          <w:i/>
          <w:lang w:eastAsia="zh-CN"/>
        </w:rPr>
        <w:t>Inter RF Bandwidth</w:t>
      </w:r>
      <w:r>
        <w:rPr>
          <w:rFonts w:cs="v5.0.0"/>
          <w:i/>
        </w:rPr>
        <w:t xml:space="preserve"> gap</w:t>
      </w:r>
      <w:r>
        <w:rPr>
          <w:rFonts w:cs="v5.0.0"/>
          <w:lang w:val="en-US" w:eastAsia="zh-CN"/>
        </w:rPr>
        <w:t xml:space="preserve"> </w:t>
      </w:r>
      <w:r>
        <w:t>for the frequency ranges defined in clause 6.6.</w:t>
      </w:r>
      <w:r>
        <w:rPr>
          <w:lang w:val="en-US" w:eastAsia="zh-CN"/>
        </w:rPr>
        <w:t>4.1.</w:t>
      </w:r>
    </w:p>
    <w:p w14:paraId="33F94461" w14:textId="77777777" w:rsidR="00CA0334" w:rsidRDefault="00CA0334" w:rsidP="00CA0334">
      <w:r>
        <w:t xml:space="preserve">The OTA operating band unwanted emission requirement for </w:t>
      </w:r>
      <w:r>
        <w:rPr>
          <w:i/>
        </w:rPr>
        <w:t>IAB-MT type 1-O</w:t>
      </w:r>
      <w:r>
        <w:t xml:space="preserve"> is that for each applicable </w:t>
      </w:r>
      <w:r>
        <w:rPr>
          <w:i/>
        </w:rPr>
        <w:t>basic limit</w:t>
      </w:r>
      <w:r>
        <w:t xml:space="preserve"> in clause 6.6.4.2, t</w:t>
      </w:r>
      <w:r>
        <w:rPr>
          <w:rFonts w:cs="v5.0.0"/>
        </w:rPr>
        <w:t xml:space="preserve">he power of any unwanted emission shall </w:t>
      </w:r>
      <w:r>
        <w:t xml:space="preserve">not exceed an OTA limit specified as the </w:t>
      </w:r>
      <w:r>
        <w:rPr>
          <w:i/>
        </w:rPr>
        <w:t>basic limit</w:t>
      </w:r>
      <w:r>
        <w:t xml:space="preserve"> + X, where X = 10log</w:t>
      </w:r>
      <w:r>
        <w:rPr>
          <w:vertAlign w:val="subscript"/>
        </w:rPr>
        <w:t>10</w:t>
      </w:r>
      <w:r>
        <w:t>(N</w:t>
      </w:r>
      <w:r>
        <w:rPr>
          <w:vertAlign w:val="subscript"/>
        </w:rPr>
        <w:t>TXU,countedpercell</w:t>
      </w:r>
      <w:r>
        <w:t>) dB.</w:t>
      </w:r>
    </w:p>
    <w:p w14:paraId="7CC10FE1" w14:textId="77777777" w:rsidR="00CA0334" w:rsidRDefault="00CA0334" w:rsidP="00CA0334">
      <w:pPr>
        <w:pStyle w:val="Heading4"/>
      </w:pPr>
      <w:bookmarkStart w:id="5471" w:name="_Toc45893660"/>
      <w:bookmarkStart w:id="5472" w:name="_Toc44712347"/>
      <w:bookmarkStart w:id="5473" w:name="_Toc37267744"/>
      <w:bookmarkStart w:id="5474" w:name="_Toc37260356"/>
      <w:bookmarkStart w:id="5475" w:name="_Toc36817434"/>
      <w:bookmarkStart w:id="5476" w:name="_Toc29811882"/>
      <w:bookmarkStart w:id="5477" w:name="_Toc21127673"/>
      <w:bookmarkStart w:id="5478" w:name="_Toc53185500"/>
      <w:bookmarkStart w:id="5479" w:name="_Toc53185876"/>
      <w:bookmarkStart w:id="5480" w:name="_Toc57820362"/>
      <w:bookmarkStart w:id="5481" w:name="_Toc57821289"/>
      <w:bookmarkStart w:id="5482" w:name="_Toc61183565"/>
      <w:bookmarkStart w:id="5483" w:name="_Toc61183959"/>
      <w:bookmarkStart w:id="5484" w:name="_Toc61184351"/>
      <w:bookmarkStart w:id="5485" w:name="_Toc61184743"/>
      <w:bookmarkStart w:id="5486" w:name="_Toc61185133"/>
      <w:bookmarkStart w:id="5487" w:name="_Toc66386477"/>
      <w:bookmarkStart w:id="5488" w:name="_Toc74583380"/>
      <w:bookmarkStart w:id="5489" w:name="_Toc76542193"/>
      <w:bookmarkStart w:id="5490" w:name="_Toc82450175"/>
      <w:bookmarkStart w:id="5491" w:name="_Toc82450823"/>
      <w:bookmarkStart w:id="5492" w:name="_Toc89949212"/>
      <w:bookmarkStart w:id="5493" w:name="_Toc98755601"/>
      <w:bookmarkStart w:id="5494" w:name="_Toc98763193"/>
      <w:bookmarkStart w:id="5495" w:name="_Toc106184122"/>
      <w:r>
        <w:t>9.7.4.4</w:t>
      </w:r>
      <w:r>
        <w:tab/>
        <w:t>Additional requirements</w:t>
      </w:r>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p>
    <w:p w14:paraId="158B385B" w14:textId="77777777" w:rsidR="00CA0334" w:rsidRDefault="00CA0334" w:rsidP="00CA0334">
      <w:pPr>
        <w:pStyle w:val="Heading5"/>
      </w:pPr>
      <w:bookmarkStart w:id="5496" w:name="_Toc45893662"/>
      <w:bookmarkStart w:id="5497" w:name="_Toc44712349"/>
      <w:bookmarkStart w:id="5498" w:name="_Toc37267746"/>
      <w:bookmarkStart w:id="5499" w:name="_Toc37260358"/>
      <w:bookmarkStart w:id="5500" w:name="_Toc36817436"/>
      <w:bookmarkStart w:id="5501" w:name="_Toc29811884"/>
      <w:bookmarkStart w:id="5502" w:name="_Toc21127675"/>
      <w:bookmarkStart w:id="5503" w:name="_Toc53185501"/>
      <w:bookmarkStart w:id="5504" w:name="_Toc53185877"/>
      <w:bookmarkStart w:id="5505" w:name="_Toc57820363"/>
      <w:bookmarkStart w:id="5506" w:name="_Toc57821290"/>
      <w:bookmarkStart w:id="5507" w:name="_Toc61183566"/>
      <w:bookmarkStart w:id="5508" w:name="_Toc61183960"/>
      <w:bookmarkStart w:id="5509" w:name="_Toc61184352"/>
      <w:bookmarkStart w:id="5510" w:name="_Toc61184744"/>
      <w:bookmarkStart w:id="5511" w:name="_Toc61185134"/>
      <w:bookmarkStart w:id="5512" w:name="_Toc66386478"/>
      <w:bookmarkStart w:id="5513" w:name="_Toc74583381"/>
      <w:bookmarkStart w:id="5514" w:name="_Toc76542194"/>
      <w:bookmarkStart w:id="5515" w:name="_Toc82450176"/>
      <w:bookmarkStart w:id="5516" w:name="_Toc82450824"/>
      <w:bookmarkStart w:id="5517" w:name="_Toc89949213"/>
      <w:bookmarkStart w:id="5518" w:name="_Toc98755602"/>
      <w:bookmarkStart w:id="5519" w:name="_Toc98763194"/>
      <w:bookmarkStart w:id="5520" w:name="_Toc106184123"/>
      <w:r>
        <w:t>9.7.4.4.1</w:t>
      </w:r>
      <w:r>
        <w:tab/>
        <w:t>Limits in FCC Title 47</w:t>
      </w:r>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p>
    <w:p w14:paraId="18FDBA3A" w14:textId="77777777" w:rsidR="00CA0334" w:rsidRDefault="00CA0334" w:rsidP="00CA0334">
      <w:r>
        <w:t>The IAB-DU and IAB-MT may have to comply with the applicable emission limits established by FCC Title 47 [20], when deployed in regions where those limits are applied, and under the conditions declared by the manufacturer.</w:t>
      </w:r>
    </w:p>
    <w:p w14:paraId="58DDFB44" w14:textId="77777777" w:rsidR="00CA0334" w:rsidRDefault="00CA0334" w:rsidP="00CA0334">
      <w:pPr>
        <w:pStyle w:val="Heading4"/>
      </w:pPr>
      <w:bookmarkStart w:id="5521" w:name="_Toc45893663"/>
      <w:bookmarkStart w:id="5522" w:name="_Toc44712350"/>
      <w:bookmarkStart w:id="5523" w:name="_Toc37267747"/>
      <w:bookmarkStart w:id="5524" w:name="_Toc37260359"/>
      <w:bookmarkStart w:id="5525" w:name="_Toc36817437"/>
      <w:bookmarkStart w:id="5526" w:name="_Toc29811885"/>
      <w:bookmarkStart w:id="5527" w:name="_Toc21127676"/>
      <w:bookmarkStart w:id="5528" w:name="_Toc53185502"/>
      <w:bookmarkStart w:id="5529" w:name="_Toc53185878"/>
      <w:bookmarkStart w:id="5530" w:name="_Toc57820364"/>
      <w:bookmarkStart w:id="5531" w:name="_Toc57821291"/>
      <w:bookmarkStart w:id="5532" w:name="_Toc61183567"/>
      <w:bookmarkStart w:id="5533" w:name="_Toc61183961"/>
      <w:bookmarkStart w:id="5534" w:name="_Toc61184353"/>
      <w:bookmarkStart w:id="5535" w:name="_Toc61184745"/>
      <w:bookmarkStart w:id="5536" w:name="_Toc61185135"/>
      <w:bookmarkStart w:id="5537" w:name="_Toc66386479"/>
      <w:bookmarkStart w:id="5538" w:name="_Toc74583382"/>
      <w:bookmarkStart w:id="5539" w:name="_Toc76542195"/>
      <w:bookmarkStart w:id="5540" w:name="_Toc82450177"/>
      <w:bookmarkStart w:id="5541" w:name="_Toc82450825"/>
      <w:bookmarkStart w:id="5542" w:name="_Toc89949214"/>
      <w:bookmarkStart w:id="5543" w:name="_Toc98755603"/>
      <w:bookmarkStart w:id="5544" w:name="_Toc98763195"/>
      <w:bookmarkStart w:id="5545" w:name="_Toc106184124"/>
      <w:r>
        <w:lastRenderedPageBreak/>
        <w:t>9.7.4.5</w:t>
      </w:r>
      <w:r>
        <w:tab/>
        <w:t xml:space="preserve">Minimum requirement for </w:t>
      </w:r>
      <w:r>
        <w:rPr>
          <w:i/>
        </w:rPr>
        <w:t xml:space="preserve">IAB-DU type 2-O </w:t>
      </w:r>
      <w:r w:rsidRPr="00743313">
        <w:rPr>
          <w:iCs/>
        </w:rPr>
        <w:t>and</w:t>
      </w:r>
      <w:r>
        <w:rPr>
          <w:i/>
        </w:rPr>
        <w:t xml:space="preserve"> IAB-MT type 2-O</w:t>
      </w:r>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p>
    <w:p w14:paraId="56FD4262" w14:textId="77777777" w:rsidR="00CA0334" w:rsidRDefault="00CA0334" w:rsidP="00CA0334">
      <w:pPr>
        <w:pStyle w:val="Heading5"/>
      </w:pPr>
      <w:bookmarkStart w:id="5546" w:name="_Toc45893664"/>
      <w:bookmarkStart w:id="5547" w:name="_Toc44712351"/>
      <w:bookmarkStart w:id="5548" w:name="_Toc37267748"/>
      <w:bookmarkStart w:id="5549" w:name="_Toc37260360"/>
      <w:bookmarkStart w:id="5550" w:name="_Toc36817438"/>
      <w:bookmarkStart w:id="5551" w:name="_Toc29811886"/>
      <w:bookmarkStart w:id="5552" w:name="_Toc21127677"/>
      <w:bookmarkStart w:id="5553" w:name="_Toc53185503"/>
      <w:bookmarkStart w:id="5554" w:name="_Toc53185879"/>
      <w:bookmarkStart w:id="5555" w:name="_Toc57820365"/>
      <w:bookmarkStart w:id="5556" w:name="_Toc57821292"/>
      <w:bookmarkStart w:id="5557" w:name="_Toc61183568"/>
      <w:bookmarkStart w:id="5558" w:name="_Toc61183962"/>
      <w:bookmarkStart w:id="5559" w:name="_Toc61184354"/>
      <w:bookmarkStart w:id="5560" w:name="_Toc61184746"/>
      <w:bookmarkStart w:id="5561" w:name="_Toc61185136"/>
      <w:bookmarkStart w:id="5562" w:name="_Toc66386480"/>
      <w:bookmarkStart w:id="5563" w:name="_Toc74583383"/>
      <w:bookmarkStart w:id="5564" w:name="_Toc76542196"/>
      <w:bookmarkStart w:id="5565" w:name="_Toc82450178"/>
      <w:bookmarkStart w:id="5566" w:name="_Toc82450826"/>
      <w:bookmarkStart w:id="5567" w:name="_Toc89949215"/>
      <w:bookmarkStart w:id="5568" w:name="_Toc98755604"/>
      <w:bookmarkStart w:id="5569" w:name="_Toc98763196"/>
      <w:bookmarkStart w:id="5570" w:name="_Toc106184125"/>
      <w:r>
        <w:t>9.7.4.5.1</w:t>
      </w:r>
      <w:r>
        <w:tab/>
        <w:t>General</w:t>
      </w:r>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p>
    <w:p w14:paraId="4CE88BE8" w14:textId="77777777" w:rsidR="00CA0334" w:rsidRDefault="00CA0334" w:rsidP="00CA0334">
      <w:bookmarkStart w:id="5571" w:name="_Hlk492900636"/>
      <w:r>
        <w:rPr>
          <w:rFonts w:cs="v5.0.0"/>
          <w:lang w:eastAsia="zh-CN"/>
        </w:rPr>
        <w:t>T</w:t>
      </w:r>
      <w:r>
        <w:rPr>
          <w:rFonts w:cs="v5.0.0"/>
        </w:rPr>
        <w:t>he requirements of either clause 9.7.4.5.2 (Category A limits) or clause 9.7.4.5.3 (Category B limits) shall apply. The application of either Category A or Category B limits shall be the same as for General OTA transmitter spurious emissions requirements (</w:t>
      </w:r>
      <w:r>
        <w:rPr>
          <w:rFonts w:cs="v5.0.0"/>
          <w:i/>
        </w:rPr>
        <w:t>IAB-DU and IAB-MT type 2-O</w:t>
      </w:r>
      <w:r>
        <w:rPr>
          <w:rFonts w:cs="v5.0.0"/>
        </w:rPr>
        <w:t>) in clause 9.7.6.3.2.</w:t>
      </w:r>
      <w:r>
        <w:t xml:space="preserve"> In addition, the limits in clause 9.7.4.5.4 may also apply.</w:t>
      </w:r>
    </w:p>
    <w:p w14:paraId="104C291D" w14:textId="77777777" w:rsidR="00CA0334" w:rsidRDefault="00CA0334" w:rsidP="00CA0334">
      <w:r>
        <w:t xml:space="preserve">Out-of-band emissions in FR2 are limited by OTA operating band unwanted emission limits. </w:t>
      </w:r>
    </w:p>
    <w:p w14:paraId="54D1EB3E" w14:textId="77777777" w:rsidR="00CA0334" w:rsidRDefault="00CA0334" w:rsidP="00CA0334">
      <w:pPr>
        <w:rPr>
          <w:rFonts w:cs="v5.0.0"/>
        </w:rPr>
      </w:pPr>
      <w:r>
        <w:t>For IAB-DU type 2-O, unless otherwise stated, the OTA operating band unwanted emission limits in FR2 are defined from</w:t>
      </w:r>
      <w:r>
        <w:rPr>
          <w:rFonts w:eastAsia="SimSun"/>
          <w:lang w:eastAsia="zh-CN"/>
        </w:rPr>
        <w:t xml:space="preserve"> </w:t>
      </w:r>
      <w:r>
        <w:rPr>
          <w:rFonts w:cs="v5.0.0"/>
        </w:rPr>
        <w:t>Δf</w:t>
      </w:r>
      <w:r>
        <w:rPr>
          <w:rFonts w:cs="v5.0.0"/>
          <w:vertAlign w:val="subscript"/>
        </w:rPr>
        <w:t>OBUE</w:t>
      </w:r>
      <w:r>
        <w:t xml:space="preserve"> below the lowest frequency of each supported downlink </w:t>
      </w:r>
      <w:r>
        <w:rPr>
          <w:i/>
        </w:rPr>
        <w:t>operating band</w:t>
      </w:r>
      <w:r>
        <w:t xml:space="preserve"> up to</w:t>
      </w:r>
      <w:r>
        <w:rPr>
          <w:rFonts w:eastAsia="SimSun"/>
          <w:lang w:eastAsia="zh-CN"/>
        </w:rPr>
        <w:t xml:space="preserve"> </w:t>
      </w:r>
      <w:r>
        <w:rPr>
          <w:rFonts w:cs="v5.0.0"/>
        </w:rPr>
        <w:t>Δf</w:t>
      </w:r>
      <w:r>
        <w:rPr>
          <w:rFonts w:cs="v5.0.0"/>
          <w:vertAlign w:val="subscript"/>
        </w:rPr>
        <w:t>OBUE</w:t>
      </w:r>
      <w:r>
        <w:rPr>
          <w:rFonts w:eastAsia="SimSun"/>
          <w:lang w:eastAsia="zh-CN"/>
        </w:rPr>
        <w:t xml:space="preserve"> </w:t>
      </w:r>
      <w:r>
        <w:t xml:space="preserve">above the highest frequency of each supported downlink </w:t>
      </w:r>
      <w:r>
        <w:rPr>
          <w:i/>
        </w:rPr>
        <w:t>operating band</w:t>
      </w:r>
      <w:r>
        <w:t>.</w:t>
      </w:r>
      <w:r>
        <w:rPr>
          <w:rFonts w:cs="v5.0.0"/>
        </w:rPr>
        <w:t xml:space="preserve"> </w:t>
      </w:r>
    </w:p>
    <w:p w14:paraId="143A7BB9" w14:textId="77777777" w:rsidR="00CA0334" w:rsidRDefault="00CA0334" w:rsidP="00CA0334">
      <w:r>
        <w:t>For IAB-MT type 2-O, unless otherwise stated, the OTA operating band unwanted emission limits in FR2 are defined from</w:t>
      </w:r>
      <w:r>
        <w:rPr>
          <w:rFonts w:eastAsia="SimSun"/>
          <w:lang w:eastAsia="zh-CN"/>
        </w:rPr>
        <w:t xml:space="preserve"> </w:t>
      </w:r>
      <w:r>
        <w:rPr>
          <w:rFonts w:cs="v5.0.0"/>
        </w:rPr>
        <w:t>Δf</w:t>
      </w:r>
      <w:r>
        <w:rPr>
          <w:rFonts w:cs="v5.0.0"/>
          <w:vertAlign w:val="subscript"/>
        </w:rPr>
        <w:t>OBUE</w:t>
      </w:r>
      <w:r>
        <w:t xml:space="preserve"> below the lowest frequency of each supported uplink </w:t>
      </w:r>
      <w:r>
        <w:rPr>
          <w:i/>
        </w:rPr>
        <w:t>operating band</w:t>
      </w:r>
      <w:r>
        <w:t xml:space="preserve"> up to</w:t>
      </w:r>
      <w:r>
        <w:rPr>
          <w:rFonts w:eastAsia="SimSun"/>
          <w:lang w:eastAsia="zh-CN"/>
        </w:rPr>
        <w:t xml:space="preserve"> </w:t>
      </w:r>
      <w:r>
        <w:rPr>
          <w:rFonts w:cs="v5.0.0"/>
        </w:rPr>
        <w:t>Δf</w:t>
      </w:r>
      <w:r>
        <w:rPr>
          <w:rFonts w:cs="v5.0.0"/>
          <w:vertAlign w:val="subscript"/>
        </w:rPr>
        <w:t>OBUE</w:t>
      </w:r>
      <w:r>
        <w:rPr>
          <w:rFonts w:eastAsia="SimSun"/>
          <w:lang w:eastAsia="zh-CN"/>
        </w:rPr>
        <w:t xml:space="preserve"> </w:t>
      </w:r>
      <w:r>
        <w:t xml:space="preserve">above the highest frequency of each supported uplink </w:t>
      </w:r>
      <w:r>
        <w:rPr>
          <w:i/>
        </w:rPr>
        <w:t>operating band</w:t>
      </w:r>
      <w:r>
        <w:t>.</w:t>
      </w:r>
    </w:p>
    <w:p w14:paraId="22A925A6" w14:textId="77777777" w:rsidR="00CA0334" w:rsidRDefault="00CA0334" w:rsidP="00CA0334">
      <w:pPr>
        <w:rPr>
          <w:rFonts w:eastAsia="SimSun"/>
          <w:lang w:eastAsia="zh-CN"/>
        </w:rPr>
      </w:pPr>
      <w:r>
        <w:rPr>
          <w:rFonts w:cs="v5.0.0"/>
        </w:rPr>
        <w:t>The value</w:t>
      </w:r>
      <w:r>
        <w:rPr>
          <w:rFonts w:cs="v5.0.0"/>
          <w:lang w:eastAsia="zh-CN"/>
        </w:rPr>
        <w:t>s</w:t>
      </w:r>
      <w:r>
        <w:rPr>
          <w:rFonts w:cs="v5.0.0"/>
        </w:rPr>
        <w:t xml:space="preserve"> of </w:t>
      </w:r>
      <w:r>
        <w:t>Δf</w:t>
      </w:r>
      <w:r>
        <w:rPr>
          <w:vertAlign w:val="subscript"/>
        </w:rPr>
        <w:t>OBUE</w:t>
      </w:r>
      <w:r>
        <w:rPr>
          <w:rFonts w:cs="v5.0.0"/>
        </w:rPr>
        <w:t xml:space="preserve"> </w:t>
      </w:r>
      <w:r>
        <w:rPr>
          <w:rFonts w:cs="v5.0.0"/>
          <w:lang w:eastAsia="zh-CN"/>
        </w:rPr>
        <w:t>are</w:t>
      </w:r>
      <w:r>
        <w:rPr>
          <w:rFonts w:cs="v5.0.0"/>
        </w:rPr>
        <w:t xml:space="preserve"> defined in table 9.7.1-1 and 9.7.1-2 for the NR </w:t>
      </w:r>
      <w:r>
        <w:rPr>
          <w:rFonts w:cs="v5.0.0"/>
          <w:i/>
        </w:rPr>
        <w:t>operating bands</w:t>
      </w:r>
      <w:r>
        <w:rPr>
          <w:rFonts w:cs="v5.0.0"/>
        </w:rPr>
        <w:t>.</w:t>
      </w:r>
    </w:p>
    <w:bookmarkEnd w:id="5571"/>
    <w:p w14:paraId="4E16290C" w14:textId="77777777" w:rsidR="00CA0334" w:rsidRDefault="00CA0334" w:rsidP="00E45058">
      <w:pPr>
        <w:rPr>
          <w:rFonts w:cs="v5.0.0"/>
        </w:rPr>
      </w:pPr>
      <w:r>
        <w:t>The requirements shall apply whatever the type of transmitter considered and for all transmission modes foreseen by the manufacturer's specification</w:t>
      </w:r>
      <w:r>
        <w:rPr>
          <w:rFonts w:cs="v5.0.0"/>
        </w:rPr>
        <w:t xml:space="preserve">. </w:t>
      </w:r>
      <w:r>
        <w:rPr>
          <w:rFonts w:eastAsia="SimSun"/>
        </w:rPr>
        <w:t xml:space="preserve">For </w:t>
      </w:r>
      <w:r>
        <w:rPr>
          <w:rFonts w:eastAsia="SimSun"/>
          <w:lang w:val="en-US" w:eastAsia="zh-CN"/>
        </w:rPr>
        <w:t xml:space="preserve">a </w:t>
      </w:r>
      <w:r>
        <w:rPr>
          <w:rFonts w:eastAsia="SimSun"/>
          <w:i/>
          <w:iCs/>
          <w:lang w:val="en-US" w:eastAsia="zh-CN"/>
        </w:rPr>
        <w:t>RIB</w:t>
      </w:r>
      <w:r>
        <w:rPr>
          <w:rFonts w:eastAsia="SimSun"/>
          <w:lang w:val="en-US" w:eastAsia="zh-CN"/>
        </w:rPr>
        <w:t xml:space="preserve"> </w:t>
      </w:r>
      <w:r>
        <w:rPr>
          <w:rFonts w:cs="v5.0.0"/>
        </w:rPr>
        <w:t xml:space="preserve">operating </w:t>
      </w:r>
      <w:r>
        <w:rPr>
          <w:rFonts w:cs="v5.0.0"/>
          <w:lang w:val="en-US" w:eastAsia="zh-CN"/>
        </w:rPr>
        <w:t xml:space="preserve">in </w:t>
      </w:r>
      <w:r>
        <w:rPr>
          <w:rFonts w:eastAsia="SimSun"/>
        </w:rPr>
        <w:t xml:space="preserve">multi-carrier or contiguous CA, the requirements </w:t>
      </w:r>
      <w:r>
        <w:t xml:space="preserve">apply to </w:t>
      </w:r>
      <w:r>
        <w:rPr>
          <w:lang w:val="en-US" w:eastAsia="zh-CN"/>
        </w:rPr>
        <w:t xml:space="preserve">the </w:t>
      </w:r>
      <w:r>
        <w:t>frequencies (Δf</w:t>
      </w:r>
      <w:r>
        <w:rPr>
          <w:vertAlign w:val="subscript"/>
        </w:rPr>
        <w:t>OBUE</w:t>
      </w:r>
      <w:r>
        <w:rPr>
          <w:snapToGrid w:val="0"/>
        </w:rPr>
        <w:t>)</w:t>
      </w:r>
      <w:r>
        <w:t xml:space="preserve"> starting from the edge of the</w:t>
      </w:r>
      <w:r>
        <w:rPr>
          <w:i/>
          <w:iCs/>
          <w:lang w:val="en-US" w:eastAsia="zh-CN"/>
        </w:rPr>
        <w:t xml:space="preserve"> </w:t>
      </w:r>
      <w:r>
        <w:rPr>
          <w:i/>
          <w:iCs/>
          <w:lang w:eastAsia="ja-JP"/>
        </w:rPr>
        <w:t>contiguous transmission bandwidth</w:t>
      </w:r>
      <w:r>
        <w:rPr>
          <w:i/>
          <w:iCs/>
          <w:lang w:val="en-US" w:eastAsia="zh-CN"/>
        </w:rPr>
        <w:t xml:space="preserve">. </w:t>
      </w:r>
      <w:r>
        <w:rPr>
          <w:rFonts w:cs="v5.0.0"/>
        </w:rPr>
        <w:t xml:space="preserve">In addition, for a </w:t>
      </w:r>
      <w:r>
        <w:rPr>
          <w:rFonts w:eastAsia="Malgun Gothic" w:cs="v5.0.0"/>
          <w:i/>
        </w:rPr>
        <w:t>RIB</w:t>
      </w:r>
      <w:r>
        <w:rPr>
          <w:rFonts w:eastAsia="Malgun Gothic" w:cs="v5.0.0"/>
        </w:rPr>
        <w:t xml:space="preserve"> </w:t>
      </w:r>
      <w:r>
        <w:rPr>
          <w:rFonts w:cs="v5.0.0"/>
        </w:rPr>
        <w:t xml:space="preserve">operating in </w:t>
      </w:r>
      <w:r>
        <w:rPr>
          <w:rFonts w:cs="v5.0.0"/>
          <w:i/>
        </w:rPr>
        <w:t>non-contiguous spectrum</w:t>
      </w:r>
      <w:r>
        <w:rPr>
          <w:rFonts w:cs="v5.0.0"/>
        </w:rPr>
        <w:t xml:space="preserve">, the requirements apply inside any </w:t>
      </w:r>
      <w:r>
        <w:rPr>
          <w:rFonts w:cs="v5.0.0"/>
          <w:i/>
        </w:rPr>
        <w:t>sub-block gap</w:t>
      </w:r>
      <w:r>
        <w:rPr>
          <w:rFonts w:cs="v5.0.0"/>
        </w:rPr>
        <w:t>.</w:t>
      </w:r>
    </w:p>
    <w:p w14:paraId="43317FBC" w14:textId="77777777" w:rsidR="00CA0334" w:rsidRDefault="00CA0334" w:rsidP="00E45058">
      <w:pPr>
        <w:rPr>
          <w:rFonts w:cs="v5.0.0"/>
        </w:rPr>
      </w:pPr>
      <w:r>
        <w:rPr>
          <w:rFonts w:cs="v5.0.0"/>
        </w:rPr>
        <w:t>Emissions shall not exceed the maximum levels specified in the tables below, where:</w:t>
      </w:r>
    </w:p>
    <w:p w14:paraId="5CFE28FC" w14:textId="77777777" w:rsidR="00CA0334" w:rsidRDefault="00CA0334" w:rsidP="00E45058">
      <w:pPr>
        <w:pStyle w:val="B10"/>
      </w:pPr>
      <w:r>
        <w:t>-</w:t>
      </w:r>
      <w:r>
        <w:tab/>
      </w:r>
      <w:r>
        <w:sym w:font="Symbol" w:char="F044"/>
      </w:r>
      <w:r>
        <w:t xml:space="preserve">f is the separation between </w:t>
      </w:r>
      <w:r>
        <w:rPr>
          <w:kern w:val="2"/>
          <w:szCs w:val="22"/>
          <w:lang w:eastAsia="zh-CN"/>
        </w:rPr>
        <w:t>the</w:t>
      </w:r>
      <w:r>
        <w:rPr>
          <w:kern w:val="2"/>
          <w:szCs w:val="22"/>
          <w:lang w:eastAsia="ja-JP"/>
        </w:rPr>
        <w:t xml:space="preserve"> </w:t>
      </w:r>
      <w:r>
        <w:rPr>
          <w:i/>
          <w:lang w:eastAsia="ja-JP"/>
        </w:rPr>
        <w:t>contiguous transmission bandwidth</w:t>
      </w:r>
      <w:r>
        <w:rPr>
          <w:lang w:eastAsia="ja-JP"/>
        </w:rPr>
        <w:t xml:space="preserve"> edge</w:t>
      </w:r>
      <w:r>
        <w:t xml:space="preserve"> frequency and the nominal -3dB point of the measuring filter closest to </w:t>
      </w:r>
      <w:r>
        <w:rPr>
          <w:kern w:val="2"/>
          <w:szCs w:val="22"/>
          <w:lang w:eastAsia="zh-CN"/>
        </w:rPr>
        <w:t>the</w:t>
      </w:r>
      <w:r>
        <w:rPr>
          <w:kern w:val="2"/>
          <w:szCs w:val="22"/>
          <w:lang w:eastAsia="ja-JP"/>
        </w:rPr>
        <w:t xml:space="preserve"> </w:t>
      </w:r>
      <w:r>
        <w:rPr>
          <w:i/>
          <w:lang w:eastAsia="ja-JP"/>
        </w:rPr>
        <w:t>contiguous transmission bandwidth</w:t>
      </w:r>
      <w:r>
        <w:t xml:space="preserve"> edge.</w:t>
      </w:r>
    </w:p>
    <w:p w14:paraId="1D7735A6" w14:textId="77777777" w:rsidR="00CA0334" w:rsidRDefault="00CA0334" w:rsidP="00E45058">
      <w:pPr>
        <w:pStyle w:val="B10"/>
      </w:pPr>
      <w:r>
        <w:t>-</w:t>
      </w:r>
      <w:r>
        <w:tab/>
        <w:t xml:space="preserve">f_offset is the separation between </w:t>
      </w:r>
      <w:r>
        <w:rPr>
          <w:kern w:val="2"/>
          <w:szCs w:val="22"/>
          <w:lang w:eastAsia="zh-CN"/>
        </w:rPr>
        <w:t>the</w:t>
      </w:r>
      <w:r>
        <w:rPr>
          <w:kern w:val="2"/>
          <w:szCs w:val="22"/>
          <w:lang w:eastAsia="ja-JP"/>
        </w:rPr>
        <w:t xml:space="preserve"> </w:t>
      </w:r>
      <w:r>
        <w:rPr>
          <w:i/>
          <w:lang w:eastAsia="ja-JP"/>
        </w:rPr>
        <w:t>contiguous transmission bandwidth</w:t>
      </w:r>
      <w:r>
        <w:rPr>
          <w:lang w:eastAsia="ja-JP"/>
        </w:rPr>
        <w:t xml:space="preserve"> edge</w:t>
      </w:r>
      <w:r>
        <w:t xml:space="preserve"> frequency and the centre of the measuring filter.</w:t>
      </w:r>
    </w:p>
    <w:p w14:paraId="0151DC94" w14:textId="77777777" w:rsidR="00CA0334" w:rsidRDefault="00CA0334" w:rsidP="00E45058">
      <w:pPr>
        <w:pStyle w:val="B10"/>
      </w:pPr>
      <w:r>
        <w:t>-</w:t>
      </w:r>
      <w:r>
        <w:tab/>
        <w:t>f_offset</w:t>
      </w:r>
      <w:r>
        <w:rPr>
          <w:vertAlign w:val="subscript"/>
        </w:rPr>
        <w:t>max</w:t>
      </w:r>
      <w:r>
        <w:t xml:space="preserve"> is the offset to the frequency </w:t>
      </w:r>
      <w:r>
        <w:rPr>
          <w:rFonts w:eastAsia="Malgun Gothic"/>
        </w:rPr>
        <w:t>Δf</w:t>
      </w:r>
      <w:r>
        <w:rPr>
          <w:rFonts w:eastAsia="Malgun Gothic"/>
          <w:vertAlign w:val="subscript"/>
        </w:rPr>
        <w:t>OBUE</w:t>
      </w:r>
      <w:r>
        <w:t xml:space="preserve"> outside </w:t>
      </w:r>
      <w:r>
        <w:rPr>
          <w:lang w:eastAsia="ja-JP"/>
        </w:rPr>
        <w:t>the</w:t>
      </w:r>
      <w:r>
        <w:rPr>
          <w:i/>
        </w:rPr>
        <w:t xml:space="preserve"> </w:t>
      </w:r>
      <w:r>
        <w:t xml:space="preserve">downlink </w:t>
      </w:r>
      <w:r>
        <w:rPr>
          <w:i/>
        </w:rPr>
        <w:t>operating band</w:t>
      </w:r>
      <w:r>
        <w:t xml:space="preserve">, where </w:t>
      </w:r>
      <w:r>
        <w:rPr>
          <w:rFonts w:eastAsia="Malgun Gothic"/>
        </w:rPr>
        <w:t>Δf</w:t>
      </w:r>
      <w:r>
        <w:rPr>
          <w:rFonts w:eastAsia="Malgun Gothic"/>
          <w:vertAlign w:val="subscript"/>
        </w:rPr>
        <w:t>OBUE</w:t>
      </w:r>
      <w:r>
        <w:t xml:space="preserve"> is defined in table </w:t>
      </w:r>
      <w:r>
        <w:rPr>
          <w:lang w:eastAsia="ja-JP"/>
        </w:rPr>
        <w:t>9.7.1-1</w:t>
      </w:r>
      <w:r>
        <w:t>.</w:t>
      </w:r>
    </w:p>
    <w:p w14:paraId="3C87C0E1" w14:textId="77777777" w:rsidR="00CA0334" w:rsidRDefault="00CA0334" w:rsidP="00CA0334">
      <w:pPr>
        <w:pStyle w:val="B10"/>
      </w:pPr>
      <w:r>
        <w:rPr>
          <w:rFonts w:cs="v5.0.0"/>
        </w:rPr>
        <w:t>-</w:t>
      </w:r>
      <w:r>
        <w:rPr>
          <w:rFonts w:cs="v5.0.0"/>
        </w:rPr>
        <w:tab/>
      </w:r>
      <w:r>
        <w:sym w:font="Symbol" w:char="F044"/>
      </w:r>
      <w:r>
        <w:t>f</w:t>
      </w:r>
      <w:r>
        <w:rPr>
          <w:vertAlign w:val="subscript"/>
        </w:rPr>
        <w:t>max</w:t>
      </w:r>
      <w:r>
        <w:t xml:space="preserve"> is equal to f_offset</w:t>
      </w:r>
      <w:r>
        <w:rPr>
          <w:vertAlign w:val="subscript"/>
        </w:rPr>
        <w:t>max</w:t>
      </w:r>
      <w:r>
        <w:t xml:space="preserve"> minus half of the bandwidth of the measuring filter.</w:t>
      </w:r>
    </w:p>
    <w:p w14:paraId="3EFF4A89" w14:textId="77777777" w:rsidR="00CA0334" w:rsidRDefault="00CA0334" w:rsidP="00CA0334">
      <w:r>
        <w:rPr>
          <w:rFonts w:eastAsia="SimSun"/>
          <w:lang w:val="en-US" w:eastAsia="zh-CN"/>
        </w:rPr>
        <w:t>I</w:t>
      </w:r>
      <w:r>
        <w:t xml:space="preserve">n addition, inside any </w:t>
      </w:r>
      <w:r>
        <w:rPr>
          <w:i/>
        </w:rPr>
        <w:t>sub-block gap</w:t>
      </w:r>
      <w:r>
        <w:t xml:space="preserve"> for a </w:t>
      </w:r>
      <w:r>
        <w:rPr>
          <w:rFonts w:eastAsia="SimSun"/>
          <w:i/>
          <w:lang w:val="en-US" w:eastAsia="zh-CN"/>
        </w:rPr>
        <w:t>RIB</w:t>
      </w:r>
      <w:r>
        <w:rPr>
          <w:i/>
          <w:iCs/>
          <w:lang w:val="en-US" w:eastAsia="zh-CN"/>
        </w:rPr>
        <w:t xml:space="preserve"> </w:t>
      </w:r>
      <w:r>
        <w:t xml:space="preserve">operating in </w:t>
      </w:r>
      <w:r>
        <w:rPr>
          <w:i/>
        </w:rPr>
        <w:t>non-contiguous spectrum</w:t>
      </w:r>
      <w:r>
        <w:t xml:space="preserve">, emissions shall not exceed the cumulative sum of the </w:t>
      </w:r>
      <w:r>
        <w:rPr>
          <w:iCs/>
        </w:rPr>
        <w:t>limits</w:t>
      </w:r>
      <w:r>
        <w:t xml:space="preserve"> specified for the adjacent </w:t>
      </w:r>
      <w:r>
        <w:rPr>
          <w:i/>
        </w:rPr>
        <w:t>sub-blocks</w:t>
      </w:r>
      <w:r>
        <w:t xml:space="preserve"> on each side of the </w:t>
      </w:r>
      <w:r>
        <w:rPr>
          <w:i/>
        </w:rPr>
        <w:t>sub-block gap</w:t>
      </w:r>
      <w:r>
        <w:t xml:space="preserve">. The </w:t>
      </w:r>
      <w:r>
        <w:rPr>
          <w:iCs/>
        </w:rPr>
        <w:t xml:space="preserve">limit </w:t>
      </w:r>
      <w:r>
        <w:t xml:space="preserve">for each </w:t>
      </w:r>
      <w:r>
        <w:rPr>
          <w:i/>
        </w:rPr>
        <w:t>sub-block</w:t>
      </w:r>
      <w:r>
        <w:t xml:space="preserve"> is specified in </w:t>
      </w:r>
      <w:r>
        <w:rPr>
          <w:rFonts w:eastAsia="SimSun"/>
          <w:lang w:val="en-US" w:eastAsia="zh-CN"/>
        </w:rPr>
        <w:t xml:space="preserve">clauses 9.7.4.5.2 and 9.7.4.5.3 </w:t>
      </w:r>
      <w:r>
        <w:t>below, where in this case:</w:t>
      </w:r>
    </w:p>
    <w:p w14:paraId="62DB440E" w14:textId="77777777" w:rsidR="00CA0334" w:rsidRDefault="00CA0334" w:rsidP="00CA0334">
      <w:pPr>
        <w:pStyle w:val="B10"/>
      </w:pPr>
      <w:r>
        <w:t>-</w:t>
      </w:r>
      <w:r>
        <w:tab/>
      </w:r>
      <w:r>
        <w:sym w:font="Symbol" w:char="F044"/>
      </w:r>
      <w:r>
        <w:t xml:space="preserve">f is the separation between the </w:t>
      </w:r>
      <w:r>
        <w:rPr>
          <w:i/>
        </w:rPr>
        <w:t xml:space="preserve">sub-block </w:t>
      </w:r>
      <w:r>
        <w:t xml:space="preserve">edge frequency and the nominal -3 dB point of the measuring filter closest to the </w:t>
      </w:r>
      <w:r>
        <w:rPr>
          <w:i/>
        </w:rPr>
        <w:t xml:space="preserve">sub-block </w:t>
      </w:r>
      <w:r>
        <w:t>edge.</w:t>
      </w:r>
    </w:p>
    <w:p w14:paraId="10CEC892" w14:textId="77777777" w:rsidR="00CA0334" w:rsidRDefault="00CA0334" w:rsidP="00CA0334">
      <w:pPr>
        <w:pStyle w:val="B10"/>
      </w:pPr>
      <w:r>
        <w:t>-</w:t>
      </w:r>
      <w:r>
        <w:tab/>
        <w:t xml:space="preserve">f_offset is the separation between the </w:t>
      </w:r>
      <w:r>
        <w:rPr>
          <w:i/>
        </w:rPr>
        <w:t>sub-block</w:t>
      </w:r>
      <w:r>
        <w:t xml:space="preserve"> edge frequency and the centre of the measuring filter.</w:t>
      </w:r>
    </w:p>
    <w:p w14:paraId="67F149B3" w14:textId="77777777" w:rsidR="00CA0334" w:rsidRDefault="00CA0334" w:rsidP="00CA0334">
      <w:pPr>
        <w:pStyle w:val="B10"/>
      </w:pPr>
      <w:r>
        <w:t>-</w:t>
      </w:r>
      <w:r>
        <w:tab/>
        <w:t>f_offset</w:t>
      </w:r>
      <w:r>
        <w:rPr>
          <w:vertAlign w:val="subscript"/>
        </w:rPr>
        <w:t>max</w:t>
      </w:r>
      <w:r>
        <w:t xml:space="preserve"> is equal to the </w:t>
      </w:r>
      <w:r>
        <w:rPr>
          <w:i/>
        </w:rPr>
        <w:t>sub-block gap</w:t>
      </w:r>
      <w:r>
        <w:t xml:space="preserve"> bandwidth minus half of the bandwidth of the measuring filter.</w:t>
      </w:r>
    </w:p>
    <w:p w14:paraId="2EA54EDD" w14:textId="77777777" w:rsidR="00CA0334" w:rsidRDefault="00CA0334" w:rsidP="00CA0334">
      <w:pPr>
        <w:pStyle w:val="B10"/>
      </w:pPr>
      <w:r>
        <w:t>-</w:t>
      </w:r>
      <w:r>
        <w:tab/>
      </w:r>
      <w:r>
        <w:sym w:font="Symbol" w:char="F044"/>
      </w:r>
      <w:r>
        <w:t>f</w:t>
      </w:r>
      <w:r>
        <w:rPr>
          <w:vertAlign w:val="subscript"/>
        </w:rPr>
        <w:t>max</w:t>
      </w:r>
      <w:r>
        <w:t xml:space="preserve"> is equal to f_offset</w:t>
      </w:r>
      <w:r>
        <w:rPr>
          <w:vertAlign w:val="subscript"/>
        </w:rPr>
        <w:t>max</w:t>
      </w:r>
      <w:r>
        <w:t xml:space="preserve"> minus half of the bandwidth of the measuring filter.</w:t>
      </w:r>
    </w:p>
    <w:p w14:paraId="16CF5146" w14:textId="77777777" w:rsidR="00CA0334" w:rsidRDefault="00CA0334" w:rsidP="00CA0334">
      <w:pPr>
        <w:pStyle w:val="Heading5"/>
      </w:pPr>
      <w:bookmarkStart w:id="5572" w:name="_Toc45893665"/>
      <w:bookmarkStart w:id="5573" w:name="_Toc44712352"/>
      <w:bookmarkStart w:id="5574" w:name="_Toc37267749"/>
      <w:bookmarkStart w:id="5575" w:name="_Toc37260361"/>
      <w:bookmarkStart w:id="5576" w:name="_Toc36817439"/>
      <w:bookmarkStart w:id="5577" w:name="_Toc29811887"/>
      <w:bookmarkStart w:id="5578" w:name="_Toc21127678"/>
      <w:bookmarkStart w:id="5579" w:name="_Toc53185504"/>
      <w:bookmarkStart w:id="5580" w:name="_Toc53185880"/>
      <w:bookmarkStart w:id="5581" w:name="_Toc57820366"/>
      <w:bookmarkStart w:id="5582" w:name="_Toc57821293"/>
      <w:bookmarkStart w:id="5583" w:name="_Toc61183569"/>
      <w:bookmarkStart w:id="5584" w:name="_Toc61183963"/>
      <w:bookmarkStart w:id="5585" w:name="_Toc61184355"/>
      <w:bookmarkStart w:id="5586" w:name="_Toc61184747"/>
      <w:bookmarkStart w:id="5587" w:name="_Toc61185137"/>
      <w:bookmarkStart w:id="5588" w:name="_Toc66386481"/>
      <w:bookmarkStart w:id="5589" w:name="_Toc74583384"/>
      <w:bookmarkStart w:id="5590" w:name="_Toc76542197"/>
      <w:bookmarkStart w:id="5591" w:name="_Toc82450179"/>
      <w:bookmarkStart w:id="5592" w:name="_Toc82450827"/>
      <w:bookmarkStart w:id="5593" w:name="_Toc89949216"/>
      <w:bookmarkStart w:id="5594" w:name="_Toc98755605"/>
      <w:bookmarkStart w:id="5595" w:name="_Toc98763197"/>
      <w:bookmarkStart w:id="5596" w:name="_Toc106184126"/>
      <w:r>
        <w:lastRenderedPageBreak/>
        <w:t>9.7.4.5.2</w:t>
      </w:r>
      <w:r>
        <w:tab/>
        <w:t xml:space="preserve">OTA </w:t>
      </w:r>
      <w:r>
        <w:rPr>
          <w:rFonts w:eastAsia="Malgun Gothic"/>
        </w:rPr>
        <w:t>operating band unwanted emission limits (Category A)</w:t>
      </w:r>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p>
    <w:p w14:paraId="2A6DADDE" w14:textId="77777777" w:rsidR="00CA0334" w:rsidRDefault="00CA0334" w:rsidP="00CA0334">
      <w:pPr>
        <w:keepNext/>
        <w:rPr>
          <w:rFonts w:cs="v5.0.0"/>
        </w:rPr>
      </w:pPr>
      <w:r>
        <w:rPr>
          <w:rFonts w:cs="v5.0.0"/>
        </w:rPr>
        <w:t>IAB-DU and IAB-MT unwanted emissions shall not exceed the maximum levels specified in table 9.7.4.3.2</w:t>
      </w:r>
      <w:r>
        <w:rPr>
          <w:rFonts w:cs="v5.0.0"/>
        </w:rPr>
        <w:noBreakHyphen/>
        <w:t>1 and 9.7.4.3.2-2.</w:t>
      </w:r>
    </w:p>
    <w:p w14:paraId="4CB3E368" w14:textId="77777777" w:rsidR="00CA0334" w:rsidRDefault="00CA0334" w:rsidP="00CA0334">
      <w:pPr>
        <w:pStyle w:val="TH"/>
      </w:pPr>
      <w:r>
        <w:t>Table 9.7.4.5.2-1: OBUE limits applicable in the frequency range 24.25 – 33.4 GHz</w:t>
      </w:r>
    </w:p>
    <w:tbl>
      <w:tblPr>
        <w:tblW w:w="847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552"/>
        <w:gridCol w:w="2551"/>
        <w:gridCol w:w="1560"/>
      </w:tblGrid>
      <w:tr w:rsidR="00CA0334" w14:paraId="329FD4CD"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2C27EABE" w14:textId="77777777" w:rsidR="00CA0334" w:rsidRDefault="00CA0334" w:rsidP="00BD1F8C">
            <w:pPr>
              <w:pStyle w:val="TAH"/>
              <w:rPr>
                <w:lang w:val="en-US"/>
              </w:rPr>
            </w:pPr>
            <w:r>
              <w:rPr>
                <w:lang w:val="en-US"/>
              </w:rPr>
              <w:t xml:space="preserve">Frequency offset of measurement filter -3B point,  </w:t>
            </w:r>
            <w:r>
              <w:rPr>
                <w:rFonts w:cs="v5.0.0"/>
              </w:rPr>
              <w:sym w:font="Symbol" w:char="F044"/>
            </w:r>
            <w:r>
              <w:rPr>
                <w:rFonts w:cs="v5.0.0"/>
              </w:rPr>
              <w:t>f</w:t>
            </w:r>
            <w:r>
              <w:t xml:space="preserve"> </w:t>
            </w:r>
          </w:p>
        </w:tc>
        <w:tc>
          <w:tcPr>
            <w:tcW w:w="2552" w:type="dxa"/>
            <w:tcBorders>
              <w:top w:val="single" w:sz="4" w:space="0" w:color="auto"/>
              <w:left w:val="single" w:sz="4" w:space="0" w:color="auto"/>
              <w:bottom w:val="single" w:sz="4" w:space="0" w:color="auto"/>
              <w:right w:val="single" w:sz="4" w:space="0" w:color="auto"/>
            </w:tcBorders>
            <w:hideMark/>
          </w:tcPr>
          <w:p w14:paraId="12654C53" w14:textId="77777777" w:rsidR="00CA0334" w:rsidRDefault="00CA0334" w:rsidP="00BD1F8C">
            <w:pPr>
              <w:pStyle w:val="TAH"/>
              <w:rPr>
                <w:lang w:val="en-US"/>
              </w:rPr>
            </w:pPr>
            <w:r>
              <w:rPr>
                <w:rFonts w:cs="v5.0.0"/>
              </w:rPr>
              <w:t>Frequency offset of measurement filter centre frequency, f_offset</w:t>
            </w:r>
          </w:p>
        </w:tc>
        <w:tc>
          <w:tcPr>
            <w:tcW w:w="2551" w:type="dxa"/>
            <w:tcBorders>
              <w:top w:val="single" w:sz="4" w:space="0" w:color="auto"/>
              <w:left w:val="single" w:sz="4" w:space="0" w:color="auto"/>
              <w:bottom w:val="single" w:sz="4" w:space="0" w:color="auto"/>
              <w:right w:val="single" w:sz="4" w:space="0" w:color="auto"/>
            </w:tcBorders>
            <w:hideMark/>
          </w:tcPr>
          <w:p w14:paraId="532DC2B3" w14:textId="77777777" w:rsidR="00CA0334" w:rsidRDefault="00CA0334" w:rsidP="00BD1F8C">
            <w:pPr>
              <w:pStyle w:val="TAH"/>
              <w:rPr>
                <w:lang w:val="en-US"/>
              </w:rPr>
            </w:pPr>
            <w:r>
              <w:rPr>
                <w:lang w:val="en-US"/>
              </w:rPr>
              <w:t>Limit</w:t>
            </w:r>
          </w:p>
        </w:tc>
        <w:tc>
          <w:tcPr>
            <w:tcW w:w="1560" w:type="dxa"/>
            <w:tcBorders>
              <w:top w:val="single" w:sz="4" w:space="0" w:color="auto"/>
              <w:left w:val="single" w:sz="4" w:space="0" w:color="auto"/>
              <w:bottom w:val="single" w:sz="4" w:space="0" w:color="auto"/>
              <w:right w:val="single" w:sz="4" w:space="0" w:color="auto"/>
            </w:tcBorders>
            <w:hideMark/>
          </w:tcPr>
          <w:p w14:paraId="1D932FDC" w14:textId="77777777" w:rsidR="00CA0334" w:rsidRDefault="00CA0334" w:rsidP="00BD1F8C">
            <w:pPr>
              <w:pStyle w:val="TAH"/>
              <w:rPr>
                <w:i/>
                <w:lang w:val="en-US"/>
              </w:rPr>
            </w:pPr>
            <w:r>
              <w:rPr>
                <w:i/>
                <w:lang w:val="en-US"/>
              </w:rPr>
              <w:t>Measurement bandwidth</w:t>
            </w:r>
          </w:p>
        </w:tc>
      </w:tr>
      <w:tr w:rsidR="00CA0334" w14:paraId="69D64675"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38B39A0F" w14:textId="77777777" w:rsidR="00CA0334" w:rsidRDefault="00CA0334" w:rsidP="00BD1F8C">
            <w:pPr>
              <w:pStyle w:val="TAC"/>
              <w:rPr>
                <w:lang w:val="en-US"/>
              </w:rPr>
            </w:pPr>
            <w:r>
              <w:rPr>
                <w:lang w:val="en-US"/>
              </w:rPr>
              <w:t>0 MHz</w:t>
            </w:r>
            <w:r>
              <w:rPr>
                <w:rFonts w:cs="Arial"/>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kern w:val="2"/>
                <w:szCs w:val="22"/>
                <w:lang w:val="en-US" w:eastAsia="zh-CN"/>
              </w:rPr>
              <w:t>0.1</w:t>
            </w:r>
            <w:r>
              <w:rPr>
                <w:rFonts w:cs="Arial"/>
                <w:kern w:val="2"/>
                <w:szCs w:val="22"/>
                <w:lang w:val="en-US" w:eastAsia="zh-CN"/>
              </w:rPr>
              <w:t>*</w:t>
            </w:r>
            <w:r>
              <w:t>BW</w:t>
            </w:r>
            <w:r>
              <w:rPr>
                <w:vertAlign w:val="subscript"/>
              </w:rPr>
              <w:t>contiguous</w:t>
            </w:r>
          </w:p>
        </w:tc>
        <w:tc>
          <w:tcPr>
            <w:tcW w:w="2552" w:type="dxa"/>
            <w:tcBorders>
              <w:top w:val="single" w:sz="4" w:space="0" w:color="auto"/>
              <w:left w:val="single" w:sz="4" w:space="0" w:color="auto"/>
              <w:bottom w:val="single" w:sz="4" w:space="0" w:color="auto"/>
              <w:right w:val="single" w:sz="4" w:space="0" w:color="auto"/>
            </w:tcBorders>
            <w:hideMark/>
          </w:tcPr>
          <w:p w14:paraId="5D2A0644" w14:textId="77777777" w:rsidR="00CA0334" w:rsidRDefault="00CA0334" w:rsidP="00BD1F8C">
            <w:pPr>
              <w:pStyle w:val="TAC"/>
              <w:rPr>
                <w:rFonts w:eastAsia="MS Mincho"/>
                <w:lang w:val="en-US"/>
              </w:rPr>
            </w:pPr>
            <w:r>
              <w:rPr>
                <w:rFonts w:cs="v5.0.0"/>
              </w:rPr>
              <w:t xml:space="preserve">0.5 MHz </w:t>
            </w:r>
            <w:r>
              <w:rPr>
                <w:rFonts w:cs="v5.0.0"/>
              </w:rPr>
              <w:sym w:font="Symbol" w:char="F0A3"/>
            </w:r>
            <w:r>
              <w:rPr>
                <w:rFonts w:cs="v5.0.0"/>
              </w:rPr>
              <w:t xml:space="preserve"> f_offset &lt; </w:t>
            </w:r>
            <w:r>
              <w:rPr>
                <w:kern w:val="2"/>
                <w:szCs w:val="22"/>
                <w:lang w:eastAsia="zh-CN"/>
              </w:rPr>
              <w:t>0.1*</w:t>
            </w:r>
            <w:r>
              <w:rPr>
                <w:lang w:eastAsia="ja-JP"/>
              </w:rPr>
              <w:t xml:space="preserve"> BW</w:t>
            </w:r>
            <w:r>
              <w:rPr>
                <w:vertAlign w:val="subscript"/>
                <w:lang w:eastAsia="ja-JP"/>
              </w:rPr>
              <w:t xml:space="preserve">contiguous </w:t>
            </w:r>
            <w:r>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303F5039" w14:textId="77777777" w:rsidR="00CA0334" w:rsidRDefault="00CA0334" w:rsidP="00BD1F8C">
            <w:pPr>
              <w:pStyle w:val="TAC"/>
              <w:rPr>
                <w:lang w:val="en-US"/>
              </w:rPr>
            </w:pPr>
            <w:r>
              <w:rPr>
                <w:rFonts w:eastAsia="MS Mincho"/>
                <w:lang w:val="en-US"/>
              </w:rPr>
              <w:t>Min(-5 dBm, Max(</w:t>
            </w:r>
            <w:r>
              <w:rPr>
                <w:lang w:val="en-US"/>
              </w:rPr>
              <w:t>P</w:t>
            </w:r>
            <w:r>
              <w:rPr>
                <w:vertAlign w:val="subscript"/>
                <w:lang w:val="en-US"/>
              </w:rPr>
              <w:t>rated,t,TRP</w:t>
            </w:r>
            <w:r>
              <w:rPr>
                <w:rFonts w:eastAsia="MS Mincho"/>
                <w:lang w:val="en-US"/>
              </w:rPr>
              <w:t xml:space="preserve"> – 35 dB, -12 dBm))</w:t>
            </w:r>
          </w:p>
        </w:tc>
        <w:tc>
          <w:tcPr>
            <w:tcW w:w="1560" w:type="dxa"/>
            <w:tcBorders>
              <w:top w:val="single" w:sz="4" w:space="0" w:color="auto"/>
              <w:left w:val="single" w:sz="4" w:space="0" w:color="auto"/>
              <w:bottom w:val="single" w:sz="4" w:space="0" w:color="auto"/>
              <w:right w:val="single" w:sz="4" w:space="0" w:color="auto"/>
            </w:tcBorders>
            <w:hideMark/>
          </w:tcPr>
          <w:p w14:paraId="07F5554E" w14:textId="77777777" w:rsidR="00CA0334" w:rsidRDefault="00CA0334" w:rsidP="00BD1F8C">
            <w:pPr>
              <w:pStyle w:val="TAC"/>
              <w:rPr>
                <w:lang w:val="en-US"/>
              </w:rPr>
            </w:pPr>
            <w:r>
              <w:rPr>
                <w:lang w:val="en-US"/>
              </w:rPr>
              <w:t>1 MHz</w:t>
            </w:r>
          </w:p>
        </w:tc>
      </w:tr>
      <w:tr w:rsidR="00CA0334" w14:paraId="016C3504"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5C59EE63" w14:textId="77777777" w:rsidR="00CA0334" w:rsidRDefault="00CA0334" w:rsidP="00BD1F8C">
            <w:pPr>
              <w:pStyle w:val="TAC"/>
              <w:rPr>
                <w:lang w:val="en-US"/>
              </w:rPr>
            </w:pPr>
            <w:r>
              <w:rPr>
                <w:kern w:val="2"/>
                <w:szCs w:val="22"/>
                <w:lang w:val="en-US" w:eastAsia="zh-CN"/>
              </w:rPr>
              <w:t>0.1</w:t>
            </w:r>
            <w:r>
              <w:rPr>
                <w:rFonts w:cs="Arial"/>
                <w:kern w:val="2"/>
                <w:szCs w:val="22"/>
                <w:lang w:val="en-US" w:eastAsia="zh-CN"/>
              </w:rPr>
              <w:t>*</w:t>
            </w:r>
            <w:r>
              <w:t>BW</w:t>
            </w:r>
            <w:r>
              <w:rPr>
                <w:vertAlign w:val="subscript"/>
              </w:rPr>
              <w:t>contiguous</w:t>
            </w:r>
            <w:r>
              <w:rPr>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rFonts w:cs="v5.0.0"/>
              </w:rPr>
              <w:sym w:font="Symbol" w:char="F044"/>
            </w:r>
            <w:r>
              <w:rPr>
                <w:rFonts w:cs="v5.0.0"/>
              </w:rPr>
              <w:t>f</w:t>
            </w:r>
            <w:r>
              <w:rPr>
                <w:rFonts w:cs="v5.0.0"/>
                <w:vertAlign w:val="subscript"/>
              </w:rPr>
              <w:t>max</w:t>
            </w:r>
          </w:p>
        </w:tc>
        <w:tc>
          <w:tcPr>
            <w:tcW w:w="2552" w:type="dxa"/>
            <w:tcBorders>
              <w:top w:val="single" w:sz="4" w:space="0" w:color="auto"/>
              <w:left w:val="single" w:sz="4" w:space="0" w:color="auto"/>
              <w:bottom w:val="single" w:sz="4" w:space="0" w:color="auto"/>
              <w:right w:val="single" w:sz="4" w:space="0" w:color="auto"/>
            </w:tcBorders>
            <w:hideMark/>
          </w:tcPr>
          <w:p w14:paraId="011B3DC9" w14:textId="77777777" w:rsidR="00CA0334" w:rsidRDefault="00CA0334" w:rsidP="00BD1F8C">
            <w:pPr>
              <w:pStyle w:val="TAC"/>
              <w:rPr>
                <w:rFonts w:eastAsia="MS Mincho"/>
                <w:lang w:val="en-US"/>
              </w:rPr>
            </w:pPr>
            <w:r>
              <w:rPr>
                <w:kern w:val="2"/>
                <w:szCs w:val="22"/>
                <w:lang w:eastAsia="zh-CN"/>
              </w:rPr>
              <w:t>0.1*</w:t>
            </w:r>
            <w:r>
              <w:rPr>
                <w:lang w:eastAsia="ja-JP"/>
              </w:rPr>
              <w:t xml:space="preserve"> BW</w:t>
            </w:r>
            <w:r>
              <w:rPr>
                <w:vertAlign w:val="subscript"/>
                <w:lang w:eastAsia="ja-JP"/>
              </w:rPr>
              <w:t xml:space="preserve">contiguous </w:t>
            </w:r>
            <w:r>
              <w:rPr>
                <w:kern w:val="2"/>
                <w:szCs w:val="22"/>
              </w:rPr>
              <w:t>+0.5 MHz</w:t>
            </w:r>
            <w:r>
              <w:rPr>
                <w:rFonts w:cs="v5.0.0"/>
              </w:rPr>
              <w:t xml:space="preserve"> </w:t>
            </w:r>
            <w:r>
              <w:rPr>
                <w:rFonts w:cs="v5.0.0"/>
              </w:rPr>
              <w:sym w:font="Symbol" w:char="F0A3"/>
            </w:r>
            <w:r>
              <w:rPr>
                <w:rFonts w:cs="v5.0.0"/>
              </w:rPr>
              <w:t xml:space="preserve"> f_offset &lt; </w:t>
            </w:r>
            <w:r>
              <w:rPr>
                <w:lang w:eastAsia="ja-JP"/>
              </w:rPr>
              <w:t>f_</w:t>
            </w:r>
            <w:r>
              <w:rPr>
                <w:rFonts w:cs="v5.0.0"/>
              </w:rPr>
              <w:t xml:space="preserve"> offset</w:t>
            </w:r>
            <w:r>
              <w:rPr>
                <w:rFonts w:cs="v5.0.0"/>
                <w:vertAlign w:val="subscript"/>
                <w:lang w:eastAsia="ja-JP"/>
              </w:rPr>
              <w:t>max</w:t>
            </w:r>
          </w:p>
        </w:tc>
        <w:tc>
          <w:tcPr>
            <w:tcW w:w="2551" w:type="dxa"/>
            <w:tcBorders>
              <w:top w:val="single" w:sz="4" w:space="0" w:color="auto"/>
              <w:left w:val="single" w:sz="4" w:space="0" w:color="auto"/>
              <w:bottom w:val="single" w:sz="4" w:space="0" w:color="auto"/>
              <w:right w:val="single" w:sz="4" w:space="0" w:color="auto"/>
            </w:tcBorders>
            <w:hideMark/>
          </w:tcPr>
          <w:p w14:paraId="0D1DF820" w14:textId="77777777" w:rsidR="00CA0334" w:rsidRDefault="00CA0334" w:rsidP="00BD1F8C">
            <w:pPr>
              <w:pStyle w:val="TAC"/>
              <w:rPr>
                <w:lang w:val="en-US"/>
              </w:rPr>
            </w:pPr>
            <w:r>
              <w:rPr>
                <w:rFonts w:eastAsia="MS Mincho"/>
                <w:lang w:val="en-US"/>
              </w:rPr>
              <w:t>Min(-13 dBm, Max(</w:t>
            </w:r>
            <w:r>
              <w:rPr>
                <w:lang w:val="en-US"/>
              </w:rPr>
              <w:t>P</w:t>
            </w:r>
            <w:r>
              <w:rPr>
                <w:vertAlign w:val="subscript"/>
                <w:lang w:val="en-US"/>
              </w:rPr>
              <w:t>rated,t,TRP</w:t>
            </w:r>
            <w:r>
              <w:rPr>
                <w:rFonts w:eastAsia="MS Mincho"/>
                <w:lang w:val="en-US"/>
              </w:rPr>
              <w:t xml:space="preserve"> – 43 dB, -20 dBm))</w:t>
            </w:r>
          </w:p>
        </w:tc>
        <w:tc>
          <w:tcPr>
            <w:tcW w:w="1560" w:type="dxa"/>
            <w:tcBorders>
              <w:top w:val="single" w:sz="4" w:space="0" w:color="auto"/>
              <w:left w:val="single" w:sz="4" w:space="0" w:color="auto"/>
              <w:bottom w:val="single" w:sz="4" w:space="0" w:color="auto"/>
              <w:right w:val="single" w:sz="4" w:space="0" w:color="auto"/>
            </w:tcBorders>
            <w:hideMark/>
          </w:tcPr>
          <w:p w14:paraId="51C4AEA1" w14:textId="77777777" w:rsidR="00CA0334" w:rsidRDefault="00CA0334" w:rsidP="00BD1F8C">
            <w:pPr>
              <w:pStyle w:val="TAC"/>
              <w:rPr>
                <w:lang w:val="en-US"/>
              </w:rPr>
            </w:pPr>
            <w:r>
              <w:rPr>
                <w:lang w:val="en-US"/>
              </w:rPr>
              <w:t>1 MHz</w:t>
            </w:r>
          </w:p>
        </w:tc>
      </w:tr>
      <w:tr w:rsidR="00CA0334" w:rsidRPr="00AB3358" w14:paraId="724FED0E" w14:textId="77777777" w:rsidTr="00BD1F8C">
        <w:tc>
          <w:tcPr>
            <w:tcW w:w="8472" w:type="dxa"/>
            <w:gridSpan w:val="4"/>
            <w:tcBorders>
              <w:top w:val="single" w:sz="4" w:space="0" w:color="auto"/>
              <w:left w:val="single" w:sz="4" w:space="0" w:color="auto"/>
              <w:bottom w:val="single" w:sz="4" w:space="0" w:color="auto"/>
              <w:right w:val="single" w:sz="4" w:space="0" w:color="auto"/>
            </w:tcBorders>
            <w:hideMark/>
          </w:tcPr>
          <w:p w14:paraId="2F3A8012" w14:textId="77777777" w:rsidR="00CA0334" w:rsidRDefault="00CA0334" w:rsidP="00BD1F8C">
            <w:pPr>
              <w:pStyle w:val="TAN"/>
              <w:rPr>
                <w:lang w:val="en-US"/>
              </w:rPr>
            </w:pPr>
            <w:r>
              <w:rPr>
                <w:lang w:val="en-US"/>
              </w:rPr>
              <w:t>NOTE 1:</w:t>
            </w:r>
            <w:r>
              <w:rPr>
                <w:lang w:val="en-US"/>
              </w:rPr>
              <w:tab/>
              <w:t xml:space="preserve">For </w:t>
            </w:r>
            <w:r>
              <w:rPr>
                <w:i/>
                <w:lang w:val="en-US"/>
              </w:rPr>
              <w:t>non-contiguous spectrum</w:t>
            </w:r>
            <w:r>
              <w:rPr>
                <w:lang w:val="en-US"/>
              </w:rPr>
              <w:t xml:space="preserve"> operation within any </w:t>
            </w:r>
            <w:r>
              <w:rPr>
                <w:i/>
                <w:lang w:val="en-US"/>
              </w:rPr>
              <w:t>operating band</w:t>
            </w:r>
            <w:r>
              <w:rPr>
                <w:lang w:val="en-US"/>
              </w:rPr>
              <w:t xml:space="preserve"> the </w:t>
            </w:r>
            <w:r>
              <w:rPr>
                <w:iCs/>
                <w:lang w:val="en-US"/>
              </w:rPr>
              <w:t>limit</w:t>
            </w:r>
            <w:r>
              <w:rPr>
                <w:i/>
                <w:iCs/>
                <w:lang w:val="en-US"/>
              </w:rPr>
              <w:t xml:space="preserve"> </w:t>
            </w:r>
            <w:r>
              <w:rPr>
                <w:lang w:val="en-US"/>
              </w:rPr>
              <w:t xml:space="preserve">within </w:t>
            </w:r>
            <w:r>
              <w:rPr>
                <w:i/>
                <w:lang w:val="en-US"/>
              </w:rPr>
              <w:t>sub-block gaps</w:t>
            </w:r>
            <w:r>
              <w:rPr>
                <w:lang w:val="en-US"/>
              </w:rPr>
              <w:t xml:space="preserve"> is calculated as a cumulative sum of contributions from adjacent </w:t>
            </w:r>
            <w:r>
              <w:rPr>
                <w:i/>
                <w:lang w:val="en-US"/>
              </w:rPr>
              <w:t>sub-blocks</w:t>
            </w:r>
            <w:r>
              <w:rPr>
                <w:lang w:val="en-US"/>
              </w:rPr>
              <w:t xml:space="preserve"> on each side of the </w:t>
            </w:r>
            <w:r>
              <w:rPr>
                <w:i/>
                <w:lang w:val="en-US"/>
              </w:rPr>
              <w:t>sub-block gap</w:t>
            </w:r>
            <w:r>
              <w:rPr>
                <w:lang w:val="en-US"/>
              </w:rPr>
              <w:t xml:space="preserve">. </w:t>
            </w:r>
          </w:p>
        </w:tc>
      </w:tr>
    </w:tbl>
    <w:p w14:paraId="7F463877" w14:textId="77777777" w:rsidR="00CA0334" w:rsidRDefault="00CA0334" w:rsidP="00CA0334"/>
    <w:p w14:paraId="43F137EC" w14:textId="77777777" w:rsidR="00CA0334" w:rsidRDefault="00CA0334" w:rsidP="00CA0334">
      <w:pPr>
        <w:pStyle w:val="TH"/>
      </w:pPr>
      <w:r>
        <w:t>Table 9.7.4.5.2-2: OBUE limits applicable in the frequency range 37 – 52.6 GHz</w:t>
      </w:r>
    </w:p>
    <w:tbl>
      <w:tblPr>
        <w:tblW w:w="847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4"/>
        <w:gridCol w:w="2495"/>
        <w:gridCol w:w="2693"/>
        <w:gridCol w:w="1560"/>
      </w:tblGrid>
      <w:tr w:rsidR="00CA0334" w14:paraId="0FFFF70A" w14:textId="77777777" w:rsidTr="00BD1F8C">
        <w:tc>
          <w:tcPr>
            <w:tcW w:w="1724" w:type="dxa"/>
            <w:tcBorders>
              <w:top w:val="single" w:sz="4" w:space="0" w:color="auto"/>
              <w:left w:val="single" w:sz="4" w:space="0" w:color="auto"/>
              <w:bottom w:val="single" w:sz="4" w:space="0" w:color="auto"/>
              <w:right w:val="single" w:sz="4" w:space="0" w:color="auto"/>
            </w:tcBorders>
            <w:hideMark/>
          </w:tcPr>
          <w:p w14:paraId="17FB3AF8" w14:textId="77777777" w:rsidR="00CA0334" w:rsidRDefault="00CA0334" w:rsidP="00BD1F8C">
            <w:pPr>
              <w:pStyle w:val="TAH"/>
              <w:rPr>
                <w:lang w:val="en-US"/>
              </w:rPr>
            </w:pPr>
            <w:r>
              <w:rPr>
                <w:lang w:val="en-US"/>
              </w:rPr>
              <w:t xml:space="preserve">Frequency offset of measurement filter -3B point,  </w:t>
            </w:r>
            <w:r>
              <w:rPr>
                <w:rFonts w:cs="v5.0.0"/>
              </w:rPr>
              <w:sym w:font="Symbol" w:char="F044"/>
            </w:r>
            <w:r>
              <w:rPr>
                <w:rFonts w:cs="v5.0.0"/>
              </w:rPr>
              <w:t>f</w:t>
            </w:r>
            <w:r>
              <w:t xml:space="preserve"> </w:t>
            </w:r>
          </w:p>
        </w:tc>
        <w:tc>
          <w:tcPr>
            <w:tcW w:w="2495" w:type="dxa"/>
            <w:tcBorders>
              <w:top w:val="single" w:sz="4" w:space="0" w:color="auto"/>
              <w:left w:val="single" w:sz="4" w:space="0" w:color="auto"/>
              <w:bottom w:val="single" w:sz="4" w:space="0" w:color="auto"/>
              <w:right w:val="single" w:sz="4" w:space="0" w:color="auto"/>
            </w:tcBorders>
            <w:hideMark/>
          </w:tcPr>
          <w:p w14:paraId="1C11F498" w14:textId="77777777" w:rsidR="00CA0334" w:rsidRDefault="00CA0334" w:rsidP="00BD1F8C">
            <w:pPr>
              <w:pStyle w:val="TAH"/>
              <w:rPr>
                <w:lang w:val="en-US"/>
              </w:rPr>
            </w:pPr>
            <w:r>
              <w:rPr>
                <w:rFonts w:cs="v5.0.0"/>
              </w:rPr>
              <w:t>Frequency offset of measurement filter centre frequency, f_offset</w:t>
            </w:r>
          </w:p>
        </w:tc>
        <w:tc>
          <w:tcPr>
            <w:tcW w:w="2693" w:type="dxa"/>
            <w:tcBorders>
              <w:top w:val="single" w:sz="4" w:space="0" w:color="auto"/>
              <w:left w:val="single" w:sz="4" w:space="0" w:color="auto"/>
              <w:bottom w:val="single" w:sz="4" w:space="0" w:color="auto"/>
              <w:right w:val="single" w:sz="4" w:space="0" w:color="auto"/>
            </w:tcBorders>
            <w:hideMark/>
          </w:tcPr>
          <w:p w14:paraId="77E11D0B" w14:textId="77777777" w:rsidR="00CA0334" w:rsidRDefault="00CA0334" w:rsidP="00BD1F8C">
            <w:pPr>
              <w:pStyle w:val="TAH"/>
              <w:rPr>
                <w:lang w:val="en-US"/>
              </w:rPr>
            </w:pPr>
            <w:r>
              <w:rPr>
                <w:lang w:val="en-US"/>
              </w:rPr>
              <w:t>Limit</w:t>
            </w:r>
          </w:p>
        </w:tc>
        <w:tc>
          <w:tcPr>
            <w:tcW w:w="1560" w:type="dxa"/>
            <w:tcBorders>
              <w:top w:val="single" w:sz="4" w:space="0" w:color="auto"/>
              <w:left w:val="single" w:sz="4" w:space="0" w:color="auto"/>
              <w:bottom w:val="single" w:sz="4" w:space="0" w:color="auto"/>
              <w:right w:val="single" w:sz="4" w:space="0" w:color="auto"/>
            </w:tcBorders>
            <w:hideMark/>
          </w:tcPr>
          <w:p w14:paraId="1224272F" w14:textId="77777777" w:rsidR="00CA0334" w:rsidRDefault="00CA0334" w:rsidP="00BD1F8C">
            <w:pPr>
              <w:pStyle w:val="TAH"/>
              <w:rPr>
                <w:i/>
                <w:lang w:val="en-US"/>
              </w:rPr>
            </w:pPr>
            <w:r>
              <w:rPr>
                <w:i/>
                <w:lang w:val="en-US"/>
              </w:rPr>
              <w:t>Measurement bandwidth</w:t>
            </w:r>
          </w:p>
        </w:tc>
      </w:tr>
      <w:tr w:rsidR="00CA0334" w14:paraId="0F87C3B4" w14:textId="77777777" w:rsidTr="00BD1F8C">
        <w:tc>
          <w:tcPr>
            <w:tcW w:w="1724" w:type="dxa"/>
            <w:tcBorders>
              <w:top w:val="single" w:sz="4" w:space="0" w:color="auto"/>
              <w:left w:val="single" w:sz="4" w:space="0" w:color="auto"/>
              <w:bottom w:val="single" w:sz="4" w:space="0" w:color="auto"/>
              <w:right w:val="single" w:sz="4" w:space="0" w:color="auto"/>
            </w:tcBorders>
            <w:hideMark/>
          </w:tcPr>
          <w:p w14:paraId="69B5009D" w14:textId="77777777" w:rsidR="00CA0334" w:rsidRDefault="00CA0334" w:rsidP="00BD1F8C">
            <w:pPr>
              <w:pStyle w:val="TAC"/>
              <w:rPr>
                <w:lang w:val="en-US"/>
              </w:rPr>
            </w:pPr>
            <w:r>
              <w:rPr>
                <w:lang w:val="en-US"/>
              </w:rPr>
              <w:t>0 MHz</w:t>
            </w:r>
            <w:r>
              <w:rPr>
                <w:rFonts w:cs="Arial"/>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kern w:val="2"/>
                <w:szCs w:val="22"/>
                <w:lang w:val="en-US" w:eastAsia="zh-CN"/>
              </w:rPr>
              <w:t>0.1</w:t>
            </w:r>
            <w:r>
              <w:rPr>
                <w:rFonts w:cs="Arial"/>
                <w:kern w:val="2"/>
                <w:szCs w:val="22"/>
                <w:lang w:val="en-US" w:eastAsia="zh-CN"/>
              </w:rPr>
              <w:t>*</w:t>
            </w:r>
            <w:r>
              <w:t>BW</w:t>
            </w:r>
            <w:r>
              <w:rPr>
                <w:vertAlign w:val="subscript"/>
              </w:rPr>
              <w:t>contiguous</w:t>
            </w:r>
          </w:p>
        </w:tc>
        <w:tc>
          <w:tcPr>
            <w:tcW w:w="2495" w:type="dxa"/>
            <w:tcBorders>
              <w:top w:val="single" w:sz="4" w:space="0" w:color="auto"/>
              <w:left w:val="single" w:sz="4" w:space="0" w:color="auto"/>
              <w:bottom w:val="single" w:sz="4" w:space="0" w:color="auto"/>
              <w:right w:val="single" w:sz="4" w:space="0" w:color="auto"/>
            </w:tcBorders>
            <w:hideMark/>
          </w:tcPr>
          <w:p w14:paraId="5FE579E6" w14:textId="77777777" w:rsidR="00CA0334" w:rsidRDefault="00CA0334" w:rsidP="00BD1F8C">
            <w:pPr>
              <w:pStyle w:val="TAC"/>
              <w:rPr>
                <w:lang w:val="en-US"/>
              </w:rPr>
            </w:pPr>
            <w:r>
              <w:rPr>
                <w:rFonts w:cs="v5.0.0"/>
              </w:rPr>
              <w:t xml:space="preserve">0.5 MHz </w:t>
            </w:r>
            <w:r>
              <w:rPr>
                <w:rFonts w:cs="v5.0.0"/>
              </w:rPr>
              <w:sym w:font="Symbol" w:char="F0A3"/>
            </w:r>
            <w:r>
              <w:rPr>
                <w:rFonts w:cs="v5.0.0"/>
              </w:rPr>
              <w:t xml:space="preserve"> f_offset &lt; </w:t>
            </w:r>
            <w:r>
              <w:rPr>
                <w:kern w:val="2"/>
                <w:szCs w:val="22"/>
                <w:lang w:eastAsia="zh-CN"/>
              </w:rPr>
              <w:t>0.1*</w:t>
            </w:r>
            <w:r>
              <w:rPr>
                <w:lang w:eastAsia="ja-JP"/>
              </w:rPr>
              <w:t xml:space="preserve"> BW</w:t>
            </w:r>
            <w:r>
              <w:rPr>
                <w:vertAlign w:val="subscript"/>
                <w:lang w:eastAsia="ja-JP"/>
              </w:rPr>
              <w:t xml:space="preserve">contiguous </w:t>
            </w:r>
            <w:r>
              <w:rPr>
                <w:kern w:val="2"/>
                <w:szCs w:val="22"/>
              </w:rPr>
              <w:t>+0.5 MHz</w:t>
            </w:r>
          </w:p>
        </w:tc>
        <w:tc>
          <w:tcPr>
            <w:tcW w:w="2693" w:type="dxa"/>
            <w:tcBorders>
              <w:top w:val="single" w:sz="4" w:space="0" w:color="auto"/>
              <w:left w:val="single" w:sz="4" w:space="0" w:color="auto"/>
              <w:bottom w:val="single" w:sz="4" w:space="0" w:color="auto"/>
              <w:right w:val="single" w:sz="4" w:space="0" w:color="auto"/>
            </w:tcBorders>
            <w:hideMark/>
          </w:tcPr>
          <w:p w14:paraId="018257DB" w14:textId="77777777" w:rsidR="00CA0334" w:rsidRDefault="00CA0334" w:rsidP="00BD1F8C">
            <w:pPr>
              <w:pStyle w:val="TAC"/>
              <w:rPr>
                <w:lang w:val="en-US"/>
              </w:rPr>
            </w:pPr>
            <w:r>
              <w:rPr>
                <w:rFonts w:eastAsia="MS Mincho"/>
                <w:lang w:val="en-US"/>
              </w:rPr>
              <w:t>Min(-5 dBm, Max(P</w:t>
            </w:r>
            <w:r>
              <w:rPr>
                <w:rFonts w:eastAsia="MS Mincho"/>
                <w:vertAlign w:val="subscript"/>
                <w:lang w:val="en-US"/>
              </w:rPr>
              <w:t>rated,t,TRP</w:t>
            </w:r>
            <w:r>
              <w:rPr>
                <w:rFonts w:eastAsia="MS Mincho"/>
                <w:lang w:val="en-US"/>
              </w:rPr>
              <w:t xml:space="preserve"> – 33 dB, -12 dBm))</w:t>
            </w:r>
          </w:p>
        </w:tc>
        <w:tc>
          <w:tcPr>
            <w:tcW w:w="1560" w:type="dxa"/>
            <w:tcBorders>
              <w:top w:val="single" w:sz="4" w:space="0" w:color="auto"/>
              <w:left w:val="single" w:sz="4" w:space="0" w:color="auto"/>
              <w:bottom w:val="single" w:sz="4" w:space="0" w:color="auto"/>
              <w:right w:val="single" w:sz="4" w:space="0" w:color="auto"/>
            </w:tcBorders>
            <w:hideMark/>
          </w:tcPr>
          <w:p w14:paraId="0071243C" w14:textId="77777777" w:rsidR="00CA0334" w:rsidRDefault="00CA0334" w:rsidP="00BD1F8C">
            <w:pPr>
              <w:pStyle w:val="TAC"/>
              <w:rPr>
                <w:lang w:val="en-US"/>
              </w:rPr>
            </w:pPr>
            <w:r>
              <w:rPr>
                <w:lang w:val="en-US"/>
              </w:rPr>
              <w:t>1 MHz</w:t>
            </w:r>
          </w:p>
        </w:tc>
      </w:tr>
      <w:tr w:rsidR="00CA0334" w14:paraId="1A2DABB0" w14:textId="77777777" w:rsidTr="00BD1F8C">
        <w:tc>
          <w:tcPr>
            <w:tcW w:w="1724" w:type="dxa"/>
            <w:tcBorders>
              <w:top w:val="single" w:sz="4" w:space="0" w:color="auto"/>
              <w:left w:val="single" w:sz="4" w:space="0" w:color="auto"/>
              <w:bottom w:val="single" w:sz="4" w:space="0" w:color="auto"/>
              <w:right w:val="single" w:sz="4" w:space="0" w:color="auto"/>
            </w:tcBorders>
            <w:hideMark/>
          </w:tcPr>
          <w:p w14:paraId="666B8E51" w14:textId="77777777" w:rsidR="00CA0334" w:rsidRDefault="00CA0334" w:rsidP="00BD1F8C">
            <w:pPr>
              <w:pStyle w:val="TAC"/>
              <w:rPr>
                <w:kern w:val="2"/>
                <w:szCs w:val="22"/>
                <w:lang w:val="en-US" w:eastAsia="zh-CN"/>
              </w:rPr>
            </w:pPr>
            <w:r>
              <w:rPr>
                <w:kern w:val="2"/>
                <w:szCs w:val="22"/>
                <w:lang w:val="en-US" w:eastAsia="zh-CN"/>
              </w:rPr>
              <w:t>0.1</w:t>
            </w:r>
            <w:r>
              <w:rPr>
                <w:rFonts w:cs="Arial"/>
                <w:kern w:val="2"/>
                <w:szCs w:val="22"/>
                <w:lang w:val="en-US" w:eastAsia="zh-CN"/>
              </w:rPr>
              <w:t>*</w:t>
            </w:r>
            <w:r>
              <w:t>BW</w:t>
            </w:r>
            <w:r>
              <w:rPr>
                <w:vertAlign w:val="subscript"/>
              </w:rPr>
              <w:t>contiguous</w:t>
            </w:r>
            <w:r>
              <w:rPr>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rFonts w:cs="v5.0.0"/>
              </w:rPr>
              <w:sym w:font="Symbol" w:char="F044"/>
            </w:r>
            <w:r>
              <w:rPr>
                <w:rFonts w:cs="v5.0.0"/>
              </w:rPr>
              <w:t>f</w:t>
            </w:r>
            <w:r>
              <w:rPr>
                <w:rFonts w:cs="v5.0.0"/>
                <w:vertAlign w:val="subscript"/>
              </w:rPr>
              <w:t>max</w:t>
            </w:r>
          </w:p>
        </w:tc>
        <w:tc>
          <w:tcPr>
            <w:tcW w:w="2495" w:type="dxa"/>
            <w:tcBorders>
              <w:top w:val="single" w:sz="4" w:space="0" w:color="auto"/>
              <w:left w:val="single" w:sz="4" w:space="0" w:color="auto"/>
              <w:bottom w:val="single" w:sz="4" w:space="0" w:color="auto"/>
              <w:right w:val="single" w:sz="4" w:space="0" w:color="auto"/>
            </w:tcBorders>
            <w:hideMark/>
          </w:tcPr>
          <w:p w14:paraId="473F9447" w14:textId="77777777" w:rsidR="00CA0334" w:rsidRDefault="00CA0334" w:rsidP="00BD1F8C">
            <w:pPr>
              <w:pStyle w:val="TAC"/>
              <w:rPr>
                <w:lang w:val="en-US"/>
              </w:rPr>
            </w:pPr>
            <w:r>
              <w:rPr>
                <w:kern w:val="2"/>
                <w:szCs w:val="22"/>
                <w:lang w:eastAsia="zh-CN"/>
              </w:rPr>
              <w:t>0.1*</w:t>
            </w:r>
            <w:r>
              <w:rPr>
                <w:lang w:eastAsia="ja-JP"/>
              </w:rPr>
              <w:t xml:space="preserve"> BW</w:t>
            </w:r>
            <w:r>
              <w:rPr>
                <w:vertAlign w:val="subscript"/>
                <w:lang w:eastAsia="ja-JP"/>
              </w:rPr>
              <w:t xml:space="preserve">contiguous </w:t>
            </w:r>
            <w:r>
              <w:rPr>
                <w:kern w:val="2"/>
                <w:szCs w:val="22"/>
              </w:rPr>
              <w:t>+0.5 MHz</w:t>
            </w:r>
            <w:r>
              <w:rPr>
                <w:rFonts w:cs="v5.0.0"/>
              </w:rPr>
              <w:t xml:space="preserve"> </w:t>
            </w:r>
            <w:r>
              <w:rPr>
                <w:rFonts w:cs="v5.0.0"/>
              </w:rPr>
              <w:sym w:font="Symbol" w:char="F0A3"/>
            </w:r>
            <w:r>
              <w:rPr>
                <w:rFonts w:cs="v5.0.0"/>
              </w:rPr>
              <w:t xml:space="preserve"> f_offset &lt; </w:t>
            </w:r>
            <w:r>
              <w:rPr>
                <w:lang w:eastAsia="ja-JP"/>
              </w:rPr>
              <w:t>f_</w:t>
            </w:r>
            <w:r>
              <w:rPr>
                <w:rFonts w:cs="v5.0.0"/>
              </w:rPr>
              <w:t xml:space="preserve"> offset</w:t>
            </w:r>
            <w:r>
              <w:rPr>
                <w:rFonts w:cs="v5.0.0"/>
                <w:vertAlign w:val="subscript"/>
                <w:lang w:eastAsia="ja-JP"/>
              </w:rPr>
              <w:t>max</w:t>
            </w:r>
          </w:p>
        </w:tc>
        <w:tc>
          <w:tcPr>
            <w:tcW w:w="2693" w:type="dxa"/>
            <w:tcBorders>
              <w:top w:val="single" w:sz="4" w:space="0" w:color="auto"/>
              <w:left w:val="single" w:sz="4" w:space="0" w:color="auto"/>
              <w:bottom w:val="single" w:sz="4" w:space="0" w:color="auto"/>
              <w:right w:val="single" w:sz="4" w:space="0" w:color="auto"/>
            </w:tcBorders>
            <w:hideMark/>
          </w:tcPr>
          <w:p w14:paraId="6D2837AA" w14:textId="77777777" w:rsidR="00CA0334" w:rsidRDefault="00CA0334" w:rsidP="00BD1F8C">
            <w:pPr>
              <w:pStyle w:val="TAC"/>
              <w:rPr>
                <w:lang w:val="en-US"/>
              </w:rPr>
            </w:pPr>
            <w:r>
              <w:rPr>
                <w:rFonts w:eastAsia="MS Mincho"/>
                <w:lang w:val="en-US"/>
              </w:rPr>
              <w:t>Min(-13 dBm, Max(</w:t>
            </w:r>
            <w:r>
              <w:rPr>
                <w:lang w:val="en-US"/>
              </w:rPr>
              <w:t>P</w:t>
            </w:r>
            <w:r>
              <w:rPr>
                <w:vertAlign w:val="subscript"/>
                <w:lang w:val="en-US"/>
              </w:rPr>
              <w:t>rated,t,TRP</w:t>
            </w:r>
            <w:r>
              <w:rPr>
                <w:rFonts w:eastAsia="MS Mincho"/>
                <w:lang w:val="en-US"/>
              </w:rPr>
              <w:t xml:space="preserve"> – 41 dB, -20 dBm))</w:t>
            </w:r>
          </w:p>
        </w:tc>
        <w:tc>
          <w:tcPr>
            <w:tcW w:w="1560" w:type="dxa"/>
            <w:tcBorders>
              <w:top w:val="single" w:sz="4" w:space="0" w:color="auto"/>
              <w:left w:val="single" w:sz="4" w:space="0" w:color="auto"/>
              <w:bottom w:val="single" w:sz="4" w:space="0" w:color="auto"/>
              <w:right w:val="single" w:sz="4" w:space="0" w:color="auto"/>
            </w:tcBorders>
            <w:hideMark/>
          </w:tcPr>
          <w:p w14:paraId="3AEC66B9" w14:textId="77777777" w:rsidR="00CA0334" w:rsidRDefault="00CA0334" w:rsidP="00BD1F8C">
            <w:pPr>
              <w:pStyle w:val="TAC"/>
              <w:rPr>
                <w:lang w:val="en-US"/>
              </w:rPr>
            </w:pPr>
            <w:r>
              <w:rPr>
                <w:lang w:val="en-US"/>
              </w:rPr>
              <w:t>1 MHz</w:t>
            </w:r>
          </w:p>
        </w:tc>
      </w:tr>
      <w:tr w:rsidR="00CA0334" w:rsidRPr="00AB3358" w14:paraId="229097C6" w14:textId="77777777" w:rsidTr="00BD1F8C">
        <w:tc>
          <w:tcPr>
            <w:tcW w:w="8472" w:type="dxa"/>
            <w:gridSpan w:val="4"/>
            <w:tcBorders>
              <w:top w:val="single" w:sz="4" w:space="0" w:color="auto"/>
              <w:left w:val="single" w:sz="4" w:space="0" w:color="auto"/>
              <w:bottom w:val="single" w:sz="4" w:space="0" w:color="auto"/>
              <w:right w:val="single" w:sz="4" w:space="0" w:color="auto"/>
            </w:tcBorders>
            <w:hideMark/>
          </w:tcPr>
          <w:p w14:paraId="652048AA" w14:textId="77777777" w:rsidR="00CA0334" w:rsidRDefault="00CA0334" w:rsidP="00BD1F8C">
            <w:pPr>
              <w:pStyle w:val="TAN"/>
              <w:rPr>
                <w:lang w:val="en-US"/>
              </w:rPr>
            </w:pPr>
            <w:r>
              <w:rPr>
                <w:lang w:val="en-US"/>
              </w:rPr>
              <w:t>NOTE 1:</w:t>
            </w:r>
            <w:r>
              <w:rPr>
                <w:lang w:val="en-US"/>
              </w:rPr>
              <w:tab/>
              <w:t xml:space="preserve">For </w:t>
            </w:r>
            <w:r>
              <w:rPr>
                <w:i/>
                <w:lang w:val="en-US"/>
              </w:rPr>
              <w:t>non-contiguous spectrum</w:t>
            </w:r>
            <w:r>
              <w:rPr>
                <w:lang w:val="en-US"/>
              </w:rPr>
              <w:t xml:space="preserve"> operation within any </w:t>
            </w:r>
            <w:r>
              <w:rPr>
                <w:i/>
                <w:lang w:val="en-US"/>
              </w:rPr>
              <w:t>operating band</w:t>
            </w:r>
            <w:r>
              <w:rPr>
                <w:lang w:val="en-US"/>
              </w:rPr>
              <w:t xml:space="preserve"> the </w:t>
            </w:r>
            <w:r>
              <w:rPr>
                <w:iCs/>
                <w:lang w:val="en-US"/>
              </w:rPr>
              <w:t>limit</w:t>
            </w:r>
            <w:r>
              <w:rPr>
                <w:i/>
                <w:iCs/>
                <w:lang w:val="en-US"/>
              </w:rPr>
              <w:t xml:space="preserve"> </w:t>
            </w:r>
            <w:r>
              <w:rPr>
                <w:lang w:val="en-US"/>
              </w:rPr>
              <w:t xml:space="preserve">within </w:t>
            </w:r>
            <w:r>
              <w:rPr>
                <w:i/>
                <w:lang w:val="en-US"/>
              </w:rPr>
              <w:t>sub-block gaps</w:t>
            </w:r>
            <w:r>
              <w:rPr>
                <w:lang w:val="en-US"/>
              </w:rPr>
              <w:t xml:space="preserve"> is calculated as a cumulative sum of contributions from adjacent </w:t>
            </w:r>
            <w:r>
              <w:rPr>
                <w:i/>
                <w:lang w:val="en-US"/>
              </w:rPr>
              <w:t>sub-blocks</w:t>
            </w:r>
            <w:r>
              <w:rPr>
                <w:lang w:val="en-US"/>
              </w:rPr>
              <w:t xml:space="preserve"> on each side of the </w:t>
            </w:r>
            <w:r>
              <w:rPr>
                <w:i/>
                <w:lang w:val="en-US"/>
              </w:rPr>
              <w:t>sub-block gap</w:t>
            </w:r>
            <w:r>
              <w:rPr>
                <w:lang w:val="en-US"/>
              </w:rPr>
              <w:t>.</w:t>
            </w:r>
          </w:p>
        </w:tc>
      </w:tr>
    </w:tbl>
    <w:p w14:paraId="201B3DA1" w14:textId="77777777" w:rsidR="00CA0334" w:rsidRDefault="00CA0334" w:rsidP="00CA0334"/>
    <w:p w14:paraId="501813E4" w14:textId="77777777" w:rsidR="00CA0334" w:rsidRDefault="00CA0334" w:rsidP="00CA0334">
      <w:pPr>
        <w:pStyle w:val="Heading5"/>
      </w:pPr>
      <w:bookmarkStart w:id="5597" w:name="_Toc45893666"/>
      <w:bookmarkStart w:id="5598" w:name="_Toc44712353"/>
      <w:bookmarkStart w:id="5599" w:name="_Toc37267750"/>
      <w:bookmarkStart w:id="5600" w:name="_Toc37260362"/>
      <w:bookmarkStart w:id="5601" w:name="_Toc36817440"/>
      <w:bookmarkStart w:id="5602" w:name="_Toc29811888"/>
      <w:bookmarkStart w:id="5603" w:name="_Toc21127679"/>
      <w:bookmarkStart w:id="5604" w:name="_Toc53185505"/>
      <w:bookmarkStart w:id="5605" w:name="_Toc53185881"/>
      <w:bookmarkStart w:id="5606" w:name="_Toc57820367"/>
      <w:bookmarkStart w:id="5607" w:name="_Toc57821294"/>
      <w:bookmarkStart w:id="5608" w:name="_Toc61183570"/>
      <w:bookmarkStart w:id="5609" w:name="_Toc61183964"/>
      <w:bookmarkStart w:id="5610" w:name="_Toc61184356"/>
      <w:bookmarkStart w:id="5611" w:name="_Toc61184748"/>
      <w:bookmarkStart w:id="5612" w:name="_Toc61185138"/>
      <w:bookmarkStart w:id="5613" w:name="_Toc66386482"/>
      <w:bookmarkStart w:id="5614" w:name="_Toc74583385"/>
      <w:bookmarkStart w:id="5615" w:name="_Toc76542198"/>
      <w:bookmarkStart w:id="5616" w:name="_Toc82450180"/>
      <w:bookmarkStart w:id="5617" w:name="_Toc82450828"/>
      <w:bookmarkStart w:id="5618" w:name="_Toc89949217"/>
      <w:bookmarkStart w:id="5619" w:name="_Toc98755606"/>
      <w:bookmarkStart w:id="5620" w:name="_Toc98763198"/>
      <w:bookmarkStart w:id="5621" w:name="_Toc106184127"/>
      <w:r>
        <w:t>9.7.4.5.3</w:t>
      </w:r>
      <w:r>
        <w:tab/>
        <w:t xml:space="preserve">OTA </w:t>
      </w:r>
      <w:r>
        <w:rPr>
          <w:rFonts w:eastAsia="Malgun Gothic"/>
        </w:rPr>
        <w:t>operating band unwanted emission limits (Category B)</w:t>
      </w:r>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p>
    <w:p w14:paraId="46BFF9D4" w14:textId="77777777" w:rsidR="00CA0334" w:rsidRDefault="00CA0334" w:rsidP="00CA0334">
      <w:pPr>
        <w:keepNext/>
        <w:rPr>
          <w:rFonts w:cs="v5.0.0"/>
        </w:rPr>
      </w:pPr>
      <w:r>
        <w:rPr>
          <w:rFonts w:cs="v5.0.0"/>
        </w:rPr>
        <w:t>IAB-DU and IAB-MT unwanted emissions shall not exceed the maximum levels specified in table 9.7.4.5.3</w:t>
      </w:r>
      <w:r>
        <w:rPr>
          <w:rFonts w:cs="v5.0.0"/>
        </w:rPr>
        <w:noBreakHyphen/>
        <w:t>1 or 9.7.4.5.3-2.</w:t>
      </w:r>
    </w:p>
    <w:p w14:paraId="4DE0185A" w14:textId="77777777" w:rsidR="00CA0334" w:rsidRDefault="00CA0334" w:rsidP="00CA0334">
      <w:pPr>
        <w:pStyle w:val="TH"/>
      </w:pPr>
      <w:r>
        <w:t>Table 9.7.4.5.3-1: OBUE limits applicable in the frequency range 24.25 – 33.4 GHz</w:t>
      </w:r>
    </w:p>
    <w:tbl>
      <w:tblPr>
        <w:tblW w:w="847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552"/>
        <w:gridCol w:w="2551"/>
        <w:gridCol w:w="1560"/>
      </w:tblGrid>
      <w:tr w:rsidR="00CA0334" w14:paraId="1634D924"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29130279" w14:textId="77777777" w:rsidR="00CA0334" w:rsidRDefault="00CA0334" w:rsidP="00BD1F8C">
            <w:pPr>
              <w:pStyle w:val="TAH"/>
              <w:rPr>
                <w:lang w:val="en-US"/>
              </w:rPr>
            </w:pPr>
            <w:r>
              <w:rPr>
                <w:lang w:val="en-US"/>
              </w:rPr>
              <w:t xml:space="preserve">Frequency offset of measurement filter -3 dB point,  </w:t>
            </w:r>
            <w:r>
              <w:rPr>
                <w:rFonts w:cs="v5.0.0"/>
              </w:rPr>
              <w:sym w:font="Symbol" w:char="F044"/>
            </w:r>
            <w:r>
              <w:rPr>
                <w:rFonts w:cs="v5.0.0"/>
              </w:rPr>
              <w:t>f</w:t>
            </w:r>
            <w:r>
              <w:t xml:space="preserve"> </w:t>
            </w:r>
          </w:p>
        </w:tc>
        <w:tc>
          <w:tcPr>
            <w:tcW w:w="2552" w:type="dxa"/>
            <w:tcBorders>
              <w:top w:val="single" w:sz="4" w:space="0" w:color="auto"/>
              <w:left w:val="single" w:sz="4" w:space="0" w:color="auto"/>
              <w:bottom w:val="single" w:sz="4" w:space="0" w:color="auto"/>
              <w:right w:val="single" w:sz="4" w:space="0" w:color="auto"/>
            </w:tcBorders>
            <w:hideMark/>
          </w:tcPr>
          <w:p w14:paraId="5952A443" w14:textId="77777777" w:rsidR="00CA0334" w:rsidRDefault="00CA0334" w:rsidP="00BD1F8C">
            <w:pPr>
              <w:pStyle w:val="TAH"/>
              <w:rPr>
                <w:lang w:val="en-US"/>
              </w:rPr>
            </w:pPr>
            <w:r>
              <w:rPr>
                <w:rFonts w:cs="v5.0.0"/>
              </w:rPr>
              <w:t>Frequency offset of measurement filter centre frequency, f_offset</w:t>
            </w:r>
          </w:p>
        </w:tc>
        <w:tc>
          <w:tcPr>
            <w:tcW w:w="2551" w:type="dxa"/>
            <w:tcBorders>
              <w:top w:val="single" w:sz="4" w:space="0" w:color="auto"/>
              <w:left w:val="single" w:sz="4" w:space="0" w:color="auto"/>
              <w:bottom w:val="single" w:sz="4" w:space="0" w:color="auto"/>
              <w:right w:val="single" w:sz="4" w:space="0" w:color="auto"/>
            </w:tcBorders>
            <w:hideMark/>
          </w:tcPr>
          <w:p w14:paraId="5274830B" w14:textId="77777777" w:rsidR="00CA0334" w:rsidRDefault="00CA0334" w:rsidP="00BD1F8C">
            <w:pPr>
              <w:pStyle w:val="TAH"/>
              <w:rPr>
                <w:lang w:val="en-US"/>
              </w:rPr>
            </w:pPr>
            <w:r>
              <w:rPr>
                <w:lang w:val="en-US"/>
              </w:rPr>
              <w:t>Limit</w:t>
            </w:r>
          </w:p>
        </w:tc>
        <w:tc>
          <w:tcPr>
            <w:tcW w:w="1560" w:type="dxa"/>
            <w:tcBorders>
              <w:top w:val="single" w:sz="4" w:space="0" w:color="auto"/>
              <w:left w:val="single" w:sz="4" w:space="0" w:color="auto"/>
              <w:bottom w:val="single" w:sz="4" w:space="0" w:color="auto"/>
              <w:right w:val="single" w:sz="4" w:space="0" w:color="auto"/>
            </w:tcBorders>
            <w:hideMark/>
          </w:tcPr>
          <w:p w14:paraId="5AD41BA1" w14:textId="77777777" w:rsidR="00CA0334" w:rsidRDefault="00CA0334" w:rsidP="00BD1F8C">
            <w:pPr>
              <w:pStyle w:val="TAH"/>
              <w:rPr>
                <w:i/>
                <w:lang w:val="en-US"/>
              </w:rPr>
            </w:pPr>
            <w:r>
              <w:rPr>
                <w:i/>
                <w:lang w:val="en-US"/>
              </w:rPr>
              <w:t>Measurement bandwidth</w:t>
            </w:r>
          </w:p>
        </w:tc>
      </w:tr>
      <w:tr w:rsidR="00CA0334" w14:paraId="07780CE7"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047AF1E7" w14:textId="77777777" w:rsidR="00CA0334" w:rsidRDefault="00CA0334" w:rsidP="00BD1F8C">
            <w:pPr>
              <w:pStyle w:val="TAC"/>
              <w:rPr>
                <w:lang w:val="en-US"/>
              </w:rPr>
            </w:pPr>
            <w:r>
              <w:rPr>
                <w:lang w:val="en-US"/>
              </w:rPr>
              <w:t>0 MHz</w:t>
            </w:r>
            <w:r>
              <w:rPr>
                <w:rFonts w:cs="Arial"/>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kern w:val="2"/>
                <w:szCs w:val="22"/>
                <w:lang w:val="en-US" w:eastAsia="zh-CN"/>
              </w:rPr>
              <w:t>0.1</w:t>
            </w:r>
            <w:r>
              <w:rPr>
                <w:rFonts w:cs="Arial"/>
                <w:kern w:val="2"/>
                <w:szCs w:val="22"/>
                <w:lang w:val="en-US" w:eastAsia="zh-CN"/>
              </w:rPr>
              <w:t>*</w:t>
            </w:r>
            <w:r>
              <w:t>BW</w:t>
            </w:r>
            <w:r>
              <w:rPr>
                <w:vertAlign w:val="subscript"/>
              </w:rPr>
              <w:t>contiguous</w:t>
            </w:r>
          </w:p>
        </w:tc>
        <w:tc>
          <w:tcPr>
            <w:tcW w:w="2552" w:type="dxa"/>
            <w:tcBorders>
              <w:top w:val="single" w:sz="4" w:space="0" w:color="auto"/>
              <w:left w:val="single" w:sz="4" w:space="0" w:color="auto"/>
              <w:bottom w:val="single" w:sz="4" w:space="0" w:color="auto"/>
              <w:right w:val="single" w:sz="4" w:space="0" w:color="auto"/>
            </w:tcBorders>
            <w:hideMark/>
          </w:tcPr>
          <w:p w14:paraId="7B9EEAC1" w14:textId="77777777" w:rsidR="00CA0334" w:rsidRDefault="00CA0334" w:rsidP="00BD1F8C">
            <w:pPr>
              <w:pStyle w:val="TAC"/>
              <w:rPr>
                <w:rFonts w:eastAsia="MS Mincho"/>
                <w:lang w:val="en-US"/>
              </w:rPr>
            </w:pPr>
            <w:r>
              <w:rPr>
                <w:rFonts w:cs="v5.0.0"/>
              </w:rPr>
              <w:t xml:space="preserve">0.5 MHz </w:t>
            </w:r>
            <w:r>
              <w:rPr>
                <w:rFonts w:cs="v5.0.0"/>
              </w:rPr>
              <w:sym w:font="Symbol" w:char="F0A3"/>
            </w:r>
            <w:r>
              <w:rPr>
                <w:rFonts w:cs="v5.0.0"/>
              </w:rPr>
              <w:t xml:space="preserve"> f_offset &lt; </w:t>
            </w:r>
            <w:r>
              <w:rPr>
                <w:kern w:val="2"/>
                <w:szCs w:val="22"/>
                <w:lang w:eastAsia="zh-CN"/>
              </w:rPr>
              <w:t>0.1*</w:t>
            </w:r>
            <w:r>
              <w:rPr>
                <w:lang w:eastAsia="ja-JP"/>
              </w:rPr>
              <w:t xml:space="preserve"> BW</w:t>
            </w:r>
            <w:r>
              <w:rPr>
                <w:vertAlign w:val="subscript"/>
                <w:lang w:eastAsia="ja-JP"/>
              </w:rPr>
              <w:t xml:space="preserve">contiguous </w:t>
            </w:r>
            <w:r>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1AA0E507" w14:textId="77777777" w:rsidR="00CA0334" w:rsidRDefault="00CA0334" w:rsidP="00BD1F8C">
            <w:pPr>
              <w:pStyle w:val="TAC"/>
              <w:rPr>
                <w:lang w:val="en-US"/>
              </w:rPr>
            </w:pPr>
            <w:r>
              <w:rPr>
                <w:rFonts w:eastAsia="MS Mincho"/>
                <w:lang w:val="en-US"/>
              </w:rPr>
              <w:t>Min(-5 dBm, Max(</w:t>
            </w:r>
            <w:r>
              <w:rPr>
                <w:lang w:val="en-US"/>
              </w:rPr>
              <w:t>P</w:t>
            </w:r>
            <w:r>
              <w:rPr>
                <w:vertAlign w:val="subscript"/>
                <w:lang w:val="en-US"/>
              </w:rPr>
              <w:t>rated,t,TRP</w:t>
            </w:r>
            <w:r>
              <w:rPr>
                <w:rFonts w:eastAsia="MS Mincho"/>
                <w:lang w:val="en-US"/>
              </w:rPr>
              <w:t xml:space="preserve"> – 35 dB, -12 dBm))</w:t>
            </w:r>
          </w:p>
        </w:tc>
        <w:tc>
          <w:tcPr>
            <w:tcW w:w="1560" w:type="dxa"/>
            <w:tcBorders>
              <w:top w:val="single" w:sz="4" w:space="0" w:color="auto"/>
              <w:left w:val="single" w:sz="4" w:space="0" w:color="auto"/>
              <w:bottom w:val="single" w:sz="4" w:space="0" w:color="auto"/>
              <w:right w:val="single" w:sz="4" w:space="0" w:color="auto"/>
            </w:tcBorders>
            <w:hideMark/>
          </w:tcPr>
          <w:p w14:paraId="297EFB36" w14:textId="77777777" w:rsidR="00CA0334" w:rsidRDefault="00CA0334" w:rsidP="00BD1F8C">
            <w:pPr>
              <w:pStyle w:val="TAC"/>
              <w:rPr>
                <w:lang w:val="en-US"/>
              </w:rPr>
            </w:pPr>
            <w:r>
              <w:rPr>
                <w:lang w:val="en-US"/>
              </w:rPr>
              <w:t>1 MHz</w:t>
            </w:r>
          </w:p>
        </w:tc>
      </w:tr>
      <w:tr w:rsidR="00CA0334" w14:paraId="73AE969C"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2393BBEF" w14:textId="77777777" w:rsidR="00CA0334" w:rsidRDefault="00CA0334" w:rsidP="00BD1F8C">
            <w:pPr>
              <w:pStyle w:val="TAC"/>
              <w:rPr>
                <w:lang w:val="en-US"/>
              </w:rPr>
            </w:pPr>
            <w:r>
              <w:rPr>
                <w:kern w:val="2"/>
                <w:szCs w:val="22"/>
                <w:lang w:val="en-US" w:eastAsia="zh-CN"/>
              </w:rPr>
              <w:t>0.1</w:t>
            </w:r>
            <w:r>
              <w:rPr>
                <w:rFonts w:cs="Arial"/>
                <w:kern w:val="2"/>
                <w:szCs w:val="22"/>
                <w:lang w:val="en-US" w:eastAsia="zh-CN"/>
              </w:rPr>
              <w:t>*</w:t>
            </w:r>
            <w:r>
              <w:t>BW</w:t>
            </w:r>
            <w:r>
              <w:rPr>
                <w:vertAlign w:val="subscript"/>
              </w:rPr>
              <w:t>contiguous</w:t>
            </w:r>
            <w:r>
              <w:rPr>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rFonts w:cs="v5.0.0"/>
              </w:rPr>
              <w:sym w:font="Symbol" w:char="F044"/>
            </w:r>
            <w:r>
              <w:rPr>
                <w:rFonts w:cs="v5.0.0"/>
              </w:rPr>
              <w:t>f</w:t>
            </w:r>
            <w:r>
              <w:rPr>
                <w:rFonts w:cs="v5.0.0"/>
                <w:vertAlign w:val="subscript"/>
              </w:rPr>
              <w:t>B</w:t>
            </w:r>
          </w:p>
        </w:tc>
        <w:tc>
          <w:tcPr>
            <w:tcW w:w="2552" w:type="dxa"/>
            <w:tcBorders>
              <w:top w:val="single" w:sz="4" w:space="0" w:color="auto"/>
              <w:left w:val="single" w:sz="4" w:space="0" w:color="auto"/>
              <w:bottom w:val="single" w:sz="4" w:space="0" w:color="auto"/>
              <w:right w:val="single" w:sz="4" w:space="0" w:color="auto"/>
            </w:tcBorders>
            <w:hideMark/>
          </w:tcPr>
          <w:p w14:paraId="759D7445" w14:textId="77777777" w:rsidR="00CA0334" w:rsidRDefault="00CA0334" w:rsidP="00BD1F8C">
            <w:pPr>
              <w:pStyle w:val="TAC"/>
              <w:rPr>
                <w:rFonts w:eastAsia="MS Mincho"/>
                <w:lang w:val="en-US"/>
              </w:rPr>
            </w:pPr>
            <w:r>
              <w:rPr>
                <w:kern w:val="2"/>
                <w:szCs w:val="22"/>
                <w:lang w:eastAsia="zh-CN"/>
              </w:rPr>
              <w:t>0.1*</w:t>
            </w:r>
            <w:r>
              <w:rPr>
                <w:lang w:eastAsia="ja-JP"/>
              </w:rPr>
              <w:t xml:space="preserve"> BW</w:t>
            </w:r>
            <w:r>
              <w:rPr>
                <w:vertAlign w:val="subscript"/>
                <w:lang w:eastAsia="ja-JP"/>
              </w:rPr>
              <w:t xml:space="preserve">contiguous </w:t>
            </w:r>
            <w:r>
              <w:rPr>
                <w:kern w:val="2"/>
                <w:szCs w:val="22"/>
              </w:rPr>
              <w:t>+0.5 MHz</w:t>
            </w:r>
            <w:r>
              <w:rPr>
                <w:rFonts w:cs="v5.0.0"/>
              </w:rPr>
              <w:t xml:space="preserve"> </w:t>
            </w:r>
            <w:r>
              <w:rPr>
                <w:rFonts w:cs="v5.0.0"/>
              </w:rPr>
              <w:sym w:font="Symbol" w:char="F0A3"/>
            </w:r>
            <w:r>
              <w:rPr>
                <w:rFonts w:cs="v5.0.0"/>
              </w:rPr>
              <w:t xml:space="preserve"> f_offset &lt; </w:t>
            </w:r>
            <w:r>
              <w:rPr>
                <w:rFonts w:cs="v5.0.0"/>
              </w:rPr>
              <w:sym w:font="Symbol" w:char="F044"/>
            </w:r>
            <w:r>
              <w:rPr>
                <w:rFonts w:cs="v5.0.0"/>
              </w:rPr>
              <w:t>f</w:t>
            </w:r>
            <w:r>
              <w:rPr>
                <w:rFonts w:cs="v5.0.0"/>
                <w:vertAlign w:val="subscript"/>
              </w:rPr>
              <w:t>B</w:t>
            </w:r>
            <w:r>
              <w:rPr>
                <w:vertAlign w:val="subscript"/>
                <w:lang w:eastAsia="ja-JP"/>
              </w:rPr>
              <w:t xml:space="preserve"> </w:t>
            </w:r>
            <w:r>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348280F7" w14:textId="77777777" w:rsidR="00CA0334" w:rsidRDefault="00CA0334" w:rsidP="00BD1F8C">
            <w:pPr>
              <w:pStyle w:val="TAC"/>
              <w:rPr>
                <w:lang w:val="en-US"/>
              </w:rPr>
            </w:pPr>
            <w:r>
              <w:rPr>
                <w:rFonts w:eastAsia="MS Mincho"/>
                <w:lang w:val="en-US"/>
              </w:rPr>
              <w:t>Min(-13 dBm, Max(</w:t>
            </w:r>
            <w:r>
              <w:rPr>
                <w:lang w:val="en-US"/>
              </w:rPr>
              <w:t>P</w:t>
            </w:r>
            <w:r>
              <w:rPr>
                <w:vertAlign w:val="subscript"/>
                <w:lang w:val="en-US"/>
              </w:rPr>
              <w:t>rated,t,TRP</w:t>
            </w:r>
            <w:r>
              <w:rPr>
                <w:rFonts w:eastAsia="MS Mincho"/>
                <w:lang w:val="en-US"/>
              </w:rPr>
              <w:t xml:space="preserve"> – 43 dB, -20 dBm))</w:t>
            </w:r>
          </w:p>
        </w:tc>
        <w:tc>
          <w:tcPr>
            <w:tcW w:w="1560" w:type="dxa"/>
            <w:tcBorders>
              <w:top w:val="single" w:sz="4" w:space="0" w:color="auto"/>
              <w:left w:val="single" w:sz="4" w:space="0" w:color="auto"/>
              <w:bottom w:val="single" w:sz="4" w:space="0" w:color="auto"/>
              <w:right w:val="single" w:sz="4" w:space="0" w:color="auto"/>
            </w:tcBorders>
            <w:hideMark/>
          </w:tcPr>
          <w:p w14:paraId="0D9A4DFD" w14:textId="77777777" w:rsidR="00CA0334" w:rsidRDefault="00CA0334" w:rsidP="00BD1F8C">
            <w:pPr>
              <w:pStyle w:val="TAC"/>
              <w:rPr>
                <w:lang w:val="en-US"/>
              </w:rPr>
            </w:pPr>
            <w:r>
              <w:rPr>
                <w:lang w:val="en-US"/>
              </w:rPr>
              <w:t>1 MHz</w:t>
            </w:r>
          </w:p>
        </w:tc>
      </w:tr>
      <w:tr w:rsidR="00CA0334" w14:paraId="6336FB94"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0BD4C541" w14:textId="77777777" w:rsidR="00CA0334" w:rsidRDefault="00CA0334" w:rsidP="00BD1F8C">
            <w:pPr>
              <w:pStyle w:val="TAC"/>
              <w:rPr>
                <w:kern w:val="2"/>
                <w:szCs w:val="22"/>
                <w:lang w:val="en-US" w:eastAsia="zh-CN"/>
              </w:rPr>
            </w:pPr>
            <w:r>
              <w:rPr>
                <w:rFonts w:cs="v5.0.0"/>
              </w:rPr>
              <w:sym w:font="Symbol" w:char="F044"/>
            </w:r>
            <w:r>
              <w:rPr>
                <w:rFonts w:cs="v5.0.0"/>
              </w:rPr>
              <w:t>f</w:t>
            </w:r>
            <w:r>
              <w:rPr>
                <w:rFonts w:cs="v5.0.0"/>
                <w:vertAlign w:val="subscript"/>
              </w:rPr>
              <w:t>B</w:t>
            </w:r>
            <w:r>
              <w:rPr>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rFonts w:cs="v5.0.0"/>
              </w:rPr>
              <w:sym w:font="Symbol" w:char="F044"/>
            </w:r>
            <w:r>
              <w:rPr>
                <w:rFonts w:cs="v5.0.0"/>
              </w:rPr>
              <w:t>f</w:t>
            </w:r>
            <w:r>
              <w:rPr>
                <w:rFonts w:cs="v5.0.0"/>
                <w:vertAlign w:val="subscript"/>
              </w:rPr>
              <w:t>max</w:t>
            </w:r>
          </w:p>
        </w:tc>
        <w:tc>
          <w:tcPr>
            <w:tcW w:w="2552" w:type="dxa"/>
            <w:tcBorders>
              <w:top w:val="single" w:sz="4" w:space="0" w:color="auto"/>
              <w:left w:val="single" w:sz="4" w:space="0" w:color="auto"/>
              <w:bottom w:val="single" w:sz="4" w:space="0" w:color="auto"/>
              <w:right w:val="single" w:sz="4" w:space="0" w:color="auto"/>
            </w:tcBorders>
            <w:hideMark/>
          </w:tcPr>
          <w:p w14:paraId="7C9FF559" w14:textId="77777777" w:rsidR="00CA0334" w:rsidRDefault="00CA0334" w:rsidP="00BD1F8C">
            <w:pPr>
              <w:pStyle w:val="TAC"/>
              <w:rPr>
                <w:kern w:val="2"/>
                <w:szCs w:val="22"/>
                <w:lang w:eastAsia="zh-CN"/>
              </w:rPr>
            </w:pPr>
            <w:r>
              <w:rPr>
                <w:rFonts w:cs="v5.0.0"/>
              </w:rPr>
              <w:sym w:font="Symbol" w:char="F044"/>
            </w:r>
            <w:r>
              <w:rPr>
                <w:rFonts w:cs="v5.0.0"/>
              </w:rPr>
              <w:t>f</w:t>
            </w:r>
            <w:r>
              <w:rPr>
                <w:rFonts w:cs="v5.0.0"/>
                <w:vertAlign w:val="subscript"/>
              </w:rPr>
              <w:t>B</w:t>
            </w:r>
            <w:r>
              <w:rPr>
                <w:vertAlign w:val="subscript"/>
                <w:lang w:eastAsia="ja-JP"/>
              </w:rPr>
              <w:t xml:space="preserve"> </w:t>
            </w:r>
            <w:r>
              <w:rPr>
                <w:kern w:val="2"/>
                <w:szCs w:val="22"/>
              </w:rPr>
              <w:t>+5 MHz</w:t>
            </w:r>
            <w:r>
              <w:rPr>
                <w:rFonts w:cs="v5.0.0"/>
              </w:rPr>
              <w:t xml:space="preserve"> </w:t>
            </w:r>
            <w:r>
              <w:rPr>
                <w:rFonts w:cs="v5.0.0"/>
              </w:rPr>
              <w:sym w:font="Symbol" w:char="F0A3"/>
            </w:r>
            <w:r>
              <w:rPr>
                <w:rFonts w:cs="v5.0.0"/>
              </w:rPr>
              <w:t xml:space="preserve"> f_offset &lt; </w:t>
            </w:r>
            <w:r>
              <w:rPr>
                <w:lang w:eastAsia="ja-JP"/>
              </w:rPr>
              <w:t>f_</w:t>
            </w:r>
            <w:r>
              <w:rPr>
                <w:rFonts w:cs="v5.0.0"/>
              </w:rPr>
              <w:t xml:space="preserve"> offset</w:t>
            </w:r>
            <w:r>
              <w:rPr>
                <w:rFonts w:cs="v5.0.0"/>
                <w:vertAlign w:val="subscript"/>
                <w:lang w:eastAsia="ja-JP"/>
              </w:rPr>
              <w:t>max</w:t>
            </w:r>
          </w:p>
        </w:tc>
        <w:tc>
          <w:tcPr>
            <w:tcW w:w="2551" w:type="dxa"/>
            <w:tcBorders>
              <w:top w:val="single" w:sz="4" w:space="0" w:color="auto"/>
              <w:left w:val="single" w:sz="4" w:space="0" w:color="auto"/>
              <w:bottom w:val="single" w:sz="4" w:space="0" w:color="auto"/>
              <w:right w:val="single" w:sz="4" w:space="0" w:color="auto"/>
            </w:tcBorders>
            <w:hideMark/>
          </w:tcPr>
          <w:p w14:paraId="1F945404" w14:textId="77777777" w:rsidR="00CA0334" w:rsidRDefault="00CA0334" w:rsidP="00BD1F8C">
            <w:pPr>
              <w:pStyle w:val="TAC"/>
              <w:rPr>
                <w:rFonts w:eastAsia="MS Mincho"/>
                <w:lang w:val="en-US"/>
              </w:rPr>
            </w:pPr>
            <w:r>
              <w:rPr>
                <w:rFonts w:eastAsia="MS Mincho"/>
                <w:lang w:val="en-US"/>
              </w:rPr>
              <w:t>Min(-5 dBm, Max(</w:t>
            </w:r>
            <w:r>
              <w:rPr>
                <w:lang w:val="en-US"/>
              </w:rPr>
              <w:t>P</w:t>
            </w:r>
            <w:r>
              <w:rPr>
                <w:vertAlign w:val="subscript"/>
                <w:lang w:val="en-US"/>
              </w:rPr>
              <w:t>rated,t,TRP</w:t>
            </w:r>
            <w:r>
              <w:rPr>
                <w:rFonts w:eastAsia="MS Mincho"/>
                <w:lang w:val="en-US"/>
              </w:rPr>
              <w:t xml:space="preserve"> – 33 dB, -10 dBm))</w:t>
            </w:r>
          </w:p>
        </w:tc>
        <w:tc>
          <w:tcPr>
            <w:tcW w:w="1560" w:type="dxa"/>
            <w:tcBorders>
              <w:top w:val="single" w:sz="4" w:space="0" w:color="auto"/>
              <w:left w:val="single" w:sz="4" w:space="0" w:color="auto"/>
              <w:bottom w:val="single" w:sz="4" w:space="0" w:color="auto"/>
              <w:right w:val="single" w:sz="4" w:space="0" w:color="auto"/>
            </w:tcBorders>
            <w:hideMark/>
          </w:tcPr>
          <w:p w14:paraId="1867DA86" w14:textId="77777777" w:rsidR="00CA0334" w:rsidRDefault="00CA0334" w:rsidP="00BD1F8C">
            <w:pPr>
              <w:pStyle w:val="TAC"/>
              <w:rPr>
                <w:lang w:val="en-US"/>
              </w:rPr>
            </w:pPr>
            <w:r>
              <w:rPr>
                <w:lang w:val="en-US"/>
              </w:rPr>
              <w:t>10 MHz</w:t>
            </w:r>
          </w:p>
        </w:tc>
      </w:tr>
      <w:tr w:rsidR="00CA0334" w:rsidRPr="00AB3358" w14:paraId="0751523D" w14:textId="77777777" w:rsidTr="00BD1F8C">
        <w:tc>
          <w:tcPr>
            <w:tcW w:w="8472" w:type="dxa"/>
            <w:gridSpan w:val="4"/>
            <w:tcBorders>
              <w:top w:val="single" w:sz="4" w:space="0" w:color="auto"/>
              <w:left w:val="single" w:sz="4" w:space="0" w:color="auto"/>
              <w:bottom w:val="single" w:sz="4" w:space="0" w:color="auto"/>
              <w:right w:val="single" w:sz="4" w:space="0" w:color="auto"/>
            </w:tcBorders>
            <w:hideMark/>
          </w:tcPr>
          <w:p w14:paraId="4F5E3FBF" w14:textId="77777777" w:rsidR="00CA0334" w:rsidRDefault="00CA0334" w:rsidP="00BD1F8C">
            <w:pPr>
              <w:pStyle w:val="TAN"/>
              <w:rPr>
                <w:lang w:val="en-US"/>
              </w:rPr>
            </w:pPr>
            <w:r>
              <w:rPr>
                <w:lang w:val="en-US"/>
              </w:rPr>
              <w:t>NOTE 1:</w:t>
            </w:r>
            <w:r>
              <w:rPr>
                <w:lang w:val="en-US"/>
              </w:rPr>
              <w:tab/>
              <w:t xml:space="preserve">For non-contiguous spectrum operation within any </w:t>
            </w:r>
            <w:r>
              <w:rPr>
                <w:i/>
                <w:lang w:val="en-US"/>
              </w:rPr>
              <w:t>operating band</w:t>
            </w:r>
            <w:r>
              <w:rPr>
                <w:lang w:val="en-US"/>
              </w:rPr>
              <w:t xml:space="preserve"> the </w:t>
            </w:r>
            <w:r>
              <w:rPr>
                <w:iCs/>
                <w:lang w:val="en-US"/>
              </w:rPr>
              <w:t>limit</w:t>
            </w:r>
            <w:r>
              <w:rPr>
                <w:i/>
                <w:iCs/>
                <w:lang w:val="en-US"/>
              </w:rPr>
              <w:t xml:space="preserve"> </w:t>
            </w:r>
            <w:r>
              <w:rPr>
                <w:lang w:val="en-US"/>
              </w:rPr>
              <w:t xml:space="preserve">within sub-block gaps is calculated as a cumulative sum of contributions from adjacent sub-blocks on each side of the sub-block gap. </w:t>
            </w:r>
          </w:p>
          <w:p w14:paraId="6DC05A33" w14:textId="77777777" w:rsidR="00CA0334" w:rsidRDefault="00CA0334" w:rsidP="00BD1F8C">
            <w:pPr>
              <w:pStyle w:val="TAN"/>
              <w:rPr>
                <w:lang w:val="en-US"/>
              </w:rPr>
            </w:pPr>
            <w:r>
              <w:rPr>
                <w:lang w:val="en-US"/>
              </w:rPr>
              <w:t>NOTE 2:</w:t>
            </w:r>
            <w:r>
              <w:rPr>
                <w:lang w:val="en-US"/>
              </w:rPr>
              <w:tab/>
            </w:r>
            <w:r>
              <w:rPr>
                <w:rFonts w:cs="v5.0.0"/>
              </w:rPr>
              <w:sym w:font="Symbol" w:char="F044"/>
            </w:r>
            <w:r>
              <w:rPr>
                <w:rFonts w:cs="v5.0.0"/>
              </w:rPr>
              <w:t>f</w:t>
            </w:r>
            <w:r>
              <w:rPr>
                <w:rFonts w:cs="v5.0.0"/>
                <w:vertAlign w:val="subscript"/>
              </w:rPr>
              <w:t>B</w:t>
            </w:r>
            <w:r>
              <w:rPr>
                <w:lang w:val="en-US"/>
              </w:rPr>
              <w:t xml:space="preserve"> = 2</w:t>
            </w:r>
            <w:r>
              <w:rPr>
                <w:rFonts w:cs="Arial"/>
                <w:kern w:val="2"/>
                <w:szCs w:val="22"/>
                <w:lang w:val="en-US" w:eastAsia="zh-CN"/>
              </w:rPr>
              <w:t>*</w:t>
            </w:r>
            <w:r>
              <w:t>BW</w:t>
            </w:r>
            <w:r>
              <w:rPr>
                <w:vertAlign w:val="subscript"/>
              </w:rPr>
              <w:t xml:space="preserve">contiguous </w:t>
            </w:r>
            <w:r>
              <w:t>when BW</w:t>
            </w:r>
            <w:r>
              <w:rPr>
                <w:vertAlign w:val="subscript"/>
              </w:rPr>
              <w:t xml:space="preserve">contiguous </w:t>
            </w:r>
            <w:r>
              <w:t>≤ 500 MHz, otherwise</w:t>
            </w:r>
            <w:r>
              <w:rPr>
                <w:lang w:val="en-US"/>
              </w:rPr>
              <w:t xml:space="preserve"> </w:t>
            </w:r>
            <w:r>
              <w:rPr>
                <w:rFonts w:cs="v5.0.0"/>
              </w:rPr>
              <w:sym w:font="Symbol" w:char="F044"/>
            </w:r>
            <w:r>
              <w:rPr>
                <w:rFonts w:cs="v5.0.0"/>
              </w:rPr>
              <w:t>f</w:t>
            </w:r>
            <w:r>
              <w:rPr>
                <w:rFonts w:cs="v5.0.0"/>
                <w:vertAlign w:val="subscript"/>
              </w:rPr>
              <w:t>B</w:t>
            </w:r>
            <w:r>
              <w:rPr>
                <w:lang w:val="en-US"/>
              </w:rPr>
              <w:t xml:space="preserve"> = </w:t>
            </w:r>
            <w:r>
              <w:t>BW</w:t>
            </w:r>
            <w:r>
              <w:rPr>
                <w:vertAlign w:val="subscript"/>
              </w:rPr>
              <w:t xml:space="preserve">contiguous </w:t>
            </w:r>
            <w:r>
              <w:t>+ 500 MHz</w:t>
            </w:r>
            <w:r>
              <w:rPr>
                <w:lang w:val="en-US"/>
              </w:rPr>
              <w:t>.</w:t>
            </w:r>
          </w:p>
        </w:tc>
      </w:tr>
    </w:tbl>
    <w:p w14:paraId="55CC9D70" w14:textId="77777777" w:rsidR="00CA0334" w:rsidRDefault="00CA0334" w:rsidP="00CA0334"/>
    <w:p w14:paraId="25C0C321" w14:textId="77777777" w:rsidR="00CA0334" w:rsidRDefault="00CA0334" w:rsidP="00CA0334">
      <w:pPr>
        <w:pStyle w:val="TH"/>
      </w:pPr>
      <w:r>
        <w:lastRenderedPageBreak/>
        <w:t>Table 9.7.4.5.3-2: OBUE limits applicable in the frequency range 37 – 52.6 GHz</w:t>
      </w:r>
    </w:p>
    <w:tbl>
      <w:tblPr>
        <w:tblW w:w="847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552"/>
        <w:gridCol w:w="2551"/>
        <w:gridCol w:w="1560"/>
      </w:tblGrid>
      <w:tr w:rsidR="00CA0334" w14:paraId="41483884"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6F0AA2FA" w14:textId="77777777" w:rsidR="00CA0334" w:rsidRDefault="00CA0334" w:rsidP="00BD1F8C">
            <w:pPr>
              <w:pStyle w:val="TAH"/>
              <w:rPr>
                <w:lang w:val="en-US"/>
              </w:rPr>
            </w:pPr>
            <w:r>
              <w:rPr>
                <w:lang w:val="en-US"/>
              </w:rPr>
              <w:t xml:space="preserve">Frequency offset of measurement filter -3 dB point,  </w:t>
            </w:r>
            <w:r>
              <w:rPr>
                <w:rFonts w:cs="v5.0.0"/>
              </w:rPr>
              <w:sym w:font="Symbol" w:char="F044"/>
            </w:r>
            <w:r>
              <w:rPr>
                <w:rFonts w:cs="v5.0.0"/>
              </w:rPr>
              <w:t>f</w:t>
            </w:r>
          </w:p>
        </w:tc>
        <w:tc>
          <w:tcPr>
            <w:tcW w:w="2552" w:type="dxa"/>
            <w:tcBorders>
              <w:top w:val="single" w:sz="4" w:space="0" w:color="auto"/>
              <w:left w:val="single" w:sz="4" w:space="0" w:color="auto"/>
              <w:bottom w:val="single" w:sz="4" w:space="0" w:color="auto"/>
              <w:right w:val="single" w:sz="4" w:space="0" w:color="auto"/>
            </w:tcBorders>
            <w:hideMark/>
          </w:tcPr>
          <w:p w14:paraId="061B306F" w14:textId="77777777" w:rsidR="00CA0334" w:rsidRDefault="00CA0334" w:rsidP="00BD1F8C">
            <w:pPr>
              <w:pStyle w:val="TAH"/>
              <w:rPr>
                <w:lang w:val="en-US"/>
              </w:rPr>
            </w:pPr>
            <w:r>
              <w:rPr>
                <w:rFonts w:cs="v5.0.0"/>
              </w:rPr>
              <w:t>Frequency offset of measurement filter centre frequency, f_offset</w:t>
            </w:r>
          </w:p>
        </w:tc>
        <w:tc>
          <w:tcPr>
            <w:tcW w:w="2551" w:type="dxa"/>
            <w:tcBorders>
              <w:top w:val="single" w:sz="4" w:space="0" w:color="auto"/>
              <w:left w:val="single" w:sz="4" w:space="0" w:color="auto"/>
              <w:bottom w:val="single" w:sz="4" w:space="0" w:color="auto"/>
              <w:right w:val="single" w:sz="4" w:space="0" w:color="auto"/>
            </w:tcBorders>
            <w:hideMark/>
          </w:tcPr>
          <w:p w14:paraId="5C1DBD1B" w14:textId="77777777" w:rsidR="00CA0334" w:rsidRDefault="00CA0334" w:rsidP="00BD1F8C">
            <w:pPr>
              <w:pStyle w:val="TAH"/>
              <w:rPr>
                <w:lang w:val="en-US"/>
              </w:rPr>
            </w:pPr>
            <w:r>
              <w:rPr>
                <w:lang w:val="en-US"/>
              </w:rPr>
              <w:t>Limit</w:t>
            </w:r>
          </w:p>
        </w:tc>
        <w:tc>
          <w:tcPr>
            <w:tcW w:w="1560" w:type="dxa"/>
            <w:tcBorders>
              <w:top w:val="single" w:sz="4" w:space="0" w:color="auto"/>
              <w:left w:val="single" w:sz="4" w:space="0" w:color="auto"/>
              <w:bottom w:val="single" w:sz="4" w:space="0" w:color="auto"/>
              <w:right w:val="single" w:sz="4" w:space="0" w:color="auto"/>
            </w:tcBorders>
            <w:hideMark/>
          </w:tcPr>
          <w:p w14:paraId="7BECAA25" w14:textId="77777777" w:rsidR="00CA0334" w:rsidRDefault="00CA0334" w:rsidP="00BD1F8C">
            <w:pPr>
              <w:pStyle w:val="TAH"/>
              <w:rPr>
                <w:i/>
                <w:lang w:val="en-US"/>
              </w:rPr>
            </w:pPr>
            <w:r>
              <w:rPr>
                <w:i/>
                <w:lang w:val="en-US"/>
              </w:rPr>
              <w:t>Measurement bandwidth</w:t>
            </w:r>
          </w:p>
        </w:tc>
      </w:tr>
      <w:tr w:rsidR="00CA0334" w14:paraId="57722683"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0AACE929" w14:textId="77777777" w:rsidR="00CA0334" w:rsidRDefault="00CA0334" w:rsidP="00BD1F8C">
            <w:pPr>
              <w:pStyle w:val="TAC"/>
              <w:rPr>
                <w:lang w:val="en-US"/>
              </w:rPr>
            </w:pPr>
            <w:r>
              <w:rPr>
                <w:lang w:val="en-US"/>
              </w:rPr>
              <w:t>0 MHz</w:t>
            </w:r>
            <w:r>
              <w:rPr>
                <w:rFonts w:cs="Arial"/>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kern w:val="2"/>
                <w:szCs w:val="22"/>
                <w:lang w:val="en-US" w:eastAsia="zh-CN"/>
              </w:rPr>
              <w:t>0.1</w:t>
            </w:r>
            <w:r>
              <w:rPr>
                <w:rFonts w:cs="Arial"/>
                <w:kern w:val="2"/>
                <w:szCs w:val="22"/>
                <w:lang w:val="en-US" w:eastAsia="zh-CN"/>
              </w:rPr>
              <w:t>*</w:t>
            </w:r>
            <w:r>
              <w:t>BW</w:t>
            </w:r>
            <w:r>
              <w:rPr>
                <w:vertAlign w:val="subscript"/>
              </w:rPr>
              <w:t>contiguous</w:t>
            </w:r>
          </w:p>
        </w:tc>
        <w:tc>
          <w:tcPr>
            <w:tcW w:w="2552" w:type="dxa"/>
            <w:tcBorders>
              <w:top w:val="single" w:sz="4" w:space="0" w:color="auto"/>
              <w:left w:val="single" w:sz="4" w:space="0" w:color="auto"/>
              <w:bottom w:val="single" w:sz="4" w:space="0" w:color="auto"/>
              <w:right w:val="single" w:sz="4" w:space="0" w:color="auto"/>
            </w:tcBorders>
            <w:hideMark/>
          </w:tcPr>
          <w:p w14:paraId="26798F21" w14:textId="77777777" w:rsidR="00CA0334" w:rsidRDefault="00CA0334" w:rsidP="00BD1F8C">
            <w:pPr>
              <w:pStyle w:val="TAC"/>
              <w:rPr>
                <w:rFonts w:eastAsia="MS Mincho"/>
                <w:lang w:val="en-US"/>
              </w:rPr>
            </w:pPr>
            <w:r>
              <w:rPr>
                <w:rFonts w:cs="v5.0.0"/>
              </w:rPr>
              <w:t xml:space="preserve">0.5 MHz </w:t>
            </w:r>
            <w:r>
              <w:rPr>
                <w:rFonts w:cs="v5.0.0"/>
              </w:rPr>
              <w:sym w:font="Symbol" w:char="F0A3"/>
            </w:r>
            <w:r>
              <w:rPr>
                <w:rFonts w:cs="v5.0.0"/>
              </w:rPr>
              <w:t xml:space="preserve"> f_offset &lt; </w:t>
            </w:r>
            <w:r>
              <w:rPr>
                <w:kern w:val="2"/>
                <w:szCs w:val="22"/>
                <w:lang w:eastAsia="zh-CN"/>
              </w:rPr>
              <w:t>0.1*</w:t>
            </w:r>
            <w:r>
              <w:rPr>
                <w:lang w:eastAsia="ja-JP"/>
              </w:rPr>
              <w:t xml:space="preserve"> BW</w:t>
            </w:r>
            <w:r>
              <w:rPr>
                <w:vertAlign w:val="subscript"/>
                <w:lang w:eastAsia="ja-JP"/>
              </w:rPr>
              <w:t xml:space="preserve">contiguous </w:t>
            </w:r>
            <w:r>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2074B889" w14:textId="77777777" w:rsidR="00CA0334" w:rsidRDefault="00CA0334" w:rsidP="00BD1F8C">
            <w:pPr>
              <w:pStyle w:val="TAC"/>
              <w:rPr>
                <w:lang w:val="en-US"/>
              </w:rPr>
            </w:pPr>
            <w:r>
              <w:rPr>
                <w:rFonts w:eastAsia="MS Mincho"/>
                <w:lang w:val="en-US"/>
              </w:rPr>
              <w:t>Min(-5 dBm, Max(</w:t>
            </w:r>
            <w:r>
              <w:rPr>
                <w:lang w:val="en-US"/>
              </w:rPr>
              <w:t>P</w:t>
            </w:r>
            <w:r>
              <w:rPr>
                <w:vertAlign w:val="subscript"/>
                <w:lang w:val="en-US"/>
              </w:rPr>
              <w:t>rated,t,TRP</w:t>
            </w:r>
            <w:r>
              <w:rPr>
                <w:rFonts w:eastAsia="MS Mincho"/>
                <w:lang w:val="en-US"/>
              </w:rPr>
              <w:t xml:space="preserve"> – 33 dB, -12 dBm))</w:t>
            </w:r>
          </w:p>
        </w:tc>
        <w:tc>
          <w:tcPr>
            <w:tcW w:w="1560" w:type="dxa"/>
            <w:tcBorders>
              <w:top w:val="single" w:sz="4" w:space="0" w:color="auto"/>
              <w:left w:val="single" w:sz="4" w:space="0" w:color="auto"/>
              <w:bottom w:val="single" w:sz="4" w:space="0" w:color="auto"/>
              <w:right w:val="single" w:sz="4" w:space="0" w:color="auto"/>
            </w:tcBorders>
            <w:hideMark/>
          </w:tcPr>
          <w:p w14:paraId="38D8278D" w14:textId="77777777" w:rsidR="00CA0334" w:rsidRDefault="00CA0334" w:rsidP="00BD1F8C">
            <w:pPr>
              <w:pStyle w:val="TAC"/>
              <w:rPr>
                <w:lang w:val="en-US"/>
              </w:rPr>
            </w:pPr>
            <w:r>
              <w:rPr>
                <w:lang w:val="en-US"/>
              </w:rPr>
              <w:t>1 MHz</w:t>
            </w:r>
          </w:p>
        </w:tc>
      </w:tr>
      <w:tr w:rsidR="00CA0334" w14:paraId="47428355"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513C44B5" w14:textId="77777777" w:rsidR="00CA0334" w:rsidRDefault="00CA0334" w:rsidP="00BD1F8C">
            <w:pPr>
              <w:pStyle w:val="TAC"/>
              <w:rPr>
                <w:lang w:val="en-US"/>
              </w:rPr>
            </w:pPr>
            <w:r>
              <w:rPr>
                <w:kern w:val="2"/>
                <w:szCs w:val="22"/>
                <w:lang w:val="en-US" w:eastAsia="zh-CN"/>
              </w:rPr>
              <w:t>0.1</w:t>
            </w:r>
            <w:r>
              <w:rPr>
                <w:rFonts w:cs="Arial"/>
                <w:kern w:val="2"/>
                <w:szCs w:val="22"/>
                <w:lang w:val="en-US" w:eastAsia="zh-CN"/>
              </w:rPr>
              <w:t>*</w:t>
            </w:r>
            <w:r>
              <w:t>BW</w:t>
            </w:r>
            <w:r>
              <w:rPr>
                <w:vertAlign w:val="subscript"/>
              </w:rPr>
              <w:t>contiguous</w:t>
            </w:r>
            <w:r>
              <w:rPr>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rFonts w:cs="v5.0.0"/>
              </w:rPr>
              <w:sym w:font="Symbol" w:char="F044"/>
            </w:r>
            <w:r>
              <w:rPr>
                <w:rFonts w:cs="v5.0.0"/>
              </w:rPr>
              <w:t>f</w:t>
            </w:r>
            <w:r>
              <w:rPr>
                <w:rFonts w:cs="v5.0.0"/>
                <w:vertAlign w:val="subscript"/>
              </w:rPr>
              <w:t>B</w:t>
            </w:r>
          </w:p>
        </w:tc>
        <w:tc>
          <w:tcPr>
            <w:tcW w:w="2552" w:type="dxa"/>
            <w:tcBorders>
              <w:top w:val="single" w:sz="4" w:space="0" w:color="auto"/>
              <w:left w:val="single" w:sz="4" w:space="0" w:color="auto"/>
              <w:bottom w:val="single" w:sz="4" w:space="0" w:color="auto"/>
              <w:right w:val="single" w:sz="4" w:space="0" w:color="auto"/>
            </w:tcBorders>
            <w:hideMark/>
          </w:tcPr>
          <w:p w14:paraId="1024BAC9" w14:textId="77777777" w:rsidR="00CA0334" w:rsidRDefault="00CA0334" w:rsidP="00BD1F8C">
            <w:pPr>
              <w:pStyle w:val="TAC"/>
              <w:rPr>
                <w:rFonts w:eastAsia="MS Mincho"/>
                <w:lang w:val="en-US"/>
              </w:rPr>
            </w:pPr>
            <w:r>
              <w:rPr>
                <w:kern w:val="2"/>
                <w:szCs w:val="22"/>
                <w:lang w:eastAsia="zh-CN"/>
              </w:rPr>
              <w:t>0.1*</w:t>
            </w:r>
            <w:r>
              <w:rPr>
                <w:lang w:eastAsia="ja-JP"/>
              </w:rPr>
              <w:t xml:space="preserve"> BW</w:t>
            </w:r>
            <w:r>
              <w:rPr>
                <w:vertAlign w:val="subscript"/>
                <w:lang w:eastAsia="ja-JP"/>
              </w:rPr>
              <w:t xml:space="preserve">contiguous </w:t>
            </w:r>
            <w:r>
              <w:rPr>
                <w:kern w:val="2"/>
                <w:szCs w:val="22"/>
              </w:rPr>
              <w:t>+0.5 MHz</w:t>
            </w:r>
            <w:r>
              <w:rPr>
                <w:rFonts w:cs="v5.0.0"/>
              </w:rPr>
              <w:t xml:space="preserve"> </w:t>
            </w:r>
            <w:r>
              <w:rPr>
                <w:rFonts w:cs="v5.0.0"/>
              </w:rPr>
              <w:sym w:font="Symbol" w:char="F0A3"/>
            </w:r>
            <w:r>
              <w:rPr>
                <w:rFonts w:cs="v5.0.0"/>
              </w:rPr>
              <w:t xml:space="preserve"> f_offset &lt; </w:t>
            </w:r>
            <w:r>
              <w:rPr>
                <w:rFonts w:cs="v5.0.0"/>
              </w:rPr>
              <w:sym w:font="Symbol" w:char="F044"/>
            </w:r>
            <w:r>
              <w:rPr>
                <w:rFonts w:cs="v5.0.0"/>
              </w:rPr>
              <w:t>f</w:t>
            </w:r>
            <w:r>
              <w:rPr>
                <w:rFonts w:cs="v5.0.0"/>
                <w:vertAlign w:val="subscript"/>
              </w:rPr>
              <w:t>B</w:t>
            </w:r>
            <w:r>
              <w:rPr>
                <w:vertAlign w:val="subscript"/>
                <w:lang w:eastAsia="ja-JP"/>
              </w:rPr>
              <w:t xml:space="preserve"> </w:t>
            </w:r>
            <w:r>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6C1E5B20" w14:textId="77777777" w:rsidR="00CA0334" w:rsidRDefault="00CA0334" w:rsidP="00BD1F8C">
            <w:pPr>
              <w:pStyle w:val="TAC"/>
              <w:rPr>
                <w:lang w:val="en-US"/>
              </w:rPr>
            </w:pPr>
            <w:r>
              <w:rPr>
                <w:rFonts w:eastAsia="MS Mincho"/>
                <w:lang w:val="en-US"/>
              </w:rPr>
              <w:t>Min(-13 dBm, Max(</w:t>
            </w:r>
            <w:r>
              <w:rPr>
                <w:lang w:val="en-US"/>
              </w:rPr>
              <w:t>P</w:t>
            </w:r>
            <w:r>
              <w:rPr>
                <w:vertAlign w:val="subscript"/>
                <w:lang w:val="en-US"/>
              </w:rPr>
              <w:t>rated,t,TRP</w:t>
            </w:r>
            <w:r>
              <w:rPr>
                <w:rFonts w:eastAsia="MS Mincho"/>
                <w:lang w:val="en-US"/>
              </w:rPr>
              <w:t xml:space="preserve"> – 41 dB, -20 dBm))</w:t>
            </w:r>
          </w:p>
        </w:tc>
        <w:tc>
          <w:tcPr>
            <w:tcW w:w="1560" w:type="dxa"/>
            <w:tcBorders>
              <w:top w:val="single" w:sz="4" w:space="0" w:color="auto"/>
              <w:left w:val="single" w:sz="4" w:space="0" w:color="auto"/>
              <w:bottom w:val="single" w:sz="4" w:space="0" w:color="auto"/>
              <w:right w:val="single" w:sz="4" w:space="0" w:color="auto"/>
            </w:tcBorders>
            <w:hideMark/>
          </w:tcPr>
          <w:p w14:paraId="639ADDF9" w14:textId="77777777" w:rsidR="00CA0334" w:rsidRDefault="00CA0334" w:rsidP="00BD1F8C">
            <w:pPr>
              <w:pStyle w:val="TAC"/>
              <w:rPr>
                <w:lang w:val="en-US"/>
              </w:rPr>
            </w:pPr>
            <w:r>
              <w:rPr>
                <w:lang w:val="en-US"/>
              </w:rPr>
              <w:t>1 MHz</w:t>
            </w:r>
          </w:p>
        </w:tc>
      </w:tr>
      <w:tr w:rsidR="00CA0334" w14:paraId="51B0706B" w14:textId="77777777" w:rsidTr="00BD1F8C">
        <w:tc>
          <w:tcPr>
            <w:tcW w:w="1809" w:type="dxa"/>
            <w:tcBorders>
              <w:top w:val="single" w:sz="4" w:space="0" w:color="auto"/>
              <w:left w:val="single" w:sz="4" w:space="0" w:color="auto"/>
              <w:bottom w:val="single" w:sz="4" w:space="0" w:color="auto"/>
              <w:right w:val="single" w:sz="4" w:space="0" w:color="auto"/>
            </w:tcBorders>
            <w:hideMark/>
          </w:tcPr>
          <w:p w14:paraId="5DB5209B" w14:textId="77777777" w:rsidR="00CA0334" w:rsidRDefault="00CA0334" w:rsidP="00BD1F8C">
            <w:pPr>
              <w:pStyle w:val="TAC"/>
              <w:rPr>
                <w:kern w:val="2"/>
                <w:szCs w:val="22"/>
                <w:lang w:val="en-US" w:eastAsia="zh-CN"/>
              </w:rPr>
            </w:pPr>
            <w:r>
              <w:rPr>
                <w:rFonts w:cs="v5.0.0"/>
              </w:rPr>
              <w:sym w:font="Symbol" w:char="F044"/>
            </w:r>
            <w:r>
              <w:rPr>
                <w:rFonts w:cs="v5.0.0"/>
              </w:rPr>
              <w:t>f</w:t>
            </w:r>
            <w:r>
              <w:rPr>
                <w:rFonts w:cs="v5.0.0"/>
                <w:vertAlign w:val="subscript"/>
              </w:rPr>
              <w:t>B</w:t>
            </w:r>
            <w:r>
              <w:rPr>
                <w:lang w:val="en-US"/>
              </w:rPr>
              <w:t xml:space="preserve"> </w:t>
            </w:r>
            <w:r>
              <w:rPr>
                <w:lang w:val="en-US"/>
              </w:rPr>
              <w:sym w:font="Symbol" w:char="F0A3"/>
            </w:r>
            <w:r>
              <w:rPr>
                <w:lang w:val="en-US"/>
              </w:rPr>
              <w:t xml:space="preserve"> </w:t>
            </w:r>
            <w:r>
              <w:rPr>
                <w:rFonts w:cs="v5.0.0"/>
              </w:rPr>
              <w:sym w:font="Symbol" w:char="F044"/>
            </w:r>
            <w:r>
              <w:rPr>
                <w:rFonts w:cs="v5.0.0"/>
              </w:rPr>
              <w:t>f</w:t>
            </w:r>
            <w:r>
              <w:rPr>
                <w:lang w:val="en-US"/>
              </w:rPr>
              <w:t xml:space="preserve"> &lt; </w:t>
            </w:r>
            <w:r>
              <w:rPr>
                <w:rFonts w:cs="v5.0.0"/>
              </w:rPr>
              <w:sym w:font="Symbol" w:char="F044"/>
            </w:r>
            <w:r>
              <w:rPr>
                <w:rFonts w:cs="v5.0.0"/>
              </w:rPr>
              <w:t>f</w:t>
            </w:r>
            <w:r>
              <w:rPr>
                <w:rFonts w:cs="v5.0.0"/>
                <w:vertAlign w:val="subscript"/>
              </w:rPr>
              <w:t>max</w:t>
            </w:r>
          </w:p>
        </w:tc>
        <w:tc>
          <w:tcPr>
            <w:tcW w:w="2552" w:type="dxa"/>
            <w:tcBorders>
              <w:top w:val="single" w:sz="4" w:space="0" w:color="auto"/>
              <w:left w:val="single" w:sz="4" w:space="0" w:color="auto"/>
              <w:bottom w:val="single" w:sz="4" w:space="0" w:color="auto"/>
              <w:right w:val="single" w:sz="4" w:space="0" w:color="auto"/>
            </w:tcBorders>
            <w:hideMark/>
          </w:tcPr>
          <w:p w14:paraId="08B0B427" w14:textId="77777777" w:rsidR="00CA0334" w:rsidRDefault="00CA0334" w:rsidP="00BD1F8C">
            <w:pPr>
              <w:pStyle w:val="TAC"/>
              <w:rPr>
                <w:kern w:val="2"/>
                <w:szCs w:val="22"/>
                <w:lang w:eastAsia="zh-CN"/>
              </w:rPr>
            </w:pPr>
            <w:r>
              <w:rPr>
                <w:rFonts w:cs="v5.0.0"/>
              </w:rPr>
              <w:sym w:font="Symbol" w:char="F044"/>
            </w:r>
            <w:r>
              <w:rPr>
                <w:rFonts w:cs="v5.0.0"/>
              </w:rPr>
              <w:t>f</w:t>
            </w:r>
            <w:r>
              <w:rPr>
                <w:rFonts w:cs="v5.0.0"/>
                <w:vertAlign w:val="subscript"/>
              </w:rPr>
              <w:t>B</w:t>
            </w:r>
            <w:r>
              <w:rPr>
                <w:vertAlign w:val="subscript"/>
                <w:lang w:eastAsia="ja-JP"/>
              </w:rPr>
              <w:t xml:space="preserve"> </w:t>
            </w:r>
            <w:r>
              <w:rPr>
                <w:kern w:val="2"/>
                <w:szCs w:val="22"/>
              </w:rPr>
              <w:t>+5 MHz</w:t>
            </w:r>
            <w:r>
              <w:rPr>
                <w:rFonts w:cs="v5.0.0"/>
              </w:rPr>
              <w:t xml:space="preserve"> </w:t>
            </w:r>
            <w:r>
              <w:rPr>
                <w:rFonts w:cs="v5.0.0"/>
              </w:rPr>
              <w:sym w:font="Symbol" w:char="F0A3"/>
            </w:r>
            <w:r>
              <w:rPr>
                <w:rFonts w:cs="v5.0.0"/>
              </w:rPr>
              <w:t xml:space="preserve"> f_offset &lt; </w:t>
            </w:r>
            <w:r>
              <w:rPr>
                <w:lang w:eastAsia="ja-JP"/>
              </w:rPr>
              <w:t>f_</w:t>
            </w:r>
            <w:r>
              <w:rPr>
                <w:rFonts w:cs="v5.0.0"/>
              </w:rPr>
              <w:t xml:space="preserve"> offset</w:t>
            </w:r>
            <w:r>
              <w:rPr>
                <w:rFonts w:cs="v5.0.0"/>
                <w:vertAlign w:val="subscript"/>
                <w:lang w:eastAsia="ja-JP"/>
              </w:rPr>
              <w:t>max</w:t>
            </w:r>
          </w:p>
        </w:tc>
        <w:tc>
          <w:tcPr>
            <w:tcW w:w="2551" w:type="dxa"/>
            <w:tcBorders>
              <w:top w:val="single" w:sz="4" w:space="0" w:color="auto"/>
              <w:left w:val="single" w:sz="4" w:space="0" w:color="auto"/>
              <w:bottom w:val="single" w:sz="4" w:space="0" w:color="auto"/>
              <w:right w:val="single" w:sz="4" w:space="0" w:color="auto"/>
            </w:tcBorders>
            <w:hideMark/>
          </w:tcPr>
          <w:p w14:paraId="7DFBE779" w14:textId="77777777" w:rsidR="00CA0334" w:rsidRDefault="00CA0334" w:rsidP="00BD1F8C">
            <w:pPr>
              <w:pStyle w:val="TAC"/>
              <w:rPr>
                <w:rFonts w:eastAsia="MS Mincho"/>
                <w:lang w:val="en-US"/>
              </w:rPr>
            </w:pPr>
            <w:r>
              <w:rPr>
                <w:rFonts w:eastAsia="MS Mincho"/>
                <w:lang w:val="en-US"/>
              </w:rPr>
              <w:t>Min(-5 dBm, Max(</w:t>
            </w:r>
            <w:r>
              <w:rPr>
                <w:lang w:val="en-US"/>
              </w:rPr>
              <w:t>P</w:t>
            </w:r>
            <w:r>
              <w:rPr>
                <w:vertAlign w:val="subscript"/>
                <w:lang w:val="en-US"/>
              </w:rPr>
              <w:t>rated,t,TRP</w:t>
            </w:r>
            <w:r>
              <w:rPr>
                <w:rFonts w:eastAsia="MS Mincho"/>
                <w:lang w:val="en-US"/>
              </w:rPr>
              <w:t xml:space="preserve"> – 31 dB, -10 dBm))</w:t>
            </w:r>
          </w:p>
        </w:tc>
        <w:tc>
          <w:tcPr>
            <w:tcW w:w="1560" w:type="dxa"/>
            <w:tcBorders>
              <w:top w:val="single" w:sz="4" w:space="0" w:color="auto"/>
              <w:left w:val="single" w:sz="4" w:space="0" w:color="auto"/>
              <w:bottom w:val="single" w:sz="4" w:space="0" w:color="auto"/>
              <w:right w:val="single" w:sz="4" w:space="0" w:color="auto"/>
            </w:tcBorders>
            <w:hideMark/>
          </w:tcPr>
          <w:p w14:paraId="43EC0CB6" w14:textId="77777777" w:rsidR="00CA0334" w:rsidRDefault="00CA0334" w:rsidP="00BD1F8C">
            <w:pPr>
              <w:pStyle w:val="TAC"/>
              <w:rPr>
                <w:lang w:val="en-US"/>
              </w:rPr>
            </w:pPr>
            <w:r>
              <w:rPr>
                <w:lang w:val="en-US"/>
              </w:rPr>
              <w:t>10 MHz</w:t>
            </w:r>
          </w:p>
        </w:tc>
      </w:tr>
      <w:tr w:rsidR="00CA0334" w:rsidRPr="00AB3358" w14:paraId="7A7DD03B" w14:textId="77777777" w:rsidTr="00BD1F8C">
        <w:tc>
          <w:tcPr>
            <w:tcW w:w="8472" w:type="dxa"/>
            <w:gridSpan w:val="4"/>
            <w:tcBorders>
              <w:top w:val="single" w:sz="4" w:space="0" w:color="auto"/>
              <w:left w:val="single" w:sz="4" w:space="0" w:color="auto"/>
              <w:bottom w:val="single" w:sz="4" w:space="0" w:color="auto"/>
              <w:right w:val="single" w:sz="4" w:space="0" w:color="auto"/>
            </w:tcBorders>
            <w:hideMark/>
          </w:tcPr>
          <w:p w14:paraId="78D58B97" w14:textId="77777777" w:rsidR="00CA0334" w:rsidRDefault="00CA0334" w:rsidP="00BD1F8C">
            <w:pPr>
              <w:pStyle w:val="TAN"/>
              <w:rPr>
                <w:lang w:val="en-US"/>
              </w:rPr>
            </w:pPr>
            <w:r>
              <w:rPr>
                <w:lang w:val="en-US"/>
              </w:rPr>
              <w:t>NOTE 1:</w:t>
            </w:r>
            <w:r>
              <w:rPr>
                <w:lang w:val="en-US"/>
              </w:rPr>
              <w:tab/>
              <w:t xml:space="preserve">For non-contiguous spectrum operation within any </w:t>
            </w:r>
            <w:r>
              <w:rPr>
                <w:i/>
                <w:lang w:val="en-US"/>
              </w:rPr>
              <w:t>operating band</w:t>
            </w:r>
            <w:r>
              <w:rPr>
                <w:lang w:val="en-US"/>
              </w:rPr>
              <w:t xml:space="preserve"> the </w:t>
            </w:r>
            <w:r>
              <w:rPr>
                <w:iCs/>
                <w:lang w:val="en-US"/>
              </w:rPr>
              <w:t>limit</w:t>
            </w:r>
            <w:r>
              <w:rPr>
                <w:i/>
                <w:iCs/>
                <w:lang w:val="en-US"/>
              </w:rPr>
              <w:t xml:space="preserve"> </w:t>
            </w:r>
            <w:r>
              <w:rPr>
                <w:lang w:val="en-US"/>
              </w:rPr>
              <w:t xml:space="preserve">within sub-block gaps is calculated as a cumulative sum of contributions from adjacent sub-blocks on each side of the sub-block gap. </w:t>
            </w:r>
          </w:p>
          <w:p w14:paraId="33590E13" w14:textId="77777777" w:rsidR="00CA0334" w:rsidRDefault="00CA0334" w:rsidP="00BD1F8C">
            <w:pPr>
              <w:pStyle w:val="TAN"/>
              <w:rPr>
                <w:lang w:val="en-US"/>
              </w:rPr>
            </w:pPr>
            <w:r>
              <w:rPr>
                <w:lang w:val="en-US"/>
              </w:rPr>
              <w:t>NOTE 2:</w:t>
            </w:r>
            <w:r>
              <w:rPr>
                <w:lang w:val="en-US"/>
              </w:rPr>
              <w:tab/>
            </w:r>
            <w:r>
              <w:rPr>
                <w:rFonts w:cs="v5.0.0"/>
              </w:rPr>
              <w:sym w:font="Symbol" w:char="F044"/>
            </w:r>
            <w:r>
              <w:rPr>
                <w:rFonts w:cs="v5.0.0"/>
              </w:rPr>
              <w:t>f</w:t>
            </w:r>
            <w:r>
              <w:rPr>
                <w:rFonts w:cs="v5.0.0"/>
                <w:vertAlign w:val="subscript"/>
              </w:rPr>
              <w:t>B</w:t>
            </w:r>
            <w:r>
              <w:rPr>
                <w:lang w:val="en-US"/>
              </w:rPr>
              <w:t xml:space="preserve"> = 2</w:t>
            </w:r>
            <w:r>
              <w:rPr>
                <w:rFonts w:cs="Arial"/>
                <w:kern w:val="2"/>
                <w:szCs w:val="22"/>
                <w:lang w:val="en-US" w:eastAsia="zh-CN"/>
              </w:rPr>
              <w:t>*</w:t>
            </w:r>
            <w:r>
              <w:t>BW</w:t>
            </w:r>
            <w:r>
              <w:rPr>
                <w:vertAlign w:val="subscript"/>
              </w:rPr>
              <w:t xml:space="preserve">contiguous </w:t>
            </w:r>
            <w:r>
              <w:t>when BW</w:t>
            </w:r>
            <w:r>
              <w:rPr>
                <w:vertAlign w:val="subscript"/>
              </w:rPr>
              <w:t xml:space="preserve">contiguous </w:t>
            </w:r>
            <w:r>
              <w:t>≤ 500 MHz, otherwise</w:t>
            </w:r>
            <w:r>
              <w:rPr>
                <w:lang w:val="en-US"/>
              </w:rPr>
              <w:t xml:space="preserve"> </w:t>
            </w:r>
            <w:r>
              <w:rPr>
                <w:rFonts w:cs="v5.0.0"/>
              </w:rPr>
              <w:sym w:font="Symbol" w:char="F044"/>
            </w:r>
            <w:r>
              <w:rPr>
                <w:rFonts w:cs="v5.0.0"/>
              </w:rPr>
              <w:t>f</w:t>
            </w:r>
            <w:r>
              <w:rPr>
                <w:rFonts w:cs="v5.0.0"/>
                <w:vertAlign w:val="subscript"/>
              </w:rPr>
              <w:t>B</w:t>
            </w:r>
            <w:r>
              <w:rPr>
                <w:lang w:val="en-US"/>
              </w:rPr>
              <w:t xml:space="preserve"> = </w:t>
            </w:r>
            <w:r>
              <w:t>BW</w:t>
            </w:r>
            <w:r>
              <w:rPr>
                <w:vertAlign w:val="subscript"/>
              </w:rPr>
              <w:t xml:space="preserve">contiguous </w:t>
            </w:r>
            <w:r>
              <w:t>+ 500 MHz</w:t>
            </w:r>
            <w:r>
              <w:rPr>
                <w:lang w:val="en-US"/>
              </w:rPr>
              <w:t>.</w:t>
            </w:r>
          </w:p>
        </w:tc>
      </w:tr>
    </w:tbl>
    <w:p w14:paraId="47AA65C3" w14:textId="77777777" w:rsidR="00CA0334" w:rsidRDefault="00CA0334" w:rsidP="00CA0334"/>
    <w:p w14:paraId="6F0ECD44" w14:textId="77777777" w:rsidR="00CA0334" w:rsidRDefault="00CA0334" w:rsidP="00CA0334">
      <w:pPr>
        <w:pStyle w:val="Heading5"/>
      </w:pPr>
      <w:bookmarkStart w:id="5622" w:name="_Toc45893667"/>
      <w:bookmarkStart w:id="5623" w:name="_Toc44712354"/>
      <w:bookmarkStart w:id="5624" w:name="_Toc53185506"/>
      <w:bookmarkStart w:id="5625" w:name="_Toc53185882"/>
      <w:bookmarkStart w:id="5626" w:name="_Toc57820368"/>
      <w:bookmarkStart w:id="5627" w:name="_Toc57821295"/>
      <w:bookmarkStart w:id="5628" w:name="_Toc61183571"/>
      <w:bookmarkStart w:id="5629" w:name="_Toc61183965"/>
      <w:bookmarkStart w:id="5630" w:name="_Toc61184357"/>
      <w:bookmarkStart w:id="5631" w:name="_Toc61184749"/>
      <w:bookmarkStart w:id="5632" w:name="_Toc61185139"/>
      <w:bookmarkStart w:id="5633" w:name="_Toc66386483"/>
      <w:bookmarkStart w:id="5634" w:name="_Toc74583386"/>
      <w:bookmarkStart w:id="5635" w:name="_Toc76542199"/>
      <w:bookmarkStart w:id="5636" w:name="_Toc82450181"/>
      <w:bookmarkStart w:id="5637" w:name="_Toc82450829"/>
      <w:bookmarkStart w:id="5638" w:name="_Toc89949218"/>
      <w:bookmarkStart w:id="5639" w:name="_Toc98755607"/>
      <w:bookmarkStart w:id="5640" w:name="_Toc98763199"/>
      <w:bookmarkStart w:id="5641" w:name="_Toc106184128"/>
      <w:r>
        <w:t>9.7.4.5.4</w:t>
      </w:r>
      <w:r>
        <w:tab/>
        <w:t>Additional OTA operating band unwanted emission requirements</w:t>
      </w:r>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p>
    <w:p w14:paraId="25E5AB55" w14:textId="77777777" w:rsidR="00CA0334" w:rsidRDefault="00CA0334" w:rsidP="00CA0334">
      <w:pPr>
        <w:pStyle w:val="H6"/>
      </w:pPr>
      <w:bookmarkStart w:id="5642" w:name="_Toc44712355"/>
      <w:r>
        <w:t>9.7.4.5.4.1</w:t>
      </w:r>
      <w:r>
        <w:tab/>
        <w:t>Protection of Earth Exploration Satellite Service</w:t>
      </w:r>
      <w:bookmarkEnd w:id="5642"/>
    </w:p>
    <w:p w14:paraId="76EA98A5" w14:textId="77777777" w:rsidR="00CA0334" w:rsidRDefault="00CA0334" w:rsidP="00CA0334">
      <w:r>
        <w:t xml:space="preserve">For IAB-DU and IAB-MT operating in the frequency range 24.25 – 27.5 GHz, </w:t>
      </w:r>
      <w:r>
        <w:rPr>
          <w:rFonts w:cs="v5.0.0"/>
        </w:rPr>
        <w:t xml:space="preserve">the power of unwanted emission shall not exceed the limits in table </w:t>
      </w:r>
      <w:r>
        <w:t>9.7.4.5.4.1-1.</w:t>
      </w:r>
    </w:p>
    <w:p w14:paraId="20EED7B2" w14:textId="77777777" w:rsidR="00CA0334" w:rsidRDefault="00CA0334" w:rsidP="00CA0334">
      <w:pPr>
        <w:pStyle w:val="TH"/>
      </w:pPr>
      <w:r>
        <w:t>Table 9.7.4.5.4.1-1: OBUE limits for protection of Earth Exploration Satellite Service</w:t>
      </w:r>
    </w:p>
    <w:tbl>
      <w:tblPr>
        <w:tblW w:w="694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295"/>
        <w:gridCol w:w="2274"/>
      </w:tblGrid>
      <w:tr w:rsidR="00CA0334" w14:paraId="58C48921"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05D594EB" w14:textId="77777777" w:rsidR="00CA0334" w:rsidRDefault="00CA0334" w:rsidP="00BD1F8C">
            <w:pPr>
              <w:pStyle w:val="TAH"/>
            </w:pPr>
            <w:r>
              <w:t xml:space="preserve">Frequency range </w:t>
            </w:r>
          </w:p>
        </w:tc>
        <w:tc>
          <w:tcPr>
            <w:tcW w:w="2294" w:type="dxa"/>
            <w:tcBorders>
              <w:top w:val="single" w:sz="6" w:space="0" w:color="000000"/>
              <w:left w:val="single" w:sz="6" w:space="0" w:color="000000"/>
              <w:bottom w:val="single" w:sz="6" w:space="0" w:color="000000"/>
              <w:right w:val="single" w:sz="6" w:space="0" w:color="000000"/>
            </w:tcBorders>
            <w:hideMark/>
          </w:tcPr>
          <w:p w14:paraId="6DBEB942" w14:textId="77777777" w:rsidR="00CA0334" w:rsidRDefault="00CA0334" w:rsidP="00BD1F8C">
            <w:pPr>
              <w:pStyle w:val="TAH"/>
            </w:pPr>
            <w:r>
              <w:t>Limit</w:t>
            </w:r>
          </w:p>
        </w:tc>
        <w:tc>
          <w:tcPr>
            <w:tcW w:w="2268" w:type="dxa"/>
            <w:tcBorders>
              <w:top w:val="single" w:sz="6" w:space="0" w:color="000000"/>
              <w:left w:val="single" w:sz="6" w:space="0" w:color="000000"/>
              <w:bottom w:val="single" w:sz="6" w:space="0" w:color="000000"/>
              <w:right w:val="single" w:sz="6" w:space="0" w:color="000000"/>
            </w:tcBorders>
            <w:hideMark/>
          </w:tcPr>
          <w:p w14:paraId="48D61A87" w14:textId="77777777" w:rsidR="00CA0334" w:rsidRDefault="00CA0334" w:rsidP="00BD1F8C">
            <w:pPr>
              <w:pStyle w:val="TAH"/>
              <w:rPr>
                <w:i/>
              </w:rPr>
            </w:pPr>
            <w:r>
              <w:rPr>
                <w:i/>
              </w:rPr>
              <w:t>Measurement Bandwidth</w:t>
            </w:r>
          </w:p>
        </w:tc>
      </w:tr>
      <w:tr w:rsidR="00CA0334" w14:paraId="6F249846"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06CD99E6" w14:textId="77777777" w:rsidR="00CA0334" w:rsidRDefault="00CA0334" w:rsidP="00BD1F8C">
            <w:pPr>
              <w:pStyle w:val="TAC"/>
            </w:pPr>
            <w:r>
              <w:rPr>
                <w:rFonts w:cs="Arial"/>
              </w:rPr>
              <w:t>23.6 – 24 GHz</w:t>
            </w:r>
          </w:p>
        </w:tc>
        <w:tc>
          <w:tcPr>
            <w:tcW w:w="2294" w:type="dxa"/>
            <w:tcBorders>
              <w:top w:val="single" w:sz="6" w:space="0" w:color="000000"/>
              <w:left w:val="single" w:sz="6" w:space="0" w:color="000000"/>
              <w:bottom w:val="single" w:sz="6" w:space="0" w:color="000000"/>
              <w:right w:val="single" w:sz="6" w:space="0" w:color="000000"/>
            </w:tcBorders>
            <w:hideMark/>
          </w:tcPr>
          <w:p w14:paraId="1895B70B" w14:textId="77777777" w:rsidR="00CA0334" w:rsidRDefault="00CA0334" w:rsidP="00BD1F8C">
            <w:pPr>
              <w:pStyle w:val="TAC"/>
            </w:pPr>
            <w:r>
              <w:rPr>
                <w:rFonts w:cs="Arial"/>
              </w:rPr>
              <w:t>-3 dBm (Note 1)</w:t>
            </w:r>
          </w:p>
        </w:tc>
        <w:tc>
          <w:tcPr>
            <w:tcW w:w="2268" w:type="dxa"/>
            <w:tcBorders>
              <w:top w:val="single" w:sz="6" w:space="0" w:color="000000"/>
              <w:left w:val="single" w:sz="6" w:space="0" w:color="000000"/>
              <w:bottom w:val="single" w:sz="6" w:space="0" w:color="000000"/>
              <w:right w:val="single" w:sz="6" w:space="0" w:color="000000"/>
            </w:tcBorders>
            <w:hideMark/>
          </w:tcPr>
          <w:p w14:paraId="429BD419" w14:textId="77777777" w:rsidR="00CA0334" w:rsidRDefault="00CA0334" w:rsidP="00BD1F8C">
            <w:pPr>
              <w:pStyle w:val="TAC"/>
              <w:rPr>
                <w:rFonts w:cs="Arial"/>
              </w:rPr>
            </w:pPr>
            <w:r>
              <w:rPr>
                <w:rFonts w:cs="Arial"/>
              </w:rPr>
              <w:t>200 MHz</w:t>
            </w:r>
          </w:p>
        </w:tc>
      </w:tr>
      <w:tr w:rsidR="00CA0334" w14:paraId="30E7367E"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69F2A36C" w14:textId="77777777" w:rsidR="00CA0334" w:rsidRDefault="00CA0334" w:rsidP="00BD1F8C">
            <w:pPr>
              <w:pStyle w:val="TAC"/>
            </w:pPr>
            <w:r>
              <w:rPr>
                <w:rFonts w:cs="Arial"/>
              </w:rPr>
              <w:t>23.6 – 24 GHz</w:t>
            </w:r>
          </w:p>
        </w:tc>
        <w:tc>
          <w:tcPr>
            <w:tcW w:w="2294" w:type="dxa"/>
            <w:tcBorders>
              <w:top w:val="single" w:sz="6" w:space="0" w:color="000000"/>
              <w:left w:val="single" w:sz="6" w:space="0" w:color="000000"/>
              <w:bottom w:val="single" w:sz="6" w:space="0" w:color="000000"/>
              <w:right w:val="single" w:sz="6" w:space="0" w:color="000000"/>
            </w:tcBorders>
            <w:hideMark/>
          </w:tcPr>
          <w:p w14:paraId="1C7458F4" w14:textId="77777777" w:rsidR="00CA0334" w:rsidRDefault="00CA0334" w:rsidP="00BD1F8C">
            <w:pPr>
              <w:pStyle w:val="TAC"/>
            </w:pPr>
            <w:r>
              <w:rPr>
                <w:rFonts w:cs="Arial"/>
              </w:rPr>
              <w:t>-9 dBm (Note 2)</w:t>
            </w:r>
          </w:p>
        </w:tc>
        <w:tc>
          <w:tcPr>
            <w:tcW w:w="2268" w:type="dxa"/>
            <w:tcBorders>
              <w:top w:val="single" w:sz="6" w:space="0" w:color="000000"/>
              <w:left w:val="single" w:sz="6" w:space="0" w:color="000000"/>
              <w:bottom w:val="single" w:sz="6" w:space="0" w:color="000000"/>
              <w:right w:val="single" w:sz="6" w:space="0" w:color="000000"/>
            </w:tcBorders>
            <w:hideMark/>
          </w:tcPr>
          <w:p w14:paraId="36853FA4" w14:textId="77777777" w:rsidR="00CA0334" w:rsidRDefault="00CA0334" w:rsidP="00BD1F8C">
            <w:pPr>
              <w:pStyle w:val="TAC"/>
              <w:rPr>
                <w:rFonts w:cs="Arial"/>
              </w:rPr>
            </w:pPr>
            <w:r>
              <w:rPr>
                <w:rFonts w:cs="Arial"/>
              </w:rPr>
              <w:t>200 MHz</w:t>
            </w:r>
          </w:p>
        </w:tc>
      </w:tr>
      <w:tr w:rsidR="00CA0334" w:rsidRPr="00AB3358" w14:paraId="5891FF88" w14:textId="77777777" w:rsidTr="00BD1F8C">
        <w:trPr>
          <w:cantSplit/>
          <w:jc w:val="center"/>
        </w:trPr>
        <w:tc>
          <w:tcPr>
            <w:tcW w:w="6943" w:type="dxa"/>
            <w:gridSpan w:val="3"/>
            <w:tcBorders>
              <w:top w:val="single" w:sz="6" w:space="0" w:color="000000"/>
              <w:left w:val="single" w:sz="6" w:space="0" w:color="000000"/>
              <w:bottom w:val="single" w:sz="6" w:space="0" w:color="000000"/>
              <w:right w:val="single" w:sz="6" w:space="0" w:color="000000"/>
            </w:tcBorders>
            <w:hideMark/>
          </w:tcPr>
          <w:p w14:paraId="3122574A" w14:textId="77777777" w:rsidR="00CA0334" w:rsidRDefault="00CA0334" w:rsidP="00BD1F8C">
            <w:pPr>
              <w:pStyle w:val="TAN"/>
            </w:pPr>
            <w:r>
              <w:t>NOTE 1:</w:t>
            </w:r>
            <w:r>
              <w:tab/>
              <w:t>This limit applies to IAB-DU and IAB-MT brought into use on or before 1 September 2027</w:t>
            </w:r>
            <w:r>
              <w:rPr>
                <w:lang w:val="en-US"/>
              </w:rPr>
              <w:t xml:space="preserve"> </w:t>
            </w:r>
            <w:r>
              <w:rPr>
                <w:lang w:eastAsia="zh-CN"/>
              </w:rPr>
              <w:t>and enters into force from January 1, 2021</w:t>
            </w:r>
            <w:r>
              <w:t>.</w:t>
            </w:r>
          </w:p>
          <w:p w14:paraId="0D7B91B8" w14:textId="77777777" w:rsidR="00CA0334" w:rsidRDefault="00CA0334" w:rsidP="00BD1F8C">
            <w:pPr>
              <w:pStyle w:val="TAN"/>
              <w:rPr>
                <w:rFonts w:cs="Arial"/>
              </w:rPr>
            </w:pPr>
            <w:r>
              <w:t xml:space="preserve">NOTE 2: </w:t>
            </w:r>
            <w:r>
              <w:tab/>
              <w:t>This limit applies to IAB-DU and IAB-MT brought into use after 1 September 2027.</w:t>
            </w:r>
          </w:p>
        </w:tc>
      </w:tr>
    </w:tbl>
    <w:p w14:paraId="7404ED61" w14:textId="77777777" w:rsidR="00CA0334" w:rsidRDefault="00CA0334" w:rsidP="00CA0334"/>
    <w:p w14:paraId="7C138E6E" w14:textId="77777777" w:rsidR="00CA0334" w:rsidRDefault="00CA0334" w:rsidP="00CA0334">
      <w:pPr>
        <w:pStyle w:val="Heading3"/>
      </w:pPr>
      <w:bookmarkStart w:id="5643" w:name="_Toc45893668"/>
      <w:bookmarkStart w:id="5644" w:name="_Toc44712356"/>
      <w:bookmarkStart w:id="5645" w:name="_Toc37267751"/>
      <w:bookmarkStart w:id="5646" w:name="_Toc37260363"/>
      <w:bookmarkStart w:id="5647" w:name="_Toc36817441"/>
      <w:bookmarkStart w:id="5648" w:name="_Toc29811889"/>
      <w:bookmarkStart w:id="5649" w:name="_Toc21127680"/>
      <w:bookmarkStart w:id="5650" w:name="_Toc53185507"/>
      <w:bookmarkStart w:id="5651" w:name="_Toc53185883"/>
      <w:bookmarkStart w:id="5652" w:name="_Toc57820369"/>
      <w:bookmarkStart w:id="5653" w:name="_Toc57821296"/>
      <w:bookmarkStart w:id="5654" w:name="_Toc61183572"/>
      <w:bookmarkStart w:id="5655" w:name="_Toc61183966"/>
      <w:bookmarkStart w:id="5656" w:name="_Toc61184358"/>
      <w:bookmarkStart w:id="5657" w:name="_Toc61184750"/>
      <w:bookmarkStart w:id="5658" w:name="_Toc61185140"/>
      <w:bookmarkStart w:id="5659" w:name="_Toc66386484"/>
      <w:bookmarkStart w:id="5660" w:name="_Toc74583387"/>
      <w:bookmarkStart w:id="5661" w:name="_Toc76542200"/>
      <w:bookmarkStart w:id="5662" w:name="_Toc82450182"/>
      <w:bookmarkStart w:id="5663" w:name="_Toc82450830"/>
      <w:bookmarkStart w:id="5664" w:name="_Toc89949219"/>
      <w:bookmarkStart w:id="5665" w:name="_Toc98755608"/>
      <w:bookmarkStart w:id="5666" w:name="_Toc98763200"/>
      <w:bookmarkStart w:id="5667" w:name="_Toc106184129"/>
      <w:r>
        <w:t>9.7.5</w:t>
      </w:r>
      <w:r>
        <w:tab/>
        <w:t>OTA transmitter spurious emissions</w:t>
      </w:r>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p>
    <w:p w14:paraId="154C1D41" w14:textId="77777777" w:rsidR="00CA0334" w:rsidRDefault="00CA0334" w:rsidP="00CA0334">
      <w:pPr>
        <w:pStyle w:val="Heading4"/>
      </w:pPr>
      <w:bookmarkStart w:id="5668" w:name="_Toc45893669"/>
      <w:bookmarkStart w:id="5669" w:name="_Toc44712357"/>
      <w:bookmarkStart w:id="5670" w:name="_Toc37267752"/>
      <w:bookmarkStart w:id="5671" w:name="_Toc37260364"/>
      <w:bookmarkStart w:id="5672" w:name="_Toc36817442"/>
      <w:bookmarkStart w:id="5673" w:name="_Toc29811890"/>
      <w:bookmarkStart w:id="5674" w:name="_Toc21127681"/>
      <w:bookmarkStart w:id="5675" w:name="_Toc53185508"/>
      <w:bookmarkStart w:id="5676" w:name="_Toc53185884"/>
      <w:bookmarkStart w:id="5677" w:name="_Toc57820370"/>
      <w:bookmarkStart w:id="5678" w:name="_Toc57821297"/>
      <w:bookmarkStart w:id="5679" w:name="_Toc61183573"/>
      <w:bookmarkStart w:id="5680" w:name="_Toc61183967"/>
      <w:bookmarkStart w:id="5681" w:name="_Toc61184359"/>
      <w:bookmarkStart w:id="5682" w:name="_Toc61184751"/>
      <w:bookmarkStart w:id="5683" w:name="_Toc61185141"/>
      <w:bookmarkStart w:id="5684" w:name="_Toc66386485"/>
      <w:bookmarkStart w:id="5685" w:name="_Toc74583388"/>
      <w:bookmarkStart w:id="5686" w:name="_Toc76542201"/>
      <w:bookmarkStart w:id="5687" w:name="_Toc82450183"/>
      <w:bookmarkStart w:id="5688" w:name="_Toc82450831"/>
      <w:bookmarkStart w:id="5689" w:name="_Toc89949220"/>
      <w:bookmarkStart w:id="5690" w:name="_Toc98755609"/>
      <w:bookmarkStart w:id="5691" w:name="_Toc98763201"/>
      <w:bookmarkStart w:id="5692" w:name="_Toc106184130"/>
      <w:bookmarkStart w:id="5693" w:name="_Hlk494698976"/>
      <w:r>
        <w:t>9.7.5.1</w:t>
      </w:r>
      <w:r>
        <w:tab/>
        <w:t>General</w:t>
      </w:r>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p>
    <w:p w14:paraId="240B13DE" w14:textId="77777777" w:rsidR="00CA0334" w:rsidRDefault="00CA0334" w:rsidP="00CA0334">
      <w:pPr>
        <w:rPr>
          <w:rFonts w:cs="v5.0.0"/>
        </w:rPr>
      </w:pPr>
      <w:r>
        <w:rPr>
          <w:rFonts w:cs="v5.0.0"/>
        </w:rPr>
        <w:t>Unless otherwise stated, all requirements are measured as mean power.</w:t>
      </w:r>
    </w:p>
    <w:p w14:paraId="5805E98A" w14:textId="77777777" w:rsidR="00CA0334" w:rsidRDefault="00CA0334" w:rsidP="00CA0334">
      <w:r>
        <w:t>The OTA spurious emissions limits are specified as TRP per RIB unless otherwise stated.</w:t>
      </w:r>
    </w:p>
    <w:p w14:paraId="75DD2E51" w14:textId="77777777" w:rsidR="00CA0334" w:rsidRDefault="00CA0334" w:rsidP="00CA0334">
      <w:pPr>
        <w:pStyle w:val="Heading4"/>
      </w:pPr>
      <w:bookmarkStart w:id="5694" w:name="_Toc45893670"/>
      <w:bookmarkStart w:id="5695" w:name="_Toc44712358"/>
      <w:bookmarkStart w:id="5696" w:name="_Toc37267753"/>
      <w:bookmarkStart w:id="5697" w:name="_Toc37260365"/>
      <w:bookmarkStart w:id="5698" w:name="_Toc36817443"/>
      <w:bookmarkStart w:id="5699" w:name="_Toc29811891"/>
      <w:bookmarkStart w:id="5700" w:name="_Toc21127682"/>
      <w:bookmarkStart w:id="5701" w:name="_Toc53185509"/>
      <w:bookmarkStart w:id="5702" w:name="_Toc53185885"/>
      <w:bookmarkStart w:id="5703" w:name="_Toc57820371"/>
      <w:bookmarkStart w:id="5704" w:name="_Toc57821298"/>
      <w:bookmarkStart w:id="5705" w:name="_Toc61183574"/>
      <w:bookmarkStart w:id="5706" w:name="_Toc61183968"/>
      <w:bookmarkStart w:id="5707" w:name="_Toc61184360"/>
      <w:bookmarkStart w:id="5708" w:name="_Toc61184752"/>
      <w:bookmarkStart w:id="5709" w:name="_Toc61185142"/>
      <w:bookmarkStart w:id="5710" w:name="_Toc66386486"/>
      <w:bookmarkStart w:id="5711" w:name="_Toc74583389"/>
      <w:bookmarkStart w:id="5712" w:name="_Toc76542202"/>
      <w:bookmarkStart w:id="5713" w:name="_Toc82450184"/>
      <w:bookmarkStart w:id="5714" w:name="_Toc82450832"/>
      <w:bookmarkStart w:id="5715" w:name="_Toc89949221"/>
      <w:bookmarkStart w:id="5716" w:name="_Toc98755610"/>
      <w:bookmarkStart w:id="5717" w:name="_Toc98763202"/>
      <w:bookmarkStart w:id="5718" w:name="_Toc106184131"/>
      <w:r>
        <w:t>9.7.5.2</w:t>
      </w:r>
      <w:r>
        <w:tab/>
        <w:t xml:space="preserve">Minimum requirement for </w:t>
      </w:r>
      <w:r>
        <w:rPr>
          <w:i/>
        </w:rPr>
        <w:t>IAB-DU type 1-O</w:t>
      </w:r>
      <w:bookmarkEnd w:id="5694"/>
      <w:bookmarkEnd w:id="5695"/>
      <w:bookmarkEnd w:id="5696"/>
      <w:bookmarkEnd w:id="5697"/>
      <w:bookmarkEnd w:id="5698"/>
      <w:bookmarkEnd w:id="5699"/>
      <w:bookmarkEnd w:id="5700"/>
      <w:r>
        <w:rPr>
          <w:i/>
        </w:rPr>
        <w:t xml:space="preserve"> and IAB-MT type 1-O</w:t>
      </w:r>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p>
    <w:p w14:paraId="4146DBCD" w14:textId="77777777" w:rsidR="00CA0334" w:rsidRDefault="00CA0334" w:rsidP="00CA0334">
      <w:pPr>
        <w:pStyle w:val="Heading5"/>
        <w:rPr>
          <w:lang w:eastAsia="zh-CN"/>
        </w:rPr>
      </w:pPr>
      <w:bookmarkStart w:id="5719" w:name="_Toc45893671"/>
      <w:bookmarkStart w:id="5720" w:name="_Toc44712359"/>
      <w:bookmarkStart w:id="5721" w:name="_Toc37267754"/>
      <w:bookmarkStart w:id="5722" w:name="_Toc37260366"/>
      <w:bookmarkStart w:id="5723" w:name="_Toc36817444"/>
      <w:bookmarkStart w:id="5724" w:name="_Toc29811892"/>
      <w:bookmarkStart w:id="5725" w:name="_Toc21127683"/>
      <w:bookmarkStart w:id="5726" w:name="_Toc53185510"/>
      <w:bookmarkStart w:id="5727" w:name="_Toc53185886"/>
      <w:bookmarkStart w:id="5728" w:name="_Toc57820372"/>
      <w:bookmarkStart w:id="5729" w:name="_Toc57821299"/>
      <w:bookmarkStart w:id="5730" w:name="_Toc61183575"/>
      <w:bookmarkStart w:id="5731" w:name="_Toc61183969"/>
      <w:bookmarkStart w:id="5732" w:name="_Toc61184361"/>
      <w:bookmarkStart w:id="5733" w:name="_Toc61184753"/>
      <w:bookmarkStart w:id="5734" w:name="_Toc61185143"/>
      <w:bookmarkStart w:id="5735" w:name="_Toc66386487"/>
      <w:bookmarkStart w:id="5736" w:name="_Toc74583390"/>
      <w:bookmarkStart w:id="5737" w:name="_Toc76542203"/>
      <w:bookmarkStart w:id="5738" w:name="_Toc82450185"/>
      <w:bookmarkStart w:id="5739" w:name="_Toc82450833"/>
      <w:bookmarkStart w:id="5740" w:name="_Toc89949222"/>
      <w:bookmarkStart w:id="5741" w:name="_Toc98755611"/>
      <w:bookmarkStart w:id="5742" w:name="_Toc98763203"/>
      <w:bookmarkStart w:id="5743" w:name="_Toc106184132"/>
      <w:r>
        <w:rPr>
          <w:lang w:eastAsia="zh-CN"/>
        </w:rPr>
        <w:t>9.7.5.2.1</w:t>
      </w:r>
      <w:r>
        <w:rPr>
          <w:lang w:eastAsia="zh-CN"/>
        </w:rPr>
        <w:tab/>
        <w:t>General</w:t>
      </w:r>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p>
    <w:p w14:paraId="566B2369" w14:textId="77777777" w:rsidR="00CA0334" w:rsidRDefault="00CA0334" w:rsidP="00CA0334">
      <w:r>
        <w:t xml:space="preserve">For IAB-DU, the OTA transmitter spurious emission limits for FR1 shall apply from 30 MHz to 12.75 GHz, excluding the frequency range from </w:t>
      </w:r>
      <w:r>
        <w:rPr>
          <w:rFonts w:cs="v5.0.0"/>
        </w:rPr>
        <w:t>Δf</w:t>
      </w:r>
      <w:r>
        <w:rPr>
          <w:rFonts w:cs="v5.0.0"/>
          <w:vertAlign w:val="subscript"/>
        </w:rPr>
        <w:t>OBUE</w:t>
      </w:r>
      <w:r>
        <w:t xml:space="preserve"> below the lowest frequency of each supported downlink </w:t>
      </w:r>
      <w:r>
        <w:rPr>
          <w:i/>
        </w:rPr>
        <w:t>operating band</w:t>
      </w:r>
      <w:r>
        <w:t xml:space="preserve">, up to </w:t>
      </w:r>
      <w:r>
        <w:rPr>
          <w:rFonts w:cs="v5.0.0"/>
        </w:rPr>
        <w:t>Δf</w:t>
      </w:r>
      <w:r>
        <w:rPr>
          <w:rFonts w:cs="v5.0.0"/>
          <w:vertAlign w:val="subscript"/>
        </w:rPr>
        <w:t>OBUE</w:t>
      </w:r>
      <w:r>
        <w:rPr>
          <w:lang w:eastAsia="zh-CN"/>
        </w:rPr>
        <w:t xml:space="preserve"> </w:t>
      </w:r>
      <w:r>
        <w:t xml:space="preserve">above the highest frequency of each supported downlink </w:t>
      </w:r>
      <w:r>
        <w:rPr>
          <w:i/>
        </w:rPr>
        <w:t>operating band</w:t>
      </w:r>
      <w:r>
        <w:t xml:space="preserve">, where the </w:t>
      </w:r>
      <w:r>
        <w:rPr>
          <w:rFonts w:cs="v5.0.0"/>
        </w:rPr>
        <w:t>Δf</w:t>
      </w:r>
      <w:r>
        <w:rPr>
          <w:rFonts w:cs="v5.0.0"/>
          <w:vertAlign w:val="subscript"/>
        </w:rPr>
        <w:t>OBUE</w:t>
      </w:r>
      <w:r>
        <w:rPr>
          <w:rFonts w:cs="v5.0.0"/>
        </w:rPr>
        <w:t xml:space="preserve"> is defined in table 9.7.1-1</w:t>
      </w:r>
      <w:r>
        <w:t xml:space="preserve">. For some FR1 </w:t>
      </w:r>
      <w:r>
        <w:rPr>
          <w:i/>
        </w:rPr>
        <w:t>operating bands</w:t>
      </w:r>
      <w:r>
        <w:t>, the upper limit is higher than 12.75 GHz in order to comply with the 5</w:t>
      </w:r>
      <w:r>
        <w:rPr>
          <w:vertAlign w:val="superscript"/>
        </w:rPr>
        <w:t>th</w:t>
      </w:r>
      <w:r>
        <w:t xml:space="preserve"> harmonic limit of the downlink </w:t>
      </w:r>
      <w:r>
        <w:rPr>
          <w:i/>
        </w:rPr>
        <w:t>operating band</w:t>
      </w:r>
      <w:r>
        <w:t>, as specified in ITU-R recommendation SM.329 [16].</w:t>
      </w:r>
    </w:p>
    <w:p w14:paraId="673A481C" w14:textId="77777777" w:rsidR="00CA0334" w:rsidRDefault="00CA0334" w:rsidP="00CA0334">
      <w:r>
        <w:t xml:space="preserve">For IAB-MT, the OTA transmitter spurious emission limits for FR1 shall apply from 30 MHz to 12.75 GHz, excluding the frequency range from </w:t>
      </w:r>
      <w:r>
        <w:rPr>
          <w:rFonts w:cs="v5.0.0"/>
        </w:rPr>
        <w:t>Δf</w:t>
      </w:r>
      <w:r>
        <w:rPr>
          <w:rFonts w:cs="v5.0.0"/>
          <w:vertAlign w:val="subscript"/>
        </w:rPr>
        <w:t>OBUE</w:t>
      </w:r>
      <w:r>
        <w:t xml:space="preserve"> below the lowest frequency of each supported uplink </w:t>
      </w:r>
      <w:r>
        <w:rPr>
          <w:i/>
        </w:rPr>
        <w:t>operating band</w:t>
      </w:r>
      <w:r>
        <w:t xml:space="preserve">, up to </w:t>
      </w:r>
      <w:r>
        <w:rPr>
          <w:rFonts w:cs="v5.0.0"/>
        </w:rPr>
        <w:t>Δf</w:t>
      </w:r>
      <w:r>
        <w:rPr>
          <w:rFonts w:cs="v5.0.0"/>
          <w:vertAlign w:val="subscript"/>
        </w:rPr>
        <w:t>OBUE</w:t>
      </w:r>
      <w:r>
        <w:rPr>
          <w:lang w:eastAsia="zh-CN"/>
        </w:rPr>
        <w:t xml:space="preserve"> </w:t>
      </w:r>
      <w:r>
        <w:t xml:space="preserve">above the highest frequency of each supported uplink </w:t>
      </w:r>
      <w:r>
        <w:rPr>
          <w:i/>
        </w:rPr>
        <w:t>operating band</w:t>
      </w:r>
      <w:r>
        <w:t xml:space="preserve">, where the </w:t>
      </w:r>
      <w:r>
        <w:rPr>
          <w:rFonts w:cs="v5.0.0"/>
        </w:rPr>
        <w:t>Δf</w:t>
      </w:r>
      <w:r>
        <w:rPr>
          <w:rFonts w:cs="v5.0.0"/>
          <w:vertAlign w:val="subscript"/>
        </w:rPr>
        <w:t>OBUE</w:t>
      </w:r>
      <w:r>
        <w:rPr>
          <w:rFonts w:cs="v5.0.0"/>
        </w:rPr>
        <w:t xml:space="preserve"> is defined in table 9.7.1-2</w:t>
      </w:r>
      <w:r>
        <w:t xml:space="preserve">. For some FR1 </w:t>
      </w:r>
      <w:r>
        <w:rPr>
          <w:i/>
        </w:rPr>
        <w:t>operating bands</w:t>
      </w:r>
      <w:r>
        <w:t>, the upper limit is higher than 12.75 GHz in order to comply with the 5</w:t>
      </w:r>
      <w:r>
        <w:rPr>
          <w:vertAlign w:val="superscript"/>
        </w:rPr>
        <w:t>th</w:t>
      </w:r>
      <w:r>
        <w:t xml:space="preserve"> harmonic limit of the uplink </w:t>
      </w:r>
      <w:r>
        <w:rPr>
          <w:i/>
        </w:rPr>
        <w:t>operating band</w:t>
      </w:r>
      <w:r>
        <w:t>, as specified in ITU-R recommendation SM.329 [16].</w:t>
      </w:r>
    </w:p>
    <w:p w14:paraId="41ED59A0" w14:textId="77777777" w:rsidR="00CA0334" w:rsidRDefault="00CA0334" w:rsidP="00CA0334">
      <w:r>
        <w:t xml:space="preserve">For </w:t>
      </w:r>
      <w:r>
        <w:rPr>
          <w:i/>
        </w:rPr>
        <w:t>multi-band RIB</w:t>
      </w:r>
      <w:r>
        <w:t xml:space="preserve"> each supported </w:t>
      </w:r>
      <w:r>
        <w:rPr>
          <w:i/>
        </w:rPr>
        <w:t xml:space="preserve">operating band </w:t>
      </w:r>
      <w:r>
        <w:t xml:space="preserve">and </w:t>
      </w:r>
      <w:r>
        <w:rPr>
          <w:rFonts w:cs="v5.0.0"/>
        </w:rPr>
        <w:t>Δf</w:t>
      </w:r>
      <w:r>
        <w:rPr>
          <w:rFonts w:cs="v5.0.0"/>
          <w:vertAlign w:val="subscript"/>
        </w:rPr>
        <w:t>OBUE</w:t>
      </w:r>
      <w:r>
        <w:rPr>
          <w:rFonts w:cs="v5.0.0"/>
        </w:rPr>
        <w:t xml:space="preserve"> MHz around each band are excluded from the OTA transmitter spurious emissions requirements</w:t>
      </w:r>
      <w:r>
        <w:t>.</w:t>
      </w:r>
    </w:p>
    <w:p w14:paraId="499427D7" w14:textId="77777777" w:rsidR="00CA0334" w:rsidRDefault="00CA0334" w:rsidP="00CA0334">
      <w:pPr>
        <w:rPr>
          <w:rFonts w:cs="v4.2.0"/>
        </w:rPr>
      </w:pPr>
      <w:r>
        <w:rPr>
          <w:rFonts w:cs="v4.2.0"/>
        </w:rPr>
        <w:lastRenderedPageBreak/>
        <w:t>The requirements shall apply whatever the type of transmitter considered (single carrier or multi-carrier). It applies for all transmission modes foreseen by the manufacturer</w:t>
      </w:r>
      <w:r>
        <w:t>'</w:t>
      </w:r>
      <w:r>
        <w:rPr>
          <w:rFonts w:cs="v4.2.0"/>
        </w:rPr>
        <w:t>s specification.</w:t>
      </w:r>
    </w:p>
    <w:p w14:paraId="53C93F57" w14:textId="77777777" w:rsidR="00CA0334" w:rsidRDefault="00CA0334" w:rsidP="00CA0334">
      <w:r>
        <w:rPr>
          <w:i/>
        </w:rPr>
        <w:t>IAB-DU type 1-O</w:t>
      </w:r>
      <w:r>
        <w:t xml:space="preserve"> and </w:t>
      </w:r>
      <w:r>
        <w:rPr>
          <w:i/>
        </w:rPr>
        <w:t>IAB-MT type 1-O</w:t>
      </w:r>
      <w:r>
        <w:t xml:space="preserve"> requirements consist of OTA transmitter spurious emission requirements based on TRP and co-location requirements not based on TRP.</w:t>
      </w:r>
    </w:p>
    <w:p w14:paraId="6A8FDD72" w14:textId="77777777" w:rsidR="00CA0334" w:rsidRDefault="00CA0334" w:rsidP="00CA0334">
      <w:pPr>
        <w:pStyle w:val="Heading5"/>
        <w:rPr>
          <w:lang w:eastAsia="zh-CN"/>
        </w:rPr>
      </w:pPr>
      <w:bookmarkStart w:id="5744" w:name="_Toc45893672"/>
      <w:bookmarkStart w:id="5745" w:name="_Toc44712360"/>
      <w:bookmarkStart w:id="5746" w:name="_Toc37267755"/>
      <w:bookmarkStart w:id="5747" w:name="_Toc37260367"/>
      <w:bookmarkStart w:id="5748" w:name="_Toc36817445"/>
      <w:bookmarkStart w:id="5749" w:name="_Toc29811893"/>
      <w:bookmarkStart w:id="5750" w:name="_Toc21127684"/>
      <w:bookmarkStart w:id="5751" w:name="_Toc53185511"/>
      <w:bookmarkStart w:id="5752" w:name="_Toc53185887"/>
      <w:bookmarkStart w:id="5753" w:name="_Toc57820373"/>
      <w:bookmarkStart w:id="5754" w:name="_Toc57821300"/>
      <w:bookmarkStart w:id="5755" w:name="_Toc61183576"/>
      <w:bookmarkStart w:id="5756" w:name="_Toc61183970"/>
      <w:bookmarkStart w:id="5757" w:name="_Toc61184362"/>
      <w:bookmarkStart w:id="5758" w:name="_Toc61184754"/>
      <w:bookmarkStart w:id="5759" w:name="_Toc61185144"/>
      <w:bookmarkStart w:id="5760" w:name="_Toc66386488"/>
      <w:bookmarkStart w:id="5761" w:name="_Toc74583391"/>
      <w:bookmarkStart w:id="5762" w:name="_Toc76542204"/>
      <w:bookmarkStart w:id="5763" w:name="_Toc82450186"/>
      <w:bookmarkStart w:id="5764" w:name="_Toc82450834"/>
      <w:bookmarkStart w:id="5765" w:name="_Toc89949223"/>
      <w:bookmarkStart w:id="5766" w:name="_Toc98755612"/>
      <w:bookmarkStart w:id="5767" w:name="_Toc98763204"/>
      <w:bookmarkStart w:id="5768" w:name="_Toc106184133"/>
      <w:r>
        <w:rPr>
          <w:lang w:eastAsia="zh-CN"/>
        </w:rPr>
        <w:t>9.7.5.2.2</w:t>
      </w:r>
      <w:r>
        <w:rPr>
          <w:lang w:eastAsia="zh-CN"/>
        </w:rPr>
        <w:tab/>
        <w:t>General OTA transmitter spurious emissions requirements</w:t>
      </w:r>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p>
    <w:p w14:paraId="2C2F4D62" w14:textId="77777777" w:rsidR="00CA0334" w:rsidRDefault="00CA0334" w:rsidP="00CA0334">
      <w:r>
        <w:t xml:space="preserve">The Tx spurious emissions requirements for </w:t>
      </w:r>
      <w:r>
        <w:rPr>
          <w:i/>
        </w:rPr>
        <w:t>IAB-DU type 1-O</w:t>
      </w:r>
      <w:r>
        <w:t xml:space="preserve"> are that for each applicable </w:t>
      </w:r>
      <w:r>
        <w:rPr>
          <w:i/>
        </w:rPr>
        <w:t>basic limit</w:t>
      </w:r>
      <w:r>
        <w:t xml:space="preserve"> above 30 MHz in clause 6.6.5.2.1, t</w:t>
      </w:r>
      <w:r>
        <w:rPr>
          <w:rFonts w:cs="v5.0.0"/>
        </w:rPr>
        <w:t xml:space="preserve">he TRP of any spurious emission shall </w:t>
      </w:r>
      <w:r>
        <w:t xml:space="preserve">not exceed an OTA limit specified as the </w:t>
      </w:r>
      <w:r>
        <w:rPr>
          <w:i/>
        </w:rPr>
        <w:t>basic limit</w:t>
      </w:r>
      <w:r>
        <w:t xml:space="preserve"> </w:t>
      </w:r>
      <w:bookmarkStart w:id="5769" w:name="_Hlk499807947"/>
      <w:r>
        <w:t>+ X, where X = 9 dB</w:t>
      </w:r>
      <w:bookmarkStart w:id="5770" w:name="_Hlk499881831"/>
      <w:r>
        <w:t xml:space="preserve">, </w:t>
      </w:r>
      <w:bookmarkEnd w:id="5769"/>
      <w:r>
        <w:t>unless stated differently in regional regulation</w:t>
      </w:r>
      <w:bookmarkEnd w:id="5770"/>
      <w:r>
        <w:t>.</w:t>
      </w:r>
    </w:p>
    <w:p w14:paraId="2DB882D1" w14:textId="77777777" w:rsidR="00CA0334" w:rsidRDefault="00CA0334" w:rsidP="00CA0334">
      <w:r>
        <w:t xml:space="preserve">The Tx spurious emissions requirements for </w:t>
      </w:r>
      <w:r>
        <w:rPr>
          <w:i/>
        </w:rPr>
        <w:t>IAB-MT type 1-O</w:t>
      </w:r>
      <w:r>
        <w:t xml:space="preserve"> are that for each applicable </w:t>
      </w:r>
      <w:r>
        <w:rPr>
          <w:i/>
        </w:rPr>
        <w:t>basic limit</w:t>
      </w:r>
      <w:r>
        <w:t xml:space="preserve"> above 30 MHz in clause 6.6.5.2.1, t</w:t>
      </w:r>
      <w:r>
        <w:rPr>
          <w:rFonts w:cs="v5.0.0"/>
        </w:rPr>
        <w:t xml:space="preserve">he TRP of any spurious emission shall </w:t>
      </w:r>
      <w:r>
        <w:t xml:space="preserve">not exceed an OTA limit specified as the </w:t>
      </w:r>
      <w:r>
        <w:rPr>
          <w:i/>
        </w:rPr>
        <w:t>basic limit</w:t>
      </w:r>
      <w:r>
        <w:t xml:space="preserve"> + X, where X = 10log</w:t>
      </w:r>
      <w:r>
        <w:rPr>
          <w:vertAlign w:val="subscript"/>
        </w:rPr>
        <w:t>10</w:t>
      </w:r>
      <w:r>
        <w:t>(N</w:t>
      </w:r>
      <w:r>
        <w:rPr>
          <w:vertAlign w:val="subscript"/>
        </w:rPr>
        <w:t>TXU,countedpercell</w:t>
      </w:r>
      <w:r>
        <w:t>) dB, unless stated differently in regional regulation.</w:t>
      </w:r>
    </w:p>
    <w:p w14:paraId="1A7F5A14" w14:textId="77777777" w:rsidR="00CA0334" w:rsidRDefault="00CA0334" w:rsidP="00CA0334">
      <w:pPr>
        <w:pStyle w:val="Heading5"/>
        <w:rPr>
          <w:lang w:eastAsia="zh-CN"/>
        </w:rPr>
      </w:pPr>
      <w:bookmarkStart w:id="5771" w:name="_Toc45893674"/>
      <w:bookmarkStart w:id="5772" w:name="_Toc44712362"/>
      <w:bookmarkStart w:id="5773" w:name="_Toc37267757"/>
      <w:bookmarkStart w:id="5774" w:name="_Toc37260369"/>
      <w:bookmarkStart w:id="5775" w:name="_Toc36817447"/>
      <w:bookmarkStart w:id="5776" w:name="_Toc29811895"/>
      <w:bookmarkStart w:id="5777" w:name="_Toc21127686"/>
      <w:bookmarkStart w:id="5778" w:name="_Toc53185512"/>
      <w:bookmarkStart w:id="5779" w:name="_Toc53185888"/>
      <w:bookmarkStart w:id="5780" w:name="_Toc57820374"/>
      <w:bookmarkStart w:id="5781" w:name="_Toc57821301"/>
      <w:bookmarkStart w:id="5782" w:name="_Toc61183577"/>
      <w:bookmarkStart w:id="5783" w:name="_Toc61183971"/>
      <w:bookmarkStart w:id="5784" w:name="_Toc61184363"/>
      <w:bookmarkStart w:id="5785" w:name="_Toc61184755"/>
      <w:bookmarkStart w:id="5786" w:name="_Toc61185145"/>
      <w:bookmarkStart w:id="5787" w:name="_Toc66386489"/>
      <w:bookmarkStart w:id="5788" w:name="_Toc74583392"/>
      <w:bookmarkStart w:id="5789" w:name="_Toc76542205"/>
      <w:bookmarkStart w:id="5790" w:name="_Toc82450187"/>
      <w:bookmarkStart w:id="5791" w:name="_Toc82450835"/>
      <w:bookmarkStart w:id="5792" w:name="_Toc89949224"/>
      <w:bookmarkStart w:id="5793" w:name="_Toc98755613"/>
      <w:bookmarkStart w:id="5794" w:name="_Toc98763205"/>
      <w:bookmarkStart w:id="5795" w:name="_Toc106184134"/>
      <w:r>
        <w:rPr>
          <w:lang w:eastAsia="zh-CN"/>
        </w:rPr>
        <w:t>9.7.5.2.3</w:t>
      </w:r>
      <w:r>
        <w:rPr>
          <w:lang w:eastAsia="zh-CN"/>
        </w:rPr>
        <w:tab/>
        <w:t>Additional spurious emissions requirements</w:t>
      </w:r>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p>
    <w:p w14:paraId="5F0562A5" w14:textId="77777777" w:rsidR="00906BE7" w:rsidRDefault="00906BE7" w:rsidP="00906BE7">
      <w:bookmarkStart w:id="5796" w:name="_Toc45893675"/>
      <w:bookmarkStart w:id="5797" w:name="_Toc44712363"/>
      <w:bookmarkStart w:id="5798" w:name="_Toc37267758"/>
      <w:bookmarkStart w:id="5799" w:name="_Toc37260370"/>
      <w:bookmarkStart w:id="5800" w:name="_Toc36817448"/>
      <w:bookmarkStart w:id="5801" w:name="_Toc29811896"/>
      <w:bookmarkStart w:id="5802" w:name="_Toc21127687"/>
      <w:bookmarkStart w:id="5803" w:name="_Toc53185513"/>
      <w:bookmarkStart w:id="5804" w:name="_Toc53185889"/>
      <w:r>
        <w:t xml:space="preserve">These requirements may be applied for the protection of systems operating in frequency ranges other than IAB-DU downlink </w:t>
      </w:r>
      <w:r>
        <w:rPr>
          <w:i/>
        </w:rPr>
        <w:t xml:space="preserve">operating band </w:t>
      </w:r>
      <w:r w:rsidRPr="00743313">
        <w:rPr>
          <w:iCs/>
        </w:rPr>
        <w:t>or</w:t>
      </w:r>
      <w:r>
        <w:rPr>
          <w:i/>
        </w:rPr>
        <w:t xml:space="preserve"> </w:t>
      </w:r>
      <w:r w:rsidRPr="00743313">
        <w:rPr>
          <w:iCs/>
        </w:rPr>
        <w:t>IAB-MT</w:t>
      </w:r>
      <w:r>
        <w:rPr>
          <w:iCs/>
        </w:rPr>
        <w:t xml:space="preserve"> uplink </w:t>
      </w:r>
      <w:r>
        <w:rPr>
          <w:i/>
        </w:rPr>
        <w:t>operating band</w:t>
      </w:r>
      <w:r>
        <w:t xml:space="preserve">. The limits may apply as an optional protection of such systems that are deployed in the same geographical area as the IAB-Node, or they may be set by local or regional regulation as a mandatory requirement for an NR </w:t>
      </w:r>
      <w:r>
        <w:rPr>
          <w:i/>
        </w:rPr>
        <w:t>operating band</w:t>
      </w:r>
      <w:r>
        <w:t>. It is in some cases not stated in the present document whether a requirement is mandatory or under what exact circumstances that a limit applies, since this is set by local or regional regulation. An overview of regional requirements in the present document is given in clause 4.5.</w:t>
      </w:r>
    </w:p>
    <w:p w14:paraId="6CA6412F" w14:textId="700F3213" w:rsidR="00906BE7" w:rsidRDefault="00906BE7" w:rsidP="00906BE7">
      <w:r>
        <w:t xml:space="preserve">Some requirements may apply for the protection of specific equipment (UE, MS and/or BS) or equipment operating in specific systems (GSM, CDMA, UTRA, E-UTRA, NR, etc.). The Tx additional spurious emissions requirements for </w:t>
      </w:r>
      <w:r>
        <w:rPr>
          <w:i/>
        </w:rPr>
        <w:t xml:space="preserve">IAB-DU type 1-O </w:t>
      </w:r>
      <w:r w:rsidRPr="00743313">
        <w:rPr>
          <w:iCs/>
        </w:rPr>
        <w:t>and</w:t>
      </w:r>
      <w:r>
        <w:rPr>
          <w:i/>
        </w:rPr>
        <w:t xml:space="preserve"> IAB-MT type 1-O</w:t>
      </w:r>
      <w:r>
        <w:t xml:space="preserve"> are that for each applicable </w:t>
      </w:r>
      <w:r>
        <w:rPr>
          <w:i/>
        </w:rPr>
        <w:t>basic limit</w:t>
      </w:r>
      <w:r>
        <w:t xml:space="preserve"> in clause 6.6.5.2.2, t</w:t>
      </w:r>
      <w:r>
        <w:rPr>
          <w:rFonts w:cs="v5.0.0"/>
        </w:rPr>
        <w:t xml:space="preserve">he TRP of any spurious emission shall </w:t>
      </w:r>
      <w:r>
        <w:t xml:space="preserve">not exceed an OTA limit specified as the </w:t>
      </w:r>
      <w:r>
        <w:rPr>
          <w:i/>
        </w:rPr>
        <w:t>basic limit</w:t>
      </w:r>
      <w:r>
        <w:t xml:space="preserve"> + X, where X = 9 dB for IAB-DU and X = 10log</w:t>
      </w:r>
      <w:r>
        <w:rPr>
          <w:vertAlign w:val="subscript"/>
        </w:rPr>
        <w:t>10</w:t>
      </w:r>
      <w:r>
        <w:t>(N</w:t>
      </w:r>
      <w:r>
        <w:rPr>
          <w:vertAlign w:val="subscript"/>
        </w:rPr>
        <w:t>TXU,countedpercell</w:t>
      </w:r>
      <w:r>
        <w:t>) dB for IAB-MT.</w:t>
      </w:r>
    </w:p>
    <w:p w14:paraId="703678CB" w14:textId="77777777" w:rsidR="00CA0334" w:rsidRDefault="00CA0334" w:rsidP="00CA0334">
      <w:pPr>
        <w:pStyle w:val="Heading5"/>
        <w:rPr>
          <w:lang w:eastAsia="zh-CN"/>
        </w:rPr>
      </w:pPr>
      <w:bookmarkStart w:id="5805" w:name="_Toc57820375"/>
      <w:bookmarkStart w:id="5806" w:name="_Toc57821302"/>
      <w:bookmarkStart w:id="5807" w:name="_Toc61183578"/>
      <w:bookmarkStart w:id="5808" w:name="_Toc61183972"/>
      <w:bookmarkStart w:id="5809" w:name="_Toc61184364"/>
      <w:bookmarkStart w:id="5810" w:name="_Toc61184756"/>
      <w:bookmarkStart w:id="5811" w:name="_Toc61185146"/>
      <w:bookmarkStart w:id="5812" w:name="_Toc66386490"/>
      <w:bookmarkStart w:id="5813" w:name="_Toc74583393"/>
      <w:bookmarkStart w:id="5814" w:name="_Toc76542206"/>
      <w:bookmarkStart w:id="5815" w:name="_Toc82450188"/>
      <w:bookmarkStart w:id="5816" w:name="_Toc82450836"/>
      <w:bookmarkStart w:id="5817" w:name="_Toc89949225"/>
      <w:bookmarkStart w:id="5818" w:name="_Toc98755614"/>
      <w:bookmarkStart w:id="5819" w:name="_Toc98763206"/>
      <w:bookmarkStart w:id="5820" w:name="_Toc106184135"/>
      <w:r>
        <w:rPr>
          <w:lang w:eastAsia="zh-CN"/>
        </w:rPr>
        <w:t>9.7.5.2.4</w:t>
      </w:r>
      <w:r>
        <w:rPr>
          <w:lang w:eastAsia="zh-CN"/>
        </w:rPr>
        <w:tab/>
        <w:t>Co-location with other base stations</w:t>
      </w:r>
      <w:bookmarkEnd w:id="5796"/>
      <w:bookmarkEnd w:id="5797"/>
      <w:bookmarkEnd w:id="5798"/>
      <w:bookmarkEnd w:id="5799"/>
      <w:bookmarkEnd w:id="5800"/>
      <w:bookmarkEnd w:id="5801"/>
      <w:bookmarkEnd w:id="5802"/>
      <w:r>
        <w:rPr>
          <w:lang w:eastAsia="zh-CN"/>
        </w:rPr>
        <w:t xml:space="preserve"> and IAB-Nodes</w:t>
      </w:r>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p>
    <w:p w14:paraId="74C50226" w14:textId="77777777" w:rsidR="00CA0334" w:rsidRDefault="00CA0334" w:rsidP="00CA0334">
      <w:pPr>
        <w:rPr>
          <w:rFonts w:cs="v5.0.0"/>
        </w:rPr>
      </w:pPr>
      <w:r>
        <w:rPr>
          <w:rFonts w:cs="v5.0.0"/>
        </w:rPr>
        <w:t>These requirements may be applied for the protection of other receivers when GSM900, DCS1800, PCS1900, GSM850, CDMA850, UTRA FDD, UTRA TDD, E-UTRA, NR BS, IAB-DU and/or IAB-MT are co-located with an IAB-Node.</w:t>
      </w:r>
    </w:p>
    <w:p w14:paraId="44F05621" w14:textId="77777777" w:rsidR="00CA0334" w:rsidRDefault="00CA0334" w:rsidP="00CA0334">
      <w:pPr>
        <w:rPr>
          <w:rFonts w:cs="v5.0.0"/>
        </w:rPr>
      </w:pPr>
      <w:r>
        <w:rPr>
          <w:rFonts w:cs="v5.0.0"/>
        </w:rPr>
        <w:t>The requirements assume co-location with the same class.</w:t>
      </w:r>
    </w:p>
    <w:p w14:paraId="5325003C" w14:textId="77777777" w:rsidR="00CA0334" w:rsidRDefault="00CA0334" w:rsidP="00CA0334">
      <w:pPr>
        <w:pStyle w:val="NO"/>
      </w:pPr>
      <w:r>
        <w:t>NOTE:</w:t>
      </w:r>
      <w:r>
        <w:tab/>
        <w:t>For co-location with UTRA, the requirements are based on co-location with UTRA FDD or TDD base stations.</w:t>
      </w:r>
    </w:p>
    <w:p w14:paraId="4D86EC3E" w14:textId="77777777" w:rsidR="00CA0334" w:rsidRDefault="00CA0334" w:rsidP="00CA0334">
      <w:pPr>
        <w:rPr>
          <w:rFonts w:cs="v5.0.0"/>
        </w:rPr>
      </w:pPr>
      <w:r>
        <w:rPr>
          <w:rFonts w:cs="v5.0.0"/>
        </w:rPr>
        <w:t xml:space="preserve">This requirement is a co-location requirement as defined in clause 4.9, the power levels are specified at the </w:t>
      </w:r>
      <w:r>
        <w:rPr>
          <w:rFonts w:cs="v5.0.0"/>
          <w:i/>
        </w:rPr>
        <w:t xml:space="preserve">co-location reference antenna </w:t>
      </w:r>
      <w:r>
        <w:rPr>
          <w:rFonts w:cs="v5.0.0"/>
        </w:rPr>
        <w:t>output(s).</w:t>
      </w:r>
    </w:p>
    <w:p w14:paraId="4C21D652" w14:textId="77777777" w:rsidR="00CA0334" w:rsidRDefault="00CA0334" w:rsidP="00CA0334">
      <w:r>
        <w:rPr>
          <w:rFonts w:cs="v5.0.0"/>
        </w:rPr>
        <w:t xml:space="preserve">The power sum of any spurious emission is specified over all supported polarizations at the output(s) of the </w:t>
      </w:r>
      <w:r>
        <w:rPr>
          <w:rFonts w:cs="v5.0.0"/>
          <w:i/>
        </w:rPr>
        <w:t>co-location reference antenna</w:t>
      </w:r>
      <w:r>
        <w:rPr>
          <w:rFonts w:cs="v5.0.0"/>
        </w:rPr>
        <w:t xml:space="preserve"> and shall not exceed</w:t>
      </w:r>
      <w:r>
        <w:t xml:space="preserve"> the </w:t>
      </w:r>
      <w:r>
        <w:rPr>
          <w:rFonts w:cs="v5.0.0"/>
          <w:i/>
        </w:rPr>
        <w:t>basic limits</w:t>
      </w:r>
      <w:r>
        <w:rPr>
          <w:rFonts w:cs="v5.0.0"/>
        </w:rPr>
        <w:t xml:space="preserve"> in clause 6.6.5.2.3 + X dB, </w:t>
      </w:r>
      <w:r>
        <w:t>where X = -21 dB for IAB-DU and X = -30 + 10log</w:t>
      </w:r>
      <w:r>
        <w:rPr>
          <w:vertAlign w:val="subscript"/>
        </w:rPr>
        <w:t>10</w:t>
      </w:r>
      <w:r>
        <w:t>(N</w:t>
      </w:r>
      <w:r>
        <w:rPr>
          <w:vertAlign w:val="subscript"/>
        </w:rPr>
        <w:t>TXU,countedpercell</w:t>
      </w:r>
      <w:r>
        <w:t>) dB for IAB-MT.</w:t>
      </w:r>
    </w:p>
    <w:p w14:paraId="4927F2C9" w14:textId="77777777" w:rsidR="00CA0334" w:rsidRDefault="00CA0334" w:rsidP="00CA0334">
      <w:pPr>
        <w:rPr>
          <w:lang w:eastAsia="zh-CN"/>
        </w:rPr>
      </w:pPr>
      <w:r>
        <w:t xml:space="preserve">For a </w:t>
      </w:r>
      <w:r>
        <w:rPr>
          <w:i/>
        </w:rPr>
        <w:t>multi-band RIB</w:t>
      </w:r>
      <w:r>
        <w:t xml:space="preserve">, the exclusions and conditions in the notes column of table </w:t>
      </w:r>
      <w:r>
        <w:rPr>
          <w:rFonts w:cs="v5.0.0"/>
        </w:rPr>
        <w:t xml:space="preserve">6.6.5.2.3-1 </w:t>
      </w:r>
      <w:r>
        <w:t xml:space="preserve">apply for each supported </w:t>
      </w:r>
      <w:r>
        <w:rPr>
          <w:i/>
        </w:rPr>
        <w:t>operating band</w:t>
      </w:r>
      <w:r>
        <w:t>.</w:t>
      </w:r>
    </w:p>
    <w:p w14:paraId="1C99F18C" w14:textId="77777777" w:rsidR="00CA0334" w:rsidRDefault="00CA0334" w:rsidP="00CA0334">
      <w:pPr>
        <w:pStyle w:val="Heading4"/>
      </w:pPr>
      <w:bookmarkStart w:id="5821" w:name="_Toc45893676"/>
      <w:bookmarkStart w:id="5822" w:name="_Toc44712364"/>
      <w:bookmarkStart w:id="5823" w:name="_Toc37267759"/>
      <w:bookmarkStart w:id="5824" w:name="_Toc37260371"/>
      <w:bookmarkStart w:id="5825" w:name="_Toc36817449"/>
      <w:bookmarkStart w:id="5826" w:name="_Toc29811897"/>
      <w:bookmarkStart w:id="5827" w:name="_Toc21127688"/>
      <w:bookmarkStart w:id="5828" w:name="_Toc53185514"/>
      <w:bookmarkStart w:id="5829" w:name="_Toc53185890"/>
      <w:bookmarkStart w:id="5830" w:name="_Toc57820376"/>
      <w:bookmarkStart w:id="5831" w:name="_Toc57821303"/>
      <w:bookmarkStart w:id="5832" w:name="_Toc61183579"/>
      <w:bookmarkStart w:id="5833" w:name="_Toc61183973"/>
      <w:bookmarkStart w:id="5834" w:name="_Toc61184365"/>
      <w:bookmarkStart w:id="5835" w:name="_Toc61184757"/>
      <w:bookmarkStart w:id="5836" w:name="_Toc61185147"/>
      <w:bookmarkStart w:id="5837" w:name="_Toc66386491"/>
      <w:bookmarkStart w:id="5838" w:name="_Toc74583394"/>
      <w:bookmarkStart w:id="5839" w:name="_Toc76542207"/>
      <w:bookmarkStart w:id="5840" w:name="_Toc82450189"/>
      <w:bookmarkStart w:id="5841" w:name="_Toc82450837"/>
      <w:bookmarkStart w:id="5842" w:name="_Toc89949226"/>
      <w:bookmarkStart w:id="5843" w:name="_Toc98755615"/>
      <w:bookmarkStart w:id="5844" w:name="_Toc98763207"/>
      <w:bookmarkStart w:id="5845" w:name="_Toc106184136"/>
      <w:r>
        <w:t>9.7.5.3</w:t>
      </w:r>
      <w:r>
        <w:tab/>
        <w:t xml:space="preserve">Minimum requirement for </w:t>
      </w:r>
      <w:r>
        <w:rPr>
          <w:i/>
        </w:rPr>
        <w:t>IAB-DU type 2-O and IAB-MT type 2-O</w:t>
      </w:r>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p>
    <w:p w14:paraId="58D44A3F" w14:textId="77777777" w:rsidR="00CA0334" w:rsidRDefault="00CA0334" w:rsidP="00CA0334">
      <w:pPr>
        <w:pStyle w:val="Heading5"/>
      </w:pPr>
      <w:bookmarkStart w:id="5846" w:name="_Toc45893677"/>
      <w:bookmarkStart w:id="5847" w:name="_Toc44712365"/>
      <w:bookmarkStart w:id="5848" w:name="_Toc37267760"/>
      <w:bookmarkStart w:id="5849" w:name="_Toc37260372"/>
      <w:bookmarkStart w:id="5850" w:name="_Toc36817450"/>
      <w:bookmarkStart w:id="5851" w:name="_Toc29811898"/>
      <w:bookmarkStart w:id="5852" w:name="_Toc21127689"/>
      <w:bookmarkStart w:id="5853" w:name="_Toc53185515"/>
      <w:bookmarkStart w:id="5854" w:name="_Toc53185891"/>
      <w:bookmarkStart w:id="5855" w:name="_Toc57820377"/>
      <w:bookmarkStart w:id="5856" w:name="_Toc57821304"/>
      <w:bookmarkStart w:id="5857" w:name="_Toc61183580"/>
      <w:bookmarkStart w:id="5858" w:name="_Toc61183974"/>
      <w:bookmarkStart w:id="5859" w:name="_Toc61184366"/>
      <w:bookmarkStart w:id="5860" w:name="_Toc61184758"/>
      <w:bookmarkStart w:id="5861" w:name="_Toc61185148"/>
      <w:bookmarkStart w:id="5862" w:name="_Toc66386492"/>
      <w:bookmarkStart w:id="5863" w:name="_Toc74583395"/>
      <w:bookmarkStart w:id="5864" w:name="_Toc76542208"/>
      <w:bookmarkStart w:id="5865" w:name="_Toc82450190"/>
      <w:bookmarkStart w:id="5866" w:name="_Toc82450838"/>
      <w:bookmarkStart w:id="5867" w:name="_Toc89949227"/>
      <w:bookmarkStart w:id="5868" w:name="_Toc98755616"/>
      <w:bookmarkStart w:id="5869" w:name="_Toc98763208"/>
      <w:bookmarkStart w:id="5870" w:name="_Toc106184137"/>
      <w:r>
        <w:t>9.7.5.3.1</w:t>
      </w:r>
      <w:r>
        <w:tab/>
        <w:t>General</w:t>
      </w:r>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p>
    <w:p w14:paraId="63312A2D" w14:textId="77777777" w:rsidR="00CA0334" w:rsidRDefault="00CA0334" w:rsidP="00CA0334">
      <w:r>
        <w:t>For IAB-DU type 2-O, the OTA transmitter spurious emission limits apply from 30 MHz to 2</w:t>
      </w:r>
      <w:r>
        <w:rPr>
          <w:vertAlign w:val="superscript"/>
        </w:rPr>
        <w:t>nd</w:t>
      </w:r>
      <w:r>
        <w:t xml:space="preserve"> harmonic of the upper frequency edge of the downlink </w:t>
      </w:r>
      <w:r>
        <w:rPr>
          <w:i/>
        </w:rPr>
        <w:t>operating band</w:t>
      </w:r>
      <w:r>
        <w:t xml:space="preserve">, excluding the frequency range from </w:t>
      </w:r>
      <w:r>
        <w:rPr>
          <w:rFonts w:cs="v5.0.0"/>
        </w:rPr>
        <w:t>Δf</w:t>
      </w:r>
      <w:r>
        <w:rPr>
          <w:rFonts w:cs="v5.0.0"/>
          <w:vertAlign w:val="subscript"/>
        </w:rPr>
        <w:t>OBUE</w:t>
      </w:r>
      <w:r>
        <w:t xml:space="preserve"> below the lowest frequency of the downlink </w:t>
      </w:r>
      <w:r>
        <w:rPr>
          <w:i/>
        </w:rPr>
        <w:t>operating band</w:t>
      </w:r>
      <w:r>
        <w:t xml:space="preserve">, up to </w:t>
      </w:r>
      <w:r>
        <w:rPr>
          <w:rFonts w:cs="v5.0.0"/>
        </w:rPr>
        <w:t>Δf</w:t>
      </w:r>
      <w:r>
        <w:rPr>
          <w:rFonts w:cs="v5.0.0"/>
          <w:vertAlign w:val="subscript"/>
        </w:rPr>
        <w:t>OBUE</w:t>
      </w:r>
      <w:r>
        <w:rPr>
          <w:lang w:eastAsia="zh-CN"/>
        </w:rPr>
        <w:t xml:space="preserve"> </w:t>
      </w:r>
      <w:r>
        <w:t xml:space="preserve">above the highest frequency of the downlink </w:t>
      </w:r>
      <w:r>
        <w:rPr>
          <w:i/>
        </w:rPr>
        <w:t>operating band</w:t>
      </w:r>
      <w:r>
        <w:t xml:space="preserve">, where the </w:t>
      </w:r>
      <w:r>
        <w:rPr>
          <w:rFonts w:cs="v5.0.0"/>
        </w:rPr>
        <w:t>Δf</w:t>
      </w:r>
      <w:r>
        <w:rPr>
          <w:rFonts w:cs="v5.0.0"/>
          <w:vertAlign w:val="subscript"/>
        </w:rPr>
        <w:t>OBUE</w:t>
      </w:r>
      <w:r>
        <w:rPr>
          <w:rFonts w:cs="v5.0.0"/>
        </w:rPr>
        <w:t xml:space="preserve"> is defined in table 9.7.1-1</w:t>
      </w:r>
      <w:r>
        <w:t>.</w:t>
      </w:r>
    </w:p>
    <w:p w14:paraId="702BF1A3" w14:textId="77777777" w:rsidR="00CA0334" w:rsidRDefault="00CA0334" w:rsidP="00CA0334">
      <w:r>
        <w:t>For IAB-MT type 2-O, the OTA transmitter spurious emission limits apply from 30 MHz to 2</w:t>
      </w:r>
      <w:r>
        <w:rPr>
          <w:vertAlign w:val="superscript"/>
        </w:rPr>
        <w:t>nd</w:t>
      </w:r>
      <w:r>
        <w:t xml:space="preserve"> harmonic of the upper frequency edge of the downlink </w:t>
      </w:r>
      <w:r>
        <w:rPr>
          <w:i/>
        </w:rPr>
        <w:t>operating band</w:t>
      </w:r>
      <w:r>
        <w:t xml:space="preserve">, excluding the frequency range from </w:t>
      </w:r>
      <w:r>
        <w:rPr>
          <w:rFonts w:cs="v5.0.0"/>
        </w:rPr>
        <w:t>Δf</w:t>
      </w:r>
      <w:r>
        <w:rPr>
          <w:rFonts w:cs="v5.0.0"/>
          <w:vertAlign w:val="subscript"/>
        </w:rPr>
        <w:t>OBUE</w:t>
      </w:r>
      <w:r>
        <w:t xml:space="preserve"> below the lowest frequency of the uplink </w:t>
      </w:r>
      <w:r>
        <w:rPr>
          <w:i/>
        </w:rPr>
        <w:t>operating band</w:t>
      </w:r>
      <w:r>
        <w:t xml:space="preserve">, up to </w:t>
      </w:r>
      <w:r>
        <w:rPr>
          <w:rFonts w:cs="v5.0.0"/>
        </w:rPr>
        <w:t>Δf</w:t>
      </w:r>
      <w:r>
        <w:rPr>
          <w:rFonts w:cs="v5.0.0"/>
          <w:vertAlign w:val="subscript"/>
        </w:rPr>
        <w:t>OBUE</w:t>
      </w:r>
      <w:r>
        <w:rPr>
          <w:lang w:eastAsia="zh-CN"/>
        </w:rPr>
        <w:t xml:space="preserve"> </w:t>
      </w:r>
      <w:r>
        <w:t xml:space="preserve">above the highest frequency of the uplink </w:t>
      </w:r>
      <w:r>
        <w:rPr>
          <w:i/>
        </w:rPr>
        <w:t>operating band</w:t>
      </w:r>
      <w:r>
        <w:t xml:space="preserve">, where the </w:t>
      </w:r>
      <w:r>
        <w:rPr>
          <w:rFonts w:cs="v5.0.0"/>
        </w:rPr>
        <w:t>Δf</w:t>
      </w:r>
      <w:r>
        <w:rPr>
          <w:rFonts w:cs="v5.0.0"/>
          <w:vertAlign w:val="subscript"/>
        </w:rPr>
        <w:t>OBUE</w:t>
      </w:r>
      <w:r>
        <w:rPr>
          <w:rFonts w:cs="v5.0.0"/>
        </w:rPr>
        <w:t xml:space="preserve"> is defined in table 9.7.1-2</w:t>
      </w:r>
      <w:r>
        <w:t>.</w:t>
      </w:r>
    </w:p>
    <w:p w14:paraId="60E1ECA1" w14:textId="77777777" w:rsidR="00CA0334" w:rsidRDefault="00CA0334" w:rsidP="00CA0334">
      <w:pPr>
        <w:pStyle w:val="Heading5"/>
      </w:pPr>
      <w:bookmarkStart w:id="5871" w:name="_Toc45893678"/>
      <w:bookmarkStart w:id="5872" w:name="_Toc44712366"/>
      <w:bookmarkStart w:id="5873" w:name="_Toc37267761"/>
      <w:bookmarkStart w:id="5874" w:name="_Toc37260373"/>
      <w:bookmarkStart w:id="5875" w:name="_Toc36817451"/>
      <w:bookmarkStart w:id="5876" w:name="_Toc29811899"/>
      <w:bookmarkStart w:id="5877" w:name="_Toc21127690"/>
      <w:bookmarkStart w:id="5878" w:name="_Toc53185516"/>
      <w:bookmarkStart w:id="5879" w:name="_Toc53185892"/>
      <w:bookmarkStart w:id="5880" w:name="_Toc57820378"/>
      <w:bookmarkStart w:id="5881" w:name="_Toc57821305"/>
      <w:bookmarkStart w:id="5882" w:name="_Toc61183581"/>
      <w:bookmarkStart w:id="5883" w:name="_Toc61183975"/>
      <w:bookmarkStart w:id="5884" w:name="_Toc61184367"/>
      <w:bookmarkStart w:id="5885" w:name="_Toc61184759"/>
      <w:bookmarkStart w:id="5886" w:name="_Toc61185149"/>
      <w:bookmarkStart w:id="5887" w:name="_Toc66386493"/>
      <w:bookmarkStart w:id="5888" w:name="_Toc74583396"/>
      <w:bookmarkStart w:id="5889" w:name="_Toc76542209"/>
      <w:bookmarkStart w:id="5890" w:name="_Toc82450191"/>
      <w:bookmarkStart w:id="5891" w:name="_Toc82450839"/>
      <w:bookmarkStart w:id="5892" w:name="_Toc89949228"/>
      <w:bookmarkStart w:id="5893" w:name="_Toc98755617"/>
      <w:bookmarkStart w:id="5894" w:name="_Toc98763209"/>
      <w:bookmarkStart w:id="5895" w:name="_Toc106184138"/>
      <w:r>
        <w:lastRenderedPageBreak/>
        <w:t>9.7.5.3.2</w:t>
      </w:r>
      <w:r>
        <w:tab/>
        <w:t>General OTA transmitter spurious emissions requirements</w:t>
      </w:r>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p>
    <w:p w14:paraId="563FC46A" w14:textId="77777777" w:rsidR="00CA0334" w:rsidRDefault="00CA0334" w:rsidP="00CA0334">
      <w:pPr>
        <w:pStyle w:val="Heading6"/>
      </w:pPr>
      <w:bookmarkStart w:id="5896" w:name="_Toc45893679"/>
      <w:bookmarkStart w:id="5897" w:name="_Toc44712367"/>
      <w:bookmarkStart w:id="5898" w:name="_Toc37267762"/>
      <w:bookmarkStart w:id="5899" w:name="_Toc37260374"/>
      <w:bookmarkStart w:id="5900" w:name="_Toc36817452"/>
      <w:bookmarkStart w:id="5901" w:name="_Toc29811900"/>
      <w:bookmarkStart w:id="5902" w:name="_Toc21127691"/>
      <w:bookmarkStart w:id="5903" w:name="_Toc53185517"/>
      <w:bookmarkStart w:id="5904" w:name="_Toc53185893"/>
      <w:bookmarkStart w:id="5905" w:name="_Toc57820379"/>
      <w:bookmarkStart w:id="5906" w:name="_Toc57821306"/>
      <w:bookmarkStart w:id="5907" w:name="_Toc61183582"/>
      <w:bookmarkStart w:id="5908" w:name="_Toc61183976"/>
      <w:bookmarkStart w:id="5909" w:name="_Toc61184368"/>
      <w:bookmarkStart w:id="5910" w:name="_Toc61184760"/>
      <w:bookmarkStart w:id="5911" w:name="_Toc61185150"/>
      <w:bookmarkStart w:id="5912" w:name="_Toc66386494"/>
      <w:bookmarkStart w:id="5913" w:name="_Toc74583397"/>
      <w:bookmarkStart w:id="5914" w:name="_Toc76542210"/>
      <w:bookmarkStart w:id="5915" w:name="_Toc82450192"/>
      <w:bookmarkStart w:id="5916" w:name="_Toc82450840"/>
      <w:bookmarkStart w:id="5917" w:name="_Toc89949229"/>
      <w:bookmarkStart w:id="5918" w:name="_Toc98755618"/>
      <w:bookmarkStart w:id="5919" w:name="_Toc98763210"/>
      <w:bookmarkStart w:id="5920" w:name="_Toc106184139"/>
      <w:bookmarkEnd w:id="5693"/>
      <w:r>
        <w:t>9.7.5.3.2.1</w:t>
      </w:r>
      <w:r>
        <w:tab/>
        <w:t>General</w:t>
      </w:r>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p>
    <w:p w14:paraId="675EEDDF" w14:textId="77777777" w:rsidR="00CA0334" w:rsidRDefault="00CA0334" w:rsidP="001C0902">
      <w:r>
        <w:t>The requirements of either clause 9.7.5.3.2.2 (Category A limits) or clause 9.7.5.3.2.3 (Category B limits) shall apply. The application of either Category A or Category B limits shall be the same as for Operating band unwanted emissions in clause 9.7.4.</w:t>
      </w:r>
    </w:p>
    <w:p w14:paraId="3FD87C46" w14:textId="77777777" w:rsidR="00CA0334" w:rsidRDefault="00CA0334" w:rsidP="00CA0334">
      <w:pPr>
        <w:pStyle w:val="Heading6"/>
      </w:pPr>
      <w:bookmarkStart w:id="5921" w:name="_Toc45893680"/>
      <w:bookmarkStart w:id="5922" w:name="_Toc44712368"/>
      <w:bookmarkStart w:id="5923" w:name="_Toc37267763"/>
      <w:bookmarkStart w:id="5924" w:name="_Toc37260375"/>
      <w:bookmarkStart w:id="5925" w:name="_Toc36817453"/>
      <w:bookmarkStart w:id="5926" w:name="_Toc29811901"/>
      <w:bookmarkStart w:id="5927" w:name="_Toc21127692"/>
      <w:bookmarkStart w:id="5928" w:name="_Toc53185518"/>
      <w:bookmarkStart w:id="5929" w:name="_Toc53185894"/>
      <w:bookmarkStart w:id="5930" w:name="_Toc57820380"/>
      <w:bookmarkStart w:id="5931" w:name="_Toc57821307"/>
      <w:bookmarkStart w:id="5932" w:name="_Toc61183583"/>
      <w:bookmarkStart w:id="5933" w:name="_Toc61183977"/>
      <w:bookmarkStart w:id="5934" w:name="_Toc61184369"/>
      <w:bookmarkStart w:id="5935" w:name="_Toc61184761"/>
      <w:bookmarkStart w:id="5936" w:name="_Toc61185151"/>
      <w:bookmarkStart w:id="5937" w:name="_Toc66386495"/>
      <w:bookmarkStart w:id="5938" w:name="_Toc74583398"/>
      <w:bookmarkStart w:id="5939" w:name="_Toc76542211"/>
      <w:bookmarkStart w:id="5940" w:name="_Toc82450193"/>
      <w:bookmarkStart w:id="5941" w:name="_Toc82450841"/>
      <w:bookmarkStart w:id="5942" w:name="_Toc89949230"/>
      <w:bookmarkStart w:id="5943" w:name="_Toc98755619"/>
      <w:bookmarkStart w:id="5944" w:name="_Toc98763211"/>
      <w:bookmarkStart w:id="5945" w:name="_Toc106184140"/>
      <w:r>
        <w:t>9.7.5.3.2.2</w:t>
      </w:r>
      <w:r>
        <w:tab/>
        <w:t>OTA transmitter spurious emissions (Category A)</w:t>
      </w:r>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p>
    <w:p w14:paraId="6F24515C" w14:textId="77777777" w:rsidR="00CA0334" w:rsidRDefault="00CA0334" w:rsidP="001C0902">
      <w:r>
        <w:t>The power of any spurious emission shall not exceed the limits in table 9.7.5.3.2-1</w:t>
      </w:r>
    </w:p>
    <w:p w14:paraId="5F521EA5" w14:textId="77777777" w:rsidR="00CA0334" w:rsidRDefault="00CA0334" w:rsidP="00CA0334">
      <w:pPr>
        <w:pStyle w:val="TH"/>
      </w:pPr>
      <w:r>
        <w:t>Table 9.7.5.3.2.2-1: IAB-DU and IAB-MT radiated Tx spurious emission limits in FR2</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CA0334" w14:paraId="20B01039" w14:textId="77777777" w:rsidTr="00906BE7">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6C6E9341" w14:textId="77777777" w:rsidR="00CA0334" w:rsidRDefault="00CA0334" w:rsidP="00BD1F8C">
            <w:pPr>
              <w:pStyle w:val="TAH"/>
            </w:pPr>
            <w:r>
              <w:t>Frequency range</w:t>
            </w:r>
          </w:p>
        </w:tc>
        <w:tc>
          <w:tcPr>
            <w:tcW w:w="2052" w:type="dxa"/>
            <w:tcBorders>
              <w:top w:val="single" w:sz="6" w:space="0" w:color="000000"/>
              <w:left w:val="single" w:sz="6" w:space="0" w:color="000000"/>
              <w:bottom w:val="single" w:sz="4" w:space="0" w:color="auto"/>
              <w:right w:val="single" w:sz="6" w:space="0" w:color="000000"/>
            </w:tcBorders>
            <w:hideMark/>
          </w:tcPr>
          <w:p w14:paraId="6914135B" w14:textId="77777777" w:rsidR="00CA0334" w:rsidRDefault="00CA0334" w:rsidP="00BD1F8C">
            <w:pPr>
              <w:pStyle w:val="TAH"/>
            </w:pPr>
            <w:r>
              <w:t>Limit</w:t>
            </w:r>
          </w:p>
        </w:tc>
        <w:tc>
          <w:tcPr>
            <w:tcW w:w="1440" w:type="dxa"/>
            <w:tcBorders>
              <w:top w:val="single" w:sz="6" w:space="0" w:color="000000"/>
              <w:left w:val="single" w:sz="6" w:space="0" w:color="000000"/>
              <w:bottom w:val="single" w:sz="6" w:space="0" w:color="000000"/>
              <w:right w:val="single" w:sz="6" w:space="0" w:color="000000"/>
            </w:tcBorders>
            <w:hideMark/>
          </w:tcPr>
          <w:p w14:paraId="423775E1" w14:textId="77777777" w:rsidR="00CA0334" w:rsidRDefault="00CA0334" w:rsidP="00BD1F8C">
            <w:pPr>
              <w:pStyle w:val="TAH"/>
            </w:pPr>
            <w:r>
              <w:rPr>
                <w:i/>
              </w:rPr>
              <w:t>Measurement Bandwidth</w:t>
            </w:r>
          </w:p>
        </w:tc>
        <w:tc>
          <w:tcPr>
            <w:tcW w:w="2604" w:type="dxa"/>
            <w:tcBorders>
              <w:top w:val="single" w:sz="6" w:space="0" w:color="000000"/>
              <w:left w:val="single" w:sz="6" w:space="0" w:color="000000"/>
              <w:bottom w:val="single" w:sz="6" w:space="0" w:color="000000"/>
              <w:right w:val="single" w:sz="6" w:space="0" w:color="000000"/>
            </w:tcBorders>
            <w:hideMark/>
          </w:tcPr>
          <w:p w14:paraId="64B22130" w14:textId="77777777" w:rsidR="00CA0334" w:rsidRDefault="00CA0334" w:rsidP="00BD1F8C">
            <w:pPr>
              <w:pStyle w:val="TAH"/>
            </w:pPr>
            <w:r>
              <w:t>Note</w:t>
            </w:r>
          </w:p>
        </w:tc>
      </w:tr>
      <w:tr w:rsidR="00906BE7" w14:paraId="080176D2" w14:textId="77777777" w:rsidTr="00906BE7">
        <w:trPr>
          <w:cantSplit/>
          <w:jc w:val="center"/>
        </w:trPr>
        <w:tc>
          <w:tcPr>
            <w:tcW w:w="2376" w:type="dxa"/>
            <w:tcBorders>
              <w:top w:val="single" w:sz="6" w:space="0" w:color="000000"/>
              <w:left w:val="single" w:sz="6" w:space="0" w:color="000000"/>
              <w:bottom w:val="single" w:sz="6" w:space="0" w:color="000000"/>
              <w:right w:val="single" w:sz="4" w:space="0" w:color="auto"/>
            </w:tcBorders>
            <w:hideMark/>
          </w:tcPr>
          <w:p w14:paraId="1D6B0FC2" w14:textId="77777777" w:rsidR="00906BE7" w:rsidRDefault="00906BE7" w:rsidP="00906BE7">
            <w:pPr>
              <w:pStyle w:val="TAC"/>
            </w:pPr>
            <w:r>
              <w:t>30 MHz – 1 GHz</w:t>
            </w:r>
          </w:p>
        </w:tc>
        <w:tc>
          <w:tcPr>
            <w:tcW w:w="2052" w:type="dxa"/>
            <w:tcBorders>
              <w:top w:val="single" w:sz="4" w:space="0" w:color="auto"/>
              <w:left w:val="single" w:sz="4" w:space="0" w:color="auto"/>
              <w:bottom w:val="nil"/>
              <w:right w:val="single" w:sz="4" w:space="0" w:color="auto"/>
            </w:tcBorders>
            <w:shd w:val="clear" w:color="auto" w:fill="auto"/>
            <w:hideMark/>
          </w:tcPr>
          <w:p w14:paraId="2F485008" w14:textId="77777777" w:rsidR="00906BE7" w:rsidRDefault="00906BE7" w:rsidP="00906BE7">
            <w:pPr>
              <w:pStyle w:val="TAC"/>
            </w:pPr>
            <w:r>
              <w:t>-13 dBm</w:t>
            </w:r>
          </w:p>
        </w:tc>
        <w:tc>
          <w:tcPr>
            <w:tcW w:w="1440" w:type="dxa"/>
            <w:tcBorders>
              <w:top w:val="single" w:sz="6" w:space="0" w:color="000000"/>
              <w:left w:val="single" w:sz="4" w:space="0" w:color="auto"/>
              <w:bottom w:val="single" w:sz="6" w:space="0" w:color="000000"/>
              <w:right w:val="single" w:sz="6" w:space="0" w:color="000000"/>
            </w:tcBorders>
            <w:hideMark/>
          </w:tcPr>
          <w:p w14:paraId="0433127C" w14:textId="77777777" w:rsidR="00906BE7" w:rsidRDefault="00906BE7" w:rsidP="00906BE7">
            <w:pPr>
              <w:pStyle w:val="TAC"/>
            </w:pPr>
            <w:r>
              <w:t>100 kHz</w:t>
            </w:r>
          </w:p>
        </w:tc>
        <w:tc>
          <w:tcPr>
            <w:tcW w:w="2604" w:type="dxa"/>
            <w:tcBorders>
              <w:top w:val="single" w:sz="6" w:space="0" w:color="000000"/>
              <w:left w:val="single" w:sz="6" w:space="0" w:color="000000"/>
              <w:bottom w:val="single" w:sz="6" w:space="0" w:color="000000"/>
              <w:right w:val="single" w:sz="6" w:space="0" w:color="000000"/>
            </w:tcBorders>
            <w:hideMark/>
          </w:tcPr>
          <w:p w14:paraId="3658CEC7" w14:textId="77777777" w:rsidR="00906BE7" w:rsidRDefault="00906BE7" w:rsidP="00906BE7">
            <w:pPr>
              <w:pStyle w:val="TAC"/>
              <w:rPr>
                <w:rFonts w:cs="Arial"/>
              </w:rPr>
            </w:pPr>
            <w:r>
              <w:rPr>
                <w:rFonts w:cs="Arial"/>
              </w:rPr>
              <w:t>Note 1</w:t>
            </w:r>
          </w:p>
        </w:tc>
      </w:tr>
      <w:tr w:rsidR="00906BE7" w14:paraId="431FCF7B" w14:textId="77777777" w:rsidTr="00906BE7">
        <w:trPr>
          <w:cantSplit/>
          <w:jc w:val="center"/>
        </w:trPr>
        <w:tc>
          <w:tcPr>
            <w:tcW w:w="2376" w:type="dxa"/>
            <w:tcBorders>
              <w:top w:val="single" w:sz="6" w:space="0" w:color="000000"/>
              <w:left w:val="single" w:sz="6" w:space="0" w:color="000000"/>
              <w:bottom w:val="single" w:sz="6" w:space="0" w:color="000000"/>
              <w:right w:val="single" w:sz="4" w:space="0" w:color="auto"/>
            </w:tcBorders>
            <w:hideMark/>
          </w:tcPr>
          <w:p w14:paraId="3B38178D" w14:textId="77777777" w:rsidR="00906BE7" w:rsidRDefault="00906BE7" w:rsidP="00906BE7">
            <w:pPr>
              <w:pStyle w:val="TAC"/>
            </w:pPr>
            <w:r>
              <w:t>1 GHz – 2</w:t>
            </w:r>
            <w:r>
              <w:rPr>
                <w:vertAlign w:val="superscript"/>
              </w:rPr>
              <w:t>nd</w:t>
            </w:r>
            <w:r>
              <w:t xml:space="preserve"> harmonic of the upper frequency edge of the DL </w:t>
            </w:r>
            <w:r>
              <w:rPr>
                <w:i/>
              </w:rPr>
              <w:t>operating band</w:t>
            </w:r>
          </w:p>
        </w:tc>
        <w:tc>
          <w:tcPr>
            <w:tcW w:w="2052" w:type="dxa"/>
            <w:tcBorders>
              <w:top w:val="nil"/>
              <w:left w:val="single" w:sz="4" w:space="0" w:color="auto"/>
              <w:bottom w:val="single" w:sz="4" w:space="0" w:color="auto"/>
              <w:right w:val="single" w:sz="4" w:space="0" w:color="auto"/>
            </w:tcBorders>
            <w:shd w:val="clear" w:color="auto" w:fill="auto"/>
            <w:hideMark/>
          </w:tcPr>
          <w:p w14:paraId="71EC5E14" w14:textId="77777777" w:rsidR="00906BE7" w:rsidRDefault="00906BE7" w:rsidP="00906BE7">
            <w:pPr>
              <w:pStyle w:val="TAC"/>
            </w:pPr>
          </w:p>
        </w:tc>
        <w:tc>
          <w:tcPr>
            <w:tcW w:w="1440" w:type="dxa"/>
            <w:tcBorders>
              <w:top w:val="single" w:sz="6" w:space="0" w:color="000000"/>
              <w:left w:val="single" w:sz="4" w:space="0" w:color="auto"/>
              <w:bottom w:val="single" w:sz="6" w:space="0" w:color="000000"/>
              <w:right w:val="single" w:sz="6" w:space="0" w:color="000000"/>
            </w:tcBorders>
            <w:hideMark/>
          </w:tcPr>
          <w:p w14:paraId="13E207A6" w14:textId="77777777" w:rsidR="00906BE7" w:rsidRDefault="00906BE7" w:rsidP="00906BE7">
            <w:pPr>
              <w:pStyle w:val="TAC"/>
              <w:rPr>
                <w:rFonts w:cs="Arial"/>
              </w:rPr>
            </w:pPr>
            <w:r>
              <w:rPr>
                <w:rFonts w:cs="Arial"/>
              </w:rPr>
              <w:t>1 MHz</w:t>
            </w:r>
          </w:p>
        </w:tc>
        <w:tc>
          <w:tcPr>
            <w:tcW w:w="2604" w:type="dxa"/>
            <w:tcBorders>
              <w:top w:val="single" w:sz="6" w:space="0" w:color="000000"/>
              <w:left w:val="single" w:sz="6" w:space="0" w:color="000000"/>
              <w:bottom w:val="single" w:sz="6" w:space="0" w:color="000000"/>
              <w:right w:val="single" w:sz="6" w:space="0" w:color="000000"/>
            </w:tcBorders>
            <w:hideMark/>
          </w:tcPr>
          <w:p w14:paraId="614C31CF" w14:textId="77777777" w:rsidR="00906BE7" w:rsidRDefault="00906BE7" w:rsidP="00906BE7">
            <w:pPr>
              <w:pStyle w:val="TAC"/>
              <w:rPr>
                <w:rFonts w:cs="Arial"/>
              </w:rPr>
            </w:pPr>
            <w:r>
              <w:rPr>
                <w:rFonts w:cs="Arial"/>
              </w:rPr>
              <w:t>Note 1, Note 2</w:t>
            </w:r>
          </w:p>
        </w:tc>
      </w:tr>
      <w:tr w:rsidR="00CA0334" w:rsidRPr="00AB3358" w14:paraId="407197B4" w14:textId="77777777" w:rsidTr="00BD1F8C">
        <w:trPr>
          <w:cantSplit/>
          <w:jc w:val="center"/>
        </w:trPr>
        <w:tc>
          <w:tcPr>
            <w:tcW w:w="8472" w:type="dxa"/>
            <w:gridSpan w:val="4"/>
            <w:tcBorders>
              <w:top w:val="single" w:sz="6" w:space="0" w:color="000000"/>
              <w:left w:val="single" w:sz="6" w:space="0" w:color="000000"/>
              <w:bottom w:val="single" w:sz="6" w:space="0" w:color="000000"/>
              <w:right w:val="single" w:sz="6" w:space="0" w:color="000000"/>
            </w:tcBorders>
            <w:hideMark/>
          </w:tcPr>
          <w:p w14:paraId="749CF461" w14:textId="46FC5237" w:rsidR="00906BE7" w:rsidRDefault="00906BE7" w:rsidP="00906BE7">
            <w:pPr>
              <w:pStyle w:val="TAN"/>
            </w:pPr>
            <w:r>
              <w:t>NOTE 1:</w:t>
            </w:r>
            <w:r>
              <w:tab/>
              <w:t>Bandwidth as in ITU-R SM.329 [16], s4.1</w:t>
            </w:r>
          </w:p>
          <w:p w14:paraId="3945A903" w14:textId="58EAE4BE" w:rsidR="00CA0334" w:rsidRDefault="00906BE7" w:rsidP="00906BE7">
            <w:pPr>
              <w:pStyle w:val="TAN"/>
            </w:pPr>
            <w:r>
              <w:t>NOTE 2:</w:t>
            </w:r>
            <w:r>
              <w:tab/>
              <w:t>Upper frequency as in ITU-R SM.329 [16], s2.5 table 1.</w:t>
            </w:r>
          </w:p>
        </w:tc>
      </w:tr>
    </w:tbl>
    <w:p w14:paraId="60D5B665" w14:textId="77777777" w:rsidR="00CA0334" w:rsidRDefault="00CA0334" w:rsidP="00CA0334"/>
    <w:p w14:paraId="01C33103" w14:textId="77777777" w:rsidR="00CA0334" w:rsidRDefault="00CA0334" w:rsidP="00CA0334">
      <w:pPr>
        <w:pStyle w:val="Heading6"/>
      </w:pPr>
      <w:bookmarkStart w:id="5946" w:name="_Toc45893681"/>
      <w:bookmarkStart w:id="5947" w:name="_Toc44712369"/>
      <w:bookmarkStart w:id="5948" w:name="_Toc37267764"/>
      <w:bookmarkStart w:id="5949" w:name="_Toc37260376"/>
      <w:bookmarkStart w:id="5950" w:name="_Toc36817454"/>
      <w:bookmarkStart w:id="5951" w:name="_Toc29811902"/>
      <w:bookmarkStart w:id="5952" w:name="_Toc21127693"/>
      <w:bookmarkStart w:id="5953" w:name="_Toc53185519"/>
      <w:bookmarkStart w:id="5954" w:name="_Toc53185895"/>
      <w:bookmarkStart w:id="5955" w:name="_Toc57820381"/>
      <w:bookmarkStart w:id="5956" w:name="_Toc57821308"/>
      <w:bookmarkStart w:id="5957" w:name="_Toc61183584"/>
      <w:bookmarkStart w:id="5958" w:name="_Toc61183978"/>
      <w:bookmarkStart w:id="5959" w:name="_Toc61184370"/>
      <w:bookmarkStart w:id="5960" w:name="_Toc61184762"/>
      <w:bookmarkStart w:id="5961" w:name="_Toc61185152"/>
      <w:bookmarkStart w:id="5962" w:name="_Toc66386496"/>
      <w:bookmarkStart w:id="5963" w:name="_Toc74583399"/>
      <w:bookmarkStart w:id="5964" w:name="_Toc76542212"/>
      <w:bookmarkStart w:id="5965" w:name="_Toc82450194"/>
      <w:bookmarkStart w:id="5966" w:name="_Toc82450842"/>
      <w:bookmarkStart w:id="5967" w:name="_Toc89949231"/>
      <w:bookmarkStart w:id="5968" w:name="_Toc98755620"/>
      <w:bookmarkStart w:id="5969" w:name="_Toc98763212"/>
      <w:bookmarkStart w:id="5970" w:name="_Toc106184141"/>
      <w:r>
        <w:t>9.7.5.3.2.3</w:t>
      </w:r>
      <w:r>
        <w:tab/>
        <w:t>OTA transmitter spurious emissions (Category B)</w:t>
      </w:r>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p>
    <w:p w14:paraId="383BFE48" w14:textId="77777777" w:rsidR="00CA0334" w:rsidRDefault="00CA0334" w:rsidP="00ED4965">
      <w:r>
        <w:t>The power of any spurious emission shall not exceed the limits in table 9.7.5.3.2.3-1.</w:t>
      </w:r>
    </w:p>
    <w:p w14:paraId="7096E0DB" w14:textId="77777777" w:rsidR="00CA0334" w:rsidRDefault="00CA0334" w:rsidP="00CA0334">
      <w:pPr>
        <w:pStyle w:val="TH"/>
      </w:pPr>
      <w:r>
        <w:t>Table 9.7.5.3.2.3-1: IAB-DU and IAB-MT radiated Tx spurious emission limits in FR2 (Category B)</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CA0334" w14:paraId="2CAE8E0E"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673D1416" w14:textId="77777777" w:rsidR="00CA0334" w:rsidRDefault="00CA0334" w:rsidP="00BD1F8C">
            <w:pPr>
              <w:pStyle w:val="TAH"/>
            </w:pPr>
            <w:r>
              <w:t xml:space="preserve">Frequency range </w:t>
            </w:r>
            <w:r>
              <w:br/>
              <w:t>(Note 4)</w:t>
            </w:r>
          </w:p>
        </w:tc>
        <w:tc>
          <w:tcPr>
            <w:tcW w:w="2052" w:type="dxa"/>
            <w:tcBorders>
              <w:top w:val="single" w:sz="6" w:space="0" w:color="000000"/>
              <w:left w:val="single" w:sz="6" w:space="0" w:color="000000"/>
              <w:bottom w:val="single" w:sz="6" w:space="0" w:color="000000"/>
              <w:right w:val="single" w:sz="6" w:space="0" w:color="000000"/>
            </w:tcBorders>
            <w:hideMark/>
          </w:tcPr>
          <w:p w14:paraId="2D388ACD" w14:textId="77777777" w:rsidR="00CA0334" w:rsidRDefault="00CA0334" w:rsidP="00BD1F8C">
            <w:pPr>
              <w:pStyle w:val="TAH"/>
            </w:pPr>
            <w:r>
              <w:t>Limit</w:t>
            </w:r>
          </w:p>
        </w:tc>
        <w:tc>
          <w:tcPr>
            <w:tcW w:w="1440" w:type="dxa"/>
            <w:tcBorders>
              <w:top w:val="single" w:sz="6" w:space="0" w:color="000000"/>
              <w:left w:val="single" w:sz="6" w:space="0" w:color="000000"/>
              <w:bottom w:val="single" w:sz="6" w:space="0" w:color="000000"/>
              <w:right w:val="single" w:sz="6" w:space="0" w:color="000000"/>
            </w:tcBorders>
            <w:hideMark/>
          </w:tcPr>
          <w:p w14:paraId="6D31A925" w14:textId="77777777" w:rsidR="00CA0334" w:rsidRDefault="00CA0334" w:rsidP="00BD1F8C">
            <w:pPr>
              <w:pStyle w:val="TAH"/>
            </w:pPr>
            <w:r>
              <w:rPr>
                <w:i/>
              </w:rPr>
              <w:t>Measurement Bandwidth</w:t>
            </w:r>
          </w:p>
        </w:tc>
        <w:tc>
          <w:tcPr>
            <w:tcW w:w="2604" w:type="dxa"/>
            <w:tcBorders>
              <w:top w:val="single" w:sz="6" w:space="0" w:color="000000"/>
              <w:left w:val="single" w:sz="6" w:space="0" w:color="000000"/>
              <w:bottom w:val="single" w:sz="6" w:space="0" w:color="000000"/>
              <w:right w:val="single" w:sz="6" w:space="0" w:color="000000"/>
            </w:tcBorders>
            <w:hideMark/>
          </w:tcPr>
          <w:p w14:paraId="2532E602" w14:textId="77777777" w:rsidR="00CA0334" w:rsidRDefault="00CA0334" w:rsidP="00BD1F8C">
            <w:pPr>
              <w:pStyle w:val="TAH"/>
            </w:pPr>
            <w:r>
              <w:t>Note</w:t>
            </w:r>
          </w:p>
        </w:tc>
      </w:tr>
      <w:tr w:rsidR="00CA0334" w14:paraId="35EF4555"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3F8C72D2" w14:textId="77777777" w:rsidR="00CA0334" w:rsidRDefault="00CA0334" w:rsidP="00BD1F8C">
            <w:pPr>
              <w:pStyle w:val="TAC"/>
            </w:pPr>
            <w:r>
              <w:t xml:space="preserve">30 MHz  </w:t>
            </w:r>
            <w:r>
              <w:rPr>
                <w:rFonts w:cs="Arial"/>
              </w:rPr>
              <w:sym w:font="Symbol" w:char="F0AB"/>
            </w:r>
            <w:r>
              <w:t xml:space="preserve">  1 GHz</w:t>
            </w:r>
          </w:p>
        </w:tc>
        <w:tc>
          <w:tcPr>
            <w:tcW w:w="2052" w:type="dxa"/>
            <w:tcBorders>
              <w:top w:val="single" w:sz="6" w:space="0" w:color="000000"/>
              <w:left w:val="single" w:sz="6" w:space="0" w:color="000000"/>
              <w:bottom w:val="single" w:sz="6" w:space="0" w:color="000000"/>
              <w:right w:val="single" w:sz="6" w:space="0" w:color="000000"/>
            </w:tcBorders>
            <w:hideMark/>
          </w:tcPr>
          <w:p w14:paraId="0A1DC3ED" w14:textId="77777777" w:rsidR="00CA0334" w:rsidRDefault="00CA0334" w:rsidP="00BD1F8C">
            <w:pPr>
              <w:pStyle w:val="TAC"/>
            </w:pPr>
            <w:r>
              <w:t>-36 dBm</w:t>
            </w:r>
          </w:p>
        </w:tc>
        <w:tc>
          <w:tcPr>
            <w:tcW w:w="1440" w:type="dxa"/>
            <w:tcBorders>
              <w:top w:val="single" w:sz="6" w:space="0" w:color="000000"/>
              <w:left w:val="single" w:sz="6" w:space="0" w:color="000000"/>
              <w:bottom w:val="single" w:sz="6" w:space="0" w:color="000000"/>
              <w:right w:val="single" w:sz="6" w:space="0" w:color="000000"/>
            </w:tcBorders>
            <w:hideMark/>
          </w:tcPr>
          <w:p w14:paraId="32F20236" w14:textId="77777777" w:rsidR="00CA0334" w:rsidRDefault="00CA0334" w:rsidP="00BD1F8C">
            <w:pPr>
              <w:pStyle w:val="TAC"/>
              <w:rPr>
                <w:rFonts w:cs="Arial"/>
              </w:rPr>
            </w:pPr>
            <w:r>
              <w:t>100 kHz</w:t>
            </w:r>
          </w:p>
        </w:tc>
        <w:tc>
          <w:tcPr>
            <w:tcW w:w="2604" w:type="dxa"/>
            <w:tcBorders>
              <w:top w:val="single" w:sz="6" w:space="0" w:color="000000"/>
              <w:left w:val="single" w:sz="6" w:space="0" w:color="000000"/>
              <w:bottom w:val="single" w:sz="6" w:space="0" w:color="000000"/>
              <w:right w:val="single" w:sz="6" w:space="0" w:color="000000"/>
            </w:tcBorders>
            <w:hideMark/>
          </w:tcPr>
          <w:p w14:paraId="094BA46B" w14:textId="77777777" w:rsidR="00CA0334" w:rsidRDefault="00CA0334" w:rsidP="00BD1F8C">
            <w:pPr>
              <w:pStyle w:val="TAC"/>
              <w:rPr>
                <w:rFonts w:cs="Arial"/>
              </w:rPr>
            </w:pPr>
            <w:r>
              <w:rPr>
                <w:rFonts w:cs="Arial"/>
              </w:rPr>
              <w:t>Note 1</w:t>
            </w:r>
          </w:p>
        </w:tc>
      </w:tr>
      <w:tr w:rsidR="00CA0334" w14:paraId="2DB04827"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3743AB04" w14:textId="77777777" w:rsidR="00CA0334" w:rsidRDefault="00CA0334" w:rsidP="00BD1F8C">
            <w:pPr>
              <w:pStyle w:val="TAC"/>
            </w:pPr>
            <w:r>
              <w:t xml:space="preserve">1 GHz  </w:t>
            </w:r>
            <w:r>
              <w:rPr>
                <w:rFonts w:cs="Arial"/>
              </w:rPr>
              <w:sym w:font="Symbol" w:char="F0AB"/>
            </w:r>
            <w:r>
              <w:t xml:space="preserve">  18 GHz</w:t>
            </w:r>
          </w:p>
        </w:tc>
        <w:tc>
          <w:tcPr>
            <w:tcW w:w="2052" w:type="dxa"/>
            <w:tcBorders>
              <w:top w:val="single" w:sz="6" w:space="0" w:color="000000"/>
              <w:left w:val="single" w:sz="6" w:space="0" w:color="000000"/>
              <w:bottom w:val="single" w:sz="6" w:space="0" w:color="000000"/>
              <w:right w:val="single" w:sz="6" w:space="0" w:color="000000"/>
            </w:tcBorders>
            <w:hideMark/>
          </w:tcPr>
          <w:p w14:paraId="3A0489D3" w14:textId="77777777" w:rsidR="00CA0334" w:rsidRDefault="00CA0334" w:rsidP="00BD1F8C">
            <w:pPr>
              <w:pStyle w:val="TAC"/>
            </w:pPr>
            <w:r>
              <w:t>-30 dBm</w:t>
            </w:r>
          </w:p>
        </w:tc>
        <w:tc>
          <w:tcPr>
            <w:tcW w:w="1440" w:type="dxa"/>
            <w:tcBorders>
              <w:top w:val="single" w:sz="6" w:space="0" w:color="000000"/>
              <w:left w:val="single" w:sz="6" w:space="0" w:color="000000"/>
              <w:bottom w:val="single" w:sz="6" w:space="0" w:color="000000"/>
              <w:right w:val="single" w:sz="6" w:space="0" w:color="000000"/>
            </w:tcBorders>
            <w:hideMark/>
          </w:tcPr>
          <w:p w14:paraId="5B284788" w14:textId="77777777" w:rsidR="00CA0334" w:rsidRDefault="00CA0334" w:rsidP="00BD1F8C">
            <w:pPr>
              <w:pStyle w:val="TAC"/>
              <w:rPr>
                <w:rFonts w:cs="Arial"/>
              </w:rPr>
            </w:pPr>
            <w:r>
              <w:rPr>
                <w:rFonts w:cs="Arial"/>
              </w:rPr>
              <w:t>1 MHz</w:t>
            </w:r>
          </w:p>
        </w:tc>
        <w:tc>
          <w:tcPr>
            <w:tcW w:w="2604" w:type="dxa"/>
            <w:tcBorders>
              <w:top w:val="single" w:sz="6" w:space="0" w:color="000000"/>
              <w:left w:val="single" w:sz="6" w:space="0" w:color="000000"/>
              <w:bottom w:val="single" w:sz="6" w:space="0" w:color="000000"/>
              <w:right w:val="single" w:sz="6" w:space="0" w:color="000000"/>
            </w:tcBorders>
            <w:hideMark/>
          </w:tcPr>
          <w:p w14:paraId="334D0B1E" w14:textId="77777777" w:rsidR="00CA0334" w:rsidRDefault="00CA0334" w:rsidP="00BD1F8C">
            <w:pPr>
              <w:pStyle w:val="TAC"/>
              <w:rPr>
                <w:rFonts w:cs="Arial"/>
              </w:rPr>
            </w:pPr>
            <w:r>
              <w:rPr>
                <w:rFonts w:cs="Arial"/>
              </w:rPr>
              <w:t>Note 1</w:t>
            </w:r>
          </w:p>
        </w:tc>
      </w:tr>
      <w:tr w:rsidR="00CA0334" w14:paraId="766B9E82"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5ECCDA3B" w14:textId="77777777" w:rsidR="00CA0334" w:rsidRDefault="00CA0334" w:rsidP="00BD1F8C">
            <w:pPr>
              <w:pStyle w:val="TAC"/>
            </w:pPr>
            <w:r>
              <w:t xml:space="preserve">18 GHz  </w:t>
            </w:r>
            <w:r>
              <w:rPr>
                <w:rFonts w:cs="Arial"/>
              </w:rPr>
              <w:sym w:font="Symbol" w:char="F0AB"/>
            </w:r>
            <w:r>
              <w:t xml:space="preserve">  F</w:t>
            </w:r>
            <w:r>
              <w:rPr>
                <w:vertAlign w:val="subscript"/>
              </w:rPr>
              <w:t>step,1</w:t>
            </w:r>
          </w:p>
        </w:tc>
        <w:tc>
          <w:tcPr>
            <w:tcW w:w="2052" w:type="dxa"/>
            <w:tcBorders>
              <w:top w:val="single" w:sz="6" w:space="0" w:color="000000"/>
              <w:left w:val="single" w:sz="6" w:space="0" w:color="000000"/>
              <w:bottom w:val="single" w:sz="6" w:space="0" w:color="000000"/>
              <w:right w:val="single" w:sz="6" w:space="0" w:color="000000"/>
            </w:tcBorders>
            <w:hideMark/>
          </w:tcPr>
          <w:p w14:paraId="73DCF002" w14:textId="77777777" w:rsidR="00CA0334" w:rsidRDefault="00CA0334" w:rsidP="00BD1F8C">
            <w:pPr>
              <w:pStyle w:val="TAC"/>
            </w:pPr>
            <w:r>
              <w:t>-20 dBm</w:t>
            </w:r>
          </w:p>
        </w:tc>
        <w:tc>
          <w:tcPr>
            <w:tcW w:w="1440" w:type="dxa"/>
            <w:tcBorders>
              <w:top w:val="single" w:sz="6" w:space="0" w:color="000000"/>
              <w:left w:val="single" w:sz="6" w:space="0" w:color="000000"/>
              <w:bottom w:val="single" w:sz="6" w:space="0" w:color="000000"/>
              <w:right w:val="single" w:sz="6" w:space="0" w:color="000000"/>
            </w:tcBorders>
            <w:hideMark/>
          </w:tcPr>
          <w:p w14:paraId="7DF0701D" w14:textId="77777777" w:rsidR="00CA0334" w:rsidRDefault="00CA0334" w:rsidP="00BD1F8C">
            <w:pPr>
              <w:pStyle w:val="TAC"/>
              <w:rPr>
                <w:rFonts w:cs="Arial"/>
              </w:rPr>
            </w:pPr>
            <w:r>
              <w:rPr>
                <w:rFonts w:cs="Arial"/>
              </w:rPr>
              <w:t>10 MHz</w:t>
            </w:r>
          </w:p>
        </w:tc>
        <w:tc>
          <w:tcPr>
            <w:tcW w:w="2604" w:type="dxa"/>
            <w:tcBorders>
              <w:top w:val="single" w:sz="6" w:space="0" w:color="000000"/>
              <w:left w:val="single" w:sz="6" w:space="0" w:color="000000"/>
              <w:bottom w:val="single" w:sz="6" w:space="0" w:color="000000"/>
              <w:right w:val="single" w:sz="6" w:space="0" w:color="000000"/>
            </w:tcBorders>
            <w:hideMark/>
          </w:tcPr>
          <w:p w14:paraId="0C09FE40" w14:textId="77777777" w:rsidR="00CA0334" w:rsidRDefault="00CA0334" w:rsidP="00BD1F8C">
            <w:pPr>
              <w:pStyle w:val="TAC"/>
              <w:rPr>
                <w:rFonts w:cs="Arial"/>
              </w:rPr>
            </w:pPr>
            <w:r>
              <w:rPr>
                <w:rFonts w:cs="Arial"/>
              </w:rPr>
              <w:t>Note 2</w:t>
            </w:r>
          </w:p>
        </w:tc>
      </w:tr>
      <w:tr w:rsidR="00CA0334" w14:paraId="25BE4064"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19ACE973" w14:textId="77777777" w:rsidR="00CA0334" w:rsidRDefault="00CA0334" w:rsidP="00BD1F8C">
            <w:pPr>
              <w:pStyle w:val="TAC"/>
            </w:pPr>
            <w:r>
              <w:t>F</w:t>
            </w:r>
            <w:r>
              <w:rPr>
                <w:vertAlign w:val="subscript"/>
              </w:rPr>
              <w:t xml:space="preserve">step,1 </w:t>
            </w:r>
            <w:r>
              <w:t xml:space="preserve"> </w:t>
            </w:r>
            <w:r>
              <w:rPr>
                <w:rFonts w:cs="Arial"/>
              </w:rPr>
              <w:sym w:font="Symbol" w:char="F0AB"/>
            </w:r>
            <w:r>
              <w:rPr>
                <w:rFonts w:cs="Arial"/>
              </w:rPr>
              <w:t xml:space="preserve"> </w:t>
            </w:r>
            <w:r>
              <w:t xml:space="preserve"> F</w:t>
            </w:r>
            <w:r>
              <w:rPr>
                <w:vertAlign w:val="subscript"/>
              </w:rPr>
              <w:t>step,2</w:t>
            </w:r>
          </w:p>
        </w:tc>
        <w:tc>
          <w:tcPr>
            <w:tcW w:w="2052" w:type="dxa"/>
            <w:tcBorders>
              <w:top w:val="single" w:sz="6" w:space="0" w:color="000000"/>
              <w:left w:val="single" w:sz="6" w:space="0" w:color="000000"/>
              <w:bottom w:val="single" w:sz="6" w:space="0" w:color="000000"/>
              <w:right w:val="single" w:sz="6" w:space="0" w:color="000000"/>
            </w:tcBorders>
            <w:hideMark/>
          </w:tcPr>
          <w:p w14:paraId="19849CF3" w14:textId="77777777" w:rsidR="00CA0334" w:rsidRDefault="00CA0334" w:rsidP="00BD1F8C">
            <w:pPr>
              <w:pStyle w:val="TAC"/>
            </w:pPr>
            <w:r>
              <w:t>-15 dBm</w:t>
            </w:r>
          </w:p>
        </w:tc>
        <w:tc>
          <w:tcPr>
            <w:tcW w:w="1440" w:type="dxa"/>
            <w:tcBorders>
              <w:top w:val="single" w:sz="6" w:space="0" w:color="000000"/>
              <w:left w:val="single" w:sz="6" w:space="0" w:color="000000"/>
              <w:bottom w:val="single" w:sz="6" w:space="0" w:color="000000"/>
              <w:right w:val="single" w:sz="6" w:space="0" w:color="000000"/>
            </w:tcBorders>
            <w:hideMark/>
          </w:tcPr>
          <w:p w14:paraId="0F85C449" w14:textId="77777777" w:rsidR="00CA0334" w:rsidRDefault="00CA0334" w:rsidP="00BD1F8C">
            <w:pPr>
              <w:pStyle w:val="TAC"/>
              <w:rPr>
                <w:rFonts w:cs="Arial"/>
              </w:rPr>
            </w:pPr>
            <w:r>
              <w:rPr>
                <w:rFonts w:cs="Arial"/>
              </w:rPr>
              <w:t>10 MHz</w:t>
            </w:r>
          </w:p>
        </w:tc>
        <w:tc>
          <w:tcPr>
            <w:tcW w:w="2604" w:type="dxa"/>
            <w:tcBorders>
              <w:top w:val="single" w:sz="6" w:space="0" w:color="000000"/>
              <w:left w:val="single" w:sz="6" w:space="0" w:color="000000"/>
              <w:bottom w:val="single" w:sz="6" w:space="0" w:color="000000"/>
              <w:right w:val="single" w:sz="6" w:space="0" w:color="000000"/>
            </w:tcBorders>
            <w:hideMark/>
          </w:tcPr>
          <w:p w14:paraId="19C7EC3B" w14:textId="77777777" w:rsidR="00CA0334" w:rsidRDefault="00CA0334" w:rsidP="00BD1F8C">
            <w:pPr>
              <w:pStyle w:val="TAC"/>
              <w:rPr>
                <w:rFonts w:cs="Arial"/>
              </w:rPr>
            </w:pPr>
            <w:r>
              <w:rPr>
                <w:rFonts w:cs="Arial"/>
              </w:rPr>
              <w:t>Note 2</w:t>
            </w:r>
          </w:p>
        </w:tc>
      </w:tr>
      <w:tr w:rsidR="00CA0334" w14:paraId="4B36D9CC"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0EB91592" w14:textId="77777777" w:rsidR="00CA0334" w:rsidRDefault="00CA0334" w:rsidP="00BD1F8C">
            <w:pPr>
              <w:pStyle w:val="TAC"/>
            </w:pPr>
            <w:r>
              <w:t>F</w:t>
            </w:r>
            <w:r>
              <w:rPr>
                <w:vertAlign w:val="subscript"/>
              </w:rPr>
              <w:t>step,2</w:t>
            </w:r>
            <w:r>
              <w:t xml:space="preserve">  </w:t>
            </w:r>
            <w:r>
              <w:rPr>
                <w:rFonts w:cs="Arial"/>
              </w:rPr>
              <w:sym w:font="Symbol" w:char="F0AB"/>
            </w:r>
            <w:r>
              <w:t xml:space="preserve">  F</w:t>
            </w:r>
            <w:r>
              <w:rPr>
                <w:vertAlign w:val="subscript"/>
              </w:rPr>
              <w:t>step,3</w:t>
            </w:r>
            <w:r>
              <w:t xml:space="preserve">  </w:t>
            </w:r>
          </w:p>
        </w:tc>
        <w:tc>
          <w:tcPr>
            <w:tcW w:w="2052" w:type="dxa"/>
            <w:tcBorders>
              <w:top w:val="single" w:sz="6" w:space="0" w:color="000000"/>
              <w:left w:val="single" w:sz="6" w:space="0" w:color="000000"/>
              <w:bottom w:val="single" w:sz="6" w:space="0" w:color="000000"/>
              <w:right w:val="single" w:sz="6" w:space="0" w:color="000000"/>
            </w:tcBorders>
            <w:hideMark/>
          </w:tcPr>
          <w:p w14:paraId="6D7D4253" w14:textId="77777777" w:rsidR="00CA0334" w:rsidRDefault="00CA0334" w:rsidP="00BD1F8C">
            <w:pPr>
              <w:pStyle w:val="TAC"/>
            </w:pPr>
            <w:r>
              <w:t>-10 dBm</w:t>
            </w:r>
          </w:p>
        </w:tc>
        <w:tc>
          <w:tcPr>
            <w:tcW w:w="1440" w:type="dxa"/>
            <w:tcBorders>
              <w:top w:val="single" w:sz="6" w:space="0" w:color="000000"/>
              <w:left w:val="single" w:sz="6" w:space="0" w:color="000000"/>
              <w:bottom w:val="single" w:sz="6" w:space="0" w:color="000000"/>
              <w:right w:val="single" w:sz="6" w:space="0" w:color="000000"/>
            </w:tcBorders>
            <w:hideMark/>
          </w:tcPr>
          <w:p w14:paraId="79666482" w14:textId="77777777" w:rsidR="00CA0334" w:rsidRDefault="00CA0334" w:rsidP="00BD1F8C">
            <w:pPr>
              <w:pStyle w:val="TAC"/>
              <w:rPr>
                <w:rFonts w:cs="Arial"/>
              </w:rPr>
            </w:pPr>
            <w:r>
              <w:rPr>
                <w:rFonts w:cs="Arial"/>
              </w:rPr>
              <w:t>10 MHz</w:t>
            </w:r>
          </w:p>
        </w:tc>
        <w:tc>
          <w:tcPr>
            <w:tcW w:w="2604" w:type="dxa"/>
            <w:tcBorders>
              <w:top w:val="single" w:sz="6" w:space="0" w:color="000000"/>
              <w:left w:val="single" w:sz="6" w:space="0" w:color="000000"/>
              <w:bottom w:val="single" w:sz="6" w:space="0" w:color="000000"/>
              <w:right w:val="single" w:sz="6" w:space="0" w:color="000000"/>
            </w:tcBorders>
            <w:hideMark/>
          </w:tcPr>
          <w:p w14:paraId="682AC0E4" w14:textId="77777777" w:rsidR="00CA0334" w:rsidRDefault="00CA0334" w:rsidP="00BD1F8C">
            <w:pPr>
              <w:pStyle w:val="TAC"/>
              <w:rPr>
                <w:rFonts w:cs="Arial"/>
              </w:rPr>
            </w:pPr>
            <w:r>
              <w:rPr>
                <w:rFonts w:cs="Arial"/>
              </w:rPr>
              <w:t>Note 2</w:t>
            </w:r>
          </w:p>
        </w:tc>
      </w:tr>
      <w:tr w:rsidR="00CA0334" w14:paraId="0F5D4EEF"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124E4153" w14:textId="77777777" w:rsidR="00CA0334" w:rsidRDefault="00CA0334" w:rsidP="00BD1F8C">
            <w:pPr>
              <w:pStyle w:val="TAC"/>
            </w:pPr>
            <w:r>
              <w:t>F</w:t>
            </w:r>
            <w:r>
              <w:rPr>
                <w:vertAlign w:val="subscript"/>
              </w:rPr>
              <w:t xml:space="preserve">step,4 </w:t>
            </w:r>
            <w:r>
              <w:t xml:space="preserve"> </w:t>
            </w:r>
            <w:r>
              <w:rPr>
                <w:rFonts w:cs="Arial"/>
              </w:rPr>
              <w:sym w:font="Symbol" w:char="F0AB"/>
            </w:r>
            <w:r>
              <w:rPr>
                <w:rFonts w:cs="Arial"/>
              </w:rPr>
              <w:t xml:space="preserve"> </w:t>
            </w:r>
            <w:r>
              <w:t xml:space="preserve"> F</w:t>
            </w:r>
            <w:r>
              <w:rPr>
                <w:vertAlign w:val="subscript"/>
              </w:rPr>
              <w:t>step,5</w:t>
            </w:r>
          </w:p>
        </w:tc>
        <w:tc>
          <w:tcPr>
            <w:tcW w:w="2052" w:type="dxa"/>
            <w:tcBorders>
              <w:top w:val="single" w:sz="6" w:space="0" w:color="000000"/>
              <w:left w:val="single" w:sz="6" w:space="0" w:color="000000"/>
              <w:bottom w:val="single" w:sz="6" w:space="0" w:color="000000"/>
              <w:right w:val="single" w:sz="6" w:space="0" w:color="000000"/>
            </w:tcBorders>
            <w:hideMark/>
          </w:tcPr>
          <w:p w14:paraId="5F2CDB4D" w14:textId="77777777" w:rsidR="00CA0334" w:rsidRDefault="00CA0334" w:rsidP="00BD1F8C">
            <w:pPr>
              <w:pStyle w:val="TAC"/>
            </w:pPr>
            <w:r>
              <w:t>-10 dBm</w:t>
            </w:r>
          </w:p>
        </w:tc>
        <w:tc>
          <w:tcPr>
            <w:tcW w:w="1440" w:type="dxa"/>
            <w:tcBorders>
              <w:top w:val="single" w:sz="6" w:space="0" w:color="000000"/>
              <w:left w:val="single" w:sz="6" w:space="0" w:color="000000"/>
              <w:bottom w:val="single" w:sz="6" w:space="0" w:color="000000"/>
              <w:right w:val="single" w:sz="6" w:space="0" w:color="000000"/>
            </w:tcBorders>
            <w:hideMark/>
          </w:tcPr>
          <w:p w14:paraId="56E6041E" w14:textId="77777777" w:rsidR="00CA0334" w:rsidRDefault="00CA0334" w:rsidP="00BD1F8C">
            <w:pPr>
              <w:pStyle w:val="TAC"/>
              <w:rPr>
                <w:rFonts w:cs="Arial"/>
              </w:rPr>
            </w:pPr>
            <w:r>
              <w:rPr>
                <w:rFonts w:cs="Arial"/>
              </w:rPr>
              <w:t>10 MHz</w:t>
            </w:r>
          </w:p>
        </w:tc>
        <w:tc>
          <w:tcPr>
            <w:tcW w:w="2604" w:type="dxa"/>
            <w:tcBorders>
              <w:top w:val="single" w:sz="6" w:space="0" w:color="000000"/>
              <w:left w:val="single" w:sz="6" w:space="0" w:color="000000"/>
              <w:bottom w:val="single" w:sz="6" w:space="0" w:color="000000"/>
              <w:right w:val="single" w:sz="6" w:space="0" w:color="000000"/>
            </w:tcBorders>
            <w:hideMark/>
          </w:tcPr>
          <w:p w14:paraId="5138E95C" w14:textId="77777777" w:rsidR="00CA0334" w:rsidRDefault="00CA0334" w:rsidP="00BD1F8C">
            <w:pPr>
              <w:pStyle w:val="TAC"/>
              <w:rPr>
                <w:rFonts w:cs="Arial"/>
              </w:rPr>
            </w:pPr>
            <w:r>
              <w:rPr>
                <w:rFonts w:cs="Arial"/>
              </w:rPr>
              <w:t>Note 2</w:t>
            </w:r>
          </w:p>
        </w:tc>
      </w:tr>
      <w:tr w:rsidR="00CA0334" w14:paraId="63E051B4"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09A9D881" w14:textId="77777777" w:rsidR="00CA0334" w:rsidRDefault="00CA0334" w:rsidP="00BD1F8C">
            <w:pPr>
              <w:pStyle w:val="TAC"/>
            </w:pPr>
            <w:r>
              <w:t>F</w:t>
            </w:r>
            <w:r>
              <w:rPr>
                <w:vertAlign w:val="subscript"/>
              </w:rPr>
              <w:t xml:space="preserve">step,5 </w:t>
            </w:r>
            <w:r>
              <w:t xml:space="preserve"> </w:t>
            </w:r>
            <w:r>
              <w:rPr>
                <w:rFonts w:cs="Arial"/>
              </w:rPr>
              <w:sym w:font="Symbol" w:char="F0AB"/>
            </w:r>
            <w:r>
              <w:rPr>
                <w:rFonts w:cs="Arial"/>
              </w:rPr>
              <w:t xml:space="preserve"> </w:t>
            </w:r>
            <w:r>
              <w:t xml:space="preserve"> F</w:t>
            </w:r>
            <w:r>
              <w:rPr>
                <w:vertAlign w:val="subscript"/>
              </w:rPr>
              <w:t>step,6</w:t>
            </w:r>
          </w:p>
        </w:tc>
        <w:tc>
          <w:tcPr>
            <w:tcW w:w="2052" w:type="dxa"/>
            <w:tcBorders>
              <w:top w:val="single" w:sz="6" w:space="0" w:color="000000"/>
              <w:left w:val="single" w:sz="6" w:space="0" w:color="000000"/>
              <w:bottom w:val="single" w:sz="6" w:space="0" w:color="000000"/>
              <w:right w:val="single" w:sz="6" w:space="0" w:color="000000"/>
            </w:tcBorders>
            <w:hideMark/>
          </w:tcPr>
          <w:p w14:paraId="53E390BF" w14:textId="77777777" w:rsidR="00CA0334" w:rsidRDefault="00CA0334" w:rsidP="00BD1F8C">
            <w:pPr>
              <w:pStyle w:val="TAC"/>
            </w:pPr>
            <w:r>
              <w:t>-15 dBm</w:t>
            </w:r>
          </w:p>
        </w:tc>
        <w:tc>
          <w:tcPr>
            <w:tcW w:w="1440" w:type="dxa"/>
            <w:tcBorders>
              <w:top w:val="single" w:sz="6" w:space="0" w:color="000000"/>
              <w:left w:val="single" w:sz="6" w:space="0" w:color="000000"/>
              <w:bottom w:val="single" w:sz="6" w:space="0" w:color="000000"/>
              <w:right w:val="single" w:sz="6" w:space="0" w:color="000000"/>
            </w:tcBorders>
            <w:hideMark/>
          </w:tcPr>
          <w:p w14:paraId="5C34DEF4" w14:textId="77777777" w:rsidR="00CA0334" w:rsidRDefault="00CA0334" w:rsidP="00BD1F8C">
            <w:pPr>
              <w:pStyle w:val="TAC"/>
              <w:rPr>
                <w:rFonts w:cs="Arial"/>
              </w:rPr>
            </w:pPr>
            <w:r>
              <w:rPr>
                <w:rFonts w:cs="Arial"/>
              </w:rPr>
              <w:t>10 MHz</w:t>
            </w:r>
          </w:p>
        </w:tc>
        <w:tc>
          <w:tcPr>
            <w:tcW w:w="2604" w:type="dxa"/>
            <w:tcBorders>
              <w:top w:val="single" w:sz="6" w:space="0" w:color="000000"/>
              <w:left w:val="single" w:sz="6" w:space="0" w:color="000000"/>
              <w:bottom w:val="single" w:sz="6" w:space="0" w:color="000000"/>
              <w:right w:val="single" w:sz="6" w:space="0" w:color="000000"/>
            </w:tcBorders>
            <w:hideMark/>
          </w:tcPr>
          <w:p w14:paraId="735A223C" w14:textId="77777777" w:rsidR="00CA0334" w:rsidRDefault="00CA0334" w:rsidP="00BD1F8C">
            <w:pPr>
              <w:pStyle w:val="TAC"/>
              <w:rPr>
                <w:rFonts w:cs="Arial"/>
              </w:rPr>
            </w:pPr>
            <w:r>
              <w:rPr>
                <w:rFonts w:cs="Arial"/>
              </w:rPr>
              <w:t>Note 2</w:t>
            </w:r>
          </w:p>
        </w:tc>
      </w:tr>
      <w:tr w:rsidR="00CA0334" w14:paraId="29C0503C"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2FAB549D" w14:textId="77777777" w:rsidR="00CA0334" w:rsidRDefault="00CA0334" w:rsidP="00BD1F8C">
            <w:pPr>
              <w:pStyle w:val="TAC"/>
            </w:pPr>
            <w:r>
              <w:t>F</w:t>
            </w:r>
            <w:r>
              <w:rPr>
                <w:vertAlign w:val="subscript"/>
              </w:rPr>
              <w:t>step,6</w:t>
            </w:r>
            <w:r>
              <w:t xml:space="preserve">  </w:t>
            </w:r>
            <w:r>
              <w:rPr>
                <w:rFonts w:cs="Arial"/>
              </w:rPr>
              <w:sym w:font="Symbol" w:char="F0AB"/>
            </w:r>
            <w:r>
              <w:rPr>
                <w:rFonts w:cs="Arial"/>
              </w:rPr>
              <w:t xml:space="preserve"> </w:t>
            </w:r>
            <w:r>
              <w:t xml:space="preserve"> 2</w:t>
            </w:r>
            <w:r>
              <w:rPr>
                <w:vertAlign w:val="superscript"/>
              </w:rPr>
              <w:t>nd</w:t>
            </w:r>
            <w:r>
              <w:t xml:space="preserve"> harmonic of the upper frequency edge of the DL </w:t>
            </w:r>
            <w:r>
              <w:rPr>
                <w:i/>
              </w:rPr>
              <w:t>operating band</w:t>
            </w:r>
          </w:p>
        </w:tc>
        <w:tc>
          <w:tcPr>
            <w:tcW w:w="2052" w:type="dxa"/>
            <w:tcBorders>
              <w:top w:val="single" w:sz="6" w:space="0" w:color="000000"/>
              <w:left w:val="single" w:sz="6" w:space="0" w:color="000000"/>
              <w:bottom w:val="single" w:sz="6" w:space="0" w:color="000000"/>
              <w:right w:val="single" w:sz="6" w:space="0" w:color="000000"/>
            </w:tcBorders>
            <w:hideMark/>
          </w:tcPr>
          <w:p w14:paraId="5AD9C5ED" w14:textId="77777777" w:rsidR="00CA0334" w:rsidRDefault="00CA0334" w:rsidP="00BD1F8C">
            <w:pPr>
              <w:pStyle w:val="TAC"/>
            </w:pPr>
            <w:r>
              <w:t>-20 dBm</w:t>
            </w:r>
          </w:p>
        </w:tc>
        <w:tc>
          <w:tcPr>
            <w:tcW w:w="1440" w:type="dxa"/>
            <w:tcBorders>
              <w:top w:val="single" w:sz="6" w:space="0" w:color="000000"/>
              <w:left w:val="single" w:sz="6" w:space="0" w:color="000000"/>
              <w:bottom w:val="single" w:sz="6" w:space="0" w:color="000000"/>
              <w:right w:val="single" w:sz="6" w:space="0" w:color="000000"/>
            </w:tcBorders>
            <w:hideMark/>
          </w:tcPr>
          <w:p w14:paraId="6F8B0C75" w14:textId="77777777" w:rsidR="00CA0334" w:rsidRDefault="00CA0334" w:rsidP="00BD1F8C">
            <w:pPr>
              <w:pStyle w:val="TAC"/>
              <w:rPr>
                <w:rFonts w:cs="Arial"/>
              </w:rPr>
            </w:pPr>
            <w:r>
              <w:t>10 MHz</w:t>
            </w:r>
          </w:p>
        </w:tc>
        <w:tc>
          <w:tcPr>
            <w:tcW w:w="2604" w:type="dxa"/>
            <w:tcBorders>
              <w:top w:val="single" w:sz="6" w:space="0" w:color="000000"/>
              <w:left w:val="single" w:sz="6" w:space="0" w:color="000000"/>
              <w:bottom w:val="single" w:sz="6" w:space="0" w:color="000000"/>
              <w:right w:val="single" w:sz="6" w:space="0" w:color="000000"/>
            </w:tcBorders>
            <w:hideMark/>
          </w:tcPr>
          <w:p w14:paraId="4469CBE8" w14:textId="77777777" w:rsidR="00CA0334" w:rsidRDefault="00CA0334" w:rsidP="00BD1F8C">
            <w:pPr>
              <w:pStyle w:val="TAC"/>
              <w:rPr>
                <w:rFonts w:cs="Arial"/>
              </w:rPr>
            </w:pPr>
            <w:r>
              <w:t>Note 2, Note 3</w:t>
            </w:r>
          </w:p>
        </w:tc>
      </w:tr>
      <w:tr w:rsidR="00CA0334" w:rsidRPr="00AB3358" w14:paraId="4E31FADF" w14:textId="77777777" w:rsidTr="00BD1F8C">
        <w:trPr>
          <w:cantSplit/>
          <w:jc w:val="center"/>
        </w:trPr>
        <w:tc>
          <w:tcPr>
            <w:tcW w:w="8472" w:type="dxa"/>
            <w:gridSpan w:val="4"/>
            <w:tcBorders>
              <w:top w:val="single" w:sz="6" w:space="0" w:color="000000"/>
              <w:left w:val="single" w:sz="6" w:space="0" w:color="000000"/>
              <w:bottom w:val="single" w:sz="6" w:space="0" w:color="000000"/>
              <w:right w:val="single" w:sz="6" w:space="0" w:color="000000"/>
            </w:tcBorders>
            <w:hideMark/>
          </w:tcPr>
          <w:p w14:paraId="4DD052C0" w14:textId="465621EB" w:rsidR="00906BE7" w:rsidRDefault="00906BE7" w:rsidP="00906BE7">
            <w:pPr>
              <w:pStyle w:val="TAN"/>
            </w:pPr>
            <w:r>
              <w:t>NOTE 1:</w:t>
            </w:r>
            <w:r>
              <w:tab/>
              <w:t>Bandwidth as in ITU-R SM.329 [16], s4.1</w:t>
            </w:r>
          </w:p>
          <w:p w14:paraId="4C035EA6" w14:textId="77777777" w:rsidR="00906BE7" w:rsidRDefault="00906BE7" w:rsidP="00906BE7">
            <w:pPr>
              <w:pStyle w:val="TAN"/>
            </w:pPr>
            <w:r>
              <w:t>NOTE 2:</w:t>
            </w:r>
            <w:r>
              <w:tab/>
              <w:t>Limit and bandwidth as in ERC Recommendation 74-01 [19], Annex 2.</w:t>
            </w:r>
          </w:p>
          <w:p w14:paraId="3852EA69" w14:textId="7160067D" w:rsidR="00906BE7" w:rsidRDefault="00906BE7" w:rsidP="00906BE7">
            <w:pPr>
              <w:pStyle w:val="TAN"/>
            </w:pPr>
            <w:r>
              <w:t>NOTE 3:</w:t>
            </w:r>
            <w:r>
              <w:tab/>
              <w:t>Upper frequency as in ITU-R SM.329 [16], s2.5 table 1.</w:t>
            </w:r>
          </w:p>
          <w:p w14:paraId="43271A8A" w14:textId="5FF78B65" w:rsidR="00CA0334" w:rsidRDefault="00906BE7" w:rsidP="00906BE7">
            <w:pPr>
              <w:pStyle w:val="TAN"/>
            </w:pPr>
            <w:r>
              <w:t>NOTE 4:</w:t>
            </w:r>
            <w:r>
              <w:tab/>
              <w:t>The step frequencies F</w:t>
            </w:r>
            <w:r>
              <w:rPr>
                <w:vertAlign w:val="subscript"/>
              </w:rPr>
              <w:t>step,X</w:t>
            </w:r>
            <w:r>
              <w:t xml:space="preserve"> are defined in Table 9.7.5.3.2.3-2.</w:t>
            </w:r>
          </w:p>
        </w:tc>
      </w:tr>
    </w:tbl>
    <w:p w14:paraId="6E721593" w14:textId="77777777" w:rsidR="00CA0334" w:rsidRDefault="00CA0334" w:rsidP="00CA0334"/>
    <w:p w14:paraId="29B29D11" w14:textId="77777777" w:rsidR="00CA0334" w:rsidRDefault="00CA0334" w:rsidP="00815C5B">
      <w:pPr>
        <w:pStyle w:val="TH"/>
      </w:pPr>
      <w:r>
        <w:t>Table 9.7.5.3.2.3-2: Step frequencies for defining the IAB-DU and IAB-MT radiated Tx spurious emission limits in FR2 (Category B)</w:t>
      </w:r>
    </w:p>
    <w:tbl>
      <w:tblPr>
        <w:tblStyle w:val="TableGrid"/>
        <w:tblW w:w="0" w:type="auto"/>
        <w:jc w:val="center"/>
        <w:tblLook w:val="04A0" w:firstRow="1" w:lastRow="0" w:firstColumn="1" w:lastColumn="0" w:noHBand="0" w:noVBand="1"/>
      </w:tblPr>
      <w:tblGrid>
        <w:gridCol w:w="1912"/>
        <w:gridCol w:w="1031"/>
        <w:gridCol w:w="1134"/>
        <w:gridCol w:w="1134"/>
        <w:gridCol w:w="1196"/>
        <w:gridCol w:w="1019"/>
        <w:gridCol w:w="1134"/>
      </w:tblGrid>
      <w:tr w:rsidR="00CA0334" w14:paraId="4EE7B11D" w14:textId="77777777" w:rsidTr="00BD1F8C">
        <w:trPr>
          <w:jc w:val="center"/>
        </w:trPr>
        <w:tc>
          <w:tcPr>
            <w:tcW w:w="1912" w:type="dxa"/>
            <w:tcBorders>
              <w:top w:val="single" w:sz="4" w:space="0" w:color="auto"/>
              <w:left w:val="single" w:sz="4" w:space="0" w:color="auto"/>
              <w:bottom w:val="single" w:sz="4" w:space="0" w:color="auto"/>
              <w:right w:val="single" w:sz="4" w:space="0" w:color="auto"/>
            </w:tcBorders>
            <w:hideMark/>
          </w:tcPr>
          <w:p w14:paraId="444067F9" w14:textId="77777777" w:rsidR="00CA0334" w:rsidRDefault="00CA0334" w:rsidP="00815C5B">
            <w:pPr>
              <w:pStyle w:val="TAH"/>
            </w:pPr>
            <w:r>
              <w:t>Operating band</w:t>
            </w:r>
          </w:p>
        </w:tc>
        <w:tc>
          <w:tcPr>
            <w:tcW w:w="1031" w:type="dxa"/>
            <w:tcBorders>
              <w:top w:val="single" w:sz="4" w:space="0" w:color="auto"/>
              <w:left w:val="single" w:sz="4" w:space="0" w:color="auto"/>
              <w:bottom w:val="single" w:sz="4" w:space="0" w:color="auto"/>
              <w:right w:val="single" w:sz="4" w:space="0" w:color="auto"/>
            </w:tcBorders>
            <w:hideMark/>
          </w:tcPr>
          <w:p w14:paraId="75E18A47" w14:textId="77777777" w:rsidR="00CA0334" w:rsidRDefault="00CA0334" w:rsidP="00815C5B">
            <w:pPr>
              <w:pStyle w:val="TAH"/>
            </w:pPr>
            <w:r>
              <w:t>F</w:t>
            </w:r>
            <w:r>
              <w:rPr>
                <w:vertAlign w:val="subscript"/>
              </w:rPr>
              <w:t>step,1</w:t>
            </w:r>
            <w:r>
              <w:br/>
              <w:t>(GHz)</w:t>
            </w:r>
          </w:p>
        </w:tc>
        <w:tc>
          <w:tcPr>
            <w:tcW w:w="1134" w:type="dxa"/>
            <w:tcBorders>
              <w:top w:val="single" w:sz="4" w:space="0" w:color="auto"/>
              <w:left w:val="single" w:sz="4" w:space="0" w:color="auto"/>
              <w:bottom w:val="single" w:sz="4" w:space="0" w:color="auto"/>
              <w:right w:val="single" w:sz="4" w:space="0" w:color="auto"/>
            </w:tcBorders>
            <w:hideMark/>
          </w:tcPr>
          <w:p w14:paraId="6882C94A" w14:textId="77777777" w:rsidR="00CA0334" w:rsidRDefault="00CA0334" w:rsidP="00815C5B">
            <w:pPr>
              <w:pStyle w:val="TAH"/>
            </w:pPr>
            <w:r>
              <w:t>F</w:t>
            </w:r>
            <w:r>
              <w:rPr>
                <w:vertAlign w:val="subscript"/>
              </w:rPr>
              <w:t>step,2</w:t>
            </w:r>
            <w:r>
              <w:br/>
              <w:t>(GHz)</w:t>
            </w:r>
          </w:p>
        </w:tc>
        <w:tc>
          <w:tcPr>
            <w:tcW w:w="1134" w:type="dxa"/>
            <w:tcBorders>
              <w:top w:val="single" w:sz="4" w:space="0" w:color="auto"/>
              <w:left w:val="single" w:sz="4" w:space="0" w:color="auto"/>
              <w:bottom w:val="single" w:sz="4" w:space="0" w:color="auto"/>
              <w:right w:val="single" w:sz="4" w:space="0" w:color="auto"/>
            </w:tcBorders>
            <w:hideMark/>
          </w:tcPr>
          <w:p w14:paraId="7C7113B1" w14:textId="77777777" w:rsidR="00CA0334" w:rsidRDefault="00CA0334" w:rsidP="00815C5B">
            <w:pPr>
              <w:pStyle w:val="TAH"/>
            </w:pPr>
            <w:r>
              <w:t>F</w:t>
            </w:r>
            <w:r>
              <w:rPr>
                <w:vertAlign w:val="subscript"/>
              </w:rPr>
              <w:t>step,3</w:t>
            </w:r>
            <w:r>
              <w:br/>
              <w:t>(GHz) (Note 2)</w:t>
            </w:r>
          </w:p>
        </w:tc>
        <w:tc>
          <w:tcPr>
            <w:tcW w:w="1196" w:type="dxa"/>
            <w:tcBorders>
              <w:top w:val="single" w:sz="4" w:space="0" w:color="auto"/>
              <w:left w:val="single" w:sz="4" w:space="0" w:color="auto"/>
              <w:bottom w:val="single" w:sz="4" w:space="0" w:color="auto"/>
              <w:right w:val="single" w:sz="4" w:space="0" w:color="auto"/>
            </w:tcBorders>
            <w:hideMark/>
          </w:tcPr>
          <w:p w14:paraId="190D5827" w14:textId="77777777" w:rsidR="00CA0334" w:rsidRDefault="00CA0334" w:rsidP="00815C5B">
            <w:pPr>
              <w:pStyle w:val="TAH"/>
            </w:pPr>
            <w:r>
              <w:t>F</w:t>
            </w:r>
            <w:r>
              <w:rPr>
                <w:vertAlign w:val="subscript"/>
              </w:rPr>
              <w:t>step,4</w:t>
            </w:r>
            <w:r>
              <w:br/>
              <w:t>(GHz) (Note 2)</w:t>
            </w:r>
          </w:p>
        </w:tc>
        <w:tc>
          <w:tcPr>
            <w:tcW w:w="1019" w:type="dxa"/>
            <w:tcBorders>
              <w:top w:val="single" w:sz="4" w:space="0" w:color="auto"/>
              <w:left w:val="single" w:sz="4" w:space="0" w:color="auto"/>
              <w:bottom w:val="single" w:sz="4" w:space="0" w:color="auto"/>
              <w:right w:val="single" w:sz="4" w:space="0" w:color="auto"/>
            </w:tcBorders>
            <w:hideMark/>
          </w:tcPr>
          <w:p w14:paraId="2FFB848B" w14:textId="77777777" w:rsidR="00CA0334" w:rsidRDefault="00CA0334" w:rsidP="00815C5B">
            <w:pPr>
              <w:pStyle w:val="TAH"/>
            </w:pPr>
            <w:r>
              <w:t>F</w:t>
            </w:r>
            <w:r>
              <w:rPr>
                <w:vertAlign w:val="subscript"/>
              </w:rPr>
              <w:t>step,5</w:t>
            </w:r>
            <w:r>
              <w:br/>
              <w:t>(GHz)</w:t>
            </w:r>
          </w:p>
        </w:tc>
        <w:tc>
          <w:tcPr>
            <w:tcW w:w="1134" w:type="dxa"/>
            <w:tcBorders>
              <w:top w:val="single" w:sz="4" w:space="0" w:color="auto"/>
              <w:left w:val="single" w:sz="4" w:space="0" w:color="auto"/>
              <w:bottom w:val="single" w:sz="4" w:space="0" w:color="auto"/>
              <w:right w:val="single" w:sz="4" w:space="0" w:color="auto"/>
            </w:tcBorders>
            <w:hideMark/>
          </w:tcPr>
          <w:p w14:paraId="5F18A10F" w14:textId="77777777" w:rsidR="00CA0334" w:rsidRDefault="00CA0334" w:rsidP="00815C5B">
            <w:pPr>
              <w:pStyle w:val="TAH"/>
            </w:pPr>
            <w:r>
              <w:t>F</w:t>
            </w:r>
            <w:r>
              <w:rPr>
                <w:vertAlign w:val="subscript"/>
              </w:rPr>
              <w:t>step,6</w:t>
            </w:r>
            <w:r>
              <w:br/>
              <w:t>(GHz)</w:t>
            </w:r>
          </w:p>
        </w:tc>
      </w:tr>
      <w:tr w:rsidR="00CA0334" w14:paraId="3C221496" w14:textId="77777777" w:rsidTr="00815C5B">
        <w:trPr>
          <w:jc w:val="center"/>
        </w:trPr>
        <w:tc>
          <w:tcPr>
            <w:tcW w:w="1912" w:type="dxa"/>
            <w:tcBorders>
              <w:top w:val="single" w:sz="4" w:space="0" w:color="auto"/>
              <w:left w:val="single" w:sz="4" w:space="0" w:color="auto"/>
              <w:bottom w:val="single" w:sz="4" w:space="0" w:color="auto"/>
              <w:right w:val="single" w:sz="4" w:space="0" w:color="auto"/>
            </w:tcBorders>
            <w:hideMark/>
          </w:tcPr>
          <w:p w14:paraId="29827842" w14:textId="77777777" w:rsidR="00CA0334" w:rsidRDefault="00CA0334" w:rsidP="00815C5B">
            <w:pPr>
              <w:pStyle w:val="TAC"/>
            </w:pPr>
            <w:r>
              <w:t>n258</w:t>
            </w:r>
          </w:p>
        </w:tc>
        <w:tc>
          <w:tcPr>
            <w:tcW w:w="1031" w:type="dxa"/>
            <w:tcBorders>
              <w:top w:val="single" w:sz="4" w:space="0" w:color="auto"/>
              <w:left w:val="single" w:sz="4" w:space="0" w:color="auto"/>
              <w:bottom w:val="single" w:sz="4" w:space="0" w:color="auto"/>
              <w:right w:val="single" w:sz="4" w:space="0" w:color="auto"/>
            </w:tcBorders>
            <w:hideMark/>
          </w:tcPr>
          <w:p w14:paraId="0D4C43D6" w14:textId="77777777" w:rsidR="00CA0334" w:rsidRDefault="00CA0334" w:rsidP="00815C5B">
            <w:pPr>
              <w:pStyle w:val="TAC"/>
            </w:pPr>
            <w:r>
              <w:t>18</w:t>
            </w:r>
          </w:p>
        </w:tc>
        <w:tc>
          <w:tcPr>
            <w:tcW w:w="1134" w:type="dxa"/>
            <w:tcBorders>
              <w:top w:val="single" w:sz="4" w:space="0" w:color="auto"/>
              <w:left w:val="single" w:sz="4" w:space="0" w:color="auto"/>
              <w:bottom w:val="single" w:sz="4" w:space="0" w:color="auto"/>
              <w:right w:val="single" w:sz="4" w:space="0" w:color="auto"/>
            </w:tcBorders>
            <w:hideMark/>
          </w:tcPr>
          <w:p w14:paraId="41D323A3" w14:textId="77777777" w:rsidR="00CA0334" w:rsidRDefault="00CA0334" w:rsidP="00815C5B">
            <w:pPr>
              <w:pStyle w:val="TAC"/>
            </w:pPr>
            <w:r>
              <w:t>21</w:t>
            </w:r>
          </w:p>
        </w:tc>
        <w:tc>
          <w:tcPr>
            <w:tcW w:w="1134" w:type="dxa"/>
            <w:tcBorders>
              <w:top w:val="single" w:sz="4" w:space="0" w:color="auto"/>
              <w:left w:val="single" w:sz="4" w:space="0" w:color="auto"/>
              <w:bottom w:val="single" w:sz="4" w:space="0" w:color="auto"/>
              <w:right w:val="single" w:sz="4" w:space="0" w:color="auto"/>
            </w:tcBorders>
            <w:hideMark/>
          </w:tcPr>
          <w:p w14:paraId="5C0AF536" w14:textId="77777777" w:rsidR="00CA0334" w:rsidRDefault="00CA0334" w:rsidP="00815C5B">
            <w:pPr>
              <w:pStyle w:val="TAC"/>
            </w:pPr>
            <w:r>
              <w:t>22.75</w:t>
            </w:r>
          </w:p>
        </w:tc>
        <w:tc>
          <w:tcPr>
            <w:tcW w:w="1196" w:type="dxa"/>
            <w:tcBorders>
              <w:top w:val="single" w:sz="4" w:space="0" w:color="auto"/>
              <w:left w:val="single" w:sz="4" w:space="0" w:color="auto"/>
              <w:bottom w:val="single" w:sz="4" w:space="0" w:color="auto"/>
              <w:right w:val="single" w:sz="4" w:space="0" w:color="auto"/>
            </w:tcBorders>
            <w:hideMark/>
          </w:tcPr>
          <w:p w14:paraId="2B6E0005" w14:textId="77777777" w:rsidR="00CA0334" w:rsidRDefault="00CA0334" w:rsidP="00815C5B">
            <w:pPr>
              <w:pStyle w:val="TAC"/>
            </w:pPr>
            <w:r>
              <w:t>29</w:t>
            </w:r>
          </w:p>
        </w:tc>
        <w:tc>
          <w:tcPr>
            <w:tcW w:w="1019" w:type="dxa"/>
            <w:tcBorders>
              <w:top w:val="single" w:sz="4" w:space="0" w:color="auto"/>
              <w:left w:val="single" w:sz="4" w:space="0" w:color="auto"/>
              <w:bottom w:val="single" w:sz="4" w:space="0" w:color="auto"/>
              <w:right w:val="single" w:sz="4" w:space="0" w:color="auto"/>
            </w:tcBorders>
            <w:hideMark/>
          </w:tcPr>
          <w:p w14:paraId="36038CC5" w14:textId="77777777" w:rsidR="00CA0334" w:rsidRDefault="00CA0334" w:rsidP="00815C5B">
            <w:pPr>
              <w:pStyle w:val="TAC"/>
            </w:pPr>
            <w:r>
              <w:t>30.75</w:t>
            </w:r>
          </w:p>
        </w:tc>
        <w:tc>
          <w:tcPr>
            <w:tcW w:w="1134" w:type="dxa"/>
            <w:tcBorders>
              <w:top w:val="single" w:sz="4" w:space="0" w:color="auto"/>
              <w:left w:val="single" w:sz="4" w:space="0" w:color="auto"/>
              <w:bottom w:val="single" w:sz="4" w:space="0" w:color="auto"/>
              <w:right w:val="single" w:sz="4" w:space="0" w:color="auto"/>
            </w:tcBorders>
            <w:hideMark/>
          </w:tcPr>
          <w:p w14:paraId="413C29F3" w14:textId="77777777" w:rsidR="00CA0334" w:rsidRDefault="00CA0334" w:rsidP="00815C5B">
            <w:pPr>
              <w:pStyle w:val="TAC"/>
            </w:pPr>
            <w:r>
              <w:t>40.5</w:t>
            </w:r>
          </w:p>
        </w:tc>
      </w:tr>
      <w:tr w:rsidR="00CA0334" w14:paraId="00C246A7" w14:textId="77777777" w:rsidTr="00815C5B">
        <w:trPr>
          <w:jc w:val="center"/>
        </w:trPr>
        <w:tc>
          <w:tcPr>
            <w:tcW w:w="1912" w:type="dxa"/>
            <w:tcBorders>
              <w:top w:val="single" w:sz="4" w:space="0" w:color="auto"/>
              <w:left w:val="single" w:sz="4" w:space="0" w:color="auto"/>
              <w:bottom w:val="single" w:sz="4" w:space="0" w:color="auto"/>
              <w:right w:val="single" w:sz="4" w:space="0" w:color="auto"/>
            </w:tcBorders>
            <w:hideMark/>
          </w:tcPr>
          <w:p w14:paraId="027C9902" w14:textId="77777777" w:rsidR="00CA0334" w:rsidRDefault="00CA0334" w:rsidP="00815C5B">
            <w:pPr>
              <w:pStyle w:val="TAC"/>
            </w:pPr>
            <w:r>
              <w:t>n259</w:t>
            </w:r>
          </w:p>
        </w:tc>
        <w:tc>
          <w:tcPr>
            <w:tcW w:w="1031" w:type="dxa"/>
            <w:tcBorders>
              <w:top w:val="single" w:sz="4" w:space="0" w:color="auto"/>
              <w:left w:val="single" w:sz="4" w:space="0" w:color="auto"/>
              <w:bottom w:val="single" w:sz="4" w:space="0" w:color="auto"/>
              <w:right w:val="single" w:sz="4" w:space="0" w:color="auto"/>
            </w:tcBorders>
            <w:hideMark/>
          </w:tcPr>
          <w:p w14:paraId="0106A564" w14:textId="77777777" w:rsidR="00CA0334" w:rsidRDefault="00CA0334" w:rsidP="00815C5B">
            <w:pPr>
              <w:pStyle w:val="TAC"/>
            </w:pPr>
            <w:r>
              <w:t>23.5</w:t>
            </w:r>
          </w:p>
        </w:tc>
        <w:tc>
          <w:tcPr>
            <w:tcW w:w="1134" w:type="dxa"/>
            <w:tcBorders>
              <w:top w:val="single" w:sz="4" w:space="0" w:color="auto"/>
              <w:left w:val="single" w:sz="4" w:space="0" w:color="auto"/>
              <w:bottom w:val="single" w:sz="4" w:space="0" w:color="auto"/>
              <w:right w:val="single" w:sz="4" w:space="0" w:color="auto"/>
            </w:tcBorders>
            <w:hideMark/>
          </w:tcPr>
          <w:p w14:paraId="7703A1A1" w14:textId="77777777" w:rsidR="00CA0334" w:rsidRDefault="00CA0334" w:rsidP="00815C5B">
            <w:pPr>
              <w:pStyle w:val="TAC"/>
            </w:pPr>
            <w:r>
              <w:t>35.5</w:t>
            </w:r>
          </w:p>
        </w:tc>
        <w:tc>
          <w:tcPr>
            <w:tcW w:w="1134" w:type="dxa"/>
            <w:tcBorders>
              <w:top w:val="single" w:sz="4" w:space="0" w:color="auto"/>
              <w:left w:val="single" w:sz="4" w:space="0" w:color="auto"/>
              <w:bottom w:val="single" w:sz="4" w:space="0" w:color="auto"/>
              <w:right w:val="single" w:sz="4" w:space="0" w:color="auto"/>
            </w:tcBorders>
            <w:hideMark/>
          </w:tcPr>
          <w:p w14:paraId="615C8615" w14:textId="77777777" w:rsidR="00CA0334" w:rsidRDefault="00CA0334" w:rsidP="00815C5B">
            <w:pPr>
              <w:pStyle w:val="TAC"/>
            </w:pPr>
            <w:r>
              <w:t>38</w:t>
            </w:r>
          </w:p>
        </w:tc>
        <w:tc>
          <w:tcPr>
            <w:tcW w:w="1196" w:type="dxa"/>
            <w:tcBorders>
              <w:top w:val="single" w:sz="4" w:space="0" w:color="auto"/>
              <w:left w:val="single" w:sz="4" w:space="0" w:color="auto"/>
              <w:bottom w:val="single" w:sz="4" w:space="0" w:color="auto"/>
              <w:right w:val="single" w:sz="4" w:space="0" w:color="auto"/>
            </w:tcBorders>
            <w:hideMark/>
          </w:tcPr>
          <w:p w14:paraId="3590B051" w14:textId="77777777" w:rsidR="00CA0334" w:rsidRDefault="00CA0334" w:rsidP="00815C5B">
            <w:pPr>
              <w:pStyle w:val="TAC"/>
            </w:pPr>
            <w:r>
              <w:t>45</w:t>
            </w:r>
          </w:p>
        </w:tc>
        <w:tc>
          <w:tcPr>
            <w:tcW w:w="1019" w:type="dxa"/>
            <w:tcBorders>
              <w:top w:val="single" w:sz="4" w:space="0" w:color="auto"/>
              <w:left w:val="single" w:sz="4" w:space="0" w:color="auto"/>
              <w:bottom w:val="single" w:sz="4" w:space="0" w:color="auto"/>
              <w:right w:val="single" w:sz="4" w:space="0" w:color="auto"/>
            </w:tcBorders>
            <w:hideMark/>
          </w:tcPr>
          <w:p w14:paraId="0AC8E15B" w14:textId="77777777" w:rsidR="00CA0334" w:rsidRDefault="00CA0334" w:rsidP="00815C5B">
            <w:pPr>
              <w:pStyle w:val="TAC"/>
            </w:pPr>
            <w:r>
              <w:t>47.5</w:t>
            </w:r>
          </w:p>
        </w:tc>
        <w:tc>
          <w:tcPr>
            <w:tcW w:w="1134" w:type="dxa"/>
            <w:tcBorders>
              <w:top w:val="single" w:sz="4" w:space="0" w:color="auto"/>
              <w:left w:val="single" w:sz="4" w:space="0" w:color="auto"/>
              <w:bottom w:val="single" w:sz="4" w:space="0" w:color="auto"/>
              <w:right w:val="single" w:sz="4" w:space="0" w:color="auto"/>
            </w:tcBorders>
            <w:hideMark/>
          </w:tcPr>
          <w:p w14:paraId="577A0FF0" w14:textId="77777777" w:rsidR="00CA0334" w:rsidRDefault="00CA0334" w:rsidP="00815C5B">
            <w:pPr>
              <w:pStyle w:val="TAC"/>
            </w:pPr>
            <w:r>
              <w:t>59.5</w:t>
            </w:r>
          </w:p>
        </w:tc>
      </w:tr>
      <w:tr w:rsidR="00CA0334" w:rsidRPr="00AB3358" w14:paraId="78520A4B" w14:textId="77777777" w:rsidTr="00BD1F8C">
        <w:trPr>
          <w:jc w:val="center"/>
        </w:trPr>
        <w:tc>
          <w:tcPr>
            <w:tcW w:w="8560" w:type="dxa"/>
            <w:gridSpan w:val="7"/>
            <w:tcBorders>
              <w:top w:val="single" w:sz="4" w:space="0" w:color="auto"/>
              <w:left w:val="single" w:sz="4" w:space="0" w:color="auto"/>
              <w:bottom w:val="single" w:sz="4" w:space="0" w:color="auto"/>
              <w:right w:val="single" w:sz="4" w:space="0" w:color="auto"/>
            </w:tcBorders>
            <w:hideMark/>
          </w:tcPr>
          <w:p w14:paraId="381D2DB0" w14:textId="77777777" w:rsidR="00CA0334" w:rsidRDefault="00CA0334" w:rsidP="00815C5B">
            <w:pPr>
              <w:pStyle w:val="TAN"/>
            </w:pPr>
            <w:r>
              <w:t>NOTE 1:</w:t>
            </w:r>
            <w:r>
              <w:tab/>
              <w:t>F</w:t>
            </w:r>
            <w:r>
              <w:rPr>
                <w:vertAlign w:val="subscript"/>
              </w:rPr>
              <w:t>step,</w:t>
            </w:r>
            <w:r>
              <w:rPr>
                <w:vertAlign w:val="subscript"/>
                <w:lang w:eastAsia="zh-CN"/>
              </w:rPr>
              <w:t>X</w:t>
            </w:r>
            <w:r>
              <w:rPr>
                <w:lang w:eastAsia="zh-CN"/>
              </w:rPr>
              <w:t xml:space="preserve"> are based on </w:t>
            </w:r>
            <w:r>
              <w:t xml:space="preserve">ERC Recommendation 74-01 </w:t>
            </w:r>
            <w:r>
              <w:rPr>
                <w:lang w:eastAsia="zh-CN"/>
              </w:rPr>
              <w:t>[19]</w:t>
            </w:r>
            <w:r>
              <w:t>, Annex 2</w:t>
            </w:r>
            <w:r>
              <w:rPr>
                <w:lang w:eastAsia="zh-CN"/>
              </w:rPr>
              <w:t>.</w:t>
            </w:r>
          </w:p>
          <w:p w14:paraId="526E9B8B" w14:textId="77777777" w:rsidR="00CA0334" w:rsidRDefault="00CA0334" w:rsidP="00815C5B">
            <w:pPr>
              <w:pStyle w:val="TAN"/>
            </w:pPr>
            <w:r>
              <w:t>NOTE 2:</w:t>
            </w:r>
            <w:r>
              <w:tab/>
              <w:t>F</w:t>
            </w:r>
            <w:r>
              <w:rPr>
                <w:vertAlign w:val="subscript"/>
              </w:rPr>
              <w:t>step,3</w:t>
            </w:r>
            <w:r>
              <w:t xml:space="preserve"> and F</w:t>
            </w:r>
            <w:r>
              <w:rPr>
                <w:vertAlign w:val="subscript"/>
              </w:rPr>
              <w:t>step,4</w:t>
            </w:r>
            <w:r>
              <w:t xml:space="preserve"> are aligned with the values for Δf</w:t>
            </w:r>
            <w:r>
              <w:rPr>
                <w:vertAlign w:val="subscript"/>
              </w:rPr>
              <w:t>OBUE</w:t>
            </w:r>
            <w:r>
              <w:t xml:space="preserve"> in Table 9.7.1-1 and Table 9.7.1-2.</w:t>
            </w:r>
          </w:p>
        </w:tc>
      </w:tr>
    </w:tbl>
    <w:p w14:paraId="7E61E78A" w14:textId="77777777" w:rsidR="00CA0334" w:rsidRDefault="00CA0334" w:rsidP="00CA0334">
      <w:pPr>
        <w:pStyle w:val="Heading5"/>
      </w:pPr>
      <w:bookmarkStart w:id="5971" w:name="_Toc45893682"/>
      <w:bookmarkStart w:id="5972" w:name="_Toc44712370"/>
      <w:bookmarkStart w:id="5973" w:name="_Toc37267765"/>
      <w:bookmarkStart w:id="5974" w:name="_Toc37260377"/>
      <w:bookmarkStart w:id="5975" w:name="_Toc36817455"/>
      <w:bookmarkStart w:id="5976" w:name="_Toc29811903"/>
      <w:bookmarkStart w:id="5977" w:name="_Toc21127694"/>
      <w:bookmarkStart w:id="5978" w:name="_Toc53185520"/>
      <w:bookmarkStart w:id="5979" w:name="_Toc53185896"/>
      <w:bookmarkStart w:id="5980" w:name="_Toc57820382"/>
      <w:bookmarkStart w:id="5981" w:name="_Toc57821309"/>
      <w:bookmarkStart w:id="5982" w:name="_Toc61183585"/>
      <w:bookmarkStart w:id="5983" w:name="_Toc61183979"/>
      <w:bookmarkStart w:id="5984" w:name="_Toc61184371"/>
      <w:bookmarkStart w:id="5985" w:name="_Toc61184763"/>
      <w:bookmarkStart w:id="5986" w:name="_Toc61185153"/>
      <w:bookmarkStart w:id="5987" w:name="_Toc66386497"/>
      <w:bookmarkStart w:id="5988" w:name="_Toc74583400"/>
      <w:bookmarkStart w:id="5989" w:name="_Toc76542213"/>
      <w:bookmarkStart w:id="5990" w:name="_Toc82450195"/>
      <w:bookmarkStart w:id="5991" w:name="_Toc82450843"/>
      <w:bookmarkStart w:id="5992" w:name="_Toc89949232"/>
      <w:bookmarkStart w:id="5993" w:name="_Toc98755621"/>
      <w:bookmarkStart w:id="5994" w:name="_Toc98763213"/>
      <w:bookmarkStart w:id="5995" w:name="_Toc106184142"/>
      <w:r>
        <w:t>9.7.5.3.3</w:t>
      </w:r>
      <w:r>
        <w:tab/>
        <w:t>Additional OTA transmitter spurious emissions requirements</w:t>
      </w:r>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p>
    <w:p w14:paraId="0CFC828F" w14:textId="77777777" w:rsidR="00CA0334" w:rsidRDefault="00CA0334" w:rsidP="00CA0334">
      <w:pPr>
        <w:pStyle w:val="Guidance"/>
        <w:rPr>
          <w:i w:val="0"/>
          <w:color w:val="auto"/>
        </w:rPr>
      </w:pPr>
      <w:r>
        <w:rPr>
          <w:i w:val="0"/>
          <w:color w:val="auto"/>
        </w:rPr>
        <w:t xml:space="preserve">These requirements may be applied for the protection of systems operating in frequency ranges other than the IAB-Node. The limits may apply as an optional protection of such systems that are deployed in the same geographical area as the IAB-Node, or they may be set by local or regional regulation as a mandatory requirement for an NR </w:t>
      </w:r>
      <w:r>
        <w:rPr>
          <w:color w:val="auto"/>
        </w:rPr>
        <w:t>operating band</w:t>
      </w:r>
      <w:r>
        <w:rPr>
          <w:i w:val="0"/>
          <w:color w:val="auto"/>
        </w:rPr>
        <w:t xml:space="preserve">. It is in some cases not stated in the present document whether a requirement is mandatory or under what exact </w:t>
      </w:r>
      <w:r>
        <w:rPr>
          <w:i w:val="0"/>
          <w:color w:val="auto"/>
        </w:rPr>
        <w:lastRenderedPageBreak/>
        <w:t>circumstances that a limit applies, since this is set by local or regional regulation. An overview of regional requirements in the present document is given in clause 4.5.</w:t>
      </w:r>
    </w:p>
    <w:p w14:paraId="4E29714E" w14:textId="77777777" w:rsidR="00CA0334" w:rsidRDefault="00CA0334" w:rsidP="00CA0334">
      <w:pPr>
        <w:pStyle w:val="Heading6"/>
      </w:pPr>
      <w:bookmarkStart w:id="5996" w:name="_Toc45893683"/>
      <w:bookmarkStart w:id="5997" w:name="_Toc44712371"/>
      <w:bookmarkStart w:id="5998" w:name="_Toc53185521"/>
      <w:bookmarkStart w:id="5999" w:name="_Toc53185897"/>
      <w:bookmarkStart w:id="6000" w:name="_Toc57820383"/>
      <w:bookmarkStart w:id="6001" w:name="_Toc57821310"/>
      <w:bookmarkStart w:id="6002" w:name="_Toc61183586"/>
      <w:bookmarkStart w:id="6003" w:name="_Toc61183980"/>
      <w:bookmarkStart w:id="6004" w:name="_Toc61184372"/>
      <w:bookmarkStart w:id="6005" w:name="_Toc61184764"/>
      <w:bookmarkStart w:id="6006" w:name="_Toc61185154"/>
      <w:bookmarkStart w:id="6007" w:name="_Toc66386498"/>
      <w:bookmarkStart w:id="6008" w:name="_Toc74583401"/>
      <w:bookmarkStart w:id="6009" w:name="_Toc76542214"/>
      <w:bookmarkStart w:id="6010" w:name="_Toc82450196"/>
      <w:bookmarkStart w:id="6011" w:name="_Toc82450844"/>
      <w:bookmarkStart w:id="6012" w:name="_Toc89949233"/>
      <w:bookmarkStart w:id="6013" w:name="_Toc98755622"/>
      <w:bookmarkStart w:id="6014" w:name="_Toc98763214"/>
      <w:bookmarkStart w:id="6015" w:name="_Toc106184143"/>
      <w:r>
        <w:t>9.7.5.3.3.1</w:t>
      </w:r>
      <w:r>
        <w:tab/>
        <w:t>Limits for protection of Earth Exploration Satellite Service</w:t>
      </w:r>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p>
    <w:p w14:paraId="26EC9082" w14:textId="77777777" w:rsidR="00CA0334" w:rsidRDefault="00CA0334" w:rsidP="00CA0334">
      <w:r>
        <w:t>For IAB-DU and IAB-MT operating in the frequency range 24.25 – 27.5 GHz, the power of any spurious emissions shall not exceed the limits in Table 9.7.5.3.3.1-1.</w:t>
      </w:r>
    </w:p>
    <w:p w14:paraId="5C709687" w14:textId="77777777" w:rsidR="00CA0334" w:rsidRDefault="00CA0334" w:rsidP="00CA0334">
      <w:pPr>
        <w:pStyle w:val="TH"/>
      </w:pPr>
      <w:bookmarkStart w:id="6016" w:name="_Hlk41916699"/>
      <w:r>
        <w:t>Table 9.7.5.3.3.1-1: Limits for protection of Earth Exploration Satellite Service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CA0334" w14:paraId="4FF24DB6"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664BA7EF" w14:textId="77777777" w:rsidR="00CA0334" w:rsidRDefault="00CA0334" w:rsidP="00BD1F8C">
            <w:pPr>
              <w:pStyle w:val="TAH"/>
            </w:pPr>
            <w:r>
              <w:t xml:space="preserve">Frequency range </w:t>
            </w:r>
          </w:p>
        </w:tc>
        <w:tc>
          <w:tcPr>
            <w:tcW w:w="2052" w:type="dxa"/>
            <w:tcBorders>
              <w:top w:val="single" w:sz="6" w:space="0" w:color="000000"/>
              <w:left w:val="single" w:sz="6" w:space="0" w:color="000000"/>
              <w:bottom w:val="single" w:sz="6" w:space="0" w:color="000000"/>
              <w:right w:val="single" w:sz="6" w:space="0" w:color="000000"/>
            </w:tcBorders>
            <w:hideMark/>
          </w:tcPr>
          <w:p w14:paraId="7F76756E" w14:textId="77777777" w:rsidR="00CA0334" w:rsidRDefault="00CA0334" w:rsidP="00BD1F8C">
            <w:pPr>
              <w:pStyle w:val="TAH"/>
            </w:pPr>
            <w:r>
              <w:t>Limit</w:t>
            </w:r>
          </w:p>
        </w:tc>
        <w:tc>
          <w:tcPr>
            <w:tcW w:w="1440" w:type="dxa"/>
            <w:tcBorders>
              <w:top w:val="single" w:sz="6" w:space="0" w:color="000000"/>
              <w:left w:val="single" w:sz="6" w:space="0" w:color="000000"/>
              <w:bottom w:val="single" w:sz="6" w:space="0" w:color="000000"/>
              <w:right w:val="single" w:sz="6" w:space="0" w:color="000000"/>
            </w:tcBorders>
            <w:hideMark/>
          </w:tcPr>
          <w:p w14:paraId="7E83F598" w14:textId="77777777" w:rsidR="00CA0334" w:rsidRDefault="00CA0334" w:rsidP="00BD1F8C">
            <w:pPr>
              <w:pStyle w:val="TAH"/>
              <w:rPr>
                <w:i/>
              </w:rPr>
            </w:pPr>
            <w:r>
              <w:rPr>
                <w:i/>
              </w:rPr>
              <w:t>Measurement Bandwidth</w:t>
            </w:r>
          </w:p>
        </w:tc>
        <w:tc>
          <w:tcPr>
            <w:tcW w:w="2604" w:type="dxa"/>
            <w:tcBorders>
              <w:top w:val="single" w:sz="6" w:space="0" w:color="000000"/>
              <w:left w:val="single" w:sz="6" w:space="0" w:color="000000"/>
              <w:bottom w:val="single" w:sz="6" w:space="0" w:color="000000"/>
              <w:right w:val="single" w:sz="6" w:space="0" w:color="000000"/>
            </w:tcBorders>
            <w:hideMark/>
          </w:tcPr>
          <w:p w14:paraId="2771B325" w14:textId="77777777" w:rsidR="00CA0334" w:rsidRDefault="00CA0334" w:rsidP="00BD1F8C">
            <w:pPr>
              <w:pStyle w:val="TAH"/>
            </w:pPr>
            <w:r>
              <w:t>Note</w:t>
            </w:r>
          </w:p>
        </w:tc>
      </w:tr>
      <w:tr w:rsidR="00CA0334" w14:paraId="664471D5"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1D9C0C98" w14:textId="77777777" w:rsidR="00CA0334" w:rsidRDefault="00CA0334" w:rsidP="00BD1F8C">
            <w:pPr>
              <w:pStyle w:val="TAC"/>
            </w:pPr>
            <w:r>
              <w:rPr>
                <w:rFonts w:cs="Arial"/>
              </w:rPr>
              <w:t>23.6 – 24 GHz</w:t>
            </w:r>
          </w:p>
        </w:tc>
        <w:tc>
          <w:tcPr>
            <w:tcW w:w="2052" w:type="dxa"/>
            <w:tcBorders>
              <w:top w:val="single" w:sz="6" w:space="0" w:color="000000"/>
              <w:left w:val="single" w:sz="6" w:space="0" w:color="000000"/>
              <w:bottom w:val="single" w:sz="6" w:space="0" w:color="000000"/>
              <w:right w:val="single" w:sz="6" w:space="0" w:color="000000"/>
            </w:tcBorders>
            <w:hideMark/>
          </w:tcPr>
          <w:p w14:paraId="069BF605" w14:textId="77777777" w:rsidR="00CA0334" w:rsidRDefault="00CA0334" w:rsidP="00BD1F8C">
            <w:pPr>
              <w:pStyle w:val="TAC"/>
            </w:pPr>
            <w:r>
              <w:rPr>
                <w:rFonts w:cs="Arial"/>
              </w:rPr>
              <w:t xml:space="preserve">-3 dBm </w:t>
            </w:r>
          </w:p>
        </w:tc>
        <w:tc>
          <w:tcPr>
            <w:tcW w:w="1440" w:type="dxa"/>
            <w:tcBorders>
              <w:top w:val="single" w:sz="6" w:space="0" w:color="000000"/>
              <w:left w:val="single" w:sz="6" w:space="0" w:color="000000"/>
              <w:bottom w:val="single" w:sz="6" w:space="0" w:color="000000"/>
              <w:right w:val="single" w:sz="6" w:space="0" w:color="000000"/>
            </w:tcBorders>
            <w:hideMark/>
          </w:tcPr>
          <w:p w14:paraId="2839C648" w14:textId="77777777" w:rsidR="00CA0334" w:rsidRDefault="00CA0334" w:rsidP="00BD1F8C">
            <w:pPr>
              <w:pStyle w:val="TAC"/>
              <w:rPr>
                <w:rFonts w:cs="Arial"/>
              </w:rPr>
            </w:pPr>
            <w:r>
              <w:rPr>
                <w:rFonts w:cs="Arial"/>
              </w:rPr>
              <w:t>200 MHz</w:t>
            </w:r>
          </w:p>
        </w:tc>
        <w:tc>
          <w:tcPr>
            <w:tcW w:w="2604" w:type="dxa"/>
            <w:tcBorders>
              <w:top w:val="single" w:sz="6" w:space="0" w:color="000000"/>
              <w:left w:val="single" w:sz="6" w:space="0" w:color="000000"/>
              <w:bottom w:val="single" w:sz="6" w:space="0" w:color="000000"/>
              <w:right w:val="single" w:sz="6" w:space="0" w:color="000000"/>
            </w:tcBorders>
            <w:hideMark/>
          </w:tcPr>
          <w:p w14:paraId="4B786EEE" w14:textId="77777777" w:rsidR="00CA0334" w:rsidRDefault="00CA0334" w:rsidP="00BD1F8C">
            <w:pPr>
              <w:pStyle w:val="TAC"/>
              <w:rPr>
                <w:rFonts w:cs="Arial"/>
              </w:rPr>
            </w:pPr>
            <w:r>
              <w:rPr>
                <w:rFonts w:cs="Arial"/>
              </w:rPr>
              <w:t>Note 1</w:t>
            </w:r>
          </w:p>
        </w:tc>
      </w:tr>
      <w:tr w:rsidR="00CA0334" w14:paraId="0CC431DE" w14:textId="77777777" w:rsidTr="00BD1F8C">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6ACFDC42" w14:textId="77777777" w:rsidR="00CA0334" w:rsidRDefault="00CA0334" w:rsidP="00BD1F8C">
            <w:pPr>
              <w:pStyle w:val="TAC"/>
            </w:pPr>
            <w:r>
              <w:rPr>
                <w:rFonts w:cs="Arial"/>
              </w:rPr>
              <w:t>23.6 – 24 GHz</w:t>
            </w:r>
          </w:p>
        </w:tc>
        <w:tc>
          <w:tcPr>
            <w:tcW w:w="2052" w:type="dxa"/>
            <w:tcBorders>
              <w:top w:val="single" w:sz="6" w:space="0" w:color="000000"/>
              <w:left w:val="single" w:sz="6" w:space="0" w:color="000000"/>
              <w:bottom w:val="single" w:sz="6" w:space="0" w:color="000000"/>
              <w:right w:val="single" w:sz="6" w:space="0" w:color="000000"/>
            </w:tcBorders>
            <w:hideMark/>
          </w:tcPr>
          <w:p w14:paraId="4341AEB0" w14:textId="77777777" w:rsidR="00CA0334" w:rsidRDefault="00CA0334" w:rsidP="00BD1F8C">
            <w:pPr>
              <w:pStyle w:val="TAC"/>
            </w:pPr>
            <w:r>
              <w:rPr>
                <w:rFonts w:cs="Arial"/>
              </w:rPr>
              <w:t>-9 dBm</w:t>
            </w:r>
          </w:p>
        </w:tc>
        <w:tc>
          <w:tcPr>
            <w:tcW w:w="1440" w:type="dxa"/>
            <w:tcBorders>
              <w:top w:val="single" w:sz="6" w:space="0" w:color="000000"/>
              <w:left w:val="single" w:sz="6" w:space="0" w:color="000000"/>
              <w:bottom w:val="single" w:sz="6" w:space="0" w:color="000000"/>
              <w:right w:val="single" w:sz="6" w:space="0" w:color="000000"/>
            </w:tcBorders>
            <w:hideMark/>
          </w:tcPr>
          <w:p w14:paraId="49D76031" w14:textId="77777777" w:rsidR="00CA0334" w:rsidRDefault="00CA0334" w:rsidP="00BD1F8C">
            <w:pPr>
              <w:pStyle w:val="TAC"/>
              <w:rPr>
                <w:rFonts w:cs="Arial"/>
              </w:rPr>
            </w:pPr>
            <w:r>
              <w:rPr>
                <w:rFonts w:cs="Arial"/>
              </w:rPr>
              <w:t>200 MHz</w:t>
            </w:r>
          </w:p>
        </w:tc>
        <w:tc>
          <w:tcPr>
            <w:tcW w:w="2604" w:type="dxa"/>
            <w:tcBorders>
              <w:top w:val="single" w:sz="6" w:space="0" w:color="000000"/>
              <w:left w:val="single" w:sz="6" w:space="0" w:color="000000"/>
              <w:bottom w:val="single" w:sz="6" w:space="0" w:color="000000"/>
              <w:right w:val="single" w:sz="6" w:space="0" w:color="000000"/>
            </w:tcBorders>
            <w:hideMark/>
          </w:tcPr>
          <w:p w14:paraId="669211DD" w14:textId="77777777" w:rsidR="00CA0334" w:rsidRDefault="00CA0334" w:rsidP="00BD1F8C">
            <w:pPr>
              <w:pStyle w:val="TAC"/>
              <w:rPr>
                <w:rFonts w:cs="Arial"/>
              </w:rPr>
            </w:pPr>
            <w:r>
              <w:rPr>
                <w:rFonts w:cs="Arial"/>
              </w:rPr>
              <w:t>Note 2</w:t>
            </w:r>
          </w:p>
        </w:tc>
      </w:tr>
      <w:tr w:rsidR="00CA0334" w:rsidRPr="00AB3358" w14:paraId="1D1037B3" w14:textId="77777777" w:rsidTr="00BD1F8C">
        <w:trPr>
          <w:cantSplit/>
          <w:jc w:val="center"/>
        </w:trPr>
        <w:tc>
          <w:tcPr>
            <w:tcW w:w="8472" w:type="dxa"/>
            <w:gridSpan w:val="4"/>
            <w:tcBorders>
              <w:top w:val="single" w:sz="6" w:space="0" w:color="000000"/>
              <w:left w:val="single" w:sz="6" w:space="0" w:color="000000"/>
              <w:bottom w:val="single" w:sz="6" w:space="0" w:color="000000"/>
              <w:right w:val="single" w:sz="6" w:space="0" w:color="000000"/>
            </w:tcBorders>
            <w:hideMark/>
          </w:tcPr>
          <w:p w14:paraId="5DB9B84F" w14:textId="77777777" w:rsidR="00CA0334" w:rsidRDefault="00CA0334" w:rsidP="00BD1F8C">
            <w:pPr>
              <w:pStyle w:val="TAN"/>
              <w:rPr>
                <w:color w:val="FFFFFF"/>
                <w:lang w:val="en-US"/>
              </w:rPr>
            </w:pPr>
            <w:r>
              <w:rPr>
                <w:lang w:val="en-US"/>
              </w:rPr>
              <w:t>NOTE 1:</w:t>
            </w:r>
            <w:r>
              <w:rPr>
                <w:lang w:val="en-US"/>
              </w:rPr>
              <w:tab/>
              <w:t xml:space="preserve">This limit applies to IAB-DU and IAB-MT brought into use on or before 1 September 2027 </w:t>
            </w:r>
            <w:r>
              <w:rPr>
                <w:lang w:eastAsia="zh-CN"/>
              </w:rPr>
              <w:t>and enters into force from January 1, 2021</w:t>
            </w:r>
            <w:r>
              <w:rPr>
                <w:lang w:val="en-US"/>
              </w:rPr>
              <w:t>.</w:t>
            </w:r>
          </w:p>
          <w:p w14:paraId="38E0A46A" w14:textId="77777777" w:rsidR="00CA0334" w:rsidRDefault="00CA0334" w:rsidP="00BD1F8C">
            <w:pPr>
              <w:pStyle w:val="TAN"/>
              <w:rPr>
                <w:rFonts w:cs="Arial"/>
              </w:rPr>
            </w:pPr>
            <w:r>
              <w:rPr>
                <w:lang w:val="en-US"/>
              </w:rPr>
              <w:t>NOTE 2:</w:t>
            </w:r>
            <w:r>
              <w:rPr>
                <w:lang w:val="en-US"/>
              </w:rPr>
              <w:tab/>
            </w:r>
            <w:r>
              <w:rPr>
                <w:lang w:eastAsia="zh-CN"/>
              </w:rPr>
              <w:t>This limit applies to IAB-DU and IAB-MT brought into use after 1 September 2027.</w:t>
            </w:r>
          </w:p>
        </w:tc>
        <w:bookmarkEnd w:id="6016"/>
      </w:tr>
    </w:tbl>
    <w:p w14:paraId="3ED59132" w14:textId="77777777" w:rsidR="00C96360" w:rsidRPr="00C96360" w:rsidRDefault="00C96360" w:rsidP="007A1E38">
      <w:bookmarkStart w:id="6017" w:name="_Toc13080404"/>
      <w:bookmarkStart w:id="6018" w:name="_Toc18916189"/>
    </w:p>
    <w:p w14:paraId="44CA4B41" w14:textId="4D61E962" w:rsidR="00CD1521" w:rsidRPr="00AC7434" w:rsidRDefault="00077B6E" w:rsidP="00906BE7">
      <w:pPr>
        <w:pStyle w:val="Heading2"/>
        <w:rPr>
          <w:rFonts w:eastAsiaTheme="minorEastAsia"/>
          <w:lang w:eastAsia="zh-CN"/>
        </w:rPr>
      </w:pPr>
      <w:bookmarkStart w:id="6019" w:name="_Toc53185522"/>
      <w:bookmarkStart w:id="6020" w:name="_Toc53185898"/>
      <w:bookmarkStart w:id="6021" w:name="_Toc57820384"/>
      <w:bookmarkStart w:id="6022" w:name="_Toc57821311"/>
      <w:bookmarkStart w:id="6023" w:name="_Toc61183587"/>
      <w:bookmarkStart w:id="6024" w:name="_Toc61183981"/>
      <w:bookmarkStart w:id="6025" w:name="_Toc61184373"/>
      <w:bookmarkStart w:id="6026" w:name="_Toc61184765"/>
      <w:bookmarkStart w:id="6027" w:name="_Toc61185155"/>
      <w:bookmarkStart w:id="6028" w:name="_Toc66386499"/>
      <w:bookmarkStart w:id="6029" w:name="_Toc74583402"/>
      <w:bookmarkStart w:id="6030" w:name="_Toc76542215"/>
      <w:bookmarkStart w:id="6031" w:name="_Toc82450197"/>
      <w:bookmarkStart w:id="6032" w:name="_Toc82450845"/>
      <w:bookmarkStart w:id="6033" w:name="_Toc89949234"/>
      <w:bookmarkStart w:id="6034" w:name="_Toc98755623"/>
      <w:bookmarkStart w:id="6035" w:name="_Toc98763215"/>
      <w:bookmarkStart w:id="6036" w:name="_Toc106184144"/>
      <w:r w:rsidRPr="00AC7434">
        <w:t>9.8</w:t>
      </w:r>
      <w:r w:rsidRPr="00AC7434">
        <w:tab/>
        <w:t>OTA transmitter intermodulation</w:t>
      </w:r>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p>
    <w:p w14:paraId="0D48A70B" w14:textId="77777777" w:rsidR="00CA4BF4" w:rsidRDefault="00CA4BF4" w:rsidP="00CA4BF4">
      <w:pPr>
        <w:pStyle w:val="Heading3"/>
        <w:ind w:left="0" w:firstLine="0"/>
      </w:pPr>
      <w:bookmarkStart w:id="6037" w:name="_Toc29811345"/>
      <w:bookmarkStart w:id="6038" w:name="_Toc37268300"/>
      <w:bookmarkStart w:id="6039" w:name="_Toc37268751"/>
      <w:bookmarkStart w:id="6040" w:name="_Toc13079856"/>
      <w:bookmarkStart w:id="6041" w:name="_Toc29811796"/>
      <w:bookmarkStart w:id="6042" w:name="_Toc53185523"/>
      <w:bookmarkStart w:id="6043" w:name="_Toc53185899"/>
      <w:bookmarkStart w:id="6044" w:name="_Toc57820385"/>
      <w:bookmarkStart w:id="6045" w:name="_Toc57821312"/>
      <w:bookmarkStart w:id="6046" w:name="_Toc61183588"/>
      <w:bookmarkStart w:id="6047" w:name="_Toc61183982"/>
      <w:bookmarkStart w:id="6048" w:name="_Toc61184374"/>
      <w:bookmarkStart w:id="6049" w:name="_Toc61184766"/>
      <w:bookmarkStart w:id="6050" w:name="_Toc61185156"/>
      <w:bookmarkStart w:id="6051" w:name="_Toc66386500"/>
      <w:bookmarkStart w:id="6052" w:name="_Toc74583403"/>
      <w:bookmarkStart w:id="6053" w:name="_Toc76542216"/>
      <w:bookmarkStart w:id="6054" w:name="_Toc82450198"/>
      <w:bookmarkStart w:id="6055" w:name="_Toc82450846"/>
      <w:bookmarkStart w:id="6056" w:name="_Toc89949235"/>
      <w:bookmarkStart w:id="6057" w:name="_Toc98755624"/>
      <w:bookmarkStart w:id="6058" w:name="_Toc98763216"/>
      <w:bookmarkStart w:id="6059" w:name="_Toc106184145"/>
      <w:r>
        <w:t>9.8.1</w:t>
      </w:r>
      <w:r>
        <w:tab/>
        <w:t>General</w:t>
      </w:r>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p>
    <w:p w14:paraId="373D073F" w14:textId="77777777" w:rsidR="00CA4BF4" w:rsidRDefault="00CA4BF4" w:rsidP="00CA4BF4">
      <w:r>
        <w:t>The OTA transmitter intermodulation requirement is a measure of the capability of the transmitter unit to inhibit the generation of signals in its non-linear elements caused by presence of the wanted signal and an interfering signal reaching the transmitter unit via the RDN and antenna array from a co-located</w:t>
      </w:r>
      <w:r>
        <w:rPr>
          <w:rFonts w:hint="eastAsia"/>
          <w:lang w:val="en-US" w:eastAsia="zh-CN"/>
        </w:rPr>
        <w:t xml:space="preserve"> base station or</w:t>
      </w:r>
      <w:r>
        <w:t xml:space="preserve"> </w:t>
      </w:r>
      <w:r>
        <w:rPr>
          <w:rFonts w:hint="eastAsia"/>
          <w:lang w:eastAsia="zh-CN"/>
        </w:rPr>
        <w:t>IAB</w:t>
      </w:r>
      <w:r>
        <w:t xml:space="preserve">. </w:t>
      </w:r>
      <w:r w:rsidRPr="00743313">
        <w:t xml:space="preserve">The requirement applies during the </w:t>
      </w:r>
      <w:r w:rsidRPr="00743313">
        <w:rPr>
          <w:i/>
        </w:rPr>
        <w:t>transmitter ON period</w:t>
      </w:r>
      <w:r w:rsidRPr="00743313">
        <w:t xml:space="preserve"> and the </w:t>
      </w:r>
      <w:r w:rsidRPr="00743313">
        <w:rPr>
          <w:i/>
        </w:rPr>
        <w:t>transmitter transient period</w:t>
      </w:r>
      <w:r w:rsidRPr="00743313">
        <w:rPr>
          <w:i/>
          <w:lang w:val="en-US" w:eastAsia="zh-CN"/>
        </w:rPr>
        <w:t>.</w:t>
      </w:r>
      <w:r w:rsidRPr="00743313">
        <w:rPr>
          <w:i/>
        </w:rPr>
        <w:t xml:space="preserve"> </w:t>
      </w:r>
    </w:p>
    <w:p w14:paraId="3B4BC2D8" w14:textId="77777777" w:rsidR="00CA4BF4" w:rsidRDefault="00CA4BF4" w:rsidP="00CA4BF4">
      <w:r>
        <w:t>The requirement shall apply at each RIB</w:t>
      </w:r>
      <w:r>
        <w:rPr>
          <w:rFonts w:cs="v5.0.0"/>
        </w:rPr>
        <w:t xml:space="preserve"> supporting transmission in the </w:t>
      </w:r>
      <w:r>
        <w:rPr>
          <w:rFonts w:cs="v5.0.0"/>
          <w:i/>
        </w:rPr>
        <w:t>operating band</w:t>
      </w:r>
      <w:r>
        <w:t>.</w:t>
      </w:r>
    </w:p>
    <w:p w14:paraId="647EB2D5" w14:textId="77777777" w:rsidR="00CA4BF4" w:rsidRDefault="00CA4BF4" w:rsidP="00CA4BF4">
      <w:r>
        <w:t xml:space="preserve">The transmitter intermodulation level is the </w:t>
      </w:r>
      <w:r>
        <w:rPr>
          <w:i/>
        </w:rPr>
        <w:t>total radiated power</w:t>
      </w:r>
      <w:r>
        <w:t xml:space="preserve"> of the intermodulation products when an interfering signal is injected into the </w:t>
      </w:r>
      <w:r>
        <w:rPr>
          <w:i/>
        </w:rPr>
        <w:t>co-location reference antenna</w:t>
      </w:r>
      <w:r>
        <w:t>.</w:t>
      </w:r>
    </w:p>
    <w:p w14:paraId="6B9F7177" w14:textId="77777777" w:rsidR="00CA4BF4" w:rsidRDefault="00CA4BF4" w:rsidP="00CA4BF4">
      <w:r>
        <w:t xml:space="preserve">The OTA transmitter intermodulation requirement is not applicable for </w:t>
      </w:r>
      <w:r>
        <w:rPr>
          <w:rFonts w:hint="eastAsia"/>
          <w:i/>
          <w:lang w:val="en-US" w:eastAsia="zh-CN"/>
        </w:rPr>
        <w:t>IAB</w:t>
      </w:r>
      <w:r>
        <w:rPr>
          <w:i/>
        </w:rPr>
        <w:t xml:space="preserve"> type 2-O</w:t>
      </w:r>
      <w:r>
        <w:t>.</w:t>
      </w:r>
    </w:p>
    <w:p w14:paraId="5ED0C522" w14:textId="77777777" w:rsidR="00CA4BF4" w:rsidRDefault="00CA4BF4" w:rsidP="00CA4BF4">
      <w:pPr>
        <w:pStyle w:val="Heading3"/>
        <w:ind w:left="862" w:hanging="720"/>
      </w:pPr>
      <w:bookmarkStart w:id="6060" w:name="_Toc29811797"/>
      <w:bookmarkStart w:id="6061" w:name="_Toc37268752"/>
      <w:bookmarkStart w:id="6062" w:name="_Toc37268301"/>
      <w:bookmarkStart w:id="6063" w:name="_Toc29811346"/>
      <w:bookmarkStart w:id="6064" w:name="_Toc13079857"/>
      <w:bookmarkStart w:id="6065" w:name="_Toc53185524"/>
      <w:bookmarkStart w:id="6066" w:name="_Toc53185900"/>
      <w:bookmarkStart w:id="6067" w:name="_Toc57820386"/>
      <w:bookmarkStart w:id="6068" w:name="_Toc57821313"/>
      <w:bookmarkStart w:id="6069" w:name="_Toc61183589"/>
      <w:bookmarkStart w:id="6070" w:name="_Toc61183983"/>
      <w:bookmarkStart w:id="6071" w:name="_Toc61184375"/>
      <w:bookmarkStart w:id="6072" w:name="_Toc61184767"/>
      <w:bookmarkStart w:id="6073" w:name="_Toc61185157"/>
      <w:bookmarkStart w:id="6074" w:name="_Toc66386501"/>
      <w:bookmarkStart w:id="6075" w:name="_Toc74583404"/>
      <w:bookmarkStart w:id="6076" w:name="_Toc76542217"/>
      <w:bookmarkStart w:id="6077" w:name="_Toc82450199"/>
      <w:bookmarkStart w:id="6078" w:name="_Toc82450847"/>
      <w:bookmarkStart w:id="6079" w:name="_Toc89949236"/>
      <w:bookmarkStart w:id="6080" w:name="_Toc98755625"/>
      <w:bookmarkStart w:id="6081" w:name="_Toc98763217"/>
      <w:bookmarkStart w:id="6082" w:name="_Toc106184146"/>
      <w:r>
        <w:t>9.8.2</w:t>
      </w:r>
      <w:r>
        <w:tab/>
        <w:t xml:space="preserve">Minimum requirement for </w:t>
      </w:r>
      <w:r>
        <w:rPr>
          <w:i/>
          <w:iCs/>
        </w:rPr>
        <w:t>IAB</w:t>
      </w:r>
      <w:r>
        <w:rPr>
          <w:rFonts w:hint="eastAsia"/>
          <w:i/>
          <w:iCs/>
          <w:lang w:val="en-US" w:eastAsia="zh-CN"/>
        </w:rPr>
        <w:t>-DU</w:t>
      </w:r>
      <w:r>
        <w:rPr>
          <w:i/>
          <w:iCs/>
        </w:rPr>
        <w:t xml:space="preserve"> type 1-O</w:t>
      </w:r>
      <w:bookmarkEnd w:id="6060"/>
      <w:bookmarkEnd w:id="6061"/>
      <w:bookmarkEnd w:id="6062"/>
      <w:bookmarkEnd w:id="6063"/>
      <w:bookmarkEnd w:id="6064"/>
      <w:r>
        <w:rPr>
          <w:rFonts w:hint="eastAsia"/>
          <w:i/>
          <w:iCs/>
          <w:lang w:val="en-US" w:eastAsia="zh-CN"/>
        </w:rPr>
        <w:t xml:space="preserve"> </w:t>
      </w:r>
      <w:r>
        <w:rPr>
          <w:rFonts w:hint="eastAsia"/>
          <w:lang w:val="en-US" w:eastAsia="zh-CN"/>
        </w:rPr>
        <w:t>and</w:t>
      </w:r>
      <w:r>
        <w:rPr>
          <w:rFonts w:hint="eastAsia"/>
          <w:i/>
          <w:iCs/>
          <w:lang w:val="en-US" w:eastAsia="zh-CN"/>
        </w:rPr>
        <w:t xml:space="preserve"> IAB-MT type 1-O</w:t>
      </w:r>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p>
    <w:p w14:paraId="0A27A091" w14:textId="77777777" w:rsidR="00CA4BF4" w:rsidRDefault="00CA4BF4" w:rsidP="00CA4BF4">
      <w:r>
        <w:t xml:space="preserve">For </w:t>
      </w:r>
      <w:r>
        <w:rPr>
          <w:rFonts w:hint="eastAsia"/>
          <w:i/>
          <w:lang w:eastAsia="zh-CN"/>
        </w:rPr>
        <w:t>IAB</w:t>
      </w:r>
      <w:r>
        <w:rPr>
          <w:i/>
        </w:rPr>
        <w:t xml:space="preserve"> type 1-O</w:t>
      </w:r>
      <w:r>
        <w:t xml:space="preserve"> the transmitter intermodulation level shall not exceed the TRP unwanted emission limits specified for OTA transmitter spurious emission in </w:t>
      </w:r>
      <w:r w:rsidRPr="00F9157C">
        <w:t xml:space="preserve">clause </w:t>
      </w:r>
      <w:r w:rsidRPr="00F9157C">
        <w:rPr>
          <w:rFonts w:hint="eastAsia"/>
          <w:lang w:val="en-US" w:eastAsia="zh-CN"/>
        </w:rPr>
        <w:t>[</w:t>
      </w:r>
      <w:r w:rsidRPr="00BC5762">
        <w:t xml:space="preserve">9.7.5.2 (except </w:t>
      </w:r>
      <w:r w:rsidRPr="00BC5762">
        <w:rPr>
          <w:lang w:eastAsia="zh-CN"/>
        </w:rPr>
        <w:t>clause 9.7.5.2.3 and clause 9.7.5.2.5</w:t>
      </w:r>
      <w:r w:rsidRPr="00BC5762">
        <w:t>)</w:t>
      </w:r>
      <w:r w:rsidRPr="00BC5762">
        <w:rPr>
          <w:lang w:val="en-US" w:eastAsia="zh-CN"/>
        </w:rPr>
        <w:t>]</w:t>
      </w:r>
      <w:r w:rsidRPr="00F9157C">
        <w:t xml:space="preserve">, OTA </w:t>
      </w:r>
      <w:r w:rsidRPr="00F9157C">
        <w:rPr>
          <w:lang w:eastAsia="zh-CN"/>
        </w:rPr>
        <w:t xml:space="preserve">operating band unwanted </w:t>
      </w:r>
      <w:r w:rsidRPr="00F9157C">
        <w:t xml:space="preserve">emissions in clause </w:t>
      </w:r>
      <w:r w:rsidRPr="00152F46">
        <w:rPr>
          <w:rFonts w:hint="eastAsia"/>
          <w:lang w:val="en-US" w:eastAsia="zh-CN"/>
        </w:rPr>
        <w:t>[</w:t>
      </w:r>
      <w:r w:rsidRPr="00BC5762">
        <w:t>9.7.4.2</w:t>
      </w:r>
      <w:r w:rsidRPr="00BC5762">
        <w:rPr>
          <w:lang w:val="en-US" w:eastAsia="zh-CN"/>
        </w:rPr>
        <w:t>]</w:t>
      </w:r>
      <w:r w:rsidRPr="00F9157C">
        <w:t xml:space="preserve"> and OTA ACLR in clause</w:t>
      </w:r>
      <w:r w:rsidRPr="00BC5762">
        <w:t xml:space="preserve"> </w:t>
      </w:r>
      <w:r w:rsidRPr="00BC5762">
        <w:rPr>
          <w:lang w:val="en-US" w:eastAsia="zh-CN"/>
        </w:rPr>
        <w:t>[</w:t>
      </w:r>
      <w:r w:rsidRPr="00BC5762">
        <w:t>9.7.3.2</w:t>
      </w:r>
      <w:r w:rsidRPr="00BC5762">
        <w:rPr>
          <w:lang w:val="en-US" w:eastAsia="zh-CN"/>
        </w:rPr>
        <w:t>]</w:t>
      </w:r>
      <w:r w:rsidRPr="00F9157C">
        <w:t xml:space="preserve"> in</w:t>
      </w:r>
      <w:r>
        <w:t xml:space="preserve"> the presence of a wanted signal and an interfering signal, defined in table 9.8.2-1.</w:t>
      </w:r>
    </w:p>
    <w:p w14:paraId="2D478DC7" w14:textId="77777777" w:rsidR="00CA4BF4" w:rsidRDefault="00CA4BF4" w:rsidP="00CA4BF4">
      <w:r>
        <w:t xml:space="preserve">The requirement is applicable outside the </w:t>
      </w:r>
      <w:r>
        <w:rPr>
          <w:rFonts w:hint="eastAsia"/>
          <w:i/>
          <w:lang w:val="en-US" w:eastAsia="zh-CN"/>
        </w:rPr>
        <w:t>IAB</w:t>
      </w:r>
      <w:r>
        <w:rPr>
          <w:i/>
        </w:rPr>
        <w:t xml:space="preserve"> RF Bandwidth edges</w:t>
      </w:r>
      <w:r>
        <w:t xml:space="preserve">. The interfering signal offset is defined relative to the </w:t>
      </w:r>
      <w:r>
        <w:rPr>
          <w:rFonts w:hint="eastAsia"/>
          <w:i/>
          <w:lang w:val="en-US" w:eastAsia="zh-CN"/>
        </w:rPr>
        <w:t>IAB</w:t>
      </w:r>
      <w:r>
        <w:rPr>
          <w:i/>
        </w:rPr>
        <w:t xml:space="preserve"> RF Bandwidth</w:t>
      </w:r>
      <w:r>
        <w:t xml:space="preserve"> </w:t>
      </w:r>
      <w:r>
        <w:rPr>
          <w:i/>
        </w:rPr>
        <w:t>edges</w:t>
      </w:r>
      <w:r>
        <w:t xml:space="preserve"> or </w:t>
      </w:r>
      <w:r>
        <w:rPr>
          <w:i/>
        </w:rPr>
        <w:t>Radio Bandwidth</w:t>
      </w:r>
      <w:r>
        <w:t xml:space="preserve"> edges.</w:t>
      </w:r>
    </w:p>
    <w:p w14:paraId="2D16E07D" w14:textId="77777777" w:rsidR="00CA4BF4" w:rsidRDefault="00CA4BF4" w:rsidP="00CA4BF4">
      <w:r>
        <w:t xml:space="preserve">For RIBs supporting operation in </w:t>
      </w:r>
      <w:r>
        <w:rPr>
          <w:i/>
        </w:rPr>
        <w:t>non-contiguous spectrum</w:t>
      </w:r>
      <w:r>
        <w:t xml:space="preserve">, the requirement is also applicable inside a </w:t>
      </w:r>
      <w:r>
        <w:rPr>
          <w:i/>
        </w:rPr>
        <w:t>sub-block gap</w:t>
      </w:r>
      <w:r>
        <w:t xml:space="preserve"> for interfering signal offsets where the interfering signal falls completely within the </w:t>
      </w:r>
      <w:r>
        <w:rPr>
          <w:i/>
        </w:rPr>
        <w:t>sub-block gap</w:t>
      </w:r>
      <w:r>
        <w:t xml:space="preserve">. The interfering signal offset is defined relative to the </w:t>
      </w:r>
      <w:r>
        <w:rPr>
          <w:i/>
        </w:rPr>
        <w:t>sub-block</w:t>
      </w:r>
      <w:r>
        <w:t xml:space="preserve"> edges.</w:t>
      </w:r>
    </w:p>
    <w:p w14:paraId="6239985D" w14:textId="07ABCA1D" w:rsidR="007905EC" w:rsidRDefault="007905EC" w:rsidP="007905EC">
      <w:bookmarkStart w:id="6083" w:name="_Hlk51060331"/>
      <w:r>
        <w:t xml:space="preserve">For RIBs supporting operation in multiple </w:t>
      </w:r>
      <w:r>
        <w:rPr>
          <w:i/>
        </w:rPr>
        <w:t>operating bands</w:t>
      </w:r>
      <w:r>
        <w:t xml:space="preserve">, the requirement shall apply relative to the </w:t>
      </w:r>
      <w:r>
        <w:rPr>
          <w:rFonts w:hint="eastAsia"/>
          <w:i/>
          <w:lang w:eastAsia="zh-CN"/>
        </w:rPr>
        <w:t>IAB</w:t>
      </w:r>
      <w:r>
        <w:rPr>
          <w:i/>
        </w:rPr>
        <w:t xml:space="preserve"> RF Bandwidth</w:t>
      </w:r>
      <w:r>
        <w:t xml:space="preserve"> </w:t>
      </w:r>
      <w:r>
        <w:rPr>
          <w:i/>
        </w:rPr>
        <w:t>edges</w:t>
      </w:r>
      <w:r>
        <w:t xml:space="preserve"> of each </w:t>
      </w:r>
      <w:r>
        <w:rPr>
          <w:i/>
        </w:rPr>
        <w:t>operating band</w:t>
      </w:r>
      <w:r>
        <w:t xml:space="preserve">. In case the </w:t>
      </w:r>
      <w:r>
        <w:rPr>
          <w:i/>
        </w:rPr>
        <w:t>inter RF Bandwidth gap</w:t>
      </w:r>
      <w:r>
        <w:t xml:space="preserve"> is less than </w:t>
      </w:r>
      <w:r>
        <w:rPr>
          <w:lang w:val="en-US" w:eastAsia="zh-CN"/>
        </w:rPr>
        <w:t>3*BW</w:t>
      </w:r>
      <w:r>
        <w:rPr>
          <w:vertAlign w:val="subscript"/>
          <w:lang w:val="en-US" w:eastAsia="zh-CN"/>
        </w:rPr>
        <w:t>Channel</w:t>
      </w:r>
      <w:r>
        <w:rPr>
          <w:lang w:val="en-US" w:eastAsia="zh-CN"/>
        </w:rPr>
        <w:t xml:space="preserve"> (where </w:t>
      </w:r>
      <w:r>
        <w:rPr>
          <w:lang w:eastAsia="zh-CN"/>
        </w:rPr>
        <w:t>BW</w:t>
      </w:r>
      <w:r>
        <w:rPr>
          <w:vertAlign w:val="subscript"/>
          <w:lang w:eastAsia="zh-CN"/>
        </w:rPr>
        <w:t>Channel</w:t>
      </w:r>
      <w:r>
        <w:rPr>
          <w:lang w:val="en-US" w:eastAsia="zh-CN"/>
        </w:rPr>
        <w:t xml:space="preserve"> is the minimal </w:t>
      </w:r>
      <w:r>
        <w:rPr>
          <w:rFonts w:hint="eastAsia"/>
          <w:i/>
          <w:lang w:val="en-US" w:eastAsia="zh-CN"/>
        </w:rPr>
        <w:t>IAB</w:t>
      </w:r>
      <w:r>
        <w:rPr>
          <w:i/>
          <w:lang w:val="en-US" w:eastAsia="zh-CN"/>
        </w:rPr>
        <w:t>-DU Channel Bandwidth</w:t>
      </w:r>
      <w:r>
        <w:rPr>
          <w:lang w:val="en-US" w:eastAsia="zh-CN"/>
        </w:rPr>
        <w:t xml:space="preserve"> or IAB-MT Channel Bandwidth of the band)</w:t>
      </w:r>
      <w:r>
        <w:t xml:space="preserve">, the requirement in the gap shall apply only for interfering signal offsets where the interfering signal falls completely within the </w:t>
      </w:r>
      <w:r>
        <w:rPr>
          <w:i/>
        </w:rPr>
        <w:t>inter RF Bandwidth gap</w:t>
      </w:r>
      <w:r>
        <w:t>.</w:t>
      </w:r>
    </w:p>
    <w:p w14:paraId="0D48E95A" w14:textId="7E771168" w:rsidR="00CA4BF4" w:rsidRDefault="00CA4BF4" w:rsidP="00906BE7">
      <w:pPr>
        <w:pStyle w:val="TH"/>
      </w:pPr>
      <w:r>
        <w:lastRenderedPageBreak/>
        <w:t>Table 9.8.</w:t>
      </w:r>
      <w:r>
        <w:rPr>
          <w:rFonts w:hint="eastAsia"/>
          <w:lang w:val="en-US" w:eastAsia="zh-CN"/>
        </w:rPr>
        <w:t xml:space="preserve"> </w:t>
      </w:r>
      <w:r>
        <w:t>2-1</w:t>
      </w:r>
      <w:bookmarkEnd w:id="6083"/>
      <w:r>
        <w:t>: Interfering and wanted signals for</w:t>
      </w:r>
      <w:r w:rsidR="00906BE7">
        <w:t xml:space="preserve"> </w:t>
      </w:r>
      <w:r>
        <w:t>the OTA transmitter intermodulation requirement</w:t>
      </w:r>
    </w:p>
    <w:tbl>
      <w:tblPr>
        <w:tblW w:w="962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tblCellMar>
        <w:tblLook w:val="04A0" w:firstRow="1" w:lastRow="0" w:firstColumn="1" w:lastColumn="0" w:noHBand="0" w:noVBand="1"/>
      </w:tblPr>
      <w:tblGrid>
        <w:gridCol w:w="4005"/>
        <w:gridCol w:w="5618"/>
      </w:tblGrid>
      <w:tr w:rsidR="00CA4BF4" w14:paraId="422AD948" w14:textId="77777777" w:rsidTr="00BD1F8C">
        <w:trPr>
          <w:cantSplit/>
          <w:tblHeader/>
          <w:jc w:val="center"/>
        </w:trPr>
        <w:tc>
          <w:tcPr>
            <w:tcW w:w="4005" w:type="dxa"/>
          </w:tcPr>
          <w:p w14:paraId="412CD8B1" w14:textId="77777777" w:rsidR="00CA4BF4" w:rsidRDefault="00CA4BF4" w:rsidP="00BD1F8C">
            <w:pPr>
              <w:pStyle w:val="TAH"/>
            </w:pPr>
            <w:r>
              <w:t>Parameter</w:t>
            </w:r>
          </w:p>
        </w:tc>
        <w:tc>
          <w:tcPr>
            <w:tcW w:w="5618" w:type="dxa"/>
          </w:tcPr>
          <w:p w14:paraId="7081E493" w14:textId="77777777" w:rsidR="00CA4BF4" w:rsidRDefault="00CA4BF4" w:rsidP="00BD1F8C">
            <w:pPr>
              <w:pStyle w:val="TAH"/>
            </w:pPr>
            <w:r>
              <w:t>Value</w:t>
            </w:r>
          </w:p>
        </w:tc>
      </w:tr>
      <w:tr w:rsidR="007905EC" w14:paraId="7B17E757" w14:textId="77777777" w:rsidTr="00BD1F8C">
        <w:trPr>
          <w:cantSplit/>
          <w:jc w:val="center"/>
        </w:trPr>
        <w:tc>
          <w:tcPr>
            <w:tcW w:w="4005" w:type="dxa"/>
          </w:tcPr>
          <w:p w14:paraId="00DE7EFE" w14:textId="77777777" w:rsidR="007905EC" w:rsidRDefault="007905EC" w:rsidP="007905EC">
            <w:pPr>
              <w:pStyle w:val="TAC"/>
            </w:pPr>
            <w:r>
              <w:t>Wanted signal</w:t>
            </w:r>
          </w:p>
        </w:tc>
        <w:tc>
          <w:tcPr>
            <w:tcW w:w="5618" w:type="dxa"/>
          </w:tcPr>
          <w:p w14:paraId="72BA95F6" w14:textId="4711807E" w:rsidR="007905EC" w:rsidRDefault="007905EC" w:rsidP="007905EC">
            <w:pPr>
              <w:pStyle w:val="TAC"/>
            </w:pPr>
            <w:r>
              <w:t>NR signal</w:t>
            </w:r>
            <w:r>
              <w:rPr>
                <w:lang w:val="en-US" w:eastAsia="zh-CN"/>
              </w:rPr>
              <w:t xml:space="preserve"> </w:t>
            </w:r>
            <w:r>
              <w:rPr>
                <w:rFonts w:cs="Arial"/>
              </w:rPr>
              <w:t>or multi-carrier, or multiple intra-band contiguously or non-contiguously aggregated carriers</w:t>
            </w:r>
          </w:p>
        </w:tc>
      </w:tr>
      <w:tr w:rsidR="007905EC" w14:paraId="6D192284" w14:textId="77777777" w:rsidTr="00BD1F8C">
        <w:trPr>
          <w:cantSplit/>
          <w:jc w:val="center"/>
        </w:trPr>
        <w:tc>
          <w:tcPr>
            <w:tcW w:w="4005" w:type="dxa"/>
          </w:tcPr>
          <w:p w14:paraId="5F12EC6A" w14:textId="77777777" w:rsidR="007905EC" w:rsidRDefault="007905EC" w:rsidP="007905EC">
            <w:pPr>
              <w:pStyle w:val="TAC"/>
            </w:pPr>
            <w:r>
              <w:t>Interfering signal type</w:t>
            </w:r>
          </w:p>
        </w:tc>
        <w:tc>
          <w:tcPr>
            <w:tcW w:w="5618" w:type="dxa"/>
          </w:tcPr>
          <w:p w14:paraId="7404896D" w14:textId="6B056C59" w:rsidR="007905EC" w:rsidRDefault="007905EC" w:rsidP="007905EC">
            <w:pPr>
              <w:pStyle w:val="TAC"/>
            </w:pPr>
            <w:r>
              <w:t xml:space="preserve">NR signal the minimum </w:t>
            </w:r>
            <w:r>
              <w:rPr>
                <w:rFonts w:hint="eastAsia"/>
                <w:i/>
                <w:lang w:eastAsia="zh-CN"/>
              </w:rPr>
              <w:t>IAB</w:t>
            </w:r>
            <w:r>
              <w:rPr>
                <w:i/>
                <w:lang w:eastAsia="zh-CN"/>
              </w:rPr>
              <w:t>-DU</w:t>
            </w:r>
            <w:r>
              <w:rPr>
                <w:i/>
              </w:rPr>
              <w:t xml:space="preserve"> Channel Bandwidth</w:t>
            </w:r>
            <w:r>
              <w:t xml:space="preserve"> (BW</w:t>
            </w:r>
            <w:r>
              <w:rPr>
                <w:vertAlign w:val="subscript"/>
              </w:rPr>
              <w:t>Channel</w:t>
            </w:r>
            <w:r>
              <w:t xml:space="preserve">) with or </w:t>
            </w:r>
            <w:r w:rsidRPr="00361F12">
              <w:rPr>
                <w:i/>
                <w:iCs/>
              </w:rPr>
              <w:t>IAB-MT Channel Bandwidth</w:t>
            </w:r>
            <w:r>
              <w:t xml:space="preserve"> (BW</w:t>
            </w:r>
            <w:r w:rsidRPr="00361F12">
              <w:rPr>
                <w:vertAlign w:val="subscript"/>
              </w:rPr>
              <w:t>Channel</w:t>
            </w:r>
            <w:r>
              <w:t>) 15 kHz SCS of the band defined in clause 5.3.5</w:t>
            </w:r>
          </w:p>
        </w:tc>
      </w:tr>
      <w:tr w:rsidR="00CA4BF4" w14:paraId="77D5E236" w14:textId="77777777" w:rsidTr="00BD1F8C">
        <w:trPr>
          <w:cantSplit/>
          <w:jc w:val="center"/>
        </w:trPr>
        <w:tc>
          <w:tcPr>
            <w:tcW w:w="4005" w:type="dxa"/>
          </w:tcPr>
          <w:p w14:paraId="784E0EF8" w14:textId="77777777" w:rsidR="00CA4BF4" w:rsidRDefault="00CA4BF4" w:rsidP="00BD1F8C">
            <w:pPr>
              <w:pStyle w:val="TAC"/>
            </w:pPr>
            <w:r>
              <w:t>Interfering signal level</w:t>
            </w:r>
          </w:p>
        </w:tc>
        <w:tc>
          <w:tcPr>
            <w:tcW w:w="5618" w:type="dxa"/>
          </w:tcPr>
          <w:p w14:paraId="65A14B62" w14:textId="77777777" w:rsidR="00CA4BF4" w:rsidRDefault="00CA4BF4" w:rsidP="00BD1F8C">
            <w:pPr>
              <w:pStyle w:val="TAC"/>
            </w:pPr>
            <w:r>
              <w:t xml:space="preserve">The interfering signal level is the same power level as the </w:t>
            </w:r>
            <w:r>
              <w:rPr>
                <w:rFonts w:hint="eastAsia"/>
                <w:lang w:eastAsia="zh-CN"/>
              </w:rPr>
              <w:t>IAB</w:t>
            </w:r>
            <w:r>
              <w:t xml:space="preserve"> (</w:t>
            </w:r>
            <w:r>
              <w:rPr>
                <w:lang w:eastAsia="ja-JP"/>
              </w:rPr>
              <w:t>P</w:t>
            </w:r>
            <w:r>
              <w:rPr>
                <w:vertAlign w:val="subscript"/>
                <w:lang w:eastAsia="ja-JP"/>
              </w:rPr>
              <w:t>rated,t,TRP</w:t>
            </w:r>
            <w:r>
              <w:t xml:space="preserve">) fed into a </w:t>
            </w:r>
            <w:r>
              <w:rPr>
                <w:i/>
              </w:rPr>
              <w:t>co-location reference antenna</w:t>
            </w:r>
            <w:r>
              <w:t>.</w:t>
            </w:r>
          </w:p>
        </w:tc>
      </w:tr>
      <w:tr w:rsidR="00CA4BF4" w14:paraId="21A6F34D" w14:textId="77777777" w:rsidTr="00BD1F8C">
        <w:trPr>
          <w:cantSplit/>
          <w:jc w:val="center"/>
        </w:trPr>
        <w:tc>
          <w:tcPr>
            <w:tcW w:w="4005" w:type="dxa"/>
          </w:tcPr>
          <w:p w14:paraId="63543C3C" w14:textId="77777777" w:rsidR="00CA4BF4" w:rsidRDefault="00CA4BF4" w:rsidP="00BD1F8C">
            <w:pPr>
              <w:pStyle w:val="TAC"/>
            </w:pPr>
            <w:r>
              <w:t>Interfering signal centre frequency offset from the lower (upper) edge of the wanted signal</w:t>
            </w:r>
            <w:r>
              <w:rPr>
                <w:lang w:val="en-US" w:eastAsia="zh-CN"/>
              </w:rPr>
              <w:t xml:space="preserve"> </w:t>
            </w:r>
            <w:r>
              <w:rPr>
                <w:rFonts w:cs="Arial"/>
              </w:rPr>
              <w:t xml:space="preserve">or edge of </w:t>
            </w:r>
            <w:r>
              <w:rPr>
                <w:rFonts w:cs="Arial"/>
                <w:i/>
              </w:rPr>
              <w:t>sub-block</w:t>
            </w:r>
            <w:r>
              <w:rPr>
                <w:rFonts w:cs="Arial"/>
              </w:rPr>
              <w:t xml:space="preserve"> inside a gap</w:t>
            </w:r>
          </w:p>
        </w:tc>
        <w:tc>
          <w:tcPr>
            <w:tcW w:w="5618" w:type="dxa"/>
          </w:tcPr>
          <w:p w14:paraId="3197A523" w14:textId="77777777" w:rsidR="00CA4BF4" w:rsidRDefault="00CA4BF4" w:rsidP="00BD1F8C">
            <w:pPr>
              <w:pStyle w:val="TAC"/>
            </w:pPr>
            <w:r>
              <w:rPr>
                <w:position w:val="-28"/>
              </w:rPr>
              <w:object w:dxaOrig="2027" w:dyaOrig="587" w14:anchorId="641ED119">
                <v:shape id="_x0000_i1038" type="#_x0000_t75" style="width:101.35pt;height:28.25pt" o:ole="">
                  <v:imagedata r:id="rId44" o:title=""/>
                </v:shape>
                <o:OLEObject Type="Embed" ProgID="Equation.3" ShapeID="_x0000_i1038" DrawAspect="Content" ObjectID="_1734764420" r:id="rId45"/>
              </w:object>
            </w:r>
            <w:r>
              <w:t>, for n=1, 2 and 3</w:t>
            </w:r>
          </w:p>
        </w:tc>
      </w:tr>
      <w:tr w:rsidR="00CA4BF4" w14:paraId="66B16109" w14:textId="77777777" w:rsidTr="00BD1F8C">
        <w:trPr>
          <w:cantSplit/>
          <w:jc w:val="center"/>
        </w:trPr>
        <w:tc>
          <w:tcPr>
            <w:tcW w:w="9623" w:type="dxa"/>
            <w:gridSpan w:val="2"/>
          </w:tcPr>
          <w:p w14:paraId="1CD0A4AC" w14:textId="4DE91C4C" w:rsidR="00CA4BF4" w:rsidRDefault="00CA4BF4" w:rsidP="00BD1F8C">
            <w:pPr>
              <w:pStyle w:val="TAN"/>
              <w:rPr>
                <w:lang w:eastAsia="ja-JP"/>
              </w:rPr>
            </w:pPr>
            <w:r>
              <w:t>NOTE</w:t>
            </w:r>
            <w:r>
              <w:rPr>
                <w:lang w:eastAsia="ja-JP"/>
              </w:rPr>
              <w:t xml:space="preserve"> 1:</w:t>
            </w:r>
            <w:r>
              <w:tab/>
            </w:r>
            <w:r>
              <w:rPr>
                <w:lang w:eastAsia="zh-CN"/>
              </w:rPr>
              <w:t xml:space="preserve">Interfering signal positions that are partially or completely outside of any downlink </w:t>
            </w:r>
            <w:r>
              <w:rPr>
                <w:i/>
                <w:lang w:eastAsia="zh-CN"/>
              </w:rPr>
              <w:t>operating band</w:t>
            </w:r>
            <w:r>
              <w:rPr>
                <w:lang w:eastAsia="zh-CN"/>
              </w:rPr>
              <w:t xml:space="preserve"> of the</w:t>
            </w:r>
            <w:r>
              <w:rPr>
                <w:lang w:eastAsia="ja-JP"/>
              </w:rPr>
              <w:t xml:space="preserve"> RIB</w:t>
            </w:r>
            <w:r>
              <w:rPr>
                <w:lang w:eastAsia="zh-CN"/>
              </w:rPr>
              <w:t xml:space="preserve"> are excluded from the requirement, unless the interfering signal positions fall within the frequency range of adjacent downlink </w:t>
            </w:r>
            <w:r>
              <w:rPr>
                <w:i/>
                <w:lang w:eastAsia="zh-CN"/>
              </w:rPr>
              <w:t>operating bands</w:t>
            </w:r>
            <w:r>
              <w:rPr>
                <w:lang w:eastAsia="zh-CN"/>
              </w:rPr>
              <w:t xml:space="preserve"> in the same geographical area. </w:t>
            </w:r>
          </w:p>
          <w:p w14:paraId="0B4A09D8" w14:textId="77777777" w:rsidR="00CA4BF4" w:rsidRDefault="00CA4BF4" w:rsidP="00BD1F8C">
            <w:pPr>
              <w:pStyle w:val="TAN"/>
              <w:rPr>
                <w:lang w:eastAsia="ja-JP"/>
              </w:rPr>
            </w:pPr>
            <w:r>
              <w:rPr>
                <w:rFonts w:cs="Arial"/>
              </w:rPr>
              <w:t>NOTE</w:t>
            </w:r>
            <w:r>
              <w:rPr>
                <w:rFonts w:cs="Arial"/>
                <w:lang w:eastAsia="ja-JP"/>
              </w:rPr>
              <w:t xml:space="preserve"> </w:t>
            </w:r>
            <w:r>
              <w:rPr>
                <w:rFonts w:cs="Arial"/>
              </w:rPr>
              <w:t>2:</w:t>
            </w:r>
            <w:r>
              <w:rPr>
                <w:rFonts w:cs="Arial"/>
              </w:rPr>
              <w:tab/>
              <w:t>In Japan, NOTE</w:t>
            </w:r>
            <w:r>
              <w:rPr>
                <w:rFonts w:cs="Arial"/>
                <w:lang w:eastAsia="ja-JP"/>
              </w:rPr>
              <w:t xml:space="preserve"> </w:t>
            </w:r>
            <w:r>
              <w:rPr>
                <w:rFonts w:cs="Arial"/>
              </w:rPr>
              <w:t xml:space="preserve">1 is not applied in Band </w:t>
            </w:r>
            <w:r>
              <w:rPr>
                <w:rFonts w:cs="Arial"/>
                <w:lang w:eastAsia="ja-JP"/>
              </w:rPr>
              <w:t>n77, n78, n79</w:t>
            </w:r>
            <w:r>
              <w:rPr>
                <w:rFonts w:cs="Arial"/>
              </w:rPr>
              <w:t>.</w:t>
            </w:r>
          </w:p>
          <w:p w14:paraId="32684F27" w14:textId="77777777" w:rsidR="00CA4BF4" w:rsidRDefault="00CA4BF4" w:rsidP="00BD1F8C">
            <w:pPr>
              <w:pStyle w:val="TAN"/>
            </w:pPr>
            <w:r>
              <w:rPr>
                <w:lang w:eastAsia="ja-JP"/>
              </w:rPr>
              <w:t>NOTE 3:</w:t>
            </w:r>
            <w:r>
              <w:rPr>
                <w:lang w:eastAsia="ja-JP"/>
              </w:rPr>
              <w:tab/>
              <w:t>The P</w:t>
            </w:r>
            <w:r>
              <w:rPr>
                <w:vertAlign w:val="subscript"/>
                <w:lang w:eastAsia="ja-JP"/>
              </w:rPr>
              <w:t xml:space="preserve">rated,t,TRP </w:t>
            </w:r>
            <w:r>
              <w:rPr>
                <w:lang w:eastAsia="ja-JP"/>
              </w:rPr>
              <w:t xml:space="preserve">is split between polarizations at the </w:t>
            </w:r>
            <w:r>
              <w:rPr>
                <w:i/>
                <w:lang w:eastAsia="ja-JP"/>
              </w:rPr>
              <w:t>co-location reference antenna</w:t>
            </w:r>
            <w:r>
              <w:rPr>
                <w:lang w:eastAsia="ja-JP"/>
              </w:rPr>
              <w:t>.</w:t>
            </w:r>
          </w:p>
        </w:tc>
      </w:tr>
    </w:tbl>
    <w:p w14:paraId="15E6106F" w14:textId="3FEAD467" w:rsidR="00E86E60" w:rsidRPr="00E86E60" w:rsidRDefault="00E86E60" w:rsidP="007A1E38">
      <w:bookmarkStart w:id="6084" w:name="_Toc13080407"/>
      <w:bookmarkStart w:id="6085" w:name="_Toc18916190"/>
    </w:p>
    <w:p w14:paraId="1FB5D362" w14:textId="6020F93E" w:rsidR="00077B6E" w:rsidRDefault="00077B6E" w:rsidP="00077B6E">
      <w:pPr>
        <w:pStyle w:val="Heading1"/>
      </w:pPr>
      <w:bookmarkStart w:id="6086" w:name="_Toc53185525"/>
      <w:bookmarkStart w:id="6087" w:name="_Toc53185901"/>
      <w:bookmarkStart w:id="6088" w:name="_Toc57820387"/>
      <w:bookmarkStart w:id="6089" w:name="_Toc57821314"/>
      <w:bookmarkStart w:id="6090" w:name="_Toc61183590"/>
      <w:bookmarkStart w:id="6091" w:name="_Toc61183984"/>
      <w:bookmarkStart w:id="6092" w:name="_Toc61184376"/>
      <w:bookmarkStart w:id="6093" w:name="_Toc61184768"/>
      <w:bookmarkStart w:id="6094" w:name="_Toc61185158"/>
      <w:bookmarkStart w:id="6095" w:name="_Toc66386502"/>
      <w:bookmarkStart w:id="6096" w:name="_Toc74583405"/>
      <w:bookmarkStart w:id="6097" w:name="_Toc76542218"/>
      <w:bookmarkStart w:id="6098" w:name="_Toc82450200"/>
      <w:bookmarkStart w:id="6099" w:name="_Toc82450848"/>
      <w:bookmarkStart w:id="6100" w:name="_Toc89949237"/>
      <w:bookmarkStart w:id="6101" w:name="_Toc98755626"/>
      <w:bookmarkStart w:id="6102" w:name="_Toc98763218"/>
      <w:bookmarkStart w:id="6103" w:name="_Toc106184147"/>
      <w:r w:rsidRPr="007E346D">
        <w:t>10</w:t>
      </w:r>
      <w:r w:rsidRPr="007E346D">
        <w:tab/>
        <w:t>Radiated receiver characteristics</w:t>
      </w:r>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p>
    <w:p w14:paraId="1D7B171E" w14:textId="4BAA7E96" w:rsidR="00077B6E" w:rsidRDefault="00077B6E" w:rsidP="00077B6E">
      <w:pPr>
        <w:pStyle w:val="Heading2"/>
      </w:pPr>
      <w:bookmarkStart w:id="6104" w:name="_Toc13080408"/>
      <w:bookmarkStart w:id="6105" w:name="_Toc18916191"/>
      <w:bookmarkStart w:id="6106" w:name="_Toc53185526"/>
      <w:bookmarkStart w:id="6107" w:name="_Toc53185902"/>
      <w:bookmarkStart w:id="6108" w:name="_Toc57820388"/>
      <w:bookmarkStart w:id="6109" w:name="_Toc57821315"/>
      <w:bookmarkStart w:id="6110" w:name="_Toc61183591"/>
      <w:bookmarkStart w:id="6111" w:name="_Toc61183985"/>
      <w:bookmarkStart w:id="6112" w:name="_Toc61184377"/>
      <w:bookmarkStart w:id="6113" w:name="_Toc61184769"/>
      <w:bookmarkStart w:id="6114" w:name="_Toc61185159"/>
      <w:bookmarkStart w:id="6115" w:name="_Toc66386503"/>
      <w:bookmarkStart w:id="6116" w:name="_Toc74583406"/>
      <w:bookmarkStart w:id="6117" w:name="_Toc76542219"/>
      <w:bookmarkStart w:id="6118" w:name="_Toc82450201"/>
      <w:bookmarkStart w:id="6119" w:name="_Toc82450849"/>
      <w:bookmarkStart w:id="6120" w:name="_Toc89949238"/>
      <w:bookmarkStart w:id="6121" w:name="_Toc98755627"/>
      <w:bookmarkStart w:id="6122" w:name="_Toc98763219"/>
      <w:bookmarkStart w:id="6123" w:name="_Toc106184148"/>
      <w:r w:rsidRPr="007E346D">
        <w:t>10.1</w:t>
      </w:r>
      <w:r w:rsidRPr="007E346D">
        <w:tab/>
        <w:t>General</w:t>
      </w:r>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p>
    <w:p w14:paraId="56C2D19A" w14:textId="77777777" w:rsidR="00E27516" w:rsidRPr="00F95B02" w:rsidRDefault="00E27516" w:rsidP="00E27516">
      <w:pPr>
        <w:rPr>
          <w:lang w:eastAsia="zh-CN"/>
        </w:rPr>
      </w:pPr>
      <w:r w:rsidRPr="00F95B02">
        <w:rPr>
          <w:lang w:eastAsia="zh-CN"/>
        </w:rPr>
        <w:t xml:space="preserve">Radiated receiver characteristics are specified at RIB for </w:t>
      </w:r>
      <w:r>
        <w:rPr>
          <w:i/>
        </w:rPr>
        <w:t>IAB</w:t>
      </w:r>
      <w:r w:rsidRPr="00F95B02">
        <w:rPr>
          <w:i/>
        </w:rPr>
        <w:t xml:space="preserve"> type 1-H</w:t>
      </w:r>
      <w:r w:rsidRPr="00F95B02">
        <w:t xml:space="preserve">, </w:t>
      </w:r>
      <w:r>
        <w:rPr>
          <w:i/>
        </w:rPr>
        <w:t>IAB</w:t>
      </w:r>
      <w:r w:rsidRPr="00F95B02">
        <w:rPr>
          <w:i/>
        </w:rPr>
        <w:t xml:space="preserve"> type 1-O</w:t>
      </w:r>
      <w:r w:rsidRPr="00F95B02">
        <w:t xml:space="preserve">, or </w:t>
      </w:r>
      <w:r>
        <w:rPr>
          <w:i/>
        </w:rPr>
        <w:t>IAB</w:t>
      </w:r>
      <w:r w:rsidRPr="00F95B02">
        <w:rPr>
          <w:i/>
        </w:rPr>
        <w:t xml:space="preserve"> type 2-O</w:t>
      </w:r>
      <w:r w:rsidRPr="00F95B02">
        <w:rPr>
          <w:lang w:eastAsia="zh-CN"/>
        </w:rPr>
        <w:t>, with full complement of transceivers for the configuration in normal operating condition.</w:t>
      </w:r>
    </w:p>
    <w:p w14:paraId="0AEFE86D" w14:textId="77777777" w:rsidR="00E27516" w:rsidRPr="00F95B02" w:rsidRDefault="00E27516" w:rsidP="00E27516">
      <w:pPr>
        <w:rPr>
          <w:lang w:eastAsia="zh-CN"/>
        </w:rPr>
      </w:pPr>
      <w:r w:rsidRPr="00F95B02">
        <w:rPr>
          <w:rFonts w:cs="v5.0.0"/>
        </w:rPr>
        <w:t>Unless otherwise stated, t</w:t>
      </w:r>
      <w:r w:rsidRPr="00F95B02">
        <w:rPr>
          <w:lang w:eastAsia="zh-CN"/>
        </w:rPr>
        <w:t>he following arrangements apply for the radiated receiver characteristics requirements in clause 10:</w:t>
      </w:r>
    </w:p>
    <w:p w14:paraId="30B44B28" w14:textId="77777777" w:rsidR="00E27516" w:rsidRPr="00F95B02" w:rsidRDefault="00E27516" w:rsidP="00E27516">
      <w:pPr>
        <w:pStyle w:val="B10"/>
        <w:rPr>
          <w:lang w:eastAsia="zh-CN"/>
        </w:rPr>
      </w:pPr>
      <w:r w:rsidRPr="00F95B02">
        <w:rPr>
          <w:lang w:eastAsia="zh-CN"/>
        </w:rPr>
        <w:t>-</w:t>
      </w:r>
      <w:r w:rsidRPr="00F95B02">
        <w:rPr>
          <w:lang w:eastAsia="zh-CN"/>
        </w:rPr>
        <w:tab/>
        <w:t xml:space="preserve">Requirements apply during the </w:t>
      </w:r>
      <w:r>
        <w:rPr>
          <w:lang w:eastAsia="zh-CN"/>
        </w:rPr>
        <w:t>IAB</w:t>
      </w:r>
      <w:r w:rsidRPr="00F95B02">
        <w:rPr>
          <w:lang w:eastAsia="zh-CN"/>
        </w:rPr>
        <w:t xml:space="preserve"> receive period.</w:t>
      </w:r>
    </w:p>
    <w:p w14:paraId="0FB401CB" w14:textId="77777777" w:rsidR="00E27516" w:rsidRPr="00F95B02" w:rsidRDefault="00E27516" w:rsidP="00E27516">
      <w:pPr>
        <w:pStyle w:val="B10"/>
        <w:rPr>
          <w:lang w:eastAsia="zh-CN"/>
        </w:rPr>
      </w:pPr>
      <w:r w:rsidRPr="00F95B02">
        <w:rPr>
          <w:lang w:eastAsia="zh-CN"/>
        </w:rPr>
        <w:t>-</w:t>
      </w:r>
      <w:r w:rsidRPr="00F95B02">
        <w:rPr>
          <w:lang w:eastAsia="zh-CN"/>
        </w:rPr>
        <w:tab/>
        <w:t>Requirements shall be met for any transmitter setting.</w:t>
      </w:r>
    </w:p>
    <w:p w14:paraId="1D403997" w14:textId="77777777" w:rsidR="006B622B" w:rsidRPr="00A043EA" w:rsidRDefault="006B622B" w:rsidP="006B622B">
      <w:pPr>
        <w:pStyle w:val="B10"/>
        <w:rPr>
          <w:rFonts w:eastAsia="SimSun"/>
          <w:lang w:eastAsia="zh-CN"/>
        </w:rPr>
      </w:pPr>
      <w:r>
        <w:rPr>
          <w:lang w:eastAsia="zh-CN"/>
        </w:rPr>
        <w:t>-</w:t>
      </w:r>
      <w:r>
        <w:rPr>
          <w:lang w:eastAsia="zh-CN"/>
        </w:rPr>
        <w:tab/>
        <w:t>Throughput requirements defined for the radiated receiver characteristics do not assume HARQ retransmissions.</w:t>
      </w:r>
    </w:p>
    <w:p w14:paraId="07B58E6F" w14:textId="77777777" w:rsidR="00E27516" w:rsidRPr="00F95B02" w:rsidRDefault="00E27516" w:rsidP="00E27516">
      <w:pPr>
        <w:pStyle w:val="B10"/>
        <w:rPr>
          <w:lang w:eastAsia="zh-CN"/>
        </w:rPr>
      </w:pPr>
      <w:r w:rsidRPr="00F95B02">
        <w:rPr>
          <w:lang w:eastAsia="zh-CN"/>
        </w:rPr>
        <w:t>-</w:t>
      </w:r>
      <w:r w:rsidRPr="00F95B02">
        <w:rPr>
          <w:lang w:eastAsia="zh-CN"/>
        </w:rPr>
        <w:tab/>
        <w:t xml:space="preserve">When </w:t>
      </w:r>
      <w:r>
        <w:rPr>
          <w:lang w:eastAsia="zh-CN"/>
        </w:rPr>
        <w:t>IAB</w:t>
      </w:r>
      <w:r w:rsidRPr="00F95B02">
        <w:rPr>
          <w:lang w:eastAsia="zh-CN"/>
        </w:rPr>
        <w:t xml:space="preserve"> is configured to receive multiple carriers, all the throughput requirements are applicable for each received carrier.</w:t>
      </w:r>
    </w:p>
    <w:p w14:paraId="5B25E8F4" w14:textId="77777777" w:rsidR="00E27516" w:rsidRPr="00F95B02" w:rsidRDefault="00E27516" w:rsidP="00E27516">
      <w:pPr>
        <w:pStyle w:val="B10"/>
        <w:rPr>
          <w:rFonts w:cs="v5.0.0"/>
        </w:rPr>
      </w:pPr>
      <w:r w:rsidRPr="00F95B02">
        <w:rPr>
          <w:lang w:val="en-US" w:eastAsia="zh-CN"/>
        </w:rPr>
        <w:t>-</w:t>
      </w:r>
      <w:r w:rsidRPr="00F95B02">
        <w:rPr>
          <w:lang w:eastAsia="zh-CN"/>
        </w:rPr>
        <w:tab/>
      </w:r>
      <w:r w:rsidRPr="00F95B02">
        <w:rPr>
          <w:lang w:val="en-US" w:eastAsia="zh-CN"/>
        </w:rPr>
        <w:t>F</w:t>
      </w:r>
      <w:r w:rsidRPr="00F95B02">
        <w:rPr>
          <w:rFonts w:cs="v5.0.0"/>
        </w:rPr>
        <w:t xml:space="preserve">or ACS, blocking and intermodulation characteristics, the negative offsets of the interfering signal apply relative to the lower </w:t>
      </w:r>
      <w:r>
        <w:rPr>
          <w:rFonts w:cs="Arial"/>
          <w:i/>
        </w:rPr>
        <w:t xml:space="preserve">IAB </w:t>
      </w:r>
      <w:r w:rsidRPr="00F95B02">
        <w:rPr>
          <w:rFonts w:cs="Arial"/>
          <w:i/>
        </w:rPr>
        <w:t>RF Bandwidth</w:t>
      </w:r>
      <w:r w:rsidRPr="00F95B02">
        <w:rPr>
          <w:rFonts w:cs="Arial"/>
        </w:rPr>
        <w:t xml:space="preserve"> </w:t>
      </w:r>
      <w:r w:rsidRPr="00F95B02">
        <w:rPr>
          <w:rFonts w:cs="v5.0.0"/>
        </w:rPr>
        <w:t xml:space="preserve">edge </w:t>
      </w:r>
      <w:r w:rsidRPr="00F95B02">
        <w:rPr>
          <w:rFonts w:cs="Arial"/>
        </w:rPr>
        <w:t xml:space="preserve">or </w:t>
      </w:r>
      <w:r w:rsidRPr="00F95B02">
        <w:rPr>
          <w:rFonts w:cs="Arial"/>
          <w:i/>
        </w:rPr>
        <w:t>sub-block</w:t>
      </w:r>
      <w:r w:rsidRPr="00F95B02">
        <w:rPr>
          <w:rFonts w:cs="Arial"/>
        </w:rPr>
        <w:t xml:space="preserve"> edge inside a </w:t>
      </w:r>
      <w:r w:rsidRPr="00F95B02">
        <w:rPr>
          <w:rFonts w:cs="Arial"/>
          <w:i/>
        </w:rPr>
        <w:t>sub-block gap</w:t>
      </w:r>
      <w:r w:rsidRPr="00F95B02">
        <w:rPr>
          <w:rFonts w:cs="Arial"/>
        </w:rPr>
        <w:t>,</w:t>
      </w:r>
      <w:r w:rsidRPr="00F95B02">
        <w:t xml:space="preserve"> </w:t>
      </w:r>
      <w:r w:rsidRPr="00F95B02">
        <w:rPr>
          <w:rFonts w:cs="v5.0.0"/>
        </w:rPr>
        <w:t xml:space="preserve">and </w:t>
      </w:r>
      <w:r w:rsidRPr="00F95B02">
        <w:t xml:space="preserve">the </w:t>
      </w:r>
      <w:r w:rsidRPr="00F95B02">
        <w:rPr>
          <w:rFonts w:cs="v5.0.0"/>
        </w:rPr>
        <w:t xml:space="preserve">positive offsets of the interfering signal apply relative to the upper </w:t>
      </w:r>
      <w:r>
        <w:rPr>
          <w:rFonts w:cs="Arial"/>
          <w:i/>
        </w:rPr>
        <w:t>IAB</w:t>
      </w:r>
      <w:r w:rsidRPr="00F95B02">
        <w:rPr>
          <w:rFonts w:cs="Arial"/>
          <w:i/>
        </w:rPr>
        <w:t xml:space="preserve"> RF Bandwidth</w:t>
      </w:r>
      <w:r w:rsidRPr="00F95B02">
        <w:rPr>
          <w:rFonts w:cs="Arial"/>
        </w:rPr>
        <w:t xml:space="preserve"> </w:t>
      </w:r>
      <w:r w:rsidRPr="00F95B02">
        <w:rPr>
          <w:rFonts w:cs="v5.0.0"/>
        </w:rPr>
        <w:t>edge</w:t>
      </w:r>
      <w:r w:rsidRPr="00F95B02">
        <w:rPr>
          <w:rFonts w:cs="Arial"/>
        </w:rPr>
        <w:t xml:space="preserve"> or </w:t>
      </w:r>
      <w:r w:rsidRPr="00F95B02">
        <w:rPr>
          <w:rFonts w:cs="Arial"/>
          <w:i/>
        </w:rPr>
        <w:t>sub-block</w:t>
      </w:r>
      <w:r w:rsidRPr="00F95B02">
        <w:rPr>
          <w:rFonts w:cs="Arial"/>
        </w:rPr>
        <w:t xml:space="preserve"> edge inside a </w:t>
      </w:r>
      <w:r w:rsidRPr="00F95B02">
        <w:rPr>
          <w:rFonts w:cs="Arial"/>
          <w:i/>
        </w:rPr>
        <w:t>sub-block gap</w:t>
      </w:r>
      <w:r w:rsidRPr="00F95B02">
        <w:rPr>
          <w:rFonts w:cs="v5.0.0"/>
        </w:rPr>
        <w:t>.</w:t>
      </w:r>
    </w:p>
    <w:p w14:paraId="5866AE0F" w14:textId="77777777" w:rsidR="00E27516" w:rsidRPr="00F95B02" w:rsidRDefault="00E27516" w:rsidP="00E27516">
      <w:pPr>
        <w:pStyle w:val="B10"/>
      </w:pPr>
      <w:r w:rsidRPr="00F95B02">
        <w:t>-</w:t>
      </w:r>
      <w:r w:rsidRPr="00F95B02">
        <w:tab/>
        <w:t>Each requirement shall be met over the RoAoA specified.</w:t>
      </w:r>
    </w:p>
    <w:p w14:paraId="763051FC" w14:textId="77777777" w:rsidR="00E27516" w:rsidRPr="00F95B02" w:rsidRDefault="00E27516" w:rsidP="00E27516">
      <w:pPr>
        <w:pStyle w:val="NO"/>
        <w:rPr>
          <w:lang w:eastAsia="zh-CN"/>
        </w:rPr>
      </w:pPr>
      <w:r w:rsidRPr="00F95B02">
        <w:rPr>
          <w:lang w:eastAsia="zh-CN"/>
        </w:rPr>
        <w:t>NOTE 2:</w:t>
      </w:r>
      <w:r w:rsidRPr="00F95B02">
        <w:rPr>
          <w:lang w:eastAsia="zh-CN"/>
        </w:rPr>
        <w:tab/>
        <w:t xml:space="preserve">In normal operating condition the </w:t>
      </w:r>
      <w:r>
        <w:rPr>
          <w:lang w:eastAsia="zh-CN"/>
        </w:rPr>
        <w:t>IAB</w:t>
      </w:r>
      <w:r w:rsidRPr="00F95B02">
        <w:rPr>
          <w:lang w:eastAsia="zh-CN"/>
        </w:rPr>
        <w:t xml:space="preserve"> in TDD operation is configured to TX OFF power during </w:t>
      </w:r>
      <w:r w:rsidRPr="00F95B02">
        <w:rPr>
          <w:i/>
          <w:lang w:eastAsia="zh-CN"/>
        </w:rPr>
        <w:t>receive period</w:t>
      </w:r>
      <w:r w:rsidRPr="00F95B02">
        <w:rPr>
          <w:lang w:eastAsia="zh-CN"/>
        </w:rPr>
        <w:t>.</w:t>
      </w:r>
    </w:p>
    <w:p w14:paraId="36C616E6" w14:textId="77777777" w:rsidR="00E27516" w:rsidRPr="00F95B02" w:rsidRDefault="00E27516" w:rsidP="00E27516">
      <w:r w:rsidRPr="00F95B02">
        <w:t xml:space="preserve">For FR1 requirements which are to be met over the </w:t>
      </w:r>
      <w:r w:rsidRPr="00F95B02">
        <w:rPr>
          <w:i/>
        </w:rPr>
        <w:t>OTA REFSENS RoAoA</w:t>
      </w:r>
      <w:r w:rsidRPr="00F95B02">
        <w:t xml:space="preserve"> absolute requirement values are offset by the following term:</w:t>
      </w:r>
    </w:p>
    <w:p w14:paraId="68695430" w14:textId="77777777" w:rsidR="00E27516" w:rsidRPr="00F95B02" w:rsidRDefault="00E27516" w:rsidP="00E27516">
      <w:pPr>
        <w:pStyle w:val="EQ"/>
      </w:pPr>
      <w:r w:rsidRPr="00F95B02">
        <w:tab/>
        <w:t>Δ</w:t>
      </w:r>
      <w:r w:rsidRPr="00F95B02">
        <w:rPr>
          <w:vertAlign w:val="subscript"/>
        </w:rPr>
        <w:t>OTAREFSENS</w:t>
      </w:r>
      <w:r w:rsidRPr="00F95B02">
        <w:t xml:space="preserve"> = 44.1 - 10*log</w:t>
      </w:r>
      <w:r w:rsidRPr="00F95B02">
        <w:rPr>
          <w:vertAlign w:val="subscript"/>
        </w:rPr>
        <w:t>10</w:t>
      </w:r>
      <w:r w:rsidRPr="00F95B02">
        <w:t>(BeW</w:t>
      </w:r>
      <w:r w:rsidRPr="00F95B02">
        <w:rPr>
          <w:rFonts w:ascii="Calibri" w:hAnsi="Calibri"/>
          <w:vertAlign w:val="subscript"/>
        </w:rPr>
        <w:t>θ,REFSENS*</w:t>
      </w:r>
      <w:r w:rsidRPr="00F95B02">
        <w:t>BeW</w:t>
      </w:r>
      <w:r w:rsidRPr="00F95B02">
        <w:rPr>
          <w:vertAlign w:val="subscript"/>
        </w:rPr>
        <w:t>φ,</w:t>
      </w:r>
      <w:r w:rsidRPr="00F95B02">
        <w:rPr>
          <w:rFonts w:ascii="Calibri" w:hAnsi="Calibri"/>
          <w:vertAlign w:val="subscript"/>
        </w:rPr>
        <w:t>REFSENS</w:t>
      </w:r>
      <w:r w:rsidRPr="00F95B02">
        <w:t>) dB for the reference direction</w:t>
      </w:r>
    </w:p>
    <w:p w14:paraId="2BCF9F17" w14:textId="77777777" w:rsidR="00E27516" w:rsidRPr="00F95B02" w:rsidRDefault="00E27516" w:rsidP="00E27516">
      <w:pPr>
        <w:rPr>
          <w:noProof/>
        </w:rPr>
      </w:pPr>
      <w:r w:rsidRPr="00F95B02">
        <w:rPr>
          <w:noProof/>
        </w:rPr>
        <w:t>and</w:t>
      </w:r>
    </w:p>
    <w:p w14:paraId="5716ED2D" w14:textId="77777777" w:rsidR="00E27516" w:rsidRPr="00F95B02" w:rsidRDefault="00E27516" w:rsidP="00E27516">
      <w:pPr>
        <w:pStyle w:val="EQ"/>
      </w:pPr>
      <w:r w:rsidRPr="00F95B02">
        <w:tab/>
        <w:t>Δ</w:t>
      </w:r>
      <w:r w:rsidRPr="00F95B02">
        <w:rPr>
          <w:vertAlign w:val="subscript"/>
        </w:rPr>
        <w:t>OTAREFSENS</w:t>
      </w:r>
      <w:r w:rsidRPr="00F95B02">
        <w:t xml:space="preserve"> = 41.1 - 10*log</w:t>
      </w:r>
      <w:r w:rsidRPr="00F95B02">
        <w:rPr>
          <w:vertAlign w:val="subscript"/>
        </w:rPr>
        <w:t>10</w:t>
      </w:r>
      <w:r w:rsidRPr="00F95B02">
        <w:t>(BeW</w:t>
      </w:r>
      <w:r w:rsidRPr="00F95B02">
        <w:rPr>
          <w:rFonts w:ascii="Calibri" w:hAnsi="Calibri"/>
          <w:vertAlign w:val="subscript"/>
        </w:rPr>
        <w:t>θ,REFSENS*</w:t>
      </w:r>
      <w:r w:rsidRPr="00F95B02">
        <w:t>BeW</w:t>
      </w:r>
      <w:r w:rsidRPr="00F95B02">
        <w:rPr>
          <w:vertAlign w:val="subscript"/>
        </w:rPr>
        <w:t>φ,</w:t>
      </w:r>
      <w:r w:rsidRPr="00F95B02">
        <w:rPr>
          <w:rFonts w:ascii="Calibri" w:hAnsi="Calibri"/>
          <w:vertAlign w:val="subscript"/>
        </w:rPr>
        <w:t>REFSENS</w:t>
      </w:r>
      <w:r w:rsidRPr="00F95B02">
        <w:t>) dB for all other directions</w:t>
      </w:r>
    </w:p>
    <w:p w14:paraId="2595BD8D" w14:textId="77777777" w:rsidR="00E27516" w:rsidRPr="00F95B02" w:rsidRDefault="00E27516" w:rsidP="00E27516">
      <w:r w:rsidRPr="00F95B02">
        <w:t xml:space="preserve">For requirements which are to be met over the </w:t>
      </w:r>
      <w:r w:rsidRPr="00F95B02">
        <w:rPr>
          <w:i/>
        </w:rPr>
        <w:t>minSENS RoAoA</w:t>
      </w:r>
      <w:r w:rsidRPr="00F95B02">
        <w:t xml:space="preserve"> absolute requirement values are offset by the following term:</w:t>
      </w:r>
    </w:p>
    <w:p w14:paraId="7C959AC4" w14:textId="77777777" w:rsidR="00E27516" w:rsidRPr="00F95B02" w:rsidRDefault="00E27516" w:rsidP="00E27516">
      <w:pPr>
        <w:pStyle w:val="EQ"/>
        <w:rPr>
          <w:lang w:val="en-US"/>
        </w:rPr>
      </w:pPr>
      <w:r w:rsidRPr="00F95B02">
        <w:tab/>
        <w:t>Δ</w:t>
      </w:r>
      <w:r w:rsidRPr="00F95B02">
        <w:rPr>
          <w:vertAlign w:val="subscript"/>
          <w:lang w:val="en-US"/>
        </w:rPr>
        <w:t>minSENS</w:t>
      </w:r>
      <w:r w:rsidRPr="00F95B02">
        <w:rPr>
          <w:lang w:val="en-US"/>
        </w:rPr>
        <w:t xml:space="preserve"> = P</w:t>
      </w:r>
      <w:r w:rsidRPr="00F95B02">
        <w:rPr>
          <w:vertAlign w:val="subscript"/>
          <w:lang w:val="en-US"/>
        </w:rPr>
        <w:t>REFSENS</w:t>
      </w:r>
      <w:r w:rsidRPr="00F95B02">
        <w:rPr>
          <w:lang w:val="en-US"/>
        </w:rPr>
        <w:t xml:space="preserve"> – EIS</w:t>
      </w:r>
      <w:r w:rsidRPr="00F95B02">
        <w:rPr>
          <w:vertAlign w:val="subscript"/>
          <w:lang w:val="en-US"/>
        </w:rPr>
        <w:t>minSENS</w:t>
      </w:r>
      <w:r w:rsidRPr="00F95B02">
        <w:rPr>
          <w:lang w:val="en-US"/>
        </w:rPr>
        <w:t xml:space="preserve"> (dB)</w:t>
      </w:r>
    </w:p>
    <w:p w14:paraId="125F5B86" w14:textId="77777777" w:rsidR="00E27516" w:rsidRPr="00F95B02" w:rsidRDefault="00E27516" w:rsidP="00E27516">
      <w:r w:rsidRPr="00F95B02">
        <w:t xml:space="preserve">For FR2 requirements which are to be met over the </w:t>
      </w:r>
      <w:r w:rsidRPr="00F95B02">
        <w:rPr>
          <w:i/>
        </w:rPr>
        <w:t>OTA REFSENS RoAoA</w:t>
      </w:r>
      <w:r w:rsidRPr="00F95B02">
        <w:t xml:space="preserve"> absolute requirement values are offset by the following term:</w:t>
      </w:r>
    </w:p>
    <w:p w14:paraId="6F46E324" w14:textId="77777777" w:rsidR="00E27516" w:rsidRPr="00F95B02" w:rsidRDefault="00E27516" w:rsidP="00E27516">
      <w:pPr>
        <w:pStyle w:val="EQ"/>
      </w:pPr>
      <w:r w:rsidRPr="00F95B02">
        <w:lastRenderedPageBreak/>
        <w:tab/>
        <w:t>Δ</w:t>
      </w:r>
      <w:r w:rsidRPr="00F95B02">
        <w:rPr>
          <w:vertAlign w:val="subscript"/>
        </w:rPr>
        <w:t>FR2_REFSENS</w:t>
      </w:r>
      <w:r w:rsidRPr="00F95B02">
        <w:t xml:space="preserve"> = -3 dB for the reference direction</w:t>
      </w:r>
    </w:p>
    <w:p w14:paraId="0D84D684" w14:textId="77777777" w:rsidR="00E27516" w:rsidRPr="00F95B02" w:rsidRDefault="00E27516" w:rsidP="00E27516">
      <w:pPr>
        <w:rPr>
          <w:noProof/>
        </w:rPr>
      </w:pPr>
      <w:r w:rsidRPr="00F95B02">
        <w:rPr>
          <w:noProof/>
        </w:rPr>
        <w:t>and</w:t>
      </w:r>
    </w:p>
    <w:p w14:paraId="3C2631F0" w14:textId="77777777" w:rsidR="00E27516" w:rsidRPr="000D2B34" w:rsidRDefault="00E27516" w:rsidP="00E27516">
      <w:pPr>
        <w:pStyle w:val="EQ"/>
      </w:pPr>
      <w:r w:rsidRPr="00F95B02">
        <w:tab/>
        <w:t>Δ</w:t>
      </w:r>
      <w:r w:rsidRPr="00F95B02">
        <w:rPr>
          <w:vertAlign w:val="subscript"/>
        </w:rPr>
        <w:t>FR2_REFSENS</w:t>
      </w:r>
      <w:r w:rsidRPr="00F95B02">
        <w:t xml:space="preserve"> = 0 dB for all other directions</w:t>
      </w:r>
    </w:p>
    <w:p w14:paraId="66C713BC" w14:textId="77777777" w:rsidR="00E27516" w:rsidRPr="00E27516" w:rsidRDefault="00E27516" w:rsidP="004A5F3D"/>
    <w:p w14:paraId="16329C70" w14:textId="77777777" w:rsidR="00077B6E" w:rsidRPr="00AC7434" w:rsidRDefault="00077B6E" w:rsidP="00077B6E">
      <w:pPr>
        <w:pStyle w:val="Heading2"/>
        <w:rPr>
          <w:rFonts w:eastAsiaTheme="minorEastAsia"/>
          <w:lang w:val="fi-FI" w:eastAsia="zh-CN"/>
        </w:rPr>
      </w:pPr>
      <w:bookmarkStart w:id="6124" w:name="_Toc13080409"/>
      <w:bookmarkStart w:id="6125" w:name="_Toc18916192"/>
      <w:bookmarkStart w:id="6126" w:name="_Toc53185527"/>
      <w:bookmarkStart w:id="6127" w:name="_Toc53185903"/>
      <w:bookmarkStart w:id="6128" w:name="_Toc57820389"/>
      <w:bookmarkStart w:id="6129" w:name="_Toc57821316"/>
      <w:bookmarkStart w:id="6130" w:name="_Toc61183592"/>
      <w:bookmarkStart w:id="6131" w:name="_Toc61183986"/>
      <w:bookmarkStart w:id="6132" w:name="_Toc61184378"/>
      <w:bookmarkStart w:id="6133" w:name="_Toc61184770"/>
      <w:bookmarkStart w:id="6134" w:name="_Toc61185160"/>
      <w:bookmarkStart w:id="6135" w:name="_Toc66386504"/>
      <w:bookmarkStart w:id="6136" w:name="_Toc74583407"/>
      <w:bookmarkStart w:id="6137" w:name="_Toc76542220"/>
      <w:bookmarkStart w:id="6138" w:name="_Toc82450202"/>
      <w:bookmarkStart w:id="6139" w:name="_Toc82450850"/>
      <w:bookmarkStart w:id="6140" w:name="_Toc89949239"/>
      <w:bookmarkStart w:id="6141" w:name="_Toc98755628"/>
      <w:bookmarkStart w:id="6142" w:name="_Toc98763220"/>
      <w:bookmarkStart w:id="6143" w:name="_Toc106184149"/>
      <w:r w:rsidRPr="00AC7434">
        <w:rPr>
          <w:lang w:val="fi-FI"/>
        </w:rPr>
        <w:t>10.2</w:t>
      </w:r>
      <w:r w:rsidRPr="00AC7434">
        <w:rPr>
          <w:lang w:val="fi-FI"/>
        </w:rPr>
        <w:tab/>
        <w:t>OTA sensitivity</w:t>
      </w:r>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p>
    <w:p w14:paraId="05CE9147" w14:textId="77777777" w:rsidR="00CD1521" w:rsidRPr="00AC7434" w:rsidRDefault="00CD1521" w:rsidP="005913F7">
      <w:pPr>
        <w:rPr>
          <w:rFonts w:eastAsiaTheme="minorEastAsia"/>
          <w:lang w:val="fi-FI" w:eastAsia="zh-CN"/>
        </w:rPr>
      </w:pPr>
    </w:p>
    <w:p w14:paraId="6845FACC" w14:textId="2EDCCA8B" w:rsidR="007533CD" w:rsidRPr="00AC7434" w:rsidRDefault="007533CD" w:rsidP="007533CD">
      <w:pPr>
        <w:pStyle w:val="Heading3"/>
        <w:rPr>
          <w:lang w:val="fi-FI"/>
        </w:rPr>
      </w:pPr>
      <w:bookmarkStart w:id="6144" w:name="_Toc53185528"/>
      <w:bookmarkStart w:id="6145" w:name="_Toc53185904"/>
      <w:bookmarkStart w:id="6146" w:name="_Toc57820390"/>
      <w:bookmarkStart w:id="6147" w:name="_Toc57821317"/>
      <w:bookmarkStart w:id="6148" w:name="_Toc61183593"/>
      <w:bookmarkStart w:id="6149" w:name="_Toc61183987"/>
      <w:bookmarkStart w:id="6150" w:name="_Toc61184379"/>
      <w:bookmarkStart w:id="6151" w:name="_Toc61184771"/>
      <w:bookmarkStart w:id="6152" w:name="_Toc61185161"/>
      <w:bookmarkStart w:id="6153" w:name="_Toc66386505"/>
      <w:bookmarkStart w:id="6154" w:name="_Toc74583408"/>
      <w:bookmarkStart w:id="6155" w:name="_Toc76542221"/>
      <w:bookmarkStart w:id="6156" w:name="_Toc82450203"/>
      <w:bookmarkStart w:id="6157" w:name="_Toc82450851"/>
      <w:bookmarkStart w:id="6158" w:name="_Toc89949240"/>
      <w:bookmarkStart w:id="6159" w:name="_Toc98755629"/>
      <w:bookmarkStart w:id="6160" w:name="_Toc98763221"/>
      <w:bookmarkStart w:id="6161" w:name="_Toc106184150"/>
      <w:bookmarkStart w:id="6162" w:name="_Toc13080414"/>
      <w:bookmarkStart w:id="6163" w:name="_Toc18916193"/>
      <w:r w:rsidRPr="00AC7434">
        <w:rPr>
          <w:lang w:val="fi-FI"/>
        </w:rPr>
        <w:t>10.2.1</w:t>
      </w:r>
      <w:r w:rsidR="006C3BFB" w:rsidRPr="0063534F">
        <w:rPr>
          <w:lang w:val="fi-FI"/>
        </w:rPr>
        <w:tab/>
      </w:r>
      <w:r w:rsidRPr="00AC7434">
        <w:rPr>
          <w:lang w:val="fi-FI"/>
        </w:rPr>
        <w:t>IAB-DU OTA sensitivity</w:t>
      </w:r>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p>
    <w:p w14:paraId="1E17AEC8" w14:textId="77777777" w:rsidR="00963BD2" w:rsidRDefault="00963BD2" w:rsidP="00963BD2">
      <w:pPr>
        <w:pStyle w:val="Heading4"/>
      </w:pPr>
      <w:bookmarkStart w:id="6164" w:name="_Toc13080410"/>
      <w:bookmarkStart w:id="6165" w:name="_Toc29811910"/>
      <w:bookmarkStart w:id="6166" w:name="_Toc53185529"/>
      <w:bookmarkStart w:id="6167" w:name="_Toc53185905"/>
      <w:bookmarkStart w:id="6168" w:name="_Toc57820391"/>
      <w:bookmarkStart w:id="6169" w:name="_Toc57821318"/>
      <w:bookmarkStart w:id="6170" w:name="_Toc61183594"/>
      <w:bookmarkStart w:id="6171" w:name="_Toc61183988"/>
      <w:bookmarkStart w:id="6172" w:name="_Toc61184380"/>
      <w:bookmarkStart w:id="6173" w:name="_Toc61184772"/>
      <w:bookmarkStart w:id="6174" w:name="_Toc61185162"/>
      <w:bookmarkStart w:id="6175" w:name="_Toc66386506"/>
      <w:bookmarkStart w:id="6176" w:name="_Toc74583409"/>
      <w:bookmarkStart w:id="6177" w:name="_Toc76542222"/>
      <w:bookmarkStart w:id="6178" w:name="_Toc82450204"/>
      <w:bookmarkStart w:id="6179" w:name="_Toc82450852"/>
      <w:bookmarkStart w:id="6180" w:name="_Toc89949241"/>
      <w:bookmarkStart w:id="6181" w:name="_Toc98755630"/>
      <w:bookmarkStart w:id="6182" w:name="_Toc98763222"/>
      <w:bookmarkStart w:id="6183" w:name="_Toc106184151"/>
      <w:bookmarkStart w:id="6184" w:name="_Toc21127702"/>
      <w:r w:rsidRPr="007E346D">
        <w:t>10.2.1</w:t>
      </w:r>
      <w:r>
        <w:t>.1</w:t>
      </w:r>
      <w:r w:rsidRPr="007E346D">
        <w:tab/>
      </w:r>
      <w:r>
        <w:t>IAB-DU type</w:t>
      </w:r>
      <w:r w:rsidRPr="007A7019">
        <w:t xml:space="preserve"> 1-H</w:t>
      </w:r>
      <w:r w:rsidRPr="007E346D">
        <w:t xml:space="preserve"> and </w:t>
      </w:r>
      <w:r>
        <w:t>IAB-DU type</w:t>
      </w:r>
      <w:r w:rsidRPr="007A7019">
        <w:t xml:space="preserve"> 1-O</w:t>
      </w:r>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p>
    <w:p w14:paraId="7D93F7F6" w14:textId="0BE5EC9D" w:rsidR="00906BE7" w:rsidRPr="007E346D" w:rsidRDefault="00906BE7" w:rsidP="00906BE7">
      <w:bookmarkStart w:id="6185" w:name="_Toc13080413"/>
      <w:bookmarkStart w:id="6186" w:name="_Toc29811913"/>
      <w:bookmarkStart w:id="6187" w:name="_Toc53185530"/>
      <w:bookmarkStart w:id="6188" w:name="_Toc53185906"/>
      <w:bookmarkEnd w:id="6184"/>
      <w:r w:rsidRPr="007E346D">
        <w:t xml:space="preserve">The OTA sensitivity requirement is a </w:t>
      </w:r>
      <w:r w:rsidRPr="007A7019">
        <w:rPr>
          <w:i/>
        </w:rPr>
        <w:t>directional requirement</w:t>
      </w:r>
      <w:r w:rsidRPr="007E346D">
        <w:t xml:space="preserve"> based upon the declaration of one or more </w:t>
      </w:r>
      <w:r w:rsidRPr="007E346D">
        <w:rPr>
          <w:i/>
        </w:rPr>
        <w:t>OTA sensitivity direction</w:t>
      </w:r>
      <w:r>
        <w:rPr>
          <w:i/>
        </w:rPr>
        <w:t>s</w:t>
      </w:r>
      <w:r w:rsidRPr="007E346D">
        <w:rPr>
          <w:i/>
        </w:rPr>
        <w:t xml:space="preserve"> declaration</w:t>
      </w:r>
      <w:r w:rsidRPr="007E346D">
        <w:t xml:space="preserve"> (OSDD), related to a </w:t>
      </w:r>
      <w:r>
        <w:rPr>
          <w:i/>
        </w:rPr>
        <w:t>IAB-DU</w:t>
      </w:r>
      <w:r w:rsidRPr="007E346D">
        <w:rPr>
          <w:i/>
        </w:rPr>
        <w:t xml:space="preserve"> type 1-H</w:t>
      </w:r>
      <w:r w:rsidRPr="007E346D">
        <w:t xml:space="preserve"> and </w:t>
      </w:r>
      <w:r>
        <w:rPr>
          <w:i/>
        </w:rPr>
        <w:t>IAB-DU</w:t>
      </w:r>
      <w:r w:rsidRPr="007E346D">
        <w:rPr>
          <w:i/>
        </w:rPr>
        <w:t xml:space="preserve"> type 1-O</w:t>
      </w:r>
      <w:r w:rsidRPr="007E346D">
        <w:t xml:space="preserve"> receiver.</w:t>
      </w:r>
    </w:p>
    <w:p w14:paraId="309C9B7E" w14:textId="0EB2F89D" w:rsidR="00906BE7" w:rsidRDefault="00906BE7" w:rsidP="00906BE7">
      <w:r w:rsidRPr="00E26D09">
        <w:t>T</w:t>
      </w:r>
      <w:r>
        <w:t>he IAB-DU reference sensitivity level</w:t>
      </w:r>
      <w:r w:rsidRPr="00E26D09">
        <w:t xml:space="preserve"> is specified the same as the </w:t>
      </w:r>
      <w:r>
        <w:t>BS reference sensitivity level</w:t>
      </w:r>
      <w:r w:rsidRPr="00E26D09">
        <w:t xml:space="preserve"> requirement for </w:t>
      </w:r>
      <w:r>
        <w:t>BS</w:t>
      </w:r>
      <w:r w:rsidRPr="00E26D09">
        <w:rPr>
          <w:i/>
        </w:rPr>
        <w:t xml:space="preserve"> </w:t>
      </w:r>
      <w:r>
        <w:t xml:space="preserve">in TS 38.104 [2], subclause 10.2.1, where references to </w:t>
      </w:r>
      <w:r w:rsidRPr="00A922D4">
        <w:rPr>
          <w:i/>
        </w:rPr>
        <w:t>BS channel bandwidth</w:t>
      </w:r>
      <w:r>
        <w:t xml:space="preserve"> apply to </w:t>
      </w:r>
      <w:r w:rsidRPr="00A922D4">
        <w:rPr>
          <w:i/>
        </w:rPr>
        <w:t>IAB-DU channel bandwidth</w:t>
      </w:r>
      <w:r>
        <w:t>.</w:t>
      </w:r>
    </w:p>
    <w:p w14:paraId="5A7E58C3" w14:textId="77777777" w:rsidR="00963BD2" w:rsidRPr="007E346D" w:rsidRDefault="00963BD2" w:rsidP="00963BD2">
      <w:pPr>
        <w:pStyle w:val="Heading4"/>
      </w:pPr>
      <w:bookmarkStart w:id="6189" w:name="_Toc57820392"/>
      <w:bookmarkStart w:id="6190" w:name="_Toc57821319"/>
      <w:bookmarkStart w:id="6191" w:name="_Toc61183595"/>
      <w:bookmarkStart w:id="6192" w:name="_Toc61183989"/>
      <w:bookmarkStart w:id="6193" w:name="_Toc61184381"/>
      <w:bookmarkStart w:id="6194" w:name="_Toc61184773"/>
      <w:bookmarkStart w:id="6195" w:name="_Toc61185163"/>
      <w:bookmarkStart w:id="6196" w:name="_Toc66386507"/>
      <w:bookmarkStart w:id="6197" w:name="_Toc74583410"/>
      <w:bookmarkStart w:id="6198" w:name="_Toc76542223"/>
      <w:bookmarkStart w:id="6199" w:name="_Toc82450205"/>
      <w:bookmarkStart w:id="6200" w:name="_Toc82450853"/>
      <w:bookmarkStart w:id="6201" w:name="_Toc89949242"/>
      <w:bookmarkStart w:id="6202" w:name="_Toc98755631"/>
      <w:bookmarkStart w:id="6203" w:name="_Toc98763223"/>
      <w:bookmarkStart w:id="6204" w:name="_Toc106184152"/>
      <w:r w:rsidRPr="007E346D">
        <w:t>10.2.</w:t>
      </w:r>
      <w:r>
        <w:t>1.</w:t>
      </w:r>
      <w:r w:rsidRPr="007E346D">
        <w:t>2</w:t>
      </w:r>
      <w:r w:rsidRPr="007E346D">
        <w:tab/>
      </w:r>
      <w:r>
        <w:t>IAB-DU type</w:t>
      </w:r>
      <w:r w:rsidRPr="007A7019">
        <w:t xml:space="preserve"> 2-O</w:t>
      </w:r>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p>
    <w:p w14:paraId="6AE3E058" w14:textId="0E949781" w:rsidR="007533CD" w:rsidRPr="007533CD" w:rsidRDefault="00963BD2" w:rsidP="00AD2A23">
      <w:pPr>
        <w:rPr>
          <w:lang w:eastAsia="zh-CN"/>
        </w:rPr>
      </w:pPr>
      <w:r w:rsidRPr="00E26D09">
        <w:rPr>
          <w:lang w:eastAsia="zh-CN"/>
        </w:rPr>
        <w:t xml:space="preserve">There is no OTA sensitivity requirement for FR2, the OTA sensitivity is the same as the OTA reference sensitivity in </w:t>
      </w:r>
      <w:r>
        <w:rPr>
          <w:lang w:eastAsia="zh-CN"/>
        </w:rPr>
        <w:t>clause</w:t>
      </w:r>
      <w:r w:rsidRPr="00E26D09">
        <w:rPr>
          <w:lang w:eastAsia="zh-CN"/>
        </w:rPr>
        <w:t xml:space="preserve"> 10.3.</w:t>
      </w:r>
    </w:p>
    <w:p w14:paraId="549E82A4" w14:textId="01CE8FA1" w:rsidR="007533CD" w:rsidRDefault="007533CD" w:rsidP="00906BE7">
      <w:pPr>
        <w:pStyle w:val="Heading3"/>
      </w:pPr>
      <w:bookmarkStart w:id="6205" w:name="_Toc53185531"/>
      <w:bookmarkStart w:id="6206" w:name="_Toc53185907"/>
      <w:bookmarkStart w:id="6207" w:name="_Toc57820393"/>
      <w:bookmarkStart w:id="6208" w:name="_Toc57821320"/>
      <w:bookmarkStart w:id="6209" w:name="_Toc61183596"/>
      <w:bookmarkStart w:id="6210" w:name="_Toc61183990"/>
      <w:bookmarkStart w:id="6211" w:name="_Toc61184382"/>
      <w:bookmarkStart w:id="6212" w:name="_Toc61184774"/>
      <w:bookmarkStart w:id="6213" w:name="_Toc61185164"/>
      <w:bookmarkStart w:id="6214" w:name="_Toc66386508"/>
      <w:bookmarkStart w:id="6215" w:name="_Toc74583411"/>
      <w:bookmarkStart w:id="6216" w:name="_Toc76542224"/>
      <w:bookmarkStart w:id="6217" w:name="_Toc82450206"/>
      <w:bookmarkStart w:id="6218" w:name="_Toc82450854"/>
      <w:bookmarkStart w:id="6219" w:name="_Toc89949243"/>
      <w:bookmarkStart w:id="6220" w:name="_Toc98755632"/>
      <w:bookmarkStart w:id="6221" w:name="_Toc98763224"/>
      <w:bookmarkStart w:id="6222" w:name="_Toc106184153"/>
      <w:r>
        <w:t>10.2.2</w:t>
      </w:r>
      <w:r w:rsidR="00906BE7">
        <w:tab/>
      </w:r>
      <w:r>
        <w:t>IAB-MT OTA sensitivity</w:t>
      </w:r>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p>
    <w:p w14:paraId="2DE7907E" w14:textId="5EECF74E" w:rsidR="0098642E" w:rsidRPr="007E346D" w:rsidRDefault="0098642E" w:rsidP="0098642E">
      <w:pPr>
        <w:pStyle w:val="Heading4"/>
      </w:pPr>
      <w:bookmarkStart w:id="6223" w:name="_Toc53185532"/>
      <w:bookmarkStart w:id="6224" w:name="_Toc53185908"/>
      <w:bookmarkStart w:id="6225" w:name="_Toc57820394"/>
      <w:bookmarkStart w:id="6226" w:name="_Toc57821321"/>
      <w:bookmarkStart w:id="6227" w:name="_Toc61183597"/>
      <w:bookmarkStart w:id="6228" w:name="_Toc61183991"/>
      <w:bookmarkStart w:id="6229" w:name="_Toc61184383"/>
      <w:bookmarkStart w:id="6230" w:name="_Toc61184775"/>
      <w:bookmarkStart w:id="6231" w:name="_Toc61185165"/>
      <w:bookmarkStart w:id="6232" w:name="_Toc66386509"/>
      <w:bookmarkStart w:id="6233" w:name="_Toc74583412"/>
      <w:bookmarkStart w:id="6234" w:name="_Toc76542225"/>
      <w:bookmarkStart w:id="6235" w:name="_Toc82450207"/>
      <w:bookmarkStart w:id="6236" w:name="_Toc82450855"/>
      <w:bookmarkStart w:id="6237" w:name="_Toc89949244"/>
      <w:bookmarkStart w:id="6238" w:name="_Toc98755633"/>
      <w:bookmarkStart w:id="6239" w:name="_Toc98763225"/>
      <w:bookmarkStart w:id="6240" w:name="_Toc106184154"/>
      <w:r w:rsidRPr="007E346D">
        <w:t>10.2.</w:t>
      </w:r>
      <w:r>
        <w:t>2.1</w:t>
      </w:r>
      <w:r w:rsidRPr="007E346D">
        <w:tab/>
      </w:r>
      <w:r>
        <w:t>IAB-MT type</w:t>
      </w:r>
      <w:r w:rsidRPr="007A7019">
        <w:t xml:space="preserve"> 1-H</w:t>
      </w:r>
      <w:r w:rsidRPr="007E346D">
        <w:t xml:space="preserve"> </w:t>
      </w:r>
      <w:r w:rsidR="00454E3F">
        <w:t>and IAB-MT type 1-O</w:t>
      </w:r>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p>
    <w:p w14:paraId="279EEDB8" w14:textId="77777777" w:rsidR="0098642E" w:rsidRPr="00F95B02" w:rsidRDefault="0098642E" w:rsidP="0098642E">
      <w:pPr>
        <w:pStyle w:val="Heading6"/>
      </w:pPr>
      <w:bookmarkStart w:id="6241" w:name="_Toc29811911"/>
      <w:bookmarkStart w:id="6242" w:name="_Toc36817463"/>
      <w:bookmarkStart w:id="6243" w:name="_Toc37260385"/>
      <w:bookmarkStart w:id="6244" w:name="_Toc37267773"/>
      <w:bookmarkStart w:id="6245" w:name="_Toc53185533"/>
      <w:bookmarkStart w:id="6246" w:name="_Toc53185909"/>
      <w:bookmarkStart w:id="6247" w:name="_Toc57820395"/>
      <w:bookmarkStart w:id="6248" w:name="_Toc57821322"/>
      <w:bookmarkStart w:id="6249" w:name="_Toc61183598"/>
      <w:bookmarkStart w:id="6250" w:name="_Toc61183992"/>
      <w:bookmarkStart w:id="6251" w:name="_Toc61184384"/>
      <w:bookmarkStart w:id="6252" w:name="_Toc61184776"/>
      <w:bookmarkStart w:id="6253" w:name="_Toc61185166"/>
      <w:bookmarkStart w:id="6254" w:name="_Toc66386510"/>
      <w:bookmarkStart w:id="6255" w:name="_Toc74583413"/>
      <w:bookmarkStart w:id="6256" w:name="_Toc76542226"/>
      <w:bookmarkStart w:id="6257" w:name="_Toc82450208"/>
      <w:bookmarkStart w:id="6258" w:name="_Toc82450856"/>
      <w:bookmarkStart w:id="6259" w:name="_Toc89949245"/>
      <w:bookmarkStart w:id="6260" w:name="_Toc98755634"/>
      <w:bookmarkStart w:id="6261" w:name="_Toc98763226"/>
      <w:bookmarkStart w:id="6262" w:name="_Toc106184155"/>
      <w:r w:rsidRPr="00F95B02">
        <w:t>10.2.</w:t>
      </w:r>
      <w:r>
        <w:t>2.</w:t>
      </w:r>
      <w:r w:rsidRPr="00F95B02">
        <w:t>1.1</w:t>
      </w:r>
      <w:r w:rsidRPr="00F95B02">
        <w:tab/>
        <w:t>General</w:t>
      </w:r>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p>
    <w:p w14:paraId="3A1447CF" w14:textId="02F84DA5" w:rsidR="00906BE7" w:rsidRPr="00F95B02" w:rsidRDefault="00906BE7" w:rsidP="00906BE7">
      <w:r w:rsidRPr="00F95B02">
        <w:t xml:space="preserve">The OTA sensitivity requirement is </w:t>
      </w:r>
      <w:bookmarkStart w:id="6263" w:name="_Hlk500328880"/>
      <w:r w:rsidRPr="00F95B02">
        <w:t xml:space="preserve">a </w:t>
      </w:r>
      <w:r w:rsidRPr="00F95B02">
        <w:rPr>
          <w:i/>
        </w:rPr>
        <w:t>directional requirement</w:t>
      </w:r>
      <w:bookmarkEnd w:id="6263"/>
      <w:r w:rsidRPr="00F95B02">
        <w:t xml:space="preserve"> based upon the declaration of one or more </w:t>
      </w:r>
      <w:r w:rsidRPr="00F95B02">
        <w:rPr>
          <w:i/>
        </w:rPr>
        <w:t>OTA sensitivity direction</w:t>
      </w:r>
      <w:r>
        <w:rPr>
          <w:i/>
        </w:rPr>
        <w:t>s</w:t>
      </w:r>
      <w:r w:rsidRPr="00F95B02">
        <w:rPr>
          <w:i/>
        </w:rPr>
        <w:t xml:space="preserve"> declaration</w:t>
      </w:r>
      <w:r w:rsidRPr="00F95B02">
        <w:t xml:space="preserve"> (OSDD), related to a </w:t>
      </w:r>
      <w:r>
        <w:rPr>
          <w:i/>
        </w:rPr>
        <w:t>IAB-MT</w:t>
      </w:r>
      <w:r w:rsidRPr="00F95B02">
        <w:rPr>
          <w:i/>
        </w:rPr>
        <w:t xml:space="preserve"> type 1-H</w:t>
      </w:r>
      <w:r w:rsidRPr="00F95B02">
        <w:t xml:space="preserve"> </w:t>
      </w:r>
      <w:r>
        <w:t xml:space="preserve">and </w:t>
      </w:r>
      <w:r>
        <w:rPr>
          <w:i/>
        </w:rPr>
        <w:t>IAB-MT</w:t>
      </w:r>
      <w:r w:rsidRPr="00F95B02">
        <w:rPr>
          <w:i/>
        </w:rPr>
        <w:t xml:space="preserve"> type 1-</w:t>
      </w:r>
      <w:r>
        <w:rPr>
          <w:i/>
        </w:rPr>
        <w:t>O</w:t>
      </w:r>
      <w:r w:rsidRPr="00F95B02">
        <w:t xml:space="preserve"> receiver.</w:t>
      </w:r>
    </w:p>
    <w:p w14:paraId="38AB89C5" w14:textId="49D535F0" w:rsidR="0098642E" w:rsidRPr="00F95B02" w:rsidRDefault="0098642E" w:rsidP="0098642E">
      <w:r w:rsidRPr="00F95B02">
        <w:t xml:space="preserve">The </w:t>
      </w:r>
      <w:r>
        <w:rPr>
          <w:i/>
        </w:rPr>
        <w:t>IAB-MT</w:t>
      </w:r>
      <w:r w:rsidRPr="00F95B02">
        <w:rPr>
          <w:i/>
        </w:rPr>
        <w:t xml:space="preserve"> type 1-H</w:t>
      </w:r>
      <w:r>
        <w:t xml:space="preserve"> </w:t>
      </w:r>
      <w:r w:rsidR="00891BF0">
        <w:t xml:space="preserve">and </w:t>
      </w:r>
      <w:r w:rsidR="00891BF0">
        <w:rPr>
          <w:i/>
        </w:rPr>
        <w:t>IAB-MT</w:t>
      </w:r>
      <w:r w:rsidR="00891BF0" w:rsidRPr="00F95B02">
        <w:rPr>
          <w:i/>
        </w:rPr>
        <w:t xml:space="preserve"> type 1-</w:t>
      </w:r>
      <w:r w:rsidR="00891BF0">
        <w:rPr>
          <w:i/>
        </w:rPr>
        <w:t>O</w:t>
      </w:r>
      <w:r w:rsidRPr="00F95B02">
        <w:t xml:space="preserve"> may optionally be capable of redirecting/changing the </w:t>
      </w:r>
      <w:r w:rsidRPr="00F95B02">
        <w:rPr>
          <w:i/>
        </w:rPr>
        <w:t>receiver target</w:t>
      </w:r>
      <w:r w:rsidRPr="00F95B02">
        <w:t xml:space="preserve"> by means of adjusting </w:t>
      </w:r>
      <w:r>
        <w:t>IAB-MT</w:t>
      </w:r>
      <w:r w:rsidRPr="00F95B02">
        <w:t xml:space="preserve"> settings resulting in multiple </w:t>
      </w:r>
      <w:r w:rsidRPr="00F95B02">
        <w:rPr>
          <w:i/>
        </w:rPr>
        <w:t>sensitivity RoAoA</w:t>
      </w:r>
      <w:r w:rsidRPr="00F95B02">
        <w:t xml:space="preserve">. The </w:t>
      </w:r>
      <w:r w:rsidRPr="00F95B02">
        <w:rPr>
          <w:i/>
        </w:rPr>
        <w:t>sensitivity RoAoA</w:t>
      </w:r>
      <w:r w:rsidRPr="00F95B02">
        <w:t xml:space="preserve"> resulting from the current </w:t>
      </w:r>
      <w:r>
        <w:t>IAB-MT</w:t>
      </w:r>
      <w:r w:rsidRPr="00F95B02">
        <w:t xml:space="preserve"> settings is the active </w:t>
      </w:r>
      <w:r w:rsidRPr="00F95B02">
        <w:rPr>
          <w:i/>
        </w:rPr>
        <w:t>sensitivity RoAoA</w:t>
      </w:r>
      <w:r w:rsidRPr="00F95B02">
        <w:t>.</w:t>
      </w:r>
    </w:p>
    <w:p w14:paraId="27D11CC4" w14:textId="77777777" w:rsidR="0098642E" w:rsidRPr="00F95B02" w:rsidRDefault="0098642E" w:rsidP="0098642E">
      <w:r>
        <w:t>If the IAB-MT</w:t>
      </w:r>
      <w:r w:rsidRPr="00F95B02">
        <w:t xml:space="preserve"> is capable of redirecting the </w:t>
      </w:r>
      <w:r w:rsidRPr="00F95B02">
        <w:rPr>
          <w:i/>
        </w:rPr>
        <w:t>receiver target</w:t>
      </w:r>
      <w:r w:rsidRPr="00F95B02">
        <w:t xml:space="preserve"> related to the OSDD then the OSDD shall include:</w:t>
      </w:r>
    </w:p>
    <w:p w14:paraId="1C4948A6" w14:textId="77777777" w:rsidR="0098642E" w:rsidRPr="00F95B02" w:rsidRDefault="0098642E" w:rsidP="0098642E">
      <w:pPr>
        <w:pStyle w:val="B10"/>
      </w:pPr>
      <w:r w:rsidRPr="00F95B02">
        <w:t>-</w:t>
      </w:r>
      <w:r w:rsidRPr="00F95B02">
        <w:tab/>
      </w:r>
      <w:r>
        <w:rPr>
          <w:i/>
        </w:rPr>
        <w:t>IAB-MT</w:t>
      </w:r>
      <w:r w:rsidRPr="00F95B02">
        <w:rPr>
          <w:i/>
        </w:rPr>
        <w:t xml:space="preserve"> channel bandwidth</w:t>
      </w:r>
      <w:r w:rsidRPr="00F95B02">
        <w:t xml:space="preserve"> and declared minimum EIS</w:t>
      </w:r>
      <w:r w:rsidRPr="00F95B02">
        <w:rPr>
          <w:i/>
        </w:rPr>
        <w:t xml:space="preserve"> </w:t>
      </w:r>
      <w:r w:rsidRPr="00F95B02">
        <w:t xml:space="preserve">level applicable to any active </w:t>
      </w:r>
      <w:r w:rsidRPr="00F95B02">
        <w:rPr>
          <w:i/>
        </w:rPr>
        <w:t>sensitivity RoAoA</w:t>
      </w:r>
      <w:r w:rsidRPr="00F95B02">
        <w:t xml:space="preserve"> inside the </w:t>
      </w:r>
      <w:r w:rsidRPr="00F95B02">
        <w:rPr>
          <w:i/>
        </w:rPr>
        <w:t>receiver target redirection range</w:t>
      </w:r>
      <w:r w:rsidRPr="00F95B02">
        <w:t xml:space="preserve"> in the OSDD.</w:t>
      </w:r>
    </w:p>
    <w:p w14:paraId="4274B9AF" w14:textId="77777777" w:rsidR="0098642E" w:rsidRPr="00F95B02" w:rsidRDefault="0098642E" w:rsidP="0098642E">
      <w:pPr>
        <w:pStyle w:val="B10"/>
      </w:pPr>
      <w:r w:rsidRPr="00F95B02">
        <w:t>-</w:t>
      </w:r>
      <w:r w:rsidRPr="00F95B02">
        <w:tab/>
        <w:t xml:space="preserve">A declared </w:t>
      </w:r>
      <w:r w:rsidRPr="00F95B02">
        <w:rPr>
          <w:i/>
        </w:rPr>
        <w:t>receiver target redirection range</w:t>
      </w:r>
      <w:r w:rsidRPr="00F95B02">
        <w:t>, describing all the angles of arrival that can be addressed for the OSDD throug</w:t>
      </w:r>
      <w:r>
        <w:t>h alternative settings in the IAB-MT</w:t>
      </w:r>
      <w:r w:rsidRPr="00F95B02">
        <w:t>.</w:t>
      </w:r>
    </w:p>
    <w:p w14:paraId="13043CF4" w14:textId="376756BB" w:rsidR="0098642E" w:rsidRPr="00F95B02" w:rsidRDefault="0098642E" w:rsidP="0098642E">
      <w:pPr>
        <w:pStyle w:val="B10"/>
      </w:pPr>
      <w:r w:rsidRPr="00F95B02">
        <w:t>-</w:t>
      </w:r>
      <w:r w:rsidRPr="00F95B02">
        <w:tab/>
        <w:t xml:space="preserve">Five declared </w:t>
      </w:r>
      <w:r w:rsidRPr="00F95B02">
        <w:rPr>
          <w:i/>
        </w:rPr>
        <w:t>sensitivity RoAoA</w:t>
      </w:r>
      <w:r w:rsidRPr="00F95B02">
        <w:t xml:space="preserve"> comprising the conformance testing directions as detailed in </w:t>
      </w:r>
      <w:r>
        <w:t>TS 38.141</w:t>
      </w:r>
      <w:r>
        <w:noBreakHyphen/>
        <w:t>2 [</w:t>
      </w:r>
      <w:r w:rsidR="00891BF0">
        <w:t>21</w:t>
      </w:r>
      <w:r w:rsidRPr="00F95B02">
        <w:t>].</w:t>
      </w:r>
    </w:p>
    <w:p w14:paraId="24A30FF8" w14:textId="77777777" w:rsidR="0098642E" w:rsidRPr="00F95B02" w:rsidRDefault="0098642E" w:rsidP="0098642E">
      <w:pPr>
        <w:pStyle w:val="B10"/>
      </w:pPr>
      <w:r w:rsidRPr="00F95B02">
        <w:t>-</w:t>
      </w:r>
      <w:r w:rsidRPr="00F95B02">
        <w:tab/>
        <w:t xml:space="preserve">The </w:t>
      </w:r>
      <w:r w:rsidRPr="00F95B02">
        <w:rPr>
          <w:i/>
        </w:rPr>
        <w:t>receiver target reference direction</w:t>
      </w:r>
      <w:r w:rsidRPr="00F95B02">
        <w:t>.</w:t>
      </w:r>
    </w:p>
    <w:p w14:paraId="1EA860D5" w14:textId="77777777" w:rsidR="0098642E" w:rsidRPr="00F95B02" w:rsidRDefault="0098642E" w:rsidP="00906BE7">
      <w:pPr>
        <w:pStyle w:val="NO"/>
      </w:pPr>
      <w:r w:rsidRPr="00F95B02">
        <w:t>NOTE 1:</w:t>
      </w:r>
      <w:r w:rsidRPr="00F95B02">
        <w:tab/>
        <w:t xml:space="preserve">Some of the declared </w:t>
      </w:r>
      <w:r w:rsidRPr="00F95B02">
        <w:rPr>
          <w:i/>
        </w:rPr>
        <w:t>sensitivity RoAoA</w:t>
      </w:r>
      <w:r w:rsidRPr="00F95B02">
        <w:t xml:space="preserve"> may coincide depending on the redirection capability.</w:t>
      </w:r>
    </w:p>
    <w:p w14:paraId="3C9786A6" w14:textId="77777777" w:rsidR="0098642E" w:rsidRPr="00F95B02" w:rsidRDefault="0098642E" w:rsidP="00906BE7">
      <w:pPr>
        <w:pStyle w:val="NO"/>
      </w:pPr>
      <w:r w:rsidRPr="00F95B02">
        <w:t>NOTE 2:</w:t>
      </w:r>
      <w:r w:rsidRPr="00F95B02">
        <w:tab/>
        <w:t xml:space="preserve">In addition to the declared </w:t>
      </w:r>
      <w:r w:rsidRPr="00F95B02">
        <w:rPr>
          <w:i/>
        </w:rPr>
        <w:t>sensitivity RoAoA</w:t>
      </w:r>
      <w:r w:rsidRPr="00F95B02">
        <w:t xml:space="preserve">, several </w:t>
      </w:r>
      <w:r w:rsidRPr="00F95B02">
        <w:rPr>
          <w:i/>
        </w:rPr>
        <w:t>sensitivity RoAoA</w:t>
      </w:r>
      <w:r w:rsidRPr="00F95B02">
        <w:t xml:space="preserve"> may be implicitly defined by the </w:t>
      </w:r>
      <w:r w:rsidRPr="00F95B02">
        <w:rPr>
          <w:i/>
        </w:rPr>
        <w:t>receiver target redirection range</w:t>
      </w:r>
      <w:r w:rsidRPr="00F95B02">
        <w:t xml:space="preserve"> without being explicitly declared in the OSDD.</w:t>
      </w:r>
    </w:p>
    <w:p w14:paraId="1C155BC8" w14:textId="77777777" w:rsidR="0098642E" w:rsidRPr="00F95B02" w:rsidRDefault="0098642E" w:rsidP="0098642E">
      <w:r>
        <w:t>If the IAB-MT</w:t>
      </w:r>
      <w:r w:rsidRPr="00F95B02">
        <w:t xml:space="preserve"> is not capable of redirecting the </w:t>
      </w:r>
      <w:r w:rsidRPr="00F95B02">
        <w:rPr>
          <w:i/>
        </w:rPr>
        <w:t>receiver target</w:t>
      </w:r>
      <w:r w:rsidRPr="00F95B02">
        <w:t xml:space="preserve"> related to the OSDD, then the OSDD includes only:</w:t>
      </w:r>
    </w:p>
    <w:p w14:paraId="7A6EDA73" w14:textId="77777777" w:rsidR="0098642E" w:rsidRPr="00F95B02" w:rsidRDefault="0098642E" w:rsidP="0098642E">
      <w:pPr>
        <w:pStyle w:val="B10"/>
      </w:pPr>
      <w:r w:rsidRPr="00F95B02">
        <w:t>-</w:t>
      </w:r>
      <w:r w:rsidRPr="00F95B02">
        <w:tab/>
        <w:t xml:space="preserve">The set(s) of RAT, </w:t>
      </w:r>
      <w:r>
        <w:rPr>
          <w:i/>
        </w:rPr>
        <w:t>IAB-MT</w:t>
      </w:r>
      <w:r w:rsidRPr="00F95B02">
        <w:rPr>
          <w:i/>
        </w:rPr>
        <w:t xml:space="preserve"> channel bandwidth</w:t>
      </w:r>
      <w:r w:rsidRPr="00F95B02">
        <w:t xml:space="preserve"> and declared minimum EIS</w:t>
      </w:r>
      <w:r w:rsidRPr="00F95B02">
        <w:rPr>
          <w:i/>
        </w:rPr>
        <w:t xml:space="preserve"> </w:t>
      </w:r>
      <w:r w:rsidRPr="00F95B02">
        <w:t xml:space="preserve">level applicable to the </w:t>
      </w:r>
      <w:r w:rsidRPr="00F95B02">
        <w:rPr>
          <w:i/>
        </w:rPr>
        <w:t>sensitivity RoAoA</w:t>
      </w:r>
      <w:r w:rsidRPr="00F95B02">
        <w:t xml:space="preserve"> in the OSDD.</w:t>
      </w:r>
    </w:p>
    <w:p w14:paraId="09BF62F8" w14:textId="77777777" w:rsidR="0098642E" w:rsidRPr="00F95B02" w:rsidRDefault="0098642E" w:rsidP="0098642E">
      <w:pPr>
        <w:pStyle w:val="B10"/>
      </w:pPr>
      <w:r w:rsidRPr="00F95B02">
        <w:t>-</w:t>
      </w:r>
      <w:r w:rsidRPr="00F95B02">
        <w:tab/>
        <w:t xml:space="preserve">One declared active </w:t>
      </w:r>
      <w:r w:rsidRPr="00F95B02">
        <w:rPr>
          <w:i/>
        </w:rPr>
        <w:t>sensitivity RoAoA</w:t>
      </w:r>
      <w:r w:rsidRPr="00F95B02">
        <w:t>.</w:t>
      </w:r>
    </w:p>
    <w:p w14:paraId="0E447ADF" w14:textId="77777777" w:rsidR="0098642E" w:rsidRPr="00F95B02" w:rsidRDefault="0098642E" w:rsidP="0098642E">
      <w:pPr>
        <w:pStyle w:val="B10"/>
      </w:pPr>
      <w:r w:rsidRPr="00F95B02">
        <w:t>-</w:t>
      </w:r>
      <w:r w:rsidRPr="00F95B02">
        <w:tab/>
        <w:t xml:space="preserve">The </w:t>
      </w:r>
      <w:r w:rsidRPr="00F95B02">
        <w:rPr>
          <w:i/>
        </w:rPr>
        <w:t>receiver target reference direction</w:t>
      </w:r>
      <w:r w:rsidRPr="00F95B02">
        <w:t>.</w:t>
      </w:r>
    </w:p>
    <w:p w14:paraId="742A6805" w14:textId="77777777" w:rsidR="0098642E" w:rsidRPr="00F95B02" w:rsidRDefault="0098642E" w:rsidP="0098642E">
      <w:pPr>
        <w:pStyle w:val="NO"/>
      </w:pPr>
      <w:r w:rsidRPr="00F95B02">
        <w:lastRenderedPageBreak/>
        <w:t>NOTE 4:</w:t>
      </w:r>
      <w:r w:rsidRPr="00F95B02">
        <w:tab/>
        <w:t xml:space="preserve">For </w:t>
      </w:r>
      <w:r>
        <w:t>IAB-MT</w:t>
      </w:r>
      <w:r w:rsidRPr="00F95B02">
        <w:t xml:space="preserve"> without target redirection capability, the declared (fixed) </w:t>
      </w:r>
      <w:r w:rsidRPr="00F95B02">
        <w:rPr>
          <w:i/>
        </w:rPr>
        <w:t>sensitivity RoAoA</w:t>
      </w:r>
      <w:r w:rsidRPr="00F95B02">
        <w:t xml:space="preserve"> is always the active </w:t>
      </w:r>
      <w:r w:rsidRPr="00F95B02">
        <w:rPr>
          <w:i/>
        </w:rPr>
        <w:t>sensitivity RoAoA</w:t>
      </w:r>
      <w:r w:rsidRPr="00F95B02">
        <w:t>.</w:t>
      </w:r>
    </w:p>
    <w:p w14:paraId="19E56BB3" w14:textId="77777777" w:rsidR="0098642E" w:rsidRPr="00F95B02" w:rsidRDefault="0098642E" w:rsidP="0098642E">
      <w:r w:rsidRPr="00F95B02">
        <w:t xml:space="preserve">The OTA sensitivity EIS level declaration shall apply to each supported polarization, under the assumption of </w:t>
      </w:r>
      <w:r w:rsidRPr="00F95B02">
        <w:rPr>
          <w:i/>
        </w:rPr>
        <w:t>polarization match</w:t>
      </w:r>
      <w:r w:rsidRPr="00F95B02">
        <w:t>.</w:t>
      </w:r>
    </w:p>
    <w:p w14:paraId="11616A74" w14:textId="77777777" w:rsidR="0098642E" w:rsidRPr="00F95B02" w:rsidRDefault="0098642E" w:rsidP="0098642E">
      <w:pPr>
        <w:pStyle w:val="Heading6"/>
      </w:pPr>
      <w:bookmarkStart w:id="6264" w:name="_Toc21127703"/>
      <w:bookmarkStart w:id="6265" w:name="_Toc29811912"/>
      <w:bookmarkStart w:id="6266" w:name="_Toc36817464"/>
      <w:bookmarkStart w:id="6267" w:name="_Toc37260386"/>
      <w:bookmarkStart w:id="6268" w:name="_Toc37267774"/>
      <w:bookmarkStart w:id="6269" w:name="_Toc53185534"/>
      <w:bookmarkStart w:id="6270" w:name="_Toc53185910"/>
      <w:bookmarkStart w:id="6271" w:name="_Toc57820396"/>
      <w:bookmarkStart w:id="6272" w:name="_Toc57821323"/>
      <w:bookmarkStart w:id="6273" w:name="_Toc61183599"/>
      <w:bookmarkStart w:id="6274" w:name="_Toc61183993"/>
      <w:bookmarkStart w:id="6275" w:name="_Toc61184385"/>
      <w:bookmarkStart w:id="6276" w:name="_Toc61184777"/>
      <w:bookmarkStart w:id="6277" w:name="_Toc61185167"/>
      <w:bookmarkStart w:id="6278" w:name="_Toc66386511"/>
      <w:bookmarkStart w:id="6279" w:name="_Toc74583414"/>
      <w:bookmarkStart w:id="6280" w:name="_Toc76542227"/>
      <w:bookmarkStart w:id="6281" w:name="_Toc82450209"/>
      <w:bookmarkStart w:id="6282" w:name="_Toc82450857"/>
      <w:bookmarkStart w:id="6283" w:name="_Toc89949246"/>
      <w:bookmarkStart w:id="6284" w:name="_Toc98755635"/>
      <w:bookmarkStart w:id="6285" w:name="_Toc98763227"/>
      <w:bookmarkStart w:id="6286" w:name="_Toc106184156"/>
      <w:r w:rsidRPr="00F95B02">
        <w:t>10.2</w:t>
      </w:r>
      <w:r>
        <w:t>.2</w:t>
      </w:r>
      <w:r w:rsidRPr="00F95B02">
        <w:t>.1.2</w:t>
      </w:r>
      <w:r w:rsidRPr="00F95B02">
        <w:tab/>
        <w:t>Minimum requirement</w:t>
      </w:r>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p>
    <w:p w14:paraId="613D8EFF" w14:textId="77777777" w:rsidR="0098642E" w:rsidRPr="00F95B02" w:rsidRDefault="0098642E" w:rsidP="0098642E">
      <w:r w:rsidRPr="00F95B02">
        <w:t xml:space="preserve">For a received signal whose AoA of the incident wave is within the active </w:t>
      </w:r>
      <w:r w:rsidRPr="00F95B02">
        <w:rPr>
          <w:i/>
        </w:rPr>
        <w:t>sensitivity RoAoA</w:t>
      </w:r>
      <w:r w:rsidRPr="00F95B02">
        <w:t xml:space="preserve"> of an OSDD, the error rate criterion as described in clause 7.2</w:t>
      </w:r>
      <w:r>
        <w:t>.2</w:t>
      </w:r>
      <w:r w:rsidRPr="00F95B02">
        <w:t xml:space="preserve"> shall be met when the level of the arriving signal is equal to the minimum EIS level in the respective declared set of EIS level and </w:t>
      </w:r>
      <w:r>
        <w:rPr>
          <w:i/>
        </w:rPr>
        <w:t>IAB-MT</w:t>
      </w:r>
      <w:r w:rsidRPr="00F95B02">
        <w:rPr>
          <w:i/>
        </w:rPr>
        <w:t xml:space="preserve"> channel bandwidth</w:t>
      </w:r>
      <w:r w:rsidRPr="00F95B02">
        <w:t>.</w:t>
      </w:r>
    </w:p>
    <w:p w14:paraId="5360AC80" w14:textId="77777777" w:rsidR="0098642E" w:rsidRPr="007E346D" w:rsidRDefault="0098642E" w:rsidP="0098642E">
      <w:pPr>
        <w:pStyle w:val="Heading4"/>
      </w:pPr>
      <w:bookmarkStart w:id="6287" w:name="_Toc53185535"/>
      <w:bookmarkStart w:id="6288" w:name="_Toc53185911"/>
      <w:bookmarkStart w:id="6289" w:name="_Toc57820397"/>
      <w:bookmarkStart w:id="6290" w:name="_Toc57821324"/>
      <w:bookmarkStart w:id="6291" w:name="_Toc61183600"/>
      <w:bookmarkStart w:id="6292" w:name="_Toc61183994"/>
      <w:bookmarkStart w:id="6293" w:name="_Toc61184386"/>
      <w:bookmarkStart w:id="6294" w:name="_Toc61184778"/>
      <w:bookmarkStart w:id="6295" w:name="_Toc61185168"/>
      <w:bookmarkStart w:id="6296" w:name="_Toc66386512"/>
      <w:bookmarkStart w:id="6297" w:name="_Toc74583415"/>
      <w:bookmarkStart w:id="6298" w:name="_Toc76542228"/>
      <w:bookmarkStart w:id="6299" w:name="_Toc82450210"/>
      <w:bookmarkStart w:id="6300" w:name="_Toc82450858"/>
      <w:bookmarkStart w:id="6301" w:name="_Toc89949247"/>
      <w:bookmarkStart w:id="6302" w:name="_Toc98755636"/>
      <w:bookmarkStart w:id="6303" w:name="_Toc98763228"/>
      <w:bookmarkStart w:id="6304" w:name="_Toc106184157"/>
      <w:r w:rsidRPr="007E346D">
        <w:t>10.2.</w:t>
      </w:r>
      <w:r>
        <w:t>2.2</w:t>
      </w:r>
      <w:r w:rsidRPr="007E346D">
        <w:tab/>
      </w:r>
      <w:r>
        <w:t>IAB-MT type</w:t>
      </w:r>
      <w:r w:rsidRPr="007A7019">
        <w:t xml:space="preserve"> 2-O</w:t>
      </w:r>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p>
    <w:p w14:paraId="022097E2" w14:textId="59917754" w:rsidR="007533CD" w:rsidRPr="007533CD" w:rsidRDefault="0098642E" w:rsidP="00AD2A23">
      <w:pPr>
        <w:rPr>
          <w:lang w:eastAsia="zh-CN"/>
        </w:rPr>
      </w:pPr>
      <w:r w:rsidRPr="00E26D09">
        <w:rPr>
          <w:lang w:eastAsia="zh-CN"/>
        </w:rPr>
        <w:t xml:space="preserve">There is no OTA sensitivity requirement for FR2, the OTA sensitivity is the same as the OTA reference sensitivity in </w:t>
      </w:r>
      <w:r>
        <w:rPr>
          <w:lang w:eastAsia="zh-CN"/>
        </w:rPr>
        <w:t>clause</w:t>
      </w:r>
      <w:r w:rsidRPr="00E26D09">
        <w:rPr>
          <w:lang w:eastAsia="zh-CN"/>
        </w:rPr>
        <w:t xml:space="preserve"> 10.3.</w:t>
      </w:r>
    </w:p>
    <w:p w14:paraId="60A7F73B" w14:textId="77777777" w:rsidR="00077B6E" w:rsidRDefault="00077B6E" w:rsidP="00077B6E">
      <w:pPr>
        <w:pStyle w:val="Heading2"/>
        <w:rPr>
          <w:rFonts w:eastAsiaTheme="minorEastAsia"/>
          <w:lang w:eastAsia="zh-CN"/>
        </w:rPr>
      </w:pPr>
      <w:bookmarkStart w:id="6305" w:name="_Toc53185536"/>
      <w:bookmarkStart w:id="6306" w:name="_Toc53185912"/>
      <w:bookmarkStart w:id="6307" w:name="_Toc57820398"/>
      <w:bookmarkStart w:id="6308" w:name="_Toc57821325"/>
      <w:bookmarkStart w:id="6309" w:name="_Toc61183601"/>
      <w:bookmarkStart w:id="6310" w:name="_Toc61183995"/>
      <w:bookmarkStart w:id="6311" w:name="_Toc61184387"/>
      <w:bookmarkStart w:id="6312" w:name="_Toc61184779"/>
      <w:bookmarkStart w:id="6313" w:name="_Toc61185169"/>
      <w:bookmarkStart w:id="6314" w:name="_Toc66386513"/>
      <w:bookmarkStart w:id="6315" w:name="_Toc74583416"/>
      <w:bookmarkStart w:id="6316" w:name="_Toc76542229"/>
      <w:bookmarkStart w:id="6317" w:name="_Toc82450211"/>
      <w:bookmarkStart w:id="6318" w:name="_Toc82450859"/>
      <w:bookmarkStart w:id="6319" w:name="_Toc89949248"/>
      <w:bookmarkStart w:id="6320" w:name="_Toc98755637"/>
      <w:bookmarkStart w:id="6321" w:name="_Toc98763229"/>
      <w:bookmarkStart w:id="6322" w:name="_Toc106184158"/>
      <w:r w:rsidRPr="007E346D">
        <w:t>10.3</w:t>
      </w:r>
      <w:r w:rsidRPr="007E346D">
        <w:tab/>
        <w:t>OTA reference sensitivity level</w:t>
      </w:r>
      <w:bookmarkEnd w:id="6162"/>
      <w:bookmarkEnd w:id="6163"/>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p>
    <w:p w14:paraId="3C98A639" w14:textId="77777777" w:rsidR="00BA782E" w:rsidRPr="00E26D09" w:rsidRDefault="00BA782E" w:rsidP="00BA782E">
      <w:pPr>
        <w:pStyle w:val="Heading3"/>
      </w:pPr>
      <w:bookmarkStart w:id="6323" w:name="_Toc53185537"/>
      <w:bookmarkStart w:id="6324" w:name="_Toc53185913"/>
      <w:bookmarkStart w:id="6325" w:name="_Toc57820399"/>
      <w:bookmarkStart w:id="6326" w:name="_Toc57821326"/>
      <w:bookmarkStart w:id="6327" w:name="_Toc61183602"/>
      <w:bookmarkStart w:id="6328" w:name="_Toc61183996"/>
      <w:bookmarkStart w:id="6329" w:name="_Toc61184388"/>
      <w:bookmarkStart w:id="6330" w:name="_Toc61184780"/>
      <w:bookmarkStart w:id="6331" w:name="_Toc61185170"/>
      <w:bookmarkStart w:id="6332" w:name="_Toc66386514"/>
      <w:bookmarkStart w:id="6333" w:name="_Toc74583417"/>
      <w:bookmarkStart w:id="6334" w:name="_Toc76542230"/>
      <w:bookmarkStart w:id="6335" w:name="_Toc82450212"/>
      <w:bookmarkStart w:id="6336" w:name="_Toc82450860"/>
      <w:bookmarkStart w:id="6337" w:name="_Toc89949249"/>
      <w:bookmarkStart w:id="6338" w:name="_Toc98755638"/>
      <w:bookmarkStart w:id="6339" w:name="_Toc98763230"/>
      <w:bookmarkStart w:id="6340" w:name="_Toc106184159"/>
      <w:r w:rsidRPr="00E26D09">
        <w:t>10.3.1</w:t>
      </w:r>
      <w:r w:rsidRPr="00E26D09">
        <w:tab/>
        <w:t>General</w:t>
      </w:r>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p>
    <w:p w14:paraId="472DB0E6" w14:textId="77777777" w:rsidR="00BA782E" w:rsidRPr="007E346D" w:rsidRDefault="00BA782E" w:rsidP="00BA782E">
      <w:r w:rsidRPr="007E346D">
        <w:t xml:space="preserve">The OTA REFSENS requirement is a </w:t>
      </w:r>
      <w:r w:rsidRPr="007A7019">
        <w:rPr>
          <w:i/>
        </w:rPr>
        <w:t>directional requirement</w:t>
      </w:r>
      <w:r w:rsidRPr="007E346D">
        <w:t xml:space="preserve"> and is intended to ensure the minimum OTA reference sensitivity level for a declared </w:t>
      </w:r>
      <w:r w:rsidRPr="007E346D">
        <w:rPr>
          <w:i/>
        </w:rPr>
        <w:t>OTA REFSENS RoAoA</w:t>
      </w:r>
      <w:r w:rsidRPr="007E346D">
        <w:t>. The OTA reference sensitivity power level EIS</w:t>
      </w:r>
      <w:r w:rsidRPr="007E346D">
        <w:rPr>
          <w:vertAlign w:val="subscript"/>
        </w:rPr>
        <w:t>REFSENS</w:t>
      </w:r>
      <w:r w:rsidRPr="007E346D">
        <w:t xml:space="preserve"> is the minimum mean power received at the RIB at which a reference performance requirement shall be met for a specified reference measurement channel.</w:t>
      </w:r>
    </w:p>
    <w:p w14:paraId="78459E82" w14:textId="46C2EF4D" w:rsidR="00BA782E" w:rsidRPr="00906BE7" w:rsidRDefault="00BA782E" w:rsidP="005913F7">
      <w:r w:rsidRPr="00E26D09">
        <w:t xml:space="preserve">The OTA REFSENS requirement shall apply to each supported polarization, under the assumption of </w:t>
      </w:r>
      <w:r w:rsidRPr="00E26D09">
        <w:rPr>
          <w:i/>
        </w:rPr>
        <w:t>polarization match</w:t>
      </w:r>
      <w:r w:rsidRPr="00E26D09">
        <w:t>.</w:t>
      </w:r>
    </w:p>
    <w:p w14:paraId="47D3D836" w14:textId="683AB1ED" w:rsidR="007533CD" w:rsidRDefault="007533CD" w:rsidP="007533CD">
      <w:pPr>
        <w:pStyle w:val="Heading3"/>
      </w:pPr>
      <w:bookmarkStart w:id="6341" w:name="_Toc53185538"/>
      <w:bookmarkStart w:id="6342" w:name="_Toc53185914"/>
      <w:bookmarkStart w:id="6343" w:name="_Toc57820400"/>
      <w:bookmarkStart w:id="6344" w:name="_Toc57821327"/>
      <w:bookmarkStart w:id="6345" w:name="_Toc61183603"/>
      <w:bookmarkStart w:id="6346" w:name="_Toc61183997"/>
      <w:bookmarkStart w:id="6347" w:name="_Toc61184389"/>
      <w:bookmarkStart w:id="6348" w:name="_Toc61184781"/>
      <w:bookmarkStart w:id="6349" w:name="_Toc61185171"/>
      <w:bookmarkStart w:id="6350" w:name="_Toc66386515"/>
      <w:bookmarkStart w:id="6351" w:name="_Toc74583418"/>
      <w:bookmarkStart w:id="6352" w:name="_Toc76542231"/>
      <w:bookmarkStart w:id="6353" w:name="_Toc82450213"/>
      <w:bookmarkStart w:id="6354" w:name="_Toc82450861"/>
      <w:bookmarkStart w:id="6355" w:name="_Toc89949250"/>
      <w:bookmarkStart w:id="6356" w:name="_Toc98755639"/>
      <w:bookmarkStart w:id="6357" w:name="_Toc98763231"/>
      <w:bookmarkStart w:id="6358" w:name="_Toc106184160"/>
      <w:bookmarkStart w:id="6359" w:name="_Toc13080418"/>
      <w:bookmarkStart w:id="6360" w:name="_Toc18916194"/>
      <w:r>
        <w:t>10.3.</w:t>
      </w:r>
      <w:r w:rsidR="00BA782E">
        <w:t>2</w:t>
      </w:r>
      <w:r w:rsidR="006C3BFB" w:rsidRPr="007E346D">
        <w:tab/>
      </w:r>
      <w:r>
        <w:t>IAB-DU OTA reference sensitivity level</w:t>
      </w:r>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p>
    <w:p w14:paraId="6FDD5AC8" w14:textId="77777777" w:rsidR="00376D99" w:rsidRDefault="00376D99" w:rsidP="00376D99">
      <w:pPr>
        <w:pStyle w:val="Heading4"/>
        <w:rPr>
          <w:i/>
        </w:rPr>
      </w:pPr>
      <w:bookmarkStart w:id="6361" w:name="_Toc21127707"/>
      <w:bookmarkStart w:id="6362" w:name="_Toc29811916"/>
      <w:bookmarkStart w:id="6363" w:name="_Toc53185539"/>
      <w:bookmarkStart w:id="6364" w:name="_Toc53185915"/>
      <w:bookmarkStart w:id="6365" w:name="_Toc57820401"/>
      <w:bookmarkStart w:id="6366" w:name="_Toc57821328"/>
      <w:bookmarkStart w:id="6367" w:name="_Toc61183604"/>
      <w:bookmarkStart w:id="6368" w:name="_Toc61183998"/>
      <w:bookmarkStart w:id="6369" w:name="_Toc61184390"/>
      <w:bookmarkStart w:id="6370" w:name="_Toc61184782"/>
      <w:bookmarkStart w:id="6371" w:name="_Toc61185172"/>
      <w:bookmarkStart w:id="6372" w:name="_Toc66386516"/>
      <w:bookmarkStart w:id="6373" w:name="_Toc74583419"/>
      <w:bookmarkStart w:id="6374" w:name="_Toc76542232"/>
      <w:bookmarkStart w:id="6375" w:name="_Toc82450214"/>
      <w:bookmarkStart w:id="6376" w:name="_Toc82450862"/>
      <w:bookmarkStart w:id="6377" w:name="_Toc89949251"/>
      <w:bookmarkStart w:id="6378" w:name="_Toc98755640"/>
      <w:bookmarkStart w:id="6379" w:name="_Toc98763232"/>
      <w:bookmarkStart w:id="6380" w:name="_Toc106184161"/>
      <w:r w:rsidRPr="00E26D09">
        <w:t>10.3.</w:t>
      </w:r>
      <w:r>
        <w:t>2.1</w:t>
      </w:r>
      <w:r>
        <w:tab/>
      </w:r>
      <w:r w:rsidRPr="00E26D09">
        <w:t xml:space="preserve">Minimum requirement for </w:t>
      </w:r>
      <w:r>
        <w:rPr>
          <w:i/>
        </w:rPr>
        <w:t>IAB-DU type</w:t>
      </w:r>
      <w:r w:rsidRPr="00E26D09">
        <w:rPr>
          <w:i/>
        </w:rPr>
        <w:t xml:space="preserve"> 1-O</w:t>
      </w:r>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p>
    <w:p w14:paraId="19F093A2" w14:textId="6356A09E" w:rsidR="00376D99" w:rsidRDefault="00376D99" w:rsidP="00376D99">
      <w:r w:rsidRPr="00E26D09">
        <w:t>T</w:t>
      </w:r>
      <w:r>
        <w:t>he wide area IAB-DU reference sensitivity level</w:t>
      </w:r>
      <w:r w:rsidRPr="00E26D09">
        <w:t xml:space="preserve"> is specified the same as the </w:t>
      </w:r>
      <w:r>
        <w:t>wide area BS reference sensitivity level</w:t>
      </w:r>
      <w:r w:rsidRPr="00E26D09">
        <w:t xml:space="preserve"> requirement for </w:t>
      </w:r>
      <w:r>
        <w:t>BS</w:t>
      </w:r>
      <w:r w:rsidRPr="00E26D09">
        <w:rPr>
          <w:i/>
        </w:rPr>
        <w:t xml:space="preserve"> </w:t>
      </w:r>
      <w:r>
        <w:t>in TS 38.104[</w:t>
      </w:r>
      <w:r w:rsidR="00A4061E">
        <w:t>2</w:t>
      </w:r>
      <w:r>
        <w:t xml:space="preserve">], subclause 10.3.2, where references to </w:t>
      </w:r>
      <w:r w:rsidRPr="00A922D4">
        <w:rPr>
          <w:i/>
        </w:rPr>
        <w:t>BS channel bandwidth</w:t>
      </w:r>
      <w:r>
        <w:t xml:space="preserve"> apply to </w:t>
      </w:r>
      <w:r w:rsidRPr="00A922D4">
        <w:rPr>
          <w:i/>
        </w:rPr>
        <w:t>IAB-DU channel bandwidth</w:t>
      </w:r>
      <w:r>
        <w:t>.</w:t>
      </w:r>
    </w:p>
    <w:p w14:paraId="3D5C73C3" w14:textId="0D5CBD58" w:rsidR="00376D99" w:rsidRDefault="00376D99" w:rsidP="00376D99">
      <w:r w:rsidRPr="00E26D09">
        <w:t>T</w:t>
      </w:r>
      <w:r>
        <w:t>he medium range IAB-DU reference sensitivity level</w:t>
      </w:r>
      <w:r w:rsidRPr="00E26D09">
        <w:t xml:space="preserve"> is specified the same as the </w:t>
      </w:r>
      <w:r>
        <w:t>medium range BS reference sensitivity level</w:t>
      </w:r>
      <w:r w:rsidRPr="00E26D09">
        <w:t xml:space="preserve"> requirement for </w:t>
      </w:r>
      <w:r>
        <w:t>BS</w:t>
      </w:r>
      <w:r w:rsidRPr="00E26D09">
        <w:rPr>
          <w:i/>
        </w:rPr>
        <w:t xml:space="preserve"> </w:t>
      </w:r>
      <w:r>
        <w:t>in TS 38.104[</w:t>
      </w:r>
      <w:r w:rsidR="00A4061E">
        <w:t>2</w:t>
      </w:r>
      <w:r>
        <w:t xml:space="preserve">], subclause 10.3.2, where references to </w:t>
      </w:r>
      <w:r w:rsidRPr="00A922D4">
        <w:rPr>
          <w:i/>
        </w:rPr>
        <w:t>BS channel bandwidth</w:t>
      </w:r>
      <w:r>
        <w:t xml:space="preserve"> apply to </w:t>
      </w:r>
      <w:r w:rsidRPr="00A922D4">
        <w:rPr>
          <w:i/>
        </w:rPr>
        <w:t>IAB-DU channel bandwidth</w:t>
      </w:r>
      <w:r>
        <w:t>.</w:t>
      </w:r>
    </w:p>
    <w:p w14:paraId="1ED1C560" w14:textId="39D89AAE" w:rsidR="00376D99" w:rsidRDefault="00376D99" w:rsidP="00376D99">
      <w:r w:rsidRPr="00E26D09">
        <w:t>T</w:t>
      </w:r>
      <w:r>
        <w:t>he local area IAB-DU reference sensitivity level</w:t>
      </w:r>
      <w:r w:rsidRPr="00E26D09">
        <w:t xml:space="preserve"> is specified the same as the </w:t>
      </w:r>
      <w:r>
        <w:t>local area BS reference sensitivity level</w:t>
      </w:r>
      <w:r w:rsidRPr="00E26D09">
        <w:t xml:space="preserve"> requirement for </w:t>
      </w:r>
      <w:r>
        <w:t>BS</w:t>
      </w:r>
      <w:r w:rsidRPr="00E26D09">
        <w:rPr>
          <w:i/>
        </w:rPr>
        <w:t xml:space="preserve"> </w:t>
      </w:r>
      <w:r>
        <w:t>in TS 38.104[</w:t>
      </w:r>
      <w:r w:rsidR="00A4061E">
        <w:t>2</w:t>
      </w:r>
      <w:r>
        <w:t xml:space="preserve">], subclause 10.3.2, where references to </w:t>
      </w:r>
      <w:r w:rsidRPr="00A922D4">
        <w:rPr>
          <w:i/>
        </w:rPr>
        <w:t>BS channel bandwidth</w:t>
      </w:r>
      <w:r>
        <w:t xml:space="preserve"> apply to </w:t>
      </w:r>
      <w:r w:rsidRPr="00A922D4">
        <w:rPr>
          <w:i/>
        </w:rPr>
        <w:t>IAB-DU channel bandwidth</w:t>
      </w:r>
      <w:r>
        <w:t>.</w:t>
      </w:r>
    </w:p>
    <w:p w14:paraId="708DBCED" w14:textId="77777777" w:rsidR="00376D99" w:rsidRPr="00E26D09" w:rsidRDefault="00376D99" w:rsidP="00376D99">
      <w:pPr>
        <w:pStyle w:val="Heading4"/>
      </w:pPr>
      <w:bookmarkStart w:id="6381" w:name="_Toc21127708"/>
      <w:bookmarkStart w:id="6382" w:name="_Toc29811917"/>
      <w:bookmarkStart w:id="6383" w:name="_Toc53185540"/>
      <w:bookmarkStart w:id="6384" w:name="_Toc53185916"/>
      <w:bookmarkStart w:id="6385" w:name="_Toc57820402"/>
      <w:bookmarkStart w:id="6386" w:name="_Toc57821329"/>
      <w:bookmarkStart w:id="6387" w:name="_Toc61183605"/>
      <w:bookmarkStart w:id="6388" w:name="_Toc61183999"/>
      <w:bookmarkStart w:id="6389" w:name="_Toc61184391"/>
      <w:bookmarkStart w:id="6390" w:name="_Toc61184783"/>
      <w:bookmarkStart w:id="6391" w:name="_Toc61185173"/>
      <w:bookmarkStart w:id="6392" w:name="_Toc66386517"/>
      <w:bookmarkStart w:id="6393" w:name="_Toc74583420"/>
      <w:bookmarkStart w:id="6394" w:name="_Toc76542233"/>
      <w:bookmarkStart w:id="6395" w:name="_Toc82450215"/>
      <w:bookmarkStart w:id="6396" w:name="_Toc82450863"/>
      <w:bookmarkStart w:id="6397" w:name="_Toc89949252"/>
      <w:bookmarkStart w:id="6398" w:name="_Toc98755641"/>
      <w:bookmarkStart w:id="6399" w:name="_Toc98763233"/>
      <w:bookmarkStart w:id="6400" w:name="_Toc106184162"/>
      <w:r w:rsidRPr="00E26D09">
        <w:t>10.3.</w:t>
      </w:r>
      <w:r>
        <w:t>2.2</w:t>
      </w:r>
      <w:r w:rsidRPr="00E26D09">
        <w:tab/>
        <w:t xml:space="preserve">Minimum requirement for </w:t>
      </w:r>
      <w:r>
        <w:rPr>
          <w:i/>
        </w:rPr>
        <w:t>IAB-DU type</w:t>
      </w:r>
      <w:r w:rsidRPr="00E26D09">
        <w:rPr>
          <w:i/>
        </w:rPr>
        <w:t xml:space="preserve"> 2-O</w:t>
      </w:r>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p>
    <w:p w14:paraId="0895D420" w14:textId="45B2EA84" w:rsidR="00376D99" w:rsidRDefault="00376D99" w:rsidP="00376D99">
      <w:r w:rsidRPr="00E26D09">
        <w:t>T</w:t>
      </w:r>
      <w:r>
        <w:t>he wide area IAB-DU reference sensitivity level</w:t>
      </w:r>
      <w:r w:rsidRPr="00E26D09">
        <w:t xml:space="preserve"> is specified the same as the </w:t>
      </w:r>
      <w:r>
        <w:t>wide area BS reference sensitivity level</w:t>
      </w:r>
      <w:r w:rsidRPr="00E26D09">
        <w:t xml:space="preserve"> requirement for </w:t>
      </w:r>
      <w:r>
        <w:t>BS</w:t>
      </w:r>
      <w:r w:rsidRPr="00E26D09">
        <w:rPr>
          <w:i/>
        </w:rPr>
        <w:t xml:space="preserve"> </w:t>
      </w:r>
      <w:r>
        <w:t>in TS 38.104[</w:t>
      </w:r>
      <w:r w:rsidR="00A4061E">
        <w:t>2</w:t>
      </w:r>
      <w:r>
        <w:t xml:space="preserve">], subclause 10.3.3, where references to </w:t>
      </w:r>
      <w:r w:rsidRPr="00A922D4">
        <w:rPr>
          <w:i/>
        </w:rPr>
        <w:t>BS channel bandwidth</w:t>
      </w:r>
      <w:r>
        <w:t xml:space="preserve"> apply to </w:t>
      </w:r>
      <w:r w:rsidRPr="00A922D4">
        <w:rPr>
          <w:i/>
        </w:rPr>
        <w:t>IAB-DU channel bandwidth</w:t>
      </w:r>
      <w:r>
        <w:t>.</w:t>
      </w:r>
    </w:p>
    <w:p w14:paraId="76F78532" w14:textId="7BDB939B" w:rsidR="00376D99" w:rsidRDefault="00376D99" w:rsidP="00376D99">
      <w:r w:rsidRPr="00E26D09">
        <w:t>T</w:t>
      </w:r>
      <w:r>
        <w:t>he medium range IAB-DU reference sensitivity level</w:t>
      </w:r>
      <w:r w:rsidRPr="00E26D09">
        <w:t xml:space="preserve"> is specified the same as the </w:t>
      </w:r>
      <w:r>
        <w:t>medium range BS reference sensitivity level</w:t>
      </w:r>
      <w:r w:rsidRPr="00E26D09">
        <w:t xml:space="preserve"> requirement for </w:t>
      </w:r>
      <w:r>
        <w:t>BS</w:t>
      </w:r>
      <w:r w:rsidRPr="00E26D09">
        <w:rPr>
          <w:i/>
        </w:rPr>
        <w:t xml:space="preserve"> </w:t>
      </w:r>
      <w:r>
        <w:t>in TS 38.104[</w:t>
      </w:r>
      <w:r w:rsidR="00A4061E">
        <w:t>2</w:t>
      </w:r>
      <w:r>
        <w:t xml:space="preserve">], subclause 10.3.3, where references to </w:t>
      </w:r>
      <w:r w:rsidRPr="00A922D4">
        <w:rPr>
          <w:i/>
        </w:rPr>
        <w:t>BS channel bandwidth</w:t>
      </w:r>
      <w:r>
        <w:t xml:space="preserve"> apply to </w:t>
      </w:r>
      <w:r w:rsidRPr="00A922D4">
        <w:rPr>
          <w:i/>
        </w:rPr>
        <w:t>IAB-DU channel bandwidth</w:t>
      </w:r>
      <w:r>
        <w:t>.</w:t>
      </w:r>
    </w:p>
    <w:p w14:paraId="0548911F" w14:textId="454FE2FC" w:rsidR="008E4421" w:rsidRPr="008E4421" w:rsidRDefault="00376D99" w:rsidP="00AD2A23">
      <w:r w:rsidRPr="00E26D09">
        <w:t>T</w:t>
      </w:r>
      <w:r>
        <w:t>he local area IAB-DU reference sensitivity level</w:t>
      </w:r>
      <w:r w:rsidRPr="00E26D09">
        <w:t xml:space="preserve"> is specified the same as the </w:t>
      </w:r>
      <w:r>
        <w:t>local area BS reference sensitivity level</w:t>
      </w:r>
      <w:r w:rsidRPr="00E26D09">
        <w:t xml:space="preserve"> requirement for </w:t>
      </w:r>
      <w:r>
        <w:t>BS</w:t>
      </w:r>
      <w:r w:rsidRPr="00E26D09">
        <w:rPr>
          <w:i/>
        </w:rPr>
        <w:t xml:space="preserve"> </w:t>
      </w:r>
      <w:r>
        <w:t>in TS 38.104[</w:t>
      </w:r>
      <w:r w:rsidR="00A4061E">
        <w:t>2</w:t>
      </w:r>
      <w:r>
        <w:t xml:space="preserve">], subclause 10.3.3, where references to </w:t>
      </w:r>
      <w:r w:rsidRPr="00A922D4">
        <w:rPr>
          <w:i/>
        </w:rPr>
        <w:t>BS channel bandwidth</w:t>
      </w:r>
      <w:r>
        <w:t xml:space="preserve"> apply to </w:t>
      </w:r>
      <w:r w:rsidRPr="00A922D4">
        <w:rPr>
          <w:i/>
        </w:rPr>
        <w:t>IAB-DU channel bandwidth</w:t>
      </w:r>
      <w:r>
        <w:t>.</w:t>
      </w:r>
    </w:p>
    <w:p w14:paraId="4D0EC2E6" w14:textId="0D1C7FE6" w:rsidR="008E4421" w:rsidRDefault="008E4421">
      <w:pPr>
        <w:pStyle w:val="Heading3"/>
      </w:pPr>
      <w:bookmarkStart w:id="6401" w:name="_Toc53185541"/>
      <w:bookmarkStart w:id="6402" w:name="_Toc53185917"/>
      <w:bookmarkStart w:id="6403" w:name="_Toc57820403"/>
      <w:bookmarkStart w:id="6404" w:name="_Toc57821330"/>
      <w:bookmarkStart w:id="6405" w:name="_Toc61183606"/>
      <w:bookmarkStart w:id="6406" w:name="_Toc61184000"/>
      <w:bookmarkStart w:id="6407" w:name="_Toc61184392"/>
      <w:bookmarkStart w:id="6408" w:name="_Toc61184784"/>
      <w:bookmarkStart w:id="6409" w:name="_Toc61185174"/>
      <w:bookmarkStart w:id="6410" w:name="_Toc66386518"/>
      <w:bookmarkStart w:id="6411" w:name="_Toc74583421"/>
      <w:bookmarkStart w:id="6412" w:name="_Toc76542234"/>
      <w:bookmarkStart w:id="6413" w:name="_Toc82450216"/>
      <w:bookmarkStart w:id="6414" w:name="_Toc82450864"/>
      <w:bookmarkStart w:id="6415" w:name="_Toc89949253"/>
      <w:bookmarkStart w:id="6416" w:name="_Toc98755642"/>
      <w:bookmarkStart w:id="6417" w:name="_Toc98763234"/>
      <w:bookmarkStart w:id="6418" w:name="_Toc106184163"/>
      <w:r>
        <w:lastRenderedPageBreak/>
        <w:t>10.3.</w:t>
      </w:r>
      <w:r w:rsidR="00FC6A8A">
        <w:t>3</w:t>
      </w:r>
      <w:r w:rsidR="006C3BFB" w:rsidRPr="007E346D">
        <w:tab/>
      </w:r>
      <w:r>
        <w:t>IAB-MT OTA reference sensitivity level</w:t>
      </w:r>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p>
    <w:p w14:paraId="0EAB2CAE" w14:textId="77777777" w:rsidR="004A62A7" w:rsidRPr="00E26D09" w:rsidRDefault="004A62A7" w:rsidP="004A62A7">
      <w:pPr>
        <w:pStyle w:val="Heading4"/>
      </w:pPr>
      <w:bookmarkStart w:id="6419" w:name="_Toc53185542"/>
      <w:bookmarkStart w:id="6420" w:name="_Toc53185918"/>
      <w:bookmarkStart w:id="6421" w:name="_Toc57820404"/>
      <w:bookmarkStart w:id="6422" w:name="_Toc57821331"/>
      <w:bookmarkStart w:id="6423" w:name="_Toc61183607"/>
      <w:bookmarkStart w:id="6424" w:name="_Toc61184001"/>
      <w:bookmarkStart w:id="6425" w:name="_Toc61184393"/>
      <w:bookmarkStart w:id="6426" w:name="_Toc61184785"/>
      <w:bookmarkStart w:id="6427" w:name="_Toc61185175"/>
      <w:bookmarkStart w:id="6428" w:name="_Toc66386519"/>
      <w:bookmarkStart w:id="6429" w:name="_Toc74583422"/>
      <w:bookmarkStart w:id="6430" w:name="_Toc76542235"/>
      <w:bookmarkStart w:id="6431" w:name="_Toc82450217"/>
      <w:bookmarkStart w:id="6432" w:name="_Toc82450865"/>
      <w:bookmarkStart w:id="6433" w:name="_Toc89949254"/>
      <w:bookmarkStart w:id="6434" w:name="_Toc98755643"/>
      <w:bookmarkStart w:id="6435" w:name="_Toc98763235"/>
      <w:bookmarkStart w:id="6436" w:name="_Toc106184164"/>
      <w:r w:rsidRPr="00E26D09">
        <w:t>10.3.</w:t>
      </w:r>
      <w:r>
        <w:t>3.1</w:t>
      </w:r>
      <w:r w:rsidRPr="00E26D09">
        <w:tab/>
        <w:t xml:space="preserve">Minimum requirement for </w:t>
      </w:r>
      <w:r>
        <w:rPr>
          <w:i/>
        </w:rPr>
        <w:t>IAB-MT type</w:t>
      </w:r>
      <w:r w:rsidRPr="00E26D09">
        <w:rPr>
          <w:i/>
        </w:rPr>
        <w:t xml:space="preserve"> 1-O</w:t>
      </w:r>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p>
    <w:p w14:paraId="33920660" w14:textId="17C953FF" w:rsidR="006A4067" w:rsidRPr="00906BE7" w:rsidRDefault="006A4067" w:rsidP="004A62A7">
      <w:r w:rsidRPr="00F95B02">
        <w:t xml:space="preserve">The OTA REFSENS requirement is a </w:t>
      </w:r>
      <w:r w:rsidRPr="00F95B02">
        <w:rPr>
          <w:i/>
        </w:rPr>
        <w:t>directional requirement</w:t>
      </w:r>
      <w:r w:rsidRPr="00F95B02">
        <w:t xml:space="preserve"> and is intended to ensure the minimum OTA reference sensitivity level for a declared </w:t>
      </w:r>
      <w:r w:rsidRPr="00F95B02">
        <w:rPr>
          <w:i/>
        </w:rPr>
        <w:t>OTA REFSENS RoAoA</w:t>
      </w:r>
      <w:r w:rsidRPr="00F95B02">
        <w:t>. The OTA reference sensitivity power level EIS</w:t>
      </w:r>
      <w:r w:rsidRPr="00F95B02">
        <w:rPr>
          <w:vertAlign w:val="subscript"/>
        </w:rPr>
        <w:t>REFSENS</w:t>
      </w:r>
      <w:r w:rsidRPr="00F95B02">
        <w:t xml:space="preserve"> is the minimum mean power received at the RIB at which a reference performance requirement shall be met for a specified reference measurement channel.</w:t>
      </w:r>
    </w:p>
    <w:p w14:paraId="498EAEAE" w14:textId="77777777" w:rsidR="004A6CCF" w:rsidRPr="00E26D09" w:rsidRDefault="004A6CCF" w:rsidP="004A6CCF">
      <w:pPr>
        <w:pStyle w:val="Heading4"/>
      </w:pPr>
      <w:bookmarkStart w:id="6437" w:name="_Toc53185543"/>
      <w:bookmarkStart w:id="6438" w:name="_Toc53185919"/>
      <w:bookmarkStart w:id="6439" w:name="_Toc57820405"/>
      <w:bookmarkStart w:id="6440" w:name="_Toc57821332"/>
      <w:bookmarkStart w:id="6441" w:name="_Toc61183608"/>
      <w:bookmarkStart w:id="6442" w:name="_Toc61184002"/>
      <w:bookmarkStart w:id="6443" w:name="_Toc61184394"/>
      <w:bookmarkStart w:id="6444" w:name="_Toc61184786"/>
      <w:bookmarkStart w:id="6445" w:name="_Toc61185176"/>
      <w:bookmarkStart w:id="6446" w:name="_Toc66386520"/>
      <w:bookmarkStart w:id="6447" w:name="_Toc74583423"/>
      <w:bookmarkStart w:id="6448" w:name="_Toc76542236"/>
      <w:bookmarkStart w:id="6449" w:name="_Toc82450218"/>
      <w:bookmarkStart w:id="6450" w:name="_Toc82450866"/>
      <w:bookmarkStart w:id="6451" w:name="_Toc89949255"/>
      <w:bookmarkStart w:id="6452" w:name="_Toc98755644"/>
      <w:bookmarkStart w:id="6453" w:name="_Toc98763236"/>
      <w:bookmarkStart w:id="6454" w:name="_Toc106184165"/>
      <w:r w:rsidRPr="00E26D09">
        <w:t>10.3.</w:t>
      </w:r>
      <w:r>
        <w:t>3.2</w:t>
      </w:r>
      <w:r w:rsidRPr="00E26D09">
        <w:tab/>
        <w:t xml:space="preserve">Minimum requirement for </w:t>
      </w:r>
      <w:r>
        <w:rPr>
          <w:i/>
        </w:rPr>
        <w:t>IAB-MT type</w:t>
      </w:r>
      <w:r w:rsidRPr="00E26D09">
        <w:rPr>
          <w:i/>
        </w:rPr>
        <w:t xml:space="preserve"> 1-O</w:t>
      </w:r>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p>
    <w:p w14:paraId="01D02839" w14:textId="77777777" w:rsidR="004A6CCF" w:rsidRPr="00F95B02" w:rsidRDefault="004A6CCF" w:rsidP="004A6CCF">
      <w:r w:rsidRPr="00F95B02">
        <w:t xml:space="preserve">The throughput shall be </w:t>
      </w:r>
      <w:r w:rsidRPr="00F95B02">
        <w:rPr>
          <w:rFonts w:hint="eastAsia"/>
        </w:rPr>
        <w:t>≥</w:t>
      </w:r>
      <w:r w:rsidRPr="00F95B02">
        <w:t xml:space="preserve"> 95% of the maximum throughput of the reference measurement channel as specified in the corresponding table and annex A.1 when the OTA test signal is at the corresponding </w:t>
      </w:r>
      <w:r w:rsidRPr="00F95B02">
        <w:rPr>
          <w:lang w:eastAsia="zh-CN"/>
        </w:rPr>
        <w:t>EIS</w:t>
      </w:r>
      <w:r w:rsidRPr="00F95B02">
        <w:rPr>
          <w:vertAlign w:val="subscript"/>
          <w:lang w:eastAsia="zh-CN"/>
        </w:rPr>
        <w:t>REFSENS</w:t>
      </w:r>
      <w:r w:rsidRPr="00F95B02">
        <w:t xml:space="preserve"> level and arrives from any direction within the </w:t>
      </w:r>
      <w:r w:rsidRPr="00F95B02">
        <w:rPr>
          <w:i/>
        </w:rPr>
        <w:t>OTA REFSENS RoAoA.</w:t>
      </w:r>
    </w:p>
    <w:p w14:paraId="29A3D279" w14:textId="77777777" w:rsidR="004A6CCF" w:rsidRPr="00F95B02" w:rsidRDefault="004A6CCF" w:rsidP="004A6CCF">
      <w:pPr>
        <w:pStyle w:val="TH"/>
      </w:pPr>
      <w:r w:rsidRPr="00F95B02">
        <w:t>Table 10.3.</w:t>
      </w:r>
      <w:r>
        <w:t>3.</w:t>
      </w:r>
      <w:r w:rsidRPr="00F95B02">
        <w:t xml:space="preserve">2-1: </w:t>
      </w:r>
      <w:r w:rsidRPr="00F95B02">
        <w:rPr>
          <w:lang w:eastAsia="zh-CN"/>
        </w:rPr>
        <w:t xml:space="preserve">Wide Area </w:t>
      </w:r>
      <w:r>
        <w:t>IAB-MT</w:t>
      </w:r>
      <w:r w:rsidRPr="00F95B02">
        <w:t xml:space="preserve"> </w:t>
      </w:r>
      <w:r>
        <w:t xml:space="preserve">type 1-O </w:t>
      </w:r>
      <w:r w:rsidRPr="00F95B02">
        <w:t>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8"/>
        <w:gridCol w:w="1802"/>
        <w:gridCol w:w="3046"/>
        <w:gridCol w:w="2595"/>
      </w:tblGrid>
      <w:tr w:rsidR="004A6CCF" w:rsidRPr="00F95B02" w14:paraId="046FF274" w14:textId="77777777" w:rsidTr="00815C5B">
        <w:trPr>
          <w:jc w:val="center"/>
        </w:trPr>
        <w:tc>
          <w:tcPr>
            <w:tcW w:w="2188" w:type="dxa"/>
            <w:shd w:val="clear" w:color="auto" w:fill="auto"/>
          </w:tcPr>
          <w:p w14:paraId="0CCE358B" w14:textId="77777777" w:rsidR="004A6CCF" w:rsidRPr="00F95B02" w:rsidRDefault="004A6CCF" w:rsidP="00815C5B">
            <w:pPr>
              <w:pStyle w:val="TAH"/>
              <w:rPr>
                <w:rFonts w:cs="Arial"/>
                <w:lang w:val="it-IT"/>
              </w:rPr>
            </w:pPr>
            <w:r>
              <w:rPr>
                <w:rFonts w:cs="Arial"/>
                <w:i/>
                <w:lang w:val="it-IT"/>
              </w:rPr>
              <w:t>IAB-MT</w:t>
            </w:r>
            <w:r w:rsidRPr="00F95B02">
              <w:rPr>
                <w:rFonts w:cs="Arial"/>
                <w:i/>
                <w:lang w:val="it-IT"/>
              </w:rPr>
              <w:t xml:space="preserve"> channel bandwidth</w:t>
            </w:r>
            <w:r w:rsidRPr="00F95B02">
              <w:rPr>
                <w:rFonts w:cs="Arial"/>
                <w:lang w:val="it-IT"/>
              </w:rPr>
              <w:t xml:space="preserve"> (MHz)</w:t>
            </w:r>
          </w:p>
        </w:tc>
        <w:tc>
          <w:tcPr>
            <w:tcW w:w="1802" w:type="dxa"/>
          </w:tcPr>
          <w:p w14:paraId="5DE8C7D9" w14:textId="77777777" w:rsidR="004A6CCF" w:rsidRPr="00F95B02" w:rsidRDefault="004A6CCF" w:rsidP="00815C5B">
            <w:pPr>
              <w:pStyle w:val="TAH"/>
              <w:rPr>
                <w:rFonts w:cs="Arial"/>
              </w:rPr>
            </w:pPr>
            <w:r w:rsidRPr="00F95B02">
              <w:rPr>
                <w:rFonts w:cs="Arial"/>
              </w:rPr>
              <w:t>Sub-carrier spacing (kHz)</w:t>
            </w:r>
          </w:p>
        </w:tc>
        <w:tc>
          <w:tcPr>
            <w:tcW w:w="3046" w:type="dxa"/>
          </w:tcPr>
          <w:p w14:paraId="4647AC12" w14:textId="77777777" w:rsidR="004A6CCF" w:rsidRPr="00F95B02" w:rsidRDefault="004A6CCF" w:rsidP="00815C5B">
            <w:pPr>
              <w:pStyle w:val="TAH"/>
              <w:rPr>
                <w:rFonts w:cs="Arial"/>
              </w:rPr>
            </w:pPr>
            <w:r w:rsidRPr="00F95B02">
              <w:rPr>
                <w:rFonts w:cs="Arial"/>
              </w:rPr>
              <w:t>Reference measurement channel</w:t>
            </w:r>
          </w:p>
        </w:tc>
        <w:tc>
          <w:tcPr>
            <w:tcW w:w="2595" w:type="dxa"/>
          </w:tcPr>
          <w:p w14:paraId="46A0F905" w14:textId="77777777" w:rsidR="004A6CCF" w:rsidRPr="00F95B02" w:rsidRDefault="004A6CCF" w:rsidP="00815C5B">
            <w:pPr>
              <w:pStyle w:val="TAH"/>
              <w:rPr>
                <w:rFonts w:cs="Arial"/>
              </w:rPr>
            </w:pPr>
            <w:r w:rsidRPr="00F95B02">
              <w:rPr>
                <w:rFonts w:cs="Arial"/>
              </w:rPr>
              <w:t xml:space="preserve">OTA reference sensitivity level, </w:t>
            </w:r>
            <w:r w:rsidRPr="00F95B02">
              <w:rPr>
                <w:lang w:eastAsia="zh-CN"/>
              </w:rPr>
              <w:t>EIS</w:t>
            </w:r>
            <w:r w:rsidRPr="00F95B02">
              <w:rPr>
                <w:vertAlign w:val="subscript"/>
                <w:lang w:eastAsia="zh-CN"/>
              </w:rPr>
              <w:t>REFSENS</w:t>
            </w:r>
          </w:p>
          <w:p w14:paraId="287DFD6C" w14:textId="77777777" w:rsidR="004A6CCF" w:rsidRPr="00F95B02" w:rsidRDefault="004A6CCF" w:rsidP="00815C5B">
            <w:pPr>
              <w:pStyle w:val="TAH"/>
              <w:rPr>
                <w:rFonts w:cs="Arial"/>
              </w:rPr>
            </w:pPr>
            <w:r w:rsidRPr="00F95B02">
              <w:rPr>
                <w:rFonts w:cs="Arial"/>
              </w:rPr>
              <w:t>(dBm)</w:t>
            </w:r>
          </w:p>
        </w:tc>
      </w:tr>
      <w:tr w:rsidR="004A6CCF" w:rsidRPr="00F95B02" w14:paraId="74AE5320" w14:textId="77777777" w:rsidTr="00815C5B">
        <w:trPr>
          <w:trHeight w:val="284"/>
          <w:jc w:val="center"/>
        </w:trPr>
        <w:tc>
          <w:tcPr>
            <w:tcW w:w="2188" w:type="dxa"/>
          </w:tcPr>
          <w:p w14:paraId="55B4F3ED" w14:textId="264952DC" w:rsidR="004A6CCF" w:rsidRPr="00F95B02" w:rsidRDefault="004A6CCF" w:rsidP="00815C5B">
            <w:pPr>
              <w:pStyle w:val="TAC"/>
            </w:pPr>
            <w:r w:rsidRPr="00F95B02">
              <w:t>10, 15</w:t>
            </w:r>
          </w:p>
        </w:tc>
        <w:tc>
          <w:tcPr>
            <w:tcW w:w="1802" w:type="dxa"/>
          </w:tcPr>
          <w:p w14:paraId="19FEB63F" w14:textId="77777777" w:rsidR="004A6CCF" w:rsidRPr="00F95B02" w:rsidRDefault="004A6CCF" w:rsidP="00815C5B">
            <w:pPr>
              <w:pStyle w:val="TAC"/>
              <w:rPr>
                <w:lang w:eastAsia="zh-CN"/>
              </w:rPr>
            </w:pPr>
            <w:r w:rsidRPr="00F95B02">
              <w:rPr>
                <w:lang w:eastAsia="zh-CN"/>
              </w:rPr>
              <w:t>30</w:t>
            </w:r>
          </w:p>
        </w:tc>
        <w:tc>
          <w:tcPr>
            <w:tcW w:w="3046" w:type="dxa"/>
          </w:tcPr>
          <w:p w14:paraId="5BA25EFC" w14:textId="77777777" w:rsidR="004A6CCF" w:rsidRPr="00F95B02" w:rsidRDefault="004A6CCF" w:rsidP="00815C5B">
            <w:pPr>
              <w:pStyle w:val="TAC"/>
            </w:pPr>
            <w:r w:rsidRPr="00F95B02">
              <w:rPr>
                <w:lang w:eastAsia="zh-CN"/>
              </w:rPr>
              <w:t>G-FR1-A1-</w:t>
            </w:r>
            <w:r>
              <w:rPr>
                <w:lang w:eastAsia="zh-CN"/>
              </w:rPr>
              <w:t>2</w:t>
            </w:r>
            <w:r w:rsidRPr="00F95B02">
              <w:rPr>
                <w:lang w:eastAsia="zh-CN"/>
              </w:rPr>
              <w:t>2</w:t>
            </w:r>
          </w:p>
        </w:tc>
        <w:tc>
          <w:tcPr>
            <w:tcW w:w="2595" w:type="dxa"/>
          </w:tcPr>
          <w:p w14:paraId="7F22CA0D" w14:textId="77777777" w:rsidR="004A6CCF" w:rsidRPr="00F95B02" w:rsidRDefault="004A6CCF" w:rsidP="00815C5B">
            <w:pPr>
              <w:pStyle w:val="TAC"/>
            </w:pPr>
            <w:r>
              <w:rPr>
                <w:lang w:val="en-US" w:eastAsia="zh-CN"/>
              </w:rPr>
              <w:t>-102.0</w:t>
            </w:r>
            <w:r w:rsidRPr="00F95B02">
              <w:rPr>
                <w:lang w:eastAsia="zh-CN"/>
              </w:rPr>
              <w:t xml:space="preserve"> </w:t>
            </w:r>
            <w:r w:rsidRPr="00F95B02">
              <w:t>- Δ</w:t>
            </w:r>
            <w:r w:rsidRPr="00F95B02">
              <w:rPr>
                <w:vertAlign w:val="subscript"/>
              </w:rPr>
              <w:t>OTAREFSENS</w:t>
            </w:r>
          </w:p>
        </w:tc>
      </w:tr>
      <w:tr w:rsidR="004A6CCF" w:rsidRPr="00F95B02" w14:paraId="0F8B823C" w14:textId="77777777" w:rsidTr="00815C5B">
        <w:trPr>
          <w:trHeight w:val="284"/>
          <w:jc w:val="center"/>
        </w:trPr>
        <w:tc>
          <w:tcPr>
            <w:tcW w:w="2188" w:type="dxa"/>
          </w:tcPr>
          <w:p w14:paraId="5EB7DCF2" w14:textId="77777777" w:rsidR="004A6CCF" w:rsidRPr="00F95B02" w:rsidRDefault="004A6CCF" w:rsidP="00815C5B">
            <w:pPr>
              <w:pStyle w:val="TAC"/>
              <w:rPr>
                <w:lang w:eastAsia="zh-CN"/>
              </w:rPr>
            </w:pPr>
            <w:r w:rsidRPr="00F95B02">
              <w:t>10, 15</w:t>
            </w:r>
          </w:p>
        </w:tc>
        <w:tc>
          <w:tcPr>
            <w:tcW w:w="1802" w:type="dxa"/>
          </w:tcPr>
          <w:p w14:paraId="4EA42686" w14:textId="77777777" w:rsidR="004A6CCF" w:rsidRPr="00F95B02" w:rsidRDefault="004A6CCF" w:rsidP="00815C5B">
            <w:pPr>
              <w:pStyle w:val="TAC"/>
              <w:rPr>
                <w:lang w:eastAsia="zh-CN"/>
              </w:rPr>
            </w:pPr>
            <w:r w:rsidRPr="00F95B02">
              <w:rPr>
                <w:lang w:eastAsia="zh-CN"/>
              </w:rPr>
              <w:t>60</w:t>
            </w:r>
          </w:p>
        </w:tc>
        <w:tc>
          <w:tcPr>
            <w:tcW w:w="3046" w:type="dxa"/>
          </w:tcPr>
          <w:p w14:paraId="0A66D121" w14:textId="77777777" w:rsidR="004A6CCF" w:rsidRPr="00F95B02" w:rsidRDefault="004A6CCF" w:rsidP="00815C5B">
            <w:pPr>
              <w:pStyle w:val="TAC"/>
              <w:rPr>
                <w:lang w:eastAsia="zh-CN"/>
              </w:rPr>
            </w:pPr>
            <w:r w:rsidRPr="00F95B02">
              <w:rPr>
                <w:lang w:eastAsia="zh-CN"/>
              </w:rPr>
              <w:t>G-FR1-A1-</w:t>
            </w:r>
            <w:r>
              <w:rPr>
                <w:lang w:eastAsia="zh-CN"/>
              </w:rPr>
              <w:t>2</w:t>
            </w:r>
            <w:r w:rsidRPr="00F95B02">
              <w:rPr>
                <w:lang w:eastAsia="zh-CN"/>
              </w:rPr>
              <w:t>3</w:t>
            </w:r>
          </w:p>
        </w:tc>
        <w:tc>
          <w:tcPr>
            <w:tcW w:w="2595" w:type="dxa"/>
          </w:tcPr>
          <w:p w14:paraId="2571886D" w14:textId="77777777" w:rsidR="004A6CCF" w:rsidRPr="00F95B02" w:rsidRDefault="004A6CCF" w:rsidP="00815C5B">
            <w:pPr>
              <w:pStyle w:val="TAC"/>
              <w:rPr>
                <w:lang w:eastAsia="zh-CN"/>
              </w:rPr>
            </w:pPr>
            <w:r>
              <w:rPr>
                <w:lang w:val="en-US" w:eastAsia="zh-CN"/>
              </w:rPr>
              <w:t>-99.0</w:t>
            </w:r>
            <w:r w:rsidRPr="00F95B02">
              <w:rPr>
                <w:lang w:eastAsia="zh-CN"/>
              </w:rPr>
              <w:t xml:space="preserve"> </w:t>
            </w:r>
            <w:r w:rsidRPr="00F95B02">
              <w:t>- Δ</w:t>
            </w:r>
            <w:r w:rsidRPr="00F95B02">
              <w:rPr>
                <w:vertAlign w:val="subscript"/>
              </w:rPr>
              <w:t>OTAREFSENS</w:t>
            </w:r>
          </w:p>
        </w:tc>
      </w:tr>
      <w:tr w:rsidR="004A6CCF" w:rsidRPr="00F95B02" w14:paraId="766E44F3" w14:textId="77777777" w:rsidTr="00815C5B">
        <w:trPr>
          <w:trHeight w:val="284"/>
          <w:jc w:val="center"/>
        </w:trPr>
        <w:tc>
          <w:tcPr>
            <w:tcW w:w="2188" w:type="dxa"/>
          </w:tcPr>
          <w:p w14:paraId="760FF9F5" w14:textId="65FC8954" w:rsidR="004A6CCF" w:rsidRPr="00F95B02" w:rsidRDefault="004A6CCF" w:rsidP="00815C5B">
            <w:pPr>
              <w:pStyle w:val="TAC"/>
              <w:rPr>
                <w:lang w:eastAsia="zh-CN"/>
              </w:rPr>
            </w:pPr>
            <w:r w:rsidRPr="00F95B02">
              <w:t>20, 25, 30, 40, 50, 60, 70, 80, 90, 100</w:t>
            </w:r>
          </w:p>
        </w:tc>
        <w:tc>
          <w:tcPr>
            <w:tcW w:w="1802" w:type="dxa"/>
          </w:tcPr>
          <w:p w14:paraId="5DF514C1" w14:textId="77777777" w:rsidR="004A6CCF" w:rsidRPr="00F95B02" w:rsidRDefault="004A6CCF" w:rsidP="00815C5B">
            <w:pPr>
              <w:pStyle w:val="TAC"/>
              <w:rPr>
                <w:lang w:eastAsia="zh-CN"/>
              </w:rPr>
            </w:pPr>
            <w:r w:rsidRPr="00F95B02">
              <w:rPr>
                <w:lang w:eastAsia="zh-CN"/>
              </w:rPr>
              <w:t>30</w:t>
            </w:r>
          </w:p>
        </w:tc>
        <w:tc>
          <w:tcPr>
            <w:tcW w:w="3046" w:type="dxa"/>
          </w:tcPr>
          <w:p w14:paraId="1E2A078F" w14:textId="77777777" w:rsidR="004A6CCF" w:rsidRPr="00F95B02" w:rsidRDefault="004A6CCF" w:rsidP="00815C5B">
            <w:pPr>
              <w:pStyle w:val="TAC"/>
              <w:rPr>
                <w:lang w:eastAsia="zh-CN"/>
              </w:rPr>
            </w:pPr>
            <w:r w:rsidRPr="00F95B02">
              <w:rPr>
                <w:lang w:eastAsia="zh-CN"/>
              </w:rPr>
              <w:t>G-FR1-A1-</w:t>
            </w:r>
            <w:r>
              <w:rPr>
                <w:lang w:eastAsia="zh-CN"/>
              </w:rPr>
              <w:t>2</w:t>
            </w:r>
            <w:r w:rsidRPr="00F95B02">
              <w:rPr>
                <w:lang w:eastAsia="zh-CN"/>
              </w:rPr>
              <w:t>5</w:t>
            </w:r>
          </w:p>
        </w:tc>
        <w:tc>
          <w:tcPr>
            <w:tcW w:w="2595" w:type="dxa"/>
          </w:tcPr>
          <w:p w14:paraId="4D70AB73" w14:textId="77777777" w:rsidR="004A6CCF" w:rsidRPr="00F95B02" w:rsidRDefault="004A6CCF" w:rsidP="00815C5B">
            <w:pPr>
              <w:pStyle w:val="TAC"/>
              <w:rPr>
                <w:lang w:eastAsia="zh-CN"/>
              </w:rPr>
            </w:pPr>
            <w:r>
              <w:rPr>
                <w:lang w:val="en-US" w:eastAsia="zh-CN"/>
              </w:rPr>
              <w:t>-95.4</w:t>
            </w:r>
            <w:r w:rsidRPr="00F95B02">
              <w:rPr>
                <w:lang w:eastAsia="zh-CN"/>
              </w:rPr>
              <w:t xml:space="preserve"> </w:t>
            </w:r>
            <w:r w:rsidRPr="00F95B02">
              <w:t>- Δ</w:t>
            </w:r>
            <w:r w:rsidRPr="00F95B02">
              <w:rPr>
                <w:vertAlign w:val="subscript"/>
              </w:rPr>
              <w:t>OTAREFSENS</w:t>
            </w:r>
          </w:p>
        </w:tc>
      </w:tr>
      <w:tr w:rsidR="004A6CCF" w:rsidRPr="00F95B02" w14:paraId="66C8F6A4" w14:textId="77777777" w:rsidTr="00815C5B">
        <w:trPr>
          <w:trHeight w:val="284"/>
          <w:jc w:val="center"/>
        </w:trPr>
        <w:tc>
          <w:tcPr>
            <w:tcW w:w="2188" w:type="dxa"/>
          </w:tcPr>
          <w:p w14:paraId="7F5806E0" w14:textId="242D3954" w:rsidR="004A6CCF" w:rsidRPr="00F95B02" w:rsidRDefault="004A6CCF" w:rsidP="00815C5B">
            <w:pPr>
              <w:pStyle w:val="TAC"/>
              <w:rPr>
                <w:lang w:eastAsia="zh-CN"/>
              </w:rPr>
            </w:pPr>
            <w:r w:rsidRPr="00F95B02">
              <w:t>20, 25, 30, 40, 50, 60, 70, 80, 90, 100</w:t>
            </w:r>
          </w:p>
        </w:tc>
        <w:tc>
          <w:tcPr>
            <w:tcW w:w="1802" w:type="dxa"/>
          </w:tcPr>
          <w:p w14:paraId="6F0CAF17" w14:textId="77777777" w:rsidR="004A6CCF" w:rsidRPr="00F95B02" w:rsidRDefault="004A6CCF" w:rsidP="00815C5B">
            <w:pPr>
              <w:pStyle w:val="TAC"/>
              <w:rPr>
                <w:lang w:eastAsia="zh-CN"/>
              </w:rPr>
            </w:pPr>
            <w:r w:rsidRPr="00F95B02">
              <w:rPr>
                <w:lang w:eastAsia="zh-CN"/>
              </w:rPr>
              <w:t>60</w:t>
            </w:r>
          </w:p>
        </w:tc>
        <w:tc>
          <w:tcPr>
            <w:tcW w:w="3046" w:type="dxa"/>
          </w:tcPr>
          <w:p w14:paraId="54A5FEF7" w14:textId="77777777" w:rsidR="004A6CCF" w:rsidRPr="00F95B02" w:rsidRDefault="004A6CCF" w:rsidP="00815C5B">
            <w:pPr>
              <w:pStyle w:val="TAC"/>
              <w:rPr>
                <w:lang w:eastAsia="zh-CN"/>
              </w:rPr>
            </w:pPr>
            <w:r w:rsidRPr="00F95B02">
              <w:rPr>
                <w:lang w:eastAsia="zh-CN"/>
              </w:rPr>
              <w:t>G-FR1-A1-</w:t>
            </w:r>
            <w:r>
              <w:rPr>
                <w:lang w:eastAsia="zh-CN"/>
              </w:rPr>
              <w:t>2</w:t>
            </w:r>
            <w:r w:rsidRPr="00F95B02">
              <w:rPr>
                <w:lang w:eastAsia="zh-CN"/>
              </w:rPr>
              <w:t>6</w:t>
            </w:r>
          </w:p>
        </w:tc>
        <w:tc>
          <w:tcPr>
            <w:tcW w:w="2595" w:type="dxa"/>
          </w:tcPr>
          <w:p w14:paraId="7F331C13" w14:textId="77777777" w:rsidR="004A6CCF" w:rsidRPr="00F95B02" w:rsidRDefault="004A6CCF" w:rsidP="00815C5B">
            <w:pPr>
              <w:pStyle w:val="TAC"/>
              <w:rPr>
                <w:lang w:eastAsia="zh-CN"/>
              </w:rPr>
            </w:pPr>
            <w:r>
              <w:rPr>
                <w:lang w:val="en-US" w:eastAsia="zh-CN"/>
              </w:rPr>
              <w:t>-95.6</w:t>
            </w:r>
            <w:r w:rsidRPr="00F95B02">
              <w:rPr>
                <w:lang w:eastAsia="zh-CN"/>
              </w:rPr>
              <w:t xml:space="preserve"> </w:t>
            </w:r>
            <w:r w:rsidRPr="00F95B02">
              <w:t>- Δ</w:t>
            </w:r>
            <w:r w:rsidRPr="00F95B02">
              <w:rPr>
                <w:vertAlign w:val="subscript"/>
              </w:rPr>
              <w:t>OTAREFSENS</w:t>
            </w:r>
          </w:p>
        </w:tc>
      </w:tr>
      <w:tr w:rsidR="004A6CCF" w:rsidRPr="00F95B02" w14:paraId="258368EB" w14:textId="77777777" w:rsidTr="00BD1F8C">
        <w:trPr>
          <w:trHeight w:val="284"/>
          <w:jc w:val="center"/>
        </w:trPr>
        <w:tc>
          <w:tcPr>
            <w:tcW w:w="9631" w:type="dxa"/>
            <w:gridSpan w:val="4"/>
            <w:vAlign w:val="center"/>
          </w:tcPr>
          <w:p w14:paraId="46AAE797" w14:textId="77777777" w:rsidR="004A6CCF" w:rsidRPr="00F95B02" w:rsidRDefault="004A6CCF" w:rsidP="00815C5B">
            <w:pPr>
              <w:pStyle w:val="TAN"/>
              <w:rPr>
                <w:lang w:eastAsia="zh-CN"/>
              </w:rPr>
            </w:pPr>
            <w:r w:rsidRPr="00F95B02">
              <w:t>NOTE:</w:t>
            </w:r>
            <w:r w:rsidRPr="00F95B02">
              <w:tab/>
              <w:t>EIS</w:t>
            </w:r>
            <w:r w:rsidRPr="00F95B02">
              <w:rPr>
                <w:vertAlign w:val="subscript"/>
              </w:rPr>
              <w:t>REFSENS</w:t>
            </w:r>
            <w:r w:rsidRPr="00F95B02">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 except for one instance that might overlap one other instance to cover the full </w:t>
            </w:r>
            <w:r>
              <w:rPr>
                <w:i/>
              </w:rPr>
              <w:t>IAB-MT</w:t>
            </w:r>
            <w:r w:rsidRPr="00F95B02">
              <w:rPr>
                <w:i/>
              </w:rPr>
              <w:t xml:space="preserve"> channel bandwidth</w:t>
            </w:r>
            <w:r w:rsidRPr="00F95B02">
              <w:t>.</w:t>
            </w:r>
          </w:p>
        </w:tc>
      </w:tr>
    </w:tbl>
    <w:p w14:paraId="3D5CC9C6" w14:textId="77777777" w:rsidR="004A6CCF" w:rsidRPr="000D2B34" w:rsidRDefault="004A6CCF" w:rsidP="004A6CCF"/>
    <w:p w14:paraId="2BB598EF" w14:textId="77777777" w:rsidR="004A6CCF" w:rsidRPr="00F95B02" w:rsidRDefault="004A6CCF" w:rsidP="00906BE7">
      <w:pPr>
        <w:pStyle w:val="TH"/>
      </w:pPr>
      <w:r w:rsidRPr="00F95B02">
        <w:t xml:space="preserve">Table </w:t>
      </w:r>
      <w:r w:rsidRPr="00F95B02">
        <w:rPr>
          <w:lang w:eastAsia="zh-CN"/>
        </w:rPr>
        <w:t>10.3</w:t>
      </w:r>
      <w:r>
        <w:rPr>
          <w:lang w:eastAsia="zh-CN"/>
        </w:rPr>
        <w:t>.3</w:t>
      </w:r>
      <w:r w:rsidRPr="00F95B02">
        <w:rPr>
          <w:lang w:eastAsia="zh-CN"/>
        </w:rPr>
        <w:t>.2</w:t>
      </w:r>
      <w:r w:rsidRPr="00F95B02">
        <w:t>-</w:t>
      </w:r>
      <w:r>
        <w:rPr>
          <w:lang w:eastAsia="zh-CN"/>
        </w:rPr>
        <w:t>2</w:t>
      </w:r>
      <w:r w:rsidRPr="00F95B02">
        <w:t xml:space="preserve">: </w:t>
      </w:r>
      <w:r w:rsidRPr="00F95B02">
        <w:rPr>
          <w:lang w:eastAsia="zh-CN"/>
        </w:rPr>
        <w:t xml:space="preserve">Local Area </w:t>
      </w:r>
      <w:r>
        <w:t>IAB-MT</w:t>
      </w:r>
      <w:r w:rsidRPr="00F95B02">
        <w:t xml:space="preserve"> </w:t>
      </w:r>
      <w:r>
        <w:t xml:space="preserve">type 1-O </w:t>
      </w:r>
      <w:r w:rsidRPr="00F95B02">
        <w:t>reference sensitivity levels</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842"/>
        <w:gridCol w:w="3119"/>
        <w:gridCol w:w="2659"/>
      </w:tblGrid>
      <w:tr w:rsidR="004A6CCF" w:rsidRPr="00F95B02" w14:paraId="58D78D1F" w14:textId="77777777" w:rsidTr="00815C5B">
        <w:trPr>
          <w:jc w:val="center"/>
        </w:trPr>
        <w:tc>
          <w:tcPr>
            <w:tcW w:w="2235" w:type="dxa"/>
            <w:shd w:val="clear" w:color="auto" w:fill="auto"/>
          </w:tcPr>
          <w:p w14:paraId="70B8C0CB" w14:textId="77777777" w:rsidR="004A6CCF" w:rsidRPr="00F95B02" w:rsidRDefault="004A6CCF" w:rsidP="00815C5B">
            <w:pPr>
              <w:pStyle w:val="TAH"/>
              <w:rPr>
                <w:lang w:val="it-IT"/>
              </w:rPr>
            </w:pPr>
            <w:r w:rsidRPr="00815C5B">
              <w:rPr>
                <w:i/>
                <w:iCs/>
                <w:lang w:val="it-IT"/>
              </w:rPr>
              <w:t>IAB-MT channel bandwidth</w:t>
            </w:r>
            <w:r w:rsidRPr="00F95B02">
              <w:rPr>
                <w:lang w:val="it-IT"/>
              </w:rPr>
              <w:t xml:space="preserve"> (MHz)</w:t>
            </w:r>
          </w:p>
        </w:tc>
        <w:tc>
          <w:tcPr>
            <w:tcW w:w="1842" w:type="dxa"/>
          </w:tcPr>
          <w:p w14:paraId="7AC91FE2" w14:textId="77777777" w:rsidR="004A6CCF" w:rsidRPr="00F95B02" w:rsidRDefault="004A6CCF" w:rsidP="00815C5B">
            <w:pPr>
              <w:pStyle w:val="TAH"/>
            </w:pPr>
            <w:r w:rsidRPr="00F95B02">
              <w:t>Sub-carrier spacing (kHz)</w:t>
            </w:r>
          </w:p>
        </w:tc>
        <w:tc>
          <w:tcPr>
            <w:tcW w:w="3119" w:type="dxa"/>
          </w:tcPr>
          <w:p w14:paraId="10D90FEC" w14:textId="77777777" w:rsidR="004A6CCF" w:rsidRPr="00F95B02" w:rsidRDefault="004A6CCF" w:rsidP="00815C5B">
            <w:pPr>
              <w:pStyle w:val="TAH"/>
            </w:pPr>
            <w:r w:rsidRPr="00F95B02">
              <w:t>Reference measurement channel</w:t>
            </w:r>
          </w:p>
        </w:tc>
        <w:tc>
          <w:tcPr>
            <w:tcW w:w="2659" w:type="dxa"/>
          </w:tcPr>
          <w:p w14:paraId="72449D15" w14:textId="519AC467" w:rsidR="004A6CCF" w:rsidRPr="00F95B02" w:rsidRDefault="004A6CCF" w:rsidP="00815C5B">
            <w:pPr>
              <w:pStyle w:val="TAH"/>
            </w:pPr>
            <w:r w:rsidRPr="00F95B02">
              <w:t xml:space="preserve">OTA reference sensitivity level, </w:t>
            </w:r>
            <w:r w:rsidRPr="00F95B02">
              <w:rPr>
                <w:lang w:eastAsia="zh-CN"/>
              </w:rPr>
              <w:t>EIS</w:t>
            </w:r>
            <w:r w:rsidRPr="00F95B02">
              <w:rPr>
                <w:vertAlign w:val="subscript"/>
                <w:lang w:eastAsia="zh-CN"/>
              </w:rPr>
              <w:t>REFSENS</w:t>
            </w:r>
          </w:p>
          <w:p w14:paraId="4D4B325A" w14:textId="77777777" w:rsidR="004A6CCF" w:rsidRPr="00F95B02" w:rsidRDefault="004A6CCF" w:rsidP="00815C5B">
            <w:pPr>
              <w:pStyle w:val="TAH"/>
            </w:pPr>
            <w:r w:rsidRPr="00F95B02">
              <w:t>(dBm)</w:t>
            </w:r>
          </w:p>
        </w:tc>
      </w:tr>
      <w:tr w:rsidR="004A6CCF" w:rsidRPr="00F95B02" w14:paraId="087C7833" w14:textId="77777777" w:rsidTr="00815C5B">
        <w:trPr>
          <w:trHeight w:val="284"/>
          <w:jc w:val="center"/>
        </w:trPr>
        <w:tc>
          <w:tcPr>
            <w:tcW w:w="2235" w:type="dxa"/>
          </w:tcPr>
          <w:p w14:paraId="604DC3B7" w14:textId="31CA47C8" w:rsidR="004A6CCF" w:rsidRPr="00F95B02" w:rsidRDefault="004A6CCF" w:rsidP="00815C5B">
            <w:pPr>
              <w:pStyle w:val="TAC"/>
            </w:pPr>
            <w:r w:rsidRPr="00F95B02">
              <w:t>10, 15</w:t>
            </w:r>
          </w:p>
        </w:tc>
        <w:tc>
          <w:tcPr>
            <w:tcW w:w="1842" w:type="dxa"/>
          </w:tcPr>
          <w:p w14:paraId="225A1B13" w14:textId="77777777" w:rsidR="004A6CCF" w:rsidRPr="00F95B02" w:rsidRDefault="004A6CCF" w:rsidP="00815C5B">
            <w:pPr>
              <w:pStyle w:val="TAC"/>
              <w:rPr>
                <w:lang w:eastAsia="zh-CN"/>
              </w:rPr>
            </w:pPr>
            <w:r w:rsidRPr="00F95B02">
              <w:rPr>
                <w:lang w:eastAsia="zh-CN"/>
              </w:rPr>
              <w:t>30</w:t>
            </w:r>
          </w:p>
        </w:tc>
        <w:tc>
          <w:tcPr>
            <w:tcW w:w="3119" w:type="dxa"/>
          </w:tcPr>
          <w:p w14:paraId="75CD6856" w14:textId="77777777" w:rsidR="004A6CCF" w:rsidRPr="00F95B02" w:rsidRDefault="004A6CCF" w:rsidP="00815C5B">
            <w:pPr>
              <w:pStyle w:val="TAC"/>
            </w:pPr>
            <w:r w:rsidRPr="00F95B02">
              <w:rPr>
                <w:lang w:eastAsia="zh-CN"/>
              </w:rPr>
              <w:t>G-FR1-A1-</w:t>
            </w:r>
            <w:r>
              <w:rPr>
                <w:lang w:eastAsia="zh-CN"/>
              </w:rPr>
              <w:t>2</w:t>
            </w:r>
            <w:r w:rsidRPr="00F95B02">
              <w:rPr>
                <w:lang w:eastAsia="zh-CN"/>
              </w:rPr>
              <w:t>2</w:t>
            </w:r>
          </w:p>
        </w:tc>
        <w:tc>
          <w:tcPr>
            <w:tcW w:w="2659" w:type="dxa"/>
          </w:tcPr>
          <w:p w14:paraId="6428B389" w14:textId="77777777" w:rsidR="004A6CCF" w:rsidRPr="00F95B02" w:rsidRDefault="004A6CCF" w:rsidP="00815C5B">
            <w:pPr>
              <w:pStyle w:val="TAC"/>
            </w:pPr>
            <w:r>
              <w:rPr>
                <w:lang w:val="en-US" w:eastAsia="zh-CN"/>
              </w:rPr>
              <w:t>-94.0</w:t>
            </w:r>
            <w:r w:rsidRPr="00F95B02">
              <w:t xml:space="preserve"> - Δ</w:t>
            </w:r>
            <w:r w:rsidRPr="00F95B02">
              <w:rPr>
                <w:vertAlign w:val="subscript"/>
              </w:rPr>
              <w:t>OTAREFSENS</w:t>
            </w:r>
          </w:p>
        </w:tc>
      </w:tr>
      <w:tr w:rsidR="004A6CCF" w:rsidRPr="00F95B02" w14:paraId="1E79B9F8" w14:textId="77777777" w:rsidTr="00815C5B">
        <w:trPr>
          <w:trHeight w:val="284"/>
          <w:jc w:val="center"/>
        </w:trPr>
        <w:tc>
          <w:tcPr>
            <w:tcW w:w="2235" w:type="dxa"/>
          </w:tcPr>
          <w:p w14:paraId="2A1BDF72" w14:textId="77777777" w:rsidR="004A6CCF" w:rsidRPr="00F95B02" w:rsidRDefault="004A6CCF" w:rsidP="00815C5B">
            <w:pPr>
              <w:pStyle w:val="TAC"/>
              <w:rPr>
                <w:lang w:eastAsia="zh-CN"/>
              </w:rPr>
            </w:pPr>
            <w:r w:rsidRPr="00F95B02">
              <w:t>10, 15</w:t>
            </w:r>
          </w:p>
        </w:tc>
        <w:tc>
          <w:tcPr>
            <w:tcW w:w="1842" w:type="dxa"/>
          </w:tcPr>
          <w:p w14:paraId="0A57E49F" w14:textId="77777777" w:rsidR="004A6CCF" w:rsidRPr="00F95B02" w:rsidRDefault="004A6CCF" w:rsidP="00815C5B">
            <w:pPr>
              <w:pStyle w:val="TAC"/>
              <w:rPr>
                <w:lang w:eastAsia="zh-CN"/>
              </w:rPr>
            </w:pPr>
            <w:r w:rsidRPr="00F95B02">
              <w:rPr>
                <w:lang w:eastAsia="zh-CN"/>
              </w:rPr>
              <w:t>60</w:t>
            </w:r>
          </w:p>
        </w:tc>
        <w:tc>
          <w:tcPr>
            <w:tcW w:w="3119" w:type="dxa"/>
          </w:tcPr>
          <w:p w14:paraId="68EA50D2" w14:textId="77777777" w:rsidR="004A6CCF" w:rsidRPr="00F95B02" w:rsidRDefault="004A6CCF" w:rsidP="00815C5B">
            <w:pPr>
              <w:pStyle w:val="TAC"/>
              <w:rPr>
                <w:lang w:eastAsia="zh-CN"/>
              </w:rPr>
            </w:pPr>
            <w:r w:rsidRPr="00F95B02">
              <w:rPr>
                <w:lang w:eastAsia="zh-CN"/>
              </w:rPr>
              <w:t>G-FR1-A1-</w:t>
            </w:r>
            <w:r>
              <w:rPr>
                <w:lang w:eastAsia="zh-CN"/>
              </w:rPr>
              <w:t>2</w:t>
            </w:r>
            <w:r w:rsidRPr="00F95B02">
              <w:rPr>
                <w:lang w:eastAsia="zh-CN"/>
              </w:rPr>
              <w:t>3</w:t>
            </w:r>
          </w:p>
        </w:tc>
        <w:tc>
          <w:tcPr>
            <w:tcW w:w="2659" w:type="dxa"/>
          </w:tcPr>
          <w:p w14:paraId="002B76D0" w14:textId="77777777" w:rsidR="004A6CCF" w:rsidRPr="00F95B02" w:rsidRDefault="004A6CCF" w:rsidP="00815C5B">
            <w:pPr>
              <w:pStyle w:val="TAC"/>
              <w:rPr>
                <w:lang w:eastAsia="zh-CN"/>
              </w:rPr>
            </w:pPr>
            <w:r>
              <w:rPr>
                <w:lang w:val="en-US" w:eastAsia="zh-CN"/>
              </w:rPr>
              <w:t>-91.0</w:t>
            </w:r>
            <w:r w:rsidRPr="00F95B02">
              <w:t xml:space="preserve"> - Δ</w:t>
            </w:r>
            <w:r w:rsidRPr="00F95B02">
              <w:rPr>
                <w:vertAlign w:val="subscript"/>
              </w:rPr>
              <w:t>OTAREFSENS</w:t>
            </w:r>
          </w:p>
        </w:tc>
      </w:tr>
      <w:tr w:rsidR="004A6CCF" w:rsidRPr="00F95B02" w14:paraId="628ABF07" w14:textId="77777777" w:rsidTr="00815C5B">
        <w:trPr>
          <w:trHeight w:val="284"/>
          <w:jc w:val="center"/>
        </w:trPr>
        <w:tc>
          <w:tcPr>
            <w:tcW w:w="2235" w:type="dxa"/>
          </w:tcPr>
          <w:p w14:paraId="3EE01F9C" w14:textId="383094F4" w:rsidR="004A6CCF" w:rsidRPr="00F95B02" w:rsidRDefault="004A6CCF" w:rsidP="00815C5B">
            <w:pPr>
              <w:pStyle w:val="TAC"/>
              <w:rPr>
                <w:lang w:eastAsia="zh-CN"/>
              </w:rPr>
            </w:pPr>
            <w:r w:rsidRPr="00F95B02">
              <w:t>20, 25, 30, 40, 50, 60, 70, 80, 90, 100</w:t>
            </w:r>
          </w:p>
        </w:tc>
        <w:tc>
          <w:tcPr>
            <w:tcW w:w="1842" w:type="dxa"/>
          </w:tcPr>
          <w:p w14:paraId="37297498" w14:textId="77777777" w:rsidR="004A6CCF" w:rsidRPr="00F95B02" w:rsidRDefault="004A6CCF" w:rsidP="00815C5B">
            <w:pPr>
              <w:pStyle w:val="TAC"/>
              <w:rPr>
                <w:lang w:eastAsia="zh-CN"/>
              </w:rPr>
            </w:pPr>
            <w:r w:rsidRPr="00F95B02">
              <w:rPr>
                <w:lang w:eastAsia="zh-CN"/>
              </w:rPr>
              <w:t>30</w:t>
            </w:r>
          </w:p>
        </w:tc>
        <w:tc>
          <w:tcPr>
            <w:tcW w:w="3119" w:type="dxa"/>
          </w:tcPr>
          <w:p w14:paraId="4C6ACBA7" w14:textId="77777777" w:rsidR="004A6CCF" w:rsidRPr="00F95B02" w:rsidRDefault="004A6CCF" w:rsidP="00815C5B">
            <w:pPr>
              <w:pStyle w:val="TAC"/>
              <w:rPr>
                <w:lang w:eastAsia="zh-CN"/>
              </w:rPr>
            </w:pPr>
            <w:r w:rsidRPr="00F95B02">
              <w:rPr>
                <w:lang w:eastAsia="zh-CN"/>
              </w:rPr>
              <w:t>G-FR1-A1-</w:t>
            </w:r>
            <w:r>
              <w:rPr>
                <w:lang w:eastAsia="zh-CN"/>
              </w:rPr>
              <w:t>2</w:t>
            </w:r>
            <w:r w:rsidRPr="00F95B02">
              <w:rPr>
                <w:lang w:eastAsia="zh-CN"/>
              </w:rPr>
              <w:t>5</w:t>
            </w:r>
          </w:p>
        </w:tc>
        <w:tc>
          <w:tcPr>
            <w:tcW w:w="2659" w:type="dxa"/>
          </w:tcPr>
          <w:p w14:paraId="381396BE" w14:textId="77777777" w:rsidR="004A6CCF" w:rsidRPr="00F95B02" w:rsidRDefault="004A6CCF" w:rsidP="00815C5B">
            <w:pPr>
              <w:pStyle w:val="TAC"/>
              <w:rPr>
                <w:lang w:eastAsia="zh-CN"/>
              </w:rPr>
            </w:pPr>
            <w:r>
              <w:rPr>
                <w:lang w:val="en-US" w:eastAsia="zh-CN"/>
              </w:rPr>
              <w:t>-87.4</w:t>
            </w:r>
            <w:r w:rsidRPr="00F95B02">
              <w:t xml:space="preserve"> - Δ</w:t>
            </w:r>
            <w:r w:rsidRPr="00F95B02">
              <w:rPr>
                <w:vertAlign w:val="subscript"/>
              </w:rPr>
              <w:t>OTAREFSENS</w:t>
            </w:r>
          </w:p>
        </w:tc>
      </w:tr>
      <w:tr w:rsidR="004A6CCF" w:rsidRPr="00F95B02" w14:paraId="3BABD3C3" w14:textId="77777777" w:rsidTr="00815C5B">
        <w:trPr>
          <w:trHeight w:val="284"/>
          <w:jc w:val="center"/>
        </w:trPr>
        <w:tc>
          <w:tcPr>
            <w:tcW w:w="2235" w:type="dxa"/>
          </w:tcPr>
          <w:p w14:paraId="7FCF5EBC" w14:textId="3ACF318D" w:rsidR="004A6CCF" w:rsidRPr="00F95B02" w:rsidRDefault="004A6CCF" w:rsidP="00815C5B">
            <w:pPr>
              <w:pStyle w:val="TAC"/>
              <w:rPr>
                <w:lang w:eastAsia="zh-CN"/>
              </w:rPr>
            </w:pPr>
            <w:r w:rsidRPr="00F95B02">
              <w:t>20, 25, 30, 40, 50, 60, 70, 80, 90, 100</w:t>
            </w:r>
          </w:p>
        </w:tc>
        <w:tc>
          <w:tcPr>
            <w:tcW w:w="1842" w:type="dxa"/>
          </w:tcPr>
          <w:p w14:paraId="5172416A" w14:textId="77777777" w:rsidR="004A6CCF" w:rsidRPr="00F95B02" w:rsidRDefault="004A6CCF" w:rsidP="00815C5B">
            <w:pPr>
              <w:pStyle w:val="TAC"/>
              <w:rPr>
                <w:lang w:eastAsia="zh-CN"/>
              </w:rPr>
            </w:pPr>
            <w:r w:rsidRPr="00F95B02">
              <w:rPr>
                <w:lang w:eastAsia="zh-CN"/>
              </w:rPr>
              <w:t>60</w:t>
            </w:r>
          </w:p>
        </w:tc>
        <w:tc>
          <w:tcPr>
            <w:tcW w:w="3119" w:type="dxa"/>
          </w:tcPr>
          <w:p w14:paraId="274467BC" w14:textId="77777777" w:rsidR="004A6CCF" w:rsidRPr="00F95B02" w:rsidRDefault="004A6CCF" w:rsidP="00815C5B">
            <w:pPr>
              <w:pStyle w:val="TAC"/>
              <w:rPr>
                <w:lang w:eastAsia="zh-CN"/>
              </w:rPr>
            </w:pPr>
            <w:r w:rsidRPr="00F95B02">
              <w:rPr>
                <w:lang w:eastAsia="zh-CN"/>
              </w:rPr>
              <w:t>G-FR1-A1-</w:t>
            </w:r>
            <w:r>
              <w:rPr>
                <w:lang w:eastAsia="zh-CN"/>
              </w:rPr>
              <w:t>2</w:t>
            </w:r>
            <w:r w:rsidRPr="00F95B02">
              <w:rPr>
                <w:lang w:eastAsia="zh-CN"/>
              </w:rPr>
              <w:t>6</w:t>
            </w:r>
          </w:p>
        </w:tc>
        <w:tc>
          <w:tcPr>
            <w:tcW w:w="2659" w:type="dxa"/>
          </w:tcPr>
          <w:p w14:paraId="064C642D" w14:textId="77777777" w:rsidR="004A6CCF" w:rsidRPr="00F95B02" w:rsidRDefault="004A6CCF" w:rsidP="00815C5B">
            <w:pPr>
              <w:pStyle w:val="TAC"/>
              <w:rPr>
                <w:lang w:eastAsia="zh-CN"/>
              </w:rPr>
            </w:pPr>
            <w:r>
              <w:rPr>
                <w:lang w:val="en-US" w:eastAsia="zh-CN"/>
              </w:rPr>
              <w:t>-87.6</w:t>
            </w:r>
            <w:r w:rsidRPr="00F95B02">
              <w:t xml:space="preserve"> - Δ</w:t>
            </w:r>
            <w:r w:rsidRPr="00F95B02">
              <w:rPr>
                <w:vertAlign w:val="subscript"/>
              </w:rPr>
              <w:t>OTAREFSENS</w:t>
            </w:r>
          </w:p>
        </w:tc>
      </w:tr>
      <w:tr w:rsidR="004A6CCF" w:rsidRPr="00F95B02" w14:paraId="57559634" w14:textId="77777777" w:rsidTr="00BD1F8C">
        <w:trPr>
          <w:trHeight w:val="284"/>
          <w:jc w:val="center"/>
        </w:trPr>
        <w:tc>
          <w:tcPr>
            <w:tcW w:w="9855" w:type="dxa"/>
            <w:gridSpan w:val="4"/>
            <w:vAlign w:val="center"/>
          </w:tcPr>
          <w:p w14:paraId="49E7A945" w14:textId="77777777" w:rsidR="004A6CCF" w:rsidRPr="00F95B02" w:rsidRDefault="004A6CCF" w:rsidP="00815C5B">
            <w:pPr>
              <w:pStyle w:val="TAN"/>
              <w:rPr>
                <w:lang w:eastAsia="zh-CN"/>
              </w:rPr>
            </w:pPr>
            <w:r w:rsidRPr="00F95B02">
              <w:t>NOTE:</w:t>
            </w:r>
            <w:r w:rsidRPr="00F95B02">
              <w:tab/>
              <w:t>EIS</w:t>
            </w:r>
            <w:r w:rsidRPr="00F95B02">
              <w:rPr>
                <w:vertAlign w:val="subscript"/>
              </w:rPr>
              <w:t>REFSENS</w:t>
            </w:r>
            <w:r w:rsidRPr="00F95B02">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 except for one instance that might overlap one other instance to cover the full </w:t>
            </w:r>
            <w:r>
              <w:rPr>
                <w:i/>
              </w:rPr>
              <w:t xml:space="preserve">IAB-MT </w:t>
            </w:r>
            <w:r w:rsidRPr="00F95B02">
              <w:rPr>
                <w:i/>
              </w:rPr>
              <w:t>channel bandwidth</w:t>
            </w:r>
            <w:r w:rsidRPr="00F95B02">
              <w:t>.</w:t>
            </w:r>
          </w:p>
        </w:tc>
      </w:tr>
    </w:tbl>
    <w:p w14:paraId="09703670" w14:textId="77777777" w:rsidR="004A6CCF" w:rsidRPr="000D2B34" w:rsidRDefault="004A6CCF" w:rsidP="004A6CCF"/>
    <w:p w14:paraId="720405C9" w14:textId="2345D88E" w:rsidR="004A62A7" w:rsidRPr="00E26D09" w:rsidRDefault="004A62A7" w:rsidP="004A62A7">
      <w:pPr>
        <w:pStyle w:val="Heading4"/>
      </w:pPr>
      <w:bookmarkStart w:id="6455" w:name="_Toc53185544"/>
      <w:bookmarkStart w:id="6456" w:name="_Toc53185920"/>
      <w:bookmarkStart w:id="6457" w:name="_Toc57820406"/>
      <w:bookmarkStart w:id="6458" w:name="_Toc57821333"/>
      <w:bookmarkStart w:id="6459" w:name="_Toc61183609"/>
      <w:bookmarkStart w:id="6460" w:name="_Toc61184003"/>
      <w:bookmarkStart w:id="6461" w:name="_Toc61184395"/>
      <w:bookmarkStart w:id="6462" w:name="_Toc61184787"/>
      <w:bookmarkStart w:id="6463" w:name="_Toc61185177"/>
      <w:bookmarkStart w:id="6464" w:name="_Toc66386521"/>
      <w:bookmarkStart w:id="6465" w:name="_Toc74583424"/>
      <w:bookmarkStart w:id="6466" w:name="_Toc76542237"/>
      <w:bookmarkStart w:id="6467" w:name="_Toc82450219"/>
      <w:bookmarkStart w:id="6468" w:name="_Toc82450867"/>
      <w:bookmarkStart w:id="6469" w:name="_Toc89949256"/>
      <w:bookmarkStart w:id="6470" w:name="_Toc98755645"/>
      <w:bookmarkStart w:id="6471" w:name="_Toc98763237"/>
      <w:bookmarkStart w:id="6472" w:name="_Toc106184166"/>
      <w:r w:rsidRPr="00E26D09">
        <w:t>10.3.</w:t>
      </w:r>
      <w:r>
        <w:t>3.</w:t>
      </w:r>
      <w:r w:rsidR="007D630F">
        <w:t>3</w:t>
      </w:r>
      <w:r w:rsidRPr="00E26D09">
        <w:tab/>
        <w:t xml:space="preserve">Minimum requirement for </w:t>
      </w:r>
      <w:r>
        <w:rPr>
          <w:i/>
        </w:rPr>
        <w:t>IAB-MT type</w:t>
      </w:r>
      <w:r w:rsidRPr="00E26D09">
        <w:rPr>
          <w:i/>
        </w:rPr>
        <w:t xml:space="preserve"> 2-O</w:t>
      </w:r>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p>
    <w:p w14:paraId="1F5EF625" w14:textId="77777777" w:rsidR="004A62A7" w:rsidRPr="00E26D09" w:rsidRDefault="004A62A7" w:rsidP="004A62A7">
      <w:r w:rsidRPr="00E26D09">
        <w:t xml:space="preserve">The throughput shall be </w:t>
      </w:r>
      <w:r w:rsidRPr="00E26D09">
        <w:rPr>
          <w:rFonts w:hint="eastAsia"/>
        </w:rPr>
        <w:t>≥</w:t>
      </w:r>
      <w:r w:rsidRPr="00E26D09">
        <w:t xml:space="preserve"> 95% of the maximum throughput of the reference measurement channel as specified in the corresponding table and annex A.1 when the OTA test signal is at the corresponding </w:t>
      </w:r>
      <w:r w:rsidRPr="00E26D09">
        <w:rPr>
          <w:lang w:val="en-US" w:eastAsia="zh-CN"/>
        </w:rPr>
        <w:t>EIS</w:t>
      </w:r>
      <w:r w:rsidRPr="00E26D09">
        <w:rPr>
          <w:vertAlign w:val="subscript"/>
          <w:lang w:val="en-US" w:eastAsia="zh-CN"/>
        </w:rPr>
        <w:t>REFSENS</w:t>
      </w:r>
      <w:r w:rsidRPr="00E26D09">
        <w:t xml:space="preserve"> level and arrives from any direction within the </w:t>
      </w:r>
      <w:r w:rsidRPr="00E26D09">
        <w:rPr>
          <w:i/>
        </w:rPr>
        <w:t>OTA REFSENS RoAoA</w:t>
      </w:r>
      <w:r w:rsidRPr="00E26D09">
        <w:t>.</w:t>
      </w:r>
    </w:p>
    <w:p w14:paraId="1EDDFB3A" w14:textId="242F94CF" w:rsidR="000E335B" w:rsidRPr="007E346D" w:rsidRDefault="000E335B" w:rsidP="000E335B">
      <w:r w:rsidRPr="007E346D">
        <w:t>EIS</w:t>
      </w:r>
      <w:r w:rsidRPr="007E346D">
        <w:rPr>
          <w:vertAlign w:val="subscript"/>
        </w:rPr>
        <w:t>REFSENS</w:t>
      </w:r>
      <w:r w:rsidRPr="007E346D">
        <w:t xml:space="preserve"> levels are derived from a single declared basis level EIS</w:t>
      </w:r>
      <w:r w:rsidRPr="007E346D">
        <w:rPr>
          <w:vertAlign w:val="subscript"/>
        </w:rPr>
        <w:t>REFSENS_50M,</w:t>
      </w:r>
      <w:r w:rsidRPr="007E346D">
        <w:t xml:space="preserve"> which is based on a </w:t>
      </w:r>
      <w:r w:rsidRPr="007E346D">
        <w:rPr>
          <w:rFonts w:cs="Arial"/>
        </w:rPr>
        <w:t>reference measurement channel</w:t>
      </w:r>
      <w:r w:rsidRPr="007E346D">
        <w:t xml:space="preserve"> with 50</w:t>
      </w:r>
      <w:r w:rsidRPr="002713A9">
        <w:t xml:space="preserve"> MHz </w:t>
      </w:r>
      <w:r>
        <w:rPr>
          <w:i/>
        </w:rPr>
        <w:t>IAB-MT</w:t>
      </w:r>
      <w:r w:rsidRPr="007E346D">
        <w:rPr>
          <w:i/>
        </w:rPr>
        <w:t xml:space="preserve"> channel bandwidth</w:t>
      </w:r>
      <w:r w:rsidRPr="007E346D">
        <w:t>. EIS</w:t>
      </w:r>
      <w:r w:rsidRPr="007E346D">
        <w:rPr>
          <w:vertAlign w:val="subscript"/>
        </w:rPr>
        <w:t>REFSENS_50M</w:t>
      </w:r>
      <w:r w:rsidRPr="007E346D">
        <w:t xml:space="preserve"> itself is not a requirement and although it is based on a </w:t>
      </w:r>
      <w:r w:rsidRPr="007E346D">
        <w:rPr>
          <w:rFonts w:cs="Arial"/>
        </w:rPr>
        <w:t>reference measurement channel</w:t>
      </w:r>
      <w:r w:rsidRPr="007E346D">
        <w:t xml:space="preserve"> with 50</w:t>
      </w:r>
      <w:r>
        <w:t xml:space="preserve"> </w:t>
      </w:r>
      <w:r w:rsidRPr="007E346D">
        <w:t xml:space="preserve">MHz </w:t>
      </w:r>
      <w:r>
        <w:rPr>
          <w:i/>
        </w:rPr>
        <w:t>IAB-MT</w:t>
      </w:r>
      <w:r w:rsidRPr="007A7019">
        <w:rPr>
          <w:i/>
        </w:rPr>
        <w:t xml:space="preserve"> channel bandwidth</w:t>
      </w:r>
      <w:r w:rsidRPr="007E346D">
        <w:t xml:space="preserve"> it does not imply that </w:t>
      </w:r>
      <w:r>
        <w:t>IAB-MT</w:t>
      </w:r>
      <w:r w:rsidRPr="007E346D">
        <w:t xml:space="preserve"> has to support 50</w:t>
      </w:r>
      <w:r>
        <w:t xml:space="preserve"> </w:t>
      </w:r>
      <w:r w:rsidRPr="007E346D">
        <w:t xml:space="preserve">MHz </w:t>
      </w:r>
      <w:r>
        <w:rPr>
          <w:i/>
        </w:rPr>
        <w:t>IAB-MT</w:t>
      </w:r>
      <w:r w:rsidRPr="007E346D">
        <w:rPr>
          <w:i/>
        </w:rPr>
        <w:t xml:space="preserve"> channel bandwidth</w:t>
      </w:r>
      <w:r w:rsidRPr="007E346D">
        <w:t>.</w:t>
      </w:r>
    </w:p>
    <w:p w14:paraId="6E00ABBB" w14:textId="0C123822" w:rsidR="004A62A7" w:rsidRPr="002713A9" w:rsidRDefault="004A62A7" w:rsidP="004A62A7">
      <w:r w:rsidRPr="002713A9">
        <w:t xml:space="preserve">For Wide Area </w:t>
      </w:r>
      <w:r>
        <w:t>IAB-MT</w:t>
      </w:r>
      <w:r w:rsidRPr="002713A9">
        <w:t>, EIS</w:t>
      </w:r>
      <w:r w:rsidRPr="002713A9">
        <w:rPr>
          <w:vertAlign w:val="subscript"/>
        </w:rPr>
        <w:t>REFSENS_50M</w:t>
      </w:r>
      <w:r w:rsidRPr="002713A9">
        <w:t xml:space="preserve"> is an integer value in the range -96 to -119 dBm. The specific value is declared by the vendor.</w:t>
      </w:r>
    </w:p>
    <w:p w14:paraId="7D5872DC" w14:textId="265681A2" w:rsidR="004A62A7" w:rsidRPr="002713A9" w:rsidRDefault="004A62A7" w:rsidP="004A62A7">
      <w:r w:rsidRPr="002713A9">
        <w:lastRenderedPageBreak/>
        <w:t xml:space="preserve">For Local Area </w:t>
      </w:r>
      <w:r>
        <w:t>IAB-MT</w:t>
      </w:r>
      <w:r w:rsidRPr="002713A9">
        <w:t>, EIS</w:t>
      </w:r>
      <w:r w:rsidRPr="002713A9">
        <w:rPr>
          <w:vertAlign w:val="subscript"/>
        </w:rPr>
        <w:t>REFSENS_50M</w:t>
      </w:r>
      <w:r w:rsidRPr="002713A9">
        <w:t xml:space="preserve"> is an integer value in the range -</w:t>
      </w:r>
      <w:r w:rsidRPr="002713A9">
        <w:rPr>
          <w:lang w:eastAsia="ja-JP"/>
        </w:rPr>
        <w:t>86</w:t>
      </w:r>
      <w:r w:rsidRPr="002713A9">
        <w:t xml:space="preserve"> to </w:t>
      </w:r>
      <w:r>
        <w:rPr>
          <w:lang w:eastAsia="ja-JP"/>
        </w:rPr>
        <w:t>-114</w:t>
      </w:r>
      <w:r w:rsidRPr="002713A9">
        <w:t xml:space="preserve"> dBm. The specific value is declared by the vendor.</w:t>
      </w:r>
    </w:p>
    <w:p w14:paraId="453B69FE" w14:textId="77777777" w:rsidR="004A62A7" w:rsidRPr="00E26D09" w:rsidRDefault="004A62A7" w:rsidP="004A62A7">
      <w:pPr>
        <w:pStyle w:val="TH"/>
      </w:pPr>
      <w:r w:rsidRPr="00E26D09">
        <w:t>Table 10.3.</w:t>
      </w:r>
      <w:r>
        <w:t>3.2</w:t>
      </w:r>
      <w:r w:rsidRPr="00E26D09">
        <w:t xml:space="preserve">-1: </w:t>
      </w:r>
      <w:r w:rsidRPr="002713A9">
        <w:t>FR2 OTA reference sensitivity requirement</w:t>
      </w:r>
    </w:p>
    <w:tbl>
      <w:tblPr>
        <w:tblW w:w="7087" w:type="dxa"/>
        <w:jc w:val="center"/>
        <w:tblLook w:val="04A0" w:firstRow="1" w:lastRow="0" w:firstColumn="1" w:lastColumn="0" w:noHBand="0" w:noVBand="1"/>
      </w:tblPr>
      <w:tblGrid>
        <w:gridCol w:w="1701"/>
        <w:gridCol w:w="1256"/>
        <w:gridCol w:w="1740"/>
        <w:gridCol w:w="2390"/>
      </w:tblGrid>
      <w:tr w:rsidR="004A62A7" w:rsidRPr="00E26D09" w14:paraId="247C6D97" w14:textId="77777777" w:rsidTr="00906BE7">
        <w:trPr>
          <w:trHeight w:val="724"/>
          <w:jc w:val="center"/>
        </w:trPr>
        <w:tc>
          <w:tcPr>
            <w:tcW w:w="1701" w:type="dxa"/>
            <w:tcBorders>
              <w:top w:val="single" w:sz="4" w:space="0" w:color="auto"/>
              <w:left w:val="single" w:sz="4" w:space="0" w:color="auto"/>
              <w:bottom w:val="single" w:sz="4" w:space="0" w:color="auto"/>
              <w:right w:val="single" w:sz="4" w:space="0" w:color="auto"/>
            </w:tcBorders>
          </w:tcPr>
          <w:p w14:paraId="252782C3" w14:textId="49C22C89" w:rsidR="00906BE7" w:rsidRPr="007A7019" w:rsidRDefault="00906BE7" w:rsidP="00906BE7">
            <w:pPr>
              <w:pStyle w:val="TAH"/>
              <w:rPr>
                <w:i/>
                <w:lang w:val="it-IT"/>
              </w:rPr>
            </w:pPr>
            <w:r w:rsidRPr="007A7019">
              <w:rPr>
                <w:i/>
                <w:lang w:val="it-IT"/>
              </w:rPr>
              <w:t xml:space="preserve"> </w:t>
            </w:r>
            <w:r>
              <w:rPr>
                <w:i/>
                <w:lang w:val="it-IT"/>
              </w:rPr>
              <w:t>IAB-MT</w:t>
            </w:r>
            <w:r w:rsidRPr="007A7019">
              <w:rPr>
                <w:i/>
                <w:lang w:val="it-IT"/>
              </w:rPr>
              <w:t xml:space="preserve"> channel Bandwidth</w:t>
            </w:r>
          </w:p>
          <w:p w14:paraId="19A7A685" w14:textId="77D03D17" w:rsidR="004A62A7" w:rsidRPr="00E26D09" w:rsidRDefault="00906BE7" w:rsidP="00906BE7">
            <w:pPr>
              <w:pStyle w:val="TAH"/>
            </w:pPr>
            <w:r w:rsidRPr="007E346D">
              <w:rPr>
                <w:lang w:val="it-IT"/>
              </w:rPr>
              <w:t>(MHz)</w:t>
            </w:r>
          </w:p>
        </w:tc>
        <w:tc>
          <w:tcPr>
            <w:tcW w:w="1256" w:type="dxa"/>
            <w:tcBorders>
              <w:top w:val="single" w:sz="4" w:space="0" w:color="auto"/>
              <w:left w:val="single" w:sz="4" w:space="0" w:color="auto"/>
              <w:bottom w:val="single" w:sz="4" w:space="0" w:color="auto"/>
              <w:right w:val="single" w:sz="4" w:space="0" w:color="auto"/>
            </w:tcBorders>
          </w:tcPr>
          <w:p w14:paraId="4FAC0B84" w14:textId="77777777" w:rsidR="004A62A7" w:rsidRPr="00E26D09" w:rsidRDefault="004A62A7" w:rsidP="00906BE7">
            <w:pPr>
              <w:pStyle w:val="TAH"/>
            </w:pPr>
            <w:r w:rsidRPr="007E346D">
              <w:rPr>
                <w:lang w:val="it-IT"/>
              </w:rPr>
              <w:t>Sub-carrier spacing (kHz)</w:t>
            </w:r>
          </w:p>
        </w:tc>
        <w:tc>
          <w:tcPr>
            <w:tcW w:w="1740" w:type="dxa"/>
            <w:tcBorders>
              <w:top w:val="single" w:sz="4" w:space="0" w:color="auto"/>
              <w:left w:val="single" w:sz="4" w:space="0" w:color="auto"/>
              <w:bottom w:val="single" w:sz="4" w:space="0" w:color="auto"/>
              <w:right w:val="single" w:sz="4" w:space="0" w:color="auto"/>
            </w:tcBorders>
            <w:shd w:val="clear" w:color="auto" w:fill="auto"/>
            <w:noWrap/>
            <w:hideMark/>
          </w:tcPr>
          <w:p w14:paraId="1642A092" w14:textId="77777777" w:rsidR="004A62A7" w:rsidRPr="00E26D09" w:rsidRDefault="004A62A7" w:rsidP="00906BE7">
            <w:pPr>
              <w:pStyle w:val="TAH"/>
            </w:pPr>
            <w:r w:rsidRPr="002713A9">
              <w:rPr>
                <w:rFonts w:cs="Arial"/>
              </w:rPr>
              <w:t>Reference measurement channel</w:t>
            </w:r>
          </w:p>
        </w:tc>
        <w:tc>
          <w:tcPr>
            <w:tcW w:w="2390" w:type="dxa"/>
            <w:tcBorders>
              <w:top w:val="single" w:sz="4" w:space="0" w:color="auto"/>
              <w:left w:val="single" w:sz="4" w:space="0" w:color="auto"/>
              <w:bottom w:val="single" w:sz="4" w:space="0" w:color="auto"/>
              <w:right w:val="single" w:sz="4" w:space="0" w:color="auto"/>
            </w:tcBorders>
          </w:tcPr>
          <w:p w14:paraId="1516BDCF" w14:textId="77777777" w:rsidR="004A62A7" w:rsidRPr="00E26D09" w:rsidRDefault="004A62A7" w:rsidP="00906BE7">
            <w:pPr>
              <w:pStyle w:val="TAH"/>
            </w:pPr>
            <w:r w:rsidRPr="002713A9">
              <w:rPr>
                <w:rFonts w:cs="Arial"/>
              </w:rPr>
              <w:t xml:space="preserve">OTA reference sensitivity level, </w:t>
            </w:r>
            <w:r w:rsidRPr="002713A9">
              <w:rPr>
                <w:lang w:eastAsia="zh-CN"/>
              </w:rPr>
              <w:t>EIS</w:t>
            </w:r>
            <w:r w:rsidRPr="002713A9">
              <w:rPr>
                <w:vertAlign w:val="subscript"/>
                <w:lang w:eastAsia="zh-CN"/>
              </w:rPr>
              <w:t>REFSENS</w:t>
            </w:r>
            <w:r w:rsidRPr="002713A9" w:rsidDel="003276BA">
              <w:t xml:space="preserve"> </w:t>
            </w:r>
            <w:r w:rsidRPr="002713A9">
              <w:t>(dBm)</w:t>
            </w:r>
          </w:p>
        </w:tc>
      </w:tr>
      <w:tr w:rsidR="00906BE7" w:rsidRPr="00E26D09" w14:paraId="4456FC4A" w14:textId="77777777" w:rsidTr="00906BE7">
        <w:trPr>
          <w:trHeight w:val="130"/>
          <w:jc w:val="center"/>
        </w:trPr>
        <w:tc>
          <w:tcPr>
            <w:tcW w:w="1701" w:type="dxa"/>
            <w:tcBorders>
              <w:top w:val="single" w:sz="4" w:space="0" w:color="auto"/>
              <w:left w:val="single" w:sz="4" w:space="0" w:color="auto"/>
              <w:bottom w:val="single" w:sz="4" w:space="0" w:color="auto"/>
              <w:right w:val="single" w:sz="4" w:space="0" w:color="auto"/>
            </w:tcBorders>
          </w:tcPr>
          <w:p w14:paraId="548506F5" w14:textId="38BD3643" w:rsidR="00906BE7" w:rsidRPr="00E26D09" w:rsidRDefault="00906BE7" w:rsidP="00815C5B">
            <w:pPr>
              <w:pStyle w:val="TAC"/>
            </w:pPr>
            <w:r>
              <w:t>50, 100, 200</w:t>
            </w:r>
          </w:p>
        </w:tc>
        <w:tc>
          <w:tcPr>
            <w:tcW w:w="1256" w:type="dxa"/>
            <w:tcBorders>
              <w:top w:val="single" w:sz="4" w:space="0" w:color="auto"/>
              <w:left w:val="single" w:sz="4" w:space="0" w:color="auto"/>
              <w:bottom w:val="single" w:sz="4" w:space="0" w:color="auto"/>
              <w:right w:val="single" w:sz="4" w:space="0" w:color="auto"/>
            </w:tcBorders>
          </w:tcPr>
          <w:p w14:paraId="0E68BB53" w14:textId="4DD77691" w:rsidR="00906BE7" w:rsidRPr="00E26D09" w:rsidRDefault="00906BE7" w:rsidP="00815C5B">
            <w:pPr>
              <w:pStyle w:val="TAC"/>
            </w:pPr>
            <w:r>
              <w:t>60</w:t>
            </w:r>
          </w:p>
        </w:tc>
        <w:tc>
          <w:tcPr>
            <w:tcW w:w="1740" w:type="dxa"/>
            <w:tcBorders>
              <w:top w:val="single" w:sz="4" w:space="0" w:color="auto"/>
              <w:left w:val="single" w:sz="4" w:space="0" w:color="auto"/>
              <w:bottom w:val="single" w:sz="4" w:space="0" w:color="auto"/>
              <w:right w:val="single" w:sz="4" w:space="0" w:color="auto"/>
            </w:tcBorders>
            <w:shd w:val="clear" w:color="auto" w:fill="auto"/>
            <w:noWrap/>
          </w:tcPr>
          <w:p w14:paraId="62E71C38" w14:textId="5DEC646D" w:rsidR="00906BE7" w:rsidRPr="00E26D09" w:rsidRDefault="00906BE7" w:rsidP="00815C5B">
            <w:pPr>
              <w:pStyle w:val="TAC"/>
            </w:pPr>
            <w:r>
              <w:t>G-FR2-A1-21</w:t>
            </w:r>
          </w:p>
        </w:tc>
        <w:tc>
          <w:tcPr>
            <w:tcW w:w="2390" w:type="dxa"/>
            <w:tcBorders>
              <w:top w:val="single" w:sz="4" w:space="0" w:color="auto"/>
              <w:left w:val="single" w:sz="4" w:space="0" w:color="auto"/>
              <w:bottom w:val="single" w:sz="4" w:space="0" w:color="auto"/>
              <w:right w:val="single" w:sz="4" w:space="0" w:color="auto"/>
            </w:tcBorders>
          </w:tcPr>
          <w:p w14:paraId="57326B9B" w14:textId="50D59BF0" w:rsidR="00906BE7" w:rsidRPr="00E26D09" w:rsidRDefault="00906BE7" w:rsidP="00815C5B">
            <w:pPr>
              <w:pStyle w:val="TAC"/>
            </w:pPr>
            <w:r>
              <w:t>EIS</w:t>
            </w:r>
            <w:r>
              <w:rPr>
                <w:vertAlign w:val="subscript"/>
              </w:rPr>
              <w:t xml:space="preserve">REFSENS_50M </w:t>
            </w:r>
            <w:r>
              <w:rPr>
                <w:rFonts w:cs="Arial"/>
              </w:rPr>
              <w:t xml:space="preserve">+ </w:t>
            </w:r>
            <w:r>
              <w:t>Δ</w:t>
            </w:r>
            <w:r>
              <w:rPr>
                <w:vertAlign w:val="subscript"/>
              </w:rPr>
              <w:t>FR2_REFSENS</w:t>
            </w:r>
          </w:p>
        </w:tc>
      </w:tr>
      <w:tr w:rsidR="00906BE7" w:rsidRPr="00E26D09" w14:paraId="66FAD9C5" w14:textId="77777777" w:rsidTr="00906BE7">
        <w:trPr>
          <w:trHeight w:val="186"/>
          <w:jc w:val="center"/>
        </w:trPr>
        <w:tc>
          <w:tcPr>
            <w:tcW w:w="1701" w:type="dxa"/>
            <w:tcBorders>
              <w:top w:val="single" w:sz="4" w:space="0" w:color="auto"/>
              <w:left w:val="single" w:sz="4" w:space="0" w:color="auto"/>
              <w:bottom w:val="single" w:sz="4" w:space="0" w:color="auto"/>
              <w:right w:val="single" w:sz="4" w:space="0" w:color="auto"/>
            </w:tcBorders>
          </w:tcPr>
          <w:p w14:paraId="58197AB3" w14:textId="2DCC2712" w:rsidR="00906BE7" w:rsidRPr="00E26D09" w:rsidRDefault="00906BE7" w:rsidP="00815C5B">
            <w:pPr>
              <w:pStyle w:val="TAC"/>
            </w:pPr>
            <w:r>
              <w:t>50</w:t>
            </w:r>
          </w:p>
        </w:tc>
        <w:tc>
          <w:tcPr>
            <w:tcW w:w="1256" w:type="dxa"/>
            <w:tcBorders>
              <w:top w:val="single" w:sz="4" w:space="0" w:color="auto"/>
              <w:left w:val="single" w:sz="4" w:space="0" w:color="auto"/>
              <w:bottom w:val="single" w:sz="4" w:space="0" w:color="auto"/>
              <w:right w:val="single" w:sz="4" w:space="0" w:color="auto"/>
            </w:tcBorders>
          </w:tcPr>
          <w:p w14:paraId="6484FA5E" w14:textId="0C03B210" w:rsidR="00906BE7" w:rsidRPr="00E26D09" w:rsidRDefault="00906BE7" w:rsidP="00815C5B">
            <w:pPr>
              <w:pStyle w:val="TAC"/>
            </w:pPr>
            <w:r>
              <w:t>120</w:t>
            </w:r>
          </w:p>
        </w:tc>
        <w:tc>
          <w:tcPr>
            <w:tcW w:w="1740" w:type="dxa"/>
            <w:tcBorders>
              <w:top w:val="single" w:sz="4" w:space="0" w:color="auto"/>
              <w:left w:val="single" w:sz="4" w:space="0" w:color="auto"/>
              <w:bottom w:val="single" w:sz="4" w:space="0" w:color="auto"/>
              <w:right w:val="single" w:sz="4" w:space="0" w:color="auto"/>
            </w:tcBorders>
            <w:shd w:val="clear" w:color="auto" w:fill="auto"/>
            <w:noWrap/>
          </w:tcPr>
          <w:p w14:paraId="5C85E414" w14:textId="04D2BF19" w:rsidR="00906BE7" w:rsidRPr="00E26D09" w:rsidRDefault="00906BE7" w:rsidP="00815C5B">
            <w:pPr>
              <w:pStyle w:val="TAC"/>
            </w:pPr>
            <w:r>
              <w:t>G-FR2-A1-22</w:t>
            </w:r>
          </w:p>
        </w:tc>
        <w:tc>
          <w:tcPr>
            <w:tcW w:w="2390" w:type="dxa"/>
            <w:tcBorders>
              <w:top w:val="single" w:sz="4" w:space="0" w:color="auto"/>
              <w:left w:val="single" w:sz="4" w:space="0" w:color="auto"/>
              <w:bottom w:val="single" w:sz="4" w:space="0" w:color="auto"/>
              <w:right w:val="single" w:sz="4" w:space="0" w:color="auto"/>
            </w:tcBorders>
          </w:tcPr>
          <w:p w14:paraId="178BBDBE" w14:textId="23F9C6CD" w:rsidR="00906BE7" w:rsidRPr="00E26D09" w:rsidRDefault="00906BE7" w:rsidP="00815C5B">
            <w:pPr>
              <w:pStyle w:val="TAC"/>
            </w:pPr>
            <w:r>
              <w:t>EIS</w:t>
            </w:r>
            <w:r>
              <w:rPr>
                <w:vertAlign w:val="subscript"/>
              </w:rPr>
              <w:t xml:space="preserve">REFSENS_50M </w:t>
            </w:r>
            <w:r>
              <w:rPr>
                <w:rFonts w:cs="Arial"/>
              </w:rPr>
              <w:t xml:space="preserve">+ </w:t>
            </w:r>
            <w:r>
              <w:t>Δ</w:t>
            </w:r>
            <w:r>
              <w:rPr>
                <w:vertAlign w:val="subscript"/>
              </w:rPr>
              <w:t>FR2_REFSENS</w:t>
            </w:r>
          </w:p>
        </w:tc>
      </w:tr>
      <w:tr w:rsidR="00906BE7" w:rsidRPr="00E26D09" w14:paraId="2422822C" w14:textId="77777777" w:rsidTr="00906BE7">
        <w:trPr>
          <w:trHeight w:val="70"/>
          <w:jc w:val="center"/>
        </w:trPr>
        <w:tc>
          <w:tcPr>
            <w:tcW w:w="1701" w:type="dxa"/>
            <w:tcBorders>
              <w:top w:val="single" w:sz="4" w:space="0" w:color="auto"/>
              <w:left w:val="single" w:sz="4" w:space="0" w:color="auto"/>
              <w:bottom w:val="single" w:sz="4" w:space="0" w:color="auto"/>
              <w:right w:val="single" w:sz="4" w:space="0" w:color="auto"/>
            </w:tcBorders>
          </w:tcPr>
          <w:p w14:paraId="408139CD" w14:textId="404C5A19" w:rsidR="00906BE7" w:rsidRPr="00E26D09" w:rsidRDefault="00906BE7" w:rsidP="00815C5B">
            <w:pPr>
              <w:pStyle w:val="TAC"/>
            </w:pPr>
            <w:r>
              <w:t>100, 200, 400</w:t>
            </w:r>
          </w:p>
        </w:tc>
        <w:tc>
          <w:tcPr>
            <w:tcW w:w="1256" w:type="dxa"/>
            <w:tcBorders>
              <w:top w:val="single" w:sz="4" w:space="0" w:color="auto"/>
              <w:left w:val="single" w:sz="4" w:space="0" w:color="auto"/>
              <w:bottom w:val="single" w:sz="4" w:space="0" w:color="auto"/>
              <w:right w:val="single" w:sz="4" w:space="0" w:color="auto"/>
            </w:tcBorders>
          </w:tcPr>
          <w:p w14:paraId="38934224" w14:textId="4C2950B1" w:rsidR="00906BE7" w:rsidRPr="00E26D09" w:rsidRDefault="00906BE7" w:rsidP="00815C5B">
            <w:pPr>
              <w:pStyle w:val="TAC"/>
            </w:pPr>
            <w:r>
              <w:t>120</w:t>
            </w:r>
          </w:p>
        </w:tc>
        <w:tc>
          <w:tcPr>
            <w:tcW w:w="1740" w:type="dxa"/>
            <w:tcBorders>
              <w:top w:val="single" w:sz="4" w:space="0" w:color="auto"/>
              <w:left w:val="single" w:sz="4" w:space="0" w:color="auto"/>
              <w:bottom w:val="single" w:sz="4" w:space="0" w:color="auto"/>
              <w:right w:val="single" w:sz="4" w:space="0" w:color="auto"/>
            </w:tcBorders>
            <w:shd w:val="clear" w:color="auto" w:fill="auto"/>
            <w:noWrap/>
          </w:tcPr>
          <w:p w14:paraId="045D42A9" w14:textId="68096772" w:rsidR="00906BE7" w:rsidRPr="00E26D09" w:rsidRDefault="00906BE7" w:rsidP="00815C5B">
            <w:pPr>
              <w:pStyle w:val="TAC"/>
            </w:pPr>
            <w:r>
              <w:t>G-FR2-A1-23</w:t>
            </w:r>
          </w:p>
        </w:tc>
        <w:tc>
          <w:tcPr>
            <w:tcW w:w="2390" w:type="dxa"/>
            <w:tcBorders>
              <w:top w:val="single" w:sz="4" w:space="0" w:color="auto"/>
              <w:left w:val="single" w:sz="4" w:space="0" w:color="auto"/>
              <w:bottom w:val="single" w:sz="4" w:space="0" w:color="auto"/>
              <w:right w:val="single" w:sz="4" w:space="0" w:color="auto"/>
            </w:tcBorders>
          </w:tcPr>
          <w:p w14:paraId="08D3103C" w14:textId="4BD275C0" w:rsidR="00906BE7" w:rsidRPr="00E26D09" w:rsidRDefault="00906BE7" w:rsidP="00815C5B">
            <w:pPr>
              <w:pStyle w:val="TAC"/>
            </w:pPr>
            <w:r>
              <w:t>EIS</w:t>
            </w:r>
            <w:r>
              <w:rPr>
                <w:vertAlign w:val="subscript"/>
              </w:rPr>
              <w:t xml:space="preserve">REFSENS_50M </w:t>
            </w:r>
            <w:r>
              <w:t>+ 3</w:t>
            </w:r>
            <w:r>
              <w:rPr>
                <w:vertAlign w:val="subscript"/>
              </w:rPr>
              <w:t xml:space="preserve"> </w:t>
            </w:r>
            <w:r>
              <w:rPr>
                <w:rFonts w:cs="Arial"/>
              </w:rPr>
              <w:t xml:space="preserve">+ </w:t>
            </w:r>
            <w:r>
              <w:t>Δ</w:t>
            </w:r>
            <w:r>
              <w:rPr>
                <w:vertAlign w:val="subscript"/>
              </w:rPr>
              <w:t>FR2_REFSENS</w:t>
            </w:r>
          </w:p>
        </w:tc>
      </w:tr>
      <w:tr w:rsidR="004A62A7" w:rsidRPr="00E26D09" w14:paraId="7C1E3466" w14:textId="77777777" w:rsidTr="00A4061E">
        <w:trPr>
          <w:trHeight w:val="70"/>
          <w:jc w:val="center"/>
        </w:trPr>
        <w:tc>
          <w:tcPr>
            <w:tcW w:w="7087" w:type="dxa"/>
            <w:gridSpan w:val="4"/>
            <w:tcBorders>
              <w:top w:val="single" w:sz="4" w:space="0" w:color="auto"/>
              <w:left w:val="single" w:sz="4" w:space="0" w:color="auto"/>
              <w:bottom w:val="single" w:sz="4" w:space="0" w:color="auto"/>
              <w:right w:val="single" w:sz="4" w:space="0" w:color="auto"/>
            </w:tcBorders>
          </w:tcPr>
          <w:p w14:paraId="3A2A2670" w14:textId="03FF6B50" w:rsidR="00906BE7" w:rsidRPr="00E26D09" w:rsidRDefault="00906BE7" w:rsidP="00906BE7">
            <w:pPr>
              <w:pStyle w:val="TAN"/>
              <w:rPr>
                <w:rFonts w:eastAsia="SimSun"/>
                <w:lang w:eastAsia="zh-CN"/>
              </w:rPr>
            </w:pPr>
            <w:r w:rsidRPr="00E26D09">
              <w:rPr>
                <w:rFonts w:cs="Arial"/>
              </w:rPr>
              <w:t>NOTE 1:</w:t>
            </w:r>
            <w:r w:rsidRPr="00E26D09">
              <w:rPr>
                <w:rFonts w:cs="Arial"/>
              </w:rPr>
              <w:tab/>
              <w:t>EIS</w:t>
            </w:r>
            <w:r w:rsidRPr="00E26D09">
              <w:rPr>
                <w:rFonts w:cs="Arial"/>
                <w:vertAlign w:val="subscript"/>
              </w:rPr>
              <w:t>REFSENS</w:t>
            </w:r>
            <w:r w:rsidRPr="00E26D09">
              <w:rPr>
                <w:rFonts w:cs="Arial"/>
              </w:rPr>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 except for one instance that might overlap one other instance to cover the full </w:t>
            </w:r>
            <w:r>
              <w:rPr>
                <w:rFonts w:cs="Arial"/>
                <w:i/>
              </w:rPr>
              <w:t>IAB-MT</w:t>
            </w:r>
            <w:r w:rsidRPr="00E26D09">
              <w:rPr>
                <w:rFonts w:cs="Arial"/>
                <w:i/>
              </w:rPr>
              <w:t xml:space="preserve"> channel bandwidth</w:t>
            </w:r>
            <w:r w:rsidRPr="00E26D09">
              <w:rPr>
                <w:rFonts w:cs="Arial"/>
              </w:rPr>
              <w:t>.</w:t>
            </w:r>
          </w:p>
          <w:p w14:paraId="2AE3B186" w14:textId="77777777" w:rsidR="004A62A7" w:rsidRPr="00E26D09" w:rsidRDefault="004A62A7" w:rsidP="00A4061E">
            <w:pPr>
              <w:pStyle w:val="TAN"/>
            </w:pPr>
            <w:r w:rsidRPr="00E26D09">
              <w:rPr>
                <w:rFonts w:eastAsia="SimSun"/>
                <w:lang w:eastAsia="zh-CN"/>
              </w:rPr>
              <w:t>NOTE 2:</w:t>
            </w:r>
            <w:r w:rsidRPr="00E26D09">
              <w:rPr>
                <w:rFonts w:cs="Arial"/>
              </w:rPr>
              <w:tab/>
            </w:r>
            <w:r w:rsidRPr="00E26D09">
              <w:rPr>
                <w:rFonts w:eastAsia="SimSun"/>
                <w:lang w:eastAsia="zh-CN"/>
              </w:rPr>
              <w:t xml:space="preserve">The declared </w:t>
            </w:r>
            <w:r w:rsidRPr="00E26D09">
              <w:rPr>
                <w:rFonts w:eastAsia="SimSun"/>
              </w:rPr>
              <w:t>EIS</w:t>
            </w:r>
            <w:r w:rsidRPr="00E26D09">
              <w:rPr>
                <w:rFonts w:eastAsia="SimSun"/>
                <w:vertAlign w:val="subscript"/>
              </w:rPr>
              <w:t>REFSENS_50M</w:t>
            </w:r>
            <w:r w:rsidRPr="00E26D09">
              <w:rPr>
                <w:rFonts w:eastAsia="SimSun"/>
              </w:rPr>
              <w:t xml:space="preserve"> shall be within the range specified above.</w:t>
            </w:r>
          </w:p>
        </w:tc>
      </w:tr>
    </w:tbl>
    <w:p w14:paraId="04D153A8" w14:textId="77777777" w:rsidR="008E4421" w:rsidRPr="008E4421" w:rsidRDefault="008E4421" w:rsidP="00AD2A23"/>
    <w:p w14:paraId="7FCBB5AA" w14:textId="77777777" w:rsidR="00077B6E" w:rsidRDefault="00077B6E" w:rsidP="00077B6E">
      <w:pPr>
        <w:pStyle w:val="Heading2"/>
        <w:rPr>
          <w:rFonts w:eastAsiaTheme="minorEastAsia"/>
          <w:lang w:eastAsia="zh-CN"/>
        </w:rPr>
      </w:pPr>
      <w:bookmarkStart w:id="6473" w:name="_Toc53185545"/>
      <w:bookmarkStart w:id="6474" w:name="_Toc53185921"/>
      <w:bookmarkStart w:id="6475" w:name="_Toc57820407"/>
      <w:bookmarkStart w:id="6476" w:name="_Toc57821334"/>
      <w:bookmarkStart w:id="6477" w:name="_Toc61183610"/>
      <w:bookmarkStart w:id="6478" w:name="_Toc61184004"/>
      <w:bookmarkStart w:id="6479" w:name="_Toc61184396"/>
      <w:bookmarkStart w:id="6480" w:name="_Toc61184788"/>
      <w:bookmarkStart w:id="6481" w:name="_Toc61185178"/>
      <w:bookmarkStart w:id="6482" w:name="_Toc66386522"/>
      <w:bookmarkStart w:id="6483" w:name="_Toc74583425"/>
      <w:bookmarkStart w:id="6484" w:name="_Toc76542238"/>
      <w:bookmarkStart w:id="6485" w:name="_Toc82450220"/>
      <w:bookmarkStart w:id="6486" w:name="_Toc82450868"/>
      <w:bookmarkStart w:id="6487" w:name="_Toc89949257"/>
      <w:bookmarkStart w:id="6488" w:name="_Toc98755646"/>
      <w:bookmarkStart w:id="6489" w:name="_Toc98763238"/>
      <w:bookmarkStart w:id="6490" w:name="_Toc106184167"/>
      <w:r w:rsidRPr="007E346D">
        <w:t>10.4</w:t>
      </w:r>
      <w:r w:rsidRPr="007E346D">
        <w:tab/>
        <w:t>OTA Dynamic range</w:t>
      </w:r>
      <w:bookmarkEnd w:id="6359"/>
      <w:bookmarkEnd w:id="6360"/>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p>
    <w:p w14:paraId="726F1B3C" w14:textId="77777777" w:rsidR="00CD1521" w:rsidRPr="005913F7" w:rsidRDefault="00CD1521" w:rsidP="005913F7">
      <w:pPr>
        <w:rPr>
          <w:rFonts w:eastAsiaTheme="minorEastAsia"/>
          <w:lang w:eastAsia="zh-CN"/>
        </w:rPr>
      </w:pPr>
    </w:p>
    <w:p w14:paraId="5546FB2E" w14:textId="3367C04B" w:rsidR="008E4421" w:rsidRDefault="008E4421" w:rsidP="00255E64">
      <w:pPr>
        <w:pStyle w:val="Heading3"/>
      </w:pPr>
      <w:bookmarkStart w:id="6491" w:name="_Toc53185546"/>
      <w:bookmarkStart w:id="6492" w:name="_Toc53185922"/>
      <w:bookmarkStart w:id="6493" w:name="_Toc57820408"/>
      <w:bookmarkStart w:id="6494" w:name="_Toc57821335"/>
      <w:bookmarkStart w:id="6495" w:name="_Toc61183611"/>
      <w:bookmarkStart w:id="6496" w:name="_Toc61184005"/>
      <w:bookmarkStart w:id="6497" w:name="_Toc61184397"/>
      <w:bookmarkStart w:id="6498" w:name="_Toc61184789"/>
      <w:bookmarkStart w:id="6499" w:name="_Toc61185179"/>
      <w:bookmarkStart w:id="6500" w:name="_Toc66386523"/>
      <w:bookmarkStart w:id="6501" w:name="_Toc74583426"/>
      <w:bookmarkStart w:id="6502" w:name="_Toc76542239"/>
      <w:bookmarkStart w:id="6503" w:name="_Toc82450221"/>
      <w:bookmarkStart w:id="6504" w:name="_Toc82450869"/>
      <w:bookmarkStart w:id="6505" w:name="_Toc89949258"/>
      <w:bookmarkStart w:id="6506" w:name="_Toc98755647"/>
      <w:bookmarkStart w:id="6507" w:name="_Toc98763239"/>
      <w:bookmarkStart w:id="6508" w:name="_Toc106184168"/>
      <w:bookmarkStart w:id="6509" w:name="_Toc13080421"/>
      <w:bookmarkStart w:id="6510" w:name="_Toc18916195"/>
      <w:r>
        <w:t>10.4.1</w:t>
      </w:r>
      <w:r w:rsidR="00255E64">
        <w:tab/>
      </w:r>
      <w:r>
        <w:t>IAB-DU OTA dynamic range</w:t>
      </w:r>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p>
    <w:p w14:paraId="2683252A" w14:textId="77777777" w:rsidR="009E75D5" w:rsidRPr="00E26D09" w:rsidRDefault="009E75D5" w:rsidP="00255E64">
      <w:pPr>
        <w:pStyle w:val="Heading4"/>
      </w:pPr>
      <w:bookmarkStart w:id="6511" w:name="_Toc21127710"/>
      <w:bookmarkStart w:id="6512" w:name="_Toc29811919"/>
      <w:bookmarkStart w:id="6513" w:name="_Toc53185547"/>
      <w:bookmarkStart w:id="6514" w:name="_Toc53185923"/>
      <w:bookmarkStart w:id="6515" w:name="_Toc57820409"/>
      <w:bookmarkStart w:id="6516" w:name="_Toc57821336"/>
      <w:bookmarkStart w:id="6517" w:name="_Toc61183612"/>
      <w:bookmarkStart w:id="6518" w:name="_Toc61184006"/>
      <w:bookmarkStart w:id="6519" w:name="_Toc61184398"/>
      <w:bookmarkStart w:id="6520" w:name="_Toc61184790"/>
      <w:bookmarkStart w:id="6521" w:name="_Toc61185180"/>
      <w:bookmarkStart w:id="6522" w:name="_Toc66386524"/>
      <w:bookmarkStart w:id="6523" w:name="_Toc74583427"/>
      <w:bookmarkStart w:id="6524" w:name="_Toc76542240"/>
      <w:bookmarkStart w:id="6525" w:name="_Toc82450222"/>
      <w:bookmarkStart w:id="6526" w:name="_Toc82450870"/>
      <w:bookmarkStart w:id="6527" w:name="_Toc89949259"/>
      <w:bookmarkStart w:id="6528" w:name="_Toc98755648"/>
      <w:bookmarkStart w:id="6529" w:name="_Toc98763240"/>
      <w:bookmarkStart w:id="6530" w:name="_Toc106184169"/>
      <w:r w:rsidRPr="00E26D09">
        <w:t>10.4.1</w:t>
      </w:r>
      <w:r>
        <w:t>.1</w:t>
      </w:r>
      <w:r w:rsidRPr="00E26D09">
        <w:tab/>
        <w:t>General</w:t>
      </w:r>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p>
    <w:p w14:paraId="10357475" w14:textId="77777777" w:rsidR="009E75D5" w:rsidRPr="00E26D09" w:rsidRDefault="009E75D5" w:rsidP="009E75D5">
      <w:r w:rsidRPr="00E26D09">
        <w:t xml:space="preserve">The OTA dynamic range is a measure of the capability of the receiver unit to receive a wanted signal in the presence of an interfering signal inside the received </w:t>
      </w:r>
      <w:r>
        <w:rPr>
          <w:i/>
        </w:rPr>
        <w:t>[IAB-DU]</w:t>
      </w:r>
      <w:r w:rsidRPr="00E26D09">
        <w:rPr>
          <w:i/>
        </w:rPr>
        <w:t xml:space="preserve"> channel bandwidth</w:t>
      </w:r>
      <w:r w:rsidRPr="00E26D09">
        <w:t>.</w:t>
      </w:r>
    </w:p>
    <w:p w14:paraId="6DC17452" w14:textId="77777777" w:rsidR="009E75D5" w:rsidRPr="00E26D09" w:rsidRDefault="009E75D5" w:rsidP="009E75D5">
      <w:pPr>
        <w:rPr>
          <w:i/>
        </w:rPr>
      </w:pPr>
      <w:r w:rsidRPr="00E26D09">
        <w:t xml:space="preserve">The requirement shall apply at the RIB when the AoA of the incident wave of a received signal and the interfering signal are from the same direction and are within the </w:t>
      </w:r>
      <w:r w:rsidRPr="00E26D09">
        <w:rPr>
          <w:i/>
        </w:rPr>
        <w:t>OTA REFSENS RoAoA.</w:t>
      </w:r>
    </w:p>
    <w:p w14:paraId="31985EBF" w14:textId="77777777" w:rsidR="009E75D5" w:rsidRPr="00E26D09" w:rsidRDefault="009E75D5" w:rsidP="009E75D5">
      <w:r w:rsidRPr="00E26D09">
        <w:t xml:space="preserve">The wanted and interfering signals apply to each supported polarization, under the assumption of </w:t>
      </w:r>
      <w:r w:rsidRPr="00E26D09">
        <w:rPr>
          <w:i/>
        </w:rPr>
        <w:t>polarization match</w:t>
      </w:r>
      <w:r w:rsidRPr="00E26D09">
        <w:t>.</w:t>
      </w:r>
    </w:p>
    <w:p w14:paraId="3D77854D" w14:textId="77777777" w:rsidR="009E75D5" w:rsidRPr="00E26D09" w:rsidRDefault="009E75D5" w:rsidP="00255E64">
      <w:pPr>
        <w:pStyle w:val="Heading4"/>
      </w:pPr>
      <w:bookmarkStart w:id="6531" w:name="_Toc21127711"/>
      <w:bookmarkStart w:id="6532" w:name="_Toc29811920"/>
      <w:bookmarkStart w:id="6533" w:name="_Toc53185548"/>
      <w:bookmarkStart w:id="6534" w:name="_Toc53185924"/>
      <w:bookmarkStart w:id="6535" w:name="_Toc57820410"/>
      <w:bookmarkStart w:id="6536" w:name="_Toc57821337"/>
      <w:bookmarkStart w:id="6537" w:name="_Toc61183613"/>
      <w:bookmarkStart w:id="6538" w:name="_Toc61184007"/>
      <w:bookmarkStart w:id="6539" w:name="_Toc61184399"/>
      <w:bookmarkStart w:id="6540" w:name="_Toc61184791"/>
      <w:bookmarkStart w:id="6541" w:name="_Toc61185181"/>
      <w:bookmarkStart w:id="6542" w:name="_Toc66386525"/>
      <w:bookmarkStart w:id="6543" w:name="_Toc74583428"/>
      <w:bookmarkStart w:id="6544" w:name="_Toc76542241"/>
      <w:bookmarkStart w:id="6545" w:name="_Toc82450223"/>
      <w:bookmarkStart w:id="6546" w:name="_Toc82450871"/>
      <w:bookmarkStart w:id="6547" w:name="_Toc89949260"/>
      <w:bookmarkStart w:id="6548" w:name="_Toc98755649"/>
      <w:bookmarkStart w:id="6549" w:name="_Toc98763241"/>
      <w:bookmarkStart w:id="6550" w:name="_Toc106184170"/>
      <w:r w:rsidRPr="00E26D09">
        <w:t>10.4.</w:t>
      </w:r>
      <w:r>
        <w:t>1.</w:t>
      </w:r>
      <w:r w:rsidRPr="00E26D09">
        <w:t>2</w:t>
      </w:r>
      <w:r w:rsidRPr="00E26D09">
        <w:tab/>
        <w:t xml:space="preserve">Minimum requirement for </w:t>
      </w:r>
      <w:r>
        <w:rPr>
          <w:i/>
        </w:rPr>
        <w:t>IAB-DU</w:t>
      </w:r>
      <w:r w:rsidRPr="00E26D09">
        <w:rPr>
          <w:i/>
        </w:rPr>
        <w:t xml:space="preserve"> type 1-O</w:t>
      </w:r>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p>
    <w:p w14:paraId="2D41B27E" w14:textId="6A361B3F" w:rsidR="009E75D5" w:rsidRDefault="009E75D5" w:rsidP="009E75D5">
      <w:r w:rsidRPr="00E26D09">
        <w:t>T</w:t>
      </w:r>
      <w:r>
        <w:t>he wide area IAB-DU dynamic range</w:t>
      </w:r>
      <w:r w:rsidRPr="00E26D09">
        <w:t xml:space="preserve"> is specified the same as the </w:t>
      </w:r>
      <w:r>
        <w:t>wide area BS dynamic</w:t>
      </w:r>
      <w:r w:rsidRPr="00E26D09">
        <w:t xml:space="preserve"> requirement for </w:t>
      </w:r>
      <w:r>
        <w:t>BS</w:t>
      </w:r>
      <w:r w:rsidRPr="00E26D09">
        <w:rPr>
          <w:i/>
        </w:rPr>
        <w:t xml:space="preserve"> type 1-</w:t>
      </w:r>
      <w:r>
        <w:rPr>
          <w:i/>
        </w:rPr>
        <w:t xml:space="preserve">O </w:t>
      </w:r>
      <w:r>
        <w:t>in TS 38.104[</w:t>
      </w:r>
      <w:r w:rsidR="00A4061E">
        <w:t>2</w:t>
      </w:r>
      <w:r>
        <w:t xml:space="preserve">], subclause 10.4.2, where references to </w:t>
      </w:r>
      <w:r w:rsidRPr="00A922D4">
        <w:rPr>
          <w:i/>
        </w:rPr>
        <w:t>BS channel bandwidth</w:t>
      </w:r>
      <w:r>
        <w:t xml:space="preserve"> apply to </w:t>
      </w:r>
      <w:r w:rsidRPr="00A922D4">
        <w:rPr>
          <w:i/>
        </w:rPr>
        <w:t>IAB-DU channel bandwidth</w:t>
      </w:r>
      <w:r>
        <w:t>.</w:t>
      </w:r>
    </w:p>
    <w:p w14:paraId="4C69453E" w14:textId="38C0257E" w:rsidR="009E75D5" w:rsidRDefault="009E75D5" w:rsidP="009E75D5">
      <w:r w:rsidRPr="00E26D09">
        <w:t>T</w:t>
      </w:r>
      <w:r>
        <w:t>he medium range IAB-DU dynamic range</w:t>
      </w:r>
      <w:r w:rsidRPr="00E26D09">
        <w:t xml:space="preserve"> is specified the same as the </w:t>
      </w:r>
      <w:r>
        <w:t xml:space="preserve">medium range BS dynamic range </w:t>
      </w:r>
      <w:r w:rsidRPr="00E26D09">
        <w:t xml:space="preserve">requirement for </w:t>
      </w:r>
      <w:r>
        <w:t>BS</w:t>
      </w:r>
      <w:r w:rsidRPr="00E26D09">
        <w:rPr>
          <w:i/>
        </w:rPr>
        <w:t xml:space="preserve"> type 1-</w:t>
      </w:r>
      <w:r>
        <w:rPr>
          <w:i/>
        </w:rPr>
        <w:t>O</w:t>
      </w:r>
      <w:r w:rsidRPr="00E26D09">
        <w:t xml:space="preserve"> </w:t>
      </w:r>
      <w:r>
        <w:t>in TS 38.104[</w:t>
      </w:r>
      <w:r w:rsidR="00A4061E">
        <w:t>2</w:t>
      </w:r>
      <w:r>
        <w:t xml:space="preserve">], subclause 10.4.2, where references to </w:t>
      </w:r>
      <w:r w:rsidRPr="00A922D4">
        <w:rPr>
          <w:i/>
        </w:rPr>
        <w:t>BS channel bandwidth</w:t>
      </w:r>
      <w:r>
        <w:t xml:space="preserve"> apply to </w:t>
      </w:r>
      <w:r w:rsidRPr="00A922D4">
        <w:rPr>
          <w:i/>
        </w:rPr>
        <w:t>IAB-DU channel bandwidth</w:t>
      </w:r>
      <w:r>
        <w:t>.</w:t>
      </w:r>
    </w:p>
    <w:p w14:paraId="4A6C031A" w14:textId="1BA67DBA" w:rsidR="008E4421" w:rsidRPr="008E4421" w:rsidRDefault="009E75D5" w:rsidP="00AD2A23">
      <w:r w:rsidRPr="00E26D09">
        <w:t>T</w:t>
      </w:r>
      <w:r>
        <w:t>he local area IAB-DU dynamic range</w:t>
      </w:r>
      <w:r w:rsidRPr="00E26D09">
        <w:t xml:space="preserve"> is specified the same as the </w:t>
      </w:r>
      <w:r>
        <w:t>local area BS dynamic range</w:t>
      </w:r>
      <w:r w:rsidRPr="00E26D09">
        <w:t xml:space="preserve"> requirement for </w:t>
      </w:r>
      <w:r>
        <w:t>BS</w:t>
      </w:r>
      <w:r w:rsidRPr="00E26D09">
        <w:rPr>
          <w:i/>
        </w:rPr>
        <w:t xml:space="preserve"> type 1-</w:t>
      </w:r>
      <w:r>
        <w:rPr>
          <w:i/>
        </w:rPr>
        <w:t>O</w:t>
      </w:r>
      <w:r w:rsidRPr="00E26D09">
        <w:t xml:space="preserve"> </w:t>
      </w:r>
      <w:r>
        <w:t>in TS 38.104[</w:t>
      </w:r>
      <w:r w:rsidR="00A4061E">
        <w:t>2</w:t>
      </w:r>
      <w:r>
        <w:t xml:space="preserve">], subclause 10.4.2, where references to </w:t>
      </w:r>
      <w:r w:rsidRPr="00A922D4">
        <w:rPr>
          <w:i/>
        </w:rPr>
        <w:t>BS channel bandwidth</w:t>
      </w:r>
      <w:r>
        <w:t xml:space="preserve"> apply to </w:t>
      </w:r>
      <w:r w:rsidRPr="00A922D4">
        <w:rPr>
          <w:i/>
        </w:rPr>
        <w:t>IAB-DU channel bandwidth</w:t>
      </w:r>
      <w:r>
        <w:t>.</w:t>
      </w:r>
    </w:p>
    <w:p w14:paraId="2B74C7FB" w14:textId="77777777" w:rsidR="00077B6E" w:rsidRDefault="00077B6E" w:rsidP="00077B6E">
      <w:pPr>
        <w:pStyle w:val="Heading2"/>
        <w:rPr>
          <w:rFonts w:eastAsiaTheme="minorEastAsia"/>
          <w:lang w:eastAsia="zh-CN"/>
        </w:rPr>
      </w:pPr>
      <w:bookmarkStart w:id="6551" w:name="_Toc53185549"/>
      <w:bookmarkStart w:id="6552" w:name="_Toc53185925"/>
      <w:bookmarkStart w:id="6553" w:name="_Toc57820411"/>
      <w:bookmarkStart w:id="6554" w:name="_Toc57821338"/>
      <w:bookmarkStart w:id="6555" w:name="_Toc61183614"/>
      <w:bookmarkStart w:id="6556" w:name="_Toc61184008"/>
      <w:bookmarkStart w:id="6557" w:name="_Toc61184400"/>
      <w:bookmarkStart w:id="6558" w:name="_Toc61184792"/>
      <w:bookmarkStart w:id="6559" w:name="_Toc61185182"/>
      <w:bookmarkStart w:id="6560" w:name="_Toc66386526"/>
      <w:bookmarkStart w:id="6561" w:name="_Toc74583429"/>
      <w:bookmarkStart w:id="6562" w:name="_Toc76542242"/>
      <w:bookmarkStart w:id="6563" w:name="_Toc82450224"/>
      <w:bookmarkStart w:id="6564" w:name="_Toc82450872"/>
      <w:bookmarkStart w:id="6565" w:name="_Toc89949261"/>
      <w:bookmarkStart w:id="6566" w:name="_Toc98755650"/>
      <w:bookmarkStart w:id="6567" w:name="_Toc98763242"/>
      <w:bookmarkStart w:id="6568" w:name="_Toc106184171"/>
      <w:r w:rsidRPr="007E346D">
        <w:t>10.5</w:t>
      </w:r>
      <w:r w:rsidRPr="007E346D">
        <w:tab/>
        <w:t>OTA in-band selectivity and blocking</w:t>
      </w:r>
      <w:bookmarkEnd w:id="6509"/>
      <w:bookmarkEnd w:id="651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p>
    <w:p w14:paraId="09B26676" w14:textId="77777777" w:rsidR="001316CD" w:rsidRPr="007E346D" w:rsidRDefault="001316CD" w:rsidP="001316CD">
      <w:pPr>
        <w:pStyle w:val="Heading3"/>
      </w:pPr>
      <w:bookmarkStart w:id="6569" w:name="_Toc13080422"/>
      <w:bookmarkStart w:id="6570" w:name="_Toc53185550"/>
      <w:bookmarkStart w:id="6571" w:name="_Toc53185926"/>
      <w:bookmarkStart w:id="6572" w:name="_Toc57820412"/>
      <w:bookmarkStart w:id="6573" w:name="_Toc57821339"/>
      <w:bookmarkStart w:id="6574" w:name="_Toc61183615"/>
      <w:bookmarkStart w:id="6575" w:name="_Toc61184009"/>
      <w:bookmarkStart w:id="6576" w:name="_Toc61184401"/>
      <w:bookmarkStart w:id="6577" w:name="_Toc61184793"/>
      <w:bookmarkStart w:id="6578" w:name="_Toc61185183"/>
      <w:bookmarkStart w:id="6579" w:name="_Toc66386527"/>
      <w:bookmarkStart w:id="6580" w:name="_Toc74583430"/>
      <w:bookmarkStart w:id="6581" w:name="_Toc76542243"/>
      <w:bookmarkStart w:id="6582" w:name="_Toc82450225"/>
      <w:bookmarkStart w:id="6583" w:name="_Toc82450873"/>
      <w:bookmarkStart w:id="6584" w:name="_Toc89949262"/>
      <w:bookmarkStart w:id="6585" w:name="_Toc98755651"/>
      <w:bookmarkStart w:id="6586" w:name="_Toc98763243"/>
      <w:bookmarkStart w:id="6587" w:name="_Toc106184172"/>
      <w:bookmarkStart w:id="6588" w:name="_Toc13080430"/>
      <w:bookmarkStart w:id="6589" w:name="_Toc18916196"/>
      <w:r w:rsidRPr="007E346D">
        <w:t>10.5.1</w:t>
      </w:r>
      <w:r w:rsidRPr="007E346D">
        <w:tab/>
        <w:t>OTA adjacent channel selectivity</w:t>
      </w:r>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p>
    <w:p w14:paraId="1C117D88" w14:textId="77777777" w:rsidR="001316CD" w:rsidRPr="007E346D" w:rsidRDefault="001316CD" w:rsidP="001316CD">
      <w:pPr>
        <w:pStyle w:val="Heading4"/>
      </w:pPr>
      <w:bookmarkStart w:id="6590" w:name="_Toc13080423"/>
      <w:bookmarkStart w:id="6591" w:name="_Toc53185551"/>
      <w:bookmarkStart w:id="6592" w:name="_Toc53185927"/>
      <w:bookmarkStart w:id="6593" w:name="_Toc57820413"/>
      <w:bookmarkStart w:id="6594" w:name="_Toc57821340"/>
      <w:bookmarkStart w:id="6595" w:name="_Toc61183616"/>
      <w:bookmarkStart w:id="6596" w:name="_Toc61184010"/>
      <w:bookmarkStart w:id="6597" w:name="_Toc61184402"/>
      <w:bookmarkStart w:id="6598" w:name="_Toc61184794"/>
      <w:bookmarkStart w:id="6599" w:name="_Toc61185184"/>
      <w:bookmarkStart w:id="6600" w:name="_Toc66386528"/>
      <w:bookmarkStart w:id="6601" w:name="_Toc74583431"/>
      <w:bookmarkStart w:id="6602" w:name="_Toc76542244"/>
      <w:bookmarkStart w:id="6603" w:name="_Toc82450226"/>
      <w:bookmarkStart w:id="6604" w:name="_Toc82450874"/>
      <w:bookmarkStart w:id="6605" w:name="_Toc89949263"/>
      <w:bookmarkStart w:id="6606" w:name="_Toc98755652"/>
      <w:bookmarkStart w:id="6607" w:name="_Toc98763244"/>
      <w:bookmarkStart w:id="6608" w:name="_Toc106184173"/>
      <w:r w:rsidRPr="007E346D">
        <w:t>10.5.1.1</w:t>
      </w:r>
      <w:r w:rsidRPr="007E346D">
        <w:tab/>
        <w:t>General</w:t>
      </w:r>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p>
    <w:p w14:paraId="66099AE1" w14:textId="77777777" w:rsidR="001316CD" w:rsidRPr="007E346D" w:rsidRDefault="001316CD" w:rsidP="001316CD">
      <w:r w:rsidRPr="007E346D">
        <w:t>OTA Adjacent channel selectivity (ACS) is a measure of the receiver’s ability to receive an OTA wanted signal at its assigned channel frequency in the presence of an OTA adjacent channel signal with a specified centre frequency offset of the interfering signal to the band edge of a victim system.</w:t>
      </w:r>
    </w:p>
    <w:p w14:paraId="198786BA" w14:textId="77777777" w:rsidR="001316CD" w:rsidRDefault="001316CD" w:rsidP="001316CD">
      <w:pPr>
        <w:pStyle w:val="Heading4"/>
        <w:rPr>
          <w:i/>
        </w:rPr>
      </w:pPr>
      <w:bookmarkStart w:id="6609" w:name="_Toc13080424"/>
      <w:bookmarkStart w:id="6610" w:name="_Toc53185552"/>
      <w:bookmarkStart w:id="6611" w:name="_Toc53185928"/>
      <w:bookmarkStart w:id="6612" w:name="_Toc57820414"/>
      <w:bookmarkStart w:id="6613" w:name="_Toc57821341"/>
      <w:bookmarkStart w:id="6614" w:name="_Toc61183617"/>
      <w:bookmarkStart w:id="6615" w:name="_Toc61184011"/>
      <w:bookmarkStart w:id="6616" w:name="_Toc61184403"/>
      <w:bookmarkStart w:id="6617" w:name="_Toc61184795"/>
      <w:bookmarkStart w:id="6618" w:name="_Toc61185185"/>
      <w:bookmarkStart w:id="6619" w:name="_Toc66386529"/>
      <w:bookmarkStart w:id="6620" w:name="_Toc74583432"/>
      <w:bookmarkStart w:id="6621" w:name="_Toc76542245"/>
      <w:bookmarkStart w:id="6622" w:name="_Toc82450227"/>
      <w:bookmarkStart w:id="6623" w:name="_Toc82450875"/>
      <w:bookmarkStart w:id="6624" w:name="_Toc89949264"/>
      <w:bookmarkStart w:id="6625" w:name="_Toc98755653"/>
      <w:bookmarkStart w:id="6626" w:name="_Toc98763245"/>
      <w:bookmarkStart w:id="6627" w:name="_Toc106184174"/>
      <w:r w:rsidRPr="007E346D">
        <w:lastRenderedPageBreak/>
        <w:t>10.5.1.2</w:t>
      </w:r>
      <w:r w:rsidRPr="007E346D">
        <w:tab/>
        <w:t xml:space="preserve">Minimum requirement for </w:t>
      </w:r>
      <w:r>
        <w:rPr>
          <w:i/>
        </w:rPr>
        <w:t xml:space="preserve">IAB-DU </w:t>
      </w:r>
      <w:r w:rsidRPr="007E346D">
        <w:rPr>
          <w:i/>
        </w:rPr>
        <w:t>type 1-O</w:t>
      </w:r>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p>
    <w:p w14:paraId="39DA5F84" w14:textId="4CCA796D" w:rsidR="002F05CF" w:rsidRDefault="004A2DC6" w:rsidP="00815C5B">
      <w:pPr>
        <w:rPr>
          <w:rFonts w:eastAsia="Yu Mincho"/>
        </w:rPr>
      </w:pPr>
      <w:bookmarkStart w:id="6628" w:name="_Toc53185553"/>
      <w:bookmarkStart w:id="6629" w:name="_Toc53185929"/>
      <w:r>
        <w:rPr>
          <w:rFonts w:eastAsia="Yu Mincho"/>
        </w:rPr>
        <w:t>Minimum requirement</w:t>
      </w:r>
      <w:r w:rsidRPr="00944077">
        <w:rPr>
          <w:rFonts w:eastAsia="Yu Mincho"/>
        </w:rPr>
        <w:t xml:space="preserve"> </w:t>
      </w:r>
      <w:r>
        <w:rPr>
          <w:rFonts w:eastAsia="Yu Mincho"/>
        </w:rPr>
        <w:t>is the same as specified for BS type 1-O in TS38.104[2], subclause 10.5.1.2.</w:t>
      </w:r>
      <w:bookmarkStart w:id="6630" w:name="_Toc13080425"/>
    </w:p>
    <w:p w14:paraId="14587F7D" w14:textId="0ED91A80" w:rsidR="001316CD" w:rsidRDefault="001316CD" w:rsidP="001316CD">
      <w:pPr>
        <w:pStyle w:val="Heading4"/>
        <w:rPr>
          <w:i/>
        </w:rPr>
      </w:pPr>
      <w:bookmarkStart w:id="6631" w:name="_Toc57820415"/>
      <w:bookmarkStart w:id="6632" w:name="_Toc57821342"/>
      <w:bookmarkStart w:id="6633" w:name="_Toc61183618"/>
      <w:bookmarkStart w:id="6634" w:name="_Toc61184012"/>
      <w:bookmarkStart w:id="6635" w:name="_Toc61184404"/>
      <w:bookmarkStart w:id="6636" w:name="_Toc61184796"/>
      <w:bookmarkStart w:id="6637" w:name="_Toc61185186"/>
      <w:bookmarkStart w:id="6638" w:name="_Toc66386530"/>
      <w:bookmarkStart w:id="6639" w:name="_Toc74583433"/>
      <w:bookmarkStart w:id="6640" w:name="_Toc76542246"/>
      <w:bookmarkStart w:id="6641" w:name="_Toc82450228"/>
      <w:bookmarkStart w:id="6642" w:name="_Toc82450876"/>
      <w:bookmarkStart w:id="6643" w:name="_Toc89949265"/>
      <w:bookmarkStart w:id="6644" w:name="_Toc98755654"/>
      <w:bookmarkStart w:id="6645" w:name="_Toc98763246"/>
      <w:bookmarkStart w:id="6646" w:name="_Toc106184175"/>
      <w:r w:rsidRPr="007E346D">
        <w:t>10.5.1.3</w:t>
      </w:r>
      <w:r w:rsidRPr="007E346D">
        <w:tab/>
        <w:t xml:space="preserve">Minimum requirement for </w:t>
      </w:r>
      <w:r>
        <w:rPr>
          <w:i/>
        </w:rPr>
        <w:t xml:space="preserve">IAB-DU </w:t>
      </w:r>
      <w:r w:rsidRPr="007E346D">
        <w:rPr>
          <w:i/>
        </w:rPr>
        <w:t>type 2-O</w:t>
      </w:r>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p>
    <w:p w14:paraId="221F9616" w14:textId="77777777" w:rsidR="001316CD" w:rsidRPr="009966FA" w:rsidRDefault="001316CD" w:rsidP="001316CD">
      <w:pPr>
        <w:keepNext/>
        <w:keepLines/>
        <w:spacing w:before="120"/>
        <w:ind w:left="1418" w:hanging="1418"/>
        <w:outlineLvl w:val="3"/>
      </w:pPr>
      <w:r>
        <w:rPr>
          <w:rFonts w:eastAsia="Yu Mincho"/>
        </w:rPr>
        <w:t>Minimum requirement</w:t>
      </w:r>
      <w:r w:rsidRPr="00944077">
        <w:rPr>
          <w:rFonts w:eastAsia="Yu Mincho"/>
        </w:rPr>
        <w:t xml:space="preserve"> </w:t>
      </w:r>
      <w:r>
        <w:rPr>
          <w:rFonts w:eastAsia="Yu Mincho"/>
        </w:rPr>
        <w:t>is the same as specified for BS type 2-O in TS38.104[2], subclause 10.5.1.3.</w:t>
      </w:r>
    </w:p>
    <w:p w14:paraId="30CD7BE5" w14:textId="77777777" w:rsidR="001316CD" w:rsidRPr="007E346D" w:rsidRDefault="001316CD" w:rsidP="001316CD">
      <w:pPr>
        <w:pStyle w:val="Heading4"/>
      </w:pPr>
      <w:bookmarkStart w:id="6647" w:name="_Toc53185554"/>
      <w:bookmarkStart w:id="6648" w:name="_Toc53185930"/>
      <w:bookmarkStart w:id="6649" w:name="_Toc57820416"/>
      <w:bookmarkStart w:id="6650" w:name="_Toc57821343"/>
      <w:bookmarkStart w:id="6651" w:name="_Toc61183619"/>
      <w:bookmarkStart w:id="6652" w:name="_Toc61184013"/>
      <w:bookmarkStart w:id="6653" w:name="_Toc61184405"/>
      <w:bookmarkStart w:id="6654" w:name="_Toc61184797"/>
      <w:bookmarkStart w:id="6655" w:name="_Toc61185187"/>
      <w:bookmarkStart w:id="6656" w:name="_Toc66386531"/>
      <w:bookmarkStart w:id="6657" w:name="_Toc74583434"/>
      <w:bookmarkStart w:id="6658" w:name="_Toc76542247"/>
      <w:bookmarkStart w:id="6659" w:name="_Toc82450229"/>
      <w:bookmarkStart w:id="6660" w:name="_Toc82450877"/>
      <w:bookmarkStart w:id="6661" w:name="_Toc89949266"/>
      <w:bookmarkStart w:id="6662" w:name="_Toc98755655"/>
      <w:bookmarkStart w:id="6663" w:name="_Toc98763247"/>
      <w:bookmarkStart w:id="6664" w:name="_Toc106184176"/>
      <w:r w:rsidRPr="007E346D">
        <w:t>10.5.1.</w:t>
      </w:r>
      <w:r>
        <w:t>4</w:t>
      </w:r>
      <w:r w:rsidRPr="007E346D">
        <w:tab/>
        <w:t xml:space="preserve">Minimum requirement for </w:t>
      </w:r>
      <w:r>
        <w:rPr>
          <w:i/>
        </w:rPr>
        <w:t xml:space="preserve">IAB-MT </w:t>
      </w:r>
      <w:r w:rsidRPr="007E346D">
        <w:rPr>
          <w:i/>
        </w:rPr>
        <w:t>type 2-O</w:t>
      </w:r>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p>
    <w:p w14:paraId="3C4BBA0D" w14:textId="7BFF9BF0" w:rsidR="00906BE7" w:rsidRPr="007E346D" w:rsidRDefault="00906BE7" w:rsidP="00906BE7">
      <w:r w:rsidRPr="007E346D">
        <w:t xml:space="preserve">The requirement shall apply at the RIB when the AoA of the incident wave of a received signal and the interfering signal are from the same direction and are within the </w:t>
      </w:r>
      <w:r w:rsidRPr="007E346D">
        <w:rPr>
          <w:i/>
        </w:rPr>
        <w:t>OTA REFSENS RoAoA.</w:t>
      </w:r>
    </w:p>
    <w:p w14:paraId="458EF863" w14:textId="77777777" w:rsidR="001316CD" w:rsidRPr="007E346D" w:rsidRDefault="001316CD" w:rsidP="001316CD">
      <w:r w:rsidRPr="007E346D">
        <w:t>The wanted and interfering signals apply to all supported polarizations, under the assumption o</w:t>
      </w:r>
      <w:r w:rsidRPr="007E346D">
        <w:rPr>
          <w:i/>
        </w:rPr>
        <w:t>f polarization match</w:t>
      </w:r>
      <w:r w:rsidRPr="007E346D">
        <w:t>.</w:t>
      </w:r>
    </w:p>
    <w:p w14:paraId="18DBDAB0" w14:textId="77777777" w:rsidR="001316CD" w:rsidRPr="007E346D" w:rsidRDefault="001316CD" w:rsidP="001316CD">
      <w:r w:rsidRPr="007E346D">
        <w:t xml:space="preserve">The throughput shall be </w:t>
      </w:r>
      <w:r w:rsidRPr="007E346D">
        <w:rPr>
          <w:rFonts w:hint="eastAsia"/>
        </w:rPr>
        <w:t>≥</w:t>
      </w:r>
      <w:r w:rsidRPr="007E346D">
        <w:t xml:space="preserve"> 95% of the maximum throughput of the reference measurement channel.</w:t>
      </w:r>
    </w:p>
    <w:p w14:paraId="45615AEB" w14:textId="0A9C558B" w:rsidR="001316CD" w:rsidRPr="00F947E2" w:rsidRDefault="001316CD" w:rsidP="001316CD">
      <w:pPr>
        <w:rPr>
          <w:rFonts w:eastAsia="SimSun"/>
          <w:lang w:eastAsia="zh-CN"/>
        </w:rPr>
      </w:pPr>
      <w:r w:rsidRPr="007E346D">
        <w:t xml:space="preserve">For FR2, </w:t>
      </w:r>
      <w:r w:rsidRPr="007E346D">
        <w:rPr>
          <w:lang w:eastAsia="zh-CN"/>
        </w:rPr>
        <w:t xml:space="preserve">the OTA </w:t>
      </w:r>
      <w:r w:rsidRPr="007E346D">
        <w:t xml:space="preserve">wanted and </w:t>
      </w:r>
      <w:r w:rsidRPr="007E346D">
        <w:rPr>
          <w:lang w:eastAsia="zh-CN"/>
        </w:rPr>
        <w:t>the</w:t>
      </w:r>
      <w:r w:rsidRPr="007E346D">
        <w:t xml:space="preserve"> interfering signal </w:t>
      </w:r>
      <w:r w:rsidRPr="007E346D">
        <w:rPr>
          <w:lang w:eastAsia="zh-CN"/>
        </w:rPr>
        <w:t>are</w:t>
      </w:r>
      <w:r w:rsidRPr="007E346D">
        <w:t xml:space="preserve"> specified</w:t>
      </w:r>
      <w:r w:rsidRPr="007E346D">
        <w:rPr>
          <w:rFonts w:eastAsia="Osaka"/>
        </w:rPr>
        <w:t xml:space="preserve"> in table </w:t>
      </w:r>
      <w:r w:rsidRPr="007E346D">
        <w:rPr>
          <w:rFonts w:eastAsia="SimSun" w:cs="v5.0.0"/>
          <w:lang w:eastAsia="zh-CN"/>
        </w:rPr>
        <w:t>10.5.1.</w:t>
      </w:r>
      <w:r>
        <w:rPr>
          <w:rFonts w:eastAsia="SimSun" w:cs="v5.0.0"/>
          <w:lang w:eastAsia="zh-CN"/>
        </w:rPr>
        <w:t>4</w:t>
      </w:r>
      <w:r w:rsidRPr="007E346D">
        <w:rPr>
          <w:rFonts w:eastAsia="Osaka"/>
        </w:rPr>
        <w:t>-</w:t>
      </w:r>
      <w:r w:rsidRPr="007E346D">
        <w:rPr>
          <w:rFonts w:eastAsia="SimSun"/>
          <w:lang w:eastAsia="zh-CN"/>
        </w:rPr>
        <w:t xml:space="preserve">1 and table </w:t>
      </w:r>
      <w:r w:rsidR="00076981" w:rsidRPr="00E26D09">
        <w:rPr>
          <w:lang w:eastAsia="zh-CN"/>
        </w:rPr>
        <w:t>10.5.1.</w:t>
      </w:r>
      <w:r w:rsidR="00076981">
        <w:rPr>
          <w:lang w:eastAsia="zh-CN"/>
        </w:rPr>
        <w:t>4</w:t>
      </w:r>
      <w:r w:rsidR="00076981" w:rsidRPr="00E26D09">
        <w:t>-</w:t>
      </w:r>
      <w:r w:rsidR="00076981" w:rsidRPr="00E26D09">
        <w:rPr>
          <w:lang w:eastAsia="zh-CN"/>
        </w:rPr>
        <w:t>2</w:t>
      </w:r>
      <w:r w:rsidR="00076981">
        <w:rPr>
          <w:lang w:eastAsia="zh-CN"/>
        </w:rPr>
        <w:t xml:space="preserve"> </w:t>
      </w:r>
      <w:r w:rsidRPr="007E346D">
        <w:rPr>
          <w:rFonts w:eastAsia="Osaka"/>
        </w:rPr>
        <w:t xml:space="preserve">for ACS. The reference measurement channel for the OTA wanted signal is further specified in annex </w:t>
      </w:r>
      <w:r w:rsidR="007905EC" w:rsidRPr="007E346D">
        <w:rPr>
          <w:rFonts w:eastAsia="Osaka"/>
        </w:rPr>
        <w:t>A.1</w:t>
      </w:r>
      <w:r w:rsidRPr="007E346D">
        <w:rPr>
          <w:rFonts w:eastAsia="Osaka"/>
        </w:rPr>
        <w:t>. The characteristics of the interfering signal is further specified in annex</w:t>
      </w:r>
      <w:r>
        <w:rPr>
          <w:rFonts w:eastAsia="Osaka"/>
        </w:rPr>
        <w:t xml:space="preserve"> </w:t>
      </w:r>
      <w:r w:rsidR="007905EC">
        <w:rPr>
          <w:rFonts w:eastAsia="Osaka"/>
        </w:rPr>
        <w:t>F</w:t>
      </w:r>
      <w:r w:rsidRPr="007E346D">
        <w:rPr>
          <w:rFonts w:eastAsia="Osaka"/>
        </w:rPr>
        <w:t>.</w:t>
      </w:r>
    </w:p>
    <w:p w14:paraId="5CAD1A07" w14:textId="23EABDEE" w:rsidR="00906BE7" w:rsidRPr="007E346D" w:rsidRDefault="00906BE7" w:rsidP="00906BE7">
      <w:pPr>
        <w:rPr>
          <w:rFonts w:eastAsia="Osaka"/>
        </w:rPr>
      </w:pPr>
      <w:r w:rsidRPr="007E346D">
        <w:rPr>
          <w:rFonts w:eastAsia="Osaka"/>
        </w:rPr>
        <w:t xml:space="preserve">The OTA ACS requirement is applicable outside the </w:t>
      </w:r>
      <w:r w:rsidRPr="0063534F">
        <w:rPr>
          <w:i/>
          <w:iCs/>
          <w:lang w:eastAsia="zh-CN"/>
        </w:rPr>
        <w:t xml:space="preserve">IAB-MT </w:t>
      </w:r>
      <w:r w:rsidRPr="0063534F">
        <w:rPr>
          <w:rFonts w:eastAsia="Osaka"/>
          <w:i/>
          <w:iCs/>
        </w:rPr>
        <w:t>RF Bandwidth</w:t>
      </w:r>
      <w:r w:rsidRPr="007E346D">
        <w:rPr>
          <w:rFonts w:eastAsia="Osaka"/>
        </w:rPr>
        <w:t>. The OTA interfering signal offset is defined relative to the</w:t>
      </w:r>
      <w:r w:rsidRPr="007E346D">
        <w:t xml:space="preserve"> </w:t>
      </w:r>
      <w:r w:rsidRPr="0063534F">
        <w:rPr>
          <w:rFonts w:eastAsia="Osaka"/>
          <w:i/>
          <w:iCs/>
        </w:rPr>
        <w:t>IAB-MT  RF Bandwidth edges</w:t>
      </w:r>
      <w:r w:rsidRPr="007E346D">
        <w:rPr>
          <w:rFonts w:eastAsia="Osaka"/>
        </w:rPr>
        <w:t>.</w:t>
      </w:r>
    </w:p>
    <w:p w14:paraId="77CC6D6F" w14:textId="7F8506A2" w:rsidR="00906BE7" w:rsidRPr="007E346D" w:rsidRDefault="00906BE7" w:rsidP="00906BE7">
      <w:pPr>
        <w:rPr>
          <w:rFonts w:eastAsia="SimSun"/>
          <w:lang w:eastAsia="zh-CN"/>
        </w:rPr>
      </w:pPr>
      <w:r>
        <w:t>For Wide Area IAB-MT, f</w:t>
      </w:r>
      <w:r w:rsidRPr="007E346D">
        <w:t xml:space="preserve">or RIBs supporting operation in </w:t>
      </w:r>
      <w:r w:rsidRPr="007E346D">
        <w:rPr>
          <w:i/>
        </w:rPr>
        <w:t>non-contiguous spectrum</w:t>
      </w:r>
      <w:r w:rsidRPr="007E346D">
        <w:t xml:space="preserve"> within any </w:t>
      </w:r>
      <w:r w:rsidRPr="007E346D">
        <w:rPr>
          <w:i/>
        </w:rPr>
        <w:t>operating band</w:t>
      </w:r>
      <w:r w:rsidRPr="007E346D">
        <w:t>, the OTA ACS requirement shall apply in addition inside any sub-block gap, in case the sub-block gap size is at least as wide as the NR interfering signal in table</w:t>
      </w:r>
      <w:r>
        <w:t xml:space="preserve"> </w:t>
      </w:r>
      <w:r w:rsidRPr="00E26D09">
        <w:rPr>
          <w:lang w:eastAsia="zh-CN"/>
        </w:rPr>
        <w:t>10.5.1.</w:t>
      </w:r>
      <w:r>
        <w:rPr>
          <w:lang w:eastAsia="zh-CN"/>
        </w:rPr>
        <w:t>4</w:t>
      </w:r>
      <w:r w:rsidRPr="00E26D09">
        <w:t>-</w:t>
      </w:r>
      <w:r w:rsidRPr="00E26D09">
        <w:rPr>
          <w:lang w:eastAsia="zh-CN"/>
        </w:rPr>
        <w:t>2</w:t>
      </w:r>
      <w:r w:rsidRPr="007E346D">
        <w:t>. The OTA interfering signal offset is defined relative to the sub-block edges inside the sub-block gap.</w:t>
      </w:r>
    </w:p>
    <w:p w14:paraId="103A50DE" w14:textId="77777777" w:rsidR="001316CD" w:rsidRPr="007E346D" w:rsidRDefault="001316CD" w:rsidP="001316CD">
      <w:pPr>
        <w:pStyle w:val="TH"/>
        <w:rPr>
          <w:rFonts w:eastAsia="SimSun"/>
          <w:lang w:eastAsia="zh-CN"/>
        </w:rPr>
      </w:pPr>
      <w:r w:rsidRPr="007E346D">
        <w:t xml:space="preserve">Table </w:t>
      </w:r>
      <w:r w:rsidRPr="007E346D">
        <w:rPr>
          <w:rFonts w:eastAsia="SimSun"/>
          <w:lang w:eastAsia="zh-CN"/>
        </w:rPr>
        <w:t>10.5.1.</w:t>
      </w:r>
      <w:r>
        <w:rPr>
          <w:rFonts w:eastAsia="SimSun"/>
          <w:lang w:eastAsia="zh-CN"/>
        </w:rPr>
        <w:t>4</w:t>
      </w:r>
      <w:r w:rsidRPr="007E346D">
        <w:t>-</w:t>
      </w:r>
      <w:r w:rsidRPr="007E346D">
        <w:rPr>
          <w:rFonts w:eastAsia="SimSun"/>
          <w:lang w:eastAsia="zh-CN"/>
        </w:rPr>
        <w:t>1</w:t>
      </w:r>
      <w:r w:rsidRPr="007E346D">
        <w:t>: OTA A</w:t>
      </w:r>
      <w:r w:rsidRPr="007E346D">
        <w:rPr>
          <w:rFonts w:eastAsia="SimSun"/>
          <w:lang w:eastAsia="zh-CN"/>
        </w:rPr>
        <w:t xml:space="preserve">CS requirement for </w:t>
      </w:r>
      <w:r>
        <w:rPr>
          <w:rFonts w:eastAsia="SimSun"/>
          <w:lang w:eastAsia="zh-CN"/>
        </w:rPr>
        <w:t xml:space="preserve">Wide Area  and Local Area IAB MT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8"/>
        <w:gridCol w:w="1792"/>
        <w:gridCol w:w="3289"/>
      </w:tblGrid>
      <w:tr w:rsidR="001316CD" w:rsidRPr="007E346D" w14:paraId="64E97208" w14:textId="77777777" w:rsidTr="00A4061E">
        <w:trPr>
          <w:trHeight w:val="629"/>
          <w:jc w:val="center"/>
        </w:trPr>
        <w:tc>
          <w:tcPr>
            <w:tcW w:w="1948" w:type="dxa"/>
            <w:tcBorders>
              <w:top w:val="single" w:sz="4" w:space="0" w:color="auto"/>
              <w:left w:val="single" w:sz="4" w:space="0" w:color="auto"/>
              <w:bottom w:val="single" w:sz="4" w:space="0" w:color="auto"/>
              <w:right w:val="single" w:sz="4" w:space="0" w:color="auto"/>
            </w:tcBorders>
          </w:tcPr>
          <w:p w14:paraId="283D1324" w14:textId="77777777" w:rsidR="001316CD" w:rsidRPr="007E346D" w:rsidRDefault="001316CD" w:rsidP="00906BE7">
            <w:pPr>
              <w:pStyle w:val="TAH"/>
            </w:pPr>
            <w:r>
              <w:rPr>
                <w:i/>
              </w:rPr>
              <w:t>IAB-MT</w:t>
            </w:r>
            <w:r w:rsidRPr="007E346D">
              <w:rPr>
                <w:i/>
              </w:rPr>
              <w:t xml:space="preserve"> channel bandwidth</w:t>
            </w:r>
            <w:r w:rsidRPr="007E346D">
              <w:t xml:space="preserve"> of the lowest/highest carrier received (MHz)</w:t>
            </w:r>
          </w:p>
        </w:tc>
        <w:tc>
          <w:tcPr>
            <w:tcW w:w="1792" w:type="dxa"/>
            <w:tcBorders>
              <w:top w:val="single" w:sz="4" w:space="0" w:color="auto"/>
              <w:left w:val="single" w:sz="4" w:space="0" w:color="auto"/>
              <w:bottom w:val="single" w:sz="4" w:space="0" w:color="auto"/>
              <w:right w:val="single" w:sz="4" w:space="0" w:color="auto"/>
            </w:tcBorders>
            <w:hideMark/>
          </w:tcPr>
          <w:p w14:paraId="4A141249" w14:textId="77777777" w:rsidR="001316CD" w:rsidRPr="007E346D" w:rsidRDefault="001316CD" w:rsidP="00906BE7">
            <w:pPr>
              <w:pStyle w:val="TAH"/>
              <w:rPr>
                <w:lang w:eastAsia="ja-JP"/>
              </w:rPr>
            </w:pPr>
            <w:r w:rsidRPr="007E346D">
              <w:t>Wanted signal mean power (dBm)</w:t>
            </w:r>
          </w:p>
        </w:tc>
        <w:tc>
          <w:tcPr>
            <w:tcW w:w="3289" w:type="dxa"/>
            <w:tcBorders>
              <w:top w:val="single" w:sz="4" w:space="0" w:color="auto"/>
              <w:left w:val="single" w:sz="4" w:space="0" w:color="auto"/>
              <w:bottom w:val="single" w:sz="4" w:space="0" w:color="auto"/>
              <w:right w:val="single" w:sz="4" w:space="0" w:color="auto"/>
            </w:tcBorders>
            <w:hideMark/>
          </w:tcPr>
          <w:p w14:paraId="7F0E5BEC" w14:textId="77777777" w:rsidR="001316CD" w:rsidRPr="007E346D" w:rsidRDefault="001316CD" w:rsidP="00906BE7">
            <w:pPr>
              <w:pStyle w:val="TAH"/>
              <w:rPr>
                <w:lang w:eastAsia="ja-JP"/>
              </w:rPr>
            </w:pPr>
            <w:r w:rsidRPr="007E346D">
              <w:rPr>
                <w:rFonts w:cs="Arial"/>
              </w:rPr>
              <w:t>Interfering signal mean power (dBm)</w:t>
            </w:r>
          </w:p>
        </w:tc>
      </w:tr>
      <w:tr w:rsidR="001316CD" w:rsidRPr="007E346D" w14:paraId="4EED7FFB" w14:textId="77777777" w:rsidTr="00255E64">
        <w:trPr>
          <w:trHeight w:val="487"/>
          <w:jc w:val="center"/>
        </w:trPr>
        <w:tc>
          <w:tcPr>
            <w:tcW w:w="1948" w:type="dxa"/>
            <w:tcBorders>
              <w:top w:val="single" w:sz="4" w:space="0" w:color="auto"/>
              <w:left w:val="single" w:sz="4" w:space="0" w:color="auto"/>
              <w:bottom w:val="single" w:sz="4" w:space="0" w:color="auto"/>
              <w:right w:val="single" w:sz="4" w:space="0" w:color="auto"/>
            </w:tcBorders>
          </w:tcPr>
          <w:p w14:paraId="6AC87C23" w14:textId="77777777" w:rsidR="001316CD" w:rsidRPr="007E346D" w:rsidRDefault="001316CD" w:rsidP="00255E64">
            <w:pPr>
              <w:pStyle w:val="TAC"/>
              <w:rPr>
                <w:rFonts w:eastAsia="SimSun"/>
                <w:lang w:eastAsia="zh-CN"/>
              </w:rPr>
            </w:pPr>
            <w:r w:rsidRPr="007E346D">
              <w:t>50, 100, 200, 400</w:t>
            </w:r>
          </w:p>
        </w:tc>
        <w:tc>
          <w:tcPr>
            <w:tcW w:w="1792" w:type="dxa"/>
            <w:tcBorders>
              <w:top w:val="single" w:sz="4" w:space="0" w:color="auto"/>
              <w:left w:val="single" w:sz="4" w:space="0" w:color="auto"/>
              <w:bottom w:val="single" w:sz="4" w:space="0" w:color="auto"/>
              <w:right w:val="single" w:sz="4" w:space="0" w:color="auto"/>
            </w:tcBorders>
            <w:hideMark/>
          </w:tcPr>
          <w:p w14:paraId="284F45C0" w14:textId="77777777" w:rsidR="001316CD" w:rsidRPr="007E346D" w:rsidRDefault="001316CD" w:rsidP="00255E64">
            <w:pPr>
              <w:pStyle w:val="TAC"/>
              <w:rPr>
                <w:lang w:eastAsia="ja-JP"/>
              </w:rPr>
            </w:pPr>
            <w:r w:rsidRPr="007E346D">
              <w:rPr>
                <w:rFonts w:cs="Arial"/>
              </w:rPr>
              <w:t>EIS</w:t>
            </w:r>
            <w:r w:rsidRPr="007E346D">
              <w:rPr>
                <w:rFonts w:cs="Arial"/>
                <w:vertAlign w:val="subscript"/>
              </w:rPr>
              <w:t>REFSENS</w:t>
            </w:r>
            <w:r w:rsidRPr="007E346D">
              <w:t xml:space="preserve"> + 6 dB (Note 3)</w:t>
            </w:r>
          </w:p>
        </w:tc>
        <w:tc>
          <w:tcPr>
            <w:tcW w:w="3289" w:type="dxa"/>
            <w:tcBorders>
              <w:top w:val="single" w:sz="4" w:space="0" w:color="auto"/>
              <w:left w:val="single" w:sz="4" w:space="0" w:color="auto"/>
              <w:bottom w:val="single" w:sz="4" w:space="0" w:color="auto"/>
              <w:right w:val="single" w:sz="4" w:space="0" w:color="auto"/>
            </w:tcBorders>
          </w:tcPr>
          <w:p w14:paraId="0433941F" w14:textId="77777777" w:rsidR="001316CD" w:rsidRPr="007E346D" w:rsidRDefault="001316CD" w:rsidP="00255E64">
            <w:pPr>
              <w:pStyle w:val="TAC"/>
              <w:rPr>
                <w:rFonts w:eastAsia="SimSun"/>
                <w:lang w:eastAsia="zh-CN"/>
              </w:rPr>
            </w:pPr>
            <w:r w:rsidRPr="007E346D">
              <w:rPr>
                <w:rFonts w:cs="Arial"/>
              </w:rPr>
              <w:t>EIS</w:t>
            </w:r>
            <w:r w:rsidRPr="007E346D">
              <w:rPr>
                <w:rFonts w:cs="Arial"/>
                <w:vertAlign w:val="subscript"/>
              </w:rPr>
              <w:t>REFSENS_50M</w:t>
            </w:r>
            <w:r w:rsidRPr="007E346D">
              <w:rPr>
                <w:rFonts w:eastAsia="SimSun"/>
                <w:lang w:eastAsia="zh-CN"/>
              </w:rPr>
              <w:t xml:space="preserve"> + 27.7 </w:t>
            </w:r>
            <w:r w:rsidRPr="007E346D">
              <w:rPr>
                <w:rFonts w:cs="Arial"/>
              </w:rPr>
              <w:t xml:space="preserve">+ </w:t>
            </w:r>
            <w:r w:rsidRPr="007E346D">
              <w:t>Δ</w:t>
            </w:r>
            <w:r w:rsidRPr="007E346D">
              <w:rPr>
                <w:vertAlign w:val="subscript"/>
              </w:rPr>
              <w:t>FR2_REFSENS</w:t>
            </w:r>
            <w:r w:rsidRPr="007E346D">
              <w:rPr>
                <w:rFonts w:eastAsia="SimSun"/>
                <w:lang w:eastAsia="zh-CN"/>
              </w:rPr>
              <w:t xml:space="preserve"> (Note 1)</w:t>
            </w:r>
          </w:p>
          <w:p w14:paraId="49C613AC" w14:textId="77777777" w:rsidR="001316CD" w:rsidRPr="007E346D" w:rsidRDefault="001316CD" w:rsidP="00255E64">
            <w:pPr>
              <w:pStyle w:val="TAC"/>
              <w:rPr>
                <w:rFonts w:eastAsia="SimSun"/>
                <w:lang w:eastAsia="zh-CN"/>
              </w:rPr>
            </w:pPr>
            <w:r w:rsidRPr="007E346D">
              <w:rPr>
                <w:rFonts w:cs="Arial"/>
              </w:rPr>
              <w:t>EIS</w:t>
            </w:r>
            <w:r w:rsidRPr="007E346D">
              <w:rPr>
                <w:rFonts w:cs="Arial"/>
                <w:vertAlign w:val="subscript"/>
              </w:rPr>
              <w:t>REFSENS_50M</w:t>
            </w:r>
            <w:r w:rsidRPr="007E346D">
              <w:rPr>
                <w:rFonts w:eastAsia="SimSun"/>
                <w:lang w:eastAsia="zh-CN"/>
              </w:rPr>
              <w:t xml:space="preserve"> + 26.7 </w:t>
            </w:r>
            <w:r w:rsidRPr="007E346D">
              <w:rPr>
                <w:rFonts w:cs="Arial"/>
              </w:rPr>
              <w:t xml:space="preserve">+ </w:t>
            </w:r>
            <w:r w:rsidRPr="007E346D">
              <w:t>Δ</w:t>
            </w:r>
            <w:r w:rsidRPr="007E346D">
              <w:rPr>
                <w:vertAlign w:val="subscript"/>
              </w:rPr>
              <w:t>FR2_REFSENS</w:t>
            </w:r>
            <w:r w:rsidRPr="007E346D">
              <w:rPr>
                <w:rFonts w:eastAsia="SimSun"/>
                <w:lang w:eastAsia="zh-CN"/>
              </w:rPr>
              <w:t xml:space="preserve"> (Note 2)</w:t>
            </w:r>
          </w:p>
        </w:tc>
      </w:tr>
      <w:tr w:rsidR="001316CD" w:rsidRPr="007E346D" w14:paraId="73FFBC4C" w14:textId="77777777" w:rsidTr="00A4061E">
        <w:trPr>
          <w:trHeight w:val="487"/>
          <w:jc w:val="center"/>
        </w:trPr>
        <w:tc>
          <w:tcPr>
            <w:tcW w:w="7029" w:type="dxa"/>
            <w:gridSpan w:val="3"/>
            <w:tcBorders>
              <w:top w:val="single" w:sz="4" w:space="0" w:color="auto"/>
              <w:left w:val="single" w:sz="4" w:space="0" w:color="auto"/>
              <w:bottom w:val="single" w:sz="4" w:space="0" w:color="auto"/>
              <w:right w:val="single" w:sz="4" w:space="0" w:color="auto"/>
            </w:tcBorders>
          </w:tcPr>
          <w:p w14:paraId="08539980" w14:textId="77777777" w:rsidR="001316CD" w:rsidRPr="007E346D" w:rsidRDefault="001316CD" w:rsidP="00906BE7">
            <w:pPr>
              <w:pStyle w:val="TAN"/>
              <w:rPr>
                <w:rFonts w:eastAsia="SimSun"/>
                <w:lang w:eastAsia="zh-CN"/>
              </w:rPr>
            </w:pPr>
            <w:r w:rsidRPr="007E346D">
              <w:rPr>
                <w:rFonts w:eastAsia="SimSun"/>
                <w:lang w:eastAsia="zh-CN"/>
              </w:rPr>
              <w:t>NOTE 1:</w:t>
            </w:r>
            <w:r w:rsidRPr="007E346D">
              <w:rPr>
                <w:rFonts w:eastAsia="SimSun"/>
                <w:lang w:eastAsia="zh-CN"/>
              </w:rPr>
              <w:tab/>
              <w:t>Applicable to bands defined within the frequency spectrum range of 24.25 – 33.4 GHz</w:t>
            </w:r>
          </w:p>
          <w:p w14:paraId="0A348AC3" w14:textId="77777777" w:rsidR="001316CD" w:rsidRPr="007E346D" w:rsidRDefault="001316CD" w:rsidP="00906BE7">
            <w:pPr>
              <w:pStyle w:val="TAN"/>
              <w:rPr>
                <w:rFonts w:eastAsia="SimSun"/>
                <w:lang w:eastAsia="zh-CN"/>
              </w:rPr>
            </w:pPr>
            <w:r w:rsidRPr="007E346D">
              <w:rPr>
                <w:rFonts w:eastAsia="SimSun"/>
                <w:lang w:eastAsia="zh-CN"/>
              </w:rPr>
              <w:t>NOTE 2:</w:t>
            </w:r>
            <w:r w:rsidRPr="007E346D">
              <w:rPr>
                <w:rFonts w:eastAsia="SimSun"/>
                <w:lang w:eastAsia="zh-CN"/>
              </w:rPr>
              <w:tab/>
              <w:t>Applicable to bands defined within the frequency spectrum range of 37 – 52.6 GHz</w:t>
            </w:r>
          </w:p>
          <w:p w14:paraId="1CBC045A" w14:textId="77777777" w:rsidR="001316CD" w:rsidRPr="007E346D" w:rsidRDefault="001316CD" w:rsidP="00906BE7">
            <w:pPr>
              <w:pStyle w:val="TAN"/>
              <w:rPr>
                <w:rFonts w:cs="Arial"/>
              </w:rPr>
            </w:pPr>
            <w:r w:rsidRPr="007E346D">
              <w:rPr>
                <w:rFonts w:eastAsia="SimSun"/>
                <w:lang w:eastAsia="zh-CN"/>
              </w:rPr>
              <w:t>NOTE 3:</w:t>
            </w:r>
            <w:r w:rsidRPr="007E346D">
              <w:rPr>
                <w:rFonts w:eastAsia="SimSun"/>
                <w:lang w:eastAsia="zh-CN"/>
              </w:rPr>
              <w:tab/>
            </w:r>
            <w:r w:rsidRPr="007E346D">
              <w:t>EIS</w:t>
            </w:r>
            <w:r w:rsidRPr="007E346D">
              <w:rPr>
                <w:vertAlign w:val="subscript"/>
              </w:rPr>
              <w:t>REFSENS</w:t>
            </w:r>
            <w:r w:rsidRPr="007E346D">
              <w:t xml:space="preserve"> is given in subclause </w:t>
            </w:r>
            <w:r>
              <w:t xml:space="preserve">[ </w:t>
            </w:r>
            <w:r w:rsidRPr="007E346D">
              <w:t>10.3.3</w:t>
            </w:r>
            <w:r>
              <w:t>]</w:t>
            </w:r>
          </w:p>
        </w:tc>
      </w:tr>
    </w:tbl>
    <w:p w14:paraId="34E79404" w14:textId="77777777" w:rsidR="001316CD" w:rsidRPr="007E346D" w:rsidRDefault="001316CD" w:rsidP="001316CD"/>
    <w:p w14:paraId="22782013" w14:textId="77777777" w:rsidR="007B131C" w:rsidRPr="00E26D09" w:rsidRDefault="007B131C" w:rsidP="007B131C">
      <w:pPr>
        <w:pStyle w:val="TH"/>
        <w:rPr>
          <w:lang w:eastAsia="zh-CN"/>
        </w:rPr>
      </w:pPr>
      <w:r w:rsidRPr="00E26D09">
        <w:t xml:space="preserve">Table </w:t>
      </w:r>
      <w:r w:rsidRPr="00E26D09">
        <w:rPr>
          <w:lang w:eastAsia="zh-CN"/>
        </w:rPr>
        <w:t>10.5.1.</w:t>
      </w:r>
      <w:r>
        <w:rPr>
          <w:lang w:eastAsia="zh-CN"/>
        </w:rPr>
        <w:t>4</w:t>
      </w:r>
      <w:r w:rsidRPr="00E26D09">
        <w:t>-</w:t>
      </w:r>
      <w:r w:rsidRPr="00E26D09">
        <w:rPr>
          <w:lang w:eastAsia="zh-CN"/>
        </w:rPr>
        <w:t>2</w:t>
      </w:r>
      <w:r w:rsidRPr="00E26D09">
        <w:t>: OTA A</w:t>
      </w:r>
      <w:r w:rsidRPr="00E26D09">
        <w:rPr>
          <w:lang w:eastAsia="zh-CN"/>
        </w:rPr>
        <w:t xml:space="preserve">CS interferer frequency offset for </w:t>
      </w:r>
      <w:r>
        <w:rPr>
          <w:i/>
          <w:lang w:eastAsia="zh-CN"/>
        </w:rPr>
        <w:t>IAB-MT</w:t>
      </w:r>
      <w:r w:rsidRPr="00E26D09">
        <w:rPr>
          <w:i/>
          <w:lang w:eastAsia="zh-CN"/>
        </w:rPr>
        <w:t xml:space="preserve"> type 2-O</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2646"/>
        <w:gridCol w:w="2835"/>
      </w:tblGrid>
      <w:tr w:rsidR="0041345E" w:rsidRPr="00E26D09" w14:paraId="0ECF3CE4" w14:textId="77777777" w:rsidTr="0041345E">
        <w:tc>
          <w:tcPr>
            <w:tcW w:w="1701" w:type="dxa"/>
            <w:shd w:val="clear" w:color="auto" w:fill="auto"/>
          </w:tcPr>
          <w:p w14:paraId="75734E3E" w14:textId="463D4887" w:rsidR="0041345E" w:rsidRPr="00E26D09" w:rsidRDefault="0041345E" w:rsidP="0041345E">
            <w:pPr>
              <w:pStyle w:val="TAH"/>
              <w:rPr>
                <w:lang w:eastAsia="zh-CN"/>
              </w:rPr>
            </w:pPr>
            <w:r>
              <w:rPr>
                <w:i/>
              </w:rPr>
              <w:t>IAB-MT</w:t>
            </w:r>
            <w:r w:rsidRPr="007E346D">
              <w:rPr>
                <w:i/>
              </w:rPr>
              <w:t xml:space="preserve"> channel bandwidth</w:t>
            </w:r>
            <w:r w:rsidRPr="007E346D">
              <w:t xml:space="preserve"> of the </w:t>
            </w:r>
            <w:r w:rsidRPr="007A7019">
              <w:rPr>
                <w:i/>
              </w:rPr>
              <w:t>lowest/highest carrier</w:t>
            </w:r>
            <w:r w:rsidRPr="007E346D">
              <w:t xml:space="preserve"> received (MHz)</w:t>
            </w:r>
          </w:p>
        </w:tc>
        <w:tc>
          <w:tcPr>
            <w:tcW w:w="2646" w:type="dxa"/>
            <w:shd w:val="clear" w:color="auto" w:fill="auto"/>
          </w:tcPr>
          <w:p w14:paraId="638D9C74" w14:textId="7E58FA46" w:rsidR="0041345E" w:rsidRPr="00E26D09" w:rsidRDefault="0041345E" w:rsidP="0041345E">
            <w:pPr>
              <w:pStyle w:val="TAH"/>
              <w:rPr>
                <w:lang w:eastAsia="zh-CN"/>
              </w:rPr>
            </w:pPr>
            <w:r w:rsidRPr="007E346D">
              <w:t xml:space="preserve">Interfering signal centre frequency offset </w:t>
            </w:r>
            <w:r w:rsidRPr="007E346D">
              <w:rPr>
                <w:rFonts w:cs="Arial"/>
              </w:rPr>
              <w:t xml:space="preserve">from the lower/upper </w:t>
            </w:r>
            <w:r>
              <w:rPr>
                <w:rFonts w:cs="Arial"/>
                <w:i/>
              </w:rPr>
              <w:t>IAB-MT</w:t>
            </w:r>
            <w:r w:rsidRPr="0068373B">
              <w:rPr>
                <w:rFonts w:cs="Arial"/>
                <w:i/>
              </w:rPr>
              <w:t xml:space="preserve"> RF Bandwidth</w:t>
            </w:r>
            <w:r w:rsidRPr="007E346D">
              <w:rPr>
                <w:rFonts w:cs="Arial"/>
              </w:rPr>
              <w:t xml:space="preserve"> </w:t>
            </w:r>
            <w:r w:rsidRPr="0068373B">
              <w:rPr>
                <w:rFonts w:cs="Arial"/>
                <w:i/>
              </w:rPr>
              <w:t>edge</w:t>
            </w:r>
            <w:r w:rsidRPr="007E346D">
              <w:rPr>
                <w:rFonts w:cs="Arial"/>
              </w:rPr>
              <w:t xml:space="preserve"> or sub</w:t>
            </w:r>
            <w:r w:rsidRPr="0068373B">
              <w:rPr>
                <w:rFonts w:cs="Arial"/>
                <w:i/>
              </w:rPr>
              <w:t>-block edge</w:t>
            </w:r>
            <w:r w:rsidRPr="007E346D">
              <w:rPr>
                <w:rFonts w:cs="Arial"/>
              </w:rPr>
              <w:t xml:space="preserve"> inside a </w:t>
            </w:r>
            <w:r w:rsidRPr="0068373B">
              <w:rPr>
                <w:rFonts w:cs="Arial"/>
                <w:i/>
              </w:rPr>
              <w:t>sub-block gap</w:t>
            </w:r>
            <w:r w:rsidRPr="007E346D">
              <w:t xml:space="preserve"> (MHz)</w:t>
            </w:r>
          </w:p>
        </w:tc>
        <w:tc>
          <w:tcPr>
            <w:tcW w:w="2835" w:type="dxa"/>
            <w:tcBorders>
              <w:bottom w:val="single" w:sz="4" w:space="0" w:color="auto"/>
            </w:tcBorders>
            <w:shd w:val="clear" w:color="auto" w:fill="auto"/>
          </w:tcPr>
          <w:p w14:paraId="4AB7F8C3" w14:textId="77777777" w:rsidR="0041345E" w:rsidRPr="00E26D09" w:rsidRDefault="0041345E" w:rsidP="0041345E">
            <w:pPr>
              <w:pStyle w:val="TAH"/>
              <w:rPr>
                <w:lang w:eastAsia="zh-CN"/>
              </w:rPr>
            </w:pPr>
            <w:r w:rsidRPr="007E346D">
              <w:t>Type of interfering signal</w:t>
            </w:r>
          </w:p>
        </w:tc>
      </w:tr>
      <w:tr w:rsidR="0041345E" w:rsidRPr="00E26D09" w14:paraId="590E976B" w14:textId="77777777" w:rsidTr="00255E64">
        <w:tc>
          <w:tcPr>
            <w:tcW w:w="1701" w:type="dxa"/>
            <w:tcBorders>
              <w:top w:val="single" w:sz="4" w:space="0" w:color="auto"/>
              <w:left w:val="single" w:sz="4" w:space="0" w:color="auto"/>
              <w:bottom w:val="single" w:sz="4" w:space="0" w:color="auto"/>
              <w:right w:val="single" w:sz="4" w:space="0" w:color="auto"/>
            </w:tcBorders>
            <w:shd w:val="clear" w:color="auto" w:fill="auto"/>
          </w:tcPr>
          <w:p w14:paraId="3F5FA775" w14:textId="77777777" w:rsidR="0041345E" w:rsidRPr="00E26D09" w:rsidRDefault="0041345E" w:rsidP="00255E64">
            <w:pPr>
              <w:pStyle w:val="TAC"/>
              <w:rPr>
                <w:lang w:eastAsia="zh-CN"/>
              </w:rPr>
            </w:pPr>
            <w:r w:rsidRPr="00E26D09">
              <w:rPr>
                <w:lang w:eastAsia="zh-CN"/>
              </w:rPr>
              <w:t>50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53A808EC" w14:textId="77777777" w:rsidR="0041345E" w:rsidRPr="00E26D09" w:rsidRDefault="0041345E" w:rsidP="00255E64">
            <w:pPr>
              <w:pStyle w:val="TAC"/>
              <w:rPr>
                <w:rFonts w:cs="Arial"/>
              </w:rPr>
            </w:pPr>
            <w:r w:rsidRPr="00E26D09">
              <w:rPr>
                <w:rFonts w:cs="Arial"/>
              </w:rPr>
              <w:t>±24.29</w:t>
            </w:r>
          </w:p>
        </w:tc>
        <w:tc>
          <w:tcPr>
            <w:tcW w:w="2835" w:type="dxa"/>
            <w:tcBorders>
              <w:top w:val="single" w:sz="4" w:space="0" w:color="auto"/>
              <w:left w:val="single" w:sz="4" w:space="0" w:color="auto"/>
              <w:bottom w:val="nil"/>
              <w:right w:val="single" w:sz="4" w:space="0" w:color="auto"/>
            </w:tcBorders>
            <w:shd w:val="clear" w:color="auto" w:fill="auto"/>
          </w:tcPr>
          <w:p w14:paraId="706B2245" w14:textId="77777777" w:rsidR="0041345E" w:rsidRPr="00E26D09" w:rsidRDefault="0041345E" w:rsidP="00255E64">
            <w:pPr>
              <w:pStyle w:val="TAC"/>
              <w:rPr>
                <w:lang w:eastAsia="zh-CN"/>
              </w:rPr>
            </w:pPr>
            <w:r w:rsidRPr="00E26D09">
              <w:rPr>
                <w:lang w:eastAsia="zh-CN"/>
              </w:rPr>
              <w:t>50</w:t>
            </w:r>
            <w:r w:rsidRPr="00E26D09">
              <w:rPr>
                <w:lang w:val="en-US" w:eastAsia="zh-CN"/>
              </w:rPr>
              <w:t> </w:t>
            </w:r>
            <w:r w:rsidRPr="00E26D09">
              <w:rPr>
                <w:lang w:eastAsia="zh-CN"/>
              </w:rPr>
              <w:t xml:space="preserve">MHz </w:t>
            </w:r>
            <w:r>
              <w:rPr>
                <w:lang w:eastAsia="zh-CN"/>
              </w:rPr>
              <w:t>CP</w:t>
            </w:r>
            <w:r w:rsidRPr="00E26D09">
              <w:rPr>
                <w:lang w:eastAsia="zh-CN"/>
              </w:rPr>
              <w:t>-OFDM NR signal,60 kHz SCS, 64 RBs</w:t>
            </w:r>
          </w:p>
        </w:tc>
      </w:tr>
      <w:tr w:rsidR="0041345E" w:rsidRPr="00E26D09" w14:paraId="199C2D22" w14:textId="77777777" w:rsidTr="00255E64">
        <w:tc>
          <w:tcPr>
            <w:tcW w:w="1701" w:type="dxa"/>
            <w:tcBorders>
              <w:top w:val="single" w:sz="4" w:space="0" w:color="auto"/>
              <w:left w:val="single" w:sz="4" w:space="0" w:color="auto"/>
              <w:bottom w:val="single" w:sz="4" w:space="0" w:color="auto"/>
              <w:right w:val="single" w:sz="4" w:space="0" w:color="auto"/>
            </w:tcBorders>
            <w:shd w:val="clear" w:color="auto" w:fill="auto"/>
          </w:tcPr>
          <w:p w14:paraId="1FD3C282" w14:textId="77777777" w:rsidR="0041345E" w:rsidRPr="00E26D09" w:rsidRDefault="0041345E" w:rsidP="00255E64">
            <w:pPr>
              <w:pStyle w:val="TAC"/>
              <w:rPr>
                <w:lang w:eastAsia="zh-CN"/>
              </w:rPr>
            </w:pPr>
            <w:r w:rsidRPr="00E26D09">
              <w:rPr>
                <w:lang w:eastAsia="zh-CN"/>
              </w:rPr>
              <w:t>100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19D9B884" w14:textId="77777777" w:rsidR="0041345E" w:rsidRPr="00E26D09" w:rsidRDefault="0041345E" w:rsidP="00255E64">
            <w:pPr>
              <w:pStyle w:val="TAC"/>
              <w:rPr>
                <w:rFonts w:cs="Arial"/>
              </w:rPr>
            </w:pPr>
            <w:r w:rsidRPr="00E26D09">
              <w:rPr>
                <w:rFonts w:cs="Arial"/>
              </w:rPr>
              <w:t>±24.31</w:t>
            </w:r>
          </w:p>
        </w:tc>
        <w:tc>
          <w:tcPr>
            <w:tcW w:w="2835" w:type="dxa"/>
            <w:tcBorders>
              <w:top w:val="nil"/>
              <w:left w:val="single" w:sz="4" w:space="0" w:color="auto"/>
              <w:bottom w:val="nil"/>
              <w:right w:val="single" w:sz="4" w:space="0" w:color="auto"/>
            </w:tcBorders>
            <w:shd w:val="clear" w:color="auto" w:fill="auto"/>
          </w:tcPr>
          <w:p w14:paraId="508857C6" w14:textId="77777777" w:rsidR="0041345E" w:rsidRPr="00E26D09" w:rsidRDefault="0041345E" w:rsidP="00255E64">
            <w:pPr>
              <w:pStyle w:val="TAC"/>
              <w:rPr>
                <w:lang w:eastAsia="zh-CN"/>
              </w:rPr>
            </w:pPr>
          </w:p>
        </w:tc>
      </w:tr>
      <w:tr w:rsidR="0041345E" w:rsidRPr="00E26D09" w14:paraId="12C5226B" w14:textId="77777777" w:rsidTr="00255E64">
        <w:tc>
          <w:tcPr>
            <w:tcW w:w="1701" w:type="dxa"/>
            <w:tcBorders>
              <w:top w:val="single" w:sz="4" w:space="0" w:color="auto"/>
              <w:left w:val="single" w:sz="4" w:space="0" w:color="auto"/>
              <w:bottom w:val="single" w:sz="4" w:space="0" w:color="auto"/>
              <w:right w:val="single" w:sz="4" w:space="0" w:color="auto"/>
            </w:tcBorders>
            <w:shd w:val="clear" w:color="auto" w:fill="auto"/>
          </w:tcPr>
          <w:p w14:paraId="177C41E7" w14:textId="77777777" w:rsidR="0041345E" w:rsidRPr="00E26D09" w:rsidRDefault="0041345E" w:rsidP="00255E64">
            <w:pPr>
              <w:pStyle w:val="TAC"/>
              <w:rPr>
                <w:lang w:eastAsia="zh-CN"/>
              </w:rPr>
            </w:pPr>
            <w:r w:rsidRPr="00E26D09">
              <w:rPr>
                <w:lang w:eastAsia="zh-CN"/>
              </w:rPr>
              <w:t>200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14F8F883" w14:textId="77777777" w:rsidR="0041345E" w:rsidRPr="00E26D09" w:rsidRDefault="0041345E" w:rsidP="00255E64">
            <w:pPr>
              <w:pStyle w:val="TAC"/>
              <w:rPr>
                <w:rFonts w:cs="Arial"/>
              </w:rPr>
            </w:pPr>
            <w:r w:rsidRPr="00E26D09">
              <w:rPr>
                <w:rFonts w:cs="Arial"/>
              </w:rPr>
              <w:t>±24.29</w:t>
            </w:r>
          </w:p>
        </w:tc>
        <w:tc>
          <w:tcPr>
            <w:tcW w:w="2835" w:type="dxa"/>
            <w:tcBorders>
              <w:top w:val="nil"/>
              <w:left w:val="single" w:sz="4" w:space="0" w:color="auto"/>
              <w:bottom w:val="nil"/>
              <w:right w:val="single" w:sz="4" w:space="0" w:color="auto"/>
            </w:tcBorders>
            <w:shd w:val="clear" w:color="auto" w:fill="auto"/>
          </w:tcPr>
          <w:p w14:paraId="2E6278E8" w14:textId="77777777" w:rsidR="0041345E" w:rsidRPr="00E26D09" w:rsidRDefault="0041345E" w:rsidP="00255E64">
            <w:pPr>
              <w:pStyle w:val="TAC"/>
              <w:rPr>
                <w:lang w:eastAsia="zh-CN"/>
              </w:rPr>
            </w:pPr>
          </w:p>
        </w:tc>
      </w:tr>
      <w:tr w:rsidR="0041345E" w:rsidRPr="00E26D09" w14:paraId="383EB4F6" w14:textId="77777777" w:rsidTr="00255E64">
        <w:tc>
          <w:tcPr>
            <w:tcW w:w="1701" w:type="dxa"/>
            <w:tcBorders>
              <w:top w:val="single" w:sz="4" w:space="0" w:color="auto"/>
              <w:left w:val="single" w:sz="4" w:space="0" w:color="auto"/>
              <w:bottom w:val="single" w:sz="4" w:space="0" w:color="auto"/>
              <w:right w:val="single" w:sz="4" w:space="0" w:color="auto"/>
            </w:tcBorders>
            <w:shd w:val="clear" w:color="auto" w:fill="auto"/>
          </w:tcPr>
          <w:p w14:paraId="2FC616F3" w14:textId="77777777" w:rsidR="0041345E" w:rsidRPr="00E26D09" w:rsidRDefault="0041345E" w:rsidP="00255E64">
            <w:pPr>
              <w:pStyle w:val="TAC"/>
              <w:rPr>
                <w:lang w:eastAsia="zh-CN"/>
              </w:rPr>
            </w:pPr>
            <w:r w:rsidRPr="00E26D09">
              <w:rPr>
                <w:lang w:eastAsia="zh-CN"/>
              </w:rPr>
              <w:t>400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5D6B24F8" w14:textId="77777777" w:rsidR="0041345E" w:rsidRPr="00E26D09" w:rsidRDefault="0041345E" w:rsidP="00255E64">
            <w:pPr>
              <w:pStyle w:val="TAC"/>
              <w:rPr>
                <w:rFonts w:cs="Arial"/>
              </w:rPr>
            </w:pPr>
            <w:r w:rsidRPr="00E26D09">
              <w:rPr>
                <w:rFonts w:cs="Arial"/>
              </w:rPr>
              <w:t>±24.31</w:t>
            </w:r>
          </w:p>
        </w:tc>
        <w:tc>
          <w:tcPr>
            <w:tcW w:w="2835" w:type="dxa"/>
            <w:tcBorders>
              <w:top w:val="nil"/>
              <w:left w:val="single" w:sz="4" w:space="0" w:color="auto"/>
              <w:bottom w:val="single" w:sz="4" w:space="0" w:color="auto"/>
              <w:right w:val="single" w:sz="4" w:space="0" w:color="auto"/>
            </w:tcBorders>
            <w:shd w:val="clear" w:color="auto" w:fill="auto"/>
          </w:tcPr>
          <w:p w14:paraId="72761CE0" w14:textId="77777777" w:rsidR="0041345E" w:rsidRPr="00E26D09" w:rsidRDefault="0041345E" w:rsidP="00255E64">
            <w:pPr>
              <w:pStyle w:val="TAC"/>
              <w:rPr>
                <w:lang w:eastAsia="zh-CN"/>
              </w:rPr>
            </w:pPr>
          </w:p>
        </w:tc>
      </w:tr>
    </w:tbl>
    <w:p w14:paraId="58B1174F" w14:textId="77777777" w:rsidR="007B131C" w:rsidRPr="00E26D09" w:rsidRDefault="007B131C" w:rsidP="007B131C">
      <w:pPr>
        <w:rPr>
          <w:lang w:val="en-US"/>
        </w:rPr>
      </w:pPr>
    </w:p>
    <w:p w14:paraId="63E5C01F" w14:textId="217398E5" w:rsidR="00EC46F1" w:rsidRDefault="00EC46F1" w:rsidP="00EC46F1">
      <w:pPr>
        <w:pStyle w:val="Heading4"/>
        <w:ind w:left="864" w:hanging="864"/>
      </w:pPr>
      <w:bookmarkStart w:id="6665" w:name="_Toc53185555"/>
      <w:bookmarkStart w:id="6666" w:name="_Toc53185931"/>
      <w:bookmarkStart w:id="6667" w:name="_Toc57820417"/>
      <w:bookmarkStart w:id="6668" w:name="_Toc57821344"/>
      <w:bookmarkStart w:id="6669" w:name="_Toc61183620"/>
      <w:bookmarkStart w:id="6670" w:name="_Toc61184014"/>
      <w:bookmarkStart w:id="6671" w:name="_Toc61184406"/>
      <w:bookmarkStart w:id="6672" w:name="_Toc61184798"/>
      <w:bookmarkStart w:id="6673" w:name="_Toc61185188"/>
      <w:bookmarkStart w:id="6674" w:name="_Toc66386532"/>
      <w:bookmarkStart w:id="6675" w:name="_Toc74583435"/>
      <w:bookmarkStart w:id="6676" w:name="_Toc76542248"/>
      <w:bookmarkStart w:id="6677" w:name="_Toc82450230"/>
      <w:bookmarkStart w:id="6678" w:name="_Toc82450878"/>
      <w:bookmarkStart w:id="6679" w:name="_Toc89949267"/>
      <w:bookmarkStart w:id="6680" w:name="_Toc98755656"/>
      <w:bookmarkStart w:id="6681" w:name="_Toc98763248"/>
      <w:bookmarkStart w:id="6682" w:name="_Toc106184177"/>
      <w:bookmarkStart w:id="6683" w:name="_Toc21127715"/>
      <w:bookmarkStart w:id="6684" w:name="_Toc29811924"/>
      <w:r>
        <w:t>10.5.1.5</w:t>
      </w:r>
      <w:r>
        <w:tab/>
      </w:r>
      <w:r w:rsidR="00255E64">
        <w:tab/>
      </w:r>
      <w:r>
        <w:t xml:space="preserve">Minimum requirement for </w:t>
      </w:r>
      <w:r>
        <w:rPr>
          <w:i/>
        </w:rPr>
        <w:t>IAB-MT type 1-O</w:t>
      </w:r>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p>
    <w:bookmarkEnd w:id="6683"/>
    <w:bookmarkEnd w:id="6684"/>
    <w:p w14:paraId="00085DC0" w14:textId="77777777" w:rsidR="00EC46F1" w:rsidRPr="004611A4" w:rsidRDefault="00EC46F1" w:rsidP="00EC46F1">
      <w:pPr>
        <w:rPr>
          <w:rFonts w:eastAsia="DengXian"/>
        </w:rPr>
      </w:pPr>
      <w:r w:rsidRPr="004611A4">
        <w:rPr>
          <w:rFonts w:eastAsia="DengXian"/>
        </w:rPr>
        <w:t xml:space="preserve">The requirement shall apply at the RIB when the AoA of the incident wave of a received signal and the interfering signal are from the same direction and are within the </w:t>
      </w:r>
      <w:r w:rsidRPr="004611A4">
        <w:rPr>
          <w:rFonts w:eastAsia="DengXian"/>
          <w:i/>
        </w:rPr>
        <w:t>minSENS RoAoA</w:t>
      </w:r>
      <w:r w:rsidRPr="004611A4">
        <w:rPr>
          <w:rFonts w:eastAsia="DengXian"/>
        </w:rPr>
        <w:t>.</w:t>
      </w:r>
    </w:p>
    <w:p w14:paraId="5C014539" w14:textId="77777777" w:rsidR="00EC46F1" w:rsidRPr="004611A4" w:rsidRDefault="00EC46F1" w:rsidP="00EC46F1">
      <w:pPr>
        <w:rPr>
          <w:rFonts w:eastAsia="DengXian"/>
        </w:rPr>
      </w:pPr>
      <w:r w:rsidRPr="004611A4">
        <w:rPr>
          <w:rFonts w:eastAsia="DengXian"/>
        </w:rPr>
        <w:lastRenderedPageBreak/>
        <w:t>The wanted and interfering signals apply to each supported polarization, under the assumption o</w:t>
      </w:r>
      <w:r w:rsidRPr="004611A4">
        <w:rPr>
          <w:rFonts w:eastAsia="DengXian"/>
          <w:i/>
        </w:rPr>
        <w:t>f polarization match</w:t>
      </w:r>
      <w:r w:rsidRPr="004611A4">
        <w:rPr>
          <w:rFonts w:eastAsia="DengXian"/>
        </w:rPr>
        <w:t>.</w:t>
      </w:r>
    </w:p>
    <w:p w14:paraId="37C97792" w14:textId="77777777" w:rsidR="00EC46F1" w:rsidRPr="004611A4" w:rsidRDefault="00EC46F1" w:rsidP="00EC46F1">
      <w:pPr>
        <w:rPr>
          <w:rFonts w:eastAsia="DengXian"/>
        </w:rPr>
      </w:pPr>
      <w:r w:rsidRPr="004611A4">
        <w:rPr>
          <w:rFonts w:eastAsia="DengXian"/>
        </w:rPr>
        <w:t xml:space="preserve">The throughput shall be </w:t>
      </w:r>
      <w:r w:rsidRPr="004611A4">
        <w:rPr>
          <w:rFonts w:eastAsia="DengXian" w:hint="eastAsia"/>
        </w:rPr>
        <w:t>≥</w:t>
      </w:r>
      <w:r w:rsidRPr="004611A4">
        <w:rPr>
          <w:rFonts w:eastAsia="DengXian"/>
        </w:rPr>
        <w:t xml:space="preserve"> 95% of the maximum throughput of the reference measurement channel.</w:t>
      </w:r>
    </w:p>
    <w:p w14:paraId="46FCF7AD" w14:textId="00CF69A6" w:rsidR="00EC46F1" w:rsidRPr="004611A4" w:rsidRDefault="00EC46F1" w:rsidP="00EC46F1">
      <w:pPr>
        <w:rPr>
          <w:rFonts w:eastAsia="Osaka"/>
        </w:rPr>
      </w:pPr>
      <w:r w:rsidRPr="004611A4">
        <w:rPr>
          <w:rFonts w:eastAsia="DengXian"/>
        </w:rPr>
        <w:t xml:space="preserve">For FR1, </w:t>
      </w:r>
      <w:r w:rsidRPr="004611A4">
        <w:rPr>
          <w:rFonts w:eastAsia="DengXian"/>
          <w:lang w:eastAsia="zh-CN"/>
        </w:rPr>
        <w:t xml:space="preserve">the OTA </w:t>
      </w:r>
      <w:r w:rsidRPr="004611A4">
        <w:rPr>
          <w:rFonts w:eastAsia="DengXian"/>
        </w:rPr>
        <w:t xml:space="preserve">wanted and </w:t>
      </w:r>
      <w:r w:rsidRPr="004611A4">
        <w:rPr>
          <w:rFonts w:eastAsia="DengXian"/>
          <w:lang w:eastAsia="zh-CN"/>
        </w:rPr>
        <w:t>the</w:t>
      </w:r>
      <w:r w:rsidRPr="004611A4">
        <w:rPr>
          <w:rFonts w:eastAsia="DengXian"/>
        </w:rPr>
        <w:t xml:space="preserve"> interfering signal </w:t>
      </w:r>
      <w:r w:rsidRPr="004611A4">
        <w:rPr>
          <w:rFonts w:eastAsia="DengXian"/>
          <w:lang w:eastAsia="zh-CN"/>
        </w:rPr>
        <w:t>are</w:t>
      </w:r>
      <w:r w:rsidRPr="004611A4">
        <w:rPr>
          <w:rFonts w:eastAsia="DengXian"/>
        </w:rPr>
        <w:t xml:space="preserve"> specified</w:t>
      </w:r>
      <w:r w:rsidRPr="004611A4">
        <w:rPr>
          <w:rFonts w:eastAsia="Osaka"/>
        </w:rPr>
        <w:t xml:space="preserve"> in table </w:t>
      </w:r>
      <w:r w:rsidRPr="004611A4">
        <w:rPr>
          <w:rFonts w:cs="v5.0.0"/>
          <w:lang w:eastAsia="zh-CN"/>
        </w:rPr>
        <w:t>10.5.1.</w:t>
      </w:r>
      <w:r>
        <w:rPr>
          <w:rFonts w:cs="v5.0.0"/>
          <w:lang w:eastAsia="zh-CN"/>
        </w:rPr>
        <w:t>5</w:t>
      </w:r>
      <w:r w:rsidRPr="004611A4">
        <w:rPr>
          <w:rFonts w:eastAsia="Osaka"/>
        </w:rPr>
        <w:t>-</w:t>
      </w:r>
      <w:r w:rsidRPr="004611A4">
        <w:rPr>
          <w:lang w:eastAsia="zh-CN"/>
        </w:rPr>
        <w:t>1</w:t>
      </w:r>
      <w:r>
        <w:rPr>
          <w:lang w:eastAsia="zh-CN"/>
        </w:rPr>
        <w:t xml:space="preserve">, </w:t>
      </w:r>
      <w:r w:rsidRPr="004611A4">
        <w:rPr>
          <w:lang w:eastAsia="zh-CN"/>
        </w:rPr>
        <w:t>table 10.5.1.</w:t>
      </w:r>
      <w:r>
        <w:rPr>
          <w:lang w:eastAsia="zh-CN"/>
        </w:rPr>
        <w:t>5</w:t>
      </w:r>
      <w:r w:rsidRPr="004611A4">
        <w:rPr>
          <w:lang w:eastAsia="zh-CN"/>
        </w:rPr>
        <w:t>-2</w:t>
      </w:r>
      <w:r w:rsidRPr="004611A4">
        <w:rPr>
          <w:rFonts w:eastAsia="Osaka"/>
        </w:rPr>
        <w:t xml:space="preserve"> </w:t>
      </w:r>
      <w:r>
        <w:rPr>
          <w:rFonts w:eastAsia="Osaka"/>
        </w:rPr>
        <w:t xml:space="preserve"> and </w:t>
      </w:r>
      <w:r w:rsidRPr="004611A4">
        <w:rPr>
          <w:rFonts w:eastAsia="DengXian"/>
        </w:rPr>
        <w:t>table 10.5.1.</w:t>
      </w:r>
      <w:r>
        <w:rPr>
          <w:rFonts w:eastAsia="DengXian"/>
        </w:rPr>
        <w:t>5</w:t>
      </w:r>
      <w:r w:rsidRPr="004611A4">
        <w:rPr>
          <w:rFonts w:eastAsia="DengXian"/>
        </w:rPr>
        <w:t>-</w:t>
      </w:r>
      <w:r>
        <w:rPr>
          <w:lang w:eastAsia="zh-CN"/>
        </w:rPr>
        <w:t xml:space="preserve">3 </w:t>
      </w:r>
      <w:r w:rsidRPr="004611A4">
        <w:rPr>
          <w:rFonts w:eastAsia="Osaka"/>
        </w:rPr>
        <w:t xml:space="preserve">for </w:t>
      </w:r>
      <w:r w:rsidRPr="004611A4">
        <w:rPr>
          <w:rFonts w:eastAsia="DengXian" w:hint="eastAsia"/>
          <w:lang w:val="en-US" w:eastAsia="zh-CN"/>
        </w:rPr>
        <w:t xml:space="preserve">OTA </w:t>
      </w:r>
      <w:r w:rsidRPr="004611A4">
        <w:rPr>
          <w:rFonts w:eastAsia="Osaka"/>
        </w:rPr>
        <w:t xml:space="preserve">ACS. The reference measurement channel for the OTA wanted signal is further specified in annex </w:t>
      </w:r>
      <w:r w:rsidR="007905EC" w:rsidRPr="004611A4">
        <w:rPr>
          <w:rFonts w:eastAsia="Osaka"/>
        </w:rPr>
        <w:t>A.1</w:t>
      </w:r>
      <w:r w:rsidRPr="004611A4">
        <w:rPr>
          <w:rFonts w:eastAsia="Osaka"/>
        </w:rPr>
        <w:t xml:space="preserve">. The characteristics of the interfering signal is further specified in annex </w:t>
      </w:r>
      <w:r w:rsidR="007905EC">
        <w:rPr>
          <w:rFonts w:eastAsia="Osaka"/>
        </w:rPr>
        <w:t>F</w:t>
      </w:r>
      <w:r w:rsidRPr="004611A4">
        <w:rPr>
          <w:rFonts w:eastAsia="Osaka"/>
        </w:rPr>
        <w:t>.</w:t>
      </w:r>
    </w:p>
    <w:p w14:paraId="71B6874E" w14:textId="77777777" w:rsidR="00EC46F1" w:rsidRPr="004611A4" w:rsidRDefault="00EC46F1" w:rsidP="00EC46F1">
      <w:pPr>
        <w:rPr>
          <w:rFonts w:eastAsia="Osaka"/>
        </w:rPr>
      </w:pPr>
      <w:r w:rsidRPr="004611A4">
        <w:rPr>
          <w:rFonts w:eastAsia="Osaka"/>
        </w:rPr>
        <w:t xml:space="preserve">The OTA ACS requirement is applicable outside the </w:t>
      </w:r>
      <w:r>
        <w:rPr>
          <w:rFonts w:eastAsia="DengXian"/>
          <w:i/>
          <w:lang w:eastAsia="zh-CN"/>
        </w:rPr>
        <w:t xml:space="preserve">IAB-MT </w:t>
      </w:r>
      <w:r w:rsidRPr="004611A4">
        <w:rPr>
          <w:rFonts w:eastAsia="Osaka"/>
          <w:i/>
        </w:rPr>
        <w:t>RF Bandwidth</w:t>
      </w:r>
      <w:r w:rsidRPr="004611A4">
        <w:rPr>
          <w:rFonts w:eastAsia="DengXian"/>
          <w:lang w:eastAsia="zh-CN"/>
        </w:rPr>
        <w:t xml:space="preserve"> or </w:t>
      </w:r>
      <w:r w:rsidRPr="004611A4">
        <w:rPr>
          <w:rFonts w:eastAsia="DengXian"/>
          <w:i/>
          <w:lang w:eastAsia="zh-CN"/>
        </w:rPr>
        <w:t>Radio Bandwidth</w:t>
      </w:r>
      <w:r w:rsidRPr="004611A4">
        <w:rPr>
          <w:rFonts w:eastAsia="Osaka"/>
        </w:rPr>
        <w:t>. The OTA interfering signal offset is defined relative to the</w:t>
      </w:r>
      <w:r w:rsidRPr="004611A4">
        <w:rPr>
          <w:rFonts w:eastAsia="DengXian"/>
        </w:rPr>
        <w:t xml:space="preserve"> </w:t>
      </w:r>
      <w:r>
        <w:rPr>
          <w:rFonts w:eastAsia="Osaka"/>
          <w:i/>
        </w:rPr>
        <w:t>IAB-MT</w:t>
      </w:r>
      <w:r w:rsidRPr="004611A4">
        <w:rPr>
          <w:rFonts w:eastAsia="Osaka"/>
          <w:i/>
        </w:rPr>
        <w:t xml:space="preserve"> RF Bandwidth edges</w:t>
      </w:r>
      <w:r w:rsidRPr="004611A4">
        <w:rPr>
          <w:rFonts w:eastAsia="Osaka"/>
        </w:rPr>
        <w:t xml:space="preserve"> </w:t>
      </w:r>
      <w:r w:rsidRPr="004611A4">
        <w:rPr>
          <w:rFonts w:eastAsia="DengXian"/>
          <w:lang w:eastAsia="zh-CN"/>
        </w:rPr>
        <w:t xml:space="preserve">or </w:t>
      </w:r>
      <w:r w:rsidRPr="004611A4">
        <w:rPr>
          <w:rFonts w:eastAsia="DengXian"/>
          <w:i/>
          <w:lang w:eastAsia="zh-CN"/>
        </w:rPr>
        <w:t xml:space="preserve">Radio Bandwidth </w:t>
      </w:r>
      <w:r w:rsidRPr="004611A4">
        <w:rPr>
          <w:rFonts w:eastAsia="Osaka"/>
          <w:i/>
        </w:rPr>
        <w:t>edges</w:t>
      </w:r>
      <w:r w:rsidRPr="004611A4">
        <w:rPr>
          <w:rFonts w:eastAsia="Osaka"/>
        </w:rPr>
        <w:t>.</w:t>
      </w:r>
    </w:p>
    <w:p w14:paraId="0271A4EA" w14:textId="77777777" w:rsidR="00EC46F1" w:rsidRPr="004611A4" w:rsidRDefault="00EC46F1" w:rsidP="00EC46F1">
      <w:pPr>
        <w:rPr>
          <w:lang w:eastAsia="zh-CN"/>
        </w:rPr>
      </w:pPr>
      <w:r w:rsidRPr="004611A4">
        <w:rPr>
          <w:rFonts w:eastAsia="DengXian"/>
        </w:rPr>
        <w:t xml:space="preserve">For RIBs supporting operation in </w:t>
      </w:r>
      <w:r w:rsidRPr="004611A4">
        <w:rPr>
          <w:rFonts w:eastAsia="DengXian"/>
          <w:i/>
        </w:rPr>
        <w:t>non-contiguous spectrum</w:t>
      </w:r>
      <w:r w:rsidRPr="004611A4">
        <w:rPr>
          <w:rFonts w:eastAsia="DengXian"/>
        </w:rPr>
        <w:t xml:space="preserve"> within any </w:t>
      </w:r>
      <w:r w:rsidRPr="004611A4">
        <w:rPr>
          <w:rFonts w:eastAsia="DengXian"/>
          <w:i/>
        </w:rPr>
        <w:t>operating band</w:t>
      </w:r>
      <w:r w:rsidRPr="004611A4">
        <w:rPr>
          <w:rFonts w:eastAsia="DengXian"/>
        </w:rPr>
        <w:t xml:space="preserve">, the OTA ACS requirement shall apply in addition inside any </w:t>
      </w:r>
      <w:r w:rsidRPr="004611A4">
        <w:rPr>
          <w:rFonts w:eastAsia="DengXian"/>
          <w:i/>
        </w:rPr>
        <w:t>sub-block gap</w:t>
      </w:r>
      <w:r w:rsidRPr="004611A4">
        <w:rPr>
          <w:rFonts w:eastAsia="DengXian"/>
        </w:rPr>
        <w:t xml:space="preserve">, in case the </w:t>
      </w:r>
      <w:r w:rsidRPr="004611A4">
        <w:rPr>
          <w:rFonts w:eastAsia="DengXian"/>
          <w:i/>
        </w:rPr>
        <w:t>sub-block gap</w:t>
      </w:r>
      <w:r w:rsidRPr="004611A4">
        <w:rPr>
          <w:rFonts w:eastAsia="DengXian"/>
        </w:rPr>
        <w:t xml:space="preserve"> size is at least as wide as the NR interfering signal in table 10.5.1.</w:t>
      </w:r>
      <w:r>
        <w:rPr>
          <w:rFonts w:eastAsia="DengXian"/>
        </w:rPr>
        <w:t>5</w:t>
      </w:r>
      <w:r w:rsidRPr="004611A4">
        <w:rPr>
          <w:rFonts w:eastAsia="DengXian"/>
        </w:rPr>
        <w:t>-</w:t>
      </w:r>
      <w:r w:rsidRPr="004611A4">
        <w:rPr>
          <w:lang w:eastAsia="zh-CN"/>
        </w:rPr>
        <w:t>2</w:t>
      </w:r>
      <w:r>
        <w:rPr>
          <w:lang w:eastAsia="zh-CN"/>
        </w:rPr>
        <w:t xml:space="preserve"> and table </w:t>
      </w:r>
      <w:r w:rsidRPr="004611A4">
        <w:rPr>
          <w:rFonts w:eastAsia="DengXian"/>
        </w:rPr>
        <w:t>table 10.5.1.</w:t>
      </w:r>
      <w:r>
        <w:rPr>
          <w:rFonts w:eastAsia="DengXian"/>
        </w:rPr>
        <w:t>5</w:t>
      </w:r>
      <w:r w:rsidRPr="004611A4">
        <w:rPr>
          <w:rFonts w:eastAsia="DengXian"/>
        </w:rPr>
        <w:t>-</w:t>
      </w:r>
      <w:r>
        <w:rPr>
          <w:lang w:eastAsia="zh-CN"/>
        </w:rPr>
        <w:t>3</w:t>
      </w:r>
      <w:r w:rsidRPr="004611A4">
        <w:rPr>
          <w:rFonts w:eastAsia="DengXian"/>
        </w:rPr>
        <w:t xml:space="preserve">. The OTA interfering signal offset is defined relative to the </w:t>
      </w:r>
      <w:r w:rsidRPr="004611A4">
        <w:rPr>
          <w:rFonts w:eastAsia="DengXian"/>
          <w:i/>
        </w:rPr>
        <w:t>sub-block</w:t>
      </w:r>
      <w:r w:rsidRPr="004611A4">
        <w:rPr>
          <w:rFonts w:eastAsia="DengXian"/>
        </w:rPr>
        <w:t xml:space="preserve"> edges inside the </w:t>
      </w:r>
      <w:r w:rsidRPr="004611A4">
        <w:rPr>
          <w:rFonts w:eastAsia="DengXian"/>
          <w:i/>
        </w:rPr>
        <w:t>sub-block gap</w:t>
      </w:r>
      <w:r w:rsidRPr="004611A4">
        <w:rPr>
          <w:rFonts w:eastAsia="DengXian"/>
        </w:rPr>
        <w:t>.</w:t>
      </w:r>
    </w:p>
    <w:p w14:paraId="31E9A576" w14:textId="2D5C7761" w:rsidR="0041345E" w:rsidRPr="004611A4" w:rsidRDefault="0041345E" w:rsidP="0041345E">
      <w:pPr>
        <w:rPr>
          <w:lang w:eastAsia="zh-CN"/>
        </w:rPr>
      </w:pPr>
      <w:r w:rsidRPr="004611A4">
        <w:rPr>
          <w:rFonts w:eastAsia="DengXian"/>
        </w:rPr>
        <w:t xml:space="preserve">For </w:t>
      </w:r>
      <w:r w:rsidRPr="004611A4">
        <w:rPr>
          <w:rFonts w:eastAsia="DengXian"/>
          <w:i/>
        </w:rPr>
        <w:t>multi-band RIBs</w:t>
      </w:r>
      <w:r w:rsidRPr="004611A4">
        <w:rPr>
          <w:rFonts w:eastAsia="DengXian"/>
        </w:rPr>
        <w:t xml:space="preserve">, the OTA ACS requirement shall apply in addition inside any </w:t>
      </w:r>
      <w:r w:rsidRPr="004611A4">
        <w:rPr>
          <w:rFonts w:eastAsia="DengXian"/>
          <w:i/>
        </w:rPr>
        <w:t>Inter RF Bandwidth gap</w:t>
      </w:r>
      <w:r w:rsidRPr="004611A4">
        <w:rPr>
          <w:rFonts w:eastAsia="DengXian"/>
        </w:rPr>
        <w:t xml:space="preserve">, in case the </w:t>
      </w:r>
      <w:r w:rsidRPr="004611A4">
        <w:rPr>
          <w:rFonts w:eastAsia="DengXian"/>
          <w:i/>
        </w:rPr>
        <w:t>Inter RF Bandwidth gap</w:t>
      </w:r>
      <w:r w:rsidRPr="004611A4">
        <w:rPr>
          <w:rFonts w:eastAsia="DengXian"/>
        </w:rPr>
        <w:t xml:space="preserve"> size is at least as wide as the NR interfering signal in table 10.5.1.</w:t>
      </w:r>
      <w:r>
        <w:rPr>
          <w:rFonts w:eastAsia="DengXian"/>
        </w:rPr>
        <w:t>5</w:t>
      </w:r>
      <w:r w:rsidRPr="004611A4">
        <w:rPr>
          <w:rFonts w:eastAsia="DengXian"/>
        </w:rPr>
        <w:t>-</w:t>
      </w:r>
      <w:r w:rsidRPr="004611A4">
        <w:rPr>
          <w:lang w:eastAsia="zh-CN"/>
        </w:rPr>
        <w:t>2</w:t>
      </w:r>
      <w:r>
        <w:rPr>
          <w:lang w:eastAsia="zh-CN"/>
        </w:rPr>
        <w:t xml:space="preserve"> and </w:t>
      </w:r>
      <w:r w:rsidRPr="004611A4">
        <w:rPr>
          <w:rFonts w:eastAsia="DengXian"/>
        </w:rPr>
        <w:t>table 10.5.1.</w:t>
      </w:r>
      <w:r>
        <w:rPr>
          <w:rFonts w:eastAsia="DengXian"/>
        </w:rPr>
        <w:t>5</w:t>
      </w:r>
      <w:r w:rsidRPr="004611A4">
        <w:rPr>
          <w:rFonts w:eastAsia="DengXian"/>
        </w:rPr>
        <w:t>-</w:t>
      </w:r>
      <w:r>
        <w:rPr>
          <w:lang w:eastAsia="zh-CN"/>
        </w:rPr>
        <w:t>3</w:t>
      </w:r>
      <w:r w:rsidRPr="004611A4">
        <w:rPr>
          <w:rFonts w:eastAsia="DengXian"/>
        </w:rPr>
        <w:t xml:space="preserve">. The interfering signal offset is defined relative to the </w:t>
      </w:r>
      <w:r>
        <w:rPr>
          <w:rFonts w:eastAsia="DengXian"/>
          <w:i/>
        </w:rPr>
        <w:t>IAB-MT</w:t>
      </w:r>
      <w:r w:rsidRPr="004611A4">
        <w:rPr>
          <w:rFonts w:eastAsia="DengXian"/>
          <w:i/>
        </w:rPr>
        <w:t xml:space="preserve"> RF Bandwidth</w:t>
      </w:r>
      <w:r w:rsidRPr="004611A4">
        <w:rPr>
          <w:rFonts w:eastAsia="DengXian"/>
        </w:rPr>
        <w:t xml:space="preserve"> edges inside the </w:t>
      </w:r>
      <w:r w:rsidRPr="004611A4">
        <w:rPr>
          <w:rFonts w:eastAsia="DengXian"/>
          <w:i/>
        </w:rPr>
        <w:t>Inter RF Bandwidth gap</w:t>
      </w:r>
      <w:r w:rsidRPr="004611A4">
        <w:rPr>
          <w:rFonts w:eastAsia="DengXian"/>
        </w:rPr>
        <w:t>.</w:t>
      </w:r>
    </w:p>
    <w:p w14:paraId="3F7DA31E" w14:textId="0436789A" w:rsidR="00EC46F1" w:rsidRPr="004611A4" w:rsidRDefault="00EC46F1" w:rsidP="00EC46F1">
      <w:pPr>
        <w:keepNext/>
        <w:keepLines/>
        <w:spacing w:before="60"/>
        <w:jc w:val="center"/>
        <w:rPr>
          <w:rFonts w:ascii="Arial" w:hAnsi="Arial"/>
          <w:b/>
          <w:lang w:eastAsia="zh-CN"/>
        </w:rPr>
      </w:pPr>
      <w:r w:rsidRPr="004611A4">
        <w:rPr>
          <w:rFonts w:ascii="Arial" w:eastAsia="DengXian" w:hAnsi="Arial"/>
          <w:b/>
        </w:rPr>
        <w:t xml:space="preserve">Table </w:t>
      </w:r>
      <w:r w:rsidRPr="004611A4">
        <w:rPr>
          <w:rFonts w:ascii="Arial" w:hAnsi="Arial"/>
          <w:b/>
          <w:lang w:eastAsia="zh-CN"/>
        </w:rPr>
        <w:t>10.5.1.</w:t>
      </w:r>
      <w:r>
        <w:rPr>
          <w:rFonts w:ascii="Arial" w:hAnsi="Arial"/>
          <w:b/>
          <w:lang w:eastAsia="zh-CN"/>
        </w:rPr>
        <w:t>5</w:t>
      </w:r>
      <w:r w:rsidRPr="004611A4">
        <w:rPr>
          <w:rFonts w:ascii="Arial" w:eastAsia="DengXian" w:hAnsi="Arial"/>
          <w:b/>
        </w:rPr>
        <w:t>-</w:t>
      </w:r>
      <w:r w:rsidRPr="004611A4">
        <w:rPr>
          <w:rFonts w:ascii="Arial" w:hAnsi="Arial"/>
          <w:b/>
          <w:lang w:eastAsia="zh-CN"/>
        </w:rPr>
        <w:t>1</w:t>
      </w:r>
      <w:r w:rsidRPr="004611A4">
        <w:rPr>
          <w:rFonts w:ascii="Arial" w:eastAsia="DengXian" w:hAnsi="Arial"/>
          <w:b/>
        </w:rPr>
        <w:t>: OTA A</w:t>
      </w:r>
      <w:r w:rsidRPr="004611A4">
        <w:rPr>
          <w:rFonts w:ascii="Arial" w:hAnsi="Arial"/>
          <w:b/>
          <w:lang w:eastAsia="zh-CN"/>
        </w:rPr>
        <w:t>CS requirement for</w:t>
      </w:r>
      <w:r>
        <w:rPr>
          <w:rFonts w:ascii="Arial" w:hAnsi="Arial"/>
          <w:b/>
          <w:lang w:eastAsia="zh-CN"/>
        </w:rPr>
        <w:t xml:space="preserve"> </w:t>
      </w:r>
      <w:r>
        <w:rPr>
          <w:rFonts w:ascii="Arial" w:hAnsi="Arial"/>
          <w:b/>
          <w:i/>
          <w:lang w:eastAsia="zh-CN"/>
        </w:rPr>
        <w:t>IAB-MT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8"/>
        <w:gridCol w:w="1792"/>
        <w:gridCol w:w="3319"/>
      </w:tblGrid>
      <w:tr w:rsidR="00EC46F1" w:rsidRPr="004611A4" w14:paraId="669D2D62" w14:textId="77777777" w:rsidTr="00BD1F8C">
        <w:trPr>
          <w:trHeight w:val="629"/>
          <w:jc w:val="center"/>
        </w:trPr>
        <w:tc>
          <w:tcPr>
            <w:tcW w:w="1948" w:type="dxa"/>
            <w:tcBorders>
              <w:top w:val="single" w:sz="4" w:space="0" w:color="auto"/>
              <w:left w:val="single" w:sz="4" w:space="0" w:color="auto"/>
              <w:bottom w:val="single" w:sz="4" w:space="0" w:color="auto"/>
              <w:right w:val="single" w:sz="4" w:space="0" w:color="auto"/>
            </w:tcBorders>
          </w:tcPr>
          <w:p w14:paraId="51E798F4" w14:textId="77777777" w:rsidR="00EC46F1" w:rsidRPr="004611A4" w:rsidRDefault="00EC46F1" w:rsidP="00BD1F8C">
            <w:pPr>
              <w:keepNext/>
              <w:keepLines/>
              <w:tabs>
                <w:tab w:val="left" w:pos="540"/>
                <w:tab w:val="left" w:pos="1260"/>
                <w:tab w:val="left" w:pos="1800"/>
              </w:tabs>
              <w:spacing w:after="0"/>
              <w:jc w:val="center"/>
              <w:rPr>
                <w:rFonts w:ascii="Arial" w:eastAsia="DengXian" w:hAnsi="Arial"/>
                <w:b/>
                <w:sz w:val="18"/>
              </w:rPr>
            </w:pPr>
            <w:r>
              <w:rPr>
                <w:rFonts w:ascii="Arial" w:eastAsia="DengXian" w:hAnsi="Arial"/>
                <w:b/>
                <w:i/>
                <w:sz w:val="18"/>
              </w:rPr>
              <w:t>IAB-MT</w:t>
            </w:r>
            <w:r w:rsidRPr="004611A4">
              <w:rPr>
                <w:rFonts w:ascii="Arial" w:eastAsia="DengXian" w:hAnsi="Arial"/>
                <w:b/>
                <w:i/>
                <w:sz w:val="18"/>
              </w:rPr>
              <w:t xml:space="preserve"> channel bandwidth</w:t>
            </w:r>
            <w:r w:rsidRPr="004611A4">
              <w:rPr>
                <w:rFonts w:ascii="Arial" w:eastAsia="DengXian" w:hAnsi="Arial"/>
                <w:b/>
                <w:sz w:val="18"/>
              </w:rPr>
              <w:t xml:space="preserve"> of the </w:t>
            </w:r>
            <w:r w:rsidRPr="004611A4">
              <w:rPr>
                <w:rFonts w:ascii="Arial" w:eastAsia="DengXian" w:hAnsi="Arial"/>
                <w:b/>
                <w:i/>
                <w:sz w:val="18"/>
              </w:rPr>
              <w:t>lowest/highest carrier</w:t>
            </w:r>
            <w:r w:rsidRPr="004611A4">
              <w:rPr>
                <w:rFonts w:ascii="Arial" w:eastAsia="DengXian" w:hAnsi="Arial"/>
                <w:b/>
                <w:sz w:val="18"/>
              </w:rPr>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3CE3A76D" w14:textId="77777777" w:rsidR="00EC46F1" w:rsidRPr="004611A4" w:rsidRDefault="00EC46F1" w:rsidP="00BD1F8C">
            <w:pPr>
              <w:keepNext/>
              <w:keepLines/>
              <w:tabs>
                <w:tab w:val="left" w:pos="540"/>
                <w:tab w:val="left" w:pos="1260"/>
                <w:tab w:val="left" w:pos="1800"/>
              </w:tabs>
              <w:spacing w:after="0"/>
              <w:jc w:val="center"/>
              <w:rPr>
                <w:rFonts w:ascii="Arial" w:eastAsia="DengXian" w:hAnsi="Arial"/>
                <w:b/>
                <w:sz w:val="18"/>
              </w:rPr>
            </w:pPr>
            <w:r w:rsidRPr="004611A4">
              <w:rPr>
                <w:rFonts w:ascii="Arial" w:eastAsia="DengXian" w:hAnsi="Arial"/>
                <w:b/>
                <w:sz w:val="18"/>
              </w:rPr>
              <w:t>Wanted signal mean power (dBm)</w:t>
            </w:r>
          </w:p>
          <w:p w14:paraId="049AD1D3" w14:textId="77777777" w:rsidR="00EC46F1" w:rsidRPr="004611A4" w:rsidRDefault="00EC46F1" w:rsidP="00BD1F8C">
            <w:pPr>
              <w:keepNext/>
              <w:keepLines/>
              <w:tabs>
                <w:tab w:val="left" w:pos="540"/>
                <w:tab w:val="left" w:pos="1260"/>
                <w:tab w:val="left" w:pos="1800"/>
              </w:tabs>
              <w:spacing w:after="0"/>
              <w:jc w:val="center"/>
              <w:rPr>
                <w:rFonts w:ascii="Arial" w:eastAsia="DengXian" w:hAnsi="Arial"/>
                <w:b/>
                <w:sz w:val="18"/>
                <w:lang w:eastAsia="ja-JP"/>
              </w:rPr>
            </w:pPr>
            <w:r w:rsidRPr="004611A4">
              <w:rPr>
                <w:rFonts w:ascii="Arial" w:eastAsia="DengXian" w:hAnsi="Arial"/>
                <w:b/>
                <w:sz w:val="18"/>
              </w:rPr>
              <w:t>(Note 2)</w:t>
            </w:r>
          </w:p>
        </w:tc>
        <w:tc>
          <w:tcPr>
            <w:tcW w:w="3319" w:type="dxa"/>
            <w:tcBorders>
              <w:top w:val="single" w:sz="4" w:space="0" w:color="auto"/>
              <w:left w:val="single" w:sz="4" w:space="0" w:color="auto"/>
              <w:bottom w:val="single" w:sz="4" w:space="0" w:color="auto"/>
              <w:right w:val="single" w:sz="4" w:space="0" w:color="auto"/>
            </w:tcBorders>
            <w:hideMark/>
          </w:tcPr>
          <w:p w14:paraId="42703B3B" w14:textId="77777777" w:rsidR="00EC46F1" w:rsidRPr="004611A4" w:rsidRDefault="00EC46F1" w:rsidP="00BD1F8C">
            <w:pPr>
              <w:keepNext/>
              <w:keepLines/>
              <w:tabs>
                <w:tab w:val="left" w:pos="540"/>
                <w:tab w:val="left" w:pos="1260"/>
                <w:tab w:val="left" w:pos="1800"/>
              </w:tabs>
              <w:spacing w:after="0"/>
              <w:jc w:val="center"/>
              <w:rPr>
                <w:rFonts w:ascii="Arial" w:eastAsia="DengXian" w:hAnsi="Arial"/>
                <w:b/>
                <w:sz w:val="18"/>
                <w:lang w:eastAsia="ja-JP"/>
              </w:rPr>
            </w:pPr>
            <w:r w:rsidRPr="004611A4">
              <w:rPr>
                <w:rFonts w:ascii="Arial" w:eastAsia="DengXian" w:hAnsi="Arial" w:cs="Arial"/>
                <w:b/>
                <w:sz w:val="18"/>
              </w:rPr>
              <w:t>Interfering signal mean power (dBm)</w:t>
            </w:r>
          </w:p>
        </w:tc>
      </w:tr>
      <w:tr w:rsidR="00EC46F1" w:rsidRPr="004611A4" w14:paraId="7401FA6F" w14:textId="77777777" w:rsidTr="0041345E">
        <w:trPr>
          <w:trHeight w:val="487"/>
          <w:jc w:val="center"/>
        </w:trPr>
        <w:tc>
          <w:tcPr>
            <w:tcW w:w="1948" w:type="dxa"/>
            <w:tcBorders>
              <w:top w:val="single" w:sz="4" w:space="0" w:color="auto"/>
              <w:left w:val="single" w:sz="4" w:space="0" w:color="auto"/>
              <w:bottom w:val="single" w:sz="4" w:space="0" w:color="auto"/>
              <w:right w:val="single" w:sz="4" w:space="0" w:color="auto"/>
            </w:tcBorders>
          </w:tcPr>
          <w:p w14:paraId="36E2F878" w14:textId="4F5C87E6" w:rsidR="00EC46F1" w:rsidRPr="004611A4" w:rsidRDefault="0041345E" w:rsidP="00255E64">
            <w:pPr>
              <w:pStyle w:val="TAC"/>
              <w:rPr>
                <w:lang w:eastAsia="zh-CN"/>
              </w:rPr>
            </w:pPr>
            <w:r w:rsidRPr="004611A4">
              <w:rPr>
                <w:lang w:eastAsia="zh-CN"/>
              </w:rPr>
              <w:t>10, 15, 20</w:t>
            </w:r>
            <w:r w:rsidRPr="004611A4">
              <w:rPr>
                <w:rFonts w:eastAsia="DengXian"/>
                <w:lang w:eastAsia="ja-JP"/>
              </w:rPr>
              <w:t xml:space="preserve">, </w:t>
            </w:r>
            <w:r w:rsidRPr="004611A4">
              <w:rPr>
                <w:lang w:eastAsia="zh-CN"/>
              </w:rPr>
              <w:t>25, 30, 40, 50, 60, 70, 80,90, 100 (Note 1)</w:t>
            </w:r>
          </w:p>
        </w:tc>
        <w:tc>
          <w:tcPr>
            <w:tcW w:w="1792" w:type="dxa"/>
            <w:tcBorders>
              <w:top w:val="single" w:sz="4" w:space="0" w:color="auto"/>
              <w:left w:val="single" w:sz="4" w:space="0" w:color="auto"/>
              <w:bottom w:val="single" w:sz="4" w:space="0" w:color="auto"/>
              <w:right w:val="single" w:sz="4" w:space="0" w:color="auto"/>
            </w:tcBorders>
            <w:hideMark/>
          </w:tcPr>
          <w:p w14:paraId="3C62F4B4" w14:textId="77777777" w:rsidR="00EC46F1" w:rsidRPr="004611A4" w:rsidRDefault="00EC46F1" w:rsidP="00255E64">
            <w:pPr>
              <w:pStyle w:val="TAC"/>
              <w:rPr>
                <w:rFonts w:eastAsia="DengXian"/>
                <w:lang w:eastAsia="ja-JP"/>
              </w:rPr>
            </w:pPr>
            <w:r w:rsidRPr="004611A4">
              <w:rPr>
                <w:rFonts w:eastAsia="DengXian" w:cs="Arial"/>
              </w:rPr>
              <w:t>EIS</w:t>
            </w:r>
            <w:r w:rsidRPr="004611A4">
              <w:rPr>
                <w:rFonts w:eastAsia="DengXian" w:cs="Arial"/>
                <w:vertAlign w:val="subscript"/>
              </w:rPr>
              <w:t>minSENS</w:t>
            </w:r>
            <w:r w:rsidRPr="004611A4">
              <w:rPr>
                <w:rFonts w:eastAsia="DengXian"/>
              </w:rPr>
              <w:t xml:space="preserve"> + 6 dB</w:t>
            </w:r>
          </w:p>
        </w:tc>
        <w:tc>
          <w:tcPr>
            <w:tcW w:w="3319" w:type="dxa"/>
            <w:tcBorders>
              <w:top w:val="single" w:sz="4" w:space="0" w:color="auto"/>
              <w:left w:val="single" w:sz="4" w:space="0" w:color="auto"/>
              <w:bottom w:val="single" w:sz="4" w:space="0" w:color="auto"/>
              <w:right w:val="single" w:sz="4" w:space="0" w:color="auto"/>
            </w:tcBorders>
            <w:hideMark/>
          </w:tcPr>
          <w:p w14:paraId="3B526074" w14:textId="77777777" w:rsidR="00EC46F1" w:rsidRPr="004611A4" w:rsidRDefault="00EC46F1" w:rsidP="00255E64">
            <w:pPr>
              <w:pStyle w:val="TAC"/>
              <w:rPr>
                <w:lang w:eastAsia="zh-CN"/>
              </w:rPr>
            </w:pPr>
            <w:r w:rsidRPr="004611A4">
              <w:rPr>
                <w:lang w:eastAsia="zh-CN"/>
              </w:rPr>
              <w:t xml:space="preserve">Wide Area </w:t>
            </w:r>
            <w:r>
              <w:rPr>
                <w:lang w:eastAsia="zh-CN"/>
              </w:rPr>
              <w:t>IAB-MT</w:t>
            </w:r>
            <w:r w:rsidRPr="004611A4">
              <w:rPr>
                <w:lang w:eastAsia="zh-CN"/>
              </w:rPr>
              <w:t xml:space="preserve">: -52 </w:t>
            </w:r>
            <w:r w:rsidRPr="004611A4">
              <w:rPr>
                <w:rFonts w:eastAsia="DengXian" w:cs="Arial"/>
                <w:szCs w:val="18"/>
              </w:rPr>
              <w:t xml:space="preserve">– </w:t>
            </w:r>
            <w:r w:rsidRPr="004611A4">
              <w:rPr>
                <w:rFonts w:eastAsia="DengXian" w:cs="Arial"/>
              </w:rPr>
              <w:t>Δ</w:t>
            </w:r>
            <w:r w:rsidRPr="004611A4">
              <w:rPr>
                <w:rFonts w:eastAsia="DengXian" w:cs="Arial"/>
                <w:vertAlign w:val="subscript"/>
              </w:rPr>
              <w:t>minSENS</w:t>
            </w:r>
          </w:p>
          <w:p w14:paraId="624B0B6B" w14:textId="77777777" w:rsidR="00EC46F1" w:rsidRPr="004611A4" w:rsidRDefault="00EC46F1" w:rsidP="00255E64">
            <w:pPr>
              <w:pStyle w:val="TAC"/>
              <w:rPr>
                <w:lang w:eastAsia="zh-CN"/>
              </w:rPr>
            </w:pPr>
            <w:r w:rsidRPr="00EC34D6">
              <w:rPr>
                <w:lang w:eastAsia="zh-CN"/>
              </w:rPr>
              <w:t>Local Area</w:t>
            </w:r>
            <w:r>
              <w:rPr>
                <w:lang w:eastAsia="zh-CN"/>
              </w:rPr>
              <w:t xml:space="preserve"> IAB-MT</w:t>
            </w:r>
            <w:r w:rsidRPr="00EC34D6">
              <w:rPr>
                <w:lang w:eastAsia="zh-CN"/>
              </w:rPr>
              <w:t>: -44</w:t>
            </w:r>
            <w:r w:rsidRPr="00EC34D6">
              <w:rPr>
                <w:rFonts w:cs="Arial"/>
                <w:szCs w:val="18"/>
              </w:rPr>
              <w:t xml:space="preserve">– </w:t>
            </w:r>
            <w:r w:rsidRPr="00EC34D6">
              <w:rPr>
                <w:rFonts w:cs="Arial"/>
              </w:rPr>
              <w:t>Δ</w:t>
            </w:r>
            <w:r w:rsidRPr="00EC34D6">
              <w:rPr>
                <w:rFonts w:cs="Arial"/>
                <w:vertAlign w:val="subscript"/>
              </w:rPr>
              <w:t>minSENS</w:t>
            </w:r>
          </w:p>
        </w:tc>
      </w:tr>
      <w:tr w:rsidR="00EC46F1" w:rsidRPr="004611A4" w14:paraId="63EE3711" w14:textId="77777777" w:rsidTr="00BD1F8C">
        <w:trPr>
          <w:trHeight w:val="487"/>
          <w:jc w:val="center"/>
        </w:trPr>
        <w:tc>
          <w:tcPr>
            <w:tcW w:w="7059" w:type="dxa"/>
            <w:gridSpan w:val="3"/>
            <w:tcBorders>
              <w:top w:val="single" w:sz="4" w:space="0" w:color="auto"/>
              <w:left w:val="single" w:sz="4" w:space="0" w:color="auto"/>
              <w:bottom w:val="single" w:sz="4" w:space="0" w:color="auto"/>
              <w:right w:val="single" w:sz="4" w:space="0" w:color="auto"/>
            </w:tcBorders>
          </w:tcPr>
          <w:p w14:paraId="0AF16A1D" w14:textId="77777777" w:rsidR="00EC46F1" w:rsidRPr="004611A4" w:rsidRDefault="00EC46F1" w:rsidP="0041345E">
            <w:pPr>
              <w:pStyle w:val="TAN"/>
              <w:rPr>
                <w:lang w:eastAsia="zh-CN"/>
              </w:rPr>
            </w:pPr>
            <w:r w:rsidRPr="004611A4">
              <w:t>NOTE 1:</w:t>
            </w:r>
            <w:r w:rsidRPr="004611A4">
              <w:tab/>
              <w:t xml:space="preserve">The SCS for the </w:t>
            </w:r>
            <w:r w:rsidRPr="004611A4">
              <w:rPr>
                <w:i/>
              </w:rPr>
              <w:t>lowest/highest carrier</w:t>
            </w:r>
            <w:r w:rsidRPr="004611A4">
              <w:t xml:space="preserve"> received is the lowest SCS supported by the </w:t>
            </w:r>
            <w:r>
              <w:t>IAB-MT</w:t>
            </w:r>
            <w:r w:rsidRPr="004611A4">
              <w:t xml:space="preserve"> for that bandwidth</w:t>
            </w:r>
          </w:p>
          <w:p w14:paraId="6A80A2B0" w14:textId="77777777" w:rsidR="00EC46F1" w:rsidRPr="004611A4" w:rsidRDefault="00EC46F1" w:rsidP="0041345E">
            <w:pPr>
              <w:pStyle w:val="TAN"/>
            </w:pPr>
            <w:r w:rsidRPr="004611A4">
              <w:rPr>
                <w:rFonts w:eastAsia="DengXian" w:cs="Arial"/>
                <w:lang w:val="en-US"/>
              </w:rPr>
              <w:t>NOTE 2:</w:t>
            </w:r>
            <w:r w:rsidRPr="004611A4">
              <w:rPr>
                <w:rFonts w:eastAsia="DengXian" w:cs="Arial"/>
                <w:lang w:val="en-US"/>
              </w:rPr>
              <w:tab/>
              <w:t>EIS</w:t>
            </w:r>
            <w:r w:rsidRPr="004611A4">
              <w:rPr>
                <w:rFonts w:eastAsia="DengXian" w:cs="Arial"/>
                <w:vertAlign w:val="subscript"/>
                <w:lang w:val="en-US"/>
              </w:rPr>
              <w:t>minSENS</w:t>
            </w:r>
            <w:r w:rsidRPr="004611A4" w:rsidDel="002B5177">
              <w:rPr>
                <w:rFonts w:eastAsia="DengXian" w:cs="Arial"/>
                <w:lang w:val="en-US"/>
              </w:rPr>
              <w:t xml:space="preserve"> </w:t>
            </w:r>
            <w:r w:rsidRPr="004611A4">
              <w:rPr>
                <w:rFonts w:eastAsia="DengXian" w:cs="Arial"/>
                <w:lang w:val="en-US"/>
              </w:rPr>
              <w:t xml:space="preserve">depends on the </w:t>
            </w:r>
            <w:r>
              <w:rPr>
                <w:rFonts w:eastAsia="DengXian" w:cs="Arial"/>
                <w:lang w:val="en-US"/>
              </w:rPr>
              <w:t>IAB-MT</w:t>
            </w:r>
            <w:r w:rsidRPr="004611A4">
              <w:rPr>
                <w:rFonts w:eastAsia="DengXian" w:cs="Arial"/>
                <w:i/>
                <w:lang w:val="en-US"/>
              </w:rPr>
              <w:t xml:space="preserve"> channel bandwidth</w:t>
            </w:r>
          </w:p>
        </w:tc>
      </w:tr>
    </w:tbl>
    <w:p w14:paraId="44C36E0D" w14:textId="77777777" w:rsidR="00EC46F1" w:rsidRPr="004611A4" w:rsidRDefault="00EC46F1" w:rsidP="00EC46F1">
      <w:pPr>
        <w:rPr>
          <w:rFonts w:eastAsia="DengXian"/>
        </w:rPr>
      </w:pPr>
    </w:p>
    <w:p w14:paraId="1861D1A0" w14:textId="17398C80" w:rsidR="00EC46F1" w:rsidRPr="0041345E" w:rsidRDefault="00EC46F1" w:rsidP="0041345E">
      <w:pPr>
        <w:pStyle w:val="TH"/>
        <w:rPr>
          <w:i/>
          <w:iCs/>
          <w:lang w:eastAsia="zh-CN"/>
        </w:rPr>
      </w:pPr>
      <w:r w:rsidRPr="0041345E">
        <w:rPr>
          <w:rFonts w:eastAsia="DengXian"/>
          <w:i/>
          <w:iCs/>
        </w:rPr>
        <w:t xml:space="preserve">Table </w:t>
      </w:r>
      <w:r w:rsidRPr="0041345E">
        <w:rPr>
          <w:i/>
          <w:iCs/>
          <w:lang w:eastAsia="zh-CN"/>
        </w:rPr>
        <w:t>10.5.1.5</w:t>
      </w:r>
      <w:r w:rsidRPr="0041345E">
        <w:rPr>
          <w:rFonts w:eastAsia="DengXian"/>
          <w:i/>
          <w:iCs/>
        </w:rPr>
        <w:t>-</w:t>
      </w:r>
      <w:r w:rsidRPr="0041345E">
        <w:rPr>
          <w:i/>
          <w:iCs/>
          <w:lang w:eastAsia="zh-CN"/>
        </w:rPr>
        <w:t>2</w:t>
      </w:r>
      <w:r w:rsidRPr="0041345E">
        <w:rPr>
          <w:rFonts w:eastAsia="DengXian"/>
          <w:i/>
          <w:iCs/>
        </w:rPr>
        <w:t>: OTA A</w:t>
      </w:r>
      <w:r w:rsidRPr="0041345E">
        <w:rPr>
          <w:i/>
          <w:iCs/>
          <w:lang w:eastAsia="zh-CN"/>
        </w:rPr>
        <w:t>CS interferer frequency offset for IAB-MT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2646"/>
        <w:gridCol w:w="2977"/>
      </w:tblGrid>
      <w:tr w:rsidR="0041345E" w:rsidRPr="0041345E" w14:paraId="43984BF1" w14:textId="77777777" w:rsidTr="0041345E">
        <w:trPr>
          <w:jc w:val="center"/>
        </w:trPr>
        <w:tc>
          <w:tcPr>
            <w:tcW w:w="1701" w:type="dxa"/>
            <w:shd w:val="clear" w:color="auto" w:fill="auto"/>
          </w:tcPr>
          <w:p w14:paraId="53787BF4" w14:textId="77777777" w:rsidR="0041345E" w:rsidRPr="0041345E" w:rsidRDefault="0041345E" w:rsidP="0041345E">
            <w:pPr>
              <w:pStyle w:val="TAH"/>
              <w:rPr>
                <w:i/>
                <w:iCs/>
                <w:lang w:eastAsia="zh-CN"/>
              </w:rPr>
            </w:pPr>
            <w:r w:rsidRPr="0041345E">
              <w:rPr>
                <w:rFonts w:eastAsia="DengXian"/>
                <w:i/>
                <w:iCs/>
              </w:rPr>
              <w:t>IAB-MT channel bandwidth</w:t>
            </w:r>
            <w:r w:rsidRPr="0041345E">
              <w:rPr>
                <w:rFonts w:eastAsia="DengXian"/>
              </w:rPr>
              <w:t xml:space="preserve"> of the lowest/highest carrier received (MHz)</w:t>
            </w:r>
          </w:p>
        </w:tc>
        <w:tc>
          <w:tcPr>
            <w:tcW w:w="2646" w:type="dxa"/>
            <w:shd w:val="clear" w:color="auto" w:fill="auto"/>
          </w:tcPr>
          <w:p w14:paraId="50382997" w14:textId="77777777" w:rsidR="0041345E" w:rsidRPr="0041345E" w:rsidRDefault="0041345E" w:rsidP="0041345E">
            <w:pPr>
              <w:pStyle w:val="TAH"/>
              <w:rPr>
                <w:lang w:eastAsia="zh-CN"/>
              </w:rPr>
            </w:pPr>
            <w:r w:rsidRPr="0041345E">
              <w:rPr>
                <w:rFonts w:eastAsia="DengXian"/>
              </w:rPr>
              <w:t xml:space="preserve">Interfering signal centre frequency offset </w:t>
            </w:r>
            <w:r w:rsidRPr="0041345E">
              <w:rPr>
                <w:rFonts w:eastAsia="DengXian" w:cs="Arial"/>
              </w:rPr>
              <w:t xml:space="preserve">from the lower/upper </w:t>
            </w:r>
            <w:r w:rsidRPr="0063534F">
              <w:rPr>
                <w:rFonts w:eastAsia="DengXian" w:cs="Arial"/>
                <w:i/>
                <w:iCs/>
              </w:rPr>
              <w:t>IAB-MT</w:t>
            </w:r>
            <w:r w:rsidRPr="0041345E">
              <w:rPr>
                <w:rFonts w:eastAsia="DengXian" w:cs="Arial"/>
                <w:i/>
                <w:iCs/>
              </w:rPr>
              <w:t xml:space="preserve"> RF Bandwidth </w:t>
            </w:r>
            <w:r w:rsidRPr="0063534F">
              <w:rPr>
                <w:rFonts w:eastAsia="DengXian" w:cs="Arial"/>
                <w:i/>
                <w:iCs/>
              </w:rPr>
              <w:t>edge</w:t>
            </w:r>
            <w:r w:rsidRPr="0041345E">
              <w:rPr>
                <w:rFonts w:eastAsia="DengXian" w:cs="Arial"/>
              </w:rPr>
              <w:t xml:space="preserve"> or</w:t>
            </w:r>
            <w:r w:rsidRPr="0041345E">
              <w:rPr>
                <w:rFonts w:eastAsia="DengXian" w:cs="Arial"/>
                <w:i/>
                <w:iCs/>
              </w:rPr>
              <w:t xml:space="preserve"> sub-block</w:t>
            </w:r>
            <w:r w:rsidRPr="0041345E">
              <w:rPr>
                <w:rFonts w:eastAsia="DengXian" w:cs="Arial"/>
              </w:rPr>
              <w:t xml:space="preserve"> edge inside a </w:t>
            </w:r>
            <w:r w:rsidRPr="0041345E">
              <w:rPr>
                <w:rFonts w:eastAsia="DengXian" w:cs="Arial"/>
                <w:i/>
                <w:iCs/>
              </w:rPr>
              <w:t>sub-block gap</w:t>
            </w:r>
            <w:r w:rsidRPr="0041345E">
              <w:rPr>
                <w:rFonts w:eastAsia="DengXian"/>
              </w:rPr>
              <w:t xml:space="preserve"> (MHz)</w:t>
            </w:r>
          </w:p>
        </w:tc>
        <w:tc>
          <w:tcPr>
            <w:tcW w:w="2977" w:type="dxa"/>
            <w:tcBorders>
              <w:bottom w:val="single" w:sz="4" w:space="0" w:color="auto"/>
            </w:tcBorders>
            <w:shd w:val="clear" w:color="auto" w:fill="auto"/>
          </w:tcPr>
          <w:p w14:paraId="15A0598E" w14:textId="77777777" w:rsidR="0041345E" w:rsidRPr="0041345E" w:rsidRDefault="0041345E" w:rsidP="0041345E">
            <w:pPr>
              <w:pStyle w:val="TAH"/>
              <w:rPr>
                <w:lang w:eastAsia="zh-CN"/>
              </w:rPr>
            </w:pPr>
            <w:r w:rsidRPr="0041345E">
              <w:rPr>
                <w:rFonts w:eastAsia="DengXian"/>
              </w:rPr>
              <w:t>Type of interfering signal</w:t>
            </w:r>
          </w:p>
        </w:tc>
      </w:tr>
      <w:tr w:rsidR="0041345E" w:rsidRPr="004611A4" w14:paraId="3555D677"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44A62E99" w14:textId="2BD65D38" w:rsidR="0041345E" w:rsidRPr="004611A4" w:rsidRDefault="0041345E" w:rsidP="00255E64">
            <w:pPr>
              <w:pStyle w:val="TAC"/>
              <w:rPr>
                <w:lang w:eastAsia="zh-CN"/>
              </w:rPr>
            </w:pPr>
            <w:r w:rsidRPr="004611A4">
              <w:rPr>
                <w:lang w:eastAsia="zh-CN"/>
              </w:rPr>
              <w:t>10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36567973" w14:textId="59C2FEF0" w:rsidR="0041345E" w:rsidRPr="004611A4" w:rsidRDefault="0041345E" w:rsidP="00255E64">
            <w:pPr>
              <w:pStyle w:val="TAC"/>
              <w:rPr>
                <w:rFonts w:eastAsia="DengXian" w:cs="Arial"/>
              </w:rPr>
            </w:pPr>
            <w:r w:rsidRPr="004611A4">
              <w:rPr>
                <w:rFonts w:eastAsia="DengXian" w:cs="Arial"/>
              </w:rPr>
              <w:t>±2.5075</w:t>
            </w:r>
          </w:p>
        </w:tc>
        <w:tc>
          <w:tcPr>
            <w:tcW w:w="2977" w:type="dxa"/>
            <w:tcBorders>
              <w:top w:val="single" w:sz="4" w:space="0" w:color="auto"/>
              <w:left w:val="single" w:sz="4" w:space="0" w:color="auto"/>
              <w:bottom w:val="nil"/>
              <w:right w:val="single" w:sz="4" w:space="0" w:color="auto"/>
            </w:tcBorders>
            <w:shd w:val="clear" w:color="auto" w:fill="auto"/>
          </w:tcPr>
          <w:p w14:paraId="2E7E10C3" w14:textId="77777777" w:rsidR="0041345E" w:rsidRPr="004611A4" w:rsidRDefault="0041345E" w:rsidP="00255E64">
            <w:pPr>
              <w:pStyle w:val="TAC"/>
              <w:rPr>
                <w:rFonts w:eastAsia="DengXian"/>
                <w:lang w:val="en-US"/>
              </w:rPr>
            </w:pPr>
            <w:r w:rsidRPr="004611A4">
              <w:rPr>
                <w:rFonts w:eastAsia="DengXian"/>
                <w:lang w:val="en-US"/>
              </w:rPr>
              <w:t xml:space="preserve">5 MHz </w:t>
            </w:r>
            <w:r>
              <w:rPr>
                <w:rFonts w:eastAsia="DengXian"/>
                <w:lang w:val="en-US"/>
              </w:rPr>
              <w:t>CP</w:t>
            </w:r>
            <w:r w:rsidRPr="004611A4">
              <w:rPr>
                <w:rFonts w:eastAsia="DengXian"/>
                <w:lang w:val="en-US"/>
              </w:rPr>
              <w:t>-OFDM NR signal, 15 kHz SCS, 25 RBs</w:t>
            </w:r>
          </w:p>
        </w:tc>
      </w:tr>
      <w:tr w:rsidR="0041345E" w:rsidRPr="004611A4" w14:paraId="7DFD3FAD"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391173F7" w14:textId="28BB35F9" w:rsidR="0041345E" w:rsidRPr="004611A4" w:rsidRDefault="0041345E" w:rsidP="00255E64">
            <w:pPr>
              <w:pStyle w:val="TAC"/>
              <w:rPr>
                <w:lang w:eastAsia="zh-CN"/>
              </w:rPr>
            </w:pPr>
            <w:r w:rsidRPr="004611A4">
              <w:rPr>
                <w:lang w:eastAsia="zh-CN"/>
              </w:rPr>
              <w:t>15</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6D9A914F" w14:textId="311263CE" w:rsidR="0041345E" w:rsidRPr="004611A4" w:rsidRDefault="0041345E" w:rsidP="00255E64">
            <w:pPr>
              <w:pStyle w:val="TAC"/>
              <w:rPr>
                <w:rFonts w:eastAsia="DengXian" w:cs="Arial"/>
              </w:rPr>
            </w:pPr>
            <w:r w:rsidRPr="004611A4">
              <w:rPr>
                <w:rFonts w:eastAsia="DengXian" w:cs="Arial"/>
              </w:rPr>
              <w:t>±2.5125</w:t>
            </w:r>
          </w:p>
        </w:tc>
        <w:tc>
          <w:tcPr>
            <w:tcW w:w="2977" w:type="dxa"/>
            <w:tcBorders>
              <w:top w:val="nil"/>
              <w:left w:val="single" w:sz="4" w:space="0" w:color="auto"/>
              <w:bottom w:val="nil"/>
              <w:right w:val="single" w:sz="4" w:space="0" w:color="auto"/>
            </w:tcBorders>
            <w:shd w:val="clear" w:color="auto" w:fill="auto"/>
          </w:tcPr>
          <w:p w14:paraId="5DC587F2" w14:textId="77777777" w:rsidR="0041345E" w:rsidRPr="004611A4" w:rsidRDefault="0041345E" w:rsidP="00255E64">
            <w:pPr>
              <w:pStyle w:val="TAC"/>
              <w:rPr>
                <w:rFonts w:eastAsia="DengXian"/>
                <w:lang w:val="en-US"/>
              </w:rPr>
            </w:pPr>
          </w:p>
        </w:tc>
      </w:tr>
      <w:tr w:rsidR="0041345E" w:rsidRPr="004611A4" w14:paraId="544C8A0C"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7780DE35" w14:textId="298BA137" w:rsidR="0041345E" w:rsidRPr="004611A4" w:rsidRDefault="0041345E" w:rsidP="00255E64">
            <w:pPr>
              <w:pStyle w:val="TAC"/>
              <w:rPr>
                <w:lang w:eastAsia="zh-CN"/>
              </w:rPr>
            </w:pPr>
            <w:r w:rsidRPr="004611A4">
              <w:rPr>
                <w:lang w:eastAsia="zh-CN"/>
              </w:rPr>
              <w:t>20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25D99BF4" w14:textId="6CB48A7A" w:rsidR="0041345E" w:rsidRPr="004611A4" w:rsidRDefault="0041345E" w:rsidP="00255E64">
            <w:pPr>
              <w:pStyle w:val="TAC"/>
              <w:rPr>
                <w:rFonts w:eastAsia="DengXian" w:cs="Arial"/>
              </w:rPr>
            </w:pPr>
            <w:r w:rsidRPr="004611A4">
              <w:rPr>
                <w:rFonts w:eastAsia="DengXian" w:cs="Arial"/>
              </w:rPr>
              <w:t>±2.5025</w:t>
            </w:r>
          </w:p>
        </w:tc>
        <w:tc>
          <w:tcPr>
            <w:tcW w:w="2977" w:type="dxa"/>
            <w:tcBorders>
              <w:top w:val="nil"/>
              <w:left w:val="single" w:sz="4" w:space="0" w:color="auto"/>
              <w:bottom w:val="single" w:sz="4" w:space="0" w:color="auto"/>
              <w:right w:val="single" w:sz="4" w:space="0" w:color="auto"/>
            </w:tcBorders>
            <w:shd w:val="clear" w:color="auto" w:fill="auto"/>
          </w:tcPr>
          <w:p w14:paraId="2840AD7E" w14:textId="77777777" w:rsidR="0041345E" w:rsidRPr="004611A4" w:rsidRDefault="0041345E" w:rsidP="00255E64">
            <w:pPr>
              <w:pStyle w:val="TAC"/>
              <w:rPr>
                <w:rFonts w:eastAsia="DengXian"/>
                <w:lang w:val="en-US"/>
              </w:rPr>
            </w:pPr>
          </w:p>
        </w:tc>
      </w:tr>
      <w:tr w:rsidR="0041345E" w:rsidRPr="004611A4" w14:paraId="362E2ED9"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1758CEF2" w14:textId="65315FCE" w:rsidR="0041345E" w:rsidRPr="004611A4" w:rsidRDefault="0041345E" w:rsidP="00255E64">
            <w:pPr>
              <w:pStyle w:val="TAC"/>
              <w:rPr>
                <w:lang w:eastAsia="zh-CN"/>
              </w:rPr>
            </w:pPr>
            <w:r w:rsidRPr="004611A4">
              <w:rPr>
                <w:lang w:eastAsia="zh-CN"/>
              </w:rPr>
              <w:t>25</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4507D28F" w14:textId="32355AD9" w:rsidR="0041345E" w:rsidRPr="004611A4" w:rsidRDefault="0041345E" w:rsidP="00255E64">
            <w:pPr>
              <w:pStyle w:val="TAC"/>
              <w:rPr>
                <w:rFonts w:eastAsia="DengXian" w:cs="Arial"/>
              </w:rPr>
            </w:pPr>
            <w:r w:rsidRPr="004611A4">
              <w:rPr>
                <w:rFonts w:eastAsia="DengXian" w:cs="Arial"/>
              </w:rPr>
              <w:t>±</w:t>
            </w:r>
            <w:r w:rsidRPr="004611A4">
              <w:rPr>
                <w:rFonts w:eastAsia="DengXian" w:cs="Arial" w:hint="eastAsia"/>
                <w:lang w:val="en-US" w:eastAsia="zh-CN"/>
              </w:rPr>
              <w:t>9.4675</w:t>
            </w:r>
          </w:p>
        </w:tc>
        <w:tc>
          <w:tcPr>
            <w:tcW w:w="2977" w:type="dxa"/>
            <w:tcBorders>
              <w:left w:val="single" w:sz="4" w:space="0" w:color="auto"/>
              <w:bottom w:val="nil"/>
              <w:right w:val="single" w:sz="4" w:space="0" w:color="auto"/>
            </w:tcBorders>
            <w:shd w:val="clear" w:color="auto" w:fill="auto"/>
          </w:tcPr>
          <w:p w14:paraId="58259E13" w14:textId="77777777" w:rsidR="0041345E" w:rsidRPr="004611A4" w:rsidRDefault="0041345E" w:rsidP="00255E64">
            <w:pPr>
              <w:pStyle w:val="TAC"/>
              <w:rPr>
                <w:rFonts w:eastAsia="DengXian"/>
                <w:lang w:val="en-US"/>
              </w:rPr>
            </w:pPr>
            <w:r w:rsidRPr="004611A4">
              <w:rPr>
                <w:rFonts w:eastAsia="DengXian"/>
                <w:lang w:val="en-US"/>
              </w:rPr>
              <w:t xml:space="preserve">20 MHz </w:t>
            </w:r>
            <w:r>
              <w:rPr>
                <w:rFonts w:eastAsia="DengXian"/>
                <w:lang w:val="en-US"/>
              </w:rPr>
              <w:t>CP-</w:t>
            </w:r>
            <w:r w:rsidRPr="004611A4">
              <w:rPr>
                <w:rFonts w:eastAsia="DengXian"/>
                <w:lang w:val="en-US"/>
              </w:rPr>
              <w:t>OFDM NR signal, 15 kHz SCS, 100 RBs</w:t>
            </w:r>
          </w:p>
        </w:tc>
      </w:tr>
      <w:tr w:rsidR="0041345E" w:rsidRPr="004611A4" w14:paraId="520321AB"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24C7FC8C" w14:textId="43EAF7B8" w:rsidR="0041345E" w:rsidRPr="00BD51BC" w:rsidRDefault="0041345E" w:rsidP="00255E64">
            <w:pPr>
              <w:pStyle w:val="TAC"/>
              <w:rPr>
                <w:rFonts w:cs="Arial"/>
                <w:szCs w:val="18"/>
                <w:lang w:eastAsia="zh-CN"/>
              </w:rPr>
            </w:pPr>
            <w:r w:rsidRPr="0063534F">
              <w:rPr>
                <w:rFonts w:eastAsia="SimSun" w:cs="Arial"/>
                <w:szCs w:val="18"/>
                <w:lang w:eastAsia="zh-CN"/>
              </w:rPr>
              <w:t>30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273045CD" w14:textId="0F6FE255"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9.4725</w:t>
            </w:r>
          </w:p>
        </w:tc>
        <w:tc>
          <w:tcPr>
            <w:tcW w:w="2977" w:type="dxa"/>
            <w:tcBorders>
              <w:top w:val="nil"/>
              <w:left w:val="single" w:sz="4" w:space="0" w:color="auto"/>
              <w:bottom w:val="nil"/>
              <w:right w:val="single" w:sz="4" w:space="0" w:color="auto"/>
            </w:tcBorders>
            <w:shd w:val="clear" w:color="auto" w:fill="auto"/>
          </w:tcPr>
          <w:p w14:paraId="01F29322" w14:textId="77777777" w:rsidR="0041345E" w:rsidRPr="004611A4" w:rsidRDefault="0041345E" w:rsidP="00255E64">
            <w:pPr>
              <w:pStyle w:val="TAC"/>
              <w:rPr>
                <w:rFonts w:eastAsia="DengXian"/>
                <w:lang w:val="en-US"/>
              </w:rPr>
            </w:pPr>
          </w:p>
        </w:tc>
      </w:tr>
      <w:tr w:rsidR="0041345E" w:rsidRPr="004611A4" w14:paraId="53746EB6"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5D2F7E4E" w14:textId="77777777" w:rsidR="0041345E" w:rsidRPr="00BD51BC" w:rsidRDefault="0041345E" w:rsidP="00255E64">
            <w:pPr>
              <w:pStyle w:val="TAC"/>
              <w:rPr>
                <w:rFonts w:cs="Arial"/>
                <w:szCs w:val="18"/>
                <w:lang w:eastAsia="zh-CN"/>
              </w:rPr>
            </w:pPr>
            <w:r w:rsidRPr="0063534F">
              <w:rPr>
                <w:rFonts w:eastAsia="SimSun" w:cs="Arial"/>
                <w:szCs w:val="18"/>
                <w:lang w:eastAsia="zh-CN"/>
              </w:rPr>
              <w:t>40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020D575F" w14:textId="77777777"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9.4675</w:t>
            </w:r>
          </w:p>
        </w:tc>
        <w:tc>
          <w:tcPr>
            <w:tcW w:w="2977" w:type="dxa"/>
            <w:tcBorders>
              <w:top w:val="nil"/>
              <w:left w:val="single" w:sz="4" w:space="0" w:color="auto"/>
              <w:bottom w:val="nil"/>
              <w:right w:val="single" w:sz="4" w:space="0" w:color="auto"/>
            </w:tcBorders>
            <w:shd w:val="clear" w:color="auto" w:fill="auto"/>
          </w:tcPr>
          <w:p w14:paraId="54DD939A" w14:textId="77777777" w:rsidR="0041345E" w:rsidRPr="004611A4" w:rsidRDefault="0041345E" w:rsidP="00255E64">
            <w:pPr>
              <w:pStyle w:val="TAC"/>
              <w:rPr>
                <w:rFonts w:eastAsia="DengXian"/>
                <w:lang w:val="en-US"/>
              </w:rPr>
            </w:pPr>
          </w:p>
        </w:tc>
      </w:tr>
      <w:tr w:rsidR="0041345E" w:rsidRPr="004611A4" w14:paraId="4FF1A9CB"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34C81EF3" w14:textId="77777777" w:rsidR="0041345E" w:rsidRPr="00BD51BC" w:rsidRDefault="0041345E" w:rsidP="00255E64">
            <w:pPr>
              <w:pStyle w:val="TAC"/>
              <w:rPr>
                <w:rFonts w:cs="Arial"/>
                <w:szCs w:val="18"/>
                <w:lang w:eastAsia="zh-CN"/>
              </w:rPr>
            </w:pPr>
            <w:r w:rsidRPr="0063534F">
              <w:rPr>
                <w:rFonts w:eastAsia="SimSun" w:cs="Arial"/>
                <w:szCs w:val="18"/>
                <w:lang w:eastAsia="zh-CN"/>
              </w:rPr>
              <w:t>50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7C581A27" w14:textId="77777777"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9.4625</w:t>
            </w:r>
          </w:p>
        </w:tc>
        <w:tc>
          <w:tcPr>
            <w:tcW w:w="2977" w:type="dxa"/>
            <w:tcBorders>
              <w:top w:val="nil"/>
              <w:left w:val="single" w:sz="4" w:space="0" w:color="auto"/>
              <w:bottom w:val="nil"/>
              <w:right w:val="single" w:sz="4" w:space="0" w:color="auto"/>
            </w:tcBorders>
            <w:shd w:val="clear" w:color="auto" w:fill="auto"/>
          </w:tcPr>
          <w:p w14:paraId="5AF04E1E" w14:textId="77777777" w:rsidR="0041345E" w:rsidRPr="004611A4" w:rsidRDefault="0041345E" w:rsidP="00255E64">
            <w:pPr>
              <w:pStyle w:val="TAC"/>
              <w:rPr>
                <w:rFonts w:eastAsia="DengXian"/>
                <w:lang w:val="en-US"/>
              </w:rPr>
            </w:pPr>
          </w:p>
        </w:tc>
      </w:tr>
      <w:tr w:rsidR="0041345E" w:rsidRPr="004611A4" w14:paraId="5A9A7BA5"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50BA2DF" w14:textId="77777777" w:rsidR="0041345E" w:rsidRPr="00BD51BC" w:rsidRDefault="0041345E" w:rsidP="00255E64">
            <w:pPr>
              <w:pStyle w:val="TAC"/>
              <w:rPr>
                <w:rFonts w:cs="Arial"/>
                <w:szCs w:val="18"/>
                <w:lang w:eastAsia="zh-CN"/>
              </w:rPr>
            </w:pPr>
            <w:r w:rsidRPr="0063534F">
              <w:rPr>
                <w:rFonts w:eastAsia="SimSun" w:cs="Arial"/>
                <w:szCs w:val="18"/>
                <w:lang w:eastAsia="zh-CN"/>
              </w:rPr>
              <w:t>60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2A73FB7C" w14:textId="77777777"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9.4725</w:t>
            </w:r>
          </w:p>
        </w:tc>
        <w:tc>
          <w:tcPr>
            <w:tcW w:w="2977" w:type="dxa"/>
            <w:tcBorders>
              <w:top w:val="nil"/>
              <w:left w:val="single" w:sz="4" w:space="0" w:color="auto"/>
              <w:bottom w:val="nil"/>
              <w:right w:val="single" w:sz="4" w:space="0" w:color="auto"/>
            </w:tcBorders>
            <w:shd w:val="clear" w:color="auto" w:fill="auto"/>
          </w:tcPr>
          <w:p w14:paraId="3E839FE9" w14:textId="77777777" w:rsidR="0041345E" w:rsidRPr="004611A4" w:rsidRDefault="0041345E" w:rsidP="00255E64">
            <w:pPr>
              <w:pStyle w:val="TAC"/>
              <w:rPr>
                <w:rFonts w:eastAsia="DengXian"/>
                <w:lang w:val="en-US"/>
              </w:rPr>
            </w:pPr>
          </w:p>
        </w:tc>
      </w:tr>
      <w:tr w:rsidR="0041345E" w:rsidRPr="004611A4" w14:paraId="7B3DC280"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73864626" w14:textId="77777777" w:rsidR="0041345E" w:rsidRPr="00BD51BC" w:rsidRDefault="0041345E" w:rsidP="00255E64">
            <w:pPr>
              <w:pStyle w:val="TAC"/>
              <w:rPr>
                <w:rFonts w:cs="Arial"/>
                <w:szCs w:val="18"/>
                <w:lang w:eastAsia="zh-CN"/>
              </w:rPr>
            </w:pPr>
            <w:r w:rsidRPr="0063534F">
              <w:rPr>
                <w:rFonts w:eastAsia="SimSun" w:cs="Arial"/>
                <w:szCs w:val="18"/>
                <w:lang w:eastAsia="zh-CN"/>
              </w:rPr>
              <w:t>70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013E1E83" w14:textId="77777777"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9.4675</w:t>
            </w:r>
          </w:p>
        </w:tc>
        <w:tc>
          <w:tcPr>
            <w:tcW w:w="2977" w:type="dxa"/>
            <w:tcBorders>
              <w:top w:val="nil"/>
              <w:left w:val="single" w:sz="4" w:space="0" w:color="auto"/>
              <w:bottom w:val="nil"/>
              <w:right w:val="single" w:sz="4" w:space="0" w:color="auto"/>
            </w:tcBorders>
            <w:shd w:val="clear" w:color="auto" w:fill="auto"/>
          </w:tcPr>
          <w:p w14:paraId="4725410F" w14:textId="77777777" w:rsidR="0041345E" w:rsidRPr="004611A4" w:rsidRDefault="0041345E" w:rsidP="00255E64">
            <w:pPr>
              <w:pStyle w:val="TAC"/>
              <w:rPr>
                <w:rFonts w:eastAsia="DengXian"/>
                <w:lang w:val="en-US"/>
              </w:rPr>
            </w:pPr>
          </w:p>
        </w:tc>
      </w:tr>
      <w:tr w:rsidR="0041345E" w:rsidRPr="004611A4" w14:paraId="7DDFCB0F"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B5B9CF1" w14:textId="77777777" w:rsidR="0041345E" w:rsidRPr="00BD51BC" w:rsidRDefault="0041345E" w:rsidP="00255E64">
            <w:pPr>
              <w:pStyle w:val="TAC"/>
              <w:rPr>
                <w:rFonts w:cs="Arial"/>
                <w:szCs w:val="18"/>
                <w:lang w:eastAsia="zh-CN"/>
              </w:rPr>
            </w:pPr>
            <w:r w:rsidRPr="0063534F">
              <w:rPr>
                <w:rFonts w:eastAsia="SimSun" w:cs="Arial"/>
                <w:szCs w:val="18"/>
                <w:lang w:eastAsia="zh-CN"/>
              </w:rPr>
              <w:t>80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54A08784" w14:textId="77777777"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9.4625</w:t>
            </w:r>
          </w:p>
        </w:tc>
        <w:tc>
          <w:tcPr>
            <w:tcW w:w="2977" w:type="dxa"/>
            <w:tcBorders>
              <w:top w:val="nil"/>
              <w:left w:val="single" w:sz="4" w:space="0" w:color="auto"/>
              <w:bottom w:val="nil"/>
              <w:right w:val="single" w:sz="4" w:space="0" w:color="auto"/>
            </w:tcBorders>
            <w:shd w:val="clear" w:color="auto" w:fill="auto"/>
          </w:tcPr>
          <w:p w14:paraId="2D7BB51C" w14:textId="77777777" w:rsidR="0041345E" w:rsidRPr="004611A4" w:rsidRDefault="0041345E" w:rsidP="00255E64">
            <w:pPr>
              <w:pStyle w:val="TAC"/>
              <w:rPr>
                <w:rFonts w:eastAsia="DengXian"/>
                <w:lang w:val="en-US"/>
              </w:rPr>
            </w:pPr>
          </w:p>
        </w:tc>
      </w:tr>
      <w:tr w:rsidR="0041345E" w:rsidRPr="004611A4" w14:paraId="2D11038E"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D7E0121" w14:textId="77777777" w:rsidR="0041345E" w:rsidRPr="00BD51BC" w:rsidRDefault="0041345E" w:rsidP="00255E64">
            <w:pPr>
              <w:pStyle w:val="TAC"/>
              <w:rPr>
                <w:rFonts w:cs="Arial"/>
                <w:szCs w:val="18"/>
                <w:lang w:eastAsia="zh-CN"/>
              </w:rPr>
            </w:pPr>
            <w:r w:rsidRPr="0063534F">
              <w:rPr>
                <w:rFonts w:eastAsia="SimSun" w:cs="Arial"/>
                <w:szCs w:val="18"/>
                <w:lang w:eastAsia="zh-CN"/>
              </w:rPr>
              <w:t>90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35FDFA13" w14:textId="77777777" w:rsidR="0041345E" w:rsidRPr="00BD51BC" w:rsidRDefault="0041345E" w:rsidP="00255E64">
            <w:pPr>
              <w:pStyle w:val="TAC"/>
              <w:rPr>
                <w:rFonts w:eastAsia="DengXian" w:cs="Arial"/>
                <w:szCs w:val="18"/>
              </w:rPr>
            </w:pPr>
            <w:r w:rsidRPr="0063534F">
              <w:rPr>
                <w:rFonts w:cs="Arial"/>
                <w:szCs w:val="18"/>
              </w:rPr>
              <w:t>±</w:t>
            </w:r>
            <w:r w:rsidRPr="0063534F">
              <w:rPr>
                <w:rFonts w:eastAsia="DengXian" w:cs="Arial"/>
                <w:szCs w:val="18"/>
                <w:lang w:val="en-US" w:eastAsia="zh-CN"/>
              </w:rPr>
              <w:t>9.4725</w:t>
            </w:r>
          </w:p>
        </w:tc>
        <w:tc>
          <w:tcPr>
            <w:tcW w:w="2977" w:type="dxa"/>
            <w:tcBorders>
              <w:top w:val="nil"/>
              <w:left w:val="single" w:sz="4" w:space="0" w:color="auto"/>
              <w:bottom w:val="nil"/>
              <w:right w:val="single" w:sz="4" w:space="0" w:color="auto"/>
            </w:tcBorders>
            <w:shd w:val="clear" w:color="auto" w:fill="auto"/>
          </w:tcPr>
          <w:p w14:paraId="6B6F6F62" w14:textId="77777777" w:rsidR="0041345E" w:rsidRPr="004611A4" w:rsidRDefault="0041345E" w:rsidP="00255E64">
            <w:pPr>
              <w:pStyle w:val="TAC"/>
              <w:rPr>
                <w:rFonts w:eastAsia="DengXian"/>
                <w:lang w:val="en-US"/>
              </w:rPr>
            </w:pPr>
          </w:p>
        </w:tc>
      </w:tr>
      <w:tr w:rsidR="0041345E" w:rsidRPr="004611A4" w14:paraId="19AD4046" w14:textId="77777777" w:rsidTr="0041345E">
        <w:trPr>
          <w:jc w:val="center"/>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0C2294B" w14:textId="77777777" w:rsidR="0041345E" w:rsidRPr="00BD51BC" w:rsidRDefault="0041345E" w:rsidP="0041345E">
            <w:pPr>
              <w:pStyle w:val="TAC"/>
              <w:rPr>
                <w:rFonts w:cs="Arial"/>
                <w:szCs w:val="18"/>
                <w:lang w:eastAsia="zh-CN"/>
              </w:rPr>
            </w:pPr>
            <w:r w:rsidRPr="0063534F">
              <w:rPr>
                <w:rFonts w:eastAsia="SimSun" w:cs="Arial"/>
                <w:szCs w:val="18"/>
                <w:lang w:eastAsia="zh-CN"/>
              </w:rPr>
              <w:t>100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33B6D965" w14:textId="77777777" w:rsidR="0041345E" w:rsidRPr="00BD51BC" w:rsidRDefault="0041345E" w:rsidP="0041345E">
            <w:pPr>
              <w:pStyle w:val="TAC"/>
              <w:rPr>
                <w:rFonts w:eastAsia="DengXian" w:cs="Arial"/>
                <w:szCs w:val="18"/>
              </w:rPr>
            </w:pPr>
            <w:r w:rsidRPr="0063534F">
              <w:rPr>
                <w:rFonts w:cs="Arial"/>
                <w:szCs w:val="18"/>
              </w:rPr>
              <w:t>±</w:t>
            </w:r>
            <w:r w:rsidRPr="0063534F">
              <w:rPr>
                <w:rFonts w:eastAsia="DengXian" w:cs="Arial"/>
                <w:szCs w:val="18"/>
                <w:lang w:val="en-US" w:eastAsia="zh-CN"/>
              </w:rPr>
              <w:t>9.4675</w:t>
            </w:r>
          </w:p>
        </w:tc>
        <w:tc>
          <w:tcPr>
            <w:tcW w:w="2977" w:type="dxa"/>
            <w:tcBorders>
              <w:top w:val="nil"/>
              <w:left w:val="single" w:sz="4" w:space="0" w:color="auto"/>
              <w:right w:val="single" w:sz="4" w:space="0" w:color="auto"/>
            </w:tcBorders>
            <w:shd w:val="clear" w:color="auto" w:fill="auto"/>
          </w:tcPr>
          <w:p w14:paraId="08BEC58C" w14:textId="77777777" w:rsidR="0041345E" w:rsidRPr="004611A4" w:rsidRDefault="0041345E" w:rsidP="0041345E">
            <w:pPr>
              <w:pStyle w:val="TAC"/>
              <w:rPr>
                <w:rFonts w:eastAsia="DengXian"/>
                <w:lang w:val="en-US"/>
              </w:rPr>
            </w:pPr>
          </w:p>
        </w:tc>
      </w:tr>
    </w:tbl>
    <w:p w14:paraId="245B5984" w14:textId="77777777" w:rsidR="00C4365D" w:rsidRPr="00C4365D" w:rsidRDefault="00C4365D" w:rsidP="00AD2A23"/>
    <w:p w14:paraId="6DD55BAE" w14:textId="7F4B0255" w:rsidR="004E5C26" w:rsidRDefault="004E5C26" w:rsidP="00255E64">
      <w:pPr>
        <w:pStyle w:val="Heading3"/>
      </w:pPr>
      <w:bookmarkStart w:id="6685" w:name="_Toc53185556"/>
      <w:bookmarkStart w:id="6686" w:name="_Toc53185932"/>
      <w:bookmarkStart w:id="6687" w:name="_Toc57820418"/>
      <w:bookmarkStart w:id="6688" w:name="_Toc57821345"/>
      <w:bookmarkStart w:id="6689" w:name="_Toc61183621"/>
      <w:bookmarkStart w:id="6690" w:name="_Toc61184015"/>
      <w:bookmarkStart w:id="6691" w:name="_Toc61184407"/>
      <w:bookmarkStart w:id="6692" w:name="_Toc61184799"/>
      <w:bookmarkStart w:id="6693" w:name="_Toc61185189"/>
      <w:bookmarkStart w:id="6694" w:name="_Toc66386533"/>
      <w:bookmarkStart w:id="6695" w:name="_Toc74583436"/>
      <w:bookmarkStart w:id="6696" w:name="_Toc76542249"/>
      <w:bookmarkStart w:id="6697" w:name="_Toc82450231"/>
      <w:bookmarkStart w:id="6698" w:name="_Toc82450879"/>
      <w:bookmarkStart w:id="6699" w:name="_Toc89949268"/>
      <w:bookmarkStart w:id="6700" w:name="_Toc98755657"/>
      <w:bookmarkStart w:id="6701" w:name="_Toc98763249"/>
      <w:bookmarkStart w:id="6702" w:name="_Toc106184178"/>
      <w:r>
        <w:t>10.5.2</w:t>
      </w:r>
      <w:r w:rsidR="00255E64">
        <w:tab/>
      </w:r>
      <w:r w:rsidR="00F13F23">
        <w:t>OTA in-band blocking</w:t>
      </w:r>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p>
    <w:p w14:paraId="3D66BF27" w14:textId="77777777" w:rsidR="00941282" w:rsidRPr="0007416F" w:rsidRDefault="00941282" w:rsidP="00941282">
      <w:pPr>
        <w:keepNext/>
        <w:keepLines/>
        <w:spacing w:before="120"/>
        <w:ind w:left="1418" w:hanging="1418"/>
        <w:outlineLvl w:val="3"/>
        <w:rPr>
          <w:rFonts w:ascii="Arial" w:hAnsi="Arial"/>
          <w:sz w:val="24"/>
        </w:rPr>
      </w:pPr>
      <w:bookmarkStart w:id="6703" w:name="_Toc13080427"/>
      <w:r w:rsidRPr="0007416F">
        <w:rPr>
          <w:rFonts w:ascii="Arial" w:hAnsi="Arial"/>
          <w:sz w:val="24"/>
        </w:rPr>
        <w:t>10.5.2.1</w:t>
      </w:r>
      <w:r w:rsidRPr="0007416F">
        <w:rPr>
          <w:rFonts w:ascii="Arial" w:hAnsi="Arial"/>
          <w:sz w:val="24"/>
        </w:rPr>
        <w:tab/>
        <w:t>General</w:t>
      </w:r>
      <w:bookmarkEnd w:id="6703"/>
    </w:p>
    <w:p w14:paraId="29C02053" w14:textId="77777777" w:rsidR="00941282" w:rsidRPr="0007416F" w:rsidRDefault="00941282" w:rsidP="00941282">
      <w:r w:rsidRPr="0007416F">
        <w:t xml:space="preserve">The OTA in-band blocking characteristics is a measure of the receiver’s ability to receive a OTA wanted signal at its assigned channel in the presence of an unwanted OTA interferer, which is an NR signal for general blocking or an NR signal with one </w:t>
      </w:r>
      <w:r w:rsidRPr="0007416F">
        <w:rPr>
          <w:rFonts w:eastAsia="SimSun"/>
          <w:lang w:val="en-US" w:eastAsia="zh-CN"/>
        </w:rPr>
        <w:t xml:space="preserve">RB </w:t>
      </w:r>
      <w:r w:rsidRPr="0007416F">
        <w:t>for narrowband blocking.</w:t>
      </w:r>
    </w:p>
    <w:p w14:paraId="4AA4CBDF" w14:textId="77777777" w:rsidR="00941282" w:rsidRDefault="00941282" w:rsidP="00941282">
      <w:pPr>
        <w:keepNext/>
        <w:keepLines/>
        <w:spacing w:before="120"/>
        <w:ind w:left="1418" w:hanging="1418"/>
        <w:outlineLvl w:val="3"/>
        <w:rPr>
          <w:rFonts w:ascii="Arial" w:hAnsi="Arial"/>
          <w:i/>
          <w:sz w:val="24"/>
        </w:rPr>
      </w:pPr>
      <w:bookmarkStart w:id="6704" w:name="_Toc13080428"/>
      <w:r w:rsidRPr="0007416F">
        <w:rPr>
          <w:rFonts w:ascii="Arial" w:hAnsi="Arial"/>
          <w:sz w:val="24"/>
          <w:lang w:eastAsia="zh-CN"/>
        </w:rPr>
        <w:lastRenderedPageBreak/>
        <w:t>10.5.2.2</w:t>
      </w:r>
      <w:r w:rsidRPr="0007416F">
        <w:rPr>
          <w:rFonts w:ascii="Arial" w:hAnsi="Arial"/>
          <w:sz w:val="24"/>
        </w:rPr>
        <w:tab/>
        <w:t xml:space="preserve">Minimum requirement for </w:t>
      </w:r>
      <w:r w:rsidRPr="0007416F">
        <w:rPr>
          <w:rFonts w:ascii="Arial" w:hAnsi="Arial"/>
          <w:i/>
          <w:sz w:val="24"/>
        </w:rPr>
        <w:t>IAB</w:t>
      </w:r>
      <w:r>
        <w:rPr>
          <w:rFonts w:ascii="Arial" w:hAnsi="Arial"/>
          <w:i/>
          <w:sz w:val="24"/>
        </w:rPr>
        <w:t>-</w:t>
      </w:r>
      <w:r w:rsidRPr="0007416F">
        <w:rPr>
          <w:rFonts w:ascii="Arial" w:hAnsi="Arial"/>
          <w:i/>
          <w:sz w:val="24"/>
        </w:rPr>
        <w:t>DU type 1-O</w:t>
      </w:r>
      <w:bookmarkEnd w:id="6704"/>
    </w:p>
    <w:p w14:paraId="2F2DFAF0" w14:textId="77777777" w:rsidR="00941282" w:rsidRPr="0007416F" w:rsidRDefault="00941282" w:rsidP="00941282">
      <w:pPr>
        <w:keepNext/>
        <w:keepLines/>
        <w:spacing w:before="120"/>
        <w:ind w:left="1418" w:hanging="1418"/>
        <w:outlineLvl w:val="3"/>
        <w:rPr>
          <w:rFonts w:ascii="Arial" w:hAnsi="Arial"/>
          <w:sz w:val="24"/>
        </w:rPr>
      </w:pPr>
      <w:r>
        <w:rPr>
          <w:rFonts w:eastAsia="Yu Mincho"/>
        </w:rPr>
        <w:t>Minimum requirement</w:t>
      </w:r>
      <w:r w:rsidRPr="00944077">
        <w:rPr>
          <w:rFonts w:eastAsia="Yu Mincho"/>
        </w:rPr>
        <w:t xml:space="preserve"> </w:t>
      </w:r>
      <w:r>
        <w:rPr>
          <w:rFonts w:eastAsia="Yu Mincho"/>
        </w:rPr>
        <w:t>is the same as specified for BS type 1-O in TS38.104[2], subclause 10.5.2.2.</w:t>
      </w:r>
    </w:p>
    <w:p w14:paraId="12008343" w14:textId="77777777" w:rsidR="00941282" w:rsidRDefault="00941282" w:rsidP="00941282">
      <w:pPr>
        <w:keepNext/>
        <w:keepLines/>
        <w:spacing w:before="120"/>
        <w:ind w:left="1418" w:hanging="1418"/>
        <w:outlineLvl w:val="3"/>
        <w:rPr>
          <w:rFonts w:ascii="Arial" w:hAnsi="Arial"/>
          <w:i/>
          <w:sz w:val="24"/>
        </w:rPr>
      </w:pPr>
      <w:bookmarkStart w:id="6705" w:name="_Toc13080429"/>
      <w:r w:rsidRPr="0007416F">
        <w:rPr>
          <w:rFonts w:ascii="Arial" w:hAnsi="Arial"/>
          <w:sz w:val="24"/>
        </w:rPr>
        <w:t>10.5.2.3</w:t>
      </w:r>
      <w:r w:rsidRPr="0007416F">
        <w:rPr>
          <w:rFonts w:ascii="Arial" w:hAnsi="Arial"/>
          <w:sz w:val="24"/>
        </w:rPr>
        <w:tab/>
      </w:r>
      <w:r w:rsidRPr="0007416F">
        <w:rPr>
          <w:rFonts w:ascii="Arial" w:eastAsia="SimSun" w:hAnsi="Arial"/>
          <w:sz w:val="24"/>
          <w:lang w:val="en-US" w:eastAsia="zh-CN"/>
        </w:rPr>
        <w:t xml:space="preserve">Minimum requirement </w:t>
      </w:r>
      <w:r w:rsidRPr="0007416F">
        <w:rPr>
          <w:rFonts w:ascii="Arial" w:hAnsi="Arial"/>
          <w:sz w:val="24"/>
        </w:rPr>
        <w:t xml:space="preserve">for </w:t>
      </w:r>
      <w:r w:rsidRPr="0007416F">
        <w:rPr>
          <w:rFonts w:ascii="Arial" w:hAnsi="Arial"/>
          <w:i/>
          <w:sz w:val="24"/>
        </w:rPr>
        <w:t>IAB DU type 2-O</w:t>
      </w:r>
      <w:bookmarkEnd w:id="6705"/>
    </w:p>
    <w:p w14:paraId="38B84C0D" w14:textId="77777777" w:rsidR="00941282" w:rsidRPr="0007416F" w:rsidRDefault="00941282" w:rsidP="00941282">
      <w:pPr>
        <w:keepNext/>
        <w:keepLines/>
        <w:spacing w:before="120"/>
        <w:ind w:left="1418" w:hanging="1418"/>
        <w:outlineLvl w:val="3"/>
        <w:rPr>
          <w:rFonts w:ascii="Arial" w:hAnsi="Arial"/>
          <w:sz w:val="24"/>
        </w:rPr>
      </w:pPr>
      <w:r>
        <w:rPr>
          <w:rFonts w:eastAsia="Yu Mincho"/>
        </w:rPr>
        <w:t>Minimum requirement</w:t>
      </w:r>
      <w:r w:rsidRPr="00944077">
        <w:rPr>
          <w:rFonts w:eastAsia="Yu Mincho"/>
        </w:rPr>
        <w:t xml:space="preserve"> </w:t>
      </w:r>
      <w:r>
        <w:rPr>
          <w:rFonts w:eastAsia="Yu Mincho"/>
        </w:rPr>
        <w:t>is the same as specified for BS type 2-O in TS38.104[2], subclause 10.5.2.3.</w:t>
      </w:r>
    </w:p>
    <w:p w14:paraId="114A56BB" w14:textId="77777777" w:rsidR="00941282" w:rsidRPr="0007416F" w:rsidRDefault="00941282" w:rsidP="00941282">
      <w:pPr>
        <w:keepNext/>
        <w:keepLines/>
        <w:spacing w:before="120"/>
        <w:ind w:left="1418" w:hanging="1418"/>
        <w:outlineLvl w:val="3"/>
        <w:rPr>
          <w:rFonts w:ascii="Arial" w:hAnsi="Arial"/>
          <w:sz w:val="24"/>
        </w:rPr>
      </w:pPr>
      <w:r w:rsidRPr="0007416F">
        <w:rPr>
          <w:rFonts w:ascii="Arial" w:hAnsi="Arial"/>
          <w:sz w:val="24"/>
          <w:lang w:eastAsia="zh-CN"/>
        </w:rPr>
        <w:t>10.5.2</w:t>
      </w:r>
      <w:r>
        <w:rPr>
          <w:rFonts w:ascii="Arial" w:hAnsi="Arial"/>
          <w:sz w:val="24"/>
          <w:lang w:eastAsia="zh-CN"/>
        </w:rPr>
        <w:t>.</w:t>
      </w:r>
      <w:r w:rsidRPr="0007416F">
        <w:rPr>
          <w:rFonts w:ascii="Arial" w:hAnsi="Arial"/>
          <w:sz w:val="24"/>
          <w:lang w:eastAsia="zh-CN"/>
        </w:rPr>
        <w:t>4</w:t>
      </w:r>
      <w:r w:rsidRPr="0007416F">
        <w:rPr>
          <w:rFonts w:ascii="Arial" w:hAnsi="Arial"/>
          <w:sz w:val="24"/>
        </w:rPr>
        <w:tab/>
        <w:t xml:space="preserve">Minimum requirement for </w:t>
      </w:r>
      <w:r w:rsidRPr="0007416F">
        <w:rPr>
          <w:rFonts w:ascii="Arial" w:hAnsi="Arial"/>
          <w:i/>
          <w:sz w:val="24"/>
        </w:rPr>
        <w:t>IAB</w:t>
      </w:r>
      <w:r>
        <w:rPr>
          <w:rFonts w:ascii="Arial" w:hAnsi="Arial"/>
          <w:i/>
          <w:sz w:val="24"/>
        </w:rPr>
        <w:t>-</w:t>
      </w:r>
      <w:r w:rsidRPr="0007416F">
        <w:rPr>
          <w:rFonts w:ascii="Arial" w:hAnsi="Arial"/>
          <w:i/>
          <w:sz w:val="24"/>
        </w:rPr>
        <w:t>MT of type 2-O</w:t>
      </w:r>
    </w:p>
    <w:p w14:paraId="6BEE0CC3" w14:textId="77777777" w:rsidR="00941282" w:rsidRPr="0007416F" w:rsidRDefault="00941282" w:rsidP="00941282">
      <w:r w:rsidRPr="0007416F">
        <w:t xml:space="preserve">The requirement shall apply at the RIB when the AoA of the incident wave of a received signal and the interfering signal are from the same direction and are within the </w:t>
      </w:r>
      <w:r w:rsidRPr="0007416F">
        <w:rPr>
          <w:i/>
        </w:rPr>
        <w:t>OTA REFSENS RoAoA.</w:t>
      </w:r>
    </w:p>
    <w:p w14:paraId="266C83F6" w14:textId="77777777" w:rsidR="00941282" w:rsidRPr="0007416F" w:rsidRDefault="00941282" w:rsidP="00941282">
      <w:r w:rsidRPr="0007416F">
        <w:t>The wanted and interfering signals apply to each supported polarization, under the assumption o</w:t>
      </w:r>
      <w:r w:rsidRPr="0007416F">
        <w:rPr>
          <w:i/>
        </w:rPr>
        <w:t>f polarization match</w:t>
      </w:r>
      <w:r w:rsidRPr="0007416F">
        <w:t>.</w:t>
      </w:r>
    </w:p>
    <w:p w14:paraId="2C0F363B" w14:textId="77777777" w:rsidR="00941282" w:rsidRPr="0007416F" w:rsidRDefault="00941282" w:rsidP="00941282">
      <w:pPr>
        <w:rPr>
          <w:lang w:eastAsia="zh-CN"/>
        </w:rPr>
      </w:pPr>
      <w:r w:rsidRPr="0007416F">
        <w:t xml:space="preserve">The throughput shall be </w:t>
      </w:r>
      <w:r w:rsidRPr="0007416F">
        <w:rPr>
          <w:rFonts w:hint="eastAsia"/>
        </w:rPr>
        <w:t>≥</w:t>
      </w:r>
      <w:r w:rsidRPr="0007416F">
        <w:t xml:space="preserve"> 95% of the maximum throughput</w:t>
      </w:r>
      <w:r w:rsidRPr="0007416F" w:rsidDel="00BE584A">
        <w:t xml:space="preserve"> </w:t>
      </w:r>
      <w:r w:rsidRPr="0007416F">
        <w:t>of the reference measurement channel</w:t>
      </w:r>
      <w:r w:rsidRPr="0007416F">
        <w:rPr>
          <w:lang w:eastAsia="zh-CN"/>
        </w:rPr>
        <w:t>.</w:t>
      </w:r>
    </w:p>
    <w:p w14:paraId="3C301120" w14:textId="3014BF9A" w:rsidR="0041345E" w:rsidRPr="0007416F" w:rsidRDefault="0041345E" w:rsidP="0041345E">
      <w:pPr>
        <w:rPr>
          <w:lang w:eastAsia="zh-CN"/>
        </w:rPr>
      </w:pPr>
      <w:r w:rsidRPr="0007416F">
        <w:rPr>
          <w:lang w:eastAsia="zh-CN"/>
        </w:rPr>
        <w:t xml:space="preserve">For </w:t>
      </w:r>
      <w:r>
        <w:rPr>
          <w:lang w:eastAsia="zh-CN"/>
        </w:rPr>
        <w:t xml:space="preserve">Wide Area </w:t>
      </w:r>
      <w:r w:rsidRPr="0007416F">
        <w:rPr>
          <w:i/>
          <w:lang w:eastAsia="zh-CN"/>
        </w:rPr>
        <w:t>IAB</w:t>
      </w:r>
      <w:r>
        <w:rPr>
          <w:i/>
          <w:lang w:eastAsia="zh-CN"/>
        </w:rPr>
        <w:t>-MT</w:t>
      </w:r>
      <w:r w:rsidRPr="0007416F">
        <w:rPr>
          <w:i/>
          <w:lang w:val="en-US" w:eastAsia="zh-CN"/>
        </w:rPr>
        <w:t xml:space="preserve"> </w:t>
      </w:r>
      <w:r w:rsidRPr="0007416F">
        <w:rPr>
          <w:i/>
          <w:lang w:eastAsia="zh-CN"/>
        </w:rPr>
        <w:t>type 2-O</w:t>
      </w:r>
      <w:r w:rsidRPr="0007416F">
        <w:rPr>
          <w:lang w:eastAsia="zh-CN"/>
        </w:rPr>
        <w:t xml:space="preserve">, the </w:t>
      </w:r>
      <w:r w:rsidRPr="0007416F">
        <w:t xml:space="preserve">OTA wanted and OTA interfering signals are provided at RIB using the parameters in </w:t>
      </w:r>
      <w:r w:rsidRPr="0007416F">
        <w:rPr>
          <w:lang w:eastAsia="zh-CN"/>
        </w:rPr>
        <w:t xml:space="preserve">table 10.5.2.4-1 for general OTA blocking requirements. </w:t>
      </w:r>
      <w:r w:rsidRPr="0007416F">
        <w:rPr>
          <w:rFonts w:eastAsia="Osaka"/>
        </w:rPr>
        <w:t xml:space="preserve">The reference measurement channel for the wanted signal is further specified in annex A.1. The characteristics of the interfering signal is further specified in annex </w:t>
      </w:r>
      <w:r w:rsidR="007905EC">
        <w:rPr>
          <w:rFonts w:eastAsia="Osaka"/>
        </w:rPr>
        <w:t>F</w:t>
      </w:r>
      <w:r w:rsidRPr="0007416F">
        <w:rPr>
          <w:rFonts w:eastAsia="Osaka"/>
        </w:rPr>
        <w:t>.</w:t>
      </w:r>
    </w:p>
    <w:p w14:paraId="0B555B6E" w14:textId="321BAC65" w:rsidR="0041345E" w:rsidRDefault="0041345E" w:rsidP="0041345E">
      <w:pPr>
        <w:rPr>
          <w:lang w:eastAsia="zh-CN"/>
        </w:rPr>
      </w:pPr>
      <w:r w:rsidRPr="0007416F">
        <w:rPr>
          <w:lang w:eastAsia="zh-CN"/>
        </w:rPr>
        <w:t>The OTA blocking requirements are applicable outside the IAB</w:t>
      </w:r>
      <w:r>
        <w:rPr>
          <w:lang w:eastAsia="zh-CN"/>
        </w:rPr>
        <w:t>-</w:t>
      </w:r>
      <w:r w:rsidRPr="0007416F">
        <w:rPr>
          <w:lang w:eastAsia="zh-CN"/>
        </w:rPr>
        <w:t xml:space="preserve">MT RF Bandwidth. The interfering signal offset is defined relative to the </w:t>
      </w:r>
      <w:r w:rsidRPr="0063534F">
        <w:rPr>
          <w:i/>
          <w:iCs/>
          <w:lang w:eastAsia="zh-CN"/>
        </w:rPr>
        <w:t>IAB-MT RF Bandwidth edges</w:t>
      </w:r>
      <w:r w:rsidRPr="0007416F">
        <w:rPr>
          <w:lang w:eastAsia="zh-CN"/>
        </w:rPr>
        <w:t>.</w:t>
      </w:r>
    </w:p>
    <w:p w14:paraId="79DDE9BF" w14:textId="28CAE8E5" w:rsidR="00941282" w:rsidRPr="0007416F" w:rsidRDefault="00941282" w:rsidP="0041345E">
      <w:pPr>
        <w:rPr>
          <w:rFonts w:cs="v3.8.0"/>
        </w:rPr>
      </w:pPr>
      <w:r w:rsidRPr="0007416F">
        <w:rPr>
          <w:lang w:eastAsia="zh-CN"/>
        </w:rPr>
        <w:t xml:space="preserve">For </w:t>
      </w:r>
      <w:r>
        <w:rPr>
          <w:lang w:eastAsia="zh-CN"/>
        </w:rPr>
        <w:t xml:space="preserve">Wide Area </w:t>
      </w:r>
      <w:r w:rsidRPr="0007416F">
        <w:rPr>
          <w:i/>
          <w:lang w:eastAsia="zh-CN"/>
        </w:rPr>
        <w:t>IAB</w:t>
      </w:r>
      <w:r>
        <w:rPr>
          <w:i/>
          <w:lang w:eastAsia="zh-CN"/>
        </w:rPr>
        <w:t>-MT</w:t>
      </w:r>
      <w:r w:rsidRPr="0007416F">
        <w:rPr>
          <w:i/>
          <w:lang w:eastAsia="zh-CN"/>
        </w:rPr>
        <w:t xml:space="preserve"> type </w:t>
      </w:r>
      <w:r w:rsidRPr="0007416F">
        <w:rPr>
          <w:i/>
          <w:lang w:val="en-US" w:eastAsia="zh-CN"/>
        </w:rPr>
        <w:t>2</w:t>
      </w:r>
      <w:r w:rsidRPr="0007416F">
        <w:rPr>
          <w:i/>
          <w:lang w:eastAsia="zh-CN"/>
        </w:rPr>
        <w:t xml:space="preserve">-O </w:t>
      </w:r>
      <w:r w:rsidRPr="0007416F">
        <w:rPr>
          <w:rFonts w:cs="v3.8.0"/>
        </w:rPr>
        <w:t xml:space="preserve">the OTA in-band </w:t>
      </w:r>
      <w:r w:rsidRPr="0007416F">
        <w:rPr>
          <w:lang w:eastAsia="zh-CN"/>
        </w:rPr>
        <w:t xml:space="preserve">blocking requirement </w:t>
      </w:r>
      <w:r w:rsidRPr="0007416F">
        <w:rPr>
          <w:lang w:val="en-US" w:eastAsia="zh-CN"/>
        </w:rPr>
        <w:t xml:space="preserve">shall </w:t>
      </w:r>
      <w:r w:rsidRPr="0007416F">
        <w:rPr>
          <w:rFonts w:cs="v3.8.0"/>
        </w:rPr>
        <w:t xml:space="preserve">apply </w:t>
      </w:r>
      <w:r w:rsidRPr="0007416F">
        <w:rPr>
          <w:lang w:eastAsia="zh-CN"/>
        </w:rPr>
        <w:t xml:space="preserve">from </w:t>
      </w:r>
      <w:r w:rsidRPr="0007416F">
        <w:rPr>
          <w:rFonts w:cs="Arial"/>
        </w:rPr>
        <w:t>F</w:t>
      </w:r>
      <w:r w:rsidR="00A81DFD">
        <w:rPr>
          <w:rFonts w:cs="Arial"/>
          <w:vertAlign w:val="subscript"/>
        </w:rPr>
        <w:t>D</w:t>
      </w:r>
      <w:r w:rsidRPr="0007416F">
        <w:rPr>
          <w:rFonts w:cs="Arial"/>
          <w:vertAlign w:val="subscript"/>
        </w:rPr>
        <w:t>L_low</w:t>
      </w:r>
      <w:r w:rsidRPr="0007416F">
        <w:rPr>
          <w:rFonts w:cs="Arial"/>
        </w:rPr>
        <w:t xml:space="preserve"> - </w:t>
      </w:r>
      <w:r w:rsidRPr="0007416F">
        <w:t>Δf</w:t>
      </w:r>
      <w:r w:rsidRPr="0007416F">
        <w:rPr>
          <w:vertAlign w:val="subscript"/>
        </w:rPr>
        <w:t>OOB</w:t>
      </w:r>
      <w:r w:rsidRPr="0007416F">
        <w:rPr>
          <w:rFonts w:cs="v5.0.0"/>
        </w:rPr>
        <w:t xml:space="preserve"> </w:t>
      </w:r>
      <w:r w:rsidRPr="0007416F">
        <w:t xml:space="preserve">to </w:t>
      </w:r>
      <w:r w:rsidRPr="0007416F">
        <w:rPr>
          <w:rFonts w:cs="Arial"/>
        </w:rPr>
        <w:t>F</w:t>
      </w:r>
      <w:r w:rsidR="00A81DFD">
        <w:rPr>
          <w:rFonts w:cs="Arial"/>
          <w:vertAlign w:val="subscript"/>
        </w:rPr>
        <w:t>D</w:t>
      </w:r>
      <w:r w:rsidRPr="0007416F">
        <w:rPr>
          <w:rFonts w:cs="Arial"/>
          <w:vertAlign w:val="subscript"/>
        </w:rPr>
        <w:t>L_high</w:t>
      </w:r>
      <w:r w:rsidRPr="0007416F">
        <w:rPr>
          <w:rFonts w:cs="Arial"/>
        </w:rPr>
        <w:t xml:space="preserve"> + </w:t>
      </w:r>
      <w:r w:rsidRPr="0007416F">
        <w:t>Δf</w:t>
      </w:r>
      <w:r w:rsidRPr="0007416F">
        <w:rPr>
          <w:vertAlign w:val="subscript"/>
        </w:rPr>
        <w:t>OOB</w:t>
      </w:r>
      <w:r w:rsidRPr="0007416F">
        <w:rPr>
          <w:rFonts w:cs="v3.8.0"/>
          <w:i/>
        </w:rPr>
        <w:t>.</w:t>
      </w:r>
      <w:r w:rsidRPr="0007416F">
        <w:rPr>
          <w:rFonts w:cs="v3.8.0"/>
        </w:rPr>
        <w:t xml:space="preserve"> </w:t>
      </w:r>
      <w:r w:rsidRPr="0007416F">
        <w:rPr>
          <w:rFonts w:cs="v5.0.0"/>
        </w:rPr>
        <w:t xml:space="preserve">The </w:t>
      </w:r>
      <w:r w:rsidRPr="0007416F">
        <w:t>Δf</w:t>
      </w:r>
      <w:r w:rsidRPr="0007416F">
        <w:rPr>
          <w:vertAlign w:val="subscript"/>
        </w:rPr>
        <w:t>OOB</w:t>
      </w:r>
      <w:r w:rsidRPr="0007416F">
        <w:rPr>
          <w:rFonts w:cs="v5.0.0"/>
        </w:rPr>
        <w:t xml:space="preserve"> for </w:t>
      </w:r>
      <w:r w:rsidRPr="0007416F">
        <w:rPr>
          <w:i/>
          <w:lang w:eastAsia="zh-CN"/>
        </w:rPr>
        <w:t>IAB</w:t>
      </w:r>
      <w:r>
        <w:rPr>
          <w:i/>
          <w:lang w:eastAsia="zh-CN"/>
        </w:rPr>
        <w:t>-MT</w:t>
      </w:r>
      <w:r w:rsidRPr="0007416F">
        <w:rPr>
          <w:i/>
          <w:lang w:eastAsia="zh-CN"/>
        </w:rPr>
        <w:t xml:space="preserve"> type </w:t>
      </w:r>
      <w:r w:rsidRPr="0007416F">
        <w:rPr>
          <w:i/>
          <w:lang w:val="en-US" w:eastAsia="zh-CN"/>
        </w:rPr>
        <w:t>2</w:t>
      </w:r>
      <w:r w:rsidRPr="0007416F">
        <w:rPr>
          <w:i/>
          <w:lang w:eastAsia="zh-CN"/>
        </w:rPr>
        <w:t>-O</w:t>
      </w:r>
      <w:r w:rsidRPr="0007416F">
        <w:rPr>
          <w:rFonts w:cs="v5.0.0"/>
        </w:rPr>
        <w:t xml:space="preserve"> is </w:t>
      </w:r>
      <w:r w:rsidRPr="0007416F">
        <w:t>defined in table 10.5.2.</w:t>
      </w:r>
      <w:r>
        <w:rPr>
          <w:rFonts w:eastAsia="SimSun"/>
          <w:lang w:val="en-US" w:eastAsia="zh-CN"/>
        </w:rPr>
        <w:t>4</w:t>
      </w:r>
      <w:r w:rsidRPr="0007416F">
        <w:t>-0.</w:t>
      </w:r>
    </w:p>
    <w:p w14:paraId="515D44E3" w14:textId="77777777" w:rsidR="00941282" w:rsidRPr="0007416F" w:rsidRDefault="00941282" w:rsidP="00941282">
      <w:pPr>
        <w:keepNext/>
        <w:keepLines/>
        <w:spacing w:before="60"/>
        <w:jc w:val="center"/>
        <w:rPr>
          <w:rFonts w:ascii="Arial" w:eastAsia="SimSun" w:hAnsi="Arial"/>
          <w:b/>
          <w:lang w:val="en-US" w:eastAsia="zh-CN"/>
        </w:rPr>
      </w:pPr>
      <w:r w:rsidRPr="0007416F">
        <w:rPr>
          <w:rFonts w:ascii="Arial" w:hAnsi="Arial"/>
          <w:b/>
        </w:rPr>
        <w:t>Table 10.5.2.</w:t>
      </w:r>
      <w:r>
        <w:rPr>
          <w:rFonts w:ascii="Arial" w:eastAsia="SimSun" w:hAnsi="Arial"/>
          <w:b/>
          <w:lang w:val="en-US" w:eastAsia="zh-CN"/>
        </w:rPr>
        <w:t>4</w:t>
      </w:r>
      <w:r w:rsidRPr="0007416F">
        <w:rPr>
          <w:rFonts w:ascii="Arial" w:hAnsi="Arial"/>
          <w:b/>
        </w:rPr>
        <w:t>-0: Δf</w:t>
      </w:r>
      <w:r w:rsidRPr="0007416F">
        <w:rPr>
          <w:rFonts w:ascii="Arial" w:hAnsi="Arial"/>
          <w:b/>
          <w:vertAlign w:val="subscript"/>
        </w:rPr>
        <w:t>OOB</w:t>
      </w:r>
      <w:r w:rsidRPr="0007416F">
        <w:rPr>
          <w:rFonts w:ascii="Arial" w:hAnsi="Arial"/>
          <w:b/>
        </w:rPr>
        <w:t xml:space="preserve"> offset for NR </w:t>
      </w:r>
      <w:r w:rsidRPr="0007416F">
        <w:rPr>
          <w:rFonts w:ascii="Arial" w:hAnsi="Arial"/>
          <w:b/>
          <w:i/>
        </w:rPr>
        <w:t>operating bands</w:t>
      </w:r>
      <w:r w:rsidRPr="0007416F">
        <w:rPr>
          <w:rFonts w:ascii="Arial" w:eastAsia="SimSun" w:hAnsi="Arial"/>
          <w:b/>
          <w:i/>
          <w:lang w:val="en-US" w:eastAsia="zh-CN"/>
        </w:rPr>
        <w:t xml:space="preserve"> </w:t>
      </w:r>
      <w:r>
        <w:rPr>
          <w:rFonts w:ascii="Arial" w:eastAsia="SimSun" w:hAnsi="Arial"/>
          <w:b/>
          <w:iCs/>
          <w:lang w:val="en-US" w:eastAsia="zh-CN"/>
        </w:rPr>
        <w:t xml:space="preserve">for Wide Area IAB-MT </w:t>
      </w:r>
      <w:r w:rsidRPr="0007416F">
        <w:rPr>
          <w:rFonts w:ascii="Arial" w:eastAsia="SimSun" w:hAnsi="Arial"/>
          <w:b/>
          <w:iCs/>
          <w:lang w:val="en-US" w:eastAsia="zh-CN"/>
        </w:rPr>
        <w:t>in FR2</w:t>
      </w:r>
    </w:p>
    <w:tbl>
      <w:tblPr>
        <w:tblW w:w="63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7"/>
        <w:gridCol w:w="3472"/>
        <w:gridCol w:w="1709"/>
      </w:tblGrid>
      <w:tr w:rsidR="00941282" w:rsidRPr="0007416F" w14:paraId="3841D3A8" w14:textId="77777777" w:rsidTr="00A4061E">
        <w:trPr>
          <w:jc w:val="center"/>
        </w:trPr>
        <w:tc>
          <w:tcPr>
            <w:tcW w:w="1197" w:type="dxa"/>
          </w:tcPr>
          <w:p w14:paraId="0228A617" w14:textId="77777777" w:rsidR="00941282" w:rsidRPr="0007416F" w:rsidRDefault="00941282" w:rsidP="00A4061E">
            <w:pPr>
              <w:keepNext/>
              <w:keepLines/>
              <w:spacing w:after="0"/>
              <w:jc w:val="center"/>
              <w:rPr>
                <w:rFonts w:ascii="Arial" w:hAnsi="Arial"/>
                <w:b/>
                <w:sz w:val="18"/>
                <w:lang w:eastAsia="zh-CN"/>
              </w:rPr>
            </w:pPr>
            <w:r w:rsidRPr="0007416F">
              <w:rPr>
                <w:rFonts w:ascii="Arial" w:hAnsi="Arial"/>
                <w:b/>
                <w:sz w:val="18"/>
                <w:lang w:eastAsia="zh-CN"/>
              </w:rPr>
              <w:t>IAB</w:t>
            </w:r>
            <w:r>
              <w:rPr>
                <w:rFonts w:ascii="Arial" w:hAnsi="Arial"/>
                <w:b/>
                <w:sz w:val="18"/>
                <w:lang w:eastAsia="zh-CN"/>
              </w:rPr>
              <w:t xml:space="preserve">-MT </w:t>
            </w:r>
            <w:r w:rsidRPr="0007416F">
              <w:rPr>
                <w:rFonts w:ascii="Arial" w:hAnsi="Arial"/>
                <w:b/>
                <w:sz w:val="18"/>
                <w:lang w:eastAsia="zh-CN"/>
              </w:rPr>
              <w:t>type</w:t>
            </w:r>
          </w:p>
        </w:tc>
        <w:tc>
          <w:tcPr>
            <w:tcW w:w="3472" w:type="dxa"/>
            <w:shd w:val="clear" w:color="auto" w:fill="auto"/>
          </w:tcPr>
          <w:p w14:paraId="6C7869DD" w14:textId="77777777" w:rsidR="00941282" w:rsidRPr="0007416F" w:rsidRDefault="00941282" w:rsidP="00A4061E">
            <w:pPr>
              <w:keepNext/>
              <w:keepLines/>
              <w:spacing w:after="0"/>
              <w:jc w:val="center"/>
              <w:rPr>
                <w:rFonts w:ascii="Arial" w:hAnsi="Arial"/>
                <w:b/>
                <w:sz w:val="18"/>
              </w:rPr>
            </w:pPr>
            <w:r w:rsidRPr="0007416F">
              <w:rPr>
                <w:rFonts w:ascii="Arial" w:hAnsi="Arial"/>
                <w:b/>
                <w:i/>
                <w:sz w:val="18"/>
              </w:rPr>
              <w:t>Operating band</w:t>
            </w:r>
            <w:r w:rsidRPr="0007416F">
              <w:rPr>
                <w:rFonts w:ascii="Arial" w:hAnsi="Arial"/>
                <w:b/>
                <w:sz w:val="18"/>
              </w:rPr>
              <w:t xml:space="preserve"> characteristics</w:t>
            </w:r>
          </w:p>
        </w:tc>
        <w:tc>
          <w:tcPr>
            <w:tcW w:w="1709" w:type="dxa"/>
            <w:shd w:val="clear" w:color="auto" w:fill="auto"/>
          </w:tcPr>
          <w:p w14:paraId="62823540" w14:textId="77777777" w:rsidR="00941282" w:rsidRPr="0007416F" w:rsidRDefault="00941282" w:rsidP="00A4061E">
            <w:pPr>
              <w:keepNext/>
              <w:keepLines/>
              <w:spacing w:after="0"/>
              <w:jc w:val="center"/>
              <w:rPr>
                <w:rFonts w:ascii="Arial" w:hAnsi="Arial"/>
                <w:b/>
                <w:sz w:val="18"/>
              </w:rPr>
            </w:pPr>
            <w:r w:rsidRPr="0007416F">
              <w:rPr>
                <w:rFonts w:ascii="Arial" w:hAnsi="Arial"/>
                <w:b/>
                <w:sz w:val="18"/>
              </w:rPr>
              <w:t>Δf</w:t>
            </w:r>
            <w:r w:rsidRPr="0007416F">
              <w:rPr>
                <w:rFonts w:ascii="Arial" w:hAnsi="Arial"/>
                <w:b/>
                <w:sz w:val="18"/>
                <w:vertAlign w:val="subscript"/>
              </w:rPr>
              <w:t>OOB</w:t>
            </w:r>
            <w:r w:rsidRPr="0007416F">
              <w:rPr>
                <w:rFonts w:ascii="Arial" w:hAnsi="Arial"/>
                <w:b/>
                <w:sz w:val="18"/>
              </w:rPr>
              <w:t xml:space="preserve"> (</w:t>
            </w:r>
            <w:r w:rsidRPr="0007416F">
              <w:rPr>
                <w:rFonts w:ascii="Arial" w:eastAsia="SimSun" w:hAnsi="Arial"/>
                <w:b/>
                <w:sz w:val="18"/>
                <w:lang w:val="en-US" w:eastAsia="zh-CN"/>
              </w:rPr>
              <w:t>M</w:t>
            </w:r>
            <w:r w:rsidRPr="0007416F">
              <w:rPr>
                <w:rFonts w:ascii="Arial" w:hAnsi="Arial"/>
                <w:b/>
                <w:sz w:val="18"/>
              </w:rPr>
              <w:t>Hz)</w:t>
            </w:r>
          </w:p>
        </w:tc>
      </w:tr>
      <w:tr w:rsidR="00941282" w:rsidRPr="0007416F" w14:paraId="0C76D9CA" w14:textId="77777777" w:rsidTr="00A4061E">
        <w:trPr>
          <w:trHeight w:val="153"/>
          <w:jc w:val="center"/>
        </w:trPr>
        <w:tc>
          <w:tcPr>
            <w:tcW w:w="1197" w:type="dxa"/>
            <w:vAlign w:val="center"/>
          </w:tcPr>
          <w:p w14:paraId="5061B417" w14:textId="77777777" w:rsidR="00941282" w:rsidRPr="0007416F" w:rsidRDefault="00941282" w:rsidP="00A4061E">
            <w:pPr>
              <w:keepNext/>
              <w:keepLines/>
              <w:spacing w:after="0"/>
              <w:jc w:val="center"/>
              <w:rPr>
                <w:rFonts w:ascii="Arial" w:hAnsi="Arial"/>
                <w:i/>
                <w:sz w:val="18"/>
                <w:lang w:eastAsia="zh-CN"/>
              </w:rPr>
            </w:pPr>
            <w:r w:rsidRPr="0007416F">
              <w:rPr>
                <w:rFonts w:ascii="Arial" w:hAnsi="Arial"/>
                <w:i/>
                <w:sz w:val="18"/>
                <w:lang w:eastAsia="zh-CN"/>
              </w:rPr>
              <w:t>IAB</w:t>
            </w:r>
            <w:r>
              <w:rPr>
                <w:rFonts w:ascii="Arial" w:hAnsi="Arial"/>
                <w:i/>
                <w:sz w:val="18"/>
                <w:lang w:eastAsia="zh-CN"/>
              </w:rPr>
              <w:t>-MT</w:t>
            </w:r>
            <w:r w:rsidRPr="0007416F">
              <w:rPr>
                <w:rFonts w:ascii="Arial" w:hAnsi="Arial"/>
                <w:i/>
                <w:sz w:val="18"/>
                <w:lang w:eastAsia="zh-CN"/>
              </w:rPr>
              <w:t xml:space="preserve"> type </w:t>
            </w:r>
            <w:r w:rsidRPr="0007416F">
              <w:rPr>
                <w:rFonts w:ascii="Arial" w:hAnsi="Arial"/>
                <w:i/>
                <w:sz w:val="18"/>
                <w:lang w:val="en-US" w:eastAsia="zh-CN"/>
              </w:rPr>
              <w:t>2</w:t>
            </w:r>
            <w:r w:rsidRPr="0007416F">
              <w:rPr>
                <w:rFonts w:ascii="Arial" w:hAnsi="Arial"/>
                <w:i/>
                <w:sz w:val="18"/>
                <w:lang w:eastAsia="zh-CN"/>
              </w:rPr>
              <w:t>-O</w:t>
            </w:r>
          </w:p>
        </w:tc>
        <w:tc>
          <w:tcPr>
            <w:tcW w:w="3472" w:type="dxa"/>
            <w:shd w:val="clear" w:color="auto" w:fill="auto"/>
          </w:tcPr>
          <w:p w14:paraId="4F46AAF3" w14:textId="7A43E78E" w:rsidR="00941282" w:rsidRPr="0007416F" w:rsidRDefault="00941282" w:rsidP="00A4061E">
            <w:pPr>
              <w:keepNext/>
              <w:keepLines/>
              <w:spacing w:after="0"/>
              <w:jc w:val="center"/>
              <w:rPr>
                <w:rFonts w:ascii="Arial" w:hAnsi="Arial"/>
                <w:b/>
                <w:sz w:val="18"/>
              </w:rPr>
            </w:pPr>
            <w:r w:rsidRPr="0007416F">
              <w:rPr>
                <w:rFonts w:ascii="Arial" w:hAnsi="Arial" w:cs="Arial"/>
                <w:sz w:val="18"/>
              </w:rPr>
              <w:t>F</w:t>
            </w:r>
            <w:r w:rsidR="009D2D02">
              <w:rPr>
                <w:rFonts w:ascii="Arial" w:hAnsi="Arial" w:cs="Arial"/>
                <w:sz w:val="18"/>
                <w:vertAlign w:val="subscript"/>
              </w:rPr>
              <w:t>D</w:t>
            </w:r>
            <w:r w:rsidRPr="0007416F">
              <w:rPr>
                <w:rFonts w:ascii="Arial" w:hAnsi="Arial" w:cs="Arial"/>
                <w:sz w:val="18"/>
                <w:vertAlign w:val="subscript"/>
              </w:rPr>
              <w:t>L_high</w:t>
            </w:r>
            <w:r w:rsidRPr="0007416F">
              <w:rPr>
                <w:rFonts w:ascii="Arial" w:hAnsi="Arial"/>
                <w:sz w:val="18"/>
              </w:rPr>
              <w:t xml:space="preserve"> – </w:t>
            </w:r>
            <w:r w:rsidRPr="0007416F">
              <w:rPr>
                <w:rFonts w:ascii="Arial" w:hAnsi="Arial" w:cs="Arial"/>
                <w:sz w:val="18"/>
              </w:rPr>
              <w:t>F</w:t>
            </w:r>
            <w:r w:rsidR="009D2D02">
              <w:rPr>
                <w:rFonts w:ascii="Arial" w:hAnsi="Arial" w:cs="Arial"/>
                <w:sz w:val="18"/>
                <w:vertAlign w:val="subscript"/>
              </w:rPr>
              <w:t>D</w:t>
            </w:r>
            <w:r w:rsidRPr="0007416F">
              <w:rPr>
                <w:rFonts w:ascii="Arial" w:hAnsi="Arial" w:cs="Arial"/>
                <w:sz w:val="18"/>
                <w:vertAlign w:val="subscript"/>
              </w:rPr>
              <w:t>L_low</w:t>
            </w:r>
            <w:r w:rsidRPr="0007416F">
              <w:rPr>
                <w:rFonts w:ascii="Arial" w:hAnsi="Arial"/>
                <w:sz w:val="18"/>
              </w:rPr>
              <w:t xml:space="preserve"> </w:t>
            </w:r>
            <w:r w:rsidRPr="0007416F">
              <w:rPr>
                <w:rFonts w:ascii="Arial" w:hAnsi="Arial" w:hint="eastAsia"/>
                <w:sz w:val="18"/>
              </w:rPr>
              <w:t>≤</w:t>
            </w:r>
            <w:r w:rsidRPr="0007416F">
              <w:rPr>
                <w:rFonts w:ascii="Arial" w:hAnsi="Arial"/>
                <w:sz w:val="18"/>
              </w:rPr>
              <w:t xml:space="preserve"> 3250 MHz</w:t>
            </w:r>
          </w:p>
        </w:tc>
        <w:tc>
          <w:tcPr>
            <w:tcW w:w="1709" w:type="dxa"/>
            <w:shd w:val="clear" w:color="auto" w:fill="auto"/>
          </w:tcPr>
          <w:p w14:paraId="651908E3" w14:textId="77777777" w:rsidR="00941282" w:rsidRPr="0007416F" w:rsidRDefault="00941282" w:rsidP="00A4061E">
            <w:pPr>
              <w:keepNext/>
              <w:keepLines/>
              <w:spacing w:after="0"/>
              <w:jc w:val="center"/>
              <w:rPr>
                <w:rFonts w:ascii="Arial" w:hAnsi="Arial"/>
                <w:sz w:val="18"/>
                <w:lang w:val="en-US"/>
              </w:rPr>
            </w:pPr>
            <w:r w:rsidRPr="0007416F">
              <w:rPr>
                <w:rFonts w:ascii="Arial" w:eastAsia="SimSun" w:hAnsi="Arial"/>
                <w:sz w:val="18"/>
                <w:lang w:val="en-US" w:eastAsia="zh-CN"/>
              </w:rPr>
              <w:t>1500</w:t>
            </w:r>
          </w:p>
        </w:tc>
      </w:tr>
    </w:tbl>
    <w:p w14:paraId="468DCE62" w14:textId="77777777" w:rsidR="00941282" w:rsidRPr="0007416F" w:rsidRDefault="00941282" w:rsidP="00941282">
      <w:pPr>
        <w:rPr>
          <w:rFonts w:cs="v3.8.0"/>
          <w:lang w:eastAsia="zh-CN"/>
        </w:rPr>
      </w:pPr>
    </w:p>
    <w:p w14:paraId="493361B0" w14:textId="77777777" w:rsidR="00941282" w:rsidRPr="0007416F" w:rsidRDefault="00941282" w:rsidP="00941282">
      <w:pPr>
        <w:rPr>
          <w:lang w:eastAsia="zh-CN"/>
        </w:rPr>
      </w:pPr>
      <w:r>
        <w:rPr>
          <w:lang w:eastAsia="zh-CN"/>
        </w:rPr>
        <w:t>For Wide Area IAB-MT and f</w:t>
      </w:r>
      <w:r w:rsidRPr="0007416F">
        <w:rPr>
          <w:lang w:eastAsia="zh-CN"/>
        </w:rPr>
        <w:t xml:space="preserve">or a </w:t>
      </w:r>
      <w:r w:rsidRPr="0007416F">
        <w:t xml:space="preserve">RIBs supporting operation in </w:t>
      </w:r>
      <w:r w:rsidRPr="0007416F">
        <w:rPr>
          <w:i/>
        </w:rPr>
        <w:t>non-contiguous spectrum</w:t>
      </w:r>
      <w:r w:rsidRPr="0007416F">
        <w:rPr>
          <w:lang w:eastAsia="zh-CN"/>
        </w:rPr>
        <w:t xml:space="preserve"> within any </w:t>
      </w:r>
      <w:r w:rsidRPr="0007416F">
        <w:rPr>
          <w:i/>
          <w:lang w:eastAsia="zh-CN"/>
        </w:rPr>
        <w:t>operating band</w:t>
      </w:r>
      <w:r w:rsidRPr="0007416F">
        <w:rPr>
          <w:lang w:eastAsia="zh-CN"/>
        </w:rPr>
        <w:t>, the OTA blocking requirements apply in addition inside any sub-block gap, in case the sub-block gap size is at least as wide as twice the interfering signal minimum offset in table 10.5.2.</w:t>
      </w:r>
      <w:r>
        <w:rPr>
          <w:lang w:eastAsia="zh-CN"/>
        </w:rPr>
        <w:t>4</w:t>
      </w:r>
      <w:r w:rsidRPr="0007416F">
        <w:rPr>
          <w:lang w:eastAsia="zh-CN"/>
        </w:rPr>
        <w:t>-1. The interfering signal offset is defined relative to the sub-block edges inside the sub-block gap.</w:t>
      </w:r>
    </w:p>
    <w:p w14:paraId="53377FD8" w14:textId="3EC50054" w:rsidR="00941282" w:rsidRPr="0007416F" w:rsidRDefault="00941282" w:rsidP="0041345E">
      <w:pPr>
        <w:pStyle w:val="TH"/>
        <w:rPr>
          <w:rFonts w:eastAsia="SimSun"/>
          <w:lang w:eastAsia="zh-CN"/>
        </w:rPr>
      </w:pPr>
      <w:r w:rsidRPr="0007416F">
        <w:t xml:space="preserve">Table </w:t>
      </w:r>
      <w:r w:rsidRPr="0007416F">
        <w:rPr>
          <w:rFonts w:eastAsia="SimSun"/>
          <w:lang w:eastAsia="zh-CN"/>
        </w:rPr>
        <w:t>10.5.2.</w:t>
      </w:r>
      <w:r>
        <w:rPr>
          <w:rFonts w:eastAsia="SimSun"/>
          <w:lang w:eastAsia="zh-CN"/>
        </w:rPr>
        <w:t>4</w:t>
      </w:r>
      <w:r w:rsidRPr="0007416F">
        <w:t>-</w:t>
      </w:r>
      <w:r w:rsidRPr="0007416F">
        <w:rPr>
          <w:rFonts w:eastAsia="SimSun"/>
          <w:lang w:eastAsia="zh-CN"/>
        </w:rPr>
        <w:t>1</w:t>
      </w:r>
      <w:r w:rsidRPr="0007416F">
        <w:t xml:space="preserve">: General OTA blocking requirement for </w:t>
      </w:r>
      <w:r>
        <w:rPr>
          <w:i/>
        </w:rPr>
        <w:t>Widea Area IAB-MT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1"/>
        <w:gridCol w:w="1768"/>
        <w:gridCol w:w="1963"/>
        <w:gridCol w:w="1749"/>
        <w:gridCol w:w="2220"/>
      </w:tblGrid>
      <w:tr w:rsidR="00941282" w:rsidRPr="0007416F" w14:paraId="080D106E" w14:textId="77777777" w:rsidTr="00A4061E">
        <w:trPr>
          <w:trHeight w:val="629"/>
          <w:jc w:val="center"/>
        </w:trPr>
        <w:tc>
          <w:tcPr>
            <w:tcW w:w="1947" w:type="dxa"/>
            <w:tcBorders>
              <w:top w:val="single" w:sz="4" w:space="0" w:color="auto"/>
              <w:left w:val="single" w:sz="4" w:space="0" w:color="auto"/>
              <w:bottom w:val="single" w:sz="4" w:space="0" w:color="auto"/>
              <w:right w:val="single" w:sz="4" w:space="0" w:color="auto"/>
            </w:tcBorders>
          </w:tcPr>
          <w:p w14:paraId="13305252" w14:textId="77777777" w:rsidR="00941282" w:rsidRPr="0007416F" w:rsidRDefault="00941282" w:rsidP="0041345E">
            <w:pPr>
              <w:pStyle w:val="TAH"/>
            </w:pPr>
            <w:r>
              <w:rPr>
                <w:i/>
              </w:rPr>
              <w:t>IAB MT</w:t>
            </w:r>
            <w:r w:rsidRPr="0007416F">
              <w:rPr>
                <w:i/>
              </w:rPr>
              <w:t xml:space="preserve"> channel bandwidth</w:t>
            </w:r>
            <w:r w:rsidRPr="0007416F">
              <w:t xml:space="preserve"> of the lowest/highest carrier received (MHz)</w:t>
            </w:r>
          </w:p>
        </w:tc>
        <w:tc>
          <w:tcPr>
            <w:tcW w:w="1792" w:type="dxa"/>
            <w:tcBorders>
              <w:top w:val="single" w:sz="4" w:space="0" w:color="auto"/>
              <w:left w:val="single" w:sz="4" w:space="0" w:color="auto"/>
              <w:bottom w:val="single" w:sz="4" w:space="0" w:color="auto"/>
              <w:right w:val="single" w:sz="4" w:space="0" w:color="auto"/>
            </w:tcBorders>
            <w:hideMark/>
          </w:tcPr>
          <w:p w14:paraId="3FD2C6E4" w14:textId="77777777" w:rsidR="00941282" w:rsidRPr="0007416F" w:rsidRDefault="00941282" w:rsidP="0041345E">
            <w:pPr>
              <w:pStyle w:val="TAH"/>
              <w:rPr>
                <w:lang w:eastAsia="ja-JP"/>
              </w:rPr>
            </w:pPr>
            <w:r w:rsidRPr="0007416F">
              <w:t>OTA wanted signal mean power (dBm)</w:t>
            </w:r>
          </w:p>
        </w:tc>
        <w:tc>
          <w:tcPr>
            <w:tcW w:w="1983" w:type="dxa"/>
            <w:tcBorders>
              <w:top w:val="single" w:sz="4" w:space="0" w:color="auto"/>
              <w:left w:val="single" w:sz="4" w:space="0" w:color="auto"/>
              <w:bottom w:val="single" w:sz="4" w:space="0" w:color="auto"/>
              <w:right w:val="single" w:sz="4" w:space="0" w:color="auto"/>
            </w:tcBorders>
            <w:hideMark/>
          </w:tcPr>
          <w:p w14:paraId="1424EE06" w14:textId="77777777" w:rsidR="00941282" w:rsidRPr="0007416F" w:rsidRDefault="00941282" w:rsidP="0041345E">
            <w:pPr>
              <w:pStyle w:val="TAH"/>
              <w:rPr>
                <w:lang w:eastAsia="ja-JP"/>
              </w:rPr>
            </w:pPr>
            <w:r w:rsidRPr="0007416F">
              <w:t>OTA interfering signal mean power (dBm)</w:t>
            </w:r>
          </w:p>
        </w:tc>
        <w:tc>
          <w:tcPr>
            <w:tcW w:w="1767" w:type="dxa"/>
            <w:tcBorders>
              <w:top w:val="single" w:sz="4" w:space="0" w:color="auto"/>
              <w:left w:val="single" w:sz="4" w:space="0" w:color="auto"/>
              <w:bottom w:val="single" w:sz="4" w:space="0" w:color="auto"/>
              <w:right w:val="single" w:sz="4" w:space="0" w:color="auto"/>
            </w:tcBorders>
            <w:hideMark/>
          </w:tcPr>
          <w:p w14:paraId="67CC23CF" w14:textId="77777777" w:rsidR="00941282" w:rsidRPr="0007416F" w:rsidRDefault="00941282" w:rsidP="0041345E">
            <w:pPr>
              <w:pStyle w:val="TAH"/>
            </w:pPr>
            <w:r w:rsidRPr="0007416F">
              <w:t>OTA interfering signal centre frequency offset</w:t>
            </w:r>
          </w:p>
          <w:p w14:paraId="1D86AEEB" w14:textId="77777777" w:rsidR="00941282" w:rsidRPr="0007416F" w:rsidRDefault="00941282" w:rsidP="0041345E">
            <w:pPr>
              <w:pStyle w:val="TAH"/>
              <w:rPr>
                <w:lang w:eastAsia="ja-JP"/>
              </w:rPr>
            </w:pPr>
            <w:r w:rsidRPr="0007416F">
              <w:rPr>
                <w:rFonts w:cs="Arial"/>
              </w:rPr>
              <w:t xml:space="preserve">from the lower/upper </w:t>
            </w:r>
            <w:r>
              <w:rPr>
                <w:rFonts w:cs="Arial"/>
              </w:rPr>
              <w:t>IAB MT</w:t>
            </w:r>
            <w:r w:rsidRPr="0007416F">
              <w:rPr>
                <w:rFonts w:cs="Arial"/>
              </w:rPr>
              <w:t xml:space="preserve"> </w:t>
            </w:r>
            <w:r>
              <w:rPr>
                <w:rFonts w:cs="Arial"/>
              </w:rPr>
              <w:t xml:space="preserve">[ </w:t>
            </w:r>
            <w:r w:rsidRPr="0007416F">
              <w:rPr>
                <w:rFonts w:cs="Arial"/>
              </w:rPr>
              <w:t>RF Bandwidth</w:t>
            </w:r>
            <w:r>
              <w:rPr>
                <w:rFonts w:cs="Arial"/>
              </w:rPr>
              <w:t>]</w:t>
            </w:r>
            <w:r w:rsidRPr="0007416F">
              <w:rPr>
                <w:rFonts w:cs="Arial"/>
              </w:rPr>
              <w:t xml:space="preserve"> edge or sub-block edge inside a sub-block gap</w:t>
            </w:r>
            <w:r w:rsidRPr="0007416F">
              <w:t xml:space="preserve"> (MHz)</w:t>
            </w:r>
          </w:p>
        </w:tc>
        <w:tc>
          <w:tcPr>
            <w:tcW w:w="2258" w:type="dxa"/>
            <w:tcBorders>
              <w:top w:val="single" w:sz="4" w:space="0" w:color="auto"/>
              <w:left w:val="single" w:sz="4" w:space="0" w:color="auto"/>
              <w:bottom w:val="single" w:sz="4" w:space="0" w:color="auto"/>
              <w:right w:val="single" w:sz="4" w:space="0" w:color="auto"/>
            </w:tcBorders>
            <w:hideMark/>
          </w:tcPr>
          <w:p w14:paraId="52F1245E" w14:textId="77777777" w:rsidR="00941282" w:rsidRPr="0007416F" w:rsidRDefault="00941282" w:rsidP="0041345E">
            <w:pPr>
              <w:pStyle w:val="TAH"/>
              <w:rPr>
                <w:lang w:eastAsia="ja-JP"/>
              </w:rPr>
            </w:pPr>
            <w:r w:rsidRPr="0007416F">
              <w:t>Type of OTA interfering signal</w:t>
            </w:r>
          </w:p>
        </w:tc>
      </w:tr>
      <w:tr w:rsidR="00941282" w:rsidRPr="0007416F" w14:paraId="1A17406B" w14:textId="77777777" w:rsidTr="00A4061E">
        <w:trPr>
          <w:trHeight w:val="487"/>
          <w:jc w:val="center"/>
        </w:trPr>
        <w:tc>
          <w:tcPr>
            <w:tcW w:w="1947" w:type="dxa"/>
            <w:tcBorders>
              <w:top w:val="single" w:sz="4" w:space="0" w:color="auto"/>
              <w:left w:val="single" w:sz="4" w:space="0" w:color="auto"/>
              <w:bottom w:val="single" w:sz="4" w:space="0" w:color="auto"/>
              <w:right w:val="single" w:sz="4" w:space="0" w:color="auto"/>
            </w:tcBorders>
          </w:tcPr>
          <w:p w14:paraId="783BFD1C" w14:textId="77777777" w:rsidR="00941282" w:rsidRPr="0007416F" w:rsidRDefault="00941282" w:rsidP="0041345E">
            <w:pPr>
              <w:pStyle w:val="TAC"/>
              <w:rPr>
                <w:rFonts w:eastAsia="SimSun"/>
                <w:lang w:eastAsia="zh-CN"/>
              </w:rPr>
            </w:pPr>
            <w:r w:rsidRPr="0007416F">
              <w:t>50, 100, 200, 400</w:t>
            </w:r>
          </w:p>
        </w:tc>
        <w:tc>
          <w:tcPr>
            <w:tcW w:w="1792" w:type="dxa"/>
            <w:tcBorders>
              <w:top w:val="single" w:sz="4" w:space="0" w:color="auto"/>
              <w:left w:val="single" w:sz="4" w:space="0" w:color="auto"/>
              <w:bottom w:val="single" w:sz="4" w:space="0" w:color="auto"/>
              <w:right w:val="single" w:sz="4" w:space="0" w:color="auto"/>
            </w:tcBorders>
            <w:hideMark/>
          </w:tcPr>
          <w:p w14:paraId="306A215F" w14:textId="77777777" w:rsidR="00941282" w:rsidRPr="0007416F" w:rsidRDefault="00941282" w:rsidP="0041345E">
            <w:pPr>
              <w:pStyle w:val="TAC"/>
              <w:rPr>
                <w:lang w:eastAsia="ja-JP"/>
              </w:rPr>
            </w:pPr>
            <w:r w:rsidRPr="0007416F">
              <w:rPr>
                <w:rFonts w:cs="Arial"/>
              </w:rPr>
              <w:t>EIS</w:t>
            </w:r>
            <w:r w:rsidRPr="0007416F">
              <w:rPr>
                <w:rFonts w:cs="Arial"/>
                <w:vertAlign w:val="subscript"/>
              </w:rPr>
              <w:t>REFSENS</w:t>
            </w:r>
            <w:r w:rsidRPr="0007416F">
              <w:t xml:space="preserve"> + 6 dB</w:t>
            </w:r>
          </w:p>
        </w:tc>
        <w:tc>
          <w:tcPr>
            <w:tcW w:w="1983" w:type="dxa"/>
            <w:tcBorders>
              <w:top w:val="single" w:sz="4" w:space="0" w:color="auto"/>
              <w:left w:val="single" w:sz="4" w:space="0" w:color="auto"/>
              <w:bottom w:val="single" w:sz="4" w:space="0" w:color="auto"/>
              <w:right w:val="single" w:sz="4" w:space="0" w:color="auto"/>
            </w:tcBorders>
            <w:hideMark/>
          </w:tcPr>
          <w:p w14:paraId="728EF946" w14:textId="77777777" w:rsidR="00941282" w:rsidRPr="0007416F" w:rsidRDefault="00941282" w:rsidP="0041345E">
            <w:pPr>
              <w:pStyle w:val="TAC"/>
              <w:rPr>
                <w:rFonts w:eastAsia="SimSun"/>
                <w:lang w:val="sv-SE" w:eastAsia="zh-CN"/>
              </w:rPr>
            </w:pPr>
            <w:r w:rsidRPr="0007416F">
              <w:rPr>
                <w:rFonts w:cs="Arial"/>
                <w:lang w:val="sv-SE"/>
              </w:rPr>
              <w:t>EIS</w:t>
            </w:r>
            <w:r w:rsidRPr="0007416F">
              <w:rPr>
                <w:rFonts w:cs="Arial"/>
                <w:vertAlign w:val="subscript"/>
                <w:lang w:val="sv-SE"/>
              </w:rPr>
              <w:t>REFSENS_50M</w:t>
            </w:r>
            <w:r w:rsidRPr="0007416F">
              <w:rPr>
                <w:lang w:val="sv-SE"/>
              </w:rPr>
              <w:t xml:space="preserve"> + 33 </w:t>
            </w:r>
            <w:r w:rsidRPr="0007416F">
              <w:rPr>
                <w:rFonts w:cs="Arial"/>
                <w:lang w:val="sv-SE"/>
              </w:rPr>
              <w:t xml:space="preserve">+ </w:t>
            </w:r>
            <w:r w:rsidRPr="0007416F">
              <w:t>Δ</w:t>
            </w:r>
            <w:r w:rsidRPr="0007416F">
              <w:rPr>
                <w:vertAlign w:val="subscript"/>
                <w:lang w:val="sv-SE"/>
              </w:rPr>
              <w:t>FR2_REFSENS</w:t>
            </w:r>
          </w:p>
        </w:tc>
        <w:tc>
          <w:tcPr>
            <w:tcW w:w="1767" w:type="dxa"/>
            <w:tcBorders>
              <w:top w:val="single" w:sz="4" w:space="0" w:color="auto"/>
              <w:left w:val="single" w:sz="4" w:space="0" w:color="auto"/>
              <w:bottom w:val="single" w:sz="4" w:space="0" w:color="auto"/>
              <w:right w:val="single" w:sz="4" w:space="0" w:color="auto"/>
            </w:tcBorders>
            <w:hideMark/>
          </w:tcPr>
          <w:p w14:paraId="71FDE25F" w14:textId="77777777" w:rsidR="00941282" w:rsidRPr="0007416F" w:rsidRDefault="00941282" w:rsidP="0041345E">
            <w:pPr>
              <w:pStyle w:val="TAC"/>
              <w:rPr>
                <w:rFonts w:eastAsia="SimSun"/>
                <w:lang w:eastAsia="zh-CN"/>
              </w:rPr>
            </w:pPr>
            <w:r w:rsidRPr="0007416F">
              <w:rPr>
                <w:rFonts w:cs="Arial"/>
              </w:rPr>
              <w:t>±</w:t>
            </w:r>
            <w:r w:rsidRPr="0007416F">
              <w:t>75</w:t>
            </w:r>
          </w:p>
        </w:tc>
        <w:tc>
          <w:tcPr>
            <w:tcW w:w="2258" w:type="dxa"/>
            <w:tcBorders>
              <w:top w:val="single" w:sz="4" w:space="0" w:color="auto"/>
              <w:left w:val="single" w:sz="4" w:space="0" w:color="auto"/>
              <w:bottom w:val="single" w:sz="4" w:space="0" w:color="auto"/>
              <w:right w:val="single" w:sz="4" w:space="0" w:color="auto"/>
            </w:tcBorders>
            <w:hideMark/>
          </w:tcPr>
          <w:p w14:paraId="33E23EBD" w14:textId="77777777" w:rsidR="00941282" w:rsidRPr="0007416F" w:rsidRDefault="00941282" w:rsidP="0041345E">
            <w:pPr>
              <w:pStyle w:val="TAC"/>
            </w:pPr>
            <w:r w:rsidRPr="0007416F">
              <w:t xml:space="preserve">50 MHz </w:t>
            </w:r>
            <w:r>
              <w:rPr>
                <w:lang w:val="en-US"/>
              </w:rPr>
              <w:t>CP</w:t>
            </w:r>
            <w:r w:rsidRPr="0007416F">
              <w:rPr>
                <w:lang w:val="en-US"/>
              </w:rPr>
              <w:t xml:space="preserve">-OFDM </w:t>
            </w:r>
            <w:r w:rsidRPr="0007416F">
              <w:rPr>
                <w:rFonts w:eastAsia="SimSun"/>
                <w:lang w:eastAsia="zh-CN"/>
              </w:rPr>
              <w:t>NR</w:t>
            </w:r>
            <w:r w:rsidRPr="0007416F">
              <w:t xml:space="preserve"> signal,</w:t>
            </w:r>
          </w:p>
          <w:p w14:paraId="098DA59D" w14:textId="77777777" w:rsidR="00941282" w:rsidRPr="0007416F" w:rsidRDefault="00941282" w:rsidP="0041345E">
            <w:pPr>
              <w:pStyle w:val="TAC"/>
              <w:rPr>
                <w:lang w:eastAsia="ja-JP"/>
              </w:rPr>
            </w:pPr>
            <w:r w:rsidRPr="0007416F">
              <w:t>60 kHz SCS</w:t>
            </w:r>
            <w:r w:rsidRPr="0007416F">
              <w:rPr>
                <w:rFonts w:cs="Arial"/>
              </w:rPr>
              <w:t>, 64 RBs</w:t>
            </w:r>
          </w:p>
        </w:tc>
      </w:tr>
      <w:tr w:rsidR="00941282" w:rsidRPr="0007416F" w14:paraId="219FD53A" w14:textId="77777777" w:rsidTr="00A4061E">
        <w:trPr>
          <w:trHeight w:val="201"/>
          <w:jc w:val="center"/>
        </w:trPr>
        <w:tc>
          <w:tcPr>
            <w:tcW w:w="9747" w:type="dxa"/>
            <w:gridSpan w:val="5"/>
            <w:tcBorders>
              <w:top w:val="single" w:sz="4" w:space="0" w:color="auto"/>
              <w:left w:val="single" w:sz="4" w:space="0" w:color="auto"/>
              <w:bottom w:val="single" w:sz="4" w:space="0" w:color="auto"/>
              <w:right w:val="single" w:sz="4" w:space="0" w:color="auto"/>
            </w:tcBorders>
          </w:tcPr>
          <w:p w14:paraId="090F0E2F" w14:textId="77777777" w:rsidR="00941282" w:rsidRPr="0007416F" w:rsidRDefault="00941282" w:rsidP="0041345E">
            <w:pPr>
              <w:pStyle w:val="TAN"/>
            </w:pPr>
            <w:r w:rsidRPr="0007416F">
              <w:rPr>
                <w:rFonts w:eastAsia="SimSun"/>
              </w:rPr>
              <w:t>NOTE:</w:t>
            </w:r>
            <w:r w:rsidRPr="0007416F">
              <w:tab/>
              <w:t>EIS</w:t>
            </w:r>
            <w:r w:rsidRPr="0007416F">
              <w:rPr>
                <w:vertAlign w:val="subscript"/>
              </w:rPr>
              <w:t>REFSENS</w:t>
            </w:r>
            <w:r w:rsidRPr="0007416F">
              <w:t xml:space="preserve"> and EIS</w:t>
            </w:r>
            <w:r w:rsidRPr="0007416F">
              <w:rPr>
                <w:vertAlign w:val="subscript"/>
              </w:rPr>
              <w:t>REFSENS_50M</w:t>
            </w:r>
            <w:r w:rsidRPr="0007416F">
              <w:t xml:space="preserve"> are given in subclause </w:t>
            </w:r>
            <w:r>
              <w:t xml:space="preserve">[ </w:t>
            </w:r>
            <w:r w:rsidRPr="0007416F">
              <w:t>10.3.3</w:t>
            </w:r>
            <w:r>
              <w:t>]</w:t>
            </w:r>
            <w:r w:rsidRPr="0007416F">
              <w:t>.</w:t>
            </w:r>
          </w:p>
        </w:tc>
      </w:tr>
    </w:tbl>
    <w:p w14:paraId="0BC3D5BC" w14:textId="77777777" w:rsidR="00941282" w:rsidRPr="0007416F" w:rsidRDefault="00941282" w:rsidP="00941282"/>
    <w:p w14:paraId="6CBDA2A0" w14:textId="77777777" w:rsidR="00983C70" w:rsidRDefault="00983C70" w:rsidP="00983C70">
      <w:pPr>
        <w:keepNext/>
        <w:keepLines/>
        <w:spacing w:before="120"/>
        <w:ind w:left="1418" w:hanging="1418"/>
        <w:outlineLvl w:val="3"/>
        <w:rPr>
          <w:rFonts w:ascii="Arial" w:hAnsi="Arial"/>
          <w:sz w:val="24"/>
        </w:rPr>
      </w:pPr>
      <w:r>
        <w:rPr>
          <w:rFonts w:ascii="Arial" w:hAnsi="Arial"/>
          <w:sz w:val="24"/>
          <w:lang w:eastAsia="zh-CN"/>
        </w:rPr>
        <w:t>10.5.2.5</w:t>
      </w:r>
      <w:r>
        <w:rPr>
          <w:rFonts w:ascii="Arial" w:hAnsi="Arial"/>
          <w:sz w:val="24"/>
        </w:rPr>
        <w:tab/>
        <w:t xml:space="preserve">Minimum requirement for </w:t>
      </w:r>
      <w:r>
        <w:rPr>
          <w:rFonts w:ascii="Arial" w:hAnsi="Arial"/>
          <w:i/>
          <w:sz w:val="24"/>
        </w:rPr>
        <w:t>IAB-MT of type 1-O</w:t>
      </w:r>
    </w:p>
    <w:p w14:paraId="4214D5E7" w14:textId="77777777" w:rsidR="00983C70" w:rsidRPr="00E26D09" w:rsidRDefault="00983C70" w:rsidP="00983C70">
      <w:pPr>
        <w:rPr>
          <w:lang w:eastAsia="ja-JP"/>
        </w:rPr>
      </w:pPr>
      <w:r w:rsidRPr="00E26D09">
        <w:t>The requirement shall apply at the RIB when the AoA of the incident wave of a received signal and the interfering signal are from the same direction, and:</w:t>
      </w:r>
    </w:p>
    <w:p w14:paraId="345EC979" w14:textId="77777777" w:rsidR="00983C70" w:rsidRPr="00E26D09" w:rsidRDefault="00983C70" w:rsidP="00983C70">
      <w:pPr>
        <w:pStyle w:val="B10"/>
      </w:pPr>
      <w:r w:rsidRPr="00E26D09">
        <w:lastRenderedPageBreak/>
        <w:t>-</w:t>
      </w:r>
      <w:r w:rsidRPr="00E26D09">
        <w:tab/>
        <w:t xml:space="preserve">when the wanted signal is based on </w:t>
      </w:r>
      <w:r w:rsidRPr="00E26D09">
        <w:rPr>
          <w:rFonts w:cs="Arial"/>
          <w:szCs w:val="18"/>
        </w:rPr>
        <w:t>EIS</w:t>
      </w:r>
      <w:r w:rsidRPr="00E26D09">
        <w:rPr>
          <w:rFonts w:cs="Arial"/>
          <w:szCs w:val="18"/>
          <w:vertAlign w:val="subscript"/>
        </w:rPr>
        <w:t>REFSENS</w:t>
      </w:r>
      <w:r w:rsidRPr="00E26D09">
        <w:t xml:space="preserve">: the AoA of the incident wave of a received signal and the interfering signal are within the </w:t>
      </w:r>
      <w:r w:rsidRPr="00E26D09">
        <w:rPr>
          <w:i/>
        </w:rPr>
        <w:t>OTA REFSENS RoAoA.</w:t>
      </w:r>
    </w:p>
    <w:p w14:paraId="3363F688" w14:textId="77777777" w:rsidR="00983C70" w:rsidRPr="00E26D09" w:rsidRDefault="00983C70" w:rsidP="00983C70">
      <w:pPr>
        <w:pStyle w:val="B10"/>
      </w:pPr>
      <w:r w:rsidRPr="00E26D09">
        <w:t>-</w:t>
      </w:r>
      <w:r w:rsidRPr="00E26D09">
        <w:tab/>
        <w:t xml:space="preserve">when the wanted signal is based on </w:t>
      </w:r>
      <w:r w:rsidRPr="00E26D09">
        <w:rPr>
          <w:rFonts w:cs="Arial"/>
          <w:szCs w:val="18"/>
        </w:rPr>
        <w:t>EIS</w:t>
      </w:r>
      <w:r w:rsidRPr="00E26D09">
        <w:rPr>
          <w:rFonts w:cs="Arial"/>
          <w:szCs w:val="18"/>
          <w:vertAlign w:val="subscript"/>
        </w:rPr>
        <w:t>minSENS</w:t>
      </w:r>
      <w:r w:rsidRPr="00E26D09">
        <w:t xml:space="preserve">: the AoA of the incident wave of a received signal and the interfering signal are within the </w:t>
      </w:r>
      <w:r w:rsidRPr="00E26D09">
        <w:rPr>
          <w:i/>
        </w:rPr>
        <w:t>minSENS RoAoA</w:t>
      </w:r>
      <w:r w:rsidRPr="00E26D09">
        <w:t>.</w:t>
      </w:r>
    </w:p>
    <w:p w14:paraId="1CF59580" w14:textId="77777777" w:rsidR="00983C70" w:rsidRPr="00E26D09" w:rsidRDefault="00983C70" w:rsidP="00983C70">
      <w:r w:rsidRPr="00E26D09">
        <w:t xml:space="preserve">The wanted and interfering signals apply to each supported polarization, under the assumption of </w:t>
      </w:r>
      <w:r w:rsidRPr="00E26D09">
        <w:rPr>
          <w:i/>
        </w:rPr>
        <w:t>polarization match</w:t>
      </w:r>
      <w:r w:rsidRPr="00E26D09">
        <w:t>.</w:t>
      </w:r>
    </w:p>
    <w:p w14:paraId="14751E07" w14:textId="46DFA800" w:rsidR="00983C70" w:rsidRPr="00E26D09" w:rsidRDefault="00983C70" w:rsidP="00983C70">
      <w:pPr>
        <w:rPr>
          <w:lang w:eastAsia="zh-CN"/>
        </w:rPr>
      </w:pPr>
      <w:r w:rsidRPr="00E26D09">
        <w:t xml:space="preserve">The throughput shall be </w:t>
      </w:r>
      <w:r w:rsidRPr="00E26D09">
        <w:rPr>
          <w:rFonts w:hint="eastAsia"/>
        </w:rPr>
        <w:t>≥</w:t>
      </w:r>
      <w:r w:rsidRPr="00E26D09">
        <w:t xml:space="preserve"> 95% of the maximum throughput</w:t>
      </w:r>
      <w:r w:rsidRPr="00E26D09" w:rsidDel="00BE584A">
        <w:t xml:space="preserve"> </w:t>
      </w:r>
      <w:r w:rsidRPr="00E26D09">
        <w:t>of the reference measurement channel, with</w:t>
      </w:r>
      <w:r w:rsidRPr="00E26D09">
        <w:rPr>
          <w:lang w:eastAsia="zh-CN"/>
        </w:rPr>
        <w:t xml:space="preserve"> OTA wanted and OTA interfering signal specified in tables 10.5.2.</w:t>
      </w:r>
      <w:r>
        <w:rPr>
          <w:lang w:eastAsia="zh-CN"/>
        </w:rPr>
        <w:t>5</w:t>
      </w:r>
      <w:r w:rsidRPr="00E26D09">
        <w:rPr>
          <w:lang w:eastAsia="zh-CN"/>
        </w:rPr>
        <w:t>-1, table 10.5.2.</w:t>
      </w:r>
      <w:r>
        <w:rPr>
          <w:lang w:eastAsia="zh-CN"/>
        </w:rPr>
        <w:t>5</w:t>
      </w:r>
      <w:r w:rsidRPr="00E26D09">
        <w:rPr>
          <w:lang w:eastAsia="zh-CN"/>
        </w:rPr>
        <w:t>-2 and table 10.5.2.</w:t>
      </w:r>
      <w:r>
        <w:rPr>
          <w:lang w:eastAsia="zh-CN"/>
        </w:rPr>
        <w:t>5</w:t>
      </w:r>
      <w:r w:rsidRPr="00E26D09">
        <w:rPr>
          <w:lang w:eastAsia="zh-CN"/>
        </w:rPr>
        <w:t xml:space="preserve">-3 for general OTA and narrowband OTA blocking requirements. </w:t>
      </w:r>
      <w:r w:rsidR="008910E6" w:rsidRPr="00E26D09">
        <w:rPr>
          <w:rFonts w:eastAsia="Osaka"/>
        </w:rPr>
        <w:t xml:space="preserve">The reference measurement channel for the </w:t>
      </w:r>
      <w:r w:rsidR="008910E6" w:rsidRPr="00E26D09">
        <w:rPr>
          <w:lang w:eastAsia="zh-CN"/>
        </w:rPr>
        <w:t xml:space="preserve">OTA </w:t>
      </w:r>
      <w:r w:rsidR="008910E6" w:rsidRPr="00E26D09">
        <w:rPr>
          <w:rFonts w:eastAsia="Osaka"/>
        </w:rPr>
        <w:t xml:space="preserve">wanted signal is identified in </w:t>
      </w:r>
      <w:r w:rsidR="008910E6">
        <w:rPr>
          <w:rFonts w:eastAsia="Osaka"/>
        </w:rPr>
        <w:t>clause</w:t>
      </w:r>
      <w:r w:rsidR="008910E6" w:rsidRPr="00E26D09">
        <w:rPr>
          <w:rFonts w:eastAsia="Osaka"/>
        </w:rPr>
        <w:t xml:space="preserve"> 10.3.</w:t>
      </w:r>
      <w:r w:rsidR="008910E6">
        <w:rPr>
          <w:rFonts w:eastAsia="Osaka"/>
        </w:rPr>
        <w:t>3</w:t>
      </w:r>
      <w:r w:rsidR="008910E6" w:rsidRPr="00E26D09">
        <w:rPr>
          <w:rFonts w:eastAsia="Osaka"/>
        </w:rPr>
        <w:t xml:space="preserve"> and are further specified in annex A.1. The characteristics of the interfering signal is further specified in annex </w:t>
      </w:r>
      <w:r w:rsidR="008910E6">
        <w:rPr>
          <w:rFonts w:eastAsia="Osaka"/>
        </w:rPr>
        <w:t>F</w:t>
      </w:r>
      <w:r w:rsidR="008910E6" w:rsidRPr="00E26D09">
        <w:rPr>
          <w:rFonts w:eastAsia="Osaka"/>
        </w:rPr>
        <w:t>.</w:t>
      </w:r>
    </w:p>
    <w:p w14:paraId="6C0DB3CE" w14:textId="77777777" w:rsidR="00983C70" w:rsidRPr="007E346D" w:rsidRDefault="00983C70" w:rsidP="00983C70">
      <w:pPr>
        <w:rPr>
          <w:rFonts w:cs="v3.8.0"/>
        </w:rPr>
      </w:pPr>
      <w:r w:rsidRPr="007E346D">
        <w:rPr>
          <w:lang w:eastAsia="zh-CN"/>
        </w:rPr>
        <w:t xml:space="preserve">The OTA in-band blocking requirements apply outside the </w:t>
      </w:r>
      <w:r>
        <w:rPr>
          <w:i/>
          <w:lang w:eastAsia="zh-CN"/>
        </w:rPr>
        <w:t>IAB-MT</w:t>
      </w:r>
      <w:r w:rsidRPr="007A7019">
        <w:rPr>
          <w:i/>
          <w:lang w:eastAsia="zh-CN"/>
        </w:rPr>
        <w:t xml:space="preserve"> RF Bandwidth</w:t>
      </w:r>
      <w:r w:rsidRPr="007E346D">
        <w:rPr>
          <w:lang w:eastAsia="zh-CN"/>
        </w:rPr>
        <w:t xml:space="preserve"> or </w:t>
      </w:r>
      <w:r w:rsidRPr="007A7019">
        <w:rPr>
          <w:i/>
          <w:lang w:eastAsia="zh-CN"/>
        </w:rPr>
        <w:t>Radio Bandwidth</w:t>
      </w:r>
      <w:r w:rsidRPr="007E346D">
        <w:rPr>
          <w:lang w:eastAsia="zh-CN"/>
        </w:rPr>
        <w:t xml:space="preserve">. The interfering signal offset is defined relative to the </w:t>
      </w:r>
      <w:r>
        <w:rPr>
          <w:i/>
          <w:lang w:eastAsia="zh-CN"/>
        </w:rPr>
        <w:t>IAB-MT</w:t>
      </w:r>
      <w:r w:rsidRPr="007A7019">
        <w:rPr>
          <w:i/>
          <w:lang w:eastAsia="zh-CN"/>
        </w:rPr>
        <w:t xml:space="preserve"> RF Bandwidth edges</w:t>
      </w:r>
      <w:r w:rsidRPr="007E346D">
        <w:rPr>
          <w:lang w:eastAsia="zh-CN"/>
        </w:rPr>
        <w:t xml:space="preserve"> or </w:t>
      </w:r>
      <w:r w:rsidRPr="007A7019">
        <w:rPr>
          <w:i/>
          <w:lang w:eastAsia="zh-CN"/>
        </w:rPr>
        <w:t>Radio Bandwidth</w:t>
      </w:r>
      <w:r w:rsidRPr="007E346D">
        <w:rPr>
          <w:lang w:eastAsia="zh-CN"/>
        </w:rPr>
        <w:t xml:space="preserve"> edges.</w:t>
      </w:r>
    </w:p>
    <w:p w14:paraId="64B7C7B1" w14:textId="77777777" w:rsidR="00983C70" w:rsidRPr="00E26D09" w:rsidRDefault="00983C70" w:rsidP="00983C70">
      <w:r w:rsidRPr="00E26D09">
        <w:rPr>
          <w:lang w:eastAsia="zh-CN"/>
        </w:rPr>
        <w:t xml:space="preserve">For </w:t>
      </w:r>
      <w:r>
        <w:rPr>
          <w:i/>
          <w:lang w:eastAsia="zh-CN"/>
        </w:rPr>
        <w:t>IAB-MT</w:t>
      </w:r>
      <w:r w:rsidRPr="00E26D09">
        <w:rPr>
          <w:i/>
          <w:lang w:eastAsia="zh-CN"/>
        </w:rPr>
        <w:t xml:space="preserve"> type 1-O </w:t>
      </w:r>
      <w:r w:rsidRPr="00E26D09">
        <w:rPr>
          <w:rFonts w:cs="v3.8.0"/>
        </w:rPr>
        <w:t xml:space="preserve">the OTA in-band </w:t>
      </w:r>
      <w:r w:rsidRPr="00E26D09">
        <w:rPr>
          <w:lang w:eastAsia="zh-CN"/>
        </w:rPr>
        <w:t xml:space="preserve">blocking requirement shall </w:t>
      </w:r>
      <w:r w:rsidRPr="00E26D09">
        <w:rPr>
          <w:rFonts w:cs="v3.8.0"/>
        </w:rPr>
        <w:t xml:space="preserve">apply </w:t>
      </w:r>
      <w:r w:rsidRPr="00E26D09">
        <w:rPr>
          <w:lang w:eastAsia="zh-CN"/>
        </w:rPr>
        <w:t xml:space="preserve">in the in-band blocking frequency range, which is from </w:t>
      </w:r>
      <w:r w:rsidRPr="00E26D09">
        <w:rPr>
          <w:rFonts w:cs="Arial"/>
        </w:rPr>
        <w:t>F</w:t>
      </w:r>
      <w:r>
        <w:rPr>
          <w:rFonts w:cs="Arial"/>
          <w:vertAlign w:val="subscript"/>
        </w:rPr>
        <w:t>D</w:t>
      </w:r>
      <w:r w:rsidRPr="00E26D09">
        <w:rPr>
          <w:rFonts w:cs="Arial"/>
          <w:vertAlign w:val="subscript"/>
        </w:rPr>
        <w:t>L,low</w:t>
      </w:r>
      <w:r w:rsidRPr="00E26D09">
        <w:rPr>
          <w:rFonts w:cs="Arial"/>
        </w:rPr>
        <w:t xml:space="preserve"> - </w:t>
      </w:r>
      <w:r w:rsidRPr="00E26D09">
        <w:t>Δf</w:t>
      </w:r>
      <w:r w:rsidRPr="00E26D09">
        <w:rPr>
          <w:vertAlign w:val="subscript"/>
        </w:rPr>
        <w:t>OOB</w:t>
      </w:r>
      <w:r w:rsidRPr="00E26D09">
        <w:rPr>
          <w:rFonts w:cs="v5.0.0"/>
        </w:rPr>
        <w:t xml:space="preserve"> </w:t>
      </w:r>
      <w:r w:rsidRPr="00E26D09">
        <w:t xml:space="preserve">to </w:t>
      </w:r>
      <w:r w:rsidRPr="00E26D09">
        <w:rPr>
          <w:rFonts w:cs="Arial"/>
        </w:rPr>
        <w:t>F</w:t>
      </w:r>
      <w:r>
        <w:rPr>
          <w:rFonts w:cs="Arial"/>
          <w:vertAlign w:val="subscript"/>
        </w:rPr>
        <w:t>D</w:t>
      </w:r>
      <w:r w:rsidRPr="00E26D09">
        <w:rPr>
          <w:rFonts w:cs="Arial"/>
          <w:vertAlign w:val="subscript"/>
        </w:rPr>
        <w:t>L,high</w:t>
      </w:r>
      <w:r w:rsidRPr="00E26D09">
        <w:rPr>
          <w:rFonts w:cs="Arial"/>
        </w:rPr>
        <w:t xml:space="preserve"> + </w:t>
      </w:r>
      <w:r w:rsidRPr="00E26D09">
        <w:t>Δf</w:t>
      </w:r>
      <w:r w:rsidRPr="00E26D09">
        <w:rPr>
          <w:vertAlign w:val="subscript"/>
        </w:rPr>
        <w:t>OOB</w:t>
      </w:r>
      <w:r>
        <w:rPr>
          <w:rFonts w:cs="v3.8.0"/>
        </w:rPr>
        <w:t>.</w:t>
      </w:r>
      <w:r w:rsidRPr="00E26D09">
        <w:rPr>
          <w:rFonts w:cs="v3.8.0"/>
          <w:i/>
        </w:rPr>
        <w:t>.</w:t>
      </w:r>
      <w:r w:rsidRPr="00E26D09">
        <w:rPr>
          <w:rFonts w:cs="v3.8.0"/>
        </w:rPr>
        <w:t xml:space="preserve"> </w:t>
      </w:r>
      <w:r w:rsidRPr="00E26D09">
        <w:rPr>
          <w:rFonts w:cs="v5.0.0"/>
        </w:rPr>
        <w:t xml:space="preserve">The </w:t>
      </w:r>
      <w:r w:rsidRPr="00E26D09">
        <w:t>Δf</w:t>
      </w:r>
      <w:r w:rsidRPr="00E26D09">
        <w:rPr>
          <w:vertAlign w:val="subscript"/>
        </w:rPr>
        <w:t>OOB</w:t>
      </w:r>
      <w:r w:rsidRPr="00E26D09">
        <w:rPr>
          <w:rFonts w:cs="v5.0.0"/>
        </w:rPr>
        <w:t xml:space="preserve"> for </w:t>
      </w:r>
      <w:r>
        <w:rPr>
          <w:i/>
          <w:lang w:eastAsia="zh-CN"/>
        </w:rPr>
        <w:t>wide area IAB-MT</w:t>
      </w:r>
      <w:r w:rsidRPr="00E26D09">
        <w:rPr>
          <w:i/>
          <w:lang w:eastAsia="zh-CN"/>
        </w:rPr>
        <w:t xml:space="preserve"> type 1-O</w:t>
      </w:r>
      <w:r w:rsidRPr="00E26D09">
        <w:rPr>
          <w:rFonts w:cs="v5.0.0"/>
        </w:rPr>
        <w:t xml:space="preserve"> is </w:t>
      </w:r>
      <w:r w:rsidRPr="00E26D09">
        <w:t>defined in table 10.5.2.</w:t>
      </w:r>
      <w:r>
        <w:t>5</w:t>
      </w:r>
      <w:r w:rsidRPr="00E26D09">
        <w:t>-0.</w:t>
      </w:r>
    </w:p>
    <w:p w14:paraId="7974B3D4" w14:textId="77777777" w:rsidR="00983C70" w:rsidRPr="00E26D09" w:rsidRDefault="00983C70" w:rsidP="00983C70">
      <w:pPr>
        <w:pStyle w:val="TH"/>
      </w:pPr>
      <w:r w:rsidRPr="00E26D09">
        <w:t>Table 10.5.2.</w:t>
      </w:r>
      <w:r>
        <w:t>5</w:t>
      </w:r>
      <w:r w:rsidRPr="00E26D09">
        <w:t>-0: Δf</w:t>
      </w:r>
      <w:r w:rsidRPr="00E26D09">
        <w:rPr>
          <w:vertAlign w:val="subscript"/>
        </w:rPr>
        <w:t>OOB</w:t>
      </w:r>
      <w:r w:rsidRPr="00E26D09">
        <w:t xml:space="preserve"> offset for NR </w:t>
      </w:r>
      <w:r w:rsidRPr="00E26D09">
        <w:rPr>
          <w:i/>
        </w:rPr>
        <w:t>operating bands</w:t>
      </w:r>
      <w:r w:rsidRPr="00E26D09">
        <w:rPr>
          <w:i/>
          <w:lang w:val="en-US" w:eastAsia="zh-CN"/>
        </w:rPr>
        <w:t xml:space="preserve"> </w:t>
      </w:r>
      <w:r w:rsidRPr="00E26D09">
        <w:rPr>
          <w:iCs/>
          <w:lang w:val="en-US" w:eastAsia="zh-CN"/>
        </w:rPr>
        <w:t>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7"/>
        <w:gridCol w:w="3472"/>
        <w:gridCol w:w="1219"/>
      </w:tblGrid>
      <w:tr w:rsidR="00983C70" w:rsidRPr="00E26D09" w14:paraId="6D5DEDAC" w14:textId="77777777" w:rsidTr="0041345E">
        <w:trPr>
          <w:jc w:val="center"/>
        </w:trPr>
        <w:tc>
          <w:tcPr>
            <w:tcW w:w="0" w:type="auto"/>
            <w:tcBorders>
              <w:bottom w:val="single" w:sz="4" w:space="0" w:color="auto"/>
            </w:tcBorders>
          </w:tcPr>
          <w:p w14:paraId="0D23C6C0" w14:textId="77777777" w:rsidR="00983C70" w:rsidRPr="00E26D09" w:rsidRDefault="00983C70" w:rsidP="00BD1F8C">
            <w:pPr>
              <w:pStyle w:val="TAH"/>
              <w:rPr>
                <w:lang w:eastAsia="zh-CN"/>
              </w:rPr>
            </w:pPr>
            <w:r>
              <w:rPr>
                <w:lang w:eastAsia="zh-CN"/>
              </w:rPr>
              <w:t xml:space="preserve">IAB-MT </w:t>
            </w:r>
            <w:r w:rsidRPr="00E26D09">
              <w:rPr>
                <w:lang w:eastAsia="zh-CN"/>
              </w:rPr>
              <w:t>type</w:t>
            </w:r>
          </w:p>
        </w:tc>
        <w:tc>
          <w:tcPr>
            <w:tcW w:w="3472" w:type="dxa"/>
            <w:shd w:val="clear" w:color="auto" w:fill="auto"/>
          </w:tcPr>
          <w:p w14:paraId="308C7B9C" w14:textId="77777777" w:rsidR="00983C70" w:rsidRPr="00E26D09" w:rsidRDefault="00983C70" w:rsidP="00BD1F8C">
            <w:pPr>
              <w:pStyle w:val="TAH"/>
            </w:pPr>
            <w:r w:rsidRPr="00E26D09">
              <w:rPr>
                <w:i/>
              </w:rPr>
              <w:t>Operating band</w:t>
            </w:r>
            <w:r w:rsidRPr="00E26D09">
              <w:t xml:space="preserve"> characteristics</w:t>
            </w:r>
          </w:p>
        </w:tc>
        <w:tc>
          <w:tcPr>
            <w:tcW w:w="0" w:type="auto"/>
            <w:shd w:val="clear" w:color="auto" w:fill="auto"/>
          </w:tcPr>
          <w:p w14:paraId="186ECA91" w14:textId="77777777" w:rsidR="00983C70" w:rsidRPr="00E26D09" w:rsidRDefault="00983C70" w:rsidP="00BD1F8C">
            <w:pPr>
              <w:pStyle w:val="TAH"/>
            </w:pPr>
            <w:r w:rsidRPr="00E26D09">
              <w:t>Δf</w:t>
            </w:r>
            <w:r w:rsidRPr="00E26D09">
              <w:rPr>
                <w:vertAlign w:val="subscript"/>
              </w:rPr>
              <w:t>OOB</w:t>
            </w:r>
            <w:r w:rsidRPr="00E26D09">
              <w:t xml:space="preserve"> (MHz)</w:t>
            </w:r>
          </w:p>
        </w:tc>
      </w:tr>
      <w:tr w:rsidR="0041345E" w:rsidRPr="00E26D09" w14:paraId="1C9666ED" w14:textId="77777777" w:rsidTr="0041345E">
        <w:trPr>
          <w:jc w:val="center"/>
        </w:trPr>
        <w:tc>
          <w:tcPr>
            <w:tcW w:w="0" w:type="auto"/>
            <w:tcBorders>
              <w:bottom w:val="nil"/>
            </w:tcBorders>
            <w:shd w:val="clear" w:color="auto" w:fill="auto"/>
            <w:vAlign w:val="center"/>
          </w:tcPr>
          <w:p w14:paraId="4773C6E3" w14:textId="77777777" w:rsidR="0041345E" w:rsidRPr="00255E64" w:rsidRDefault="0041345E" w:rsidP="00255E64">
            <w:pPr>
              <w:pStyle w:val="TAL"/>
              <w:rPr>
                <w:i/>
                <w:iCs/>
                <w:lang w:eastAsia="zh-CN"/>
              </w:rPr>
            </w:pPr>
            <w:r w:rsidRPr="00255E64">
              <w:rPr>
                <w:i/>
                <w:iCs/>
                <w:lang w:eastAsia="zh-CN"/>
              </w:rPr>
              <w:t>IAB-MT type 1-O</w:t>
            </w:r>
          </w:p>
        </w:tc>
        <w:tc>
          <w:tcPr>
            <w:tcW w:w="3472" w:type="dxa"/>
            <w:shd w:val="clear" w:color="auto" w:fill="auto"/>
          </w:tcPr>
          <w:p w14:paraId="3FA1BF6B" w14:textId="77777777" w:rsidR="0041345E" w:rsidRPr="00E26D09" w:rsidRDefault="0041345E" w:rsidP="00255E64">
            <w:pPr>
              <w:pStyle w:val="TAL"/>
            </w:pPr>
            <w:r w:rsidRPr="00E26D09">
              <w:rPr>
                <w:rFonts w:cs="Arial"/>
              </w:rPr>
              <w:t>F</w:t>
            </w:r>
            <w:r>
              <w:rPr>
                <w:rFonts w:cs="Arial"/>
                <w:vertAlign w:val="subscript"/>
              </w:rPr>
              <w:t>D</w:t>
            </w:r>
            <w:r w:rsidRPr="00E26D09">
              <w:rPr>
                <w:rFonts w:cs="Arial"/>
                <w:vertAlign w:val="subscript"/>
              </w:rPr>
              <w:t>L,high</w:t>
            </w:r>
            <w:r w:rsidRPr="00E26D09">
              <w:t xml:space="preserve"> – </w:t>
            </w:r>
            <w:r w:rsidRPr="00E26D09">
              <w:rPr>
                <w:rFonts w:cs="Arial"/>
              </w:rPr>
              <w:t>F</w:t>
            </w:r>
            <w:r>
              <w:rPr>
                <w:rFonts w:cs="Arial"/>
                <w:vertAlign w:val="subscript"/>
              </w:rPr>
              <w:t>D</w:t>
            </w:r>
            <w:r w:rsidRPr="00E26D09">
              <w:rPr>
                <w:rFonts w:cs="Arial"/>
                <w:vertAlign w:val="subscript"/>
              </w:rPr>
              <w:t>L,low</w:t>
            </w:r>
            <w:r w:rsidRPr="00E26D09">
              <w:rPr>
                <w:rFonts w:cs="Arial"/>
              </w:rPr>
              <w:t xml:space="preserve"> &lt; 1</w:t>
            </w:r>
            <w:r w:rsidRPr="00E26D09">
              <w:rPr>
                <w:rFonts w:cs="Arial"/>
                <w:lang w:eastAsia="zh-CN"/>
              </w:rPr>
              <w:t>00 MHz</w:t>
            </w:r>
          </w:p>
        </w:tc>
        <w:tc>
          <w:tcPr>
            <w:tcW w:w="0" w:type="auto"/>
            <w:shd w:val="clear" w:color="auto" w:fill="auto"/>
          </w:tcPr>
          <w:p w14:paraId="3B393441" w14:textId="77777777" w:rsidR="0041345E" w:rsidRPr="00E26D09" w:rsidRDefault="0041345E" w:rsidP="00BD1F8C">
            <w:pPr>
              <w:pStyle w:val="TAC"/>
            </w:pPr>
            <w:r w:rsidRPr="00E26D09">
              <w:t>20</w:t>
            </w:r>
          </w:p>
        </w:tc>
      </w:tr>
      <w:tr w:rsidR="0041345E" w:rsidRPr="00E26D09" w14:paraId="7334414B" w14:textId="77777777" w:rsidTr="0041345E">
        <w:trPr>
          <w:jc w:val="center"/>
        </w:trPr>
        <w:tc>
          <w:tcPr>
            <w:tcW w:w="0" w:type="auto"/>
            <w:tcBorders>
              <w:top w:val="nil"/>
            </w:tcBorders>
            <w:shd w:val="clear" w:color="auto" w:fill="auto"/>
            <w:vAlign w:val="center"/>
          </w:tcPr>
          <w:p w14:paraId="50F7463F" w14:textId="77777777" w:rsidR="0041345E" w:rsidRPr="00E26D09" w:rsidRDefault="0041345E" w:rsidP="00255E64">
            <w:pPr>
              <w:pStyle w:val="TAL"/>
            </w:pPr>
          </w:p>
        </w:tc>
        <w:tc>
          <w:tcPr>
            <w:tcW w:w="3472" w:type="dxa"/>
            <w:shd w:val="clear" w:color="auto" w:fill="auto"/>
          </w:tcPr>
          <w:p w14:paraId="394EC8E9" w14:textId="77777777" w:rsidR="0041345E" w:rsidRPr="00E26D09" w:rsidRDefault="0041345E" w:rsidP="00255E64">
            <w:pPr>
              <w:pStyle w:val="TAL"/>
              <w:rPr>
                <w:b/>
              </w:rPr>
            </w:pPr>
            <w:r w:rsidRPr="00E26D09">
              <w:rPr>
                <w:rFonts w:cs="Arial"/>
              </w:rPr>
              <w:t xml:space="preserve">100 MHz </w:t>
            </w:r>
            <w:r w:rsidRPr="00E26D09">
              <w:rPr>
                <w:rFonts w:cs="Arial" w:hint="eastAsia"/>
              </w:rPr>
              <w:t>≤</w:t>
            </w:r>
            <w:r w:rsidRPr="00E26D09">
              <w:rPr>
                <w:rFonts w:cs="Arial"/>
              </w:rPr>
              <w:t xml:space="preserve"> F</w:t>
            </w:r>
            <w:r>
              <w:rPr>
                <w:rFonts w:cs="Arial"/>
                <w:vertAlign w:val="subscript"/>
              </w:rPr>
              <w:t>D</w:t>
            </w:r>
            <w:r w:rsidRPr="00E26D09">
              <w:rPr>
                <w:rFonts w:cs="Arial"/>
                <w:vertAlign w:val="subscript"/>
              </w:rPr>
              <w:t>L,high</w:t>
            </w:r>
            <w:r w:rsidRPr="00E26D09">
              <w:t xml:space="preserve"> – </w:t>
            </w:r>
            <w:r w:rsidRPr="00E26D09">
              <w:rPr>
                <w:rFonts w:cs="Arial"/>
              </w:rPr>
              <w:t>F</w:t>
            </w:r>
            <w:r>
              <w:rPr>
                <w:rFonts w:cs="Arial"/>
                <w:vertAlign w:val="subscript"/>
              </w:rPr>
              <w:t>D</w:t>
            </w:r>
            <w:r w:rsidRPr="00E26D09">
              <w:rPr>
                <w:rFonts w:cs="Arial"/>
                <w:vertAlign w:val="subscript"/>
              </w:rPr>
              <w:t>L,low</w:t>
            </w:r>
            <w:r w:rsidRPr="00E26D09">
              <w:rPr>
                <w:rFonts w:cs="Arial" w:hint="eastAsia"/>
              </w:rPr>
              <w:t xml:space="preserve"> ≤ </w:t>
            </w:r>
            <w:r w:rsidRPr="00E26D09">
              <w:rPr>
                <w:rFonts w:cs="Arial"/>
                <w:lang w:eastAsia="zh-CN"/>
              </w:rPr>
              <w:t>900 MHz</w:t>
            </w:r>
            <w:r w:rsidRPr="00E26D09">
              <w:rPr>
                <w:rFonts w:cs="Arial"/>
              </w:rPr>
              <w:t xml:space="preserve"> </w:t>
            </w:r>
          </w:p>
        </w:tc>
        <w:tc>
          <w:tcPr>
            <w:tcW w:w="0" w:type="auto"/>
            <w:shd w:val="clear" w:color="auto" w:fill="auto"/>
          </w:tcPr>
          <w:p w14:paraId="1E7E6D4F" w14:textId="77777777" w:rsidR="0041345E" w:rsidRPr="00E26D09" w:rsidRDefault="0041345E" w:rsidP="00BD1F8C">
            <w:pPr>
              <w:pStyle w:val="TAC"/>
            </w:pPr>
            <w:r w:rsidRPr="00E26D09">
              <w:t>60</w:t>
            </w:r>
          </w:p>
        </w:tc>
      </w:tr>
    </w:tbl>
    <w:p w14:paraId="36B9D308" w14:textId="77777777" w:rsidR="00983C70" w:rsidRPr="00E26D09" w:rsidRDefault="00983C70" w:rsidP="00983C70">
      <w:pPr>
        <w:rPr>
          <w:lang w:eastAsia="zh-CN"/>
        </w:rPr>
      </w:pPr>
    </w:p>
    <w:p w14:paraId="110CB4C5" w14:textId="0D3CEF2E" w:rsidR="0039569E" w:rsidRPr="00E26D09" w:rsidRDefault="0039569E" w:rsidP="0039569E">
      <w:pPr>
        <w:rPr>
          <w:lang w:eastAsia="zh-CN"/>
        </w:rPr>
      </w:pPr>
      <w:r w:rsidRPr="00E26D09">
        <w:rPr>
          <w:lang w:eastAsia="zh-CN"/>
        </w:rPr>
        <w:t xml:space="preserve">For </w:t>
      </w:r>
      <w:r w:rsidRPr="00E26D09">
        <w:t xml:space="preserve">RIBs supporting operation in </w:t>
      </w:r>
      <w:r w:rsidRPr="00E26D09">
        <w:rPr>
          <w:i/>
        </w:rPr>
        <w:t>non-contiguous spectrum</w:t>
      </w:r>
      <w:r w:rsidRPr="00E26D09">
        <w:t xml:space="preserve"> </w:t>
      </w:r>
      <w:r w:rsidRPr="00E26D09">
        <w:rPr>
          <w:lang w:eastAsia="zh-CN"/>
        </w:rPr>
        <w:t xml:space="preserve">within any </w:t>
      </w:r>
      <w:r w:rsidRPr="00E26D09">
        <w:rPr>
          <w:i/>
          <w:lang w:eastAsia="zh-CN"/>
        </w:rPr>
        <w:t>operating band</w:t>
      </w:r>
      <w:r w:rsidRPr="00E26D09">
        <w:rPr>
          <w:lang w:eastAsia="zh-CN"/>
        </w:rPr>
        <w:t xml:space="preserve">, the OTA in-band blocking requirements apply in addition inside any </w:t>
      </w:r>
      <w:r w:rsidRPr="00E26D09">
        <w:rPr>
          <w:i/>
          <w:lang w:eastAsia="zh-CN"/>
        </w:rPr>
        <w:t>sub-block gap</w:t>
      </w:r>
      <w:r w:rsidRPr="00E26D09">
        <w:rPr>
          <w:lang w:eastAsia="zh-CN"/>
        </w:rPr>
        <w:t xml:space="preserve">, in case the </w:t>
      </w:r>
      <w:r w:rsidRPr="00E26D09">
        <w:rPr>
          <w:i/>
          <w:lang w:eastAsia="zh-CN"/>
        </w:rPr>
        <w:t>sub-block gap</w:t>
      </w:r>
      <w:r w:rsidRPr="00E26D09">
        <w:rPr>
          <w:lang w:eastAsia="zh-CN"/>
        </w:rPr>
        <w:t xml:space="preserve"> size is at least as wide as twice the interfering signal minimum offset in table 10.5.2.</w:t>
      </w:r>
      <w:r>
        <w:rPr>
          <w:lang w:eastAsia="zh-CN"/>
        </w:rPr>
        <w:t>5</w:t>
      </w:r>
      <w:r w:rsidRPr="00E26D09">
        <w:rPr>
          <w:lang w:eastAsia="zh-CN"/>
        </w:rPr>
        <w:t xml:space="preserve">-1. The interfering signal offset is defined relative to the </w:t>
      </w:r>
      <w:r w:rsidRPr="00E26D09">
        <w:rPr>
          <w:i/>
          <w:lang w:eastAsia="zh-CN"/>
        </w:rPr>
        <w:t>sub-block</w:t>
      </w:r>
      <w:r w:rsidRPr="00E26D09">
        <w:rPr>
          <w:lang w:eastAsia="zh-CN"/>
        </w:rPr>
        <w:t xml:space="preserve"> edges inside the </w:t>
      </w:r>
      <w:r w:rsidRPr="00E26D09">
        <w:rPr>
          <w:i/>
          <w:lang w:eastAsia="zh-CN"/>
        </w:rPr>
        <w:t>sub-block gap</w:t>
      </w:r>
      <w:r w:rsidRPr="00E26D09">
        <w:rPr>
          <w:lang w:eastAsia="zh-CN"/>
        </w:rPr>
        <w:t>.</w:t>
      </w:r>
    </w:p>
    <w:p w14:paraId="199A04FE" w14:textId="77777777" w:rsidR="00983C70" w:rsidRPr="007E346D" w:rsidRDefault="00983C70" w:rsidP="00983C70">
      <w:pPr>
        <w:rPr>
          <w:lang w:eastAsia="zh-CN"/>
        </w:rPr>
      </w:pPr>
      <w:r w:rsidRPr="007E346D">
        <w:rPr>
          <w:lang w:eastAsia="zh-CN"/>
        </w:rPr>
        <w:t xml:space="preserve">For </w:t>
      </w:r>
      <w:r w:rsidRPr="007E346D">
        <w:rPr>
          <w:i/>
        </w:rPr>
        <w:t>multi-band RIBs</w:t>
      </w:r>
      <w:r w:rsidRPr="007E346D">
        <w:rPr>
          <w:lang w:eastAsia="zh-CN"/>
        </w:rPr>
        <w:t xml:space="preserve">, the OTA in-band blocking requirements apply in the in-band blocking frequency ranges for each supported </w:t>
      </w:r>
      <w:r w:rsidRPr="007E346D">
        <w:rPr>
          <w:i/>
          <w:lang w:eastAsia="zh-CN"/>
        </w:rPr>
        <w:t>operating band</w:t>
      </w:r>
      <w:r w:rsidRPr="007E346D">
        <w:rPr>
          <w:lang w:eastAsia="zh-CN"/>
        </w:rPr>
        <w:t xml:space="preserve">. The requirement shall apply in addition inside any </w:t>
      </w:r>
      <w:r w:rsidRPr="007A7019">
        <w:rPr>
          <w:i/>
          <w:lang w:eastAsia="zh-CN"/>
        </w:rPr>
        <w:t>Inter RF Bandwidth gap</w:t>
      </w:r>
      <w:r w:rsidRPr="007E346D">
        <w:rPr>
          <w:lang w:eastAsia="zh-CN"/>
        </w:rPr>
        <w:t xml:space="preserve">, in case the </w:t>
      </w:r>
      <w:r w:rsidRPr="007A7019">
        <w:rPr>
          <w:i/>
          <w:lang w:eastAsia="zh-CN"/>
        </w:rPr>
        <w:t>Inter RF Bandwidth gap</w:t>
      </w:r>
      <w:r w:rsidRPr="007E346D">
        <w:rPr>
          <w:lang w:eastAsia="zh-CN"/>
        </w:rPr>
        <w:t xml:space="preserve"> size is at least as wide as twice the interfering signal minimum offset in tables 10.5.2.</w:t>
      </w:r>
      <w:r>
        <w:rPr>
          <w:lang w:eastAsia="zh-CN"/>
        </w:rPr>
        <w:t>5</w:t>
      </w:r>
      <w:r w:rsidRPr="007E346D">
        <w:rPr>
          <w:lang w:eastAsia="zh-CN"/>
        </w:rPr>
        <w:t>-1 and 10.5.2.</w:t>
      </w:r>
      <w:r>
        <w:rPr>
          <w:lang w:eastAsia="zh-CN"/>
        </w:rPr>
        <w:t>5</w:t>
      </w:r>
      <w:r w:rsidRPr="007E346D">
        <w:rPr>
          <w:lang w:eastAsia="zh-CN"/>
        </w:rPr>
        <w:t>-3.</w:t>
      </w:r>
    </w:p>
    <w:p w14:paraId="44BE53C6" w14:textId="77777777" w:rsidR="00983C70" w:rsidRPr="00E26D09" w:rsidRDefault="00983C70" w:rsidP="00983C70">
      <w:pPr>
        <w:rPr>
          <w:lang w:eastAsia="zh-CN"/>
        </w:rPr>
      </w:pPr>
      <w:r w:rsidRPr="00E26D09">
        <w:rPr>
          <w:lang w:eastAsia="zh-CN"/>
        </w:rPr>
        <w:t xml:space="preserve">For a </w:t>
      </w:r>
      <w:r w:rsidRPr="00E26D09">
        <w:t xml:space="preserve">RIBs supporting operation in </w:t>
      </w:r>
      <w:r w:rsidRPr="00E26D09">
        <w:rPr>
          <w:i/>
        </w:rPr>
        <w:t>non-contiguous spectrum</w:t>
      </w:r>
      <w:r w:rsidRPr="00E26D09">
        <w:t xml:space="preserve"> </w:t>
      </w:r>
      <w:r w:rsidRPr="00E26D09">
        <w:rPr>
          <w:lang w:eastAsia="zh-CN"/>
        </w:rPr>
        <w:t xml:space="preserve">within any </w:t>
      </w:r>
      <w:r w:rsidRPr="00E26D09">
        <w:rPr>
          <w:i/>
          <w:lang w:eastAsia="zh-CN"/>
        </w:rPr>
        <w:t>operating band</w:t>
      </w:r>
      <w:r w:rsidRPr="00E26D09">
        <w:rPr>
          <w:lang w:eastAsia="zh-CN"/>
        </w:rPr>
        <w:t xml:space="preserve">, the OTA </w:t>
      </w:r>
      <w:r w:rsidRPr="00E26D09">
        <w:rPr>
          <w:lang w:val="en-US" w:eastAsia="zh-CN"/>
        </w:rPr>
        <w:t xml:space="preserve">narrowband </w:t>
      </w:r>
      <w:r w:rsidRPr="00E26D09">
        <w:rPr>
          <w:lang w:eastAsia="zh-CN"/>
        </w:rPr>
        <w:t xml:space="preserve">blocking requirements apply in addition inside any </w:t>
      </w:r>
      <w:r w:rsidRPr="00E26D09">
        <w:rPr>
          <w:i/>
          <w:lang w:eastAsia="zh-CN"/>
        </w:rPr>
        <w:t>sub-block gap</w:t>
      </w:r>
      <w:r w:rsidRPr="00E26D09">
        <w:rPr>
          <w:lang w:eastAsia="zh-CN"/>
        </w:rPr>
        <w:t xml:space="preserve">, in case the </w:t>
      </w:r>
      <w:r w:rsidRPr="00E26D09">
        <w:rPr>
          <w:i/>
          <w:lang w:eastAsia="zh-CN"/>
        </w:rPr>
        <w:t>sub-block gap</w:t>
      </w:r>
      <w:r w:rsidRPr="00E26D09">
        <w:rPr>
          <w:lang w:eastAsia="zh-CN"/>
        </w:rPr>
        <w:t xml:space="preserve"> size is at least as wide as the interfering signal minimum offset in table 10.5.2.</w:t>
      </w:r>
      <w:r>
        <w:rPr>
          <w:lang w:eastAsia="zh-CN"/>
        </w:rPr>
        <w:t>5</w:t>
      </w:r>
      <w:r w:rsidRPr="00E26D09">
        <w:rPr>
          <w:lang w:eastAsia="zh-CN"/>
        </w:rPr>
        <w:t xml:space="preserve">-3. The interfering signal offset is defined relative to the </w:t>
      </w:r>
      <w:r w:rsidRPr="00E26D09">
        <w:rPr>
          <w:i/>
          <w:lang w:eastAsia="zh-CN"/>
        </w:rPr>
        <w:t>sub-block</w:t>
      </w:r>
      <w:r w:rsidRPr="00E26D09">
        <w:rPr>
          <w:lang w:eastAsia="zh-CN"/>
        </w:rPr>
        <w:t xml:space="preserve"> edges inside the </w:t>
      </w:r>
      <w:r w:rsidRPr="00E26D09">
        <w:rPr>
          <w:i/>
          <w:lang w:eastAsia="zh-CN"/>
        </w:rPr>
        <w:t>sub-block gap</w:t>
      </w:r>
      <w:r w:rsidRPr="00E26D09">
        <w:rPr>
          <w:lang w:eastAsia="zh-CN"/>
        </w:rPr>
        <w:t>.</w:t>
      </w:r>
    </w:p>
    <w:p w14:paraId="54A0A20E" w14:textId="77777777" w:rsidR="00983C70" w:rsidRPr="007E346D" w:rsidRDefault="00983C70" w:rsidP="00983C70">
      <w:pPr>
        <w:rPr>
          <w:lang w:eastAsia="zh-CN"/>
        </w:rPr>
      </w:pPr>
      <w:r w:rsidRPr="007E346D">
        <w:rPr>
          <w:lang w:eastAsia="zh-CN"/>
        </w:rPr>
        <w:t xml:space="preserve">For a </w:t>
      </w:r>
      <w:r w:rsidRPr="007E346D">
        <w:rPr>
          <w:i/>
        </w:rPr>
        <w:t>multi-band RIBs</w:t>
      </w:r>
      <w:r w:rsidRPr="007E346D">
        <w:rPr>
          <w:lang w:eastAsia="zh-CN"/>
        </w:rPr>
        <w:t xml:space="preserve">, the OTA </w:t>
      </w:r>
      <w:r w:rsidRPr="007E346D">
        <w:rPr>
          <w:lang w:val="en-US" w:eastAsia="zh-CN"/>
        </w:rPr>
        <w:t>narrow</w:t>
      </w:r>
      <w:r w:rsidRPr="007E346D">
        <w:rPr>
          <w:lang w:eastAsia="zh-CN"/>
        </w:rPr>
        <w:t>band</w:t>
      </w:r>
      <w:r w:rsidRPr="007E346D">
        <w:rPr>
          <w:lang w:val="en-US" w:eastAsia="zh-CN"/>
        </w:rPr>
        <w:t xml:space="preserve"> </w:t>
      </w:r>
      <w:r w:rsidRPr="007E346D">
        <w:rPr>
          <w:lang w:eastAsia="zh-CN"/>
        </w:rPr>
        <w:t xml:space="preserve">blocking requirements apply in the </w:t>
      </w:r>
      <w:r w:rsidRPr="007E346D">
        <w:rPr>
          <w:lang w:val="en-US" w:eastAsia="zh-CN"/>
        </w:rPr>
        <w:t>narrow</w:t>
      </w:r>
      <w:r w:rsidRPr="007E346D">
        <w:rPr>
          <w:lang w:eastAsia="zh-CN"/>
        </w:rPr>
        <w:t xml:space="preserve">band blocking frequency ranges for each supported </w:t>
      </w:r>
      <w:r w:rsidRPr="007E346D">
        <w:rPr>
          <w:i/>
          <w:iCs/>
          <w:lang w:eastAsia="zh-CN"/>
        </w:rPr>
        <w:t>operating band</w:t>
      </w:r>
      <w:r w:rsidRPr="007E346D">
        <w:rPr>
          <w:lang w:eastAsia="zh-CN"/>
        </w:rPr>
        <w:t xml:space="preserve">. The requirement shall apply in addition inside any </w:t>
      </w:r>
      <w:r w:rsidRPr="007A7019">
        <w:rPr>
          <w:i/>
          <w:lang w:eastAsia="zh-CN"/>
        </w:rPr>
        <w:t>Inter RF Bandwidth gap</w:t>
      </w:r>
      <w:r w:rsidRPr="007E346D">
        <w:rPr>
          <w:lang w:eastAsia="zh-CN"/>
        </w:rPr>
        <w:t xml:space="preserve">, in case the </w:t>
      </w:r>
      <w:r w:rsidRPr="007A7019">
        <w:rPr>
          <w:i/>
          <w:lang w:eastAsia="zh-CN"/>
        </w:rPr>
        <w:t>Inter RF Bandwidth gap</w:t>
      </w:r>
      <w:r w:rsidRPr="007E346D">
        <w:rPr>
          <w:lang w:eastAsia="zh-CN"/>
        </w:rPr>
        <w:t xml:space="preserve"> size is at least as wide as the interfering signal minimum offset in table 10.5.2.</w:t>
      </w:r>
      <w:r>
        <w:rPr>
          <w:lang w:eastAsia="zh-CN"/>
        </w:rPr>
        <w:t>5</w:t>
      </w:r>
      <w:r w:rsidRPr="007E346D">
        <w:rPr>
          <w:lang w:eastAsia="zh-CN"/>
        </w:rPr>
        <w:t>-3.</w:t>
      </w:r>
    </w:p>
    <w:p w14:paraId="3175C5BC" w14:textId="270744EF" w:rsidR="00983C70" w:rsidRPr="00E26D09" w:rsidRDefault="007905EC" w:rsidP="00983C70">
      <w:pPr>
        <w:pStyle w:val="TH"/>
        <w:rPr>
          <w:lang w:eastAsia="zh-CN"/>
        </w:rPr>
      </w:pPr>
      <w:r w:rsidRPr="00E26D09">
        <w:lastRenderedPageBreak/>
        <w:t xml:space="preserve">Table </w:t>
      </w:r>
      <w:r w:rsidRPr="00E26D09">
        <w:rPr>
          <w:lang w:eastAsia="zh-CN"/>
        </w:rPr>
        <w:t>10.5.2.</w:t>
      </w:r>
      <w:r>
        <w:rPr>
          <w:lang w:eastAsia="zh-CN"/>
        </w:rPr>
        <w:t>5</w:t>
      </w:r>
      <w:r w:rsidRPr="00E26D09">
        <w:t>-</w:t>
      </w:r>
      <w:r w:rsidRPr="00E26D09">
        <w:rPr>
          <w:lang w:eastAsia="zh-CN"/>
        </w:rPr>
        <w:t>1</w:t>
      </w:r>
      <w:r w:rsidR="00983C70" w:rsidRPr="00E26D09">
        <w:t xml:space="preserve">: General OTA blocking requirement for </w:t>
      </w:r>
      <w:r w:rsidR="00983C70">
        <w:rPr>
          <w:i/>
        </w:rPr>
        <w:t>IAB-MT</w:t>
      </w:r>
      <w:r w:rsidR="00983C70" w:rsidRPr="00E26D09">
        <w:rPr>
          <w:i/>
        </w:rPr>
        <w:t xml:space="preserve"> type 1-O</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7"/>
        <w:gridCol w:w="1792"/>
        <w:gridCol w:w="2133"/>
        <w:gridCol w:w="1617"/>
        <w:gridCol w:w="2835"/>
      </w:tblGrid>
      <w:tr w:rsidR="00983C70" w:rsidRPr="00E26D09" w14:paraId="622D8C8F" w14:textId="77777777" w:rsidTr="0041345E">
        <w:trPr>
          <w:trHeight w:val="629"/>
          <w:jc w:val="center"/>
        </w:trPr>
        <w:tc>
          <w:tcPr>
            <w:tcW w:w="1947" w:type="dxa"/>
            <w:tcBorders>
              <w:top w:val="single" w:sz="4" w:space="0" w:color="auto"/>
              <w:left w:val="single" w:sz="4" w:space="0" w:color="auto"/>
              <w:bottom w:val="single" w:sz="4" w:space="0" w:color="auto"/>
              <w:right w:val="single" w:sz="4" w:space="0" w:color="auto"/>
            </w:tcBorders>
          </w:tcPr>
          <w:p w14:paraId="0E2F7E30" w14:textId="77777777" w:rsidR="00983C70" w:rsidRPr="00E26D09" w:rsidRDefault="00983C70" w:rsidP="00BD1F8C">
            <w:pPr>
              <w:pStyle w:val="TAH"/>
              <w:tabs>
                <w:tab w:val="left" w:pos="540"/>
                <w:tab w:val="left" w:pos="1260"/>
                <w:tab w:val="left" w:pos="1800"/>
              </w:tabs>
            </w:pPr>
            <w:r>
              <w:rPr>
                <w:i/>
              </w:rPr>
              <w:t>IAB-MT</w:t>
            </w:r>
            <w:r w:rsidRPr="007E346D">
              <w:rPr>
                <w:i/>
              </w:rPr>
              <w:t xml:space="preserve"> channel bandwidth</w:t>
            </w:r>
            <w:r w:rsidRPr="007E346D">
              <w:t xml:space="preserve"> of the </w:t>
            </w:r>
            <w:r w:rsidRPr="007A7019">
              <w:rPr>
                <w:i/>
              </w:rPr>
              <w:t>lowest/highest carrier</w:t>
            </w:r>
            <w:r w:rsidRPr="007E346D">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4F08B674" w14:textId="77777777" w:rsidR="00983C70" w:rsidRPr="00E26D09" w:rsidRDefault="00983C70" w:rsidP="00BD1F8C">
            <w:pPr>
              <w:pStyle w:val="TAH"/>
              <w:tabs>
                <w:tab w:val="left" w:pos="540"/>
                <w:tab w:val="left" w:pos="1260"/>
                <w:tab w:val="left" w:pos="1800"/>
              </w:tabs>
              <w:rPr>
                <w:lang w:eastAsia="ja-JP"/>
              </w:rPr>
            </w:pPr>
            <w:r w:rsidRPr="007E346D">
              <w:t>Wanted signal mean power (dBm)</w:t>
            </w:r>
          </w:p>
        </w:tc>
        <w:tc>
          <w:tcPr>
            <w:tcW w:w="2133" w:type="dxa"/>
            <w:tcBorders>
              <w:top w:val="single" w:sz="4" w:space="0" w:color="auto"/>
              <w:left w:val="single" w:sz="4" w:space="0" w:color="auto"/>
              <w:bottom w:val="single" w:sz="4" w:space="0" w:color="auto"/>
              <w:right w:val="single" w:sz="4" w:space="0" w:color="auto"/>
            </w:tcBorders>
            <w:hideMark/>
          </w:tcPr>
          <w:p w14:paraId="1C4C50C4" w14:textId="77777777" w:rsidR="00983C70" w:rsidRPr="00E26D09" w:rsidRDefault="00983C70" w:rsidP="00BD1F8C">
            <w:pPr>
              <w:pStyle w:val="TAH"/>
              <w:tabs>
                <w:tab w:val="left" w:pos="540"/>
                <w:tab w:val="left" w:pos="1260"/>
                <w:tab w:val="left" w:pos="1800"/>
              </w:tabs>
              <w:rPr>
                <w:lang w:eastAsia="ja-JP"/>
              </w:rPr>
            </w:pPr>
            <w:r w:rsidRPr="007E346D">
              <w:rPr>
                <w:rFonts w:cs="Arial"/>
              </w:rPr>
              <w:t>Interfering signal mean power (dBm)</w:t>
            </w:r>
          </w:p>
        </w:tc>
        <w:tc>
          <w:tcPr>
            <w:tcW w:w="1617" w:type="dxa"/>
            <w:tcBorders>
              <w:top w:val="single" w:sz="4" w:space="0" w:color="auto"/>
              <w:left w:val="single" w:sz="4" w:space="0" w:color="auto"/>
              <w:bottom w:val="single" w:sz="4" w:space="0" w:color="auto"/>
              <w:right w:val="single" w:sz="4" w:space="0" w:color="auto"/>
            </w:tcBorders>
            <w:hideMark/>
          </w:tcPr>
          <w:p w14:paraId="36C333C3" w14:textId="77777777" w:rsidR="00983C70" w:rsidRPr="00E26D09" w:rsidRDefault="00983C70" w:rsidP="00BD1F8C">
            <w:pPr>
              <w:pStyle w:val="TAH"/>
              <w:tabs>
                <w:tab w:val="left" w:pos="540"/>
                <w:tab w:val="left" w:pos="1260"/>
                <w:tab w:val="left" w:pos="1800"/>
              </w:tabs>
              <w:rPr>
                <w:lang w:eastAsia="ja-JP"/>
              </w:rPr>
            </w:pPr>
            <w:r w:rsidRPr="007E346D">
              <w:rPr>
                <w:rFonts w:cs="Arial"/>
              </w:rPr>
              <w:t xml:space="preserve">Interfering signal centre frequency minimum offset from the lower/upper </w:t>
            </w:r>
            <w:r>
              <w:rPr>
                <w:rFonts w:cs="Arial"/>
              </w:rPr>
              <w:t>IAB-MT</w:t>
            </w:r>
            <w:r w:rsidRPr="0068373B">
              <w:rPr>
                <w:rFonts w:cs="Arial"/>
                <w:i/>
              </w:rPr>
              <w:t xml:space="preserve"> RF Bandwidth edge</w:t>
            </w:r>
            <w:r w:rsidRPr="007E346D">
              <w:rPr>
                <w:rFonts w:cs="Arial"/>
              </w:rPr>
              <w:t xml:space="preserve"> or </w:t>
            </w:r>
            <w:r w:rsidRPr="0068373B">
              <w:rPr>
                <w:rFonts w:cs="Arial"/>
                <w:i/>
              </w:rPr>
              <w:t>sub-block</w:t>
            </w:r>
            <w:r w:rsidRPr="007E346D">
              <w:rPr>
                <w:rFonts w:cs="Arial"/>
              </w:rPr>
              <w:t xml:space="preserve"> edge inside a </w:t>
            </w:r>
            <w:r w:rsidRPr="0068373B">
              <w:rPr>
                <w:rFonts w:cs="Arial"/>
                <w:i/>
              </w:rPr>
              <w:t>sub-block gap</w:t>
            </w:r>
            <w:r w:rsidRPr="007E346D">
              <w:t xml:space="preserve"> (MHz)</w:t>
            </w:r>
          </w:p>
        </w:tc>
        <w:tc>
          <w:tcPr>
            <w:tcW w:w="2835" w:type="dxa"/>
            <w:tcBorders>
              <w:top w:val="single" w:sz="4" w:space="0" w:color="auto"/>
              <w:left w:val="single" w:sz="4" w:space="0" w:color="auto"/>
              <w:bottom w:val="single" w:sz="4" w:space="0" w:color="auto"/>
              <w:right w:val="single" w:sz="4" w:space="0" w:color="auto"/>
            </w:tcBorders>
            <w:hideMark/>
          </w:tcPr>
          <w:p w14:paraId="79A5A165" w14:textId="77777777" w:rsidR="00983C70" w:rsidRPr="00E26D09" w:rsidRDefault="00983C70" w:rsidP="00BD1F8C">
            <w:pPr>
              <w:pStyle w:val="TAH"/>
              <w:tabs>
                <w:tab w:val="left" w:pos="540"/>
                <w:tab w:val="left" w:pos="1260"/>
                <w:tab w:val="left" w:pos="1800"/>
              </w:tabs>
              <w:rPr>
                <w:lang w:eastAsia="ja-JP"/>
              </w:rPr>
            </w:pPr>
            <w:r w:rsidRPr="007E346D">
              <w:t>Type of interfering signal</w:t>
            </w:r>
          </w:p>
        </w:tc>
      </w:tr>
      <w:tr w:rsidR="0041345E" w:rsidRPr="00E26D09" w14:paraId="70CE702F" w14:textId="77777777" w:rsidTr="0041345E">
        <w:trPr>
          <w:trHeight w:val="487"/>
          <w:jc w:val="center"/>
        </w:trPr>
        <w:tc>
          <w:tcPr>
            <w:tcW w:w="1947" w:type="dxa"/>
            <w:tcBorders>
              <w:top w:val="single" w:sz="4" w:space="0" w:color="auto"/>
              <w:left w:val="single" w:sz="4" w:space="0" w:color="auto"/>
              <w:bottom w:val="nil"/>
              <w:right w:val="single" w:sz="4" w:space="0" w:color="auto"/>
            </w:tcBorders>
            <w:shd w:val="clear" w:color="auto" w:fill="auto"/>
          </w:tcPr>
          <w:p w14:paraId="0876474F" w14:textId="6AB1759B" w:rsidR="0041345E" w:rsidRPr="00E26D09" w:rsidRDefault="0041345E" w:rsidP="00255E64">
            <w:pPr>
              <w:pStyle w:val="TAC"/>
              <w:rPr>
                <w:lang w:eastAsia="zh-CN"/>
              </w:rPr>
            </w:pPr>
            <w:r w:rsidRPr="00E26D09">
              <w:rPr>
                <w:lang w:eastAsia="zh-CN"/>
              </w:rPr>
              <w:t>10, 15, 20</w:t>
            </w:r>
          </w:p>
        </w:tc>
        <w:tc>
          <w:tcPr>
            <w:tcW w:w="1792" w:type="dxa"/>
            <w:tcBorders>
              <w:top w:val="single" w:sz="4" w:space="0" w:color="auto"/>
              <w:left w:val="single" w:sz="4" w:space="0" w:color="auto"/>
              <w:bottom w:val="single" w:sz="4" w:space="0" w:color="auto"/>
              <w:right w:val="single" w:sz="4" w:space="0" w:color="auto"/>
            </w:tcBorders>
          </w:tcPr>
          <w:p w14:paraId="3C9A50C1" w14:textId="77777777" w:rsidR="0041345E" w:rsidRPr="00E26D09" w:rsidRDefault="0041345E" w:rsidP="00255E64">
            <w:pPr>
              <w:pStyle w:val="TAC"/>
              <w:rPr>
                <w:rFonts w:cs="Arial"/>
              </w:rPr>
            </w:pPr>
            <w:r>
              <w:rPr>
                <w:rFonts w:cs="Arial"/>
              </w:rPr>
              <w:t>EIS</w:t>
            </w:r>
            <w:r w:rsidRPr="007A7019">
              <w:rPr>
                <w:rFonts w:cs="Arial"/>
                <w:vertAlign w:val="subscript"/>
              </w:rPr>
              <w:t>REFSENS</w:t>
            </w:r>
            <w:r>
              <w:rPr>
                <w:rFonts w:cs="Arial"/>
              </w:rPr>
              <w:t xml:space="preserve"> + 6 dB</w:t>
            </w:r>
          </w:p>
        </w:tc>
        <w:tc>
          <w:tcPr>
            <w:tcW w:w="2133" w:type="dxa"/>
            <w:tcBorders>
              <w:top w:val="single" w:sz="4" w:space="0" w:color="auto"/>
              <w:left w:val="single" w:sz="4" w:space="0" w:color="auto"/>
              <w:bottom w:val="single" w:sz="4" w:space="0" w:color="auto"/>
              <w:right w:val="single" w:sz="4" w:space="0" w:color="auto"/>
            </w:tcBorders>
          </w:tcPr>
          <w:p w14:paraId="0718D8A7" w14:textId="77777777" w:rsidR="0041345E" w:rsidRDefault="0041345E" w:rsidP="00255E64">
            <w:pPr>
              <w:pStyle w:val="TAC"/>
              <w:rPr>
                <w:lang w:eastAsia="zh-CN"/>
              </w:rPr>
            </w:pPr>
            <w:r>
              <w:rPr>
                <w:lang w:eastAsia="zh-CN"/>
              </w:rPr>
              <w:t>Wide Area IAB-MT: -43 - Δ</w:t>
            </w:r>
            <w:r w:rsidRPr="007A7019">
              <w:rPr>
                <w:vertAlign w:val="subscript"/>
                <w:lang w:eastAsia="zh-CN"/>
              </w:rPr>
              <w:t>OTAREFSENS</w:t>
            </w:r>
          </w:p>
          <w:p w14:paraId="5F3C3EA8" w14:textId="77777777" w:rsidR="0041345E" w:rsidRPr="00E26D09" w:rsidRDefault="0041345E" w:rsidP="00255E64">
            <w:pPr>
              <w:pStyle w:val="TAC"/>
              <w:rPr>
                <w:lang w:eastAsia="zh-CN"/>
              </w:rPr>
            </w:pPr>
            <w:r>
              <w:rPr>
                <w:lang w:eastAsia="zh-CN"/>
              </w:rPr>
              <w:t>Local Area IAB-MT: -35 - Δ</w:t>
            </w:r>
            <w:r w:rsidRPr="007A7019">
              <w:rPr>
                <w:vertAlign w:val="subscript"/>
                <w:lang w:eastAsia="zh-CN"/>
              </w:rPr>
              <w:t>OTAREFSENS</w:t>
            </w:r>
          </w:p>
        </w:tc>
        <w:tc>
          <w:tcPr>
            <w:tcW w:w="1617" w:type="dxa"/>
            <w:tcBorders>
              <w:top w:val="single" w:sz="4" w:space="0" w:color="auto"/>
              <w:left w:val="single" w:sz="4" w:space="0" w:color="auto"/>
              <w:bottom w:val="single" w:sz="4" w:space="0" w:color="auto"/>
              <w:right w:val="single" w:sz="4" w:space="0" w:color="auto"/>
            </w:tcBorders>
          </w:tcPr>
          <w:p w14:paraId="253C9185" w14:textId="77777777" w:rsidR="0041345E" w:rsidRPr="00E26D09" w:rsidRDefault="0041345E" w:rsidP="00255E64">
            <w:pPr>
              <w:pStyle w:val="TAC"/>
              <w:rPr>
                <w:rFonts w:cs="Arial"/>
              </w:rPr>
            </w:pPr>
            <w:r w:rsidRPr="00E26D09">
              <w:rPr>
                <w:rFonts w:cs="Arial"/>
              </w:rPr>
              <w:t>±7.5</w:t>
            </w:r>
          </w:p>
        </w:tc>
        <w:tc>
          <w:tcPr>
            <w:tcW w:w="2835" w:type="dxa"/>
            <w:tcBorders>
              <w:top w:val="single" w:sz="4" w:space="0" w:color="auto"/>
              <w:left w:val="single" w:sz="4" w:space="0" w:color="auto"/>
              <w:bottom w:val="nil"/>
              <w:right w:val="single" w:sz="4" w:space="0" w:color="auto"/>
            </w:tcBorders>
            <w:shd w:val="clear" w:color="auto" w:fill="auto"/>
          </w:tcPr>
          <w:p w14:paraId="1FA750AB" w14:textId="77777777" w:rsidR="0041345E" w:rsidRPr="00E26D09" w:rsidRDefault="0041345E" w:rsidP="00255E64">
            <w:pPr>
              <w:pStyle w:val="TAC"/>
              <w:rPr>
                <w:lang w:eastAsia="zh-CN"/>
              </w:rPr>
            </w:pPr>
            <w:r w:rsidRPr="00E26D09">
              <w:rPr>
                <w:lang w:eastAsia="zh-CN"/>
              </w:rPr>
              <w:t xml:space="preserve">5 MHz </w:t>
            </w:r>
            <w:r>
              <w:rPr>
                <w:lang w:eastAsia="zh-CN"/>
              </w:rPr>
              <w:t>CP</w:t>
            </w:r>
            <w:r w:rsidRPr="00E26D09">
              <w:rPr>
                <w:lang w:eastAsia="zh-CN"/>
              </w:rPr>
              <w:t>-OFDM NR signal, 15 kHz SCS, 25 RBs</w:t>
            </w:r>
          </w:p>
        </w:tc>
      </w:tr>
      <w:tr w:rsidR="0041345E" w:rsidRPr="00E26D09" w14:paraId="72C93154" w14:textId="77777777" w:rsidTr="0041345E">
        <w:trPr>
          <w:trHeight w:val="487"/>
          <w:jc w:val="center"/>
        </w:trPr>
        <w:tc>
          <w:tcPr>
            <w:tcW w:w="1947" w:type="dxa"/>
            <w:tcBorders>
              <w:top w:val="nil"/>
              <w:left w:val="single" w:sz="4" w:space="0" w:color="auto"/>
              <w:bottom w:val="single" w:sz="4" w:space="0" w:color="auto"/>
              <w:right w:val="single" w:sz="4" w:space="0" w:color="auto"/>
            </w:tcBorders>
            <w:shd w:val="clear" w:color="auto" w:fill="auto"/>
          </w:tcPr>
          <w:p w14:paraId="3AB2A087" w14:textId="77777777" w:rsidR="0041345E" w:rsidRPr="00E26D09" w:rsidRDefault="0041345E" w:rsidP="00255E64">
            <w:pPr>
              <w:pStyle w:val="TAC"/>
              <w:rPr>
                <w:lang w:eastAsia="zh-CN"/>
              </w:rPr>
            </w:pPr>
          </w:p>
        </w:tc>
        <w:tc>
          <w:tcPr>
            <w:tcW w:w="1792" w:type="dxa"/>
            <w:tcBorders>
              <w:top w:val="single" w:sz="4" w:space="0" w:color="auto"/>
              <w:left w:val="single" w:sz="4" w:space="0" w:color="auto"/>
              <w:bottom w:val="single" w:sz="4" w:space="0" w:color="auto"/>
              <w:right w:val="single" w:sz="4" w:space="0" w:color="auto"/>
            </w:tcBorders>
          </w:tcPr>
          <w:p w14:paraId="71C532C8" w14:textId="77777777" w:rsidR="0041345E" w:rsidRPr="00E26D09" w:rsidRDefault="0041345E" w:rsidP="00255E64">
            <w:pPr>
              <w:pStyle w:val="TAC"/>
              <w:rPr>
                <w:rFonts w:cs="Arial"/>
              </w:rPr>
            </w:pPr>
            <w:r>
              <w:rPr>
                <w:rFonts w:cs="Arial"/>
              </w:rPr>
              <w:t>EIS</w:t>
            </w:r>
            <w:r w:rsidRPr="007A7019">
              <w:rPr>
                <w:rFonts w:cs="Arial"/>
                <w:vertAlign w:val="subscript"/>
              </w:rPr>
              <w:t>minSENS</w:t>
            </w:r>
            <w:r>
              <w:rPr>
                <w:rFonts w:cs="Arial"/>
              </w:rPr>
              <w:t xml:space="preserve"> + 6 dB</w:t>
            </w:r>
          </w:p>
        </w:tc>
        <w:tc>
          <w:tcPr>
            <w:tcW w:w="2133" w:type="dxa"/>
            <w:tcBorders>
              <w:top w:val="single" w:sz="4" w:space="0" w:color="auto"/>
              <w:left w:val="single" w:sz="4" w:space="0" w:color="auto"/>
              <w:bottom w:val="single" w:sz="4" w:space="0" w:color="auto"/>
              <w:right w:val="single" w:sz="4" w:space="0" w:color="auto"/>
            </w:tcBorders>
          </w:tcPr>
          <w:p w14:paraId="2DC7294C" w14:textId="77777777" w:rsidR="0041345E" w:rsidRDefault="0041345E" w:rsidP="00255E64">
            <w:pPr>
              <w:pStyle w:val="TAC"/>
              <w:rPr>
                <w:lang w:eastAsia="zh-CN"/>
              </w:rPr>
            </w:pPr>
            <w:r>
              <w:rPr>
                <w:lang w:eastAsia="zh-CN"/>
              </w:rPr>
              <w:t>Wide Area IAB-MT: -43  – Δ</w:t>
            </w:r>
            <w:r w:rsidRPr="007A7019">
              <w:rPr>
                <w:vertAlign w:val="subscript"/>
                <w:lang w:eastAsia="zh-CN"/>
              </w:rPr>
              <w:t>minSENS</w:t>
            </w:r>
          </w:p>
          <w:p w14:paraId="10A05789" w14:textId="69E675EB" w:rsidR="0041345E" w:rsidRPr="00E26D09" w:rsidRDefault="0041345E" w:rsidP="00255E64">
            <w:pPr>
              <w:pStyle w:val="TAC"/>
              <w:rPr>
                <w:lang w:eastAsia="zh-CN"/>
              </w:rPr>
            </w:pPr>
            <w:r>
              <w:rPr>
                <w:lang w:eastAsia="zh-CN"/>
              </w:rPr>
              <w:t>Local Area IAB-MT: -35 - Δ</w:t>
            </w:r>
            <w:r w:rsidRPr="007A7019">
              <w:rPr>
                <w:vertAlign w:val="subscript"/>
                <w:lang w:eastAsia="zh-CN"/>
              </w:rPr>
              <w:t>minSENS</w:t>
            </w:r>
          </w:p>
        </w:tc>
        <w:tc>
          <w:tcPr>
            <w:tcW w:w="1617" w:type="dxa"/>
            <w:tcBorders>
              <w:top w:val="single" w:sz="4" w:space="0" w:color="auto"/>
              <w:left w:val="single" w:sz="4" w:space="0" w:color="auto"/>
              <w:bottom w:val="single" w:sz="4" w:space="0" w:color="auto"/>
              <w:right w:val="single" w:sz="4" w:space="0" w:color="auto"/>
            </w:tcBorders>
          </w:tcPr>
          <w:p w14:paraId="724ACE13" w14:textId="77777777" w:rsidR="0041345E" w:rsidRPr="00E26D09" w:rsidRDefault="0041345E" w:rsidP="00255E64">
            <w:pPr>
              <w:pStyle w:val="TAC"/>
              <w:rPr>
                <w:rFonts w:cs="Arial"/>
              </w:rPr>
            </w:pPr>
            <w:r w:rsidRPr="00E26D09">
              <w:rPr>
                <w:rFonts w:cs="Arial"/>
              </w:rPr>
              <w:t>±7.5</w:t>
            </w:r>
          </w:p>
        </w:tc>
        <w:tc>
          <w:tcPr>
            <w:tcW w:w="2835" w:type="dxa"/>
            <w:tcBorders>
              <w:top w:val="nil"/>
              <w:left w:val="single" w:sz="4" w:space="0" w:color="auto"/>
              <w:bottom w:val="single" w:sz="4" w:space="0" w:color="auto"/>
              <w:right w:val="single" w:sz="4" w:space="0" w:color="auto"/>
            </w:tcBorders>
            <w:shd w:val="clear" w:color="auto" w:fill="auto"/>
          </w:tcPr>
          <w:p w14:paraId="3AD0AEA8" w14:textId="77777777" w:rsidR="0041345E" w:rsidRPr="00E26D09" w:rsidRDefault="0041345E" w:rsidP="00255E64">
            <w:pPr>
              <w:pStyle w:val="TAC"/>
              <w:rPr>
                <w:lang w:eastAsia="zh-CN"/>
              </w:rPr>
            </w:pPr>
          </w:p>
        </w:tc>
      </w:tr>
      <w:tr w:rsidR="0041345E" w:rsidRPr="00E26D09" w14:paraId="7D28F6BE" w14:textId="77777777" w:rsidTr="0041345E">
        <w:trPr>
          <w:trHeight w:val="487"/>
          <w:jc w:val="center"/>
        </w:trPr>
        <w:tc>
          <w:tcPr>
            <w:tcW w:w="1947" w:type="dxa"/>
            <w:tcBorders>
              <w:top w:val="single" w:sz="4" w:space="0" w:color="auto"/>
              <w:left w:val="single" w:sz="4" w:space="0" w:color="auto"/>
              <w:bottom w:val="nil"/>
              <w:right w:val="single" w:sz="4" w:space="0" w:color="auto"/>
            </w:tcBorders>
            <w:shd w:val="clear" w:color="auto" w:fill="auto"/>
          </w:tcPr>
          <w:p w14:paraId="2B765C9A" w14:textId="77777777" w:rsidR="0041345E" w:rsidRPr="00E26D09" w:rsidRDefault="0041345E" w:rsidP="00255E64">
            <w:pPr>
              <w:pStyle w:val="TAC"/>
              <w:rPr>
                <w:lang w:eastAsia="zh-CN"/>
              </w:rPr>
            </w:pPr>
            <w:r w:rsidRPr="00E26D09">
              <w:rPr>
                <w:lang w:eastAsia="zh-CN"/>
              </w:rPr>
              <w:t>25 ,30, 40, 50, 60, 70, 80, 90, 100</w:t>
            </w:r>
          </w:p>
        </w:tc>
        <w:tc>
          <w:tcPr>
            <w:tcW w:w="1792" w:type="dxa"/>
            <w:tcBorders>
              <w:top w:val="single" w:sz="4" w:space="0" w:color="auto"/>
              <w:left w:val="single" w:sz="4" w:space="0" w:color="auto"/>
              <w:bottom w:val="single" w:sz="4" w:space="0" w:color="auto"/>
              <w:right w:val="single" w:sz="4" w:space="0" w:color="auto"/>
            </w:tcBorders>
          </w:tcPr>
          <w:p w14:paraId="76CB47CC" w14:textId="77777777" w:rsidR="0041345E" w:rsidRPr="00E26D09" w:rsidRDefault="0041345E" w:rsidP="00255E64">
            <w:pPr>
              <w:pStyle w:val="TAC"/>
              <w:rPr>
                <w:rFonts w:cs="Arial"/>
              </w:rPr>
            </w:pPr>
            <w:r>
              <w:rPr>
                <w:rFonts w:cs="Arial"/>
              </w:rPr>
              <w:t>EIS</w:t>
            </w:r>
            <w:r w:rsidRPr="007A7019">
              <w:rPr>
                <w:rFonts w:cs="Arial"/>
                <w:vertAlign w:val="subscript"/>
              </w:rPr>
              <w:t>REFSENS</w:t>
            </w:r>
            <w:r>
              <w:rPr>
                <w:rFonts w:cs="Arial"/>
              </w:rPr>
              <w:t xml:space="preserve"> + 6 dB</w:t>
            </w:r>
          </w:p>
        </w:tc>
        <w:tc>
          <w:tcPr>
            <w:tcW w:w="2133" w:type="dxa"/>
            <w:tcBorders>
              <w:top w:val="single" w:sz="4" w:space="0" w:color="auto"/>
              <w:left w:val="single" w:sz="4" w:space="0" w:color="auto"/>
              <w:bottom w:val="single" w:sz="4" w:space="0" w:color="auto"/>
              <w:right w:val="single" w:sz="4" w:space="0" w:color="auto"/>
            </w:tcBorders>
          </w:tcPr>
          <w:p w14:paraId="1ADE2723" w14:textId="77777777" w:rsidR="0041345E" w:rsidRDefault="0041345E" w:rsidP="00255E64">
            <w:pPr>
              <w:pStyle w:val="TAC"/>
              <w:rPr>
                <w:vertAlign w:val="subscript"/>
                <w:lang w:eastAsia="zh-CN"/>
              </w:rPr>
            </w:pPr>
            <w:r>
              <w:rPr>
                <w:lang w:eastAsia="zh-CN"/>
              </w:rPr>
              <w:t>Wide Area IAB-MT: -43 - Δ</w:t>
            </w:r>
            <w:r w:rsidRPr="007A7019">
              <w:rPr>
                <w:vertAlign w:val="subscript"/>
                <w:lang w:eastAsia="zh-CN"/>
              </w:rPr>
              <w:t>OTAREFSENS</w:t>
            </w:r>
          </w:p>
          <w:p w14:paraId="579028F4" w14:textId="77777777" w:rsidR="0041345E" w:rsidRDefault="0041345E" w:rsidP="00255E64">
            <w:pPr>
              <w:pStyle w:val="TAC"/>
              <w:rPr>
                <w:lang w:eastAsia="zh-CN"/>
              </w:rPr>
            </w:pPr>
            <w:r>
              <w:rPr>
                <w:lang w:eastAsia="zh-CN"/>
              </w:rPr>
              <w:t>Local Area IAB-MT: -35 - Δ</w:t>
            </w:r>
            <w:r w:rsidRPr="007A7019">
              <w:rPr>
                <w:vertAlign w:val="subscript"/>
                <w:lang w:eastAsia="zh-CN"/>
              </w:rPr>
              <w:t>OTAREFSENS</w:t>
            </w:r>
          </w:p>
          <w:p w14:paraId="5B7093AD" w14:textId="77777777" w:rsidR="0041345E" w:rsidRPr="00E26D09" w:rsidRDefault="0041345E" w:rsidP="00255E64">
            <w:pPr>
              <w:pStyle w:val="TAC"/>
              <w:rPr>
                <w:lang w:eastAsia="zh-CN"/>
              </w:rPr>
            </w:pPr>
          </w:p>
        </w:tc>
        <w:tc>
          <w:tcPr>
            <w:tcW w:w="1617" w:type="dxa"/>
            <w:tcBorders>
              <w:top w:val="single" w:sz="4" w:space="0" w:color="auto"/>
              <w:left w:val="single" w:sz="4" w:space="0" w:color="auto"/>
              <w:bottom w:val="single" w:sz="4" w:space="0" w:color="auto"/>
              <w:right w:val="single" w:sz="4" w:space="0" w:color="auto"/>
            </w:tcBorders>
          </w:tcPr>
          <w:p w14:paraId="08DE45E4" w14:textId="77777777" w:rsidR="0041345E" w:rsidRPr="00E26D09" w:rsidRDefault="0041345E" w:rsidP="00255E64">
            <w:pPr>
              <w:pStyle w:val="TAC"/>
              <w:rPr>
                <w:rFonts w:cs="Arial"/>
              </w:rPr>
            </w:pPr>
            <w:r w:rsidRPr="00E26D09">
              <w:rPr>
                <w:rFonts w:cs="Arial"/>
              </w:rPr>
              <w:t>±30</w:t>
            </w:r>
          </w:p>
        </w:tc>
        <w:tc>
          <w:tcPr>
            <w:tcW w:w="2835" w:type="dxa"/>
            <w:tcBorders>
              <w:top w:val="single" w:sz="4" w:space="0" w:color="auto"/>
              <w:left w:val="single" w:sz="4" w:space="0" w:color="auto"/>
              <w:bottom w:val="nil"/>
              <w:right w:val="single" w:sz="4" w:space="0" w:color="auto"/>
            </w:tcBorders>
            <w:shd w:val="clear" w:color="auto" w:fill="auto"/>
          </w:tcPr>
          <w:p w14:paraId="522C00D6" w14:textId="77777777" w:rsidR="0041345E" w:rsidRPr="00E26D09" w:rsidRDefault="0041345E" w:rsidP="00255E64">
            <w:pPr>
              <w:pStyle w:val="TAC"/>
              <w:rPr>
                <w:lang w:eastAsia="zh-CN"/>
              </w:rPr>
            </w:pPr>
            <w:r w:rsidRPr="00E26D09">
              <w:rPr>
                <w:lang w:eastAsia="zh-CN"/>
              </w:rPr>
              <w:t xml:space="preserve">20 MHz </w:t>
            </w:r>
            <w:r>
              <w:rPr>
                <w:lang w:eastAsia="zh-CN"/>
              </w:rPr>
              <w:t>CP</w:t>
            </w:r>
            <w:r w:rsidRPr="00E26D09">
              <w:rPr>
                <w:lang w:eastAsia="zh-CN"/>
              </w:rPr>
              <w:t>-OFDM NR signal, 15 kHz SCS, 100 RBs</w:t>
            </w:r>
          </w:p>
        </w:tc>
      </w:tr>
      <w:tr w:rsidR="0041345E" w:rsidRPr="00E26D09" w14:paraId="5F046413" w14:textId="77777777" w:rsidTr="0041345E">
        <w:trPr>
          <w:trHeight w:val="487"/>
          <w:jc w:val="center"/>
        </w:trPr>
        <w:tc>
          <w:tcPr>
            <w:tcW w:w="1947" w:type="dxa"/>
            <w:tcBorders>
              <w:top w:val="nil"/>
              <w:left w:val="single" w:sz="4" w:space="0" w:color="auto"/>
              <w:bottom w:val="single" w:sz="4" w:space="0" w:color="auto"/>
              <w:right w:val="single" w:sz="4" w:space="0" w:color="auto"/>
            </w:tcBorders>
            <w:shd w:val="clear" w:color="auto" w:fill="auto"/>
          </w:tcPr>
          <w:p w14:paraId="278ED188" w14:textId="77777777" w:rsidR="0041345E" w:rsidRPr="00E26D09" w:rsidRDefault="0041345E" w:rsidP="00255E64">
            <w:pPr>
              <w:pStyle w:val="TAC"/>
              <w:rPr>
                <w:lang w:eastAsia="zh-CN"/>
              </w:rPr>
            </w:pPr>
          </w:p>
        </w:tc>
        <w:tc>
          <w:tcPr>
            <w:tcW w:w="1792" w:type="dxa"/>
            <w:tcBorders>
              <w:top w:val="single" w:sz="4" w:space="0" w:color="auto"/>
              <w:left w:val="single" w:sz="4" w:space="0" w:color="auto"/>
              <w:bottom w:val="single" w:sz="4" w:space="0" w:color="auto"/>
              <w:right w:val="single" w:sz="4" w:space="0" w:color="auto"/>
            </w:tcBorders>
          </w:tcPr>
          <w:p w14:paraId="2D0927A6" w14:textId="77777777" w:rsidR="0041345E" w:rsidRPr="00E26D09" w:rsidRDefault="0041345E" w:rsidP="00255E64">
            <w:pPr>
              <w:pStyle w:val="TAC"/>
              <w:rPr>
                <w:rFonts w:cs="Arial"/>
              </w:rPr>
            </w:pPr>
            <w:r>
              <w:rPr>
                <w:rFonts w:cs="Arial"/>
              </w:rPr>
              <w:t>EIS</w:t>
            </w:r>
            <w:r w:rsidRPr="007A7019">
              <w:rPr>
                <w:rFonts w:cs="Arial"/>
                <w:vertAlign w:val="subscript"/>
              </w:rPr>
              <w:t>minSENS</w:t>
            </w:r>
            <w:r>
              <w:rPr>
                <w:rFonts w:cs="Arial"/>
              </w:rPr>
              <w:t xml:space="preserve"> + 6 dB</w:t>
            </w:r>
          </w:p>
        </w:tc>
        <w:tc>
          <w:tcPr>
            <w:tcW w:w="2133" w:type="dxa"/>
            <w:tcBorders>
              <w:top w:val="single" w:sz="4" w:space="0" w:color="auto"/>
              <w:left w:val="single" w:sz="4" w:space="0" w:color="auto"/>
              <w:bottom w:val="single" w:sz="4" w:space="0" w:color="auto"/>
              <w:right w:val="single" w:sz="4" w:space="0" w:color="auto"/>
            </w:tcBorders>
          </w:tcPr>
          <w:p w14:paraId="5946962E" w14:textId="77777777" w:rsidR="0041345E" w:rsidRDefault="0041345E" w:rsidP="00255E64">
            <w:pPr>
              <w:pStyle w:val="TAC"/>
              <w:rPr>
                <w:lang w:eastAsia="zh-CN"/>
              </w:rPr>
            </w:pPr>
            <w:r>
              <w:rPr>
                <w:lang w:eastAsia="zh-CN"/>
              </w:rPr>
              <w:t>Wide Area IAB-MT: -43  – Δ</w:t>
            </w:r>
            <w:r w:rsidRPr="007A7019">
              <w:rPr>
                <w:vertAlign w:val="subscript"/>
                <w:lang w:eastAsia="zh-CN"/>
              </w:rPr>
              <w:t>minSENS</w:t>
            </w:r>
          </w:p>
          <w:p w14:paraId="44895A37" w14:textId="35359E57" w:rsidR="0041345E" w:rsidRPr="00E26D09" w:rsidRDefault="0041345E" w:rsidP="00255E64">
            <w:pPr>
              <w:pStyle w:val="TAC"/>
              <w:rPr>
                <w:lang w:eastAsia="zh-CN"/>
              </w:rPr>
            </w:pPr>
            <w:r>
              <w:rPr>
                <w:lang w:eastAsia="zh-CN"/>
              </w:rPr>
              <w:t>Local Area IAB-MT: -35 - Δ</w:t>
            </w:r>
            <w:r w:rsidRPr="007A7019">
              <w:rPr>
                <w:vertAlign w:val="subscript"/>
                <w:lang w:eastAsia="zh-CN"/>
              </w:rPr>
              <w:t>minSENS</w:t>
            </w:r>
          </w:p>
        </w:tc>
        <w:tc>
          <w:tcPr>
            <w:tcW w:w="1617" w:type="dxa"/>
            <w:tcBorders>
              <w:top w:val="single" w:sz="4" w:space="0" w:color="auto"/>
              <w:left w:val="single" w:sz="4" w:space="0" w:color="auto"/>
              <w:bottom w:val="single" w:sz="4" w:space="0" w:color="auto"/>
              <w:right w:val="single" w:sz="4" w:space="0" w:color="auto"/>
            </w:tcBorders>
          </w:tcPr>
          <w:p w14:paraId="6456BB35" w14:textId="77777777" w:rsidR="0041345E" w:rsidRPr="00E26D09" w:rsidRDefault="0041345E" w:rsidP="00255E64">
            <w:pPr>
              <w:pStyle w:val="TAC"/>
              <w:rPr>
                <w:rFonts w:cs="Arial"/>
              </w:rPr>
            </w:pPr>
            <w:r w:rsidRPr="00E26D09">
              <w:rPr>
                <w:rFonts w:cs="Arial"/>
              </w:rPr>
              <w:t>±30</w:t>
            </w:r>
          </w:p>
        </w:tc>
        <w:tc>
          <w:tcPr>
            <w:tcW w:w="2835" w:type="dxa"/>
            <w:tcBorders>
              <w:top w:val="nil"/>
              <w:left w:val="single" w:sz="4" w:space="0" w:color="auto"/>
              <w:bottom w:val="single" w:sz="4" w:space="0" w:color="auto"/>
              <w:right w:val="single" w:sz="4" w:space="0" w:color="auto"/>
            </w:tcBorders>
            <w:shd w:val="clear" w:color="auto" w:fill="auto"/>
          </w:tcPr>
          <w:p w14:paraId="6E58C82D" w14:textId="77777777" w:rsidR="0041345E" w:rsidRPr="00E26D09" w:rsidRDefault="0041345E" w:rsidP="00255E64">
            <w:pPr>
              <w:pStyle w:val="TAC"/>
              <w:rPr>
                <w:lang w:eastAsia="zh-CN"/>
              </w:rPr>
            </w:pPr>
          </w:p>
        </w:tc>
      </w:tr>
    </w:tbl>
    <w:p w14:paraId="46802550" w14:textId="77777777" w:rsidR="00983C70" w:rsidRPr="00E26D09" w:rsidRDefault="00983C70" w:rsidP="00983C70">
      <w:pPr>
        <w:rPr>
          <w:lang w:eastAsia="zh-CN"/>
        </w:rPr>
      </w:pPr>
    </w:p>
    <w:p w14:paraId="3D2443EE" w14:textId="5CEC56A5" w:rsidR="00983C70" w:rsidRPr="00E26D09" w:rsidRDefault="00C00B34" w:rsidP="00255E64">
      <w:pPr>
        <w:pStyle w:val="TH"/>
        <w:rPr>
          <w:lang w:eastAsia="zh-CN"/>
        </w:rPr>
      </w:pPr>
      <w:r w:rsidRPr="00E26D09">
        <w:t xml:space="preserve">Table </w:t>
      </w:r>
      <w:r w:rsidRPr="00E26D09">
        <w:rPr>
          <w:lang w:eastAsia="zh-CN"/>
        </w:rPr>
        <w:t>10.5.2.</w:t>
      </w:r>
      <w:r>
        <w:rPr>
          <w:lang w:eastAsia="zh-CN"/>
        </w:rPr>
        <w:t>5</w:t>
      </w:r>
      <w:r w:rsidRPr="00E26D09">
        <w:t>-</w:t>
      </w:r>
      <w:r>
        <w:rPr>
          <w:lang w:eastAsia="zh-CN"/>
        </w:rPr>
        <w:t>2</w:t>
      </w:r>
      <w:r w:rsidR="00983C70" w:rsidRPr="00E26D09">
        <w:t xml:space="preserve">: OTA narrowband blocking requirement for </w:t>
      </w:r>
      <w:r w:rsidR="00983C70">
        <w:rPr>
          <w:i/>
        </w:rPr>
        <w:t>IAB-MT</w:t>
      </w:r>
      <w:r w:rsidR="00983C70" w:rsidRPr="00E26D09">
        <w:rPr>
          <w:i/>
        </w:rPr>
        <w:t xml:space="preserve">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3"/>
        <w:gridCol w:w="1563"/>
        <w:gridCol w:w="3369"/>
      </w:tblGrid>
      <w:tr w:rsidR="00983C70" w:rsidRPr="00E26D09" w14:paraId="5CF45CCE" w14:textId="77777777" w:rsidTr="002E2B73">
        <w:trPr>
          <w:trHeight w:val="629"/>
          <w:jc w:val="center"/>
        </w:trPr>
        <w:tc>
          <w:tcPr>
            <w:tcW w:w="1893" w:type="dxa"/>
            <w:tcBorders>
              <w:top w:val="single" w:sz="4" w:space="0" w:color="auto"/>
              <w:left w:val="single" w:sz="4" w:space="0" w:color="auto"/>
              <w:bottom w:val="single" w:sz="4" w:space="0" w:color="auto"/>
              <w:right w:val="single" w:sz="4" w:space="0" w:color="auto"/>
            </w:tcBorders>
          </w:tcPr>
          <w:p w14:paraId="334EE172" w14:textId="77777777" w:rsidR="00983C70" w:rsidRPr="00E26D09" w:rsidRDefault="00983C70" w:rsidP="00255E64">
            <w:pPr>
              <w:pStyle w:val="TAH"/>
            </w:pPr>
            <w:r w:rsidRPr="002E2B73">
              <w:rPr>
                <w:i/>
                <w:iCs/>
              </w:rPr>
              <w:t>IAB-MT channel bandwidth</w:t>
            </w:r>
            <w:r w:rsidRPr="007E346D">
              <w:t xml:space="preserve"> of the </w:t>
            </w:r>
            <w:r w:rsidRPr="007A7019">
              <w:t>lowest/highest carrier</w:t>
            </w:r>
            <w:r w:rsidRPr="007E346D">
              <w:t xml:space="preserve"> received (MHz)</w:t>
            </w:r>
          </w:p>
        </w:tc>
        <w:tc>
          <w:tcPr>
            <w:tcW w:w="1563" w:type="dxa"/>
            <w:tcBorders>
              <w:top w:val="single" w:sz="4" w:space="0" w:color="auto"/>
              <w:left w:val="single" w:sz="4" w:space="0" w:color="auto"/>
              <w:bottom w:val="single" w:sz="4" w:space="0" w:color="auto"/>
              <w:right w:val="single" w:sz="4" w:space="0" w:color="auto"/>
            </w:tcBorders>
            <w:hideMark/>
          </w:tcPr>
          <w:p w14:paraId="742BA009" w14:textId="77777777" w:rsidR="00983C70" w:rsidRPr="00E26D09" w:rsidRDefault="00983C70" w:rsidP="00255E64">
            <w:pPr>
              <w:pStyle w:val="TAH"/>
              <w:rPr>
                <w:lang w:eastAsia="ja-JP"/>
              </w:rPr>
            </w:pPr>
            <w:r w:rsidRPr="007E346D">
              <w:t>OTA Wanted signal mean power (dBm)</w:t>
            </w:r>
          </w:p>
        </w:tc>
        <w:tc>
          <w:tcPr>
            <w:tcW w:w="3369" w:type="dxa"/>
            <w:tcBorders>
              <w:top w:val="single" w:sz="4" w:space="0" w:color="auto"/>
              <w:left w:val="single" w:sz="4" w:space="0" w:color="auto"/>
              <w:bottom w:val="single" w:sz="4" w:space="0" w:color="auto"/>
              <w:right w:val="single" w:sz="4" w:space="0" w:color="auto"/>
            </w:tcBorders>
            <w:hideMark/>
          </w:tcPr>
          <w:p w14:paraId="48A7805D" w14:textId="77777777" w:rsidR="00983C70" w:rsidRPr="00E26D09" w:rsidRDefault="00983C70" w:rsidP="00255E64">
            <w:pPr>
              <w:pStyle w:val="TAH"/>
              <w:rPr>
                <w:lang w:eastAsia="ja-JP"/>
              </w:rPr>
            </w:pPr>
            <w:r w:rsidRPr="007E346D">
              <w:rPr>
                <w:rFonts w:cs="Arial"/>
              </w:rPr>
              <w:t>OTA Interfering signal mean power (dBm)</w:t>
            </w:r>
          </w:p>
        </w:tc>
      </w:tr>
      <w:tr w:rsidR="002E2B73" w:rsidRPr="00E26D09" w14:paraId="121DEC72" w14:textId="77777777" w:rsidTr="00255E64">
        <w:trPr>
          <w:trHeight w:val="487"/>
          <w:jc w:val="center"/>
        </w:trPr>
        <w:tc>
          <w:tcPr>
            <w:tcW w:w="1893" w:type="dxa"/>
            <w:tcBorders>
              <w:top w:val="single" w:sz="4" w:space="0" w:color="auto"/>
              <w:left w:val="single" w:sz="4" w:space="0" w:color="auto"/>
              <w:bottom w:val="nil"/>
              <w:right w:val="single" w:sz="4" w:space="0" w:color="auto"/>
            </w:tcBorders>
            <w:shd w:val="clear" w:color="auto" w:fill="auto"/>
          </w:tcPr>
          <w:p w14:paraId="25992FB1" w14:textId="07950782" w:rsidR="002E2B73" w:rsidRPr="00E26D09" w:rsidRDefault="002E2B73" w:rsidP="00255E64">
            <w:pPr>
              <w:pStyle w:val="TAC"/>
              <w:rPr>
                <w:lang w:eastAsia="zh-CN"/>
              </w:rPr>
            </w:pPr>
            <w:r w:rsidRPr="00E26D09">
              <w:rPr>
                <w:lang w:eastAsia="zh-CN"/>
              </w:rPr>
              <w:t>10, 15, 20</w:t>
            </w:r>
          </w:p>
        </w:tc>
        <w:tc>
          <w:tcPr>
            <w:tcW w:w="1563" w:type="dxa"/>
            <w:tcBorders>
              <w:top w:val="single" w:sz="4" w:space="0" w:color="auto"/>
              <w:left w:val="single" w:sz="4" w:space="0" w:color="auto"/>
              <w:bottom w:val="single" w:sz="4" w:space="0" w:color="auto"/>
              <w:right w:val="single" w:sz="4" w:space="0" w:color="auto"/>
            </w:tcBorders>
            <w:hideMark/>
          </w:tcPr>
          <w:p w14:paraId="00C75F83" w14:textId="77777777" w:rsidR="002E2B73" w:rsidRPr="00E26D09" w:rsidRDefault="002E2B73" w:rsidP="00255E64">
            <w:pPr>
              <w:pStyle w:val="TAC"/>
              <w:rPr>
                <w:lang w:eastAsia="ja-JP"/>
              </w:rPr>
            </w:pPr>
            <w:r w:rsidRPr="00E26D09">
              <w:rPr>
                <w:rFonts w:cs="Arial"/>
              </w:rPr>
              <w:t>EIS</w:t>
            </w:r>
            <w:r w:rsidRPr="00E26D09">
              <w:rPr>
                <w:rFonts w:cs="Arial"/>
                <w:vertAlign w:val="subscript"/>
              </w:rPr>
              <w:t>REFSENS</w:t>
            </w:r>
            <w:r w:rsidRPr="00E26D09">
              <w:t xml:space="preserve"> + 6 dB</w:t>
            </w:r>
          </w:p>
        </w:tc>
        <w:tc>
          <w:tcPr>
            <w:tcW w:w="3369" w:type="dxa"/>
            <w:tcBorders>
              <w:top w:val="single" w:sz="4" w:space="0" w:color="auto"/>
              <w:left w:val="single" w:sz="4" w:space="0" w:color="auto"/>
              <w:bottom w:val="single" w:sz="4" w:space="0" w:color="auto"/>
              <w:right w:val="single" w:sz="4" w:space="0" w:color="auto"/>
            </w:tcBorders>
            <w:hideMark/>
          </w:tcPr>
          <w:p w14:paraId="7BA7DFA1" w14:textId="77777777" w:rsidR="002E2B73" w:rsidRDefault="002E2B73" w:rsidP="00255E64">
            <w:pPr>
              <w:pStyle w:val="TAC"/>
              <w:rPr>
                <w:rFonts w:cs="Arial"/>
                <w:vertAlign w:val="subscript"/>
              </w:rPr>
            </w:pPr>
            <w:r w:rsidRPr="00E26D09">
              <w:rPr>
                <w:lang w:eastAsia="zh-CN"/>
              </w:rPr>
              <w:t>Wide Area</w:t>
            </w:r>
            <w:r>
              <w:rPr>
                <w:lang w:eastAsia="zh-CN"/>
              </w:rPr>
              <w:t xml:space="preserve"> IAB-MT</w:t>
            </w:r>
            <w:r w:rsidRPr="00E26D09">
              <w:rPr>
                <w:lang w:eastAsia="zh-CN"/>
              </w:rPr>
              <w:t xml:space="preserve">: -49 </w:t>
            </w:r>
            <w:r w:rsidRPr="00E26D09">
              <w:rPr>
                <w:rFonts w:cs="Arial"/>
                <w:szCs w:val="18"/>
              </w:rPr>
              <w:t xml:space="preserve">- </w:t>
            </w:r>
            <w:r w:rsidRPr="00E26D09">
              <w:rPr>
                <w:rFonts w:cs="Arial"/>
              </w:rPr>
              <w:t>Δ</w:t>
            </w:r>
            <w:r w:rsidRPr="00E26D09">
              <w:rPr>
                <w:rFonts w:cs="Arial"/>
                <w:vertAlign w:val="subscript"/>
              </w:rPr>
              <w:t>OTAREFSENS</w:t>
            </w:r>
          </w:p>
          <w:p w14:paraId="629891CA" w14:textId="79485E01" w:rsidR="002E2B73" w:rsidRPr="00E26D09" w:rsidRDefault="002E2B73" w:rsidP="00255E64">
            <w:pPr>
              <w:pStyle w:val="TAC"/>
              <w:rPr>
                <w:lang w:eastAsia="zh-CN"/>
              </w:rPr>
            </w:pPr>
            <w:r w:rsidRPr="00E26D09">
              <w:rPr>
                <w:lang w:eastAsia="zh-CN"/>
              </w:rPr>
              <w:t>Local Area</w:t>
            </w:r>
            <w:r>
              <w:rPr>
                <w:lang w:eastAsia="zh-CN"/>
              </w:rPr>
              <w:t xml:space="preserve"> IAB-MT</w:t>
            </w:r>
            <w:r w:rsidRPr="00E26D09">
              <w:rPr>
                <w:lang w:eastAsia="zh-CN"/>
              </w:rPr>
              <w:t xml:space="preserve">: -41 </w:t>
            </w:r>
            <w:r w:rsidRPr="00E26D09">
              <w:rPr>
                <w:rFonts w:cs="Arial"/>
                <w:szCs w:val="18"/>
              </w:rPr>
              <w:t xml:space="preserve">- </w:t>
            </w:r>
            <w:r w:rsidRPr="00E26D09">
              <w:rPr>
                <w:rFonts w:cs="Arial"/>
              </w:rPr>
              <w:t>Δ</w:t>
            </w:r>
            <w:r w:rsidRPr="00E26D09">
              <w:rPr>
                <w:rFonts w:cs="Arial"/>
                <w:vertAlign w:val="subscript"/>
              </w:rPr>
              <w:t>OTAREFSENS</w:t>
            </w:r>
          </w:p>
        </w:tc>
      </w:tr>
      <w:tr w:rsidR="002E2B73" w:rsidRPr="00E26D09" w14:paraId="686E438B" w14:textId="77777777" w:rsidTr="00255E64">
        <w:trPr>
          <w:trHeight w:val="487"/>
          <w:jc w:val="center"/>
        </w:trPr>
        <w:tc>
          <w:tcPr>
            <w:tcW w:w="1893" w:type="dxa"/>
            <w:tcBorders>
              <w:top w:val="nil"/>
              <w:left w:val="single" w:sz="4" w:space="0" w:color="auto"/>
              <w:bottom w:val="single" w:sz="4" w:space="0" w:color="auto"/>
              <w:right w:val="single" w:sz="4" w:space="0" w:color="auto"/>
            </w:tcBorders>
            <w:shd w:val="clear" w:color="auto" w:fill="auto"/>
          </w:tcPr>
          <w:p w14:paraId="210480C5" w14:textId="77777777" w:rsidR="002E2B73" w:rsidRPr="00E26D09" w:rsidRDefault="002E2B73" w:rsidP="00255E64">
            <w:pPr>
              <w:pStyle w:val="TAC"/>
              <w:rPr>
                <w:lang w:eastAsia="zh-CN"/>
              </w:rPr>
            </w:pPr>
          </w:p>
        </w:tc>
        <w:tc>
          <w:tcPr>
            <w:tcW w:w="1563" w:type="dxa"/>
            <w:tcBorders>
              <w:top w:val="single" w:sz="4" w:space="0" w:color="auto"/>
              <w:left w:val="single" w:sz="4" w:space="0" w:color="auto"/>
              <w:bottom w:val="single" w:sz="4" w:space="0" w:color="auto"/>
              <w:right w:val="single" w:sz="4" w:space="0" w:color="auto"/>
            </w:tcBorders>
          </w:tcPr>
          <w:p w14:paraId="44CCD79D" w14:textId="77777777" w:rsidR="002E2B73" w:rsidRPr="00E26D09" w:rsidRDefault="002E2B73" w:rsidP="00255E64">
            <w:pPr>
              <w:pStyle w:val="TAC"/>
              <w:rPr>
                <w:rFonts w:cs="Arial"/>
              </w:rPr>
            </w:pPr>
            <w:r w:rsidRPr="00E26D09">
              <w:rPr>
                <w:rFonts w:cs="Arial"/>
              </w:rPr>
              <w:t>EIS</w:t>
            </w:r>
            <w:r w:rsidRPr="00E26D09">
              <w:rPr>
                <w:rFonts w:cs="Arial"/>
                <w:vertAlign w:val="subscript"/>
              </w:rPr>
              <w:t>minSENS</w:t>
            </w:r>
            <w:r w:rsidRPr="00E26D09">
              <w:t xml:space="preserve"> + 6 dB</w:t>
            </w:r>
          </w:p>
        </w:tc>
        <w:tc>
          <w:tcPr>
            <w:tcW w:w="3369" w:type="dxa"/>
            <w:tcBorders>
              <w:top w:val="single" w:sz="4" w:space="0" w:color="auto"/>
              <w:left w:val="single" w:sz="4" w:space="0" w:color="auto"/>
              <w:bottom w:val="single" w:sz="4" w:space="0" w:color="auto"/>
              <w:right w:val="single" w:sz="4" w:space="0" w:color="auto"/>
            </w:tcBorders>
          </w:tcPr>
          <w:p w14:paraId="017877E8" w14:textId="77777777" w:rsidR="002E2B73" w:rsidRPr="00E26D09" w:rsidRDefault="002E2B73" w:rsidP="00255E64">
            <w:pPr>
              <w:pStyle w:val="TAC"/>
              <w:rPr>
                <w:lang w:eastAsia="zh-CN"/>
              </w:rPr>
            </w:pPr>
            <w:r w:rsidRPr="00E26D09">
              <w:rPr>
                <w:lang w:eastAsia="zh-CN"/>
              </w:rPr>
              <w:t>Wide Area</w:t>
            </w:r>
            <w:r>
              <w:rPr>
                <w:lang w:eastAsia="zh-CN"/>
              </w:rPr>
              <w:t xml:space="preserve"> IAB-MT</w:t>
            </w:r>
            <w:r w:rsidRPr="00E26D09">
              <w:rPr>
                <w:lang w:eastAsia="zh-CN"/>
              </w:rPr>
              <w:t xml:space="preserve">: -49 </w:t>
            </w:r>
            <w:r w:rsidRPr="00E26D09">
              <w:rPr>
                <w:rFonts w:cs="Arial"/>
                <w:szCs w:val="18"/>
              </w:rPr>
              <w:t xml:space="preserve"> – </w:t>
            </w:r>
            <w:r w:rsidRPr="00E26D09">
              <w:rPr>
                <w:rFonts w:cs="Arial"/>
              </w:rPr>
              <w:t>Δ</w:t>
            </w:r>
            <w:r w:rsidRPr="00E26D09">
              <w:rPr>
                <w:rFonts w:cs="Arial"/>
                <w:vertAlign w:val="subscript"/>
              </w:rPr>
              <w:t>minSENS</w:t>
            </w:r>
          </w:p>
          <w:p w14:paraId="059CB8E8" w14:textId="77777777" w:rsidR="002E2B73" w:rsidRPr="00E26D09" w:rsidRDefault="002E2B73" w:rsidP="00255E64">
            <w:pPr>
              <w:pStyle w:val="TAC"/>
              <w:rPr>
                <w:lang w:eastAsia="zh-CN"/>
              </w:rPr>
            </w:pPr>
            <w:r w:rsidRPr="00E26D09">
              <w:rPr>
                <w:lang w:eastAsia="zh-CN"/>
              </w:rPr>
              <w:t>Local Area</w:t>
            </w:r>
            <w:r>
              <w:rPr>
                <w:lang w:eastAsia="zh-CN"/>
              </w:rPr>
              <w:t xml:space="preserve"> IAB-MT</w:t>
            </w:r>
            <w:r w:rsidRPr="00E26D09">
              <w:rPr>
                <w:lang w:eastAsia="zh-CN"/>
              </w:rPr>
              <w:t xml:space="preserve">: -41 </w:t>
            </w:r>
            <w:r w:rsidRPr="00E26D09">
              <w:rPr>
                <w:rFonts w:cs="Arial"/>
                <w:szCs w:val="18"/>
              </w:rPr>
              <w:t xml:space="preserve">- </w:t>
            </w:r>
            <w:r w:rsidRPr="00E26D09">
              <w:rPr>
                <w:rFonts w:cs="Arial"/>
              </w:rPr>
              <w:t>Δ</w:t>
            </w:r>
            <w:r w:rsidRPr="00E26D09">
              <w:rPr>
                <w:rFonts w:cs="Arial"/>
                <w:vertAlign w:val="subscript"/>
              </w:rPr>
              <w:t>OTAREFSENS</w:t>
            </w:r>
          </w:p>
        </w:tc>
      </w:tr>
      <w:tr w:rsidR="002E2B73" w:rsidRPr="00E26D09" w14:paraId="3EDC989A" w14:textId="77777777" w:rsidTr="00255E64">
        <w:trPr>
          <w:trHeight w:val="487"/>
          <w:jc w:val="center"/>
        </w:trPr>
        <w:tc>
          <w:tcPr>
            <w:tcW w:w="1893" w:type="dxa"/>
            <w:tcBorders>
              <w:top w:val="single" w:sz="4" w:space="0" w:color="auto"/>
              <w:left w:val="single" w:sz="4" w:space="0" w:color="auto"/>
              <w:bottom w:val="nil"/>
              <w:right w:val="single" w:sz="4" w:space="0" w:color="auto"/>
            </w:tcBorders>
            <w:shd w:val="clear" w:color="auto" w:fill="auto"/>
          </w:tcPr>
          <w:p w14:paraId="692217B9" w14:textId="77777777" w:rsidR="002E2B73" w:rsidRPr="00E26D09" w:rsidRDefault="002E2B73" w:rsidP="00255E64">
            <w:pPr>
              <w:pStyle w:val="TAC"/>
              <w:rPr>
                <w:lang w:eastAsia="zh-CN"/>
              </w:rPr>
            </w:pPr>
            <w:r w:rsidRPr="00E26D09">
              <w:rPr>
                <w:lang w:eastAsia="zh-CN"/>
              </w:rPr>
              <w:t>25, 30, 40, 50, 60, 70, 80, 90, 100</w:t>
            </w:r>
          </w:p>
        </w:tc>
        <w:tc>
          <w:tcPr>
            <w:tcW w:w="1563" w:type="dxa"/>
            <w:tcBorders>
              <w:top w:val="single" w:sz="4" w:space="0" w:color="auto"/>
              <w:left w:val="single" w:sz="4" w:space="0" w:color="auto"/>
              <w:bottom w:val="single" w:sz="4" w:space="0" w:color="auto"/>
              <w:right w:val="single" w:sz="4" w:space="0" w:color="auto"/>
            </w:tcBorders>
          </w:tcPr>
          <w:p w14:paraId="5BF50832" w14:textId="77777777" w:rsidR="002E2B73" w:rsidRPr="00E26D09" w:rsidRDefault="002E2B73" w:rsidP="00255E64">
            <w:pPr>
              <w:pStyle w:val="TAC"/>
              <w:rPr>
                <w:lang w:eastAsia="ja-JP"/>
              </w:rPr>
            </w:pPr>
            <w:r w:rsidRPr="00E26D09">
              <w:rPr>
                <w:rFonts w:cs="Arial"/>
              </w:rPr>
              <w:t>EIS</w:t>
            </w:r>
            <w:r w:rsidRPr="00E26D09">
              <w:rPr>
                <w:rFonts w:cs="Arial"/>
                <w:vertAlign w:val="subscript"/>
              </w:rPr>
              <w:t>REFSENS</w:t>
            </w:r>
            <w:r w:rsidRPr="00E26D09">
              <w:t xml:space="preserve"> + 6 dB</w:t>
            </w:r>
          </w:p>
        </w:tc>
        <w:tc>
          <w:tcPr>
            <w:tcW w:w="3369" w:type="dxa"/>
            <w:tcBorders>
              <w:top w:val="single" w:sz="4" w:space="0" w:color="auto"/>
              <w:left w:val="single" w:sz="4" w:space="0" w:color="auto"/>
              <w:bottom w:val="single" w:sz="4" w:space="0" w:color="auto"/>
              <w:right w:val="single" w:sz="4" w:space="0" w:color="auto"/>
            </w:tcBorders>
          </w:tcPr>
          <w:p w14:paraId="624846E5" w14:textId="77777777" w:rsidR="002E2B73" w:rsidRPr="00E26D09" w:rsidRDefault="002E2B73" w:rsidP="00255E64">
            <w:pPr>
              <w:pStyle w:val="TAC"/>
              <w:rPr>
                <w:lang w:eastAsia="zh-CN"/>
              </w:rPr>
            </w:pPr>
            <w:r w:rsidRPr="00E26D09">
              <w:rPr>
                <w:lang w:eastAsia="zh-CN"/>
              </w:rPr>
              <w:t>Wide Area</w:t>
            </w:r>
            <w:r>
              <w:rPr>
                <w:lang w:eastAsia="zh-CN"/>
              </w:rPr>
              <w:t xml:space="preserve"> IAB-MT</w:t>
            </w:r>
            <w:r w:rsidRPr="00E26D09">
              <w:rPr>
                <w:lang w:eastAsia="zh-CN"/>
              </w:rPr>
              <w:t xml:space="preserve">: -49 </w:t>
            </w:r>
            <w:r w:rsidRPr="00E26D09">
              <w:rPr>
                <w:rFonts w:cs="Arial"/>
                <w:szCs w:val="18"/>
              </w:rPr>
              <w:t xml:space="preserve">- </w:t>
            </w:r>
            <w:r w:rsidRPr="00E26D09">
              <w:rPr>
                <w:rFonts w:cs="Arial"/>
              </w:rPr>
              <w:t>Δ</w:t>
            </w:r>
            <w:r w:rsidRPr="00E26D09">
              <w:rPr>
                <w:rFonts w:cs="Arial"/>
                <w:vertAlign w:val="subscript"/>
              </w:rPr>
              <w:t>OTAREFSENS</w:t>
            </w:r>
          </w:p>
          <w:p w14:paraId="09D4AC24" w14:textId="77777777" w:rsidR="002E2B73" w:rsidRPr="00E26D09" w:rsidRDefault="002E2B73" w:rsidP="00255E64">
            <w:pPr>
              <w:pStyle w:val="TAC"/>
              <w:rPr>
                <w:lang w:eastAsia="zh-CN"/>
              </w:rPr>
            </w:pPr>
            <w:r w:rsidRPr="00E26D09">
              <w:rPr>
                <w:lang w:eastAsia="zh-CN"/>
              </w:rPr>
              <w:t>Local Area</w:t>
            </w:r>
            <w:r>
              <w:rPr>
                <w:lang w:eastAsia="zh-CN"/>
              </w:rPr>
              <w:t xml:space="preserve"> IAB-MT</w:t>
            </w:r>
            <w:r w:rsidRPr="00E26D09">
              <w:rPr>
                <w:lang w:eastAsia="zh-CN"/>
              </w:rPr>
              <w:t xml:space="preserve">: -41 </w:t>
            </w:r>
            <w:r w:rsidRPr="00E26D09">
              <w:rPr>
                <w:rFonts w:cs="Arial"/>
                <w:szCs w:val="18"/>
              </w:rPr>
              <w:t xml:space="preserve">- </w:t>
            </w:r>
            <w:r w:rsidRPr="00E26D09">
              <w:rPr>
                <w:rFonts w:cs="Arial"/>
              </w:rPr>
              <w:t>Δ</w:t>
            </w:r>
            <w:r w:rsidRPr="00E26D09">
              <w:rPr>
                <w:rFonts w:cs="Arial"/>
                <w:vertAlign w:val="subscript"/>
              </w:rPr>
              <w:t>OTAREFSENS</w:t>
            </w:r>
          </w:p>
        </w:tc>
      </w:tr>
      <w:tr w:rsidR="002E2B73" w:rsidRPr="00E26D09" w14:paraId="58BFE16A" w14:textId="77777777" w:rsidTr="00255E64">
        <w:trPr>
          <w:trHeight w:val="487"/>
          <w:jc w:val="center"/>
        </w:trPr>
        <w:tc>
          <w:tcPr>
            <w:tcW w:w="1893" w:type="dxa"/>
            <w:tcBorders>
              <w:top w:val="nil"/>
              <w:left w:val="single" w:sz="4" w:space="0" w:color="auto"/>
              <w:bottom w:val="single" w:sz="4" w:space="0" w:color="auto"/>
              <w:right w:val="single" w:sz="4" w:space="0" w:color="auto"/>
            </w:tcBorders>
            <w:shd w:val="clear" w:color="auto" w:fill="auto"/>
          </w:tcPr>
          <w:p w14:paraId="2FD71647" w14:textId="77777777" w:rsidR="002E2B73" w:rsidRPr="00E26D09" w:rsidRDefault="002E2B73" w:rsidP="00255E64">
            <w:pPr>
              <w:pStyle w:val="TAC"/>
              <w:rPr>
                <w:lang w:eastAsia="zh-CN"/>
              </w:rPr>
            </w:pPr>
          </w:p>
        </w:tc>
        <w:tc>
          <w:tcPr>
            <w:tcW w:w="1563" w:type="dxa"/>
            <w:tcBorders>
              <w:top w:val="single" w:sz="4" w:space="0" w:color="auto"/>
              <w:left w:val="single" w:sz="4" w:space="0" w:color="auto"/>
              <w:bottom w:val="single" w:sz="4" w:space="0" w:color="auto"/>
              <w:right w:val="single" w:sz="4" w:space="0" w:color="auto"/>
            </w:tcBorders>
          </w:tcPr>
          <w:p w14:paraId="697E5C76" w14:textId="77777777" w:rsidR="002E2B73" w:rsidRPr="00E26D09" w:rsidRDefault="002E2B73" w:rsidP="00255E64">
            <w:pPr>
              <w:pStyle w:val="TAC"/>
              <w:rPr>
                <w:rFonts w:cs="Arial"/>
              </w:rPr>
            </w:pPr>
            <w:r w:rsidRPr="00E26D09">
              <w:rPr>
                <w:rFonts w:cs="Arial"/>
              </w:rPr>
              <w:t>EIS</w:t>
            </w:r>
            <w:r w:rsidRPr="00E26D09">
              <w:rPr>
                <w:rFonts w:cs="Arial"/>
                <w:vertAlign w:val="subscript"/>
              </w:rPr>
              <w:t>minSENS</w:t>
            </w:r>
            <w:r w:rsidRPr="00E26D09">
              <w:t xml:space="preserve"> + 6 dB</w:t>
            </w:r>
          </w:p>
        </w:tc>
        <w:tc>
          <w:tcPr>
            <w:tcW w:w="3369" w:type="dxa"/>
            <w:tcBorders>
              <w:top w:val="single" w:sz="4" w:space="0" w:color="auto"/>
              <w:left w:val="single" w:sz="4" w:space="0" w:color="auto"/>
              <w:bottom w:val="single" w:sz="4" w:space="0" w:color="auto"/>
              <w:right w:val="single" w:sz="4" w:space="0" w:color="auto"/>
            </w:tcBorders>
          </w:tcPr>
          <w:p w14:paraId="2FADFD53" w14:textId="77777777" w:rsidR="002E2B73" w:rsidRPr="00E26D09" w:rsidRDefault="002E2B73" w:rsidP="00255E64">
            <w:pPr>
              <w:pStyle w:val="TAC"/>
              <w:rPr>
                <w:lang w:eastAsia="zh-CN"/>
              </w:rPr>
            </w:pPr>
            <w:r w:rsidRPr="00E26D09">
              <w:rPr>
                <w:lang w:eastAsia="zh-CN"/>
              </w:rPr>
              <w:t>Wide Area</w:t>
            </w:r>
            <w:r>
              <w:rPr>
                <w:lang w:eastAsia="zh-CN"/>
              </w:rPr>
              <w:t xml:space="preserve"> IAB-MT</w:t>
            </w:r>
            <w:r w:rsidRPr="00E26D09">
              <w:rPr>
                <w:lang w:eastAsia="zh-CN"/>
              </w:rPr>
              <w:t xml:space="preserve">: -49 </w:t>
            </w:r>
            <w:r w:rsidRPr="00E26D09">
              <w:rPr>
                <w:rFonts w:cs="Arial"/>
                <w:szCs w:val="18"/>
              </w:rPr>
              <w:t xml:space="preserve"> – </w:t>
            </w:r>
            <w:r w:rsidRPr="00E26D09">
              <w:rPr>
                <w:rFonts w:cs="Arial"/>
              </w:rPr>
              <w:t>Δ</w:t>
            </w:r>
            <w:r w:rsidRPr="00E26D09">
              <w:rPr>
                <w:rFonts w:cs="Arial"/>
                <w:vertAlign w:val="subscript"/>
              </w:rPr>
              <w:t>minSENS</w:t>
            </w:r>
          </w:p>
          <w:p w14:paraId="40DC268E" w14:textId="77777777" w:rsidR="002E2B73" w:rsidRPr="00E26D09" w:rsidRDefault="002E2B73" w:rsidP="00255E64">
            <w:pPr>
              <w:pStyle w:val="TAC"/>
              <w:rPr>
                <w:lang w:eastAsia="zh-CN"/>
              </w:rPr>
            </w:pPr>
            <w:r w:rsidRPr="00E26D09">
              <w:rPr>
                <w:lang w:eastAsia="zh-CN"/>
              </w:rPr>
              <w:t>Local Area</w:t>
            </w:r>
            <w:r>
              <w:rPr>
                <w:lang w:eastAsia="zh-CN"/>
              </w:rPr>
              <w:t xml:space="preserve"> IAB-MT</w:t>
            </w:r>
            <w:r w:rsidRPr="00E26D09">
              <w:rPr>
                <w:lang w:eastAsia="zh-CN"/>
              </w:rPr>
              <w:t xml:space="preserve">: -41 </w:t>
            </w:r>
            <w:r w:rsidRPr="00E26D09">
              <w:rPr>
                <w:rFonts w:cs="Arial"/>
                <w:szCs w:val="18"/>
              </w:rPr>
              <w:t xml:space="preserve">- </w:t>
            </w:r>
            <w:r w:rsidRPr="00E26D09">
              <w:rPr>
                <w:rFonts w:cs="Arial"/>
              </w:rPr>
              <w:t>Δ</w:t>
            </w:r>
            <w:r w:rsidRPr="00E26D09">
              <w:rPr>
                <w:rFonts w:cs="Arial"/>
                <w:vertAlign w:val="subscript"/>
              </w:rPr>
              <w:t>OTAREFSENS</w:t>
            </w:r>
          </w:p>
        </w:tc>
      </w:tr>
      <w:tr w:rsidR="00983C70" w:rsidRPr="00E26D09" w14:paraId="0F127AD1" w14:textId="77777777" w:rsidTr="00BD1F8C">
        <w:trPr>
          <w:trHeight w:val="487"/>
          <w:jc w:val="center"/>
        </w:trPr>
        <w:tc>
          <w:tcPr>
            <w:tcW w:w="6825" w:type="dxa"/>
            <w:gridSpan w:val="3"/>
            <w:tcBorders>
              <w:top w:val="single" w:sz="4" w:space="0" w:color="auto"/>
              <w:left w:val="single" w:sz="4" w:space="0" w:color="auto"/>
              <w:bottom w:val="single" w:sz="4" w:space="0" w:color="auto"/>
              <w:right w:val="single" w:sz="4" w:space="0" w:color="auto"/>
            </w:tcBorders>
          </w:tcPr>
          <w:p w14:paraId="54377274" w14:textId="77777777" w:rsidR="00983C70" w:rsidRPr="007E346D" w:rsidRDefault="00983C70" w:rsidP="00255E64">
            <w:pPr>
              <w:pStyle w:val="TAN"/>
            </w:pPr>
            <w:r w:rsidRPr="007E346D">
              <w:t>NOTE 1:</w:t>
            </w:r>
            <w:r w:rsidRPr="007E346D">
              <w:tab/>
              <w:t xml:space="preserve">The SCS for the </w:t>
            </w:r>
            <w:r w:rsidRPr="007A7019">
              <w:rPr>
                <w:i/>
              </w:rPr>
              <w:t>lowest/highest carrier</w:t>
            </w:r>
            <w:r w:rsidRPr="007E346D">
              <w:t xml:space="preserve"> received is the lowest SCS supported by the </w:t>
            </w:r>
            <w:r w:rsidRPr="00743313">
              <w:rPr>
                <w:lang w:val="en-US"/>
              </w:rPr>
              <w:t>IA</w:t>
            </w:r>
            <w:r>
              <w:rPr>
                <w:lang w:val="en-US"/>
              </w:rPr>
              <w:t>B-MT</w:t>
            </w:r>
            <w:r w:rsidRPr="007E346D">
              <w:t xml:space="preserve"> for that bandwidth. </w:t>
            </w:r>
          </w:p>
          <w:p w14:paraId="6E2EA8E6" w14:textId="77777777" w:rsidR="00983C70" w:rsidRPr="00E26D09" w:rsidRDefault="00983C70" w:rsidP="00255E64">
            <w:pPr>
              <w:pStyle w:val="TAN"/>
            </w:pPr>
            <w:r w:rsidRPr="007E346D">
              <w:rPr>
                <w:lang w:eastAsia="zh-CN"/>
              </w:rPr>
              <w:t>NOTE 2:</w:t>
            </w:r>
            <w:r w:rsidRPr="007E346D">
              <w:tab/>
            </w:r>
            <w:r w:rsidRPr="007E346D">
              <w:rPr>
                <w:lang w:eastAsia="zh-CN"/>
              </w:rPr>
              <w:t>7.5 kHz shift is not applied to the wanted signal.</w:t>
            </w:r>
          </w:p>
        </w:tc>
      </w:tr>
    </w:tbl>
    <w:p w14:paraId="52FE4FC2" w14:textId="77777777" w:rsidR="00983C70" w:rsidRPr="00E26D09" w:rsidRDefault="00983C70" w:rsidP="00983C70"/>
    <w:p w14:paraId="0146A949" w14:textId="71C4DF44" w:rsidR="00983C70" w:rsidRPr="00E26D09" w:rsidRDefault="00C00B34" w:rsidP="00983C70">
      <w:pPr>
        <w:pStyle w:val="TH"/>
        <w:rPr>
          <w:lang w:eastAsia="zh-CN"/>
        </w:rPr>
      </w:pPr>
      <w:r w:rsidRPr="00E26D09">
        <w:lastRenderedPageBreak/>
        <w:t xml:space="preserve">Table </w:t>
      </w:r>
      <w:r w:rsidRPr="00E26D09">
        <w:rPr>
          <w:lang w:eastAsia="zh-CN"/>
        </w:rPr>
        <w:t>10.5.2.</w:t>
      </w:r>
      <w:r>
        <w:rPr>
          <w:lang w:eastAsia="zh-CN"/>
        </w:rPr>
        <w:t>5</w:t>
      </w:r>
      <w:r w:rsidRPr="00E26D09">
        <w:t>-</w:t>
      </w:r>
      <w:r w:rsidRPr="00E26D09">
        <w:rPr>
          <w:lang w:eastAsia="zh-CN"/>
        </w:rPr>
        <w:t>3</w:t>
      </w:r>
      <w:r w:rsidR="00983C70" w:rsidRPr="00E26D09">
        <w:t xml:space="preserve">: OTA narrowband blocking interferer frequency offsets for </w:t>
      </w:r>
      <w:r w:rsidR="00983C70">
        <w:rPr>
          <w:i/>
        </w:rPr>
        <w:t>IAB-MT</w:t>
      </w:r>
      <w:r w:rsidR="00983C70" w:rsidRPr="00E26D09">
        <w:rPr>
          <w:i/>
        </w:rPr>
        <w:t xml:space="preserve"> type 1-O</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2646"/>
        <w:gridCol w:w="2693"/>
      </w:tblGrid>
      <w:tr w:rsidR="00983C70" w:rsidRPr="00E26D09" w14:paraId="32FF1717" w14:textId="77777777" w:rsidTr="002E2B73">
        <w:tc>
          <w:tcPr>
            <w:tcW w:w="1842" w:type="dxa"/>
            <w:shd w:val="clear" w:color="auto" w:fill="auto"/>
          </w:tcPr>
          <w:p w14:paraId="0ED906E7" w14:textId="77777777" w:rsidR="00983C70" w:rsidRPr="00E26D09" w:rsidRDefault="00983C70" w:rsidP="00BD1F8C">
            <w:pPr>
              <w:pStyle w:val="TAH"/>
              <w:rPr>
                <w:lang w:eastAsia="zh-CN"/>
              </w:rPr>
            </w:pPr>
            <w:r>
              <w:rPr>
                <w:i/>
              </w:rPr>
              <w:t>IAB-MT</w:t>
            </w:r>
            <w:r w:rsidRPr="007E346D">
              <w:rPr>
                <w:i/>
              </w:rPr>
              <w:t xml:space="preserve"> channel bandwidth</w:t>
            </w:r>
            <w:r w:rsidRPr="007E346D">
              <w:t xml:space="preserve"> of the </w:t>
            </w:r>
            <w:r w:rsidRPr="007A7019">
              <w:rPr>
                <w:i/>
              </w:rPr>
              <w:t>lowest/highest carrier</w:t>
            </w:r>
            <w:r w:rsidRPr="007E346D">
              <w:t xml:space="preserve"> received (MHz)</w:t>
            </w:r>
          </w:p>
        </w:tc>
        <w:tc>
          <w:tcPr>
            <w:tcW w:w="2646" w:type="dxa"/>
            <w:shd w:val="clear" w:color="auto" w:fill="auto"/>
          </w:tcPr>
          <w:p w14:paraId="36EA73EF" w14:textId="77777777" w:rsidR="00983C70" w:rsidRPr="00E26D09" w:rsidRDefault="00983C70" w:rsidP="00BD1F8C">
            <w:pPr>
              <w:pStyle w:val="TAH"/>
              <w:rPr>
                <w:lang w:eastAsia="zh-CN"/>
              </w:rPr>
            </w:pPr>
            <w:r w:rsidRPr="007E346D">
              <w:rPr>
                <w:rFonts w:cs="Arial"/>
              </w:rPr>
              <w:t xml:space="preserve">Interfering RB centre frequency offset to  the lower/upper </w:t>
            </w:r>
            <w:r>
              <w:rPr>
                <w:rFonts w:cs="Arial"/>
              </w:rPr>
              <w:t>IAB-MT</w:t>
            </w:r>
            <w:r w:rsidRPr="0068373B">
              <w:rPr>
                <w:rFonts w:cs="Arial"/>
                <w:i/>
              </w:rPr>
              <w:t xml:space="preserve"> RF Bandwidth edge</w:t>
            </w:r>
            <w:r w:rsidRPr="007E346D">
              <w:rPr>
                <w:rFonts w:cs="Arial"/>
              </w:rPr>
              <w:t xml:space="preserve"> or </w:t>
            </w:r>
            <w:r w:rsidRPr="0068373B">
              <w:rPr>
                <w:rFonts w:cs="Arial"/>
                <w:i/>
              </w:rPr>
              <w:t>sub-block edge</w:t>
            </w:r>
            <w:r w:rsidRPr="007E346D">
              <w:rPr>
                <w:rFonts w:cs="Arial"/>
              </w:rPr>
              <w:t xml:space="preserve"> inside a </w:t>
            </w:r>
            <w:r w:rsidRPr="0068373B">
              <w:rPr>
                <w:rFonts w:cs="Arial"/>
                <w:i/>
              </w:rPr>
              <w:t>sub-block gap</w:t>
            </w:r>
            <w:r w:rsidRPr="007E346D">
              <w:t xml:space="preserve"> (kHz) (Note 2)</w:t>
            </w:r>
          </w:p>
        </w:tc>
        <w:tc>
          <w:tcPr>
            <w:tcW w:w="2693" w:type="dxa"/>
            <w:tcBorders>
              <w:bottom w:val="single" w:sz="4" w:space="0" w:color="auto"/>
            </w:tcBorders>
            <w:shd w:val="clear" w:color="auto" w:fill="auto"/>
          </w:tcPr>
          <w:p w14:paraId="5B6E56A6" w14:textId="77777777" w:rsidR="00983C70" w:rsidRPr="00E26D09" w:rsidRDefault="00983C70" w:rsidP="00BD1F8C">
            <w:pPr>
              <w:pStyle w:val="TAH"/>
              <w:rPr>
                <w:lang w:eastAsia="zh-CN"/>
              </w:rPr>
            </w:pPr>
            <w:r w:rsidRPr="007E346D">
              <w:t>Type of interfering signal</w:t>
            </w:r>
          </w:p>
        </w:tc>
      </w:tr>
      <w:tr w:rsidR="00C00B34" w:rsidRPr="00E26D09" w14:paraId="094F9F67" w14:textId="77777777" w:rsidTr="002E2B73">
        <w:tc>
          <w:tcPr>
            <w:tcW w:w="1842" w:type="dxa"/>
            <w:shd w:val="clear" w:color="auto" w:fill="auto"/>
          </w:tcPr>
          <w:p w14:paraId="7F259FB3" w14:textId="28B6200D" w:rsidR="00C00B34" w:rsidRPr="00E26D09" w:rsidRDefault="00C00B34" w:rsidP="00C00B34">
            <w:pPr>
              <w:pStyle w:val="TAC"/>
              <w:rPr>
                <w:lang w:eastAsia="zh-CN"/>
              </w:rPr>
            </w:pPr>
          </w:p>
        </w:tc>
        <w:tc>
          <w:tcPr>
            <w:tcW w:w="2646" w:type="dxa"/>
            <w:shd w:val="clear" w:color="auto" w:fill="auto"/>
          </w:tcPr>
          <w:p w14:paraId="1BA16038" w14:textId="5A648610" w:rsidR="00C00B34" w:rsidRPr="00E26D09" w:rsidRDefault="00C00B34" w:rsidP="00C00B34">
            <w:pPr>
              <w:pStyle w:val="TAC"/>
              <w:rPr>
                <w:lang w:eastAsia="zh-CN"/>
              </w:rPr>
            </w:pPr>
          </w:p>
        </w:tc>
        <w:tc>
          <w:tcPr>
            <w:tcW w:w="2693" w:type="dxa"/>
            <w:tcBorders>
              <w:bottom w:val="nil"/>
            </w:tcBorders>
            <w:shd w:val="clear" w:color="auto" w:fill="auto"/>
          </w:tcPr>
          <w:p w14:paraId="18F4FB0B" w14:textId="77777777" w:rsidR="00C00B34" w:rsidRPr="00CB556C" w:rsidRDefault="00C00B34" w:rsidP="00C00B34">
            <w:pPr>
              <w:pStyle w:val="TAC"/>
              <w:rPr>
                <w:lang w:eastAsia="zh-CN"/>
              </w:rPr>
            </w:pPr>
            <w:r w:rsidRPr="00E26D09">
              <w:t xml:space="preserve">5 MHz </w:t>
            </w:r>
            <w:r>
              <w:t>CP</w:t>
            </w:r>
            <w:r w:rsidRPr="00E26D09">
              <w:rPr>
                <w:lang w:val="en-US"/>
              </w:rPr>
              <w:t xml:space="preserve">-OFDM </w:t>
            </w:r>
            <w:r w:rsidRPr="00E26D09">
              <w:rPr>
                <w:lang w:eastAsia="zh-CN"/>
              </w:rPr>
              <w:t>NR</w:t>
            </w:r>
            <w:r w:rsidRPr="00E26D09">
              <w:t xml:space="preserve"> signal, 15 kHz SCS, 1 RB</w:t>
            </w:r>
          </w:p>
        </w:tc>
      </w:tr>
      <w:tr w:rsidR="002E2B73" w:rsidRPr="00E26D09" w14:paraId="69B02265" w14:textId="77777777" w:rsidTr="002E2B73">
        <w:tc>
          <w:tcPr>
            <w:tcW w:w="1842" w:type="dxa"/>
            <w:shd w:val="clear" w:color="auto" w:fill="auto"/>
          </w:tcPr>
          <w:p w14:paraId="4EA2F40E" w14:textId="77777777" w:rsidR="002E2B73" w:rsidRPr="00E26D09" w:rsidRDefault="002E2B73" w:rsidP="002E2B73">
            <w:pPr>
              <w:pStyle w:val="TAC"/>
              <w:rPr>
                <w:lang w:eastAsia="zh-CN"/>
              </w:rPr>
            </w:pPr>
            <w:r w:rsidRPr="00E26D09">
              <w:rPr>
                <w:lang w:eastAsia="zh-CN"/>
              </w:rPr>
              <w:t>10</w:t>
            </w:r>
          </w:p>
        </w:tc>
        <w:tc>
          <w:tcPr>
            <w:tcW w:w="2646" w:type="dxa"/>
            <w:shd w:val="clear" w:color="auto" w:fill="auto"/>
          </w:tcPr>
          <w:p w14:paraId="5C799B6B"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355 </w:t>
            </w:r>
            <w:r w:rsidRPr="0006458D">
              <w:rPr>
                <w:rFonts w:cs="Arial"/>
              </w:rPr>
              <w:t>+ m*180),</w:t>
            </w:r>
          </w:p>
          <w:p w14:paraId="404C4C03" w14:textId="77777777" w:rsidR="002E2B73" w:rsidRPr="00E26D09" w:rsidRDefault="002E2B73" w:rsidP="002E2B73">
            <w:pPr>
              <w:pStyle w:val="TAC"/>
              <w:rPr>
                <w:lang w:eastAsia="zh-CN"/>
              </w:rPr>
            </w:pPr>
            <w:r w:rsidRPr="0006458D">
              <w:rPr>
                <w:rFonts w:cs="Arial"/>
              </w:rPr>
              <w:t>m=0, 1, 2, 3, 4, 9, 14, 19, 24</w:t>
            </w:r>
          </w:p>
        </w:tc>
        <w:tc>
          <w:tcPr>
            <w:tcW w:w="2693" w:type="dxa"/>
            <w:tcBorders>
              <w:top w:val="nil"/>
              <w:bottom w:val="nil"/>
            </w:tcBorders>
            <w:shd w:val="clear" w:color="auto" w:fill="auto"/>
          </w:tcPr>
          <w:p w14:paraId="4A0CD765" w14:textId="77777777" w:rsidR="002E2B73" w:rsidRPr="00E26D09" w:rsidRDefault="002E2B73" w:rsidP="002E2B73">
            <w:pPr>
              <w:pStyle w:val="TAC"/>
              <w:rPr>
                <w:lang w:val="sv-SE" w:eastAsia="zh-CN"/>
              </w:rPr>
            </w:pPr>
          </w:p>
        </w:tc>
      </w:tr>
      <w:tr w:rsidR="002E2B73" w:rsidRPr="00E26D09" w14:paraId="0F086338" w14:textId="77777777" w:rsidTr="002E2B73">
        <w:tc>
          <w:tcPr>
            <w:tcW w:w="1842" w:type="dxa"/>
            <w:shd w:val="clear" w:color="auto" w:fill="auto"/>
          </w:tcPr>
          <w:p w14:paraId="25245B54" w14:textId="77777777" w:rsidR="002E2B73" w:rsidRPr="00E26D09" w:rsidRDefault="002E2B73" w:rsidP="002E2B73">
            <w:pPr>
              <w:pStyle w:val="TAC"/>
              <w:rPr>
                <w:lang w:eastAsia="zh-CN"/>
              </w:rPr>
            </w:pPr>
            <w:r w:rsidRPr="00E26D09">
              <w:rPr>
                <w:lang w:eastAsia="zh-CN"/>
              </w:rPr>
              <w:t>15</w:t>
            </w:r>
          </w:p>
        </w:tc>
        <w:tc>
          <w:tcPr>
            <w:tcW w:w="2646" w:type="dxa"/>
            <w:shd w:val="clear" w:color="auto" w:fill="auto"/>
          </w:tcPr>
          <w:p w14:paraId="7ED068CC"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360 </w:t>
            </w:r>
            <w:r w:rsidRPr="0006458D">
              <w:rPr>
                <w:rFonts w:cs="Arial"/>
              </w:rPr>
              <w:t>+ m*180),</w:t>
            </w:r>
          </w:p>
          <w:p w14:paraId="1C515EA9" w14:textId="77777777" w:rsidR="002E2B73" w:rsidRPr="00E26D09" w:rsidRDefault="002E2B73" w:rsidP="002E2B73">
            <w:pPr>
              <w:pStyle w:val="TAC"/>
              <w:rPr>
                <w:lang w:eastAsia="zh-CN"/>
              </w:rPr>
            </w:pPr>
            <w:r w:rsidRPr="0006458D">
              <w:rPr>
                <w:rFonts w:cs="Arial"/>
              </w:rPr>
              <w:t>m=0, 1, 2, 3, 4, 9, 14, 19, 24</w:t>
            </w:r>
          </w:p>
        </w:tc>
        <w:tc>
          <w:tcPr>
            <w:tcW w:w="2693" w:type="dxa"/>
            <w:tcBorders>
              <w:top w:val="nil"/>
              <w:bottom w:val="nil"/>
            </w:tcBorders>
            <w:shd w:val="clear" w:color="auto" w:fill="auto"/>
          </w:tcPr>
          <w:p w14:paraId="78A9394E" w14:textId="77777777" w:rsidR="002E2B73" w:rsidRPr="00E26D09" w:rsidRDefault="002E2B73" w:rsidP="002E2B73">
            <w:pPr>
              <w:pStyle w:val="TAC"/>
              <w:rPr>
                <w:lang w:val="sv-SE" w:eastAsia="zh-CN"/>
              </w:rPr>
            </w:pPr>
          </w:p>
        </w:tc>
      </w:tr>
      <w:tr w:rsidR="002E2B73" w:rsidRPr="00E26D09" w14:paraId="3C20139C" w14:textId="77777777" w:rsidTr="002E2B73">
        <w:tc>
          <w:tcPr>
            <w:tcW w:w="1842" w:type="dxa"/>
            <w:shd w:val="clear" w:color="auto" w:fill="auto"/>
          </w:tcPr>
          <w:p w14:paraId="4FD314D0" w14:textId="77777777" w:rsidR="002E2B73" w:rsidRPr="00E26D09" w:rsidRDefault="002E2B73" w:rsidP="002E2B73">
            <w:pPr>
              <w:pStyle w:val="TAC"/>
              <w:rPr>
                <w:lang w:eastAsia="zh-CN"/>
              </w:rPr>
            </w:pPr>
            <w:r w:rsidRPr="00E26D09">
              <w:rPr>
                <w:lang w:eastAsia="zh-CN"/>
              </w:rPr>
              <w:t>20</w:t>
            </w:r>
          </w:p>
        </w:tc>
        <w:tc>
          <w:tcPr>
            <w:tcW w:w="2646" w:type="dxa"/>
            <w:shd w:val="clear" w:color="auto" w:fill="auto"/>
          </w:tcPr>
          <w:p w14:paraId="6FD2559D"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350 </w:t>
            </w:r>
            <w:r w:rsidRPr="0006458D">
              <w:rPr>
                <w:rFonts w:cs="Arial"/>
              </w:rPr>
              <w:t>+ m*180),</w:t>
            </w:r>
          </w:p>
          <w:p w14:paraId="732B5102" w14:textId="77777777" w:rsidR="002E2B73" w:rsidRPr="00E26D09" w:rsidRDefault="002E2B73" w:rsidP="002E2B73">
            <w:pPr>
              <w:pStyle w:val="TAC"/>
              <w:rPr>
                <w:lang w:eastAsia="zh-CN"/>
              </w:rPr>
            </w:pPr>
            <w:r w:rsidRPr="0006458D">
              <w:rPr>
                <w:rFonts w:cs="Arial"/>
              </w:rPr>
              <w:t>m=0, 1, 2, 3, 4, 9, 14, 19, 24</w:t>
            </w:r>
          </w:p>
        </w:tc>
        <w:tc>
          <w:tcPr>
            <w:tcW w:w="2693" w:type="dxa"/>
            <w:tcBorders>
              <w:top w:val="nil"/>
              <w:bottom w:val="single" w:sz="4" w:space="0" w:color="auto"/>
            </w:tcBorders>
            <w:shd w:val="clear" w:color="auto" w:fill="auto"/>
          </w:tcPr>
          <w:p w14:paraId="5FCFA5FF" w14:textId="77777777" w:rsidR="002E2B73" w:rsidRPr="00E26D09" w:rsidRDefault="002E2B73" w:rsidP="002E2B73">
            <w:pPr>
              <w:pStyle w:val="TAC"/>
              <w:rPr>
                <w:lang w:val="sv-SE" w:eastAsia="zh-CN"/>
              </w:rPr>
            </w:pPr>
          </w:p>
        </w:tc>
      </w:tr>
      <w:tr w:rsidR="002E2B73" w:rsidRPr="00E26D09" w14:paraId="73AA2A4E" w14:textId="77777777" w:rsidTr="002E2B73">
        <w:tc>
          <w:tcPr>
            <w:tcW w:w="1842" w:type="dxa"/>
            <w:shd w:val="clear" w:color="auto" w:fill="auto"/>
          </w:tcPr>
          <w:p w14:paraId="359D17B2" w14:textId="77777777" w:rsidR="002E2B73" w:rsidRPr="00E26D09" w:rsidRDefault="002E2B73" w:rsidP="002E2B73">
            <w:pPr>
              <w:pStyle w:val="TAC"/>
              <w:rPr>
                <w:lang w:eastAsia="zh-CN"/>
              </w:rPr>
            </w:pPr>
            <w:r w:rsidRPr="00E26D09">
              <w:rPr>
                <w:lang w:eastAsia="zh-CN"/>
              </w:rPr>
              <w:t>25</w:t>
            </w:r>
          </w:p>
        </w:tc>
        <w:tc>
          <w:tcPr>
            <w:tcW w:w="2646" w:type="dxa"/>
            <w:shd w:val="clear" w:color="auto" w:fill="auto"/>
          </w:tcPr>
          <w:p w14:paraId="66A2E134"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565 </w:t>
            </w:r>
            <w:r w:rsidRPr="0006458D">
              <w:rPr>
                <w:rFonts w:cs="Arial"/>
              </w:rPr>
              <w:t>+ m*180),</w:t>
            </w:r>
          </w:p>
          <w:p w14:paraId="11A6640E" w14:textId="77777777" w:rsidR="002E2B73" w:rsidRPr="00E26D09" w:rsidRDefault="002E2B73" w:rsidP="002E2B73">
            <w:pPr>
              <w:pStyle w:val="TAC"/>
              <w:rPr>
                <w:lang w:eastAsia="zh-CN"/>
              </w:rPr>
            </w:pPr>
            <w:r w:rsidRPr="0006458D">
              <w:rPr>
                <w:rFonts w:cs="Arial"/>
              </w:rPr>
              <w:t>m=0, 1, 2, 3, 4, 29, 54, 79, 99</w:t>
            </w:r>
          </w:p>
        </w:tc>
        <w:tc>
          <w:tcPr>
            <w:tcW w:w="2693" w:type="dxa"/>
            <w:tcBorders>
              <w:bottom w:val="nil"/>
            </w:tcBorders>
            <w:shd w:val="clear" w:color="auto" w:fill="auto"/>
          </w:tcPr>
          <w:p w14:paraId="37593099" w14:textId="77777777" w:rsidR="002E2B73" w:rsidRPr="00CB556C" w:rsidRDefault="002E2B73" w:rsidP="002E2B73">
            <w:pPr>
              <w:pStyle w:val="TAC"/>
              <w:rPr>
                <w:lang w:eastAsia="zh-CN"/>
              </w:rPr>
            </w:pPr>
            <w:r w:rsidRPr="00E26D09">
              <w:t xml:space="preserve">20 MHz </w:t>
            </w:r>
            <w:r>
              <w:t>CP</w:t>
            </w:r>
            <w:r w:rsidRPr="00E26D09">
              <w:rPr>
                <w:lang w:val="en-US"/>
              </w:rPr>
              <w:t xml:space="preserve">-OFDM </w:t>
            </w:r>
            <w:r w:rsidRPr="00E26D09">
              <w:rPr>
                <w:lang w:eastAsia="zh-CN"/>
              </w:rPr>
              <w:t>NR</w:t>
            </w:r>
            <w:r w:rsidRPr="00E26D09">
              <w:t xml:space="preserve"> signal, 15 kHz SCS, 1 RB</w:t>
            </w:r>
          </w:p>
        </w:tc>
      </w:tr>
      <w:tr w:rsidR="002E2B73" w:rsidRPr="00E26D09" w14:paraId="0F712791" w14:textId="77777777" w:rsidTr="002E2B73">
        <w:tc>
          <w:tcPr>
            <w:tcW w:w="1842" w:type="dxa"/>
            <w:shd w:val="clear" w:color="auto" w:fill="auto"/>
          </w:tcPr>
          <w:p w14:paraId="6225F289" w14:textId="77777777" w:rsidR="002E2B73" w:rsidRPr="00E26D09" w:rsidRDefault="002E2B73" w:rsidP="002E2B73">
            <w:pPr>
              <w:pStyle w:val="TAC"/>
              <w:rPr>
                <w:lang w:eastAsia="zh-CN"/>
              </w:rPr>
            </w:pPr>
            <w:r w:rsidRPr="00E26D09">
              <w:rPr>
                <w:lang w:eastAsia="zh-CN"/>
              </w:rPr>
              <w:t>30</w:t>
            </w:r>
          </w:p>
        </w:tc>
        <w:tc>
          <w:tcPr>
            <w:tcW w:w="2646" w:type="dxa"/>
            <w:shd w:val="clear" w:color="auto" w:fill="auto"/>
          </w:tcPr>
          <w:p w14:paraId="64D669E1"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570 </w:t>
            </w:r>
            <w:r w:rsidRPr="0006458D">
              <w:rPr>
                <w:rFonts w:cs="Arial"/>
              </w:rPr>
              <w:t>+ m*180),</w:t>
            </w:r>
          </w:p>
          <w:p w14:paraId="10A8BD19"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346B3230" w14:textId="77777777" w:rsidR="002E2B73" w:rsidRPr="00E26D09" w:rsidRDefault="002E2B73" w:rsidP="002E2B73">
            <w:pPr>
              <w:pStyle w:val="TAC"/>
              <w:rPr>
                <w:lang w:eastAsia="zh-CN"/>
              </w:rPr>
            </w:pPr>
          </w:p>
        </w:tc>
      </w:tr>
      <w:tr w:rsidR="002E2B73" w:rsidRPr="00E26D09" w14:paraId="4BE5103A" w14:textId="77777777" w:rsidTr="002E2B73">
        <w:tc>
          <w:tcPr>
            <w:tcW w:w="1842" w:type="dxa"/>
            <w:shd w:val="clear" w:color="auto" w:fill="auto"/>
          </w:tcPr>
          <w:p w14:paraId="0307AE23" w14:textId="77777777" w:rsidR="002E2B73" w:rsidRPr="00E26D09" w:rsidRDefault="002E2B73" w:rsidP="002E2B73">
            <w:pPr>
              <w:pStyle w:val="TAC"/>
              <w:rPr>
                <w:lang w:eastAsia="zh-CN"/>
              </w:rPr>
            </w:pPr>
            <w:r w:rsidRPr="00E26D09">
              <w:rPr>
                <w:lang w:eastAsia="zh-CN"/>
              </w:rPr>
              <w:t>40</w:t>
            </w:r>
          </w:p>
        </w:tc>
        <w:tc>
          <w:tcPr>
            <w:tcW w:w="2646" w:type="dxa"/>
            <w:shd w:val="clear" w:color="auto" w:fill="auto"/>
          </w:tcPr>
          <w:p w14:paraId="58B01AA1"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565 </w:t>
            </w:r>
            <w:r w:rsidRPr="0006458D">
              <w:rPr>
                <w:rFonts w:cs="Arial"/>
              </w:rPr>
              <w:t>+ m*180),</w:t>
            </w:r>
          </w:p>
          <w:p w14:paraId="76FA68E1"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7F968123" w14:textId="77777777" w:rsidR="002E2B73" w:rsidRPr="00E26D09" w:rsidRDefault="002E2B73" w:rsidP="002E2B73">
            <w:pPr>
              <w:pStyle w:val="TAC"/>
              <w:rPr>
                <w:lang w:eastAsia="zh-CN"/>
              </w:rPr>
            </w:pPr>
          </w:p>
        </w:tc>
      </w:tr>
      <w:tr w:rsidR="002E2B73" w:rsidRPr="00E26D09" w14:paraId="6E017386" w14:textId="77777777" w:rsidTr="002E2B73">
        <w:tc>
          <w:tcPr>
            <w:tcW w:w="1842" w:type="dxa"/>
            <w:shd w:val="clear" w:color="auto" w:fill="auto"/>
          </w:tcPr>
          <w:p w14:paraId="2DAC6C4B" w14:textId="77777777" w:rsidR="002E2B73" w:rsidRPr="00E26D09" w:rsidRDefault="002E2B73" w:rsidP="002E2B73">
            <w:pPr>
              <w:pStyle w:val="TAC"/>
              <w:rPr>
                <w:lang w:eastAsia="zh-CN"/>
              </w:rPr>
            </w:pPr>
            <w:r w:rsidRPr="00E26D09">
              <w:rPr>
                <w:lang w:eastAsia="zh-CN"/>
              </w:rPr>
              <w:t>50</w:t>
            </w:r>
          </w:p>
        </w:tc>
        <w:tc>
          <w:tcPr>
            <w:tcW w:w="2646" w:type="dxa"/>
            <w:shd w:val="clear" w:color="auto" w:fill="auto"/>
          </w:tcPr>
          <w:p w14:paraId="4AC35050"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560 </w:t>
            </w:r>
            <w:r w:rsidRPr="0006458D">
              <w:rPr>
                <w:rFonts w:cs="Arial"/>
              </w:rPr>
              <w:t>+ m*180),</w:t>
            </w:r>
          </w:p>
          <w:p w14:paraId="41ECE973"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38C4B932" w14:textId="77777777" w:rsidR="002E2B73" w:rsidRPr="00E26D09" w:rsidRDefault="002E2B73" w:rsidP="002E2B73">
            <w:pPr>
              <w:pStyle w:val="TAC"/>
              <w:rPr>
                <w:lang w:eastAsia="zh-CN"/>
              </w:rPr>
            </w:pPr>
          </w:p>
        </w:tc>
      </w:tr>
      <w:tr w:rsidR="002E2B73" w:rsidRPr="00E26D09" w14:paraId="4ECDFF25" w14:textId="77777777" w:rsidTr="002E2B73">
        <w:tc>
          <w:tcPr>
            <w:tcW w:w="1842" w:type="dxa"/>
            <w:shd w:val="clear" w:color="auto" w:fill="auto"/>
          </w:tcPr>
          <w:p w14:paraId="48B9DD01" w14:textId="77777777" w:rsidR="002E2B73" w:rsidRPr="00E26D09" w:rsidRDefault="002E2B73" w:rsidP="002E2B73">
            <w:pPr>
              <w:pStyle w:val="TAC"/>
              <w:rPr>
                <w:lang w:eastAsia="zh-CN"/>
              </w:rPr>
            </w:pPr>
            <w:r w:rsidRPr="00E26D09">
              <w:rPr>
                <w:lang w:eastAsia="zh-CN"/>
              </w:rPr>
              <w:t>60</w:t>
            </w:r>
          </w:p>
        </w:tc>
        <w:tc>
          <w:tcPr>
            <w:tcW w:w="2646" w:type="dxa"/>
            <w:shd w:val="clear" w:color="auto" w:fill="auto"/>
          </w:tcPr>
          <w:p w14:paraId="1D605CFC"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570 </w:t>
            </w:r>
            <w:r w:rsidRPr="0006458D">
              <w:rPr>
                <w:rFonts w:cs="Arial"/>
              </w:rPr>
              <w:t>+ m*180),</w:t>
            </w:r>
          </w:p>
          <w:p w14:paraId="14DBFF6C"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56E29DD6" w14:textId="77777777" w:rsidR="002E2B73" w:rsidRPr="00E26D09" w:rsidRDefault="002E2B73" w:rsidP="002E2B73">
            <w:pPr>
              <w:pStyle w:val="TAC"/>
              <w:rPr>
                <w:lang w:eastAsia="zh-CN"/>
              </w:rPr>
            </w:pPr>
          </w:p>
        </w:tc>
      </w:tr>
      <w:tr w:rsidR="002E2B73" w:rsidRPr="00E26D09" w14:paraId="043DA8C2" w14:textId="77777777" w:rsidTr="002E2B73">
        <w:tc>
          <w:tcPr>
            <w:tcW w:w="1842" w:type="dxa"/>
            <w:shd w:val="clear" w:color="auto" w:fill="auto"/>
          </w:tcPr>
          <w:p w14:paraId="4FC21791" w14:textId="77777777" w:rsidR="002E2B73" w:rsidRPr="00E26D09" w:rsidRDefault="002E2B73" w:rsidP="002E2B73">
            <w:pPr>
              <w:pStyle w:val="TAC"/>
              <w:rPr>
                <w:lang w:eastAsia="zh-CN"/>
              </w:rPr>
            </w:pPr>
            <w:r w:rsidRPr="00E26D09">
              <w:rPr>
                <w:lang w:eastAsia="zh-CN"/>
              </w:rPr>
              <w:t>70</w:t>
            </w:r>
          </w:p>
        </w:tc>
        <w:tc>
          <w:tcPr>
            <w:tcW w:w="2646" w:type="dxa"/>
            <w:shd w:val="clear" w:color="auto" w:fill="auto"/>
          </w:tcPr>
          <w:p w14:paraId="640EE972"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565 </w:t>
            </w:r>
            <w:r w:rsidRPr="0006458D">
              <w:rPr>
                <w:rFonts w:cs="Arial"/>
              </w:rPr>
              <w:t>+ m*180),</w:t>
            </w:r>
          </w:p>
          <w:p w14:paraId="2B1E971A"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4F978E5F" w14:textId="77777777" w:rsidR="002E2B73" w:rsidRPr="00E26D09" w:rsidRDefault="002E2B73" w:rsidP="002E2B73">
            <w:pPr>
              <w:pStyle w:val="TAC"/>
              <w:rPr>
                <w:lang w:eastAsia="zh-CN"/>
              </w:rPr>
            </w:pPr>
          </w:p>
        </w:tc>
      </w:tr>
      <w:tr w:rsidR="002E2B73" w:rsidRPr="00E26D09" w14:paraId="010610D2" w14:textId="77777777" w:rsidTr="002E2B73">
        <w:tc>
          <w:tcPr>
            <w:tcW w:w="1842" w:type="dxa"/>
            <w:shd w:val="clear" w:color="auto" w:fill="auto"/>
          </w:tcPr>
          <w:p w14:paraId="4C7FD093" w14:textId="77777777" w:rsidR="002E2B73" w:rsidRPr="00E26D09" w:rsidRDefault="002E2B73" w:rsidP="002E2B73">
            <w:pPr>
              <w:pStyle w:val="TAC"/>
              <w:rPr>
                <w:lang w:eastAsia="zh-CN"/>
              </w:rPr>
            </w:pPr>
            <w:r w:rsidRPr="00E26D09">
              <w:rPr>
                <w:lang w:eastAsia="zh-CN"/>
              </w:rPr>
              <w:t>80</w:t>
            </w:r>
          </w:p>
        </w:tc>
        <w:tc>
          <w:tcPr>
            <w:tcW w:w="2646" w:type="dxa"/>
            <w:shd w:val="clear" w:color="auto" w:fill="auto"/>
          </w:tcPr>
          <w:p w14:paraId="5E7176C9"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560 </w:t>
            </w:r>
            <w:r w:rsidRPr="0006458D">
              <w:rPr>
                <w:rFonts w:cs="Arial"/>
              </w:rPr>
              <w:t>+ m*180),</w:t>
            </w:r>
          </w:p>
          <w:p w14:paraId="41E6DFA0"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511DD876" w14:textId="77777777" w:rsidR="002E2B73" w:rsidRPr="00E26D09" w:rsidRDefault="002E2B73" w:rsidP="002E2B73">
            <w:pPr>
              <w:pStyle w:val="TAC"/>
              <w:rPr>
                <w:lang w:eastAsia="zh-CN"/>
              </w:rPr>
            </w:pPr>
          </w:p>
        </w:tc>
      </w:tr>
      <w:tr w:rsidR="002E2B73" w:rsidRPr="00E26D09" w14:paraId="5E6D02BA" w14:textId="77777777" w:rsidTr="002E2B73">
        <w:tc>
          <w:tcPr>
            <w:tcW w:w="1842" w:type="dxa"/>
            <w:shd w:val="clear" w:color="auto" w:fill="auto"/>
          </w:tcPr>
          <w:p w14:paraId="60BFF59E" w14:textId="77777777" w:rsidR="002E2B73" w:rsidRPr="00E26D09" w:rsidRDefault="002E2B73" w:rsidP="002E2B73">
            <w:pPr>
              <w:pStyle w:val="TAC"/>
              <w:rPr>
                <w:lang w:eastAsia="zh-CN"/>
              </w:rPr>
            </w:pPr>
            <w:r w:rsidRPr="00E26D09">
              <w:rPr>
                <w:lang w:eastAsia="zh-CN"/>
              </w:rPr>
              <w:t>90</w:t>
            </w:r>
          </w:p>
        </w:tc>
        <w:tc>
          <w:tcPr>
            <w:tcW w:w="2646" w:type="dxa"/>
            <w:shd w:val="clear" w:color="auto" w:fill="auto"/>
          </w:tcPr>
          <w:p w14:paraId="3F3EAA7B"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570 </w:t>
            </w:r>
            <w:r w:rsidRPr="0006458D">
              <w:rPr>
                <w:rFonts w:cs="Arial"/>
              </w:rPr>
              <w:t>+ m*180),</w:t>
            </w:r>
          </w:p>
          <w:p w14:paraId="621F0E31"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bottom w:val="nil"/>
            </w:tcBorders>
            <w:shd w:val="clear" w:color="auto" w:fill="auto"/>
          </w:tcPr>
          <w:p w14:paraId="5C706203" w14:textId="77777777" w:rsidR="002E2B73" w:rsidRPr="00E26D09" w:rsidRDefault="002E2B73" w:rsidP="002E2B73">
            <w:pPr>
              <w:pStyle w:val="TAC"/>
              <w:rPr>
                <w:lang w:eastAsia="zh-CN"/>
              </w:rPr>
            </w:pPr>
          </w:p>
        </w:tc>
      </w:tr>
      <w:tr w:rsidR="002E2B73" w:rsidRPr="00E26D09" w14:paraId="11BB7DA2" w14:textId="77777777" w:rsidTr="002E2B73">
        <w:tc>
          <w:tcPr>
            <w:tcW w:w="1842" w:type="dxa"/>
            <w:shd w:val="clear" w:color="auto" w:fill="auto"/>
          </w:tcPr>
          <w:p w14:paraId="170E7A28" w14:textId="77777777" w:rsidR="002E2B73" w:rsidRPr="00E26D09" w:rsidRDefault="002E2B73" w:rsidP="002E2B73">
            <w:pPr>
              <w:pStyle w:val="TAC"/>
              <w:rPr>
                <w:lang w:eastAsia="zh-CN"/>
              </w:rPr>
            </w:pPr>
            <w:r w:rsidRPr="00E26D09">
              <w:rPr>
                <w:lang w:eastAsia="zh-CN"/>
              </w:rPr>
              <w:t>100</w:t>
            </w:r>
          </w:p>
        </w:tc>
        <w:tc>
          <w:tcPr>
            <w:tcW w:w="2646" w:type="dxa"/>
            <w:shd w:val="clear" w:color="auto" w:fill="auto"/>
          </w:tcPr>
          <w:p w14:paraId="2171092E" w14:textId="77777777" w:rsidR="002E2B73" w:rsidRPr="0006458D" w:rsidRDefault="002E2B73" w:rsidP="002E2B73">
            <w:pPr>
              <w:pStyle w:val="TAC"/>
              <w:rPr>
                <w:rFonts w:cs="Arial"/>
              </w:rPr>
            </w:pPr>
            <w:r w:rsidRPr="0006458D">
              <w:rPr>
                <w:rFonts w:cs="Arial"/>
              </w:rPr>
              <w:t>±</w:t>
            </w:r>
            <w:r w:rsidRPr="0006458D">
              <w:rPr>
                <w:rFonts w:cs="Arial"/>
                <w:lang w:val="en-US" w:eastAsia="zh-CN"/>
              </w:rPr>
              <w:t>(</w:t>
            </w:r>
            <w:r w:rsidRPr="0006458D">
              <w:rPr>
                <w:lang w:eastAsia="zh-CN"/>
              </w:rPr>
              <w:t xml:space="preserve">565 </w:t>
            </w:r>
            <w:r w:rsidRPr="0006458D">
              <w:rPr>
                <w:rFonts w:cs="Arial"/>
              </w:rPr>
              <w:t>+ m*180),</w:t>
            </w:r>
          </w:p>
          <w:p w14:paraId="0879E97B" w14:textId="77777777" w:rsidR="002E2B73" w:rsidRPr="00E26D09" w:rsidRDefault="002E2B73" w:rsidP="002E2B73">
            <w:pPr>
              <w:pStyle w:val="TAC"/>
              <w:rPr>
                <w:lang w:eastAsia="zh-CN"/>
              </w:rPr>
            </w:pPr>
            <w:r w:rsidRPr="0006458D">
              <w:rPr>
                <w:rFonts w:cs="Arial"/>
              </w:rPr>
              <w:t>m=0, 1, 2, 3, 4, 29, 54, 79, 99</w:t>
            </w:r>
          </w:p>
        </w:tc>
        <w:tc>
          <w:tcPr>
            <w:tcW w:w="2693" w:type="dxa"/>
            <w:tcBorders>
              <w:top w:val="nil"/>
            </w:tcBorders>
            <w:shd w:val="clear" w:color="auto" w:fill="auto"/>
          </w:tcPr>
          <w:p w14:paraId="47FEB6E6" w14:textId="77777777" w:rsidR="002E2B73" w:rsidRPr="00E26D09" w:rsidRDefault="002E2B73" w:rsidP="002E2B73">
            <w:pPr>
              <w:pStyle w:val="TAC"/>
              <w:rPr>
                <w:lang w:eastAsia="zh-CN"/>
              </w:rPr>
            </w:pPr>
          </w:p>
        </w:tc>
      </w:tr>
      <w:tr w:rsidR="00983C70" w:rsidRPr="00E26D09" w14:paraId="1CBFD71A" w14:textId="77777777" w:rsidTr="00BD1F8C">
        <w:tc>
          <w:tcPr>
            <w:tcW w:w="7181" w:type="dxa"/>
            <w:gridSpan w:val="3"/>
            <w:shd w:val="clear" w:color="auto" w:fill="auto"/>
          </w:tcPr>
          <w:p w14:paraId="60CF6ECA" w14:textId="77777777" w:rsidR="00983C70" w:rsidRPr="00E26D09" w:rsidRDefault="00983C70" w:rsidP="00BD1F8C">
            <w:pPr>
              <w:pStyle w:val="TAN"/>
            </w:pPr>
            <w:r w:rsidRPr="00E26D09">
              <w:t>NOTE 1:</w:t>
            </w:r>
            <w:r w:rsidRPr="00E26D09">
              <w:tab/>
              <w:t>Interfering signal consisting of one resource block is positioned at the stated offset, the</w:t>
            </w:r>
            <w:r w:rsidRPr="00E26D09">
              <w:rPr>
                <w:lang w:val="en-US" w:eastAsia="zh-CN"/>
              </w:rPr>
              <w:t xml:space="preserve"> </w:t>
            </w:r>
            <w:r w:rsidRPr="00E26D09">
              <w:t>channel bandwidth</w:t>
            </w:r>
            <w:r w:rsidRPr="00E26D09">
              <w:rPr>
                <w:i/>
                <w:iCs/>
              </w:rPr>
              <w:t xml:space="preserve"> </w:t>
            </w:r>
            <w:r w:rsidRPr="00E26D09">
              <w:t xml:space="preserve">of the interfering signal is located adjacently to the lower/upper </w:t>
            </w:r>
            <w:r w:rsidRPr="00743313">
              <w:rPr>
                <w:lang w:val="en-US"/>
              </w:rPr>
              <w:t>IAB</w:t>
            </w:r>
            <w:r>
              <w:rPr>
                <w:lang w:val="en-US"/>
              </w:rPr>
              <w:t>-MT</w:t>
            </w:r>
            <w:r w:rsidRPr="00E26D09">
              <w:rPr>
                <w:i/>
              </w:rPr>
              <w:t xml:space="preserve"> RF Bandwidth</w:t>
            </w:r>
            <w:r w:rsidRPr="00E26D09">
              <w:t xml:space="preserve"> edge</w:t>
            </w:r>
            <w:r w:rsidRPr="00E26D09">
              <w:rPr>
                <w:rFonts w:cs="Arial"/>
              </w:rPr>
              <w:t xml:space="preserve"> or </w:t>
            </w:r>
            <w:r w:rsidRPr="00E26D09">
              <w:rPr>
                <w:rFonts w:cs="Arial"/>
                <w:i/>
              </w:rPr>
              <w:t>sub-block</w:t>
            </w:r>
            <w:r w:rsidRPr="00E26D09">
              <w:rPr>
                <w:rFonts w:cs="Arial"/>
              </w:rPr>
              <w:t xml:space="preserve"> edge inside a </w:t>
            </w:r>
            <w:r w:rsidRPr="00E26D09">
              <w:rPr>
                <w:rFonts w:cs="Arial"/>
                <w:i/>
              </w:rPr>
              <w:t>sub-block gap</w:t>
            </w:r>
            <w:r w:rsidRPr="00E26D09">
              <w:t xml:space="preserve">. </w:t>
            </w:r>
          </w:p>
          <w:p w14:paraId="10DA2B67" w14:textId="77777777" w:rsidR="00983C70" w:rsidRPr="00E26D09" w:rsidRDefault="00983C70" w:rsidP="00BD1F8C">
            <w:pPr>
              <w:pStyle w:val="TAN"/>
              <w:rPr>
                <w:lang w:eastAsia="zh-CN"/>
              </w:rPr>
            </w:pPr>
            <w:r w:rsidRPr="00E26D09">
              <w:t>NOTE 2:</w:t>
            </w:r>
            <w:r w:rsidRPr="00E26D09">
              <w:tab/>
              <w:t>The centre of the interfering RB refers to the frequency location between the two central subcarriers.</w:t>
            </w:r>
          </w:p>
        </w:tc>
      </w:tr>
    </w:tbl>
    <w:p w14:paraId="6E79EF3D" w14:textId="77777777" w:rsidR="00F13F23" w:rsidRPr="00F13F23" w:rsidRDefault="00F13F23" w:rsidP="00F13F23"/>
    <w:p w14:paraId="42463B46" w14:textId="2ECC4E6E" w:rsidR="00CD1521" w:rsidRPr="005913F7" w:rsidRDefault="00077B6E" w:rsidP="002E2B73">
      <w:pPr>
        <w:pStyle w:val="Heading2"/>
        <w:rPr>
          <w:rFonts w:eastAsiaTheme="minorEastAsia"/>
          <w:lang w:eastAsia="zh-CN"/>
        </w:rPr>
      </w:pPr>
      <w:bookmarkStart w:id="6706" w:name="_Toc53185557"/>
      <w:bookmarkStart w:id="6707" w:name="_Toc53185933"/>
      <w:bookmarkStart w:id="6708" w:name="_Toc57820419"/>
      <w:bookmarkStart w:id="6709" w:name="_Toc57821346"/>
      <w:bookmarkStart w:id="6710" w:name="_Toc61183622"/>
      <w:bookmarkStart w:id="6711" w:name="_Toc61184016"/>
      <w:bookmarkStart w:id="6712" w:name="_Toc61184408"/>
      <w:bookmarkStart w:id="6713" w:name="_Toc61184800"/>
      <w:bookmarkStart w:id="6714" w:name="_Toc61185190"/>
      <w:bookmarkStart w:id="6715" w:name="_Toc66386534"/>
      <w:bookmarkStart w:id="6716" w:name="_Toc74583437"/>
      <w:bookmarkStart w:id="6717" w:name="_Toc76542250"/>
      <w:bookmarkStart w:id="6718" w:name="_Toc82450232"/>
      <w:bookmarkStart w:id="6719" w:name="_Toc82450880"/>
      <w:bookmarkStart w:id="6720" w:name="_Toc89949269"/>
      <w:bookmarkStart w:id="6721" w:name="_Toc98755658"/>
      <w:bookmarkStart w:id="6722" w:name="_Toc98763250"/>
      <w:bookmarkStart w:id="6723" w:name="_Toc106184179"/>
      <w:r w:rsidRPr="007E346D">
        <w:t>10.6</w:t>
      </w:r>
      <w:r w:rsidRPr="007E346D">
        <w:tab/>
        <w:t>OTA out-of-band blocking</w:t>
      </w:r>
      <w:bookmarkEnd w:id="6588"/>
      <w:bookmarkEnd w:id="6589"/>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p>
    <w:p w14:paraId="2603F4F2" w14:textId="49AA6303" w:rsidR="00043B44" w:rsidRDefault="00043B44" w:rsidP="00255E64">
      <w:pPr>
        <w:pStyle w:val="Heading3"/>
      </w:pPr>
      <w:bookmarkStart w:id="6724" w:name="_Toc53185558"/>
      <w:bookmarkStart w:id="6725" w:name="_Toc53185934"/>
      <w:bookmarkStart w:id="6726" w:name="_Toc57820420"/>
      <w:bookmarkStart w:id="6727" w:name="_Toc57821347"/>
      <w:bookmarkStart w:id="6728" w:name="_Toc61183623"/>
      <w:bookmarkStart w:id="6729" w:name="_Toc61184017"/>
      <w:bookmarkStart w:id="6730" w:name="_Toc61184409"/>
      <w:bookmarkStart w:id="6731" w:name="_Toc61184801"/>
      <w:bookmarkStart w:id="6732" w:name="_Toc61185191"/>
      <w:bookmarkStart w:id="6733" w:name="_Toc66386535"/>
      <w:bookmarkStart w:id="6734" w:name="_Toc74583438"/>
      <w:bookmarkStart w:id="6735" w:name="_Toc76542251"/>
      <w:bookmarkStart w:id="6736" w:name="_Toc82450233"/>
      <w:bookmarkStart w:id="6737" w:name="_Toc82450881"/>
      <w:bookmarkStart w:id="6738" w:name="_Toc89949270"/>
      <w:bookmarkStart w:id="6739" w:name="_Toc98755659"/>
      <w:bookmarkStart w:id="6740" w:name="_Toc98763251"/>
      <w:bookmarkStart w:id="6741" w:name="_Toc106184180"/>
      <w:bookmarkStart w:id="6742" w:name="_Toc13080437"/>
      <w:bookmarkStart w:id="6743" w:name="_Toc18916197"/>
      <w:r>
        <w:t>10.6.1</w:t>
      </w:r>
      <w:r w:rsidR="00255E64" w:rsidRPr="007E346D">
        <w:tab/>
      </w:r>
      <w:r>
        <w:t>General</w:t>
      </w:r>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p>
    <w:p w14:paraId="74E69C73" w14:textId="2B88FC51" w:rsidR="00043B44" w:rsidRPr="00043B44" w:rsidRDefault="00FD29BD" w:rsidP="00357409">
      <w:pPr>
        <w:rPr>
          <w:lang w:eastAsia="ja-JP"/>
        </w:rPr>
      </w:pPr>
      <w:r w:rsidRPr="00E26D09">
        <w:rPr>
          <w:lang w:eastAsia="ja-JP"/>
        </w:rPr>
        <w:t xml:space="preserve">The OTA </w:t>
      </w:r>
      <w:r w:rsidRPr="00E26D09">
        <w:t xml:space="preserve">out-of-band </w:t>
      </w:r>
      <w:r w:rsidRPr="00E26D09">
        <w:rPr>
          <w:lang w:eastAsia="ja-JP"/>
        </w:rPr>
        <w:t>blocking characteristics are a measure of the receiver unit ability to receive a wanted signal at the</w:t>
      </w:r>
      <w:r w:rsidRPr="00E26D09">
        <w:rPr>
          <w:i/>
          <w:lang w:eastAsia="ja-JP"/>
        </w:rPr>
        <w:t xml:space="preserve"> RIB </w:t>
      </w:r>
      <w:r w:rsidRPr="00E26D09">
        <w:rPr>
          <w:lang w:eastAsia="ja-JP"/>
        </w:rPr>
        <w:t>at its assigned channel in the presence of an unwanted interferer.</w:t>
      </w:r>
    </w:p>
    <w:p w14:paraId="2BED03FC" w14:textId="5A232C93" w:rsidR="003674D6" w:rsidRDefault="003674D6" w:rsidP="003674D6">
      <w:pPr>
        <w:pStyle w:val="Heading3"/>
      </w:pPr>
      <w:bookmarkStart w:id="6744" w:name="_Toc53185559"/>
      <w:bookmarkStart w:id="6745" w:name="_Toc53185935"/>
      <w:bookmarkStart w:id="6746" w:name="_Toc57820421"/>
      <w:bookmarkStart w:id="6747" w:name="_Toc57821348"/>
      <w:bookmarkStart w:id="6748" w:name="_Toc61183624"/>
      <w:bookmarkStart w:id="6749" w:name="_Toc61184018"/>
      <w:bookmarkStart w:id="6750" w:name="_Toc61184410"/>
      <w:bookmarkStart w:id="6751" w:name="_Toc61184802"/>
      <w:bookmarkStart w:id="6752" w:name="_Toc61185192"/>
      <w:bookmarkStart w:id="6753" w:name="_Toc66386536"/>
      <w:bookmarkStart w:id="6754" w:name="_Toc74583439"/>
      <w:bookmarkStart w:id="6755" w:name="_Toc76542252"/>
      <w:bookmarkStart w:id="6756" w:name="_Toc82450234"/>
      <w:bookmarkStart w:id="6757" w:name="_Toc82450882"/>
      <w:bookmarkStart w:id="6758" w:name="_Toc89949271"/>
      <w:bookmarkStart w:id="6759" w:name="_Toc98755660"/>
      <w:bookmarkStart w:id="6760" w:name="_Toc98763252"/>
      <w:bookmarkStart w:id="6761" w:name="_Toc106184181"/>
      <w:r>
        <w:t>10.6.</w:t>
      </w:r>
      <w:r w:rsidR="00FD29BD">
        <w:t>2</w:t>
      </w:r>
      <w:r w:rsidR="00255E64" w:rsidRPr="007E346D">
        <w:tab/>
      </w:r>
      <w:r w:rsidR="00641413" w:rsidRPr="003D10E8">
        <w:t>Minimum requirement for IAB-</w:t>
      </w:r>
      <w:r w:rsidR="00641413">
        <w:t>MT type 1-O and IAB-DU</w:t>
      </w:r>
      <w:r w:rsidR="00641413" w:rsidRPr="003D10E8">
        <w:t xml:space="preserve"> type 1-O</w:t>
      </w:r>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p>
    <w:p w14:paraId="44B1B258" w14:textId="7BD6ECB1" w:rsidR="008D69F5" w:rsidRDefault="008D69F5" w:rsidP="008D69F5">
      <w:pPr>
        <w:rPr>
          <w:lang w:eastAsia="ja-JP"/>
        </w:rPr>
      </w:pPr>
      <w:r>
        <w:rPr>
          <w:lang w:eastAsia="ja-JP"/>
        </w:rPr>
        <w:t>The requirement shall apply at the RIB</w:t>
      </w:r>
      <w:r>
        <w:rPr>
          <w:b/>
          <w:lang w:eastAsia="ja-JP"/>
        </w:rPr>
        <w:t xml:space="preserve"> </w:t>
      </w:r>
      <w:r>
        <w:rPr>
          <w:lang w:eastAsia="ja-JP"/>
        </w:rPr>
        <w:t xml:space="preserve">when the AoA of the incident wave of the received signal and the interfering signal are from the same direction and are within the </w:t>
      </w:r>
      <w:r w:rsidR="009640B8" w:rsidRPr="00A043EA">
        <w:rPr>
          <w:i/>
          <w:iCs/>
          <w:lang w:eastAsia="ja-JP"/>
        </w:rPr>
        <w:t>m</w:t>
      </w:r>
      <w:r>
        <w:rPr>
          <w:i/>
          <w:lang w:eastAsia="ja-JP"/>
        </w:rPr>
        <w:t>inSENS RoAoA</w:t>
      </w:r>
      <w:r>
        <w:rPr>
          <w:lang w:eastAsia="ja-JP"/>
        </w:rPr>
        <w:t>.</w:t>
      </w:r>
    </w:p>
    <w:p w14:paraId="7013A365" w14:textId="77777777" w:rsidR="008D69F5" w:rsidRDefault="008D69F5" w:rsidP="008D69F5">
      <w:pPr>
        <w:rPr>
          <w:lang w:eastAsia="ja-JP"/>
        </w:rPr>
      </w:pPr>
      <w:r>
        <w:rPr>
          <w:lang w:eastAsia="ja-JP"/>
        </w:rPr>
        <w:t xml:space="preserve">The wanted signal applies to </w:t>
      </w:r>
      <w:r>
        <w:t xml:space="preserve">each </w:t>
      </w:r>
      <w:r>
        <w:rPr>
          <w:lang w:eastAsia="ja-JP"/>
        </w:rPr>
        <w:t xml:space="preserve">supported polarization, under the assumption of </w:t>
      </w:r>
      <w:r>
        <w:rPr>
          <w:i/>
          <w:lang w:eastAsia="ja-JP"/>
        </w:rPr>
        <w:t xml:space="preserve">polarization match. </w:t>
      </w:r>
      <w:r>
        <w:rPr>
          <w:lang w:eastAsia="ja-JP"/>
        </w:rPr>
        <w:t xml:space="preserve">The interferer shall be </w:t>
      </w:r>
      <w:r>
        <w:rPr>
          <w:i/>
          <w:lang w:eastAsia="ja-JP"/>
        </w:rPr>
        <w:t>polarization matched</w:t>
      </w:r>
      <w:r>
        <w:rPr>
          <w:lang w:eastAsia="ja-JP"/>
        </w:rPr>
        <w:t xml:space="preserve"> in-band and the polarization maintained for out-of-band frequencies.</w:t>
      </w:r>
    </w:p>
    <w:p w14:paraId="3C705A32" w14:textId="77777777" w:rsidR="008D69F5" w:rsidRDefault="008D69F5" w:rsidP="008D69F5">
      <w:r>
        <w:t>For OTA wanted and OTA interfering signals provided at the RIB using the parameters in table 10.6.2-2, the following requirements shall be met:</w:t>
      </w:r>
    </w:p>
    <w:p w14:paraId="3D40F76C" w14:textId="27F975A7" w:rsidR="008D69F5" w:rsidRDefault="008D69F5" w:rsidP="008D69F5">
      <w:pPr>
        <w:pStyle w:val="B10"/>
      </w:pPr>
      <w:r>
        <w:t>-</w:t>
      </w:r>
      <w:r>
        <w:tab/>
        <w:t xml:space="preserve">The throughput shall be </w:t>
      </w:r>
      <w:r>
        <w:rPr>
          <w:rFonts w:hint="eastAsia"/>
          <w:lang w:val="en-US"/>
        </w:rPr>
        <w:t>≥</w:t>
      </w:r>
      <w:r>
        <w:t xml:space="preserve"> 95% of the maximum throughput </w:t>
      </w:r>
      <w:r>
        <w:rPr>
          <w:rFonts w:cs="v5.0.0"/>
        </w:rPr>
        <w:t>of the reference measurement channel</w:t>
      </w:r>
      <w:r>
        <w:rPr>
          <w:rFonts w:cs="v5.0.0"/>
          <w:lang w:eastAsia="zh-CN"/>
        </w:rPr>
        <w:t>.</w:t>
      </w:r>
      <w:r>
        <w:rPr>
          <w:rFonts w:cs="v5.0.0"/>
        </w:rPr>
        <w:t xml:space="preserve"> </w:t>
      </w:r>
      <w:r>
        <w:rPr>
          <w:rFonts w:eastAsia="Osaka" w:cs="v5.0.0"/>
        </w:rPr>
        <w:t xml:space="preserve">The reference measurement channel for the OTA wanted signal is identified </w:t>
      </w:r>
      <w:r>
        <w:rPr>
          <w:rFonts w:cs="v5.0.0"/>
          <w:lang w:eastAsia="zh-CN"/>
        </w:rPr>
        <w:t xml:space="preserve">in </w:t>
      </w:r>
      <w:r>
        <w:rPr>
          <w:rFonts w:eastAsia="Osaka" w:cs="v5.0.0"/>
        </w:rPr>
        <w:t>clause 10.3.2</w:t>
      </w:r>
      <w:r w:rsidR="00624A1F">
        <w:rPr>
          <w:rFonts w:eastAsia="Osaka" w:cs="v5.0.0"/>
        </w:rPr>
        <w:t xml:space="preserve"> </w:t>
      </w:r>
      <w:r w:rsidR="00624A1F" w:rsidRPr="003D10E8">
        <w:rPr>
          <w:rFonts w:eastAsia="Osaka" w:cs="v5.0.0"/>
        </w:rPr>
        <w:t xml:space="preserve">and subclause 10.3.3 </w:t>
      </w:r>
      <w:r>
        <w:rPr>
          <w:rFonts w:eastAsia="Osaka" w:cs="v5.0.0"/>
        </w:rPr>
        <w:t xml:space="preserve"> </w:t>
      </w:r>
      <w:r>
        <w:rPr>
          <w:rFonts w:eastAsia="Osaka"/>
        </w:rPr>
        <w:t xml:space="preserve">for each </w:t>
      </w:r>
      <w:r>
        <w:rPr>
          <w:rFonts w:eastAsia="Osaka"/>
          <w:i/>
        </w:rPr>
        <w:t>IAB-Node channel bandwidth</w:t>
      </w:r>
      <w:r>
        <w:rPr>
          <w:rFonts w:eastAsia="Osaka" w:cs="v5.0.0"/>
        </w:rPr>
        <w:t xml:space="preserve">. </w:t>
      </w:r>
    </w:p>
    <w:p w14:paraId="0060BA1D" w14:textId="28234BDB" w:rsidR="008D69F5" w:rsidRDefault="008D69F5" w:rsidP="008D69F5">
      <w:r>
        <w:lastRenderedPageBreak/>
        <w:t xml:space="preserve">For a </w:t>
      </w:r>
      <w:r>
        <w:rPr>
          <w:i/>
        </w:rPr>
        <w:t>multi-band RIB</w:t>
      </w:r>
      <w:r>
        <w:t xml:space="preserve">, the OTA out-of-band requirement shall apply for each supported </w:t>
      </w:r>
      <w:r>
        <w:rPr>
          <w:i/>
        </w:rPr>
        <w:t>operating band</w:t>
      </w:r>
      <w:r>
        <w:t xml:space="preserve">, </w:t>
      </w:r>
      <w:r>
        <w:rPr>
          <w:rFonts w:cs="v5.0.0"/>
        </w:rPr>
        <w:t xml:space="preserve">with the exception that the in-band blocking frequency ranges of all supported </w:t>
      </w:r>
      <w:r>
        <w:rPr>
          <w:rFonts w:cs="v5.0.0"/>
          <w:i/>
        </w:rPr>
        <w:t>operating bands</w:t>
      </w:r>
      <w:r>
        <w:rPr>
          <w:rFonts w:cs="v5.0.0"/>
        </w:rPr>
        <w:t xml:space="preserve"> according to</w:t>
      </w:r>
      <w:r w:rsidR="00490871">
        <w:rPr>
          <w:rFonts w:cs="v5.0.0"/>
        </w:rPr>
        <w:t xml:space="preserve"> </w:t>
      </w:r>
      <w:r w:rsidR="00490871" w:rsidRPr="003D10E8">
        <w:rPr>
          <w:rFonts w:cs="v5.0.0"/>
        </w:rPr>
        <w:t>table 10.6.2-1</w:t>
      </w:r>
      <w:r>
        <w:rPr>
          <w:rFonts w:cs="v5.0.0"/>
        </w:rPr>
        <w:t xml:space="preserve"> shall be excluded from the OTA out</w:t>
      </w:r>
      <w:r>
        <w:rPr>
          <w:rFonts w:cs="v5.0.0"/>
        </w:rPr>
        <w:noBreakHyphen/>
        <w:t>of</w:t>
      </w:r>
      <w:r>
        <w:rPr>
          <w:rFonts w:cs="v5.0.0"/>
        </w:rPr>
        <w:noBreakHyphen/>
        <w:t>band blocking requirement.</w:t>
      </w:r>
    </w:p>
    <w:p w14:paraId="19D08FC7" w14:textId="77777777" w:rsidR="008D69F5" w:rsidRDefault="008D69F5" w:rsidP="008D69F5">
      <w:r>
        <w:rPr>
          <w:lang w:eastAsia="zh-CN"/>
        </w:rPr>
        <w:t xml:space="preserve">For </w:t>
      </w:r>
      <w:r>
        <w:rPr>
          <w:rFonts w:cs="v3.8.0"/>
        </w:rPr>
        <w:t xml:space="preserve">OTA </w:t>
      </w:r>
      <w:r>
        <w:t xml:space="preserve">out-of-band </w:t>
      </w:r>
      <w:r>
        <w:rPr>
          <w:lang w:eastAsia="zh-CN"/>
        </w:rPr>
        <w:t xml:space="preserve">blocking requirement </w:t>
      </w:r>
      <w:r>
        <w:rPr>
          <w:rFonts w:cs="v3.8.0"/>
        </w:rPr>
        <w:t>apply</w:t>
      </w:r>
      <w:r>
        <w:rPr>
          <w:lang w:eastAsia="zh-CN"/>
        </w:rPr>
        <w:t xml:space="preserve"> from 30 MHz to </w:t>
      </w:r>
      <w:r>
        <w:rPr>
          <w:rFonts w:cs="Arial"/>
        </w:rPr>
        <w:t>F</w:t>
      </w:r>
      <w:r>
        <w:rPr>
          <w:rFonts w:cs="Arial"/>
          <w:vertAlign w:val="subscript"/>
        </w:rPr>
        <w:t>UL,low</w:t>
      </w:r>
      <w:r>
        <w:rPr>
          <w:rFonts w:cs="Arial"/>
        </w:rPr>
        <w:t xml:space="preserve"> - </w:t>
      </w:r>
      <w:r>
        <w:t>Δf</w:t>
      </w:r>
      <w:r>
        <w:rPr>
          <w:vertAlign w:val="subscript"/>
        </w:rPr>
        <w:t>OOB</w:t>
      </w:r>
      <w:r>
        <w:t xml:space="preserve"> and from </w:t>
      </w:r>
      <w:r>
        <w:rPr>
          <w:rFonts w:cs="Arial"/>
        </w:rPr>
        <w:t>F</w:t>
      </w:r>
      <w:r>
        <w:rPr>
          <w:rFonts w:cs="Arial"/>
          <w:vertAlign w:val="subscript"/>
        </w:rPr>
        <w:t>UL,high</w:t>
      </w:r>
      <w:r>
        <w:rPr>
          <w:rFonts w:cs="Arial"/>
        </w:rPr>
        <w:t xml:space="preserve"> + </w:t>
      </w:r>
      <w:r>
        <w:t>Δf</w:t>
      </w:r>
      <w:r>
        <w:rPr>
          <w:vertAlign w:val="subscript"/>
        </w:rPr>
        <w:t>OOB</w:t>
      </w:r>
      <w:r>
        <w:t xml:space="preserve"> up to 12750 MHz</w:t>
      </w:r>
      <w:r>
        <w:rPr>
          <w:rFonts w:cs="v3.8.0"/>
          <w:lang w:eastAsia="zh-CN"/>
        </w:rPr>
        <w:t xml:space="preserve">. </w:t>
      </w:r>
      <w:r>
        <w:rPr>
          <w:rFonts w:cs="v5.0.0"/>
        </w:rPr>
        <w:t xml:space="preserve">The </w:t>
      </w:r>
      <w:r>
        <w:t>Δf</w:t>
      </w:r>
      <w:r>
        <w:rPr>
          <w:vertAlign w:val="subscript"/>
        </w:rPr>
        <w:t>OOB</w:t>
      </w:r>
      <w:r>
        <w:rPr>
          <w:rFonts w:cs="v5.0.0"/>
        </w:rPr>
        <w:t xml:space="preserve"> for FR1 OTA out-of-band blocking requirement is </w:t>
      </w:r>
      <w:r>
        <w:t>defined in table 10.6.2-1.</w:t>
      </w:r>
    </w:p>
    <w:p w14:paraId="71288355" w14:textId="77777777" w:rsidR="008D69F5" w:rsidRDefault="008D69F5" w:rsidP="008D69F5">
      <w:pPr>
        <w:pStyle w:val="TH"/>
      </w:pPr>
      <w:r>
        <w:t>Table 10.6.2-1: Δf</w:t>
      </w:r>
      <w:r>
        <w:rPr>
          <w:vertAlign w:val="subscript"/>
        </w:rPr>
        <w:t>OOB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2"/>
        <w:gridCol w:w="1219"/>
      </w:tblGrid>
      <w:tr w:rsidR="008D69F5" w14:paraId="5AF7348A" w14:textId="77777777" w:rsidTr="00A4061E">
        <w:trPr>
          <w:jc w:val="center"/>
        </w:trPr>
        <w:tc>
          <w:tcPr>
            <w:tcW w:w="3472" w:type="dxa"/>
            <w:tcBorders>
              <w:top w:val="single" w:sz="4" w:space="0" w:color="auto"/>
              <w:left w:val="single" w:sz="4" w:space="0" w:color="auto"/>
              <w:bottom w:val="single" w:sz="4" w:space="0" w:color="auto"/>
              <w:right w:val="single" w:sz="4" w:space="0" w:color="auto"/>
            </w:tcBorders>
            <w:hideMark/>
          </w:tcPr>
          <w:p w14:paraId="3A434B5F" w14:textId="77777777" w:rsidR="008D69F5" w:rsidRDefault="008D69F5" w:rsidP="00A4061E">
            <w:pPr>
              <w:pStyle w:val="TAH"/>
            </w:pPr>
            <w:r>
              <w:rPr>
                <w:i/>
              </w:rPr>
              <w:t>Operating band</w:t>
            </w:r>
            <w:r>
              <w:t xml:space="preserve"> characteristics</w:t>
            </w:r>
          </w:p>
        </w:tc>
        <w:tc>
          <w:tcPr>
            <w:tcW w:w="0" w:type="auto"/>
            <w:tcBorders>
              <w:top w:val="single" w:sz="4" w:space="0" w:color="auto"/>
              <w:left w:val="single" w:sz="4" w:space="0" w:color="auto"/>
              <w:bottom w:val="single" w:sz="4" w:space="0" w:color="auto"/>
              <w:right w:val="single" w:sz="4" w:space="0" w:color="auto"/>
            </w:tcBorders>
            <w:hideMark/>
          </w:tcPr>
          <w:p w14:paraId="42AF525B" w14:textId="77777777" w:rsidR="008D69F5" w:rsidRDefault="008D69F5" w:rsidP="00A4061E">
            <w:pPr>
              <w:pStyle w:val="TAH"/>
            </w:pPr>
            <w:r>
              <w:t>Δf</w:t>
            </w:r>
            <w:r>
              <w:rPr>
                <w:vertAlign w:val="subscript"/>
              </w:rPr>
              <w:t>OOB</w:t>
            </w:r>
            <w:r>
              <w:t xml:space="preserve"> (MHz)</w:t>
            </w:r>
          </w:p>
        </w:tc>
      </w:tr>
      <w:tr w:rsidR="008D69F5" w14:paraId="5BEE8C6A" w14:textId="77777777" w:rsidTr="00A4061E">
        <w:trPr>
          <w:jc w:val="center"/>
        </w:trPr>
        <w:tc>
          <w:tcPr>
            <w:tcW w:w="3472" w:type="dxa"/>
            <w:tcBorders>
              <w:top w:val="single" w:sz="4" w:space="0" w:color="auto"/>
              <w:left w:val="single" w:sz="4" w:space="0" w:color="auto"/>
              <w:bottom w:val="single" w:sz="4" w:space="0" w:color="auto"/>
              <w:right w:val="single" w:sz="4" w:space="0" w:color="auto"/>
            </w:tcBorders>
            <w:hideMark/>
          </w:tcPr>
          <w:p w14:paraId="58A776E9" w14:textId="77777777" w:rsidR="008D69F5" w:rsidRDefault="008D69F5" w:rsidP="00255E64">
            <w:pPr>
              <w:pStyle w:val="TAL"/>
            </w:pPr>
            <w:r>
              <w:t>F</w:t>
            </w:r>
            <w:r>
              <w:rPr>
                <w:vertAlign w:val="subscript"/>
              </w:rPr>
              <w:t>UL,high</w:t>
            </w:r>
            <w:r>
              <w:t xml:space="preserve"> – F</w:t>
            </w:r>
            <w:r>
              <w:rPr>
                <w:vertAlign w:val="subscript"/>
              </w:rPr>
              <w:t>UL,low</w:t>
            </w:r>
            <w:r>
              <w:t xml:space="preserve"> &lt; 1</w:t>
            </w:r>
            <w:r>
              <w:rPr>
                <w:lang w:eastAsia="zh-CN"/>
              </w:rPr>
              <w:t>00 MHz</w:t>
            </w:r>
          </w:p>
        </w:tc>
        <w:tc>
          <w:tcPr>
            <w:tcW w:w="0" w:type="auto"/>
            <w:tcBorders>
              <w:top w:val="single" w:sz="4" w:space="0" w:color="auto"/>
              <w:left w:val="single" w:sz="4" w:space="0" w:color="auto"/>
              <w:bottom w:val="single" w:sz="4" w:space="0" w:color="auto"/>
              <w:right w:val="single" w:sz="4" w:space="0" w:color="auto"/>
            </w:tcBorders>
            <w:hideMark/>
          </w:tcPr>
          <w:p w14:paraId="2B89AE40" w14:textId="77777777" w:rsidR="008D69F5" w:rsidRDefault="008D69F5" w:rsidP="00A4061E">
            <w:pPr>
              <w:pStyle w:val="TAC"/>
            </w:pPr>
            <w:r>
              <w:t>20</w:t>
            </w:r>
          </w:p>
        </w:tc>
      </w:tr>
      <w:tr w:rsidR="008D69F5" w14:paraId="4A35EEDD" w14:textId="77777777" w:rsidTr="00A4061E">
        <w:trPr>
          <w:jc w:val="center"/>
        </w:trPr>
        <w:tc>
          <w:tcPr>
            <w:tcW w:w="3472" w:type="dxa"/>
            <w:tcBorders>
              <w:top w:val="single" w:sz="4" w:space="0" w:color="auto"/>
              <w:left w:val="single" w:sz="4" w:space="0" w:color="auto"/>
              <w:bottom w:val="single" w:sz="4" w:space="0" w:color="auto"/>
              <w:right w:val="single" w:sz="4" w:space="0" w:color="auto"/>
            </w:tcBorders>
            <w:hideMark/>
          </w:tcPr>
          <w:p w14:paraId="698D9D11" w14:textId="77777777" w:rsidR="008D69F5" w:rsidRDefault="008D69F5" w:rsidP="00255E64">
            <w:pPr>
              <w:pStyle w:val="TAL"/>
              <w:rPr>
                <w:b/>
              </w:rPr>
            </w:pPr>
            <w:r>
              <w:t xml:space="preserve">100 MHz </w:t>
            </w:r>
            <w:r>
              <w:rPr>
                <w:rFonts w:hint="eastAsia"/>
                <w:lang w:val="en-US"/>
              </w:rPr>
              <w:t>≤</w:t>
            </w:r>
            <w:r>
              <w:t xml:space="preserve"> F</w:t>
            </w:r>
            <w:r>
              <w:rPr>
                <w:vertAlign w:val="subscript"/>
              </w:rPr>
              <w:t>UL,high</w:t>
            </w:r>
            <w:r>
              <w:t xml:space="preserve"> – F</w:t>
            </w:r>
            <w:r>
              <w:rPr>
                <w:vertAlign w:val="subscript"/>
              </w:rPr>
              <w:t>UL,low</w:t>
            </w:r>
            <w:r>
              <w:t xml:space="preserve"> </w:t>
            </w:r>
            <w:r>
              <w:rPr>
                <w:rFonts w:hint="eastAsia"/>
                <w:lang w:val="en-US"/>
              </w:rPr>
              <w:t>≤</w:t>
            </w:r>
            <w:r>
              <w:rPr>
                <w:lang w:val="en-US"/>
              </w:rPr>
              <w:t xml:space="preserve"> </w:t>
            </w:r>
            <w:r>
              <w:rPr>
                <w:lang w:eastAsia="zh-CN"/>
              </w:rPr>
              <w:t>900 MHz</w:t>
            </w:r>
            <w: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8CF77DA" w14:textId="77777777" w:rsidR="008D69F5" w:rsidRDefault="008D69F5" w:rsidP="00A4061E">
            <w:pPr>
              <w:pStyle w:val="TAC"/>
            </w:pPr>
            <w:r>
              <w:t>60</w:t>
            </w:r>
          </w:p>
        </w:tc>
      </w:tr>
    </w:tbl>
    <w:p w14:paraId="12197A1E" w14:textId="77777777" w:rsidR="008D69F5" w:rsidRDefault="008D69F5" w:rsidP="008D69F5">
      <w:pPr>
        <w:rPr>
          <w:lang w:eastAsia="zh-CN"/>
        </w:rPr>
      </w:pPr>
    </w:p>
    <w:p w14:paraId="766E7E9A" w14:textId="77777777" w:rsidR="008D69F5" w:rsidRDefault="008D69F5" w:rsidP="008D69F5">
      <w:pPr>
        <w:pStyle w:val="TH"/>
      </w:pPr>
      <w:r>
        <w:rPr>
          <w:rFonts w:eastAsia="Osaka"/>
        </w:rPr>
        <w:t xml:space="preserve">Table 10.6.2-2: </w:t>
      </w:r>
      <w:r>
        <w:t>OTA out-of-band blocking performance requirement</w:t>
      </w:r>
    </w:p>
    <w:tbl>
      <w:tblPr>
        <w:tblW w:w="6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1"/>
        <w:gridCol w:w="2410"/>
        <w:gridCol w:w="2214"/>
      </w:tblGrid>
      <w:tr w:rsidR="008D69F5" w14:paraId="73B6A38C" w14:textId="77777777" w:rsidTr="00A4061E">
        <w:trPr>
          <w:trHeight w:val="283"/>
          <w:jc w:val="center"/>
        </w:trPr>
        <w:tc>
          <w:tcPr>
            <w:tcW w:w="2322" w:type="dxa"/>
            <w:tcBorders>
              <w:top w:val="single" w:sz="4" w:space="0" w:color="auto"/>
              <w:left w:val="single" w:sz="4" w:space="0" w:color="auto"/>
              <w:bottom w:val="single" w:sz="4" w:space="0" w:color="auto"/>
              <w:right w:val="single" w:sz="4" w:space="0" w:color="auto"/>
            </w:tcBorders>
            <w:hideMark/>
          </w:tcPr>
          <w:p w14:paraId="07FBD282" w14:textId="77777777" w:rsidR="008D69F5" w:rsidRDefault="008D69F5" w:rsidP="00A4061E">
            <w:pPr>
              <w:pStyle w:val="TAH"/>
              <w:rPr>
                <w:rFonts w:cs="Arial"/>
              </w:rPr>
            </w:pPr>
            <w:r>
              <w:rPr>
                <w:rFonts w:cs="Arial"/>
              </w:rPr>
              <w:t>Wanted signal mean power (dBm)</w:t>
            </w:r>
          </w:p>
        </w:tc>
        <w:tc>
          <w:tcPr>
            <w:tcW w:w="2410" w:type="dxa"/>
            <w:tcBorders>
              <w:top w:val="single" w:sz="4" w:space="0" w:color="auto"/>
              <w:left w:val="single" w:sz="4" w:space="0" w:color="auto"/>
              <w:bottom w:val="single" w:sz="4" w:space="0" w:color="auto"/>
              <w:right w:val="single" w:sz="4" w:space="0" w:color="auto"/>
            </w:tcBorders>
            <w:hideMark/>
          </w:tcPr>
          <w:p w14:paraId="62C782BE" w14:textId="77777777" w:rsidR="008D69F5" w:rsidRDefault="008D69F5" w:rsidP="00A4061E">
            <w:pPr>
              <w:pStyle w:val="TAH"/>
              <w:rPr>
                <w:rFonts w:cs="Arial"/>
              </w:rPr>
            </w:pPr>
            <w:r>
              <w:rPr>
                <w:rFonts w:cs="Arial"/>
              </w:rPr>
              <w:t>Interfering signal RMS field-strength (V/m)</w:t>
            </w:r>
          </w:p>
        </w:tc>
        <w:tc>
          <w:tcPr>
            <w:tcW w:w="2209" w:type="dxa"/>
            <w:tcBorders>
              <w:top w:val="single" w:sz="4" w:space="0" w:color="auto"/>
              <w:left w:val="single" w:sz="4" w:space="0" w:color="auto"/>
              <w:bottom w:val="single" w:sz="4" w:space="0" w:color="auto"/>
              <w:right w:val="single" w:sz="4" w:space="0" w:color="auto"/>
            </w:tcBorders>
            <w:hideMark/>
          </w:tcPr>
          <w:p w14:paraId="1AEF91BC" w14:textId="77777777" w:rsidR="008D69F5" w:rsidRDefault="008D69F5" w:rsidP="00A4061E">
            <w:pPr>
              <w:pStyle w:val="TAH"/>
              <w:rPr>
                <w:rFonts w:cs="Arial"/>
              </w:rPr>
            </w:pPr>
            <w:r>
              <w:rPr>
                <w:rFonts w:cs="Arial"/>
              </w:rPr>
              <w:t>Type of interfering Signal</w:t>
            </w:r>
          </w:p>
        </w:tc>
      </w:tr>
      <w:tr w:rsidR="008D69F5" w14:paraId="0159C45A" w14:textId="77777777" w:rsidTr="00A4061E">
        <w:trPr>
          <w:cantSplit/>
          <w:jc w:val="center"/>
        </w:trPr>
        <w:tc>
          <w:tcPr>
            <w:tcW w:w="2322" w:type="dxa"/>
            <w:tcBorders>
              <w:top w:val="single" w:sz="4" w:space="0" w:color="auto"/>
              <w:left w:val="single" w:sz="4" w:space="0" w:color="auto"/>
              <w:bottom w:val="single" w:sz="4" w:space="0" w:color="auto"/>
              <w:right w:val="single" w:sz="4" w:space="0" w:color="auto"/>
            </w:tcBorders>
            <w:hideMark/>
          </w:tcPr>
          <w:p w14:paraId="40AD3249" w14:textId="000B288B" w:rsidR="008D69F5" w:rsidRDefault="008D69F5" w:rsidP="00A4061E">
            <w:pPr>
              <w:pStyle w:val="TAC"/>
              <w:rPr>
                <w:rFonts w:cs="Arial"/>
              </w:rPr>
            </w:pPr>
            <w:r>
              <w:rPr>
                <w:rFonts w:cs="Arial"/>
              </w:rPr>
              <w:t>EIS</w:t>
            </w:r>
            <w:r>
              <w:rPr>
                <w:rFonts w:cs="Arial"/>
                <w:vertAlign w:val="subscript"/>
              </w:rPr>
              <w:t>minSENS</w:t>
            </w:r>
            <w:r>
              <w:rPr>
                <w:rFonts w:cs="Arial"/>
              </w:rPr>
              <w:t xml:space="preserve"> + </w:t>
            </w:r>
            <w:r w:rsidR="00490871">
              <w:rPr>
                <w:rFonts w:cs="Arial"/>
              </w:rPr>
              <w:t>6</w:t>
            </w:r>
            <w:r>
              <w:rPr>
                <w:rFonts w:cs="Arial"/>
              </w:rPr>
              <w:t xml:space="preserve"> dB</w:t>
            </w:r>
          </w:p>
          <w:p w14:paraId="4F6F013F" w14:textId="77777777" w:rsidR="008D69F5" w:rsidRDefault="008D69F5" w:rsidP="00A4061E">
            <w:pPr>
              <w:pStyle w:val="TAC"/>
              <w:rPr>
                <w:rFonts w:cs="Arial"/>
              </w:rPr>
            </w:pPr>
            <w:r>
              <w:rPr>
                <w:rFonts w:cs="Arial"/>
              </w:rPr>
              <w:t xml:space="preserve"> (Note 1)</w:t>
            </w:r>
          </w:p>
        </w:tc>
        <w:tc>
          <w:tcPr>
            <w:tcW w:w="2410" w:type="dxa"/>
            <w:tcBorders>
              <w:top w:val="single" w:sz="4" w:space="0" w:color="auto"/>
              <w:left w:val="single" w:sz="4" w:space="0" w:color="auto"/>
              <w:bottom w:val="single" w:sz="4" w:space="0" w:color="auto"/>
              <w:right w:val="single" w:sz="4" w:space="0" w:color="auto"/>
            </w:tcBorders>
            <w:hideMark/>
          </w:tcPr>
          <w:p w14:paraId="708FA8D9" w14:textId="0EA32A66" w:rsidR="008D69F5" w:rsidRDefault="008D69F5" w:rsidP="00A4061E">
            <w:pPr>
              <w:pStyle w:val="TAC"/>
              <w:rPr>
                <w:rFonts w:cs="Arial"/>
              </w:rPr>
            </w:pPr>
            <w:r>
              <w:t>0.36</w:t>
            </w:r>
          </w:p>
        </w:tc>
        <w:tc>
          <w:tcPr>
            <w:tcW w:w="2209" w:type="dxa"/>
            <w:tcBorders>
              <w:top w:val="single" w:sz="4" w:space="0" w:color="auto"/>
              <w:left w:val="single" w:sz="4" w:space="0" w:color="auto"/>
              <w:bottom w:val="single" w:sz="4" w:space="0" w:color="auto"/>
              <w:right w:val="single" w:sz="4" w:space="0" w:color="auto"/>
            </w:tcBorders>
            <w:hideMark/>
          </w:tcPr>
          <w:p w14:paraId="524D7A4D" w14:textId="77777777" w:rsidR="008D69F5" w:rsidRDefault="008D69F5" w:rsidP="00A4061E">
            <w:pPr>
              <w:pStyle w:val="TAC"/>
            </w:pPr>
            <w:r>
              <w:t>CW</w:t>
            </w:r>
          </w:p>
        </w:tc>
      </w:tr>
      <w:tr w:rsidR="008D69F5" w:rsidRPr="00E213EC" w14:paraId="0D3D1B9E" w14:textId="77777777" w:rsidTr="00A4061E">
        <w:trPr>
          <w:cantSplit/>
          <w:jc w:val="center"/>
        </w:trPr>
        <w:tc>
          <w:tcPr>
            <w:tcW w:w="6946" w:type="dxa"/>
            <w:gridSpan w:val="3"/>
            <w:tcBorders>
              <w:top w:val="single" w:sz="4" w:space="0" w:color="auto"/>
              <w:left w:val="single" w:sz="4" w:space="0" w:color="auto"/>
              <w:bottom w:val="single" w:sz="4" w:space="0" w:color="auto"/>
              <w:right w:val="single" w:sz="4" w:space="0" w:color="auto"/>
            </w:tcBorders>
            <w:hideMark/>
          </w:tcPr>
          <w:p w14:paraId="6BCE6525" w14:textId="77777777" w:rsidR="008D69F5" w:rsidRDefault="008D69F5" w:rsidP="00A4061E">
            <w:pPr>
              <w:pStyle w:val="TAN"/>
            </w:pPr>
            <w:r>
              <w:t>NOTE 1:</w:t>
            </w:r>
            <w:r>
              <w:tab/>
              <w:t>EIS</w:t>
            </w:r>
            <w:r>
              <w:rPr>
                <w:vertAlign w:val="subscript"/>
              </w:rPr>
              <w:t>minSENS</w:t>
            </w:r>
            <w:r>
              <w:t xml:space="preserve"> depends on the </w:t>
            </w:r>
            <w:r>
              <w:rPr>
                <w:i/>
              </w:rPr>
              <w:t>channel bandwidth</w:t>
            </w:r>
            <w:r>
              <w:t xml:space="preserve"> as specified in clause 9.2.</w:t>
            </w:r>
          </w:p>
          <w:p w14:paraId="680B1BF9" w14:textId="77777777" w:rsidR="008D69F5" w:rsidRDefault="008D69F5" w:rsidP="00A4061E">
            <w:pPr>
              <w:pStyle w:val="TAN"/>
            </w:pPr>
            <w:r>
              <w:t>NOTE 2:</w:t>
            </w:r>
            <w:r>
              <w:tab/>
              <w:t xml:space="preserve">The RMS field-strength level in V/m is related to the interferer EIRP level at a distance described as </w:t>
            </w:r>
            <w:r>
              <w:rPr>
                <w:position w:val="-24"/>
              </w:rPr>
              <w:object w:dxaOrig="996" w:dyaOrig="576" w14:anchorId="2A0609C6">
                <v:shape id="_x0000_i1039" type="#_x0000_t75" style="width:49.85pt;height:28.25pt" o:ole="">
                  <v:imagedata r:id="rId46" o:title=""/>
                </v:shape>
                <o:OLEObject Type="Embed" ProgID="Equation.3" ShapeID="_x0000_i1039" DrawAspect="Content" ObjectID="_1734764421" r:id="rId47"/>
              </w:object>
            </w:r>
            <w:r>
              <w:t>, where EIRP is in W and r is in m; for example, 0.36 V/m is equivalent to 36 dBm at fixed distance of 30 m.</w:t>
            </w:r>
          </w:p>
        </w:tc>
      </w:tr>
    </w:tbl>
    <w:p w14:paraId="373CB75B" w14:textId="77777777" w:rsidR="007B1ECB" w:rsidRPr="007B1ECB" w:rsidRDefault="007B1ECB" w:rsidP="00AD2A23"/>
    <w:p w14:paraId="45B5F935" w14:textId="7909268F" w:rsidR="003674D6" w:rsidRDefault="003674D6">
      <w:pPr>
        <w:pStyle w:val="Heading3"/>
      </w:pPr>
      <w:bookmarkStart w:id="6762" w:name="_Toc53185560"/>
      <w:bookmarkStart w:id="6763" w:name="_Toc53185936"/>
      <w:bookmarkStart w:id="6764" w:name="_Toc57820422"/>
      <w:bookmarkStart w:id="6765" w:name="_Toc57821349"/>
      <w:bookmarkStart w:id="6766" w:name="_Toc61183625"/>
      <w:bookmarkStart w:id="6767" w:name="_Toc61184019"/>
      <w:bookmarkStart w:id="6768" w:name="_Toc61184411"/>
      <w:bookmarkStart w:id="6769" w:name="_Toc61184803"/>
      <w:bookmarkStart w:id="6770" w:name="_Toc61185193"/>
      <w:bookmarkStart w:id="6771" w:name="_Toc66386537"/>
      <w:bookmarkStart w:id="6772" w:name="_Toc74583440"/>
      <w:bookmarkStart w:id="6773" w:name="_Toc76542253"/>
      <w:bookmarkStart w:id="6774" w:name="_Toc82450235"/>
      <w:bookmarkStart w:id="6775" w:name="_Toc82450883"/>
      <w:bookmarkStart w:id="6776" w:name="_Toc89949272"/>
      <w:bookmarkStart w:id="6777" w:name="_Toc98755661"/>
      <w:bookmarkStart w:id="6778" w:name="_Toc98763253"/>
      <w:bookmarkStart w:id="6779" w:name="_Toc106184182"/>
      <w:r>
        <w:t>10.6.</w:t>
      </w:r>
      <w:r w:rsidR="00FD29BD">
        <w:t>3</w:t>
      </w:r>
      <w:r w:rsidR="00255E64" w:rsidRPr="007E346D">
        <w:tab/>
      </w:r>
      <w:r w:rsidR="005265C2" w:rsidRPr="003D10E8">
        <w:t>Minimum requirement for IAB-</w:t>
      </w:r>
      <w:r w:rsidR="005265C2">
        <w:t>MT type 2-O and IAB-DU</w:t>
      </w:r>
      <w:r w:rsidR="005265C2" w:rsidRPr="003D10E8">
        <w:t xml:space="preserve"> type 2-O</w:t>
      </w:r>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p>
    <w:p w14:paraId="03BDDB16" w14:textId="77777777" w:rsidR="000356D9" w:rsidRPr="00357A3A" w:rsidRDefault="000356D9" w:rsidP="000356D9">
      <w:pPr>
        <w:rPr>
          <w:lang w:eastAsia="ja-JP"/>
        </w:rPr>
      </w:pPr>
      <w:r w:rsidRPr="00357A3A">
        <w:rPr>
          <w:lang w:eastAsia="ja-JP"/>
        </w:rPr>
        <w:t>The requirement shall apply at the RIB</w:t>
      </w:r>
      <w:r w:rsidRPr="00357A3A">
        <w:rPr>
          <w:b/>
          <w:lang w:eastAsia="ja-JP"/>
        </w:rPr>
        <w:t xml:space="preserve"> </w:t>
      </w:r>
      <w:r w:rsidRPr="00357A3A">
        <w:rPr>
          <w:lang w:eastAsia="ja-JP"/>
        </w:rPr>
        <w:t xml:space="preserve">when the AoA of the incident wave of the received signal and the interfering signal are from the same direction and are within the </w:t>
      </w:r>
      <w:r w:rsidRPr="00357A3A">
        <w:rPr>
          <w:i/>
          <w:lang w:eastAsia="ja-JP"/>
        </w:rPr>
        <w:t>OTA REFSENS RoAoA</w:t>
      </w:r>
      <w:r w:rsidRPr="00357A3A">
        <w:rPr>
          <w:lang w:eastAsia="ja-JP"/>
        </w:rPr>
        <w:t>.</w:t>
      </w:r>
    </w:p>
    <w:p w14:paraId="258A9896" w14:textId="77777777" w:rsidR="000356D9" w:rsidRPr="00357A3A" w:rsidRDefault="000356D9" w:rsidP="000356D9">
      <w:pPr>
        <w:rPr>
          <w:lang w:eastAsia="ja-JP"/>
        </w:rPr>
      </w:pPr>
      <w:r w:rsidRPr="00357A3A">
        <w:rPr>
          <w:lang w:eastAsia="ja-JP"/>
        </w:rPr>
        <w:t xml:space="preserve">The wanted signal applies to </w:t>
      </w:r>
      <w:r w:rsidRPr="00357A3A">
        <w:t xml:space="preserve">each </w:t>
      </w:r>
      <w:r w:rsidRPr="00357A3A">
        <w:rPr>
          <w:lang w:eastAsia="ja-JP"/>
        </w:rPr>
        <w:t xml:space="preserve">supported polarization, under the assumption of </w:t>
      </w:r>
      <w:r w:rsidRPr="00357A3A">
        <w:rPr>
          <w:i/>
          <w:lang w:eastAsia="ja-JP"/>
        </w:rPr>
        <w:t>polarization match</w:t>
      </w:r>
      <w:r w:rsidRPr="00357A3A">
        <w:rPr>
          <w:lang w:eastAsia="ja-JP"/>
        </w:rPr>
        <w:t>. The interferer shall be polarization matched in-band and the polarization maintained for out-of-band frequencies.</w:t>
      </w:r>
    </w:p>
    <w:p w14:paraId="510C71CE" w14:textId="77777777" w:rsidR="000356D9" w:rsidRPr="00357A3A" w:rsidRDefault="000356D9" w:rsidP="000356D9">
      <w:pPr>
        <w:rPr>
          <w:lang w:eastAsia="zh-CN"/>
        </w:rPr>
      </w:pPr>
      <w:r w:rsidRPr="00357A3A">
        <w:rPr>
          <w:lang w:eastAsia="zh-CN"/>
        </w:rPr>
        <w:t xml:space="preserve">For </w:t>
      </w:r>
      <w:r>
        <w:rPr>
          <w:i/>
          <w:lang w:eastAsia="zh-CN"/>
        </w:rPr>
        <w:t>IAB</w:t>
      </w:r>
      <w:r w:rsidRPr="00357A3A">
        <w:rPr>
          <w:i/>
          <w:lang w:eastAsia="zh-CN"/>
        </w:rPr>
        <w:t xml:space="preserve"> type 2-O</w:t>
      </w:r>
      <w:r w:rsidRPr="00357A3A">
        <w:rPr>
          <w:lang w:eastAsia="zh-CN"/>
        </w:rPr>
        <w:t xml:space="preserve"> </w:t>
      </w:r>
      <w:r w:rsidRPr="00357A3A">
        <w:rPr>
          <w:rFonts w:cs="v3.8.0"/>
        </w:rPr>
        <w:t xml:space="preserve">the OTA </w:t>
      </w:r>
      <w:r w:rsidRPr="00357A3A">
        <w:t xml:space="preserve">out-of-band </w:t>
      </w:r>
      <w:r w:rsidRPr="00357A3A">
        <w:rPr>
          <w:lang w:eastAsia="zh-CN"/>
        </w:rPr>
        <w:t xml:space="preserve">blocking requirement </w:t>
      </w:r>
      <w:r w:rsidRPr="00357A3A">
        <w:rPr>
          <w:rFonts w:cs="v3.8.0"/>
        </w:rPr>
        <w:t>apply</w:t>
      </w:r>
      <w:r w:rsidRPr="00357A3A">
        <w:rPr>
          <w:lang w:eastAsia="zh-CN"/>
        </w:rPr>
        <w:t xml:space="preserve"> from 30 MHz to </w:t>
      </w:r>
      <w:r w:rsidRPr="00357A3A">
        <w:rPr>
          <w:rFonts w:cs="Arial"/>
        </w:rPr>
        <w:t>F</w:t>
      </w:r>
      <w:r w:rsidRPr="00357A3A">
        <w:rPr>
          <w:rFonts w:cs="Arial"/>
          <w:vertAlign w:val="subscript"/>
        </w:rPr>
        <w:t>UL,low</w:t>
      </w:r>
      <w:r w:rsidRPr="00357A3A">
        <w:rPr>
          <w:rFonts w:cs="Arial"/>
        </w:rPr>
        <w:t xml:space="preserve"> – 1500 MHz</w:t>
      </w:r>
      <w:r w:rsidRPr="00357A3A">
        <w:t xml:space="preserve"> and from </w:t>
      </w:r>
      <w:r w:rsidRPr="00357A3A">
        <w:rPr>
          <w:rFonts w:cs="Arial"/>
        </w:rPr>
        <w:t>F</w:t>
      </w:r>
      <w:r w:rsidRPr="00357A3A">
        <w:rPr>
          <w:rFonts w:cs="Arial"/>
          <w:vertAlign w:val="subscript"/>
        </w:rPr>
        <w:t>UL,high</w:t>
      </w:r>
      <w:r w:rsidRPr="00357A3A">
        <w:rPr>
          <w:rFonts w:cs="Arial"/>
        </w:rPr>
        <w:t xml:space="preserve"> + 1500 </w:t>
      </w:r>
      <w:r w:rsidRPr="00357A3A">
        <w:t>MHz up to 2</w:t>
      </w:r>
      <w:r w:rsidRPr="00357A3A">
        <w:rPr>
          <w:vertAlign w:val="superscript"/>
        </w:rPr>
        <w:t>nd</w:t>
      </w:r>
      <w:r w:rsidRPr="00357A3A">
        <w:t xml:space="preserve"> harmonic of the upper frequency edge of the </w:t>
      </w:r>
      <w:r w:rsidRPr="00357A3A">
        <w:rPr>
          <w:i/>
        </w:rPr>
        <w:t>operating band</w:t>
      </w:r>
      <w:r w:rsidRPr="00357A3A">
        <w:rPr>
          <w:rFonts w:cs="v3.8.0"/>
          <w:lang w:eastAsia="zh-CN"/>
        </w:rPr>
        <w:t>.</w:t>
      </w:r>
    </w:p>
    <w:p w14:paraId="6576D855" w14:textId="77777777" w:rsidR="000356D9" w:rsidRPr="00357A3A" w:rsidRDefault="000356D9" w:rsidP="000356D9">
      <w:r w:rsidRPr="00357A3A">
        <w:t>For OTA wanted and OTA interfering signals provided at the RIB using the parameters in table 10.6.</w:t>
      </w:r>
      <w:r>
        <w:t>3</w:t>
      </w:r>
      <w:r w:rsidRPr="00357A3A">
        <w:t>-1, the following requirements shall be met:</w:t>
      </w:r>
    </w:p>
    <w:p w14:paraId="1B560F52" w14:textId="3146518A" w:rsidR="000356D9" w:rsidRPr="00357A3A" w:rsidRDefault="000356D9" w:rsidP="000356D9">
      <w:pPr>
        <w:ind w:left="568" w:hanging="284"/>
      </w:pPr>
      <w:r w:rsidRPr="00357A3A">
        <w:t>-</w:t>
      </w:r>
      <w:r w:rsidRPr="00357A3A">
        <w:tab/>
        <w:t xml:space="preserve">The throughput shall be </w:t>
      </w:r>
      <w:r w:rsidRPr="00357A3A">
        <w:rPr>
          <w:rFonts w:hint="eastAsia"/>
        </w:rPr>
        <w:t>≥</w:t>
      </w:r>
      <w:r w:rsidRPr="00357A3A">
        <w:t xml:space="preserve"> 95% of the maximum throughput</w:t>
      </w:r>
      <w:r w:rsidRPr="00357A3A" w:rsidDel="00BE584A">
        <w:t xml:space="preserve"> </w:t>
      </w:r>
      <w:r w:rsidRPr="00357A3A">
        <w:t>of the reference measurement channel</w:t>
      </w:r>
      <w:r w:rsidRPr="00357A3A">
        <w:rPr>
          <w:lang w:eastAsia="zh-CN"/>
        </w:rPr>
        <w:t>.</w:t>
      </w:r>
      <w:r w:rsidRPr="00357A3A">
        <w:t xml:space="preserve"> </w:t>
      </w:r>
      <w:r w:rsidRPr="00357A3A">
        <w:rPr>
          <w:rFonts w:eastAsia="Osaka"/>
        </w:rPr>
        <w:t xml:space="preserve">The reference measurement channel for the OTA wanted signal is identified </w:t>
      </w:r>
      <w:r w:rsidRPr="00357A3A">
        <w:rPr>
          <w:lang w:eastAsia="zh-CN"/>
        </w:rPr>
        <w:t xml:space="preserve">in </w:t>
      </w:r>
      <w:r w:rsidR="0076378B" w:rsidRPr="003D10E8">
        <w:rPr>
          <w:lang w:eastAsia="zh-CN"/>
        </w:rPr>
        <w:t xml:space="preserve">subclause 10.3.2 and </w:t>
      </w:r>
      <w:r w:rsidRPr="00357A3A">
        <w:rPr>
          <w:rFonts w:eastAsia="Osaka"/>
        </w:rPr>
        <w:t>subclause 10.3.3 for each</w:t>
      </w:r>
      <w:r>
        <w:rPr>
          <w:rFonts w:eastAsia="Osaka"/>
        </w:rPr>
        <w:t xml:space="preserve"> </w:t>
      </w:r>
      <w:r>
        <w:rPr>
          <w:rFonts w:eastAsia="Osaka"/>
          <w:i/>
        </w:rPr>
        <w:t>IAB Node</w:t>
      </w:r>
      <w:r w:rsidRPr="00357A3A">
        <w:rPr>
          <w:rFonts w:eastAsia="Osaka"/>
          <w:i/>
        </w:rPr>
        <w:t xml:space="preserve"> channel bandwidth</w:t>
      </w:r>
      <w:r>
        <w:rPr>
          <w:rFonts w:eastAsia="Osaka"/>
        </w:rPr>
        <w:t>.</w:t>
      </w:r>
    </w:p>
    <w:p w14:paraId="4F96797B" w14:textId="77777777" w:rsidR="000356D9" w:rsidRPr="00357A3A" w:rsidRDefault="000356D9" w:rsidP="000356D9">
      <w:pPr>
        <w:keepNext/>
        <w:keepLines/>
        <w:spacing w:before="60"/>
        <w:jc w:val="center"/>
        <w:rPr>
          <w:rFonts w:ascii="Arial" w:hAnsi="Arial"/>
          <w:b/>
        </w:rPr>
      </w:pPr>
      <w:r w:rsidRPr="00357A3A">
        <w:rPr>
          <w:rFonts w:ascii="Arial" w:eastAsia="Osaka" w:hAnsi="Arial"/>
          <w:b/>
        </w:rPr>
        <w:t>Table 10.6.</w:t>
      </w:r>
      <w:r>
        <w:rPr>
          <w:rFonts w:ascii="Arial" w:eastAsia="Osaka" w:hAnsi="Arial"/>
          <w:b/>
        </w:rPr>
        <w:t>3</w:t>
      </w:r>
      <w:r w:rsidRPr="00357A3A">
        <w:rPr>
          <w:rFonts w:ascii="Arial" w:eastAsia="Osaka" w:hAnsi="Arial"/>
          <w:b/>
        </w:rPr>
        <w:t xml:space="preserve">-1: </w:t>
      </w:r>
      <w:r w:rsidRPr="00357A3A">
        <w:rPr>
          <w:rFonts w:ascii="Arial" w:hAnsi="Arial"/>
          <w:b/>
        </w:rPr>
        <w:t>OTA out-of-band blocking performance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1E0" w:firstRow="1" w:lastRow="1" w:firstColumn="1" w:lastColumn="1" w:noHBand="0" w:noVBand="0"/>
      </w:tblPr>
      <w:tblGrid>
        <w:gridCol w:w="4195"/>
        <w:gridCol w:w="1826"/>
        <w:gridCol w:w="1866"/>
        <w:gridCol w:w="1744"/>
      </w:tblGrid>
      <w:tr w:rsidR="000356D9" w:rsidRPr="00357A3A" w14:paraId="6947FFB1" w14:textId="77777777" w:rsidTr="00A4061E">
        <w:trPr>
          <w:tblHeader/>
          <w:jc w:val="center"/>
        </w:trPr>
        <w:tc>
          <w:tcPr>
            <w:tcW w:w="0" w:type="auto"/>
          </w:tcPr>
          <w:p w14:paraId="5ABF4277" w14:textId="77777777" w:rsidR="000356D9" w:rsidRPr="00357A3A" w:rsidRDefault="000356D9" w:rsidP="00A4061E">
            <w:pPr>
              <w:keepNext/>
              <w:keepLines/>
              <w:spacing w:after="0"/>
              <w:jc w:val="center"/>
              <w:rPr>
                <w:rFonts w:ascii="Arial" w:hAnsi="Arial"/>
                <w:b/>
                <w:sz w:val="18"/>
              </w:rPr>
            </w:pPr>
            <w:r w:rsidRPr="00357A3A">
              <w:rPr>
                <w:rFonts w:ascii="Arial" w:hAnsi="Arial"/>
                <w:b/>
                <w:sz w:val="18"/>
              </w:rPr>
              <w:t>Frequency range of interfering signal</w:t>
            </w:r>
          </w:p>
          <w:p w14:paraId="7665C6D0" w14:textId="77777777" w:rsidR="000356D9" w:rsidRPr="00357A3A" w:rsidRDefault="000356D9" w:rsidP="00A4061E">
            <w:pPr>
              <w:keepNext/>
              <w:keepLines/>
              <w:spacing w:after="0"/>
              <w:jc w:val="center"/>
              <w:rPr>
                <w:rFonts w:ascii="Arial" w:hAnsi="Arial"/>
                <w:b/>
                <w:sz w:val="18"/>
              </w:rPr>
            </w:pPr>
            <w:r w:rsidRPr="00357A3A">
              <w:rPr>
                <w:rFonts w:ascii="Arial" w:hAnsi="Arial"/>
                <w:b/>
                <w:sz w:val="18"/>
              </w:rPr>
              <w:t>(MHz)</w:t>
            </w:r>
          </w:p>
        </w:tc>
        <w:tc>
          <w:tcPr>
            <w:tcW w:w="0" w:type="auto"/>
            <w:shd w:val="clear" w:color="auto" w:fill="auto"/>
          </w:tcPr>
          <w:p w14:paraId="398915DF" w14:textId="77777777" w:rsidR="000356D9" w:rsidRPr="00357A3A" w:rsidRDefault="000356D9" w:rsidP="00A4061E">
            <w:pPr>
              <w:keepNext/>
              <w:keepLines/>
              <w:spacing w:after="0"/>
              <w:jc w:val="center"/>
              <w:rPr>
                <w:rFonts w:ascii="Arial" w:hAnsi="Arial"/>
                <w:b/>
                <w:sz w:val="18"/>
              </w:rPr>
            </w:pPr>
            <w:r w:rsidRPr="00357A3A">
              <w:rPr>
                <w:rFonts w:ascii="Arial" w:hAnsi="Arial"/>
                <w:b/>
                <w:sz w:val="18"/>
              </w:rPr>
              <w:t>Wanted signal mean power</w:t>
            </w:r>
          </w:p>
          <w:p w14:paraId="5B18CCAC" w14:textId="77777777" w:rsidR="000356D9" w:rsidRPr="00357A3A" w:rsidRDefault="000356D9" w:rsidP="00A4061E">
            <w:pPr>
              <w:keepNext/>
              <w:keepLines/>
              <w:spacing w:after="0"/>
              <w:jc w:val="center"/>
              <w:rPr>
                <w:rFonts w:ascii="Arial" w:hAnsi="Arial"/>
                <w:b/>
                <w:sz w:val="18"/>
                <w:lang w:val="en-US"/>
              </w:rPr>
            </w:pPr>
            <w:r w:rsidRPr="00357A3A">
              <w:rPr>
                <w:rFonts w:ascii="Arial" w:hAnsi="Arial"/>
                <w:b/>
                <w:sz w:val="18"/>
              </w:rPr>
              <w:t>(dBm)</w:t>
            </w:r>
          </w:p>
        </w:tc>
        <w:tc>
          <w:tcPr>
            <w:tcW w:w="0" w:type="auto"/>
          </w:tcPr>
          <w:p w14:paraId="6170D952" w14:textId="77777777" w:rsidR="000356D9" w:rsidRPr="00357A3A" w:rsidRDefault="000356D9" w:rsidP="00A4061E">
            <w:pPr>
              <w:keepNext/>
              <w:keepLines/>
              <w:spacing w:after="0"/>
              <w:jc w:val="center"/>
              <w:rPr>
                <w:rFonts w:ascii="Arial" w:hAnsi="Arial"/>
                <w:b/>
                <w:sz w:val="18"/>
                <w:lang w:val="en-US"/>
              </w:rPr>
            </w:pPr>
            <w:r w:rsidRPr="00357A3A">
              <w:rPr>
                <w:rFonts w:ascii="Arial" w:hAnsi="Arial"/>
                <w:b/>
                <w:sz w:val="18"/>
                <w:lang w:val="en-US"/>
              </w:rPr>
              <w:t>Interferer RMS field-strength</w:t>
            </w:r>
          </w:p>
          <w:p w14:paraId="414DFBC6" w14:textId="77777777" w:rsidR="000356D9" w:rsidRPr="00357A3A" w:rsidRDefault="000356D9" w:rsidP="00A4061E">
            <w:pPr>
              <w:keepNext/>
              <w:keepLines/>
              <w:spacing w:after="0"/>
              <w:jc w:val="center"/>
              <w:rPr>
                <w:rFonts w:ascii="Arial" w:hAnsi="Arial"/>
                <w:b/>
                <w:sz w:val="18"/>
              </w:rPr>
            </w:pPr>
            <w:r w:rsidRPr="00357A3A">
              <w:rPr>
                <w:rFonts w:ascii="Arial" w:hAnsi="Arial"/>
                <w:b/>
                <w:sz w:val="18"/>
                <w:lang w:val="en-US"/>
              </w:rPr>
              <w:t>(V/m)</w:t>
            </w:r>
          </w:p>
        </w:tc>
        <w:tc>
          <w:tcPr>
            <w:tcW w:w="0" w:type="auto"/>
          </w:tcPr>
          <w:p w14:paraId="67C0C4BA" w14:textId="77777777" w:rsidR="000356D9" w:rsidRPr="00357A3A" w:rsidRDefault="000356D9" w:rsidP="00A4061E">
            <w:pPr>
              <w:keepNext/>
              <w:keepLines/>
              <w:spacing w:after="0"/>
              <w:jc w:val="center"/>
              <w:rPr>
                <w:rFonts w:ascii="Arial" w:hAnsi="Arial"/>
                <w:b/>
                <w:sz w:val="18"/>
              </w:rPr>
            </w:pPr>
            <w:r w:rsidRPr="00357A3A">
              <w:rPr>
                <w:rFonts w:ascii="Arial" w:hAnsi="Arial"/>
                <w:b/>
                <w:sz w:val="18"/>
              </w:rPr>
              <w:t>Type of interfering signal</w:t>
            </w:r>
          </w:p>
        </w:tc>
      </w:tr>
      <w:tr w:rsidR="000356D9" w:rsidRPr="00357A3A" w14:paraId="2F21A062" w14:textId="77777777" w:rsidTr="00A4061E">
        <w:trPr>
          <w:jc w:val="center"/>
        </w:trPr>
        <w:tc>
          <w:tcPr>
            <w:tcW w:w="0" w:type="auto"/>
          </w:tcPr>
          <w:p w14:paraId="0A290744" w14:textId="77777777" w:rsidR="000356D9" w:rsidRPr="00357A3A" w:rsidRDefault="000356D9" w:rsidP="00A4061E">
            <w:pPr>
              <w:keepNext/>
              <w:keepLines/>
              <w:spacing w:after="0"/>
              <w:jc w:val="center"/>
              <w:rPr>
                <w:rFonts w:ascii="Arial" w:hAnsi="Arial"/>
                <w:sz w:val="18"/>
              </w:rPr>
            </w:pPr>
            <w:r w:rsidRPr="00357A3A">
              <w:rPr>
                <w:rFonts w:ascii="Arial" w:hAnsi="Arial"/>
                <w:sz w:val="18"/>
              </w:rPr>
              <w:t>30 to 12750</w:t>
            </w:r>
          </w:p>
        </w:tc>
        <w:tc>
          <w:tcPr>
            <w:tcW w:w="0" w:type="auto"/>
            <w:shd w:val="clear" w:color="auto" w:fill="auto"/>
          </w:tcPr>
          <w:p w14:paraId="630866A3" w14:textId="07136DC2" w:rsidR="000356D9" w:rsidRPr="00357A3A" w:rsidRDefault="000356D9" w:rsidP="00A4061E">
            <w:pPr>
              <w:keepNext/>
              <w:keepLines/>
              <w:spacing w:after="0"/>
              <w:jc w:val="center"/>
              <w:rPr>
                <w:rFonts w:ascii="Arial" w:hAnsi="Arial"/>
                <w:sz w:val="18"/>
              </w:rPr>
            </w:pPr>
            <w:r w:rsidRPr="00357A3A">
              <w:rPr>
                <w:rFonts w:ascii="Arial" w:hAnsi="Arial" w:cs="Arial"/>
                <w:sz w:val="18"/>
              </w:rPr>
              <w:t>EIS</w:t>
            </w:r>
            <w:r w:rsidRPr="00357A3A">
              <w:rPr>
                <w:rFonts w:ascii="Arial" w:hAnsi="Arial" w:cs="Arial"/>
                <w:sz w:val="18"/>
                <w:vertAlign w:val="subscript"/>
              </w:rPr>
              <w:t>REFSENS</w:t>
            </w:r>
            <w:r w:rsidRPr="00357A3A">
              <w:rPr>
                <w:rFonts w:ascii="Arial" w:hAnsi="Arial" w:cs="Arial"/>
                <w:sz w:val="18"/>
              </w:rPr>
              <w:t xml:space="preserve"> + </w:t>
            </w:r>
            <w:r w:rsidR="0074072F">
              <w:rPr>
                <w:rFonts w:ascii="Arial" w:hAnsi="Arial" w:cs="Arial"/>
                <w:sz w:val="18"/>
              </w:rPr>
              <w:t>6</w:t>
            </w:r>
            <w:r w:rsidR="0074072F" w:rsidRPr="00357A3A">
              <w:rPr>
                <w:rFonts w:ascii="Arial" w:hAnsi="Arial" w:cs="Arial"/>
                <w:sz w:val="18"/>
              </w:rPr>
              <w:t xml:space="preserve"> </w:t>
            </w:r>
            <w:r w:rsidRPr="00357A3A">
              <w:rPr>
                <w:rFonts w:ascii="Arial" w:hAnsi="Arial" w:cs="Arial"/>
                <w:sz w:val="18"/>
              </w:rPr>
              <w:t>dB</w:t>
            </w:r>
          </w:p>
        </w:tc>
        <w:tc>
          <w:tcPr>
            <w:tcW w:w="0" w:type="auto"/>
          </w:tcPr>
          <w:p w14:paraId="54565820" w14:textId="66DC76B9" w:rsidR="000356D9" w:rsidRPr="00357A3A" w:rsidRDefault="000356D9" w:rsidP="00A4061E">
            <w:pPr>
              <w:keepNext/>
              <w:keepLines/>
              <w:spacing w:after="0"/>
              <w:jc w:val="center"/>
              <w:rPr>
                <w:rFonts w:ascii="Arial" w:hAnsi="Arial" w:cs="Arial"/>
                <w:sz w:val="18"/>
              </w:rPr>
            </w:pPr>
            <w:r w:rsidRPr="00357A3A">
              <w:rPr>
                <w:rFonts w:ascii="Arial" w:hAnsi="Arial"/>
                <w:sz w:val="18"/>
              </w:rPr>
              <w:t>0.36</w:t>
            </w:r>
          </w:p>
        </w:tc>
        <w:tc>
          <w:tcPr>
            <w:tcW w:w="0" w:type="auto"/>
          </w:tcPr>
          <w:p w14:paraId="0F7FA675" w14:textId="77777777" w:rsidR="000356D9" w:rsidRPr="00357A3A" w:rsidRDefault="000356D9" w:rsidP="00A4061E">
            <w:pPr>
              <w:keepNext/>
              <w:keepLines/>
              <w:spacing w:after="0"/>
              <w:jc w:val="center"/>
              <w:rPr>
                <w:rFonts w:ascii="Arial" w:hAnsi="Arial"/>
                <w:sz w:val="18"/>
              </w:rPr>
            </w:pPr>
            <w:r w:rsidRPr="00357A3A">
              <w:rPr>
                <w:rFonts w:ascii="Arial" w:hAnsi="Arial"/>
                <w:sz w:val="18"/>
              </w:rPr>
              <w:t>CW</w:t>
            </w:r>
          </w:p>
        </w:tc>
      </w:tr>
      <w:tr w:rsidR="000356D9" w:rsidRPr="00357A3A" w14:paraId="33C72B67" w14:textId="77777777" w:rsidTr="00A4061E">
        <w:trPr>
          <w:jc w:val="center"/>
        </w:trPr>
        <w:tc>
          <w:tcPr>
            <w:tcW w:w="0" w:type="auto"/>
          </w:tcPr>
          <w:p w14:paraId="3812AD30" w14:textId="77777777" w:rsidR="000356D9" w:rsidRPr="00357A3A" w:rsidRDefault="000356D9" w:rsidP="00A4061E">
            <w:pPr>
              <w:keepNext/>
              <w:keepLines/>
              <w:spacing w:after="0"/>
              <w:jc w:val="center"/>
              <w:rPr>
                <w:rFonts w:ascii="Arial" w:hAnsi="Arial"/>
                <w:sz w:val="18"/>
              </w:rPr>
            </w:pPr>
            <w:r w:rsidRPr="00357A3A">
              <w:rPr>
                <w:rFonts w:ascii="Arial" w:hAnsi="Arial"/>
                <w:sz w:val="18"/>
              </w:rPr>
              <w:t>12750 to F</w:t>
            </w:r>
            <w:r w:rsidRPr="00357A3A">
              <w:rPr>
                <w:rFonts w:ascii="Arial" w:hAnsi="Arial"/>
                <w:sz w:val="18"/>
                <w:vertAlign w:val="subscript"/>
              </w:rPr>
              <w:t>UL</w:t>
            </w:r>
            <w:r w:rsidRPr="00357A3A">
              <w:rPr>
                <w:rFonts w:ascii="Arial" w:hAnsi="Arial" w:cs="Arial"/>
                <w:sz w:val="18"/>
                <w:vertAlign w:val="subscript"/>
              </w:rPr>
              <w:t xml:space="preserve">,low </w:t>
            </w:r>
            <w:r w:rsidRPr="00357A3A">
              <w:rPr>
                <w:rFonts w:ascii="Arial" w:hAnsi="Arial" w:cs="Arial"/>
                <w:sz w:val="18"/>
              </w:rPr>
              <w:t>– 1500</w:t>
            </w:r>
          </w:p>
        </w:tc>
        <w:tc>
          <w:tcPr>
            <w:tcW w:w="0" w:type="auto"/>
            <w:shd w:val="clear" w:color="auto" w:fill="auto"/>
          </w:tcPr>
          <w:p w14:paraId="3F8ADF42" w14:textId="4108982C" w:rsidR="000356D9" w:rsidRPr="00357A3A" w:rsidRDefault="000356D9" w:rsidP="00A4061E">
            <w:pPr>
              <w:keepNext/>
              <w:keepLines/>
              <w:spacing w:after="0"/>
              <w:jc w:val="center"/>
              <w:rPr>
                <w:rFonts w:ascii="Arial" w:hAnsi="Arial"/>
                <w:sz w:val="18"/>
              </w:rPr>
            </w:pPr>
            <w:r w:rsidRPr="00357A3A">
              <w:rPr>
                <w:rFonts w:ascii="Arial" w:hAnsi="Arial" w:cs="Arial"/>
                <w:sz w:val="18"/>
              </w:rPr>
              <w:t>EIS</w:t>
            </w:r>
            <w:r w:rsidRPr="00357A3A">
              <w:rPr>
                <w:rFonts w:ascii="Arial" w:hAnsi="Arial" w:cs="Arial"/>
                <w:sz w:val="18"/>
                <w:vertAlign w:val="subscript"/>
              </w:rPr>
              <w:t>REFSENS</w:t>
            </w:r>
            <w:r w:rsidRPr="00357A3A">
              <w:rPr>
                <w:rFonts w:ascii="Arial" w:hAnsi="Arial" w:cs="Arial"/>
                <w:sz w:val="18"/>
              </w:rPr>
              <w:t xml:space="preserve"> + </w:t>
            </w:r>
            <w:r w:rsidR="003A2555">
              <w:rPr>
                <w:rFonts w:ascii="Arial" w:hAnsi="Arial" w:cs="Arial"/>
                <w:sz w:val="18"/>
              </w:rPr>
              <w:t>6</w:t>
            </w:r>
            <w:r w:rsidRPr="00357A3A">
              <w:rPr>
                <w:rFonts w:ascii="Arial" w:hAnsi="Arial" w:cs="Arial"/>
                <w:sz w:val="18"/>
              </w:rPr>
              <w:t xml:space="preserve"> dB</w:t>
            </w:r>
          </w:p>
        </w:tc>
        <w:tc>
          <w:tcPr>
            <w:tcW w:w="0" w:type="auto"/>
          </w:tcPr>
          <w:p w14:paraId="4DA3B221" w14:textId="22F720F7" w:rsidR="000356D9" w:rsidRPr="00357A3A" w:rsidRDefault="000356D9" w:rsidP="00A4061E">
            <w:pPr>
              <w:keepNext/>
              <w:keepLines/>
              <w:spacing w:after="0"/>
              <w:jc w:val="center"/>
              <w:rPr>
                <w:rFonts w:ascii="Arial" w:hAnsi="Arial" w:cs="Arial"/>
                <w:sz w:val="18"/>
              </w:rPr>
            </w:pPr>
            <w:r w:rsidRPr="00357A3A">
              <w:rPr>
                <w:rFonts w:ascii="Arial" w:hAnsi="Arial"/>
                <w:sz w:val="18"/>
              </w:rPr>
              <w:t>0.1</w:t>
            </w:r>
          </w:p>
        </w:tc>
        <w:tc>
          <w:tcPr>
            <w:tcW w:w="0" w:type="auto"/>
          </w:tcPr>
          <w:p w14:paraId="1BF57CF3" w14:textId="77777777" w:rsidR="000356D9" w:rsidRPr="00357A3A" w:rsidRDefault="000356D9" w:rsidP="00A4061E">
            <w:pPr>
              <w:keepNext/>
              <w:keepLines/>
              <w:spacing w:after="0"/>
              <w:jc w:val="center"/>
              <w:rPr>
                <w:rFonts w:ascii="Arial" w:hAnsi="Arial"/>
                <w:sz w:val="18"/>
              </w:rPr>
            </w:pPr>
            <w:r w:rsidRPr="00357A3A">
              <w:rPr>
                <w:rFonts w:ascii="Arial" w:hAnsi="Arial"/>
                <w:sz w:val="18"/>
              </w:rPr>
              <w:t>CW</w:t>
            </w:r>
          </w:p>
        </w:tc>
      </w:tr>
      <w:tr w:rsidR="000356D9" w:rsidRPr="00357A3A" w14:paraId="18A86263" w14:textId="77777777" w:rsidTr="00A4061E">
        <w:trPr>
          <w:jc w:val="center"/>
        </w:trPr>
        <w:tc>
          <w:tcPr>
            <w:tcW w:w="0" w:type="auto"/>
          </w:tcPr>
          <w:p w14:paraId="7AD8DFF0" w14:textId="77777777" w:rsidR="000356D9" w:rsidRPr="00357A3A" w:rsidRDefault="000356D9" w:rsidP="00A4061E">
            <w:pPr>
              <w:keepNext/>
              <w:keepLines/>
              <w:spacing w:after="0"/>
              <w:jc w:val="center"/>
              <w:rPr>
                <w:rFonts w:ascii="Arial" w:hAnsi="Arial"/>
                <w:sz w:val="18"/>
              </w:rPr>
            </w:pPr>
            <w:r w:rsidRPr="00357A3A">
              <w:rPr>
                <w:rFonts w:ascii="Arial" w:hAnsi="Arial"/>
                <w:sz w:val="18"/>
              </w:rPr>
              <w:t>F</w:t>
            </w:r>
            <w:r w:rsidRPr="00357A3A">
              <w:rPr>
                <w:rFonts w:ascii="Arial" w:hAnsi="Arial"/>
                <w:sz w:val="18"/>
                <w:vertAlign w:val="subscript"/>
              </w:rPr>
              <w:t>UL</w:t>
            </w:r>
            <w:r w:rsidRPr="00357A3A">
              <w:rPr>
                <w:rFonts w:ascii="Arial" w:hAnsi="Arial" w:cs="Arial"/>
                <w:sz w:val="18"/>
                <w:vertAlign w:val="subscript"/>
              </w:rPr>
              <w:t xml:space="preserve">,high </w:t>
            </w:r>
            <w:r w:rsidRPr="00357A3A">
              <w:rPr>
                <w:rFonts w:ascii="Arial" w:hAnsi="Arial" w:cs="Arial"/>
                <w:sz w:val="18"/>
              </w:rPr>
              <w:t>+ 1500</w:t>
            </w:r>
            <w:r w:rsidRPr="00357A3A">
              <w:rPr>
                <w:rFonts w:ascii="Arial" w:hAnsi="Arial"/>
                <w:sz w:val="18"/>
              </w:rPr>
              <w:t xml:space="preserve"> to 2</w:t>
            </w:r>
            <w:r w:rsidRPr="00357A3A">
              <w:rPr>
                <w:rFonts w:ascii="Arial" w:hAnsi="Arial"/>
                <w:sz w:val="18"/>
                <w:vertAlign w:val="superscript"/>
              </w:rPr>
              <w:t>nd</w:t>
            </w:r>
            <w:r w:rsidRPr="00357A3A">
              <w:rPr>
                <w:rFonts w:ascii="Arial" w:hAnsi="Arial"/>
                <w:sz w:val="18"/>
              </w:rPr>
              <w:t xml:space="preserve"> harmonic of the upper frequency edge of the </w:t>
            </w:r>
            <w:r w:rsidRPr="00357A3A">
              <w:rPr>
                <w:rFonts w:ascii="Arial" w:hAnsi="Arial"/>
                <w:i/>
                <w:sz w:val="18"/>
              </w:rPr>
              <w:t>operating band</w:t>
            </w:r>
          </w:p>
        </w:tc>
        <w:tc>
          <w:tcPr>
            <w:tcW w:w="0" w:type="auto"/>
            <w:shd w:val="clear" w:color="auto" w:fill="auto"/>
          </w:tcPr>
          <w:p w14:paraId="6D13EC00" w14:textId="7D5B9A1E" w:rsidR="000356D9" w:rsidRPr="00357A3A" w:rsidRDefault="000356D9" w:rsidP="00A4061E">
            <w:pPr>
              <w:keepNext/>
              <w:keepLines/>
              <w:spacing w:after="0"/>
              <w:jc w:val="center"/>
              <w:rPr>
                <w:rFonts w:ascii="Arial" w:hAnsi="Arial"/>
                <w:sz w:val="18"/>
              </w:rPr>
            </w:pPr>
            <w:r w:rsidRPr="00357A3A">
              <w:rPr>
                <w:rFonts w:ascii="Arial" w:hAnsi="Arial" w:cs="Arial"/>
                <w:sz w:val="18"/>
              </w:rPr>
              <w:t>EIS</w:t>
            </w:r>
            <w:r w:rsidRPr="00357A3A">
              <w:rPr>
                <w:rFonts w:ascii="Arial" w:hAnsi="Arial" w:cs="Arial"/>
                <w:sz w:val="18"/>
                <w:vertAlign w:val="subscript"/>
              </w:rPr>
              <w:t>REFSENS</w:t>
            </w:r>
            <w:r w:rsidRPr="00357A3A">
              <w:rPr>
                <w:rFonts w:ascii="Arial" w:hAnsi="Arial" w:cs="Arial"/>
                <w:sz w:val="18"/>
              </w:rPr>
              <w:t xml:space="preserve"> + </w:t>
            </w:r>
            <w:r w:rsidR="003A2555">
              <w:rPr>
                <w:rFonts w:ascii="Arial" w:hAnsi="Arial" w:cs="Arial"/>
                <w:sz w:val="18"/>
              </w:rPr>
              <w:t>6</w:t>
            </w:r>
            <w:r w:rsidRPr="00357A3A">
              <w:rPr>
                <w:rFonts w:ascii="Arial" w:hAnsi="Arial" w:cs="Arial"/>
                <w:sz w:val="18"/>
              </w:rPr>
              <w:t xml:space="preserve"> dB</w:t>
            </w:r>
          </w:p>
        </w:tc>
        <w:tc>
          <w:tcPr>
            <w:tcW w:w="0" w:type="auto"/>
          </w:tcPr>
          <w:p w14:paraId="3051B8E8" w14:textId="7DEF1816" w:rsidR="000356D9" w:rsidRPr="00357A3A" w:rsidRDefault="000356D9" w:rsidP="00A4061E">
            <w:pPr>
              <w:keepNext/>
              <w:keepLines/>
              <w:spacing w:after="0"/>
              <w:jc w:val="center"/>
              <w:rPr>
                <w:rFonts w:ascii="Arial" w:hAnsi="Arial" w:cs="Arial"/>
                <w:sz w:val="18"/>
              </w:rPr>
            </w:pPr>
            <w:r w:rsidRPr="00357A3A">
              <w:rPr>
                <w:rFonts w:ascii="Arial" w:hAnsi="Arial" w:cs="Arial"/>
                <w:sz w:val="18"/>
              </w:rPr>
              <w:t>0.1</w:t>
            </w:r>
          </w:p>
        </w:tc>
        <w:tc>
          <w:tcPr>
            <w:tcW w:w="0" w:type="auto"/>
          </w:tcPr>
          <w:p w14:paraId="4A2F6E54" w14:textId="77777777" w:rsidR="000356D9" w:rsidRPr="00357A3A" w:rsidRDefault="000356D9" w:rsidP="00A4061E">
            <w:pPr>
              <w:keepNext/>
              <w:keepLines/>
              <w:spacing w:after="0"/>
              <w:jc w:val="center"/>
              <w:rPr>
                <w:rFonts w:ascii="Arial" w:hAnsi="Arial"/>
                <w:sz w:val="18"/>
              </w:rPr>
            </w:pPr>
            <w:r w:rsidRPr="00357A3A">
              <w:rPr>
                <w:rFonts w:ascii="Arial" w:hAnsi="Arial"/>
                <w:sz w:val="18"/>
              </w:rPr>
              <w:t>CW</w:t>
            </w:r>
          </w:p>
        </w:tc>
      </w:tr>
    </w:tbl>
    <w:p w14:paraId="176CAADA" w14:textId="5AEE00CC" w:rsidR="007B1ECB" w:rsidRDefault="007B1ECB" w:rsidP="00AD2A23"/>
    <w:p w14:paraId="4B17F42D" w14:textId="77777777" w:rsidR="009A4FAE" w:rsidRPr="00EB236F" w:rsidRDefault="009A4FAE" w:rsidP="00A043EA">
      <w:pPr>
        <w:pStyle w:val="Heading3"/>
      </w:pPr>
      <w:bookmarkStart w:id="6780" w:name="_Toc66386538"/>
      <w:bookmarkStart w:id="6781" w:name="_Toc74583441"/>
      <w:bookmarkStart w:id="6782" w:name="_Toc76542254"/>
      <w:bookmarkStart w:id="6783" w:name="_Toc82450236"/>
      <w:bookmarkStart w:id="6784" w:name="_Toc82450884"/>
      <w:bookmarkStart w:id="6785" w:name="_Toc89949273"/>
      <w:bookmarkStart w:id="6786" w:name="_Toc98755662"/>
      <w:bookmarkStart w:id="6787" w:name="_Toc98763254"/>
      <w:bookmarkStart w:id="6788" w:name="_Toc106184183"/>
      <w:r w:rsidRPr="00EB236F">
        <w:t>10.6.</w:t>
      </w:r>
      <w:r>
        <w:t>4</w:t>
      </w:r>
      <w:r w:rsidRPr="00EB236F">
        <w:tab/>
        <w:t xml:space="preserve">Co-location </w:t>
      </w:r>
      <w:r>
        <w:t>m</w:t>
      </w:r>
      <w:r w:rsidRPr="00EB236F">
        <w:t xml:space="preserve">inimum requirement for IAB-MT type </w:t>
      </w:r>
      <w:r>
        <w:t>1</w:t>
      </w:r>
      <w:r w:rsidRPr="00EB236F">
        <w:t xml:space="preserve">-O and IAB-DU type </w:t>
      </w:r>
      <w:r>
        <w:t>1</w:t>
      </w:r>
      <w:r w:rsidRPr="00EB236F">
        <w:t>-O</w:t>
      </w:r>
      <w:bookmarkEnd w:id="6780"/>
      <w:bookmarkEnd w:id="6781"/>
      <w:bookmarkEnd w:id="6782"/>
      <w:bookmarkEnd w:id="6783"/>
      <w:bookmarkEnd w:id="6784"/>
      <w:bookmarkEnd w:id="6785"/>
      <w:bookmarkEnd w:id="6786"/>
      <w:bookmarkEnd w:id="6787"/>
      <w:bookmarkEnd w:id="6788"/>
    </w:p>
    <w:p w14:paraId="70FF3AFC" w14:textId="77777777" w:rsidR="009A4FAE" w:rsidRPr="00E26D09" w:rsidRDefault="009A4FAE" w:rsidP="009A4FAE">
      <w:r w:rsidRPr="00E26D09">
        <w:t xml:space="preserve">This additional OTA out-of-band blocking requirement may be applied for the protection of </w:t>
      </w:r>
      <w:r>
        <w:t>IAB</w:t>
      </w:r>
      <w:r w:rsidRPr="00E26D09">
        <w:t xml:space="preserve"> receivers when NR, E</w:t>
      </w:r>
      <w:r w:rsidRPr="00E26D09">
        <w:noBreakHyphen/>
        <w:t xml:space="preserve">UTRA BS, UTRA BS, CDMA BS </w:t>
      </w:r>
      <w:r>
        <w:t xml:space="preserve">, </w:t>
      </w:r>
      <w:r w:rsidRPr="00E26D09">
        <w:t xml:space="preserve">GSM/EDGE BS </w:t>
      </w:r>
      <w:r>
        <w:t xml:space="preserve">or </w:t>
      </w:r>
      <w:r>
        <w:rPr>
          <w:rFonts w:cs="v5.0.0"/>
        </w:rPr>
        <w:t xml:space="preserve">IAB-DU and/or IAB-MT </w:t>
      </w:r>
      <w:r w:rsidRPr="00E26D09">
        <w:t>operating in a different frequency band are co-located with a</w:t>
      </w:r>
      <w:r>
        <w:t>n IAB-Node</w:t>
      </w:r>
      <w:r w:rsidRPr="00E26D09">
        <w:t>.</w:t>
      </w:r>
    </w:p>
    <w:p w14:paraId="0A86D12F" w14:textId="77777777" w:rsidR="009A4FAE" w:rsidRPr="00E26D09" w:rsidRDefault="009A4FAE" w:rsidP="009A4FAE">
      <w:pPr>
        <w:rPr>
          <w:rFonts w:cs="v5.0.0"/>
        </w:rPr>
      </w:pPr>
      <w:r w:rsidRPr="00E26D09">
        <w:rPr>
          <w:rFonts w:cs="v5.0.0"/>
        </w:rPr>
        <w:lastRenderedPageBreak/>
        <w:t xml:space="preserve">The requirement is a co-location requirement. The interferer power levels are specified at the </w:t>
      </w:r>
      <w:r w:rsidRPr="00E26D09">
        <w:rPr>
          <w:rFonts w:cs="v5.0.0"/>
          <w:i/>
        </w:rPr>
        <w:t>co-location reference antenna</w:t>
      </w:r>
      <w:r w:rsidRPr="00E26D09">
        <w:rPr>
          <w:rFonts w:cs="v5.0.0"/>
        </w:rPr>
        <w:t xml:space="preserve"> conducted input.</w:t>
      </w:r>
      <w:r w:rsidRPr="00E26D09">
        <w:rPr>
          <w:lang w:eastAsia="ja-JP"/>
        </w:rPr>
        <w:t xml:space="preserve"> The interfering signal power is specified per supported polarization.</w:t>
      </w:r>
    </w:p>
    <w:p w14:paraId="7113A075" w14:textId="77777777" w:rsidR="009A4FAE" w:rsidRPr="00E26D09" w:rsidRDefault="009A4FAE" w:rsidP="009A4FAE">
      <w:r w:rsidRPr="00E26D09">
        <w:rPr>
          <w:rFonts w:cs="v5.0.0"/>
        </w:rPr>
        <w:t>The requirement is valid over the</w:t>
      </w:r>
      <w:r w:rsidRPr="00E26D09">
        <w:t xml:space="preserve"> </w:t>
      </w:r>
      <w:r w:rsidRPr="00E26D09">
        <w:rPr>
          <w:i/>
        </w:rPr>
        <w:t>minSENS RoAoA</w:t>
      </w:r>
      <w:r w:rsidRPr="00E26D09">
        <w:t>.</w:t>
      </w:r>
    </w:p>
    <w:p w14:paraId="18FFA50A" w14:textId="77777777" w:rsidR="009A4FAE" w:rsidRPr="00E26D09" w:rsidRDefault="009A4FAE" w:rsidP="009A4FAE">
      <w:r w:rsidRPr="00E26D09">
        <w:t>For OTA wanted and OTA interfering signal provided at the RIB using the parameters in table 10.6.</w:t>
      </w:r>
      <w:r>
        <w:t>4</w:t>
      </w:r>
      <w:r w:rsidRPr="00E26D09">
        <w:t>-</w:t>
      </w:r>
      <w:r>
        <w:t>1</w:t>
      </w:r>
      <w:r w:rsidRPr="00E26D09">
        <w:t>, the following requirements shall be met:</w:t>
      </w:r>
    </w:p>
    <w:p w14:paraId="226B1FEA" w14:textId="77777777" w:rsidR="009A4FAE" w:rsidRPr="00E26D09" w:rsidRDefault="009A4FAE" w:rsidP="009A4FAE">
      <w:pPr>
        <w:pStyle w:val="B10"/>
      </w:pPr>
      <w:r w:rsidRPr="00E26D09">
        <w:t>-</w:t>
      </w:r>
      <w:r w:rsidRPr="00E26D09">
        <w:tab/>
        <w:t xml:space="preserve">The throughput shall be </w:t>
      </w:r>
      <w:r w:rsidRPr="00E26D09">
        <w:rPr>
          <w:rFonts w:hint="eastAsia"/>
        </w:rPr>
        <w:t>≥</w:t>
      </w:r>
      <w:r w:rsidRPr="00E26D09">
        <w:t xml:space="preserve"> 95% of the maximum throughput</w:t>
      </w:r>
      <w:r w:rsidRPr="00E26D09" w:rsidDel="00BE584A">
        <w:t xml:space="preserve"> </w:t>
      </w:r>
      <w:r w:rsidRPr="00E26D09">
        <w:t>of the reference measurement channel</w:t>
      </w:r>
      <w:r w:rsidRPr="00E26D09">
        <w:rPr>
          <w:lang w:eastAsia="zh-CN"/>
        </w:rPr>
        <w:t>.</w:t>
      </w:r>
      <w:r w:rsidRPr="00E26D09">
        <w:t xml:space="preserve"> </w:t>
      </w:r>
      <w:r w:rsidRPr="00E26D09">
        <w:rPr>
          <w:rFonts w:eastAsia="Osaka"/>
        </w:rPr>
        <w:t xml:space="preserve">The reference measurement channel for the OTA wanted signal is identified </w:t>
      </w:r>
      <w:r w:rsidRPr="00E26D09">
        <w:rPr>
          <w:lang w:eastAsia="zh-CN"/>
        </w:rPr>
        <w:t xml:space="preserve">in </w:t>
      </w:r>
      <w:r>
        <w:rPr>
          <w:rFonts w:eastAsia="Osaka"/>
        </w:rPr>
        <w:t>clause</w:t>
      </w:r>
      <w:r w:rsidRPr="00E26D09">
        <w:rPr>
          <w:rFonts w:eastAsia="Osaka"/>
        </w:rPr>
        <w:t xml:space="preserve"> 10.3 for each </w:t>
      </w:r>
      <w:r>
        <w:rPr>
          <w:rFonts w:eastAsia="Osaka"/>
          <w:i/>
        </w:rPr>
        <w:t>IAB</w:t>
      </w:r>
      <w:r w:rsidRPr="00E26D09">
        <w:rPr>
          <w:rFonts w:eastAsia="Osaka"/>
          <w:i/>
        </w:rPr>
        <w:t xml:space="preserve"> channel bandwidth</w:t>
      </w:r>
      <w:r w:rsidRPr="00E26D09">
        <w:rPr>
          <w:rFonts w:eastAsia="Osaka"/>
        </w:rPr>
        <w:t xml:space="preserve"> and further specified in annex A.1. The characteristics of the interfering signal is further specified in annex </w:t>
      </w:r>
      <w:r>
        <w:rPr>
          <w:rFonts w:eastAsia="Osaka"/>
        </w:rPr>
        <w:t>F</w:t>
      </w:r>
      <w:r w:rsidRPr="00E26D09">
        <w:rPr>
          <w:rFonts w:eastAsia="Osaka"/>
        </w:rPr>
        <w:t>.</w:t>
      </w:r>
    </w:p>
    <w:p w14:paraId="02B41F17" w14:textId="77777777" w:rsidR="009A4FAE" w:rsidRPr="00E26D09" w:rsidRDefault="009A4FAE" w:rsidP="009A4FAE">
      <w:pPr>
        <w:rPr>
          <w:lang w:eastAsia="zh-CN"/>
        </w:rPr>
      </w:pPr>
      <w:r w:rsidRPr="00E26D09">
        <w:rPr>
          <w:lang w:eastAsia="zh-CN"/>
        </w:rPr>
        <w:t xml:space="preserve">For </w:t>
      </w:r>
      <w:r>
        <w:rPr>
          <w:i/>
          <w:lang w:eastAsia="zh-CN"/>
        </w:rPr>
        <w:t>IAB</w:t>
      </w:r>
      <w:r w:rsidRPr="00E26D09">
        <w:rPr>
          <w:i/>
          <w:lang w:eastAsia="zh-CN"/>
        </w:rPr>
        <w:t xml:space="preserve"> type 1-O</w:t>
      </w:r>
      <w:r w:rsidRPr="00E26D09">
        <w:rPr>
          <w:lang w:eastAsia="zh-CN"/>
        </w:rPr>
        <w:t xml:space="preserve"> </w:t>
      </w:r>
      <w:r w:rsidRPr="00E26D09">
        <w:rPr>
          <w:rFonts w:cs="v3.8.0"/>
        </w:rPr>
        <w:t xml:space="preserve">the </w:t>
      </w:r>
      <w:r w:rsidRPr="00E26D09">
        <w:rPr>
          <w:rFonts w:eastAsia="Osaka"/>
        </w:rPr>
        <w:t xml:space="preserve">OTA </w:t>
      </w:r>
      <w:r w:rsidRPr="00E26D09">
        <w:t xml:space="preserve">blocking requirement for co-location with BS </w:t>
      </w:r>
      <w:r>
        <w:t xml:space="preserve">or IAB-Node </w:t>
      </w:r>
      <w:r w:rsidRPr="00E26D09">
        <w:t>in other frequency bands</w:t>
      </w:r>
      <w:r w:rsidRPr="00E26D09" w:rsidDel="00442473">
        <w:rPr>
          <w:rFonts w:cs="v3.8.0"/>
        </w:rPr>
        <w:t xml:space="preserve"> </w:t>
      </w:r>
      <w:r w:rsidRPr="00E26D09">
        <w:t xml:space="preserve">is applied </w:t>
      </w:r>
      <w:r w:rsidRPr="00E26D09">
        <w:rPr>
          <w:lang w:eastAsia="zh-CN"/>
        </w:rPr>
        <w:t xml:space="preserve">for all </w:t>
      </w:r>
      <w:r w:rsidRPr="00E26D09">
        <w:rPr>
          <w:i/>
          <w:lang w:eastAsia="zh-CN"/>
        </w:rPr>
        <w:t>operating bands</w:t>
      </w:r>
      <w:r w:rsidRPr="00E26D09">
        <w:rPr>
          <w:lang w:eastAsia="zh-CN"/>
        </w:rPr>
        <w:t xml:space="preserve"> for which co-location protection is provided.</w:t>
      </w:r>
    </w:p>
    <w:p w14:paraId="531968FB" w14:textId="77777777" w:rsidR="009A4FAE" w:rsidRPr="00E26D09" w:rsidRDefault="009A4FAE" w:rsidP="009A4FAE">
      <w:pPr>
        <w:pStyle w:val="TH"/>
      </w:pPr>
      <w:r w:rsidRPr="00E26D09">
        <w:rPr>
          <w:rFonts w:eastAsia="Osaka"/>
        </w:rPr>
        <w:t>Table 10.6.</w:t>
      </w:r>
      <w:r>
        <w:rPr>
          <w:rFonts w:eastAsia="Osaka"/>
        </w:rPr>
        <w:t>4</w:t>
      </w:r>
      <w:r w:rsidRPr="00E26D09">
        <w:rPr>
          <w:rFonts w:eastAsia="Osaka"/>
        </w:rPr>
        <w:t xml:space="preserve">-1: OTA </w:t>
      </w:r>
      <w:r w:rsidRPr="00E26D09">
        <w:t>blocking requirement for co-location with BS</w:t>
      </w:r>
      <w:r>
        <w:t xml:space="preserve"> or IAB-Node</w:t>
      </w:r>
      <w:r w:rsidRPr="00E26D09">
        <w:t xml:space="preserve"> in other frequency bands</w:t>
      </w:r>
    </w:p>
    <w:tbl>
      <w:tblPr>
        <w:tblW w:w="90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691"/>
        <w:gridCol w:w="1417"/>
        <w:gridCol w:w="1418"/>
        <w:gridCol w:w="1342"/>
        <w:gridCol w:w="1553"/>
        <w:gridCol w:w="1630"/>
      </w:tblGrid>
      <w:tr w:rsidR="009A4FAE" w:rsidRPr="00E26D09" w14:paraId="72A3F7DF" w14:textId="77777777" w:rsidTr="00B03869">
        <w:trPr>
          <w:tblHeader/>
          <w:jc w:val="center"/>
        </w:trPr>
        <w:tc>
          <w:tcPr>
            <w:tcW w:w="1691" w:type="dxa"/>
          </w:tcPr>
          <w:p w14:paraId="10DD44CC" w14:textId="77777777" w:rsidR="009A4FAE" w:rsidRPr="00E26D09" w:rsidRDefault="009A4FAE" w:rsidP="00B03869">
            <w:pPr>
              <w:pStyle w:val="TAH"/>
              <w:rPr>
                <w:lang w:eastAsia="ja-JP"/>
              </w:rPr>
            </w:pPr>
            <w:r w:rsidRPr="00E26D09">
              <w:rPr>
                <w:lang w:eastAsia="ja-JP"/>
              </w:rPr>
              <w:t>Frequency range of interfering signal</w:t>
            </w:r>
          </w:p>
        </w:tc>
        <w:tc>
          <w:tcPr>
            <w:tcW w:w="1417" w:type="dxa"/>
          </w:tcPr>
          <w:p w14:paraId="13A507E6" w14:textId="77777777" w:rsidR="009A4FAE" w:rsidRPr="00E26D09" w:rsidRDefault="009A4FAE" w:rsidP="00B03869">
            <w:pPr>
              <w:pStyle w:val="TAH"/>
              <w:rPr>
                <w:lang w:eastAsia="ja-JP"/>
              </w:rPr>
            </w:pPr>
            <w:r w:rsidRPr="00E26D09">
              <w:rPr>
                <w:lang w:eastAsia="ja-JP"/>
              </w:rPr>
              <w:t>Wanted signal mean power (dBm)</w:t>
            </w:r>
          </w:p>
        </w:tc>
        <w:tc>
          <w:tcPr>
            <w:tcW w:w="1418" w:type="dxa"/>
          </w:tcPr>
          <w:p w14:paraId="3D2CC877" w14:textId="77777777" w:rsidR="009A4FAE" w:rsidRPr="00E26D09" w:rsidRDefault="009A4FAE" w:rsidP="00B03869">
            <w:pPr>
              <w:pStyle w:val="TAH"/>
              <w:rPr>
                <w:lang w:eastAsia="ja-JP"/>
              </w:rPr>
            </w:pPr>
            <w:r w:rsidRPr="00E26D09">
              <w:rPr>
                <w:lang w:eastAsia="ja-JP"/>
              </w:rPr>
              <w:t>Interfering signal mean power for WA BS</w:t>
            </w:r>
            <w:r w:rsidRPr="00E26D09" w:rsidDel="006A67F6">
              <w:rPr>
                <w:lang w:eastAsia="ja-JP"/>
              </w:rPr>
              <w:t xml:space="preserve"> </w:t>
            </w:r>
            <w:r w:rsidRPr="00E26D09">
              <w:rPr>
                <w:lang w:eastAsia="ja-JP"/>
              </w:rPr>
              <w:t>(dBm)</w:t>
            </w:r>
          </w:p>
        </w:tc>
        <w:tc>
          <w:tcPr>
            <w:tcW w:w="1342" w:type="dxa"/>
          </w:tcPr>
          <w:p w14:paraId="7A1342C3" w14:textId="77777777" w:rsidR="009A4FAE" w:rsidRPr="00E26D09" w:rsidRDefault="009A4FAE" w:rsidP="00B03869">
            <w:pPr>
              <w:pStyle w:val="TAH"/>
              <w:rPr>
                <w:lang w:eastAsia="ja-JP"/>
              </w:rPr>
            </w:pPr>
            <w:r w:rsidRPr="00E26D09">
              <w:rPr>
                <w:lang w:eastAsia="ja-JP"/>
              </w:rPr>
              <w:t>Interfering signal mean power for MR BS</w:t>
            </w:r>
            <w:r w:rsidRPr="00E26D09" w:rsidDel="006A67F6">
              <w:rPr>
                <w:lang w:eastAsia="ja-JP"/>
              </w:rPr>
              <w:t xml:space="preserve"> </w:t>
            </w:r>
            <w:r w:rsidRPr="00E26D09">
              <w:rPr>
                <w:lang w:eastAsia="ja-JP"/>
              </w:rPr>
              <w:t>(dBm)</w:t>
            </w:r>
          </w:p>
        </w:tc>
        <w:tc>
          <w:tcPr>
            <w:tcW w:w="1553" w:type="dxa"/>
          </w:tcPr>
          <w:p w14:paraId="4FF52242" w14:textId="77777777" w:rsidR="009A4FAE" w:rsidRPr="00E26D09" w:rsidRDefault="009A4FAE" w:rsidP="00B03869">
            <w:pPr>
              <w:pStyle w:val="TAH"/>
              <w:rPr>
                <w:lang w:eastAsia="ja-JP"/>
              </w:rPr>
            </w:pPr>
            <w:r w:rsidRPr="00E26D09">
              <w:rPr>
                <w:lang w:eastAsia="ja-JP"/>
              </w:rPr>
              <w:t>Interfering signal mean power for LA BS (dBm)</w:t>
            </w:r>
          </w:p>
        </w:tc>
        <w:tc>
          <w:tcPr>
            <w:tcW w:w="1630" w:type="dxa"/>
          </w:tcPr>
          <w:p w14:paraId="0A301BB7" w14:textId="77777777" w:rsidR="009A4FAE" w:rsidRPr="00E26D09" w:rsidRDefault="009A4FAE" w:rsidP="00B03869">
            <w:pPr>
              <w:pStyle w:val="TAH"/>
              <w:rPr>
                <w:lang w:eastAsia="ja-JP"/>
              </w:rPr>
            </w:pPr>
            <w:r w:rsidRPr="00E26D09">
              <w:rPr>
                <w:lang w:eastAsia="ja-JP"/>
              </w:rPr>
              <w:t>Type of interfering signal</w:t>
            </w:r>
          </w:p>
        </w:tc>
      </w:tr>
      <w:tr w:rsidR="009A4FAE" w:rsidRPr="00E26D09" w14:paraId="66EC92C0" w14:textId="77777777" w:rsidTr="00B03869">
        <w:trPr>
          <w:jc w:val="center"/>
        </w:trPr>
        <w:tc>
          <w:tcPr>
            <w:tcW w:w="1691" w:type="dxa"/>
          </w:tcPr>
          <w:p w14:paraId="17690F4A" w14:textId="77777777" w:rsidR="009A4FAE" w:rsidRPr="00E26D09" w:rsidRDefault="009A4FAE" w:rsidP="00B03869">
            <w:pPr>
              <w:pStyle w:val="TAL"/>
              <w:jc w:val="center"/>
              <w:rPr>
                <w:rFonts w:cs="Arial"/>
                <w:szCs w:val="18"/>
                <w:lang w:eastAsia="ja-JP"/>
              </w:rPr>
            </w:pPr>
            <w:r w:rsidRPr="00E26D09">
              <w:rPr>
                <w:lang w:eastAsia="zh-CN"/>
              </w:rPr>
              <w:t xml:space="preserve">Frequency range of co-located downlink </w:t>
            </w:r>
            <w:r w:rsidRPr="00E26D09">
              <w:rPr>
                <w:i/>
                <w:lang w:eastAsia="zh-CN"/>
              </w:rPr>
              <w:t>operating band</w:t>
            </w:r>
          </w:p>
        </w:tc>
        <w:tc>
          <w:tcPr>
            <w:tcW w:w="1417" w:type="dxa"/>
            <w:vAlign w:val="center"/>
          </w:tcPr>
          <w:p w14:paraId="347C454D" w14:textId="77777777" w:rsidR="009A4FAE" w:rsidRPr="00E26D09" w:rsidRDefault="009A4FAE" w:rsidP="00B03869">
            <w:pPr>
              <w:pStyle w:val="TAC"/>
              <w:rPr>
                <w:lang w:eastAsia="ja-JP"/>
              </w:rPr>
            </w:pPr>
            <w:r w:rsidRPr="00E26D09">
              <w:rPr>
                <w:lang w:eastAsia="ja-JP"/>
              </w:rPr>
              <w:t>EIS</w:t>
            </w:r>
            <w:r w:rsidRPr="00E26D09">
              <w:rPr>
                <w:vertAlign w:val="subscript"/>
                <w:lang w:eastAsia="ja-JP"/>
              </w:rPr>
              <w:t>minSENS</w:t>
            </w:r>
            <w:r w:rsidRPr="00E26D09" w:rsidDel="00E01BA4">
              <w:rPr>
                <w:lang w:eastAsia="ja-JP"/>
              </w:rPr>
              <w:t xml:space="preserve"> </w:t>
            </w:r>
            <w:r w:rsidRPr="00E26D09">
              <w:rPr>
                <w:lang w:eastAsia="ja-JP"/>
              </w:rPr>
              <w:t>+ 6 dB</w:t>
            </w:r>
          </w:p>
          <w:p w14:paraId="1E7B7663" w14:textId="77777777" w:rsidR="009A4FAE" w:rsidRPr="00E26D09" w:rsidRDefault="009A4FAE" w:rsidP="00B03869">
            <w:pPr>
              <w:pStyle w:val="TAL"/>
              <w:jc w:val="center"/>
              <w:rPr>
                <w:rFonts w:cs="Arial"/>
                <w:szCs w:val="18"/>
                <w:lang w:eastAsia="ja-JP"/>
              </w:rPr>
            </w:pPr>
            <w:r w:rsidRPr="00E26D09">
              <w:rPr>
                <w:lang w:eastAsia="ja-JP"/>
              </w:rPr>
              <w:t xml:space="preserve"> (Note 1)</w:t>
            </w:r>
          </w:p>
        </w:tc>
        <w:tc>
          <w:tcPr>
            <w:tcW w:w="1418" w:type="dxa"/>
            <w:vAlign w:val="center"/>
          </w:tcPr>
          <w:p w14:paraId="01797E86" w14:textId="77777777" w:rsidR="009A4FAE" w:rsidRPr="00E26D09" w:rsidRDefault="009A4FAE" w:rsidP="00B03869">
            <w:pPr>
              <w:pStyle w:val="TAL"/>
              <w:jc w:val="center"/>
              <w:rPr>
                <w:rFonts w:cs="Arial"/>
                <w:szCs w:val="18"/>
                <w:lang w:eastAsia="ja-JP"/>
              </w:rPr>
            </w:pPr>
            <w:r w:rsidRPr="00E26D09">
              <w:rPr>
                <w:rFonts w:cs="Arial"/>
                <w:szCs w:val="18"/>
                <w:lang w:eastAsia="ja-JP"/>
              </w:rPr>
              <w:t>+46</w:t>
            </w:r>
          </w:p>
        </w:tc>
        <w:tc>
          <w:tcPr>
            <w:tcW w:w="1342" w:type="dxa"/>
            <w:vAlign w:val="center"/>
          </w:tcPr>
          <w:p w14:paraId="2CF783E4" w14:textId="77777777" w:rsidR="009A4FAE" w:rsidRPr="00E26D09" w:rsidRDefault="009A4FAE" w:rsidP="00B03869">
            <w:pPr>
              <w:pStyle w:val="TAL"/>
              <w:jc w:val="center"/>
              <w:rPr>
                <w:rFonts w:cs="Arial"/>
                <w:szCs w:val="18"/>
                <w:lang w:eastAsia="ja-JP"/>
              </w:rPr>
            </w:pPr>
            <w:r w:rsidRPr="00E26D09">
              <w:rPr>
                <w:rFonts w:cs="Arial"/>
                <w:szCs w:val="18"/>
                <w:lang w:eastAsia="ja-JP"/>
              </w:rPr>
              <w:t>+38</w:t>
            </w:r>
          </w:p>
        </w:tc>
        <w:tc>
          <w:tcPr>
            <w:tcW w:w="1553" w:type="dxa"/>
            <w:vAlign w:val="center"/>
          </w:tcPr>
          <w:p w14:paraId="2E8B97EC" w14:textId="77777777" w:rsidR="009A4FAE" w:rsidRPr="00E26D09" w:rsidRDefault="009A4FAE" w:rsidP="00B03869">
            <w:pPr>
              <w:pStyle w:val="TAC"/>
              <w:rPr>
                <w:lang w:eastAsia="ja-JP"/>
              </w:rPr>
            </w:pPr>
            <w:r w:rsidRPr="00E26D09">
              <w:rPr>
                <w:lang w:eastAsia="ja-JP"/>
              </w:rPr>
              <w:t>+24</w:t>
            </w:r>
          </w:p>
        </w:tc>
        <w:tc>
          <w:tcPr>
            <w:tcW w:w="1630" w:type="dxa"/>
            <w:vAlign w:val="center"/>
          </w:tcPr>
          <w:p w14:paraId="3C5012C3" w14:textId="77777777" w:rsidR="009A4FAE" w:rsidRPr="00E26D09" w:rsidRDefault="009A4FAE" w:rsidP="00B03869">
            <w:pPr>
              <w:pStyle w:val="TAC"/>
              <w:rPr>
                <w:lang w:eastAsia="ja-JP"/>
              </w:rPr>
            </w:pPr>
            <w:r w:rsidRPr="00E26D09">
              <w:rPr>
                <w:lang w:eastAsia="ja-JP"/>
              </w:rPr>
              <w:t>CW carrier</w:t>
            </w:r>
          </w:p>
        </w:tc>
      </w:tr>
      <w:tr w:rsidR="009A4FAE" w:rsidRPr="00E26D09" w14:paraId="40C1ED14" w14:textId="77777777" w:rsidTr="00B03869">
        <w:trPr>
          <w:jc w:val="center"/>
        </w:trPr>
        <w:tc>
          <w:tcPr>
            <w:tcW w:w="9051" w:type="dxa"/>
            <w:gridSpan w:val="6"/>
          </w:tcPr>
          <w:p w14:paraId="1CC6B20F" w14:textId="77777777" w:rsidR="009A4FAE" w:rsidRPr="00E26D09" w:rsidRDefault="009A4FAE" w:rsidP="00B03869">
            <w:pPr>
              <w:pStyle w:val="TAN"/>
              <w:rPr>
                <w:lang w:eastAsia="ja-JP"/>
              </w:rPr>
            </w:pPr>
            <w:r w:rsidRPr="00E26D09">
              <w:rPr>
                <w:lang w:eastAsia="ja-JP"/>
              </w:rPr>
              <w:t>NOTE 1:</w:t>
            </w:r>
            <w:r w:rsidRPr="00E26D09">
              <w:rPr>
                <w:lang w:eastAsia="ja-JP"/>
              </w:rPr>
              <w:tab/>
              <w:t>EIS</w:t>
            </w:r>
            <w:r w:rsidRPr="00E26D09">
              <w:rPr>
                <w:vertAlign w:val="subscript"/>
                <w:lang w:eastAsia="ja-JP"/>
              </w:rPr>
              <w:t>minSENS</w:t>
            </w:r>
            <w:r w:rsidRPr="00E26D09">
              <w:rPr>
                <w:lang w:eastAsia="ja-JP"/>
              </w:rPr>
              <w:t xml:space="preserve"> depends on the </w:t>
            </w:r>
            <w:r>
              <w:rPr>
                <w:lang w:eastAsia="ja-JP"/>
              </w:rPr>
              <w:t>IAB</w:t>
            </w:r>
            <w:r w:rsidRPr="00E26D09">
              <w:rPr>
                <w:lang w:eastAsia="ja-JP"/>
              </w:rPr>
              <w:t xml:space="preserve"> class and on the </w:t>
            </w:r>
            <w:r>
              <w:rPr>
                <w:i/>
                <w:lang w:eastAsia="ja-JP"/>
              </w:rPr>
              <w:t>IAB</w:t>
            </w:r>
            <w:r w:rsidRPr="00E26D09">
              <w:rPr>
                <w:i/>
                <w:lang w:eastAsia="ja-JP"/>
              </w:rPr>
              <w:t xml:space="preserve"> channel bandwidth</w:t>
            </w:r>
            <w:r w:rsidRPr="00E26D09">
              <w:rPr>
                <w:lang w:eastAsia="ja-JP"/>
              </w:rPr>
              <w:t xml:space="preserve">, see </w:t>
            </w:r>
            <w:r>
              <w:rPr>
                <w:lang w:eastAsia="ja-JP"/>
              </w:rPr>
              <w:t>clause</w:t>
            </w:r>
            <w:r w:rsidRPr="00E26D09">
              <w:rPr>
                <w:lang w:eastAsia="ja-JP"/>
              </w:rPr>
              <w:t xml:space="preserve"> 10.3.</w:t>
            </w:r>
          </w:p>
          <w:p w14:paraId="0DA9A8EB" w14:textId="77777777" w:rsidR="009A4FAE" w:rsidRPr="00E26D09" w:rsidRDefault="009A4FAE" w:rsidP="00B03869">
            <w:pPr>
              <w:pStyle w:val="TAN"/>
              <w:rPr>
                <w:lang w:eastAsia="ja-JP"/>
              </w:rPr>
            </w:pPr>
            <w:r w:rsidRPr="00E26D09">
              <w:rPr>
                <w:lang w:eastAsia="ja-JP"/>
              </w:rPr>
              <w:t>NOTE 2:</w:t>
            </w:r>
            <w:r w:rsidRPr="00E26D09">
              <w:rPr>
                <w:lang w:eastAsia="ja-JP"/>
              </w:rPr>
              <w:tab/>
              <w:t xml:space="preserve">The requirement does not apply when the interfering signal falls within any of the supported </w:t>
            </w:r>
            <w:r>
              <w:rPr>
                <w:lang w:eastAsia="ja-JP"/>
              </w:rPr>
              <w:t>downlink</w:t>
            </w:r>
            <w:r w:rsidRPr="00E26D09">
              <w:rPr>
                <w:lang w:eastAsia="ja-JP"/>
              </w:rPr>
              <w:t xml:space="preserve"> </w:t>
            </w:r>
            <w:r w:rsidRPr="00E26D09">
              <w:rPr>
                <w:i/>
                <w:lang w:eastAsia="ja-JP"/>
              </w:rPr>
              <w:t>operating band(s)</w:t>
            </w:r>
            <w:r w:rsidRPr="00E26D09">
              <w:rPr>
                <w:lang w:eastAsia="ja-JP"/>
              </w:rPr>
              <w:t xml:space="preserve"> or in </w:t>
            </w:r>
            <w:r w:rsidRPr="00E26D09">
              <w:t>Δf</w:t>
            </w:r>
            <w:r w:rsidRPr="00E26D09">
              <w:rPr>
                <w:vertAlign w:val="subscript"/>
              </w:rPr>
              <w:t>OOB</w:t>
            </w:r>
            <w:r w:rsidRPr="00E26D09">
              <w:rPr>
                <w:lang w:eastAsia="ja-JP"/>
              </w:rPr>
              <w:t xml:space="preserve"> immediately outside any of the supported </w:t>
            </w:r>
            <w:r>
              <w:rPr>
                <w:lang w:eastAsia="ja-JP"/>
              </w:rPr>
              <w:t>downlik</w:t>
            </w:r>
            <w:r w:rsidRPr="00E26D09">
              <w:rPr>
                <w:lang w:eastAsia="ja-JP"/>
              </w:rPr>
              <w:t xml:space="preserve"> </w:t>
            </w:r>
            <w:r w:rsidRPr="00E26D09">
              <w:rPr>
                <w:i/>
                <w:lang w:eastAsia="ja-JP"/>
              </w:rPr>
              <w:t>operating band(s)</w:t>
            </w:r>
            <w:r w:rsidRPr="00E26D09">
              <w:rPr>
                <w:lang w:eastAsia="ja-JP"/>
              </w:rPr>
              <w:t>.</w:t>
            </w:r>
          </w:p>
        </w:tc>
      </w:tr>
    </w:tbl>
    <w:p w14:paraId="77A188F1" w14:textId="77777777" w:rsidR="009A4FAE" w:rsidRPr="007B1ECB" w:rsidRDefault="009A4FAE" w:rsidP="00AD2A23"/>
    <w:p w14:paraId="1B5CC2F9" w14:textId="77777777" w:rsidR="00077B6E" w:rsidRDefault="00077B6E" w:rsidP="00077B6E">
      <w:pPr>
        <w:pStyle w:val="Heading2"/>
        <w:rPr>
          <w:rFonts w:eastAsiaTheme="minorEastAsia"/>
          <w:lang w:eastAsia="zh-CN"/>
        </w:rPr>
      </w:pPr>
      <w:bookmarkStart w:id="6789" w:name="_Toc53185561"/>
      <w:bookmarkStart w:id="6790" w:name="_Toc53185937"/>
      <w:bookmarkStart w:id="6791" w:name="_Toc57820423"/>
      <w:bookmarkStart w:id="6792" w:name="_Toc57821350"/>
      <w:bookmarkStart w:id="6793" w:name="_Toc61183626"/>
      <w:bookmarkStart w:id="6794" w:name="_Toc61184020"/>
      <w:bookmarkStart w:id="6795" w:name="_Toc61184412"/>
      <w:bookmarkStart w:id="6796" w:name="_Toc61184804"/>
      <w:bookmarkStart w:id="6797" w:name="_Toc61185194"/>
      <w:bookmarkStart w:id="6798" w:name="_Toc66386539"/>
      <w:bookmarkStart w:id="6799" w:name="_Toc74583442"/>
      <w:bookmarkStart w:id="6800" w:name="_Toc76542255"/>
      <w:bookmarkStart w:id="6801" w:name="_Toc82450237"/>
      <w:bookmarkStart w:id="6802" w:name="_Toc82450885"/>
      <w:bookmarkStart w:id="6803" w:name="_Toc89949274"/>
      <w:bookmarkStart w:id="6804" w:name="_Toc98755663"/>
      <w:bookmarkStart w:id="6805" w:name="_Toc98763255"/>
      <w:bookmarkStart w:id="6806" w:name="_Toc106184184"/>
      <w:r w:rsidRPr="007E346D">
        <w:t>10.7</w:t>
      </w:r>
      <w:r w:rsidRPr="007E346D">
        <w:tab/>
        <w:t>OTA receiver spurious emissions</w:t>
      </w:r>
      <w:bookmarkEnd w:id="6742"/>
      <w:bookmarkEnd w:id="6743"/>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p>
    <w:p w14:paraId="00BC9507" w14:textId="64EDF605" w:rsidR="00A274CA" w:rsidRDefault="00A274CA" w:rsidP="00A274CA">
      <w:pPr>
        <w:pStyle w:val="Heading3"/>
      </w:pPr>
      <w:bookmarkStart w:id="6807" w:name="_Toc53185562"/>
      <w:bookmarkStart w:id="6808" w:name="_Toc53185938"/>
      <w:bookmarkStart w:id="6809" w:name="_Toc57820424"/>
      <w:bookmarkStart w:id="6810" w:name="_Toc57821351"/>
      <w:bookmarkStart w:id="6811" w:name="_Toc61183627"/>
      <w:bookmarkStart w:id="6812" w:name="_Toc61184021"/>
      <w:bookmarkStart w:id="6813" w:name="_Toc61184413"/>
      <w:bookmarkStart w:id="6814" w:name="_Toc61184805"/>
      <w:bookmarkStart w:id="6815" w:name="_Toc61185195"/>
      <w:bookmarkStart w:id="6816" w:name="_Toc66386540"/>
      <w:bookmarkStart w:id="6817" w:name="_Toc74583443"/>
      <w:bookmarkStart w:id="6818" w:name="_Toc76542256"/>
      <w:bookmarkStart w:id="6819" w:name="_Toc82450238"/>
      <w:bookmarkStart w:id="6820" w:name="_Toc82450886"/>
      <w:bookmarkStart w:id="6821" w:name="_Toc89949275"/>
      <w:bookmarkStart w:id="6822" w:name="_Toc98755664"/>
      <w:bookmarkStart w:id="6823" w:name="_Toc98763256"/>
      <w:bookmarkStart w:id="6824" w:name="_Toc106184185"/>
      <w:r>
        <w:t>10.7.1</w:t>
      </w:r>
      <w:r w:rsidR="00255E64" w:rsidRPr="007E346D">
        <w:tab/>
      </w:r>
      <w:r>
        <w:t>General</w:t>
      </w:r>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p>
    <w:p w14:paraId="5DADD3FB" w14:textId="77777777" w:rsidR="00A274CA" w:rsidRPr="004C31D7" w:rsidRDefault="00A274CA" w:rsidP="00A274CA">
      <w:pPr>
        <w:rPr>
          <w:rFonts w:eastAsiaTheme="minorEastAsia"/>
          <w:lang w:val="en-US" w:eastAsia="zh-CN"/>
        </w:rPr>
      </w:pPr>
      <w:bookmarkStart w:id="6825" w:name="_Hlk500350430"/>
      <w:r w:rsidRPr="004C31D7">
        <w:rPr>
          <w:rFonts w:eastAsiaTheme="minorEastAsia"/>
          <w:lang w:val="en-US" w:eastAsia="zh-CN"/>
        </w:rPr>
        <w:t xml:space="preserve">The OTA </w:t>
      </w:r>
      <w:r w:rsidRPr="004C31D7">
        <w:rPr>
          <w:rFonts w:eastAsiaTheme="minorEastAsia"/>
          <w:lang w:eastAsia="zh-CN"/>
        </w:rPr>
        <w:t xml:space="preserve">RX </w:t>
      </w:r>
      <w:r w:rsidRPr="004C31D7">
        <w:rPr>
          <w:rFonts w:eastAsiaTheme="minorEastAsia"/>
          <w:lang w:val="en-US" w:eastAsia="zh-CN"/>
        </w:rPr>
        <w:t>spurious emission is the power of the emissions radiated from the antenna array from a receiver unit.</w:t>
      </w:r>
    </w:p>
    <w:bookmarkEnd w:id="6825"/>
    <w:p w14:paraId="70AA24FD" w14:textId="678DD488" w:rsidR="00A274CA" w:rsidRDefault="00A274CA" w:rsidP="00A274CA">
      <w:pPr>
        <w:rPr>
          <w:rFonts w:eastAsiaTheme="minorEastAsia"/>
        </w:rPr>
      </w:pPr>
      <w:r w:rsidRPr="004C31D7">
        <w:rPr>
          <w:rFonts w:eastAsiaTheme="minorEastAsia"/>
        </w:rPr>
        <w:t xml:space="preserve">The metric used to capture OTA receiver spurious emissions for </w:t>
      </w:r>
      <w:r>
        <w:rPr>
          <w:rFonts w:eastAsiaTheme="minorEastAsia"/>
        </w:rPr>
        <w:t xml:space="preserve">IAB-MT and IAB-DU for </w:t>
      </w:r>
      <w:r>
        <w:rPr>
          <w:rFonts w:eastAsiaTheme="minorEastAsia"/>
          <w:i/>
        </w:rPr>
        <w:t>IAB</w:t>
      </w:r>
      <w:r w:rsidRPr="004C31D7">
        <w:rPr>
          <w:rFonts w:eastAsiaTheme="minorEastAsia"/>
          <w:i/>
        </w:rPr>
        <w:t xml:space="preserve"> type 1-O</w:t>
      </w:r>
      <w:r w:rsidRPr="004C31D7">
        <w:rPr>
          <w:rFonts w:eastAsiaTheme="minorEastAsia"/>
        </w:rPr>
        <w:t xml:space="preserve"> and </w:t>
      </w:r>
      <w:r>
        <w:rPr>
          <w:rFonts w:eastAsiaTheme="minorEastAsia"/>
          <w:i/>
        </w:rPr>
        <w:t>IAB</w:t>
      </w:r>
      <w:r w:rsidRPr="004C31D7">
        <w:rPr>
          <w:rFonts w:eastAsiaTheme="minorEastAsia"/>
          <w:i/>
        </w:rPr>
        <w:t xml:space="preserve"> type 2-O</w:t>
      </w:r>
      <w:r w:rsidRPr="004C31D7">
        <w:rPr>
          <w:rFonts w:eastAsiaTheme="minorEastAsia"/>
        </w:rPr>
        <w:t xml:space="preserve"> is </w:t>
      </w:r>
      <w:r w:rsidRPr="004C31D7">
        <w:rPr>
          <w:rFonts w:eastAsiaTheme="minorEastAsia"/>
          <w:i/>
        </w:rPr>
        <w:t>total radiated power</w:t>
      </w:r>
      <w:r w:rsidRPr="004C31D7">
        <w:rPr>
          <w:rFonts w:eastAsiaTheme="minorEastAsia"/>
        </w:rPr>
        <w:t xml:space="preserve"> (TRP), with the </w:t>
      </w:r>
      <w:r w:rsidRPr="004C31D7">
        <w:rPr>
          <w:rFonts w:eastAsiaTheme="minorEastAsia"/>
          <w:lang w:eastAsia="zh-CN"/>
        </w:rPr>
        <w:t>requirement defined at the RIB</w:t>
      </w:r>
      <w:r w:rsidRPr="004C31D7">
        <w:rPr>
          <w:rFonts w:eastAsiaTheme="minorEastAsia"/>
        </w:rPr>
        <w:t>.</w:t>
      </w:r>
    </w:p>
    <w:p w14:paraId="226DF6DD" w14:textId="7344610A" w:rsidR="00CD1521" w:rsidRPr="002E2B73" w:rsidRDefault="00CD49DB" w:rsidP="005913F7">
      <w:pPr>
        <w:rPr>
          <w:lang w:eastAsia="zh-CN"/>
        </w:rPr>
      </w:pPr>
      <w:r w:rsidRPr="00CD49DB">
        <w:rPr>
          <w:rFonts w:eastAsia="MS Mincho"/>
          <w:iCs/>
          <w:lang w:eastAsia="ja-JP"/>
        </w:rPr>
        <w:t>When calculating the IAB-MT RX emissions limits (N</w:t>
      </w:r>
      <w:r w:rsidRPr="00CD49DB">
        <w:rPr>
          <w:rFonts w:eastAsia="MS Mincho"/>
          <w:iCs/>
          <w:vertAlign w:val="subscript"/>
          <w:lang w:eastAsia="ja-JP"/>
        </w:rPr>
        <w:t>RXU,counted</w:t>
      </w:r>
      <w:r w:rsidRPr="00CD49DB">
        <w:rPr>
          <w:rFonts w:eastAsia="MS Mincho"/>
          <w:iCs/>
          <w:lang w:eastAsia="ja-JP"/>
        </w:rPr>
        <w:t xml:space="preserve">) defined for </w:t>
      </w:r>
      <w:r w:rsidRPr="00CD49DB">
        <w:rPr>
          <w:i/>
        </w:rPr>
        <w:t xml:space="preserve">IAB-DU and IAB-MT type 1-H </w:t>
      </w:r>
      <w:r w:rsidRPr="00CD49DB">
        <w:t>in sub-clause 7.6.2 shall be applied for</w:t>
      </w:r>
      <w:r w:rsidRPr="00CD49DB">
        <w:rPr>
          <w:i/>
        </w:rPr>
        <w:t xml:space="preserve"> IAB-MT type 1-O.</w:t>
      </w:r>
      <w:r>
        <w:rPr>
          <w:i/>
        </w:rPr>
        <w:t xml:space="preserve"> </w:t>
      </w:r>
    </w:p>
    <w:p w14:paraId="5F499F87" w14:textId="4D80DECE" w:rsidR="008607B2" w:rsidRDefault="008607B2" w:rsidP="008607B2">
      <w:pPr>
        <w:pStyle w:val="Heading3"/>
      </w:pPr>
      <w:bookmarkStart w:id="6826" w:name="_Toc53185563"/>
      <w:bookmarkStart w:id="6827" w:name="_Toc53185939"/>
      <w:bookmarkStart w:id="6828" w:name="_Toc57820425"/>
      <w:bookmarkStart w:id="6829" w:name="_Toc57821352"/>
      <w:bookmarkStart w:id="6830" w:name="_Toc61183628"/>
      <w:bookmarkStart w:id="6831" w:name="_Toc61184022"/>
      <w:bookmarkStart w:id="6832" w:name="_Toc61184414"/>
      <w:bookmarkStart w:id="6833" w:name="_Toc61184806"/>
      <w:bookmarkStart w:id="6834" w:name="_Toc61185196"/>
      <w:bookmarkStart w:id="6835" w:name="_Toc66386541"/>
      <w:bookmarkStart w:id="6836" w:name="_Toc74583444"/>
      <w:bookmarkStart w:id="6837" w:name="_Toc76542257"/>
      <w:bookmarkStart w:id="6838" w:name="_Toc82450239"/>
      <w:bookmarkStart w:id="6839" w:name="_Toc82450887"/>
      <w:bookmarkStart w:id="6840" w:name="_Toc89949276"/>
      <w:bookmarkStart w:id="6841" w:name="_Toc98755665"/>
      <w:bookmarkStart w:id="6842" w:name="_Toc98763257"/>
      <w:bookmarkStart w:id="6843" w:name="_Toc106184186"/>
      <w:bookmarkStart w:id="6844" w:name="_Toc13080441"/>
      <w:bookmarkStart w:id="6845" w:name="_Toc18916198"/>
      <w:r>
        <w:t>10.7.</w:t>
      </w:r>
      <w:r w:rsidR="001554AE">
        <w:t>2</w:t>
      </w:r>
      <w:r w:rsidR="00255E64" w:rsidRPr="007E346D">
        <w:tab/>
      </w:r>
      <w:r>
        <w:t>IAB-DU OTA receiver spurious emissions</w:t>
      </w:r>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p>
    <w:p w14:paraId="163702EE" w14:textId="5CA4507A" w:rsidR="00121B72" w:rsidRDefault="00121B72" w:rsidP="00121B72">
      <w:pPr>
        <w:pStyle w:val="Heading4"/>
      </w:pPr>
      <w:bookmarkStart w:id="6846" w:name="_Toc53185564"/>
      <w:bookmarkStart w:id="6847" w:name="_Toc53185940"/>
      <w:bookmarkStart w:id="6848" w:name="_Toc57820426"/>
      <w:bookmarkStart w:id="6849" w:name="_Toc57821353"/>
      <w:bookmarkStart w:id="6850" w:name="_Toc61183629"/>
      <w:bookmarkStart w:id="6851" w:name="_Toc61184023"/>
      <w:bookmarkStart w:id="6852" w:name="_Toc61184415"/>
      <w:bookmarkStart w:id="6853" w:name="_Toc61184807"/>
      <w:bookmarkStart w:id="6854" w:name="_Toc61185197"/>
      <w:bookmarkStart w:id="6855" w:name="_Toc66386542"/>
      <w:bookmarkStart w:id="6856" w:name="_Toc74583445"/>
      <w:bookmarkStart w:id="6857" w:name="_Toc76542258"/>
      <w:bookmarkStart w:id="6858" w:name="_Toc82450240"/>
      <w:bookmarkStart w:id="6859" w:name="_Toc82450888"/>
      <w:bookmarkStart w:id="6860" w:name="_Toc89949277"/>
      <w:bookmarkStart w:id="6861" w:name="_Toc98755666"/>
      <w:bookmarkStart w:id="6862" w:name="_Toc98763258"/>
      <w:bookmarkStart w:id="6863" w:name="_Toc106184187"/>
      <w:r>
        <w:t>10.7.2.1</w:t>
      </w:r>
      <w:r w:rsidR="00255E64" w:rsidRPr="007E346D">
        <w:tab/>
      </w:r>
      <w:r w:rsidRPr="00594DE1">
        <w:t xml:space="preserve">Minimum requirement for </w:t>
      </w:r>
      <w:r>
        <w:t>IAB-DU</w:t>
      </w:r>
      <w:r w:rsidRPr="00594DE1">
        <w:t xml:space="preserve"> type 1-O</w:t>
      </w:r>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p>
    <w:p w14:paraId="57783143" w14:textId="77777777" w:rsidR="00121B72" w:rsidRDefault="00121B72" w:rsidP="00121B72">
      <w:r>
        <w:t>Minimum requirement is the same as specified for BS type 1-O in TS 38.104[2], subclause 10.7.2.</w:t>
      </w:r>
    </w:p>
    <w:p w14:paraId="3906B826" w14:textId="6ED0A79E" w:rsidR="00121B72" w:rsidRDefault="00121B72" w:rsidP="00121B72">
      <w:pPr>
        <w:pStyle w:val="Heading4"/>
      </w:pPr>
      <w:bookmarkStart w:id="6864" w:name="_Toc53185565"/>
      <w:bookmarkStart w:id="6865" w:name="_Toc53185941"/>
      <w:bookmarkStart w:id="6866" w:name="_Toc57820427"/>
      <w:bookmarkStart w:id="6867" w:name="_Toc57821354"/>
      <w:bookmarkStart w:id="6868" w:name="_Toc61183630"/>
      <w:bookmarkStart w:id="6869" w:name="_Toc61184024"/>
      <w:bookmarkStart w:id="6870" w:name="_Toc61184416"/>
      <w:bookmarkStart w:id="6871" w:name="_Toc61184808"/>
      <w:bookmarkStart w:id="6872" w:name="_Toc61185198"/>
      <w:bookmarkStart w:id="6873" w:name="_Toc66386543"/>
      <w:bookmarkStart w:id="6874" w:name="_Toc74583446"/>
      <w:bookmarkStart w:id="6875" w:name="_Toc76542259"/>
      <w:bookmarkStart w:id="6876" w:name="_Toc82450241"/>
      <w:bookmarkStart w:id="6877" w:name="_Toc82450889"/>
      <w:bookmarkStart w:id="6878" w:name="_Toc89949278"/>
      <w:bookmarkStart w:id="6879" w:name="_Toc98755667"/>
      <w:bookmarkStart w:id="6880" w:name="_Toc98763259"/>
      <w:bookmarkStart w:id="6881" w:name="_Toc106184188"/>
      <w:r>
        <w:t>10.7.2.2</w:t>
      </w:r>
      <w:r w:rsidR="00255E64" w:rsidRPr="007E346D">
        <w:tab/>
      </w:r>
      <w:r w:rsidRPr="00594DE1">
        <w:t xml:space="preserve">Minimum requirement for </w:t>
      </w:r>
      <w:r>
        <w:t>IAB-DU</w:t>
      </w:r>
      <w:r w:rsidRPr="00594DE1">
        <w:t xml:space="preserve"> type </w:t>
      </w:r>
      <w:r>
        <w:t>2</w:t>
      </w:r>
      <w:r w:rsidRPr="00594DE1">
        <w:t>-O</w:t>
      </w:r>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p>
    <w:p w14:paraId="67BD4A92" w14:textId="7E37D09E" w:rsidR="008607B2" w:rsidRPr="008607B2" w:rsidRDefault="00121B72" w:rsidP="00AD2A23">
      <w:r>
        <w:t>Minimum requirement is the same as specified for BS type 2-O in TS 38.104[2], subclause 10.7.3.</w:t>
      </w:r>
    </w:p>
    <w:p w14:paraId="10559972" w14:textId="40BC945B" w:rsidR="008607B2" w:rsidRDefault="008607B2">
      <w:pPr>
        <w:pStyle w:val="Heading3"/>
      </w:pPr>
      <w:bookmarkStart w:id="6882" w:name="_Toc53185566"/>
      <w:bookmarkStart w:id="6883" w:name="_Toc53185942"/>
      <w:bookmarkStart w:id="6884" w:name="_Toc57820428"/>
      <w:bookmarkStart w:id="6885" w:name="_Toc57821355"/>
      <w:bookmarkStart w:id="6886" w:name="_Toc61183631"/>
      <w:bookmarkStart w:id="6887" w:name="_Toc61184025"/>
      <w:bookmarkStart w:id="6888" w:name="_Toc61184417"/>
      <w:bookmarkStart w:id="6889" w:name="_Toc61184809"/>
      <w:bookmarkStart w:id="6890" w:name="_Toc61185199"/>
      <w:bookmarkStart w:id="6891" w:name="_Toc66386544"/>
      <w:bookmarkStart w:id="6892" w:name="_Toc74583447"/>
      <w:bookmarkStart w:id="6893" w:name="_Toc76542260"/>
      <w:bookmarkStart w:id="6894" w:name="_Toc82450242"/>
      <w:bookmarkStart w:id="6895" w:name="_Toc82450890"/>
      <w:bookmarkStart w:id="6896" w:name="_Toc89949279"/>
      <w:bookmarkStart w:id="6897" w:name="_Toc98755668"/>
      <w:bookmarkStart w:id="6898" w:name="_Toc98763260"/>
      <w:bookmarkStart w:id="6899" w:name="_Toc106184189"/>
      <w:r>
        <w:t>10.7.</w:t>
      </w:r>
      <w:r w:rsidR="001E641D">
        <w:t>3</w:t>
      </w:r>
      <w:r w:rsidR="00255E64" w:rsidRPr="007E346D">
        <w:tab/>
      </w:r>
      <w:r>
        <w:t>IAB-MT OTA receiver spurious emissions</w:t>
      </w:r>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p>
    <w:p w14:paraId="0F30D292" w14:textId="5A449E4F" w:rsidR="009B5C6B" w:rsidRDefault="009B5C6B" w:rsidP="009B5C6B">
      <w:pPr>
        <w:pStyle w:val="Heading4"/>
      </w:pPr>
      <w:bookmarkStart w:id="6900" w:name="_Toc53185567"/>
      <w:bookmarkStart w:id="6901" w:name="_Toc53185943"/>
      <w:bookmarkStart w:id="6902" w:name="_Toc57820429"/>
      <w:bookmarkStart w:id="6903" w:name="_Toc57821356"/>
      <w:bookmarkStart w:id="6904" w:name="_Toc61183632"/>
      <w:bookmarkStart w:id="6905" w:name="_Toc61184026"/>
      <w:bookmarkStart w:id="6906" w:name="_Toc61184418"/>
      <w:bookmarkStart w:id="6907" w:name="_Toc61184810"/>
      <w:bookmarkStart w:id="6908" w:name="_Toc61185200"/>
      <w:bookmarkStart w:id="6909" w:name="_Toc66386545"/>
      <w:bookmarkStart w:id="6910" w:name="_Toc74583448"/>
      <w:bookmarkStart w:id="6911" w:name="_Toc76542261"/>
      <w:bookmarkStart w:id="6912" w:name="_Toc82450243"/>
      <w:bookmarkStart w:id="6913" w:name="_Toc82450891"/>
      <w:bookmarkStart w:id="6914" w:name="_Toc89949280"/>
      <w:bookmarkStart w:id="6915" w:name="_Toc98755669"/>
      <w:bookmarkStart w:id="6916" w:name="_Toc98763261"/>
      <w:bookmarkStart w:id="6917" w:name="_Toc106184190"/>
      <w:r>
        <w:t>10.7.3.1</w:t>
      </w:r>
      <w:r w:rsidR="00255E64" w:rsidRPr="007E346D">
        <w:tab/>
      </w:r>
      <w:r w:rsidRPr="00594DE1">
        <w:t xml:space="preserve">Minimum requirement for </w:t>
      </w:r>
      <w:r>
        <w:t>IAB-MT</w:t>
      </w:r>
      <w:r w:rsidRPr="00594DE1">
        <w:t xml:space="preserve"> type 1-O</w:t>
      </w:r>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p>
    <w:p w14:paraId="3D29F212" w14:textId="77777777" w:rsidR="00DD3A27" w:rsidRPr="00453BD7" w:rsidRDefault="00DD3A27" w:rsidP="00DD3A27">
      <w:pPr>
        <w:rPr>
          <w:rFonts w:eastAsiaTheme="minorEastAsia"/>
          <w:lang w:eastAsia="zh-CN"/>
        </w:rPr>
      </w:pPr>
      <w:r w:rsidRPr="00453BD7">
        <w:rPr>
          <w:rFonts w:eastAsiaTheme="minorEastAsia"/>
          <w:lang w:eastAsia="zh-CN"/>
        </w:rPr>
        <w:t>For a</w:t>
      </w:r>
      <w:r>
        <w:rPr>
          <w:rFonts w:eastAsiaTheme="minorEastAsia"/>
          <w:lang w:eastAsia="zh-CN"/>
        </w:rPr>
        <w:t>n</w:t>
      </w:r>
      <w:r w:rsidRPr="00453BD7">
        <w:rPr>
          <w:rFonts w:eastAsiaTheme="minorEastAsia"/>
          <w:lang w:eastAsia="zh-CN"/>
        </w:rPr>
        <w:t xml:space="preserve"> </w:t>
      </w:r>
      <w:r>
        <w:rPr>
          <w:rFonts w:eastAsiaTheme="minorEastAsia"/>
          <w:lang w:eastAsia="zh-CN"/>
        </w:rPr>
        <w:t>IAB-MT</w:t>
      </w:r>
      <w:r w:rsidRPr="00453BD7">
        <w:rPr>
          <w:rFonts w:eastAsiaTheme="minorEastAsia"/>
          <w:lang w:eastAsia="zh-CN"/>
        </w:rPr>
        <w:t xml:space="preserve"> operating in TDD, the OTA RX spurious emissions requirement shall apply during the </w:t>
      </w:r>
      <w:r w:rsidRPr="00453BD7">
        <w:rPr>
          <w:rFonts w:eastAsiaTheme="minorEastAsia"/>
          <w:i/>
          <w:lang w:eastAsia="zh-CN"/>
        </w:rPr>
        <w:t>transmitter OFF period</w:t>
      </w:r>
      <w:r w:rsidRPr="00453BD7">
        <w:rPr>
          <w:rFonts w:eastAsiaTheme="minorEastAsia"/>
          <w:lang w:eastAsia="zh-CN"/>
        </w:rPr>
        <w:t xml:space="preserve"> only.</w:t>
      </w:r>
    </w:p>
    <w:p w14:paraId="0D386D9D" w14:textId="77777777" w:rsidR="00DD3A27" w:rsidRPr="00453BD7" w:rsidRDefault="00DD3A27" w:rsidP="00DD3A27">
      <w:pPr>
        <w:rPr>
          <w:rFonts w:eastAsiaTheme="minorEastAsia"/>
          <w:lang w:eastAsia="zh-CN"/>
        </w:rPr>
      </w:pPr>
      <w:r w:rsidRPr="00453BD7">
        <w:rPr>
          <w:rFonts w:eastAsiaTheme="minorEastAsia"/>
        </w:rPr>
        <w:t xml:space="preserve">For RX only </w:t>
      </w:r>
      <w:r w:rsidRPr="00453BD7">
        <w:rPr>
          <w:rFonts w:eastAsiaTheme="minorEastAsia"/>
          <w:i/>
        </w:rPr>
        <w:t>multi-band RIB</w:t>
      </w:r>
      <w:r w:rsidRPr="00453BD7">
        <w:rPr>
          <w:rFonts w:eastAsiaTheme="minorEastAsia"/>
        </w:rPr>
        <w:t xml:space="preserve">, the OTA RX spurious emissions requirements are subject to exclusion zones in each supported </w:t>
      </w:r>
      <w:r w:rsidRPr="00453BD7">
        <w:rPr>
          <w:rFonts w:eastAsiaTheme="minorEastAsia"/>
          <w:i/>
        </w:rPr>
        <w:t>operating band</w:t>
      </w:r>
      <w:r w:rsidRPr="00453BD7">
        <w:rPr>
          <w:rFonts w:eastAsiaTheme="minorEastAsia"/>
        </w:rPr>
        <w:t>.</w:t>
      </w:r>
    </w:p>
    <w:p w14:paraId="48D1E80B" w14:textId="77777777" w:rsidR="00DD3A27" w:rsidRPr="00453BD7" w:rsidRDefault="00DD3A27" w:rsidP="00DD3A27">
      <w:pPr>
        <w:rPr>
          <w:rFonts w:eastAsiaTheme="minorEastAsia"/>
        </w:rPr>
      </w:pPr>
      <w:r w:rsidRPr="00453BD7">
        <w:rPr>
          <w:rFonts w:eastAsiaTheme="minorEastAsia"/>
        </w:rPr>
        <w:lastRenderedPageBreak/>
        <w:t xml:space="preserve">The OTA RX spurious emissions requirement for </w:t>
      </w:r>
      <w:r>
        <w:rPr>
          <w:rFonts w:eastAsiaTheme="minorEastAsia"/>
          <w:i/>
        </w:rPr>
        <w:t>IAB-MT</w:t>
      </w:r>
      <w:r w:rsidRPr="00453BD7">
        <w:rPr>
          <w:rFonts w:eastAsiaTheme="minorEastAsia"/>
          <w:i/>
        </w:rPr>
        <w:t xml:space="preserve"> type 1-O</w:t>
      </w:r>
      <w:r w:rsidRPr="00453BD7">
        <w:rPr>
          <w:rFonts w:eastAsiaTheme="minorEastAsia"/>
        </w:rPr>
        <w:t xml:space="preserve"> is that for each </w:t>
      </w:r>
      <w:r w:rsidRPr="00453BD7">
        <w:rPr>
          <w:rFonts w:eastAsiaTheme="minorEastAsia"/>
          <w:i/>
        </w:rPr>
        <w:t>basic limit</w:t>
      </w:r>
      <w:r w:rsidRPr="00453BD7">
        <w:rPr>
          <w:rFonts w:eastAsiaTheme="minorEastAsia"/>
        </w:rPr>
        <w:t xml:space="preserve"> specified in table 10.7.</w:t>
      </w:r>
      <w:r>
        <w:rPr>
          <w:rFonts w:eastAsiaTheme="minorEastAsia"/>
        </w:rPr>
        <w:t>3.1</w:t>
      </w:r>
      <w:r w:rsidRPr="00453BD7">
        <w:rPr>
          <w:rFonts w:eastAsiaTheme="minorEastAsia"/>
        </w:rPr>
        <w:noBreakHyphen/>
        <w:t>1</w:t>
      </w:r>
      <w:r w:rsidRPr="00453BD7">
        <w:rPr>
          <w:rFonts w:eastAsiaTheme="minorEastAsia"/>
          <w:i/>
        </w:rPr>
        <w:t>,</w:t>
      </w:r>
      <w:r w:rsidRPr="00453BD7">
        <w:rPr>
          <w:rFonts w:eastAsiaTheme="minorEastAsia"/>
        </w:rPr>
        <w:t xml:space="preserve"> the power sum of emissions at the RIB shall not exceed limits specified as the</w:t>
      </w:r>
      <w:r w:rsidRPr="00453BD7">
        <w:rPr>
          <w:rFonts w:eastAsiaTheme="minorEastAsia"/>
          <w:i/>
        </w:rPr>
        <w:t xml:space="preserve"> basic limit</w:t>
      </w:r>
      <w:r w:rsidRPr="00453BD7">
        <w:rPr>
          <w:rFonts w:eastAsiaTheme="minorEastAsia"/>
        </w:rPr>
        <w:t xml:space="preserve"> + X, where X = </w:t>
      </w:r>
      <w:r>
        <w:rPr>
          <w:rFonts w:eastAsiaTheme="minorEastAsia"/>
        </w:rPr>
        <w:t>1</w:t>
      </w:r>
      <w:r w:rsidRPr="00E26D09">
        <w:t>0log</w:t>
      </w:r>
      <w:r w:rsidRPr="00E26D09">
        <w:rPr>
          <w:vertAlign w:val="subscript"/>
        </w:rPr>
        <w:t>10</w:t>
      </w:r>
      <w:r w:rsidRPr="00E26D09">
        <w:t>(N</w:t>
      </w:r>
      <w:r>
        <w:rPr>
          <w:vertAlign w:val="subscript"/>
        </w:rPr>
        <w:t>R</w:t>
      </w:r>
      <w:r w:rsidRPr="00E26D09">
        <w:rPr>
          <w:vertAlign w:val="subscript"/>
        </w:rPr>
        <w:t>XU,countedpercell</w:t>
      </w:r>
      <w:r w:rsidRPr="00E26D09">
        <w:t>)</w:t>
      </w:r>
      <w:r w:rsidRPr="00453BD7">
        <w:rPr>
          <w:rFonts w:eastAsiaTheme="minorEastAsia"/>
        </w:rPr>
        <w:t xml:space="preserve"> dB, unless stated differently in regional regulation.</w:t>
      </w:r>
    </w:p>
    <w:p w14:paraId="37BFB6D4" w14:textId="77777777" w:rsidR="00DD3A27" w:rsidRPr="00453BD7" w:rsidRDefault="00DD3A27" w:rsidP="00DD3A27">
      <w:pPr>
        <w:keepNext/>
        <w:keepLines/>
        <w:spacing w:before="60"/>
        <w:jc w:val="center"/>
        <w:rPr>
          <w:rFonts w:ascii="Arial" w:eastAsiaTheme="minorEastAsia" w:hAnsi="Arial"/>
          <w:b/>
        </w:rPr>
      </w:pPr>
      <w:r w:rsidRPr="00453BD7">
        <w:rPr>
          <w:rFonts w:ascii="Arial" w:eastAsiaTheme="minorEastAsia" w:hAnsi="Arial"/>
          <w:b/>
        </w:rPr>
        <w:t>Table 10.7.</w:t>
      </w:r>
      <w:r>
        <w:rPr>
          <w:rFonts w:ascii="Arial" w:eastAsiaTheme="minorEastAsia" w:hAnsi="Arial"/>
          <w:b/>
        </w:rPr>
        <w:t>3.1</w:t>
      </w:r>
      <w:r w:rsidRPr="00453BD7">
        <w:rPr>
          <w:rFonts w:ascii="Arial" w:eastAsiaTheme="minorEastAsia" w:hAnsi="Arial"/>
          <w:b/>
        </w:rPr>
        <w:t>-1: General receiver spurious emission basic limits for</w:t>
      </w:r>
      <w:r w:rsidRPr="00453BD7">
        <w:rPr>
          <w:rFonts w:ascii="Arial" w:eastAsiaTheme="minorEastAsia" w:hAnsi="Arial"/>
          <w:b/>
          <w:i/>
        </w:rPr>
        <w:t xml:space="preserve"> </w:t>
      </w:r>
      <w:r>
        <w:rPr>
          <w:rFonts w:ascii="Arial" w:eastAsiaTheme="minorEastAsia" w:hAnsi="Arial"/>
          <w:b/>
          <w:i/>
        </w:rPr>
        <w:t>IAB-MT</w:t>
      </w:r>
      <w:r w:rsidRPr="00453BD7">
        <w:rPr>
          <w:rFonts w:ascii="Arial" w:eastAsiaTheme="minorEastAsia" w:hAnsi="Arial"/>
          <w:b/>
          <w:i/>
        </w:rPr>
        <w:t xml:space="preserve"> type 1-O</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76"/>
        <w:gridCol w:w="1276"/>
        <w:gridCol w:w="1418"/>
        <w:gridCol w:w="2519"/>
      </w:tblGrid>
      <w:tr w:rsidR="00DD3A27" w:rsidRPr="00453BD7" w14:paraId="476FCA5C" w14:textId="77777777" w:rsidTr="00BD1F8C">
        <w:trPr>
          <w:cantSplit/>
          <w:jc w:val="center"/>
        </w:trPr>
        <w:tc>
          <w:tcPr>
            <w:tcW w:w="2976" w:type="dxa"/>
            <w:tcBorders>
              <w:top w:val="single" w:sz="6" w:space="0" w:color="000000"/>
              <w:left w:val="single" w:sz="6" w:space="0" w:color="000000"/>
              <w:bottom w:val="single" w:sz="6" w:space="0" w:color="000000"/>
              <w:right w:val="single" w:sz="6" w:space="0" w:color="000000"/>
            </w:tcBorders>
            <w:hideMark/>
          </w:tcPr>
          <w:p w14:paraId="50D5ABC5" w14:textId="77777777" w:rsidR="00DD3A27" w:rsidRPr="00453BD7" w:rsidRDefault="00DD3A27" w:rsidP="00BD1F8C">
            <w:pPr>
              <w:keepNext/>
              <w:keepLines/>
              <w:spacing w:after="0"/>
              <w:jc w:val="center"/>
              <w:rPr>
                <w:rFonts w:ascii="Arial" w:eastAsiaTheme="minorEastAsia" w:hAnsi="Arial" w:cs="Arial"/>
                <w:b/>
                <w:sz w:val="18"/>
              </w:rPr>
            </w:pPr>
            <w:r w:rsidRPr="00453BD7">
              <w:rPr>
                <w:rFonts w:ascii="Arial" w:eastAsiaTheme="minorEastAsia" w:hAnsi="Arial" w:cs="v5.0.0"/>
                <w:b/>
                <w:sz w:val="18"/>
              </w:rPr>
              <w:t>Spurious frequency range</w:t>
            </w:r>
          </w:p>
        </w:tc>
        <w:tc>
          <w:tcPr>
            <w:tcW w:w="1276" w:type="dxa"/>
            <w:tcBorders>
              <w:top w:val="single" w:sz="6" w:space="0" w:color="000000"/>
              <w:left w:val="single" w:sz="6" w:space="0" w:color="000000"/>
              <w:bottom w:val="single" w:sz="6" w:space="0" w:color="000000"/>
              <w:right w:val="single" w:sz="6" w:space="0" w:color="000000"/>
            </w:tcBorders>
            <w:hideMark/>
          </w:tcPr>
          <w:p w14:paraId="302B8CB8" w14:textId="77777777" w:rsidR="00DD3A27" w:rsidRPr="00453BD7" w:rsidRDefault="00DD3A27" w:rsidP="00BD1F8C">
            <w:pPr>
              <w:keepNext/>
              <w:keepLines/>
              <w:spacing w:after="0"/>
              <w:jc w:val="center"/>
              <w:rPr>
                <w:rFonts w:ascii="Arial" w:eastAsiaTheme="minorEastAsia" w:hAnsi="Arial" w:cs="Arial"/>
                <w:b/>
                <w:sz w:val="18"/>
              </w:rPr>
            </w:pPr>
            <w:r w:rsidRPr="00453BD7">
              <w:rPr>
                <w:rFonts w:ascii="Arial" w:eastAsiaTheme="minorEastAsia" w:hAnsi="Arial"/>
                <w:b/>
                <w:i/>
                <w:sz w:val="18"/>
              </w:rPr>
              <w:t>Basic limit</w:t>
            </w:r>
            <w:r w:rsidRPr="00453BD7">
              <w:rPr>
                <w:rFonts w:ascii="Arial" w:eastAsiaTheme="minorEastAsia" w:hAnsi="Arial"/>
                <w:b/>
                <w:sz w:val="18"/>
              </w:rPr>
              <w:br/>
              <w:t>(Note 4)</w:t>
            </w:r>
          </w:p>
        </w:tc>
        <w:tc>
          <w:tcPr>
            <w:tcW w:w="1418" w:type="dxa"/>
            <w:tcBorders>
              <w:top w:val="single" w:sz="6" w:space="0" w:color="000000"/>
              <w:left w:val="single" w:sz="6" w:space="0" w:color="000000"/>
              <w:bottom w:val="single" w:sz="6" w:space="0" w:color="000000"/>
              <w:right w:val="single" w:sz="6" w:space="0" w:color="000000"/>
            </w:tcBorders>
            <w:hideMark/>
          </w:tcPr>
          <w:p w14:paraId="11C234C1" w14:textId="77777777" w:rsidR="00DD3A27" w:rsidRPr="00453BD7" w:rsidRDefault="00DD3A27" w:rsidP="00BD1F8C">
            <w:pPr>
              <w:keepNext/>
              <w:keepLines/>
              <w:spacing w:after="0"/>
              <w:jc w:val="center"/>
              <w:rPr>
                <w:rFonts w:ascii="Arial" w:eastAsiaTheme="minorEastAsia" w:hAnsi="Arial" w:cs="Arial"/>
                <w:b/>
                <w:sz w:val="18"/>
              </w:rPr>
            </w:pPr>
            <w:r w:rsidRPr="00453BD7">
              <w:rPr>
                <w:rFonts w:ascii="Arial" w:eastAsiaTheme="minorEastAsia" w:hAnsi="Arial" w:cs="v5.0.0"/>
                <w:b/>
                <w:sz w:val="18"/>
              </w:rPr>
              <w:t>Measurement bandwidth</w:t>
            </w:r>
          </w:p>
        </w:tc>
        <w:tc>
          <w:tcPr>
            <w:tcW w:w="2519" w:type="dxa"/>
            <w:tcBorders>
              <w:top w:val="single" w:sz="6" w:space="0" w:color="000000"/>
              <w:left w:val="single" w:sz="6" w:space="0" w:color="000000"/>
              <w:bottom w:val="single" w:sz="6" w:space="0" w:color="000000"/>
              <w:right w:val="single" w:sz="6" w:space="0" w:color="000000"/>
            </w:tcBorders>
            <w:hideMark/>
          </w:tcPr>
          <w:p w14:paraId="626E95A5" w14:textId="77777777" w:rsidR="00DD3A27" w:rsidRPr="00453BD7" w:rsidRDefault="00DD3A27" w:rsidP="00BD1F8C">
            <w:pPr>
              <w:keepNext/>
              <w:keepLines/>
              <w:spacing w:after="0"/>
              <w:jc w:val="center"/>
              <w:rPr>
                <w:rFonts w:ascii="Arial" w:eastAsiaTheme="minorEastAsia" w:hAnsi="Arial" w:cs="Arial"/>
                <w:b/>
                <w:sz w:val="18"/>
              </w:rPr>
            </w:pPr>
            <w:r w:rsidRPr="00453BD7">
              <w:rPr>
                <w:rFonts w:ascii="Arial" w:eastAsiaTheme="minorEastAsia" w:hAnsi="Arial" w:cs="v5.0.0"/>
                <w:b/>
                <w:sz w:val="18"/>
              </w:rPr>
              <w:t>Notes</w:t>
            </w:r>
          </w:p>
        </w:tc>
      </w:tr>
      <w:tr w:rsidR="00DD3A27" w:rsidRPr="00453BD7" w14:paraId="23847738" w14:textId="77777777" w:rsidTr="002E2B73">
        <w:trPr>
          <w:cantSplit/>
          <w:trHeight w:val="99"/>
          <w:jc w:val="center"/>
        </w:trPr>
        <w:tc>
          <w:tcPr>
            <w:tcW w:w="2976" w:type="dxa"/>
            <w:tcBorders>
              <w:top w:val="single" w:sz="6" w:space="0" w:color="000000"/>
              <w:left w:val="single" w:sz="6" w:space="0" w:color="000000"/>
              <w:right w:val="single" w:sz="6" w:space="0" w:color="000000"/>
            </w:tcBorders>
          </w:tcPr>
          <w:p w14:paraId="26B30916" w14:textId="77777777" w:rsidR="00DD3A27" w:rsidRPr="00453BD7" w:rsidRDefault="00DD3A27" w:rsidP="002E2B73">
            <w:pPr>
              <w:pStyle w:val="TAC"/>
              <w:rPr>
                <w:rFonts w:eastAsiaTheme="minorEastAsia"/>
              </w:rPr>
            </w:pPr>
            <w:r w:rsidRPr="00453BD7">
              <w:rPr>
                <w:rFonts w:eastAsiaTheme="minorEastAsia"/>
              </w:rPr>
              <w:t>30 MHz – 1 GHz</w:t>
            </w:r>
          </w:p>
        </w:tc>
        <w:tc>
          <w:tcPr>
            <w:tcW w:w="1276" w:type="dxa"/>
            <w:tcBorders>
              <w:top w:val="single" w:sz="6" w:space="0" w:color="000000"/>
              <w:left w:val="single" w:sz="6" w:space="0" w:color="000000"/>
              <w:bottom w:val="single" w:sz="4" w:space="0" w:color="auto"/>
              <w:right w:val="single" w:sz="6" w:space="0" w:color="000000"/>
            </w:tcBorders>
          </w:tcPr>
          <w:p w14:paraId="3D70466B" w14:textId="77777777" w:rsidR="00DD3A27" w:rsidRPr="00453BD7" w:rsidRDefault="00DD3A27" w:rsidP="002E2B73">
            <w:pPr>
              <w:pStyle w:val="TAC"/>
              <w:rPr>
                <w:rFonts w:eastAsiaTheme="minorEastAsia" w:cs="Arial"/>
              </w:rPr>
            </w:pPr>
            <w:r w:rsidRPr="00453BD7">
              <w:rPr>
                <w:rFonts w:eastAsiaTheme="minorEastAsia" w:cs="Arial"/>
              </w:rPr>
              <w:t>-36 dBm</w:t>
            </w:r>
          </w:p>
        </w:tc>
        <w:tc>
          <w:tcPr>
            <w:tcW w:w="1418" w:type="dxa"/>
            <w:tcBorders>
              <w:top w:val="single" w:sz="6" w:space="0" w:color="000000"/>
              <w:left w:val="single" w:sz="6" w:space="0" w:color="000000"/>
              <w:right w:val="single" w:sz="6" w:space="0" w:color="000000"/>
            </w:tcBorders>
          </w:tcPr>
          <w:p w14:paraId="174A3DE8" w14:textId="77777777" w:rsidR="00DD3A27" w:rsidRPr="00453BD7" w:rsidRDefault="00DD3A27" w:rsidP="002E2B73">
            <w:pPr>
              <w:pStyle w:val="TAC"/>
              <w:rPr>
                <w:rFonts w:eastAsiaTheme="minorEastAsia"/>
              </w:rPr>
            </w:pPr>
            <w:r w:rsidRPr="00453BD7">
              <w:rPr>
                <w:rFonts w:eastAsiaTheme="minorEastAsia"/>
              </w:rPr>
              <w:t>100 kHz</w:t>
            </w:r>
          </w:p>
        </w:tc>
        <w:tc>
          <w:tcPr>
            <w:tcW w:w="2519" w:type="dxa"/>
            <w:tcBorders>
              <w:top w:val="single" w:sz="6" w:space="0" w:color="000000"/>
              <w:left w:val="single" w:sz="6" w:space="0" w:color="000000"/>
              <w:right w:val="single" w:sz="6" w:space="0" w:color="000000"/>
            </w:tcBorders>
          </w:tcPr>
          <w:p w14:paraId="1635A841" w14:textId="77777777" w:rsidR="00DD3A27" w:rsidRPr="00453BD7" w:rsidRDefault="00DD3A27" w:rsidP="002E2B73">
            <w:pPr>
              <w:pStyle w:val="TAC"/>
              <w:rPr>
                <w:rFonts w:eastAsiaTheme="minorEastAsia" w:cs="Arial"/>
              </w:rPr>
            </w:pPr>
            <w:r w:rsidRPr="00453BD7">
              <w:rPr>
                <w:rFonts w:eastAsiaTheme="minorEastAsia" w:cs="Arial"/>
              </w:rPr>
              <w:t>Note 1</w:t>
            </w:r>
          </w:p>
        </w:tc>
      </w:tr>
      <w:tr w:rsidR="002E2B73" w:rsidRPr="00453BD7" w14:paraId="7E11C7A0" w14:textId="77777777" w:rsidTr="002E2B73">
        <w:trPr>
          <w:cantSplit/>
          <w:jc w:val="center"/>
        </w:trPr>
        <w:tc>
          <w:tcPr>
            <w:tcW w:w="2976" w:type="dxa"/>
            <w:tcBorders>
              <w:top w:val="single" w:sz="6" w:space="0" w:color="000000"/>
              <w:left w:val="single" w:sz="6" w:space="0" w:color="000000"/>
              <w:bottom w:val="single" w:sz="6" w:space="0" w:color="000000"/>
              <w:right w:val="single" w:sz="4" w:space="0" w:color="auto"/>
            </w:tcBorders>
            <w:hideMark/>
          </w:tcPr>
          <w:p w14:paraId="2BDE5C43" w14:textId="77777777" w:rsidR="002E2B73" w:rsidRPr="00453BD7" w:rsidRDefault="002E2B73" w:rsidP="002E2B73">
            <w:pPr>
              <w:pStyle w:val="TAC"/>
              <w:rPr>
                <w:rFonts w:eastAsiaTheme="minorEastAsia" w:cs="Arial"/>
              </w:rPr>
            </w:pPr>
            <w:r w:rsidRPr="00453BD7">
              <w:rPr>
                <w:rFonts w:eastAsiaTheme="minorEastAsia"/>
              </w:rPr>
              <w:t>1 GHz – 12.75 GHz</w:t>
            </w:r>
          </w:p>
        </w:tc>
        <w:tc>
          <w:tcPr>
            <w:tcW w:w="1276" w:type="dxa"/>
            <w:tcBorders>
              <w:top w:val="single" w:sz="4" w:space="0" w:color="auto"/>
              <w:left w:val="single" w:sz="4" w:space="0" w:color="auto"/>
              <w:bottom w:val="nil"/>
              <w:right w:val="single" w:sz="4" w:space="0" w:color="auto"/>
            </w:tcBorders>
            <w:shd w:val="clear" w:color="auto" w:fill="auto"/>
            <w:hideMark/>
          </w:tcPr>
          <w:p w14:paraId="15DEBBFC" w14:textId="7D4C46FC" w:rsidR="002E2B73" w:rsidRPr="00453BD7" w:rsidRDefault="002E2B73" w:rsidP="002E2B73">
            <w:pPr>
              <w:pStyle w:val="TAC"/>
              <w:rPr>
                <w:rFonts w:eastAsiaTheme="minorEastAsia" w:cs="Arial"/>
              </w:rPr>
            </w:pPr>
            <w:r w:rsidRPr="00453BD7">
              <w:rPr>
                <w:rFonts w:eastAsiaTheme="minorEastAsia" w:cs="Arial"/>
              </w:rPr>
              <w:t>-30 dBm</w:t>
            </w:r>
          </w:p>
        </w:tc>
        <w:tc>
          <w:tcPr>
            <w:tcW w:w="1418" w:type="dxa"/>
            <w:tcBorders>
              <w:top w:val="single" w:sz="6" w:space="0" w:color="000000"/>
              <w:left w:val="single" w:sz="4" w:space="0" w:color="auto"/>
              <w:bottom w:val="single" w:sz="6" w:space="0" w:color="000000"/>
              <w:right w:val="single" w:sz="6" w:space="0" w:color="000000"/>
            </w:tcBorders>
            <w:hideMark/>
          </w:tcPr>
          <w:p w14:paraId="1CDE6341" w14:textId="77777777" w:rsidR="002E2B73" w:rsidRPr="00453BD7" w:rsidRDefault="002E2B73" w:rsidP="002E2B73">
            <w:pPr>
              <w:pStyle w:val="TAC"/>
              <w:rPr>
                <w:rFonts w:eastAsiaTheme="minorEastAsia" w:cs="Arial"/>
              </w:rPr>
            </w:pPr>
            <w:r w:rsidRPr="00453BD7">
              <w:rPr>
                <w:rFonts w:eastAsiaTheme="minorEastAsia"/>
              </w:rPr>
              <w:t>1 MHz</w:t>
            </w:r>
          </w:p>
        </w:tc>
        <w:tc>
          <w:tcPr>
            <w:tcW w:w="2519" w:type="dxa"/>
            <w:tcBorders>
              <w:top w:val="single" w:sz="6" w:space="0" w:color="000000"/>
              <w:left w:val="single" w:sz="6" w:space="0" w:color="000000"/>
              <w:bottom w:val="single" w:sz="6" w:space="0" w:color="000000"/>
              <w:right w:val="single" w:sz="6" w:space="0" w:color="000000"/>
            </w:tcBorders>
            <w:hideMark/>
          </w:tcPr>
          <w:p w14:paraId="1A926AA4" w14:textId="77777777" w:rsidR="002E2B73" w:rsidRPr="00453BD7" w:rsidRDefault="002E2B73" w:rsidP="002E2B73">
            <w:pPr>
              <w:pStyle w:val="TAC"/>
              <w:rPr>
                <w:rFonts w:eastAsiaTheme="minorEastAsia" w:cs="Arial"/>
              </w:rPr>
            </w:pPr>
            <w:r w:rsidRPr="00453BD7">
              <w:rPr>
                <w:rFonts w:eastAsiaTheme="minorEastAsia" w:cs="Arial"/>
              </w:rPr>
              <w:t>Note 1, Note 2</w:t>
            </w:r>
          </w:p>
        </w:tc>
      </w:tr>
      <w:tr w:rsidR="002E2B73" w:rsidRPr="00453BD7" w14:paraId="7CB2B7F1" w14:textId="77777777" w:rsidTr="002E2B73">
        <w:trPr>
          <w:cantSplit/>
          <w:trHeight w:val="604"/>
          <w:jc w:val="center"/>
        </w:trPr>
        <w:tc>
          <w:tcPr>
            <w:tcW w:w="2976" w:type="dxa"/>
            <w:tcBorders>
              <w:top w:val="single" w:sz="6" w:space="0" w:color="000000"/>
              <w:left w:val="single" w:sz="6" w:space="0" w:color="000000"/>
              <w:right w:val="single" w:sz="4" w:space="0" w:color="auto"/>
            </w:tcBorders>
            <w:hideMark/>
          </w:tcPr>
          <w:p w14:paraId="0B245238" w14:textId="77777777" w:rsidR="002E2B73" w:rsidRPr="00453BD7" w:rsidRDefault="002E2B73" w:rsidP="002E2B73">
            <w:pPr>
              <w:pStyle w:val="TAC"/>
              <w:rPr>
                <w:rFonts w:eastAsiaTheme="minorEastAsia" w:cs="Arial"/>
              </w:rPr>
            </w:pPr>
            <w:r w:rsidRPr="00453BD7">
              <w:rPr>
                <w:rFonts w:eastAsiaTheme="minorEastAsia"/>
              </w:rPr>
              <w:t xml:space="preserve">12.75 GHz – </w:t>
            </w:r>
            <w:r w:rsidRPr="00453BD7">
              <w:rPr>
                <w:rFonts w:eastAsiaTheme="minorEastAsia" w:cs="Arial"/>
              </w:rPr>
              <w:t>5</w:t>
            </w:r>
            <w:r w:rsidRPr="00453BD7">
              <w:rPr>
                <w:rFonts w:eastAsiaTheme="minorEastAsia" w:cs="Arial"/>
                <w:vertAlign w:val="superscript"/>
              </w:rPr>
              <w:t>th</w:t>
            </w:r>
            <w:r w:rsidRPr="00453BD7">
              <w:rPr>
                <w:rFonts w:eastAsiaTheme="minorEastAsia" w:cs="Arial"/>
              </w:rPr>
              <w:t xml:space="preserve"> harmonic of the upper frequency edge of the </w:t>
            </w:r>
            <w:r>
              <w:rPr>
                <w:rFonts w:eastAsiaTheme="minorEastAsia" w:cs="Arial"/>
              </w:rPr>
              <w:t>D</w:t>
            </w:r>
            <w:r w:rsidRPr="00453BD7">
              <w:rPr>
                <w:rFonts w:eastAsiaTheme="minorEastAsia" w:cs="Arial"/>
              </w:rPr>
              <w:t>L operating band in GHz</w:t>
            </w:r>
          </w:p>
        </w:tc>
        <w:tc>
          <w:tcPr>
            <w:tcW w:w="1276" w:type="dxa"/>
            <w:tcBorders>
              <w:top w:val="nil"/>
              <w:left w:val="single" w:sz="4" w:space="0" w:color="auto"/>
              <w:bottom w:val="single" w:sz="4" w:space="0" w:color="auto"/>
              <w:right w:val="single" w:sz="4" w:space="0" w:color="auto"/>
            </w:tcBorders>
            <w:shd w:val="clear" w:color="auto" w:fill="auto"/>
            <w:hideMark/>
          </w:tcPr>
          <w:p w14:paraId="0B72E306" w14:textId="77777777" w:rsidR="002E2B73" w:rsidRPr="00453BD7" w:rsidRDefault="002E2B73" w:rsidP="002E2B73">
            <w:pPr>
              <w:pStyle w:val="TAC"/>
              <w:rPr>
                <w:rFonts w:eastAsiaTheme="minorEastAsia" w:cs="Arial"/>
              </w:rPr>
            </w:pPr>
          </w:p>
        </w:tc>
        <w:tc>
          <w:tcPr>
            <w:tcW w:w="1418" w:type="dxa"/>
            <w:tcBorders>
              <w:top w:val="single" w:sz="6" w:space="0" w:color="000000"/>
              <w:left w:val="single" w:sz="4" w:space="0" w:color="auto"/>
              <w:right w:val="single" w:sz="6" w:space="0" w:color="000000"/>
            </w:tcBorders>
            <w:hideMark/>
          </w:tcPr>
          <w:p w14:paraId="517C04E4" w14:textId="77777777" w:rsidR="002E2B73" w:rsidRPr="00453BD7" w:rsidRDefault="002E2B73" w:rsidP="002E2B73">
            <w:pPr>
              <w:pStyle w:val="TAC"/>
              <w:rPr>
                <w:rFonts w:eastAsiaTheme="minorEastAsia" w:cs="Arial"/>
              </w:rPr>
            </w:pPr>
            <w:r w:rsidRPr="00453BD7">
              <w:rPr>
                <w:rFonts w:eastAsiaTheme="minorEastAsia"/>
              </w:rPr>
              <w:t>1 MHz</w:t>
            </w:r>
          </w:p>
        </w:tc>
        <w:tc>
          <w:tcPr>
            <w:tcW w:w="2519" w:type="dxa"/>
            <w:tcBorders>
              <w:top w:val="single" w:sz="6" w:space="0" w:color="000000"/>
              <w:left w:val="single" w:sz="6" w:space="0" w:color="000000"/>
              <w:right w:val="single" w:sz="6" w:space="0" w:color="000000"/>
            </w:tcBorders>
            <w:hideMark/>
          </w:tcPr>
          <w:p w14:paraId="1DD48302" w14:textId="77777777" w:rsidR="002E2B73" w:rsidRPr="00453BD7" w:rsidRDefault="002E2B73" w:rsidP="002E2B73">
            <w:pPr>
              <w:pStyle w:val="TAC"/>
              <w:rPr>
                <w:rFonts w:eastAsiaTheme="minorEastAsia" w:cs="Arial"/>
              </w:rPr>
            </w:pPr>
            <w:r w:rsidRPr="00453BD7">
              <w:rPr>
                <w:rFonts w:eastAsiaTheme="minorEastAsia" w:cs="Arial"/>
              </w:rPr>
              <w:t>Note 1, Note 2, Note 3</w:t>
            </w:r>
          </w:p>
        </w:tc>
      </w:tr>
      <w:tr w:rsidR="00DD3A27" w:rsidRPr="00453BD7" w14:paraId="77371080" w14:textId="77777777" w:rsidTr="00BD1F8C">
        <w:trPr>
          <w:cantSplit/>
          <w:jc w:val="center"/>
        </w:trPr>
        <w:tc>
          <w:tcPr>
            <w:tcW w:w="8189" w:type="dxa"/>
            <w:gridSpan w:val="4"/>
            <w:tcBorders>
              <w:top w:val="single" w:sz="6" w:space="0" w:color="000000"/>
              <w:left w:val="single" w:sz="6" w:space="0" w:color="000000"/>
              <w:bottom w:val="single" w:sz="6" w:space="0" w:color="000000"/>
              <w:right w:val="single" w:sz="6" w:space="0" w:color="000000"/>
            </w:tcBorders>
            <w:hideMark/>
          </w:tcPr>
          <w:p w14:paraId="6F479F0B" w14:textId="77777777" w:rsidR="00DD3A27" w:rsidRPr="00453BD7" w:rsidRDefault="00DD3A27" w:rsidP="00BD1F8C">
            <w:pPr>
              <w:keepNext/>
              <w:keepLines/>
              <w:spacing w:after="0"/>
              <w:ind w:left="851" w:hanging="851"/>
              <w:rPr>
                <w:rFonts w:ascii="Arial" w:eastAsiaTheme="minorEastAsia" w:hAnsi="Arial" w:cs="Arial"/>
                <w:sz w:val="18"/>
              </w:rPr>
            </w:pPr>
            <w:r w:rsidRPr="00453BD7">
              <w:rPr>
                <w:rFonts w:ascii="Arial" w:eastAsiaTheme="minorEastAsia" w:hAnsi="Arial" w:cs="Arial"/>
                <w:sz w:val="18"/>
              </w:rPr>
              <w:t>NOTE 1:</w:t>
            </w:r>
            <w:r w:rsidRPr="00453BD7">
              <w:rPr>
                <w:rFonts w:ascii="Arial" w:eastAsiaTheme="minorEastAsia" w:hAnsi="Arial" w:cs="Arial"/>
                <w:sz w:val="18"/>
              </w:rPr>
              <w:tab/>
              <w:t>Measurement bandwidths as in ITU-R SM.329 [</w:t>
            </w:r>
            <w:r>
              <w:rPr>
                <w:rFonts w:ascii="Arial" w:eastAsiaTheme="minorEastAsia" w:hAnsi="Arial" w:cs="Arial"/>
                <w:sz w:val="18"/>
              </w:rPr>
              <w:t>16</w:t>
            </w:r>
            <w:r w:rsidRPr="00453BD7">
              <w:rPr>
                <w:rFonts w:ascii="Arial" w:eastAsiaTheme="minorEastAsia" w:hAnsi="Arial" w:cs="Arial"/>
                <w:sz w:val="18"/>
              </w:rPr>
              <w:t>], s4.1.</w:t>
            </w:r>
          </w:p>
          <w:p w14:paraId="29AD6B00" w14:textId="77777777" w:rsidR="00DD3A27" w:rsidRPr="00453BD7" w:rsidRDefault="00DD3A27" w:rsidP="00BD1F8C">
            <w:pPr>
              <w:keepNext/>
              <w:keepLines/>
              <w:spacing w:after="0"/>
              <w:ind w:left="851" w:hanging="851"/>
              <w:rPr>
                <w:rFonts w:ascii="Arial" w:eastAsiaTheme="minorEastAsia" w:hAnsi="Arial" w:cs="Arial"/>
                <w:sz w:val="18"/>
              </w:rPr>
            </w:pPr>
            <w:r w:rsidRPr="00453BD7">
              <w:rPr>
                <w:rFonts w:ascii="Arial" w:eastAsiaTheme="minorEastAsia" w:hAnsi="Arial" w:cs="Arial"/>
                <w:sz w:val="18"/>
              </w:rPr>
              <w:t>NOTE 2:</w:t>
            </w:r>
            <w:r w:rsidRPr="00453BD7">
              <w:rPr>
                <w:rFonts w:ascii="Arial" w:eastAsiaTheme="minorEastAsia" w:hAnsi="Arial" w:cs="Arial"/>
                <w:sz w:val="18"/>
              </w:rPr>
              <w:tab/>
              <w:t>Upper frequency as in ITU-R SM.329 [</w:t>
            </w:r>
            <w:r>
              <w:rPr>
                <w:rFonts w:ascii="Arial" w:eastAsiaTheme="minorEastAsia" w:hAnsi="Arial" w:cs="Arial"/>
                <w:sz w:val="18"/>
              </w:rPr>
              <w:t>16</w:t>
            </w:r>
            <w:r w:rsidRPr="00453BD7">
              <w:rPr>
                <w:rFonts w:ascii="Arial" w:eastAsiaTheme="minorEastAsia" w:hAnsi="Arial" w:cs="Arial"/>
                <w:sz w:val="18"/>
              </w:rPr>
              <w:t>], s2.5 table 1.</w:t>
            </w:r>
          </w:p>
          <w:p w14:paraId="7CEE982B" w14:textId="77777777" w:rsidR="00DD3A27" w:rsidRPr="00453BD7" w:rsidRDefault="00DD3A27" w:rsidP="00BD1F8C">
            <w:pPr>
              <w:keepNext/>
              <w:keepLines/>
              <w:spacing w:after="0"/>
              <w:ind w:left="851" w:hanging="851"/>
              <w:rPr>
                <w:rFonts w:ascii="Arial" w:eastAsiaTheme="minorEastAsia" w:hAnsi="Arial" w:cs="Arial"/>
                <w:sz w:val="18"/>
              </w:rPr>
            </w:pPr>
            <w:r w:rsidRPr="00453BD7">
              <w:rPr>
                <w:rFonts w:ascii="Arial" w:eastAsiaTheme="minorEastAsia" w:hAnsi="Arial" w:cs="Arial"/>
                <w:sz w:val="18"/>
              </w:rPr>
              <w:t>NOTE 3:</w:t>
            </w:r>
            <w:r w:rsidRPr="00453BD7">
              <w:rPr>
                <w:rFonts w:ascii="Arial" w:eastAsiaTheme="minorEastAsia" w:hAnsi="Arial" w:cs="Arial"/>
                <w:sz w:val="18"/>
              </w:rPr>
              <w:tab/>
              <w:t>This spurious frequency range applies</w:t>
            </w:r>
            <w:r w:rsidRPr="00453BD7" w:rsidDel="00005173">
              <w:rPr>
                <w:rFonts w:ascii="Arial" w:eastAsiaTheme="minorEastAsia" w:hAnsi="Arial" w:cs="Arial"/>
                <w:sz w:val="18"/>
              </w:rPr>
              <w:t xml:space="preserve"> </w:t>
            </w:r>
            <w:r w:rsidRPr="00453BD7">
              <w:rPr>
                <w:rFonts w:ascii="Arial" w:eastAsiaTheme="minorEastAsia" w:hAnsi="Arial" w:cs="Arial"/>
                <w:sz w:val="18"/>
              </w:rPr>
              <w:t xml:space="preserve">only for </w:t>
            </w:r>
            <w:r w:rsidRPr="00453BD7">
              <w:rPr>
                <w:rFonts w:ascii="Arial" w:eastAsiaTheme="minorEastAsia" w:hAnsi="Arial" w:cs="Arial"/>
                <w:i/>
                <w:sz w:val="18"/>
              </w:rPr>
              <w:t>operating bands</w:t>
            </w:r>
            <w:r w:rsidRPr="00453BD7">
              <w:rPr>
                <w:rFonts w:ascii="Arial" w:eastAsiaTheme="minorEastAsia" w:hAnsi="Arial" w:cs="Arial"/>
                <w:sz w:val="18"/>
              </w:rPr>
              <w:t xml:space="preserve"> for which the 5</w:t>
            </w:r>
            <w:r w:rsidRPr="00453BD7">
              <w:rPr>
                <w:rFonts w:ascii="Arial" w:eastAsiaTheme="minorEastAsia" w:hAnsi="Arial" w:cs="Arial"/>
                <w:sz w:val="18"/>
                <w:vertAlign w:val="superscript"/>
              </w:rPr>
              <w:t>th</w:t>
            </w:r>
            <w:r w:rsidRPr="00453BD7">
              <w:rPr>
                <w:rFonts w:ascii="Arial" w:eastAsiaTheme="minorEastAsia" w:hAnsi="Arial" w:cs="Arial"/>
                <w:sz w:val="18"/>
              </w:rPr>
              <w:t xml:space="preserve"> harmonic of the upper frequency edge </w:t>
            </w:r>
            <w:r w:rsidRPr="00453BD7">
              <w:rPr>
                <w:rFonts w:ascii="Arial" w:eastAsiaTheme="minorEastAsia" w:hAnsi="Arial"/>
                <w:sz w:val="18"/>
              </w:rPr>
              <w:t xml:space="preserve">of the </w:t>
            </w:r>
            <w:r>
              <w:rPr>
                <w:rFonts w:ascii="Arial" w:eastAsiaTheme="minorEastAsia" w:hAnsi="Arial"/>
                <w:sz w:val="18"/>
              </w:rPr>
              <w:t>D</w:t>
            </w:r>
            <w:r w:rsidRPr="00453BD7">
              <w:rPr>
                <w:rFonts w:ascii="Arial" w:eastAsiaTheme="minorEastAsia" w:hAnsi="Arial"/>
                <w:sz w:val="18"/>
              </w:rPr>
              <w:t xml:space="preserve">L </w:t>
            </w:r>
            <w:r w:rsidRPr="00453BD7">
              <w:rPr>
                <w:rFonts w:ascii="Arial" w:eastAsiaTheme="minorEastAsia" w:hAnsi="Arial"/>
                <w:i/>
                <w:sz w:val="18"/>
              </w:rPr>
              <w:t>operating band</w:t>
            </w:r>
            <w:r w:rsidRPr="00453BD7">
              <w:rPr>
                <w:rFonts w:ascii="Arial" w:eastAsiaTheme="minorEastAsia" w:hAnsi="Arial" w:cs="Arial"/>
                <w:sz w:val="18"/>
              </w:rPr>
              <w:t xml:space="preserve"> is reaching beyond 12.75 GHz.</w:t>
            </w:r>
          </w:p>
          <w:p w14:paraId="68509A29" w14:textId="77777777" w:rsidR="00DD3A27" w:rsidRPr="00453BD7" w:rsidRDefault="00DD3A27" w:rsidP="00BD1F8C">
            <w:pPr>
              <w:keepNext/>
              <w:keepLines/>
              <w:spacing w:after="0"/>
              <w:ind w:left="851" w:hanging="851"/>
              <w:rPr>
                <w:rFonts w:ascii="Arial" w:eastAsiaTheme="minorEastAsia" w:hAnsi="Arial" w:cs="Arial"/>
                <w:sz w:val="18"/>
              </w:rPr>
            </w:pPr>
            <w:r w:rsidRPr="00453BD7">
              <w:rPr>
                <w:rFonts w:ascii="Arial" w:eastAsiaTheme="minorEastAsia" w:hAnsi="Arial"/>
                <w:sz w:val="18"/>
              </w:rPr>
              <w:t>NOTE 4:</w:t>
            </w:r>
            <w:r w:rsidRPr="00453BD7">
              <w:rPr>
                <w:rFonts w:ascii="Arial" w:eastAsiaTheme="minorEastAsia" w:hAnsi="Arial"/>
                <w:sz w:val="18"/>
              </w:rPr>
              <w:tab/>
              <w:t>Additional limits may apply regionally.</w:t>
            </w:r>
          </w:p>
        </w:tc>
      </w:tr>
    </w:tbl>
    <w:p w14:paraId="193D7887" w14:textId="77777777" w:rsidR="00DD3A27" w:rsidRPr="00DD3A27" w:rsidRDefault="00DD3A27" w:rsidP="00A76F42"/>
    <w:p w14:paraId="5F0AF00C" w14:textId="1720A3AE" w:rsidR="009B5C6B" w:rsidRDefault="009B5C6B" w:rsidP="009B5C6B">
      <w:pPr>
        <w:pStyle w:val="Heading4"/>
      </w:pPr>
      <w:bookmarkStart w:id="6918" w:name="_Toc53185568"/>
      <w:bookmarkStart w:id="6919" w:name="_Toc53185944"/>
      <w:bookmarkStart w:id="6920" w:name="_Toc57820430"/>
      <w:bookmarkStart w:id="6921" w:name="_Toc57821357"/>
      <w:bookmarkStart w:id="6922" w:name="_Toc61183633"/>
      <w:bookmarkStart w:id="6923" w:name="_Toc61184027"/>
      <w:bookmarkStart w:id="6924" w:name="_Toc61184419"/>
      <w:bookmarkStart w:id="6925" w:name="_Toc61184811"/>
      <w:bookmarkStart w:id="6926" w:name="_Toc61185201"/>
      <w:bookmarkStart w:id="6927" w:name="_Toc66386546"/>
      <w:bookmarkStart w:id="6928" w:name="_Toc74583449"/>
      <w:bookmarkStart w:id="6929" w:name="_Toc76542262"/>
      <w:bookmarkStart w:id="6930" w:name="_Toc82450244"/>
      <w:bookmarkStart w:id="6931" w:name="_Toc82450892"/>
      <w:bookmarkStart w:id="6932" w:name="_Toc89949281"/>
      <w:bookmarkStart w:id="6933" w:name="_Toc98755670"/>
      <w:bookmarkStart w:id="6934" w:name="_Toc98763262"/>
      <w:bookmarkStart w:id="6935" w:name="_Toc106184191"/>
      <w:r>
        <w:t>10.7.3.2</w:t>
      </w:r>
      <w:r w:rsidR="00255E64" w:rsidRPr="007E346D">
        <w:tab/>
      </w:r>
      <w:r w:rsidRPr="00594DE1">
        <w:t xml:space="preserve">Minimum requirement for </w:t>
      </w:r>
      <w:r>
        <w:t>IAB-MT</w:t>
      </w:r>
      <w:r w:rsidRPr="00594DE1">
        <w:t xml:space="preserve"> type </w:t>
      </w:r>
      <w:r>
        <w:t>2</w:t>
      </w:r>
      <w:r w:rsidRPr="00594DE1">
        <w:t>-O</w:t>
      </w:r>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p>
    <w:p w14:paraId="41A7E15D" w14:textId="77777777" w:rsidR="009B5C6B" w:rsidRPr="00813A7E" w:rsidRDefault="009B5C6B" w:rsidP="009B5C6B">
      <w:pPr>
        <w:rPr>
          <w:lang w:eastAsia="zh-CN"/>
        </w:rPr>
      </w:pPr>
      <w:r>
        <w:rPr>
          <w:lang w:eastAsia="zh-CN"/>
        </w:rPr>
        <w:t>T</w:t>
      </w:r>
      <w:r w:rsidRPr="00813A7E">
        <w:rPr>
          <w:lang w:eastAsia="zh-CN"/>
        </w:rPr>
        <w:t xml:space="preserve">he OTA RX spurious emissions requirement shall apply during the </w:t>
      </w:r>
      <w:r w:rsidRPr="00813A7E">
        <w:rPr>
          <w:i/>
          <w:lang w:eastAsia="zh-CN"/>
        </w:rPr>
        <w:t>transmitter OFF period</w:t>
      </w:r>
      <w:r w:rsidRPr="00813A7E">
        <w:rPr>
          <w:lang w:eastAsia="zh-CN"/>
        </w:rPr>
        <w:t xml:space="preserve"> only.</w:t>
      </w:r>
    </w:p>
    <w:p w14:paraId="607D80EE" w14:textId="77777777" w:rsidR="009B5C6B" w:rsidRPr="00E26D09" w:rsidRDefault="009B5C6B" w:rsidP="009B5C6B">
      <w:pPr>
        <w:rPr>
          <w:rFonts w:cs="v5.0.0"/>
        </w:rPr>
      </w:pPr>
      <w:r w:rsidRPr="00E26D09">
        <w:t xml:space="preserve">For the </w:t>
      </w:r>
      <w:r>
        <w:t xml:space="preserve">Wide Area </w:t>
      </w:r>
      <w:r>
        <w:rPr>
          <w:i/>
        </w:rPr>
        <w:t>IAB-MT</w:t>
      </w:r>
      <w:r w:rsidRPr="00E26D09">
        <w:rPr>
          <w:i/>
        </w:rPr>
        <w:t xml:space="preserve"> type 2-O</w:t>
      </w:r>
      <w:r w:rsidRPr="00E26D09">
        <w:t xml:space="preserve">, </w:t>
      </w:r>
      <w:r w:rsidRPr="00E26D09">
        <w:rPr>
          <w:rFonts w:cs="v5.0.0"/>
        </w:rPr>
        <w:t>the power of any RX spurious emission shall not exceed the limits in table 10.7.3</w:t>
      </w:r>
      <w:r>
        <w:rPr>
          <w:rFonts w:cs="v5.0.0"/>
        </w:rPr>
        <w:t>.2</w:t>
      </w:r>
      <w:r w:rsidRPr="00E26D09">
        <w:rPr>
          <w:rFonts w:cs="v5.0.0"/>
        </w:rPr>
        <w:t>-1.</w:t>
      </w:r>
    </w:p>
    <w:p w14:paraId="49C803A0" w14:textId="77777777" w:rsidR="009B5C6B" w:rsidRPr="0006458D" w:rsidRDefault="009B5C6B" w:rsidP="009B5C6B">
      <w:pPr>
        <w:pStyle w:val="TH"/>
      </w:pPr>
      <w:r>
        <w:t>10.7.3.2-1</w:t>
      </w:r>
      <w:r w:rsidRPr="0006458D">
        <w:t xml:space="preserve">: </w:t>
      </w:r>
      <w:r w:rsidRPr="00813A7E">
        <w:t xml:space="preserve">Radiated Rx spurious emission limits for </w:t>
      </w:r>
      <w:r>
        <w:rPr>
          <w:i/>
        </w:rPr>
        <w:t>IAB-MT</w:t>
      </w:r>
      <w:r w:rsidRPr="00813A7E">
        <w:rPr>
          <w:i/>
        </w:rPr>
        <w:t xml:space="preserve"> type 2-O</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9B5C6B" w:rsidRPr="0006458D" w14:paraId="7C6E2221" w14:textId="77777777" w:rsidTr="00A4061E">
        <w:trPr>
          <w:cantSplit/>
          <w:jc w:val="center"/>
        </w:trPr>
        <w:tc>
          <w:tcPr>
            <w:tcW w:w="2376" w:type="dxa"/>
          </w:tcPr>
          <w:p w14:paraId="193FF0D0" w14:textId="77777777" w:rsidR="009B5C6B" w:rsidRPr="0006458D" w:rsidRDefault="009B5C6B" w:rsidP="00A4061E">
            <w:pPr>
              <w:pStyle w:val="TAH"/>
            </w:pPr>
            <w:r>
              <w:t xml:space="preserve">Spurious </w:t>
            </w:r>
            <w:r>
              <w:br/>
              <w:t>f</w:t>
            </w:r>
            <w:r w:rsidRPr="0006458D">
              <w:t xml:space="preserve">requency range </w:t>
            </w:r>
            <w:r w:rsidRPr="0006458D">
              <w:br/>
              <w:t>(Note 4)</w:t>
            </w:r>
          </w:p>
        </w:tc>
        <w:tc>
          <w:tcPr>
            <w:tcW w:w="2052" w:type="dxa"/>
          </w:tcPr>
          <w:p w14:paraId="45060D51" w14:textId="77777777" w:rsidR="009B5C6B" w:rsidRPr="0006458D" w:rsidRDefault="009B5C6B" w:rsidP="00A4061E">
            <w:pPr>
              <w:pStyle w:val="TAH"/>
            </w:pPr>
            <w:r w:rsidRPr="00E610FF">
              <w:t>Limit</w:t>
            </w:r>
            <w:r w:rsidRPr="00E610FF">
              <w:br/>
            </w:r>
            <w:r w:rsidRPr="007A7019">
              <w:t xml:space="preserve">(Note </w:t>
            </w:r>
            <w:r>
              <w:t>5</w:t>
            </w:r>
            <w:r w:rsidRPr="007A7019">
              <w:t>)</w:t>
            </w:r>
          </w:p>
        </w:tc>
        <w:tc>
          <w:tcPr>
            <w:tcW w:w="1440" w:type="dxa"/>
          </w:tcPr>
          <w:p w14:paraId="1439A748" w14:textId="77777777" w:rsidR="009B5C6B" w:rsidRPr="0006458D" w:rsidRDefault="009B5C6B" w:rsidP="00A4061E">
            <w:pPr>
              <w:pStyle w:val="TAH"/>
            </w:pPr>
            <w:r w:rsidRPr="0006458D">
              <w:t>Measurement Bandwidth</w:t>
            </w:r>
          </w:p>
        </w:tc>
        <w:tc>
          <w:tcPr>
            <w:tcW w:w="2604" w:type="dxa"/>
          </w:tcPr>
          <w:p w14:paraId="02D33A3F" w14:textId="77777777" w:rsidR="009B5C6B" w:rsidRPr="0006458D" w:rsidRDefault="009B5C6B" w:rsidP="00A4061E">
            <w:pPr>
              <w:pStyle w:val="TAH"/>
            </w:pPr>
            <w:r w:rsidRPr="0006458D">
              <w:t>Note</w:t>
            </w:r>
          </w:p>
        </w:tc>
      </w:tr>
      <w:tr w:rsidR="009B5C6B" w:rsidRPr="0006458D" w14:paraId="2B82428F" w14:textId="77777777" w:rsidTr="00A4061E">
        <w:trPr>
          <w:cantSplit/>
          <w:jc w:val="center"/>
        </w:trPr>
        <w:tc>
          <w:tcPr>
            <w:tcW w:w="2376" w:type="dxa"/>
          </w:tcPr>
          <w:p w14:paraId="28204261" w14:textId="77777777" w:rsidR="009B5C6B" w:rsidRPr="0006458D" w:rsidRDefault="009B5C6B" w:rsidP="00A4061E">
            <w:pPr>
              <w:pStyle w:val="TAC"/>
            </w:pPr>
            <w:r w:rsidRPr="0006458D">
              <w:t xml:space="preserve">30 MHz  </w:t>
            </w:r>
            <w:r w:rsidRPr="0006458D">
              <w:rPr>
                <w:rFonts w:cs="Arial"/>
              </w:rPr>
              <w:sym w:font="Symbol" w:char="F0AB"/>
            </w:r>
            <w:r w:rsidRPr="0006458D">
              <w:t xml:space="preserve">  1 GHz</w:t>
            </w:r>
          </w:p>
        </w:tc>
        <w:tc>
          <w:tcPr>
            <w:tcW w:w="2052" w:type="dxa"/>
          </w:tcPr>
          <w:p w14:paraId="789F4D7D" w14:textId="77777777" w:rsidR="009B5C6B" w:rsidRPr="0006458D" w:rsidRDefault="009B5C6B" w:rsidP="00A4061E">
            <w:pPr>
              <w:pStyle w:val="TAC"/>
            </w:pPr>
            <w:r w:rsidRPr="0006458D">
              <w:t>-36 dBm</w:t>
            </w:r>
          </w:p>
        </w:tc>
        <w:tc>
          <w:tcPr>
            <w:tcW w:w="1440" w:type="dxa"/>
          </w:tcPr>
          <w:p w14:paraId="126CB4D7" w14:textId="77777777" w:rsidR="009B5C6B" w:rsidRPr="0006458D" w:rsidRDefault="009B5C6B" w:rsidP="00A4061E">
            <w:pPr>
              <w:pStyle w:val="TAC"/>
              <w:rPr>
                <w:rFonts w:cs="Arial"/>
              </w:rPr>
            </w:pPr>
            <w:r w:rsidRPr="0006458D">
              <w:t>100 kHz</w:t>
            </w:r>
          </w:p>
        </w:tc>
        <w:tc>
          <w:tcPr>
            <w:tcW w:w="2604" w:type="dxa"/>
          </w:tcPr>
          <w:p w14:paraId="6F625C77" w14:textId="77777777" w:rsidR="009B5C6B" w:rsidRPr="0006458D" w:rsidRDefault="009B5C6B" w:rsidP="00A4061E">
            <w:pPr>
              <w:pStyle w:val="TAC"/>
              <w:rPr>
                <w:rFonts w:cs="Arial"/>
              </w:rPr>
            </w:pPr>
            <w:r w:rsidRPr="0006458D">
              <w:rPr>
                <w:rFonts w:cs="Arial"/>
              </w:rPr>
              <w:t>Note 1</w:t>
            </w:r>
          </w:p>
        </w:tc>
      </w:tr>
      <w:tr w:rsidR="009B5C6B" w:rsidRPr="0006458D" w14:paraId="40B1A71A" w14:textId="77777777" w:rsidTr="00A4061E">
        <w:trPr>
          <w:cantSplit/>
          <w:jc w:val="center"/>
        </w:trPr>
        <w:tc>
          <w:tcPr>
            <w:tcW w:w="2376" w:type="dxa"/>
          </w:tcPr>
          <w:p w14:paraId="3F402F35" w14:textId="77777777" w:rsidR="009B5C6B" w:rsidRPr="0006458D" w:rsidRDefault="009B5C6B" w:rsidP="00A4061E">
            <w:pPr>
              <w:pStyle w:val="TAC"/>
            </w:pPr>
            <w:r w:rsidRPr="0006458D">
              <w:t xml:space="preserve">1 GHz  </w:t>
            </w:r>
            <w:r w:rsidRPr="0006458D">
              <w:rPr>
                <w:rFonts w:cs="Arial"/>
              </w:rPr>
              <w:sym w:font="Symbol" w:char="F0AB"/>
            </w:r>
            <w:r w:rsidRPr="0006458D">
              <w:t xml:space="preserve">  18 GHz</w:t>
            </w:r>
          </w:p>
        </w:tc>
        <w:tc>
          <w:tcPr>
            <w:tcW w:w="2052" w:type="dxa"/>
          </w:tcPr>
          <w:p w14:paraId="1C5FD421" w14:textId="77777777" w:rsidR="009B5C6B" w:rsidRPr="0006458D" w:rsidRDefault="009B5C6B" w:rsidP="00A4061E">
            <w:pPr>
              <w:pStyle w:val="TAC"/>
            </w:pPr>
            <w:r w:rsidRPr="0006458D">
              <w:t>-30 dBm</w:t>
            </w:r>
          </w:p>
        </w:tc>
        <w:tc>
          <w:tcPr>
            <w:tcW w:w="1440" w:type="dxa"/>
          </w:tcPr>
          <w:p w14:paraId="2359C198" w14:textId="77777777" w:rsidR="009B5C6B" w:rsidRPr="0006458D" w:rsidRDefault="009B5C6B" w:rsidP="00A4061E">
            <w:pPr>
              <w:pStyle w:val="TAC"/>
              <w:rPr>
                <w:rFonts w:cs="Arial"/>
              </w:rPr>
            </w:pPr>
            <w:r w:rsidRPr="0006458D">
              <w:rPr>
                <w:rFonts w:cs="Arial"/>
              </w:rPr>
              <w:t>1 MHz</w:t>
            </w:r>
          </w:p>
        </w:tc>
        <w:tc>
          <w:tcPr>
            <w:tcW w:w="2604" w:type="dxa"/>
          </w:tcPr>
          <w:p w14:paraId="4564A242" w14:textId="77777777" w:rsidR="009B5C6B" w:rsidRPr="0006458D" w:rsidRDefault="009B5C6B" w:rsidP="00A4061E">
            <w:pPr>
              <w:pStyle w:val="TAC"/>
              <w:rPr>
                <w:rFonts w:cs="Arial"/>
              </w:rPr>
            </w:pPr>
            <w:r w:rsidRPr="0006458D">
              <w:rPr>
                <w:rFonts w:cs="Arial"/>
              </w:rPr>
              <w:t>Note 1</w:t>
            </w:r>
          </w:p>
        </w:tc>
      </w:tr>
      <w:tr w:rsidR="009B5C6B" w:rsidRPr="0006458D" w14:paraId="0E17982C" w14:textId="77777777" w:rsidTr="00A4061E">
        <w:trPr>
          <w:cantSplit/>
          <w:jc w:val="center"/>
        </w:trPr>
        <w:tc>
          <w:tcPr>
            <w:tcW w:w="2376" w:type="dxa"/>
          </w:tcPr>
          <w:p w14:paraId="7A646436" w14:textId="77777777" w:rsidR="009B5C6B" w:rsidRPr="0006458D" w:rsidRDefault="009B5C6B" w:rsidP="00A4061E">
            <w:pPr>
              <w:pStyle w:val="TAC"/>
            </w:pPr>
            <w:r w:rsidRPr="0006458D">
              <w:t xml:space="preserve">18 GHz  </w:t>
            </w:r>
            <w:r w:rsidRPr="0006458D">
              <w:rPr>
                <w:rFonts w:cs="Arial"/>
              </w:rPr>
              <w:sym w:font="Symbol" w:char="F0AB"/>
            </w:r>
            <w:r w:rsidRPr="0006458D">
              <w:t xml:space="preserve">  F</w:t>
            </w:r>
            <w:r w:rsidRPr="0006458D">
              <w:rPr>
                <w:vertAlign w:val="subscript"/>
              </w:rPr>
              <w:t>step,1</w:t>
            </w:r>
          </w:p>
        </w:tc>
        <w:tc>
          <w:tcPr>
            <w:tcW w:w="2052" w:type="dxa"/>
          </w:tcPr>
          <w:p w14:paraId="78656EAA" w14:textId="77777777" w:rsidR="009B5C6B" w:rsidRPr="0006458D" w:rsidRDefault="009B5C6B" w:rsidP="00A4061E">
            <w:pPr>
              <w:pStyle w:val="TAC"/>
            </w:pPr>
            <w:r w:rsidRPr="0006458D">
              <w:t>-20 dBm</w:t>
            </w:r>
          </w:p>
        </w:tc>
        <w:tc>
          <w:tcPr>
            <w:tcW w:w="1440" w:type="dxa"/>
          </w:tcPr>
          <w:p w14:paraId="6653641F" w14:textId="77777777" w:rsidR="009B5C6B" w:rsidRPr="0006458D" w:rsidRDefault="009B5C6B" w:rsidP="00A4061E">
            <w:pPr>
              <w:pStyle w:val="TAC"/>
              <w:rPr>
                <w:rFonts w:cs="Arial"/>
              </w:rPr>
            </w:pPr>
            <w:r w:rsidRPr="0006458D">
              <w:rPr>
                <w:rFonts w:cs="Arial"/>
              </w:rPr>
              <w:t>10 MHz</w:t>
            </w:r>
          </w:p>
        </w:tc>
        <w:tc>
          <w:tcPr>
            <w:tcW w:w="2604" w:type="dxa"/>
          </w:tcPr>
          <w:p w14:paraId="2834D68D" w14:textId="77777777" w:rsidR="009B5C6B" w:rsidRPr="0006458D" w:rsidRDefault="009B5C6B" w:rsidP="00A4061E">
            <w:pPr>
              <w:pStyle w:val="TAC"/>
              <w:rPr>
                <w:rFonts w:cs="Arial"/>
              </w:rPr>
            </w:pPr>
            <w:r w:rsidRPr="0006458D">
              <w:rPr>
                <w:rFonts w:cs="Arial"/>
              </w:rPr>
              <w:t>Note 2</w:t>
            </w:r>
          </w:p>
        </w:tc>
      </w:tr>
      <w:tr w:rsidR="009B5C6B" w:rsidRPr="0006458D" w14:paraId="06BD4CE5" w14:textId="77777777" w:rsidTr="00A4061E">
        <w:trPr>
          <w:cantSplit/>
          <w:jc w:val="center"/>
        </w:trPr>
        <w:tc>
          <w:tcPr>
            <w:tcW w:w="2376" w:type="dxa"/>
          </w:tcPr>
          <w:p w14:paraId="3A358542" w14:textId="77777777" w:rsidR="009B5C6B" w:rsidRPr="0006458D" w:rsidRDefault="009B5C6B" w:rsidP="00A4061E">
            <w:pPr>
              <w:pStyle w:val="TAC"/>
            </w:pPr>
            <w:r w:rsidRPr="0006458D">
              <w:t>F</w:t>
            </w:r>
            <w:r w:rsidRPr="0006458D">
              <w:rPr>
                <w:vertAlign w:val="subscript"/>
              </w:rPr>
              <w:t xml:space="preserve">step,1 </w:t>
            </w:r>
            <w:r w:rsidRPr="0006458D">
              <w:t xml:space="preserve"> </w:t>
            </w:r>
            <w:r w:rsidRPr="0006458D">
              <w:rPr>
                <w:rFonts w:cs="Arial"/>
              </w:rPr>
              <w:sym w:font="Symbol" w:char="F0AB"/>
            </w:r>
            <w:r w:rsidRPr="0006458D">
              <w:rPr>
                <w:rFonts w:cs="Arial"/>
              </w:rPr>
              <w:t xml:space="preserve"> </w:t>
            </w:r>
            <w:r w:rsidRPr="0006458D">
              <w:t xml:space="preserve"> F</w:t>
            </w:r>
            <w:r w:rsidRPr="0006458D">
              <w:rPr>
                <w:vertAlign w:val="subscript"/>
              </w:rPr>
              <w:t>step,2</w:t>
            </w:r>
          </w:p>
        </w:tc>
        <w:tc>
          <w:tcPr>
            <w:tcW w:w="2052" w:type="dxa"/>
          </w:tcPr>
          <w:p w14:paraId="32461470" w14:textId="77777777" w:rsidR="009B5C6B" w:rsidRPr="0006458D" w:rsidRDefault="009B5C6B" w:rsidP="00A4061E">
            <w:pPr>
              <w:pStyle w:val="TAC"/>
            </w:pPr>
            <w:r w:rsidRPr="0006458D">
              <w:t>-15 dBm</w:t>
            </w:r>
          </w:p>
        </w:tc>
        <w:tc>
          <w:tcPr>
            <w:tcW w:w="1440" w:type="dxa"/>
          </w:tcPr>
          <w:p w14:paraId="458ACFE6" w14:textId="77777777" w:rsidR="009B5C6B" w:rsidRPr="0006458D" w:rsidRDefault="009B5C6B" w:rsidP="00A4061E">
            <w:pPr>
              <w:pStyle w:val="TAC"/>
              <w:rPr>
                <w:rFonts w:cs="Arial"/>
              </w:rPr>
            </w:pPr>
            <w:r w:rsidRPr="0006458D">
              <w:rPr>
                <w:rFonts w:cs="Arial"/>
              </w:rPr>
              <w:t>10 MHz</w:t>
            </w:r>
          </w:p>
        </w:tc>
        <w:tc>
          <w:tcPr>
            <w:tcW w:w="2604" w:type="dxa"/>
          </w:tcPr>
          <w:p w14:paraId="795681C5" w14:textId="77777777" w:rsidR="009B5C6B" w:rsidRPr="0006458D" w:rsidRDefault="009B5C6B" w:rsidP="00A4061E">
            <w:pPr>
              <w:pStyle w:val="TAC"/>
              <w:rPr>
                <w:rFonts w:cs="Arial"/>
              </w:rPr>
            </w:pPr>
            <w:r w:rsidRPr="0006458D">
              <w:rPr>
                <w:rFonts w:cs="Arial"/>
              </w:rPr>
              <w:t>Note 2</w:t>
            </w:r>
          </w:p>
        </w:tc>
      </w:tr>
      <w:tr w:rsidR="009B5C6B" w:rsidRPr="0006458D" w14:paraId="481B9812" w14:textId="77777777" w:rsidTr="00A4061E">
        <w:trPr>
          <w:cantSplit/>
          <w:jc w:val="center"/>
        </w:trPr>
        <w:tc>
          <w:tcPr>
            <w:tcW w:w="2376" w:type="dxa"/>
          </w:tcPr>
          <w:p w14:paraId="273B9714" w14:textId="77777777" w:rsidR="009B5C6B" w:rsidRPr="0006458D" w:rsidRDefault="009B5C6B" w:rsidP="00A4061E">
            <w:pPr>
              <w:pStyle w:val="TAC"/>
            </w:pPr>
            <w:r w:rsidRPr="0006458D">
              <w:t>F</w:t>
            </w:r>
            <w:r w:rsidRPr="0006458D">
              <w:rPr>
                <w:vertAlign w:val="subscript"/>
              </w:rPr>
              <w:t>step,2</w:t>
            </w:r>
            <w:r w:rsidRPr="0006458D">
              <w:t xml:space="preserve">  </w:t>
            </w:r>
            <w:r w:rsidRPr="0006458D">
              <w:rPr>
                <w:rFonts w:cs="Arial"/>
              </w:rPr>
              <w:sym w:font="Symbol" w:char="F0AB"/>
            </w:r>
            <w:r w:rsidRPr="0006458D">
              <w:t xml:space="preserve">  F</w:t>
            </w:r>
            <w:r w:rsidRPr="0006458D">
              <w:rPr>
                <w:vertAlign w:val="subscript"/>
              </w:rPr>
              <w:t>step,3</w:t>
            </w:r>
            <w:r w:rsidRPr="0006458D">
              <w:t xml:space="preserve">  </w:t>
            </w:r>
          </w:p>
        </w:tc>
        <w:tc>
          <w:tcPr>
            <w:tcW w:w="2052" w:type="dxa"/>
          </w:tcPr>
          <w:p w14:paraId="341FA259" w14:textId="77777777" w:rsidR="009B5C6B" w:rsidRPr="0006458D" w:rsidRDefault="009B5C6B" w:rsidP="00A4061E">
            <w:pPr>
              <w:pStyle w:val="TAC"/>
            </w:pPr>
            <w:r w:rsidRPr="0006458D">
              <w:t>-10 dBm</w:t>
            </w:r>
          </w:p>
        </w:tc>
        <w:tc>
          <w:tcPr>
            <w:tcW w:w="1440" w:type="dxa"/>
          </w:tcPr>
          <w:p w14:paraId="3CA40022" w14:textId="77777777" w:rsidR="009B5C6B" w:rsidRPr="0006458D" w:rsidRDefault="009B5C6B" w:rsidP="00A4061E">
            <w:pPr>
              <w:pStyle w:val="TAC"/>
              <w:rPr>
                <w:rFonts w:cs="Arial"/>
              </w:rPr>
            </w:pPr>
            <w:r w:rsidRPr="0006458D">
              <w:rPr>
                <w:rFonts w:cs="Arial"/>
              </w:rPr>
              <w:t>10 MHz</w:t>
            </w:r>
          </w:p>
        </w:tc>
        <w:tc>
          <w:tcPr>
            <w:tcW w:w="2604" w:type="dxa"/>
          </w:tcPr>
          <w:p w14:paraId="7AA5DCFC" w14:textId="77777777" w:rsidR="009B5C6B" w:rsidRPr="0006458D" w:rsidRDefault="009B5C6B" w:rsidP="00A4061E">
            <w:pPr>
              <w:pStyle w:val="TAC"/>
              <w:rPr>
                <w:rFonts w:cs="Arial"/>
              </w:rPr>
            </w:pPr>
            <w:r w:rsidRPr="0006458D">
              <w:rPr>
                <w:rFonts w:cs="Arial"/>
              </w:rPr>
              <w:t>Note 2</w:t>
            </w:r>
          </w:p>
        </w:tc>
      </w:tr>
      <w:tr w:rsidR="009B5C6B" w:rsidRPr="0006458D" w14:paraId="50F4EAB0" w14:textId="77777777" w:rsidTr="00A4061E">
        <w:trPr>
          <w:cantSplit/>
          <w:jc w:val="center"/>
        </w:trPr>
        <w:tc>
          <w:tcPr>
            <w:tcW w:w="2376" w:type="dxa"/>
          </w:tcPr>
          <w:p w14:paraId="65A5D35D" w14:textId="77777777" w:rsidR="009B5C6B" w:rsidRPr="0006458D" w:rsidRDefault="009B5C6B" w:rsidP="00A4061E">
            <w:pPr>
              <w:pStyle w:val="TAC"/>
            </w:pPr>
            <w:r w:rsidRPr="0006458D">
              <w:t>F</w:t>
            </w:r>
            <w:r w:rsidRPr="0006458D">
              <w:rPr>
                <w:vertAlign w:val="subscript"/>
              </w:rPr>
              <w:t xml:space="preserve">step,4 </w:t>
            </w:r>
            <w:r w:rsidRPr="0006458D">
              <w:t xml:space="preserve"> </w:t>
            </w:r>
            <w:r w:rsidRPr="0006458D">
              <w:rPr>
                <w:rFonts w:cs="Arial"/>
              </w:rPr>
              <w:sym w:font="Symbol" w:char="F0AB"/>
            </w:r>
            <w:r w:rsidRPr="0006458D">
              <w:rPr>
                <w:rFonts w:cs="Arial"/>
              </w:rPr>
              <w:t xml:space="preserve"> </w:t>
            </w:r>
            <w:r w:rsidRPr="0006458D">
              <w:t xml:space="preserve"> F</w:t>
            </w:r>
            <w:r w:rsidRPr="0006458D">
              <w:rPr>
                <w:vertAlign w:val="subscript"/>
              </w:rPr>
              <w:t>step,5</w:t>
            </w:r>
          </w:p>
        </w:tc>
        <w:tc>
          <w:tcPr>
            <w:tcW w:w="2052" w:type="dxa"/>
          </w:tcPr>
          <w:p w14:paraId="25AA750C" w14:textId="77777777" w:rsidR="009B5C6B" w:rsidRPr="0006458D" w:rsidRDefault="009B5C6B" w:rsidP="00A4061E">
            <w:pPr>
              <w:pStyle w:val="TAC"/>
            </w:pPr>
            <w:r w:rsidRPr="0006458D">
              <w:t>-10 dBm</w:t>
            </w:r>
          </w:p>
        </w:tc>
        <w:tc>
          <w:tcPr>
            <w:tcW w:w="1440" w:type="dxa"/>
          </w:tcPr>
          <w:p w14:paraId="1759142B" w14:textId="77777777" w:rsidR="009B5C6B" w:rsidRPr="0006458D" w:rsidRDefault="009B5C6B" w:rsidP="00A4061E">
            <w:pPr>
              <w:pStyle w:val="TAC"/>
              <w:rPr>
                <w:rFonts w:cs="Arial"/>
              </w:rPr>
            </w:pPr>
            <w:r w:rsidRPr="0006458D">
              <w:rPr>
                <w:rFonts w:cs="Arial"/>
              </w:rPr>
              <w:t>10 MHz</w:t>
            </w:r>
          </w:p>
        </w:tc>
        <w:tc>
          <w:tcPr>
            <w:tcW w:w="2604" w:type="dxa"/>
          </w:tcPr>
          <w:p w14:paraId="4F67820C" w14:textId="77777777" w:rsidR="009B5C6B" w:rsidRPr="0006458D" w:rsidRDefault="009B5C6B" w:rsidP="00A4061E">
            <w:pPr>
              <w:pStyle w:val="TAC"/>
              <w:rPr>
                <w:rFonts w:cs="Arial"/>
              </w:rPr>
            </w:pPr>
            <w:r w:rsidRPr="0006458D">
              <w:rPr>
                <w:rFonts w:cs="Arial"/>
              </w:rPr>
              <w:t>Note 2</w:t>
            </w:r>
          </w:p>
        </w:tc>
      </w:tr>
      <w:tr w:rsidR="009B5C6B" w:rsidRPr="0006458D" w14:paraId="124B8F20" w14:textId="77777777" w:rsidTr="00A4061E">
        <w:trPr>
          <w:cantSplit/>
          <w:jc w:val="center"/>
        </w:trPr>
        <w:tc>
          <w:tcPr>
            <w:tcW w:w="2376" w:type="dxa"/>
          </w:tcPr>
          <w:p w14:paraId="5EDC4418" w14:textId="77777777" w:rsidR="009B5C6B" w:rsidRPr="0006458D" w:rsidRDefault="009B5C6B" w:rsidP="00A4061E">
            <w:pPr>
              <w:pStyle w:val="TAC"/>
            </w:pPr>
            <w:r w:rsidRPr="0006458D">
              <w:t>F</w:t>
            </w:r>
            <w:r w:rsidRPr="0006458D">
              <w:rPr>
                <w:vertAlign w:val="subscript"/>
              </w:rPr>
              <w:t xml:space="preserve">step,5 </w:t>
            </w:r>
            <w:r w:rsidRPr="0006458D">
              <w:t xml:space="preserve"> </w:t>
            </w:r>
            <w:r w:rsidRPr="0006458D">
              <w:rPr>
                <w:rFonts w:cs="Arial"/>
              </w:rPr>
              <w:sym w:font="Symbol" w:char="F0AB"/>
            </w:r>
            <w:r w:rsidRPr="0006458D">
              <w:rPr>
                <w:rFonts w:cs="Arial"/>
              </w:rPr>
              <w:t xml:space="preserve"> </w:t>
            </w:r>
            <w:r w:rsidRPr="0006458D">
              <w:t xml:space="preserve"> F</w:t>
            </w:r>
            <w:r w:rsidRPr="0006458D">
              <w:rPr>
                <w:vertAlign w:val="subscript"/>
              </w:rPr>
              <w:t>step,6</w:t>
            </w:r>
          </w:p>
        </w:tc>
        <w:tc>
          <w:tcPr>
            <w:tcW w:w="2052" w:type="dxa"/>
          </w:tcPr>
          <w:p w14:paraId="432D249C" w14:textId="77777777" w:rsidR="009B5C6B" w:rsidRPr="0006458D" w:rsidRDefault="009B5C6B" w:rsidP="00A4061E">
            <w:pPr>
              <w:pStyle w:val="TAC"/>
            </w:pPr>
            <w:r w:rsidRPr="0006458D">
              <w:t>-15 dBm</w:t>
            </w:r>
          </w:p>
        </w:tc>
        <w:tc>
          <w:tcPr>
            <w:tcW w:w="1440" w:type="dxa"/>
          </w:tcPr>
          <w:p w14:paraId="35E250FC" w14:textId="77777777" w:rsidR="009B5C6B" w:rsidRPr="0006458D" w:rsidRDefault="009B5C6B" w:rsidP="00A4061E">
            <w:pPr>
              <w:pStyle w:val="TAC"/>
              <w:rPr>
                <w:rFonts w:cs="Arial"/>
              </w:rPr>
            </w:pPr>
            <w:r w:rsidRPr="0006458D">
              <w:rPr>
                <w:rFonts w:cs="Arial"/>
              </w:rPr>
              <w:t>10 MHz</w:t>
            </w:r>
          </w:p>
        </w:tc>
        <w:tc>
          <w:tcPr>
            <w:tcW w:w="2604" w:type="dxa"/>
          </w:tcPr>
          <w:p w14:paraId="4649A4FE" w14:textId="77777777" w:rsidR="009B5C6B" w:rsidRPr="0006458D" w:rsidRDefault="009B5C6B" w:rsidP="00A4061E">
            <w:pPr>
              <w:pStyle w:val="TAC"/>
              <w:rPr>
                <w:rFonts w:cs="Arial"/>
              </w:rPr>
            </w:pPr>
            <w:r w:rsidRPr="0006458D">
              <w:rPr>
                <w:rFonts w:cs="Arial"/>
              </w:rPr>
              <w:t>Note 2</w:t>
            </w:r>
          </w:p>
        </w:tc>
      </w:tr>
      <w:tr w:rsidR="009B5C6B" w:rsidRPr="0006458D" w14:paraId="0540559E" w14:textId="77777777" w:rsidTr="00A4061E">
        <w:trPr>
          <w:cantSplit/>
          <w:jc w:val="center"/>
        </w:trPr>
        <w:tc>
          <w:tcPr>
            <w:tcW w:w="2376" w:type="dxa"/>
          </w:tcPr>
          <w:p w14:paraId="77BE72D9" w14:textId="77777777" w:rsidR="009B5C6B" w:rsidRPr="0006458D" w:rsidRDefault="009B5C6B" w:rsidP="00A4061E">
            <w:pPr>
              <w:pStyle w:val="TAC"/>
            </w:pPr>
            <w:r w:rsidRPr="0006458D">
              <w:t>F</w:t>
            </w:r>
            <w:r w:rsidRPr="0006458D">
              <w:rPr>
                <w:vertAlign w:val="subscript"/>
              </w:rPr>
              <w:t>step,6</w:t>
            </w:r>
            <w:r w:rsidRPr="0006458D">
              <w:t xml:space="preserve">  </w:t>
            </w:r>
            <w:r w:rsidRPr="0006458D">
              <w:rPr>
                <w:rFonts w:cs="Arial"/>
              </w:rPr>
              <w:sym w:font="Symbol" w:char="F0AB"/>
            </w:r>
            <w:r w:rsidRPr="0006458D">
              <w:rPr>
                <w:rFonts w:cs="Arial"/>
              </w:rPr>
              <w:t xml:space="preserve"> </w:t>
            </w:r>
            <w:r w:rsidRPr="0006458D">
              <w:t xml:space="preserve"> 2</w:t>
            </w:r>
            <w:r w:rsidRPr="0006458D">
              <w:rPr>
                <w:vertAlign w:val="superscript"/>
              </w:rPr>
              <w:t>nd</w:t>
            </w:r>
            <w:r w:rsidRPr="0006458D">
              <w:t xml:space="preserve"> harmonic of the upper frequency edge of the </w:t>
            </w:r>
            <w:r>
              <w:t>DL</w:t>
            </w:r>
            <w:r w:rsidRPr="0006458D">
              <w:t xml:space="preserve"> </w:t>
            </w:r>
            <w:r w:rsidRPr="0006458D">
              <w:rPr>
                <w:i/>
              </w:rPr>
              <w:t>operating band</w:t>
            </w:r>
          </w:p>
        </w:tc>
        <w:tc>
          <w:tcPr>
            <w:tcW w:w="2052" w:type="dxa"/>
          </w:tcPr>
          <w:p w14:paraId="6048DFD2" w14:textId="77777777" w:rsidR="009B5C6B" w:rsidRPr="0006458D" w:rsidRDefault="009B5C6B" w:rsidP="00A4061E">
            <w:pPr>
              <w:pStyle w:val="TAC"/>
            </w:pPr>
            <w:r w:rsidRPr="0006458D">
              <w:t>-20 dBm</w:t>
            </w:r>
          </w:p>
        </w:tc>
        <w:tc>
          <w:tcPr>
            <w:tcW w:w="1440" w:type="dxa"/>
          </w:tcPr>
          <w:p w14:paraId="66BF7831" w14:textId="77777777" w:rsidR="009B5C6B" w:rsidRPr="0006458D" w:rsidRDefault="009B5C6B" w:rsidP="00A4061E">
            <w:pPr>
              <w:pStyle w:val="TAC"/>
              <w:rPr>
                <w:rFonts w:cs="Arial"/>
              </w:rPr>
            </w:pPr>
            <w:r w:rsidRPr="0006458D">
              <w:t>10 MHz</w:t>
            </w:r>
          </w:p>
        </w:tc>
        <w:tc>
          <w:tcPr>
            <w:tcW w:w="2604" w:type="dxa"/>
          </w:tcPr>
          <w:p w14:paraId="5A72E822" w14:textId="77777777" w:rsidR="009B5C6B" w:rsidRPr="0006458D" w:rsidRDefault="009B5C6B" w:rsidP="00A4061E">
            <w:pPr>
              <w:pStyle w:val="TAC"/>
              <w:rPr>
                <w:rFonts w:cs="Arial"/>
              </w:rPr>
            </w:pPr>
            <w:r w:rsidRPr="0006458D">
              <w:t>Note 2, Note 3</w:t>
            </w:r>
          </w:p>
        </w:tc>
      </w:tr>
      <w:tr w:rsidR="009B5C6B" w:rsidRPr="0006458D" w14:paraId="1D803F90" w14:textId="77777777" w:rsidTr="00A4061E">
        <w:trPr>
          <w:cantSplit/>
          <w:jc w:val="center"/>
        </w:trPr>
        <w:tc>
          <w:tcPr>
            <w:tcW w:w="8472" w:type="dxa"/>
            <w:gridSpan w:val="4"/>
          </w:tcPr>
          <w:p w14:paraId="10214C25" w14:textId="7F7BB93A" w:rsidR="009B5C6B" w:rsidRPr="0006458D" w:rsidRDefault="009B5C6B" w:rsidP="00A4061E">
            <w:pPr>
              <w:pStyle w:val="TAN"/>
            </w:pPr>
            <w:r w:rsidRPr="0006458D">
              <w:t>NOTE 1:</w:t>
            </w:r>
            <w:r w:rsidRPr="0006458D">
              <w:tab/>
              <w:t>Bandwidth as in ITU-R SM.329 [</w:t>
            </w:r>
            <w:r w:rsidR="00C61C70">
              <w:t>16</w:t>
            </w:r>
            <w:r w:rsidRPr="0006458D">
              <w:t>], s4.1</w:t>
            </w:r>
            <w:r>
              <w:t>.</w:t>
            </w:r>
          </w:p>
          <w:p w14:paraId="6872CE54" w14:textId="424F21CB" w:rsidR="009B5C6B" w:rsidRPr="0006458D" w:rsidRDefault="009B5C6B" w:rsidP="00A4061E">
            <w:pPr>
              <w:pStyle w:val="TAN"/>
            </w:pPr>
            <w:r w:rsidRPr="0006458D">
              <w:t>NOTE 2:</w:t>
            </w:r>
            <w:r w:rsidRPr="0006458D">
              <w:tab/>
              <w:t>Limit and bandwidth as in ERC Recommendation 74-01 [</w:t>
            </w:r>
            <w:r w:rsidR="00C61C70">
              <w:t>17</w:t>
            </w:r>
            <w:r w:rsidRPr="0006458D">
              <w:t>], Annex 2.</w:t>
            </w:r>
          </w:p>
          <w:p w14:paraId="176250C6" w14:textId="2C0CCBBE" w:rsidR="009B5C6B" w:rsidRPr="0006458D" w:rsidRDefault="009B5C6B" w:rsidP="00A4061E">
            <w:pPr>
              <w:pStyle w:val="TAN"/>
            </w:pPr>
            <w:r w:rsidRPr="0006458D">
              <w:t>NOTE 3:</w:t>
            </w:r>
            <w:r w:rsidRPr="0006458D">
              <w:tab/>
              <w:t>Upper frequency as in ITU-R SM.329 [</w:t>
            </w:r>
            <w:r w:rsidR="00C61C70">
              <w:t>16</w:t>
            </w:r>
            <w:r w:rsidRPr="0006458D">
              <w:t>], s2.5 table 1.</w:t>
            </w:r>
          </w:p>
          <w:p w14:paraId="31C170C1" w14:textId="77777777" w:rsidR="009B5C6B" w:rsidRDefault="009B5C6B" w:rsidP="00A4061E">
            <w:pPr>
              <w:pStyle w:val="TAN"/>
            </w:pPr>
            <w:r w:rsidRPr="0006458D">
              <w:t>NOTE 4:</w:t>
            </w:r>
            <w:r w:rsidRPr="0006458D">
              <w:tab/>
              <w:t>The step frequencies F</w:t>
            </w:r>
            <w:r w:rsidRPr="0006458D">
              <w:rPr>
                <w:vertAlign w:val="subscript"/>
              </w:rPr>
              <w:t>step,X</w:t>
            </w:r>
            <w:r w:rsidRPr="0006458D">
              <w:t xml:space="preserve"> are defined in </w:t>
            </w:r>
            <w:r>
              <w:t>t</w:t>
            </w:r>
            <w:r w:rsidRPr="0006458D">
              <w:t xml:space="preserve">able </w:t>
            </w:r>
            <w:r>
              <w:t>10.7.3.2</w:t>
            </w:r>
            <w:r w:rsidRPr="00EC34D6">
              <w:t>-2</w:t>
            </w:r>
            <w:r w:rsidRPr="0006458D">
              <w:t>.</w:t>
            </w:r>
          </w:p>
          <w:p w14:paraId="650F7820" w14:textId="77777777" w:rsidR="009B5C6B" w:rsidRPr="0006458D" w:rsidRDefault="009B5C6B" w:rsidP="00A4061E">
            <w:pPr>
              <w:pStyle w:val="TAN"/>
            </w:pPr>
            <w:r w:rsidRPr="007A7019">
              <w:t xml:space="preserve">NOTE </w:t>
            </w:r>
            <w:r>
              <w:t>5</w:t>
            </w:r>
            <w:r w:rsidRPr="007A7019">
              <w:t>:</w:t>
            </w:r>
            <w:r w:rsidRPr="007A7019">
              <w:tab/>
            </w:r>
            <w:r w:rsidRPr="00E610FF">
              <w:t>Additional limits may apply regionally.</w:t>
            </w:r>
          </w:p>
        </w:tc>
      </w:tr>
    </w:tbl>
    <w:p w14:paraId="5C134C48" w14:textId="77777777" w:rsidR="009B5C6B" w:rsidRPr="00EC34D6" w:rsidRDefault="009B5C6B" w:rsidP="009B5C6B"/>
    <w:p w14:paraId="6B623F3E" w14:textId="77777777" w:rsidR="009B5C6B" w:rsidRPr="00EC34D6" w:rsidRDefault="009B5C6B" w:rsidP="009B5C6B">
      <w:pPr>
        <w:pStyle w:val="TH"/>
      </w:pPr>
      <w:r w:rsidRPr="00EC34D6">
        <w:t xml:space="preserve">Table </w:t>
      </w:r>
      <w:r>
        <w:t>10.7.3.2</w:t>
      </w:r>
      <w:r w:rsidRPr="00EC34D6">
        <w:t xml:space="preserve">-2: Step frequencies for defining </w:t>
      </w:r>
      <w:bookmarkStart w:id="6936" w:name="_Hlk25241782"/>
      <w:r w:rsidRPr="00EC34D6">
        <w:t xml:space="preserve">the radiated </w:t>
      </w:r>
      <w:r>
        <w:t>Rx</w:t>
      </w:r>
      <w:r w:rsidRPr="00EC34D6">
        <w:t xml:space="preserve"> spurious emission </w:t>
      </w:r>
      <w:r w:rsidRPr="00813A7E">
        <w:t xml:space="preserve">limits for </w:t>
      </w:r>
      <w:r>
        <w:rPr>
          <w:i/>
        </w:rPr>
        <w:t xml:space="preserve">IAB-MT </w:t>
      </w:r>
      <w:r w:rsidRPr="00813A7E">
        <w:rPr>
          <w:i/>
        </w:rPr>
        <w:t>type 2-O</w:t>
      </w:r>
      <w:bookmarkEnd w:id="6936"/>
    </w:p>
    <w:tbl>
      <w:tblPr>
        <w:tblStyle w:val="TableGrid"/>
        <w:tblW w:w="0" w:type="auto"/>
        <w:jc w:val="center"/>
        <w:tblLook w:val="04A0" w:firstRow="1" w:lastRow="0" w:firstColumn="1" w:lastColumn="0" w:noHBand="0" w:noVBand="1"/>
      </w:tblPr>
      <w:tblGrid>
        <w:gridCol w:w="1912"/>
        <w:gridCol w:w="1031"/>
        <w:gridCol w:w="1134"/>
        <w:gridCol w:w="1134"/>
        <w:gridCol w:w="1196"/>
        <w:gridCol w:w="1019"/>
        <w:gridCol w:w="1134"/>
      </w:tblGrid>
      <w:tr w:rsidR="002E2B73" w:rsidRPr="00EC34D6" w14:paraId="4DC02FBE" w14:textId="77777777" w:rsidTr="00F72FF2">
        <w:trPr>
          <w:jc w:val="center"/>
        </w:trPr>
        <w:tc>
          <w:tcPr>
            <w:tcW w:w="1912" w:type="dxa"/>
          </w:tcPr>
          <w:p w14:paraId="14173682" w14:textId="77777777" w:rsidR="002E2B73" w:rsidRPr="00EC34D6" w:rsidRDefault="002E2B73" w:rsidP="00F72FF2">
            <w:pPr>
              <w:pStyle w:val="TAH"/>
            </w:pPr>
            <w:r w:rsidRPr="00EC34D6">
              <w:t>Operating band</w:t>
            </w:r>
          </w:p>
        </w:tc>
        <w:tc>
          <w:tcPr>
            <w:tcW w:w="1031" w:type="dxa"/>
          </w:tcPr>
          <w:p w14:paraId="5992D924" w14:textId="77777777" w:rsidR="002E2B73" w:rsidRPr="00EC34D6" w:rsidRDefault="002E2B73" w:rsidP="00F72FF2">
            <w:pPr>
              <w:pStyle w:val="TAH"/>
            </w:pPr>
            <w:r w:rsidRPr="00EC34D6">
              <w:t>F</w:t>
            </w:r>
            <w:r w:rsidRPr="00EC34D6">
              <w:rPr>
                <w:vertAlign w:val="subscript"/>
              </w:rPr>
              <w:t>step,1</w:t>
            </w:r>
            <w:r w:rsidRPr="00EC34D6">
              <w:br/>
              <w:t>(GHz)</w:t>
            </w:r>
          </w:p>
        </w:tc>
        <w:tc>
          <w:tcPr>
            <w:tcW w:w="1134" w:type="dxa"/>
          </w:tcPr>
          <w:p w14:paraId="71A11197" w14:textId="77777777" w:rsidR="002E2B73" w:rsidRPr="00EC34D6" w:rsidRDefault="002E2B73" w:rsidP="00F72FF2">
            <w:pPr>
              <w:pStyle w:val="TAH"/>
            </w:pPr>
            <w:r w:rsidRPr="00EC34D6">
              <w:t>F</w:t>
            </w:r>
            <w:r w:rsidRPr="00EC34D6">
              <w:rPr>
                <w:vertAlign w:val="subscript"/>
              </w:rPr>
              <w:t>step,2</w:t>
            </w:r>
            <w:r w:rsidRPr="00EC34D6">
              <w:br/>
              <w:t>(GHz)</w:t>
            </w:r>
          </w:p>
        </w:tc>
        <w:tc>
          <w:tcPr>
            <w:tcW w:w="1134" w:type="dxa"/>
          </w:tcPr>
          <w:p w14:paraId="4B2CD40D" w14:textId="77777777" w:rsidR="002E2B73" w:rsidRPr="00EC34D6" w:rsidRDefault="002E2B73" w:rsidP="00F72FF2">
            <w:pPr>
              <w:pStyle w:val="TAH"/>
            </w:pPr>
            <w:r w:rsidRPr="00EC34D6">
              <w:t>F</w:t>
            </w:r>
            <w:r w:rsidRPr="00EC34D6">
              <w:rPr>
                <w:vertAlign w:val="subscript"/>
              </w:rPr>
              <w:t>step,3</w:t>
            </w:r>
            <w:r w:rsidRPr="00EC34D6">
              <w:br/>
              <w:t>(GHz)</w:t>
            </w:r>
          </w:p>
        </w:tc>
        <w:tc>
          <w:tcPr>
            <w:tcW w:w="1196" w:type="dxa"/>
          </w:tcPr>
          <w:p w14:paraId="11CFDCDA" w14:textId="77777777" w:rsidR="002E2B73" w:rsidRPr="00EC34D6" w:rsidRDefault="002E2B73" w:rsidP="00F72FF2">
            <w:pPr>
              <w:pStyle w:val="TAH"/>
            </w:pPr>
            <w:r w:rsidRPr="00EC34D6">
              <w:t>F</w:t>
            </w:r>
            <w:r w:rsidRPr="00EC34D6">
              <w:rPr>
                <w:vertAlign w:val="subscript"/>
              </w:rPr>
              <w:t>step,4</w:t>
            </w:r>
            <w:r w:rsidRPr="00EC34D6">
              <w:br/>
              <w:t>(GHz)</w:t>
            </w:r>
          </w:p>
        </w:tc>
        <w:tc>
          <w:tcPr>
            <w:tcW w:w="1019" w:type="dxa"/>
          </w:tcPr>
          <w:p w14:paraId="6E5860C6" w14:textId="77777777" w:rsidR="002E2B73" w:rsidRPr="00EC34D6" w:rsidRDefault="002E2B73" w:rsidP="00F72FF2">
            <w:pPr>
              <w:pStyle w:val="TAH"/>
            </w:pPr>
            <w:r w:rsidRPr="00EC34D6">
              <w:t>F</w:t>
            </w:r>
            <w:r w:rsidRPr="00EC34D6">
              <w:rPr>
                <w:vertAlign w:val="subscript"/>
              </w:rPr>
              <w:t>step,5</w:t>
            </w:r>
            <w:r w:rsidRPr="00EC34D6">
              <w:br/>
              <w:t>(GHz)</w:t>
            </w:r>
          </w:p>
        </w:tc>
        <w:tc>
          <w:tcPr>
            <w:tcW w:w="1134" w:type="dxa"/>
          </w:tcPr>
          <w:p w14:paraId="4F857401" w14:textId="77777777" w:rsidR="002E2B73" w:rsidRPr="00EC34D6" w:rsidRDefault="002E2B73" w:rsidP="00F72FF2">
            <w:pPr>
              <w:pStyle w:val="TAH"/>
            </w:pPr>
            <w:r w:rsidRPr="00EC34D6">
              <w:t>F</w:t>
            </w:r>
            <w:r w:rsidRPr="00EC34D6">
              <w:rPr>
                <w:vertAlign w:val="subscript"/>
              </w:rPr>
              <w:t>step,6</w:t>
            </w:r>
            <w:r w:rsidRPr="00EC34D6">
              <w:br/>
              <w:t>(GHz)</w:t>
            </w:r>
          </w:p>
        </w:tc>
      </w:tr>
      <w:tr w:rsidR="002E2B73" w:rsidRPr="00EC34D6" w14:paraId="7C63A5FD" w14:textId="77777777" w:rsidTr="00F72FF2">
        <w:trPr>
          <w:jc w:val="center"/>
        </w:trPr>
        <w:tc>
          <w:tcPr>
            <w:tcW w:w="1912" w:type="dxa"/>
          </w:tcPr>
          <w:p w14:paraId="60F45CA5" w14:textId="77777777" w:rsidR="002E2B73" w:rsidRPr="00CC5190" w:rsidRDefault="002E2B73" w:rsidP="002E2B73">
            <w:pPr>
              <w:pStyle w:val="TAC"/>
            </w:pPr>
            <w:r w:rsidRPr="00CC5190">
              <w:t>n257</w:t>
            </w:r>
          </w:p>
        </w:tc>
        <w:tc>
          <w:tcPr>
            <w:tcW w:w="1031" w:type="dxa"/>
          </w:tcPr>
          <w:p w14:paraId="199310DE" w14:textId="77777777" w:rsidR="002E2B73" w:rsidRPr="00CC5190" w:rsidRDefault="002E2B73" w:rsidP="002E2B73">
            <w:pPr>
              <w:pStyle w:val="TAC"/>
            </w:pPr>
            <w:r w:rsidRPr="00CC5190">
              <w:t>18</w:t>
            </w:r>
          </w:p>
        </w:tc>
        <w:tc>
          <w:tcPr>
            <w:tcW w:w="1134" w:type="dxa"/>
          </w:tcPr>
          <w:p w14:paraId="39FACFD8" w14:textId="77777777" w:rsidR="002E2B73" w:rsidRPr="00CC5190" w:rsidRDefault="002E2B73" w:rsidP="002E2B73">
            <w:pPr>
              <w:pStyle w:val="TAC"/>
            </w:pPr>
            <w:r w:rsidRPr="00CC5190">
              <w:t>23</w:t>
            </w:r>
            <w:r>
              <w:t>.</w:t>
            </w:r>
            <w:r w:rsidRPr="00CC5190">
              <w:t>5</w:t>
            </w:r>
          </w:p>
        </w:tc>
        <w:tc>
          <w:tcPr>
            <w:tcW w:w="1134" w:type="dxa"/>
          </w:tcPr>
          <w:p w14:paraId="660457F9" w14:textId="77777777" w:rsidR="002E2B73" w:rsidRPr="00CC5190" w:rsidRDefault="002E2B73" w:rsidP="002E2B73">
            <w:pPr>
              <w:pStyle w:val="TAC"/>
            </w:pPr>
            <w:r w:rsidRPr="00CC5190">
              <w:t>2</w:t>
            </w:r>
            <w:r>
              <w:t>5</w:t>
            </w:r>
          </w:p>
        </w:tc>
        <w:tc>
          <w:tcPr>
            <w:tcW w:w="1196" w:type="dxa"/>
          </w:tcPr>
          <w:p w14:paraId="4FAFE8BD" w14:textId="77777777" w:rsidR="002E2B73" w:rsidRPr="00CC5190" w:rsidRDefault="002E2B73" w:rsidP="002E2B73">
            <w:pPr>
              <w:pStyle w:val="TAC"/>
            </w:pPr>
            <w:r w:rsidRPr="00CC5190">
              <w:t>3</w:t>
            </w:r>
            <w:r>
              <w:t>1</w:t>
            </w:r>
          </w:p>
        </w:tc>
        <w:tc>
          <w:tcPr>
            <w:tcW w:w="1019" w:type="dxa"/>
          </w:tcPr>
          <w:p w14:paraId="2A80691D" w14:textId="77777777" w:rsidR="002E2B73" w:rsidRPr="00CC5190" w:rsidRDefault="002E2B73" w:rsidP="002E2B73">
            <w:pPr>
              <w:pStyle w:val="TAC"/>
            </w:pPr>
            <w:r w:rsidRPr="00CC5190">
              <w:t>32</w:t>
            </w:r>
            <w:r>
              <w:t>.</w:t>
            </w:r>
            <w:r w:rsidRPr="00CC5190">
              <w:t>5</w:t>
            </w:r>
          </w:p>
        </w:tc>
        <w:tc>
          <w:tcPr>
            <w:tcW w:w="1134" w:type="dxa"/>
          </w:tcPr>
          <w:p w14:paraId="1B4D37D5" w14:textId="77777777" w:rsidR="002E2B73" w:rsidRPr="00CC5190" w:rsidRDefault="002E2B73" w:rsidP="002E2B73">
            <w:pPr>
              <w:pStyle w:val="TAC"/>
            </w:pPr>
            <w:r w:rsidRPr="00CC5190">
              <w:t>41</w:t>
            </w:r>
            <w:r>
              <w:t>.</w:t>
            </w:r>
            <w:r w:rsidRPr="00CC5190">
              <w:t>5</w:t>
            </w:r>
          </w:p>
        </w:tc>
      </w:tr>
      <w:tr w:rsidR="002E2B73" w:rsidRPr="00EC34D6" w14:paraId="1F6BBA68" w14:textId="77777777" w:rsidTr="00F72FF2">
        <w:trPr>
          <w:jc w:val="center"/>
        </w:trPr>
        <w:tc>
          <w:tcPr>
            <w:tcW w:w="1912" w:type="dxa"/>
          </w:tcPr>
          <w:p w14:paraId="15E3E348" w14:textId="77777777" w:rsidR="002E2B73" w:rsidRPr="00EC34D6" w:rsidRDefault="002E2B73" w:rsidP="002E2B73">
            <w:pPr>
              <w:pStyle w:val="TAC"/>
            </w:pPr>
            <w:r w:rsidRPr="00EC34D6">
              <w:t>n258</w:t>
            </w:r>
          </w:p>
        </w:tc>
        <w:tc>
          <w:tcPr>
            <w:tcW w:w="1031" w:type="dxa"/>
          </w:tcPr>
          <w:p w14:paraId="62930B1C" w14:textId="77777777" w:rsidR="002E2B73" w:rsidRPr="00EC34D6" w:rsidRDefault="002E2B73" w:rsidP="002E2B73">
            <w:pPr>
              <w:pStyle w:val="TAC"/>
            </w:pPr>
            <w:r w:rsidRPr="00EC34D6">
              <w:t>18</w:t>
            </w:r>
          </w:p>
        </w:tc>
        <w:tc>
          <w:tcPr>
            <w:tcW w:w="1134" w:type="dxa"/>
          </w:tcPr>
          <w:p w14:paraId="3E1E15BA" w14:textId="77777777" w:rsidR="002E2B73" w:rsidRPr="00EC34D6" w:rsidRDefault="002E2B73" w:rsidP="002E2B73">
            <w:pPr>
              <w:pStyle w:val="TAC"/>
            </w:pPr>
            <w:r w:rsidRPr="00EC34D6">
              <w:t>21</w:t>
            </w:r>
          </w:p>
        </w:tc>
        <w:tc>
          <w:tcPr>
            <w:tcW w:w="1134" w:type="dxa"/>
          </w:tcPr>
          <w:p w14:paraId="23345145" w14:textId="77777777" w:rsidR="002E2B73" w:rsidRPr="00EC34D6" w:rsidRDefault="002E2B73" w:rsidP="002E2B73">
            <w:pPr>
              <w:pStyle w:val="TAC"/>
            </w:pPr>
            <w:r w:rsidRPr="00EC34D6">
              <w:t>22.75</w:t>
            </w:r>
          </w:p>
        </w:tc>
        <w:tc>
          <w:tcPr>
            <w:tcW w:w="1196" w:type="dxa"/>
          </w:tcPr>
          <w:p w14:paraId="291E8F99" w14:textId="77777777" w:rsidR="002E2B73" w:rsidRPr="00EC34D6" w:rsidRDefault="002E2B73" w:rsidP="002E2B73">
            <w:pPr>
              <w:pStyle w:val="TAC"/>
            </w:pPr>
            <w:r w:rsidRPr="00EC34D6">
              <w:t>29</w:t>
            </w:r>
          </w:p>
        </w:tc>
        <w:tc>
          <w:tcPr>
            <w:tcW w:w="1019" w:type="dxa"/>
          </w:tcPr>
          <w:p w14:paraId="147797A8" w14:textId="77777777" w:rsidR="002E2B73" w:rsidRPr="00EC34D6" w:rsidRDefault="002E2B73" w:rsidP="002E2B73">
            <w:pPr>
              <w:pStyle w:val="TAC"/>
            </w:pPr>
            <w:r w:rsidRPr="00EC34D6">
              <w:t>30.75</w:t>
            </w:r>
          </w:p>
        </w:tc>
        <w:tc>
          <w:tcPr>
            <w:tcW w:w="1134" w:type="dxa"/>
          </w:tcPr>
          <w:p w14:paraId="4B01CEEA" w14:textId="77777777" w:rsidR="002E2B73" w:rsidRPr="00EC34D6" w:rsidRDefault="002E2B73" w:rsidP="002E2B73">
            <w:pPr>
              <w:pStyle w:val="TAC"/>
            </w:pPr>
            <w:r w:rsidRPr="00EC34D6">
              <w:t>40.5</w:t>
            </w:r>
          </w:p>
        </w:tc>
      </w:tr>
      <w:tr w:rsidR="002E2B73" w:rsidRPr="00EC34D6" w14:paraId="31A9F84F" w14:textId="77777777" w:rsidTr="00F72FF2">
        <w:trPr>
          <w:jc w:val="center"/>
        </w:trPr>
        <w:tc>
          <w:tcPr>
            <w:tcW w:w="1912" w:type="dxa"/>
          </w:tcPr>
          <w:p w14:paraId="02DAE1A1" w14:textId="77777777" w:rsidR="002E2B73" w:rsidRPr="007B1DC1" w:rsidRDefault="002E2B73" w:rsidP="002E2B73">
            <w:pPr>
              <w:pStyle w:val="TAC"/>
            </w:pPr>
            <w:r>
              <w:t>n259</w:t>
            </w:r>
          </w:p>
        </w:tc>
        <w:tc>
          <w:tcPr>
            <w:tcW w:w="1031" w:type="dxa"/>
          </w:tcPr>
          <w:p w14:paraId="220E99A8" w14:textId="77777777" w:rsidR="002E2B73" w:rsidRPr="007B1DC1" w:rsidRDefault="002E2B73" w:rsidP="002E2B73">
            <w:pPr>
              <w:pStyle w:val="TAC"/>
            </w:pPr>
            <w:r>
              <w:t>23.5</w:t>
            </w:r>
          </w:p>
        </w:tc>
        <w:tc>
          <w:tcPr>
            <w:tcW w:w="1134" w:type="dxa"/>
          </w:tcPr>
          <w:p w14:paraId="25299668" w14:textId="77777777" w:rsidR="002E2B73" w:rsidRPr="007B1DC1" w:rsidRDefault="002E2B73" w:rsidP="002E2B73">
            <w:pPr>
              <w:pStyle w:val="TAC"/>
            </w:pPr>
            <w:r>
              <w:t>35.5</w:t>
            </w:r>
          </w:p>
        </w:tc>
        <w:tc>
          <w:tcPr>
            <w:tcW w:w="1134" w:type="dxa"/>
          </w:tcPr>
          <w:p w14:paraId="477BCC21" w14:textId="77777777" w:rsidR="002E2B73" w:rsidRPr="007B1DC1" w:rsidRDefault="002E2B73" w:rsidP="002E2B73">
            <w:pPr>
              <w:pStyle w:val="TAC"/>
            </w:pPr>
            <w:r>
              <w:t>38</w:t>
            </w:r>
          </w:p>
        </w:tc>
        <w:tc>
          <w:tcPr>
            <w:tcW w:w="1196" w:type="dxa"/>
          </w:tcPr>
          <w:p w14:paraId="7352D83D" w14:textId="77777777" w:rsidR="002E2B73" w:rsidRPr="007B1DC1" w:rsidRDefault="002E2B73" w:rsidP="002E2B73">
            <w:pPr>
              <w:pStyle w:val="TAC"/>
            </w:pPr>
            <w:r>
              <w:t>45</w:t>
            </w:r>
          </w:p>
        </w:tc>
        <w:tc>
          <w:tcPr>
            <w:tcW w:w="1019" w:type="dxa"/>
          </w:tcPr>
          <w:p w14:paraId="4C3E9C96" w14:textId="77777777" w:rsidR="002E2B73" w:rsidRPr="007B1DC1" w:rsidRDefault="002E2B73" w:rsidP="002E2B73">
            <w:pPr>
              <w:pStyle w:val="TAC"/>
            </w:pPr>
            <w:r>
              <w:t>47.5</w:t>
            </w:r>
          </w:p>
        </w:tc>
        <w:tc>
          <w:tcPr>
            <w:tcW w:w="1134" w:type="dxa"/>
          </w:tcPr>
          <w:p w14:paraId="190A0D39" w14:textId="77777777" w:rsidR="002E2B73" w:rsidRPr="007B1DC1" w:rsidRDefault="002E2B73" w:rsidP="002E2B73">
            <w:pPr>
              <w:pStyle w:val="TAC"/>
            </w:pPr>
            <w:r>
              <w:t>59.5</w:t>
            </w:r>
          </w:p>
        </w:tc>
      </w:tr>
      <w:tr w:rsidR="002E2B73" w:rsidRPr="00EC34D6" w14:paraId="204757F4" w14:textId="77777777" w:rsidTr="00F72FF2">
        <w:trPr>
          <w:jc w:val="center"/>
        </w:trPr>
        <w:tc>
          <w:tcPr>
            <w:tcW w:w="1912" w:type="dxa"/>
          </w:tcPr>
          <w:p w14:paraId="60A7B5CE" w14:textId="77777777" w:rsidR="002E2B73" w:rsidRPr="007B1DC1" w:rsidRDefault="002E2B73" w:rsidP="002E2B73">
            <w:pPr>
              <w:pStyle w:val="TAC"/>
            </w:pPr>
            <w:r w:rsidRPr="007B1DC1">
              <w:t>n260</w:t>
            </w:r>
          </w:p>
        </w:tc>
        <w:tc>
          <w:tcPr>
            <w:tcW w:w="1031" w:type="dxa"/>
          </w:tcPr>
          <w:p w14:paraId="1CF68823" w14:textId="77777777" w:rsidR="002E2B73" w:rsidRPr="007B1DC1" w:rsidRDefault="002E2B73" w:rsidP="002E2B73">
            <w:pPr>
              <w:pStyle w:val="TAC"/>
            </w:pPr>
            <w:r w:rsidRPr="007B1DC1">
              <w:t>25</w:t>
            </w:r>
          </w:p>
        </w:tc>
        <w:tc>
          <w:tcPr>
            <w:tcW w:w="1134" w:type="dxa"/>
          </w:tcPr>
          <w:p w14:paraId="38D17A8F" w14:textId="77777777" w:rsidR="002E2B73" w:rsidRPr="007B1DC1" w:rsidRDefault="002E2B73" w:rsidP="002E2B73">
            <w:pPr>
              <w:pStyle w:val="TAC"/>
            </w:pPr>
            <w:r w:rsidRPr="007B1DC1">
              <w:t>34</w:t>
            </w:r>
          </w:p>
        </w:tc>
        <w:tc>
          <w:tcPr>
            <w:tcW w:w="1134" w:type="dxa"/>
          </w:tcPr>
          <w:p w14:paraId="5757A39A" w14:textId="77777777" w:rsidR="002E2B73" w:rsidRPr="007B1DC1" w:rsidRDefault="002E2B73" w:rsidP="002E2B73">
            <w:pPr>
              <w:pStyle w:val="TAC"/>
            </w:pPr>
            <w:r w:rsidRPr="007B1DC1">
              <w:t>35</w:t>
            </w:r>
            <w:r>
              <w:t>.</w:t>
            </w:r>
            <w:r w:rsidRPr="007B1DC1">
              <w:t>5</w:t>
            </w:r>
          </w:p>
        </w:tc>
        <w:tc>
          <w:tcPr>
            <w:tcW w:w="1196" w:type="dxa"/>
          </w:tcPr>
          <w:p w14:paraId="582C3B1D" w14:textId="77777777" w:rsidR="002E2B73" w:rsidRPr="007B1DC1" w:rsidRDefault="002E2B73" w:rsidP="002E2B73">
            <w:pPr>
              <w:pStyle w:val="TAC"/>
            </w:pPr>
            <w:r w:rsidRPr="007B1DC1">
              <w:t>41</w:t>
            </w:r>
            <w:r>
              <w:t>.</w:t>
            </w:r>
            <w:r w:rsidRPr="007B1DC1">
              <w:t>5</w:t>
            </w:r>
          </w:p>
        </w:tc>
        <w:tc>
          <w:tcPr>
            <w:tcW w:w="1019" w:type="dxa"/>
          </w:tcPr>
          <w:p w14:paraId="33E49E27" w14:textId="77777777" w:rsidR="002E2B73" w:rsidRPr="007B1DC1" w:rsidRDefault="002E2B73" w:rsidP="002E2B73">
            <w:pPr>
              <w:pStyle w:val="TAC"/>
            </w:pPr>
            <w:r w:rsidRPr="007B1DC1">
              <w:t>43</w:t>
            </w:r>
          </w:p>
        </w:tc>
        <w:tc>
          <w:tcPr>
            <w:tcW w:w="1134" w:type="dxa"/>
          </w:tcPr>
          <w:p w14:paraId="6494171B" w14:textId="77777777" w:rsidR="002E2B73" w:rsidRPr="007B1DC1" w:rsidRDefault="002E2B73" w:rsidP="002E2B73">
            <w:pPr>
              <w:pStyle w:val="TAC"/>
            </w:pPr>
            <w:r w:rsidRPr="007B1DC1">
              <w:t>52</w:t>
            </w:r>
          </w:p>
        </w:tc>
      </w:tr>
      <w:tr w:rsidR="002E2B73" w:rsidRPr="00EC34D6" w14:paraId="05F7A7F4" w14:textId="77777777" w:rsidTr="00F72FF2">
        <w:trPr>
          <w:jc w:val="center"/>
        </w:trPr>
        <w:tc>
          <w:tcPr>
            <w:tcW w:w="1912" w:type="dxa"/>
          </w:tcPr>
          <w:p w14:paraId="6C05E9C1" w14:textId="77777777" w:rsidR="002E2B73" w:rsidRPr="007B1DC1" w:rsidRDefault="002E2B73" w:rsidP="002E2B73">
            <w:pPr>
              <w:pStyle w:val="TAC"/>
            </w:pPr>
            <w:r w:rsidRPr="007B1DC1">
              <w:t>n261</w:t>
            </w:r>
          </w:p>
        </w:tc>
        <w:tc>
          <w:tcPr>
            <w:tcW w:w="1031" w:type="dxa"/>
          </w:tcPr>
          <w:p w14:paraId="39E58135" w14:textId="77777777" w:rsidR="002E2B73" w:rsidRPr="007B1DC1" w:rsidRDefault="002E2B73" w:rsidP="002E2B73">
            <w:pPr>
              <w:pStyle w:val="TAC"/>
            </w:pPr>
            <w:r w:rsidRPr="007B1DC1">
              <w:t>18</w:t>
            </w:r>
          </w:p>
        </w:tc>
        <w:tc>
          <w:tcPr>
            <w:tcW w:w="1134" w:type="dxa"/>
          </w:tcPr>
          <w:p w14:paraId="349A9DE7" w14:textId="77777777" w:rsidR="002E2B73" w:rsidRPr="007B1DC1" w:rsidRDefault="002E2B73" w:rsidP="002E2B73">
            <w:pPr>
              <w:pStyle w:val="TAC"/>
            </w:pPr>
            <w:r w:rsidRPr="007B1DC1">
              <w:t>25</w:t>
            </w:r>
            <w:r>
              <w:t>.</w:t>
            </w:r>
            <w:r w:rsidRPr="007B1DC1">
              <w:t>5</w:t>
            </w:r>
          </w:p>
        </w:tc>
        <w:tc>
          <w:tcPr>
            <w:tcW w:w="1134" w:type="dxa"/>
          </w:tcPr>
          <w:p w14:paraId="2AA883FB" w14:textId="77777777" w:rsidR="002E2B73" w:rsidRPr="007A7019" w:rsidRDefault="002E2B73" w:rsidP="002E2B73">
            <w:pPr>
              <w:pStyle w:val="TAC"/>
            </w:pPr>
            <w:r w:rsidRPr="007A7019">
              <w:t>26.</w:t>
            </w:r>
            <w:r>
              <w:t>0</w:t>
            </w:r>
          </w:p>
        </w:tc>
        <w:tc>
          <w:tcPr>
            <w:tcW w:w="1196" w:type="dxa"/>
          </w:tcPr>
          <w:p w14:paraId="1DDBFE97" w14:textId="77777777" w:rsidR="002E2B73" w:rsidRPr="007A7019" w:rsidRDefault="002E2B73" w:rsidP="002E2B73">
            <w:pPr>
              <w:pStyle w:val="TAC"/>
            </w:pPr>
            <w:r w:rsidRPr="007A7019">
              <w:t>29.</w:t>
            </w:r>
            <w:r>
              <w:t>8</w:t>
            </w:r>
            <w:r w:rsidRPr="007A7019">
              <w:t>5</w:t>
            </w:r>
          </w:p>
        </w:tc>
        <w:tc>
          <w:tcPr>
            <w:tcW w:w="1019" w:type="dxa"/>
          </w:tcPr>
          <w:p w14:paraId="1BC2A87F" w14:textId="77777777" w:rsidR="002E2B73" w:rsidRPr="007B1DC1" w:rsidRDefault="002E2B73" w:rsidP="002E2B73">
            <w:pPr>
              <w:pStyle w:val="TAC"/>
            </w:pPr>
            <w:r w:rsidRPr="007B1DC1">
              <w:t>30</w:t>
            </w:r>
            <w:r>
              <w:t>.</w:t>
            </w:r>
            <w:r w:rsidRPr="007B1DC1">
              <w:t>35</w:t>
            </w:r>
          </w:p>
        </w:tc>
        <w:tc>
          <w:tcPr>
            <w:tcW w:w="1134" w:type="dxa"/>
          </w:tcPr>
          <w:p w14:paraId="15C6C81C" w14:textId="77777777" w:rsidR="002E2B73" w:rsidRPr="007B1DC1" w:rsidRDefault="002E2B73" w:rsidP="002E2B73">
            <w:pPr>
              <w:pStyle w:val="TAC"/>
            </w:pPr>
            <w:r w:rsidRPr="007B1DC1">
              <w:t>38</w:t>
            </w:r>
            <w:r>
              <w:t>.</w:t>
            </w:r>
            <w:r w:rsidRPr="007B1DC1">
              <w:t>35</w:t>
            </w:r>
          </w:p>
        </w:tc>
      </w:tr>
    </w:tbl>
    <w:p w14:paraId="03B928A1" w14:textId="77777777" w:rsidR="008607B2" w:rsidRPr="008607B2" w:rsidRDefault="008607B2" w:rsidP="00AD2A23"/>
    <w:p w14:paraId="6FA43A06" w14:textId="77777777" w:rsidR="00077B6E" w:rsidRDefault="00077B6E" w:rsidP="00077B6E">
      <w:pPr>
        <w:pStyle w:val="Heading2"/>
        <w:rPr>
          <w:rFonts w:eastAsiaTheme="minorEastAsia"/>
          <w:lang w:eastAsia="zh-CN"/>
        </w:rPr>
      </w:pPr>
      <w:bookmarkStart w:id="6937" w:name="_Toc53185569"/>
      <w:bookmarkStart w:id="6938" w:name="_Toc53185945"/>
      <w:bookmarkStart w:id="6939" w:name="_Toc57820431"/>
      <w:bookmarkStart w:id="6940" w:name="_Toc57821358"/>
      <w:bookmarkStart w:id="6941" w:name="_Toc61183634"/>
      <w:bookmarkStart w:id="6942" w:name="_Toc61184028"/>
      <w:bookmarkStart w:id="6943" w:name="_Toc61184420"/>
      <w:bookmarkStart w:id="6944" w:name="_Toc61184812"/>
      <w:bookmarkStart w:id="6945" w:name="_Toc61185202"/>
      <w:bookmarkStart w:id="6946" w:name="_Toc66386547"/>
      <w:bookmarkStart w:id="6947" w:name="_Toc74583450"/>
      <w:bookmarkStart w:id="6948" w:name="_Toc76542263"/>
      <w:bookmarkStart w:id="6949" w:name="_Toc82450245"/>
      <w:bookmarkStart w:id="6950" w:name="_Toc82450893"/>
      <w:bookmarkStart w:id="6951" w:name="_Toc89949282"/>
      <w:bookmarkStart w:id="6952" w:name="_Toc98755671"/>
      <w:bookmarkStart w:id="6953" w:name="_Toc98763263"/>
      <w:bookmarkStart w:id="6954" w:name="_Toc106184192"/>
      <w:r w:rsidRPr="007E346D">
        <w:lastRenderedPageBreak/>
        <w:t>10.8</w:t>
      </w:r>
      <w:r w:rsidRPr="007E346D">
        <w:tab/>
        <w:t>OTA receiver intermodulation</w:t>
      </w:r>
      <w:bookmarkEnd w:id="6844"/>
      <w:bookmarkEnd w:id="6845"/>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p>
    <w:p w14:paraId="0BFD5BD2" w14:textId="41E9D000" w:rsidR="008D4529" w:rsidRDefault="008D4529" w:rsidP="008D4529">
      <w:pPr>
        <w:pStyle w:val="Heading3"/>
        <w:rPr>
          <w:rFonts w:eastAsia="SimSun"/>
          <w:lang w:val="en-US" w:eastAsia="zh-CN"/>
        </w:rPr>
      </w:pPr>
      <w:bookmarkStart w:id="6955" w:name="_Toc53185570"/>
      <w:bookmarkStart w:id="6956" w:name="_Toc53185946"/>
      <w:bookmarkStart w:id="6957" w:name="_Toc57820432"/>
      <w:bookmarkStart w:id="6958" w:name="_Toc57821359"/>
      <w:bookmarkStart w:id="6959" w:name="_Toc61183635"/>
      <w:bookmarkStart w:id="6960" w:name="_Toc61184029"/>
      <w:bookmarkStart w:id="6961" w:name="_Toc61184421"/>
      <w:bookmarkStart w:id="6962" w:name="_Toc61184813"/>
      <w:bookmarkStart w:id="6963" w:name="_Toc61185203"/>
      <w:bookmarkStart w:id="6964" w:name="_Toc66386548"/>
      <w:bookmarkStart w:id="6965" w:name="_Toc74583451"/>
      <w:bookmarkStart w:id="6966" w:name="_Toc76542264"/>
      <w:bookmarkStart w:id="6967" w:name="_Toc82450246"/>
      <w:bookmarkStart w:id="6968" w:name="_Toc82450894"/>
      <w:bookmarkStart w:id="6969" w:name="_Toc89949283"/>
      <w:bookmarkStart w:id="6970" w:name="_Toc98755672"/>
      <w:bookmarkStart w:id="6971" w:name="_Toc98763264"/>
      <w:bookmarkStart w:id="6972" w:name="_Toc106184193"/>
      <w:r>
        <w:t>10.8.1</w:t>
      </w:r>
      <w:r w:rsidR="00255E64" w:rsidRPr="007E346D">
        <w:tab/>
      </w:r>
      <w:r>
        <w:rPr>
          <w:rFonts w:eastAsia="SimSun" w:hint="eastAsia"/>
          <w:lang w:val="en-US" w:eastAsia="zh-CN"/>
        </w:rPr>
        <w:t>General</w:t>
      </w:r>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p>
    <w:p w14:paraId="2A2CAF14" w14:textId="44C58B96" w:rsidR="00CD1521" w:rsidRPr="002E2B73" w:rsidRDefault="008D4529" w:rsidP="005913F7">
      <w:pPr>
        <w:rPr>
          <w:lang w:val="en-US" w:eastAsia="zh-CN"/>
        </w:rPr>
      </w:pPr>
      <w:r w:rsidRPr="006B6229">
        <w:t>Third and higher order mixing of the two interfering RF signals can produce an interfering signal in the band of the desired channel. Intermodulation response rejection is a measure of the capability of the receiver unit to receive a wanted signal on its assigned channel</w:t>
      </w:r>
      <w:r w:rsidRPr="00F947E2">
        <w:t xml:space="preserve"> frequency in the presence of two interfering signals which have a specific frequency relationship to the wanted signal. The requirement is defined as a directional requirement</w:t>
      </w:r>
      <w:r w:rsidRPr="006B6229">
        <w:t xml:space="preserve"> at the </w:t>
      </w:r>
      <w:r w:rsidRPr="00F947E2">
        <w:t>RIB</w:t>
      </w:r>
      <w:r w:rsidRPr="00F947E2">
        <w:rPr>
          <w:lang w:val="en-US" w:eastAsia="zh-CN"/>
        </w:rPr>
        <w:t>.</w:t>
      </w:r>
    </w:p>
    <w:p w14:paraId="405848D2" w14:textId="069A07F9" w:rsidR="001F7664" w:rsidRDefault="001F7664" w:rsidP="00255E64">
      <w:pPr>
        <w:pStyle w:val="Heading3"/>
      </w:pPr>
      <w:bookmarkStart w:id="6973" w:name="_Toc53185571"/>
      <w:bookmarkStart w:id="6974" w:name="_Toc53185947"/>
      <w:bookmarkStart w:id="6975" w:name="_Toc57820433"/>
      <w:bookmarkStart w:id="6976" w:name="_Toc57821360"/>
      <w:bookmarkStart w:id="6977" w:name="_Toc61183636"/>
      <w:bookmarkStart w:id="6978" w:name="_Toc61184030"/>
      <w:bookmarkStart w:id="6979" w:name="_Toc61184422"/>
      <w:bookmarkStart w:id="6980" w:name="_Toc61184814"/>
      <w:bookmarkStart w:id="6981" w:name="_Toc61185204"/>
      <w:bookmarkStart w:id="6982" w:name="_Toc66386549"/>
      <w:bookmarkStart w:id="6983" w:name="_Toc74583452"/>
      <w:bookmarkStart w:id="6984" w:name="_Toc76542265"/>
      <w:bookmarkStart w:id="6985" w:name="_Toc82450247"/>
      <w:bookmarkStart w:id="6986" w:name="_Toc82450895"/>
      <w:bookmarkStart w:id="6987" w:name="_Toc89949284"/>
      <w:bookmarkStart w:id="6988" w:name="_Toc98755673"/>
      <w:bookmarkStart w:id="6989" w:name="_Toc98763265"/>
      <w:bookmarkStart w:id="6990" w:name="_Toc106184194"/>
      <w:bookmarkStart w:id="6991" w:name="_Toc13080445"/>
      <w:bookmarkStart w:id="6992" w:name="_Toc18916199"/>
      <w:r>
        <w:t>10.8.</w:t>
      </w:r>
      <w:r w:rsidR="008D4529">
        <w:t>2</w:t>
      </w:r>
      <w:r w:rsidR="00255E64" w:rsidRPr="007E346D">
        <w:tab/>
      </w:r>
      <w:r w:rsidR="005E10BE">
        <w:rPr>
          <w:rFonts w:eastAsia="SimSun" w:hint="eastAsia"/>
          <w:lang w:val="en-US" w:eastAsia="zh-CN"/>
        </w:rPr>
        <w:t>Minimum requirement for</w:t>
      </w:r>
      <w:r w:rsidR="005E10BE">
        <w:t xml:space="preserve"> </w:t>
      </w:r>
      <w:r w:rsidR="005E10BE" w:rsidRPr="00F947E2">
        <w:rPr>
          <w:i/>
          <w:iCs/>
        </w:rPr>
        <w:t xml:space="preserve">IAB-DU </w:t>
      </w:r>
      <w:r w:rsidR="005E10BE">
        <w:rPr>
          <w:rFonts w:eastAsia="SimSun" w:hint="eastAsia"/>
          <w:i/>
          <w:iCs/>
          <w:lang w:val="en-US" w:eastAsia="zh-CN"/>
        </w:rPr>
        <w:t xml:space="preserve">type </w:t>
      </w:r>
      <w:r w:rsidR="005E10BE" w:rsidRPr="00F947E2">
        <w:rPr>
          <w:rFonts w:eastAsia="SimSun"/>
          <w:i/>
          <w:iCs/>
          <w:lang w:val="en-US" w:eastAsia="zh-CN"/>
        </w:rPr>
        <w:t>1-O</w:t>
      </w:r>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p>
    <w:p w14:paraId="5BAB9CA6" w14:textId="04054520" w:rsidR="002E2B73" w:rsidRDefault="002E2B73" w:rsidP="002E2B73">
      <w:bookmarkStart w:id="6993" w:name="_Toc53185572"/>
      <w:bookmarkStart w:id="6994" w:name="_Toc53185948"/>
      <w:r>
        <w:t xml:space="preserve">The Wide Area IAB-DU </w:t>
      </w:r>
      <w:r>
        <w:rPr>
          <w:rFonts w:eastAsia="SimSun" w:hint="eastAsia"/>
          <w:lang w:val="en-US" w:eastAsia="zh-CN"/>
        </w:rPr>
        <w:t>receiver intermodulation requirement</w:t>
      </w:r>
      <w:r>
        <w:t xml:space="preserve"> is specified the same as the Wide Area </w:t>
      </w:r>
      <w:r>
        <w:rPr>
          <w:rFonts w:eastAsia="SimSun" w:hint="eastAsia"/>
          <w:lang w:val="en-US" w:eastAsia="zh-CN"/>
        </w:rPr>
        <w:t>receiver intermodulation requirement</w:t>
      </w:r>
      <w:r>
        <w:t xml:space="preserve"> for BS</w:t>
      </w:r>
      <w:r>
        <w:rPr>
          <w:i/>
        </w:rPr>
        <w:t xml:space="preserve"> type 1-</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 xml:space="preserve">.2, where references to </w:t>
      </w:r>
      <w:r>
        <w:rPr>
          <w:i/>
        </w:rPr>
        <w:t>BS channel bandwidth</w:t>
      </w:r>
      <w:r>
        <w:t xml:space="preserve"> apply to </w:t>
      </w:r>
      <w:r>
        <w:rPr>
          <w:i/>
        </w:rPr>
        <w:t>IAB-DU channel bandwidth</w:t>
      </w:r>
      <w:r>
        <w:t>.</w:t>
      </w:r>
    </w:p>
    <w:p w14:paraId="61A56073" w14:textId="59399B1D" w:rsidR="002E2B73" w:rsidRDefault="002E2B73" w:rsidP="002E2B73">
      <w:r>
        <w:t xml:space="preserve">The Medium Range IAB-DU </w:t>
      </w:r>
      <w:r>
        <w:rPr>
          <w:rFonts w:eastAsia="SimSun" w:hint="eastAsia"/>
          <w:lang w:val="en-US" w:eastAsia="zh-CN"/>
        </w:rPr>
        <w:t>receiver intermodulation requirement</w:t>
      </w:r>
      <w:r>
        <w:t xml:space="preserve"> is specified the same as the Medium Range BS </w:t>
      </w:r>
      <w:r>
        <w:rPr>
          <w:rFonts w:eastAsia="SimSun" w:hint="eastAsia"/>
          <w:lang w:val="en-US" w:eastAsia="zh-CN"/>
        </w:rPr>
        <w:t>receiver intermodulation requirement</w:t>
      </w:r>
      <w:r>
        <w:t xml:space="preserve"> for BS</w:t>
      </w:r>
      <w:r>
        <w:rPr>
          <w:i/>
        </w:rPr>
        <w:t xml:space="preserve"> type 1-</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 xml:space="preserve">.2, where references to </w:t>
      </w:r>
      <w:r>
        <w:rPr>
          <w:i/>
        </w:rPr>
        <w:t>BS channel bandwidth</w:t>
      </w:r>
      <w:r>
        <w:t xml:space="preserve"> apply to </w:t>
      </w:r>
      <w:r>
        <w:rPr>
          <w:i/>
        </w:rPr>
        <w:t>IAB-DU channel bandwidth</w:t>
      </w:r>
      <w:r>
        <w:t>.</w:t>
      </w:r>
    </w:p>
    <w:p w14:paraId="2071F4F2" w14:textId="3B3EB137" w:rsidR="002E2B73" w:rsidRDefault="002E2B73" w:rsidP="002E2B73">
      <w:r>
        <w:t xml:space="preserve">The Local Area IAB-DU </w:t>
      </w:r>
      <w:r>
        <w:rPr>
          <w:rFonts w:eastAsia="SimSun" w:hint="eastAsia"/>
          <w:lang w:val="en-US" w:eastAsia="zh-CN"/>
        </w:rPr>
        <w:t>receiver intermodulation requirement</w:t>
      </w:r>
      <w:r>
        <w:t xml:space="preserve"> is specified the same as the Local Area BS </w:t>
      </w:r>
      <w:r>
        <w:rPr>
          <w:rFonts w:eastAsia="SimSun" w:hint="eastAsia"/>
          <w:lang w:val="en-US" w:eastAsia="zh-CN"/>
        </w:rPr>
        <w:t>receiver intermodulation requirement</w:t>
      </w:r>
      <w:r>
        <w:t xml:space="preserve"> for BS</w:t>
      </w:r>
      <w:r>
        <w:rPr>
          <w:i/>
        </w:rPr>
        <w:t xml:space="preserve"> type 1-</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 xml:space="preserve">.2, where references to </w:t>
      </w:r>
      <w:r>
        <w:rPr>
          <w:i/>
        </w:rPr>
        <w:t>BS channel bandwidth</w:t>
      </w:r>
      <w:r>
        <w:t xml:space="preserve"> apply to </w:t>
      </w:r>
      <w:r>
        <w:rPr>
          <w:i/>
        </w:rPr>
        <w:t>IAB-DU channel bandwidth</w:t>
      </w:r>
      <w:r>
        <w:t>.</w:t>
      </w:r>
    </w:p>
    <w:p w14:paraId="2ABB5D51" w14:textId="0BF10C5E" w:rsidR="001F7664" w:rsidRDefault="001F7664">
      <w:pPr>
        <w:pStyle w:val="Heading3"/>
      </w:pPr>
      <w:bookmarkStart w:id="6995" w:name="_Toc57820434"/>
      <w:bookmarkStart w:id="6996" w:name="_Toc57821361"/>
      <w:bookmarkStart w:id="6997" w:name="_Toc61183637"/>
      <w:bookmarkStart w:id="6998" w:name="_Toc61184031"/>
      <w:bookmarkStart w:id="6999" w:name="_Toc61184423"/>
      <w:bookmarkStart w:id="7000" w:name="_Toc61184815"/>
      <w:bookmarkStart w:id="7001" w:name="_Toc61185205"/>
      <w:bookmarkStart w:id="7002" w:name="_Toc66386550"/>
      <w:bookmarkStart w:id="7003" w:name="_Toc74583453"/>
      <w:bookmarkStart w:id="7004" w:name="_Toc76542266"/>
      <w:bookmarkStart w:id="7005" w:name="_Toc82450248"/>
      <w:bookmarkStart w:id="7006" w:name="_Toc82450896"/>
      <w:bookmarkStart w:id="7007" w:name="_Toc89949285"/>
      <w:bookmarkStart w:id="7008" w:name="_Toc98755674"/>
      <w:bookmarkStart w:id="7009" w:name="_Toc98763266"/>
      <w:bookmarkStart w:id="7010" w:name="_Toc106184195"/>
      <w:r>
        <w:t>10.8.</w:t>
      </w:r>
      <w:r w:rsidR="00973972">
        <w:t>3</w:t>
      </w:r>
      <w:r w:rsidR="00255E64" w:rsidRPr="007E346D">
        <w:tab/>
      </w:r>
      <w:r w:rsidR="00193987">
        <w:rPr>
          <w:rFonts w:eastAsia="SimSun" w:hint="eastAsia"/>
          <w:lang w:val="en-US" w:eastAsia="zh-CN"/>
        </w:rPr>
        <w:t>Minimum requirement for</w:t>
      </w:r>
      <w:r w:rsidR="00193987">
        <w:t xml:space="preserve"> </w:t>
      </w:r>
      <w:r w:rsidR="00193987">
        <w:rPr>
          <w:i/>
          <w:iCs/>
        </w:rPr>
        <w:t xml:space="preserve">IAB-DU </w:t>
      </w:r>
      <w:r w:rsidR="00193987">
        <w:rPr>
          <w:rFonts w:eastAsia="SimSun" w:hint="eastAsia"/>
          <w:i/>
          <w:iCs/>
          <w:lang w:val="en-US" w:eastAsia="zh-CN"/>
        </w:rPr>
        <w:t>type 2-O</w:t>
      </w:r>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p>
    <w:p w14:paraId="4E4ABA13" w14:textId="6FE9152A" w:rsidR="002E2B73" w:rsidRDefault="002E2B73" w:rsidP="002E2B73">
      <w:bookmarkStart w:id="7011" w:name="_Toc53185573"/>
      <w:bookmarkStart w:id="7012" w:name="_Toc53185949"/>
      <w:r>
        <w:t xml:space="preserve">The Wide AreaIAB-DU </w:t>
      </w:r>
      <w:r>
        <w:rPr>
          <w:rFonts w:eastAsia="SimSun" w:hint="eastAsia"/>
          <w:lang w:val="en-US" w:eastAsia="zh-CN"/>
        </w:rPr>
        <w:t>receiver intermodulation requirement</w:t>
      </w:r>
      <w:r>
        <w:t xml:space="preserve"> is specified the same as the Wide Area </w:t>
      </w:r>
      <w:r>
        <w:rPr>
          <w:rFonts w:eastAsia="SimSun" w:hint="eastAsia"/>
          <w:lang w:val="en-US" w:eastAsia="zh-CN"/>
        </w:rPr>
        <w:t>receiver intermodulation requirement</w:t>
      </w:r>
      <w:r>
        <w:t xml:space="preserve"> for BS</w:t>
      </w:r>
      <w:r>
        <w:rPr>
          <w:i/>
        </w:rPr>
        <w:t xml:space="preserve"> type </w:t>
      </w:r>
      <w:r>
        <w:rPr>
          <w:rFonts w:eastAsia="SimSun" w:hint="eastAsia"/>
          <w:i/>
          <w:lang w:val="en-US" w:eastAsia="zh-CN"/>
        </w:rPr>
        <w:t>2</w:t>
      </w:r>
      <w:r>
        <w:rPr>
          <w:i/>
        </w:rPr>
        <w:t>-</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w:t>
      </w:r>
      <w:r>
        <w:rPr>
          <w:rFonts w:eastAsia="SimSun" w:hint="eastAsia"/>
          <w:lang w:val="en-US" w:eastAsia="zh-CN"/>
        </w:rPr>
        <w:t>3</w:t>
      </w:r>
      <w:r>
        <w:t xml:space="preserve">, where references to </w:t>
      </w:r>
      <w:r>
        <w:rPr>
          <w:i/>
        </w:rPr>
        <w:t>BS channel bandwidth</w:t>
      </w:r>
      <w:r>
        <w:t xml:space="preserve"> apply to </w:t>
      </w:r>
      <w:r>
        <w:rPr>
          <w:i/>
        </w:rPr>
        <w:t>IAB-DU channel bandwidth</w:t>
      </w:r>
      <w:r>
        <w:t>.</w:t>
      </w:r>
    </w:p>
    <w:p w14:paraId="23D15BBF" w14:textId="69F9514E" w:rsidR="002E2B73" w:rsidRDefault="002E2B73" w:rsidP="002E2B73">
      <w:r>
        <w:t xml:space="preserve">The Medium Range IAB-DU </w:t>
      </w:r>
      <w:r>
        <w:rPr>
          <w:rFonts w:eastAsia="SimSun" w:hint="eastAsia"/>
          <w:lang w:val="en-US" w:eastAsia="zh-CN"/>
        </w:rPr>
        <w:t>receiver intermodulation requirement</w:t>
      </w:r>
      <w:r>
        <w:t xml:space="preserve"> is specified the same as the</w:t>
      </w:r>
      <w:r w:rsidRPr="00BD110F">
        <w:t xml:space="preserve"> </w:t>
      </w:r>
      <w:r>
        <w:t xml:space="preserve">Medium Range BS </w:t>
      </w:r>
      <w:r>
        <w:rPr>
          <w:rFonts w:eastAsia="SimSun" w:hint="eastAsia"/>
          <w:lang w:val="en-US" w:eastAsia="zh-CN"/>
        </w:rPr>
        <w:t>receiver intermodulation requirement</w:t>
      </w:r>
      <w:r>
        <w:t xml:space="preserve"> for BS</w:t>
      </w:r>
      <w:r>
        <w:rPr>
          <w:i/>
        </w:rPr>
        <w:t xml:space="preserve"> type </w:t>
      </w:r>
      <w:r>
        <w:rPr>
          <w:rFonts w:eastAsia="SimSun" w:hint="eastAsia"/>
          <w:i/>
          <w:lang w:val="en-US" w:eastAsia="zh-CN"/>
        </w:rPr>
        <w:t>2</w:t>
      </w:r>
      <w:r>
        <w:rPr>
          <w:i/>
        </w:rPr>
        <w:t>-</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w:t>
      </w:r>
      <w:r>
        <w:rPr>
          <w:rFonts w:eastAsia="SimSun" w:hint="eastAsia"/>
          <w:lang w:val="en-US" w:eastAsia="zh-CN"/>
        </w:rPr>
        <w:t>3</w:t>
      </w:r>
      <w:r>
        <w:t xml:space="preserve">, where references to </w:t>
      </w:r>
      <w:r>
        <w:rPr>
          <w:i/>
        </w:rPr>
        <w:t>BS channel bandwidth</w:t>
      </w:r>
      <w:r>
        <w:t xml:space="preserve"> apply to </w:t>
      </w:r>
      <w:r>
        <w:rPr>
          <w:i/>
        </w:rPr>
        <w:t>IAB-DU channel bandwidth</w:t>
      </w:r>
      <w:r>
        <w:t>.</w:t>
      </w:r>
    </w:p>
    <w:p w14:paraId="31B976FE" w14:textId="4E15535A" w:rsidR="002E2B73" w:rsidRDefault="002E2B73" w:rsidP="002E2B73">
      <w:r>
        <w:t xml:space="preserve">The Local Area IAB-DU </w:t>
      </w:r>
      <w:r>
        <w:rPr>
          <w:rFonts w:eastAsia="SimSun" w:hint="eastAsia"/>
          <w:lang w:val="en-US" w:eastAsia="zh-CN"/>
        </w:rPr>
        <w:t>receiver intermodulation requirement</w:t>
      </w:r>
      <w:r>
        <w:t xml:space="preserve"> is specified the same as the Local Area BS </w:t>
      </w:r>
      <w:r>
        <w:rPr>
          <w:rFonts w:eastAsia="SimSun" w:hint="eastAsia"/>
          <w:lang w:val="en-US" w:eastAsia="zh-CN"/>
        </w:rPr>
        <w:t>receiver intermodulation requirement</w:t>
      </w:r>
      <w:r>
        <w:t xml:space="preserve"> for BS</w:t>
      </w:r>
      <w:r>
        <w:rPr>
          <w:i/>
        </w:rPr>
        <w:t xml:space="preserve"> type </w:t>
      </w:r>
      <w:r>
        <w:rPr>
          <w:rFonts w:eastAsia="SimSun" w:hint="eastAsia"/>
          <w:i/>
          <w:lang w:val="en-US" w:eastAsia="zh-CN"/>
        </w:rPr>
        <w:t>2</w:t>
      </w:r>
      <w:r>
        <w:rPr>
          <w:i/>
        </w:rPr>
        <w:t>-</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w:t>
      </w:r>
      <w:r>
        <w:rPr>
          <w:rFonts w:eastAsia="SimSun" w:hint="eastAsia"/>
          <w:lang w:val="en-US" w:eastAsia="zh-CN"/>
        </w:rPr>
        <w:t>3</w:t>
      </w:r>
      <w:r>
        <w:t xml:space="preserve">, where references to </w:t>
      </w:r>
      <w:r>
        <w:rPr>
          <w:i/>
        </w:rPr>
        <w:t>BS channel bandwidth</w:t>
      </w:r>
      <w:r>
        <w:t xml:space="preserve"> apply to </w:t>
      </w:r>
      <w:r>
        <w:rPr>
          <w:i/>
        </w:rPr>
        <w:t>IAB-DU channel bandwidth</w:t>
      </w:r>
      <w:r>
        <w:t>.</w:t>
      </w:r>
    </w:p>
    <w:p w14:paraId="4AA7B24B" w14:textId="34595C93" w:rsidR="000A417F" w:rsidRDefault="001C27CE" w:rsidP="000A417F">
      <w:pPr>
        <w:pStyle w:val="Heading3"/>
        <w:rPr>
          <w:rFonts w:eastAsia="SimSun"/>
          <w:lang w:val="en-US" w:eastAsia="zh-CN"/>
        </w:rPr>
      </w:pPr>
      <w:bookmarkStart w:id="7013" w:name="_Toc57820435"/>
      <w:bookmarkStart w:id="7014" w:name="_Toc57821362"/>
      <w:bookmarkStart w:id="7015" w:name="_Toc61183638"/>
      <w:bookmarkStart w:id="7016" w:name="_Toc61184032"/>
      <w:bookmarkStart w:id="7017" w:name="_Toc61184424"/>
      <w:bookmarkStart w:id="7018" w:name="_Toc61184816"/>
      <w:bookmarkStart w:id="7019" w:name="_Toc61185206"/>
      <w:bookmarkStart w:id="7020" w:name="_Toc66386551"/>
      <w:bookmarkStart w:id="7021" w:name="_Toc74583454"/>
      <w:bookmarkStart w:id="7022" w:name="_Toc76542267"/>
      <w:bookmarkStart w:id="7023" w:name="_Toc82450249"/>
      <w:bookmarkStart w:id="7024" w:name="_Toc82450897"/>
      <w:bookmarkStart w:id="7025" w:name="_Toc89949286"/>
      <w:bookmarkStart w:id="7026" w:name="_Toc98755675"/>
      <w:bookmarkStart w:id="7027" w:name="_Toc98763267"/>
      <w:bookmarkStart w:id="7028" w:name="_Toc106184196"/>
      <w:r>
        <w:t>10.8.4</w:t>
      </w:r>
      <w:r w:rsidR="00255E64" w:rsidRPr="007E346D">
        <w:tab/>
      </w:r>
      <w:r w:rsidR="000A417F">
        <w:rPr>
          <w:rFonts w:eastAsia="SimSun" w:hint="eastAsia"/>
          <w:lang w:val="en-US" w:eastAsia="zh-CN"/>
        </w:rPr>
        <w:t>Minimum requirement for</w:t>
      </w:r>
      <w:r w:rsidR="000A417F">
        <w:t xml:space="preserve"> </w:t>
      </w:r>
      <w:r w:rsidR="000A417F">
        <w:rPr>
          <w:i/>
          <w:iCs/>
        </w:rPr>
        <w:t>IAB-</w:t>
      </w:r>
      <w:r w:rsidR="000A417F">
        <w:rPr>
          <w:rFonts w:eastAsia="SimSun" w:hint="eastAsia"/>
          <w:i/>
          <w:iCs/>
          <w:lang w:val="en-US" w:eastAsia="zh-CN"/>
        </w:rPr>
        <w:t>MT</w:t>
      </w:r>
      <w:r w:rsidR="000A417F">
        <w:rPr>
          <w:i/>
          <w:iCs/>
        </w:rPr>
        <w:t xml:space="preserve"> </w:t>
      </w:r>
      <w:r w:rsidR="000A417F">
        <w:rPr>
          <w:rFonts w:eastAsia="SimSun" w:hint="eastAsia"/>
          <w:i/>
          <w:iCs/>
          <w:lang w:val="en-US" w:eastAsia="zh-CN"/>
        </w:rPr>
        <w:t>type 1-O</w:t>
      </w:r>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p>
    <w:p w14:paraId="2221C437" w14:textId="232B8A33" w:rsidR="002E2B73" w:rsidRDefault="002E2B73" w:rsidP="002E2B73">
      <w:bookmarkStart w:id="7029" w:name="_Toc53185574"/>
      <w:bookmarkStart w:id="7030" w:name="_Toc53185950"/>
      <w:r>
        <w:t>The Wide Area IAB-</w:t>
      </w:r>
      <w:r>
        <w:rPr>
          <w:rFonts w:eastAsia="SimSun" w:hint="eastAsia"/>
          <w:lang w:val="en-US" w:eastAsia="zh-CN"/>
        </w:rPr>
        <w:t>MT</w:t>
      </w:r>
      <w:r>
        <w:t xml:space="preserve"> </w:t>
      </w:r>
      <w:r>
        <w:rPr>
          <w:rFonts w:eastAsia="SimSun" w:hint="eastAsia"/>
          <w:lang w:val="en-US" w:eastAsia="zh-CN"/>
        </w:rPr>
        <w:t>receiver intermodulation requirement</w:t>
      </w:r>
      <w:r>
        <w:t xml:space="preserve"> is specified the same as the Wide Area </w:t>
      </w:r>
      <w:r>
        <w:rPr>
          <w:rFonts w:eastAsia="SimSun" w:hint="eastAsia"/>
          <w:lang w:val="en-US" w:eastAsia="zh-CN"/>
        </w:rPr>
        <w:t>receiver intermodulation requirement</w:t>
      </w:r>
      <w:r>
        <w:t xml:space="preserve"> for BS</w:t>
      </w:r>
      <w:r>
        <w:rPr>
          <w:i/>
        </w:rPr>
        <w:t xml:space="preserve"> type 1-</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 xml:space="preserve">.2, where references to </w:t>
      </w:r>
      <w:r>
        <w:rPr>
          <w:i/>
        </w:rPr>
        <w:t>BS channel bandwidth</w:t>
      </w:r>
      <w:r>
        <w:t xml:space="preserve"> apply to </w:t>
      </w:r>
      <w:r>
        <w:rPr>
          <w:i/>
        </w:rPr>
        <w:t>IAB-</w:t>
      </w:r>
      <w:r>
        <w:rPr>
          <w:rFonts w:eastAsia="SimSun" w:hint="eastAsia"/>
          <w:i/>
          <w:lang w:val="en-US" w:eastAsia="zh-CN"/>
        </w:rPr>
        <w:t>MT</w:t>
      </w:r>
      <w:r>
        <w:rPr>
          <w:i/>
        </w:rPr>
        <w:t xml:space="preserve"> channel bandwidth</w:t>
      </w:r>
      <w:r>
        <w:t>.</w:t>
      </w:r>
    </w:p>
    <w:p w14:paraId="04713738" w14:textId="315B29F7" w:rsidR="002E2B73" w:rsidRDefault="002E2B73" w:rsidP="002E2B73">
      <w:r>
        <w:t>The Local Area IAB-</w:t>
      </w:r>
      <w:r>
        <w:rPr>
          <w:rFonts w:eastAsia="SimSun" w:hint="eastAsia"/>
          <w:lang w:val="en-US" w:eastAsia="zh-CN"/>
        </w:rPr>
        <w:t>MT</w:t>
      </w:r>
      <w:r>
        <w:t xml:space="preserve"> </w:t>
      </w:r>
      <w:r>
        <w:rPr>
          <w:rFonts w:eastAsia="SimSun" w:hint="eastAsia"/>
          <w:lang w:val="en-US" w:eastAsia="zh-CN"/>
        </w:rPr>
        <w:t>receiver intermodulation requirement</w:t>
      </w:r>
      <w:r>
        <w:t xml:space="preserve"> is specified the same as the Local Area BS </w:t>
      </w:r>
      <w:r>
        <w:rPr>
          <w:rFonts w:eastAsia="SimSun" w:hint="eastAsia"/>
          <w:lang w:val="en-US" w:eastAsia="zh-CN"/>
        </w:rPr>
        <w:t>receiver intermodulation requirement</w:t>
      </w:r>
      <w:r>
        <w:t xml:space="preserve"> for BS</w:t>
      </w:r>
      <w:r>
        <w:rPr>
          <w:i/>
        </w:rPr>
        <w:t xml:space="preserve"> type 1-</w:t>
      </w:r>
      <w:r>
        <w:rPr>
          <w:rFonts w:eastAsia="SimSun" w:hint="eastAsia"/>
          <w:i/>
          <w:lang w:val="en-US" w:eastAsia="zh-CN"/>
        </w:rPr>
        <w:t>O</w:t>
      </w:r>
      <w:r>
        <w:t xml:space="preserve"> in TS 38.104 [2], subclause </w:t>
      </w:r>
      <w:r>
        <w:rPr>
          <w:rFonts w:eastAsia="SimSun" w:hint="eastAsia"/>
          <w:lang w:val="en-US" w:eastAsia="zh-CN"/>
        </w:rPr>
        <w:t>10</w:t>
      </w:r>
      <w:r>
        <w:t>.</w:t>
      </w:r>
      <w:r>
        <w:rPr>
          <w:rFonts w:eastAsia="SimSun" w:hint="eastAsia"/>
          <w:lang w:val="en-US" w:eastAsia="zh-CN"/>
        </w:rPr>
        <w:t>8</w:t>
      </w:r>
      <w:r>
        <w:t xml:space="preserve">.2, where references to </w:t>
      </w:r>
      <w:r>
        <w:rPr>
          <w:i/>
        </w:rPr>
        <w:t>BS channel bandwidth</w:t>
      </w:r>
      <w:r>
        <w:t xml:space="preserve"> apply to </w:t>
      </w:r>
      <w:r>
        <w:rPr>
          <w:i/>
        </w:rPr>
        <w:t>IAB-</w:t>
      </w:r>
      <w:r>
        <w:rPr>
          <w:rFonts w:eastAsia="SimSun" w:hint="eastAsia"/>
          <w:i/>
          <w:lang w:val="en-US" w:eastAsia="zh-CN"/>
        </w:rPr>
        <w:t>MT</w:t>
      </w:r>
      <w:r>
        <w:rPr>
          <w:i/>
        </w:rPr>
        <w:t xml:space="preserve"> channel bandwidth</w:t>
      </w:r>
      <w:r>
        <w:t>.</w:t>
      </w:r>
    </w:p>
    <w:p w14:paraId="06600C88" w14:textId="77777777" w:rsidR="002E2B73" w:rsidRDefault="002E2B73" w:rsidP="002E2B73">
      <w:pPr>
        <w:rPr>
          <w:rFonts w:eastAsia="SimSun"/>
          <w:lang w:val="en-US" w:eastAsia="zh-CN"/>
        </w:rPr>
      </w:pPr>
      <w:r>
        <w:rPr>
          <w:rFonts w:eastAsia="SimSun" w:hint="eastAsia"/>
          <w:lang w:val="en-US" w:eastAsia="zh-CN"/>
        </w:rPr>
        <w:t xml:space="preserve">Interfering signal for </w:t>
      </w:r>
      <w:r>
        <w:rPr>
          <w:rFonts w:eastAsia="SimSun"/>
          <w:lang w:val="en-US" w:eastAsia="zh-CN"/>
        </w:rPr>
        <w:t>IAB-MT</w:t>
      </w:r>
      <w:r>
        <w:rPr>
          <w:rFonts w:eastAsia="SimSun" w:hint="eastAsia"/>
          <w:lang w:val="en-US" w:eastAsia="zh-CN"/>
        </w:rPr>
        <w:t xml:space="preserve"> </w:t>
      </w:r>
      <w:r>
        <w:rPr>
          <w:rFonts w:eastAsia="SimSun" w:hint="eastAsia"/>
          <w:i/>
          <w:iCs/>
          <w:lang w:val="en-US" w:eastAsia="zh-CN"/>
        </w:rPr>
        <w:t>type 1-</w:t>
      </w:r>
      <w:r>
        <w:rPr>
          <w:rFonts w:eastAsia="SimSun"/>
          <w:i/>
          <w:iCs/>
          <w:lang w:val="en-US" w:eastAsia="zh-CN"/>
        </w:rPr>
        <w:t>O</w:t>
      </w:r>
      <w:r>
        <w:rPr>
          <w:rFonts w:eastAsia="SimSun" w:hint="eastAsia"/>
          <w:lang w:val="en-US" w:eastAsia="zh-CN"/>
        </w:rPr>
        <w:t xml:space="preserve"> should be CP-</w:t>
      </w:r>
      <w:r>
        <w:rPr>
          <w:rFonts w:eastAsia="SimSun"/>
          <w:lang w:val="en-US" w:eastAsia="zh-CN"/>
        </w:rPr>
        <w:t>O</w:t>
      </w:r>
      <w:r>
        <w:rPr>
          <w:rFonts w:eastAsia="SimSun" w:hint="eastAsia"/>
          <w:lang w:val="en-US" w:eastAsia="zh-CN"/>
        </w:rPr>
        <w:t>FDM.</w:t>
      </w:r>
    </w:p>
    <w:p w14:paraId="06FF7EEC" w14:textId="432F9CD0" w:rsidR="00CD1521" w:rsidRPr="005913F7" w:rsidRDefault="00077B6E" w:rsidP="002E2B73">
      <w:pPr>
        <w:pStyle w:val="Heading2"/>
        <w:rPr>
          <w:rFonts w:eastAsiaTheme="minorEastAsia"/>
          <w:lang w:eastAsia="zh-CN"/>
        </w:rPr>
      </w:pPr>
      <w:bookmarkStart w:id="7031" w:name="_Toc57820436"/>
      <w:bookmarkStart w:id="7032" w:name="_Toc57821363"/>
      <w:bookmarkStart w:id="7033" w:name="_Toc61183639"/>
      <w:bookmarkStart w:id="7034" w:name="_Toc61184033"/>
      <w:bookmarkStart w:id="7035" w:name="_Toc61184425"/>
      <w:bookmarkStart w:id="7036" w:name="_Toc61184817"/>
      <w:bookmarkStart w:id="7037" w:name="_Toc61185207"/>
      <w:bookmarkStart w:id="7038" w:name="_Toc66386552"/>
      <w:bookmarkStart w:id="7039" w:name="_Toc74583455"/>
      <w:bookmarkStart w:id="7040" w:name="_Toc76542268"/>
      <w:bookmarkStart w:id="7041" w:name="_Toc82450250"/>
      <w:bookmarkStart w:id="7042" w:name="_Toc82450898"/>
      <w:bookmarkStart w:id="7043" w:name="_Toc89949287"/>
      <w:bookmarkStart w:id="7044" w:name="_Toc98755676"/>
      <w:bookmarkStart w:id="7045" w:name="_Toc98763268"/>
      <w:bookmarkStart w:id="7046" w:name="_Toc106184197"/>
      <w:r w:rsidRPr="007E346D">
        <w:t>10.9</w:t>
      </w:r>
      <w:r w:rsidRPr="007E346D">
        <w:tab/>
        <w:t>OTA in-channel selectivity</w:t>
      </w:r>
      <w:bookmarkEnd w:id="6991"/>
      <w:bookmarkEnd w:id="6992"/>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p>
    <w:p w14:paraId="321BF6E5" w14:textId="720F55AB" w:rsidR="001F7664" w:rsidRDefault="001F7664" w:rsidP="001F7664">
      <w:pPr>
        <w:pStyle w:val="Heading3"/>
      </w:pPr>
      <w:bookmarkStart w:id="7047" w:name="_Toc53185575"/>
      <w:bookmarkStart w:id="7048" w:name="_Toc53185951"/>
      <w:bookmarkStart w:id="7049" w:name="_Toc57820437"/>
      <w:bookmarkStart w:id="7050" w:name="_Toc57821364"/>
      <w:bookmarkStart w:id="7051" w:name="_Toc61183640"/>
      <w:bookmarkStart w:id="7052" w:name="_Toc61184034"/>
      <w:bookmarkStart w:id="7053" w:name="_Toc61184426"/>
      <w:bookmarkStart w:id="7054" w:name="_Toc61184818"/>
      <w:bookmarkStart w:id="7055" w:name="_Toc61185208"/>
      <w:bookmarkStart w:id="7056" w:name="_Toc66386553"/>
      <w:bookmarkStart w:id="7057" w:name="_Toc74583456"/>
      <w:bookmarkStart w:id="7058" w:name="_Toc76542269"/>
      <w:bookmarkStart w:id="7059" w:name="_Toc82450251"/>
      <w:bookmarkStart w:id="7060" w:name="_Toc82450899"/>
      <w:bookmarkStart w:id="7061" w:name="_Toc89949288"/>
      <w:bookmarkStart w:id="7062" w:name="_Toc98755677"/>
      <w:bookmarkStart w:id="7063" w:name="_Toc98763269"/>
      <w:bookmarkStart w:id="7064" w:name="_Toc106184198"/>
      <w:bookmarkStart w:id="7065" w:name="_Toc13080449"/>
      <w:bookmarkStart w:id="7066" w:name="_Toc18916200"/>
      <w:r>
        <w:t>10.9.1</w:t>
      </w:r>
      <w:r w:rsidR="00255E64" w:rsidRPr="007E346D">
        <w:tab/>
      </w:r>
      <w:r w:rsidR="00CF007B">
        <w:rPr>
          <w:rFonts w:eastAsia="SimSun" w:hint="eastAsia"/>
          <w:lang w:val="en-US" w:eastAsia="zh-CN"/>
        </w:rPr>
        <w:t>General</w:t>
      </w:r>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p>
    <w:p w14:paraId="375E4D6F" w14:textId="4D0B9670" w:rsidR="001F7664" w:rsidRPr="002E2B73" w:rsidRDefault="0073111B" w:rsidP="00AD2A23">
      <w:pPr>
        <w:rPr>
          <w:i/>
          <w:iCs/>
        </w:rPr>
      </w:pPr>
      <w:r>
        <w:rPr>
          <w:rFonts w:cs="v5.0.0"/>
        </w:rPr>
        <w:t>In-channel selectivity (ICS) is a measure of the receiver ability to receive a wanted signal at its assigned resource block locations in the presence of an interfering signal received at a larger power spectral density.</w:t>
      </w:r>
      <w:r>
        <w:t xml:space="preserve"> In this condition a throughput requirement shall be met for a specified reference measurement channel</w:t>
      </w:r>
      <w:r>
        <w:rPr>
          <w:rFonts w:cs="v5.0.0"/>
        </w:rPr>
        <w:t xml:space="preserve">. </w:t>
      </w:r>
      <w:r>
        <w:rPr>
          <w:rFonts w:eastAsia="MS PGothic"/>
        </w:rPr>
        <w:t>The interfering signal shall be</w:t>
      </w:r>
      <w:r>
        <w:rPr>
          <w:rFonts w:eastAsia="MS PGothic" w:cs="v4.2.0"/>
        </w:rPr>
        <w:t xml:space="preserve"> an </w:t>
      </w:r>
      <w:r>
        <w:rPr>
          <w:lang w:eastAsia="zh-CN"/>
        </w:rPr>
        <w:t>NR</w:t>
      </w:r>
      <w:r>
        <w:rPr>
          <w:rFonts w:eastAsia="MS PGothic"/>
        </w:rPr>
        <w:t xml:space="preserve"> signal as specified in annex </w:t>
      </w:r>
      <w:r>
        <w:rPr>
          <w:rFonts w:eastAsia="SimSun" w:hint="eastAsia"/>
          <w:lang w:val="en-US" w:eastAsia="zh-CN"/>
        </w:rPr>
        <w:t>[</w:t>
      </w:r>
      <w:r>
        <w:rPr>
          <w:rFonts w:eastAsia="MS PGothic"/>
        </w:rPr>
        <w:t>A.1</w:t>
      </w:r>
      <w:r>
        <w:rPr>
          <w:rFonts w:eastAsia="SimSun" w:hint="eastAsia"/>
          <w:lang w:val="en-US" w:eastAsia="zh-CN"/>
        </w:rPr>
        <w:t>]</w:t>
      </w:r>
      <w:r>
        <w:rPr>
          <w:rFonts w:eastAsia="MS PGothic"/>
        </w:rPr>
        <w:t xml:space="preserve"> and shall be time aligned with the wanted signal</w:t>
      </w:r>
    </w:p>
    <w:p w14:paraId="329785E2" w14:textId="39D650A6" w:rsidR="001F7664" w:rsidRDefault="001F7664">
      <w:pPr>
        <w:pStyle w:val="Heading3"/>
      </w:pPr>
      <w:bookmarkStart w:id="7067" w:name="_Toc53185576"/>
      <w:bookmarkStart w:id="7068" w:name="_Toc53185952"/>
      <w:bookmarkStart w:id="7069" w:name="_Toc57820438"/>
      <w:bookmarkStart w:id="7070" w:name="_Toc57821365"/>
      <w:bookmarkStart w:id="7071" w:name="_Toc61183641"/>
      <w:bookmarkStart w:id="7072" w:name="_Toc61184035"/>
      <w:bookmarkStart w:id="7073" w:name="_Toc61184427"/>
      <w:bookmarkStart w:id="7074" w:name="_Toc61184819"/>
      <w:bookmarkStart w:id="7075" w:name="_Toc61185209"/>
      <w:bookmarkStart w:id="7076" w:name="_Toc66386554"/>
      <w:bookmarkStart w:id="7077" w:name="_Toc74583457"/>
      <w:bookmarkStart w:id="7078" w:name="_Toc76542270"/>
      <w:bookmarkStart w:id="7079" w:name="_Toc82450252"/>
      <w:bookmarkStart w:id="7080" w:name="_Toc82450900"/>
      <w:bookmarkStart w:id="7081" w:name="_Toc89949289"/>
      <w:bookmarkStart w:id="7082" w:name="_Toc98755678"/>
      <w:bookmarkStart w:id="7083" w:name="_Toc98763270"/>
      <w:bookmarkStart w:id="7084" w:name="_Toc106184199"/>
      <w:r>
        <w:lastRenderedPageBreak/>
        <w:t>10.9.2</w:t>
      </w:r>
      <w:r w:rsidR="00255E64" w:rsidRPr="007E346D">
        <w:tab/>
      </w:r>
      <w:r w:rsidR="000B4562">
        <w:rPr>
          <w:rFonts w:eastAsia="SimSun" w:hint="eastAsia"/>
          <w:lang w:val="en-US" w:eastAsia="zh-CN"/>
        </w:rPr>
        <w:t xml:space="preserve">Minimum requirement for </w:t>
      </w:r>
      <w:r w:rsidR="000B4562" w:rsidRPr="00F947E2">
        <w:rPr>
          <w:rFonts w:eastAsia="SimSun"/>
          <w:i/>
          <w:iCs/>
          <w:lang w:val="en-US" w:eastAsia="zh-CN"/>
        </w:rPr>
        <w:t xml:space="preserve">IAB-DU </w:t>
      </w:r>
      <w:r w:rsidR="000B4562" w:rsidRPr="00414A70">
        <w:rPr>
          <w:rFonts w:eastAsia="SimSun" w:hint="eastAsia"/>
          <w:lang w:val="en-US" w:eastAsia="zh-CN"/>
        </w:rPr>
        <w:t xml:space="preserve">type </w:t>
      </w:r>
      <w:r w:rsidR="000B4562" w:rsidRPr="00414A70">
        <w:rPr>
          <w:rFonts w:eastAsia="SimSun"/>
          <w:lang w:val="en-US" w:eastAsia="zh-CN"/>
        </w:rPr>
        <w:t>1-O</w:t>
      </w:r>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p>
    <w:p w14:paraId="5D19F1D4" w14:textId="313B25D3" w:rsidR="00414A70" w:rsidRDefault="00414A70" w:rsidP="00414A70">
      <w:bookmarkStart w:id="7085" w:name="OLE_LINK8"/>
      <w:r>
        <w:t xml:space="preserve">The wide area IAB-DU </w:t>
      </w:r>
      <w:r>
        <w:rPr>
          <w:rFonts w:eastAsia="SimSun" w:hint="eastAsia"/>
          <w:lang w:val="en-US" w:eastAsia="zh-CN"/>
        </w:rPr>
        <w:t>receiver in-channel selectivity requirement</w:t>
      </w:r>
      <w:r>
        <w:t xml:space="preserve"> is specified the same as the wide area </w:t>
      </w:r>
      <w:r>
        <w:rPr>
          <w:rFonts w:eastAsia="SimSun" w:hint="eastAsia"/>
          <w:lang w:val="en-US" w:eastAsia="zh-CN"/>
        </w:rPr>
        <w:t>receiver in-channel selectivity requirement</w:t>
      </w:r>
      <w:r>
        <w:t xml:space="preserve"> for BS</w:t>
      </w:r>
      <w:r>
        <w:rPr>
          <w:i/>
        </w:rPr>
        <w:t xml:space="preserve"> type 1-</w:t>
      </w:r>
      <w:r>
        <w:rPr>
          <w:rFonts w:eastAsia="SimSun" w:hint="eastAsia"/>
          <w:i/>
          <w:lang w:val="en-US" w:eastAsia="zh-CN"/>
        </w:rPr>
        <w:t>O</w:t>
      </w:r>
      <w:r>
        <w:t xml:space="preserve"> in TS 38.104[</w:t>
      </w:r>
      <w:r w:rsidR="00A4061E">
        <w:t>2</w:t>
      </w:r>
      <w:r>
        <w:t xml:space="preserve">], subclause </w:t>
      </w:r>
      <w:r>
        <w:rPr>
          <w:rFonts w:eastAsia="SimSun" w:hint="eastAsia"/>
          <w:lang w:val="en-US" w:eastAsia="zh-CN"/>
        </w:rPr>
        <w:t>10</w:t>
      </w:r>
      <w:r>
        <w:t>.</w:t>
      </w:r>
      <w:r>
        <w:rPr>
          <w:rFonts w:eastAsia="SimSun" w:hint="eastAsia"/>
          <w:lang w:val="en-US" w:eastAsia="zh-CN"/>
        </w:rPr>
        <w:t>9</w:t>
      </w:r>
      <w:r>
        <w:t xml:space="preserve">.2, where references to </w:t>
      </w:r>
      <w:r>
        <w:rPr>
          <w:i/>
        </w:rPr>
        <w:t>BS channel bandwidth</w:t>
      </w:r>
      <w:r>
        <w:t xml:space="preserve"> apply to </w:t>
      </w:r>
      <w:r>
        <w:rPr>
          <w:i/>
        </w:rPr>
        <w:t>IAB-DU channel bandwidth</w:t>
      </w:r>
      <w:r>
        <w:t>.</w:t>
      </w:r>
    </w:p>
    <w:p w14:paraId="475F48ED" w14:textId="7835CEFA" w:rsidR="00414A70" w:rsidRDefault="00414A70" w:rsidP="00414A70">
      <w:r>
        <w:t xml:space="preserve">The medium range IAB-DU </w:t>
      </w:r>
      <w:r>
        <w:rPr>
          <w:rFonts w:eastAsia="SimSun" w:hint="eastAsia"/>
          <w:lang w:val="en-US" w:eastAsia="zh-CN"/>
        </w:rPr>
        <w:t>receiver in-channel selectivity requirement</w:t>
      </w:r>
      <w:r>
        <w:t xml:space="preserve"> is specified the same as the medium range BS  </w:t>
      </w:r>
      <w:r>
        <w:rPr>
          <w:rFonts w:eastAsia="SimSun" w:hint="eastAsia"/>
          <w:lang w:val="en-US" w:eastAsia="zh-CN"/>
        </w:rPr>
        <w:t>receiver in-channel selectivity requirement</w:t>
      </w:r>
      <w:r>
        <w:t xml:space="preserve"> for BS</w:t>
      </w:r>
      <w:r>
        <w:rPr>
          <w:i/>
        </w:rPr>
        <w:t xml:space="preserve"> type 1-</w:t>
      </w:r>
      <w:r>
        <w:rPr>
          <w:rFonts w:eastAsia="SimSun" w:hint="eastAsia"/>
          <w:i/>
          <w:lang w:val="en-US" w:eastAsia="zh-CN"/>
        </w:rPr>
        <w:t>O</w:t>
      </w:r>
      <w:r>
        <w:t xml:space="preserve"> in TS 38.104[</w:t>
      </w:r>
      <w:r w:rsidR="00A4061E">
        <w:t>2</w:t>
      </w:r>
      <w:r>
        <w:t xml:space="preserve">], subclause </w:t>
      </w:r>
      <w:r>
        <w:rPr>
          <w:rFonts w:eastAsia="SimSun" w:hint="eastAsia"/>
          <w:lang w:val="en-US" w:eastAsia="zh-CN"/>
        </w:rPr>
        <w:t>10</w:t>
      </w:r>
      <w:r>
        <w:t>.</w:t>
      </w:r>
      <w:r>
        <w:rPr>
          <w:rFonts w:eastAsia="SimSun" w:hint="eastAsia"/>
          <w:lang w:val="en-US" w:eastAsia="zh-CN"/>
        </w:rPr>
        <w:t>9</w:t>
      </w:r>
      <w:r>
        <w:t xml:space="preserve">.2, where references to </w:t>
      </w:r>
      <w:r>
        <w:rPr>
          <w:i/>
        </w:rPr>
        <w:t>BS channel bandwidth</w:t>
      </w:r>
      <w:r>
        <w:t xml:space="preserve"> apply to </w:t>
      </w:r>
      <w:r>
        <w:rPr>
          <w:i/>
        </w:rPr>
        <w:t>IAB-DU channel bandwidth</w:t>
      </w:r>
      <w:r>
        <w:t>.</w:t>
      </w:r>
    </w:p>
    <w:p w14:paraId="2D7D900E" w14:textId="0F4C5B61" w:rsidR="00414A70" w:rsidRDefault="00414A70" w:rsidP="00414A70">
      <w:r>
        <w:t xml:space="preserve">The local area IAB-DU </w:t>
      </w:r>
      <w:r>
        <w:rPr>
          <w:rFonts w:eastAsia="SimSun" w:hint="eastAsia"/>
          <w:lang w:val="en-US" w:eastAsia="zh-CN"/>
        </w:rPr>
        <w:t>receiver in-channel selectivity requirement</w:t>
      </w:r>
      <w:r>
        <w:t xml:space="preserve"> is specified the same as the local area BS  </w:t>
      </w:r>
      <w:r>
        <w:rPr>
          <w:rFonts w:eastAsia="SimSun" w:hint="eastAsia"/>
          <w:lang w:val="en-US" w:eastAsia="zh-CN"/>
        </w:rPr>
        <w:t>receiver in-channel selectivity requirement</w:t>
      </w:r>
      <w:r>
        <w:t xml:space="preserve"> for BS</w:t>
      </w:r>
      <w:r>
        <w:rPr>
          <w:i/>
        </w:rPr>
        <w:t xml:space="preserve"> type 1-</w:t>
      </w:r>
      <w:r>
        <w:rPr>
          <w:rFonts w:eastAsia="SimSun" w:hint="eastAsia"/>
          <w:i/>
          <w:lang w:val="en-US" w:eastAsia="zh-CN"/>
        </w:rPr>
        <w:t>O</w:t>
      </w:r>
      <w:r>
        <w:t xml:space="preserve"> in TS 38.104[</w:t>
      </w:r>
      <w:r w:rsidR="00A4061E">
        <w:t>2</w:t>
      </w:r>
      <w:r>
        <w:t xml:space="preserve">], subclause </w:t>
      </w:r>
      <w:r>
        <w:rPr>
          <w:rFonts w:eastAsia="SimSun" w:hint="eastAsia"/>
          <w:lang w:val="en-US" w:eastAsia="zh-CN"/>
        </w:rPr>
        <w:t>10</w:t>
      </w:r>
      <w:r>
        <w:t>.</w:t>
      </w:r>
      <w:r>
        <w:rPr>
          <w:rFonts w:eastAsia="SimSun" w:hint="eastAsia"/>
          <w:lang w:val="en-US" w:eastAsia="zh-CN"/>
        </w:rPr>
        <w:t>9</w:t>
      </w:r>
      <w:r>
        <w:t xml:space="preserve">.2, where references to </w:t>
      </w:r>
      <w:r>
        <w:rPr>
          <w:i/>
        </w:rPr>
        <w:t>BS channel bandwidth</w:t>
      </w:r>
      <w:r>
        <w:t xml:space="preserve"> apply to </w:t>
      </w:r>
      <w:r>
        <w:rPr>
          <w:i/>
        </w:rPr>
        <w:t>IAB-DU channel bandwidth</w:t>
      </w:r>
      <w:r>
        <w:t>.</w:t>
      </w:r>
    </w:p>
    <w:p w14:paraId="744E1625" w14:textId="194B67F8" w:rsidR="00BF396B" w:rsidRDefault="00BF396B" w:rsidP="00BF396B">
      <w:pPr>
        <w:pStyle w:val="Heading3"/>
        <w:rPr>
          <w:rFonts w:eastAsia="SimSun"/>
          <w:i/>
          <w:iCs/>
          <w:lang w:val="en-US" w:eastAsia="zh-CN"/>
        </w:rPr>
      </w:pPr>
      <w:bookmarkStart w:id="7086" w:name="_Toc53185577"/>
      <w:bookmarkStart w:id="7087" w:name="_Toc53185953"/>
      <w:bookmarkStart w:id="7088" w:name="_Toc57820439"/>
      <w:bookmarkStart w:id="7089" w:name="_Toc57821366"/>
      <w:bookmarkStart w:id="7090" w:name="_Toc61183642"/>
      <w:bookmarkStart w:id="7091" w:name="_Toc61184036"/>
      <w:bookmarkStart w:id="7092" w:name="_Toc61184428"/>
      <w:bookmarkStart w:id="7093" w:name="_Toc61184820"/>
      <w:bookmarkStart w:id="7094" w:name="_Toc61185210"/>
      <w:bookmarkStart w:id="7095" w:name="_Toc66386555"/>
      <w:bookmarkStart w:id="7096" w:name="_Toc74583458"/>
      <w:bookmarkStart w:id="7097" w:name="_Toc76542271"/>
      <w:bookmarkStart w:id="7098" w:name="_Toc82450253"/>
      <w:bookmarkStart w:id="7099" w:name="_Toc82450901"/>
      <w:bookmarkStart w:id="7100" w:name="_Toc89949290"/>
      <w:bookmarkStart w:id="7101" w:name="_Toc98755679"/>
      <w:bookmarkStart w:id="7102" w:name="_Toc98763271"/>
      <w:bookmarkStart w:id="7103" w:name="_Toc106184200"/>
      <w:bookmarkEnd w:id="7085"/>
      <w:r>
        <w:t>10.9.</w:t>
      </w:r>
      <w:r>
        <w:rPr>
          <w:rFonts w:eastAsia="SimSun" w:hint="eastAsia"/>
          <w:lang w:val="en-US" w:eastAsia="zh-CN"/>
        </w:rPr>
        <w:t>3</w:t>
      </w:r>
      <w:r w:rsidR="00255E64" w:rsidRPr="007E346D">
        <w:tab/>
      </w:r>
      <w:r>
        <w:rPr>
          <w:rFonts w:eastAsia="SimSun" w:hint="eastAsia"/>
          <w:lang w:val="en-US" w:eastAsia="zh-CN"/>
        </w:rPr>
        <w:t xml:space="preserve">Minimum requirement for </w:t>
      </w:r>
      <w:r>
        <w:rPr>
          <w:rFonts w:eastAsia="SimSun" w:hint="eastAsia"/>
          <w:i/>
          <w:iCs/>
          <w:lang w:val="en-US" w:eastAsia="zh-CN"/>
        </w:rPr>
        <w:t>IAB-DU type 2-O</w:t>
      </w:r>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p>
    <w:p w14:paraId="72B48F8F" w14:textId="3823004C" w:rsidR="00BF396B" w:rsidRDefault="00BF396B" w:rsidP="00BF396B">
      <w:r>
        <w:t xml:space="preserve">The wide area IAB-DU </w:t>
      </w:r>
      <w:r>
        <w:rPr>
          <w:rFonts w:eastAsia="SimSun" w:hint="eastAsia"/>
          <w:lang w:val="en-US" w:eastAsia="zh-CN"/>
        </w:rPr>
        <w:t>receiver in-channel selectivity requirement</w:t>
      </w:r>
      <w:r>
        <w:t xml:space="preserve"> is specified the same as the wide area </w:t>
      </w:r>
      <w:r>
        <w:rPr>
          <w:rFonts w:eastAsia="SimSun" w:hint="eastAsia"/>
          <w:lang w:val="en-US" w:eastAsia="zh-CN"/>
        </w:rPr>
        <w:t>receiver in-channel selectivity requirement</w:t>
      </w:r>
      <w:r>
        <w:t xml:space="preserve"> for BS</w:t>
      </w:r>
      <w:r>
        <w:rPr>
          <w:i/>
        </w:rPr>
        <w:t xml:space="preserve"> type </w:t>
      </w:r>
      <w:r>
        <w:rPr>
          <w:rFonts w:eastAsia="SimSun" w:hint="eastAsia"/>
          <w:i/>
          <w:lang w:val="en-US" w:eastAsia="zh-CN"/>
        </w:rPr>
        <w:t>2</w:t>
      </w:r>
      <w:r>
        <w:rPr>
          <w:i/>
        </w:rPr>
        <w:t>-</w:t>
      </w:r>
      <w:r>
        <w:rPr>
          <w:rFonts w:eastAsia="SimSun" w:hint="eastAsia"/>
          <w:i/>
          <w:lang w:val="en-US" w:eastAsia="zh-CN"/>
        </w:rPr>
        <w:t>O</w:t>
      </w:r>
      <w:r>
        <w:t xml:space="preserve"> in TS 38.104[</w:t>
      </w:r>
      <w:r w:rsidR="00A4061E">
        <w:t>2</w:t>
      </w:r>
      <w:r>
        <w:t xml:space="preserve">], subclause </w:t>
      </w:r>
      <w:r>
        <w:rPr>
          <w:rFonts w:eastAsia="SimSun" w:hint="eastAsia"/>
          <w:lang w:val="en-US" w:eastAsia="zh-CN"/>
        </w:rPr>
        <w:t>10</w:t>
      </w:r>
      <w:r>
        <w:t>.</w:t>
      </w:r>
      <w:r>
        <w:rPr>
          <w:rFonts w:eastAsia="SimSun" w:hint="eastAsia"/>
          <w:lang w:val="en-US" w:eastAsia="zh-CN"/>
        </w:rPr>
        <w:t>9</w:t>
      </w:r>
      <w:r>
        <w:t>.</w:t>
      </w:r>
      <w:r>
        <w:rPr>
          <w:rFonts w:eastAsia="SimSun" w:hint="eastAsia"/>
          <w:lang w:val="en-US" w:eastAsia="zh-CN"/>
        </w:rPr>
        <w:t>3</w:t>
      </w:r>
      <w:r>
        <w:t xml:space="preserve">, where references to </w:t>
      </w:r>
      <w:r>
        <w:rPr>
          <w:i/>
        </w:rPr>
        <w:t>BS channel bandwidth</w:t>
      </w:r>
      <w:r>
        <w:t xml:space="preserve"> apply to </w:t>
      </w:r>
      <w:r>
        <w:rPr>
          <w:i/>
        </w:rPr>
        <w:t>IAB-DU channel bandwidth</w:t>
      </w:r>
      <w:r>
        <w:t>.</w:t>
      </w:r>
    </w:p>
    <w:p w14:paraId="13F4668D" w14:textId="42ED4975" w:rsidR="00BF396B" w:rsidRDefault="00BF396B" w:rsidP="00BF396B">
      <w:r>
        <w:t xml:space="preserve">The medium range IAB-DU </w:t>
      </w:r>
      <w:r>
        <w:rPr>
          <w:rFonts w:eastAsia="SimSun" w:hint="eastAsia"/>
          <w:lang w:val="en-US" w:eastAsia="zh-CN"/>
        </w:rPr>
        <w:t>receiver in-channel selectivity requirement</w:t>
      </w:r>
      <w:r>
        <w:t xml:space="preserve"> is specified the same as the medium range BS  </w:t>
      </w:r>
      <w:r>
        <w:rPr>
          <w:rFonts w:eastAsia="SimSun" w:hint="eastAsia"/>
          <w:lang w:val="en-US" w:eastAsia="zh-CN"/>
        </w:rPr>
        <w:t>receiver in-channel selectivity requirement</w:t>
      </w:r>
      <w:r>
        <w:t xml:space="preserve"> for BS</w:t>
      </w:r>
      <w:r>
        <w:rPr>
          <w:i/>
        </w:rPr>
        <w:t xml:space="preserve"> type </w:t>
      </w:r>
      <w:r>
        <w:rPr>
          <w:rFonts w:eastAsia="SimSun" w:hint="eastAsia"/>
          <w:i/>
          <w:lang w:val="en-US" w:eastAsia="zh-CN"/>
        </w:rPr>
        <w:t>2</w:t>
      </w:r>
      <w:r>
        <w:rPr>
          <w:i/>
        </w:rPr>
        <w:t>-</w:t>
      </w:r>
      <w:r>
        <w:rPr>
          <w:rFonts w:eastAsia="SimSun" w:hint="eastAsia"/>
          <w:i/>
          <w:lang w:val="en-US" w:eastAsia="zh-CN"/>
        </w:rPr>
        <w:t>O</w:t>
      </w:r>
      <w:r>
        <w:t xml:space="preserve"> in TS 38.104[</w:t>
      </w:r>
      <w:r w:rsidR="00A4061E">
        <w:t>2</w:t>
      </w:r>
      <w:r>
        <w:t xml:space="preserve">], subclause </w:t>
      </w:r>
      <w:r>
        <w:rPr>
          <w:rFonts w:eastAsia="SimSun" w:hint="eastAsia"/>
          <w:lang w:val="en-US" w:eastAsia="zh-CN"/>
        </w:rPr>
        <w:t>10</w:t>
      </w:r>
      <w:r>
        <w:t>.</w:t>
      </w:r>
      <w:r>
        <w:rPr>
          <w:rFonts w:eastAsia="SimSun" w:hint="eastAsia"/>
          <w:lang w:val="en-US" w:eastAsia="zh-CN"/>
        </w:rPr>
        <w:t>9</w:t>
      </w:r>
      <w:r>
        <w:t>.</w:t>
      </w:r>
      <w:r>
        <w:rPr>
          <w:rFonts w:eastAsia="SimSun" w:hint="eastAsia"/>
          <w:lang w:val="en-US" w:eastAsia="zh-CN"/>
        </w:rPr>
        <w:t>3</w:t>
      </w:r>
      <w:r>
        <w:t xml:space="preserve">, where references to </w:t>
      </w:r>
      <w:r>
        <w:rPr>
          <w:i/>
        </w:rPr>
        <w:t>BS channel bandwidth</w:t>
      </w:r>
      <w:r>
        <w:t xml:space="preserve"> apply to </w:t>
      </w:r>
      <w:r>
        <w:rPr>
          <w:i/>
        </w:rPr>
        <w:t>IAB-DU channel bandwidth</w:t>
      </w:r>
      <w:r>
        <w:t>.</w:t>
      </w:r>
    </w:p>
    <w:p w14:paraId="459A25E8" w14:textId="4A67F2EB" w:rsidR="00721B4D" w:rsidRPr="00721B4D" w:rsidRDefault="00BF396B" w:rsidP="00AD2A23">
      <w:r>
        <w:t xml:space="preserve">The local area IAB-DU </w:t>
      </w:r>
      <w:r>
        <w:rPr>
          <w:rFonts w:eastAsia="SimSun" w:hint="eastAsia"/>
          <w:lang w:val="en-US" w:eastAsia="zh-CN"/>
        </w:rPr>
        <w:t>receiver in-channel selectivity requirement</w:t>
      </w:r>
      <w:r>
        <w:t xml:space="preserve"> is specified the same as the local area BS  </w:t>
      </w:r>
      <w:r>
        <w:rPr>
          <w:rFonts w:eastAsia="SimSun" w:hint="eastAsia"/>
          <w:lang w:val="en-US" w:eastAsia="zh-CN"/>
        </w:rPr>
        <w:t>receiver in-channel selectivity requirement</w:t>
      </w:r>
      <w:r>
        <w:t xml:space="preserve"> for BS</w:t>
      </w:r>
      <w:r>
        <w:rPr>
          <w:i/>
        </w:rPr>
        <w:t xml:space="preserve"> type </w:t>
      </w:r>
      <w:r>
        <w:rPr>
          <w:rFonts w:eastAsia="SimSun" w:hint="eastAsia"/>
          <w:i/>
          <w:lang w:val="en-US" w:eastAsia="zh-CN"/>
        </w:rPr>
        <w:t>2</w:t>
      </w:r>
      <w:r>
        <w:rPr>
          <w:i/>
        </w:rPr>
        <w:t>-</w:t>
      </w:r>
      <w:r>
        <w:rPr>
          <w:rFonts w:eastAsia="SimSun" w:hint="eastAsia"/>
          <w:i/>
          <w:lang w:val="en-US" w:eastAsia="zh-CN"/>
        </w:rPr>
        <w:t>O</w:t>
      </w:r>
      <w:r>
        <w:t xml:space="preserve"> in TS 38.104[</w:t>
      </w:r>
      <w:r w:rsidR="00A4061E">
        <w:t>2</w:t>
      </w:r>
      <w:r>
        <w:t xml:space="preserve">], subclause </w:t>
      </w:r>
      <w:r>
        <w:rPr>
          <w:rFonts w:eastAsia="SimSun" w:hint="eastAsia"/>
          <w:lang w:val="en-US" w:eastAsia="zh-CN"/>
        </w:rPr>
        <w:t>10</w:t>
      </w:r>
      <w:r>
        <w:t>.</w:t>
      </w:r>
      <w:r>
        <w:rPr>
          <w:rFonts w:eastAsia="SimSun" w:hint="eastAsia"/>
          <w:lang w:val="en-US" w:eastAsia="zh-CN"/>
        </w:rPr>
        <w:t>9</w:t>
      </w:r>
      <w:r>
        <w:t>.</w:t>
      </w:r>
      <w:r>
        <w:rPr>
          <w:rFonts w:eastAsia="SimSun" w:hint="eastAsia"/>
          <w:lang w:val="en-US" w:eastAsia="zh-CN"/>
        </w:rPr>
        <w:t>3</w:t>
      </w:r>
      <w:r>
        <w:t xml:space="preserve">, where references to </w:t>
      </w:r>
      <w:r>
        <w:rPr>
          <w:i/>
        </w:rPr>
        <w:t>BS channel bandwidth</w:t>
      </w:r>
      <w:r>
        <w:t xml:space="preserve"> apply to </w:t>
      </w:r>
      <w:r>
        <w:rPr>
          <w:i/>
        </w:rPr>
        <w:t>IAB-DU channel bandwidth</w:t>
      </w:r>
      <w:r>
        <w:t>.</w:t>
      </w:r>
    </w:p>
    <w:p w14:paraId="12B4CED2" w14:textId="77777777" w:rsidR="00077B6E" w:rsidRPr="007E346D" w:rsidRDefault="00077B6E" w:rsidP="00077B6E">
      <w:pPr>
        <w:pStyle w:val="Heading1"/>
      </w:pPr>
      <w:bookmarkStart w:id="7104" w:name="_Toc53185578"/>
      <w:bookmarkStart w:id="7105" w:name="_Toc53185954"/>
      <w:bookmarkStart w:id="7106" w:name="_Toc57820440"/>
      <w:bookmarkStart w:id="7107" w:name="_Toc57821367"/>
      <w:bookmarkStart w:id="7108" w:name="_Toc61183643"/>
      <w:bookmarkStart w:id="7109" w:name="_Toc61184037"/>
      <w:bookmarkStart w:id="7110" w:name="_Toc61184429"/>
      <w:bookmarkStart w:id="7111" w:name="_Toc61184821"/>
      <w:bookmarkStart w:id="7112" w:name="_Toc61185211"/>
      <w:bookmarkStart w:id="7113" w:name="_Toc66386556"/>
      <w:bookmarkStart w:id="7114" w:name="_Toc74583459"/>
      <w:bookmarkStart w:id="7115" w:name="_Toc76542272"/>
      <w:bookmarkStart w:id="7116" w:name="_Toc82450254"/>
      <w:bookmarkStart w:id="7117" w:name="_Toc82450902"/>
      <w:bookmarkStart w:id="7118" w:name="_Toc89949291"/>
      <w:bookmarkStart w:id="7119" w:name="_Toc98755680"/>
      <w:bookmarkStart w:id="7120" w:name="_Toc98763272"/>
      <w:bookmarkStart w:id="7121" w:name="_Toc106184201"/>
      <w:r w:rsidRPr="007E346D">
        <w:t>11</w:t>
      </w:r>
      <w:r w:rsidRPr="007E346D">
        <w:tab/>
        <w:t>Radiated performance requirements</w:t>
      </w:r>
      <w:bookmarkEnd w:id="7065"/>
      <w:bookmarkEnd w:id="7066"/>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p>
    <w:p w14:paraId="6C12839E" w14:textId="77777777" w:rsidR="00241417" w:rsidRPr="009737E0" w:rsidRDefault="00241417" w:rsidP="00241417">
      <w:pPr>
        <w:pStyle w:val="Heading2"/>
      </w:pPr>
      <w:bookmarkStart w:id="7122" w:name="_Toc67916520"/>
      <w:bookmarkStart w:id="7123" w:name="_Toc61176697"/>
      <w:bookmarkStart w:id="7124" w:name="_Toc53178063"/>
      <w:bookmarkStart w:id="7125" w:name="_Toc53177611"/>
      <w:bookmarkStart w:id="7126" w:name="_Toc45893447"/>
      <w:bookmarkStart w:id="7127" w:name="_Toc37268796"/>
      <w:bookmarkStart w:id="7128" w:name="_Toc37268345"/>
      <w:bookmarkStart w:id="7129" w:name="_Toc29811390"/>
      <w:bookmarkStart w:id="7130" w:name="_Toc13079901"/>
      <w:bookmarkStart w:id="7131" w:name="_Toc74583460"/>
      <w:bookmarkStart w:id="7132" w:name="_Toc76542273"/>
      <w:bookmarkStart w:id="7133" w:name="_Toc82450255"/>
      <w:bookmarkStart w:id="7134" w:name="_Toc82450903"/>
      <w:bookmarkStart w:id="7135" w:name="_Toc89949292"/>
      <w:bookmarkStart w:id="7136" w:name="_Toc98755681"/>
      <w:bookmarkStart w:id="7137" w:name="_Toc98763273"/>
      <w:bookmarkStart w:id="7138" w:name="_Toc106184202"/>
      <w:bookmarkStart w:id="7139" w:name="_Toc53185579"/>
      <w:bookmarkStart w:id="7140" w:name="_Toc53185955"/>
      <w:bookmarkStart w:id="7141" w:name="_Toc57820441"/>
      <w:bookmarkStart w:id="7142" w:name="_Toc57821368"/>
      <w:bookmarkStart w:id="7143" w:name="_Toc61183644"/>
      <w:bookmarkStart w:id="7144" w:name="_Toc61184038"/>
      <w:bookmarkStart w:id="7145" w:name="_Toc61184430"/>
      <w:bookmarkStart w:id="7146" w:name="_Toc61184822"/>
      <w:bookmarkStart w:id="7147" w:name="_Toc61185212"/>
      <w:bookmarkStart w:id="7148" w:name="_Toc66386557"/>
      <w:r w:rsidRPr="009737E0">
        <w:t>11.1</w:t>
      </w:r>
      <w:r w:rsidRPr="009737E0">
        <w:tab/>
      </w:r>
      <w:bookmarkEnd w:id="7122"/>
      <w:bookmarkEnd w:id="7123"/>
      <w:bookmarkEnd w:id="7124"/>
      <w:bookmarkEnd w:id="7125"/>
      <w:bookmarkEnd w:id="7126"/>
      <w:bookmarkEnd w:id="7127"/>
      <w:bookmarkEnd w:id="7128"/>
      <w:bookmarkEnd w:id="7129"/>
      <w:bookmarkEnd w:id="7130"/>
      <w:r w:rsidRPr="009737E0">
        <w:t xml:space="preserve">IAB-DU </w:t>
      </w:r>
      <w:r>
        <w:t>p</w:t>
      </w:r>
      <w:r w:rsidRPr="00241AB2">
        <w:t xml:space="preserve">erformance </w:t>
      </w:r>
      <w:r w:rsidRPr="009737E0">
        <w:t>requirements</w:t>
      </w:r>
      <w:bookmarkEnd w:id="7131"/>
      <w:bookmarkEnd w:id="7132"/>
      <w:bookmarkEnd w:id="7133"/>
      <w:bookmarkEnd w:id="7134"/>
      <w:bookmarkEnd w:id="7135"/>
      <w:bookmarkEnd w:id="7136"/>
      <w:bookmarkEnd w:id="7137"/>
      <w:bookmarkEnd w:id="7138"/>
    </w:p>
    <w:p w14:paraId="1D503D1C" w14:textId="77777777" w:rsidR="00241417" w:rsidRPr="009737E0" w:rsidRDefault="00241417" w:rsidP="00241417">
      <w:pPr>
        <w:pStyle w:val="Heading3"/>
        <w:rPr>
          <w:lang w:eastAsia="zh-CN"/>
        </w:rPr>
      </w:pPr>
      <w:bookmarkStart w:id="7149" w:name="_Toc74583461"/>
      <w:bookmarkStart w:id="7150" w:name="_Toc76542274"/>
      <w:bookmarkStart w:id="7151" w:name="_Toc82450256"/>
      <w:bookmarkStart w:id="7152" w:name="_Toc82450904"/>
      <w:bookmarkStart w:id="7153" w:name="_Toc89949293"/>
      <w:bookmarkStart w:id="7154" w:name="_Toc98755682"/>
      <w:bookmarkStart w:id="7155" w:name="_Toc98763274"/>
      <w:bookmarkStart w:id="7156" w:name="_Toc106184203"/>
      <w:r>
        <w:rPr>
          <w:rFonts w:hint="eastAsia"/>
          <w:lang w:eastAsia="zh-CN"/>
        </w:rPr>
        <w:t>1</w:t>
      </w:r>
      <w:r>
        <w:rPr>
          <w:lang w:eastAsia="zh-CN"/>
        </w:rPr>
        <w:t>1.1.1</w:t>
      </w:r>
      <w:r>
        <w:rPr>
          <w:lang w:eastAsia="zh-CN"/>
        </w:rPr>
        <w:tab/>
        <w:t>General</w:t>
      </w:r>
      <w:bookmarkEnd w:id="7149"/>
      <w:bookmarkEnd w:id="7150"/>
      <w:bookmarkEnd w:id="7151"/>
      <w:bookmarkEnd w:id="7152"/>
      <w:bookmarkEnd w:id="7153"/>
      <w:bookmarkEnd w:id="7154"/>
      <w:bookmarkEnd w:id="7155"/>
      <w:bookmarkEnd w:id="7156"/>
    </w:p>
    <w:p w14:paraId="2A4526A0" w14:textId="77777777" w:rsidR="00241417" w:rsidRPr="00F95B02" w:rsidRDefault="00241417" w:rsidP="00241417">
      <w:pPr>
        <w:rPr>
          <w:lang w:eastAsia="ko-KR"/>
        </w:rPr>
      </w:pPr>
      <w:r w:rsidRPr="00F95B02">
        <w:rPr>
          <w:lang w:eastAsia="ko-KR"/>
        </w:rPr>
        <w:t xml:space="preserve">Radiated performance requirements specify the ability of </w:t>
      </w:r>
      <w:r w:rsidRPr="00502B86">
        <w:rPr>
          <w:lang w:eastAsia="ko-KR"/>
        </w:rPr>
        <w:t>the</w:t>
      </w:r>
      <w:r w:rsidRPr="00F95B02">
        <w:rPr>
          <w:lang w:eastAsia="ko-KR"/>
        </w:rPr>
        <w:t xml:space="preserve"> </w:t>
      </w:r>
      <w:r>
        <w:rPr>
          <w:i/>
          <w:lang w:eastAsia="ko-KR"/>
        </w:rPr>
        <w:t>IAB-DU</w:t>
      </w:r>
      <w:r w:rsidRPr="00F95B02">
        <w:rPr>
          <w:i/>
          <w:lang w:eastAsia="ko-KR"/>
        </w:rPr>
        <w:t xml:space="preserve"> type 1-O</w:t>
      </w:r>
      <w:r w:rsidRPr="00F95B02">
        <w:rPr>
          <w:lang w:eastAsia="ko-KR"/>
        </w:rPr>
        <w:t xml:space="preserve"> or </w:t>
      </w:r>
      <w:r>
        <w:rPr>
          <w:i/>
          <w:lang w:eastAsia="ko-KR"/>
        </w:rPr>
        <w:t>IAB-DU</w:t>
      </w:r>
      <w:r w:rsidRPr="00F95B02">
        <w:rPr>
          <w:i/>
          <w:lang w:eastAsia="ko-KR"/>
        </w:rPr>
        <w:t xml:space="preserve"> type 2-O</w:t>
      </w:r>
      <w:r w:rsidRPr="00F95B02">
        <w:rPr>
          <w:lang w:eastAsia="ko-KR"/>
        </w:rPr>
        <w:t xml:space="preserve"> to correctly demodulate radiated signals in various conditions and configurations. Radiated performance requirements are specified at the RIB</w:t>
      </w:r>
      <w:r w:rsidRPr="00F95B02">
        <w:t>.</w:t>
      </w:r>
    </w:p>
    <w:p w14:paraId="39E79E98" w14:textId="56B46B38" w:rsidR="00241417" w:rsidRPr="00F95B02" w:rsidRDefault="00241417" w:rsidP="00241417">
      <w:pPr>
        <w:rPr>
          <w:lang w:eastAsia="ko-KR"/>
        </w:rPr>
      </w:pPr>
      <w:r w:rsidRPr="00F95B02">
        <w:t xml:space="preserve">Radiated performance requirements for </w:t>
      </w:r>
      <w:r w:rsidRPr="00502B86">
        <w:t>the</w:t>
      </w:r>
      <w:r w:rsidRPr="00F95B02">
        <w:t xml:space="preserve"> </w:t>
      </w:r>
      <w:r>
        <w:t>IAB-DU</w:t>
      </w:r>
      <w:r w:rsidRPr="00F95B02">
        <w:t xml:space="preserve"> are specified for the fixed reference channels defined in annex A and the propagation conditions in annex </w:t>
      </w:r>
      <w:r>
        <w:t>TBA</w:t>
      </w:r>
      <w:r w:rsidRPr="00F95B02">
        <w:t xml:space="preserve">. The requirements only apply to those FRCs that are supported by the </w:t>
      </w:r>
      <w:r>
        <w:t>IAB-DU</w:t>
      </w:r>
      <w:r w:rsidRPr="00F95B02">
        <w:t>.</w:t>
      </w:r>
    </w:p>
    <w:p w14:paraId="05BBF83A" w14:textId="77777777" w:rsidR="00241417" w:rsidRPr="00F95B02" w:rsidRDefault="00241417" w:rsidP="00241417">
      <w:r w:rsidRPr="00F95B02">
        <w:rPr>
          <w:lang w:eastAsia="ko-KR"/>
        </w:rPr>
        <w:t xml:space="preserve">The radiated performance requirements for </w:t>
      </w:r>
      <w:r>
        <w:rPr>
          <w:i/>
          <w:lang w:eastAsia="ko-KR"/>
        </w:rPr>
        <w:t>IAB-DU</w:t>
      </w:r>
      <w:r w:rsidRPr="00F95B02">
        <w:rPr>
          <w:i/>
          <w:lang w:eastAsia="ko-KR"/>
        </w:rPr>
        <w:t xml:space="preserve"> type 1-O</w:t>
      </w:r>
      <w:r w:rsidRPr="00F95B02">
        <w:rPr>
          <w:lang w:eastAsia="ko-KR"/>
        </w:rPr>
        <w:t xml:space="preserve"> and for </w:t>
      </w:r>
      <w:r>
        <w:rPr>
          <w:i/>
          <w:lang w:eastAsia="ko-KR"/>
        </w:rPr>
        <w:t>IAB-DU</w:t>
      </w:r>
      <w:r w:rsidRPr="00F95B02">
        <w:rPr>
          <w:i/>
          <w:lang w:eastAsia="ko-KR"/>
        </w:rPr>
        <w:t xml:space="preserve"> type 2-O</w:t>
      </w:r>
      <w:r w:rsidRPr="00F95B02">
        <w:rPr>
          <w:lang w:eastAsia="ko-KR"/>
        </w:rPr>
        <w:t xml:space="preserve"> are limited to two OTA </w:t>
      </w:r>
      <w:r w:rsidRPr="00F95B02">
        <w:rPr>
          <w:i/>
          <w:lang w:eastAsia="ko-KR"/>
        </w:rPr>
        <w:t>demodulation branches</w:t>
      </w:r>
      <w:r w:rsidRPr="00F95B02">
        <w:rPr>
          <w:lang w:eastAsia="ko-KR"/>
        </w:rPr>
        <w:t xml:space="preserve"> as described </w:t>
      </w:r>
      <w:r>
        <w:rPr>
          <w:lang w:eastAsia="ko-KR"/>
        </w:rPr>
        <w:t>in clause 11.1.2</w:t>
      </w:r>
      <w:r w:rsidRPr="00F95B02">
        <w:rPr>
          <w:lang w:eastAsia="ko-KR"/>
        </w:rPr>
        <w:t xml:space="preserve">. </w:t>
      </w:r>
      <w:r w:rsidRPr="00F95B02">
        <w:t xml:space="preserve">Conformance requirements can only be tested for 1 or 2 </w:t>
      </w:r>
      <w:r w:rsidRPr="00F95B02">
        <w:rPr>
          <w:i/>
        </w:rPr>
        <w:t>demodulation branches</w:t>
      </w:r>
      <w:r w:rsidRPr="00F95B02">
        <w:t xml:space="preserve"> depending on the number of polarizations supported by the </w:t>
      </w:r>
      <w:r>
        <w:t>IAB-DU</w:t>
      </w:r>
      <w:r w:rsidRPr="00F95B02">
        <w:t>, with the required SNR applied separately per polarization.</w:t>
      </w:r>
    </w:p>
    <w:p w14:paraId="172E75BB" w14:textId="77777777" w:rsidR="00241417" w:rsidRPr="00F95B02" w:rsidRDefault="00241417" w:rsidP="00241417">
      <w:pPr>
        <w:pStyle w:val="NO"/>
      </w:pPr>
      <w:r w:rsidRPr="00F95B02">
        <w:t>NOTE 1:</w:t>
      </w:r>
      <w:r w:rsidRPr="00F95B02">
        <w:tab/>
        <w:t xml:space="preserve">The </w:t>
      </w:r>
      <w:r>
        <w:t>IAB-DU</w:t>
      </w:r>
      <w:r w:rsidRPr="00F95B02">
        <w:t xml:space="preserve"> can support more than 2 </w:t>
      </w:r>
      <w:r w:rsidRPr="00F95B02">
        <w:rPr>
          <w:i/>
        </w:rPr>
        <w:t>demodulation branches</w:t>
      </w:r>
      <w:r w:rsidRPr="00F95B02">
        <w:t xml:space="preserve">, however OTA conformance testing can only be performed for 1 or 2 </w:t>
      </w:r>
      <w:r w:rsidRPr="00F95B02">
        <w:rPr>
          <w:i/>
        </w:rPr>
        <w:t>demodulation branches</w:t>
      </w:r>
      <w:r w:rsidRPr="00F95B02">
        <w:t>.</w:t>
      </w:r>
    </w:p>
    <w:p w14:paraId="6C67444C" w14:textId="77777777" w:rsidR="00241417" w:rsidRPr="00F95B02" w:rsidRDefault="00241417" w:rsidP="00241417">
      <w:pPr>
        <w:rPr>
          <w:rFonts w:cs="v4.2.0"/>
        </w:rPr>
      </w:pPr>
      <w:r w:rsidRPr="00F95B02">
        <w:rPr>
          <w:rFonts w:cs="v4.2.0"/>
          <w:lang w:eastAsia="zh-CN"/>
        </w:rPr>
        <w:t>Unless stated otherwise, r</w:t>
      </w:r>
      <w:r w:rsidRPr="00F95B02">
        <w:rPr>
          <w:lang w:eastAsia="ko-KR"/>
        </w:rPr>
        <w:t xml:space="preserve">adiated performance requirements </w:t>
      </w:r>
      <w:r w:rsidRPr="00F95B02">
        <w:rPr>
          <w:rFonts w:cs="v4.2.0"/>
          <w:lang w:eastAsia="zh-CN"/>
        </w:rPr>
        <w:t xml:space="preserve">apply for a single carrier only. </w:t>
      </w:r>
      <w:r w:rsidRPr="00F95B02">
        <w:rPr>
          <w:lang w:eastAsia="ko-KR"/>
        </w:rPr>
        <w:t xml:space="preserve">Radiated performance requirements </w:t>
      </w:r>
      <w:r w:rsidRPr="00F95B02">
        <w:rPr>
          <w:rFonts w:cs="v4.2.0"/>
          <w:lang w:eastAsia="zh-CN"/>
        </w:rPr>
        <w:t xml:space="preserve">for a </w:t>
      </w:r>
      <w:r>
        <w:rPr>
          <w:rFonts w:cs="v4.2.0"/>
          <w:lang w:eastAsia="zh-CN"/>
        </w:rPr>
        <w:t>IAB-DU</w:t>
      </w:r>
      <w:r w:rsidRPr="00F95B02">
        <w:rPr>
          <w:rFonts w:cs="v4.2.0"/>
          <w:lang w:eastAsia="zh-CN"/>
        </w:rPr>
        <w:t xml:space="preserve"> supporting CA are defined in terms of single carrier requirements.</w:t>
      </w:r>
    </w:p>
    <w:p w14:paraId="50B40EBF" w14:textId="77777777" w:rsidR="00241417" w:rsidRPr="00F95B02" w:rsidRDefault="00241417" w:rsidP="00241417">
      <w:pPr>
        <w:rPr>
          <w:rFonts w:cs="v4.2.0"/>
        </w:rPr>
      </w:pPr>
      <w:r w:rsidRPr="00502B86">
        <w:rPr>
          <w:rFonts w:cs="v4.2.0"/>
        </w:rPr>
        <w:t xml:space="preserve">In tests performed with signal generators a synchronization signal may be provided from the </w:t>
      </w:r>
      <w:r>
        <w:rPr>
          <w:rFonts w:cs="v4.2.0"/>
          <w:lang w:val="en-US"/>
        </w:rPr>
        <w:t>IAB-DU</w:t>
      </w:r>
      <w:r w:rsidRPr="00502B86">
        <w:rPr>
          <w:rFonts w:cs="v4.2.0"/>
        </w:rPr>
        <w:t xml:space="preserve"> to the signal generator, to enable correct timing of the wanted signal.</w:t>
      </w:r>
    </w:p>
    <w:p w14:paraId="26A68809" w14:textId="77777777" w:rsidR="00241417" w:rsidRPr="00F95B02" w:rsidRDefault="00241417" w:rsidP="00241417">
      <w:r w:rsidRPr="00F95B02">
        <w:t xml:space="preserve">Whenever the </w:t>
      </w:r>
      <w:r w:rsidRPr="00F95B02">
        <w:rPr>
          <w:noProof/>
        </w:rPr>
        <w:t>"</w:t>
      </w:r>
      <w:r w:rsidRPr="00F95B02">
        <w:t xml:space="preserve">RX antennas" term is used for the </w:t>
      </w:r>
      <w:r w:rsidRPr="00F95B02">
        <w:rPr>
          <w:lang w:eastAsia="ko-KR"/>
        </w:rPr>
        <w:t>radiated performance requirements description</w:t>
      </w:r>
      <w:r w:rsidRPr="00F95B02">
        <w:t xml:space="preserve">, it shall refer to the </w:t>
      </w:r>
      <w:r w:rsidRPr="00F95B02">
        <w:rPr>
          <w:i/>
        </w:rPr>
        <w:t>demodulation branches</w:t>
      </w:r>
      <w:r w:rsidRPr="00F95B02">
        <w:t xml:space="preserve"> (i.e. not physical antennas of the antenna array).</w:t>
      </w:r>
    </w:p>
    <w:p w14:paraId="5DBD8228" w14:textId="77777777" w:rsidR="00241417" w:rsidRPr="00F95B02" w:rsidRDefault="00241417" w:rsidP="00241417">
      <w:r w:rsidRPr="00F95B02">
        <w:t xml:space="preserve">The SNR used in this clause is </w:t>
      </w:r>
      <w:r w:rsidRPr="00F95B02">
        <w:rPr>
          <w:lang w:eastAsia="zh-CN"/>
        </w:rPr>
        <w:t xml:space="preserve">specified based on a single carrier and </w:t>
      </w:r>
      <w:r w:rsidRPr="00F95B02">
        <w:t>defined as:</w:t>
      </w:r>
    </w:p>
    <w:p w14:paraId="4A371DE9" w14:textId="77777777" w:rsidR="00241417" w:rsidRPr="00F95B02" w:rsidRDefault="00241417" w:rsidP="00241417">
      <w:pPr>
        <w:pStyle w:val="B10"/>
      </w:pPr>
      <w:r w:rsidRPr="00F95B02">
        <w:t>SNR = S / N</w:t>
      </w:r>
    </w:p>
    <w:p w14:paraId="3F834445" w14:textId="77777777" w:rsidR="00241417" w:rsidRPr="00F95B02" w:rsidRDefault="00241417" w:rsidP="00241417">
      <w:r w:rsidRPr="00F95B02">
        <w:lastRenderedPageBreak/>
        <w:t>Where:</w:t>
      </w:r>
    </w:p>
    <w:p w14:paraId="29DECFA1" w14:textId="77777777" w:rsidR="00241417" w:rsidRPr="00F95B02" w:rsidRDefault="00241417" w:rsidP="00241417">
      <w:pPr>
        <w:pStyle w:val="B10"/>
      </w:pPr>
      <w:r w:rsidRPr="00F95B02">
        <w:t>S</w:t>
      </w:r>
      <w:r w:rsidRPr="00F95B02">
        <w:tab/>
        <w:t>is the total signal energy in a slot on a RIB.</w:t>
      </w:r>
    </w:p>
    <w:p w14:paraId="63D00EAE" w14:textId="77777777" w:rsidR="00241417" w:rsidRDefault="00241417" w:rsidP="00241417">
      <w:r w:rsidRPr="00F95B02">
        <w:t>N</w:t>
      </w:r>
      <w:r w:rsidRPr="00F95B02">
        <w:tab/>
        <w:t xml:space="preserve">is the noise energy in a bandwidth corresponding to the </w:t>
      </w:r>
      <w:r w:rsidRPr="00F95B02">
        <w:rPr>
          <w:i/>
        </w:rPr>
        <w:t>transmission bandwidth</w:t>
      </w:r>
      <w:r w:rsidRPr="00F95B02">
        <w:t xml:space="preserve"> over the duration of a slot on a RIB</w:t>
      </w:r>
      <w:r>
        <w:t>.</w:t>
      </w:r>
    </w:p>
    <w:p w14:paraId="3FD01615" w14:textId="77777777" w:rsidR="00241417" w:rsidRDefault="00241417" w:rsidP="00241417"/>
    <w:p w14:paraId="2CEBFA8C" w14:textId="77777777" w:rsidR="00241417" w:rsidRDefault="00241417" w:rsidP="00241417">
      <w:pPr>
        <w:pStyle w:val="Heading3"/>
        <w:rPr>
          <w:lang w:eastAsia="zh-CN"/>
        </w:rPr>
      </w:pPr>
      <w:bookmarkStart w:id="7157" w:name="_Toc74583462"/>
      <w:bookmarkStart w:id="7158" w:name="_Toc76542275"/>
      <w:bookmarkStart w:id="7159" w:name="_Toc82450257"/>
      <w:bookmarkStart w:id="7160" w:name="_Toc82450905"/>
      <w:bookmarkStart w:id="7161" w:name="_Toc89949294"/>
      <w:bookmarkStart w:id="7162" w:name="_Toc98755683"/>
      <w:bookmarkStart w:id="7163" w:name="_Toc98763275"/>
      <w:bookmarkStart w:id="7164" w:name="_Toc106184204"/>
      <w:r>
        <w:rPr>
          <w:rFonts w:hint="eastAsia"/>
          <w:lang w:eastAsia="zh-CN"/>
        </w:rPr>
        <w:t>1</w:t>
      </w:r>
      <w:r>
        <w:rPr>
          <w:lang w:eastAsia="zh-CN"/>
        </w:rPr>
        <w:t>1.1.2</w:t>
      </w:r>
      <w:r>
        <w:rPr>
          <w:lang w:eastAsia="zh-CN"/>
        </w:rPr>
        <w:tab/>
        <w:t>OTA demodulation branches</w:t>
      </w:r>
      <w:bookmarkEnd w:id="7157"/>
      <w:bookmarkEnd w:id="7158"/>
      <w:bookmarkEnd w:id="7159"/>
      <w:bookmarkEnd w:id="7160"/>
      <w:bookmarkEnd w:id="7161"/>
      <w:bookmarkEnd w:id="7162"/>
      <w:bookmarkEnd w:id="7163"/>
      <w:bookmarkEnd w:id="7164"/>
    </w:p>
    <w:p w14:paraId="73F79B4E" w14:textId="77777777" w:rsidR="00241417" w:rsidRPr="00CD4A5D" w:rsidRDefault="00241417" w:rsidP="00241417">
      <w:pPr>
        <w:rPr>
          <w:lang w:val="en-US" w:eastAsia="zh-CN"/>
        </w:rPr>
      </w:pPr>
      <w:r w:rsidRPr="00CD4A5D">
        <w:rPr>
          <w:lang w:val="en-US" w:eastAsia="zh-CN"/>
        </w:rPr>
        <w:t xml:space="preserve">Radiated performance requirements are only specified for up to 2 </w:t>
      </w:r>
      <w:r w:rsidRPr="00CD4A5D">
        <w:rPr>
          <w:i/>
          <w:lang w:val="en-US" w:eastAsia="zh-CN"/>
        </w:rPr>
        <w:t>demodulation branches</w:t>
      </w:r>
      <w:r w:rsidRPr="00CD4A5D">
        <w:rPr>
          <w:lang w:val="en-US" w:eastAsia="zh-CN"/>
        </w:rPr>
        <w:t>.</w:t>
      </w:r>
    </w:p>
    <w:p w14:paraId="7D0E065A" w14:textId="77777777" w:rsidR="00241417" w:rsidRPr="00CD4A5D" w:rsidRDefault="00241417" w:rsidP="00241417">
      <w:r w:rsidRPr="00CD4A5D">
        <w:rPr>
          <w:lang w:val="en-US" w:eastAsia="zh-CN"/>
        </w:rPr>
        <w:t xml:space="preserve">If the </w:t>
      </w:r>
      <w:r w:rsidRPr="00CD4A5D">
        <w:rPr>
          <w:i/>
          <w:lang w:val="en-US" w:eastAsia="zh-CN"/>
        </w:rPr>
        <w:t>IAB-DU type 1-O</w:t>
      </w:r>
      <w:r w:rsidRPr="00CD4A5D">
        <w:rPr>
          <w:lang w:val="en-US" w:eastAsia="zh-CN"/>
        </w:rPr>
        <w:t xml:space="preserve">, or the </w:t>
      </w:r>
      <w:r w:rsidRPr="00CD4A5D">
        <w:rPr>
          <w:i/>
          <w:lang w:val="en-US" w:eastAsia="zh-CN"/>
        </w:rPr>
        <w:t>IAB-DU type 2-O</w:t>
      </w:r>
      <w:r w:rsidRPr="00CD4A5D">
        <w:rPr>
          <w:lang w:val="en-US" w:eastAsia="zh-CN"/>
        </w:rPr>
        <w:t xml:space="preserve"> uses polarization diversity and has the ability to maintain isolation between the signals for each of the </w:t>
      </w:r>
      <w:r w:rsidRPr="00CD4A5D">
        <w:rPr>
          <w:i/>
          <w:iCs/>
          <w:lang w:val="en-US" w:eastAsia="zh-CN"/>
        </w:rPr>
        <w:t>demodulation branches</w:t>
      </w:r>
      <w:r w:rsidRPr="00CD4A5D">
        <w:t xml:space="preserve">, then radiated performance requirements can be tested for up to two </w:t>
      </w:r>
      <w:r w:rsidRPr="00CD4A5D">
        <w:rPr>
          <w:i/>
          <w:iCs/>
          <w:lang w:val="en-US" w:eastAsia="zh-CN"/>
        </w:rPr>
        <w:t>demodulation branches</w:t>
      </w:r>
      <w:r w:rsidRPr="00CD4A5D">
        <w:t xml:space="preserve"> (i.e. 1RX or 2RX test setups). When tested for two </w:t>
      </w:r>
      <w:r w:rsidRPr="00CD4A5D">
        <w:rPr>
          <w:i/>
          <w:iCs/>
          <w:lang w:val="en-US" w:eastAsia="zh-CN"/>
        </w:rPr>
        <w:t>demodulation branches</w:t>
      </w:r>
      <w:r w:rsidRPr="00CD4A5D">
        <w:t>, each demodulation branch maps to one polarization.</w:t>
      </w:r>
    </w:p>
    <w:p w14:paraId="1E16B730" w14:textId="77777777" w:rsidR="00241417" w:rsidRPr="00F95B02" w:rsidRDefault="00241417" w:rsidP="00241417">
      <w:r w:rsidRPr="00CD4A5D">
        <w:t xml:space="preserve">If the </w:t>
      </w:r>
      <w:r w:rsidRPr="00CD4A5D">
        <w:rPr>
          <w:i/>
          <w:iCs/>
          <w:lang w:val="en-US" w:eastAsia="zh-CN"/>
        </w:rPr>
        <w:t>IAB-DU type 1-O</w:t>
      </w:r>
      <w:r w:rsidRPr="00CD4A5D">
        <w:t>,</w:t>
      </w:r>
      <w:r w:rsidRPr="00CD4A5D">
        <w:rPr>
          <w:i/>
          <w:iCs/>
          <w:lang w:val="en-US" w:eastAsia="zh-CN"/>
        </w:rPr>
        <w:t xml:space="preserve"> </w:t>
      </w:r>
      <w:r w:rsidRPr="00CD4A5D">
        <w:t xml:space="preserve">or the </w:t>
      </w:r>
      <w:r w:rsidRPr="00CD4A5D">
        <w:rPr>
          <w:i/>
          <w:iCs/>
          <w:lang w:val="en-US" w:eastAsia="zh-CN"/>
        </w:rPr>
        <w:t xml:space="preserve">IAB-DU type 2-O </w:t>
      </w:r>
      <w:r w:rsidRPr="00CD4A5D">
        <w:t xml:space="preserve">does not use polarization diversity then radiated performance requirements can only be tested for a single </w:t>
      </w:r>
      <w:r w:rsidRPr="00CD4A5D">
        <w:rPr>
          <w:i/>
          <w:iCs/>
          <w:lang w:val="en-US" w:eastAsia="zh-CN"/>
        </w:rPr>
        <w:t>demodulation branch</w:t>
      </w:r>
      <w:r w:rsidRPr="00CD4A5D">
        <w:t xml:space="preserve"> (i.e. 1RX test </w:t>
      </w:r>
      <w:r w:rsidRPr="00CD4A5D">
        <w:rPr>
          <w:lang w:val="en-US" w:eastAsia="zh-CN"/>
        </w:rPr>
        <w:t>setup).</w:t>
      </w:r>
    </w:p>
    <w:p w14:paraId="687E7617" w14:textId="77777777" w:rsidR="00241417" w:rsidRDefault="00241417" w:rsidP="00241417"/>
    <w:p w14:paraId="56853F66" w14:textId="77777777" w:rsidR="00241417" w:rsidRPr="009737E0" w:rsidRDefault="00241417" w:rsidP="00241417">
      <w:pPr>
        <w:pStyle w:val="Heading3"/>
        <w:rPr>
          <w:lang w:eastAsia="zh-CN"/>
        </w:rPr>
      </w:pPr>
      <w:bookmarkStart w:id="7165" w:name="_Toc74583463"/>
      <w:bookmarkStart w:id="7166" w:name="_Toc76542276"/>
      <w:bookmarkStart w:id="7167" w:name="_Toc82450258"/>
      <w:bookmarkStart w:id="7168" w:name="_Toc82450906"/>
      <w:bookmarkStart w:id="7169" w:name="_Toc89949295"/>
      <w:bookmarkStart w:id="7170" w:name="_Toc98755684"/>
      <w:bookmarkStart w:id="7171" w:name="_Toc98763276"/>
      <w:bookmarkStart w:id="7172" w:name="_Toc106184205"/>
      <w:bookmarkStart w:id="7173" w:name="_Toc67916524"/>
      <w:bookmarkStart w:id="7174" w:name="_Toc61176701"/>
      <w:bookmarkStart w:id="7175" w:name="_Toc53178067"/>
      <w:bookmarkStart w:id="7176" w:name="_Toc53177615"/>
      <w:bookmarkStart w:id="7177" w:name="_Toc45893451"/>
      <w:bookmarkStart w:id="7178" w:name="_Toc37268800"/>
      <w:bookmarkStart w:id="7179" w:name="_Toc37268349"/>
      <w:bookmarkStart w:id="7180" w:name="_Toc29811394"/>
      <w:bookmarkStart w:id="7181" w:name="_Toc13079905"/>
      <w:r>
        <w:rPr>
          <w:rFonts w:hint="eastAsia"/>
          <w:lang w:eastAsia="zh-CN"/>
        </w:rPr>
        <w:t>1</w:t>
      </w:r>
      <w:r>
        <w:rPr>
          <w:lang w:eastAsia="zh-CN"/>
        </w:rPr>
        <w:t>1.1.2</w:t>
      </w:r>
      <w:r>
        <w:rPr>
          <w:rFonts w:asciiTheme="minorHAnsi" w:hAnsi="Calibri" w:cstheme="minorBidi"/>
          <w:color w:val="000000" w:themeColor="text1"/>
          <w:kern w:val="24"/>
          <w:sz w:val="22"/>
          <w:szCs w:val="22"/>
          <w:lang w:val="sv-SE"/>
        </w:rPr>
        <w:tab/>
      </w:r>
      <w:r w:rsidRPr="009737E0">
        <w:rPr>
          <w:lang w:val="sv-SE" w:eastAsia="zh-CN"/>
        </w:rPr>
        <w:t>Performance requirements for PUSCH</w:t>
      </w:r>
      <w:bookmarkEnd w:id="7165"/>
      <w:bookmarkEnd w:id="7166"/>
      <w:bookmarkEnd w:id="7167"/>
      <w:bookmarkEnd w:id="7168"/>
      <w:bookmarkEnd w:id="7169"/>
      <w:bookmarkEnd w:id="7170"/>
      <w:bookmarkEnd w:id="7171"/>
      <w:bookmarkEnd w:id="7172"/>
    </w:p>
    <w:p w14:paraId="50DE0D3C" w14:textId="77777777" w:rsidR="00241417" w:rsidRDefault="00241417" w:rsidP="00241417">
      <w:pPr>
        <w:pStyle w:val="Heading4"/>
        <w:rPr>
          <w:noProof/>
        </w:rPr>
      </w:pPr>
      <w:bookmarkStart w:id="7182" w:name="_Toc67916525"/>
      <w:bookmarkStart w:id="7183" w:name="_Toc61176702"/>
      <w:bookmarkStart w:id="7184" w:name="_Toc53178068"/>
      <w:bookmarkStart w:id="7185" w:name="_Toc53177616"/>
      <w:bookmarkStart w:id="7186" w:name="_Toc45893452"/>
      <w:bookmarkStart w:id="7187" w:name="_Toc37268801"/>
      <w:bookmarkStart w:id="7188" w:name="_Toc37268350"/>
      <w:bookmarkStart w:id="7189" w:name="_Toc29811846"/>
      <w:bookmarkStart w:id="7190" w:name="_Toc29811395"/>
      <w:bookmarkStart w:id="7191" w:name="_Toc13079906"/>
      <w:bookmarkStart w:id="7192" w:name="_Toc74583464"/>
      <w:bookmarkStart w:id="7193" w:name="_Toc76542277"/>
      <w:bookmarkStart w:id="7194" w:name="_Toc82450259"/>
      <w:bookmarkStart w:id="7195" w:name="_Toc82450907"/>
      <w:bookmarkStart w:id="7196" w:name="_Toc89949296"/>
      <w:bookmarkStart w:id="7197" w:name="_Toc98755685"/>
      <w:bookmarkStart w:id="7198" w:name="_Toc98763277"/>
      <w:bookmarkStart w:id="7199" w:name="_Toc106184206"/>
      <w:bookmarkEnd w:id="7173"/>
      <w:bookmarkEnd w:id="7174"/>
      <w:bookmarkEnd w:id="7175"/>
      <w:bookmarkEnd w:id="7176"/>
      <w:bookmarkEnd w:id="7177"/>
      <w:bookmarkEnd w:id="7178"/>
      <w:bookmarkEnd w:id="7179"/>
      <w:bookmarkEnd w:id="7180"/>
      <w:bookmarkEnd w:id="7181"/>
      <w:r>
        <w:rPr>
          <w:noProof/>
        </w:rPr>
        <w:t>11.1.</w:t>
      </w:r>
      <w:r>
        <w:rPr>
          <w:rFonts w:eastAsia="DengXian"/>
          <w:noProof/>
          <w:lang w:eastAsia="zh-CN"/>
        </w:rPr>
        <w:t>2</w:t>
      </w:r>
      <w:r>
        <w:rPr>
          <w:noProof/>
        </w:rPr>
        <w:t>.1</w:t>
      </w:r>
      <w:r>
        <w:rPr>
          <w:noProof/>
        </w:rPr>
        <w:tab/>
      </w:r>
      <w:r w:rsidRPr="009737E0">
        <w:rPr>
          <w:noProof/>
        </w:rPr>
        <w:t xml:space="preserve">Performance </w:t>
      </w:r>
      <w:r>
        <w:rPr>
          <w:noProof/>
        </w:rPr>
        <w:t xml:space="preserve">requirements </w:t>
      </w:r>
      <w:r>
        <w:t xml:space="preserve">for </w:t>
      </w:r>
      <w:r>
        <w:rPr>
          <w:i/>
        </w:rPr>
        <w:t>IAB type 1-O</w:t>
      </w:r>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p>
    <w:p w14:paraId="71AEA730" w14:textId="77777777" w:rsidR="00241417" w:rsidRDefault="00241417" w:rsidP="00241417">
      <w:pPr>
        <w:pStyle w:val="Heading5"/>
      </w:pPr>
      <w:bookmarkStart w:id="7200" w:name="_Toc67916526"/>
      <w:bookmarkStart w:id="7201" w:name="_Toc61176703"/>
      <w:bookmarkStart w:id="7202" w:name="_Toc53178069"/>
      <w:bookmarkStart w:id="7203" w:name="_Toc53177617"/>
      <w:bookmarkStart w:id="7204" w:name="_Toc45893453"/>
      <w:bookmarkStart w:id="7205" w:name="_Toc37268802"/>
      <w:bookmarkStart w:id="7206" w:name="_Toc37268351"/>
      <w:bookmarkStart w:id="7207" w:name="_Toc29811396"/>
      <w:bookmarkStart w:id="7208" w:name="_Toc13079907"/>
      <w:bookmarkStart w:id="7209" w:name="_Toc74583465"/>
      <w:bookmarkStart w:id="7210" w:name="_Toc76542278"/>
      <w:bookmarkStart w:id="7211" w:name="_Toc82450260"/>
      <w:bookmarkStart w:id="7212" w:name="_Toc82450908"/>
      <w:bookmarkStart w:id="7213" w:name="_Toc89949297"/>
      <w:bookmarkStart w:id="7214" w:name="_Toc98755686"/>
      <w:bookmarkStart w:id="7215" w:name="_Toc98763278"/>
      <w:bookmarkStart w:id="7216" w:name="_Toc106184207"/>
      <w:r>
        <w:t>11.1.2.1.1</w:t>
      </w:r>
      <w:r>
        <w:tab/>
      </w:r>
      <w:r w:rsidRPr="009737E0">
        <w:t xml:space="preserve">Performance </w:t>
      </w:r>
      <w:r>
        <w:t>requirements for PUSCH with transform precoding disabled</w:t>
      </w:r>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p>
    <w:p w14:paraId="5450C7F5" w14:textId="77777777" w:rsidR="00241417" w:rsidRDefault="00241417" w:rsidP="00241417">
      <w:r>
        <w:rPr>
          <w:noProof/>
          <w:lang w:eastAsia="zh-CN"/>
        </w:rPr>
        <w:t>Apply</w:t>
      </w:r>
      <w:r>
        <w:rPr>
          <w:noProof/>
        </w:rPr>
        <w:t xml:space="preserve"> the requirements defined in </w:t>
      </w:r>
      <w:r>
        <w:rPr>
          <w:noProof/>
          <w:lang w:eastAsia="zh-CN"/>
        </w:rPr>
        <w:t>clause</w:t>
      </w:r>
      <w:r>
        <w:rPr>
          <w:noProof/>
        </w:rPr>
        <w:t xml:space="preserve"> </w:t>
      </w:r>
      <w:r>
        <w:t>8.1.2.1</w:t>
      </w:r>
      <w:r>
        <w:rPr>
          <w:noProof/>
        </w:rPr>
        <w:t xml:space="preserve"> for 2Rx</w:t>
      </w:r>
      <w:r>
        <w:t>.</w:t>
      </w:r>
    </w:p>
    <w:p w14:paraId="3A13F505" w14:textId="77777777" w:rsidR="00241417" w:rsidRDefault="00241417" w:rsidP="00241417">
      <w:pPr>
        <w:pStyle w:val="Heading5"/>
        <w:rPr>
          <w:lang w:eastAsia="zh-CN"/>
        </w:rPr>
      </w:pPr>
      <w:bookmarkStart w:id="7217" w:name="_Toc67916527"/>
      <w:bookmarkStart w:id="7218" w:name="_Toc61176704"/>
      <w:bookmarkStart w:id="7219" w:name="_Toc53178070"/>
      <w:bookmarkStart w:id="7220" w:name="_Toc53177618"/>
      <w:bookmarkStart w:id="7221" w:name="_Toc45893454"/>
      <w:bookmarkStart w:id="7222" w:name="_Toc37268803"/>
      <w:bookmarkStart w:id="7223" w:name="_Toc37268352"/>
      <w:bookmarkStart w:id="7224" w:name="_Toc29811397"/>
      <w:bookmarkStart w:id="7225" w:name="_Toc13079908"/>
      <w:bookmarkStart w:id="7226" w:name="_Toc74583466"/>
      <w:bookmarkStart w:id="7227" w:name="_Toc76542279"/>
      <w:bookmarkStart w:id="7228" w:name="_Toc82450261"/>
      <w:bookmarkStart w:id="7229" w:name="_Toc82450909"/>
      <w:bookmarkStart w:id="7230" w:name="_Toc89949298"/>
      <w:bookmarkStart w:id="7231" w:name="_Toc98755687"/>
      <w:bookmarkStart w:id="7232" w:name="_Toc98763279"/>
      <w:bookmarkStart w:id="7233" w:name="_Toc106184208"/>
      <w:r>
        <w:rPr>
          <w:lang w:eastAsia="ko-KR"/>
        </w:rPr>
        <w:t>11.1.2.</w:t>
      </w:r>
      <w:r>
        <w:rPr>
          <w:lang w:eastAsia="zh-CN"/>
        </w:rPr>
        <w:t>1</w:t>
      </w:r>
      <w:r>
        <w:rPr>
          <w:lang w:eastAsia="ko-KR"/>
        </w:rPr>
        <w:t>.</w:t>
      </w:r>
      <w:r>
        <w:rPr>
          <w:lang w:eastAsia="zh-CN"/>
        </w:rPr>
        <w:t>2</w:t>
      </w:r>
      <w:r>
        <w:rPr>
          <w:lang w:eastAsia="ko-KR"/>
        </w:rPr>
        <w:tab/>
      </w:r>
      <w:bookmarkEnd w:id="7217"/>
      <w:bookmarkEnd w:id="7218"/>
      <w:bookmarkEnd w:id="7219"/>
      <w:bookmarkEnd w:id="7220"/>
      <w:bookmarkEnd w:id="7221"/>
      <w:bookmarkEnd w:id="7222"/>
      <w:bookmarkEnd w:id="7223"/>
      <w:bookmarkEnd w:id="7224"/>
      <w:bookmarkEnd w:id="7225"/>
      <w:r w:rsidRPr="009737E0">
        <w:rPr>
          <w:lang w:eastAsia="ko-KR"/>
        </w:rPr>
        <w:t>Performance requirmements for PUSCH with transform precoding enabled</w:t>
      </w:r>
      <w:bookmarkEnd w:id="7226"/>
      <w:bookmarkEnd w:id="7227"/>
      <w:bookmarkEnd w:id="7228"/>
      <w:bookmarkEnd w:id="7229"/>
      <w:bookmarkEnd w:id="7230"/>
      <w:bookmarkEnd w:id="7231"/>
      <w:bookmarkEnd w:id="7232"/>
      <w:bookmarkEnd w:id="7233"/>
    </w:p>
    <w:p w14:paraId="2AAB93B0" w14:textId="77777777" w:rsidR="00241417" w:rsidRDefault="00241417" w:rsidP="00241417">
      <w:pPr>
        <w:rPr>
          <w:noProof/>
        </w:rPr>
      </w:pPr>
      <w:r>
        <w:rPr>
          <w:noProof/>
          <w:lang w:eastAsia="zh-CN"/>
        </w:rPr>
        <w:t>Apply</w:t>
      </w:r>
      <w:r>
        <w:rPr>
          <w:noProof/>
        </w:rPr>
        <w:t xml:space="preserve"> the requirements defined in </w:t>
      </w:r>
      <w:r>
        <w:rPr>
          <w:noProof/>
          <w:lang w:eastAsia="zh-CN"/>
        </w:rPr>
        <w:t>clause</w:t>
      </w:r>
      <w:r>
        <w:rPr>
          <w:noProof/>
        </w:rPr>
        <w:t xml:space="preserve"> 8.1.</w:t>
      </w:r>
      <w:r>
        <w:rPr>
          <w:noProof/>
          <w:lang w:eastAsia="zh-CN"/>
        </w:rPr>
        <w:t>2</w:t>
      </w:r>
      <w:r>
        <w:rPr>
          <w:noProof/>
        </w:rPr>
        <w:t>.</w:t>
      </w:r>
      <w:r>
        <w:rPr>
          <w:noProof/>
          <w:lang w:eastAsia="zh-CN"/>
        </w:rPr>
        <w:t>2</w:t>
      </w:r>
      <w:r>
        <w:rPr>
          <w:noProof/>
        </w:rPr>
        <w:t xml:space="preserve"> for 2Rx.</w:t>
      </w:r>
    </w:p>
    <w:p w14:paraId="134D9CBC" w14:textId="77777777" w:rsidR="00241417" w:rsidRPr="009737E0" w:rsidRDefault="00241417" w:rsidP="00241417">
      <w:pPr>
        <w:pStyle w:val="Heading5"/>
        <w:rPr>
          <w:lang w:val="en-US" w:eastAsia="zh-CN"/>
        </w:rPr>
      </w:pPr>
      <w:bookmarkStart w:id="7234" w:name="_Toc67916528"/>
      <w:bookmarkStart w:id="7235" w:name="_Toc61176705"/>
      <w:bookmarkStart w:id="7236" w:name="_Toc53178071"/>
      <w:bookmarkStart w:id="7237" w:name="_Toc53177619"/>
      <w:bookmarkStart w:id="7238" w:name="_Toc45893455"/>
      <w:bookmarkStart w:id="7239" w:name="_Toc37268804"/>
      <w:bookmarkStart w:id="7240" w:name="_Toc37268353"/>
      <w:bookmarkStart w:id="7241" w:name="_Toc29811398"/>
      <w:bookmarkStart w:id="7242" w:name="_Toc13079909"/>
      <w:bookmarkStart w:id="7243" w:name="_Toc74583467"/>
      <w:bookmarkStart w:id="7244" w:name="_Toc76542280"/>
      <w:bookmarkStart w:id="7245" w:name="_Toc82450262"/>
      <w:bookmarkStart w:id="7246" w:name="_Toc82450910"/>
      <w:bookmarkStart w:id="7247" w:name="_Toc89949299"/>
      <w:bookmarkStart w:id="7248" w:name="_Toc98755688"/>
      <w:bookmarkStart w:id="7249" w:name="_Toc98763280"/>
      <w:bookmarkStart w:id="7250" w:name="_Toc106184209"/>
      <w:r>
        <w:rPr>
          <w:lang w:eastAsia="ko-KR"/>
        </w:rPr>
        <w:t>11.1.2.</w:t>
      </w:r>
      <w:r>
        <w:rPr>
          <w:lang w:eastAsia="zh-CN"/>
        </w:rPr>
        <w:t>1</w:t>
      </w:r>
      <w:r>
        <w:rPr>
          <w:lang w:eastAsia="ko-KR"/>
        </w:rPr>
        <w:t>.</w:t>
      </w:r>
      <w:r>
        <w:rPr>
          <w:lang w:eastAsia="zh-CN"/>
        </w:rPr>
        <w:t>3</w:t>
      </w:r>
      <w:r>
        <w:rPr>
          <w:lang w:eastAsia="ko-KR"/>
        </w:rPr>
        <w:tab/>
      </w:r>
      <w:bookmarkEnd w:id="7234"/>
      <w:bookmarkEnd w:id="7235"/>
      <w:bookmarkEnd w:id="7236"/>
      <w:bookmarkEnd w:id="7237"/>
      <w:bookmarkEnd w:id="7238"/>
      <w:bookmarkEnd w:id="7239"/>
      <w:bookmarkEnd w:id="7240"/>
      <w:bookmarkEnd w:id="7241"/>
      <w:bookmarkEnd w:id="7242"/>
      <w:r w:rsidRPr="009737E0">
        <w:rPr>
          <w:lang w:eastAsia="ko-KR"/>
        </w:rPr>
        <w:t>Performance requirements for UCI multiplex</w:t>
      </w:r>
      <w:r>
        <w:rPr>
          <w:lang w:eastAsia="ko-KR"/>
        </w:rPr>
        <w:t>ed</w:t>
      </w:r>
      <w:r w:rsidRPr="009737E0">
        <w:rPr>
          <w:lang w:eastAsia="ko-KR"/>
        </w:rPr>
        <w:t xml:space="preserve"> on PUSCH</w:t>
      </w:r>
      <w:bookmarkEnd w:id="7243"/>
      <w:bookmarkEnd w:id="7244"/>
      <w:bookmarkEnd w:id="7245"/>
      <w:bookmarkEnd w:id="7246"/>
      <w:bookmarkEnd w:id="7247"/>
      <w:bookmarkEnd w:id="7248"/>
      <w:bookmarkEnd w:id="7249"/>
      <w:bookmarkEnd w:id="7250"/>
    </w:p>
    <w:p w14:paraId="23828AF3" w14:textId="77777777" w:rsidR="00241417" w:rsidRDefault="00241417" w:rsidP="00241417">
      <w:pPr>
        <w:rPr>
          <w:noProof/>
          <w:lang w:eastAsia="zh-CN"/>
        </w:rPr>
      </w:pPr>
      <w:r>
        <w:rPr>
          <w:noProof/>
          <w:lang w:eastAsia="zh-CN"/>
        </w:rPr>
        <w:t>Apply</w:t>
      </w:r>
      <w:r>
        <w:rPr>
          <w:noProof/>
        </w:rPr>
        <w:t xml:space="preserve"> the requirements defined in </w:t>
      </w:r>
      <w:r>
        <w:rPr>
          <w:noProof/>
          <w:lang w:eastAsia="zh-CN"/>
        </w:rPr>
        <w:t>clause</w:t>
      </w:r>
      <w:r>
        <w:rPr>
          <w:noProof/>
        </w:rPr>
        <w:t xml:space="preserve"> 8.1.</w:t>
      </w:r>
      <w:r>
        <w:rPr>
          <w:noProof/>
          <w:lang w:eastAsia="zh-CN"/>
        </w:rPr>
        <w:t>2</w:t>
      </w:r>
      <w:r>
        <w:rPr>
          <w:noProof/>
        </w:rPr>
        <w:t>.</w:t>
      </w:r>
      <w:r>
        <w:rPr>
          <w:noProof/>
          <w:lang w:eastAsia="zh-CN"/>
        </w:rPr>
        <w:t>3</w:t>
      </w:r>
      <w:r>
        <w:rPr>
          <w:noProof/>
        </w:rPr>
        <w:t xml:space="preserve"> for 2Rx.</w:t>
      </w:r>
    </w:p>
    <w:p w14:paraId="62195E06" w14:textId="77777777" w:rsidR="00241417" w:rsidRDefault="00241417" w:rsidP="00241417">
      <w:pPr>
        <w:pStyle w:val="Heading4"/>
        <w:rPr>
          <w:noProof/>
        </w:rPr>
      </w:pPr>
      <w:bookmarkStart w:id="7251" w:name="_Toc67916529"/>
      <w:bookmarkStart w:id="7252" w:name="_Toc61176706"/>
      <w:bookmarkStart w:id="7253" w:name="_Toc53178072"/>
      <w:bookmarkStart w:id="7254" w:name="_Toc53177620"/>
      <w:bookmarkStart w:id="7255" w:name="_Toc45893456"/>
      <w:bookmarkStart w:id="7256" w:name="_Toc37268805"/>
      <w:bookmarkStart w:id="7257" w:name="_Toc37268354"/>
      <w:bookmarkStart w:id="7258" w:name="_Toc29811850"/>
      <w:bookmarkStart w:id="7259" w:name="_Toc29811399"/>
      <w:bookmarkStart w:id="7260" w:name="_Toc13079910"/>
      <w:bookmarkStart w:id="7261" w:name="_Toc74583468"/>
      <w:bookmarkStart w:id="7262" w:name="_Toc76542281"/>
      <w:bookmarkStart w:id="7263" w:name="_Toc82450263"/>
      <w:bookmarkStart w:id="7264" w:name="_Toc82450911"/>
      <w:bookmarkStart w:id="7265" w:name="_Toc89949300"/>
      <w:bookmarkStart w:id="7266" w:name="_Toc98755689"/>
      <w:bookmarkStart w:id="7267" w:name="_Toc98763281"/>
      <w:bookmarkStart w:id="7268" w:name="_Toc106184210"/>
      <w:r>
        <w:rPr>
          <w:noProof/>
        </w:rPr>
        <w:t>11.1.</w:t>
      </w:r>
      <w:r>
        <w:rPr>
          <w:rFonts w:eastAsia="DengXian"/>
          <w:noProof/>
          <w:lang w:eastAsia="zh-CN"/>
        </w:rPr>
        <w:t>2</w:t>
      </w:r>
      <w:r>
        <w:rPr>
          <w:noProof/>
        </w:rPr>
        <w:t>.2</w:t>
      </w:r>
      <w:r>
        <w:rPr>
          <w:noProof/>
        </w:rPr>
        <w:tab/>
      </w:r>
      <w:bookmarkEnd w:id="7251"/>
      <w:bookmarkEnd w:id="7252"/>
      <w:bookmarkEnd w:id="7253"/>
      <w:bookmarkEnd w:id="7254"/>
      <w:bookmarkEnd w:id="7255"/>
      <w:bookmarkEnd w:id="7256"/>
      <w:bookmarkEnd w:id="7257"/>
      <w:bookmarkEnd w:id="7258"/>
      <w:bookmarkEnd w:id="7259"/>
      <w:bookmarkEnd w:id="7260"/>
      <w:r w:rsidRPr="009737E0">
        <w:rPr>
          <w:noProof/>
        </w:rPr>
        <w:t>Performance requirements for IAB type 2-O</w:t>
      </w:r>
      <w:bookmarkEnd w:id="7261"/>
      <w:bookmarkEnd w:id="7262"/>
      <w:bookmarkEnd w:id="7263"/>
      <w:bookmarkEnd w:id="7264"/>
      <w:bookmarkEnd w:id="7265"/>
      <w:bookmarkEnd w:id="7266"/>
      <w:bookmarkEnd w:id="7267"/>
      <w:bookmarkEnd w:id="7268"/>
    </w:p>
    <w:p w14:paraId="0238EC8B" w14:textId="77777777" w:rsidR="00241417" w:rsidRDefault="00241417" w:rsidP="00241417">
      <w:pPr>
        <w:pStyle w:val="Heading5"/>
      </w:pPr>
      <w:bookmarkStart w:id="7269" w:name="_Toc67916530"/>
      <w:bookmarkStart w:id="7270" w:name="_Toc61176707"/>
      <w:bookmarkStart w:id="7271" w:name="_Toc53178073"/>
      <w:bookmarkStart w:id="7272" w:name="_Toc53177621"/>
      <w:bookmarkStart w:id="7273" w:name="_Toc45893457"/>
      <w:bookmarkStart w:id="7274" w:name="_Toc37268806"/>
      <w:bookmarkStart w:id="7275" w:name="_Toc37268355"/>
      <w:bookmarkStart w:id="7276" w:name="_Toc29811851"/>
      <w:bookmarkStart w:id="7277" w:name="_Toc29811400"/>
      <w:bookmarkStart w:id="7278" w:name="_Toc13079911"/>
      <w:bookmarkStart w:id="7279" w:name="_Toc74583469"/>
      <w:bookmarkStart w:id="7280" w:name="_Toc76542282"/>
      <w:bookmarkStart w:id="7281" w:name="_Toc82450264"/>
      <w:bookmarkStart w:id="7282" w:name="_Toc82450912"/>
      <w:bookmarkStart w:id="7283" w:name="_Toc89949301"/>
      <w:bookmarkStart w:id="7284" w:name="_Toc98755690"/>
      <w:bookmarkStart w:id="7285" w:name="_Toc98763282"/>
      <w:bookmarkStart w:id="7286" w:name="_Toc106184211"/>
      <w:r>
        <w:t>11.1.2.2.1</w:t>
      </w:r>
      <w:r>
        <w:tab/>
      </w:r>
      <w:bookmarkEnd w:id="7269"/>
      <w:bookmarkEnd w:id="7270"/>
      <w:bookmarkEnd w:id="7271"/>
      <w:bookmarkEnd w:id="7272"/>
      <w:bookmarkEnd w:id="7273"/>
      <w:bookmarkEnd w:id="7274"/>
      <w:bookmarkEnd w:id="7275"/>
      <w:bookmarkEnd w:id="7276"/>
      <w:bookmarkEnd w:id="7277"/>
      <w:bookmarkEnd w:id="7278"/>
      <w:r w:rsidRPr="009737E0">
        <w:t>Performance requirmements for PUSCH with transform precoding disabled</w:t>
      </w:r>
      <w:bookmarkEnd w:id="7279"/>
      <w:bookmarkEnd w:id="7280"/>
      <w:bookmarkEnd w:id="7281"/>
      <w:bookmarkEnd w:id="7282"/>
      <w:bookmarkEnd w:id="7283"/>
      <w:bookmarkEnd w:id="7284"/>
      <w:bookmarkEnd w:id="7285"/>
      <w:bookmarkEnd w:id="7286"/>
    </w:p>
    <w:p w14:paraId="5CD7343C" w14:textId="77777777" w:rsidR="00241417" w:rsidRDefault="00241417" w:rsidP="00241417">
      <w:pPr>
        <w:pStyle w:val="H6"/>
      </w:pPr>
      <w:bookmarkStart w:id="7287" w:name="_Toc67916531"/>
      <w:bookmarkStart w:id="7288" w:name="_Toc61176708"/>
      <w:bookmarkStart w:id="7289" w:name="_Toc53178074"/>
      <w:bookmarkStart w:id="7290" w:name="_Toc53177622"/>
      <w:bookmarkStart w:id="7291" w:name="_Toc45893458"/>
      <w:bookmarkStart w:id="7292" w:name="_Toc37268807"/>
      <w:bookmarkStart w:id="7293" w:name="_Toc37268356"/>
      <w:bookmarkStart w:id="7294" w:name="_Toc29811401"/>
      <w:bookmarkStart w:id="7295" w:name="_Toc13079912"/>
      <w:r>
        <w:t>11.1.2.2.1.1</w:t>
      </w:r>
      <w:r>
        <w:tab/>
        <w:t>General</w:t>
      </w:r>
      <w:bookmarkEnd w:id="7287"/>
      <w:bookmarkEnd w:id="7288"/>
      <w:bookmarkEnd w:id="7289"/>
      <w:bookmarkEnd w:id="7290"/>
      <w:bookmarkEnd w:id="7291"/>
      <w:bookmarkEnd w:id="7292"/>
      <w:bookmarkEnd w:id="7293"/>
      <w:bookmarkEnd w:id="7294"/>
      <w:bookmarkEnd w:id="7295"/>
    </w:p>
    <w:p w14:paraId="46FBD44A" w14:textId="77777777" w:rsidR="00241417" w:rsidRDefault="00241417" w:rsidP="00241417">
      <w:r>
        <w:t xml:space="preserve">The performance requirement of PUSCH is determined by a minimum required throughput for a given SNR. The required throughput is expressed as a fraction of </w:t>
      </w:r>
      <w:r w:rsidRPr="00502B86">
        <w:t>the</w:t>
      </w:r>
      <w:r>
        <w:t xml:space="preserve"> maximum throughput for the FRCs listed in annex A. The performance requirements assume HARQ retransmissions.</w:t>
      </w:r>
    </w:p>
    <w:p w14:paraId="460BFA57" w14:textId="77777777" w:rsidR="00241417" w:rsidRPr="00BD6443" w:rsidRDefault="00241417" w:rsidP="00241417">
      <w:pPr>
        <w:pStyle w:val="TH"/>
      </w:pPr>
      <w:r w:rsidRPr="00BD6443">
        <w:lastRenderedPageBreak/>
        <w:t>Table 11.</w:t>
      </w:r>
      <w:r>
        <w:t>1.</w:t>
      </w:r>
      <w:r w:rsidRPr="00BD6443">
        <w:t>2.2.1.1-1: Test parameters for</w:t>
      </w:r>
      <w:r w:rsidRPr="00F43172">
        <w:t xml:space="preserve"> </w:t>
      </w:r>
      <w:r w:rsidRPr="00BD6443">
        <w:t xml:space="preserve">PUSCH testing </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458"/>
        <w:gridCol w:w="3898"/>
        <w:gridCol w:w="2578"/>
      </w:tblGrid>
      <w:tr w:rsidR="00241417" w:rsidRPr="00BD6443" w14:paraId="63700A6B" w14:textId="77777777" w:rsidTr="003A71DE">
        <w:trPr>
          <w:jc w:val="center"/>
        </w:trPr>
        <w:tc>
          <w:tcPr>
            <w:tcW w:w="0" w:type="auto"/>
            <w:gridSpan w:val="2"/>
            <w:tcBorders>
              <w:top w:val="single" w:sz="4" w:space="0" w:color="auto"/>
              <w:left w:val="single" w:sz="4" w:space="0" w:color="auto"/>
              <w:bottom w:val="single" w:sz="6" w:space="0" w:color="auto"/>
              <w:right w:val="single" w:sz="6" w:space="0" w:color="auto"/>
            </w:tcBorders>
            <w:vAlign w:val="center"/>
            <w:hideMark/>
          </w:tcPr>
          <w:p w14:paraId="548FC52E" w14:textId="77777777" w:rsidR="00241417" w:rsidRPr="00BD6443" w:rsidRDefault="00241417" w:rsidP="003A71DE">
            <w:pPr>
              <w:pStyle w:val="TAH"/>
            </w:pPr>
            <w:r w:rsidRPr="00BD6443">
              <w:t>Parameter</w:t>
            </w:r>
          </w:p>
        </w:tc>
        <w:tc>
          <w:tcPr>
            <w:tcW w:w="0" w:type="auto"/>
            <w:tcBorders>
              <w:top w:val="single" w:sz="4" w:space="0" w:color="auto"/>
              <w:left w:val="single" w:sz="6" w:space="0" w:color="auto"/>
              <w:bottom w:val="single" w:sz="6" w:space="0" w:color="auto"/>
              <w:right w:val="single" w:sz="4" w:space="0" w:color="auto"/>
            </w:tcBorders>
            <w:vAlign w:val="center"/>
            <w:hideMark/>
          </w:tcPr>
          <w:p w14:paraId="2A8C4CEE" w14:textId="77777777" w:rsidR="00241417" w:rsidRPr="00BD6443" w:rsidRDefault="00241417" w:rsidP="003A71DE">
            <w:pPr>
              <w:pStyle w:val="TAH"/>
            </w:pPr>
            <w:r w:rsidRPr="00BD6443">
              <w:t>Value</w:t>
            </w:r>
          </w:p>
        </w:tc>
      </w:tr>
      <w:tr w:rsidR="00241417" w14:paraId="590589E5"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5C4CA168" w14:textId="77777777" w:rsidR="00241417" w:rsidRDefault="00241417" w:rsidP="003A71DE">
            <w:pPr>
              <w:pStyle w:val="TAL"/>
            </w:pPr>
            <w:r>
              <w:t>Transform precoding</w:t>
            </w:r>
          </w:p>
        </w:tc>
        <w:tc>
          <w:tcPr>
            <w:tcW w:w="0" w:type="auto"/>
            <w:tcBorders>
              <w:top w:val="single" w:sz="6" w:space="0" w:color="auto"/>
              <w:left w:val="single" w:sz="6" w:space="0" w:color="auto"/>
              <w:bottom w:val="single" w:sz="6" w:space="0" w:color="auto"/>
              <w:right w:val="single" w:sz="4" w:space="0" w:color="auto"/>
            </w:tcBorders>
            <w:vAlign w:val="center"/>
            <w:hideMark/>
          </w:tcPr>
          <w:p w14:paraId="02D8FA43" w14:textId="77777777" w:rsidR="00241417" w:rsidRDefault="00241417" w:rsidP="003A71DE">
            <w:pPr>
              <w:pStyle w:val="TAC"/>
            </w:pPr>
            <w:r>
              <w:t>Disabled</w:t>
            </w:r>
          </w:p>
        </w:tc>
      </w:tr>
      <w:tr w:rsidR="00241417" w14:paraId="382A559C"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448800D1" w14:textId="77777777" w:rsidR="00241417" w:rsidRDefault="00241417" w:rsidP="003A71DE">
            <w:pPr>
              <w:pStyle w:val="TAL"/>
            </w:pPr>
            <w:r>
              <w:t>Default TDD UL-DL pattern (Note 1)</w:t>
            </w:r>
          </w:p>
        </w:tc>
        <w:tc>
          <w:tcPr>
            <w:tcW w:w="0" w:type="auto"/>
            <w:tcBorders>
              <w:top w:val="single" w:sz="6" w:space="0" w:color="auto"/>
              <w:left w:val="single" w:sz="6" w:space="0" w:color="auto"/>
              <w:bottom w:val="single" w:sz="6" w:space="0" w:color="auto"/>
              <w:right w:val="single" w:sz="4" w:space="0" w:color="auto"/>
            </w:tcBorders>
            <w:vAlign w:val="center"/>
            <w:hideMark/>
          </w:tcPr>
          <w:p w14:paraId="30942E9D" w14:textId="77777777" w:rsidR="00241417" w:rsidRDefault="00241417" w:rsidP="003A71DE">
            <w:pPr>
              <w:pStyle w:val="TAC"/>
            </w:pPr>
            <w:r>
              <w:t>60 kHz and 120kHz SCS:</w:t>
            </w:r>
          </w:p>
          <w:p w14:paraId="3FCD0AF6" w14:textId="77777777" w:rsidR="00241417" w:rsidRDefault="00241417" w:rsidP="003A71DE">
            <w:pPr>
              <w:pStyle w:val="TAC"/>
            </w:pPr>
            <w:r>
              <w:t>3D1S1U, S=10D:2G:2U</w:t>
            </w:r>
          </w:p>
        </w:tc>
      </w:tr>
      <w:tr w:rsidR="00241417" w14:paraId="691257E6"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tcPr>
          <w:p w14:paraId="4B231E22" w14:textId="77777777" w:rsidR="00241417" w:rsidRDefault="00241417" w:rsidP="003A71DE">
            <w:pPr>
              <w:pStyle w:val="TAL"/>
            </w:pPr>
            <w:r>
              <w:rPr>
                <w:rFonts w:eastAsia="DengXian"/>
                <w:lang w:eastAsia="zh-CN"/>
              </w:rPr>
              <w:t>Cyclic prefix</w:t>
            </w:r>
          </w:p>
        </w:tc>
        <w:tc>
          <w:tcPr>
            <w:tcW w:w="0" w:type="auto"/>
            <w:tcBorders>
              <w:top w:val="single" w:sz="6" w:space="0" w:color="auto"/>
              <w:left w:val="single" w:sz="6" w:space="0" w:color="auto"/>
              <w:bottom w:val="single" w:sz="6" w:space="0" w:color="auto"/>
              <w:right w:val="single" w:sz="4" w:space="0" w:color="auto"/>
            </w:tcBorders>
            <w:vAlign w:val="center"/>
          </w:tcPr>
          <w:p w14:paraId="1D47DDBD" w14:textId="77777777" w:rsidR="00241417" w:rsidRDefault="00241417" w:rsidP="003A71DE">
            <w:pPr>
              <w:pStyle w:val="TAC"/>
            </w:pPr>
            <w:r>
              <w:rPr>
                <w:rFonts w:eastAsia="Malgun Gothic" w:cs="Arial"/>
              </w:rPr>
              <w:t>Normal</w:t>
            </w:r>
          </w:p>
        </w:tc>
      </w:tr>
      <w:tr w:rsidR="00241417" w14:paraId="0B862D44"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7FC31441" w14:textId="77777777" w:rsidR="00241417" w:rsidRDefault="00241417" w:rsidP="003A71DE">
            <w:pPr>
              <w:pStyle w:val="TAL"/>
            </w:pPr>
            <w:r>
              <w:t>HARQ</w:t>
            </w:r>
          </w:p>
        </w:tc>
        <w:tc>
          <w:tcPr>
            <w:tcW w:w="0" w:type="auto"/>
            <w:tcBorders>
              <w:top w:val="single" w:sz="6" w:space="0" w:color="auto"/>
              <w:left w:val="single" w:sz="6" w:space="0" w:color="auto"/>
              <w:bottom w:val="single" w:sz="6" w:space="0" w:color="auto"/>
              <w:right w:val="single" w:sz="6" w:space="0" w:color="auto"/>
            </w:tcBorders>
            <w:vAlign w:val="center"/>
            <w:hideMark/>
          </w:tcPr>
          <w:p w14:paraId="79ECEB8F" w14:textId="77777777" w:rsidR="00241417" w:rsidRDefault="00241417" w:rsidP="003A71DE">
            <w:pPr>
              <w:pStyle w:val="TAL"/>
            </w:pPr>
            <w:r>
              <w:t>Maximum number of HARQ transmissions</w:t>
            </w:r>
          </w:p>
        </w:tc>
        <w:tc>
          <w:tcPr>
            <w:tcW w:w="0" w:type="auto"/>
            <w:tcBorders>
              <w:top w:val="single" w:sz="6" w:space="0" w:color="auto"/>
              <w:left w:val="single" w:sz="6" w:space="0" w:color="auto"/>
              <w:bottom w:val="single" w:sz="6" w:space="0" w:color="auto"/>
              <w:right w:val="single" w:sz="4" w:space="0" w:color="auto"/>
            </w:tcBorders>
            <w:vAlign w:val="center"/>
            <w:hideMark/>
          </w:tcPr>
          <w:p w14:paraId="1115C729" w14:textId="77777777" w:rsidR="00241417" w:rsidRDefault="00241417" w:rsidP="003A71DE">
            <w:pPr>
              <w:pStyle w:val="TAC"/>
            </w:pPr>
            <w:r>
              <w:t>4</w:t>
            </w:r>
          </w:p>
        </w:tc>
      </w:tr>
      <w:tr w:rsidR="00241417" w14:paraId="6F6174F6"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3583341D"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05730F09" w14:textId="77777777" w:rsidR="00241417" w:rsidRDefault="00241417" w:rsidP="003A71DE">
            <w:pPr>
              <w:pStyle w:val="TAL"/>
            </w:pPr>
            <w:r>
              <w:t>RV sequence</w:t>
            </w:r>
          </w:p>
        </w:tc>
        <w:tc>
          <w:tcPr>
            <w:tcW w:w="0" w:type="auto"/>
            <w:tcBorders>
              <w:top w:val="single" w:sz="6" w:space="0" w:color="auto"/>
              <w:left w:val="single" w:sz="6" w:space="0" w:color="auto"/>
              <w:bottom w:val="single" w:sz="6" w:space="0" w:color="auto"/>
              <w:right w:val="single" w:sz="4" w:space="0" w:color="auto"/>
            </w:tcBorders>
            <w:vAlign w:val="center"/>
            <w:hideMark/>
          </w:tcPr>
          <w:p w14:paraId="2A147F39" w14:textId="77777777" w:rsidR="00241417" w:rsidRDefault="00241417" w:rsidP="003A71DE">
            <w:pPr>
              <w:pStyle w:val="TAC"/>
            </w:pPr>
            <w:r>
              <w:rPr>
                <w:lang w:val="fr-FR"/>
              </w:rPr>
              <w:t>0, 2, 3, 1</w:t>
            </w:r>
          </w:p>
        </w:tc>
      </w:tr>
      <w:tr w:rsidR="00241417" w14:paraId="14B97C45"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08D0F79C" w14:textId="77777777" w:rsidR="00241417" w:rsidRDefault="00241417" w:rsidP="003A71DE">
            <w:pPr>
              <w:pStyle w:val="TAL"/>
            </w:pPr>
            <w:r>
              <w:t>DM-RS</w:t>
            </w:r>
          </w:p>
        </w:tc>
        <w:tc>
          <w:tcPr>
            <w:tcW w:w="0" w:type="auto"/>
            <w:tcBorders>
              <w:top w:val="single" w:sz="6" w:space="0" w:color="auto"/>
              <w:left w:val="single" w:sz="6" w:space="0" w:color="auto"/>
              <w:bottom w:val="single" w:sz="6" w:space="0" w:color="auto"/>
              <w:right w:val="single" w:sz="6" w:space="0" w:color="auto"/>
            </w:tcBorders>
            <w:vAlign w:val="center"/>
            <w:hideMark/>
          </w:tcPr>
          <w:p w14:paraId="53B7C10F" w14:textId="77777777" w:rsidR="00241417" w:rsidRDefault="00241417" w:rsidP="003A71DE">
            <w:pPr>
              <w:pStyle w:val="TAL"/>
            </w:pPr>
            <w:r>
              <w:t>DM-RS configuration type</w:t>
            </w:r>
          </w:p>
        </w:tc>
        <w:tc>
          <w:tcPr>
            <w:tcW w:w="0" w:type="auto"/>
            <w:tcBorders>
              <w:top w:val="single" w:sz="6" w:space="0" w:color="auto"/>
              <w:left w:val="single" w:sz="6" w:space="0" w:color="auto"/>
              <w:bottom w:val="single" w:sz="6" w:space="0" w:color="auto"/>
              <w:right w:val="single" w:sz="4" w:space="0" w:color="auto"/>
            </w:tcBorders>
            <w:vAlign w:val="center"/>
            <w:hideMark/>
          </w:tcPr>
          <w:p w14:paraId="4B764ECA" w14:textId="77777777" w:rsidR="00241417" w:rsidRDefault="00241417" w:rsidP="003A71DE">
            <w:pPr>
              <w:pStyle w:val="TAC"/>
            </w:pPr>
            <w:r>
              <w:t>1</w:t>
            </w:r>
          </w:p>
        </w:tc>
      </w:tr>
      <w:tr w:rsidR="00241417" w14:paraId="349605EB"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AE11139"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175E8D5A" w14:textId="77777777" w:rsidR="00241417" w:rsidRDefault="00241417" w:rsidP="003A71DE">
            <w:pPr>
              <w:pStyle w:val="TAL"/>
            </w:pPr>
            <w:r>
              <w:t>DM-RS duration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216180C7" w14:textId="77777777" w:rsidR="00241417" w:rsidRDefault="00241417" w:rsidP="003A71DE">
            <w:pPr>
              <w:pStyle w:val="TAC"/>
            </w:pPr>
            <w:r>
              <w:t>single-symbol DM-RS</w:t>
            </w:r>
          </w:p>
        </w:tc>
      </w:tr>
      <w:tr w:rsidR="00241417" w14:paraId="0B85D624"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7A6DE7FA"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65695954" w14:textId="77777777" w:rsidR="00241417" w:rsidRDefault="00241417" w:rsidP="003A71DE">
            <w:pPr>
              <w:pStyle w:val="TAL"/>
            </w:pPr>
            <w:r>
              <w:rPr>
                <w:lang w:eastAsia="zh-CN"/>
              </w:rPr>
              <w:t>Additional DM-RS symbols</w:t>
            </w:r>
          </w:p>
        </w:tc>
        <w:tc>
          <w:tcPr>
            <w:tcW w:w="0" w:type="auto"/>
            <w:tcBorders>
              <w:top w:val="single" w:sz="6" w:space="0" w:color="auto"/>
              <w:left w:val="single" w:sz="6" w:space="0" w:color="auto"/>
              <w:bottom w:val="single" w:sz="6" w:space="0" w:color="auto"/>
              <w:right w:val="single" w:sz="4" w:space="0" w:color="auto"/>
            </w:tcBorders>
            <w:vAlign w:val="center"/>
            <w:hideMark/>
          </w:tcPr>
          <w:p w14:paraId="1594E0EE" w14:textId="77777777" w:rsidR="00241417" w:rsidRDefault="00241417" w:rsidP="003A71DE">
            <w:pPr>
              <w:pStyle w:val="TAC"/>
            </w:pPr>
            <w:r>
              <w:t>pos0, pos1</w:t>
            </w:r>
          </w:p>
        </w:tc>
      </w:tr>
      <w:tr w:rsidR="00241417" w14:paraId="6ADFABD2"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874E817" w14:textId="77777777" w:rsidR="00241417" w:rsidRDefault="00241417" w:rsidP="003A71DE">
            <w:pPr>
              <w:pStyle w:val="TAL"/>
            </w:pPr>
            <w:bookmarkStart w:id="7296" w:name="_Hlk526816956" w:colFirst="1" w:colLast="2"/>
          </w:p>
        </w:tc>
        <w:tc>
          <w:tcPr>
            <w:tcW w:w="0" w:type="auto"/>
            <w:tcBorders>
              <w:top w:val="single" w:sz="6" w:space="0" w:color="auto"/>
              <w:left w:val="single" w:sz="6" w:space="0" w:color="auto"/>
              <w:bottom w:val="single" w:sz="6" w:space="0" w:color="auto"/>
              <w:right w:val="single" w:sz="6" w:space="0" w:color="auto"/>
            </w:tcBorders>
            <w:vAlign w:val="center"/>
            <w:hideMark/>
          </w:tcPr>
          <w:p w14:paraId="27F878FF" w14:textId="77777777" w:rsidR="00241417" w:rsidRDefault="00241417" w:rsidP="003A71DE">
            <w:pPr>
              <w:pStyle w:val="TAL"/>
            </w:pPr>
            <w:r>
              <w:t>Number of DM-RS CDM group(s) without data</w:t>
            </w:r>
          </w:p>
        </w:tc>
        <w:tc>
          <w:tcPr>
            <w:tcW w:w="0" w:type="auto"/>
            <w:tcBorders>
              <w:top w:val="single" w:sz="6" w:space="0" w:color="auto"/>
              <w:left w:val="single" w:sz="6" w:space="0" w:color="auto"/>
              <w:bottom w:val="single" w:sz="6" w:space="0" w:color="auto"/>
              <w:right w:val="single" w:sz="4" w:space="0" w:color="auto"/>
            </w:tcBorders>
            <w:vAlign w:val="center"/>
            <w:hideMark/>
          </w:tcPr>
          <w:p w14:paraId="0246A2C9" w14:textId="77777777" w:rsidR="00241417" w:rsidRDefault="00241417" w:rsidP="003A71DE">
            <w:pPr>
              <w:pStyle w:val="TAC"/>
            </w:pPr>
            <w:r>
              <w:t>2</w:t>
            </w:r>
          </w:p>
        </w:tc>
      </w:tr>
      <w:bookmarkEnd w:id="7296"/>
      <w:tr w:rsidR="00241417" w14:paraId="1980A57F"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1CF76FA"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2F141D94" w14:textId="77777777" w:rsidR="00241417" w:rsidRDefault="00241417" w:rsidP="003A71DE">
            <w:pPr>
              <w:pStyle w:val="TAL"/>
            </w:pPr>
            <w:r>
              <w:t>Ratio of PUSCH EPRE to DM-RS EPRE</w:t>
            </w:r>
          </w:p>
        </w:tc>
        <w:tc>
          <w:tcPr>
            <w:tcW w:w="0" w:type="auto"/>
            <w:tcBorders>
              <w:top w:val="single" w:sz="6" w:space="0" w:color="auto"/>
              <w:left w:val="single" w:sz="6" w:space="0" w:color="auto"/>
              <w:bottom w:val="single" w:sz="6" w:space="0" w:color="auto"/>
              <w:right w:val="single" w:sz="4" w:space="0" w:color="auto"/>
            </w:tcBorders>
            <w:vAlign w:val="center"/>
            <w:hideMark/>
          </w:tcPr>
          <w:p w14:paraId="31BF788E" w14:textId="77777777" w:rsidR="00241417" w:rsidRDefault="00241417" w:rsidP="003A71DE">
            <w:pPr>
              <w:pStyle w:val="TAC"/>
              <w:rPr>
                <w:lang w:eastAsia="zh-CN"/>
              </w:rPr>
            </w:pPr>
            <w:r>
              <w:rPr>
                <w:lang w:eastAsia="zh-CN"/>
              </w:rPr>
              <w:t>-3 dB</w:t>
            </w:r>
          </w:p>
        </w:tc>
      </w:tr>
      <w:tr w:rsidR="00241417" w14:paraId="7609A367"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7759BEAB"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48F4958A" w14:textId="77777777" w:rsidR="00241417" w:rsidRDefault="00241417" w:rsidP="003A71DE">
            <w:pPr>
              <w:pStyle w:val="TAL"/>
            </w:pPr>
            <w:r>
              <w:t>DM-RS port(s)</w:t>
            </w:r>
          </w:p>
        </w:tc>
        <w:tc>
          <w:tcPr>
            <w:tcW w:w="0" w:type="auto"/>
            <w:tcBorders>
              <w:top w:val="single" w:sz="6" w:space="0" w:color="auto"/>
              <w:left w:val="single" w:sz="6" w:space="0" w:color="auto"/>
              <w:bottom w:val="single" w:sz="6" w:space="0" w:color="auto"/>
              <w:right w:val="single" w:sz="4" w:space="0" w:color="auto"/>
            </w:tcBorders>
            <w:vAlign w:val="center"/>
            <w:hideMark/>
          </w:tcPr>
          <w:p w14:paraId="6A19ACDE" w14:textId="77777777" w:rsidR="00241417" w:rsidRDefault="00241417" w:rsidP="003A71DE">
            <w:pPr>
              <w:pStyle w:val="TAC"/>
            </w:pPr>
            <w:r>
              <w:t>{0}, {0, 1}</w:t>
            </w:r>
          </w:p>
        </w:tc>
      </w:tr>
      <w:tr w:rsidR="00241417" w14:paraId="2481206C"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6ACE8FB1"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116B5B16" w14:textId="77777777" w:rsidR="00241417" w:rsidRDefault="00241417" w:rsidP="003A71DE">
            <w:pPr>
              <w:pStyle w:val="TAL"/>
            </w:pPr>
            <w:r>
              <w:t>DM-RS sequence generation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5E92101D" w14:textId="77777777" w:rsidR="00241417" w:rsidRDefault="00241417" w:rsidP="003A71DE">
            <w:pPr>
              <w:pStyle w:val="TAC"/>
            </w:pPr>
            <w:r>
              <w:t>N</w:t>
            </w:r>
            <w:r>
              <w:rPr>
                <w:vertAlign w:val="subscript"/>
              </w:rPr>
              <w:t>ID</w:t>
            </w:r>
            <w:r>
              <w:t>=0, n</w:t>
            </w:r>
            <w:r>
              <w:rPr>
                <w:vertAlign w:val="subscript"/>
              </w:rPr>
              <w:t>SCID</w:t>
            </w:r>
            <w:r>
              <w:t xml:space="preserve"> =0</w:t>
            </w:r>
          </w:p>
        </w:tc>
      </w:tr>
      <w:tr w:rsidR="00241417" w14:paraId="338D3A0B"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08C59AB1" w14:textId="77777777" w:rsidR="00241417" w:rsidRDefault="00241417" w:rsidP="003A71DE">
            <w:pPr>
              <w:pStyle w:val="TAL"/>
            </w:pPr>
            <w:r>
              <w:t>Time domain resource</w:t>
            </w:r>
          </w:p>
        </w:tc>
        <w:tc>
          <w:tcPr>
            <w:tcW w:w="0" w:type="auto"/>
            <w:tcBorders>
              <w:top w:val="single" w:sz="6" w:space="0" w:color="auto"/>
              <w:left w:val="single" w:sz="6" w:space="0" w:color="auto"/>
              <w:bottom w:val="single" w:sz="6" w:space="0" w:color="auto"/>
              <w:right w:val="single" w:sz="6" w:space="0" w:color="auto"/>
            </w:tcBorders>
            <w:vAlign w:val="center"/>
            <w:hideMark/>
          </w:tcPr>
          <w:p w14:paraId="1FCC2868" w14:textId="77777777" w:rsidR="00241417" w:rsidRDefault="00241417" w:rsidP="003A71DE">
            <w:pPr>
              <w:pStyle w:val="TAL"/>
            </w:pPr>
            <w:r>
              <w:rPr>
                <w:rFonts w:eastAsia="Batang"/>
              </w:rPr>
              <w:t>PUSCH mapping type</w:t>
            </w:r>
          </w:p>
        </w:tc>
        <w:tc>
          <w:tcPr>
            <w:tcW w:w="0" w:type="auto"/>
            <w:tcBorders>
              <w:top w:val="single" w:sz="6" w:space="0" w:color="auto"/>
              <w:left w:val="single" w:sz="6" w:space="0" w:color="auto"/>
              <w:bottom w:val="single" w:sz="6" w:space="0" w:color="auto"/>
              <w:right w:val="single" w:sz="4" w:space="0" w:color="auto"/>
            </w:tcBorders>
            <w:vAlign w:val="center"/>
            <w:hideMark/>
          </w:tcPr>
          <w:p w14:paraId="7636E8C8" w14:textId="77777777" w:rsidR="00241417" w:rsidRDefault="00241417" w:rsidP="003A71DE">
            <w:pPr>
              <w:pStyle w:val="TAC"/>
            </w:pPr>
            <w:r>
              <w:t>B</w:t>
            </w:r>
          </w:p>
        </w:tc>
      </w:tr>
      <w:tr w:rsidR="00241417" w14:paraId="5A1237BA"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4BF8755D"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15BB4190" w14:textId="77777777" w:rsidR="00241417" w:rsidRDefault="00241417" w:rsidP="003A71DE">
            <w:pPr>
              <w:pStyle w:val="TAL"/>
            </w:pPr>
            <w:r>
              <w:t>Start symbol index</w:t>
            </w:r>
          </w:p>
        </w:tc>
        <w:tc>
          <w:tcPr>
            <w:tcW w:w="0" w:type="auto"/>
            <w:tcBorders>
              <w:top w:val="single" w:sz="6" w:space="0" w:color="auto"/>
              <w:left w:val="single" w:sz="6" w:space="0" w:color="auto"/>
              <w:bottom w:val="single" w:sz="6" w:space="0" w:color="auto"/>
              <w:right w:val="single" w:sz="4" w:space="0" w:color="auto"/>
            </w:tcBorders>
            <w:vAlign w:val="center"/>
            <w:hideMark/>
          </w:tcPr>
          <w:p w14:paraId="4BCEDD72" w14:textId="77777777" w:rsidR="00241417" w:rsidRDefault="00241417" w:rsidP="003A71DE">
            <w:pPr>
              <w:pStyle w:val="TAC"/>
            </w:pPr>
            <w:r>
              <w:t xml:space="preserve">0 </w:t>
            </w:r>
          </w:p>
        </w:tc>
      </w:tr>
      <w:tr w:rsidR="00241417" w14:paraId="10107F2F"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07F0C832"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3B3CCFAD" w14:textId="77777777" w:rsidR="00241417" w:rsidRDefault="00241417" w:rsidP="003A71DE">
            <w:pPr>
              <w:pStyle w:val="TAL"/>
            </w:pPr>
            <w:r>
              <w:t>Allocation length</w:t>
            </w:r>
          </w:p>
        </w:tc>
        <w:tc>
          <w:tcPr>
            <w:tcW w:w="0" w:type="auto"/>
            <w:tcBorders>
              <w:top w:val="single" w:sz="6" w:space="0" w:color="auto"/>
              <w:left w:val="single" w:sz="6" w:space="0" w:color="auto"/>
              <w:bottom w:val="single" w:sz="6" w:space="0" w:color="auto"/>
              <w:right w:val="single" w:sz="4" w:space="0" w:color="auto"/>
            </w:tcBorders>
            <w:vAlign w:val="center"/>
            <w:hideMark/>
          </w:tcPr>
          <w:p w14:paraId="26F7EB74" w14:textId="77777777" w:rsidR="00241417" w:rsidRDefault="00241417" w:rsidP="003A71DE">
            <w:pPr>
              <w:pStyle w:val="TAC"/>
            </w:pPr>
            <w:r>
              <w:t xml:space="preserve">10 </w:t>
            </w:r>
          </w:p>
        </w:tc>
      </w:tr>
      <w:tr w:rsidR="00241417" w14:paraId="3605B4CB"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63EBF0D5" w14:textId="77777777" w:rsidR="00241417" w:rsidRDefault="00241417" w:rsidP="003A71DE">
            <w:pPr>
              <w:pStyle w:val="TAL"/>
            </w:pPr>
            <w:r>
              <w:t>Frequency domain resource</w:t>
            </w:r>
          </w:p>
        </w:tc>
        <w:tc>
          <w:tcPr>
            <w:tcW w:w="0" w:type="auto"/>
            <w:tcBorders>
              <w:top w:val="single" w:sz="6" w:space="0" w:color="auto"/>
              <w:left w:val="single" w:sz="6" w:space="0" w:color="auto"/>
              <w:bottom w:val="single" w:sz="6" w:space="0" w:color="auto"/>
              <w:right w:val="single" w:sz="6" w:space="0" w:color="auto"/>
            </w:tcBorders>
            <w:vAlign w:val="center"/>
            <w:hideMark/>
          </w:tcPr>
          <w:p w14:paraId="6D831582" w14:textId="77777777" w:rsidR="00241417" w:rsidRDefault="00241417" w:rsidP="003A71DE">
            <w:pPr>
              <w:pStyle w:val="TAL"/>
            </w:pPr>
            <w:r>
              <w:t>RB assignment</w:t>
            </w:r>
          </w:p>
        </w:tc>
        <w:tc>
          <w:tcPr>
            <w:tcW w:w="0" w:type="auto"/>
            <w:tcBorders>
              <w:top w:val="single" w:sz="6" w:space="0" w:color="auto"/>
              <w:left w:val="single" w:sz="6" w:space="0" w:color="auto"/>
              <w:bottom w:val="single" w:sz="6" w:space="0" w:color="auto"/>
              <w:right w:val="single" w:sz="4" w:space="0" w:color="auto"/>
            </w:tcBorders>
            <w:vAlign w:val="center"/>
            <w:hideMark/>
          </w:tcPr>
          <w:p w14:paraId="58DD1F46" w14:textId="77777777" w:rsidR="00241417" w:rsidRDefault="00241417" w:rsidP="003A71DE">
            <w:pPr>
              <w:pStyle w:val="TAC"/>
            </w:pPr>
            <w:r>
              <w:t>Full applicable test bandwidth</w:t>
            </w:r>
          </w:p>
        </w:tc>
      </w:tr>
      <w:tr w:rsidR="00241417" w14:paraId="0982D4A8"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13F5ACF6"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52F90B58" w14:textId="77777777" w:rsidR="00241417" w:rsidRDefault="00241417" w:rsidP="003A71DE">
            <w:pPr>
              <w:pStyle w:val="TAL"/>
            </w:pPr>
            <w:r>
              <w:t>Frequency hopping</w:t>
            </w:r>
          </w:p>
        </w:tc>
        <w:tc>
          <w:tcPr>
            <w:tcW w:w="0" w:type="auto"/>
            <w:tcBorders>
              <w:top w:val="single" w:sz="6" w:space="0" w:color="auto"/>
              <w:left w:val="single" w:sz="6" w:space="0" w:color="auto"/>
              <w:bottom w:val="single" w:sz="6" w:space="0" w:color="auto"/>
              <w:right w:val="single" w:sz="4" w:space="0" w:color="auto"/>
            </w:tcBorders>
            <w:vAlign w:val="center"/>
            <w:hideMark/>
          </w:tcPr>
          <w:p w14:paraId="37350EBA" w14:textId="77777777" w:rsidR="00241417" w:rsidRDefault="00241417" w:rsidP="003A71DE">
            <w:pPr>
              <w:pStyle w:val="TAC"/>
            </w:pPr>
            <w:r>
              <w:t>Disabled</w:t>
            </w:r>
          </w:p>
        </w:tc>
      </w:tr>
      <w:tr w:rsidR="00241417" w14:paraId="7E2E3EEB"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7B24F7C3" w14:textId="77777777" w:rsidR="00241417" w:rsidRDefault="00241417" w:rsidP="003A71DE">
            <w:pPr>
              <w:pStyle w:val="TAL"/>
            </w:pPr>
            <w:r>
              <w:rPr>
                <w:rFonts w:eastAsia="Batang"/>
              </w:rPr>
              <w:t>TPMI index</w:t>
            </w:r>
            <w:r>
              <w:rPr>
                <w:lang w:eastAsia="zh-CN"/>
              </w:rPr>
              <w:t xml:space="preserve"> for 2Tx two-layer spatial multiplexing transmission </w:t>
            </w:r>
          </w:p>
        </w:tc>
        <w:tc>
          <w:tcPr>
            <w:tcW w:w="0" w:type="auto"/>
            <w:tcBorders>
              <w:top w:val="single" w:sz="6" w:space="0" w:color="auto"/>
              <w:left w:val="single" w:sz="6" w:space="0" w:color="auto"/>
              <w:bottom w:val="single" w:sz="6" w:space="0" w:color="auto"/>
              <w:right w:val="single" w:sz="4" w:space="0" w:color="auto"/>
            </w:tcBorders>
            <w:vAlign w:val="center"/>
            <w:hideMark/>
          </w:tcPr>
          <w:p w14:paraId="5441DFA9" w14:textId="77777777" w:rsidR="00241417" w:rsidRDefault="00241417" w:rsidP="003A71DE">
            <w:pPr>
              <w:pStyle w:val="TAC"/>
            </w:pPr>
            <w:r>
              <w:rPr>
                <w:lang w:eastAsia="zh-CN"/>
              </w:rPr>
              <w:t>0</w:t>
            </w:r>
          </w:p>
        </w:tc>
      </w:tr>
      <w:tr w:rsidR="00241417" w14:paraId="7AAA3441"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4F30A61F" w14:textId="77777777" w:rsidR="00241417" w:rsidRDefault="00241417" w:rsidP="003A71DE">
            <w:pPr>
              <w:pStyle w:val="TAL"/>
            </w:pPr>
            <w:r>
              <w:t>Code block group based PUSCH transmission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1861CAB5" w14:textId="77777777" w:rsidR="00241417" w:rsidRDefault="00241417" w:rsidP="003A71DE">
            <w:pPr>
              <w:pStyle w:val="TAC"/>
            </w:pPr>
            <w:r>
              <w:t>Disabled</w:t>
            </w:r>
          </w:p>
        </w:tc>
      </w:tr>
      <w:tr w:rsidR="00241417" w14:paraId="25B2DAD5"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6EA38BC9" w14:textId="77777777" w:rsidR="00241417" w:rsidRDefault="00241417" w:rsidP="003A71DE">
            <w:pPr>
              <w:pStyle w:val="TAL"/>
              <w:rPr>
                <w:lang w:eastAsia="zh-CN"/>
              </w:rPr>
            </w:pPr>
            <w:r>
              <w:rPr>
                <w:lang w:eastAsia="zh-CN"/>
              </w:rPr>
              <w:t>PT-RS configuration</w:t>
            </w:r>
          </w:p>
        </w:tc>
        <w:tc>
          <w:tcPr>
            <w:tcW w:w="0" w:type="auto"/>
            <w:tcBorders>
              <w:top w:val="single" w:sz="6" w:space="0" w:color="auto"/>
              <w:left w:val="single" w:sz="6" w:space="0" w:color="auto"/>
              <w:bottom w:val="single" w:sz="6" w:space="0" w:color="auto"/>
              <w:right w:val="single" w:sz="6" w:space="0" w:color="auto"/>
            </w:tcBorders>
            <w:vAlign w:val="center"/>
            <w:hideMark/>
          </w:tcPr>
          <w:p w14:paraId="133686B3" w14:textId="77777777" w:rsidR="00241417" w:rsidRDefault="00241417" w:rsidP="003A71DE">
            <w:pPr>
              <w:pStyle w:val="TAL"/>
              <w:rPr>
                <w:lang w:eastAsia="zh-CN"/>
              </w:rPr>
            </w:pPr>
            <w:r>
              <w:rPr>
                <w:lang w:eastAsia="zh-CN"/>
              </w:rPr>
              <w:t>Frequency density (</w:t>
            </w:r>
            <w:r>
              <w:rPr>
                <w:i/>
                <w:lang w:eastAsia="zh-CN"/>
              </w:rPr>
              <w:t>K</w:t>
            </w:r>
            <w:r>
              <w:rPr>
                <w:i/>
                <w:vertAlign w:val="subscript"/>
                <w:lang w:eastAsia="zh-CN"/>
              </w:rPr>
              <w:t>PT-RS</w:t>
            </w:r>
            <w:r>
              <w:rPr>
                <w:lang w:eastAsia="zh-CN"/>
              </w:rPr>
              <w:t>)</w:t>
            </w:r>
          </w:p>
        </w:tc>
        <w:tc>
          <w:tcPr>
            <w:tcW w:w="0" w:type="auto"/>
            <w:tcBorders>
              <w:top w:val="single" w:sz="6" w:space="0" w:color="auto"/>
              <w:left w:val="single" w:sz="6" w:space="0" w:color="auto"/>
              <w:bottom w:val="single" w:sz="6" w:space="0" w:color="auto"/>
              <w:right w:val="single" w:sz="4" w:space="0" w:color="auto"/>
            </w:tcBorders>
            <w:vAlign w:val="center"/>
            <w:hideMark/>
          </w:tcPr>
          <w:p w14:paraId="2DDA2B10" w14:textId="77777777" w:rsidR="00241417" w:rsidRDefault="00241417" w:rsidP="003A71DE">
            <w:pPr>
              <w:pStyle w:val="TAC"/>
            </w:pPr>
            <w:r>
              <w:t>2, Disabled</w:t>
            </w:r>
          </w:p>
        </w:tc>
      </w:tr>
      <w:tr w:rsidR="00241417" w14:paraId="5D465E38"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5981E4EF"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67389092" w14:textId="77777777" w:rsidR="00241417" w:rsidRDefault="00241417" w:rsidP="003A71DE">
            <w:pPr>
              <w:pStyle w:val="TAL"/>
              <w:rPr>
                <w:lang w:eastAsia="zh-CN"/>
              </w:rPr>
            </w:pPr>
            <w:r>
              <w:rPr>
                <w:lang w:eastAsia="zh-CN"/>
              </w:rPr>
              <w:t>Time density (</w:t>
            </w:r>
            <w:r>
              <w:rPr>
                <w:i/>
                <w:lang w:eastAsia="zh-CN"/>
              </w:rPr>
              <w:t>L</w:t>
            </w:r>
            <w:r>
              <w:rPr>
                <w:i/>
                <w:vertAlign w:val="subscript"/>
                <w:lang w:eastAsia="zh-CN"/>
              </w:rPr>
              <w:t>PT-RS</w:t>
            </w:r>
            <w:r>
              <w:rPr>
                <w:lang w:eastAsia="zh-CN"/>
              </w:rPr>
              <w:t>)</w:t>
            </w:r>
          </w:p>
        </w:tc>
        <w:tc>
          <w:tcPr>
            <w:tcW w:w="0" w:type="auto"/>
            <w:tcBorders>
              <w:top w:val="single" w:sz="6" w:space="0" w:color="auto"/>
              <w:left w:val="single" w:sz="6" w:space="0" w:color="auto"/>
              <w:bottom w:val="single" w:sz="6" w:space="0" w:color="auto"/>
              <w:right w:val="single" w:sz="4" w:space="0" w:color="auto"/>
            </w:tcBorders>
            <w:vAlign w:val="center"/>
            <w:hideMark/>
          </w:tcPr>
          <w:p w14:paraId="000F1286" w14:textId="77777777" w:rsidR="00241417" w:rsidRDefault="00241417" w:rsidP="003A71DE">
            <w:pPr>
              <w:pStyle w:val="TAC"/>
            </w:pPr>
            <w:r>
              <w:t>1, Disabled</w:t>
            </w:r>
          </w:p>
        </w:tc>
      </w:tr>
      <w:tr w:rsidR="00241417" w14:paraId="6AD33C50" w14:textId="77777777" w:rsidTr="003A71DE">
        <w:trPr>
          <w:jc w:val="center"/>
        </w:trPr>
        <w:tc>
          <w:tcPr>
            <w:tcW w:w="0" w:type="auto"/>
            <w:gridSpan w:val="3"/>
            <w:tcBorders>
              <w:top w:val="single" w:sz="6" w:space="0" w:color="auto"/>
              <w:left w:val="single" w:sz="4" w:space="0" w:color="auto"/>
              <w:bottom w:val="single" w:sz="4" w:space="0" w:color="auto"/>
              <w:right w:val="single" w:sz="4" w:space="0" w:color="auto"/>
            </w:tcBorders>
            <w:vAlign w:val="center"/>
            <w:hideMark/>
          </w:tcPr>
          <w:p w14:paraId="6F996561" w14:textId="77777777" w:rsidR="00241417" w:rsidRDefault="00241417" w:rsidP="003A71DE">
            <w:pPr>
              <w:pStyle w:val="TAL"/>
              <w:rPr>
                <w:lang w:eastAsia="zh-CN"/>
              </w:rPr>
            </w:pPr>
            <w:r w:rsidRPr="00502B86">
              <w:rPr>
                <w:lang w:eastAsia="zh-CN"/>
              </w:rPr>
              <w:t>Note</w:t>
            </w:r>
            <w:r>
              <w:rPr>
                <w:lang w:eastAsia="zh-CN"/>
              </w:rPr>
              <w:t xml:space="preserve"> 1:</w:t>
            </w:r>
            <w:r>
              <w:rPr>
                <w:sz w:val="16"/>
                <w:szCs w:val="16"/>
              </w:rPr>
              <w:t xml:space="preserve"> </w:t>
            </w:r>
            <w:r>
              <w:rPr>
                <w:sz w:val="16"/>
                <w:szCs w:val="16"/>
              </w:rPr>
              <w:tab/>
            </w:r>
            <w:r>
              <w:rPr>
                <w:lang w:eastAsia="zh-CN"/>
              </w:rPr>
              <w:t>The same requirements are applicable to TDD with different UL-DL patterns.</w:t>
            </w:r>
          </w:p>
        </w:tc>
      </w:tr>
    </w:tbl>
    <w:p w14:paraId="44BDAF7D" w14:textId="77777777" w:rsidR="00241417" w:rsidRDefault="00241417" w:rsidP="00241417"/>
    <w:p w14:paraId="3C0233F0" w14:textId="77777777" w:rsidR="00241417" w:rsidRDefault="00241417" w:rsidP="00241417">
      <w:pPr>
        <w:pStyle w:val="H6"/>
      </w:pPr>
      <w:bookmarkStart w:id="7297" w:name="_Toc67916532"/>
      <w:bookmarkStart w:id="7298" w:name="_Toc61176709"/>
      <w:bookmarkStart w:id="7299" w:name="_Toc53178075"/>
      <w:bookmarkStart w:id="7300" w:name="_Toc53177623"/>
      <w:bookmarkStart w:id="7301" w:name="_Toc45893459"/>
      <w:bookmarkStart w:id="7302" w:name="_Toc37268808"/>
      <w:bookmarkStart w:id="7303" w:name="_Toc37268357"/>
      <w:bookmarkStart w:id="7304" w:name="_Toc29811402"/>
      <w:bookmarkStart w:id="7305" w:name="_Toc13079913"/>
      <w:r>
        <w:t>11.1.2.2.1.2</w:t>
      </w:r>
      <w:r>
        <w:tab/>
        <w:t>Minimum requirements</w:t>
      </w:r>
      <w:bookmarkEnd w:id="7297"/>
      <w:bookmarkEnd w:id="7298"/>
      <w:bookmarkEnd w:id="7299"/>
      <w:bookmarkEnd w:id="7300"/>
      <w:bookmarkEnd w:id="7301"/>
      <w:bookmarkEnd w:id="7302"/>
      <w:bookmarkEnd w:id="7303"/>
      <w:bookmarkEnd w:id="7304"/>
      <w:bookmarkEnd w:id="7305"/>
    </w:p>
    <w:p w14:paraId="3B8F5CBF" w14:textId="77777777" w:rsidR="00241417" w:rsidRDefault="00241417" w:rsidP="00241417">
      <w:r>
        <w:t>The throughput shall be equal to or larger than the 70% of maximum throughput stated in the tables 11.1.2.2.1</w:t>
      </w:r>
      <w:r>
        <w:rPr>
          <w:lang w:eastAsia="zh-CN"/>
        </w:rPr>
        <w:t>.2</w:t>
      </w:r>
      <w:r>
        <w:t>-1 to 11.1.2.2</w:t>
      </w:r>
      <w:r>
        <w:rPr>
          <w:lang w:eastAsia="zh-CN"/>
        </w:rPr>
        <w:t>.1.2</w:t>
      </w:r>
      <w:r>
        <w:t>-5 at the given SNR</w:t>
      </w:r>
      <w:r>
        <w:rPr>
          <w:lang w:eastAsia="zh-CN"/>
        </w:rPr>
        <w:t xml:space="preserve"> for 1Tx and for 2Tx two-layer spatial multiplexing transmission</w:t>
      </w:r>
      <w:r>
        <w:t>.</w:t>
      </w:r>
    </w:p>
    <w:p w14:paraId="05E5EE12" w14:textId="77777777" w:rsidR="00241417" w:rsidRDefault="00241417" w:rsidP="00241417">
      <w:pPr>
        <w:pStyle w:val="TH"/>
        <w:rPr>
          <w:lang w:eastAsia="zh-CN"/>
        </w:rPr>
      </w:pPr>
      <w:r>
        <w:t>Table 11.1.2.2.1.2-1: Minimum requirements for PUSCH, 50 MHz channel bandwidth</w:t>
      </w:r>
      <w:r>
        <w:rPr>
          <w:lang w:eastAsia="zh-CN"/>
        </w:rPr>
        <w:t>, 60 kHz SCS</w:t>
      </w:r>
    </w:p>
    <w:tbl>
      <w:tblPr>
        <w:tblStyle w:val="TableGrid"/>
        <w:tblW w:w="8798" w:type="dxa"/>
        <w:jc w:val="center"/>
        <w:tblLook w:val="04A0" w:firstRow="1" w:lastRow="0" w:firstColumn="1" w:lastColumn="0" w:noHBand="0" w:noVBand="1"/>
      </w:tblPr>
      <w:tblGrid>
        <w:gridCol w:w="1177"/>
        <w:gridCol w:w="1396"/>
        <w:gridCol w:w="1267"/>
        <w:gridCol w:w="1531"/>
        <w:gridCol w:w="1189"/>
        <w:gridCol w:w="1113"/>
        <w:gridCol w:w="6"/>
        <w:gridCol w:w="1119"/>
      </w:tblGrid>
      <w:tr w:rsidR="00241417" w14:paraId="45C7F218" w14:textId="77777777" w:rsidTr="003A71DE">
        <w:trPr>
          <w:jc w:val="center"/>
        </w:trPr>
        <w:tc>
          <w:tcPr>
            <w:tcW w:w="1177" w:type="dxa"/>
            <w:vAlign w:val="center"/>
          </w:tcPr>
          <w:p w14:paraId="60EAE47B" w14:textId="77777777" w:rsidR="00241417" w:rsidRDefault="00241417" w:rsidP="003A71DE">
            <w:pPr>
              <w:pStyle w:val="TAH"/>
            </w:pPr>
            <w:r w:rsidRPr="00BD6443">
              <w:t>Number of TX antennas</w:t>
            </w:r>
          </w:p>
        </w:tc>
        <w:tc>
          <w:tcPr>
            <w:tcW w:w="1396" w:type="dxa"/>
            <w:vAlign w:val="center"/>
          </w:tcPr>
          <w:p w14:paraId="2E4C2883" w14:textId="77777777" w:rsidR="00241417" w:rsidRDefault="00241417" w:rsidP="003A71DE">
            <w:pPr>
              <w:pStyle w:val="TAH"/>
            </w:pPr>
            <w:r w:rsidRPr="00BD6443">
              <w:t>Number of demodulation branches</w:t>
            </w:r>
          </w:p>
        </w:tc>
        <w:tc>
          <w:tcPr>
            <w:tcW w:w="1267" w:type="dxa"/>
            <w:vAlign w:val="center"/>
          </w:tcPr>
          <w:p w14:paraId="3ABAFDA9" w14:textId="62821EFB" w:rsidR="00241417" w:rsidRDefault="00241417" w:rsidP="003A71DE">
            <w:pPr>
              <w:pStyle w:val="TAH"/>
            </w:pPr>
            <w:r w:rsidRPr="00BD6443">
              <w:t xml:space="preserve">Propagation conditions and correlation matrix (Annex </w:t>
            </w:r>
            <w:r>
              <w:t>TBA</w:t>
            </w:r>
            <w:r w:rsidRPr="00BD6443">
              <w:t>)</w:t>
            </w:r>
          </w:p>
        </w:tc>
        <w:tc>
          <w:tcPr>
            <w:tcW w:w="1531" w:type="dxa"/>
            <w:vAlign w:val="center"/>
          </w:tcPr>
          <w:p w14:paraId="32A20E98" w14:textId="77777777" w:rsidR="00241417" w:rsidRDefault="00241417" w:rsidP="003A71DE">
            <w:pPr>
              <w:pStyle w:val="TAH"/>
            </w:pPr>
            <w:r w:rsidRPr="00BD6443">
              <w:t>FRC</w:t>
            </w:r>
            <w:r w:rsidRPr="00BD6443">
              <w:br/>
              <w:t>(Annex A)</w:t>
            </w:r>
          </w:p>
        </w:tc>
        <w:tc>
          <w:tcPr>
            <w:tcW w:w="1189" w:type="dxa"/>
            <w:vAlign w:val="center"/>
          </w:tcPr>
          <w:p w14:paraId="0E169AAA" w14:textId="77777777" w:rsidR="00241417" w:rsidRDefault="00241417" w:rsidP="003A71DE">
            <w:pPr>
              <w:pStyle w:val="TAH"/>
            </w:pPr>
            <w:r w:rsidRPr="00BD6443">
              <w:t>Additional DM-RS position</w:t>
            </w:r>
          </w:p>
        </w:tc>
        <w:tc>
          <w:tcPr>
            <w:tcW w:w="1113" w:type="dxa"/>
            <w:vAlign w:val="center"/>
          </w:tcPr>
          <w:p w14:paraId="14381D23" w14:textId="77777777" w:rsidR="00241417" w:rsidRDefault="00241417" w:rsidP="003A71DE">
            <w:pPr>
              <w:pStyle w:val="TAH"/>
            </w:pPr>
            <w:r w:rsidRPr="00BD6443">
              <w:t>PT-RS</w:t>
            </w:r>
          </w:p>
        </w:tc>
        <w:tc>
          <w:tcPr>
            <w:tcW w:w="1125" w:type="dxa"/>
            <w:gridSpan w:val="2"/>
            <w:vAlign w:val="center"/>
          </w:tcPr>
          <w:p w14:paraId="47C29617" w14:textId="77777777" w:rsidR="00241417" w:rsidRPr="00BD6443" w:rsidRDefault="00241417" w:rsidP="003A71DE">
            <w:pPr>
              <w:pStyle w:val="TAH"/>
            </w:pPr>
            <w:r w:rsidRPr="00BD6443">
              <w:t>SNR</w:t>
            </w:r>
          </w:p>
          <w:p w14:paraId="0F04CA0C" w14:textId="77777777" w:rsidR="00241417" w:rsidRDefault="00241417" w:rsidP="003A71DE">
            <w:pPr>
              <w:pStyle w:val="TAH"/>
            </w:pPr>
            <w:r w:rsidRPr="00BD6443">
              <w:t>(dB)</w:t>
            </w:r>
          </w:p>
        </w:tc>
      </w:tr>
      <w:tr w:rsidR="00241417" w14:paraId="0B76E5E2" w14:textId="77777777" w:rsidTr="003A71DE">
        <w:trPr>
          <w:jc w:val="center"/>
        </w:trPr>
        <w:tc>
          <w:tcPr>
            <w:tcW w:w="1177" w:type="dxa"/>
            <w:vMerge w:val="restart"/>
            <w:vAlign w:val="center"/>
          </w:tcPr>
          <w:p w14:paraId="229F645A" w14:textId="77777777" w:rsidR="00241417" w:rsidRDefault="00241417" w:rsidP="003A71DE">
            <w:pPr>
              <w:pStyle w:val="TAC"/>
            </w:pPr>
            <w:r>
              <w:t>1</w:t>
            </w:r>
          </w:p>
        </w:tc>
        <w:tc>
          <w:tcPr>
            <w:tcW w:w="1396" w:type="dxa"/>
            <w:vMerge w:val="restart"/>
            <w:vAlign w:val="center"/>
          </w:tcPr>
          <w:p w14:paraId="57D99E2C" w14:textId="77777777" w:rsidR="00241417" w:rsidRDefault="00241417" w:rsidP="003A71DE">
            <w:pPr>
              <w:pStyle w:val="TAC"/>
            </w:pPr>
            <w:r>
              <w:t>2</w:t>
            </w:r>
          </w:p>
        </w:tc>
        <w:tc>
          <w:tcPr>
            <w:tcW w:w="1267" w:type="dxa"/>
            <w:vMerge w:val="restart"/>
            <w:vAlign w:val="center"/>
          </w:tcPr>
          <w:p w14:paraId="5295D0C8" w14:textId="77777777" w:rsidR="00241417" w:rsidRDefault="00241417" w:rsidP="003A71DE">
            <w:pPr>
              <w:pStyle w:val="TAC"/>
            </w:pPr>
            <w:r>
              <w:t>TDLA30-300 Low</w:t>
            </w:r>
          </w:p>
        </w:tc>
        <w:tc>
          <w:tcPr>
            <w:tcW w:w="1531" w:type="dxa"/>
            <w:vAlign w:val="center"/>
          </w:tcPr>
          <w:p w14:paraId="5877577B" w14:textId="77777777" w:rsidR="00241417" w:rsidRDefault="00241417" w:rsidP="003A71DE">
            <w:pPr>
              <w:pStyle w:val="TAC"/>
            </w:pPr>
            <w:r>
              <w:t>D-FR2-A.2.1-1</w:t>
            </w:r>
          </w:p>
        </w:tc>
        <w:tc>
          <w:tcPr>
            <w:tcW w:w="1189" w:type="dxa"/>
            <w:vAlign w:val="center"/>
          </w:tcPr>
          <w:p w14:paraId="7563E6D1" w14:textId="77777777" w:rsidR="00241417" w:rsidRDefault="00241417" w:rsidP="003A71DE">
            <w:pPr>
              <w:pStyle w:val="TAC"/>
            </w:pPr>
            <w:r>
              <w:t>pos0</w:t>
            </w:r>
          </w:p>
        </w:tc>
        <w:tc>
          <w:tcPr>
            <w:tcW w:w="1113" w:type="dxa"/>
            <w:vAlign w:val="center"/>
          </w:tcPr>
          <w:p w14:paraId="149AD7AA" w14:textId="77777777" w:rsidR="00241417" w:rsidRDefault="00241417" w:rsidP="003A71DE">
            <w:pPr>
              <w:pStyle w:val="TAC"/>
            </w:pPr>
            <w:r>
              <w:t>No</w:t>
            </w:r>
          </w:p>
        </w:tc>
        <w:tc>
          <w:tcPr>
            <w:tcW w:w="1125" w:type="dxa"/>
            <w:gridSpan w:val="2"/>
            <w:vAlign w:val="center"/>
          </w:tcPr>
          <w:p w14:paraId="1350526D" w14:textId="77777777" w:rsidR="00241417" w:rsidRDefault="00241417" w:rsidP="003A71DE">
            <w:pPr>
              <w:pStyle w:val="TAC"/>
            </w:pPr>
            <w:r>
              <w:t>-2.0</w:t>
            </w:r>
          </w:p>
        </w:tc>
      </w:tr>
      <w:tr w:rsidR="00241417" w14:paraId="6C6CE4EC" w14:textId="77777777" w:rsidTr="003A71DE">
        <w:trPr>
          <w:jc w:val="center"/>
        </w:trPr>
        <w:tc>
          <w:tcPr>
            <w:tcW w:w="1177" w:type="dxa"/>
            <w:vMerge/>
          </w:tcPr>
          <w:p w14:paraId="6B5DD11C" w14:textId="77777777" w:rsidR="00241417" w:rsidRDefault="00241417" w:rsidP="003A71DE"/>
        </w:tc>
        <w:tc>
          <w:tcPr>
            <w:tcW w:w="1396" w:type="dxa"/>
            <w:vMerge/>
          </w:tcPr>
          <w:p w14:paraId="092C205A" w14:textId="77777777" w:rsidR="00241417" w:rsidRDefault="00241417" w:rsidP="003A71DE"/>
        </w:tc>
        <w:tc>
          <w:tcPr>
            <w:tcW w:w="1267" w:type="dxa"/>
            <w:vMerge/>
            <w:vAlign w:val="center"/>
          </w:tcPr>
          <w:p w14:paraId="7CE1D5DD" w14:textId="77777777" w:rsidR="00241417" w:rsidRDefault="00241417" w:rsidP="003A71DE">
            <w:pPr>
              <w:pStyle w:val="TAC"/>
            </w:pPr>
          </w:p>
        </w:tc>
        <w:tc>
          <w:tcPr>
            <w:tcW w:w="1531" w:type="dxa"/>
            <w:vAlign w:val="center"/>
          </w:tcPr>
          <w:p w14:paraId="7ED66FD3" w14:textId="77777777" w:rsidR="00241417" w:rsidRDefault="00241417" w:rsidP="003A71DE">
            <w:pPr>
              <w:pStyle w:val="TAC"/>
            </w:pPr>
            <w:r>
              <w:t>D-FR2-A.2.1-13</w:t>
            </w:r>
          </w:p>
        </w:tc>
        <w:tc>
          <w:tcPr>
            <w:tcW w:w="1189" w:type="dxa"/>
            <w:vAlign w:val="center"/>
          </w:tcPr>
          <w:p w14:paraId="038CEB44" w14:textId="77777777" w:rsidR="00241417" w:rsidRDefault="00241417" w:rsidP="003A71DE">
            <w:pPr>
              <w:pStyle w:val="TAC"/>
            </w:pPr>
            <w:r>
              <w:t>pos1</w:t>
            </w:r>
          </w:p>
        </w:tc>
        <w:tc>
          <w:tcPr>
            <w:tcW w:w="1113" w:type="dxa"/>
            <w:vAlign w:val="center"/>
          </w:tcPr>
          <w:p w14:paraId="502A3BAF" w14:textId="77777777" w:rsidR="00241417" w:rsidRDefault="00241417" w:rsidP="003A71DE">
            <w:pPr>
              <w:pStyle w:val="TAC"/>
            </w:pPr>
            <w:r>
              <w:t>No</w:t>
            </w:r>
          </w:p>
        </w:tc>
        <w:tc>
          <w:tcPr>
            <w:tcW w:w="1125" w:type="dxa"/>
            <w:gridSpan w:val="2"/>
            <w:vAlign w:val="center"/>
          </w:tcPr>
          <w:p w14:paraId="7F409A50" w14:textId="77777777" w:rsidR="00241417" w:rsidRDefault="00241417" w:rsidP="003A71DE">
            <w:pPr>
              <w:pStyle w:val="TAC"/>
            </w:pPr>
            <w:r>
              <w:t>-2.2</w:t>
            </w:r>
          </w:p>
        </w:tc>
      </w:tr>
      <w:tr w:rsidR="00241417" w14:paraId="17232B2C" w14:textId="77777777" w:rsidTr="003A71DE">
        <w:trPr>
          <w:trHeight w:val="146"/>
          <w:jc w:val="center"/>
        </w:trPr>
        <w:tc>
          <w:tcPr>
            <w:tcW w:w="1177" w:type="dxa"/>
            <w:vMerge/>
          </w:tcPr>
          <w:p w14:paraId="2897274C" w14:textId="77777777" w:rsidR="00241417" w:rsidRDefault="00241417" w:rsidP="003A71DE"/>
        </w:tc>
        <w:tc>
          <w:tcPr>
            <w:tcW w:w="1396" w:type="dxa"/>
            <w:vMerge/>
          </w:tcPr>
          <w:p w14:paraId="49CB684C" w14:textId="77777777" w:rsidR="00241417" w:rsidRDefault="00241417" w:rsidP="003A71DE"/>
        </w:tc>
        <w:tc>
          <w:tcPr>
            <w:tcW w:w="1267" w:type="dxa"/>
            <w:vMerge/>
            <w:vAlign w:val="center"/>
          </w:tcPr>
          <w:p w14:paraId="1B6D15B6" w14:textId="77777777" w:rsidR="00241417" w:rsidRDefault="00241417" w:rsidP="003A71DE">
            <w:pPr>
              <w:pStyle w:val="TAC"/>
            </w:pPr>
          </w:p>
        </w:tc>
        <w:tc>
          <w:tcPr>
            <w:tcW w:w="1531" w:type="dxa"/>
            <w:vMerge w:val="restart"/>
            <w:vAlign w:val="center"/>
          </w:tcPr>
          <w:p w14:paraId="42E6A263" w14:textId="77777777" w:rsidR="00241417" w:rsidRDefault="00241417" w:rsidP="003A71DE">
            <w:pPr>
              <w:pStyle w:val="TAC"/>
            </w:pPr>
            <w:r>
              <w:t>D-FR2-A.2.3-1</w:t>
            </w:r>
          </w:p>
        </w:tc>
        <w:tc>
          <w:tcPr>
            <w:tcW w:w="1189" w:type="dxa"/>
            <w:vMerge w:val="restart"/>
            <w:vAlign w:val="center"/>
          </w:tcPr>
          <w:p w14:paraId="24F07D71" w14:textId="77777777" w:rsidR="00241417" w:rsidRDefault="00241417" w:rsidP="003A71DE">
            <w:pPr>
              <w:pStyle w:val="TAC"/>
            </w:pPr>
            <w:r>
              <w:t>pos0</w:t>
            </w:r>
          </w:p>
        </w:tc>
        <w:tc>
          <w:tcPr>
            <w:tcW w:w="1119" w:type="dxa"/>
            <w:gridSpan w:val="2"/>
            <w:vAlign w:val="center"/>
          </w:tcPr>
          <w:p w14:paraId="39092AD9" w14:textId="77777777" w:rsidR="00241417" w:rsidRDefault="00241417" w:rsidP="003A71DE">
            <w:pPr>
              <w:pStyle w:val="TAC"/>
            </w:pPr>
            <w:r>
              <w:t>Yes</w:t>
            </w:r>
          </w:p>
        </w:tc>
        <w:tc>
          <w:tcPr>
            <w:tcW w:w="1119" w:type="dxa"/>
            <w:vAlign w:val="center"/>
          </w:tcPr>
          <w:p w14:paraId="2FBD95A8" w14:textId="77777777" w:rsidR="00241417" w:rsidRDefault="00241417" w:rsidP="003A71DE">
            <w:pPr>
              <w:pStyle w:val="TAC"/>
            </w:pPr>
            <w:r>
              <w:t>12.0</w:t>
            </w:r>
          </w:p>
        </w:tc>
      </w:tr>
      <w:tr w:rsidR="00241417" w14:paraId="32497EC7" w14:textId="77777777" w:rsidTr="003A71DE">
        <w:trPr>
          <w:trHeight w:val="145"/>
          <w:jc w:val="center"/>
        </w:trPr>
        <w:tc>
          <w:tcPr>
            <w:tcW w:w="1177" w:type="dxa"/>
            <w:vMerge/>
          </w:tcPr>
          <w:p w14:paraId="3B3BE1FE" w14:textId="77777777" w:rsidR="00241417" w:rsidRDefault="00241417" w:rsidP="003A71DE"/>
        </w:tc>
        <w:tc>
          <w:tcPr>
            <w:tcW w:w="1396" w:type="dxa"/>
            <w:vMerge/>
          </w:tcPr>
          <w:p w14:paraId="0359B128" w14:textId="77777777" w:rsidR="00241417" w:rsidRDefault="00241417" w:rsidP="003A71DE"/>
        </w:tc>
        <w:tc>
          <w:tcPr>
            <w:tcW w:w="1267" w:type="dxa"/>
            <w:vMerge/>
            <w:vAlign w:val="center"/>
          </w:tcPr>
          <w:p w14:paraId="22EE03E1" w14:textId="77777777" w:rsidR="00241417" w:rsidRDefault="00241417" w:rsidP="003A71DE">
            <w:pPr>
              <w:pStyle w:val="TAC"/>
            </w:pPr>
          </w:p>
        </w:tc>
        <w:tc>
          <w:tcPr>
            <w:tcW w:w="1531" w:type="dxa"/>
            <w:vMerge/>
            <w:vAlign w:val="center"/>
          </w:tcPr>
          <w:p w14:paraId="201798FF" w14:textId="77777777" w:rsidR="00241417" w:rsidRDefault="00241417" w:rsidP="003A71DE">
            <w:pPr>
              <w:pStyle w:val="TAC"/>
            </w:pPr>
          </w:p>
        </w:tc>
        <w:tc>
          <w:tcPr>
            <w:tcW w:w="1189" w:type="dxa"/>
            <w:vMerge/>
            <w:vAlign w:val="center"/>
          </w:tcPr>
          <w:p w14:paraId="44552256" w14:textId="77777777" w:rsidR="00241417" w:rsidRDefault="00241417" w:rsidP="003A71DE">
            <w:pPr>
              <w:pStyle w:val="TAC"/>
            </w:pPr>
          </w:p>
        </w:tc>
        <w:tc>
          <w:tcPr>
            <w:tcW w:w="1119" w:type="dxa"/>
            <w:gridSpan w:val="2"/>
            <w:vAlign w:val="center"/>
          </w:tcPr>
          <w:p w14:paraId="111323D2" w14:textId="77777777" w:rsidR="00241417" w:rsidRDefault="00241417" w:rsidP="003A71DE">
            <w:pPr>
              <w:pStyle w:val="TAC"/>
            </w:pPr>
            <w:r>
              <w:t>No</w:t>
            </w:r>
          </w:p>
        </w:tc>
        <w:tc>
          <w:tcPr>
            <w:tcW w:w="1119" w:type="dxa"/>
            <w:vAlign w:val="center"/>
          </w:tcPr>
          <w:p w14:paraId="2651FC51" w14:textId="77777777" w:rsidR="00241417" w:rsidRDefault="00241417" w:rsidP="003A71DE">
            <w:pPr>
              <w:pStyle w:val="TAC"/>
            </w:pPr>
            <w:r>
              <w:t>11.5</w:t>
            </w:r>
          </w:p>
        </w:tc>
      </w:tr>
      <w:tr w:rsidR="00241417" w14:paraId="3BF1CC7F" w14:textId="77777777" w:rsidTr="003A71DE">
        <w:trPr>
          <w:trHeight w:val="146"/>
          <w:jc w:val="center"/>
        </w:trPr>
        <w:tc>
          <w:tcPr>
            <w:tcW w:w="1177" w:type="dxa"/>
            <w:vMerge/>
          </w:tcPr>
          <w:p w14:paraId="4891597B" w14:textId="77777777" w:rsidR="00241417" w:rsidRDefault="00241417" w:rsidP="003A71DE"/>
        </w:tc>
        <w:tc>
          <w:tcPr>
            <w:tcW w:w="1396" w:type="dxa"/>
            <w:vMerge/>
          </w:tcPr>
          <w:p w14:paraId="0B229E93" w14:textId="77777777" w:rsidR="00241417" w:rsidRDefault="00241417" w:rsidP="003A71DE"/>
        </w:tc>
        <w:tc>
          <w:tcPr>
            <w:tcW w:w="1267" w:type="dxa"/>
            <w:vMerge/>
            <w:vAlign w:val="center"/>
          </w:tcPr>
          <w:p w14:paraId="4A2A2D8A" w14:textId="77777777" w:rsidR="00241417" w:rsidRDefault="00241417" w:rsidP="003A71DE">
            <w:pPr>
              <w:pStyle w:val="TAC"/>
            </w:pPr>
          </w:p>
        </w:tc>
        <w:tc>
          <w:tcPr>
            <w:tcW w:w="1531" w:type="dxa"/>
            <w:vMerge w:val="restart"/>
            <w:vAlign w:val="center"/>
          </w:tcPr>
          <w:p w14:paraId="4F21F38E" w14:textId="77777777" w:rsidR="00241417" w:rsidRDefault="00241417" w:rsidP="003A71DE">
            <w:pPr>
              <w:pStyle w:val="TAC"/>
            </w:pPr>
            <w:r>
              <w:t>D-FR2-A.2.3-11</w:t>
            </w:r>
          </w:p>
        </w:tc>
        <w:tc>
          <w:tcPr>
            <w:tcW w:w="1189" w:type="dxa"/>
            <w:vMerge w:val="restart"/>
            <w:vAlign w:val="center"/>
          </w:tcPr>
          <w:p w14:paraId="6489620E" w14:textId="77777777" w:rsidR="00241417" w:rsidRDefault="00241417" w:rsidP="003A71DE">
            <w:pPr>
              <w:pStyle w:val="TAC"/>
            </w:pPr>
            <w:r>
              <w:t>pos1</w:t>
            </w:r>
          </w:p>
        </w:tc>
        <w:tc>
          <w:tcPr>
            <w:tcW w:w="1119" w:type="dxa"/>
            <w:gridSpan w:val="2"/>
            <w:vAlign w:val="center"/>
          </w:tcPr>
          <w:p w14:paraId="05839A44" w14:textId="77777777" w:rsidR="00241417" w:rsidRDefault="00241417" w:rsidP="003A71DE">
            <w:pPr>
              <w:pStyle w:val="TAC"/>
            </w:pPr>
            <w:r>
              <w:t>Yes</w:t>
            </w:r>
          </w:p>
        </w:tc>
        <w:tc>
          <w:tcPr>
            <w:tcW w:w="1119" w:type="dxa"/>
            <w:vAlign w:val="center"/>
          </w:tcPr>
          <w:p w14:paraId="24C1DAC0" w14:textId="77777777" w:rsidR="00241417" w:rsidRDefault="00241417" w:rsidP="003A71DE">
            <w:pPr>
              <w:pStyle w:val="TAC"/>
            </w:pPr>
            <w:r>
              <w:t>10.7</w:t>
            </w:r>
          </w:p>
        </w:tc>
      </w:tr>
      <w:tr w:rsidR="00241417" w14:paraId="57C90921" w14:textId="77777777" w:rsidTr="003A71DE">
        <w:trPr>
          <w:trHeight w:val="145"/>
          <w:jc w:val="center"/>
        </w:trPr>
        <w:tc>
          <w:tcPr>
            <w:tcW w:w="1177" w:type="dxa"/>
            <w:vMerge/>
          </w:tcPr>
          <w:p w14:paraId="463EE852" w14:textId="77777777" w:rsidR="00241417" w:rsidRDefault="00241417" w:rsidP="003A71DE"/>
        </w:tc>
        <w:tc>
          <w:tcPr>
            <w:tcW w:w="1396" w:type="dxa"/>
            <w:vMerge/>
          </w:tcPr>
          <w:p w14:paraId="766376DD" w14:textId="77777777" w:rsidR="00241417" w:rsidRDefault="00241417" w:rsidP="003A71DE"/>
        </w:tc>
        <w:tc>
          <w:tcPr>
            <w:tcW w:w="1267" w:type="dxa"/>
            <w:vMerge/>
            <w:vAlign w:val="center"/>
          </w:tcPr>
          <w:p w14:paraId="60D3FDC2" w14:textId="77777777" w:rsidR="00241417" w:rsidRDefault="00241417" w:rsidP="003A71DE">
            <w:pPr>
              <w:pStyle w:val="TAC"/>
            </w:pPr>
          </w:p>
        </w:tc>
        <w:tc>
          <w:tcPr>
            <w:tcW w:w="1531" w:type="dxa"/>
            <w:vMerge/>
            <w:vAlign w:val="center"/>
          </w:tcPr>
          <w:p w14:paraId="3FBAF6E2" w14:textId="77777777" w:rsidR="00241417" w:rsidRDefault="00241417" w:rsidP="003A71DE">
            <w:pPr>
              <w:pStyle w:val="TAC"/>
            </w:pPr>
          </w:p>
        </w:tc>
        <w:tc>
          <w:tcPr>
            <w:tcW w:w="1189" w:type="dxa"/>
            <w:vMerge/>
            <w:vAlign w:val="center"/>
          </w:tcPr>
          <w:p w14:paraId="029E1C2A" w14:textId="77777777" w:rsidR="00241417" w:rsidRDefault="00241417" w:rsidP="003A71DE">
            <w:pPr>
              <w:pStyle w:val="TAC"/>
            </w:pPr>
          </w:p>
        </w:tc>
        <w:tc>
          <w:tcPr>
            <w:tcW w:w="1119" w:type="dxa"/>
            <w:gridSpan w:val="2"/>
            <w:vAlign w:val="center"/>
          </w:tcPr>
          <w:p w14:paraId="06AB257E" w14:textId="77777777" w:rsidR="00241417" w:rsidRDefault="00241417" w:rsidP="003A71DE">
            <w:pPr>
              <w:pStyle w:val="TAC"/>
            </w:pPr>
            <w:r>
              <w:t>No</w:t>
            </w:r>
          </w:p>
        </w:tc>
        <w:tc>
          <w:tcPr>
            <w:tcW w:w="1119" w:type="dxa"/>
            <w:vAlign w:val="center"/>
          </w:tcPr>
          <w:p w14:paraId="6ECA0905" w14:textId="77777777" w:rsidR="00241417" w:rsidRDefault="00241417" w:rsidP="003A71DE">
            <w:pPr>
              <w:pStyle w:val="TAC"/>
            </w:pPr>
            <w:r>
              <w:t>10.7</w:t>
            </w:r>
          </w:p>
        </w:tc>
      </w:tr>
      <w:tr w:rsidR="00241417" w14:paraId="5C535FB9" w14:textId="77777777" w:rsidTr="003A71DE">
        <w:trPr>
          <w:trHeight w:val="146"/>
          <w:jc w:val="center"/>
        </w:trPr>
        <w:tc>
          <w:tcPr>
            <w:tcW w:w="1177" w:type="dxa"/>
            <w:vMerge/>
          </w:tcPr>
          <w:p w14:paraId="56701F83" w14:textId="77777777" w:rsidR="00241417" w:rsidRDefault="00241417" w:rsidP="003A71DE"/>
        </w:tc>
        <w:tc>
          <w:tcPr>
            <w:tcW w:w="1396" w:type="dxa"/>
            <w:vMerge/>
          </w:tcPr>
          <w:p w14:paraId="2675CD57" w14:textId="77777777" w:rsidR="00241417" w:rsidRDefault="00241417" w:rsidP="003A71DE"/>
        </w:tc>
        <w:tc>
          <w:tcPr>
            <w:tcW w:w="1267" w:type="dxa"/>
            <w:vMerge w:val="restart"/>
            <w:vAlign w:val="center"/>
          </w:tcPr>
          <w:p w14:paraId="105359E6" w14:textId="77777777" w:rsidR="00241417" w:rsidRDefault="00241417" w:rsidP="003A71DE">
            <w:pPr>
              <w:pStyle w:val="TAC"/>
            </w:pPr>
            <w:r>
              <w:t>TDLA30-75 Low</w:t>
            </w:r>
          </w:p>
        </w:tc>
        <w:tc>
          <w:tcPr>
            <w:tcW w:w="1531" w:type="dxa"/>
            <w:vMerge w:val="restart"/>
            <w:vAlign w:val="center"/>
          </w:tcPr>
          <w:p w14:paraId="68AC977B" w14:textId="77777777" w:rsidR="00241417" w:rsidRDefault="00241417" w:rsidP="003A71DE">
            <w:pPr>
              <w:pStyle w:val="TAC"/>
            </w:pPr>
            <w:r>
              <w:t>D-FR2-A.2.4-1</w:t>
            </w:r>
          </w:p>
        </w:tc>
        <w:tc>
          <w:tcPr>
            <w:tcW w:w="1189" w:type="dxa"/>
            <w:vMerge w:val="restart"/>
            <w:vAlign w:val="center"/>
          </w:tcPr>
          <w:p w14:paraId="403C3C19" w14:textId="77777777" w:rsidR="00241417" w:rsidRDefault="00241417" w:rsidP="003A71DE">
            <w:pPr>
              <w:pStyle w:val="TAC"/>
            </w:pPr>
            <w:r>
              <w:t>pos0</w:t>
            </w:r>
          </w:p>
        </w:tc>
        <w:tc>
          <w:tcPr>
            <w:tcW w:w="1119" w:type="dxa"/>
            <w:gridSpan w:val="2"/>
            <w:vAlign w:val="center"/>
          </w:tcPr>
          <w:p w14:paraId="61DA72EE" w14:textId="77777777" w:rsidR="00241417" w:rsidRDefault="00241417" w:rsidP="003A71DE">
            <w:pPr>
              <w:pStyle w:val="TAC"/>
            </w:pPr>
            <w:r>
              <w:t>Yes</w:t>
            </w:r>
          </w:p>
        </w:tc>
        <w:tc>
          <w:tcPr>
            <w:tcW w:w="1119" w:type="dxa"/>
            <w:vAlign w:val="center"/>
          </w:tcPr>
          <w:p w14:paraId="14780B3A" w14:textId="77777777" w:rsidR="00241417" w:rsidRDefault="00241417" w:rsidP="003A71DE">
            <w:pPr>
              <w:pStyle w:val="TAC"/>
            </w:pPr>
            <w:r>
              <w:t>13.7</w:t>
            </w:r>
          </w:p>
        </w:tc>
      </w:tr>
      <w:tr w:rsidR="00241417" w14:paraId="16458F27" w14:textId="77777777" w:rsidTr="003A71DE">
        <w:trPr>
          <w:trHeight w:val="145"/>
          <w:jc w:val="center"/>
        </w:trPr>
        <w:tc>
          <w:tcPr>
            <w:tcW w:w="1177" w:type="dxa"/>
            <w:vMerge/>
          </w:tcPr>
          <w:p w14:paraId="058C2A21" w14:textId="77777777" w:rsidR="00241417" w:rsidRDefault="00241417" w:rsidP="003A71DE"/>
        </w:tc>
        <w:tc>
          <w:tcPr>
            <w:tcW w:w="1396" w:type="dxa"/>
            <w:vMerge/>
          </w:tcPr>
          <w:p w14:paraId="6D38F95F" w14:textId="77777777" w:rsidR="00241417" w:rsidRDefault="00241417" w:rsidP="003A71DE"/>
        </w:tc>
        <w:tc>
          <w:tcPr>
            <w:tcW w:w="1267" w:type="dxa"/>
            <w:vMerge/>
            <w:vAlign w:val="center"/>
          </w:tcPr>
          <w:p w14:paraId="3DC392FE" w14:textId="77777777" w:rsidR="00241417" w:rsidRDefault="00241417" w:rsidP="003A71DE">
            <w:pPr>
              <w:pStyle w:val="TAC"/>
            </w:pPr>
          </w:p>
        </w:tc>
        <w:tc>
          <w:tcPr>
            <w:tcW w:w="1531" w:type="dxa"/>
            <w:vMerge/>
            <w:vAlign w:val="center"/>
          </w:tcPr>
          <w:p w14:paraId="12EB0041" w14:textId="77777777" w:rsidR="00241417" w:rsidRDefault="00241417" w:rsidP="003A71DE">
            <w:pPr>
              <w:pStyle w:val="TAC"/>
            </w:pPr>
          </w:p>
        </w:tc>
        <w:tc>
          <w:tcPr>
            <w:tcW w:w="1189" w:type="dxa"/>
            <w:vMerge/>
            <w:vAlign w:val="center"/>
          </w:tcPr>
          <w:p w14:paraId="5C757941" w14:textId="77777777" w:rsidR="00241417" w:rsidRDefault="00241417" w:rsidP="003A71DE">
            <w:pPr>
              <w:pStyle w:val="TAC"/>
            </w:pPr>
          </w:p>
        </w:tc>
        <w:tc>
          <w:tcPr>
            <w:tcW w:w="1119" w:type="dxa"/>
            <w:gridSpan w:val="2"/>
            <w:vAlign w:val="center"/>
          </w:tcPr>
          <w:p w14:paraId="21B9A2EF" w14:textId="77777777" w:rsidR="00241417" w:rsidRDefault="00241417" w:rsidP="003A71DE">
            <w:pPr>
              <w:pStyle w:val="TAC"/>
            </w:pPr>
            <w:r>
              <w:t>No</w:t>
            </w:r>
          </w:p>
        </w:tc>
        <w:tc>
          <w:tcPr>
            <w:tcW w:w="1119" w:type="dxa"/>
            <w:vAlign w:val="center"/>
          </w:tcPr>
          <w:p w14:paraId="69AC6903" w14:textId="77777777" w:rsidR="00241417" w:rsidRDefault="00241417" w:rsidP="003A71DE">
            <w:pPr>
              <w:pStyle w:val="TAC"/>
            </w:pPr>
            <w:r>
              <w:t>13.1</w:t>
            </w:r>
          </w:p>
        </w:tc>
      </w:tr>
      <w:tr w:rsidR="00241417" w14:paraId="131C5043" w14:textId="77777777" w:rsidTr="003A71DE">
        <w:trPr>
          <w:trHeight w:val="146"/>
          <w:jc w:val="center"/>
        </w:trPr>
        <w:tc>
          <w:tcPr>
            <w:tcW w:w="1177" w:type="dxa"/>
            <w:vMerge/>
          </w:tcPr>
          <w:p w14:paraId="059196B3" w14:textId="77777777" w:rsidR="00241417" w:rsidRDefault="00241417" w:rsidP="003A71DE"/>
        </w:tc>
        <w:tc>
          <w:tcPr>
            <w:tcW w:w="1396" w:type="dxa"/>
            <w:vMerge/>
          </w:tcPr>
          <w:p w14:paraId="3D4F081A" w14:textId="77777777" w:rsidR="00241417" w:rsidRDefault="00241417" w:rsidP="003A71DE"/>
        </w:tc>
        <w:tc>
          <w:tcPr>
            <w:tcW w:w="1267" w:type="dxa"/>
            <w:vMerge/>
            <w:vAlign w:val="center"/>
          </w:tcPr>
          <w:p w14:paraId="1BF69454" w14:textId="77777777" w:rsidR="00241417" w:rsidRDefault="00241417" w:rsidP="003A71DE">
            <w:pPr>
              <w:pStyle w:val="TAC"/>
            </w:pPr>
          </w:p>
        </w:tc>
        <w:tc>
          <w:tcPr>
            <w:tcW w:w="1531" w:type="dxa"/>
            <w:vMerge w:val="restart"/>
            <w:vAlign w:val="center"/>
          </w:tcPr>
          <w:p w14:paraId="5DA52DE9" w14:textId="77777777" w:rsidR="00241417" w:rsidRDefault="00241417" w:rsidP="003A71DE">
            <w:pPr>
              <w:pStyle w:val="TAC"/>
            </w:pPr>
            <w:r>
              <w:t>D-FR2-A.2.4-6</w:t>
            </w:r>
          </w:p>
        </w:tc>
        <w:tc>
          <w:tcPr>
            <w:tcW w:w="1189" w:type="dxa"/>
            <w:vMerge w:val="restart"/>
            <w:vAlign w:val="center"/>
          </w:tcPr>
          <w:p w14:paraId="24DF23DB" w14:textId="77777777" w:rsidR="00241417" w:rsidRDefault="00241417" w:rsidP="003A71DE">
            <w:pPr>
              <w:pStyle w:val="TAC"/>
            </w:pPr>
            <w:r>
              <w:t>pos1</w:t>
            </w:r>
          </w:p>
        </w:tc>
        <w:tc>
          <w:tcPr>
            <w:tcW w:w="1119" w:type="dxa"/>
            <w:gridSpan w:val="2"/>
            <w:vAlign w:val="center"/>
          </w:tcPr>
          <w:p w14:paraId="1F6F44BA" w14:textId="77777777" w:rsidR="00241417" w:rsidRDefault="00241417" w:rsidP="003A71DE">
            <w:pPr>
              <w:pStyle w:val="TAC"/>
            </w:pPr>
            <w:r>
              <w:t>Yes</w:t>
            </w:r>
          </w:p>
        </w:tc>
        <w:tc>
          <w:tcPr>
            <w:tcW w:w="1119" w:type="dxa"/>
            <w:vAlign w:val="center"/>
          </w:tcPr>
          <w:p w14:paraId="0AAC67F1" w14:textId="77777777" w:rsidR="00241417" w:rsidRDefault="00241417" w:rsidP="003A71DE">
            <w:pPr>
              <w:pStyle w:val="TAC"/>
            </w:pPr>
            <w:r>
              <w:t>13.4</w:t>
            </w:r>
          </w:p>
        </w:tc>
      </w:tr>
      <w:tr w:rsidR="00241417" w14:paraId="2EDBCA3E" w14:textId="77777777" w:rsidTr="003A71DE">
        <w:trPr>
          <w:trHeight w:val="145"/>
          <w:jc w:val="center"/>
        </w:trPr>
        <w:tc>
          <w:tcPr>
            <w:tcW w:w="1177" w:type="dxa"/>
            <w:vMerge/>
          </w:tcPr>
          <w:p w14:paraId="403FC74C" w14:textId="77777777" w:rsidR="00241417" w:rsidRDefault="00241417" w:rsidP="003A71DE"/>
        </w:tc>
        <w:tc>
          <w:tcPr>
            <w:tcW w:w="1396" w:type="dxa"/>
            <w:vMerge/>
          </w:tcPr>
          <w:p w14:paraId="69CD87D9" w14:textId="77777777" w:rsidR="00241417" w:rsidRDefault="00241417" w:rsidP="003A71DE"/>
        </w:tc>
        <w:tc>
          <w:tcPr>
            <w:tcW w:w="1267" w:type="dxa"/>
            <w:vMerge/>
            <w:vAlign w:val="center"/>
          </w:tcPr>
          <w:p w14:paraId="0CE1767D" w14:textId="77777777" w:rsidR="00241417" w:rsidRDefault="00241417" w:rsidP="003A71DE">
            <w:pPr>
              <w:pStyle w:val="TAC"/>
            </w:pPr>
          </w:p>
        </w:tc>
        <w:tc>
          <w:tcPr>
            <w:tcW w:w="1531" w:type="dxa"/>
            <w:vMerge/>
            <w:vAlign w:val="center"/>
          </w:tcPr>
          <w:p w14:paraId="408B470B" w14:textId="77777777" w:rsidR="00241417" w:rsidRDefault="00241417" w:rsidP="003A71DE">
            <w:pPr>
              <w:pStyle w:val="TAC"/>
            </w:pPr>
          </w:p>
        </w:tc>
        <w:tc>
          <w:tcPr>
            <w:tcW w:w="1189" w:type="dxa"/>
            <w:vMerge/>
            <w:vAlign w:val="center"/>
          </w:tcPr>
          <w:p w14:paraId="3A313C3A" w14:textId="77777777" w:rsidR="00241417" w:rsidRDefault="00241417" w:rsidP="003A71DE">
            <w:pPr>
              <w:pStyle w:val="TAC"/>
            </w:pPr>
          </w:p>
        </w:tc>
        <w:tc>
          <w:tcPr>
            <w:tcW w:w="1119" w:type="dxa"/>
            <w:gridSpan w:val="2"/>
            <w:vAlign w:val="center"/>
          </w:tcPr>
          <w:p w14:paraId="0DE03EA3" w14:textId="77777777" w:rsidR="00241417" w:rsidRDefault="00241417" w:rsidP="003A71DE">
            <w:pPr>
              <w:pStyle w:val="TAC"/>
            </w:pPr>
            <w:r>
              <w:t>No</w:t>
            </w:r>
          </w:p>
        </w:tc>
        <w:tc>
          <w:tcPr>
            <w:tcW w:w="1119" w:type="dxa"/>
            <w:vAlign w:val="center"/>
          </w:tcPr>
          <w:p w14:paraId="6ECFA437" w14:textId="77777777" w:rsidR="00241417" w:rsidRDefault="00241417" w:rsidP="003A71DE">
            <w:pPr>
              <w:pStyle w:val="TAC"/>
            </w:pPr>
            <w:r>
              <w:t>12.9</w:t>
            </w:r>
          </w:p>
        </w:tc>
      </w:tr>
      <w:tr w:rsidR="00241417" w14:paraId="617E49E8" w14:textId="77777777" w:rsidTr="003A71DE">
        <w:trPr>
          <w:jc w:val="center"/>
        </w:trPr>
        <w:tc>
          <w:tcPr>
            <w:tcW w:w="1177" w:type="dxa"/>
            <w:vMerge w:val="restart"/>
            <w:vAlign w:val="center"/>
          </w:tcPr>
          <w:p w14:paraId="40EA7488" w14:textId="77777777" w:rsidR="00241417" w:rsidRDefault="00241417" w:rsidP="003A71DE">
            <w:pPr>
              <w:pStyle w:val="TAC"/>
            </w:pPr>
            <w:r>
              <w:t>2</w:t>
            </w:r>
          </w:p>
        </w:tc>
        <w:tc>
          <w:tcPr>
            <w:tcW w:w="1396" w:type="dxa"/>
            <w:vMerge/>
          </w:tcPr>
          <w:p w14:paraId="7D854E3C" w14:textId="77777777" w:rsidR="00241417" w:rsidRDefault="00241417" w:rsidP="003A71DE"/>
        </w:tc>
        <w:tc>
          <w:tcPr>
            <w:tcW w:w="1267" w:type="dxa"/>
            <w:vMerge w:val="restart"/>
            <w:vAlign w:val="center"/>
          </w:tcPr>
          <w:p w14:paraId="7E1742E9" w14:textId="77777777" w:rsidR="00241417" w:rsidRDefault="00241417" w:rsidP="003A71DE">
            <w:pPr>
              <w:pStyle w:val="TAC"/>
            </w:pPr>
            <w:r w:rsidRPr="009A074B">
              <w:t>TDLA30-300 Low</w:t>
            </w:r>
          </w:p>
        </w:tc>
        <w:tc>
          <w:tcPr>
            <w:tcW w:w="1531" w:type="dxa"/>
            <w:vAlign w:val="center"/>
          </w:tcPr>
          <w:p w14:paraId="5D6EF33B" w14:textId="77777777" w:rsidR="00241417" w:rsidRDefault="00241417" w:rsidP="003A71DE">
            <w:pPr>
              <w:pStyle w:val="TAC"/>
            </w:pPr>
            <w:r>
              <w:t>D-FR2-A.2.1-6</w:t>
            </w:r>
          </w:p>
        </w:tc>
        <w:tc>
          <w:tcPr>
            <w:tcW w:w="1189" w:type="dxa"/>
            <w:vAlign w:val="center"/>
          </w:tcPr>
          <w:p w14:paraId="047611C1" w14:textId="77777777" w:rsidR="00241417" w:rsidRDefault="00241417" w:rsidP="003A71DE">
            <w:pPr>
              <w:pStyle w:val="TAC"/>
            </w:pPr>
            <w:r>
              <w:t>pos0</w:t>
            </w:r>
          </w:p>
        </w:tc>
        <w:tc>
          <w:tcPr>
            <w:tcW w:w="1113" w:type="dxa"/>
            <w:vAlign w:val="center"/>
          </w:tcPr>
          <w:p w14:paraId="4093BB22" w14:textId="77777777" w:rsidR="00241417" w:rsidRDefault="00241417" w:rsidP="003A71DE">
            <w:pPr>
              <w:pStyle w:val="TAC"/>
            </w:pPr>
            <w:r>
              <w:t>No</w:t>
            </w:r>
          </w:p>
        </w:tc>
        <w:tc>
          <w:tcPr>
            <w:tcW w:w="1125" w:type="dxa"/>
            <w:gridSpan w:val="2"/>
            <w:vAlign w:val="center"/>
          </w:tcPr>
          <w:p w14:paraId="7E7ECCA8" w14:textId="77777777" w:rsidR="00241417" w:rsidRDefault="00241417" w:rsidP="003A71DE">
            <w:pPr>
              <w:pStyle w:val="TAC"/>
            </w:pPr>
            <w:r>
              <w:t>1.5</w:t>
            </w:r>
          </w:p>
        </w:tc>
      </w:tr>
      <w:tr w:rsidR="00241417" w14:paraId="61674727" w14:textId="77777777" w:rsidTr="003A71DE">
        <w:trPr>
          <w:jc w:val="center"/>
        </w:trPr>
        <w:tc>
          <w:tcPr>
            <w:tcW w:w="1177" w:type="dxa"/>
            <w:vMerge/>
          </w:tcPr>
          <w:p w14:paraId="44E6334E" w14:textId="77777777" w:rsidR="00241417" w:rsidRDefault="00241417" w:rsidP="003A71DE"/>
        </w:tc>
        <w:tc>
          <w:tcPr>
            <w:tcW w:w="1396" w:type="dxa"/>
            <w:vMerge/>
          </w:tcPr>
          <w:p w14:paraId="4E4B1200" w14:textId="77777777" w:rsidR="00241417" w:rsidRDefault="00241417" w:rsidP="003A71DE"/>
        </w:tc>
        <w:tc>
          <w:tcPr>
            <w:tcW w:w="1267" w:type="dxa"/>
            <w:vMerge/>
          </w:tcPr>
          <w:p w14:paraId="30FE5B99" w14:textId="77777777" w:rsidR="00241417" w:rsidRDefault="00241417" w:rsidP="003A71DE"/>
        </w:tc>
        <w:tc>
          <w:tcPr>
            <w:tcW w:w="1531" w:type="dxa"/>
            <w:vAlign w:val="center"/>
          </w:tcPr>
          <w:p w14:paraId="290CCF01" w14:textId="77777777" w:rsidR="00241417" w:rsidRDefault="00241417" w:rsidP="003A71DE">
            <w:pPr>
              <w:pStyle w:val="TAC"/>
            </w:pPr>
            <w:r>
              <w:t>D-FR2-A.2.1-18</w:t>
            </w:r>
          </w:p>
        </w:tc>
        <w:tc>
          <w:tcPr>
            <w:tcW w:w="1189" w:type="dxa"/>
            <w:vAlign w:val="center"/>
          </w:tcPr>
          <w:p w14:paraId="6B6E2BB5" w14:textId="77777777" w:rsidR="00241417" w:rsidRDefault="00241417" w:rsidP="003A71DE">
            <w:pPr>
              <w:pStyle w:val="TAC"/>
            </w:pPr>
            <w:r>
              <w:t>pos1</w:t>
            </w:r>
          </w:p>
        </w:tc>
        <w:tc>
          <w:tcPr>
            <w:tcW w:w="1113" w:type="dxa"/>
            <w:vAlign w:val="center"/>
          </w:tcPr>
          <w:p w14:paraId="7C8FB07E" w14:textId="77777777" w:rsidR="00241417" w:rsidRDefault="00241417" w:rsidP="003A71DE">
            <w:pPr>
              <w:pStyle w:val="TAC"/>
            </w:pPr>
            <w:r>
              <w:t>No</w:t>
            </w:r>
          </w:p>
        </w:tc>
        <w:tc>
          <w:tcPr>
            <w:tcW w:w="1125" w:type="dxa"/>
            <w:gridSpan w:val="2"/>
            <w:vAlign w:val="center"/>
          </w:tcPr>
          <w:p w14:paraId="2F72C7C9" w14:textId="77777777" w:rsidR="00241417" w:rsidRDefault="00241417" w:rsidP="003A71DE">
            <w:pPr>
              <w:pStyle w:val="TAC"/>
            </w:pPr>
            <w:r>
              <w:t>1.2</w:t>
            </w:r>
          </w:p>
        </w:tc>
      </w:tr>
      <w:tr w:rsidR="00241417" w14:paraId="3CB190E3" w14:textId="77777777" w:rsidTr="003A71DE">
        <w:trPr>
          <w:trHeight w:val="146"/>
          <w:jc w:val="center"/>
        </w:trPr>
        <w:tc>
          <w:tcPr>
            <w:tcW w:w="1177" w:type="dxa"/>
            <w:vMerge/>
          </w:tcPr>
          <w:p w14:paraId="52219AE7" w14:textId="77777777" w:rsidR="00241417" w:rsidRDefault="00241417" w:rsidP="003A71DE"/>
        </w:tc>
        <w:tc>
          <w:tcPr>
            <w:tcW w:w="1396" w:type="dxa"/>
            <w:vMerge/>
          </w:tcPr>
          <w:p w14:paraId="6E4073CB" w14:textId="77777777" w:rsidR="00241417" w:rsidRDefault="00241417" w:rsidP="003A71DE"/>
        </w:tc>
        <w:tc>
          <w:tcPr>
            <w:tcW w:w="1267" w:type="dxa"/>
            <w:vMerge/>
          </w:tcPr>
          <w:p w14:paraId="39A737D2" w14:textId="77777777" w:rsidR="00241417" w:rsidRDefault="00241417" w:rsidP="003A71DE"/>
        </w:tc>
        <w:tc>
          <w:tcPr>
            <w:tcW w:w="1531" w:type="dxa"/>
            <w:vMerge w:val="restart"/>
            <w:vAlign w:val="center"/>
          </w:tcPr>
          <w:p w14:paraId="5F153D8B" w14:textId="77777777" w:rsidR="00241417" w:rsidRDefault="00241417" w:rsidP="003A71DE">
            <w:pPr>
              <w:pStyle w:val="TAC"/>
            </w:pPr>
            <w:r>
              <w:t>D-FR2-A.2.2-1</w:t>
            </w:r>
          </w:p>
        </w:tc>
        <w:tc>
          <w:tcPr>
            <w:tcW w:w="1189" w:type="dxa"/>
            <w:vMerge w:val="restart"/>
            <w:vAlign w:val="center"/>
          </w:tcPr>
          <w:p w14:paraId="4CE6D78F" w14:textId="77777777" w:rsidR="00241417" w:rsidRDefault="00241417" w:rsidP="003A71DE">
            <w:pPr>
              <w:pStyle w:val="TAC"/>
            </w:pPr>
            <w:r>
              <w:t>pos0</w:t>
            </w:r>
          </w:p>
        </w:tc>
        <w:tc>
          <w:tcPr>
            <w:tcW w:w="1119" w:type="dxa"/>
            <w:gridSpan w:val="2"/>
            <w:vAlign w:val="center"/>
          </w:tcPr>
          <w:p w14:paraId="4EE86F87" w14:textId="77777777" w:rsidR="00241417" w:rsidRDefault="00241417" w:rsidP="003A71DE">
            <w:pPr>
              <w:pStyle w:val="TAC"/>
            </w:pPr>
            <w:r>
              <w:t>Yes</w:t>
            </w:r>
          </w:p>
        </w:tc>
        <w:tc>
          <w:tcPr>
            <w:tcW w:w="1119" w:type="dxa"/>
            <w:vAlign w:val="center"/>
          </w:tcPr>
          <w:p w14:paraId="460B5B12" w14:textId="77777777" w:rsidR="00241417" w:rsidRDefault="00241417" w:rsidP="003A71DE">
            <w:pPr>
              <w:pStyle w:val="TAC"/>
            </w:pPr>
            <w:r>
              <w:t>15.2</w:t>
            </w:r>
          </w:p>
        </w:tc>
      </w:tr>
      <w:tr w:rsidR="00241417" w14:paraId="58A4EF03" w14:textId="77777777" w:rsidTr="003A71DE">
        <w:trPr>
          <w:trHeight w:val="145"/>
          <w:jc w:val="center"/>
        </w:trPr>
        <w:tc>
          <w:tcPr>
            <w:tcW w:w="1177" w:type="dxa"/>
            <w:vMerge/>
          </w:tcPr>
          <w:p w14:paraId="03103C05" w14:textId="77777777" w:rsidR="00241417" w:rsidRDefault="00241417" w:rsidP="003A71DE"/>
        </w:tc>
        <w:tc>
          <w:tcPr>
            <w:tcW w:w="1396" w:type="dxa"/>
            <w:vMerge/>
          </w:tcPr>
          <w:p w14:paraId="20DB4058" w14:textId="77777777" w:rsidR="00241417" w:rsidRDefault="00241417" w:rsidP="003A71DE"/>
        </w:tc>
        <w:tc>
          <w:tcPr>
            <w:tcW w:w="1267" w:type="dxa"/>
            <w:vMerge/>
          </w:tcPr>
          <w:p w14:paraId="1640301D" w14:textId="77777777" w:rsidR="00241417" w:rsidRDefault="00241417" w:rsidP="003A71DE"/>
        </w:tc>
        <w:tc>
          <w:tcPr>
            <w:tcW w:w="1531" w:type="dxa"/>
            <w:vMerge/>
            <w:vAlign w:val="center"/>
          </w:tcPr>
          <w:p w14:paraId="37827F3C" w14:textId="77777777" w:rsidR="00241417" w:rsidRDefault="00241417" w:rsidP="003A71DE">
            <w:pPr>
              <w:pStyle w:val="TAC"/>
            </w:pPr>
          </w:p>
        </w:tc>
        <w:tc>
          <w:tcPr>
            <w:tcW w:w="1189" w:type="dxa"/>
            <w:vMerge/>
            <w:vAlign w:val="center"/>
          </w:tcPr>
          <w:p w14:paraId="2457EB34" w14:textId="77777777" w:rsidR="00241417" w:rsidRDefault="00241417" w:rsidP="003A71DE">
            <w:pPr>
              <w:pStyle w:val="TAC"/>
            </w:pPr>
          </w:p>
        </w:tc>
        <w:tc>
          <w:tcPr>
            <w:tcW w:w="1119" w:type="dxa"/>
            <w:gridSpan w:val="2"/>
            <w:vAlign w:val="center"/>
          </w:tcPr>
          <w:p w14:paraId="5BE6EB87" w14:textId="77777777" w:rsidR="00241417" w:rsidRDefault="00241417" w:rsidP="003A71DE">
            <w:pPr>
              <w:pStyle w:val="TAC"/>
            </w:pPr>
            <w:r>
              <w:t>No</w:t>
            </w:r>
          </w:p>
        </w:tc>
        <w:tc>
          <w:tcPr>
            <w:tcW w:w="1119" w:type="dxa"/>
            <w:vAlign w:val="center"/>
          </w:tcPr>
          <w:p w14:paraId="44E67861" w14:textId="77777777" w:rsidR="00241417" w:rsidRDefault="00241417" w:rsidP="003A71DE">
            <w:pPr>
              <w:pStyle w:val="TAC"/>
            </w:pPr>
            <w:r>
              <w:t>14.3</w:t>
            </w:r>
          </w:p>
        </w:tc>
      </w:tr>
      <w:tr w:rsidR="00241417" w14:paraId="46E4D2C4" w14:textId="77777777" w:rsidTr="003A71DE">
        <w:trPr>
          <w:trHeight w:val="146"/>
          <w:jc w:val="center"/>
        </w:trPr>
        <w:tc>
          <w:tcPr>
            <w:tcW w:w="1177" w:type="dxa"/>
            <w:vMerge/>
          </w:tcPr>
          <w:p w14:paraId="4A7234C2" w14:textId="77777777" w:rsidR="00241417" w:rsidRDefault="00241417" w:rsidP="003A71DE"/>
        </w:tc>
        <w:tc>
          <w:tcPr>
            <w:tcW w:w="1396" w:type="dxa"/>
            <w:vMerge/>
          </w:tcPr>
          <w:p w14:paraId="1A5EDB2F" w14:textId="77777777" w:rsidR="00241417" w:rsidRDefault="00241417" w:rsidP="003A71DE"/>
        </w:tc>
        <w:tc>
          <w:tcPr>
            <w:tcW w:w="1267" w:type="dxa"/>
            <w:vMerge/>
          </w:tcPr>
          <w:p w14:paraId="440B5258" w14:textId="77777777" w:rsidR="00241417" w:rsidRDefault="00241417" w:rsidP="003A71DE"/>
        </w:tc>
        <w:tc>
          <w:tcPr>
            <w:tcW w:w="1531" w:type="dxa"/>
            <w:vMerge w:val="restart"/>
            <w:vAlign w:val="center"/>
          </w:tcPr>
          <w:p w14:paraId="0162E39F" w14:textId="77777777" w:rsidR="00241417" w:rsidRDefault="00241417" w:rsidP="003A71DE">
            <w:pPr>
              <w:pStyle w:val="TAC"/>
            </w:pPr>
            <w:r>
              <w:t>D-FR2-A.2.2-6</w:t>
            </w:r>
          </w:p>
        </w:tc>
        <w:tc>
          <w:tcPr>
            <w:tcW w:w="1189" w:type="dxa"/>
            <w:vMerge w:val="restart"/>
            <w:vAlign w:val="center"/>
          </w:tcPr>
          <w:p w14:paraId="49C30295" w14:textId="77777777" w:rsidR="00241417" w:rsidRDefault="00241417" w:rsidP="003A71DE">
            <w:pPr>
              <w:pStyle w:val="TAC"/>
            </w:pPr>
            <w:r>
              <w:t>pos1</w:t>
            </w:r>
          </w:p>
        </w:tc>
        <w:tc>
          <w:tcPr>
            <w:tcW w:w="1119" w:type="dxa"/>
            <w:gridSpan w:val="2"/>
            <w:vAlign w:val="center"/>
          </w:tcPr>
          <w:p w14:paraId="5946F455" w14:textId="77777777" w:rsidR="00241417" w:rsidRDefault="00241417" w:rsidP="003A71DE">
            <w:pPr>
              <w:pStyle w:val="TAC"/>
            </w:pPr>
            <w:r>
              <w:t>Yes</w:t>
            </w:r>
          </w:p>
        </w:tc>
        <w:tc>
          <w:tcPr>
            <w:tcW w:w="1119" w:type="dxa"/>
            <w:vAlign w:val="center"/>
          </w:tcPr>
          <w:p w14:paraId="12183CE5" w14:textId="77777777" w:rsidR="00241417" w:rsidRDefault="00241417" w:rsidP="003A71DE">
            <w:pPr>
              <w:pStyle w:val="TAC"/>
            </w:pPr>
            <w:r>
              <w:t>13.8</w:t>
            </w:r>
          </w:p>
        </w:tc>
      </w:tr>
      <w:tr w:rsidR="00241417" w14:paraId="7E9E6A4E" w14:textId="77777777" w:rsidTr="003A71DE">
        <w:trPr>
          <w:trHeight w:val="145"/>
          <w:jc w:val="center"/>
        </w:trPr>
        <w:tc>
          <w:tcPr>
            <w:tcW w:w="1177" w:type="dxa"/>
            <w:vMerge/>
          </w:tcPr>
          <w:p w14:paraId="53767E2C" w14:textId="77777777" w:rsidR="00241417" w:rsidRDefault="00241417" w:rsidP="003A71DE"/>
        </w:tc>
        <w:tc>
          <w:tcPr>
            <w:tcW w:w="1396" w:type="dxa"/>
            <w:vMerge/>
          </w:tcPr>
          <w:p w14:paraId="03D33714" w14:textId="77777777" w:rsidR="00241417" w:rsidRDefault="00241417" w:rsidP="003A71DE"/>
        </w:tc>
        <w:tc>
          <w:tcPr>
            <w:tcW w:w="1267" w:type="dxa"/>
            <w:vMerge/>
          </w:tcPr>
          <w:p w14:paraId="58F4AC9E" w14:textId="77777777" w:rsidR="00241417" w:rsidRDefault="00241417" w:rsidP="003A71DE"/>
        </w:tc>
        <w:tc>
          <w:tcPr>
            <w:tcW w:w="1531" w:type="dxa"/>
            <w:vMerge/>
          </w:tcPr>
          <w:p w14:paraId="3D8F05A3" w14:textId="77777777" w:rsidR="00241417" w:rsidRDefault="00241417" w:rsidP="003A71DE">
            <w:pPr>
              <w:pStyle w:val="TAC"/>
            </w:pPr>
          </w:p>
        </w:tc>
        <w:tc>
          <w:tcPr>
            <w:tcW w:w="1189" w:type="dxa"/>
            <w:vMerge/>
            <w:vAlign w:val="center"/>
          </w:tcPr>
          <w:p w14:paraId="32D808B2" w14:textId="77777777" w:rsidR="00241417" w:rsidRDefault="00241417" w:rsidP="003A71DE">
            <w:pPr>
              <w:jc w:val="center"/>
            </w:pPr>
          </w:p>
        </w:tc>
        <w:tc>
          <w:tcPr>
            <w:tcW w:w="1119" w:type="dxa"/>
            <w:gridSpan w:val="2"/>
            <w:vAlign w:val="center"/>
          </w:tcPr>
          <w:p w14:paraId="24D25D46" w14:textId="77777777" w:rsidR="00241417" w:rsidRDefault="00241417" w:rsidP="003A71DE">
            <w:pPr>
              <w:pStyle w:val="TAC"/>
            </w:pPr>
            <w:r>
              <w:t>No</w:t>
            </w:r>
          </w:p>
        </w:tc>
        <w:tc>
          <w:tcPr>
            <w:tcW w:w="1119" w:type="dxa"/>
            <w:vAlign w:val="center"/>
          </w:tcPr>
          <w:p w14:paraId="3550FA48" w14:textId="77777777" w:rsidR="00241417" w:rsidRDefault="00241417" w:rsidP="003A71DE">
            <w:pPr>
              <w:pStyle w:val="TAC"/>
            </w:pPr>
            <w:r>
              <w:t>13.0</w:t>
            </w:r>
          </w:p>
        </w:tc>
      </w:tr>
    </w:tbl>
    <w:p w14:paraId="1E611D7C" w14:textId="77777777" w:rsidR="00241417" w:rsidRDefault="00241417" w:rsidP="00241417"/>
    <w:p w14:paraId="0EB4EE4C" w14:textId="77777777" w:rsidR="00241417" w:rsidRDefault="00241417" w:rsidP="00241417">
      <w:pPr>
        <w:pStyle w:val="TH"/>
      </w:pPr>
      <w:r w:rsidRPr="00BD6443">
        <w:lastRenderedPageBreak/>
        <w:t>Table 11.</w:t>
      </w:r>
      <w:r>
        <w:t>1.</w:t>
      </w:r>
      <w:r w:rsidRPr="00BD6443">
        <w:t>2.2.1.2-2: Minimum requirements for PUSCH, 100 MHz channel bandwidth, 60 kHz SCS</w:t>
      </w:r>
    </w:p>
    <w:tbl>
      <w:tblPr>
        <w:tblStyle w:val="TableGrid"/>
        <w:tblW w:w="8798" w:type="dxa"/>
        <w:jc w:val="center"/>
        <w:tblLook w:val="04A0" w:firstRow="1" w:lastRow="0" w:firstColumn="1" w:lastColumn="0" w:noHBand="0" w:noVBand="1"/>
      </w:tblPr>
      <w:tblGrid>
        <w:gridCol w:w="1177"/>
        <w:gridCol w:w="1396"/>
        <w:gridCol w:w="1267"/>
        <w:gridCol w:w="1531"/>
        <w:gridCol w:w="1189"/>
        <w:gridCol w:w="1113"/>
        <w:gridCol w:w="6"/>
        <w:gridCol w:w="1119"/>
      </w:tblGrid>
      <w:tr w:rsidR="00241417" w14:paraId="7DC4E9A9" w14:textId="77777777" w:rsidTr="003A71DE">
        <w:trPr>
          <w:jc w:val="center"/>
        </w:trPr>
        <w:tc>
          <w:tcPr>
            <w:tcW w:w="1177" w:type="dxa"/>
            <w:vAlign w:val="center"/>
          </w:tcPr>
          <w:p w14:paraId="4E26A1B1" w14:textId="77777777" w:rsidR="00241417" w:rsidRDefault="00241417" w:rsidP="003A71DE">
            <w:pPr>
              <w:pStyle w:val="TAH"/>
            </w:pPr>
            <w:r w:rsidRPr="00BD6443">
              <w:t>Number of TX antennas</w:t>
            </w:r>
          </w:p>
        </w:tc>
        <w:tc>
          <w:tcPr>
            <w:tcW w:w="1396" w:type="dxa"/>
            <w:vAlign w:val="center"/>
          </w:tcPr>
          <w:p w14:paraId="3B15D31A" w14:textId="77777777" w:rsidR="00241417" w:rsidRDefault="00241417" w:rsidP="003A71DE">
            <w:pPr>
              <w:pStyle w:val="TAH"/>
            </w:pPr>
            <w:r w:rsidRPr="00BD6443">
              <w:t>Number of demodulation branches</w:t>
            </w:r>
          </w:p>
        </w:tc>
        <w:tc>
          <w:tcPr>
            <w:tcW w:w="1267" w:type="dxa"/>
            <w:vAlign w:val="center"/>
          </w:tcPr>
          <w:p w14:paraId="4F505114" w14:textId="34EB62A5" w:rsidR="00241417" w:rsidRDefault="00241417" w:rsidP="003A71DE">
            <w:pPr>
              <w:pStyle w:val="TAH"/>
            </w:pPr>
            <w:r w:rsidRPr="00BD6443">
              <w:t xml:space="preserve">Propagation conditions and correlation matrix (Annex </w:t>
            </w:r>
            <w:r>
              <w:t>TBA</w:t>
            </w:r>
            <w:r w:rsidRPr="00BD6443">
              <w:t>)</w:t>
            </w:r>
          </w:p>
        </w:tc>
        <w:tc>
          <w:tcPr>
            <w:tcW w:w="1531" w:type="dxa"/>
            <w:vAlign w:val="center"/>
          </w:tcPr>
          <w:p w14:paraId="574354CA" w14:textId="77777777" w:rsidR="00241417" w:rsidRDefault="00241417" w:rsidP="003A71DE">
            <w:pPr>
              <w:pStyle w:val="TAH"/>
            </w:pPr>
            <w:r w:rsidRPr="00BD6443">
              <w:t>FRC</w:t>
            </w:r>
            <w:r w:rsidRPr="00BD6443">
              <w:br/>
              <w:t>(Annex A)</w:t>
            </w:r>
          </w:p>
        </w:tc>
        <w:tc>
          <w:tcPr>
            <w:tcW w:w="1189" w:type="dxa"/>
            <w:vAlign w:val="center"/>
          </w:tcPr>
          <w:p w14:paraId="4D18B222" w14:textId="77777777" w:rsidR="00241417" w:rsidRDefault="00241417" w:rsidP="003A71DE">
            <w:pPr>
              <w:pStyle w:val="TAH"/>
            </w:pPr>
            <w:r w:rsidRPr="00BD6443">
              <w:t>Additional DM-RS position</w:t>
            </w:r>
          </w:p>
        </w:tc>
        <w:tc>
          <w:tcPr>
            <w:tcW w:w="1113" w:type="dxa"/>
            <w:vAlign w:val="center"/>
          </w:tcPr>
          <w:p w14:paraId="477699A5" w14:textId="77777777" w:rsidR="00241417" w:rsidRDefault="00241417" w:rsidP="003A71DE">
            <w:pPr>
              <w:pStyle w:val="TAH"/>
            </w:pPr>
            <w:r w:rsidRPr="00BD6443">
              <w:t>PT-RS</w:t>
            </w:r>
          </w:p>
        </w:tc>
        <w:tc>
          <w:tcPr>
            <w:tcW w:w="1125" w:type="dxa"/>
            <w:gridSpan w:val="2"/>
            <w:vAlign w:val="center"/>
          </w:tcPr>
          <w:p w14:paraId="2BF119DF" w14:textId="77777777" w:rsidR="00241417" w:rsidRPr="00BD6443" w:rsidRDefault="00241417" w:rsidP="003A71DE">
            <w:pPr>
              <w:pStyle w:val="TAH"/>
            </w:pPr>
            <w:r w:rsidRPr="00BD6443">
              <w:t>SNR</w:t>
            </w:r>
          </w:p>
          <w:p w14:paraId="5B7A4C10" w14:textId="77777777" w:rsidR="00241417" w:rsidRDefault="00241417" w:rsidP="003A71DE">
            <w:pPr>
              <w:pStyle w:val="TAH"/>
            </w:pPr>
            <w:r w:rsidRPr="00BD6443">
              <w:t>(dB)</w:t>
            </w:r>
          </w:p>
        </w:tc>
      </w:tr>
      <w:tr w:rsidR="00241417" w14:paraId="7D304CAB" w14:textId="77777777" w:rsidTr="003A71DE">
        <w:trPr>
          <w:jc w:val="center"/>
        </w:trPr>
        <w:tc>
          <w:tcPr>
            <w:tcW w:w="1177" w:type="dxa"/>
            <w:vMerge w:val="restart"/>
            <w:vAlign w:val="center"/>
          </w:tcPr>
          <w:p w14:paraId="0644EF29" w14:textId="77777777" w:rsidR="00241417" w:rsidRDefault="00241417" w:rsidP="003A71DE">
            <w:pPr>
              <w:pStyle w:val="TAC"/>
            </w:pPr>
            <w:r>
              <w:t>1</w:t>
            </w:r>
          </w:p>
        </w:tc>
        <w:tc>
          <w:tcPr>
            <w:tcW w:w="1396" w:type="dxa"/>
            <w:vMerge w:val="restart"/>
            <w:vAlign w:val="center"/>
          </w:tcPr>
          <w:p w14:paraId="1D97A7A0" w14:textId="77777777" w:rsidR="00241417" w:rsidRDefault="00241417" w:rsidP="003A71DE">
            <w:pPr>
              <w:pStyle w:val="TAC"/>
            </w:pPr>
            <w:r>
              <w:t>2</w:t>
            </w:r>
          </w:p>
        </w:tc>
        <w:tc>
          <w:tcPr>
            <w:tcW w:w="1267" w:type="dxa"/>
            <w:vMerge w:val="restart"/>
            <w:vAlign w:val="center"/>
          </w:tcPr>
          <w:p w14:paraId="5E0673A6" w14:textId="77777777" w:rsidR="00241417" w:rsidRDefault="00241417" w:rsidP="003A71DE">
            <w:pPr>
              <w:pStyle w:val="TAC"/>
            </w:pPr>
            <w:r>
              <w:t>TDLA30-300 Low</w:t>
            </w:r>
          </w:p>
        </w:tc>
        <w:tc>
          <w:tcPr>
            <w:tcW w:w="1531" w:type="dxa"/>
            <w:vAlign w:val="center"/>
          </w:tcPr>
          <w:p w14:paraId="388F8EEE" w14:textId="77777777" w:rsidR="00241417" w:rsidRDefault="00241417" w:rsidP="003A71DE">
            <w:pPr>
              <w:pStyle w:val="TAC"/>
            </w:pPr>
            <w:r w:rsidRPr="006F612E">
              <w:t>D-FR2-A.2.1-2</w:t>
            </w:r>
          </w:p>
        </w:tc>
        <w:tc>
          <w:tcPr>
            <w:tcW w:w="1189" w:type="dxa"/>
            <w:vAlign w:val="center"/>
          </w:tcPr>
          <w:p w14:paraId="766B2250" w14:textId="77777777" w:rsidR="00241417" w:rsidRDefault="00241417" w:rsidP="003A71DE">
            <w:pPr>
              <w:pStyle w:val="TAC"/>
            </w:pPr>
            <w:r w:rsidRPr="00BD6443">
              <w:t>pos0</w:t>
            </w:r>
          </w:p>
        </w:tc>
        <w:tc>
          <w:tcPr>
            <w:tcW w:w="1113" w:type="dxa"/>
            <w:vAlign w:val="center"/>
          </w:tcPr>
          <w:p w14:paraId="07105FCF" w14:textId="77777777" w:rsidR="00241417" w:rsidRDefault="00241417" w:rsidP="003A71DE">
            <w:pPr>
              <w:pStyle w:val="TAC"/>
            </w:pPr>
            <w:r>
              <w:t>No</w:t>
            </w:r>
          </w:p>
        </w:tc>
        <w:tc>
          <w:tcPr>
            <w:tcW w:w="1125" w:type="dxa"/>
            <w:gridSpan w:val="2"/>
            <w:vAlign w:val="center"/>
          </w:tcPr>
          <w:p w14:paraId="1A384EB6" w14:textId="77777777" w:rsidR="00241417" w:rsidRDefault="00241417" w:rsidP="003A71DE">
            <w:pPr>
              <w:pStyle w:val="TAC"/>
            </w:pPr>
            <w:r w:rsidRPr="00BD6443">
              <w:t>-2.1</w:t>
            </w:r>
          </w:p>
        </w:tc>
      </w:tr>
      <w:tr w:rsidR="00241417" w14:paraId="455AD10F" w14:textId="77777777" w:rsidTr="003A71DE">
        <w:trPr>
          <w:jc w:val="center"/>
        </w:trPr>
        <w:tc>
          <w:tcPr>
            <w:tcW w:w="1177" w:type="dxa"/>
            <w:vMerge/>
          </w:tcPr>
          <w:p w14:paraId="40FA30EF" w14:textId="77777777" w:rsidR="00241417" w:rsidRDefault="00241417" w:rsidP="003A71DE"/>
        </w:tc>
        <w:tc>
          <w:tcPr>
            <w:tcW w:w="1396" w:type="dxa"/>
            <w:vMerge/>
          </w:tcPr>
          <w:p w14:paraId="5934218E" w14:textId="77777777" w:rsidR="00241417" w:rsidRDefault="00241417" w:rsidP="003A71DE"/>
        </w:tc>
        <w:tc>
          <w:tcPr>
            <w:tcW w:w="1267" w:type="dxa"/>
            <w:vMerge/>
            <w:vAlign w:val="center"/>
          </w:tcPr>
          <w:p w14:paraId="3FF83188" w14:textId="77777777" w:rsidR="00241417" w:rsidRDefault="00241417" w:rsidP="003A71DE">
            <w:pPr>
              <w:pStyle w:val="TAC"/>
            </w:pPr>
          </w:p>
        </w:tc>
        <w:tc>
          <w:tcPr>
            <w:tcW w:w="1531" w:type="dxa"/>
            <w:vAlign w:val="center"/>
          </w:tcPr>
          <w:p w14:paraId="2F910C4B" w14:textId="77777777" w:rsidR="00241417" w:rsidRDefault="00241417" w:rsidP="003A71DE">
            <w:pPr>
              <w:pStyle w:val="TAC"/>
            </w:pPr>
            <w:r w:rsidRPr="006F612E">
              <w:t>D-FR2-A.2.1-14</w:t>
            </w:r>
          </w:p>
        </w:tc>
        <w:tc>
          <w:tcPr>
            <w:tcW w:w="1189" w:type="dxa"/>
            <w:vAlign w:val="center"/>
          </w:tcPr>
          <w:p w14:paraId="6A916393" w14:textId="77777777" w:rsidR="00241417" w:rsidRDefault="00241417" w:rsidP="003A71DE">
            <w:pPr>
              <w:pStyle w:val="TAC"/>
            </w:pPr>
            <w:r w:rsidRPr="00BD6443">
              <w:t>pos1</w:t>
            </w:r>
          </w:p>
        </w:tc>
        <w:tc>
          <w:tcPr>
            <w:tcW w:w="1113" w:type="dxa"/>
            <w:vAlign w:val="center"/>
          </w:tcPr>
          <w:p w14:paraId="66A5DF6F" w14:textId="77777777" w:rsidR="00241417" w:rsidRDefault="00241417" w:rsidP="003A71DE">
            <w:pPr>
              <w:pStyle w:val="TAC"/>
            </w:pPr>
            <w:r>
              <w:t>No</w:t>
            </w:r>
          </w:p>
        </w:tc>
        <w:tc>
          <w:tcPr>
            <w:tcW w:w="1125" w:type="dxa"/>
            <w:gridSpan w:val="2"/>
            <w:vAlign w:val="center"/>
          </w:tcPr>
          <w:p w14:paraId="047987C9" w14:textId="77777777" w:rsidR="00241417" w:rsidRDefault="00241417" w:rsidP="003A71DE">
            <w:pPr>
              <w:pStyle w:val="TAC"/>
            </w:pPr>
            <w:r w:rsidRPr="00BD6443">
              <w:t>-2.4</w:t>
            </w:r>
          </w:p>
        </w:tc>
      </w:tr>
      <w:tr w:rsidR="00241417" w14:paraId="292E4CD9" w14:textId="77777777" w:rsidTr="003A71DE">
        <w:trPr>
          <w:trHeight w:val="146"/>
          <w:jc w:val="center"/>
        </w:trPr>
        <w:tc>
          <w:tcPr>
            <w:tcW w:w="1177" w:type="dxa"/>
            <w:vMerge/>
          </w:tcPr>
          <w:p w14:paraId="4812F847" w14:textId="77777777" w:rsidR="00241417" w:rsidRDefault="00241417" w:rsidP="003A71DE"/>
        </w:tc>
        <w:tc>
          <w:tcPr>
            <w:tcW w:w="1396" w:type="dxa"/>
            <w:vMerge/>
          </w:tcPr>
          <w:p w14:paraId="1ACB8EBE" w14:textId="77777777" w:rsidR="00241417" w:rsidRDefault="00241417" w:rsidP="003A71DE"/>
        </w:tc>
        <w:tc>
          <w:tcPr>
            <w:tcW w:w="1267" w:type="dxa"/>
            <w:vMerge/>
            <w:vAlign w:val="center"/>
          </w:tcPr>
          <w:p w14:paraId="0E2FC56D" w14:textId="77777777" w:rsidR="00241417" w:rsidRDefault="00241417" w:rsidP="003A71DE">
            <w:pPr>
              <w:pStyle w:val="TAC"/>
            </w:pPr>
          </w:p>
        </w:tc>
        <w:tc>
          <w:tcPr>
            <w:tcW w:w="1531" w:type="dxa"/>
            <w:vMerge w:val="restart"/>
            <w:vAlign w:val="center"/>
          </w:tcPr>
          <w:p w14:paraId="59B59520" w14:textId="77777777" w:rsidR="00241417" w:rsidRDefault="00241417" w:rsidP="003A71DE">
            <w:pPr>
              <w:pStyle w:val="TAC"/>
            </w:pPr>
            <w:r w:rsidRPr="006F612E">
              <w:t>D-FR2-A.2.3-2</w:t>
            </w:r>
          </w:p>
          <w:p w14:paraId="2626E51D" w14:textId="77777777" w:rsidR="00241417" w:rsidRDefault="00241417" w:rsidP="003A71DE">
            <w:pPr>
              <w:pStyle w:val="TAC"/>
            </w:pPr>
          </w:p>
        </w:tc>
        <w:tc>
          <w:tcPr>
            <w:tcW w:w="1189" w:type="dxa"/>
            <w:vMerge w:val="restart"/>
            <w:vAlign w:val="center"/>
          </w:tcPr>
          <w:p w14:paraId="3D304002" w14:textId="77777777" w:rsidR="00241417" w:rsidRDefault="00241417" w:rsidP="003A71DE">
            <w:pPr>
              <w:pStyle w:val="TAC"/>
            </w:pPr>
            <w:r w:rsidRPr="00BD6443">
              <w:t>pos0</w:t>
            </w:r>
          </w:p>
        </w:tc>
        <w:tc>
          <w:tcPr>
            <w:tcW w:w="1119" w:type="dxa"/>
            <w:gridSpan w:val="2"/>
            <w:vAlign w:val="center"/>
          </w:tcPr>
          <w:p w14:paraId="7F146896" w14:textId="77777777" w:rsidR="00241417" w:rsidRDefault="00241417" w:rsidP="003A71DE">
            <w:pPr>
              <w:pStyle w:val="TAC"/>
            </w:pPr>
            <w:r>
              <w:t>Yes</w:t>
            </w:r>
          </w:p>
        </w:tc>
        <w:tc>
          <w:tcPr>
            <w:tcW w:w="1119" w:type="dxa"/>
            <w:vAlign w:val="center"/>
          </w:tcPr>
          <w:p w14:paraId="4CFD36DB" w14:textId="77777777" w:rsidR="00241417" w:rsidRDefault="00241417" w:rsidP="003A71DE">
            <w:pPr>
              <w:pStyle w:val="TAC"/>
            </w:pPr>
            <w:r w:rsidRPr="00BD6443">
              <w:t>12.2</w:t>
            </w:r>
          </w:p>
        </w:tc>
      </w:tr>
      <w:tr w:rsidR="00241417" w14:paraId="57E8F512" w14:textId="77777777" w:rsidTr="003A71DE">
        <w:trPr>
          <w:trHeight w:val="145"/>
          <w:jc w:val="center"/>
        </w:trPr>
        <w:tc>
          <w:tcPr>
            <w:tcW w:w="1177" w:type="dxa"/>
            <w:vMerge/>
          </w:tcPr>
          <w:p w14:paraId="7046D9C6" w14:textId="77777777" w:rsidR="00241417" w:rsidRDefault="00241417" w:rsidP="003A71DE"/>
        </w:tc>
        <w:tc>
          <w:tcPr>
            <w:tcW w:w="1396" w:type="dxa"/>
            <w:vMerge/>
          </w:tcPr>
          <w:p w14:paraId="691D82EE" w14:textId="77777777" w:rsidR="00241417" w:rsidRDefault="00241417" w:rsidP="003A71DE"/>
        </w:tc>
        <w:tc>
          <w:tcPr>
            <w:tcW w:w="1267" w:type="dxa"/>
            <w:vMerge/>
            <w:vAlign w:val="center"/>
          </w:tcPr>
          <w:p w14:paraId="2C34C3FF" w14:textId="77777777" w:rsidR="00241417" w:rsidRDefault="00241417" w:rsidP="003A71DE">
            <w:pPr>
              <w:pStyle w:val="TAC"/>
            </w:pPr>
          </w:p>
        </w:tc>
        <w:tc>
          <w:tcPr>
            <w:tcW w:w="1531" w:type="dxa"/>
            <w:vMerge/>
            <w:vAlign w:val="center"/>
          </w:tcPr>
          <w:p w14:paraId="7F4FD7D0" w14:textId="77777777" w:rsidR="00241417" w:rsidRDefault="00241417" w:rsidP="003A71DE">
            <w:pPr>
              <w:pStyle w:val="TAC"/>
            </w:pPr>
          </w:p>
        </w:tc>
        <w:tc>
          <w:tcPr>
            <w:tcW w:w="1189" w:type="dxa"/>
            <w:vMerge/>
            <w:vAlign w:val="center"/>
          </w:tcPr>
          <w:p w14:paraId="35174006" w14:textId="77777777" w:rsidR="00241417" w:rsidRDefault="00241417" w:rsidP="003A71DE">
            <w:pPr>
              <w:pStyle w:val="TAC"/>
            </w:pPr>
          </w:p>
        </w:tc>
        <w:tc>
          <w:tcPr>
            <w:tcW w:w="1119" w:type="dxa"/>
            <w:gridSpan w:val="2"/>
            <w:vAlign w:val="center"/>
          </w:tcPr>
          <w:p w14:paraId="57FFEA97" w14:textId="77777777" w:rsidR="00241417" w:rsidRDefault="00241417" w:rsidP="003A71DE">
            <w:pPr>
              <w:pStyle w:val="TAC"/>
            </w:pPr>
            <w:r>
              <w:t>No</w:t>
            </w:r>
          </w:p>
        </w:tc>
        <w:tc>
          <w:tcPr>
            <w:tcW w:w="1119" w:type="dxa"/>
            <w:vAlign w:val="center"/>
          </w:tcPr>
          <w:p w14:paraId="0FD7767B" w14:textId="77777777" w:rsidR="00241417" w:rsidRDefault="00241417" w:rsidP="003A71DE">
            <w:pPr>
              <w:pStyle w:val="TAC"/>
            </w:pPr>
            <w:r w:rsidRPr="00BD6443">
              <w:t>11.2</w:t>
            </w:r>
          </w:p>
        </w:tc>
      </w:tr>
      <w:tr w:rsidR="00241417" w14:paraId="796C8A55" w14:textId="77777777" w:rsidTr="003A71DE">
        <w:trPr>
          <w:trHeight w:val="146"/>
          <w:jc w:val="center"/>
        </w:trPr>
        <w:tc>
          <w:tcPr>
            <w:tcW w:w="1177" w:type="dxa"/>
            <w:vMerge/>
          </w:tcPr>
          <w:p w14:paraId="1F0E89B5" w14:textId="77777777" w:rsidR="00241417" w:rsidRDefault="00241417" w:rsidP="003A71DE"/>
        </w:tc>
        <w:tc>
          <w:tcPr>
            <w:tcW w:w="1396" w:type="dxa"/>
            <w:vMerge/>
          </w:tcPr>
          <w:p w14:paraId="0BC5BA40" w14:textId="77777777" w:rsidR="00241417" w:rsidRDefault="00241417" w:rsidP="003A71DE"/>
        </w:tc>
        <w:tc>
          <w:tcPr>
            <w:tcW w:w="1267" w:type="dxa"/>
            <w:vMerge/>
            <w:vAlign w:val="center"/>
          </w:tcPr>
          <w:p w14:paraId="3B86E664" w14:textId="77777777" w:rsidR="00241417" w:rsidRDefault="00241417" w:rsidP="003A71DE">
            <w:pPr>
              <w:pStyle w:val="TAC"/>
            </w:pPr>
          </w:p>
        </w:tc>
        <w:tc>
          <w:tcPr>
            <w:tcW w:w="1531" w:type="dxa"/>
            <w:vMerge w:val="restart"/>
            <w:vAlign w:val="center"/>
          </w:tcPr>
          <w:p w14:paraId="41416C8F" w14:textId="77777777" w:rsidR="00241417" w:rsidRDefault="00241417" w:rsidP="003A71DE">
            <w:pPr>
              <w:pStyle w:val="TAC"/>
            </w:pPr>
            <w:r w:rsidRPr="006F612E">
              <w:t>D-FR2-A.2.3-12</w:t>
            </w:r>
          </w:p>
          <w:p w14:paraId="05EE88D0" w14:textId="77777777" w:rsidR="00241417" w:rsidRDefault="00241417" w:rsidP="003A71DE">
            <w:pPr>
              <w:pStyle w:val="TAC"/>
            </w:pPr>
          </w:p>
        </w:tc>
        <w:tc>
          <w:tcPr>
            <w:tcW w:w="1189" w:type="dxa"/>
            <w:vMerge w:val="restart"/>
            <w:vAlign w:val="center"/>
          </w:tcPr>
          <w:p w14:paraId="2B034564" w14:textId="77777777" w:rsidR="00241417" w:rsidRDefault="00241417" w:rsidP="003A71DE">
            <w:pPr>
              <w:pStyle w:val="TAC"/>
            </w:pPr>
            <w:r w:rsidRPr="00BD6443">
              <w:t>pos1</w:t>
            </w:r>
          </w:p>
        </w:tc>
        <w:tc>
          <w:tcPr>
            <w:tcW w:w="1119" w:type="dxa"/>
            <w:gridSpan w:val="2"/>
            <w:vAlign w:val="center"/>
          </w:tcPr>
          <w:p w14:paraId="3789DF27" w14:textId="77777777" w:rsidR="00241417" w:rsidRDefault="00241417" w:rsidP="003A71DE">
            <w:pPr>
              <w:pStyle w:val="TAC"/>
            </w:pPr>
            <w:r>
              <w:t>Yes</w:t>
            </w:r>
          </w:p>
        </w:tc>
        <w:tc>
          <w:tcPr>
            <w:tcW w:w="1119" w:type="dxa"/>
            <w:vAlign w:val="center"/>
          </w:tcPr>
          <w:p w14:paraId="3F429C22" w14:textId="77777777" w:rsidR="00241417" w:rsidRDefault="00241417" w:rsidP="003A71DE">
            <w:pPr>
              <w:pStyle w:val="TAC"/>
            </w:pPr>
            <w:r w:rsidRPr="00BD6443">
              <w:t>11.2</w:t>
            </w:r>
          </w:p>
        </w:tc>
      </w:tr>
      <w:tr w:rsidR="00241417" w14:paraId="7E544CC0" w14:textId="77777777" w:rsidTr="003A71DE">
        <w:trPr>
          <w:trHeight w:val="145"/>
          <w:jc w:val="center"/>
        </w:trPr>
        <w:tc>
          <w:tcPr>
            <w:tcW w:w="1177" w:type="dxa"/>
            <w:vMerge/>
          </w:tcPr>
          <w:p w14:paraId="5403D1BE" w14:textId="77777777" w:rsidR="00241417" w:rsidRDefault="00241417" w:rsidP="003A71DE"/>
        </w:tc>
        <w:tc>
          <w:tcPr>
            <w:tcW w:w="1396" w:type="dxa"/>
            <w:vMerge/>
          </w:tcPr>
          <w:p w14:paraId="31925166" w14:textId="77777777" w:rsidR="00241417" w:rsidRDefault="00241417" w:rsidP="003A71DE"/>
        </w:tc>
        <w:tc>
          <w:tcPr>
            <w:tcW w:w="1267" w:type="dxa"/>
            <w:vMerge/>
            <w:vAlign w:val="center"/>
          </w:tcPr>
          <w:p w14:paraId="554974B2" w14:textId="77777777" w:rsidR="00241417" w:rsidRDefault="00241417" w:rsidP="003A71DE">
            <w:pPr>
              <w:pStyle w:val="TAC"/>
            </w:pPr>
          </w:p>
        </w:tc>
        <w:tc>
          <w:tcPr>
            <w:tcW w:w="1531" w:type="dxa"/>
            <w:vMerge/>
            <w:vAlign w:val="center"/>
          </w:tcPr>
          <w:p w14:paraId="7E0EA4CE" w14:textId="77777777" w:rsidR="00241417" w:rsidRDefault="00241417" w:rsidP="003A71DE">
            <w:pPr>
              <w:pStyle w:val="TAC"/>
            </w:pPr>
          </w:p>
        </w:tc>
        <w:tc>
          <w:tcPr>
            <w:tcW w:w="1189" w:type="dxa"/>
            <w:vMerge/>
            <w:vAlign w:val="center"/>
          </w:tcPr>
          <w:p w14:paraId="12D5725E" w14:textId="77777777" w:rsidR="00241417" w:rsidRDefault="00241417" w:rsidP="003A71DE">
            <w:pPr>
              <w:pStyle w:val="TAC"/>
            </w:pPr>
          </w:p>
        </w:tc>
        <w:tc>
          <w:tcPr>
            <w:tcW w:w="1119" w:type="dxa"/>
            <w:gridSpan w:val="2"/>
            <w:vAlign w:val="center"/>
          </w:tcPr>
          <w:p w14:paraId="2191399F" w14:textId="77777777" w:rsidR="00241417" w:rsidRDefault="00241417" w:rsidP="003A71DE">
            <w:pPr>
              <w:pStyle w:val="TAC"/>
            </w:pPr>
            <w:r>
              <w:t>No</w:t>
            </w:r>
          </w:p>
        </w:tc>
        <w:tc>
          <w:tcPr>
            <w:tcW w:w="1119" w:type="dxa"/>
            <w:vAlign w:val="center"/>
          </w:tcPr>
          <w:p w14:paraId="5B5C4873" w14:textId="77777777" w:rsidR="00241417" w:rsidRDefault="00241417" w:rsidP="003A71DE">
            <w:pPr>
              <w:pStyle w:val="TAC"/>
            </w:pPr>
            <w:r w:rsidRPr="00BD6443">
              <w:t>10.6</w:t>
            </w:r>
          </w:p>
        </w:tc>
      </w:tr>
      <w:tr w:rsidR="00241417" w14:paraId="0A31CF24" w14:textId="77777777" w:rsidTr="003A71DE">
        <w:trPr>
          <w:trHeight w:val="146"/>
          <w:jc w:val="center"/>
        </w:trPr>
        <w:tc>
          <w:tcPr>
            <w:tcW w:w="1177" w:type="dxa"/>
            <w:vMerge/>
          </w:tcPr>
          <w:p w14:paraId="03114DF3" w14:textId="77777777" w:rsidR="00241417" w:rsidRDefault="00241417" w:rsidP="003A71DE"/>
        </w:tc>
        <w:tc>
          <w:tcPr>
            <w:tcW w:w="1396" w:type="dxa"/>
            <w:vMerge/>
          </w:tcPr>
          <w:p w14:paraId="49E821D8" w14:textId="77777777" w:rsidR="00241417" w:rsidRDefault="00241417" w:rsidP="003A71DE"/>
        </w:tc>
        <w:tc>
          <w:tcPr>
            <w:tcW w:w="1267" w:type="dxa"/>
            <w:vMerge w:val="restart"/>
            <w:vAlign w:val="center"/>
          </w:tcPr>
          <w:p w14:paraId="696728A5" w14:textId="77777777" w:rsidR="00241417" w:rsidRDefault="00241417" w:rsidP="003A71DE">
            <w:pPr>
              <w:pStyle w:val="TAC"/>
            </w:pPr>
            <w:r>
              <w:t>TDLA30-75 Low</w:t>
            </w:r>
          </w:p>
        </w:tc>
        <w:tc>
          <w:tcPr>
            <w:tcW w:w="1531" w:type="dxa"/>
            <w:vMerge w:val="restart"/>
            <w:vAlign w:val="center"/>
          </w:tcPr>
          <w:p w14:paraId="358F363B" w14:textId="77777777" w:rsidR="00241417" w:rsidRDefault="00241417" w:rsidP="003A71DE">
            <w:pPr>
              <w:pStyle w:val="TAC"/>
            </w:pPr>
            <w:r w:rsidRPr="006F612E">
              <w:t>D-FR2-A.2.4-2</w:t>
            </w:r>
          </w:p>
          <w:p w14:paraId="52204BAD" w14:textId="77777777" w:rsidR="00241417" w:rsidRDefault="00241417" w:rsidP="003A71DE">
            <w:pPr>
              <w:pStyle w:val="TAC"/>
            </w:pPr>
          </w:p>
        </w:tc>
        <w:tc>
          <w:tcPr>
            <w:tcW w:w="1189" w:type="dxa"/>
            <w:vMerge w:val="restart"/>
            <w:vAlign w:val="center"/>
          </w:tcPr>
          <w:p w14:paraId="3C04084F" w14:textId="77777777" w:rsidR="00241417" w:rsidRDefault="00241417" w:rsidP="003A71DE">
            <w:pPr>
              <w:pStyle w:val="TAC"/>
            </w:pPr>
            <w:r w:rsidRPr="00BD6443">
              <w:t>pos0</w:t>
            </w:r>
          </w:p>
        </w:tc>
        <w:tc>
          <w:tcPr>
            <w:tcW w:w="1119" w:type="dxa"/>
            <w:gridSpan w:val="2"/>
            <w:vAlign w:val="center"/>
          </w:tcPr>
          <w:p w14:paraId="01BF9E16" w14:textId="77777777" w:rsidR="00241417" w:rsidRDefault="00241417" w:rsidP="003A71DE">
            <w:pPr>
              <w:pStyle w:val="TAC"/>
            </w:pPr>
            <w:r>
              <w:t>Yes</w:t>
            </w:r>
          </w:p>
        </w:tc>
        <w:tc>
          <w:tcPr>
            <w:tcW w:w="1119" w:type="dxa"/>
            <w:vAlign w:val="center"/>
          </w:tcPr>
          <w:p w14:paraId="2F206E3C" w14:textId="77777777" w:rsidR="00241417" w:rsidRDefault="00241417" w:rsidP="003A71DE">
            <w:pPr>
              <w:pStyle w:val="TAC"/>
            </w:pPr>
            <w:r w:rsidRPr="00BD6443">
              <w:t>14.2</w:t>
            </w:r>
          </w:p>
        </w:tc>
      </w:tr>
      <w:tr w:rsidR="00241417" w14:paraId="0297F34A" w14:textId="77777777" w:rsidTr="003A71DE">
        <w:trPr>
          <w:trHeight w:val="145"/>
          <w:jc w:val="center"/>
        </w:trPr>
        <w:tc>
          <w:tcPr>
            <w:tcW w:w="1177" w:type="dxa"/>
            <w:vMerge/>
          </w:tcPr>
          <w:p w14:paraId="33E44C4E" w14:textId="77777777" w:rsidR="00241417" w:rsidRDefault="00241417" w:rsidP="003A71DE"/>
        </w:tc>
        <w:tc>
          <w:tcPr>
            <w:tcW w:w="1396" w:type="dxa"/>
            <w:vMerge/>
          </w:tcPr>
          <w:p w14:paraId="585016F7" w14:textId="77777777" w:rsidR="00241417" w:rsidRDefault="00241417" w:rsidP="003A71DE"/>
        </w:tc>
        <w:tc>
          <w:tcPr>
            <w:tcW w:w="1267" w:type="dxa"/>
            <w:vMerge/>
            <w:vAlign w:val="center"/>
          </w:tcPr>
          <w:p w14:paraId="138DD847" w14:textId="77777777" w:rsidR="00241417" w:rsidRDefault="00241417" w:rsidP="003A71DE">
            <w:pPr>
              <w:pStyle w:val="TAC"/>
            </w:pPr>
          </w:p>
        </w:tc>
        <w:tc>
          <w:tcPr>
            <w:tcW w:w="1531" w:type="dxa"/>
            <w:vMerge/>
            <w:vAlign w:val="center"/>
          </w:tcPr>
          <w:p w14:paraId="43AEC767" w14:textId="77777777" w:rsidR="00241417" w:rsidRDefault="00241417" w:rsidP="003A71DE">
            <w:pPr>
              <w:pStyle w:val="TAC"/>
            </w:pPr>
          </w:p>
        </w:tc>
        <w:tc>
          <w:tcPr>
            <w:tcW w:w="1189" w:type="dxa"/>
            <w:vMerge/>
            <w:vAlign w:val="center"/>
          </w:tcPr>
          <w:p w14:paraId="23248952" w14:textId="77777777" w:rsidR="00241417" w:rsidRDefault="00241417" w:rsidP="003A71DE">
            <w:pPr>
              <w:pStyle w:val="TAC"/>
            </w:pPr>
          </w:p>
        </w:tc>
        <w:tc>
          <w:tcPr>
            <w:tcW w:w="1119" w:type="dxa"/>
            <w:gridSpan w:val="2"/>
            <w:vAlign w:val="center"/>
          </w:tcPr>
          <w:p w14:paraId="4BB4CC88" w14:textId="77777777" w:rsidR="00241417" w:rsidRDefault="00241417" w:rsidP="003A71DE">
            <w:pPr>
              <w:pStyle w:val="TAC"/>
            </w:pPr>
            <w:r>
              <w:t>No</w:t>
            </w:r>
          </w:p>
        </w:tc>
        <w:tc>
          <w:tcPr>
            <w:tcW w:w="1119" w:type="dxa"/>
            <w:vAlign w:val="center"/>
          </w:tcPr>
          <w:p w14:paraId="72174AA8" w14:textId="77777777" w:rsidR="00241417" w:rsidRDefault="00241417" w:rsidP="003A71DE">
            <w:pPr>
              <w:pStyle w:val="TAC"/>
            </w:pPr>
            <w:r w:rsidRPr="00BD6443">
              <w:t>13.3</w:t>
            </w:r>
          </w:p>
        </w:tc>
      </w:tr>
      <w:tr w:rsidR="00241417" w14:paraId="3DF15311" w14:textId="77777777" w:rsidTr="003A71DE">
        <w:trPr>
          <w:trHeight w:val="146"/>
          <w:jc w:val="center"/>
        </w:trPr>
        <w:tc>
          <w:tcPr>
            <w:tcW w:w="1177" w:type="dxa"/>
            <w:vMerge/>
          </w:tcPr>
          <w:p w14:paraId="1A5D12DC" w14:textId="77777777" w:rsidR="00241417" w:rsidRDefault="00241417" w:rsidP="003A71DE"/>
        </w:tc>
        <w:tc>
          <w:tcPr>
            <w:tcW w:w="1396" w:type="dxa"/>
            <w:vMerge/>
          </w:tcPr>
          <w:p w14:paraId="7FA94582" w14:textId="77777777" w:rsidR="00241417" w:rsidRDefault="00241417" w:rsidP="003A71DE"/>
        </w:tc>
        <w:tc>
          <w:tcPr>
            <w:tcW w:w="1267" w:type="dxa"/>
            <w:vMerge/>
            <w:vAlign w:val="center"/>
          </w:tcPr>
          <w:p w14:paraId="1BDC76ED" w14:textId="77777777" w:rsidR="00241417" w:rsidRDefault="00241417" w:rsidP="003A71DE">
            <w:pPr>
              <w:pStyle w:val="TAC"/>
            </w:pPr>
          </w:p>
        </w:tc>
        <w:tc>
          <w:tcPr>
            <w:tcW w:w="1531" w:type="dxa"/>
            <w:vMerge w:val="restart"/>
            <w:vAlign w:val="center"/>
          </w:tcPr>
          <w:p w14:paraId="73CB2EBF" w14:textId="77777777" w:rsidR="00241417" w:rsidRDefault="00241417" w:rsidP="003A71DE">
            <w:pPr>
              <w:pStyle w:val="TAC"/>
            </w:pPr>
            <w:r w:rsidRPr="006F612E">
              <w:t>D-FR2-A.2.4-7</w:t>
            </w:r>
          </w:p>
          <w:p w14:paraId="54CD4E9F" w14:textId="77777777" w:rsidR="00241417" w:rsidRDefault="00241417" w:rsidP="003A71DE">
            <w:pPr>
              <w:pStyle w:val="TAC"/>
            </w:pPr>
          </w:p>
        </w:tc>
        <w:tc>
          <w:tcPr>
            <w:tcW w:w="1189" w:type="dxa"/>
            <w:vMerge w:val="restart"/>
            <w:vAlign w:val="center"/>
          </w:tcPr>
          <w:p w14:paraId="634DFFB4" w14:textId="77777777" w:rsidR="00241417" w:rsidRDefault="00241417" w:rsidP="003A71DE">
            <w:pPr>
              <w:pStyle w:val="TAC"/>
            </w:pPr>
            <w:r w:rsidRPr="00BD6443">
              <w:t>pos1</w:t>
            </w:r>
          </w:p>
        </w:tc>
        <w:tc>
          <w:tcPr>
            <w:tcW w:w="1119" w:type="dxa"/>
            <w:gridSpan w:val="2"/>
            <w:vAlign w:val="center"/>
          </w:tcPr>
          <w:p w14:paraId="42578358" w14:textId="77777777" w:rsidR="00241417" w:rsidRDefault="00241417" w:rsidP="003A71DE">
            <w:pPr>
              <w:pStyle w:val="TAC"/>
            </w:pPr>
            <w:r>
              <w:t>Yes</w:t>
            </w:r>
          </w:p>
        </w:tc>
        <w:tc>
          <w:tcPr>
            <w:tcW w:w="1119" w:type="dxa"/>
            <w:vAlign w:val="center"/>
          </w:tcPr>
          <w:p w14:paraId="32569079" w14:textId="77777777" w:rsidR="00241417" w:rsidRDefault="00241417" w:rsidP="003A71DE">
            <w:pPr>
              <w:pStyle w:val="TAC"/>
            </w:pPr>
            <w:r w:rsidRPr="00BD6443">
              <w:t>13.7</w:t>
            </w:r>
          </w:p>
        </w:tc>
      </w:tr>
      <w:tr w:rsidR="00241417" w14:paraId="5B4BFF4B" w14:textId="77777777" w:rsidTr="003A71DE">
        <w:trPr>
          <w:trHeight w:val="145"/>
          <w:jc w:val="center"/>
        </w:trPr>
        <w:tc>
          <w:tcPr>
            <w:tcW w:w="1177" w:type="dxa"/>
            <w:vMerge/>
          </w:tcPr>
          <w:p w14:paraId="6E0C763C" w14:textId="77777777" w:rsidR="00241417" w:rsidRDefault="00241417" w:rsidP="003A71DE"/>
        </w:tc>
        <w:tc>
          <w:tcPr>
            <w:tcW w:w="1396" w:type="dxa"/>
            <w:vMerge/>
          </w:tcPr>
          <w:p w14:paraId="6F20CB70" w14:textId="77777777" w:rsidR="00241417" w:rsidRDefault="00241417" w:rsidP="003A71DE"/>
        </w:tc>
        <w:tc>
          <w:tcPr>
            <w:tcW w:w="1267" w:type="dxa"/>
            <w:vMerge/>
            <w:vAlign w:val="center"/>
          </w:tcPr>
          <w:p w14:paraId="58297A67" w14:textId="77777777" w:rsidR="00241417" w:rsidRDefault="00241417" w:rsidP="003A71DE">
            <w:pPr>
              <w:pStyle w:val="TAC"/>
            </w:pPr>
          </w:p>
        </w:tc>
        <w:tc>
          <w:tcPr>
            <w:tcW w:w="1531" w:type="dxa"/>
            <w:vMerge/>
            <w:vAlign w:val="center"/>
          </w:tcPr>
          <w:p w14:paraId="4A499EDA" w14:textId="77777777" w:rsidR="00241417" w:rsidRDefault="00241417" w:rsidP="003A71DE">
            <w:pPr>
              <w:pStyle w:val="TAC"/>
            </w:pPr>
          </w:p>
        </w:tc>
        <w:tc>
          <w:tcPr>
            <w:tcW w:w="1189" w:type="dxa"/>
            <w:vMerge/>
            <w:vAlign w:val="center"/>
          </w:tcPr>
          <w:p w14:paraId="055FFE72" w14:textId="77777777" w:rsidR="00241417" w:rsidRDefault="00241417" w:rsidP="003A71DE">
            <w:pPr>
              <w:pStyle w:val="TAC"/>
            </w:pPr>
          </w:p>
        </w:tc>
        <w:tc>
          <w:tcPr>
            <w:tcW w:w="1119" w:type="dxa"/>
            <w:gridSpan w:val="2"/>
            <w:vAlign w:val="center"/>
          </w:tcPr>
          <w:p w14:paraId="4EB10872" w14:textId="77777777" w:rsidR="00241417" w:rsidRDefault="00241417" w:rsidP="003A71DE">
            <w:pPr>
              <w:pStyle w:val="TAC"/>
            </w:pPr>
            <w:r>
              <w:t>No</w:t>
            </w:r>
          </w:p>
        </w:tc>
        <w:tc>
          <w:tcPr>
            <w:tcW w:w="1119" w:type="dxa"/>
            <w:vAlign w:val="center"/>
          </w:tcPr>
          <w:p w14:paraId="789DDD9E" w14:textId="77777777" w:rsidR="00241417" w:rsidRDefault="00241417" w:rsidP="003A71DE">
            <w:pPr>
              <w:pStyle w:val="TAC"/>
            </w:pPr>
            <w:r w:rsidRPr="00BD6443">
              <w:t>13.1</w:t>
            </w:r>
          </w:p>
        </w:tc>
      </w:tr>
      <w:tr w:rsidR="00241417" w14:paraId="279498C0" w14:textId="77777777" w:rsidTr="003A71DE">
        <w:trPr>
          <w:jc w:val="center"/>
        </w:trPr>
        <w:tc>
          <w:tcPr>
            <w:tcW w:w="1177" w:type="dxa"/>
            <w:vMerge w:val="restart"/>
            <w:vAlign w:val="center"/>
          </w:tcPr>
          <w:p w14:paraId="0D8DB4B2" w14:textId="77777777" w:rsidR="00241417" w:rsidRDefault="00241417" w:rsidP="003A71DE">
            <w:pPr>
              <w:pStyle w:val="TAC"/>
            </w:pPr>
            <w:r>
              <w:t>2</w:t>
            </w:r>
          </w:p>
        </w:tc>
        <w:tc>
          <w:tcPr>
            <w:tcW w:w="1396" w:type="dxa"/>
            <w:vMerge/>
          </w:tcPr>
          <w:p w14:paraId="1059B8FB" w14:textId="77777777" w:rsidR="00241417" w:rsidRDefault="00241417" w:rsidP="003A71DE"/>
        </w:tc>
        <w:tc>
          <w:tcPr>
            <w:tcW w:w="1267" w:type="dxa"/>
            <w:vMerge w:val="restart"/>
            <w:vAlign w:val="center"/>
          </w:tcPr>
          <w:p w14:paraId="5D1A1E05" w14:textId="77777777" w:rsidR="00241417" w:rsidRDefault="00241417" w:rsidP="003A71DE">
            <w:pPr>
              <w:pStyle w:val="TAC"/>
            </w:pPr>
            <w:r w:rsidRPr="009A074B">
              <w:t>TDLA30-300 Low</w:t>
            </w:r>
          </w:p>
        </w:tc>
        <w:tc>
          <w:tcPr>
            <w:tcW w:w="1531" w:type="dxa"/>
            <w:vAlign w:val="center"/>
          </w:tcPr>
          <w:p w14:paraId="4DFE7F6E" w14:textId="77777777" w:rsidR="00241417" w:rsidRDefault="00241417" w:rsidP="003A71DE">
            <w:pPr>
              <w:pStyle w:val="TAC"/>
            </w:pPr>
            <w:r w:rsidRPr="006F612E">
              <w:t>D-FR2-A.2.1-7</w:t>
            </w:r>
          </w:p>
        </w:tc>
        <w:tc>
          <w:tcPr>
            <w:tcW w:w="1189" w:type="dxa"/>
            <w:vAlign w:val="center"/>
          </w:tcPr>
          <w:p w14:paraId="376B8218" w14:textId="77777777" w:rsidR="00241417" w:rsidRDefault="00241417" w:rsidP="003A71DE">
            <w:pPr>
              <w:pStyle w:val="TAC"/>
            </w:pPr>
            <w:r w:rsidRPr="00BD6443">
              <w:t>pos0</w:t>
            </w:r>
          </w:p>
        </w:tc>
        <w:tc>
          <w:tcPr>
            <w:tcW w:w="1113" w:type="dxa"/>
            <w:vAlign w:val="center"/>
          </w:tcPr>
          <w:p w14:paraId="326A921C" w14:textId="77777777" w:rsidR="00241417" w:rsidRDefault="00241417" w:rsidP="003A71DE">
            <w:pPr>
              <w:pStyle w:val="TAC"/>
            </w:pPr>
            <w:r>
              <w:t>No</w:t>
            </w:r>
          </w:p>
        </w:tc>
        <w:tc>
          <w:tcPr>
            <w:tcW w:w="1125" w:type="dxa"/>
            <w:gridSpan w:val="2"/>
            <w:vAlign w:val="center"/>
          </w:tcPr>
          <w:p w14:paraId="3D740946" w14:textId="77777777" w:rsidR="00241417" w:rsidRDefault="00241417" w:rsidP="003A71DE">
            <w:pPr>
              <w:pStyle w:val="TAC"/>
            </w:pPr>
            <w:r w:rsidRPr="00BD6443">
              <w:t>1.5</w:t>
            </w:r>
          </w:p>
        </w:tc>
      </w:tr>
      <w:tr w:rsidR="00241417" w14:paraId="6C4A1352" w14:textId="77777777" w:rsidTr="003A71DE">
        <w:trPr>
          <w:jc w:val="center"/>
        </w:trPr>
        <w:tc>
          <w:tcPr>
            <w:tcW w:w="1177" w:type="dxa"/>
            <w:vMerge/>
          </w:tcPr>
          <w:p w14:paraId="0AB4BAD2" w14:textId="77777777" w:rsidR="00241417" w:rsidRDefault="00241417" w:rsidP="003A71DE"/>
        </w:tc>
        <w:tc>
          <w:tcPr>
            <w:tcW w:w="1396" w:type="dxa"/>
            <w:vMerge/>
          </w:tcPr>
          <w:p w14:paraId="526FBF30" w14:textId="77777777" w:rsidR="00241417" w:rsidRDefault="00241417" w:rsidP="003A71DE"/>
        </w:tc>
        <w:tc>
          <w:tcPr>
            <w:tcW w:w="1267" w:type="dxa"/>
            <w:vMerge/>
          </w:tcPr>
          <w:p w14:paraId="2406776B" w14:textId="77777777" w:rsidR="00241417" w:rsidRDefault="00241417" w:rsidP="003A71DE"/>
        </w:tc>
        <w:tc>
          <w:tcPr>
            <w:tcW w:w="1531" w:type="dxa"/>
            <w:vAlign w:val="center"/>
          </w:tcPr>
          <w:p w14:paraId="27201BB0" w14:textId="77777777" w:rsidR="00241417" w:rsidRDefault="00241417" w:rsidP="003A71DE">
            <w:pPr>
              <w:pStyle w:val="TAC"/>
            </w:pPr>
            <w:r w:rsidRPr="006F612E">
              <w:t>D-FR2-A.2.1-19</w:t>
            </w:r>
          </w:p>
        </w:tc>
        <w:tc>
          <w:tcPr>
            <w:tcW w:w="1189" w:type="dxa"/>
            <w:vAlign w:val="center"/>
          </w:tcPr>
          <w:p w14:paraId="15D30449" w14:textId="77777777" w:rsidR="00241417" w:rsidRDefault="00241417" w:rsidP="003A71DE">
            <w:pPr>
              <w:pStyle w:val="TAC"/>
            </w:pPr>
            <w:r w:rsidRPr="00BD6443">
              <w:t>pos1</w:t>
            </w:r>
          </w:p>
        </w:tc>
        <w:tc>
          <w:tcPr>
            <w:tcW w:w="1113" w:type="dxa"/>
            <w:vAlign w:val="center"/>
          </w:tcPr>
          <w:p w14:paraId="5B5813B9" w14:textId="77777777" w:rsidR="00241417" w:rsidRDefault="00241417" w:rsidP="003A71DE">
            <w:pPr>
              <w:pStyle w:val="TAC"/>
            </w:pPr>
            <w:r>
              <w:t>No</w:t>
            </w:r>
          </w:p>
        </w:tc>
        <w:tc>
          <w:tcPr>
            <w:tcW w:w="1125" w:type="dxa"/>
            <w:gridSpan w:val="2"/>
            <w:vAlign w:val="center"/>
          </w:tcPr>
          <w:p w14:paraId="5CF98AAE" w14:textId="77777777" w:rsidR="00241417" w:rsidRDefault="00241417" w:rsidP="003A71DE">
            <w:pPr>
              <w:pStyle w:val="TAC"/>
            </w:pPr>
            <w:r w:rsidRPr="00BD6443">
              <w:t>1.2</w:t>
            </w:r>
          </w:p>
        </w:tc>
      </w:tr>
      <w:tr w:rsidR="00241417" w14:paraId="1D9B5A34" w14:textId="77777777" w:rsidTr="003A71DE">
        <w:trPr>
          <w:trHeight w:val="146"/>
          <w:jc w:val="center"/>
        </w:trPr>
        <w:tc>
          <w:tcPr>
            <w:tcW w:w="1177" w:type="dxa"/>
            <w:vMerge/>
          </w:tcPr>
          <w:p w14:paraId="70D41005" w14:textId="77777777" w:rsidR="00241417" w:rsidRDefault="00241417" w:rsidP="003A71DE"/>
        </w:tc>
        <w:tc>
          <w:tcPr>
            <w:tcW w:w="1396" w:type="dxa"/>
            <w:vMerge/>
          </w:tcPr>
          <w:p w14:paraId="12778AED" w14:textId="77777777" w:rsidR="00241417" w:rsidRDefault="00241417" w:rsidP="003A71DE"/>
        </w:tc>
        <w:tc>
          <w:tcPr>
            <w:tcW w:w="1267" w:type="dxa"/>
            <w:vMerge/>
          </w:tcPr>
          <w:p w14:paraId="0F196A5C" w14:textId="77777777" w:rsidR="00241417" w:rsidRDefault="00241417" w:rsidP="003A71DE"/>
        </w:tc>
        <w:tc>
          <w:tcPr>
            <w:tcW w:w="1531" w:type="dxa"/>
            <w:vMerge w:val="restart"/>
            <w:vAlign w:val="center"/>
          </w:tcPr>
          <w:p w14:paraId="5D12111B" w14:textId="77777777" w:rsidR="00241417" w:rsidRDefault="00241417" w:rsidP="003A71DE">
            <w:pPr>
              <w:pStyle w:val="TAC"/>
            </w:pPr>
            <w:r w:rsidRPr="006F612E">
              <w:t>D-FR2-A.2.2-2</w:t>
            </w:r>
          </w:p>
          <w:p w14:paraId="19270FCE" w14:textId="77777777" w:rsidR="00241417" w:rsidRDefault="00241417" w:rsidP="003A71DE">
            <w:pPr>
              <w:pStyle w:val="TAC"/>
            </w:pPr>
          </w:p>
        </w:tc>
        <w:tc>
          <w:tcPr>
            <w:tcW w:w="1189" w:type="dxa"/>
            <w:vMerge w:val="restart"/>
            <w:vAlign w:val="center"/>
          </w:tcPr>
          <w:p w14:paraId="0A9600E5" w14:textId="77777777" w:rsidR="00241417" w:rsidRDefault="00241417" w:rsidP="003A71DE">
            <w:pPr>
              <w:pStyle w:val="TAC"/>
            </w:pPr>
            <w:r w:rsidRPr="00BD6443">
              <w:t>pos0</w:t>
            </w:r>
          </w:p>
        </w:tc>
        <w:tc>
          <w:tcPr>
            <w:tcW w:w="1119" w:type="dxa"/>
            <w:gridSpan w:val="2"/>
            <w:vAlign w:val="center"/>
          </w:tcPr>
          <w:p w14:paraId="37AD075E" w14:textId="77777777" w:rsidR="00241417" w:rsidRDefault="00241417" w:rsidP="003A71DE">
            <w:pPr>
              <w:pStyle w:val="TAC"/>
            </w:pPr>
            <w:r>
              <w:t>Yes</w:t>
            </w:r>
          </w:p>
        </w:tc>
        <w:tc>
          <w:tcPr>
            <w:tcW w:w="1119" w:type="dxa"/>
            <w:vAlign w:val="center"/>
          </w:tcPr>
          <w:p w14:paraId="04006124" w14:textId="77777777" w:rsidR="00241417" w:rsidRDefault="00241417" w:rsidP="003A71DE">
            <w:pPr>
              <w:pStyle w:val="TAC"/>
            </w:pPr>
            <w:r w:rsidRPr="00BD6443">
              <w:t>16.0</w:t>
            </w:r>
          </w:p>
        </w:tc>
      </w:tr>
      <w:tr w:rsidR="00241417" w14:paraId="3C2F4D1A" w14:textId="77777777" w:rsidTr="003A71DE">
        <w:trPr>
          <w:trHeight w:val="145"/>
          <w:jc w:val="center"/>
        </w:trPr>
        <w:tc>
          <w:tcPr>
            <w:tcW w:w="1177" w:type="dxa"/>
            <w:vMerge/>
          </w:tcPr>
          <w:p w14:paraId="6BE0323D" w14:textId="77777777" w:rsidR="00241417" w:rsidRDefault="00241417" w:rsidP="003A71DE"/>
        </w:tc>
        <w:tc>
          <w:tcPr>
            <w:tcW w:w="1396" w:type="dxa"/>
            <w:vMerge/>
          </w:tcPr>
          <w:p w14:paraId="12F43497" w14:textId="77777777" w:rsidR="00241417" w:rsidRDefault="00241417" w:rsidP="003A71DE"/>
        </w:tc>
        <w:tc>
          <w:tcPr>
            <w:tcW w:w="1267" w:type="dxa"/>
            <w:vMerge/>
          </w:tcPr>
          <w:p w14:paraId="3D924405" w14:textId="77777777" w:rsidR="00241417" w:rsidRDefault="00241417" w:rsidP="003A71DE"/>
        </w:tc>
        <w:tc>
          <w:tcPr>
            <w:tcW w:w="1531" w:type="dxa"/>
            <w:vMerge/>
            <w:vAlign w:val="center"/>
          </w:tcPr>
          <w:p w14:paraId="2F485261" w14:textId="77777777" w:rsidR="00241417" w:rsidRDefault="00241417" w:rsidP="003A71DE">
            <w:pPr>
              <w:pStyle w:val="TAC"/>
            </w:pPr>
          </w:p>
        </w:tc>
        <w:tc>
          <w:tcPr>
            <w:tcW w:w="1189" w:type="dxa"/>
            <w:vMerge/>
            <w:vAlign w:val="center"/>
          </w:tcPr>
          <w:p w14:paraId="048D0F8F" w14:textId="77777777" w:rsidR="00241417" w:rsidRDefault="00241417" w:rsidP="003A71DE">
            <w:pPr>
              <w:pStyle w:val="TAC"/>
            </w:pPr>
          </w:p>
        </w:tc>
        <w:tc>
          <w:tcPr>
            <w:tcW w:w="1119" w:type="dxa"/>
            <w:gridSpan w:val="2"/>
            <w:vAlign w:val="center"/>
          </w:tcPr>
          <w:p w14:paraId="329A9CE5" w14:textId="77777777" w:rsidR="00241417" w:rsidRDefault="00241417" w:rsidP="003A71DE">
            <w:pPr>
              <w:pStyle w:val="TAC"/>
            </w:pPr>
            <w:r>
              <w:t>No</w:t>
            </w:r>
          </w:p>
        </w:tc>
        <w:tc>
          <w:tcPr>
            <w:tcW w:w="1119" w:type="dxa"/>
            <w:vAlign w:val="center"/>
          </w:tcPr>
          <w:p w14:paraId="7081BCA7" w14:textId="77777777" w:rsidR="00241417" w:rsidRDefault="00241417" w:rsidP="003A71DE">
            <w:pPr>
              <w:pStyle w:val="TAC"/>
            </w:pPr>
            <w:r w:rsidRPr="00BD6443">
              <w:t>14.9</w:t>
            </w:r>
          </w:p>
        </w:tc>
      </w:tr>
      <w:tr w:rsidR="00241417" w14:paraId="593BCBE5" w14:textId="77777777" w:rsidTr="003A71DE">
        <w:trPr>
          <w:trHeight w:val="146"/>
          <w:jc w:val="center"/>
        </w:trPr>
        <w:tc>
          <w:tcPr>
            <w:tcW w:w="1177" w:type="dxa"/>
            <w:vMerge/>
          </w:tcPr>
          <w:p w14:paraId="7DADB0CA" w14:textId="77777777" w:rsidR="00241417" w:rsidRDefault="00241417" w:rsidP="003A71DE"/>
        </w:tc>
        <w:tc>
          <w:tcPr>
            <w:tcW w:w="1396" w:type="dxa"/>
            <w:vMerge/>
          </w:tcPr>
          <w:p w14:paraId="0B642721" w14:textId="77777777" w:rsidR="00241417" w:rsidRDefault="00241417" w:rsidP="003A71DE"/>
        </w:tc>
        <w:tc>
          <w:tcPr>
            <w:tcW w:w="1267" w:type="dxa"/>
            <w:vMerge/>
          </w:tcPr>
          <w:p w14:paraId="1C3DC647" w14:textId="77777777" w:rsidR="00241417" w:rsidRDefault="00241417" w:rsidP="003A71DE"/>
        </w:tc>
        <w:tc>
          <w:tcPr>
            <w:tcW w:w="1531" w:type="dxa"/>
            <w:vMerge w:val="restart"/>
            <w:vAlign w:val="center"/>
          </w:tcPr>
          <w:p w14:paraId="08EC487F" w14:textId="77777777" w:rsidR="00241417" w:rsidRDefault="00241417" w:rsidP="003A71DE">
            <w:pPr>
              <w:pStyle w:val="TAC"/>
            </w:pPr>
            <w:r w:rsidRPr="006F612E">
              <w:t>D-FR2-A.2.2-7</w:t>
            </w:r>
          </w:p>
        </w:tc>
        <w:tc>
          <w:tcPr>
            <w:tcW w:w="1189" w:type="dxa"/>
            <w:vMerge w:val="restart"/>
            <w:vAlign w:val="center"/>
          </w:tcPr>
          <w:p w14:paraId="6BA5D42D" w14:textId="77777777" w:rsidR="00241417" w:rsidRDefault="00241417" w:rsidP="003A71DE">
            <w:pPr>
              <w:pStyle w:val="TAC"/>
            </w:pPr>
            <w:r w:rsidRPr="00BD6443">
              <w:t>pos1</w:t>
            </w:r>
          </w:p>
        </w:tc>
        <w:tc>
          <w:tcPr>
            <w:tcW w:w="1119" w:type="dxa"/>
            <w:gridSpan w:val="2"/>
            <w:vAlign w:val="center"/>
          </w:tcPr>
          <w:p w14:paraId="53C9AA59" w14:textId="77777777" w:rsidR="00241417" w:rsidRDefault="00241417" w:rsidP="003A71DE">
            <w:pPr>
              <w:pStyle w:val="TAC"/>
            </w:pPr>
            <w:r>
              <w:t>Yes</w:t>
            </w:r>
          </w:p>
        </w:tc>
        <w:tc>
          <w:tcPr>
            <w:tcW w:w="1119" w:type="dxa"/>
            <w:vAlign w:val="center"/>
          </w:tcPr>
          <w:p w14:paraId="7A98F6AA" w14:textId="77777777" w:rsidR="00241417" w:rsidRDefault="00241417" w:rsidP="003A71DE">
            <w:pPr>
              <w:pStyle w:val="TAC"/>
            </w:pPr>
            <w:r w:rsidRPr="00BD6443">
              <w:t>13.8</w:t>
            </w:r>
          </w:p>
        </w:tc>
      </w:tr>
      <w:tr w:rsidR="00241417" w14:paraId="1B64646D" w14:textId="77777777" w:rsidTr="003A71DE">
        <w:trPr>
          <w:trHeight w:val="145"/>
          <w:jc w:val="center"/>
        </w:trPr>
        <w:tc>
          <w:tcPr>
            <w:tcW w:w="1177" w:type="dxa"/>
            <w:vMerge/>
          </w:tcPr>
          <w:p w14:paraId="6609FF02" w14:textId="77777777" w:rsidR="00241417" w:rsidRDefault="00241417" w:rsidP="003A71DE"/>
        </w:tc>
        <w:tc>
          <w:tcPr>
            <w:tcW w:w="1396" w:type="dxa"/>
            <w:vMerge/>
          </w:tcPr>
          <w:p w14:paraId="2888E25E" w14:textId="77777777" w:rsidR="00241417" w:rsidRDefault="00241417" w:rsidP="003A71DE"/>
        </w:tc>
        <w:tc>
          <w:tcPr>
            <w:tcW w:w="1267" w:type="dxa"/>
            <w:vMerge/>
          </w:tcPr>
          <w:p w14:paraId="2661068B" w14:textId="77777777" w:rsidR="00241417" w:rsidRDefault="00241417" w:rsidP="003A71DE"/>
        </w:tc>
        <w:tc>
          <w:tcPr>
            <w:tcW w:w="1531" w:type="dxa"/>
            <w:vMerge/>
          </w:tcPr>
          <w:p w14:paraId="7344C687" w14:textId="77777777" w:rsidR="00241417" w:rsidRDefault="00241417" w:rsidP="003A71DE">
            <w:pPr>
              <w:pStyle w:val="TAC"/>
            </w:pPr>
          </w:p>
        </w:tc>
        <w:tc>
          <w:tcPr>
            <w:tcW w:w="1189" w:type="dxa"/>
            <w:vMerge/>
            <w:vAlign w:val="center"/>
          </w:tcPr>
          <w:p w14:paraId="3081268D" w14:textId="77777777" w:rsidR="00241417" w:rsidRDefault="00241417" w:rsidP="003A71DE">
            <w:pPr>
              <w:jc w:val="center"/>
            </w:pPr>
          </w:p>
        </w:tc>
        <w:tc>
          <w:tcPr>
            <w:tcW w:w="1119" w:type="dxa"/>
            <w:gridSpan w:val="2"/>
            <w:vAlign w:val="center"/>
          </w:tcPr>
          <w:p w14:paraId="65B0AC4A" w14:textId="77777777" w:rsidR="00241417" w:rsidRDefault="00241417" w:rsidP="003A71DE">
            <w:pPr>
              <w:pStyle w:val="TAC"/>
            </w:pPr>
            <w:r>
              <w:t>No</w:t>
            </w:r>
          </w:p>
        </w:tc>
        <w:tc>
          <w:tcPr>
            <w:tcW w:w="1119" w:type="dxa"/>
            <w:vAlign w:val="center"/>
          </w:tcPr>
          <w:p w14:paraId="45CE6E25" w14:textId="77777777" w:rsidR="00241417" w:rsidRDefault="00241417" w:rsidP="003A71DE">
            <w:pPr>
              <w:pStyle w:val="TAC"/>
            </w:pPr>
            <w:r w:rsidRPr="00BD6443">
              <w:t>13.1</w:t>
            </w:r>
          </w:p>
        </w:tc>
      </w:tr>
    </w:tbl>
    <w:p w14:paraId="756D5B0C" w14:textId="77777777" w:rsidR="00241417" w:rsidRDefault="00241417" w:rsidP="00241417"/>
    <w:p w14:paraId="2E428316" w14:textId="77777777" w:rsidR="00241417" w:rsidRDefault="00241417" w:rsidP="00241417">
      <w:pPr>
        <w:pStyle w:val="TH"/>
      </w:pPr>
      <w:r w:rsidRPr="00BD6443">
        <w:t>Table 11.</w:t>
      </w:r>
      <w:r>
        <w:t>1.</w:t>
      </w:r>
      <w:r w:rsidRPr="00BD6443">
        <w:t>2.2.1.2-3: Minimum requirements for PUSCH, 50 MHz channel bandwidth, 120 kHz SCS</w:t>
      </w:r>
    </w:p>
    <w:tbl>
      <w:tblPr>
        <w:tblStyle w:val="TableGrid"/>
        <w:tblW w:w="8798" w:type="dxa"/>
        <w:jc w:val="center"/>
        <w:tblLook w:val="04A0" w:firstRow="1" w:lastRow="0" w:firstColumn="1" w:lastColumn="0" w:noHBand="0" w:noVBand="1"/>
      </w:tblPr>
      <w:tblGrid>
        <w:gridCol w:w="1177"/>
        <w:gridCol w:w="1396"/>
        <w:gridCol w:w="1267"/>
        <w:gridCol w:w="1531"/>
        <w:gridCol w:w="1189"/>
        <w:gridCol w:w="1113"/>
        <w:gridCol w:w="6"/>
        <w:gridCol w:w="1119"/>
      </w:tblGrid>
      <w:tr w:rsidR="00241417" w14:paraId="38F5810D" w14:textId="77777777" w:rsidTr="003A71DE">
        <w:trPr>
          <w:jc w:val="center"/>
        </w:trPr>
        <w:tc>
          <w:tcPr>
            <w:tcW w:w="1177" w:type="dxa"/>
            <w:vAlign w:val="center"/>
          </w:tcPr>
          <w:p w14:paraId="48AB9F16" w14:textId="77777777" w:rsidR="00241417" w:rsidRDefault="00241417" w:rsidP="003A71DE">
            <w:pPr>
              <w:pStyle w:val="TAH"/>
            </w:pPr>
            <w:r w:rsidRPr="00BD6443">
              <w:t>Number of TX antennas</w:t>
            </w:r>
          </w:p>
        </w:tc>
        <w:tc>
          <w:tcPr>
            <w:tcW w:w="1396" w:type="dxa"/>
            <w:vAlign w:val="center"/>
          </w:tcPr>
          <w:p w14:paraId="7B02DC64" w14:textId="77777777" w:rsidR="00241417" w:rsidRDefault="00241417" w:rsidP="003A71DE">
            <w:pPr>
              <w:pStyle w:val="TAH"/>
            </w:pPr>
            <w:r w:rsidRPr="00BD6443">
              <w:t>Number of demodulation branches</w:t>
            </w:r>
          </w:p>
        </w:tc>
        <w:tc>
          <w:tcPr>
            <w:tcW w:w="1267" w:type="dxa"/>
            <w:vAlign w:val="center"/>
          </w:tcPr>
          <w:p w14:paraId="37CDDA85" w14:textId="45341727" w:rsidR="00241417" w:rsidRDefault="00241417" w:rsidP="003A71DE">
            <w:pPr>
              <w:pStyle w:val="TAH"/>
            </w:pPr>
            <w:r w:rsidRPr="00BD6443">
              <w:t xml:space="preserve">Propagation conditions and correlation matrix (Annex </w:t>
            </w:r>
            <w:r>
              <w:t>TBA</w:t>
            </w:r>
            <w:r w:rsidRPr="00BD6443">
              <w:t>)</w:t>
            </w:r>
          </w:p>
        </w:tc>
        <w:tc>
          <w:tcPr>
            <w:tcW w:w="1531" w:type="dxa"/>
            <w:vAlign w:val="center"/>
          </w:tcPr>
          <w:p w14:paraId="6F44F342" w14:textId="77777777" w:rsidR="00241417" w:rsidRDefault="00241417" w:rsidP="003A71DE">
            <w:pPr>
              <w:pStyle w:val="TAH"/>
            </w:pPr>
            <w:r w:rsidRPr="00BD6443">
              <w:t>FRC</w:t>
            </w:r>
            <w:r w:rsidRPr="00BD6443">
              <w:br/>
              <w:t>(Annex A)</w:t>
            </w:r>
          </w:p>
        </w:tc>
        <w:tc>
          <w:tcPr>
            <w:tcW w:w="1189" w:type="dxa"/>
            <w:vAlign w:val="center"/>
          </w:tcPr>
          <w:p w14:paraId="43352E1A" w14:textId="77777777" w:rsidR="00241417" w:rsidRDefault="00241417" w:rsidP="003A71DE">
            <w:pPr>
              <w:pStyle w:val="TAH"/>
            </w:pPr>
            <w:r w:rsidRPr="00BD6443">
              <w:t>Additional DM-RS position</w:t>
            </w:r>
          </w:p>
        </w:tc>
        <w:tc>
          <w:tcPr>
            <w:tcW w:w="1113" w:type="dxa"/>
            <w:vAlign w:val="center"/>
          </w:tcPr>
          <w:p w14:paraId="6A36707D" w14:textId="77777777" w:rsidR="00241417" w:rsidRDefault="00241417" w:rsidP="003A71DE">
            <w:pPr>
              <w:pStyle w:val="TAH"/>
            </w:pPr>
            <w:r w:rsidRPr="00BD6443">
              <w:t>PT-RS</w:t>
            </w:r>
          </w:p>
        </w:tc>
        <w:tc>
          <w:tcPr>
            <w:tcW w:w="1125" w:type="dxa"/>
            <w:gridSpan w:val="2"/>
            <w:vAlign w:val="center"/>
          </w:tcPr>
          <w:p w14:paraId="45864B78" w14:textId="77777777" w:rsidR="00241417" w:rsidRPr="00BD6443" w:rsidRDefault="00241417" w:rsidP="003A71DE">
            <w:pPr>
              <w:pStyle w:val="TAH"/>
            </w:pPr>
            <w:r w:rsidRPr="00BD6443">
              <w:t>SNR</w:t>
            </w:r>
          </w:p>
          <w:p w14:paraId="4C0A0F30" w14:textId="77777777" w:rsidR="00241417" w:rsidRDefault="00241417" w:rsidP="003A71DE">
            <w:pPr>
              <w:pStyle w:val="TAH"/>
            </w:pPr>
            <w:r w:rsidRPr="00BD6443">
              <w:t>(dB)</w:t>
            </w:r>
          </w:p>
        </w:tc>
      </w:tr>
      <w:tr w:rsidR="00241417" w14:paraId="565DB77C" w14:textId="77777777" w:rsidTr="003A71DE">
        <w:trPr>
          <w:jc w:val="center"/>
        </w:trPr>
        <w:tc>
          <w:tcPr>
            <w:tcW w:w="1177" w:type="dxa"/>
            <w:vMerge w:val="restart"/>
            <w:vAlign w:val="center"/>
          </w:tcPr>
          <w:p w14:paraId="3D6496AE" w14:textId="77777777" w:rsidR="00241417" w:rsidRDefault="00241417" w:rsidP="003A71DE">
            <w:pPr>
              <w:pStyle w:val="TAC"/>
            </w:pPr>
            <w:r>
              <w:t>1</w:t>
            </w:r>
          </w:p>
        </w:tc>
        <w:tc>
          <w:tcPr>
            <w:tcW w:w="1396" w:type="dxa"/>
            <w:vMerge w:val="restart"/>
            <w:vAlign w:val="center"/>
          </w:tcPr>
          <w:p w14:paraId="56F56B93" w14:textId="77777777" w:rsidR="00241417" w:rsidRDefault="00241417" w:rsidP="003A71DE">
            <w:pPr>
              <w:pStyle w:val="TAC"/>
            </w:pPr>
            <w:r>
              <w:t>2</w:t>
            </w:r>
          </w:p>
        </w:tc>
        <w:tc>
          <w:tcPr>
            <w:tcW w:w="1267" w:type="dxa"/>
            <w:vMerge w:val="restart"/>
            <w:vAlign w:val="center"/>
          </w:tcPr>
          <w:p w14:paraId="202CC27E" w14:textId="77777777" w:rsidR="00241417" w:rsidRDefault="00241417" w:rsidP="003A71DE">
            <w:pPr>
              <w:pStyle w:val="TAC"/>
            </w:pPr>
            <w:r>
              <w:t>TDLA30-300 Low</w:t>
            </w:r>
          </w:p>
        </w:tc>
        <w:tc>
          <w:tcPr>
            <w:tcW w:w="1531" w:type="dxa"/>
            <w:vAlign w:val="center"/>
          </w:tcPr>
          <w:p w14:paraId="702E1850" w14:textId="77777777" w:rsidR="00241417" w:rsidRDefault="00241417" w:rsidP="003A71DE">
            <w:pPr>
              <w:pStyle w:val="TAC"/>
            </w:pPr>
            <w:r>
              <w:t>D-FR2-A.2.1-</w:t>
            </w:r>
            <w:r w:rsidRPr="00BD6443">
              <w:t>3</w:t>
            </w:r>
          </w:p>
        </w:tc>
        <w:tc>
          <w:tcPr>
            <w:tcW w:w="1189" w:type="dxa"/>
            <w:vAlign w:val="center"/>
          </w:tcPr>
          <w:p w14:paraId="3367AC46" w14:textId="77777777" w:rsidR="00241417" w:rsidRDefault="00241417" w:rsidP="003A71DE">
            <w:pPr>
              <w:pStyle w:val="TAC"/>
            </w:pPr>
            <w:r w:rsidRPr="00BD6443">
              <w:t>pos0</w:t>
            </w:r>
          </w:p>
        </w:tc>
        <w:tc>
          <w:tcPr>
            <w:tcW w:w="1113" w:type="dxa"/>
            <w:vAlign w:val="center"/>
          </w:tcPr>
          <w:p w14:paraId="2B48D2F8" w14:textId="77777777" w:rsidR="00241417" w:rsidRDefault="00241417" w:rsidP="003A71DE">
            <w:pPr>
              <w:pStyle w:val="TAC"/>
            </w:pPr>
            <w:r w:rsidRPr="00BD6443">
              <w:t>No</w:t>
            </w:r>
          </w:p>
        </w:tc>
        <w:tc>
          <w:tcPr>
            <w:tcW w:w="1125" w:type="dxa"/>
            <w:gridSpan w:val="2"/>
            <w:vAlign w:val="center"/>
          </w:tcPr>
          <w:p w14:paraId="23D25042" w14:textId="77777777" w:rsidR="00241417" w:rsidRDefault="00241417" w:rsidP="003A71DE">
            <w:pPr>
              <w:pStyle w:val="TAC"/>
            </w:pPr>
            <w:r w:rsidRPr="00BD6443">
              <w:t>-1.8</w:t>
            </w:r>
          </w:p>
        </w:tc>
      </w:tr>
      <w:tr w:rsidR="00241417" w14:paraId="65370D1C" w14:textId="77777777" w:rsidTr="003A71DE">
        <w:trPr>
          <w:jc w:val="center"/>
        </w:trPr>
        <w:tc>
          <w:tcPr>
            <w:tcW w:w="1177" w:type="dxa"/>
            <w:vMerge/>
          </w:tcPr>
          <w:p w14:paraId="64550323" w14:textId="77777777" w:rsidR="00241417" w:rsidRDefault="00241417" w:rsidP="003A71DE"/>
        </w:tc>
        <w:tc>
          <w:tcPr>
            <w:tcW w:w="1396" w:type="dxa"/>
            <w:vMerge/>
          </w:tcPr>
          <w:p w14:paraId="2C662F8E" w14:textId="77777777" w:rsidR="00241417" w:rsidRDefault="00241417" w:rsidP="003A71DE"/>
        </w:tc>
        <w:tc>
          <w:tcPr>
            <w:tcW w:w="1267" w:type="dxa"/>
            <w:vMerge/>
            <w:vAlign w:val="center"/>
          </w:tcPr>
          <w:p w14:paraId="673B2C41" w14:textId="77777777" w:rsidR="00241417" w:rsidRDefault="00241417" w:rsidP="003A71DE">
            <w:pPr>
              <w:pStyle w:val="TAC"/>
            </w:pPr>
          </w:p>
        </w:tc>
        <w:tc>
          <w:tcPr>
            <w:tcW w:w="1531" w:type="dxa"/>
            <w:vAlign w:val="center"/>
          </w:tcPr>
          <w:p w14:paraId="641DB95D" w14:textId="77777777" w:rsidR="00241417" w:rsidRDefault="00241417" w:rsidP="003A71DE">
            <w:pPr>
              <w:pStyle w:val="TAC"/>
            </w:pPr>
            <w:r>
              <w:t>D-FR2-A.2.1-</w:t>
            </w:r>
            <w:r w:rsidRPr="00BD6443">
              <w:t>15</w:t>
            </w:r>
          </w:p>
        </w:tc>
        <w:tc>
          <w:tcPr>
            <w:tcW w:w="1189" w:type="dxa"/>
            <w:vAlign w:val="center"/>
          </w:tcPr>
          <w:p w14:paraId="635D195F" w14:textId="77777777" w:rsidR="00241417" w:rsidRDefault="00241417" w:rsidP="003A71DE">
            <w:pPr>
              <w:pStyle w:val="TAC"/>
            </w:pPr>
            <w:r w:rsidRPr="00BD6443">
              <w:t>pos1</w:t>
            </w:r>
          </w:p>
        </w:tc>
        <w:tc>
          <w:tcPr>
            <w:tcW w:w="1113" w:type="dxa"/>
            <w:vAlign w:val="center"/>
          </w:tcPr>
          <w:p w14:paraId="05A343A2" w14:textId="77777777" w:rsidR="00241417" w:rsidRDefault="00241417" w:rsidP="003A71DE">
            <w:pPr>
              <w:pStyle w:val="TAC"/>
            </w:pPr>
            <w:r w:rsidRPr="00BD6443">
              <w:t>No</w:t>
            </w:r>
          </w:p>
        </w:tc>
        <w:tc>
          <w:tcPr>
            <w:tcW w:w="1125" w:type="dxa"/>
            <w:gridSpan w:val="2"/>
            <w:vAlign w:val="center"/>
          </w:tcPr>
          <w:p w14:paraId="63664377" w14:textId="77777777" w:rsidR="00241417" w:rsidRDefault="00241417" w:rsidP="003A71DE">
            <w:pPr>
              <w:pStyle w:val="TAC"/>
            </w:pPr>
            <w:r w:rsidRPr="00BD6443">
              <w:t>-2.1</w:t>
            </w:r>
          </w:p>
        </w:tc>
      </w:tr>
      <w:tr w:rsidR="00241417" w14:paraId="3F2326E4" w14:textId="77777777" w:rsidTr="003A71DE">
        <w:trPr>
          <w:trHeight w:val="146"/>
          <w:jc w:val="center"/>
        </w:trPr>
        <w:tc>
          <w:tcPr>
            <w:tcW w:w="1177" w:type="dxa"/>
            <w:vMerge/>
          </w:tcPr>
          <w:p w14:paraId="0BFEE60F" w14:textId="77777777" w:rsidR="00241417" w:rsidRDefault="00241417" w:rsidP="003A71DE"/>
        </w:tc>
        <w:tc>
          <w:tcPr>
            <w:tcW w:w="1396" w:type="dxa"/>
            <w:vMerge/>
          </w:tcPr>
          <w:p w14:paraId="4CCC7CBB" w14:textId="77777777" w:rsidR="00241417" w:rsidRDefault="00241417" w:rsidP="003A71DE"/>
        </w:tc>
        <w:tc>
          <w:tcPr>
            <w:tcW w:w="1267" w:type="dxa"/>
            <w:vMerge/>
            <w:vAlign w:val="center"/>
          </w:tcPr>
          <w:p w14:paraId="5BD9DD03" w14:textId="77777777" w:rsidR="00241417" w:rsidRDefault="00241417" w:rsidP="003A71DE">
            <w:pPr>
              <w:pStyle w:val="TAC"/>
            </w:pPr>
          </w:p>
        </w:tc>
        <w:tc>
          <w:tcPr>
            <w:tcW w:w="1531" w:type="dxa"/>
            <w:vMerge w:val="restart"/>
            <w:vAlign w:val="center"/>
          </w:tcPr>
          <w:p w14:paraId="50009614" w14:textId="77777777" w:rsidR="00241417" w:rsidRDefault="00241417" w:rsidP="003A71DE">
            <w:pPr>
              <w:pStyle w:val="TAC"/>
            </w:pPr>
            <w:r>
              <w:t>D-FR2-A.2.3-</w:t>
            </w:r>
            <w:r w:rsidRPr="00BD6443">
              <w:t>3</w:t>
            </w:r>
          </w:p>
        </w:tc>
        <w:tc>
          <w:tcPr>
            <w:tcW w:w="1189" w:type="dxa"/>
            <w:vMerge w:val="restart"/>
            <w:vAlign w:val="center"/>
          </w:tcPr>
          <w:p w14:paraId="418A5CE0" w14:textId="77777777" w:rsidR="00241417" w:rsidRDefault="00241417" w:rsidP="003A71DE">
            <w:pPr>
              <w:pStyle w:val="TAC"/>
            </w:pPr>
            <w:r w:rsidRPr="00BD6443">
              <w:t>pos0</w:t>
            </w:r>
          </w:p>
        </w:tc>
        <w:tc>
          <w:tcPr>
            <w:tcW w:w="1119" w:type="dxa"/>
            <w:gridSpan w:val="2"/>
            <w:vAlign w:val="center"/>
          </w:tcPr>
          <w:p w14:paraId="7419CE85" w14:textId="77777777" w:rsidR="00241417" w:rsidRDefault="00241417" w:rsidP="003A71DE">
            <w:pPr>
              <w:pStyle w:val="TAC"/>
            </w:pPr>
            <w:r w:rsidRPr="00BD6443">
              <w:t>Yes</w:t>
            </w:r>
          </w:p>
        </w:tc>
        <w:tc>
          <w:tcPr>
            <w:tcW w:w="1119" w:type="dxa"/>
            <w:vAlign w:val="center"/>
          </w:tcPr>
          <w:p w14:paraId="1D14B9A8" w14:textId="77777777" w:rsidR="00241417" w:rsidRDefault="00241417" w:rsidP="003A71DE">
            <w:pPr>
              <w:pStyle w:val="TAC"/>
            </w:pPr>
            <w:r w:rsidRPr="00BD6443">
              <w:t>11.6</w:t>
            </w:r>
          </w:p>
        </w:tc>
      </w:tr>
      <w:tr w:rsidR="00241417" w14:paraId="6630100F" w14:textId="77777777" w:rsidTr="003A71DE">
        <w:trPr>
          <w:trHeight w:val="145"/>
          <w:jc w:val="center"/>
        </w:trPr>
        <w:tc>
          <w:tcPr>
            <w:tcW w:w="1177" w:type="dxa"/>
            <w:vMerge/>
          </w:tcPr>
          <w:p w14:paraId="4297CFE5" w14:textId="77777777" w:rsidR="00241417" w:rsidRDefault="00241417" w:rsidP="003A71DE"/>
        </w:tc>
        <w:tc>
          <w:tcPr>
            <w:tcW w:w="1396" w:type="dxa"/>
            <w:vMerge/>
          </w:tcPr>
          <w:p w14:paraId="550F6094" w14:textId="77777777" w:rsidR="00241417" w:rsidRDefault="00241417" w:rsidP="003A71DE"/>
        </w:tc>
        <w:tc>
          <w:tcPr>
            <w:tcW w:w="1267" w:type="dxa"/>
            <w:vMerge/>
            <w:vAlign w:val="center"/>
          </w:tcPr>
          <w:p w14:paraId="49F8E62E" w14:textId="77777777" w:rsidR="00241417" w:rsidRDefault="00241417" w:rsidP="003A71DE">
            <w:pPr>
              <w:pStyle w:val="TAC"/>
            </w:pPr>
          </w:p>
        </w:tc>
        <w:tc>
          <w:tcPr>
            <w:tcW w:w="1531" w:type="dxa"/>
            <w:vMerge/>
            <w:vAlign w:val="center"/>
          </w:tcPr>
          <w:p w14:paraId="6CA3596F" w14:textId="77777777" w:rsidR="00241417" w:rsidRDefault="00241417" w:rsidP="003A71DE">
            <w:pPr>
              <w:pStyle w:val="TAC"/>
            </w:pPr>
          </w:p>
        </w:tc>
        <w:tc>
          <w:tcPr>
            <w:tcW w:w="1189" w:type="dxa"/>
            <w:vMerge/>
            <w:vAlign w:val="center"/>
          </w:tcPr>
          <w:p w14:paraId="51AAF8A6" w14:textId="77777777" w:rsidR="00241417" w:rsidRDefault="00241417" w:rsidP="003A71DE">
            <w:pPr>
              <w:pStyle w:val="TAC"/>
            </w:pPr>
          </w:p>
        </w:tc>
        <w:tc>
          <w:tcPr>
            <w:tcW w:w="1119" w:type="dxa"/>
            <w:gridSpan w:val="2"/>
            <w:vAlign w:val="center"/>
          </w:tcPr>
          <w:p w14:paraId="2711E5ED" w14:textId="77777777" w:rsidR="00241417" w:rsidRDefault="00241417" w:rsidP="003A71DE">
            <w:pPr>
              <w:pStyle w:val="TAC"/>
            </w:pPr>
            <w:r w:rsidRPr="00BD6443">
              <w:t>No</w:t>
            </w:r>
          </w:p>
        </w:tc>
        <w:tc>
          <w:tcPr>
            <w:tcW w:w="1119" w:type="dxa"/>
            <w:vAlign w:val="center"/>
          </w:tcPr>
          <w:p w14:paraId="74AE84F8" w14:textId="77777777" w:rsidR="00241417" w:rsidRDefault="00241417" w:rsidP="003A71DE">
            <w:pPr>
              <w:pStyle w:val="TAC"/>
            </w:pPr>
            <w:r w:rsidRPr="00BD6443">
              <w:t>10.9</w:t>
            </w:r>
          </w:p>
        </w:tc>
      </w:tr>
      <w:tr w:rsidR="00241417" w14:paraId="450571C7" w14:textId="77777777" w:rsidTr="003A71DE">
        <w:trPr>
          <w:trHeight w:val="146"/>
          <w:jc w:val="center"/>
        </w:trPr>
        <w:tc>
          <w:tcPr>
            <w:tcW w:w="1177" w:type="dxa"/>
            <w:vMerge/>
          </w:tcPr>
          <w:p w14:paraId="5CE4F3ED" w14:textId="77777777" w:rsidR="00241417" w:rsidRDefault="00241417" w:rsidP="003A71DE"/>
        </w:tc>
        <w:tc>
          <w:tcPr>
            <w:tcW w:w="1396" w:type="dxa"/>
            <w:vMerge/>
          </w:tcPr>
          <w:p w14:paraId="566EBB30" w14:textId="77777777" w:rsidR="00241417" w:rsidRDefault="00241417" w:rsidP="003A71DE"/>
        </w:tc>
        <w:tc>
          <w:tcPr>
            <w:tcW w:w="1267" w:type="dxa"/>
            <w:vMerge/>
            <w:vAlign w:val="center"/>
          </w:tcPr>
          <w:p w14:paraId="71101672" w14:textId="77777777" w:rsidR="00241417" w:rsidRDefault="00241417" w:rsidP="003A71DE">
            <w:pPr>
              <w:pStyle w:val="TAC"/>
            </w:pPr>
          </w:p>
        </w:tc>
        <w:tc>
          <w:tcPr>
            <w:tcW w:w="1531" w:type="dxa"/>
            <w:vMerge w:val="restart"/>
            <w:vAlign w:val="center"/>
          </w:tcPr>
          <w:p w14:paraId="113A16D7" w14:textId="77777777" w:rsidR="00241417" w:rsidRDefault="00241417" w:rsidP="003A71DE">
            <w:pPr>
              <w:pStyle w:val="TAC"/>
            </w:pPr>
            <w:r>
              <w:t>D-FR2-A.2.3-</w:t>
            </w:r>
            <w:r w:rsidRPr="00BD6443">
              <w:t>13</w:t>
            </w:r>
          </w:p>
        </w:tc>
        <w:tc>
          <w:tcPr>
            <w:tcW w:w="1189" w:type="dxa"/>
            <w:vMerge w:val="restart"/>
            <w:vAlign w:val="center"/>
          </w:tcPr>
          <w:p w14:paraId="7C8B00A8" w14:textId="77777777" w:rsidR="00241417" w:rsidRDefault="00241417" w:rsidP="003A71DE">
            <w:pPr>
              <w:pStyle w:val="TAC"/>
            </w:pPr>
            <w:r w:rsidRPr="00BD6443">
              <w:t>pos1</w:t>
            </w:r>
          </w:p>
        </w:tc>
        <w:tc>
          <w:tcPr>
            <w:tcW w:w="1119" w:type="dxa"/>
            <w:gridSpan w:val="2"/>
            <w:vAlign w:val="center"/>
          </w:tcPr>
          <w:p w14:paraId="7BA522F7" w14:textId="77777777" w:rsidR="00241417" w:rsidRDefault="00241417" w:rsidP="003A71DE">
            <w:pPr>
              <w:pStyle w:val="TAC"/>
            </w:pPr>
            <w:r w:rsidRPr="00BD6443">
              <w:t>Yes</w:t>
            </w:r>
          </w:p>
        </w:tc>
        <w:tc>
          <w:tcPr>
            <w:tcW w:w="1119" w:type="dxa"/>
            <w:vAlign w:val="center"/>
          </w:tcPr>
          <w:p w14:paraId="093B5A57" w14:textId="77777777" w:rsidR="00241417" w:rsidRDefault="00241417" w:rsidP="003A71DE">
            <w:pPr>
              <w:pStyle w:val="TAC"/>
            </w:pPr>
            <w:r w:rsidRPr="00BD6443">
              <w:t>10.9</w:t>
            </w:r>
          </w:p>
        </w:tc>
      </w:tr>
      <w:tr w:rsidR="00241417" w14:paraId="39395627" w14:textId="77777777" w:rsidTr="003A71DE">
        <w:trPr>
          <w:trHeight w:val="145"/>
          <w:jc w:val="center"/>
        </w:trPr>
        <w:tc>
          <w:tcPr>
            <w:tcW w:w="1177" w:type="dxa"/>
            <w:vMerge/>
          </w:tcPr>
          <w:p w14:paraId="7CEAC5A4" w14:textId="77777777" w:rsidR="00241417" w:rsidRDefault="00241417" w:rsidP="003A71DE"/>
        </w:tc>
        <w:tc>
          <w:tcPr>
            <w:tcW w:w="1396" w:type="dxa"/>
            <w:vMerge/>
          </w:tcPr>
          <w:p w14:paraId="55AD296D" w14:textId="77777777" w:rsidR="00241417" w:rsidRDefault="00241417" w:rsidP="003A71DE"/>
        </w:tc>
        <w:tc>
          <w:tcPr>
            <w:tcW w:w="1267" w:type="dxa"/>
            <w:vMerge/>
            <w:vAlign w:val="center"/>
          </w:tcPr>
          <w:p w14:paraId="6F1B1662" w14:textId="77777777" w:rsidR="00241417" w:rsidRDefault="00241417" w:rsidP="003A71DE">
            <w:pPr>
              <w:pStyle w:val="TAC"/>
            </w:pPr>
          </w:p>
        </w:tc>
        <w:tc>
          <w:tcPr>
            <w:tcW w:w="1531" w:type="dxa"/>
            <w:vMerge/>
            <w:vAlign w:val="center"/>
          </w:tcPr>
          <w:p w14:paraId="7D369AFE" w14:textId="77777777" w:rsidR="00241417" w:rsidRDefault="00241417" w:rsidP="003A71DE">
            <w:pPr>
              <w:pStyle w:val="TAC"/>
            </w:pPr>
          </w:p>
        </w:tc>
        <w:tc>
          <w:tcPr>
            <w:tcW w:w="1189" w:type="dxa"/>
            <w:vMerge/>
            <w:vAlign w:val="center"/>
          </w:tcPr>
          <w:p w14:paraId="32E509F8" w14:textId="77777777" w:rsidR="00241417" w:rsidRDefault="00241417" w:rsidP="003A71DE">
            <w:pPr>
              <w:pStyle w:val="TAC"/>
            </w:pPr>
          </w:p>
        </w:tc>
        <w:tc>
          <w:tcPr>
            <w:tcW w:w="1119" w:type="dxa"/>
            <w:gridSpan w:val="2"/>
            <w:vAlign w:val="center"/>
          </w:tcPr>
          <w:p w14:paraId="17BC4723" w14:textId="77777777" w:rsidR="00241417" w:rsidRDefault="00241417" w:rsidP="003A71DE">
            <w:pPr>
              <w:pStyle w:val="TAC"/>
            </w:pPr>
            <w:r w:rsidRPr="00BD6443">
              <w:t>No</w:t>
            </w:r>
          </w:p>
        </w:tc>
        <w:tc>
          <w:tcPr>
            <w:tcW w:w="1119" w:type="dxa"/>
            <w:vAlign w:val="center"/>
          </w:tcPr>
          <w:p w14:paraId="2D01CD9A" w14:textId="77777777" w:rsidR="00241417" w:rsidRDefault="00241417" w:rsidP="003A71DE">
            <w:pPr>
              <w:pStyle w:val="TAC"/>
            </w:pPr>
            <w:r w:rsidRPr="00BD6443">
              <w:t>10.5</w:t>
            </w:r>
          </w:p>
        </w:tc>
      </w:tr>
      <w:tr w:rsidR="00241417" w14:paraId="4C2FB9B7" w14:textId="77777777" w:rsidTr="003A71DE">
        <w:trPr>
          <w:trHeight w:val="146"/>
          <w:jc w:val="center"/>
        </w:trPr>
        <w:tc>
          <w:tcPr>
            <w:tcW w:w="1177" w:type="dxa"/>
            <w:vMerge/>
          </w:tcPr>
          <w:p w14:paraId="67AADB66" w14:textId="77777777" w:rsidR="00241417" w:rsidRDefault="00241417" w:rsidP="003A71DE"/>
        </w:tc>
        <w:tc>
          <w:tcPr>
            <w:tcW w:w="1396" w:type="dxa"/>
            <w:vMerge/>
          </w:tcPr>
          <w:p w14:paraId="20AFD1F7" w14:textId="77777777" w:rsidR="00241417" w:rsidRDefault="00241417" w:rsidP="003A71DE"/>
        </w:tc>
        <w:tc>
          <w:tcPr>
            <w:tcW w:w="1267" w:type="dxa"/>
            <w:vMerge w:val="restart"/>
            <w:vAlign w:val="center"/>
          </w:tcPr>
          <w:p w14:paraId="1416B884" w14:textId="77777777" w:rsidR="00241417" w:rsidRDefault="00241417" w:rsidP="003A71DE">
            <w:pPr>
              <w:pStyle w:val="TAC"/>
            </w:pPr>
            <w:r>
              <w:t>TDLA30-75 Low</w:t>
            </w:r>
          </w:p>
        </w:tc>
        <w:tc>
          <w:tcPr>
            <w:tcW w:w="1531" w:type="dxa"/>
            <w:vMerge w:val="restart"/>
            <w:vAlign w:val="center"/>
          </w:tcPr>
          <w:p w14:paraId="46B153E1" w14:textId="77777777" w:rsidR="00241417" w:rsidRDefault="00241417" w:rsidP="003A71DE">
            <w:pPr>
              <w:pStyle w:val="TAC"/>
            </w:pPr>
            <w:r>
              <w:t>D-FR2-A.2.4-</w:t>
            </w:r>
            <w:r w:rsidRPr="00BD6443">
              <w:t>3</w:t>
            </w:r>
          </w:p>
        </w:tc>
        <w:tc>
          <w:tcPr>
            <w:tcW w:w="1189" w:type="dxa"/>
            <w:vMerge w:val="restart"/>
            <w:vAlign w:val="center"/>
          </w:tcPr>
          <w:p w14:paraId="1BEBB3DC" w14:textId="77777777" w:rsidR="00241417" w:rsidRDefault="00241417" w:rsidP="003A71DE">
            <w:pPr>
              <w:pStyle w:val="TAC"/>
            </w:pPr>
            <w:r w:rsidRPr="00BD6443">
              <w:t>pos0</w:t>
            </w:r>
          </w:p>
        </w:tc>
        <w:tc>
          <w:tcPr>
            <w:tcW w:w="1119" w:type="dxa"/>
            <w:gridSpan w:val="2"/>
            <w:vAlign w:val="center"/>
          </w:tcPr>
          <w:p w14:paraId="3C5FBF96" w14:textId="77777777" w:rsidR="00241417" w:rsidRDefault="00241417" w:rsidP="003A71DE">
            <w:pPr>
              <w:pStyle w:val="TAC"/>
            </w:pPr>
            <w:r w:rsidRPr="00BD6443">
              <w:t>Yes</w:t>
            </w:r>
          </w:p>
        </w:tc>
        <w:tc>
          <w:tcPr>
            <w:tcW w:w="1119" w:type="dxa"/>
            <w:vAlign w:val="center"/>
          </w:tcPr>
          <w:p w14:paraId="4045ADF7" w14:textId="77777777" w:rsidR="00241417" w:rsidRDefault="00241417" w:rsidP="003A71DE">
            <w:pPr>
              <w:pStyle w:val="TAC"/>
            </w:pPr>
            <w:r w:rsidRPr="00BD6443">
              <w:t>13.7</w:t>
            </w:r>
          </w:p>
        </w:tc>
      </w:tr>
      <w:tr w:rsidR="00241417" w14:paraId="4363C9F5" w14:textId="77777777" w:rsidTr="003A71DE">
        <w:trPr>
          <w:trHeight w:val="145"/>
          <w:jc w:val="center"/>
        </w:trPr>
        <w:tc>
          <w:tcPr>
            <w:tcW w:w="1177" w:type="dxa"/>
            <w:vMerge/>
          </w:tcPr>
          <w:p w14:paraId="5DF48B47" w14:textId="77777777" w:rsidR="00241417" w:rsidRDefault="00241417" w:rsidP="003A71DE"/>
        </w:tc>
        <w:tc>
          <w:tcPr>
            <w:tcW w:w="1396" w:type="dxa"/>
            <w:vMerge/>
          </w:tcPr>
          <w:p w14:paraId="09900EEB" w14:textId="77777777" w:rsidR="00241417" w:rsidRDefault="00241417" w:rsidP="003A71DE"/>
        </w:tc>
        <w:tc>
          <w:tcPr>
            <w:tcW w:w="1267" w:type="dxa"/>
            <w:vMerge/>
            <w:vAlign w:val="center"/>
          </w:tcPr>
          <w:p w14:paraId="769904F7" w14:textId="77777777" w:rsidR="00241417" w:rsidRDefault="00241417" w:rsidP="003A71DE">
            <w:pPr>
              <w:pStyle w:val="TAC"/>
            </w:pPr>
          </w:p>
        </w:tc>
        <w:tc>
          <w:tcPr>
            <w:tcW w:w="1531" w:type="dxa"/>
            <w:vMerge/>
            <w:vAlign w:val="center"/>
          </w:tcPr>
          <w:p w14:paraId="67606F64" w14:textId="77777777" w:rsidR="00241417" w:rsidRDefault="00241417" w:rsidP="003A71DE">
            <w:pPr>
              <w:pStyle w:val="TAC"/>
            </w:pPr>
          </w:p>
        </w:tc>
        <w:tc>
          <w:tcPr>
            <w:tcW w:w="1189" w:type="dxa"/>
            <w:vMerge/>
            <w:vAlign w:val="center"/>
          </w:tcPr>
          <w:p w14:paraId="799E2C50" w14:textId="77777777" w:rsidR="00241417" w:rsidRDefault="00241417" w:rsidP="003A71DE">
            <w:pPr>
              <w:pStyle w:val="TAC"/>
            </w:pPr>
          </w:p>
        </w:tc>
        <w:tc>
          <w:tcPr>
            <w:tcW w:w="1119" w:type="dxa"/>
            <w:gridSpan w:val="2"/>
            <w:vAlign w:val="center"/>
          </w:tcPr>
          <w:p w14:paraId="4416E2DC" w14:textId="77777777" w:rsidR="00241417" w:rsidRDefault="00241417" w:rsidP="003A71DE">
            <w:pPr>
              <w:pStyle w:val="TAC"/>
            </w:pPr>
            <w:r w:rsidRPr="00BD6443">
              <w:t>No</w:t>
            </w:r>
          </w:p>
        </w:tc>
        <w:tc>
          <w:tcPr>
            <w:tcW w:w="1119" w:type="dxa"/>
            <w:vAlign w:val="center"/>
          </w:tcPr>
          <w:p w14:paraId="3D09FE0B" w14:textId="77777777" w:rsidR="00241417" w:rsidRDefault="00241417" w:rsidP="003A71DE">
            <w:pPr>
              <w:pStyle w:val="TAC"/>
            </w:pPr>
            <w:r w:rsidRPr="00BD6443">
              <w:t>13.1</w:t>
            </w:r>
          </w:p>
        </w:tc>
      </w:tr>
      <w:tr w:rsidR="00241417" w14:paraId="5A5888C8" w14:textId="77777777" w:rsidTr="003A71DE">
        <w:trPr>
          <w:trHeight w:val="146"/>
          <w:jc w:val="center"/>
        </w:trPr>
        <w:tc>
          <w:tcPr>
            <w:tcW w:w="1177" w:type="dxa"/>
            <w:vMerge/>
          </w:tcPr>
          <w:p w14:paraId="66478D4D" w14:textId="77777777" w:rsidR="00241417" w:rsidRDefault="00241417" w:rsidP="003A71DE"/>
        </w:tc>
        <w:tc>
          <w:tcPr>
            <w:tcW w:w="1396" w:type="dxa"/>
            <w:vMerge/>
          </w:tcPr>
          <w:p w14:paraId="62049FE2" w14:textId="77777777" w:rsidR="00241417" w:rsidRDefault="00241417" w:rsidP="003A71DE"/>
        </w:tc>
        <w:tc>
          <w:tcPr>
            <w:tcW w:w="1267" w:type="dxa"/>
            <w:vMerge/>
            <w:vAlign w:val="center"/>
          </w:tcPr>
          <w:p w14:paraId="667683EE" w14:textId="77777777" w:rsidR="00241417" w:rsidRDefault="00241417" w:rsidP="003A71DE">
            <w:pPr>
              <w:pStyle w:val="TAC"/>
            </w:pPr>
          </w:p>
        </w:tc>
        <w:tc>
          <w:tcPr>
            <w:tcW w:w="1531" w:type="dxa"/>
            <w:vMerge w:val="restart"/>
            <w:vAlign w:val="center"/>
          </w:tcPr>
          <w:p w14:paraId="6BB031B4" w14:textId="77777777" w:rsidR="00241417" w:rsidRDefault="00241417" w:rsidP="003A71DE">
            <w:pPr>
              <w:pStyle w:val="TAC"/>
            </w:pPr>
            <w:r>
              <w:t>D-FR2-A.2.4-</w:t>
            </w:r>
            <w:r w:rsidRPr="00BD6443">
              <w:t>8</w:t>
            </w:r>
          </w:p>
        </w:tc>
        <w:tc>
          <w:tcPr>
            <w:tcW w:w="1189" w:type="dxa"/>
            <w:vMerge w:val="restart"/>
            <w:vAlign w:val="center"/>
          </w:tcPr>
          <w:p w14:paraId="616FA3F9" w14:textId="77777777" w:rsidR="00241417" w:rsidRDefault="00241417" w:rsidP="003A71DE">
            <w:pPr>
              <w:pStyle w:val="TAC"/>
            </w:pPr>
            <w:r w:rsidRPr="00BD6443">
              <w:t>pos1</w:t>
            </w:r>
          </w:p>
        </w:tc>
        <w:tc>
          <w:tcPr>
            <w:tcW w:w="1119" w:type="dxa"/>
            <w:gridSpan w:val="2"/>
            <w:vAlign w:val="center"/>
          </w:tcPr>
          <w:p w14:paraId="12F282B8" w14:textId="77777777" w:rsidR="00241417" w:rsidRDefault="00241417" w:rsidP="003A71DE">
            <w:pPr>
              <w:pStyle w:val="TAC"/>
            </w:pPr>
            <w:r w:rsidRPr="00BD6443">
              <w:t>Yes</w:t>
            </w:r>
          </w:p>
        </w:tc>
        <w:tc>
          <w:tcPr>
            <w:tcW w:w="1119" w:type="dxa"/>
            <w:vAlign w:val="center"/>
          </w:tcPr>
          <w:p w14:paraId="7C8D7899" w14:textId="77777777" w:rsidR="00241417" w:rsidRDefault="00241417" w:rsidP="003A71DE">
            <w:pPr>
              <w:pStyle w:val="TAC"/>
            </w:pPr>
            <w:r w:rsidRPr="00BD6443">
              <w:t>13.2</w:t>
            </w:r>
          </w:p>
        </w:tc>
      </w:tr>
      <w:tr w:rsidR="00241417" w14:paraId="677F8CF7" w14:textId="77777777" w:rsidTr="003A71DE">
        <w:trPr>
          <w:trHeight w:val="145"/>
          <w:jc w:val="center"/>
        </w:trPr>
        <w:tc>
          <w:tcPr>
            <w:tcW w:w="1177" w:type="dxa"/>
            <w:vMerge/>
          </w:tcPr>
          <w:p w14:paraId="11843C99" w14:textId="77777777" w:rsidR="00241417" w:rsidRDefault="00241417" w:rsidP="003A71DE"/>
        </w:tc>
        <w:tc>
          <w:tcPr>
            <w:tcW w:w="1396" w:type="dxa"/>
            <w:vMerge/>
          </w:tcPr>
          <w:p w14:paraId="19156831" w14:textId="77777777" w:rsidR="00241417" w:rsidRDefault="00241417" w:rsidP="003A71DE"/>
        </w:tc>
        <w:tc>
          <w:tcPr>
            <w:tcW w:w="1267" w:type="dxa"/>
            <w:vMerge/>
            <w:vAlign w:val="center"/>
          </w:tcPr>
          <w:p w14:paraId="654AD286" w14:textId="77777777" w:rsidR="00241417" w:rsidRDefault="00241417" w:rsidP="003A71DE">
            <w:pPr>
              <w:pStyle w:val="TAC"/>
            </w:pPr>
          </w:p>
        </w:tc>
        <w:tc>
          <w:tcPr>
            <w:tcW w:w="1531" w:type="dxa"/>
            <w:vMerge/>
            <w:vAlign w:val="center"/>
          </w:tcPr>
          <w:p w14:paraId="027B5DC3" w14:textId="77777777" w:rsidR="00241417" w:rsidRDefault="00241417" w:rsidP="003A71DE">
            <w:pPr>
              <w:pStyle w:val="TAC"/>
            </w:pPr>
          </w:p>
        </w:tc>
        <w:tc>
          <w:tcPr>
            <w:tcW w:w="1189" w:type="dxa"/>
            <w:vMerge/>
            <w:vAlign w:val="center"/>
          </w:tcPr>
          <w:p w14:paraId="51C8B7B6" w14:textId="77777777" w:rsidR="00241417" w:rsidRDefault="00241417" w:rsidP="003A71DE">
            <w:pPr>
              <w:pStyle w:val="TAC"/>
            </w:pPr>
          </w:p>
        </w:tc>
        <w:tc>
          <w:tcPr>
            <w:tcW w:w="1119" w:type="dxa"/>
            <w:gridSpan w:val="2"/>
            <w:vAlign w:val="center"/>
          </w:tcPr>
          <w:p w14:paraId="1C3CB1F7" w14:textId="77777777" w:rsidR="00241417" w:rsidRDefault="00241417" w:rsidP="003A71DE">
            <w:pPr>
              <w:pStyle w:val="TAC"/>
            </w:pPr>
            <w:r w:rsidRPr="00BD6443">
              <w:t>No</w:t>
            </w:r>
          </w:p>
        </w:tc>
        <w:tc>
          <w:tcPr>
            <w:tcW w:w="1119" w:type="dxa"/>
            <w:vAlign w:val="center"/>
          </w:tcPr>
          <w:p w14:paraId="5F8409F9" w14:textId="77777777" w:rsidR="00241417" w:rsidRDefault="00241417" w:rsidP="003A71DE">
            <w:pPr>
              <w:pStyle w:val="TAC"/>
            </w:pPr>
            <w:r w:rsidRPr="00BD6443">
              <w:t>13.0</w:t>
            </w:r>
          </w:p>
        </w:tc>
      </w:tr>
      <w:tr w:rsidR="00241417" w14:paraId="20375B2A" w14:textId="77777777" w:rsidTr="003A71DE">
        <w:trPr>
          <w:jc w:val="center"/>
        </w:trPr>
        <w:tc>
          <w:tcPr>
            <w:tcW w:w="1177" w:type="dxa"/>
            <w:vMerge w:val="restart"/>
            <w:vAlign w:val="center"/>
          </w:tcPr>
          <w:p w14:paraId="234FD512" w14:textId="77777777" w:rsidR="00241417" w:rsidRDefault="00241417" w:rsidP="003A71DE">
            <w:pPr>
              <w:pStyle w:val="TAC"/>
            </w:pPr>
            <w:r>
              <w:t>2</w:t>
            </w:r>
          </w:p>
        </w:tc>
        <w:tc>
          <w:tcPr>
            <w:tcW w:w="1396" w:type="dxa"/>
            <w:vMerge/>
          </w:tcPr>
          <w:p w14:paraId="48ADD840" w14:textId="77777777" w:rsidR="00241417" w:rsidRDefault="00241417" w:rsidP="003A71DE"/>
        </w:tc>
        <w:tc>
          <w:tcPr>
            <w:tcW w:w="1267" w:type="dxa"/>
            <w:vMerge w:val="restart"/>
            <w:vAlign w:val="center"/>
          </w:tcPr>
          <w:p w14:paraId="504DD861" w14:textId="77777777" w:rsidR="00241417" w:rsidRDefault="00241417" w:rsidP="003A71DE">
            <w:pPr>
              <w:pStyle w:val="TAC"/>
            </w:pPr>
            <w:r w:rsidRPr="009A074B">
              <w:t>TDLA30-300 Low</w:t>
            </w:r>
          </w:p>
        </w:tc>
        <w:tc>
          <w:tcPr>
            <w:tcW w:w="1531" w:type="dxa"/>
            <w:vAlign w:val="center"/>
          </w:tcPr>
          <w:p w14:paraId="5572E5DE" w14:textId="77777777" w:rsidR="00241417" w:rsidRDefault="00241417" w:rsidP="003A71DE">
            <w:pPr>
              <w:pStyle w:val="TAC"/>
            </w:pPr>
            <w:r>
              <w:t>D-FR2-A.2.1-</w:t>
            </w:r>
            <w:r w:rsidRPr="00BD6443">
              <w:t>8</w:t>
            </w:r>
          </w:p>
        </w:tc>
        <w:tc>
          <w:tcPr>
            <w:tcW w:w="1189" w:type="dxa"/>
            <w:vAlign w:val="center"/>
          </w:tcPr>
          <w:p w14:paraId="33E94D51" w14:textId="77777777" w:rsidR="00241417" w:rsidRDefault="00241417" w:rsidP="003A71DE">
            <w:pPr>
              <w:pStyle w:val="TAC"/>
            </w:pPr>
            <w:r w:rsidRPr="00BD6443">
              <w:t>pos0</w:t>
            </w:r>
          </w:p>
        </w:tc>
        <w:tc>
          <w:tcPr>
            <w:tcW w:w="1113" w:type="dxa"/>
            <w:vAlign w:val="center"/>
          </w:tcPr>
          <w:p w14:paraId="1847E3D6" w14:textId="77777777" w:rsidR="00241417" w:rsidRDefault="00241417" w:rsidP="003A71DE">
            <w:pPr>
              <w:pStyle w:val="TAC"/>
            </w:pPr>
            <w:r w:rsidRPr="00BD6443">
              <w:t>No</w:t>
            </w:r>
          </w:p>
        </w:tc>
        <w:tc>
          <w:tcPr>
            <w:tcW w:w="1125" w:type="dxa"/>
            <w:gridSpan w:val="2"/>
            <w:vAlign w:val="center"/>
          </w:tcPr>
          <w:p w14:paraId="18FC4031" w14:textId="77777777" w:rsidR="00241417" w:rsidRDefault="00241417" w:rsidP="003A71DE">
            <w:pPr>
              <w:pStyle w:val="TAC"/>
            </w:pPr>
            <w:r w:rsidRPr="00BD6443">
              <w:t>1.4</w:t>
            </w:r>
          </w:p>
        </w:tc>
      </w:tr>
      <w:tr w:rsidR="00241417" w14:paraId="49F53116" w14:textId="77777777" w:rsidTr="003A71DE">
        <w:trPr>
          <w:jc w:val="center"/>
        </w:trPr>
        <w:tc>
          <w:tcPr>
            <w:tcW w:w="1177" w:type="dxa"/>
            <w:vMerge/>
          </w:tcPr>
          <w:p w14:paraId="06B1190D" w14:textId="77777777" w:rsidR="00241417" w:rsidRDefault="00241417" w:rsidP="003A71DE"/>
        </w:tc>
        <w:tc>
          <w:tcPr>
            <w:tcW w:w="1396" w:type="dxa"/>
            <w:vMerge/>
          </w:tcPr>
          <w:p w14:paraId="531AC371" w14:textId="77777777" w:rsidR="00241417" w:rsidRDefault="00241417" w:rsidP="003A71DE"/>
        </w:tc>
        <w:tc>
          <w:tcPr>
            <w:tcW w:w="1267" w:type="dxa"/>
            <w:vMerge/>
          </w:tcPr>
          <w:p w14:paraId="44C896F9" w14:textId="77777777" w:rsidR="00241417" w:rsidRDefault="00241417" w:rsidP="003A71DE"/>
        </w:tc>
        <w:tc>
          <w:tcPr>
            <w:tcW w:w="1531" w:type="dxa"/>
            <w:vAlign w:val="center"/>
          </w:tcPr>
          <w:p w14:paraId="5E54AEE3" w14:textId="77777777" w:rsidR="00241417" w:rsidRDefault="00241417" w:rsidP="003A71DE">
            <w:pPr>
              <w:pStyle w:val="TAC"/>
            </w:pPr>
            <w:r>
              <w:t>D-FR2-A.2.1-</w:t>
            </w:r>
            <w:r w:rsidRPr="00BD6443">
              <w:t>20</w:t>
            </w:r>
          </w:p>
        </w:tc>
        <w:tc>
          <w:tcPr>
            <w:tcW w:w="1189" w:type="dxa"/>
            <w:vAlign w:val="center"/>
          </w:tcPr>
          <w:p w14:paraId="71C631E6" w14:textId="77777777" w:rsidR="00241417" w:rsidRDefault="00241417" w:rsidP="003A71DE">
            <w:pPr>
              <w:pStyle w:val="TAC"/>
            </w:pPr>
            <w:r w:rsidRPr="00BD6443">
              <w:t>pos1</w:t>
            </w:r>
          </w:p>
        </w:tc>
        <w:tc>
          <w:tcPr>
            <w:tcW w:w="1113" w:type="dxa"/>
            <w:vAlign w:val="center"/>
          </w:tcPr>
          <w:p w14:paraId="5B7532EC" w14:textId="77777777" w:rsidR="00241417" w:rsidRDefault="00241417" w:rsidP="003A71DE">
            <w:pPr>
              <w:pStyle w:val="TAC"/>
            </w:pPr>
            <w:r w:rsidRPr="00BD6443">
              <w:t>No</w:t>
            </w:r>
          </w:p>
        </w:tc>
        <w:tc>
          <w:tcPr>
            <w:tcW w:w="1125" w:type="dxa"/>
            <w:gridSpan w:val="2"/>
            <w:vAlign w:val="center"/>
          </w:tcPr>
          <w:p w14:paraId="3A2F7701" w14:textId="77777777" w:rsidR="00241417" w:rsidRDefault="00241417" w:rsidP="003A71DE">
            <w:pPr>
              <w:pStyle w:val="TAC"/>
            </w:pPr>
            <w:r w:rsidRPr="00BD6443">
              <w:t>1.3</w:t>
            </w:r>
          </w:p>
        </w:tc>
      </w:tr>
      <w:tr w:rsidR="00241417" w14:paraId="69F088CA" w14:textId="77777777" w:rsidTr="003A71DE">
        <w:trPr>
          <w:trHeight w:val="146"/>
          <w:jc w:val="center"/>
        </w:trPr>
        <w:tc>
          <w:tcPr>
            <w:tcW w:w="1177" w:type="dxa"/>
            <w:vMerge/>
          </w:tcPr>
          <w:p w14:paraId="5E68FD05" w14:textId="77777777" w:rsidR="00241417" w:rsidRDefault="00241417" w:rsidP="003A71DE"/>
        </w:tc>
        <w:tc>
          <w:tcPr>
            <w:tcW w:w="1396" w:type="dxa"/>
            <w:vMerge/>
          </w:tcPr>
          <w:p w14:paraId="7CBF9576" w14:textId="77777777" w:rsidR="00241417" w:rsidRDefault="00241417" w:rsidP="003A71DE"/>
        </w:tc>
        <w:tc>
          <w:tcPr>
            <w:tcW w:w="1267" w:type="dxa"/>
            <w:vMerge/>
          </w:tcPr>
          <w:p w14:paraId="5CD5B83E" w14:textId="77777777" w:rsidR="00241417" w:rsidRDefault="00241417" w:rsidP="003A71DE"/>
        </w:tc>
        <w:tc>
          <w:tcPr>
            <w:tcW w:w="1531" w:type="dxa"/>
            <w:vMerge w:val="restart"/>
            <w:vAlign w:val="center"/>
          </w:tcPr>
          <w:p w14:paraId="0E09FD6A" w14:textId="77777777" w:rsidR="00241417" w:rsidRDefault="00241417" w:rsidP="003A71DE">
            <w:pPr>
              <w:pStyle w:val="TAC"/>
            </w:pPr>
            <w:r w:rsidRPr="00BD6443">
              <w:t xml:space="preserve"> </w:t>
            </w:r>
            <w:r>
              <w:t>D-FR2-A.2.2-</w:t>
            </w:r>
            <w:r w:rsidRPr="00BD6443">
              <w:t>3</w:t>
            </w:r>
          </w:p>
        </w:tc>
        <w:tc>
          <w:tcPr>
            <w:tcW w:w="1189" w:type="dxa"/>
            <w:vMerge w:val="restart"/>
            <w:vAlign w:val="center"/>
          </w:tcPr>
          <w:p w14:paraId="304B8BA6" w14:textId="77777777" w:rsidR="00241417" w:rsidRDefault="00241417" w:rsidP="003A71DE">
            <w:pPr>
              <w:pStyle w:val="TAC"/>
            </w:pPr>
            <w:r w:rsidRPr="00BD6443">
              <w:t>pos0</w:t>
            </w:r>
          </w:p>
        </w:tc>
        <w:tc>
          <w:tcPr>
            <w:tcW w:w="1119" w:type="dxa"/>
            <w:gridSpan w:val="2"/>
            <w:vAlign w:val="center"/>
          </w:tcPr>
          <w:p w14:paraId="5D39255C" w14:textId="77777777" w:rsidR="00241417" w:rsidRDefault="00241417" w:rsidP="003A71DE">
            <w:pPr>
              <w:pStyle w:val="TAC"/>
            </w:pPr>
            <w:r w:rsidRPr="00BD6443">
              <w:t>Yes</w:t>
            </w:r>
          </w:p>
        </w:tc>
        <w:tc>
          <w:tcPr>
            <w:tcW w:w="1119" w:type="dxa"/>
            <w:vAlign w:val="center"/>
          </w:tcPr>
          <w:p w14:paraId="745B3441" w14:textId="77777777" w:rsidR="00241417" w:rsidRDefault="00241417" w:rsidP="003A71DE">
            <w:pPr>
              <w:pStyle w:val="TAC"/>
            </w:pPr>
            <w:r w:rsidRPr="00BD6443">
              <w:t>14.2</w:t>
            </w:r>
          </w:p>
        </w:tc>
      </w:tr>
      <w:tr w:rsidR="00241417" w14:paraId="296DBD51" w14:textId="77777777" w:rsidTr="003A71DE">
        <w:trPr>
          <w:trHeight w:val="145"/>
          <w:jc w:val="center"/>
        </w:trPr>
        <w:tc>
          <w:tcPr>
            <w:tcW w:w="1177" w:type="dxa"/>
            <w:vMerge/>
          </w:tcPr>
          <w:p w14:paraId="4BBC8BDE" w14:textId="77777777" w:rsidR="00241417" w:rsidRDefault="00241417" w:rsidP="003A71DE"/>
        </w:tc>
        <w:tc>
          <w:tcPr>
            <w:tcW w:w="1396" w:type="dxa"/>
            <w:vMerge/>
          </w:tcPr>
          <w:p w14:paraId="1B4E9F5D" w14:textId="77777777" w:rsidR="00241417" w:rsidRDefault="00241417" w:rsidP="003A71DE"/>
        </w:tc>
        <w:tc>
          <w:tcPr>
            <w:tcW w:w="1267" w:type="dxa"/>
            <w:vMerge/>
          </w:tcPr>
          <w:p w14:paraId="324472DA" w14:textId="77777777" w:rsidR="00241417" w:rsidRDefault="00241417" w:rsidP="003A71DE"/>
        </w:tc>
        <w:tc>
          <w:tcPr>
            <w:tcW w:w="1531" w:type="dxa"/>
            <w:vMerge/>
            <w:vAlign w:val="center"/>
          </w:tcPr>
          <w:p w14:paraId="06F6D44A" w14:textId="77777777" w:rsidR="00241417" w:rsidRDefault="00241417" w:rsidP="003A71DE">
            <w:pPr>
              <w:pStyle w:val="TAC"/>
            </w:pPr>
          </w:p>
        </w:tc>
        <w:tc>
          <w:tcPr>
            <w:tcW w:w="1189" w:type="dxa"/>
            <w:vMerge/>
            <w:vAlign w:val="center"/>
          </w:tcPr>
          <w:p w14:paraId="463ACC1C" w14:textId="77777777" w:rsidR="00241417" w:rsidRDefault="00241417" w:rsidP="003A71DE">
            <w:pPr>
              <w:pStyle w:val="TAC"/>
            </w:pPr>
          </w:p>
        </w:tc>
        <w:tc>
          <w:tcPr>
            <w:tcW w:w="1119" w:type="dxa"/>
            <w:gridSpan w:val="2"/>
            <w:vAlign w:val="center"/>
          </w:tcPr>
          <w:p w14:paraId="58B534F9" w14:textId="77777777" w:rsidR="00241417" w:rsidRDefault="00241417" w:rsidP="003A71DE">
            <w:pPr>
              <w:pStyle w:val="TAC"/>
            </w:pPr>
            <w:r w:rsidRPr="00BD6443">
              <w:t>No</w:t>
            </w:r>
          </w:p>
        </w:tc>
        <w:tc>
          <w:tcPr>
            <w:tcW w:w="1119" w:type="dxa"/>
            <w:vAlign w:val="center"/>
          </w:tcPr>
          <w:p w14:paraId="3ABE1664" w14:textId="77777777" w:rsidR="00241417" w:rsidRDefault="00241417" w:rsidP="003A71DE">
            <w:pPr>
              <w:pStyle w:val="TAC"/>
            </w:pPr>
            <w:r w:rsidRPr="00BD6443">
              <w:t>13.6</w:t>
            </w:r>
          </w:p>
        </w:tc>
      </w:tr>
      <w:tr w:rsidR="00241417" w14:paraId="1866B322" w14:textId="77777777" w:rsidTr="003A71DE">
        <w:trPr>
          <w:trHeight w:val="424"/>
          <w:jc w:val="center"/>
        </w:trPr>
        <w:tc>
          <w:tcPr>
            <w:tcW w:w="1177" w:type="dxa"/>
            <w:vMerge/>
          </w:tcPr>
          <w:p w14:paraId="72048EBC" w14:textId="77777777" w:rsidR="00241417" w:rsidRDefault="00241417" w:rsidP="003A71DE"/>
        </w:tc>
        <w:tc>
          <w:tcPr>
            <w:tcW w:w="1396" w:type="dxa"/>
            <w:vMerge/>
          </w:tcPr>
          <w:p w14:paraId="33E4B8FC" w14:textId="77777777" w:rsidR="00241417" w:rsidRDefault="00241417" w:rsidP="003A71DE"/>
        </w:tc>
        <w:tc>
          <w:tcPr>
            <w:tcW w:w="1267" w:type="dxa"/>
            <w:vMerge/>
          </w:tcPr>
          <w:p w14:paraId="68996A98" w14:textId="77777777" w:rsidR="00241417" w:rsidRDefault="00241417" w:rsidP="003A71DE"/>
        </w:tc>
        <w:tc>
          <w:tcPr>
            <w:tcW w:w="1531" w:type="dxa"/>
            <w:vAlign w:val="center"/>
          </w:tcPr>
          <w:p w14:paraId="609B3B42" w14:textId="77777777" w:rsidR="00241417" w:rsidRDefault="00241417" w:rsidP="003A71DE">
            <w:pPr>
              <w:pStyle w:val="TAC"/>
            </w:pPr>
            <w:r>
              <w:t>D-FR2-A.2.2-</w:t>
            </w:r>
            <w:r w:rsidRPr="00BD6443">
              <w:t>8</w:t>
            </w:r>
          </w:p>
        </w:tc>
        <w:tc>
          <w:tcPr>
            <w:tcW w:w="1189" w:type="dxa"/>
            <w:vAlign w:val="center"/>
          </w:tcPr>
          <w:p w14:paraId="3E3D3E59" w14:textId="77777777" w:rsidR="00241417" w:rsidRDefault="00241417" w:rsidP="003A71DE">
            <w:pPr>
              <w:pStyle w:val="TAC"/>
            </w:pPr>
            <w:r w:rsidRPr="00BD6443">
              <w:t>pos1</w:t>
            </w:r>
          </w:p>
        </w:tc>
        <w:tc>
          <w:tcPr>
            <w:tcW w:w="1119" w:type="dxa"/>
            <w:gridSpan w:val="2"/>
            <w:vAlign w:val="center"/>
          </w:tcPr>
          <w:p w14:paraId="4E8DC156" w14:textId="77777777" w:rsidR="00241417" w:rsidRDefault="00241417" w:rsidP="003A71DE">
            <w:pPr>
              <w:pStyle w:val="TAC"/>
            </w:pPr>
            <w:r w:rsidRPr="00BD6443">
              <w:t>Yes</w:t>
            </w:r>
          </w:p>
        </w:tc>
        <w:tc>
          <w:tcPr>
            <w:tcW w:w="1119" w:type="dxa"/>
            <w:vAlign w:val="center"/>
          </w:tcPr>
          <w:p w14:paraId="2F3ED463" w14:textId="77777777" w:rsidR="00241417" w:rsidRDefault="00241417" w:rsidP="003A71DE">
            <w:pPr>
              <w:pStyle w:val="TAC"/>
            </w:pPr>
            <w:r w:rsidRPr="00BD6443">
              <w:t>13.9</w:t>
            </w:r>
          </w:p>
        </w:tc>
      </w:tr>
    </w:tbl>
    <w:p w14:paraId="36F2D8AC" w14:textId="77777777" w:rsidR="00241417" w:rsidRDefault="00241417" w:rsidP="00241417"/>
    <w:p w14:paraId="1D6F169A" w14:textId="77777777" w:rsidR="00241417" w:rsidRDefault="00241417" w:rsidP="00241417">
      <w:pPr>
        <w:pStyle w:val="TH"/>
      </w:pPr>
      <w:r w:rsidRPr="00BD6443">
        <w:t>Table 11.</w:t>
      </w:r>
      <w:r>
        <w:t>1.</w:t>
      </w:r>
      <w:r w:rsidRPr="00BD6443">
        <w:t>2.2.1.2-4: Minimum requirements for PUSCH, 100 MHz channel bandwidth, 120 kHz SCS</w:t>
      </w:r>
    </w:p>
    <w:tbl>
      <w:tblPr>
        <w:tblStyle w:val="TableGrid"/>
        <w:tblW w:w="8798" w:type="dxa"/>
        <w:jc w:val="center"/>
        <w:tblLook w:val="04A0" w:firstRow="1" w:lastRow="0" w:firstColumn="1" w:lastColumn="0" w:noHBand="0" w:noVBand="1"/>
      </w:tblPr>
      <w:tblGrid>
        <w:gridCol w:w="1177"/>
        <w:gridCol w:w="1396"/>
        <w:gridCol w:w="1267"/>
        <w:gridCol w:w="1531"/>
        <w:gridCol w:w="1189"/>
        <w:gridCol w:w="1113"/>
        <w:gridCol w:w="6"/>
        <w:gridCol w:w="1119"/>
      </w:tblGrid>
      <w:tr w:rsidR="00241417" w14:paraId="0FE01E46" w14:textId="77777777" w:rsidTr="003A71DE">
        <w:trPr>
          <w:jc w:val="center"/>
        </w:trPr>
        <w:tc>
          <w:tcPr>
            <w:tcW w:w="1177" w:type="dxa"/>
            <w:vAlign w:val="center"/>
          </w:tcPr>
          <w:p w14:paraId="49C2DCCC" w14:textId="77777777" w:rsidR="00241417" w:rsidRDefault="00241417" w:rsidP="003A71DE">
            <w:pPr>
              <w:pStyle w:val="TAH"/>
            </w:pPr>
            <w:r w:rsidRPr="00BD6443">
              <w:t>Number of TX antennas</w:t>
            </w:r>
          </w:p>
        </w:tc>
        <w:tc>
          <w:tcPr>
            <w:tcW w:w="1396" w:type="dxa"/>
            <w:vAlign w:val="center"/>
          </w:tcPr>
          <w:p w14:paraId="539D698E" w14:textId="77777777" w:rsidR="00241417" w:rsidRDefault="00241417" w:rsidP="003A71DE">
            <w:pPr>
              <w:pStyle w:val="TAH"/>
            </w:pPr>
            <w:r w:rsidRPr="00BD6443">
              <w:t>Number of demodulation branches</w:t>
            </w:r>
          </w:p>
        </w:tc>
        <w:tc>
          <w:tcPr>
            <w:tcW w:w="1267" w:type="dxa"/>
            <w:vAlign w:val="center"/>
          </w:tcPr>
          <w:p w14:paraId="58E7588E" w14:textId="7A690A62" w:rsidR="00241417" w:rsidRDefault="00241417" w:rsidP="003A71DE">
            <w:pPr>
              <w:pStyle w:val="TAH"/>
            </w:pPr>
            <w:r w:rsidRPr="00BD6443">
              <w:t xml:space="preserve">Propagation conditions and correlation matrix (Annex </w:t>
            </w:r>
            <w:r>
              <w:t>TBA</w:t>
            </w:r>
            <w:r w:rsidRPr="00BD6443">
              <w:t>)</w:t>
            </w:r>
          </w:p>
        </w:tc>
        <w:tc>
          <w:tcPr>
            <w:tcW w:w="1531" w:type="dxa"/>
            <w:vAlign w:val="center"/>
          </w:tcPr>
          <w:p w14:paraId="3E3D35F9" w14:textId="77777777" w:rsidR="00241417" w:rsidRDefault="00241417" w:rsidP="003A71DE">
            <w:pPr>
              <w:pStyle w:val="TAH"/>
            </w:pPr>
            <w:r w:rsidRPr="00BD6443">
              <w:t>FRC</w:t>
            </w:r>
            <w:r w:rsidRPr="00BD6443">
              <w:br/>
              <w:t>(Annex A)</w:t>
            </w:r>
          </w:p>
        </w:tc>
        <w:tc>
          <w:tcPr>
            <w:tcW w:w="1189" w:type="dxa"/>
            <w:vAlign w:val="center"/>
          </w:tcPr>
          <w:p w14:paraId="4D4C6AFF" w14:textId="77777777" w:rsidR="00241417" w:rsidRDefault="00241417" w:rsidP="003A71DE">
            <w:pPr>
              <w:pStyle w:val="TAH"/>
            </w:pPr>
            <w:r w:rsidRPr="00BD6443">
              <w:t>Additional DM-RS position</w:t>
            </w:r>
          </w:p>
        </w:tc>
        <w:tc>
          <w:tcPr>
            <w:tcW w:w="1113" w:type="dxa"/>
            <w:vAlign w:val="center"/>
          </w:tcPr>
          <w:p w14:paraId="07B194CD" w14:textId="77777777" w:rsidR="00241417" w:rsidRDefault="00241417" w:rsidP="003A71DE">
            <w:pPr>
              <w:pStyle w:val="TAH"/>
            </w:pPr>
            <w:r w:rsidRPr="00BD6443">
              <w:t>PT-RS</w:t>
            </w:r>
          </w:p>
        </w:tc>
        <w:tc>
          <w:tcPr>
            <w:tcW w:w="1125" w:type="dxa"/>
            <w:gridSpan w:val="2"/>
            <w:vAlign w:val="center"/>
          </w:tcPr>
          <w:p w14:paraId="42A63FFC" w14:textId="77777777" w:rsidR="00241417" w:rsidRPr="00BD6443" w:rsidRDefault="00241417" w:rsidP="003A71DE">
            <w:pPr>
              <w:pStyle w:val="TAH"/>
            </w:pPr>
            <w:r w:rsidRPr="00BD6443">
              <w:t>SNR</w:t>
            </w:r>
          </w:p>
          <w:p w14:paraId="7EF17345" w14:textId="77777777" w:rsidR="00241417" w:rsidRDefault="00241417" w:rsidP="003A71DE">
            <w:pPr>
              <w:pStyle w:val="TAH"/>
            </w:pPr>
            <w:r w:rsidRPr="00BD6443">
              <w:t>(dB)</w:t>
            </w:r>
          </w:p>
        </w:tc>
      </w:tr>
      <w:tr w:rsidR="00241417" w14:paraId="2F94B2BE" w14:textId="77777777" w:rsidTr="003A71DE">
        <w:trPr>
          <w:jc w:val="center"/>
        </w:trPr>
        <w:tc>
          <w:tcPr>
            <w:tcW w:w="1177" w:type="dxa"/>
            <w:vMerge w:val="restart"/>
            <w:vAlign w:val="center"/>
          </w:tcPr>
          <w:p w14:paraId="23F60ED1" w14:textId="77777777" w:rsidR="00241417" w:rsidRDefault="00241417" w:rsidP="003A71DE">
            <w:pPr>
              <w:pStyle w:val="TAC"/>
            </w:pPr>
            <w:r>
              <w:t>1</w:t>
            </w:r>
          </w:p>
        </w:tc>
        <w:tc>
          <w:tcPr>
            <w:tcW w:w="1396" w:type="dxa"/>
            <w:vMerge w:val="restart"/>
            <w:vAlign w:val="center"/>
          </w:tcPr>
          <w:p w14:paraId="31A321EC" w14:textId="77777777" w:rsidR="00241417" w:rsidRDefault="00241417" w:rsidP="003A71DE">
            <w:pPr>
              <w:pStyle w:val="TAC"/>
            </w:pPr>
            <w:r>
              <w:t>2</w:t>
            </w:r>
          </w:p>
        </w:tc>
        <w:tc>
          <w:tcPr>
            <w:tcW w:w="1267" w:type="dxa"/>
            <w:vMerge w:val="restart"/>
            <w:vAlign w:val="center"/>
          </w:tcPr>
          <w:p w14:paraId="5A5924D6" w14:textId="77777777" w:rsidR="00241417" w:rsidRDefault="00241417" w:rsidP="003A71DE">
            <w:pPr>
              <w:pStyle w:val="TAC"/>
            </w:pPr>
            <w:r>
              <w:t>TDLA30-300 Low</w:t>
            </w:r>
          </w:p>
        </w:tc>
        <w:tc>
          <w:tcPr>
            <w:tcW w:w="1531" w:type="dxa"/>
            <w:vAlign w:val="center"/>
          </w:tcPr>
          <w:p w14:paraId="28E7183C" w14:textId="77777777" w:rsidR="00241417" w:rsidRDefault="00241417" w:rsidP="003A71DE">
            <w:pPr>
              <w:pStyle w:val="TAC"/>
            </w:pPr>
            <w:r>
              <w:t>D-FR2-A.2.1-</w:t>
            </w:r>
            <w:r w:rsidRPr="00BD6443">
              <w:t>4</w:t>
            </w:r>
          </w:p>
        </w:tc>
        <w:tc>
          <w:tcPr>
            <w:tcW w:w="1189" w:type="dxa"/>
            <w:vAlign w:val="center"/>
          </w:tcPr>
          <w:p w14:paraId="44997E41" w14:textId="77777777" w:rsidR="00241417" w:rsidRDefault="00241417" w:rsidP="003A71DE">
            <w:pPr>
              <w:pStyle w:val="TAC"/>
            </w:pPr>
            <w:r w:rsidRPr="00BD6443">
              <w:t>pos0</w:t>
            </w:r>
          </w:p>
        </w:tc>
        <w:tc>
          <w:tcPr>
            <w:tcW w:w="1113" w:type="dxa"/>
            <w:vAlign w:val="center"/>
          </w:tcPr>
          <w:p w14:paraId="4F8D4FE4" w14:textId="77777777" w:rsidR="00241417" w:rsidRDefault="00241417" w:rsidP="003A71DE">
            <w:pPr>
              <w:pStyle w:val="TAC"/>
            </w:pPr>
            <w:r w:rsidRPr="00BD6443">
              <w:t>No</w:t>
            </w:r>
          </w:p>
        </w:tc>
        <w:tc>
          <w:tcPr>
            <w:tcW w:w="1125" w:type="dxa"/>
            <w:gridSpan w:val="2"/>
            <w:vAlign w:val="center"/>
          </w:tcPr>
          <w:p w14:paraId="7B3EB438" w14:textId="77777777" w:rsidR="00241417" w:rsidRDefault="00241417" w:rsidP="003A71DE">
            <w:pPr>
              <w:pStyle w:val="TAC"/>
            </w:pPr>
            <w:r w:rsidRPr="00BD6443">
              <w:t>-2.4</w:t>
            </w:r>
          </w:p>
        </w:tc>
      </w:tr>
      <w:tr w:rsidR="00241417" w14:paraId="6FB2531D" w14:textId="77777777" w:rsidTr="003A71DE">
        <w:trPr>
          <w:jc w:val="center"/>
        </w:trPr>
        <w:tc>
          <w:tcPr>
            <w:tcW w:w="1177" w:type="dxa"/>
            <w:vMerge/>
          </w:tcPr>
          <w:p w14:paraId="7699FA29" w14:textId="77777777" w:rsidR="00241417" w:rsidRDefault="00241417" w:rsidP="003A71DE"/>
        </w:tc>
        <w:tc>
          <w:tcPr>
            <w:tcW w:w="1396" w:type="dxa"/>
            <w:vMerge/>
          </w:tcPr>
          <w:p w14:paraId="0C1F009E" w14:textId="77777777" w:rsidR="00241417" w:rsidRDefault="00241417" w:rsidP="003A71DE"/>
        </w:tc>
        <w:tc>
          <w:tcPr>
            <w:tcW w:w="1267" w:type="dxa"/>
            <w:vMerge/>
            <w:vAlign w:val="center"/>
          </w:tcPr>
          <w:p w14:paraId="1C675B7B" w14:textId="77777777" w:rsidR="00241417" w:rsidRDefault="00241417" w:rsidP="003A71DE">
            <w:pPr>
              <w:pStyle w:val="TAC"/>
            </w:pPr>
          </w:p>
        </w:tc>
        <w:tc>
          <w:tcPr>
            <w:tcW w:w="1531" w:type="dxa"/>
            <w:vAlign w:val="center"/>
          </w:tcPr>
          <w:p w14:paraId="442D4C5C" w14:textId="77777777" w:rsidR="00241417" w:rsidRDefault="00241417" w:rsidP="003A71DE">
            <w:pPr>
              <w:pStyle w:val="TAC"/>
            </w:pPr>
            <w:r>
              <w:t>D-FR2-A.2.1-</w:t>
            </w:r>
            <w:r w:rsidRPr="00BD6443">
              <w:t>16</w:t>
            </w:r>
          </w:p>
        </w:tc>
        <w:tc>
          <w:tcPr>
            <w:tcW w:w="1189" w:type="dxa"/>
            <w:vAlign w:val="center"/>
          </w:tcPr>
          <w:p w14:paraId="18D734A0" w14:textId="77777777" w:rsidR="00241417" w:rsidRDefault="00241417" w:rsidP="003A71DE">
            <w:pPr>
              <w:pStyle w:val="TAC"/>
            </w:pPr>
            <w:r w:rsidRPr="00BD6443">
              <w:t>pos1</w:t>
            </w:r>
          </w:p>
        </w:tc>
        <w:tc>
          <w:tcPr>
            <w:tcW w:w="1113" w:type="dxa"/>
            <w:vAlign w:val="center"/>
          </w:tcPr>
          <w:p w14:paraId="130A9161" w14:textId="77777777" w:rsidR="00241417" w:rsidRDefault="00241417" w:rsidP="003A71DE">
            <w:pPr>
              <w:pStyle w:val="TAC"/>
            </w:pPr>
            <w:r w:rsidRPr="00BD6443">
              <w:t>No</w:t>
            </w:r>
          </w:p>
        </w:tc>
        <w:tc>
          <w:tcPr>
            <w:tcW w:w="1125" w:type="dxa"/>
            <w:gridSpan w:val="2"/>
            <w:vAlign w:val="center"/>
          </w:tcPr>
          <w:p w14:paraId="1777F302" w14:textId="77777777" w:rsidR="00241417" w:rsidRDefault="00241417" w:rsidP="003A71DE">
            <w:pPr>
              <w:pStyle w:val="TAC"/>
            </w:pPr>
            <w:r w:rsidRPr="00BD6443">
              <w:t>-2.5</w:t>
            </w:r>
          </w:p>
        </w:tc>
      </w:tr>
      <w:tr w:rsidR="00241417" w14:paraId="34ABA03B" w14:textId="77777777" w:rsidTr="003A71DE">
        <w:trPr>
          <w:trHeight w:val="146"/>
          <w:jc w:val="center"/>
        </w:trPr>
        <w:tc>
          <w:tcPr>
            <w:tcW w:w="1177" w:type="dxa"/>
            <w:vMerge/>
          </w:tcPr>
          <w:p w14:paraId="272B7300" w14:textId="77777777" w:rsidR="00241417" w:rsidRDefault="00241417" w:rsidP="003A71DE"/>
        </w:tc>
        <w:tc>
          <w:tcPr>
            <w:tcW w:w="1396" w:type="dxa"/>
            <w:vMerge/>
          </w:tcPr>
          <w:p w14:paraId="48E79D64" w14:textId="77777777" w:rsidR="00241417" w:rsidRDefault="00241417" w:rsidP="003A71DE"/>
        </w:tc>
        <w:tc>
          <w:tcPr>
            <w:tcW w:w="1267" w:type="dxa"/>
            <w:vMerge/>
            <w:vAlign w:val="center"/>
          </w:tcPr>
          <w:p w14:paraId="788DEFB9" w14:textId="77777777" w:rsidR="00241417" w:rsidRDefault="00241417" w:rsidP="003A71DE">
            <w:pPr>
              <w:pStyle w:val="TAC"/>
            </w:pPr>
          </w:p>
        </w:tc>
        <w:tc>
          <w:tcPr>
            <w:tcW w:w="1531" w:type="dxa"/>
            <w:vMerge w:val="restart"/>
            <w:vAlign w:val="center"/>
          </w:tcPr>
          <w:p w14:paraId="783289B5" w14:textId="77777777" w:rsidR="00241417" w:rsidRDefault="00241417" w:rsidP="003A71DE">
            <w:pPr>
              <w:pStyle w:val="TAC"/>
            </w:pPr>
            <w:r>
              <w:t>D-FR2-A.2.3-</w:t>
            </w:r>
            <w:r w:rsidRPr="00BD6443">
              <w:t>4</w:t>
            </w:r>
          </w:p>
        </w:tc>
        <w:tc>
          <w:tcPr>
            <w:tcW w:w="1189" w:type="dxa"/>
            <w:vMerge w:val="restart"/>
            <w:vAlign w:val="center"/>
          </w:tcPr>
          <w:p w14:paraId="45D9EE8C" w14:textId="77777777" w:rsidR="00241417" w:rsidRDefault="00241417" w:rsidP="003A71DE">
            <w:pPr>
              <w:pStyle w:val="TAC"/>
            </w:pPr>
            <w:r w:rsidRPr="00BD6443">
              <w:t>pos0</w:t>
            </w:r>
          </w:p>
        </w:tc>
        <w:tc>
          <w:tcPr>
            <w:tcW w:w="1119" w:type="dxa"/>
            <w:gridSpan w:val="2"/>
            <w:vAlign w:val="center"/>
          </w:tcPr>
          <w:p w14:paraId="54A14C32" w14:textId="77777777" w:rsidR="00241417" w:rsidRDefault="00241417" w:rsidP="003A71DE">
            <w:pPr>
              <w:pStyle w:val="TAC"/>
            </w:pPr>
            <w:r w:rsidRPr="00BD6443">
              <w:t>Yes</w:t>
            </w:r>
          </w:p>
        </w:tc>
        <w:tc>
          <w:tcPr>
            <w:tcW w:w="1119" w:type="dxa"/>
            <w:vAlign w:val="center"/>
          </w:tcPr>
          <w:p w14:paraId="4AF5041D" w14:textId="77777777" w:rsidR="00241417" w:rsidRDefault="00241417" w:rsidP="003A71DE">
            <w:pPr>
              <w:pStyle w:val="TAC"/>
            </w:pPr>
            <w:r w:rsidRPr="00BD6443">
              <w:t>11.9</w:t>
            </w:r>
          </w:p>
        </w:tc>
      </w:tr>
      <w:tr w:rsidR="00241417" w14:paraId="0C00AB40" w14:textId="77777777" w:rsidTr="003A71DE">
        <w:trPr>
          <w:trHeight w:val="145"/>
          <w:jc w:val="center"/>
        </w:trPr>
        <w:tc>
          <w:tcPr>
            <w:tcW w:w="1177" w:type="dxa"/>
            <w:vMerge/>
          </w:tcPr>
          <w:p w14:paraId="372ECD27" w14:textId="77777777" w:rsidR="00241417" w:rsidRDefault="00241417" w:rsidP="003A71DE"/>
        </w:tc>
        <w:tc>
          <w:tcPr>
            <w:tcW w:w="1396" w:type="dxa"/>
            <w:vMerge/>
          </w:tcPr>
          <w:p w14:paraId="19812338" w14:textId="77777777" w:rsidR="00241417" w:rsidRDefault="00241417" w:rsidP="003A71DE"/>
        </w:tc>
        <w:tc>
          <w:tcPr>
            <w:tcW w:w="1267" w:type="dxa"/>
            <w:vMerge/>
            <w:vAlign w:val="center"/>
          </w:tcPr>
          <w:p w14:paraId="0A30CADA" w14:textId="77777777" w:rsidR="00241417" w:rsidRDefault="00241417" w:rsidP="003A71DE">
            <w:pPr>
              <w:pStyle w:val="TAC"/>
            </w:pPr>
          </w:p>
        </w:tc>
        <w:tc>
          <w:tcPr>
            <w:tcW w:w="1531" w:type="dxa"/>
            <w:vMerge/>
            <w:vAlign w:val="center"/>
          </w:tcPr>
          <w:p w14:paraId="0CE2C6D2" w14:textId="77777777" w:rsidR="00241417" w:rsidRDefault="00241417" w:rsidP="003A71DE">
            <w:pPr>
              <w:pStyle w:val="TAC"/>
            </w:pPr>
          </w:p>
        </w:tc>
        <w:tc>
          <w:tcPr>
            <w:tcW w:w="1189" w:type="dxa"/>
            <w:vMerge/>
            <w:vAlign w:val="center"/>
          </w:tcPr>
          <w:p w14:paraId="72F20D8C" w14:textId="77777777" w:rsidR="00241417" w:rsidRDefault="00241417" w:rsidP="003A71DE">
            <w:pPr>
              <w:pStyle w:val="TAC"/>
            </w:pPr>
          </w:p>
        </w:tc>
        <w:tc>
          <w:tcPr>
            <w:tcW w:w="1119" w:type="dxa"/>
            <w:gridSpan w:val="2"/>
            <w:vAlign w:val="center"/>
          </w:tcPr>
          <w:p w14:paraId="4AFEBAF4" w14:textId="77777777" w:rsidR="00241417" w:rsidRDefault="00241417" w:rsidP="003A71DE">
            <w:pPr>
              <w:pStyle w:val="TAC"/>
            </w:pPr>
            <w:r w:rsidRPr="00BD6443">
              <w:t>No</w:t>
            </w:r>
          </w:p>
        </w:tc>
        <w:tc>
          <w:tcPr>
            <w:tcW w:w="1119" w:type="dxa"/>
            <w:vAlign w:val="center"/>
          </w:tcPr>
          <w:p w14:paraId="29570FAA" w14:textId="77777777" w:rsidR="00241417" w:rsidRDefault="00241417" w:rsidP="003A71DE">
            <w:pPr>
              <w:pStyle w:val="TAC"/>
            </w:pPr>
            <w:r w:rsidRPr="00BD6443">
              <w:t>10.5</w:t>
            </w:r>
          </w:p>
        </w:tc>
      </w:tr>
      <w:tr w:rsidR="00241417" w14:paraId="77D61E70" w14:textId="77777777" w:rsidTr="003A71DE">
        <w:trPr>
          <w:trHeight w:val="146"/>
          <w:jc w:val="center"/>
        </w:trPr>
        <w:tc>
          <w:tcPr>
            <w:tcW w:w="1177" w:type="dxa"/>
            <w:vMerge/>
          </w:tcPr>
          <w:p w14:paraId="10B67C76" w14:textId="77777777" w:rsidR="00241417" w:rsidRDefault="00241417" w:rsidP="003A71DE"/>
        </w:tc>
        <w:tc>
          <w:tcPr>
            <w:tcW w:w="1396" w:type="dxa"/>
            <w:vMerge/>
          </w:tcPr>
          <w:p w14:paraId="43D175E9" w14:textId="77777777" w:rsidR="00241417" w:rsidRDefault="00241417" w:rsidP="003A71DE"/>
        </w:tc>
        <w:tc>
          <w:tcPr>
            <w:tcW w:w="1267" w:type="dxa"/>
            <w:vMerge/>
            <w:vAlign w:val="center"/>
          </w:tcPr>
          <w:p w14:paraId="55A54A94" w14:textId="77777777" w:rsidR="00241417" w:rsidRDefault="00241417" w:rsidP="003A71DE">
            <w:pPr>
              <w:pStyle w:val="TAC"/>
            </w:pPr>
          </w:p>
        </w:tc>
        <w:tc>
          <w:tcPr>
            <w:tcW w:w="1531" w:type="dxa"/>
            <w:vMerge w:val="restart"/>
            <w:vAlign w:val="center"/>
          </w:tcPr>
          <w:p w14:paraId="412AEEED" w14:textId="77777777" w:rsidR="00241417" w:rsidRDefault="00241417" w:rsidP="003A71DE">
            <w:pPr>
              <w:pStyle w:val="TAC"/>
            </w:pPr>
            <w:r>
              <w:t>D-FR2-A.2.3-</w:t>
            </w:r>
            <w:r w:rsidRPr="00BD6443">
              <w:t>14</w:t>
            </w:r>
          </w:p>
        </w:tc>
        <w:tc>
          <w:tcPr>
            <w:tcW w:w="1189" w:type="dxa"/>
            <w:vMerge w:val="restart"/>
            <w:vAlign w:val="center"/>
          </w:tcPr>
          <w:p w14:paraId="271CC7CD" w14:textId="77777777" w:rsidR="00241417" w:rsidRDefault="00241417" w:rsidP="003A71DE">
            <w:pPr>
              <w:pStyle w:val="TAC"/>
            </w:pPr>
            <w:r w:rsidRPr="00BD6443">
              <w:t>pos1</w:t>
            </w:r>
          </w:p>
        </w:tc>
        <w:tc>
          <w:tcPr>
            <w:tcW w:w="1119" w:type="dxa"/>
            <w:gridSpan w:val="2"/>
            <w:vAlign w:val="center"/>
          </w:tcPr>
          <w:p w14:paraId="1629C4D0" w14:textId="77777777" w:rsidR="00241417" w:rsidRDefault="00241417" w:rsidP="003A71DE">
            <w:pPr>
              <w:pStyle w:val="TAC"/>
            </w:pPr>
            <w:r w:rsidRPr="00BD6443">
              <w:t>Yes</w:t>
            </w:r>
          </w:p>
        </w:tc>
        <w:tc>
          <w:tcPr>
            <w:tcW w:w="1119" w:type="dxa"/>
            <w:vAlign w:val="center"/>
          </w:tcPr>
          <w:p w14:paraId="5B702206" w14:textId="77777777" w:rsidR="00241417" w:rsidRDefault="00241417" w:rsidP="003A71DE">
            <w:pPr>
              <w:pStyle w:val="TAC"/>
            </w:pPr>
            <w:r w:rsidRPr="00BD6443">
              <w:t>11.1</w:t>
            </w:r>
          </w:p>
        </w:tc>
      </w:tr>
      <w:tr w:rsidR="00241417" w14:paraId="7FE72A11" w14:textId="77777777" w:rsidTr="003A71DE">
        <w:trPr>
          <w:trHeight w:val="145"/>
          <w:jc w:val="center"/>
        </w:trPr>
        <w:tc>
          <w:tcPr>
            <w:tcW w:w="1177" w:type="dxa"/>
            <w:vMerge/>
          </w:tcPr>
          <w:p w14:paraId="6C5A9BDB" w14:textId="77777777" w:rsidR="00241417" w:rsidRDefault="00241417" w:rsidP="003A71DE"/>
        </w:tc>
        <w:tc>
          <w:tcPr>
            <w:tcW w:w="1396" w:type="dxa"/>
            <w:vMerge/>
          </w:tcPr>
          <w:p w14:paraId="6B1A136C" w14:textId="77777777" w:rsidR="00241417" w:rsidRDefault="00241417" w:rsidP="003A71DE"/>
        </w:tc>
        <w:tc>
          <w:tcPr>
            <w:tcW w:w="1267" w:type="dxa"/>
            <w:vMerge/>
            <w:vAlign w:val="center"/>
          </w:tcPr>
          <w:p w14:paraId="6268019B" w14:textId="77777777" w:rsidR="00241417" w:rsidRDefault="00241417" w:rsidP="003A71DE">
            <w:pPr>
              <w:pStyle w:val="TAC"/>
            </w:pPr>
          </w:p>
        </w:tc>
        <w:tc>
          <w:tcPr>
            <w:tcW w:w="1531" w:type="dxa"/>
            <w:vMerge/>
            <w:vAlign w:val="center"/>
          </w:tcPr>
          <w:p w14:paraId="4B127C63" w14:textId="77777777" w:rsidR="00241417" w:rsidRDefault="00241417" w:rsidP="003A71DE">
            <w:pPr>
              <w:pStyle w:val="TAC"/>
            </w:pPr>
          </w:p>
        </w:tc>
        <w:tc>
          <w:tcPr>
            <w:tcW w:w="1189" w:type="dxa"/>
            <w:vMerge/>
            <w:vAlign w:val="center"/>
          </w:tcPr>
          <w:p w14:paraId="1F3ABD14" w14:textId="77777777" w:rsidR="00241417" w:rsidRDefault="00241417" w:rsidP="003A71DE">
            <w:pPr>
              <w:pStyle w:val="TAC"/>
            </w:pPr>
          </w:p>
        </w:tc>
        <w:tc>
          <w:tcPr>
            <w:tcW w:w="1119" w:type="dxa"/>
            <w:gridSpan w:val="2"/>
            <w:vAlign w:val="center"/>
          </w:tcPr>
          <w:p w14:paraId="2B747D50" w14:textId="77777777" w:rsidR="00241417" w:rsidRDefault="00241417" w:rsidP="003A71DE">
            <w:pPr>
              <w:pStyle w:val="TAC"/>
            </w:pPr>
            <w:r w:rsidRPr="00BD6443">
              <w:t>No</w:t>
            </w:r>
          </w:p>
        </w:tc>
        <w:tc>
          <w:tcPr>
            <w:tcW w:w="1119" w:type="dxa"/>
            <w:vAlign w:val="center"/>
          </w:tcPr>
          <w:p w14:paraId="2EF81FC2" w14:textId="77777777" w:rsidR="00241417" w:rsidRDefault="00241417" w:rsidP="003A71DE">
            <w:pPr>
              <w:pStyle w:val="TAC"/>
            </w:pPr>
            <w:r w:rsidRPr="00BD6443">
              <w:t>10.5</w:t>
            </w:r>
          </w:p>
        </w:tc>
      </w:tr>
      <w:tr w:rsidR="00241417" w14:paraId="0720E878" w14:textId="77777777" w:rsidTr="003A71DE">
        <w:trPr>
          <w:trHeight w:val="146"/>
          <w:jc w:val="center"/>
        </w:trPr>
        <w:tc>
          <w:tcPr>
            <w:tcW w:w="1177" w:type="dxa"/>
            <w:vMerge/>
          </w:tcPr>
          <w:p w14:paraId="6245D126" w14:textId="77777777" w:rsidR="00241417" w:rsidRDefault="00241417" w:rsidP="003A71DE"/>
        </w:tc>
        <w:tc>
          <w:tcPr>
            <w:tcW w:w="1396" w:type="dxa"/>
            <w:vMerge/>
          </w:tcPr>
          <w:p w14:paraId="2B758C20" w14:textId="77777777" w:rsidR="00241417" w:rsidRDefault="00241417" w:rsidP="003A71DE"/>
        </w:tc>
        <w:tc>
          <w:tcPr>
            <w:tcW w:w="1267" w:type="dxa"/>
            <w:vMerge w:val="restart"/>
            <w:vAlign w:val="center"/>
          </w:tcPr>
          <w:p w14:paraId="578D81FD" w14:textId="77777777" w:rsidR="00241417" w:rsidRDefault="00241417" w:rsidP="003A71DE">
            <w:pPr>
              <w:pStyle w:val="TAC"/>
            </w:pPr>
            <w:r>
              <w:t>TDLA30-75 Low</w:t>
            </w:r>
          </w:p>
        </w:tc>
        <w:tc>
          <w:tcPr>
            <w:tcW w:w="1531" w:type="dxa"/>
            <w:vMerge w:val="restart"/>
            <w:vAlign w:val="center"/>
          </w:tcPr>
          <w:p w14:paraId="6AC0A2FF" w14:textId="77777777" w:rsidR="00241417" w:rsidRDefault="00241417" w:rsidP="003A71DE">
            <w:pPr>
              <w:pStyle w:val="TAC"/>
            </w:pPr>
            <w:r>
              <w:t>D-FR2-A.2.4-</w:t>
            </w:r>
            <w:r w:rsidRPr="00BD6443">
              <w:t>4</w:t>
            </w:r>
          </w:p>
        </w:tc>
        <w:tc>
          <w:tcPr>
            <w:tcW w:w="1189" w:type="dxa"/>
            <w:vMerge w:val="restart"/>
            <w:vAlign w:val="center"/>
          </w:tcPr>
          <w:p w14:paraId="7B39F38A" w14:textId="77777777" w:rsidR="00241417" w:rsidRDefault="00241417" w:rsidP="003A71DE">
            <w:pPr>
              <w:pStyle w:val="TAC"/>
            </w:pPr>
            <w:r w:rsidRPr="00BD6443">
              <w:t>pos0</w:t>
            </w:r>
          </w:p>
        </w:tc>
        <w:tc>
          <w:tcPr>
            <w:tcW w:w="1119" w:type="dxa"/>
            <w:gridSpan w:val="2"/>
            <w:vAlign w:val="center"/>
          </w:tcPr>
          <w:p w14:paraId="7940EC57" w14:textId="77777777" w:rsidR="00241417" w:rsidRDefault="00241417" w:rsidP="003A71DE">
            <w:pPr>
              <w:pStyle w:val="TAC"/>
            </w:pPr>
            <w:r w:rsidRPr="00BD6443">
              <w:t>Yes</w:t>
            </w:r>
          </w:p>
        </w:tc>
        <w:tc>
          <w:tcPr>
            <w:tcW w:w="1119" w:type="dxa"/>
            <w:vAlign w:val="center"/>
          </w:tcPr>
          <w:p w14:paraId="4AB7C582" w14:textId="77777777" w:rsidR="00241417" w:rsidRDefault="00241417" w:rsidP="003A71DE">
            <w:pPr>
              <w:pStyle w:val="TAC"/>
            </w:pPr>
            <w:r w:rsidRPr="00BD6443">
              <w:t>13.5</w:t>
            </w:r>
          </w:p>
        </w:tc>
      </w:tr>
      <w:tr w:rsidR="00241417" w14:paraId="00D08315" w14:textId="77777777" w:rsidTr="003A71DE">
        <w:trPr>
          <w:trHeight w:val="145"/>
          <w:jc w:val="center"/>
        </w:trPr>
        <w:tc>
          <w:tcPr>
            <w:tcW w:w="1177" w:type="dxa"/>
            <w:vMerge/>
          </w:tcPr>
          <w:p w14:paraId="1482E7B6" w14:textId="77777777" w:rsidR="00241417" w:rsidRDefault="00241417" w:rsidP="003A71DE"/>
        </w:tc>
        <w:tc>
          <w:tcPr>
            <w:tcW w:w="1396" w:type="dxa"/>
            <w:vMerge/>
          </w:tcPr>
          <w:p w14:paraId="7CFFF9B8" w14:textId="77777777" w:rsidR="00241417" w:rsidRDefault="00241417" w:rsidP="003A71DE"/>
        </w:tc>
        <w:tc>
          <w:tcPr>
            <w:tcW w:w="1267" w:type="dxa"/>
            <w:vMerge/>
            <w:vAlign w:val="center"/>
          </w:tcPr>
          <w:p w14:paraId="031C086D" w14:textId="77777777" w:rsidR="00241417" w:rsidRDefault="00241417" w:rsidP="003A71DE">
            <w:pPr>
              <w:pStyle w:val="TAC"/>
            </w:pPr>
          </w:p>
        </w:tc>
        <w:tc>
          <w:tcPr>
            <w:tcW w:w="1531" w:type="dxa"/>
            <w:vMerge/>
            <w:vAlign w:val="center"/>
          </w:tcPr>
          <w:p w14:paraId="657BE562" w14:textId="77777777" w:rsidR="00241417" w:rsidRDefault="00241417" w:rsidP="003A71DE">
            <w:pPr>
              <w:pStyle w:val="TAC"/>
            </w:pPr>
          </w:p>
        </w:tc>
        <w:tc>
          <w:tcPr>
            <w:tcW w:w="1189" w:type="dxa"/>
            <w:vMerge/>
            <w:vAlign w:val="center"/>
          </w:tcPr>
          <w:p w14:paraId="5D1BCBC0" w14:textId="77777777" w:rsidR="00241417" w:rsidRDefault="00241417" w:rsidP="003A71DE">
            <w:pPr>
              <w:pStyle w:val="TAC"/>
            </w:pPr>
          </w:p>
        </w:tc>
        <w:tc>
          <w:tcPr>
            <w:tcW w:w="1119" w:type="dxa"/>
            <w:gridSpan w:val="2"/>
            <w:vAlign w:val="center"/>
          </w:tcPr>
          <w:p w14:paraId="0E646BDB" w14:textId="77777777" w:rsidR="00241417" w:rsidRDefault="00241417" w:rsidP="003A71DE">
            <w:pPr>
              <w:pStyle w:val="TAC"/>
            </w:pPr>
            <w:r w:rsidRPr="00BD6443">
              <w:t>No</w:t>
            </w:r>
          </w:p>
        </w:tc>
        <w:tc>
          <w:tcPr>
            <w:tcW w:w="1119" w:type="dxa"/>
            <w:vAlign w:val="center"/>
          </w:tcPr>
          <w:p w14:paraId="3D8A61A3" w14:textId="77777777" w:rsidR="00241417" w:rsidRDefault="00241417" w:rsidP="003A71DE">
            <w:pPr>
              <w:pStyle w:val="TAC"/>
            </w:pPr>
            <w:r w:rsidRPr="00BD6443">
              <w:t>12.9</w:t>
            </w:r>
          </w:p>
        </w:tc>
      </w:tr>
      <w:tr w:rsidR="00241417" w14:paraId="03DDF28C" w14:textId="77777777" w:rsidTr="003A71DE">
        <w:trPr>
          <w:trHeight w:val="146"/>
          <w:jc w:val="center"/>
        </w:trPr>
        <w:tc>
          <w:tcPr>
            <w:tcW w:w="1177" w:type="dxa"/>
            <w:vMerge/>
          </w:tcPr>
          <w:p w14:paraId="5A418070" w14:textId="77777777" w:rsidR="00241417" w:rsidRDefault="00241417" w:rsidP="003A71DE"/>
        </w:tc>
        <w:tc>
          <w:tcPr>
            <w:tcW w:w="1396" w:type="dxa"/>
            <w:vMerge/>
          </w:tcPr>
          <w:p w14:paraId="1DE9314A" w14:textId="77777777" w:rsidR="00241417" w:rsidRDefault="00241417" w:rsidP="003A71DE"/>
        </w:tc>
        <w:tc>
          <w:tcPr>
            <w:tcW w:w="1267" w:type="dxa"/>
            <w:vMerge/>
            <w:vAlign w:val="center"/>
          </w:tcPr>
          <w:p w14:paraId="1614B8B4" w14:textId="77777777" w:rsidR="00241417" w:rsidRDefault="00241417" w:rsidP="003A71DE">
            <w:pPr>
              <w:pStyle w:val="TAC"/>
            </w:pPr>
          </w:p>
        </w:tc>
        <w:tc>
          <w:tcPr>
            <w:tcW w:w="1531" w:type="dxa"/>
            <w:vMerge w:val="restart"/>
            <w:vAlign w:val="center"/>
          </w:tcPr>
          <w:p w14:paraId="33FE9C8B" w14:textId="77777777" w:rsidR="00241417" w:rsidRDefault="00241417" w:rsidP="003A71DE">
            <w:pPr>
              <w:pStyle w:val="TAC"/>
            </w:pPr>
            <w:r>
              <w:t>D-FR2-A.2.4-</w:t>
            </w:r>
            <w:r w:rsidRPr="00BD6443">
              <w:t>9</w:t>
            </w:r>
          </w:p>
        </w:tc>
        <w:tc>
          <w:tcPr>
            <w:tcW w:w="1189" w:type="dxa"/>
            <w:vMerge w:val="restart"/>
            <w:vAlign w:val="center"/>
          </w:tcPr>
          <w:p w14:paraId="49C86174" w14:textId="77777777" w:rsidR="00241417" w:rsidRDefault="00241417" w:rsidP="003A71DE">
            <w:pPr>
              <w:pStyle w:val="TAC"/>
            </w:pPr>
            <w:r w:rsidRPr="00BD6443">
              <w:t>pos1</w:t>
            </w:r>
          </w:p>
        </w:tc>
        <w:tc>
          <w:tcPr>
            <w:tcW w:w="1119" w:type="dxa"/>
            <w:gridSpan w:val="2"/>
            <w:vAlign w:val="center"/>
          </w:tcPr>
          <w:p w14:paraId="274F7AA1" w14:textId="77777777" w:rsidR="00241417" w:rsidRDefault="00241417" w:rsidP="003A71DE">
            <w:pPr>
              <w:pStyle w:val="TAC"/>
            </w:pPr>
            <w:r w:rsidRPr="00BD6443">
              <w:t>Yes</w:t>
            </w:r>
          </w:p>
        </w:tc>
        <w:tc>
          <w:tcPr>
            <w:tcW w:w="1119" w:type="dxa"/>
            <w:vAlign w:val="center"/>
          </w:tcPr>
          <w:p w14:paraId="2F204403" w14:textId="77777777" w:rsidR="00241417" w:rsidRDefault="00241417" w:rsidP="003A71DE">
            <w:pPr>
              <w:pStyle w:val="TAC"/>
            </w:pPr>
            <w:r w:rsidRPr="00BD6443">
              <w:t>13.4</w:t>
            </w:r>
          </w:p>
        </w:tc>
      </w:tr>
      <w:tr w:rsidR="00241417" w14:paraId="54EA13D4" w14:textId="77777777" w:rsidTr="003A71DE">
        <w:trPr>
          <w:trHeight w:val="145"/>
          <w:jc w:val="center"/>
        </w:trPr>
        <w:tc>
          <w:tcPr>
            <w:tcW w:w="1177" w:type="dxa"/>
            <w:vMerge/>
          </w:tcPr>
          <w:p w14:paraId="74AE94F6" w14:textId="77777777" w:rsidR="00241417" w:rsidRDefault="00241417" w:rsidP="003A71DE"/>
        </w:tc>
        <w:tc>
          <w:tcPr>
            <w:tcW w:w="1396" w:type="dxa"/>
            <w:vMerge/>
          </w:tcPr>
          <w:p w14:paraId="689592BB" w14:textId="77777777" w:rsidR="00241417" w:rsidRDefault="00241417" w:rsidP="003A71DE"/>
        </w:tc>
        <w:tc>
          <w:tcPr>
            <w:tcW w:w="1267" w:type="dxa"/>
            <w:vMerge/>
            <w:vAlign w:val="center"/>
          </w:tcPr>
          <w:p w14:paraId="4D2B0964" w14:textId="77777777" w:rsidR="00241417" w:rsidRDefault="00241417" w:rsidP="003A71DE">
            <w:pPr>
              <w:pStyle w:val="TAC"/>
            </w:pPr>
          </w:p>
        </w:tc>
        <w:tc>
          <w:tcPr>
            <w:tcW w:w="1531" w:type="dxa"/>
            <w:vMerge/>
            <w:vAlign w:val="center"/>
          </w:tcPr>
          <w:p w14:paraId="07142C08" w14:textId="77777777" w:rsidR="00241417" w:rsidRDefault="00241417" w:rsidP="003A71DE">
            <w:pPr>
              <w:pStyle w:val="TAC"/>
            </w:pPr>
          </w:p>
        </w:tc>
        <w:tc>
          <w:tcPr>
            <w:tcW w:w="1189" w:type="dxa"/>
            <w:vMerge/>
            <w:vAlign w:val="center"/>
          </w:tcPr>
          <w:p w14:paraId="2BE9D532" w14:textId="77777777" w:rsidR="00241417" w:rsidRDefault="00241417" w:rsidP="003A71DE">
            <w:pPr>
              <w:pStyle w:val="TAC"/>
            </w:pPr>
          </w:p>
        </w:tc>
        <w:tc>
          <w:tcPr>
            <w:tcW w:w="1119" w:type="dxa"/>
            <w:gridSpan w:val="2"/>
            <w:vAlign w:val="center"/>
          </w:tcPr>
          <w:p w14:paraId="44A4B209" w14:textId="77777777" w:rsidR="00241417" w:rsidRDefault="00241417" w:rsidP="003A71DE">
            <w:pPr>
              <w:pStyle w:val="TAC"/>
            </w:pPr>
            <w:r w:rsidRPr="00BD6443">
              <w:t>No</w:t>
            </w:r>
          </w:p>
        </w:tc>
        <w:tc>
          <w:tcPr>
            <w:tcW w:w="1119" w:type="dxa"/>
            <w:vAlign w:val="center"/>
          </w:tcPr>
          <w:p w14:paraId="7D4ED90F" w14:textId="77777777" w:rsidR="00241417" w:rsidRDefault="00241417" w:rsidP="003A71DE">
            <w:pPr>
              <w:pStyle w:val="TAC"/>
            </w:pPr>
            <w:r w:rsidRPr="00BD6443">
              <w:t>12.8</w:t>
            </w:r>
          </w:p>
        </w:tc>
      </w:tr>
      <w:tr w:rsidR="00241417" w14:paraId="31BFC9AD" w14:textId="77777777" w:rsidTr="003A71DE">
        <w:trPr>
          <w:jc w:val="center"/>
        </w:trPr>
        <w:tc>
          <w:tcPr>
            <w:tcW w:w="1177" w:type="dxa"/>
            <w:vMerge w:val="restart"/>
            <w:vAlign w:val="center"/>
          </w:tcPr>
          <w:p w14:paraId="33077DC3" w14:textId="77777777" w:rsidR="00241417" w:rsidRDefault="00241417" w:rsidP="003A71DE">
            <w:pPr>
              <w:pStyle w:val="TAC"/>
            </w:pPr>
            <w:r>
              <w:t>2</w:t>
            </w:r>
          </w:p>
        </w:tc>
        <w:tc>
          <w:tcPr>
            <w:tcW w:w="1396" w:type="dxa"/>
            <w:vMerge/>
          </w:tcPr>
          <w:p w14:paraId="41708233" w14:textId="77777777" w:rsidR="00241417" w:rsidRDefault="00241417" w:rsidP="003A71DE"/>
        </w:tc>
        <w:tc>
          <w:tcPr>
            <w:tcW w:w="1267" w:type="dxa"/>
            <w:vMerge w:val="restart"/>
            <w:vAlign w:val="center"/>
          </w:tcPr>
          <w:p w14:paraId="143FA8A2" w14:textId="77777777" w:rsidR="00241417" w:rsidRDefault="00241417" w:rsidP="003A71DE">
            <w:pPr>
              <w:pStyle w:val="TAC"/>
            </w:pPr>
            <w:r w:rsidRPr="009A074B">
              <w:t>TDLA30-300 Low</w:t>
            </w:r>
          </w:p>
        </w:tc>
        <w:tc>
          <w:tcPr>
            <w:tcW w:w="1531" w:type="dxa"/>
            <w:vAlign w:val="center"/>
          </w:tcPr>
          <w:p w14:paraId="69351AFA" w14:textId="77777777" w:rsidR="00241417" w:rsidRDefault="00241417" w:rsidP="003A71DE">
            <w:pPr>
              <w:pStyle w:val="TAC"/>
            </w:pPr>
            <w:r>
              <w:t>D-FR2-A.2.1-</w:t>
            </w:r>
            <w:r w:rsidRPr="00BD6443">
              <w:t>9</w:t>
            </w:r>
          </w:p>
        </w:tc>
        <w:tc>
          <w:tcPr>
            <w:tcW w:w="1189" w:type="dxa"/>
            <w:vAlign w:val="center"/>
          </w:tcPr>
          <w:p w14:paraId="3558D7A4" w14:textId="77777777" w:rsidR="00241417" w:rsidRDefault="00241417" w:rsidP="003A71DE">
            <w:pPr>
              <w:pStyle w:val="TAC"/>
            </w:pPr>
            <w:r w:rsidRPr="00BD6443">
              <w:t>pos0</w:t>
            </w:r>
          </w:p>
        </w:tc>
        <w:tc>
          <w:tcPr>
            <w:tcW w:w="1113" w:type="dxa"/>
            <w:vAlign w:val="center"/>
          </w:tcPr>
          <w:p w14:paraId="2C557ADB" w14:textId="77777777" w:rsidR="00241417" w:rsidRDefault="00241417" w:rsidP="003A71DE">
            <w:pPr>
              <w:pStyle w:val="TAC"/>
            </w:pPr>
            <w:r w:rsidRPr="00BD6443">
              <w:t>No</w:t>
            </w:r>
          </w:p>
        </w:tc>
        <w:tc>
          <w:tcPr>
            <w:tcW w:w="1125" w:type="dxa"/>
            <w:gridSpan w:val="2"/>
            <w:vAlign w:val="center"/>
          </w:tcPr>
          <w:p w14:paraId="6656F9F3" w14:textId="77777777" w:rsidR="00241417" w:rsidRDefault="00241417" w:rsidP="003A71DE">
            <w:pPr>
              <w:pStyle w:val="TAC"/>
            </w:pPr>
            <w:r w:rsidRPr="00BD6443">
              <w:t>1.4</w:t>
            </w:r>
          </w:p>
        </w:tc>
      </w:tr>
      <w:tr w:rsidR="00241417" w14:paraId="016FE19E" w14:textId="77777777" w:rsidTr="003A71DE">
        <w:trPr>
          <w:jc w:val="center"/>
        </w:trPr>
        <w:tc>
          <w:tcPr>
            <w:tcW w:w="1177" w:type="dxa"/>
            <w:vMerge/>
          </w:tcPr>
          <w:p w14:paraId="25A8C8FE" w14:textId="77777777" w:rsidR="00241417" w:rsidRDefault="00241417" w:rsidP="003A71DE"/>
        </w:tc>
        <w:tc>
          <w:tcPr>
            <w:tcW w:w="1396" w:type="dxa"/>
            <w:vMerge/>
          </w:tcPr>
          <w:p w14:paraId="57337544" w14:textId="77777777" w:rsidR="00241417" w:rsidRDefault="00241417" w:rsidP="003A71DE"/>
        </w:tc>
        <w:tc>
          <w:tcPr>
            <w:tcW w:w="1267" w:type="dxa"/>
            <w:vMerge/>
          </w:tcPr>
          <w:p w14:paraId="6C2685FF" w14:textId="77777777" w:rsidR="00241417" w:rsidRDefault="00241417" w:rsidP="003A71DE"/>
        </w:tc>
        <w:tc>
          <w:tcPr>
            <w:tcW w:w="1531" w:type="dxa"/>
            <w:vAlign w:val="center"/>
          </w:tcPr>
          <w:p w14:paraId="1CEF6EBE" w14:textId="77777777" w:rsidR="00241417" w:rsidRDefault="00241417" w:rsidP="003A71DE">
            <w:pPr>
              <w:pStyle w:val="TAC"/>
            </w:pPr>
            <w:r w:rsidRPr="00BD6443">
              <w:t>D-FR2-A.2.1-21</w:t>
            </w:r>
          </w:p>
        </w:tc>
        <w:tc>
          <w:tcPr>
            <w:tcW w:w="1189" w:type="dxa"/>
            <w:vAlign w:val="center"/>
          </w:tcPr>
          <w:p w14:paraId="2878201A" w14:textId="77777777" w:rsidR="00241417" w:rsidRDefault="00241417" w:rsidP="003A71DE">
            <w:pPr>
              <w:pStyle w:val="TAC"/>
            </w:pPr>
            <w:r w:rsidRPr="00BD6443">
              <w:t>pos1</w:t>
            </w:r>
          </w:p>
        </w:tc>
        <w:tc>
          <w:tcPr>
            <w:tcW w:w="1113" w:type="dxa"/>
            <w:vAlign w:val="center"/>
          </w:tcPr>
          <w:p w14:paraId="23745E50" w14:textId="77777777" w:rsidR="00241417" w:rsidRDefault="00241417" w:rsidP="003A71DE">
            <w:pPr>
              <w:pStyle w:val="TAC"/>
            </w:pPr>
            <w:r w:rsidRPr="00BD6443">
              <w:t>No</w:t>
            </w:r>
          </w:p>
        </w:tc>
        <w:tc>
          <w:tcPr>
            <w:tcW w:w="1125" w:type="dxa"/>
            <w:gridSpan w:val="2"/>
            <w:vAlign w:val="center"/>
          </w:tcPr>
          <w:p w14:paraId="4252E6DF" w14:textId="77777777" w:rsidR="00241417" w:rsidRDefault="00241417" w:rsidP="003A71DE">
            <w:pPr>
              <w:pStyle w:val="TAC"/>
            </w:pPr>
            <w:r w:rsidRPr="00BD6443">
              <w:t>1.2</w:t>
            </w:r>
          </w:p>
        </w:tc>
      </w:tr>
      <w:tr w:rsidR="00241417" w14:paraId="74ECD11E" w14:textId="77777777" w:rsidTr="003A71DE">
        <w:trPr>
          <w:trHeight w:val="146"/>
          <w:jc w:val="center"/>
        </w:trPr>
        <w:tc>
          <w:tcPr>
            <w:tcW w:w="1177" w:type="dxa"/>
            <w:vMerge/>
          </w:tcPr>
          <w:p w14:paraId="3C2F0D64" w14:textId="77777777" w:rsidR="00241417" w:rsidRDefault="00241417" w:rsidP="003A71DE"/>
        </w:tc>
        <w:tc>
          <w:tcPr>
            <w:tcW w:w="1396" w:type="dxa"/>
            <w:vMerge/>
          </w:tcPr>
          <w:p w14:paraId="7421887F" w14:textId="77777777" w:rsidR="00241417" w:rsidRDefault="00241417" w:rsidP="003A71DE"/>
        </w:tc>
        <w:tc>
          <w:tcPr>
            <w:tcW w:w="1267" w:type="dxa"/>
            <w:vMerge/>
          </w:tcPr>
          <w:p w14:paraId="457E6D44" w14:textId="77777777" w:rsidR="00241417" w:rsidRDefault="00241417" w:rsidP="003A71DE"/>
        </w:tc>
        <w:tc>
          <w:tcPr>
            <w:tcW w:w="1531" w:type="dxa"/>
            <w:vMerge w:val="restart"/>
            <w:vAlign w:val="center"/>
          </w:tcPr>
          <w:p w14:paraId="1E32B0BB" w14:textId="77777777" w:rsidR="00241417" w:rsidRDefault="00241417" w:rsidP="003A71DE">
            <w:pPr>
              <w:pStyle w:val="TAC"/>
            </w:pPr>
            <w:r>
              <w:t>D-FR2-A.2.2-</w:t>
            </w:r>
            <w:r w:rsidRPr="00BD6443">
              <w:t>4</w:t>
            </w:r>
          </w:p>
        </w:tc>
        <w:tc>
          <w:tcPr>
            <w:tcW w:w="1189" w:type="dxa"/>
            <w:vMerge w:val="restart"/>
            <w:vAlign w:val="center"/>
          </w:tcPr>
          <w:p w14:paraId="19B2C669" w14:textId="77777777" w:rsidR="00241417" w:rsidRDefault="00241417" w:rsidP="003A71DE">
            <w:pPr>
              <w:pStyle w:val="TAC"/>
            </w:pPr>
            <w:r w:rsidRPr="00BD6443">
              <w:t>pos0</w:t>
            </w:r>
          </w:p>
        </w:tc>
        <w:tc>
          <w:tcPr>
            <w:tcW w:w="1119" w:type="dxa"/>
            <w:gridSpan w:val="2"/>
            <w:vAlign w:val="center"/>
          </w:tcPr>
          <w:p w14:paraId="7A7260C4" w14:textId="77777777" w:rsidR="00241417" w:rsidRDefault="00241417" w:rsidP="003A71DE">
            <w:pPr>
              <w:pStyle w:val="TAC"/>
            </w:pPr>
            <w:r w:rsidRPr="00BD6443">
              <w:t>Yes</w:t>
            </w:r>
          </w:p>
        </w:tc>
        <w:tc>
          <w:tcPr>
            <w:tcW w:w="1119" w:type="dxa"/>
            <w:vAlign w:val="center"/>
          </w:tcPr>
          <w:p w14:paraId="10F72901" w14:textId="77777777" w:rsidR="00241417" w:rsidRPr="00B70F37" w:rsidRDefault="00241417" w:rsidP="003A71DE">
            <w:pPr>
              <w:pStyle w:val="TAC"/>
            </w:pPr>
            <w:r w:rsidRPr="00B70F37">
              <w:t>13.9</w:t>
            </w:r>
          </w:p>
        </w:tc>
      </w:tr>
      <w:tr w:rsidR="00241417" w14:paraId="4867B89E" w14:textId="77777777" w:rsidTr="003A71DE">
        <w:trPr>
          <w:trHeight w:val="145"/>
          <w:jc w:val="center"/>
        </w:trPr>
        <w:tc>
          <w:tcPr>
            <w:tcW w:w="1177" w:type="dxa"/>
            <w:vMerge/>
          </w:tcPr>
          <w:p w14:paraId="3C1F7039" w14:textId="77777777" w:rsidR="00241417" w:rsidRDefault="00241417" w:rsidP="003A71DE"/>
        </w:tc>
        <w:tc>
          <w:tcPr>
            <w:tcW w:w="1396" w:type="dxa"/>
            <w:vMerge/>
          </w:tcPr>
          <w:p w14:paraId="1D210C28" w14:textId="77777777" w:rsidR="00241417" w:rsidRDefault="00241417" w:rsidP="003A71DE"/>
        </w:tc>
        <w:tc>
          <w:tcPr>
            <w:tcW w:w="1267" w:type="dxa"/>
            <w:vMerge/>
          </w:tcPr>
          <w:p w14:paraId="17DC1F05" w14:textId="77777777" w:rsidR="00241417" w:rsidRDefault="00241417" w:rsidP="003A71DE"/>
        </w:tc>
        <w:tc>
          <w:tcPr>
            <w:tcW w:w="1531" w:type="dxa"/>
            <w:vMerge/>
            <w:vAlign w:val="center"/>
          </w:tcPr>
          <w:p w14:paraId="729EB70A" w14:textId="77777777" w:rsidR="00241417" w:rsidRDefault="00241417" w:rsidP="003A71DE">
            <w:pPr>
              <w:pStyle w:val="TAC"/>
            </w:pPr>
          </w:p>
        </w:tc>
        <w:tc>
          <w:tcPr>
            <w:tcW w:w="1189" w:type="dxa"/>
            <w:vMerge/>
            <w:vAlign w:val="center"/>
          </w:tcPr>
          <w:p w14:paraId="4DE0EBA0" w14:textId="77777777" w:rsidR="00241417" w:rsidRDefault="00241417" w:rsidP="003A71DE">
            <w:pPr>
              <w:pStyle w:val="TAC"/>
            </w:pPr>
          </w:p>
        </w:tc>
        <w:tc>
          <w:tcPr>
            <w:tcW w:w="1119" w:type="dxa"/>
            <w:gridSpan w:val="2"/>
            <w:vAlign w:val="center"/>
          </w:tcPr>
          <w:p w14:paraId="48BC2FAB" w14:textId="77777777" w:rsidR="00241417" w:rsidRDefault="00241417" w:rsidP="003A71DE">
            <w:pPr>
              <w:pStyle w:val="TAC"/>
            </w:pPr>
            <w:r w:rsidRPr="00BD6443">
              <w:t>No</w:t>
            </w:r>
          </w:p>
        </w:tc>
        <w:tc>
          <w:tcPr>
            <w:tcW w:w="1119" w:type="dxa"/>
            <w:vAlign w:val="center"/>
          </w:tcPr>
          <w:p w14:paraId="767D8517" w14:textId="77777777" w:rsidR="00241417" w:rsidRPr="00B70F37" w:rsidRDefault="00241417" w:rsidP="003A71DE">
            <w:pPr>
              <w:pStyle w:val="TAC"/>
            </w:pPr>
            <w:r w:rsidRPr="00B70F37">
              <w:t>13.2</w:t>
            </w:r>
          </w:p>
        </w:tc>
      </w:tr>
      <w:tr w:rsidR="00241417" w14:paraId="381907CC" w14:textId="77777777" w:rsidTr="003A71DE">
        <w:trPr>
          <w:trHeight w:val="424"/>
          <w:jc w:val="center"/>
        </w:trPr>
        <w:tc>
          <w:tcPr>
            <w:tcW w:w="1177" w:type="dxa"/>
            <w:vMerge/>
          </w:tcPr>
          <w:p w14:paraId="4E226994" w14:textId="77777777" w:rsidR="00241417" w:rsidRDefault="00241417" w:rsidP="003A71DE"/>
        </w:tc>
        <w:tc>
          <w:tcPr>
            <w:tcW w:w="1396" w:type="dxa"/>
            <w:vMerge/>
          </w:tcPr>
          <w:p w14:paraId="193926FD" w14:textId="77777777" w:rsidR="00241417" w:rsidRDefault="00241417" w:rsidP="003A71DE"/>
        </w:tc>
        <w:tc>
          <w:tcPr>
            <w:tcW w:w="1267" w:type="dxa"/>
            <w:vMerge/>
          </w:tcPr>
          <w:p w14:paraId="409971AE" w14:textId="77777777" w:rsidR="00241417" w:rsidRDefault="00241417" w:rsidP="003A71DE"/>
        </w:tc>
        <w:tc>
          <w:tcPr>
            <w:tcW w:w="1531" w:type="dxa"/>
            <w:vAlign w:val="center"/>
          </w:tcPr>
          <w:p w14:paraId="59AAFBC6" w14:textId="77777777" w:rsidR="00241417" w:rsidRDefault="00241417" w:rsidP="003A71DE">
            <w:pPr>
              <w:pStyle w:val="TAC"/>
            </w:pPr>
            <w:r>
              <w:t>D-FR2-A.2.2-</w:t>
            </w:r>
            <w:r w:rsidRPr="00BD6443">
              <w:t>9</w:t>
            </w:r>
          </w:p>
        </w:tc>
        <w:tc>
          <w:tcPr>
            <w:tcW w:w="1189" w:type="dxa"/>
            <w:vAlign w:val="center"/>
          </w:tcPr>
          <w:p w14:paraId="0F89B36C" w14:textId="77777777" w:rsidR="00241417" w:rsidRDefault="00241417" w:rsidP="003A71DE">
            <w:pPr>
              <w:pStyle w:val="TAC"/>
            </w:pPr>
            <w:r w:rsidRPr="00BD6443">
              <w:t>pos1</w:t>
            </w:r>
          </w:p>
        </w:tc>
        <w:tc>
          <w:tcPr>
            <w:tcW w:w="1119" w:type="dxa"/>
            <w:gridSpan w:val="2"/>
            <w:vAlign w:val="center"/>
          </w:tcPr>
          <w:p w14:paraId="30B4FD91" w14:textId="77777777" w:rsidR="00241417" w:rsidRDefault="00241417" w:rsidP="003A71DE">
            <w:pPr>
              <w:pStyle w:val="TAC"/>
            </w:pPr>
            <w:r w:rsidRPr="00BD6443">
              <w:t>Yes</w:t>
            </w:r>
          </w:p>
        </w:tc>
        <w:tc>
          <w:tcPr>
            <w:tcW w:w="1119" w:type="dxa"/>
            <w:vAlign w:val="center"/>
          </w:tcPr>
          <w:p w14:paraId="2A707A85" w14:textId="77777777" w:rsidR="00241417" w:rsidRPr="00B70F37" w:rsidRDefault="00241417" w:rsidP="003A71DE">
            <w:pPr>
              <w:pStyle w:val="TAC"/>
            </w:pPr>
            <w:r w:rsidRPr="00B70F37">
              <w:t>13.5</w:t>
            </w:r>
          </w:p>
        </w:tc>
      </w:tr>
    </w:tbl>
    <w:p w14:paraId="334D01E4" w14:textId="77777777" w:rsidR="00241417" w:rsidRDefault="00241417" w:rsidP="00241417"/>
    <w:p w14:paraId="2C4E4712" w14:textId="77777777" w:rsidR="00241417" w:rsidRDefault="00241417" w:rsidP="00241417">
      <w:pPr>
        <w:pStyle w:val="TH"/>
      </w:pPr>
      <w:r w:rsidRPr="00BD6443">
        <w:t>Table 11.</w:t>
      </w:r>
      <w:r>
        <w:t>1.</w:t>
      </w:r>
      <w:r w:rsidRPr="00BD6443">
        <w:t>2.2.1.2-5: Minimum requirements for PUSCH, 200 MHz channel bandwidth, 120 kHz SCS</w:t>
      </w:r>
    </w:p>
    <w:tbl>
      <w:tblPr>
        <w:tblStyle w:val="TableGrid"/>
        <w:tblW w:w="8798" w:type="dxa"/>
        <w:jc w:val="center"/>
        <w:tblLook w:val="04A0" w:firstRow="1" w:lastRow="0" w:firstColumn="1" w:lastColumn="0" w:noHBand="0" w:noVBand="1"/>
      </w:tblPr>
      <w:tblGrid>
        <w:gridCol w:w="1177"/>
        <w:gridCol w:w="1396"/>
        <w:gridCol w:w="1267"/>
        <w:gridCol w:w="1531"/>
        <w:gridCol w:w="1189"/>
        <w:gridCol w:w="1113"/>
        <w:gridCol w:w="6"/>
        <w:gridCol w:w="1119"/>
      </w:tblGrid>
      <w:tr w:rsidR="00241417" w14:paraId="262E1768" w14:textId="77777777" w:rsidTr="003A71DE">
        <w:trPr>
          <w:jc w:val="center"/>
        </w:trPr>
        <w:tc>
          <w:tcPr>
            <w:tcW w:w="1177" w:type="dxa"/>
            <w:vAlign w:val="center"/>
          </w:tcPr>
          <w:p w14:paraId="52093CB4" w14:textId="77777777" w:rsidR="00241417" w:rsidRDefault="00241417" w:rsidP="003A71DE">
            <w:pPr>
              <w:pStyle w:val="TAH"/>
            </w:pPr>
            <w:r w:rsidRPr="00BD6443">
              <w:t>Number of TX antennas</w:t>
            </w:r>
          </w:p>
        </w:tc>
        <w:tc>
          <w:tcPr>
            <w:tcW w:w="1396" w:type="dxa"/>
            <w:vAlign w:val="center"/>
          </w:tcPr>
          <w:p w14:paraId="476AA3F3" w14:textId="77777777" w:rsidR="00241417" w:rsidRDefault="00241417" w:rsidP="003A71DE">
            <w:pPr>
              <w:pStyle w:val="TAH"/>
            </w:pPr>
            <w:r w:rsidRPr="00BD6443">
              <w:t>Number of demodulation branches</w:t>
            </w:r>
          </w:p>
        </w:tc>
        <w:tc>
          <w:tcPr>
            <w:tcW w:w="1267" w:type="dxa"/>
            <w:vAlign w:val="center"/>
          </w:tcPr>
          <w:p w14:paraId="612083F5" w14:textId="2AC03BED" w:rsidR="00241417" w:rsidRDefault="00241417" w:rsidP="003A71DE">
            <w:pPr>
              <w:pStyle w:val="TAH"/>
            </w:pPr>
            <w:r w:rsidRPr="00BD6443">
              <w:t xml:space="preserve">Propagation conditions and correlation matrix (Annex </w:t>
            </w:r>
            <w:r>
              <w:t>TBA</w:t>
            </w:r>
            <w:r w:rsidRPr="00BD6443">
              <w:t>)</w:t>
            </w:r>
          </w:p>
        </w:tc>
        <w:tc>
          <w:tcPr>
            <w:tcW w:w="1531" w:type="dxa"/>
            <w:vAlign w:val="center"/>
          </w:tcPr>
          <w:p w14:paraId="37733050" w14:textId="77777777" w:rsidR="00241417" w:rsidRDefault="00241417" w:rsidP="003A71DE">
            <w:pPr>
              <w:pStyle w:val="TAH"/>
            </w:pPr>
            <w:r w:rsidRPr="00BD6443">
              <w:t>FRC</w:t>
            </w:r>
            <w:r w:rsidRPr="00BD6443">
              <w:br/>
              <w:t>(Annex A)</w:t>
            </w:r>
          </w:p>
        </w:tc>
        <w:tc>
          <w:tcPr>
            <w:tcW w:w="1189" w:type="dxa"/>
            <w:vAlign w:val="center"/>
          </w:tcPr>
          <w:p w14:paraId="59112C87" w14:textId="77777777" w:rsidR="00241417" w:rsidRDefault="00241417" w:rsidP="003A71DE">
            <w:pPr>
              <w:pStyle w:val="TAH"/>
            </w:pPr>
            <w:r w:rsidRPr="00BD6443">
              <w:t>Additional DM-RS position</w:t>
            </w:r>
          </w:p>
        </w:tc>
        <w:tc>
          <w:tcPr>
            <w:tcW w:w="1113" w:type="dxa"/>
            <w:vAlign w:val="center"/>
          </w:tcPr>
          <w:p w14:paraId="02E60B1E" w14:textId="77777777" w:rsidR="00241417" w:rsidRDefault="00241417" w:rsidP="003A71DE">
            <w:pPr>
              <w:pStyle w:val="TAH"/>
            </w:pPr>
            <w:r w:rsidRPr="00BD6443">
              <w:t>PT-RS</w:t>
            </w:r>
          </w:p>
        </w:tc>
        <w:tc>
          <w:tcPr>
            <w:tcW w:w="1125" w:type="dxa"/>
            <w:gridSpan w:val="2"/>
            <w:vAlign w:val="center"/>
          </w:tcPr>
          <w:p w14:paraId="4E4529BB" w14:textId="77777777" w:rsidR="00241417" w:rsidRPr="00BD6443" w:rsidRDefault="00241417" w:rsidP="003A71DE">
            <w:pPr>
              <w:pStyle w:val="TAH"/>
            </w:pPr>
            <w:r w:rsidRPr="00BD6443">
              <w:t>SNR</w:t>
            </w:r>
          </w:p>
          <w:p w14:paraId="4E5ECEBD" w14:textId="77777777" w:rsidR="00241417" w:rsidRDefault="00241417" w:rsidP="003A71DE">
            <w:pPr>
              <w:pStyle w:val="TAH"/>
            </w:pPr>
            <w:r w:rsidRPr="00BD6443">
              <w:t>(dB)</w:t>
            </w:r>
          </w:p>
        </w:tc>
      </w:tr>
      <w:tr w:rsidR="00241417" w14:paraId="2ED4C885" w14:textId="77777777" w:rsidTr="003A71DE">
        <w:trPr>
          <w:jc w:val="center"/>
        </w:trPr>
        <w:tc>
          <w:tcPr>
            <w:tcW w:w="1177" w:type="dxa"/>
            <w:vMerge w:val="restart"/>
            <w:vAlign w:val="center"/>
          </w:tcPr>
          <w:p w14:paraId="5144B617" w14:textId="77777777" w:rsidR="00241417" w:rsidRDefault="00241417" w:rsidP="003A71DE">
            <w:pPr>
              <w:pStyle w:val="TAC"/>
            </w:pPr>
            <w:r>
              <w:t>1</w:t>
            </w:r>
          </w:p>
        </w:tc>
        <w:tc>
          <w:tcPr>
            <w:tcW w:w="1396" w:type="dxa"/>
            <w:vMerge w:val="restart"/>
            <w:vAlign w:val="center"/>
          </w:tcPr>
          <w:p w14:paraId="540A6ADE" w14:textId="77777777" w:rsidR="00241417" w:rsidRDefault="00241417" w:rsidP="003A71DE">
            <w:pPr>
              <w:pStyle w:val="TAC"/>
            </w:pPr>
            <w:r>
              <w:t>2</w:t>
            </w:r>
          </w:p>
        </w:tc>
        <w:tc>
          <w:tcPr>
            <w:tcW w:w="1267" w:type="dxa"/>
            <w:vMerge w:val="restart"/>
            <w:vAlign w:val="center"/>
          </w:tcPr>
          <w:p w14:paraId="2EB2B0AC" w14:textId="77777777" w:rsidR="00241417" w:rsidRDefault="00241417" w:rsidP="003A71DE">
            <w:pPr>
              <w:pStyle w:val="TAC"/>
            </w:pPr>
            <w:r>
              <w:t>TDLA30-300 Low</w:t>
            </w:r>
          </w:p>
        </w:tc>
        <w:tc>
          <w:tcPr>
            <w:tcW w:w="1531" w:type="dxa"/>
            <w:vAlign w:val="center"/>
          </w:tcPr>
          <w:p w14:paraId="18309126" w14:textId="77777777" w:rsidR="00241417" w:rsidRDefault="00241417" w:rsidP="003A71DE">
            <w:pPr>
              <w:pStyle w:val="TAC"/>
            </w:pPr>
            <w:r>
              <w:t>D-FR2-A.2.1-</w:t>
            </w:r>
            <w:r w:rsidRPr="00BD6443">
              <w:t>5</w:t>
            </w:r>
          </w:p>
        </w:tc>
        <w:tc>
          <w:tcPr>
            <w:tcW w:w="1189" w:type="dxa"/>
            <w:vAlign w:val="center"/>
          </w:tcPr>
          <w:p w14:paraId="1A3D3067" w14:textId="77777777" w:rsidR="00241417" w:rsidRDefault="00241417" w:rsidP="003A71DE">
            <w:pPr>
              <w:pStyle w:val="TAC"/>
            </w:pPr>
            <w:r w:rsidRPr="00BD6443">
              <w:t>pos0</w:t>
            </w:r>
          </w:p>
        </w:tc>
        <w:tc>
          <w:tcPr>
            <w:tcW w:w="1113" w:type="dxa"/>
            <w:vAlign w:val="center"/>
          </w:tcPr>
          <w:p w14:paraId="3876B1D7" w14:textId="77777777" w:rsidR="00241417" w:rsidRDefault="00241417" w:rsidP="003A71DE">
            <w:pPr>
              <w:pStyle w:val="TAC"/>
            </w:pPr>
            <w:r w:rsidRPr="00BD6443">
              <w:t>No</w:t>
            </w:r>
          </w:p>
        </w:tc>
        <w:tc>
          <w:tcPr>
            <w:tcW w:w="1125" w:type="dxa"/>
            <w:gridSpan w:val="2"/>
            <w:vAlign w:val="center"/>
          </w:tcPr>
          <w:p w14:paraId="3C915774" w14:textId="77777777" w:rsidR="00241417" w:rsidRDefault="00241417" w:rsidP="003A71DE">
            <w:pPr>
              <w:pStyle w:val="TAC"/>
            </w:pPr>
            <w:r w:rsidRPr="00BD6443">
              <w:t>-2.1</w:t>
            </w:r>
          </w:p>
        </w:tc>
      </w:tr>
      <w:tr w:rsidR="00241417" w14:paraId="2398CA93" w14:textId="77777777" w:rsidTr="003A71DE">
        <w:trPr>
          <w:jc w:val="center"/>
        </w:trPr>
        <w:tc>
          <w:tcPr>
            <w:tcW w:w="1177" w:type="dxa"/>
            <w:vMerge/>
          </w:tcPr>
          <w:p w14:paraId="341D65D1" w14:textId="77777777" w:rsidR="00241417" w:rsidRDefault="00241417" w:rsidP="003A71DE"/>
        </w:tc>
        <w:tc>
          <w:tcPr>
            <w:tcW w:w="1396" w:type="dxa"/>
            <w:vMerge/>
          </w:tcPr>
          <w:p w14:paraId="66D7D20C" w14:textId="77777777" w:rsidR="00241417" w:rsidRDefault="00241417" w:rsidP="003A71DE"/>
        </w:tc>
        <w:tc>
          <w:tcPr>
            <w:tcW w:w="1267" w:type="dxa"/>
            <w:vMerge/>
            <w:vAlign w:val="center"/>
          </w:tcPr>
          <w:p w14:paraId="00A20F5F" w14:textId="77777777" w:rsidR="00241417" w:rsidRDefault="00241417" w:rsidP="003A71DE">
            <w:pPr>
              <w:pStyle w:val="TAC"/>
            </w:pPr>
          </w:p>
        </w:tc>
        <w:tc>
          <w:tcPr>
            <w:tcW w:w="1531" w:type="dxa"/>
            <w:vAlign w:val="center"/>
          </w:tcPr>
          <w:p w14:paraId="64347066" w14:textId="77777777" w:rsidR="00241417" w:rsidRDefault="00241417" w:rsidP="003A71DE">
            <w:pPr>
              <w:pStyle w:val="TAC"/>
            </w:pPr>
            <w:r>
              <w:t>D-FR2-A.2.1-</w:t>
            </w:r>
            <w:r w:rsidRPr="00BD6443">
              <w:t>17</w:t>
            </w:r>
          </w:p>
        </w:tc>
        <w:tc>
          <w:tcPr>
            <w:tcW w:w="1189" w:type="dxa"/>
            <w:vAlign w:val="center"/>
          </w:tcPr>
          <w:p w14:paraId="4AC8DE6F" w14:textId="77777777" w:rsidR="00241417" w:rsidRDefault="00241417" w:rsidP="003A71DE">
            <w:pPr>
              <w:pStyle w:val="TAC"/>
            </w:pPr>
            <w:r w:rsidRPr="00BD6443">
              <w:t>pos1</w:t>
            </w:r>
          </w:p>
        </w:tc>
        <w:tc>
          <w:tcPr>
            <w:tcW w:w="1113" w:type="dxa"/>
            <w:vAlign w:val="center"/>
          </w:tcPr>
          <w:p w14:paraId="170A246A" w14:textId="77777777" w:rsidR="00241417" w:rsidRDefault="00241417" w:rsidP="003A71DE">
            <w:pPr>
              <w:pStyle w:val="TAC"/>
            </w:pPr>
            <w:r w:rsidRPr="00BD6443">
              <w:t>No</w:t>
            </w:r>
          </w:p>
        </w:tc>
        <w:tc>
          <w:tcPr>
            <w:tcW w:w="1125" w:type="dxa"/>
            <w:gridSpan w:val="2"/>
            <w:vAlign w:val="center"/>
          </w:tcPr>
          <w:p w14:paraId="7B23B30C" w14:textId="77777777" w:rsidR="00241417" w:rsidRDefault="00241417" w:rsidP="003A71DE">
            <w:pPr>
              <w:pStyle w:val="TAC"/>
            </w:pPr>
            <w:r w:rsidRPr="00BD6443">
              <w:t>-2.4</w:t>
            </w:r>
          </w:p>
        </w:tc>
      </w:tr>
      <w:tr w:rsidR="00241417" w14:paraId="204306EA" w14:textId="77777777" w:rsidTr="003A71DE">
        <w:trPr>
          <w:trHeight w:val="146"/>
          <w:jc w:val="center"/>
        </w:trPr>
        <w:tc>
          <w:tcPr>
            <w:tcW w:w="1177" w:type="dxa"/>
            <w:vMerge/>
          </w:tcPr>
          <w:p w14:paraId="37A01C94" w14:textId="77777777" w:rsidR="00241417" w:rsidRDefault="00241417" w:rsidP="003A71DE"/>
        </w:tc>
        <w:tc>
          <w:tcPr>
            <w:tcW w:w="1396" w:type="dxa"/>
            <w:vMerge/>
          </w:tcPr>
          <w:p w14:paraId="147535EE" w14:textId="77777777" w:rsidR="00241417" w:rsidRDefault="00241417" w:rsidP="003A71DE"/>
        </w:tc>
        <w:tc>
          <w:tcPr>
            <w:tcW w:w="1267" w:type="dxa"/>
            <w:vMerge/>
            <w:vAlign w:val="center"/>
          </w:tcPr>
          <w:p w14:paraId="6FA2AEF8" w14:textId="77777777" w:rsidR="00241417" w:rsidRDefault="00241417" w:rsidP="003A71DE">
            <w:pPr>
              <w:pStyle w:val="TAC"/>
            </w:pPr>
          </w:p>
        </w:tc>
        <w:tc>
          <w:tcPr>
            <w:tcW w:w="1531" w:type="dxa"/>
            <w:vMerge w:val="restart"/>
            <w:vAlign w:val="center"/>
          </w:tcPr>
          <w:p w14:paraId="4F1F532F" w14:textId="77777777" w:rsidR="00241417" w:rsidRDefault="00241417" w:rsidP="003A71DE">
            <w:pPr>
              <w:pStyle w:val="TAC"/>
            </w:pPr>
            <w:r>
              <w:t>D-FR2-A.2.3-</w:t>
            </w:r>
            <w:r w:rsidRPr="00BD6443">
              <w:t>5</w:t>
            </w:r>
          </w:p>
        </w:tc>
        <w:tc>
          <w:tcPr>
            <w:tcW w:w="1189" w:type="dxa"/>
            <w:vMerge w:val="restart"/>
            <w:vAlign w:val="center"/>
          </w:tcPr>
          <w:p w14:paraId="7FC70BE9" w14:textId="77777777" w:rsidR="00241417" w:rsidRDefault="00241417" w:rsidP="003A71DE">
            <w:pPr>
              <w:pStyle w:val="TAC"/>
            </w:pPr>
            <w:r w:rsidRPr="00BD6443">
              <w:t>pos0</w:t>
            </w:r>
          </w:p>
        </w:tc>
        <w:tc>
          <w:tcPr>
            <w:tcW w:w="1119" w:type="dxa"/>
            <w:gridSpan w:val="2"/>
            <w:vAlign w:val="center"/>
          </w:tcPr>
          <w:p w14:paraId="1220E1AF" w14:textId="77777777" w:rsidR="00241417" w:rsidRDefault="00241417" w:rsidP="003A71DE">
            <w:pPr>
              <w:pStyle w:val="TAC"/>
            </w:pPr>
            <w:r w:rsidRPr="00BD6443">
              <w:t>Yes</w:t>
            </w:r>
          </w:p>
        </w:tc>
        <w:tc>
          <w:tcPr>
            <w:tcW w:w="1119" w:type="dxa"/>
            <w:vAlign w:val="center"/>
          </w:tcPr>
          <w:p w14:paraId="127EA9C1" w14:textId="77777777" w:rsidR="00241417" w:rsidRDefault="00241417" w:rsidP="003A71DE">
            <w:pPr>
              <w:pStyle w:val="TAC"/>
            </w:pPr>
            <w:r w:rsidRPr="00BD6443">
              <w:t>11.3</w:t>
            </w:r>
          </w:p>
        </w:tc>
      </w:tr>
      <w:tr w:rsidR="00241417" w14:paraId="18CEE320" w14:textId="77777777" w:rsidTr="003A71DE">
        <w:trPr>
          <w:trHeight w:val="145"/>
          <w:jc w:val="center"/>
        </w:trPr>
        <w:tc>
          <w:tcPr>
            <w:tcW w:w="1177" w:type="dxa"/>
            <w:vMerge/>
          </w:tcPr>
          <w:p w14:paraId="466D0285" w14:textId="77777777" w:rsidR="00241417" w:rsidRDefault="00241417" w:rsidP="003A71DE"/>
        </w:tc>
        <w:tc>
          <w:tcPr>
            <w:tcW w:w="1396" w:type="dxa"/>
            <w:vMerge/>
          </w:tcPr>
          <w:p w14:paraId="5F06750B" w14:textId="77777777" w:rsidR="00241417" w:rsidRDefault="00241417" w:rsidP="003A71DE"/>
        </w:tc>
        <w:tc>
          <w:tcPr>
            <w:tcW w:w="1267" w:type="dxa"/>
            <w:vMerge/>
            <w:vAlign w:val="center"/>
          </w:tcPr>
          <w:p w14:paraId="15C500D7" w14:textId="77777777" w:rsidR="00241417" w:rsidRDefault="00241417" w:rsidP="003A71DE">
            <w:pPr>
              <w:pStyle w:val="TAC"/>
            </w:pPr>
          </w:p>
        </w:tc>
        <w:tc>
          <w:tcPr>
            <w:tcW w:w="1531" w:type="dxa"/>
            <w:vMerge/>
            <w:vAlign w:val="center"/>
          </w:tcPr>
          <w:p w14:paraId="41BDE36A" w14:textId="77777777" w:rsidR="00241417" w:rsidRDefault="00241417" w:rsidP="003A71DE">
            <w:pPr>
              <w:pStyle w:val="TAC"/>
            </w:pPr>
          </w:p>
        </w:tc>
        <w:tc>
          <w:tcPr>
            <w:tcW w:w="1189" w:type="dxa"/>
            <w:vMerge/>
            <w:vAlign w:val="center"/>
          </w:tcPr>
          <w:p w14:paraId="2CCA32E6" w14:textId="77777777" w:rsidR="00241417" w:rsidRDefault="00241417" w:rsidP="003A71DE">
            <w:pPr>
              <w:pStyle w:val="TAC"/>
            </w:pPr>
          </w:p>
        </w:tc>
        <w:tc>
          <w:tcPr>
            <w:tcW w:w="1119" w:type="dxa"/>
            <w:gridSpan w:val="2"/>
            <w:vAlign w:val="center"/>
          </w:tcPr>
          <w:p w14:paraId="640F6FC7" w14:textId="77777777" w:rsidR="00241417" w:rsidRDefault="00241417" w:rsidP="003A71DE">
            <w:pPr>
              <w:pStyle w:val="TAC"/>
            </w:pPr>
            <w:r w:rsidRPr="00BD6443">
              <w:t>No</w:t>
            </w:r>
          </w:p>
        </w:tc>
        <w:tc>
          <w:tcPr>
            <w:tcW w:w="1119" w:type="dxa"/>
            <w:vAlign w:val="center"/>
          </w:tcPr>
          <w:p w14:paraId="3F401769" w14:textId="77777777" w:rsidR="00241417" w:rsidRDefault="00241417" w:rsidP="003A71DE">
            <w:pPr>
              <w:pStyle w:val="TAC"/>
            </w:pPr>
            <w:r w:rsidRPr="00BD6443">
              <w:t>10.9</w:t>
            </w:r>
          </w:p>
        </w:tc>
      </w:tr>
      <w:tr w:rsidR="00241417" w14:paraId="53FEE24F" w14:textId="77777777" w:rsidTr="003A71DE">
        <w:trPr>
          <w:trHeight w:val="146"/>
          <w:jc w:val="center"/>
        </w:trPr>
        <w:tc>
          <w:tcPr>
            <w:tcW w:w="1177" w:type="dxa"/>
            <w:vMerge/>
          </w:tcPr>
          <w:p w14:paraId="53EBFD25" w14:textId="77777777" w:rsidR="00241417" w:rsidRDefault="00241417" w:rsidP="003A71DE"/>
        </w:tc>
        <w:tc>
          <w:tcPr>
            <w:tcW w:w="1396" w:type="dxa"/>
            <w:vMerge/>
          </w:tcPr>
          <w:p w14:paraId="1F5B48F6" w14:textId="77777777" w:rsidR="00241417" w:rsidRDefault="00241417" w:rsidP="003A71DE"/>
        </w:tc>
        <w:tc>
          <w:tcPr>
            <w:tcW w:w="1267" w:type="dxa"/>
            <w:vMerge/>
            <w:vAlign w:val="center"/>
          </w:tcPr>
          <w:p w14:paraId="0C0ADB04" w14:textId="77777777" w:rsidR="00241417" w:rsidRDefault="00241417" w:rsidP="003A71DE">
            <w:pPr>
              <w:pStyle w:val="TAC"/>
            </w:pPr>
          </w:p>
        </w:tc>
        <w:tc>
          <w:tcPr>
            <w:tcW w:w="1531" w:type="dxa"/>
            <w:vMerge w:val="restart"/>
            <w:vAlign w:val="center"/>
          </w:tcPr>
          <w:p w14:paraId="1780CD2C" w14:textId="77777777" w:rsidR="00241417" w:rsidRDefault="00241417" w:rsidP="003A71DE">
            <w:pPr>
              <w:pStyle w:val="TAC"/>
            </w:pPr>
            <w:r>
              <w:t>D-FR2-A.2.3-</w:t>
            </w:r>
            <w:r w:rsidRPr="00BD6443">
              <w:t>15</w:t>
            </w:r>
          </w:p>
        </w:tc>
        <w:tc>
          <w:tcPr>
            <w:tcW w:w="1189" w:type="dxa"/>
            <w:vMerge w:val="restart"/>
            <w:vAlign w:val="center"/>
          </w:tcPr>
          <w:p w14:paraId="434BC49C" w14:textId="77777777" w:rsidR="00241417" w:rsidRDefault="00241417" w:rsidP="003A71DE">
            <w:pPr>
              <w:pStyle w:val="TAC"/>
            </w:pPr>
            <w:r w:rsidRPr="00BD6443">
              <w:t>pos1</w:t>
            </w:r>
          </w:p>
        </w:tc>
        <w:tc>
          <w:tcPr>
            <w:tcW w:w="1119" w:type="dxa"/>
            <w:gridSpan w:val="2"/>
            <w:vAlign w:val="center"/>
          </w:tcPr>
          <w:p w14:paraId="4CC27448" w14:textId="77777777" w:rsidR="00241417" w:rsidRDefault="00241417" w:rsidP="003A71DE">
            <w:pPr>
              <w:pStyle w:val="TAC"/>
            </w:pPr>
            <w:r w:rsidRPr="00BD6443">
              <w:t>Yes</w:t>
            </w:r>
          </w:p>
        </w:tc>
        <w:tc>
          <w:tcPr>
            <w:tcW w:w="1119" w:type="dxa"/>
            <w:vAlign w:val="center"/>
          </w:tcPr>
          <w:p w14:paraId="5AF3BF4D" w14:textId="77777777" w:rsidR="00241417" w:rsidRDefault="00241417" w:rsidP="003A71DE">
            <w:pPr>
              <w:pStyle w:val="TAC"/>
            </w:pPr>
            <w:r w:rsidRPr="00BD6443">
              <w:t>11.2</w:t>
            </w:r>
          </w:p>
        </w:tc>
      </w:tr>
      <w:tr w:rsidR="00241417" w14:paraId="62CC06CD" w14:textId="77777777" w:rsidTr="003A71DE">
        <w:trPr>
          <w:trHeight w:val="145"/>
          <w:jc w:val="center"/>
        </w:trPr>
        <w:tc>
          <w:tcPr>
            <w:tcW w:w="1177" w:type="dxa"/>
            <w:vMerge/>
          </w:tcPr>
          <w:p w14:paraId="743CDBC5" w14:textId="77777777" w:rsidR="00241417" w:rsidRDefault="00241417" w:rsidP="003A71DE"/>
        </w:tc>
        <w:tc>
          <w:tcPr>
            <w:tcW w:w="1396" w:type="dxa"/>
            <w:vMerge/>
          </w:tcPr>
          <w:p w14:paraId="5DC8040F" w14:textId="77777777" w:rsidR="00241417" w:rsidRDefault="00241417" w:rsidP="003A71DE"/>
        </w:tc>
        <w:tc>
          <w:tcPr>
            <w:tcW w:w="1267" w:type="dxa"/>
            <w:vMerge/>
            <w:vAlign w:val="center"/>
          </w:tcPr>
          <w:p w14:paraId="5D509814" w14:textId="77777777" w:rsidR="00241417" w:rsidRDefault="00241417" w:rsidP="003A71DE">
            <w:pPr>
              <w:pStyle w:val="TAC"/>
            </w:pPr>
          </w:p>
        </w:tc>
        <w:tc>
          <w:tcPr>
            <w:tcW w:w="1531" w:type="dxa"/>
            <w:vMerge/>
            <w:vAlign w:val="center"/>
          </w:tcPr>
          <w:p w14:paraId="77E70EEE" w14:textId="77777777" w:rsidR="00241417" w:rsidRDefault="00241417" w:rsidP="003A71DE">
            <w:pPr>
              <w:pStyle w:val="TAC"/>
            </w:pPr>
          </w:p>
        </w:tc>
        <w:tc>
          <w:tcPr>
            <w:tcW w:w="1189" w:type="dxa"/>
            <w:vMerge/>
            <w:vAlign w:val="center"/>
          </w:tcPr>
          <w:p w14:paraId="7634AE3A" w14:textId="77777777" w:rsidR="00241417" w:rsidRDefault="00241417" w:rsidP="003A71DE">
            <w:pPr>
              <w:pStyle w:val="TAC"/>
            </w:pPr>
          </w:p>
        </w:tc>
        <w:tc>
          <w:tcPr>
            <w:tcW w:w="1119" w:type="dxa"/>
            <w:gridSpan w:val="2"/>
            <w:vAlign w:val="center"/>
          </w:tcPr>
          <w:p w14:paraId="5E0CEB51" w14:textId="77777777" w:rsidR="00241417" w:rsidRDefault="00241417" w:rsidP="003A71DE">
            <w:pPr>
              <w:pStyle w:val="TAC"/>
            </w:pPr>
            <w:r w:rsidRPr="00BD6443">
              <w:t>No</w:t>
            </w:r>
          </w:p>
        </w:tc>
        <w:tc>
          <w:tcPr>
            <w:tcW w:w="1119" w:type="dxa"/>
            <w:vAlign w:val="center"/>
          </w:tcPr>
          <w:p w14:paraId="30AC7332" w14:textId="77777777" w:rsidR="00241417" w:rsidRDefault="00241417" w:rsidP="003A71DE">
            <w:pPr>
              <w:pStyle w:val="TAC"/>
            </w:pPr>
            <w:r w:rsidRPr="00BD6443">
              <w:t>10.7</w:t>
            </w:r>
          </w:p>
        </w:tc>
      </w:tr>
      <w:tr w:rsidR="00241417" w14:paraId="73B62B5A" w14:textId="77777777" w:rsidTr="003A71DE">
        <w:trPr>
          <w:trHeight w:val="146"/>
          <w:jc w:val="center"/>
        </w:trPr>
        <w:tc>
          <w:tcPr>
            <w:tcW w:w="1177" w:type="dxa"/>
            <w:vMerge/>
          </w:tcPr>
          <w:p w14:paraId="482DC4CF" w14:textId="77777777" w:rsidR="00241417" w:rsidRDefault="00241417" w:rsidP="003A71DE"/>
        </w:tc>
        <w:tc>
          <w:tcPr>
            <w:tcW w:w="1396" w:type="dxa"/>
            <w:vMerge/>
          </w:tcPr>
          <w:p w14:paraId="1EE406FA" w14:textId="77777777" w:rsidR="00241417" w:rsidRDefault="00241417" w:rsidP="003A71DE"/>
        </w:tc>
        <w:tc>
          <w:tcPr>
            <w:tcW w:w="1267" w:type="dxa"/>
            <w:vMerge w:val="restart"/>
            <w:vAlign w:val="center"/>
          </w:tcPr>
          <w:p w14:paraId="2CEC6D21" w14:textId="77777777" w:rsidR="00241417" w:rsidRDefault="00241417" w:rsidP="003A71DE">
            <w:pPr>
              <w:pStyle w:val="TAC"/>
            </w:pPr>
            <w:r>
              <w:t>TDLA30-75 Low</w:t>
            </w:r>
          </w:p>
        </w:tc>
        <w:tc>
          <w:tcPr>
            <w:tcW w:w="1531" w:type="dxa"/>
            <w:vMerge w:val="restart"/>
            <w:vAlign w:val="center"/>
          </w:tcPr>
          <w:p w14:paraId="05234955" w14:textId="77777777" w:rsidR="00241417" w:rsidRDefault="00241417" w:rsidP="003A71DE">
            <w:pPr>
              <w:pStyle w:val="TAC"/>
            </w:pPr>
            <w:r>
              <w:t>D-FR2-A.2.4-</w:t>
            </w:r>
            <w:r w:rsidRPr="00BD6443">
              <w:t>5</w:t>
            </w:r>
          </w:p>
        </w:tc>
        <w:tc>
          <w:tcPr>
            <w:tcW w:w="1189" w:type="dxa"/>
            <w:vMerge w:val="restart"/>
            <w:vAlign w:val="center"/>
          </w:tcPr>
          <w:p w14:paraId="35C0FA27" w14:textId="77777777" w:rsidR="00241417" w:rsidRDefault="00241417" w:rsidP="003A71DE">
            <w:pPr>
              <w:pStyle w:val="TAC"/>
            </w:pPr>
            <w:r w:rsidRPr="00BD6443">
              <w:t>pos0</w:t>
            </w:r>
          </w:p>
        </w:tc>
        <w:tc>
          <w:tcPr>
            <w:tcW w:w="1119" w:type="dxa"/>
            <w:gridSpan w:val="2"/>
            <w:vAlign w:val="center"/>
          </w:tcPr>
          <w:p w14:paraId="47496D74" w14:textId="77777777" w:rsidR="00241417" w:rsidRDefault="00241417" w:rsidP="003A71DE">
            <w:pPr>
              <w:pStyle w:val="TAC"/>
            </w:pPr>
            <w:r w:rsidRPr="00BD6443">
              <w:t>Yes</w:t>
            </w:r>
          </w:p>
        </w:tc>
        <w:tc>
          <w:tcPr>
            <w:tcW w:w="1119" w:type="dxa"/>
            <w:vAlign w:val="center"/>
          </w:tcPr>
          <w:p w14:paraId="66F8D953" w14:textId="77777777" w:rsidR="00241417" w:rsidRDefault="00241417" w:rsidP="003A71DE">
            <w:pPr>
              <w:pStyle w:val="TAC"/>
            </w:pPr>
            <w:r w:rsidRPr="00BD6443">
              <w:t>14.1</w:t>
            </w:r>
          </w:p>
        </w:tc>
      </w:tr>
      <w:tr w:rsidR="00241417" w14:paraId="1849BF2B" w14:textId="77777777" w:rsidTr="003A71DE">
        <w:trPr>
          <w:trHeight w:val="145"/>
          <w:jc w:val="center"/>
        </w:trPr>
        <w:tc>
          <w:tcPr>
            <w:tcW w:w="1177" w:type="dxa"/>
            <w:vMerge/>
          </w:tcPr>
          <w:p w14:paraId="2EAA129C" w14:textId="77777777" w:rsidR="00241417" w:rsidRDefault="00241417" w:rsidP="003A71DE"/>
        </w:tc>
        <w:tc>
          <w:tcPr>
            <w:tcW w:w="1396" w:type="dxa"/>
            <w:vMerge/>
          </w:tcPr>
          <w:p w14:paraId="4D98A856" w14:textId="77777777" w:rsidR="00241417" w:rsidRDefault="00241417" w:rsidP="003A71DE"/>
        </w:tc>
        <w:tc>
          <w:tcPr>
            <w:tcW w:w="1267" w:type="dxa"/>
            <w:vMerge/>
            <w:vAlign w:val="center"/>
          </w:tcPr>
          <w:p w14:paraId="747ED7E3" w14:textId="77777777" w:rsidR="00241417" w:rsidRDefault="00241417" w:rsidP="003A71DE">
            <w:pPr>
              <w:pStyle w:val="TAC"/>
            </w:pPr>
          </w:p>
        </w:tc>
        <w:tc>
          <w:tcPr>
            <w:tcW w:w="1531" w:type="dxa"/>
            <w:vMerge/>
            <w:vAlign w:val="center"/>
          </w:tcPr>
          <w:p w14:paraId="412D07D7" w14:textId="77777777" w:rsidR="00241417" w:rsidRDefault="00241417" w:rsidP="003A71DE">
            <w:pPr>
              <w:pStyle w:val="TAC"/>
            </w:pPr>
          </w:p>
        </w:tc>
        <w:tc>
          <w:tcPr>
            <w:tcW w:w="1189" w:type="dxa"/>
            <w:vMerge/>
            <w:vAlign w:val="center"/>
          </w:tcPr>
          <w:p w14:paraId="77929DFE" w14:textId="77777777" w:rsidR="00241417" w:rsidRDefault="00241417" w:rsidP="003A71DE">
            <w:pPr>
              <w:pStyle w:val="TAC"/>
            </w:pPr>
          </w:p>
        </w:tc>
        <w:tc>
          <w:tcPr>
            <w:tcW w:w="1119" w:type="dxa"/>
            <w:gridSpan w:val="2"/>
            <w:vAlign w:val="center"/>
          </w:tcPr>
          <w:p w14:paraId="4EC3FFC6" w14:textId="77777777" w:rsidR="00241417" w:rsidRDefault="00241417" w:rsidP="003A71DE">
            <w:pPr>
              <w:pStyle w:val="TAC"/>
            </w:pPr>
            <w:r w:rsidRPr="00BD6443">
              <w:t>No</w:t>
            </w:r>
          </w:p>
        </w:tc>
        <w:tc>
          <w:tcPr>
            <w:tcW w:w="1119" w:type="dxa"/>
            <w:vAlign w:val="center"/>
          </w:tcPr>
          <w:p w14:paraId="50383B5A" w14:textId="77777777" w:rsidR="00241417" w:rsidRDefault="00241417" w:rsidP="003A71DE">
            <w:pPr>
              <w:pStyle w:val="TAC"/>
            </w:pPr>
            <w:r w:rsidRPr="00BD6443">
              <w:t>13.4</w:t>
            </w:r>
          </w:p>
        </w:tc>
      </w:tr>
      <w:tr w:rsidR="00241417" w14:paraId="1FE44AC5" w14:textId="77777777" w:rsidTr="003A71DE">
        <w:trPr>
          <w:trHeight w:val="146"/>
          <w:jc w:val="center"/>
        </w:trPr>
        <w:tc>
          <w:tcPr>
            <w:tcW w:w="1177" w:type="dxa"/>
            <w:vMerge/>
          </w:tcPr>
          <w:p w14:paraId="6037956F" w14:textId="77777777" w:rsidR="00241417" w:rsidRDefault="00241417" w:rsidP="003A71DE"/>
        </w:tc>
        <w:tc>
          <w:tcPr>
            <w:tcW w:w="1396" w:type="dxa"/>
            <w:vMerge/>
          </w:tcPr>
          <w:p w14:paraId="4F6CA1BC" w14:textId="77777777" w:rsidR="00241417" w:rsidRDefault="00241417" w:rsidP="003A71DE"/>
        </w:tc>
        <w:tc>
          <w:tcPr>
            <w:tcW w:w="1267" w:type="dxa"/>
            <w:vMerge/>
            <w:vAlign w:val="center"/>
          </w:tcPr>
          <w:p w14:paraId="15857E0B" w14:textId="77777777" w:rsidR="00241417" w:rsidRDefault="00241417" w:rsidP="003A71DE">
            <w:pPr>
              <w:pStyle w:val="TAC"/>
            </w:pPr>
          </w:p>
        </w:tc>
        <w:tc>
          <w:tcPr>
            <w:tcW w:w="1531" w:type="dxa"/>
            <w:vMerge w:val="restart"/>
            <w:vAlign w:val="center"/>
          </w:tcPr>
          <w:p w14:paraId="3D41302E" w14:textId="77777777" w:rsidR="00241417" w:rsidRDefault="00241417" w:rsidP="003A71DE">
            <w:pPr>
              <w:pStyle w:val="TAC"/>
            </w:pPr>
            <w:r>
              <w:t>D-FR2-A.2.4-</w:t>
            </w:r>
            <w:r w:rsidRPr="00BD6443">
              <w:t>10</w:t>
            </w:r>
          </w:p>
        </w:tc>
        <w:tc>
          <w:tcPr>
            <w:tcW w:w="1189" w:type="dxa"/>
            <w:vMerge w:val="restart"/>
            <w:vAlign w:val="center"/>
          </w:tcPr>
          <w:p w14:paraId="08E239CB" w14:textId="77777777" w:rsidR="00241417" w:rsidRDefault="00241417" w:rsidP="003A71DE">
            <w:pPr>
              <w:pStyle w:val="TAC"/>
            </w:pPr>
            <w:r w:rsidRPr="00BD6443">
              <w:t>pos1</w:t>
            </w:r>
          </w:p>
        </w:tc>
        <w:tc>
          <w:tcPr>
            <w:tcW w:w="1119" w:type="dxa"/>
            <w:gridSpan w:val="2"/>
            <w:vAlign w:val="center"/>
          </w:tcPr>
          <w:p w14:paraId="69CFD57E" w14:textId="77777777" w:rsidR="00241417" w:rsidRDefault="00241417" w:rsidP="003A71DE">
            <w:pPr>
              <w:pStyle w:val="TAC"/>
            </w:pPr>
            <w:r w:rsidRPr="00BD6443">
              <w:t>Yes</w:t>
            </w:r>
          </w:p>
        </w:tc>
        <w:tc>
          <w:tcPr>
            <w:tcW w:w="1119" w:type="dxa"/>
            <w:vAlign w:val="center"/>
          </w:tcPr>
          <w:p w14:paraId="653E3E2E" w14:textId="77777777" w:rsidR="00241417" w:rsidRDefault="00241417" w:rsidP="003A71DE">
            <w:pPr>
              <w:pStyle w:val="TAC"/>
            </w:pPr>
            <w:r w:rsidRPr="00BD6443">
              <w:t>13.7</w:t>
            </w:r>
          </w:p>
        </w:tc>
      </w:tr>
      <w:tr w:rsidR="00241417" w14:paraId="6B2CFAB9" w14:textId="77777777" w:rsidTr="003A71DE">
        <w:trPr>
          <w:trHeight w:val="145"/>
          <w:jc w:val="center"/>
        </w:trPr>
        <w:tc>
          <w:tcPr>
            <w:tcW w:w="1177" w:type="dxa"/>
            <w:vMerge/>
          </w:tcPr>
          <w:p w14:paraId="14153C2A" w14:textId="77777777" w:rsidR="00241417" w:rsidRDefault="00241417" w:rsidP="003A71DE"/>
        </w:tc>
        <w:tc>
          <w:tcPr>
            <w:tcW w:w="1396" w:type="dxa"/>
            <w:vMerge/>
          </w:tcPr>
          <w:p w14:paraId="0DB1CD82" w14:textId="77777777" w:rsidR="00241417" w:rsidRDefault="00241417" w:rsidP="003A71DE"/>
        </w:tc>
        <w:tc>
          <w:tcPr>
            <w:tcW w:w="1267" w:type="dxa"/>
            <w:vMerge/>
            <w:vAlign w:val="center"/>
          </w:tcPr>
          <w:p w14:paraId="7925BB2E" w14:textId="77777777" w:rsidR="00241417" w:rsidRDefault="00241417" w:rsidP="003A71DE">
            <w:pPr>
              <w:pStyle w:val="TAC"/>
            </w:pPr>
          </w:p>
        </w:tc>
        <w:tc>
          <w:tcPr>
            <w:tcW w:w="1531" w:type="dxa"/>
            <w:vMerge/>
            <w:vAlign w:val="center"/>
          </w:tcPr>
          <w:p w14:paraId="378AD470" w14:textId="77777777" w:rsidR="00241417" w:rsidRDefault="00241417" w:rsidP="003A71DE">
            <w:pPr>
              <w:pStyle w:val="TAC"/>
            </w:pPr>
          </w:p>
        </w:tc>
        <w:tc>
          <w:tcPr>
            <w:tcW w:w="1189" w:type="dxa"/>
            <w:vMerge/>
            <w:vAlign w:val="center"/>
          </w:tcPr>
          <w:p w14:paraId="6404A8EC" w14:textId="77777777" w:rsidR="00241417" w:rsidRDefault="00241417" w:rsidP="003A71DE">
            <w:pPr>
              <w:pStyle w:val="TAC"/>
            </w:pPr>
          </w:p>
        </w:tc>
        <w:tc>
          <w:tcPr>
            <w:tcW w:w="1119" w:type="dxa"/>
            <w:gridSpan w:val="2"/>
            <w:vAlign w:val="center"/>
          </w:tcPr>
          <w:p w14:paraId="21D15694" w14:textId="77777777" w:rsidR="00241417" w:rsidRDefault="00241417" w:rsidP="003A71DE">
            <w:pPr>
              <w:pStyle w:val="TAC"/>
            </w:pPr>
            <w:r w:rsidRPr="00BD6443">
              <w:t>No</w:t>
            </w:r>
          </w:p>
        </w:tc>
        <w:tc>
          <w:tcPr>
            <w:tcW w:w="1119" w:type="dxa"/>
            <w:vAlign w:val="center"/>
          </w:tcPr>
          <w:p w14:paraId="76F3345E" w14:textId="77777777" w:rsidR="00241417" w:rsidRDefault="00241417" w:rsidP="003A71DE">
            <w:pPr>
              <w:pStyle w:val="TAC"/>
            </w:pPr>
            <w:r w:rsidRPr="00BD6443">
              <w:t>13.3</w:t>
            </w:r>
          </w:p>
        </w:tc>
      </w:tr>
      <w:tr w:rsidR="00241417" w14:paraId="2CBF642C" w14:textId="77777777" w:rsidTr="003A71DE">
        <w:trPr>
          <w:jc w:val="center"/>
        </w:trPr>
        <w:tc>
          <w:tcPr>
            <w:tcW w:w="1177" w:type="dxa"/>
            <w:vMerge w:val="restart"/>
            <w:vAlign w:val="center"/>
          </w:tcPr>
          <w:p w14:paraId="379B7FB9" w14:textId="77777777" w:rsidR="00241417" w:rsidRDefault="00241417" w:rsidP="003A71DE">
            <w:pPr>
              <w:pStyle w:val="TAC"/>
            </w:pPr>
            <w:r>
              <w:t>2</w:t>
            </w:r>
          </w:p>
        </w:tc>
        <w:tc>
          <w:tcPr>
            <w:tcW w:w="1396" w:type="dxa"/>
            <w:vMerge/>
          </w:tcPr>
          <w:p w14:paraId="637FA110" w14:textId="77777777" w:rsidR="00241417" w:rsidRDefault="00241417" w:rsidP="003A71DE"/>
        </w:tc>
        <w:tc>
          <w:tcPr>
            <w:tcW w:w="1267" w:type="dxa"/>
            <w:vMerge w:val="restart"/>
            <w:vAlign w:val="center"/>
          </w:tcPr>
          <w:p w14:paraId="3252E03E" w14:textId="77777777" w:rsidR="00241417" w:rsidRDefault="00241417" w:rsidP="003A71DE">
            <w:pPr>
              <w:pStyle w:val="TAC"/>
            </w:pPr>
            <w:r w:rsidRPr="009A074B">
              <w:t>TDLA30-300 Low</w:t>
            </w:r>
          </w:p>
        </w:tc>
        <w:tc>
          <w:tcPr>
            <w:tcW w:w="1531" w:type="dxa"/>
            <w:vAlign w:val="center"/>
          </w:tcPr>
          <w:p w14:paraId="307186E9" w14:textId="77777777" w:rsidR="00241417" w:rsidRDefault="00241417" w:rsidP="003A71DE">
            <w:pPr>
              <w:pStyle w:val="TAC"/>
            </w:pPr>
            <w:r>
              <w:t>D-FR2-A.2.1-</w:t>
            </w:r>
            <w:r w:rsidRPr="00BD6443">
              <w:t>10</w:t>
            </w:r>
          </w:p>
        </w:tc>
        <w:tc>
          <w:tcPr>
            <w:tcW w:w="1189" w:type="dxa"/>
            <w:vAlign w:val="center"/>
          </w:tcPr>
          <w:p w14:paraId="0E517110" w14:textId="77777777" w:rsidR="00241417" w:rsidRDefault="00241417" w:rsidP="003A71DE">
            <w:pPr>
              <w:pStyle w:val="TAC"/>
            </w:pPr>
            <w:r w:rsidRPr="00BD6443">
              <w:t>pos0</w:t>
            </w:r>
          </w:p>
        </w:tc>
        <w:tc>
          <w:tcPr>
            <w:tcW w:w="1113" w:type="dxa"/>
            <w:vAlign w:val="center"/>
          </w:tcPr>
          <w:p w14:paraId="656B332D" w14:textId="77777777" w:rsidR="00241417" w:rsidRDefault="00241417" w:rsidP="003A71DE">
            <w:pPr>
              <w:pStyle w:val="TAC"/>
            </w:pPr>
            <w:r w:rsidRPr="00BD6443">
              <w:t>No</w:t>
            </w:r>
          </w:p>
        </w:tc>
        <w:tc>
          <w:tcPr>
            <w:tcW w:w="1125" w:type="dxa"/>
            <w:gridSpan w:val="2"/>
            <w:vAlign w:val="center"/>
          </w:tcPr>
          <w:p w14:paraId="5C97204F" w14:textId="77777777" w:rsidR="00241417" w:rsidRDefault="00241417" w:rsidP="003A71DE">
            <w:pPr>
              <w:pStyle w:val="TAC"/>
            </w:pPr>
            <w:r w:rsidRPr="00BD6443">
              <w:t>1.4</w:t>
            </w:r>
          </w:p>
        </w:tc>
      </w:tr>
      <w:tr w:rsidR="00241417" w14:paraId="235E0A3F" w14:textId="77777777" w:rsidTr="003A71DE">
        <w:trPr>
          <w:jc w:val="center"/>
        </w:trPr>
        <w:tc>
          <w:tcPr>
            <w:tcW w:w="1177" w:type="dxa"/>
            <w:vMerge/>
          </w:tcPr>
          <w:p w14:paraId="4572ADEC" w14:textId="77777777" w:rsidR="00241417" w:rsidRDefault="00241417" w:rsidP="003A71DE"/>
        </w:tc>
        <w:tc>
          <w:tcPr>
            <w:tcW w:w="1396" w:type="dxa"/>
            <w:vMerge/>
          </w:tcPr>
          <w:p w14:paraId="5B870A94" w14:textId="77777777" w:rsidR="00241417" w:rsidRDefault="00241417" w:rsidP="003A71DE"/>
        </w:tc>
        <w:tc>
          <w:tcPr>
            <w:tcW w:w="1267" w:type="dxa"/>
            <w:vMerge/>
          </w:tcPr>
          <w:p w14:paraId="66ADB36B" w14:textId="77777777" w:rsidR="00241417" w:rsidRDefault="00241417" w:rsidP="003A71DE"/>
        </w:tc>
        <w:tc>
          <w:tcPr>
            <w:tcW w:w="1531" w:type="dxa"/>
            <w:vAlign w:val="center"/>
          </w:tcPr>
          <w:p w14:paraId="30C9000A" w14:textId="77777777" w:rsidR="00241417" w:rsidRDefault="00241417" w:rsidP="003A71DE">
            <w:pPr>
              <w:pStyle w:val="TAC"/>
            </w:pPr>
            <w:r>
              <w:t>D-FR2-A.2.1-</w:t>
            </w:r>
            <w:r w:rsidRPr="00BD6443">
              <w:t>22</w:t>
            </w:r>
          </w:p>
        </w:tc>
        <w:tc>
          <w:tcPr>
            <w:tcW w:w="1189" w:type="dxa"/>
            <w:vAlign w:val="center"/>
          </w:tcPr>
          <w:p w14:paraId="2A135640" w14:textId="77777777" w:rsidR="00241417" w:rsidRDefault="00241417" w:rsidP="003A71DE">
            <w:pPr>
              <w:pStyle w:val="TAC"/>
            </w:pPr>
            <w:r w:rsidRPr="00BD6443">
              <w:t>pos1</w:t>
            </w:r>
          </w:p>
        </w:tc>
        <w:tc>
          <w:tcPr>
            <w:tcW w:w="1113" w:type="dxa"/>
            <w:vAlign w:val="center"/>
          </w:tcPr>
          <w:p w14:paraId="42E0AE31" w14:textId="77777777" w:rsidR="00241417" w:rsidRDefault="00241417" w:rsidP="003A71DE">
            <w:pPr>
              <w:pStyle w:val="TAC"/>
            </w:pPr>
            <w:r w:rsidRPr="00BD6443">
              <w:t>No</w:t>
            </w:r>
          </w:p>
        </w:tc>
        <w:tc>
          <w:tcPr>
            <w:tcW w:w="1125" w:type="dxa"/>
            <w:gridSpan w:val="2"/>
            <w:vAlign w:val="center"/>
          </w:tcPr>
          <w:p w14:paraId="40875894" w14:textId="77777777" w:rsidR="00241417" w:rsidRDefault="00241417" w:rsidP="003A71DE">
            <w:pPr>
              <w:pStyle w:val="TAC"/>
            </w:pPr>
            <w:r w:rsidRPr="00BD6443">
              <w:t>1.1</w:t>
            </w:r>
          </w:p>
        </w:tc>
      </w:tr>
      <w:tr w:rsidR="00241417" w14:paraId="213DC433" w14:textId="77777777" w:rsidTr="003A71DE">
        <w:trPr>
          <w:trHeight w:val="146"/>
          <w:jc w:val="center"/>
        </w:trPr>
        <w:tc>
          <w:tcPr>
            <w:tcW w:w="1177" w:type="dxa"/>
            <w:vMerge/>
          </w:tcPr>
          <w:p w14:paraId="69BBDC9D" w14:textId="77777777" w:rsidR="00241417" w:rsidRDefault="00241417" w:rsidP="003A71DE"/>
        </w:tc>
        <w:tc>
          <w:tcPr>
            <w:tcW w:w="1396" w:type="dxa"/>
            <w:vMerge/>
          </w:tcPr>
          <w:p w14:paraId="670B690C" w14:textId="77777777" w:rsidR="00241417" w:rsidRDefault="00241417" w:rsidP="003A71DE"/>
        </w:tc>
        <w:tc>
          <w:tcPr>
            <w:tcW w:w="1267" w:type="dxa"/>
            <w:vMerge/>
          </w:tcPr>
          <w:p w14:paraId="3BC9CE6C" w14:textId="77777777" w:rsidR="00241417" w:rsidRDefault="00241417" w:rsidP="003A71DE"/>
        </w:tc>
        <w:tc>
          <w:tcPr>
            <w:tcW w:w="1531" w:type="dxa"/>
            <w:vMerge w:val="restart"/>
            <w:vAlign w:val="center"/>
          </w:tcPr>
          <w:p w14:paraId="4800CFA3" w14:textId="77777777" w:rsidR="00241417" w:rsidRDefault="00241417" w:rsidP="003A71DE">
            <w:pPr>
              <w:pStyle w:val="TAC"/>
            </w:pPr>
            <w:r>
              <w:t>D-FR2-A.2.2-</w:t>
            </w:r>
            <w:r w:rsidRPr="00BD6443">
              <w:t>5</w:t>
            </w:r>
          </w:p>
        </w:tc>
        <w:tc>
          <w:tcPr>
            <w:tcW w:w="1189" w:type="dxa"/>
            <w:vMerge w:val="restart"/>
            <w:vAlign w:val="center"/>
          </w:tcPr>
          <w:p w14:paraId="622A8837" w14:textId="77777777" w:rsidR="00241417" w:rsidRDefault="00241417" w:rsidP="003A71DE">
            <w:pPr>
              <w:pStyle w:val="TAC"/>
            </w:pPr>
            <w:r w:rsidRPr="00BD6443">
              <w:t>pos0</w:t>
            </w:r>
          </w:p>
        </w:tc>
        <w:tc>
          <w:tcPr>
            <w:tcW w:w="1119" w:type="dxa"/>
            <w:gridSpan w:val="2"/>
            <w:vAlign w:val="center"/>
          </w:tcPr>
          <w:p w14:paraId="14B88451" w14:textId="77777777" w:rsidR="00241417" w:rsidRDefault="00241417" w:rsidP="003A71DE">
            <w:pPr>
              <w:pStyle w:val="TAC"/>
            </w:pPr>
            <w:r w:rsidRPr="00BD6443">
              <w:t>Yes</w:t>
            </w:r>
          </w:p>
        </w:tc>
        <w:tc>
          <w:tcPr>
            <w:tcW w:w="1119" w:type="dxa"/>
            <w:vAlign w:val="center"/>
          </w:tcPr>
          <w:p w14:paraId="05B8E535" w14:textId="77777777" w:rsidR="00241417" w:rsidRPr="002921FA" w:rsidRDefault="00241417" w:rsidP="003A71DE">
            <w:pPr>
              <w:pStyle w:val="TAC"/>
              <w:rPr>
                <w:highlight w:val="yellow"/>
              </w:rPr>
            </w:pPr>
            <w:r w:rsidRPr="00BD6443">
              <w:t>14.0</w:t>
            </w:r>
          </w:p>
        </w:tc>
      </w:tr>
      <w:tr w:rsidR="00241417" w14:paraId="305CEA57" w14:textId="77777777" w:rsidTr="003A71DE">
        <w:trPr>
          <w:trHeight w:val="145"/>
          <w:jc w:val="center"/>
        </w:trPr>
        <w:tc>
          <w:tcPr>
            <w:tcW w:w="1177" w:type="dxa"/>
            <w:vMerge/>
          </w:tcPr>
          <w:p w14:paraId="599C96DE" w14:textId="77777777" w:rsidR="00241417" w:rsidRDefault="00241417" w:rsidP="003A71DE"/>
        </w:tc>
        <w:tc>
          <w:tcPr>
            <w:tcW w:w="1396" w:type="dxa"/>
            <w:vMerge/>
          </w:tcPr>
          <w:p w14:paraId="6754A148" w14:textId="77777777" w:rsidR="00241417" w:rsidRDefault="00241417" w:rsidP="003A71DE"/>
        </w:tc>
        <w:tc>
          <w:tcPr>
            <w:tcW w:w="1267" w:type="dxa"/>
            <w:vMerge/>
          </w:tcPr>
          <w:p w14:paraId="34BC30CE" w14:textId="77777777" w:rsidR="00241417" w:rsidRDefault="00241417" w:rsidP="003A71DE"/>
        </w:tc>
        <w:tc>
          <w:tcPr>
            <w:tcW w:w="1531" w:type="dxa"/>
            <w:vMerge/>
            <w:vAlign w:val="center"/>
          </w:tcPr>
          <w:p w14:paraId="32A92D06" w14:textId="77777777" w:rsidR="00241417" w:rsidRDefault="00241417" w:rsidP="003A71DE">
            <w:pPr>
              <w:pStyle w:val="TAC"/>
            </w:pPr>
          </w:p>
        </w:tc>
        <w:tc>
          <w:tcPr>
            <w:tcW w:w="1189" w:type="dxa"/>
            <w:vMerge/>
            <w:vAlign w:val="center"/>
          </w:tcPr>
          <w:p w14:paraId="1F30FF05" w14:textId="77777777" w:rsidR="00241417" w:rsidRDefault="00241417" w:rsidP="003A71DE">
            <w:pPr>
              <w:pStyle w:val="TAC"/>
            </w:pPr>
          </w:p>
        </w:tc>
        <w:tc>
          <w:tcPr>
            <w:tcW w:w="1119" w:type="dxa"/>
            <w:gridSpan w:val="2"/>
            <w:vAlign w:val="center"/>
          </w:tcPr>
          <w:p w14:paraId="35B4335E" w14:textId="77777777" w:rsidR="00241417" w:rsidRDefault="00241417" w:rsidP="003A71DE">
            <w:pPr>
              <w:pStyle w:val="TAC"/>
            </w:pPr>
            <w:r w:rsidRPr="00BD6443">
              <w:t>No</w:t>
            </w:r>
          </w:p>
        </w:tc>
        <w:tc>
          <w:tcPr>
            <w:tcW w:w="1119" w:type="dxa"/>
            <w:vAlign w:val="center"/>
          </w:tcPr>
          <w:p w14:paraId="5D235ABD" w14:textId="77777777" w:rsidR="00241417" w:rsidRPr="002921FA" w:rsidRDefault="00241417" w:rsidP="003A71DE">
            <w:pPr>
              <w:pStyle w:val="TAC"/>
              <w:rPr>
                <w:highlight w:val="yellow"/>
              </w:rPr>
            </w:pPr>
            <w:r w:rsidRPr="00BD6443">
              <w:t>13.3</w:t>
            </w:r>
          </w:p>
        </w:tc>
      </w:tr>
      <w:tr w:rsidR="00241417" w14:paraId="670BA141" w14:textId="77777777" w:rsidTr="003A71DE">
        <w:trPr>
          <w:trHeight w:val="424"/>
          <w:jc w:val="center"/>
        </w:trPr>
        <w:tc>
          <w:tcPr>
            <w:tcW w:w="1177" w:type="dxa"/>
            <w:vMerge/>
          </w:tcPr>
          <w:p w14:paraId="7796D1BC" w14:textId="77777777" w:rsidR="00241417" w:rsidRDefault="00241417" w:rsidP="003A71DE"/>
        </w:tc>
        <w:tc>
          <w:tcPr>
            <w:tcW w:w="1396" w:type="dxa"/>
            <w:vMerge/>
          </w:tcPr>
          <w:p w14:paraId="6FF91A19" w14:textId="77777777" w:rsidR="00241417" w:rsidRDefault="00241417" w:rsidP="003A71DE"/>
        </w:tc>
        <w:tc>
          <w:tcPr>
            <w:tcW w:w="1267" w:type="dxa"/>
            <w:vMerge/>
          </w:tcPr>
          <w:p w14:paraId="426B1436" w14:textId="77777777" w:rsidR="00241417" w:rsidRDefault="00241417" w:rsidP="003A71DE"/>
        </w:tc>
        <w:tc>
          <w:tcPr>
            <w:tcW w:w="1531" w:type="dxa"/>
            <w:vAlign w:val="center"/>
          </w:tcPr>
          <w:p w14:paraId="20F34172" w14:textId="77777777" w:rsidR="00241417" w:rsidRDefault="00241417" w:rsidP="003A71DE">
            <w:pPr>
              <w:pStyle w:val="TAC"/>
            </w:pPr>
            <w:r>
              <w:t>D-FR2-A.2.2-</w:t>
            </w:r>
            <w:r w:rsidRPr="00BD6443">
              <w:t>10</w:t>
            </w:r>
          </w:p>
        </w:tc>
        <w:tc>
          <w:tcPr>
            <w:tcW w:w="1189" w:type="dxa"/>
            <w:vAlign w:val="center"/>
          </w:tcPr>
          <w:p w14:paraId="2F22867C" w14:textId="77777777" w:rsidR="00241417" w:rsidRDefault="00241417" w:rsidP="003A71DE">
            <w:pPr>
              <w:pStyle w:val="TAC"/>
            </w:pPr>
            <w:r w:rsidRPr="00BD6443">
              <w:t>pos1</w:t>
            </w:r>
          </w:p>
        </w:tc>
        <w:tc>
          <w:tcPr>
            <w:tcW w:w="1119" w:type="dxa"/>
            <w:gridSpan w:val="2"/>
            <w:vAlign w:val="center"/>
          </w:tcPr>
          <w:p w14:paraId="5A8E153E" w14:textId="77777777" w:rsidR="00241417" w:rsidRDefault="00241417" w:rsidP="003A71DE">
            <w:pPr>
              <w:pStyle w:val="TAC"/>
            </w:pPr>
            <w:r w:rsidRPr="00BD6443">
              <w:t>Yes</w:t>
            </w:r>
          </w:p>
        </w:tc>
        <w:tc>
          <w:tcPr>
            <w:tcW w:w="1119" w:type="dxa"/>
            <w:vAlign w:val="center"/>
          </w:tcPr>
          <w:p w14:paraId="17D1CF55" w14:textId="77777777" w:rsidR="00241417" w:rsidRPr="002921FA" w:rsidRDefault="00241417" w:rsidP="003A71DE">
            <w:pPr>
              <w:pStyle w:val="TAC"/>
              <w:rPr>
                <w:highlight w:val="yellow"/>
              </w:rPr>
            </w:pPr>
            <w:r w:rsidRPr="00BD6443">
              <w:t>13.6</w:t>
            </w:r>
          </w:p>
        </w:tc>
      </w:tr>
    </w:tbl>
    <w:p w14:paraId="44362F5A" w14:textId="77777777" w:rsidR="00241417" w:rsidRDefault="00241417" w:rsidP="00241417"/>
    <w:p w14:paraId="6DC36962" w14:textId="77777777" w:rsidR="00241417" w:rsidRDefault="00241417" w:rsidP="00241417">
      <w:pPr>
        <w:pStyle w:val="Heading5"/>
        <w:rPr>
          <w:lang w:eastAsia="zh-CN"/>
        </w:rPr>
      </w:pPr>
      <w:bookmarkStart w:id="7306" w:name="_Toc67916533"/>
      <w:bookmarkStart w:id="7307" w:name="_Toc61176710"/>
      <w:bookmarkStart w:id="7308" w:name="_Toc53178076"/>
      <w:bookmarkStart w:id="7309" w:name="_Toc53177624"/>
      <w:bookmarkStart w:id="7310" w:name="_Toc45893460"/>
      <w:bookmarkStart w:id="7311" w:name="_Toc37268809"/>
      <w:bookmarkStart w:id="7312" w:name="_Toc37268358"/>
      <w:bookmarkStart w:id="7313" w:name="_Toc29811854"/>
      <w:bookmarkStart w:id="7314" w:name="_Toc29811403"/>
      <w:bookmarkStart w:id="7315" w:name="_Toc13079914"/>
      <w:bookmarkStart w:id="7316" w:name="_Toc74583470"/>
      <w:bookmarkStart w:id="7317" w:name="_Toc76542283"/>
      <w:bookmarkStart w:id="7318" w:name="_Toc82450265"/>
      <w:bookmarkStart w:id="7319" w:name="_Toc82450913"/>
      <w:bookmarkStart w:id="7320" w:name="_Toc89949302"/>
      <w:bookmarkStart w:id="7321" w:name="_Toc98755691"/>
      <w:bookmarkStart w:id="7322" w:name="_Toc98763283"/>
      <w:bookmarkStart w:id="7323" w:name="_Toc106184212"/>
      <w:r>
        <w:rPr>
          <w:lang w:eastAsia="ko-KR"/>
        </w:rPr>
        <w:t>11.1.2.</w:t>
      </w:r>
      <w:r>
        <w:rPr>
          <w:lang w:eastAsia="zh-CN"/>
        </w:rPr>
        <w:t>2</w:t>
      </w:r>
      <w:r>
        <w:rPr>
          <w:lang w:eastAsia="ko-KR"/>
        </w:rPr>
        <w:t>.</w:t>
      </w:r>
      <w:r>
        <w:rPr>
          <w:lang w:eastAsia="zh-CN"/>
        </w:rPr>
        <w:t>2</w:t>
      </w:r>
      <w:r>
        <w:rPr>
          <w:lang w:eastAsia="ko-KR"/>
        </w:rPr>
        <w:tab/>
      </w:r>
      <w:bookmarkEnd w:id="7306"/>
      <w:bookmarkEnd w:id="7307"/>
      <w:bookmarkEnd w:id="7308"/>
      <w:bookmarkEnd w:id="7309"/>
      <w:bookmarkEnd w:id="7310"/>
      <w:bookmarkEnd w:id="7311"/>
      <w:bookmarkEnd w:id="7312"/>
      <w:bookmarkEnd w:id="7313"/>
      <w:bookmarkEnd w:id="7314"/>
      <w:bookmarkEnd w:id="7315"/>
      <w:r w:rsidRPr="00BD6443">
        <w:rPr>
          <w:lang w:eastAsia="ko-KR"/>
        </w:rPr>
        <w:t>Performance requirmements for PUSCH with transform precoding enabled</w:t>
      </w:r>
      <w:bookmarkEnd w:id="7316"/>
      <w:bookmarkEnd w:id="7317"/>
      <w:bookmarkEnd w:id="7318"/>
      <w:bookmarkEnd w:id="7319"/>
      <w:bookmarkEnd w:id="7320"/>
      <w:bookmarkEnd w:id="7321"/>
      <w:bookmarkEnd w:id="7322"/>
      <w:bookmarkEnd w:id="7323"/>
    </w:p>
    <w:p w14:paraId="7CAEBEB2" w14:textId="77777777" w:rsidR="00241417" w:rsidRDefault="00241417" w:rsidP="00241417">
      <w:pPr>
        <w:pStyle w:val="H6"/>
      </w:pPr>
      <w:bookmarkStart w:id="7324" w:name="_Toc67916534"/>
      <w:bookmarkStart w:id="7325" w:name="_Toc61176711"/>
      <w:bookmarkStart w:id="7326" w:name="_Toc53178077"/>
      <w:bookmarkStart w:id="7327" w:name="_Toc53177625"/>
      <w:bookmarkStart w:id="7328" w:name="_Toc45893461"/>
      <w:bookmarkStart w:id="7329" w:name="_Toc37268810"/>
      <w:bookmarkStart w:id="7330" w:name="_Toc37268359"/>
      <w:bookmarkStart w:id="7331" w:name="_Toc29811855"/>
      <w:bookmarkStart w:id="7332" w:name="_Toc29811404"/>
      <w:bookmarkStart w:id="7333" w:name="_Toc13079915"/>
      <w:r>
        <w:rPr>
          <w:lang w:eastAsia="ko-KR"/>
        </w:rPr>
        <w:t>11.1.2.</w:t>
      </w:r>
      <w:r>
        <w:rPr>
          <w:lang w:eastAsia="zh-CN"/>
        </w:rPr>
        <w:t>2</w:t>
      </w:r>
      <w:r>
        <w:rPr>
          <w:lang w:eastAsia="ko-KR"/>
        </w:rPr>
        <w:t>.</w:t>
      </w:r>
      <w:r>
        <w:rPr>
          <w:lang w:eastAsia="zh-CN"/>
        </w:rPr>
        <w:t>2</w:t>
      </w:r>
      <w:r>
        <w:t>.1</w:t>
      </w:r>
      <w:r>
        <w:tab/>
        <w:t>General</w:t>
      </w:r>
      <w:bookmarkEnd w:id="7324"/>
      <w:bookmarkEnd w:id="7325"/>
      <w:bookmarkEnd w:id="7326"/>
      <w:bookmarkEnd w:id="7327"/>
      <w:bookmarkEnd w:id="7328"/>
      <w:bookmarkEnd w:id="7329"/>
      <w:bookmarkEnd w:id="7330"/>
      <w:bookmarkEnd w:id="7331"/>
      <w:bookmarkEnd w:id="7332"/>
      <w:bookmarkEnd w:id="7333"/>
    </w:p>
    <w:p w14:paraId="56D6BAA8" w14:textId="77777777" w:rsidR="00241417" w:rsidRDefault="00241417" w:rsidP="00241417">
      <w:r>
        <w:t xml:space="preserve">The performance requirement of PUSCH is determined by a minimum required throughput for a given SNR. The required throughput is expressed as a fraction of </w:t>
      </w:r>
      <w:r w:rsidRPr="00D15CD6">
        <w:t>the</w:t>
      </w:r>
      <w:r>
        <w:t xml:space="preserve"> maximum throughput for the FRCs listed in Annex A. The performance requirements assume HARQ retransmissions.</w:t>
      </w:r>
    </w:p>
    <w:p w14:paraId="06C3B2F3" w14:textId="248BDCA9" w:rsidR="00241417" w:rsidRPr="00BD6443" w:rsidRDefault="00241417" w:rsidP="00241417">
      <w:pPr>
        <w:pStyle w:val="TH"/>
      </w:pPr>
      <w:r w:rsidRPr="00BD6443">
        <w:lastRenderedPageBreak/>
        <w:t>Table 11.</w:t>
      </w:r>
      <w:r>
        <w:t>1.</w:t>
      </w:r>
      <w:r w:rsidRPr="00BD6443">
        <w:t>2.2.2.1-1: Test parameters for PUSCH testing</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724"/>
        <w:gridCol w:w="3105"/>
        <w:gridCol w:w="3802"/>
      </w:tblGrid>
      <w:tr w:rsidR="00241417" w:rsidRPr="00BD6443" w14:paraId="36F77685" w14:textId="77777777" w:rsidTr="003A71DE">
        <w:trPr>
          <w:jc w:val="center"/>
        </w:trPr>
        <w:tc>
          <w:tcPr>
            <w:tcW w:w="0" w:type="auto"/>
            <w:gridSpan w:val="2"/>
            <w:tcBorders>
              <w:top w:val="single" w:sz="4" w:space="0" w:color="auto"/>
              <w:left w:val="single" w:sz="4" w:space="0" w:color="auto"/>
              <w:bottom w:val="single" w:sz="6" w:space="0" w:color="auto"/>
              <w:right w:val="single" w:sz="6" w:space="0" w:color="auto"/>
            </w:tcBorders>
            <w:vAlign w:val="center"/>
            <w:hideMark/>
          </w:tcPr>
          <w:p w14:paraId="1CB4C7AE" w14:textId="77777777" w:rsidR="00241417" w:rsidRPr="00BD6443" w:rsidRDefault="00241417" w:rsidP="003A71DE">
            <w:pPr>
              <w:pStyle w:val="TAH"/>
            </w:pPr>
            <w:r w:rsidRPr="00BD6443">
              <w:t>Parameter</w:t>
            </w:r>
          </w:p>
        </w:tc>
        <w:tc>
          <w:tcPr>
            <w:tcW w:w="0" w:type="auto"/>
            <w:tcBorders>
              <w:top w:val="single" w:sz="4" w:space="0" w:color="auto"/>
              <w:left w:val="single" w:sz="6" w:space="0" w:color="auto"/>
              <w:bottom w:val="single" w:sz="6" w:space="0" w:color="auto"/>
              <w:right w:val="single" w:sz="4" w:space="0" w:color="auto"/>
            </w:tcBorders>
            <w:vAlign w:val="center"/>
            <w:hideMark/>
          </w:tcPr>
          <w:p w14:paraId="5E5D28EA" w14:textId="77777777" w:rsidR="00241417" w:rsidRPr="00BD6443" w:rsidRDefault="00241417" w:rsidP="003A71DE">
            <w:pPr>
              <w:pStyle w:val="TAH"/>
            </w:pPr>
            <w:r w:rsidRPr="00BD6443">
              <w:t>Value</w:t>
            </w:r>
          </w:p>
        </w:tc>
      </w:tr>
      <w:tr w:rsidR="00241417" w14:paraId="31325BC6"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4E8A9A2B" w14:textId="77777777" w:rsidR="00241417" w:rsidRDefault="00241417" w:rsidP="003A71DE">
            <w:pPr>
              <w:pStyle w:val="TAL"/>
            </w:pPr>
            <w:r>
              <w:t>Transform precoding</w:t>
            </w:r>
          </w:p>
        </w:tc>
        <w:tc>
          <w:tcPr>
            <w:tcW w:w="0" w:type="auto"/>
            <w:tcBorders>
              <w:top w:val="single" w:sz="6" w:space="0" w:color="auto"/>
              <w:left w:val="single" w:sz="6" w:space="0" w:color="auto"/>
              <w:bottom w:val="single" w:sz="6" w:space="0" w:color="auto"/>
              <w:right w:val="single" w:sz="4" w:space="0" w:color="auto"/>
            </w:tcBorders>
            <w:vAlign w:val="center"/>
            <w:hideMark/>
          </w:tcPr>
          <w:p w14:paraId="364932E5" w14:textId="77777777" w:rsidR="00241417" w:rsidRDefault="00241417" w:rsidP="003A71DE">
            <w:pPr>
              <w:pStyle w:val="TAC"/>
              <w:rPr>
                <w:lang w:eastAsia="zh-CN"/>
              </w:rPr>
            </w:pPr>
            <w:r>
              <w:rPr>
                <w:lang w:eastAsia="zh-CN"/>
              </w:rPr>
              <w:t>Enabled</w:t>
            </w:r>
          </w:p>
        </w:tc>
      </w:tr>
      <w:tr w:rsidR="00241417" w14:paraId="44308962"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73F799F0" w14:textId="77777777" w:rsidR="00241417" w:rsidRDefault="00241417" w:rsidP="003A71DE">
            <w:pPr>
              <w:pStyle w:val="TAL"/>
            </w:pPr>
            <w:r>
              <w:rPr>
                <w:rFonts w:eastAsia="DengXian"/>
                <w:lang w:eastAsia="zh-CN"/>
              </w:rPr>
              <w:t>Default TDD UL-DL pattern (Note 1)</w:t>
            </w:r>
          </w:p>
        </w:tc>
        <w:tc>
          <w:tcPr>
            <w:tcW w:w="0" w:type="auto"/>
            <w:tcBorders>
              <w:top w:val="single" w:sz="6" w:space="0" w:color="auto"/>
              <w:left w:val="single" w:sz="6" w:space="0" w:color="auto"/>
              <w:bottom w:val="single" w:sz="6" w:space="0" w:color="auto"/>
              <w:right w:val="single" w:sz="4" w:space="0" w:color="auto"/>
            </w:tcBorders>
            <w:vAlign w:val="center"/>
            <w:hideMark/>
          </w:tcPr>
          <w:p w14:paraId="7CD97250" w14:textId="77777777" w:rsidR="00241417" w:rsidRDefault="00241417" w:rsidP="003A71DE">
            <w:pPr>
              <w:pStyle w:val="TAC"/>
              <w:rPr>
                <w:rFonts w:eastAsia="Malgun Gothic" w:cs="Arial"/>
              </w:rPr>
            </w:pPr>
            <w:r>
              <w:rPr>
                <w:rFonts w:eastAsia="Malgun Gothic" w:cs="Arial"/>
              </w:rPr>
              <w:t>60 kHz and 120kHz SCS:</w:t>
            </w:r>
          </w:p>
          <w:p w14:paraId="3D035715" w14:textId="77777777" w:rsidR="00241417" w:rsidRDefault="00241417" w:rsidP="003A71DE">
            <w:pPr>
              <w:pStyle w:val="TAC"/>
            </w:pPr>
            <w:r>
              <w:rPr>
                <w:rFonts w:eastAsia="Malgun Gothic" w:cs="Arial"/>
              </w:rPr>
              <w:t>3D1S1U, S=10D:2G:2U</w:t>
            </w:r>
          </w:p>
        </w:tc>
      </w:tr>
      <w:tr w:rsidR="00241417" w14:paraId="24BE91B7"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tcPr>
          <w:p w14:paraId="15135CC1" w14:textId="77777777" w:rsidR="00241417" w:rsidRDefault="00241417" w:rsidP="003A71DE">
            <w:pPr>
              <w:pStyle w:val="TAL"/>
              <w:rPr>
                <w:rFonts w:eastAsia="DengXian"/>
                <w:lang w:eastAsia="zh-CN"/>
              </w:rPr>
            </w:pPr>
            <w:r>
              <w:rPr>
                <w:rFonts w:eastAsia="DengXian"/>
                <w:lang w:eastAsia="zh-CN"/>
              </w:rPr>
              <w:t>Cyclic prefix</w:t>
            </w:r>
          </w:p>
        </w:tc>
        <w:tc>
          <w:tcPr>
            <w:tcW w:w="0" w:type="auto"/>
            <w:tcBorders>
              <w:top w:val="single" w:sz="6" w:space="0" w:color="auto"/>
              <w:left w:val="single" w:sz="6" w:space="0" w:color="auto"/>
              <w:bottom w:val="single" w:sz="6" w:space="0" w:color="auto"/>
              <w:right w:val="single" w:sz="4" w:space="0" w:color="auto"/>
            </w:tcBorders>
            <w:vAlign w:val="center"/>
          </w:tcPr>
          <w:p w14:paraId="22DA1E06" w14:textId="77777777" w:rsidR="00241417" w:rsidRDefault="00241417" w:rsidP="003A71DE">
            <w:pPr>
              <w:pStyle w:val="TAC"/>
              <w:rPr>
                <w:rFonts w:eastAsia="Malgun Gothic" w:cs="Arial"/>
              </w:rPr>
            </w:pPr>
            <w:r>
              <w:rPr>
                <w:rFonts w:eastAsia="Malgun Gothic" w:cs="Arial"/>
              </w:rPr>
              <w:t>Normal</w:t>
            </w:r>
          </w:p>
        </w:tc>
      </w:tr>
      <w:tr w:rsidR="00241417" w14:paraId="0BA1DEC9"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3DE8E289" w14:textId="77777777" w:rsidR="00241417" w:rsidRDefault="00241417" w:rsidP="003A71DE">
            <w:pPr>
              <w:pStyle w:val="TAL"/>
            </w:pPr>
            <w:r>
              <w:t>HARQ</w:t>
            </w:r>
          </w:p>
        </w:tc>
        <w:tc>
          <w:tcPr>
            <w:tcW w:w="0" w:type="auto"/>
            <w:tcBorders>
              <w:top w:val="single" w:sz="6" w:space="0" w:color="auto"/>
              <w:left w:val="single" w:sz="6" w:space="0" w:color="auto"/>
              <w:bottom w:val="single" w:sz="6" w:space="0" w:color="auto"/>
              <w:right w:val="single" w:sz="6" w:space="0" w:color="auto"/>
            </w:tcBorders>
            <w:vAlign w:val="center"/>
            <w:hideMark/>
          </w:tcPr>
          <w:p w14:paraId="2A477F6E" w14:textId="77777777" w:rsidR="00241417" w:rsidRDefault="00241417" w:rsidP="003A71DE">
            <w:pPr>
              <w:pStyle w:val="TAL"/>
            </w:pPr>
            <w:r>
              <w:t>Maximum number of HARQ transmissions</w:t>
            </w:r>
          </w:p>
        </w:tc>
        <w:tc>
          <w:tcPr>
            <w:tcW w:w="0" w:type="auto"/>
            <w:tcBorders>
              <w:top w:val="single" w:sz="6" w:space="0" w:color="auto"/>
              <w:left w:val="single" w:sz="6" w:space="0" w:color="auto"/>
              <w:bottom w:val="single" w:sz="6" w:space="0" w:color="auto"/>
              <w:right w:val="single" w:sz="4" w:space="0" w:color="auto"/>
            </w:tcBorders>
            <w:vAlign w:val="center"/>
            <w:hideMark/>
          </w:tcPr>
          <w:p w14:paraId="13F07AC0" w14:textId="77777777" w:rsidR="00241417" w:rsidRDefault="00241417" w:rsidP="003A71DE">
            <w:pPr>
              <w:pStyle w:val="TAC"/>
            </w:pPr>
            <w:r>
              <w:t>4</w:t>
            </w:r>
          </w:p>
        </w:tc>
      </w:tr>
      <w:tr w:rsidR="00241417" w14:paraId="6E6B225B"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5BEC7FFD"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1AF6E4E1" w14:textId="77777777" w:rsidR="00241417" w:rsidRDefault="00241417" w:rsidP="003A71DE">
            <w:pPr>
              <w:pStyle w:val="TAL"/>
            </w:pPr>
            <w:r>
              <w:t>RV sequence</w:t>
            </w:r>
          </w:p>
        </w:tc>
        <w:tc>
          <w:tcPr>
            <w:tcW w:w="0" w:type="auto"/>
            <w:tcBorders>
              <w:top w:val="single" w:sz="6" w:space="0" w:color="auto"/>
              <w:left w:val="single" w:sz="6" w:space="0" w:color="auto"/>
              <w:bottom w:val="single" w:sz="6" w:space="0" w:color="auto"/>
              <w:right w:val="single" w:sz="4" w:space="0" w:color="auto"/>
            </w:tcBorders>
            <w:vAlign w:val="center"/>
            <w:hideMark/>
          </w:tcPr>
          <w:p w14:paraId="0CB748A9" w14:textId="77777777" w:rsidR="00241417" w:rsidRDefault="00241417" w:rsidP="003A71DE">
            <w:pPr>
              <w:pStyle w:val="TAC"/>
            </w:pPr>
            <w:r>
              <w:rPr>
                <w:lang w:val="fr-FR"/>
              </w:rPr>
              <w:t>0, 2, 3, 1</w:t>
            </w:r>
          </w:p>
        </w:tc>
      </w:tr>
      <w:tr w:rsidR="00241417" w14:paraId="346B3707"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1F11E849" w14:textId="77777777" w:rsidR="00241417" w:rsidRDefault="00241417" w:rsidP="003A71DE">
            <w:pPr>
              <w:pStyle w:val="TAL"/>
            </w:pPr>
            <w:r>
              <w:t>DM-RS</w:t>
            </w:r>
          </w:p>
        </w:tc>
        <w:tc>
          <w:tcPr>
            <w:tcW w:w="0" w:type="auto"/>
            <w:tcBorders>
              <w:top w:val="single" w:sz="6" w:space="0" w:color="auto"/>
              <w:left w:val="single" w:sz="6" w:space="0" w:color="auto"/>
              <w:bottom w:val="single" w:sz="6" w:space="0" w:color="auto"/>
              <w:right w:val="single" w:sz="6" w:space="0" w:color="auto"/>
            </w:tcBorders>
            <w:vAlign w:val="center"/>
            <w:hideMark/>
          </w:tcPr>
          <w:p w14:paraId="0D08E94D" w14:textId="77777777" w:rsidR="00241417" w:rsidRDefault="00241417" w:rsidP="003A71DE">
            <w:pPr>
              <w:pStyle w:val="TAL"/>
            </w:pPr>
            <w:r>
              <w:t>DM-RS configuration type</w:t>
            </w:r>
          </w:p>
        </w:tc>
        <w:tc>
          <w:tcPr>
            <w:tcW w:w="0" w:type="auto"/>
            <w:tcBorders>
              <w:top w:val="single" w:sz="6" w:space="0" w:color="auto"/>
              <w:left w:val="single" w:sz="6" w:space="0" w:color="auto"/>
              <w:bottom w:val="single" w:sz="6" w:space="0" w:color="auto"/>
              <w:right w:val="single" w:sz="4" w:space="0" w:color="auto"/>
            </w:tcBorders>
            <w:vAlign w:val="center"/>
            <w:hideMark/>
          </w:tcPr>
          <w:p w14:paraId="29EAEBF7" w14:textId="77777777" w:rsidR="00241417" w:rsidRDefault="00241417" w:rsidP="003A71DE">
            <w:pPr>
              <w:pStyle w:val="TAC"/>
            </w:pPr>
            <w:r>
              <w:t>1</w:t>
            </w:r>
          </w:p>
        </w:tc>
      </w:tr>
      <w:tr w:rsidR="00241417" w14:paraId="32013E97"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102AC849"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54524999" w14:textId="77777777" w:rsidR="00241417" w:rsidRDefault="00241417" w:rsidP="003A71DE">
            <w:pPr>
              <w:pStyle w:val="TAL"/>
            </w:pPr>
            <w:r>
              <w:t>DM-RS duration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73DE4B72" w14:textId="77777777" w:rsidR="00241417" w:rsidRDefault="00241417" w:rsidP="003A71DE">
            <w:pPr>
              <w:pStyle w:val="TAC"/>
            </w:pPr>
            <w:r>
              <w:t>single-symbol DM-RS</w:t>
            </w:r>
          </w:p>
        </w:tc>
      </w:tr>
      <w:tr w:rsidR="00241417" w14:paraId="15CAEF69"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74CAE92A"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275FE6F2" w14:textId="77777777" w:rsidR="00241417" w:rsidRDefault="00241417" w:rsidP="003A71DE">
            <w:pPr>
              <w:pStyle w:val="TAL"/>
            </w:pPr>
            <w:r>
              <w:rPr>
                <w:rFonts w:eastAsia="DengXian" w:cs="Arial"/>
                <w:szCs w:val="18"/>
                <w:lang w:eastAsia="zh-CN"/>
              </w:rPr>
              <w:t>A</w:t>
            </w:r>
            <w:r>
              <w:rPr>
                <w:rFonts w:cs="Arial"/>
                <w:szCs w:val="18"/>
              </w:rPr>
              <w:t>dditional DM-RS position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252BA0F7" w14:textId="77777777" w:rsidR="00241417" w:rsidRDefault="00241417" w:rsidP="003A71DE">
            <w:pPr>
              <w:pStyle w:val="TAC"/>
            </w:pPr>
            <w:r>
              <w:rPr>
                <w:rFonts w:cs="Arial"/>
              </w:rPr>
              <w:t>pos</w:t>
            </w:r>
            <w:r>
              <w:t xml:space="preserve">0, </w:t>
            </w:r>
            <w:r>
              <w:rPr>
                <w:rFonts w:cs="Arial"/>
              </w:rPr>
              <w:t>pos</w:t>
            </w:r>
            <w:r>
              <w:t>1</w:t>
            </w:r>
          </w:p>
        </w:tc>
      </w:tr>
      <w:tr w:rsidR="00241417" w14:paraId="5D94103A"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54F5428"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6F5C412B" w14:textId="77777777" w:rsidR="00241417" w:rsidRDefault="00241417" w:rsidP="003A71DE">
            <w:pPr>
              <w:pStyle w:val="TAL"/>
            </w:pPr>
            <w:r>
              <w:t>Number of DM-RS CDM group(s) without data</w:t>
            </w:r>
          </w:p>
        </w:tc>
        <w:tc>
          <w:tcPr>
            <w:tcW w:w="0" w:type="auto"/>
            <w:tcBorders>
              <w:top w:val="single" w:sz="6" w:space="0" w:color="auto"/>
              <w:left w:val="single" w:sz="6" w:space="0" w:color="auto"/>
              <w:bottom w:val="single" w:sz="6" w:space="0" w:color="auto"/>
              <w:right w:val="single" w:sz="4" w:space="0" w:color="auto"/>
            </w:tcBorders>
            <w:vAlign w:val="center"/>
            <w:hideMark/>
          </w:tcPr>
          <w:p w14:paraId="413D0921" w14:textId="77777777" w:rsidR="00241417" w:rsidRDefault="00241417" w:rsidP="003A71DE">
            <w:pPr>
              <w:pStyle w:val="TAC"/>
            </w:pPr>
            <w:r>
              <w:t>2</w:t>
            </w:r>
          </w:p>
        </w:tc>
      </w:tr>
      <w:tr w:rsidR="00241417" w14:paraId="48749CD3"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143F67BA"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5F7AF833" w14:textId="77777777" w:rsidR="00241417" w:rsidRDefault="00241417" w:rsidP="003A71DE">
            <w:pPr>
              <w:pStyle w:val="TAL"/>
            </w:pPr>
            <w:r>
              <w:t>Ratio of PUSCH EPRE to DM-RS EPRE</w:t>
            </w:r>
          </w:p>
        </w:tc>
        <w:tc>
          <w:tcPr>
            <w:tcW w:w="0" w:type="auto"/>
            <w:tcBorders>
              <w:top w:val="single" w:sz="6" w:space="0" w:color="auto"/>
              <w:left w:val="single" w:sz="6" w:space="0" w:color="auto"/>
              <w:bottom w:val="single" w:sz="6" w:space="0" w:color="auto"/>
              <w:right w:val="single" w:sz="4" w:space="0" w:color="auto"/>
            </w:tcBorders>
            <w:vAlign w:val="center"/>
            <w:hideMark/>
          </w:tcPr>
          <w:p w14:paraId="0B90AE1F" w14:textId="77777777" w:rsidR="00241417" w:rsidRDefault="00241417" w:rsidP="003A71DE">
            <w:pPr>
              <w:pStyle w:val="TAC"/>
              <w:rPr>
                <w:lang w:eastAsia="zh-CN"/>
              </w:rPr>
            </w:pPr>
            <w:r>
              <w:rPr>
                <w:lang w:eastAsia="zh-CN"/>
              </w:rPr>
              <w:t>-3 dB</w:t>
            </w:r>
          </w:p>
        </w:tc>
      </w:tr>
      <w:tr w:rsidR="00241417" w14:paraId="79290B5E"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3CB12205"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7272EBB6" w14:textId="77777777" w:rsidR="00241417" w:rsidRDefault="00241417" w:rsidP="003A71DE">
            <w:pPr>
              <w:pStyle w:val="TAL"/>
            </w:pPr>
            <w:r>
              <w:t>DM-RS port(s)</w:t>
            </w:r>
          </w:p>
        </w:tc>
        <w:tc>
          <w:tcPr>
            <w:tcW w:w="0" w:type="auto"/>
            <w:tcBorders>
              <w:top w:val="single" w:sz="6" w:space="0" w:color="auto"/>
              <w:left w:val="single" w:sz="6" w:space="0" w:color="auto"/>
              <w:bottom w:val="single" w:sz="6" w:space="0" w:color="auto"/>
              <w:right w:val="single" w:sz="4" w:space="0" w:color="auto"/>
            </w:tcBorders>
            <w:vAlign w:val="center"/>
            <w:hideMark/>
          </w:tcPr>
          <w:p w14:paraId="3DC99369" w14:textId="77777777" w:rsidR="00241417" w:rsidRDefault="00241417" w:rsidP="003A71DE">
            <w:pPr>
              <w:pStyle w:val="TAC"/>
            </w:pPr>
            <w:r>
              <w:t>0</w:t>
            </w:r>
          </w:p>
        </w:tc>
      </w:tr>
      <w:tr w:rsidR="00241417" w14:paraId="1B429710"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36A60864"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1A9CA5E5" w14:textId="77777777" w:rsidR="00241417" w:rsidRDefault="00241417" w:rsidP="003A71DE">
            <w:pPr>
              <w:pStyle w:val="TAL"/>
            </w:pPr>
            <w:r>
              <w:t>DM-RS sequence generation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0694F333" w14:textId="77777777" w:rsidR="00241417" w:rsidRDefault="00241417" w:rsidP="003A71DE">
            <w:pPr>
              <w:pStyle w:val="TAC"/>
            </w:pPr>
            <w:r>
              <w:t>N</w:t>
            </w:r>
            <w:r>
              <w:rPr>
                <w:vertAlign w:val="subscript"/>
              </w:rPr>
              <w:t>ID</w:t>
            </w:r>
            <w:r>
              <w:rPr>
                <w:rFonts w:cs="Arial"/>
                <w:vertAlign w:val="superscript"/>
              </w:rPr>
              <w:t>0</w:t>
            </w:r>
            <w:r>
              <w:t xml:space="preserve">=0, </w:t>
            </w:r>
            <w:r>
              <w:rPr>
                <w:rFonts w:eastAsia="Malgun Gothic" w:cs="Arial"/>
              </w:rPr>
              <w:t>group hopping and sequence hopping are disabled</w:t>
            </w:r>
          </w:p>
        </w:tc>
      </w:tr>
      <w:tr w:rsidR="00241417" w14:paraId="69B85866"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64AA08BE" w14:textId="77777777" w:rsidR="00241417" w:rsidRDefault="00241417" w:rsidP="003A71DE">
            <w:pPr>
              <w:pStyle w:val="TAL"/>
            </w:pPr>
            <w:r>
              <w:t>Time domain resource assignment</w:t>
            </w:r>
          </w:p>
        </w:tc>
        <w:tc>
          <w:tcPr>
            <w:tcW w:w="0" w:type="auto"/>
            <w:tcBorders>
              <w:top w:val="single" w:sz="6" w:space="0" w:color="auto"/>
              <w:left w:val="single" w:sz="6" w:space="0" w:color="auto"/>
              <w:bottom w:val="single" w:sz="6" w:space="0" w:color="auto"/>
              <w:right w:val="single" w:sz="6" w:space="0" w:color="auto"/>
            </w:tcBorders>
            <w:vAlign w:val="center"/>
            <w:hideMark/>
          </w:tcPr>
          <w:p w14:paraId="6A1E493F" w14:textId="77777777" w:rsidR="00241417" w:rsidRDefault="00241417" w:rsidP="003A71DE">
            <w:pPr>
              <w:pStyle w:val="TAL"/>
            </w:pPr>
            <w:r>
              <w:t>PUSCH mapping type</w:t>
            </w:r>
          </w:p>
        </w:tc>
        <w:tc>
          <w:tcPr>
            <w:tcW w:w="0" w:type="auto"/>
            <w:tcBorders>
              <w:top w:val="single" w:sz="6" w:space="0" w:color="auto"/>
              <w:left w:val="single" w:sz="6" w:space="0" w:color="auto"/>
              <w:bottom w:val="single" w:sz="6" w:space="0" w:color="auto"/>
              <w:right w:val="single" w:sz="4" w:space="0" w:color="auto"/>
            </w:tcBorders>
            <w:vAlign w:val="center"/>
            <w:hideMark/>
          </w:tcPr>
          <w:p w14:paraId="26ECE921" w14:textId="77777777" w:rsidR="00241417" w:rsidRDefault="00241417" w:rsidP="003A71DE">
            <w:pPr>
              <w:pStyle w:val="TAC"/>
            </w:pPr>
            <w:r>
              <w:t>B</w:t>
            </w:r>
          </w:p>
        </w:tc>
      </w:tr>
      <w:tr w:rsidR="00241417" w14:paraId="18FB757C"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602430D9"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6772CEF8" w14:textId="77777777" w:rsidR="00241417" w:rsidRDefault="00241417" w:rsidP="003A71DE">
            <w:pPr>
              <w:pStyle w:val="TAL"/>
            </w:pPr>
            <w:r>
              <w:t>Start symbol</w:t>
            </w:r>
          </w:p>
        </w:tc>
        <w:tc>
          <w:tcPr>
            <w:tcW w:w="0" w:type="auto"/>
            <w:tcBorders>
              <w:top w:val="single" w:sz="6" w:space="0" w:color="auto"/>
              <w:left w:val="single" w:sz="6" w:space="0" w:color="auto"/>
              <w:bottom w:val="single" w:sz="6" w:space="0" w:color="auto"/>
              <w:right w:val="single" w:sz="4" w:space="0" w:color="auto"/>
            </w:tcBorders>
            <w:vAlign w:val="center"/>
            <w:hideMark/>
          </w:tcPr>
          <w:p w14:paraId="3A7AEDA4" w14:textId="77777777" w:rsidR="00241417" w:rsidRDefault="00241417" w:rsidP="003A71DE">
            <w:pPr>
              <w:pStyle w:val="TAC"/>
              <w:rPr>
                <w:rFonts w:eastAsia="Malgun Gothic" w:cs="Arial"/>
              </w:rPr>
            </w:pPr>
            <w:r>
              <w:rPr>
                <w:rFonts w:eastAsia="Malgun Gothic" w:cs="Arial"/>
              </w:rPr>
              <w:t xml:space="preserve">0 </w:t>
            </w:r>
          </w:p>
        </w:tc>
      </w:tr>
      <w:tr w:rsidR="00241417" w14:paraId="69A40EA9"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01D6E5C6"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2C399A99" w14:textId="77777777" w:rsidR="00241417" w:rsidRDefault="00241417" w:rsidP="003A71DE">
            <w:pPr>
              <w:pStyle w:val="TAL"/>
            </w:pPr>
            <w:r>
              <w:t>Allocation length</w:t>
            </w:r>
          </w:p>
        </w:tc>
        <w:tc>
          <w:tcPr>
            <w:tcW w:w="0" w:type="auto"/>
            <w:tcBorders>
              <w:top w:val="single" w:sz="6" w:space="0" w:color="auto"/>
              <w:left w:val="single" w:sz="6" w:space="0" w:color="auto"/>
              <w:bottom w:val="single" w:sz="6" w:space="0" w:color="auto"/>
              <w:right w:val="single" w:sz="4" w:space="0" w:color="auto"/>
            </w:tcBorders>
            <w:vAlign w:val="center"/>
            <w:hideMark/>
          </w:tcPr>
          <w:p w14:paraId="38ECA5DE" w14:textId="77777777" w:rsidR="00241417" w:rsidRDefault="00241417" w:rsidP="003A71DE">
            <w:pPr>
              <w:pStyle w:val="TAC"/>
              <w:rPr>
                <w:rFonts w:eastAsia="Malgun Gothic" w:cs="Arial"/>
              </w:rPr>
            </w:pPr>
            <w:r>
              <w:rPr>
                <w:rFonts w:eastAsia="Malgun Gothic" w:cs="Arial"/>
              </w:rPr>
              <w:t xml:space="preserve">10 </w:t>
            </w:r>
          </w:p>
        </w:tc>
      </w:tr>
      <w:tr w:rsidR="00241417" w14:paraId="7EB6FDB0"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55D36181" w14:textId="77777777" w:rsidR="00241417" w:rsidRDefault="00241417" w:rsidP="003A71DE">
            <w:pPr>
              <w:pStyle w:val="TAL"/>
            </w:pPr>
            <w:r>
              <w:t>Frequency domain resource assignment</w:t>
            </w:r>
          </w:p>
        </w:tc>
        <w:tc>
          <w:tcPr>
            <w:tcW w:w="0" w:type="auto"/>
            <w:tcBorders>
              <w:top w:val="single" w:sz="6" w:space="0" w:color="auto"/>
              <w:left w:val="single" w:sz="6" w:space="0" w:color="auto"/>
              <w:bottom w:val="single" w:sz="6" w:space="0" w:color="auto"/>
              <w:right w:val="single" w:sz="6" w:space="0" w:color="auto"/>
            </w:tcBorders>
            <w:vAlign w:val="center"/>
            <w:hideMark/>
          </w:tcPr>
          <w:p w14:paraId="29507239" w14:textId="77777777" w:rsidR="00241417" w:rsidRDefault="00241417" w:rsidP="003A71DE">
            <w:pPr>
              <w:pStyle w:val="TAL"/>
            </w:pPr>
            <w:r>
              <w:t>RB assignment</w:t>
            </w:r>
          </w:p>
        </w:tc>
        <w:tc>
          <w:tcPr>
            <w:tcW w:w="0" w:type="auto"/>
            <w:tcBorders>
              <w:top w:val="single" w:sz="6" w:space="0" w:color="auto"/>
              <w:left w:val="single" w:sz="6" w:space="0" w:color="auto"/>
              <w:bottom w:val="single" w:sz="6" w:space="0" w:color="auto"/>
              <w:right w:val="single" w:sz="4" w:space="0" w:color="auto"/>
            </w:tcBorders>
            <w:vAlign w:val="center"/>
            <w:hideMark/>
          </w:tcPr>
          <w:p w14:paraId="0E3ABED1" w14:textId="77777777" w:rsidR="00241417" w:rsidRDefault="00241417" w:rsidP="003A71DE">
            <w:pPr>
              <w:pStyle w:val="TAC"/>
              <w:rPr>
                <w:rFonts w:eastAsia="Malgun Gothic"/>
                <w:lang w:eastAsia="zh-CN"/>
              </w:rPr>
            </w:pPr>
            <w:r>
              <w:rPr>
                <w:rFonts w:eastAsia="Malgun Gothic"/>
                <w:lang w:eastAsia="zh-CN"/>
              </w:rPr>
              <w:t>30</w:t>
            </w:r>
            <w:r>
              <w:rPr>
                <w:lang w:eastAsia="zh-CN"/>
              </w:rPr>
              <w:t xml:space="preserve"> PRBs in the middle of the test bandwidth</w:t>
            </w:r>
          </w:p>
        </w:tc>
      </w:tr>
      <w:tr w:rsidR="00241417" w14:paraId="33078427" w14:textId="77777777" w:rsidTr="003A71DE">
        <w:trPr>
          <w:trHeight w:val="55"/>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4D2F37C2"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277AD9D5" w14:textId="77777777" w:rsidR="00241417" w:rsidRDefault="00241417" w:rsidP="003A71DE">
            <w:pPr>
              <w:pStyle w:val="TAL"/>
            </w:pPr>
            <w:r>
              <w:t>Frequency hopping</w:t>
            </w:r>
          </w:p>
        </w:tc>
        <w:tc>
          <w:tcPr>
            <w:tcW w:w="0" w:type="auto"/>
            <w:tcBorders>
              <w:top w:val="single" w:sz="6" w:space="0" w:color="auto"/>
              <w:left w:val="single" w:sz="6" w:space="0" w:color="auto"/>
              <w:bottom w:val="single" w:sz="6" w:space="0" w:color="auto"/>
              <w:right w:val="single" w:sz="4" w:space="0" w:color="auto"/>
            </w:tcBorders>
            <w:vAlign w:val="center"/>
            <w:hideMark/>
          </w:tcPr>
          <w:p w14:paraId="2F037761" w14:textId="77777777" w:rsidR="00241417" w:rsidRDefault="00241417" w:rsidP="003A71DE">
            <w:pPr>
              <w:pStyle w:val="TAC"/>
            </w:pPr>
            <w:r>
              <w:t>Disabled</w:t>
            </w:r>
          </w:p>
        </w:tc>
      </w:tr>
      <w:tr w:rsidR="00241417" w14:paraId="0E2A8BD6"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4265A3AF" w14:textId="77777777" w:rsidR="00241417" w:rsidRDefault="00241417" w:rsidP="003A71DE">
            <w:pPr>
              <w:pStyle w:val="TAL"/>
            </w:pPr>
            <w:r>
              <w:t>Code block group based PUSCH transmission</w:t>
            </w:r>
          </w:p>
        </w:tc>
        <w:tc>
          <w:tcPr>
            <w:tcW w:w="0" w:type="auto"/>
            <w:tcBorders>
              <w:top w:val="single" w:sz="6" w:space="0" w:color="auto"/>
              <w:left w:val="single" w:sz="6" w:space="0" w:color="auto"/>
              <w:bottom w:val="single" w:sz="6" w:space="0" w:color="auto"/>
              <w:right w:val="single" w:sz="4" w:space="0" w:color="auto"/>
            </w:tcBorders>
            <w:vAlign w:val="center"/>
            <w:hideMark/>
          </w:tcPr>
          <w:p w14:paraId="50455068" w14:textId="77777777" w:rsidR="00241417" w:rsidRDefault="00241417" w:rsidP="003A71DE">
            <w:pPr>
              <w:pStyle w:val="TAC"/>
            </w:pPr>
            <w:r>
              <w:t>Disabled</w:t>
            </w:r>
          </w:p>
        </w:tc>
      </w:tr>
      <w:tr w:rsidR="00241417" w14:paraId="0E5A02C3"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1143535B" w14:textId="77777777" w:rsidR="00241417" w:rsidRDefault="00241417" w:rsidP="003A71DE">
            <w:pPr>
              <w:pStyle w:val="TAL"/>
            </w:pPr>
            <w:r>
              <w:rPr>
                <w:lang w:eastAsia="zh-CN"/>
              </w:rPr>
              <w:t>PT-RS</w:t>
            </w:r>
          </w:p>
        </w:tc>
        <w:tc>
          <w:tcPr>
            <w:tcW w:w="0" w:type="auto"/>
            <w:tcBorders>
              <w:top w:val="single" w:sz="6" w:space="0" w:color="auto"/>
              <w:left w:val="single" w:sz="6" w:space="0" w:color="auto"/>
              <w:bottom w:val="single" w:sz="6" w:space="0" w:color="auto"/>
              <w:right w:val="single" w:sz="4" w:space="0" w:color="auto"/>
            </w:tcBorders>
            <w:vAlign w:val="center"/>
            <w:hideMark/>
          </w:tcPr>
          <w:p w14:paraId="5EE18FE4" w14:textId="77777777" w:rsidR="00241417" w:rsidRDefault="00241417" w:rsidP="003A71DE">
            <w:pPr>
              <w:pStyle w:val="TAC"/>
            </w:pPr>
            <w:r>
              <w:t>Not configured</w:t>
            </w:r>
          </w:p>
        </w:tc>
      </w:tr>
      <w:tr w:rsidR="00241417" w14:paraId="669B78F4" w14:textId="77777777" w:rsidTr="003A71DE">
        <w:trPr>
          <w:jc w:val="center"/>
        </w:trPr>
        <w:tc>
          <w:tcPr>
            <w:tcW w:w="0" w:type="auto"/>
            <w:gridSpan w:val="3"/>
            <w:tcBorders>
              <w:top w:val="single" w:sz="6" w:space="0" w:color="auto"/>
              <w:left w:val="single" w:sz="4" w:space="0" w:color="auto"/>
              <w:bottom w:val="single" w:sz="4" w:space="0" w:color="auto"/>
              <w:right w:val="single" w:sz="4" w:space="0" w:color="auto"/>
            </w:tcBorders>
            <w:vAlign w:val="center"/>
            <w:hideMark/>
          </w:tcPr>
          <w:p w14:paraId="2E2899A7" w14:textId="77777777" w:rsidR="00241417" w:rsidRDefault="00241417" w:rsidP="003A71DE">
            <w:pPr>
              <w:pStyle w:val="TAL"/>
            </w:pPr>
            <w:r>
              <w:t>Note 1</w:t>
            </w:r>
            <w:r>
              <w:rPr>
                <w:lang w:eastAsia="zh-CN"/>
              </w:rPr>
              <w:t>:</w:t>
            </w:r>
            <w:r>
              <w:tab/>
              <w:t>The same requirements are applicable to TDD with different UL-DL patterns.</w:t>
            </w:r>
          </w:p>
        </w:tc>
      </w:tr>
    </w:tbl>
    <w:p w14:paraId="757C07F2" w14:textId="77777777" w:rsidR="00241417" w:rsidRDefault="00241417" w:rsidP="00241417"/>
    <w:p w14:paraId="3249D0EA" w14:textId="77777777" w:rsidR="00241417" w:rsidRDefault="00241417" w:rsidP="00241417">
      <w:pPr>
        <w:pStyle w:val="H6"/>
        <w:rPr>
          <w:rFonts w:eastAsia="Malgun Gothic"/>
        </w:rPr>
      </w:pPr>
      <w:bookmarkStart w:id="7334" w:name="_Toc67916535"/>
      <w:bookmarkStart w:id="7335" w:name="_Toc61176712"/>
      <w:bookmarkStart w:id="7336" w:name="_Toc53178078"/>
      <w:bookmarkStart w:id="7337" w:name="_Toc53177626"/>
      <w:bookmarkStart w:id="7338" w:name="_Toc45893462"/>
      <w:bookmarkStart w:id="7339" w:name="_Toc37268811"/>
      <w:bookmarkStart w:id="7340" w:name="_Toc37268360"/>
      <w:bookmarkStart w:id="7341" w:name="_Toc29811856"/>
      <w:bookmarkStart w:id="7342" w:name="_Toc29811405"/>
      <w:bookmarkStart w:id="7343" w:name="_Toc13079916"/>
      <w:r>
        <w:rPr>
          <w:lang w:eastAsia="ko-KR"/>
        </w:rPr>
        <w:t>11.1.2.</w:t>
      </w:r>
      <w:r>
        <w:rPr>
          <w:lang w:eastAsia="zh-CN"/>
        </w:rPr>
        <w:t>2</w:t>
      </w:r>
      <w:r>
        <w:rPr>
          <w:lang w:eastAsia="ko-KR"/>
        </w:rPr>
        <w:t>.</w:t>
      </w:r>
      <w:r>
        <w:rPr>
          <w:lang w:eastAsia="zh-CN"/>
        </w:rPr>
        <w:t>2.2</w:t>
      </w:r>
      <w:r>
        <w:tab/>
      </w:r>
      <w:r>
        <w:rPr>
          <w:lang w:eastAsia="ko-KR"/>
        </w:rPr>
        <w:t>Minimum</w:t>
      </w:r>
      <w:r>
        <w:rPr>
          <w:rFonts w:eastAsia="Malgun Gothic"/>
        </w:rPr>
        <w:t xml:space="preserve"> requirements</w:t>
      </w:r>
      <w:bookmarkEnd w:id="7334"/>
      <w:bookmarkEnd w:id="7335"/>
      <w:bookmarkEnd w:id="7336"/>
      <w:bookmarkEnd w:id="7337"/>
      <w:bookmarkEnd w:id="7338"/>
      <w:bookmarkEnd w:id="7339"/>
      <w:bookmarkEnd w:id="7340"/>
      <w:bookmarkEnd w:id="7341"/>
      <w:bookmarkEnd w:id="7342"/>
      <w:bookmarkEnd w:id="7343"/>
    </w:p>
    <w:p w14:paraId="54E0808A" w14:textId="77777777" w:rsidR="00241417" w:rsidRDefault="00241417" w:rsidP="00241417">
      <w:pPr>
        <w:rPr>
          <w:lang w:eastAsia="zh-CN"/>
        </w:rPr>
      </w:pPr>
      <w:r>
        <w:t xml:space="preserve">The throughput shall be equal to or larger than the 70% of maximum throughput stated in the tables </w:t>
      </w:r>
      <w:r>
        <w:rPr>
          <w:lang w:eastAsia="ko-KR"/>
        </w:rPr>
        <w:t>11.1.2.</w:t>
      </w:r>
      <w:r>
        <w:rPr>
          <w:lang w:eastAsia="zh-CN"/>
        </w:rPr>
        <w:t>2</w:t>
      </w:r>
      <w:r>
        <w:rPr>
          <w:lang w:eastAsia="ko-KR"/>
        </w:rPr>
        <w:t>.</w:t>
      </w:r>
      <w:r>
        <w:rPr>
          <w:lang w:eastAsia="zh-CN"/>
        </w:rPr>
        <w:t>2.2</w:t>
      </w:r>
      <w:r>
        <w:t xml:space="preserve">-1 to </w:t>
      </w:r>
      <w:r>
        <w:rPr>
          <w:lang w:eastAsia="ko-KR"/>
        </w:rPr>
        <w:t>11.1.2.</w:t>
      </w:r>
      <w:r>
        <w:rPr>
          <w:lang w:eastAsia="zh-CN"/>
        </w:rPr>
        <w:t>2</w:t>
      </w:r>
      <w:r>
        <w:rPr>
          <w:lang w:eastAsia="ko-KR"/>
        </w:rPr>
        <w:t>.</w:t>
      </w:r>
      <w:r>
        <w:rPr>
          <w:lang w:eastAsia="zh-CN"/>
        </w:rPr>
        <w:t>2.2</w:t>
      </w:r>
      <w:r>
        <w:t>-</w:t>
      </w:r>
      <w:r>
        <w:rPr>
          <w:lang w:eastAsia="zh-CN"/>
        </w:rPr>
        <w:t>2</w:t>
      </w:r>
      <w:r>
        <w:t xml:space="preserve"> at the given SNR.</w:t>
      </w:r>
    </w:p>
    <w:p w14:paraId="43B01EAD" w14:textId="77777777" w:rsidR="00241417" w:rsidRPr="00BD6443" w:rsidRDefault="00241417" w:rsidP="00241417">
      <w:pPr>
        <w:pStyle w:val="TH"/>
      </w:pPr>
      <w:r w:rsidRPr="00BD6443">
        <w:t>Table 11.1.2.2.2.2-1: Minimum requirements for PUSCH, Type B, 50 MHz Channel Bandwidth,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1"/>
        <w:gridCol w:w="1623"/>
        <w:gridCol w:w="1171"/>
        <w:gridCol w:w="1020"/>
      </w:tblGrid>
      <w:tr w:rsidR="00241417" w:rsidRPr="00BD6443" w14:paraId="48FEDCC4"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5695A5F1"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460BF940" w14:textId="77777777" w:rsidR="00241417" w:rsidRPr="00BD6443" w:rsidRDefault="00241417" w:rsidP="003A71DE">
            <w:pPr>
              <w:pStyle w:val="TAH"/>
            </w:pPr>
            <w:r w:rsidRPr="00BD6443">
              <w:t>Number of demodulation branches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465D8E7" w14:textId="2BC7C359" w:rsidR="00241417" w:rsidRPr="00BD6443" w:rsidRDefault="00241417" w:rsidP="003A71DE">
            <w:pPr>
              <w:pStyle w:val="TAH"/>
            </w:pPr>
            <w:r w:rsidRPr="00BD6443">
              <w:t xml:space="preserve">Propagation conditions and correlation matrix (Annex </w:t>
            </w:r>
            <w:r>
              <w:t>TBA</w:t>
            </w:r>
            <w:r w:rsidRPr="00BD6443">
              <w:t>)</w:t>
            </w:r>
          </w:p>
        </w:tc>
        <w:tc>
          <w:tcPr>
            <w:tcW w:w="1623" w:type="dxa"/>
            <w:tcBorders>
              <w:top w:val="single" w:sz="4" w:space="0" w:color="auto"/>
              <w:left w:val="single" w:sz="4" w:space="0" w:color="auto"/>
              <w:bottom w:val="single" w:sz="4" w:space="0" w:color="auto"/>
              <w:right w:val="single" w:sz="4" w:space="0" w:color="auto"/>
            </w:tcBorders>
            <w:vAlign w:val="center"/>
            <w:hideMark/>
          </w:tcPr>
          <w:p w14:paraId="623EE8C9" w14:textId="77777777" w:rsidR="00241417" w:rsidRPr="00BD6443" w:rsidRDefault="00241417" w:rsidP="003A71DE">
            <w:pPr>
              <w:pStyle w:val="TAH"/>
            </w:pPr>
            <w:r w:rsidRPr="00BD6443">
              <w:t>FRC</w:t>
            </w:r>
            <w:r w:rsidRPr="00BD6443">
              <w:br/>
              <w:t>(Annex A)</w:t>
            </w:r>
          </w:p>
        </w:tc>
        <w:tc>
          <w:tcPr>
            <w:tcW w:w="1171" w:type="dxa"/>
            <w:tcBorders>
              <w:top w:val="single" w:sz="4" w:space="0" w:color="auto"/>
              <w:left w:val="single" w:sz="4" w:space="0" w:color="auto"/>
              <w:bottom w:val="single" w:sz="4" w:space="0" w:color="auto"/>
              <w:right w:val="single" w:sz="4" w:space="0" w:color="auto"/>
            </w:tcBorders>
            <w:vAlign w:val="center"/>
            <w:hideMark/>
          </w:tcPr>
          <w:p w14:paraId="2275632E" w14:textId="77777777" w:rsidR="00241417" w:rsidRPr="00BD6443" w:rsidRDefault="00241417" w:rsidP="003A71DE">
            <w:pPr>
              <w:pStyle w:val="TAH"/>
            </w:pPr>
            <w:r w:rsidRPr="00BD6443">
              <w:t>Additional DM-RS position</w:t>
            </w:r>
          </w:p>
        </w:tc>
        <w:tc>
          <w:tcPr>
            <w:tcW w:w="1020" w:type="dxa"/>
            <w:tcBorders>
              <w:top w:val="single" w:sz="4" w:space="0" w:color="auto"/>
              <w:left w:val="single" w:sz="4" w:space="0" w:color="auto"/>
              <w:bottom w:val="single" w:sz="4" w:space="0" w:color="auto"/>
              <w:right w:val="single" w:sz="4" w:space="0" w:color="auto"/>
            </w:tcBorders>
            <w:vAlign w:val="center"/>
            <w:hideMark/>
          </w:tcPr>
          <w:p w14:paraId="0C6A8E5E" w14:textId="77777777" w:rsidR="00241417" w:rsidRPr="00BD6443" w:rsidRDefault="00241417" w:rsidP="003A71DE">
            <w:pPr>
              <w:pStyle w:val="TAH"/>
            </w:pPr>
            <w:r w:rsidRPr="00BD6443">
              <w:t>SNR</w:t>
            </w:r>
          </w:p>
          <w:p w14:paraId="6EE45788" w14:textId="77777777" w:rsidR="00241417" w:rsidRPr="00BD6443" w:rsidRDefault="00241417" w:rsidP="003A71DE">
            <w:pPr>
              <w:pStyle w:val="TAH"/>
            </w:pPr>
            <w:r w:rsidRPr="00BD6443">
              <w:t>(dB)</w:t>
            </w:r>
          </w:p>
        </w:tc>
      </w:tr>
      <w:tr w:rsidR="00241417" w14:paraId="373424EE" w14:textId="77777777" w:rsidTr="003A71DE">
        <w:trPr>
          <w:trHeight w:val="88"/>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74681574" w14:textId="77777777" w:rsidR="00241417" w:rsidRDefault="00241417" w:rsidP="003A71DE">
            <w:pPr>
              <w:pStyle w:val="TAC"/>
              <w:rPr>
                <w:rFonts w:eastAsia="SimSun"/>
              </w:rPr>
            </w:pPr>
            <w:r>
              <w:rPr>
                <w:lang w:eastAsia="zh-CN"/>
              </w:rPr>
              <w:t>1</w:t>
            </w:r>
          </w:p>
        </w:tc>
        <w:tc>
          <w:tcPr>
            <w:tcW w:w="1398" w:type="dxa"/>
            <w:vMerge w:val="restart"/>
            <w:tcBorders>
              <w:top w:val="single" w:sz="4" w:space="0" w:color="auto"/>
              <w:left w:val="single" w:sz="4" w:space="0" w:color="auto"/>
              <w:bottom w:val="single" w:sz="4" w:space="0" w:color="auto"/>
              <w:right w:val="single" w:sz="4" w:space="0" w:color="auto"/>
            </w:tcBorders>
            <w:vAlign w:val="center"/>
            <w:hideMark/>
          </w:tcPr>
          <w:p w14:paraId="580C0391" w14:textId="77777777" w:rsidR="00241417" w:rsidRDefault="00241417" w:rsidP="003A71DE">
            <w:pPr>
              <w:pStyle w:val="TAC"/>
              <w:rPr>
                <w:rFonts w:eastAsia="SimSun"/>
              </w:rPr>
            </w:pPr>
            <w:r>
              <w:rPr>
                <w:lang w:eastAsia="zh-CN"/>
              </w:rPr>
              <w:t>2</w:t>
            </w:r>
          </w:p>
        </w:tc>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5FF1B867" w14:textId="77777777" w:rsidR="00241417" w:rsidRDefault="00241417" w:rsidP="003A71DE">
            <w:pPr>
              <w:pStyle w:val="TAC"/>
              <w:rPr>
                <w:rFonts w:eastAsia="SimSun"/>
              </w:rPr>
            </w:pPr>
            <w:r>
              <w:t>TDLA30-300</w:t>
            </w:r>
            <w:r>
              <w:rPr>
                <w:rFonts w:cs="Arial"/>
              </w:rPr>
              <w:t xml:space="preserve"> Low</w:t>
            </w:r>
          </w:p>
        </w:tc>
        <w:tc>
          <w:tcPr>
            <w:tcW w:w="1623" w:type="dxa"/>
            <w:tcBorders>
              <w:top w:val="single" w:sz="4" w:space="0" w:color="auto"/>
              <w:left w:val="single" w:sz="4" w:space="0" w:color="auto"/>
              <w:bottom w:val="single" w:sz="4" w:space="0" w:color="auto"/>
              <w:right w:val="single" w:sz="4" w:space="0" w:color="auto"/>
            </w:tcBorders>
            <w:vAlign w:val="center"/>
            <w:hideMark/>
          </w:tcPr>
          <w:p w14:paraId="573C2261" w14:textId="77777777" w:rsidR="00241417" w:rsidRDefault="00241417" w:rsidP="003A71DE">
            <w:pPr>
              <w:pStyle w:val="TAC"/>
              <w:rPr>
                <w:lang w:eastAsia="zh-CN"/>
              </w:rPr>
            </w:pPr>
            <w:r w:rsidRPr="008757D3">
              <w:rPr>
                <w:lang w:eastAsia="zh-CN"/>
              </w:rPr>
              <w:t>D-FR2-A.2.1-11</w:t>
            </w:r>
          </w:p>
        </w:tc>
        <w:tc>
          <w:tcPr>
            <w:tcW w:w="1171" w:type="dxa"/>
            <w:tcBorders>
              <w:top w:val="single" w:sz="4" w:space="0" w:color="auto"/>
              <w:left w:val="single" w:sz="4" w:space="0" w:color="auto"/>
              <w:bottom w:val="single" w:sz="4" w:space="0" w:color="auto"/>
              <w:right w:val="single" w:sz="4" w:space="0" w:color="auto"/>
            </w:tcBorders>
            <w:vAlign w:val="center"/>
            <w:hideMark/>
          </w:tcPr>
          <w:p w14:paraId="38FFD0B6" w14:textId="77777777" w:rsidR="00241417" w:rsidRDefault="00241417" w:rsidP="003A71DE">
            <w:pPr>
              <w:pStyle w:val="TAC"/>
              <w:rPr>
                <w:rFonts w:eastAsia="SimSun"/>
              </w:rPr>
            </w:pPr>
            <w:r>
              <w:t>pos0</w:t>
            </w:r>
          </w:p>
        </w:tc>
        <w:tc>
          <w:tcPr>
            <w:tcW w:w="1020" w:type="dxa"/>
            <w:tcBorders>
              <w:top w:val="single" w:sz="4" w:space="0" w:color="auto"/>
              <w:left w:val="single" w:sz="4" w:space="0" w:color="auto"/>
              <w:bottom w:val="single" w:sz="4" w:space="0" w:color="auto"/>
              <w:right w:val="single" w:sz="4" w:space="0" w:color="auto"/>
            </w:tcBorders>
            <w:vAlign w:val="center"/>
            <w:hideMark/>
          </w:tcPr>
          <w:p w14:paraId="48F6980E" w14:textId="77777777" w:rsidR="00241417" w:rsidRDefault="00241417" w:rsidP="003A71DE">
            <w:pPr>
              <w:pStyle w:val="TAC"/>
              <w:rPr>
                <w:rFonts w:eastAsia="SimSun"/>
              </w:rPr>
            </w:pPr>
            <w:r>
              <w:t>-1.</w:t>
            </w:r>
            <w:r>
              <w:rPr>
                <w:rFonts w:eastAsia="DengXian"/>
                <w:lang w:eastAsia="zh-CN"/>
              </w:rPr>
              <w:t>8</w:t>
            </w:r>
          </w:p>
        </w:tc>
      </w:tr>
      <w:tr w:rsidR="00241417" w14:paraId="7110CC00" w14:textId="77777777" w:rsidTr="003A71DE">
        <w:trPr>
          <w:trHeight w:val="87"/>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6679A21D" w14:textId="77777777" w:rsidR="00241417" w:rsidRDefault="00241417" w:rsidP="003A71DE">
            <w:pPr>
              <w:pStyle w:val="TAC"/>
              <w:rPr>
                <w:rFonts w:eastAsia="SimSun"/>
              </w:rPr>
            </w:pPr>
          </w:p>
        </w:tc>
        <w:tc>
          <w:tcPr>
            <w:tcW w:w="1398" w:type="dxa"/>
            <w:vMerge/>
            <w:tcBorders>
              <w:top w:val="single" w:sz="4" w:space="0" w:color="auto"/>
              <w:left w:val="single" w:sz="4" w:space="0" w:color="auto"/>
              <w:bottom w:val="single" w:sz="4" w:space="0" w:color="auto"/>
              <w:right w:val="single" w:sz="4" w:space="0" w:color="auto"/>
            </w:tcBorders>
            <w:vAlign w:val="center"/>
            <w:hideMark/>
          </w:tcPr>
          <w:p w14:paraId="634D22B3" w14:textId="77777777" w:rsidR="00241417" w:rsidRDefault="00241417" w:rsidP="003A71DE">
            <w:pPr>
              <w:pStyle w:val="TAC"/>
              <w:rPr>
                <w:rFonts w:eastAsia="SimSun"/>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21392A03" w14:textId="77777777" w:rsidR="00241417" w:rsidRDefault="00241417" w:rsidP="003A71DE">
            <w:pPr>
              <w:pStyle w:val="TAC"/>
              <w:rPr>
                <w:rFonts w:eastAsia="SimSun"/>
              </w:rPr>
            </w:pPr>
          </w:p>
        </w:tc>
        <w:tc>
          <w:tcPr>
            <w:tcW w:w="1623" w:type="dxa"/>
            <w:tcBorders>
              <w:top w:val="single" w:sz="4" w:space="0" w:color="auto"/>
              <w:left w:val="single" w:sz="4" w:space="0" w:color="auto"/>
              <w:bottom w:val="single" w:sz="4" w:space="0" w:color="auto"/>
              <w:right w:val="single" w:sz="4" w:space="0" w:color="auto"/>
            </w:tcBorders>
            <w:vAlign w:val="center"/>
            <w:hideMark/>
          </w:tcPr>
          <w:p w14:paraId="290D67AB" w14:textId="77777777" w:rsidR="00241417" w:rsidRDefault="00241417" w:rsidP="003A71DE">
            <w:pPr>
              <w:pStyle w:val="TAC"/>
              <w:rPr>
                <w:lang w:eastAsia="zh-CN"/>
              </w:rPr>
            </w:pPr>
            <w:r w:rsidRPr="008757D3">
              <w:rPr>
                <w:lang w:eastAsia="zh-CN"/>
              </w:rPr>
              <w:t>D-FR2-A.2.1-</w:t>
            </w:r>
            <w:r>
              <w:rPr>
                <w:lang w:eastAsia="zh-CN"/>
              </w:rPr>
              <w:t>23</w:t>
            </w:r>
          </w:p>
        </w:tc>
        <w:tc>
          <w:tcPr>
            <w:tcW w:w="1171" w:type="dxa"/>
            <w:tcBorders>
              <w:top w:val="single" w:sz="4" w:space="0" w:color="auto"/>
              <w:left w:val="single" w:sz="4" w:space="0" w:color="auto"/>
              <w:bottom w:val="single" w:sz="4" w:space="0" w:color="auto"/>
              <w:right w:val="single" w:sz="4" w:space="0" w:color="auto"/>
            </w:tcBorders>
            <w:vAlign w:val="center"/>
            <w:hideMark/>
          </w:tcPr>
          <w:p w14:paraId="024ED5E7" w14:textId="77777777" w:rsidR="00241417" w:rsidRDefault="00241417" w:rsidP="003A71DE">
            <w:pPr>
              <w:pStyle w:val="TAC"/>
              <w:rPr>
                <w:rFonts w:eastAsia="SimSun"/>
              </w:rPr>
            </w:pPr>
            <w:r>
              <w:t>pos</w:t>
            </w:r>
            <w:r>
              <w:rPr>
                <w:lang w:eastAsia="zh-CN"/>
              </w:rPr>
              <w:t>1</w:t>
            </w:r>
          </w:p>
        </w:tc>
        <w:tc>
          <w:tcPr>
            <w:tcW w:w="1020" w:type="dxa"/>
            <w:tcBorders>
              <w:top w:val="single" w:sz="4" w:space="0" w:color="auto"/>
              <w:left w:val="single" w:sz="4" w:space="0" w:color="auto"/>
              <w:bottom w:val="single" w:sz="4" w:space="0" w:color="auto"/>
              <w:right w:val="single" w:sz="4" w:space="0" w:color="auto"/>
            </w:tcBorders>
            <w:vAlign w:val="center"/>
            <w:hideMark/>
          </w:tcPr>
          <w:p w14:paraId="2570BD09" w14:textId="77777777" w:rsidR="00241417" w:rsidRDefault="00241417" w:rsidP="003A71DE">
            <w:pPr>
              <w:pStyle w:val="TAC"/>
              <w:rPr>
                <w:rFonts w:eastAsia="SimSun"/>
              </w:rPr>
            </w:pPr>
            <w:r>
              <w:t>-1.</w:t>
            </w:r>
            <w:r>
              <w:rPr>
                <w:rFonts w:eastAsia="DengXian"/>
                <w:lang w:eastAsia="zh-CN"/>
              </w:rPr>
              <w:t>9</w:t>
            </w:r>
          </w:p>
        </w:tc>
      </w:tr>
    </w:tbl>
    <w:p w14:paraId="2C6F02A7" w14:textId="77777777" w:rsidR="00241417" w:rsidRDefault="00241417" w:rsidP="00241417">
      <w:pPr>
        <w:rPr>
          <w:lang w:eastAsia="zh-CN"/>
        </w:rPr>
      </w:pPr>
    </w:p>
    <w:p w14:paraId="39C594D0" w14:textId="77777777" w:rsidR="00241417" w:rsidRPr="00BD6443" w:rsidRDefault="00241417" w:rsidP="00241417">
      <w:pPr>
        <w:pStyle w:val="TH"/>
      </w:pPr>
      <w:r w:rsidRPr="00BD6443">
        <w:t>Table 11.1.2.2.2.2-2: Minimum requirements for PUSCH, Type B, 50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1"/>
        <w:gridCol w:w="1623"/>
        <w:gridCol w:w="1171"/>
        <w:gridCol w:w="1020"/>
      </w:tblGrid>
      <w:tr w:rsidR="00241417" w:rsidRPr="00BD6443" w14:paraId="7FB86A31"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6BEAC8BA"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29236741" w14:textId="77777777" w:rsidR="00241417" w:rsidRPr="00BD6443" w:rsidRDefault="00241417" w:rsidP="003A71DE">
            <w:pPr>
              <w:pStyle w:val="TAH"/>
            </w:pPr>
            <w:r w:rsidRPr="00BD6443">
              <w:t>Number of demodulation branches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E3D00CE" w14:textId="299DF56A" w:rsidR="00241417" w:rsidRPr="00BD6443" w:rsidRDefault="00241417" w:rsidP="003A71DE">
            <w:pPr>
              <w:pStyle w:val="TAH"/>
            </w:pPr>
            <w:r w:rsidRPr="00BD6443">
              <w:t xml:space="preserve">Propagation conditions and correlation matrix (Annex </w:t>
            </w:r>
            <w:r>
              <w:t>TBA</w:t>
            </w:r>
            <w:r w:rsidRPr="00BD6443">
              <w:t>)</w:t>
            </w:r>
          </w:p>
        </w:tc>
        <w:tc>
          <w:tcPr>
            <w:tcW w:w="1623" w:type="dxa"/>
            <w:tcBorders>
              <w:top w:val="single" w:sz="4" w:space="0" w:color="auto"/>
              <w:left w:val="single" w:sz="4" w:space="0" w:color="auto"/>
              <w:bottom w:val="single" w:sz="4" w:space="0" w:color="auto"/>
              <w:right w:val="single" w:sz="4" w:space="0" w:color="auto"/>
            </w:tcBorders>
            <w:vAlign w:val="center"/>
            <w:hideMark/>
          </w:tcPr>
          <w:p w14:paraId="1554B0A9" w14:textId="77777777" w:rsidR="00241417" w:rsidRPr="00BD6443" w:rsidRDefault="00241417" w:rsidP="003A71DE">
            <w:pPr>
              <w:pStyle w:val="TAH"/>
            </w:pPr>
            <w:r w:rsidRPr="00BD6443">
              <w:t>FRC</w:t>
            </w:r>
            <w:r w:rsidRPr="00BD6443">
              <w:br/>
              <w:t>(Annex A)</w:t>
            </w:r>
          </w:p>
        </w:tc>
        <w:tc>
          <w:tcPr>
            <w:tcW w:w="1171" w:type="dxa"/>
            <w:tcBorders>
              <w:top w:val="single" w:sz="4" w:space="0" w:color="auto"/>
              <w:left w:val="single" w:sz="4" w:space="0" w:color="auto"/>
              <w:bottom w:val="single" w:sz="4" w:space="0" w:color="auto"/>
              <w:right w:val="single" w:sz="4" w:space="0" w:color="auto"/>
            </w:tcBorders>
            <w:vAlign w:val="center"/>
            <w:hideMark/>
          </w:tcPr>
          <w:p w14:paraId="6D0A045B" w14:textId="77777777" w:rsidR="00241417" w:rsidRPr="00BD6443" w:rsidRDefault="00241417" w:rsidP="003A71DE">
            <w:pPr>
              <w:pStyle w:val="TAH"/>
            </w:pPr>
            <w:r w:rsidRPr="00BD6443">
              <w:t>Additional DM-RS position</w:t>
            </w:r>
          </w:p>
        </w:tc>
        <w:tc>
          <w:tcPr>
            <w:tcW w:w="1020" w:type="dxa"/>
            <w:tcBorders>
              <w:top w:val="single" w:sz="4" w:space="0" w:color="auto"/>
              <w:left w:val="single" w:sz="4" w:space="0" w:color="auto"/>
              <w:bottom w:val="single" w:sz="4" w:space="0" w:color="auto"/>
              <w:right w:val="single" w:sz="4" w:space="0" w:color="auto"/>
            </w:tcBorders>
            <w:vAlign w:val="center"/>
            <w:hideMark/>
          </w:tcPr>
          <w:p w14:paraId="34560368" w14:textId="77777777" w:rsidR="00241417" w:rsidRPr="00BD6443" w:rsidRDefault="00241417" w:rsidP="003A71DE">
            <w:pPr>
              <w:pStyle w:val="TAH"/>
            </w:pPr>
            <w:r w:rsidRPr="00BD6443">
              <w:t>SNR</w:t>
            </w:r>
          </w:p>
          <w:p w14:paraId="62CD796E" w14:textId="77777777" w:rsidR="00241417" w:rsidRPr="00BD6443" w:rsidRDefault="00241417" w:rsidP="003A71DE">
            <w:pPr>
              <w:pStyle w:val="TAH"/>
            </w:pPr>
            <w:r w:rsidRPr="00BD6443">
              <w:t>(dB)</w:t>
            </w:r>
          </w:p>
        </w:tc>
      </w:tr>
      <w:tr w:rsidR="00241417" w14:paraId="7FF846CC" w14:textId="77777777" w:rsidTr="003A71DE">
        <w:trPr>
          <w:trHeight w:val="105"/>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60CED5F5" w14:textId="77777777" w:rsidR="00241417" w:rsidRDefault="00241417" w:rsidP="003A71DE">
            <w:pPr>
              <w:pStyle w:val="TAC"/>
            </w:pPr>
            <w:r>
              <w:t>1</w:t>
            </w:r>
          </w:p>
        </w:tc>
        <w:tc>
          <w:tcPr>
            <w:tcW w:w="1398" w:type="dxa"/>
            <w:vMerge w:val="restart"/>
            <w:tcBorders>
              <w:top w:val="single" w:sz="4" w:space="0" w:color="auto"/>
              <w:left w:val="single" w:sz="4" w:space="0" w:color="auto"/>
              <w:bottom w:val="single" w:sz="4" w:space="0" w:color="auto"/>
              <w:right w:val="single" w:sz="4" w:space="0" w:color="auto"/>
            </w:tcBorders>
            <w:vAlign w:val="center"/>
            <w:hideMark/>
          </w:tcPr>
          <w:p w14:paraId="79F2F117" w14:textId="77777777" w:rsidR="00241417" w:rsidRDefault="00241417" w:rsidP="003A71DE">
            <w:pPr>
              <w:pStyle w:val="TAC"/>
            </w:pPr>
            <w:r>
              <w:t>2</w:t>
            </w:r>
          </w:p>
        </w:tc>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7817FE6E" w14:textId="77777777" w:rsidR="00241417" w:rsidRDefault="00241417" w:rsidP="003A71DE">
            <w:pPr>
              <w:pStyle w:val="TAC"/>
            </w:pPr>
            <w:r>
              <w:t>TDLA30-300 Low</w:t>
            </w:r>
          </w:p>
        </w:tc>
        <w:tc>
          <w:tcPr>
            <w:tcW w:w="1623" w:type="dxa"/>
            <w:tcBorders>
              <w:top w:val="single" w:sz="4" w:space="0" w:color="auto"/>
              <w:left w:val="single" w:sz="4" w:space="0" w:color="auto"/>
              <w:bottom w:val="single" w:sz="4" w:space="0" w:color="auto"/>
              <w:right w:val="single" w:sz="4" w:space="0" w:color="auto"/>
            </w:tcBorders>
            <w:vAlign w:val="center"/>
            <w:hideMark/>
          </w:tcPr>
          <w:p w14:paraId="4B88C490" w14:textId="77777777" w:rsidR="00241417" w:rsidRDefault="00241417" w:rsidP="003A71DE">
            <w:pPr>
              <w:pStyle w:val="TAC"/>
              <w:rPr>
                <w:lang w:eastAsia="zh-CN"/>
              </w:rPr>
            </w:pPr>
            <w:r w:rsidRPr="008757D3">
              <w:rPr>
                <w:lang w:eastAsia="zh-CN"/>
              </w:rPr>
              <w:t>D-FR2-A.2.1-</w:t>
            </w:r>
            <w:r>
              <w:rPr>
                <w:lang w:eastAsia="zh-CN"/>
              </w:rPr>
              <w:t>12</w:t>
            </w:r>
          </w:p>
        </w:tc>
        <w:tc>
          <w:tcPr>
            <w:tcW w:w="1171" w:type="dxa"/>
            <w:tcBorders>
              <w:top w:val="single" w:sz="4" w:space="0" w:color="auto"/>
              <w:left w:val="single" w:sz="4" w:space="0" w:color="auto"/>
              <w:bottom w:val="single" w:sz="4" w:space="0" w:color="auto"/>
              <w:right w:val="single" w:sz="4" w:space="0" w:color="auto"/>
            </w:tcBorders>
            <w:vAlign w:val="center"/>
            <w:hideMark/>
          </w:tcPr>
          <w:p w14:paraId="58E992DD" w14:textId="77777777" w:rsidR="00241417" w:rsidRDefault="00241417" w:rsidP="003A71DE">
            <w:pPr>
              <w:pStyle w:val="TAC"/>
            </w:pPr>
            <w:r>
              <w:t>pos0</w:t>
            </w:r>
          </w:p>
        </w:tc>
        <w:tc>
          <w:tcPr>
            <w:tcW w:w="1020" w:type="dxa"/>
            <w:tcBorders>
              <w:top w:val="single" w:sz="4" w:space="0" w:color="auto"/>
              <w:left w:val="single" w:sz="4" w:space="0" w:color="auto"/>
              <w:bottom w:val="single" w:sz="4" w:space="0" w:color="auto"/>
              <w:right w:val="single" w:sz="4" w:space="0" w:color="auto"/>
            </w:tcBorders>
            <w:vAlign w:val="center"/>
            <w:hideMark/>
          </w:tcPr>
          <w:p w14:paraId="13B41E3A" w14:textId="77777777" w:rsidR="00241417" w:rsidRDefault="00241417" w:rsidP="003A71DE">
            <w:pPr>
              <w:pStyle w:val="TAC"/>
            </w:pPr>
            <w:r>
              <w:t>-1.</w:t>
            </w:r>
            <w:r>
              <w:rPr>
                <w:rFonts w:eastAsia="DengXian"/>
                <w:lang w:eastAsia="zh-CN"/>
              </w:rPr>
              <w:t>8</w:t>
            </w:r>
          </w:p>
        </w:tc>
      </w:tr>
      <w:tr w:rsidR="00241417" w14:paraId="0B32A00D"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72C0F4FF" w14:textId="77777777" w:rsidR="00241417" w:rsidRDefault="00241417" w:rsidP="003A71DE">
            <w:pPr>
              <w:pStyle w:val="TAC"/>
            </w:pPr>
          </w:p>
        </w:tc>
        <w:tc>
          <w:tcPr>
            <w:tcW w:w="1398" w:type="dxa"/>
            <w:vMerge/>
            <w:tcBorders>
              <w:top w:val="single" w:sz="4" w:space="0" w:color="auto"/>
              <w:left w:val="single" w:sz="4" w:space="0" w:color="auto"/>
              <w:bottom w:val="single" w:sz="4" w:space="0" w:color="auto"/>
              <w:right w:val="single" w:sz="4" w:space="0" w:color="auto"/>
            </w:tcBorders>
            <w:vAlign w:val="center"/>
            <w:hideMark/>
          </w:tcPr>
          <w:p w14:paraId="6F83C243" w14:textId="77777777" w:rsidR="00241417" w:rsidRDefault="00241417" w:rsidP="003A71DE">
            <w:pPr>
              <w:pStyle w:val="TAC"/>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2CC06646" w14:textId="77777777" w:rsidR="00241417" w:rsidRDefault="00241417" w:rsidP="003A71DE">
            <w:pPr>
              <w:pStyle w:val="TAC"/>
            </w:pPr>
          </w:p>
        </w:tc>
        <w:tc>
          <w:tcPr>
            <w:tcW w:w="1623" w:type="dxa"/>
            <w:tcBorders>
              <w:top w:val="single" w:sz="4" w:space="0" w:color="auto"/>
              <w:left w:val="single" w:sz="4" w:space="0" w:color="auto"/>
              <w:bottom w:val="single" w:sz="4" w:space="0" w:color="auto"/>
              <w:right w:val="single" w:sz="4" w:space="0" w:color="auto"/>
            </w:tcBorders>
            <w:vAlign w:val="center"/>
            <w:hideMark/>
          </w:tcPr>
          <w:p w14:paraId="6C204E7D" w14:textId="77777777" w:rsidR="00241417" w:rsidRDefault="00241417" w:rsidP="003A71DE">
            <w:pPr>
              <w:pStyle w:val="TAC"/>
              <w:rPr>
                <w:lang w:eastAsia="zh-CN"/>
              </w:rPr>
            </w:pPr>
            <w:r w:rsidRPr="008757D3">
              <w:rPr>
                <w:lang w:eastAsia="zh-CN"/>
              </w:rPr>
              <w:t>D-FR2-A.2.1-</w:t>
            </w:r>
            <w:r>
              <w:rPr>
                <w:lang w:eastAsia="zh-CN"/>
              </w:rPr>
              <w:t>24</w:t>
            </w:r>
          </w:p>
        </w:tc>
        <w:tc>
          <w:tcPr>
            <w:tcW w:w="1171" w:type="dxa"/>
            <w:tcBorders>
              <w:top w:val="single" w:sz="4" w:space="0" w:color="auto"/>
              <w:left w:val="single" w:sz="4" w:space="0" w:color="auto"/>
              <w:bottom w:val="single" w:sz="4" w:space="0" w:color="auto"/>
              <w:right w:val="single" w:sz="4" w:space="0" w:color="auto"/>
            </w:tcBorders>
            <w:vAlign w:val="center"/>
            <w:hideMark/>
          </w:tcPr>
          <w:p w14:paraId="2E70010E" w14:textId="77777777" w:rsidR="00241417" w:rsidRDefault="00241417" w:rsidP="003A71DE">
            <w:pPr>
              <w:pStyle w:val="TAC"/>
            </w:pPr>
            <w:r>
              <w:t>pos1</w:t>
            </w:r>
          </w:p>
        </w:tc>
        <w:tc>
          <w:tcPr>
            <w:tcW w:w="1020" w:type="dxa"/>
            <w:tcBorders>
              <w:top w:val="single" w:sz="4" w:space="0" w:color="auto"/>
              <w:left w:val="single" w:sz="4" w:space="0" w:color="auto"/>
              <w:bottom w:val="single" w:sz="4" w:space="0" w:color="auto"/>
              <w:right w:val="single" w:sz="4" w:space="0" w:color="auto"/>
            </w:tcBorders>
            <w:vAlign w:val="center"/>
            <w:hideMark/>
          </w:tcPr>
          <w:p w14:paraId="19E54271" w14:textId="77777777" w:rsidR="00241417" w:rsidRDefault="00241417" w:rsidP="003A71DE">
            <w:pPr>
              <w:pStyle w:val="TAC"/>
            </w:pPr>
            <w:r>
              <w:t>-1.</w:t>
            </w:r>
            <w:r>
              <w:rPr>
                <w:rFonts w:eastAsia="DengXian"/>
                <w:lang w:eastAsia="zh-CN"/>
              </w:rPr>
              <w:t>9</w:t>
            </w:r>
          </w:p>
        </w:tc>
      </w:tr>
    </w:tbl>
    <w:p w14:paraId="3032D2A3" w14:textId="77777777" w:rsidR="00241417" w:rsidRDefault="00241417" w:rsidP="00241417">
      <w:pPr>
        <w:rPr>
          <w:noProof/>
        </w:rPr>
      </w:pPr>
    </w:p>
    <w:p w14:paraId="28C78EBC" w14:textId="77777777" w:rsidR="00241417" w:rsidRDefault="00241417" w:rsidP="00241417">
      <w:pPr>
        <w:pStyle w:val="Heading5"/>
        <w:rPr>
          <w:lang w:eastAsia="zh-CN"/>
        </w:rPr>
      </w:pPr>
      <w:bookmarkStart w:id="7344" w:name="_Toc67916536"/>
      <w:bookmarkStart w:id="7345" w:name="_Toc61176713"/>
      <w:bookmarkStart w:id="7346" w:name="_Toc53178079"/>
      <w:bookmarkStart w:id="7347" w:name="_Toc53177627"/>
      <w:bookmarkStart w:id="7348" w:name="_Toc37268812"/>
      <w:bookmarkStart w:id="7349" w:name="_Toc37268361"/>
      <w:bookmarkStart w:id="7350" w:name="_Toc29811406"/>
      <w:bookmarkStart w:id="7351" w:name="_Toc13079917"/>
      <w:bookmarkStart w:id="7352" w:name="_Toc74583471"/>
      <w:bookmarkStart w:id="7353" w:name="_Toc76542284"/>
      <w:bookmarkStart w:id="7354" w:name="_Toc82450266"/>
      <w:bookmarkStart w:id="7355" w:name="_Toc82450914"/>
      <w:bookmarkStart w:id="7356" w:name="_Toc89949303"/>
      <w:bookmarkStart w:id="7357" w:name="_Toc98755692"/>
      <w:bookmarkStart w:id="7358" w:name="_Toc98763284"/>
      <w:bookmarkStart w:id="7359" w:name="_Toc106184213"/>
      <w:r>
        <w:rPr>
          <w:lang w:eastAsia="ko-KR"/>
        </w:rPr>
        <w:t>11.1.2.</w:t>
      </w:r>
      <w:r>
        <w:rPr>
          <w:lang w:eastAsia="zh-CN"/>
        </w:rPr>
        <w:t>2</w:t>
      </w:r>
      <w:r>
        <w:rPr>
          <w:lang w:eastAsia="ko-KR"/>
        </w:rPr>
        <w:t>.</w:t>
      </w:r>
      <w:r>
        <w:rPr>
          <w:lang w:eastAsia="zh-CN"/>
        </w:rPr>
        <w:t>3</w:t>
      </w:r>
      <w:r>
        <w:rPr>
          <w:lang w:eastAsia="ko-KR"/>
        </w:rPr>
        <w:tab/>
      </w:r>
      <w:bookmarkEnd w:id="7344"/>
      <w:bookmarkEnd w:id="7345"/>
      <w:bookmarkEnd w:id="7346"/>
      <w:bookmarkEnd w:id="7347"/>
      <w:bookmarkEnd w:id="7348"/>
      <w:bookmarkEnd w:id="7349"/>
      <w:bookmarkEnd w:id="7350"/>
      <w:bookmarkEnd w:id="7351"/>
      <w:r w:rsidRPr="008757D3">
        <w:rPr>
          <w:lang w:eastAsia="ko-KR"/>
        </w:rPr>
        <w:t>Performance requirements for UCI multiplex</w:t>
      </w:r>
      <w:r>
        <w:rPr>
          <w:lang w:eastAsia="ko-KR"/>
        </w:rPr>
        <w:t>ed</w:t>
      </w:r>
      <w:r w:rsidRPr="008757D3">
        <w:rPr>
          <w:lang w:eastAsia="ko-KR"/>
        </w:rPr>
        <w:t xml:space="preserve"> on PUSCH</w:t>
      </w:r>
      <w:bookmarkEnd w:id="7352"/>
      <w:bookmarkEnd w:id="7353"/>
      <w:bookmarkEnd w:id="7354"/>
      <w:bookmarkEnd w:id="7355"/>
      <w:bookmarkEnd w:id="7356"/>
      <w:bookmarkEnd w:id="7357"/>
      <w:bookmarkEnd w:id="7358"/>
      <w:bookmarkEnd w:id="7359"/>
    </w:p>
    <w:p w14:paraId="0ABB7BC5" w14:textId="77777777" w:rsidR="00241417" w:rsidRDefault="00241417" w:rsidP="00241417">
      <w:pPr>
        <w:pStyle w:val="H6"/>
        <w:rPr>
          <w:lang w:eastAsia="zh-CN"/>
        </w:rPr>
      </w:pPr>
      <w:bookmarkStart w:id="7360" w:name="_Toc67916537"/>
      <w:bookmarkStart w:id="7361" w:name="_Toc61176714"/>
      <w:bookmarkStart w:id="7362" w:name="_Toc53178080"/>
      <w:bookmarkStart w:id="7363" w:name="_Toc53177628"/>
      <w:bookmarkStart w:id="7364" w:name="_Toc37268813"/>
      <w:bookmarkStart w:id="7365" w:name="_Toc37268362"/>
      <w:bookmarkStart w:id="7366" w:name="_Toc29811858"/>
      <w:bookmarkStart w:id="7367" w:name="_Toc29811407"/>
      <w:bookmarkStart w:id="7368" w:name="_Toc13079918"/>
      <w:r>
        <w:rPr>
          <w:lang w:eastAsia="ko-KR"/>
        </w:rPr>
        <w:t>11.1.2.</w:t>
      </w:r>
      <w:r>
        <w:rPr>
          <w:lang w:eastAsia="zh-CN"/>
        </w:rPr>
        <w:t>2</w:t>
      </w:r>
      <w:r>
        <w:rPr>
          <w:lang w:eastAsia="ko-KR"/>
        </w:rPr>
        <w:t>.</w:t>
      </w:r>
      <w:r>
        <w:rPr>
          <w:lang w:eastAsia="zh-CN"/>
        </w:rPr>
        <w:t>3</w:t>
      </w:r>
      <w:r>
        <w:t>.1</w:t>
      </w:r>
      <w:r>
        <w:tab/>
        <w:t>General</w:t>
      </w:r>
      <w:bookmarkEnd w:id="7360"/>
      <w:bookmarkEnd w:id="7361"/>
      <w:bookmarkEnd w:id="7362"/>
      <w:bookmarkEnd w:id="7363"/>
      <w:bookmarkEnd w:id="7364"/>
      <w:bookmarkEnd w:id="7365"/>
      <w:bookmarkEnd w:id="7366"/>
      <w:bookmarkEnd w:id="7367"/>
      <w:bookmarkEnd w:id="7368"/>
    </w:p>
    <w:p w14:paraId="5587F441" w14:textId="77777777" w:rsidR="00241417" w:rsidRDefault="00241417" w:rsidP="00241417">
      <w:pPr>
        <w:rPr>
          <w:noProof/>
          <w:lang w:eastAsia="zh-CN"/>
        </w:rPr>
      </w:pPr>
      <w:r>
        <w:rPr>
          <w:noProof/>
          <w:lang w:eastAsia="zh-CN"/>
        </w:rPr>
        <w:t>In the tests for UCI multiplexed on PUSCH the UCI information only contains CSI part 1 and CSI part 2 information and there is no HACK/ACK information transmitted.</w:t>
      </w:r>
    </w:p>
    <w:p w14:paraId="5BB24A96" w14:textId="77777777" w:rsidR="00241417" w:rsidRDefault="00241417" w:rsidP="00241417">
      <w:pPr>
        <w:rPr>
          <w:lang w:eastAsia="zh-CN"/>
        </w:rPr>
      </w:pPr>
      <w:r>
        <w:rPr>
          <w:noProof/>
          <w:lang w:eastAsia="zh-CN"/>
        </w:rPr>
        <w:lastRenderedPageBreak/>
        <w:t xml:space="preserve">The CSI part 1 block error </w:t>
      </w:r>
      <w:r>
        <w:t xml:space="preserve">probability is defined as the probability of incorrectly </w:t>
      </w:r>
      <w:r w:rsidRPr="00F55971">
        <w:t>decod</w:t>
      </w:r>
      <w:r w:rsidRPr="00C043F7">
        <w:t>ed</w:t>
      </w:r>
      <w:r>
        <w:t xml:space="preserve"> the CSI part 1 information when the CSI part 1 information is sent as follow:</w:t>
      </w:r>
    </w:p>
    <w:p w14:paraId="61E448B0" w14:textId="77777777" w:rsidR="00241417" w:rsidRDefault="00241417" w:rsidP="00241417">
      <w:pPr>
        <w:pStyle w:val="EQ"/>
      </w:pPr>
      <w:r>
        <w:tab/>
      </w:r>
      <m:oMath>
        <m:sSub>
          <m:sSubPr>
            <m:ctrlPr>
              <w:rPr>
                <w:rFonts w:ascii="Cambria Math" w:hAnsi="Cambria Math"/>
              </w:rPr>
            </m:ctrlPr>
          </m:sSubPr>
          <m:e>
            <m:r>
              <w:rPr>
                <w:rFonts w:ascii="Cambria Math" w:hAnsi="Cambria Math"/>
              </w:rPr>
              <m:t>BLER</m:t>
            </m:r>
          </m:e>
          <m:sub>
            <m:r>
              <w:rPr>
                <w:rFonts w:ascii="Cambria Math" w:hAnsi="Cambria Math"/>
              </w:rPr>
              <m:t>CSI part 1</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#(false CSI part 1)</m:t>
            </m:r>
          </m:num>
          <m:den>
            <m:r>
              <m:rPr>
                <m:sty m:val="p"/>
              </m:rPr>
              <w:rPr>
                <w:rFonts w:ascii="Cambria Math" w:hAnsi="Cambria Math"/>
              </w:rPr>
              <m:t>#(CSI part 1)</m:t>
            </m:r>
          </m:den>
        </m:f>
      </m:oMath>
    </w:p>
    <w:p w14:paraId="0DC56CDF" w14:textId="77777777" w:rsidR="00241417" w:rsidRDefault="00241417" w:rsidP="00241417">
      <w:pPr>
        <w:rPr>
          <w:lang w:eastAsia="zh-CN"/>
        </w:rPr>
      </w:pPr>
      <w:r>
        <w:rPr>
          <w:lang w:eastAsia="zh-CN"/>
        </w:rPr>
        <w:t>where:</w:t>
      </w:r>
    </w:p>
    <w:p w14:paraId="69EE4DD3" w14:textId="77777777" w:rsidR="00241417" w:rsidRDefault="00241417" w:rsidP="00241417">
      <w:pPr>
        <w:pStyle w:val="B10"/>
      </w:pPr>
      <w:r>
        <w:t>-</w:t>
      </w:r>
      <w:r>
        <w:tab/>
        <w:t xml:space="preserve">#(false </w:t>
      </w:r>
      <w:r>
        <w:rPr>
          <w:lang w:eastAsia="zh-CN"/>
        </w:rPr>
        <w:t>CSI part 1</w:t>
      </w:r>
      <w:r>
        <w:t xml:space="preserve">) denotes the number of incorrectly </w:t>
      </w:r>
      <w:r>
        <w:rPr>
          <w:lang w:eastAsia="zh-CN"/>
        </w:rPr>
        <w:t xml:space="preserve">decoded </w:t>
      </w:r>
      <w:r>
        <w:t>CSI part</w:t>
      </w:r>
      <w:r>
        <w:rPr>
          <w:lang w:eastAsia="zh-CN"/>
        </w:rPr>
        <w:t xml:space="preserve"> </w:t>
      </w:r>
      <w:r>
        <w:t>1 information</w:t>
      </w:r>
      <w:r>
        <w:rPr>
          <w:lang w:eastAsia="zh-CN"/>
        </w:rPr>
        <w:t xml:space="preserve"> transmitted occasions</w:t>
      </w:r>
    </w:p>
    <w:p w14:paraId="762C74EF" w14:textId="77777777" w:rsidR="00241417" w:rsidRDefault="00241417" w:rsidP="00241417">
      <w:pPr>
        <w:pStyle w:val="B10"/>
      </w:pPr>
      <w:r>
        <w:t>-</w:t>
      </w:r>
      <w:r>
        <w:tab/>
        <w:t>#(</w:t>
      </w:r>
      <w:r>
        <w:rPr>
          <w:lang w:eastAsia="zh-CN"/>
        </w:rPr>
        <w:t>CSI part 1</w:t>
      </w:r>
      <w:r>
        <w:t>) denotes the number of</w:t>
      </w:r>
      <w:r>
        <w:rPr>
          <w:lang w:eastAsia="zh-CN"/>
        </w:rPr>
        <w:t xml:space="preserve"> CSI part 1information transmitted occasions.</w:t>
      </w:r>
    </w:p>
    <w:p w14:paraId="228EFA80" w14:textId="77777777" w:rsidR="00241417" w:rsidRDefault="00241417" w:rsidP="00241417">
      <w:pPr>
        <w:rPr>
          <w:lang w:eastAsia="zh-CN"/>
        </w:rPr>
      </w:pPr>
      <w:r>
        <w:t xml:space="preserve">The CSI part 2 block error probability (BLER) is defined as the probability of incorrectly </w:t>
      </w:r>
      <w:r w:rsidRPr="00F55971">
        <w:t>decod</w:t>
      </w:r>
      <w:r w:rsidRPr="00C043F7">
        <w:t>ed</w:t>
      </w:r>
      <w:r>
        <w:t xml:space="preserve"> the CSI part 2 information when the CSI part 2 information is sent as follows</w:t>
      </w:r>
      <w:r>
        <w:rPr>
          <w:lang w:eastAsia="zh-CN"/>
        </w:rPr>
        <w:t>:</w:t>
      </w:r>
    </w:p>
    <w:p w14:paraId="622CB5C6" w14:textId="77777777" w:rsidR="00241417" w:rsidRDefault="00241417" w:rsidP="00241417">
      <w:pPr>
        <w:pStyle w:val="EQ"/>
      </w:pPr>
      <w:r>
        <w:tab/>
      </w:r>
      <m:oMath>
        <m:sSub>
          <m:sSubPr>
            <m:ctrlPr>
              <w:rPr>
                <w:rFonts w:ascii="Cambria Math" w:hAnsi="Cambria Math"/>
              </w:rPr>
            </m:ctrlPr>
          </m:sSubPr>
          <m:e>
            <m:r>
              <w:rPr>
                <w:rFonts w:ascii="Cambria Math" w:hAnsi="Cambria Math"/>
              </w:rPr>
              <m:t>BLER</m:t>
            </m:r>
          </m:e>
          <m:sub>
            <m:r>
              <w:rPr>
                <w:rFonts w:ascii="Cambria Math" w:hAnsi="Cambria Math"/>
              </w:rPr>
              <m:t>CSI part 2</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#(false CSI part 2)</m:t>
            </m:r>
          </m:num>
          <m:den>
            <m:r>
              <m:rPr>
                <m:sty m:val="p"/>
              </m:rPr>
              <w:rPr>
                <w:rFonts w:ascii="Cambria Math" w:hAnsi="Cambria Math"/>
              </w:rPr>
              <m:t>#(CSI part 2)</m:t>
            </m:r>
          </m:den>
        </m:f>
      </m:oMath>
    </w:p>
    <w:p w14:paraId="68464C63" w14:textId="77777777" w:rsidR="00241417" w:rsidRDefault="00241417" w:rsidP="00241417">
      <w:pPr>
        <w:rPr>
          <w:lang w:eastAsia="zh-CN"/>
        </w:rPr>
      </w:pPr>
      <w:r>
        <w:rPr>
          <w:lang w:eastAsia="zh-CN"/>
        </w:rPr>
        <w:t>where:</w:t>
      </w:r>
    </w:p>
    <w:p w14:paraId="6BED5B89" w14:textId="77777777" w:rsidR="00241417" w:rsidRDefault="00241417" w:rsidP="00241417">
      <w:pPr>
        <w:pStyle w:val="B10"/>
      </w:pPr>
      <w:r>
        <w:t>-</w:t>
      </w:r>
      <w:r>
        <w:tab/>
        <w:t xml:space="preserve">#(false </w:t>
      </w:r>
      <w:r>
        <w:rPr>
          <w:lang w:eastAsia="zh-CN"/>
        </w:rPr>
        <w:t>CSI part 2</w:t>
      </w:r>
      <w:r>
        <w:t>) denotes the number of incorrectly decode</w:t>
      </w:r>
      <w:r>
        <w:rPr>
          <w:lang w:eastAsia="zh-CN"/>
        </w:rPr>
        <w:t xml:space="preserve">d </w:t>
      </w:r>
      <w:r>
        <w:t xml:space="preserve">CSI part </w:t>
      </w:r>
      <w:r>
        <w:rPr>
          <w:lang w:eastAsia="zh-CN"/>
        </w:rPr>
        <w:t>2</w:t>
      </w:r>
      <w:r>
        <w:t xml:space="preserve"> information transmitted occasions</w:t>
      </w:r>
    </w:p>
    <w:p w14:paraId="0BDD945A" w14:textId="77777777" w:rsidR="00241417" w:rsidRDefault="00241417" w:rsidP="00241417">
      <w:pPr>
        <w:pStyle w:val="B10"/>
        <w:rPr>
          <w:lang w:eastAsia="zh-CN"/>
        </w:rPr>
      </w:pPr>
      <w:r>
        <w:t>-</w:t>
      </w:r>
      <w:r>
        <w:tab/>
        <w:t>#(</w:t>
      </w:r>
      <w:r>
        <w:rPr>
          <w:lang w:eastAsia="zh-CN"/>
        </w:rPr>
        <w:t>CSI part 2</w:t>
      </w:r>
      <w:r>
        <w:t xml:space="preserve">) denotes the number of CSI part </w:t>
      </w:r>
      <w:r>
        <w:rPr>
          <w:lang w:eastAsia="zh-CN"/>
        </w:rPr>
        <w:t xml:space="preserve">2 </w:t>
      </w:r>
      <w:r>
        <w:t>information transmitted occasions.</w:t>
      </w:r>
    </w:p>
    <w:p w14:paraId="4E9104A8" w14:textId="77777777" w:rsidR="00241417" w:rsidRDefault="00241417" w:rsidP="00241417">
      <w:r>
        <w:rPr>
          <w:lang w:eastAsia="zh-CN"/>
        </w:rPr>
        <w:t>The number of UCI</w:t>
      </w:r>
      <w:r>
        <w:t xml:space="preserve"> information bit payload per slot is defined for two cases as follows:</w:t>
      </w:r>
    </w:p>
    <w:p w14:paraId="2C6C7135" w14:textId="77777777" w:rsidR="00241417" w:rsidRDefault="00241417" w:rsidP="00241417">
      <w:pPr>
        <w:pStyle w:val="B10"/>
      </w:pPr>
      <w:r>
        <w:t>-</w:t>
      </w:r>
      <w:r>
        <w:tab/>
        <w:t>5 bits in CSI part 1, 2 bits in CSI part 2</w:t>
      </w:r>
    </w:p>
    <w:p w14:paraId="573FBF5E" w14:textId="77777777" w:rsidR="00241417" w:rsidRDefault="00241417" w:rsidP="00241417">
      <w:pPr>
        <w:pStyle w:val="B10"/>
        <w:rPr>
          <w:lang w:eastAsia="zh-CN"/>
        </w:rPr>
      </w:pPr>
      <w:r>
        <w:t>-</w:t>
      </w:r>
      <w:r>
        <w:tab/>
        <w:t>20 bits in CSI part 1, 20 bits in CSI part 2</w:t>
      </w:r>
    </w:p>
    <w:p w14:paraId="439D4D11" w14:textId="77777777" w:rsidR="00241417" w:rsidRDefault="00241417" w:rsidP="00241417">
      <w:pPr>
        <w:rPr>
          <w:lang w:eastAsia="zh-CN"/>
        </w:rPr>
      </w:pPr>
      <w:r>
        <w:t>The 7bits UCI case is further defined with the bitmap [c0 c1 c2 c3 c4] = [0 1 0 1 0] for CSI part 1 information, where c0 is mapping to the RI information, and with the bitmap [c0 c1] = [1 0] for CSI part2 information.</w:t>
      </w:r>
    </w:p>
    <w:p w14:paraId="04A26FCD" w14:textId="77777777" w:rsidR="00241417" w:rsidRDefault="00241417" w:rsidP="00241417">
      <w:r>
        <w:rPr>
          <w:lang w:eastAsia="zh-CN"/>
        </w:rPr>
        <w:t xml:space="preserve">The 40bits </w:t>
      </w:r>
      <w:r>
        <w:t xml:space="preserve">UCI information case is assumed random </w:t>
      </w:r>
      <w:r>
        <w:rPr>
          <w:lang w:eastAsia="zh-CN"/>
        </w:rPr>
        <w:t>information bit</w:t>
      </w:r>
      <w:r>
        <w:t xml:space="preserve"> selection.</w:t>
      </w:r>
    </w:p>
    <w:p w14:paraId="66A7D127" w14:textId="77777777" w:rsidR="00241417" w:rsidRDefault="00241417" w:rsidP="00241417">
      <w:pPr>
        <w:rPr>
          <w:lang w:eastAsia="zh-CN"/>
        </w:rPr>
      </w:pPr>
      <w:r>
        <w:rPr>
          <w:lang w:eastAsia="zh-CN"/>
        </w:rPr>
        <w:t>In both tests, PUSCH data, CSI part 1 and CSI part 2 information are transmitted simultaneously.</w:t>
      </w:r>
    </w:p>
    <w:p w14:paraId="4F0FC286" w14:textId="77777777" w:rsidR="00241417" w:rsidRPr="00732378" w:rsidRDefault="00241417" w:rsidP="00241417">
      <w:pPr>
        <w:pStyle w:val="TH"/>
      </w:pPr>
      <w:r w:rsidRPr="00732378">
        <w:lastRenderedPageBreak/>
        <w:t>Table 11.</w:t>
      </w:r>
      <w:r>
        <w:t>1.</w:t>
      </w:r>
      <w:r w:rsidRPr="00732378">
        <w:t xml:space="preserve">2.2.3.1-1: Test parameters for UCI multiplexed on PUSCH testing </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951"/>
        <w:gridCol w:w="4274"/>
        <w:gridCol w:w="1230"/>
        <w:gridCol w:w="1176"/>
      </w:tblGrid>
      <w:tr w:rsidR="00241417" w:rsidRPr="00732378" w14:paraId="57A766C0" w14:textId="77777777" w:rsidTr="003A71DE">
        <w:trPr>
          <w:jc w:val="center"/>
        </w:trPr>
        <w:tc>
          <w:tcPr>
            <w:tcW w:w="0" w:type="auto"/>
            <w:gridSpan w:val="2"/>
            <w:tcBorders>
              <w:top w:val="single" w:sz="4" w:space="0" w:color="auto"/>
              <w:left w:val="single" w:sz="4" w:space="0" w:color="auto"/>
              <w:bottom w:val="single" w:sz="6" w:space="0" w:color="auto"/>
              <w:right w:val="single" w:sz="6" w:space="0" w:color="auto"/>
            </w:tcBorders>
            <w:vAlign w:val="center"/>
            <w:hideMark/>
          </w:tcPr>
          <w:p w14:paraId="2AA66419" w14:textId="77777777" w:rsidR="00241417" w:rsidRPr="00732378" w:rsidRDefault="00241417" w:rsidP="003A71DE">
            <w:pPr>
              <w:pStyle w:val="TAH"/>
            </w:pPr>
            <w:r w:rsidRPr="00732378">
              <w:t>Parameter</w:t>
            </w:r>
          </w:p>
        </w:tc>
        <w:tc>
          <w:tcPr>
            <w:tcW w:w="0" w:type="auto"/>
            <w:gridSpan w:val="2"/>
            <w:tcBorders>
              <w:top w:val="single" w:sz="4" w:space="0" w:color="auto"/>
              <w:left w:val="single" w:sz="6" w:space="0" w:color="auto"/>
              <w:bottom w:val="single" w:sz="6" w:space="0" w:color="auto"/>
              <w:right w:val="single" w:sz="4" w:space="0" w:color="auto"/>
            </w:tcBorders>
            <w:vAlign w:val="center"/>
            <w:hideMark/>
          </w:tcPr>
          <w:p w14:paraId="4C5AEF9E" w14:textId="77777777" w:rsidR="00241417" w:rsidRPr="00732378" w:rsidRDefault="00241417" w:rsidP="003A71DE">
            <w:pPr>
              <w:pStyle w:val="TAH"/>
            </w:pPr>
            <w:r w:rsidRPr="00732378">
              <w:t>Value</w:t>
            </w:r>
          </w:p>
        </w:tc>
      </w:tr>
      <w:tr w:rsidR="00241417" w14:paraId="2E00F8A8"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4C1DB23C" w14:textId="77777777" w:rsidR="00241417" w:rsidRDefault="00241417" w:rsidP="003A71DE">
            <w:pPr>
              <w:pStyle w:val="TAL"/>
            </w:pPr>
            <w:r>
              <w:t>Transform precoding</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2A4B8383" w14:textId="77777777" w:rsidR="00241417" w:rsidRDefault="00241417" w:rsidP="003A71DE">
            <w:pPr>
              <w:pStyle w:val="TAC"/>
              <w:rPr>
                <w:lang w:eastAsia="zh-CN"/>
              </w:rPr>
            </w:pPr>
            <w:r>
              <w:rPr>
                <w:lang w:eastAsia="zh-CN"/>
              </w:rPr>
              <w:t>Disabled</w:t>
            </w:r>
          </w:p>
        </w:tc>
      </w:tr>
      <w:tr w:rsidR="00241417" w14:paraId="0A401584"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7650041E" w14:textId="77777777" w:rsidR="00241417" w:rsidRDefault="00241417" w:rsidP="003A71DE">
            <w:pPr>
              <w:pStyle w:val="TAL"/>
            </w:pPr>
            <w:r>
              <w:rPr>
                <w:lang w:eastAsia="zh-CN"/>
              </w:rPr>
              <w:t>Default TDD UL-DL pattern (Note 1)</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76BAF0DA" w14:textId="77777777" w:rsidR="00241417" w:rsidRDefault="00241417" w:rsidP="003A71DE">
            <w:pPr>
              <w:pStyle w:val="TAC"/>
            </w:pPr>
            <w:r>
              <w:rPr>
                <w:lang w:eastAsia="zh-CN"/>
              </w:rPr>
              <w:t>12</w:t>
            </w:r>
            <w:r>
              <w:t>0 kHz SCS:</w:t>
            </w:r>
          </w:p>
          <w:p w14:paraId="7CB6C212" w14:textId="77777777" w:rsidR="00241417" w:rsidRDefault="00241417" w:rsidP="003A71DE">
            <w:pPr>
              <w:pStyle w:val="TAC"/>
            </w:pPr>
            <w:r>
              <w:rPr>
                <w:lang w:eastAsia="zh-CN"/>
              </w:rPr>
              <w:t>3</w:t>
            </w:r>
            <w:r>
              <w:t>D1S</w:t>
            </w:r>
            <w:r>
              <w:rPr>
                <w:lang w:eastAsia="zh-CN"/>
              </w:rPr>
              <w:t>1</w:t>
            </w:r>
            <w:r>
              <w:t>U, S=</w:t>
            </w:r>
            <w:r>
              <w:rPr>
                <w:lang w:eastAsia="zh-CN"/>
              </w:rPr>
              <w:t>10</w:t>
            </w:r>
            <w:r>
              <w:t>D:</w:t>
            </w:r>
            <w:r>
              <w:rPr>
                <w:lang w:eastAsia="zh-CN"/>
              </w:rPr>
              <w:t>2</w:t>
            </w:r>
            <w:r>
              <w:t>G:</w:t>
            </w:r>
            <w:r>
              <w:rPr>
                <w:lang w:eastAsia="zh-CN"/>
              </w:rPr>
              <w:t>2</w:t>
            </w:r>
            <w:r>
              <w:t>U</w:t>
            </w:r>
          </w:p>
        </w:tc>
      </w:tr>
      <w:tr w:rsidR="00241417" w14:paraId="64D9D658"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tcPr>
          <w:p w14:paraId="57862EDC" w14:textId="77777777" w:rsidR="00241417" w:rsidRDefault="00241417" w:rsidP="003A71DE">
            <w:pPr>
              <w:pStyle w:val="TAL"/>
              <w:rPr>
                <w:lang w:eastAsia="zh-CN"/>
              </w:rPr>
            </w:pPr>
            <w:r>
              <w:rPr>
                <w:lang w:eastAsia="zh-CN"/>
              </w:rPr>
              <w:t>Cyclic prefix</w:t>
            </w:r>
          </w:p>
        </w:tc>
        <w:tc>
          <w:tcPr>
            <w:tcW w:w="0" w:type="auto"/>
            <w:gridSpan w:val="2"/>
            <w:tcBorders>
              <w:top w:val="single" w:sz="6" w:space="0" w:color="auto"/>
              <w:left w:val="single" w:sz="6" w:space="0" w:color="auto"/>
              <w:bottom w:val="single" w:sz="6" w:space="0" w:color="auto"/>
              <w:right w:val="single" w:sz="4" w:space="0" w:color="auto"/>
            </w:tcBorders>
            <w:vAlign w:val="center"/>
          </w:tcPr>
          <w:p w14:paraId="51C099D1" w14:textId="77777777" w:rsidR="00241417" w:rsidRDefault="00241417" w:rsidP="003A71DE">
            <w:pPr>
              <w:pStyle w:val="TAC"/>
              <w:rPr>
                <w:lang w:eastAsia="zh-CN"/>
              </w:rPr>
            </w:pPr>
            <w:r>
              <w:rPr>
                <w:lang w:eastAsia="zh-CN"/>
              </w:rPr>
              <w:t>Normal</w:t>
            </w:r>
          </w:p>
        </w:tc>
      </w:tr>
      <w:tr w:rsidR="00241417" w14:paraId="621BD4FC"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1400CBA2" w14:textId="77777777" w:rsidR="00241417" w:rsidRDefault="00241417" w:rsidP="003A71DE">
            <w:pPr>
              <w:pStyle w:val="TAL"/>
            </w:pPr>
            <w:r>
              <w:t>HARQ</w:t>
            </w:r>
          </w:p>
        </w:tc>
        <w:tc>
          <w:tcPr>
            <w:tcW w:w="0" w:type="auto"/>
            <w:tcBorders>
              <w:top w:val="single" w:sz="6" w:space="0" w:color="auto"/>
              <w:left w:val="single" w:sz="6" w:space="0" w:color="auto"/>
              <w:bottom w:val="single" w:sz="6" w:space="0" w:color="auto"/>
              <w:right w:val="single" w:sz="6" w:space="0" w:color="auto"/>
            </w:tcBorders>
            <w:vAlign w:val="center"/>
            <w:hideMark/>
          </w:tcPr>
          <w:p w14:paraId="7D90BB46" w14:textId="77777777" w:rsidR="00241417" w:rsidRDefault="00241417" w:rsidP="003A71DE">
            <w:pPr>
              <w:pStyle w:val="TAL"/>
            </w:pPr>
            <w:r>
              <w:t>Maximum number of HARQ transmissions</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346D59D3" w14:textId="77777777" w:rsidR="00241417" w:rsidRDefault="00241417" w:rsidP="003A71DE">
            <w:pPr>
              <w:pStyle w:val="TAC"/>
              <w:rPr>
                <w:lang w:eastAsia="zh-CN"/>
              </w:rPr>
            </w:pPr>
            <w:r>
              <w:rPr>
                <w:lang w:eastAsia="zh-CN"/>
              </w:rPr>
              <w:t>1</w:t>
            </w:r>
          </w:p>
        </w:tc>
      </w:tr>
      <w:tr w:rsidR="00241417" w14:paraId="3E48E577"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60C69F83"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3EE247DF" w14:textId="77777777" w:rsidR="00241417" w:rsidRDefault="00241417" w:rsidP="003A71DE">
            <w:pPr>
              <w:pStyle w:val="TAL"/>
            </w:pPr>
            <w:r>
              <w:t>RV sequence</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09EC0357" w14:textId="77777777" w:rsidR="00241417" w:rsidRDefault="00241417" w:rsidP="003A71DE">
            <w:pPr>
              <w:pStyle w:val="TAC"/>
              <w:rPr>
                <w:lang w:eastAsia="zh-CN"/>
              </w:rPr>
            </w:pPr>
            <w:r>
              <w:rPr>
                <w:lang w:val="fr-FR"/>
              </w:rPr>
              <w:t>0</w:t>
            </w:r>
          </w:p>
        </w:tc>
      </w:tr>
      <w:tr w:rsidR="00241417" w14:paraId="4E011473"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0D97DD4D" w14:textId="77777777" w:rsidR="00241417" w:rsidRDefault="00241417" w:rsidP="003A71DE">
            <w:pPr>
              <w:pStyle w:val="TAL"/>
            </w:pPr>
            <w:r>
              <w:t>DM</w:t>
            </w:r>
            <w:r>
              <w:rPr>
                <w:lang w:eastAsia="zh-CN"/>
              </w:rPr>
              <w:t>-</w:t>
            </w:r>
            <w:r>
              <w:t>RS</w:t>
            </w:r>
          </w:p>
        </w:tc>
        <w:tc>
          <w:tcPr>
            <w:tcW w:w="0" w:type="auto"/>
            <w:tcBorders>
              <w:top w:val="single" w:sz="6" w:space="0" w:color="auto"/>
              <w:left w:val="single" w:sz="6" w:space="0" w:color="auto"/>
              <w:bottom w:val="single" w:sz="6" w:space="0" w:color="auto"/>
              <w:right w:val="single" w:sz="6" w:space="0" w:color="auto"/>
            </w:tcBorders>
            <w:vAlign w:val="center"/>
            <w:hideMark/>
          </w:tcPr>
          <w:p w14:paraId="16118900" w14:textId="77777777" w:rsidR="00241417" w:rsidRDefault="00241417" w:rsidP="003A71DE">
            <w:pPr>
              <w:pStyle w:val="TAL"/>
            </w:pPr>
            <w:r>
              <w:t>DM</w:t>
            </w:r>
            <w:r>
              <w:rPr>
                <w:lang w:eastAsia="zh-CN"/>
              </w:rPr>
              <w:t>-</w:t>
            </w:r>
            <w:r>
              <w:t>RS configuration type</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39C1770E" w14:textId="77777777" w:rsidR="00241417" w:rsidRDefault="00241417" w:rsidP="003A71DE">
            <w:pPr>
              <w:pStyle w:val="TAC"/>
            </w:pPr>
            <w:r>
              <w:t>1</w:t>
            </w:r>
          </w:p>
        </w:tc>
      </w:tr>
      <w:tr w:rsidR="00241417" w14:paraId="67471EBA"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1A7A5ABE"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62F7F221" w14:textId="77777777" w:rsidR="00241417" w:rsidRDefault="00241417" w:rsidP="003A71DE">
            <w:pPr>
              <w:pStyle w:val="TAL"/>
            </w:pPr>
            <w:r>
              <w:rPr>
                <w:lang w:eastAsia="zh-CN"/>
              </w:rPr>
              <w:t>DM-RS duration</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5D10C449" w14:textId="77777777" w:rsidR="00241417" w:rsidRDefault="00241417" w:rsidP="003A71DE">
            <w:pPr>
              <w:pStyle w:val="TAC"/>
              <w:rPr>
                <w:lang w:eastAsia="zh-CN"/>
              </w:rPr>
            </w:pPr>
            <w:r>
              <w:rPr>
                <w:lang w:eastAsia="zh-CN"/>
              </w:rPr>
              <w:t>single-symbol DM-RS</w:t>
            </w:r>
          </w:p>
        </w:tc>
      </w:tr>
      <w:tr w:rsidR="00241417" w14:paraId="4A8C6B37"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E72A93A"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7FD2DFDF" w14:textId="77777777" w:rsidR="00241417" w:rsidRDefault="00241417" w:rsidP="003A71DE">
            <w:pPr>
              <w:pStyle w:val="TAL"/>
            </w:pPr>
            <w:r>
              <w:rPr>
                <w:lang w:eastAsia="zh-CN"/>
              </w:rPr>
              <w:t>Additional DM-RS position</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57E36AFE" w14:textId="77777777" w:rsidR="00241417" w:rsidRDefault="00241417" w:rsidP="003A71DE">
            <w:pPr>
              <w:pStyle w:val="TAC"/>
              <w:rPr>
                <w:lang w:eastAsia="zh-CN"/>
              </w:rPr>
            </w:pPr>
            <w:r>
              <w:rPr>
                <w:lang w:eastAsia="zh-CN"/>
              </w:rPr>
              <w:t>pos0, pos1</w:t>
            </w:r>
          </w:p>
        </w:tc>
      </w:tr>
      <w:tr w:rsidR="00241417" w14:paraId="770E24F1"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07F9E7C3"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193CE1F5" w14:textId="77777777" w:rsidR="00241417" w:rsidRDefault="00241417" w:rsidP="003A71DE">
            <w:pPr>
              <w:pStyle w:val="TAL"/>
              <w:rPr>
                <w:lang w:eastAsia="zh-CN"/>
              </w:rPr>
            </w:pPr>
            <w:r>
              <w:t>Numb</w:t>
            </w:r>
            <w:r>
              <w:rPr>
                <w:lang w:eastAsia="zh-CN"/>
              </w:rPr>
              <w:t>er of DM-RS CDM group(s) without data</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4FB53DBC" w14:textId="77777777" w:rsidR="00241417" w:rsidRDefault="00241417" w:rsidP="003A71DE">
            <w:pPr>
              <w:pStyle w:val="TAC"/>
            </w:pPr>
            <w:r>
              <w:t>2</w:t>
            </w:r>
          </w:p>
        </w:tc>
      </w:tr>
      <w:tr w:rsidR="00241417" w14:paraId="1CDD28BE"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74AC34F9"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0D792561" w14:textId="77777777" w:rsidR="00241417" w:rsidRDefault="00241417" w:rsidP="003A71DE">
            <w:pPr>
              <w:pStyle w:val="TAL"/>
              <w:rPr>
                <w:lang w:eastAsia="zh-CN"/>
              </w:rPr>
            </w:pPr>
            <w:r>
              <w:rPr>
                <w:lang w:eastAsia="zh-CN"/>
              </w:rPr>
              <w:t xml:space="preserve">Ratio of PUSCH EPRE to DM-RS EPRE </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7B9BA385" w14:textId="77777777" w:rsidR="00241417" w:rsidRDefault="00241417" w:rsidP="003A71DE">
            <w:pPr>
              <w:pStyle w:val="TAC"/>
              <w:rPr>
                <w:lang w:eastAsia="zh-CN"/>
              </w:rPr>
            </w:pPr>
            <w:r>
              <w:rPr>
                <w:lang w:eastAsia="zh-CN"/>
              </w:rPr>
              <w:t>-3 dB</w:t>
            </w:r>
          </w:p>
        </w:tc>
      </w:tr>
      <w:tr w:rsidR="00241417" w14:paraId="39BB004B"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6B70CB93"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613EBC56" w14:textId="77777777" w:rsidR="00241417" w:rsidRDefault="00241417" w:rsidP="003A71DE">
            <w:pPr>
              <w:pStyle w:val="TAL"/>
              <w:rPr>
                <w:lang w:eastAsia="zh-CN"/>
              </w:rPr>
            </w:pPr>
            <w:r>
              <w:t>DM</w:t>
            </w:r>
            <w:r>
              <w:rPr>
                <w:lang w:eastAsia="zh-CN"/>
              </w:rPr>
              <w:t>-</w:t>
            </w:r>
            <w:r>
              <w:t>RS port</w:t>
            </w:r>
            <w:r>
              <w:rPr>
                <w:lang w:eastAsia="zh-CN"/>
              </w:rPr>
              <w:t>(s)</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3ECC2BD9" w14:textId="77777777" w:rsidR="00241417" w:rsidRDefault="00241417" w:rsidP="003A71DE">
            <w:pPr>
              <w:pStyle w:val="TAC"/>
              <w:rPr>
                <w:lang w:eastAsia="zh-CN"/>
              </w:rPr>
            </w:pPr>
            <w:r>
              <w:rPr>
                <w:lang w:eastAsia="zh-CN"/>
              </w:rPr>
              <w:t>{0}</w:t>
            </w:r>
          </w:p>
        </w:tc>
      </w:tr>
      <w:tr w:rsidR="00241417" w14:paraId="118B0E0A"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56071CA1" w14:textId="77777777" w:rsidR="00241417" w:rsidRDefault="00241417" w:rsidP="003A71DE">
            <w:pPr>
              <w:pStyle w:val="TAL"/>
            </w:pPr>
          </w:p>
        </w:tc>
        <w:tc>
          <w:tcPr>
            <w:tcW w:w="0" w:type="auto"/>
            <w:tcBorders>
              <w:top w:val="single" w:sz="6" w:space="0" w:color="auto"/>
              <w:left w:val="single" w:sz="6" w:space="0" w:color="auto"/>
              <w:bottom w:val="single" w:sz="6" w:space="0" w:color="auto"/>
              <w:right w:val="single" w:sz="6" w:space="0" w:color="auto"/>
            </w:tcBorders>
            <w:vAlign w:val="center"/>
            <w:hideMark/>
          </w:tcPr>
          <w:p w14:paraId="69E22F17" w14:textId="77777777" w:rsidR="00241417" w:rsidRDefault="00241417" w:rsidP="003A71DE">
            <w:pPr>
              <w:pStyle w:val="TAL"/>
            </w:pPr>
            <w:r>
              <w:t>DM</w:t>
            </w:r>
            <w:r>
              <w:rPr>
                <w:lang w:eastAsia="zh-CN"/>
              </w:rPr>
              <w:t>-</w:t>
            </w:r>
            <w:r>
              <w:t>RS sequence generation</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2535870F" w14:textId="77777777" w:rsidR="00241417" w:rsidRDefault="00241417" w:rsidP="003A71DE">
            <w:pPr>
              <w:pStyle w:val="TAC"/>
            </w:pPr>
            <w:r>
              <w:rPr>
                <w:i/>
              </w:rPr>
              <w:t>N</w:t>
            </w:r>
            <w:r>
              <w:rPr>
                <w:i/>
                <w:vertAlign w:val="subscript"/>
                <w:lang w:eastAsia="zh-CN"/>
              </w:rPr>
              <w:t>ID</w:t>
            </w:r>
            <w:r>
              <w:rPr>
                <w:i/>
                <w:vertAlign w:val="superscript"/>
                <w:lang w:eastAsia="zh-CN"/>
              </w:rPr>
              <w:t>0</w:t>
            </w:r>
            <w:r>
              <w:rPr>
                <w:lang w:eastAsia="zh-CN"/>
              </w:rPr>
              <w:t>=0,</w:t>
            </w:r>
            <w:r>
              <w:rPr>
                <w:i/>
                <w:lang w:eastAsia="zh-CN"/>
              </w:rPr>
              <w:t>n</w:t>
            </w:r>
            <w:r>
              <w:rPr>
                <w:i/>
                <w:vertAlign w:val="subscript"/>
                <w:lang w:eastAsia="zh-CN"/>
              </w:rPr>
              <w:t>SCID</w:t>
            </w:r>
            <w:r>
              <w:rPr>
                <w:lang w:eastAsia="zh-CN"/>
              </w:rPr>
              <w:t>=0</w:t>
            </w:r>
            <w:r>
              <w:t xml:space="preserve"> </w:t>
            </w:r>
          </w:p>
        </w:tc>
      </w:tr>
      <w:tr w:rsidR="00241417" w14:paraId="5C2CD898"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1EA642F7" w14:textId="77777777" w:rsidR="00241417" w:rsidRDefault="00241417" w:rsidP="003A71DE">
            <w:pPr>
              <w:pStyle w:val="TAL"/>
              <w:rPr>
                <w:lang w:eastAsia="zh-CN"/>
              </w:rPr>
            </w:pPr>
            <w:r>
              <w:t>Time domain resource</w:t>
            </w:r>
            <w:r>
              <w:rPr>
                <w:lang w:eastAsia="zh-CN"/>
              </w:rPr>
              <w:t xml:space="preserve"> assignment</w:t>
            </w:r>
          </w:p>
        </w:tc>
        <w:tc>
          <w:tcPr>
            <w:tcW w:w="0" w:type="auto"/>
            <w:tcBorders>
              <w:top w:val="single" w:sz="6" w:space="0" w:color="auto"/>
              <w:left w:val="single" w:sz="6" w:space="0" w:color="auto"/>
              <w:bottom w:val="single" w:sz="6" w:space="0" w:color="auto"/>
              <w:right w:val="single" w:sz="6" w:space="0" w:color="auto"/>
            </w:tcBorders>
            <w:vAlign w:val="center"/>
            <w:hideMark/>
          </w:tcPr>
          <w:p w14:paraId="6B63D372" w14:textId="77777777" w:rsidR="00241417" w:rsidRDefault="00241417" w:rsidP="003A71DE">
            <w:pPr>
              <w:pStyle w:val="TAL"/>
            </w:pPr>
            <w:r>
              <w:t>PUSCH mapping type</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6FB3B4D2" w14:textId="77777777" w:rsidR="00241417" w:rsidRDefault="00241417" w:rsidP="003A71DE">
            <w:pPr>
              <w:pStyle w:val="TAC"/>
              <w:rPr>
                <w:lang w:eastAsia="zh-CN"/>
              </w:rPr>
            </w:pPr>
            <w:r>
              <w:rPr>
                <w:lang w:eastAsia="zh-CN"/>
              </w:rPr>
              <w:t>B</w:t>
            </w:r>
          </w:p>
        </w:tc>
      </w:tr>
      <w:tr w:rsidR="00241417" w14:paraId="370B9495"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3F7E263F"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658E0F5C" w14:textId="77777777" w:rsidR="00241417" w:rsidRDefault="00241417" w:rsidP="003A71DE">
            <w:pPr>
              <w:pStyle w:val="TAL"/>
              <w:rPr>
                <w:lang w:eastAsia="zh-CN"/>
              </w:rPr>
            </w:pPr>
            <w:r>
              <w:rPr>
                <w:lang w:eastAsia="zh-CN"/>
              </w:rPr>
              <w:t>S</w:t>
            </w:r>
            <w:r>
              <w:t>tart</w:t>
            </w:r>
            <w:r>
              <w:rPr>
                <w:lang w:eastAsia="zh-CN"/>
              </w:rPr>
              <w:t xml:space="preserve"> symbol</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15F01969" w14:textId="77777777" w:rsidR="00241417" w:rsidRDefault="00241417" w:rsidP="003A71DE">
            <w:pPr>
              <w:pStyle w:val="TAC"/>
              <w:rPr>
                <w:lang w:eastAsia="zh-CN"/>
              </w:rPr>
            </w:pPr>
            <w:r>
              <w:t>0</w:t>
            </w:r>
          </w:p>
        </w:tc>
      </w:tr>
      <w:tr w:rsidR="00241417" w14:paraId="024ABF1B"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524FDDE3"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5D002B6C" w14:textId="77777777" w:rsidR="00241417" w:rsidRDefault="00241417" w:rsidP="003A71DE">
            <w:pPr>
              <w:pStyle w:val="TAL"/>
              <w:rPr>
                <w:lang w:eastAsia="zh-CN"/>
              </w:rPr>
            </w:pPr>
            <w:r>
              <w:rPr>
                <w:lang w:eastAsia="zh-CN"/>
              </w:rPr>
              <w:t>Allocation length</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6A8EC5E5" w14:textId="77777777" w:rsidR="00241417" w:rsidRDefault="00241417" w:rsidP="003A71DE">
            <w:pPr>
              <w:pStyle w:val="TAC"/>
              <w:rPr>
                <w:lang w:eastAsia="zh-CN"/>
              </w:rPr>
            </w:pPr>
            <w:r>
              <w:t>1</w:t>
            </w:r>
            <w:r>
              <w:rPr>
                <w:lang w:eastAsia="zh-CN"/>
              </w:rPr>
              <w:t>0</w:t>
            </w:r>
          </w:p>
        </w:tc>
      </w:tr>
      <w:tr w:rsidR="00241417" w14:paraId="6933A3A4"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08922B48" w14:textId="77777777" w:rsidR="00241417" w:rsidRDefault="00241417" w:rsidP="003A71DE">
            <w:pPr>
              <w:pStyle w:val="TAL"/>
              <w:rPr>
                <w:lang w:eastAsia="zh-CN"/>
              </w:rPr>
            </w:pPr>
            <w:r>
              <w:t>Frequency domain resource</w:t>
            </w:r>
            <w:r>
              <w:rPr>
                <w:lang w:eastAsia="zh-CN"/>
              </w:rPr>
              <w:t xml:space="preserve"> assignment</w:t>
            </w:r>
          </w:p>
        </w:tc>
        <w:tc>
          <w:tcPr>
            <w:tcW w:w="0" w:type="auto"/>
            <w:tcBorders>
              <w:top w:val="single" w:sz="6" w:space="0" w:color="auto"/>
              <w:left w:val="single" w:sz="6" w:space="0" w:color="auto"/>
              <w:bottom w:val="single" w:sz="6" w:space="0" w:color="auto"/>
              <w:right w:val="single" w:sz="6" w:space="0" w:color="auto"/>
            </w:tcBorders>
            <w:vAlign w:val="center"/>
            <w:hideMark/>
          </w:tcPr>
          <w:p w14:paraId="6A930CAC" w14:textId="77777777" w:rsidR="00241417" w:rsidRDefault="00241417" w:rsidP="003A71DE">
            <w:pPr>
              <w:pStyle w:val="TAL"/>
            </w:pPr>
            <w:r>
              <w:t>RB assignment</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265A1711" w14:textId="77777777" w:rsidR="00241417" w:rsidRDefault="00241417" w:rsidP="003A71DE">
            <w:pPr>
              <w:pStyle w:val="TAC"/>
              <w:rPr>
                <w:lang w:eastAsia="zh-CN"/>
              </w:rPr>
            </w:pPr>
            <w:r>
              <w:rPr>
                <w:lang w:eastAsia="zh-CN"/>
              </w:rPr>
              <w:t>Full applicable test bandwidth</w:t>
            </w:r>
          </w:p>
        </w:tc>
      </w:tr>
      <w:tr w:rsidR="00241417" w14:paraId="32769630" w14:textId="77777777" w:rsidTr="003A71DE">
        <w:trPr>
          <w:trHeight w:val="55"/>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7D19BAD1"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5F20E7DF" w14:textId="77777777" w:rsidR="00241417" w:rsidRDefault="00241417" w:rsidP="003A71DE">
            <w:pPr>
              <w:pStyle w:val="TAL"/>
            </w:pPr>
            <w:r>
              <w:t>Frequency hopping</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0C6C5146" w14:textId="77777777" w:rsidR="00241417" w:rsidRDefault="00241417" w:rsidP="003A71DE">
            <w:pPr>
              <w:pStyle w:val="TAC"/>
            </w:pPr>
            <w:r>
              <w:t>Disabled</w:t>
            </w:r>
          </w:p>
        </w:tc>
      </w:tr>
      <w:tr w:rsidR="00241417" w14:paraId="305F4C3F" w14:textId="77777777" w:rsidTr="003A71DE">
        <w:trPr>
          <w:jc w:val="center"/>
        </w:trPr>
        <w:tc>
          <w:tcPr>
            <w:tcW w:w="0" w:type="auto"/>
            <w:gridSpan w:val="2"/>
            <w:tcBorders>
              <w:top w:val="single" w:sz="6" w:space="0" w:color="auto"/>
              <w:left w:val="single" w:sz="4" w:space="0" w:color="auto"/>
              <w:bottom w:val="single" w:sz="6" w:space="0" w:color="auto"/>
              <w:right w:val="single" w:sz="6" w:space="0" w:color="auto"/>
            </w:tcBorders>
            <w:vAlign w:val="center"/>
            <w:hideMark/>
          </w:tcPr>
          <w:p w14:paraId="0A6C8C47" w14:textId="77777777" w:rsidR="00241417" w:rsidRDefault="00241417" w:rsidP="003A71DE">
            <w:pPr>
              <w:pStyle w:val="TAL"/>
            </w:pPr>
            <w:r>
              <w:t>Code block group based PUSCH transmission</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014E354C" w14:textId="77777777" w:rsidR="00241417" w:rsidRDefault="00241417" w:rsidP="003A71DE">
            <w:pPr>
              <w:pStyle w:val="TAC"/>
            </w:pPr>
            <w:r>
              <w:t>Disabled</w:t>
            </w:r>
          </w:p>
        </w:tc>
      </w:tr>
      <w:tr w:rsidR="00241417" w14:paraId="618CAA39"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52FCEA19" w14:textId="77777777" w:rsidR="00241417" w:rsidRDefault="00241417" w:rsidP="003A71DE">
            <w:pPr>
              <w:pStyle w:val="TAL"/>
              <w:rPr>
                <w:lang w:eastAsia="zh-CN"/>
              </w:rPr>
            </w:pPr>
            <w:r>
              <w:rPr>
                <w:lang w:eastAsia="zh-CN"/>
              </w:rPr>
              <w:t xml:space="preserve">PT-RS configuration </w:t>
            </w:r>
          </w:p>
        </w:tc>
        <w:tc>
          <w:tcPr>
            <w:tcW w:w="0" w:type="auto"/>
            <w:tcBorders>
              <w:top w:val="single" w:sz="6" w:space="0" w:color="auto"/>
              <w:left w:val="single" w:sz="6" w:space="0" w:color="auto"/>
              <w:bottom w:val="single" w:sz="6" w:space="0" w:color="auto"/>
              <w:right w:val="single" w:sz="6" w:space="0" w:color="auto"/>
            </w:tcBorders>
            <w:vAlign w:val="center"/>
            <w:hideMark/>
          </w:tcPr>
          <w:p w14:paraId="4BADA4EC" w14:textId="77777777" w:rsidR="00241417" w:rsidRDefault="00241417" w:rsidP="003A71DE">
            <w:pPr>
              <w:pStyle w:val="TAL"/>
            </w:pPr>
            <w:r>
              <w:rPr>
                <w:rFonts w:cs="Arial"/>
                <w:lang w:eastAsia="zh-CN"/>
              </w:rPr>
              <w:t>PT-RS</w:t>
            </w:r>
          </w:p>
        </w:tc>
        <w:tc>
          <w:tcPr>
            <w:tcW w:w="0" w:type="auto"/>
            <w:tcBorders>
              <w:top w:val="single" w:sz="6" w:space="0" w:color="auto"/>
              <w:left w:val="single" w:sz="6" w:space="0" w:color="auto"/>
              <w:bottom w:val="single" w:sz="6" w:space="0" w:color="auto"/>
              <w:right w:val="single" w:sz="6" w:space="0" w:color="auto"/>
            </w:tcBorders>
            <w:vAlign w:val="center"/>
            <w:hideMark/>
          </w:tcPr>
          <w:p w14:paraId="5F9CE02D" w14:textId="77777777" w:rsidR="00241417" w:rsidRDefault="00241417" w:rsidP="003A71DE">
            <w:pPr>
              <w:pStyle w:val="TAC"/>
              <w:rPr>
                <w:lang w:eastAsia="zh-CN"/>
              </w:rPr>
            </w:pPr>
            <w:r>
              <w:rPr>
                <w:lang w:eastAsia="zh-CN"/>
              </w:rPr>
              <w:t>Disabled</w:t>
            </w:r>
          </w:p>
        </w:tc>
        <w:tc>
          <w:tcPr>
            <w:tcW w:w="0" w:type="auto"/>
            <w:tcBorders>
              <w:top w:val="single" w:sz="6" w:space="0" w:color="auto"/>
              <w:left w:val="single" w:sz="6" w:space="0" w:color="auto"/>
              <w:bottom w:val="single" w:sz="6" w:space="0" w:color="auto"/>
              <w:right w:val="single" w:sz="4" w:space="0" w:color="auto"/>
            </w:tcBorders>
            <w:vAlign w:val="center"/>
            <w:hideMark/>
          </w:tcPr>
          <w:p w14:paraId="20511483" w14:textId="77777777" w:rsidR="00241417" w:rsidRDefault="00241417" w:rsidP="003A71DE">
            <w:pPr>
              <w:pStyle w:val="TAC"/>
              <w:rPr>
                <w:lang w:eastAsia="zh-CN"/>
              </w:rPr>
            </w:pPr>
            <w:r>
              <w:rPr>
                <w:lang w:eastAsia="zh-CN"/>
              </w:rPr>
              <w:t>Enabled</w:t>
            </w:r>
          </w:p>
        </w:tc>
      </w:tr>
      <w:tr w:rsidR="00241417" w14:paraId="6782D33F"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6C6B353B"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67E6012E" w14:textId="77777777" w:rsidR="00241417" w:rsidRDefault="00241417" w:rsidP="003A71DE">
            <w:pPr>
              <w:pStyle w:val="TAL"/>
              <w:rPr>
                <w:rFonts w:cs="Arial"/>
                <w:lang w:eastAsia="zh-CN"/>
              </w:rPr>
            </w:pPr>
            <w:r>
              <w:rPr>
                <w:rFonts w:cs="Arial"/>
                <w:lang w:eastAsia="zh-CN"/>
              </w:rPr>
              <w:t>Frequency density (</w:t>
            </w:r>
            <w:r>
              <w:rPr>
                <w:rFonts w:cs="Arial"/>
                <w:i/>
                <w:lang w:eastAsia="zh-CN"/>
              </w:rPr>
              <w:t>K</w:t>
            </w:r>
            <w:r>
              <w:rPr>
                <w:rFonts w:cs="Arial"/>
                <w:i/>
                <w:vertAlign w:val="subscript"/>
                <w:lang w:eastAsia="zh-CN"/>
              </w:rPr>
              <w:t>PT-RS</w:t>
            </w:r>
            <w:r>
              <w:rPr>
                <w:rFonts w:cs="Arial"/>
                <w:lang w:eastAsia="zh-CN"/>
              </w:rPr>
              <w:t>)</w:t>
            </w:r>
          </w:p>
        </w:tc>
        <w:tc>
          <w:tcPr>
            <w:tcW w:w="0" w:type="auto"/>
            <w:tcBorders>
              <w:top w:val="single" w:sz="6" w:space="0" w:color="auto"/>
              <w:left w:val="single" w:sz="6" w:space="0" w:color="auto"/>
              <w:bottom w:val="single" w:sz="6" w:space="0" w:color="auto"/>
              <w:right w:val="single" w:sz="6" w:space="0" w:color="auto"/>
            </w:tcBorders>
            <w:vAlign w:val="center"/>
            <w:hideMark/>
          </w:tcPr>
          <w:p w14:paraId="7DC83F83" w14:textId="77777777" w:rsidR="00241417" w:rsidRDefault="00241417" w:rsidP="003A71DE">
            <w:pPr>
              <w:pStyle w:val="TAC"/>
              <w:rPr>
                <w:lang w:eastAsia="zh-CN"/>
              </w:rPr>
            </w:pPr>
            <w:r>
              <w:rPr>
                <w:lang w:eastAsia="zh-CN"/>
              </w:rPr>
              <w:t>N/A:</w:t>
            </w:r>
          </w:p>
        </w:tc>
        <w:tc>
          <w:tcPr>
            <w:tcW w:w="0" w:type="auto"/>
            <w:tcBorders>
              <w:top w:val="single" w:sz="6" w:space="0" w:color="auto"/>
              <w:left w:val="single" w:sz="6" w:space="0" w:color="auto"/>
              <w:bottom w:val="single" w:sz="6" w:space="0" w:color="auto"/>
              <w:right w:val="single" w:sz="4" w:space="0" w:color="auto"/>
            </w:tcBorders>
            <w:vAlign w:val="center"/>
            <w:hideMark/>
          </w:tcPr>
          <w:p w14:paraId="063983D2" w14:textId="77777777" w:rsidR="00241417" w:rsidRDefault="00241417" w:rsidP="003A71DE">
            <w:pPr>
              <w:pStyle w:val="TAC"/>
              <w:rPr>
                <w:lang w:eastAsia="zh-CN"/>
              </w:rPr>
            </w:pPr>
            <w:r>
              <w:rPr>
                <w:lang w:eastAsia="zh-CN"/>
              </w:rPr>
              <w:t>2</w:t>
            </w:r>
          </w:p>
        </w:tc>
      </w:tr>
      <w:tr w:rsidR="00241417" w14:paraId="158BB3E1"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0EF0E6D"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0E092CB7" w14:textId="77777777" w:rsidR="00241417" w:rsidRDefault="00241417" w:rsidP="003A71DE">
            <w:pPr>
              <w:pStyle w:val="TAL"/>
              <w:rPr>
                <w:rFonts w:cs="Arial"/>
                <w:lang w:eastAsia="zh-CN"/>
              </w:rPr>
            </w:pPr>
            <w:r>
              <w:rPr>
                <w:rFonts w:cs="Arial"/>
                <w:lang w:eastAsia="zh-CN"/>
              </w:rPr>
              <w:t>Time density (</w:t>
            </w:r>
            <w:r>
              <w:rPr>
                <w:rFonts w:cs="Arial"/>
                <w:i/>
                <w:lang w:eastAsia="zh-CN"/>
              </w:rPr>
              <w:t>L</w:t>
            </w:r>
            <w:r>
              <w:rPr>
                <w:rFonts w:cs="Arial"/>
                <w:i/>
                <w:vertAlign w:val="subscript"/>
                <w:lang w:eastAsia="zh-CN"/>
              </w:rPr>
              <w:t>PT-RS</w:t>
            </w:r>
            <w:r>
              <w:rPr>
                <w:rFonts w:cs="Arial"/>
                <w:lang w:eastAsia="zh-CN"/>
              </w:rPr>
              <w:t>)</w:t>
            </w:r>
          </w:p>
        </w:tc>
        <w:tc>
          <w:tcPr>
            <w:tcW w:w="0" w:type="auto"/>
            <w:tcBorders>
              <w:top w:val="single" w:sz="6" w:space="0" w:color="auto"/>
              <w:left w:val="single" w:sz="6" w:space="0" w:color="auto"/>
              <w:bottom w:val="single" w:sz="6" w:space="0" w:color="auto"/>
              <w:right w:val="single" w:sz="6" w:space="0" w:color="auto"/>
            </w:tcBorders>
            <w:vAlign w:val="center"/>
            <w:hideMark/>
          </w:tcPr>
          <w:p w14:paraId="1105160A" w14:textId="77777777" w:rsidR="00241417" w:rsidRDefault="00241417" w:rsidP="003A71DE">
            <w:pPr>
              <w:pStyle w:val="TAC"/>
              <w:rPr>
                <w:lang w:eastAsia="zh-CN"/>
              </w:rPr>
            </w:pPr>
            <w:r>
              <w:rPr>
                <w:lang w:eastAsia="zh-CN"/>
              </w:rPr>
              <w:t>N/A</w:t>
            </w:r>
          </w:p>
        </w:tc>
        <w:tc>
          <w:tcPr>
            <w:tcW w:w="0" w:type="auto"/>
            <w:tcBorders>
              <w:top w:val="single" w:sz="6" w:space="0" w:color="auto"/>
              <w:left w:val="single" w:sz="6" w:space="0" w:color="auto"/>
              <w:bottom w:val="single" w:sz="6" w:space="0" w:color="auto"/>
              <w:right w:val="single" w:sz="4" w:space="0" w:color="auto"/>
            </w:tcBorders>
            <w:vAlign w:val="center"/>
            <w:hideMark/>
          </w:tcPr>
          <w:p w14:paraId="0B2B41E5" w14:textId="77777777" w:rsidR="00241417" w:rsidRDefault="00241417" w:rsidP="003A71DE">
            <w:pPr>
              <w:pStyle w:val="TAC"/>
              <w:rPr>
                <w:lang w:eastAsia="zh-CN"/>
              </w:rPr>
            </w:pPr>
            <w:r>
              <w:rPr>
                <w:lang w:eastAsia="zh-CN"/>
              </w:rPr>
              <w:t>1</w:t>
            </w:r>
          </w:p>
        </w:tc>
      </w:tr>
      <w:tr w:rsidR="00241417" w14:paraId="42EB870B" w14:textId="77777777" w:rsidTr="003A71DE">
        <w:trPr>
          <w:jc w:val="center"/>
        </w:trPr>
        <w:tc>
          <w:tcPr>
            <w:tcW w:w="0" w:type="auto"/>
            <w:vMerge w:val="restart"/>
            <w:tcBorders>
              <w:top w:val="single" w:sz="6" w:space="0" w:color="auto"/>
              <w:left w:val="single" w:sz="4" w:space="0" w:color="auto"/>
              <w:bottom w:val="single" w:sz="6" w:space="0" w:color="auto"/>
              <w:right w:val="single" w:sz="6" w:space="0" w:color="auto"/>
            </w:tcBorders>
            <w:vAlign w:val="center"/>
            <w:hideMark/>
          </w:tcPr>
          <w:p w14:paraId="2B806F5E" w14:textId="77777777" w:rsidR="00241417" w:rsidRDefault="00241417" w:rsidP="003A71DE">
            <w:pPr>
              <w:pStyle w:val="TAL"/>
              <w:rPr>
                <w:lang w:eastAsia="zh-CN"/>
              </w:rPr>
            </w:pPr>
            <w:r>
              <w:rPr>
                <w:lang w:eastAsia="zh-CN"/>
              </w:rPr>
              <w:t>UCI</w:t>
            </w:r>
          </w:p>
        </w:tc>
        <w:tc>
          <w:tcPr>
            <w:tcW w:w="0" w:type="auto"/>
            <w:tcBorders>
              <w:top w:val="single" w:sz="6" w:space="0" w:color="auto"/>
              <w:left w:val="single" w:sz="6" w:space="0" w:color="auto"/>
              <w:bottom w:val="single" w:sz="6" w:space="0" w:color="auto"/>
              <w:right w:val="single" w:sz="6" w:space="0" w:color="auto"/>
            </w:tcBorders>
            <w:vAlign w:val="center"/>
            <w:hideMark/>
          </w:tcPr>
          <w:p w14:paraId="793D3E90" w14:textId="77777777" w:rsidR="00241417" w:rsidRDefault="00241417" w:rsidP="003A71DE">
            <w:pPr>
              <w:pStyle w:val="TAL"/>
            </w:pPr>
            <w:r>
              <w:rPr>
                <w:lang w:eastAsia="zh-CN"/>
              </w:rPr>
              <w:t>Number of CSI part 1 and CSI part 2 information bit payload</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3D961D36" w14:textId="77777777" w:rsidR="00241417" w:rsidRDefault="00241417" w:rsidP="003A71DE">
            <w:pPr>
              <w:pStyle w:val="TAC"/>
              <w:rPr>
                <w:lang w:eastAsia="zh-CN"/>
              </w:rPr>
            </w:pPr>
            <w:r>
              <w:rPr>
                <w:lang w:eastAsia="zh-CN"/>
              </w:rPr>
              <w:t>{5,2},{20,20}</w:t>
            </w:r>
          </w:p>
        </w:tc>
      </w:tr>
      <w:tr w:rsidR="00241417" w14:paraId="5B85B135"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60A89673"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3EA0915E" w14:textId="77777777" w:rsidR="00241417" w:rsidRDefault="00241417" w:rsidP="003A71DE">
            <w:pPr>
              <w:pStyle w:val="TAL"/>
            </w:pPr>
            <w:r>
              <w:rPr>
                <w:i/>
                <w:lang w:eastAsia="zh-CN"/>
              </w:rPr>
              <w:t>scaling</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30F5A9F4" w14:textId="77777777" w:rsidR="00241417" w:rsidRDefault="00241417" w:rsidP="003A71DE">
            <w:pPr>
              <w:pStyle w:val="TAC"/>
              <w:rPr>
                <w:lang w:eastAsia="zh-CN"/>
              </w:rPr>
            </w:pPr>
            <w:r>
              <w:rPr>
                <w:lang w:eastAsia="zh-CN"/>
              </w:rPr>
              <w:t>1</w:t>
            </w:r>
          </w:p>
        </w:tc>
      </w:tr>
      <w:tr w:rsidR="00241417" w14:paraId="6E194E0A"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32EC279B"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28B8279F" w14:textId="77777777" w:rsidR="00241417" w:rsidRDefault="00241417" w:rsidP="003A71DE">
            <w:pPr>
              <w:pStyle w:val="TAL"/>
            </w:pPr>
            <w:r>
              <w:rPr>
                <w:i/>
                <w:lang w:eastAsia="zh-CN"/>
              </w:rPr>
              <w:t>betaOffsetACK-Index1</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3BD4CF16" w14:textId="77777777" w:rsidR="00241417" w:rsidRDefault="00241417" w:rsidP="003A71DE">
            <w:pPr>
              <w:pStyle w:val="TAC"/>
              <w:rPr>
                <w:lang w:eastAsia="zh-CN"/>
              </w:rPr>
            </w:pPr>
            <w:r>
              <w:rPr>
                <w:lang w:eastAsia="zh-CN"/>
              </w:rPr>
              <w:t>11</w:t>
            </w:r>
          </w:p>
        </w:tc>
      </w:tr>
      <w:tr w:rsidR="00241417" w14:paraId="54F7363D"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5BD3C7AC"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669FFD01" w14:textId="77777777" w:rsidR="00241417" w:rsidRDefault="00241417" w:rsidP="003A71DE">
            <w:pPr>
              <w:pStyle w:val="TAL"/>
            </w:pPr>
            <w:r>
              <w:rPr>
                <w:i/>
                <w:lang w:eastAsia="zh-CN"/>
              </w:rPr>
              <w:t>betaOffsetCSI-Part1-Index1 and betaOffsetCSI-Part1-Index2</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22BA024E" w14:textId="77777777" w:rsidR="00241417" w:rsidRDefault="00241417" w:rsidP="003A71DE">
            <w:pPr>
              <w:pStyle w:val="TAC"/>
              <w:rPr>
                <w:lang w:eastAsia="zh-CN"/>
              </w:rPr>
            </w:pPr>
            <w:r>
              <w:rPr>
                <w:lang w:eastAsia="zh-CN"/>
              </w:rPr>
              <w:t>13</w:t>
            </w:r>
          </w:p>
        </w:tc>
      </w:tr>
      <w:tr w:rsidR="00241417" w14:paraId="7DE497CD"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2AE89C13"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38B85D8B" w14:textId="77777777" w:rsidR="00241417" w:rsidRDefault="00241417" w:rsidP="003A71DE">
            <w:pPr>
              <w:pStyle w:val="TAL"/>
            </w:pPr>
            <w:r>
              <w:rPr>
                <w:i/>
                <w:lang w:eastAsia="zh-CN"/>
              </w:rPr>
              <w:t>betaOffsetCSI-Part2-Index1 and betaOffsetCSI-Part2-Index2</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13E972C4" w14:textId="77777777" w:rsidR="00241417" w:rsidRDefault="00241417" w:rsidP="003A71DE">
            <w:pPr>
              <w:pStyle w:val="TAC"/>
              <w:rPr>
                <w:lang w:eastAsia="zh-CN"/>
              </w:rPr>
            </w:pPr>
            <w:r>
              <w:rPr>
                <w:lang w:eastAsia="zh-CN"/>
              </w:rPr>
              <w:t>13</w:t>
            </w:r>
          </w:p>
        </w:tc>
      </w:tr>
      <w:tr w:rsidR="00241417" w14:paraId="7238A654" w14:textId="77777777" w:rsidTr="003A71DE">
        <w:trPr>
          <w:jc w:val="center"/>
        </w:trPr>
        <w:tc>
          <w:tcPr>
            <w:tcW w:w="0" w:type="auto"/>
            <w:vMerge/>
            <w:tcBorders>
              <w:top w:val="single" w:sz="6" w:space="0" w:color="auto"/>
              <w:left w:val="single" w:sz="4" w:space="0" w:color="auto"/>
              <w:bottom w:val="single" w:sz="6" w:space="0" w:color="auto"/>
              <w:right w:val="single" w:sz="6" w:space="0" w:color="auto"/>
            </w:tcBorders>
            <w:vAlign w:val="center"/>
            <w:hideMark/>
          </w:tcPr>
          <w:p w14:paraId="45A08211" w14:textId="77777777" w:rsidR="00241417" w:rsidRDefault="00241417" w:rsidP="003A71DE">
            <w:pPr>
              <w:pStyle w:val="TAL"/>
              <w:rPr>
                <w:lang w:eastAsia="zh-CN"/>
              </w:rPr>
            </w:pPr>
          </w:p>
        </w:tc>
        <w:tc>
          <w:tcPr>
            <w:tcW w:w="0" w:type="auto"/>
            <w:tcBorders>
              <w:top w:val="single" w:sz="6" w:space="0" w:color="auto"/>
              <w:left w:val="single" w:sz="6" w:space="0" w:color="auto"/>
              <w:bottom w:val="single" w:sz="6" w:space="0" w:color="auto"/>
              <w:right w:val="single" w:sz="6" w:space="0" w:color="auto"/>
            </w:tcBorders>
            <w:vAlign w:val="center"/>
            <w:hideMark/>
          </w:tcPr>
          <w:p w14:paraId="39AAA3E9" w14:textId="77777777" w:rsidR="00241417" w:rsidRDefault="00241417" w:rsidP="003A71DE">
            <w:pPr>
              <w:pStyle w:val="TAL"/>
            </w:pPr>
            <w:r>
              <w:rPr>
                <w:lang w:eastAsia="zh-CN"/>
              </w:rPr>
              <w:t>UCI partition for frequency hopping</w:t>
            </w:r>
          </w:p>
        </w:tc>
        <w:tc>
          <w:tcPr>
            <w:tcW w:w="0" w:type="auto"/>
            <w:gridSpan w:val="2"/>
            <w:tcBorders>
              <w:top w:val="single" w:sz="6" w:space="0" w:color="auto"/>
              <w:left w:val="single" w:sz="6" w:space="0" w:color="auto"/>
              <w:bottom w:val="single" w:sz="6" w:space="0" w:color="auto"/>
              <w:right w:val="single" w:sz="4" w:space="0" w:color="auto"/>
            </w:tcBorders>
            <w:vAlign w:val="center"/>
            <w:hideMark/>
          </w:tcPr>
          <w:p w14:paraId="625F0466" w14:textId="77777777" w:rsidR="00241417" w:rsidRDefault="00241417" w:rsidP="003A71DE">
            <w:pPr>
              <w:pStyle w:val="TAC"/>
              <w:rPr>
                <w:lang w:eastAsia="zh-CN"/>
              </w:rPr>
            </w:pPr>
            <w:r>
              <w:rPr>
                <w:lang w:eastAsia="zh-CN"/>
              </w:rPr>
              <w:t>Disabled</w:t>
            </w:r>
          </w:p>
        </w:tc>
      </w:tr>
      <w:tr w:rsidR="00241417" w14:paraId="162E4D27" w14:textId="77777777" w:rsidTr="003A71DE">
        <w:trPr>
          <w:jc w:val="center"/>
        </w:trPr>
        <w:tc>
          <w:tcPr>
            <w:tcW w:w="0" w:type="auto"/>
            <w:gridSpan w:val="4"/>
            <w:tcBorders>
              <w:top w:val="single" w:sz="6" w:space="0" w:color="auto"/>
              <w:left w:val="single" w:sz="4" w:space="0" w:color="auto"/>
              <w:bottom w:val="single" w:sz="4" w:space="0" w:color="auto"/>
              <w:right w:val="single" w:sz="4" w:space="0" w:color="auto"/>
            </w:tcBorders>
            <w:vAlign w:val="center"/>
            <w:hideMark/>
          </w:tcPr>
          <w:p w14:paraId="0251C63A" w14:textId="77777777" w:rsidR="00241417" w:rsidRDefault="00241417" w:rsidP="003A71DE">
            <w:pPr>
              <w:pStyle w:val="TAL"/>
              <w:rPr>
                <w:lang w:eastAsia="zh-CN"/>
              </w:rPr>
            </w:pPr>
            <w:r>
              <w:rPr>
                <w:lang w:eastAsia="zh-CN"/>
              </w:rPr>
              <w:t>Note 1:</w:t>
            </w:r>
            <w:r>
              <w:tab/>
            </w:r>
            <w:r>
              <w:rPr>
                <w:lang w:eastAsia="zh-CN"/>
              </w:rPr>
              <w:t>The same requirements are applicable to TDD with different UL-DL patterns.</w:t>
            </w:r>
          </w:p>
        </w:tc>
      </w:tr>
    </w:tbl>
    <w:p w14:paraId="09529FD9" w14:textId="77777777" w:rsidR="00241417" w:rsidRDefault="00241417" w:rsidP="00241417">
      <w:pPr>
        <w:rPr>
          <w:lang w:eastAsia="zh-CN"/>
        </w:rPr>
      </w:pPr>
    </w:p>
    <w:p w14:paraId="41CB07AC" w14:textId="77777777" w:rsidR="00241417" w:rsidRDefault="00241417" w:rsidP="00241417">
      <w:pPr>
        <w:pStyle w:val="H6"/>
      </w:pPr>
      <w:bookmarkStart w:id="7369" w:name="_Toc67916538"/>
      <w:bookmarkStart w:id="7370" w:name="_Toc61176715"/>
      <w:bookmarkStart w:id="7371" w:name="_Toc53178081"/>
      <w:bookmarkStart w:id="7372" w:name="_Toc53177629"/>
      <w:bookmarkStart w:id="7373" w:name="_Toc37268814"/>
      <w:bookmarkStart w:id="7374" w:name="_Toc37268363"/>
      <w:bookmarkStart w:id="7375" w:name="_Toc29811859"/>
      <w:bookmarkStart w:id="7376" w:name="_Toc29811408"/>
      <w:bookmarkStart w:id="7377" w:name="_Toc13079919"/>
      <w:r>
        <w:rPr>
          <w:lang w:eastAsia="ko-KR"/>
        </w:rPr>
        <w:t>11.1.2.</w:t>
      </w:r>
      <w:r>
        <w:rPr>
          <w:lang w:eastAsia="zh-CN"/>
        </w:rPr>
        <w:t>2</w:t>
      </w:r>
      <w:r>
        <w:rPr>
          <w:lang w:eastAsia="ko-KR"/>
        </w:rPr>
        <w:t>.</w:t>
      </w:r>
      <w:r>
        <w:rPr>
          <w:lang w:eastAsia="zh-CN"/>
        </w:rPr>
        <w:t>3.2</w:t>
      </w:r>
      <w:r>
        <w:tab/>
      </w:r>
      <w:r>
        <w:rPr>
          <w:lang w:eastAsia="ko-KR"/>
        </w:rPr>
        <w:t>Minimum</w:t>
      </w:r>
      <w:r>
        <w:t xml:space="preserve"> requirements</w:t>
      </w:r>
      <w:bookmarkEnd w:id="7369"/>
      <w:bookmarkEnd w:id="7370"/>
      <w:bookmarkEnd w:id="7371"/>
      <w:bookmarkEnd w:id="7372"/>
      <w:bookmarkEnd w:id="7373"/>
      <w:bookmarkEnd w:id="7374"/>
      <w:bookmarkEnd w:id="7375"/>
      <w:bookmarkEnd w:id="7376"/>
      <w:bookmarkEnd w:id="7377"/>
    </w:p>
    <w:p w14:paraId="24F22209" w14:textId="77777777" w:rsidR="00241417" w:rsidRDefault="00241417" w:rsidP="00241417">
      <w:pPr>
        <w:rPr>
          <w:lang w:eastAsia="zh-CN"/>
        </w:rPr>
      </w:pPr>
      <w:r>
        <w:rPr>
          <w:lang w:eastAsia="zh-CN"/>
        </w:rPr>
        <w:t>The CSI part 1 block error probability shall not exceed 0.1% at the SNR given in table 11.1.2.2.3.2-1 and table 11.1.2.2.3.2-2. The CSI part 2 block error probability shall not exceed 1% at the SNR given in table 11.1.2.2.3.2-3 and table 11.1.2.2.3.2-4.</w:t>
      </w:r>
    </w:p>
    <w:p w14:paraId="781070DC" w14:textId="77777777" w:rsidR="00241417" w:rsidRPr="00732378" w:rsidRDefault="00241417" w:rsidP="00241417">
      <w:pPr>
        <w:pStyle w:val="TH"/>
      </w:pPr>
      <w:r w:rsidRPr="00732378">
        <w:t>Table 11.1.2.2.3.2-1: Minimum requirements for UCI multiplexed on PUSCH, Type B, With PT-RS, CSI part 1, 50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7"/>
        <w:gridCol w:w="1699"/>
        <w:gridCol w:w="992"/>
        <w:gridCol w:w="1134"/>
        <w:gridCol w:w="1944"/>
        <w:gridCol w:w="907"/>
      </w:tblGrid>
      <w:tr w:rsidR="00241417" w:rsidRPr="00732378" w14:paraId="32951801"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29C68D9A" w14:textId="77777777" w:rsidR="00241417" w:rsidRPr="00937751" w:rsidRDefault="00241417" w:rsidP="003A71DE">
            <w:pPr>
              <w:pStyle w:val="TAH"/>
            </w:pPr>
            <w:r w:rsidRPr="00732378">
              <w:t>Number of TX antennas</w:t>
            </w:r>
          </w:p>
        </w:tc>
        <w:tc>
          <w:tcPr>
            <w:tcW w:w="1397" w:type="dxa"/>
            <w:tcBorders>
              <w:top w:val="single" w:sz="4" w:space="0" w:color="auto"/>
              <w:left w:val="single" w:sz="4" w:space="0" w:color="auto"/>
              <w:bottom w:val="single" w:sz="4" w:space="0" w:color="auto"/>
              <w:right w:val="single" w:sz="4" w:space="0" w:color="auto"/>
            </w:tcBorders>
            <w:vAlign w:val="center"/>
            <w:hideMark/>
          </w:tcPr>
          <w:p w14:paraId="41331327" w14:textId="77777777" w:rsidR="00241417" w:rsidRPr="00937751" w:rsidRDefault="00241417" w:rsidP="003A71DE">
            <w:pPr>
              <w:pStyle w:val="TAH"/>
            </w:pPr>
            <w:r w:rsidRPr="00937751">
              <w:t>Number of demodulation branches</w:t>
            </w:r>
          </w:p>
        </w:tc>
        <w:tc>
          <w:tcPr>
            <w:tcW w:w="1699" w:type="dxa"/>
            <w:tcBorders>
              <w:top w:val="single" w:sz="4" w:space="0" w:color="auto"/>
              <w:left w:val="single" w:sz="4" w:space="0" w:color="auto"/>
              <w:bottom w:val="single" w:sz="4" w:space="0" w:color="auto"/>
              <w:right w:val="single" w:sz="4" w:space="0" w:color="auto"/>
            </w:tcBorders>
            <w:vAlign w:val="center"/>
            <w:hideMark/>
          </w:tcPr>
          <w:p w14:paraId="5F72A093" w14:textId="2BDCB34F" w:rsidR="00241417" w:rsidRPr="00732378" w:rsidRDefault="00241417" w:rsidP="003A71DE">
            <w:pPr>
              <w:pStyle w:val="TAH"/>
            </w:pPr>
            <w:r w:rsidRPr="00525D63">
              <w:t>Propagation conditions and corre</w:t>
            </w:r>
            <w:r w:rsidRPr="00732378">
              <w:t xml:space="preserve">lation matrix (Annex </w:t>
            </w:r>
            <w:r>
              <w:t>TBA</w:t>
            </w:r>
            <w:r w:rsidRPr="00732378">
              <w:t>)</w:t>
            </w:r>
          </w:p>
        </w:tc>
        <w:tc>
          <w:tcPr>
            <w:tcW w:w="992" w:type="dxa"/>
            <w:tcBorders>
              <w:top w:val="single" w:sz="4" w:space="0" w:color="auto"/>
              <w:left w:val="single" w:sz="4" w:space="0" w:color="auto"/>
              <w:bottom w:val="single" w:sz="4" w:space="0" w:color="auto"/>
              <w:right w:val="single" w:sz="4" w:space="0" w:color="auto"/>
            </w:tcBorders>
            <w:vAlign w:val="center"/>
            <w:hideMark/>
          </w:tcPr>
          <w:p w14:paraId="4B870656" w14:textId="77777777" w:rsidR="00241417" w:rsidRPr="00732378" w:rsidRDefault="00241417" w:rsidP="003A71DE">
            <w:pPr>
              <w:pStyle w:val="TAH"/>
            </w:pPr>
            <w:r w:rsidRPr="00732378">
              <w:t>UCI bits</w:t>
            </w:r>
          </w:p>
          <w:p w14:paraId="160AF067" w14:textId="77777777" w:rsidR="00241417" w:rsidRPr="00732378" w:rsidRDefault="00241417" w:rsidP="003A71DE">
            <w:pPr>
              <w:pStyle w:val="TAH"/>
            </w:pPr>
            <w:r w:rsidRPr="00732378">
              <w:t>(CSI part 1, CSI part 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CB56D1E" w14:textId="77777777" w:rsidR="00241417" w:rsidRPr="00732378" w:rsidRDefault="00241417" w:rsidP="003A71DE">
            <w:pPr>
              <w:pStyle w:val="TAH"/>
            </w:pPr>
            <w:r w:rsidRPr="00732378">
              <w:t>Additional DM-RS position</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727FF9A" w14:textId="77777777" w:rsidR="00241417" w:rsidRPr="00732378" w:rsidRDefault="00241417" w:rsidP="003A71DE">
            <w:pPr>
              <w:pStyle w:val="TAH"/>
            </w:pPr>
            <w:r w:rsidRPr="00732378">
              <w:t>FRC</w:t>
            </w:r>
          </w:p>
          <w:p w14:paraId="74857967" w14:textId="77777777" w:rsidR="00241417" w:rsidRPr="00732378" w:rsidRDefault="00241417" w:rsidP="003A71DE">
            <w:pPr>
              <w:pStyle w:val="TAH"/>
            </w:pPr>
            <w:r w:rsidRPr="00732378">
              <w:t>(Annex A)</w:t>
            </w:r>
          </w:p>
        </w:tc>
        <w:tc>
          <w:tcPr>
            <w:tcW w:w="907" w:type="dxa"/>
            <w:tcBorders>
              <w:top w:val="single" w:sz="4" w:space="0" w:color="auto"/>
              <w:left w:val="single" w:sz="4" w:space="0" w:color="auto"/>
              <w:bottom w:val="single" w:sz="4" w:space="0" w:color="auto"/>
              <w:right w:val="single" w:sz="4" w:space="0" w:color="auto"/>
            </w:tcBorders>
            <w:vAlign w:val="center"/>
            <w:hideMark/>
          </w:tcPr>
          <w:p w14:paraId="3F8F690B" w14:textId="77777777" w:rsidR="00241417" w:rsidRPr="00732378" w:rsidRDefault="00241417" w:rsidP="003A71DE">
            <w:pPr>
              <w:pStyle w:val="TAH"/>
            </w:pPr>
            <w:r w:rsidRPr="00732378">
              <w:t>SNR</w:t>
            </w:r>
          </w:p>
          <w:p w14:paraId="7BBD91F3" w14:textId="77777777" w:rsidR="00241417" w:rsidRPr="00732378" w:rsidRDefault="00241417" w:rsidP="003A71DE">
            <w:pPr>
              <w:pStyle w:val="TAH"/>
            </w:pPr>
            <w:r w:rsidRPr="00732378">
              <w:t>(dB)</w:t>
            </w:r>
          </w:p>
        </w:tc>
      </w:tr>
      <w:tr w:rsidR="00241417" w14:paraId="590AF336" w14:textId="77777777" w:rsidTr="003A71DE">
        <w:trPr>
          <w:trHeight w:val="105"/>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1CC6BA9A" w14:textId="77777777" w:rsidR="00241417" w:rsidRDefault="00241417" w:rsidP="003A71DE">
            <w:pPr>
              <w:pStyle w:val="TAC"/>
            </w:pPr>
            <w:r>
              <w:t>1</w:t>
            </w:r>
          </w:p>
        </w:tc>
        <w:tc>
          <w:tcPr>
            <w:tcW w:w="1397" w:type="dxa"/>
            <w:tcBorders>
              <w:top w:val="single" w:sz="4" w:space="0" w:color="auto"/>
              <w:left w:val="single" w:sz="4" w:space="0" w:color="auto"/>
              <w:bottom w:val="single" w:sz="4" w:space="0" w:color="auto"/>
              <w:right w:val="single" w:sz="4" w:space="0" w:color="auto"/>
            </w:tcBorders>
            <w:vAlign w:val="center"/>
            <w:hideMark/>
          </w:tcPr>
          <w:p w14:paraId="0EF1706D" w14:textId="77777777" w:rsidR="00241417" w:rsidRDefault="00241417" w:rsidP="003A71DE">
            <w:pPr>
              <w:pStyle w:val="TAC"/>
            </w:pPr>
            <w: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5F72CE34"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525D7B1A" w14:textId="77777777" w:rsidR="00241417" w:rsidRDefault="00241417" w:rsidP="003A71DE">
            <w:pPr>
              <w:pStyle w:val="TAC"/>
              <w:rPr>
                <w:lang w:eastAsia="zh-CN"/>
              </w:rPr>
            </w:pPr>
            <w:r>
              <w:t>7</w:t>
            </w:r>
            <w:r>
              <w:rPr>
                <w:lang w:eastAsia="zh-CN"/>
              </w:rPr>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74888F5" w14:textId="77777777" w:rsidR="00241417" w:rsidRDefault="00241417" w:rsidP="003A71DE">
            <w:pPr>
              <w:pStyle w:val="TAC"/>
              <w:rPr>
                <w:lang w:eastAsia="zh-CN"/>
              </w:rPr>
            </w:pPr>
            <w:r>
              <w:rPr>
                <w:lang w:eastAsia="zh-CN"/>
              </w:rPr>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64BB0A26" w14:textId="77777777" w:rsidR="00241417" w:rsidRDefault="00241417" w:rsidP="003A71DE">
            <w:pPr>
              <w:pStyle w:val="TAC"/>
              <w:rPr>
                <w:lang w:eastAsia="zh-CN"/>
              </w:rPr>
            </w:pPr>
            <w:r w:rsidRPr="00732378">
              <w:rPr>
                <w:lang w:eastAsia="zh-CN"/>
              </w:rPr>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76814A43" w14:textId="77777777" w:rsidR="00241417" w:rsidRDefault="00241417" w:rsidP="003A71DE">
            <w:pPr>
              <w:pStyle w:val="TAC"/>
            </w:pPr>
            <w:r>
              <w:rPr>
                <w:lang w:eastAsia="zh-CN"/>
              </w:rPr>
              <w:t>7.2</w:t>
            </w:r>
          </w:p>
        </w:tc>
      </w:tr>
      <w:tr w:rsidR="00241417" w14:paraId="2F1DB3DA"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142136A9"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593AB547" w14:textId="77777777" w:rsidR="00241417" w:rsidRDefault="00241417" w:rsidP="003A71DE">
            <w:pPr>
              <w:pStyle w:val="TAC"/>
              <w:rPr>
                <w:lang w:eastAsia="zh-CN"/>
              </w:rPr>
            </w:pPr>
            <w:r>
              <w:rPr>
                <w:lang w:eastAsia="zh-CN"/>
              </w:rP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3C49545D"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64363904" w14:textId="77777777" w:rsidR="00241417" w:rsidRDefault="00241417" w:rsidP="003A71DE">
            <w:pPr>
              <w:pStyle w:val="TAC"/>
              <w:rPr>
                <w:lang w:eastAsia="zh-CN"/>
              </w:rPr>
            </w:pPr>
            <w:r>
              <w:rPr>
                <w:lang w:eastAsia="zh-CN"/>
              </w:rPr>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F36485D" w14:textId="77777777" w:rsidR="00241417" w:rsidRDefault="00241417" w:rsidP="003A71DE">
            <w:pPr>
              <w:pStyle w:val="TAC"/>
              <w:rPr>
                <w:lang w:eastAsia="zh-CN"/>
              </w:rPr>
            </w:pPr>
            <w:r>
              <w:rPr>
                <w:lang w:eastAsia="zh-CN"/>
              </w:rPr>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3082DF91" w14:textId="77777777" w:rsidR="00241417" w:rsidRDefault="00241417" w:rsidP="003A71DE">
            <w:pPr>
              <w:pStyle w:val="TAC"/>
              <w:rPr>
                <w:lang w:eastAsia="zh-CN"/>
              </w:rPr>
            </w:pPr>
            <w:r w:rsidRPr="00732378">
              <w:rPr>
                <w:lang w:eastAsia="zh-CN"/>
              </w:rPr>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27C797F7" w14:textId="77777777" w:rsidR="00241417" w:rsidRDefault="00241417" w:rsidP="003A71DE">
            <w:pPr>
              <w:pStyle w:val="TAC"/>
              <w:rPr>
                <w:lang w:eastAsia="zh-CN"/>
              </w:rPr>
            </w:pPr>
            <w:r>
              <w:rPr>
                <w:lang w:eastAsia="zh-CN"/>
              </w:rPr>
              <w:t>5.8</w:t>
            </w:r>
          </w:p>
        </w:tc>
      </w:tr>
      <w:tr w:rsidR="00241417" w14:paraId="6BA2E4DF"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218972DC"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31083265" w14:textId="77777777" w:rsidR="00241417" w:rsidRDefault="00241417" w:rsidP="003A71DE">
            <w:pPr>
              <w:pStyle w:val="TAC"/>
            </w:pPr>
            <w: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228229AE" w14:textId="77777777" w:rsidR="00241417" w:rsidRDefault="00241417" w:rsidP="003A71DE">
            <w:pPr>
              <w:pStyle w:val="TAC"/>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7685BBA5" w14:textId="77777777" w:rsidR="00241417" w:rsidRDefault="00241417" w:rsidP="003A71DE">
            <w:pPr>
              <w:pStyle w:val="TAC"/>
              <w:rPr>
                <w:lang w:eastAsia="zh-CN"/>
              </w:rPr>
            </w:pPr>
            <w:r>
              <w:t>7</w:t>
            </w:r>
            <w:r>
              <w:rPr>
                <w:lang w:eastAsia="zh-CN"/>
              </w:rPr>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37C9511" w14:textId="77777777" w:rsidR="00241417" w:rsidRDefault="00241417" w:rsidP="003A71DE">
            <w:pPr>
              <w:pStyle w:val="TAC"/>
              <w:rPr>
                <w:lang w:eastAsia="zh-CN"/>
              </w:rPr>
            </w:pPr>
            <w:r>
              <w:rPr>
                <w:lang w:eastAsia="zh-CN"/>
              </w:rPr>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5D6F64D9" w14:textId="77777777" w:rsidR="00241417" w:rsidRDefault="00241417" w:rsidP="003A71DE">
            <w:pPr>
              <w:pStyle w:val="TAC"/>
              <w:rPr>
                <w:lang w:eastAsia="zh-CN"/>
              </w:rPr>
            </w:pPr>
            <w:r w:rsidRPr="00732378">
              <w:rPr>
                <w:lang w:eastAsia="zh-CN"/>
              </w:rPr>
              <w:t>D-FR2-A.2.3-</w:t>
            </w:r>
            <w:r>
              <w:rPr>
                <w:lang w:eastAsia="zh-CN"/>
              </w:rPr>
              <w:t>1</w:t>
            </w:r>
            <w:r w:rsidRPr="00732378">
              <w:rPr>
                <w:lang w:eastAsia="zh-CN"/>
              </w:rPr>
              <w:t>3</w:t>
            </w:r>
          </w:p>
        </w:tc>
        <w:tc>
          <w:tcPr>
            <w:tcW w:w="907" w:type="dxa"/>
            <w:tcBorders>
              <w:top w:val="single" w:sz="4" w:space="0" w:color="auto"/>
              <w:left w:val="single" w:sz="4" w:space="0" w:color="auto"/>
              <w:bottom w:val="single" w:sz="4" w:space="0" w:color="auto"/>
              <w:right w:val="single" w:sz="4" w:space="0" w:color="auto"/>
            </w:tcBorders>
            <w:vAlign w:val="center"/>
            <w:hideMark/>
          </w:tcPr>
          <w:p w14:paraId="157CB11A" w14:textId="77777777" w:rsidR="00241417" w:rsidRDefault="00241417" w:rsidP="003A71DE">
            <w:pPr>
              <w:pStyle w:val="TAC"/>
            </w:pPr>
            <w:r>
              <w:rPr>
                <w:lang w:eastAsia="zh-CN"/>
              </w:rPr>
              <w:t>7.8</w:t>
            </w:r>
          </w:p>
        </w:tc>
      </w:tr>
      <w:tr w:rsidR="00241417" w14:paraId="412BB8E4"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63332237"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3BB484B4" w14:textId="77777777" w:rsidR="00241417" w:rsidRDefault="00241417" w:rsidP="003A71DE">
            <w:pPr>
              <w:pStyle w:val="TAC"/>
              <w:rPr>
                <w:lang w:eastAsia="zh-CN"/>
              </w:rPr>
            </w:pPr>
            <w:r>
              <w:rPr>
                <w:lang w:eastAsia="zh-CN"/>
              </w:rP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1753B660"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01883135" w14:textId="77777777" w:rsidR="00241417" w:rsidRDefault="00241417" w:rsidP="003A71DE">
            <w:pPr>
              <w:pStyle w:val="TAC"/>
              <w:rPr>
                <w:lang w:eastAsia="zh-CN"/>
              </w:rPr>
            </w:pPr>
            <w:r>
              <w:rPr>
                <w:lang w:eastAsia="zh-CN"/>
              </w:rPr>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0D477CC" w14:textId="77777777" w:rsidR="00241417" w:rsidRDefault="00241417" w:rsidP="003A71DE">
            <w:pPr>
              <w:pStyle w:val="TAC"/>
              <w:rPr>
                <w:lang w:eastAsia="zh-CN"/>
              </w:rPr>
            </w:pPr>
            <w:r>
              <w:rPr>
                <w:lang w:eastAsia="zh-CN"/>
              </w:rPr>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5204BA21" w14:textId="77777777" w:rsidR="00241417" w:rsidRDefault="00241417" w:rsidP="003A71DE">
            <w:pPr>
              <w:pStyle w:val="TAC"/>
              <w:rPr>
                <w:lang w:eastAsia="zh-CN"/>
              </w:rPr>
            </w:pPr>
            <w:r w:rsidRPr="00732378">
              <w:rPr>
                <w:lang w:eastAsia="zh-CN"/>
              </w:rPr>
              <w:t>D-FR2-A.2.3-</w:t>
            </w:r>
            <w:r>
              <w:rPr>
                <w:lang w:eastAsia="zh-CN"/>
              </w:rPr>
              <w:t>1</w:t>
            </w:r>
            <w:r w:rsidRPr="00732378">
              <w:rPr>
                <w:lang w:eastAsia="zh-CN"/>
              </w:rPr>
              <w:t>3</w:t>
            </w:r>
          </w:p>
        </w:tc>
        <w:tc>
          <w:tcPr>
            <w:tcW w:w="907" w:type="dxa"/>
            <w:tcBorders>
              <w:top w:val="single" w:sz="4" w:space="0" w:color="auto"/>
              <w:left w:val="single" w:sz="4" w:space="0" w:color="auto"/>
              <w:bottom w:val="single" w:sz="4" w:space="0" w:color="auto"/>
              <w:right w:val="single" w:sz="4" w:space="0" w:color="auto"/>
            </w:tcBorders>
            <w:vAlign w:val="center"/>
            <w:hideMark/>
          </w:tcPr>
          <w:p w14:paraId="1A65744F" w14:textId="77777777" w:rsidR="00241417" w:rsidRDefault="00241417" w:rsidP="003A71DE">
            <w:pPr>
              <w:pStyle w:val="TAC"/>
              <w:rPr>
                <w:lang w:eastAsia="zh-CN"/>
              </w:rPr>
            </w:pPr>
            <w:r>
              <w:rPr>
                <w:lang w:eastAsia="zh-CN"/>
              </w:rPr>
              <w:t>5.9</w:t>
            </w:r>
          </w:p>
        </w:tc>
      </w:tr>
    </w:tbl>
    <w:p w14:paraId="4560D387" w14:textId="77777777" w:rsidR="00241417" w:rsidRDefault="00241417" w:rsidP="00241417">
      <w:pPr>
        <w:rPr>
          <w:lang w:eastAsia="zh-CN"/>
        </w:rPr>
      </w:pPr>
    </w:p>
    <w:p w14:paraId="2E9FAD92" w14:textId="77777777" w:rsidR="00241417" w:rsidRPr="00BB2CAE" w:rsidRDefault="00241417" w:rsidP="00241417">
      <w:pPr>
        <w:pStyle w:val="TH"/>
      </w:pPr>
      <w:r w:rsidRPr="00BB2CAE">
        <w:lastRenderedPageBreak/>
        <w:t>Table 11.1.2.2.3.2-2: Minimum requirements for UCI multiplexed on PUSCH, Type B, Without PTRS,</w:t>
      </w:r>
      <w:r>
        <w:t xml:space="preserve"> </w:t>
      </w:r>
      <w:r w:rsidRPr="00BB2CAE">
        <w:t>CSI part 1, 50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7"/>
        <w:gridCol w:w="1699"/>
        <w:gridCol w:w="992"/>
        <w:gridCol w:w="1134"/>
        <w:gridCol w:w="1944"/>
        <w:gridCol w:w="907"/>
      </w:tblGrid>
      <w:tr w:rsidR="00241417" w:rsidRPr="00732378" w14:paraId="0199356C"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3ED2977A" w14:textId="77777777" w:rsidR="00241417" w:rsidRPr="00937751" w:rsidRDefault="00241417" w:rsidP="003A71DE">
            <w:pPr>
              <w:pStyle w:val="TAH"/>
            </w:pPr>
            <w:r w:rsidRPr="00732378">
              <w:t>Number of TX antennas</w:t>
            </w:r>
          </w:p>
        </w:tc>
        <w:tc>
          <w:tcPr>
            <w:tcW w:w="1397" w:type="dxa"/>
            <w:tcBorders>
              <w:top w:val="single" w:sz="4" w:space="0" w:color="auto"/>
              <w:left w:val="single" w:sz="4" w:space="0" w:color="auto"/>
              <w:bottom w:val="single" w:sz="4" w:space="0" w:color="auto"/>
              <w:right w:val="single" w:sz="4" w:space="0" w:color="auto"/>
            </w:tcBorders>
            <w:vAlign w:val="center"/>
            <w:hideMark/>
          </w:tcPr>
          <w:p w14:paraId="3009EA34" w14:textId="77777777" w:rsidR="00241417" w:rsidRPr="00937751" w:rsidRDefault="00241417" w:rsidP="003A71DE">
            <w:pPr>
              <w:pStyle w:val="TAH"/>
            </w:pPr>
            <w:r w:rsidRPr="00937751">
              <w:t>Number of demodulation branches</w:t>
            </w:r>
          </w:p>
        </w:tc>
        <w:tc>
          <w:tcPr>
            <w:tcW w:w="1699" w:type="dxa"/>
            <w:tcBorders>
              <w:top w:val="single" w:sz="4" w:space="0" w:color="auto"/>
              <w:left w:val="single" w:sz="4" w:space="0" w:color="auto"/>
              <w:bottom w:val="single" w:sz="4" w:space="0" w:color="auto"/>
              <w:right w:val="single" w:sz="4" w:space="0" w:color="auto"/>
            </w:tcBorders>
            <w:vAlign w:val="center"/>
            <w:hideMark/>
          </w:tcPr>
          <w:p w14:paraId="076AA04A" w14:textId="4CD7A255" w:rsidR="00241417" w:rsidRPr="00525D63" w:rsidRDefault="00241417" w:rsidP="003A71DE">
            <w:pPr>
              <w:pStyle w:val="TAH"/>
            </w:pPr>
            <w:r w:rsidRPr="00525D63">
              <w:t xml:space="preserve">Propagation conditions and correlation matrix (Annex </w:t>
            </w:r>
            <w:r>
              <w:t>TBA</w:t>
            </w:r>
            <w:r w:rsidRPr="00525D63">
              <w:t>)</w:t>
            </w:r>
          </w:p>
        </w:tc>
        <w:tc>
          <w:tcPr>
            <w:tcW w:w="992" w:type="dxa"/>
            <w:tcBorders>
              <w:top w:val="single" w:sz="4" w:space="0" w:color="auto"/>
              <w:left w:val="single" w:sz="4" w:space="0" w:color="auto"/>
              <w:bottom w:val="single" w:sz="4" w:space="0" w:color="auto"/>
              <w:right w:val="single" w:sz="4" w:space="0" w:color="auto"/>
            </w:tcBorders>
            <w:vAlign w:val="center"/>
            <w:hideMark/>
          </w:tcPr>
          <w:p w14:paraId="2093F0BB" w14:textId="77777777" w:rsidR="00241417" w:rsidRPr="00732378" w:rsidRDefault="00241417" w:rsidP="003A71DE">
            <w:pPr>
              <w:pStyle w:val="TAH"/>
            </w:pPr>
            <w:r w:rsidRPr="00732378">
              <w:t>UCI bits</w:t>
            </w:r>
          </w:p>
          <w:p w14:paraId="6686F219" w14:textId="77777777" w:rsidR="00241417" w:rsidRPr="00732378" w:rsidRDefault="00241417" w:rsidP="003A71DE">
            <w:pPr>
              <w:pStyle w:val="TAH"/>
            </w:pPr>
            <w:r w:rsidRPr="00732378">
              <w:t>(CSI part 1, CSI part 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02A3D0" w14:textId="77777777" w:rsidR="00241417" w:rsidRPr="00732378" w:rsidRDefault="00241417" w:rsidP="003A71DE">
            <w:pPr>
              <w:pStyle w:val="TAH"/>
            </w:pPr>
            <w:r w:rsidRPr="00732378">
              <w:t>Additional DM-RS position</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A5350A3" w14:textId="77777777" w:rsidR="00241417" w:rsidRPr="00732378" w:rsidRDefault="00241417" w:rsidP="003A71DE">
            <w:pPr>
              <w:pStyle w:val="TAH"/>
            </w:pPr>
            <w:r w:rsidRPr="00732378">
              <w:t>FRC</w:t>
            </w:r>
          </w:p>
          <w:p w14:paraId="09492A2D" w14:textId="77777777" w:rsidR="00241417" w:rsidRPr="00732378" w:rsidRDefault="00241417" w:rsidP="003A71DE">
            <w:pPr>
              <w:pStyle w:val="TAH"/>
            </w:pPr>
            <w:r w:rsidRPr="00732378">
              <w:t>(Annex A)</w:t>
            </w:r>
          </w:p>
        </w:tc>
        <w:tc>
          <w:tcPr>
            <w:tcW w:w="907" w:type="dxa"/>
            <w:tcBorders>
              <w:top w:val="single" w:sz="4" w:space="0" w:color="auto"/>
              <w:left w:val="single" w:sz="4" w:space="0" w:color="auto"/>
              <w:bottom w:val="single" w:sz="4" w:space="0" w:color="auto"/>
              <w:right w:val="single" w:sz="4" w:space="0" w:color="auto"/>
            </w:tcBorders>
            <w:vAlign w:val="center"/>
            <w:hideMark/>
          </w:tcPr>
          <w:p w14:paraId="56E3B339" w14:textId="77777777" w:rsidR="00241417" w:rsidRPr="00732378" w:rsidRDefault="00241417" w:rsidP="003A71DE">
            <w:pPr>
              <w:pStyle w:val="TAH"/>
            </w:pPr>
            <w:r w:rsidRPr="00732378">
              <w:t>SNR</w:t>
            </w:r>
          </w:p>
          <w:p w14:paraId="785F785B" w14:textId="77777777" w:rsidR="00241417" w:rsidRPr="00732378" w:rsidRDefault="00241417" w:rsidP="003A71DE">
            <w:pPr>
              <w:pStyle w:val="TAH"/>
            </w:pPr>
            <w:r w:rsidRPr="00732378">
              <w:t>(dB)</w:t>
            </w:r>
          </w:p>
        </w:tc>
      </w:tr>
      <w:tr w:rsidR="00241417" w:rsidRPr="00732378" w14:paraId="5D003996" w14:textId="77777777" w:rsidTr="003A71DE">
        <w:trPr>
          <w:trHeight w:val="105"/>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6DA3152C" w14:textId="77777777" w:rsidR="00241417" w:rsidRPr="00732378" w:rsidRDefault="00241417" w:rsidP="003A71DE">
            <w:pPr>
              <w:pStyle w:val="TAC"/>
            </w:pPr>
            <w:r w:rsidRPr="00732378">
              <w:t>1</w:t>
            </w:r>
          </w:p>
        </w:tc>
        <w:tc>
          <w:tcPr>
            <w:tcW w:w="1397" w:type="dxa"/>
            <w:tcBorders>
              <w:top w:val="single" w:sz="4" w:space="0" w:color="auto"/>
              <w:left w:val="single" w:sz="4" w:space="0" w:color="auto"/>
              <w:bottom w:val="single" w:sz="4" w:space="0" w:color="auto"/>
              <w:right w:val="single" w:sz="4" w:space="0" w:color="auto"/>
            </w:tcBorders>
            <w:vAlign w:val="center"/>
            <w:hideMark/>
          </w:tcPr>
          <w:p w14:paraId="247027E2" w14:textId="77777777" w:rsidR="00241417" w:rsidRPr="00937751" w:rsidRDefault="00241417" w:rsidP="003A71DE">
            <w:pPr>
              <w:pStyle w:val="TAC"/>
            </w:pPr>
            <w:r w:rsidRPr="00937751">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7DB6C185" w14:textId="77777777" w:rsidR="00241417" w:rsidRPr="00BB2CAE" w:rsidRDefault="00241417" w:rsidP="003A71DE">
            <w:pPr>
              <w:pStyle w:val="TAC"/>
            </w:pPr>
            <w:r w:rsidRPr="00525D63">
              <w:t>TDLA30-300</w:t>
            </w:r>
            <w:r w:rsidRPr="00BB2CAE">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672B02E6" w14:textId="77777777" w:rsidR="00241417" w:rsidRPr="00BB2CAE" w:rsidRDefault="00241417" w:rsidP="003A71DE">
            <w:pPr>
              <w:pStyle w:val="TAC"/>
            </w:pPr>
            <w:r w:rsidRPr="00732378">
              <w:t>7</w:t>
            </w:r>
            <w:r w:rsidRPr="00BB2CAE">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81B2DDC" w14:textId="77777777" w:rsidR="00241417" w:rsidRPr="00BB2CAE" w:rsidRDefault="00241417" w:rsidP="003A71DE">
            <w:pPr>
              <w:pStyle w:val="TAC"/>
            </w:pPr>
            <w:r w:rsidRPr="00BB2CAE">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45BB37E0" w14:textId="77777777" w:rsidR="00241417" w:rsidRPr="00BB2CAE" w:rsidRDefault="00241417" w:rsidP="003A71DE">
            <w:pPr>
              <w:pStyle w:val="TAC"/>
            </w:pPr>
            <w:r w:rsidRPr="00BB2CAE">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3A5B5608" w14:textId="77777777" w:rsidR="00241417" w:rsidRPr="00732378" w:rsidRDefault="00241417" w:rsidP="003A71DE">
            <w:pPr>
              <w:pStyle w:val="TAC"/>
            </w:pPr>
            <w:r w:rsidRPr="00BB2CAE">
              <w:t>7.1</w:t>
            </w:r>
          </w:p>
        </w:tc>
      </w:tr>
      <w:tr w:rsidR="00241417" w:rsidRPr="00732378" w14:paraId="0685866B"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6CAE10AC" w14:textId="77777777" w:rsidR="00241417" w:rsidRPr="002921FA"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6CC286E0" w14:textId="77777777" w:rsidR="00241417" w:rsidRPr="002921FA" w:rsidRDefault="00241417" w:rsidP="003A71DE">
            <w:pPr>
              <w:pStyle w:val="TAC"/>
            </w:pPr>
            <w:r w:rsidRPr="002921FA">
              <w:t>2</w:t>
            </w:r>
          </w:p>
        </w:tc>
        <w:tc>
          <w:tcPr>
            <w:tcW w:w="1699" w:type="dxa"/>
            <w:tcBorders>
              <w:top w:val="single" w:sz="4" w:space="0" w:color="auto"/>
              <w:left w:val="single" w:sz="4" w:space="0" w:color="auto"/>
              <w:bottom w:val="single" w:sz="4" w:space="0" w:color="auto"/>
              <w:right w:val="single" w:sz="4" w:space="0" w:color="auto"/>
            </w:tcBorders>
            <w:hideMark/>
          </w:tcPr>
          <w:p w14:paraId="7DBD2AE5" w14:textId="77777777" w:rsidR="00241417" w:rsidRPr="00BB2CAE" w:rsidRDefault="00241417" w:rsidP="003A71DE">
            <w:pPr>
              <w:pStyle w:val="TAC"/>
            </w:pPr>
            <w:r w:rsidRPr="00732378">
              <w:t>TDLA30-300</w:t>
            </w:r>
            <w:r w:rsidRPr="00BB2CAE">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5D238634" w14:textId="77777777" w:rsidR="00241417" w:rsidRPr="00BB2CAE" w:rsidRDefault="00241417" w:rsidP="003A71DE">
            <w:pPr>
              <w:pStyle w:val="TAC"/>
            </w:pPr>
            <w:r w:rsidRPr="00BB2CAE">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6E07233" w14:textId="77777777" w:rsidR="00241417" w:rsidRPr="00BB2CAE" w:rsidRDefault="00241417" w:rsidP="003A71DE">
            <w:pPr>
              <w:pStyle w:val="TAC"/>
            </w:pPr>
            <w:r w:rsidRPr="00BB2CAE">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5B89EB4A" w14:textId="77777777" w:rsidR="00241417" w:rsidRPr="00BB2CAE" w:rsidRDefault="00241417" w:rsidP="003A71DE">
            <w:pPr>
              <w:pStyle w:val="TAC"/>
            </w:pPr>
            <w:r w:rsidRPr="00BB2CAE">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55144AC7" w14:textId="77777777" w:rsidR="00241417" w:rsidRPr="00BB2CAE" w:rsidRDefault="00241417" w:rsidP="003A71DE">
            <w:pPr>
              <w:pStyle w:val="TAC"/>
            </w:pPr>
            <w:r w:rsidRPr="00BB2CAE">
              <w:t>5.8</w:t>
            </w:r>
          </w:p>
        </w:tc>
      </w:tr>
      <w:tr w:rsidR="00241417" w:rsidRPr="00732378" w14:paraId="726762A1"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tcPr>
          <w:p w14:paraId="4B826D58" w14:textId="77777777" w:rsidR="00241417" w:rsidRPr="00732378"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tcPr>
          <w:p w14:paraId="65A9A4D4" w14:textId="77777777" w:rsidR="00241417" w:rsidRPr="00BB2CAE" w:rsidRDefault="00241417" w:rsidP="003A71DE">
            <w:pPr>
              <w:pStyle w:val="TAC"/>
              <w:rPr>
                <w:lang w:eastAsia="zh-CN"/>
              </w:rPr>
            </w:pPr>
            <w:r>
              <w:rPr>
                <w:rFonts w:hint="eastAsia"/>
                <w:lang w:eastAsia="zh-CN"/>
              </w:rPr>
              <w:t>2</w:t>
            </w:r>
          </w:p>
        </w:tc>
        <w:tc>
          <w:tcPr>
            <w:tcW w:w="1699" w:type="dxa"/>
            <w:tcBorders>
              <w:top w:val="single" w:sz="4" w:space="0" w:color="auto"/>
              <w:left w:val="single" w:sz="4" w:space="0" w:color="auto"/>
              <w:bottom w:val="single" w:sz="4" w:space="0" w:color="auto"/>
              <w:right w:val="single" w:sz="4" w:space="0" w:color="auto"/>
            </w:tcBorders>
          </w:tcPr>
          <w:p w14:paraId="38254D61" w14:textId="77777777" w:rsidR="00241417" w:rsidRPr="00732378" w:rsidRDefault="00241417" w:rsidP="003A71DE">
            <w:pPr>
              <w:pStyle w:val="TAC"/>
            </w:pPr>
            <w:r>
              <w:t>TDLA30-300 Low</w:t>
            </w:r>
          </w:p>
        </w:tc>
        <w:tc>
          <w:tcPr>
            <w:tcW w:w="992" w:type="dxa"/>
            <w:tcBorders>
              <w:top w:val="single" w:sz="4" w:space="0" w:color="auto"/>
              <w:left w:val="single" w:sz="4" w:space="0" w:color="auto"/>
              <w:bottom w:val="single" w:sz="4" w:space="0" w:color="auto"/>
              <w:right w:val="single" w:sz="4" w:space="0" w:color="auto"/>
            </w:tcBorders>
            <w:vAlign w:val="center"/>
          </w:tcPr>
          <w:p w14:paraId="0A165F74" w14:textId="77777777" w:rsidR="00241417" w:rsidRPr="00BB2CAE" w:rsidRDefault="00241417" w:rsidP="003A71DE">
            <w:pPr>
              <w:pStyle w:val="TAC"/>
              <w:rPr>
                <w:lang w:eastAsia="zh-CN"/>
              </w:rPr>
            </w:pPr>
            <w:r>
              <w:rPr>
                <w:lang w:eastAsia="zh-CN"/>
              </w:rPr>
              <w:t>7(5,2)</w:t>
            </w:r>
          </w:p>
        </w:tc>
        <w:tc>
          <w:tcPr>
            <w:tcW w:w="1134" w:type="dxa"/>
            <w:tcBorders>
              <w:top w:val="single" w:sz="4" w:space="0" w:color="auto"/>
              <w:left w:val="single" w:sz="4" w:space="0" w:color="auto"/>
              <w:bottom w:val="single" w:sz="4" w:space="0" w:color="auto"/>
              <w:right w:val="single" w:sz="4" w:space="0" w:color="auto"/>
            </w:tcBorders>
            <w:vAlign w:val="center"/>
          </w:tcPr>
          <w:p w14:paraId="1758971F" w14:textId="77777777" w:rsidR="00241417" w:rsidRPr="00BB2CAE" w:rsidRDefault="00241417" w:rsidP="003A71DE">
            <w:pPr>
              <w:pStyle w:val="TAC"/>
            </w:pPr>
            <w:r>
              <w:t>pos1</w:t>
            </w:r>
          </w:p>
        </w:tc>
        <w:tc>
          <w:tcPr>
            <w:tcW w:w="1944" w:type="dxa"/>
            <w:tcBorders>
              <w:top w:val="single" w:sz="4" w:space="0" w:color="auto"/>
              <w:left w:val="single" w:sz="4" w:space="0" w:color="auto"/>
              <w:bottom w:val="single" w:sz="4" w:space="0" w:color="auto"/>
              <w:right w:val="single" w:sz="4" w:space="0" w:color="auto"/>
            </w:tcBorders>
            <w:vAlign w:val="center"/>
          </w:tcPr>
          <w:p w14:paraId="3CAA39A8" w14:textId="77777777" w:rsidR="00241417" w:rsidRPr="00BB2CAE" w:rsidRDefault="00241417" w:rsidP="003A71DE">
            <w:pPr>
              <w:pStyle w:val="TAC"/>
            </w:pPr>
            <w:r>
              <w:t>D-FR2-A.2.3-13</w:t>
            </w:r>
          </w:p>
        </w:tc>
        <w:tc>
          <w:tcPr>
            <w:tcW w:w="907" w:type="dxa"/>
            <w:tcBorders>
              <w:top w:val="single" w:sz="4" w:space="0" w:color="auto"/>
              <w:left w:val="single" w:sz="4" w:space="0" w:color="auto"/>
              <w:bottom w:val="single" w:sz="4" w:space="0" w:color="auto"/>
              <w:right w:val="single" w:sz="4" w:space="0" w:color="auto"/>
            </w:tcBorders>
            <w:vAlign w:val="center"/>
          </w:tcPr>
          <w:p w14:paraId="6972C11D" w14:textId="77777777" w:rsidR="00241417" w:rsidRPr="00BB2CAE" w:rsidRDefault="00241417" w:rsidP="003A71DE">
            <w:pPr>
              <w:pStyle w:val="TAC"/>
            </w:pPr>
            <w:r>
              <w:t>7.3</w:t>
            </w:r>
          </w:p>
        </w:tc>
      </w:tr>
      <w:tr w:rsidR="00241417" w:rsidRPr="00732378" w14:paraId="27966847"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033FA650" w14:textId="77777777" w:rsidR="00241417" w:rsidRPr="002921FA"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3BDC0D3A" w14:textId="77777777" w:rsidR="00241417" w:rsidRPr="002921FA" w:rsidRDefault="00241417" w:rsidP="003A71DE">
            <w:pPr>
              <w:pStyle w:val="TAC"/>
            </w:pPr>
            <w:r w:rsidRPr="002921FA">
              <w:t>2</w:t>
            </w:r>
          </w:p>
        </w:tc>
        <w:tc>
          <w:tcPr>
            <w:tcW w:w="1699" w:type="dxa"/>
            <w:tcBorders>
              <w:top w:val="single" w:sz="4" w:space="0" w:color="auto"/>
              <w:left w:val="single" w:sz="4" w:space="0" w:color="auto"/>
              <w:bottom w:val="single" w:sz="4" w:space="0" w:color="auto"/>
              <w:right w:val="single" w:sz="4" w:space="0" w:color="auto"/>
            </w:tcBorders>
            <w:hideMark/>
          </w:tcPr>
          <w:p w14:paraId="03F42C77" w14:textId="77777777" w:rsidR="00241417" w:rsidRPr="00BB2CAE" w:rsidRDefault="00241417" w:rsidP="003A71DE">
            <w:pPr>
              <w:pStyle w:val="TAC"/>
            </w:pPr>
            <w:r w:rsidRPr="00732378">
              <w:t>TDLA30-300</w:t>
            </w:r>
            <w:r w:rsidRPr="00BB2CAE">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495A72CC" w14:textId="77777777" w:rsidR="00241417" w:rsidRPr="00BB2CAE" w:rsidRDefault="00241417" w:rsidP="003A71DE">
            <w:pPr>
              <w:pStyle w:val="TAC"/>
            </w:pPr>
            <w:r w:rsidRPr="00BB2CAE">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DF2E456" w14:textId="77777777" w:rsidR="00241417" w:rsidRPr="00BB2CAE" w:rsidRDefault="00241417" w:rsidP="003A71DE">
            <w:pPr>
              <w:pStyle w:val="TAC"/>
            </w:pPr>
            <w:r w:rsidRPr="00BB2CAE">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5A2E841E" w14:textId="77777777" w:rsidR="00241417" w:rsidRPr="00BB2CAE" w:rsidRDefault="00241417" w:rsidP="003A71DE">
            <w:pPr>
              <w:pStyle w:val="TAC"/>
            </w:pPr>
            <w:r w:rsidRPr="00BB2CAE">
              <w:t>D-FR2-A.2.3-13</w:t>
            </w:r>
          </w:p>
        </w:tc>
        <w:tc>
          <w:tcPr>
            <w:tcW w:w="907" w:type="dxa"/>
            <w:tcBorders>
              <w:top w:val="single" w:sz="4" w:space="0" w:color="auto"/>
              <w:left w:val="single" w:sz="4" w:space="0" w:color="auto"/>
              <w:bottom w:val="single" w:sz="4" w:space="0" w:color="auto"/>
              <w:right w:val="single" w:sz="4" w:space="0" w:color="auto"/>
            </w:tcBorders>
            <w:vAlign w:val="center"/>
            <w:hideMark/>
          </w:tcPr>
          <w:p w14:paraId="458F5AAD" w14:textId="77777777" w:rsidR="00241417" w:rsidRPr="00BB2CAE" w:rsidRDefault="00241417" w:rsidP="003A71DE">
            <w:pPr>
              <w:pStyle w:val="TAC"/>
            </w:pPr>
            <w:r w:rsidRPr="00BB2CAE">
              <w:t>5.5</w:t>
            </w:r>
          </w:p>
        </w:tc>
      </w:tr>
    </w:tbl>
    <w:p w14:paraId="502B45EE" w14:textId="77777777" w:rsidR="00241417" w:rsidRDefault="00241417" w:rsidP="00241417">
      <w:pPr>
        <w:rPr>
          <w:lang w:eastAsia="zh-CN"/>
        </w:rPr>
      </w:pPr>
    </w:p>
    <w:p w14:paraId="2726A902" w14:textId="77777777" w:rsidR="00241417" w:rsidRPr="00732378" w:rsidRDefault="00241417" w:rsidP="00241417">
      <w:pPr>
        <w:pStyle w:val="TH"/>
      </w:pPr>
      <w:r w:rsidRPr="00732378">
        <w:t>Table 11.1.2.2.3.2-3: Minimum requirements for UCI multiplexed on PUSCH, Type B, With PTRS, CSI part 2, 50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7"/>
        <w:gridCol w:w="1699"/>
        <w:gridCol w:w="992"/>
        <w:gridCol w:w="1134"/>
        <w:gridCol w:w="1944"/>
        <w:gridCol w:w="907"/>
      </w:tblGrid>
      <w:tr w:rsidR="00241417" w:rsidRPr="00732378" w14:paraId="572428C2"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112E7AA3" w14:textId="77777777" w:rsidR="00241417" w:rsidRPr="00937751" w:rsidRDefault="00241417" w:rsidP="003A71DE">
            <w:pPr>
              <w:pStyle w:val="TAH"/>
            </w:pPr>
            <w:r w:rsidRPr="00732378">
              <w:t>Number of TX antennas</w:t>
            </w:r>
          </w:p>
        </w:tc>
        <w:tc>
          <w:tcPr>
            <w:tcW w:w="1397" w:type="dxa"/>
            <w:tcBorders>
              <w:top w:val="single" w:sz="4" w:space="0" w:color="auto"/>
              <w:left w:val="single" w:sz="4" w:space="0" w:color="auto"/>
              <w:bottom w:val="single" w:sz="4" w:space="0" w:color="auto"/>
              <w:right w:val="single" w:sz="4" w:space="0" w:color="auto"/>
            </w:tcBorders>
            <w:vAlign w:val="center"/>
            <w:hideMark/>
          </w:tcPr>
          <w:p w14:paraId="3F236893" w14:textId="77777777" w:rsidR="00241417" w:rsidRPr="00937751" w:rsidRDefault="00241417" w:rsidP="003A71DE">
            <w:pPr>
              <w:pStyle w:val="TAH"/>
            </w:pPr>
            <w:r w:rsidRPr="00937751">
              <w:t>Number of demodulation branches</w:t>
            </w:r>
          </w:p>
        </w:tc>
        <w:tc>
          <w:tcPr>
            <w:tcW w:w="1699" w:type="dxa"/>
            <w:tcBorders>
              <w:top w:val="single" w:sz="4" w:space="0" w:color="auto"/>
              <w:left w:val="single" w:sz="4" w:space="0" w:color="auto"/>
              <w:bottom w:val="single" w:sz="4" w:space="0" w:color="auto"/>
              <w:right w:val="single" w:sz="4" w:space="0" w:color="auto"/>
            </w:tcBorders>
            <w:vAlign w:val="center"/>
            <w:hideMark/>
          </w:tcPr>
          <w:p w14:paraId="4C6FB36E" w14:textId="077B7F68" w:rsidR="00241417" w:rsidRPr="00937751" w:rsidRDefault="00241417" w:rsidP="003A71DE">
            <w:pPr>
              <w:pStyle w:val="TAH"/>
            </w:pPr>
            <w:r w:rsidRPr="00937751">
              <w:t xml:space="preserve">Propagation conditions and correlation matrix (Annex </w:t>
            </w:r>
            <w:r>
              <w:t>TBA</w:t>
            </w:r>
            <w:r w:rsidRPr="00937751">
              <w:t>)</w:t>
            </w:r>
          </w:p>
        </w:tc>
        <w:tc>
          <w:tcPr>
            <w:tcW w:w="992" w:type="dxa"/>
            <w:tcBorders>
              <w:top w:val="single" w:sz="4" w:space="0" w:color="auto"/>
              <w:left w:val="single" w:sz="4" w:space="0" w:color="auto"/>
              <w:bottom w:val="single" w:sz="4" w:space="0" w:color="auto"/>
              <w:right w:val="single" w:sz="4" w:space="0" w:color="auto"/>
            </w:tcBorders>
            <w:vAlign w:val="center"/>
            <w:hideMark/>
          </w:tcPr>
          <w:p w14:paraId="74436F9B" w14:textId="77777777" w:rsidR="00241417" w:rsidRPr="00937751" w:rsidRDefault="00241417" w:rsidP="003A71DE">
            <w:pPr>
              <w:pStyle w:val="TAH"/>
            </w:pPr>
            <w:r w:rsidRPr="00937751">
              <w:t>UCI bits</w:t>
            </w:r>
          </w:p>
          <w:p w14:paraId="5A1D75AF" w14:textId="77777777" w:rsidR="00241417" w:rsidRPr="00937751" w:rsidRDefault="00241417" w:rsidP="003A71DE">
            <w:pPr>
              <w:pStyle w:val="TAH"/>
            </w:pPr>
            <w:r w:rsidRPr="00937751">
              <w:t>(CSI part 1, CSI part 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7389577" w14:textId="77777777" w:rsidR="00241417" w:rsidRPr="00937751" w:rsidRDefault="00241417" w:rsidP="003A71DE">
            <w:pPr>
              <w:pStyle w:val="TAH"/>
            </w:pPr>
            <w:r w:rsidRPr="00937751">
              <w:t>Additional DM-RS position</w:t>
            </w:r>
          </w:p>
        </w:tc>
        <w:tc>
          <w:tcPr>
            <w:tcW w:w="1944" w:type="dxa"/>
            <w:tcBorders>
              <w:top w:val="single" w:sz="4" w:space="0" w:color="auto"/>
              <w:left w:val="single" w:sz="4" w:space="0" w:color="auto"/>
              <w:bottom w:val="single" w:sz="4" w:space="0" w:color="auto"/>
              <w:right w:val="single" w:sz="4" w:space="0" w:color="auto"/>
            </w:tcBorders>
            <w:vAlign w:val="center"/>
          </w:tcPr>
          <w:p w14:paraId="10CAB65F" w14:textId="77777777" w:rsidR="00241417" w:rsidRPr="00937751" w:rsidRDefault="00241417" w:rsidP="003A71DE">
            <w:pPr>
              <w:pStyle w:val="TAH"/>
            </w:pPr>
            <w:r w:rsidRPr="00937751">
              <w:t>FRC</w:t>
            </w:r>
          </w:p>
          <w:p w14:paraId="4BC32092" w14:textId="77777777" w:rsidR="00241417" w:rsidRPr="00937751" w:rsidRDefault="00241417" w:rsidP="003A71DE">
            <w:pPr>
              <w:pStyle w:val="TAH"/>
            </w:pPr>
            <w:r w:rsidRPr="00937751">
              <w:t>(Annex A)</w:t>
            </w:r>
          </w:p>
          <w:p w14:paraId="17C55483" w14:textId="77777777" w:rsidR="00241417" w:rsidRPr="00937751" w:rsidRDefault="00241417" w:rsidP="003A71DE">
            <w:pPr>
              <w:pStyle w:val="TAH"/>
            </w:pPr>
          </w:p>
        </w:tc>
        <w:tc>
          <w:tcPr>
            <w:tcW w:w="907" w:type="dxa"/>
            <w:tcBorders>
              <w:top w:val="single" w:sz="4" w:space="0" w:color="auto"/>
              <w:left w:val="single" w:sz="4" w:space="0" w:color="auto"/>
              <w:bottom w:val="single" w:sz="4" w:space="0" w:color="auto"/>
              <w:right w:val="single" w:sz="4" w:space="0" w:color="auto"/>
            </w:tcBorders>
            <w:vAlign w:val="center"/>
            <w:hideMark/>
          </w:tcPr>
          <w:p w14:paraId="0847E668" w14:textId="77777777" w:rsidR="00241417" w:rsidRPr="00937751" w:rsidRDefault="00241417" w:rsidP="003A71DE">
            <w:pPr>
              <w:pStyle w:val="TAH"/>
            </w:pPr>
            <w:r w:rsidRPr="00937751">
              <w:t>SNR</w:t>
            </w:r>
          </w:p>
          <w:p w14:paraId="495EDBD4" w14:textId="77777777" w:rsidR="00241417" w:rsidRPr="00937751" w:rsidRDefault="00241417" w:rsidP="003A71DE">
            <w:pPr>
              <w:pStyle w:val="TAH"/>
            </w:pPr>
            <w:r w:rsidRPr="00937751">
              <w:t>(dB)</w:t>
            </w:r>
          </w:p>
        </w:tc>
      </w:tr>
      <w:tr w:rsidR="00241417" w14:paraId="433EA91B" w14:textId="77777777" w:rsidTr="003A71DE">
        <w:trPr>
          <w:trHeight w:val="105"/>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213C8507" w14:textId="77777777" w:rsidR="00241417" w:rsidRDefault="00241417" w:rsidP="003A71DE">
            <w:pPr>
              <w:pStyle w:val="TAC"/>
            </w:pPr>
            <w:r>
              <w:t>1</w:t>
            </w:r>
          </w:p>
        </w:tc>
        <w:tc>
          <w:tcPr>
            <w:tcW w:w="1397" w:type="dxa"/>
            <w:tcBorders>
              <w:top w:val="single" w:sz="4" w:space="0" w:color="auto"/>
              <w:left w:val="single" w:sz="4" w:space="0" w:color="auto"/>
              <w:bottom w:val="single" w:sz="4" w:space="0" w:color="auto"/>
              <w:right w:val="single" w:sz="4" w:space="0" w:color="auto"/>
            </w:tcBorders>
            <w:vAlign w:val="center"/>
            <w:hideMark/>
          </w:tcPr>
          <w:p w14:paraId="29C81C42" w14:textId="77777777" w:rsidR="00241417" w:rsidRDefault="00241417" w:rsidP="003A71DE">
            <w:pPr>
              <w:pStyle w:val="TAC"/>
            </w:pPr>
            <w: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7CF0EB16"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4177A666" w14:textId="77777777" w:rsidR="00241417" w:rsidRDefault="00241417" w:rsidP="003A71DE">
            <w:pPr>
              <w:pStyle w:val="TAC"/>
              <w:rPr>
                <w:lang w:eastAsia="zh-CN"/>
              </w:rPr>
            </w:pPr>
            <w:r>
              <w:t>7</w:t>
            </w:r>
            <w:r>
              <w:rPr>
                <w:lang w:eastAsia="zh-CN"/>
              </w:rPr>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6377731" w14:textId="77777777" w:rsidR="00241417" w:rsidRDefault="00241417" w:rsidP="003A71DE">
            <w:pPr>
              <w:pStyle w:val="TAC"/>
              <w:rPr>
                <w:lang w:eastAsia="zh-CN"/>
              </w:rPr>
            </w:pPr>
            <w:r>
              <w:rPr>
                <w:lang w:eastAsia="zh-CN"/>
              </w:rPr>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38E44800" w14:textId="77777777" w:rsidR="00241417" w:rsidRDefault="00241417" w:rsidP="003A71DE">
            <w:pPr>
              <w:pStyle w:val="TAC"/>
              <w:rPr>
                <w:lang w:eastAsia="zh-CN"/>
              </w:rPr>
            </w:pPr>
            <w:r w:rsidRPr="00732378">
              <w:rPr>
                <w:lang w:eastAsia="zh-CN"/>
              </w:rPr>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28AB007E" w14:textId="77777777" w:rsidR="00241417" w:rsidRDefault="00241417" w:rsidP="003A71DE">
            <w:pPr>
              <w:pStyle w:val="TAC"/>
            </w:pPr>
            <w:r>
              <w:rPr>
                <w:lang w:eastAsia="zh-CN"/>
              </w:rPr>
              <w:t>1.1</w:t>
            </w:r>
          </w:p>
        </w:tc>
      </w:tr>
      <w:tr w:rsidR="00241417" w14:paraId="61BE8219"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55EA47A6"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17CB9927" w14:textId="77777777" w:rsidR="00241417" w:rsidRDefault="00241417" w:rsidP="003A71DE">
            <w:pPr>
              <w:pStyle w:val="TAC"/>
              <w:rPr>
                <w:lang w:eastAsia="zh-CN"/>
              </w:rPr>
            </w:pPr>
            <w:r>
              <w:rPr>
                <w:lang w:eastAsia="zh-CN"/>
              </w:rP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78BF2B95" w14:textId="77777777" w:rsidR="00241417" w:rsidRDefault="00241417" w:rsidP="003A71DE">
            <w:pPr>
              <w:pStyle w:val="TAC"/>
              <w:rPr>
                <w:lang w:eastAsia="zh-CN"/>
              </w:rPr>
            </w:pPr>
            <w:r w:rsidRPr="00BE2341">
              <w:t>TDLA30-300</w:t>
            </w:r>
            <w:r w:rsidRPr="00BE2341">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58F7D8BB" w14:textId="77777777" w:rsidR="00241417" w:rsidRDefault="00241417" w:rsidP="003A71DE">
            <w:pPr>
              <w:pStyle w:val="TAC"/>
              <w:rPr>
                <w:lang w:eastAsia="zh-CN"/>
              </w:rPr>
            </w:pPr>
            <w:r>
              <w:rPr>
                <w:lang w:eastAsia="zh-CN"/>
              </w:rPr>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7426376" w14:textId="77777777" w:rsidR="00241417" w:rsidRDefault="00241417" w:rsidP="003A71DE">
            <w:pPr>
              <w:pStyle w:val="TAC"/>
              <w:rPr>
                <w:lang w:eastAsia="zh-CN"/>
              </w:rPr>
            </w:pPr>
            <w:r>
              <w:rPr>
                <w:lang w:eastAsia="zh-CN"/>
              </w:rPr>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08EE846E" w14:textId="77777777" w:rsidR="00241417" w:rsidRDefault="00241417" w:rsidP="003A71DE">
            <w:pPr>
              <w:pStyle w:val="TAC"/>
              <w:rPr>
                <w:lang w:eastAsia="zh-CN"/>
              </w:rPr>
            </w:pPr>
            <w:r w:rsidRPr="00732378">
              <w:rPr>
                <w:lang w:eastAsia="zh-CN"/>
              </w:rPr>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415B2C47" w14:textId="77777777" w:rsidR="00241417" w:rsidRDefault="00241417" w:rsidP="003A71DE">
            <w:pPr>
              <w:pStyle w:val="TAC"/>
              <w:rPr>
                <w:lang w:eastAsia="zh-CN"/>
              </w:rPr>
            </w:pPr>
            <w:r>
              <w:rPr>
                <w:lang w:eastAsia="zh-CN"/>
              </w:rPr>
              <w:t>4.0</w:t>
            </w:r>
          </w:p>
        </w:tc>
      </w:tr>
      <w:tr w:rsidR="00241417" w14:paraId="45CF2234"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6491DEE8"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4B2164B7" w14:textId="77777777" w:rsidR="00241417" w:rsidRDefault="00241417" w:rsidP="003A71DE">
            <w:pPr>
              <w:pStyle w:val="TAC"/>
            </w:pPr>
            <w: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5B2192AD" w14:textId="77777777" w:rsidR="00241417" w:rsidRDefault="00241417" w:rsidP="003A71DE">
            <w:pPr>
              <w:pStyle w:val="TAC"/>
            </w:pPr>
            <w:r w:rsidRPr="00BE2341">
              <w:t>TDLA30-300</w:t>
            </w:r>
            <w:r w:rsidRPr="00BE2341">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3204DAA7" w14:textId="77777777" w:rsidR="00241417" w:rsidRDefault="00241417" w:rsidP="003A71DE">
            <w:pPr>
              <w:pStyle w:val="TAC"/>
              <w:rPr>
                <w:lang w:eastAsia="zh-CN"/>
              </w:rPr>
            </w:pPr>
            <w:r>
              <w:t>7</w:t>
            </w:r>
            <w:r>
              <w:rPr>
                <w:lang w:eastAsia="zh-CN"/>
              </w:rPr>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F451068" w14:textId="77777777" w:rsidR="00241417" w:rsidRDefault="00241417" w:rsidP="003A71DE">
            <w:pPr>
              <w:pStyle w:val="TAC"/>
              <w:rPr>
                <w:lang w:eastAsia="zh-CN"/>
              </w:rPr>
            </w:pPr>
            <w:r>
              <w:rPr>
                <w:lang w:eastAsia="zh-CN"/>
              </w:rPr>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7935A86" w14:textId="77777777" w:rsidR="00241417" w:rsidRDefault="00241417" w:rsidP="003A71DE">
            <w:pPr>
              <w:pStyle w:val="TAC"/>
              <w:rPr>
                <w:lang w:eastAsia="zh-CN"/>
              </w:rPr>
            </w:pPr>
            <w:r w:rsidRPr="00732378">
              <w:rPr>
                <w:lang w:eastAsia="zh-CN"/>
              </w:rPr>
              <w:t>D-FR2-A.2.3-</w:t>
            </w:r>
            <w:r>
              <w:rPr>
                <w:lang w:eastAsia="zh-CN"/>
              </w:rPr>
              <w:t>1</w:t>
            </w:r>
            <w:r w:rsidRPr="00732378">
              <w:rPr>
                <w:lang w:eastAsia="zh-CN"/>
              </w:rPr>
              <w:t>3</w:t>
            </w:r>
          </w:p>
        </w:tc>
        <w:tc>
          <w:tcPr>
            <w:tcW w:w="907" w:type="dxa"/>
            <w:tcBorders>
              <w:top w:val="single" w:sz="4" w:space="0" w:color="auto"/>
              <w:left w:val="single" w:sz="4" w:space="0" w:color="auto"/>
              <w:bottom w:val="single" w:sz="4" w:space="0" w:color="auto"/>
              <w:right w:val="single" w:sz="4" w:space="0" w:color="auto"/>
            </w:tcBorders>
            <w:vAlign w:val="center"/>
            <w:hideMark/>
          </w:tcPr>
          <w:p w14:paraId="0B047A29" w14:textId="77777777" w:rsidR="00241417" w:rsidRDefault="00241417" w:rsidP="003A71DE">
            <w:pPr>
              <w:pStyle w:val="TAC"/>
            </w:pPr>
            <w:r>
              <w:rPr>
                <w:lang w:eastAsia="zh-CN"/>
              </w:rPr>
              <w:t>1.3</w:t>
            </w:r>
          </w:p>
        </w:tc>
      </w:tr>
      <w:tr w:rsidR="00241417" w14:paraId="7D8DBA34"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365FFE48"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1BAADE62" w14:textId="77777777" w:rsidR="00241417" w:rsidRDefault="00241417" w:rsidP="003A71DE">
            <w:pPr>
              <w:pStyle w:val="TAC"/>
              <w:rPr>
                <w:lang w:eastAsia="zh-CN"/>
              </w:rPr>
            </w:pPr>
            <w:r>
              <w:rPr>
                <w:lang w:eastAsia="zh-CN"/>
              </w:rP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0522215C" w14:textId="77777777" w:rsidR="00241417" w:rsidRDefault="00241417" w:rsidP="003A71DE">
            <w:pPr>
              <w:pStyle w:val="TAC"/>
              <w:rPr>
                <w:lang w:eastAsia="zh-CN"/>
              </w:rPr>
            </w:pPr>
            <w:r w:rsidRPr="00BE2341">
              <w:t>TDLA30-300</w:t>
            </w:r>
            <w:r w:rsidRPr="00BE2341">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09666C0A" w14:textId="77777777" w:rsidR="00241417" w:rsidRDefault="00241417" w:rsidP="003A71DE">
            <w:pPr>
              <w:pStyle w:val="TAC"/>
              <w:rPr>
                <w:lang w:eastAsia="zh-CN"/>
              </w:rPr>
            </w:pPr>
            <w:r>
              <w:rPr>
                <w:lang w:eastAsia="zh-CN"/>
              </w:rPr>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94B7627" w14:textId="77777777" w:rsidR="00241417" w:rsidRDefault="00241417" w:rsidP="003A71DE">
            <w:pPr>
              <w:pStyle w:val="TAC"/>
              <w:rPr>
                <w:lang w:eastAsia="zh-CN"/>
              </w:rPr>
            </w:pPr>
            <w:r>
              <w:rPr>
                <w:lang w:eastAsia="zh-CN"/>
              </w:rPr>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F008AB0" w14:textId="77777777" w:rsidR="00241417" w:rsidRDefault="00241417" w:rsidP="003A71DE">
            <w:pPr>
              <w:pStyle w:val="TAC"/>
              <w:rPr>
                <w:lang w:eastAsia="zh-CN"/>
              </w:rPr>
            </w:pPr>
            <w:r w:rsidRPr="00732378">
              <w:rPr>
                <w:lang w:eastAsia="zh-CN"/>
              </w:rPr>
              <w:t>D-FR2-A.2.3-</w:t>
            </w:r>
            <w:r>
              <w:rPr>
                <w:lang w:eastAsia="zh-CN"/>
              </w:rPr>
              <w:t>1</w:t>
            </w:r>
            <w:r w:rsidRPr="00732378">
              <w:rPr>
                <w:lang w:eastAsia="zh-CN"/>
              </w:rPr>
              <w:t>3</w:t>
            </w:r>
          </w:p>
        </w:tc>
        <w:tc>
          <w:tcPr>
            <w:tcW w:w="907" w:type="dxa"/>
            <w:tcBorders>
              <w:top w:val="single" w:sz="4" w:space="0" w:color="auto"/>
              <w:left w:val="single" w:sz="4" w:space="0" w:color="auto"/>
              <w:bottom w:val="single" w:sz="4" w:space="0" w:color="auto"/>
              <w:right w:val="single" w:sz="4" w:space="0" w:color="auto"/>
            </w:tcBorders>
            <w:vAlign w:val="center"/>
            <w:hideMark/>
          </w:tcPr>
          <w:p w14:paraId="72D55794" w14:textId="77777777" w:rsidR="00241417" w:rsidRDefault="00241417" w:rsidP="003A71DE">
            <w:pPr>
              <w:pStyle w:val="TAC"/>
              <w:rPr>
                <w:lang w:eastAsia="zh-CN"/>
              </w:rPr>
            </w:pPr>
            <w:r>
              <w:rPr>
                <w:lang w:eastAsia="zh-CN"/>
              </w:rPr>
              <w:t>4.0</w:t>
            </w:r>
          </w:p>
        </w:tc>
      </w:tr>
    </w:tbl>
    <w:p w14:paraId="412D5D65" w14:textId="77777777" w:rsidR="00241417" w:rsidRDefault="00241417" w:rsidP="00241417">
      <w:pPr>
        <w:rPr>
          <w:lang w:eastAsia="zh-CN"/>
        </w:rPr>
      </w:pPr>
    </w:p>
    <w:p w14:paraId="0464B2F4" w14:textId="77777777" w:rsidR="00241417" w:rsidRPr="00732378" w:rsidRDefault="00241417" w:rsidP="00241417">
      <w:pPr>
        <w:pStyle w:val="TH"/>
      </w:pPr>
      <w:r w:rsidRPr="00732378">
        <w:t>Table 11.1.2.2.3.2-4: Minimum requirements for UCI multiplexed on PUSCH, Type B, Without PTRS, CSI part 2, 50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7"/>
        <w:gridCol w:w="1699"/>
        <w:gridCol w:w="992"/>
        <w:gridCol w:w="1134"/>
        <w:gridCol w:w="1944"/>
        <w:gridCol w:w="907"/>
      </w:tblGrid>
      <w:tr w:rsidR="00241417" w:rsidRPr="00732378" w14:paraId="62473153"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2631E427" w14:textId="77777777" w:rsidR="00241417" w:rsidRPr="00732378" w:rsidRDefault="00241417" w:rsidP="003A71DE">
            <w:pPr>
              <w:pStyle w:val="TAH"/>
            </w:pPr>
            <w:r w:rsidRPr="00732378">
              <w:t>Number of TX antennas</w:t>
            </w:r>
          </w:p>
        </w:tc>
        <w:tc>
          <w:tcPr>
            <w:tcW w:w="1397" w:type="dxa"/>
            <w:tcBorders>
              <w:top w:val="single" w:sz="4" w:space="0" w:color="auto"/>
              <w:left w:val="single" w:sz="4" w:space="0" w:color="auto"/>
              <w:bottom w:val="single" w:sz="4" w:space="0" w:color="auto"/>
              <w:right w:val="single" w:sz="4" w:space="0" w:color="auto"/>
            </w:tcBorders>
            <w:vAlign w:val="center"/>
            <w:hideMark/>
          </w:tcPr>
          <w:p w14:paraId="630A77C5" w14:textId="77777777" w:rsidR="00241417" w:rsidRPr="00732378" w:rsidRDefault="00241417" w:rsidP="003A71DE">
            <w:pPr>
              <w:pStyle w:val="TAH"/>
            </w:pPr>
            <w:r w:rsidRPr="00732378">
              <w:t>Number of demodulation branches</w:t>
            </w:r>
          </w:p>
        </w:tc>
        <w:tc>
          <w:tcPr>
            <w:tcW w:w="1699" w:type="dxa"/>
            <w:tcBorders>
              <w:top w:val="single" w:sz="4" w:space="0" w:color="auto"/>
              <w:left w:val="single" w:sz="4" w:space="0" w:color="auto"/>
              <w:bottom w:val="single" w:sz="4" w:space="0" w:color="auto"/>
              <w:right w:val="single" w:sz="4" w:space="0" w:color="auto"/>
            </w:tcBorders>
            <w:vAlign w:val="center"/>
            <w:hideMark/>
          </w:tcPr>
          <w:p w14:paraId="23A1A4F9" w14:textId="27D37B2B" w:rsidR="00241417" w:rsidRPr="00732378" w:rsidRDefault="00241417" w:rsidP="003A71DE">
            <w:pPr>
              <w:pStyle w:val="TAH"/>
            </w:pPr>
            <w:r w:rsidRPr="00732378">
              <w:t xml:space="preserve">Propagation conditions and correlation matrix (Annex </w:t>
            </w:r>
            <w:r>
              <w:t>TBA</w:t>
            </w:r>
            <w:r w:rsidRPr="00732378">
              <w:t>)</w:t>
            </w:r>
          </w:p>
        </w:tc>
        <w:tc>
          <w:tcPr>
            <w:tcW w:w="992" w:type="dxa"/>
            <w:tcBorders>
              <w:top w:val="single" w:sz="4" w:space="0" w:color="auto"/>
              <w:left w:val="single" w:sz="4" w:space="0" w:color="auto"/>
              <w:bottom w:val="single" w:sz="4" w:space="0" w:color="auto"/>
              <w:right w:val="single" w:sz="4" w:space="0" w:color="auto"/>
            </w:tcBorders>
            <w:vAlign w:val="center"/>
            <w:hideMark/>
          </w:tcPr>
          <w:p w14:paraId="0B42A739" w14:textId="77777777" w:rsidR="00241417" w:rsidRPr="00732378" w:rsidRDefault="00241417" w:rsidP="003A71DE">
            <w:pPr>
              <w:pStyle w:val="TAH"/>
            </w:pPr>
            <w:r w:rsidRPr="00732378">
              <w:t>UCI bits</w:t>
            </w:r>
          </w:p>
          <w:p w14:paraId="1715E31E" w14:textId="77777777" w:rsidR="00241417" w:rsidRPr="00732378" w:rsidRDefault="00241417" w:rsidP="003A71DE">
            <w:pPr>
              <w:pStyle w:val="TAH"/>
            </w:pPr>
            <w:r w:rsidRPr="00732378">
              <w:t>(CSI part 1, CSI part 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DB6AC39" w14:textId="77777777" w:rsidR="00241417" w:rsidRPr="00732378" w:rsidRDefault="00241417" w:rsidP="003A71DE">
            <w:pPr>
              <w:pStyle w:val="TAH"/>
            </w:pPr>
            <w:r w:rsidRPr="00732378">
              <w:t>Additional DM-RS position</w:t>
            </w:r>
          </w:p>
        </w:tc>
        <w:tc>
          <w:tcPr>
            <w:tcW w:w="1944" w:type="dxa"/>
            <w:tcBorders>
              <w:top w:val="single" w:sz="4" w:space="0" w:color="auto"/>
              <w:left w:val="single" w:sz="4" w:space="0" w:color="auto"/>
              <w:bottom w:val="single" w:sz="4" w:space="0" w:color="auto"/>
              <w:right w:val="single" w:sz="4" w:space="0" w:color="auto"/>
            </w:tcBorders>
            <w:vAlign w:val="center"/>
            <w:hideMark/>
          </w:tcPr>
          <w:p w14:paraId="23F9D4A2" w14:textId="77777777" w:rsidR="00241417" w:rsidRPr="00732378" w:rsidRDefault="00241417" w:rsidP="003A71DE">
            <w:pPr>
              <w:pStyle w:val="TAH"/>
            </w:pPr>
            <w:r w:rsidRPr="00732378">
              <w:t>FRC</w:t>
            </w:r>
          </w:p>
          <w:p w14:paraId="425F2118" w14:textId="77777777" w:rsidR="00241417" w:rsidRPr="00732378" w:rsidRDefault="00241417" w:rsidP="003A71DE">
            <w:pPr>
              <w:pStyle w:val="TAH"/>
            </w:pPr>
            <w:r w:rsidRPr="00732378">
              <w:t>(Annex A)</w:t>
            </w:r>
          </w:p>
        </w:tc>
        <w:tc>
          <w:tcPr>
            <w:tcW w:w="907" w:type="dxa"/>
            <w:tcBorders>
              <w:top w:val="single" w:sz="4" w:space="0" w:color="auto"/>
              <w:left w:val="single" w:sz="4" w:space="0" w:color="auto"/>
              <w:bottom w:val="single" w:sz="4" w:space="0" w:color="auto"/>
              <w:right w:val="single" w:sz="4" w:space="0" w:color="auto"/>
            </w:tcBorders>
            <w:vAlign w:val="center"/>
            <w:hideMark/>
          </w:tcPr>
          <w:p w14:paraId="5685722E" w14:textId="77777777" w:rsidR="00241417" w:rsidRPr="00732378" w:rsidRDefault="00241417" w:rsidP="003A71DE">
            <w:pPr>
              <w:pStyle w:val="TAH"/>
            </w:pPr>
            <w:r w:rsidRPr="00732378">
              <w:t>SNR</w:t>
            </w:r>
          </w:p>
          <w:p w14:paraId="587A2E18" w14:textId="77777777" w:rsidR="00241417" w:rsidRPr="00732378" w:rsidRDefault="00241417" w:rsidP="003A71DE">
            <w:pPr>
              <w:pStyle w:val="TAH"/>
            </w:pPr>
            <w:r w:rsidRPr="00732378">
              <w:t>(dB)</w:t>
            </w:r>
          </w:p>
        </w:tc>
      </w:tr>
      <w:tr w:rsidR="00241417" w14:paraId="5E1D1C46" w14:textId="77777777" w:rsidTr="003A71DE">
        <w:trPr>
          <w:trHeight w:val="105"/>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603C187D" w14:textId="77777777" w:rsidR="00241417" w:rsidRDefault="00241417" w:rsidP="003A71DE">
            <w:pPr>
              <w:pStyle w:val="TAC"/>
            </w:pPr>
            <w:r>
              <w:t>1</w:t>
            </w:r>
          </w:p>
        </w:tc>
        <w:tc>
          <w:tcPr>
            <w:tcW w:w="1397" w:type="dxa"/>
            <w:tcBorders>
              <w:top w:val="single" w:sz="4" w:space="0" w:color="auto"/>
              <w:left w:val="single" w:sz="4" w:space="0" w:color="auto"/>
              <w:bottom w:val="single" w:sz="4" w:space="0" w:color="auto"/>
              <w:right w:val="single" w:sz="4" w:space="0" w:color="auto"/>
            </w:tcBorders>
            <w:vAlign w:val="center"/>
            <w:hideMark/>
          </w:tcPr>
          <w:p w14:paraId="7C845D5B" w14:textId="77777777" w:rsidR="00241417" w:rsidRDefault="00241417" w:rsidP="003A71DE">
            <w:pPr>
              <w:pStyle w:val="TAC"/>
            </w:pPr>
            <w: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7CFE661D"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46A062B1" w14:textId="77777777" w:rsidR="00241417" w:rsidRDefault="00241417" w:rsidP="003A71DE">
            <w:pPr>
              <w:pStyle w:val="TAC"/>
              <w:rPr>
                <w:lang w:eastAsia="zh-CN"/>
              </w:rPr>
            </w:pPr>
            <w:r>
              <w:t>7</w:t>
            </w:r>
            <w:r>
              <w:rPr>
                <w:lang w:eastAsia="zh-CN"/>
              </w:rPr>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1F6F965" w14:textId="77777777" w:rsidR="00241417" w:rsidRDefault="00241417" w:rsidP="003A71DE">
            <w:pPr>
              <w:pStyle w:val="TAC"/>
              <w:rPr>
                <w:lang w:eastAsia="zh-CN"/>
              </w:rPr>
            </w:pPr>
            <w:r>
              <w:rPr>
                <w:lang w:eastAsia="zh-CN"/>
              </w:rPr>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4ACA4A0B" w14:textId="77777777" w:rsidR="00241417" w:rsidRDefault="00241417" w:rsidP="003A71DE">
            <w:pPr>
              <w:pStyle w:val="TAC"/>
              <w:rPr>
                <w:lang w:eastAsia="zh-CN"/>
              </w:rPr>
            </w:pPr>
            <w:r w:rsidRPr="00732378">
              <w:rPr>
                <w:lang w:eastAsia="zh-CN"/>
              </w:rPr>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4D87643B" w14:textId="77777777" w:rsidR="00241417" w:rsidRDefault="00241417" w:rsidP="003A71DE">
            <w:pPr>
              <w:pStyle w:val="TAC"/>
            </w:pPr>
            <w:r>
              <w:rPr>
                <w:lang w:eastAsia="zh-CN"/>
              </w:rPr>
              <w:t>1.1</w:t>
            </w:r>
          </w:p>
        </w:tc>
      </w:tr>
      <w:tr w:rsidR="00241417" w14:paraId="165DA38D"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1DD29867"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332D5B45" w14:textId="77777777" w:rsidR="00241417" w:rsidRDefault="00241417" w:rsidP="003A71DE">
            <w:pPr>
              <w:pStyle w:val="TAC"/>
              <w:rPr>
                <w:lang w:eastAsia="zh-CN"/>
              </w:rPr>
            </w:pPr>
            <w:r>
              <w:rPr>
                <w:lang w:eastAsia="zh-CN"/>
              </w:rP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6E133437"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71C70D20" w14:textId="77777777" w:rsidR="00241417" w:rsidRDefault="00241417" w:rsidP="003A71DE">
            <w:pPr>
              <w:pStyle w:val="TAC"/>
              <w:rPr>
                <w:lang w:eastAsia="zh-CN"/>
              </w:rPr>
            </w:pPr>
            <w:r>
              <w:rPr>
                <w:lang w:eastAsia="zh-CN"/>
              </w:rPr>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C4F7B3C" w14:textId="77777777" w:rsidR="00241417" w:rsidRDefault="00241417" w:rsidP="003A71DE">
            <w:pPr>
              <w:pStyle w:val="TAC"/>
              <w:rPr>
                <w:lang w:eastAsia="zh-CN"/>
              </w:rPr>
            </w:pPr>
            <w:r>
              <w:rPr>
                <w:lang w:eastAsia="zh-CN"/>
              </w:rPr>
              <w:t>pos0</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0379B52" w14:textId="77777777" w:rsidR="00241417" w:rsidRDefault="00241417" w:rsidP="003A71DE">
            <w:pPr>
              <w:pStyle w:val="TAC"/>
              <w:rPr>
                <w:lang w:eastAsia="zh-CN"/>
              </w:rPr>
            </w:pPr>
            <w:r w:rsidRPr="00732378">
              <w:rPr>
                <w:lang w:eastAsia="zh-CN"/>
              </w:rPr>
              <w:t>D-FR2-A.2.3-3</w:t>
            </w:r>
          </w:p>
        </w:tc>
        <w:tc>
          <w:tcPr>
            <w:tcW w:w="907" w:type="dxa"/>
            <w:tcBorders>
              <w:top w:val="single" w:sz="4" w:space="0" w:color="auto"/>
              <w:left w:val="single" w:sz="4" w:space="0" w:color="auto"/>
              <w:bottom w:val="single" w:sz="4" w:space="0" w:color="auto"/>
              <w:right w:val="single" w:sz="4" w:space="0" w:color="auto"/>
            </w:tcBorders>
            <w:vAlign w:val="center"/>
            <w:hideMark/>
          </w:tcPr>
          <w:p w14:paraId="404E4945" w14:textId="77777777" w:rsidR="00241417" w:rsidRDefault="00241417" w:rsidP="003A71DE">
            <w:pPr>
              <w:pStyle w:val="TAC"/>
              <w:rPr>
                <w:lang w:eastAsia="zh-CN"/>
              </w:rPr>
            </w:pPr>
            <w:r>
              <w:rPr>
                <w:lang w:eastAsia="zh-CN"/>
              </w:rPr>
              <w:t>3.9</w:t>
            </w:r>
          </w:p>
        </w:tc>
      </w:tr>
      <w:tr w:rsidR="00241417" w14:paraId="1535FEDE"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215816A4"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4B6950D1" w14:textId="77777777" w:rsidR="00241417" w:rsidRDefault="00241417" w:rsidP="003A71DE">
            <w:pPr>
              <w:pStyle w:val="TAC"/>
            </w:pPr>
            <w: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224E4775" w14:textId="77777777" w:rsidR="00241417" w:rsidRDefault="00241417" w:rsidP="003A71DE">
            <w:pPr>
              <w:pStyle w:val="TAC"/>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30180BB4" w14:textId="77777777" w:rsidR="00241417" w:rsidRDefault="00241417" w:rsidP="003A71DE">
            <w:pPr>
              <w:pStyle w:val="TAC"/>
              <w:rPr>
                <w:lang w:eastAsia="zh-CN"/>
              </w:rPr>
            </w:pPr>
            <w:r>
              <w:t>7</w:t>
            </w:r>
            <w:r>
              <w:rPr>
                <w:lang w:eastAsia="zh-CN"/>
              </w:rPr>
              <w:t>(5,2)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585B4B6" w14:textId="77777777" w:rsidR="00241417" w:rsidRDefault="00241417" w:rsidP="003A71DE">
            <w:pPr>
              <w:pStyle w:val="TAC"/>
              <w:rPr>
                <w:lang w:eastAsia="zh-CN"/>
              </w:rPr>
            </w:pPr>
            <w:r>
              <w:rPr>
                <w:lang w:eastAsia="zh-CN"/>
              </w:rPr>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5726610" w14:textId="77777777" w:rsidR="00241417" w:rsidRDefault="00241417" w:rsidP="003A71DE">
            <w:pPr>
              <w:pStyle w:val="TAC"/>
              <w:rPr>
                <w:lang w:eastAsia="zh-CN"/>
              </w:rPr>
            </w:pPr>
            <w:r w:rsidRPr="00732378">
              <w:rPr>
                <w:lang w:eastAsia="zh-CN"/>
              </w:rPr>
              <w:t>D-FR2-A.2.3-</w:t>
            </w:r>
            <w:r>
              <w:rPr>
                <w:lang w:eastAsia="zh-CN"/>
              </w:rPr>
              <w:t>1</w:t>
            </w:r>
            <w:r w:rsidRPr="00732378">
              <w:rPr>
                <w:lang w:eastAsia="zh-CN"/>
              </w:rPr>
              <w:t>3</w:t>
            </w:r>
          </w:p>
        </w:tc>
        <w:tc>
          <w:tcPr>
            <w:tcW w:w="907" w:type="dxa"/>
            <w:tcBorders>
              <w:top w:val="single" w:sz="4" w:space="0" w:color="auto"/>
              <w:left w:val="single" w:sz="4" w:space="0" w:color="auto"/>
              <w:bottom w:val="single" w:sz="4" w:space="0" w:color="auto"/>
              <w:right w:val="single" w:sz="4" w:space="0" w:color="auto"/>
            </w:tcBorders>
            <w:vAlign w:val="center"/>
            <w:hideMark/>
          </w:tcPr>
          <w:p w14:paraId="60C23346" w14:textId="77777777" w:rsidR="00241417" w:rsidRDefault="00241417" w:rsidP="003A71DE">
            <w:pPr>
              <w:pStyle w:val="TAC"/>
            </w:pPr>
            <w:r>
              <w:rPr>
                <w:lang w:eastAsia="zh-CN"/>
              </w:rPr>
              <w:t>1.2</w:t>
            </w:r>
          </w:p>
        </w:tc>
      </w:tr>
      <w:tr w:rsidR="00241417" w14:paraId="3F4D3FE0"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537F367B" w14:textId="77777777" w:rsidR="00241417" w:rsidRDefault="00241417" w:rsidP="003A71DE">
            <w:pPr>
              <w:pStyle w:val="TAC"/>
            </w:pPr>
          </w:p>
        </w:tc>
        <w:tc>
          <w:tcPr>
            <w:tcW w:w="1397" w:type="dxa"/>
            <w:tcBorders>
              <w:top w:val="single" w:sz="4" w:space="0" w:color="auto"/>
              <w:left w:val="single" w:sz="4" w:space="0" w:color="auto"/>
              <w:bottom w:val="single" w:sz="4" w:space="0" w:color="auto"/>
              <w:right w:val="single" w:sz="4" w:space="0" w:color="auto"/>
            </w:tcBorders>
            <w:vAlign w:val="center"/>
            <w:hideMark/>
          </w:tcPr>
          <w:p w14:paraId="5259F07D" w14:textId="77777777" w:rsidR="00241417" w:rsidRDefault="00241417" w:rsidP="003A71DE">
            <w:pPr>
              <w:pStyle w:val="TAC"/>
              <w:rPr>
                <w:lang w:eastAsia="zh-CN"/>
              </w:rPr>
            </w:pPr>
            <w:r>
              <w:rPr>
                <w:lang w:eastAsia="zh-CN"/>
              </w:rPr>
              <w:t>2</w:t>
            </w:r>
          </w:p>
        </w:tc>
        <w:tc>
          <w:tcPr>
            <w:tcW w:w="1699" w:type="dxa"/>
            <w:tcBorders>
              <w:top w:val="single" w:sz="4" w:space="0" w:color="auto"/>
              <w:left w:val="single" w:sz="4" w:space="0" w:color="auto"/>
              <w:bottom w:val="single" w:sz="4" w:space="0" w:color="auto"/>
              <w:right w:val="single" w:sz="4" w:space="0" w:color="auto"/>
            </w:tcBorders>
            <w:vAlign w:val="center"/>
            <w:hideMark/>
          </w:tcPr>
          <w:p w14:paraId="5F6BC326" w14:textId="77777777" w:rsidR="00241417" w:rsidRDefault="00241417" w:rsidP="003A71DE">
            <w:pPr>
              <w:pStyle w:val="TAC"/>
              <w:rPr>
                <w:lang w:eastAsia="zh-CN"/>
              </w:rPr>
            </w:pPr>
            <w:r>
              <w:t>TDLA30-300</w:t>
            </w:r>
            <w:r>
              <w:rPr>
                <w:lang w:eastAsia="zh-CN"/>
              </w:rPr>
              <w:t xml:space="preserve"> Low</w:t>
            </w:r>
          </w:p>
        </w:tc>
        <w:tc>
          <w:tcPr>
            <w:tcW w:w="992" w:type="dxa"/>
            <w:tcBorders>
              <w:top w:val="single" w:sz="4" w:space="0" w:color="auto"/>
              <w:left w:val="single" w:sz="4" w:space="0" w:color="auto"/>
              <w:bottom w:val="single" w:sz="4" w:space="0" w:color="auto"/>
              <w:right w:val="single" w:sz="4" w:space="0" w:color="auto"/>
            </w:tcBorders>
            <w:vAlign w:val="center"/>
            <w:hideMark/>
          </w:tcPr>
          <w:p w14:paraId="442A7D8B" w14:textId="77777777" w:rsidR="00241417" w:rsidRDefault="00241417" w:rsidP="003A71DE">
            <w:pPr>
              <w:pStyle w:val="TAC"/>
              <w:rPr>
                <w:lang w:eastAsia="zh-CN"/>
              </w:rPr>
            </w:pPr>
            <w:r>
              <w:rPr>
                <w:lang w:eastAsia="zh-CN"/>
              </w:rPr>
              <w:t>40(20,20)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D1F1730" w14:textId="77777777" w:rsidR="00241417" w:rsidRDefault="00241417" w:rsidP="003A71DE">
            <w:pPr>
              <w:pStyle w:val="TAC"/>
              <w:rPr>
                <w:lang w:eastAsia="zh-CN"/>
              </w:rPr>
            </w:pPr>
            <w:r>
              <w:rPr>
                <w:lang w:eastAsia="zh-CN"/>
              </w:rPr>
              <w:t>pos1</w:t>
            </w:r>
          </w:p>
        </w:tc>
        <w:tc>
          <w:tcPr>
            <w:tcW w:w="1944" w:type="dxa"/>
            <w:tcBorders>
              <w:top w:val="single" w:sz="4" w:space="0" w:color="auto"/>
              <w:left w:val="single" w:sz="4" w:space="0" w:color="auto"/>
              <w:bottom w:val="single" w:sz="4" w:space="0" w:color="auto"/>
              <w:right w:val="single" w:sz="4" w:space="0" w:color="auto"/>
            </w:tcBorders>
            <w:vAlign w:val="center"/>
            <w:hideMark/>
          </w:tcPr>
          <w:p w14:paraId="1CC9502D" w14:textId="77777777" w:rsidR="00241417" w:rsidRDefault="00241417" w:rsidP="003A71DE">
            <w:pPr>
              <w:pStyle w:val="TAC"/>
              <w:rPr>
                <w:lang w:eastAsia="zh-CN"/>
              </w:rPr>
            </w:pPr>
            <w:r w:rsidRPr="00732378">
              <w:rPr>
                <w:lang w:eastAsia="zh-CN"/>
              </w:rPr>
              <w:t>D-FR2-A.2.3-</w:t>
            </w:r>
            <w:r>
              <w:rPr>
                <w:lang w:eastAsia="zh-CN"/>
              </w:rPr>
              <w:t>1</w:t>
            </w:r>
            <w:r w:rsidRPr="00732378">
              <w:rPr>
                <w:lang w:eastAsia="zh-CN"/>
              </w:rPr>
              <w:t>3</w:t>
            </w:r>
          </w:p>
        </w:tc>
        <w:tc>
          <w:tcPr>
            <w:tcW w:w="907" w:type="dxa"/>
            <w:tcBorders>
              <w:top w:val="single" w:sz="4" w:space="0" w:color="auto"/>
              <w:left w:val="single" w:sz="4" w:space="0" w:color="auto"/>
              <w:bottom w:val="single" w:sz="4" w:space="0" w:color="auto"/>
              <w:right w:val="single" w:sz="4" w:space="0" w:color="auto"/>
            </w:tcBorders>
            <w:vAlign w:val="center"/>
            <w:hideMark/>
          </w:tcPr>
          <w:p w14:paraId="7215899D" w14:textId="77777777" w:rsidR="00241417" w:rsidRDefault="00241417" w:rsidP="003A71DE">
            <w:pPr>
              <w:pStyle w:val="TAC"/>
              <w:rPr>
                <w:lang w:eastAsia="zh-CN"/>
              </w:rPr>
            </w:pPr>
            <w:r>
              <w:rPr>
                <w:lang w:eastAsia="zh-CN"/>
              </w:rPr>
              <w:t>3.7</w:t>
            </w:r>
          </w:p>
        </w:tc>
      </w:tr>
    </w:tbl>
    <w:p w14:paraId="11984753" w14:textId="77777777" w:rsidR="00241417" w:rsidRDefault="00241417" w:rsidP="00241417">
      <w:pPr>
        <w:rPr>
          <w:noProof/>
        </w:rPr>
      </w:pPr>
    </w:p>
    <w:p w14:paraId="19F4F18E" w14:textId="77777777" w:rsidR="00241417" w:rsidRDefault="00241417" w:rsidP="00241417">
      <w:pPr>
        <w:pStyle w:val="Heading3"/>
        <w:rPr>
          <w:noProof/>
        </w:rPr>
      </w:pPr>
      <w:bookmarkStart w:id="7378" w:name="_Toc67916539"/>
      <w:bookmarkStart w:id="7379" w:name="_Toc61176716"/>
      <w:bookmarkStart w:id="7380" w:name="_Toc53178082"/>
      <w:bookmarkStart w:id="7381" w:name="_Toc53177630"/>
      <w:bookmarkStart w:id="7382" w:name="_Toc37268815"/>
      <w:bookmarkStart w:id="7383" w:name="_Toc37268364"/>
      <w:bookmarkStart w:id="7384" w:name="_Toc29811860"/>
      <w:bookmarkStart w:id="7385" w:name="_Toc29811409"/>
      <w:bookmarkStart w:id="7386" w:name="_Toc13079920"/>
      <w:bookmarkStart w:id="7387" w:name="_Toc74583472"/>
      <w:bookmarkStart w:id="7388" w:name="_Toc76542285"/>
      <w:bookmarkStart w:id="7389" w:name="_Toc82450267"/>
      <w:bookmarkStart w:id="7390" w:name="_Toc82450915"/>
      <w:bookmarkStart w:id="7391" w:name="_Toc89949304"/>
      <w:bookmarkStart w:id="7392" w:name="_Toc98755693"/>
      <w:bookmarkStart w:id="7393" w:name="_Toc98763285"/>
      <w:bookmarkStart w:id="7394" w:name="_Toc106184214"/>
      <w:r>
        <w:rPr>
          <w:noProof/>
        </w:rPr>
        <w:t>11.1.</w:t>
      </w:r>
      <w:r>
        <w:rPr>
          <w:rFonts w:eastAsia="DengXian"/>
          <w:noProof/>
          <w:lang w:eastAsia="zh-CN"/>
        </w:rPr>
        <w:t>3</w:t>
      </w:r>
      <w:r>
        <w:rPr>
          <w:noProof/>
        </w:rPr>
        <w:tab/>
        <w:t>Performance requirements for PUCCH</w:t>
      </w:r>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p>
    <w:p w14:paraId="64E3831D" w14:textId="77777777" w:rsidR="00241417" w:rsidRDefault="00241417" w:rsidP="00241417">
      <w:pPr>
        <w:pStyle w:val="Heading4"/>
        <w:rPr>
          <w:rFonts w:eastAsia="DengXian"/>
          <w:noProof/>
          <w:lang w:eastAsia="zh-CN"/>
        </w:rPr>
      </w:pPr>
      <w:bookmarkStart w:id="7395" w:name="_Toc67916540"/>
      <w:bookmarkStart w:id="7396" w:name="_Toc61176717"/>
      <w:bookmarkStart w:id="7397" w:name="_Toc53178083"/>
      <w:bookmarkStart w:id="7398" w:name="_Toc53177631"/>
      <w:bookmarkStart w:id="7399" w:name="_Toc37268816"/>
      <w:bookmarkStart w:id="7400" w:name="_Toc37268365"/>
      <w:bookmarkStart w:id="7401" w:name="_Toc29811410"/>
      <w:bookmarkStart w:id="7402" w:name="_Toc13079921"/>
      <w:bookmarkStart w:id="7403" w:name="_Toc74583473"/>
      <w:bookmarkStart w:id="7404" w:name="_Toc76542286"/>
      <w:bookmarkStart w:id="7405" w:name="_Toc82450268"/>
      <w:bookmarkStart w:id="7406" w:name="_Toc82450916"/>
      <w:bookmarkStart w:id="7407" w:name="_Toc89949305"/>
      <w:bookmarkStart w:id="7408" w:name="_Toc98755694"/>
      <w:bookmarkStart w:id="7409" w:name="_Toc98763286"/>
      <w:bookmarkStart w:id="7410" w:name="_Toc106184215"/>
      <w:r>
        <w:rPr>
          <w:noProof/>
        </w:rPr>
        <w:t>11.1.</w:t>
      </w:r>
      <w:r>
        <w:rPr>
          <w:rFonts w:eastAsia="DengXian"/>
          <w:noProof/>
          <w:lang w:eastAsia="zh-CN"/>
        </w:rPr>
        <w:t>3</w:t>
      </w:r>
      <w:r>
        <w:rPr>
          <w:noProof/>
        </w:rPr>
        <w:t>.1</w:t>
      </w:r>
      <w:r>
        <w:rPr>
          <w:noProof/>
        </w:rPr>
        <w:tab/>
        <w:t xml:space="preserve">Performance requirements </w:t>
      </w:r>
      <w:r>
        <w:t xml:space="preserve">for </w:t>
      </w:r>
      <w:r>
        <w:rPr>
          <w:i/>
        </w:rPr>
        <w:t>IAB type 1-O</w:t>
      </w:r>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p>
    <w:p w14:paraId="0729E806" w14:textId="77777777" w:rsidR="00241417" w:rsidRDefault="00241417" w:rsidP="00241417">
      <w:pPr>
        <w:pStyle w:val="Heading5"/>
      </w:pPr>
      <w:bookmarkStart w:id="7411" w:name="_Toc67916541"/>
      <w:bookmarkStart w:id="7412" w:name="_Toc61176718"/>
      <w:bookmarkStart w:id="7413" w:name="_Toc53178084"/>
      <w:bookmarkStart w:id="7414" w:name="_Toc53177632"/>
      <w:bookmarkStart w:id="7415" w:name="_Toc37268817"/>
      <w:bookmarkStart w:id="7416" w:name="_Toc37268366"/>
      <w:bookmarkStart w:id="7417" w:name="_Toc29811862"/>
      <w:bookmarkStart w:id="7418" w:name="_Toc29811411"/>
      <w:bookmarkStart w:id="7419" w:name="_Toc13079922"/>
      <w:bookmarkStart w:id="7420" w:name="_Toc74583474"/>
      <w:bookmarkStart w:id="7421" w:name="_Toc76542287"/>
      <w:bookmarkStart w:id="7422" w:name="_Toc82450269"/>
      <w:bookmarkStart w:id="7423" w:name="_Toc82450917"/>
      <w:bookmarkStart w:id="7424" w:name="_Toc89949306"/>
      <w:bookmarkStart w:id="7425" w:name="_Toc98755695"/>
      <w:bookmarkStart w:id="7426" w:name="_Toc98763287"/>
      <w:bookmarkStart w:id="7427" w:name="_Toc106184216"/>
      <w:r>
        <w:t>11.1.3.1.1</w:t>
      </w:r>
      <w:r>
        <w:tab/>
        <w:t>DTX to ACK probability</w:t>
      </w:r>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p>
    <w:p w14:paraId="6DB6E4A6" w14:textId="77777777" w:rsidR="00241417" w:rsidRDefault="00241417" w:rsidP="00241417">
      <w:pPr>
        <w:rPr>
          <w:noProof/>
        </w:rPr>
      </w:pPr>
      <w:r>
        <w:rPr>
          <w:noProof/>
        </w:rPr>
        <w:t xml:space="preserve">Apply the requirements defined in </w:t>
      </w:r>
      <w:r>
        <w:rPr>
          <w:noProof/>
          <w:lang w:eastAsia="zh-CN"/>
        </w:rPr>
        <w:t>clause</w:t>
      </w:r>
      <w:r>
        <w:rPr>
          <w:noProof/>
        </w:rPr>
        <w:t xml:space="preserve"> 8.1.</w:t>
      </w:r>
      <w:r>
        <w:rPr>
          <w:noProof/>
          <w:lang w:eastAsia="zh-CN"/>
        </w:rPr>
        <w:t>3</w:t>
      </w:r>
      <w:r>
        <w:rPr>
          <w:noProof/>
        </w:rPr>
        <w:t>.</w:t>
      </w:r>
      <w:r>
        <w:rPr>
          <w:noProof/>
          <w:lang w:eastAsia="zh-CN"/>
        </w:rPr>
        <w:t>1</w:t>
      </w:r>
    </w:p>
    <w:p w14:paraId="1C6EB688" w14:textId="77777777" w:rsidR="00241417" w:rsidRDefault="00241417" w:rsidP="00241417">
      <w:pPr>
        <w:pStyle w:val="Heading5"/>
      </w:pPr>
      <w:bookmarkStart w:id="7428" w:name="_Toc67916542"/>
      <w:bookmarkStart w:id="7429" w:name="_Toc61176719"/>
      <w:bookmarkStart w:id="7430" w:name="_Toc53178085"/>
      <w:bookmarkStart w:id="7431" w:name="_Toc53177633"/>
      <w:bookmarkStart w:id="7432" w:name="_Toc37268818"/>
      <w:bookmarkStart w:id="7433" w:name="_Toc37268367"/>
      <w:bookmarkStart w:id="7434" w:name="_Toc29811863"/>
      <w:bookmarkStart w:id="7435" w:name="_Toc29811412"/>
      <w:bookmarkStart w:id="7436" w:name="_Toc13079923"/>
      <w:bookmarkStart w:id="7437" w:name="_Toc74583475"/>
      <w:bookmarkStart w:id="7438" w:name="_Toc76542288"/>
      <w:bookmarkStart w:id="7439" w:name="_Toc82450270"/>
      <w:bookmarkStart w:id="7440" w:name="_Toc82450918"/>
      <w:bookmarkStart w:id="7441" w:name="_Toc89949307"/>
      <w:bookmarkStart w:id="7442" w:name="_Toc98755696"/>
      <w:bookmarkStart w:id="7443" w:name="_Toc98763288"/>
      <w:bookmarkStart w:id="7444" w:name="_Toc106184217"/>
      <w:r>
        <w:t>11.1.3.1.2</w:t>
      </w:r>
      <w:r>
        <w:tab/>
        <w:t>Performance requirements for PUCCH format 0</w:t>
      </w:r>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p>
    <w:p w14:paraId="5E5D4D8E" w14:textId="77777777" w:rsidR="00241417" w:rsidRDefault="00241417" w:rsidP="00241417">
      <w:pPr>
        <w:rPr>
          <w:noProof/>
        </w:rPr>
      </w:pPr>
      <w:r>
        <w:rPr>
          <w:noProof/>
          <w:lang w:eastAsia="zh-CN"/>
        </w:rPr>
        <w:t xml:space="preserve">Apply the </w:t>
      </w:r>
      <w:r>
        <w:rPr>
          <w:noProof/>
        </w:rPr>
        <w:t xml:space="preserve">requirements defined in </w:t>
      </w:r>
      <w:r>
        <w:rPr>
          <w:noProof/>
          <w:lang w:eastAsia="zh-CN"/>
        </w:rPr>
        <w:t>clause</w:t>
      </w:r>
      <w:r>
        <w:rPr>
          <w:noProof/>
        </w:rPr>
        <w:t xml:space="preserve"> 8.1.</w:t>
      </w:r>
      <w:r>
        <w:rPr>
          <w:noProof/>
          <w:lang w:eastAsia="zh-CN"/>
        </w:rPr>
        <w:t>3</w:t>
      </w:r>
      <w:r>
        <w:rPr>
          <w:noProof/>
        </w:rPr>
        <w:t>.2 for 2 Rx.</w:t>
      </w:r>
    </w:p>
    <w:p w14:paraId="3C752BBC" w14:textId="77777777" w:rsidR="00241417" w:rsidRDefault="00241417" w:rsidP="00241417">
      <w:pPr>
        <w:pStyle w:val="Heading5"/>
      </w:pPr>
      <w:bookmarkStart w:id="7445" w:name="_Toc67916543"/>
      <w:bookmarkStart w:id="7446" w:name="_Toc61176720"/>
      <w:bookmarkStart w:id="7447" w:name="_Toc53178086"/>
      <w:bookmarkStart w:id="7448" w:name="_Toc53177634"/>
      <w:bookmarkStart w:id="7449" w:name="_Toc45893470"/>
      <w:bookmarkStart w:id="7450" w:name="_Toc37268819"/>
      <w:bookmarkStart w:id="7451" w:name="_Toc37268368"/>
      <w:bookmarkStart w:id="7452" w:name="_Toc29811864"/>
      <w:bookmarkStart w:id="7453" w:name="_Toc29811413"/>
      <w:bookmarkStart w:id="7454" w:name="_Toc13079924"/>
      <w:bookmarkStart w:id="7455" w:name="_Toc74583476"/>
      <w:bookmarkStart w:id="7456" w:name="_Toc76542289"/>
      <w:bookmarkStart w:id="7457" w:name="_Toc82450271"/>
      <w:bookmarkStart w:id="7458" w:name="_Toc82450919"/>
      <w:bookmarkStart w:id="7459" w:name="_Toc89949308"/>
      <w:bookmarkStart w:id="7460" w:name="_Toc98755697"/>
      <w:bookmarkStart w:id="7461" w:name="_Toc98763289"/>
      <w:bookmarkStart w:id="7462" w:name="_Toc106184218"/>
      <w:bookmarkStart w:id="7463" w:name="_Hlk531179956"/>
      <w:r>
        <w:t>11.1.3.1.</w:t>
      </w:r>
      <w:r>
        <w:rPr>
          <w:lang w:eastAsia="zh-CN"/>
        </w:rPr>
        <w:t>3</w:t>
      </w:r>
      <w:r>
        <w:tab/>
        <w:t>Performance requirements for PUCCH format 1</w:t>
      </w:r>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p>
    <w:p w14:paraId="761B9B64" w14:textId="77777777" w:rsidR="00241417" w:rsidRDefault="00241417" w:rsidP="00241417">
      <w:pPr>
        <w:rPr>
          <w:noProof/>
        </w:rPr>
      </w:pPr>
      <w:r>
        <w:rPr>
          <w:noProof/>
          <w:lang w:eastAsia="zh-CN"/>
        </w:rPr>
        <w:t>Apply</w:t>
      </w:r>
      <w:r>
        <w:rPr>
          <w:noProof/>
        </w:rPr>
        <w:t xml:space="preserve"> the requirements defined in </w:t>
      </w:r>
      <w:r>
        <w:rPr>
          <w:noProof/>
          <w:lang w:eastAsia="zh-CN"/>
        </w:rPr>
        <w:t>clause</w:t>
      </w:r>
      <w:r>
        <w:rPr>
          <w:noProof/>
        </w:rPr>
        <w:t xml:space="preserve"> 8.1.3.3 for 2Rx.</w:t>
      </w:r>
      <w:bookmarkEnd w:id="7463"/>
    </w:p>
    <w:p w14:paraId="1C255234" w14:textId="77777777" w:rsidR="00241417" w:rsidRDefault="00241417" w:rsidP="00241417">
      <w:pPr>
        <w:pStyle w:val="Heading5"/>
        <w:rPr>
          <w:rFonts w:eastAsia="DengXian"/>
          <w:lang w:eastAsia="zh-CN"/>
        </w:rPr>
      </w:pPr>
      <w:bookmarkStart w:id="7464" w:name="_Toc67916544"/>
      <w:bookmarkStart w:id="7465" w:name="_Toc61176721"/>
      <w:bookmarkStart w:id="7466" w:name="_Toc53178087"/>
      <w:bookmarkStart w:id="7467" w:name="_Toc53177635"/>
      <w:bookmarkStart w:id="7468" w:name="_Toc37268820"/>
      <w:bookmarkStart w:id="7469" w:name="_Toc37268369"/>
      <w:bookmarkStart w:id="7470" w:name="_Toc29811865"/>
      <w:bookmarkStart w:id="7471" w:name="_Toc29811414"/>
      <w:bookmarkStart w:id="7472" w:name="_Toc13079925"/>
      <w:bookmarkStart w:id="7473" w:name="_Toc74583477"/>
      <w:bookmarkStart w:id="7474" w:name="_Toc76542290"/>
      <w:bookmarkStart w:id="7475" w:name="_Toc82450272"/>
      <w:bookmarkStart w:id="7476" w:name="_Toc82450920"/>
      <w:bookmarkStart w:id="7477" w:name="_Toc89949309"/>
      <w:bookmarkStart w:id="7478" w:name="_Toc98755698"/>
      <w:bookmarkStart w:id="7479" w:name="_Toc98763290"/>
      <w:bookmarkStart w:id="7480" w:name="_Toc106184219"/>
      <w:r>
        <w:t>11.1.</w:t>
      </w:r>
      <w:r>
        <w:rPr>
          <w:lang w:eastAsia="zh-CN"/>
        </w:rPr>
        <w:t>3</w:t>
      </w:r>
      <w:r>
        <w:t>.</w:t>
      </w:r>
      <w:r>
        <w:rPr>
          <w:lang w:eastAsia="zh-CN"/>
        </w:rPr>
        <w:t>1</w:t>
      </w:r>
      <w:r>
        <w:t>.</w:t>
      </w:r>
      <w:r>
        <w:rPr>
          <w:lang w:eastAsia="zh-CN"/>
        </w:rPr>
        <w:t>4</w:t>
      </w:r>
      <w:r>
        <w:tab/>
      </w:r>
      <w:r>
        <w:rPr>
          <w:lang w:eastAsia="zh-CN"/>
        </w:rPr>
        <w:t>Performance requirements for PUCCH format 2</w:t>
      </w:r>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p>
    <w:p w14:paraId="5ECF4691" w14:textId="77777777" w:rsidR="00241417" w:rsidRDefault="00241417" w:rsidP="00241417">
      <w:pPr>
        <w:rPr>
          <w:rFonts w:eastAsia="DengXian"/>
          <w:noProof/>
          <w:lang w:eastAsia="zh-CN"/>
        </w:rPr>
      </w:pPr>
      <w:r>
        <w:rPr>
          <w:noProof/>
          <w:lang w:eastAsia="zh-CN"/>
        </w:rPr>
        <w:t>Apply</w:t>
      </w:r>
      <w:r>
        <w:rPr>
          <w:noProof/>
        </w:rPr>
        <w:t xml:space="preserve"> the requirements defined in </w:t>
      </w:r>
      <w:r>
        <w:rPr>
          <w:noProof/>
          <w:lang w:eastAsia="zh-CN"/>
        </w:rPr>
        <w:t>clause</w:t>
      </w:r>
      <w:r>
        <w:rPr>
          <w:noProof/>
        </w:rPr>
        <w:t xml:space="preserve"> 8.1.3.</w:t>
      </w:r>
      <w:r>
        <w:rPr>
          <w:noProof/>
          <w:lang w:eastAsia="zh-CN"/>
        </w:rPr>
        <w:t>4</w:t>
      </w:r>
      <w:r>
        <w:rPr>
          <w:noProof/>
        </w:rPr>
        <w:t xml:space="preserve"> for 2Rx.</w:t>
      </w:r>
    </w:p>
    <w:p w14:paraId="50D312EC" w14:textId="77777777" w:rsidR="00241417" w:rsidRDefault="00241417" w:rsidP="00241417">
      <w:pPr>
        <w:pStyle w:val="Heading5"/>
        <w:rPr>
          <w:rFonts w:eastAsia="SimSun"/>
        </w:rPr>
      </w:pPr>
      <w:bookmarkStart w:id="7481" w:name="_Toc67916545"/>
      <w:bookmarkStart w:id="7482" w:name="_Toc61176722"/>
      <w:bookmarkStart w:id="7483" w:name="_Toc53178088"/>
      <w:bookmarkStart w:id="7484" w:name="_Toc53177636"/>
      <w:bookmarkStart w:id="7485" w:name="_Toc37268821"/>
      <w:bookmarkStart w:id="7486" w:name="_Toc37268370"/>
      <w:bookmarkStart w:id="7487" w:name="_Toc29811415"/>
      <w:bookmarkStart w:id="7488" w:name="_Toc13079926"/>
      <w:bookmarkStart w:id="7489" w:name="_Toc74583478"/>
      <w:bookmarkStart w:id="7490" w:name="_Toc76542291"/>
      <w:bookmarkStart w:id="7491" w:name="_Toc82450273"/>
      <w:bookmarkStart w:id="7492" w:name="_Toc82450921"/>
      <w:bookmarkStart w:id="7493" w:name="_Toc89949310"/>
      <w:bookmarkStart w:id="7494" w:name="_Toc98755699"/>
      <w:bookmarkStart w:id="7495" w:name="_Toc98763291"/>
      <w:bookmarkStart w:id="7496" w:name="_Toc106184220"/>
      <w:r>
        <w:t>11.1.3.1.5</w:t>
      </w:r>
      <w:r>
        <w:tab/>
        <w:t>Performance requirements for PUCCH format 3</w:t>
      </w:r>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p>
    <w:p w14:paraId="4C89D74D" w14:textId="77777777" w:rsidR="00241417" w:rsidRDefault="00241417" w:rsidP="00241417">
      <w:pPr>
        <w:rPr>
          <w:noProof/>
        </w:rPr>
      </w:pPr>
      <w:r>
        <w:rPr>
          <w:noProof/>
          <w:lang w:eastAsia="zh-CN"/>
        </w:rPr>
        <w:t>Apply</w:t>
      </w:r>
      <w:r>
        <w:rPr>
          <w:noProof/>
        </w:rPr>
        <w:t xml:space="preserve"> the requirements defined in </w:t>
      </w:r>
      <w:r>
        <w:rPr>
          <w:noProof/>
          <w:lang w:eastAsia="zh-CN"/>
        </w:rPr>
        <w:t>clause</w:t>
      </w:r>
      <w:r>
        <w:rPr>
          <w:noProof/>
        </w:rPr>
        <w:t xml:space="preserve"> 8.1.3.5 for 2Rx.</w:t>
      </w:r>
    </w:p>
    <w:p w14:paraId="5F159091" w14:textId="77777777" w:rsidR="00241417" w:rsidRDefault="00241417" w:rsidP="00241417">
      <w:pPr>
        <w:pStyle w:val="Heading5"/>
      </w:pPr>
      <w:bookmarkStart w:id="7497" w:name="_Toc67916546"/>
      <w:bookmarkStart w:id="7498" w:name="_Toc61176723"/>
      <w:bookmarkStart w:id="7499" w:name="_Toc53178089"/>
      <w:bookmarkStart w:id="7500" w:name="_Toc53177637"/>
      <w:bookmarkStart w:id="7501" w:name="_Toc37268822"/>
      <w:bookmarkStart w:id="7502" w:name="_Toc37268371"/>
      <w:bookmarkStart w:id="7503" w:name="_Toc29811867"/>
      <w:bookmarkStart w:id="7504" w:name="_Toc29811416"/>
      <w:bookmarkStart w:id="7505" w:name="_Toc13079927"/>
      <w:bookmarkStart w:id="7506" w:name="_Toc74583479"/>
      <w:bookmarkStart w:id="7507" w:name="_Toc76542292"/>
      <w:bookmarkStart w:id="7508" w:name="_Toc82450274"/>
      <w:bookmarkStart w:id="7509" w:name="_Toc82450922"/>
      <w:bookmarkStart w:id="7510" w:name="_Toc89949311"/>
      <w:bookmarkStart w:id="7511" w:name="_Toc98755700"/>
      <w:bookmarkStart w:id="7512" w:name="_Toc98763292"/>
      <w:bookmarkStart w:id="7513" w:name="_Toc106184221"/>
      <w:r>
        <w:lastRenderedPageBreak/>
        <w:t>11.1.3.1.6</w:t>
      </w:r>
      <w:r>
        <w:tab/>
        <w:t>Performance requirements for PUCCH format 4</w:t>
      </w:r>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p>
    <w:p w14:paraId="59580495" w14:textId="77777777" w:rsidR="00241417" w:rsidRDefault="00241417" w:rsidP="00241417">
      <w:pPr>
        <w:rPr>
          <w:noProof/>
        </w:rPr>
      </w:pPr>
      <w:r>
        <w:rPr>
          <w:noProof/>
          <w:lang w:eastAsia="zh-CN"/>
        </w:rPr>
        <w:t>Apply</w:t>
      </w:r>
      <w:r>
        <w:rPr>
          <w:noProof/>
        </w:rPr>
        <w:t xml:space="preserve"> the requirements defined in </w:t>
      </w:r>
      <w:r>
        <w:rPr>
          <w:noProof/>
          <w:lang w:eastAsia="zh-CN"/>
        </w:rPr>
        <w:t xml:space="preserve">clause </w:t>
      </w:r>
      <w:r>
        <w:rPr>
          <w:noProof/>
        </w:rPr>
        <w:t>8.1.3.6 for 2Rx.</w:t>
      </w:r>
    </w:p>
    <w:p w14:paraId="20B4B647" w14:textId="77777777" w:rsidR="00241417" w:rsidRDefault="00241417" w:rsidP="00241417">
      <w:pPr>
        <w:pStyle w:val="Heading5"/>
      </w:pPr>
      <w:bookmarkStart w:id="7514" w:name="_Toc74583480"/>
      <w:bookmarkStart w:id="7515" w:name="_Toc76542293"/>
      <w:bookmarkStart w:id="7516" w:name="_Toc82450275"/>
      <w:bookmarkStart w:id="7517" w:name="_Toc82450923"/>
      <w:bookmarkStart w:id="7518" w:name="_Toc89949312"/>
      <w:bookmarkStart w:id="7519" w:name="_Toc98755701"/>
      <w:bookmarkStart w:id="7520" w:name="_Toc98763293"/>
      <w:bookmarkStart w:id="7521" w:name="_Toc106184222"/>
      <w:r>
        <w:t>11.1.3.1.7</w:t>
      </w:r>
      <w:r>
        <w:tab/>
        <w:t>Performance requirements for multi-slot PUCCH</w:t>
      </w:r>
      <w:bookmarkEnd w:id="7514"/>
      <w:bookmarkEnd w:id="7515"/>
      <w:bookmarkEnd w:id="7516"/>
      <w:bookmarkEnd w:id="7517"/>
      <w:bookmarkEnd w:id="7518"/>
      <w:bookmarkEnd w:id="7519"/>
      <w:bookmarkEnd w:id="7520"/>
      <w:bookmarkEnd w:id="7521"/>
    </w:p>
    <w:p w14:paraId="4FC175B8" w14:textId="77777777" w:rsidR="00241417" w:rsidRDefault="00241417" w:rsidP="00241417">
      <w:pPr>
        <w:rPr>
          <w:noProof/>
        </w:rPr>
      </w:pPr>
      <w:r>
        <w:rPr>
          <w:rFonts w:eastAsia="Malgun Gothic"/>
          <w:noProof/>
          <w:lang w:eastAsia="zh-CN"/>
        </w:rPr>
        <w:t>Apply</w:t>
      </w:r>
      <w:r>
        <w:rPr>
          <w:rFonts w:eastAsia="Malgun Gothic"/>
          <w:noProof/>
        </w:rPr>
        <w:t xml:space="preserve"> the requirements defined in </w:t>
      </w:r>
      <w:r>
        <w:rPr>
          <w:rFonts w:eastAsia="Malgun Gothic"/>
          <w:noProof/>
          <w:lang w:eastAsia="zh-CN"/>
        </w:rPr>
        <w:t xml:space="preserve">clause </w:t>
      </w:r>
      <w:r>
        <w:rPr>
          <w:rFonts w:eastAsia="Malgun Gothic"/>
          <w:noProof/>
        </w:rPr>
        <w:t>8.1.3.7 for 2Rx.</w:t>
      </w:r>
    </w:p>
    <w:p w14:paraId="4BCDE8F6" w14:textId="77777777" w:rsidR="00241417" w:rsidRDefault="00241417" w:rsidP="00241417">
      <w:pPr>
        <w:pStyle w:val="Heading4"/>
        <w:rPr>
          <w:noProof/>
        </w:rPr>
      </w:pPr>
      <w:bookmarkStart w:id="7522" w:name="_Toc67916547"/>
      <w:bookmarkStart w:id="7523" w:name="_Toc61176724"/>
      <w:bookmarkStart w:id="7524" w:name="_Toc53178090"/>
      <w:bookmarkStart w:id="7525" w:name="_Toc53177638"/>
      <w:bookmarkStart w:id="7526" w:name="_Toc37268823"/>
      <w:bookmarkStart w:id="7527" w:name="_Toc37268372"/>
      <w:bookmarkStart w:id="7528" w:name="_Toc29811868"/>
      <w:bookmarkStart w:id="7529" w:name="_Toc29811417"/>
      <w:bookmarkStart w:id="7530" w:name="_Toc13079928"/>
      <w:bookmarkStart w:id="7531" w:name="_Toc74583481"/>
      <w:bookmarkStart w:id="7532" w:name="_Toc76542294"/>
      <w:bookmarkStart w:id="7533" w:name="_Toc82450276"/>
      <w:bookmarkStart w:id="7534" w:name="_Toc82450924"/>
      <w:bookmarkStart w:id="7535" w:name="_Toc89949313"/>
      <w:bookmarkStart w:id="7536" w:name="_Toc98755702"/>
      <w:bookmarkStart w:id="7537" w:name="_Toc98763294"/>
      <w:bookmarkStart w:id="7538" w:name="_Toc106184223"/>
      <w:r>
        <w:rPr>
          <w:noProof/>
        </w:rPr>
        <w:t>11.1.</w:t>
      </w:r>
      <w:r>
        <w:rPr>
          <w:rFonts w:eastAsia="DengXian"/>
          <w:noProof/>
          <w:lang w:eastAsia="zh-CN"/>
        </w:rPr>
        <w:t>3</w:t>
      </w:r>
      <w:r>
        <w:rPr>
          <w:noProof/>
        </w:rPr>
        <w:t>.2</w:t>
      </w:r>
      <w:r>
        <w:rPr>
          <w:noProof/>
        </w:rPr>
        <w:tab/>
      </w:r>
      <w:r w:rsidRPr="00937751">
        <w:rPr>
          <w:noProof/>
        </w:rPr>
        <w:t xml:space="preserve">Performance </w:t>
      </w:r>
      <w:r>
        <w:rPr>
          <w:noProof/>
        </w:rPr>
        <w:t xml:space="preserve">requirements </w:t>
      </w:r>
      <w:r>
        <w:t xml:space="preserve">for </w:t>
      </w:r>
      <w:r>
        <w:rPr>
          <w:i/>
        </w:rPr>
        <w:t xml:space="preserve">IAB type </w:t>
      </w:r>
      <w:r>
        <w:rPr>
          <w:rFonts w:eastAsia="DengXian"/>
          <w:i/>
          <w:lang w:eastAsia="zh-CN"/>
        </w:rPr>
        <w:t>2</w:t>
      </w:r>
      <w:r>
        <w:rPr>
          <w:i/>
        </w:rPr>
        <w:t>-O</w:t>
      </w:r>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p>
    <w:p w14:paraId="356F0C65" w14:textId="77777777" w:rsidR="00241417" w:rsidRDefault="00241417" w:rsidP="00241417">
      <w:pPr>
        <w:pStyle w:val="Heading5"/>
      </w:pPr>
      <w:bookmarkStart w:id="7539" w:name="_Toc67916548"/>
      <w:bookmarkStart w:id="7540" w:name="_Toc61176725"/>
      <w:bookmarkStart w:id="7541" w:name="_Toc53178091"/>
      <w:bookmarkStart w:id="7542" w:name="_Toc53177639"/>
      <w:bookmarkStart w:id="7543" w:name="_Toc37268824"/>
      <w:bookmarkStart w:id="7544" w:name="_Toc37268373"/>
      <w:bookmarkStart w:id="7545" w:name="_Toc29811869"/>
      <w:bookmarkStart w:id="7546" w:name="_Toc29811418"/>
      <w:bookmarkStart w:id="7547" w:name="_Toc13079929"/>
      <w:bookmarkStart w:id="7548" w:name="_Toc74583482"/>
      <w:bookmarkStart w:id="7549" w:name="_Toc76542295"/>
      <w:bookmarkStart w:id="7550" w:name="_Toc82450277"/>
      <w:bookmarkStart w:id="7551" w:name="_Toc82450925"/>
      <w:bookmarkStart w:id="7552" w:name="_Toc89949314"/>
      <w:bookmarkStart w:id="7553" w:name="_Toc98755703"/>
      <w:bookmarkStart w:id="7554" w:name="_Toc98763295"/>
      <w:bookmarkStart w:id="7555" w:name="_Toc106184224"/>
      <w:r>
        <w:t>11.1.3.2.1</w:t>
      </w:r>
      <w:r>
        <w:tab/>
        <w:t>DTX to ACK probability</w:t>
      </w:r>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p>
    <w:p w14:paraId="003B4F2B" w14:textId="77777777" w:rsidR="00241417" w:rsidRDefault="00241417" w:rsidP="00241417">
      <w:pPr>
        <w:rPr>
          <w:noProof/>
        </w:rPr>
      </w:pPr>
      <w:r>
        <w:rPr>
          <w:noProof/>
        </w:rPr>
        <w:t xml:space="preserve">Apply the requirements defined in </w:t>
      </w:r>
      <w:r>
        <w:rPr>
          <w:noProof/>
          <w:lang w:eastAsia="zh-CN"/>
        </w:rPr>
        <w:t>clause</w:t>
      </w:r>
      <w:r>
        <w:rPr>
          <w:noProof/>
        </w:rPr>
        <w:t xml:space="preserve"> 8.1.</w:t>
      </w:r>
      <w:r>
        <w:rPr>
          <w:noProof/>
          <w:lang w:eastAsia="zh-CN"/>
        </w:rPr>
        <w:t>3</w:t>
      </w:r>
      <w:r>
        <w:rPr>
          <w:noProof/>
        </w:rPr>
        <w:t>.</w:t>
      </w:r>
      <w:r>
        <w:rPr>
          <w:noProof/>
          <w:lang w:eastAsia="zh-CN"/>
        </w:rPr>
        <w:t>1.</w:t>
      </w:r>
    </w:p>
    <w:p w14:paraId="7E58DB3E" w14:textId="77777777" w:rsidR="00241417" w:rsidRDefault="00241417" w:rsidP="00241417">
      <w:pPr>
        <w:pStyle w:val="Heading5"/>
      </w:pPr>
      <w:bookmarkStart w:id="7556" w:name="_Toc67916549"/>
      <w:bookmarkStart w:id="7557" w:name="_Toc61176726"/>
      <w:bookmarkStart w:id="7558" w:name="_Toc53178092"/>
      <w:bookmarkStart w:id="7559" w:name="_Toc53177640"/>
      <w:bookmarkStart w:id="7560" w:name="_Toc37268825"/>
      <w:bookmarkStart w:id="7561" w:name="_Toc37268374"/>
      <w:bookmarkStart w:id="7562" w:name="_Toc29811870"/>
      <w:bookmarkStart w:id="7563" w:name="_Toc29811419"/>
      <w:bookmarkStart w:id="7564" w:name="_Toc13079930"/>
      <w:bookmarkStart w:id="7565" w:name="_Toc74583483"/>
      <w:bookmarkStart w:id="7566" w:name="_Toc76542296"/>
      <w:bookmarkStart w:id="7567" w:name="_Toc82450278"/>
      <w:bookmarkStart w:id="7568" w:name="_Toc82450926"/>
      <w:bookmarkStart w:id="7569" w:name="_Toc89949315"/>
      <w:bookmarkStart w:id="7570" w:name="_Toc98755704"/>
      <w:bookmarkStart w:id="7571" w:name="_Toc98763296"/>
      <w:bookmarkStart w:id="7572" w:name="_Toc106184225"/>
      <w:r>
        <w:t>11.1.3.2.2</w:t>
      </w:r>
      <w:r>
        <w:tab/>
        <w:t>Performance requirements for PUCCH format 0</w:t>
      </w:r>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p>
    <w:p w14:paraId="31DFC353" w14:textId="77777777" w:rsidR="00241417" w:rsidRDefault="00241417" w:rsidP="00241417">
      <w:pPr>
        <w:pStyle w:val="H6"/>
        <w:rPr>
          <w:rFonts w:eastAsia="SimSun"/>
        </w:rPr>
      </w:pPr>
      <w:bookmarkStart w:id="7573" w:name="_Toc67916550"/>
      <w:bookmarkStart w:id="7574" w:name="_Toc61176727"/>
      <w:bookmarkStart w:id="7575" w:name="_Toc53178093"/>
      <w:bookmarkStart w:id="7576" w:name="_Toc53177641"/>
      <w:bookmarkStart w:id="7577" w:name="_Toc37268826"/>
      <w:bookmarkStart w:id="7578" w:name="_Toc37268375"/>
      <w:bookmarkStart w:id="7579" w:name="_Toc29811420"/>
      <w:bookmarkStart w:id="7580" w:name="_Toc13079931"/>
      <w:r>
        <w:t>11.1.3.2.2.1</w:t>
      </w:r>
      <w:r>
        <w:tab/>
        <w:t>General</w:t>
      </w:r>
      <w:bookmarkEnd w:id="7573"/>
      <w:bookmarkEnd w:id="7574"/>
      <w:bookmarkEnd w:id="7575"/>
      <w:bookmarkEnd w:id="7576"/>
      <w:bookmarkEnd w:id="7577"/>
      <w:bookmarkEnd w:id="7578"/>
      <w:bookmarkEnd w:id="7579"/>
      <w:bookmarkEnd w:id="7580"/>
    </w:p>
    <w:p w14:paraId="70551B4B" w14:textId="77777777" w:rsidR="00241417" w:rsidRDefault="00241417" w:rsidP="00241417">
      <w:r>
        <w:t>The ACK missed detection probability is the probability of not detecting an ACK when an ACK was sent.</w:t>
      </w:r>
    </w:p>
    <w:p w14:paraId="0C050BC7" w14:textId="77777777" w:rsidR="00241417" w:rsidRPr="00937751" w:rsidRDefault="00241417" w:rsidP="00241417">
      <w:pPr>
        <w:pStyle w:val="TH"/>
      </w:pPr>
      <w:r w:rsidRPr="00937751">
        <w:t xml:space="preserve">Table 11.1.3.2.2.1-1: </w:t>
      </w:r>
      <w:r w:rsidRPr="003F74C9">
        <w:t xml:space="preserve">Test parameters for </w:t>
      </w:r>
      <w:r>
        <w:t>PUCCH format 0</w:t>
      </w:r>
      <w:r w:rsidRPr="003F74C9">
        <w:t xml:space="preserve">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3948"/>
      </w:tblGrid>
      <w:tr w:rsidR="00241417" w:rsidRPr="00937751" w14:paraId="69A753CD"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8A18AC4" w14:textId="77777777" w:rsidR="00241417" w:rsidRPr="00937751" w:rsidRDefault="00241417" w:rsidP="003A71DE">
            <w:pPr>
              <w:pStyle w:val="TAH"/>
            </w:pPr>
            <w:r w:rsidRPr="00937751">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285540E5" w14:textId="77777777" w:rsidR="00241417" w:rsidRPr="00937751" w:rsidRDefault="00241417" w:rsidP="003A71DE">
            <w:pPr>
              <w:pStyle w:val="TAH"/>
            </w:pPr>
            <w:r>
              <w:t>Value</w:t>
            </w:r>
          </w:p>
        </w:tc>
      </w:tr>
      <w:tr w:rsidR="00241417" w:rsidRPr="00937751" w14:paraId="4B3F73E6"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346CBAB" w14:textId="77777777" w:rsidR="00241417" w:rsidRPr="008C1F2E" w:rsidRDefault="00241417" w:rsidP="003A71DE">
            <w:pPr>
              <w:pStyle w:val="TAC"/>
            </w:pPr>
            <w:r w:rsidRPr="008C1F2E">
              <w:t>Cyclic prefix</w:t>
            </w:r>
          </w:p>
        </w:tc>
        <w:tc>
          <w:tcPr>
            <w:tcW w:w="0" w:type="auto"/>
            <w:tcBorders>
              <w:top w:val="single" w:sz="4" w:space="0" w:color="auto"/>
              <w:left w:val="single" w:sz="4" w:space="0" w:color="auto"/>
              <w:bottom w:val="single" w:sz="4" w:space="0" w:color="auto"/>
              <w:right w:val="single" w:sz="4" w:space="0" w:color="auto"/>
            </w:tcBorders>
            <w:vAlign w:val="center"/>
          </w:tcPr>
          <w:p w14:paraId="5E00440C" w14:textId="77777777" w:rsidR="00241417" w:rsidRPr="008C1F2E" w:rsidRDefault="00241417" w:rsidP="003A71DE">
            <w:pPr>
              <w:pStyle w:val="TAC"/>
            </w:pPr>
            <w:r w:rsidRPr="008C1F2E">
              <w:t>Normal</w:t>
            </w:r>
          </w:p>
        </w:tc>
      </w:tr>
      <w:tr w:rsidR="00241417" w:rsidRPr="00937751" w14:paraId="742A4C24"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C4E1BD7" w14:textId="77777777" w:rsidR="00241417" w:rsidRPr="00937751" w:rsidRDefault="00241417" w:rsidP="003A71DE">
            <w:pPr>
              <w:pStyle w:val="TAC"/>
            </w:pPr>
            <w:r w:rsidRPr="00937751">
              <w:t>Number of UCI information bits</w:t>
            </w:r>
          </w:p>
        </w:tc>
        <w:tc>
          <w:tcPr>
            <w:tcW w:w="0" w:type="auto"/>
            <w:tcBorders>
              <w:top w:val="single" w:sz="4" w:space="0" w:color="auto"/>
              <w:left w:val="single" w:sz="4" w:space="0" w:color="auto"/>
              <w:bottom w:val="single" w:sz="4" w:space="0" w:color="auto"/>
              <w:right w:val="single" w:sz="4" w:space="0" w:color="auto"/>
            </w:tcBorders>
            <w:vAlign w:val="center"/>
            <w:hideMark/>
          </w:tcPr>
          <w:p w14:paraId="3B8EE66A" w14:textId="77777777" w:rsidR="00241417" w:rsidRPr="00937751" w:rsidRDefault="00241417" w:rsidP="003A71DE">
            <w:pPr>
              <w:pStyle w:val="TAC"/>
            </w:pPr>
            <w:r w:rsidRPr="00937751">
              <w:t>1</w:t>
            </w:r>
          </w:p>
        </w:tc>
      </w:tr>
      <w:tr w:rsidR="00241417" w:rsidRPr="00937751" w14:paraId="679E7BF2"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5B806E7" w14:textId="77777777" w:rsidR="00241417" w:rsidRPr="00937751" w:rsidRDefault="00241417" w:rsidP="003A71DE">
            <w:pPr>
              <w:pStyle w:val="TAC"/>
            </w:pPr>
            <w:r w:rsidRPr="00937751">
              <w:t>Number of PRBs</w:t>
            </w:r>
          </w:p>
        </w:tc>
        <w:tc>
          <w:tcPr>
            <w:tcW w:w="0" w:type="auto"/>
            <w:tcBorders>
              <w:top w:val="single" w:sz="4" w:space="0" w:color="auto"/>
              <w:left w:val="single" w:sz="4" w:space="0" w:color="auto"/>
              <w:bottom w:val="single" w:sz="4" w:space="0" w:color="auto"/>
              <w:right w:val="single" w:sz="4" w:space="0" w:color="auto"/>
            </w:tcBorders>
            <w:vAlign w:val="center"/>
            <w:hideMark/>
          </w:tcPr>
          <w:p w14:paraId="4FED8F47" w14:textId="77777777" w:rsidR="00241417" w:rsidRPr="00937751" w:rsidRDefault="00241417" w:rsidP="003A71DE">
            <w:pPr>
              <w:pStyle w:val="TAC"/>
            </w:pPr>
            <w:r w:rsidRPr="00937751">
              <w:t>1</w:t>
            </w:r>
          </w:p>
        </w:tc>
      </w:tr>
      <w:tr w:rsidR="00241417" w:rsidRPr="00937751" w14:paraId="03CD4D63"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605D4FF" w14:textId="77777777" w:rsidR="00241417" w:rsidRPr="00937751" w:rsidRDefault="00241417" w:rsidP="003A71DE">
            <w:pPr>
              <w:pStyle w:val="TAC"/>
            </w:pPr>
            <w:r w:rsidRPr="00937751">
              <w:t>First PRB prior to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68C90B8F" w14:textId="77777777" w:rsidR="00241417" w:rsidRPr="00937751" w:rsidRDefault="00241417" w:rsidP="003A71DE">
            <w:pPr>
              <w:pStyle w:val="TAC"/>
            </w:pPr>
            <w:r w:rsidRPr="00937751">
              <w:t>0</w:t>
            </w:r>
          </w:p>
        </w:tc>
      </w:tr>
      <w:tr w:rsidR="00241417" w:rsidRPr="00937751" w14:paraId="3B36FF77"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61E79AC" w14:textId="77777777" w:rsidR="00241417" w:rsidRPr="00937751" w:rsidRDefault="00241417" w:rsidP="003A71DE">
            <w:pPr>
              <w:pStyle w:val="TAC"/>
            </w:pPr>
            <w:r w:rsidRPr="00937751">
              <w:t>Intra-slot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0A2EA9DB" w14:textId="77777777" w:rsidR="00241417" w:rsidRPr="00937751" w:rsidRDefault="00241417" w:rsidP="003A71DE">
            <w:pPr>
              <w:pStyle w:val="TAC"/>
            </w:pPr>
            <w:r w:rsidRPr="00937751">
              <w:t>N/A for 1 symbol Enabled for 2 symbols</w:t>
            </w:r>
          </w:p>
        </w:tc>
      </w:tr>
      <w:tr w:rsidR="00241417" w:rsidRPr="00937751" w14:paraId="65C36FC4"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7F347F4" w14:textId="77777777" w:rsidR="00241417" w:rsidRPr="00937751" w:rsidRDefault="00241417" w:rsidP="003A71DE">
            <w:pPr>
              <w:pStyle w:val="TAC"/>
            </w:pPr>
            <w:r w:rsidRPr="00937751">
              <w:t>First PRB after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5B1C3FAB" w14:textId="77777777" w:rsidR="00241417" w:rsidRPr="00937751" w:rsidRDefault="00241417" w:rsidP="003A71DE">
            <w:pPr>
              <w:pStyle w:val="TAC"/>
            </w:pPr>
            <w:r w:rsidRPr="00937751">
              <w:t>The largest PRB index – (Number of PRBs - 1)</w:t>
            </w:r>
          </w:p>
        </w:tc>
      </w:tr>
      <w:tr w:rsidR="00241417" w:rsidRPr="00937751" w14:paraId="5632DF4C"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5A39A95" w14:textId="77777777" w:rsidR="00241417" w:rsidRPr="00937751" w:rsidRDefault="00241417" w:rsidP="003A71DE">
            <w:pPr>
              <w:pStyle w:val="TAC"/>
            </w:pPr>
            <w:r w:rsidRPr="00937751">
              <w:t>Group and sequence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406DFA94" w14:textId="77777777" w:rsidR="00241417" w:rsidRPr="00937751" w:rsidRDefault="00241417" w:rsidP="003A71DE">
            <w:pPr>
              <w:pStyle w:val="TAC"/>
            </w:pPr>
            <w:r w:rsidRPr="00937751">
              <w:t>neither</w:t>
            </w:r>
          </w:p>
        </w:tc>
      </w:tr>
      <w:tr w:rsidR="00241417" w:rsidRPr="00937751" w14:paraId="5895631D"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8AD5726" w14:textId="77777777" w:rsidR="00241417" w:rsidRPr="00937751" w:rsidRDefault="00241417" w:rsidP="003A71DE">
            <w:pPr>
              <w:pStyle w:val="TAC"/>
            </w:pPr>
            <w:r w:rsidRPr="00937751">
              <w:t>Hopping ID</w:t>
            </w:r>
          </w:p>
        </w:tc>
        <w:tc>
          <w:tcPr>
            <w:tcW w:w="0" w:type="auto"/>
            <w:tcBorders>
              <w:top w:val="single" w:sz="4" w:space="0" w:color="auto"/>
              <w:left w:val="single" w:sz="4" w:space="0" w:color="auto"/>
              <w:bottom w:val="single" w:sz="4" w:space="0" w:color="auto"/>
              <w:right w:val="single" w:sz="4" w:space="0" w:color="auto"/>
            </w:tcBorders>
            <w:vAlign w:val="center"/>
            <w:hideMark/>
          </w:tcPr>
          <w:p w14:paraId="2CF54644" w14:textId="77777777" w:rsidR="00241417" w:rsidRPr="00937751" w:rsidRDefault="00241417" w:rsidP="003A71DE">
            <w:pPr>
              <w:pStyle w:val="TAC"/>
            </w:pPr>
            <w:r w:rsidRPr="00937751">
              <w:t>0</w:t>
            </w:r>
          </w:p>
        </w:tc>
      </w:tr>
      <w:tr w:rsidR="00241417" w:rsidRPr="00937751" w14:paraId="06949467"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6082327" w14:textId="77777777" w:rsidR="00241417" w:rsidRPr="00937751" w:rsidRDefault="00241417" w:rsidP="003A71DE">
            <w:pPr>
              <w:pStyle w:val="TAC"/>
            </w:pPr>
            <w:r w:rsidRPr="00937751">
              <w:t>Initial cyclic shift</w:t>
            </w:r>
          </w:p>
        </w:tc>
        <w:tc>
          <w:tcPr>
            <w:tcW w:w="0" w:type="auto"/>
            <w:tcBorders>
              <w:top w:val="single" w:sz="4" w:space="0" w:color="auto"/>
              <w:left w:val="single" w:sz="4" w:space="0" w:color="auto"/>
              <w:bottom w:val="single" w:sz="4" w:space="0" w:color="auto"/>
              <w:right w:val="single" w:sz="4" w:space="0" w:color="auto"/>
            </w:tcBorders>
            <w:vAlign w:val="center"/>
            <w:hideMark/>
          </w:tcPr>
          <w:p w14:paraId="31398448" w14:textId="77777777" w:rsidR="00241417" w:rsidRPr="00937751" w:rsidRDefault="00241417" w:rsidP="003A71DE">
            <w:pPr>
              <w:pStyle w:val="TAC"/>
            </w:pPr>
            <w:r w:rsidRPr="00937751">
              <w:t>0</w:t>
            </w:r>
          </w:p>
        </w:tc>
      </w:tr>
      <w:tr w:rsidR="00241417" w:rsidRPr="00937751" w14:paraId="72039D2B"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D0DE985" w14:textId="77777777" w:rsidR="00241417" w:rsidRPr="00937751" w:rsidRDefault="00241417" w:rsidP="003A71DE">
            <w:pPr>
              <w:pStyle w:val="TAC"/>
            </w:pPr>
            <w:r w:rsidRPr="00937751">
              <w:t>First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69C44C56" w14:textId="77777777" w:rsidR="00241417" w:rsidRPr="00937751" w:rsidRDefault="00241417" w:rsidP="003A71DE">
            <w:pPr>
              <w:pStyle w:val="TAC"/>
            </w:pPr>
            <w:r w:rsidRPr="00937751">
              <w:t>13 for 1 symbol</w:t>
            </w:r>
          </w:p>
          <w:p w14:paraId="2AB161D9" w14:textId="77777777" w:rsidR="00241417" w:rsidRPr="00937751" w:rsidRDefault="00241417" w:rsidP="003A71DE">
            <w:pPr>
              <w:pStyle w:val="TAC"/>
            </w:pPr>
            <w:r w:rsidRPr="00937751">
              <w:t>12 for 2 symbols</w:t>
            </w:r>
          </w:p>
        </w:tc>
      </w:tr>
    </w:tbl>
    <w:p w14:paraId="0FB16493" w14:textId="77777777" w:rsidR="00241417" w:rsidRDefault="00241417" w:rsidP="00241417"/>
    <w:p w14:paraId="236C08E3" w14:textId="77777777" w:rsidR="00241417" w:rsidRDefault="00241417" w:rsidP="00241417">
      <w:r>
        <w:rPr>
          <w:lang w:eastAsia="zh-CN"/>
        </w:rPr>
        <w:t xml:space="preserve">The transient period as specified </w:t>
      </w:r>
      <w:r w:rsidRPr="008C1F2E">
        <w:rPr>
          <w:lang w:eastAsia="zh-CN"/>
        </w:rPr>
        <w:t>in TBA and TBA clause</w:t>
      </w:r>
      <w:r>
        <w:rPr>
          <w:lang w:eastAsia="zh-CN"/>
        </w:rPr>
        <w:t xml:space="preserve"> is not taken into account for performance requirement testing, where the RB hopping is symmetric to the CC centre, i.e. intra-slot frequency hopping is enabled.</w:t>
      </w:r>
    </w:p>
    <w:p w14:paraId="029DA9C3" w14:textId="77777777" w:rsidR="00241417" w:rsidRDefault="00241417" w:rsidP="00241417">
      <w:pPr>
        <w:pStyle w:val="H6"/>
      </w:pPr>
      <w:bookmarkStart w:id="7581" w:name="_Toc67916551"/>
      <w:bookmarkStart w:id="7582" w:name="_Toc61176728"/>
      <w:bookmarkStart w:id="7583" w:name="_Toc53178094"/>
      <w:bookmarkStart w:id="7584" w:name="_Toc53177642"/>
      <w:bookmarkStart w:id="7585" w:name="_Toc45893478"/>
      <w:bookmarkStart w:id="7586" w:name="_Toc37268827"/>
      <w:bookmarkStart w:id="7587" w:name="_Toc37268376"/>
      <w:bookmarkStart w:id="7588" w:name="_Toc29811421"/>
      <w:bookmarkStart w:id="7589" w:name="_Toc13079932"/>
      <w:r>
        <w:t>11.1.3.2.2.2</w:t>
      </w:r>
      <w:r>
        <w:tab/>
        <w:t>Minimum requirements</w:t>
      </w:r>
      <w:bookmarkEnd w:id="7581"/>
      <w:bookmarkEnd w:id="7582"/>
      <w:bookmarkEnd w:id="7583"/>
      <w:bookmarkEnd w:id="7584"/>
      <w:bookmarkEnd w:id="7585"/>
      <w:bookmarkEnd w:id="7586"/>
      <w:bookmarkEnd w:id="7587"/>
      <w:bookmarkEnd w:id="7588"/>
      <w:bookmarkEnd w:id="7589"/>
    </w:p>
    <w:p w14:paraId="75864147" w14:textId="77777777" w:rsidR="00241417" w:rsidRDefault="00241417" w:rsidP="00241417">
      <w:r>
        <w:t>The ACK missed detection probability shall not exceed 1% at the SNR given in table 11.1.3.2.2.2-1 and in table 11.1.3.2.2.2-2.</w:t>
      </w:r>
    </w:p>
    <w:p w14:paraId="3A833DC7" w14:textId="77777777" w:rsidR="00241417" w:rsidRPr="00937751" w:rsidRDefault="00241417" w:rsidP="00241417">
      <w:pPr>
        <w:pStyle w:val="TH"/>
      </w:pPr>
      <w:r w:rsidRPr="00937751">
        <w:t>Table 11.1.3.2.2.2-1: Minimum requirements for PUCCH format 0 and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071"/>
        <w:gridCol w:w="2782"/>
        <w:gridCol w:w="1521"/>
        <w:gridCol w:w="865"/>
        <w:gridCol w:w="924"/>
      </w:tblGrid>
      <w:tr w:rsidR="00241417" w14:paraId="6E7AC9B0" w14:textId="77777777" w:rsidTr="003A71DE">
        <w:trPr>
          <w:trHeight w:val="522"/>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7E5C4F2" w14:textId="77777777" w:rsidR="00241417" w:rsidRDefault="00241417" w:rsidP="003A71DE">
            <w:pPr>
              <w:pStyle w:val="TAH"/>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4C166F6" w14:textId="77777777" w:rsidR="00241417" w:rsidRDefault="00241417" w:rsidP="003A71DE">
            <w:pPr>
              <w:pStyle w:val="TAH"/>
            </w:pPr>
            <w: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A97A630" w14:textId="7728F7E9" w:rsidR="00241417" w:rsidRDefault="00241417" w:rsidP="003A71DE">
            <w:pPr>
              <w:pStyle w:val="TAH"/>
              <w:rPr>
                <w:lang w:val="fr-FR" w:eastAsia="zh-CN"/>
              </w:rPr>
            </w:pPr>
            <w:r>
              <w:rPr>
                <w:lang w:val="fr-FR"/>
              </w:rPr>
              <w:t xml:space="preserve">Propagation conditions </w:t>
            </w:r>
            <w:r>
              <w:rPr>
                <w:lang w:val="fr-FR" w:eastAsia="zh-CN"/>
              </w:rPr>
              <w:t>and correlation matrix</w:t>
            </w:r>
            <w:r>
              <w:rPr>
                <w:lang w:val="fr-FR"/>
              </w:rPr>
              <w:t xml:space="preserve"> (Annex </w:t>
            </w:r>
            <w:r>
              <w:t>TBA</w:t>
            </w:r>
            <w:r>
              <w:rPr>
                <w:lang w:val="fr-FR"/>
              </w:rPr>
              <w:t>)</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6CF4978" w14:textId="77777777" w:rsidR="00241417" w:rsidRDefault="00241417" w:rsidP="003A71DE">
            <w:pPr>
              <w:pStyle w:val="TAH"/>
            </w:pPr>
            <w:r>
              <w:t>Number of OFDM symbols</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94245C1" w14:textId="77777777" w:rsidR="00241417" w:rsidRDefault="00241417" w:rsidP="003A71DE">
            <w:pPr>
              <w:pStyle w:val="TAH"/>
            </w:pPr>
            <w:r>
              <w:t>Channel bandwidth / SNR (dB)</w:t>
            </w:r>
          </w:p>
        </w:tc>
      </w:tr>
      <w:tr w:rsidR="00241417" w14:paraId="4989A64F" w14:textId="77777777" w:rsidTr="003A71DE">
        <w:trPr>
          <w:trHeight w:val="28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7985733"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A563FE2"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9DD7A6C" w14:textId="77777777" w:rsidR="00241417" w:rsidRDefault="00241417" w:rsidP="003A71DE">
            <w:pPr>
              <w:pStyle w:val="TAH"/>
              <w:rPr>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0AE5959" w14:textId="77777777" w:rsidR="00241417" w:rsidRDefault="00241417" w:rsidP="003A71DE">
            <w:pPr>
              <w:pStyle w:val="TAH"/>
            </w:pPr>
          </w:p>
        </w:tc>
        <w:tc>
          <w:tcPr>
            <w:tcW w:w="0" w:type="auto"/>
            <w:tcBorders>
              <w:top w:val="single" w:sz="4" w:space="0" w:color="auto"/>
              <w:left w:val="single" w:sz="4" w:space="0" w:color="auto"/>
              <w:bottom w:val="single" w:sz="4" w:space="0" w:color="auto"/>
              <w:right w:val="single" w:sz="4" w:space="0" w:color="auto"/>
            </w:tcBorders>
            <w:vAlign w:val="center"/>
            <w:hideMark/>
          </w:tcPr>
          <w:p w14:paraId="4BA69C8C" w14:textId="77777777" w:rsidR="00241417" w:rsidRDefault="00241417" w:rsidP="003A71DE">
            <w:pPr>
              <w:pStyle w:val="TAH"/>
            </w:pPr>
            <w: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51D0924E" w14:textId="77777777" w:rsidR="00241417" w:rsidRDefault="00241417" w:rsidP="003A71DE">
            <w:pPr>
              <w:pStyle w:val="TAH"/>
            </w:pPr>
            <w:r>
              <w:t>100 MHz</w:t>
            </w:r>
          </w:p>
        </w:tc>
      </w:tr>
      <w:tr w:rsidR="00241417" w14:paraId="1744AF7E"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0BDF4B9" w14:textId="77777777" w:rsidR="00241417" w:rsidRDefault="00241417" w:rsidP="003A71DE">
            <w:pPr>
              <w:pStyle w:val="TAC"/>
            </w:pPr>
            <w:r>
              <w:t>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26236BF" w14:textId="77777777" w:rsidR="00241417" w:rsidRDefault="00241417" w:rsidP="003A71DE">
            <w:pPr>
              <w:pStyle w:val="TAC"/>
            </w:pPr>
            <w:r>
              <w:t>2</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CDB198D" w14:textId="77777777" w:rsidR="00241417" w:rsidRDefault="00241417" w:rsidP="003A71DE">
            <w:pPr>
              <w:pStyle w:val="TAC"/>
            </w:pPr>
            <w:r>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1C6FF9BC" w14:textId="77777777" w:rsidR="00241417" w:rsidRDefault="00241417" w:rsidP="003A71DE">
            <w:pPr>
              <w:pStyle w:val="TAC"/>
            </w:pPr>
            <w: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0ECC6E07" w14:textId="77777777" w:rsidR="00241417" w:rsidRDefault="00241417" w:rsidP="003A71DE">
            <w:pPr>
              <w:pStyle w:val="TAC"/>
            </w:pPr>
            <w:r>
              <w:t>9.3</w:t>
            </w:r>
          </w:p>
        </w:tc>
        <w:tc>
          <w:tcPr>
            <w:tcW w:w="0" w:type="auto"/>
            <w:tcBorders>
              <w:top w:val="single" w:sz="4" w:space="0" w:color="auto"/>
              <w:left w:val="single" w:sz="4" w:space="0" w:color="auto"/>
              <w:bottom w:val="single" w:sz="4" w:space="0" w:color="auto"/>
              <w:right w:val="single" w:sz="4" w:space="0" w:color="auto"/>
            </w:tcBorders>
            <w:vAlign w:val="center"/>
            <w:hideMark/>
          </w:tcPr>
          <w:p w14:paraId="53A5B605" w14:textId="77777777" w:rsidR="00241417" w:rsidRDefault="00241417" w:rsidP="003A71DE">
            <w:pPr>
              <w:pStyle w:val="TAC"/>
            </w:pPr>
            <w:r>
              <w:t>9.0</w:t>
            </w:r>
          </w:p>
        </w:tc>
      </w:tr>
      <w:tr w:rsidR="00241417" w14:paraId="3D965571"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10D27CD" w14:textId="77777777" w:rsidR="00241417" w:rsidRDefault="00241417" w:rsidP="003A71DE">
            <w:pPr>
              <w:pStyle w:val="TAC"/>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0BCB1B3" w14:textId="77777777" w:rsidR="00241417" w:rsidRDefault="00241417" w:rsidP="003A71DE">
            <w:pPr>
              <w:pStyle w:val="TAC"/>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F9EBC7" w14:textId="77777777" w:rsidR="00241417" w:rsidRDefault="00241417" w:rsidP="003A71DE">
            <w:pPr>
              <w:pStyle w:val="TAC"/>
            </w:pPr>
          </w:p>
        </w:tc>
        <w:tc>
          <w:tcPr>
            <w:tcW w:w="0" w:type="auto"/>
            <w:tcBorders>
              <w:top w:val="single" w:sz="4" w:space="0" w:color="auto"/>
              <w:left w:val="single" w:sz="4" w:space="0" w:color="auto"/>
              <w:bottom w:val="single" w:sz="4" w:space="0" w:color="auto"/>
              <w:right w:val="single" w:sz="4" w:space="0" w:color="auto"/>
            </w:tcBorders>
            <w:vAlign w:val="center"/>
            <w:hideMark/>
          </w:tcPr>
          <w:p w14:paraId="7BD723A1" w14:textId="77777777" w:rsidR="00241417" w:rsidRDefault="00241417" w:rsidP="003A71DE">
            <w:pPr>
              <w:pStyle w:val="TAC"/>
            </w:pPr>
            <w:r>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077EDEBD" w14:textId="77777777" w:rsidR="00241417" w:rsidRDefault="00241417" w:rsidP="003A71DE">
            <w:pPr>
              <w:pStyle w:val="TAC"/>
            </w:pPr>
            <w:r>
              <w:t>4.2</w:t>
            </w:r>
          </w:p>
        </w:tc>
        <w:tc>
          <w:tcPr>
            <w:tcW w:w="0" w:type="auto"/>
            <w:tcBorders>
              <w:top w:val="single" w:sz="4" w:space="0" w:color="auto"/>
              <w:left w:val="single" w:sz="4" w:space="0" w:color="auto"/>
              <w:bottom w:val="single" w:sz="4" w:space="0" w:color="auto"/>
              <w:right w:val="single" w:sz="4" w:space="0" w:color="auto"/>
            </w:tcBorders>
            <w:vAlign w:val="center"/>
            <w:hideMark/>
          </w:tcPr>
          <w:p w14:paraId="2933A6E5" w14:textId="77777777" w:rsidR="00241417" w:rsidRDefault="00241417" w:rsidP="003A71DE">
            <w:pPr>
              <w:pStyle w:val="TAC"/>
            </w:pPr>
            <w:r>
              <w:t>4.0</w:t>
            </w:r>
          </w:p>
        </w:tc>
      </w:tr>
    </w:tbl>
    <w:p w14:paraId="4B589702" w14:textId="77777777" w:rsidR="00241417" w:rsidRDefault="00241417" w:rsidP="00241417"/>
    <w:p w14:paraId="20A60218" w14:textId="77777777" w:rsidR="00241417" w:rsidRPr="00937751" w:rsidRDefault="00241417" w:rsidP="00241417">
      <w:pPr>
        <w:pStyle w:val="TH"/>
      </w:pPr>
      <w:r w:rsidRPr="00937751">
        <w:t>Table 11.</w:t>
      </w:r>
      <w:r>
        <w:t>1.</w:t>
      </w:r>
      <w:r w:rsidRPr="00937751">
        <w:t>3.2.2.2-2: Minimum requirements for PUCCH format 0 and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22"/>
        <w:gridCol w:w="2003"/>
        <w:gridCol w:w="2629"/>
        <w:gridCol w:w="1463"/>
        <w:gridCol w:w="682"/>
        <w:gridCol w:w="716"/>
        <w:gridCol w:w="716"/>
      </w:tblGrid>
      <w:tr w:rsidR="00241417" w14:paraId="7735407C" w14:textId="77777777" w:rsidTr="003A71DE">
        <w:trPr>
          <w:trHeight w:val="522"/>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BAB0872" w14:textId="77777777" w:rsidR="00241417" w:rsidRDefault="00241417" w:rsidP="003A71DE">
            <w:pPr>
              <w:pStyle w:val="TAH"/>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B6FB9F6" w14:textId="77777777" w:rsidR="00241417" w:rsidRDefault="00241417" w:rsidP="003A71DE">
            <w:pPr>
              <w:pStyle w:val="TAH"/>
            </w:pPr>
            <w: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83DBCDA" w14:textId="79BB96EF" w:rsidR="00241417" w:rsidRDefault="00241417" w:rsidP="003A71DE">
            <w:pPr>
              <w:pStyle w:val="TAH"/>
              <w:rPr>
                <w:lang w:val="fr-FR" w:eastAsia="zh-CN"/>
              </w:rPr>
            </w:pPr>
            <w:r>
              <w:rPr>
                <w:lang w:val="fr-FR"/>
              </w:rPr>
              <w:t xml:space="preserve">Propagation conditions </w:t>
            </w:r>
            <w:r>
              <w:rPr>
                <w:lang w:val="fr-FR" w:eastAsia="zh-CN"/>
              </w:rPr>
              <w:t>and correlation matrix</w:t>
            </w:r>
            <w:r>
              <w:rPr>
                <w:lang w:val="fr-FR"/>
              </w:rPr>
              <w:t xml:space="preserve"> (Annex </w:t>
            </w:r>
            <w:r>
              <w:t>TBA</w:t>
            </w:r>
            <w:r>
              <w:rPr>
                <w:lang w:val="fr-FR"/>
              </w:rPr>
              <w:t>)</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382D0A9" w14:textId="77777777" w:rsidR="00241417" w:rsidRDefault="00241417" w:rsidP="003A71DE">
            <w:pPr>
              <w:pStyle w:val="TAH"/>
            </w:pPr>
            <w:r>
              <w:t>Number of OFDM symbols</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5C8BB896" w14:textId="77777777" w:rsidR="00241417" w:rsidRDefault="00241417" w:rsidP="003A71DE">
            <w:pPr>
              <w:pStyle w:val="TAH"/>
            </w:pPr>
            <w:r>
              <w:t>Channel bandwidth / SNR (dB)</w:t>
            </w:r>
          </w:p>
        </w:tc>
      </w:tr>
      <w:tr w:rsidR="00241417" w14:paraId="0D2295A8" w14:textId="77777777" w:rsidTr="003A71DE">
        <w:trPr>
          <w:trHeight w:val="28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0F7C7C3"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CB76146"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21BA7AD" w14:textId="77777777" w:rsidR="00241417" w:rsidRDefault="00241417" w:rsidP="003A71DE">
            <w:pPr>
              <w:pStyle w:val="TAH"/>
              <w:rPr>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FC6B3E" w14:textId="77777777" w:rsidR="00241417" w:rsidRDefault="00241417" w:rsidP="003A71DE">
            <w:pPr>
              <w:pStyle w:val="TAH"/>
            </w:pPr>
          </w:p>
        </w:tc>
        <w:tc>
          <w:tcPr>
            <w:tcW w:w="0" w:type="auto"/>
            <w:tcBorders>
              <w:top w:val="single" w:sz="4" w:space="0" w:color="auto"/>
              <w:left w:val="single" w:sz="4" w:space="0" w:color="auto"/>
              <w:bottom w:val="single" w:sz="4" w:space="0" w:color="auto"/>
              <w:right w:val="single" w:sz="4" w:space="0" w:color="auto"/>
            </w:tcBorders>
            <w:vAlign w:val="center"/>
            <w:hideMark/>
          </w:tcPr>
          <w:p w14:paraId="13AB09BC" w14:textId="77777777" w:rsidR="00241417" w:rsidRDefault="00241417" w:rsidP="003A71DE">
            <w:pPr>
              <w:pStyle w:val="TAH"/>
            </w:pPr>
            <w: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23A12D77" w14:textId="77777777" w:rsidR="00241417" w:rsidRDefault="00241417" w:rsidP="003A71DE">
            <w:pPr>
              <w:pStyle w:val="TAH"/>
            </w:pPr>
            <w:r>
              <w:t>100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795A0299" w14:textId="77777777" w:rsidR="00241417" w:rsidRDefault="00241417" w:rsidP="003A71DE">
            <w:pPr>
              <w:pStyle w:val="TAH"/>
            </w:pPr>
            <w:r>
              <w:t>200 MHz</w:t>
            </w:r>
          </w:p>
        </w:tc>
      </w:tr>
      <w:tr w:rsidR="00241417" w:rsidRPr="00525D63" w14:paraId="506999F7"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2D3FB11" w14:textId="77777777" w:rsidR="00241417" w:rsidRPr="00525D63" w:rsidRDefault="00241417" w:rsidP="003A71DE">
            <w:pPr>
              <w:pStyle w:val="TAC"/>
            </w:pPr>
            <w:r w:rsidRPr="00525D63">
              <w:t>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9537506" w14:textId="77777777" w:rsidR="00241417" w:rsidRPr="00525D63" w:rsidRDefault="00241417" w:rsidP="003A71DE">
            <w:pPr>
              <w:pStyle w:val="TAC"/>
            </w:pPr>
            <w:r w:rsidRPr="00525D63">
              <w:t>2</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1BD235A" w14:textId="77777777" w:rsidR="00241417" w:rsidRPr="00525D63" w:rsidRDefault="00241417" w:rsidP="003A71DE">
            <w:pPr>
              <w:pStyle w:val="TAC"/>
            </w:pPr>
            <w:r w:rsidRPr="00525D63">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4001F8B4" w14:textId="77777777" w:rsidR="00241417" w:rsidRPr="00525D63" w:rsidRDefault="00241417" w:rsidP="003A71DE">
            <w:pPr>
              <w:pStyle w:val="TAC"/>
            </w:pPr>
            <w:r w:rsidRPr="00525D63">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26AEF665" w14:textId="77777777" w:rsidR="00241417" w:rsidRPr="00525D63" w:rsidRDefault="00241417" w:rsidP="003A71DE">
            <w:pPr>
              <w:pStyle w:val="TAC"/>
            </w:pPr>
            <w:r w:rsidRPr="00525D63">
              <w:t>9.5</w:t>
            </w:r>
          </w:p>
        </w:tc>
        <w:tc>
          <w:tcPr>
            <w:tcW w:w="0" w:type="auto"/>
            <w:tcBorders>
              <w:top w:val="single" w:sz="4" w:space="0" w:color="auto"/>
              <w:left w:val="single" w:sz="4" w:space="0" w:color="auto"/>
              <w:bottom w:val="single" w:sz="4" w:space="0" w:color="auto"/>
              <w:right w:val="single" w:sz="4" w:space="0" w:color="auto"/>
            </w:tcBorders>
            <w:vAlign w:val="center"/>
            <w:hideMark/>
          </w:tcPr>
          <w:p w14:paraId="212F54D7" w14:textId="77777777" w:rsidR="00241417" w:rsidRPr="00525D63" w:rsidRDefault="00241417" w:rsidP="003A71DE">
            <w:pPr>
              <w:pStyle w:val="TAC"/>
            </w:pPr>
            <w:r w:rsidRPr="00525D63">
              <w:t>9.2</w:t>
            </w:r>
          </w:p>
        </w:tc>
        <w:tc>
          <w:tcPr>
            <w:tcW w:w="0" w:type="auto"/>
            <w:tcBorders>
              <w:top w:val="single" w:sz="4" w:space="0" w:color="auto"/>
              <w:left w:val="single" w:sz="4" w:space="0" w:color="auto"/>
              <w:bottom w:val="single" w:sz="4" w:space="0" w:color="auto"/>
              <w:right w:val="single" w:sz="4" w:space="0" w:color="auto"/>
            </w:tcBorders>
            <w:vAlign w:val="center"/>
            <w:hideMark/>
          </w:tcPr>
          <w:p w14:paraId="2FD66EE8" w14:textId="77777777" w:rsidR="00241417" w:rsidRPr="00525D63" w:rsidRDefault="00241417" w:rsidP="003A71DE">
            <w:pPr>
              <w:pStyle w:val="TAC"/>
            </w:pPr>
            <w:r w:rsidRPr="00525D63">
              <w:t>9.7</w:t>
            </w:r>
          </w:p>
        </w:tc>
      </w:tr>
      <w:tr w:rsidR="00241417" w:rsidRPr="00525D63" w14:paraId="107EFB8B"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E4470D8" w14:textId="77777777" w:rsidR="00241417" w:rsidRPr="002921FA" w:rsidRDefault="00241417" w:rsidP="003A71DE">
            <w:pPr>
              <w:pStyle w:val="TAC"/>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2A9FFB0" w14:textId="77777777" w:rsidR="00241417" w:rsidRPr="002921FA" w:rsidRDefault="00241417" w:rsidP="003A71DE">
            <w:pPr>
              <w:pStyle w:val="TAC"/>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EC2C818" w14:textId="77777777" w:rsidR="00241417" w:rsidRPr="002921FA" w:rsidRDefault="00241417" w:rsidP="003A71DE">
            <w:pPr>
              <w:pStyle w:val="TAC"/>
            </w:pPr>
          </w:p>
        </w:tc>
        <w:tc>
          <w:tcPr>
            <w:tcW w:w="0" w:type="auto"/>
            <w:tcBorders>
              <w:top w:val="single" w:sz="4" w:space="0" w:color="auto"/>
              <w:left w:val="single" w:sz="4" w:space="0" w:color="auto"/>
              <w:bottom w:val="single" w:sz="4" w:space="0" w:color="auto"/>
              <w:right w:val="single" w:sz="4" w:space="0" w:color="auto"/>
            </w:tcBorders>
            <w:vAlign w:val="center"/>
            <w:hideMark/>
          </w:tcPr>
          <w:p w14:paraId="418333A9" w14:textId="77777777" w:rsidR="00241417" w:rsidRPr="00525D63" w:rsidRDefault="00241417" w:rsidP="003A71DE">
            <w:pPr>
              <w:pStyle w:val="TAC"/>
            </w:pPr>
            <w:r w:rsidRPr="00525D63">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6161A672" w14:textId="77777777" w:rsidR="00241417" w:rsidRPr="00525D63" w:rsidRDefault="00241417" w:rsidP="003A71DE">
            <w:pPr>
              <w:pStyle w:val="TAC"/>
            </w:pPr>
            <w:r w:rsidRPr="00525D63">
              <w:t>4.1</w:t>
            </w:r>
          </w:p>
        </w:tc>
        <w:tc>
          <w:tcPr>
            <w:tcW w:w="0" w:type="auto"/>
            <w:tcBorders>
              <w:top w:val="single" w:sz="4" w:space="0" w:color="auto"/>
              <w:left w:val="single" w:sz="4" w:space="0" w:color="auto"/>
              <w:bottom w:val="single" w:sz="4" w:space="0" w:color="auto"/>
              <w:right w:val="single" w:sz="4" w:space="0" w:color="auto"/>
            </w:tcBorders>
            <w:vAlign w:val="center"/>
            <w:hideMark/>
          </w:tcPr>
          <w:p w14:paraId="7A3B4B43" w14:textId="77777777" w:rsidR="00241417" w:rsidRPr="00525D63" w:rsidRDefault="00241417" w:rsidP="003A71DE">
            <w:pPr>
              <w:pStyle w:val="TAC"/>
            </w:pPr>
            <w:r w:rsidRPr="00525D63">
              <w:t>3.8</w:t>
            </w:r>
          </w:p>
        </w:tc>
        <w:tc>
          <w:tcPr>
            <w:tcW w:w="0" w:type="auto"/>
            <w:tcBorders>
              <w:top w:val="single" w:sz="4" w:space="0" w:color="auto"/>
              <w:left w:val="single" w:sz="4" w:space="0" w:color="auto"/>
              <w:bottom w:val="single" w:sz="4" w:space="0" w:color="auto"/>
              <w:right w:val="single" w:sz="4" w:space="0" w:color="auto"/>
            </w:tcBorders>
            <w:vAlign w:val="center"/>
            <w:hideMark/>
          </w:tcPr>
          <w:p w14:paraId="4FC3401A" w14:textId="77777777" w:rsidR="00241417" w:rsidRPr="00525D63" w:rsidRDefault="00241417" w:rsidP="003A71DE">
            <w:pPr>
              <w:pStyle w:val="TAC"/>
            </w:pPr>
            <w:r w:rsidRPr="00525D63">
              <w:t>4.0</w:t>
            </w:r>
          </w:p>
        </w:tc>
      </w:tr>
    </w:tbl>
    <w:p w14:paraId="7284ABA8" w14:textId="77777777" w:rsidR="00241417" w:rsidRDefault="00241417" w:rsidP="00241417"/>
    <w:p w14:paraId="66BA33A8" w14:textId="77777777" w:rsidR="00241417" w:rsidRDefault="00241417" w:rsidP="00241417">
      <w:pPr>
        <w:pStyle w:val="Heading5"/>
        <w:rPr>
          <w:noProof/>
        </w:rPr>
      </w:pPr>
      <w:bookmarkStart w:id="7590" w:name="_Toc67916552"/>
      <w:bookmarkStart w:id="7591" w:name="_Toc61176729"/>
      <w:bookmarkStart w:id="7592" w:name="_Toc53178095"/>
      <w:bookmarkStart w:id="7593" w:name="_Toc53177643"/>
      <w:bookmarkStart w:id="7594" w:name="_Toc37268828"/>
      <w:bookmarkStart w:id="7595" w:name="_Toc37268377"/>
      <w:bookmarkStart w:id="7596" w:name="_Toc29811422"/>
      <w:bookmarkStart w:id="7597" w:name="_Toc13079933"/>
      <w:bookmarkStart w:id="7598" w:name="_Toc74583484"/>
      <w:bookmarkStart w:id="7599" w:name="_Toc76542297"/>
      <w:bookmarkStart w:id="7600" w:name="_Toc82450279"/>
      <w:bookmarkStart w:id="7601" w:name="_Toc82450927"/>
      <w:bookmarkStart w:id="7602" w:name="_Toc89949316"/>
      <w:bookmarkStart w:id="7603" w:name="_Toc98755705"/>
      <w:bookmarkStart w:id="7604" w:name="_Toc98763297"/>
      <w:bookmarkStart w:id="7605" w:name="_Toc106184226"/>
      <w:r>
        <w:rPr>
          <w:noProof/>
        </w:rPr>
        <w:lastRenderedPageBreak/>
        <w:t>11.1.3.2.3</w:t>
      </w:r>
      <w:r>
        <w:rPr>
          <w:noProof/>
        </w:rPr>
        <w:tab/>
        <w:t>Performance requirements for PUCCH format 1</w:t>
      </w:r>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p>
    <w:p w14:paraId="105C95F7" w14:textId="77777777" w:rsidR="00241417" w:rsidRDefault="00241417" w:rsidP="00241417">
      <w:pPr>
        <w:pStyle w:val="H6"/>
        <w:rPr>
          <w:noProof/>
        </w:rPr>
      </w:pPr>
      <w:bookmarkStart w:id="7606" w:name="_Toc67916553"/>
      <w:bookmarkStart w:id="7607" w:name="_Toc61176730"/>
      <w:bookmarkStart w:id="7608" w:name="_Toc53178096"/>
      <w:bookmarkStart w:id="7609" w:name="_Toc53177644"/>
      <w:bookmarkStart w:id="7610" w:name="_Toc37268829"/>
      <w:bookmarkStart w:id="7611" w:name="_Toc37268378"/>
      <w:bookmarkStart w:id="7612" w:name="_Toc29811423"/>
      <w:bookmarkStart w:id="7613" w:name="_Toc13079934"/>
      <w:r>
        <w:rPr>
          <w:noProof/>
        </w:rPr>
        <w:t>11.1.3.2.3.1</w:t>
      </w:r>
      <w:r>
        <w:rPr>
          <w:noProof/>
        </w:rPr>
        <w:tab/>
        <w:t>NACK to ACK requirements</w:t>
      </w:r>
      <w:bookmarkEnd w:id="7606"/>
      <w:bookmarkEnd w:id="7607"/>
      <w:bookmarkEnd w:id="7608"/>
      <w:bookmarkEnd w:id="7609"/>
      <w:bookmarkEnd w:id="7610"/>
      <w:bookmarkEnd w:id="7611"/>
      <w:bookmarkEnd w:id="7612"/>
      <w:bookmarkEnd w:id="7613"/>
    </w:p>
    <w:p w14:paraId="4AF1E7B7" w14:textId="77777777" w:rsidR="00241417" w:rsidRDefault="00241417" w:rsidP="00241417">
      <w:pPr>
        <w:pStyle w:val="H6"/>
        <w:rPr>
          <w:noProof/>
        </w:rPr>
      </w:pPr>
      <w:bookmarkStart w:id="7614" w:name="_Toc67916554"/>
      <w:bookmarkStart w:id="7615" w:name="_Toc61176731"/>
      <w:bookmarkStart w:id="7616" w:name="_Toc53178097"/>
      <w:bookmarkStart w:id="7617" w:name="_Toc53177645"/>
      <w:bookmarkStart w:id="7618" w:name="_Toc37268830"/>
      <w:bookmarkStart w:id="7619" w:name="_Toc37268379"/>
      <w:bookmarkStart w:id="7620" w:name="_Toc29811424"/>
      <w:bookmarkStart w:id="7621" w:name="_Toc13079935"/>
      <w:r>
        <w:rPr>
          <w:noProof/>
        </w:rPr>
        <w:t>11.1.3.2.3.1.1</w:t>
      </w:r>
      <w:r>
        <w:rPr>
          <w:noProof/>
        </w:rPr>
        <w:tab/>
        <w:t>General</w:t>
      </w:r>
      <w:bookmarkEnd w:id="7614"/>
      <w:bookmarkEnd w:id="7615"/>
      <w:bookmarkEnd w:id="7616"/>
      <w:bookmarkEnd w:id="7617"/>
      <w:bookmarkEnd w:id="7618"/>
      <w:bookmarkEnd w:id="7619"/>
      <w:bookmarkEnd w:id="7620"/>
      <w:bookmarkEnd w:id="7621"/>
    </w:p>
    <w:p w14:paraId="3D534028" w14:textId="77777777" w:rsidR="00241417" w:rsidRDefault="00241417" w:rsidP="00241417">
      <w:pPr>
        <w:rPr>
          <w:noProof/>
        </w:rPr>
      </w:pPr>
      <w:r>
        <w:rPr>
          <w:noProof/>
        </w:rPr>
        <w:t>The NACK to ACK detection probability is the probability that an ACK bit is falsely detected when an NACK bit was sent on the particular bit position, where the NACK to ACK detection probability is defined as follows:</w:t>
      </w:r>
    </w:p>
    <w:p w14:paraId="3DD10EDB" w14:textId="661D2594" w:rsidR="00241417" w:rsidRDefault="00241417" w:rsidP="00241417">
      <w:pPr>
        <w:pStyle w:val="EQ"/>
      </w:pPr>
      <w:r>
        <w:rPr>
          <w:lang w:val="en-US" w:eastAsia="zh-CN"/>
        </w:rPr>
        <w:drawing>
          <wp:inline distT="0" distB="0" distL="0" distR="0" wp14:anchorId="2F3CFDB4" wp14:editId="51DDA4A0">
            <wp:extent cx="3840480" cy="358140"/>
            <wp:effectExtent l="0" t="0" r="7620" b="3810"/>
            <wp:docPr id="8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840480" cy="358140"/>
                    </a:xfrm>
                    <a:prstGeom prst="rect">
                      <a:avLst/>
                    </a:prstGeom>
                    <a:noFill/>
                    <a:ln>
                      <a:noFill/>
                    </a:ln>
                  </pic:spPr>
                </pic:pic>
              </a:graphicData>
            </a:graphic>
          </wp:inline>
        </w:drawing>
      </w:r>
    </w:p>
    <w:p w14:paraId="1833B69C" w14:textId="77777777" w:rsidR="00241417" w:rsidRDefault="00241417" w:rsidP="00241417">
      <w:pPr>
        <w:rPr>
          <w:noProof/>
        </w:rPr>
      </w:pPr>
      <w:r>
        <w:rPr>
          <w:noProof/>
        </w:rPr>
        <w:t>where:</w:t>
      </w:r>
    </w:p>
    <w:p w14:paraId="12F14A5A" w14:textId="77777777" w:rsidR="00241417" w:rsidRDefault="00241417" w:rsidP="00241417">
      <w:pPr>
        <w:pStyle w:val="B10"/>
        <w:rPr>
          <w:noProof/>
        </w:rPr>
      </w:pPr>
      <w:r>
        <w:rPr>
          <w:noProof/>
        </w:rPr>
        <w:t>-</w:t>
      </w:r>
      <w:r>
        <w:rPr>
          <w:noProof/>
        </w:rPr>
        <w:tab/>
      </w:r>
      <w:r>
        <w:rPr>
          <w:noProof/>
          <w:position w:val="-10"/>
          <w:lang w:val="en-US" w:eastAsia="zh-CN"/>
        </w:rPr>
        <w:drawing>
          <wp:inline distT="0" distB="0" distL="0" distR="0" wp14:anchorId="3F017DD8" wp14:editId="37459AA4">
            <wp:extent cx="1097280" cy="182880"/>
            <wp:effectExtent l="0" t="0" r="7620" b="7620"/>
            <wp:docPr id="8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97280" cy="182880"/>
                    </a:xfrm>
                    <a:prstGeom prst="rect">
                      <a:avLst/>
                    </a:prstGeom>
                    <a:noFill/>
                    <a:ln>
                      <a:noFill/>
                    </a:ln>
                  </pic:spPr>
                </pic:pic>
              </a:graphicData>
            </a:graphic>
          </wp:inline>
        </w:drawing>
      </w:r>
      <w:r>
        <w:rPr>
          <w:noProof/>
        </w:rPr>
        <w:t xml:space="preserve"> denotes the total number of NACK bits transmitted</w:t>
      </w:r>
    </w:p>
    <w:p w14:paraId="4DBE23B4" w14:textId="77777777" w:rsidR="00241417" w:rsidRDefault="00241417" w:rsidP="00241417">
      <w:pPr>
        <w:pStyle w:val="B10"/>
        <w:rPr>
          <w:noProof/>
        </w:rPr>
      </w:pPr>
      <w:r>
        <w:rPr>
          <w:noProof/>
        </w:rPr>
        <w:t>-</w:t>
      </w:r>
      <w:r>
        <w:rPr>
          <w:noProof/>
        </w:rPr>
        <w:tab/>
      </w:r>
      <w:r>
        <w:rPr>
          <w:noProof/>
          <w:position w:val="-10"/>
          <w:lang w:val="en-US" w:eastAsia="zh-CN"/>
        </w:rPr>
        <w:drawing>
          <wp:inline distT="0" distB="0" distL="0" distR="0" wp14:anchorId="044A50E3" wp14:editId="320DB6A2">
            <wp:extent cx="1828800" cy="182880"/>
            <wp:effectExtent l="0" t="0" r="0" b="7620"/>
            <wp:docPr id="8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28800" cy="182880"/>
                    </a:xfrm>
                    <a:prstGeom prst="rect">
                      <a:avLst/>
                    </a:prstGeom>
                    <a:noFill/>
                    <a:ln>
                      <a:noFill/>
                    </a:ln>
                  </pic:spPr>
                </pic:pic>
              </a:graphicData>
            </a:graphic>
          </wp:inline>
        </w:drawing>
      </w:r>
      <w:r>
        <w:rPr>
          <w:noProof/>
        </w:rPr>
        <w:t xml:space="preserve"> denotes the number of NACK bits decoded as ACK bits at the receiver, i.e. the number of received ACK bits</w:t>
      </w:r>
    </w:p>
    <w:p w14:paraId="126C9566" w14:textId="77777777" w:rsidR="00241417" w:rsidRDefault="00241417" w:rsidP="00241417">
      <w:pPr>
        <w:pStyle w:val="B10"/>
        <w:rPr>
          <w:noProof/>
        </w:rPr>
      </w:pPr>
      <w:r>
        <w:rPr>
          <w:noProof/>
        </w:rPr>
        <w:t>-</w:t>
      </w:r>
      <w:r>
        <w:rPr>
          <w:noProof/>
        </w:rPr>
        <w:tab/>
        <w:t>NACK bits in the definition do not contain the NACK bits which are mapped from DTX, i.e. NACK bits received when DTX is sent should not be considered.</w:t>
      </w:r>
    </w:p>
    <w:p w14:paraId="6AAC17D5" w14:textId="77777777" w:rsidR="00241417" w:rsidRDefault="00241417" w:rsidP="00241417">
      <w:pPr>
        <w:rPr>
          <w:noProof/>
        </w:rPr>
      </w:pPr>
      <w:r>
        <w:rPr>
          <w:noProof/>
        </w:rPr>
        <w:t>Random codeword selection is assumed.</w:t>
      </w:r>
    </w:p>
    <w:p w14:paraId="671B45E8" w14:textId="77777777" w:rsidR="00241417" w:rsidRPr="00937751" w:rsidRDefault="00241417" w:rsidP="00241417">
      <w:pPr>
        <w:pStyle w:val="TH"/>
      </w:pPr>
      <w:r w:rsidRPr="00937751">
        <w:t>Table 11.1.3.2.3.1.1-1: Test Parameters</w:t>
      </w:r>
      <w:r>
        <w:t xml:space="preserve"> for PUCCH format 1 testing</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43"/>
        <w:gridCol w:w="3544"/>
      </w:tblGrid>
      <w:tr w:rsidR="00241417" w:rsidRPr="00937751" w14:paraId="33FA32B0"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hideMark/>
          </w:tcPr>
          <w:p w14:paraId="1C55B4F8" w14:textId="77777777" w:rsidR="00241417" w:rsidRPr="00525D63" w:rsidRDefault="00241417" w:rsidP="003A71DE">
            <w:pPr>
              <w:pStyle w:val="TAH"/>
            </w:pPr>
            <w:r w:rsidRPr="00525D63">
              <w:t>Parameter</w:t>
            </w:r>
          </w:p>
        </w:tc>
        <w:tc>
          <w:tcPr>
            <w:tcW w:w="3544" w:type="dxa"/>
            <w:tcBorders>
              <w:top w:val="single" w:sz="4" w:space="0" w:color="auto"/>
              <w:left w:val="single" w:sz="4" w:space="0" w:color="auto"/>
              <w:bottom w:val="single" w:sz="4" w:space="0" w:color="auto"/>
              <w:right w:val="single" w:sz="4" w:space="0" w:color="auto"/>
            </w:tcBorders>
            <w:hideMark/>
          </w:tcPr>
          <w:p w14:paraId="1F0C3FD9" w14:textId="77777777" w:rsidR="00241417" w:rsidRPr="00525D63" w:rsidRDefault="00241417" w:rsidP="003A71DE">
            <w:pPr>
              <w:pStyle w:val="TAH"/>
            </w:pPr>
            <w:r w:rsidRPr="00525D63">
              <w:t>Test</w:t>
            </w:r>
          </w:p>
        </w:tc>
      </w:tr>
      <w:tr w:rsidR="00241417" w:rsidRPr="00525D63" w14:paraId="7A843B67"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tcPr>
          <w:p w14:paraId="20774F06" w14:textId="77777777" w:rsidR="00241417" w:rsidRPr="00525D63" w:rsidRDefault="00241417" w:rsidP="003A71DE">
            <w:pPr>
              <w:pStyle w:val="TAC"/>
            </w:pPr>
            <w:r>
              <w:t>Cyclic prefix</w:t>
            </w:r>
          </w:p>
        </w:tc>
        <w:tc>
          <w:tcPr>
            <w:tcW w:w="3544" w:type="dxa"/>
            <w:tcBorders>
              <w:top w:val="single" w:sz="4" w:space="0" w:color="auto"/>
              <w:left w:val="single" w:sz="4" w:space="0" w:color="auto"/>
              <w:bottom w:val="single" w:sz="4" w:space="0" w:color="auto"/>
              <w:right w:val="single" w:sz="4" w:space="0" w:color="auto"/>
            </w:tcBorders>
            <w:vAlign w:val="center"/>
          </w:tcPr>
          <w:p w14:paraId="1C1F5ECA" w14:textId="77777777" w:rsidR="00241417" w:rsidRPr="00525D63" w:rsidRDefault="00241417" w:rsidP="003A71DE">
            <w:pPr>
              <w:pStyle w:val="TAC"/>
            </w:pPr>
            <w:r>
              <w:t>Normal</w:t>
            </w:r>
          </w:p>
        </w:tc>
      </w:tr>
      <w:tr w:rsidR="00241417" w:rsidRPr="00525D63" w14:paraId="1AC7F306"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3DE7DE52" w14:textId="77777777" w:rsidR="00241417" w:rsidRPr="00525D63" w:rsidRDefault="00241417" w:rsidP="003A71DE">
            <w:pPr>
              <w:pStyle w:val="TAC"/>
            </w:pPr>
            <w:r w:rsidRPr="00525D63">
              <w:t>Number of information bits</w:t>
            </w:r>
          </w:p>
        </w:tc>
        <w:tc>
          <w:tcPr>
            <w:tcW w:w="3544" w:type="dxa"/>
            <w:tcBorders>
              <w:top w:val="single" w:sz="4" w:space="0" w:color="auto"/>
              <w:left w:val="single" w:sz="4" w:space="0" w:color="auto"/>
              <w:bottom w:val="single" w:sz="4" w:space="0" w:color="auto"/>
              <w:right w:val="single" w:sz="4" w:space="0" w:color="auto"/>
            </w:tcBorders>
            <w:vAlign w:val="center"/>
            <w:hideMark/>
          </w:tcPr>
          <w:p w14:paraId="0348CC08" w14:textId="77777777" w:rsidR="00241417" w:rsidRPr="00525D63" w:rsidRDefault="00241417" w:rsidP="003A71DE">
            <w:pPr>
              <w:pStyle w:val="TAC"/>
            </w:pPr>
            <w:r w:rsidRPr="00525D63">
              <w:t>2</w:t>
            </w:r>
          </w:p>
        </w:tc>
      </w:tr>
      <w:tr w:rsidR="00241417" w:rsidRPr="00525D63" w14:paraId="0C0E163F"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03C2F5CB" w14:textId="77777777" w:rsidR="00241417" w:rsidRPr="00525D63" w:rsidRDefault="00241417" w:rsidP="003A71DE">
            <w:pPr>
              <w:pStyle w:val="TAC"/>
            </w:pPr>
            <w:r w:rsidRPr="00525D63">
              <w:t>Number of PRBs</w:t>
            </w:r>
          </w:p>
        </w:tc>
        <w:tc>
          <w:tcPr>
            <w:tcW w:w="3544" w:type="dxa"/>
            <w:tcBorders>
              <w:top w:val="single" w:sz="4" w:space="0" w:color="auto"/>
              <w:left w:val="single" w:sz="4" w:space="0" w:color="auto"/>
              <w:bottom w:val="single" w:sz="4" w:space="0" w:color="auto"/>
              <w:right w:val="single" w:sz="4" w:space="0" w:color="auto"/>
            </w:tcBorders>
            <w:vAlign w:val="center"/>
            <w:hideMark/>
          </w:tcPr>
          <w:p w14:paraId="695C113C" w14:textId="77777777" w:rsidR="00241417" w:rsidRPr="00525D63" w:rsidRDefault="00241417" w:rsidP="003A71DE">
            <w:pPr>
              <w:pStyle w:val="TAC"/>
            </w:pPr>
            <w:r w:rsidRPr="00525D63">
              <w:t>1</w:t>
            </w:r>
          </w:p>
        </w:tc>
      </w:tr>
      <w:tr w:rsidR="00241417" w:rsidRPr="00525D63" w14:paraId="03794A70"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13783480" w14:textId="77777777" w:rsidR="00241417" w:rsidRPr="00525D63" w:rsidRDefault="00241417" w:rsidP="003A71DE">
            <w:pPr>
              <w:pStyle w:val="TAC"/>
            </w:pPr>
            <w:r w:rsidRPr="00525D63">
              <w:t>Number of symbols</w:t>
            </w:r>
          </w:p>
        </w:tc>
        <w:tc>
          <w:tcPr>
            <w:tcW w:w="3544" w:type="dxa"/>
            <w:tcBorders>
              <w:top w:val="single" w:sz="4" w:space="0" w:color="auto"/>
              <w:left w:val="single" w:sz="4" w:space="0" w:color="auto"/>
              <w:bottom w:val="single" w:sz="4" w:space="0" w:color="auto"/>
              <w:right w:val="single" w:sz="4" w:space="0" w:color="auto"/>
            </w:tcBorders>
            <w:vAlign w:val="center"/>
            <w:hideMark/>
          </w:tcPr>
          <w:p w14:paraId="0582BC2A" w14:textId="77777777" w:rsidR="00241417" w:rsidRPr="00525D63" w:rsidRDefault="00241417" w:rsidP="003A71DE">
            <w:pPr>
              <w:pStyle w:val="TAC"/>
            </w:pPr>
            <w:r w:rsidRPr="00525D63">
              <w:t>14</w:t>
            </w:r>
          </w:p>
        </w:tc>
      </w:tr>
      <w:tr w:rsidR="00241417" w:rsidRPr="00525D63" w14:paraId="05B15077"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5F29607C" w14:textId="77777777" w:rsidR="00241417" w:rsidRPr="00525D63" w:rsidRDefault="00241417" w:rsidP="003A71DE">
            <w:pPr>
              <w:pStyle w:val="TAC"/>
            </w:pPr>
            <w:r w:rsidRPr="00525D63">
              <w:t>First PRB prior to frequency hopping</w:t>
            </w:r>
          </w:p>
        </w:tc>
        <w:tc>
          <w:tcPr>
            <w:tcW w:w="3544" w:type="dxa"/>
            <w:tcBorders>
              <w:top w:val="single" w:sz="4" w:space="0" w:color="auto"/>
              <w:left w:val="single" w:sz="4" w:space="0" w:color="auto"/>
              <w:bottom w:val="single" w:sz="4" w:space="0" w:color="auto"/>
              <w:right w:val="single" w:sz="4" w:space="0" w:color="auto"/>
            </w:tcBorders>
            <w:vAlign w:val="center"/>
            <w:hideMark/>
          </w:tcPr>
          <w:p w14:paraId="51675EEB" w14:textId="77777777" w:rsidR="00241417" w:rsidRPr="00BB2CAE" w:rsidRDefault="00241417" w:rsidP="003A71DE">
            <w:pPr>
              <w:pStyle w:val="TAC"/>
            </w:pPr>
            <w:r w:rsidRPr="00BB2CAE">
              <w:t>0</w:t>
            </w:r>
          </w:p>
        </w:tc>
      </w:tr>
      <w:tr w:rsidR="00241417" w:rsidRPr="00525D63" w14:paraId="46BD1423"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7E6898B4" w14:textId="77777777" w:rsidR="00241417" w:rsidRPr="00525D63" w:rsidRDefault="00241417" w:rsidP="003A71DE">
            <w:pPr>
              <w:pStyle w:val="TAC"/>
            </w:pPr>
            <w:r w:rsidRPr="00525D63">
              <w:t>Intra-slot frequency hopping</w:t>
            </w:r>
          </w:p>
        </w:tc>
        <w:tc>
          <w:tcPr>
            <w:tcW w:w="3544" w:type="dxa"/>
            <w:tcBorders>
              <w:top w:val="single" w:sz="4" w:space="0" w:color="auto"/>
              <w:left w:val="single" w:sz="4" w:space="0" w:color="auto"/>
              <w:bottom w:val="single" w:sz="4" w:space="0" w:color="auto"/>
              <w:right w:val="single" w:sz="4" w:space="0" w:color="auto"/>
            </w:tcBorders>
            <w:vAlign w:val="center"/>
            <w:hideMark/>
          </w:tcPr>
          <w:p w14:paraId="0DB7296E" w14:textId="77777777" w:rsidR="00241417" w:rsidRPr="00BB2CAE" w:rsidRDefault="00241417" w:rsidP="003A71DE">
            <w:pPr>
              <w:pStyle w:val="TAC"/>
            </w:pPr>
            <w:r w:rsidRPr="00BB2CAE">
              <w:t>enabled</w:t>
            </w:r>
          </w:p>
        </w:tc>
      </w:tr>
      <w:tr w:rsidR="00241417" w:rsidRPr="00525D63" w14:paraId="7AF4E0F9"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5EBA5EE0" w14:textId="77777777" w:rsidR="00241417" w:rsidRPr="00525D63" w:rsidRDefault="00241417" w:rsidP="003A71DE">
            <w:pPr>
              <w:pStyle w:val="TAC"/>
            </w:pPr>
            <w:r w:rsidRPr="00525D63">
              <w:t>First PRB after frequency hopping</w:t>
            </w:r>
          </w:p>
        </w:tc>
        <w:tc>
          <w:tcPr>
            <w:tcW w:w="3544" w:type="dxa"/>
            <w:tcBorders>
              <w:top w:val="single" w:sz="4" w:space="0" w:color="auto"/>
              <w:left w:val="single" w:sz="4" w:space="0" w:color="auto"/>
              <w:bottom w:val="single" w:sz="4" w:space="0" w:color="auto"/>
              <w:right w:val="single" w:sz="4" w:space="0" w:color="auto"/>
            </w:tcBorders>
            <w:vAlign w:val="center"/>
            <w:hideMark/>
          </w:tcPr>
          <w:p w14:paraId="2ED6A140" w14:textId="77777777" w:rsidR="00241417" w:rsidRPr="00BB2CAE" w:rsidRDefault="00241417" w:rsidP="003A71DE">
            <w:pPr>
              <w:pStyle w:val="TAC"/>
            </w:pPr>
            <w:r w:rsidRPr="00BB2CAE">
              <w:t>The largest PRB index – (nrofPRBs – 1)</w:t>
            </w:r>
          </w:p>
        </w:tc>
      </w:tr>
      <w:tr w:rsidR="00241417" w:rsidRPr="00525D63" w14:paraId="26C4E670"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1F67B0A9" w14:textId="77777777" w:rsidR="00241417" w:rsidRPr="00525D63" w:rsidRDefault="00241417" w:rsidP="003A71DE">
            <w:pPr>
              <w:pStyle w:val="TAC"/>
            </w:pPr>
            <w:r w:rsidRPr="00525D63">
              <w:t>Group and sequence hopping</w:t>
            </w:r>
          </w:p>
        </w:tc>
        <w:tc>
          <w:tcPr>
            <w:tcW w:w="3544" w:type="dxa"/>
            <w:tcBorders>
              <w:top w:val="single" w:sz="4" w:space="0" w:color="auto"/>
              <w:left w:val="single" w:sz="4" w:space="0" w:color="auto"/>
              <w:bottom w:val="single" w:sz="4" w:space="0" w:color="auto"/>
              <w:right w:val="single" w:sz="4" w:space="0" w:color="auto"/>
            </w:tcBorders>
            <w:vAlign w:val="center"/>
            <w:hideMark/>
          </w:tcPr>
          <w:p w14:paraId="67F11524" w14:textId="77777777" w:rsidR="00241417" w:rsidRPr="00BB2CAE" w:rsidRDefault="00241417" w:rsidP="003A71DE">
            <w:pPr>
              <w:pStyle w:val="TAC"/>
            </w:pPr>
            <w:r w:rsidRPr="00BB2CAE">
              <w:t>neither</w:t>
            </w:r>
          </w:p>
        </w:tc>
      </w:tr>
      <w:tr w:rsidR="00241417" w:rsidRPr="00525D63" w14:paraId="189574D5"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6AC920CA" w14:textId="77777777" w:rsidR="00241417" w:rsidRPr="00525D63" w:rsidRDefault="00241417" w:rsidP="003A71DE">
            <w:pPr>
              <w:pStyle w:val="TAC"/>
            </w:pPr>
            <w:r w:rsidRPr="00525D63">
              <w:t>Hopping ID</w:t>
            </w:r>
          </w:p>
        </w:tc>
        <w:tc>
          <w:tcPr>
            <w:tcW w:w="3544" w:type="dxa"/>
            <w:tcBorders>
              <w:top w:val="single" w:sz="4" w:space="0" w:color="auto"/>
              <w:left w:val="single" w:sz="4" w:space="0" w:color="auto"/>
              <w:bottom w:val="single" w:sz="4" w:space="0" w:color="auto"/>
              <w:right w:val="single" w:sz="4" w:space="0" w:color="auto"/>
            </w:tcBorders>
            <w:vAlign w:val="center"/>
            <w:hideMark/>
          </w:tcPr>
          <w:p w14:paraId="40FBD7E0" w14:textId="77777777" w:rsidR="00241417" w:rsidRPr="00BB2CAE" w:rsidRDefault="00241417" w:rsidP="003A71DE">
            <w:pPr>
              <w:pStyle w:val="TAC"/>
            </w:pPr>
            <w:r w:rsidRPr="00BB2CAE">
              <w:t>0</w:t>
            </w:r>
          </w:p>
        </w:tc>
      </w:tr>
      <w:tr w:rsidR="00241417" w:rsidRPr="00525D63" w14:paraId="582023A2"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38AFDBA8" w14:textId="77777777" w:rsidR="00241417" w:rsidRPr="00525D63" w:rsidRDefault="00241417" w:rsidP="003A71DE">
            <w:pPr>
              <w:pStyle w:val="TAC"/>
            </w:pPr>
            <w:r w:rsidRPr="00525D63">
              <w:t>Initial cyclic shift</w:t>
            </w:r>
          </w:p>
        </w:tc>
        <w:tc>
          <w:tcPr>
            <w:tcW w:w="3544" w:type="dxa"/>
            <w:tcBorders>
              <w:top w:val="single" w:sz="4" w:space="0" w:color="auto"/>
              <w:left w:val="single" w:sz="4" w:space="0" w:color="auto"/>
              <w:bottom w:val="single" w:sz="4" w:space="0" w:color="auto"/>
              <w:right w:val="single" w:sz="4" w:space="0" w:color="auto"/>
            </w:tcBorders>
            <w:vAlign w:val="center"/>
            <w:hideMark/>
          </w:tcPr>
          <w:p w14:paraId="4D8A926C" w14:textId="77777777" w:rsidR="00241417" w:rsidRPr="00BB2CAE" w:rsidRDefault="00241417" w:rsidP="003A71DE">
            <w:pPr>
              <w:pStyle w:val="TAC"/>
            </w:pPr>
            <w:r w:rsidRPr="00BB2CAE">
              <w:t>0</w:t>
            </w:r>
          </w:p>
        </w:tc>
      </w:tr>
      <w:tr w:rsidR="00241417" w:rsidRPr="00525D63" w14:paraId="133EAFC9"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6403D4FE" w14:textId="77777777" w:rsidR="00241417" w:rsidRPr="00525D63" w:rsidRDefault="00241417" w:rsidP="003A71DE">
            <w:pPr>
              <w:pStyle w:val="TAC"/>
            </w:pPr>
            <w:r w:rsidRPr="00525D63">
              <w:t>First symbol</w:t>
            </w:r>
          </w:p>
        </w:tc>
        <w:tc>
          <w:tcPr>
            <w:tcW w:w="3544" w:type="dxa"/>
            <w:tcBorders>
              <w:top w:val="single" w:sz="4" w:space="0" w:color="auto"/>
              <w:left w:val="single" w:sz="4" w:space="0" w:color="auto"/>
              <w:bottom w:val="single" w:sz="4" w:space="0" w:color="auto"/>
              <w:right w:val="single" w:sz="4" w:space="0" w:color="auto"/>
            </w:tcBorders>
            <w:vAlign w:val="center"/>
            <w:hideMark/>
          </w:tcPr>
          <w:p w14:paraId="020EF7A2" w14:textId="77777777" w:rsidR="00241417" w:rsidRPr="00BB2CAE" w:rsidRDefault="00241417" w:rsidP="003A71DE">
            <w:pPr>
              <w:pStyle w:val="TAC"/>
            </w:pPr>
            <w:r w:rsidRPr="00BB2CAE">
              <w:t>0</w:t>
            </w:r>
          </w:p>
        </w:tc>
      </w:tr>
      <w:tr w:rsidR="00241417" w:rsidRPr="00525D63" w14:paraId="27AFAF89" w14:textId="77777777" w:rsidTr="003A71DE">
        <w:trPr>
          <w:cantSplit/>
          <w:jc w:val="center"/>
        </w:trPr>
        <w:tc>
          <w:tcPr>
            <w:tcW w:w="3343" w:type="dxa"/>
            <w:tcBorders>
              <w:top w:val="single" w:sz="4" w:space="0" w:color="auto"/>
              <w:left w:val="single" w:sz="4" w:space="0" w:color="auto"/>
              <w:bottom w:val="single" w:sz="4" w:space="0" w:color="auto"/>
              <w:right w:val="single" w:sz="4" w:space="0" w:color="auto"/>
            </w:tcBorders>
            <w:vAlign w:val="center"/>
            <w:hideMark/>
          </w:tcPr>
          <w:p w14:paraId="66EA72C2" w14:textId="77777777" w:rsidR="00241417" w:rsidRPr="00525D63" w:rsidRDefault="00241417" w:rsidP="003A71DE">
            <w:pPr>
              <w:pStyle w:val="TAC"/>
            </w:pPr>
            <w:r w:rsidRPr="00525D63">
              <w:t>Index of orthogonal cover code (timeDomainOCC)</w:t>
            </w:r>
          </w:p>
        </w:tc>
        <w:tc>
          <w:tcPr>
            <w:tcW w:w="3544" w:type="dxa"/>
            <w:tcBorders>
              <w:top w:val="single" w:sz="4" w:space="0" w:color="auto"/>
              <w:left w:val="single" w:sz="4" w:space="0" w:color="auto"/>
              <w:bottom w:val="single" w:sz="4" w:space="0" w:color="auto"/>
              <w:right w:val="single" w:sz="4" w:space="0" w:color="auto"/>
            </w:tcBorders>
            <w:vAlign w:val="center"/>
            <w:hideMark/>
          </w:tcPr>
          <w:p w14:paraId="4B416AEC" w14:textId="77777777" w:rsidR="00241417" w:rsidRPr="00BB2CAE" w:rsidRDefault="00241417" w:rsidP="003A71DE">
            <w:pPr>
              <w:pStyle w:val="TAC"/>
            </w:pPr>
            <w:r w:rsidRPr="00BB2CAE">
              <w:t>0</w:t>
            </w:r>
          </w:p>
        </w:tc>
      </w:tr>
    </w:tbl>
    <w:p w14:paraId="19EDDF68" w14:textId="77777777" w:rsidR="00241417" w:rsidRDefault="00241417" w:rsidP="00241417">
      <w:pPr>
        <w:rPr>
          <w:noProof/>
        </w:rPr>
      </w:pPr>
    </w:p>
    <w:p w14:paraId="55A05AF1" w14:textId="77777777" w:rsidR="00241417" w:rsidRDefault="00241417" w:rsidP="00241417">
      <w:pPr>
        <w:rPr>
          <w:noProof/>
        </w:rPr>
      </w:pPr>
      <w:r>
        <w:rPr>
          <w:lang w:eastAsia="zh-CN"/>
        </w:rPr>
        <w:t xml:space="preserve">The transient period as specified in TS 38.101-1 [3] and TS 38.101-2 [4] clause </w:t>
      </w:r>
      <w:r>
        <w:t xml:space="preserve">6.3.3.1 </w:t>
      </w:r>
      <w:r>
        <w:rPr>
          <w:lang w:eastAsia="zh-CN"/>
        </w:rPr>
        <w:t>is not taken into account for performance requirement testing, where the RB hopping is symmetric to the CC centre, i.e. intra-slot frequency hopping is enabled.</w:t>
      </w:r>
    </w:p>
    <w:p w14:paraId="03CDB84E" w14:textId="77777777" w:rsidR="00241417" w:rsidRDefault="00241417" w:rsidP="00241417">
      <w:pPr>
        <w:pStyle w:val="H6"/>
        <w:rPr>
          <w:noProof/>
        </w:rPr>
      </w:pPr>
      <w:bookmarkStart w:id="7622" w:name="_Toc67916555"/>
      <w:bookmarkStart w:id="7623" w:name="_Toc61176732"/>
      <w:bookmarkStart w:id="7624" w:name="_Toc53178098"/>
      <w:bookmarkStart w:id="7625" w:name="_Toc53177646"/>
      <w:bookmarkStart w:id="7626" w:name="_Toc37268831"/>
      <w:bookmarkStart w:id="7627" w:name="_Toc37268380"/>
      <w:bookmarkStart w:id="7628" w:name="_Toc29811425"/>
      <w:bookmarkStart w:id="7629" w:name="_Toc13079936"/>
      <w:r>
        <w:rPr>
          <w:noProof/>
        </w:rPr>
        <w:t>11.1.3.2.3.1.2</w:t>
      </w:r>
      <w:r>
        <w:rPr>
          <w:noProof/>
        </w:rPr>
        <w:tab/>
        <w:t>Minimum requirements</w:t>
      </w:r>
      <w:bookmarkEnd w:id="7622"/>
      <w:bookmarkEnd w:id="7623"/>
      <w:bookmarkEnd w:id="7624"/>
      <w:bookmarkEnd w:id="7625"/>
      <w:bookmarkEnd w:id="7626"/>
      <w:bookmarkEnd w:id="7627"/>
      <w:bookmarkEnd w:id="7628"/>
      <w:bookmarkEnd w:id="7629"/>
    </w:p>
    <w:p w14:paraId="06243945" w14:textId="77777777" w:rsidR="00241417" w:rsidRDefault="00241417" w:rsidP="00241417">
      <w:pPr>
        <w:rPr>
          <w:noProof/>
        </w:rPr>
      </w:pPr>
      <w:r>
        <w:rPr>
          <w:noProof/>
        </w:rPr>
        <w:t>The NACK to ACK probability shall not exceed 0.1% at the SNR given in Table 11.1.3.2.3.1.2-1 and Table 11.1.3.2.3.1.2</w:t>
      </w:r>
      <w:r>
        <w:rPr>
          <w:noProof/>
        </w:rPr>
        <w:noBreakHyphen/>
        <w:t>2.</w:t>
      </w:r>
    </w:p>
    <w:p w14:paraId="36B5B0A2" w14:textId="77777777" w:rsidR="00241417" w:rsidRDefault="00241417" w:rsidP="00241417">
      <w:pPr>
        <w:pStyle w:val="TH"/>
        <w:rPr>
          <w:rFonts w:cs="Arial"/>
          <w:lang w:eastAsia="zh-CN"/>
        </w:rPr>
      </w:pPr>
      <w:r>
        <w:t xml:space="preserve">Table </w:t>
      </w:r>
      <w:r>
        <w:rPr>
          <w:rFonts w:cs="Arial"/>
        </w:rPr>
        <w:t xml:space="preserve">11.1.3.2.3.1.2-1: Minimum requirements for PUCCH format 1 with 60 kHz </w:t>
      </w:r>
      <w:r>
        <w:rPr>
          <w:rFonts w:cs="Arial"/>
          <w:lang w:eastAsia="zh-CN"/>
        </w:rPr>
        <w:t>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8"/>
        <w:gridCol w:w="2410"/>
        <w:gridCol w:w="3473"/>
        <w:gridCol w:w="992"/>
        <w:gridCol w:w="1078"/>
      </w:tblGrid>
      <w:tr w:rsidR="00241417" w:rsidRPr="00937751" w14:paraId="0CD12E17" w14:textId="77777777" w:rsidTr="003A71DE">
        <w:trPr>
          <w:trHeight w:val="227"/>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34602E7" w14:textId="77777777" w:rsidR="00241417" w:rsidRPr="00937751" w:rsidRDefault="00241417" w:rsidP="003A71DE">
            <w:pPr>
              <w:pStyle w:val="TAH"/>
            </w:pPr>
            <w:r w:rsidRPr="00937751">
              <w:t>Number of 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FEA3FC4" w14:textId="77777777" w:rsidR="00241417" w:rsidRPr="00937751" w:rsidRDefault="00241417" w:rsidP="003A71DE">
            <w:pPr>
              <w:pStyle w:val="TAH"/>
            </w:pPr>
            <w:r w:rsidRPr="00937751">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89D391D" w14:textId="2C9A413E" w:rsidR="00241417" w:rsidRPr="00937751" w:rsidRDefault="00241417" w:rsidP="003A71DE">
            <w:pPr>
              <w:pStyle w:val="TAH"/>
            </w:pPr>
            <w:r w:rsidRPr="00937751">
              <w:t xml:space="preserve">Propagation conditions and correlation matrix (Annex </w:t>
            </w:r>
            <w:r>
              <w:t>TBA</w:t>
            </w:r>
            <w:r w:rsidRPr="00937751">
              <w:t>)</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2A4F17E" w14:textId="77777777" w:rsidR="00241417" w:rsidRPr="00937751" w:rsidRDefault="00241417" w:rsidP="003A71DE">
            <w:pPr>
              <w:pStyle w:val="TAH"/>
            </w:pPr>
            <w:r w:rsidRPr="00937751">
              <w:t>Channel bandwidth / SNR (dB)</w:t>
            </w:r>
          </w:p>
        </w:tc>
      </w:tr>
      <w:tr w:rsidR="00241417" w:rsidRPr="00937751" w14:paraId="3AF38643" w14:textId="77777777" w:rsidTr="003A71DE">
        <w:trPr>
          <w:trHeight w:val="16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FE1EE7D" w14:textId="77777777" w:rsidR="00241417" w:rsidRPr="002921FA" w:rsidRDefault="00241417" w:rsidP="003A71DE">
            <w:pPr>
              <w:pStyle w:val="TAH"/>
              <w:rPr>
                <w:b w:val="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98722D8" w14:textId="77777777" w:rsidR="00241417" w:rsidRPr="002921FA" w:rsidRDefault="00241417" w:rsidP="003A71DE">
            <w:pPr>
              <w:pStyle w:val="TAH"/>
              <w:rPr>
                <w:b w:val="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050832C" w14:textId="77777777" w:rsidR="00241417" w:rsidRPr="002921FA" w:rsidRDefault="00241417" w:rsidP="003A71DE">
            <w:pPr>
              <w:pStyle w:val="TAH"/>
              <w:rPr>
                <w:b w:val="0"/>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BC50C7E" w14:textId="77777777" w:rsidR="00241417" w:rsidRPr="00937751" w:rsidRDefault="00241417" w:rsidP="003A71DE">
            <w:pPr>
              <w:pStyle w:val="TAH"/>
            </w:pPr>
            <w:r w:rsidRPr="00937751">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017D31FE" w14:textId="77777777" w:rsidR="00241417" w:rsidRPr="00937751" w:rsidRDefault="00241417" w:rsidP="003A71DE">
            <w:pPr>
              <w:pStyle w:val="TAH"/>
            </w:pPr>
            <w:r w:rsidRPr="00937751">
              <w:t>100 MHz</w:t>
            </w:r>
          </w:p>
        </w:tc>
      </w:tr>
      <w:tr w:rsidR="00241417" w:rsidRPr="00525D63" w14:paraId="2DBFCCD5" w14:textId="77777777" w:rsidTr="003A71DE">
        <w:trPr>
          <w:trHeight w:val="56"/>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B727988" w14:textId="77777777" w:rsidR="00241417" w:rsidRPr="00525D63" w:rsidRDefault="00241417" w:rsidP="003A71DE">
            <w:pPr>
              <w:pStyle w:val="TAC"/>
            </w:pPr>
            <w:r w:rsidRPr="00525D63">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61AD1665" w14:textId="77777777" w:rsidR="00241417" w:rsidRPr="00525D63" w:rsidRDefault="00241417" w:rsidP="003A71DE">
            <w:pPr>
              <w:pStyle w:val="TAC"/>
            </w:pPr>
            <w:r w:rsidRPr="00525D63">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4840FF2D" w14:textId="77777777" w:rsidR="00241417" w:rsidRPr="00525D63" w:rsidRDefault="00241417" w:rsidP="003A71DE">
            <w:pPr>
              <w:pStyle w:val="TAC"/>
            </w:pPr>
            <w:r w:rsidRPr="00525D63">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008A3D10" w14:textId="77777777" w:rsidR="00241417" w:rsidRPr="00525D63" w:rsidRDefault="00241417" w:rsidP="003A71DE">
            <w:pPr>
              <w:pStyle w:val="TAC"/>
            </w:pPr>
            <w:r w:rsidRPr="00525D63">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52554EE0" w14:textId="77777777" w:rsidR="00241417" w:rsidRPr="00525D63" w:rsidRDefault="00241417" w:rsidP="003A71DE">
            <w:pPr>
              <w:pStyle w:val="TAC"/>
            </w:pPr>
            <w:r w:rsidRPr="00525D63">
              <w:t>-4.2</w:t>
            </w:r>
          </w:p>
        </w:tc>
      </w:tr>
    </w:tbl>
    <w:p w14:paraId="3221C412" w14:textId="77777777" w:rsidR="00241417" w:rsidRDefault="00241417" w:rsidP="00241417"/>
    <w:p w14:paraId="546BC553" w14:textId="77777777" w:rsidR="00241417" w:rsidRDefault="00241417" w:rsidP="00241417">
      <w:pPr>
        <w:pStyle w:val="TH"/>
        <w:rPr>
          <w:rFonts w:cs="Arial"/>
        </w:rPr>
      </w:pPr>
      <w:r>
        <w:lastRenderedPageBreak/>
        <w:t xml:space="preserve">Table </w:t>
      </w:r>
      <w:r>
        <w:rPr>
          <w:rFonts w:cs="Arial"/>
        </w:rPr>
        <w:t>11.1.3.2.3.1.2-2: Minimum requirements for PUCCH format 1 with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2351"/>
        <w:gridCol w:w="3341"/>
        <w:gridCol w:w="732"/>
        <w:gridCol w:w="785"/>
        <w:gridCol w:w="785"/>
      </w:tblGrid>
      <w:tr w:rsidR="00241417" w:rsidRPr="00937751" w14:paraId="33AF8AA2" w14:textId="77777777" w:rsidTr="003A71DE">
        <w:trPr>
          <w:trHeight w:val="227"/>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57DD260" w14:textId="77777777" w:rsidR="00241417" w:rsidRPr="00937751" w:rsidRDefault="00241417" w:rsidP="003A71DE">
            <w:pPr>
              <w:pStyle w:val="TAH"/>
            </w:pPr>
            <w:r w:rsidRPr="00937751">
              <w:t>Number of 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6FC82D2" w14:textId="77777777" w:rsidR="00241417" w:rsidRPr="00937751" w:rsidRDefault="00241417" w:rsidP="003A71DE">
            <w:pPr>
              <w:pStyle w:val="TAH"/>
            </w:pPr>
            <w:r w:rsidRPr="00937751">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03372E1" w14:textId="34C5A916" w:rsidR="00241417" w:rsidRPr="00937751" w:rsidRDefault="00241417" w:rsidP="003A71DE">
            <w:pPr>
              <w:pStyle w:val="TAH"/>
            </w:pPr>
            <w:r w:rsidRPr="00937751">
              <w:t xml:space="preserve">Propagation conditions and correlation matrix (Annex </w:t>
            </w:r>
            <w:r>
              <w:t>TBA</w:t>
            </w:r>
            <w:r w:rsidRPr="00937751">
              <w:t>)</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70CAEB3E" w14:textId="77777777" w:rsidR="00241417" w:rsidRPr="00937751" w:rsidRDefault="00241417" w:rsidP="003A71DE">
            <w:pPr>
              <w:pStyle w:val="TAH"/>
            </w:pPr>
            <w:r w:rsidRPr="00937751">
              <w:t>Channel bandwidth / SNR (dB)</w:t>
            </w:r>
          </w:p>
        </w:tc>
      </w:tr>
      <w:tr w:rsidR="00241417" w:rsidRPr="00937751" w14:paraId="5291DB50" w14:textId="77777777" w:rsidTr="003A71DE">
        <w:trPr>
          <w:trHeight w:val="16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0662BE9" w14:textId="77777777" w:rsidR="00241417" w:rsidRPr="002921FA" w:rsidRDefault="00241417" w:rsidP="003A71DE">
            <w:pPr>
              <w:pStyle w:val="TAH"/>
              <w:rPr>
                <w:b w:val="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AAF794A" w14:textId="77777777" w:rsidR="00241417" w:rsidRPr="002921FA" w:rsidRDefault="00241417" w:rsidP="003A71DE">
            <w:pPr>
              <w:pStyle w:val="TAH"/>
              <w:rPr>
                <w:b w:val="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8CCD83C" w14:textId="77777777" w:rsidR="00241417" w:rsidRPr="002921FA" w:rsidRDefault="00241417" w:rsidP="003A71DE">
            <w:pPr>
              <w:pStyle w:val="TAH"/>
              <w:rPr>
                <w:b w:val="0"/>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5905328" w14:textId="77777777" w:rsidR="00241417" w:rsidRPr="00937751" w:rsidRDefault="00241417" w:rsidP="003A71DE">
            <w:pPr>
              <w:pStyle w:val="TAH"/>
            </w:pPr>
            <w:r w:rsidRPr="00937751">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4CD30BCF" w14:textId="77777777" w:rsidR="00241417" w:rsidRPr="00E376A5" w:rsidRDefault="00241417" w:rsidP="003A71DE">
            <w:pPr>
              <w:pStyle w:val="TAH"/>
            </w:pPr>
            <w:r w:rsidRPr="00E376A5">
              <w:t>100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5778DBB7" w14:textId="77777777" w:rsidR="00241417" w:rsidRPr="00E376A5" w:rsidRDefault="00241417" w:rsidP="003A71DE">
            <w:pPr>
              <w:pStyle w:val="TAH"/>
            </w:pPr>
            <w:r w:rsidRPr="00E376A5">
              <w:t>200 MHz</w:t>
            </w:r>
          </w:p>
        </w:tc>
      </w:tr>
      <w:tr w:rsidR="00241417" w:rsidRPr="00E376A5" w14:paraId="60A104FB" w14:textId="77777777" w:rsidTr="003A71DE">
        <w:trPr>
          <w:trHeight w:val="56"/>
          <w:jc w:val="center"/>
        </w:trPr>
        <w:tc>
          <w:tcPr>
            <w:tcW w:w="0" w:type="auto"/>
            <w:tcBorders>
              <w:top w:val="single" w:sz="4" w:space="0" w:color="auto"/>
              <w:left w:val="single" w:sz="4" w:space="0" w:color="auto"/>
              <w:bottom w:val="single" w:sz="4" w:space="0" w:color="auto"/>
              <w:right w:val="single" w:sz="4" w:space="0" w:color="auto"/>
            </w:tcBorders>
            <w:vAlign w:val="center"/>
          </w:tcPr>
          <w:p w14:paraId="4097721D" w14:textId="77777777" w:rsidR="00241417" w:rsidRPr="00E376A5" w:rsidRDefault="00241417" w:rsidP="003A71DE">
            <w:pPr>
              <w:pStyle w:val="TAC"/>
            </w:pPr>
            <w:r w:rsidRPr="00E376A5">
              <w:rPr>
                <w:rFonts w:hint="eastAsia"/>
              </w:rPr>
              <w:t>1</w:t>
            </w:r>
          </w:p>
        </w:tc>
        <w:tc>
          <w:tcPr>
            <w:tcW w:w="0" w:type="auto"/>
            <w:tcBorders>
              <w:top w:val="single" w:sz="4" w:space="0" w:color="auto"/>
              <w:left w:val="single" w:sz="4" w:space="0" w:color="auto"/>
              <w:bottom w:val="single" w:sz="4" w:space="0" w:color="auto"/>
              <w:right w:val="single" w:sz="4" w:space="0" w:color="auto"/>
            </w:tcBorders>
            <w:vAlign w:val="center"/>
          </w:tcPr>
          <w:p w14:paraId="0D01AB83" w14:textId="77777777" w:rsidR="00241417" w:rsidRPr="00E376A5" w:rsidRDefault="00241417" w:rsidP="003A71DE">
            <w:pPr>
              <w:pStyle w:val="TAC"/>
            </w:pPr>
            <w:r w:rsidRPr="00E376A5">
              <w:rPr>
                <w:rFonts w:hint="eastAsia"/>
              </w:rPr>
              <w:t>2</w:t>
            </w:r>
          </w:p>
        </w:tc>
        <w:tc>
          <w:tcPr>
            <w:tcW w:w="0" w:type="auto"/>
            <w:tcBorders>
              <w:top w:val="single" w:sz="4" w:space="0" w:color="auto"/>
              <w:left w:val="single" w:sz="4" w:space="0" w:color="auto"/>
              <w:bottom w:val="single" w:sz="4" w:space="0" w:color="auto"/>
              <w:right w:val="single" w:sz="4" w:space="0" w:color="auto"/>
            </w:tcBorders>
            <w:vAlign w:val="center"/>
          </w:tcPr>
          <w:p w14:paraId="141D866D" w14:textId="77777777" w:rsidR="00241417" w:rsidRPr="00E376A5" w:rsidRDefault="00241417" w:rsidP="003A71DE">
            <w:pPr>
              <w:pStyle w:val="TAC"/>
            </w:pPr>
            <w:r w:rsidRPr="00E376A5">
              <w:t>TDLA30-300 Low</w:t>
            </w:r>
          </w:p>
        </w:tc>
        <w:tc>
          <w:tcPr>
            <w:tcW w:w="0" w:type="auto"/>
            <w:tcBorders>
              <w:top w:val="single" w:sz="4" w:space="0" w:color="auto"/>
              <w:left w:val="single" w:sz="4" w:space="0" w:color="auto"/>
              <w:bottom w:val="single" w:sz="4" w:space="0" w:color="auto"/>
              <w:right w:val="single" w:sz="4" w:space="0" w:color="auto"/>
            </w:tcBorders>
            <w:vAlign w:val="center"/>
          </w:tcPr>
          <w:p w14:paraId="4BBAC22A" w14:textId="77777777" w:rsidR="00241417" w:rsidRPr="00E376A5" w:rsidRDefault="00241417" w:rsidP="003A71DE">
            <w:pPr>
              <w:pStyle w:val="TAC"/>
            </w:pPr>
            <w:r w:rsidRPr="00E376A5">
              <w:t>-3.9</w:t>
            </w:r>
          </w:p>
        </w:tc>
        <w:tc>
          <w:tcPr>
            <w:tcW w:w="0" w:type="auto"/>
            <w:tcBorders>
              <w:top w:val="single" w:sz="4" w:space="0" w:color="auto"/>
              <w:left w:val="single" w:sz="4" w:space="0" w:color="auto"/>
              <w:bottom w:val="single" w:sz="4" w:space="0" w:color="auto"/>
              <w:right w:val="single" w:sz="4" w:space="0" w:color="auto"/>
            </w:tcBorders>
            <w:vAlign w:val="center"/>
          </w:tcPr>
          <w:p w14:paraId="56B7926F" w14:textId="77777777" w:rsidR="00241417" w:rsidRPr="00E376A5" w:rsidRDefault="00241417" w:rsidP="003A71DE">
            <w:pPr>
              <w:pStyle w:val="TAC"/>
            </w:pPr>
            <w:r w:rsidRPr="00E376A5">
              <w:t>-3.9</w:t>
            </w:r>
          </w:p>
        </w:tc>
        <w:tc>
          <w:tcPr>
            <w:tcW w:w="0" w:type="auto"/>
            <w:tcBorders>
              <w:top w:val="single" w:sz="4" w:space="0" w:color="auto"/>
              <w:left w:val="single" w:sz="4" w:space="0" w:color="auto"/>
              <w:bottom w:val="single" w:sz="4" w:space="0" w:color="auto"/>
              <w:right w:val="single" w:sz="4" w:space="0" w:color="auto"/>
            </w:tcBorders>
            <w:vAlign w:val="center"/>
          </w:tcPr>
          <w:p w14:paraId="5B79899C" w14:textId="77777777" w:rsidR="00241417" w:rsidRPr="00E376A5" w:rsidRDefault="00241417" w:rsidP="003A71DE">
            <w:pPr>
              <w:pStyle w:val="TAC"/>
            </w:pPr>
            <w:r w:rsidRPr="00E376A5">
              <w:t>-3.0</w:t>
            </w:r>
          </w:p>
        </w:tc>
      </w:tr>
    </w:tbl>
    <w:p w14:paraId="1C48ECD3" w14:textId="77777777" w:rsidR="00241417" w:rsidRDefault="00241417" w:rsidP="00241417">
      <w:pPr>
        <w:rPr>
          <w:noProof/>
        </w:rPr>
      </w:pPr>
    </w:p>
    <w:p w14:paraId="34B213C0" w14:textId="77777777" w:rsidR="00241417" w:rsidRDefault="00241417" w:rsidP="00241417">
      <w:pPr>
        <w:pStyle w:val="H6"/>
        <w:rPr>
          <w:noProof/>
        </w:rPr>
      </w:pPr>
      <w:bookmarkStart w:id="7630" w:name="_Toc67916556"/>
      <w:bookmarkStart w:id="7631" w:name="_Toc61176733"/>
      <w:bookmarkStart w:id="7632" w:name="_Toc53178099"/>
      <w:bookmarkStart w:id="7633" w:name="_Toc53177647"/>
      <w:bookmarkStart w:id="7634" w:name="_Toc45893483"/>
      <w:bookmarkStart w:id="7635" w:name="_Toc37268832"/>
      <w:bookmarkStart w:id="7636" w:name="_Toc37268381"/>
      <w:bookmarkStart w:id="7637" w:name="_Toc29811426"/>
      <w:bookmarkStart w:id="7638" w:name="_Toc13079937"/>
      <w:r>
        <w:rPr>
          <w:noProof/>
        </w:rPr>
        <w:t>11.1.3.2.3.2</w:t>
      </w:r>
      <w:r>
        <w:rPr>
          <w:noProof/>
        </w:rPr>
        <w:tab/>
        <w:t>ACK missed detection requirements</w:t>
      </w:r>
      <w:bookmarkEnd w:id="7630"/>
      <w:bookmarkEnd w:id="7631"/>
      <w:bookmarkEnd w:id="7632"/>
      <w:bookmarkEnd w:id="7633"/>
      <w:bookmarkEnd w:id="7634"/>
      <w:bookmarkEnd w:id="7635"/>
      <w:bookmarkEnd w:id="7636"/>
      <w:bookmarkEnd w:id="7637"/>
      <w:bookmarkEnd w:id="7638"/>
    </w:p>
    <w:p w14:paraId="2EAC6FF6" w14:textId="77777777" w:rsidR="00241417" w:rsidRDefault="00241417" w:rsidP="00241417">
      <w:pPr>
        <w:pStyle w:val="H6"/>
        <w:rPr>
          <w:noProof/>
        </w:rPr>
      </w:pPr>
      <w:bookmarkStart w:id="7639" w:name="_Toc67916557"/>
      <w:bookmarkStart w:id="7640" w:name="_Toc61176734"/>
      <w:bookmarkStart w:id="7641" w:name="_Toc53178100"/>
      <w:bookmarkStart w:id="7642" w:name="_Toc53177648"/>
      <w:bookmarkStart w:id="7643" w:name="_Toc45893484"/>
      <w:bookmarkStart w:id="7644" w:name="_Toc37268833"/>
      <w:bookmarkStart w:id="7645" w:name="_Toc37268382"/>
      <w:bookmarkStart w:id="7646" w:name="_Toc29811427"/>
      <w:bookmarkStart w:id="7647" w:name="_Toc13079938"/>
      <w:r>
        <w:rPr>
          <w:noProof/>
        </w:rPr>
        <w:t>11.1.3.2.3.2.1</w:t>
      </w:r>
      <w:r>
        <w:rPr>
          <w:noProof/>
        </w:rPr>
        <w:tab/>
        <w:t>General</w:t>
      </w:r>
      <w:bookmarkEnd w:id="7639"/>
      <w:bookmarkEnd w:id="7640"/>
      <w:bookmarkEnd w:id="7641"/>
      <w:bookmarkEnd w:id="7642"/>
      <w:bookmarkEnd w:id="7643"/>
      <w:bookmarkEnd w:id="7644"/>
      <w:bookmarkEnd w:id="7645"/>
      <w:bookmarkEnd w:id="7646"/>
      <w:bookmarkEnd w:id="7647"/>
    </w:p>
    <w:p w14:paraId="28500796" w14:textId="77777777" w:rsidR="00241417" w:rsidRDefault="00241417" w:rsidP="00241417">
      <w:pPr>
        <w:rPr>
          <w:noProof/>
        </w:rPr>
      </w:pPr>
      <w:r>
        <w:rPr>
          <w:noProof/>
        </w:rPr>
        <w:t xml:space="preserve">The ACK missed detection probability is the probability of not detecting an ACK when an ACK was sent. The test parameters in Table 11.1.3.2.3.1.1-1 are configured. </w:t>
      </w:r>
    </w:p>
    <w:p w14:paraId="213FC974" w14:textId="77777777" w:rsidR="00241417" w:rsidRDefault="00241417" w:rsidP="00241417">
      <w:pPr>
        <w:rPr>
          <w:noProof/>
        </w:rPr>
      </w:pPr>
      <w:r>
        <w:rPr>
          <w:lang w:eastAsia="zh-CN"/>
        </w:rPr>
        <w:t xml:space="preserve">The transient period as </w:t>
      </w:r>
      <w:r w:rsidRPr="008C1F2E">
        <w:rPr>
          <w:lang w:eastAsia="zh-CN"/>
        </w:rPr>
        <w:t>specified in TBA and TBA</w:t>
      </w:r>
      <w:r w:rsidRPr="008C1F2E">
        <w:t xml:space="preserve"> </w:t>
      </w:r>
      <w:r w:rsidRPr="008C1F2E">
        <w:rPr>
          <w:lang w:eastAsia="zh-CN"/>
        </w:rPr>
        <w:t>is not taken into</w:t>
      </w:r>
      <w:r>
        <w:rPr>
          <w:lang w:eastAsia="zh-CN"/>
        </w:rPr>
        <w:t xml:space="preserve"> account for performance requirement testing, where the RB hopping is symmetric to the CC centre, i.e. intra-slot frequency hopping is enabled.</w:t>
      </w:r>
    </w:p>
    <w:p w14:paraId="27203751" w14:textId="77777777" w:rsidR="00241417" w:rsidRDefault="00241417" w:rsidP="00241417">
      <w:pPr>
        <w:pStyle w:val="H6"/>
        <w:rPr>
          <w:noProof/>
        </w:rPr>
      </w:pPr>
      <w:bookmarkStart w:id="7648" w:name="_Toc67916558"/>
      <w:bookmarkStart w:id="7649" w:name="_Toc61176735"/>
      <w:bookmarkStart w:id="7650" w:name="_Toc53178101"/>
      <w:bookmarkStart w:id="7651" w:name="_Toc53177649"/>
      <w:bookmarkStart w:id="7652" w:name="_Toc45893485"/>
      <w:bookmarkStart w:id="7653" w:name="_Toc37268834"/>
      <w:bookmarkStart w:id="7654" w:name="_Toc37268383"/>
      <w:bookmarkStart w:id="7655" w:name="_Toc29811428"/>
      <w:bookmarkStart w:id="7656" w:name="_Toc13079939"/>
      <w:r>
        <w:rPr>
          <w:noProof/>
        </w:rPr>
        <w:t>11.1.3.2.3.2.2</w:t>
      </w:r>
      <w:r>
        <w:rPr>
          <w:noProof/>
        </w:rPr>
        <w:tab/>
        <w:t>Minimum requirements</w:t>
      </w:r>
      <w:bookmarkEnd w:id="7648"/>
      <w:bookmarkEnd w:id="7649"/>
      <w:bookmarkEnd w:id="7650"/>
      <w:bookmarkEnd w:id="7651"/>
      <w:bookmarkEnd w:id="7652"/>
      <w:bookmarkEnd w:id="7653"/>
      <w:bookmarkEnd w:id="7654"/>
      <w:bookmarkEnd w:id="7655"/>
      <w:bookmarkEnd w:id="7656"/>
    </w:p>
    <w:p w14:paraId="19F6DF8B" w14:textId="77777777" w:rsidR="00241417" w:rsidRDefault="00241417" w:rsidP="00241417">
      <w:pPr>
        <w:rPr>
          <w:noProof/>
        </w:rPr>
      </w:pPr>
      <w:r>
        <w:rPr>
          <w:noProof/>
        </w:rPr>
        <w:t>The ACK missed detection probability shall not exceed 1% at the SNR given in Table 11.1.3.2.3.2.2-1 and in Table 11.1.3.2.3.2.2-2.</w:t>
      </w:r>
    </w:p>
    <w:p w14:paraId="2EEA850E" w14:textId="77777777" w:rsidR="00241417" w:rsidRPr="00E376A5" w:rsidRDefault="00241417" w:rsidP="00241417">
      <w:pPr>
        <w:pStyle w:val="TH"/>
      </w:pPr>
      <w:r w:rsidRPr="00E376A5">
        <w:t>Table 11.1.3.2.3.2.2-1: Minimum requirements for PUCCH format 1 with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8"/>
        <w:gridCol w:w="2410"/>
        <w:gridCol w:w="3473"/>
        <w:gridCol w:w="992"/>
        <w:gridCol w:w="1078"/>
      </w:tblGrid>
      <w:tr w:rsidR="00241417" w14:paraId="3DC9A7B2" w14:textId="77777777" w:rsidTr="003A71DE">
        <w:trPr>
          <w:trHeight w:val="227"/>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5FF2E58" w14:textId="77777777" w:rsidR="00241417" w:rsidRDefault="00241417" w:rsidP="003A71DE">
            <w:pPr>
              <w:pStyle w:val="TAH"/>
              <w:rPr>
                <w:lang w:eastAsia="zh-CN"/>
              </w:rPr>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9A1D204" w14:textId="77777777" w:rsidR="00241417" w:rsidRDefault="00241417" w:rsidP="003A71DE">
            <w:pPr>
              <w:pStyle w:val="TAH"/>
              <w:rPr>
                <w:lang w:eastAsia="zh-CN"/>
              </w:rPr>
            </w:pPr>
            <w:r>
              <w:rPr>
                <w:lang w:eastAsia="zh-CN"/>
              </w:rP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002BA99" w14:textId="1DF4885C" w:rsidR="00241417" w:rsidRDefault="00241417" w:rsidP="003A71DE">
            <w:pPr>
              <w:pStyle w:val="TAH"/>
              <w:rPr>
                <w:lang w:val="fr-FR"/>
              </w:rPr>
            </w:pPr>
            <w:r>
              <w:rPr>
                <w:lang w:val="fr-FR"/>
              </w:rPr>
              <w:t xml:space="preserve">Propagation conditions and correlation matrix (Annex </w:t>
            </w:r>
            <w:r>
              <w:t>TBA</w:t>
            </w:r>
            <w:r>
              <w:rPr>
                <w:lang w:val="fr-FR"/>
              </w:rPr>
              <w:t>)</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3BD3C92" w14:textId="77777777" w:rsidR="00241417" w:rsidRDefault="00241417" w:rsidP="003A71DE">
            <w:pPr>
              <w:pStyle w:val="TAH"/>
            </w:pPr>
            <w:r>
              <w:t>Channel bandwidth / SNR (dB)</w:t>
            </w:r>
          </w:p>
        </w:tc>
      </w:tr>
      <w:tr w:rsidR="00241417" w14:paraId="2EE40AC7" w14:textId="77777777" w:rsidTr="003A71DE">
        <w:trPr>
          <w:trHeight w:val="16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333ED6"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4FE9C84"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6C748B2" w14:textId="77777777" w:rsidR="00241417" w:rsidRDefault="00241417" w:rsidP="003A71DE">
            <w:pPr>
              <w:pStyle w:val="TAH"/>
              <w:rPr>
                <w:lang w:val="fr-FR"/>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63CBF36" w14:textId="77777777" w:rsidR="00241417" w:rsidRDefault="00241417" w:rsidP="003A71DE">
            <w:pPr>
              <w:pStyle w:val="TAH"/>
            </w:pPr>
            <w: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43805FB2" w14:textId="77777777" w:rsidR="00241417" w:rsidRDefault="00241417" w:rsidP="003A71DE">
            <w:pPr>
              <w:pStyle w:val="TAH"/>
            </w:pPr>
            <w:r>
              <w:t>100 MHz</w:t>
            </w:r>
          </w:p>
        </w:tc>
      </w:tr>
      <w:tr w:rsidR="00241417" w:rsidRPr="00E376A5" w14:paraId="65159E44" w14:textId="77777777" w:rsidTr="003A71DE">
        <w:trPr>
          <w:trHeight w:val="56"/>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D7E4955" w14:textId="77777777" w:rsidR="00241417" w:rsidRPr="00E376A5" w:rsidRDefault="00241417" w:rsidP="003A71DE">
            <w:pPr>
              <w:pStyle w:val="TAC"/>
            </w:pPr>
            <w:r w:rsidRPr="00E376A5">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70D0484C" w14:textId="77777777" w:rsidR="00241417" w:rsidRPr="00E376A5" w:rsidRDefault="00241417" w:rsidP="003A71DE">
            <w:pPr>
              <w:pStyle w:val="TAC"/>
            </w:pPr>
            <w:r w:rsidRPr="00E376A5">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017286B9" w14:textId="77777777" w:rsidR="00241417" w:rsidRPr="00E376A5" w:rsidRDefault="00241417" w:rsidP="003A71DE">
            <w:pPr>
              <w:pStyle w:val="TAC"/>
            </w:pPr>
            <w:r w:rsidRPr="00E376A5">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21A7051B" w14:textId="77777777" w:rsidR="00241417" w:rsidRPr="00E376A5" w:rsidRDefault="00241417" w:rsidP="003A71DE">
            <w:pPr>
              <w:pStyle w:val="TAC"/>
            </w:pPr>
            <w:r w:rsidRPr="00E376A5">
              <w:t>-3.9</w:t>
            </w:r>
          </w:p>
        </w:tc>
        <w:tc>
          <w:tcPr>
            <w:tcW w:w="0" w:type="auto"/>
            <w:tcBorders>
              <w:top w:val="single" w:sz="4" w:space="0" w:color="auto"/>
              <w:left w:val="single" w:sz="4" w:space="0" w:color="auto"/>
              <w:bottom w:val="single" w:sz="4" w:space="0" w:color="auto"/>
              <w:right w:val="single" w:sz="4" w:space="0" w:color="auto"/>
            </w:tcBorders>
            <w:vAlign w:val="center"/>
            <w:hideMark/>
          </w:tcPr>
          <w:p w14:paraId="1F7BA27F" w14:textId="77777777" w:rsidR="00241417" w:rsidRPr="00E376A5" w:rsidRDefault="00241417" w:rsidP="003A71DE">
            <w:pPr>
              <w:pStyle w:val="TAC"/>
            </w:pPr>
            <w:r w:rsidRPr="00E376A5">
              <w:t>-4.2</w:t>
            </w:r>
          </w:p>
        </w:tc>
      </w:tr>
    </w:tbl>
    <w:p w14:paraId="09657AC6" w14:textId="77777777" w:rsidR="00241417" w:rsidRDefault="00241417" w:rsidP="00241417"/>
    <w:p w14:paraId="1523B47B" w14:textId="77777777" w:rsidR="00241417" w:rsidRDefault="00241417" w:rsidP="00241417">
      <w:pPr>
        <w:pStyle w:val="TH"/>
        <w:rPr>
          <w:rFonts w:cs="Arial"/>
        </w:rPr>
      </w:pPr>
      <w:r>
        <w:t xml:space="preserve">Table </w:t>
      </w:r>
      <w:r>
        <w:rPr>
          <w:rFonts w:cs="Arial"/>
        </w:rPr>
        <w:t>11.1.3.2.3.2.2-2: Minimum requirements for PUCCH format 1 with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2351"/>
        <w:gridCol w:w="3341"/>
        <w:gridCol w:w="732"/>
        <w:gridCol w:w="785"/>
        <w:gridCol w:w="785"/>
      </w:tblGrid>
      <w:tr w:rsidR="00241417" w14:paraId="3AC04973" w14:textId="77777777" w:rsidTr="003A71DE">
        <w:trPr>
          <w:trHeight w:val="227"/>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5CF8F27" w14:textId="77777777" w:rsidR="00241417" w:rsidRDefault="00241417" w:rsidP="003A71DE">
            <w:pPr>
              <w:pStyle w:val="TAH"/>
              <w:rPr>
                <w:lang w:eastAsia="zh-CN"/>
              </w:rPr>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6B3950C" w14:textId="77777777" w:rsidR="00241417" w:rsidRDefault="00241417" w:rsidP="003A71DE">
            <w:pPr>
              <w:pStyle w:val="TAH"/>
              <w:rPr>
                <w:lang w:eastAsia="zh-CN"/>
              </w:rPr>
            </w:pPr>
            <w:r>
              <w:rPr>
                <w:lang w:eastAsia="zh-CN"/>
              </w:rP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269CAF2" w14:textId="49200351" w:rsidR="00241417" w:rsidRDefault="00241417" w:rsidP="003A71DE">
            <w:pPr>
              <w:pStyle w:val="TAH"/>
              <w:rPr>
                <w:lang w:val="fr-FR"/>
              </w:rPr>
            </w:pPr>
            <w:r>
              <w:rPr>
                <w:lang w:val="fr-FR"/>
              </w:rPr>
              <w:t xml:space="preserve">Propagation conditions and correlation matrix (Annex </w:t>
            </w:r>
            <w:r>
              <w:t>TBA</w:t>
            </w:r>
            <w:r>
              <w:rPr>
                <w:lang w:val="fr-FR"/>
              </w:rPr>
              <w:t>)</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6F9B7ABB" w14:textId="77777777" w:rsidR="00241417" w:rsidRDefault="00241417" w:rsidP="003A71DE">
            <w:pPr>
              <w:pStyle w:val="TAH"/>
            </w:pPr>
            <w:r>
              <w:t>Channel bandwidth / SNR (dB)</w:t>
            </w:r>
          </w:p>
        </w:tc>
      </w:tr>
      <w:tr w:rsidR="00241417" w14:paraId="3552F956" w14:textId="77777777" w:rsidTr="003A71DE">
        <w:trPr>
          <w:trHeight w:val="16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DCEA1CE"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B2264A7"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17C4E94" w14:textId="77777777" w:rsidR="00241417" w:rsidRDefault="00241417" w:rsidP="003A71DE">
            <w:pPr>
              <w:pStyle w:val="TAH"/>
              <w:rPr>
                <w:lang w:val="fr-FR"/>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8DF83F8" w14:textId="77777777" w:rsidR="00241417" w:rsidRDefault="00241417" w:rsidP="003A71DE">
            <w:pPr>
              <w:pStyle w:val="TAH"/>
            </w:pPr>
            <w: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41D692D7" w14:textId="77777777" w:rsidR="00241417" w:rsidRDefault="00241417" w:rsidP="003A71DE">
            <w:pPr>
              <w:pStyle w:val="TAH"/>
            </w:pPr>
            <w:r>
              <w:t>100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5FCC2276" w14:textId="77777777" w:rsidR="00241417" w:rsidRDefault="00241417" w:rsidP="003A71DE">
            <w:pPr>
              <w:pStyle w:val="TAH"/>
            </w:pPr>
            <w:r>
              <w:t>200 MHz</w:t>
            </w:r>
          </w:p>
        </w:tc>
      </w:tr>
      <w:tr w:rsidR="00241417" w:rsidRPr="00E376A5" w14:paraId="31B0A008" w14:textId="77777777" w:rsidTr="003A71DE">
        <w:trPr>
          <w:trHeight w:val="56"/>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B34245E" w14:textId="77777777" w:rsidR="00241417" w:rsidRPr="00E376A5" w:rsidRDefault="00241417" w:rsidP="003A71DE">
            <w:pPr>
              <w:pStyle w:val="TAC"/>
            </w:pPr>
            <w:r w:rsidRPr="00E376A5">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2A6418F8" w14:textId="77777777" w:rsidR="00241417" w:rsidRPr="00E376A5" w:rsidRDefault="00241417" w:rsidP="003A71DE">
            <w:pPr>
              <w:pStyle w:val="TAC"/>
            </w:pPr>
            <w:r w:rsidRPr="00E376A5">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5D1EAE5F" w14:textId="77777777" w:rsidR="00241417" w:rsidRPr="00E376A5" w:rsidRDefault="00241417" w:rsidP="003A71DE">
            <w:pPr>
              <w:pStyle w:val="TAC"/>
            </w:pPr>
            <w:r w:rsidRPr="00E376A5">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7D1448E7" w14:textId="77777777" w:rsidR="00241417" w:rsidRPr="00E376A5" w:rsidRDefault="00241417" w:rsidP="003A71DE">
            <w:pPr>
              <w:pStyle w:val="TAC"/>
            </w:pPr>
            <w:r w:rsidRPr="00E376A5">
              <w:t>-4.7</w:t>
            </w:r>
          </w:p>
        </w:tc>
        <w:tc>
          <w:tcPr>
            <w:tcW w:w="0" w:type="auto"/>
            <w:tcBorders>
              <w:top w:val="single" w:sz="4" w:space="0" w:color="auto"/>
              <w:left w:val="single" w:sz="4" w:space="0" w:color="auto"/>
              <w:bottom w:val="single" w:sz="4" w:space="0" w:color="auto"/>
              <w:right w:val="single" w:sz="4" w:space="0" w:color="auto"/>
            </w:tcBorders>
            <w:vAlign w:val="center"/>
            <w:hideMark/>
          </w:tcPr>
          <w:p w14:paraId="0E3DB052" w14:textId="77777777" w:rsidR="00241417" w:rsidRPr="00E376A5" w:rsidRDefault="00241417" w:rsidP="003A71DE">
            <w:pPr>
              <w:pStyle w:val="TAC"/>
            </w:pPr>
            <w:r w:rsidRPr="00E376A5">
              <w:t>-4.6</w:t>
            </w:r>
          </w:p>
        </w:tc>
        <w:tc>
          <w:tcPr>
            <w:tcW w:w="0" w:type="auto"/>
            <w:tcBorders>
              <w:top w:val="single" w:sz="4" w:space="0" w:color="auto"/>
              <w:left w:val="single" w:sz="4" w:space="0" w:color="auto"/>
              <w:bottom w:val="single" w:sz="4" w:space="0" w:color="auto"/>
              <w:right w:val="single" w:sz="4" w:space="0" w:color="auto"/>
            </w:tcBorders>
            <w:vAlign w:val="center"/>
            <w:hideMark/>
          </w:tcPr>
          <w:p w14:paraId="6FA1EA91" w14:textId="77777777" w:rsidR="00241417" w:rsidRPr="00E376A5" w:rsidRDefault="00241417" w:rsidP="003A71DE">
            <w:pPr>
              <w:pStyle w:val="TAC"/>
            </w:pPr>
            <w:r w:rsidRPr="00E376A5">
              <w:t>-4.6</w:t>
            </w:r>
          </w:p>
        </w:tc>
      </w:tr>
    </w:tbl>
    <w:p w14:paraId="5FF82759" w14:textId="77777777" w:rsidR="00241417" w:rsidRDefault="00241417" w:rsidP="00241417"/>
    <w:p w14:paraId="4E0A765F" w14:textId="77777777" w:rsidR="00241417" w:rsidRDefault="00241417" w:rsidP="00241417">
      <w:pPr>
        <w:pStyle w:val="Heading5"/>
        <w:rPr>
          <w:lang w:eastAsia="zh-CN"/>
        </w:rPr>
      </w:pPr>
      <w:bookmarkStart w:id="7657" w:name="_Toc67916559"/>
      <w:bookmarkStart w:id="7658" w:name="_Toc61176736"/>
      <w:bookmarkStart w:id="7659" w:name="_Toc53178102"/>
      <w:bookmarkStart w:id="7660" w:name="_Toc53177650"/>
      <w:bookmarkStart w:id="7661" w:name="_Toc45893486"/>
      <w:bookmarkStart w:id="7662" w:name="_Toc37268835"/>
      <w:bookmarkStart w:id="7663" w:name="_Toc37268384"/>
      <w:bookmarkStart w:id="7664" w:name="_Toc29811429"/>
      <w:bookmarkStart w:id="7665" w:name="_Toc13079940"/>
      <w:bookmarkStart w:id="7666" w:name="_Toc74583485"/>
      <w:bookmarkStart w:id="7667" w:name="_Toc76542298"/>
      <w:bookmarkStart w:id="7668" w:name="_Toc82450280"/>
      <w:bookmarkStart w:id="7669" w:name="_Toc82450928"/>
      <w:bookmarkStart w:id="7670" w:name="_Toc89949317"/>
      <w:bookmarkStart w:id="7671" w:name="_Toc98755706"/>
      <w:bookmarkStart w:id="7672" w:name="_Toc98763298"/>
      <w:bookmarkStart w:id="7673" w:name="_Toc106184227"/>
      <w:r>
        <w:t>11.1.</w:t>
      </w:r>
      <w:r>
        <w:rPr>
          <w:lang w:eastAsia="zh-CN"/>
        </w:rPr>
        <w:t>3</w:t>
      </w:r>
      <w:r>
        <w:t>.2.</w:t>
      </w:r>
      <w:r>
        <w:rPr>
          <w:lang w:eastAsia="zh-CN"/>
        </w:rPr>
        <w:t>4</w:t>
      </w:r>
      <w:r>
        <w:tab/>
      </w:r>
      <w:r>
        <w:rPr>
          <w:lang w:eastAsia="zh-CN"/>
        </w:rPr>
        <w:t>Performance requirements for PUCCH format 2</w:t>
      </w:r>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p>
    <w:p w14:paraId="026BE9B7" w14:textId="77777777" w:rsidR="00241417" w:rsidRDefault="00241417" w:rsidP="00241417">
      <w:pPr>
        <w:pStyle w:val="H6"/>
        <w:rPr>
          <w:rFonts w:eastAsia="DengXian"/>
          <w:lang w:eastAsia="zh-CN"/>
        </w:rPr>
      </w:pPr>
      <w:bookmarkStart w:id="7674" w:name="_Toc67916560"/>
      <w:bookmarkStart w:id="7675" w:name="_Toc61176737"/>
      <w:bookmarkStart w:id="7676" w:name="_Toc53178103"/>
      <w:bookmarkStart w:id="7677" w:name="_Toc53177651"/>
      <w:bookmarkStart w:id="7678" w:name="_Toc37268836"/>
      <w:bookmarkStart w:id="7679" w:name="_Toc37268385"/>
      <w:bookmarkStart w:id="7680" w:name="_Toc29811430"/>
      <w:bookmarkStart w:id="7681" w:name="_Toc13079941"/>
      <w:r>
        <w:t>11.1.</w:t>
      </w:r>
      <w:r>
        <w:rPr>
          <w:lang w:eastAsia="zh-CN"/>
        </w:rPr>
        <w:t>3</w:t>
      </w:r>
      <w:r>
        <w:t>.2.</w:t>
      </w:r>
      <w:r>
        <w:rPr>
          <w:lang w:eastAsia="zh-CN"/>
        </w:rPr>
        <w:t>4</w:t>
      </w:r>
      <w:r>
        <w:t>.</w:t>
      </w:r>
      <w:r>
        <w:rPr>
          <w:lang w:eastAsia="zh-CN"/>
        </w:rPr>
        <w:t>1</w:t>
      </w:r>
      <w:r>
        <w:tab/>
      </w:r>
      <w:r>
        <w:rPr>
          <w:lang w:eastAsia="zh-CN"/>
        </w:rPr>
        <w:t>ACK missed detection requirements</w:t>
      </w:r>
      <w:bookmarkEnd w:id="7674"/>
      <w:bookmarkEnd w:id="7675"/>
      <w:bookmarkEnd w:id="7676"/>
      <w:bookmarkEnd w:id="7677"/>
      <w:bookmarkEnd w:id="7678"/>
      <w:bookmarkEnd w:id="7679"/>
      <w:bookmarkEnd w:id="7680"/>
      <w:bookmarkEnd w:id="7681"/>
    </w:p>
    <w:p w14:paraId="00F1C4BC" w14:textId="77777777" w:rsidR="00241417" w:rsidRDefault="00241417" w:rsidP="00241417">
      <w:pPr>
        <w:pStyle w:val="H6"/>
        <w:rPr>
          <w:rFonts w:eastAsia="DengXian"/>
          <w:lang w:eastAsia="zh-CN"/>
        </w:rPr>
      </w:pPr>
      <w:bookmarkStart w:id="7682" w:name="_Toc67916561"/>
      <w:bookmarkStart w:id="7683" w:name="_Toc61176738"/>
      <w:bookmarkStart w:id="7684" w:name="_Toc53178104"/>
      <w:bookmarkStart w:id="7685" w:name="_Toc53177652"/>
      <w:bookmarkStart w:id="7686" w:name="_Toc37268837"/>
      <w:bookmarkStart w:id="7687" w:name="_Toc37268386"/>
      <w:bookmarkStart w:id="7688" w:name="_Toc29811431"/>
      <w:bookmarkStart w:id="7689" w:name="_Toc13079942"/>
      <w:r>
        <w:t>11.1.</w:t>
      </w:r>
      <w:r>
        <w:rPr>
          <w:lang w:eastAsia="zh-CN"/>
        </w:rPr>
        <w:t>3</w:t>
      </w:r>
      <w:r>
        <w:t>.2.</w:t>
      </w:r>
      <w:r>
        <w:rPr>
          <w:lang w:eastAsia="zh-CN"/>
        </w:rPr>
        <w:t>4</w:t>
      </w:r>
      <w:r>
        <w:t>.</w:t>
      </w:r>
      <w:r>
        <w:rPr>
          <w:lang w:eastAsia="zh-CN"/>
        </w:rPr>
        <w:t>1.1</w:t>
      </w:r>
      <w:r>
        <w:tab/>
      </w:r>
      <w:r>
        <w:rPr>
          <w:lang w:eastAsia="zh-CN"/>
        </w:rPr>
        <w:t>General</w:t>
      </w:r>
      <w:bookmarkEnd w:id="7682"/>
      <w:bookmarkEnd w:id="7683"/>
      <w:bookmarkEnd w:id="7684"/>
      <w:bookmarkEnd w:id="7685"/>
      <w:bookmarkEnd w:id="7686"/>
      <w:bookmarkEnd w:id="7687"/>
      <w:bookmarkEnd w:id="7688"/>
      <w:bookmarkEnd w:id="7689"/>
    </w:p>
    <w:p w14:paraId="56151D11" w14:textId="77777777" w:rsidR="00241417" w:rsidRDefault="00241417" w:rsidP="00241417">
      <w:pPr>
        <w:rPr>
          <w:rFonts w:eastAsia="DengXian"/>
          <w:lang w:eastAsia="zh-CN"/>
        </w:rPr>
      </w:pPr>
      <w:r>
        <w:rPr>
          <w:rFonts w:eastAsia="DengXian"/>
        </w:rPr>
        <w:t>The ACK missed detection probability is the probability of not detecting an ACK when an ACK was sent.</w:t>
      </w:r>
    </w:p>
    <w:p w14:paraId="0308EB91" w14:textId="77777777" w:rsidR="00241417" w:rsidRDefault="00241417" w:rsidP="00241417">
      <w:pPr>
        <w:rPr>
          <w:rFonts w:eastAsia="SimSun"/>
          <w:lang w:eastAsia="zh-CN"/>
        </w:rPr>
      </w:pPr>
      <w:r>
        <w:rPr>
          <w:rFonts w:eastAsia="DengXian"/>
        </w:rPr>
        <w:t xml:space="preserve">The ACK </w:t>
      </w:r>
      <w:r>
        <w:rPr>
          <w:rFonts w:eastAsia="DengXian"/>
          <w:lang w:eastAsia="zh-CN"/>
        </w:rPr>
        <w:t xml:space="preserve">missed detection </w:t>
      </w:r>
      <w:r>
        <w:rPr>
          <w:rFonts w:eastAsia="DengXian"/>
        </w:rPr>
        <w:t xml:space="preserve">requirement only applies to the PUCCH format 2 </w:t>
      </w:r>
      <w:r>
        <w:rPr>
          <w:rFonts w:eastAsia="DengXian"/>
          <w:lang w:eastAsia="zh-CN"/>
        </w:rPr>
        <w:t xml:space="preserve">with 4 </w:t>
      </w:r>
      <w:r>
        <w:rPr>
          <w:rFonts w:eastAsia="DengXian"/>
        </w:rPr>
        <w:t>UCI bits.</w:t>
      </w:r>
    </w:p>
    <w:p w14:paraId="0841CA9C" w14:textId="77777777" w:rsidR="00241417" w:rsidRPr="00E376A5" w:rsidRDefault="00241417" w:rsidP="00241417">
      <w:pPr>
        <w:pStyle w:val="TH"/>
      </w:pPr>
      <w:r w:rsidRPr="00E376A5">
        <w:t>Table 11.1.3.2.4.1.1-1: Test Parameters</w:t>
      </w:r>
      <w:r>
        <w:t xml:space="preserve"> for PUCCH format 2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3988"/>
      </w:tblGrid>
      <w:tr w:rsidR="00241417" w:rsidRPr="00E376A5" w14:paraId="66312AC0"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F06673D" w14:textId="77777777" w:rsidR="00241417" w:rsidRPr="00E376A5" w:rsidRDefault="00241417" w:rsidP="003A71DE">
            <w:pPr>
              <w:pStyle w:val="TAH"/>
            </w:pPr>
            <w:r w:rsidRPr="00E376A5">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13B37236" w14:textId="77777777" w:rsidR="00241417" w:rsidRPr="00E376A5" w:rsidRDefault="00241417" w:rsidP="003A71DE">
            <w:pPr>
              <w:pStyle w:val="TAH"/>
            </w:pPr>
            <w:r w:rsidRPr="00E376A5">
              <w:t xml:space="preserve">Value </w:t>
            </w:r>
          </w:p>
        </w:tc>
      </w:tr>
      <w:tr w:rsidR="00241417" w14:paraId="6242C916"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741FD3E" w14:textId="77777777" w:rsidR="00241417" w:rsidRDefault="00241417" w:rsidP="003A71DE">
            <w:pPr>
              <w:pStyle w:val="TAC"/>
              <w:rPr>
                <w:lang w:eastAsia="zh-CN"/>
              </w:rPr>
            </w:pPr>
            <w:r>
              <w:rPr>
                <w:lang w:eastAsia="zh-CN"/>
              </w:rPr>
              <w:t>Cyclic prefix</w:t>
            </w:r>
          </w:p>
        </w:tc>
        <w:tc>
          <w:tcPr>
            <w:tcW w:w="0" w:type="auto"/>
            <w:tcBorders>
              <w:top w:val="single" w:sz="4" w:space="0" w:color="auto"/>
              <w:left w:val="single" w:sz="4" w:space="0" w:color="auto"/>
              <w:bottom w:val="single" w:sz="4" w:space="0" w:color="auto"/>
              <w:right w:val="single" w:sz="4" w:space="0" w:color="auto"/>
            </w:tcBorders>
            <w:vAlign w:val="center"/>
          </w:tcPr>
          <w:p w14:paraId="099CDFCF" w14:textId="77777777" w:rsidR="00241417" w:rsidRDefault="00241417" w:rsidP="003A71DE">
            <w:pPr>
              <w:pStyle w:val="TAC"/>
              <w:rPr>
                <w:rFonts w:eastAsia="?? ??" w:cs="Arial"/>
                <w:lang w:eastAsia="zh-CN"/>
              </w:rPr>
            </w:pPr>
            <w:r>
              <w:rPr>
                <w:rFonts w:eastAsia="?? ??" w:cs="Arial"/>
                <w:lang w:eastAsia="zh-CN"/>
              </w:rPr>
              <w:t>Normal</w:t>
            </w:r>
          </w:p>
        </w:tc>
      </w:tr>
      <w:tr w:rsidR="00241417" w14:paraId="7E0D2245"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729365F" w14:textId="77777777" w:rsidR="00241417" w:rsidRDefault="00241417" w:rsidP="003A71DE">
            <w:pPr>
              <w:pStyle w:val="TAC"/>
              <w:rPr>
                <w:rFonts w:eastAsia="DengXian"/>
                <w:lang w:eastAsia="zh-CN"/>
              </w:rPr>
            </w:pPr>
            <w:r>
              <w:rPr>
                <w:lang w:eastAsia="zh-CN"/>
              </w:rPr>
              <w:t>Modulation order</w:t>
            </w:r>
          </w:p>
        </w:tc>
        <w:tc>
          <w:tcPr>
            <w:tcW w:w="0" w:type="auto"/>
            <w:tcBorders>
              <w:top w:val="single" w:sz="4" w:space="0" w:color="auto"/>
              <w:left w:val="single" w:sz="4" w:space="0" w:color="auto"/>
              <w:bottom w:val="single" w:sz="4" w:space="0" w:color="auto"/>
              <w:right w:val="single" w:sz="4" w:space="0" w:color="auto"/>
            </w:tcBorders>
            <w:vAlign w:val="center"/>
            <w:hideMark/>
          </w:tcPr>
          <w:p w14:paraId="4317AB22" w14:textId="77777777" w:rsidR="00241417" w:rsidRDefault="00241417" w:rsidP="003A71DE">
            <w:pPr>
              <w:pStyle w:val="TAC"/>
              <w:rPr>
                <w:rFonts w:eastAsia="?? ??" w:cs="Arial"/>
                <w:lang w:eastAsia="zh-CN"/>
              </w:rPr>
            </w:pPr>
            <w:r>
              <w:rPr>
                <w:rFonts w:eastAsia="?? ??" w:cs="Arial"/>
                <w:lang w:eastAsia="zh-CN"/>
              </w:rPr>
              <w:t>QSPK</w:t>
            </w:r>
          </w:p>
        </w:tc>
      </w:tr>
      <w:tr w:rsidR="00241417" w14:paraId="693D0787"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8E8B8FC" w14:textId="77777777" w:rsidR="00241417" w:rsidRDefault="00241417" w:rsidP="003A71DE">
            <w:pPr>
              <w:pStyle w:val="TAC"/>
              <w:rPr>
                <w:rFonts w:eastAsia="DengXian" w:cs="Arial"/>
                <w:lang w:eastAsia="zh-CN"/>
              </w:rPr>
            </w:pPr>
            <w:r>
              <w:rPr>
                <w:lang w:eastAsia="zh-CN"/>
              </w:rPr>
              <w:t>First PRB prior to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730D8891" w14:textId="77777777" w:rsidR="00241417" w:rsidRDefault="00241417" w:rsidP="003A71DE">
            <w:pPr>
              <w:pStyle w:val="TAC"/>
              <w:rPr>
                <w:rFonts w:eastAsia="?? ??" w:cs="Arial"/>
                <w:lang w:eastAsia="zh-CN"/>
              </w:rPr>
            </w:pPr>
            <w:r>
              <w:rPr>
                <w:rFonts w:eastAsia="?? ??" w:cs="Arial"/>
                <w:lang w:eastAsia="zh-CN"/>
              </w:rPr>
              <w:t>0</w:t>
            </w:r>
          </w:p>
        </w:tc>
      </w:tr>
      <w:tr w:rsidR="00241417" w14:paraId="1BD02BC5"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556B2C3" w14:textId="77777777" w:rsidR="00241417" w:rsidRDefault="00241417" w:rsidP="003A71DE">
            <w:pPr>
              <w:pStyle w:val="TAC"/>
              <w:rPr>
                <w:rFonts w:eastAsia="DengXian" w:cs="Arial"/>
                <w:lang w:eastAsia="zh-CN"/>
              </w:rPr>
            </w:pPr>
            <w:r>
              <w:rPr>
                <w:lang w:eastAsia="zh-CN"/>
              </w:rPr>
              <w:t>Intra-slot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4A14D22F" w14:textId="77777777" w:rsidR="00241417" w:rsidRDefault="00241417" w:rsidP="003A71DE">
            <w:pPr>
              <w:pStyle w:val="TAC"/>
              <w:rPr>
                <w:rFonts w:eastAsia="DengXian" w:cs="Arial"/>
                <w:lang w:eastAsia="zh-CN"/>
              </w:rPr>
            </w:pPr>
            <w:r>
              <w:rPr>
                <w:rFonts w:eastAsia="?? ??" w:cs="Arial"/>
                <w:lang w:eastAsia="zh-CN"/>
              </w:rPr>
              <w:t>N/A</w:t>
            </w:r>
          </w:p>
        </w:tc>
      </w:tr>
      <w:tr w:rsidR="00241417" w14:paraId="1E3DCDA8"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C2BDE1D" w14:textId="77777777" w:rsidR="00241417" w:rsidRDefault="00241417" w:rsidP="003A71DE">
            <w:pPr>
              <w:pStyle w:val="TAC"/>
              <w:rPr>
                <w:rFonts w:eastAsia="DengXian"/>
                <w:lang w:eastAsia="zh-CN"/>
              </w:rPr>
            </w:pPr>
            <w:r>
              <w:rPr>
                <w:lang w:eastAsia="zh-CN"/>
              </w:rPr>
              <w:t>First PRB after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59F4C531" w14:textId="77777777" w:rsidR="00241417" w:rsidRDefault="00241417" w:rsidP="003A71DE">
            <w:pPr>
              <w:pStyle w:val="TAC"/>
              <w:rPr>
                <w:rFonts w:eastAsia="DengXian" w:cs="Arial"/>
                <w:lang w:eastAsia="zh-CN"/>
              </w:rPr>
            </w:pPr>
            <w:r>
              <w:rPr>
                <w:rFonts w:eastAsia="?? ??" w:cs="Arial"/>
                <w:lang w:eastAsia="zh-CN"/>
              </w:rPr>
              <w:t xml:space="preserve">The largest PRB index </w:t>
            </w:r>
            <w:r>
              <w:rPr>
                <w:rFonts w:cs="Arial"/>
              </w:rPr>
              <w:t>–</w:t>
            </w:r>
            <w:r>
              <w:rPr>
                <w:rFonts w:eastAsia="?? ??" w:cs="Arial"/>
                <w:lang w:eastAsia="zh-CN"/>
              </w:rPr>
              <w:t xml:space="preserve"> </w:t>
            </w:r>
            <w:r>
              <w:rPr>
                <w:lang w:eastAsia="zh-CN"/>
              </w:rPr>
              <w:t xml:space="preserve">(Number of PRBs </w:t>
            </w:r>
            <w:r>
              <w:rPr>
                <w:rFonts w:cs="Arial"/>
              </w:rPr>
              <w:t xml:space="preserve">– </w:t>
            </w:r>
            <w:r>
              <w:rPr>
                <w:lang w:eastAsia="zh-CN"/>
              </w:rPr>
              <w:t>1)</w:t>
            </w:r>
          </w:p>
        </w:tc>
      </w:tr>
      <w:tr w:rsidR="00241417" w14:paraId="2F70369C"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4076C3D" w14:textId="77777777" w:rsidR="00241417" w:rsidRDefault="00241417" w:rsidP="003A71DE">
            <w:pPr>
              <w:pStyle w:val="TAC"/>
              <w:rPr>
                <w:rFonts w:eastAsia="DengXian"/>
                <w:lang w:eastAsia="zh-CN"/>
              </w:rPr>
            </w:pPr>
            <w:r>
              <w:rPr>
                <w:lang w:eastAsia="zh-CN"/>
              </w:rPr>
              <w:t>Number of PRBs</w:t>
            </w:r>
          </w:p>
        </w:tc>
        <w:tc>
          <w:tcPr>
            <w:tcW w:w="0" w:type="auto"/>
            <w:tcBorders>
              <w:top w:val="single" w:sz="4" w:space="0" w:color="auto"/>
              <w:left w:val="single" w:sz="4" w:space="0" w:color="auto"/>
              <w:bottom w:val="single" w:sz="4" w:space="0" w:color="auto"/>
              <w:right w:val="single" w:sz="4" w:space="0" w:color="auto"/>
            </w:tcBorders>
            <w:vAlign w:val="center"/>
            <w:hideMark/>
          </w:tcPr>
          <w:p w14:paraId="6BD04191" w14:textId="77777777" w:rsidR="00241417" w:rsidRDefault="00241417" w:rsidP="003A71DE">
            <w:pPr>
              <w:pStyle w:val="TAC"/>
              <w:rPr>
                <w:rFonts w:eastAsia="DengXian" w:cs="Arial"/>
                <w:lang w:eastAsia="zh-CN"/>
              </w:rPr>
            </w:pPr>
            <w:r>
              <w:rPr>
                <w:rFonts w:eastAsia="?? ??" w:cs="Arial"/>
                <w:lang w:eastAsia="zh-CN"/>
              </w:rPr>
              <w:t>4</w:t>
            </w:r>
          </w:p>
        </w:tc>
      </w:tr>
      <w:tr w:rsidR="00241417" w14:paraId="38650B02"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EEBDDE7" w14:textId="77777777" w:rsidR="00241417" w:rsidRDefault="00241417" w:rsidP="003A71DE">
            <w:pPr>
              <w:pStyle w:val="TAC"/>
              <w:rPr>
                <w:rFonts w:eastAsia="DengXian"/>
                <w:lang w:eastAsia="zh-CN"/>
              </w:rPr>
            </w:pPr>
            <w:r>
              <w:rPr>
                <w:lang w:eastAsia="zh-CN"/>
              </w:rPr>
              <w:t>Number of symbols</w:t>
            </w:r>
          </w:p>
        </w:tc>
        <w:tc>
          <w:tcPr>
            <w:tcW w:w="0" w:type="auto"/>
            <w:tcBorders>
              <w:top w:val="single" w:sz="4" w:space="0" w:color="auto"/>
              <w:left w:val="single" w:sz="4" w:space="0" w:color="auto"/>
              <w:bottom w:val="single" w:sz="4" w:space="0" w:color="auto"/>
              <w:right w:val="single" w:sz="4" w:space="0" w:color="auto"/>
            </w:tcBorders>
            <w:vAlign w:val="center"/>
            <w:hideMark/>
          </w:tcPr>
          <w:p w14:paraId="39ACE1F3" w14:textId="77777777" w:rsidR="00241417" w:rsidRDefault="00241417" w:rsidP="003A71DE">
            <w:pPr>
              <w:pStyle w:val="TAC"/>
              <w:rPr>
                <w:rFonts w:eastAsia="DengXian" w:cs="Arial"/>
                <w:lang w:eastAsia="zh-CN"/>
              </w:rPr>
            </w:pPr>
            <w:r>
              <w:rPr>
                <w:rFonts w:eastAsia="?? ??" w:cs="Arial"/>
                <w:lang w:eastAsia="zh-CN"/>
              </w:rPr>
              <w:t>1</w:t>
            </w:r>
          </w:p>
        </w:tc>
      </w:tr>
      <w:tr w:rsidR="00241417" w14:paraId="60190BF3"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7641C81" w14:textId="77777777" w:rsidR="00241417" w:rsidRDefault="00241417" w:rsidP="003A71DE">
            <w:pPr>
              <w:pStyle w:val="TAC"/>
              <w:rPr>
                <w:rFonts w:eastAsia="DengXian"/>
                <w:lang w:eastAsia="zh-CN"/>
              </w:rPr>
            </w:pPr>
            <w:r>
              <w:rPr>
                <w:lang w:eastAsia="zh-CN"/>
              </w:rPr>
              <w:t>The number of UCI information bits</w:t>
            </w:r>
          </w:p>
        </w:tc>
        <w:tc>
          <w:tcPr>
            <w:tcW w:w="0" w:type="auto"/>
            <w:tcBorders>
              <w:top w:val="single" w:sz="4" w:space="0" w:color="auto"/>
              <w:left w:val="single" w:sz="4" w:space="0" w:color="auto"/>
              <w:bottom w:val="single" w:sz="4" w:space="0" w:color="auto"/>
              <w:right w:val="single" w:sz="4" w:space="0" w:color="auto"/>
            </w:tcBorders>
            <w:vAlign w:val="center"/>
            <w:hideMark/>
          </w:tcPr>
          <w:p w14:paraId="76A62CFE" w14:textId="77777777" w:rsidR="00241417" w:rsidRDefault="00241417" w:rsidP="003A71DE">
            <w:pPr>
              <w:pStyle w:val="TAC"/>
              <w:rPr>
                <w:rFonts w:eastAsia="SimSun"/>
                <w:lang w:eastAsia="zh-CN"/>
              </w:rPr>
            </w:pPr>
            <w:r>
              <w:rPr>
                <w:rFonts w:eastAsia="SimSun"/>
                <w:lang w:eastAsia="zh-CN"/>
              </w:rPr>
              <w:t>4</w:t>
            </w:r>
          </w:p>
        </w:tc>
      </w:tr>
      <w:tr w:rsidR="00241417" w14:paraId="31E19891"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BEC56E6" w14:textId="77777777" w:rsidR="00241417" w:rsidRDefault="00241417" w:rsidP="003A71DE">
            <w:pPr>
              <w:pStyle w:val="TAC"/>
              <w:rPr>
                <w:lang w:eastAsia="zh-CN"/>
              </w:rPr>
            </w:pPr>
            <w:r>
              <w:rPr>
                <w:lang w:eastAsia="zh-CN"/>
              </w:rPr>
              <w:t>First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74CE856D" w14:textId="77777777" w:rsidR="00241417" w:rsidRDefault="00241417" w:rsidP="003A71DE">
            <w:pPr>
              <w:pStyle w:val="TAC"/>
              <w:rPr>
                <w:rFonts w:eastAsia="SimSun"/>
                <w:lang w:eastAsia="zh-CN"/>
              </w:rPr>
            </w:pPr>
            <w:r>
              <w:rPr>
                <w:rFonts w:eastAsia="SimSun"/>
                <w:lang w:eastAsia="zh-CN"/>
              </w:rPr>
              <w:t>13</w:t>
            </w:r>
          </w:p>
        </w:tc>
      </w:tr>
      <w:tr w:rsidR="00241417" w14:paraId="2C7F88F8"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6A6B0CB" w14:textId="77777777" w:rsidR="00241417" w:rsidRDefault="00241417" w:rsidP="003A71DE">
            <w:pPr>
              <w:pStyle w:val="TAC"/>
              <w:rPr>
                <w:lang w:eastAsia="zh-CN"/>
              </w:rPr>
            </w:pPr>
            <w:r>
              <w:rPr>
                <w:lang w:eastAsia="zh-CN"/>
              </w:rPr>
              <w:t>DM-RS sequence generation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33D9257A" w14:textId="77777777" w:rsidR="00241417" w:rsidRDefault="00241417" w:rsidP="003A71DE">
            <w:pPr>
              <w:pStyle w:val="TAC"/>
              <w:rPr>
                <w:rFonts w:eastAsia="SimSun"/>
                <w:lang w:eastAsia="zh-CN"/>
              </w:rPr>
            </w:pPr>
            <w:r>
              <w:rPr>
                <w:rFonts w:cs="Arial"/>
                <w:i/>
                <w:szCs w:val="18"/>
              </w:rPr>
              <w:t>N</w:t>
            </w:r>
            <w:r>
              <w:rPr>
                <w:rFonts w:cs="Arial"/>
                <w:i/>
                <w:szCs w:val="18"/>
                <w:vertAlign w:val="subscript"/>
              </w:rPr>
              <w:t>ID</w:t>
            </w:r>
            <w:r>
              <w:rPr>
                <w:rFonts w:cs="Arial"/>
                <w:vertAlign w:val="superscript"/>
              </w:rPr>
              <w:t>0</w:t>
            </w:r>
            <w:r>
              <w:rPr>
                <w:rFonts w:cs="Arial"/>
                <w:szCs w:val="18"/>
              </w:rPr>
              <w:t>=0</w:t>
            </w:r>
          </w:p>
        </w:tc>
      </w:tr>
    </w:tbl>
    <w:p w14:paraId="33B66F28" w14:textId="77777777" w:rsidR="00241417" w:rsidRDefault="00241417" w:rsidP="00241417">
      <w:pPr>
        <w:rPr>
          <w:lang w:eastAsia="zh-CN"/>
        </w:rPr>
      </w:pPr>
    </w:p>
    <w:p w14:paraId="78D31BEF" w14:textId="77777777" w:rsidR="00241417" w:rsidRDefault="00241417" w:rsidP="00241417">
      <w:pPr>
        <w:rPr>
          <w:lang w:eastAsia="zh-CN"/>
        </w:rPr>
      </w:pPr>
      <w:r>
        <w:rPr>
          <w:lang w:eastAsia="zh-CN"/>
        </w:rPr>
        <w:lastRenderedPageBreak/>
        <w:t xml:space="preserve">The transient period as </w:t>
      </w:r>
      <w:r w:rsidRPr="008C1F2E">
        <w:rPr>
          <w:lang w:eastAsia="zh-CN"/>
        </w:rPr>
        <w:t>specified in TBA and TBA is not taken</w:t>
      </w:r>
      <w:r>
        <w:rPr>
          <w:lang w:eastAsia="zh-CN"/>
        </w:rPr>
        <w:t xml:space="preserve"> into account for performance requirement testing, where the RB hopping is symmetric to the CC center, i.e. intra-slot frequency hopping is </w:t>
      </w:r>
      <w:r>
        <w:t>enabled</w:t>
      </w:r>
      <w:r>
        <w:rPr>
          <w:lang w:eastAsia="zh-CN"/>
        </w:rPr>
        <w:t>.</w:t>
      </w:r>
    </w:p>
    <w:p w14:paraId="55E387D3" w14:textId="77777777" w:rsidR="00241417" w:rsidRDefault="00241417" w:rsidP="00241417">
      <w:pPr>
        <w:rPr>
          <w:rFonts w:eastAsia="DengXian"/>
          <w:lang w:eastAsia="zh-CN"/>
        </w:rPr>
      </w:pPr>
      <w:r>
        <w:rPr>
          <w:lang w:eastAsia="zh-CN"/>
        </w:rPr>
        <w:t xml:space="preserve">The ACK missed detection </w:t>
      </w:r>
      <w:r>
        <w:t xml:space="preserve">probability shall not exceed 1% at the SNR given in </w:t>
      </w:r>
      <w:r>
        <w:rPr>
          <w:lang w:eastAsia="zh-CN"/>
        </w:rPr>
        <w:t>t</w:t>
      </w:r>
      <w:r>
        <w:t xml:space="preserve">able </w:t>
      </w:r>
      <w:r>
        <w:rPr>
          <w:lang w:eastAsia="zh-CN"/>
        </w:rPr>
        <w:t>11</w:t>
      </w:r>
      <w:r>
        <w:t>.1.3.</w:t>
      </w:r>
      <w:r>
        <w:rPr>
          <w:lang w:eastAsia="zh-CN"/>
        </w:rPr>
        <w:t>2</w:t>
      </w:r>
      <w:r>
        <w:t>.</w:t>
      </w:r>
      <w:r>
        <w:rPr>
          <w:lang w:eastAsia="zh-CN"/>
        </w:rPr>
        <w:t>4.</w:t>
      </w:r>
      <w:r>
        <w:rPr>
          <w:rFonts w:eastAsia="SimSun"/>
          <w:lang w:eastAsia="zh-CN"/>
        </w:rPr>
        <w:t>1</w:t>
      </w:r>
      <w:r>
        <w:rPr>
          <w:lang w:eastAsia="zh-CN"/>
        </w:rPr>
        <w:t>.2</w:t>
      </w:r>
      <w:r>
        <w:t xml:space="preserve">-1 and </w:t>
      </w:r>
      <w:r>
        <w:rPr>
          <w:lang w:eastAsia="zh-CN"/>
        </w:rPr>
        <w:t>t</w:t>
      </w:r>
      <w:r>
        <w:t xml:space="preserve">able </w:t>
      </w:r>
      <w:r>
        <w:rPr>
          <w:lang w:eastAsia="zh-CN"/>
        </w:rPr>
        <w:t>11</w:t>
      </w:r>
      <w:r>
        <w:t>.1.3.</w:t>
      </w:r>
      <w:r>
        <w:rPr>
          <w:lang w:eastAsia="zh-CN"/>
        </w:rPr>
        <w:t>2</w:t>
      </w:r>
      <w:r>
        <w:t>.</w:t>
      </w:r>
      <w:r>
        <w:rPr>
          <w:lang w:eastAsia="zh-CN"/>
        </w:rPr>
        <w:t>4.</w:t>
      </w:r>
      <w:r>
        <w:rPr>
          <w:rFonts w:eastAsia="SimSun"/>
          <w:lang w:eastAsia="zh-CN"/>
        </w:rPr>
        <w:t>1</w:t>
      </w:r>
      <w:r>
        <w:rPr>
          <w:lang w:eastAsia="zh-CN"/>
        </w:rPr>
        <w:t>.2</w:t>
      </w:r>
      <w:r>
        <w:t>-2 for 4 UCI bits</w:t>
      </w:r>
      <w:r>
        <w:rPr>
          <w:lang w:eastAsia="zh-CN"/>
        </w:rPr>
        <w:t>.</w:t>
      </w:r>
    </w:p>
    <w:p w14:paraId="14DE87FD" w14:textId="77777777" w:rsidR="00241417" w:rsidRPr="00E376A5" w:rsidRDefault="00241417" w:rsidP="00241417">
      <w:pPr>
        <w:pStyle w:val="TH"/>
      </w:pPr>
      <w:r w:rsidRPr="00E376A5">
        <w:t>Table 11.1.3.2.4.1.2-1: Minimum requirements for PUCCH format 2 with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3"/>
        <w:gridCol w:w="2386"/>
        <w:gridCol w:w="3487"/>
        <w:gridCol w:w="994"/>
        <w:gridCol w:w="1081"/>
      </w:tblGrid>
      <w:tr w:rsidR="00241417" w14:paraId="6D87E709" w14:textId="77777777" w:rsidTr="003A71DE">
        <w:trPr>
          <w:trHeight w:val="59"/>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813C2B0" w14:textId="77777777" w:rsidR="00241417" w:rsidRDefault="00241417" w:rsidP="003A71DE">
            <w:pPr>
              <w:pStyle w:val="TAH"/>
              <w:rPr>
                <w:lang w:eastAsia="zh-CN"/>
              </w:rPr>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920A23E" w14:textId="77777777" w:rsidR="00241417" w:rsidRDefault="00241417" w:rsidP="003A71DE">
            <w:pPr>
              <w:pStyle w:val="TAH"/>
              <w:rPr>
                <w:lang w:eastAsia="zh-CN"/>
              </w:rPr>
            </w:pPr>
            <w:r>
              <w:rPr>
                <w:lang w:eastAsia="zh-CN"/>
              </w:rPr>
              <w:t xml:space="preserve">Number of demodulation branches </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3FD093B" w14:textId="6C2C28B8" w:rsidR="00241417" w:rsidRDefault="00241417" w:rsidP="003A71DE">
            <w:pPr>
              <w:pStyle w:val="TAH"/>
              <w:rPr>
                <w:lang w:val="fr-FR" w:eastAsia="zh-CN"/>
              </w:rPr>
            </w:pPr>
            <w:r>
              <w:rPr>
                <w:lang w:val="fr-FR"/>
              </w:rPr>
              <w:t xml:space="preserve">Propagation conditions and correlation matrix (Annex </w:t>
            </w:r>
            <w:r>
              <w:t>TBA</w:t>
            </w:r>
            <w:r>
              <w:rPr>
                <w:lang w:val="fr-FR"/>
              </w:rPr>
              <w:t>)</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D57D4B5" w14:textId="77777777" w:rsidR="00241417" w:rsidRDefault="00241417" w:rsidP="003A71DE">
            <w:pPr>
              <w:pStyle w:val="TAH"/>
            </w:pPr>
            <w:r>
              <w:t>Channel bandwidth / SNR (dB)</w:t>
            </w:r>
          </w:p>
        </w:tc>
      </w:tr>
      <w:tr w:rsidR="00241417" w14:paraId="0B5C14D7" w14:textId="77777777" w:rsidTr="003A71DE">
        <w:trPr>
          <w:trHeight w:val="4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1B748D2"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716034"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B848267" w14:textId="77777777" w:rsidR="00241417" w:rsidRDefault="00241417" w:rsidP="003A71DE">
            <w:pPr>
              <w:pStyle w:val="TAH"/>
              <w:rPr>
                <w:lang w:val="fr-FR"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58BAF9E" w14:textId="77777777" w:rsidR="00241417" w:rsidRDefault="00241417" w:rsidP="003A71DE">
            <w:pPr>
              <w:pStyle w:val="TAH"/>
            </w:pPr>
            <w:r>
              <w:t>5</w:t>
            </w:r>
            <w:r>
              <w:rPr>
                <w:lang w:eastAsia="zh-CN"/>
              </w:rPr>
              <w:t>0</w:t>
            </w:r>
            <w:r>
              <w:t xml:space="preserve">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7ADD0029" w14:textId="77777777" w:rsidR="00241417" w:rsidRDefault="00241417" w:rsidP="003A71DE">
            <w:pPr>
              <w:pStyle w:val="TAH"/>
              <w:rPr>
                <w:rFonts w:eastAsia="DengXian"/>
                <w:lang w:eastAsia="zh-CN"/>
              </w:rPr>
            </w:pPr>
            <w:r>
              <w:t>10</w:t>
            </w:r>
            <w:r>
              <w:rPr>
                <w:lang w:eastAsia="zh-CN"/>
              </w:rPr>
              <w:t>0</w:t>
            </w:r>
            <w:r>
              <w:t xml:space="preserve"> MHz</w:t>
            </w:r>
          </w:p>
        </w:tc>
      </w:tr>
      <w:tr w:rsidR="00241417" w:rsidRPr="00E376A5" w14:paraId="027005E1" w14:textId="77777777" w:rsidTr="003A71DE">
        <w:trPr>
          <w:trHeight w:val="11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6983DF7" w14:textId="77777777" w:rsidR="00241417" w:rsidRPr="00E376A5" w:rsidRDefault="00241417" w:rsidP="003A71DE">
            <w:pPr>
              <w:pStyle w:val="TAC"/>
            </w:pPr>
            <w:r w:rsidRPr="00E376A5">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798E1FF8" w14:textId="77777777" w:rsidR="00241417" w:rsidRPr="00E376A5" w:rsidRDefault="00241417" w:rsidP="003A71DE">
            <w:pPr>
              <w:pStyle w:val="TAC"/>
            </w:pPr>
            <w:r w:rsidRPr="00E376A5">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5C6D54DE" w14:textId="77777777" w:rsidR="00241417" w:rsidRPr="00E376A5" w:rsidRDefault="00241417" w:rsidP="003A71DE">
            <w:pPr>
              <w:pStyle w:val="TAC"/>
            </w:pPr>
            <w:r w:rsidRPr="00E376A5">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695DB884" w14:textId="77777777" w:rsidR="00241417" w:rsidRPr="00E376A5" w:rsidRDefault="00241417" w:rsidP="003A71DE">
            <w:pPr>
              <w:pStyle w:val="TAC"/>
            </w:pPr>
            <w:r w:rsidRPr="00E376A5">
              <w:t>6.7</w:t>
            </w:r>
          </w:p>
        </w:tc>
        <w:tc>
          <w:tcPr>
            <w:tcW w:w="0" w:type="auto"/>
            <w:tcBorders>
              <w:top w:val="single" w:sz="4" w:space="0" w:color="auto"/>
              <w:left w:val="single" w:sz="4" w:space="0" w:color="auto"/>
              <w:bottom w:val="single" w:sz="4" w:space="0" w:color="auto"/>
              <w:right w:val="single" w:sz="4" w:space="0" w:color="auto"/>
            </w:tcBorders>
            <w:vAlign w:val="center"/>
            <w:hideMark/>
          </w:tcPr>
          <w:p w14:paraId="4B7C810F" w14:textId="77777777" w:rsidR="00241417" w:rsidRPr="00E376A5" w:rsidRDefault="00241417" w:rsidP="003A71DE">
            <w:pPr>
              <w:pStyle w:val="TAC"/>
            </w:pPr>
            <w:r w:rsidRPr="00E376A5">
              <w:t>7.2</w:t>
            </w:r>
          </w:p>
        </w:tc>
      </w:tr>
    </w:tbl>
    <w:p w14:paraId="1E9E2BA8" w14:textId="77777777" w:rsidR="00241417" w:rsidRDefault="00241417" w:rsidP="00241417"/>
    <w:p w14:paraId="34FD983D" w14:textId="77777777" w:rsidR="00241417" w:rsidRPr="00E376A5" w:rsidRDefault="00241417" w:rsidP="00241417">
      <w:pPr>
        <w:pStyle w:val="TH"/>
      </w:pPr>
      <w:r w:rsidRPr="00E376A5">
        <w:t>Table 11.1.3.2.4.1.2-2: Minimum requirements for PUCCH format 2 with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3"/>
        <w:gridCol w:w="2327"/>
        <w:gridCol w:w="3356"/>
        <w:gridCol w:w="733"/>
        <w:gridCol w:w="786"/>
        <w:gridCol w:w="786"/>
      </w:tblGrid>
      <w:tr w:rsidR="00241417" w14:paraId="654EB16A" w14:textId="77777777" w:rsidTr="003A71DE">
        <w:trPr>
          <w:trHeight w:val="137"/>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FC61C38" w14:textId="77777777" w:rsidR="00241417" w:rsidRDefault="00241417" w:rsidP="003A71DE">
            <w:pPr>
              <w:pStyle w:val="TAH"/>
              <w:rPr>
                <w:lang w:eastAsia="zh-CN"/>
              </w:rPr>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E359C28" w14:textId="77777777" w:rsidR="00241417" w:rsidRDefault="00241417" w:rsidP="003A71DE">
            <w:pPr>
              <w:pStyle w:val="TAH"/>
              <w:rPr>
                <w:lang w:eastAsia="zh-CN"/>
              </w:rPr>
            </w:pPr>
            <w:r>
              <w:rPr>
                <w:lang w:eastAsia="zh-CN"/>
              </w:rP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9B4A8A3" w14:textId="75230311" w:rsidR="00241417" w:rsidRDefault="00241417" w:rsidP="003A71DE">
            <w:pPr>
              <w:pStyle w:val="TAH"/>
              <w:rPr>
                <w:lang w:val="fr-FR"/>
              </w:rPr>
            </w:pPr>
            <w:r>
              <w:rPr>
                <w:lang w:val="fr-FR"/>
              </w:rPr>
              <w:t xml:space="preserve">Propagation conditions and correlation matrix (Annex </w:t>
            </w:r>
            <w:r>
              <w:t>TBA</w:t>
            </w:r>
            <w:r>
              <w:rPr>
                <w:lang w:val="fr-FR"/>
              </w:rPr>
              <w:t>)</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42B643AA" w14:textId="77777777" w:rsidR="00241417" w:rsidRDefault="00241417" w:rsidP="003A71DE">
            <w:pPr>
              <w:pStyle w:val="TAH"/>
            </w:pPr>
            <w:r>
              <w:t>Channel bandwidth / SNR (dB)</w:t>
            </w:r>
          </w:p>
        </w:tc>
      </w:tr>
      <w:tr w:rsidR="00241417" w14:paraId="6F682B3C" w14:textId="77777777" w:rsidTr="003A71DE">
        <w:trPr>
          <w:trHeight w:val="9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F9157D"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BA180D"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A399B0A" w14:textId="77777777" w:rsidR="00241417" w:rsidRDefault="00241417" w:rsidP="003A71DE">
            <w:pPr>
              <w:pStyle w:val="TAH"/>
              <w:rPr>
                <w:lang w:val="fr-FR"/>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EFDB343" w14:textId="77777777" w:rsidR="00241417" w:rsidRDefault="00241417" w:rsidP="003A71DE">
            <w:pPr>
              <w:pStyle w:val="TAH"/>
              <w:rPr>
                <w:rFonts w:eastAsia="DengXian"/>
                <w:lang w:eastAsia="zh-CN"/>
              </w:rPr>
            </w:pPr>
            <w:r>
              <w:rPr>
                <w:lang w:eastAsia="zh-CN"/>
              </w:rP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75D2E901" w14:textId="77777777" w:rsidR="00241417" w:rsidRDefault="00241417" w:rsidP="003A71DE">
            <w:pPr>
              <w:pStyle w:val="TAH"/>
              <w:rPr>
                <w:lang w:eastAsia="zh-CN"/>
              </w:rPr>
            </w:pPr>
            <w:r>
              <w:rPr>
                <w:lang w:eastAsia="zh-CN"/>
              </w:rPr>
              <w:t>10</w:t>
            </w:r>
            <w:r>
              <w:t>0</w:t>
            </w:r>
            <w:r>
              <w:rPr>
                <w:lang w:eastAsia="zh-CN"/>
              </w:rPr>
              <w:t xml:space="preserve">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3741B922" w14:textId="77777777" w:rsidR="00241417" w:rsidRDefault="00241417" w:rsidP="003A71DE">
            <w:pPr>
              <w:pStyle w:val="TAH"/>
              <w:rPr>
                <w:rFonts w:eastAsia="DengXian"/>
                <w:lang w:eastAsia="zh-CN"/>
              </w:rPr>
            </w:pPr>
            <w:r>
              <w:rPr>
                <w:lang w:eastAsia="zh-CN"/>
              </w:rPr>
              <w:t>20</w:t>
            </w:r>
            <w:r>
              <w:t>0</w:t>
            </w:r>
            <w:r>
              <w:rPr>
                <w:lang w:eastAsia="zh-CN"/>
              </w:rPr>
              <w:t xml:space="preserve"> MHz</w:t>
            </w:r>
          </w:p>
        </w:tc>
      </w:tr>
      <w:tr w:rsidR="00241417" w:rsidRPr="00E376A5" w14:paraId="6861FD45" w14:textId="77777777" w:rsidTr="003A71DE">
        <w:trPr>
          <w:trHeight w:val="256"/>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A4F8D7E" w14:textId="77777777" w:rsidR="00241417" w:rsidRPr="00E376A5" w:rsidRDefault="00241417" w:rsidP="003A71DE">
            <w:pPr>
              <w:pStyle w:val="TAC"/>
            </w:pPr>
            <w:r w:rsidRPr="00E376A5">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28F3D572" w14:textId="77777777" w:rsidR="00241417" w:rsidRPr="00E376A5" w:rsidRDefault="00241417" w:rsidP="003A71DE">
            <w:pPr>
              <w:pStyle w:val="TAC"/>
            </w:pPr>
            <w:r w:rsidRPr="00E376A5">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2D503282" w14:textId="77777777" w:rsidR="00241417" w:rsidRPr="00E376A5" w:rsidRDefault="00241417" w:rsidP="003A71DE">
            <w:pPr>
              <w:pStyle w:val="TAC"/>
            </w:pPr>
            <w:r w:rsidRPr="00E376A5">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78AE72A0" w14:textId="77777777" w:rsidR="00241417" w:rsidRPr="00E376A5" w:rsidRDefault="00241417" w:rsidP="003A71DE">
            <w:pPr>
              <w:pStyle w:val="TAC"/>
            </w:pPr>
            <w:r w:rsidRPr="00E376A5">
              <w:t>6.6</w:t>
            </w:r>
          </w:p>
        </w:tc>
        <w:tc>
          <w:tcPr>
            <w:tcW w:w="0" w:type="auto"/>
            <w:tcBorders>
              <w:top w:val="single" w:sz="4" w:space="0" w:color="auto"/>
              <w:left w:val="single" w:sz="4" w:space="0" w:color="auto"/>
              <w:bottom w:val="single" w:sz="4" w:space="0" w:color="auto"/>
              <w:right w:val="single" w:sz="4" w:space="0" w:color="auto"/>
            </w:tcBorders>
            <w:vAlign w:val="center"/>
            <w:hideMark/>
          </w:tcPr>
          <w:p w14:paraId="57705651" w14:textId="77777777" w:rsidR="00241417" w:rsidRPr="00E376A5" w:rsidRDefault="00241417" w:rsidP="003A71DE">
            <w:pPr>
              <w:pStyle w:val="TAC"/>
            </w:pPr>
            <w:r w:rsidRPr="00E376A5">
              <w:t>6.3</w:t>
            </w:r>
          </w:p>
        </w:tc>
        <w:tc>
          <w:tcPr>
            <w:tcW w:w="0" w:type="auto"/>
            <w:tcBorders>
              <w:top w:val="single" w:sz="4" w:space="0" w:color="auto"/>
              <w:left w:val="single" w:sz="4" w:space="0" w:color="auto"/>
              <w:bottom w:val="single" w:sz="4" w:space="0" w:color="auto"/>
              <w:right w:val="single" w:sz="4" w:space="0" w:color="auto"/>
            </w:tcBorders>
            <w:vAlign w:val="center"/>
            <w:hideMark/>
          </w:tcPr>
          <w:p w14:paraId="0BAC3460" w14:textId="77777777" w:rsidR="00241417" w:rsidRPr="00E376A5" w:rsidRDefault="00241417" w:rsidP="003A71DE">
            <w:pPr>
              <w:pStyle w:val="TAC"/>
            </w:pPr>
            <w:r w:rsidRPr="00E376A5">
              <w:t>6.6</w:t>
            </w:r>
          </w:p>
        </w:tc>
      </w:tr>
    </w:tbl>
    <w:p w14:paraId="123E3B54" w14:textId="77777777" w:rsidR="00241417" w:rsidRDefault="00241417" w:rsidP="00241417">
      <w:pPr>
        <w:rPr>
          <w:lang w:eastAsia="zh-CN"/>
        </w:rPr>
      </w:pPr>
    </w:p>
    <w:p w14:paraId="7876B145" w14:textId="77777777" w:rsidR="00241417" w:rsidRDefault="00241417" w:rsidP="00241417">
      <w:pPr>
        <w:pStyle w:val="H6"/>
        <w:rPr>
          <w:rFonts w:eastAsia="DengXian"/>
          <w:lang w:eastAsia="zh-CN"/>
        </w:rPr>
      </w:pPr>
      <w:bookmarkStart w:id="7690" w:name="_Toc67916562"/>
      <w:bookmarkStart w:id="7691" w:name="_Toc61176739"/>
      <w:bookmarkStart w:id="7692" w:name="_Toc53178105"/>
      <w:bookmarkStart w:id="7693" w:name="_Toc53177653"/>
      <w:bookmarkStart w:id="7694" w:name="_Toc37268839"/>
      <w:bookmarkStart w:id="7695" w:name="_Toc37268388"/>
      <w:bookmarkStart w:id="7696" w:name="_Toc29811433"/>
      <w:bookmarkStart w:id="7697" w:name="_Toc13079944"/>
      <w:r>
        <w:t>11.1.</w:t>
      </w:r>
      <w:r>
        <w:rPr>
          <w:lang w:eastAsia="zh-CN"/>
        </w:rPr>
        <w:t>3</w:t>
      </w:r>
      <w:r>
        <w:t>.2.</w:t>
      </w:r>
      <w:r>
        <w:rPr>
          <w:lang w:eastAsia="zh-CN"/>
        </w:rPr>
        <w:t>4</w:t>
      </w:r>
      <w:r>
        <w:t>.</w:t>
      </w:r>
      <w:r>
        <w:rPr>
          <w:lang w:eastAsia="zh-CN"/>
        </w:rPr>
        <w:t>2</w:t>
      </w:r>
      <w:r>
        <w:tab/>
      </w:r>
      <w:r>
        <w:rPr>
          <w:lang w:eastAsia="zh-CN"/>
        </w:rPr>
        <w:t>UCI BLER performance requirements</w:t>
      </w:r>
      <w:bookmarkEnd w:id="7690"/>
      <w:bookmarkEnd w:id="7691"/>
      <w:bookmarkEnd w:id="7692"/>
      <w:bookmarkEnd w:id="7693"/>
      <w:bookmarkEnd w:id="7694"/>
      <w:bookmarkEnd w:id="7695"/>
      <w:bookmarkEnd w:id="7696"/>
      <w:bookmarkEnd w:id="7697"/>
    </w:p>
    <w:p w14:paraId="7C7BA743" w14:textId="77777777" w:rsidR="00241417" w:rsidRDefault="00241417" w:rsidP="00241417">
      <w:pPr>
        <w:pStyle w:val="H6"/>
        <w:rPr>
          <w:rFonts w:eastAsia="DengXian"/>
          <w:lang w:eastAsia="zh-CN"/>
        </w:rPr>
      </w:pPr>
      <w:bookmarkStart w:id="7698" w:name="_Toc67916563"/>
      <w:bookmarkStart w:id="7699" w:name="_Toc61176740"/>
      <w:bookmarkStart w:id="7700" w:name="_Toc53178106"/>
      <w:bookmarkStart w:id="7701" w:name="_Toc53177654"/>
      <w:bookmarkStart w:id="7702" w:name="_Toc37268840"/>
      <w:bookmarkStart w:id="7703" w:name="_Toc37268389"/>
      <w:bookmarkStart w:id="7704" w:name="_Toc29811434"/>
      <w:bookmarkStart w:id="7705" w:name="_Toc13079945"/>
      <w:r>
        <w:t>11.1.</w:t>
      </w:r>
      <w:r>
        <w:rPr>
          <w:lang w:eastAsia="zh-CN"/>
        </w:rPr>
        <w:t>3</w:t>
      </w:r>
      <w:r>
        <w:t>.2.</w:t>
      </w:r>
      <w:r>
        <w:rPr>
          <w:lang w:eastAsia="zh-CN"/>
        </w:rPr>
        <w:t>4</w:t>
      </w:r>
      <w:r>
        <w:t>.</w:t>
      </w:r>
      <w:r>
        <w:rPr>
          <w:lang w:eastAsia="zh-CN"/>
        </w:rPr>
        <w:t>2.1</w:t>
      </w:r>
      <w:r>
        <w:tab/>
      </w:r>
      <w:r>
        <w:rPr>
          <w:lang w:eastAsia="zh-CN"/>
        </w:rPr>
        <w:t>General</w:t>
      </w:r>
      <w:bookmarkEnd w:id="7698"/>
      <w:bookmarkEnd w:id="7699"/>
      <w:bookmarkEnd w:id="7700"/>
      <w:bookmarkEnd w:id="7701"/>
      <w:bookmarkEnd w:id="7702"/>
      <w:bookmarkEnd w:id="7703"/>
      <w:bookmarkEnd w:id="7704"/>
      <w:bookmarkEnd w:id="7705"/>
    </w:p>
    <w:p w14:paraId="2ECCB7A4" w14:textId="77777777" w:rsidR="00241417" w:rsidRDefault="00241417" w:rsidP="00241417">
      <w:pPr>
        <w:rPr>
          <w:lang w:eastAsia="zh-CN"/>
        </w:rPr>
      </w:pPr>
      <w:r>
        <w:rPr>
          <w:lang w:eastAsia="zh-CN"/>
        </w:rPr>
        <w:t>The UCI block error probability</w:t>
      </w:r>
      <w:r>
        <w:rPr>
          <w:rFonts w:eastAsia="SimSun"/>
          <w:lang w:eastAsia="zh-CN"/>
        </w:rPr>
        <w:t xml:space="preserve"> (BLER)</w:t>
      </w:r>
      <w:r>
        <w:rPr>
          <w:lang w:eastAsia="zh-CN"/>
        </w:rPr>
        <w:t xml:space="preserve"> is defined as the probability of incorrectly </w:t>
      </w:r>
      <w:r w:rsidRPr="00F55971">
        <w:rPr>
          <w:lang w:eastAsia="zh-CN"/>
        </w:rPr>
        <w:t>decod</w:t>
      </w:r>
      <w:r w:rsidRPr="00C83B6D">
        <w:rPr>
          <w:lang w:eastAsia="zh-CN"/>
        </w:rPr>
        <w:t>ed</w:t>
      </w:r>
      <w:r>
        <w:rPr>
          <w:lang w:eastAsia="zh-CN"/>
        </w:rPr>
        <w:t xml:space="preserve"> UCI information when the UCI information is sent.</w:t>
      </w:r>
      <w:r>
        <w:rPr>
          <w:rFonts w:eastAsia="DengXian"/>
          <w:lang w:eastAsia="zh-CN"/>
        </w:rPr>
        <w:t xml:space="preserve"> The UCI information does not contain CSI part 2.</w:t>
      </w:r>
      <w:r>
        <w:rPr>
          <w:lang w:eastAsia="zh-CN"/>
        </w:rPr>
        <w:t xml:space="preserve"> </w:t>
      </w:r>
    </w:p>
    <w:p w14:paraId="7EADE39E" w14:textId="77777777" w:rsidR="00241417" w:rsidRDefault="00241417" w:rsidP="00241417">
      <w:pPr>
        <w:rPr>
          <w:lang w:eastAsia="zh-CN"/>
        </w:rPr>
      </w:pPr>
      <w:r>
        <w:rPr>
          <w:lang w:eastAsia="zh-CN"/>
        </w:rPr>
        <w:t xml:space="preserve">The transient period as specified </w:t>
      </w:r>
      <w:r w:rsidRPr="008C1F2E">
        <w:rPr>
          <w:lang w:eastAsia="zh-CN"/>
        </w:rPr>
        <w:t xml:space="preserve">in TBA and TBA clause </w:t>
      </w:r>
      <w:r w:rsidRPr="008C1F2E">
        <w:t>6.3.3.</w:t>
      </w:r>
      <w:r>
        <w:t xml:space="preserve">1 </w:t>
      </w:r>
      <w:r>
        <w:rPr>
          <w:lang w:eastAsia="zh-CN"/>
        </w:rPr>
        <w:t>is not taken into account for performance requirement testing, where the RB hopping is symmetric to the CC centre, i.e. intra-slot frequency hopping is enabled.</w:t>
      </w:r>
    </w:p>
    <w:p w14:paraId="70022AD1" w14:textId="77777777" w:rsidR="00241417" w:rsidRDefault="00241417" w:rsidP="00241417">
      <w:pPr>
        <w:rPr>
          <w:rFonts w:eastAsia="DengXian"/>
          <w:lang w:eastAsia="zh-CN"/>
        </w:rPr>
      </w:pPr>
      <w:r>
        <w:rPr>
          <w:rFonts w:eastAsia="DengXian"/>
          <w:lang w:eastAsia="zh-CN"/>
        </w:rPr>
        <w:t>The UCI performance only applies to the PUCCH format 2 with 22 UCI bits.</w:t>
      </w:r>
    </w:p>
    <w:p w14:paraId="1E318F09" w14:textId="77777777" w:rsidR="00241417" w:rsidRPr="00E376A5" w:rsidRDefault="00241417" w:rsidP="00241417">
      <w:pPr>
        <w:pStyle w:val="TH"/>
      </w:pPr>
      <w:r w:rsidRPr="00E376A5">
        <w:t>Table 11.1.3.2.4.2.1-1: Test Parameters</w:t>
      </w:r>
      <w:r>
        <w:t xml:space="preserve"> for UCI BLER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3808"/>
      </w:tblGrid>
      <w:tr w:rsidR="00241417" w:rsidRPr="00E376A5" w14:paraId="5A13047F"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E491087" w14:textId="77777777" w:rsidR="00241417" w:rsidRPr="00E376A5" w:rsidRDefault="00241417" w:rsidP="003A71DE">
            <w:pPr>
              <w:pStyle w:val="TAH"/>
            </w:pPr>
            <w:r w:rsidRPr="00E376A5">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040BF718" w14:textId="77777777" w:rsidR="00241417" w:rsidRPr="00E376A5" w:rsidRDefault="00241417" w:rsidP="003A71DE">
            <w:pPr>
              <w:pStyle w:val="TAH"/>
            </w:pPr>
            <w:r w:rsidRPr="00E376A5">
              <w:t>Value</w:t>
            </w:r>
          </w:p>
        </w:tc>
      </w:tr>
      <w:tr w:rsidR="00241417" w:rsidRPr="00525D63" w14:paraId="45A62847"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6A05F7E" w14:textId="77777777" w:rsidR="00241417" w:rsidRPr="00525D63" w:rsidRDefault="00241417" w:rsidP="003A71DE">
            <w:pPr>
              <w:pStyle w:val="TAC"/>
            </w:pPr>
            <w:r>
              <w:t>Cyclic prefix</w:t>
            </w:r>
          </w:p>
        </w:tc>
        <w:tc>
          <w:tcPr>
            <w:tcW w:w="0" w:type="auto"/>
            <w:tcBorders>
              <w:top w:val="single" w:sz="4" w:space="0" w:color="auto"/>
              <w:left w:val="single" w:sz="4" w:space="0" w:color="auto"/>
              <w:bottom w:val="single" w:sz="4" w:space="0" w:color="auto"/>
              <w:right w:val="single" w:sz="4" w:space="0" w:color="auto"/>
            </w:tcBorders>
            <w:vAlign w:val="center"/>
          </w:tcPr>
          <w:p w14:paraId="717C3911" w14:textId="77777777" w:rsidR="00241417" w:rsidRPr="00525D63" w:rsidRDefault="00241417" w:rsidP="003A71DE">
            <w:pPr>
              <w:pStyle w:val="TAC"/>
            </w:pPr>
            <w:r>
              <w:t>Normal</w:t>
            </w:r>
          </w:p>
        </w:tc>
      </w:tr>
      <w:tr w:rsidR="00241417" w:rsidRPr="00525D63" w14:paraId="33965692"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264033D" w14:textId="77777777" w:rsidR="00241417" w:rsidRPr="00525D63" w:rsidRDefault="00241417" w:rsidP="003A71DE">
            <w:pPr>
              <w:pStyle w:val="TAC"/>
            </w:pPr>
            <w:r w:rsidRPr="00525D63">
              <w:t>Modulation order</w:t>
            </w:r>
          </w:p>
        </w:tc>
        <w:tc>
          <w:tcPr>
            <w:tcW w:w="0" w:type="auto"/>
            <w:tcBorders>
              <w:top w:val="single" w:sz="4" w:space="0" w:color="auto"/>
              <w:left w:val="single" w:sz="4" w:space="0" w:color="auto"/>
              <w:bottom w:val="single" w:sz="4" w:space="0" w:color="auto"/>
              <w:right w:val="single" w:sz="4" w:space="0" w:color="auto"/>
            </w:tcBorders>
            <w:vAlign w:val="center"/>
            <w:hideMark/>
          </w:tcPr>
          <w:p w14:paraId="21DCEDAA" w14:textId="77777777" w:rsidR="00241417" w:rsidRPr="00525D63" w:rsidRDefault="00241417" w:rsidP="003A71DE">
            <w:pPr>
              <w:pStyle w:val="TAC"/>
            </w:pPr>
            <w:r w:rsidRPr="00525D63">
              <w:t>QSPK</w:t>
            </w:r>
          </w:p>
        </w:tc>
      </w:tr>
      <w:tr w:rsidR="00241417" w:rsidRPr="00525D63" w14:paraId="416BC6FA"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983E147" w14:textId="77777777" w:rsidR="00241417" w:rsidRPr="00525D63" w:rsidRDefault="00241417" w:rsidP="003A71DE">
            <w:pPr>
              <w:pStyle w:val="TAC"/>
            </w:pPr>
            <w:r w:rsidRPr="00525D63">
              <w:t>First PRB prior to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43662A26" w14:textId="77777777" w:rsidR="00241417" w:rsidRPr="00525D63" w:rsidRDefault="00241417" w:rsidP="003A71DE">
            <w:pPr>
              <w:pStyle w:val="TAC"/>
            </w:pPr>
            <w:r w:rsidRPr="00525D63">
              <w:t>0</w:t>
            </w:r>
          </w:p>
        </w:tc>
      </w:tr>
      <w:tr w:rsidR="00241417" w:rsidRPr="00525D63" w14:paraId="6B6845C6"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EBD301F" w14:textId="77777777" w:rsidR="00241417" w:rsidRPr="00525D63" w:rsidRDefault="00241417" w:rsidP="003A71DE">
            <w:pPr>
              <w:pStyle w:val="TAC"/>
            </w:pPr>
            <w:r w:rsidRPr="00525D63">
              <w:t>Intra-slot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1AEC0428" w14:textId="77777777" w:rsidR="00241417" w:rsidRPr="00525D63" w:rsidRDefault="00241417" w:rsidP="003A71DE">
            <w:pPr>
              <w:pStyle w:val="TAC"/>
            </w:pPr>
            <w:r w:rsidRPr="00525D63">
              <w:t>enabled</w:t>
            </w:r>
          </w:p>
        </w:tc>
      </w:tr>
      <w:tr w:rsidR="00241417" w:rsidRPr="00525D63" w14:paraId="2EF81F5B"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A49B591" w14:textId="77777777" w:rsidR="00241417" w:rsidRPr="00525D63" w:rsidRDefault="00241417" w:rsidP="003A71DE">
            <w:pPr>
              <w:pStyle w:val="TAC"/>
            </w:pPr>
            <w:r w:rsidRPr="00525D63">
              <w:t>First PRB after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18C7403D" w14:textId="77777777" w:rsidR="00241417" w:rsidRPr="00525D63" w:rsidRDefault="00241417" w:rsidP="003A71DE">
            <w:pPr>
              <w:pStyle w:val="TAC"/>
            </w:pPr>
            <w:r w:rsidRPr="00525D63">
              <w:t>The largest PRB index - (Number of PRBs-1)</w:t>
            </w:r>
          </w:p>
        </w:tc>
      </w:tr>
      <w:tr w:rsidR="00241417" w:rsidRPr="00525D63" w14:paraId="068A4EAC"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FD7AC90" w14:textId="77777777" w:rsidR="00241417" w:rsidRPr="00525D63" w:rsidRDefault="00241417" w:rsidP="003A71DE">
            <w:pPr>
              <w:pStyle w:val="TAC"/>
            </w:pPr>
            <w:r w:rsidRPr="00525D63">
              <w:t>Number of PRBs</w:t>
            </w:r>
          </w:p>
        </w:tc>
        <w:tc>
          <w:tcPr>
            <w:tcW w:w="0" w:type="auto"/>
            <w:tcBorders>
              <w:top w:val="single" w:sz="4" w:space="0" w:color="auto"/>
              <w:left w:val="single" w:sz="4" w:space="0" w:color="auto"/>
              <w:bottom w:val="single" w:sz="4" w:space="0" w:color="auto"/>
              <w:right w:val="single" w:sz="4" w:space="0" w:color="auto"/>
            </w:tcBorders>
            <w:vAlign w:val="center"/>
            <w:hideMark/>
          </w:tcPr>
          <w:p w14:paraId="10040D99" w14:textId="77777777" w:rsidR="00241417" w:rsidRPr="00525D63" w:rsidRDefault="00241417" w:rsidP="003A71DE">
            <w:pPr>
              <w:pStyle w:val="TAC"/>
            </w:pPr>
            <w:r w:rsidRPr="00525D63">
              <w:t>9</w:t>
            </w:r>
          </w:p>
        </w:tc>
      </w:tr>
      <w:tr w:rsidR="00241417" w:rsidRPr="00525D63" w14:paraId="064A1714"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2F8D6C8" w14:textId="77777777" w:rsidR="00241417" w:rsidRPr="00525D63" w:rsidRDefault="00241417" w:rsidP="003A71DE">
            <w:pPr>
              <w:pStyle w:val="TAC"/>
            </w:pPr>
            <w:r w:rsidRPr="00525D63">
              <w:t>Number of symbols</w:t>
            </w:r>
          </w:p>
        </w:tc>
        <w:tc>
          <w:tcPr>
            <w:tcW w:w="0" w:type="auto"/>
            <w:tcBorders>
              <w:top w:val="single" w:sz="4" w:space="0" w:color="auto"/>
              <w:left w:val="single" w:sz="4" w:space="0" w:color="auto"/>
              <w:bottom w:val="single" w:sz="4" w:space="0" w:color="auto"/>
              <w:right w:val="single" w:sz="4" w:space="0" w:color="auto"/>
            </w:tcBorders>
            <w:vAlign w:val="center"/>
            <w:hideMark/>
          </w:tcPr>
          <w:p w14:paraId="1F547646" w14:textId="77777777" w:rsidR="00241417" w:rsidRPr="00525D63" w:rsidRDefault="00241417" w:rsidP="003A71DE">
            <w:pPr>
              <w:pStyle w:val="TAC"/>
            </w:pPr>
            <w:r w:rsidRPr="00525D63">
              <w:t>2</w:t>
            </w:r>
          </w:p>
        </w:tc>
      </w:tr>
      <w:tr w:rsidR="00241417" w:rsidRPr="00525D63" w14:paraId="206BE8AB"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36414DC" w14:textId="77777777" w:rsidR="00241417" w:rsidRPr="00525D63" w:rsidRDefault="00241417" w:rsidP="003A71DE">
            <w:pPr>
              <w:pStyle w:val="TAC"/>
            </w:pPr>
            <w:r w:rsidRPr="00525D63">
              <w:t>The number of UCI information bits</w:t>
            </w:r>
          </w:p>
        </w:tc>
        <w:tc>
          <w:tcPr>
            <w:tcW w:w="0" w:type="auto"/>
            <w:tcBorders>
              <w:top w:val="single" w:sz="4" w:space="0" w:color="auto"/>
              <w:left w:val="single" w:sz="4" w:space="0" w:color="auto"/>
              <w:bottom w:val="single" w:sz="4" w:space="0" w:color="auto"/>
              <w:right w:val="single" w:sz="4" w:space="0" w:color="auto"/>
            </w:tcBorders>
            <w:vAlign w:val="center"/>
            <w:hideMark/>
          </w:tcPr>
          <w:p w14:paraId="1181176A" w14:textId="77777777" w:rsidR="00241417" w:rsidRPr="00525D63" w:rsidRDefault="00241417" w:rsidP="003A71DE">
            <w:pPr>
              <w:pStyle w:val="TAC"/>
            </w:pPr>
            <w:r w:rsidRPr="00525D63">
              <w:t>22</w:t>
            </w:r>
          </w:p>
        </w:tc>
      </w:tr>
      <w:tr w:rsidR="00241417" w:rsidRPr="00525D63" w14:paraId="4E2B0A04"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6C9B392" w14:textId="77777777" w:rsidR="00241417" w:rsidRPr="00525D63" w:rsidRDefault="00241417" w:rsidP="003A71DE">
            <w:pPr>
              <w:pStyle w:val="TAC"/>
            </w:pPr>
            <w:r w:rsidRPr="00525D63">
              <w:t>First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62FAE4DE" w14:textId="77777777" w:rsidR="00241417" w:rsidRPr="00525D63" w:rsidRDefault="00241417" w:rsidP="003A71DE">
            <w:pPr>
              <w:pStyle w:val="TAC"/>
            </w:pPr>
            <w:r w:rsidRPr="00525D63">
              <w:t>12</w:t>
            </w:r>
          </w:p>
        </w:tc>
      </w:tr>
      <w:tr w:rsidR="00241417" w:rsidRPr="00525D63" w14:paraId="2F16FFB6"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42C0E79" w14:textId="77777777" w:rsidR="00241417" w:rsidRPr="00525D63" w:rsidRDefault="00241417" w:rsidP="003A71DE">
            <w:pPr>
              <w:pStyle w:val="TAC"/>
            </w:pPr>
            <w:r w:rsidRPr="00525D63">
              <w:t>DM-RS sequence generation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09341BB1" w14:textId="77777777" w:rsidR="00241417" w:rsidRPr="00525D63" w:rsidRDefault="00241417" w:rsidP="003A71DE">
            <w:pPr>
              <w:pStyle w:val="TAC"/>
            </w:pPr>
            <w:r w:rsidRPr="00525D63">
              <w:t>NID0=0</w:t>
            </w:r>
          </w:p>
        </w:tc>
      </w:tr>
    </w:tbl>
    <w:p w14:paraId="205CBB9E" w14:textId="77777777" w:rsidR="00241417" w:rsidRDefault="00241417" w:rsidP="00241417">
      <w:pPr>
        <w:rPr>
          <w:lang w:eastAsia="zh-CN"/>
        </w:rPr>
      </w:pPr>
    </w:p>
    <w:p w14:paraId="20964F5A" w14:textId="77777777" w:rsidR="00241417" w:rsidRDefault="00241417" w:rsidP="00241417">
      <w:pPr>
        <w:pStyle w:val="H6"/>
        <w:rPr>
          <w:rFonts w:eastAsia="DengXian"/>
          <w:lang w:eastAsia="zh-CN"/>
        </w:rPr>
      </w:pPr>
      <w:bookmarkStart w:id="7706" w:name="_Toc67916564"/>
      <w:bookmarkStart w:id="7707" w:name="_Toc61176741"/>
      <w:bookmarkStart w:id="7708" w:name="_Toc53178107"/>
      <w:bookmarkStart w:id="7709" w:name="_Toc53177655"/>
      <w:bookmarkStart w:id="7710" w:name="_Toc37268841"/>
      <w:bookmarkStart w:id="7711" w:name="_Toc37268390"/>
      <w:bookmarkStart w:id="7712" w:name="_Toc29811435"/>
      <w:bookmarkStart w:id="7713" w:name="_Toc13079946"/>
      <w:r>
        <w:t>11.1.</w:t>
      </w:r>
      <w:r>
        <w:rPr>
          <w:lang w:eastAsia="zh-CN"/>
        </w:rPr>
        <w:t>3</w:t>
      </w:r>
      <w:r>
        <w:t>.2.</w:t>
      </w:r>
      <w:r>
        <w:rPr>
          <w:lang w:eastAsia="zh-CN"/>
        </w:rPr>
        <w:t>4</w:t>
      </w:r>
      <w:r>
        <w:t>.</w:t>
      </w:r>
      <w:r>
        <w:rPr>
          <w:lang w:eastAsia="zh-CN"/>
        </w:rPr>
        <w:t>2.2</w:t>
      </w:r>
      <w:r>
        <w:tab/>
      </w:r>
      <w:r>
        <w:rPr>
          <w:lang w:eastAsia="zh-CN"/>
        </w:rPr>
        <w:t>Minimum requirements</w:t>
      </w:r>
      <w:bookmarkEnd w:id="7706"/>
      <w:bookmarkEnd w:id="7707"/>
      <w:bookmarkEnd w:id="7708"/>
      <w:bookmarkEnd w:id="7709"/>
      <w:bookmarkEnd w:id="7710"/>
      <w:bookmarkEnd w:id="7711"/>
      <w:bookmarkEnd w:id="7712"/>
      <w:bookmarkEnd w:id="7713"/>
    </w:p>
    <w:p w14:paraId="416EF6F4" w14:textId="77777777" w:rsidR="00241417" w:rsidRDefault="00241417" w:rsidP="00241417">
      <w:pPr>
        <w:rPr>
          <w:rFonts w:eastAsia="DengXian"/>
          <w:lang w:eastAsia="zh-CN"/>
        </w:rPr>
      </w:pPr>
      <w:r>
        <w:rPr>
          <w:lang w:eastAsia="zh-CN"/>
        </w:rPr>
        <w:t>The UCI block error probability</w:t>
      </w:r>
      <w:r>
        <w:t xml:space="preserve"> shall not exceed 1% at the SNR given in </w:t>
      </w:r>
      <w:r>
        <w:rPr>
          <w:lang w:eastAsia="zh-CN"/>
        </w:rPr>
        <w:t>t</w:t>
      </w:r>
      <w:r>
        <w:t xml:space="preserve">able </w:t>
      </w:r>
      <w:r>
        <w:rPr>
          <w:lang w:eastAsia="zh-CN"/>
        </w:rPr>
        <w:t>11</w:t>
      </w:r>
      <w:r>
        <w:t>.1.3.</w:t>
      </w:r>
      <w:r>
        <w:rPr>
          <w:lang w:eastAsia="zh-CN"/>
        </w:rPr>
        <w:t>2</w:t>
      </w:r>
      <w:r>
        <w:t>.</w:t>
      </w:r>
      <w:r>
        <w:rPr>
          <w:lang w:eastAsia="zh-CN"/>
        </w:rPr>
        <w:t>4.</w:t>
      </w:r>
      <w:r>
        <w:rPr>
          <w:rFonts w:eastAsia="SimSun"/>
          <w:lang w:eastAsia="zh-CN"/>
        </w:rPr>
        <w:t>2</w:t>
      </w:r>
      <w:r>
        <w:rPr>
          <w:lang w:eastAsia="zh-CN"/>
        </w:rPr>
        <w:t>.2</w:t>
      </w:r>
      <w:r>
        <w:t xml:space="preserve">-1 and </w:t>
      </w:r>
      <w:r>
        <w:rPr>
          <w:lang w:eastAsia="zh-CN"/>
        </w:rPr>
        <w:t>t</w:t>
      </w:r>
      <w:r>
        <w:t xml:space="preserve">able </w:t>
      </w:r>
      <w:r>
        <w:rPr>
          <w:lang w:eastAsia="zh-CN"/>
        </w:rPr>
        <w:t>11</w:t>
      </w:r>
      <w:r>
        <w:t>.1.3.</w:t>
      </w:r>
      <w:r>
        <w:rPr>
          <w:lang w:eastAsia="zh-CN"/>
        </w:rPr>
        <w:t>2</w:t>
      </w:r>
      <w:r>
        <w:t>.</w:t>
      </w:r>
      <w:r>
        <w:rPr>
          <w:lang w:eastAsia="zh-CN"/>
        </w:rPr>
        <w:t>4.</w:t>
      </w:r>
      <w:r>
        <w:rPr>
          <w:rFonts w:eastAsia="SimSun"/>
          <w:lang w:eastAsia="zh-CN"/>
        </w:rPr>
        <w:t>2</w:t>
      </w:r>
      <w:r>
        <w:rPr>
          <w:lang w:eastAsia="zh-CN"/>
        </w:rPr>
        <w:t>.2</w:t>
      </w:r>
      <w:r>
        <w:t>-2</w:t>
      </w:r>
      <w:r>
        <w:rPr>
          <w:lang w:eastAsia="zh-CN"/>
        </w:rPr>
        <w:t xml:space="preserve"> for 22 UCI bits.</w:t>
      </w:r>
    </w:p>
    <w:p w14:paraId="5904BE83" w14:textId="77777777" w:rsidR="00241417" w:rsidRPr="00E376A5" w:rsidRDefault="00241417" w:rsidP="00241417">
      <w:pPr>
        <w:pStyle w:val="TH"/>
      </w:pPr>
      <w:r w:rsidRPr="00E376A5">
        <w:t>Table 11.1.3.2.4.2.2-1: Minimum requirements for PUCCH format 2 with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3"/>
        <w:gridCol w:w="2386"/>
        <w:gridCol w:w="3487"/>
        <w:gridCol w:w="994"/>
        <w:gridCol w:w="1081"/>
      </w:tblGrid>
      <w:tr w:rsidR="00241417" w14:paraId="2B800031" w14:textId="77777777" w:rsidTr="003A71DE">
        <w:trPr>
          <w:trHeight w:val="62"/>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60D998F" w14:textId="77777777" w:rsidR="00241417" w:rsidRDefault="00241417" w:rsidP="003A71DE">
            <w:pPr>
              <w:pStyle w:val="TAH"/>
              <w:rPr>
                <w:lang w:eastAsia="zh-CN"/>
              </w:rPr>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2C8C0FD" w14:textId="77777777" w:rsidR="00241417" w:rsidRDefault="00241417" w:rsidP="003A71DE">
            <w:pPr>
              <w:pStyle w:val="TAH"/>
              <w:rPr>
                <w:lang w:eastAsia="zh-CN"/>
              </w:rPr>
            </w:pPr>
            <w:r>
              <w:rPr>
                <w:lang w:eastAsia="zh-CN"/>
              </w:rP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AA0930A" w14:textId="5B39967D" w:rsidR="00241417" w:rsidRDefault="00241417" w:rsidP="003A71DE">
            <w:pPr>
              <w:pStyle w:val="TAH"/>
              <w:rPr>
                <w:lang w:val="fr-FR" w:eastAsia="zh-CN"/>
              </w:rPr>
            </w:pPr>
            <w:r>
              <w:rPr>
                <w:lang w:val="fr-FR"/>
              </w:rPr>
              <w:t xml:space="preserve">Propagation conditions and correlation matrix (Annex </w:t>
            </w:r>
            <w:r>
              <w:t>TBA</w:t>
            </w:r>
            <w:r>
              <w:rPr>
                <w:lang w:val="fr-FR"/>
              </w:rPr>
              <w:t>)</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D35941E" w14:textId="77777777" w:rsidR="00241417" w:rsidRDefault="00241417" w:rsidP="003A71DE">
            <w:pPr>
              <w:pStyle w:val="TAH"/>
            </w:pPr>
            <w:r>
              <w:t>Channel bandwidth / SNR (dB)</w:t>
            </w:r>
          </w:p>
        </w:tc>
      </w:tr>
      <w:tr w:rsidR="00241417" w14:paraId="5EFE6BDB" w14:textId="77777777" w:rsidTr="003A71DE">
        <w:trPr>
          <w:trHeight w:val="4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94219A"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5DA0DEE"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551609" w14:textId="77777777" w:rsidR="00241417" w:rsidRDefault="00241417" w:rsidP="003A71DE">
            <w:pPr>
              <w:pStyle w:val="TAH"/>
              <w:rPr>
                <w:lang w:val="fr-FR"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03B486A" w14:textId="77777777" w:rsidR="00241417" w:rsidRDefault="00241417" w:rsidP="003A71DE">
            <w:pPr>
              <w:pStyle w:val="TAH"/>
            </w:pPr>
            <w:r>
              <w:t>5</w:t>
            </w:r>
            <w:r>
              <w:rPr>
                <w:lang w:eastAsia="zh-CN"/>
              </w:rPr>
              <w:t>0</w:t>
            </w:r>
            <w:r>
              <w:t xml:space="preserve">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7D55C89F" w14:textId="77777777" w:rsidR="00241417" w:rsidRDefault="00241417" w:rsidP="003A71DE">
            <w:pPr>
              <w:pStyle w:val="TAH"/>
              <w:rPr>
                <w:rFonts w:eastAsia="DengXian"/>
                <w:lang w:eastAsia="zh-CN"/>
              </w:rPr>
            </w:pPr>
            <w:r>
              <w:t>10</w:t>
            </w:r>
            <w:r>
              <w:rPr>
                <w:lang w:eastAsia="zh-CN"/>
              </w:rPr>
              <w:t>0</w:t>
            </w:r>
            <w:r>
              <w:t xml:space="preserve"> MHz</w:t>
            </w:r>
          </w:p>
        </w:tc>
      </w:tr>
      <w:tr w:rsidR="00241417" w:rsidRPr="00E376A5" w14:paraId="6470187D" w14:textId="77777777" w:rsidTr="003A71DE">
        <w:trPr>
          <w:trHeight w:val="115"/>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17C8E98" w14:textId="77777777" w:rsidR="00241417" w:rsidRPr="00E376A5" w:rsidRDefault="00241417" w:rsidP="003A71DE">
            <w:pPr>
              <w:pStyle w:val="TAC"/>
            </w:pPr>
            <w:r w:rsidRPr="00E376A5">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0277357D" w14:textId="77777777" w:rsidR="00241417" w:rsidRPr="00E376A5" w:rsidRDefault="00241417" w:rsidP="003A71DE">
            <w:pPr>
              <w:pStyle w:val="TAC"/>
            </w:pPr>
            <w:r w:rsidRPr="00E376A5">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324BAED7" w14:textId="77777777" w:rsidR="00241417" w:rsidRPr="00E376A5" w:rsidRDefault="00241417" w:rsidP="003A71DE">
            <w:pPr>
              <w:pStyle w:val="TAC"/>
            </w:pPr>
            <w:r w:rsidRPr="00E376A5">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1C7F2AF4" w14:textId="77777777" w:rsidR="00241417" w:rsidRPr="00E376A5" w:rsidRDefault="00241417" w:rsidP="003A71DE">
            <w:pPr>
              <w:pStyle w:val="TAC"/>
            </w:pPr>
            <w:r w:rsidRPr="00E376A5">
              <w:t>2.6</w:t>
            </w:r>
          </w:p>
        </w:tc>
        <w:tc>
          <w:tcPr>
            <w:tcW w:w="0" w:type="auto"/>
            <w:tcBorders>
              <w:top w:val="single" w:sz="4" w:space="0" w:color="auto"/>
              <w:left w:val="single" w:sz="4" w:space="0" w:color="auto"/>
              <w:bottom w:val="single" w:sz="4" w:space="0" w:color="auto"/>
              <w:right w:val="single" w:sz="4" w:space="0" w:color="auto"/>
            </w:tcBorders>
            <w:vAlign w:val="center"/>
            <w:hideMark/>
          </w:tcPr>
          <w:p w14:paraId="559F89A3" w14:textId="77777777" w:rsidR="00241417" w:rsidRPr="00E376A5" w:rsidRDefault="00241417" w:rsidP="003A71DE">
            <w:pPr>
              <w:pStyle w:val="TAC"/>
            </w:pPr>
            <w:r w:rsidRPr="00E376A5">
              <w:t>1.1</w:t>
            </w:r>
          </w:p>
        </w:tc>
      </w:tr>
    </w:tbl>
    <w:p w14:paraId="3B68714A" w14:textId="77777777" w:rsidR="00241417" w:rsidRDefault="00241417" w:rsidP="00241417"/>
    <w:p w14:paraId="30CF03B8" w14:textId="77777777" w:rsidR="00241417" w:rsidRPr="00E376A5" w:rsidRDefault="00241417" w:rsidP="00241417">
      <w:pPr>
        <w:pStyle w:val="TH"/>
      </w:pPr>
      <w:r w:rsidRPr="00E376A5">
        <w:lastRenderedPageBreak/>
        <w:t>Table 11.1.3.2.4.2.2-2: Minimum requirements for PUCCH format 2 with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3"/>
        <w:gridCol w:w="2327"/>
        <w:gridCol w:w="3356"/>
        <w:gridCol w:w="733"/>
        <w:gridCol w:w="786"/>
        <w:gridCol w:w="786"/>
      </w:tblGrid>
      <w:tr w:rsidR="00241417" w:rsidRPr="00525D63" w14:paraId="1C039DCB" w14:textId="77777777" w:rsidTr="003A71DE">
        <w:trPr>
          <w:trHeight w:val="156"/>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0CE6989" w14:textId="77777777" w:rsidR="00241417" w:rsidRPr="00525D63" w:rsidRDefault="00241417" w:rsidP="003A71DE">
            <w:pPr>
              <w:pStyle w:val="TAH"/>
            </w:pPr>
            <w:r w:rsidRPr="00525D63">
              <w:t>Number of 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9B36F61" w14:textId="77777777" w:rsidR="00241417" w:rsidRPr="00525D63" w:rsidRDefault="00241417" w:rsidP="003A71DE">
            <w:pPr>
              <w:pStyle w:val="TAH"/>
            </w:pPr>
            <w:r w:rsidRPr="00525D63">
              <w:t xml:space="preserve">Number of demodulation branches </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3C4C86F" w14:textId="4B4F283B" w:rsidR="00241417" w:rsidRPr="00525D63" w:rsidRDefault="00241417" w:rsidP="003A71DE">
            <w:pPr>
              <w:pStyle w:val="TAH"/>
            </w:pPr>
            <w:r w:rsidRPr="00525D63">
              <w:t xml:space="preserve">Propagation conditions and correlation matrix (Annex </w:t>
            </w:r>
            <w:r>
              <w:t>TBA</w:t>
            </w:r>
            <w:r w:rsidRPr="00525D63">
              <w:t>)</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3F4A2F41" w14:textId="77777777" w:rsidR="00241417" w:rsidRPr="00525D63" w:rsidRDefault="00241417" w:rsidP="003A71DE">
            <w:pPr>
              <w:pStyle w:val="TAH"/>
            </w:pPr>
            <w:r w:rsidRPr="00525D63">
              <w:t>Channel bandwidth / SNR (dB)</w:t>
            </w:r>
          </w:p>
        </w:tc>
      </w:tr>
      <w:tr w:rsidR="00241417" w:rsidRPr="00525D63" w14:paraId="650AAC32" w14:textId="77777777" w:rsidTr="003A71DE">
        <w:trPr>
          <w:trHeight w:val="11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1C92BAB" w14:textId="77777777" w:rsidR="00241417" w:rsidRPr="002921FA"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D9D1E6E" w14:textId="77777777" w:rsidR="00241417" w:rsidRPr="002921FA"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FA53D98" w14:textId="77777777" w:rsidR="00241417" w:rsidRPr="002921FA" w:rsidRDefault="00241417" w:rsidP="003A71DE">
            <w:pPr>
              <w:pStyle w:val="TAH"/>
            </w:pPr>
          </w:p>
        </w:tc>
        <w:tc>
          <w:tcPr>
            <w:tcW w:w="0" w:type="auto"/>
            <w:tcBorders>
              <w:top w:val="single" w:sz="4" w:space="0" w:color="auto"/>
              <w:left w:val="single" w:sz="4" w:space="0" w:color="auto"/>
              <w:bottom w:val="single" w:sz="4" w:space="0" w:color="auto"/>
              <w:right w:val="single" w:sz="4" w:space="0" w:color="auto"/>
            </w:tcBorders>
            <w:vAlign w:val="center"/>
            <w:hideMark/>
          </w:tcPr>
          <w:p w14:paraId="0138F60B" w14:textId="77777777" w:rsidR="00241417" w:rsidRPr="00525D63" w:rsidRDefault="00241417" w:rsidP="003A71DE">
            <w:pPr>
              <w:pStyle w:val="TAH"/>
            </w:pPr>
            <w:r w:rsidRPr="00525D63">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0143C75C" w14:textId="77777777" w:rsidR="00241417" w:rsidRPr="00525D63" w:rsidRDefault="00241417" w:rsidP="003A71DE">
            <w:pPr>
              <w:pStyle w:val="TAH"/>
            </w:pPr>
            <w:r w:rsidRPr="00525D63">
              <w:t>100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2043D337" w14:textId="77777777" w:rsidR="00241417" w:rsidRPr="00525D63" w:rsidRDefault="00241417" w:rsidP="003A71DE">
            <w:pPr>
              <w:pStyle w:val="TAH"/>
            </w:pPr>
            <w:r w:rsidRPr="00525D63">
              <w:t>200 MHz</w:t>
            </w:r>
          </w:p>
        </w:tc>
      </w:tr>
      <w:tr w:rsidR="00241417" w:rsidRPr="00525D63" w14:paraId="6D4DF946" w14:textId="77777777" w:rsidTr="003A71DE">
        <w:trPr>
          <w:trHeight w:val="292"/>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57CE918" w14:textId="77777777" w:rsidR="00241417" w:rsidRPr="00525D63" w:rsidRDefault="00241417" w:rsidP="003A71DE">
            <w:pPr>
              <w:pStyle w:val="TAC"/>
            </w:pPr>
            <w:r w:rsidRPr="00525D63">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040727AC" w14:textId="77777777" w:rsidR="00241417" w:rsidRPr="00525D63" w:rsidRDefault="00241417" w:rsidP="003A71DE">
            <w:pPr>
              <w:pStyle w:val="TAC"/>
            </w:pPr>
            <w:r w:rsidRPr="00525D63">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21899ED1" w14:textId="77777777" w:rsidR="00241417" w:rsidRPr="00525D63" w:rsidRDefault="00241417" w:rsidP="003A71DE">
            <w:pPr>
              <w:pStyle w:val="TAC"/>
            </w:pPr>
            <w:r w:rsidRPr="00525D63">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379E8DA5" w14:textId="77777777" w:rsidR="00241417" w:rsidRPr="00525D63" w:rsidRDefault="00241417" w:rsidP="003A71DE">
            <w:pPr>
              <w:pStyle w:val="TAC"/>
            </w:pPr>
            <w:r w:rsidRPr="00525D63">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58ACC4FD" w14:textId="77777777" w:rsidR="00241417" w:rsidRPr="00525D63" w:rsidRDefault="00241417" w:rsidP="003A71DE">
            <w:pPr>
              <w:pStyle w:val="TAC"/>
            </w:pPr>
            <w:r w:rsidRPr="00525D63">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770DF3C6" w14:textId="77777777" w:rsidR="00241417" w:rsidRPr="00525D63" w:rsidRDefault="00241417" w:rsidP="003A71DE">
            <w:pPr>
              <w:pStyle w:val="TAC"/>
            </w:pPr>
            <w:r w:rsidRPr="00525D63">
              <w:t>1.1</w:t>
            </w:r>
          </w:p>
        </w:tc>
      </w:tr>
    </w:tbl>
    <w:p w14:paraId="6360E67E" w14:textId="77777777" w:rsidR="00241417" w:rsidRDefault="00241417" w:rsidP="00241417"/>
    <w:p w14:paraId="1777578D" w14:textId="77777777" w:rsidR="00241417" w:rsidRDefault="00241417" w:rsidP="00241417">
      <w:pPr>
        <w:pStyle w:val="Heading5"/>
      </w:pPr>
      <w:bookmarkStart w:id="7714" w:name="_Toc67916565"/>
      <w:bookmarkStart w:id="7715" w:name="_Toc61176742"/>
      <w:bookmarkStart w:id="7716" w:name="_Toc53178108"/>
      <w:bookmarkStart w:id="7717" w:name="_Toc53177656"/>
      <w:bookmarkStart w:id="7718" w:name="_Toc45893492"/>
      <w:bookmarkStart w:id="7719" w:name="_Toc37268842"/>
      <w:bookmarkStart w:id="7720" w:name="_Toc37268391"/>
      <w:bookmarkStart w:id="7721" w:name="_Toc29811436"/>
      <w:bookmarkStart w:id="7722" w:name="_Toc13079947"/>
      <w:bookmarkStart w:id="7723" w:name="_Toc74583486"/>
      <w:bookmarkStart w:id="7724" w:name="_Toc76542299"/>
      <w:bookmarkStart w:id="7725" w:name="_Toc82450281"/>
      <w:bookmarkStart w:id="7726" w:name="_Toc82450929"/>
      <w:bookmarkStart w:id="7727" w:name="_Toc89949318"/>
      <w:bookmarkStart w:id="7728" w:name="_Toc98755707"/>
      <w:bookmarkStart w:id="7729" w:name="_Toc98763299"/>
      <w:bookmarkStart w:id="7730" w:name="_Toc106184228"/>
      <w:r>
        <w:t>11.1.3.2.5</w:t>
      </w:r>
      <w:r>
        <w:tab/>
        <w:t>Performance requirements for PUCCH format 3</w:t>
      </w:r>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p>
    <w:p w14:paraId="586685A7" w14:textId="77777777" w:rsidR="00241417" w:rsidRDefault="00241417" w:rsidP="00241417">
      <w:pPr>
        <w:pStyle w:val="H6"/>
      </w:pPr>
      <w:bookmarkStart w:id="7731" w:name="_Toc67916566"/>
      <w:bookmarkStart w:id="7732" w:name="_Toc61176743"/>
      <w:bookmarkStart w:id="7733" w:name="_Toc53178109"/>
      <w:bookmarkStart w:id="7734" w:name="_Toc53177657"/>
      <w:bookmarkStart w:id="7735" w:name="_Toc37268843"/>
      <w:bookmarkStart w:id="7736" w:name="_Toc37268392"/>
      <w:bookmarkStart w:id="7737" w:name="_Toc29811437"/>
      <w:bookmarkStart w:id="7738" w:name="_Toc13079948"/>
      <w:r>
        <w:t>11.1.3.2.5.1</w:t>
      </w:r>
      <w:r>
        <w:tab/>
        <w:t>General</w:t>
      </w:r>
      <w:bookmarkEnd w:id="7731"/>
      <w:bookmarkEnd w:id="7732"/>
      <w:bookmarkEnd w:id="7733"/>
      <w:bookmarkEnd w:id="7734"/>
      <w:bookmarkEnd w:id="7735"/>
      <w:bookmarkEnd w:id="7736"/>
      <w:bookmarkEnd w:id="7737"/>
      <w:bookmarkEnd w:id="7738"/>
    </w:p>
    <w:p w14:paraId="702231CE" w14:textId="77777777" w:rsidR="00241417" w:rsidRDefault="00241417" w:rsidP="00241417">
      <w:pPr>
        <w:rPr>
          <w:lang w:eastAsia="zh-CN"/>
        </w:rPr>
      </w:pPr>
      <w:r>
        <w:rPr>
          <w:lang w:eastAsia="zh-CN"/>
        </w:rPr>
        <w:t xml:space="preserve">The performance is measured by the required SNR at UCI </w:t>
      </w:r>
      <w:r>
        <w:t>block error probability</w:t>
      </w:r>
      <w:r>
        <w:rPr>
          <w:rFonts w:eastAsia="MS Mincho"/>
        </w:rPr>
        <w:t xml:space="preserve"> </w:t>
      </w:r>
      <w:r>
        <w:rPr>
          <w:lang w:eastAsia="zh-CN"/>
        </w:rPr>
        <w:t>not exceeding 1%.</w:t>
      </w:r>
    </w:p>
    <w:p w14:paraId="6ADD9961" w14:textId="77777777" w:rsidR="00241417" w:rsidRDefault="00241417" w:rsidP="00241417">
      <w:pPr>
        <w:rPr>
          <w:lang w:eastAsia="zh-CN"/>
        </w:rPr>
      </w:pPr>
      <w:r>
        <w:rPr>
          <w:lang w:eastAsia="zh-CN"/>
        </w:rPr>
        <w:t xml:space="preserve">The UCI block error probability is defined as the conditional probability of incorrectly decoding the UCI information when the UCI information is sent. </w:t>
      </w:r>
      <w:r>
        <w:rPr>
          <w:rFonts w:eastAsia="DengXian"/>
          <w:lang w:eastAsia="zh-CN"/>
        </w:rPr>
        <w:t>The UCI information does not contain CSI part 2</w:t>
      </w:r>
      <w:r>
        <w:rPr>
          <w:lang w:eastAsia="zh-CN"/>
        </w:rPr>
        <w:t xml:space="preserve">. </w:t>
      </w:r>
    </w:p>
    <w:p w14:paraId="52520DA8" w14:textId="77777777" w:rsidR="00241417" w:rsidRDefault="00241417" w:rsidP="00241417">
      <w:pPr>
        <w:rPr>
          <w:noProof/>
          <w:lang w:eastAsia="zh-CN"/>
        </w:rPr>
      </w:pPr>
      <w:r>
        <w:rPr>
          <w:lang w:eastAsia="zh-CN"/>
        </w:rPr>
        <w:t xml:space="preserve">The transient period as specified in TS 38.101-2 [4] clause </w:t>
      </w:r>
      <w:r>
        <w:t xml:space="preserve">6.3.3.1 </w:t>
      </w:r>
      <w:r>
        <w:rPr>
          <w:lang w:eastAsia="zh-CN"/>
        </w:rPr>
        <w:t>is not taken into account for performance requirement testing, where the RB hopping is symmetric to the CC centre, i.e. intra-slot frequency hopping is enabled.</w:t>
      </w:r>
    </w:p>
    <w:p w14:paraId="30E2C3C5" w14:textId="77777777" w:rsidR="00241417" w:rsidRPr="00525D63" w:rsidRDefault="00241417" w:rsidP="00241417">
      <w:pPr>
        <w:pStyle w:val="TH"/>
      </w:pPr>
      <w:r w:rsidRPr="00525D63">
        <w:t>Table 11.1.3.2.5.1-1: Test parameters</w:t>
      </w:r>
      <w:r>
        <w:t xml:space="preserve"> for PUCCH format 3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8"/>
        <w:gridCol w:w="2019"/>
        <w:gridCol w:w="2019"/>
      </w:tblGrid>
      <w:tr w:rsidR="00241417" w:rsidRPr="00525D63" w14:paraId="70B16BF1"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67D18F6" w14:textId="77777777" w:rsidR="00241417" w:rsidRPr="00525D63" w:rsidRDefault="00241417" w:rsidP="003A71DE">
            <w:pPr>
              <w:pStyle w:val="TAH"/>
            </w:pPr>
            <w:r w:rsidRPr="00525D63">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08335848" w14:textId="77777777" w:rsidR="00241417" w:rsidRPr="00525D63" w:rsidRDefault="00241417" w:rsidP="003A71DE">
            <w:pPr>
              <w:pStyle w:val="TAH"/>
            </w:pPr>
            <w:r w:rsidRPr="00525D63">
              <w:t>Test 1</w:t>
            </w:r>
          </w:p>
        </w:tc>
        <w:tc>
          <w:tcPr>
            <w:tcW w:w="0" w:type="auto"/>
            <w:tcBorders>
              <w:top w:val="single" w:sz="4" w:space="0" w:color="auto"/>
              <w:left w:val="single" w:sz="4" w:space="0" w:color="auto"/>
              <w:bottom w:val="single" w:sz="4" w:space="0" w:color="auto"/>
              <w:right w:val="single" w:sz="4" w:space="0" w:color="auto"/>
            </w:tcBorders>
            <w:vAlign w:val="center"/>
            <w:hideMark/>
          </w:tcPr>
          <w:p w14:paraId="34CE7D80" w14:textId="77777777" w:rsidR="00241417" w:rsidRPr="00525D63" w:rsidRDefault="00241417" w:rsidP="003A71DE">
            <w:pPr>
              <w:pStyle w:val="TAH"/>
            </w:pPr>
            <w:r w:rsidRPr="00525D63">
              <w:t>Test 2</w:t>
            </w:r>
          </w:p>
        </w:tc>
      </w:tr>
      <w:tr w:rsidR="00241417" w:rsidRPr="00525D63" w14:paraId="3B749B71"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186F196" w14:textId="77777777" w:rsidR="00241417" w:rsidRPr="00525D63" w:rsidRDefault="00241417" w:rsidP="003A71DE">
            <w:pPr>
              <w:pStyle w:val="TAC"/>
            </w:pPr>
            <w:r>
              <w:t>Cyclic prefix</w:t>
            </w:r>
          </w:p>
        </w:tc>
        <w:tc>
          <w:tcPr>
            <w:tcW w:w="0" w:type="auto"/>
            <w:gridSpan w:val="2"/>
            <w:tcBorders>
              <w:top w:val="single" w:sz="4" w:space="0" w:color="auto"/>
              <w:left w:val="single" w:sz="4" w:space="0" w:color="auto"/>
              <w:bottom w:val="single" w:sz="4" w:space="0" w:color="auto"/>
              <w:right w:val="single" w:sz="4" w:space="0" w:color="auto"/>
            </w:tcBorders>
            <w:vAlign w:val="center"/>
          </w:tcPr>
          <w:p w14:paraId="10EEFD35" w14:textId="77777777" w:rsidR="00241417" w:rsidRPr="00525D63" w:rsidRDefault="00241417" w:rsidP="003A71DE">
            <w:pPr>
              <w:pStyle w:val="TAC"/>
            </w:pPr>
            <w:r>
              <w:t>Normal</w:t>
            </w:r>
          </w:p>
        </w:tc>
      </w:tr>
      <w:tr w:rsidR="00241417" w:rsidRPr="00525D63" w14:paraId="7EDC6D5B"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37C18F1" w14:textId="77777777" w:rsidR="00241417" w:rsidRPr="00525D63" w:rsidRDefault="00241417" w:rsidP="003A71DE">
            <w:pPr>
              <w:pStyle w:val="TAC"/>
            </w:pPr>
            <w:r w:rsidRPr="00525D63">
              <w:t>Modulation order</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4AD595B0" w14:textId="77777777" w:rsidR="00241417" w:rsidRPr="00525D63" w:rsidRDefault="00241417" w:rsidP="003A71DE">
            <w:pPr>
              <w:pStyle w:val="TAC"/>
            </w:pPr>
            <w:r w:rsidRPr="00525D63">
              <w:t>QPSK</w:t>
            </w:r>
          </w:p>
        </w:tc>
      </w:tr>
      <w:tr w:rsidR="00241417" w:rsidRPr="00525D63" w14:paraId="4F5EEB83"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95C35E4" w14:textId="77777777" w:rsidR="00241417" w:rsidRPr="00525D63" w:rsidRDefault="00241417" w:rsidP="003A71DE">
            <w:pPr>
              <w:pStyle w:val="TAC"/>
            </w:pPr>
            <w:r w:rsidRPr="00525D63">
              <w:t>First PRB prior to frequency hopping</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18C5328" w14:textId="77777777" w:rsidR="00241417" w:rsidRPr="00525D63" w:rsidRDefault="00241417" w:rsidP="003A71DE">
            <w:pPr>
              <w:pStyle w:val="TAC"/>
            </w:pPr>
            <w:r w:rsidRPr="00525D63">
              <w:t>0</w:t>
            </w:r>
          </w:p>
        </w:tc>
      </w:tr>
      <w:tr w:rsidR="00241417" w:rsidRPr="00525D63" w14:paraId="1FD86ABA"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77DF375" w14:textId="77777777" w:rsidR="00241417" w:rsidRPr="00525D63" w:rsidRDefault="00241417" w:rsidP="003A71DE">
            <w:pPr>
              <w:pStyle w:val="TAC"/>
            </w:pPr>
            <w:r w:rsidRPr="00525D63">
              <w:t>Intra-slot frequency hopping</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5F19471" w14:textId="77777777" w:rsidR="00241417" w:rsidRPr="00525D63" w:rsidRDefault="00241417" w:rsidP="003A71DE">
            <w:pPr>
              <w:pStyle w:val="TAC"/>
            </w:pPr>
            <w:r w:rsidRPr="00525D63">
              <w:t>enabled</w:t>
            </w:r>
          </w:p>
        </w:tc>
      </w:tr>
      <w:tr w:rsidR="00241417" w:rsidRPr="00525D63" w14:paraId="13773F98"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C831379" w14:textId="77777777" w:rsidR="00241417" w:rsidRPr="00525D63" w:rsidRDefault="00241417" w:rsidP="003A71DE">
            <w:pPr>
              <w:pStyle w:val="TAC"/>
            </w:pPr>
            <w:r w:rsidRPr="00525D63">
              <w:t>First PRB after frequency hopping</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B8EE1BF" w14:textId="77777777" w:rsidR="00241417" w:rsidRPr="00525D63" w:rsidRDefault="00241417" w:rsidP="003A71DE">
            <w:pPr>
              <w:pStyle w:val="TAC"/>
            </w:pPr>
            <w:r w:rsidRPr="00525D63">
              <w:t>The largest PRB index –  (Number of PRBs – 1)</w:t>
            </w:r>
          </w:p>
        </w:tc>
      </w:tr>
      <w:tr w:rsidR="00241417" w:rsidRPr="00525D63" w14:paraId="5FEFC414"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0CF7093" w14:textId="77777777" w:rsidR="00241417" w:rsidRPr="00525D63" w:rsidRDefault="00241417" w:rsidP="003A71DE">
            <w:pPr>
              <w:pStyle w:val="TAC"/>
            </w:pPr>
            <w:r w:rsidRPr="00525D63">
              <w:t>Group and sequence hopping</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11EA6C0" w14:textId="77777777" w:rsidR="00241417" w:rsidRPr="00525D63" w:rsidRDefault="00241417" w:rsidP="003A71DE">
            <w:pPr>
              <w:pStyle w:val="TAC"/>
            </w:pPr>
            <w:r w:rsidRPr="00525D63">
              <w:t>neither</w:t>
            </w:r>
          </w:p>
        </w:tc>
      </w:tr>
      <w:tr w:rsidR="00241417" w:rsidRPr="00525D63" w14:paraId="6BCA4737"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C42132D" w14:textId="77777777" w:rsidR="00241417" w:rsidRPr="00525D63" w:rsidRDefault="00241417" w:rsidP="003A71DE">
            <w:pPr>
              <w:pStyle w:val="TAC"/>
            </w:pPr>
            <w:r w:rsidRPr="00525D63">
              <w:t>Hopping ID</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DE66C01" w14:textId="77777777" w:rsidR="00241417" w:rsidRPr="00525D63" w:rsidRDefault="00241417" w:rsidP="003A71DE">
            <w:pPr>
              <w:pStyle w:val="TAC"/>
            </w:pPr>
            <w:r w:rsidRPr="00525D63">
              <w:t>0</w:t>
            </w:r>
          </w:p>
        </w:tc>
      </w:tr>
      <w:tr w:rsidR="00241417" w:rsidRPr="00525D63" w14:paraId="3BCA7649"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A1AF58D" w14:textId="77777777" w:rsidR="00241417" w:rsidRPr="00525D63" w:rsidRDefault="00241417" w:rsidP="003A71DE">
            <w:pPr>
              <w:pStyle w:val="TAC"/>
            </w:pPr>
            <w:r w:rsidRPr="00525D63">
              <w:t>Number of PRBs</w:t>
            </w:r>
          </w:p>
        </w:tc>
        <w:tc>
          <w:tcPr>
            <w:tcW w:w="0" w:type="auto"/>
            <w:tcBorders>
              <w:top w:val="single" w:sz="4" w:space="0" w:color="auto"/>
              <w:left w:val="single" w:sz="4" w:space="0" w:color="auto"/>
              <w:bottom w:val="single" w:sz="4" w:space="0" w:color="auto"/>
              <w:right w:val="single" w:sz="4" w:space="0" w:color="auto"/>
            </w:tcBorders>
            <w:vAlign w:val="center"/>
            <w:hideMark/>
          </w:tcPr>
          <w:p w14:paraId="074B03B5" w14:textId="77777777" w:rsidR="00241417" w:rsidRPr="00525D63" w:rsidRDefault="00241417" w:rsidP="003A71DE">
            <w:pPr>
              <w:pStyle w:val="TAC"/>
            </w:pPr>
            <w:r w:rsidRPr="00525D63">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63D9F64B" w14:textId="77777777" w:rsidR="00241417" w:rsidRPr="00525D63" w:rsidRDefault="00241417" w:rsidP="003A71DE">
            <w:pPr>
              <w:pStyle w:val="TAC"/>
            </w:pPr>
            <w:r w:rsidRPr="00525D63">
              <w:t>3</w:t>
            </w:r>
          </w:p>
        </w:tc>
      </w:tr>
      <w:tr w:rsidR="00241417" w:rsidRPr="00525D63" w14:paraId="0D873591"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1289C98" w14:textId="77777777" w:rsidR="00241417" w:rsidRPr="00525D63" w:rsidRDefault="00241417" w:rsidP="003A71DE">
            <w:pPr>
              <w:pStyle w:val="TAC"/>
            </w:pPr>
            <w:r w:rsidRPr="00525D63">
              <w:t>Number of symbols</w:t>
            </w:r>
          </w:p>
        </w:tc>
        <w:tc>
          <w:tcPr>
            <w:tcW w:w="0" w:type="auto"/>
            <w:tcBorders>
              <w:top w:val="single" w:sz="4" w:space="0" w:color="auto"/>
              <w:left w:val="single" w:sz="4" w:space="0" w:color="auto"/>
              <w:bottom w:val="single" w:sz="4" w:space="0" w:color="auto"/>
              <w:right w:val="single" w:sz="4" w:space="0" w:color="auto"/>
            </w:tcBorders>
            <w:vAlign w:val="center"/>
            <w:hideMark/>
          </w:tcPr>
          <w:p w14:paraId="6E0C5765" w14:textId="77777777" w:rsidR="00241417" w:rsidRPr="00525D63" w:rsidRDefault="00241417" w:rsidP="003A71DE">
            <w:pPr>
              <w:pStyle w:val="TAC"/>
            </w:pPr>
            <w:r w:rsidRPr="00525D63">
              <w:t>14</w:t>
            </w:r>
          </w:p>
        </w:tc>
        <w:tc>
          <w:tcPr>
            <w:tcW w:w="0" w:type="auto"/>
            <w:tcBorders>
              <w:top w:val="single" w:sz="4" w:space="0" w:color="auto"/>
              <w:left w:val="single" w:sz="4" w:space="0" w:color="auto"/>
              <w:bottom w:val="single" w:sz="4" w:space="0" w:color="auto"/>
              <w:right w:val="single" w:sz="4" w:space="0" w:color="auto"/>
            </w:tcBorders>
            <w:vAlign w:val="center"/>
            <w:hideMark/>
          </w:tcPr>
          <w:p w14:paraId="6A81B846" w14:textId="77777777" w:rsidR="00241417" w:rsidRPr="00525D63" w:rsidRDefault="00241417" w:rsidP="003A71DE">
            <w:pPr>
              <w:pStyle w:val="TAC"/>
            </w:pPr>
            <w:r w:rsidRPr="00525D63">
              <w:t>4</w:t>
            </w:r>
          </w:p>
        </w:tc>
      </w:tr>
      <w:tr w:rsidR="00241417" w:rsidRPr="00525D63" w14:paraId="3F9D5407"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71EB0E1" w14:textId="77777777" w:rsidR="00241417" w:rsidRPr="00525D63" w:rsidRDefault="00241417" w:rsidP="003A71DE">
            <w:pPr>
              <w:pStyle w:val="TAC"/>
            </w:pPr>
            <w:r w:rsidRPr="00525D63">
              <w:t>The number of UCI information bits</w:t>
            </w:r>
          </w:p>
        </w:tc>
        <w:tc>
          <w:tcPr>
            <w:tcW w:w="0" w:type="auto"/>
            <w:tcBorders>
              <w:top w:val="single" w:sz="4" w:space="0" w:color="auto"/>
              <w:left w:val="single" w:sz="4" w:space="0" w:color="auto"/>
              <w:bottom w:val="single" w:sz="4" w:space="0" w:color="auto"/>
              <w:right w:val="single" w:sz="4" w:space="0" w:color="auto"/>
            </w:tcBorders>
            <w:vAlign w:val="center"/>
            <w:hideMark/>
          </w:tcPr>
          <w:p w14:paraId="0F7459DE" w14:textId="77777777" w:rsidR="00241417" w:rsidRPr="00525D63" w:rsidRDefault="00241417" w:rsidP="003A71DE">
            <w:pPr>
              <w:pStyle w:val="TAC"/>
            </w:pPr>
            <w:r w:rsidRPr="00525D63">
              <w:t>16</w:t>
            </w:r>
          </w:p>
        </w:tc>
        <w:tc>
          <w:tcPr>
            <w:tcW w:w="0" w:type="auto"/>
            <w:tcBorders>
              <w:top w:val="single" w:sz="4" w:space="0" w:color="auto"/>
              <w:left w:val="single" w:sz="4" w:space="0" w:color="auto"/>
              <w:bottom w:val="single" w:sz="4" w:space="0" w:color="auto"/>
              <w:right w:val="single" w:sz="4" w:space="0" w:color="auto"/>
            </w:tcBorders>
            <w:vAlign w:val="center"/>
            <w:hideMark/>
          </w:tcPr>
          <w:p w14:paraId="7DA860FA" w14:textId="77777777" w:rsidR="00241417" w:rsidRPr="00525D63" w:rsidRDefault="00241417" w:rsidP="003A71DE">
            <w:pPr>
              <w:pStyle w:val="TAC"/>
            </w:pPr>
            <w:r w:rsidRPr="00525D63">
              <w:t>16</w:t>
            </w:r>
          </w:p>
        </w:tc>
      </w:tr>
      <w:tr w:rsidR="00241417" w:rsidRPr="00525D63" w14:paraId="4BB66E0A"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1AD581A" w14:textId="77777777" w:rsidR="00241417" w:rsidRPr="00525D63" w:rsidRDefault="00241417" w:rsidP="003A71DE">
            <w:pPr>
              <w:pStyle w:val="TAC"/>
            </w:pPr>
            <w:r w:rsidRPr="00525D63">
              <w:t>First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4219A2D4" w14:textId="77777777" w:rsidR="00241417" w:rsidRPr="00525D63" w:rsidRDefault="00241417" w:rsidP="003A71DE">
            <w:pPr>
              <w:pStyle w:val="TAC"/>
            </w:pPr>
            <w:r w:rsidRPr="00525D63">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6C88807F" w14:textId="77777777" w:rsidR="00241417" w:rsidRPr="00525D63" w:rsidRDefault="00241417" w:rsidP="003A71DE">
            <w:pPr>
              <w:pStyle w:val="TAC"/>
            </w:pPr>
            <w:r w:rsidRPr="00525D63">
              <w:t>0</w:t>
            </w:r>
          </w:p>
        </w:tc>
      </w:tr>
    </w:tbl>
    <w:p w14:paraId="30A850AC" w14:textId="77777777" w:rsidR="00241417" w:rsidRDefault="00241417" w:rsidP="00241417"/>
    <w:p w14:paraId="442BA48F" w14:textId="77777777" w:rsidR="00241417" w:rsidRDefault="00241417" w:rsidP="00241417">
      <w:pPr>
        <w:pStyle w:val="H6"/>
      </w:pPr>
      <w:bookmarkStart w:id="7739" w:name="_Toc67916567"/>
      <w:bookmarkStart w:id="7740" w:name="_Toc61176744"/>
      <w:bookmarkStart w:id="7741" w:name="_Toc53178110"/>
      <w:bookmarkStart w:id="7742" w:name="_Toc53177658"/>
      <w:bookmarkStart w:id="7743" w:name="_Toc37268844"/>
      <w:bookmarkStart w:id="7744" w:name="_Toc37268393"/>
      <w:bookmarkStart w:id="7745" w:name="_Toc29811438"/>
      <w:bookmarkStart w:id="7746" w:name="_Toc13079949"/>
      <w:r>
        <w:t>11.1.3.2.5.2</w:t>
      </w:r>
      <w:r>
        <w:tab/>
        <w:t>Minimum requirements</w:t>
      </w:r>
      <w:bookmarkEnd w:id="7739"/>
      <w:bookmarkEnd w:id="7740"/>
      <w:bookmarkEnd w:id="7741"/>
      <w:bookmarkEnd w:id="7742"/>
      <w:bookmarkEnd w:id="7743"/>
      <w:bookmarkEnd w:id="7744"/>
      <w:bookmarkEnd w:id="7745"/>
      <w:bookmarkEnd w:id="7746"/>
    </w:p>
    <w:p w14:paraId="5954E621" w14:textId="77777777" w:rsidR="00241417" w:rsidRDefault="00241417" w:rsidP="00241417">
      <w:pPr>
        <w:rPr>
          <w:lang w:eastAsia="zh-CN"/>
        </w:rPr>
      </w:pPr>
      <w:r>
        <w:t>The UCI block error probability shall not exceed 1% at the SNR given in Table 11.1.3.2.5.2-1 and Table 11.1.3.2.5.2-2.</w:t>
      </w:r>
    </w:p>
    <w:p w14:paraId="290D5436" w14:textId="77777777" w:rsidR="00241417" w:rsidRPr="00525D63" w:rsidRDefault="00241417" w:rsidP="00241417">
      <w:pPr>
        <w:pStyle w:val="TH"/>
      </w:pPr>
      <w:r w:rsidRPr="00525D63">
        <w:t>Table 11.1.3.2.5.2-1: Required SNR for PUCCH format 3 with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7"/>
        <w:gridCol w:w="1007"/>
        <w:gridCol w:w="1396"/>
        <w:gridCol w:w="1701"/>
        <w:gridCol w:w="2389"/>
        <w:gridCol w:w="1069"/>
        <w:gridCol w:w="1172"/>
      </w:tblGrid>
      <w:tr w:rsidR="00241417" w:rsidRPr="00525D63" w14:paraId="446AFD4D" w14:textId="77777777" w:rsidTr="003A71DE">
        <w:trPr>
          <w:jc w:val="center"/>
        </w:trPr>
        <w:tc>
          <w:tcPr>
            <w:tcW w:w="897" w:type="dxa"/>
            <w:vMerge w:val="restart"/>
            <w:tcBorders>
              <w:top w:val="single" w:sz="4" w:space="0" w:color="auto"/>
              <w:left w:val="single" w:sz="4" w:space="0" w:color="auto"/>
              <w:bottom w:val="single" w:sz="4" w:space="0" w:color="auto"/>
              <w:right w:val="single" w:sz="4" w:space="0" w:color="auto"/>
            </w:tcBorders>
            <w:vAlign w:val="center"/>
            <w:hideMark/>
          </w:tcPr>
          <w:p w14:paraId="7F645562" w14:textId="77777777" w:rsidR="00241417" w:rsidRPr="00525D63" w:rsidRDefault="00241417" w:rsidP="003A71DE">
            <w:pPr>
              <w:pStyle w:val="TAH"/>
            </w:pPr>
            <w:r w:rsidRPr="00525D63">
              <w:t>Test Number</w:t>
            </w:r>
          </w:p>
        </w:tc>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472C9287" w14:textId="77777777" w:rsidR="00241417" w:rsidRPr="00525D63" w:rsidRDefault="00241417" w:rsidP="003A71DE">
            <w:pPr>
              <w:pStyle w:val="TAH"/>
            </w:pPr>
            <w:r w:rsidRPr="00525D63">
              <w:t>Number of TX antennas</w:t>
            </w:r>
          </w:p>
        </w:tc>
        <w:tc>
          <w:tcPr>
            <w:tcW w:w="1396" w:type="dxa"/>
            <w:vMerge w:val="restart"/>
            <w:tcBorders>
              <w:top w:val="single" w:sz="4" w:space="0" w:color="auto"/>
              <w:left w:val="single" w:sz="4" w:space="0" w:color="auto"/>
              <w:bottom w:val="single" w:sz="4" w:space="0" w:color="auto"/>
              <w:right w:val="single" w:sz="4" w:space="0" w:color="auto"/>
            </w:tcBorders>
            <w:vAlign w:val="center"/>
            <w:hideMark/>
          </w:tcPr>
          <w:p w14:paraId="13FE1DB0" w14:textId="77777777" w:rsidR="00241417" w:rsidRPr="00525D63" w:rsidRDefault="00241417" w:rsidP="003A71DE">
            <w:pPr>
              <w:pStyle w:val="TAH"/>
            </w:pPr>
            <w:r w:rsidRPr="00525D63">
              <w:t>Number of demodulation branches</w:t>
            </w:r>
          </w:p>
        </w:tc>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16C597D8" w14:textId="36C72BB6" w:rsidR="00241417" w:rsidRPr="00525D63" w:rsidRDefault="00241417" w:rsidP="003A71DE">
            <w:pPr>
              <w:pStyle w:val="TAH"/>
            </w:pPr>
            <w:r w:rsidRPr="00525D63">
              <w:t xml:space="preserve">Propagation conditions and correlation matrix (Annex </w:t>
            </w:r>
            <w:r>
              <w:t>TBA</w:t>
            </w:r>
            <w:r w:rsidRPr="00525D63">
              <w:t>)</w:t>
            </w:r>
          </w:p>
        </w:tc>
        <w:tc>
          <w:tcPr>
            <w:tcW w:w="2389" w:type="dxa"/>
            <w:vMerge w:val="restart"/>
            <w:tcBorders>
              <w:top w:val="single" w:sz="4" w:space="0" w:color="auto"/>
              <w:left w:val="single" w:sz="4" w:space="0" w:color="auto"/>
              <w:bottom w:val="single" w:sz="4" w:space="0" w:color="auto"/>
              <w:right w:val="single" w:sz="4" w:space="0" w:color="auto"/>
            </w:tcBorders>
            <w:vAlign w:val="center"/>
            <w:hideMark/>
          </w:tcPr>
          <w:p w14:paraId="355F0812" w14:textId="77777777" w:rsidR="00241417" w:rsidRPr="00525D63" w:rsidRDefault="00241417" w:rsidP="003A71DE">
            <w:pPr>
              <w:pStyle w:val="TAH"/>
            </w:pPr>
            <w:r w:rsidRPr="00525D63">
              <w:t>Additional DM</w:t>
            </w:r>
            <w:r w:rsidRPr="00525D63">
              <w:noBreakHyphen/>
              <w:t>RS configuration</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9C562C6" w14:textId="77777777" w:rsidR="00241417" w:rsidRPr="00525D63" w:rsidRDefault="00241417" w:rsidP="003A71DE">
            <w:pPr>
              <w:pStyle w:val="TAH"/>
            </w:pPr>
            <w:r w:rsidRPr="00525D63">
              <w:t>Channel Bandwidth / SNR (dB)</w:t>
            </w:r>
          </w:p>
        </w:tc>
      </w:tr>
      <w:tr w:rsidR="00241417" w:rsidRPr="00525D63" w14:paraId="5454E019" w14:textId="77777777" w:rsidTr="003A71DE">
        <w:trPr>
          <w:jc w:val="center"/>
        </w:trPr>
        <w:tc>
          <w:tcPr>
            <w:tcW w:w="897" w:type="dxa"/>
            <w:vMerge/>
            <w:tcBorders>
              <w:top w:val="single" w:sz="4" w:space="0" w:color="auto"/>
              <w:left w:val="single" w:sz="4" w:space="0" w:color="auto"/>
              <w:bottom w:val="single" w:sz="4" w:space="0" w:color="auto"/>
              <w:right w:val="single" w:sz="4" w:space="0" w:color="auto"/>
            </w:tcBorders>
            <w:vAlign w:val="center"/>
            <w:hideMark/>
          </w:tcPr>
          <w:p w14:paraId="578455BA" w14:textId="77777777" w:rsidR="00241417" w:rsidRPr="002921FA" w:rsidRDefault="00241417" w:rsidP="003A71DE">
            <w:pPr>
              <w:pStyle w:val="TAH"/>
            </w:pPr>
          </w:p>
        </w:tc>
        <w:tc>
          <w:tcPr>
            <w:tcW w:w="1007" w:type="dxa"/>
            <w:vMerge/>
            <w:tcBorders>
              <w:top w:val="single" w:sz="4" w:space="0" w:color="auto"/>
              <w:left w:val="single" w:sz="4" w:space="0" w:color="auto"/>
              <w:bottom w:val="single" w:sz="4" w:space="0" w:color="auto"/>
              <w:right w:val="single" w:sz="4" w:space="0" w:color="auto"/>
            </w:tcBorders>
            <w:vAlign w:val="center"/>
            <w:hideMark/>
          </w:tcPr>
          <w:p w14:paraId="0AD9A9D9" w14:textId="77777777" w:rsidR="00241417" w:rsidRPr="002921FA" w:rsidRDefault="00241417" w:rsidP="003A71DE">
            <w:pPr>
              <w:pStyle w:val="TAH"/>
            </w:pPr>
          </w:p>
        </w:tc>
        <w:tc>
          <w:tcPr>
            <w:tcW w:w="1396" w:type="dxa"/>
            <w:vMerge/>
            <w:tcBorders>
              <w:top w:val="single" w:sz="4" w:space="0" w:color="auto"/>
              <w:left w:val="single" w:sz="4" w:space="0" w:color="auto"/>
              <w:bottom w:val="single" w:sz="4" w:space="0" w:color="auto"/>
              <w:right w:val="single" w:sz="4" w:space="0" w:color="auto"/>
            </w:tcBorders>
            <w:vAlign w:val="center"/>
            <w:hideMark/>
          </w:tcPr>
          <w:p w14:paraId="5B55A52D" w14:textId="77777777" w:rsidR="00241417" w:rsidRPr="002921FA" w:rsidRDefault="00241417" w:rsidP="003A71DE">
            <w:pPr>
              <w:pStyle w:val="TAH"/>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7FAE83CA" w14:textId="77777777" w:rsidR="00241417" w:rsidRPr="002921FA" w:rsidRDefault="00241417" w:rsidP="003A71DE">
            <w:pPr>
              <w:pStyle w:val="TAH"/>
            </w:pPr>
          </w:p>
        </w:tc>
        <w:tc>
          <w:tcPr>
            <w:tcW w:w="2389" w:type="dxa"/>
            <w:vMerge/>
            <w:tcBorders>
              <w:top w:val="single" w:sz="4" w:space="0" w:color="auto"/>
              <w:left w:val="single" w:sz="4" w:space="0" w:color="auto"/>
              <w:bottom w:val="single" w:sz="4" w:space="0" w:color="auto"/>
              <w:right w:val="single" w:sz="4" w:space="0" w:color="auto"/>
            </w:tcBorders>
            <w:vAlign w:val="center"/>
            <w:hideMark/>
          </w:tcPr>
          <w:p w14:paraId="6502D16B" w14:textId="77777777" w:rsidR="00241417" w:rsidRPr="002921FA" w:rsidRDefault="00241417" w:rsidP="003A71DE">
            <w:pPr>
              <w:pStyle w:val="TAH"/>
            </w:pPr>
          </w:p>
        </w:tc>
        <w:tc>
          <w:tcPr>
            <w:tcW w:w="0" w:type="auto"/>
            <w:tcBorders>
              <w:top w:val="single" w:sz="4" w:space="0" w:color="auto"/>
              <w:left w:val="single" w:sz="4" w:space="0" w:color="auto"/>
              <w:bottom w:val="single" w:sz="4" w:space="0" w:color="auto"/>
              <w:right w:val="single" w:sz="4" w:space="0" w:color="auto"/>
            </w:tcBorders>
            <w:vAlign w:val="center"/>
            <w:hideMark/>
          </w:tcPr>
          <w:p w14:paraId="3828EB96" w14:textId="77777777" w:rsidR="00241417" w:rsidRPr="00525D63" w:rsidRDefault="00241417" w:rsidP="003A71DE">
            <w:pPr>
              <w:pStyle w:val="TAH"/>
            </w:pPr>
            <w:r w:rsidRPr="00525D63">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14E29AAF" w14:textId="77777777" w:rsidR="00241417" w:rsidRPr="00525D63" w:rsidRDefault="00241417" w:rsidP="003A71DE">
            <w:pPr>
              <w:pStyle w:val="TAH"/>
            </w:pPr>
            <w:r w:rsidRPr="00525D63">
              <w:t>100 MHz</w:t>
            </w:r>
          </w:p>
        </w:tc>
      </w:tr>
      <w:tr w:rsidR="00241417" w:rsidRPr="00525D63" w14:paraId="0A83E4FA" w14:textId="77777777" w:rsidTr="003A71DE">
        <w:trPr>
          <w:jc w:val="center"/>
        </w:trPr>
        <w:tc>
          <w:tcPr>
            <w:tcW w:w="897" w:type="dxa"/>
            <w:vMerge w:val="restart"/>
            <w:tcBorders>
              <w:top w:val="single" w:sz="4" w:space="0" w:color="auto"/>
              <w:left w:val="single" w:sz="4" w:space="0" w:color="auto"/>
              <w:bottom w:val="single" w:sz="4" w:space="0" w:color="auto"/>
              <w:right w:val="single" w:sz="4" w:space="0" w:color="auto"/>
            </w:tcBorders>
            <w:vAlign w:val="center"/>
            <w:hideMark/>
          </w:tcPr>
          <w:p w14:paraId="57260595" w14:textId="77777777" w:rsidR="00241417" w:rsidRPr="00525D63" w:rsidRDefault="00241417" w:rsidP="003A71DE">
            <w:pPr>
              <w:pStyle w:val="TAC"/>
            </w:pPr>
            <w:r w:rsidRPr="00525D63">
              <w:t>1</w:t>
            </w:r>
          </w:p>
        </w:tc>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68B1118C" w14:textId="77777777" w:rsidR="00241417" w:rsidRPr="00525D63" w:rsidRDefault="00241417" w:rsidP="003A71DE">
            <w:pPr>
              <w:pStyle w:val="TAC"/>
            </w:pPr>
            <w:r w:rsidRPr="00525D63">
              <w:t>1</w:t>
            </w:r>
          </w:p>
        </w:tc>
        <w:tc>
          <w:tcPr>
            <w:tcW w:w="1396" w:type="dxa"/>
            <w:vMerge w:val="restart"/>
            <w:tcBorders>
              <w:top w:val="single" w:sz="4" w:space="0" w:color="auto"/>
              <w:left w:val="single" w:sz="4" w:space="0" w:color="auto"/>
              <w:bottom w:val="single" w:sz="4" w:space="0" w:color="auto"/>
              <w:right w:val="single" w:sz="4" w:space="0" w:color="auto"/>
            </w:tcBorders>
            <w:vAlign w:val="center"/>
            <w:hideMark/>
          </w:tcPr>
          <w:p w14:paraId="6BFB21B1" w14:textId="77777777" w:rsidR="00241417" w:rsidRPr="00525D63" w:rsidRDefault="00241417" w:rsidP="003A71DE">
            <w:pPr>
              <w:pStyle w:val="TAC"/>
            </w:pPr>
            <w:r w:rsidRPr="00525D63">
              <w:t>2</w:t>
            </w:r>
          </w:p>
        </w:tc>
        <w:tc>
          <w:tcPr>
            <w:tcW w:w="1701" w:type="dxa"/>
            <w:vMerge w:val="restart"/>
            <w:tcBorders>
              <w:top w:val="single" w:sz="4" w:space="0" w:color="auto"/>
              <w:left w:val="single" w:sz="4" w:space="0" w:color="auto"/>
              <w:bottom w:val="single" w:sz="4" w:space="0" w:color="auto"/>
              <w:right w:val="single" w:sz="4" w:space="0" w:color="auto"/>
            </w:tcBorders>
            <w:vAlign w:val="center"/>
            <w:hideMark/>
          </w:tcPr>
          <w:p w14:paraId="1C486A7B" w14:textId="77777777" w:rsidR="00241417" w:rsidRPr="00525D63" w:rsidRDefault="00241417" w:rsidP="003A71DE">
            <w:pPr>
              <w:pStyle w:val="TAC"/>
            </w:pPr>
            <w:r w:rsidRPr="00525D63">
              <w:t>TDLA30-300 Low</w:t>
            </w:r>
          </w:p>
        </w:tc>
        <w:tc>
          <w:tcPr>
            <w:tcW w:w="2389" w:type="dxa"/>
            <w:tcBorders>
              <w:top w:val="single" w:sz="4" w:space="0" w:color="auto"/>
              <w:left w:val="single" w:sz="4" w:space="0" w:color="auto"/>
              <w:bottom w:val="single" w:sz="4" w:space="0" w:color="auto"/>
              <w:right w:val="single" w:sz="4" w:space="0" w:color="auto"/>
            </w:tcBorders>
            <w:vAlign w:val="center"/>
            <w:hideMark/>
          </w:tcPr>
          <w:p w14:paraId="2129A8CF" w14:textId="77777777" w:rsidR="00241417" w:rsidRPr="00525D63" w:rsidRDefault="00241417" w:rsidP="003A71DE">
            <w:pPr>
              <w:pStyle w:val="TAC"/>
            </w:pPr>
            <w:r w:rsidRPr="00525D63">
              <w:t>No 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563DC28C" w14:textId="77777777" w:rsidR="00241417" w:rsidRPr="00525D63" w:rsidRDefault="00241417" w:rsidP="003A71DE">
            <w:pPr>
              <w:pStyle w:val="TAC"/>
            </w:pPr>
            <w:r w:rsidRPr="00525D63">
              <w:t>1.6</w:t>
            </w:r>
          </w:p>
        </w:tc>
        <w:tc>
          <w:tcPr>
            <w:tcW w:w="0" w:type="auto"/>
            <w:tcBorders>
              <w:top w:val="single" w:sz="4" w:space="0" w:color="auto"/>
              <w:left w:val="single" w:sz="4" w:space="0" w:color="auto"/>
              <w:bottom w:val="single" w:sz="4" w:space="0" w:color="auto"/>
              <w:right w:val="single" w:sz="4" w:space="0" w:color="auto"/>
            </w:tcBorders>
            <w:vAlign w:val="center"/>
            <w:hideMark/>
          </w:tcPr>
          <w:p w14:paraId="1A5D5B4A" w14:textId="77777777" w:rsidR="00241417" w:rsidRPr="00525D63" w:rsidRDefault="00241417" w:rsidP="003A71DE">
            <w:pPr>
              <w:pStyle w:val="TAC"/>
            </w:pPr>
            <w:r w:rsidRPr="00525D63">
              <w:t>0.7</w:t>
            </w:r>
          </w:p>
        </w:tc>
      </w:tr>
      <w:tr w:rsidR="00241417" w:rsidRPr="00525D63" w14:paraId="40562494" w14:textId="77777777" w:rsidTr="003A71DE">
        <w:trPr>
          <w:jc w:val="center"/>
        </w:trPr>
        <w:tc>
          <w:tcPr>
            <w:tcW w:w="897" w:type="dxa"/>
            <w:vMerge/>
            <w:tcBorders>
              <w:top w:val="single" w:sz="4" w:space="0" w:color="auto"/>
              <w:left w:val="single" w:sz="4" w:space="0" w:color="auto"/>
              <w:bottom w:val="single" w:sz="4" w:space="0" w:color="auto"/>
              <w:right w:val="single" w:sz="4" w:space="0" w:color="auto"/>
            </w:tcBorders>
            <w:vAlign w:val="center"/>
            <w:hideMark/>
          </w:tcPr>
          <w:p w14:paraId="00F3FC0D" w14:textId="77777777" w:rsidR="00241417" w:rsidRPr="002921FA" w:rsidRDefault="00241417" w:rsidP="003A71DE">
            <w:pPr>
              <w:pStyle w:val="TAC"/>
            </w:pPr>
          </w:p>
        </w:tc>
        <w:tc>
          <w:tcPr>
            <w:tcW w:w="1007" w:type="dxa"/>
            <w:vMerge/>
            <w:tcBorders>
              <w:top w:val="single" w:sz="4" w:space="0" w:color="auto"/>
              <w:left w:val="single" w:sz="4" w:space="0" w:color="auto"/>
              <w:bottom w:val="single" w:sz="4" w:space="0" w:color="auto"/>
              <w:right w:val="single" w:sz="4" w:space="0" w:color="auto"/>
            </w:tcBorders>
            <w:vAlign w:val="center"/>
            <w:hideMark/>
          </w:tcPr>
          <w:p w14:paraId="2B193F2A" w14:textId="77777777" w:rsidR="00241417" w:rsidRPr="002921FA" w:rsidRDefault="00241417" w:rsidP="003A71DE">
            <w:pPr>
              <w:pStyle w:val="TAC"/>
            </w:pPr>
          </w:p>
        </w:tc>
        <w:tc>
          <w:tcPr>
            <w:tcW w:w="1396" w:type="dxa"/>
            <w:vMerge/>
            <w:tcBorders>
              <w:top w:val="single" w:sz="4" w:space="0" w:color="auto"/>
              <w:left w:val="single" w:sz="4" w:space="0" w:color="auto"/>
              <w:bottom w:val="single" w:sz="4" w:space="0" w:color="auto"/>
              <w:right w:val="single" w:sz="4" w:space="0" w:color="auto"/>
            </w:tcBorders>
            <w:vAlign w:val="center"/>
            <w:hideMark/>
          </w:tcPr>
          <w:p w14:paraId="0298E9D5" w14:textId="77777777" w:rsidR="00241417" w:rsidRPr="002921FA" w:rsidRDefault="00241417" w:rsidP="003A71DE">
            <w:pPr>
              <w:pStyle w:val="TAC"/>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3F4F3881" w14:textId="77777777" w:rsidR="00241417" w:rsidRPr="002921FA" w:rsidRDefault="00241417" w:rsidP="003A71DE">
            <w:pPr>
              <w:pStyle w:val="TAC"/>
            </w:pPr>
          </w:p>
        </w:tc>
        <w:tc>
          <w:tcPr>
            <w:tcW w:w="2389" w:type="dxa"/>
            <w:tcBorders>
              <w:top w:val="single" w:sz="4" w:space="0" w:color="auto"/>
              <w:left w:val="single" w:sz="4" w:space="0" w:color="auto"/>
              <w:bottom w:val="single" w:sz="4" w:space="0" w:color="auto"/>
              <w:right w:val="single" w:sz="4" w:space="0" w:color="auto"/>
            </w:tcBorders>
            <w:vAlign w:val="center"/>
            <w:hideMark/>
          </w:tcPr>
          <w:p w14:paraId="5D377DD3" w14:textId="77777777" w:rsidR="00241417" w:rsidRPr="002921FA" w:rsidRDefault="00241417" w:rsidP="003A71DE">
            <w:pPr>
              <w:pStyle w:val="TAC"/>
            </w:pPr>
            <w:r w:rsidRPr="002921FA">
              <w:t>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34E2EF5B" w14:textId="77777777" w:rsidR="00241417" w:rsidRPr="002921FA" w:rsidRDefault="00241417" w:rsidP="003A71DE">
            <w:pPr>
              <w:pStyle w:val="TAC"/>
            </w:pPr>
            <w:r w:rsidRPr="002921FA">
              <w:t>1.3</w:t>
            </w:r>
          </w:p>
        </w:tc>
        <w:tc>
          <w:tcPr>
            <w:tcW w:w="0" w:type="auto"/>
            <w:tcBorders>
              <w:top w:val="single" w:sz="4" w:space="0" w:color="auto"/>
              <w:left w:val="single" w:sz="4" w:space="0" w:color="auto"/>
              <w:bottom w:val="single" w:sz="4" w:space="0" w:color="auto"/>
              <w:right w:val="single" w:sz="4" w:space="0" w:color="auto"/>
            </w:tcBorders>
            <w:vAlign w:val="center"/>
            <w:hideMark/>
          </w:tcPr>
          <w:p w14:paraId="01053886" w14:textId="77777777" w:rsidR="00241417" w:rsidRPr="002921FA" w:rsidRDefault="00241417" w:rsidP="003A71DE">
            <w:pPr>
              <w:pStyle w:val="TAC"/>
            </w:pPr>
            <w:r w:rsidRPr="002921FA">
              <w:t>0.9</w:t>
            </w:r>
          </w:p>
        </w:tc>
      </w:tr>
      <w:tr w:rsidR="00241417" w:rsidRPr="00525D63" w14:paraId="420E8B49" w14:textId="77777777" w:rsidTr="003A71DE">
        <w:trPr>
          <w:jc w:val="center"/>
        </w:trPr>
        <w:tc>
          <w:tcPr>
            <w:tcW w:w="897" w:type="dxa"/>
            <w:tcBorders>
              <w:top w:val="single" w:sz="4" w:space="0" w:color="auto"/>
              <w:left w:val="single" w:sz="4" w:space="0" w:color="auto"/>
              <w:bottom w:val="single" w:sz="4" w:space="0" w:color="auto"/>
              <w:right w:val="single" w:sz="4" w:space="0" w:color="auto"/>
            </w:tcBorders>
            <w:vAlign w:val="center"/>
            <w:hideMark/>
          </w:tcPr>
          <w:p w14:paraId="43C60893" w14:textId="77777777" w:rsidR="00241417" w:rsidRPr="00525D63" w:rsidRDefault="00241417" w:rsidP="003A71DE">
            <w:pPr>
              <w:pStyle w:val="TAC"/>
            </w:pPr>
            <w:r w:rsidRPr="00525D63">
              <w:t>2</w:t>
            </w:r>
          </w:p>
        </w:tc>
        <w:tc>
          <w:tcPr>
            <w:tcW w:w="1007" w:type="dxa"/>
            <w:tcBorders>
              <w:top w:val="single" w:sz="4" w:space="0" w:color="auto"/>
              <w:left w:val="single" w:sz="4" w:space="0" w:color="auto"/>
              <w:bottom w:val="single" w:sz="4" w:space="0" w:color="auto"/>
              <w:right w:val="single" w:sz="4" w:space="0" w:color="auto"/>
            </w:tcBorders>
            <w:vAlign w:val="center"/>
            <w:hideMark/>
          </w:tcPr>
          <w:p w14:paraId="1F43C74C" w14:textId="77777777" w:rsidR="00241417" w:rsidRPr="00525D63" w:rsidRDefault="00241417" w:rsidP="003A71DE">
            <w:pPr>
              <w:pStyle w:val="TAC"/>
            </w:pPr>
            <w:r w:rsidRPr="00525D63">
              <w:t>1</w:t>
            </w:r>
          </w:p>
        </w:tc>
        <w:tc>
          <w:tcPr>
            <w:tcW w:w="1396" w:type="dxa"/>
            <w:tcBorders>
              <w:top w:val="single" w:sz="4" w:space="0" w:color="auto"/>
              <w:left w:val="single" w:sz="4" w:space="0" w:color="auto"/>
              <w:bottom w:val="single" w:sz="4" w:space="0" w:color="auto"/>
              <w:right w:val="single" w:sz="4" w:space="0" w:color="auto"/>
            </w:tcBorders>
            <w:vAlign w:val="center"/>
            <w:hideMark/>
          </w:tcPr>
          <w:p w14:paraId="06416490" w14:textId="77777777" w:rsidR="00241417" w:rsidRPr="00525D63" w:rsidRDefault="00241417" w:rsidP="003A71DE">
            <w:pPr>
              <w:pStyle w:val="TAC"/>
            </w:pPr>
            <w:r w:rsidRPr="00525D63">
              <w:t>2</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5BB9366" w14:textId="77777777" w:rsidR="00241417" w:rsidRPr="00525D63" w:rsidRDefault="00241417" w:rsidP="003A71DE">
            <w:pPr>
              <w:pStyle w:val="TAC"/>
            </w:pPr>
            <w:r w:rsidRPr="00525D63">
              <w:t>TDLA30-300 Low</w:t>
            </w:r>
          </w:p>
        </w:tc>
        <w:tc>
          <w:tcPr>
            <w:tcW w:w="2389" w:type="dxa"/>
            <w:tcBorders>
              <w:top w:val="single" w:sz="4" w:space="0" w:color="auto"/>
              <w:left w:val="single" w:sz="4" w:space="0" w:color="auto"/>
              <w:bottom w:val="single" w:sz="4" w:space="0" w:color="auto"/>
              <w:right w:val="single" w:sz="4" w:space="0" w:color="auto"/>
            </w:tcBorders>
            <w:vAlign w:val="center"/>
            <w:hideMark/>
          </w:tcPr>
          <w:p w14:paraId="5812748A" w14:textId="77777777" w:rsidR="00241417" w:rsidRPr="00525D63" w:rsidRDefault="00241417" w:rsidP="003A71DE">
            <w:pPr>
              <w:pStyle w:val="TAC"/>
            </w:pPr>
            <w:r w:rsidRPr="00525D63">
              <w:t>No 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570DACB8" w14:textId="77777777" w:rsidR="00241417" w:rsidRPr="00525D63" w:rsidRDefault="00241417" w:rsidP="003A71DE">
            <w:pPr>
              <w:pStyle w:val="TAC"/>
            </w:pPr>
            <w:r w:rsidRPr="00525D63">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42A7FFD6" w14:textId="77777777" w:rsidR="00241417" w:rsidRPr="00525D63" w:rsidRDefault="00241417" w:rsidP="003A71DE">
            <w:pPr>
              <w:pStyle w:val="TAC"/>
            </w:pPr>
            <w:r w:rsidRPr="00525D63">
              <w:t>2.4</w:t>
            </w:r>
          </w:p>
        </w:tc>
      </w:tr>
    </w:tbl>
    <w:p w14:paraId="4302417E" w14:textId="77777777" w:rsidR="00241417" w:rsidRDefault="00241417" w:rsidP="00241417"/>
    <w:p w14:paraId="48974DAC" w14:textId="77777777" w:rsidR="00241417" w:rsidRPr="00525D63" w:rsidRDefault="00241417" w:rsidP="00241417">
      <w:pPr>
        <w:pStyle w:val="TH"/>
      </w:pPr>
      <w:r w:rsidRPr="00525D63">
        <w:t>Table 11.1.3.2.5.2-2: Required SNR for PUCCH format 3 with 120kHz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0"/>
        <w:gridCol w:w="1035"/>
        <w:gridCol w:w="1416"/>
        <w:gridCol w:w="1676"/>
        <w:gridCol w:w="1948"/>
        <w:gridCol w:w="586"/>
        <w:gridCol w:w="937"/>
        <w:gridCol w:w="937"/>
      </w:tblGrid>
      <w:tr w:rsidR="00241417" w:rsidRPr="00525D63" w14:paraId="31559641" w14:textId="77777777" w:rsidTr="003A71DE">
        <w:trPr>
          <w:trHeight w:val="227"/>
          <w:jc w:val="center"/>
        </w:trPr>
        <w:tc>
          <w:tcPr>
            <w:tcW w:w="940" w:type="dxa"/>
            <w:vMerge w:val="restart"/>
            <w:tcBorders>
              <w:top w:val="single" w:sz="4" w:space="0" w:color="auto"/>
              <w:left w:val="single" w:sz="4" w:space="0" w:color="auto"/>
              <w:bottom w:val="single" w:sz="4" w:space="0" w:color="auto"/>
              <w:right w:val="single" w:sz="4" w:space="0" w:color="auto"/>
            </w:tcBorders>
            <w:vAlign w:val="center"/>
            <w:hideMark/>
          </w:tcPr>
          <w:p w14:paraId="6F8BA396" w14:textId="77777777" w:rsidR="00241417" w:rsidRPr="00525D63" w:rsidRDefault="00241417" w:rsidP="003A71DE">
            <w:pPr>
              <w:pStyle w:val="TAH"/>
            </w:pPr>
            <w:r w:rsidRPr="00525D63">
              <w:t>Test Number</w:t>
            </w:r>
          </w:p>
        </w:tc>
        <w:tc>
          <w:tcPr>
            <w:tcW w:w="1035" w:type="dxa"/>
            <w:vMerge w:val="restart"/>
            <w:tcBorders>
              <w:top w:val="single" w:sz="4" w:space="0" w:color="auto"/>
              <w:left w:val="single" w:sz="4" w:space="0" w:color="auto"/>
              <w:bottom w:val="single" w:sz="4" w:space="0" w:color="auto"/>
              <w:right w:val="single" w:sz="4" w:space="0" w:color="auto"/>
            </w:tcBorders>
            <w:vAlign w:val="center"/>
            <w:hideMark/>
          </w:tcPr>
          <w:p w14:paraId="5B0FA51B" w14:textId="77777777" w:rsidR="00241417" w:rsidRPr="00525D63" w:rsidRDefault="00241417" w:rsidP="003A71DE">
            <w:pPr>
              <w:pStyle w:val="TAH"/>
            </w:pPr>
            <w:r w:rsidRPr="00525D63">
              <w:t>Number of TX antennas</w:t>
            </w:r>
          </w:p>
        </w:tc>
        <w:tc>
          <w:tcPr>
            <w:tcW w:w="1416" w:type="dxa"/>
            <w:vMerge w:val="restart"/>
            <w:tcBorders>
              <w:top w:val="single" w:sz="4" w:space="0" w:color="auto"/>
              <w:left w:val="single" w:sz="4" w:space="0" w:color="auto"/>
              <w:bottom w:val="single" w:sz="4" w:space="0" w:color="auto"/>
              <w:right w:val="single" w:sz="4" w:space="0" w:color="auto"/>
            </w:tcBorders>
            <w:vAlign w:val="center"/>
            <w:hideMark/>
          </w:tcPr>
          <w:p w14:paraId="023DE124" w14:textId="77777777" w:rsidR="00241417" w:rsidRPr="00525D63" w:rsidRDefault="00241417" w:rsidP="003A71DE">
            <w:pPr>
              <w:pStyle w:val="TAH"/>
            </w:pPr>
            <w:r w:rsidRPr="00525D63">
              <w:t>Number of demodulation branches</w:t>
            </w:r>
          </w:p>
        </w:tc>
        <w:tc>
          <w:tcPr>
            <w:tcW w:w="1676" w:type="dxa"/>
            <w:vMerge w:val="restart"/>
            <w:tcBorders>
              <w:top w:val="single" w:sz="4" w:space="0" w:color="auto"/>
              <w:left w:val="single" w:sz="4" w:space="0" w:color="auto"/>
              <w:bottom w:val="single" w:sz="4" w:space="0" w:color="auto"/>
              <w:right w:val="single" w:sz="4" w:space="0" w:color="auto"/>
            </w:tcBorders>
            <w:vAlign w:val="center"/>
            <w:hideMark/>
          </w:tcPr>
          <w:p w14:paraId="1AF2DDE0" w14:textId="11E4BB83" w:rsidR="00241417" w:rsidRPr="00525D63" w:rsidRDefault="00241417" w:rsidP="003A71DE">
            <w:pPr>
              <w:pStyle w:val="TAH"/>
            </w:pPr>
            <w:r w:rsidRPr="00525D63">
              <w:t xml:space="preserve">Propagation conditions and correlation matrix (Annex </w:t>
            </w:r>
            <w:r>
              <w:t>TBA</w:t>
            </w:r>
            <w:r w:rsidRPr="00525D63">
              <w:t>)</w:t>
            </w:r>
          </w:p>
        </w:tc>
        <w:tc>
          <w:tcPr>
            <w:tcW w:w="1948" w:type="dxa"/>
            <w:vMerge w:val="restart"/>
            <w:tcBorders>
              <w:top w:val="single" w:sz="4" w:space="0" w:color="auto"/>
              <w:left w:val="single" w:sz="4" w:space="0" w:color="auto"/>
              <w:bottom w:val="single" w:sz="4" w:space="0" w:color="auto"/>
              <w:right w:val="single" w:sz="4" w:space="0" w:color="auto"/>
            </w:tcBorders>
            <w:vAlign w:val="center"/>
            <w:hideMark/>
          </w:tcPr>
          <w:p w14:paraId="72368BE7" w14:textId="77777777" w:rsidR="00241417" w:rsidRPr="00525D63" w:rsidRDefault="00241417" w:rsidP="003A71DE">
            <w:pPr>
              <w:pStyle w:val="TAH"/>
            </w:pPr>
            <w:r w:rsidRPr="00525D63">
              <w:t>Additional DM</w:t>
            </w:r>
            <w:r w:rsidRPr="00525D63">
              <w:noBreakHyphen/>
              <w:t>RS configuration</w:t>
            </w:r>
          </w:p>
        </w:tc>
        <w:tc>
          <w:tcPr>
            <w:tcW w:w="1758" w:type="dxa"/>
            <w:gridSpan w:val="3"/>
            <w:tcBorders>
              <w:top w:val="single" w:sz="4" w:space="0" w:color="auto"/>
              <w:left w:val="single" w:sz="4" w:space="0" w:color="auto"/>
              <w:bottom w:val="single" w:sz="4" w:space="0" w:color="auto"/>
              <w:right w:val="single" w:sz="4" w:space="0" w:color="auto"/>
            </w:tcBorders>
            <w:vAlign w:val="center"/>
            <w:hideMark/>
          </w:tcPr>
          <w:p w14:paraId="31A2103C" w14:textId="77777777" w:rsidR="00241417" w:rsidRPr="00525D63" w:rsidRDefault="00241417" w:rsidP="003A71DE">
            <w:pPr>
              <w:pStyle w:val="TAH"/>
            </w:pPr>
            <w:r w:rsidRPr="00525D63">
              <w:t>Channel Bandwidth / SNR (dB)</w:t>
            </w:r>
          </w:p>
        </w:tc>
      </w:tr>
      <w:tr w:rsidR="00241417" w:rsidRPr="00525D63" w14:paraId="5A89A8F8" w14:textId="77777777" w:rsidTr="003A71DE">
        <w:trPr>
          <w:trHeight w:val="160"/>
          <w:jc w:val="center"/>
        </w:trPr>
        <w:tc>
          <w:tcPr>
            <w:tcW w:w="940" w:type="dxa"/>
            <w:vMerge/>
            <w:tcBorders>
              <w:top w:val="single" w:sz="4" w:space="0" w:color="auto"/>
              <w:left w:val="single" w:sz="4" w:space="0" w:color="auto"/>
              <w:bottom w:val="single" w:sz="4" w:space="0" w:color="auto"/>
              <w:right w:val="single" w:sz="4" w:space="0" w:color="auto"/>
            </w:tcBorders>
            <w:vAlign w:val="center"/>
            <w:hideMark/>
          </w:tcPr>
          <w:p w14:paraId="3B7207E4" w14:textId="77777777" w:rsidR="00241417" w:rsidRPr="002921FA" w:rsidRDefault="00241417" w:rsidP="003A71DE">
            <w:pPr>
              <w:pStyle w:val="TAH"/>
            </w:pPr>
          </w:p>
        </w:tc>
        <w:tc>
          <w:tcPr>
            <w:tcW w:w="1035" w:type="dxa"/>
            <w:vMerge/>
            <w:tcBorders>
              <w:top w:val="single" w:sz="4" w:space="0" w:color="auto"/>
              <w:left w:val="single" w:sz="4" w:space="0" w:color="auto"/>
              <w:bottom w:val="single" w:sz="4" w:space="0" w:color="auto"/>
              <w:right w:val="single" w:sz="4" w:space="0" w:color="auto"/>
            </w:tcBorders>
            <w:vAlign w:val="center"/>
            <w:hideMark/>
          </w:tcPr>
          <w:p w14:paraId="20A58C39" w14:textId="77777777" w:rsidR="00241417" w:rsidRPr="002921FA" w:rsidRDefault="00241417" w:rsidP="003A71DE">
            <w:pPr>
              <w:pStyle w:val="TAH"/>
            </w:pPr>
          </w:p>
        </w:tc>
        <w:tc>
          <w:tcPr>
            <w:tcW w:w="1416" w:type="dxa"/>
            <w:vMerge/>
            <w:tcBorders>
              <w:top w:val="single" w:sz="4" w:space="0" w:color="auto"/>
              <w:left w:val="single" w:sz="4" w:space="0" w:color="auto"/>
              <w:bottom w:val="single" w:sz="4" w:space="0" w:color="auto"/>
              <w:right w:val="single" w:sz="4" w:space="0" w:color="auto"/>
            </w:tcBorders>
            <w:vAlign w:val="center"/>
            <w:hideMark/>
          </w:tcPr>
          <w:p w14:paraId="0A012ABF" w14:textId="77777777" w:rsidR="00241417" w:rsidRPr="002921FA" w:rsidRDefault="00241417" w:rsidP="003A71DE">
            <w:pPr>
              <w:pStyle w:val="TAH"/>
            </w:pPr>
          </w:p>
        </w:tc>
        <w:tc>
          <w:tcPr>
            <w:tcW w:w="1676" w:type="dxa"/>
            <w:vMerge/>
            <w:tcBorders>
              <w:top w:val="single" w:sz="4" w:space="0" w:color="auto"/>
              <w:left w:val="single" w:sz="4" w:space="0" w:color="auto"/>
              <w:bottom w:val="single" w:sz="4" w:space="0" w:color="auto"/>
              <w:right w:val="single" w:sz="4" w:space="0" w:color="auto"/>
            </w:tcBorders>
            <w:vAlign w:val="center"/>
            <w:hideMark/>
          </w:tcPr>
          <w:p w14:paraId="69D1922A" w14:textId="77777777" w:rsidR="00241417" w:rsidRPr="002921FA" w:rsidRDefault="00241417" w:rsidP="003A71DE">
            <w:pPr>
              <w:pStyle w:val="TAH"/>
            </w:pPr>
          </w:p>
        </w:tc>
        <w:tc>
          <w:tcPr>
            <w:tcW w:w="1948" w:type="dxa"/>
            <w:vMerge/>
            <w:tcBorders>
              <w:top w:val="single" w:sz="4" w:space="0" w:color="auto"/>
              <w:left w:val="single" w:sz="4" w:space="0" w:color="auto"/>
              <w:bottom w:val="single" w:sz="4" w:space="0" w:color="auto"/>
              <w:right w:val="single" w:sz="4" w:space="0" w:color="auto"/>
            </w:tcBorders>
            <w:vAlign w:val="center"/>
            <w:hideMark/>
          </w:tcPr>
          <w:p w14:paraId="27E1389D" w14:textId="77777777" w:rsidR="00241417" w:rsidRPr="002921FA" w:rsidRDefault="00241417" w:rsidP="003A71DE">
            <w:pPr>
              <w:pStyle w:val="TAH"/>
            </w:pPr>
          </w:p>
        </w:tc>
        <w:tc>
          <w:tcPr>
            <w:tcW w:w="586" w:type="dxa"/>
            <w:tcBorders>
              <w:top w:val="single" w:sz="4" w:space="0" w:color="auto"/>
              <w:left w:val="single" w:sz="4" w:space="0" w:color="auto"/>
              <w:bottom w:val="single" w:sz="4" w:space="0" w:color="auto"/>
              <w:right w:val="single" w:sz="4" w:space="0" w:color="auto"/>
            </w:tcBorders>
            <w:vAlign w:val="center"/>
            <w:hideMark/>
          </w:tcPr>
          <w:p w14:paraId="0645B355" w14:textId="77777777" w:rsidR="00241417" w:rsidRPr="00525D63" w:rsidRDefault="00241417" w:rsidP="003A71DE">
            <w:pPr>
              <w:pStyle w:val="TAH"/>
            </w:pPr>
            <w:r w:rsidRPr="00525D63">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3AFD849E" w14:textId="77777777" w:rsidR="00241417" w:rsidRPr="00525D63" w:rsidRDefault="00241417" w:rsidP="003A71DE">
            <w:pPr>
              <w:pStyle w:val="TAH"/>
            </w:pPr>
            <w:r w:rsidRPr="00525D63">
              <w:t>100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2AD578D7" w14:textId="77777777" w:rsidR="00241417" w:rsidRPr="00525D63" w:rsidRDefault="00241417" w:rsidP="003A71DE">
            <w:pPr>
              <w:pStyle w:val="TAH"/>
            </w:pPr>
            <w:r w:rsidRPr="00525D63">
              <w:t>200 MHz</w:t>
            </w:r>
          </w:p>
        </w:tc>
      </w:tr>
      <w:tr w:rsidR="00241417" w:rsidRPr="00525D63" w14:paraId="41F980F9" w14:textId="77777777" w:rsidTr="003A71DE">
        <w:trPr>
          <w:trHeight w:val="180"/>
          <w:jc w:val="center"/>
        </w:trPr>
        <w:tc>
          <w:tcPr>
            <w:tcW w:w="940" w:type="dxa"/>
            <w:vMerge w:val="restart"/>
            <w:tcBorders>
              <w:top w:val="single" w:sz="4" w:space="0" w:color="auto"/>
              <w:left w:val="single" w:sz="4" w:space="0" w:color="auto"/>
              <w:bottom w:val="single" w:sz="4" w:space="0" w:color="auto"/>
              <w:right w:val="single" w:sz="4" w:space="0" w:color="auto"/>
            </w:tcBorders>
            <w:vAlign w:val="center"/>
            <w:hideMark/>
          </w:tcPr>
          <w:p w14:paraId="6E241C44" w14:textId="77777777" w:rsidR="00241417" w:rsidRPr="00525D63" w:rsidRDefault="00241417" w:rsidP="003A71DE">
            <w:pPr>
              <w:pStyle w:val="TAC"/>
            </w:pPr>
            <w:r w:rsidRPr="00525D63">
              <w:t>1</w:t>
            </w:r>
          </w:p>
        </w:tc>
        <w:tc>
          <w:tcPr>
            <w:tcW w:w="1035" w:type="dxa"/>
            <w:vMerge w:val="restart"/>
            <w:tcBorders>
              <w:top w:val="single" w:sz="4" w:space="0" w:color="auto"/>
              <w:left w:val="single" w:sz="4" w:space="0" w:color="auto"/>
              <w:bottom w:val="single" w:sz="4" w:space="0" w:color="auto"/>
              <w:right w:val="single" w:sz="4" w:space="0" w:color="auto"/>
            </w:tcBorders>
            <w:vAlign w:val="center"/>
            <w:hideMark/>
          </w:tcPr>
          <w:p w14:paraId="7A5D454D" w14:textId="77777777" w:rsidR="00241417" w:rsidRPr="00525D63" w:rsidRDefault="00241417" w:rsidP="003A71DE">
            <w:pPr>
              <w:pStyle w:val="TAC"/>
            </w:pPr>
            <w:r w:rsidRPr="00525D63">
              <w:t>1</w:t>
            </w:r>
          </w:p>
        </w:tc>
        <w:tc>
          <w:tcPr>
            <w:tcW w:w="1416" w:type="dxa"/>
            <w:vMerge w:val="restart"/>
            <w:tcBorders>
              <w:top w:val="single" w:sz="4" w:space="0" w:color="auto"/>
              <w:left w:val="single" w:sz="4" w:space="0" w:color="auto"/>
              <w:bottom w:val="single" w:sz="4" w:space="0" w:color="auto"/>
              <w:right w:val="single" w:sz="4" w:space="0" w:color="auto"/>
            </w:tcBorders>
            <w:vAlign w:val="center"/>
            <w:hideMark/>
          </w:tcPr>
          <w:p w14:paraId="67388AB0" w14:textId="77777777" w:rsidR="00241417" w:rsidRPr="00525D63" w:rsidRDefault="00241417" w:rsidP="003A71DE">
            <w:pPr>
              <w:pStyle w:val="TAC"/>
            </w:pPr>
            <w:r w:rsidRPr="00525D63">
              <w:t>2</w:t>
            </w:r>
          </w:p>
        </w:tc>
        <w:tc>
          <w:tcPr>
            <w:tcW w:w="1676" w:type="dxa"/>
            <w:vMerge w:val="restart"/>
            <w:tcBorders>
              <w:top w:val="single" w:sz="4" w:space="0" w:color="auto"/>
              <w:left w:val="single" w:sz="4" w:space="0" w:color="auto"/>
              <w:bottom w:val="single" w:sz="4" w:space="0" w:color="auto"/>
              <w:right w:val="single" w:sz="4" w:space="0" w:color="auto"/>
            </w:tcBorders>
            <w:vAlign w:val="center"/>
            <w:hideMark/>
          </w:tcPr>
          <w:p w14:paraId="7F2D7B8B" w14:textId="77777777" w:rsidR="00241417" w:rsidRPr="00525D63" w:rsidRDefault="00241417" w:rsidP="003A71DE">
            <w:pPr>
              <w:pStyle w:val="TAC"/>
            </w:pPr>
            <w:r w:rsidRPr="00525D63">
              <w:t>TDLA30-300 Low</w:t>
            </w:r>
          </w:p>
        </w:tc>
        <w:tc>
          <w:tcPr>
            <w:tcW w:w="1948" w:type="dxa"/>
            <w:tcBorders>
              <w:top w:val="single" w:sz="4" w:space="0" w:color="auto"/>
              <w:left w:val="single" w:sz="4" w:space="0" w:color="auto"/>
              <w:bottom w:val="single" w:sz="4" w:space="0" w:color="auto"/>
              <w:right w:val="single" w:sz="4" w:space="0" w:color="auto"/>
            </w:tcBorders>
            <w:vAlign w:val="center"/>
            <w:hideMark/>
          </w:tcPr>
          <w:p w14:paraId="0EE97C22" w14:textId="77777777" w:rsidR="00241417" w:rsidRPr="00525D63" w:rsidRDefault="00241417" w:rsidP="003A71DE">
            <w:pPr>
              <w:pStyle w:val="TAC"/>
            </w:pPr>
            <w:r w:rsidRPr="00525D63">
              <w:t>No additional DM-RS</w:t>
            </w:r>
          </w:p>
        </w:tc>
        <w:tc>
          <w:tcPr>
            <w:tcW w:w="586" w:type="dxa"/>
            <w:tcBorders>
              <w:top w:val="single" w:sz="4" w:space="0" w:color="auto"/>
              <w:left w:val="single" w:sz="4" w:space="0" w:color="auto"/>
              <w:bottom w:val="single" w:sz="4" w:space="0" w:color="auto"/>
              <w:right w:val="single" w:sz="4" w:space="0" w:color="auto"/>
            </w:tcBorders>
            <w:vAlign w:val="center"/>
            <w:hideMark/>
          </w:tcPr>
          <w:p w14:paraId="2E4BE8EA" w14:textId="77777777" w:rsidR="00241417" w:rsidRPr="00525D63" w:rsidRDefault="00241417" w:rsidP="003A71DE">
            <w:pPr>
              <w:pStyle w:val="TAC"/>
            </w:pPr>
            <w:r w:rsidRPr="00525D63">
              <w:t>1.4</w:t>
            </w:r>
          </w:p>
        </w:tc>
        <w:tc>
          <w:tcPr>
            <w:tcW w:w="0" w:type="auto"/>
            <w:tcBorders>
              <w:top w:val="single" w:sz="4" w:space="0" w:color="auto"/>
              <w:left w:val="single" w:sz="4" w:space="0" w:color="auto"/>
              <w:bottom w:val="single" w:sz="4" w:space="0" w:color="auto"/>
              <w:right w:val="single" w:sz="4" w:space="0" w:color="auto"/>
            </w:tcBorders>
            <w:vAlign w:val="center"/>
            <w:hideMark/>
          </w:tcPr>
          <w:p w14:paraId="31331434" w14:textId="77777777" w:rsidR="00241417" w:rsidRPr="00525D63" w:rsidRDefault="00241417" w:rsidP="003A71DE">
            <w:pPr>
              <w:pStyle w:val="TAC"/>
            </w:pPr>
            <w:r w:rsidRPr="00525D63">
              <w:t>0.7</w:t>
            </w:r>
          </w:p>
        </w:tc>
        <w:tc>
          <w:tcPr>
            <w:tcW w:w="0" w:type="auto"/>
            <w:tcBorders>
              <w:top w:val="single" w:sz="4" w:space="0" w:color="auto"/>
              <w:left w:val="single" w:sz="4" w:space="0" w:color="auto"/>
              <w:bottom w:val="single" w:sz="4" w:space="0" w:color="auto"/>
              <w:right w:val="single" w:sz="4" w:space="0" w:color="auto"/>
            </w:tcBorders>
            <w:vAlign w:val="center"/>
            <w:hideMark/>
          </w:tcPr>
          <w:p w14:paraId="0F9AD567" w14:textId="77777777" w:rsidR="00241417" w:rsidRPr="00525D63" w:rsidRDefault="00241417" w:rsidP="003A71DE">
            <w:pPr>
              <w:pStyle w:val="TAC"/>
            </w:pPr>
            <w:r w:rsidRPr="00525D63">
              <w:t>0.7</w:t>
            </w:r>
          </w:p>
        </w:tc>
      </w:tr>
      <w:tr w:rsidR="00241417" w:rsidRPr="00525D63" w14:paraId="584760D4" w14:textId="77777777" w:rsidTr="003A71DE">
        <w:trPr>
          <w:trHeight w:val="180"/>
          <w:jc w:val="center"/>
        </w:trPr>
        <w:tc>
          <w:tcPr>
            <w:tcW w:w="940" w:type="dxa"/>
            <w:vMerge/>
            <w:tcBorders>
              <w:top w:val="single" w:sz="4" w:space="0" w:color="auto"/>
              <w:left w:val="single" w:sz="4" w:space="0" w:color="auto"/>
              <w:bottom w:val="single" w:sz="4" w:space="0" w:color="auto"/>
              <w:right w:val="single" w:sz="4" w:space="0" w:color="auto"/>
            </w:tcBorders>
            <w:vAlign w:val="center"/>
            <w:hideMark/>
          </w:tcPr>
          <w:p w14:paraId="1BD59EE9" w14:textId="77777777" w:rsidR="00241417" w:rsidRPr="002921FA" w:rsidRDefault="00241417" w:rsidP="003A71DE">
            <w:pPr>
              <w:pStyle w:val="TAC"/>
            </w:pPr>
          </w:p>
        </w:tc>
        <w:tc>
          <w:tcPr>
            <w:tcW w:w="1035" w:type="dxa"/>
            <w:vMerge/>
            <w:tcBorders>
              <w:top w:val="single" w:sz="4" w:space="0" w:color="auto"/>
              <w:left w:val="single" w:sz="4" w:space="0" w:color="auto"/>
              <w:bottom w:val="single" w:sz="4" w:space="0" w:color="auto"/>
              <w:right w:val="single" w:sz="4" w:space="0" w:color="auto"/>
            </w:tcBorders>
            <w:vAlign w:val="center"/>
            <w:hideMark/>
          </w:tcPr>
          <w:p w14:paraId="6D3E0AF0" w14:textId="77777777" w:rsidR="00241417" w:rsidRPr="002921FA" w:rsidRDefault="00241417" w:rsidP="003A71DE">
            <w:pPr>
              <w:pStyle w:val="TAC"/>
            </w:pPr>
          </w:p>
        </w:tc>
        <w:tc>
          <w:tcPr>
            <w:tcW w:w="1416" w:type="dxa"/>
            <w:vMerge/>
            <w:tcBorders>
              <w:top w:val="single" w:sz="4" w:space="0" w:color="auto"/>
              <w:left w:val="single" w:sz="4" w:space="0" w:color="auto"/>
              <w:bottom w:val="single" w:sz="4" w:space="0" w:color="auto"/>
              <w:right w:val="single" w:sz="4" w:space="0" w:color="auto"/>
            </w:tcBorders>
            <w:vAlign w:val="center"/>
            <w:hideMark/>
          </w:tcPr>
          <w:p w14:paraId="00367F2B" w14:textId="77777777" w:rsidR="00241417" w:rsidRPr="002921FA" w:rsidRDefault="00241417" w:rsidP="003A71DE">
            <w:pPr>
              <w:pStyle w:val="TAC"/>
            </w:pPr>
          </w:p>
        </w:tc>
        <w:tc>
          <w:tcPr>
            <w:tcW w:w="1676" w:type="dxa"/>
            <w:vMerge/>
            <w:tcBorders>
              <w:top w:val="single" w:sz="4" w:space="0" w:color="auto"/>
              <w:left w:val="single" w:sz="4" w:space="0" w:color="auto"/>
              <w:bottom w:val="single" w:sz="4" w:space="0" w:color="auto"/>
              <w:right w:val="single" w:sz="4" w:space="0" w:color="auto"/>
            </w:tcBorders>
            <w:vAlign w:val="center"/>
            <w:hideMark/>
          </w:tcPr>
          <w:p w14:paraId="45B95057" w14:textId="77777777" w:rsidR="00241417" w:rsidRPr="002921FA" w:rsidRDefault="00241417" w:rsidP="003A71DE">
            <w:pPr>
              <w:pStyle w:val="TAC"/>
            </w:pPr>
          </w:p>
        </w:tc>
        <w:tc>
          <w:tcPr>
            <w:tcW w:w="1948" w:type="dxa"/>
            <w:tcBorders>
              <w:top w:val="single" w:sz="4" w:space="0" w:color="auto"/>
              <w:left w:val="single" w:sz="4" w:space="0" w:color="auto"/>
              <w:bottom w:val="single" w:sz="4" w:space="0" w:color="auto"/>
              <w:right w:val="single" w:sz="4" w:space="0" w:color="auto"/>
            </w:tcBorders>
            <w:vAlign w:val="center"/>
            <w:hideMark/>
          </w:tcPr>
          <w:p w14:paraId="714BEA87" w14:textId="77777777" w:rsidR="00241417" w:rsidRPr="002921FA" w:rsidRDefault="00241417" w:rsidP="003A71DE">
            <w:pPr>
              <w:pStyle w:val="TAC"/>
            </w:pPr>
            <w:r w:rsidRPr="002921FA">
              <w:t>Additional DM-RS</w:t>
            </w:r>
          </w:p>
        </w:tc>
        <w:tc>
          <w:tcPr>
            <w:tcW w:w="586" w:type="dxa"/>
            <w:tcBorders>
              <w:top w:val="single" w:sz="4" w:space="0" w:color="auto"/>
              <w:left w:val="single" w:sz="4" w:space="0" w:color="auto"/>
              <w:bottom w:val="single" w:sz="4" w:space="0" w:color="auto"/>
              <w:right w:val="single" w:sz="4" w:space="0" w:color="auto"/>
            </w:tcBorders>
            <w:vAlign w:val="center"/>
            <w:hideMark/>
          </w:tcPr>
          <w:p w14:paraId="08712BDE" w14:textId="77777777" w:rsidR="00241417" w:rsidRPr="002921FA" w:rsidRDefault="00241417" w:rsidP="003A71DE">
            <w:pPr>
              <w:pStyle w:val="TAC"/>
            </w:pPr>
            <w:r w:rsidRPr="002921FA">
              <w:t>1.3</w:t>
            </w:r>
          </w:p>
        </w:tc>
        <w:tc>
          <w:tcPr>
            <w:tcW w:w="0" w:type="auto"/>
            <w:tcBorders>
              <w:top w:val="single" w:sz="4" w:space="0" w:color="auto"/>
              <w:left w:val="single" w:sz="4" w:space="0" w:color="auto"/>
              <w:bottom w:val="single" w:sz="4" w:space="0" w:color="auto"/>
              <w:right w:val="single" w:sz="4" w:space="0" w:color="auto"/>
            </w:tcBorders>
            <w:vAlign w:val="center"/>
            <w:hideMark/>
          </w:tcPr>
          <w:p w14:paraId="78AC89A2" w14:textId="77777777" w:rsidR="00241417" w:rsidRPr="002921FA" w:rsidRDefault="00241417" w:rsidP="003A71DE">
            <w:pPr>
              <w:pStyle w:val="TAC"/>
            </w:pPr>
            <w:r w:rsidRPr="002921FA">
              <w:t>1.4</w:t>
            </w:r>
          </w:p>
        </w:tc>
        <w:tc>
          <w:tcPr>
            <w:tcW w:w="0" w:type="auto"/>
            <w:tcBorders>
              <w:top w:val="single" w:sz="4" w:space="0" w:color="auto"/>
              <w:left w:val="single" w:sz="4" w:space="0" w:color="auto"/>
              <w:bottom w:val="single" w:sz="4" w:space="0" w:color="auto"/>
              <w:right w:val="single" w:sz="4" w:space="0" w:color="auto"/>
            </w:tcBorders>
            <w:vAlign w:val="center"/>
            <w:hideMark/>
          </w:tcPr>
          <w:p w14:paraId="0E290F94" w14:textId="77777777" w:rsidR="00241417" w:rsidRPr="002921FA" w:rsidRDefault="00241417" w:rsidP="003A71DE">
            <w:pPr>
              <w:pStyle w:val="TAC"/>
            </w:pPr>
            <w:r w:rsidRPr="002921FA">
              <w:t>0.9</w:t>
            </w:r>
          </w:p>
        </w:tc>
      </w:tr>
      <w:tr w:rsidR="00241417" w:rsidRPr="00525D63" w14:paraId="34A5E0B6" w14:textId="77777777" w:rsidTr="003A71DE">
        <w:trPr>
          <w:trHeight w:val="180"/>
          <w:jc w:val="center"/>
        </w:trPr>
        <w:tc>
          <w:tcPr>
            <w:tcW w:w="940" w:type="dxa"/>
            <w:tcBorders>
              <w:top w:val="single" w:sz="4" w:space="0" w:color="auto"/>
              <w:left w:val="single" w:sz="4" w:space="0" w:color="auto"/>
              <w:bottom w:val="single" w:sz="4" w:space="0" w:color="auto"/>
              <w:right w:val="single" w:sz="4" w:space="0" w:color="auto"/>
            </w:tcBorders>
            <w:vAlign w:val="center"/>
            <w:hideMark/>
          </w:tcPr>
          <w:p w14:paraId="455A8A78" w14:textId="77777777" w:rsidR="00241417" w:rsidRPr="00525D63" w:rsidRDefault="00241417" w:rsidP="003A71DE">
            <w:pPr>
              <w:pStyle w:val="TAC"/>
            </w:pPr>
            <w:r w:rsidRPr="00525D63">
              <w:t>2</w:t>
            </w:r>
          </w:p>
        </w:tc>
        <w:tc>
          <w:tcPr>
            <w:tcW w:w="1035" w:type="dxa"/>
            <w:tcBorders>
              <w:top w:val="single" w:sz="4" w:space="0" w:color="auto"/>
              <w:left w:val="single" w:sz="4" w:space="0" w:color="auto"/>
              <w:bottom w:val="single" w:sz="4" w:space="0" w:color="auto"/>
              <w:right w:val="single" w:sz="4" w:space="0" w:color="auto"/>
            </w:tcBorders>
            <w:vAlign w:val="center"/>
            <w:hideMark/>
          </w:tcPr>
          <w:p w14:paraId="3D7EF52F" w14:textId="77777777" w:rsidR="00241417" w:rsidRPr="00525D63" w:rsidRDefault="00241417" w:rsidP="003A71DE">
            <w:pPr>
              <w:pStyle w:val="TAC"/>
            </w:pPr>
            <w:r w:rsidRPr="00525D63">
              <w:t>1</w:t>
            </w:r>
          </w:p>
        </w:tc>
        <w:tc>
          <w:tcPr>
            <w:tcW w:w="1416" w:type="dxa"/>
            <w:tcBorders>
              <w:top w:val="single" w:sz="4" w:space="0" w:color="auto"/>
              <w:left w:val="single" w:sz="4" w:space="0" w:color="auto"/>
              <w:bottom w:val="single" w:sz="4" w:space="0" w:color="auto"/>
              <w:right w:val="single" w:sz="4" w:space="0" w:color="auto"/>
            </w:tcBorders>
            <w:vAlign w:val="center"/>
            <w:hideMark/>
          </w:tcPr>
          <w:p w14:paraId="4A90F2E0" w14:textId="77777777" w:rsidR="00241417" w:rsidRPr="00525D63" w:rsidRDefault="00241417" w:rsidP="003A71DE">
            <w:pPr>
              <w:pStyle w:val="TAC"/>
            </w:pPr>
            <w:r w:rsidRPr="00525D63">
              <w:t>2</w:t>
            </w:r>
          </w:p>
        </w:tc>
        <w:tc>
          <w:tcPr>
            <w:tcW w:w="1676" w:type="dxa"/>
            <w:tcBorders>
              <w:top w:val="single" w:sz="4" w:space="0" w:color="auto"/>
              <w:left w:val="single" w:sz="4" w:space="0" w:color="auto"/>
              <w:bottom w:val="single" w:sz="4" w:space="0" w:color="auto"/>
              <w:right w:val="single" w:sz="4" w:space="0" w:color="auto"/>
            </w:tcBorders>
            <w:vAlign w:val="center"/>
            <w:hideMark/>
          </w:tcPr>
          <w:p w14:paraId="35C25D4F" w14:textId="77777777" w:rsidR="00241417" w:rsidRPr="00525D63" w:rsidRDefault="00241417" w:rsidP="003A71DE">
            <w:pPr>
              <w:pStyle w:val="TAC"/>
            </w:pPr>
            <w:r w:rsidRPr="00525D63">
              <w:t>TDLA30-300 Low</w:t>
            </w:r>
          </w:p>
        </w:tc>
        <w:tc>
          <w:tcPr>
            <w:tcW w:w="1948" w:type="dxa"/>
            <w:tcBorders>
              <w:top w:val="single" w:sz="4" w:space="0" w:color="auto"/>
              <w:left w:val="single" w:sz="4" w:space="0" w:color="auto"/>
              <w:bottom w:val="single" w:sz="4" w:space="0" w:color="auto"/>
              <w:right w:val="single" w:sz="4" w:space="0" w:color="auto"/>
            </w:tcBorders>
            <w:vAlign w:val="center"/>
            <w:hideMark/>
          </w:tcPr>
          <w:p w14:paraId="7C8262AF" w14:textId="77777777" w:rsidR="00241417" w:rsidRPr="00525D63" w:rsidRDefault="00241417" w:rsidP="003A71DE">
            <w:pPr>
              <w:pStyle w:val="TAC"/>
            </w:pPr>
            <w:r w:rsidRPr="00525D63">
              <w:t>No additional DM-RS</w:t>
            </w:r>
          </w:p>
        </w:tc>
        <w:tc>
          <w:tcPr>
            <w:tcW w:w="586" w:type="dxa"/>
            <w:tcBorders>
              <w:top w:val="single" w:sz="4" w:space="0" w:color="auto"/>
              <w:left w:val="single" w:sz="4" w:space="0" w:color="auto"/>
              <w:bottom w:val="single" w:sz="4" w:space="0" w:color="auto"/>
              <w:right w:val="single" w:sz="4" w:space="0" w:color="auto"/>
            </w:tcBorders>
            <w:vAlign w:val="center"/>
            <w:hideMark/>
          </w:tcPr>
          <w:p w14:paraId="3110BC40" w14:textId="77777777" w:rsidR="00241417" w:rsidRPr="00525D63" w:rsidRDefault="00241417" w:rsidP="003A71DE">
            <w:pPr>
              <w:pStyle w:val="TAC"/>
            </w:pPr>
            <w:r w:rsidRPr="00525D63">
              <w:t>1.1</w:t>
            </w:r>
          </w:p>
        </w:tc>
        <w:tc>
          <w:tcPr>
            <w:tcW w:w="0" w:type="auto"/>
            <w:tcBorders>
              <w:top w:val="single" w:sz="4" w:space="0" w:color="auto"/>
              <w:left w:val="single" w:sz="4" w:space="0" w:color="auto"/>
              <w:bottom w:val="single" w:sz="4" w:space="0" w:color="auto"/>
              <w:right w:val="single" w:sz="4" w:space="0" w:color="auto"/>
            </w:tcBorders>
            <w:vAlign w:val="center"/>
            <w:hideMark/>
          </w:tcPr>
          <w:p w14:paraId="6A12B3A5" w14:textId="77777777" w:rsidR="00241417" w:rsidRPr="00525D63" w:rsidRDefault="00241417" w:rsidP="003A71DE">
            <w:pPr>
              <w:pStyle w:val="TAC"/>
            </w:pPr>
            <w:r w:rsidRPr="00525D63">
              <w:t>2.9</w:t>
            </w:r>
          </w:p>
        </w:tc>
        <w:tc>
          <w:tcPr>
            <w:tcW w:w="0" w:type="auto"/>
            <w:tcBorders>
              <w:top w:val="single" w:sz="4" w:space="0" w:color="auto"/>
              <w:left w:val="single" w:sz="4" w:space="0" w:color="auto"/>
              <w:bottom w:val="single" w:sz="4" w:space="0" w:color="auto"/>
              <w:right w:val="single" w:sz="4" w:space="0" w:color="auto"/>
            </w:tcBorders>
            <w:vAlign w:val="center"/>
            <w:hideMark/>
          </w:tcPr>
          <w:p w14:paraId="6A82BD52" w14:textId="77777777" w:rsidR="00241417" w:rsidRPr="00525D63" w:rsidRDefault="00241417" w:rsidP="003A71DE">
            <w:pPr>
              <w:pStyle w:val="TAC"/>
            </w:pPr>
            <w:r w:rsidRPr="00525D63">
              <w:t>1.4</w:t>
            </w:r>
          </w:p>
        </w:tc>
      </w:tr>
    </w:tbl>
    <w:p w14:paraId="5AAA6B80" w14:textId="77777777" w:rsidR="00241417" w:rsidRDefault="00241417" w:rsidP="00241417"/>
    <w:p w14:paraId="56EAEEFB" w14:textId="77777777" w:rsidR="00241417" w:rsidRDefault="00241417" w:rsidP="00241417">
      <w:pPr>
        <w:pStyle w:val="Heading5"/>
      </w:pPr>
      <w:bookmarkStart w:id="7747" w:name="_Toc67916568"/>
      <w:bookmarkStart w:id="7748" w:name="_Toc61176745"/>
      <w:bookmarkStart w:id="7749" w:name="_Toc53178111"/>
      <w:bookmarkStart w:id="7750" w:name="_Toc53177659"/>
      <w:bookmarkStart w:id="7751" w:name="_Toc45893495"/>
      <w:bookmarkStart w:id="7752" w:name="_Toc37268845"/>
      <w:bookmarkStart w:id="7753" w:name="_Toc37268394"/>
      <w:bookmarkStart w:id="7754" w:name="_Toc29811439"/>
      <w:bookmarkStart w:id="7755" w:name="_Toc13079950"/>
      <w:bookmarkStart w:id="7756" w:name="_Toc74583487"/>
      <w:bookmarkStart w:id="7757" w:name="_Toc76542300"/>
      <w:bookmarkStart w:id="7758" w:name="_Toc82450282"/>
      <w:bookmarkStart w:id="7759" w:name="_Toc82450930"/>
      <w:bookmarkStart w:id="7760" w:name="_Toc89949319"/>
      <w:bookmarkStart w:id="7761" w:name="_Toc98755708"/>
      <w:bookmarkStart w:id="7762" w:name="_Toc98763300"/>
      <w:bookmarkStart w:id="7763" w:name="_Toc106184229"/>
      <w:r>
        <w:lastRenderedPageBreak/>
        <w:t>11.1.3.2.6</w:t>
      </w:r>
      <w:r>
        <w:tab/>
        <w:t>Performance requirements for PUCCH format 4</w:t>
      </w:r>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p>
    <w:p w14:paraId="0DDEF917" w14:textId="77777777" w:rsidR="00241417" w:rsidRDefault="00241417" w:rsidP="00241417">
      <w:pPr>
        <w:pStyle w:val="H6"/>
      </w:pPr>
      <w:bookmarkStart w:id="7764" w:name="_Toc67916569"/>
      <w:bookmarkStart w:id="7765" w:name="_Toc61176746"/>
      <w:bookmarkStart w:id="7766" w:name="_Toc53178112"/>
      <w:bookmarkStart w:id="7767" w:name="_Toc53177660"/>
      <w:bookmarkStart w:id="7768" w:name="_Toc37268846"/>
      <w:bookmarkStart w:id="7769" w:name="_Toc37268395"/>
      <w:bookmarkStart w:id="7770" w:name="_Toc29811440"/>
      <w:bookmarkStart w:id="7771" w:name="_Toc13079951"/>
      <w:r>
        <w:t>11.1.3.2.6.1</w:t>
      </w:r>
      <w:r>
        <w:tab/>
        <w:t>General</w:t>
      </w:r>
      <w:bookmarkEnd w:id="7764"/>
      <w:bookmarkEnd w:id="7765"/>
      <w:bookmarkEnd w:id="7766"/>
      <w:bookmarkEnd w:id="7767"/>
      <w:bookmarkEnd w:id="7768"/>
      <w:bookmarkEnd w:id="7769"/>
      <w:bookmarkEnd w:id="7770"/>
      <w:bookmarkEnd w:id="7771"/>
    </w:p>
    <w:p w14:paraId="3E069C08" w14:textId="77777777" w:rsidR="00241417" w:rsidRDefault="00241417" w:rsidP="00241417">
      <w:pPr>
        <w:rPr>
          <w:lang w:eastAsia="zh-CN"/>
        </w:rPr>
      </w:pPr>
      <w:r>
        <w:rPr>
          <w:lang w:eastAsia="zh-CN"/>
        </w:rPr>
        <w:t xml:space="preserve">The performance is measured by the required SNR at UCI </w:t>
      </w:r>
      <w:r>
        <w:t>block error probability</w:t>
      </w:r>
      <w:r>
        <w:rPr>
          <w:rFonts w:eastAsia="MS Mincho"/>
        </w:rPr>
        <w:t xml:space="preserve"> </w:t>
      </w:r>
      <w:r>
        <w:rPr>
          <w:lang w:eastAsia="zh-CN"/>
        </w:rPr>
        <w:t>not exceeding 1%.</w:t>
      </w:r>
    </w:p>
    <w:p w14:paraId="1E9CACFC" w14:textId="77777777" w:rsidR="00241417" w:rsidRDefault="00241417" w:rsidP="00241417">
      <w:pPr>
        <w:rPr>
          <w:lang w:eastAsia="zh-CN"/>
        </w:rPr>
      </w:pPr>
      <w:r>
        <w:rPr>
          <w:lang w:eastAsia="zh-CN"/>
        </w:rPr>
        <w:t xml:space="preserve">The UCI block error probability is defined as the conditional probability of incorrectly </w:t>
      </w:r>
      <w:r w:rsidRPr="00F55971">
        <w:rPr>
          <w:lang w:eastAsia="zh-CN"/>
        </w:rPr>
        <w:t>decod</w:t>
      </w:r>
      <w:r w:rsidRPr="00BD4B0B">
        <w:rPr>
          <w:lang w:eastAsia="zh-CN"/>
        </w:rPr>
        <w:t>ed</w:t>
      </w:r>
      <w:r>
        <w:rPr>
          <w:lang w:eastAsia="zh-CN"/>
        </w:rPr>
        <w:t xml:space="preserve"> UCI information when the UCI information is sent. </w:t>
      </w:r>
      <w:r>
        <w:rPr>
          <w:rFonts w:eastAsia="DengXian"/>
          <w:lang w:eastAsia="zh-CN"/>
        </w:rPr>
        <w:t>The UCI information does not contain CSI part 2</w:t>
      </w:r>
      <w:r>
        <w:rPr>
          <w:lang w:eastAsia="zh-CN"/>
        </w:rPr>
        <w:t xml:space="preserve">. </w:t>
      </w:r>
    </w:p>
    <w:p w14:paraId="7BA4FD5C" w14:textId="77777777" w:rsidR="00241417" w:rsidRDefault="00241417" w:rsidP="00241417">
      <w:pPr>
        <w:rPr>
          <w:noProof/>
          <w:lang w:eastAsia="zh-CN"/>
        </w:rPr>
      </w:pPr>
      <w:r>
        <w:rPr>
          <w:lang w:eastAsia="zh-CN"/>
        </w:rPr>
        <w:t xml:space="preserve">The transient period as specified </w:t>
      </w:r>
      <w:r w:rsidRPr="008C1F2E">
        <w:rPr>
          <w:lang w:eastAsia="zh-CN"/>
        </w:rPr>
        <w:t>in TBA</w:t>
      </w:r>
      <w:r w:rsidRPr="008C1F2E">
        <w:t xml:space="preserve"> </w:t>
      </w:r>
      <w:r w:rsidRPr="008C1F2E">
        <w:rPr>
          <w:lang w:eastAsia="zh-CN"/>
        </w:rPr>
        <w:t>is not taken into</w:t>
      </w:r>
      <w:r>
        <w:rPr>
          <w:lang w:eastAsia="zh-CN"/>
        </w:rPr>
        <w:t xml:space="preserve"> account for performance requirement testing, where the RB hopping is symmetric to the CC centre, i.e. intra-slot frequency hopping is enabled.</w:t>
      </w:r>
    </w:p>
    <w:p w14:paraId="0398AD02" w14:textId="77777777" w:rsidR="00241417" w:rsidRPr="00525D63" w:rsidRDefault="00241417" w:rsidP="00241417">
      <w:pPr>
        <w:pStyle w:val="TH"/>
      </w:pPr>
      <w:r w:rsidRPr="00525D63">
        <w:t>Table 11.1.3.2.6.1-1: Test parameters</w:t>
      </w:r>
      <w:r>
        <w:t xml:space="preserve"> for PUCCH format 4 testing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8"/>
        <w:gridCol w:w="3988"/>
      </w:tblGrid>
      <w:tr w:rsidR="00241417" w:rsidRPr="00525D63" w14:paraId="763A3984"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331DF80" w14:textId="77777777" w:rsidR="00241417" w:rsidRPr="00525D63" w:rsidRDefault="00241417" w:rsidP="003A71DE">
            <w:pPr>
              <w:pStyle w:val="TAH"/>
            </w:pPr>
            <w:r w:rsidRPr="00525D63">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7B57E6B2" w14:textId="77777777" w:rsidR="00241417" w:rsidRPr="00525D63" w:rsidRDefault="00241417" w:rsidP="003A71DE">
            <w:pPr>
              <w:pStyle w:val="TAH"/>
            </w:pPr>
            <w:r w:rsidRPr="00525D63">
              <w:t>Value</w:t>
            </w:r>
          </w:p>
        </w:tc>
      </w:tr>
      <w:tr w:rsidR="00241417" w:rsidRPr="00525D63" w14:paraId="4333780C"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2BD6AB9" w14:textId="77777777" w:rsidR="00241417" w:rsidRPr="00525D63" w:rsidRDefault="00241417" w:rsidP="003A71DE">
            <w:pPr>
              <w:pStyle w:val="TAC"/>
            </w:pPr>
            <w:r>
              <w:t>Cyclic prefix</w:t>
            </w:r>
          </w:p>
        </w:tc>
        <w:tc>
          <w:tcPr>
            <w:tcW w:w="0" w:type="auto"/>
            <w:tcBorders>
              <w:top w:val="single" w:sz="4" w:space="0" w:color="auto"/>
              <w:left w:val="single" w:sz="4" w:space="0" w:color="auto"/>
              <w:bottom w:val="single" w:sz="4" w:space="0" w:color="auto"/>
              <w:right w:val="single" w:sz="4" w:space="0" w:color="auto"/>
            </w:tcBorders>
            <w:vAlign w:val="center"/>
          </w:tcPr>
          <w:p w14:paraId="27B41918" w14:textId="77777777" w:rsidR="00241417" w:rsidRPr="00525D63" w:rsidRDefault="00241417" w:rsidP="003A71DE">
            <w:pPr>
              <w:pStyle w:val="TAC"/>
            </w:pPr>
            <w:r>
              <w:t>Normal</w:t>
            </w:r>
          </w:p>
        </w:tc>
      </w:tr>
      <w:tr w:rsidR="00241417" w:rsidRPr="00525D63" w14:paraId="2C3EBF6C"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8914565" w14:textId="77777777" w:rsidR="00241417" w:rsidRPr="00525D63" w:rsidRDefault="00241417" w:rsidP="003A71DE">
            <w:pPr>
              <w:pStyle w:val="TAC"/>
            </w:pPr>
            <w:r w:rsidRPr="00525D63">
              <w:t>Modulation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681FEFC8" w14:textId="77777777" w:rsidR="00241417" w:rsidRPr="00525D63" w:rsidRDefault="00241417" w:rsidP="003A71DE">
            <w:pPr>
              <w:pStyle w:val="TAC"/>
            </w:pPr>
            <w:r w:rsidRPr="00525D63">
              <w:t>QPSK</w:t>
            </w:r>
          </w:p>
        </w:tc>
      </w:tr>
      <w:tr w:rsidR="00241417" w:rsidRPr="00525D63" w14:paraId="7583154F"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E425E0F" w14:textId="77777777" w:rsidR="00241417" w:rsidRPr="00525D63" w:rsidRDefault="00241417" w:rsidP="003A71DE">
            <w:pPr>
              <w:pStyle w:val="TAC"/>
            </w:pPr>
            <w:r w:rsidRPr="00525D63">
              <w:t>First PRB prior to frequency hoppingstartingPRB</w:t>
            </w:r>
          </w:p>
        </w:tc>
        <w:tc>
          <w:tcPr>
            <w:tcW w:w="0" w:type="auto"/>
            <w:tcBorders>
              <w:top w:val="single" w:sz="4" w:space="0" w:color="auto"/>
              <w:left w:val="single" w:sz="4" w:space="0" w:color="auto"/>
              <w:bottom w:val="single" w:sz="4" w:space="0" w:color="auto"/>
              <w:right w:val="single" w:sz="4" w:space="0" w:color="auto"/>
            </w:tcBorders>
            <w:vAlign w:val="center"/>
            <w:hideMark/>
          </w:tcPr>
          <w:p w14:paraId="531F5EC2" w14:textId="77777777" w:rsidR="00241417" w:rsidRPr="00525D63" w:rsidRDefault="00241417" w:rsidP="003A71DE">
            <w:pPr>
              <w:pStyle w:val="TAC"/>
            </w:pPr>
            <w:r w:rsidRPr="00525D63">
              <w:t>0</w:t>
            </w:r>
          </w:p>
        </w:tc>
      </w:tr>
      <w:tr w:rsidR="00241417" w:rsidRPr="00525D63" w14:paraId="70C12708"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0D579ED" w14:textId="77777777" w:rsidR="00241417" w:rsidRPr="00525D63" w:rsidRDefault="00241417" w:rsidP="003A71DE">
            <w:pPr>
              <w:pStyle w:val="TAC"/>
            </w:pPr>
            <w:r w:rsidRPr="00525D63">
              <w:t>Number of PRBs</w:t>
            </w:r>
          </w:p>
        </w:tc>
        <w:tc>
          <w:tcPr>
            <w:tcW w:w="0" w:type="auto"/>
            <w:tcBorders>
              <w:top w:val="single" w:sz="4" w:space="0" w:color="auto"/>
              <w:left w:val="single" w:sz="4" w:space="0" w:color="auto"/>
              <w:bottom w:val="single" w:sz="4" w:space="0" w:color="auto"/>
              <w:right w:val="single" w:sz="4" w:space="0" w:color="auto"/>
            </w:tcBorders>
            <w:vAlign w:val="center"/>
            <w:hideMark/>
          </w:tcPr>
          <w:p w14:paraId="58B3473F" w14:textId="77777777" w:rsidR="00241417" w:rsidRPr="00525D63" w:rsidRDefault="00241417" w:rsidP="003A71DE">
            <w:pPr>
              <w:pStyle w:val="TAC"/>
            </w:pPr>
            <w:r w:rsidRPr="00525D63">
              <w:t>1</w:t>
            </w:r>
          </w:p>
        </w:tc>
      </w:tr>
      <w:tr w:rsidR="00241417" w:rsidRPr="00525D63" w14:paraId="7D1936F0"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D03545E" w14:textId="77777777" w:rsidR="00241417" w:rsidRPr="00525D63" w:rsidRDefault="00241417" w:rsidP="003A71DE">
            <w:pPr>
              <w:pStyle w:val="TAC"/>
            </w:pPr>
            <w:r w:rsidRPr="00525D63">
              <w:t>Intra-slot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43C87ABB" w14:textId="77777777" w:rsidR="00241417" w:rsidRPr="00525D63" w:rsidRDefault="00241417" w:rsidP="003A71DE">
            <w:pPr>
              <w:pStyle w:val="TAC"/>
            </w:pPr>
            <w:r w:rsidRPr="00525D63">
              <w:t>enabled</w:t>
            </w:r>
          </w:p>
        </w:tc>
      </w:tr>
      <w:tr w:rsidR="00241417" w:rsidRPr="00525D63" w14:paraId="28546255"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B5DA1AD" w14:textId="77777777" w:rsidR="00241417" w:rsidRPr="00525D63" w:rsidRDefault="00241417" w:rsidP="003A71DE">
            <w:pPr>
              <w:pStyle w:val="TAC"/>
            </w:pPr>
            <w:r w:rsidRPr="00525D63">
              <w:t>First PRB after frequency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621059DD" w14:textId="77777777" w:rsidR="00241417" w:rsidRPr="00525D63" w:rsidRDefault="00241417" w:rsidP="003A71DE">
            <w:pPr>
              <w:pStyle w:val="TAC"/>
            </w:pPr>
            <w:r w:rsidRPr="00525D63">
              <w:t>The largest PRB index – (Number of PRBs – 1)</w:t>
            </w:r>
          </w:p>
        </w:tc>
      </w:tr>
      <w:tr w:rsidR="00241417" w:rsidRPr="00525D63" w14:paraId="32D0669C"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84D11B3" w14:textId="77777777" w:rsidR="00241417" w:rsidRPr="00525D63" w:rsidRDefault="00241417" w:rsidP="003A71DE">
            <w:pPr>
              <w:pStyle w:val="TAC"/>
            </w:pPr>
            <w:r w:rsidRPr="00525D63">
              <w:t>Group and sequence hopping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4FACCA0E" w14:textId="77777777" w:rsidR="00241417" w:rsidRPr="00525D63" w:rsidRDefault="00241417" w:rsidP="003A71DE">
            <w:pPr>
              <w:pStyle w:val="TAC"/>
            </w:pPr>
            <w:r w:rsidRPr="00525D63">
              <w:t>neither</w:t>
            </w:r>
          </w:p>
        </w:tc>
      </w:tr>
      <w:tr w:rsidR="00241417" w:rsidRPr="00525D63" w14:paraId="3C48FC28"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FFD3B3F" w14:textId="77777777" w:rsidR="00241417" w:rsidRPr="00525D63" w:rsidRDefault="00241417" w:rsidP="003A71DE">
            <w:pPr>
              <w:pStyle w:val="TAC"/>
            </w:pPr>
            <w:r w:rsidRPr="00525D63">
              <w:t>Hopping ID</w:t>
            </w:r>
          </w:p>
        </w:tc>
        <w:tc>
          <w:tcPr>
            <w:tcW w:w="0" w:type="auto"/>
            <w:tcBorders>
              <w:top w:val="single" w:sz="4" w:space="0" w:color="auto"/>
              <w:left w:val="single" w:sz="4" w:space="0" w:color="auto"/>
              <w:bottom w:val="single" w:sz="4" w:space="0" w:color="auto"/>
              <w:right w:val="single" w:sz="4" w:space="0" w:color="auto"/>
            </w:tcBorders>
            <w:vAlign w:val="center"/>
            <w:hideMark/>
          </w:tcPr>
          <w:p w14:paraId="30D6D227" w14:textId="77777777" w:rsidR="00241417" w:rsidRPr="00525D63" w:rsidRDefault="00241417" w:rsidP="003A71DE">
            <w:pPr>
              <w:pStyle w:val="TAC"/>
            </w:pPr>
            <w:r w:rsidRPr="00525D63">
              <w:t>0</w:t>
            </w:r>
          </w:p>
        </w:tc>
      </w:tr>
      <w:tr w:rsidR="00241417" w:rsidRPr="00525D63" w14:paraId="5CBA580B"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6FE6A24" w14:textId="77777777" w:rsidR="00241417" w:rsidRPr="00525D63" w:rsidRDefault="00241417" w:rsidP="003A71DE">
            <w:pPr>
              <w:pStyle w:val="TAC"/>
            </w:pPr>
            <w:r w:rsidRPr="00525D63">
              <w:t>Number of symbols</w:t>
            </w:r>
          </w:p>
        </w:tc>
        <w:tc>
          <w:tcPr>
            <w:tcW w:w="0" w:type="auto"/>
            <w:tcBorders>
              <w:top w:val="single" w:sz="4" w:space="0" w:color="auto"/>
              <w:left w:val="single" w:sz="4" w:space="0" w:color="auto"/>
              <w:bottom w:val="single" w:sz="4" w:space="0" w:color="auto"/>
              <w:right w:val="single" w:sz="4" w:space="0" w:color="auto"/>
            </w:tcBorders>
            <w:vAlign w:val="center"/>
            <w:hideMark/>
          </w:tcPr>
          <w:p w14:paraId="793AB839" w14:textId="77777777" w:rsidR="00241417" w:rsidRPr="00525D63" w:rsidRDefault="00241417" w:rsidP="003A71DE">
            <w:pPr>
              <w:pStyle w:val="TAC"/>
            </w:pPr>
            <w:r w:rsidRPr="00525D63">
              <w:t>14</w:t>
            </w:r>
          </w:p>
        </w:tc>
      </w:tr>
      <w:tr w:rsidR="00241417" w:rsidRPr="00525D63" w14:paraId="337598AF"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3D08937" w14:textId="77777777" w:rsidR="00241417" w:rsidRPr="00525D63" w:rsidRDefault="00241417" w:rsidP="003A71DE">
            <w:pPr>
              <w:pStyle w:val="TAC"/>
            </w:pPr>
            <w:r w:rsidRPr="00525D63">
              <w:t>The number of UCI information bits</w:t>
            </w:r>
          </w:p>
        </w:tc>
        <w:tc>
          <w:tcPr>
            <w:tcW w:w="0" w:type="auto"/>
            <w:tcBorders>
              <w:top w:val="single" w:sz="4" w:space="0" w:color="auto"/>
              <w:left w:val="single" w:sz="4" w:space="0" w:color="auto"/>
              <w:bottom w:val="single" w:sz="4" w:space="0" w:color="auto"/>
              <w:right w:val="single" w:sz="4" w:space="0" w:color="auto"/>
            </w:tcBorders>
            <w:vAlign w:val="center"/>
            <w:hideMark/>
          </w:tcPr>
          <w:p w14:paraId="222D006A" w14:textId="77777777" w:rsidR="00241417" w:rsidRPr="00525D63" w:rsidRDefault="00241417" w:rsidP="003A71DE">
            <w:pPr>
              <w:pStyle w:val="TAC"/>
            </w:pPr>
            <w:r w:rsidRPr="00525D63">
              <w:t>22</w:t>
            </w:r>
          </w:p>
        </w:tc>
      </w:tr>
      <w:tr w:rsidR="00241417" w:rsidRPr="00525D63" w14:paraId="1A1550D3"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16F3190" w14:textId="77777777" w:rsidR="00241417" w:rsidRPr="00525D63" w:rsidRDefault="00241417" w:rsidP="003A71DE">
            <w:pPr>
              <w:pStyle w:val="TAC"/>
            </w:pPr>
            <w:r w:rsidRPr="00525D63">
              <w:t>First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61CD3FCC" w14:textId="77777777" w:rsidR="00241417" w:rsidRPr="00525D63" w:rsidRDefault="00241417" w:rsidP="003A71DE">
            <w:pPr>
              <w:pStyle w:val="TAC"/>
            </w:pPr>
            <w:r w:rsidRPr="00525D63">
              <w:t>0</w:t>
            </w:r>
          </w:p>
        </w:tc>
      </w:tr>
      <w:tr w:rsidR="00241417" w:rsidRPr="00525D63" w14:paraId="4702736A"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ECA6EB7" w14:textId="77777777" w:rsidR="00241417" w:rsidRPr="00525D63" w:rsidRDefault="00241417" w:rsidP="003A71DE">
            <w:pPr>
              <w:pStyle w:val="TAC"/>
            </w:pPr>
            <w:r w:rsidRPr="00525D63">
              <w:t>Length of the orthogonal cover code</w:t>
            </w:r>
          </w:p>
        </w:tc>
        <w:tc>
          <w:tcPr>
            <w:tcW w:w="0" w:type="auto"/>
            <w:tcBorders>
              <w:top w:val="single" w:sz="4" w:space="0" w:color="auto"/>
              <w:left w:val="single" w:sz="4" w:space="0" w:color="auto"/>
              <w:bottom w:val="single" w:sz="4" w:space="0" w:color="auto"/>
              <w:right w:val="single" w:sz="4" w:space="0" w:color="auto"/>
            </w:tcBorders>
            <w:vAlign w:val="center"/>
            <w:hideMark/>
          </w:tcPr>
          <w:p w14:paraId="770647EE" w14:textId="77777777" w:rsidR="00241417" w:rsidRPr="00525D63" w:rsidRDefault="00241417" w:rsidP="003A71DE">
            <w:pPr>
              <w:pStyle w:val="TAC"/>
            </w:pPr>
            <w:r w:rsidRPr="00525D63">
              <w:t>n2</w:t>
            </w:r>
          </w:p>
        </w:tc>
      </w:tr>
      <w:tr w:rsidR="00241417" w:rsidRPr="00525D63" w14:paraId="23995BBB" w14:textId="77777777" w:rsidTr="003A71DE">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4129062" w14:textId="77777777" w:rsidR="00241417" w:rsidRPr="00525D63" w:rsidRDefault="00241417" w:rsidP="003A71DE">
            <w:pPr>
              <w:pStyle w:val="TAC"/>
            </w:pPr>
            <w:r w:rsidRPr="00525D63">
              <w:t xml:space="preserve">Index of the orthogonal cover code </w:t>
            </w:r>
          </w:p>
        </w:tc>
        <w:tc>
          <w:tcPr>
            <w:tcW w:w="0" w:type="auto"/>
            <w:tcBorders>
              <w:top w:val="single" w:sz="4" w:space="0" w:color="auto"/>
              <w:left w:val="single" w:sz="4" w:space="0" w:color="auto"/>
              <w:bottom w:val="single" w:sz="4" w:space="0" w:color="auto"/>
              <w:right w:val="single" w:sz="4" w:space="0" w:color="auto"/>
            </w:tcBorders>
            <w:vAlign w:val="center"/>
            <w:hideMark/>
          </w:tcPr>
          <w:p w14:paraId="1739E881" w14:textId="77777777" w:rsidR="00241417" w:rsidRPr="00525D63" w:rsidRDefault="00241417" w:rsidP="003A71DE">
            <w:pPr>
              <w:pStyle w:val="TAC"/>
            </w:pPr>
            <w:r w:rsidRPr="00525D63">
              <w:t>n0</w:t>
            </w:r>
          </w:p>
        </w:tc>
      </w:tr>
    </w:tbl>
    <w:p w14:paraId="4D60D79F" w14:textId="77777777" w:rsidR="00241417" w:rsidRDefault="00241417" w:rsidP="00241417"/>
    <w:p w14:paraId="173CBB91" w14:textId="77777777" w:rsidR="00241417" w:rsidRDefault="00241417" w:rsidP="00241417">
      <w:pPr>
        <w:pStyle w:val="H6"/>
      </w:pPr>
      <w:bookmarkStart w:id="7772" w:name="_Toc67916570"/>
      <w:bookmarkStart w:id="7773" w:name="_Toc61176747"/>
      <w:bookmarkStart w:id="7774" w:name="_Toc53178113"/>
      <w:bookmarkStart w:id="7775" w:name="_Toc53177661"/>
      <w:bookmarkStart w:id="7776" w:name="_Toc45893497"/>
      <w:bookmarkStart w:id="7777" w:name="_Toc37268847"/>
      <w:bookmarkStart w:id="7778" w:name="_Toc37268396"/>
      <w:bookmarkStart w:id="7779" w:name="_Toc29811441"/>
      <w:bookmarkStart w:id="7780" w:name="_Toc13079952"/>
      <w:r>
        <w:t>11.1.3.2.6.2</w:t>
      </w:r>
      <w:r>
        <w:tab/>
        <w:t>Minimum requirements</w:t>
      </w:r>
      <w:bookmarkEnd w:id="7772"/>
      <w:bookmarkEnd w:id="7773"/>
      <w:bookmarkEnd w:id="7774"/>
      <w:bookmarkEnd w:id="7775"/>
      <w:bookmarkEnd w:id="7776"/>
      <w:bookmarkEnd w:id="7777"/>
      <w:bookmarkEnd w:id="7778"/>
      <w:bookmarkEnd w:id="7779"/>
      <w:bookmarkEnd w:id="7780"/>
    </w:p>
    <w:p w14:paraId="0FF46420" w14:textId="77777777" w:rsidR="00241417" w:rsidRDefault="00241417" w:rsidP="00241417">
      <w:pPr>
        <w:rPr>
          <w:lang w:eastAsia="zh-CN"/>
        </w:rPr>
      </w:pPr>
      <w:r>
        <w:t>The UCI block error probability shall not exceed 1% at the SNR given in Table 11.1.3.2.6.2-1 and Table 11.1.3.2.6.2-2.</w:t>
      </w:r>
    </w:p>
    <w:p w14:paraId="2DB1C6D0" w14:textId="77777777" w:rsidR="00241417" w:rsidRPr="00525D63" w:rsidRDefault="00241417" w:rsidP="00241417">
      <w:pPr>
        <w:pStyle w:val="TH"/>
      </w:pPr>
      <w:r w:rsidRPr="00525D63">
        <w:t xml:space="preserve">Table 11.1.3.2.6.2-1: </w:t>
      </w:r>
      <w:r w:rsidRPr="000E0C66">
        <w:t xml:space="preserve">Minimum requirements </w:t>
      </w:r>
      <w:r w:rsidRPr="00525D63">
        <w:t>for PUCCH format 4 with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398"/>
        <w:gridCol w:w="2268"/>
        <w:gridCol w:w="2520"/>
        <w:gridCol w:w="1158"/>
        <w:gridCol w:w="1280"/>
      </w:tblGrid>
      <w:tr w:rsidR="00241417" w14:paraId="28ECAC75" w14:textId="77777777" w:rsidTr="003A71DE">
        <w:trPr>
          <w:trHeight w:val="227"/>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1824F354" w14:textId="77777777" w:rsidR="00241417" w:rsidRDefault="00241417" w:rsidP="003A71DE">
            <w:pPr>
              <w:pStyle w:val="TAH"/>
              <w:rPr>
                <w:lang w:eastAsia="zh-CN"/>
              </w:rPr>
            </w:pPr>
            <w:r>
              <w:t xml:space="preserve">Number of </w:t>
            </w:r>
            <w:r>
              <w:rPr>
                <w:lang w:eastAsia="zh-CN"/>
              </w:rPr>
              <w:t>T</w:t>
            </w:r>
            <w:r>
              <w:t>X antennas</w:t>
            </w:r>
          </w:p>
        </w:tc>
        <w:tc>
          <w:tcPr>
            <w:tcW w:w="1398" w:type="dxa"/>
            <w:vMerge w:val="restart"/>
            <w:tcBorders>
              <w:top w:val="single" w:sz="4" w:space="0" w:color="auto"/>
              <w:left w:val="single" w:sz="4" w:space="0" w:color="auto"/>
              <w:bottom w:val="single" w:sz="4" w:space="0" w:color="auto"/>
              <w:right w:val="single" w:sz="4" w:space="0" w:color="auto"/>
            </w:tcBorders>
            <w:vAlign w:val="center"/>
            <w:hideMark/>
          </w:tcPr>
          <w:p w14:paraId="5C97A838" w14:textId="77777777" w:rsidR="00241417" w:rsidRDefault="00241417" w:rsidP="003A71DE">
            <w:pPr>
              <w:pStyle w:val="TAH"/>
              <w:rPr>
                <w:lang w:eastAsia="zh-CN"/>
              </w:rPr>
            </w:pPr>
            <w:r>
              <w:rPr>
                <w:lang w:eastAsia="zh-CN"/>
              </w:rPr>
              <w:t>Number of demodulation branches</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411D49DB" w14:textId="0EFA54A1" w:rsidR="00241417" w:rsidRDefault="00241417" w:rsidP="003A71DE">
            <w:pPr>
              <w:pStyle w:val="TAH"/>
              <w:rPr>
                <w:lang w:val="fr-FR"/>
              </w:rPr>
            </w:pPr>
            <w:r>
              <w:rPr>
                <w:lang w:val="fr-FR"/>
              </w:rPr>
              <w:t xml:space="preserve">Propagation conditions and correlation matrix (Annex </w:t>
            </w:r>
            <w:r>
              <w:t>TBA</w:t>
            </w:r>
            <w:r>
              <w:rPr>
                <w:lang w:val="fr-FR"/>
              </w:rPr>
              <w:t>)</w:t>
            </w:r>
          </w:p>
        </w:tc>
        <w:tc>
          <w:tcPr>
            <w:tcW w:w="2520" w:type="dxa"/>
            <w:vMerge w:val="restart"/>
            <w:tcBorders>
              <w:top w:val="single" w:sz="4" w:space="0" w:color="auto"/>
              <w:left w:val="single" w:sz="4" w:space="0" w:color="auto"/>
              <w:bottom w:val="single" w:sz="4" w:space="0" w:color="auto"/>
              <w:right w:val="single" w:sz="4" w:space="0" w:color="auto"/>
            </w:tcBorders>
            <w:vAlign w:val="center"/>
            <w:hideMark/>
          </w:tcPr>
          <w:p w14:paraId="1BA72469" w14:textId="77777777" w:rsidR="00241417" w:rsidRDefault="00241417" w:rsidP="003A71DE">
            <w:pPr>
              <w:pStyle w:val="TAH"/>
              <w:rPr>
                <w:lang w:eastAsia="zh-CN"/>
              </w:rPr>
            </w:pPr>
            <w:r>
              <w:rPr>
                <w:lang w:eastAsia="zh-CN"/>
              </w:rPr>
              <w:t>Additional DM-RS configuration</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62C9F6A" w14:textId="77777777" w:rsidR="00241417" w:rsidRDefault="00241417" w:rsidP="003A71DE">
            <w:pPr>
              <w:pStyle w:val="TAH"/>
            </w:pPr>
            <w:r>
              <w:t>Channel Bandwidth / SNR (dB)</w:t>
            </w:r>
          </w:p>
        </w:tc>
      </w:tr>
      <w:tr w:rsidR="00241417" w14:paraId="1C147A92" w14:textId="77777777" w:rsidTr="003A71DE">
        <w:trPr>
          <w:trHeight w:val="160"/>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1AA0BD3A" w14:textId="77777777" w:rsidR="00241417" w:rsidRDefault="00241417" w:rsidP="003A71DE">
            <w:pPr>
              <w:pStyle w:val="TAH"/>
              <w:rPr>
                <w:lang w:eastAsia="zh-CN"/>
              </w:rPr>
            </w:pPr>
          </w:p>
        </w:tc>
        <w:tc>
          <w:tcPr>
            <w:tcW w:w="1398" w:type="dxa"/>
            <w:vMerge/>
            <w:tcBorders>
              <w:top w:val="single" w:sz="4" w:space="0" w:color="auto"/>
              <w:left w:val="single" w:sz="4" w:space="0" w:color="auto"/>
              <w:bottom w:val="single" w:sz="4" w:space="0" w:color="auto"/>
              <w:right w:val="single" w:sz="4" w:space="0" w:color="auto"/>
            </w:tcBorders>
            <w:vAlign w:val="center"/>
            <w:hideMark/>
          </w:tcPr>
          <w:p w14:paraId="238820CE" w14:textId="77777777" w:rsidR="00241417" w:rsidRDefault="00241417" w:rsidP="003A71DE">
            <w:pPr>
              <w:pStyle w:val="TAH"/>
              <w:rPr>
                <w:lang w:eastAsia="zh-CN"/>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385F444C" w14:textId="77777777" w:rsidR="00241417" w:rsidRDefault="00241417" w:rsidP="003A71DE">
            <w:pPr>
              <w:pStyle w:val="TAH"/>
              <w:rPr>
                <w:lang w:val="fr-FR"/>
              </w:rPr>
            </w:pP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39CBD9B2" w14:textId="77777777" w:rsidR="00241417" w:rsidRDefault="00241417" w:rsidP="003A71DE">
            <w:pPr>
              <w:pStyle w:val="TAH"/>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5C6B6372" w14:textId="77777777" w:rsidR="00241417" w:rsidRDefault="00241417" w:rsidP="003A71DE">
            <w:pPr>
              <w:pStyle w:val="TAH"/>
            </w:pPr>
            <w: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1ED2E7D4" w14:textId="77777777" w:rsidR="00241417" w:rsidRDefault="00241417" w:rsidP="003A71DE">
            <w:pPr>
              <w:pStyle w:val="TAH"/>
            </w:pPr>
            <w:r>
              <w:t>100 MHz</w:t>
            </w:r>
          </w:p>
        </w:tc>
      </w:tr>
      <w:tr w:rsidR="00241417" w14:paraId="2E2C450F" w14:textId="77777777" w:rsidTr="003A71DE">
        <w:trPr>
          <w:trHeight w:val="180"/>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58AF029D" w14:textId="77777777" w:rsidR="00241417" w:rsidRDefault="00241417" w:rsidP="003A71DE">
            <w:pPr>
              <w:pStyle w:val="TAC"/>
              <w:rPr>
                <w:lang w:eastAsia="zh-CN"/>
              </w:rPr>
            </w:pPr>
            <w:r>
              <w:rPr>
                <w:lang w:eastAsia="zh-CN"/>
              </w:rPr>
              <w:t>1</w:t>
            </w:r>
          </w:p>
        </w:tc>
        <w:tc>
          <w:tcPr>
            <w:tcW w:w="1398" w:type="dxa"/>
            <w:vMerge w:val="restart"/>
            <w:tcBorders>
              <w:top w:val="single" w:sz="4" w:space="0" w:color="auto"/>
              <w:left w:val="single" w:sz="4" w:space="0" w:color="auto"/>
              <w:bottom w:val="single" w:sz="4" w:space="0" w:color="auto"/>
              <w:right w:val="single" w:sz="4" w:space="0" w:color="auto"/>
            </w:tcBorders>
            <w:vAlign w:val="center"/>
            <w:hideMark/>
          </w:tcPr>
          <w:p w14:paraId="4D041721" w14:textId="77777777" w:rsidR="00241417" w:rsidRDefault="00241417" w:rsidP="003A71DE">
            <w:pPr>
              <w:pStyle w:val="TAC"/>
              <w:rPr>
                <w:lang w:eastAsia="zh-CN"/>
              </w:rPr>
            </w:pPr>
            <w:r>
              <w:rPr>
                <w:lang w:eastAsia="zh-CN"/>
              </w:rPr>
              <w:t>2</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30F81B84" w14:textId="77777777" w:rsidR="00241417" w:rsidRDefault="00241417" w:rsidP="003A71DE">
            <w:pPr>
              <w:pStyle w:val="TAC"/>
            </w:pPr>
            <w:r>
              <w:t>TDLA30-300 Low</w:t>
            </w:r>
          </w:p>
        </w:tc>
        <w:tc>
          <w:tcPr>
            <w:tcW w:w="2520" w:type="dxa"/>
            <w:tcBorders>
              <w:top w:val="single" w:sz="4" w:space="0" w:color="auto"/>
              <w:left w:val="single" w:sz="4" w:space="0" w:color="auto"/>
              <w:bottom w:val="single" w:sz="4" w:space="0" w:color="auto"/>
              <w:right w:val="single" w:sz="4" w:space="0" w:color="auto"/>
            </w:tcBorders>
            <w:vAlign w:val="center"/>
            <w:hideMark/>
          </w:tcPr>
          <w:p w14:paraId="39445837" w14:textId="77777777" w:rsidR="00241417" w:rsidRDefault="00241417" w:rsidP="003A71DE">
            <w:pPr>
              <w:pStyle w:val="TAC"/>
              <w:rPr>
                <w:lang w:eastAsia="zh-CN"/>
              </w:rPr>
            </w:pPr>
            <w:r>
              <w:rPr>
                <w:lang w:eastAsia="zh-CN"/>
              </w:rPr>
              <w:t>No 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0DF917D7" w14:textId="77777777" w:rsidR="00241417" w:rsidRDefault="00241417" w:rsidP="003A71DE">
            <w:pPr>
              <w:pStyle w:val="TAC"/>
              <w:rPr>
                <w:lang w:eastAsia="zh-CN"/>
              </w:rPr>
            </w:pPr>
            <w:r>
              <w:rPr>
                <w:lang w:eastAsia="zh-CN"/>
              </w:rPr>
              <w:t>3.0</w:t>
            </w:r>
          </w:p>
        </w:tc>
        <w:tc>
          <w:tcPr>
            <w:tcW w:w="0" w:type="auto"/>
            <w:tcBorders>
              <w:top w:val="single" w:sz="4" w:space="0" w:color="auto"/>
              <w:left w:val="single" w:sz="4" w:space="0" w:color="auto"/>
              <w:bottom w:val="single" w:sz="4" w:space="0" w:color="auto"/>
              <w:right w:val="single" w:sz="4" w:space="0" w:color="auto"/>
            </w:tcBorders>
            <w:vAlign w:val="center"/>
            <w:hideMark/>
          </w:tcPr>
          <w:p w14:paraId="28144F20" w14:textId="77777777" w:rsidR="00241417" w:rsidRDefault="00241417" w:rsidP="003A71DE">
            <w:pPr>
              <w:pStyle w:val="TAC"/>
              <w:rPr>
                <w:lang w:eastAsia="zh-CN"/>
              </w:rPr>
            </w:pPr>
            <w:r>
              <w:rPr>
                <w:lang w:eastAsia="zh-CN"/>
              </w:rPr>
              <w:t>2.7</w:t>
            </w:r>
          </w:p>
        </w:tc>
      </w:tr>
      <w:tr w:rsidR="00241417" w14:paraId="39C5E3D3" w14:textId="77777777" w:rsidTr="003A71DE">
        <w:trPr>
          <w:trHeight w:val="180"/>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73622065" w14:textId="77777777" w:rsidR="00241417" w:rsidRDefault="00241417" w:rsidP="003A71DE">
            <w:pPr>
              <w:pStyle w:val="TAC"/>
              <w:rPr>
                <w:lang w:eastAsia="zh-CN"/>
              </w:rPr>
            </w:pPr>
          </w:p>
        </w:tc>
        <w:tc>
          <w:tcPr>
            <w:tcW w:w="1398" w:type="dxa"/>
            <w:vMerge/>
            <w:tcBorders>
              <w:top w:val="single" w:sz="4" w:space="0" w:color="auto"/>
              <w:left w:val="single" w:sz="4" w:space="0" w:color="auto"/>
              <w:bottom w:val="single" w:sz="4" w:space="0" w:color="auto"/>
              <w:right w:val="single" w:sz="4" w:space="0" w:color="auto"/>
            </w:tcBorders>
            <w:vAlign w:val="center"/>
            <w:hideMark/>
          </w:tcPr>
          <w:p w14:paraId="1681BBA1" w14:textId="77777777" w:rsidR="00241417" w:rsidRDefault="00241417" w:rsidP="003A71DE">
            <w:pPr>
              <w:pStyle w:val="TAC"/>
              <w:rPr>
                <w:lang w:eastAsia="zh-CN"/>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0A07C990" w14:textId="77777777" w:rsidR="00241417" w:rsidRDefault="00241417" w:rsidP="003A71DE">
            <w:pPr>
              <w:pStyle w:val="TAC"/>
            </w:pPr>
          </w:p>
        </w:tc>
        <w:tc>
          <w:tcPr>
            <w:tcW w:w="2520" w:type="dxa"/>
            <w:tcBorders>
              <w:top w:val="single" w:sz="4" w:space="0" w:color="auto"/>
              <w:left w:val="single" w:sz="4" w:space="0" w:color="auto"/>
              <w:bottom w:val="single" w:sz="4" w:space="0" w:color="auto"/>
              <w:right w:val="single" w:sz="4" w:space="0" w:color="auto"/>
            </w:tcBorders>
            <w:vAlign w:val="center"/>
            <w:hideMark/>
          </w:tcPr>
          <w:p w14:paraId="67CC4405" w14:textId="77777777" w:rsidR="00241417" w:rsidRDefault="00241417" w:rsidP="003A71DE">
            <w:pPr>
              <w:pStyle w:val="TAC"/>
              <w:rPr>
                <w:lang w:eastAsia="zh-CN"/>
              </w:rPr>
            </w:pPr>
            <w:r>
              <w:rPr>
                <w:lang w:eastAsia="zh-CN"/>
              </w:rPr>
              <w:t>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225A6230" w14:textId="77777777" w:rsidR="00241417" w:rsidRDefault="00241417" w:rsidP="003A71DE">
            <w:pPr>
              <w:pStyle w:val="TAC"/>
              <w:rPr>
                <w:lang w:eastAsia="zh-CN"/>
              </w:rPr>
            </w:pPr>
            <w:r>
              <w:rPr>
                <w:lang w:eastAsia="zh-CN"/>
              </w:rPr>
              <w:t>3.1</w:t>
            </w:r>
          </w:p>
        </w:tc>
        <w:tc>
          <w:tcPr>
            <w:tcW w:w="0" w:type="auto"/>
            <w:tcBorders>
              <w:top w:val="single" w:sz="4" w:space="0" w:color="auto"/>
              <w:left w:val="single" w:sz="4" w:space="0" w:color="auto"/>
              <w:bottom w:val="single" w:sz="4" w:space="0" w:color="auto"/>
              <w:right w:val="single" w:sz="4" w:space="0" w:color="auto"/>
            </w:tcBorders>
            <w:vAlign w:val="center"/>
            <w:hideMark/>
          </w:tcPr>
          <w:p w14:paraId="00759446" w14:textId="77777777" w:rsidR="00241417" w:rsidRDefault="00241417" w:rsidP="003A71DE">
            <w:pPr>
              <w:pStyle w:val="TAC"/>
              <w:rPr>
                <w:lang w:eastAsia="zh-CN"/>
              </w:rPr>
            </w:pPr>
            <w:r>
              <w:rPr>
                <w:lang w:eastAsia="zh-CN"/>
              </w:rPr>
              <w:t>3.5</w:t>
            </w:r>
          </w:p>
        </w:tc>
      </w:tr>
    </w:tbl>
    <w:p w14:paraId="77C1D770" w14:textId="77777777" w:rsidR="00241417" w:rsidRDefault="00241417" w:rsidP="00241417"/>
    <w:p w14:paraId="6272DB6C" w14:textId="77777777" w:rsidR="00241417" w:rsidRDefault="00241417" w:rsidP="00241417">
      <w:pPr>
        <w:pStyle w:val="TH"/>
      </w:pPr>
      <w:r>
        <w:t xml:space="preserve">Table 11.1.3.2.6.2-2: </w:t>
      </w:r>
      <w:r w:rsidRPr="000E0C66">
        <w:t>Minimum requirements</w:t>
      </w:r>
      <w:r>
        <w:t xml:space="preserve"> for PUCCH format 4 with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397"/>
        <w:gridCol w:w="2268"/>
        <w:gridCol w:w="1907"/>
        <w:gridCol w:w="892"/>
        <w:gridCol w:w="999"/>
        <w:gridCol w:w="945"/>
      </w:tblGrid>
      <w:tr w:rsidR="00241417" w14:paraId="7AEA9E04" w14:textId="77777777" w:rsidTr="003A71DE">
        <w:trPr>
          <w:trHeight w:val="227"/>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6B58A243" w14:textId="77777777" w:rsidR="00241417" w:rsidRDefault="00241417" w:rsidP="003A71DE">
            <w:pPr>
              <w:pStyle w:val="TAH"/>
              <w:rPr>
                <w:rFonts w:cs="Arial"/>
                <w:lang w:eastAsia="zh-CN"/>
              </w:rPr>
            </w:pPr>
            <w:r>
              <w:rPr>
                <w:rFonts w:cs="Arial"/>
              </w:rPr>
              <w:t xml:space="preserve">Number of </w:t>
            </w:r>
            <w:r>
              <w:rPr>
                <w:rFonts w:cs="Arial"/>
                <w:lang w:eastAsia="zh-CN"/>
              </w:rPr>
              <w:t>T</w:t>
            </w:r>
            <w:r>
              <w:rPr>
                <w:rFonts w:cs="Arial"/>
              </w:rPr>
              <w:t>X antennas</w:t>
            </w:r>
          </w:p>
        </w:tc>
        <w:tc>
          <w:tcPr>
            <w:tcW w:w="1397" w:type="dxa"/>
            <w:vMerge w:val="restart"/>
            <w:tcBorders>
              <w:top w:val="single" w:sz="4" w:space="0" w:color="auto"/>
              <w:left w:val="single" w:sz="4" w:space="0" w:color="auto"/>
              <w:bottom w:val="single" w:sz="4" w:space="0" w:color="auto"/>
              <w:right w:val="single" w:sz="4" w:space="0" w:color="auto"/>
            </w:tcBorders>
            <w:vAlign w:val="center"/>
            <w:hideMark/>
          </w:tcPr>
          <w:p w14:paraId="4255D0FC" w14:textId="77777777" w:rsidR="00241417" w:rsidRDefault="00241417" w:rsidP="003A71DE">
            <w:pPr>
              <w:pStyle w:val="TAH"/>
              <w:rPr>
                <w:rFonts w:cs="Arial"/>
                <w:lang w:eastAsia="zh-CN"/>
              </w:rPr>
            </w:pPr>
            <w:r>
              <w:rPr>
                <w:rFonts w:cs="Arial"/>
                <w:lang w:eastAsia="zh-CN"/>
              </w:rPr>
              <w:t>Number of demodulation branches</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713F3C12" w14:textId="348D5545" w:rsidR="00241417" w:rsidRDefault="00241417" w:rsidP="003A71DE">
            <w:pPr>
              <w:pStyle w:val="TAH"/>
              <w:rPr>
                <w:rFonts w:cs="Arial"/>
                <w:lang w:val="fr-FR"/>
              </w:rPr>
            </w:pPr>
            <w:r>
              <w:rPr>
                <w:rFonts w:cs="Arial"/>
                <w:lang w:val="fr-FR"/>
              </w:rPr>
              <w:t xml:space="preserve">Propagation conditions and correlation matrix (Annex </w:t>
            </w:r>
            <w:r>
              <w:t>TBA</w:t>
            </w:r>
            <w:r>
              <w:rPr>
                <w:rFonts w:cs="Arial"/>
                <w:lang w:val="fr-FR"/>
              </w:rPr>
              <w:t>)</w:t>
            </w:r>
          </w:p>
        </w:tc>
        <w:tc>
          <w:tcPr>
            <w:tcW w:w="1907" w:type="dxa"/>
            <w:vMerge w:val="restart"/>
            <w:tcBorders>
              <w:top w:val="single" w:sz="4" w:space="0" w:color="auto"/>
              <w:left w:val="single" w:sz="4" w:space="0" w:color="auto"/>
              <w:bottom w:val="single" w:sz="4" w:space="0" w:color="auto"/>
              <w:right w:val="single" w:sz="4" w:space="0" w:color="auto"/>
            </w:tcBorders>
            <w:vAlign w:val="center"/>
            <w:hideMark/>
          </w:tcPr>
          <w:p w14:paraId="21F0674A" w14:textId="77777777" w:rsidR="00241417" w:rsidRDefault="00241417" w:rsidP="003A71DE">
            <w:pPr>
              <w:pStyle w:val="TAH"/>
              <w:rPr>
                <w:rFonts w:cs="Arial"/>
                <w:lang w:eastAsia="zh-CN"/>
              </w:rPr>
            </w:pPr>
            <w:r>
              <w:rPr>
                <w:rFonts w:cs="Arial"/>
                <w:lang w:eastAsia="zh-CN"/>
              </w:rPr>
              <w:t>Additional DM-RS configuration</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1EB75954" w14:textId="77777777" w:rsidR="00241417" w:rsidRDefault="00241417" w:rsidP="003A71DE">
            <w:pPr>
              <w:pStyle w:val="TAH"/>
              <w:rPr>
                <w:rFonts w:cs="Arial"/>
              </w:rPr>
            </w:pPr>
            <w:r>
              <w:rPr>
                <w:rFonts w:cs="Arial"/>
              </w:rPr>
              <w:t>Channel Bandwidth / SNR (dB)</w:t>
            </w:r>
          </w:p>
        </w:tc>
      </w:tr>
      <w:tr w:rsidR="00241417" w14:paraId="786A26F2" w14:textId="77777777" w:rsidTr="003A71DE">
        <w:trPr>
          <w:trHeight w:val="160"/>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15BCE9A1" w14:textId="77777777" w:rsidR="00241417" w:rsidRDefault="00241417" w:rsidP="003A71DE">
            <w:pPr>
              <w:spacing w:after="0"/>
              <w:rPr>
                <w:rFonts w:ascii="Arial" w:hAnsi="Arial" w:cs="Arial"/>
                <w:b/>
                <w:sz w:val="18"/>
                <w:lang w:eastAsia="zh-CN"/>
              </w:rPr>
            </w:pPr>
          </w:p>
        </w:tc>
        <w:tc>
          <w:tcPr>
            <w:tcW w:w="1397" w:type="dxa"/>
            <w:vMerge/>
            <w:tcBorders>
              <w:top w:val="single" w:sz="4" w:space="0" w:color="auto"/>
              <w:left w:val="single" w:sz="4" w:space="0" w:color="auto"/>
              <w:bottom w:val="single" w:sz="4" w:space="0" w:color="auto"/>
              <w:right w:val="single" w:sz="4" w:space="0" w:color="auto"/>
            </w:tcBorders>
            <w:vAlign w:val="center"/>
            <w:hideMark/>
          </w:tcPr>
          <w:p w14:paraId="0B5B87CE" w14:textId="77777777" w:rsidR="00241417" w:rsidRDefault="00241417" w:rsidP="003A71DE">
            <w:pPr>
              <w:spacing w:after="0"/>
              <w:rPr>
                <w:rFonts w:ascii="Arial" w:hAnsi="Arial" w:cs="Arial"/>
                <w:b/>
                <w:sz w:val="18"/>
                <w:lang w:eastAsia="zh-CN"/>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517593CC" w14:textId="77777777" w:rsidR="00241417" w:rsidRDefault="00241417" w:rsidP="003A71DE">
            <w:pPr>
              <w:spacing w:after="0"/>
              <w:rPr>
                <w:rFonts w:ascii="Arial" w:hAnsi="Arial" w:cs="Arial"/>
                <w:b/>
                <w:sz w:val="18"/>
                <w:lang w:val="fr-FR"/>
              </w:rPr>
            </w:pPr>
          </w:p>
        </w:tc>
        <w:tc>
          <w:tcPr>
            <w:tcW w:w="1907" w:type="dxa"/>
            <w:vMerge/>
            <w:tcBorders>
              <w:top w:val="single" w:sz="4" w:space="0" w:color="auto"/>
              <w:left w:val="single" w:sz="4" w:space="0" w:color="auto"/>
              <w:bottom w:val="single" w:sz="4" w:space="0" w:color="auto"/>
              <w:right w:val="single" w:sz="4" w:space="0" w:color="auto"/>
            </w:tcBorders>
            <w:vAlign w:val="center"/>
            <w:hideMark/>
          </w:tcPr>
          <w:p w14:paraId="26B3C829" w14:textId="77777777" w:rsidR="00241417" w:rsidRDefault="00241417" w:rsidP="003A71DE">
            <w:pPr>
              <w:spacing w:after="0"/>
              <w:rPr>
                <w:rFonts w:ascii="Arial" w:hAnsi="Arial" w:cs="Arial"/>
                <w:b/>
                <w:sz w:val="18"/>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5A129892" w14:textId="77777777" w:rsidR="00241417" w:rsidRDefault="00241417" w:rsidP="003A71DE">
            <w:pPr>
              <w:pStyle w:val="TAH"/>
              <w:rPr>
                <w:rFonts w:cs="Arial"/>
              </w:rPr>
            </w:pPr>
            <w:r>
              <w:rPr>
                <w:rFonts w:cs="Arial"/>
              </w:rPr>
              <w:t>50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1674046A" w14:textId="77777777" w:rsidR="00241417" w:rsidRDefault="00241417" w:rsidP="003A71DE">
            <w:pPr>
              <w:pStyle w:val="TAH"/>
              <w:rPr>
                <w:rFonts w:cs="Arial"/>
              </w:rPr>
            </w:pPr>
            <w:r>
              <w:rPr>
                <w:rFonts w:cs="Arial"/>
              </w:rPr>
              <w:t>100 MHz</w:t>
            </w:r>
          </w:p>
        </w:tc>
        <w:tc>
          <w:tcPr>
            <w:tcW w:w="0" w:type="auto"/>
            <w:tcBorders>
              <w:top w:val="single" w:sz="4" w:space="0" w:color="auto"/>
              <w:left w:val="single" w:sz="4" w:space="0" w:color="auto"/>
              <w:bottom w:val="single" w:sz="4" w:space="0" w:color="auto"/>
              <w:right w:val="single" w:sz="4" w:space="0" w:color="auto"/>
            </w:tcBorders>
            <w:vAlign w:val="center"/>
            <w:hideMark/>
          </w:tcPr>
          <w:p w14:paraId="7BDA1525" w14:textId="77777777" w:rsidR="00241417" w:rsidRDefault="00241417" w:rsidP="003A71DE">
            <w:pPr>
              <w:pStyle w:val="TAH"/>
              <w:rPr>
                <w:rFonts w:cs="Arial"/>
              </w:rPr>
            </w:pPr>
            <w:r>
              <w:rPr>
                <w:rFonts w:cs="Arial"/>
              </w:rPr>
              <w:t>200MHz</w:t>
            </w:r>
          </w:p>
        </w:tc>
      </w:tr>
      <w:tr w:rsidR="00241417" w14:paraId="496944A3" w14:textId="77777777" w:rsidTr="003A71DE">
        <w:trPr>
          <w:trHeight w:val="180"/>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1B651185" w14:textId="77777777" w:rsidR="00241417" w:rsidRDefault="00241417" w:rsidP="003A71DE">
            <w:pPr>
              <w:pStyle w:val="TAC"/>
              <w:rPr>
                <w:rFonts w:cs="Arial"/>
                <w:lang w:eastAsia="zh-CN"/>
              </w:rPr>
            </w:pPr>
            <w:r>
              <w:rPr>
                <w:rFonts w:cs="Arial"/>
                <w:lang w:eastAsia="zh-CN"/>
              </w:rPr>
              <w:t>1</w:t>
            </w:r>
          </w:p>
        </w:tc>
        <w:tc>
          <w:tcPr>
            <w:tcW w:w="1397" w:type="dxa"/>
            <w:vMerge w:val="restart"/>
            <w:tcBorders>
              <w:top w:val="single" w:sz="4" w:space="0" w:color="auto"/>
              <w:left w:val="single" w:sz="4" w:space="0" w:color="auto"/>
              <w:bottom w:val="single" w:sz="4" w:space="0" w:color="auto"/>
              <w:right w:val="single" w:sz="4" w:space="0" w:color="auto"/>
            </w:tcBorders>
            <w:vAlign w:val="center"/>
            <w:hideMark/>
          </w:tcPr>
          <w:p w14:paraId="0F5DDBAF" w14:textId="77777777" w:rsidR="00241417" w:rsidRDefault="00241417" w:rsidP="003A71DE">
            <w:pPr>
              <w:pStyle w:val="TAC"/>
              <w:rPr>
                <w:rFonts w:cs="Arial"/>
                <w:lang w:eastAsia="zh-CN"/>
              </w:rPr>
            </w:pPr>
            <w:r>
              <w:rPr>
                <w:rFonts w:cs="Arial"/>
                <w:lang w:eastAsia="zh-CN"/>
              </w:rPr>
              <w:t>2</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1EC17D2D" w14:textId="77777777" w:rsidR="00241417" w:rsidRDefault="00241417" w:rsidP="003A71DE">
            <w:pPr>
              <w:pStyle w:val="TAC"/>
              <w:rPr>
                <w:rFonts w:cs="Arial"/>
              </w:rPr>
            </w:pPr>
            <w:r>
              <w:rPr>
                <w:rFonts w:cs="Arial"/>
              </w:rPr>
              <w:t>TDLA30-300 Low</w:t>
            </w:r>
          </w:p>
        </w:tc>
        <w:tc>
          <w:tcPr>
            <w:tcW w:w="1907" w:type="dxa"/>
            <w:tcBorders>
              <w:top w:val="single" w:sz="4" w:space="0" w:color="auto"/>
              <w:left w:val="single" w:sz="4" w:space="0" w:color="auto"/>
              <w:bottom w:val="single" w:sz="4" w:space="0" w:color="auto"/>
              <w:right w:val="single" w:sz="4" w:space="0" w:color="auto"/>
            </w:tcBorders>
            <w:vAlign w:val="center"/>
            <w:hideMark/>
          </w:tcPr>
          <w:p w14:paraId="7FEBEE73" w14:textId="77777777" w:rsidR="00241417" w:rsidRDefault="00241417" w:rsidP="003A71DE">
            <w:pPr>
              <w:pStyle w:val="TAC"/>
              <w:rPr>
                <w:rFonts w:cs="Arial"/>
                <w:lang w:eastAsia="zh-CN"/>
              </w:rPr>
            </w:pPr>
            <w:r>
              <w:rPr>
                <w:rFonts w:cs="Arial"/>
                <w:lang w:eastAsia="zh-CN"/>
              </w:rPr>
              <w:t>No 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1927C072" w14:textId="77777777" w:rsidR="00241417" w:rsidRDefault="00241417" w:rsidP="003A71DE">
            <w:pPr>
              <w:pStyle w:val="TAC"/>
              <w:rPr>
                <w:rFonts w:cs="Arial"/>
                <w:lang w:eastAsia="zh-CN"/>
              </w:rPr>
            </w:pPr>
            <w:r>
              <w:rPr>
                <w:rFonts w:cs="Arial"/>
                <w:lang w:eastAsia="zh-CN"/>
              </w:rPr>
              <w:t>2.8</w:t>
            </w:r>
          </w:p>
        </w:tc>
        <w:tc>
          <w:tcPr>
            <w:tcW w:w="0" w:type="auto"/>
            <w:tcBorders>
              <w:top w:val="single" w:sz="4" w:space="0" w:color="auto"/>
              <w:left w:val="single" w:sz="4" w:space="0" w:color="auto"/>
              <w:bottom w:val="single" w:sz="4" w:space="0" w:color="auto"/>
              <w:right w:val="single" w:sz="4" w:space="0" w:color="auto"/>
            </w:tcBorders>
            <w:vAlign w:val="center"/>
            <w:hideMark/>
          </w:tcPr>
          <w:p w14:paraId="250E82E6" w14:textId="77777777" w:rsidR="00241417" w:rsidRDefault="00241417" w:rsidP="003A71DE">
            <w:pPr>
              <w:pStyle w:val="TAC"/>
              <w:rPr>
                <w:rFonts w:cs="Arial"/>
                <w:lang w:eastAsia="zh-CN"/>
              </w:rPr>
            </w:pPr>
            <w:r>
              <w:rPr>
                <w:rFonts w:cs="Arial"/>
                <w:lang w:eastAsia="zh-CN"/>
              </w:rPr>
              <w:t>2.8</w:t>
            </w:r>
          </w:p>
        </w:tc>
        <w:tc>
          <w:tcPr>
            <w:tcW w:w="0" w:type="auto"/>
            <w:tcBorders>
              <w:top w:val="single" w:sz="4" w:space="0" w:color="auto"/>
              <w:left w:val="single" w:sz="4" w:space="0" w:color="auto"/>
              <w:bottom w:val="single" w:sz="4" w:space="0" w:color="auto"/>
              <w:right w:val="single" w:sz="4" w:space="0" w:color="auto"/>
            </w:tcBorders>
            <w:vAlign w:val="center"/>
            <w:hideMark/>
          </w:tcPr>
          <w:p w14:paraId="38C06ED9" w14:textId="77777777" w:rsidR="00241417" w:rsidRDefault="00241417" w:rsidP="003A71DE">
            <w:pPr>
              <w:pStyle w:val="TAC"/>
            </w:pPr>
            <w:r>
              <w:rPr>
                <w:lang w:eastAsia="zh-CN"/>
              </w:rPr>
              <w:t>3.5</w:t>
            </w:r>
          </w:p>
        </w:tc>
      </w:tr>
      <w:tr w:rsidR="00241417" w14:paraId="5EDE0BDC" w14:textId="77777777" w:rsidTr="003A71DE">
        <w:trPr>
          <w:trHeight w:val="180"/>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667AF7D4" w14:textId="77777777" w:rsidR="00241417" w:rsidRDefault="00241417" w:rsidP="003A71DE">
            <w:pPr>
              <w:spacing w:after="0"/>
              <w:rPr>
                <w:rFonts w:ascii="Arial" w:hAnsi="Arial" w:cs="Arial"/>
                <w:sz w:val="18"/>
                <w:lang w:eastAsia="zh-CN"/>
              </w:rPr>
            </w:pPr>
          </w:p>
        </w:tc>
        <w:tc>
          <w:tcPr>
            <w:tcW w:w="1397" w:type="dxa"/>
            <w:vMerge/>
            <w:tcBorders>
              <w:top w:val="single" w:sz="4" w:space="0" w:color="auto"/>
              <w:left w:val="single" w:sz="4" w:space="0" w:color="auto"/>
              <w:bottom w:val="single" w:sz="4" w:space="0" w:color="auto"/>
              <w:right w:val="single" w:sz="4" w:space="0" w:color="auto"/>
            </w:tcBorders>
            <w:vAlign w:val="center"/>
            <w:hideMark/>
          </w:tcPr>
          <w:p w14:paraId="16827F52" w14:textId="77777777" w:rsidR="00241417" w:rsidRDefault="00241417" w:rsidP="003A71DE">
            <w:pPr>
              <w:spacing w:after="0"/>
              <w:rPr>
                <w:rFonts w:ascii="Arial" w:hAnsi="Arial" w:cs="Arial"/>
                <w:sz w:val="18"/>
                <w:lang w:eastAsia="zh-CN"/>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275B3792" w14:textId="77777777" w:rsidR="00241417" w:rsidRDefault="00241417" w:rsidP="003A71DE">
            <w:pPr>
              <w:spacing w:after="0"/>
              <w:rPr>
                <w:rFonts w:ascii="Arial" w:hAnsi="Arial" w:cs="Arial"/>
                <w:sz w:val="18"/>
              </w:rPr>
            </w:pPr>
          </w:p>
        </w:tc>
        <w:tc>
          <w:tcPr>
            <w:tcW w:w="1907" w:type="dxa"/>
            <w:tcBorders>
              <w:top w:val="single" w:sz="4" w:space="0" w:color="auto"/>
              <w:left w:val="single" w:sz="4" w:space="0" w:color="auto"/>
              <w:bottom w:val="single" w:sz="4" w:space="0" w:color="auto"/>
              <w:right w:val="single" w:sz="4" w:space="0" w:color="auto"/>
            </w:tcBorders>
            <w:vAlign w:val="center"/>
            <w:hideMark/>
          </w:tcPr>
          <w:p w14:paraId="716F9A27" w14:textId="77777777" w:rsidR="00241417" w:rsidRDefault="00241417" w:rsidP="003A71DE">
            <w:pPr>
              <w:pStyle w:val="TAC"/>
              <w:rPr>
                <w:rFonts w:cs="Arial"/>
                <w:lang w:eastAsia="zh-CN"/>
              </w:rPr>
            </w:pPr>
            <w:r>
              <w:rPr>
                <w:rFonts w:cs="Arial"/>
                <w:lang w:eastAsia="zh-CN"/>
              </w:rPr>
              <w:t>Additional 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6179BA42" w14:textId="77777777" w:rsidR="00241417" w:rsidRDefault="00241417" w:rsidP="003A71DE">
            <w:pPr>
              <w:pStyle w:val="TAC"/>
              <w:rPr>
                <w:rFonts w:cs="Arial"/>
                <w:lang w:eastAsia="zh-CN"/>
              </w:rPr>
            </w:pPr>
            <w:r>
              <w:rPr>
                <w:rFonts w:cs="Arial"/>
                <w:lang w:eastAsia="zh-CN"/>
              </w:rPr>
              <w:t>3.6</w:t>
            </w:r>
          </w:p>
        </w:tc>
        <w:tc>
          <w:tcPr>
            <w:tcW w:w="0" w:type="auto"/>
            <w:tcBorders>
              <w:top w:val="single" w:sz="4" w:space="0" w:color="auto"/>
              <w:left w:val="single" w:sz="4" w:space="0" w:color="auto"/>
              <w:bottom w:val="single" w:sz="4" w:space="0" w:color="auto"/>
              <w:right w:val="single" w:sz="4" w:space="0" w:color="auto"/>
            </w:tcBorders>
            <w:vAlign w:val="center"/>
            <w:hideMark/>
          </w:tcPr>
          <w:p w14:paraId="15EB6BFE" w14:textId="77777777" w:rsidR="00241417" w:rsidRDefault="00241417" w:rsidP="003A71DE">
            <w:pPr>
              <w:pStyle w:val="TAC"/>
              <w:rPr>
                <w:rFonts w:cs="Arial"/>
                <w:lang w:eastAsia="zh-CN"/>
              </w:rPr>
            </w:pPr>
            <w:r>
              <w:rPr>
                <w:rFonts w:cs="Arial"/>
                <w:lang w:eastAsia="zh-CN"/>
              </w:rPr>
              <w:t>3.8</w:t>
            </w:r>
          </w:p>
        </w:tc>
        <w:tc>
          <w:tcPr>
            <w:tcW w:w="0" w:type="auto"/>
            <w:tcBorders>
              <w:top w:val="single" w:sz="4" w:space="0" w:color="auto"/>
              <w:left w:val="single" w:sz="4" w:space="0" w:color="auto"/>
              <w:bottom w:val="single" w:sz="4" w:space="0" w:color="auto"/>
              <w:right w:val="single" w:sz="4" w:space="0" w:color="auto"/>
            </w:tcBorders>
            <w:vAlign w:val="center"/>
            <w:hideMark/>
          </w:tcPr>
          <w:p w14:paraId="039AA5FA" w14:textId="77777777" w:rsidR="00241417" w:rsidRDefault="00241417" w:rsidP="003A71DE">
            <w:pPr>
              <w:pStyle w:val="TAC"/>
              <w:rPr>
                <w:rFonts w:cs="Arial"/>
                <w:lang w:eastAsia="zh-CN"/>
              </w:rPr>
            </w:pPr>
            <w:r>
              <w:rPr>
                <w:rFonts w:cs="Arial"/>
                <w:lang w:eastAsia="zh-CN"/>
              </w:rPr>
              <w:t>3.2</w:t>
            </w:r>
          </w:p>
        </w:tc>
      </w:tr>
    </w:tbl>
    <w:p w14:paraId="0779DEED" w14:textId="77777777" w:rsidR="00241417" w:rsidRDefault="00241417" w:rsidP="00241417">
      <w:pPr>
        <w:rPr>
          <w:noProof/>
        </w:rPr>
      </w:pPr>
    </w:p>
    <w:p w14:paraId="6969E211" w14:textId="77777777" w:rsidR="00241417" w:rsidRDefault="00241417" w:rsidP="00241417">
      <w:pPr>
        <w:pStyle w:val="Heading3"/>
        <w:rPr>
          <w:noProof/>
        </w:rPr>
      </w:pPr>
      <w:bookmarkStart w:id="7781" w:name="_Toc67916571"/>
      <w:bookmarkStart w:id="7782" w:name="_Toc61176748"/>
      <w:bookmarkStart w:id="7783" w:name="_Toc53178114"/>
      <w:bookmarkStart w:id="7784" w:name="_Toc53177662"/>
      <w:bookmarkStart w:id="7785" w:name="_Toc45893498"/>
      <w:bookmarkStart w:id="7786" w:name="_Toc37268848"/>
      <w:bookmarkStart w:id="7787" w:name="_Toc37268397"/>
      <w:bookmarkStart w:id="7788" w:name="_Toc29811442"/>
      <w:bookmarkStart w:id="7789" w:name="_Toc13079953"/>
      <w:bookmarkStart w:id="7790" w:name="_Toc74583488"/>
      <w:bookmarkStart w:id="7791" w:name="_Toc76542301"/>
      <w:bookmarkStart w:id="7792" w:name="_Toc82450283"/>
      <w:bookmarkStart w:id="7793" w:name="_Toc82450931"/>
      <w:bookmarkStart w:id="7794" w:name="_Toc89949320"/>
      <w:bookmarkStart w:id="7795" w:name="_Toc98755709"/>
      <w:bookmarkStart w:id="7796" w:name="_Toc98763301"/>
      <w:bookmarkStart w:id="7797" w:name="_Toc106184230"/>
      <w:r>
        <w:rPr>
          <w:noProof/>
        </w:rPr>
        <w:t>11.1.</w:t>
      </w:r>
      <w:r>
        <w:rPr>
          <w:rFonts w:eastAsia="DengXian"/>
          <w:noProof/>
          <w:lang w:eastAsia="zh-CN"/>
        </w:rPr>
        <w:t>4</w:t>
      </w:r>
      <w:r>
        <w:rPr>
          <w:noProof/>
        </w:rPr>
        <w:tab/>
        <w:t>Performance requirements for PRACH</w:t>
      </w:r>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p>
    <w:p w14:paraId="1E129A51" w14:textId="77777777" w:rsidR="00241417" w:rsidRDefault="00241417" w:rsidP="00241417">
      <w:pPr>
        <w:pStyle w:val="Heading4"/>
        <w:rPr>
          <w:noProof/>
        </w:rPr>
      </w:pPr>
      <w:bookmarkStart w:id="7798" w:name="_Toc67916572"/>
      <w:bookmarkStart w:id="7799" w:name="_Toc61176749"/>
      <w:bookmarkStart w:id="7800" w:name="_Toc53178115"/>
      <w:bookmarkStart w:id="7801" w:name="_Toc53177663"/>
      <w:bookmarkStart w:id="7802" w:name="_Toc45893499"/>
      <w:bookmarkStart w:id="7803" w:name="_Toc37268849"/>
      <w:bookmarkStart w:id="7804" w:name="_Toc37268398"/>
      <w:bookmarkStart w:id="7805" w:name="_Toc29811894"/>
      <w:bookmarkStart w:id="7806" w:name="_Toc29811443"/>
      <w:bookmarkStart w:id="7807" w:name="_Toc13079954"/>
      <w:bookmarkStart w:id="7808" w:name="_Toc74583489"/>
      <w:bookmarkStart w:id="7809" w:name="_Toc76542302"/>
      <w:bookmarkStart w:id="7810" w:name="_Toc82450284"/>
      <w:bookmarkStart w:id="7811" w:name="_Toc82450932"/>
      <w:bookmarkStart w:id="7812" w:name="_Toc89949321"/>
      <w:bookmarkStart w:id="7813" w:name="_Toc98755710"/>
      <w:bookmarkStart w:id="7814" w:name="_Toc98763302"/>
      <w:bookmarkStart w:id="7815" w:name="_Toc106184231"/>
      <w:r>
        <w:rPr>
          <w:noProof/>
        </w:rPr>
        <w:t>11.1.</w:t>
      </w:r>
      <w:r>
        <w:rPr>
          <w:rFonts w:eastAsia="DengXian"/>
          <w:noProof/>
          <w:lang w:eastAsia="zh-CN"/>
        </w:rPr>
        <w:t>4</w:t>
      </w:r>
      <w:r>
        <w:rPr>
          <w:noProof/>
        </w:rPr>
        <w:t>.1</w:t>
      </w:r>
      <w:r>
        <w:rPr>
          <w:noProof/>
        </w:rPr>
        <w:tab/>
      </w:r>
      <w:r w:rsidRPr="00241AB2">
        <w:rPr>
          <w:noProof/>
        </w:rPr>
        <w:t xml:space="preserve">Performance </w:t>
      </w:r>
      <w:r>
        <w:rPr>
          <w:noProof/>
        </w:rPr>
        <w:t xml:space="preserve">requirements </w:t>
      </w:r>
      <w:r>
        <w:t xml:space="preserve">for </w:t>
      </w:r>
      <w:r>
        <w:rPr>
          <w:rFonts w:hint="eastAsia"/>
          <w:i/>
          <w:lang w:eastAsia="zh-CN"/>
        </w:rPr>
        <w:t>IAB</w:t>
      </w:r>
      <w:r>
        <w:rPr>
          <w:i/>
        </w:rPr>
        <w:t xml:space="preserve"> type 1-O</w:t>
      </w:r>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p>
    <w:p w14:paraId="4AB6DDBB" w14:textId="77777777" w:rsidR="00241417" w:rsidRDefault="00241417" w:rsidP="00241417">
      <w:pPr>
        <w:pStyle w:val="Heading5"/>
        <w:rPr>
          <w:lang w:eastAsia="zh-CN"/>
        </w:rPr>
      </w:pPr>
      <w:bookmarkStart w:id="7816" w:name="_Toc67916573"/>
      <w:bookmarkStart w:id="7817" w:name="_Toc61176750"/>
      <w:bookmarkStart w:id="7818" w:name="_Toc53178116"/>
      <w:bookmarkStart w:id="7819" w:name="_Toc53177664"/>
      <w:bookmarkStart w:id="7820" w:name="_Toc45893500"/>
      <w:bookmarkStart w:id="7821" w:name="_Toc37268850"/>
      <w:bookmarkStart w:id="7822" w:name="_Toc37268399"/>
      <w:bookmarkStart w:id="7823" w:name="_Toc29811444"/>
      <w:bookmarkStart w:id="7824" w:name="_Toc13079955"/>
      <w:bookmarkStart w:id="7825" w:name="_Toc74583490"/>
      <w:bookmarkStart w:id="7826" w:name="_Toc76542303"/>
      <w:bookmarkStart w:id="7827" w:name="_Toc82450285"/>
      <w:bookmarkStart w:id="7828" w:name="_Toc82450933"/>
      <w:bookmarkStart w:id="7829" w:name="_Toc89949322"/>
      <w:bookmarkStart w:id="7830" w:name="_Toc98755711"/>
      <w:bookmarkStart w:id="7831" w:name="_Toc98763303"/>
      <w:bookmarkStart w:id="7832" w:name="_Toc106184232"/>
      <w:r>
        <w:t>11.1.</w:t>
      </w:r>
      <w:r>
        <w:rPr>
          <w:lang w:eastAsia="zh-CN"/>
        </w:rPr>
        <w:t>4</w:t>
      </w:r>
      <w:r>
        <w:t>.1.</w:t>
      </w:r>
      <w:r>
        <w:rPr>
          <w:lang w:eastAsia="zh-CN"/>
        </w:rPr>
        <w:t>1</w:t>
      </w:r>
      <w:r>
        <w:tab/>
        <w:t>PRACH False alarm probability</w:t>
      </w:r>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p>
    <w:p w14:paraId="646533A3" w14:textId="77777777" w:rsidR="00241417" w:rsidRDefault="00241417" w:rsidP="00241417">
      <w:pPr>
        <w:rPr>
          <w:noProof/>
        </w:rPr>
      </w:pPr>
      <w:r>
        <w:rPr>
          <w:noProof/>
          <w:lang w:eastAsia="zh-CN"/>
        </w:rPr>
        <w:t>Apply</w:t>
      </w:r>
      <w:r>
        <w:rPr>
          <w:noProof/>
        </w:rPr>
        <w:t xml:space="preserve"> the requirements defined in </w:t>
      </w:r>
      <w:r>
        <w:rPr>
          <w:noProof/>
          <w:lang w:eastAsia="zh-CN"/>
        </w:rPr>
        <w:t>clause</w:t>
      </w:r>
      <w:r>
        <w:rPr>
          <w:noProof/>
        </w:rPr>
        <w:t xml:space="preserve"> 8.1.</w:t>
      </w:r>
      <w:r>
        <w:rPr>
          <w:noProof/>
          <w:lang w:eastAsia="zh-CN"/>
        </w:rPr>
        <w:t>4</w:t>
      </w:r>
      <w:r>
        <w:rPr>
          <w:noProof/>
        </w:rPr>
        <w:t>.</w:t>
      </w:r>
      <w:r>
        <w:rPr>
          <w:noProof/>
          <w:lang w:eastAsia="zh-CN"/>
        </w:rPr>
        <w:t>1</w:t>
      </w:r>
      <w:r>
        <w:rPr>
          <w:noProof/>
        </w:rPr>
        <w:t xml:space="preserve"> for 2Rx.</w:t>
      </w:r>
    </w:p>
    <w:p w14:paraId="197AD2DA" w14:textId="77777777" w:rsidR="00241417" w:rsidRDefault="00241417" w:rsidP="00241417">
      <w:pPr>
        <w:pStyle w:val="Heading5"/>
      </w:pPr>
      <w:bookmarkStart w:id="7833" w:name="_Toc67916574"/>
      <w:bookmarkStart w:id="7834" w:name="_Toc61176751"/>
      <w:bookmarkStart w:id="7835" w:name="_Toc53178117"/>
      <w:bookmarkStart w:id="7836" w:name="_Toc53177665"/>
      <w:bookmarkStart w:id="7837" w:name="_Toc45893501"/>
      <w:bookmarkStart w:id="7838" w:name="_Toc37268851"/>
      <w:bookmarkStart w:id="7839" w:name="_Toc37268400"/>
      <w:bookmarkStart w:id="7840" w:name="_Toc29811445"/>
      <w:bookmarkStart w:id="7841" w:name="_Toc13079956"/>
      <w:bookmarkStart w:id="7842" w:name="_Toc74583491"/>
      <w:bookmarkStart w:id="7843" w:name="_Toc76542304"/>
      <w:bookmarkStart w:id="7844" w:name="_Toc82450286"/>
      <w:bookmarkStart w:id="7845" w:name="_Toc82450934"/>
      <w:bookmarkStart w:id="7846" w:name="_Toc89949323"/>
      <w:bookmarkStart w:id="7847" w:name="_Toc98755712"/>
      <w:bookmarkStart w:id="7848" w:name="_Toc98763304"/>
      <w:bookmarkStart w:id="7849" w:name="_Toc106184233"/>
      <w:r>
        <w:t>11.1.</w:t>
      </w:r>
      <w:r>
        <w:rPr>
          <w:lang w:eastAsia="zh-CN"/>
        </w:rPr>
        <w:t>4</w:t>
      </w:r>
      <w:r>
        <w:t>.1.</w:t>
      </w:r>
      <w:r>
        <w:rPr>
          <w:lang w:eastAsia="zh-CN"/>
        </w:rPr>
        <w:t>2</w:t>
      </w:r>
      <w:r>
        <w:tab/>
        <w:t>PRACH detection requirements</w:t>
      </w:r>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p>
    <w:p w14:paraId="17F7B87C" w14:textId="77777777" w:rsidR="00241417" w:rsidRDefault="00241417" w:rsidP="00241417">
      <w:pPr>
        <w:rPr>
          <w:noProof/>
        </w:rPr>
      </w:pPr>
      <w:r>
        <w:rPr>
          <w:noProof/>
          <w:lang w:eastAsia="zh-CN"/>
        </w:rPr>
        <w:t>Apply</w:t>
      </w:r>
      <w:r>
        <w:rPr>
          <w:noProof/>
        </w:rPr>
        <w:t xml:space="preserve"> the requirements defined in </w:t>
      </w:r>
      <w:r>
        <w:rPr>
          <w:noProof/>
          <w:lang w:eastAsia="zh-CN"/>
        </w:rPr>
        <w:t xml:space="preserve">clause </w:t>
      </w:r>
      <w:r>
        <w:rPr>
          <w:noProof/>
        </w:rPr>
        <w:t>8.1.</w:t>
      </w:r>
      <w:r>
        <w:rPr>
          <w:noProof/>
          <w:lang w:eastAsia="zh-CN"/>
        </w:rPr>
        <w:t>4</w:t>
      </w:r>
      <w:r>
        <w:rPr>
          <w:noProof/>
        </w:rPr>
        <w:t>.</w:t>
      </w:r>
      <w:r>
        <w:rPr>
          <w:noProof/>
          <w:lang w:eastAsia="zh-CN"/>
        </w:rPr>
        <w:t>2</w:t>
      </w:r>
      <w:r>
        <w:rPr>
          <w:noProof/>
        </w:rPr>
        <w:t xml:space="preserve"> for 2Rx.</w:t>
      </w:r>
    </w:p>
    <w:p w14:paraId="156D24DF" w14:textId="77777777" w:rsidR="00241417" w:rsidRDefault="00241417" w:rsidP="00241417">
      <w:pPr>
        <w:pStyle w:val="Heading4"/>
      </w:pPr>
      <w:bookmarkStart w:id="7850" w:name="_Toc67916575"/>
      <w:bookmarkStart w:id="7851" w:name="_Toc61176752"/>
      <w:bookmarkStart w:id="7852" w:name="_Toc53178118"/>
      <w:bookmarkStart w:id="7853" w:name="_Toc53177666"/>
      <w:bookmarkStart w:id="7854" w:name="_Toc45893502"/>
      <w:bookmarkStart w:id="7855" w:name="_Toc37268852"/>
      <w:bookmarkStart w:id="7856" w:name="_Toc37268401"/>
      <w:bookmarkStart w:id="7857" w:name="_Toc29811446"/>
      <w:bookmarkStart w:id="7858" w:name="_Toc13079957"/>
      <w:bookmarkStart w:id="7859" w:name="_Toc74583492"/>
      <w:bookmarkStart w:id="7860" w:name="_Toc76542305"/>
      <w:bookmarkStart w:id="7861" w:name="_Toc82450287"/>
      <w:bookmarkStart w:id="7862" w:name="_Toc82450935"/>
      <w:bookmarkStart w:id="7863" w:name="_Toc89949324"/>
      <w:bookmarkStart w:id="7864" w:name="_Toc98755713"/>
      <w:bookmarkStart w:id="7865" w:name="_Toc98763305"/>
      <w:bookmarkStart w:id="7866" w:name="_Toc106184234"/>
      <w:r>
        <w:rPr>
          <w:noProof/>
        </w:rPr>
        <w:lastRenderedPageBreak/>
        <w:t>11.1.</w:t>
      </w:r>
      <w:r>
        <w:rPr>
          <w:rFonts w:eastAsia="DengXian"/>
          <w:noProof/>
          <w:lang w:eastAsia="zh-CN"/>
        </w:rPr>
        <w:t>4</w:t>
      </w:r>
      <w:r>
        <w:rPr>
          <w:noProof/>
        </w:rPr>
        <w:t>.2</w:t>
      </w:r>
      <w:r>
        <w:rPr>
          <w:noProof/>
        </w:rPr>
        <w:tab/>
      </w:r>
      <w:r w:rsidRPr="00241AB2">
        <w:rPr>
          <w:noProof/>
          <w:lang w:val="sv-SE"/>
        </w:rPr>
        <w:t xml:space="preserve">Performance </w:t>
      </w:r>
      <w:r>
        <w:rPr>
          <w:noProof/>
          <w:lang w:val="sv-SE"/>
        </w:rPr>
        <w:t>r</w:t>
      </w:r>
      <w:r>
        <w:rPr>
          <w:noProof/>
        </w:rPr>
        <w:t xml:space="preserve">equirements </w:t>
      </w:r>
      <w:r>
        <w:t xml:space="preserve">for </w:t>
      </w:r>
      <w:r>
        <w:rPr>
          <w:i/>
        </w:rPr>
        <w:t xml:space="preserve">IAB type </w:t>
      </w:r>
      <w:r>
        <w:rPr>
          <w:rFonts w:eastAsia="DengXian"/>
          <w:i/>
          <w:lang w:eastAsia="zh-CN"/>
        </w:rPr>
        <w:t>2</w:t>
      </w:r>
      <w:r>
        <w:rPr>
          <w:i/>
        </w:rPr>
        <w:t>-O</w:t>
      </w:r>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p>
    <w:p w14:paraId="172C3EDA" w14:textId="77777777" w:rsidR="00241417" w:rsidRDefault="00241417" w:rsidP="00241417">
      <w:pPr>
        <w:pStyle w:val="Heading5"/>
        <w:rPr>
          <w:lang w:eastAsia="zh-CN"/>
        </w:rPr>
      </w:pPr>
      <w:bookmarkStart w:id="7867" w:name="_Toc67916576"/>
      <w:bookmarkStart w:id="7868" w:name="_Toc61176753"/>
      <w:bookmarkStart w:id="7869" w:name="_Toc53178119"/>
      <w:bookmarkStart w:id="7870" w:name="_Toc53177667"/>
      <w:bookmarkStart w:id="7871" w:name="_Toc45893503"/>
      <w:bookmarkStart w:id="7872" w:name="_Toc37268853"/>
      <w:bookmarkStart w:id="7873" w:name="_Toc37268402"/>
      <w:bookmarkStart w:id="7874" w:name="_Toc29811447"/>
      <w:bookmarkStart w:id="7875" w:name="_Toc13079958"/>
      <w:bookmarkStart w:id="7876" w:name="_Toc74583493"/>
      <w:bookmarkStart w:id="7877" w:name="_Toc76542306"/>
      <w:bookmarkStart w:id="7878" w:name="_Toc82450288"/>
      <w:bookmarkStart w:id="7879" w:name="_Toc82450936"/>
      <w:bookmarkStart w:id="7880" w:name="_Toc89949325"/>
      <w:bookmarkStart w:id="7881" w:name="_Toc98755714"/>
      <w:bookmarkStart w:id="7882" w:name="_Toc98763306"/>
      <w:bookmarkStart w:id="7883" w:name="_Toc106184235"/>
      <w:r>
        <w:t>11.1.</w:t>
      </w:r>
      <w:r>
        <w:rPr>
          <w:lang w:eastAsia="zh-CN"/>
        </w:rPr>
        <w:t>4</w:t>
      </w:r>
      <w:r>
        <w:t>.</w:t>
      </w:r>
      <w:r>
        <w:rPr>
          <w:lang w:eastAsia="zh-CN"/>
        </w:rPr>
        <w:t>2</w:t>
      </w:r>
      <w:r>
        <w:t>.</w:t>
      </w:r>
      <w:r>
        <w:rPr>
          <w:lang w:eastAsia="zh-CN"/>
        </w:rPr>
        <w:t>1</w:t>
      </w:r>
      <w:r>
        <w:tab/>
        <w:t>PRACH false alarm probability</w:t>
      </w:r>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p>
    <w:p w14:paraId="177401BF" w14:textId="77777777" w:rsidR="00241417" w:rsidRDefault="00241417" w:rsidP="00241417">
      <w:pPr>
        <w:pStyle w:val="H6"/>
      </w:pPr>
      <w:bookmarkStart w:id="7884" w:name="_Toc67916577"/>
      <w:bookmarkStart w:id="7885" w:name="_Toc61176754"/>
      <w:bookmarkStart w:id="7886" w:name="_Toc53178120"/>
      <w:bookmarkStart w:id="7887" w:name="_Toc53177668"/>
      <w:bookmarkStart w:id="7888" w:name="_Toc45893504"/>
      <w:bookmarkStart w:id="7889" w:name="_Toc37268854"/>
      <w:bookmarkStart w:id="7890" w:name="_Toc37268403"/>
      <w:bookmarkStart w:id="7891" w:name="_Toc29811448"/>
      <w:bookmarkStart w:id="7892" w:name="_Toc13079959"/>
      <w:r>
        <w:t>11.1.4.2.1.1</w:t>
      </w:r>
      <w:r>
        <w:tab/>
        <w:t>General</w:t>
      </w:r>
      <w:bookmarkEnd w:id="7884"/>
      <w:bookmarkEnd w:id="7885"/>
      <w:bookmarkEnd w:id="7886"/>
      <w:bookmarkEnd w:id="7887"/>
      <w:bookmarkEnd w:id="7888"/>
      <w:bookmarkEnd w:id="7889"/>
      <w:bookmarkEnd w:id="7890"/>
      <w:bookmarkEnd w:id="7891"/>
      <w:bookmarkEnd w:id="7892"/>
    </w:p>
    <w:p w14:paraId="5873B9FA" w14:textId="77777777" w:rsidR="00241417" w:rsidRDefault="00241417" w:rsidP="00241417">
      <w:r>
        <w:t>The false alarm requirement is valid for any number of receive antennas, for any channel bandwidth.</w:t>
      </w:r>
    </w:p>
    <w:p w14:paraId="6AB2917F" w14:textId="77777777" w:rsidR="00241417" w:rsidRDefault="00241417" w:rsidP="00241417">
      <w:r>
        <w:t>The false alarm probability is the conditional total probability of erroneous detection of the preamble (i.e. erroneous detection from any detector) when input is only noise.</w:t>
      </w:r>
    </w:p>
    <w:p w14:paraId="5F84A1A2" w14:textId="77777777" w:rsidR="00241417" w:rsidRDefault="00241417" w:rsidP="00241417">
      <w:pPr>
        <w:pStyle w:val="H6"/>
      </w:pPr>
      <w:bookmarkStart w:id="7893" w:name="_Toc67916578"/>
      <w:bookmarkStart w:id="7894" w:name="_Toc61176755"/>
      <w:bookmarkStart w:id="7895" w:name="_Toc53178121"/>
      <w:bookmarkStart w:id="7896" w:name="_Toc53177669"/>
      <w:bookmarkStart w:id="7897" w:name="_Toc45893505"/>
      <w:bookmarkStart w:id="7898" w:name="_Toc37268855"/>
      <w:bookmarkStart w:id="7899" w:name="_Toc37268404"/>
      <w:bookmarkStart w:id="7900" w:name="_Toc29811449"/>
      <w:bookmarkStart w:id="7901" w:name="_Toc13079960"/>
      <w:r>
        <w:t>11.1.4.2.1.</w:t>
      </w:r>
      <w:r>
        <w:rPr>
          <w:lang w:eastAsia="zh-CN"/>
        </w:rPr>
        <w:t>2</w:t>
      </w:r>
      <w:r>
        <w:tab/>
        <w:t>Minimum requirement</w:t>
      </w:r>
      <w:bookmarkEnd w:id="7893"/>
      <w:bookmarkEnd w:id="7894"/>
      <w:bookmarkEnd w:id="7895"/>
      <w:bookmarkEnd w:id="7896"/>
      <w:bookmarkEnd w:id="7897"/>
      <w:bookmarkEnd w:id="7898"/>
      <w:bookmarkEnd w:id="7899"/>
      <w:bookmarkEnd w:id="7900"/>
      <w:bookmarkEnd w:id="7901"/>
    </w:p>
    <w:p w14:paraId="7E399E49" w14:textId="77777777" w:rsidR="00241417" w:rsidRDefault="00241417" w:rsidP="00241417">
      <w:pPr>
        <w:rPr>
          <w:lang w:eastAsia="zh-CN"/>
        </w:rPr>
      </w:pPr>
      <w:r>
        <w:t>The false alarm probability shall be less than or equal to 0.1%.</w:t>
      </w:r>
    </w:p>
    <w:p w14:paraId="037A5FF1" w14:textId="77777777" w:rsidR="00241417" w:rsidRDefault="00241417" w:rsidP="00241417">
      <w:pPr>
        <w:pStyle w:val="Heading5"/>
      </w:pPr>
      <w:bookmarkStart w:id="7902" w:name="_Toc67916579"/>
      <w:bookmarkStart w:id="7903" w:name="_Toc61176756"/>
      <w:bookmarkStart w:id="7904" w:name="_Toc53178122"/>
      <w:bookmarkStart w:id="7905" w:name="_Toc53177670"/>
      <w:bookmarkStart w:id="7906" w:name="_Toc45893506"/>
      <w:bookmarkStart w:id="7907" w:name="_Toc37268856"/>
      <w:bookmarkStart w:id="7908" w:name="_Toc37268405"/>
      <w:bookmarkStart w:id="7909" w:name="_Toc29811450"/>
      <w:bookmarkStart w:id="7910" w:name="_Toc13079961"/>
      <w:bookmarkStart w:id="7911" w:name="_Toc74583494"/>
      <w:bookmarkStart w:id="7912" w:name="_Toc76542307"/>
      <w:bookmarkStart w:id="7913" w:name="_Toc82450289"/>
      <w:bookmarkStart w:id="7914" w:name="_Toc82450937"/>
      <w:bookmarkStart w:id="7915" w:name="_Toc89949326"/>
      <w:bookmarkStart w:id="7916" w:name="_Toc98755715"/>
      <w:bookmarkStart w:id="7917" w:name="_Toc98763307"/>
      <w:bookmarkStart w:id="7918" w:name="_Toc106184236"/>
      <w:r>
        <w:t>11.1.</w:t>
      </w:r>
      <w:r>
        <w:rPr>
          <w:lang w:eastAsia="zh-CN"/>
        </w:rPr>
        <w:t>4</w:t>
      </w:r>
      <w:r>
        <w:t>.</w:t>
      </w:r>
      <w:r>
        <w:rPr>
          <w:lang w:eastAsia="zh-CN"/>
        </w:rPr>
        <w:t>2</w:t>
      </w:r>
      <w:r>
        <w:t>.</w:t>
      </w:r>
      <w:r>
        <w:rPr>
          <w:lang w:eastAsia="zh-CN"/>
        </w:rPr>
        <w:t>2</w:t>
      </w:r>
      <w:r>
        <w:tab/>
        <w:t>PRACH missed detection requirements</w:t>
      </w:r>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p>
    <w:p w14:paraId="08BF5920" w14:textId="77777777" w:rsidR="00241417" w:rsidRDefault="00241417" w:rsidP="00241417">
      <w:pPr>
        <w:pStyle w:val="H6"/>
      </w:pPr>
      <w:bookmarkStart w:id="7919" w:name="_Toc67916580"/>
      <w:bookmarkStart w:id="7920" w:name="_Toc61176757"/>
      <w:bookmarkStart w:id="7921" w:name="_Toc53178123"/>
      <w:bookmarkStart w:id="7922" w:name="_Toc53177671"/>
      <w:bookmarkStart w:id="7923" w:name="_Toc45893507"/>
      <w:bookmarkStart w:id="7924" w:name="_Toc37268857"/>
      <w:bookmarkStart w:id="7925" w:name="_Toc37268406"/>
      <w:bookmarkStart w:id="7926" w:name="_Toc29811451"/>
      <w:bookmarkStart w:id="7927" w:name="_Toc13079962"/>
      <w:r>
        <w:t>11.1.4.2.2.1</w:t>
      </w:r>
      <w:r>
        <w:tab/>
        <w:t>General</w:t>
      </w:r>
      <w:bookmarkEnd w:id="7919"/>
      <w:bookmarkEnd w:id="7920"/>
      <w:bookmarkEnd w:id="7921"/>
      <w:bookmarkEnd w:id="7922"/>
      <w:bookmarkEnd w:id="7923"/>
      <w:bookmarkEnd w:id="7924"/>
      <w:bookmarkEnd w:id="7925"/>
      <w:bookmarkEnd w:id="7926"/>
      <w:bookmarkEnd w:id="7927"/>
    </w:p>
    <w:p w14:paraId="2FCAD96C" w14:textId="77777777" w:rsidR="00241417" w:rsidRDefault="00241417" w:rsidP="00241417">
      <w:pPr>
        <w:rPr>
          <w:rFonts w:cs="v4.2.0"/>
          <w:lang w:eastAsia="zh-CN"/>
        </w:rPr>
      </w:pPr>
      <w:r>
        <w:t xml:space="preserve">The probability of detection is the conditional probability of correct detection of the preamble when the signal is present. There are several error cases – detecting different preamble than the one that was sent, not detecting a preamble at all or correct preamble detection but with the wrong timing estimation. </w:t>
      </w:r>
      <w:r>
        <w:rPr>
          <w:rFonts w:cs="v4.2.0"/>
          <w:lang w:eastAsia="zh-CN"/>
        </w:rPr>
        <w:t xml:space="preserve">For AWGN and TDLA30-300, a timing </w:t>
      </w:r>
      <w:r>
        <w:rPr>
          <w:rFonts w:eastAsia="?c?e?o“A‘??S?V?b?N‘I" w:cs="v4.2.0"/>
        </w:rPr>
        <w:t xml:space="preserve">estimation error occurs if the estimation error of the timing of the strongest path is larger than </w:t>
      </w:r>
      <w:r>
        <w:rPr>
          <w:rFonts w:cs="v4.2.0"/>
          <w:lang w:eastAsia="zh-CN"/>
        </w:rPr>
        <w:t xml:space="preserve">the time error tolerance given in Table </w:t>
      </w:r>
      <w:r>
        <w:rPr>
          <w:lang w:eastAsia="zh-CN"/>
        </w:rPr>
        <w:t>11</w:t>
      </w:r>
      <w:r>
        <w:rPr>
          <w:rFonts w:eastAsia="‚c‚e‚o“Á‘¾ƒSƒVƒbƒN‘Ì"/>
        </w:rPr>
        <w:t>.1.4.</w:t>
      </w:r>
      <w:r>
        <w:rPr>
          <w:lang w:eastAsia="zh-CN"/>
        </w:rPr>
        <w:t>2</w:t>
      </w:r>
      <w:r>
        <w:rPr>
          <w:rFonts w:eastAsia="‚c‚e‚o“Á‘¾ƒSƒVƒbƒN‘Ì"/>
        </w:rPr>
        <w:t>.</w:t>
      </w:r>
      <w:r>
        <w:rPr>
          <w:lang w:eastAsia="zh-CN"/>
        </w:rPr>
        <w:t>2.1</w:t>
      </w:r>
      <w:r>
        <w:rPr>
          <w:rFonts w:eastAsia="‚c‚e‚o“Á‘¾ƒSƒVƒbƒN‘Ì"/>
        </w:rPr>
        <w:t>-1</w:t>
      </w:r>
      <w:r>
        <w:rPr>
          <w:rFonts w:eastAsia="?c?e?o“A‘??S?V?b?N‘I" w:cs="v4.2.0"/>
        </w:rPr>
        <w:t>.</w:t>
      </w:r>
    </w:p>
    <w:p w14:paraId="1403D1F0" w14:textId="77777777" w:rsidR="00241417" w:rsidRPr="00E21D4D" w:rsidRDefault="00241417" w:rsidP="00241417">
      <w:pPr>
        <w:pStyle w:val="TH"/>
      </w:pPr>
      <w:r w:rsidRPr="00E21D4D">
        <w:t>Table 11.1.4.2.2.1-1: Time error tolerance for AWGN and TDLA30-300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039"/>
        <w:gridCol w:w="1749"/>
        <w:gridCol w:w="1014"/>
        <w:gridCol w:w="1014"/>
      </w:tblGrid>
      <w:tr w:rsidR="00241417" w14:paraId="67F0D74D" w14:textId="77777777" w:rsidTr="003A71DE">
        <w:trPr>
          <w:cantSplit/>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199A586" w14:textId="77777777" w:rsidR="00241417" w:rsidRDefault="00241417" w:rsidP="003A71DE">
            <w:pPr>
              <w:pStyle w:val="TAH"/>
              <w:rPr>
                <w:lang w:eastAsia="zh-CN"/>
              </w:rPr>
            </w:pPr>
            <w:r>
              <w:rPr>
                <w:lang w:eastAsia="zh-CN"/>
              </w:rPr>
              <w:t>PRACH preamble</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E6FEE81" w14:textId="77777777" w:rsidR="00241417" w:rsidRDefault="00241417" w:rsidP="003A71DE">
            <w:pPr>
              <w:pStyle w:val="TAH"/>
              <w:rPr>
                <w:lang w:eastAsia="zh-CN"/>
              </w:rPr>
            </w:pPr>
            <w:r>
              <w:rPr>
                <w:lang w:eastAsia="zh-CN"/>
              </w:rPr>
              <w:t>PRACH SCS (kHz)</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71DA933" w14:textId="77777777" w:rsidR="00241417" w:rsidRDefault="00241417" w:rsidP="003A71DE">
            <w:pPr>
              <w:pStyle w:val="TAH"/>
              <w:rPr>
                <w:lang w:eastAsia="zh-CN"/>
              </w:rPr>
            </w:pPr>
            <w:r>
              <w:rPr>
                <w:lang w:eastAsia="zh-CN"/>
              </w:rPr>
              <w:t>Time error tolerance</w:t>
            </w:r>
          </w:p>
        </w:tc>
      </w:tr>
      <w:tr w:rsidR="00241417" w14:paraId="5DEB6717" w14:textId="77777777" w:rsidTr="003A71DE">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D8093A5" w14:textId="77777777" w:rsidR="00241417" w:rsidRDefault="00241417" w:rsidP="003A71DE">
            <w:pPr>
              <w:pStyle w:val="TAH"/>
              <w:rPr>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8ACDF48" w14:textId="77777777" w:rsidR="00241417" w:rsidRDefault="00241417" w:rsidP="003A71DE">
            <w:pPr>
              <w:pStyle w:val="TAH"/>
              <w:rPr>
                <w:lang w:eastAsia="zh-CN"/>
              </w:rPr>
            </w:pPr>
          </w:p>
        </w:tc>
        <w:tc>
          <w:tcPr>
            <w:tcW w:w="1014" w:type="dxa"/>
            <w:tcBorders>
              <w:top w:val="single" w:sz="4" w:space="0" w:color="auto"/>
              <w:left w:val="single" w:sz="4" w:space="0" w:color="auto"/>
              <w:bottom w:val="single" w:sz="4" w:space="0" w:color="auto"/>
              <w:right w:val="single" w:sz="4" w:space="0" w:color="auto"/>
            </w:tcBorders>
            <w:vAlign w:val="center"/>
            <w:hideMark/>
          </w:tcPr>
          <w:p w14:paraId="4AFEABCA" w14:textId="77777777" w:rsidR="00241417" w:rsidRDefault="00241417" w:rsidP="003A71DE">
            <w:pPr>
              <w:pStyle w:val="TAH"/>
              <w:rPr>
                <w:lang w:eastAsia="zh-CN"/>
              </w:rPr>
            </w:pPr>
            <w:r>
              <w:rPr>
                <w:lang w:eastAsia="zh-CN"/>
              </w:rPr>
              <w:t>AWGN</w:t>
            </w:r>
          </w:p>
        </w:tc>
        <w:tc>
          <w:tcPr>
            <w:tcW w:w="1014" w:type="dxa"/>
            <w:tcBorders>
              <w:top w:val="single" w:sz="4" w:space="0" w:color="auto"/>
              <w:left w:val="single" w:sz="4" w:space="0" w:color="auto"/>
              <w:bottom w:val="single" w:sz="4" w:space="0" w:color="auto"/>
              <w:right w:val="single" w:sz="4" w:space="0" w:color="auto"/>
            </w:tcBorders>
            <w:vAlign w:val="center"/>
            <w:hideMark/>
          </w:tcPr>
          <w:p w14:paraId="27114E09" w14:textId="77777777" w:rsidR="00241417" w:rsidRDefault="00241417" w:rsidP="003A71DE">
            <w:pPr>
              <w:pStyle w:val="TAH"/>
              <w:rPr>
                <w:lang w:eastAsia="zh-CN"/>
              </w:rPr>
            </w:pPr>
            <w:r>
              <w:rPr>
                <w:rFonts w:cs="v4.2.0"/>
                <w:lang w:eastAsia="zh-CN"/>
              </w:rPr>
              <w:t>TDLA30-300</w:t>
            </w:r>
          </w:p>
        </w:tc>
      </w:tr>
      <w:tr w:rsidR="00241417" w14:paraId="30C7CC67" w14:textId="77777777" w:rsidTr="003A71DE">
        <w:trPr>
          <w:cantSplit/>
          <w:trHeight w:val="70"/>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ADEC38F" w14:textId="77777777" w:rsidR="00241417" w:rsidRDefault="00241417" w:rsidP="003A71DE">
            <w:pPr>
              <w:pStyle w:val="TAC"/>
              <w:rPr>
                <w:lang w:eastAsia="zh-CN"/>
              </w:rPr>
            </w:pPr>
            <w:r>
              <w:rPr>
                <w:lang w:eastAsia="zh-CN"/>
              </w:rPr>
              <w:t>A1, A2, A3, B4, C0, C2</w:t>
            </w:r>
          </w:p>
        </w:tc>
        <w:tc>
          <w:tcPr>
            <w:tcW w:w="0" w:type="auto"/>
            <w:tcBorders>
              <w:top w:val="single" w:sz="4" w:space="0" w:color="auto"/>
              <w:left w:val="single" w:sz="4" w:space="0" w:color="auto"/>
              <w:bottom w:val="single" w:sz="4" w:space="0" w:color="auto"/>
              <w:right w:val="single" w:sz="4" w:space="0" w:color="auto"/>
            </w:tcBorders>
            <w:vAlign w:val="center"/>
            <w:hideMark/>
          </w:tcPr>
          <w:p w14:paraId="3F01157F" w14:textId="77777777" w:rsidR="00241417" w:rsidRDefault="00241417" w:rsidP="003A71DE">
            <w:pPr>
              <w:pStyle w:val="TAC"/>
              <w:rPr>
                <w:lang w:eastAsia="zh-CN"/>
              </w:rPr>
            </w:pPr>
            <w:r>
              <w:rPr>
                <w:lang w:eastAsia="zh-CN"/>
              </w:rPr>
              <w:t>60</w:t>
            </w:r>
          </w:p>
        </w:tc>
        <w:tc>
          <w:tcPr>
            <w:tcW w:w="1014" w:type="dxa"/>
            <w:tcBorders>
              <w:top w:val="single" w:sz="4" w:space="0" w:color="auto"/>
              <w:left w:val="single" w:sz="4" w:space="0" w:color="auto"/>
              <w:bottom w:val="single" w:sz="4" w:space="0" w:color="auto"/>
              <w:right w:val="single" w:sz="4" w:space="0" w:color="auto"/>
            </w:tcBorders>
            <w:vAlign w:val="center"/>
            <w:hideMark/>
          </w:tcPr>
          <w:p w14:paraId="27A28D18" w14:textId="77777777" w:rsidR="00241417" w:rsidRDefault="00241417" w:rsidP="003A71DE">
            <w:pPr>
              <w:pStyle w:val="TAC"/>
              <w:rPr>
                <w:lang w:eastAsia="zh-CN"/>
              </w:rPr>
            </w:pPr>
            <w:r>
              <w:rPr>
                <w:lang w:eastAsia="zh-CN"/>
              </w:rPr>
              <w:t>0.13 us</w:t>
            </w:r>
          </w:p>
        </w:tc>
        <w:tc>
          <w:tcPr>
            <w:tcW w:w="1014" w:type="dxa"/>
            <w:tcBorders>
              <w:top w:val="single" w:sz="4" w:space="0" w:color="auto"/>
              <w:left w:val="single" w:sz="4" w:space="0" w:color="auto"/>
              <w:bottom w:val="single" w:sz="4" w:space="0" w:color="auto"/>
              <w:right w:val="single" w:sz="4" w:space="0" w:color="auto"/>
            </w:tcBorders>
            <w:vAlign w:val="center"/>
            <w:hideMark/>
          </w:tcPr>
          <w:p w14:paraId="220B9109" w14:textId="77777777" w:rsidR="00241417" w:rsidRDefault="00241417" w:rsidP="003A71DE">
            <w:pPr>
              <w:pStyle w:val="TAC"/>
              <w:rPr>
                <w:lang w:eastAsia="zh-CN"/>
              </w:rPr>
            </w:pPr>
            <w:r>
              <w:rPr>
                <w:lang w:eastAsia="zh-CN"/>
              </w:rPr>
              <w:t>0.28 us</w:t>
            </w:r>
          </w:p>
        </w:tc>
      </w:tr>
      <w:tr w:rsidR="00241417" w14:paraId="39811651" w14:textId="77777777" w:rsidTr="003A71DE">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BF965DA"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9C5659E" w14:textId="77777777" w:rsidR="00241417" w:rsidRDefault="00241417" w:rsidP="003A71DE">
            <w:pPr>
              <w:pStyle w:val="TAC"/>
              <w:rPr>
                <w:lang w:eastAsia="zh-CN"/>
              </w:rPr>
            </w:pPr>
            <w:r>
              <w:rPr>
                <w:lang w:eastAsia="zh-CN"/>
              </w:rPr>
              <w:t>120</w:t>
            </w:r>
          </w:p>
        </w:tc>
        <w:tc>
          <w:tcPr>
            <w:tcW w:w="1014" w:type="dxa"/>
            <w:tcBorders>
              <w:top w:val="single" w:sz="4" w:space="0" w:color="auto"/>
              <w:left w:val="single" w:sz="4" w:space="0" w:color="auto"/>
              <w:bottom w:val="single" w:sz="4" w:space="0" w:color="auto"/>
              <w:right w:val="single" w:sz="4" w:space="0" w:color="auto"/>
            </w:tcBorders>
            <w:vAlign w:val="center"/>
            <w:hideMark/>
          </w:tcPr>
          <w:p w14:paraId="14D816F9" w14:textId="77777777" w:rsidR="00241417" w:rsidRDefault="00241417" w:rsidP="003A71DE">
            <w:pPr>
              <w:pStyle w:val="TAC"/>
              <w:rPr>
                <w:lang w:eastAsia="zh-CN"/>
              </w:rPr>
            </w:pPr>
            <w:r>
              <w:rPr>
                <w:lang w:eastAsia="zh-CN"/>
              </w:rPr>
              <w:t>0.07 us</w:t>
            </w:r>
          </w:p>
        </w:tc>
        <w:tc>
          <w:tcPr>
            <w:tcW w:w="1014" w:type="dxa"/>
            <w:tcBorders>
              <w:top w:val="single" w:sz="4" w:space="0" w:color="auto"/>
              <w:left w:val="single" w:sz="4" w:space="0" w:color="auto"/>
              <w:bottom w:val="single" w:sz="4" w:space="0" w:color="auto"/>
              <w:right w:val="single" w:sz="4" w:space="0" w:color="auto"/>
            </w:tcBorders>
            <w:vAlign w:val="center"/>
            <w:hideMark/>
          </w:tcPr>
          <w:p w14:paraId="40F60741" w14:textId="77777777" w:rsidR="00241417" w:rsidRDefault="00241417" w:rsidP="003A71DE">
            <w:pPr>
              <w:pStyle w:val="TAC"/>
              <w:rPr>
                <w:lang w:eastAsia="zh-CN"/>
              </w:rPr>
            </w:pPr>
            <w:r>
              <w:rPr>
                <w:lang w:eastAsia="zh-CN"/>
              </w:rPr>
              <w:t>0.22 us</w:t>
            </w:r>
          </w:p>
        </w:tc>
      </w:tr>
    </w:tbl>
    <w:p w14:paraId="2841E2C4" w14:textId="77777777" w:rsidR="00241417" w:rsidRDefault="00241417" w:rsidP="00241417">
      <w:pPr>
        <w:rPr>
          <w:lang w:eastAsia="zh-CN"/>
        </w:rPr>
      </w:pPr>
    </w:p>
    <w:p w14:paraId="02A53BAB" w14:textId="77777777" w:rsidR="00241417" w:rsidRDefault="00241417" w:rsidP="00241417">
      <w:pPr>
        <w:rPr>
          <w:lang w:eastAsia="zh-CN"/>
        </w:rPr>
      </w:pPr>
      <w:r>
        <w:rPr>
          <w:lang w:eastAsia="zh-CN"/>
        </w:rPr>
        <w:t xml:space="preserve">The test preambles for normal mode are listed in table </w:t>
      </w:r>
      <w:r w:rsidRPr="00074750">
        <w:rPr>
          <w:lang w:eastAsia="zh-CN"/>
        </w:rPr>
        <w:t>A.2.5-2</w:t>
      </w:r>
      <w:r>
        <w:rPr>
          <w:lang w:eastAsia="zh-CN"/>
        </w:rPr>
        <w:t xml:space="preserve"> and the </w:t>
      </w:r>
      <w:r>
        <w:t>test parameter</w:t>
      </w:r>
      <w:r>
        <w:rPr>
          <w:lang w:eastAsia="zh-CN"/>
        </w:rPr>
        <w:t xml:space="preserve"> </w:t>
      </w:r>
      <w:r>
        <w:rPr>
          <w:i/>
          <w:iCs/>
        </w:rPr>
        <w:t>msg1-FrequencyStart</w:t>
      </w:r>
      <w:r>
        <w:rPr>
          <w:lang w:eastAsia="zh-CN"/>
        </w:rPr>
        <w:t xml:space="preserve"> is set to 0.</w:t>
      </w:r>
    </w:p>
    <w:p w14:paraId="17EEC705" w14:textId="77777777" w:rsidR="00241417" w:rsidRDefault="00241417" w:rsidP="00241417">
      <w:pPr>
        <w:pStyle w:val="H6"/>
      </w:pPr>
      <w:bookmarkStart w:id="7928" w:name="_Toc67916581"/>
      <w:bookmarkStart w:id="7929" w:name="_Toc61176758"/>
      <w:bookmarkStart w:id="7930" w:name="_Toc53178124"/>
      <w:bookmarkStart w:id="7931" w:name="_Toc53177672"/>
      <w:bookmarkStart w:id="7932" w:name="_Toc45893508"/>
      <w:bookmarkStart w:id="7933" w:name="_Toc37268858"/>
      <w:bookmarkStart w:id="7934" w:name="_Toc37268407"/>
      <w:bookmarkStart w:id="7935" w:name="_Toc29811452"/>
      <w:bookmarkStart w:id="7936" w:name="_Toc13079963"/>
      <w:r>
        <w:t>11.1.4.2.2.2</w:t>
      </w:r>
      <w:r>
        <w:tab/>
        <w:t>Minimum requirements</w:t>
      </w:r>
      <w:bookmarkEnd w:id="7928"/>
      <w:bookmarkEnd w:id="7929"/>
      <w:bookmarkEnd w:id="7930"/>
      <w:bookmarkEnd w:id="7931"/>
      <w:bookmarkEnd w:id="7932"/>
      <w:bookmarkEnd w:id="7933"/>
      <w:bookmarkEnd w:id="7934"/>
      <w:bookmarkEnd w:id="7935"/>
      <w:bookmarkEnd w:id="7936"/>
    </w:p>
    <w:p w14:paraId="3E55D1A0" w14:textId="77777777" w:rsidR="00241417" w:rsidRDefault="00241417" w:rsidP="00241417">
      <w:pPr>
        <w:rPr>
          <w:lang w:eastAsia="zh-CN"/>
        </w:rPr>
      </w:pPr>
      <w:r>
        <w:t xml:space="preserve">The probability of detection shall be equal to or exceed 99% for the SNR levels listed in Tables </w:t>
      </w:r>
      <w:r>
        <w:rPr>
          <w:lang w:eastAsia="zh-CN"/>
        </w:rPr>
        <w:t>11</w:t>
      </w:r>
      <w:r>
        <w:t>.1.4.2.</w:t>
      </w:r>
      <w:r>
        <w:rPr>
          <w:lang w:eastAsia="zh-CN"/>
        </w:rPr>
        <w:t>2.2</w:t>
      </w:r>
      <w:r>
        <w:t>-1</w:t>
      </w:r>
      <w:r>
        <w:rPr>
          <w:lang w:eastAsia="zh-CN"/>
        </w:rPr>
        <w:t xml:space="preserve"> to 11</w:t>
      </w:r>
      <w:r>
        <w:t>.1.4.2.</w:t>
      </w:r>
      <w:r>
        <w:rPr>
          <w:lang w:eastAsia="zh-CN"/>
        </w:rPr>
        <w:t>2.2</w:t>
      </w:r>
      <w:r>
        <w:t>-</w:t>
      </w:r>
      <w:r>
        <w:rPr>
          <w:lang w:eastAsia="zh-CN"/>
        </w:rPr>
        <w:t>2</w:t>
      </w:r>
      <w:r>
        <w:t>.</w:t>
      </w:r>
    </w:p>
    <w:p w14:paraId="7D57CA8D" w14:textId="77777777" w:rsidR="00241417" w:rsidRPr="00E21D4D" w:rsidRDefault="00241417" w:rsidP="00241417">
      <w:pPr>
        <w:pStyle w:val="TH"/>
      </w:pPr>
      <w:r w:rsidRPr="00E21D4D">
        <w:t>Table 11.1.4.2.2.2-1: PRACH missed detection requirements for Normal Mode,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1421"/>
        <w:gridCol w:w="1323"/>
        <w:gridCol w:w="1134"/>
        <w:gridCol w:w="788"/>
        <w:gridCol w:w="788"/>
        <w:gridCol w:w="788"/>
        <w:gridCol w:w="788"/>
        <w:gridCol w:w="788"/>
        <w:gridCol w:w="788"/>
      </w:tblGrid>
      <w:tr w:rsidR="00241417" w14:paraId="3EAF26A8"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C0284DA" w14:textId="77777777" w:rsidR="00241417" w:rsidRDefault="00241417" w:rsidP="003A71DE">
            <w:pPr>
              <w:pStyle w:val="TAH"/>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7AF5BF6" w14:textId="77777777" w:rsidR="00241417" w:rsidRDefault="00241417" w:rsidP="003A71DE">
            <w:pPr>
              <w:pStyle w:val="TAH"/>
            </w:pPr>
            <w: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D67D21F" w14:textId="2D0CF50F" w:rsidR="00241417" w:rsidRDefault="00241417" w:rsidP="003A71DE">
            <w:pPr>
              <w:pStyle w:val="TAH"/>
              <w:rPr>
                <w:lang w:val="fr-FR"/>
              </w:rPr>
            </w:pPr>
            <w:r>
              <w:rPr>
                <w:lang w:val="fr-FR"/>
              </w:rPr>
              <w:t xml:space="preserve">Propagation conditions </w:t>
            </w:r>
            <w:r>
              <w:rPr>
                <w:lang w:val="fr-FR" w:eastAsia="zh-CN"/>
              </w:rPr>
              <w:t>and correlation matrix</w:t>
            </w:r>
            <w:r>
              <w:rPr>
                <w:lang w:val="fr-FR"/>
              </w:rPr>
              <w:t xml:space="preserve"> (Annex </w:t>
            </w:r>
            <w:r>
              <w:t>TBA</w:t>
            </w:r>
            <w:r>
              <w:rPr>
                <w:lang w:val="fr-FR"/>
              </w:rPr>
              <w:t>)</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2F4BC84" w14:textId="77777777" w:rsidR="00241417" w:rsidRDefault="00241417" w:rsidP="003A71DE">
            <w:pPr>
              <w:pStyle w:val="TAH"/>
            </w:pPr>
            <w:r>
              <w:t>Frequency offset</w:t>
            </w:r>
          </w:p>
        </w:tc>
        <w:tc>
          <w:tcPr>
            <w:tcW w:w="0" w:type="auto"/>
            <w:gridSpan w:val="6"/>
            <w:tcBorders>
              <w:top w:val="single" w:sz="4" w:space="0" w:color="auto"/>
              <w:left w:val="single" w:sz="4" w:space="0" w:color="auto"/>
              <w:bottom w:val="single" w:sz="4" w:space="0" w:color="auto"/>
              <w:right w:val="single" w:sz="4" w:space="0" w:color="auto"/>
            </w:tcBorders>
            <w:vAlign w:val="center"/>
            <w:hideMark/>
          </w:tcPr>
          <w:p w14:paraId="71F0D1D7" w14:textId="77777777" w:rsidR="00241417" w:rsidRDefault="00241417" w:rsidP="003A71DE">
            <w:pPr>
              <w:pStyle w:val="TAH"/>
            </w:pPr>
            <w:r>
              <w:t>SNR (dB)</w:t>
            </w:r>
          </w:p>
        </w:tc>
      </w:tr>
      <w:tr w:rsidR="00241417" w14:paraId="1C08E198"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06AD71E"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DCB7CCD"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27FBBB0" w14:textId="77777777" w:rsidR="00241417" w:rsidRDefault="00241417" w:rsidP="003A71DE">
            <w:pPr>
              <w:pStyle w:val="TAH"/>
              <w:rPr>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950021C" w14:textId="77777777" w:rsidR="00241417" w:rsidRDefault="00241417" w:rsidP="003A71DE">
            <w:pPr>
              <w:pStyle w:val="TAH"/>
            </w:pPr>
          </w:p>
        </w:tc>
        <w:tc>
          <w:tcPr>
            <w:tcW w:w="0" w:type="auto"/>
            <w:tcBorders>
              <w:top w:val="single" w:sz="4" w:space="0" w:color="auto"/>
              <w:left w:val="single" w:sz="4" w:space="0" w:color="auto"/>
              <w:bottom w:val="single" w:sz="4" w:space="0" w:color="auto"/>
              <w:right w:val="single" w:sz="4" w:space="0" w:color="auto"/>
            </w:tcBorders>
            <w:vAlign w:val="center"/>
            <w:hideMark/>
          </w:tcPr>
          <w:p w14:paraId="0D6DEEB4" w14:textId="77777777" w:rsidR="00241417" w:rsidRDefault="00241417" w:rsidP="003A71DE">
            <w:pPr>
              <w:pStyle w:val="TAH"/>
              <w:rPr>
                <w:lang w:eastAsia="zh-CN"/>
              </w:rPr>
            </w:pPr>
            <w:r>
              <w:t xml:space="preserve">Burst format </w:t>
            </w:r>
            <w:r>
              <w:rPr>
                <w:lang w:eastAsia="zh-CN"/>
              </w:rPr>
              <w:t>A1</w:t>
            </w:r>
          </w:p>
        </w:tc>
        <w:tc>
          <w:tcPr>
            <w:tcW w:w="0" w:type="auto"/>
            <w:tcBorders>
              <w:top w:val="single" w:sz="4" w:space="0" w:color="auto"/>
              <w:left w:val="single" w:sz="4" w:space="0" w:color="auto"/>
              <w:bottom w:val="single" w:sz="4" w:space="0" w:color="auto"/>
              <w:right w:val="single" w:sz="4" w:space="0" w:color="auto"/>
            </w:tcBorders>
            <w:vAlign w:val="center"/>
            <w:hideMark/>
          </w:tcPr>
          <w:p w14:paraId="4D6B239D" w14:textId="77777777" w:rsidR="00241417" w:rsidRDefault="00241417" w:rsidP="003A71DE">
            <w:pPr>
              <w:pStyle w:val="TAH"/>
              <w:rPr>
                <w:lang w:eastAsia="zh-CN"/>
              </w:rPr>
            </w:pPr>
            <w:r>
              <w:t xml:space="preserve">Burst format </w:t>
            </w:r>
            <w:r>
              <w:rPr>
                <w:lang w:eastAsia="zh-CN"/>
              </w:rPr>
              <w:t>A2</w:t>
            </w:r>
          </w:p>
        </w:tc>
        <w:tc>
          <w:tcPr>
            <w:tcW w:w="0" w:type="auto"/>
            <w:tcBorders>
              <w:top w:val="single" w:sz="4" w:space="0" w:color="auto"/>
              <w:left w:val="single" w:sz="4" w:space="0" w:color="auto"/>
              <w:bottom w:val="single" w:sz="4" w:space="0" w:color="auto"/>
              <w:right w:val="single" w:sz="4" w:space="0" w:color="auto"/>
            </w:tcBorders>
            <w:vAlign w:val="center"/>
            <w:hideMark/>
          </w:tcPr>
          <w:p w14:paraId="22422F07" w14:textId="77777777" w:rsidR="00241417" w:rsidRDefault="00241417" w:rsidP="003A71DE">
            <w:pPr>
              <w:pStyle w:val="TAH"/>
              <w:rPr>
                <w:lang w:eastAsia="zh-CN"/>
              </w:rPr>
            </w:pPr>
            <w:r>
              <w:t xml:space="preserve">Burst format </w:t>
            </w:r>
            <w:r>
              <w:rPr>
                <w:lang w:eastAsia="zh-CN"/>
              </w:rPr>
              <w:t>A3</w:t>
            </w:r>
          </w:p>
        </w:tc>
        <w:tc>
          <w:tcPr>
            <w:tcW w:w="0" w:type="auto"/>
            <w:tcBorders>
              <w:top w:val="single" w:sz="4" w:space="0" w:color="auto"/>
              <w:left w:val="single" w:sz="4" w:space="0" w:color="auto"/>
              <w:bottom w:val="single" w:sz="4" w:space="0" w:color="auto"/>
              <w:right w:val="single" w:sz="4" w:space="0" w:color="auto"/>
            </w:tcBorders>
            <w:vAlign w:val="center"/>
            <w:hideMark/>
          </w:tcPr>
          <w:p w14:paraId="6012F615" w14:textId="77777777" w:rsidR="00241417" w:rsidRDefault="00241417" w:rsidP="003A71DE">
            <w:pPr>
              <w:pStyle w:val="TAH"/>
              <w:rPr>
                <w:lang w:eastAsia="zh-CN"/>
              </w:rPr>
            </w:pPr>
            <w:r>
              <w:t xml:space="preserve">Burst format </w:t>
            </w:r>
            <w:r>
              <w:rPr>
                <w:lang w:eastAsia="zh-CN"/>
              </w:rPr>
              <w:t>B4</w:t>
            </w:r>
          </w:p>
        </w:tc>
        <w:tc>
          <w:tcPr>
            <w:tcW w:w="0" w:type="auto"/>
            <w:tcBorders>
              <w:top w:val="single" w:sz="4" w:space="0" w:color="auto"/>
              <w:left w:val="single" w:sz="4" w:space="0" w:color="auto"/>
              <w:bottom w:val="single" w:sz="4" w:space="0" w:color="auto"/>
              <w:right w:val="single" w:sz="4" w:space="0" w:color="auto"/>
            </w:tcBorders>
            <w:vAlign w:val="center"/>
            <w:hideMark/>
          </w:tcPr>
          <w:p w14:paraId="52777BF7" w14:textId="77777777" w:rsidR="00241417" w:rsidRDefault="00241417" w:rsidP="003A71DE">
            <w:pPr>
              <w:pStyle w:val="TAH"/>
              <w:rPr>
                <w:lang w:eastAsia="zh-CN"/>
              </w:rPr>
            </w:pPr>
            <w:r>
              <w:t xml:space="preserve">Burst format </w:t>
            </w:r>
            <w:r>
              <w:rPr>
                <w:lang w:eastAsia="zh-CN"/>
              </w:rPr>
              <w:t>C0</w:t>
            </w:r>
          </w:p>
        </w:tc>
        <w:tc>
          <w:tcPr>
            <w:tcW w:w="0" w:type="auto"/>
            <w:tcBorders>
              <w:top w:val="single" w:sz="4" w:space="0" w:color="auto"/>
              <w:left w:val="single" w:sz="4" w:space="0" w:color="auto"/>
              <w:bottom w:val="single" w:sz="4" w:space="0" w:color="auto"/>
              <w:right w:val="single" w:sz="4" w:space="0" w:color="auto"/>
            </w:tcBorders>
            <w:vAlign w:val="center"/>
            <w:hideMark/>
          </w:tcPr>
          <w:p w14:paraId="4CDB81A1" w14:textId="77777777" w:rsidR="00241417" w:rsidRDefault="00241417" w:rsidP="003A71DE">
            <w:pPr>
              <w:pStyle w:val="TAH"/>
              <w:rPr>
                <w:lang w:eastAsia="zh-CN"/>
              </w:rPr>
            </w:pPr>
            <w:r>
              <w:t xml:space="preserve">Burst format </w:t>
            </w:r>
            <w:r>
              <w:rPr>
                <w:lang w:eastAsia="zh-CN"/>
              </w:rPr>
              <w:t>C2</w:t>
            </w:r>
          </w:p>
        </w:tc>
      </w:tr>
      <w:tr w:rsidR="00241417" w14:paraId="0A42B2F6"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BC35179" w14:textId="77777777" w:rsidR="00241417" w:rsidRDefault="00241417" w:rsidP="003A71DE">
            <w:pPr>
              <w:pStyle w:val="TAC"/>
            </w:pPr>
            <w:r>
              <w:t>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F194CD9" w14:textId="77777777" w:rsidR="00241417" w:rsidRDefault="00241417" w:rsidP="003A71DE">
            <w:pPr>
              <w:pStyle w:val="TAC"/>
            </w:pPr>
            <w:r>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78A5FC04" w14:textId="77777777" w:rsidR="00241417" w:rsidRDefault="00241417" w:rsidP="003A71DE">
            <w:pPr>
              <w:pStyle w:val="TAC"/>
              <w:rPr>
                <w:lang w:eastAsia="zh-CN"/>
              </w:rPr>
            </w:pPr>
            <w:r>
              <w:rPr>
                <w:lang w:eastAsia="zh-CN"/>
              </w:rPr>
              <w:t>AWGN</w:t>
            </w:r>
          </w:p>
        </w:tc>
        <w:tc>
          <w:tcPr>
            <w:tcW w:w="0" w:type="auto"/>
            <w:tcBorders>
              <w:top w:val="single" w:sz="4" w:space="0" w:color="auto"/>
              <w:left w:val="single" w:sz="4" w:space="0" w:color="auto"/>
              <w:bottom w:val="single" w:sz="4" w:space="0" w:color="auto"/>
              <w:right w:val="single" w:sz="4" w:space="0" w:color="auto"/>
            </w:tcBorders>
            <w:vAlign w:val="center"/>
            <w:hideMark/>
          </w:tcPr>
          <w:p w14:paraId="12C227D5"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3D7ECBF4" w14:textId="77777777" w:rsidR="00241417" w:rsidRDefault="00241417" w:rsidP="003A71DE">
            <w:pPr>
              <w:pStyle w:val="TAC"/>
              <w:rPr>
                <w:lang w:eastAsia="zh-CN"/>
              </w:rPr>
            </w:pPr>
            <w:r>
              <w:t>-8.9</w:t>
            </w:r>
          </w:p>
        </w:tc>
        <w:tc>
          <w:tcPr>
            <w:tcW w:w="0" w:type="auto"/>
            <w:tcBorders>
              <w:top w:val="single" w:sz="4" w:space="0" w:color="auto"/>
              <w:left w:val="single" w:sz="4" w:space="0" w:color="auto"/>
              <w:bottom w:val="single" w:sz="4" w:space="0" w:color="auto"/>
              <w:right w:val="single" w:sz="4" w:space="0" w:color="auto"/>
            </w:tcBorders>
            <w:vAlign w:val="center"/>
            <w:hideMark/>
          </w:tcPr>
          <w:p w14:paraId="4463249C" w14:textId="77777777" w:rsidR="00241417" w:rsidRDefault="00241417" w:rsidP="003A71DE">
            <w:pPr>
              <w:pStyle w:val="TAC"/>
              <w:rPr>
                <w:lang w:eastAsia="zh-CN"/>
              </w:rPr>
            </w:pPr>
            <w:r>
              <w:t>-11.9</w:t>
            </w:r>
          </w:p>
        </w:tc>
        <w:tc>
          <w:tcPr>
            <w:tcW w:w="0" w:type="auto"/>
            <w:tcBorders>
              <w:top w:val="single" w:sz="4" w:space="0" w:color="auto"/>
              <w:left w:val="single" w:sz="4" w:space="0" w:color="auto"/>
              <w:bottom w:val="single" w:sz="4" w:space="0" w:color="auto"/>
              <w:right w:val="single" w:sz="4" w:space="0" w:color="auto"/>
            </w:tcBorders>
            <w:vAlign w:val="center"/>
            <w:hideMark/>
          </w:tcPr>
          <w:p w14:paraId="2A804DC3" w14:textId="77777777" w:rsidR="00241417" w:rsidRDefault="00241417" w:rsidP="003A71DE">
            <w:pPr>
              <w:pStyle w:val="TAC"/>
              <w:rPr>
                <w:lang w:eastAsia="zh-CN"/>
              </w:rPr>
            </w:pPr>
            <w:r>
              <w:t>-13.5</w:t>
            </w:r>
          </w:p>
        </w:tc>
        <w:tc>
          <w:tcPr>
            <w:tcW w:w="0" w:type="auto"/>
            <w:tcBorders>
              <w:top w:val="single" w:sz="4" w:space="0" w:color="auto"/>
              <w:left w:val="single" w:sz="4" w:space="0" w:color="auto"/>
              <w:bottom w:val="single" w:sz="4" w:space="0" w:color="auto"/>
              <w:right w:val="single" w:sz="4" w:space="0" w:color="auto"/>
            </w:tcBorders>
            <w:vAlign w:val="center"/>
            <w:hideMark/>
          </w:tcPr>
          <w:p w14:paraId="17340A8F" w14:textId="77777777" w:rsidR="00241417" w:rsidRDefault="00241417" w:rsidP="003A71DE">
            <w:pPr>
              <w:pStyle w:val="TAC"/>
              <w:rPr>
                <w:lang w:eastAsia="zh-CN"/>
              </w:rPr>
            </w:pPr>
            <w:r>
              <w:t>-15.8</w:t>
            </w:r>
          </w:p>
        </w:tc>
        <w:tc>
          <w:tcPr>
            <w:tcW w:w="0" w:type="auto"/>
            <w:tcBorders>
              <w:top w:val="single" w:sz="4" w:space="0" w:color="auto"/>
              <w:left w:val="single" w:sz="4" w:space="0" w:color="auto"/>
              <w:bottom w:val="single" w:sz="4" w:space="0" w:color="auto"/>
              <w:right w:val="single" w:sz="4" w:space="0" w:color="auto"/>
            </w:tcBorders>
            <w:vAlign w:val="center"/>
            <w:hideMark/>
          </w:tcPr>
          <w:p w14:paraId="4285C5D3" w14:textId="77777777" w:rsidR="00241417" w:rsidRDefault="00241417" w:rsidP="003A71DE">
            <w:pPr>
              <w:pStyle w:val="TAC"/>
              <w:rPr>
                <w:lang w:eastAsia="zh-CN"/>
              </w:rPr>
            </w:pPr>
            <w:r>
              <w:t>-6.0</w:t>
            </w:r>
          </w:p>
        </w:tc>
        <w:tc>
          <w:tcPr>
            <w:tcW w:w="0" w:type="auto"/>
            <w:tcBorders>
              <w:top w:val="single" w:sz="4" w:space="0" w:color="auto"/>
              <w:left w:val="single" w:sz="4" w:space="0" w:color="auto"/>
              <w:bottom w:val="single" w:sz="4" w:space="0" w:color="auto"/>
              <w:right w:val="single" w:sz="4" w:space="0" w:color="auto"/>
            </w:tcBorders>
            <w:vAlign w:val="center"/>
            <w:hideMark/>
          </w:tcPr>
          <w:p w14:paraId="2102FA22" w14:textId="77777777" w:rsidR="00241417" w:rsidRDefault="00241417" w:rsidP="003A71DE">
            <w:pPr>
              <w:pStyle w:val="TAC"/>
              <w:rPr>
                <w:lang w:eastAsia="zh-CN"/>
              </w:rPr>
            </w:pPr>
            <w:r>
              <w:t>-11.8</w:t>
            </w:r>
          </w:p>
        </w:tc>
      </w:tr>
      <w:tr w:rsidR="00241417" w14:paraId="5A8E8C4E"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BD83B38" w14:textId="77777777" w:rsidR="00241417" w:rsidRDefault="00241417" w:rsidP="003A71DE">
            <w:pPr>
              <w:pStyle w:val="TAC"/>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164A17E" w14:textId="77777777" w:rsidR="00241417" w:rsidRDefault="00241417" w:rsidP="003A71DE">
            <w:pPr>
              <w:pStyle w:val="TAC"/>
            </w:pPr>
          </w:p>
        </w:tc>
        <w:tc>
          <w:tcPr>
            <w:tcW w:w="0" w:type="auto"/>
            <w:tcBorders>
              <w:top w:val="single" w:sz="4" w:space="0" w:color="auto"/>
              <w:left w:val="single" w:sz="4" w:space="0" w:color="auto"/>
              <w:bottom w:val="single" w:sz="4" w:space="0" w:color="auto"/>
              <w:right w:val="single" w:sz="4" w:space="0" w:color="auto"/>
            </w:tcBorders>
            <w:vAlign w:val="center"/>
            <w:hideMark/>
          </w:tcPr>
          <w:p w14:paraId="3C9449EC" w14:textId="77777777" w:rsidR="00241417" w:rsidRDefault="00241417" w:rsidP="003A71DE">
            <w:pPr>
              <w:pStyle w:val="TAC"/>
              <w:rPr>
                <w:lang w:eastAsia="zh-CN"/>
              </w:rPr>
            </w:pPr>
            <w:r>
              <w:rPr>
                <w:rFonts w:cs="v4.2.0"/>
                <w:lang w:eastAsia="zh-CN"/>
              </w:rPr>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1FE4B2FC" w14:textId="77777777" w:rsidR="00241417" w:rsidRDefault="00241417" w:rsidP="003A71DE">
            <w:pPr>
              <w:pStyle w:val="TAC"/>
              <w:rPr>
                <w:lang w:eastAsia="zh-CN"/>
              </w:rPr>
            </w:pPr>
            <w:r>
              <w:rPr>
                <w:lang w:eastAsia="zh-CN"/>
              </w:rPr>
              <w:t>4000 Hz</w:t>
            </w:r>
          </w:p>
        </w:tc>
        <w:tc>
          <w:tcPr>
            <w:tcW w:w="0" w:type="auto"/>
            <w:tcBorders>
              <w:top w:val="single" w:sz="4" w:space="0" w:color="auto"/>
              <w:left w:val="single" w:sz="4" w:space="0" w:color="auto"/>
              <w:bottom w:val="single" w:sz="4" w:space="0" w:color="auto"/>
              <w:right w:val="single" w:sz="4" w:space="0" w:color="auto"/>
            </w:tcBorders>
            <w:vAlign w:val="center"/>
            <w:hideMark/>
          </w:tcPr>
          <w:p w14:paraId="23B335A1" w14:textId="77777777" w:rsidR="00241417" w:rsidRDefault="00241417" w:rsidP="003A71DE">
            <w:pPr>
              <w:pStyle w:val="TAC"/>
              <w:rPr>
                <w:lang w:eastAsia="zh-CN"/>
              </w:rPr>
            </w:pPr>
            <w:r>
              <w:t>-1.6</w:t>
            </w:r>
          </w:p>
        </w:tc>
        <w:tc>
          <w:tcPr>
            <w:tcW w:w="0" w:type="auto"/>
            <w:tcBorders>
              <w:top w:val="single" w:sz="4" w:space="0" w:color="auto"/>
              <w:left w:val="single" w:sz="4" w:space="0" w:color="auto"/>
              <w:bottom w:val="single" w:sz="4" w:space="0" w:color="auto"/>
              <w:right w:val="single" w:sz="4" w:space="0" w:color="auto"/>
            </w:tcBorders>
            <w:vAlign w:val="center"/>
            <w:hideMark/>
          </w:tcPr>
          <w:p w14:paraId="2D1D314A" w14:textId="77777777" w:rsidR="00241417" w:rsidRDefault="00241417" w:rsidP="003A71DE">
            <w:pPr>
              <w:pStyle w:val="TAC"/>
              <w:rPr>
                <w:lang w:eastAsia="zh-CN"/>
              </w:rPr>
            </w:pPr>
            <w:r>
              <w:t>-3.8</w:t>
            </w:r>
          </w:p>
        </w:tc>
        <w:tc>
          <w:tcPr>
            <w:tcW w:w="0" w:type="auto"/>
            <w:tcBorders>
              <w:top w:val="single" w:sz="4" w:space="0" w:color="auto"/>
              <w:left w:val="single" w:sz="4" w:space="0" w:color="auto"/>
              <w:bottom w:val="single" w:sz="4" w:space="0" w:color="auto"/>
              <w:right w:val="single" w:sz="4" w:space="0" w:color="auto"/>
            </w:tcBorders>
            <w:vAlign w:val="center"/>
            <w:hideMark/>
          </w:tcPr>
          <w:p w14:paraId="53F8A884" w14:textId="77777777" w:rsidR="00241417" w:rsidRDefault="00241417" w:rsidP="003A71DE">
            <w:pPr>
              <w:pStyle w:val="TAC"/>
              <w:rPr>
                <w:lang w:eastAsia="zh-CN"/>
              </w:rPr>
            </w:pPr>
            <w:r>
              <w:t>-4.8</w:t>
            </w:r>
          </w:p>
        </w:tc>
        <w:tc>
          <w:tcPr>
            <w:tcW w:w="0" w:type="auto"/>
            <w:tcBorders>
              <w:top w:val="single" w:sz="4" w:space="0" w:color="auto"/>
              <w:left w:val="single" w:sz="4" w:space="0" w:color="auto"/>
              <w:bottom w:val="single" w:sz="4" w:space="0" w:color="auto"/>
              <w:right w:val="single" w:sz="4" w:space="0" w:color="auto"/>
            </w:tcBorders>
            <w:vAlign w:val="center"/>
            <w:hideMark/>
          </w:tcPr>
          <w:p w14:paraId="0565B87B" w14:textId="77777777" w:rsidR="00241417" w:rsidRDefault="00241417" w:rsidP="003A71DE">
            <w:pPr>
              <w:pStyle w:val="TAC"/>
              <w:rPr>
                <w:lang w:eastAsia="zh-CN"/>
              </w:rPr>
            </w:pPr>
            <w:r>
              <w:t>-6.9</w:t>
            </w:r>
          </w:p>
        </w:tc>
        <w:tc>
          <w:tcPr>
            <w:tcW w:w="0" w:type="auto"/>
            <w:tcBorders>
              <w:top w:val="single" w:sz="4" w:space="0" w:color="auto"/>
              <w:left w:val="single" w:sz="4" w:space="0" w:color="auto"/>
              <w:bottom w:val="single" w:sz="4" w:space="0" w:color="auto"/>
              <w:right w:val="single" w:sz="4" w:space="0" w:color="auto"/>
            </w:tcBorders>
            <w:vAlign w:val="center"/>
            <w:hideMark/>
          </w:tcPr>
          <w:p w14:paraId="2A630912" w14:textId="77777777" w:rsidR="00241417" w:rsidRDefault="00241417" w:rsidP="003A71DE">
            <w:pPr>
              <w:pStyle w:val="TAC"/>
              <w:rPr>
                <w:lang w:eastAsia="zh-CN"/>
              </w:rPr>
            </w:pPr>
            <w:r>
              <w:t>1.1</w:t>
            </w:r>
          </w:p>
        </w:tc>
        <w:tc>
          <w:tcPr>
            <w:tcW w:w="0" w:type="auto"/>
            <w:tcBorders>
              <w:top w:val="single" w:sz="4" w:space="0" w:color="auto"/>
              <w:left w:val="single" w:sz="4" w:space="0" w:color="auto"/>
              <w:bottom w:val="single" w:sz="4" w:space="0" w:color="auto"/>
              <w:right w:val="single" w:sz="4" w:space="0" w:color="auto"/>
            </w:tcBorders>
            <w:vAlign w:val="center"/>
            <w:hideMark/>
          </w:tcPr>
          <w:p w14:paraId="345FCED5" w14:textId="77777777" w:rsidR="00241417" w:rsidRDefault="00241417" w:rsidP="003A71DE">
            <w:pPr>
              <w:pStyle w:val="TAC"/>
              <w:rPr>
                <w:lang w:eastAsia="zh-CN"/>
              </w:rPr>
            </w:pPr>
            <w:r>
              <w:t>-3.9</w:t>
            </w:r>
          </w:p>
        </w:tc>
      </w:tr>
    </w:tbl>
    <w:p w14:paraId="29A97EC1" w14:textId="77777777" w:rsidR="00241417" w:rsidRDefault="00241417" w:rsidP="00241417">
      <w:pPr>
        <w:rPr>
          <w:noProof/>
          <w:lang w:eastAsia="zh-CN"/>
        </w:rPr>
      </w:pPr>
    </w:p>
    <w:p w14:paraId="66707399" w14:textId="77777777" w:rsidR="00241417" w:rsidRPr="00E21D4D" w:rsidRDefault="00241417" w:rsidP="00241417">
      <w:pPr>
        <w:pStyle w:val="TH"/>
      </w:pPr>
      <w:r w:rsidRPr="00E21D4D">
        <w:t>Table 11.1.4.2.2.2-2: PRACH missed detection requirements for Normal Mode,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1421"/>
        <w:gridCol w:w="1323"/>
        <w:gridCol w:w="1134"/>
        <w:gridCol w:w="788"/>
        <w:gridCol w:w="788"/>
        <w:gridCol w:w="788"/>
        <w:gridCol w:w="788"/>
        <w:gridCol w:w="788"/>
        <w:gridCol w:w="788"/>
      </w:tblGrid>
      <w:tr w:rsidR="00241417" w14:paraId="339A1C1F"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30FAB59" w14:textId="77777777" w:rsidR="00241417" w:rsidRDefault="00241417" w:rsidP="003A71DE">
            <w:pPr>
              <w:pStyle w:val="TAH"/>
            </w:pPr>
            <w:r>
              <w:t xml:space="preserve">Number of </w:t>
            </w:r>
            <w:r>
              <w:rPr>
                <w:lang w:eastAsia="zh-CN"/>
              </w:rPr>
              <w:t>T</w:t>
            </w:r>
            <w:r>
              <w:t>X antennas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B2D24FD" w14:textId="77777777" w:rsidR="00241417" w:rsidRDefault="00241417" w:rsidP="003A71DE">
            <w:pPr>
              <w:pStyle w:val="TAH"/>
            </w:pPr>
            <w:r>
              <w:t>Number of demodulation branches</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DF0C578" w14:textId="652214BE" w:rsidR="00241417" w:rsidRDefault="00241417" w:rsidP="003A71DE">
            <w:pPr>
              <w:pStyle w:val="TAH"/>
              <w:rPr>
                <w:lang w:val="fr-FR"/>
              </w:rPr>
            </w:pPr>
            <w:r>
              <w:rPr>
                <w:lang w:val="fr-FR"/>
              </w:rPr>
              <w:t xml:space="preserve">Propagation conditions </w:t>
            </w:r>
            <w:r>
              <w:rPr>
                <w:lang w:val="fr-FR" w:eastAsia="zh-CN"/>
              </w:rPr>
              <w:t>and correlation matrix</w:t>
            </w:r>
            <w:r>
              <w:rPr>
                <w:lang w:val="fr-FR"/>
              </w:rPr>
              <w:t xml:space="preserve"> (Annex </w:t>
            </w:r>
            <w:r>
              <w:t>TBA</w:t>
            </w:r>
            <w:r>
              <w:rPr>
                <w:lang w:val="fr-FR"/>
              </w:rPr>
              <w:t>)</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8D468F8" w14:textId="77777777" w:rsidR="00241417" w:rsidRDefault="00241417" w:rsidP="003A71DE">
            <w:pPr>
              <w:pStyle w:val="TAH"/>
            </w:pPr>
            <w:r>
              <w:t>Frequency offset</w:t>
            </w:r>
          </w:p>
        </w:tc>
        <w:tc>
          <w:tcPr>
            <w:tcW w:w="0" w:type="auto"/>
            <w:gridSpan w:val="6"/>
            <w:tcBorders>
              <w:top w:val="single" w:sz="4" w:space="0" w:color="auto"/>
              <w:left w:val="single" w:sz="4" w:space="0" w:color="auto"/>
              <w:bottom w:val="single" w:sz="4" w:space="0" w:color="auto"/>
              <w:right w:val="single" w:sz="4" w:space="0" w:color="auto"/>
            </w:tcBorders>
            <w:vAlign w:val="center"/>
            <w:hideMark/>
          </w:tcPr>
          <w:p w14:paraId="07CBE197" w14:textId="77777777" w:rsidR="00241417" w:rsidRDefault="00241417" w:rsidP="003A71DE">
            <w:pPr>
              <w:pStyle w:val="TAH"/>
            </w:pPr>
            <w:r>
              <w:t>SNR (dB)</w:t>
            </w:r>
          </w:p>
        </w:tc>
      </w:tr>
      <w:tr w:rsidR="00241417" w14:paraId="6AAF1152"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A35A8EE"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79E79DE" w14:textId="77777777" w:rsidR="00241417" w:rsidRDefault="00241417" w:rsidP="003A71DE">
            <w:pPr>
              <w:pStyle w:val="TAH"/>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5B61775" w14:textId="77777777" w:rsidR="00241417" w:rsidRDefault="00241417" w:rsidP="003A71DE">
            <w:pPr>
              <w:pStyle w:val="TAH"/>
              <w:rPr>
                <w:lang w:val="fr-F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5AECD3A" w14:textId="77777777" w:rsidR="00241417" w:rsidRDefault="00241417" w:rsidP="003A71DE">
            <w:pPr>
              <w:pStyle w:val="TAH"/>
            </w:pPr>
          </w:p>
        </w:tc>
        <w:tc>
          <w:tcPr>
            <w:tcW w:w="0" w:type="auto"/>
            <w:tcBorders>
              <w:top w:val="single" w:sz="4" w:space="0" w:color="auto"/>
              <w:left w:val="single" w:sz="4" w:space="0" w:color="auto"/>
              <w:bottom w:val="single" w:sz="4" w:space="0" w:color="auto"/>
              <w:right w:val="single" w:sz="4" w:space="0" w:color="auto"/>
            </w:tcBorders>
            <w:vAlign w:val="center"/>
            <w:hideMark/>
          </w:tcPr>
          <w:p w14:paraId="5E040F39" w14:textId="77777777" w:rsidR="00241417" w:rsidRDefault="00241417" w:rsidP="003A71DE">
            <w:pPr>
              <w:pStyle w:val="TAH"/>
              <w:rPr>
                <w:lang w:eastAsia="zh-CN"/>
              </w:rPr>
            </w:pPr>
            <w:r>
              <w:t xml:space="preserve">Burst format </w:t>
            </w:r>
            <w:r>
              <w:rPr>
                <w:lang w:eastAsia="zh-CN"/>
              </w:rPr>
              <w:t>A1</w:t>
            </w:r>
          </w:p>
        </w:tc>
        <w:tc>
          <w:tcPr>
            <w:tcW w:w="0" w:type="auto"/>
            <w:tcBorders>
              <w:top w:val="single" w:sz="4" w:space="0" w:color="auto"/>
              <w:left w:val="single" w:sz="4" w:space="0" w:color="auto"/>
              <w:bottom w:val="single" w:sz="4" w:space="0" w:color="auto"/>
              <w:right w:val="single" w:sz="4" w:space="0" w:color="auto"/>
            </w:tcBorders>
            <w:vAlign w:val="center"/>
            <w:hideMark/>
          </w:tcPr>
          <w:p w14:paraId="5CC8DFC9" w14:textId="77777777" w:rsidR="00241417" w:rsidRDefault="00241417" w:rsidP="003A71DE">
            <w:pPr>
              <w:pStyle w:val="TAH"/>
              <w:rPr>
                <w:lang w:eastAsia="zh-CN"/>
              </w:rPr>
            </w:pPr>
            <w:r>
              <w:t xml:space="preserve">Burst format </w:t>
            </w:r>
            <w:r>
              <w:rPr>
                <w:lang w:eastAsia="zh-CN"/>
              </w:rPr>
              <w:t>A2</w:t>
            </w:r>
          </w:p>
        </w:tc>
        <w:tc>
          <w:tcPr>
            <w:tcW w:w="0" w:type="auto"/>
            <w:tcBorders>
              <w:top w:val="single" w:sz="4" w:space="0" w:color="auto"/>
              <w:left w:val="single" w:sz="4" w:space="0" w:color="auto"/>
              <w:bottom w:val="single" w:sz="4" w:space="0" w:color="auto"/>
              <w:right w:val="single" w:sz="4" w:space="0" w:color="auto"/>
            </w:tcBorders>
            <w:vAlign w:val="center"/>
            <w:hideMark/>
          </w:tcPr>
          <w:p w14:paraId="213E194F" w14:textId="77777777" w:rsidR="00241417" w:rsidRDefault="00241417" w:rsidP="003A71DE">
            <w:pPr>
              <w:pStyle w:val="TAH"/>
              <w:rPr>
                <w:lang w:eastAsia="zh-CN"/>
              </w:rPr>
            </w:pPr>
            <w:r>
              <w:t xml:space="preserve">Burst format </w:t>
            </w:r>
            <w:r>
              <w:rPr>
                <w:lang w:eastAsia="zh-CN"/>
              </w:rPr>
              <w:t>A3</w:t>
            </w:r>
          </w:p>
        </w:tc>
        <w:tc>
          <w:tcPr>
            <w:tcW w:w="0" w:type="auto"/>
            <w:tcBorders>
              <w:top w:val="single" w:sz="4" w:space="0" w:color="auto"/>
              <w:left w:val="single" w:sz="4" w:space="0" w:color="auto"/>
              <w:bottom w:val="single" w:sz="4" w:space="0" w:color="auto"/>
              <w:right w:val="single" w:sz="4" w:space="0" w:color="auto"/>
            </w:tcBorders>
            <w:vAlign w:val="center"/>
            <w:hideMark/>
          </w:tcPr>
          <w:p w14:paraId="665DA5C4" w14:textId="77777777" w:rsidR="00241417" w:rsidRDefault="00241417" w:rsidP="003A71DE">
            <w:pPr>
              <w:pStyle w:val="TAH"/>
              <w:rPr>
                <w:lang w:eastAsia="zh-CN"/>
              </w:rPr>
            </w:pPr>
            <w:r>
              <w:t xml:space="preserve">Burst format </w:t>
            </w:r>
            <w:r>
              <w:rPr>
                <w:lang w:eastAsia="zh-CN"/>
              </w:rPr>
              <w:t>B4</w:t>
            </w:r>
          </w:p>
        </w:tc>
        <w:tc>
          <w:tcPr>
            <w:tcW w:w="0" w:type="auto"/>
            <w:tcBorders>
              <w:top w:val="single" w:sz="4" w:space="0" w:color="auto"/>
              <w:left w:val="single" w:sz="4" w:space="0" w:color="auto"/>
              <w:bottom w:val="single" w:sz="4" w:space="0" w:color="auto"/>
              <w:right w:val="single" w:sz="4" w:space="0" w:color="auto"/>
            </w:tcBorders>
            <w:vAlign w:val="center"/>
            <w:hideMark/>
          </w:tcPr>
          <w:p w14:paraId="31AD47A4" w14:textId="77777777" w:rsidR="00241417" w:rsidRDefault="00241417" w:rsidP="003A71DE">
            <w:pPr>
              <w:pStyle w:val="TAH"/>
              <w:rPr>
                <w:lang w:eastAsia="zh-CN"/>
              </w:rPr>
            </w:pPr>
            <w:r>
              <w:t xml:space="preserve">Burst format </w:t>
            </w:r>
            <w:r>
              <w:rPr>
                <w:lang w:eastAsia="zh-CN"/>
              </w:rPr>
              <w:t>C0</w:t>
            </w:r>
          </w:p>
        </w:tc>
        <w:tc>
          <w:tcPr>
            <w:tcW w:w="0" w:type="auto"/>
            <w:tcBorders>
              <w:top w:val="single" w:sz="4" w:space="0" w:color="auto"/>
              <w:left w:val="single" w:sz="4" w:space="0" w:color="auto"/>
              <w:bottom w:val="single" w:sz="4" w:space="0" w:color="auto"/>
              <w:right w:val="single" w:sz="4" w:space="0" w:color="auto"/>
            </w:tcBorders>
            <w:vAlign w:val="center"/>
            <w:hideMark/>
          </w:tcPr>
          <w:p w14:paraId="5FA22695" w14:textId="77777777" w:rsidR="00241417" w:rsidRDefault="00241417" w:rsidP="003A71DE">
            <w:pPr>
              <w:pStyle w:val="TAH"/>
              <w:rPr>
                <w:lang w:eastAsia="zh-CN"/>
              </w:rPr>
            </w:pPr>
            <w:r>
              <w:t xml:space="preserve">Burst format </w:t>
            </w:r>
            <w:r>
              <w:rPr>
                <w:lang w:eastAsia="zh-CN"/>
              </w:rPr>
              <w:t>C2</w:t>
            </w:r>
          </w:p>
        </w:tc>
      </w:tr>
      <w:tr w:rsidR="00241417" w14:paraId="6A187C4C"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93865E8" w14:textId="77777777" w:rsidR="00241417" w:rsidRDefault="00241417" w:rsidP="003A71DE">
            <w:pPr>
              <w:pStyle w:val="TAC"/>
            </w:pPr>
            <w:r>
              <w:t>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3AA5D6E" w14:textId="77777777" w:rsidR="00241417" w:rsidRDefault="00241417" w:rsidP="003A71DE">
            <w:pPr>
              <w:pStyle w:val="TAC"/>
            </w:pPr>
            <w:r>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19CF313C" w14:textId="77777777" w:rsidR="00241417" w:rsidRDefault="00241417" w:rsidP="003A71DE">
            <w:pPr>
              <w:pStyle w:val="TAC"/>
              <w:rPr>
                <w:lang w:eastAsia="zh-CN"/>
              </w:rPr>
            </w:pPr>
            <w:r>
              <w:rPr>
                <w:lang w:eastAsia="zh-CN"/>
              </w:rPr>
              <w:t>AWGN</w:t>
            </w:r>
          </w:p>
        </w:tc>
        <w:tc>
          <w:tcPr>
            <w:tcW w:w="0" w:type="auto"/>
            <w:tcBorders>
              <w:top w:val="single" w:sz="4" w:space="0" w:color="auto"/>
              <w:left w:val="single" w:sz="4" w:space="0" w:color="auto"/>
              <w:bottom w:val="single" w:sz="4" w:space="0" w:color="auto"/>
              <w:right w:val="single" w:sz="4" w:space="0" w:color="auto"/>
            </w:tcBorders>
            <w:vAlign w:val="center"/>
            <w:hideMark/>
          </w:tcPr>
          <w:p w14:paraId="3CA09055"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76CDD5EE" w14:textId="77777777" w:rsidR="00241417" w:rsidRDefault="00241417" w:rsidP="003A71DE">
            <w:pPr>
              <w:pStyle w:val="TAC"/>
              <w:rPr>
                <w:lang w:eastAsia="zh-CN"/>
              </w:rPr>
            </w:pPr>
            <w:r>
              <w:t>-8.7</w:t>
            </w:r>
          </w:p>
        </w:tc>
        <w:tc>
          <w:tcPr>
            <w:tcW w:w="0" w:type="auto"/>
            <w:tcBorders>
              <w:top w:val="single" w:sz="4" w:space="0" w:color="auto"/>
              <w:left w:val="single" w:sz="4" w:space="0" w:color="auto"/>
              <w:bottom w:val="single" w:sz="4" w:space="0" w:color="auto"/>
              <w:right w:val="single" w:sz="4" w:space="0" w:color="auto"/>
            </w:tcBorders>
            <w:vAlign w:val="center"/>
            <w:hideMark/>
          </w:tcPr>
          <w:p w14:paraId="51950F7C" w14:textId="77777777" w:rsidR="00241417" w:rsidRDefault="00241417" w:rsidP="003A71DE">
            <w:pPr>
              <w:pStyle w:val="TAC"/>
              <w:rPr>
                <w:lang w:eastAsia="zh-CN"/>
              </w:rPr>
            </w:pPr>
            <w:r>
              <w:t>-11.5</w:t>
            </w:r>
          </w:p>
        </w:tc>
        <w:tc>
          <w:tcPr>
            <w:tcW w:w="0" w:type="auto"/>
            <w:tcBorders>
              <w:top w:val="single" w:sz="4" w:space="0" w:color="auto"/>
              <w:left w:val="single" w:sz="4" w:space="0" w:color="auto"/>
              <w:bottom w:val="single" w:sz="4" w:space="0" w:color="auto"/>
              <w:right w:val="single" w:sz="4" w:space="0" w:color="auto"/>
            </w:tcBorders>
            <w:vAlign w:val="center"/>
            <w:hideMark/>
          </w:tcPr>
          <w:p w14:paraId="5E7FE3FB" w14:textId="77777777" w:rsidR="00241417" w:rsidRDefault="00241417" w:rsidP="003A71DE">
            <w:pPr>
              <w:pStyle w:val="TAC"/>
              <w:rPr>
                <w:lang w:eastAsia="zh-CN"/>
              </w:rPr>
            </w:pPr>
            <w:r>
              <w:t>-13.3</w:t>
            </w:r>
          </w:p>
        </w:tc>
        <w:tc>
          <w:tcPr>
            <w:tcW w:w="0" w:type="auto"/>
            <w:tcBorders>
              <w:top w:val="single" w:sz="4" w:space="0" w:color="auto"/>
              <w:left w:val="single" w:sz="4" w:space="0" w:color="auto"/>
              <w:bottom w:val="single" w:sz="4" w:space="0" w:color="auto"/>
              <w:right w:val="single" w:sz="4" w:space="0" w:color="auto"/>
            </w:tcBorders>
            <w:vAlign w:val="center"/>
            <w:hideMark/>
          </w:tcPr>
          <w:p w14:paraId="6B5A0F83" w14:textId="77777777" w:rsidR="00241417" w:rsidRDefault="00241417" w:rsidP="003A71DE">
            <w:pPr>
              <w:pStyle w:val="TAC"/>
              <w:rPr>
                <w:lang w:eastAsia="zh-CN"/>
              </w:rPr>
            </w:pPr>
            <w:r>
              <w:t>-15.8</w:t>
            </w:r>
          </w:p>
        </w:tc>
        <w:tc>
          <w:tcPr>
            <w:tcW w:w="0" w:type="auto"/>
            <w:tcBorders>
              <w:top w:val="single" w:sz="4" w:space="0" w:color="auto"/>
              <w:left w:val="single" w:sz="4" w:space="0" w:color="auto"/>
              <w:bottom w:val="single" w:sz="4" w:space="0" w:color="auto"/>
              <w:right w:val="single" w:sz="4" w:space="0" w:color="auto"/>
            </w:tcBorders>
            <w:vAlign w:val="center"/>
            <w:hideMark/>
          </w:tcPr>
          <w:p w14:paraId="7912140A" w14:textId="77777777" w:rsidR="00241417" w:rsidRDefault="00241417" w:rsidP="003A71DE">
            <w:pPr>
              <w:pStyle w:val="TAC"/>
              <w:rPr>
                <w:lang w:eastAsia="zh-CN"/>
              </w:rPr>
            </w:pPr>
            <w:r>
              <w:t>-5.8</w:t>
            </w:r>
          </w:p>
        </w:tc>
        <w:tc>
          <w:tcPr>
            <w:tcW w:w="0" w:type="auto"/>
            <w:tcBorders>
              <w:top w:val="single" w:sz="4" w:space="0" w:color="auto"/>
              <w:left w:val="single" w:sz="4" w:space="0" w:color="auto"/>
              <w:bottom w:val="single" w:sz="4" w:space="0" w:color="auto"/>
              <w:right w:val="single" w:sz="4" w:space="0" w:color="auto"/>
            </w:tcBorders>
            <w:vAlign w:val="center"/>
            <w:hideMark/>
          </w:tcPr>
          <w:p w14:paraId="4597C2C9" w14:textId="77777777" w:rsidR="00241417" w:rsidRDefault="00241417" w:rsidP="003A71DE">
            <w:pPr>
              <w:pStyle w:val="TAC"/>
              <w:rPr>
                <w:lang w:eastAsia="zh-CN"/>
              </w:rPr>
            </w:pPr>
            <w:r>
              <w:t>-11.4</w:t>
            </w:r>
          </w:p>
        </w:tc>
      </w:tr>
      <w:tr w:rsidR="00241417" w14:paraId="6E80E0F8"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65634C" w14:textId="77777777" w:rsidR="00241417" w:rsidRDefault="00241417" w:rsidP="003A71DE">
            <w:pPr>
              <w:pStyle w:val="TAC"/>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9F45D4" w14:textId="77777777" w:rsidR="00241417" w:rsidRDefault="00241417" w:rsidP="003A71DE">
            <w:pPr>
              <w:pStyle w:val="TAC"/>
            </w:pPr>
          </w:p>
        </w:tc>
        <w:tc>
          <w:tcPr>
            <w:tcW w:w="0" w:type="auto"/>
            <w:tcBorders>
              <w:top w:val="single" w:sz="4" w:space="0" w:color="auto"/>
              <w:left w:val="single" w:sz="4" w:space="0" w:color="auto"/>
              <w:bottom w:val="single" w:sz="4" w:space="0" w:color="auto"/>
              <w:right w:val="single" w:sz="4" w:space="0" w:color="auto"/>
            </w:tcBorders>
            <w:vAlign w:val="center"/>
            <w:hideMark/>
          </w:tcPr>
          <w:p w14:paraId="1D46D373" w14:textId="77777777" w:rsidR="00241417" w:rsidRDefault="00241417" w:rsidP="003A71DE">
            <w:pPr>
              <w:pStyle w:val="TAC"/>
              <w:rPr>
                <w:lang w:eastAsia="zh-CN"/>
              </w:rPr>
            </w:pPr>
            <w:r>
              <w:rPr>
                <w:rFonts w:cs="v4.2.0"/>
                <w:lang w:eastAsia="zh-CN"/>
              </w:rPr>
              <w:t>TDLA30-300 Low</w:t>
            </w:r>
          </w:p>
        </w:tc>
        <w:tc>
          <w:tcPr>
            <w:tcW w:w="0" w:type="auto"/>
            <w:tcBorders>
              <w:top w:val="single" w:sz="4" w:space="0" w:color="auto"/>
              <w:left w:val="single" w:sz="4" w:space="0" w:color="auto"/>
              <w:bottom w:val="single" w:sz="4" w:space="0" w:color="auto"/>
              <w:right w:val="single" w:sz="4" w:space="0" w:color="auto"/>
            </w:tcBorders>
            <w:vAlign w:val="center"/>
            <w:hideMark/>
          </w:tcPr>
          <w:p w14:paraId="412A98F3" w14:textId="77777777" w:rsidR="00241417" w:rsidRDefault="00241417" w:rsidP="003A71DE">
            <w:pPr>
              <w:pStyle w:val="TAC"/>
              <w:rPr>
                <w:lang w:eastAsia="zh-CN"/>
              </w:rPr>
            </w:pPr>
            <w:r>
              <w:rPr>
                <w:lang w:eastAsia="zh-CN"/>
              </w:rPr>
              <w:t>4000 Hz</w:t>
            </w:r>
          </w:p>
        </w:tc>
        <w:tc>
          <w:tcPr>
            <w:tcW w:w="0" w:type="auto"/>
            <w:tcBorders>
              <w:top w:val="single" w:sz="4" w:space="0" w:color="auto"/>
              <w:left w:val="single" w:sz="4" w:space="0" w:color="auto"/>
              <w:bottom w:val="single" w:sz="4" w:space="0" w:color="auto"/>
              <w:right w:val="single" w:sz="4" w:space="0" w:color="auto"/>
            </w:tcBorders>
            <w:vAlign w:val="center"/>
            <w:hideMark/>
          </w:tcPr>
          <w:p w14:paraId="1A3A88A2" w14:textId="77777777" w:rsidR="00241417" w:rsidRDefault="00241417" w:rsidP="003A71DE">
            <w:pPr>
              <w:pStyle w:val="TAC"/>
              <w:rPr>
                <w:lang w:eastAsia="zh-CN"/>
              </w:rPr>
            </w:pPr>
            <w:r>
              <w:t>-1.7</w:t>
            </w:r>
          </w:p>
        </w:tc>
        <w:tc>
          <w:tcPr>
            <w:tcW w:w="0" w:type="auto"/>
            <w:tcBorders>
              <w:top w:val="single" w:sz="4" w:space="0" w:color="auto"/>
              <w:left w:val="single" w:sz="4" w:space="0" w:color="auto"/>
              <w:bottom w:val="single" w:sz="4" w:space="0" w:color="auto"/>
              <w:right w:val="single" w:sz="4" w:space="0" w:color="auto"/>
            </w:tcBorders>
            <w:vAlign w:val="center"/>
            <w:hideMark/>
          </w:tcPr>
          <w:p w14:paraId="529866F9" w14:textId="77777777" w:rsidR="00241417" w:rsidRDefault="00241417" w:rsidP="003A71DE">
            <w:pPr>
              <w:pStyle w:val="TAC"/>
              <w:rPr>
                <w:lang w:eastAsia="zh-CN"/>
              </w:rPr>
            </w:pPr>
            <w:r>
              <w:t>-4.4</w:t>
            </w:r>
          </w:p>
        </w:tc>
        <w:tc>
          <w:tcPr>
            <w:tcW w:w="0" w:type="auto"/>
            <w:tcBorders>
              <w:top w:val="single" w:sz="4" w:space="0" w:color="auto"/>
              <w:left w:val="single" w:sz="4" w:space="0" w:color="auto"/>
              <w:bottom w:val="single" w:sz="4" w:space="0" w:color="auto"/>
              <w:right w:val="single" w:sz="4" w:space="0" w:color="auto"/>
            </w:tcBorders>
            <w:vAlign w:val="center"/>
            <w:hideMark/>
          </w:tcPr>
          <w:p w14:paraId="3BB33A2B" w14:textId="77777777" w:rsidR="00241417" w:rsidRDefault="00241417" w:rsidP="003A71DE">
            <w:pPr>
              <w:pStyle w:val="TAC"/>
              <w:rPr>
                <w:lang w:eastAsia="zh-CN"/>
              </w:rPr>
            </w:pPr>
            <w:r>
              <w:t>-5.8</w:t>
            </w:r>
          </w:p>
        </w:tc>
        <w:tc>
          <w:tcPr>
            <w:tcW w:w="0" w:type="auto"/>
            <w:tcBorders>
              <w:top w:val="single" w:sz="4" w:space="0" w:color="auto"/>
              <w:left w:val="single" w:sz="4" w:space="0" w:color="auto"/>
              <w:bottom w:val="single" w:sz="4" w:space="0" w:color="auto"/>
              <w:right w:val="single" w:sz="4" w:space="0" w:color="auto"/>
            </w:tcBorders>
            <w:vAlign w:val="center"/>
            <w:hideMark/>
          </w:tcPr>
          <w:p w14:paraId="65CB6A0C" w14:textId="77777777" w:rsidR="00241417" w:rsidRDefault="00241417" w:rsidP="003A71DE">
            <w:pPr>
              <w:pStyle w:val="TAC"/>
              <w:rPr>
                <w:lang w:eastAsia="zh-CN"/>
              </w:rPr>
            </w:pPr>
            <w:r>
              <w:t>-7.5</w:t>
            </w:r>
          </w:p>
        </w:tc>
        <w:tc>
          <w:tcPr>
            <w:tcW w:w="0" w:type="auto"/>
            <w:tcBorders>
              <w:top w:val="single" w:sz="4" w:space="0" w:color="auto"/>
              <w:left w:val="single" w:sz="4" w:space="0" w:color="auto"/>
              <w:bottom w:val="single" w:sz="4" w:space="0" w:color="auto"/>
              <w:right w:val="single" w:sz="4" w:space="0" w:color="auto"/>
            </w:tcBorders>
            <w:vAlign w:val="center"/>
            <w:hideMark/>
          </w:tcPr>
          <w:p w14:paraId="47B033D0" w14:textId="77777777" w:rsidR="00241417" w:rsidRDefault="00241417" w:rsidP="003A71DE">
            <w:pPr>
              <w:pStyle w:val="TAC"/>
              <w:rPr>
                <w:lang w:eastAsia="zh-CN"/>
              </w:rPr>
            </w:pPr>
            <w:r>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4DC08A27" w14:textId="77777777" w:rsidR="00241417" w:rsidRDefault="00241417" w:rsidP="003A71DE">
            <w:pPr>
              <w:pStyle w:val="TAC"/>
              <w:rPr>
                <w:lang w:eastAsia="zh-CN"/>
              </w:rPr>
            </w:pPr>
            <w:r>
              <w:t>-4.2</w:t>
            </w:r>
          </w:p>
        </w:tc>
      </w:tr>
    </w:tbl>
    <w:p w14:paraId="61436C06" w14:textId="77777777" w:rsidR="00241417" w:rsidRDefault="00241417" w:rsidP="00241417">
      <w:pPr>
        <w:rPr>
          <w:noProof/>
        </w:rPr>
      </w:pPr>
    </w:p>
    <w:p w14:paraId="72940B9A" w14:textId="6782A41F" w:rsidR="00241417" w:rsidRPr="0006234D" w:rsidRDefault="00241417" w:rsidP="00241417">
      <w:pPr>
        <w:pStyle w:val="Heading2"/>
        <w:rPr>
          <w:lang w:val="nb-NO" w:eastAsia="zh-CN"/>
        </w:rPr>
      </w:pPr>
      <w:bookmarkStart w:id="7937" w:name="_Toc74583495"/>
      <w:bookmarkStart w:id="7938" w:name="_Toc76542308"/>
      <w:bookmarkStart w:id="7939" w:name="_Toc82450290"/>
      <w:bookmarkStart w:id="7940" w:name="_Toc82450938"/>
      <w:bookmarkStart w:id="7941" w:name="_Toc89949327"/>
      <w:bookmarkStart w:id="7942" w:name="_Toc98755716"/>
      <w:bookmarkStart w:id="7943" w:name="_Toc98763308"/>
      <w:bookmarkStart w:id="7944" w:name="_Toc106184237"/>
      <w:r w:rsidRPr="0006234D">
        <w:rPr>
          <w:lang w:val="nb-NO" w:eastAsia="zh-CN"/>
        </w:rPr>
        <w:lastRenderedPageBreak/>
        <w:t>11.2</w:t>
      </w:r>
      <w:r>
        <w:rPr>
          <w:lang w:val="nb-NO" w:eastAsia="zh-CN"/>
        </w:rPr>
        <w:tab/>
      </w:r>
      <w:r w:rsidRPr="0006234D">
        <w:rPr>
          <w:lang w:val="nb-NO" w:eastAsia="zh-CN"/>
        </w:rPr>
        <w:t>IAB</w:t>
      </w:r>
      <w:r>
        <w:rPr>
          <w:lang w:val="nb-NO" w:eastAsia="zh-CN"/>
        </w:rPr>
        <w:t>-</w:t>
      </w:r>
      <w:r w:rsidRPr="0006234D">
        <w:rPr>
          <w:lang w:val="nb-NO" w:eastAsia="zh-CN"/>
        </w:rPr>
        <w:t>MT performance requirements</w:t>
      </w:r>
      <w:bookmarkEnd w:id="7937"/>
      <w:bookmarkEnd w:id="7938"/>
      <w:bookmarkEnd w:id="7939"/>
      <w:bookmarkEnd w:id="7940"/>
      <w:bookmarkEnd w:id="7941"/>
      <w:bookmarkEnd w:id="7942"/>
      <w:bookmarkEnd w:id="7943"/>
      <w:bookmarkEnd w:id="7944"/>
    </w:p>
    <w:p w14:paraId="348E0297" w14:textId="19DF3712" w:rsidR="00241417" w:rsidRDefault="00241417" w:rsidP="00241417">
      <w:pPr>
        <w:pStyle w:val="Heading3"/>
        <w:rPr>
          <w:lang w:val="nb-NO" w:eastAsia="zh-CN"/>
        </w:rPr>
      </w:pPr>
      <w:bookmarkStart w:id="7945" w:name="_Toc74583496"/>
      <w:bookmarkStart w:id="7946" w:name="_Toc76542309"/>
      <w:bookmarkStart w:id="7947" w:name="_Toc82450291"/>
      <w:bookmarkStart w:id="7948" w:name="_Toc82450939"/>
      <w:bookmarkStart w:id="7949" w:name="_Toc89949328"/>
      <w:bookmarkStart w:id="7950" w:name="_Toc98755717"/>
      <w:bookmarkStart w:id="7951" w:name="_Toc98763309"/>
      <w:bookmarkStart w:id="7952" w:name="_Toc106184238"/>
      <w:r w:rsidRPr="0006234D">
        <w:rPr>
          <w:lang w:val="nb-NO" w:eastAsia="zh-CN"/>
        </w:rPr>
        <w:t>11.2.1</w:t>
      </w:r>
      <w:r>
        <w:rPr>
          <w:lang w:val="nb-NO" w:eastAsia="zh-CN"/>
        </w:rPr>
        <w:tab/>
      </w:r>
      <w:r w:rsidRPr="0006234D">
        <w:rPr>
          <w:lang w:val="nb-NO" w:eastAsia="zh-CN"/>
        </w:rPr>
        <w:t>General</w:t>
      </w:r>
      <w:bookmarkEnd w:id="7945"/>
      <w:bookmarkEnd w:id="7946"/>
      <w:bookmarkEnd w:id="7947"/>
      <w:bookmarkEnd w:id="7948"/>
      <w:bookmarkEnd w:id="7949"/>
      <w:bookmarkEnd w:id="7950"/>
      <w:bookmarkEnd w:id="7951"/>
      <w:bookmarkEnd w:id="7952"/>
    </w:p>
    <w:p w14:paraId="47062735" w14:textId="77777777" w:rsidR="00241417" w:rsidRPr="00F95B02" w:rsidRDefault="00241417" w:rsidP="00241417">
      <w:pPr>
        <w:rPr>
          <w:lang w:eastAsia="ko-KR"/>
        </w:rPr>
      </w:pPr>
      <w:r w:rsidRPr="00F95B02">
        <w:rPr>
          <w:lang w:eastAsia="ko-KR"/>
        </w:rPr>
        <w:t xml:space="preserve">Radiated performance requirements specify the ability of </w:t>
      </w:r>
      <w:r w:rsidRPr="00074750">
        <w:rPr>
          <w:lang w:eastAsia="ko-KR"/>
        </w:rPr>
        <w:t>the</w:t>
      </w:r>
      <w:r w:rsidRPr="00F95B02">
        <w:rPr>
          <w:lang w:eastAsia="ko-KR"/>
        </w:rPr>
        <w:t xml:space="preserve"> </w:t>
      </w:r>
      <w:r>
        <w:rPr>
          <w:i/>
          <w:lang w:eastAsia="ko-KR"/>
        </w:rPr>
        <w:t>IAB-MT</w:t>
      </w:r>
      <w:r w:rsidRPr="00F95B02">
        <w:rPr>
          <w:i/>
          <w:lang w:eastAsia="ko-KR"/>
        </w:rPr>
        <w:t xml:space="preserve"> type 1-O</w:t>
      </w:r>
      <w:r w:rsidRPr="00F95B02">
        <w:rPr>
          <w:lang w:eastAsia="ko-KR"/>
        </w:rPr>
        <w:t xml:space="preserve"> or </w:t>
      </w:r>
      <w:r>
        <w:rPr>
          <w:lang w:eastAsia="ko-KR"/>
        </w:rPr>
        <w:t xml:space="preserve">the </w:t>
      </w:r>
      <w:r>
        <w:rPr>
          <w:i/>
          <w:lang w:eastAsia="ko-KR"/>
        </w:rPr>
        <w:t>IAB-MT</w:t>
      </w:r>
      <w:r w:rsidRPr="00F95B02">
        <w:rPr>
          <w:i/>
          <w:lang w:eastAsia="ko-KR"/>
        </w:rPr>
        <w:t xml:space="preserve"> type 2-O</w:t>
      </w:r>
      <w:r w:rsidRPr="00F95B02">
        <w:rPr>
          <w:lang w:eastAsia="ko-KR"/>
        </w:rPr>
        <w:t xml:space="preserve"> to correctly demodulate radiated signals in various conditions and configurations. Radiated performance requirements are specified at the RIB</w:t>
      </w:r>
      <w:r w:rsidRPr="00F95B02">
        <w:t>.</w:t>
      </w:r>
    </w:p>
    <w:p w14:paraId="521AF99D" w14:textId="2350600B" w:rsidR="00241417" w:rsidRPr="00F95B02" w:rsidRDefault="00241417" w:rsidP="00241417">
      <w:pPr>
        <w:rPr>
          <w:lang w:eastAsia="ko-KR"/>
        </w:rPr>
      </w:pPr>
      <w:r w:rsidRPr="00F95B02">
        <w:t xml:space="preserve">Radiated performance requirements for the </w:t>
      </w:r>
      <w:r>
        <w:t>IAB-MT</w:t>
      </w:r>
      <w:r w:rsidRPr="00F95B02">
        <w:t xml:space="preserve"> are specified for the fixed reference channels defined in annex A and the propagation conditions in annex </w:t>
      </w:r>
      <w:r>
        <w:t>TBA</w:t>
      </w:r>
      <w:r w:rsidRPr="00F95B02">
        <w:t xml:space="preserve">. The requirements only apply to those FRCs that are supported by the </w:t>
      </w:r>
      <w:r>
        <w:t>IAB-MT</w:t>
      </w:r>
      <w:r w:rsidRPr="00F95B02">
        <w:t>.</w:t>
      </w:r>
    </w:p>
    <w:p w14:paraId="6FE6E24F" w14:textId="77777777" w:rsidR="00241417" w:rsidRPr="00F95B02" w:rsidRDefault="00241417" w:rsidP="00241417">
      <w:r w:rsidRPr="00F95B02">
        <w:rPr>
          <w:lang w:eastAsia="ko-KR"/>
        </w:rPr>
        <w:t xml:space="preserve">The radiated performance requirements for </w:t>
      </w:r>
      <w:r>
        <w:rPr>
          <w:lang w:eastAsia="ko-KR"/>
        </w:rPr>
        <w:t xml:space="preserve">the </w:t>
      </w:r>
      <w:r>
        <w:rPr>
          <w:i/>
          <w:lang w:eastAsia="ko-KR"/>
        </w:rPr>
        <w:t>IAB-MT</w:t>
      </w:r>
      <w:r w:rsidRPr="00F95B02">
        <w:rPr>
          <w:i/>
          <w:lang w:eastAsia="ko-KR"/>
        </w:rPr>
        <w:t xml:space="preserve"> type 1-O</w:t>
      </w:r>
      <w:r w:rsidRPr="00F95B02">
        <w:rPr>
          <w:lang w:eastAsia="ko-KR"/>
        </w:rPr>
        <w:t xml:space="preserve"> and for </w:t>
      </w:r>
      <w:r>
        <w:rPr>
          <w:lang w:eastAsia="ko-KR"/>
        </w:rPr>
        <w:t xml:space="preserve">the </w:t>
      </w:r>
      <w:r>
        <w:rPr>
          <w:i/>
          <w:lang w:eastAsia="ko-KR"/>
        </w:rPr>
        <w:t>IAB-MT</w:t>
      </w:r>
      <w:r w:rsidRPr="00F95B02">
        <w:rPr>
          <w:i/>
          <w:lang w:eastAsia="ko-KR"/>
        </w:rPr>
        <w:t xml:space="preserve"> type 2-O</w:t>
      </w:r>
      <w:r w:rsidRPr="00F95B02">
        <w:rPr>
          <w:lang w:eastAsia="ko-KR"/>
        </w:rPr>
        <w:t xml:space="preserve"> are limited to two OTA </w:t>
      </w:r>
      <w:r w:rsidRPr="00F95B02">
        <w:rPr>
          <w:i/>
          <w:lang w:eastAsia="ko-KR"/>
        </w:rPr>
        <w:t>demodulation branches</w:t>
      </w:r>
      <w:r w:rsidRPr="00F95B02">
        <w:rPr>
          <w:lang w:eastAsia="ko-KR"/>
        </w:rPr>
        <w:t xml:space="preserve"> as described </w:t>
      </w:r>
      <w:r>
        <w:rPr>
          <w:lang w:eastAsia="ko-KR"/>
        </w:rPr>
        <w:t>in clause 11.2.2</w:t>
      </w:r>
      <w:r w:rsidRPr="00F95B02">
        <w:rPr>
          <w:lang w:eastAsia="ko-KR"/>
        </w:rPr>
        <w:t xml:space="preserve">. </w:t>
      </w:r>
      <w:r w:rsidRPr="00F95B02">
        <w:t xml:space="preserve">Conformance requirements can only be tested for 1 or 2 </w:t>
      </w:r>
      <w:r w:rsidRPr="00F95B02">
        <w:rPr>
          <w:i/>
        </w:rPr>
        <w:t>demodulation branches</w:t>
      </w:r>
      <w:r w:rsidRPr="00F95B02">
        <w:t xml:space="preserve"> depending on the number of polarizations supported by the </w:t>
      </w:r>
      <w:r>
        <w:t>IAB-MT</w:t>
      </w:r>
      <w:r w:rsidRPr="00F95B02">
        <w:t>, with the required SNR applied separately per polarization.</w:t>
      </w:r>
    </w:p>
    <w:p w14:paraId="0784EE95" w14:textId="77777777" w:rsidR="00241417" w:rsidRPr="00F95B02" w:rsidRDefault="00241417" w:rsidP="00241417">
      <w:pPr>
        <w:pStyle w:val="NO"/>
      </w:pPr>
      <w:r w:rsidRPr="00F95B02">
        <w:t>NOTE 1:</w:t>
      </w:r>
      <w:r w:rsidRPr="00F95B02">
        <w:tab/>
        <w:t xml:space="preserve">The </w:t>
      </w:r>
      <w:r>
        <w:t>IAB-MT</w:t>
      </w:r>
      <w:r w:rsidRPr="00F95B02">
        <w:t xml:space="preserve"> can support more than 2 </w:t>
      </w:r>
      <w:r w:rsidRPr="00F95B02">
        <w:rPr>
          <w:i/>
        </w:rPr>
        <w:t>demodulation branches</w:t>
      </w:r>
      <w:r w:rsidRPr="00F95B02">
        <w:t xml:space="preserve">, however OTA conformance testing can only be performed for 1 or 2 </w:t>
      </w:r>
      <w:r w:rsidRPr="00F95B02">
        <w:rPr>
          <w:i/>
        </w:rPr>
        <w:t>demodulation branches</w:t>
      </w:r>
      <w:r w:rsidRPr="00F95B02">
        <w:t>.</w:t>
      </w:r>
    </w:p>
    <w:p w14:paraId="11C1839A" w14:textId="77777777" w:rsidR="00241417" w:rsidRPr="00F95B02" w:rsidRDefault="00241417" w:rsidP="00241417">
      <w:pPr>
        <w:rPr>
          <w:rFonts w:cs="v4.2.0"/>
        </w:rPr>
      </w:pPr>
      <w:r w:rsidRPr="00F95B02">
        <w:rPr>
          <w:rFonts w:cs="v4.2.0"/>
          <w:lang w:eastAsia="zh-CN"/>
        </w:rPr>
        <w:t>Unless stated otherwise, r</w:t>
      </w:r>
      <w:r w:rsidRPr="00F95B02">
        <w:rPr>
          <w:lang w:eastAsia="ko-KR"/>
        </w:rPr>
        <w:t xml:space="preserve">adiated performance requirements </w:t>
      </w:r>
      <w:r w:rsidRPr="00F95B02">
        <w:rPr>
          <w:rFonts w:cs="v4.2.0"/>
          <w:lang w:eastAsia="zh-CN"/>
        </w:rPr>
        <w:t>apply for a single carrier only.</w:t>
      </w:r>
    </w:p>
    <w:p w14:paraId="47E26AA2" w14:textId="77777777" w:rsidR="00241417" w:rsidRPr="00F95B02" w:rsidRDefault="00241417" w:rsidP="00241417">
      <w:r w:rsidRPr="00F95B02">
        <w:t xml:space="preserve">Whenever the </w:t>
      </w:r>
      <w:r w:rsidRPr="00F95B02">
        <w:rPr>
          <w:noProof/>
        </w:rPr>
        <w:t>"</w:t>
      </w:r>
      <w:r w:rsidRPr="00F95B02">
        <w:t xml:space="preserve">RX antennas" term is used for the </w:t>
      </w:r>
      <w:r w:rsidRPr="00F95B02">
        <w:rPr>
          <w:lang w:eastAsia="ko-KR"/>
        </w:rPr>
        <w:t>radiated performance requirements description</w:t>
      </w:r>
      <w:r w:rsidRPr="00F95B02">
        <w:t xml:space="preserve">, it shall refer to the </w:t>
      </w:r>
      <w:r w:rsidRPr="00F95B02">
        <w:rPr>
          <w:i/>
        </w:rPr>
        <w:t>demodulation branches</w:t>
      </w:r>
      <w:r w:rsidRPr="00F95B02">
        <w:t xml:space="preserve"> (i.e. not physical antennas of the antenna array).</w:t>
      </w:r>
    </w:p>
    <w:p w14:paraId="5421B1D3" w14:textId="77777777" w:rsidR="00241417" w:rsidRPr="00F95B02" w:rsidRDefault="00241417" w:rsidP="00241417">
      <w:r w:rsidRPr="00F95B02">
        <w:t xml:space="preserve">The SNR used in this clause is </w:t>
      </w:r>
      <w:r w:rsidRPr="00F95B02">
        <w:rPr>
          <w:lang w:eastAsia="zh-CN"/>
        </w:rPr>
        <w:t xml:space="preserve">specified based on a single carrier and </w:t>
      </w:r>
      <w:r w:rsidRPr="00F95B02">
        <w:t>defined as:</w:t>
      </w:r>
    </w:p>
    <w:p w14:paraId="2BAFD7DA" w14:textId="77777777" w:rsidR="00241417" w:rsidRPr="00F95B02" w:rsidRDefault="00241417" w:rsidP="00241417">
      <w:pPr>
        <w:pStyle w:val="B10"/>
      </w:pPr>
      <w:r w:rsidRPr="00F95B02">
        <w:t>SNR = S / N</w:t>
      </w:r>
    </w:p>
    <w:p w14:paraId="13F884C3" w14:textId="77777777" w:rsidR="00241417" w:rsidRPr="00F95B02" w:rsidRDefault="00241417" w:rsidP="00241417">
      <w:r w:rsidRPr="00F95B02">
        <w:t>Where:</w:t>
      </w:r>
    </w:p>
    <w:p w14:paraId="4009FA04" w14:textId="77777777" w:rsidR="00241417" w:rsidRPr="00F95B02" w:rsidRDefault="00241417" w:rsidP="00241417">
      <w:pPr>
        <w:pStyle w:val="B10"/>
      </w:pPr>
      <w:r w:rsidRPr="00F95B02">
        <w:t>S</w:t>
      </w:r>
      <w:r w:rsidRPr="00F95B02">
        <w:tab/>
        <w:t>is the total signal energy in a slot on a RIB.</w:t>
      </w:r>
    </w:p>
    <w:p w14:paraId="59C948BD" w14:textId="77777777" w:rsidR="00241417" w:rsidRDefault="00241417" w:rsidP="00241417">
      <w:r w:rsidRPr="00F95B02">
        <w:t>N</w:t>
      </w:r>
      <w:r w:rsidRPr="00F95B02">
        <w:tab/>
        <w:t xml:space="preserve">is the noise energy in a bandwidth corresponding to the </w:t>
      </w:r>
      <w:r w:rsidRPr="00F95B02">
        <w:rPr>
          <w:i/>
        </w:rPr>
        <w:t>transmission bandwidth</w:t>
      </w:r>
      <w:r w:rsidRPr="00F95B02">
        <w:t xml:space="preserve"> over the duration of a slot on a RIB</w:t>
      </w:r>
    </w:p>
    <w:p w14:paraId="19F859F9" w14:textId="77777777" w:rsidR="00241417" w:rsidRDefault="00241417" w:rsidP="00241417">
      <w:pPr>
        <w:rPr>
          <w:lang w:val="en-US" w:eastAsia="zh-CN"/>
        </w:rPr>
      </w:pPr>
      <w:r w:rsidRPr="006B4AF6">
        <w:rPr>
          <w:lang w:val="en-US" w:eastAsia="zh-CN"/>
        </w:rPr>
        <w:t xml:space="preserve">Radiated performance requirements are only specified for up to 2 </w:t>
      </w:r>
      <w:r w:rsidRPr="006B4AF6">
        <w:rPr>
          <w:i/>
          <w:lang w:val="en-US" w:eastAsia="zh-CN"/>
        </w:rPr>
        <w:t>demodulation branches</w:t>
      </w:r>
      <w:r w:rsidRPr="006B4AF6">
        <w:rPr>
          <w:lang w:val="en-US" w:eastAsia="zh-CN"/>
        </w:rPr>
        <w:t>.</w:t>
      </w:r>
    </w:p>
    <w:p w14:paraId="67A05ABB" w14:textId="77777777" w:rsidR="00241417" w:rsidRDefault="00241417" w:rsidP="00241417">
      <w:pPr>
        <w:rPr>
          <w:lang w:val="en-US" w:eastAsia="zh-CN"/>
        </w:rPr>
      </w:pPr>
    </w:p>
    <w:p w14:paraId="0DC59765" w14:textId="5D8149CE" w:rsidR="00241417" w:rsidRPr="00BD1D90" w:rsidRDefault="00241417" w:rsidP="00241417">
      <w:pPr>
        <w:pStyle w:val="Heading3"/>
        <w:rPr>
          <w:lang w:val="nb-NO" w:eastAsia="zh-CN"/>
        </w:rPr>
      </w:pPr>
      <w:bookmarkStart w:id="7953" w:name="_Toc74583497"/>
      <w:bookmarkStart w:id="7954" w:name="_Toc76542310"/>
      <w:bookmarkStart w:id="7955" w:name="_Toc82450292"/>
      <w:bookmarkStart w:id="7956" w:name="_Toc82450940"/>
      <w:bookmarkStart w:id="7957" w:name="_Toc89949329"/>
      <w:bookmarkStart w:id="7958" w:name="_Toc98755718"/>
      <w:bookmarkStart w:id="7959" w:name="_Toc98763310"/>
      <w:bookmarkStart w:id="7960" w:name="_Toc106184239"/>
      <w:r w:rsidRPr="0006234D">
        <w:rPr>
          <w:lang w:val="nb-NO" w:eastAsia="zh-CN"/>
        </w:rPr>
        <w:t>11.2.</w:t>
      </w:r>
      <w:r>
        <w:rPr>
          <w:lang w:val="nb-NO" w:eastAsia="zh-CN"/>
        </w:rPr>
        <w:t>2</w:t>
      </w:r>
      <w:r>
        <w:rPr>
          <w:lang w:val="nb-NO" w:eastAsia="zh-CN"/>
        </w:rPr>
        <w:tab/>
        <w:t>OTA demodulation branches</w:t>
      </w:r>
      <w:bookmarkEnd w:id="7953"/>
      <w:bookmarkEnd w:id="7954"/>
      <w:bookmarkEnd w:id="7955"/>
      <w:bookmarkEnd w:id="7956"/>
      <w:bookmarkEnd w:id="7957"/>
      <w:bookmarkEnd w:id="7958"/>
      <w:bookmarkEnd w:id="7959"/>
      <w:bookmarkEnd w:id="7960"/>
    </w:p>
    <w:p w14:paraId="704DC0E6" w14:textId="77777777" w:rsidR="00241417" w:rsidRPr="00BD1D90" w:rsidRDefault="00241417" w:rsidP="00241417">
      <w:r w:rsidRPr="00BD1D90">
        <w:rPr>
          <w:lang w:val="en-US" w:eastAsia="zh-CN"/>
        </w:rPr>
        <w:t xml:space="preserve">If the </w:t>
      </w:r>
      <w:r w:rsidRPr="00BD1D90">
        <w:rPr>
          <w:i/>
          <w:lang w:val="en-US" w:eastAsia="zh-CN"/>
        </w:rPr>
        <w:t>IAB-MT type 1-O</w:t>
      </w:r>
      <w:r w:rsidRPr="00BD1D90">
        <w:rPr>
          <w:lang w:val="en-US" w:eastAsia="zh-CN"/>
        </w:rPr>
        <w:t xml:space="preserve">, or the </w:t>
      </w:r>
      <w:r w:rsidRPr="00BD1D90">
        <w:rPr>
          <w:i/>
          <w:lang w:val="en-US" w:eastAsia="zh-CN"/>
        </w:rPr>
        <w:t>IAB-MT type 2-O</w:t>
      </w:r>
      <w:r w:rsidRPr="00BD1D90">
        <w:rPr>
          <w:lang w:val="en-US" w:eastAsia="zh-CN"/>
        </w:rPr>
        <w:t xml:space="preserve"> uses polarization diversity and has the ability to maintain isolation between the signals for each of the </w:t>
      </w:r>
      <w:r w:rsidRPr="00C83B6D">
        <w:rPr>
          <w:i/>
          <w:iCs/>
          <w:lang w:val="en-US" w:eastAsia="zh-CN"/>
        </w:rPr>
        <w:t>demodulation branches</w:t>
      </w:r>
      <w:r w:rsidRPr="00DA709A">
        <w:t xml:space="preserve">, then radiated performance requirements can be tested for up to two </w:t>
      </w:r>
      <w:r w:rsidRPr="00BD1D90">
        <w:rPr>
          <w:i/>
          <w:iCs/>
          <w:lang w:val="en-US" w:eastAsia="zh-CN"/>
        </w:rPr>
        <w:t>demodulation branches</w:t>
      </w:r>
      <w:r w:rsidRPr="00BD1D90">
        <w:t xml:space="preserve"> (i.e. 1RX or 2RX test setups). When tested for two </w:t>
      </w:r>
      <w:r w:rsidRPr="00BD1D90">
        <w:rPr>
          <w:i/>
          <w:iCs/>
          <w:lang w:val="en-US" w:eastAsia="zh-CN"/>
        </w:rPr>
        <w:t>demodulation branches</w:t>
      </w:r>
      <w:r w:rsidRPr="00BD1D90">
        <w:t>, each demodulation branch maps to one polarization.</w:t>
      </w:r>
    </w:p>
    <w:p w14:paraId="71EE3522" w14:textId="77777777" w:rsidR="00241417" w:rsidRDefault="00241417" w:rsidP="00241417">
      <w:r w:rsidRPr="00BD1D90">
        <w:t xml:space="preserve">If the </w:t>
      </w:r>
      <w:r w:rsidRPr="00BD1D90">
        <w:rPr>
          <w:i/>
          <w:iCs/>
          <w:lang w:val="en-US" w:eastAsia="zh-CN"/>
        </w:rPr>
        <w:t>IAB-MT type 1-O</w:t>
      </w:r>
      <w:r w:rsidRPr="00BD1D90">
        <w:t>,</w:t>
      </w:r>
      <w:r w:rsidRPr="00BD1D90">
        <w:rPr>
          <w:i/>
          <w:iCs/>
          <w:lang w:val="en-US" w:eastAsia="zh-CN"/>
        </w:rPr>
        <w:t xml:space="preserve"> </w:t>
      </w:r>
      <w:r w:rsidRPr="00BD1D90">
        <w:t xml:space="preserve">or the </w:t>
      </w:r>
      <w:r w:rsidRPr="00BD1D90">
        <w:rPr>
          <w:i/>
          <w:iCs/>
          <w:lang w:val="en-US" w:eastAsia="zh-CN"/>
        </w:rPr>
        <w:t xml:space="preserve">IAB-MT type 2-O </w:t>
      </w:r>
      <w:r w:rsidRPr="00BD1D90">
        <w:t xml:space="preserve">does not use polarization diversity then radiated performance requirements can only be tested for a single </w:t>
      </w:r>
      <w:r w:rsidRPr="00BD1D90">
        <w:rPr>
          <w:i/>
          <w:iCs/>
          <w:lang w:val="en-US" w:eastAsia="zh-CN"/>
        </w:rPr>
        <w:t>demodulation branch</w:t>
      </w:r>
      <w:r w:rsidRPr="00BD1D90">
        <w:t xml:space="preserve"> (i.e. 1RX test </w:t>
      </w:r>
      <w:r w:rsidRPr="00BD1D90">
        <w:rPr>
          <w:lang w:val="en-US" w:eastAsia="zh-CN"/>
        </w:rPr>
        <w:t>setup).</w:t>
      </w:r>
    </w:p>
    <w:p w14:paraId="5A7943AC" w14:textId="77777777" w:rsidR="00241417" w:rsidRPr="0097309A" w:rsidRDefault="00241417" w:rsidP="00241417"/>
    <w:p w14:paraId="79261418" w14:textId="43F94C70" w:rsidR="00241417" w:rsidRPr="0006234D" w:rsidRDefault="00241417" w:rsidP="00241417">
      <w:pPr>
        <w:pStyle w:val="Heading3"/>
        <w:rPr>
          <w:lang w:val="nb-NO" w:eastAsia="zh-CN"/>
        </w:rPr>
      </w:pPr>
      <w:bookmarkStart w:id="7961" w:name="_Toc74583498"/>
      <w:bookmarkStart w:id="7962" w:name="_Toc76542311"/>
      <w:bookmarkStart w:id="7963" w:name="_Toc82450293"/>
      <w:bookmarkStart w:id="7964" w:name="_Toc82450941"/>
      <w:bookmarkStart w:id="7965" w:name="_Toc89949330"/>
      <w:bookmarkStart w:id="7966" w:name="_Toc98755719"/>
      <w:bookmarkStart w:id="7967" w:name="_Toc98763311"/>
      <w:bookmarkStart w:id="7968" w:name="_Toc106184240"/>
      <w:r w:rsidRPr="0006234D">
        <w:rPr>
          <w:lang w:val="nb-NO" w:eastAsia="zh-CN"/>
        </w:rPr>
        <w:t>11.2.2</w:t>
      </w:r>
      <w:r>
        <w:rPr>
          <w:lang w:val="nb-NO" w:eastAsia="zh-CN"/>
        </w:rPr>
        <w:tab/>
      </w:r>
      <w:r w:rsidRPr="0006234D">
        <w:rPr>
          <w:lang w:val="nb-NO" w:eastAsia="zh-CN"/>
        </w:rPr>
        <w:t>Demodulation performance requirements</w:t>
      </w:r>
      <w:bookmarkEnd w:id="7961"/>
      <w:bookmarkEnd w:id="7962"/>
      <w:bookmarkEnd w:id="7963"/>
      <w:bookmarkEnd w:id="7964"/>
      <w:bookmarkEnd w:id="7965"/>
      <w:bookmarkEnd w:id="7966"/>
      <w:bookmarkEnd w:id="7967"/>
      <w:bookmarkEnd w:id="7968"/>
    </w:p>
    <w:p w14:paraId="44DDCB2A" w14:textId="4DF62E0B" w:rsidR="00241417" w:rsidRPr="0006234D" w:rsidRDefault="00241417" w:rsidP="00241417">
      <w:pPr>
        <w:pStyle w:val="Heading4"/>
        <w:rPr>
          <w:lang w:val="nb-NO" w:eastAsia="zh-CN"/>
        </w:rPr>
      </w:pPr>
      <w:bookmarkStart w:id="7969" w:name="_Toc74583499"/>
      <w:bookmarkStart w:id="7970" w:name="_Toc76542312"/>
      <w:bookmarkStart w:id="7971" w:name="_Toc82450294"/>
      <w:bookmarkStart w:id="7972" w:name="_Toc82450942"/>
      <w:bookmarkStart w:id="7973" w:name="_Toc89949331"/>
      <w:bookmarkStart w:id="7974" w:name="_Toc98755720"/>
      <w:bookmarkStart w:id="7975" w:name="_Toc98763312"/>
      <w:bookmarkStart w:id="7976" w:name="_Toc106184241"/>
      <w:r w:rsidRPr="0006234D">
        <w:rPr>
          <w:lang w:val="nb-NO" w:eastAsia="zh-CN"/>
        </w:rPr>
        <w:t>11.2.2.1</w:t>
      </w:r>
      <w:r>
        <w:rPr>
          <w:lang w:val="nb-NO" w:eastAsia="zh-CN"/>
        </w:rPr>
        <w:tab/>
      </w:r>
      <w:r w:rsidRPr="00595813">
        <w:rPr>
          <w:lang w:val="nb-NO" w:eastAsia="zh-CN"/>
        </w:rPr>
        <w:t xml:space="preserve">Performance </w:t>
      </w:r>
      <w:r>
        <w:rPr>
          <w:lang w:val="nb-NO" w:eastAsia="zh-CN"/>
        </w:rPr>
        <w:t>r</w:t>
      </w:r>
      <w:r w:rsidRPr="0006234D">
        <w:rPr>
          <w:lang w:val="nb-NO" w:eastAsia="zh-CN"/>
        </w:rPr>
        <w:t>equire</w:t>
      </w:r>
      <w:r>
        <w:rPr>
          <w:lang w:val="nb-NO" w:eastAsia="zh-CN"/>
        </w:rPr>
        <w:t>e</w:t>
      </w:r>
      <w:r w:rsidRPr="0006234D">
        <w:rPr>
          <w:lang w:val="nb-NO" w:eastAsia="zh-CN"/>
        </w:rPr>
        <w:t>ments for IAB type 1-O</w:t>
      </w:r>
      <w:bookmarkEnd w:id="7969"/>
      <w:bookmarkEnd w:id="7970"/>
      <w:bookmarkEnd w:id="7971"/>
      <w:bookmarkEnd w:id="7972"/>
      <w:bookmarkEnd w:id="7973"/>
      <w:bookmarkEnd w:id="7974"/>
      <w:bookmarkEnd w:id="7975"/>
      <w:bookmarkEnd w:id="7976"/>
    </w:p>
    <w:p w14:paraId="0BC7DA36" w14:textId="78512F2A" w:rsidR="00241417" w:rsidRDefault="00241417" w:rsidP="00241417">
      <w:pPr>
        <w:pStyle w:val="Heading5"/>
        <w:rPr>
          <w:lang w:val="nb-NO" w:eastAsia="zh-CN"/>
        </w:rPr>
      </w:pPr>
      <w:bookmarkStart w:id="7977" w:name="_Toc74583500"/>
      <w:bookmarkStart w:id="7978" w:name="_Toc76542313"/>
      <w:bookmarkStart w:id="7979" w:name="_Toc82450295"/>
      <w:bookmarkStart w:id="7980" w:name="_Toc82450943"/>
      <w:bookmarkStart w:id="7981" w:name="_Toc89949332"/>
      <w:bookmarkStart w:id="7982" w:name="_Toc98755721"/>
      <w:bookmarkStart w:id="7983" w:name="_Toc98763313"/>
      <w:bookmarkStart w:id="7984" w:name="_Toc106184242"/>
      <w:r w:rsidRPr="0006234D">
        <w:rPr>
          <w:lang w:val="nb-NO" w:eastAsia="zh-CN"/>
        </w:rPr>
        <w:t>11.2.2.1.1</w:t>
      </w:r>
      <w:r>
        <w:rPr>
          <w:lang w:val="nb-NO" w:eastAsia="zh-CN"/>
        </w:rPr>
        <w:tab/>
      </w:r>
      <w:r w:rsidRPr="0006234D">
        <w:rPr>
          <w:lang w:val="nb-NO" w:eastAsia="zh-CN"/>
        </w:rPr>
        <w:t>Performance requirements for PDSCH</w:t>
      </w:r>
      <w:bookmarkEnd w:id="7977"/>
      <w:bookmarkEnd w:id="7978"/>
      <w:bookmarkEnd w:id="7979"/>
      <w:bookmarkEnd w:id="7980"/>
      <w:bookmarkEnd w:id="7981"/>
      <w:bookmarkEnd w:id="7982"/>
      <w:bookmarkEnd w:id="7983"/>
      <w:bookmarkEnd w:id="7984"/>
    </w:p>
    <w:p w14:paraId="0D0AF5D4" w14:textId="77777777" w:rsidR="00241417" w:rsidRDefault="00241417" w:rsidP="00241417">
      <w:pPr>
        <w:pStyle w:val="H6"/>
        <w:rPr>
          <w:lang w:eastAsia="zh-CN"/>
        </w:rPr>
      </w:pPr>
      <w:r>
        <w:rPr>
          <w:lang w:eastAsia="zh-CN"/>
        </w:rPr>
        <w:t>11.2.2.1.1.1</w:t>
      </w:r>
      <w:r>
        <w:rPr>
          <w:lang w:eastAsia="zh-CN"/>
        </w:rPr>
        <w:tab/>
        <w:t>General</w:t>
      </w:r>
    </w:p>
    <w:p w14:paraId="78857FEF" w14:textId="77777777" w:rsidR="00241417" w:rsidRDefault="00241417" w:rsidP="00241417">
      <w:r>
        <w:t>The performance requirement of PDSCH is determined by a minimum required throughput for a given SNR. The required throughput is expressed as a fraction of maximum throughput for the FRCs listed in annex A. The performance requirements assume HARQ retransmissions.</w:t>
      </w:r>
    </w:p>
    <w:p w14:paraId="3489DD53" w14:textId="77777777" w:rsidR="00241417" w:rsidRDefault="00241417" w:rsidP="00241417">
      <w:pPr>
        <w:pStyle w:val="TH"/>
      </w:pPr>
      <w:r>
        <w:lastRenderedPageBreak/>
        <w:t>Table: 11.2.2</w:t>
      </w:r>
      <w:r>
        <w:rPr>
          <w:lang w:eastAsia="zh-CN"/>
        </w:rPr>
        <w:t>.1.1.1</w:t>
      </w:r>
      <w:r>
        <w:t xml:space="preserve">-1 Test parameters for PDSCH testing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0"/>
        <w:gridCol w:w="2244"/>
        <w:gridCol w:w="5427"/>
      </w:tblGrid>
      <w:tr w:rsidR="00241417" w14:paraId="31F68A4D"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7FC8967" w14:textId="77777777" w:rsidR="00241417" w:rsidRDefault="00241417" w:rsidP="003A71DE">
            <w:pPr>
              <w:pStyle w:val="TAH"/>
              <w:snapToGrid w:val="0"/>
              <w:rPr>
                <w:rFonts w:cs="Arial"/>
              </w:rPr>
            </w:pPr>
            <w:r>
              <w:rPr>
                <w:rFonts w:cs="Arial"/>
              </w:rPr>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1E2FFC80" w14:textId="77777777" w:rsidR="00241417" w:rsidRDefault="00241417" w:rsidP="003A71DE">
            <w:pPr>
              <w:pStyle w:val="TAH"/>
              <w:snapToGrid w:val="0"/>
              <w:rPr>
                <w:rFonts w:cs="Arial"/>
              </w:rPr>
            </w:pPr>
            <w:r>
              <w:rPr>
                <w:rFonts w:cs="Arial"/>
              </w:rPr>
              <w:t>Value</w:t>
            </w:r>
          </w:p>
        </w:tc>
      </w:tr>
      <w:tr w:rsidR="00241417" w14:paraId="11A51E22"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5A24709B" w14:textId="77777777" w:rsidR="00241417" w:rsidRDefault="00241417" w:rsidP="003A71DE">
            <w:pPr>
              <w:pStyle w:val="TAC"/>
              <w:jc w:val="left"/>
            </w:pPr>
            <w:r>
              <w:t>Cyclic prefix</w:t>
            </w:r>
          </w:p>
        </w:tc>
        <w:tc>
          <w:tcPr>
            <w:tcW w:w="0" w:type="auto"/>
            <w:tcBorders>
              <w:top w:val="single" w:sz="4" w:space="0" w:color="auto"/>
              <w:left w:val="single" w:sz="4" w:space="0" w:color="auto"/>
              <w:bottom w:val="single" w:sz="4" w:space="0" w:color="auto"/>
              <w:right w:val="single" w:sz="4" w:space="0" w:color="auto"/>
            </w:tcBorders>
            <w:vAlign w:val="center"/>
            <w:hideMark/>
          </w:tcPr>
          <w:p w14:paraId="4300D2D5" w14:textId="77777777" w:rsidR="00241417" w:rsidRDefault="00241417" w:rsidP="003A71DE">
            <w:pPr>
              <w:pStyle w:val="TAC"/>
              <w:rPr>
                <w:lang w:eastAsia="zh-CN"/>
              </w:rPr>
            </w:pPr>
            <w:r>
              <w:rPr>
                <w:lang w:eastAsia="zh-CN"/>
              </w:rPr>
              <w:t>Normal</w:t>
            </w:r>
          </w:p>
        </w:tc>
      </w:tr>
      <w:tr w:rsidR="00241417" w14:paraId="5DC4A00B"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681AF49" w14:textId="77777777" w:rsidR="00241417" w:rsidRDefault="00241417" w:rsidP="003A71DE">
            <w:pPr>
              <w:pStyle w:val="TAL"/>
              <w:snapToGrid w:val="0"/>
            </w:pPr>
            <w:r>
              <w:t>Default TDD UL-DL pattern (Note 1)</w:t>
            </w:r>
          </w:p>
        </w:tc>
        <w:tc>
          <w:tcPr>
            <w:tcW w:w="0" w:type="auto"/>
            <w:tcBorders>
              <w:top w:val="single" w:sz="4" w:space="0" w:color="auto"/>
              <w:left w:val="single" w:sz="4" w:space="0" w:color="auto"/>
              <w:bottom w:val="single" w:sz="4" w:space="0" w:color="auto"/>
              <w:right w:val="single" w:sz="4" w:space="0" w:color="auto"/>
            </w:tcBorders>
            <w:vAlign w:val="center"/>
            <w:hideMark/>
          </w:tcPr>
          <w:p w14:paraId="382E2816" w14:textId="77777777" w:rsidR="00241417" w:rsidRDefault="00241417" w:rsidP="003A71DE">
            <w:pPr>
              <w:pStyle w:val="TAC"/>
            </w:pPr>
            <w:r>
              <w:t>7D1S2U, S=6D:4G:4U</w:t>
            </w:r>
          </w:p>
        </w:tc>
      </w:tr>
      <w:tr w:rsidR="00241417" w14:paraId="295C20B3"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3CADD8" w14:textId="77777777" w:rsidR="00241417" w:rsidRDefault="00241417" w:rsidP="003A71DE">
            <w:pPr>
              <w:pStyle w:val="TAL"/>
              <w:snapToGrid w:val="0"/>
            </w:pPr>
            <w:r>
              <w:t>HARQ</w:t>
            </w:r>
          </w:p>
        </w:tc>
        <w:tc>
          <w:tcPr>
            <w:tcW w:w="0" w:type="auto"/>
            <w:tcBorders>
              <w:top w:val="single" w:sz="4" w:space="0" w:color="auto"/>
              <w:left w:val="single" w:sz="4" w:space="0" w:color="auto"/>
              <w:bottom w:val="single" w:sz="4" w:space="0" w:color="auto"/>
              <w:right w:val="single" w:sz="4" w:space="0" w:color="auto"/>
            </w:tcBorders>
            <w:vAlign w:val="center"/>
            <w:hideMark/>
          </w:tcPr>
          <w:p w14:paraId="41E62E3B" w14:textId="77777777" w:rsidR="00241417" w:rsidRDefault="00241417" w:rsidP="003A71DE">
            <w:pPr>
              <w:pStyle w:val="TAL"/>
              <w:snapToGrid w:val="0"/>
            </w:pPr>
            <w:r>
              <w:t>Maximum number of HARQ transmissions</w:t>
            </w:r>
          </w:p>
        </w:tc>
        <w:tc>
          <w:tcPr>
            <w:tcW w:w="0" w:type="auto"/>
            <w:tcBorders>
              <w:top w:val="single" w:sz="4" w:space="0" w:color="auto"/>
              <w:left w:val="single" w:sz="4" w:space="0" w:color="auto"/>
              <w:bottom w:val="single" w:sz="4" w:space="0" w:color="auto"/>
              <w:right w:val="single" w:sz="4" w:space="0" w:color="auto"/>
            </w:tcBorders>
            <w:vAlign w:val="center"/>
            <w:hideMark/>
          </w:tcPr>
          <w:p w14:paraId="36886374" w14:textId="77777777" w:rsidR="00241417" w:rsidRDefault="00241417" w:rsidP="003A71DE">
            <w:pPr>
              <w:pStyle w:val="TAC"/>
            </w:pPr>
            <w:r>
              <w:t>4</w:t>
            </w:r>
          </w:p>
        </w:tc>
      </w:tr>
      <w:tr w:rsidR="00241417" w14:paraId="10AFA496"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E5F3869"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603F5A1" w14:textId="77777777" w:rsidR="00241417" w:rsidRDefault="00241417" w:rsidP="003A71DE">
            <w:pPr>
              <w:pStyle w:val="TAL"/>
              <w:snapToGrid w:val="0"/>
            </w:pPr>
            <w:r>
              <w:t>RV sequence</w:t>
            </w:r>
          </w:p>
        </w:tc>
        <w:tc>
          <w:tcPr>
            <w:tcW w:w="0" w:type="auto"/>
            <w:tcBorders>
              <w:top w:val="single" w:sz="4" w:space="0" w:color="auto"/>
              <w:left w:val="single" w:sz="4" w:space="0" w:color="auto"/>
              <w:bottom w:val="single" w:sz="4" w:space="0" w:color="auto"/>
              <w:right w:val="single" w:sz="4" w:space="0" w:color="auto"/>
            </w:tcBorders>
            <w:vAlign w:val="center"/>
            <w:hideMark/>
          </w:tcPr>
          <w:p w14:paraId="50F2E107" w14:textId="77777777" w:rsidR="00241417" w:rsidRDefault="00241417" w:rsidP="003A71DE">
            <w:pPr>
              <w:pStyle w:val="TAC"/>
            </w:pPr>
            <w:r>
              <w:rPr>
                <w:lang w:val="fr-FR"/>
              </w:rPr>
              <w:t>0, 2, 3, 1</w:t>
            </w:r>
          </w:p>
        </w:tc>
      </w:tr>
      <w:tr w:rsidR="00241417" w14:paraId="21C2959D"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D49B634" w14:textId="77777777" w:rsidR="00241417" w:rsidRDefault="00241417" w:rsidP="003A71DE">
            <w:pPr>
              <w:pStyle w:val="TAL"/>
              <w:snapToGrid w:val="0"/>
            </w:pPr>
            <w:r>
              <w:t>DM-RS</w:t>
            </w:r>
          </w:p>
        </w:tc>
        <w:tc>
          <w:tcPr>
            <w:tcW w:w="0" w:type="auto"/>
            <w:tcBorders>
              <w:top w:val="single" w:sz="4" w:space="0" w:color="auto"/>
              <w:left w:val="single" w:sz="4" w:space="0" w:color="auto"/>
              <w:bottom w:val="single" w:sz="4" w:space="0" w:color="auto"/>
              <w:right w:val="single" w:sz="4" w:space="0" w:color="auto"/>
            </w:tcBorders>
            <w:vAlign w:val="center"/>
            <w:hideMark/>
          </w:tcPr>
          <w:p w14:paraId="4FDFCD12" w14:textId="77777777" w:rsidR="00241417" w:rsidRDefault="00241417" w:rsidP="003A71DE">
            <w:pPr>
              <w:pStyle w:val="TAL"/>
              <w:snapToGrid w:val="0"/>
            </w:pPr>
            <w:r>
              <w:t>DM-RS configuration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57CAFFC2" w14:textId="77777777" w:rsidR="00241417" w:rsidRDefault="00241417" w:rsidP="003A71DE">
            <w:pPr>
              <w:pStyle w:val="TAC"/>
            </w:pPr>
            <w:r>
              <w:t>1</w:t>
            </w:r>
          </w:p>
        </w:tc>
      </w:tr>
      <w:tr w:rsidR="00241417" w14:paraId="4F3B91D2"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0F25D3C"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CEF9F4A" w14:textId="77777777" w:rsidR="00241417" w:rsidRDefault="00241417" w:rsidP="003A71DE">
            <w:pPr>
              <w:pStyle w:val="TAL"/>
              <w:snapToGrid w:val="0"/>
            </w:pPr>
            <w:r>
              <w:t>DM-RS duration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7FBEA136" w14:textId="77777777" w:rsidR="00241417" w:rsidRDefault="00241417" w:rsidP="003A71DE">
            <w:pPr>
              <w:pStyle w:val="TAC"/>
            </w:pPr>
            <w:r>
              <w:t>single-symbol DM-RS</w:t>
            </w:r>
          </w:p>
        </w:tc>
      </w:tr>
      <w:tr w:rsidR="00241417" w14:paraId="7643F5A8"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B561336"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02BC400" w14:textId="77777777" w:rsidR="00241417" w:rsidRDefault="00241417" w:rsidP="003A71DE">
            <w:pPr>
              <w:pStyle w:val="TAL"/>
              <w:snapToGrid w:val="0"/>
            </w:pPr>
            <w:r>
              <w:t>DM-RS position (</w:t>
            </w:r>
            <w:r>
              <w:rPr>
                <w:i/>
              </w:rPr>
              <w:t>l</w:t>
            </w:r>
            <w:r>
              <w:rPr>
                <w:i/>
                <w:vertAlign w:val="subscript"/>
              </w:rPr>
              <w:t>0</w:t>
            </w:r>
            <w: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5A0B157B" w14:textId="77777777" w:rsidR="00241417" w:rsidRDefault="00241417" w:rsidP="003A71DE">
            <w:pPr>
              <w:pStyle w:val="TAC"/>
              <w:rPr>
                <w:lang w:eastAsia="zh-CN"/>
              </w:rPr>
            </w:pPr>
            <w:r>
              <w:rPr>
                <w:lang w:eastAsia="zh-CN"/>
              </w:rPr>
              <w:t>2</w:t>
            </w:r>
          </w:p>
        </w:tc>
      </w:tr>
      <w:tr w:rsidR="00241417" w14:paraId="36432906"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8343667"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617D75F" w14:textId="77777777" w:rsidR="00241417" w:rsidRDefault="00241417" w:rsidP="003A71DE">
            <w:pPr>
              <w:pStyle w:val="TAL"/>
              <w:snapToGrid w:val="0"/>
            </w:pPr>
            <w:r>
              <w:rPr>
                <w:rFonts w:eastAsia="DengXian" w:cs="Arial"/>
                <w:szCs w:val="18"/>
                <w:lang w:eastAsia="zh-CN"/>
              </w:rPr>
              <w:t>A</w:t>
            </w:r>
            <w:r>
              <w:rPr>
                <w:rFonts w:cs="Arial"/>
                <w:szCs w:val="18"/>
              </w:rPr>
              <w:t>dditional DM-RS position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0BAE3C12" w14:textId="77777777" w:rsidR="00241417" w:rsidRDefault="00241417" w:rsidP="003A71DE">
            <w:pPr>
              <w:pStyle w:val="TAC"/>
            </w:pPr>
            <w:r>
              <w:rPr>
                <w:rFonts w:cs="Arial"/>
              </w:rPr>
              <w:t>pos</w:t>
            </w:r>
            <w:r>
              <w:t>1</w:t>
            </w:r>
          </w:p>
        </w:tc>
      </w:tr>
      <w:tr w:rsidR="00241417" w14:paraId="7D6ACBAE"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989A4A5"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07E2323" w14:textId="77777777" w:rsidR="00241417" w:rsidRDefault="00241417" w:rsidP="003A71DE">
            <w:pPr>
              <w:pStyle w:val="TAL"/>
              <w:snapToGrid w:val="0"/>
            </w:pPr>
            <w:r>
              <w:t>Number of DM-RS CDM group(s) without data</w:t>
            </w:r>
          </w:p>
        </w:tc>
        <w:tc>
          <w:tcPr>
            <w:tcW w:w="0" w:type="auto"/>
            <w:tcBorders>
              <w:top w:val="single" w:sz="4" w:space="0" w:color="auto"/>
              <w:left w:val="single" w:sz="4" w:space="0" w:color="auto"/>
              <w:bottom w:val="single" w:sz="4" w:space="0" w:color="auto"/>
              <w:right w:val="single" w:sz="4" w:space="0" w:color="auto"/>
            </w:tcBorders>
            <w:vAlign w:val="center"/>
            <w:hideMark/>
          </w:tcPr>
          <w:p w14:paraId="4216BD59" w14:textId="77777777" w:rsidR="00241417" w:rsidRDefault="00241417" w:rsidP="003A71DE">
            <w:pPr>
              <w:pStyle w:val="TAC"/>
            </w:pPr>
            <w:r>
              <w:t>1 for Rank 1 and Rank 2 tests</w:t>
            </w:r>
            <w:r>
              <w:br/>
              <w:t>2 for Rank 3 and Rank 4 tests</w:t>
            </w:r>
          </w:p>
        </w:tc>
      </w:tr>
      <w:tr w:rsidR="00241417" w14:paraId="10E5B4FC"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514D5F0"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B601841" w14:textId="77777777" w:rsidR="00241417" w:rsidRDefault="00241417" w:rsidP="003A71DE">
            <w:pPr>
              <w:pStyle w:val="TAL"/>
              <w:snapToGrid w:val="0"/>
            </w:pPr>
            <w:r>
              <w:t>DM-RS port(s)</w:t>
            </w:r>
          </w:p>
        </w:tc>
        <w:tc>
          <w:tcPr>
            <w:tcW w:w="0" w:type="auto"/>
            <w:tcBorders>
              <w:top w:val="single" w:sz="4" w:space="0" w:color="auto"/>
              <w:left w:val="single" w:sz="4" w:space="0" w:color="auto"/>
              <w:bottom w:val="single" w:sz="4" w:space="0" w:color="auto"/>
              <w:right w:val="single" w:sz="4" w:space="0" w:color="auto"/>
            </w:tcBorders>
            <w:vAlign w:val="center"/>
            <w:hideMark/>
          </w:tcPr>
          <w:p w14:paraId="008F34B5" w14:textId="77777777" w:rsidR="00241417" w:rsidRDefault="00241417" w:rsidP="003A71DE">
            <w:pPr>
              <w:pStyle w:val="TAC"/>
            </w:pPr>
            <w:r>
              <w:t>{1000} for Rank 1 tests</w:t>
            </w:r>
            <w:r>
              <w:br/>
              <w:t>{1000-1001} for Rank 2 tests</w:t>
            </w:r>
            <w:r>
              <w:br/>
              <w:t>{1000-1002} for Rank 3 tests</w:t>
            </w:r>
            <w:r>
              <w:br/>
              <w:t>{1000-1003} for Rank 4 tests</w:t>
            </w:r>
          </w:p>
        </w:tc>
      </w:tr>
      <w:tr w:rsidR="00241417" w14:paraId="3DD853F3"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75CE7FC"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23C9BFB" w14:textId="77777777" w:rsidR="00241417" w:rsidRDefault="00241417" w:rsidP="003A71DE">
            <w:pPr>
              <w:pStyle w:val="TAL"/>
              <w:snapToGrid w:val="0"/>
            </w:pPr>
            <w:r>
              <w:t>DM-RS sequence generation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0A38BDDC" w14:textId="77777777" w:rsidR="00241417" w:rsidRDefault="00241417" w:rsidP="003A71DE">
            <w:pPr>
              <w:pStyle w:val="TAC"/>
            </w:pPr>
            <w:r>
              <w:t>N</w:t>
            </w:r>
            <w:r>
              <w:rPr>
                <w:vertAlign w:val="subscript"/>
              </w:rPr>
              <w:t>ID</w:t>
            </w:r>
            <w:r>
              <w:rPr>
                <w:rFonts w:cs="Arial"/>
                <w:vertAlign w:val="superscript"/>
              </w:rPr>
              <w:t>0</w:t>
            </w:r>
            <w:r>
              <w:t>=0</w:t>
            </w:r>
          </w:p>
        </w:tc>
      </w:tr>
      <w:tr w:rsidR="00241417" w14:paraId="4FE133E8" w14:textId="77777777" w:rsidTr="003A71DE">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F195F81" w14:textId="77777777" w:rsidR="00241417" w:rsidRDefault="00241417" w:rsidP="003A71DE">
            <w:pPr>
              <w:pStyle w:val="TAL"/>
              <w:snapToGrid w:val="0"/>
            </w:pPr>
            <w:r>
              <w:t>Time domain resource assignment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7B71A39D" w14:textId="77777777" w:rsidR="00241417" w:rsidRDefault="00241417" w:rsidP="003A71DE">
            <w:pPr>
              <w:pStyle w:val="TAL"/>
              <w:snapToGrid w:val="0"/>
            </w:pPr>
            <w:r>
              <w:rPr>
                <w:rFonts w:eastAsia="Batang"/>
              </w:rPr>
              <w:t>PDSCH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519EB060" w14:textId="77777777" w:rsidR="00241417" w:rsidRDefault="00241417" w:rsidP="003A71DE">
            <w:pPr>
              <w:pStyle w:val="TAC"/>
              <w:rPr>
                <w:lang w:eastAsia="zh-CN"/>
              </w:rPr>
            </w:pPr>
            <w:r>
              <w:t>A</w:t>
            </w:r>
          </w:p>
        </w:tc>
      </w:tr>
      <w:tr w:rsidR="00241417" w14:paraId="06D83487"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D912DBE"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5947910" w14:textId="77777777" w:rsidR="00241417" w:rsidRDefault="00241417" w:rsidP="003A71DE">
            <w:pPr>
              <w:pStyle w:val="TAL"/>
              <w:snapToGrid w:val="0"/>
            </w:pPr>
            <w:r>
              <w:t>Start symbol</w:t>
            </w:r>
          </w:p>
        </w:tc>
        <w:tc>
          <w:tcPr>
            <w:tcW w:w="0" w:type="auto"/>
            <w:tcBorders>
              <w:top w:val="single" w:sz="4" w:space="0" w:color="auto"/>
              <w:left w:val="single" w:sz="4" w:space="0" w:color="auto"/>
              <w:bottom w:val="single" w:sz="4" w:space="0" w:color="auto"/>
              <w:right w:val="single" w:sz="4" w:space="0" w:color="auto"/>
            </w:tcBorders>
            <w:vAlign w:val="center"/>
            <w:hideMark/>
          </w:tcPr>
          <w:p w14:paraId="7BF526A3" w14:textId="77777777" w:rsidR="00241417" w:rsidRDefault="00241417" w:rsidP="003A71DE">
            <w:pPr>
              <w:pStyle w:val="TAC"/>
              <w:rPr>
                <w:lang w:eastAsia="zh-CN"/>
              </w:rPr>
            </w:pPr>
            <w:r>
              <w:t>2</w:t>
            </w:r>
          </w:p>
        </w:tc>
      </w:tr>
      <w:tr w:rsidR="00241417" w14:paraId="0323C850" w14:textId="77777777" w:rsidTr="003A71DE">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F63D584" w14:textId="77777777" w:rsidR="00241417" w:rsidRDefault="00241417" w:rsidP="003A71DE">
            <w:pPr>
              <w:spacing w:after="0"/>
              <w:rPr>
                <w:rFonts w:ascii="Arial" w:hAnsi="Arial"/>
                <w:sz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40304D1" w14:textId="77777777" w:rsidR="00241417" w:rsidRDefault="00241417" w:rsidP="003A71DE">
            <w:pPr>
              <w:pStyle w:val="TAL"/>
              <w:snapToGrid w:val="0"/>
            </w:pPr>
            <w:r>
              <w:t>Allocation length</w:t>
            </w:r>
          </w:p>
        </w:tc>
        <w:tc>
          <w:tcPr>
            <w:tcW w:w="0" w:type="auto"/>
            <w:tcBorders>
              <w:top w:val="single" w:sz="4" w:space="0" w:color="auto"/>
              <w:left w:val="single" w:sz="4" w:space="0" w:color="auto"/>
              <w:bottom w:val="single" w:sz="4" w:space="0" w:color="auto"/>
              <w:right w:val="single" w:sz="4" w:space="0" w:color="auto"/>
            </w:tcBorders>
            <w:vAlign w:val="center"/>
            <w:hideMark/>
          </w:tcPr>
          <w:p w14:paraId="22DC93EE" w14:textId="77777777" w:rsidR="00241417" w:rsidRDefault="00241417" w:rsidP="003A71DE">
            <w:pPr>
              <w:pStyle w:val="TAC"/>
              <w:rPr>
                <w:lang w:eastAsia="zh-CN"/>
              </w:rPr>
            </w:pPr>
            <w:r>
              <w:t>12</w:t>
            </w:r>
          </w:p>
        </w:tc>
      </w:tr>
      <w:tr w:rsidR="00241417" w14:paraId="587CFA89" w14:textId="77777777" w:rsidTr="003A71DE">
        <w:trPr>
          <w:trHeight w:val="341"/>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EC8570B" w14:textId="77777777" w:rsidR="00241417" w:rsidRDefault="00241417" w:rsidP="003A71DE">
            <w:pPr>
              <w:pStyle w:val="TAL"/>
              <w:snapToGrid w:val="0"/>
            </w:pPr>
            <w:r>
              <w:t>Frequency domain resource assignment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36BFFA65" w14:textId="77777777" w:rsidR="00241417" w:rsidRDefault="00241417" w:rsidP="003A71DE">
            <w:pPr>
              <w:pStyle w:val="TAL"/>
              <w:snapToGrid w:val="0"/>
            </w:pPr>
            <w:r>
              <w:t>RB assignment</w:t>
            </w:r>
          </w:p>
        </w:tc>
        <w:tc>
          <w:tcPr>
            <w:tcW w:w="0" w:type="auto"/>
            <w:tcBorders>
              <w:top w:val="single" w:sz="4" w:space="0" w:color="auto"/>
              <w:left w:val="single" w:sz="4" w:space="0" w:color="auto"/>
              <w:bottom w:val="single" w:sz="4" w:space="0" w:color="auto"/>
              <w:right w:val="single" w:sz="4" w:space="0" w:color="auto"/>
            </w:tcBorders>
            <w:vAlign w:val="center"/>
            <w:hideMark/>
          </w:tcPr>
          <w:p w14:paraId="7DF5C469" w14:textId="77777777" w:rsidR="00241417" w:rsidRDefault="00241417" w:rsidP="003A71DE">
            <w:pPr>
              <w:pStyle w:val="TAC"/>
              <w:rPr>
                <w:lang w:eastAsia="zh-CN"/>
              </w:rPr>
            </w:pPr>
            <w:r>
              <w:t>Full applicable test bandwidth</w:t>
            </w:r>
          </w:p>
        </w:tc>
      </w:tr>
      <w:tr w:rsidR="00241417" w14:paraId="208F7ACF"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4DA4467D" w14:textId="77777777" w:rsidR="00241417" w:rsidRDefault="00241417" w:rsidP="003A71DE">
            <w:pPr>
              <w:pStyle w:val="TAC"/>
              <w:jc w:val="left"/>
            </w:pPr>
            <w:r>
              <w:rPr>
                <w:lang w:val="en-US"/>
              </w:rPr>
              <w:t>PT</w:t>
            </w:r>
            <w:r>
              <w:rPr>
                <w:lang w:val="en-US" w:eastAsia="zh-CN"/>
              </w:rPr>
              <w:t>-</w:t>
            </w:r>
            <w:r>
              <w:rPr>
                <w:lang w:val="en-US"/>
              </w:rPr>
              <w:t>RS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323118C1" w14:textId="77777777" w:rsidR="00241417" w:rsidRDefault="00241417" w:rsidP="003A71DE">
            <w:pPr>
              <w:pStyle w:val="TAC"/>
            </w:pPr>
            <w:r>
              <w:t>Not configured</w:t>
            </w:r>
          </w:p>
        </w:tc>
      </w:tr>
      <w:tr w:rsidR="00241417" w14:paraId="48F828D9" w14:textId="77777777" w:rsidTr="003A71DE">
        <w:trPr>
          <w:trHeight w:val="58"/>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B6710BF" w14:textId="77777777" w:rsidR="00241417" w:rsidRDefault="00241417" w:rsidP="003A71DE">
            <w:pPr>
              <w:pStyle w:val="TAC"/>
              <w:jc w:val="left"/>
            </w:pPr>
            <w:r>
              <w:t>PRB bundling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7BFA360A" w14:textId="77777777" w:rsidR="00241417" w:rsidRDefault="00241417" w:rsidP="003A71DE">
            <w:pPr>
              <w:pStyle w:val="TAC"/>
            </w:pPr>
            <w:r>
              <w:t>2</w:t>
            </w:r>
          </w:p>
        </w:tc>
      </w:tr>
      <w:tr w:rsidR="00241417" w14:paraId="7B15E284" w14:textId="77777777" w:rsidTr="003A71DE">
        <w:trPr>
          <w:trHeight w:val="58"/>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343F98D" w14:textId="77777777" w:rsidR="00241417" w:rsidRDefault="00241417" w:rsidP="003A71DE">
            <w:pPr>
              <w:pStyle w:val="TAC"/>
              <w:jc w:val="left"/>
            </w:pPr>
            <w:r>
              <w:rPr>
                <w:szCs w:val="22"/>
                <w:lang w:eastAsia="ja-JP"/>
              </w:rPr>
              <w:t>VRB-to-PRB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11C98592" w14:textId="77777777" w:rsidR="00241417" w:rsidRDefault="00241417" w:rsidP="003A71DE">
            <w:pPr>
              <w:pStyle w:val="TAC"/>
            </w:pPr>
            <w:r>
              <w:t>Not interleaved</w:t>
            </w:r>
          </w:p>
        </w:tc>
      </w:tr>
      <w:tr w:rsidR="00241417" w14:paraId="30CF0ECF" w14:textId="77777777" w:rsidTr="003A71DE">
        <w:trPr>
          <w:trHeight w:val="58"/>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19FCFCD" w14:textId="77777777" w:rsidR="00241417" w:rsidRDefault="00241417" w:rsidP="003A71DE">
            <w:pPr>
              <w:pStyle w:val="TAC"/>
              <w:jc w:val="left"/>
            </w:pPr>
            <w:r>
              <w:t>PDSCH &amp; PDSCH DMRS Precoding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3AF3AA0A" w14:textId="77777777" w:rsidR="00241417" w:rsidRDefault="00241417" w:rsidP="003A71DE">
            <w:pPr>
              <w:pStyle w:val="TAC"/>
            </w:pPr>
            <w:r>
              <w:t>Single Panel Type I, Random precoder selection updated per slot, with equal probability of each applicable i</w:t>
            </w:r>
            <w:r>
              <w:rPr>
                <w:vertAlign w:val="subscript"/>
              </w:rPr>
              <w:t>1</w:t>
            </w:r>
            <w:r>
              <w:t>, i</w:t>
            </w:r>
            <w:r>
              <w:rPr>
                <w:vertAlign w:val="subscript"/>
              </w:rPr>
              <w:t>2</w:t>
            </w:r>
            <w:r>
              <w:t xml:space="preserve"> combination, and with PRB bundling granularity</w:t>
            </w:r>
          </w:p>
        </w:tc>
      </w:tr>
      <w:tr w:rsidR="00241417" w14:paraId="3B095AB2" w14:textId="77777777" w:rsidTr="003A71DE">
        <w:trPr>
          <w:jc w:val="center"/>
        </w:trPr>
        <w:tc>
          <w:tcPr>
            <w:tcW w:w="0" w:type="auto"/>
            <w:gridSpan w:val="3"/>
            <w:tcBorders>
              <w:top w:val="single" w:sz="4" w:space="0" w:color="auto"/>
              <w:left w:val="single" w:sz="4" w:space="0" w:color="auto"/>
              <w:bottom w:val="single" w:sz="4" w:space="0" w:color="auto"/>
              <w:right w:val="single" w:sz="4" w:space="0" w:color="auto"/>
            </w:tcBorders>
            <w:vAlign w:val="center"/>
            <w:hideMark/>
          </w:tcPr>
          <w:p w14:paraId="1277F87D" w14:textId="77777777" w:rsidR="00241417" w:rsidRDefault="00241417" w:rsidP="003A71DE">
            <w:pPr>
              <w:pStyle w:val="TAN"/>
            </w:pPr>
            <w:r>
              <w:t>Note 1</w:t>
            </w:r>
            <w:r>
              <w:rPr>
                <w:lang w:eastAsia="zh-CN"/>
              </w:rPr>
              <w:t>:</w:t>
            </w:r>
            <w:r>
              <w:tab/>
              <w:t>The same requirements are applicable to TDD with different UL-DL patterns.</w:t>
            </w:r>
          </w:p>
          <w:p w14:paraId="1F848C5C" w14:textId="1A540E22" w:rsidR="00241417" w:rsidRDefault="00BC408B" w:rsidP="003A71DE">
            <w:pPr>
              <w:pStyle w:val="TAN"/>
            </w:pPr>
            <w:r w:rsidRPr="00CF23CC">
              <w:rPr>
                <w:rFonts w:eastAsia="SimSun"/>
              </w:rPr>
              <w:t xml:space="preserve">Note </w:t>
            </w:r>
            <w:r>
              <w:rPr>
                <w:rFonts w:eastAsia="SimSun"/>
              </w:rPr>
              <w:t>2</w:t>
            </w:r>
            <w:r w:rsidRPr="00CF23CC">
              <w:rPr>
                <w:rFonts w:eastAsia="SimSun"/>
              </w:rPr>
              <w:t>:</w:t>
            </w:r>
            <w:r w:rsidRPr="00CF23CC">
              <w:rPr>
                <w:rFonts w:eastAsia="SimSun"/>
              </w:rPr>
              <w:tab/>
              <w:t>SSB, TRS, CSI-RS, and/or other unspecified test parameters with respect to TS 38.101-4 [</w:t>
            </w:r>
            <w:r>
              <w:rPr>
                <w:rFonts w:eastAsia="SimSun" w:hint="eastAsia"/>
                <w:lang w:eastAsia="zh-CN"/>
              </w:rPr>
              <w:t>28</w:t>
            </w:r>
            <w:r w:rsidRPr="00CF23CC">
              <w:rPr>
                <w:rFonts w:eastAsia="SimSun"/>
              </w:rPr>
              <w:t>] are left up to test implementation, if transmitted or needed.</w:t>
            </w:r>
          </w:p>
        </w:tc>
      </w:tr>
    </w:tbl>
    <w:p w14:paraId="70E93E1F" w14:textId="77777777" w:rsidR="00241417" w:rsidRPr="0021076E" w:rsidRDefault="00241417" w:rsidP="00241417">
      <w:pPr>
        <w:rPr>
          <w:lang w:eastAsia="zh-CN"/>
        </w:rPr>
      </w:pPr>
    </w:p>
    <w:p w14:paraId="3F0114D6" w14:textId="77777777" w:rsidR="00241417" w:rsidRDefault="00241417" w:rsidP="00241417">
      <w:pPr>
        <w:pStyle w:val="H6"/>
        <w:rPr>
          <w:lang w:eastAsia="zh-CN"/>
        </w:rPr>
      </w:pPr>
      <w:r>
        <w:rPr>
          <w:lang w:eastAsia="zh-CN"/>
        </w:rPr>
        <w:t>11.2.2.1.1.2</w:t>
      </w:r>
      <w:r>
        <w:rPr>
          <w:lang w:eastAsia="zh-CN"/>
        </w:rPr>
        <w:tab/>
        <w:t>Minimum requirements</w:t>
      </w:r>
    </w:p>
    <w:p w14:paraId="27892D09" w14:textId="77777777" w:rsidR="00241417" w:rsidRDefault="00241417" w:rsidP="00241417">
      <w:r>
        <w:t>The throughput shall be equal to or larger than the fraction of maximum throughput for the FRCs stated in tables 11.2.2.1</w:t>
      </w:r>
      <w:r>
        <w:rPr>
          <w:lang w:eastAsia="zh-CN"/>
        </w:rPr>
        <w:t>.1.2</w:t>
      </w:r>
      <w:r>
        <w:t>-1 and 11.2.2.1</w:t>
      </w:r>
      <w:r>
        <w:rPr>
          <w:lang w:eastAsia="zh-CN"/>
        </w:rPr>
        <w:t>.1.2</w:t>
      </w:r>
      <w:r>
        <w:t>-</w:t>
      </w:r>
      <w:r>
        <w:rPr>
          <w:lang w:eastAsia="zh-CN"/>
        </w:rPr>
        <w:t>2</w:t>
      </w:r>
      <w:r>
        <w:t xml:space="preserve"> at the given SNR with the test parameters stated in Table 11.2.2.1</w:t>
      </w:r>
      <w:r>
        <w:rPr>
          <w:lang w:eastAsia="zh-CN"/>
        </w:rPr>
        <w:t>.1.1</w:t>
      </w:r>
      <w:r>
        <w:t>-1.</w:t>
      </w:r>
    </w:p>
    <w:p w14:paraId="54917D32" w14:textId="77777777" w:rsidR="00241417" w:rsidRDefault="00241417" w:rsidP="00241417">
      <w:pPr>
        <w:pStyle w:val="TH"/>
      </w:pPr>
      <w:r>
        <w:t>Table 11.2.2.1</w:t>
      </w:r>
      <w:r>
        <w:rPr>
          <w:lang w:eastAsia="zh-CN"/>
        </w:rPr>
        <w:t>.1.2</w:t>
      </w:r>
      <w:r>
        <w:t xml:space="preserve">-1: </w:t>
      </w:r>
      <w:r>
        <w:rPr>
          <w:rFonts w:eastAsia="Malgun Gothic"/>
        </w:rPr>
        <w:t>Minimum requirements for PDSCH with Rank 1</w:t>
      </w:r>
      <w:r>
        <w:rPr>
          <w:rFonts w:eastAsia="Malgun Gothic"/>
          <w:lang w:val="en-US"/>
        </w:rPr>
        <w:t>, 40 MHz Channel Bandwidth, 30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0"/>
        <w:gridCol w:w="1621"/>
        <w:gridCol w:w="1176"/>
        <w:gridCol w:w="1019"/>
      </w:tblGrid>
      <w:tr w:rsidR="00241417" w:rsidRPr="00BD6443" w14:paraId="2CBBC63A"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6C7CD994"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0CB3EA9F" w14:textId="77777777" w:rsidR="00241417" w:rsidRPr="00BD6443" w:rsidRDefault="00241417" w:rsidP="003A71DE">
            <w:pPr>
              <w:pStyle w:val="TAH"/>
            </w:pPr>
            <w:r w:rsidRPr="00BD6443">
              <w:t>Number of demodulation branches</w:t>
            </w:r>
          </w:p>
        </w:tc>
        <w:tc>
          <w:tcPr>
            <w:tcW w:w="1700" w:type="dxa"/>
            <w:tcBorders>
              <w:top w:val="single" w:sz="4" w:space="0" w:color="auto"/>
              <w:left w:val="single" w:sz="4" w:space="0" w:color="auto"/>
              <w:bottom w:val="single" w:sz="4" w:space="0" w:color="auto"/>
              <w:right w:val="single" w:sz="4" w:space="0" w:color="auto"/>
            </w:tcBorders>
            <w:vAlign w:val="center"/>
            <w:hideMark/>
          </w:tcPr>
          <w:p w14:paraId="6D3C7FF2" w14:textId="5D8B4FEC" w:rsidR="00241417" w:rsidRPr="00BD6443" w:rsidRDefault="00241417" w:rsidP="003A71DE">
            <w:pPr>
              <w:pStyle w:val="TAH"/>
            </w:pPr>
            <w:r w:rsidRPr="00BD6443">
              <w:t xml:space="preserve">Propagation conditions and correlation matrix (Annex </w:t>
            </w:r>
            <w:r>
              <w:t>TBA</w:t>
            </w:r>
            <w:r w:rsidRPr="00BD6443">
              <w:t>)</w:t>
            </w:r>
          </w:p>
        </w:tc>
        <w:tc>
          <w:tcPr>
            <w:tcW w:w="1621" w:type="dxa"/>
            <w:tcBorders>
              <w:top w:val="single" w:sz="4" w:space="0" w:color="auto"/>
              <w:left w:val="single" w:sz="4" w:space="0" w:color="auto"/>
              <w:bottom w:val="single" w:sz="4" w:space="0" w:color="auto"/>
              <w:right w:val="single" w:sz="4" w:space="0" w:color="auto"/>
            </w:tcBorders>
            <w:vAlign w:val="center"/>
            <w:hideMark/>
          </w:tcPr>
          <w:p w14:paraId="45054ADE" w14:textId="77777777" w:rsidR="00241417" w:rsidRPr="00BD6443" w:rsidRDefault="00241417" w:rsidP="003A71DE">
            <w:pPr>
              <w:pStyle w:val="TAH"/>
            </w:pPr>
            <w:r w:rsidRPr="00BD6443">
              <w:t>FRC</w:t>
            </w:r>
            <w:r w:rsidRPr="00BD6443">
              <w:br/>
              <w:t>(Annex A)</w:t>
            </w:r>
          </w:p>
        </w:tc>
        <w:tc>
          <w:tcPr>
            <w:tcW w:w="1176" w:type="dxa"/>
            <w:tcBorders>
              <w:top w:val="single" w:sz="4" w:space="0" w:color="auto"/>
              <w:left w:val="single" w:sz="4" w:space="0" w:color="auto"/>
              <w:bottom w:val="single" w:sz="4" w:space="0" w:color="auto"/>
              <w:right w:val="single" w:sz="4" w:space="0" w:color="auto"/>
            </w:tcBorders>
            <w:vAlign w:val="center"/>
            <w:hideMark/>
          </w:tcPr>
          <w:p w14:paraId="77160C79" w14:textId="77777777" w:rsidR="00241417" w:rsidRPr="00BD6443" w:rsidRDefault="00241417" w:rsidP="003A71DE">
            <w:pPr>
              <w:pStyle w:val="TAH"/>
            </w:pPr>
            <w:r>
              <w:rPr>
                <w:lang w:val="en-US" w:eastAsia="zh-CN"/>
              </w:rPr>
              <w:t>Fraction of maximum throughput (%)</w:t>
            </w:r>
          </w:p>
        </w:tc>
        <w:tc>
          <w:tcPr>
            <w:tcW w:w="1019" w:type="dxa"/>
            <w:tcBorders>
              <w:top w:val="single" w:sz="4" w:space="0" w:color="auto"/>
              <w:left w:val="single" w:sz="4" w:space="0" w:color="auto"/>
              <w:bottom w:val="single" w:sz="4" w:space="0" w:color="auto"/>
              <w:right w:val="single" w:sz="4" w:space="0" w:color="auto"/>
            </w:tcBorders>
            <w:vAlign w:val="center"/>
            <w:hideMark/>
          </w:tcPr>
          <w:p w14:paraId="23E97864" w14:textId="77777777" w:rsidR="00241417" w:rsidRPr="00BD6443" w:rsidRDefault="00241417" w:rsidP="003A71DE">
            <w:pPr>
              <w:pStyle w:val="TAH"/>
            </w:pPr>
            <w:r w:rsidRPr="00BD6443">
              <w:t>SNR</w:t>
            </w:r>
          </w:p>
          <w:p w14:paraId="4EBC66AC" w14:textId="77777777" w:rsidR="00241417" w:rsidRPr="00BD6443" w:rsidRDefault="00241417" w:rsidP="003A71DE">
            <w:pPr>
              <w:pStyle w:val="TAH"/>
            </w:pPr>
            <w:r w:rsidRPr="00BD6443">
              <w:t>(dB)</w:t>
            </w:r>
          </w:p>
        </w:tc>
      </w:tr>
      <w:tr w:rsidR="00241417" w14:paraId="6D2991AF" w14:textId="77777777" w:rsidTr="003A71DE">
        <w:trPr>
          <w:trHeight w:val="105"/>
          <w:jc w:val="center"/>
        </w:trPr>
        <w:tc>
          <w:tcPr>
            <w:tcW w:w="1007" w:type="dxa"/>
            <w:vMerge w:val="restart"/>
            <w:tcBorders>
              <w:top w:val="single" w:sz="4" w:space="0" w:color="auto"/>
              <w:left w:val="single" w:sz="4" w:space="0" w:color="auto"/>
              <w:bottom w:val="single" w:sz="4" w:space="0" w:color="auto"/>
              <w:right w:val="single" w:sz="4" w:space="0" w:color="auto"/>
            </w:tcBorders>
            <w:vAlign w:val="center"/>
            <w:hideMark/>
          </w:tcPr>
          <w:p w14:paraId="3AB06E92" w14:textId="77777777" w:rsidR="00241417" w:rsidRDefault="00241417" w:rsidP="003A71DE">
            <w:pPr>
              <w:pStyle w:val="TAC"/>
            </w:pPr>
            <w:r>
              <w:t>2</w:t>
            </w:r>
          </w:p>
        </w:tc>
        <w:tc>
          <w:tcPr>
            <w:tcW w:w="1398" w:type="dxa"/>
            <w:vMerge w:val="restart"/>
            <w:tcBorders>
              <w:top w:val="single" w:sz="4" w:space="0" w:color="auto"/>
              <w:left w:val="single" w:sz="4" w:space="0" w:color="auto"/>
              <w:bottom w:val="single" w:sz="4" w:space="0" w:color="auto"/>
              <w:right w:val="single" w:sz="4" w:space="0" w:color="auto"/>
            </w:tcBorders>
            <w:vAlign w:val="center"/>
            <w:hideMark/>
          </w:tcPr>
          <w:p w14:paraId="1D8EA62A" w14:textId="77777777" w:rsidR="00241417" w:rsidRDefault="00241417" w:rsidP="003A71DE">
            <w:pPr>
              <w:pStyle w:val="TAC"/>
            </w:pPr>
            <w:r>
              <w:t>2</w:t>
            </w:r>
          </w:p>
        </w:tc>
        <w:tc>
          <w:tcPr>
            <w:tcW w:w="1700" w:type="dxa"/>
            <w:tcBorders>
              <w:top w:val="single" w:sz="4" w:space="0" w:color="auto"/>
              <w:left w:val="single" w:sz="4" w:space="0" w:color="auto"/>
              <w:right w:val="single" w:sz="4" w:space="0" w:color="auto"/>
            </w:tcBorders>
            <w:vAlign w:val="center"/>
            <w:hideMark/>
          </w:tcPr>
          <w:p w14:paraId="04896BE8" w14:textId="77777777" w:rsidR="00241417" w:rsidRDefault="00241417" w:rsidP="003A71DE">
            <w:pPr>
              <w:pStyle w:val="TAC"/>
            </w:pPr>
            <w:r>
              <w:rPr>
                <w:lang w:val="en-US" w:eastAsia="zh-CN"/>
              </w:rPr>
              <w:t>TDLA30-10, ULA Low</w:t>
            </w:r>
          </w:p>
        </w:tc>
        <w:tc>
          <w:tcPr>
            <w:tcW w:w="1621" w:type="dxa"/>
            <w:tcBorders>
              <w:top w:val="single" w:sz="4" w:space="0" w:color="auto"/>
              <w:left w:val="single" w:sz="4" w:space="0" w:color="auto"/>
              <w:bottom w:val="single" w:sz="4" w:space="0" w:color="auto"/>
              <w:right w:val="single" w:sz="4" w:space="0" w:color="auto"/>
            </w:tcBorders>
            <w:vAlign w:val="center"/>
            <w:hideMark/>
          </w:tcPr>
          <w:p w14:paraId="26FD642C" w14:textId="77777777" w:rsidR="00241417" w:rsidRDefault="00241417" w:rsidP="003A71DE">
            <w:pPr>
              <w:pStyle w:val="TAC"/>
              <w:rPr>
                <w:lang w:eastAsia="zh-CN"/>
              </w:rPr>
            </w:pPr>
            <w:r w:rsidRPr="00C1362E">
              <w:t>M-FR1-A.3.3-1</w:t>
            </w:r>
          </w:p>
        </w:tc>
        <w:tc>
          <w:tcPr>
            <w:tcW w:w="1176" w:type="dxa"/>
            <w:tcBorders>
              <w:top w:val="single" w:sz="4" w:space="0" w:color="auto"/>
              <w:left w:val="single" w:sz="4" w:space="0" w:color="auto"/>
              <w:bottom w:val="single" w:sz="4" w:space="0" w:color="auto"/>
              <w:right w:val="single" w:sz="4" w:space="0" w:color="auto"/>
            </w:tcBorders>
            <w:vAlign w:val="center"/>
            <w:hideMark/>
          </w:tcPr>
          <w:p w14:paraId="61F8AAFF" w14:textId="77777777" w:rsidR="00241417" w:rsidRDefault="00241417" w:rsidP="003A71DE">
            <w:pPr>
              <w:pStyle w:val="TAC"/>
            </w:pPr>
            <w:r>
              <w:t>70</w:t>
            </w:r>
          </w:p>
        </w:tc>
        <w:tc>
          <w:tcPr>
            <w:tcW w:w="1019" w:type="dxa"/>
            <w:tcBorders>
              <w:top w:val="single" w:sz="4" w:space="0" w:color="auto"/>
              <w:left w:val="single" w:sz="4" w:space="0" w:color="auto"/>
              <w:bottom w:val="single" w:sz="4" w:space="0" w:color="auto"/>
              <w:right w:val="single" w:sz="4" w:space="0" w:color="auto"/>
            </w:tcBorders>
            <w:vAlign w:val="center"/>
            <w:hideMark/>
          </w:tcPr>
          <w:p w14:paraId="1BC4EFA0" w14:textId="77777777" w:rsidR="00241417" w:rsidRDefault="00241417" w:rsidP="003A71DE">
            <w:pPr>
              <w:pStyle w:val="TAC"/>
            </w:pPr>
            <w:r>
              <w:rPr>
                <w:lang w:val="en-US" w:eastAsia="zh-CN"/>
              </w:rPr>
              <w:t>25.3</w:t>
            </w:r>
          </w:p>
        </w:tc>
      </w:tr>
      <w:tr w:rsidR="00241417" w14:paraId="056A9FB1" w14:textId="77777777" w:rsidTr="003A71DE">
        <w:trPr>
          <w:trHeight w:val="105"/>
          <w:jc w:val="center"/>
        </w:trPr>
        <w:tc>
          <w:tcPr>
            <w:tcW w:w="1007" w:type="dxa"/>
            <w:vMerge/>
            <w:tcBorders>
              <w:top w:val="single" w:sz="4" w:space="0" w:color="auto"/>
              <w:left w:val="single" w:sz="4" w:space="0" w:color="auto"/>
              <w:bottom w:val="single" w:sz="4" w:space="0" w:color="auto"/>
              <w:right w:val="single" w:sz="4" w:space="0" w:color="auto"/>
            </w:tcBorders>
            <w:vAlign w:val="center"/>
            <w:hideMark/>
          </w:tcPr>
          <w:p w14:paraId="6EC6C821" w14:textId="77777777" w:rsidR="00241417" w:rsidRDefault="00241417" w:rsidP="003A71DE">
            <w:pPr>
              <w:pStyle w:val="TAC"/>
            </w:pPr>
          </w:p>
        </w:tc>
        <w:tc>
          <w:tcPr>
            <w:tcW w:w="1398" w:type="dxa"/>
            <w:vMerge/>
            <w:tcBorders>
              <w:top w:val="single" w:sz="4" w:space="0" w:color="auto"/>
              <w:left w:val="single" w:sz="4" w:space="0" w:color="auto"/>
              <w:bottom w:val="single" w:sz="4" w:space="0" w:color="auto"/>
              <w:right w:val="single" w:sz="4" w:space="0" w:color="auto"/>
            </w:tcBorders>
            <w:vAlign w:val="center"/>
            <w:hideMark/>
          </w:tcPr>
          <w:p w14:paraId="5AF88702" w14:textId="77777777" w:rsidR="00241417" w:rsidRDefault="00241417" w:rsidP="003A71DE">
            <w:pPr>
              <w:pStyle w:val="TAC"/>
            </w:pPr>
          </w:p>
        </w:tc>
        <w:tc>
          <w:tcPr>
            <w:tcW w:w="1700" w:type="dxa"/>
            <w:tcBorders>
              <w:left w:val="single" w:sz="4" w:space="0" w:color="auto"/>
              <w:bottom w:val="single" w:sz="4" w:space="0" w:color="auto"/>
              <w:right w:val="single" w:sz="4" w:space="0" w:color="auto"/>
            </w:tcBorders>
            <w:vAlign w:val="center"/>
            <w:hideMark/>
          </w:tcPr>
          <w:p w14:paraId="0B603CA9" w14:textId="77777777" w:rsidR="00241417" w:rsidRDefault="00241417" w:rsidP="003A71DE">
            <w:pPr>
              <w:pStyle w:val="TAC"/>
            </w:pPr>
            <w:r w:rsidRPr="00465C10">
              <w:rPr>
                <w:lang w:val="en-US" w:eastAsia="zh-CN"/>
              </w:rPr>
              <w:t>TDLA30-10, ULA Low</w:t>
            </w:r>
          </w:p>
        </w:tc>
        <w:tc>
          <w:tcPr>
            <w:tcW w:w="1621" w:type="dxa"/>
            <w:tcBorders>
              <w:top w:val="single" w:sz="4" w:space="0" w:color="auto"/>
              <w:left w:val="single" w:sz="4" w:space="0" w:color="auto"/>
              <w:bottom w:val="single" w:sz="4" w:space="0" w:color="auto"/>
              <w:right w:val="single" w:sz="4" w:space="0" w:color="auto"/>
            </w:tcBorders>
            <w:vAlign w:val="center"/>
            <w:hideMark/>
          </w:tcPr>
          <w:p w14:paraId="0603C636" w14:textId="77777777" w:rsidR="00241417" w:rsidRDefault="00241417" w:rsidP="003A71DE">
            <w:pPr>
              <w:pStyle w:val="TAC"/>
              <w:rPr>
                <w:lang w:eastAsia="zh-CN"/>
              </w:rPr>
            </w:pPr>
            <w:r w:rsidRPr="00201813">
              <w:rPr>
                <w:lang w:eastAsia="zh-CN"/>
              </w:rPr>
              <w:t>M-FR1-A.3.1-1</w:t>
            </w:r>
          </w:p>
        </w:tc>
        <w:tc>
          <w:tcPr>
            <w:tcW w:w="1176" w:type="dxa"/>
            <w:tcBorders>
              <w:top w:val="single" w:sz="4" w:space="0" w:color="auto"/>
              <w:left w:val="single" w:sz="4" w:space="0" w:color="auto"/>
              <w:bottom w:val="single" w:sz="4" w:space="0" w:color="auto"/>
              <w:right w:val="single" w:sz="4" w:space="0" w:color="auto"/>
            </w:tcBorders>
            <w:vAlign w:val="center"/>
            <w:hideMark/>
          </w:tcPr>
          <w:p w14:paraId="59D7BC8A" w14:textId="77777777" w:rsidR="00241417" w:rsidRDefault="00241417" w:rsidP="003A71DE">
            <w:pPr>
              <w:pStyle w:val="TAC"/>
            </w:pPr>
            <w:r>
              <w:t>30</w:t>
            </w:r>
          </w:p>
        </w:tc>
        <w:tc>
          <w:tcPr>
            <w:tcW w:w="1019" w:type="dxa"/>
            <w:tcBorders>
              <w:top w:val="single" w:sz="4" w:space="0" w:color="auto"/>
              <w:left w:val="single" w:sz="4" w:space="0" w:color="auto"/>
              <w:bottom w:val="single" w:sz="4" w:space="0" w:color="auto"/>
              <w:right w:val="single" w:sz="4" w:space="0" w:color="auto"/>
            </w:tcBorders>
            <w:vAlign w:val="center"/>
            <w:hideMark/>
          </w:tcPr>
          <w:p w14:paraId="4468D971" w14:textId="77777777" w:rsidR="00241417" w:rsidRDefault="00241417" w:rsidP="003A71DE">
            <w:pPr>
              <w:pStyle w:val="TAC"/>
            </w:pPr>
            <w:r w:rsidRPr="00465C10">
              <w:rPr>
                <w:lang w:val="en-US" w:eastAsia="zh-CN"/>
              </w:rPr>
              <w:t>2.2</w:t>
            </w:r>
          </w:p>
        </w:tc>
      </w:tr>
    </w:tbl>
    <w:p w14:paraId="667D0265" w14:textId="77777777" w:rsidR="00241417" w:rsidRDefault="00241417" w:rsidP="00241417">
      <w:pPr>
        <w:rPr>
          <w:lang w:eastAsia="zh-CN"/>
        </w:rPr>
      </w:pPr>
    </w:p>
    <w:p w14:paraId="64D1C643" w14:textId="77777777" w:rsidR="00241417" w:rsidRDefault="00241417" w:rsidP="00241417">
      <w:pPr>
        <w:pStyle w:val="TH"/>
      </w:pPr>
      <w:r>
        <w:lastRenderedPageBreak/>
        <w:t>Table 11.2.2.1</w:t>
      </w:r>
      <w:r>
        <w:rPr>
          <w:lang w:eastAsia="zh-CN"/>
        </w:rPr>
        <w:t>.1.2</w:t>
      </w:r>
      <w:r>
        <w:t xml:space="preserve">-2: </w:t>
      </w:r>
      <w:r>
        <w:rPr>
          <w:rFonts w:eastAsia="Malgun Gothic"/>
        </w:rPr>
        <w:t>Minimum requirements for PDSCH with Rank 2, 40 MHz Channel Bandwidth, 30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0"/>
        <w:gridCol w:w="1621"/>
        <w:gridCol w:w="1176"/>
        <w:gridCol w:w="1019"/>
      </w:tblGrid>
      <w:tr w:rsidR="00241417" w:rsidRPr="00BD6443" w14:paraId="316DD180"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5EAFF5EB"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1F7A22B2" w14:textId="77777777" w:rsidR="00241417" w:rsidRPr="00BD6443" w:rsidRDefault="00241417" w:rsidP="003A71DE">
            <w:pPr>
              <w:pStyle w:val="TAH"/>
            </w:pPr>
            <w:r w:rsidRPr="00BD6443">
              <w:t>Number of demodulation branches</w:t>
            </w:r>
          </w:p>
        </w:tc>
        <w:tc>
          <w:tcPr>
            <w:tcW w:w="1700" w:type="dxa"/>
            <w:tcBorders>
              <w:top w:val="single" w:sz="4" w:space="0" w:color="auto"/>
              <w:left w:val="single" w:sz="4" w:space="0" w:color="auto"/>
              <w:bottom w:val="single" w:sz="4" w:space="0" w:color="auto"/>
              <w:right w:val="single" w:sz="4" w:space="0" w:color="auto"/>
            </w:tcBorders>
            <w:vAlign w:val="center"/>
            <w:hideMark/>
          </w:tcPr>
          <w:p w14:paraId="2B91D6D7" w14:textId="4485FFB4" w:rsidR="00241417" w:rsidRPr="00BD6443" w:rsidRDefault="00241417" w:rsidP="003A71DE">
            <w:pPr>
              <w:pStyle w:val="TAH"/>
            </w:pPr>
            <w:r w:rsidRPr="00BD6443">
              <w:t xml:space="preserve">Propagation conditions and correlation matrix (Annex </w:t>
            </w:r>
            <w:r>
              <w:t>TBA</w:t>
            </w:r>
            <w:r w:rsidRPr="00BD6443">
              <w:t>)</w:t>
            </w:r>
          </w:p>
        </w:tc>
        <w:tc>
          <w:tcPr>
            <w:tcW w:w="1621" w:type="dxa"/>
            <w:tcBorders>
              <w:top w:val="single" w:sz="4" w:space="0" w:color="auto"/>
              <w:left w:val="single" w:sz="4" w:space="0" w:color="auto"/>
              <w:bottom w:val="single" w:sz="4" w:space="0" w:color="auto"/>
              <w:right w:val="single" w:sz="4" w:space="0" w:color="auto"/>
            </w:tcBorders>
            <w:vAlign w:val="center"/>
            <w:hideMark/>
          </w:tcPr>
          <w:p w14:paraId="14EBB739" w14:textId="77777777" w:rsidR="00241417" w:rsidRPr="00BD6443" w:rsidRDefault="00241417" w:rsidP="003A71DE">
            <w:pPr>
              <w:pStyle w:val="TAH"/>
            </w:pPr>
            <w:r w:rsidRPr="00BD6443">
              <w:t>FRC</w:t>
            </w:r>
            <w:r w:rsidRPr="00BD6443">
              <w:br/>
              <w:t>(Annex A)</w:t>
            </w:r>
          </w:p>
        </w:tc>
        <w:tc>
          <w:tcPr>
            <w:tcW w:w="1176" w:type="dxa"/>
            <w:tcBorders>
              <w:top w:val="single" w:sz="4" w:space="0" w:color="auto"/>
              <w:left w:val="single" w:sz="4" w:space="0" w:color="auto"/>
              <w:bottom w:val="single" w:sz="4" w:space="0" w:color="auto"/>
              <w:right w:val="single" w:sz="4" w:space="0" w:color="auto"/>
            </w:tcBorders>
            <w:vAlign w:val="center"/>
            <w:hideMark/>
          </w:tcPr>
          <w:p w14:paraId="31E0B344" w14:textId="77777777" w:rsidR="00241417" w:rsidRPr="00BD6443" w:rsidRDefault="00241417" w:rsidP="003A71DE">
            <w:pPr>
              <w:pStyle w:val="TAH"/>
            </w:pPr>
            <w:r>
              <w:rPr>
                <w:lang w:val="en-US" w:eastAsia="zh-CN"/>
              </w:rPr>
              <w:t>Fraction of maximum throughput (%)</w:t>
            </w:r>
          </w:p>
        </w:tc>
        <w:tc>
          <w:tcPr>
            <w:tcW w:w="1019" w:type="dxa"/>
            <w:tcBorders>
              <w:top w:val="single" w:sz="4" w:space="0" w:color="auto"/>
              <w:left w:val="single" w:sz="4" w:space="0" w:color="auto"/>
              <w:bottom w:val="single" w:sz="4" w:space="0" w:color="auto"/>
              <w:right w:val="single" w:sz="4" w:space="0" w:color="auto"/>
            </w:tcBorders>
            <w:vAlign w:val="center"/>
            <w:hideMark/>
          </w:tcPr>
          <w:p w14:paraId="1449FBF7" w14:textId="77777777" w:rsidR="00241417" w:rsidRPr="00BD6443" w:rsidRDefault="00241417" w:rsidP="003A71DE">
            <w:pPr>
              <w:pStyle w:val="TAH"/>
            </w:pPr>
            <w:r w:rsidRPr="00BD6443">
              <w:t>SNR</w:t>
            </w:r>
          </w:p>
          <w:p w14:paraId="7553F869" w14:textId="77777777" w:rsidR="00241417" w:rsidRPr="00BD6443" w:rsidRDefault="00241417" w:rsidP="003A71DE">
            <w:pPr>
              <w:pStyle w:val="TAH"/>
            </w:pPr>
            <w:r w:rsidRPr="00BD6443">
              <w:t>(dB)</w:t>
            </w:r>
          </w:p>
        </w:tc>
      </w:tr>
      <w:tr w:rsidR="00241417" w14:paraId="10BB24C9" w14:textId="77777777" w:rsidTr="003A71DE">
        <w:trPr>
          <w:trHeight w:val="828"/>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5D0AF0FE" w14:textId="77777777" w:rsidR="00241417" w:rsidRDefault="00241417" w:rsidP="003A71DE">
            <w:pPr>
              <w:pStyle w:val="TAC"/>
            </w:pPr>
            <w:r>
              <w:t>2</w:t>
            </w:r>
          </w:p>
        </w:tc>
        <w:tc>
          <w:tcPr>
            <w:tcW w:w="1398" w:type="dxa"/>
            <w:tcBorders>
              <w:top w:val="single" w:sz="4" w:space="0" w:color="auto"/>
              <w:left w:val="single" w:sz="4" w:space="0" w:color="auto"/>
              <w:bottom w:val="single" w:sz="4" w:space="0" w:color="auto"/>
              <w:right w:val="single" w:sz="4" w:space="0" w:color="auto"/>
            </w:tcBorders>
            <w:vAlign w:val="center"/>
            <w:hideMark/>
          </w:tcPr>
          <w:p w14:paraId="07CC23C8" w14:textId="77777777" w:rsidR="00241417" w:rsidRDefault="00241417" w:rsidP="003A71DE">
            <w:pPr>
              <w:pStyle w:val="TAC"/>
            </w:pPr>
            <w:r>
              <w:t>2</w:t>
            </w:r>
          </w:p>
        </w:tc>
        <w:tc>
          <w:tcPr>
            <w:tcW w:w="1700" w:type="dxa"/>
            <w:tcBorders>
              <w:top w:val="single" w:sz="4" w:space="0" w:color="auto"/>
              <w:left w:val="single" w:sz="4" w:space="0" w:color="auto"/>
              <w:right w:val="single" w:sz="4" w:space="0" w:color="auto"/>
            </w:tcBorders>
            <w:vAlign w:val="center"/>
            <w:hideMark/>
          </w:tcPr>
          <w:p w14:paraId="3D856B86" w14:textId="77777777" w:rsidR="00241417" w:rsidRDefault="00241417" w:rsidP="003A71DE">
            <w:pPr>
              <w:pStyle w:val="TAC"/>
            </w:pPr>
            <w:r>
              <w:rPr>
                <w:lang w:val="en-US" w:eastAsia="zh-CN"/>
              </w:rPr>
              <w:t>TDLA30-10, ULA Low</w:t>
            </w:r>
          </w:p>
        </w:tc>
        <w:tc>
          <w:tcPr>
            <w:tcW w:w="1621" w:type="dxa"/>
            <w:tcBorders>
              <w:top w:val="single" w:sz="4" w:space="0" w:color="auto"/>
              <w:left w:val="single" w:sz="4" w:space="0" w:color="auto"/>
              <w:right w:val="single" w:sz="4" w:space="0" w:color="auto"/>
            </w:tcBorders>
            <w:vAlign w:val="center"/>
            <w:hideMark/>
          </w:tcPr>
          <w:p w14:paraId="427AD28A" w14:textId="77777777" w:rsidR="00241417" w:rsidRDefault="00241417" w:rsidP="003A71DE">
            <w:pPr>
              <w:pStyle w:val="TAC"/>
              <w:rPr>
                <w:lang w:eastAsia="zh-CN"/>
              </w:rPr>
            </w:pPr>
            <w:r w:rsidRPr="00C1362E">
              <w:t>M-FR1-A.3.2-1</w:t>
            </w:r>
          </w:p>
        </w:tc>
        <w:tc>
          <w:tcPr>
            <w:tcW w:w="1176" w:type="dxa"/>
            <w:tcBorders>
              <w:top w:val="single" w:sz="4" w:space="0" w:color="auto"/>
              <w:left w:val="single" w:sz="4" w:space="0" w:color="auto"/>
              <w:right w:val="single" w:sz="4" w:space="0" w:color="auto"/>
            </w:tcBorders>
            <w:vAlign w:val="center"/>
            <w:hideMark/>
          </w:tcPr>
          <w:p w14:paraId="7CEBD052" w14:textId="77777777" w:rsidR="00241417" w:rsidRDefault="00241417" w:rsidP="003A71DE">
            <w:pPr>
              <w:pStyle w:val="TAC"/>
            </w:pPr>
            <w:r>
              <w:t>70</w:t>
            </w:r>
          </w:p>
        </w:tc>
        <w:tc>
          <w:tcPr>
            <w:tcW w:w="1019" w:type="dxa"/>
            <w:tcBorders>
              <w:top w:val="single" w:sz="4" w:space="0" w:color="auto"/>
              <w:left w:val="single" w:sz="4" w:space="0" w:color="auto"/>
              <w:right w:val="single" w:sz="4" w:space="0" w:color="auto"/>
            </w:tcBorders>
            <w:vAlign w:val="center"/>
            <w:hideMark/>
          </w:tcPr>
          <w:p w14:paraId="7DA3D1F8" w14:textId="77777777" w:rsidR="00241417" w:rsidRDefault="00241417" w:rsidP="003A71DE">
            <w:pPr>
              <w:pStyle w:val="TAC"/>
            </w:pPr>
            <w:r>
              <w:rPr>
                <w:lang w:val="en-US" w:eastAsia="zh-CN"/>
              </w:rPr>
              <w:t>19.8</w:t>
            </w:r>
          </w:p>
        </w:tc>
      </w:tr>
    </w:tbl>
    <w:p w14:paraId="767EF913" w14:textId="77777777" w:rsidR="00241417" w:rsidRDefault="00241417" w:rsidP="00241417"/>
    <w:p w14:paraId="002647BD" w14:textId="63AF769A" w:rsidR="00241417" w:rsidRDefault="00241417" w:rsidP="00241417">
      <w:pPr>
        <w:pStyle w:val="Heading5"/>
        <w:rPr>
          <w:lang w:val="nb-NO" w:eastAsia="zh-CN"/>
        </w:rPr>
      </w:pPr>
      <w:bookmarkStart w:id="7985" w:name="_Toc74583501"/>
      <w:bookmarkStart w:id="7986" w:name="_Toc76542314"/>
      <w:bookmarkStart w:id="7987" w:name="_Toc82450296"/>
      <w:bookmarkStart w:id="7988" w:name="_Toc82450944"/>
      <w:bookmarkStart w:id="7989" w:name="_Toc89949333"/>
      <w:bookmarkStart w:id="7990" w:name="_Toc98755722"/>
      <w:bookmarkStart w:id="7991" w:name="_Toc98763314"/>
      <w:bookmarkStart w:id="7992" w:name="_Toc106184243"/>
      <w:r w:rsidRPr="0006234D">
        <w:rPr>
          <w:lang w:val="nb-NO" w:eastAsia="zh-CN"/>
        </w:rPr>
        <w:t>11.2.2.1.2</w:t>
      </w:r>
      <w:r>
        <w:rPr>
          <w:lang w:val="nb-NO" w:eastAsia="zh-CN"/>
        </w:rPr>
        <w:tab/>
      </w:r>
      <w:r w:rsidRPr="0006234D">
        <w:rPr>
          <w:lang w:val="nb-NO" w:eastAsia="zh-CN"/>
        </w:rPr>
        <w:t>Performance requirements for PDCCH</w:t>
      </w:r>
      <w:bookmarkEnd w:id="7985"/>
      <w:bookmarkEnd w:id="7986"/>
      <w:bookmarkEnd w:id="7987"/>
      <w:bookmarkEnd w:id="7988"/>
      <w:bookmarkEnd w:id="7989"/>
      <w:bookmarkEnd w:id="7990"/>
      <w:bookmarkEnd w:id="7991"/>
      <w:bookmarkEnd w:id="7992"/>
    </w:p>
    <w:p w14:paraId="579ADE9F" w14:textId="77777777" w:rsidR="00241417" w:rsidRDefault="00241417" w:rsidP="00241417">
      <w:pPr>
        <w:pStyle w:val="H6"/>
        <w:rPr>
          <w:lang w:eastAsia="zh-CN"/>
        </w:rPr>
      </w:pPr>
      <w:r>
        <w:rPr>
          <w:lang w:eastAsia="zh-CN"/>
        </w:rPr>
        <w:t>11.2.2.1.2.1</w:t>
      </w:r>
      <w:r>
        <w:rPr>
          <w:lang w:eastAsia="zh-CN"/>
        </w:rPr>
        <w:tab/>
        <w:t>General</w:t>
      </w:r>
    </w:p>
    <w:p w14:paraId="6B5B661B" w14:textId="77777777" w:rsidR="00241417" w:rsidRPr="0021076E" w:rsidRDefault="00241417" w:rsidP="00241417">
      <w:r>
        <w:t>The receiver characteristics of the PDCCH are determined by the probability of miss-detection of the Downlink Scheduling Grant (Pm-dsg).</w:t>
      </w:r>
    </w:p>
    <w:p w14:paraId="2C691B10" w14:textId="77777777" w:rsidR="00241417" w:rsidRDefault="00241417" w:rsidP="00241417">
      <w:pPr>
        <w:pStyle w:val="TH"/>
      </w:pPr>
      <w:r>
        <w:t>Table: 11.2.2.1.2.1-1 Test parameters for</w:t>
      </w:r>
      <w:r w:rsidRPr="00D66D54">
        <w:t xml:space="preserve"> </w:t>
      </w:r>
      <w:r>
        <w:t xml:space="preserve">PDCCH testing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42"/>
        <w:gridCol w:w="6789"/>
      </w:tblGrid>
      <w:tr w:rsidR="00241417" w14:paraId="0178E264"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73FF506" w14:textId="77777777" w:rsidR="00241417" w:rsidRDefault="00241417" w:rsidP="003A71DE">
            <w:pPr>
              <w:pStyle w:val="TAH"/>
              <w:snapToGrid w:val="0"/>
              <w:rPr>
                <w:rFonts w:cs="Arial"/>
              </w:rPr>
            </w:pPr>
            <w:r>
              <w:rPr>
                <w:rFonts w:cs="Arial"/>
              </w:rPr>
              <w:t>Parameter</w:t>
            </w:r>
          </w:p>
        </w:tc>
        <w:tc>
          <w:tcPr>
            <w:tcW w:w="0" w:type="auto"/>
            <w:tcBorders>
              <w:top w:val="single" w:sz="4" w:space="0" w:color="auto"/>
              <w:left w:val="single" w:sz="4" w:space="0" w:color="auto"/>
              <w:bottom w:val="single" w:sz="4" w:space="0" w:color="auto"/>
              <w:right w:val="single" w:sz="4" w:space="0" w:color="auto"/>
            </w:tcBorders>
            <w:vAlign w:val="center"/>
            <w:hideMark/>
          </w:tcPr>
          <w:p w14:paraId="4BA7DA92" w14:textId="77777777" w:rsidR="00241417" w:rsidRDefault="00241417" w:rsidP="003A71DE">
            <w:pPr>
              <w:pStyle w:val="TAH"/>
              <w:snapToGrid w:val="0"/>
              <w:rPr>
                <w:rFonts w:cs="Arial"/>
              </w:rPr>
            </w:pPr>
            <w:r>
              <w:rPr>
                <w:rFonts w:cs="Arial"/>
              </w:rPr>
              <w:t>Value</w:t>
            </w:r>
          </w:p>
        </w:tc>
      </w:tr>
      <w:tr w:rsidR="00241417" w14:paraId="5250D31C"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591D785" w14:textId="77777777" w:rsidR="00241417" w:rsidRDefault="00241417" w:rsidP="003A71DE">
            <w:pPr>
              <w:pStyle w:val="TAL"/>
            </w:pPr>
            <w:r>
              <w:t>Cyclic prefix</w:t>
            </w:r>
          </w:p>
        </w:tc>
        <w:tc>
          <w:tcPr>
            <w:tcW w:w="0" w:type="auto"/>
            <w:tcBorders>
              <w:top w:val="single" w:sz="4" w:space="0" w:color="auto"/>
              <w:left w:val="single" w:sz="4" w:space="0" w:color="auto"/>
              <w:bottom w:val="single" w:sz="4" w:space="0" w:color="auto"/>
              <w:right w:val="single" w:sz="4" w:space="0" w:color="auto"/>
            </w:tcBorders>
            <w:vAlign w:val="center"/>
            <w:hideMark/>
          </w:tcPr>
          <w:p w14:paraId="1705BDD8" w14:textId="77777777" w:rsidR="00241417" w:rsidRDefault="00241417" w:rsidP="003A71DE">
            <w:pPr>
              <w:pStyle w:val="TAC"/>
              <w:rPr>
                <w:lang w:eastAsia="zh-CN"/>
              </w:rPr>
            </w:pPr>
            <w:r>
              <w:rPr>
                <w:lang w:eastAsia="zh-CN"/>
              </w:rPr>
              <w:t>Normal</w:t>
            </w:r>
          </w:p>
        </w:tc>
      </w:tr>
      <w:tr w:rsidR="00241417" w14:paraId="58E86BA8"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1BFADE2" w14:textId="77777777" w:rsidR="00241417" w:rsidRDefault="00241417" w:rsidP="003A71DE">
            <w:pPr>
              <w:pStyle w:val="TAL"/>
            </w:pPr>
            <w:r>
              <w:t>Default TDD UL-DL pattern (Note 1)</w:t>
            </w:r>
          </w:p>
        </w:tc>
        <w:tc>
          <w:tcPr>
            <w:tcW w:w="0" w:type="auto"/>
            <w:tcBorders>
              <w:top w:val="single" w:sz="4" w:space="0" w:color="auto"/>
              <w:left w:val="single" w:sz="4" w:space="0" w:color="auto"/>
              <w:bottom w:val="single" w:sz="4" w:space="0" w:color="auto"/>
              <w:right w:val="single" w:sz="4" w:space="0" w:color="auto"/>
            </w:tcBorders>
            <w:vAlign w:val="center"/>
            <w:hideMark/>
          </w:tcPr>
          <w:p w14:paraId="317E64A9" w14:textId="77777777" w:rsidR="00241417" w:rsidRDefault="00241417" w:rsidP="003A71DE">
            <w:pPr>
              <w:pStyle w:val="TAC"/>
            </w:pPr>
            <w:r>
              <w:t>7D1S2U, S=6D:4G:4U</w:t>
            </w:r>
          </w:p>
        </w:tc>
      </w:tr>
      <w:tr w:rsidR="00241417" w14:paraId="14B963D0"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776E8B7" w14:textId="77777777" w:rsidR="00241417" w:rsidRDefault="00241417" w:rsidP="003A71DE">
            <w:pPr>
              <w:pStyle w:val="TAL"/>
            </w:pPr>
            <w:r>
              <w:t>DM-RS sequence generation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57CAA8C5" w14:textId="77777777" w:rsidR="00241417" w:rsidRDefault="00241417" w:rsidP="003A71DE">
            <w:pPr>
              <w:pStyle w:val="TAC"/>
            </w:pPr>
            <w:r>
              <w:t>N</w:t>
            </w:r>
            <w:r>
              <w:rPr>
                <w:vertAlign w:val="subscript"/>
              </w:rPr>
              <w:t>ID</w:t>
            </w:r>
            <w:r>
              <w:t>=0</w:t>
            </w:r>
          </w:p>
        </w:tc>
      </w:tr>
      <w:tr w:rsidR="00241417" w14:paraId="12FE76E7"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736D8AA" w14:textId="77777777" w:rsidR="00241417" w:rsidRDefault="00241417" w:rsidP="003A71DE">
            <w:pPr>
              <w:pStyle w:val="TAL"/>
            </w:pPr>
            <w:r>
              <w:t>Frequency domain resource allocation for CORESET</w:t>
            </w:r>
          </w:p>
        </w:tc>
        <w:tc>
          <w:tcPr>
            <w:tcW w:w="0" w:type="auto"/>
            <w:tcBorders>
              <w:top w:val="single" w:sz="4" w:space="0" w:color="auto"/>
              <w:left w:val="single" w:sz="4" w:space="0" w:color="auto"/>
              <w:bottom w:val="single" w:sz="4" w:space="0" w:color="auto"/>
              <w:right w:val="single" w:sz="4" w:space="0" w:color="auto"/>
            </w:tcBorders>
            <w:vAlign w:val="center"/>
            <w:hideMark/>
          </w:tcPr>
          <w:p w14:paraId="7E22AAC6" w14:textId="77777777" w:rsidR="00241417" w:rsidRDefault="00241417" w:rsidP="003A71DE">
            <w:pPr>
              <w:pStyle w:val="TAC"/>
              <w:rPr>
                <w:lang w:eastAsia="zh-CN"/>
              </w:rPr>
            </w:pPr>
            <w:r>
              <w:rPr>
                <w:lang w:eastAsia="zh-CN"/>
              </w:rPr>
              <w:t>Start from RB = 0 with contiguous RB allocation</w:t>
            </w:r>
          </w:p>
        </w:tc>
      </w:tr>
      <w:tr w:rsidR="00241417" w14:paraId="5B1699FD"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72430E4" w14:textId="77777777" w:rsidR="00241417" w:rsidRDefault="00241417" w:rsidP="003A71DE">
            <w:pPr>
              <w:pStyle w:val="TAL"/>
            </w:pPr>
            <w:r>
              <w:t>CCE to REG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527484C7" w14:textId="77777777" w:rsidR="00241417" w:rsidRDefault="00241417" w:rsidP="003A71DE">
            <w:pPr>
              <w:pStyle w:val="TAC"/>
            </w:pPr>
            <w:r>
              <w:t>Interleaved</w:t>
            </w:r>
          </w:p>
        </w:tc>
      </w:tr>
      <w:tr w:rsidR="00241417" w14:paraId="504D3BA3"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D1E54A2" w14:textId="77777777" w:rsidR="00241417" w:rsidRDefault="00241417" w:rsidP="003A71DE">
            <w:pPr>
              <w:pStyle w:val="TAL"/>
            </w:pPr>
            <w:r>
              <w:t>Interleaver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5FA17688" w14:textId="77777777" w:rsidR="00241417" w:rsidRDefault="00241417" w:rsidP="003A71DE">
            <w:pPr>
              <w:pStyle w:val="TAC"/>
              <w:rPr>
                <w:lang w:eastAsia="zh-CN"/>
              </w:rPr>
            </w:pPr>
            <w:r>
              <w:rPr>
                <w:lang w:eastAsia="zh-CN"/>
              </w:rPr>
              <w:t>3</w:t>
            </w:r>
          </w:p>
        </w:tc>
      </w:tr>
      <w:tr w:rsidR="00241417" w14:paraId="5028BEE6"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DF5BC33" w14:textId="77777777" w:rsidR="00241417" w:rsidRDefault="00241417" w:rsidP="003A71DE">
            <w:pPr>
              <w:pStyle w:val="TAL"/>
            </w:pPr>
            <w:r>
              <w:t>REG bundle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1741BE28" w14:textId="77777777" w:rsidR="00241417" w:rsidRDefault="00241417" w:rsidP="003A71DE">
            <w:pPr>
              <w:pStyle w:val="TAC"/>
              <w:rPr>
                <w:lang w:eastAsia="zh-CN"/>
              </w:rPr>
            </w:pPr>
            <w:r>
              <w:rPr>
                <w:lang w:eastAsia="zh-CN"/>
              </w:rPr>
              <w:t>6 for test with aggregation level 8</w:t>
            </w:r>
            <w:r>
              <w:rPr>
                <w:lang w:eastAsia="zh-CN"/>
              </w:rPr>
              <w:br/>
              <w:t>2 for others</w:t>
            </w:r>
          </w:p>
        </w:tc>
      </w:tr>
      <w:tr w:rsidR="00241417" w14:paraId="27CD364C"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6306A80" w14:textId="77777777" w:rsidR="00241417" w:rsidRDefault="00241417" w:rsidP="003A71DE">
            <w:pPr>
              <w:pStyle w:val="TAL"/>
            </w:pPr>
            <w:r>
              <w:rPr>
                <w:rFonts w:cs="Arial"/>
                <w:lang w:eastAsia="zh-CN"/>
              </w:rPr>
              <w:t>Shift Index</w:t>
            </w:r>
          </w:p>
        </w:tc>
        <w:tc>
          <w:tcPr>
            <w:tcW w:w="0" w:type="auto"/>
            <w:tcBorders>
              <w:top w:val="single" w:sz="4" w:space="0" w:color="auto"/>
              <w:left w:val="single" w:sz="4" w:space="0" w:color="auto"/>
              <w:bottom w:val="single" w:sz="4" w:space="0" w:color="auto"/>
              <w:right w:val="single" w:sz="4" w:space="0" w:color="auto"/>
            </w:tcBorders>
            <w:vAlign w:val="center"/>
            <w:hideMark/>
          </w:tcPr>
          <w:p w14:paraId="4A728E63" w14:textId="77777777" w:rsidR="00241417" w:rsidRDefault="00241417" w:rsidP="003A71DE">
            <w:pPr>
              <w:pStyle w:val="TAC"/>
              <w:rPr>
                <w:lang w:eastAsia="zh-CN"/>
              </w:rPr>
            </w:pPr>
            <w:r>
              <w:rPr>
                <w:lang w:eastAsia="zh-CN"/>
              </w:rPr>
              <w:t>0</w:t>
            </w:r>
          </w:p>
        </w:tc>
      </w:tr>
      <w:tr w:rsidR="00241417" w14:paraId="01CDAEA8"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6A8BC48" w14:textId="77777777" w:rsidR="00241417" w:rsidRDefault="00241417" w:rsidP="003A71DE">
            <w:pPr>
              <w:pStyle w:val="TAL"/>
              <w:rPr>
                <w:rFonts w:cs="Arial"/>
                <w:lang w:eastAsia="zh-CN"/>
              </w:rPr>
            </w:pPr>
            <w:r>
              <w:t>Slots for PDCCH monitoring</w:t>
            </w:r>
          </w:p>
        </w:tc>
        <w:tc>
          <w:tcPr>
            <w:tcW w:w="0" w:type="auto"/>
            <w:tcBorders>
              <w:top w:val="single" w:sz="4" w:space="0" w:color="auto"/>
              <w:left w:val="single" w:sz="4" w:space="0" w:color="auto"/>
              <w:bottom w:val="single" w:sz="4" w:space="0" w:color="auto"/>
              <w:right w:val="single" w:sz="4" w:space="0" w:color="auto"/>
            </w:tcBorders>
            <w:vAlign w:val="center"/>
            <w:hideMark/>
          </w:tcPr>
          <w:p w14:paraId="124BD240" w14:textId="77777777" w:rsidR="00241417" w:rsidRDefault="00241417" w:rsidP="003A71DE">
            <w:pPr>
              <w:pStyle w:val="TAC"/>
              <w:rPr>
                <w:lang w:eastAsia="zh-CN"/>
              </w:rPr>
            </w:pPr>
            <w:r>
              <w:rPr>
                <w:lang w:eastAsia="zh-CN"/>
              </w:rPr>
              <w:t>Each slot</w:t>
            </w:r>
          </w:p>
        </w:tc>
      </w:tr>
      <w:tr w:rsidR="00241417" w14:paraId="3DD4F065"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AB2087F" w14:textId="77777777" w:rsidR="00241417" w:rsidRDefault="00241417" w:rsidP="003A71DE">
            <w:pPr>
              <w:pStyle w:val="TAL"/>
              <w:rPr>
                <w:rFonts w:cs="Arial"/>
                <w:lang w:eastAsia="zh-CN"/>
              </w:rPr>
            </w:pPr>
            <w:r>
              <w:t xml:space="preserve">Number of PDCCH candidates for the tested </w:t>
            </w:r>
            <w:r>
              <w:rPr>
                <w:szCs w:val="18"/>
                <w:lang w:val="fr-FR"/>
              </w:rPr>
              <w:t>aggregation level</w:t>
            </w:r>
          </w:p>
        </w:tc>
        <w:tc>
          <w:tcPr>
            <w:tcW w:w="0" w:type="auto"/>
            <w:tcBorders>
              <w:top w:val="single" w:sz="4" w:space="0" w:color="auto"/>
              <w:left w:val="single" w:sz="4" w:space="0" w:color="auto"/>
              <w:bottom w:val="single" w:sz="4" w:space="0" w:color="auto"/>
              <w:right w:val="single" w:sz="4" w:space="0" w:color="auto"/>
            </w:tcBorders>
            <w:vAlign w:val="center"/>
            <w:hideMark/>
          </w:tcPr>
          <w:p w14:paraId="2AFCC316" w14:textId="77777777" w:rsidR="00241417" w:rsidRDefault="00241417" w:rsidP="003A71DE">
            <w:pPr>
              <w:pStyle w:val="TAC"/>
              <w:rPr>
                <w:lang w:eastAsia="zh-CN"/>
              </w:rPr>
            </w:pPr>
            <w:r>
              <w:rPr>
                <w:lang w:eastAsia="zh-CN"/>
              </w:rPr>
              <w:t>1</w:t>
            </w:r>
          </w:p>
        </w:tc>
      </w:tr>
      <w:tr w:rsidR="00241417" w14:paraId="2CEF921A"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D171E85" w14:textId="77777777" w:rsidR="00241417" w:rsidRDefault="00241417" w:rsidP="003A71DE">
            <w:pPr>
              <w:pStyle w:val="TAL"/>
              <w:rPr>
                <w:rFonts w:cs="Arial"/>
                <w:lang w:eastAsia="zh-CN"/>
              </w:rPr>
            </w:pPr>
            <w:r>
              <w:t>PDCCH Precoding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6AFAA742" w14:textId="77777777" w:rsidR="00241417" w:rsidRDefault="00241417" w:rsidP="003A71DE">
            <w:pPr>
              <w:pStyle w:val="TAC"/>
              <w:jc w:val="left"/>
              <w:rPr>
                <w:lang w:eastAsia="zh-CN"/>
              </w:rPr>
            </w:pPr>
            <w:r>
              <w:t>Single Panel Type I, Random precoder selection updated per slot, with equal probability of each applicable i</w:t>
            </w:r>
            <w:r>
              <w:rPr>
                <w:vertAlign w:val="subscript"/>
              </w:rPr>
              <w:t>1</w:t>
            </w:r>
            <w:r>
              <w:t>, i</w:t>
            </w:r>
            <w:r>
              <w:rPr>
                <w:vertAlign w:val="subscript"/>
              </w:rPr>
              <w:t>2</w:t>
            </w:r>
            <w:r>
              <w:t xml:space="preserve"> combination with</w:t>
            </w:r>
            <w:r>
              <w:rPr>
                <w:lang w:eastAsia="zh-CN"/>
              </w:rPr>
              <w:t xml:space="preserve"> REG </w:t>
            </w:r>
            <w:r>
              <w:t>bundling granularity</w:t>
            </w:r>
            <w:r>
              <w:rPr>
                <w:lang w:eastAsia="zh-CN"/>
              </w:rPr>
              <w:t xml:space="preserve"> for number of Tx larger than 1</w:t>
            </w:r>
          </w:p>
        </w:tc>
      </w:tr>
      <w:tr w:rsidR="00241417" w14:paraId="66CE0356" w14:textId="77777777" w:rsidTr="003A71DE">
        <w:trPr>
          <w:jc w:val="center"/>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7DC4C47C" w14:textId="77777777" w:rsidR="00241417" w:rsidRDefault="00241417" w:rsidP="00BC408B">
            <w:pPr>
              <w:pStyle w:val="TAN"/>
            </w:pPr>
            <w:r>
              <w:t>Note 1</w:t>
            </w:r>
            <w:r>
              <w:rPr>
                <w:lang w:eastAsia="zh-CN"/>
              </w:rPr>
              <w:t>:</w:t>
            </w:r>
            <w:r>
              <w:tab/>
              <w:t>The same requirements are applicable to TDD with different UL-DL patterns.</w:t>
            </w:r>
          </w:p>
          <w:p w14:paraId="00B2CF79" w14:textId="25AEF469" w:rsidR="00241417" w:rsidRDefault="00BC408B" w:rsidP="00BC408B">
            <w:pPr>
              <w:pStyle w:val="TAN"/>
            </w:pPr>
            <w:r w:rsidRPr="0097309A">
              <w:t>Note 2:</w:t>
            </w:r>
            <w:r w:rsidRPr="0097309A">
              <w:tab/>
              <w:t>SSB, TRS, CSI-RS, and/or other unspecified test parameters with respect to TS 38.101-4 [</w:t>
            </w:r>
            <w:r>
              <w:rPr>
                <w:rFonts w:eastAsia="SimSun" w:hint="eastAsia"/>
                <w:lang w:eastAsia="zh-CN"/>
              </w:rPr>
              <w:t>28</w:t>
            </w:r>
            <w:r w:rsidRPr="0097309A">
              <w:t>] are left up to test implementation, if transmitted or needed.</w:t>
            </w:r>
          </w:p>
        </w:tc>
      </w:tr>
    </w:tbl>
    <w:p w14:paraId="0862E4CC" w14:textId="77777777" w:rsidR="00241417" w:rsidRPr="0021076E" w:rsidRDefault="00241417" w:rsidP="00241417">
      <w:pPr>
        <w:rPr>
          <w:lang w:eastAsia="zh-CN"/>
        </w:rPr>
      </w:pPr>
    </w:p>
    <w:p w14:paraId="54F009ED" w14:textId="77777777" w:rsidR="00241417" w:rsidRDefault="00241417" w:rsidP="00241417">
      <w:pPr>
        <w:pStyle w:val="H6"/>
      </w:pPr>
      <w:r>
        <w:t>11.2.2.1.2.2</w:t>
      </w:r>
      <w:r>
        <w:tab/>
      </w:r>
      <w:r>
        <w:rPr>
          <w:lang w:eastAsia="zh-CN"/>
        </w:rPr>
        <w:t>Minimum requirements</w:t>
      </w:r>
    </w:p>
    <w:p w14:paraId="17B99C32" w14:textId="77777777" w:rsidR="00241417" w:rsidRDefault="00241417" w:rsidP="00241417">
      <w:r>
        <w:t>The Pm-dsg shall be equal to or smaller than 1%, for the cases stated in Table 11.2.2</w:t>
      </w:r>
      <w:r>
        <w:rPr>
          <w:lang w:eastAsia="zh-CN"/>
        </w:rPr>
        <w:t>.1.2.2</w:t>
      </w:r>
      <w:r>
        <w:t>-1 at the given SNR with the test parameters stated in Table 11.2.2</w:t>
      </w:r>
      <w:r>
        <w:rPr>
          <w:lang w:eastAsia="zh-CN"/>
        </w:rPr>
        <w:t>.1.2.1</w:t>
      </w:r>
      <w:r>
        <w:t>-1</w:t>
      </w:r>
      <w:r>
        <w:rPr>
          <w:lang w:eastAsia="zh-CN"/>
        </w:rPr>
        <w:t>.</w:t>
      </w:r>
    </w:p>
    <w:p w14:paraId="46A9EE80" w14:textId="77777777" w:rsidR="00241417" w:rsidRDefault="00241417" w:rsidP="00241417">
      <w:pPr>
        <w:pStyle w:val="TH"/>
      </w:pPr>
      <w:r>
        <w:t xml:space="preserve">Table </w:t>
      </w:r>
      <w:r w:rsidRPr="006B70F3">
        <w:t>11.2.2.1.2.2</w:t>
      </w:r>
      <w:r>
        <w:t xml:space="preserve">-1: </w:t>
      </w:r>
      <w:r>
        <w:rPr>
          <w:rFonts w:eastAsia="Malgun Gothic"/>
        </w:rPr>
        <w:t>Minimum requirements for PDCCH, 40 MHz Channel Bandwidth, 30 kHz SCS</w:t>
      </w:r>
    </w:p>
    <w:tbl>
      <w:tblPr>
        <w:tblW w:w="9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8"/>
        <w:gridCol w:w="1134"/>
        <w:gridCol w:w="1134"/>
        <w:gridCol w:w="1304"/>
        <w:gridCol w:w="1531"/>
        <w:gridCol w:w="1474"/>
        <w:gridCol w:w="907"/>
        <w:gridCol w:w="703"/>
      </w:tblGrid>
      <w:tr w:rsidR="00241417" w14:paraId="355BD79F" w14:textId="77777777" w:rsidTr="003A71DE">
        <w:trPr>
          <w:trHeight w:val="495"/>
          <w:jc w:val="center"/>
        </w:trPr>
        <w:tc>
          <w:tcPr>
            <w:tcW w:w="1038" w:type="dxa"/>
            <w:tcBorders>
              <w:top w:val="single" w:sz="4" w:space="0" w:color="auto"/>
              <w:left w:val="single" w:sz="4" w:space="0" w:color="auto"/>
              <w:bottom w:val="single" w:sz="4" w:space="0" w:color="auto"/>
              <w:right w:val="single" w:sz="4" w:space="0" w:color="auto"/>
            </w:tcBorders>
            <w:shd w:val="clear" w:color="auto" w:fill="FFFFFF"/>
            <w:vAlign w:val="center"/>
          </w:tcPr>
          <w:p w14:paraId="002F7128" w14:textId="77777777" w:rsidR="00241417" w:rsidRPr="00BD6443" w:rsidRDefault="00241417" w:rsidP="003A71DE">
            <w:pPr>
              <w:pStyle w:val="TAH"/>
            </w:pPr>
            <w:r>
              <w:t>Antenna configuration</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14B80A" w14:textId="77777777" w:rsidR="00241417" w:rsidRDefault="00241417" w:rsidP="003A71DE">
            <w:pPr>
              <w:pStyle w:val="TAH"/>
              <w:rPr>
                <w:szCs w:val="18"/>
                <w:lang w:val="en-US" w:eastAsia="zh-CN"/>
              </w:rPr>
            </w:pPr>
            <w:r>
              <w:rPr>
                <w:szCs w:val="18"/>
                <w:lang w:val="en-US" w:eastAsia="zh-CN"/>
              </w:rPr>
              <w:t>CORESET RB</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E52D6E" w14:textId="77777777" w:rsidR="00241417" w:rsidRDefault="00241417" w:rsidP="003A71DE">
            <w:pPr>
              <w:pStyle w:val="TAH"/>
              <w:rPr>
                <w:rFonts w:cs="Arial"/>
                <w:bCs/>
                <w:color w:val="000000"/>
                <w:szCs w:val="18"/>
                <w:lang w:val="en-US" w:eastAsia="zh-CN"/>
              </w:rPr>
            </w:pPr>
            <w:r>
              <w:rPr>
                <w:rFonts w:cs="Arial"/>
                <w:bCs/>
                <w:color w:val="000000"/>
                <w:szCs w:val="18"/>
              </w:rPr>
              <w:t>CORESET duration</w:t>
            </w:r>
          </w:p>
        </w:tc>
        <w:tc>
          <w:tcPr>
            <w:tcW w:w="13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0C95FF" w14:textId="77777777" w:rsidR="00241417" w:rsidRDefault="00241417" w:rsidP="003A71DE">
            <w:pPr>
              <w:pStyle w:val="TAH"/>
              <w:rPr>
                <w:szCs w:val="18"/>
                <w:lang w:val="fr-FR"/>
              </w:rPr>
            </w:pPr>
            <w:r>
              <w:rPr>
                <w:szCs w:val="18"/>
                <w:lang w:val="fr-FR"/>
              </w:rPr>
              <w:t>Aggregation level</w:t>
            </w:r>
          </w:p>
        </w:tc>
        <w:tc>
          <w:tcPr>
            <w:tcW w:w="153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E34AF3" w14:textId="77777777" w:rsidR="00241417" w:rsidRDefault="00241417" w:rsidP="003A71DE">
            <w:pPr>
              <w:pStyle w:val="TAH"/>
              <w:rPr>
                <w:szCs w:val="18"/>
                <w:lang w:val="fr-FR"/>
              </w:rPr>
            </w:pPr>
            <w:r>
              <w:rPr>
                <w:szCs w:val="18"/>
              </w:rPr>
              <w:t>FRC (Annex A)</w:t>
            </w:r>
          </w:p>
        </w:tc>
        <w:tc>
          <w:tcPr>
            <w:tcW w:w="14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BF3B05" w14:textId="294701A7" w:rsidR="00241417" w:rsidRDefault="00241417" w:rsidP="003A71DE">
            <w:pPr>
              <w:pStyle w:val="TAH"/>
              <w:rPr>
                <w:szCs w:val="18"/>
                <w:lang w:val="en-US" w:eastAsia="zh-CN"/>
              </w:rPr>
            </w:pPr>
            <w:r w:rsidRPr="00BD6443">
              <w:t xml:space="preserve">Propagation conditions and correlation matrix (Annex </w:t>
            </w:r>
            <w:r>
              <w:t>TBA</w:t>
            </w:r>
            <w:r w:rsidRPr="00BD6443">
              <w:t>)</w:t>
            </w:r>
          </w:p>
        </w:tc>
        <w:tc>
          <w:tcPr>
            <w:tcW w:w="9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481AA4" w14:textId="77777777" w:rsidR="00241417" w:rsidRDefault="00241417" w:rsidP="003A71DE">
            <w:pPr>
              <w:pStyle w:val="TAH"/>
              <w:rPr>
                <w:szCs w:val="18"/>
                <w:lang w:val="en-US" w:eastAsia="zh-CN"/>
              </w:rPr>
            </w:pPr>
            <w:r>
              <w:rPr>
                <w:szCs w:val="18"/>
                <w:lang w:val="en-US" w:eastAsia="zh-CN"/>
              </w:rPr>
              <w:t>Pm-dsg (%)</w:t>
            </w:r>
          </w:p>
        </w:tc>
        <w:tc>
          <w:tcPr>
            <w:tcW w:w="70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32C7A9" w14:textId="77777777" w:rsidR="00241417" w:rsidRDefault="00241417" w:rsidP="003A71DE">
            <w:pPr>
              <w:pStyle w:val="TAH"/>
              <w:rPr>
                <w:szCs w:val="18"/>
              </w:rPr>
            </w:pPr>
            <w:r>
              <w:rPr>
                <w:szCs w:val="18"/>
              </w:rPr>
              <w:t>SNR</w:t>
            </w:r>
          </w:p>
          <w:p w14:paraId="7D22A689" w14:textId="77777777" w:rsidR="00241417" w:rsidRDefault="00241417" w:rsidP="003A71DE">
            <w:pPr>
              <w:pStyle w:val="TAH"/>
              <w:rPr>
                <w:szCs w:val="18"/>
                <w:lang w:val="en-US" w:eastAsia="zh-CN"/>
              </w:rPr>
            </w:pPr>
            <w:r>
              <w:rPr>
                <w:szCs w:val="18"/>
              </w:rPr>
              <w:t>(dB)</w:t>
            </w:r>
          </w:p>
        </w:tc>
      </w:tr>
      <w:tr w:rsidR="00241417" w14:paraId="0DB7FF64" w14:textId="77777777" w:rsidTr="003A71DE">
        <w:trPr>
          <w:trHeight w:val="225"/>
          <w:jc w:val="center"/>
        </w:trPr>
        <w:tc>
          <w:tcPr>
            <w:tcW w:w="1038" w:type="dxa"/>
            <w:tcBorders>
              <w:top w:val="single" w:sz="4" w:space="0" w:color="auto"/>
              <w:left w:val="single" w:sz="4" w:space="0" w:color="auto"/>
              <w:bottom w:val="single" w:sz="4" w:space="0" w:color="auto"/>
              <w:right w:val="single" w:sz="4" w:space="0" w:color="auto"/>
            </w:tcBorders>
            <w:vAlign w:val="center"/>
          </w:tcPr>
          <w:p w14:paraId="1F6BC05C" w14:textId="77777777" w:rsidR="00241417" w:rsidRDefault="00241417" w:rsidP="003A71DE">
            <w:pPr>
              <w:pStyle w:val="TAC"/>
              <w:rPr>
                <w:szCs w:val="18"/>
                <w:lang w:val="en-US" w:eastAsia="zh-CN"/>
              </w:rPr>
            </w:pPr>
            <w:r>
              <w:rPr>
                <w:szCs w:val="18"/>
                <w:lang w:val="en-US" w:eastAsia="zh-CN"/>
              </w:rPr>
              <w:t>1x2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3BF5BD9" w14:textId="77777777" w:rsidR="00241417" w:rsidRDefault="00241417" w:rsidP="003A71DE">
            <w:pPr>
              <w:pStyle w:val="TAC"/>
              <w:rPr>
                <w:szCs w:val="18"/>
                <w:lang w:val="en-US" w:eastAsia="zh-CN"/>
              </w:rPr>
            </w:pPr>
            <w:r>
              <w:rPr>
                <w:szCs w:val="18"/>
                <w:lang w:val="en-US" w:eastAsia="zh-CN"/>
              </w:rPr>
              <w:t>102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F333FD0" w14:textId="77777777" w:rsidR="00241417" w:rsidRDefault="00241417" w:rsidP="003A71DE">
            <w:pPr>
              <w:pStyle w:val="TAC"/>
              <w:rPr>
                <w:szCs w:val="18"/>
                <w:lang w:val="en-US" w:eastAsia="zh-CN"/>
              </w:rPr>
            </w:pPr>
            <w:r>
              <w:rPr>
                <w:szCs w:val="18"/>
                <w:lang w:val="en-US" w:eastAsia="zh-CN"/>
              </w:rPr>
              <w:t>1</w:t>
            </w:r>
          </w:p>
        </w:tc>
        <w:tc>
          <w:tcPr>
            <w:tcW w:w="1304" w:type="dxa"/>
            <w:tcBorders>
              <w:top w:val="single" w:sz="4" w:space="0" w:color="auto"/>
              <w:left w:val="single" w:sz="4" w:space="0" w:color="auto"/>
              <w:bottom w:val="single" w:sz="4" w:space="0" w:color="auto"/>
              <w:right w:val="single" w:sz="4" w:space="0" w:color="auto"/>
            </w:tcBorders>
            <w:vAlign w:val="center"/>
            <w:hideMark/>
          </w:tcPr>
          <w:p w14:paraId="4C24004E" w14:textId="77777777" w:rsidR="00241417" w:rsidRDefault="00241417" w:rsidP="003A71DE">
            <w:pPr>
              <w:pStyle w:val="TAC"/>
              <w:rPr>
                <w:szCs w:val="18"/>
                <w:lang w:val="en-US" w:eastAsia="zh-CN"/>
              </w:rPr>
            </w:pPr>
            <w:r>
              <w:rPr>
                <w:szCs w:val="18"/>
                <w:lang w:val="en-US" w:eastAsia="zh-CN"/>
              </w:rPr>
              <w:t>2</w:t>
            </w:r>
          </w:p>
        </w:tc>
        <w:tc>
          <w:tcPr>
            <w:tcW w:w="1531" w:type="dxa"/>
            <w:tcBorders>
              <w:top w:val="single" w:sz="4" w:space="0" w:color="auto"/>
              <w:left w:val="single" w:sz="4" w:space="0" w:color="auto"/>
              <w:bottom w:val="single" w:sz="4" w:space="0" w:color="auto"/>
              <w:right w:val="single" w:sz="4" w:space="0" w:color="auto"/>
            </w:tcBorders>
            <w:vAlign w:val="center"/>
            <w:hideMark/>
          </w:tcPr>
          <w:p w14:paraId="1C2C7FD6" w14:textId="77777777" w:rsidR="00241417" w:rsidRPr="00762AFB" w:rsidRDefault="00241417" w:rsidP="003A71DE">
            <w:pPr>
              <w:pStyle w:val="TAC"/>
            </w:pPr>
            <w:r w:rsidRPr="00762AFB">
              <w:t>M-FR1-A.3.4-1</w:t>
            </w:r>
          </w:p>
        </w:tc>
        <w:tc>
          <w:tcPr>
            <w:tcW w:w="1474" w:type="dxa"/>
            <w:tcBorders>
              <w:top w:val="single" w:sz="4" w:space="0" w:color="auto"/>
              <w:left w:val="single" w:sz="4" w:space="0" w:color="auto"/>
              <w:bottom w:val="single" w:sz="4" w:space="0" w:color="auto"/>
              <w:right w:val="single" w:sz="4" w:space="0" w:color="auto"/>
            </w:tcBorders>
            <w:noWrap/>
            <w:vAlign w:val="center"/>
            <w:hideMark/>
          </w:tcPr>
          <w:p w14:paraId="723103DD" w14:textId="77777777" w:rsidR="00241417" w:rsidRDefault="00241417" w:rsidP="003A71DE">
            <w:pPr>
              <w:pStyle w:val="TAC"/>
              <w:rPr>
                <w:szCs w:val="18"/>
                <w:lang w:val="en-US" w:eastAsia="zh-CN"/>
              </w:rPr>
            </w:pPr>
            <w:r>
              <w:rPr>
                <w:szCs w:val="18"/>
                <w:lang w:val="en-US" w:eastAsia="zh-CN"/>
              </w:rPr>
              <w:t>TDLA30-10, Low</w:t>
            </w:r>
          </w:p>
        </w:tc>
        <w:tc>
          <w:tcPr>
            <w:tcW w:w="907" w:type="dxa"/>
            <w:tcBorders>
              <w:top w:val="single" w:sz="4" w:space="0" w:color="auto"/>
              <w:left w:val="single" w:sz="4" w:space="0" w:color="auto"/>
              <w:bottom w:val="single" w:sz="4" w:space="0" w:color="auto"/>
              <w:right w:val="single" w:sz="4" w:space="0" w:color="auto"/>
            </w:tcBorders>
            <w:noWrap/>
            <w:vAlign w:val="center"/>
            <w:hideMark/>
          </w:tcPr>
          <w:p w14:paraId="5D6E2E4B" w14:textId="77777777" w:rsidR="00241417" w:rsidRDefault="00241417" w:rsidP="003A71DE">
            <w:pPr>
              <w:pStyle w:val="TAC"/>
              <w:rPr>
                <w:szCs w:val="18"/>
                <w:lang w:val="en-US" w:eastAsia="zh-CN"/>
              </w:rPr>
            </w:pPr>
            <w:r>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66F2DA92" w14:textId="77777777" w:rsidR="00241417" w:rsidRDefault="00241417" w:rsidP="003A71DE">
            <w:pPr>
              <w:pStyle w:val="TAC"/>
              <w:rPr>
                <w:szCs w:val="18"/>
                <w:lang w:val="en-US" w:eastAsia="zh-CN"/>
              </w:rPr>
            </w:pPr>
            <w:r>
              <w:rPr>
                <w:szCs w:val="18"/>
                <w:lang w:val="en-US" w:eastAsia="zh-CN"/>
              </w:rPr>
              <w:t>7.0</w:t>
            </w:r>
          </w:p>
        </w:tc>
      </w:tr>
      <w:tr w:rsidR="00241417" w14:paraId="667622DF" w14:textId="77777777" w:rsidTr="003A71DE">
        <w:trPr>
          <w:trHeight w:val="225"/>
          <w:jc w:val="center"/>
        </w:trPr>
        <w:tc>
          <w:tcPr>
            <w:tcW w:w="1038" w:type="dxa"/>
            <w:tcBorders>
              <w:top w:val="single" w:sz="4" w:space="0" w:color="auto"/>
              <w:left w:val="single" w:sz="4" w:space="0" w:color="auto"/>
              <w:bottom w:val="single" w:sz="4" w:space="0" w:color="auto"/>
              <w:right w:val="single" w:sz="4" w:space="0" w:color="auto"/>
            </w:tcBorders>
            <w:vAlign w:val="center"/>
          </w:tcPr>
          <w:p w14:paraId="66CD4577" w14:textId="77777777" w:rsidR="00241417" w:rsidRDefault="00241417" w:rsidP="003A71DE">
            <w:pPr>
              <w:pStyle w:val="TAC"/>
              <w:rPr>
                <w:szCs w:val="18"/>
                <w:lang w:val="en-US" w:eastAsia="zh-CN"/>
              </w:rPr>
            </w:pPr>
            <w:r>
              <w:rPr>
                <w:szCs w:val="18"/>
                <w:lang w:val="en-US" w:eastAsia="zh-CN"/>
              </w:rPr>
              <w:t>1x2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BEED187" w14:textId="77777777" w:rsidR="00241417" w:rsidRDefault="00241417" w:rsidP="003A71DE">
            <w:pPr>
              <w:pStyle w:val="TAC"/>
              <w:rPr>
                <w:szCs w:val="18"/>
                <w:lang w:val="en-US" w:eastAsia="zh-CN"/>
              </w:rPr>
            </w:pPr>
            <w:r>
              <w:rPr>
                <w:szCs w:val="18"/>
                <w:lang w:val="en-US" w:eastAsia="zh-CN"/>
              </w:rPr>
              <w:t>102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3E90614" w14:textId="77777777" w:rsidR="00241417" w:rsidRDefault="00241417" w:rsidP="003A71DE">
            <w:pPr>
              <w:pStyle w:val="TAC"/>
              <w:rPr>
                <w:szCs w:val="18"/>
                <w:lang w:val="en-US" w:eastAsia="zh-CN"/>
              </w:rPr>
            </w:pPr>
            <w:r>
              <w:rPr>
                <w:szCs w:val="18"/>
                <w:lang w:val="en-US" w:eastAsia="zh-CN"/>
              </w:rPr>
              <w:t>1</w:t>
            </w:r>
          </w:p>
        </w:tc>
        <w:tc>
          <w:tcPr>
            <w:tcW w:w="1304" w:type="dxa"/>
            <w:tcBorders>
              <w:top w:val="single" w:sz="4" w:space="0" w:color="auto"/>
              <w:left w:val="single" w:sz="4" w:space="0" w:color="auto"/>
              <w:bottom w:val="single" w:sz="4" w:space="0" w:color="auto"/>
              <w:right w:val="single" w:sz="4" w:space="0" w:color="auto"/>
            </w:tcBorders>
            <w:vAlign w:val="center"/>
            <w:hideMark/>
          </w:tcPr>
          <w:p w14:paraId="5D9B059B" w14:textId="77777777" w:rsidR="00241417" w:rsidRDefault="00241417" w:rsidP="003A71DE">
            <w:pPr>
              <w:pStyle w:val="TAC"/>
              <w:rPr>
                <w:szCs w:val="18"/>
                <w:lang w:val="en-US" w:eastAsia="zh-CN"/>
              </w:rPr>
            </w:pPr>
            <w:r>
              <w:rPr>
                <w:szCs w:val="18"/>
                <w:lang w:val="en-US" w:eastAsia="zh-CN"/>
              </w:rPr>
              <w:t>4</w:t>
            </w:r>
          </w:p>
        </w:tc>
        <w:tc>
          <w:tcPr>
            <w:tcW w:w="1531" w:type="dxa"/>
            <w:tcBorders>
              <w:top w:val="single" w:sz="4" w:space="0" w:color="auto"/>
              <w:left w:val="single" w:sz="4" w:space="0" w:color="auto"/>
              <w:bottom w:val="single" w:sz="4" w:space="0" w:color="auto"/>
              <w:right w:val="single" w:sz="4" w:space="0" w:color="auto"/>
            </w:tcBorders>
            <w:vAlign w:val="center"/>
            <w:hideMark/>
          </w:tcPr>
          <w:p w14:paraId="1F32EB12" w14:textId="77777777" w:rsidR="00241417" w:rsidRPr="00762AFB" w:rsidRDefault="00241417" w:rsidP="003A71DE">
            <w:pPr>
              <w:pStyle w:val="TAC"/>
            </w:pPr>
            <w:r w:rsidRPr="00762AFB">
              <w:t>M-FR1-A.3.4-1</w:t>
            </w:r>
          </w:p>
        </w:tc>
        <w:tc>
          <w:tcPr>
            <w:tcW w:w="1474" w:type="dxa"/>
            <w:tcBorders>
              <w:top w:val="single" w:sz="4" w:space="0" w:color="auto"/>
              <w:left w:val="single" w:sz="4" w:space="0" w:color="auto"/>
              <w:bottom w:val="single" w:sz="4" w:space="0" w:color="auto"/>
              <w:right w:val="single" w:sz="4" w:space="0" w:color="auto"/>
            </w:tcBorders>
            <w:noWrap/>
            <w:vAlign w:val="center"/>
            <w:hideMark/>
          </w:tcPr>
          <w:p w14:paraId="7F70CA42" w14:textId="77777777" w:rsidR="00241417" w:rsidRPr="00DB7DDD" w:rsidRDefault="00241417" w:rsidP="003A71DE">
            <w:pPr>
              <w:pStyle w:val="TAC"/>
              <w:rPr>
                <w:szCs w:val="18"/>
                <w:lang w:val="en-US" w:eastAsia="zh-CN"/>
              </w:rPr>
            </w:pPr>
            <w:r w:rsidRPr="00DB7DDD">
              <w:rPr>
                <w:szCs w:val="18"/>
                <w:lang w:val="en-US" w:eastAsia="zh-CN"/>
              </w:rPr>
              <w:t>TDLA30-10, Low</w:t>
            </w:r>
          </w:p>
        </w:tc>
        <w:tc>
          <w:tcPr>
            <w:tcW w:w="907" w:type="dxa"/>
            <w:tcBorders>
              <w:top w:val="single" w:sz="4" w:space="0" w:color="auto"/>
              <w:left w:val="single" w:sz="4" w:space="0" w:color="auto"/>
              <w:bottom w:val="single" w:sz="4" w:space="0" w:color="auto"/>
              <w:right w:val="single" w:sz="4" w:space="0" w:color="auto"/>
            </w:tcBorders>
            <w:noWrap/>
            <w:vAlign w:val="center"/>
            <w:hideMark/>
          </w:tcPr>
          <w:p w14:paraId="250C3313" w14:textId="77777777" w:rsidR="00241417" w:rsidRPr="00DB7DDD" w:rsidRDefault="00241417" w:rsidP="003A71DE">
            <w:pPr>
              <w:pStyle w:val="TAC"/>
              <w:rPr>
                <w:szCs w:val="18"/>
                <w:lang w:val="en-US" w:eastAsia="zh-CN"/>
              </w:rPr>
            </w:pPr>
            <w:r w:rsidRPr="00DB7DDD">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6010255C" w14:textId="77777777" w:rsidR="00241417" w:rsidRPr="00DB7DDD" w:rsidRDefault="00241417" w:rsidP="003A71DE">
            <w:pPr>
              <w:pStyle w:val="TAC"/>
              <w:rPr>
                <w:szCs w:val="18"/>
                <w:lang w:val="en-US" w:eastAsia="zh-CN"/>
              </w:rPr>
            </w:pPr>
            <w:r w:rsidRPr="00DB7DDD">
              <w:rPr>
                <w:szCs w:val="18"/>
                <w:lang w:val="en-US" w:eastAsia="zh-CN"/>
              </w:rPr>
              <w:t>4.9</w:t>
            </w:r>
          </w:p>
        </w:tc>
      </w:tr>
      <w:tr w:rsidR="00241417" w14:paraId="2B9D70D6" w14:textId="77777777" w:rsidTr="003A71DE">
        <w:trPr>
          <w:trHeight w:val="225"/>
          <w:jc w:val="center"/>
        </w:trPr>
        <w:tc>
          <w:tcPr>
            <w:tcW w:w="1038" w:type="dxa"/>
            <w:tcBorders>
              <w:top w:val="single" w:sz="4" w:space="0" w:color="auto"/>
              <w:left w:val="single" w:sz="4" w:space="0" w:color="auto"/>
              <w:bottom w:val="single" w:sz="4" w:space="0" w:color="auto"/>
              <w:right w:val="single" w:sz="4" w:space="0" w:color="auto"/>
            </w:tcBorders>
            <w:vAlign w:val="center"/>
          </w:tcPr>
          <w:p w14:paraId="5D24A6CB" w14:textId="77777777" w:rsidR="00241417" w:rsidRDefault="00241417" w:rsidP="003A71DE">
            <w:pPr>
              <w:pStyle w:val="TAC"/>
              <w:rPr>
                <w:szCs w:val="18"/>
                <w:lang w:val="en-US" w:eastAsia="zh-CN"/>
              </w:rPr>
            </w:pPr>
            <w:r>
              <w:rPr>
                <w:szCs w:val="18"/>
                <w:lang w:val="en-US" w:eastAsia="zh-CN"/>
              </w:rPr>
              <w:t>2x2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1F9528" w14:textId="77777777" w:rsidR="00241417" w:rsidRDefault="00241417" w:rsidP="003A71DE">
            <w:pPr>
              <w:pStyle w:val="TAC"/>
              <w:rPr>
                <w:szCs w:val="18"/>
                <w:lang w:val="en-US" w:eastAsia="zh-CN"/>
              </w:rPr>
            </w:pPr>
            <w:r>
              <w:rPr>
                <w:szCs w:val="18"/>
                <w:lang w:val="en-US" w:eastAsia="zh-CN"/>
              </w:rPr>
              <w:t>90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0AA1072" w14:textId="77777777" w:rsidR="00241417" w:rsidRDefault="00241417" w:rsidP="003A71DE">
            <w:pPr>
              <w:pStyle w:val="TAC"/>
              <w:rPr>
                <w:szCs w:val="18"/>
                <w:lang w:val="en-US" w:eastAsia="zh-CN"/>
              </w:rPr>
            </w:pPr>
            <w:r>
              <w:rPr>
                <w:szCs w:val="18"/>
                <w:lang w:val="en-US" w:eastAsia="zh-CN"/>
              </w:rPr>
              <w:t>1</w:t>
            </w:r>
          </w:p>
        </w:tc>
        <w:tc>
          <w:tcPr>
            <w:tcW w:w="1304" w:type="dxa"/>
            <w:tcBorders>
              <w:top w:val="single" w:sz="4" w:space="0" w:color="auto"/>
              <w:left w:val="single" w:sz="4" w:space="0" w:color="auto"/>
              <w:bottom w:val="single" w:sz="4" w:space="0" w:color="auto"/>
              <w:right w:val="single" w:sz="4" w:space="0" w:color="auto"/>
            </w:tcBorders>
            <w:vAlign w:val="center"/>
            <w:hideMark/>
          </w:tcPr>
          <w:p w14:paraId="4745DB5A" w14:textId="77777777" w:rsidR="00241417" w:rsidRDefault="00241417" w:rsidP="003A71DE">
            <w:pPr>
              <w:pStyle w:val="TAC"/>
              <w:rPr>
                <w:szCs w:val="18"/>
                <w:lang w:val="en-US" w:eastAsia="zh-CN"/>
              </w:rPr>
            </w:pPr>
            <w:r>
              <w:rPr>
                <w:szCs w:val="18"/>
                <w:lang w:val="en-US" w:eastAsia="zh-CN"/>
              </w:rPr>
              <w:t>8</w:t>
            </w:r>
          </w:p>
        </w:tc>
        <w:tc>
          <w:tcPr>
            <w:tcW w:w="1531" w:type="dxa"/>
            <w:tcBorders>
              <w:top w:val="single" w:sz="4" w:space="0" w:color="auto"/>
              <w:left w:val="single" w:sz="4" w:space="0" w:color="auto"/>
              <w:bottom w:val="single" w:sz="4" w:space="0" w:color="auto"/>
              <w:right w:val="single" w:sz="4" w:space="0" w:color="auto"/>
            </w:tcBorders>
            <w:vAlign w:val="center"/>
            <w:hideMark/>
          </w:tcPr>
          <w:p w14:paraId="5DFCE1F0" w14:textId="77777777" w:rsidR="00241417" w:rsidRPr="00762AFB" w:rsidRDefault="00241417" w:rsidP="003A71DE">
            <w:pPr>
              <w:pStyle w:val="TAC"/>
            </w:pPr>
            <w:r w:rsidRPr="00762AFB">
              <w:t>M-FR1-A.3.4-1</w:t>
            </w:r>
          </w:p>
        </w:tc>
        <w:tc>
          <w:tcPr>
            <w:tcW w:w="1474" w:type="dxa"/>
            <w:tcBorders>
              <w:top w:val="single" w:sz="4" w:space="0" w:color="auto"/>
              <w:left w:val="single" w:sz="4" w:space="0" w:color="auto"/>
              <w:bottom w:val="single" w:sz="4" w:space="0" w:color="auto"/>
              <w:right w:val="single" w:sz="4" w:space="0" w:color="auto"/>
            </w:tcBorders>
            <w:noWrap/>
            <w:vAlign w:val="center"/>
            <w:hideMark/>
          </w:tcPr>
          <w:p w14:paraId="497490A6" w14:textId="77777777" w:rsidR="00241417" w:rsidRPr="00DB7DDD" w:rsidRDefault="00241417" w:rsidP="003A71DE">
            <w:pPr>
              <w:pStyle w:val="TAC"/>
              <w:rPr>
                <w:szCs w:val="18"/>
                <w:lang w:val="en-US" w:eastAsia="zh-CN"/>
              </w:rPr>
            </w:pPr>
            <w:r w:rsidRPr="00DB7DDD">
              <w:rPr>
                <w:szCs w:val="18"/>
                <w:lang w:val="en-US" w:eastAsia="zh-CN"/>
              </w:rPr>
              <w:t>TDLA30-10, Low</w:t>
            </w:r>
          </w:p>
        </w:tc>
        <w:tc>
          <w:tcPr>
            <w:tcW w:w="907" w:type="dxa"/>
            <w:tcBorders>
              <w:top w:val="single" w:sz="4" w:space="0" w:color="auto"/>
              <w:left w:val="single" w:sz="4" w:space="0" w:color="auto"/>
              <w:bottom w:val="single" w:sz="4" w:space="0" w:color="auto"/>
              <w:right w:val="single" w:sz="4" w:space="0" w:color="auto"/>
            </w:tcBorders>
            <w:noWrap/>
            <w:vAlign w:val="center"/>
            <w:hideMark/>
          </w:tcPr>
          <w:p w14:paraId="17DE0FB1" w14:textId="77777777" w:rsidR="00241417" w:rsidRPr="00DB7DDD" w:rsidRDefault="00241417" w:rsidP="003A71DE">
            <w:pPr>
              <w:pStyle w:val="TAC"/>
              <w:rPr>
                <w:szCs w:val="18"/>
                <w:lang w:val="en-US" w:eastAsia="zh-CN"/>
              </w:rPr>
            </w:pPr>
            <w:r w:rsidRPr="00DB7DDD">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3D0CB58B" w14:textId="77777777" w:rsidR="00241417" w:rsidRPr="00DB7DDD" w:rsidRDefault="00241417" w:rsidP="003A71DE">
            <w:pPr>
              <w:pStyle w:val="TAC"/>
              <w:rPr>
                <w:szCs w:val="18"/>
                <w:lang w:val="en-US" w:eastAsia="zh-CN"/>
              </w:rPr>
            </w:pPr>
            <w:r w:rsidRPr="00DB7DDD">
              <w:rPr>
                <w:szCs w:val="18"/>
                <w:lang w:val="en-US" w:eastAsia="zh-CN"/>
              </w:rPr>
              <w:t>-0.7</w:t>
            </w:r>
          </w:p>
        </w:tc>
      </w:tr>
    </w:tbl>
    <w:p w14:paraId="51FE8554" w14:textId="77777777" w:rsidR="00241417" w:rsidRDefault="00241417" w:rsidP="00241417"/>
    <w:p w14:paraId="2C4DBB36" w14:textId="77777777" w:rsidR="00241417" w:rsidRPr="0006234D" w:rsidRDefault="00241417" w:rsidP="00241417">
      <w:pPr>
        <w:pStyle w:val="Heading4"/>
        <w:rPr>
          <w:lang w:val="nb-NO" w:eastAsia="zh-CN"/>
        </w:rPr>
      </w:pPr>
      <w:bookmarkStart w:id="7993" w:name="_Toc74583502"/>
      <w:bookmarkStart w:id="7994" w:name="_Toc76542315"/>
      <w:bookmarkStart w:id="7995" w:name="_Toc82450297"/>
      <w:bookmarkStart w:id="7996" w:name="_Toc82450945"/>
      <w:bookmarkStart w:id="7997" w:name="_Toc89949334"/>
      <w:bookmarkStart w:id="7998" w:name="_Toc98755723"/>
      <w:bookmarkStart w:id="7999" w:name="_Toc98763315"/>
      <w:bookmarkStart w:id="8000" w:name="_Toc106184244"/>
      <w:r>
        <w:rPr>
          <w:lang w:val="nb-NO" w:eastAsia="zh-CN"/>
        </w:rPr>
        <w:lastRenderedPageBreak/>
        <w:t>11.2.2.2</w:t>
      </w:r>
      <w:r>
        <w:rPr>
          <w:lang w:val="nb-NO" w:eastAsia="zh-CN"/>
        </w:rPr>
        <w:tab/>
      </w:r>
      <w:r w:rsidRPr="0006234D">
        <w:rPr>
          <w:lang w:val="nb-NO" w:eastAsia="zh-CN"/>
        </w:rPr>
        <w:t xml:space="preserve">Performance </w:t>
      </w:r>
      <w:r>
        <w:rPr>
          <w:lang w:val="nb-NO" w:eastAsia="zh-CN"/>
        </w:rPr>
        <w:t>r</w:t>
      </w:r>
      <w:r w:rsidRPr="0006234D">
        <w:rPr>
          <w:lang w:val="nb-NO" w:eastAsia="zh-CN"/>
        </w:rPr>
        <w:t>equirements for IAB type 2-O</w:t>
      </w:r>
      <w:bookmarkEnd w:id="7993"/>
      <w:bookmarkEnd w:id="7994"/>
      <w:bookmarkEnd w:id="7995"/>
      <w:bookmarkEnd w:id="7996"/>
      <w:bookmarkEnd w:id="7997"/>
      <w:bookmarkEnd w:id="7998"/>
      <w:bookmarkEnd w:id="7999"/>
      <w:bookmarkEnd w:id="8000"/>
    </w:p>
    <w:p w14:paraId="3D13DC56" w14:textId="77777777" w:rsidR="00241417" w:rsidRDefault="00241417" w:rsidP="00241417">
      <w:pPr>
        <w:pStyle w:val="Heading5"/>
        <w:rPr>
          <w:lang w:val="nb-NO" w:eastAsia="zh-CN"/>
        </w:rPr>
      </w:pPr>
      <w:bookmarkStart w:id="8001" w:name="_Toc74583503"/>
      <w:bookmarkStart w:id="8002" w:name="_Toc76542316"/>
      <w:bookmarkStart w:id="8003" w:name="_Toc82450298"/>
      <w:bookmarkStart w:id="8004" w:name="_Toc82450946"/>
      <w:bookmarkStart w:id="8005" w:name="_Toc89949335"/>
      <w:bookmarkStart w:id="8006" w:name="_Toc98755724"/>
      <w:bookmarkStart w:id="8007" w:name="_Toc98763316"/>
      <w:bookmarkStart w:id="8008" w:name="_Toc106184245"/>
      <w:r w:rsidRPr="0006234D">
        <w:rPr>
          <w:lang w:val="nb-NO" w:eastAsia="zh-CN"/>
        </w:rPr>
        <w:t>11.2</w:t>
      </w:r>
      <w:r>
        <w:rPr>
          <w:lang w:val="nb-NO" w:eastAsia="zh-CN"/>
        </w:rPr>
        <w:t>.2.2.1</w:t>
      </w:r>
      <w:r>
        <w:rPr>
          <w:lang w:val="nb-NO" w:eastAsia="zh-CN"/>
        </w:rPr>
        <w:tab/>
      </w:r>
      <w:r w:rsidRPr="0006234D">
        <w:rPr>
          <w:lang w:val="nb-NO" w:eastAsia="zh-CN"/>
        </w:rPr>
        <w:t>Performance requirements for PDSCH</w:t>
      </w:r>
      <w:bookmarkEnd w:id="8001"/>
      <w:bookmarkEnd w:id="8002"/>
      <w:bookmarkEnd w:id="8003"/>
      <w:bookmarkEnd w:id="8004"/>
      <w:bookmarkEnd w:id="8005"/>
      <w:bookmarkEnd w:id="8006"/>
      <w:bookmarkEnd w:id="8007"/>
      <w:bookmarkEnd w:id="8008"/>
    </w:p>
    <w:p w14:paraId="3DF8A14A" w14:textId="77777777" w:rsidR="00241417" w:rsidRDefault="00241417" w:rsidP="00241417">
      <w:pPr>
        <w:pStyle w:val="H6"/>
      </w:pPr>
      <w:r>
        <w:t>11.2.2.2.1.1</w:t>
      </w:r>
      <w:r>
        <w:tab/>
        <w:t>General</w:t>
      </w:r>
    </w:p>
    <w:p w14:paraId="065069C1" w14:textId="77777777" w:rsidR="00241417" w:rsidRDefault="00241417" w:rsidP="00241417">
      <w:r>
        <w:t>The performance requirement of PDSCH is determined by a minimum required throughput for a given SNR. The required throughput is expressed as a fraction of maximum throughput for the FRCs listed in annex A. The performance requirements assume HARQ retransmissions.</w:t>
      </w:r>
    </w:p>
    <w:p w14:paraId="55F5CABB" w14:textId="77777777" w:rsidR="00241417" w:rsidRPr="00E73A39" w:rsidRDefault="00241417" w:rsidP="00241417">
      <w:pPr>
        <w:pStyle w:val="TH"/>
      </w:pPr>
      <w:r w:rsidRPr="00E73A39">
        <w:t xml:space="preserve">Table: 11.2.2.2.1.1-1 Test parameters for PDSCH testing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2"/>
        <w:gridCol w:w="2223"/>
        <w:gridCol w:w="5396"/>
      </w:tblGrid>
      <w:tr w:rsidR="00241417" w:rsidRPr="00E73A39" w14:paraId="3076BB2D" w14:textId="77777777" w:rsidTr="003A71DE">
        <w:trPr>
          <w:jc w:val="center"/>
        </w:trPr>
        <w:tc>
          <w:tcPr>
            <w:tcW w:w="0" w:type="auto"/>
            <w:gridSpan w:val="2"/>
            <w:vAlign w:val="center"/>
            <w:hideMark/>
          </w:tcPr>
          <w:p w14:paraId="516F5BEC" w14:textId="77777777" w:rsidR="00241417" w:rsidRPr="00E73A39" w:rsidRDefault="00241417" w:rsidP="003A71DE">
            <w:pPr>
              <w:pStyle w:val="TAH"/>
            </w:pPr>
            <w:r w:rsidRPr="00E73A39">
              <w:t>Parameter</w:t>
            </w:r>
          </w:p>
        </w:tc>
        <w:tc>
          <w:tcPr>
            <w:tcW w:w="0" w:type="auto"/>
            <w:vAlign w:val="center"/>
            <w:hideMark/>
          </w:tcPr>
          <w:p w14:paraId="38264D78" w14:textId="77777777" w:rsidR="00241417" w:rsidRPr="00E73A39" w:rsidRDefault="00241417" w:rsidP="003A71DE">
            <w:pPr>
              <w:pStyle w:val="TAH"/>
            </w:pPr>
            <w:r w:rsidRPr="00E73A39">
              <w:t>Value</w:t>
            </w:r>
          </w:p>
        </w:tc>
      </w:tr>
      <w:tr w:rsidR="00241417" w14:paraId="23A677A9" w14:textId="77777777" w:rsidTr="003A71DE">
        <w:trPr>
          <w:jc w:val="center"/>
        </w:trPr>
        <w:tc>
          <w:tcPr>
            <w:tcW w:w="0" w:type="auto"/>
            <w:gridSpan w:val="2"/>
            <w:vAlign w:val="center"/>
          </w:tcPr>
          <w:p w14:paraId="55F78B3B" w14:textId="77777777" w:rsidR="00241417" w:rsidRDefault="00241417" w:rsidP="003A71DE">
            <w:pPr>
              <w:pStyle w:val="TAL"/>
            </w:pPr>
            <w:r w:rsidRPr="00185C33">
              <w:t>Cyclic prefix</w:t>
            </w:r>
          </w:p>
        </w:tc>
        <w:tc>
          <w:tcPr>
            <w:tcW w:w="0" w:type="auto"/>
            <w:vAlign w:val="center"/>
          </w:tcPr>
          <w:p w14:paraId="14A54721" w14:textId="77777777" w:rsidR="00241417" w:rsidRDefault="00241417" w:rsidP="003A71DE">
            <w:pPr>
              <w:pStyle w:val="TAC"/>
              <w:rPr>
                <w:lang w:eastAsia="zh-CN"/>
              </w:rPr>
            </w:pPr>
            <w:r>
              <w:rPr>
                <w:rFonts w:hint="eastAsia"/>
                <w:lang w:eastAsia="zh-CN"/>
              </w:rPr>
              <w:t>N</w:t>
            </w:r>
            <w:r>
              <w:rPr>
                <w:lang w:eastAsia="zh-CN"/>
              </w:rPr>
              <w:t>ormal</w:t>
            </w:r>
          </w:p>
        </w:tc>
      </w:tr>
      <w:tr w:rsidR="00241417" w14:paraId="12FD7965" w14:textId="77777777" w:rsidTr="003A71DE">
        <w:trPr>
          <w:jc w:val="center"/>
        </w:trPr>
        <w:tc>
          <w:tcPr>
            <w:tcW w:w="0" w:type="auto"/>
            <w:gridSpan w:val="2"/>
            <w:vAlign w:val="center"/>
            <w:hideMark/>
          </w:tcPr>
          <w:p w14:paraId="44494A7D" w14:textId="77777777" w:rsidR="00241417" w:rsidRDefault="00241417" w:rsidP="003A71DE">
            <w:pPr>
              <w:pStyle w:val="TAL"/>
            </w:pPr>
            <w:r>
              <w:t>Default TDD UL-DL pattern (Note 1)</w:t>
            </w:r>
          </w:p>
        </w:tc>
        <w:tc>
          <w:tcPr>
            <w:tcW w:w="0" w:type="auto"/>
            <w:vAlign w:val="center"/>
            <w:hideMark/>
          </w:tcPr>
          <w:p w14:paraId="4ABB6AD0" w14:textId="77777777" w:rsidR="00241417" w:rsidRDefault="00241417" w:rsidP="003A71DE">
            <w:pPr>
              <w:pStyle w:val="TAC"/>
            </w:pPr>
            <w:r>
              <w:t>3D1S1U, S=10D:2G:2U</w:t>
            </w:r>
          </w:p>
        </w:tc>
      </w:tr>
      <w:tr w:rsidR="00241417" w14:paraId="13ACF8CA" w14:textId="77777777" w:rsidTr="003A71DE">
        <w:trPr>
          <w:jc w:val="center"/>
        </w:trPr>
        <w:tc>
          <w:tcPr>
            <w:tcW w:w="0" w:type="auto"/>
            <w:vMerge w:val="restart"/>
            <w:vAlign w:val="center"/>
            <w:hideMark/>
          </w:tcPr>
          <w:p w14:paraId="2126C447" w14:textId="77777777" w:rsidR="00241417" w:rsidRDefault="00241417" w:rsidP="003A71DE">
            <w:pPr>
              <w:pStyle w:val="TAL"/>
            </w:pPr>
            <w:r>
              <w:t>HARQ</w:t>
            </w:r>
          </w:p>
        </w:tc>
        <w:tc>
          <w:tcPr>
            <w:tcW w:w="0" w:type="auto"/>
            <w:vAlign w:val="center"/>
            <w:hideMark/>
          </w:tcPr>
          <w:p w14:paraId="67448E30" w14:textId="77777777" w:rsidR="00241417" w:rsidRDefault="00241417" w:rsidP="003A71DE">
            <w:pPr>
              <w:pStyle w:val="TAL"/>
            </w:pPr>
            <w:r>
              <w:t>Maximum number of HARQ transmissions</w:t>
            </w:r>
          </w:p>
        </w:tc>
        <w:tc>
          <w:tcPr>
            <w:tcW w:w="0" w:type="auto"/>
            <w:vAlign w:val="center"/>
            <w:hideMark/>
          </w:tcPr>
          <w:p w14:paraId="4C0FC2B2" w14:textId="77777777" w:rsidR="00241417" w:rsidRDefault="00241417" w:rsidP="003A71DE">
            <w:pPr>
              <w:pStyle w:val="TAC"/>
            </w:pPr>
            <w:r>
              <w:t>4</w:t>
            </w:r>
          </w:p>
        </w:tc>
      </w:tr>
      <w:tr w:rsidR="00241417" w14:paraId="09B4B7C1" w14:textId="77777777" w:rsidTr="003A71DE">
        <w:trPr>
          <w:jc w:val="center"/>
        </w:trPr>
        <w:tc>
          <w:tcPr>
            <w:tcW w:w="0" w:type="auto"/>
            <w:vMerge/>
            <w:vAlign w:val="center"/>
            <w:hideMark/>
          </w:tcPr>
          <w:p w14:paraId="6DD113DA" w14:textId="77777777" w:rsidR="00241417" w:rsidRDefault="00241417" w:rsidP="003A71DE">
            <w:pPr>
              <w:pStyle w:val="TAL"/>
            </w:pPr>
          </w:p>
        </w:tc>
        <w:tc>
          <w:tcPr>
            <w:tcW w:w="0" w:type="auto"/>
            <w:vAlign w:val="center"/>
            <w:hideMark/>
          </w:tcPr>
          <w:p w14:paraId="08F3946D" w14:textId="77777777" w:rsidR="00241417" w:rsidRDefault="00241417" w:rsidP="003A71DE">
            <w:pPr>
              <w:pStyle w:val="TAL"/>
            </w:pPr>
            <w:r>
              <w:t>RV sequence</w:t>
            </w:r>
          </w:p>
        </w:tc>
        <w:tc>
          <w:tcPr>
            <w:tcW w:w="0" w:type="auto"/>
            <w:vAlign w:val="center"/>
            <w:hideMark/>
          </w:tcPr>
          <w:p w14:paraId="0391C163" w14:textId="77777777" w:rsidR="00241417" w:rsidRDefault="00241417" w:rsidP="003A71DE">
            <w:pPr>
              <w:pStyle w:val="TAC"/>
            </w:pPr>
            <w:r>
              <w:rPr>
                <w:lang w:val="fr-FR"/>
              </w:rPr>
              <w:t>0, 2, 3, 1</w:t>
            </w:r>
          </w:p>
        </w:tc>
      </w:tr>
      <w:tr w:rsidR="00241417" w14:paraId="5589FE30" w14:textId="77777777" w:rsidTr="003A71DE">
        <w:trPr>
          <w:jc w:val="center"/>
        </w:trPr>
        <w:tc>
          <w:tcPr>
            <w:tcW w:w="0" w:type="auto"/>
            <w:vMerge w:val="restart"/>
            <w:vAlign w:val="center"/>
            <w:hideMark/>
          </w:tcPr>
          <w:p w14:paraId="74FA10D8" w14:textId="77777777" w:rsidR="00241417" w:rsidRDefault="00241417" w:rsidP="003A71DE">
            <w:pPr>
              <w:pStyle w:val="TAL"/>
            </w:pPr>
            <w:r>
              <w:t>DM-RS</w:t>
            </w:r>
          </w:p>
        </w:tc>
        <w:tc>
          <w:tcPr>
            <w:tcW w:w="0" w:type="auto"/>
            <w:vAlign w:val="center"/>
            <w:hideMark/>
          </w:tcPr>
          <w:p w14:paraId="38653557" w14:textId="77777777" w:rsidR="00241417" w:rsidRDefault="00241417" w:rsidP="003A71DE">
            <w:pPr>
              <w:pStyle w:val="TAL"/>
            </w:pPr>
            <w:r>
              <w:t>DM-RS configuration type</w:t>
            </w:r>
          </w:p>
        </w:tc>
        <w:tc>
          <w:tcPr>
            <w:tcW w:w="0" w:type="auto"/>
            <w:vAlign w:val="center"/>
            <w:hideMark/>
          </w:tcPr>
          <w:p w14:paraId="1DBC22A6" w14:textId="77777777" w:rsidR="00241417" w:rsidRDefault="00241417" w:rsidP="003A71DE">
            <w:pPr>
              <w:pStyle w:val="TAC"/>
            </w:pPr>
            <w:r>
              <w:t>1</w:t>
            </w:r>
          </w:p>
        </w:tc>
      </w:tr>
      <w:tr w:rsidR="00241417" w14:paraId="7D3324DC" w14:textId="77777777" w:rsidTr="003A71DE">
        <w:trPr>
          <w:jc w:val="center"/>
        </w:trPr>
        <w:tc>
          <w:tcPr>
            <w:tcW w:w="0" w:type="auto"/>
            <w:vMerge/>
            <w:vAlign w:val="center"/>
            <w:hideMark/>
          </w:tcPr>
          <w:p w14:paraId="29E96702" w14:textId="77777777" w:rsidR="00241417" w:rsidRDefault="00241417" w:rsidP="003A71DE">
            <w:pPr>
              <w:pStyle w:val="TAL"/>
            </w:pPr>
          </w:p>
        </w:tc>
        <w:tc>
          <w:tcPr>
            <w:tcW w:w="0" w:type="auto"/>
            <w:vAlign w:val="center"/>
            <w:hideMark/>
          </w:tcPr>
          <w:p w14:paraId="7A217CF5" w14:textId="77777777" w:rsidR="00241417" w:rsidRDefault="00241417" w:rsidP="003A71DE">
            <w:pPr>
              <w:pStyle w:val="TAL"/>
            </w:pPr>
            <w:r>
              <w:t>DM-RS duration</w:t>
            </w:r>
          </w:p>
        </w:tc>
        <w:tc>
          <w:tcPr>
            <w:tcW w:w="0" w:type="auto"/>
            <w:vAlign w:val="center"/>
            <w:hideMark/>
          </w:tcPr>
          <w:p w14:paraId="71C3BCE9" w14:textId="77777777" w:rsidR="00241417" w:rsidRDefault="00241417" w:rsidP="003A71DE">
            <w:pPr>
              <w:pStyle w:val="TAC"/>
            </w:pPr>
            <w:r>
              <w:t>single-symbol DM-RS</w:t>
            </w:r>
          </w:p>
        </w:tc>
      </w:tr>
      <w:tr w:rsidR="00241417" w14:paraId="4C9E3664" w14:textId="77777777" w:rsidTr="003A71DE">
        <w:trPr>
          <w:jc w:val="center"/>
        </w:trPr>
        <w:tc>
          <w:tcPr>
            <w:tcW w:w="0" w:type="auto"/>
            <w:vMerge/>
            <w:vAlign w:val="center"/>
          </w:tcPr>
          <w:p w14:paraId="2E1A139E" w14:textId="77777777" w:rsidR="00241417" w:rsidRDefault="00241417" w:rsidP="003A71DE">
            <w:pPr>
              <w:pStyle w:val="TAL"/>
            </w:pPr>
          </w:p>
        </w:tc>
        <w:tc>
          <w:tcPr>
            <w:tcW w:w="0" w:type="auto"/>
            <w:vAlign w:val="center"/>
          </w:tcPr>
          <w:p w14:paraId="396F6C71" w14:textId="77777777" w:rsidR="00241417" w:rsidRDefault="00241417" w:rsidP="003A71DE">
            <w:pPr>
              <w:pStyle w:val="TAL"/>
            </w:pPr>
            <w:r>
              <w:t>DM-RS position (</w:t>
            </w:r>
            <w:r>
              <w:rPr>
                <w:i/>
              </w:rPr>
              <w:t>l</w:t>
            </w:r>
            <w:r>
              <w:rPr>
                <w:i/>
                <w:vertAlign w:val="subscript"/>
              </w:rPr>
              <w:t>0</w:t>
            </w:r>
            <w:r>
              <w:t>)</w:t>
            </w:r>
          </w:p>
        </w:tc>
        <w:tc>
          <w:tcPr>
            <w:tcW w:w="0" w:type="auto"/>
            <w:vAlign w:val="center"/>
          </w:tcPr>
          <w:p w14:paraId="029FEEF1" w14:textId="77777777" w:rsidR="00241417" w:rsidRDefault="00241417" w:rsidP="003A71DE">
            <w:pPr>
              <w:pStyle w:val="TAC"/>
              <w:rPr>
                <w:lang w:eastAsia="zh-CN"/>
              </w:rPr>
            </w:pPr>
            <w:r>
              <w:rPr>
                <w:rFonts w:hint="eastAsia"/>
                <w:lang w:eastAsia="zh-CN"/>
              </w:rPr>
              <w:t>2</w:t>
            </w:r>
          </w:p>
        </w:tc>
      </w:tr>
      <w:tr w:rsidR="00241417" w14:paraId="677C14AB" w14:textId="77777777" w:rsidTr="003A71DE">
        <w:trPr>
          <w:jc w:val="center"/>
        </w:trPr>
        <w:tc>
          <w:tcPr>
            <w:tcW w:w="0" w:type="auto"/>
            <w:vMerge/>
            <w:vAlign w:val="center"/>
            <w:hideMark/>
          </w:tcPr>
          <w:p w14:paraId="6C9985ED" w14:textId="77777777" w:rsidR="00241417" w:rsidRDefault="00241417" w:rsidP="003A71DE">
            <w:pPr>
              <w:pStyle w:val="TAL"/>
            </w:pPr>
          </w:p>
        </w:tc>
        <w:tc>
          <w:tcPr>
            <w:tcW w:w="0" w:type="auto"/>
            <w:vAlign w:val="center"/>
            <w:hideMark/>
          </w:tcPr>
          <w:p w14:paraId="58B3BFA5" w14:textId="77777777" w:rsidR="00241417" w:rsidRDefault="00241417" w:rsidP="003A71DE">
            <w:pPr>
              <w:pStyle w:val="TAL"/>
            </w:pPr>
            <w:r>
              <w:rPr>
                <w:rFonts w:eastAsia="DengXian" w:cs="Arial"/>
                <w:szCs w:val="18"/>
                <w:lang w:eastAsia="zh-CN"/>
              </w:rPr>
              <w:t>A</w:t>
            </w:r>
            <w:r>
              <w:rPr>
                <w:rFonts w:cs="Arial"/>
                <w:szCs w:val="18"/>
              </w:rPr>
              <w:t>dditional DM-RS position</w:t>
            </w:r>
          </w:p>
        </w:tc>
        <w:tc>
          <w:tcPr>
            <w:tcW w:w="0" w:type="auto"/>
            <w:vAlign w:val="center"/>
            <w:hideMark/>
          </w:tcPr>
          <w:p w14:paraId="02CC022C" w14:textId="77777777" w:rsidR="00241417" w:rsidRDefault="00241417" w:rsidP="003A71DE">
            <w:pPr>
              <w:pStyle w:val="TAC"/>
            </w:pPr>
            <w:r>
              <w:rPr>
                <w:rFonts w:cs="Arial"/>
              </w:rPr>
              <w:t>pos</w:t>
            </w:r>
            <w:r>
              <w:t>1</w:t>
            </w:r>
          </w:p>
        </w:tc>
      </w:tr>
      <w:tr w:rsidR="00241417" w14:paraId="7C830285" w14:textId="77777777" w:rsidTr="003A71DE">
        <w:trPr>
          <w:jc w:val="center"/>
        </w:trPr>
        <w:tc>
          <w:tcPr>
            <w:tcW w:w="0" w:type="auto"/>
            <w:vMerge/>
            <w:vAlign w:val="center"/>
            <w:hideMark/>
          </w:tcPr>
          <w:p w14:paraId="1E31D74A" w14:textId="77777777" w:rsidR="00241417" w:rsidRDefault="00241417" w:rsidP="003A71DE">
            <w:pPr>
              <w:pStyle w:val="TAL"/>
            </w:pPr>
          </w:p>
        </w:tc>
        <w:tc>
          <w:tcPr>
            <w:tcW w:w="0" w:type="auto"/>
            <w:vAlign w:val="center"/>
            <w:hideMark/>
          </w:tcPr>
          <w:p w14:paraId="791D0354" w14:textId="77777777" w:rsidR="00241417" w:rsidRDefault="00241417" w:rsidP="003A71DE">
            <w:pPr>
              <w:pStyle w:val="TAL"/>
            </w:pPr>
            <w:r>
              <w:t>Number of DM-RS CDM group(s) without data</w:t>
            </w:r>
          </w:p>
        </w:tc>
        <w:tc>
          <w:tcPr>
            <w:tcW w:w="0" w:type="auto"/>
            <w:vAlign w:val="center"/>
            <w:hideMark/>
          </w:tcPr>
          <w:p w14:paraId="6915985C" w14:textId="77777777" w:rsidR="00241417" w:rsidRDefault="00241417" w:rsidP="003A71DE">
            <w:pPr>
              <w:pStyle w:val="TAC"/>
            </w:pPr>
            <w:r>
              <w:t>1</w:t>
            </w:r>
          </w:p>
        </w:tc>
      </w:tr>
      <w:tr w:rsidR="00241417" w14:paraId="2D06EE89" w14:textId="77777777" w:rsidTr="003A71DE">
        <w:trPr>
          <w:jc w:val="center"/>
        </w:trPr>
        <w:tc>
          <w:tcPr>
            <w:tcW w:w="0" w:type="auto"/>
            <w:vMerge/>
            <w:vAlign w:val="center"/>
            <w:hideMark/>
          </w:tcPr>
          <w:p w14:paraId="4904A73F" w14:textId="77777777" w:rsidR="00241417" w:rsidRDefault="00241417" w:rsidP="003A71DE">
            <w:pPr>
              <w:pStyle w:val="TAL"/>
            </w:pPr>
          </w:p>
        </w:tc>
        <w:tc>
          <w:tcPr>
            <w:tcW w:w="0" w:type="auto"/>
            <w:vAlign w:val="center"/>
            <w:hideMark/>
          </w:tcPr>
          <w:p w14:paraId="5290EA56" w14:textId="77777777" w:rsidR="00241417" w:rsidRDefault="00241417" w:rsidP="003A71DE">
            <w:pPr>
              <w:pStyle w:val="TAL"/>
            </w:pPr>
            <w:r>
              <w:t>DM-RS port(s)</w:t>
            </w:r>
          </w:p>
        </w:tc>
        <w:tc>
          <w:tcPr>
            <w:tcW w:w="0" w:type="auto"/>
            <w:vAlign w:val="center"/>
            <w:hideMark/>
          </w:tcPr>
          <w:p w14:paraId="1C7AC5E7" w14:textId="77777777" w:rsidR="00241417" w:rsidRDefault="00241417" w:rsidP="003A71DE">
            <w:pPr>
              <w:pStyle w:val="TAC"/>
            </w:pPr>
            <w:r>
              <w:t>{1000} for Rank 1 tests</w:t>
            </w:r>
            <w:r>
              <w:br/>
              <w:t>{1000-1001} for Rank 2 tests</w:t>
            </w:r>
          </w:p>
        </w:tc>
      </w:tr>
      <w:tr w:rsidR="00241417" w14:paraId="50F4EFE1" w14:textId="77777777" w:rsidTr="003A71DE">
        <w:trPr>
          <w:jc w:val="center"/>
        </w:trPr>
        <w:tc>
          <w:tcPr>
            <w:tcW w:w="0" w:type="auto"/>
            <w:vMerge/>
            <w:vAlign w:val="center"/>
            <w:hideMark/>
          </w:tcPr>
          <w:p w14:paraId="7DF9B969" w14:textId="77777777" w:rsidR="00241417" w:rsidRDefault="00241417" w:rsidP="003A71DE">
            <w:pPr>
              <w:pStyle w:val="TAL"/>
            </w:pPr>
          </w:p>
        </w:tc>
        <w:tc>
          <w:tcPr>
            <w:tcW w:w="0" w:type="auto"/>
            <w:vAlign w:val="center"/>
            <w:hideMark/>
          </w:tcPr>
          <w:p w14:paraId="704AE176" w14:textId="77777777" w:rsidR="00241417" w:rsidRDefault="00241417" w:rsidP="003A71DE">
            <w:pPr>
              <w:pStyle w:val="TAL"/>
            </w:pPr>
            <w:r>
              <w:t>DM-RS sequence generation</w:t>
            </w:r>
          </w:p>
        </w:tc>
        <w:tc>
          <w:tcPr>
            <w:tcW w:w="0" w:type="auto"/>
            <w:vAlign w:val="center"/>
            <w:hideMark/>
          </w:tcPr>
          <w:p w14:paraId="03B85080" w14:textId="77777777" w:rsidR="00241417" w:rsidRDefault="00241417" w:rsidP="003A71DE">
            <w:pPr>
              <w:pStyle w:val="TAC"/>
            </w:pPr>
            <w:r>
              <w:t>N</w:t>
            </w:r>
            <w:r>
              <w:rPr>
                <w:vertAlign w:val="subscript"/>
              </w:rPr>
              <w:t>ID</w:t>
            </w:r>
            <w:r>
              <w:rPr>
                <w:rFonts w:cs="Arial"/>
                <w:vertAlign w:val="superscript"/>
              </w:rPr>
              <w:t>0</w:t>
            </w:r>
            <w:r>
              <w:t>=0</w:t>
            </w:r>
          </w:p>
        </w:tc>
      </w:tr>
      <w:tr w:rsidR="00241417" w14:paraId="3851E378" w14:textId="77777777" w:rsidTr="003A71DE">
        <w:trPr>
          <w:jc w:val="center"/>
        </w:trPr>
        <w:tc>
          <w:tcPr>
            <w:tcW w:w="0" w:type="auto"/>
            <w:vMerge w:val="restart"/>
            <w:vAlign w:val="center"/>
            <w:hideMark/>
          </w:tcPr>
          <w:p w14:paraId="5FA3591D" w14:textId="77777777" w:rsidR="00241417" w:rsidRDefault="00241417" w:rsidP="003A71DE">
            <w:pPr>
              <w:pStyle w:val="TAL"/>
            </w:pPr>
            <w:r>
              <w:t>Time domain resource assignment</w:t>
            </w:r>
          </w:p>
        </w:tc>
        <w:tc>
          <w:tcPr>
            <w:tcW w:w="0" w:type="auto"/>
            <w:vAlign w:val="center"/>
            <w:hideMark/>
          </w:tcPr>
          <w:p w14:paraId="189E873A" w14:textId="77777777" w:rsidR="00241417" w:rsidRDefault="00241417" w:rsidP="003A71DE">
            <w:pPr>
              <w:pStyle w:val="TAL"/>
            </w:pPr>
            <w:r>
              <w:rPr>
                <w:rFonts w:eastAsia="Batang"/>
              </w:rPr>
              <w:t>PDSCH mapping type</w:t>
            </w:r>
          </w:p>
        </w:tc>
        <w:tc>
          <w:tcPr>
            <w:tcW w:w="0" w:type="auto"/>
            <w:vAlign w:val="center"/>
            <w:hideMark/>
          </w:tcPr>
          <w:p w14:paraId="14B67FCF" w14:textId="77777777" w:rsidR="00241417" w:rsidRDefault="00241417" w:rsidP="003A71DE">
            <w:pPr>
              <w:pStyle w:val="TAC"/>
              <w:rPr>
                <w:lang w:eastAsia="zh-CN"/>
              </w:rPr>
            </w:pPr>
            <w:r>
              <w:t>A</w:t>
            </w:r>
          </w:p>
        </w:tc>
      </w:tr>
      <w:tr w:rsidR="00241417" w14:paraId="4002C050" w14:textId="77777777" w:rsidTr="003A71DE">
        <w:trPr>
          <w:jc w:val="center"/>
        </w:trPr>
        <w:tc>
          <w:tcPr>
            <w:tcW w:w="0" w:type="auto"/>
            <w:vMerge/>
            <w:vAlign w:val="center"/>
            <w:hideMark/>
          </w:tcPr>
          <w:p w14:paraId="38904012" w14:textId="77777777" w:rsidR="00241417" w:rsidRDefault="00241417" w:rsidP="003A71DE">
            <w:pPr>
              <w:pStyle w:val="TAL"/>
            </w:pPr>
          </w:p>
        </w:tc>
        <w:tc>
          <w:tcPr>
            <w:tcW w:w="0" w:type="auto"/>
            <w:vAlign w:val="center"/>
            <w:hideMark/>
          </w:tcPr>
          <w:p w14:paraId="10F6C557" w14:textId="77777777" w:rsidR="00241417" w:rsidRDefault="00241417" w:rsidP="003A71DE">
            <w:pPr>
              <w:pStyle w:val="TAL"/>
            </w:pPr>
            <w:r>
              <w:t>Start symbol</w:t>
            </w:r>
          </w:p>
        </w:tc>
        <w:tc>
          <w:tcPr>
            <w:tcW w:w="0" w:type="auto"/>
            <w:vAlign w:val="center"/>
            <w:hideMark/>
          </w:tcPr>
          <w:p w14:paraId="65FD4311" w14:textId="77777777" w:rsidR="00241417" w:rsidRDefault="00241417" w:rsidP="003A71DE">
            <w:pPr>
              <w:pStyle w:val="TAC"/>
              <w:rPr>
                <w:lang w:eastAsia="zh-CN"/>
              </w:rPr>
            </w:pPr>
            <w:r>
              <w:t>1</w:t>
            </w:r>
          </w:p>
        </w:tc>
      </w:tr>
      <w:tr w:rsidR="00241417" w14:paraId="22C23F34" w14:textId="77777777" w:rsidTr="003A71DE">
        <w:trPr>
          <w:jc w:val="center"/>
        </w:trPr>
        <w:tc>
          <w:tcPr>
            <w:tcW w:w="0" w:type="auto"/>
            <w:vMerge/>
            <w:vAlign w:val="center"/>
            <w:hideMark/>
          </w:tcPr>
          <w:p w14:paraId="44988E6F" w14:textId="77777777" w:rsidR="00241417" w:rsidRDefault="00241417" w:rsidP="003A71DE">
            <w:pPr>
              <w:pStyle w:val="TAL"/>
            </w:pPr>
          </w:p>
        </w:tc>
        <w:tc>
          <w:tcPr>
            <w:tcW w:w="0" w:type="auto"/>
            <w:vAlign w:val="center"/>
            <w:hideMark/>
          </w:tcPr>
          <w:p w14:paraId="2B9D1C35" w14:textId="77777777" w:rsidR="00241417" w:rsidRDefault="00241417" w:rsidP="003A71DE">
            <w:pPr>
              <w:pStyle w:val="TAL"/>
            </w:pPr>
            <w:r>
              <w:t>Allocation length</w:t>
            </w:r>
          </w:p>
        </w:tc>
        <w:tc>
          <w:tcPr>
            <w:tcW w:w="0" w:type="auto"/>
            <w:vAlign w:val="center"/>
            <w:hideMark/>
          </w:tcPr>
          <w:p w14:paraId="454FD59A" w14:textId="77777777" w:rsidR="00241417" w:rsidRDefault="00241417" w:rsidP="003A71DE">
            <w:pPr>
              <w:pStyle w:val="TAC"/>
              <w:rPr>
                <w:lang w:eastAsia="zh-CN"/>
              </w:rPr>
            </w:pPr>
            <w:r>
              <w:t>13</w:t>
            </w:r>
          </w:p>
        </w:tc>
      </w:tr>
      <w:tr w:rsidR="00241417" w14:paraId="619A830B" w14:textId="77777777" w:rsidTr="003A71DE">
        <w:trPr>
          <w:trHeight w:val="341"/>
          <w:jc w:val="center"/>
        </w:trPr>
        <w:tc>
          <w:tcPr>
            <w:tcW w:w="0" w:type="auto"/>
            <w:vAlign w:val="center"/>
            <w:hideMark/>
          </w:tcPr>
          <w:p w14:paraId="10FF6198" w14:textId="77777777" w:rsidR="00241417" w:rsidRDefault="00241417" w:rsidP="003A71DE">
            <w:pPr>
              <w:pStyle w:val="TAL"/>
            </w:pPr>
            <w:r>
              <w:t>Frequency domain resource assignment</w:t>
            </w:r>
          </w:p>
        </w:tc>
        <w:tc>
          <w:tcPr>
            <w:tcW w:w="0" w:type="auto"/>
            <w:vAlign w:val="center"/>
            <w:hideMark/>
          </w:tcPr>
          <w:p w14:paraId="304FC46F" w14:textId="77777777" w:rsidR="00241417" w:rsidRDefault="00241417" w:rsidP="003A71DE">
            <w:pPr>
              <w:pStyle w:val="TAL"/>
            </w:pPr>
            <w:r>
              <w:t>RB assignment</w:t>
            </w:r>
          </w:p>
        </w:tc>
        <w:tc>
          <w:tcPr>
            <w:tcW w:w="0" w:type="auto"/>
            <w:vAlign w:val="center"/>
            <w:hideMark/>
          </w:tcPr>
          <w:p w14:paraId="7F2FA359" w14:textId="77777777" w:rsidR="00241417" w:rsidRDefault="00241417" w:rsidP="003A71DE">
            <w:pPr>
              <w:pStyle w:val="TAC"/>
              <w:rPr>
                <w:lang w:eastAsia="zh-CN"/>
              </w:rPr>
            </w:pPr>
            <w:r w:rsidRPr="00185C33">
              <w:t>Full applicable test bandwidth</w:t>
            </w:r>
          </w:p>
        </w:tc>
      </w:tr>
      <w:tr w:rsidR="00241417" w14:paraId="2F7042D5" w14:textId="77777777" w:rsidTr="003A71DE">
        <w:tblPrEx>
          <w:tblBorders>
            <w:insideH w:val="single" w:sz="6" w:space="0" w:color="auto"/>
            <w:insideV w:val="single" w:sz="6" w:space="0" w:color="auto"/>
          </w:tblBorders>
        </w:tblPrEx>
        <w:trPr>
          <w:jc w:val="center"/>
        </w:trPr>
        <w:tc>
          <w:tcPr>
            <w:tcW w:w="0" w:type="auto"/>
            <w:vMerge w:val="restart"/>
            <w:tcBorders>
              <w:top w:val="single" w:sz="4" w:space="0" w:color="auto"/>
              <w:left w:val="single" w:sz="4" w:space="0" w:color="auto"/>
              <w:bottom w:val="single" w:sz="4" w:space="0" w:color="auto"/>
              <w:right w:val="single" w:sz="6" w:space="0" w:color="auto"/>
            </w:tcBorders>
            <w:vAlign w:val="center"/>
            <w:hideMark/>
          </w:tcPr>
          <w:p w14:paraId="7FA2249E" w14:textId="77777777" w:rsidR="00241417" w:rsidRDefault="00241417" w:rsidP="003A71DE">
            <w:pPr>
              <w:pStyle w:val="TAL"/>
              <w:rPr>
                <w:lang w:eastAsia="zh-CN"/>
              </w:rPr>
            </w:pPr>
            <w:r>
              <w:rPr>
                <w:lang w:eastAsia="zh-CN"/>
              </w:rPr>
              <w:t>PT-RS configuration</w:t>
            </w:r>
          </w:p>
        </w:tc>
        <w:tc>
          <w:tcPr>
            <w:tcW w:w="0" w:type="auto"/>
            <w:tcBorders>
              <w:top w:val="single" w:sz="4" w:space="0" w:color="auto"/>
              <w:left w:val="single" w:sz="6" w:space="0" w:color="auto"/>
              <w:bottom w:val="single" w:sz="6" w:space="0" w:color="auto"/>
              <w:right w:val="single" w:sz="6" w:space="0" w:color="auto"/>
            </w:tcBorders>
            <w:vAlign w:val="center"/>
            <w:hideMark/>
          </w:tcPr>
          <w:p w14:paraId="0A63C99F" w14:textId="77777777" w:rsidR="00241417" w:rsidRDefault="00241417" w:rsidP="003A71DE">
            <w:pPr>
              <w:pStyle w:val="TAL"/>
              <w:rPr>
                <w:lang w:eastAsia="zh-CN"/>
              </w:rPr>
            </w:pPr>
            <w:r>
              <w:rPr>
                <w:lang w:eastAsia="zh-CN"/>
              </w:rPr>
              <w:t>Frequency density (</w:t>
            </w:r>
            <w:r>
              <w:rPr>
                <w:i/>
                <w:lang w:eastAsia="zh-CN"/>
              </w:rPr>
              <w:t>K</w:t>
            </w:r>
            <w:r>
              <w:rPr>
                <w:i/>
                <w:vertAlign w:val="subscript"/>
                <w:lang w:eastAsia="zh-CN"/>
              </w:rPr>
              <w:t>PT-RS</w:t>
            </w:r>
            <w:r>
              <w:rPr>
                <w:lang w:eastAsia="zh-CN"/>
              </w:rPr>
              <w:t>)</w:t>
            </w:r>
          </w:p>
        </w:tc>
        <w:tc>
          <w:tcPr>
            <w:tcW w:w="0" w:type="auto"/>
            <w:tcBorders>
              <w:top w:val="single" w:sz="4" w:space="0" w:color="auto"/>
              <w:left w:val="single" w:sz="6" w:space="0" w:color="auto"/>
              <w:bottom w:val="single" w:sz="6" w:space="0" w:color="auto"/>
              <w:right w:val="single" w:sz="4" w:space="0" w:color="auto"/>
            </w:tcBorders>
            <w:vAlign w:val="center"/>
            <w:hideMark/>
          </w:tcPr>
          <w:p w14:paraId="313A94EE" w14:textId="77777777" w:rsidR="00241417" w:rsidRDefault="00241417" w:rsidP="003A71DE">
            <w:pPr>
              <w:pStyle w:val="TAC"/>
              <w:rPr>
                <w:rFonts w:cs="Arial"/>
              </w:rPr>
            </w:pPr>
            <w:r>
              <w:t>2</w:t>
            </w:r>
          </w:p>
        </w:tc>
      </w:tr>
      <w:tr w:rsidR="00241417" w14:paraId="0C58F23E" w14:textId="77777777" w:rsidTr="003A71DE">
        <w:tblPrEx>
          <w:tblBorders>
            <w:insideH w:val="single" w:sz="6" w:space="0" w:color="auto"/>
            <w:insideV w:val="single" w:sz="6" w:space="0" w:color="auto"/>
          </w:tblBorders>
        </w:tblPrEx>
        <w:trPr>
          <w:jc w:val="center"/>
        </w:trPr>
        <w:tc>
          <w:tcPr>
            <w:tcW w:w="0" w:type="auto"/>
            <w:vMerge/>
            <w:tcBorders>
              <w:top w:val="single" w:sz="4" w:space="0" w:color="auto"/>
              <w:left w:val="single" w:sz="4" w:space="0" w:color="auto"/>
              <w:bottom w:val="single" w:sz="4" w:space="0" w:color="auto"/>
              <w:right w:val="single" w:sz="6" w:space="0" w:color="auto"/>
            </w:tcBorders>
            <w:vAlign w:val="center"/>
            <w:hideMark/>
          </w:tcPr>
          <w:p w14:paraId="00C0AD17" w14:textId="77777777" w:rsidR="00241417" w:rsidRDefault="00241417" w:rsidP="003A71DE">
            <w:pPr>
              <w:pStyle w:val="TAL"/>
              <w:rPr>
                <w:lang w:eastAsia="zh-CN"/>
              </w:rPr>
            </w:pPr>
          </w:p>
        </w:tc>
        <w:tc>
          <w:tcPr>
            <w:tcW w:w="0" w:type="auto"/>
            <w:tcBorders>
              <w:top w:val="single" w:sz="6" w:space="0" w:color="auto"/>
              <w:left w:val="single" w:sz="6" w:space="0" w:color="auto"/>
              <w:bottom w:val="single" w:sz="4" w:space="0" w:color="auto"/>
              <w:right w:val="single" w:sz="6" w:space="0" w:color="auto"/>
            </w:tcBorders>
            <w:vAlign w:val="center"/>
            <w:hideMark/>
          </w:tcPr>
          <w:p w14:paraId="7ABCF84F" w14:textId="77777777" w:rsidR="00241417" w:rsidRDefault="00241417" w:rsidP="003A71DE">
            <w:pPr>
              <w:pStyle w:val="TAL"/>
              <w:rPr>
                <w:lang w:eastAsia="zh-CN"/>
              </w:rPr>
            </w:pPr>
            <w:r>
              <w:rPr>
                <w:lang w:eastAsia="zh-CN"/>
              </w:rPr>
              <w:t>Time density (</w:t>
            </w:r>
            <w:r>
              <w:rPr>
                <w:i/>
                <w:lang w:eastAsia="zh-CN"/>
              </w:rPr>
              <w:t>L</w:t>
            </w:r>
            <w:r>
              <w:rPr>
                <w:i/>
                <w:vertAlign w:val="subscript"/>
                <w:lang w:eastAsia="zh-CN"/>
              </w:rPr>
              <w:t>PT-RS</w:t>
            </w:r>
            <w:r>
              <w:rPr>
                <w:lang w:eastAsia="zh-CN"/>
              </w:rPr>
              <w:t>)</w:t>
            </w:r>
          </w:p>
        </w:tc>
        <w:tc>
          <w:tcPr>
            <w:tcW w:w="0" w:type="auto"/>
            <w:tcBorders>
              <w:top w:val="single" w:sz="6" w:space="0" w:color="auto"/>
              <w:left w:val="single" w:sz="6" w:space="0" w:color="auto"/>
              <w:bottom w:val="single" w:sz="4" w:space="0" w:color="auto"/>
              <w:right w:val="single" w:sz="4" w:space="0" w:color="auto"/>
            </w:tcBorders>
            <w:vAlign w:val="center"/>
            <w:hideMark/>
          </w:tcPr>
          <w:p w14:paraId="3E8EEE4E" w14:textId="77777777" w:rsidR="00241417" w:rsidRDefault="00241417" w:rsidP="003A71DE">
            <w:pPr>
              <w:pStyle w:val="TAC"/>
              <w:rPr>
                <w:rFonts w:cs="Arial"/>
              </w:rPr>
            </w:pPr>
            <w:r>
              <w:t>1</w:t>
            </w:r>
          </w:p>
        </w:tc>
      </w:tr>
      <w:tr w:rsidR="00241417" w14:paraId="77B21EC3" w14:textId="77777777" w:rsidTr="003A71DE">
        <w:tblPrEx>
          <w:jc w:val="left"/>
          <w:tblLook w:val="04A0" w:firstRow="1" w:lastRow="0" w:firstColumn="1" w:lastColumn="0" w:noHBand="0" w:noVBand="1"/>
        </w:tblPrEx>
        <w:trPr>
          <w:trHeight w:val="58"/>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4B51E813" w14:textId="77777777" w:rsidR="00241417" w:rsidRDefault="00241417" w:rsidP="003A71DE">
            <w:pPr>
              <w:pStyle w:val="TAL"/>
            </w:pPr>
            <w:r>
              <w:t>PRB bundling size</w:t>
            </w:r>
          </w:p>
        </w:tc>
        <w:tc>
          <w:tcPr>
            <w:tcW w:w="0" w:type="auto"/>
            <w:tcBorders>
              <w:top w:val="single" w:sz="4" w:space="0" w:color="auto"/>
              <w:left w:val="single" w:sz="4" w:space="0" w:color="auto"/>
              <w:bottom w:val="single" w:sz="4" w:space="0" w:color="auto"/>
              <w:right w:val="single" w:sz="4" w:space="0" w:color="auto"/>
            </w:tcBorders>
            <w:vAlign w:val="center"/>
            <w:hideMark/>
          </w:tcPr>
          <w:p w14:paraId="2040F98B" w14:textId="77777777" w:rsidR="00241417" w:rsidRDefault="00241417" w:rsidP="003A71DE">
            <w:pPr>
              <w:pStyle w:val="TAC"/>
            </w:pPr>
            <w:r>
              <w:t>2</w:t>
            </w:r>
          </w:p>
        </w:tc>
      </w:tr>
      <w:tr w:rsidR="00241417" w14:paraId="36F8DFC8" w14:textId="77777777" w:rsidTr="003A71DE">
        <w:tblPrEx>
          <w:jc w:val="left"/>
          <w:tblLook w:val="04A0" w:firstRow="1" w:lastRow="0" w:firstColumn="1" w:lastColumn="0" w:noHBand="0" w:noVBand="1"/>
        </w:tblPrEx>
        <w:trPr>
          <w:trHeight w:val="58"/>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75313CF" w14:textId="77777777" w:rsidR="00241417" w:rsidRDefault="00241417" w:rsidP="003A71DE">
            <w:pPr>
              <w:pStyle w:val="TAL"/>
            </w:pPr>
            <w:r>
              <w:rPr>
                <w:szCs w:val="22"/>
                <w:lang w:eastAsia="ja-JP"/>
              </w:rPr>
              <w:t>VRB-to-PRB mapping type</w:t>
            </w:r>
          </w:p>
        </w:tc>
        <w:tc>
          <w:tcPr>
            <w:tcW w:w="0" w:type="auto"/>
            <w:tcBorders>
              <w:top w:val="single" w:sz="4" w:space="0" w:color="auto"/>
              <w:left w:val="single" w:sz="4" w:space="0" w:color="auto"/>
              <w:bottom w:val="single" w:sz="4" w:space="0" w:color="auto"/>
              <w:right w:val="single" w:sz="4" w:space="0" w:color="auto"/>
            </w:tcBorders>
            <w:vAlign w:val="center"/>
            <w:hideMark/>
          </w:tcPr>
          <w:p w14:paraId="192B8E25" w14:textId="77777777" w:rsidR="00241417" w:rsidRDefault="00241417" w:rsidP="003A71DE">
            <w:pPr>
              <w:pStyle w:val="TAC"/>
            </w:pPr>
            <w:r>
              <w:t>Not interleaved</w:t>
            </w:r>
          </w:p>
        </w:tc>
      </w:tr>
      <w:tr w:rsidR="00241417" w14:paraId="2F4B6998" w14:textId="77777777" w:rsidTr="003A71DE">
        <w:tblPrEx>
          <w:jc w:val="left"/>
          <w:tblLook w:val="04A0" w:firstRow="1" w:lastRow="0" w:firstColumn="1" w:lastColumn="0" w:noHBand="0" w:noVBand="1"/>
        </w:tblPrEx>
        <w:trPr>
          <w:trHeight w:val="58"/>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4ADDA4B" w14:textId="77777777" w:rsidR="00241417" w:rsidRDefault="00241417" w:rsidP="003A71DE">
            <w:pPr>
              <w:pStyle w:val="TAL"/>
            </w:pPr>
            <w:r>
              <w:t>PDSCH &amp; PDSCH DMRS Precoding configuration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1C9C3289" w14:textId="77777777" w:rsidR="00241417" w:rsidRDefault="00241417" w:rsidP="003A71DE">
            <w:pPr>
              <w:pStyle w:val="TAC"/>
            </w:pPr>
            <w:r>
              <w:t>Single Panel Type I, Random precoder selection updated per slot, with equal probability of each applicable i</w:t>
            </w:r>
            <w:r>
              <w:rPr>
                <w:vertAlign w:val="subscript"/>
              </w:rPr>
              <w:t>1</w:t>
            </w:r>
            <w:r>
              <w:t>, i</w:t>
            </w:r>
            <w:r>
              <w:rPr>
                <w:vertAlign w:val="subscript"/>
              </w:rPr>
              <w:t>2</w:t>
            </w:r>
            <w:r>
              <w:t xml:space="preserve"> combination, and with PRB bundling granularity</w:t>
            </w:r>
          </w:p>
        </w:tc>
      </w:tr>
      <w:tr w:rsidR="00241417" w14:paraId="4FF699AA" w14:textId="77777777" w:rsidTr="003A71DE">
        <w:trPr>
          <w:jc w:val="center"/>
        </w:trPr>
        <w:tc>
          <w:tcPr>
            <w:tcW w:w="0" w:type="auto"/>
            <w:gridSpan w:val="3"/>
            <w:vAlign w:val="center"/>
            <w:hideMark/>
          </w:tcPr>
          <w:p w14:paraId="7B1EAC0E" w14:textId="77777777" w:rsidR="00241417" w:rsidRDefault="00241417" w:rsidP="003A71DE">
            <w:pPr>
              <w:pStyle w:val="TAL"/>
            </w:pPr>
            <w:r>
              <w:t>Note 1</w:t>
            </w:r>
            <w:r>
              <w:rPr>
                <w:lang w:eastAsia="zh-CN"/>
              </w:rPr>
              <w:t>:</w:t>
            </w:r>
            <w:r>
              <w:tab/>
              <w:t>The same requirements are applicable to TDD with different UL-DL patterns.</w:t>
            </w:r>
          </w:p>
          <w:p w14:paraId="62BB8BFF" w14:textId="43E3339D" w:rsidR="00241417" w:rsidRDefault="00BC408B" w:rsidP="00BC408B">
            <w:pPr>
              <w:pStyle w:val="TAN"/>
            </w:pPr>
            <w:r w:rsidRPr="00CF23CC">
              <w:rPr>
                <w:rFonts w:eastAsia="SimSun"/>
              </w:rPr>
              <w:t xml:space="preserve">Note </w:t>
            </w:r>
            <w:r>
              <w:rPr>
                <w:rFonts w:eastAsia="SimSun"/>
              </w:rPr>
              <w:t>2</w:t>
            </w:r>
            <w:r w:rsidRPr="00CF23CC">
              <w:rPr>
                <w:rFonts w:eastAsia="SimSun"/>
              </w:rPr>
              <w:t>:</w:t>
            </w:r>
            <w:r w:rsidRPr="00CF23CC">
              <w:rPr>
                <w:rFonts w:eastAsia="SimSun"/>
              </w:rPr>
              <w:tab/>
              <w:t>SSB, TRS, CSI-RS, and/or other unspecified test parameters with respect to TS 38.101-4 [</w:t>
            </w:r>
            <w:r>
              <w:rPr>
                <w:rFonts w:eastAsia="SimSun" w:hint="eastAsia"/>
                <w:lang w:eastAsia="zh-CN"/>
              </w:rPr>
              <w:t>28</w:t>
            </w:r>
            <w:r w:rsidRPr="00CF23CC">
              <w:rPr>
                <w:rFonts w:eastAsia="SimSun"/>
              </w:rPr>
              <w:t>] are left up to test implementation, if transmitted or needed.</w:t>
            </w:r>
          </w:p>
        </w:tc>
      </w:tr>
    </w:tbl>
    <w:p w14:paraId="4271FB67" w14:textId="77777777" w:rsidR="00241417" w:rsidRPr="000B0CB9" w:rsidRDefault="00241417" w:rsidP="00241417">
      <w:pPr>
        <w:rPr>
          <w:lang w:eastAsia="zh-CN"/>
        </w:rPr>
      </w:pPr>
    </w:p>
    <w:p w14:paraId="29C686CB" w14:textId="77777777" w:rsidR="00241417" w:rsidRDefault="00241417" w:rsidP="00241417">
      <w:pPr>
        <w:pStyle w:val="H6"/>
        <w:rPr>
          <w:lang w:eastAsia="zh-CN"/>
        </w:rPr>
      </w:pPr>
      <w:r>
        <w:rPr>
          <w:lang w:eastAsia="zh-CN"/>
        </w:rPr>
        <w:t>11.2.2.2.1.2</w:t>
      </w:r>
      <w:r>
        <w:rPr>
          <w:lang w:eastAsia="zh-CN"/>
        </w:rPr>
        <w:tab/>
        <w:t>Minimum requirements</w:t>
      </w:r>
    </w:p>
    <w:p w14:paraId="402DF48F" w14:textId="77777777" w:rsidR="00241417" w:rsidRDefault="00241417" w:rsidP="00241417">
      <w:r>
        <w:t>The throughput shall be equal to or larger than the fraction of maximum throughput for the FRCs stated in table 11.2.2.2</w:t>
      </w:r>
      <w:r>
        <w:rPr>
          <w:lang w:eastAsia="zh-CN"/>
        </w:rPr>
        <w:t>.1.2</w:t>
      </w:r>
      <w:r>
        <w:t>-1, 11.2.2.2</w:t>
      </w:r>
      <w:r>
        <w:rPr>
          <w:lang w:eastAsia="zh-CN"/>
        </w:rPr>
        <w:t>.1.2</w:t>
      </w:r>
      <w:r>
        <w:t>-</w:t>
      </w:r>
      <w:r>
        <w:rPr>
          <w:lang w:eastAsia="zh-CN"/>
        </w:rPr>
        <w:t>2</w:t>
      </w:r>
      <w:r>
        <w:t xml:space="preserve"> and 11.2.2.2</w:t>
      </w:r>
      <w:r>
        <w:rPr>
          <w:lang w:eastAsia="zh-CN"/>
        </w:rPr>
        <w:t>.1.2</w:t>
      </w:r>
      <w:r>
        <w:t>-</w:t>
      </w:r>
      <w:r>
        <w:rPr>
          <w:lang w:eastAsia="zh-CN"/>
        </w:rPr>
        <w:t xml:space="preserve">3 </w:t>
      </w:r>
      <w:r>
        <w:t>at the given SNR with the test parameters stated in Table 11.2.2.2</w:t>
      </w:r>
      <w:r>
        <w:rPr>
          <w:lang w:eastAsia="zh-CN"/>
        </w:rPr>
        <w:t>.1.1</w:t>
      </w:r>
      <w:r>
        <w:t>-1.</w:t>
      </w:r>
    </w:p>
    <w:p w14:paraId="3E0BF17C" w14:textId="77777777" w:rsidR="00241417" w:rsidRPr="00E73A39" w:rsidRDefault="00241417" w:rsidP="00241417">
      <w:pPr>
        <w:pStyle w:val="TH"/>
      </w:pPr>
      <w:r w:rsidRPr="00E73A39">
        <w:lastRenderedPageBreak/>
        <w:t>Table 11.2.2.2.1.2-1: Minimum requirements for PDSCH with Rank 1</w:t>
      </w:r>
      <w:r>
        <w:t>, 100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0"/>
        <w:gridCol w:w="1621"/>
        <w:gridCol w:w="1176"/>
        <w:gridCol w:w="1019"/>
      </w:tblGrid>
      <w:tr w:rsidR="00241417" w:rsidRPr="00BD6443" w14:paraId="7C51D15F"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6B3BEC39"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74E2402A" w14:textId="77777777" w:rsidR="00241417" w:rsidRPr="00BD6443" w:rsidRDefault="00241417" w:rsidP="003A71DE">
            <w:pPr>
              <w:pStyle w:val="TAH"/>
            </w:pPr>
            <w:r w:rsidRPr="00BD6443">
              <w:t>Number of demodulation branches</w:t>
            </w:r>
          </w:p>
        </w:tc>
        <w:tc>
          <w:tcPr>
            <w:tcW w:w="1700" w:type="dxa"/>
            <w:tcBorders>
              <w:top w:val="single" w:sz="4" w:space="0" w:color="auto"/>
              <w:left w:val="single" w:sz="4" w:space="0" w:color="auto"/>
              <w:bottom w:val="single" w:sz="4" w:space="0" w:color="auto"/>
              <w:right w:val="single" w:sz="4" w:space="0" w:color="auto"/>
            </w:tcBorders>
            <w:vAlign w:val="center"/>
            <w:hideMark/>
          </w:tcPr>
          <w:p w14:paraId="26C47608" w14:textId="241733C5" w:rsidR="00241417" w:rsidRPr="00BD6443" w:rsidRDefault="00241417" w:rsidP="003A71DE">
            <w:pPr>
              <w:pStyle w:val="TAH"/>
            </w:pPr>
            <w:r w:rsidRPr="00BD6443">
              <w:t xml:space="preserve">Propagation conditions and correlation matrix (Annex </w:t>
            </w:r>
            <w:r>
              <w:t>TBA</w:t>
            </w:r>
            <w:r w:rsidRPr="00BD6443">
              <w:t>)</w:t>
            </w:r>
          </w:p>
        </w:tc>
        <w:tc>
          <w:tcPr>
            <w:tcW w:w="1621" w:type="dxa"/>
            <w:tcBorders>
              <w:top w:val="single" w:sz="4" w:space="0" w:color="auto"/>
              <w:left w:val="single" w:sz="4" w:space="0" w:color="auto"/>
              <w:bottom w:val="single" w:sz="4" w:space="0" w:color="auto"/>
              <w:right w:val="single" w:sz="4" w:space="0" w:color="auto"/>
            </w:tcBorders>
            <w:vAlign w:val="center"/>
            <w:hideMark/>
          </w:tcPr>
          <w:p w14:paraId="59F0E49A" w14:textId="77777777" w:rsidR="00241417" w:rsidRPr="00BD6443" w:rsidRDefault="00241417" w:rsidP="003A71DE">
            <w:pPr>
              <w:pStyle w:val="TAH"/>
            </w:pPr>
            <w:r w:rsidRPr="00BD6443">
              <w:t>FRC</w:t>
            </w:r>
            <w:r w:rsidRPr="00BD6443">
              <w:br/>
              <w:t>(Annex A)</w:t>
            </w:r>
          </w:p>
        </w:tc>
        <w:tc>
          <w:tcPr>
            <w:tcW w:w="1176" w:type="dxa"/>
            <w:tcBorders>
              <w:top w:val="single" w:sz="4" w:space="0" w:color="auto"/>
              <w:left w:val="single" w:sz="4" w:space="0" w:color="auto"/>
              <w:bottom w:val="single" w:sz="4" w:space="0" w:color="auto"/>
              <w:right w:val="single" w:sz="4" w:space="0" w:color="auto"/>
            </w:tcBorders>
            <w:vAlign w:val="center"/>
            <w:hideMark/>
          </w:tcPr>
          <w:p w14:paraId="097EBDAB" w14:textId="77777777" w:rsidR="00241417" w:rsidRPr="00BD6443" w:rsidRDefault="00241417" w:rsidP="003A71DE">
            <w:pPr>
              <w:pStyle w:val="TAH"/>
            </w:pPr>
            <w:r>
              <w:rPr>
                <w:lang w:val="en-US" w:eastAsia="zh-CN"/>
              </w:rPr>
              <w:t>Fraction of maximum throughput (%)</w:t>
            </w:r>
          </w:p>
        </w:tc>
        <w:tc>
          <w:tcPr>
            <w:tcW w:w="1019" w:type="dxa"/>
            <w:tcBorders>
              <w:top w:val="single" w:sz="4" w:space="0" w:color="auto"/>
              <w:left w:val="single" w:sz="4" w:space="0" w:color="auto"/>
              <w:bottom w:val="single" w:sz="4" w:space="0" w:color="auto"/>
              <w:right w:val="single" w:sz="4" w:space="0" w:color="auto"/>
            </w:tcBorders>
            <w:vAlign w:val="center"/>
            <w:hideMark/>
          </w:tcPr>
          <w:p w14:paraId="5E3EF4CE" w14:textId="77777777" w:rsidR="00241417" w:rsidRPr="00BD6443" w:rsidRDefault="00241417" w:rsidP="003A71DE">
            <w:pPr>
              <w:pStyle w:val="TAH"/>
            </w:pPr>
            <w:r w:rsidRPr="00BD6443">
              <w:t>SNR</w:t>
            </w:r>
          </w:p>
          <w:p w14:paraId="304258B4" w14:textId="77777777" w:rsidR="00241417" w:rsidRPr="00BD6443" w:rsidRDefault="00241417" w:rsidP="003A71DE">
            <w:pPr>
              <w:pStyle w:val="TAH"/>
            </w:pPr>
            <w:r w:rsidRPr="00BD6443">
              <w:t>(dB)</w:t>
            </w:r>
          </w:p>
        </w:tc>
      </w:tr>
      <w:tr w:rsidR="00241417" w14:paraId="5AC17C3C" w14:textId="77777777" w:rsidTr="003A71DE">
        <w:trPr>
          <w:trHeight w:val="828"/>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69DA1D80" w14:textId="77777777" w:rsidR="00241417" w:rsidRDefault="00241417" w:rsidP="003A71DE">
            <w:pPr>
              <w:pStyle w:val="TAC"/>
            </w:pPr>
            <w:r>
              <w:t>2</w:t>
            </w:r>
          </w:p>
        </w:tc>
        <w:tc>
          <w:tcPr>
            <w:tcW w:w="1398" w:type="dxa"/>
            <w:tcBorders>
              <w:top w:val="single" w:sz="4" w:space="0" w:color="auto"/>
              <w:left w:val="single" w:sz="4" w:space="0" w:color="auto"/>
              <w:bottom w:val="single" w:sz="4" w:space="0" w:color="auto"/>
              <w:right w:val="single" w:sz="4" w:space="0" w:color="auto"/>
            </w:tcBorders>
            <w:vAlign w:val="center"/>
            <w:hideMark/>
          </w:tcPr>
          <w:p w14:paraId="6FAA983B" w14:textId="77777777" w:rsidR="00241417" w:rsidRDefault="00241417" w:rsidP="003A71DE">
            <w:pPr>
              <w:pStyle w:val="TAC"/>
            </w:pPr>
            <w:r>
              <w:t>2</w:t>
            </w:r>
          </w:p>
        </w:tc>
        <w:tc>
          <w:tcPr>
            <w:tcW w:w="1700" w:type="dxa"/>
            <w:tcBorders>
              <w:top w:val="single" w:sz="4" w:space="0" w:color="auto"/>
              <w:left w:val="single" w:sz="4" w:space="0" w:color="auto"/>
              <w:bottom w:val="single" w:sz="4" w:space="0" w:color="auto"/>
              <w:right w:val="single" w:sz="4" w:space="0" w:color="auto"/>
            </w:tcBorders>
            <w:vAlign w:val="center"/>
            <w:hideMark/>
          </w:tcPr>
          <w:p w14:paraId="7E9EFC60" w14:textId="77777777" w:rsidR="00241417" w:rsidRPr="00743A36" w:rsidRDefault="00241417" w:rsidP="003A71DE">
            <w:pPr>
              <w:pStyle w:val="TAC"/>
            </w:pPr>
            <w:r w:rsidRPr="00743A36">
              <w:rPr>
                <w:lang w:val="en-US" w:eastAsia="zh-CN"/>
              </w:rPr>
              <w:t>TDLA30-75, ULA Low</w:t>
            </w:r>
          </w:p>
        </w:tc>
        <w:tc>
          <w:tcPr>
            <w:tcW w:w="1621" w:type="dxa"/>
            <w:tcBorders>
              <w:top w:val="single" w:sz="4" w:space="0" w:color="auto"/>
              <w:left w:val="single" w:sz="4" w:space="0" w:color="auto"/>
              <w:bottom w:val="single" w:sz="4" w:space="0" w:color="auto"/>
              <w:right w:val="single" w:sz="4" w:space="0" w:color="auto"/>
            </w:tcBorders>
            <w:vAlign w:val="center"/>
            <w:hideMark/>
          </w:tcPr>
          <w:p w14:paraId="3444F346" w14:textId="2929C6B6" w:rsidR="00241417" w:rsidRPr="00743A36" w:rsidRDefault="00241417" w:rsidP="003A71DE">
            <w:pPr>
              <w:pStyle w:val="TAC"/>
              <w:rPr>
                <w:lang w:eastAsia="zh-CN"/>
              </w:rPr>
            </w:pPr>
            <w:r w:rsidRPr="00743A36">
              <w:t>M-FR2-A.3.1-</w:t>
            </w:r>
            <w:r>
              <w:t>2</w:t>
            </w:r>
          </w:p>
        </w:tc>
        <w:tc>
          <w:tcPr>
            <w:tcW w:w="1176" w:type="dxa"/>
            <w:tcBorders>
              <w:top w:val="single" w:sz="4" w:space="0" w:color="auto"/>
              <w:left w:val="single" w:sz="4" w:space="0" w:color="auto"/>
              <w:bottom w:val="single" w:sz="4" w:space="0" w:color="auto"/>
              <w:right w:val="single" w:sz="4" w:space="0" w:color="auto"/>
            </w:tcBorders>
            <w:vAlign w:val="center"/>
            <w:hideMark/>
          </w:tcPr>
          <w:p w14:paraId="54359CC5" w14:textId="77777777" w:rsidR="00241417" w:rsidRPr="00743A36" w:rsidRDefault="00241417" w:rsidP="003A71DE">
            <w:pPr>
              <w:pStyle w:val="TAC"/>
            </w:pPr>
            <w:r w:rsidRPr="00743A36">
              <w:t>30</w:t>
            </w:r>
          </w:p>
        </w:tc>
        <w:tc>
          <w:tcPr>
            <w:tcW w:w="1019" w:type="dxa"/>
            <w:tcBorders>
              <w:top w:val="single" w:sz="4" w:space="0" w:color="auto"/>
              <w:left w:val="single" w:sz="4" w:space="0" w:color="auto"/>
              <w:bottom w:val="single" w:sz="4" w:space="0" w:color="auto"/>
              <w:right w:val="single" w:sz="4" w:space="0" w:color="auto"/>
            </w:tcBorders>
            <w:vAlign w:val="center"/>
            <w:hideMark/>
          </w:tcPr>
          <w:p w14:paraId="27CC1154" w14:textId="77777777" w:rsidR="00241417" w:rsidRPr="00743A36" w:rsidRDefault="00241417" w:rsidP="003A71DE">
            <w:pPr>
              <w:pStyle w:val="TAC"/>
            </w:pPr>
            <w:r w:rsidRPr="00743A36">
              <w:rPr>
                <w:lang w:val="en-US" w:eastAsia="zh-CN"/>
              </w:rPr>
              <w:t>2.3</w:t>
            </w:r>
          </w:p>
        </w:tc>
      </w:tr>
      <w:tr w:rsidR="00241417" w14:paraId="32D09ADC" w14:textId="77777777" w:rsidTr="003A71DE">
        <w:trPr>
          <w:trHeight w:val="828"/>
          <w:jc w:val="center"/>
        </w:trPr>
        <w:tc>
          <w:tcPr>
            <w:tcW w:w="1007" w:type="dxa"/>
            <w:tcBorders>
              <w:top w:val="single" w:sz="4" w:space="0" w:color="auto"/>
              <w:left w:val="single" w:sz="4" w:space="0" w:color="auto"/>
              <w:bottom w:val="single" w:sz="4" w:space="0" w:color="auto"/>
              <w:right w:val="single" w:sz="4" w:space="0" w:color="auto"/>
            </w:tcBorders>
            <w:vAlign w:val="center"/>
          </w:tcPr>
          <w:p w14:paraId="4BC7F6E4" w14:textId="77777777" w:rsidR="00241417" w:rsidRDefault="00241417" w:rsidP="003A71DE">
            <w:pPr>
              <w:pStyle w:val="TAC"/>
            </w:pPr>
            <w:r>
              <w:t>2</w:t>
            </w:r>
          </w:p>
        </w:tc>
        <w:tc>
          <w:tcPr>
            <w:tcW w:w="1398" w:type="dxa"/>
            <w:tcBorders>
              <w:top w:val="single" w:sz="4" w:space="0" w:color="auto"/>
              <w:left w:val="single" w:sz="4" w:space="0" w:color="auto"/>
              <w:bottom w:val="single" w:sz="4" w:space="0" w:color="auto"/>
              <w:right w:val="single" w:sz="4" w:space="0" w:color="auto"/>
            </w:tcBorders>
            <w:vAlign w:val="center"/>
          </w:tcPr>
          <w:p w14:paraId="515774A6" w14:textId="77777777" w:rsidR="00241417" w:rsidRDefault="00241417" w:rsidP="003A71DE">
            <w:pPr>
              <w:pStyle w:val="TAC"/>
            </w:pPr>
            <w:r>
              <w:t>2</w:t>
            </w:r>
          </w:p>
        </w:tc>
        <w:tc>
          <w:tcPr>
            <w:tcW w:w="1700" w:type="dxa"/>
            <w:tcBorders>
              <w:top w:val="single" w:sz="4" w:space="0" w:color="auto"/>
              <w:left w:val="single" w:sz="4" w:space="0" w:color="auto"/>
              <w:right w:val="single" w:sz="4" w:space="0" w:color="auto"/>
            </w:tcBorders>
            <w:vAlign w:val="center"/>
          </w:tcPr>
          <w:p w14:paraId="2322ECC2" w14:textId="77777777" w:rsidR="00241417" w:rsidRPr="00743A36" w:rsidRDefault="00241417" w:rsidP="003A71DE">
            <w:pPr>
              <w:pStyle w:val="TAC"/>
              <w:rPr>
                <w:lang w:val="en-US" w:eastAsia="zh-CN"/>
              </w:rPr>
            </w:pPr>
            <w:r w:rsidRPr="00743A36">
              <w:rPr>
                <w:lang w:val="en-US" w:eastAsia="zh-CN"/>
              </w:rPr>
              <w:t>TDLA30-75, ULA Low</w:t>
            </w:r>
          </w:p>
        </w:tc>
        <w:tc>
          <w:tcPr>
            <w:tcW w:w="1621" w:type="dxa"/>
            <w:tcBorders>
              <w:top w:val="single" w:sz="4" w:space="0" w:color="auto"/>
              <w:left w:val="single" w:sz="4" w:space="0" w:color="auto"/>
              <w:right w:val="single" w:sz="4" w:space="0" w:color="auto"/>
            </w:tcBorders>
            <w:vAlign w:val="center"/>
          </w:tcPr>
          <w:p w14:paraId="0DE189E6" w14:textId="77777777" w:rsidR="00241417" w:rsidRPr="00743A36" w:rsidRDefault="00241417" w:rsidP="003A71DE">
            <w:pPr>
              <w:pStyle w:val="TAC"/>
            </w:pPr>
            <w:r w:rsidRPr="00743A36">
              <w:t>M-FR2-A.3.2-1</w:t>
            </w:r>
          </w:p>
        </w:tc>
        <w:tc>
          <w:tcPr>
            <w:tcW w:w="1176" w:type="dxa"/>
            <w:tcBorders>
              <w:top w:val="single" w:sz="4" w:space="0" w:color="auto"/>
              <w:left w:val="single" w:sz="4" w:space="0" w:color="auto"/>
              <w:right w:val="single" w:sz="4" w:space="0" w:color="auto"/>
            </w:tcBorders>
            <w:vAlign w:val="center"/>
          </w:tcPr>
          <w:p w14:paraId="2073F19B" w14:textId="77777777" w:rsidR="00241417" w:rsidRPr="00743A36" w:rsidRDefault="00241417" w:rsidP="003A71DE">
            <w:pPr>
              <w:pStyle w:val="TAC"/>
            </w:pPr>
            <w:r w:rsidRPr="00743A36">
              <w:t>70</w:t>
            </w:r>
          </w:p>
        </w:tc>
        <w:tc>
          <w:tcPr>
            <w:tcW w:w="1019" w:type="dxa"/>
            <w:tcBorders>
              <w:top w:val="single" w:sz="4" w:space="0" w:color="auto"/>
              <w:left w:val="single" w:sz="4" w:space="0" w:color="auto"/>
              <w:right w:val="single" w:sz="4" w:space="0" w:color="auto"/>
            </w:tcBorders>
            <w:vAlign w:val="center"/>
          </w:tcPr>
          <w:p w14:paraId="1B0891DD" w14:textId="77777777" w:rsidR="00241417" w:rsidRPr="00743A36" w:rsidRDefault="00241417" w:rsidP="003A71DE">
            <w:pPr>
              <w:pStyle w:val="TAC"/>
              <w:rPr>
                <w:lang w:val="en-US" w:eastAsia="zh-CN"/>
              </w:rPr>
            </w:pPr>
            <w:r w:rsidRPr="00743A36">
              <w:rPr>
                <w:lang w:val="en-US" w:eastAsia="zh-CN"/>
              </w:rPr>
              <w:t>11.7</w:t>
            </w:r>
          </w:p>
        </w:tc>
      </w:tr>
    </w:tbl>
    <w:p w14:paraId="07D1C005" w14:textId="77777777" w:rsidR="00241417" w:rsidRDefault="00241417" w:rsidP="00241417">
      <w:pPr>
        <w:rPr>
          <w:lang w:eastAsia="zh-CN"/>
        </w:rPr>
      </w:pPr>
    </w:p>
    <w:p w14:paraId="14C027FB" w14:textId="77777777" w:rsidR="00241417" w:rsidRPr="00BB002C" w:rsidRDefault="00241417" w:rsidP="00241417">
      <w:pPr>
        <w:pStyle w:val="TH"/>
      </w:pPr>
      <w:r w:rsidRPr="00E73A39">
        <w:t>Table 11.2.2.2.1.2-2: Minimum requirements for PDSCH</w:t>
      </w:r>
      <w:r>
        <w:t xml:space="preserve"> </w:t>
      </w:r>
      <w:r w:rsidRPr="00E73A39">
        <w:t>with Rank 2</w:t>
      </w:r>
      <w:r>
        <w:t>, 50 MHz Channel Bandwidth,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0"/>
        <w:gridCol w:w="1621"/>
        <w:gridCol w:w="1176"/>
        <w:gridCol w:w="1019"/>
      </w:tblGrid>
      <w:tr w:rsidR="00241417" w:rsidRPr="00BD6443" w14:paraId="317F82DD"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2ACA8973"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3707BC45" w14:textId="77777777" w:rsidR="00241417" w:rsidRPr="00BD6443" w:rsidRDefault="00241417" w:rsidP="003A71DE">
            <w:pPr>
              <w:pStyle w:val="TAH"/>
            </w:pPr>
            <w:r w:rsidRPr="00BD6443">
              <w:t>Number of demodulation branches</w:t>
            </w:r>
          </w:p>
        </w:tc>
        <w:tc>
          <w:tcPr>
            <w:tcW w:w="1700" w:type="dxa"/>
            <w:tcBorders>
              <w:top w:val="single" w:sz="4" w:space="0" w:color="auto"/>
              <w:left w:val="single" w:sz="4" w:space="0" w:color="auto"/>
              <w:bottom w:val="single" w:sz="4" w:space="0" w:color="auto"/>
              <w:right w:val="single" w:sz="4" w:space="0" w:color="auto"/>
            </w:tcBorders>
            <w:vAlign w:val="center"/>
            <w:hideMark/>
          </w:tcPr>
          <w:p w14:paraId="3ECE8573" w14:textId="42B90C28" w:rsidR="00241417" w:rsidRPr="00BD6443" w:rsidRDefault="00241417" w:rsidP="003A71DE">
            <w:pPr>
              <w:pStyle w:val="TAH"/>
            </w:pPr>
            <w:r w:rsidRPr="00BD6443">
              <w:t xml:space="preserve">Propagation conditions and correlation matrix (Annex </w:t>
            </w:r>
            <w:r>
              <w:t>TBA</w:t>
            </w:r>
            <w:r w:rsidRPr="00BD6443">
              <w:t>)</w:t>
            </w:r>
          </w:p>
        </w:tc>
        <w:tc>
          <w:tcPr>
            <w:tcW w:w="1621" w:type="dxa"/>
            <w:tcBorders>
              <w:top w:val="single" w:sz="4" w:space="0" w:color="auto"/>
              <w:left w:val="single" w:sz="4" w:space="0" w:color="auto"/>
              <w:bottom w:val="single" w:sz="4" w:space="0" w:color="auto"/>
              <w:right w:val="single" w:sz="4" w:space="0" w:color="auto"/>
            </w:tcBorders>
            <w:vAlign w:val="center"/>
            <w:hideMark/>
          </w:tcPr>
          <w:p w14:paraId="13E25337" w14:textId="77777777" w:rsidR="00241417" w:rsidRPr="00BD6443" w:rsidRDefault="00241417" w:rsidP="003A71DE">
            <w:pPr>
              <w:pStyle w:val="TAH"/>
            </w:pPr>
            <w:r w:rsidRPr="00BD6443">
              <w:t>FRC</w:t>
            </w:r>
            <w:r w:rsidRPr="00BD6443">
              <w:br/>
              <w:t>(Annex A)</w:t>
            </w:r>
          </w:p>
        </w:tc>
        <w:tc>
          <w:tcPr>
            <w:tcW w:w="1176" w:type="dxa"/>
            <w:tcBorders>
              <w:top w:val="single" w:sz="4" w:space="0" w:color="auto"/>
              <w:left w:val="single" w:sz="4" w:space="0" w:color="auto"/>
              <w:bottom w:val="single" w:sz="4" w:space="0" w:color="auto"/>
              <w:right w:val="single" w:sz="4" w:space="0" w:color="auto"/>
            </w:tcBorders>
            <w:vAlign w:val="center"/>
            <w:hideMark/>
          </w:tcPr>
          <w:p w14:paraId="6C9F0E90" w14:textId="77777777" w:rsidR="00241417" w:rsidRPr="00BD6443" w:rsidRDefault="00241417" w:rsidP="003A71DE">
            <w:pPr>
              <w:pStyle w:val="TAH"/>
            </w:pPr>
            <w:r>
              <w:rPr>
                <w:lang w:val="en-US" w:eastAsia="zh-CN"/>
              </w:rPr>
              <w:t>Fraction of maximum throughput (%)</w:t>
            </w:r>
          </w:p>
        </w:tc>
        <w:tc>
          <w:tcPr>
            <w:tcW w:w="1019" w:type="dxa"/>
            <w:tcBorders>
              <w:top w:val="single" w:sz="4" w:space="0" w:color="auto"/>
              <w:left w:val="single" w:sz="4" w:space="0" w:color="auto"/>
              <w:bottom w:val="single" w:sz="4" w:space="0" w:color="auto"/>
              <w:right w:val="single" w:sz="4" w:space="0" w:color="auto"/>
            </w:tcBorders>
            <w:vAlign w:val="center"/>
            <w:hideMark/>
          </w:tcPr>
          <w:p w14:paraId="2CFEA340" w14:textId="77777777" w:rsidR="00241417" w:rsidRPr="00BD6443" w:rsidRDefault="00241417" w:rsidP="003A71DE">
            <w:pPr>
              <w:pStyle w:val="TAH"/>
            </w:pPr>
            <w:r w:rsidRPr="00BD6443">
              <w:t>SNR</w:t>
            </w:r>
          </w:p>
          <w:p w14:paraId="3FC98852" w14:textId="77777777" w:rsidR="00241417" w:rsidRPr="00BD6443" w:rsidRDefault="00241417" w:rsidP="003A71DE">
            <w:pPr>
              <w:pStyle w:val="TAH"/>
            </w:pPr>
            <w:r w:rsidRPr="00BD6443">
              <w:t>(dB)</w:t>
            </w:r>
          </w:p>
        </w:tc>
      </w:tr>
      <w:tr w:rsidR="00241417" w14:paraId="10D3489D" w14:textId="77777777" w:rsidTr="003A71DE">
        <w:trPr>
          <w:trHeight w:val="828"/>
          <w:jc w:val="center"/>
        </w:trPr>
        <w:tc>
          <w:tcPr>
            <w:tcW w:w="1007" w:type="dxa"/>
            <w:tcBorders>
              <w:top w:val="single" w:sz="4" w:space="0" w:color="auto"/>
              <w:left w:val="single" w:sz="4" w:space="0" w:color="auto"/>
              <w:bottom w:val="single" w:sz="4" w:space="0" w:color="auto"/>
              <w:right w:val="single" w:sz="4" w:space="0" w:color="auto"/>
            </w:tcBorders>
            <w:vAlign w:val="center"/>
          </w:tcPr>
          <w:p w14:paraId="03CC204C" w14:textId="77777777" w:rsidR="00241417" w:rsidRDefault="00241417" w:rsidP="003A71DE">
            <w:pPr>
              <w:pStyle w:val="TAC"/>
            </w:pPr>
            <w:r>
              <w:t>2</w:t>
            </w:r>
          </w:p>
        </w:tc>
        <w:tc>
          <w:tcPr>
            <w:tcW w:w="1398" w:type="dxa"/>
            <w:tcBorders>
              <w:top w:val="single" w:sz="4" w:space="0" w:color="auto"/>
              <w:left w:val="single" w:sz="4" w:space="0" w:color="auto"/>
              <w:bottom w:val="single" w:sz="4" w:space="0" w:color="auto"/>
              <w:right w:val="single" w:sz="4" w:space="0" w:color="auto"/>
            </w:tcBorders>
            <w:vAlign w:val="center"/>
          </w:tcPr>
          <w:p w14:paraId="48FFA614" w14:textId="77777777" w:rsidR="00241417" w:rsidRDefault="00241417" w:rsidP="003A71DE">
            <w:pPr>
              <w:pStyle w:val="TAC"/>
            </w:pPr>
            <w:r>
              <w:t>2</w:t>
            </w:r>
          </w:p>
        </w:tc>
        <w:tc>
          <w:tcPr>
            <w:tcW w:w="1700" w:type="dxa"/>
            <w:tcBorders>
              <w:top w:val="single" w:sz="4" w:space="0" w:color="auto"/>
              <w:left w:val="single" w:sz="4" w:space="0" w:color="auto"/>
              <w:bottom w:val="single" w:sz="4" w:space="0" w:color="auto"/>
              <w:right w:val="single" w:sz="4" w:space="0" w:color="auto"/>
            </w:tcBorders>
            <w:vAlign w:val="center"/>
          </w:tcPr>
          <w:p w14:paraId="12931606" w14:textId="77777777" w:rsidR="00241417" w:rsidRDefault="00241417" w:rsidP="003A71DE">
            <w:pPr>
              <w:pStyle w:val="TAC"/>
              <w:rPr>
                <w:lang w:val="en-US" w:eastAsia="zh-CN"/>
              </w:rPr>
            </w:pPr>
            <w:r w:rsidRPr="00E73A39">
              <w:t>TDLA30-75</w:t>
            </w:r>
            <w:r>
              <w:t>, ULA Low</w:t>
            </w:r>
          </w:p>
        </w:tc>
        <w:tc>
          <w:tcPr>
            <w:tcW w:w="1621" w:type="dxa"/>
            <w:tcBorders>
              <w:top w:val="single" w:sz="4" w:space="0" w:color="auto"/>
              <w:left w:val="single" w:sz="4" w:space="0" w:color="auto"/>
              <w:bottom w:val="single" w:sz="4" w:space="0" w:color="auto"/>
              <w:right w:val="single" w:sz="4" w:space="0" w:color="auto"/>
            </w:tcBorders>
            <w:vAlign w:val="center"/>
          </w:tcPr>
          <w:p w14:paraId="2FC0A5F8" w14:textId="501444C7" w:rsidR="00241417" w:rsidRPr="00C1362E" w:rsidRDefault="00241417" w:rsidP="003A71DE">
            <w:pPr>
              <w:pStyle w:val="TAC"/>
            </w:pPr>
            <w:r w:rsidRPr="00BC1CD7">
              <w:t>M-FR2-A.3.1-</w:t>
            </w:r>
            <w:r>
              <w:t>1</w:t>
            </w:r>
          </w:p>
        </w:tc>
        <w:tc>
          <w:tcPr>
            <w:tcW w:w="1176" w:type="dxa"/>
            <w:tcBorders>
              <w:top w:val="single" w:sz="4" w:space="0" w:color="auto"/>
              <w:left w:val="single" w:sz="4" w:space="0" w:color="auto"/>
              <w:bottom w:val="single" w:sz="4" w:space="0" w:color="auto"/>
              <w:right w:val="single" w:sz="4" w:space="0" w:color="auto"/>
            </w:tcBorders>
            <w:vAlign w:val="center"/>
          </w:tcPr>
          <w:p w14:paraId="0CABE101" w14:textId="77777777" w:rsidR="00241417" w:rsidRDefault="00241417" w:rsidP="003A71DE">
            <w:pPr>
              <w:pStyle w:val="TAC"/>
            </w:pPr>
            <w:r>
              <w:t>70</w:t>
            </w:r>
          </w:p>
        </w:tc>
        <w:tc>
          <w:tcPr>
            <w:tcW w:w="1019" w:type="dxa"/>
            <w:tcBorders>
              <w:top w:val="single" w:sz="4" w:space="0" w:color="auto"/>
              <w:left w:val="single" w:sz="4" w:space="0" w:color="auto"/>
              <w:bottom w:val="single" w:sz="4" w:space="0" w:color="auto"/>
              <w:right w:val="single" w:sz="4" w:space="0" w:color="auto"/>
            </w:tcBorders>
            <w:vAlign w:val="center"/>
          </w:tcPr>
          <w:p w14:paraId="38E3A8E6" w14:textId="77777777" w:rsidR="00241417" w:rsidRDefault="00241417" w:rsidP="003A71DE">
            <w:pPr>
              <w:pStyle w:val="TAC"/>
              <w:rPr>
                <w:lang w:val="en-US" w:eastAsia="zh-CN"/>
              </w:rPr>
            </w:pPr>
            <w:r>
              <w:rPr>
                <w:lang w:val="en-US" w:eastAsia="zh-CN"/>
              </w:rPr>
              <w:t>14.3</w:t>
            </w:r>
          </w:p>
        </w:tc>
      </w:tr>
    </w:tbl>
    <w:p w14:paraId="14956656" w14:textId="77777777" w:rsidR="00241417" w:rsidRDefault="00241417" w:rsidP="00241417">
      <w:pPr>
        <w:rPr>
          <w:lang w:val="nb-NO" w:eastAsia="zh-CN"/>
        </w:rPr>
      </w:pPr>
    </w:p>
    <w:p w14:paraId="4283A6AB" w14:textId="77777777" w:rsidR="00241417" w:rsidRPr="002921FA" w:rsidRDefault="00241417" w:rsidP="00241417">
      <w:pPr>
        <w:pStyle w:val="TH"/>
      </w:pPr>
      <w:r w:rsidRPr="00E73A39">
        <w:t>Table 11.2.2.2.1.2-</w:t>
      </w:r>
      <w:r>
        <w:t>3</w:t>
      </w:r>
      <w:r w:rsidRPr="00E73A39">
        <w:t>: Minimum requirements for PDSCH</w:t>
      </w:r>
      <w:r>
        <w:t xml:space="preserve"> </w:t>
      </w:r>
      <w:r w:rsidRPr="00E73A39">
        <w:t>with Rank 2</w:t>
      </w:r>
      <w:r>
        <w:t>, 100 MHz Channel Bandwidth,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398"/>
        <w:gridCol w:w="1700"/>
        <w:gridCol w:w="1621"/>
        <w:gridCol w:w="1176"/>
        <w:gridCol w:w="1019"/>
      </w:tblGrid>
      <w:tr w:rsidR="00241417" w:rsidRPr="00BD6443" w14:paraId="6879A19F" w14:textId="77777777" w:rsidTr="003A71DE">
        <w:trPr>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4F9DB527" w14:textId="77777777" w:rsidR="00241417" w:rsidRPr="00BD6443" w:rsidRDefault="00241417" w:rsidP="003A71DE">
            <w:pPr>
              <w:pStyle w:val="TAH"/>
            </w:pPr>
            <w:r w:rsidRPr="00BD6443">
              <w:t>Number of TX antennas</w:t>
            </w:r>
          </w:p>
        </w:tc>
        <w:tc>
          <w:tcPr>
            <w:tcW w:w="1398" w:type="dxa"/>
            <w:tcBorders>
              <w:top w:val="single" w:sz="4" w:space="0" w:color="auto"/>
              <w:left w:val="single" w:sz="4" w:space="0" w:color="auto"/>
              <w:bottom w:val="single" w:sz="4" w:space="0" w:color="auto"/>
              <w:right w:val="single" w:sz="4" w:space="0" w:color="auto"/>
            </w:tcBorders>
            <w:vAlign w:val="center"/>
            <w:hideMark/>
          </w:tcPr>
          <w:p w14:paraId="703B7A7F" w14:textId="77777777" w:rsidR="00241417" w:rsidRPr="00BD6443" w:rsidRDefault="00241417" w:rsidP="003A71DE">
            <w:pPr>
              <w:pStyle w:val="TAH"/>
            </w:pPr>
            <w:r w:rsidRPr="00BD6443">
              <w:t>Number of demodulation branches</w:t>
            </w:r>
          </w:p>
        </w:tc>
        <w:tc>
          <w:tcPr>
            <w:tcW w:w="1700" w:type="dxa"/>
            <w:tcBorders>
              <w:top w:val="single" w:sz="4" w:space="0" w:color="auto"/>
              <w:left w:val="single" w:sz="4" w:space="0" w:color="auto"/>
              <w:bottom w:val="single" w:sz="4" w:space="0" w:color="auto"/>
              <w:right w:val="single" w:sz="4" w:space="0" w:color="auto"/>
            </w:tcBorders>
            <w:vAlign w:val="center"/>
            <w:hideMark/>
          </w:tcPr>
          <w:p w14:paraId="34D75878" w14:textId="349F75DD" w:rsidR="00241417" w:rsidRPr="00BD6443" w:rsidRDefault="00241417" w:rsidP="003A71DE">
            <w:pPr>
              <w:pStyle w:val="TAH"/>
            </w:pPr>
            <w:r w:rsidRPr="00BD6443">
              <w:t xml:space="preserve">Propagation conditions and correlation matrix (Annex </w:t>
            </w:r>
            <w:r>
              <w:t>TBA</w:t>
            </w:r>
            <w:r w:rsidRPr="00BD6443">
              <w:t>)</w:t>
            </w:r>
          </w:p>
        </w:tc>
        <w:tc>
          <w:tcPr>
            <w:tcW w:w="1621" w:type="dxa"/>
            <w:tcBorders>
              <w:top w:val="single" w:sz="4" w:space="0" w:color="auto"/>
              <w:left w:val="single" w:sz="4" w:space="0" w:color="auto"/>
              <w:bottom w:val="single" w:sz="4" w:space="0" w:color="auto"/>
              <w:right w:val="single" w:sz="4" w:space="0" w:color="auto"/>
            </w:tcBorders>
            <w:vAlign w:val="center"/>
            <w:hideMark/>
          </w:tcPr>
          <w:p w14:paraId="4469B0A9" w14:textId="77777777" w:rsidR="00241417" w:rsidRPr="00BD6443" w:rsidRDefault="00241417" w:rsidP="003A71DE">
            <w:pPr>
              <w:pStyle w:val="TAH"/>
            </w:pPr>
            <w:r w:rsidRPr="00BD6443">
              <w:t>FRC</w:t>
            </w:r>
            <w:r w:rsidRPr="00BD6443">
              <w:br/>
              <w:t>(Annex A)</w:t>
            </w:r>
          </w:p>
        </w:tc>
        <w:tc>
          <w:tcPr>
            <w:tcW w:w="1176" w:type="dxa"/>
            <w:tcBorders>
              <w:top w:val="single" w:sz="4" w:space="0" w:color="auto"/>
              <w:left w:val="single" w:sz="4" w:space="0" w:color="auto"/>
              <w:bottom w:val="single" w:sz="4" w:space="0" w:color="auto"/>
              <w:right w:val="single" w:sz="4" w:space="0" w:color="auto"/>
            </w:tcBorders>
            <w:vAlign w:val="center"/>
            <w:hideMark/>
          </w:tcPr>
          <w:p w14:paraId="25AB1EA9" w14:textId="77777777" w:rsidR="00241417" w:rsidRPr="00BD6443" w:rsidRDefault="00241417" w:rsidP="003A71DE">
            <w:pPr>
              <w:pStyle w:val="TAH"/>
            </w:pPr>
            <w:r>
              <w:rPr>
                <w:lang w:val="en-US" w:eastAsia="zh-CN"/>
              </w:rPr>
              <w:t>Fraction of maximum throughput (%)</w:t>
            </w:r>
          </w:p>
        </w:tc>
        <w:tc>
          <w:tcPr>
            <w:tcW w:w="1019" w:type="dxa"/>
            <w:tcBorders>
              <w:top w:val="single" w:sz="4" w:space="0" w:color="auto"/>
              <w:left w:val="single" w:sz="4" w:space="0" w:color="auto"/>
              <w:bottom w:val="single" w:sz="4" w:space="0" w:color="auto"/>
              <w:right w:val="single" w:sz="4" w:space="0" w:color="auto"/>
            </w:tcBorders>
            <w:vAlign w:val="center"/>
            <w:hideMark/>
          </w:tcPr>
          <w:p w14:paraId="30C3F603" w14:textId="77777777" w:rsidR="00241417" w:rsidRPr="00BD6443" w:rsidRDefault="00241417" w:rsidP="003A71DE">
            <w:pPr>
              <w:pStyle w:val="TAH"/>
            </w:pPr>
            <w:r w:rsidRPr="00BD6443">
              <w:t>SNR</w:t>
            </w:r>
          </w:p>
          <w:p w14:paraId="68C1A8E7" w14:textId="77777777" w:rsidR="00241417" w:rsidRPr="00BD6443" w:rsidRDefault="00241417" w:rsidP="003A71DE">
            <w:pPr>
              <w:pStyle w:val="TAH"/>
            </w:pPr>
            <w:r w:rsidRPr="00BD6443">
              <w:t>(dB)</w:t>
            </w:r>
          </w:p>
        </w:tc>
      </w:tr>
      <w:tr w:rsidR="00241417" w14:paraId="6501D790" w14:textId="77777777" w:rsidTr="003A71DE">
        <w:trPr>
          <w:trHeight w:val="828"/>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1D3A4CB2" w14:textId="77777777" w:rsidR="00241417" w:rsidRDefault="00241417" w:rsidP="003A71DE">
            <w:pPr>
              <w:pStyle w:val="TAC"/>
            </w:pPr>
            <w:r>
              <w:t>2</w:t>
            </w:r>
          </w:p>
        </w:tc>
        <w:tc>
          <w:tcPr>
            <w:tcW w:w="1398" w:type="dxa"/>
            <w:tcBorders>
              <w:top w:val="single" w:sz="4" w:space="0" w:color="auto"/>
              <w:left w:val="single" w:sz="4" w:space="0" w:color="auto"/>
              <w:bottom w:val="single" w:sz="4" w:space="0" w:color="auto"/>
              <w:right w:val="single" w:sz="4" w:space="0" w:color="auto"/>
            </w:tcBorders>
            <w:vAlign w:val="center"/>
            <w:hideMark/>
          </w:tcPr>
          <w:p w14:paraId="609D0CC6" w14:textId="77777777" w:rsidR="00241417" w:rsidRDefault="00241417" w:rsidP="003A71DE">
            <w:pPr>
              <w:pStyle w:val="TAC"/>
            </w:pPr>
            <w:r>
              <w:t>2</w:t>
            </w:r>
          </w:p>
        </w:tc>
        <w:tc>
          <w:tcPr>
            <w:tcW w:w="1700" w:type="dxa"/>
            <w:tcBorders>
              <w:top w:val="single" w:sz="4" w:space="0" w:color="auto"/>
              <w:left w:val="single" w:sz="4" w:space="0" w:color="auto"/>
              <w:bottom w:val="single" w:sz="4" w:space="0" w:color="auto"/>
              <w:right w:val="single" w:sz="4" w:space="0" w:color="auto"/>
            </w:tcBorders>
            <w:vAlign w:val="center"/>
            <w:hideMark/>
          </w:tcPr>
          <w:p w14:paraId="03FFE60B" w14:textId="77777777" w:rsidR="00241417" w:rsidRPr="00743A36" w:rsidRDefault="00241417" w:rsidP="003A71DE">
            <w:pPr>
              <w:pStyle w:val="TAC"/>
            </w:pPr>
            <w:r w:rsidRPr="00743A36">
              <w:rPr>
                <w:lang w:val="en-US" w:eastAsia="zh-CN"/>
              </w:rPr>
              <w:t>TDLA30-75, ULA Low</w:t>
            </w:r>
          </w:p>
        </w:tc>
        <w:tc>
          <w:tcPr>
            <w:tcW w:w="1621" w:type="dxa"/>
            <w:tcBorders>
              <w:top w:val="single" w:sz="4" w:space="0" w:color="auto"/>
              <w:left w:val="single" w:sz="4" w:space="0" w:color="auto"/>
              <w:bottom w:val="single" w:sz="4" w:space="0" w:color="auto"/>
              <w:right w:val="single" w:sz="4" w:space="0" w:color="auto"/>
            </w:tcBorders>
            <w:vAlign w:val="center"/>
            <w:hideMark/>
          </w:tcPr>
          <w:p w14:paraId="0B28ECDF" w14:textId="64796484" w:rsidR="00241417" w:rsidRPr="00743A36" w:rsidRDefault="00241417" w:rsidP="003A71DE">
            <w:pPr>
              <w:pStyle w:val="TAC"/>
              <w:rPr>
                <w:lang w:eastAsia="zh-CN"/>
              </w:rPr>
            </w:pPr>
            <w:r w:rsidRPr="00743A36">
              <w:t>M-FR2-A.3.1-</w:t>
            </w:r>
            <w:r>
              <w:t>3</w:t>
            </w:r>
          </w:p>
        </w:tc>
        <w:tc>
          <w:tcPr>
            <w:tcW w:w="1176" w:type="dxa"/>
            <w:tcBorders>
              <w:top w:val="single" w:sz="4" w:space="0" w:color="auto"/>
              <w:left w:val="single" w:sz="4" w:space="0" w:color="auto"/>
              <w:bottom w:val="single" w:sz="4" w:space="0" w:color="auto"/>
              <w:right w:val="single" w:sz="4" w:space="0" w:color="auto"/>
            </w:tcBorders>
            <w:vAlign w:val="center"/>
            <w:hideMark/>
          </w:tcPr>
          <w:p w14:paraId="3C13D551" w14:textId="77777777" w:rsidR="00241417" w:rsidRPr="00743A36" w:rsidRDefault="00241417" w:rsidP="003A71DE">
            <w:pPr>
              <w:pStyle w:val="TAC"/>
            </w:pPr>
            <w:r w:rsidRPr="00743A36">
              <w:t>70</w:t>
            </w:r>
          </w:p>
        </w:tc>
        <w:tc>
          <w:tcPr>
            <w:tcW w:w="1019" w:type="dxa"/>
            <w:tcBorders>
              <w:top w:val="single" w:sz="4" w:space="0" w:color="auto"/>
              <w:left w:val="single" w:sz="4" w:space="0" w:color="auto"/>
              <w:bottom w:val="single" w:sz="4" w:space="0" w:color="auto"/>
              <w:right w:val="single" w:sz="4" w:space="0" w:color="auto"/>
            </w:tcBorders>
            <w:vAlign w:val="center"/>
            <w:hideMark/>
          </w:tcPr>
          <w:p w14:paraId="5FEB6801" w14:textId="77777777" w:rsidR="00241417" w:rsidRPr="00743A36" w:rsidRDefault="00241417" w:rsidP="003A71DE">
            <w:pPr>
              <w:pStyle w:val="TAC"/>
            </w:pPr>
            <w:r w:rsidRPr="00743A36">
              <w:rPr>
                <w:lang w:val="en-US" w:eastAsia="zh-CN"/>
              </w:rPr>
              <w:t>14.2</w:t>
            </w:r>
          </w:p>
        </w:tc>
      </w:tr>
      <w:tr w:rsidR="00241417" w14:paraId="396B1F0F" w14:textId="77777777" w:rsidTr="003A71DE">
        <w:trPr>
          <w:trHeight w:val="828"/>
          <w:jc w:val="center"/>
        </w:trPr>
        <w:tc>
          <w:tcPr>
            <w:tcW w:w="1007" w:type="dxa"/>
            <w:tcBorders>
              <w:top w:val="single" w:sz="4" w:space="0" w:color="auto"/>
              <w:left w:val="single" w:sz="4" w:space="0" w:color="auto"/>
              <w:bottom w:val="single" w:sz="4" w:space="0" w:color="auto"/>
              <w:right w:val="single" w:sz="4" w:space="0" w:color="auto"/>
            </w:tcBorders>
            <w:vAlign w:val="center"/>
          </w:tcPr>
          <w:p w14:paraId="12B78A0E" w14:textId="77777777" w:rsidR="00241417" w:rsidRDefault="00241417" w:rsidP="003A71DE">
            <w:pPr>
              <w:pStyle w:val="TAC"/>
            </w:pPr>
            <w:r>
              <w:t>2</w:t>
            </w:r>
          </w:p>
        </w:tc>
        <w:tc>
          <w:tcPr>
            <w:tcW w:w="1398" w:type="dxa"/>
            <w:tcBorders>
              <w:top w:val="single" w:sz="4" w:space="0" w:color="auto"/>
              <w:left w:val="single" w:sz="4" w:space="0" w:color="auto"/>
              <w:bottom w:val="single" w:sz="4" w:space="0" w:color="auto"/>
              <w:right w:val="single" w:sz="4" w:space="0" w:color="auto"/>
            </w:tcBorders>
            <w:vAlign w:val="center"/>
          </w:tcPr>
          <w:p w14:paraId="2637ED4A" w14:textId="77777777" w:rsidR="00241417" w:rsidRDefault="00241417" w:rsidP="003A71DE">
            <w:pPr>
              <w:pStyle w:val="TAC"/>
            </w:pPr>
            <w:r>
              <w:t>2</w:t>
            </w:r>
          </w:p>
        </w:tc>
        <w:tc>
          <w:tcPr>
            <w:tcW w:w="1700" w:type="dxa"/>
            <w:tcBorders>
              <w:top w:val="single" w:sz="4" w:space="0" w:color="auto"/>
              <w:left w:val="single" w:sz="4" w:space="0" w:color="auto"/>
              <w:right w:val="single" w:sz="4" w:space="0" w:color="auto"/>
            </w:tcBorders>
            <w:vAlign w:val="center"/>
          </w:tcPr>
          <w:p w14:paraId="4A96FE2F" w14:textId="77777777" w:rsidR="00241417" w:rsidRPr="002921FA" w:rsidRDefault="00241417" w:rsidP="003A71DE">
            <w:pPr>
              <w:pStyle w:val="TAC"/>
              <w:rPr>
                <w:highlight w:val="yellow"/>
                <w:lang w:val="en-US" w:eastAsia="zh-CN"/>
              </w:rPr>
            </w:pPr>
            <w:r w:rsidRPr="00E73A39">
              <w:t>TDLA30-75</w:t>
            </w:r>
            <w:r>
              <w:t>, ULA Low</w:t>
            </w:r>
          </w:p>
        </w:tc>
        <w:tc>
          <w:tcPr>
            <w:tcW w:w="1621" w:type="dxa"/>
            <w:tcBorders>
              <w:top w:val="single" w:sz="4" w:space="0" w:color="auto"/>
              <w:left w:val="single" w:sz="4" w:space="0" w:color="auto"/>
              <w:right w:val="single" w:sz="4" w:space="0" w:color="auto"/>
            </w:tcBorders>
            <w:vAlign w:val="center"/>
          </w:tcPr>
          <w:p w14:paraId="1DA223CC" w14:textId="77777777" w:rsidR="00241417" w:rsidRPr="00E73A39" w:rsidRDefault="00241417" w:rsidP="003A71DE">
            <w:pPr>
              <w:pStyle w:val="TAC"/>
            </w:pPr>
            <w:r w:rsidRPr="00E73A39">
              <w:t>M-FR2-A.3.2-2</w:t>
            </w:r>
          </w:p>
        </w:tc>
        <w:tc>
          <w:tcPr>
            <w:tcW w:w="1176" w:type="dxa"/>
            <w:tcBorders>
              <w:top w:val="single" w:sz="4" w:space="0" w:color="auto"/>
              <w:left w:val="single" w:sz="4" w:space="0" w:color="auto"/>
              <w:right w:val="single" w:sz="4" w:space="0" w:color="auto"/>
            </w:tcBorders>
            <w:vAlign w:val="center"/>
          </w:tcPr>
          <w:p w14:paraId="704410F7" w14:textId="201215DD" w:rsidR="00241417" w:rsidRDefault="00241417" w:rsidP="003A71DE">
            <w:pPr>
              <w:pStyle w:val="TAC"/>
            </w:pPr>
            <w:r>
              <w:t>70</w:t>
            </w:r>
          </w:p>
        </w:tc>
        <w:tc>
          <w:tcPr>
            <w:tcW w:w="1019" w:type="dxa"/>
            <w:tcBorders>
              <w:top w:val="single" w:sz="4" w:space="0" w:color="auto"/>
              <w:left w:val="single" w:sz="4" w:space="0" w:color="auto"/>
              <w:right w:val="single" w:sz="4" w:space="0" w:color="auto"/>
            </w:tcBorders>
            <w:vAlign w:val="center"/>
          </w:tcPr>
          <w:p w14:paraId="7E4BB4FC" w14:textId="77777777" w:rsidR="00241417" w:rsidRPr="002921FA" w:rsidRDefault="00241417" w:rsidP="003A71DE">
            <w:pPr>
              <w:pStyle w:val="TAC"/>
              <w:rPr>
                <w:highlight w:val="yellow"/>
                <w:lang w:val="en-US" w:eastAsia="zh-CN"/>
              </w:rPr>
            </w:pPr>
            <w:r w:rsidRPr="00797FFA">
              <w:rPr>
                <w:lang w:val="en-US" w:eastAsia="zh-CN"/>
              </w:rPr>
              <w:t>18.6</w:t>
            </w:r>
          </w:p>
        </w:tc>
      </w:tr>
    </w:tbl>
    <w:p w14:paraId="5D93517F" w14:textId="77777777" w:rsidR="00241417" w:rsidRPr="000B0CB9" w:rsidRDefault="00241417" w:rsidP="00241417">
      <w:pPr>
        <w:rPr>
          <w:lang w:val="nb-NO" w:eastAsia="zh-CN"/>
        </w:rPr>
      </w:pPr>
    </w:p>
    <w:p w14:paraId="77AA672D" w14:textId="70DD8710" w:rsidR="00241417" w:rsidRDefault="00241417" w:rsidP="00241417">
      <w:pPr>
        <w:pStyle w:val="Heading5"/>
        <w:rPr>
          <w:lang w:val="nb-NO" w:eastAsia="zh-CN"/>
        </w:rPr>
      </w:pPr>
      <w:bookmarkStart w:id="8009" w:name="_Toc74583504"/>
      <w:bookmarkStart w:id="8010" w:name="_Toc76542317"/>
      <w:bookmarkStart w:id="8011" w:name="_Toc82450299"/>
      <w:bookmarkStart w:id="8012" w:name="_Toc82450947"/>
      <w:bookmarkStart w:id="8013" w:name="_Toc89949336"/>
      <w:bookmarkStart w:id="8014" w:name="_Toc98755725"/>
      <w:bookmarkStart w:id="8015" w:name="_Toc98763317"/>
      <w:bookmarkStart w:id="8016" w:name="_Toc106184246"/>
      <w:r w:rsidRPr="0006234D">
        <w:rPr>
          <w:lang w:val="nb-NO" w:eastAsia="zh-CN"/>
        </w:rPr>
        <w:t>11.2.2.2.2</w:t>
      </w:r>
      <w:r>
        <w:rPr>
          <w:lang w:val="nb-NO" w:eastAsia="zh-CN"/>
        </w:rPr>
        <w:tab/>
      </w:r>
      <w:r w:rsidRPr="0006234D">
        <w:rPr>
          <w:lang w:val="nb-NO" w:eastAsia="zh-CN"/>
        </w:rPr>
        <w:t>Performance requirements for PDCCH</w:t>
      </w:r>
      <w:bookmarkEnd w:id="8009"/>
      <w:bookmarkEnd w:id="8010"/>
      <w:bookmarkEnd w:id="8011"/>
      <w:bookmarkEnd w:id="8012"/>
      <w:bookmarkEnd w:id="8013"/>
      <w:bookmarkEnd w:id="8014"/>
      <w:bookmarkEnd w:id="8015"/>
      <w:bookmarkEnd w:id="8016"/>
    </w:p>
    <w:p w14:paraId="5F4514B8" w14:textId="77777777" w:rsidR="00241417" w:rsidRDefault="00241417" w:rsidP="00241417">
      <w:pPr>
        <w:pStyle w:val="H6"/>
        <w:rPr>
          <w:lang w:eastAsia="zh-CN"/>
        </w:rPr>
      </w:pPr>
      <w:r>
        <w:rPr>
          <w:lang w:eastAsia="zh-CN"/>
        </w:rPr>
        <w:t>11.2.2.2.2.1</w:t>
      </w:r>
      <w:r>
        <w:rPr>
          <w:lang w:eastAsia="zh-CN"/>
        </w:rPr>
        <w:tab/>
        <w:t>General</w:t>
      </w:r>
    </w:p>
    <w:p w14:paraId="7838BBEB" w14:textId="77777777" w:rsidR="00241417" w:rsidRPr="0021076E" w:rsidRDefault="00241417" w:rsidP="00241417">
      <w:r>
        <w:t>The receiver characteristics of the PDCCH are determined by the probability of miss-detection of the Downlink Scheduling Grant (Pm-dsg).</w:t>
      </w:r>
    </w:p>
    <w:p w14:paraId="338E27D9" w14:textId="77777777" w:rsidR="00241417" w:rsidRPr="00E73A39" w:rsidRDefault="00241417" w:rsidP="00241417">
      <w:pPr>
        <w:pStyle w:val="TH"/>
      </w:pPr>
      <w:r w:rsidRPr="00E73A39">
        <w:lastRenderedPageBreak/>
        <w:t>Table: 11.2.2.2.2.1-1 Test parameters for testing PDCCH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3"/>
        <w:gridCol w:w="6508"/>
      </w:tblGrid>
      <w:tr w:rsidR="00241417" w:rsidRPr="00E73A39" w14:paraId="4D512811" w14:textId="77777777" w:rsidTr="003A71DE">
        <w:trPr>
          <w:jc w:val="center"/>
        </w:trPr>
        <w:tc>
          <w:tcPr>
            <w:tcW w:w="2972" w:type="dxa"/>
            <w:vAlign w:val="center"/>
            <w:hideMark/>
          </w:tcPr>
          <w:p w14:paraId="6F9B84E0" w14:textId="77777777" w:rsidR="00241417" w:rsidRPr="00E73A39" w:rsidRDefault="00241417" w:rsidP="003A71DE">
            <w:pPr>
              <w:pStyle w:val="TAH"/>
            </w:pPr>
            <w:r w:rsidRPr="00E73A39">
              <w:t>Parameter</w:t>
            </w:r>
          </w:p>
        </w:tc>
        <w:tc>
          <w:tcPr>
            <w:tcW w:w="6657" w:type="dxa"/>
            <w:vAlign w:val="center"/>
            <w:hideMark/>
          </w:tcPr>
          <w:p w14:paraId="3C45656F" w14:textId="77777777" w:rsidR="00241417" w:rsidRPr="00E73A39" w:rsidRDefault="00241417" w:rsidP="003A71DE">
            <w:pPr>
              <w:pStyle w:val="TAH"/>
            </w:pPr>
            <w:r w:rsidRPr="00E73A39">
              <w:t>Value</w:t>
            </w:r>
          </w:p>
        </w:tc>
      </w:tr>
      <w:tr w:rsidR="00241417" w14:paraId="15649FA3" w14:textId="77777777" w:rsidTr="003A71DE">
        <w:trPr>
          <w:jc w:val="center"/>
        </w:trPr>
        <w:tc>
          <w:tcPr>
            <w:tcW w:w="2972" w:type="dxa"/>
            <w:vAlign w:val="center"/>
          </w:tcPr>
          <w:p w14:paraId="3D7AFEB9" w14:textId="77777777" w:rsidR="00241417" w:rsidRDefault="00241417" w:rsidP="003A71DE">
            <w:pPr>
              <w:pStyle w:val="TAL"/>
            </w:pPr>
            <w:r w:rsidRPr="00185C33">
              <w:t>Cyclic prefix</w:t>
            </w:r>
          </w:p>
        </w:tc>
        <w:tc>
          <w:tcPr>
            <w:tcW w:w="6657" w:type="dxa"/>
            <w:vAlign w:val="center"/>
          </w:tcPr>
          <w:p w14:paraId="328AE449" w14:textId="77777777" w:rsidR="00241417" w:rsidRPr="00E73A39" w:rsidRDefault="00241417" w:rsidP="003A71DE">
            <w:pPr>
              <w:pStyle w:val="TAC"/>
            </w:pPr>
            <w:r w:rsidRPr="00E73A39">
              <w:rPr>
                <w:rFonts w:hint="eastAsia"/>
              </w:rPr>
              <w:t>N</w:t>
            </w:r>
            <w:r w:rsidRPr="00E73A39">
              <w:t>ormal</w:t>
            </w:r>
          </w:p>
        </w:tc>
      </w:tr>
      <w:tr w:rsidR="00241417" w14:paraId="6AC186D7" w14:textId="77777777" w:rsidTr="003A71DE">
        <w:trPr>
          <w:jc w:val="center"/>
        </w:trPr>
        <w:tc>
          <w:tcPr>
            <w:tcW w:w="2972" w:type="dxa"/>
            <w:vAlign w:val="center"/>
            <w:hideMark/>
          </w:tcPr>
          <w:p w14:paraId="504CDEE5" w14:textId="77777777" w:rsidR="00241417" w:rsidRDefault="00241417" w:rsidP="003A71DE">
            <w:pPr>
              <w:pStyle w:val="TAL"/>
            </w:pPr>
            <w:r>
              <w:t>Default TDD UL-DL pattern (Note 1)</w:t>
            </w:r>
          </w:p>
        </w:tc>
        <w:tc>
          <w:tcPr>
            <w:tcW w:w="6657" w:type="dxa"/>
            <w:vAlign w:val="center"/>
            <w:hideMark/>
          </w:tcPr>
          <w:p w14:paraId="300FD740" w14:textId="77777777" w:rsidR="00241417" w:rsidRPr="00E73A39" w:rsidRDefault="00241417" w:rsidP="003A71DE">
            <w:pPr>
              <w:pStyle w:val="TAC"/>
            </w:pPr>
            <w:r w:rsidRPr="00E73A39">
              <w:t>3D1S1U, S=10D:2G:2U</w:t>
            </w:r>
          </w:p>
        </w:tc>
      </w:tr>
      <w:tr w:rsidR="00241417" w14:paraId="457E01DB" w14:textId="77777777" w:rsidTr="003A71DE">
        <w:trPr>
          <w:jc w:val="center"/>
        </w:trPr>
        <w:tc>
          <w:tcPr>
            <w:tcW w:w="2972" w:type="dxa"/>
            <w:vAlign w:val="center"/>
          </w:tcPr>
          <w:p w14:paraId="1D5EE915" w14:textId="77777777" w:rsidR="00241417" w:rsidRDefault="00241417" w:rsidP="003A71DE">
            <w:pPr>
              <w:pStyle w:val="TAL"/>
            </w:pPr>
            <w:r>
              <w:t>DM-RS sequence generation</w:t>
            </w:r>
          </w:p>
        </w:tc>
        <w:tc>
          <w:tcPr>
            <w:tcW w:w="6657" w:type="dxa"/>
            <w:vAlign w:val="center"/>
          </w:tcPr>
          <w:p w14:paraId="5D209196" w14:textId="77777777" w:rsidR="00241417" w:rsidRPr="00E73A39" w:rsidRDefault="00241417" w:rsidP="003A71DE">
            <w:pPr>
              <w:pStyle w:val="TAC"/>
            </w:pPr>
            <w:r w:rsidRPr="00E73A39">
              <w:t>NID=0</w:t>
            </w:r>
          </w:p>
        </w:tc>
      </w:tr>
      <w:tr w:rsidR="00241417" w14:paraId="4ED2DBAE" w14:textId="77777777" w:rsidTr="003A71DE">
        <w:trPr>
          <w:jc w:val="center"/>
        </w:trPr>
        <w:tc>
          <w:tcPr>
            <w:tcW w:w="2972" w:type="dxa"/>
            <w:vAlign w:val="center"/>
            <w:hideMark/>
          </w:tcPr>
          <w:p w14:paraId="0E1A0AA6" w14:textId="77777777" w:rsidR="00241417" w:rsidRDefault="00241417" w:rsidP="003A71DE">
            <w:pPr>
              <w:pStyle w:val="TAL"/>
            </w:pPr>
            <w:r>
              <w:t>Frequency domain resource allocation for CORESET</w:t>
            </w:r>
          </w:p>
        </w:tc>
        <w:tc>
          <w:tcPr>
            <w:tcW w:w="6657" w:type="dxa"/>
            <w:vAlign w:val="center"/>
            <w:hideMark/>
          </w:tcPr>
          <w:p w14:paraId="18173ED9" w14:textId="77777777" w:rsidR="00241417" w:rsidRPr="00E73A39" w:rsidRDefault="00241417" w:rsidP="003A71DE">
            <w:pPr>
              <w:pStyle w:val="TAC"/>
            </w:pPr>
            <w:r w:rsidRPr="00E73A39">
              <w:t>Start from RB = 0 with contiguous RB allocation</w:t>
            </w:r>
          </w:p>
        </w:tc>
      </w:tr>
      <w:tr w:rsidR="00241417" w14:paraId="20F07AA1" w14:textId="77777777" w:rsidTr="003A71DE">
        <w:trPr>
          <w:jc w:val="center"/>
        </w:trPr>
        <w:tc>
          <w:tcPr>
            <w:tcW w:w="2972" w:type="dxa"/>
            <w:vAlign w:val="center"/>
          </w:tcPr>
          <w:p w14:paraId="0A427BAE" w14:textId="77777777" w:rsidR="00241417" w:rsidRDefault="00241417" w:rsidP="003A71DE">
            <w:pPr>
              <w:pStyle w:val="TAL"/>
            </w:pPr>
            <w:r>
              <w:t>CCE to REG mapping type</w:t>
            </w:r>
          </w:p>
        </w:tc>
        <w:tc>
          <w:tcPr>
            <w:tcW w:w="6657" w:type="dxa"/>
            <w:vAlign w:val="center"/>
          </w:tcPr>
          <w:p w14:paraId="338F710B" w14:textId="77777777" w:rsidR="00241417" w:rsidRPr="00E73A39" w:rsidRDefault="00241417" w:rsidP="003A71DE">
            <w:pPr>
              <w:pStyle w:val="TAC"/>
            </w:pPr>
            <w:r w:rsidRPr="00E73A39">
              <w:t>Interleaved</w:t>
            </w:r>
          </w:p>
        </w:tc>
      </w:tr>
      <w:tr w:rsidR="00241417" w14:paraId="63D90A81" w14:textId="77777777" w:rsidTr="003A71DE">
        <w:trPr>
          <w:jc w:val="center"/>
        </w:trPr>
        <w:tc>
          <w:tcPr>
            <w:tcW w:w="2972" w:type="dxa"/>
            <w:vAlign w:val="center"/>
          </w:tcPr>
          <w:p w14:paraId="449D3ED7" w14:textId="77777777" w:rsidR="00241417" w:rsidRDefault="00241417" w:rsidP="003A71DE">
            <w:pPr>
              <w:pStyle w:val="TAL"/>
            </w:pPr>
            <w:r>
              <w:t>Interleaver size</w:t>
            </w:r>
          </w:p>
        </w:tc>
        <w:tc>
          <w:tcPr>
            <w:tcW w:w="6657" w:type="dxa"/>
            <w:vAlign w:val="center"/>
          </w:tcPr>
          <w:p w14:paraId="5F809B77" w14:textId="77777777" w:rsidR="00241417" w:rsidRPr="008C1F2E" w:rsidRDefault="00241417" w:rsidP="003A71DE">
            <w:pPr>
              <w:pStyle w:val="TAC"/>
            </w:pPr>
            <w:r w:rsidRPr="00743A36">
              <w:t>2 for test with Aggregation level 4</w:t>
            </w:r>
            <w:r w:rsidRPr="00743A36">
              <w:br/>
            </w:r>
            <w:r w:rsidRPr="008C1F2E">
              <w:t>3 for others</w:t>
            </w:r>
          </w:p>
        </w:tc>
      </w:tr>
      <w:tr w:rsidR="00241417" w14:paraId="343A439D" w14:textId="77777777" w:rsidTr="003A71DE">
        <w:trPr>
          <w:jc w:val="center"/>
        </w:trPr>
        <w:tc>
          <w:tcPr>
            <w:tcW w:w="2972" w:type="dxa"/>
            <w:vAlign w:val="center"/>
          </w:tcPr>
          <w:p w14:paraId="1874F4BF" w14:textId="77777777" w:rsidR="00241417" w:rsidRDefault="00241417" w:rsidP="003A71DE">
            <w:pPr>
              <w:pStyle w:val="TAL"/>
            </w:pPr>
            <w:r>
              <w:t>REG bundle size</w:t>
            </w:r>
          </w:p>
        </w:tc>
        <w:tc>
          <w:tcPr>
            <w:tcW w:w="6657" w:type="dxa"/>
            <w:vAlign w:val="center"/>
          </w:tcPr>
          <w:p w14:paraId="59DDFCDB" w14:textId="77777777" w:rsidR="00241417" w:rsidRPr="008C1F2E" w:rsidRDefault="00241417" w:rsidP="003A71DE">
            <w:pPr>
              <w:pStyle w:val="TAC"/>
            </w:pPr>
            <w:r w:rsidRPr="00743A36">
              <w:t>6 for test with Aggregation level 4</w:t>
            </w:r>
            <w:r w:rsidRPr="00743A36">
              <w:br/>
              <w:t>2 for others</w:t>
            </w:r>
          </w:p>
        </w:tc>
      </w:tr>
      <w:tr w:rsidR="00241417" w14:paraId="614111A4" w14:textId="77777777" w:rsidTr="003A71DE">
        <w:trPr>
          <w:jc w:val="center"/>
        </w:trPr>
        <w:tc>
          <w:tcPr>
            <w:tcW w:w="2972" w:type="dxa"/>
            <w:vAlign w:val="center"/>
          </w:tcPr>
          <w:p w14:paraId="3A40A0A6" w14:textId="77777777" w:rsidR="00241417" w:rsidRDefault="00241417" w:rsidP="003A71DE">
            <w:pPr>
              <w:pStyle w:val="TAL"/>
            </w:pPr>
            <w:r>
              <w:rPr>
                <w:rFonts w:cs="Arial"/>
                <w:lang w:eastAsia="zh-CN"/>
              </w:rPr>
              <w:t>Shift Index</w:t>
            </w:r>
          </w:p>
        </w:tc>
        <w:tc>
          <w:tcPr>
            <w:tcW w:w="6657" w:type="dxa"/>
            <w:vAlign w:val="center"/>
          </w:tcPr>
          <w:p w14:paraId="5C5FC623" w14:textId="77777777" w:rsidR="00241417" w:rsidRPr="00E73A39" w:rsidRDefault="00241417" w:rsidP="003A71DE">
            <w:pPr>
              <w:pStyle w:val="TAC"/>
            </w:pPr>
            <w:r w:rsidRPr="00E73A39">
              <w:rPr>
                <w:rFonts w:hint="eastAsia"/>
              </w:rPr>
              <w:t>0</w:t>
            </w:r>
          </w:p>
        </w:tc>
      </w:tr>
      <w:tr w:rsidR="00241417" w14:paraId="00B9AA63" w14:textId="77777777" w:rsidTr="003A71DE">
        <w:trPr>
          <w:jc w:val="center"/>
        </w:trPr>
        <w:tc>
          <w:tcPr>
            <w:tcW w:w="2972" w:type="dxa"/>
            <w:vAlign w:val="center"/>
          </w:tcPr>
          <w:p w14:paraId="184EB41F" w14:textId="77777777" w:rsidR="00241417" w:rsidRDefault="00241417" w:rsidP="003A71DE">
            <w:pPr>
              <w:pStyle w:val="TAL"/>
              <w:rPr>
                <w:rFonts w:cs="Arial"/>
                <w:lang w:eastAsia="zh-CN"/>
              </w:rPr>
            </w:pPr>
            <w:r w:rsidRPr="00492C07">
              <w:t>Slots for PDCCH monitoring</w:t>
            </w:r>
          </w:p>
        </w:tc>
        <w:tc>
          <w:tcPr>
            <w:tcW w:w="6657" w:type="dxa"/>
            <w:vAlign w:val="center"/>
          </w:tcPr>
          <w:p w14:paraId="1E60C030" w14:textId="77777777" w:rsidR="00241417" w:rsidRPr="00E73A39" w:rsidRDefault="00241417" w:rsidP="003A71DE">
            <w:pPr>
              <w:pStyle w:val="TAC"/>
            </w:pPr>
            <w:r w:rsidRPr="00E73A39">
              <w:rPr>
                <w:rFonts w:hint="eastAsia"/>
              </w:rPr>
              <w:t>E</w:t>
            </w:r>
            <w:r w:rsidRPr="00E73A39">
              <w:t>ach slot</w:t>
            </w:r>
          </w:p>
        </w:tc>
      </w:tr>
      <w:tr w:rsidR="00241417" w14:paraId="38452E83" w14:textId="77777777" w:rsidTr="003A71DE">
        <w:trPr>
          <w:jc w:val="center"/>
        </w:trPr>
        <w:tc>
          <w:tcPr>
            <w:tcW w:w="2972" w:type="dxa"/>
            <w:vAlign w:val="center"/>
          </w:tcPr>
          <w:p w14:paraId="6DCA4D3D" w14:textId="77777777" w:rsidR="00241417" w:rsidRDefault="00241417" w:rsidP="003A71DE">
            <w:pPr>
              <w:pStyle w:val="TAL"/>
              <w:rPr>
                <w:rFonts w:cs="Arial"/>
                <w:lang w:eastAsia="zh-CN"/>
              </w:rPr>
            </w:pPr>
            <w:r w:rsidRPr="00492C07">
              <w:t>Number of PDCCH candidates</w:t>
            </w:r>
            <w:r>
              <w:t xml:space="preserve"> for the tested </w:t>
            </w:r>
            <w:r>
              <w:rPr>
                <w:szCs w:val="18"/>
                <w:lang w:val="fr-FR"/>
              </w:rPr>
              <w:t>aggregation level</w:t>
            </w:r>
          </w:p>
        </w:tc>
        <w:tc>
          <w:tcPr>
            <w:tcW w:w="6657" w:type="dxa"/>
            <w:vAlign w:val="center"/>
          </w:tcPr>
          <w:p w14:paraId="0501FCA0" w14:textId="77777777" w:rsidR="00241417" w:rsidRPr="00E73A39" w:rsidRDefault="00241417" w:rsidP="003A71DE">
            <w:pPr>
              <w:pStyle w:val="TAC"/>
            </w:pPr>
            <w:r w:rsidRPr="00E73A39">
              <w:rPr>
                <w:rFonts w:hint="eastAsia"/>
              </w:rPr>
              <w:t>1</w:t>
            </w:r>
          </w:p>
        </w:tc>
      </w:tr>
      <w:tr w:rsidR="00241417" w14:paraId="4E574D99" w14:textId="77777777" w:rsidTr="003A71DE">
        <w:trPr>
          <w:jc w:val="center"/>
        </w:trPr>
        <w:tc>
          <w:tcPr>
            <w:tcW w:w="2972" w:type="dxa"/>
            <w:vAlign w:val="center"/>
          </w:tcPr>
          <w:p w14:paraId="51162DC2" w14:textId="77777777" w:rsidR="00241417" w:rsidRDefault="00241417" w:rsidP="003A71DE">
            <w:pPr>
              <w:pStyle w:val="TAL"/>
              <w:rPr>
                <w:rFonts w:cs="Arial"/>
                <w:lang w:eastAsia="zh-CN"/>
              </w:rPr>
            </w:pPr>
            <w:r w:rsidRPr="00492C07">
              <w:t>PDCCH Precoding configuration</w:t>
            </w:r>
          </w:p>
        </w:tc>
        <w:tc>
          <w:tcPr>
            <w:tcW w:w="6657" w:type="dxa"/>
            <w:vAlign w:val="center"/>
          </w:tcPr>
          <w:p w14:paraId="5AE640F8" w14:textId="77777777" w:rsidR="00241417" w:rsidRPr="00E73A39" w:rsidRDefault="00241417" w:rsidP="003A71DE">
            <w:pPr>
              <w:pStyle w:val="TAC"/>
            </w:pPr>
            <w:r w:rsidRPr="00E73A39">
              <w:t>Single Panel Type I, Random precoder selection updated per slot, with equal probability of each applicable i1, i2 combination with REG bundling granularity for number of Tx larger than 1</w:t>
            </w:r>
          </w:p>
        </w:tc>
      </w:tr>
      <w:tr w:rsidR="00241417" w14:paraId="6665B16C" w14:textId="77777777" w:rsidTr="003A71DE">
        <w:trPr>
          <w:jc w:val="center"/>
        </w:trPr>
        <w:tc>
          <w:tcPr>
            <w:tcW w:w="0" w:type="auto"/>
            <w:gridSpan w:val="2"/>
            <w:vAlign w:val="center"/>
            <w:hideMark/>
          </w:tcPr>
          <w:p w14:paraId="0648C8D1" w14:textId="77777777" w:rsidR="00241417" w:rsidRDefault="00241417" w:rsidP="003A71DE">
            <w:pPr>
              <w:pStyle w:val="TAL"/>
            </w:pPr>
            <w:r>
              <w:t>Note 1</w:t>
            </w:r>
            <w:r>
              <w:rPr>
                <w:lang w:eastAsia="zh-CN"/>
              </w:rPr>
              <w:t>:</w:t>
            </w:r>
            <w:r>
              <w:tab/>
              <w:t>The same requirements are applicable to TDD with different UL-DL patterns.</w:t>
            </w:r>
          </w:p>
          <w:p w14:paraId="314CB26C" w14:textId="7E3FF535" w:rsidR="00241417" w:rsidRDefault="00BC408B" w:rsidP="00BC408B">
            <w:pPr>
              <w:pStyle w:val="TAN"/>
            </w:pPr>
            <w:r w:rsidRPr="00CF23CC">
              <w:rPr>
                <w:rFonts w:eastAsia="SimSun"/>
              </w:rPr>
              <w:t xml:space="preserve">Note </w:t>
            </w:r>
            <w:r>
              <w:rPr>
                <w:rFonts w:eastAsia="SimSun"/>
              </w:rPr>
              <w:t>2</w:t>
            </w:r>
            <w:r w:rsidRPr="00CF23CC">
              <w:rPr>
                <w:rFonts w:eastAsia="SimSun"/>
              </w:rPr>
              <w:t>:</w:t>
            </w:r>
            <w:r w:rsidRPr="00CF23CC">
              <w:rPr>
                <w:rFonts w:eastAsia="SimSun"/>
              </w:rPr>
              <w:tab/>
              <w:t>SSB, TRS, CSI-RS, and/or other unspecified test parameters with respect to TS 38.101-4 [</w:t>
            </w:r>
            <w:r>
              <w:rPr>
                <w:rFonts w:eastAsia="SimSun" w:hint="eastAsia"/>
                <w:lang w:eastAsia="zh-CN"/>
              </w:rPr>
              <w:t>28</w:t>
            </w:r>
            <w:r w:rsidRPr="00CF23CC">
              <w:rPr>
                <w:rFonts w:eastAsia="SimSun"/>
              </w:rPr>
              <w:t>] are left up to test implementation, if transmitted or needed</w:t>
            </w:r>
          </w:p>
        </w:tc>
      </w:tr>
    </w:tbl>
    <w:p w14:paraId="6654746B" w14:textId="77777777" w:rsidR="00241417" w:rsidRPr="00E73A39" w:rsidRDefault="00241417" w:rsidP="00241417">
      <w:pPr>
        <w:rPr>
          <w:lang w:eastAsia="zh-CN"/>
        </w:rPr>
      </w:pPr>
    </w:p>
    <w:p w14:paraId="51031432" w14:textId="77777777" w:rsidR="00241417" w:rsidRDefault="00241417" w:rsidP="00241417">
      <w:pPr>
        <w:pStyle w:val="H6"/>
      </w:pPr>
      <w:r>
        <w:t>11.2.2.2.2.2</w:t>
      </w:r>
      <w:r>
        <w:tab/>
      </w:r>
      <w:r>
        <w:rPr>
          <w:lang w:eastAsia="zh-CN"/>
        </w:rPr>
        <w:t>Minimum requirements</w:t>
      </w:r>
    </w:p>
    <w:p w14:paraId="7E2AAE82" w14:textId="77777777" w:rsidR="00241417" w:rsidRDefault="00241417" w:rsidP="00241417">
      <w:r>
        <w:t>The Pm-dsg shall be equal to or smaller than 1%, for the cases stated in Table 11.2.2</w:t>
      </w:r>
      <w:r>
        <w:rPr>
          <w:lang w:eastAsia="zh-CN"/>
        </w:rPr>
        <w:t>.2.2.2</w:t>
      </w:r>
      <w:r>
        <w:t>-1 at the given SNR with the test parameters stated in Table 11.2.2</w:t>
      </w:r>
      <w:r>
        <w:rPr>
          <w:lang w:eastAsia="zh-CN"/>
        </w:rPr>
        <w:t>.2.2.1</w:t>
      </w:r>
      <w:r>
        <w:t>-1</w:t>
      </w:r>
      <w:r>
        <w:rPr>
          <w:lang w:eastAsia="zh-CN"/>
        </w:rPr>
        <w:t>.</w:t>
      </w:r>
    </w:p>
    <w:p w14:paraId="4675A417" w14:textId="77777777" w:rsidR="00241417" w:rsidRDefault="00241417" w:rsidP="00241417">
      <w:pPr>
        <w:pStyle w:val="TH"/>
      </w:pPr>
      <w:r w:rsidRPr="00E73A39">
        <w:t>Table 11.2.2.2.2.2-1: Minimum requirements for PDCCH</w:t>
      </w:r>
      <w:r>
        <w:t>, 100 MHz Channel Bandwidth, 120 kHz SCS</w:t>
      </w:r>
    </w:p>
    <w:tbl>
      <w:tblPr>
        <w:tblW w:w="9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8"/>
        <w:gridCol w:w="1134"/>
        <w:gridCol w:w="1134"/>
        <w:gridCol w:w="1304"/>
        <w:gridCol w:w="1531"/>
        <w:gridCol w:w="1474"/>
        <w:gridCol w:w="907"/>
        <w:gridCol w:w="703"/>
      </w:tblGrid>
      <w:tr w:rsidR="00241417" w14:paraId="57CC6456" w14:textId="77777777" w:rsidTr="003A71DE">
        <w:trPr>
          <w:trHeight w:val="495"/>
          <w:jc w:val="center"/>
        </w:trPr>
        <w:tc>
          <w:tcPr>
            <w:tcW w:w="1038" w:type="dxa"/>
            <w:tcBorders>
              <w:top w:val="single" w:sz="4" w:space="0" w:color="auto"/>
              <w:left w:val="single" w:sz="4" w:space="0" w:color="auto"/>
              <w:bottom w:val="single" w:sz="4" w:space="0" w:color="auto"/>
              <w:right w:val="single" w:sz="4" w:space="0" w:color="auto"/>
            </w:tcBorders>
            <w:shd w:val="clear" w:color="auto" w:fill="FFFFFF"/>
            <w:vAlign w:val="center"/>
          </w:tcPr>
          <w:p w14:paraId="2A24F1BB" w14:textId="77777777" w:rsidR="00241417" w:rsidRPr="00BD6443" w:rsidRDefault="00241417" w:rsidP="003A71DE">
            <w:pPr>
              <w:pStyle w:val="TAH"/>
            </w:pPr>
            <w:r>
              <w:t>Antenna configuration</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5A5192" w14:textId="77777777" w:rsidR="00241417" w:rsidRDefault="00241417" w:rsidP="003A71DE">
            <w:pPr>
              <w:pStyle w:val="TAH"/>
              <w:rPr>
                <w:szCs w:val="18"/>
                <w:lang w:val="en-US" w:eastAsia="zh-CN"/>
              </w:rPr>
            </w:pPr>
            <w:r>
              <w:rPr>
                <w:szCs w:val="18"/>
                <w:lang w:val="en-US" w:eastAsia="zh-CN"/>
              </w:rPr>
              <w:t>CORESET RB</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F8488C" w14:textId="77777777" w:rsidR="00241417" w:rsidRDefault="00241417" w:rsidP="003A71DE">
            <w:pPr>
              <w:pStyle w:val="TAH"/>
              <w:rPr>
                <w:rFonts w:cs="Arial"/>
                <w:bCs/>
                <w:color w:val="000000"/>
                <w:szCs w:val="18"/>
                <w:lang w:val="en-US" w:eastAsia="zh-CN"/>
              </w:rPr>
            </w:pPr>
            <w:r>
              <w:rPr>
                <w:rFonts w:cs="Arial"/>
                <w:bCs/>
                <w:color w:val="000000"/>
                <w:szCs w:val="18"/>
              </w:rPr>
              <w:t>CORESET duration</w:t>
            </w:r>
          </w:p>
        </w:tc>
        <w:tc>
          <w:tcPr>
            <w:tcW w:w="13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03FC07" w14:textId="77777777" w:rsidR="00241417" w:rsidRDefault="00241417" w:rsidP="003A71DE">
            <w:pPr>
              <w:pStyle w:val="TAH"/>
              <w:rPr>
                <w:szCs w:val="18"/>
                <w:lang w:val="fr-FR"/>
              </w:rPr>
            </w:pPr>
            <w:r>
              <w:rPr>
                <w:szCs w:val="18"/>
                <w:lang w:val="fr-FR"/>
              </w:rPr>
              <w:t>Aggregation level</w:t>
            </w:r>
          </w:p>
        </w:tc>
        <w:tc>
          <w:tcPr>
            <w:tcW w:w="153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E851DD" w14:textId="77777777" w:rsidR="00241417" w:rsidRDefault="00241417" w:rsidP="003A71DE">
            <w:pPr>
              <w:pStyle w:val="TAH"/>
              <w:rPr>
                <w:szCs w:val="18"/>
                <w:lang w:val="fr-FR"/>
              </w:rPr>
            </w:pPr>
            <w:r>
              <w:rPr>
                <w:szCs w:val="18"/>
              </w:rPr>
              <w:t>FRC (Annex A)</w:t>
            </w:r>
          </w:p>
        </w:tc>
        <w:tc>
          <w:tcPr>
            <w:tcW w:w="14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996367" w14:textId="1C74B76D" w:rsidR="00241417" w:rsidRDefault="00241417" w:rsidP="003A71DE">
            <w:pPr>
              <w:pStyle w:val="TAH"/>
              <w:rPr>
                <w:szCs w:val="18"/>
                <w:lang w:val="en-US" w:eastAsia="zh-CN"/>
              </w:rPr>
            </w:pPr>
            <w:r w:rsidRPr="00BD6443">
              <w:t xml:space="preserve">Propagation conditions and correlation matrix (Annex </w:t>
            </w:r>
            <w:r>
              <w:t>TBA</w:t>
            </w:r>
            <w:r w:rsidRPr="00BD6443">
              <w:t>)</w:t>
            </w:r>
          </w:p>
        </w:tc>
        <w:tc>
          <w:tcPr>
            <w:tcW w:w="9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873146" w14:textId="77777777" w:rsidR="00241417" w:rsidRDefault="00241417" w:rsidP="003A71DE">
            <w:pPr>
              <w:pStyle w:val="TAH"/>
              <w:rPr>
                <w:szCs w:val="18"/>
                <w:lang w:val="en-US" w:eastAsia="zh-CN"/>
              </w:rPr>
            </w:pPr>
            <w:r>
              <w:rPr>
                <w:szCs w:val="18"/>
                <w:lang w:val="en-US" w:eastAsia="zh-CN"/>
              </w:rPr>
              <w:t>Pm-dsg (%)</w:t>
            </w:r>
          </w:p>
        </w:tc>
        <w:tc>
          <w:tcPr>
            <w:tcW w:w="70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7A0F83" w14:textId="77777777" w:rsidR="00241417" w:rsidRDefault="00241417" w:rsidP="003A71DE">
            <w:pPr>
              <w:pStyle w:val="TAH"/>
              <w:rPr>
                <w:szCs w:val="18"/>
              </w:rPr>
            </w:pPr>
            <w:r>
              <w:rPr>
                <w:szCs w:val="18"/>
              </w:rPr>
              <w:t>SNR</w:t>
            </w:r>
          </w:p>
          <w:p w14:paraId="50B20090" w14:textId="77777777" w:rsidR="00241417" w:rsidRDefault="00241417" w:rsidP="003A71DE">
            <w:pPr>
              <w:pStyle w:val="TAH"/>
              <w:rPr>
                <w:szCs w:val="18"/>
                <w:lang w:val="en-US" w:eastAsia="zh-CN"/>
              </w:rPr>
            </w:pPr>
            <w:r>
              <w:rPr>
                <w:szCs w:val="18"/>
              </w:rPr>
              <w:t>(dB)</w:t>
            </w:r>
          </w:p>
        </w:tc>
      </w:tr>
      <w:tr w:rsidR="00241417" w14:paraId="79577738" w14:textId="77777777" w:rsidTr="003A71DE">
        <w:trPr>
          <w:trHeight w:val="225"/>
          <w:jc w:val="center"/>
        </w:trPr>
        <w:tc>
          <w:tcPr>
            <w:tcW w:w="1038" w:type="dxa"/>
            <w:tcBorders>
              <w:top w:val="single" w:sz="4" w:space="0" w:color="auto"/>
              <w:left w:val="single" w:sz="4" w:space="0" w:color="auto"/>
              <w:bottom w:val="single" w:sz="4" w:space="0" w:color="auto"/>
              <w:right w:val="single" w:sz="4" w:space="0" w:color="auto"/>
            </w:tcBorders>
            <w:vAlign w:val="center"/>
          </w:tcPr>
          <w:p w14:paraId="573210C8" w14:textId="77777777" w:rsidR="00241417" w:rsidRDefault="00241417" w:rsidP="003A71DE">
            <w:pPr>
              <w:pStyle w:val="TAC"/>
              <w:rPr>
                <w:szCs w:val="18"/>
                <w:lang w:val="en-US" w:eastAsia="zh-CN"/>
              </w:rPr>
            </w:pPr>
            <w:r>
              <w:rPr>
                <w:szCs w:val="18"/>
                <w:lang w:val="en-US" w:eastAsia="zh-CN"/>
              </w:rPr>
              <w:t>1x2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6BAA4D2" w14:textId="77777777" w:rsidR="00241417" w:rsidRDefault="00241417" w:rsidP="003A71DE">
            <w:pPr>
              <w:pStyle w:val="TAC"/>
              <w:rPr>
                <w:szCs w:val="18"/>
                <w:lang w:val="en-US" w:eastAsia="zh-CN"/>
              </w:rPr>
            </w:pPr>
            <w:r>
              <w:rPr>
                <w:szCs w:val="18"/>
                <w:lang w:val="en-US" w:eastAsia="zh-CN"/>
              </w:rPr>
              <w:t>60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151CFCD" w14:textId="77777777" w:rsidR="00241417" w:rsidRDefault="00241417" w:rsidP="003A71DE">
            <w:pPr>
              <w:pStyle w:val="TAC"/>
              <w:rPr>
                <w:szCs w:val="18"/>
                <w:lang w:val="en-US" w:eastAsia="zh-CN"/>
              </w:rPr>
            </w:pPr>
            <w:r>
              <w:rPr>
                <w:szCs w:val="18"/>
                <w:lang w:val="en-US" w:eastAsia="zh-CN"/>
              </w:rPr>
              <w:t>1</w:t>
            </w:r>
          </w:p>
        </w:tc>
        <w:tc>
          <w:tcPr>
            <w:tcW w:w="1304" w:type="dxa"/>
            <w:tcBorders>
              <w:top w:val="single" w:sz="4" w:space="0" w:color="auto"/>
              <w:left w:val="single" w:sz="4" w:space="0" w:color="auto"/>
              <w:bottom w:val="single" w:sz="4" w:space="0" w:color="auto"/>
              <w:right w:val="single" w:sz="4" w:space="0" w:color="auto"/>
            </w:tcBorders>
            <w:vAlign w:val="center"/>
            <w:hideMark/>
          </w:tcPr>
          <w:p w14:paraId="2A9DB833" w14:textId="77777777" w:rsidR="00241417" w:rsidRDefault="00241417" w:rsidP="003A71DE">
            <w:pPr>
              <w:pStyle w:val="TAC"/>
              <w:rPr>
                <w:szCs w:val="18"/>
                <w:lang w:val="en-US" w:eastAsia="zh-CN"/>
              </w:rPr>
            </w:pPr>
            <w:r>
              <w:rPr>
                <w:szCs w:val="18"/>
                <w:lang w:val="en-US" w:eastAsia="zh-CN"/>
              </w:rPr>
              <w:t>2</w:t>
            </w:r>
          </w:p>
        </w:tc>
        <w:tc>
          <w:tcPr>
            <w:tcW w:w="1531" w:type="dxa"/>
            <w:tcBorders>
              <w:top w:val="single" w:sz="4" w:space="0" w:color="auto"/>
              <w:left w:val="single" w:sz="4" w:space="0" w:color="auto"/>
              <w:bottom w:val="single" w:sz="4" w:space="0" w:color="auto"/>
              <w:right w:val="single" w:sz="4" w:space="0" w:color="auto"/>
            </w:tcBorders>
            <w:vAlign w:val="center"/>
            <w:hideMark/>
          </w:tcPr>
          <w:p w14:paraId="7FB0565D" w14:textId="77777777" w:rsidR="00241417" w:rsidRPr="00762AFB" w:rsidRDefault="00241417" w:rsidP="003A71DE">
            <w:pPr>
              <w:pStyle w:val="TAC"/>
            </w:pPr>
            <w:r w:rsidRPr="001A11AF">
              <w:rPr>
                <w:lang w:eastAsia="zh-CN"/>
              </w:rPr>
              <w:t>M-FR</w:t>
            </w:r>
            <w:r>
              <w:rPr>
                <w:lang w:eastAsia="zh-CN"/>
              </w:rPr>
              <w:t>2</w:t>
            </w:r>
            <w:r w:rsidRPr="001A11AF">
              <w:rPr>
                <w:lang w:eastAsia="zh-CN"/>
              </w:rPr>
              <w:t>-A.3.</w:t>
            </w:r>
            <w:r>
              <w:rPr>
                <w:lang w:eastAsia="zh-CN"/>
              </w:rPr>
              <w:t>4-1</w:t>
            </w:r>
          </w:p>
        </w:tc>
        <w:tc>
          <w:tcPr>
            <w:tcW w:w="1474" w:type="dxa"/>
            <w:tcBorders>
              <w:top w:val="single" w:sz="4" w:space="0" w:color="auto"/>
              <w:left w:val="single" w:sz="4" w:space="0" w:color="auto"/>
              <w:bottom w:val="single" w:sz="4" w:space="0" w:color="auto"/>
              <w:right w:val="single" w:sz="4" w:space="0" w:color="auto"/>
            </w:tcBorders>
            <w:noWrap/>
            <w:vAlign w:val="center"/>
            <w:hideMark/>
          </w:tcPr>
          <w:p w14:paraId="2AEE25D2" w14:textId="77777777" w:rsidR="00241417" w:rsidRDefault="00241417" w:rsidP="003A71DE">
            <w:pPr>
              <w:pStyle w:val="TAC"/>
              <w:rPr>
                <w:szCs w:val="18"/>
                <w:lang w:val="en-US" w:eastAsia="zh-CN"/>
              </w:rPr>
            </w:pPr>
            <w:r w:rsidRPr="00185C33">
              <w:rPr>
                <w:szCs w:val="18"/>
                <w:lang w:val="en-US" w:eastAsia="zh-CN"/>
              </w:rPr>
              <w:t>TDLA30-</w:t>
            </w:r>
            <w:r>
              <w:rPr>
                <w:szCs w:val="18"/>
                <w:lang w:val="en-US" w:eastAsia="zh-CN"/>
              </w:rPr>
              <w:t>75, ULA Low</w:t>
            </w:r>
          </w:p>
        </w:tc>
        <w:tc>
          <w:tcPr>
            <w:tcW w:w="907" w:type="dxa"/>
            <w:tcBorders>
              <w:top w:val="single" w:sz="4" w:space="0" w:color="auto"/>
              <w:left w:val="single" w:sz="4" w:space="0" w:color="auto"/>
              <w:bottom w:val="single" w:sz="4" w:space="0" w:color="auto"/>
              <w:right w:val="single" w:sz="4" w:space="0" w:color="auto"/>
            </w:tcBorders>
            <w:noWrap/>
            <w:vAlign w:val="center"/>
            <w:hideMark/>
          </w:tcPr>
          <w:p w14:paraId="0D2DC2D5" w14:textId="77777777" w:rsidR="00241417" w:rsidRDefault="00241417" w:rsidP="003A71DE">
            <w:pPr>
              <w:pStyle w:val="TAC"/>
              <w:rPr>
                <w:szCs w:val="18"/>
                <w:lang w:val="en-US" w:eastAsia="zh-CN"/>
              </w:rPr>
            </w:pPr>
            <w:r>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2F981B2E" w14:textId="77777777" w:rsidR="00241417" w:rsidRDefault="00241417" w:rsidP="003A71DE">
            <w:pPr>
              <w:pStyle w:val="TAC"/>
              <w:rPr>
                <w:szCs w:val="18"/>
                <w:lang w:val="en-US" w:eastAsia="zh-CN"/>
              </w:rPr>
            </w:pPr>
            <w:r>
              <w:rPr>
                <w:szCs w:val="18"/>
                <w:lang w:val="en-US" w:eastAsia="zh-CN"/>
              </w:rPr>
              <w:t>6.4</w:t>
            </w:r>
          </w:p>
        </w:tc>
      </w:tr>
      <w:tr w:rsidR="00241417" w14:paraId="4FDD24DA" w14:textId="77777777" w:rsidTr="003A71DE">
        <w:trPr>
          <w:trHeight w:val="225"/>
          <w:jc w:val="center"/>
        </w:trPr>
        <w:tc>
          <w:tcPr>
            <w:tcW w:w="1038" w:type="dxa"/>
            <w:tcBorders>
              <w:top w:val="single" w:sz="4" w:space="0" w:color="auto"/>
              <w:left w:val="single" w:sz="4" w:space="0" w:color="auto"/>
              <w:bottom w:val="single" w:sz="4" w:space="0" w:color="auto"/>
              <w:right w:val="single" w:sz="4" w:space="0" w:color="auto"/>
            </w:tcBorders>
            <w:vAlign w:val="center"/>
          </w:tcPr>
          <w:p w14:paraId="2B85926F" w14:textId="77777777" w:rsidR="00241417" w:rsidRDefault="00241417" w:rsidP="003A71DE">
            <w:pPr>
              <w:pStyle w:val="TAC"/>
              <w:rPr>
                <w:szCs w:val="18"/>
                <w:lang w:val="en-US" w:eastAsia="zh-CN"/>
              </w:rPr>
            </w:pPr>
            <w:r>
              <w:rPr>
                <w:szCs w:val="18"/>
                <w:lang w:val="en-US" w:eastAsia="zh-CN"/>
              </w:rPr>
              <w:t>1x2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E4F862A" w14:textId="77777777" w:rsidR="00241417" w:rsidRDefault="00241417" w:rsidP="003A71DE">
            <w:pPr>
              <w:pStyle w:val="TAC"/>
              <w:rPr>
                <w:szCs w:val="18"/>
                <w:lang w:val="en-US" w:eastAsia="zh-CN"/>
              </w:rPr>
            </w:pPr>
            <w:r>
              <w:rPr>
                <w:szCs w:val="18"/>
                <w:lang w:val="en-US" w:eastAsia="zh-CN"/>
              </w:rPr>
              <w:t>60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BDACAEF" w14:textId="77777777" w:rsidR="00241417" w:rsidRDefault="00241417" w:rsidP="003A71DE">
            <w:pPr>
              <w:pStyle w:val="TAC"/>
              <w:rPr>
                <w:szCs w:val="18"/>
                <w:lang w:val="en-US" w:eastAsia="zh-CN"/>
              </w:rPr>
            </w:pPr>
            <w:r>
              <w:rPr>
                <w:szCs w:val="18"/>
                <w:lang w:val="en-US" w:eastAsia="zh-CN"/>
              </w:rPr>
              <w:t>1</w:t>
            </w:r>
          </w:p>
        </w:tc>
        <w:tc>
          <w:tcPr>
            <w:tcW w:w="1304" w:type="dxa"/>
            <w:tcBorders>
              <w:top w:val="single" w:sz="4" w:space="0" w:color="auto"/>
              <w:left w:val="single" w:sz="4" w:space="0" w:color="auto"/>
              <w:bottom w:val="single" w:sz="4" w:space="0" w:color="auto"/>
              <w:right w:val="single" w:sz="4" w:space="0" w:color="auto"/>
            </w:tcBorders>
            <w:vAlign w:val="center"/>
            <w:hideMark/>
          </w:tcPr>
          <w:p w14:paraId="63A7E5D9" w14:textId="77777777" w:rsidR="00241417" w:rsidRDefault="00241417" w:rsidP="003A71DE">
            <w:pPr>
              <w:pStyle w:val="TAC"/>
              <w:rPr>
                <w:szCs w:val="18"/>
                <w:lang w:val="en-US" w:eastAsia="zh-CN"/>
              </w:rPr>
            </w:pPr>
            <w:r>
              <w:rPr>
                <w:szCs w:val="18"/>
                <w:lang w:val="en-US" w:eastAsia="zh-CN"/>
              </w:rPr>
              <w:t>4</w:t>
            </w:r>
          </w:p>
        </w:tc>
        <w:tc>
          <w:tcPr>
            <w:tcW w:w="1531" w:type="dxa"/>
            <w:tcBorders>
              <w:top w:val="single" w:sz="4" w:space="0" w:color="auto"/>
              <w:left w:val="single" w:sz="4" w:space="0" w:color="auto"/>
              <w:bottom w:val="single" w:sz="4" w:space="0" w:color="auto"/>
              <w:right w:val="single" w:sz="4" w:space="0" w:color="auto"/>
            </w:tcBorders>
            <w:vAlign w:val="center"/>
            <w:hideMark/>
          </w:tcPr>
          <w:p w14:paraId="3B29AA6C" w14:textId="77777777" w:rsidR="00241417" w:rsidRPr="00762AFB" w:rsidRDefault="00241417" w:rsidP="003A71DE">
            <w:pPr>
              <w:pStyle w:val="TAC"/>
            </w:pPr>
            <w:r w:rsidRPr="001A11AF">
              <w:rPr>
                <w:lang w:eastAsia="zh-CN"/>
              </w:rPr>
              <w:t>M-FR</w:t>
            </w:r>
            <w:r>
              <w:rPr>
                <w:lang w:eastAsia="zh-CN"/>
              </w:rPr>
              <w:t>2</w:t>
            </w:r>
            <w:r w:rsidRPr="001A11AF">
              <w:rPr>
                <w:lang w:eastAsia="zh-CN"/>
              </w:rPr>
              <w:t>-A.3.</w:t>
            </w:r>
            <w:r>
              <w:rPr>
                <w:lang w:eastAsia="zh-CN"/>
              </w:rPr>
              <w:t>4-2</w:t>
            </w:r>
          </w:p>
        </w:tc>
        <w:tc>
          <w:tcPr>
            <w:tcW w:w="1474" w:type="dxa"/>
            <w:tcBorders>
              <w:top w:val="single" w:sz="4" w:space="0" w:color="auto"/>
              <w:left w:val="single" w:sz="4" w:space="0" w:color="auto"/>
              <w:bottom w:val="single" w:sz="4" w:space="0" w:color="auto"/>
              <w:right w:val="single" w:sz="4" w:space="0" w:color="auto"/>
            </w:tcBorders>
            <w:noWrap/>
            <w:vAlign w:val="center"/>
            <w:hideMark/>
          </w:tcPr>
          <w:p w14:paraId="487BBCFD" w14:textId="77777777" w:rsidR="00241417" w:rsidRPr="00206DA9" w:rsidRDefault="00241417" w:rsidP="003A71DE">
            <w:pPr>
              <w:pStyle w:val="TAC"/>
              <w:rPr>
                <w:szCs w:val="18"/>
                <w:lang w:val="en-US" w:eastAsia="zh-CN"/>
              </w:rPr>
            </w:pPr>
            <w:r w:rsidRPr="00206DA9">
              <w:rPr>
                <w:szCs w:val="18"/>
                <w:lang w:val="en-US" w:eastAsia="zh-CN"/>
              </w:rPr>
              <w:t>TDLA30-75, ULA Low</w:t>
            </w:r>
          </w:p>
        </w:tc>
        <w:tc>
          <w:tcPr>
            <w:tcW w:w="907" w:type="dxa"/>
            <w:tcBorders>
              <w:top w:val="single" w:sz="4" w:space="0" w:color="auto"/>
              <w:left w:val="single" w:sz="4" w:space="0" w:color="auto"/>
              <w:bottom w:val="single" w:sz="4" w:space="0" w:color="auto"/>
              <w:right w:val="single" w:sz="4" w:space="0" w:color="auto"/>
            </w:tcBorders>
            <w:noWrap/>
            <w:vAlign w:val="center"/>
            <w:hideMark/>
          </w:tcPr>
          <w:p w14:paraId="4E0E01E3" w14:textId="77777777" w:rsidR="00241417" w:rsidRPr="00206DA9" w:rsidRDefault="00241417" w:rsidP="003A71DE">
            <w:pPr>
              <w:pStyle w:val="TAC"/>
              <w:rPr>
                <w:szCs w:val="18"/>
                <w:lang w:val="en-US" w:eastAsia="zh-CN"/>
              </w:rPr>
            </w:pPr>
            <w:r w:rsidRPr="00206DA9">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0A6B425A" w14:textId="77777777" w:rsidR="00241417" w:rsidRPr="00206DA9" w:rsidRDefault="00241417" w:rsidP="003A71DE">
            <w:pPr>
              <w:pStyle w:val="TAC"/>
              <w:rPr>
                <w:szCs w:val="18"/>
                <w:lang w:val="en-US" w:eastAsia="zh-CN"/>
              </w:rPr>
            </w:pPr>
            <w:r w:rsidRPr="00206DA9">
              <w:rPr>
                <w:szCs w:val="18"/>
                <w:lang w:val="en-US" w:eastAsia="zh-CN"/>
              </w:rPr>
              <w:t>2.9</w:t>
            </w:r>
          </w:p>
        </w:tc>
      </w:tr>
      <w:tr w:rsidR="00241417" w14:paraId="428A26EB" w14:textId="77777777" w:rsidTr="003A71DE">
        <w:trPr>
          <w:trHeight w:val="225"/>
          <w:jc w:val="center"/>
        </w:trPr>
        <w:tc>
          <w:tcPr>
            <w:tcW w:w="1038" w:type="dxa"/>
            <w:tcBorders>
              <w:top w:val="single" w:sz="4" w:space="0" w:color="auto"/>
              <w:left w:val="single" w:sz="4" w:space="0" w:color="auto"/>
              <w:bottom w:val="single" w:sz="4" w:space="0" w:color="auto"/>
              <w:right w:val="single" w:sz="4" w:space="0" w:color="auto"/>
            </w:tcBorders>
            <w:vAlign w:val="center"/>
          </w:tcPr>
          <w:p w14:paraId="71DB94D6" w14:textId="77777777" w:rsidR="00241417" w:rsidRDefault="00241417" w:rsidP="003A71DE">
            <w:pPr>
              <w:pStyle w:val="TAC"/>
              <w:rPr>
                <w:szCs w:val="18"/>
                <w:lang w:val="en-US" w:eastAsia="zh-CN"/>
              </w:rPr>
            </w:pPr>
            <w:r>
              <w:rPr>
                <w:szCs w:val="18"/>
                <w:lang w:val="en-US" w:eastAsia="zh-CN"/>
              </w:rPr>
              <w:t>2x2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FE9C730" w14:textId="77777777" w:rsidR="00241417" w:rsidRDefault="00241417" w:rsidP="003A71DE">
            <w:pPr>
              <w:pStyle w:val="TAC"/>
              <w:rPr>
                <w:szCs w:val="18"/>
                <w:lang w:val="en-US" w:eastAsia="zh-CN"/>
              </w:rPr>
            </w:pPr>
            <w:r>
              <w:rPr>
                <w:szCs w:val="18"/>
                <w:lang w:val="en-US" w:eastAsia="zh-CN"/>
              </w:rPr>
              <w:t>60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68B3037" w14:textId="77777777" w:rsidR="00241417" w:rsidRDefault="00241417" w:rsidP="003A71DE">
            <w:pPr>
              <w:pStyle w:val="TAC"/>
              <w:rPr>
                <w:szCs w:val="18"/>
                <w:lang w:val="en-US" w:eastAsia="zh-CN"/>
              </w:rPr>
            </w:pPr>
            <w:r>
              <w:rPr>
                <w:szCs w:val="18"/>
                <w:lang w:val="en-US" w:eastAsia="zh-CN"/>
              </w:rPr>
              <w:t>1</w:t>
            </w:r>
          </w:p>
        </w:tc>
        <w:tc>
          <w:tcPr>
            <w:tcW w:w="1304" w:type="dxa"/>
            <w:tcBorders>
              <w:top w:val="single" w:sz="4" w:space="0" w:color="auto"/>
              <w:left w:val="single" w:sz="4" w:space="0" w:color="auto"/>
              <w:bottom w:val="single" w:sz="4" w:space="0" w:color="auto"/>
              <w:right w:val="single" w:sz="4" w:space="0" w:color="auto"/>
            </w:tcBorders>
            <w:vAlign w:val="center"/>
            <w:hideMark/>
          </w:tcPr>
          <w:p w14:paraId="74C57529" w14:textId="77777777" w:rsidR="00241417" w:rsidRDefault="00241417" w:rsidP="003A71DE">
            <w:pPr>
              <w:pStyle w:val="TAC"/>
              <w:rPr>
                <w:szCs w:val="18"/>
                <w:lang w:val="en-US" w:eastAsia="zh-CN"/>
              </w:rPr>
            </w:pPr>
            <w:r>
              <w:rPr>
                <w:szCs w:val="18"/>
                <w:lang w:val="en-US" w:eastAsia="zh-CN"/>
              </w:rPr>
              <w:t>8</w:t>
            </w:r>
          </w:p>
        </w:tc>
        <w:tc>
          <w:tcPr>
            <w:tcW w:w="1531" w:type="dxa"/>
            <w:tcBorders>
              <w:top w:val="single" w:sz="4" w:space="0" w:color="auto"/>
              <w:left w:val="single" w:sz="4" w:space="0" w:color="auto"/>
              <w:bottom w:val="single" w:sz="4" w:space="0" w:color="auto"/>
              <w:right w:val="single" w:sz="4" w:space="0" w:color="auto"/>
            </w:tcBorders>
            <w:vAlign w:val="center"/>
            <w:hideMark/>
          </w:tcPr>
          <w:p w14:paraId="562C9529" w14:textId="77777777" w:rsidR="00241417" w:rsidRPr="00762AFB" w:rsidRDefault="00241417" w:rsidP="003A71DE">
            <w:pPr>
              <w:pStyle w:val="TAC"/>
            </w:pPr>
            <w:r w:rsidRPr="001A11AF">
              <w:rPr>
                <w:lang w:eastAsia="zh-CN"/>
              </w:rPr>
              <w:t>M-FR</w:t>
            </w:r>
            <w:r>
              <w:rPr>
                <w:lang w:eastAsia="zh-CN"/>
              </w:rPr>
              <w:t>2</w:t>
            </w:r>
            <w:r w:rsidRPr="001A11AF">
              <w:rPr>
                <w:lang w:eastAsia="zh-CN"/>
              </w:rPr>
              <w:t>-A.3.</w:t>
            </w:r>
            <w:r>
              <w:rPr>
                <w:lang w:eastAsia="zh-CN"/>
              </w:rPr>
              <w:t>4-3</w:t>
            </w:r>
          </w:p>
        </w:tc>
        <w:tc>
          <w:tcPr>
            <w:tcW w:w="1474" w:type="dxa"/>
            <w:tcBorders>
              <w:top w:val="single" w:sz="4" w:space="0" w:color="auto"/>
              <w:left w:val="single" w:sz="4" w:space="0" w:color="auto"/>
              <w:bottom w:val="single" w:sz="4" w:space="0" w:color="auto"/>
              <w:right w:val="single" w:sz="4" w:space="0" w:color="auto"/>
            </w:tcBorders>
            <w:noWrap/>
            <w:vAlign w:val="center"/>
            <w:hideMark/>
          </w:tcPr>
          <w:p w14:paraId="07633C0F" w14:textId="77777777" w:rsidR="00241417" w:rsidRDefault="00241417" w:rsidP="003A71DE">
            <w:pPr>
              <w:pStyle w:val="TAC"/>
              <w:rPr>
                <w:szCs w:val="18"/>
                <w:lang w:val="en-US" w:eastAsia="zh-CN"/>
              </w:rPr>
            </w:pPr>
            <w:r w:rsidRPr="00185C33">
              <w:rPr>
                <w:szCs w:val="18"/>
                <w:lang w:val="en-US" w:eastAsia="zh-CN"/>
              </w:rPr>
              <w:t>TDLA30-</w:t>
            </w:r>
            <w:r>
              <w:rPr>
                <w:szCs w:val="18"/>
                <w:lang w:val="en-US" w:eastAsia="zh-CN"/>
              </w:rPr>
              <w:t>75, ULA Low</w:t>
            </w:r>
          </w:p>
        </w:tc>
        <w:tc>
          <w:tcPr>
            <w:tcW w:w="907" w:type="dxa"/>
            <w:tcBorders>
              <w:top w:val="single" w:sz="4" w:space="0" w:color="auto"/>
              <w:left w:val="single" w:sz="4" w:space="0" w:color="auto"/>
              <w:bottom w:val="single" w:sz="4" w:space="0" w:color="auto"/>
              <w:right w:val="single" w:sz="4" w:space="0" w:color="auto"/>
            </w:tcBorders>
            <w:noWrap/>
            <w:vAlign w:val="center"/>
            <w:hideMark/>
          </w:tcPr>
          <w:p w14:paraId="0503D016" w14:textId="77777777" w:rsidR="00241417" w:rsidRDefault="00241417" w:rsidP="003A71DE">
            <w:pPr>
              <w:pStyle w:val="TAC"/>
              <w:rPr>
                <w:szCs w:val="18"/>
                <w:lang w:val="en-US" w:eastAsia="zh-CN"/>
              </w:rPr>
            </w:pPr>
            <w:r>
              <w:rPr>
                <w:szCs w:val="18"/>
                <w:lang w:val="en-US" w:eastAsia="zh-CN"/>
              </w:rPr>
              <w:t>1</w:t>
            </w:r>
          </w:p>
        </w:tc>
        <w:tc>
          <w:tcPr>
            <w:tcW w:w="703" w:type="dxa"/>
            <w:tcBorders>
              <w:top w:val="single" w:sz="4" w:space="0" w:color="auto"/>
              <w:left w:val="single" w:sz="4" w:space="0" w:color="auto"/>
              <w:bottom w:val="single" w:sz="4" w:space="0" w:color="auto"/>
              <w:right w:val="single" w:sz="4" w:space="0" w:color="auto"/>
            </w:tcBorders>
            <w:vAlign w:val="center"/>
            <w:hideMark/>
          </w:tcPr>
          <w:p w14:paraId="7E529E27" w14:textId="77777777" w:rsidR="00241417" w:rsidRPr="00C1362E" w:rsidRDefault="00241417" w:rsidP="003A71DE">
            <w:pPr>
              <w:pStyle w:val="TAC"/>
              <w:rPr>
                <w:szCs w:val="18"/>
                <w:lang w:val="en-US" w:eastAsia="zh-CN"/>
              </w:rPr>
            </w:pPr>
            <w:r w:rsidRPr="00C57FC8">
              <w:rPr>
                <w:szCs w:val="18"/>
                <w:lang w:val="en-US" w:eastAsia="zh-CN"/>
              </w:rPr>
              <w:t>0.1</w:t>
            </w:r>
          </w:p>
        </w:tc>
      </w:tr>
    </w:tbl>
    <w:p w14:paraId="4903DCD0" w14:textId="77777777" w:rsidR="00241417" w:rsidRDefault="00241417" w:rsidP="00241417">
      <w:pPr>
        <w:rPr>
          <w:noProof/>
        </w:rPr>
      </w:pPr>
    </w:p>
    <w:p w14:paraId="343AF06E" w14:textId="77777777" w:rsidR="00241417" w:rsidRPr="00FA1FB5" w:rsidRDefault="00241417" w:rsidP="00241417">
      <w:pPr>
        <w:pStyle w:val="Heading3"/>
        <w:rPr>
          <w:lang w:val="en-US" w:eastAsia="zh-CN"/>
        </w:rPr>
      </w:pPr>
      <w:bookmarkStart w:id="8017" w:name="_Toc74583505"/>
      <w:bookmarkStart w:id="8018" w:name="_Toc76542318"/>
      <w:bookmarkStart w:id="8019" w:name="_Toc82450300"/>
      <w:bookmarkStart w:id="8020" w:name="_Toc82450948"/>
      <w:bookmarkStart w:id="8021" w:name="_Toc89949337"/>
      <w:bookmarkStart w:id="8022" w:name="_Toc98755726"/>
      <w:bookmarkStart w:id="8023" w:name="_Toc98763318"/>
      <w:bookmarkStart w:id="8024" w:name="_Toc106184247"/>
      <w:r w:rsidRPr="00FA1FB5">
        <w:rPr>
          <w:lang w:val="en-US" w:eastAsia="zh-CN"/>
        </w:rPr>
        <w:t>11.2.3</w:t>
      </w:r>
      <w:r w:rsidRPr="00FA1FB5">
        <w:rPr>
          <w:lang w:val="en-US" w:eastAsia="zh-CN"/>
        </w:rPr>
        <w:tab/>
        <w:t>CSI reporting requirements</w:t>
      </w:r>
      <w:bookmarkEnd w:id="8017"/>
      <w:bookmarkEnd w:id="8018"/>
      <w:bookmarkEnd w:id="8019"/>
      <w:bookmarkEnd w:id="8020"/>
      <w:bookmarkEnd w:id="8021"/>
      <w:bookmarkEnd w:id="8022"/>
      <w:bookmarkEnd w:id="8023"/>
      <w:bookmarkEnd w:id="8024"/>
    </w:p>
    <w:p w14:paraId="54266FC5" w14:textId="77777777" w:rsidR="00241417" w:rsidRPr="00FA1FB5" w:rsidRDefault="00241417" w:rsidP="00241417">
      <w:pPr>
        <w:pStyle w:val="Heading4"/>
        <w:rPr>
          <w:lang w:val="en-US" w:eastAsia="zh-CN"/>
        </w:rPr>
      </w:pPr>
      <w:bookmarkStart w:id="8025" w:name="_Toc74583506"/>
      <w:bookmarkStart w:id="8026" w:name="_Toc76542319"/>
      <w:bookmarkStart w:id="8027" w:name="_Toc82450301"/>
      <w:bookmarkStart w:id="8028" w:name="_Toc82450949"/>
      <w:bookmarkStart w:id="8029" w:name="_Toc89949338"/>
      <w:bookmarkStart w:id="8030" w:name="_Toc98755727"/>
      <w:bookmarkStart w:id="8031" w:name="_Toc98763319"/>
      <w:bookmarkStart w:id="8032" w:name="_Toc106184248"/>
      <w:r w:rsidRPr="00FA1FB5">
        <w:rPr>
          <w:lang w:val="en-US" w:eastAsia="zh-CN"/>
        </w:rPr>
        <w:t>11.2.3.1</w:t>
      </w:r>
      <w:r w:rsidRPr="00FA1FB5">
        <w:rPr>
          <w:lang w:val="en-US" w:eastAsia="zh-CN"/>
        </w:rPr>
        <w:tab/>
        <w:t>Performance requirements for IAB type 1-O</w:t>
      </w:r>
      <w:bookmarkEnd w:id="8025"/>
      <w:bookmarkEnd w:id="8026"/>
      <w:bookmarkEnd w:id="8027"/>
      <w:bookmarkEnd w:id="8028"/>
      <w:bookmarkEnd w:id="8029"/>
      <w:bookmarkEnd w:id="8030"/>
      <w:bookmarkEnd w:id="8031"/>
      <w:bookmarkEnd w:id="8032"/>
    </w:p>
    <w:p w14:paraId="619AC12A" w14:textId="77777777" w:rsidR="00241417" w:rsidRPr="00FA1FB5" w:rsidRDefault="00241417" w:rsidP="00241417">
      <w:pPr>
        <w:pStyle w:val="Heading5"/>
        <w:rPr>
          <w:lang w:val="en-US" w:eastAsia="zh-CN"/>
        </w:rPr>
      </w:pPr>
      <w:bookmarkStart w:id="8033" w:name="_Toc74583507"/>
      <w:bookmarkStart w:id="8034" w:name="_Toc76542320"/>
      <w:bookmarkStart w:id="8035" w:name="_Toc82450302"/>
      <w:bookmarkStart w:id="8036" w:name="_Toc82450950"/>
      <w:bookmarkStart w:id="8037" w:name="_Toc89949339"/>
      <w:bookmarkStart w:id="8038" w:name="_Toc98755728"/>
      <w:bookmarkStart w:id="8039" w:name="_Toc98763320"/>
      <w:bookmarkStart w:id="8040" w:name="_Toc106184249"/>
      <w:r w:rsidRPr="00FA1FB5">
        <w:rPr>
          <w:lang w:val="en-US" w:eastAsia="zh-CN"/>
        </w:rPr>
        <w:t>11.2.3.1.1</w:t>
      </w:r>
      <w:r w:rsidRPr="00FA1FB5">
        <w:rPr>
          <w:lang w:val="en-US" w:eastAsia="zh-CN"/>
        </w:rPr>
        <w:tab/>
        <w:t>Reporting of Channel Quality Indicator (CQI)</w:t>
      </w:r>
      <w:bookmarkEnd w:id="8033"/>
      <w:bookmarkEnd w:id="8034"/>
      <w:bookmarkEnd w:id="8035"/>
      <w:bookmarkEnd w:id="8036"/>
      <w:bookmarkEnd w:id="8037"/>
      <w:bookmarkEnd w:id="8038"/>
      <w:bookmarkEnd w:id="8039"/>
      <w:bookmarkEnd w:id="8040"/>
    </w:p>
    <w:p w14:paraId="08F157FB" w14:textId="44AD984E" w:rsidR="00241417" w:rsidRPr="0055145D" w:rsidRDefault="00241417" w:rsidP="00241417">
      <w:pPr>
        <w:rPr>
          <w:lang w:eastAsia="zh-CN"/>
        </w:rPr>
      </w:pPr>
      <w:r>
        <w:rPr>
          <w:lang w:eastAsia="zh-CN"/>
        </w:rPr>
        <w:t>Apply the requirements defi</w:t>
      </w:r>
      <w:r w:rsidRPr="0055145D">
        <w:rPr>
          <w:lang w:eastAsia="zh-CN"/>
        </w:rPr>
        <w:t>ned in clause 8.2.3.</w:t>
      </w:r>
      <w:r>
        <w:rPr>
          <w:lang w:eastAsia="zh-CN"/>
        </w:rPr>
        <w:t>2</w:t>
      </w:r>
      <w:r w:rsidRPr="0055145D">
        <w:rPr>
          <w:lang w:eastAsia="zh-CN"/>
        </w:rPr>
        <w:t xml:space="preserve"> for 2Rx.</w:t>
      </w:r>
    </w:p>
    <w:p w14:paraId="2DC8E4FE" w14:textId="77777777" w:rsidR="00241417" w:rsidRPr="0055145D" w:rsidRDefault="00241417" w:rsidP="00241417">
      <w:pPr>
        <w:pStyle w:val="Heading5"/>
        <w:rPr>
          <w:lang w:val="en-US" w:eastAsia="zh-CN"/>
        </w:rPr>
      </w:pPr>
      <w:bookmarkStart w:id="8041" w:name="_Toc74583508"/>
      <w:bookmarkStart w:id="8042" w:name="_Toc76542321"/>
      <w:bookmarkStart w:id="8043" w:name="_Toc82450303"/>
      <w:bookmarkStart w:id="8044" w:name="_Toc82450951"/>
      <w:bookmarkStart w:id="8045" w:name="_Toc89949340"/>
      <w:bookmarkStart w:id="8046" w:name="_Toc98755729"/>
      <w:bookmarkStart w:id="8047" w:name="_Toc98763321"/>
      <w:bookmarkStart w:id="8048" w:name="_Toc106184250"/>
      <w:r w:rsidRPr="0055145D">
        <w:rPr>
          <w:lang w:val="en-US" w:eastAsia="zh-CN"/>
        </w:rPr>
        <w:t>11.2.3.1.2</w:t>
      </w:r>
      <w:r w:rsidRPr="0055145D">
        <w:rPr>
          <w:lang w:val="en-US" w:eastAsia="zh-CN"/>
        </w:rPr>
        <w:tab/>
        <w:t>Reporting of Precoding Matrix Indicator (PMI)</w:t>
      </w:r>
      <w:bookmarkEnd w:id="8041"/>
      <w:bookmarkEnd w:id="8042"/>
      <w:bookmarkEnd w:id="8043"/>
      <w:bookmarkEnd w:id="8044"/>
      <w:bookmarkEnd w:id="8045"/>
      <w:bookmarkEnd w:id="8046"/>
      <w:bookmarkEnd w:id="8047"/>
      <w:bookmarkEnd w:id="8048"/>
    </w:p>
    <w:p w14:paraId="0F05AF94" w14:textId="52B8BBA8" w:rsidR="00241417" w:rsidRPr="0055145D" w:rsidRDefault="00241417" w:rsidP="00241417">
      <w:pPr>
        <w:rPr>
          <w:lang w:eastAsia="zh-CN"/>
        </w:rPr>
      </w:pPr>
      <w:r w:rsidRPr="0055145D">
        <w:rPr>
          <w:lang w:eastAsia="zh-CN"/>
        </w:rPr>
        <w:t>Apply the requirements defined in clause 8.2.3.</w:t>
      </w:r>
      <w:r>
        <w:rPr>
          <w:lang w:eastAsia="zh-CN"/>
        </w:rPr>
        <w:t>3</w:t>
      </w:r>
      <w:r w:rsidRPr="0055145D">
        <w:rPr>
          <w:lang w:eastAsia="zh-CN"/>
        </w:rPr>
        <w:t xml:space="preserve"> for 2Rx.</w:t>
      </w:r>
    </w:p>
    <w:p w14:paraId="682D894B" w14:textId="77777777" w:rsidR="00241417" w:rsidRPr="0055145D" w:rsidRDefault="00241417" w:rsidP="00241417">
      <w:pPr>
        <w:pStyle w:val="Heading5"/>
        <w:rPr>
          <w:lang w:val="en-US" w:eastAsia="zh-CN"/>
        </w:rPr>
      </w:pPr>
      <w:bookmarkStart w:id="8049" w:name="_Toc74583509"/>
      <w:bookmarkStart w:id="8050" w:name="_Toc76542322"/>
      <w:bookmarkStart w:id="8051" w:name="_Toc82450304"/>
      <w:bookmarkStart w:id="8052" w:name="_Toc82450952"/>
      <w:bookmarkStart w:id="8053" w:name="_Toc89949341"/>
      <w:bookmarkStart w:id="8054" w:name="_Toc98755730"/>
      <w:bookmarkStart w:id="8055" w:name="_Toc98763322"/>
      <w:bookmarkStart w:id="8056" w:name="_Toc106184251"/>
      <w:r w:rsidRPr="0055145D">
        <w:rPr>
          <w:lang w:val="en-US" w:eastAsia="zh-CN"/>
        </w:rPr>
        <w:t>11.2.3.1.3</w:t>
      </w:r>
      <w:r w:rsidRPr="0055145D">
        <w:rPr>
          <w:lang w:val="en-US" w:eastAsia="zh-CN"/>
        </w:rPr>
        <w:tab/>
        <w:t>Reporting of Rank Indicator (RI)</w:t>
      </w:r>
      <w:bookmarkEnd w:id="8049"/>
      <w:bookmarkEnd w:id="8050"/>
      <w:bookmarkEnd w:id="8051"/>
      <w:bookmarkEnd w:id="8052"/>
      <w:bookmarkEnd w:id="8053"/>
      <w:bookmarkEnd w:id="8054"/>
      <w:bookmarkEnd w:id="8055"/>
      <w:bookmarkEnd w:id="8056"/>
    </w:p>
    <w:p w14:paraId="35F8FBDB" w14:textId="1403F546" w:rsidR="00241417" w:rsidRPr="00EF50DC" w:rsidRDefault="00241417" w:rsidP="00241417">
      <w:pPr>
        <w:rPr>
          <w:lang w:eastAsia="zh-CN"/>
        </w:rPr>
      </w:pPr>
      <w:r w:rsidRPr="0055145D">
        <w:rPr>
          <w:lang w:eastAsia="zh-CN"/>
        </w:rPr>
        <w:t>Apply the requirements defined in clause 8.2.3.</w:t>
      </w:r>
      <w:r>
        <w:rPr>
          <w:lang w:eastAsia="zh-CN"/>
        </w:rPr>
        <w:t>4</w:t>
      </w:r>
      <w:r w:rsidRPr="0055145D">
        <w:rPr>
          <w:lang w:eastAsia="zh-CN"/>
        </w:rPr>
        <w:t xml:space="preserve"> for</w:t>
      </w:r>
      <w:r>
        <w:rPr>
          <w:lang w:eastAsia="zh-CN"/>
        </w:rPr>
        <w:t xml:space="preserve"> 2Rx.</w:t>
      </w:r>
    </w:p>
    <w:p w14:paraId="2BE2D2D5" w14:textId="77777777" w:rsidR="00241417" w:rsidRPr="00FA1FB5" w:rsidRDefault="00241417" w:rsidP="00241417">
      <w:pPr>
        <w:pStyle w:val="Heading4"/>
        <w:rPr>
          <w:lang w:val="en-US" w:eastAsia="zh-CN"/>
        </w:rPr>
      </w:pPr>
      <w:bookmarkStart w:id="8057" w:name="_Toc74583510"/>
      <w:bookmarkStart w:id="8058" w:name="_Toc76542323"/>
      <w:bookmarkStart w:id="8059" w:name="_Toc82450305"/>
      <w:bookmarkStart w:id="8060" w:name="_Toc82450953"/>
      <w:bookmarkStart w:id="8061" w:name="_Toc89949342"/>
      <w:bookmarkStart w:id="8062" w:name="_Toc98755731"/>
      <w:bookmarkStart w:id="8063" w:name="_Toc98763323"/>
      <w:bookmarkStart w:id="8064" w:name="_Toc106184252"/>
      <w:r w:rsidRPr="00FA1FB5">
        <w:rPr>
          <w:lang w:val="en-US" w:eastAsia="zh-CN"/>
        </w:rPr>
        <w:lastRenderedPageBreak/>
        <w:t>11.2.3.2</w:t>
      </w:r>
      <w:r w:rsidRPr="00FA1FB5">
        <w:rPr>
          <w:lang w:val="en-US" w:eastAsia="zh-CN"/>
        </w:rPr>
        <w:tab/>
        <w:t>Performance requirements for IAB type 2-O</w:t>
      </w:r>
      <w:bookmarkEnd w:id="8057"/>
      <w:bookmarkEnd w:id="8058"/>
      <w:bookmarkEnd w:id="8059"/>
      <w:bookmarkEnd w:id="8060"/>
      <w:bookmarkEnd w:id="8061"/>
      <w:bookmarkEnd w:id="8062"/>
      <w:bookmarkEnd w:id="8063"/>
      <w:bookmarkEnd w:id="8064"/>
    </w:p>
    <w:p w14:paraId="37BEF9CA" w14:textId="77777777" w:rsidR="00241417" w:rsidRDefault="00241417" w:rsidP="00241417">
      <w:pPr>
        <w:pStyle w:val="Heading5"/>
        <w:rPr>
          <w:lang w:eastAsia="zh-CN"/>
        </w:rPr>
      </w:pPr>
      <w:bookmarkStart w:id="8065" w:name="_Toc74583511"/>
      <w:bookmarkStart w:id="8066" w:name="_Toc76542324"/>
      <w:bookmarkStart w:id="8067" w:name="_Toc82450306"/>
      <w:bookmarkStart w:id="8068" w:name="_Toc82450954"/>
      <w:bookmarkStart w:id="8069" w:name="_Toc89949343"/>
      <w:bookmarkStart w:id="8070" w:name="_Toc98755732"/>
      <w:bookmarkStart w:id="8071" w:name="_Toc98763324"/>
      <w:bookmarkStart w:id="8072" w:name="_Toc106184253"/>
      <w:r w:rsidRPr="00FA1FB5">
        <w:rPr>
          <w:lang w:val="en-US" w:eastAsia="zh-CN"/>
        </w:rPr>
        <w:t>11.2.3.2</w:t>
      </w:r>
      <w:r>
        <w:rPr>
          <w:lang w:eastAsia="zh-CN"/>
        </w:rPr>
        <w:t>.1</w:t>
      </w:r>
      <w:r>
        <w:rPr>
          <w:lang w:eastAsia="zh-CN"/>
        </w:rPr>
        <w:tab/>
        <w:t>General</w:t>
      </w:r>
      <w:bookmarkEnd w:id="8065"/>
      <w:bookmarkEnd w:id="8066"/>
      <w:bookmarkEnd w:id="8067"/>
      <w:bookmarkEnd w:id="8068"/>
      <w:bookmarkEnd w:id="8069"/>
      <w:bookmarkEnd w:id="8070"/>
      <w:bookmarkEnd w:id="8071"/>
      <w:bookmarkEnd w:id="8072"/>
    </w:p>
    <w:p w14:paraId="34818E01" w14:textId="77777777" w:rsidR="00241417" w:rsidRPr="00FA1FB5" w:rsidRDefault="00241417" w:rsidP="00241417">
      <w:pPr>
        <w:rPr>
          <w:rFonts w:eastAsia="SimSun"/>
          <w:lang w:val="en-US" w:eastAsia="zh-CN"/>
        </w:rPr>
      </w:pPr>
      <w:r w:rsidRPr="00FA1FB5">
        <w:rPr>
          <w:rFonts w:eastAsia="SimSun"/>
          <w:lang w:val="en-US"/>
        </w:rPr>
        <w:t xml:space="preserve">This clause includes </w:t>
      </w:r>
      <w:r w:rsidRPr="00FA1FB5">
        <w:rPr>
          <w:rFonts w:eastAsia="SimSun" w:hint="eastAsia"/>
          <w:lang w:val="en-US" w:eastAsia="zh-CN"/>
        </w:rPr>
        <w:t xml:space="preserve">radiated </w:t>
      </w:r>
      <w:r w:rsidRPr="00FA1FB5">
        <w:rPr>
          <w:rFonts w:eastAsia="SimSun"/>
          <w:lang w:val="en-US"/>
        </w:rPr>
        <w:t>requirements for the reporting of channel state information (CSI).</w:t>
      </w:r>
    </w:p>
    <w:p w14:paraId="46864BCE" w14:textId="4BB9C101" w:rsidR="009F2BA2" w:rsidRPr="00472EA4" w:rsidRDefault="00241417" w:rsidP="009F2BA2">
      <w:pPr>
        <w:pStyle w:val="H6"/>
        <w:rPr>
          <w:lang w:eastAsia="zh-CN"/>
        </w:rPr>
      </w:pPr>
      <w:r w:rsidRPr="00FA1FB5">
        <w:rPr>
          <w:lang w:val="en-US" w:eastAsia="zh-CN"/>
        </w:rPr>
        <w:t>11.2.3.2</w:t>
      </w:r>
      <w:r>
        <w:rPr>
          <w:lang w:eastAsia="zh-CN"/>
        </w:rPr>
        <w:t>.1.1</w:t>
      </w:r>
      <w:r>
        <w:rPr>
          <w:lang w:eastAsia="zh-CN"/>
        </w:rPr>
        <w:tab/>
      </w:r>
      <w:r w:rsidR="009F2BA2">
        <w:rPr>
          <w:lang w:eastAsia="zh-CN"/>
        </w:rPr>
        <w:t>Void</w:t>
      </w:r>
    </w:p>
    <w:p w14:paraId="291706D0" w14:textId="28DE0C18" w:rsidR="009F2BA2" w:rsidRPr="006C7AF4" w:rsidRDefault="009F2BA2" w:rsidP="00F01908">
      <w:pPr>
        <w:rPr>
          <w:lang w:eastAsia="zh-CN"/>
        </w:rPr>
      </w:pPr>
      <w:r w:rsidRPr="001E0487">
        <w:rPr>
          <w:lang w:eastAsia="zh-CN"/>
        </w:rPr>
        <w:t>Void</w:t>
      </w:r>
    </w:p>
    <w:p w14:paraId="5DBEA7E2" w14:textId="736D1F65" w:rsidR="00241417" w:rsidRDefault="00241417" w:rsidP="009F2BA2">
      <w:pPr>
        <w:pStyle w:val="H6"/>
        <w:rPr>
          <w:lang w:eastAsia="zh-CN"/>
        </w:rPr>
      </w:pPr>
      <w:r w:rsidRPr="00FA1FB5">
        <w:rPr>
          <w:lang w:val="en-US" w:eastAsia="zh-CN"/>
        </w:rPr>
        <w:t>11.2.3.2</w:t>
      </w:r>
      <w:r>
        <w:rPr>
          <w:lang w:eastAsia="zh-CN"/>
        </w:rPr>
        <w:t>.1.2</w:t>
      </w:r>
      <w:r>
        <w:rPr>
          <w:lang w:eastAsia="zh-CN"/>
        </w:rPr>
        <w:tab/>
        <w:t>Common test parameters</w:t>
      </w:r>
    </w:p>
    <w:p w14:paraId="763B6C9A" w14:textId="77777777" w:rsidR="00241417" w:rsidRPr="00FA1FB5" w:rsidRDefault="00241417" w:rsidP="00241417">
      <w:pPr>
        <w:rPr>
          <w:rFonts w:eastAsia="SimSun"/>
          <w:lang w:val="en-US" w:eastAsia="zh-CN"/>
        </w:rPr>
      </w:pPr>
      <w:r w:rsidRPr="00FA1FB5">
        <w:rPr>
          <w:rFonts w:eastAsia="SimSun" w:hint="eastAsia"/>
          <w:lang w:val="en-US" w:eastAsia="zh-CN"/>
        </w:rPr>
        <w:t xml:space="preserve">Parameters specified in Table </w:t>
      </w:r>
      <w:r w:rsidRPr="00FA1FB5">
        <w:rPr>
          <w:lang w:val="en-US" w:eastAsia="zh-CN"/>
        </w:rPr>
        <w:t>11.2.3.2</w:t>
      </w:r>
      <w:r>
        <w:rPr>
          <w:lang w:eastAsia="zh-CN"/>
        </w:rPr>
        <w:t>.1.2</w:t>
      </w:r>
      <w:r w:rsidRPr="00FA1FB5">
        <w:rPr>
          <w:rFonts w:eastAsia="SimSun" w:hint="eastAsia"/>
          <w:lang w:val="en-US" w:eastAsia="zh-CN"/>
        </w:rPr>
        <w:t>-1 are applied f</w:t>
      </w:r>
      <w:r w:rsidRPr="00FA1FB5">
        <w:rPr>
          <w:rFonts w:eastAsia="SimSun"/>
          <w:lang w:val="en-US"/>
        </w:rPr>
        <w:t>or all test cases in this clause</w:t>
      </w:r>
      <w:r w:rsidRPr="00FA1FB5">
        <w:rPr>
          <w:rFonts w:eastAsia="SimSun" w:hint="eastAsia"/>
          <w:lang w:val="en-US" w:eastAsia="zh-CN"/>
        </w:rPr>
        <w:t xml:space="preserve"> unless otherwise stated.</w:t>
      </w:r>
    </w:p>
    <w:p w14:paraId="60C2588A" w14:textId="77777777" w:rsidR="00241417" w:rsidRPr="00FA1FB5" w:rsidRDefault="00241417" w:rsidP="00241417">
      <w:pPr>
        <w:pStyle w:val="TH"/>
        <w:rPr>
          <w:lang w:val="en-US" w:eastAsia="zh-CN"/>
        </w:rPr>
      </w:pPr>
      <w:r w:rsidRPr="00FA1FB5">
        <w:rPr>
          <w:rFonts w:hint="eastAsia"/>
          <w:lang w:val="en-US" w:eastAsia="zh-CN"/>
        </w:rPr>
        <w:lastRenderedPageBreak/>
        <w:t xml:space="preserve">Table </w:t>
      </w:r>
      <w:r w:rsidRPr="00FA1FB5">
        <w:rPr>
          <w:lang w:val="en-US" w:eastAsia="zh-CN"/>
        </w:rPr>
        <w:t>11.2.3.2</w:t>
      </w:r>
      <w:r>
        <w:rPr>
          <w:lang w:eastAsia="zh-CN"/>
        </w:rPr>
        <w:t>.1.2</w:t>
      </w:r>
      <w:r w:rsidRPr="00FA1FB5">
        <w:rPr>
          <w:rFonts w:hint="eastAsia"/>
          <w:lang w:val="en-US" w:eastAsia="zh-CN"/>
        </w:rPr>
        <w:t>-1: Test parameters for CSI test cases</w:t>
      </w:r>
    </w:p>
    <w:tbl>
      <w:tblPr>
        <w:tblW w:w="375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7"/>
        <w:gridCol w:w="10"/>
        <w:gridCol w:w="2879"/>
        <w:gridCol w:w="960"/>
        <w:gridCol w:w="1915"/>
      </w:tblGrid>
      <w:tr w:rsidR="00241417" w:rsidRPr="00383285" w14:paraId="5EA19140" w14:textId="77777777" w:rsidTr="003A71DE">
        <w:trPr>
          <w:jc w:val="center"/>
        </w:trPr>
        <w:tc>
          <w:tcPr>
            <w:tcW w:w="3012" w:type="pct"/>
            <w:gridSpan w:val="3"/>
            <w:shd w:val="clear" w:color="auto" w:fill="auto"/>
          </w:tcPr>
          <w:p w14:paraId="1ACB8512" w14:textId="77777777" w:rsidR="00241417" w:rsidRPr="00383285" w:rsidRDefault="00241417" w:rsidP="003A71DE">
            <w:pPr>
              <w:pStyle w:val="TAH"/>
              <w:rPr>
                <w:rFonts w:eastAsia="SimSun"/>
                <w:lang w:val="en-US"/>
              </w:rPr>
            </w:pPr>
            <w:r w:rsidRPr="00383285">
              <w:rPr>
                <w:rFonts w:eastAsia="SimSun"/>
                <w:lang w:val="en-US"/>
              </w:rPr>
              <w:t>Parameter</w:t>
            </w:r>
          </w:p>
        </w:tc>
        <w:tc>
          <w:tcPr>
            <w:tcW w:w="664" w:type="pct"/>
            <w:shd w:val="clear" w:color="auto" w:fill="auto"/>
          </w:tcPr>
          <w:p w14:paraId="0CBCBC57" w14:textId="77777777" w:rsidR="00241417" w:rsidRPr="00383285" w:rsidRDefault="00241417" w:rsidP="003A71DE">
            <w:pPr>
              <w:pStyle w:val="TAH"/>
              <w:rPr>
                <w:rFonts w:eastAsia="SimSun"/>
                <w:lang w:val="en-US"/>
              </w:rPr>
            </w:pPr>
            <w:r w:rsidRPr="00383285">
              <w:rPr>
                <w:rFonts w:eastAsia="SimSun"/>
                <w:lang w:val="en-US"/>
              </w:rPr>
              <w:t>Unit</w:t>
            </w:r>
          </w:p>
        </w:tc>
        <w:tc>
          <w:tcPr>
            <w:tcW w:w="1324" w:type="pct"/>
            <w:shd w:val="clear" w:color="auto" w:fill="auto"/>
          </w:tcPr>
          <w:p w14:paraId="3F91FCF1" w14:textId="77777777" w:rsidR="00241417" w:rsidRPr="00383285" w:rsidRDefault="00241417" w:rsidP="003A71DE">
            <w:pPr>
              <w:pStyle w:val="TAH"/>
              <w:rPr>
                <w:rFonts w:eastAsia="SimSun"/>
                <w:lang w:val="en-US"/>
              </w:rPr>
            </w:pPr>
            <w:r w:rsidRPr="00383285">
              <w:rPr>
                <w:rFonts w:eastAsia="SimSun"/>
                <w:lang w:val="en-US"/>
              </w:rPr>
              <w:t>Value</w:t>
            </w:r>
          </w:p>
        </w:tc>
      </w:tr>
      <w:tr w:rsidR="00241417" w:rsidRPr="00383285" w14:paraId="26CF3259" w14:textId="77777777" w:rsidTr="003A71DE">
        <w:trPr>
          <w:jc w:val="center"/>
        </w:trPr>
        <w:tc>
          <w:tcPr>
            <w:tcW w:w="3012" w:type="pct"/>
            <w:gridSpan w:val="3"/>
            <w:shd w:val="clear" w:color="auto" w:fill="auto"/>
            <w:vAlign w:val="center"/>
          </w:tcPr>
          <w:p w14:paraId="774E2D12" w14:textId="77777777" w:rsidR="00241417" w:rsidRPr="00383285" w:rsidRDefault="00241417" w:rsidP="003A71DE">
            <w:pPr>
              <w:pStyle w:val="TAL"/>
              <w:rPr>
                <w:rFonts w:eastAsia="SimSun"/>
                <w:lang w:val="en-US"/>
              </w:rPr>
            </w:pPr>
            <w:r w:rsidRPr="00383285">
              <w:rPr>
                <w:rFonts w:eastAsia="SimSun"/>
                <w:lang w:val="en-US"/>
              </w:rPr>
              <w:t>PDSCH transmission scheme</w:t>
            </w:r>
          </w:p>
        </w:tc>
        <w:tc>
          <w:tcPr>
            <w:tcW w:w="664" w:type="pct"/>
            <w:shd w:val="clear" w:color="auto" w:fill="auto"/>
            <w:vAlign w:val="center"/>
          </w:tcPr>
          <w:p w14:paraId="0D24102A" w14:textId="77777777" w:rsidR="00241417" w:rsidRPr="00383285" w:rsidRDefault="00241417" w:rsidP="003A71DE">
            <w:pPr>
              <w:pStyle w:val="TAC"/>
              <w:rPr>
                <w:rFonts w:eastAsia="SimSun"/>
                <w:lang w:val="en-US"/>
              </w:rPr>
            </w:pPr>
          </w:p>
        </w:tc>
        <w:tc>
          <w:tcPr>
            <w:tcW w:w="1324" w:type="pct"/>
            <w:shd w:val="clear" w:color="auto" w:fill="auto"/>
            <w:vAlign w:val="center"/>
          </w:tcPr>
          <w:p w14:paraId="3B8CE237" w14:textId="77777777" w:rsidR="00241417" w:rsidRPr="00383285" w:rsidRDefault="00241417" w:rsidP="003A71DE">
            <w:pPr>
              <w:pStyle w:val="TAC"/>
              <w:rPr>
                <w:rFonts w:eastAsia="SimSun"/>
                <w:lang w:val="en-US"/>
              </w:rPr>
            </w:pPr>
            <w:r w:rsidRPr="00383285">
              <w:rPr>
                <w:rFonts w:eastAsia="SimSun"/>
                <w:lang w:val="en-US"/>
              </w:rPr>
              <w:t>Transmission scheme 1</w:t>
            </w:r>
          </w:p>
        </w:tc>
      </w:tr>
      <w:tr w:rsidR="00241417" w:rsidRPr="00383285" w14:paraId="2E2D5CBA" w14:textId="77777777" w:rsidTr="003A71DE">
        <w:trPr>
          <w:jc w:val="center"/>
        </w:trPr>
        <w:tc>
          <w:tcPr>
            <w:tcW w:w="3012" w:type="pct"/>
            <w:gridSpan w:val="3"/>
            <w:shd w:val="clear" w:color="auto" w:fill="auto"/>
            <w:vAlign w:val="center"/>
          </w:tcPr>
          <w:p w14:paraId="75CB360D" w14:textId="77777777" w:rsidR="00241417" w:rsidRPr="00383285" w:rsidRDefault="00241417" w:rsidP="003A71DE">
            <w:pPr>
              <w:pStyle w:val="TAL"/>
              <w:rPr>
                <w:rFonts w:eastAsia="SimSun"/>
                <w:lang w:val="en-US" w:eastAsia="zh-CN"/>
              </w:rPr>
            </w:pPr>
            <w:r w:rsidRPr="00383285">
              <w:rPr>
                <w:rFonts w:eastAsia="SimSun"/>
                <w:lang w:val="en-US" w:eastAsia="zh-CN"/>
              </w:rPr>
              <w:t>Duplex Mode</w:t>
            </w:r>
          </w:p>
        </w:tc>
        <w:tc>
          <w:tcPr>
            <w:tcW w:w="664" w:type="pct"/>
            <w:shd w:val="clear" w:color="auto" w:fill="auto"/>
            <w:vAlign w:val="center"/>
          </w:tcPr>
          <w:p w14:paraId="0FE599FF" w14:textId="77777777" w:rsidR="00241417" w:rsidRPr="00383285" w:rsidRDefault="00241417" w:rsidP="003A71DE">
            <w:pPr>
              <w:pStyle w:val="TAC"/>
              <w:rPr>
                <w:rFonts w:eastAsia="SimSun"/>
                <w:lang w:val="en-US"/>
              </w:rPr>
            </w:pPr>
          </w:p>
        </w:tc>
        <w:tc>
          <w:tcPr>
            <w:tcW w:w="1324" w:type="pct"/>
            <w:shd w:val="clear" w:color="auto" w:fill="auto"/>
            <w:vAlign w:val="center"/>
          </w:tcPr>
          <w:p w14:paraId="7651761E" w14:textId="77777777" w:rsidR="00241417" w:rsidRPr="00383285" w:rsidRDefault="00241417" w:rsidP="003A71DE">
            <w:pPr>
              <w:pStyle w:val="TAC"/>
              <w:rPr>
                <w:rFonts w:eastAsia="SimSun"/>
                <w:lang w:val="en-US" w:eastAsia="zh-CN"/>
              </w:rPr>
            </w:pPr>
            <w:r w:rsidRPr="00383285">
              <w:rPr>
                <w:rFonts w:eastAsia="SimSun"/>
                <w:lang w:val="en-US" w:eastAsia="zh-CN"/>
              </w:rPr>
              <w:t>TDD</w:t>
            </w:r>
          </w:p>
        </w:tc>
      </w:tr>
      <w:tr w:rsidR="00241417" w:rsidRPr="00383285" w14:paraId="1987327D" w14:textId="77777777" w:rsidTr="003A71DE">
        <w:trPr>
          <w:jc w:val="center"/>
        </w:trPr>
        <w:tc>
          <w:tcPr>
            <w:tcW w:w="3012" w:type="pct"/>
            <w:gridSpan w:val="3"/>
            <w:shd w:val="clear" w:color="auto" w:fill="auto"/>
            <w:vAlign w:val="center"/>
          </w:tcPr>
          <w:p w14:paraId="1D4B20EB" w14:textId="77777777" w:rsidR="00241417" w:rsidRPr="00383285" w:rsidRDefault="00241417" w:rsidP="003A71DE">
            <w:pPr>
              <w:pStyle w:val="TAL"/>
              <w:rPr>
                <w:lang w:val="en-US" w:eastAsia="ja-JP"/>
              </w:rPr>
            </w:pPr>
            <w:r w:rsidRPr="00383285">
              <w:rPr>
                <w:lang w:val="en-US"/>
              </w:rPr>
              <w:t xml:space="preserve">PTRS </w:t>
            </w:r>
            <w:r w:rsidRPr="00383285">
              <w:rPr>
                <w:rFonts w:cs="Arial"/>
                <w:i/>
                <w:lang w:val="en-US"/>
              </w:rPr>
              <w:t>epre-Ratio</w:t>
            </w:r>
          </w:p>
        </w:tc>
        <w:tc>
          <w:tcPr>
            <w:tcW w:w="664" w:type="pct"/>
            <w:shd w:val="clear" w:color="auto" w:fill="auto"/>
            <w:vAlign w:val="center"/>
          </w:tcPr>
          <w:p w14:paraId="663A8693" w14:textId="77777777" w:rsidR="00241417" w:rsidRPr="00383285" w:rsidRDefault="00241417" w:rsidP="003A71DE">
            <w:pPr>
              <w:pStyle w:val="TAC"/>
              <w:rPr>
                <w:lang w:val="en-US"/>
              </w:rPr>
            </w:pPr>
          </w:p>
        </w:tc>
        <w:tc>
          <w:tcPr>
            <w:tcW w:w="1324" w:type="pct"/>
            <w:shd w:val="clear" w:color="auto" w:fill="auto"/>
            <w:vAlign w:val="center"/>
          </w:tcPr>
          <w:p w14:paraId="6E499FDF" w14:textId="77777777" w:rsidR="00241417" w:rsidRPr="00383285" w:rsidRDefault="00241417" w:rsidP="003A71DE">
            <w:pPr>
              <w:pStyle w:val="TAC"/>
              <w:rPr>
                <w:lang w:val="en-US" w:eastAsia="zh-CN"/>
              </w:rPr>
            </w:pPr>
            <w:r w:rsidRPr="00383285">
              <w:rPr>
                <w:lang w:val="en-US"/>
              </w:rPr>
              <w:t>0</w:t>
            </w:r>
          </w:p>
        </w:tc>
      </w:tr>
      <w:tr w:rsidR="00241417" w:rsidRPr="00383285" w14:paraId="2125DB60" w14:textId="77777777" w:rsidTr="003A71DE">
        <w:trPr>
          <w:jc w:val="center"/>
        </w:trPr>
        <w:tc>
          <w:tcPr>
            <w:tcW w:w="1021" w:type="pct"/>
            <w:gridSpan w:val="2"/>
            <w:vMerge w:val="restart"/>
            <w:shd w:val="clear" w:color="auto" w:fill="auto"/>
            <w:vAlign w:val="center"/>
          </w:tcPr>
          <w:p w14:paraId="72A89E47" w14:textId="77777777" w:rsidR="00241417" w:rsidRPr="00383285" w:rsidRDefault="00241417" w:rsidP="003A71DE">
            <w:pPr>
              <w:pStyle w:val="TAL"/>
              <w:rPr>
                <w:rFonts w:eastAsia="SimSun"/>
                <w:sz w:val="16"/>
                <w:szCs w:val="16"/>
                <w:lang w:val="en-US" w:eastAsia="ja-JP"/>
              </w:rPr>
            </w:pPr>
            <w:r w:rsidRPr="00383285">
              <w:rPr>
                <w:rFonts w:eastAsia="SimSun"/>
                <w:lang w:val="en-US"/>
              </w:rPr>
              <w:t>Actual carrier configuration</w:t>
            </w:r>
          </w:p>
        </w:tc>
        <w:tc>
          <w:tcPr>
            <w:tcW w:w="1991" w:type="pct"/>
            <w:shd w:val="clear" w:color="auto" w:fill="auto"/>
            <w:vAlign w:val="center"/>
          </w:tcPr>
          <w:p w14:paraId="49CD04D3" w14:textId="77777777" w:rsidR="00241417" w:rsidRPr="00383285" w:rsidRDefault="00241417" w:rsidP="003A71DE">
            <w:pPr>
              <w:pStyle w:val="TAL"/>
              <w:rPr>
                <w:rFonts w:eastAsia="SimSun"/>
                <w:sz w:val="16"/>
                <w:szCs w:val="16"/>
                <w:lang w:val="en-US" w:eastAsia="ja-JP"/>
              </w:rPr>
            </w:pPr>
            <w:r w:rsidRPr="00383285">
              <w:rPr>
                <w:rFonts w:eastAsia="SimSun"/>
                <w:lang w:val="en-US"/>
              </w:rPr>
              <w:t>Offset between Point A and the lowest usable subcarrier on this carrier (Note 3)</w:t>
            </w:r>
          </w:p>
        </w:tc>
        <w:tc>
          <w:tcPr>
            <w:tcW w:w="664" w:type="pct"/>
            <w:shd w:val="clear" w:color="auto" w:fill="auto"/>
            <w:vAlign w:val="center"/>
          </w:tcPr>
          <w:p w14:paraId="593EF661" w14:textId="77777777" w:rsidR="00241417" w:rsidRPr="00383285" w:rsidDel="001005B1" w:rsidRDefault="00241417" w:rsidP="003A71DE">
            <w:pPr>
              <w:pStyle w:val="TAC"/>
              <w:rPr>
                <w:rFonts w:eastAsia="SimSun"/>
                <w:lang w:val="en-US" w:eastAsia="zh-CN"/>
              </w:rPr>
            </w:pPr>
            <w:r w:rsidRPr="00383285">
              <w:rPr>
                <w:rFonts w:eastAsia="SimSun"/>
                <w:lang w:val="en-US"/>
              </w:rPr>
              <w:t>RBs</w:t>
            </w:r>
          </w:p>
        </w:tc>
        <w:tc>
          <w:tcPr>
            <w:tcW w:w="1324" w:type="pct"/>
            <w:shd w:val="clear" w:color="auto" w:fill="auto"/>
            <w:vAlign w:val="center"/>
          </w:tcPr>
          <w:p w14:paraId="5F7EDE5F" w14:textId="77777777" w:rsidR="00241417" w:rsidRPr="00383285" w:rsidRDefault="00241417" w:rsidP="003A71DE">
            <w:pPr>
              <w:pStyle w:val="TAC"/>
              <w:rPr>
                <w:rFonts w:eastAsia="SimSun"/>
                <w:lang w:val="en-US"/>
              </w:rPr>
            </w:pPr>
            <w:r w:rsidRPr="00383285">
              <w:rPr>
                <w:rFonts w:eastAsia="SimSun"/>
                <w:lang w:val="en-US"/>
              </w:rPr>
              <w:t>0</w:t>
            </w:r>
          </w:p>
        </w:tc>
      </w:tr>
      <w:tr w:rsidR="00241417" w:rsidRPr="00383285" w14:paraId="38299F98" w14:textId="77777777" w:rsidTr="003A71DE">
        <w:trPr>
          <w:jc w:val="center"/>
        </w:trPr>
        <w:tc>
          <w:tcPr>
            <w:tcW w:w="1021" w:type="pct"/>
            <w:gridSpan w:val="2"/>
            <w:vMerge/>
            <w:shd w:val="clear" w:color="auto" w:fill="auto"/>
            <w:vAlign w:val="center"/>
          </w:tcPr>
          <w:p w14:paraId="445DA4D4" w14:textId="77777777" w:rsidR="00241417" w:rsidRPr="00383285" w:rsidRDefault="00241417" w:rsidP="003A71DE">
            <w:pPr>
              <w:pStyle w:val="TAL"/>
              <w:rPr>
                <w:rFonts w:eastAsia="SimSun"/>
                <w:sz w:val="16"/>
                <w:szCs w:val="16"/>
                <w:lang w:val="en-US" w:eastAsia="ja-JP"/>
              </w:rPr>
            </w:pPr>
          </w:p>
        </w:tc>
        <w:tc>
          <w:tcPr>
            <w:tcW w:w="1991" w:type="pct"/>
            <w:shd w:val="clear" w:color="auto" w:fill="auto"/>
            <w:vAlign w:val="center"/>
          </w:tcPr>
          <w:p w14:paraId="57892045" w14:textId="77777777" w:rsidR="00241417" w:rsidRPr="00383285" w:rsidRDefault="00241417" w:rsidP="003A71DE">
            <w:pPr>
              <w:pStyle w:val="TAL"/>
              <w:rPr>
                <w:rFonts w:eastAsia="SimSun"/>
                <w:sz w:val="16"/>
                <w:szCs w:val="16"/>
                <w:lang w:val="en-US" w:eastAsia="ja-JP"/>
              </w:rPr>
            </w:pPr>
            <w:r w:rsidRPr="00383285">
              <w:rPr>
                <w:rFonts w:eastAsia="SimSun"/>
                <w:lang w:val="en-US"/>
              </w:rPr>
              <w:t>Subcarrier spacing</w:t>
            </w:r>
          </w:p>
        </w:tc>
        <w:tc>
          <w:tcPr>
            <w:tcW w:w="664" w:type="pct"/>
            <w:shd w:val="clear" w:color="auto" w:fill="auto"/>
            <w:vAlign w:val="center"/>
          </w:tcPr>
          <w:p w14:paraId="42A7ED4E" w14:textId="77777777" w:rsidR="00241417" w:rsidRPr="00383285" w:rsidDel="001005B1" w:rsidRDefault="00241417" w:rsidP="003A71DE">
            <w:pPr>
              <w:pStyle w:val="TAC"/>
              <w:rPr>
                <w:rFonts w:eastAsia="SimSun"/>
                <w:lang w:val="en-US"/>
              </w:rPr>
            </w:pPr>
            <w:r w:rsidRPr="00383285">
              <w:rPr>
                <w:rFonts w:eastAsia="SimSun"/>
                <w:lang w:val="en-US"/>
              </w:rPr>
              <w:t>kHz</w:t>
            </w:r>
          </w:p>
        </w:tc>
        <w:tc>
          <w:tcPr>
            <w:tcW w:w="1324" w:type="pct"/>
            <w:shd w:val="clear" w:color="auto" w:fill="auto"/>
            <w:vAlign w:val="center"/>
          </w:tcPr>
          <w:p w14:paraId="3F4794F0" w14:textId="77777777" w:rsidR="00241417" w:rsidRPr="00383285" w:rsidRDefault="00241417" w:rsidP="003A71DE">
            <w:pPr>
              <w:pStyle w:val="TAC"/>
              <w:rPr>
                <w:rFonts w:eastAsia="SimSun"/>
                <w:lang w:val="en-US"/>
              </w:rPr>
            </w:pPr>
            <w:r w:rsidRPr="00383285">
              <w:rPr>
                <w:rFonts w:eastAsia="SimSun"/>
                <w:lang w:val="en-US"/>
              </w:rPr>
              <w:t>120</w:t>
            </w:r>
          </w:p>
        </w:tc>
      </w:tr>
      <w:tr w:rsidR="00241417" w:rsidRPr="00383285" w14:paraId="5760EA4B" w14:textId="77777777" w:rsidTr="003A71DE">
        <w:trPr>
          <w:jc w:val="center"/>
        </w:trPr>
        <w:tc>
          <w:tcPr>
            <w:tcW w:w="1021" w:type="pct"/>
            <w:gridSpan w:val="2"/>
            <w:vMerge w:val="restart"/>
            <w:shd w:val="clear" w:color="auto" w:fill="auto"/>
            <w:vAlign w:val="center"/>
          </w:tcPr>
          <w:p w14:paraId="2FDC4CFB" w14:textId="77777777" w:rsidR="00241417" w:rsidRPr="00383285" w:rsidRDefault="00241417" w:rsidP="003A71DE">
            <w:pPr>
              <w:pStyle w:val="TAL"/>
              <w:rPr>
                <w:rFonts w:eastAsia="SimSun"/>
                <w:sz w:val="16"/>
                <w:szCs w:val="16"/>
                <w:lang w:val="en-US" w:eastAsia="ja-JP"/>
              </w:rPr>
            </w:pPr>
            <w:r w:rsidRPr="00383285">
              <w:rPr>
                <w:rFonts w:eastAsia="SimSun"/>
                <w:lang w:val="en-US"/>
              </w:rPr>
              <w:t>DL BWP configuration #1</w:t>
            </w:r>
          </w:p>
        </w:tc>
        <w:tc>
          <w:tcPr>
            <w:tcW w:w="1991" w:type="pct"/>
            <w:shd w:val="clear" w:color="auto" w:fill="auto"/>
            <w:vAlign w:val="center"/>
          </w:tcPr>
          <w:p w14:paraId="31820CF4" w14:textId="77777777" w:rsidR="00241417" w:rsidRPr="00383285" w:rsidRDefault="00241417" w:rsidP="003A71DE">
            <w:pPr>
              <w:pStyle w:val="TAL"/>
              <w:rPr>
                <w:rFonts w:eastAsia="SimSun"/>
                <w:sz w:val="16"/>
                <w:szCs w:val="16"/>
                <w:lang w:val="en-US" w:eastAsia="ja-JP"/>
              </w:rPr>
            </w:pPr>
            <w:r w:rsidRPr="00383285">
              <w:rPr>
                <w:rFonts w:eastAsia="SimSun"/>
                <w:lang w:val="en-US"/>
              </w:rPr>
              <w:t>Cyclic prefix</w:t>
            </w:r>
          </w:p>
        </w:tc>
        <w:tc>
          <w:tcPr>
            <w:tcW w:w="664" w:type="pct"/>
            <w:shd w:val="clear" w:color="auto" w:fill="auto"/>
            <w:vAlign w:val="center"/>
          </w:tcPr>
          <w:p w14:paraId="6537C953" w14:textId="77777777" w:rsidR="00241417" w:rsidRPr="00383285" w:rsidDel="001005B1" w:rsidRDefault="00241417" w:rsidP="003A71DE">
            <w:pPr>
              <w:pStyle w:val="TAC"/>
              <w:rPr>
                <w:rFonts w:eastAsia="SimSun"/>
                <w:lang w:val="en-US"/>
              </w:rPr>
            </w:pPr>
          </w:p>
        </w:tc>
        <w:tc>
          <w:tcPr>
            <w:tcW w:w="1324" w:type="pct"/>
            <w:shd w:val="clear" w:color="auto" w:fill="auto"/>
            <w:vAlign w:val="center"/>
          </w:tcPr>
          <w:p w14:paraId="28336971" w14:textId="77777777" w:rsidR="00241417" w:rsidRPr="00383285" w:rsidRDefault="00241417" w:rsidP="003A71DE">
            <w:pPr>
              <w:pStyle w:val="TAC"/>
              <w:rPr>
                <w:rFonts w:eastAsia="SimSun"/>
                <w:lang w:val="en-US"/>
              </w:rPr>
            </w:pPr>
            <w:r w:rsidRPr="00383285">
              <w:rPr>
                <w:rFonts w:eastAsia="SimSun"/>
                <w:lang w:val="en-US"/>
              </w:rPr>
              <w:t>Normal</w:t>
            </w:r>
          </w:p>
        </w:tc>
      </w:tr>
      <w:tr w:rsidR="00241417" w:rsidRPr="00383285" w14:paraId="72971592" w14:textId="77777777" w:rsidTr="003A71DE">
        <w:trPr>
          <w:jc w:val="center"/>
        </w:trPr>
        <w:tc>
          <w:tcPr>
            <w:tcW w:w="1021" w:type="pct"/>
            <w:gridSpan w:val="2"/>
            <w:vMerge/>
            <w:shd w:val="clear" w:color="auto" w:fill="auto"/>
            <w:vAlign w:val="center"/>
          </w:tcPr>
          <w:p w14:paraId="3C091BB5" w14:textId="77777777" w:rsidR="00241417" w:rsidRPr="00383285" w:rsidRDefault="00241417" w:rsidP="003A71DE">
            <w:pPr>
              <w:pStyle w:val="TAL"/>
              <w:rPr>
                <w:rFonts w:eastAsia="SimSun"/>
                <w:sz w:val="16"/>
                <w:szCs w:val="16"/>
                <w:lang w:val="en-US" w:eastAsia="ja-JP"/>
              </w:rPr>
            </w:pPr>
          </w:p>
        </w:tc>
        <w:tc>
          <w:tcPr>
            <w:tcW w:w="1991" w:type="pct"/>
            <w:shd w:val="clear" w:color="auto" w:fill="auto"/>
            <w:vAlign w:val="center"/>
          </w:tcPr>
          <w:p w14:paraId="4478CE23" w14:textId="77777777" w:rsidR="00241417" w:rsidRPr="00383285" w:rsidRDefault="00241417" w:rsidP="003A71DE">
            <w:pPr>
              <w:pStyle w:val="TAL"/>
              <w:rPr>
                <w:rFonts w:eastAsia="SimSun"/>
                <w:sz w:val="16"/>
                <w:szCs w:val="16"/>
                <w:lang w:val="en-US" w:eastAsia="ja-JP"/>
              </w:rPr>
            </w:pPr>
            <w:r w:rsidRPr="00383285">
              <w:rPr>
                <w:rFonts w:eastAsia="SimSun"/>
                <w:lang w:val="en-US"/>
              </w:rPr>
              <w:t>RB offset</w:t>
            </w:r>
          </w:p>
        </w:tc>
        <w:tc>
          <w:tcPr>
            <w:tcW w:w="664" w:type="pct"/>
            <w:shd w:val="clear" w:color="auto" w:fill="auto"/>
            <w:vAlign w:val="center"/>
          </w:tcPr>
          <w:p w14:paraId="6988F751" w14:textId="77777777" w:rsidR="00241417" w:rsidRPr="00383285" w:rsidDel="001005B1" w:rsidRDefault="00241417" w:rsidP="003A71DE">
            <w:pPr>
              <w:pStyle w:val="TAC"/>
              <w:rPr>
                <w:rFonts w:eastAsia="SimSun"/>
                <w:lang w:val="en-US"/>
              </w:rPr>
            </w:pPr>
            <w:r w:rsidRPr="00383285">
              <w:rPr>
                <w:rFonts w:eastAsia="SimSun"/>
                <w:lang w:val="en-US"/>
              </w:rPr>
              <w:t>RBs</w:t>
            </w:r>
          </w:p>
        </w:tc>
        <w:tc>
          <w:tcPr>
            <w:tcW w:w="1324" w:type="pct"/>
            <w:shd w:val="clear" w:color="auto" w:fill="auto"/>
            <w:vAlign w:val="center"/>
          </w:tcPr>
          <w:p w14:paraId="4684E020" w14:textId="77777777" w:rsidR="00241417" w:rsidRPr="00383285" w:rsidRDefault="00241417" w:rsidP="003A71DE">
            <w:pPr>
              <w:pStyle w:val="TAC"/>
              <w:rPr>
                <w:rFonts w:eastAsia="SimSun"/>
                <w:lang w:val="en-US"/>
              </w:rPr>
            </w:pPr>
            <w:r w:rsidRPr="00383285">
              <w:rPr>
                <w:rFonts w:eastAsia="SimSun"/>
                <w:lang w:val="en-US"/>
              </w:rPr>
              <w:t>0</w:t>
            </w:r>
          </w:p>
        </w:tc>
      </w:tr>
      <w:tr w:rsidR="00241417" w:rsidRPr="00383285" w14:paraId="1A3FE943" w14:textId="77777777" w:rsidTr="003A71DE">
        <w:trPr>
          <w:jc w:val="center"/>
        </w:trPr>
        <w:tc>
          <w:tcPr>
            <w:tcW w:w="1021" w:type="pct"/>
            <w:gridSpan w:val="2"/>
            <w:vMerge/>
            <w:shd w:val="clear" w:color="auto" w:fill="auto"/>
            <w:vAlign w:val="center"/>
          </w:tcPr>
          <w:p w14:paraId="29237C19" w14:textId="77777777" w:rsidR="00241417" w:rsidRPr="00383285" w:rsidRDefault="00241417" w:rsidP="003A71DE">
            <w:pPr>
              <w:pStyle w:val="TAL"/>
              <w:rPr>
                <w:rFonts w:eastAsia="SimSun"/>
                <w:sz w:val="16"/>
                <w:szCs w:val="16"/>
                <w:lang w:val="en-US" w:eastAsia="ja-JP"/>
              </w:rPr>
            </w:pPr>
          </w:p>
        </w:tc>
        <w:tc>
          <w:tcPr>
            <w:tcW w:w="1991" w:type="pct"/>
            <w:shd w:val="clear" w:color="auto" w:fill="auto"/>
            <w:vAlign w:val="center"/>
          </w:tcPr>
          <w:p w14:paraId="515CA0E0" w14:textId="77777777" w:rsidR="00241417" w:rsidRPr="00383285" w:rsidRDefault="00241417" w:rsidP="003A71DE">
            <w:pPr>
              <w:pStyle w:val="TAL"/>
              <w:rPr>
                <w:rFonts w:eastAsia="SimSun"/>
                <w:sz w:val="16"/>
                <w:szCs w:val="16"/>
                <w:lang w:val="en-US" w:eastAsia="ja-JP"/>
              </w:rPr>
            </w:pPr>
            <w:r w:rsidRPr="00383285">
              <w:rPr>
                <w:rFonts w:eastAsia="SimSun"/>
                <w:lang w:val="en-US"/>
              </w:rPr>
              <w:t>Number of contiguous PRB</w:t>
            </w:r>
          </w:p>
        </w:tc>
        <w:tc>
          <w:tcPr>
            <w:tcW w:w="664" w:type="pct"/>
            <w:shd w:val="clear" w:color="auto" w:fill="auto"/>
            <w:vAlign w:val="center"/>
          </w:tcPr>
          <w:p w14:paraId="69948A63" w14:textId="77777777" w:rsidR="00241417" w:rsidRPr="00383285" w:rsidDel="001005B1" w:rsidRDefault="00241417" w:rsidP="003A71DE">
            <w:pPr>
              <w:pStyle w:val="TAC"/>
              <w:rPr>
                <w:rFonts w:eastAsia="SimSun"/>
                <w:lang w:val="en-US"/>
              </w:rPr>
            </w:pPr>
            <w:r w:rsidRPr="00383285">
              <w:rPr>
                <w:rFonts w:eastAsia="SimSun"/>
                <w:lang w:val="en-US"/>
              </w:rPr>
              <w:t>PRBs</w:t>
            </w:r>
          </w:p>
        </w:tc>
        <w:tc>
          <w:tcPr>
            <w:tcW w:w="1324" w:type="pct"/>
            <w:shd w:val="clear" w:color="auto" w:fill="auto"/>
            <w:vAlign w:val="center"/>
          </w:tcPr>
          <w:p w14:paraId="028DF014" w14:textId="76E53EB7" w:rsidR="00241417" w:rsidRPr="00383285" w:rsidRDefault="00241417" w:rsidP="003A71DE">
            <w:pPr>
              <w:pStyle w:val="TAC"/>
              <w:rPr>
                <w:rFonts w:eastAsia="SimSun"/>
                <w:lang w:val="en-US"/>
              </w:rPr>
            </w:pPr>
            <w:r w:rsidRPr="00383285">
              <w:rPr>
                <w:rFonts w:eastAsia="SimSun"/>
                <w:lang w:val="en-US"/>
              </w:rPr>
              <w:t>Maximum transmission bandwidth configuration</w:t>
            </w:r>
            <w:r w:rsidRPr="00383285">
              <w:rPr>
                <w:rFonts w:eastAsia="SimSun" w:hint="eastAsia"/>
                <w:lang w:val="en-US"/>
              </w:rPr>
              <w:t xml:space="preserve"> as specified in </w:t>
            </w:r>
            <w:r w:rsidRPr="00383285">
              <w:rPr>
                <w:rFonts w:eastAsia="SimSun"/>
                <w:lang w:val="en-US"/>
              </w:rPr>
              <w:t xml:space="preserve">clause 5.3.2 of </w:t>
            </w:r>
            <w:r w:rsidRPr="00383285">
              <w:rPr>
                <w:rFonts w:eastAsia="SimSun" w:hint="eastAsia"/>
                <w:lang w:val="en-US"/>
              </w:rPr>
              <w:t>TS</w:t>
            </w:r>
            <w:r w:rsidRPr="00383285">
              <w:rPr>
                <w:rFonts w:eastAsia="SimSun"/>
                <w:lang w:val="en-US"/>
              </w:rPr>
              <w:t> </w:t>
            </w:r>
            <w:r w:rsidRPr="00383285">
              <w:rPr>
                <w:rFonts w:eastAsia="SimSun" w:hint="eastAsia"/>
                <w:lang w:val="en-US"/>
              </w:rPr>
              <w:t>38.101-</w:t>
            </w:r>
            <w:r>
              <w:rPr>
                <w:rFonts w:eastAsia="SimSun"/>
                <w:lang w:val="en-US"/>
              </w:rPr>
              <w:t>2 [4] f</w:t>
            </w:r>
            <w:r w:rsidRPr="00383285">
              <w:rPr>
                <w:rFonts w:eastAsia="SimSun"/>
                <w:lang w:val="en-US"/>
              </w:rPr>
              <w:t>or tested channel bandwidth and subcarrier spacing</w:t>
            </w:r>
          </w:p>
        </w:tc>
      </w:tr>
      <w:tr w:rsidR="00241417" w:rsidRPr="00383285" w14:paraId="48910B80" w14:textId="77777777" w:rsidTr="003A71DE">
        <w:trPr>
          <w:jc w:val="center"/>
        </w:trPr>
        <w:tc>
          <w:tcPr>
            <w:tcW w:w="3012" w:type="pct"/>
            <w:gridSpan w:val="3"/>
            <w:shd w:val="clear" w:color="auto" w:fill="auto"/>
            <w:vAlign w:val="center"/>
          </w:tcPr>
          <w:p w14:paraId="20E47973" w14:textId="77777777" w:rsidR="00241417" w:rsidRPr="00383285" w:rsidRDefault="00241417" w:rsidP="003A71DE">
            <w:pPr>
              <w:pStyle w:val="TAL"/>
              <w:rPr>
                <w:rFonts w:eastAsia="SimSun"/>
                <w:lang w:val="en-US" w:eastAsia="ja-JP"/>
              </w:rPr>
            </w:pPr>
            <w:r w:rsidRPr="00383285">
              <w:rPr>
                <w:rFonts w:eastAsia="SimSun"/>
                <w:lang w:val="en-US"/>
              </w:rPr>
              <w:t>Active DL BWP index</w:t>
            </w:r>
          </w:p>
        </w:tc>
        <w:tc>
          <w:tcPr>
            <w:tcW w:w="664" w:type="pct"/>
            <w:shd w:val="clear" w:color="auto" w:fill="auto"/>
            <w:vAlign w:val="center"/>
          </w:tcPr>
          <w:p w14:paraId="7813ED8B" w14:textId="77777777" w:rsidR="00241417" w:rsidRPr="00383285" w:rsidRDefault="00241417" w:rsidP="003A71DE">
            <w:pPr>
              <w:pStyle w:val="TAC"/>
              <w:rPr>
                <w:rFonts w:eastAsia="SimSun"/>
                <w:lang w:val="en-US"/>
              </w:rPr>
            </w:pPr>
          </w:p>
        </w:tc>
        <w:tc>
          <w:tcPr>
            <w:tcW w:w="1324" w:type="pct"/>
            <w:shd w:val="clear" w:color="auto" w:fill="auto"/>
            <w:vAlign w:val="center"/>
          </w:tcPr>
          <w:p w14:paraId="2F8CD340" w14:textId="77777777" w:rsidR="00241417" w:rsidRPr="00383285" w:rsidRDefault="00241417" w:rsidP="003A71DE">
            <w:pPr>
              <w:pStyle w:val="TAC"/>
              <w:rPr>
                <w:rFonts w:eastAsia="SimSun"/>
                <w:lang w:val="en-US"/>
              </w:rPr>
            </w:pPr>
            <w:r w:rsidRPr="00383285">
              <w:rPr>
                <w:rFonts w:eastAsia="SimSun"/>
                <w:lang w:val="en-US"/>
              </w:rPr>
              <w:t>1</w:t>
            </w:r>
          </w:p>
        </w:tc>
      </w:tr>
      <w:tr w:rsidR="00241417" w:rsidRPr="00383285" w14:paraId="3B2F87C7" w14:textId="77777777" w:rsidTr="003A71DE">
        <w:trPr>
          <w:jc w:val="center"/>
        </w:trPr>
        <w:tc>
          <w:tcPr>
            <w:tcW w:w="1014" w:type="pct"/>
            <w:vMerge w:val="restart"/>
            <w:shd w:val="clear" w:color="auto" w:fill="auto"/>
            <w:vAlign w:val="center"/>
          </w:tcPr>
          <w:p w14:paraId="7F7311C0" w14:textId="77777777" w:rsidR="00241417" w:rsidRPr="00383285" w:rsidRDefault="00241417" w:rsidP="003A71DE">
            <w:pPr>
              <w:pStyle w:val="TAL"/>
              <w:rPr>
                <w:rFonts w:eastAsia="SimSun"/>
                <w:i/>
                <w:lang w:val="en-US"/>
              </w:rPr>
            </w:pPr>
            <w:r w:rsidRPr="00383285">
              <w:rPr>
                <w:rFonts w:eastAsia="SimSun"/>
                <w:lang w:val="en-US"/>
              </w:rPr>
              <w:t>PDSCH configuration</w:t>
            </w:r>
          </w:p>
        </w:tc>
        <w:tc>
          <w:tcPr>
            <w:tcW w:w="1998" w:type="pct"/>
            <w:gridSpan w:val="2"/>
            <w:shd w:val="clear" w:color="auto" w:fill="auto"/>
            <w:vAlign w:val="center"/>
          </w:tcPr>
          <w:p w14:paraId="7C7CF44C" w14:textId="77777777" w:rsidR="00241417" w:rsidRPr="00383285" w:rsidRDefault="00241417" w:rsidP="003A71DE">
            <w:pPr>
              <w:pStyle w:val="TAL"/>
              <w:rPr>
                <w:rFonts w:eastAsia="SimSun"/>
                <w:i/>
                <w:lang w:val="en-US"/>
              </w:rPr>
            </w:pPr>
            <w:r w:rsidRPr="00383285">
              <w:rPr>
                <w:rFonts w:eastAsia="SimSun"/>
                <w:lang w:val="en-US"/>
              </w:rPr>
              <w:t>Mapping type</w:t>
            </w:r>
          </w:p>
        </w:tc>
        <w:tc>
          <w:tcPr>
            <w:tcW w:w="664" w:type="pct"/>
            <w:shd w:val="clear" w:color="auto" w:fill="auto"/>
            <w:vAlign w:val="center"/>
          </w:tcPr>
          <w:p w14:paraId="60B50A0F" w14:textId="77777777" w:rsidR="00241417" w:rsidRPr="00383285" w:rsidRDefault="00241417" w:rsidP="003A71DE">
            <w:pPr>
              <w:pStyle w:val="TAC"/>
              <w:rPr>
                <w:rFonts w:eastAsia="SimSun"/>
                <w:lang w:val="en-US"/>
              </w:rPr>
            </w:pPr>
          </w:p>
        </w:tc>
        <w:tc>
          <w:tcPr>
            <w:tcW w:w="1324" w:type="pct"/>
            <w:shd w:val="clear" w:color="auto" w:fill="auto"/>
            <w:vAlign w:val="center"/>
          </w:tcPr>
          <w:p w14:paraId="1C4FC46F" w14:textId="77777777" w:rsidR="00241417" w:rsidRPr="00383285" w:rsidRDefault="00241417" w:rsidP="003A71DE">
            <w:pPr>
              <w:pStyle w:val="TAC"/>
              <w:rPr>
                <w:rFonts w:eastAsia="SimSun"/>
                <w:lang w:val="en-US" w:eastAsia="zh-CN"/>
              </w:rPr>
            </w:pPr>
            <w:r w:rsidRPr="00383285">
              <w:rPr>
                <w:rFonts w:eastAsia="SimSun"/>
                <w:lang w:val="en-US" w:eastAsia="zh-CN"/>
              </w:rPr>
              <w:t>Type A</w:t>
            </w:r>
          </w:p>
        </w:tc>
      </w:tr>
      <w:tr w:rsidR="00241417" w:rsidRPr="00383285" w14:paraId="251E0551" w14:textId="77777777" w:rsidTr="003A71DE">
        <w:trPr>
          <w:jc w:val="center"/>
        </w:trPr>
        <w:tc>
          <w:tcPr>
            <w:tcW w:w="1014" w:type="pct"/>
            <w:vMerge/>
            <w:shd w:val="clear" w:color="auto" w:fill="auto"/>
            <w:vAlign w:val="center"/>
          </w:tcPr>
          <w:p w14:paraId="2978B2A3"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1669ECC9" w14:textId="77777777" w:rsidR="00241417" w:rsidRPr="00383285" w:rsidRDefault="00241417" w:rsidP="003A71DE">
            <w:pPr>
              <w:pStyle w:val="TAL"/>
              <w:rPr>
                <w:rFonts w:eastAsia="SimSun"/>
                <w:lang w:val="en-US"/>
              </w:rPr>
            </w:pPr>
            <w:r w:rsidRPr="00383285">
              <w:rPr>
                <w:rFonts w:eastAsia="SimSun"/>
                <w:i/>
                <w:lang w:val="en-US"/>
              </w:rPr>
              <w:t>k0</w:t>
            </w:r>
          </w:p>
        </w:tc>
        <w:tc>
          <w:tcPr>
            <w:tcW w:w="664" w:type="pct"/>
            <w:shd w:val="clear" w:color="auto" w:fill="auto"/>
            <w:vAlign w:val="center"/>
          </w:tcPr>
          <w:p w14:paraId="78AD9F20" w14:textId="77777777" w:rsidR="00241417" w:rsidRPr="00383285" w:rsidRDefault="00241417" w:rsidP="003A71DE">
            <w:pPr>
              <w:pStyle w:val="TAC"/>
              <w:rPr>
                <w:rFonts w:eastAsia="SimSun"/>
                <w:lang w:val="en-US"/>
              </w:rPr>
            </w:pPr>
          </w:p>
        </w:tc>
        <w:tc>
          <w:tcPr>
            <w:tcW w:w="1324" w:type="pct"/>
            <w:shd w:val="clear" w:color="auto" w:fill="auto"/>
            <w:vAlign w:val="center"/>
          </w:tcPr>
          <w:p w14:paraId="37BE9319" w14:textId="77777777" w:rsidR="00241417" w:rsidRPr="00383285" w:rsidRDefault="00241417" w:rsidP="003A71DE">
            <w:pPr>
              <w:pStyle w:val="TAC"/>
              <w:rPr>
                <w:rFonts w:eastAsia="SimSun"/>
                <w:lang w:val="en-US" w:eastAsia="zh-CN"/>
              </w:rPr>
            </w:pPr>
            <w:r w:rsidRPr="00383285">
              <w:rPr>
                <w:rFonts w:eastAsia="SimSun"/>
                <w:lang w:val="en-US" w:eastAsia="zh-CN"/>
              </w:rPr>
              <w:t>0</w:t>
            </w:r>
          </w:p>
        </w:tc>
      </w:tr>
      <w:tr w:rsidR="00241417" w:rsidRPr="00383285" w14:paraId="7D3E03D3" w14:textId="77777777" w:rsidTr="003A71DE">
        <w:trPr>
          <w:jc w:val="center"/>
        </w:trPr>
        <w:tc>
          <w:tcPr>
            <w:tcW w:w="1014" w:type="pct"/>
            <w:vMerge/>
            <w:shd w:val="clear" w:color="auto" w:fill="auto"/>
            <w:vAlign w:val="center"/>
          </w:tcPr>
          <w:p w14:paraId="0BBEC919"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3135814D" w14:textId="77777777" w:rsidR="00241417" w:rsidRPr="00383285" w:rsidRDefault="00241417" w:rsidP="003A71DE">
            <w:pPr>
              <w:pStyle w:val="TAL"/>
              <w:rPr>
                <w:rFonts w:eastAsia="SimSun"/>
                <w:lang w:val="en-US"/>
              </w:rPr>
            </w:pPr>
            <w:r w:rsidRPr="00383285">
              <w:rPr>
                <w:rFonts w:eastAsia="SimSun"/>
                <w:lang w:val="en-US"/>
              </w:rPr>
              <w:t xml:space="preserve">Starting symbol (S) </w:t>
            </w:r>
          </w:p>
        </w:tc>
        <w:tc>
          <w:tcPr>
            <w:tcW w:w="664" w:type="pct"/>
            <w:shd w:val="clear" w:color="auto" w:fill="auto"/>
            <w:vAlign w:val="center"/>
          </w:tcPr>
          <w:p w14:paraId="6CAE29CE" w14:textId="77777777" w:rsidR="00241417" w:rsidRPr="00383285" w:rsidRDefault="00241417" w:rsidP="003A71DE">
            <w:pPr>
              <w:pStyle w:val="TAC"/>
              <w:rPr>
                <w:rFonts w:eastAsia="SimSun"/>
                <w:lang w:val="en-US"/>
              </w:rPr>
            </w:pPr>
          </w:p>
        </w:tc>
        <w:tc>
          <w:tcPr>
            <w:tcW w:w="1324" w:type="pct"/>
            <w:shd w:val="clear" w:color="auto" w:fill="auto"/>
            <w:vAlign w:val="center"/>
          </w:tcPr>
          <w:p w14:paraId="7086C4EF" w14:textId="77777777" w:rsidR="00241417" w:rsidRPr="00383285" w:rsidRDefault="00241417" w:rsidP="003A71DE">
            <w:pPr>
              <w:pStyle w:val="TAC"/>
              <w:rPr>
                <w:rFonts w:eastAsia="SimSun"/>
                <w:lang w:val="en-US" w:eastAsia="zh-CN"/>
              </w:rPr>
            </w:pPr>
            <w:r w:rsidRPr="00383285">
              <w:rPr>
                <w:rFonts w:eastAsia="SimSun"/>
                <w:lang w:val="en-US" w:eastAsia="zh-CN"/>
              </w:rPr>
              <w:t>2</w:t>
            </w:r>
          </w:p>
        </w:tc>
      </w:tr>
      <w:tr w:rsidR="00241417" w:rsidRPr="00383285" w14:paraId="10C87960" w14:textId="77777777" w:rsidTr="003A71DE">
        <w:trPr>
          <w:jc w:val="center"/>
        </w:trPr>
        <w:tc>
          <w:tcPr>
            <w:tcW w:w="1014" w:type="pct"/>
            <w:vMerge/>
            <w:shd w:val="clear" w:color="auto" w:fill="auto"/>
            <w:vAlign w:val="center"/>
          </w:tcPr>
          <w:p w14:paraId="4F25B15C"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7411EC10" w14:textId="77777777" w:rsidR="00241417" w:rsidRPr="00383285" w:rsidRDefault="00241417" w:rsidP="003A71DE">
            <w:pPr>
              <w:pStyle w:val="TAL"/>
              <w:rPr>
                <w:rFonts w:eastAsia="SimSun"/>
                <w:lang w:val="en-US"/>
              </w:rPr>
            </w:pPr>
            <w:r w:rsidRPr="00383285">
              <w:rPr>
                <w:rFonts w:eastAsia="SimSun"/>
                <w:lang w:val="en-US"/>
              </w:rPr>
              <w:t>Length (L)</w:t>
            </w:r>
          </w:p>
        </w:tc>
        <w:tc>
          <w:tcPr>
            <w:tcW w:w="664" w:type="pct"/>
            <w:shd w:val="clear" w:color="auto" w:fill="auto"/>
            <w:vAlign w:val="center"/>
          </w:tcPr>
          <w:p w14:paraId="6E9A1340" w14:textId="77777777" w:rsidR="00241417" w:rsidRPr="00383285" w:rsidRDefault="00241417" w:rsidP="003A71DE">
            <w:pPr>
              <w:pStyle w:val="TAC"/>
              <w:rPr>
                <w:rFonts w:eastAsia="SimSun"/>
                <w:lang w:val="en-US"/>
              </w:rPr>
            </w:pPr>
          </w:p>
        </w:tc>
        <w:tc>
          <w:tcPr>
            <w:tcW w:w="1324" w:type="pct"/>
            <w:shd w:val="clear" w:color="auto" w:fill="auto"/>
            <w:vAlign w:val="center"/>
          </w:tcPr>
          <w:p w14:paraId="27E17EC1" w14:textId="77777777" w:rsidR="00241417" w:rsidRPr="00383285" w:rsidRDefault="00241417" w:rsidP="003A71DE">
            <w:pPr>
              <w:pStyle w:val="TAC"/>
              <w:rPr>
                <w:rFonts w:eastAsia="SimSun"/>
                <w:lang w:val="en-US" w:eastAsia="zh-CN"/>
              </w:rPr>
            </w:pPr>
            <w:r w:rsidRPr="00383285">
              <w:rPr>
                <w:rFonts w:eastAsia="SimSun"/>
                <w:lang w:val="en-US" w:eastAsia="zh-CN"/>
              </w:rPr>
              <w:t>12</w:t>
            </w:r>
          </w:p>
        </w:tc>
      </w:tr>
      <w:tr w:rsidR="00241417" w:rsidRPr="00383285" w14:paraId="0CDD2EF0" w14:textId="77777777" w:rsidTr="003A71DE">
        <w:trPr>
          <w:jc w:val="center"/>
        </w:trPr>
        <w:tc>
          <w:tcPr>
            <w:tcW w:w="1014" w:type="pct"/>
            <w:vMerge/>
            <w:shd w:val="clear" w:color="auto" w:fill="auto"/>
            <w:vAlign w:val="center"/>
          </w:tcPr>
          <w:p w14:paraId="75E50162"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6D72FE91" w14:textId="77777777" w:rsidR="00241417" w:rsidRPr="00383285" w:rsidRDefault="00241417" w:rsidP="003A71DE">
            <w:pPr>
              <w:pStyle w:val="TAL"/>
              <w:rPr>
                <w:rFonts w:eastAsia="SimSun"/>
                <w:lang w:val="en-US"/>
              </w:rPr>
            </w:pPr>
            <w:r w:rsidRPr="00383285">
              <w:rPr>
                <w:rFonts w:eastAsia="SimSun"/>
                <w:lang w:val="en-US"/>
              </w:rPr>
              <w:t>PDSCH aggregation factor</w:t>
            </w:r>
          </w:p>
        </w:tc>
        <w:tc>
          <w:tcPr>
            <w:tcW w:w="664" w:type="pct"/>
            <w:shd w:val="clear" w:color="auto" w:fill="auto"/>
            <w:vAlign w:val="center"/>
          </w:tcPr>
          <w:p w14:paraId="6F9CE527" w14:textId="77777777" w:rsidR="00241417" w:rsidRPr="00383285" w:rsidRDefault="00241417" w:rsidP="003A71DE">
            <w:pPr>
              <w:pStyle w:val="TAC"/>
              <w:rPr>
                <w:rFonts w:eastAsia="SimSun"/>
                <w:lang w:val="en-US"/>
              </w:rPr>
            </w:pPr>
          </w:p>
        </w:tc>
        <w:tc>
          <w:tcPr>
            <w:tcW w:w="1324" w:type="pct"/>
            <w:shd w:val="clear" w:color="auto" w:fill="auto"/>
            <w:vAlign w:val="center"/>
          </w:tcPr>
          <w:p w14:paraId="710FF955" w14:textId="77777777" w:rsidR="00241417" w:rsidRPr="00383285" w:rsidRDefault="00241417" w:rsidP="003A71DE">
            <w:pPr>
              <w:pStyle w:val="TAC"/>
              <w:rPr>
                <w:rFonts w:eastAsia="SimSun"/>
                <w:lang w:val="en-US" w:eastAsia="zh-CN"/>
              </w:rPr>
            </w:pPr>
            <w:r w:rsidRPr="00383285">
              <w:rPr>
                <w:rFonts w:eastAsia="SimSun"/>
                <w:lang w:val="en-US" w:eastAsia="zh-CN"/>
              </w:rPr>
              <w:t>1</w:t>
            </w:r>
          </w:p>
        </w:tc>
      </w:tr>
      <w:tr w:rsidR="00241417" w:rsidRPr="00383285" w14:paraId="3C0D7B9E" w14:textId="77777777" w:rsidTr="003A71DE">
        <w:trPr>
          <w:jc w:val="center"/>
        </w:trPr>
        <w:tc>
          <w:tcPr>
            <w:tcW w:w="1014" w:type="pct"/>
            <w:vMerge/>
            <w:shd w:val="clear" w:color="auto" w:fill="auto"/>
            <w:vAlign w:val="center"/>
          </w:tcPr>
          <w:p w14:paraId="1C5E66CF"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6C9AE0D3" w14:textId="77777777" w:rsidR="00241417" w:rsidRPr="00383285" w:rsidRDefault="00241417" w:rsidP="003A71DE">
            <w:pPr>
              <w:pStyle w:val="TAL"/>
              <w:rPr>
                <w:rFonts w:eastAsia="SimSun"/>
                <w:lang w:val="en-US"/>
              </w:rPr>
            </w:pPr>
            <w:r w:rsidRPr="00383285">
              <w:rPr>
                <w:rFonts w:eastAsia="SimSun"/>
                <w:lang w:val="en-US"/>
              </w:rPr>
              <w:t>PRB bundling type</w:t>
            </w:r>
          </w:p>
        </w:tc>
        <w:tc>
          <w:tcPr>
            <w:tcW w:w="664" w:type="pct"/>
            <w:shd w:val="clear" w:color="auto" w:fill="auto"/>
            <w:vAlign w:val="center"/>
          </w:tcPr>
          <w:p w14:paraId="0CAFDF63" w14:textId="77777777" w:rsidR="00241417" w:rsidRPr="00383285" w:rsidRDefault="00241417" w:rsidP="003A71DE">
            <w:pPr>
              <w:pStyle w:val="TAC"/>
              <w:rPr>
                <w:rFonts w:eastAsia="SimSun"/>
                <w:lang w:val="en-US"/>
              </w:rPr>
            </w:pPr>
          </w:p>
        </w:tc>
        <w:tc>
          <w:tcPr>
            <w:tcW w:w="1324" w:type="pct"/>
            <w:shd w:val="clear" w:color="auto" w:fill="auto"/>
            <w:vAlign w:val="center"/>
          </w:tcPr>
          <w:p w14:paraId="52199F9F" w14:textId="77777777" w:rsidR="00241417" w:rsidRPr="00383285" w:rsidRDefault="00241417" w:rsidP="003A71DE">
            <w:pPr>
              <w:pStyle w:val="TAC"/>
              <w:rPr>
                <w:rFonts w:eastAsia="SimSun"/>
                <w:lang w:val="en-US" w:eastAsia="zh-CN"/>
              </w:rPr>
            </w:pPr>
            <w:r w:rsidRPr="00383285">
              <w:rPr>
                <w:rFonts w:eastAsia="SimSun"/>
                <w:lang w:val="en-US" w:eastAsia="zh-CN"/>
              </w:rPr>
              <w:t>Static</w:t>
            </w:r>
          </w:p>
        </w:tc>
      </w:tr>
      <w:tr w:rsidR="00241417" w:rsidRPr="00383285" w14:paraId="09E2B6FA" w14:textId="77777777" w:rsidTr="003A71DE">
        <w:trPr>
          <w:jc w:val="center"/>
        </w:trPr>
        <w:tc>
          <w:tcPr>
            <w:tcW w:w="1014" w:type="pct"/>
            <w:vMerge/>
            <w:shd w:val="clear" w:color="auto" w:fill="auto"/>
            <w:vAlign w:val="center"/>
          </w:tcPr>
          <w:p w14:paraId="6C4C229B"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3FD875B7" w14:textId="77777777" w:rsidR="00241417" w:rsidRPr="00383285" w:rsidRDefault="00241417" w:rsidP="003A71DE">
            <w:pPr>
              <w:pStyle w:val="TAL"/>
              <w:rPr>
                <w:rFonts w:eastAsia="SimSun"/>
                <w:lang w:val="en-US"/>
              </w:rPr>
            </w:pPr>
            <w:r w:rsidRPr="00383285">
              <w:rPr>
                <w:rFonts w:eastAsia="SimSun"/>
                <w:lang w:val="en-US"/>
              </w:rPr>
              <w:t>PRB bundling size</w:t>
            </w:r>
          </w:p>
        </w:tc>
        <w:tc>
          <w:tcPr>
            <w:tcW w:w="664" w:type="pct"/>
            <w:shd w:val="clear" w:color="auto" w:fill="auto"/>
            <w:vAlign w:val="center"/>
          </w:tcPr>
          <w:p w14:paraId="6E28CC6A" w14:textId="77777777" w:rsidR="00241417" w:rsidRPr="00383285" w:rsidRDefault="00241417" w:rsidP="003A71DE">
            <w:pPr>
              <w:pStyle w:val="TAC"/>
              <w:rPr>
                <w:rFonts w:eastAsia="SimSun"/>
                <w:lang w:val="en-US"/>
              </w:rPr>
            </w:pPr>
          </w:p>
        </w:tc>
        <w:tc>
          <w:tcPr>
            <w:tcW w:w="1324" w:type="pct"/>
            <w:shd w:val="clear" w:color="auto" w:fill="auto"/>
            <w:vAlign w:val="center"/>
          </w:tcPr>
          <w:p w14:paraId="2E36DDAB" w14:textId="77777777" w:rsidR="00241417" w:rsidRPr="00383285" w:rsidRDefault="00241417" w:rsidP="003A71DE">
            <w:pPr>
              <w:pStyle w:val="TAC"/>
              <w:rPr>
                <w:rFonts w:eastAsia="SimSun"/>
                <w:lang w:val="en-US" w:eastAsia="zh-CN"/>
              </w:rPr>
            </w:pPr>
            <w:r w:rsidRPr="00383285">
              <w:rPr>
                <w:rFonts w:eastAsia="SimSun"/>
                <w:lang w:val="en-US" w:eastAsia="zh-CN"/>
              </w:rPr>
              <w:t>2</w:t>
            </w:r>
          </w:p>
        </w:tc>
      </w:tr>
      <w:tr w:rsidR="00241417" w:rsidRPr="00383285" w14:paraId="44C149B7" w14:textId="77777777" w:rsidTr="003A71DE">
        <w:trPr>
          <w:jc w:val="center"/>
        </w:trPr>
        <w:tc>
          <w:tcPr>
            <w:tcW w:w="1014" w:type="pct"/>
            <w:vMerge/>
            <w:shd w:val="clear" w:color="auto" w:fill="auto"/>
            <w:vAlign w:val="center"/>
          </w:tcPr>
          <w:p w14:paraId="59923DBB"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5A570F84" w14:textId="77777777" w:rsidR="00241417" w:rsidRPr="00383285" w:rsidRDefault="00241417" w:rsidP="003A71DE">
            <w:pPr>
              <w:pStyle w:val="TAL"/>
              <w:rPr>
                <w:rFonts w:eastAsia="SimSun"/>
                <w:lang w:val="en-US"/>
              </w:rPr>
            </w:pPr>
            <w:r w:rsidRPr="00383285">
              <w:rPr>
                <w:rFonts w:eastAsia="SimSun"/>
                <w:lang w:val="en-US"/>
              </w:rPr>
              <w:t>Resource allocation type</w:t>
            </w:r>
          </w:p>
        </w:tc>
        <w:tc>
          <w:tcPr>
            <w:tcW w:w="664" w:type="pct"/>
            <w:shd w:val="clear" w:color="auto" w:fill="auto"/>
            <w:vAlign w:val="center"/>
          </w:tcPr>
          <w:p w14:paraId="58FB19F6" w14:textId="77777777" w:rsidR="00241417" w:rsidRPr="00383285" w:rsidRDefault="00241417" w:rsidP="003A71DE">
            <w:pPr>
              <w:pStyle w:val="TAC"/>
              <w:rPr>
                <w:rFonts w:eastAsia="SimSun"/>
                <w:lang w:val="en-US"/>
              </w:rPr>
            </w:pPr>
          </w:p>
        </w:tc>
        <w:tc>
          <w:tcPr>
            <w:tcW w:w="1324" w:type="pct"/>
            <w:shd w:val="clear" w:color="auto" w:fill="auto"/>
            <w:vAlign w:val="center"/>
          </w:tcPr>
          <w:p w14:paraId="341FD87F" w14:textId="77777777" w:rsidR="00241417" w:rsidRPr="00383285" w:rsidRDefault="00241417" w:rsidP="003A71DE">
            <w:pPr>
              <w:pStyle w:val="TAC"/>
              <w:rPr>
                <w:rFonts w:eastAsia="SimSun"/>
                <w:lang w:val="en-US" w:eastAsia="zh-CN"/>
              </w:rPr>
            </w:pPr>
            <w:r w:rsidRPr="00383285">
              <w:rPr>
                <w:rFonts w:eastAsia="SimSun"/>
                <w:lang w:val="en-US" w:eastAsia="zh-CN"/>
              </w:rPr>
              <w:t>Type 0</w:t>
            </w:r>
          </w:p>
        </w:tc>
      </w:tr>
      <w:tr w:rsidR="00241417" w:rsidRPr="00383285" w14:paraId="45AD22C1" w14:textId="77777777" w:rsidTr="003A71DE">
        <w:trPr>
          <w:jc w:val="center"/>
        </w:trPr>
        <w:tc>
          <w:tcPr>
            <w:tcW w:w="1014" w:type="pct"/>
            <w:vMerge/>
            <w:shd w:val="clear" w:color="auto" w:fill="auto"/>
            <w:vAlign w:val="center"/>
          </w:tcPr>
          <w:p w14:paraId="4635D98E"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1AE801E4" w14:textId="77777777" w:rsidR="00241417" w:rsidRPr="00383285" w:rsidRDefault="00241417" w:rsidP="003A71DE">
            <w:pPr>
              <w:pStyle w:val="TAL"/>
              <w:rPr>
                <w:rFonts w:eastAsia="SimSun"/>
                <w:lang w:val="en-US" w:eastAsia="zh-CN"/>
              </w:rPr>
            </w:pPr>
            <w:r w:rsidRPr="00383285">
              <w:rPr>
                <w:rFonts w:eastAsia="SimSun"/>
                <w:lang w:val="en-US" w:eastAsia="zh-CN"/>
              </w:rPr>
              <w:t>RBG size</w:t>
            </w:r>
          </w:p>
        </w:tc>
        <w:tc>
          <w:tcPr>
            <w:tcW w:w="664" w:type="pct"/>
            <w:shd w:val="clear" w:color="auto" w:fill="auto"/>
            <w:vAlign w:val="center"/>
          </w:tcPr>
          <w:p w14:paraId="519D517B" w14:textId="77777777" w:rsidR="00241417" w:rsidRPr="00383285" w:rsidRDefault="00241417" w:rsidP="003A71DE">
            <w:pPr>
              <w:pStyle w:val="TAC"/>
              <w:rPr>
                <w:rFonts w:eastAsia="SimSun"/>
                <w:lang w:val="en-US"/>
              </w:rPr>
            </w:pPr>
          </w:p>
        </w:tc>
        <w:tc>
          <w:tcPr>
            <w:tcW w:w="1324" w:type="pct"/>
            <w:shd w:val="clear" w:color="auto" w:fill="auto"/>
            <w:vAlign w:val="center"/>
          </w:tcPr>
          <w:p w14:paraId="1B4BCABB" w14:textId="77777777" w:rsidR="00241417" w:rsidRPr="00383285" w:rsidRDefault="00241417" w:rsidP="003A71DE">
            <w:pPr>
              <w:pStyle w:val="TAC"/>
              <w:rPr>
                <w:rFonts w:eastAsia="SimSun"/>
                <w:lang w:val="en-US" w:eastAsia="zh-CN"/>
              </w:rPr>
            </w:pPr>
            <w:r w:rsidRPr="00383285">
              <w:rPr>
                <w:rFonts w:eastAsia="SimSun"/>
                <w:lang w:val="en-US" w:eastAsia="zh-CN"/>
              </w:rPr>
              <w:t>Config2</w:t>
            </w:r>
          </w:p>
        </w:tc>
      </w:tr>
      <w:tr w:rsidR="00241417" w:rsidRPr="00383285" w14:paraId="00430E0C" w14:textId="77777777" w:rsidTr="003A71DE">
        <w:trPr>
          <w:jc w:val="center"/>
        </w:trPr>
        <w:tc>
          <w:tcPr>
            <w:tcW w:w="1014" w:type="pct"/>
            <w:vMerge/>
            <w:shd w:val="clear" w:color="auto" w:fill="auto"/>
            <w:vAlign w:val="center"/>
          </w:tcPr>
          <w:p w14:paraId="1E1B1025"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0F47209B" w14:textId="77777777" w:rsidR="00241417" w:rsidRPr="00383285" w:rsidRDefault="00241417" w:rsidP="003A71DE">
            <w:pPr>
              <w:pStyle w:val="TAL"/>
              <w:rPr>
                <w:rFonts w:eastAsia="SimSun"/>
                <w:lang w:val="en-US"/>
              </w:rPr>
            </w:pPr>
            <w:r w:rsidRPr="00383285">
              <w:rPr>
                <w:rFonts w:eastAsia="SimSun"/>
                <w:lang w:val="en-US" w:eastAsia="ja-JP"/>
              </w:rPr>
              <w:t>VRB-to-PRB mapping type</w:t>
            </w:r>
          </w:p>
        </w:tc>
        <w:tc>
          <w:tcPr>
            <w:tcW w:w="664" w:type="pct"/>
            <w:shd w:val="clear" w:color="auto" w:fill="auto"/>
            <w:vAlign w:val="center"/>
          </w:tcPr>
          <w:p w14:paraId="36BA8086" w14:textId="77777777" w:rsidR="00241417" w:rsidRPr="00383285" w:rsidRDefault="00241417" w:rsidP="003A71DE">
            <w:pPr>
              <w:pStyle w:val="TAC"/>
              <w:rPr>
                <w:rFonts w:eastAsia="SimSun"/>
                <w:lang w:val="en-US"/>
              </w:rPr>
            </w:pPr>
          </w:p>
        </w:tc>
        <w:tc>
          <w:tcPr>
            <w:tcW w:w="1324" w:type="pct"/>
            <w:shd w:val="clear" w:color="auto" w:fill="auto"/>
            <w:vAlign w:val="center"/>
          </w:tcPr>
          <w:p w14:paraId="2BE16095" w14:textId="77777777" w:rsidR="00241417" w:rsidRPr="00383285" w:rsidRDefault="00241417" w:rsidP="003A71DE">
            <w:pPr>
              <w:pStyle w:val="TAC"/>
              <w:rPr>
                <w:rFonts w:eastAsia="SimSun"/>
                <w:lang w:val="en-US" w:eastAsia="zh-CN"/>
              </w:rPr>
            </w:pPr>
            <w:r w:rsidRPr="00383285">
              <w:rPr>
                <w:rFonts w:eastAsia="SimSun"/>
                <w:lang w:val="en-US" w:eastAsia="zh-CN"/>
              </w:rPr>
              <w:t>Non-interleaved</w:t>
            </w:r>
          </w:p>
        </w:tc>
      </w:tr>
      <w:tr w:rsidR="00241417" w:rsidRPr="00383285" w14:paraId="4D77B183" w14:textId="77777777" w:rsidTr="003A71DE">
        <w:trPr>
          <w:jc w:val="center"/>
        </w:trPr>
        <w:tc>
          <w:tcPr>
            <w:tcW w:w="1014" w:type="pct"/>
            <w:vMerge/>
            <w:shd w:val="clear" w:color="auto" w:fill="auto"/>
            <w:vAlign w:val="center"/>
          </w:tcPr>
          <w:p w14:paraId="277E94A3"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3E19067C" w14:textId="77777777" w:rsidR="00241417" w:rsidRPr="00383285" w:rsidRDefault="00241417" w:rsidP="003A71DE">
            <w:pPr>
              <w:pStyle w:val="TAL"/>
              <w:rPr>
                <w:rFonts w:eastAsia="SimSun"/>
                <w:lang w:val="en-US" w:eastAsia="ja-JP"/>
              </w:rPr>
            </w:pPr>
            <w:r w:rsidRPr="00383285">
              <w:rPr>
                <w:rFonts w:eastAsia="SimSun"/>
                <w:lang w:val="en-US" w:eastAsia="ja-JP"/>
              </w:rPr>
              <w:t>VRB-to-PRB mapping interleaver bundle size</w:t>
            </w:r>
          </w:p>
        </w:tc>
        <w:tc>
          <w:tcPr>
            <w:tcW w:w="664" w:type="pct"/>
            <w:shd w:val="clear" w:color="auto" w:fill="auto"/>
            <w:vAlign w:val="center"/>
          </w:tcPr>
          <w:p w14:paraId="611AA008" w14:textId="77777777" w:rsidR="00241417" w:rsidRPr="00383285" w:rsidRDefault="00241417" w:rsidP="003A71DE">
            <w:pPr>
              <w:pStyle w:val="TAC"/>
              <w:rPr>
                <w:rFonts w:eastAsia="SimSun"/>
                <w:lang w:val="en-US"/>
              </w:rPr>
            </w:pPr>
          </w:p>
        </w:tc>
        <w:tc>
          <w:tcPr>
            <w:tcW w:w="1324" w:type="pct"/>
            <w:shd w:val="clear" w:color="auto" w:fill="auto"/>
            <w:vAlign w:val="center"/>
          </w:tcPr>
          <w:p w14:paraId="557A3CB4" w14:textId="77777777" w:rsidR="00241417" w:rsidRPr="00383285" w:rsidRDefault="00241417" w:rsidP="003A71DE">
            <w:pPr>
              <w:pStyle w:val="TAC"/>
              <w:rPr>
                <w:rFonts w:eastAsia="SimSun"/>
                <w:lang w:val="en-US" w:eastAsia="zh-CN"/>
              </w:rPr>
            </w:pPr>
            <w:r w:rsidRPr="00383285">
              <w:rPr>
                <w:rFonts w:eastAsia="SimSun"/>
                <w:lang w:val="en-US" w:eastAsia="zh-CN"/>
              </w:rPr>
              <w:t>N/A</w:t>
            </w:r>
          </w:p>
        </w:tc>
      </w:tr>
      <w:tr w:rsidR="00241417" w:rsidRPr="00383285" w14:paraId="249B77E0" w14:textId="77777777" w:rsidTr="003A71DE">
        <w:trPr>
          <w:jc w:val="center"/>
        </w:trPr>
        <w:tc>
          <w:tcPr>
            <w:tcW w:w="1014" w:type="pct"/>
            <w:vMerge w:val="restart"/>
            <w:shd w:val="clear" w:color="auto" w:fill="auto"/>
            <w:vAlign w:val="center"/>
          </w:tcPr>
          <w:p w14:paraId="03E1CC8E" w14:textId="77777777" w:rsidR="00241417" w:rsidRPr="00383285" w:rsidRDefault="00241417" w:rsidP="003A71DE">
            <w:pPr>
              <w:pStyle w:val="TAL"/>
              <w:rPr>
                <w:rFonts w:eastAsia="SimSun"/>
                <w:lang w:val="en-US"/>
              </w:rPr>
            </w:pPr>
            <w:r w:rsidRPr="00383285">
              <w:rPr>
                <w:rFonts w:eastAsia="SimSun"/>
                <w:lang w:val="en-US"/>
              </w:rPr>
              <w:t>PDSCH DMRS configuration</w:t>
            </w:r>
          </w:p>
        </w:tc>
        <w:tc>
          <w:tcPr>
            <w:tcW w:w="1998" w:type="pct"/>
            <w:gridSpan w:val="2"/>
            <w:shd w:val="clear" w:color="auto" w:fill="auto"/>
            <w:vAlign w:val="center"/>
          </w:tcPr>
          <w:p w14:paraId="08710E86" w14:textId="77777777" w:rsidR="00241417" w:rsidRPr="00383285" w:rsidRDefault="00241417" w:rsidP="003A71DE">
            <w:pPr>
              <w:pStyle w:val="TAL"/>
              <w:rPr>
                <w:rFonts w:eastAsia="SimSun"/>
                <w:lang w:val="en-US"/>
              </w:rPr>
            </w:pPr>
            <w:r w:rsidRPr="00383285">
              <w:rPr>
                <w:rFonts w:eastAsia="SimSun"/>
                <w:lang w:val="en-US"/>
              </w:rPr>
              <w:t>DMRS Type</w:t>
            </w:r>
          </w:p>
        </w:tc>
        <w:tc>
          <w:tcPr>
            <w:tcW w:w="664" w:type="pct"/>
            <w:shd w:val="clear" w:color="auto" w:fill="auto"/>
            <w:vAlign w:val="center"/>
          </w:tcPr>
          <w:p w14:paraId="7446E13A" w14:textId="77777777" w:rsidR="00241417" w:rsidRPr="00383285" w:rsidRDefault="00241417" w:rsidP="003A71DE">
            <w:pPr>
              <w:pStyle w:val="TAC"/>
              <w:rPr>
                <w:rFonts w:eastAsia="SimSun"/>
                <w:lang w:val="en-US"/>
              </w:rPr>
            </w:pPr>
          </w:p>
        </w:tc>
        <w:tc>
          <w:tcPr>
            <w:tcW w:w="1324" w:type="pct"/>
            <w:shd w:val="clear" w:color="auto" w:fill="auto"/>
            <w:vAlign w:val="center"/>
          </w:tcPr>
          <w:p w14:paraId="5E3B50E6" w14:textId="77777777" w:rsidR="00241417" w:rsidRPr="00383285" w:rsidRDefault="00241417" w:rsidP="003A71DE">
            <w:pPr>
              <w:pStyle w:val="TAC"/>
              <w:rPr>
                <w:rFonts w:eastAsia="SimSun"/>
                <w:lang w:val="en-US" w:eastAsia="zh-CN"/>
              </w:rPr>
            </w:pPr>
            <w:r w:rsidRPr="00383285">
              <w:rPr>
                <w:rFonts w:eastAsia="SimSun"/>
                <w:lang w:val="en-US" w:eastAsia="zh-CN"/>
              </w:rPr>
              <w:t>Type 1</w:t>
            </w:r>
          </w:p>
        </w:tc>
      </w:tr>
      <w:tr w:rsidR="00241417" w:rsidRPr="00383285" w14:paraId="7A7E1D54" w14:textId="77777777" w:rsidTr="003A71DE">
        <w:trPr>
          <w:jc w:val="center"/>
        </w:trPr>
        <w:tc>
          <w:tcPr>
            <w:tcW w:w="1014" w:type="pct"/>
            <w:vMerge/>
            <w:shd w:val="clear" w:color="auto" w:fill="auto"/>
            <w:vAlign w:val="center"/>
          </w:tcPr>
          <w:p w14:paraId="7B528A90"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289AAD60" w14:textId="77777777" w:rsidR="00241417" w:rsidRPr="00383285" w:rsidRDefault="00241417" w:rsidP="003A71DE">
            <w:pPr>
              <w:pStyle w:val="TAL"/>
              <w:rPr>
                <w:rFonts w:eastAsia="SimSun"/>
                <w:lang w:val="en-US"/>
              </w:rPr>
            </w:pPr>
            <w:r w:rsidRPr="00383285">
              <w:rPr>
                <w:rFonts w:eastAsia="SimSun"/>
                <w:lang w:val="en-US"/>
              </w:rPr>
              <w:t>Number of additional DMRS</w:t>
            </w:r>
          </w:p>
        </w:tc>
        <w:tc>
          <w:tcPr>
            <w:tcW w:w="664" w:type="pct"/>
            <w:shd w:val="clear" w:color="auto" w:fill="auto"/>
            <w:vAlign w:val="center"/>
          </w:tcPr>
          <w:p w14:paraId="50FA077A" w14:textId="77777777" w:rsidR="00241417" w:rsidRPr="00383285" w:rsidRDefault="00241417" w:rsidP="003A71DE">
            <w:pPr>
              <w:pStyle w:val="TAC"/>
              <w:rPr>
                <w:rFonts w:eastAsia="SimSun"/>
                <w:lang w:val="en-US"/>
              </w:rPr>
            </w:pPr>
          </w:p>
        </w:tc>
        <w:tc>
          <w:tcPr>
            <w:tcW w:w="1324" w:type="pct"/>
            <w:shd w:val="clear" w:color="auto" w:fill="auto"/>
            <w:vAlign w:val="center"/>
          </w:tcPr>
          <w:p w14:paraId="22FDB7BA" w14:textId="77777777" w:rsidR="00241417" w:rsidRPr="00383285" w:rsidRDefault="00241417" w:rsidP="003A71DE">
            <w:pPr>
              <w:pStyle w:val="TAC"/>
              <w:rPr>
                <w:rFonts w:eastAsia="SimSun"/>
                <w:lang w:val="en-US" w:eastAsia="zh-CN"/>
              </w:rPr>
            </w:pPr>
            <w:r w:rsidRPr="00383285">
              <w:rPr>
                <w:rFonts w:eastAsia="SimSun"/>
                <w:lang w:val="en-US" w:eastAsia="zh-CN"/>
              </w:rPr>
              <w:t>1</w:t>
            </w:r>
          </w:p>
        </w:tc>
      </w:tr>
      <w:tr w:rsidR="00241417" w:rsidRPr="00383285" w14:paraId="0B95D58A" w14:textId="77777777" w:rsidTr="003A71DE">
        <w:trPr>
          <w:jc w:val="center"/>
        </w:trPr>
        <w:tc>
          <w:tcPr>
            <w:tcW w:w="1014" w:type="pct"/>
            <w:vMerge/>
            <w:shd w:val="clear" w:color="auto" w:fill="auto"/>
            <w:vAlign w:val="center"/>
          </w:tcPr>
          <w:p w14:paraId="533819A6"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2A3CD224" w14:textId="77777777" w:rsidR="00241417" w:rsidRPr="00383285" w:rsidRDefault="00241417" w:rsidP="003A71DE">
            <w:pPr>
              <w:pStyle w:val="TAL"/>
              <w:rPr>
                <w:rFonts w:eastAsia="SimSun"/>
                <w:lang w:val="en-US"/>
              </w:rPr>
            </w:pPr>
            <w:r w:rsidRPr="00383285">
              <w:rPr>
                <w:rFonts w:eastAsia="SimSun"/>
                <w:lang w:val="en-US" w:eastAsia="zh-CN"/>
              </w:rPr>
              <w:t>DMRS ports indexes</w:t>
            </w:r>
          </w:p>
        </w:tc>
        <w:tc>
          <w:tcPr>
            <w:tcW w:w="664" w:type="pct"/>
            <w:shd w:val="clear" w:color="auto" w:fill="auto"/>
            <w:vAlign w:val="center"/>
          </w:tcPr>
          <w:p w14:paraId="7A568AF0" w14:textId="77777777" w:rsidR="00241417" w:rsidRPr="00383285" w:rsidRDefault="00241417" w:rsidP="003A71DE">
            <w:pPr>
              <w:pStyle w:val="TAC"/>
              <w:rPr>
                <w:rFonts w:eastAsia="SimSun"/>
                <w:lang w:val="en-US"/>
              </w:rPr>
            </w:pPr>
          </w:p>
        </w:tc>
        <w:tc>
          <w:tcPr>
            <w:tcW w:w="1324" w:type="pct"/>
            <w:shd w:val="clear" w:color="auto" w:fill="auto"/>
            <w:vAlign w:val="center"/>
          </w:tcPr>
          <w:p w14:paraId="651D0D8D" w14:textId="77777777" w:rsidR="00241417" w:rsidRPr="00383285" w:rsidRDefault="00241417" w:rsidP="003A71DE">
            <w:pPr>
              <w:pStyle w:val="TAC"/>
              <w:rPr>
                <w:rFonts w:eastAsia="SimSun"/>
                <w:lang w:val="en-US" w:eastAsia="zh-CN"/>
              </w:rPr>
            </w:pPr>
            <w:r w:rsidRPr="00383285">
              <w:rPr>
                <w:rFonts w:eastAsia="SimSun"/>
                <w:lang w:val="en-US" w:eastAsia="zh-CN"/>
              </w:rPr>
              <w:t>{1000} for Rank1</w:t>
            </w:r>
          </w:p>
          <w:p w14:paraId="269DB783" w14:textId="77777777" w:rsidR="00241417" w:rsidRPr="00383285" w:rsidRDefault="00241417" w:rsidP="003A71DE">
            <w:pPr>
              <w:pStyle w:val="TAC"/>
              <w:rPr>
                <w:rFonts w:eastAsia="SimSun"/>
                <w:lang w:val="en-US" w:eastAsia="zh-CN"/>
              </w:rPr>
            </w:pPr>
            <w:r w:rsidRPr="00383285">
              <w:rPr>
                <w:rFonts w:eastAsia="SimSun"/>
                <w:lang w:val="en-US" w:eastAsia="zh-CN"/>
              </w:rPr>
              <w:t>{1000,1001} for Rank2</w:t>
            </w:r>
          </w:p>
        </w:tc>
      </w:tr>
      <w:tr w:rsidR="00241417" w:rsidRPr="00383285" w14:paraId="7D9124E9" w14:textId="77777777" w:rsidTr="003A71DE">
        <w:trPr>
          <w:jc w:val="center"/>
        </w:trPr>
        <w:tc>
          <w:tcPr>
            <w:tcW w:w="1014" w:type="pct"/>
            <w:vMerge/>
            <w:shd w:val="clear" w:color="auto" w:fill="auto"/>
            <w:vAlign w:val="center"/>
          </w:tcPr>
          <w:p w14:paraId="0E2DC469"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0CD4A93E" w14:textId="77777777" w:rsidR="00241417" w:rsidRPr="00383285" w:rsidRDefault="00241417" w:rsidP="003A71DE">
            <w:pPr>
              <w:pStyle w:val="TAL"/>
              <w:rPr>
                <w:rFonts w:eastAsia="SimSun"/>
                <w:lang w:val="en-US"/>
              </w:rPr>
            </w:pPr>
            <w:r w:rsidRPr="00383285">
              <w:rPr>
                <w:rFonts w:eastAsia="SimSun"/>
                <w:lang w:val="en-US"/>
              </w:rPr>
              <w:t>Maximum number of OFDM symbols for DL front loaded DMRS</w:t>
            </w:r>
          </w:p>
        </w:tc>
        <w:tc>
          <w:tcPr>
            <w:tcW w:w="664" w:type="pct"/>
            <w:shd w:val="clear" w:color="auto" w:fill="auto"/>
            <w:vAlign w:val="center"/>
          </w:tcPr>
          <w:p w14:paraId="556D72BC" w14:textId="77777777" w:rsidR="00241417" w:rsidRPr="00383285" w:rsidRDefault="00241417" w:rsidP="003A71DE">
            <w:pPr>
              <w:pStyle w:val="TAC"/>
              <w:rPr>
                <w:rFonts w:eastAsia="SimSun"/>
                <w:lang w:val="en-US"/>
              </w:rPr>
            </w:pPr>
          </w:p>
        </w:tc>
        <w:tc>
          <w:tcPr>
            <w:tcW w:w="1324" w:type="pct"/>
            <w:shd w:val="clear" w:color="auto" w:fill="auto"/>
            <w:vAlign w:val="center"/>
          </w:tcPr>
          <w:p w14:paraId="62D76D83" w14:textId="77777777" w:rsidR="00241417" w:rsidRPr="00383285" w:rsidRDefault="00241417" w:rsidP="003A71DE">
            <w:pPr>
              <w:pStyle w:val="TAC"/>
              <w:rPr>
                <w:rFonts w:eastAsia="SimSun"/>
                <w:lang w:val="en-US" w:eastAsia="zh-CN"/>
              </w:rPr>
            </w:pPr>
            <w:r w:rsidRPr="00383285">
              <w:rPr>
                <w:rFonts w:eastAsia="SimSun"/>
                <w:lang w:val="en-US" w:eastAsia="zh-CN"/>
              </w:rPr>
              <w:t>1</w:t>
            </w:r>
          </w:p>
        </w:tc>
      </w:tr>
      <w:tr w:rsidR="00241417" w:rsidRPr="00383285" w14:paraId="36EAC6BD" w14:textId="77777777" w:rsidTr="003A71DE">
        <w:trPr>
          <w:jc w:val="center"/>
        </w:trPr>
        <w:tc>
          <w:tcPr>
            <w:tcW w:w="1014" w:type="pct"/>
            <w:vMerge/>
            <w:shd w:val="clear" w:color="auto" w:fill="auto"/>
            <w:vAlign w:val="center"/>
          </w:tcPr>
          <w:p w14:paraId="4441F52E"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3167CD57" w14:textId="77777777" w:rsidR="00241417" w:rsidRPr="00383285" w:rsidRDefault="00241417" w:rsidP="003A71DE">
            <w:pPr>
              <w:pStyle w:val="TAL"/>
              <w:rPr>
                <w:rFonts w:eastAsia="SimSun"/>
                <w:lang w:val="en-US"/>
              </w:rPr>
            </w:pPr>
            <w:r w:rsidRPr="00383285">
              <w:rPr>
                <w:rFonts w:eastAsia="SimSun"/>
                <w:lang w:val="en-US"/>
              </w:rPr>
              <w:t>Number of PDSCH DMRS CDM group(s) without data</w:t>
            </w:r>
          </w:p>
        </w:tc>
        <w:tc>
          <w:tcPr>
            <w:tcW w:w="664" w:type="pct"/>
            <w:shd w:val="clear" w:color="auto" w:fill="auto"/>
            <w:vAlign w:val="center"/>
          </w:tcPr>
          <w:p w14:paraId="763D3E18" w14:textId="77777777" w:rsidR="00241417" w:rsidRPr="00383285" w:rsidRDefault="00241417" w:rsidP="003A71DE">
            <w:pPr>
              <w:pStyle w:val="TAC"/>
              <w:rPr>
                <w:rFonts w:eastAsia="SimSun"/>
                <w:lang w:val="en-US"/>
              </w:rPr>
            </w:pPr>
          </w:p>
        </w:tc>
        <w:tc>
          <w:tcPr>
            <w:tcW w:w="1324" w:type="pct"/>
            <w:shd w:val="clear" w:color="auto" w:fill="auto"/>
            <w:vAlign w:val="center"/>
          </w:tcPr>
          <w:p w14:paraId="26842777" w14:textId="77777777" w:rsidR="00241417" w:rsidRPr="00383285" w:rsidRDefault="00241417" w:rsidP="003A71DE">
            <w:pPr>
              <w:pStyle w:val="TAC"/>
              <w:rPr>
                <w:rFonts w:eastAsia="SimSun"/>
                <w:lang w:val="en-US" w:eastAsia="zh-CN"/>
              </w:rPr>
            </w:pPr>
            <w:r w:rsidRPr="00383285">
              <w:rPr>
                <w:rFonts w:eastAsia="SimSun"/>
                <w:lang w:val="en-US" w:eastAsia="zh-CN"/>
              </w:rPr>
              <w:t>2</w:t>
            </w:r>
          </w:p>
        </w:tc>
      </w:tr>
      <w:tr w:rsidR="00241417" w:rsidRPr="00383285" w14:paraId="0019A1D0" w14:textId="77777777" w:rsidTr="003A71DE">
        <w:trPr>
          <w:jc w:val="center"/>
        </w:trPr>
        <w:tc>
          <w:tcPr>
            <w:tcW w:w="1014" w:type="pct"/>
            <w:vMerge w:val="restart"/>
            <w:shd w:val="clear" w:color="auto" w:fill="auto"/>
            <w:vAlign w:val="center"/>
          </w:tcPr>
          <w:p w14:paraId="67D71793" w14:textId="77777777" w:rsidR="00241417" w:rsidRPr="00383285" w:rsidRDefault="00241417" w:rsidP="003A71DE">
            <w:pPr>
              <w:pStyle w:val="TAL"/>
              <w:rPr>
                <w:rFonts w:eastAsia="SimSun"/>
                <w:lang w:val="en-US"/>
              </w:rPr>
            </w:pPr>
            <w:r w:rsidRPr="00383285">
              <w:rPr>
                <w:rFonts w:eastAsia="SimSun"/>
                <w:lang w:val="en-US"/>
              </w:rPr>
              <w:t>PTRS configuration</w:t>
            </w:r>
          </w:p>
        </w:tc>
        <w:tc>
          <w:tcPr>
            <w:tcW w:w="1998" w:type="pct"/>
            <w:gridSpan w:val="2"/>
            <w:shd w:val="clear" w:color="auto" w:fill="auto"/>
            <w:vAlign w:val="center"/>
          </w:tcPr>
          <w:p w14:paraId="41B05737" w14:textId="77777777" w:rsidR="00241417" w:rsidRPr="00383285" w:rsidRDefault="00241417" w:rsidP="003A71DE">
            <w:pPr>
              <w:pStyle w:val="TAL"/>
              <w:rPr>
                <w:rFonts w:eastAsia="SimSun"/>
                <w:lang w:val="en-US"/>
              </w:rPr>
            </w:pPr>
            <w:r w:rsidRPr="00383285">
              <w:rPr>
                <w:rFonts w:eastAsia="SimSun"/>
                <w:lang w:val="en-US"/>
              </w:rPr>
              <w:t>Frequency density (</w:t>
            </w:r>
            <w:r w:rsidRPr="00383285">
              <w:rPr>
                <w:rFonts w:eastAsia="SimSun"/>
                <w:i/>
                <w:lang w:val="en-US"/>
              </w:rPr>
              <w:t>K</w:t>
            </w:r>
            <w:r w:rsidRPr="00383285">
              <w:rPr>
                <w:rFonts w:eastAsia="SimSun"/>
                <w:i/>
                <w:vertAlign w:val="subscript"/>
                <w:lang w:val="en-US"/>
              </w:rPr>
              <w:t>PT-RS</w:t>
            </w:r>
            <w:r w:rsidRPr="00383285">
              <w:rPr>
                <w:rFonts w:eastAsia="SimSun"/>
                <w:lang w:val="en-US"/>
              </w:rPr>
              <w:t>)</w:t>
            </w:r>
          </w:p>
        </w:tc>
        <w:tc>
          <w:tcPr>
            <w:tcW w:w="664" w:type="pct"/>
            <w:shd w:val="clear" w:color="auto" w:fill="auto"/>
            <w:vAlign w:val="center"/>
          </w:tcPr>
          <w:p w14:paraId="250EB9A4" w14:textId="77777777" w:rsidR="00241417" w:rsidRPr="00383285" w:rsidRDefault="00241417" w:rsidP="003A71DE">
            <w:pPr>
              <w:pStyle w:val="TAC"/>
              <w:rPr>
                <w:rFonts w:eastAsia="SimSun"/>
                <w:lang w:val="en-US"/>
              </w:rPr>
            </w:pPr>
          </w:p>
        </w:tc>
        <w:tc>
          <w:tcPr>
            <w:tcW w:w="1324" w:type="pct"/>
            <w:shd w:val="clear" w:color="auto" w:fill="auto"/>
            <w:vAlign w:val="center"/>
          </w:tcPr>
          <w:p w14:paraId="40F48831" w14:textId="77777777" w:rsidR="00241417" w:rsidRPr="00383285" w:rsidRDefault="00241417" w:rsidP="003A71DE">
            <w:pPr>
              <w:pStyle w:val="TAC"/>
              <w:rPr>
                <w:rFonts w:eastAsia="SimSun"/>
                <w:lang w:val="en-US" w:eastAsia="zh-CN"/>
              </w:rPr>
            </w:pPr>
            <w:r w:rsidRPr="00383285">
              <w:rPr>
                <w:rFonts w:eastAsia="SimSun"/>
                <w:lang w:val="en-US" w:eastAsia="zh-CN"/>
              </w:rPr>
              <w:t>2</w:t>
            </w:r>
          </w:p>
        </w:tc>
      </w:tr>
      <w:tr w:rsidR="00241417" w:rsidRPr="00383285" w14:paraId="69823A84" w14:textId="77777777" w:rsidTr="003A71DE">
        <w:trPr>
          <w:trHeight w:val="128"/>
          <w:jc w:val="center"/>
        </w:trPr>
        <w:tc>
          <w:tcPr>
            <w:tcW w:w="1014" w:type="pct"/>
            <w:vMerge/>
            <w:shd w:val="clear" w:color="auto" w:fill="auto"/>
            <w:vAlign w:val="center"/>
          </w:tcPr>
          <w:p w14:paraId="72614C27"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19B358BA" w14:textId="77777777" w:rsidR="00241417" w:rsidRPr="00383285" w:rsidRDefault="00241417" w:rsidP="003A71DE">
            <w:pPr>
              <w:pStyle w:val="TAL"/>
              <w:rPr>
                <w:rFonts w:eastAsia="SimSun"/>
                <w:lang w:val="en-US"/>
              </w:rPr>
            </w:pPr>
            <w:r w:rsidRPr="00383285">
              <w:rPr>
                <w:rFonts w:eastAsia="SimSun"/>
                <w:lang w:val="en-US"/>
              </w:rPr>
              <w:t>Time density (</w:t>
            </w:r>
            <w:r w:rsidRPr="00383285">
              <w:rPr>
                <w:rFonts w:eastAsia="SimSun"/>
                <w:i/>
                <w:lang w:val="en-US"/>
              </w:rPr>
              <w:t>L</w:t>
            </w:r>
            <w:r w:rsidRPr="00383285">
              <w:rPr>
                <w:rFonts w:eastAsia="SimSun"/>
                <w:i/>
                <w:vertAlign w:val="subscript"/>
                <w:lang w:val="en-US"/>
              </w:rPr>
              <w:t>PT-RS</w:t>
            </w:r>
            <w:r w:rsidRPr="00383285">
              <w:rPr>
                <w:rFonts w:eastAsia="SimSun"/>
                <w:lang w:val="en-US"/>
              </w:rPr>
              <w:t>)</w:t>
            </w:r>
          </w:p>
        </w:tc>
        <w:tc>
          <w:tcPr>
            <w:tcW w:w="664" w:type="pct"/>
            <w:shd w:val="clear" w:color="auto" w:fill="auto"/>
            <w:vAlign w:val="center"/>
          </w:tcPr>
          <w:p w14:paraId="105F8FB2" w14:textId="77777777" w:rsidR="00241417" w:rsidRPr="00383285" w:rsidRDefault="00241417" w:rsidP="003A71DE">
            <w:pPr>
              <w:pStyle w:val="TAC"/>
              <w:rPr>
                <w:rFonts w:eastAsia="SimSun"/>
                <w:lang w:val="en-US"/>
              </w:rPr>
            </w:pPr>
          </w:p>
        </w:tc>
        <w:tc>
          <w:tcPr>
            <w:tcW w:w="1324" w:type="pct"/>
            <w:shd w:val="clear" w:color="auto" w:fill="auto"/>
            <w:vAlign w:val="center"/>
          </w:tcPr>
          <w:p w14:paraId="3D185503" w14:textId="77777777" w:rsidR="00241417" w:rsidRPr="00383285" w:rsidRDefault="00241417" w:rsidP="003A71DE">
            <w:pPr>
              <w:pStyle w:val="TAC"/>
              <w:rPr>
                <w:rFonts w:eastAsia="SimSun"/>
                <w:lang w:val="en-US" w:eastAsia="zh-CN"/>
              </w:rPr>
            </w:pPr>
            <w:r w:rsidRPr="00383285">
              <w:rPr>
                <w:rFonts w:eastAsia="SimSun"/>
                <w:lang w:val="en-US" w:eastAsia="zh-CN"/>
              </w:rPr>
              <w:t>1</w:t>
            </w:r>
          </w:p>
        </w:tc>
      </w:tr>
      <w:tr w:rsidR="00241417" w:rsidRPr="00383285" w14:paraId="4D7B2A9F" w14:textId="77777777" w:rsidTr="003A71DE">
        <w:trPr>
          <w:trHeight w:val="83"/>
          <w:jc w:val="center"/>
        </w:trPr>
        <w:tc>
          <w:tcPr>
            <w:tcW w:w="1014" w:type="pct"/>
            <w:vMerge/>
            <w:shd w:val="clear" w:color="auto" w:fill="auto"/>
            <w:vAlign w:val="center"/>
          </w:tcPr>
          <w:p w14:paraId="440BBF68" w14:textId="77777777" w:rsidR="00241417" w:rsidRPr="00383285" w:rsidRDefault="00241417" w:rsidP="003A71DE">
            <w:pPr>
              <w:pStyle w:val="TAL"/>
              <w:rPr>
                <w:rFonts w:eastAsia="SimSun"/>
                <w:lang w:val="en-US"/>
              </w:rPr>
            </w:pPr>
          </w:p>
        </w:tc>
        <w:tc>
          <w:tcPr>
            <w:tcW w:w="1998" w:type="pct"/>
            <w:gridSpan w:val="2"/>
            <w:shd w:val="clear" w:color="auto" w:fill="auto"/>
            <w:vAlign w:val="center"/>
          </w:tcPr>
          <w:p w14:paraId="11BAD060" w14:textId="77777777" w:rsidR="00241417" w:rsidRPr="00383285" w:rsidRDefault="00241417" w:rsidP="003A71DE">
            <w:pPr>
              <w:pStyle w:val="TAL"/>
              <w:rPr>
                <w:rFonts w:eastAsia="SimSun"/>
                <w:lang w:val="en-US"/>
              </w:rPr>
            </w:pPr>
            <w:r w:rsidRPr="00383285">
              <w:rPr>
                <w:rFonts w:eastAsia="SimSun"/>
                <w:lang w:val="en-US"/>
              </w:rPr>
              <w:t>Resource Element Offset</w:t>
            </w:r>
          </w:p>
        </w:tc>
        <w:tc>
          <w:tcPr>
            <w:tcW w:w="664" w:type="pct"/>
            <w:shd w:val="clear" w:color="auto" w:fill="auto"/>
            <w:vAlign w:val="center"/>
          </w:tcPr>
          <w:p w14:paraId="46D8B350" w14:textId="77777777" w:rsidR="00241417" w:rsidRPr="00383285" w:rsidRDefault="00241417" w:rsidP="003A71DE">
            <w:pPr>
              <w:pStyle w:val="TAC"/>
              <w:rPr>
                <w:rFonts w:eastAsia="SimSun"/>
                <w:lang w:val="en-US"/>
              </w:rPr>
            </w:pPr>
          </w:p>
        </w:tc>
        <w:tc>
          <w:tcPr>
            <w:tcW w:w="1324" w:type="pct"/>
            <w:shd w:val="clear" w:color="auto" w:fill="auto"/>
            <w:vAlign w:val="center"/>
          </w:tcPr>
          <w:p w14:paraId="0263E5FF" w14:textId="77777777" w:rsidR="00241417" w:rsidRPr="00383285" w:rsidRDefault="00241417" w:rsidP="003A71DE">
            <w:pPr>
              <w:pStyle w:val="TAC"/>
              <w:rPr>
                <w:rFonts w:eastAsia="SimSun"/>
                <w:lang w:val="en-US" w:eastAsia="zh-CN"/>
              </w:rPr>
            </w:pPr>
            <w:r w:rsidRPr="00383285">
              <w:rPr>
                <w:rFonts w:eastAsia="SimSun"/>
                <w:lang w:val="en-US"/>
              </w:rPr>
              <w:t>2</w:t>
            </w:r>
          </w:p>
        </w:tc>
      </w:tr>
      <w:tr w:rsidR="00241417" w:rsidRPr="00383285" w14:paraId="6D9AE454" w14:textId="77777777" w:rsidTr="003A71DE">
        <w:trPr>
          <w:jc w:val="center"/>
        </w:trPr>
        <w:tc>
          <w:tcPr>
            <w:tcW w:w="1021" w:type="pct"/>
            <w:gridSpan w:val="2"/>
            <w:shd w:val="clear" w:color="auto" w:fill="auto"/>
            <w:vAlign w:val="center"/>
          </w:tcPr>
          <w:p w14:paraId="091EFE71" w14:textId="77777777" w:rsidR="00241417" w:rsidRPr="00383285" w:rsidRDefault="00241417" w:rsidP="003A71DE">
            <w:pPr>
              <w:pStyle w:val="TAL"/>
              <w:rPr>
                <w:rFonts w:eastAsia="SimSun"/>
                <w:szCs w:val="18"/>
                <w:lang w:val="en-US"/>
              </w:rPr>
            </w:pPr>
            <w:r w:rsidRPr="00383285">
              <w:rPr>
                <w:rFonts w:eastAsia="SimSun"/>
                <w:szCs w:val="18"/>
                <w:lang w:val="en-US"/>
              </w:rPr>
              <w:t>NZP CSI-RS for CSI acquisition</w:t>
            </w:r>
          </w:p>
        </w:tc>
        <w:tc>
          <w:tcPr>
            <w:tcW w:w="1991" w:type="pct"/>
            <w:tcBorders>
              <w:top w:val="single" w:sz="4" w:space="0" w:color="auto"/>
              <w:left w:val="single" w:sz="4" w:space="0" w:color="auto"/>
              <w:bottom w:val="single" w:sz="4" w:space="0" w:color="auto"/>
              <w:right w:val="single" w:sz="4" w:space="0" w:color="auto"/>
            </w:tcBorders>
            <w:shd w:val="clear" w:color="auto" w:fill="auto"/>
            <w:vAlign w:val="center"/>
          </w:tcPr>
          <w:p w14:paraId="0513F604" w14:textId="77777777" w:rsidR="00241417" w:rsidRPr="00383285" w:rsidRDefault="00241417" w:rsidP="003A71DE">
            <w:pPr>
              <w:pStyle w:val="TAL"/>
              <w:rPr>
                <w:rFonts w:eastAsia="SimSun"/>
                <w:szCs w:val="18"/>
                <w:lang w:val="en-US"/>
              </w:rPr>
            </w:pPr>
            <w:r w:rsidRPr="00383285">
              <w:rPr>
                <w:rFonts w:eastAsia="SimSun"/>
                <w:szCs w:val="18"/>
                <w:lang w:val="en-US"/>
              </w:rPr>
              <w:t>Frequency Occupation</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69D1BD6F" w14:textId="77777777" w:rsidR="00241417" w:rsidRPr="00383285" w:rsidRDefault="00241417" w:rsidP="003A71DE">
            <w:pPr>
              <w:pStyle w:val="TAC"/>
              <w:rPr>
                <w:rFonts w:eastAsia="SimSun"/>
                <w:szCs w:val="18"/>
                <w:lang w:val="en-US" w:eastAsia="zh-CN"/>
              </w:rPr>
            </w:pPr>
          </w:p>
        </w:tc>
        <w:tc>
          <w:tcPr>
            <w:tcW w:w="1324" w:type="pct"/>
            <w:tcBorders>
              <w:top w:val="single" w:sz="4" w:space="0" w:color="auto"/>
              <w:left w:val="single" w:sz="4" w:space="0" w:color="auto"/>
              <w:bottom w:val="single" w:sz="4" w:space="0" w:color="auto"/>
              <w:right w:val="single" w:sz="4" w:space="0" w:color="auto"/>
            </w:tcBorders>
            <w:shd w:val="clear" w:color="auto" w:fill="auto"/>
            <w:vAlign w:val="center"/>
          </w:tcPr>
          <w:p w14:paraId="2E5D3E31" w14:textId="77777777" w:rsidR="00241417" w:rsidRPr="00383285" w:rsidRDefault="00241417" w:rsidP="003A71DE">
            <w:pPr>
              <w:pStyle w:val="TAC"/>
              <w:rPr>
                <w:rFonts w:eastAsia="SimSun"/>
                <w:szCs w:val="18"/>
                <w:lang w:val="en-US"/>
              </w:rPr>
            </w:pPr>
            <w:r w:rsidRPr="00383285">
              <w:rPr>
                <w:rFonts w:eastAsia="SimSun"/>
                <w:szCs w:val="18"/>
                <w:lang w:val="en-US"/>
              </w:rPr>
              <w:t>Start PRB 0</w:t>
            </w:r>
          </w:p>
          <w:p w14:paraId="4A27A2BC" w14:textId="77777777" w:rsidR="00241417" w:rsidRPr="00383285" w:rsidRDefault="00241417" w:rsidP="003A71DE">
            <w:pPr>
              <w:pStyle w:val="TAC"/>
              <w:rPr>
                <w:rFonts w:eastAsia="SimSun"/>
                <w:szCs w:val="18"/>
                <w:lang w:val="en-US" w:eastAsia="zh-CN"/>
              </w:rPr>
            </w:pPr>
            <w:r w:rsidRPr="00383285">
              <w:rPr>
                <w:rFonts w:eastAsia="SimSun"/>
                <w:szCs w:val="18"/>
                <w:lang w:val="en-US"/>
              </w:rPr>
              <w:t>Number of PRB = BWP size</w:t>
            </w:r>
          </w:p>
        </w:tc>
      </w:tr>
      <w:tr w:rsidR="00241417" w:rsidRPr="00383285" w14:paraId="198F50B8" w14:textId="77777777" w:rsidTr="003A71DE">
        <w:trPr>
          <w:jc w:val="center"/>
        </w:trPr>
        <w:tc>
          <w:tcPr>
            <w:tcW w:w="301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6A366924" w14:textId="77777777" w:rsidR="00241417" w:rsidRPr="00383285" w:rsidRDefault="00241417" w:rsidP="003A71DE">
            <w:pPr>
              <w:pStyle w:val="TAL"/>
              <w:rPr>
                <w:rFonts w:eastAsia="SimSun"/>
                <w:szCs w:val="18"/>
                <w:lang w:val="en-US"/>
              </w:rPr>
            </w:pPr>
            <w:r w:rsidRPr="00383285">
              <w:rPr>
                <w:rFonts w:eastAsia="SimSun"/>
                <w:szCs w:val="18"/>
                <w:lang w:val="en-US"/>
              </w:rPr>
              <w:t>Number of HARQ Processes</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446C8962" w14:textId="77777777" w:rsidR="00241417" w:rsidRPr="00383285" w:rsidRDefault="00241417" w:rsidP="003A71DE">
            <w:pPr>
              <w:pStyle w:val="TAC"/>
              <w:rPr>
                <w:rFonts w:eastAsia="SimSun"/>
                <w:szCs w:val="18"/>
                <w:lang w:val="en-US"/>
              </w:rPr>
            </w:pPr>
          </w:p>
        </w:tc>
        <w:tc>
          <w:tcPr>
            <w:tcW w:w="1324" w:type="pct"/>
            <w:tcBorders>
              <w:top w:val="single" w:sz="4" w:space="0" w:color="auto"/>
              <w:left w:val="single" w:sz="4" w:space="0" w:color="auto"/>
              <w:bottom w:val="single" w:sz="4" w:space="0" w:color="auto"/>
              <w:right w:val="single" w:sz="4" w:space="0" w:color="auto"/>
            </w:tcBorders>
            <w:shd w:val="clear" w:color="auto" w:fill="auto"/>
          </w:tcPr>
          <w:p w14:paraId="12DF3F62" w14:textId="77777777" w:rsidR="00241417" w:rsidRPr="00383285" w:rsidRDefault="00241417" w:rsidP="003A71DE">
            <w:pPr>
              <w:pStyle w:val="TAC"/>
              <w:rPr>
                <w:rFonts w:eastAsia="SimSun"/>
                <w:szCs w:val="18"/>
                <w:lang w:val="en-US"/>
              </w:rPr>
            </w:pPr>
            <w:r w:rsidRPr="00383285">
              <w:rPr>
                <w:rFonts w:eastAsia="SimSun"/>
                <w:szCs w:val="18"/>
                <w:lang w:val="en-US" w:eastAsia="zh-CN"/>
              </w:rPr>
              <w:t>8</w:t>
            </w:r>
          </w:p>
        </w:tc>
      </w:tr>
      <w:tr w:rsidR="00241417" w:rsidRPr="00383285" w14:paraId="7D36076B" w14:textId="77777777" w:rsidTr="003A71DE">
        <w:trPr>
          <w:jc w:val="center"/>
        </w:trPr>
        <w:tc>
          <w:tcPr>
            <w:tcW w:w="301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2A186C93" w14:textId="77777777" w:rsidR="00241417" w:rsidRPr="00383285" w:rsidRDefault="00241417" w:rsidP="003A71DE">
            <w:pPr>
              <w:pStyle w:val="TAL"/>
              <w:rPr>
                <w:rFonts w:eastAsia="SimSun"/>
                <w:szCs w:val="18"/>
                <w:lang w:val="en-US"/>
              </w:rPr>
            </w:pPr>
            <w:r w:rsidRPr="00383285">
              <w:rPr>
                <w:rFonts w:eastAsia="SimSun"/>
                <w:szCs w:val="18"/>
                <w:lang w:val="en-US"/>
              </w:rPr>
              <w:t>HARQ ACK/NACK bundling</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060A130E" w14:textId="77777777" w:rsidR="00241417" w:rsidRPr="00383285" w:rsidRDefault="00241417" w:rsidP="003A71DE">
            <w:pPr>
              <w:pStyle w:val="TAC"/>
              <w:rPr>
                <w:rFonts w:eastAsia="SimSun"/>
                <w:szCs w:val="18"/>
                <w:lang w:val="en-US"/>
              </w:rPr>
            </w:pPr>
          </w:p>
        </w:tc>
        <w:tc>
          <w:tcPr>
            <w:tcW w:w="1324" w:type="pct"/>
            <w:tcBorders>
              <w:top w:val="single" w:sz="4" w:space="0" w:color="auto"/>
              <w:left w:val="single" w:sz="4" w:space="0" w:color="auto"/>
              <w:bottom w:val="single" w:sz="4" w:space="0" w:color="auto"/>
              <w:right w:val="single" w:sz="4" w:space="0" w:color="auto"/>
            </w:tcBorders>
            <w:shd w:val="clear" w:color="auto" w:fill="auto"/>
          </w:tcPr>
          <w:p w14:paraId="4B89B6C9" w14:textId="77777777" w:rsidR="00241417" w:rsidRPr="00383285" w:rsidRDefault="00241417" w:rsidP="003A71DE">
            <w:pPr>
              <w:pStyle w:val="TAC"/>
              <w:rPr>
                <w:rFonts w:eastAsia="SimSun"/>
                <w:szCs w:val="18"/>
                <w:lang w:val="en-US" w:eastAsia="zh-CN"/>
              </w:rPr>
            </w:pPr>
            <w:r w:rsidRPr="00383285">
              <w:rPr>
                <w:rFonts w:eastAsia="SimSun"/>
                <w:szCs w:val="18"/>
                <w:lang w:val="en-US" w:eastAsia="zh-CN"/>
              </w:rPr>
              <w:t>Multiplexed</w:t>
            </w:r>
          </w:p>
        </w:tc>
      </w:tr>
      <w:tr w:rsidR="00241417" w:rsidRPr="00383285" w14:paraId="30C22E4C" w14:textId="77777777" w:rsidTr="003A71DE">
        <w:trPr>
          <w:jc w:val="center"/>
        </w:trPr>
        <w:tc>
          <w:tcPr>
            <w:tcW w:w="301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1CC7A23D" w14:textId="77777777" w:rsidR="00241417" w:rsidRPr="00383285" w:rsidRDefault="00241417" w:rsidP="003A71DE">
            <w:pPr>
              <w:pStyle w:val="TAL"/>
              <w:rPr>
                <w:rFonts w:eastAsia="SimSun"/>
                <w:szCs w:val="18"/>
                <w:lang w:val="en-US"/>
              </w:rPr>
            </w:pPr>
            <w:r w:rsidRPr="00383285">
              <w:rPr>
                <w:rFonts w:eastAsia="SimSun"/>
                <w:szCs w:val="18"/>
                <w:lang w:val="en-US"/>
              </w:rPr>
              <w:t>Redundancy version coding sequence</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31A7B622" w14:textId="77777777" w:rsidR="00241417" w:rsidRPr="00383285" w:rsidRDefault="00241417" w:rsidP="003A71DE">
            <w:pPr>
              <w:pStyle w:val="TAC"/>
              <w:rPr>
                <w:rFonts w:eastAsia="SimSun"/>
                <w:szCs w:val="18"/>
                <w:lang w:val="en-US"/>
              </w:rPr>
            </w:pPr>
          </w:p>
        </w:tc>
        <w:tc>
          <w:tcPr>
            <w:tcW w:w="1324" w:type="pct"/>
            <w:tcBorders>
              <w:top w:val="single" w:sz="4" w:space="0" w:color="auto"/>
              <w:left w:val="single" w:sz="4" w:space="0" w:color="auto"/>
              <w:bottom w:val="single" w:sz="4" w:space="0" w:color="auto"/>
              <w:right w:val="single" w:sz="4" w:space="0" w:color="auto"/>
            </w:tcBorders>
            <w:shd w:val="clear" w:color="auto" w:fill="auto"/>
          </w:tcPr>
          <w:p w14:paraId="0A030421" w14:textId="77777777" w:rsidR="00241417" w:rsidRPr="00383285" w:rsidRDefault="00241417" w:rsidP="003A71DE">
            <w:pPr>
              <w:pStyle w:val="TAC"/>
              <w:rPr>
                <w:rFonts w:eastAsia="SimSun"/>
                <w:szCs w:val="18"/>
                <w:lang w:val="en-US"/>
              </w:rPr>
            </w:pPr>
            <w:r w:rsidRPr="00383285">
              <w:rPr>
                <w:rFonts w:eastAsia="SimSun"/>
                <w:szCs w:val="18"/>
                <w:lang w:val="en-US" w:eastAsia="zh-CN"/>
              </w:rPr>
              <w:t>{0,2,3,1}</w:t>
            </w:r>
          </w:p>
        </w:tc>
      </w:tr>
      <w:tr w:rsidR="00241417" w:rsidRPr="00383285" w14:paraId="4C13DA95" w14:textId="77777777" w:rsidTr="003A71DE">
        <w:trPr>
          <w:jc w:val="center"/>
        </w:trPr>
        <w:tc>
          <w:tcPr>
            <w:tcW w:w="301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2476D7F4" w14:textId="77777777" w:rsidR="00241417" w:rsidRPr="00383285" w:rsidRDefault="00241417" w:rsidP="003A71DE">
            <w:pPr>
              <w:pStyle w:val="TAL"/>
              <w:rPr>
                <w:rFonts w:eastAsia="SimSun"/>
                <w:lang w:val="en-US" w:eastAsia="zh-CN"/>
              </w:rPr>
            </w:pPr>
            <w:r w:rsidRPr="00383285">
              <w:rPr>
                <w:rFonts w:eastAsia="SimSun"/>
                <w:lang w:val="en-US"/>
              </w:rPr>
              <w:t>Physical signals, channels mapping and precoding</w:t>
            </w:r>
          </w:p>
        </w:tc>
        <w:tc>
          <w:tcPr>
            <w:tcW w:w="664" w:type="pct"/>
            <w:tcBorders>
              <w:top w:val="single" w:sz="4" w:space="0" w:color="auto"/>
              <w:left w:val="single" w:sz="4" w:space="0" w:color="auto"/>
              <w:bottom w:val="single" w:sz="4" w:space="0" w:color="auto"/>
              <w:right w:val="single" w:sz="4" w:space="0" w:color="auto"/>
            </w:tcBorders>
            <w:shd w:val="clear" w:color="auto" w:fill="auto"/>
            <w:vAlign w:val="center"/>
          </w:tcPr>
          <w:p w14:paraId="7E4763E9" w14:textId="77777777" w:rsidR="00241417" w:rsidRPr="00383285" w:rsidRDefault="00241417" w:rsidP="003A71DE">
            <w:pPr>
              <w:pStyle w:val="TAC"/>
              <w:rPr>
                <w:rFonts w:eastAsia="SimSun"/>
                <w:lang w:val="en-US"/>
              </w:rPr>
            </w:pPr>
          </w:p>
        </w:tc>
        <w:tc>
          <w:tcPr>
            <w:tcW w:w="1324" w:type="pct"/>
            <w:tcBorders>
              <w:top w:val="single" w:sz="4" w:space="0" w:color="auto"/>
              <w:left w:val="single" w:sz="4" w:space="0" w:color="auto"/>
              <w:bottom w:val="single" w:sz="4" w:space="0" w:color="auto"/>
              <w:right w:val="single" w:sz="4" w:space="0" w:color="auto"/>
            </w:tcBorders>
            <w:shd w:val="clear" w:color="auto" w:fill="auto"/>
            <w:vAlign w:val="center"/>
          </w:tcPr>
          <w:p w14:paraId="13D0CB4C" w14:textId="6982B77A" w:rsidR="00241417" w:rsidRPr="00383285" w:rsidRDefault="009F2BA2" w:rsidP="003A71DE">
            <w:pPr>
              <w:pStyle w:val="TAC"/>
              <w:rPr>
                <w:rFonts w:eastAsia="SimSun"/>
                <w:lang w:val="en-US" w:eastAsia="zh-CN"/>
              </w:rPr>
            </w:pPr>
            <w:r>
              <w:rPr>
                <w:rFonts w:eastAsia="SimSun"/>
                <w:lang w:val="en-US"/>
              </w:rPr>
              <w:t xml:space="preserve">As specified in Annex </w:t>
            </w:r>
            <w:r>
              <w:rPr>
                <w:rFonts w:eastAsia="SimSun"/>
              </w:rPr>
              <w:t>I.3.1</w:t>
            </w:r>
          </w:p>
        </w:tc>
      </w:tr>
      <w:tr w:rsidR="00241417" w:rsidRPr="00661924" w14:paraId="13D66633" w14:textId="77777777" w:rsidTr="003A71DE">
        <w:trPr>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tcPr>
          <w:p w14:paraId="30B553E8" w14:textId="77777777" w:rsidR="00241417" w:rsidRPr="00383285" w:rsidRDefault="00241417" w:rsidP="003A71DE">
            <w:pPr>
              <w:pStyle w:val="TAN"/>
              <w:rPr>
                <w:lang w:eastAsia="zh-CN"/>
              </w:rPr>
            </w:pPr>
            <w:r w:rsidRPr="00383285">
              <w:rPr>
                <w:lang w:val="en-US" w:eastAsia="zh-CN"/>
              </w:rPr>
              <w:t>Note 1:</w:t>
            </w:r>
            <w:r w:rsidRPr="00383285">
              <w:rPr>
                <w:rFonts w:eastAsia="SimSun"/>
                <w:sz w:val="32"/>
                <w:lang w:val="en-US" w:eastAsia="zh-CN"/>
              </w:rPr>
              <w:tab/>
            </w:r>
            <w:r w:rsidRPr="00383285">
              <w:rPr>
                <w:lang w:val="en-US" w:eastAsia="zh-CN"/>
              </w:rPr>
              <w:t>PDSCH is scheduled only on</w:t>
            </w:r>
            <w:r w:rsidRPr="00383285">
              <w:rPr>
                <w:lang w:eastAsia="zh-CN"/>
              </w:rPr>
              <w:t xml:space="preserve"> full</w:t>
            </w:r>
            <w:r w:rsidRPr="00383285">
              <w:rPr>
                <w:lang w:val="en-US" w:eastAsia="zh-CN"/>
              </w:rPr>
              <w:t xml:space="preserve"> D</w:t>
            </w:r>
            <w:r w:rsidRPr="00383285">
              <w:rPr>
                <w:lang w:eastAsia="zh-CN"/>
              </w:rPr>
              <w:t>L</w:t>
            </w:r>
            <w:r w:rsidRPr="00383285">
              <w:rPr>
                <w:lang w:val="en-US" w:eastAsia="zh-CN"/>
              </w:rPr>
              <w:t xml:space="preserve"> slots without CSI-RS resource and TRS allocated</w:t>
            </w:r>
            <w:r w:rsidRPr="00383285">
              <w:rPr>
                <w:lang w:eastAsia="zh-CN"/>
              </w:rPr>
              <w:t>.</w:t>
            </w:r>
          </w:p>
          <w:p w14:paraId="3760B397" w14:textId="52C1BF68" w:rsidR="00241417" w:rsidRPr="00FA1FB5" w:rsidRDefault="00241417" w:rsidP="003A71DE">
            <w:pPr>
              <w:pStyle w:val="TAN"/>
              <w:rPr>
                <w:lang w:val="en-US"/>
              </w:rPr>
            </w:pPr>
            <w:r w:rsidRPr="00383285">
              <w:rPr>
                <w:lang w:val="en-US"/>
              </w:rPr>
              <w:t>Note 2:</w:t>
            </w:r>
            <w:r w:rsidRPr="00383285">
              <w:rPr>
                <w:lang w:val="en-US"/>
              </w:rPr>
              <w:tab/>
              <w:t>Point A coincides with minimum guard band as specified in Table 5.3.3-1 from TS 38.101-2</w:t>
            </w:r>
            <w:r>
              <w:rPr>
                <w:lang w:val="en-US"/>
              </w:rPr>
              <w:t xml:space="preserve"> [4] f</w:t>
            </w:r>
            <w:r w:rsidRPr="00383285">
              <w:rPr>
                <w:lang w:val="en-US"/>
              </w:rPr>
              <w:t>or tested channel bandwidth and subcarrier spacing.</w:t>
            </w:r>
          </w:p>
        </w:tc>
      </w:tr>
    </w:tbl>
    <w:p w14:paraId="231B6ACD" w14:textId="77777777" w:rsidR="00241417" w:rsidRPr="00B43D6E" w:rsidRDefault="00241417" w:rsidP="00241417">
      <w:pPr>
        <w:rPr>
          <w:lang w:eastAsia="zh-CN"/>
        </w:rPr>
      </w:pPr>
    </w:p>
    <w:p w14:paraId="6DDCFDC1" w14:textId="77777777" w:rsidR="00241417" w:rsidRPr="00FA1FB5" w:rsidRDefault="00241417" w:rsidP="00241417">
      <w:pPr>
        <w:pStyle w:val="Heading5"/>
        <w:rPr>
          <w:lang w:val="en-US" w:eastAsia="zh-CN"/>
        </w:rPr>
      </w:pPr>
      <w:bookmarkStart w:id="8073" w:name="_Toc74583512"/>
      <w:bookmarkStart w:id="8074" w:name="_Toc76542325"/>
      <w:bookmarkStart w:id="8075" w:name="_Toc82450307"/>
      <w:bookmarkStart w:id="8076" w:name="_Toc82450955"/>
      <w:bookmarkStart w:id="8077" w:name="_Toc89949344"/>
      <w:bookmarkStart w:id="8078" w:name="_Toc98755733"/>
      <w:bookmarkStart w:id="8079" w:name="_Toc98763325"/>
      <w:bookmarkStart w:id="8080" w:name="_Toc106184254"/>
      <w:r w:rsidRPr="00FA1FB5">
        <w:rPr>
          <w:lang w:val="en-US" w:eastAsia="zh-CN"/>
        </w:rPr>
        <w:lastRenderedPageBreak/>
        <w:t>11.2.3.2.</w:t>
      </w:r>
      <w:r>
        <w:rPr>
          <w:lang w:eastAsia="zh-CN"/>
        </w:rPr>
        <w:t>2</w:t>
      </w:r>
      <w:r w:rsidRPr="00FA1FB5">
        <w:rPr>
          <w:lang w:val="en-US" w:eastAsia="zh-CN"/>
        </w:rPr>
        <w:tab/>
        <w:t>Reporting of Channel Quality Indicator (CQI)</w:t>
      </w:r>
      <w:bookmarkEnd w:id="8073"/>
      <w:bookmarkEnd w:id="8074"/>
      <w:bookmarkEnd w:id="8075"/>
      <w:bookmarkEnd w:id="8076"/>
      <w:bookmarkEnd w:id="8077"/>
      <w:bookmarkEnd w:id="8078"/>
      <w:bookmarkEnd w:id="8079"/>
      <w:bookmarkEnd w:id="8080"/>
    </w:p>
    <w:p w14:paraId="51FFD9A9" w14:textId="77777777" w:rsidR="00241417" w:rsidRPr="00FA1FB5" w:rsidRDefault="00241417" w:rsidP="00241417">
      <w:pPr>
        <w:pStyle w:val="H6"/>
        <w:rPr>
          <w:rFonts w:eastAsia="SimSun"/>
          <w:lang w:val="en-US"/>
        </w:rPr>
      </w:pPr>
      <w:r w:rsidRPr="00FA1FB5">
        <w:rPr>
          <w:lang w:val="en-US"/>
        </w:rPr>
        <w:t>11.2.3.2.</w:t>
      </w:r>
      <w:r>
        <w:t>2</w:t>
      </w:r>
      <w:r w:rsidRPr="00FA1FB5">
        <w:rPr>
          <w:lang w:val="en-US"/>
        </w:rPr>
        <w:t>.1</w:t>
      </w:r>
      <w:r w:rsidRPr="00FA1FB5">
        <w:rPr>
          <w:lang w:val="en-US"/>
        </w:rPr>
        <w:tab/>
        <w:t>General</w:t>
      </w:r>
    </w:p>
    <w:p w14:paraId="5F4E0EAC" w14:textId="77777777" w:rsidR="00241417" w:rsidRPr="00FA1FB5" w:rsidRDefault="00241417" w:rsidP="00241417">
      <w:pPr>
        <w:rPr>
          <w:rFonts w:eastAsia="SimSun"/>
          <w:lang w:val="en-US"/>
        </w:rPr>
      </w:pPr>
      <w:r w:rsidRPr="00FA1FB5">
        <w:rPr>
          <w:rFonts w:eastAsia="SimSun"/>
          <w:lang w:val="en-US"/>
        </w:rPr>
        <w:t>The reporting accuracy of the channel quality indicator (CQI) under frequency non-selective conditions is determined by the reporting variance and the BLER performance using the transport format indicated by the reported CQI median. The purpose is to verify that the reported CQI values are in accordance with the CQI definition given in TS 38.2</w:t>
      </w:r>
      <w:r w:rsidRPr="0055145D">
        <w:rPr>
          <w:rFonts w:eastAsia="SimSun"/>
          <w:lang w:val="en-US"/>
        </w:rPr>
        <w:t>14 [11].</w:t>
      </w:r>
      <w:r w:rsidRPr="00FA1FB5">
        <w:rPr>
          <w:rFonts w:eastAsia="SimSun"/>
          <w:lang w:val="en-US"/>
        </w:rPr>
        <w:t xml:space="preserve"> To account for sensitivity of the input SNR the reporting definition is considered to be verified if the reporting accuracy is met for at least one of two SNR levels separated by an offset of 1 dB.</w:t>
      </w:r>
    </w:p>
    <w:p w14:paraId="5095B400" w14:textId="77777777" w:rsidR="00241417" w:rsidRPr="00FA1FB5" w:rsidRDefault="00241417" w:rsidP="00241417">
      <w:pPr>
        <w:pStyle w:val="TH"/>
        <w:rPr>
          <w:rFonts w:eastAsia="SimSun"/>
          <w:lang w:val="en-US" w:eastAsia="zh-CN"/>
        </w:rPr>
      </w:pPr>
      <w:r w:rsidRPr="00FA1FB5">
        <w:rPr>
          <w:lang w:val="en-US"/>
        </w:rPr>
        <w:t>Table 11.2.3.2.</w:t>
      </w:r>
      <w:r>
        <w:t>2</w:t>
      </w:r>
      <w:r w:rsidRPr="00FA1FB5">
        <w:rPr>
          <w:lang w:val="en-US"/>
        </w:rPr>
        <w:t>.1-1: Test parameters</w:t>
      </w:r>
    </w:p>
    <w:tbl>
      <w:tblPr>
        <w:tblW w:w="68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4"/>
        <w:gridCol w:w="71"/>
        <w:gridCol w:w="2653"/>
        <w:gridCol w:w="740"/>
        <w:gridCol w:w="507"/>
        <w:gridCol w:w="567"/>
        <w:gridCol w:w="425"/>
        <w:gridCol w:w="709"/>
      </w:tblGrid>
      <w:tr w:rsidR="00241417" w:rsidRPr="00661924" w14:paraId="24E5799E"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1A2743D6"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Parameter</w:t>
            </w:r>
          </w:p>
        </w:tc>
        <w:tc>
          <w:tcPr>
            <w:tcW w:w="740" w:type="dxa"/>
            <w:tcBorders>
              <w:top w:val="single" w:sz="4" w:space="0" w:color="auto"/>
              <w:left w:val="single" w:sz="4" w:space="0" w:color="auto"/>
              <w:bottom w:val="single" w:sz="4" w:space="0" w:color="auto"/>
              <w:right w:val="single" w:sz="4" w:space="0" w:color="auto"/>
            </w:tcBorders>
            <w:vAlign w:val="center"/>
            <w:hideMark/>
          </w:tcPr>
          <w:p w14:paraId="6F62286E"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Unit</w:t>
            </w:r>
          </w:p>
        </w:tc>
        <w:tc>
          <w:tcPr>
            <w:tcW w:w="1074" w:type="dxa"/>
            <w:gridSpan w:val="2"/>
            <w:tcBorders>
              <w:top w:val="single" w:sz="4" w:space="0" w:color="auto"/>
              <w:left w:val="single" w:sz="4" w:space="0" w:color="auto"/>
              <w:bottom w:val="single" w:sz="4" w:space="0" w:color="auto"/>
              <w:right w:val="single" w:sz="4" w:space="0" w:color="auto"/>
            </w:tcBorders>
            <w:vAlign w:val="center"/>
            <w:hideMark/>
          </w:tcPr>
          <w:p w14:paraId="23B5ECF0"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Test 1</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154F7919" w14:textId="77777777" w:rsidR="00241417" w:rsidRPr="00FA1FB5" w:rsidRDefault="00241417" w:rsidP="003A71DE">
            <w:pPr>
              <w:keepNext/>
              <w:keepLines/>
              <w:spacing w:after="0"/>
              <w:jc w:val="center"/>
              <w:rPr>
                <w:rFonts w:ascii="Arial" w:hAnsi="Arial"/>
                <w:b/>
                <w:sz w:val="18"/>
                <w:lang w:val="en-US"/>
              </w:rPr>
            </w:pPr>
            <w:r w:rsidRPr="00FA1FB5">
              <w:rPr>
                <w:rFonts w:ascii="Arial" w:hAnsi="Arial" w:hint="eastAsia"/>
                <w:b/>
                <w:sz w:val="18"/>
                <w:lang w:val="en-US" w:eastAsia="zh-CN"/>
              </w:rPr>
              <w:t>Test 2</w:t>
            </w:r>
          </w:p>
        </w:tc>
      </w:tr>
      <w:tr w:rsidR="00241417" w:rsidRPr="00661924" w14:paraId="6B13235F"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12776B75"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Bandwidth</w:t>
            </w:r>
          </w:p>
        </w:tc>
        <w:tc>
          <w:tcPr>
            <w:tcW w:w="740" w:type="dxa"/>
            <w:tcBorders>
              <w:top w:val="single" w:sz="4" w:space="0" w:color="auto"/>
              <w:left w:val="single" w:sz="4" w:space="0" w:color="auto"/>
              <w:bottom w:val="single" w:sz="4" w:space="0" w:color="auto"/>
              <w:right w:val="single" w:sz="4" w:space="0" w:color="auto"/>
            </w:tcBorders>
            <w:vAlign w:val="center"/>
            <w:hideMark/>
          </w:tcPr>
          <w:p w14:paraId="0A621ECE"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sz w:val="18"/>
                <w:lang w:val="en-US"/>
              </w:rPr>
              <w:t>MHz</w:t>
            </w: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71447A42"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100</w:t>
            </w:r>
          </w:p>
        </w:tc>
      </w:tr>
      <w:tr w:rsidR="00241417" w:rsidRPr="00661924" w14:paraId="61234C86"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5840D4D8"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Subcarrier spacing</w:t>
            </w:r>
          </w:p>
        </w:tc>
        <w:tc>
          <w:tcPr>
            <w:tcW w:w="740" w:type="dxa"/>
            <w:tcBorders>
              <w:top w:val="single" w:sz="4" w:space="0" w:color="auto"/>
              <w:left w:val="single" w:sz="4" w:space="0" w:color="auto"/>
              <w:bottom w:val="single" w:sz="4" w:space="0" w:color="auto"/>
              <w:right w:val="single" w:sz="4" w:space="0" w:color="auto"/>
            </w:tcBorders>
            <w:vAlign w:val="center"/>
          </w:tcPr>
          <w:p w14:paraId="4A323A8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kHz</w:t>
            </w: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03FB777B"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120</w:t>
            </w:r>
          </w:p>
        </w:tc>
      </w:tr>
      <w:tr w:rsidR="00241417" w:rsidRPr="00661924" w14:paraId="7AD41840"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223B9C47"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Duplex Mode</w:t>
            </w:r>
          </w:p>
        </w:tc>
        <w:tc>
          <w:tcPr>
            <w:tcW w:w="740" w:type="dxa"/>
            <w:tcBorders>
              <w:top w:val="single" w:sz="4" w:space="0" w:color="auto"/>
              <w:left w:val="single" w:sz="4" w:space="0" w:color="auto"/>
              <w:bottom w:val="single" w:sz="4" w:space="0" w:color="auto"/>
              <w:right w:val="single" w:sz="4" w:space="0" w:color="auto"/>
            </w:tcBorders>
            <w:vAlign w:val="center"/>
          </w:tcPr>
          <w:p w14:paraId="63E72356"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35438863"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TDD</w:t>
            </w:r>
          </w:p>
        </w:tc>
      </w:tr>
      <w:tr w:rsidR="00241417" w:rsidRPr="00661924" w14:paraId="1594AC18"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5B34ABC" w14:textId="77777777" w:rsidR="00241417" w:rsidRPr="00D5656D" w:rsidRDefault="00241417" w:rsidP="003A71DE">
            <w:pPr>
              <w:keepNext/>
              <w:keepLines/>
              <w:spacing w:after="0"/>
              <w:rPr>
                <w:rFonts w:ascii="Arial" w:eastAsia="SimSun" w:hAnsi="Arial"/>
                <w:sz w:val="18"/>
                <w:lang w:val="en-US"/>
              </w:rPr>
            </w:pPr>
            <w:r w:rsidRPr="00D5656D">
              <w:rPr>
                <w:rFonts w:ascii="Arial" w:eastAsia="SimSun" w:hAnsi="Arial"/>
                <w:sz w:val="18"/>
                <w:lang w:val="en-US"/>
              </w:rPr>
              <w:t>Default TDD UL-DL pattern (Note 1)</w:t>
            </w:r>
          </w:p>
        </w:tc>
        <w:tc>
          <w:tcPr>
            <w:tcW w:w="740" w:type="dxa"/>
            <w:tcBorders>
              <w:top w:val="single" w:sz="4" w:space="0" w:color="auto"/>
              <w:left w:val="single" w:sz="4" w:space="0" w:color="auto"/>
              <w:bottom w:val="single" w:sz="4" w:space="0" w:color="auto"/>
              <w:right w:val="single" w:sz="4" w:space="0" w:color="auto"/>
            </w:tcBorders>
            <w:shd w:val="clear" w:color="auto" w:fill="auto"/>
            <w:vAlign w:val="center"/>
          </w:tcPr>
          <w:p w14:paraId="3A46CEF6" w14:textId="77777777" w:rsidR="00241417" w:rsidRPr="00D5656D"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97E83D7" w14:textId="77777777" w:rsidR="00241417" w:rsidRPr="00D5656D" w:rsidRDefault="00241417" w:rsidP="003A71DE">
            <w:pPr>
              <w:keepNext/>
              <w:keepLines/>
              <w:spacing w:after="0"/>
              <w:jc w:val="center"/>
              <w:rPr>
                <w:rFonts w:ascii="Arial" w:hAnsi="Arial"/>
                <w:sz w:val="18"/>
                <w:lang w:val="en-US"/>
              </w:rPr>
            </w:pPr>
            <w:r w:rsidRPr="00D5656D">
              <w:rPr>
                <w:rFonts w:ascii="Arial" w:hAnsi="Arial"/>
                <w:sz w:val="18"/>
                <w:lang w:val="en-US"/>
              </w:rPr>
              <w:t>3D1S1U</w:t>
            </w:r>
          </w:p>
        </w:tc>
      </w:tr>
      <w:tr w:rsidR="00241417" w:rsidRPr="00661924" w14:paraId="6C4EEFC3"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39AD829" w14:textId="77777777" w:rsidR="00241417" w:rsidRPr="00D5656D" w:rsidRDefault="00241417" w:rsidP="003A71DE">
            <w:pPr>
              <w:keepNext/>
              <w:keepLines/>
              <w:spacing w:after="0"/>
              <w:rPr>
                <w:rFonts w:ascii="Arial" w:eastAsia="SimSun" w:hAnsi="Arial"/>
                <w:sz w:val="18"/>
                <w:lang w:val="en-US"/>
              </w:rPr>
            </w:pPr>
            <w:r w:rsidRPr="00D5656D">
              <w:rPr>
                <w:rFonts w:ascii="Arial" w:eastAsia="SimSun" w:hAnsi="Arial"/>
                <w:sz w:val="18"/>
                <w:lang w:val="en-US"/>
              </w:rPr>
              <w:t>Special Slot Configuration</w:t>
            </w:r>
          </w:p>
        </w:tc>
        <w:tc>
          <w:tcPr>
            <w:tcW w:w="740" w:type="dxa"/>
            <w:tcBorders>
              <w:top w:val="single" w:sz="4" w:space="0" w:color="auto"/>
              <w:left w:val="single" w:sz="4" w:space="0" w:color="auto"/>
              <w:bottom w:val="single" w:sz="4" w:space="0" w:color="auto"/>
              <w:right w:val="single" w:sz="4" w:space="0" w:color="auto"/>
            </w:tcBorders>
            <w:shd w:val="clear" w:color="auto" w:fill="auto"/>
            <w:vAlign w:val="center"/>
          </w:tcPr>
          <w:p w14:paraId="66633C4A" w14:textId="77777777" w:rsidR="00241417" w:rsidRPr="00D5656D"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80CC0D9" w14:textId="77777777" w:rsidR="00241417" w:rsidRPr="00D5656D" w:rsidRDefault="00241417" w:rsidP="003A71DE">
            <w:pPr>
              <w:keepNext/>
              <w:keepLines/>
              <w:spacing w:after="0"/>
              <w:jc w:val="center"/>
              <w:rPr>
                <w:rFonts w:ascii="Arial" w:hAnsi="Arial"/>
                <w:sz w:val="18"/>
                <w:lang w:val="en-US"/>
              </w:rPr>
            </w:pPr>
            <w:r w:rsidRPr="00D5656D">
              <w:rPr>
                <w:rFonts w:ascii="Arial" w:hAnsi="Arial"/>
                <w:sz w:val="18"/>
                <w:lang w:val="en-US"/>
              </w:rPr>
              <w:t>10D+2G+2U</w:t>
            </w:r>
          </w:p>
        </w:tc>
      </w:tr>
      <w:tr w:rsidR="00241417" w:rsidRPr="00661924" w14:paraId="7C8FEBA6"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2B510F1E" w14:textId="77777777" w:rsidR="00241417" w:rsidRPr="00FA1FB5" w:rsidRDefault="00241417" w:rsidP="003A71DE">
            <w:pPr>
              <w:keepNext/>
              <w:keepLines/>
              <w:spacing w:after="0"/>
              <w:rPr>
                <w:rFonts w:ascii="Arial" w:eastAsia="?? ??" w:hAnsi="Arial"/>
                <w:sz w:val="18"/>
                <w:lang w:val="en-US"/>
              </w:rPr>
            </w:pPr>
            <w:r w:rsidRPr="00FA1FB5">
              <w:rPr>
                <w:rFonts w:ascii="Arial" w:eastAsia="?? ??" w:hAnsi="Arial"/>
                <w:sz w:val="18"/>
                <w:lang w:val="en-US"/>
              </w:rPr>
              <w:t>SNR</w:t>
            </w:r>
            <w:r w:rsidRPr="00FA1FB5">
              <w:rPr>
                <w:rFonts w:ascii="Arial" w:eastAsia="?? ??" w:hAnsi="Arial"/>
                <w:sz w:val="18"/>
                <w:vertAlign w:val="subscript"/>
                <w:lang w:val="en-US"/>
              </w:rPr>
              <w:t>BB</w:t>
            </w:r>
            <w:r w:rsidRPr="00FA1FB5">
              <w:rPr>
                <w:rFonts w:ascii="Arial" w:eastAsia="?? ??" w:hAnsi="Arial"/>
                <w:sz w:val="18"/>
                <w:lang w:val="en-US"/>
              </w:rPr>
              <w:t xml:space="preserve"> </w:t>
            </w:r>
          </w:p>
        </w:tc>
        <w:tc>
          <w:tcPr>
            <w:tcW w:w="740" w:type="dxa"/>
            <w:tcBorders>
              <w:top w:val="single" w:sz="4" w:space="0" w:color="auto"/>
              <w:left w:val="single" w:sz="4" w:space="0" w:color="auto"/>
              <w:bottom w:val="single" w:sz="4" w:space="0" w:color="auto"/>
              <w:right w:val="single" w:sz="4" w:space="0" w:color="auto"/>
            </w:tcBorders>
            <w:vAlign w:val="center"/>
            <w:hideMark/>
          </w:tcPr>
          <w:p w14:paraId="5FBDAE5D"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sz w:val="18"/>
                <w:lang w:val="en-US"/>
              </w:rPr>
              <w:t xml:space="preserve"> dB</w:t>
            </w:r>
          </w:p>
        </w:tc>
        <w:tc>
          <w:tcPr>
            <w:tcW w:w="507" w:type="dxa"/>
            <w:tcBorders>
              <w:top w:val="single" w:sz="4" w:space="0" w:color="auto"/>
              <w:left w:val="single" w:sz="4" w:space="0" w:color="auto"/>
              <w:bottom w:val="single" w:sz="4" w:space="0" w:color="auto"/>
              <w:right w:val="single" w:sz="4" w:space="0" w:color="auto"/>
            </w:tcBorders>
            <w:vAlign w:val="center"/>
          </w:tcPr>
          <w:p w14:paraId="0AD71608"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8</w:t>
            </w:r>
          </w:p>
        </w:tc>
        <w:tc>
          <w:tcPr>
            <w:tcW w:w="567" w:type="dxa"/>
            <w:tcBorders>
              <w:top w:val="single" w:sz="4" w:space="0" w:color="auto"/>
              <w:left w:val="single" w:sz="4" w:space="0" w:color="auto"/>
              <w:bottom w:val="single" w:sz="4" w:space="0" w:color="auto"/>
              <w:right w:val="single" w:sz="4" w:space="0" w:color="auto"/>
            </w:tcBorders>
            <w:vAlign w:val="center"/>
          </w:tcPr>
          <w:p w14:paraId="7874E820" w14:textId="77777777" w:rsidR="00241417" w:rsidRPr="00FA1FB5" w:rsidRDefault="00241417" w:rsidP="003A71DE">
            <w:pPr>
              <w:keepNext/>
              <w:keepLines/>
              <w:spacing w:after="0"/>
              <w:jc w:val="center"/>
              <w:rPr>
                <w:rFonts w:ascii="Arial" w:hAnsi="Arial"/>
                <w:sz w:val="18"/>
                <w:lang w:val="en-US"/>
              </w:rPr>
            </w:pPr>
            <w:r w:rsidRPr="00FA1FB5">
              <w:rPr>
                <w:rFonts w:ascii="Arial" w:hAnsi="Arial" w:hint="eastAsia"/>
                <w:sz w:val="18"/>
                <w:lang w:val="en-US" w:eastAsia="zh-CN"/>
              </w:rPr>
              <w:t>9</w:t>
            </w:r>
          </w:p>
        </w:tc>
        <w:tc>
          <w:tcPr>
            <w:tcW w:w="425" w:type="dxa"/>
            <w:tcBorders>
              <w:top w:val="single" w:sz="4" w:space="0" w:color="auto"/>
              <w:left w:val="single" w:sz="4" w:space="0" w:color="auto"/>
              <w:bottom w:val="single" w:sz="4" w:space="0" w:color="auto"/>
              <w:right w:val="single" w:sz="4" w:space="0" w:color="auto"/>
            </w:tcBorders>
            <w:vAlign w:val="center"/>
          </w:tcPr>
          <w:p w14:paraId="37FA0ECF" w14:textId="77777777" w:rsidR="00241417" w:rsidRPr="00FA1FB5" w:rsidRDefault="00241417" w:rsidP="003A71DE">
            <w:pPr>
              <w:keepNext/>
              <w:keepLines/>
              <w:spacing w:after="0"/>
              <w:jc w:val="center"/>
              <w:rPr>
                <w:rFonts w:ascii="Arial" w:hAnsi="Arial"/>
                <w:sz w:val="18"/>
                <w:lang w:val="en-US"/>
              </w:rPr>
            </w:pPr>
            <w:r w:rsidRPr="00FA1FB5">
              <w:rPr>
                <w:rFonts w:ascii="Arial" w:hAnsi="Arial" w:hint="eastAsia"/>
                <w:sz w:val="18"/>
                <w:lang w:val="en-US" w:eastAsia="zh-CN"/>
              </w:rPr>
              <w:t>14</w:t>
            </w:r>
          </w:p>
        </w:tc>
        <w:tc>
          <w:tcPr>
            <w:tcW w:w="709" w:type="dxa"/>
            <w:tcBorders>
              <w:top w:val="single" w:sz="4" w:space="0" w:color="auto"/>
              <w:left w:val="single" w:sz="4" w:space="0" w:color="auto"/>
              <w:bottom w:val="single" w:sz="4" w:space="0" w:color="auto"/>
              <w:right w:val="single" w:sz="4" w:space="0" w:color="auto"/>
            </w:tcBorders>
            <w:vAlign w:val="center"/>
          </w:tcPr>
          <w:p w14:paraId="0F16E65B" w14:textId="77777777" w:rsidR="00241417" w:rsidRPr="00FA1FB5" w:rsidRDefault="00241417" w:rsidP="003A71DE">
            <w:pPr>
              <w:keepNext/>
              <w:keepLines/>
              <w:spacing w:after="0"/>
              <w:jc w:val="center"/>
              <w:rPr>
                <w:rFonts w:ascii="Arial" w:hAnsi="Arial"/>
                <w:sz w:val="18"/>
                <w:lang w:val="en-US"/>
              </w:rPr>
            </w:pPr>
            <w:r w:rsidRPr="00FA1FB5">
              <w:rPr>
                <w:rFonts w:ascii="Arial" w:hAnsi="Arial" w:hint="eastAsia"/>
                <w:sz w:val="18"/>
                <w:lang w:val="en-US" w:eastAsia="zh-CN"/>
              </w:rPr>
              <w:t>15</w:t>
            </w:r>
          </w:p>
        </w:tc>
      </w:tr>
      <w:tr w:rsidR="00241417" w:rsidRPr="00661924" w14:paraId="4857577E"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38504128"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Propagation channel</w:t>
            </w:r>
          </w:p>
        </w:tc>
        <w:tc>
          <w:tcPr>
            <w:tcW w:w="740" w:type="dxa"/>
            <w:tcBorders>
              <w:top w:val="single" w:sz="4" w:space="0" w:color="auto"/>
              <w:left w:val="single" w:sz="4" w:space="0" w:color="auto"/>
              <w:bottom w:val="single" w:sz="4" w:space="0" w:color="auto"/>
              <w:right w:val="single" w:sz="4" w:space="0" w:color="auto"/>
            </w:tcBorders>
            <w:vAlign w:val="center"/>
          </w:tcPr>
          <w:p w14:paraId="79E06D20"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31C75D69"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sz w:val="18"/>
                <w:lang w:val="en-US"/>
              </w:rPr>
              <w:t>AWGN</w:t>
            </w:r>
          </w:p>
        </w:tc>
      </w:tr>
      <w:tr w:rsidR="009F2BA2" w:rsidRPr="00661924" w14:paraId="3D8C1D88"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59C44826"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Antenna configuration</w:t>
            </w:r>
          </w:p>
        </w:tc>
        <w:tc>
          <w:tcPr>
            <w:tcW w:w="740" w:type="dxa"/>
            <w:tcBorders>
              <w:top w:val="single" w:sz="4" w:space="0" w:color="auto"/>
              <w:left w:val="single" w:sz="4" w:space="0" w:color="auto"/>
              <w:bottom w:val="single" w:sz="4" w:space="0" w:color="auto"/>
              <w:right w:val="single" w:sz="4" w:space="0" w:color="auto"/>
            </w:tcBorders>
            <w:vAlign w:val="center"/>
          </w:tcPr>
          <w:p w14:paraId="5A10CFAA" w14:textId="77777777" w:rsidR="009F2BA2" w:rsidRPr="00FA1FB5" w:rsidRDefault="009F2BA2" w:rsidP="009F2BA2">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51FBA23F" w14:textId="56C5BD74" w:rsidR="009F2BA2" w:rsidRPr="0055145D" w:rsidRDefault="009F2BA2" w:rsidP="009F2BA2">
            <w:pPr>
              <w:pStyle w:val="TAC"/>
              <w:rPr>
                <w:lang w:val="en-US" w:eastAsia="zh-CN"/>
              </w:rPr>
            </w:pPr>
            <w:r w:rsidRPr="00383285">
              <w:rPr>
                <w:lang w:val="en-US"/>
              </w:rPr>
              <w:t xml:space="preserve">2×2 with static channel specified in Annex </w:t>
            </w:r>
            <w:r>
              <w:t>I.1</w:t>
            </w:r>
          </w:p>
        </w:tc>
      </w:tr>
      <w:tr w:rsidR="009F2BA2" w:rsidRPr="00661924" w14:paraId="2A745D21"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4355D1A8"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Beamforming Model</w:t>
            </w:r>
          </w:p>
        </w:tc>
        <w:tc>
          <w:tcPr>
            <w:tcW w:w="740" w:type="dxa"/>
            <w:tcBorders>
              <w:top w:val="single" w:sz="4" w:space="0" w:color="auto"/>
              <w:left w:val="single" w:sz="4" w:space="0" w:color="auto"/>
              <w:bottom w:val="single" w:sz="4" w:space="0" w:color="auto"/>
              <w:right w:val="single" w:sz="4" w:space="0" w:color="auto"/>
            </w:tcBorders>
            <w:vAlign w:val="center"/>
          </w:tcPr>
          <w:p w14:paraId="4E58FF69" w14:textId="77777777" w:rsidR="009F2BA2" w:rsidRPr="00FA1FB5" w:rsidRDefault="009F2BA2" w:rsidP="009F2BA2">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474B2FC4" w14:textId="7B01E7D3" w:rsidR="009F2BA2" w:rsidRPr="00FA1FB5" w:rsidRDefault="009F2BA2" w:rsidP="009F2BA2">
            <w:pPr>
              <w:pStyle w:val="TAC"/>
              <w:rPr>
                <w:lang w:val="en-US"/>
              </w:rPr>
            </w:pPr>
            <w:r w:rsidRPr="00FA1FB5">
              <w:rPr>
                <w:lang w:val="en-US"/>
              </w:rPr>
              <w:t>As spec</w:t>
            </w:r>
            <w:r w:rsidRPr="0055145D">
              <w:rPr>
                <w:lang w:val="en-US"/>
              </w:rPr>
              <w:t xml:space="preserve">ified in </w:t>
            </w:r>
            <w:r w:rsidRPr="0055145D">
              <w:rPr>
                <w:rFonts w:hint="eastAsia"/>
                <w:lang w:val="en-US" w:eastAsia="zh-CN"/>
              </w:rPr>
              <w:t xml:space="preserve">Annex </w:t>
            </w:r>
            <w:r>
              <w:rPr>
                <w:lang w:eastAsia="zh-CN"/>
              </w:rPr>
              <w:t>I.3.1</w:t>
            </w:r>
          </w:p>
        </w:tc>
      </w:tr>
      <w:tr w:rsidR="00241417" w:rsidRPr="00661924" w14:paraId="33298889" w14:textId="77777777" w:rsidTr="003A71DE">
        <w:trPr>
          <w:trHeight w:val="70"/>
          <w:jc w:val="center"/>
        </w:trPr>
        <w:tc>
          <w:tcPr>
            <w:tcW w:w="1194" w:type="dxa"/>
            <w:vMerge w:val="restart"/>
            <w:tcBorders>
              <w:top w:val="single" w:sz="4" w:space="0" w:color="auto"/>
              <w:left w:val="single" w:sz="4" w:space="0" w:color="auto"/>
              <w:right w:val="single" w:sz="4" w:space="0" w:color="auto"/>
            </w:tcBorders>
            <w:vAlign w:val="center"/>
            <w:hideMark/>
          </w:tcPr>
          <w:p w14:paraId="4D25762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NZP CSI-RS for CSI acquisition</w:t>
            </w:r>
          </w:p>
          <w:p w14:paraId="3133AF95" w14:textId="77777777" w:rsidR="00241417" w:rsidRPr="00FA1FB5" w:rsidRDefault="00241417" w:rsidP="003A71DE">
            <w:pPr>
              <w:keepNext/>
              <w:keepLines/>
              <w:spacing w:after="0"/>
              <w:rPr>
                <w:rFonts w:ascii="Arial" w:hAnsi="Arial"/>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26E3BE0C"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CSI-RS resource</w:t>
            </w:r>
            <w:r w:rsidRPr="00FA1FB5">
              <w:rPr>
                <w:rFonts w:ascii="Arial" w:eastAsia="SimSun" w:hAnsi="Arial" w:hint="eastAsia"/>
                <w:sz w:val="18"/>
                <w:lang w:val="en-US"/>
              </w:rPr>
              <w:t xml:space="preserve"> </w:t>
            </w:r>
            <w:r w:rsidRPr="00FA1FB5">
              <w:rPr>
                <w:rFonts w:ascii="Arial" w:eastAsia="SimSun" w:hAnsi="Arial"/>
                <w:sz w:val="18"/>
                <w:lang w:val="en-US"/>
              </w:rPr>
              <w:t>Type</w:t>
            </w:r>
          </w:p>
        </w:tc>
        <w:tc>
          <w:tcPr>
            <w:tcW w:w="740" w:type="dxa"/>
            <w:tcBorders>
              <w:top w:val="single" w:sz="4" w:space="0" w:color="auto"/>
              <w:left w:val="single" w:sz="4" w:space="0" w:color="auto"/>
              <w:bottom w:val="single" w:sz="4" w:space="0" w:color="auto"/>
              <w:right w:val="single" w:sz="4" w:space="0" w:color="auto"/>
            </w:tcBorders>
            <w:vAlign w:val="center"/>
          </w:tcPr>
          <w:p w14:paraId="09FEA0D0"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086C05DC"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Periodic</w:t>
            </w:r>
          </w:p>
        </w:tc>
      </w:tr>
      <w:tr w:rsidR="00241417" w:rsidRPr="00661924" w14:paraId="76295E46" w14:textId="77777777" w:rsidTr="003A71DE">
        <w:trPr>
          <w:trHeight w:val="70"/>
          <w:jc w:val="center"/>
        </w:trPr>
        <w:tc>
          <w:tcPr>
            <w:tcW w:w="1194" w:type="dxa"/>
            <w:vMerge/>
            <w:tcBorders>
              <w:left w:val="single" w:sz="4" w:space="0" w:color="auto"/>
              <w:right w:val="single" w:sz="4" w:space="0" w:color="auto"/>
            </w:tcBorders>
            <w:vAlign w:val="center"/>
          </w:tcPr>
          <w:p w14:paraId="5B67D1C6" w14:textId="77777777" w:rsidR="00241417" w:rsidRPr="00FA1FB5" w:rsidRDefault="00241417" w:rsidP="003A71DE">
            <w:pPr>
              <w:keepNext/>
              <w:keepLines/>
              <w:spacing w:after="0"/>
              <w:rPr>
                <w:rFonts w:ascii="Arial" w:hAnsi="Arial"/>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38E7893F"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Number of CSI-RS ports (</w:t>
            </w:r>
            <w:r w:rsidRPr="00FA1FB5">
              <w:rPr>
                <w:rFonts w:ascii="Arial" w:eastAsia="SimSun" w:hAnsi="Arial"/>
                <w:i/>
                <w:sz w:val="18"/>
                <w:lang w:val="en-US"/>
              </w:rPr>
              <w:t>X</w:t>
            </w:r>
            <w:r w:rsidRPr="00FA1FB5">
              <w:rPr>
                <w:rFonts w:ascii="Arial" w:eastAsia="SimSun" w:hAnsi="Arial"/>
                <w:sz w:val="18"/>
                <w:lang w:val="en-US"/>
              </w:rPr>
              <w:t>)</w:t>
            </w:r>
          </w:p>
        </w:tc>
        <w:tc>
          <w:tcPr>
            <w:tcW w:w="740" w:type="dxa"/>
            <w:tcBorders>
              <w:top w:val="single" w:sz="4" w:space="0" w:color="auto"/>
              <w:left w:val="single" w:sz="4" w:space="0" w:color="auto"/>
              <w:bottom w:val="single" w:sz="4" w:space="0" w:color="auto"/>
              <w:right w:val="single" w:sz="4" w:space="0" w:color="auto"/>
            </w:tcBorders>
            <w:vAlign w:val="center"/>
          </w:tcPr>
          <w:p w14:paraId="25891A71"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17C831C0" w14:textId="77777777" w:rsidR="00241417" w:rsidRPr="00661924" w:rsidRDefault="00241417" w:rsidP="003A71DE">
            <w:pPr>
              <w:keepNext/>
              <w:keepLines/>
              <w:spacing w:after="0"/>
              <w:jc w:val="center"/>
              <w:rPr>
                <w:rFonts w:ascii="Arial" w:eastAsia="SimSun" w:hAnsi="Arial"/>
                <w:sz w:val="18"/>
                <w:lang w:val="en-US"/>
              </w:rPr>
            </w:pPr>
            <w:r w:rsidRPr="00661924">
              <w:rPr>
                <w:rFonts w:ascii="Arial" w:eastAsia="SimSun" w:hAnsi="Arial" w:hint="eastAsia"/>
                <w:sz w:val="18"/>
                <w:lang w:val="en-US"/>
              </w:rPr>
              <w:t>2</w:t>
            </w:r>
          </w:p>
        </w:tc>
      </w:tr>
      <w:tr w:rsidR="00241417" w:rsidRPr="00661924" w14:paraId="5216C5DF" w14:textId="77777777" w:rsidTr="003A71DE">
        <w:trPr>
          <w:trHeight w:val="70"/>
          <w:jc w:val="center"/>
        </w:trPr>
        <w:tc>
          <w:tcPr>
            <w:tcW w:w="1194" w:type="dxa"/>
            <w:vMerge/>
            <w:tcBorders>
              <w:left w:val="single" w:sz="4" w:space="0" w:color="auto"/>
              <w:right w:val="single" w:sz="4" w:space="0" w:color="auto"/>
            </w:tcBorders>
            <w:vAlign w:val="center"/>
            <w:hideMark/>
          </w:tcPr>
          <w:p w14:paraId="2C12A73B" w14:textId="77777777" w:rsidR="00241417" w:rsidRPr="00FA1FB5" w:rsidRDefault="00241417" w:rsidP="003A71DE">
            <w:pPr>
              <w:keepNext/>
              <w:keepLines/>
              <w:spacing w:after="0"/>
              <w:rPr>
                <w:rFonts w:ascii="Arial" w:hAnsi="Arial"/>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62A64964"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CDM Type</w:t>
            </w:r>
          </w:p>
        </w:tc>
        <w:tc>
          <w:tcPr>
            <w:tcW w:w="740" w:type="dxa"/>
            <w:tcBorders>
              <w:top w:val="single" w:sz="4" w:space="0" w:color="auto"/>
              <w:left w:val="single" w:sz="4" w:space="0" w:color="auto"/>
              <w:bottom w:val="single" w:sz="4" w:space="0" w:color="auto"/>
              <w:right w:val="single" w:sz="4" w:space="0" w:color="auto"/>
            </w:tcBorders>
            <w:vAlign w:val="center"/>
          </w:tcPr>
          <w:p w14:paraId="205A5BB2"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457C7163"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fd-CDM2</w:t>
            </w:r>
          </w:p>
        </w:tc>
      </w:tr>
      <w:tr w:rsidR="00241417" w:rsidRPr="00661924" w14:paraId="6969A765" w14:textId="77777777" w:rsidTr="003A71DE">
        <w:trPr>
          <w:trHeight w:val="70"/>
          <w:jc w:val="center"/>
        </w:trPr>
        <w:tc>
          <w:tcPr>
            <w:tcW w:w="1194" w:type="dxa"/>
            <w:vMerge/>
            <w:tcBorders>
              <w:left w:val="single" w:sz="4" w:space="0" w:color="auto"/>
              <w:right w:val="single" w:sz="4" w:space="0" w:color="auto"/>
            </w:tcBorders>
            <w:vAlign w:val="center"/>
            <w:hideMark/>
          </w:tcPr>
          <w:p w14:paraId="4EB1CCDC" w14:textId="77777777" w:rsidR="00241417" w:rsidRPr="00FA1FB5" w:rsidRDefault="00241417" w:rsidP="003A71DE">
            <w:pPr>
              <w:keepNext/>
              <w:keepLines/>
              <w:spacing w:after="0"/>
              <w:rPr>
                <w:rFonts w:ascii="Arial" w:hAnsi="Arial"/>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160CED64"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Density (ρ)</w:t>
            </w:r>
          </w:p>
        </w:tc>
        <w:tc>
          <w:tcPr>
            <w:tcW w:w="740" w:type="dxa"/>
            <w:tcBorders>
              <w:top w:val="single" w:sz="4" w:space="0" w:color="auto"/>
              <w:left w:val="single" w:sz="4" w:space="0" w:color="auto"/>
              <w:bottom w:val="single" w:sz="4" w:space="0" w:color="auto"/>
              <w:right w:val="single" w:sz="4" w:space="0" w:color="auto"/>
            </w:tcBorders>
            <w:vAlign w:val="center"/>
          </w:tcPr>
          <w:p w14:paraId="08FBC429"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3DA12087"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1</w:t>
            </w:r>
          </w:p>
        </w:tc>
      </w:tr>
      <w:tr w:rsidR="00241417" w:rsidRPr="00661924" w14:paraId="00C35713" w14:textId="77777777" w:rsidTr="003A71DE">
        <w:trPr>
          <w:trHeight w:val="70"/>
          <w:jc w:val="center"/>
        </w:trPr>
        <w:tc>
          <w:tcPr>
            <w:tcW w:w="1194" w:type="dxa"/>
            <w:vMerge/>
            <w:tcBorders>
              <w:left w:val="single" w:sz="4" w:space="0" w:color="auto"/>
              <w:right w:val="single" w:sz="4" w:space="0" w:color="auto"/>
            </w:tcBorders>
            <w:vAlign w:val="center"/>
            <w:hideMark/>
          </w:tcPr>
          <w:p w14:paraId="1547AB0E" w14:textId="77777777" w:rsidR="00241417" w:rsidRPr="00FA1FB5" w:rsidRDefault="00241417" w:rsidP="003A71DE">
            <w:pPr>
              <w:keepNext/>
              <w:keepLines/>
              <w:spacing w:after="0"/>
              <w:rPr>
                <w:rFonts w:ascii="Arial" w:hAnsi="Arial"/>
                <w:b/>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7979F7FF"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First subcarrier index in the PRB used for CSI-RS</w:t>
            </w:r>
            <w:r w:rsidRPr="00FA1FB5" w:rsidDel="0032520A">
              <w:rPr>
                <w:rFonts w:ascii="Arial" w:eastAsia="SimSun" w:hAnsi="Arial"/>
                <w:sz w:val="18"/>
                <w:lang w:val="en-US"/>
              </w:rPr>
              <w:t xml:space="preserve"> </w:t>
            </w:r>
            <w:r w:rsidRPr="00FA1FB5">
              <w:rPr>
                <w:rFonts w:ascii="Arial" w:eastAsia="SimSun" w:hAnsi="Arial"/>
                <w:sz w:val="18"/>
                <w:lang w:val="en-US"/>
              </w:rPr>
              <w:t>(k</w:t>
            </w:r>
            <w:r w:rsidRPr="00FA1FB5">
              <w:rPr>
                <w:rFonts w:ascii="Arial" w:eastAsia="SimSun" w:hAnsi="Arial"/>
                <w:sz w:val="18"/>
                <w:vertAlign w:val="subscript"/>
                <w:lang w:val="en-US"/>
              </w:rPr>
              <w:t>0</w:t>
            </w:r>
            <w:r w:rsidRPr="00FA1FB5">
              <w:rPr>
                <w:rFonts w:ascii="Arial" w:eastAsia="SimSun" w:hAnsi="Arial"/>
                <w:sz w:val="18"/>
                <w:lang w:val="en-US"/>
              </w:rPr>
              <w:t>, k</w:t>
            </w:r>
            <w:r w:rsidRPr="00FA1FB5">
              <w:rPr>
                <w:rFonts w:ascii="Arial" w:eastAsia="SimSun" w:hAnsi="Arial"/>
                <w:sz w:val="18"/>
                <w:vertAlign w:val="subscript"/>
                <w:lang w:val="en-US"/>
              </w:rPr>
              <w:t>1</w:t>
            </w:r>
            <w:r w:rsidRPr="00FA1FB5">
              <w:rPr>
                <w:rFonts w:ascii="Arial" w:eastAsia="SimSun" w:hAnsi="Arial"/>
                <w:sz w:val="18"/>
                <w:lang w:val="en-US"/>
              </w:rPr>
              <w:t xml:space="preserve"> )</w:t>
            </w:r>
          </w:p>
        </w:tc>
        <w:tc>
          <w:tcPr>
            <w:tcW w:w="740" w:type="dxa"/>
            <w:tcBorders>
              <w:top w:val="single" w:sz="4" w:space="0" w:color="auto"/>
              <w:left w:val="single" w:sz="4" w:space="0" w:color="auto"/>
              <w:bottom w:val="single" w:sz="4" w:space="0" w:color="auto"/>
              <w:right w:val="single" w:sz="4" w:space="0" w:color="auto"/>
            </w:tcBorders>
            <w:vAlign w:val="center"/>
          </w:tcPr>
          <w:p w14:paraId="572BEF84"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4B907AC9"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6</w:t>
            </w:r>
          </w:p>
        </w:tc>
      </w:tr>
      <w:tr w:rsidR="00241417" w:rsidRPr="00661924" w14:paraId="3BDBB5B3" w14:textId="77777777" w:rsidTr="003A71DE">
        <w:trPr>
          <w:trHeight w:val="70"/>
          <w:jc w:val="center"/>
        </w:trPr>
        <w:tc>
          <w:tcPr>
            <w:tcW w:w="1194" w:type="dxa"/>
            <w:vMerge/>
            <w:tcBorders>
              <w:left w:val="single" w:sz="4" w:space="0" w:color="auto"/>
              <w:right w:val="single" w:sz="4" w:space="0" w:color="auto"/>
            </w:tcBorders>
            <w:vAlign w:val="center"/>
            <w:hideMark/>
          </w:tcPr>
          <w:p w14:paraId="60F03683" w14:textId="77777777" w:rsidR="00241417" w:rsidRPr="00FA1FB5" w:rsidRDefault="00241417" w:rsidP="003A71DE">
            <w:pPr>
              <w:keepNext/>
              <w:keepLines/>
              <w:spacing w:after="0"/>
              <w:rPr>
                <w:rFonts w:ascii="Arial" w:hAnsi="Arial"/>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7A682BC9"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First OFDM symbol in the PRB used for CSI-RS (l</w:t>
            </w:r>
            <w:r w:rsidRPr="00FA1FB5">
              <w:rPr>
                <w:rFonts w:ascii="Arial" w:eastAsia="SimSun" w:hAnsi="Arial"/>
                <w:sz w:val="18"/>
                <w:vertAlign w:val="subscript"/>
                <w:lang w:val="en-US"/>
              </w:rPr>
              <w:t>0</w:t>
            </w:r>
            <w:r w:rsidRPr="00FA1FB5">
              <w:rPr>
                <w:rFonts w:ascii="Arial" w:eastAsia="SimSun" w:hAnsi="Arial"/>
                <w:sz w:val="18"/>
                <w:lang w:val="en-US"/>
              </w:rPr>
              <w:t>, l</w:t>
            </w:r>
            <w:r w:rsidRPr="00FA1FB5">
              <w:rPr>
                <w:rFonts w:ascii="Arial" w:eastAsia="SimSun" w:hAnsi="Arial"/>
                <w:sz w:val="18"/>
                <w:vertAlign w:val="subscript"/>
                <w:lang w:val="en-US"/>
              </w:rPr>
              <w:t>1</w:t>
            </w:r>
            <w:r w:rsidRPr="00FA1FB5">
              <w:rPr>
                <w:rFonts w:ascii="Arial" w:eastAsia="SimSun" w:hAnsi="Arial"/>
                <w:sz w:val="18"/>
                <w:lang w:val="en-US"/>
              </w:rPr>
              <w:t>)</w:t>
            </w:r>
          </w:p>
        </w:tc>
        <w:tc>
          <w:tcPr>
            <w:tcW w:w="740" w:type="dxa"/>
            <w:tcBorders>
              <w:top w:val="single" w:sz="4" w:space="0" w:color="auto"/>
              <w:left w:val="single" w:sz="4" w:space="0" w:color="auto"/>
              <w:bottom w:val="single" w:sz="4" w:space="0" w:color="auto"/>
              <w:right w:val="single" w:sz="4" w:space="0" w:color="auto"/>
            </w:tcBorders>
            <w:vAlign w:val="center"/>
          </w:tcPr>
          <w:p w14:paraId="0964AE6A"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7683DDAA"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13</w:t>
            </w:r>
          </w:p>
        </w:tc>
      </w:tr>
      <w:tr w:rsidR="00241417" w:rsidRPr="00661924" w14:paraId="6290FCE3" w14:textId="77777777" w:rsidTr="003A71DE">
        <w:trPr>
          <w:trHeight w:val="70"/>
          <w:jc w:val="center"/>
        </w:trPr>
        <w:tc>
          <w:tcPr>
            <w:tcW w:w="1194" w:type="dxa"/>
            <w:vMerge/>
            <w:tcBorders>
              <w:left w:val="single" w:sz="4" w:space="0" w:color="auto"/>
              <w:bottom w:val="single" w:sz="4" w:space="0" w:color="auto"/>
              <w:right w:val="single" w:sz="4" w:space="0" w:color="auto"/>
            </w:tcBorders>
            <w:vAlign w:val="center"/>
          </w:tcPr>
          <w:p w14:paraId="76D66014" w14:textId="77777777" w:rsidR="00241417" w:rsidRPr="00FA1FB5" w:rsidRDefault="00241417" w:rsidP="003A71DE">
            <w:pPr>
              <w:keepNext/>
              <w:keepLines/>
              <w:spacing w:after="0"/>
              <w:rPr>
                <w:rFonts w:ascii="Arial" w:hAnsi="Arial"/>
                <w:sz w:val="18"/>
                <w:lang w:val="en-US"/>
              </w:rPr>
            </w:pPr>
          </w:p>
        </w:tc>
        <w:tc>
          <w:tcPr>
            <w:tcW w:w="2724" w:type="dxa"/>
            <w:gridSpan w:val="2"/>
            <w:tcBorders>
              <w:top w:val="single" w:sz="4" w:space="0" w:color="auto"/>
              <w:left w:val="single" w:sz="4" w:space="0" w:color="auto"/>
              <w:bottom w:val="single" w:sz="4" w:space="0" w:color="auto"/>
              <w:right w:val="single" w:sz="4" w:space="0" w:color="auto"/>
            </w:tcBorders>
            <w:vAlign w:val="center"/>
          </w:tcPr>
          <w:p w14:paraId="1930C71E"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NZP CSI-RS-timeConfig</w:t>
            </w:r>
          </w:p>
          <w:p w14:paraId="7F539A71"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periodicity and offset</w:t>
            </w:r>
          </w:p>
        </w:tc>
        <w:tc>
          <w:tcPr>
            <w:tcW w:w="740" w:type="dxa"/>
            <w:tcBorders>
              <w:top w:val="single" w:sz="4" w:space="0" w:color="auto"/>
              <w:left w:val="single" w:sz="4" w:space="0" w:color="auto"/>
              <w:bottom w:val="single" w:sz="4" w:space="0" w:color="auto"/>
              <w:right w:val="single" w:sz="4" w:space="0" w:color="auto"/>
            </w:tcBorders>
            <w:vAlign w:val="center"/>
          </w:tcPr>
          <w:p w14:paraId="4558EB5E"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slot</w:t>
            </w: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7F4A5AF9"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8/1</w:t>
            </w:r>
          </w:p>
        </w:tc>
      </w:tr>
      <w:tr w:rsidR="00241417" w:rsidRPr="00661924" w14:paraId="7AA71267"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6F42892C"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ReportConfigType</w:t>
            </w:r>
          </w:p>
        </w:tc>
        <w:tc>
          <w:tcPr>
            <w:tcW w:w="740" w:type="dxa"/>
            <w:tcBorders>
              <w:top w:val="single" w:sz="4" w:space="0" w:color="auto"/>
              <w:left w:val="single" w:sz="4" w:space="0" w:color="auto"/>
              <w:bottom w:val="single" w:sz="4" w:space="0" w:color="auto"/>
              <w:right w:val="single" w:sz="4" w:space="0" w:color="auto"/>
            </w:tcBorders>
            <w:vAlign w:val="center"/>
          </w:tcPr>
          <w:p w14:paraId="66954EB9"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08FA0539"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Periodic</w:t>
            </w:r>
          </w:p>
        </w:tc>
      </w:tr>
      <w:tr w:rsidR="00241417" w:rsidRPr="00661924" w14:paraId="6A8113B2"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7679EA2F"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CQI-table</w:t>
            </w:r>
          </w:p>
        </w:tc>
        <w:tc>
          <w:tcPr>
            <w:tcW w:w="740" w:type="dxa"/>
            <w:tcBorders>
              <w:top w:val="single" w:sz="4" w:space="0" w:color="auto"/>
              <w:left w:val="single" w:sz="4" w:space="0" w:color="auto"/>
              <w:bottom w:val="single" w:sz="4" w:space="0" w:color="auto"/>
              <w:right w:val="single" w:sz="4" w:space="0" w:color="auto"/>
            </w:tcBorders>
            <w:vAlign w:val="center"/>
          </w:tcPr>
          <w:p w14:paraId="3E19F526"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04DE9830"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Table 1</w:t>
            </w:r>
          </w:p>
        </w:tc>
      </w:tr>
      <w:tr w:rsidR="00241417" w:rsidRPr="00661924" w14:paraId="595D552A"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74DD7E95"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reportQuantity</w:t>
            </w:r>
          </w:p>
        </w:tc>
        <w:tc>
          <w:tcPr>
            <w:tcW w:w="740" w:type="dxa"/>
            <w:tcBorders>
              <w:top w:val="single" w:sz="4" w:space="0" w:color="auto"/>
              <w:left w:val="single" w:sz="4" w:space="0" w:color="auto"/>
              <w:bottom w:val="single" w:sz="4" w:space="0" w:color="auto"/>
              <w:right w:val="single" w:sz="4" w:space="0" w:color="auto"/>
            </w:tcBorders>
            <w:vAlign w:val="center"/>
          </w:tcPr>
          <w:p w14:paraId="704E220C"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007D1362"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cri-RI-PMI-CQI</w:t>
            </w:r>
          </w:p>
        </w:tc>
      </w:tr>
      <w:tr w:rsidR="00241417" w:rsidRPr="00661924" w14:paraId="07E360A7"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6C991FCC"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cqi-FormatIndicator</w:t>
            </w:r>
          </w:p>
        </w:tc>
        <w:tc>
          <w:tcPr>
            <w:tcW w:w="740" w:type="dxa"/>
            <w:tcBorders>
              <w:top w:val="single" w:sz="4" w:space="0" w:color="auto"/>
              <w:left w:val="single" w:sz="4" w:space="0" w:color="auto"/>
              <w:bottom w:val="single" w:sz="4" w:space="0" w:color="auto"/>
              <w:right w:val="single" w:sz="4" w:space="0" w:color="auto"/>
            </w:tcBorders>
            <w:vAlign w:val="center"/>
          </w:tcPr>
          <w:p w14:paraId="4965BDDC"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5F31785D" w14:textId="77777777" w:rsidR="00241417" w:rsidRPr="00FA1FB5" w:rsidRDefault="00241417" w:rsidP="003A71DE">
            <w:pPr>
              <w:keepNext/>
              <w:keepLines/>
              <w:spacing w:after="0"/>
              <w:jc w:val="center"/>
              <w:rPr>
                <w:rFonts w:ascii="Arial" w:hAnsi="Arial"/>
                <w:sz w:val="18"/>
                <w:lang w:val="en-US"/>
              </w:rPr>
            </w:pPr>
            <w:r w:rsidRPr="00661924">
              <w:rPr>
                <w:rFonts w:ascii="Arial" w:eastAsia="SimSun" w:hAnsi="Arial"/>
                <w:i/>
                <w:sz w:val="18"/>
                <w:lang w:val="en-US"/>
              </w:rPr>
              <w:t>Wide</w:t>
            </w:r>
            <w:r w:rsidRPr="00FA1FB5">
              <w:rPr>
                <w:rFonts w:ascii="Arial" w:eastAsia="SimSun" w:hAnsi="Arial"/>
                <w:i/>
                <w:sz w:val="18"/>
                <w:lang w:val="en-US"/>
              </w:rPr>
              <w:t>band</w:t>
            </w:r>
          </w:p>
        </w:tc>
      </w:tr>
      <w:tr w:rsidR="00241417" w:rsidRPr="00661924" w14:paraId="3B137287"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38FFAA7B"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pmi-FormatIndicator</w:t>
            </w:r>
            <w:r w:rsidRPr="00FA1FB5">
              <w:rPr>
                <w:rFonts w:ascii="Arial" w:eastAsia="SimSun" w:hAnsi="Arial"/>
                <w:i/>
                <w:sz w:val="18"/>
                <w:lang w:val="en-US"/>
              </w:rPr>
              <w:t xml:space="preserve">  </w:t>
            </w:r>
          </w:p>
        </w:tc>
        <w:tc>
          <w:tcPr>
            <w:tcW w:w="740" w:type="dxa"/>
            <w:tcBorders>
              <w:top w:val="single" w:sz="4" w:space="0" w:color="auto"/>
              <w:left w:val="single" w:sz="4" w:space="0" w:color="auto"/>
              <w:bottom w:val="single" w:sz="4" w:space="0" w:color="auto"/>
              <w:right w:val="single" w:sz="4" w:space="0" w:color="auto"/>
            </w:tcBorders>
            <w:vAlign w:val="center"/>
          </w:tcPr>
          <w:p w14:paraId="433BF2EC"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6DE31116"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Wideband</w:t>
            </w:r>
          </w:p>
        </w:tc>
      </w:tr>
      <w:tr w:rsidR="00241417" w:rsidRPr="00661924" w14:paraId="58F0DED3"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741D707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Sub-band Size</w:t>
            </w:r>
          </w:p>
        </w:tc>
        <w:tc>
          <w:tcPr>
            <w:tcW w:w="740" w:type="dxa"/>
            <w:tcBorders>
              <w:top w:val="single" w:sz="4" w:space="0" w:color="auto"/>
              <w:left w:val="single" w:sz="4" w:space="0" w:color="auto"/>
              <w:bottom w:val="single" w:sz="4" w:space="0" w:color="auto"/>
              <w:right w:val="single" w:sz="4" w:space="0" w:color="auto"/>
            </w:tcBorders>
            <w:vAlign w:val="center"/>
          </w:tcPr>
          <w:p w14:paraId="28718E9B"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sz w:val="18"/>
                <w:lang w:val="en-US"/>
              </w:rPr>
              <w:t>RB</w:t>
            </w: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27789B77" w14:textId="77777777" w:rsidR="00241417" w:rsidRPr="00FA1FB5" w:rsidRDefault="00241417" w:rsidP="003A71DE">
            <w:pPr>
              <w:keepNext/>
              <w:keepLines/>
              <w:spacing w:after="0"/>
              <w:jc w:val="center"/>
              <w:rPr>
                <w:rFonts w:ascii="Arial" w:hAnsi="Arial"/>
                <w:sz w:val="18"/>
                <w:lang w:val="en-US"/>
              </w:rPr>
            </w:pPr>
            <w:r w:rsidRPr="00FA1FB5">
              <w:rPr>
                <w:rFonts w:ascii="Arial" w:hAnsi="Arial" w:hint="eastAsia"/>
                <w:sz w:val="18"/>
                <w:lang w:val="en-US" w:eastAsia="zh-CN"/>
              </w:rPr>
              <w:t>8</w:t>
            </w:r>
          </w:p>
        </w:tc>
      </w:tr>
      <w:tr w:rsidR="00241417" w:rsidRPr="00661924" w14:paraId="628E2885"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2BA12024"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csi-ReportingBand</w:t>
            </w:r>
          </w:p>
        </w:tc>
        <w:tc>
          <w:tcPr>
            <w:tcW w:w="740" w:type="dxa"/>
            <w:tcBorders>
              <w:top w:val="single" w:sz="4" w:space="0" w:color="auto"/>
              <w:left w:val="single" w:sz="4" w:space="0" w:color="auto"/>
              <w:bottom w:val="single" w:sz="4" w:space="0" w:color="auto"/>
              <w:right w:val="single" w:sz="4" w:space="0" w:color="auto"/>
            </w:tcBorders>
            <w:vAlign w:val="center"/>
          </w:tcPr>
          <w:p w14:paraId="5F5AD699" w14:textId="77777777" w:rsidR="00241417" w:rsidRPr="00FA1FB5" w:rsidRDefault="00241417" w:rsidP="003A71DE">
            <w:pPr>
              <w:keepNext/>
              <w:keepLines/>
              <w:spacing w:after="0"/>
              <w:jc w:val="center"/>
              <w:rPr>
                <w:rFonts w:ascii="Arial" w:eastAsia="SimSun"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3AE79D66" w14:textId="77777777" w:rsidR="00241417" w:rsidRPr="00FA1FB5" w:rsidRDefault="00241417" w:rsidP="003A71DE">
            <w:pPr>
              <w:keepNext/>
              <w:keepLines/>
              <w:spacing w:after="0"/>
              <w:jc w:val="center"/>
              <w:rPr>
                <w:rFonts w:ascii="Arial" w:hAnsi="Arial"/>
                <w:sz w:val="18"/>
                <w:lang w:val="en-US" w:eastAsia="zh-CN"/>
              </w:rPr>
            </w:pPr>
            <w:r w:rsidRPr="00FA1FB5">
              <w:rPr>
                <w:rFonts w:ascii="Arial" w:hAnsi="Arial"/>
                <w:sz w:val="18"/>
                <w:lang w:val="en-US"/>
              </w:rPr>
              <w:t>111111111</w:t>
            </w:r>
          </w:p>
        </w:tc>
      </w:tr>
      <w:tr w:rsidR="00241417" w:rsidRPr="00661924" w14:paraId="06E9830C"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02B567B0"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CSI-Report periodicity and offset</w:t>
            </w:r>
          </w:p>
        </w:tc>
        <w:tc>
          <w:tcPr>
            <w:tcW w:w="740" w:type="dxa"/>
            <w:tcBorders>
              <w:top w:val="single" w:sz="4" w:space="0" w:color="auto"/>
              <w:left w:val="single" w:sz="4" w:space="0" w:color="auto"/>
              <w:bottom w:val="single" w:sz="4" w:space="0" w:color="auto"/>
              <w:right w:val="single" w:sz="4" w:space="0" w:color="auto"/>
            </w:tcBorders>
            <w:vAlign w:val="center"/>
          </w:tcPr>
          <w:p w14:paraId="04577799"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slot</w:t>
            </w: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2A93E5F4"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8/</w:t>
            </w:r>
            <w:r w:rsidRPr="00FA1FB5">
              <w:rPr>
                <w:rFonts w:ascii="Arial" w:eastAsia="SimSun" w:hAnsi="Arial" w:hint="eastAsia"/>
                <w:sz w:val="18"/>
                <w:lang w:val="en-US" w:eastAsia="zh-CN"/>
              </w:rPr>
              <w:t>3</w:t>
            </w:r>
          </w:p>
        </w:tc>
      </w:tr>
      <w:tr w:rsidR="00241417" w:rsidRPr="00661924" w14:paraId="08D42411" w14:textId="77777777" w:rsidTr="003A71DE">
        <w:trPr>
          <w:trHeight w:val="70"/>
          <w:jc w:val="center"/>
        </w:trPr>
        <w:tc>
          <w:tcPr>
            <w:tcW w:w="1265" w:type="dxa"/>
            <w:gridSpan w:val="2"/>
            <w:vMerge w:val="restart"/>
            <w:tcBorders>
              <w:top w:val="single" w:sz="4" w:space="0" w:color="auto"/>
              <w:left w:val="single" w:sz="4" w:space="0" w:color="auto"/>
              <w:right w:val="single" w:sz="4" w:space="0" w:color="auto"/>
            </w:tcBorders>
            <w:vAlign w:val="center"/>
            <w:hideMark/>
          </w:tcPr>
          <w:p w14:paraId="47551D8B"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Codebook configuration</w:t>
            </w:r>
          </w:p>
        </w:tc>
        <w:tc>
          <w:tcPr>
            <w:tcW w:w="2653" w:type="dxa"/>
            <w:tcBorders>
              <w:top w:val="single" w:sz="4" w:space="0" w:color="auto"/>
              <w:left w:val="single" w:sz="4" w:space="0" w:color="auto"/>
              <w:bottom w:val="single" w:sz="4" w:space="0" w:color="auto"/>
              <w:right w:val="single" w:sz="4" w:space="0" w:color="auto"/>
            </w:tcBorders>
          </w:tcPr>
          <w:p w14:paraId="275B25D7"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Codebook Type</w:t>
            </w:r>
          </w:p>
        </w:tc>
        <w:tc>
          <w:tcPr>
            <w:tcW w:w="740" w:type="dxa"/>
            <w:tcBorders>
              <w:top w:val="single" w:sz="4" w:space="0" w:color="auto"/>
              <w:left w:val="single" w:sz="4" w:space="0" w:color="auto"/>
              <w:bottom w:val="single" w:sz="4" w:space="0" w:color="auto"/>
              <w:right w:val="single" w:sz="4" w:space="0" w:color="auto"/>
            </w:tcBorders>
            <w:vAlign w:val="center"/>
          </w:tcPr>
          <w:p w14:paraId="6EC77E12"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763C77FD"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typeI-SinglePanel</w:t>
            </w:r>
          </w:p>
        </w:tc>
      </w:tr>
      <w:tr w:rsidR="00241417" w:rsidRPr="00661924" w14:paraId="7CC2CBAD" w14:textId="77777777" w:rsidTr="003A71DE">
        <w:trPr>
          <w:trHeight w:val="70"/>
          <w:jc w:val="center"/>
        </w:trPr>
        <w:tc>
          <w:tcPr>
            <w:tcW w:w="1265" w:type="dxa"/>
            <w:gridSpan w:val="2"/>
            <w:vMerge/>
            <w:tcBorders>
              <w:left w:val="single" w:sz="4" w:space="0" w:color="auto"/>
              <w:right w:val="single" w:sz="4" w:space="0" w:color="auto"/>
            </w:tcBorders>
            <w:hideMark/>
          </w:tcPr>
          <w:p w14:paraId="4D785D18" w14:textId="77777777" w:rsidR="00241417" w:rsidRPr="00FA1FB5" w:rsidRDefault="00241417" w:rsidP="003A71DE">
            <w:pPr>
              <w:keepNext/>
              <w:keepLines/>
              <w:spacing w:after="0"/>
              <w:rPr>
                <w:rFonts w:ascii="Arial" w:hAnsi="Arial"/>
                <w:sz w:val="18"/>
                <w:lang w:val="en-US"/>
              </w:rPr>
            </w:pPr>
          </w:p>
        </w:tc>
        <w:tc>
          <w:tcPr>
            <w:tcW w:w="2653" w:type="dxa"/>
            <w:tcBorders>
              <w:top w:val="single" w:sz="4" w:space="0" w:color="auto"/>
              <w:left w:val="single" w:sz="4" w:space="0" w:color="auto"/>
              <w:bottom w:val="single" w:sz="4" w:space="0" w:color="auto"/>
              <w:right w:val="single" w:sz="4" w:space="0" w:color="auto"/>
            </w:tcBorders>
          </w:tcPr>
          <w:p w14:paraId="1D982F0C"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Codebook Mode</w:t>
            </w:r>
          </w:p>
        </w:tc>
        <w:tc>
          <w:tcPr>
            <w:tcW w:w="740" w:type="dxa"/>
            <w:tcBorders>
              <w:top w:val="single" w:sz="4" w:space="0" w:color="auto"/>
              <w:left w:val="single" w:sz="4" w:space="0" w:color="auto"/>
              <w:bottom w:val="single" w:sz="4" w:space="0" w:color="auto"/>
              <w:right w:val="single" w:sz="4" w:space="0" w:color="auto"/>
            </w:tcBorders>
            <w:vAlign w:val="center"/>
          </w:tcPr>
          <w:p w14:paraId="7251A437"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4115CF69"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1</w:t>
            </w:r>
          </w:p>
        </w:tc>
      </w:tr>
      <w:tr w:rsidR="00241417" w:rsidRPr="00661924" w14:paraId="3590DF15" w14:textId="77777777" w:rsidTr="003A71DE">
        <w:trPr>
          <w:trHeight w:val="70"/>
          <w:jc w:val="center"/>
        </w:trPr>
        <w:tc>
          <w:tcPr>
            <w:tcW w:w="1265" w:type="dxa"/>
            <w:gridSpan w:val="2"/>
            <w:vMerge/>
            <w:tcBorders>
              <w:left w:val="single" w:sz="4" w:space="0" w:color="auto"/>
              <w:right w:val="single" w:sz="4" w:space="0" w:color="auto"/>
            </w:tcBorders>
            <w:hideMark/>
          </w:tcPr>
          <w:p w14:paraId="580CB890" w14:textId="77777777" w:rsidR="00241417" w:rsidRPr="00FA1FB5" w:rsidRDefault="00241417" w:rsidP="003A71DE">
            <w:pPr>
              <w:keepNext/>
              <w:keepLines/>
              <w:spacing w:after="0"/>
              <w:rPr>
                <w:rFonts w:ascii="Arial" w:hAnsi="Arial"/>
                <w:sz w:val="18"/>
                <w:lang w:val="en-US"/>
              </w:rPr>
            </w:pPr>
          </w:p>
        </w:tc>
        <w:tc>
          <w:tcPr>
            <w:tcW w:w="2653" w:type="dxa"/>
            <w:tcBorders>
              <w:top w:val="single" w:sz="4" w:space="0" w:color="auto"/>
              <w:left w:val="single" w:sz="4" w:space="0" w:color="auto"/>
              <w:bottom w:val="single" w:sz="4" w:space="0" w:color="auto"/>
              <w:right w:val="single" w:sz="4" w:space="0" w:color="auto"/>
            </w:tcBorders>
          </w:tcPr>
          <w:p w14:paraId="7B114AF2"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(CodebookConfig-N1,CodebookConfig-N2)</w:t>
            </w:r>
          </w:p>
        </w:tc>
        <w:tc>
          <w:tcPr>
            <w:tcW w:w="740" w:type="dxa"/>
            <w:tcBorders>
              <w:top w:val="single" w:sz="4" w:space="0" w:color="auto"/>
              <w:left w:val="single" w:sz="4" w:space="0" w:color="auto"/>
              <w:bottom w:val="single" w:sz="4" w:space="0" w:color="auto"/>
              <w:right w:val="single" w:sz="4" w:space="0" w:color="auto"/>
            </w:tcBorders>
            <w:vAlign w:val="center"/>
          </w:tcPr>
          <w:p w14:paraId="61750F90"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62E2E5A5"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i/>
                <w:sz w:val="18"/>
                <w:lang w:val="en-US"/>
              </w:rPr>
              <w:t>Not configured</w:t>
            </w:r>
          </w:p>
        </w:tc>
      </w:tr>
      <w:tr w:rsidR="00241417" w:rsidRPr="00661924" w14:paraId="110ABE53" w14:textId="77777777" w:rsidTr="003A71DE">
        <w:trPr>
          <w:trHeight w:val="70"/>
          <w:jc w:val="center"/>
        </w:trPr>
        <w:tc>
          <w:tcPr>
            <w:tcW w:w="1265" w:type="dxa"/>
            <w:gridSpan w:val="2"/>
            <w:vMerge/>
            <w:tcBorders>
              <w:left w:val="single" w:sz="4" w:space="0" w:color="auto"/>
              <w:right w:val="single" w:sz="4" w:space="0" w:color="auto"/>
            </w:tcBorders>
            <w:hideMark/>
          </w:tcPr>
          <w:p w14:paraId="11CAF0F0" w14:textId="77777777" w:rsidR="00241417" w:rsidRPr="00FA1FB5" w:rsidRDefault="00241417" w:rsidP="003A71DE">
            <w:pPr>
              <w:keepNext/>
              <w:keepLines/>
              <w:spacing w:after="0"/>
              <w:rPr>
                <w:rFonts w:ascii="Arial" w:hAnsi="Arial"/>
                <w:sz w:val="18"/>
                <w:lang w:val="en-US"/>
              </w:rPr>
            </w:pPr>
          </w:p>
        </w:tc>
        <w:tc>
          <w:tcPr>
            <w:tcW w:w="2653" w:type="dxa"/>
            <w:tcBorders>
              <w:top w:val="single" w:sz="4" w:space="0" w:color="auto"/>
              <w:left w:val="single" w:sz="4" w:space="0" w:color="auto"/>
              <w:bottom w:val="single" w:sz="4" w:space="0" w:color="auto"/>
              <w:right w:val="single" w:sz="4" w:space="0" w:color="auto"/>
            </w:tcBorders>
          </w:tcPr>
          <w:p w14:paraId="3189E587"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CodebookSubsetRestriction</w:t>
            </w:r>
          </w:p>
        </w:tc>
        <w:tc>
          <w:tcPr>
            <w:tcW w:w="740" w:type="dxa"/>
            <w:tcBorders>
              <w:top w:val="single" w:sz="4" w:space="0" w:color="auto"/>
              <w:left w:val="single" w:sz="4" w:space="0" w:color="auto"/>
              <w:bottom w:val="single" w:sz="4" w:space="0" w:color="auto"/>
              <w:right w:val="single" w:sz="4" w:space="0" w:color="auto"/>
            </w:tcBorders>
            <w:vAlign w:val="center"/>
          </w:tcPr>
          <w:p w14:paraId="12374AAE"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6E38B87E"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010000</w:t>
            </w:r>
          </w:p>
        </w:tc>
      </w:tr>
      <w:tr w:rsidR="00241417" w:rsidRPr="00661924" w14:paraId="5495B964" w14:textId="77777777" w:rsidTr="003A71DE">
        <w:trPr>
          <w:trHeight w:val="70"/>
          <w:jc w:val="center"/>
        </w:trPr>
        <w:tc>
          <w:tcPr>
            <w:tcW w:w="1265" w:type="dxa"/>
            <w:gridSpan w:val="2"/>
            <w:vMerge/>
            <w:tcBorders>
              <w:left w:val="single" w:sz="4" w:space="0" w:color="auto"/>
              <w:bottom w:val="single" w:sz="4" w:space="0" w:color="auto"/>
              <w:right w:val="single" w:sz="4" w:space="0" w:color="auto"/>
            </w:tcBorders>
          </w:tcPr>
          <w:p w14:paraId="64343610" w14:textId="77777777" w:rsidR="00241417" w:rsidRPr="00FA1FB5" w:rsidRDefault="00241417" w:rsidP="003A71DE">
            <w:pPr>
              <w:keepNext/>
              <w:keepLines/>
              <w:spacing w:after="0"/>
              <w:rPr>
                <w:rFonts w:ascii="Arial" w:hAnsi="Arial"/>
                <w:sz w:val="18"/>
                <w:lang w:val="en-US"/>
              </w:rPr>
            </w:pPr>
          </w:p>
        </w:tc>
        <w:tc>
          <w:tcPr>
            <w:tcW w:w="2653" w:type="dxa"/>
            <w:tcBorders>
              <w:top w:val="single" w:sz="4" w:space="0" w:color="auto"/>
              <w:left w:val="single" w:sz="4" w:space="0" w:color="auto"/>
              <w:bottom w:val="single" w:sz="4" w:space="0" w:color="auto"/>
              <w:right w:val="single" w:sz="4" w:space="0" w:color="auto"/>
            </w:tcBorders>
          </w:tcPr>
          <w:p w14:paraId="420B01B1"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RI Restriction</w:t>
            </w:r>
          </w:p>
        </w:tc>
        <w:tc>
          <w:tcPr>
            <w:tcW w:w="740" w:type="dxa"/>
            <w:tcBorders>
              <w:top w:val="single" w:sz="4" w:space="0" w:color="auto"/>
              <w:left w:val="single" w:sz="4" w:space="0" w:color="auto"/>
              <w:bottom w:val="single" w:sz="4" w:space="0" w:color="auto"/>
              <w:right w:val="single" w:sz="4" w:space="0" w:color="auto"/>
            </w:tcBorders>
            <w:vAlign w:val="center"/>
          </w:tcPr>
          <w:p w14:paraId="3B4CC322"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0AE6D568"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N/A</w:t>
            </w:r>
          </w:p>
        </w:tc>
      </w:tr>
      <w:tr w:rsidR="00241417" w:rsidRPr="00661924" w14:paraId="3A2ECD1E"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tcPr>
          <w:p w14:paraId="0EF61D87"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Maximum number of HARQ transmission</w:t>
            </w:r>
          </w:p>
        </w:tc>
        <w:tc>
          <w:tcPr>
            <w:tcW w:w="740" w:type="dxa"/>
            <w:tcBorders>
              <w:top w:val="single" w:sz="4" w:space="0" w:color="auto"/>
              <w:left w:val="single" w:sz="4" w:space="0" w:color="auto"/>
              <w:bottom w:val="single" w:sz="4" w:space="0" w:color="auto"/>
              <w:right w:val="single" w:sz="4" w:space="0" w:color="auto"/>
            </w:tcBorders>
            <w:vAlign w:val="center"/>
          </w:tcPr>
          <w:p w14:paraId="12D7829C" w14:textId="77777777" w:rsidR="00241417" w:rsidRPr="00FA1FB5" w:rsidRDefault="00241417" w:rsidP="003A71DE">
            <w:pPr>
              <w:keepNext/>
              <w:keepLines/>
              <w:spacing w:after="0"/>
              <w:jc w:val="center"/>
              <w:rPr>
                <w:rFonts w:ascii="Arial" w:eastAsia="SimSun"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70BA67D8" w14:textId="77777777" w:rsidR="00241417" w:rsidRPr="00FA1FB5" w:rsidRDefault="00241417" w:rsidP="003A71DE">
            <w:pPr>
              <w:keepNext/>
              <w:keepLines/>
              <w:spacing w:after="0"/>
              <w:jc w:val="center"/>
              <w:rPr>
                <w:rFonts w:ascii="Arial" w:hAnsi="Arial"/>
                <w:sz w:val="18"/>
                <w:lang w:val="en-US"/>
              </w:rPr>
            </w:pPr>
            <w:r w:rsidRPr="00FA1FB5">
              <w:rPr>
                <w:rFonts w:ascii="Arial" w:hAnsi="Arial"/>
                <w:sz w:val="18"/>
                <w:lang w:val="en-US"/>
              </w:rPr>
              <w:t>1</w:t>
            </w:r>
          </w:p>
        </w:tc>
      </w:tr>
      <w:tr w:rsidR="00241417" w:rsidRPr="00661924" w14:paraId="535E2B4C" w14:textId="77777777" w:rsidTr="003A71DE">
        <w:trPr>
          <w:trHeight w:val="70"/>
          <w:jc w:val="center"/>
        </w:trPr>
        <w:tc>
          <w:tcPr>
            <w:tcW w:w="3918" w:type="dxa"/>
            <w:gridSpan w:val="3"/>
            <w:tcBorders>
              <w:top w:val="single" w:sz="4" w:space="0" w:color="auto"/>
              <w:left w:val="single" w:sz="4" w:space="0" w:color="auto"/>
              <w:bottom w:val="single" w:sz="4" w:space="0" w:color="auto"/>
              <w:right w:val="single" w:sz="4" w:space="0" w:color="auto"/>
            </w:tcBorders>
            <w:vAlign w:val="center"/>
            <w:hideMark/>
          </w:tcPr>
          <w:p w14:paraId="307FD749" w14:textId="77777777" w:rsidR="00241417" w:rsidRPr="00D5656D" w:rsidRDefault="00241417" w:rsidP="003A71DE">
            <w:pPr>
              <w:keepNext/>
              <w:keepLines/>
              <w:spacing w:after="0"/>
              <w:rPr>
                <w:rFonts w:ascii="Arial" w:hAnsi="Arial"/>
                <w:sz w:val="18"/>
              </w:rPr>
            </w:pPr>
            <w:r>
              <w:rPr>
                <w:rFonts w:ascii="Arial" w:eastAsia="SimSun" w:hAnsi="Arial"/>
                <w:sz w:val="18"/>
              </w:rPr>
              <w:t>Measurement channel</w:t>
            </w:r>
          </w:p>
        </w:tc>
        <w:tc>
          <w:tcPr>
            <w:tcW w:w="740" w:type="dxa"/>
            <w:tcBorders>
              <w:top w:val="single" w:sz="4" w:space="0" w:color="auto"/>
              <w:left w:val="single" w:sz="4" w:space="0" w:color="auto"/>
              <w:bottom w:val="single" w:sz="4" w:space="0" w:color="auto"/>
              <w:right w:val="single" w:sz="4" w:space="0" w:color="auto"/>
            </w:tcBorders>
            <w:vAlign w:val="center"/>
          </w:tcPr>
          <w:p w14:paraId="3372C7C3" w14:textId="77777777" w:rsidR="00241417" w:rsidRPr="00FA1FB5" w:rsidRDefault="00241417" w:rsidP="003A71DE">
            <w:pPr>
              <w:keepNext/>
              <w:keepLines/>
              <w:spacing w:after="0"/>
              <w:jc w:val="center"/>
              <w:rPr>
                <w:rFonts w:ascii="Arial" w:hAnsi="Arial"/>
                <w:sz w:val="18"/>
                <w:lang w:val="en-US"/>
              </w:rPr>
            </w:pPr>
          </w:p>
        </w:tc>
        <w:tc>
          <w:tcPr>
            <w:tcW w:w="2208" w:type="dxa"/>
            <w:gridSpan w:val="4"/>
            <w:tcBorders>
              <w:top w:val="single" w:sz="4" w:space="0" w:color="auto"/>
              <w:left w:val="single" w:sz="4" w:space="0" w:color="auto"/>
              <w:bottom w:val="single" w:sz="4" w:space="0" w:color="auto"/>
              <w:right w:val="single" w:sz="4" w:space="0" w:color="auto"/>
            </w:tcBorders>
            <w:vAlign w:val="center"/>
          </w:tcPr>
          <w:p w14:paraId="55665F2D" w14:textId="77777777" w:rsidR="00241417" w:rsidRPr="0055145D" w:rsidRDefault="00241417" w:rsidP="003A71DE">
            <w:pPr>
              <w:keepNext/>
              <w:keepLines/>
              <w:spacing w:after="0"/>
              <w:jc w:val="center"/>
              <w:rPr>
                <w:rFonts w:ascii="Arial" w:hAnsi="Arial"/>
                <w:sz w:val="18"/>
                <w:lang w:val="en-US"/>
              </w:rPr>
            </w:pPr>
            <w:r w:rsidRPr="0055145D">
              <w:rPr>
                <w:rFonts w:ascii="Arial" w:hAnsi="Arial"/>
                <w:sz w:val="18"/>
                <w:lang w:val="en-US"/>
              </w:rPr>
              <w:t>M-FR2-A.3.5-2</w:t>
            </w:r>
          </w:p>
        </w:tc>
      </w:tr>
      <w:tr w:rsidR="00241417" w:rsidRPr="00661924" w14:paraId="69E89F21" w14:textId="77777777" w:rsidTr="003A71DE">
        <w:trPr>
          <w:trHeight w:val="70"/>
          <w:jc w:val="center"/>
        </w:trPr>
        <w:tc>
          <w:tcPr>
            <w:tcW w:w="6866" w:type="dxa"/>
            <w:gridSpan w:val="8"/>
            <w:tcBorders>
              <w:top w:val="single" w:sz="4" w:space="0" w:color="auto"/>
              <w:left w:val="single" w:sz="4" w:space="0" w:color="auto"/>
              <w:bottom w:val="single" w:sz="4" w:space="0" w:color="auto"/>
              <w:right w:val="single" w:sz="4" w:space="0" w:color="auto"/>
            </w:tcBorders>
            <w:vAlign w:val="center"/>
          </w:tcPr>
          <w:p w14:paraId="5EAFD64D" w14:textId="77777777" w:rsidR="00241417" w:rsidRPr="00D5656D" w:rsidRDefault="00241417" w:rsidP="003A71DE">
            <w:pPr>
              <w:pStyle w:val="TAN"/>
              <w:rPr>
                <w:lang w:val="en-US"/>
              </w:rPr>
            </w:pPr>
            <w:r w:rsidRPr="00D5656D">
              <w:rPr>
                <w:lang w:val="en-US"/>
              </w:rPr>
              <w:t>Note 1:</w:t>
            </w:r>
            <w:r w:rsidRPr="00D5656D">
              <w:rPr>
                <w:lang w:val="en-US"/>
              </w:rPr>
              <w:tab/>
              <w:t>The same requirements are applicable to with different UL-DL patterns.</w:t>
            </w:r>
          </w:p>
          <w:p w14:paraId="1ABD440E" w14:textId="76AEF706" w:rsidR="00241417" w:rsidRPr="00A87839" w:rsidRDefault="00BC408B" w:rsidP="003A71DE">
            <w:pPr>
              <w:pStyle w:val="TAN"/>
            </w:pPr>
            <w:r w:rsidRPr="00D5656D">
              <w:rPr>
                <w:lang w:val="en-US"/>
              </w:rPr>
              <w:t xml:space="preserve">Note </w:t>
            </w:r>
            <w:r w:rsidRPr="00D5656D">
              <w:t>2</w:t>
            </w:r>
            <w:r w:rsidRPr="00D5656D">
              <w:rPr>
                <w:lang w:val="en-US"/>
              </w:rPr>
              <w:t>:</w:t>
            </w:r>
            <w:r w:rsidRPr="00D5656D">
              <w:rPr>
                <w:lang w:val="en-US"/>
              </w:rPr>
              <w:tab/>
            </w:r>
            <w:r w:rsidRPr="00D5656D">
              <w:t>SSB, TRS, CS</w:t>
            </w:r>
            <w:r w:rsidRPr="0055145D">
              <w:t xml:space="preserve">I-RS, and/or other unspecified test parameters with respect to TS 38.101-4 </w:t>
            </w:r>
            <w:r w:rsidRPr="0055145D">
              <w:rPr>
                <w:lang w:val="en-US"/>
              </w:rPr>
              <w:t>[</w:t>
            </w:r>
            <w:r>
              <w:rPr>
                <w:rFonts w:eastAsia="SimSun" w:hint="eastAsia"/>
                <w:lang w:eastAsia="zh-CN"/>
              </w:rPr>
              <w:t>28</w:t>
            </w:r>
            <w:r w:rsidRPr="0055145D">
              <w:rPr>
                <w:lang w:val="en-US"/>
              </w:rPr>
              <w:t xml:space="preserve">] </w:t>
            </w:r>
            <w:r w:rsidRPr="0055145D">
              <w:t>are</w:t>
            </w:r>
            <w:r w:rsidRPr="00D5656D">
              <w:t xml:space="preserve"> left up to test implementation, if transmitted or needed.</w:t>
            </w:r>
          </w:p>
        </w:tc>
      </w:tr>
    </w:tbl>
    <w:p w14:paraId="1C2DB139" w14:textId="77777777" w:rsidR="00241417" w:rsidRPr="00FA1FB5" w:rsidRDefault="00241417" w:rsidP="00241417">
      <w:pPr>
        <w:rPr>
          <w:rFonts w:eastAsia="SimSun"/>
          <w:lang w:val="en-US"/>
        </w:rPr>
      </w:pPr>
    </w:p>
    <w:p w14:paraId="1FF49154" w14:textId="77777777" w:rsidR="00241417" w:rsidRPr="00FA1FB5" w:rsidRDefault="00241417" w:rsidP="00241417">
      <w:pPr>
        <w:pStyle w:val="H6"/>
        <w:rPr>
          <w:rFonts w:eastAsia="SimSun"/>
          <w:lang w:val="en-US"/>
        </w:rPr>
      </w:pPr>
      <w:r w:rsidRPr="00FA1FB5">
        <w:rPr>
          <w:lang w:val="en-US"/>
        </w:rPr>
        <w:t>11.2.3.2.</w:t>
      </w:r>
      <w:r>
        <w:t>2</w:t>
      </w:r>
      <w:r w:rsidRPr="00FA1FB5">
        <w:rPr>
          <w:lang w:val="en-US"/>
        </w:rPr>
        <w:t>.2</w:t>
      </w:r>
      <w:r w:rsidRPr="00FA1FB5">
        <w:rPr>
          <w:lang w:val="en-US"/>
        </w:rPr>
        <w:tab/>
        <w:t>Minimum requirements</w:t>
      </w:r>
    </w:p>
    <w:p w14:paraId="04781125" w14:textId="77777777" w:rsidR="00241417" w:rsidRPr="00FA1FB5" w:rsidRDefault="00241417" w:rsidP="00241417">
      <w:pPr>
        <w:rPr>
          <w:rFonts w:eastAsia="SimSun"/>
          <w:lang w:val="en-US"/>
        </w:rPr>
      </w:pPr>
      <w:r w:rsidRPr="00FA1FB5">
        <w:rPr>
          <w:rFonts w:eastAsia="SimSun"/>
          <w:lang w:val="en-US"/>
        </w:rPr>
        <w:t>For the parameters specified in Table 11.2.3.2.1.1-1, and using the downlink physical channels specif</w:t>
      </w:r>
      <w:r w:rsidRPr="0055145D">
        <w:rPr>
          <w:rFonts w:eastAsia="SimSun"/>
          <w:lang w:val="en-US"/>
        </w:rPr>
        <w:t xml:space="preserve">ied in </w:t>
      </w:r>
      <w:r w:rsidRPr="0055145D">
        <w:rPr>
          <w:rFonts w:eastAsia="SimSun"/>
          <w:lang w:val="en-US" w:eastAsia="zh-CN"/>
        </w:rPr>
        <w:t>Annex TBA</w:t>
      </w:r>
      <w:r w:rsidRPr="0055145D">
        <w:rPr>
          <w:rFonts w:eastAsia="SimSun"/>
          <w:lang w:val="en-US"/>
        </w:rPr>
        <w:t>, the minimum requir</w:t>
      </w:r>
      <w:r w:rsidRPr="00FA1FB5">
        <w:rPr>
          <w:rFonts w:eastAsia="SimSun"/>
          <w:lang w:val="en-US"/>
        </w:rPr>
        <w:t>ements are specified by the following:</w:t>
      </w:r>
    </w:p>
    <w:p w14:paraId="0D3672D0" w14:textId="77777777" w:rsidR="00241417" w:rsidRPr="00FA1FB5" w:rsidRDefault="00241417" w:rsidP="00241417">
      <w:pPr>
        <w:ind w:left="568" w:hanging="284"/>
        <w:rPr>
          <w:rFonts w:eastAsia="SimSun"/>
          <w:lang w:val="en-US"/>
        </w:rPr>
      </w:pPr>
      <w:r w:rsidRPr="00FA1FB5">
        <w:rPr>
          <w:rFonts w:eastAsia="SimSun"/>
          <w:lang w:val="en-US"/>
        </w:rPr>
        <w:t>a)</w:t>
      </w:r>
      <w:r w:rsidRPr="00FA1FB5">
        <w:rPr>
          <w:rFonts w:eastAsia="SimSun"/>
          <w:lang w:val="en-US"/>
        </w:rPr>
        <w:tab/>
        <w:t>The reported CQI value according to the reference channel shall be in the range of ±1 of the reported median more than 90% of the time.</w:t>
      </w:r>
    </w:p>
    <w:p w14:paraId="7CDF5C24" w14:textId="77777777" w:rsidR="00241417" w:rsidRPr="00FA1FB5" w:rsidRDefault="00241417" w:rsidP="00241417">
      <w:pPr>
        <w:ind w:left="568" w:hanging="284"/>
        <w:rPr>
          <w:rFonts w:eastAsia="SimSun"/>
          <w:lang w:val="en-US"/>
        </w:rPr>
      </w:pPr>
      <w:r w:rsidRPr="00FA1FB5">
        <w:rPr>
          <w:rFonts w:eastAsia="SimSun"/>
          <w:lang w:val="en-US"/>
        </w:rPr>
        <w:t>b)</w:t>
      </w:r>
      <w:r w:rsidRPr="00FA1FB5">
        <w:rPr>
          <w:rFonts w:eastAsia="SimSun"/>
          <w:lang w:val="en-US"/>
        </w:rPr>
        <w:tab/>
        <w:t xml:space="preserve">If the PDSCH BLER using the transport format indicated by median CQI is less than or equal to 0.1, then the BLER using the transport format indicated by the (median CQI+1) shall be greater than 0.1. If the PDSCH </w:t>
      </w:r>
      <w:r w:rsidRPr="00FA1FB5">
        <w:rPr>
          <w:rFonts w:eastAsia="SimSun"/>
          <w:lang w:val="en-US"/>
        </w:rPr>
        <w:lastRenderedPageBreak/>
        <w:t>BLER using the transport format indicated by the median CQI is greater than 0.1, then the BLER using transport format indicated by (median CQI-1) shall be less than or equal to 0.1.</w:t>
      </w:r>
    </w:p>
    <w:p w14:paraId="1FDED554" w14:textId="77777777" w:rsidR="00241417" w:rsidRPr="00FA1FB5" w:rsidRDefault="00241417" w:rsidP="00241417">
      <w:pPr>
        <w:pStyle w:val="Heading5"/>
        <w:rPr>
          <w:lang w:val="en-US" w:eastAsia="zh-CN"/>
        </w:rPr>
      </w:pPr>
      <w:bookmarkStart w:id="8081" w:name="_Toc74583513"/>
      <w:bookmarkStart w:id="8082" w:name="_Toc76542326"/>
      <w:bookmarkStart w:id="8083" w:name="_Toc82450308"/>
      <w:bookmarkStart w:id="8084" w:name="_Toc82450956"/>
      <w:bookmarkStart w:id="8085" w:name="_Toc89949345"/>
      <w:bookmarkStart w:id="8086" w:name="_Toc98755734"/>
      <w:bookmarkStart w:id="8087" w:name="_Toc98763326"/>
      <w:bookmarkStart w:id="8088" w:name="_Toc106184255"/>
      <w:r w:rsidRPr="00FA1FB5">
        <w:rPr>
          <w:lang w:val="en-US" w:eastAsia="zh-CN"/>
        </w:rPr>
        <w:t>11.2.3.2.</w:t>
      </w:r>
      <w:r>
        <w:rPr>
          <w:lang w:eastAsia="zh-CN"/>
        </w:rPr>
        <w:t>3</w:t>
      </w:r>
      <w:r w:rsidRPr="00FA1FB5">
        <w:rPr>
          <w:lang w:val="en-US" w:eastAsia="zh-CN"/>
        </w:rPr>
        <w:tab/>
        <w:t>Reporting of Precoding Matrix Indicator (PMI)</w:t>
      </w:r>
      <w:bookmarkEnd w:id="8081"/>
      <w:bookmarkEnd w:id="8082"/>
      <w:bookmarkEnd w:id="8083"/>
      <w:bookmarkEnd w:id="8084"/>
      <w:bookmarkEnd w:id="8085"/>
      <w:bookmarkEnd w:id="8086"/>
      <w:bookmarkEnd w:id="8087"/>
      <w:bookmarkEnd w:id="8088"/>
    </w:p>
    <w:p w14:paraId="42AAC1EB" w14:textId="77777777" w:rsidR="00241417" w:rsidRPr="00FA1FB5" w:rsidRDefault="00241417" w:rsidP="00241417">
      <w:pPr>
        <w:pStyle w:val="H6"/>
        <w:rPr>
          <w:rFonts w:eastAsia="SimSun"/>
          <w:lang w:val="en-US"/>
        </w:rPr>
      </w:pPr>
      <w:r w:rsidRPr="00FA1FB5">
        <w:rPr>
          <w:lang w:val="en-US"/>
        </w:rPr>
        <w:t>11.2.3.2.</w:t>
      </w:r>
      <w:r>
        <w:t>3</w:t>
      </w:r>
      <w:r w:rsidRPr="00FA1FB5">
        <w:rPr>
          <w:lang w:val="en-US"/>
        </w:rPr>
        <w:t>.1</w:t>
      </w:r>
      <w:r w:rsidRPr="00FA1FB5">
        <w:rPr>
          <w:lang w:val="en-US"/>
        </w:rPr>
        <w:tab/>
        <w:t>General</w:t>
      </w:r>
    </w:p>
    <w:p w14:paraId="2F9E3345" w14:textId="312791B1" w:rsidR="00170440" w:rsidRDefault="00170440" w:rsidP="00170440">
      <w:pPr>
        <w:rPr>
          <w:rFonts w:eastAsia="SimSun"/>
          <w:lang w:val="en-US"/>
        </w:rPr>
      </w:pPr>
      <w:r>
        <w:rPr>
          <w:rFonts w:eastAsia="SimSun"/>
          <w:lang w:val="en-US"/>
        </w:rPr>
        <w:t xml:space="preserve">The minimum performance requirements of PMI reporting are defined based on the precoding gain, expressed as the relative increase in throughput when the transmitter is configured according to the </w:t>
      </w:r>
      <w:r>
        <w:rPr>
          <w:rFonts w:eastAsia="SimSun"/>
          <w:lang w:val="en-US" w:eastAsia="zh-CN"/>
        </w:rPr>
        <w:t>IAB-MT</w:t>
      </w:r>
      <w:r>
        <w:rPr>
          <w:rFonts w:eastAsia="SimSun"/>
          <w:lang w:val="en-US"/>
        </w:rPr>
        <w:t xml:space="preserve"> reports compared to the case when the transmitter is using random precoding, respectively. When the transmitter uses random precoding, for each PDSCH allocation a precoder is randomly generated and applied to the PDSCH. A fixed transport format (FRC) is configured for all requirements.</w:t>
      </w:r>
    </w:p>
    <w:p w14:paraId="07BEE6DA" w14:textId="77777777" w:rsidR="00241417" w:rsidRPr="00FA1FB5" w:rsidRDefault="00241417" w:rsidP="00241417">
      <w:pPr>
        <w:rPr>
          <w:rFonts w:eastAsia="SimSun"/>
          <w:lang w:val="en-US"/>
        </w:rPr>
      </w:pPr>
      <w:r w:rsidRPr="00FA1FB5">
        <w:rPr>
          <w:rFonts w:eastAsia="SimSun"/>
          <w:lang w:val="en-US"/>
        </w:rPr>
        <w:t xml:space="preserve">The requirements for transmission mode </w:t>
      </w:r>
      <w:r w:rsidRPr="00FA1FB5">
        <w:rPr>
          <w:rFonts w:eastAsia="SimSun" w:hint="eastAsia"/>
          <w:lang w:val="en-US"/>
        </w:rPr>
        <w:t>1</w:t>
      </w:r>
      <w:r w:rsidRPr="00FA1FB5">
        <w:rPr>
          <w:rFonts w:eastAsia="SimSun"/>
          <w:lang w:val="en-US"/>
        </w:rPr>
        <w:t xml:space="preserve"> with </w:t>
      </w:r>
      <w:r w:rsidRPr="00FA1FB5">
        <w:rPr>
          <w:rFonts w:eastAsia="SimSun" w:hint="eastAsia"/>
          <w:lang w:val="en-US" w:eastAsia="zh-CN"/>
        </w:rPr>
        <w:t xml:space="preserve">2TX and </w:t>
      </w:r>
      <w:r w:rsidRPr="00FA1FB5">
        <w:rPr>
          <w:rFonts w:eastAsia="SimSun"/>
          <w:lang w:val="en-US"/>
        </w:rPr>
        <w:t xml:space="preserve">higher layer parameter </w:t>
      </w:r>
      <w:r w:rsidRPr="00FA1FB5">
        <w:rPr>
          <w:rFonts w:eastAsia="SimSun"/>
          <w:i/>
          <w:lang w:val="en-US"/>
        </w:rPr>
        <w:t>codebookType</w:t>
      </w:r>
      <w:r w:rsidRPr="00FA1FB5">
        <w:rPr>
          <w:rFonts w:eastAsia="SimSun"/>
          <w:lang w:val="en-US"/>
        </w:rPr>
        <w:t xml:space="preserve"> set to 'typeI-SinglePanel' are specified in terms of the ratio</w:t>
      </w:r>
    </w:p>
    <w:p w14:paraId="41AAE09C" w14:textId="19E297BB" w:rsidR="00241417" w:rsidRPr="00FA1FB5" w:rsidRDefault="00241417" w:rsidP="00241417">
      <w:pPr>
        <w:keepLines/>
        <w:tabs>
          <w:tab w:val="center" w:pos="4536"/>
          <w:tab w:val="right" w:pos="9072"/>
        </w:tabs>
        <w:rPr>
          <w:rFonts w:eastAsia="SimSun"/>
          <w:lang w:val="en-US"/>
        </w:rPr>
      </w:pPr>
      <w:r>
        <w:rPr>
          <w:rFonts w:eastAsia="SimSun"/>
          <w:noProof/>
          <w:position w:val="-32"/>
          <w:lang w:val="en-US" w:eastAsia="zh-CN"/>
        </w:rPr>
        <w:drawing>
          <wp:inline distT="0" distB="0" distL="0" distR="0" wp14:anchorId="53243819" wp14:editId="2F88E95B">
            <wp:extent cx="617220" cy="449580"/>
            <wp:effectExtent l="0" t="0" r="0" b="7620"/>
            <wp:docPr id="8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17220" cy="449580"/>
                    </a:xfrm>
                    <a:prstGeom prst="rect">
                      <a:avLst/>
                    </a:prstGeom>
                    <a:noFill/>
                    <a:ln>
                      <a:noFill/>
                    </a:ln>
                  </pic:spPr>
                </pic:pic>
              </a:graphicData>
            </a:graphic>
          </wp:inline>
        </w:drawing>
      </w:r>
    </w:p>
    <w:p w14:paraId="40AE8A10" w14:textId="560CFC94" w:rsidR="00170440" w:rsidRDefault="00170440" w:rsidP="00170440">
      <w:pPr>
        <w:rPr>
          <w:rFonts w:eastAsia="SimSun"/>
          <w:lang w:val="en-US" w:eastAsia="zh-CN"/>
        </w:rPr>
      </w:pPr>
      <w:r>
        <w:rPr>
          <w:rFonts w:eastAsia="SimSun"/>
          <w:lang w:val="en-US" w:eastAsia="zh-CN"/>
        </w:rPr>
        <w:t xml:space="preserve">In the definition of </w:t>
      </w:r>
      <w:r>
        <w:rPr>
          <w:rFonts w:eastAsia="SimSun"/>
          <w:i/>
          <w:lang w:val="en-US" w:eastAsia="zh-CN"/>
        </w:rPr>
        <w:t>γ</w:t>
      </w:r>
      <w:r>
        <w:rPr>
          <w:rFonts w:eastAsia="SimSun"/>
          <w:lang w:val="en-US" w:eastAsia="zh-CN"/>
        </w:rPr>
        <w:t>, for 2TX PMI requirements,</w:t>
      </w:r>
      <w:r>
        <w:rPr>
          <w:rFonts w:eastAsia="SimSun"/>
          <w:lang w:val="en-US"/>
        </w:rPr>
        <w:t xml:space="preserve"> </w:t>
      </w:r>
      <w:r>
        <w:rPr>
          <w:noProof/>
          <w:position w:val="-12"/>
          <w:lang w:val="en-US" w:eastAsia="zh-CN"/>
        </w:rPr>
        <w:drawing>
          <wp:inline distT="0" distB="0" distL="0" distR="0" wp14:anchorId="02F35D9C" wp14:editId="4D5ADC53">
            <wp:extent cx="184150" cy="241300"/>
            <wp:effectExtent l="0" t="0" r="6350" b="635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4150" cy="241300"/>
                    </a:xfrm>
                    <a:prstGeom prst="rect">
                      <a:avLst/>
                    </a:prstGeom>
                    <a:noFill/>
                    <a:ln>
                      <a:noFill/>
                    </a:ln>
                  </pic:spPr>
                </pic:pic>
              </a:graphicData>
            </a:graphic>
          </wp:inline>
        </w:drawing>
      </w:r>
      <w:r>
        <w:rPr>
          <w:rFonts w:eastAsia="SimSun"/>
          <w:lang w:val="en-US" w:eastAsia="zh-CN"/>
        </w:rPr>
        <w:t xml:space="preserve">is 90 % of the maximum throughput obtained at </w:t>
      </w:r>
      <w:r>
        <w:rPr>
          <w:noProof/>
          <w:position w:val="-12"/>
          <w:lang w:val="en-US" w:eastAsia="zh-CN"/>
        </w:rPr>
        <w:drawing>
          <wp:inline distT="0" distB="0" distL="0" distR="0" wp14:anchorId="31C32DE7" wp14:editId="27C4C7EB">
            <wp:extent cx="389890" cy="241300"/>
            <wp:effectExtent l="0" t="0" r="0" b="6350"/>
            <wp:docPr id="314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89890" cy="241300"/>
                    </a:xfrm>
                    <a:prstGeom prst="rect">
                      <a:avLst/>
                    </a:prstGeom>
                    <a:noFill/>
                    <a:ln>
                      <a:noFill/>
                    </a:ln>
                  </pic:spPr>
                </pic:pic>
              </a:graphicData>
            </a:graphic>
          </wp:inline>
        </w:drawing>
      </w:r>
      <w:r>
        <w:rPr>
          <w:rFonts w:eastAsia="SimSun"/>
          <w:lang w:val="en-US" w:eastAsia="zh-CN"/>
        </w:rPr>
        <w:t xml:space="preserve"> using the precoders configured according to the IAB-MT reports, </w:t>
      </w:r>
      <w:r>
        <w:rPr>
          <w:rFonts w:eastAsia="SimSun"/>
          <w:lang w:val="en-US"/>
        </w:rPr>
        <w:t xml:space="preserve">and </w:t>
      </w:r>
      <w:r>
        <w:rPr>
          <w:noProof/>
          <w:position w:val="-14"/>
          <w:lang w:val="en-US" w:eastAsia="zh-CN"/>
        </w:rPr>
        <w:drawing>
          <wp:inline distT="0" distB="0" distL="0" distR="0" wp14:anchorId="43364369" wp14:editId="13C4E019">
            <wp:extent cx="241300" cy="241300"/>
            <wp:effectExtent l="0" t="0" r="6350" b="6350"/>
            <wp:docPr id="314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41300" cy="241300"/>
                    </a:xfrm>
                    <a:prstGeom prst="rect">
                      <a:avLst/>
                    </a:prstGeom>
                    <a:noFill/>
                    <a:ln>
                      <a:noFill/>
                    </a:ln>
                  </pic:spPr>
                </pic:pic>
              </a:graphicData>
            </a:graphic>
          </wp:inline>
        </w:drawing>
      </w:r>
      <w:r>
        <w:rPr>
          <w:rFonts w:eastAsia="SimSun"/>
          <w:lang w:val="en-US" w:eastAsia="zh-CN"/>
        </w:rPr>
        <w:t xml:space="preserve">is </w:t>
      </w:r>
      <w:r>
        <w:rPr>
          <w:rFonts w:eastAsia="SimSun"/>
          <w:lang w:val="en-US"/>
        </w:rPr>
        <w:t xml:space="preserve">the throughput measured at </w:t>
      </w:r>
      <w:r>
        <w:rPr>
          <w:noProof/>
          <w:position w:val="-12"/>
          <w:lang w:val="en-US" w:eastAsia="zh-CN"/>
        </w:rPr>
        <w:drawing>
          <wp:inline distT="0" distB="0" distL="0" distR="0" wp14:anchorId="02D5E778" wp14:editId="631D858A">
            <wp:extent cx="389890" cy="241300"/>
            <wp:effectExtent l="0" t="0" r="0" b="6350"/>
            <wp:docPr id="31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89890" cy="241300"/>
                    </a:xfrm>
                    <a:prstGeom prst="rect">
                      <a:avLst/>
                    </a:prstGeom>
                    <a:noFill/>
                    <a:ln>
                      <a:noFill/>
                    </a:ln>
                  </pic:spPr>
                </pic:pic>
              </a:graphicData>
            </a:graphic>
          </wp:inline>
        </w:drawing>
      </w:r>
      <w:r>
        <w:rPr>
          <w:rFonts w:eastAsia="SimSun"/>
          <w:lang w:val="en-US"/>
        </w:rPr>
        <w:t>with</w:t>
      </w:r>
      <w:r>
        <w:rPr>
          <w:rFonts w:eastAsia="SimSun"/>
          <w:lang w:val="en-US" w:eastAsia="zh-CN"/>
        </w:rPr>
        <w:t xml:space="preserve"> random precoding.</w:t>
      </w:r>
    </w:p>
    <w:p w14:paraId="2BCEC387" w14:textId="77777777" w:rsidR="00241417" w:rsidRPr="00FA1FB5" w:rsidRDefault="00241417" w:rsidP="00241417">
      <w:pPr>
        <w:pStyle w:val="TH"/>
        <w:rPr>
          <w:lang w:val="en-US" w:eastAsia="zh-CN"/>
        </w:rPr>
      </w:pPr>
      <w:r w:rsidRPr="00FA1FB5">
        <w:rPr>
          <w:lang w:val="en-US"/>
        </w:rPr>
        <w:lastRenderedPageBreak/>
        <w:t>Table 11.2.3.2.</w:t>
      </w:r>
      <w:r>
        <w:t>3</w:t>
      </w:r>
      <w:r w:rsidRPr="00FA1FB5">
        <w:rPr>
          <w:lang w:val="en-US"/>
        </w:rPr>
        <w:t>.1</w:t>
      </w:r>
      <w:r w:rsidRPr="00FA1FB5">
        <w:rPr>
          <w:rFonts w:hint="eastAsia"/>
          <w:lang w:val="en-US" w:eastAsia="zh-CN"/>
        </w:rPr>
        <w:t>-1</w:t>
      </w:r>
      <w:r w:rsidRPr="00FA1FB5">
        <w:rPr>
          <w:lang w:val="en-US"/>
        </w:rPr>
        <w:t xml:space="preserve">: </w:t>
      </w:r>
      <w:r w:rsidRPr="00FA1FB5">
        <w:rPr>
          <w:rFonts w:hint="eastAsia"/>
          <w:lang w:val="en-US" w:eastAsia="zh-CN"/>
        </w:rPr>
        <w:t>T</w:t>
      </w:r>
      <w:r w:rsidRPr="00FA1FB5">
        <w:rPr>
          <w:lang w:val="en-US"/>
        </w:rPr>
        <w:t>est parameters</w:t>
      </w:r>
    </w:p>
    <w:tbl>
      <w:tblPr>
        <w:tblW w:w="57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1"/>
        <w:gridCol w:w="1822"/>
        <w:gridCol w:w="912"/>
        <w:gridCol w:w="1524"/>
      </w:tblGrid>
      <w:tr w:rsidR="00241417" w:rsidRPr="0061289A" w14:paraId="131F0C2E"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hideMark/>
          </w:tcPr>
          <w:p w14:paraId="362FCA51"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Parameter</w:t>
            </w:r>
          </w:p>
        </w:tc>
        <w:tc>
          <w:tcPr>
            <w:tcW w:w="912" w:type="dxa"/>
            <w:tcBorders>
              <w:top w:val="single" w:sz="4" w:space="0" w:color="auto"/>
              <w:left w:val="single" w:sz="4" w:space="0" w:color="auto"/>
              <w:bottom w:val="single" w:sz="4" w:space="0" w:color="auto"/>
              <w:right w:val="single" w:sz="4" w:space="0" w:color="auto"/>
            </w:tcBorders>
            <w:vAlign w:val="center"/>
            <w:hideMark/>
          </w:tcPr>
          <w:p w14:paraId="627148B6"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Unit</w:t>
            </w:r>
          </w:p>
        </w:tc>
        <w:tc>
          <w:tcPr>
            <w:tcW w:w="1524" w:type="dxa"/>
            <w:tcBorders>
              <w:top w:val="single" w:sz="4" w:space="0" w:color="auto"/>
              <w:left w:val="single" w:sz="4" w:space="0" w:color="auto"/>
              <w:bottom w:val="single" w:sz="4" w:space="0" w:color="auto"/>
              <w:right w:val="single" w:sz="4" w:space="0" w:color="auto"/>
            </w:tcBorders>
            <w:vAlign w:val="center"/>
            <w:hideMark/>
          </w:tcPr>
          <w:p w14:paraId="2EFF4C4E"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Test 1</w:t>
            </w:r>
          </w:p>
        </w:tc>
      </w:tr>
      <w:tr w:rsidR="00241417" w:rsidRPr="0061289A" w14:paraId="5D3AA765"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hideMark/>
          </w:tcPr>
          <w:p w14:paraId="2922EAE6"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Bandwidth</w:t>
            </w:r>
          </w:p>
        </w:tc>
        <w:tc>
          <w:tcPr>
            <w:tcW w:w="912" w:type="dxa"/>
            <w:tcBorders>
              <w:top w:val="single" w:sz="4" w:space="0" w:color="auto"/>
              <w:left w:val="single" w:sz="4" w:space="0" w:color="auto"/>
              <w:bottom w:val="single" w:sz="4" w:space="0" w:color="auto"/>
              <w:right w:val="single" w:sz="4" w:space="0" w:color="auto"/>
            </w:tcBorders>
            <w:vAlign w:val="center"/>
            <w:hideMark/>
          </w:tcPr>
          <w:p w14:paraId="3B9A3725" w14:textId="77777777" w:rsidR="00241417" w:rsidRPr="00FA1FB5" w:rsidRDefault="00241417" w:rsidP="003A71DE">
            <w:pPr>
              <w:keepNext/>
              <w:keepLines/>
              <w:spacing w:after="0"/>
              <w:jc w:val="center"/>
              <w:rPr>
                <w:rFonts w:ascii="Arial" w:hAnsi="Arial"/>
                <w:sz w:val="18"/>
                <w:lang w:val="en-US"/>
              </w:rPr>
            </w:pPr>
            <w:r w:rsidRPr="00FA1FB5">
              <w:rPr>
                <w:rFonts w:ascii="Arial" w:eastAsia="SimSun" w:hAnsi="Arial"/>
                <w:sz w:val="18"/>
                <w:lang w:val="en-US"/>
              </w:rPr>
              <w:t>MHz</w:t>
            </w:r>
          </w:p>
        </w:tc>
        <w:tc>
          <w:tcPr>
            <w:tcW w:w="1524" w:type="dxa"/>
            <w:tcBorders>
              <w:top w:val="single" w:sz="4" w:space="0" w:color="auto"/>
              <w:left w:val="single" w:sz="4" w:space="0" w:color="auto"/>
              <w:bottom w:val="single" w:sz="4" w:space="0" w:color="auto"/>
              <w:right w:val="single" w:sz="4" w:space="0" w:color="auto"/>
            </w:tcBorders>
            <w:vAlign w:val="center"/>
          </w:tcPr>
          <w:p w14:paraId="26426C1F"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100</w:t>
            </w:r>
          </w:p>
        </w:tc>
      </w:tr>
      <w:tr w:rsidR="00241417" w:rsidRPr="0061289A" w14:paraId="6F9142E0"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2E34A822"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Subcarrier spacing</w:t>
            </w:r>
          </w:p>
        </w:tc>
        <w:tc>
          <w:tcPr>
            <w:tcW w:w="912" w:type="dxa"/>
            <w:tcBorders>
              <w:top w:val="single" w:sz="4" w:space="0" w:color="auto"/>
              <w:left w:val="single" w:sz="4" w:space="0" w:color="auto"/>
              <w:bottom w:val="single" w:sz="4" w:space="0" w:color="auto"/>
              <w:right w:val="single" w:sz="4" w:space="0" w:color="auto"/>
            </w:tcBorders>
            <w:vAlign w:val="center"/>
          </w:tcPr>
          <w:p w14:paraId="3522DD0B"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kHz</w:t>
            </w:r>
          </w:p>
        </w:tc>
        <w:tc>
          <w:tcPr>
            <w:tcW w:w="1524" w:type="dxa"/>
            <w:tcBorders>
              <w:top w:val="single" w:sz="4" w:space="0" w:color="auto"/>
              <w:left w:val="single" w:sz="4" w:space="0" w:color="auto"/>
              <w:bottom w:val="single" w:sz="4" w:space="0" w:color="auto"/>
              <w:right w:val="single" w:sz="4" w:space="0" w:color="auto"/>
            </w:tcBorders>
            <w:vAlign w:val="center"/>
          </w:tcPr>
          <w:p w14:paraId="1586CDC9"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hAnsi="Arial"/>
                <w:sz w:val="18"/>
                <w:lang w:val="en-US"/>
              </w:rPr>
              <w:t>120</w:t>
            </w:r>
          </w:p>
        </w:tc>
      </w:tr>
      <w:tr w:rsidR="00241417" w:rsidRPr="0061289A" w14:paraId="36B8B4FD"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32BF87AF" w14:textId="77777777" w:rsidR="00241417" w:rsidRPr="00D5656D" w:rsidRDefault="00241417" w:rsidP="003A71DE">
            <w:pPr>
              <w:keepNext/>
              <w:keepLines/>
              <w:spacing w:after="0"/>
              <w:rPr>
                <w:rFonts w:ascii="Arial" w:eastAsia="SimSun" w:hAnsi="Arial"/>
                <w:strike/>
                <w:sz w:val="18"/>
                <w:lang w:val="en-US" w:eastAsia="zh-CN"/>
              </w:rPr>
            </w:pPr>
            <w:r w:rsidRPr="00D5656D">
              <w:rPr>
                <w:rFonts w:ascii="Arial" w:eastAsia="SimSun" w:hAnsi="Arial"/>
                <w:sz w:val="18"/>
                <w:lang w:val="en-US"/>
              </w:rPr>
              <w:t>Default TDD UL-DL pattern (Note 1)</w:t>
            </w:r>
          </w:p>
        </w:tc>
        <w:tc>
          <w:tcPr>
            <w:tcW w:w="912" w:type="dxa"/>
            <w:tcBorders>
              <w:top w:val="single" w:sz="4" w:space="0" w:color="auto"/>
              <w:left w:val="single" w:sz="4" w:space="0" w:color="auto"/>
              <w:bottom w:val="single" w:sz="4" w:space="0" w:color="auto"/>
              <w:right w:val="single" w:sz="4" w:space="0" w:color="auto"/>
            </w:tcBorders>
            <w:vAlign w:val="center"/>
          </w:tcPr>
          <w:p w14:paraId="78C5053C" w14:textId="77777777" w:rsidR="00241417" w:rsidRPr="00D5656D" w:rsidRDefault="00241417" w:rsidP="003A71DE">
            <w:pPr>
              <w:keepNext/>
              <w:keepLines/>
              <w:spacing w:after="0"/>
              <w:jc w:val="center"/>
              <w:rPr>
                <w:rFonts w:ascii="Arial" w:hAnsi="Arial"/>
                <w:strike/>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3966C5A2" w14:textId="77777777" w:rsidR="00241417" w:rsidRPr="00D5656D" w:rsidRDefault="00241417" w:rsidP="003A71DE">
            <w:pPr>
              <w:keepNext/>
              <w:keepLines/>
              <w:spacing w:after="0"/>
              <w:jc w:val="center"/>
              <w:rPr>
                <w:rFonts w:ascii="Arial" w:eastAsia="SimSun" w:hAnsi="Arial"/>
                <w:strike/>
                <w:sz w:val="18"/>
                <w:lang w:val="en-US" w:eastAsia="zh-CN"/>
              </w:rPr>
            </w:pPr>
            <w:r w:rsidRPr="00D5656D">
              <w:rPr>
                <w:rFonts w:ascii="Arial" w:hAnsi="Arial"/>
                <w:sz w:val="18"/>
                <w:lang w:val="en-US"/>
              </w:rPr>
              <w:t>3D1S1U</w:t>
            </w:r>
          </w:p>
        </w:tc>
      </w:tr>
      <w:tr w:rsidR="00241417" w:rsidRPr="0061289A" w14:paraId="66E09B6F"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67041F48" w14:textId="77777777" w:rsidR="00241417" w:rsidRPr="00D5656D" w:rsidRDefault="00241417" w:rsidP="003A71DE">
            <w:pPr>
              <w:keepNext/>
              <w:keepLines/>
              <w:spacing w:after="0"/>
              <w:rPr>
                <w:rFonts w:ascii="Arial" w:eastAsia="SimSun" w:hAnsi="Arial"/>
                <w:strike/>
                <w:sz w:val="18"/>
                <w:lang w:val="en-US" w:eastAsia="zh-CN"/>
              </w:rPr>
            </w:pPr>
            <w:r w:rsidRPr="00D5656D">
              <w:rPr>
                <w:rFonts w:ascii="Arial" w:eastAsia="SimSun" w:hAnsi="Arial"/>
                <w:sz w:val="18"/>
                <w:lang w:val="en-US"/>
              </w:rPr>
              <w:t>Special Slot Configuration</w:t>
            </w:r>
          </w:p>
        </w:tc>
        <w:tc>
          <w:tcPr>
            <w:tcW w:w="912" w:type="dxa"/>
            <w:tcBorders>
              <w:top w:val="single" w:sz="4" w:space="0" w:color="auto"/>
              <w:left w:val="single" w:sz="4" w:space="0" w:color="auto"/>
              <w:bottom w:val="single" w:sz="4" w:space="0" w:color="auto"/>
              <w:right w:val="single" w:sz="4" w:space="0" w:color="auto"/>
            </w:tcBorders>
            <w:vAlign w:val="center"/>
          </w:tcPr>
          <w:p w14:paraId="2430F10A" w14:textId="77777777" w:rsidR="00241417" w:rsidRPr="00D5656D" w:rsidRDefault="00241417" w:rsidP="003A71DE">
            <w:pPr>
              <w:keepNext/>
              <w:keepLines/>
              <w:spacing w:after="0"/>
              <w:jc w:val="center"/>
              <w:rPr>
                <w:rFonts w:ascii="Arial" w:hAnsi="Arial"/>
                <w:strike/>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49BC4FC" w14:textId="77777777" w:rsidR="00241417" w:rsidRPr="00D5656D" w:rsidRDefault="00241417" w:rsidP="003A71DE">
            <w:pPr>
              <w:keepNext/>
              <w:keepLines/>
              <w:spacing w:after="0"/>
              <w:jc w:val="center"/>
              <w:rPr>
                <w:rFonts w:ascii="Arial" w:eastAsia="SimSun" w:hAnsi="Arial"/>
                <w:strike/>
                <w:sz w:val="18"/>
                <w:lang w:val="en-US" w:eastAsia="zh-CN"/>
              </w:rPr>
            </w:pPr>
            <w:r w:rsidRPr="00D5656D">
              <w:rPr>
                <w:rFonts w:ascii="Arial" w:hAnsi="Arial"/>
                <w:sz w:val="18"/>
                <w:lang w:val="en-US"/>
              </w:rPr>
              <w:t>10D+2G+2U</w:t>
            </w:r>
          </w:p>
        </w:tc>
      </w:tr>
      <w:tr w:rsidR="00241417" w:rsidRPr="0061289A" w14:paraId="13A05BD9"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hideMark/>
          </w:tcPr>
          <w:p w14:paraId="51B7F1C0"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Propagation channel</w:t>
            </w:r>
          </w:p>
        </w:tc>
        <w:tc>
          <w:tcPr>
            <w:tcW w:w="912" w:type="dxa"/>
            <w:tcBorders>
              <w:top w:val="single" w:sz="4" w:space="0" w:color="auto"/>
              <w:left w:val="single" w:sz="4" w:space="0" w:color="auto"/>
              <w:bottom w:val="single" w:sz="4" w:space="0" w:color="auto"/>
              <w:right w:val="single" w:sz="4" w:space="0" w:color="auto"/>
            </w:tcBorders>
            <w:vAlign w:val="center"/>
          </w:tcPr>
          <w:p w14:paraId="18C23954" w14:textId="77777777" w:rsidR="00241417" w:rsidRPr="00FA1FB5" w:rsidRDefault="00241417" w:rsidP="003A71DE">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6E1E188A"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hint="eastAsia"/>
                <w:kern w:val="2"/>
                <w:sz w:val="18"/>
                <w:lang w:val="en-US" w:eastAsia="zh-CN"/>
              </w:rPr>
              <w:t>TDLA30-35</w:t>
            </w:r>
          </w:p>
        </w:tc>
      </w:tr>
      <w:tr w:rsidR="00241417" w:rsidRPr="0061289A" w14:paraId="188AFD74"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hideMark/>
          </w:tcPr>
          <w:p w14:paraId="09F05519" w14:textId="77777777" w:rsidR="00241417" w:rsidRPr="00FA1FB5" w:rsidRDefault="00241417" w:rsidP="003A71DE">
            <w:pPr>
              <w:keepNext/>
              <w:keepLines/>
              <w:spacing w:after="0"/>
              <w:rPr>
                <w:rFonts w:ascii="Arial" w:hAnsi="Arial"/>
                <w:sz w:val="18"/>
                <w:lang w:val="en-US"/>
              </w:rPr>
            </w:pPr>
            <w:r w:rsidRPr="00FA1FB5">
              <w:rPr>
                <w:rFonts w:ascii="Arial" w:eastAsia="SimSun" w:hAnsi="Arial"/>
                <w:sz w:val="18"/>
                <w:lang w:val="en-US"/>
              </w:rPr>
              <w:t>Antenna configuration</w:t>
            </w:r>
          </w:p>
        </w:tc>
        <w:tc>
          <w:tcPr>
            <w:tcW w:w="912" w:type="dxa"/>
            <w:tcBorders>
              <w:top w:val="single" w:sz="4" w:space="0" w:color="auto"/>
              <w:left w:val="single" w:sz="4" w:space="0" w:color="auto"/>
              <w:bottom w:val="single" w:sz="4" w:space="0" w:color="auto"/>
              <w:right w:val="single" w:sz="4" w:space="0" w:color="auto"/>
            </w:tcBorders>
            <w:vAlign w:val="center"/>
          </w:tcPr>
          <w:p w14:paraId="63FD5B93" w14:textId="77777777" w:rsidR="00241417" w:rsidRPr="00FA1FB5" w:rsidRDefault="00241417" w:rsidP="003A71DE">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9AEF8C9" w14:textId="77777777" w:rsidR="00241417" w:rsidRPr="00FA1FB5" w:rsidRDefault="00241417" w:rsidP="003A71DE">
            <w:pPr>
              <w:keepNext/>
              <w:keepLines/>
              <w:spacing w:after="0"/>
              <w:jc w:val="center"/>
              <w:rPr>
                <w:rFonts w:ascii="Arial" w:hAnsi="Arial"/>
                <w:sz w:val="18"/>
                <w:lang w:val="en-US"/>
              </w:rPr>
            </w:pPr>
            <w:r w:rsidRPr="00FA1FB5">
              <w:rPr>
                <w:rFonts w:ascii="Arial" w:hAnsi="Arial" w:cs="Arial"/>
                <w:kern w:val="2"/>
                <w:sz w:val="18"/>
                <w:szCs w:val="18"/>
                <w:lang w:val="en-US" w:eastAsia="zh-CN"/>
              </w:rPr>
              <w:t xml:space="preserve">2 </w:t>
            </w:r>
            <w:r w:rsidRPr="00FA1FB5">
              <w:rPr>
                <w:rFonts w:ascii="Arial" w:eastAsia="?? ??" w:hAnsi="Arial" w:cs="Arial"/>
                <w:kern w:val="2"/>
                <w:sz w:val="18"/>
                <w:szCs w:val="18"/>
                <w:lang w:val="en-US"/>
              </w:rPr>
              <w:t>x 2</w:t>
            </w:r>
            <w:r w:rsidRPr="00FA1FB5">
              <w:rPr>
                <w:rFonts w:ascii="Arial" w:hAnsi="Arial" w:cs="Arial"/>
                <w:kern w:val="2"/>
                <w:sz w:val="18"/>
                <w:szCs w:val="18"/>
                <w:lang w:val="en-US" w:eastAsia="zh-CN"/>
              </w:rPr>
              <w:t xml:space="preserve"> ULA Low</w:t>
            </w:r>
          </w:p>
        </w:tc>
      </w:tr>
      <w:tr w:rsidR="009F2BA2" w:rsidRPr="0061289A" w14:paraId="126BB1BE"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hideMark/>
          </w:tcPr>
          <w:p w14:paraId="272A1B17"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Beamforming Model</w:t>
            </w:r>
          </w:p>
        </w:tc>
        <w:tc>
          <w:tcPr>
            <w:tcW w:w="912" w:type="dxa"/>
            <w:tcBorders>
              <w:top w:val="single" w:sz="4" w:space="0" w:color="auto"/>
              <w:left w:val="single" w:sz="4" w:space="0" w:color="auto"/>
              <w:bottom w:val="single" w:sz="4" w:space="0" w:color="auto"/>
              <w:right w:val="single" w:sz="4" w:space="0" w:color="auto"/>
            </w:tcBorders>
            <w:vAlign w:val="center"/>
          </w:tcPr>
          <w:p w14:paraId="155E13EE"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552F4B61" w14:textId="13277DF2" w:rsidR="009F2BA2" w:rsidRPr="0055145D" w:rsidRDefault="009F2BA2" w:rsidP="009F2BA2">
            <w:pPr>
              <w:pStyle w:val="TAC"/>
              <w:rPr>
                <w:lang w:val="en-US" w:eastAsia="zh-CN"/>
              </w:rPr>
            </w:pPr>
            <w:r w:rsidRPr="0055145D">
              <w:rPr>
                <w:lang w:val="en-US" w:eastAsia="zh-CN"/>
              </w:rPr>
              <w:t xml:space="preserve">As specified in Annex </w:t>
            </w:r>
            <w:r>
              <w:t>I.3.1</w:t>
            </w:r>
          </w:p>
        </w:tc>
      </w:tr>
      <w:tr w:rsidR="009F2BA2" w:rsidRPr="0061289A" w14:paraId="4F1C50F8" w14:textId="77777777" w:rsidTr="003A71DE">
        <w:trPr>
          <w:trHeight w:val="230"/>
          <w:jc w:val="center"/>
        </w:trPr>
        <w:tc>
          <w:tcPr>
            <w:tcW w:w="1481" w:type="dxa"/>
            <w:vMerge w:val="restart"/>
            <w:tcBorders>
              <w:top w:val="single" w:sz="4" w:space="0" w:color="auto"/>
              <w:left w:val="single" w:sz="4" w:space="0" w:color="auto"/>
              <w:right w:val="single" w:sz="4" w:space="0" w:color="auto"/>
            </w:tcBorders>
            <w:vAlign w:val="center"/>
            <w:hideMark/>
          </w:tcPr>
          <w:p w14:paraId="488E6FE8" w14:textId="77777777" w:rsidR="009F2BA2" w:rsidRPr="00D5656D" w:rsidRDefault="009F2BA2" w:rsidP="009F2BA2">
            <w:pPr>
              <w:keepNext/>
              <w:keepLines/>
              <w:spacing w:after="0"/>
              <w:rPr>
                <w:rFonts w:ascii="Arial" w:eastAsia="SimSun" w:hAnsi="Arial"/>
                <w:sz w:val="18"/>
                <w:lang w:val="en-US"/>
              </w:rPr>
            </w:pPr>
            <w:r w:rsidRPr="00FA1FB5">
              <w:rPr>
                <w:rFonts w:ascii="Arial" w:eastAsia="SimSun" w:hAnsi="Arial"/>
                <w:sz w:val="18"/>
                <w:lang w:val="en-US"/>
              </w:rPr>
              <w:t>NZP CSI-RS for CSI acquisition</w:t>
            </w:r>
          </w:p>
        </w:tc>
        <w:tc>
          <w:tcPr>
            <w:tcW w:w="1822" w:type="dxa"/>
            <w:tcBorders>
              <w:top w:val="single" w:sz="4" w:space="0" w:color="auto"/>
              <w:left w:val="single" w:sz="4" w:space="0" w:color="auto"/>
              <w:bottom w:val="single" w:sz="4" w:space="0" w:color="auto"/>
              <w:right w:val="single" w:sz="4" w:space="0" w:color="auto"/>
            </w:tcBorders>
            <w:vAlign w:val="center"/>
          </w:tcPr>
          <w:p w14:paraId="1B6805BA"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CSI-RS resource</w:t>
            </w:r>
            <w:r w:rsidRPr="00FA1FB5">
              <w:rPr>
                <w:rFonts w:ascii="Arial" w:eastAsia="SimSun" w:hAnsi="Arial" w:hint="eastAsia"/>
                <w:sz w:val="18"/>
                <w:lang w:val="en-US"/>
              </w:rPr>
              <w:t xml:space="preserve"> </w:t>
            </w:r>
            <w:r w:rsidRPr="00FA1FB5">
              <w:rPr>
                <w:rFonts w:ascii="Arial" w:eastAsia="SimSun" w:hAnsi="Arial"/>
                <w:sz w:val="18"/>
                <w:lang w:val="en-US"/>
              </w:rPr>
              <w:t>Type</w:t>
            </w:r>
          </w:p>
        </w:tc>
        <w:tc>
          <w:tcPr>
            <w:tcW w:w="912" w:type="dxa"/>
            <w:tcBorders>
              <w:top w:val="single" w:sz="4" w:space="0" w:color="auto"/>
              <w:left w:val="single" w:sz="4" w:space="0" w:color="auto"/>
              <w:bottom w:val="single" w:sz="4" w:space="0" w:color="auto"/>
              <w:right w:val="single" w:sz="4" w:space="0" w:color="auto"/>
            </w:tcBorders>
            <w:vAlign w:val="center"/>
          </w:tcPr>
          <w:p w14:paraId="00B08060"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E398126" w14:textId="77777777" w:rsidR="009F2BA2" w:rsidRPr="00FA1FB5" w:rsidRDefault="009F2BA2" w:rsidP="009F2BA2">
            <w:pPr>
              <w:keepNext/>
              <w:keepLines/>
              <w:spacing w:after="0"/>
              <w:jc w:val="center"/>
              <w:rPr>
                <w:rFonts w:ascii="Arial" w:eastAsia="SimSun" w:hAnsi="Arial"/>
                <w:sz w:val="18"/>
                <w:highlight w:val="yellow"/>
                <w:lang w:val="en-US" w:eastAsia="zh-CN"/>
              </w:rPr>
            </w:pPr>
            <w:r w:rsidRPr="00D5656D">
              <w:rPr>
                <w:rFonts w:ascii="Arial" w:eastAsia="SimSun" w:hAnsi="Arial"/>
                <w:sz w:val="18"/>
                <w:lang w:eastAsia="zh-CN"/>
              </w:rPr>
              <w:t>Periodic</w:t>
            </w:r>
          </w:p>
        </w:tc>
      </w:tr>
      <w:tr w:rsidR="009F2BA2" w:rsidRPr="0061289A" w14:paraId="5638665D" w14:textId="77777777" w:rsidTr="003A71DE">
        <w:trPr>
          <w:trHeight w:val="230"/>
          <w:jc w:val="center"/>
        </w:trPr>
        <w:tc>
          <w:tcPr>
            <w:tcW w:w="1481" w:type="dxa"/>
            <w:vMerge/>
            <w:tcBorders>
              <w:left w:val="single" w:sz="4" w:space="0" w:color="auto"/>
              <w:right w:val="single" w:sz="4" w:space="0" w:color="auto"/>
            </w:tcBorders>
            <w:vAlign w:val="center"/>
          </w:tcPr>
          <w:p w14:paraId="0C5B07FC"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vAlign w:val="center"/>
          </w:tcPr>
          <w:p w14:paraId="1B4E0E17"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Number of CSI-RS ports (</w:t>
            </w:r>
            <w:r w:rsidRPr="00FA1FB5">
              <w:rPr>
                <w:rFonts w:ascii="Arial" w:eastAsia="SimSun" w:hAnsi="Arial"/>
                <w:i/>
                <w:sz w:val="18"/>
                <w:lang w:val="en-US"/>
              </w:rPr>
              <w:t>X</w:t>
            </w:r>
            <w:r w:rsidRPr="00FA1FB5">
              <w:rPr>
                <w:rFonts w:ascii="Arial" w:eastAsia="SimSun" w:hAnsi="Arial"/>
                <w:sz w:val="18"/>
                <w:lang w:val="en-US"/>
              </w:rPr>
              <w:t>)</w:t>
            </w:r>
          </w:p>
        </w:tc>
        <w:tc>
          <w:tcPr>
            <w:tcW w:w="912" w:type="dxa"/>
            <w:tcBorders>
              <w:top w:val="single" w:sz="4" w:space="0" w:color="auto"/>
              <w:left w:val="single" w:sz="4" w:space="0" w:color="auto"/>
              <w:bottom w:val="single" w:sz="4" w:space="0" w:color="auto"/>
              <w:right w:val="single" w:sz="4" w:space="0" w:color="auto"/>
            </w:tcBorders>
            <w:vAlign w:val="center"/>
          </w:tcPr>
          <w:p w14:paraId="1C7F3D08"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585529FB"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2</w:t>
            </w:r>
          </w:p>
        </w:tc>
      </w:tr>
      <w:tr w:rsidR="009F2BA2" w:rsidRPr="0061289A" w14:paraId="2C519FB9" w14:textId="77777777" w:rsidTr="003A71DE">
        <w:trPr>
          <w:trHeight w:val="230"/>
          <w:jc w:val="center"/>
        </w:trPr>
        <w:tc>
          <w:tcPr>
            <w:tcW w:w="1481" w:type="dxa"/>
            <w:vMerge/>
            <w:tcBorders>
              <w:left w:val="single" w:sz="4" w:space="0" w:color="auto"/>
              <w:right w:val="single" w:sz="4" w:space="0" w:color="auto"/>
            </w:tcBorders>
            <w:vAlign w:val="center"/>
            <w:hideMark/>
          </w:tcPr>
          <w:p w14:paraId="4CBBD201"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vAlign w:val="center"/>
          </w:tcPr>
          <w:p w14:paraId="5C74507F"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CDM Type</w:t>
            </w:r>
          </w:p>
        </w:tc>
        <w:tc>
          <w:tcPr>
            <w:tcW w:w="912" w:type="dxa"/>
            <w:tcBorders>
              <w:top w:val="single" w:sz="4" w:space="0" w:color="auto"/>
              <w:left w:val="single" w:sz="4" w:space="0" w:color="auto"/>
              <w:bottom w:val="single" w:sz="4" w:space="0" w:color="auto"/>
              <w:right w:val="single" w:sz="4" w:space="0" w:color="auto"/>
            </w:tcBorders>
            <w:vAlign w:val="center"/>
          </w:tcPr>
          <w:p w14:paraId="7540F3B2"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57D1F284"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FD-CDM2</w:t>
            </w:r>
          </w:p>
        </w:tc>
      </w:tr>
      <w:tr w:rsidR="009F2BA2" w:rsidRPr="0061289A" w14:paraId="10BEF90E" w14:textId="77777777" w:rsidTr="003A71DE">
        <w:trPr>
          <w:trHeight w:val="230"/>
          <w:jc w:val="center"/>
        </w:trPr>
        <w:tc>
          <w:tcPr>
            <w:tcW w:w="1481" w:type="dxa"/>
            <w:vMerge/>
            <w:tcBorders>
              <w:left w:val="single" w:sz="4" w:space="0" w:color="auto"/>
              <w:right w:val="single" w:sz="4" w:space="0" w:color="auto"/>
            </w:tcBorders>
            <w:vAlign w:val="center"/>
            <w:hideMark/>
          </w:tcPr>
          <w:p w14:paraId="52695A04"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vAlign w:val="center"/>
          </w:tcPr>
          <w:p w14:paraId="2EAF352E"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Density (ρ)</w:t>
            </w:r>
          </w:p>
        </w:tc>
        <w:tc>
          <w:tcPr>
            <w:tcW w:w="912" w:type="dxa"/>
            <w:tcBorders>
              <w:top w:val="single" w:sz="4" w:space="0" w:color="auto"/>
              <w:left w:val="single" w:sz="4" w:space="0" w:color="auto"/>
              <w:bottom w:val="single" w:sz="4" w:space="0" w:color="auto"/>
              <w:right w:val="single" w:sz="4" w:space="0" w:color="auto"/>
            </w:tcBorders>
            <w:vAlign w:val="center"/>
          </w:tcPr>
          <w:p w14:paraId="1297E481"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6825E494"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w:t>
            </w:r>
          </w:p>
        </w:tc>
      </w:tr>
      <w:tr w:rsidR="009F2BA2" w:rsidRPr="0061289A" w14:paraId="4AA9CDBB" w14:textId="77777777" w:rsidTr="003A71DE">
        <w:trPr>
          <w:trHeight w:val="230"/>
          <w:jc w:val="center"/>
        </w:trPr>
        <w:tc>
          <w:tcPr>
            <w:tcW w:w="1481" w:type="dxa"/>
            <w:vMerge/>
            <w:tcBorders>
              <w:left w:val="single" w:sz="4" w:space="0" w:color="auto"/>
              <w:right w:val="single" w:sz="4" w:space="0" w:color="auto"/>
            </w:tcBorders>
            <w:vAlign w:val="center"/>
            <w:hideMark/>
          </w:tcPr>
          <w:p w14:paraId="09654829" w14:textId="77777777" w:rsidR="009F2BA2" w:rsidRPr="00FA1FB5" w:rsidRDefault="009F2BA2" w:rsidP="009F2BA2">
            <w:pPr>
              <w:keepNext/>
              <w:keepLines/>
              <w:spacing w:after="0"/>
              <w:rPr>
                <w:rFonts w:ascii="Arial" w:hAnsi="Arial"/>
                <w:b/>
                <w:sz w:val="18"/>
                <w:lang w:val="en-US"/>
              </w:rPr>
            </w:pPr>
          </w:p>
        </w:tc>
        <w:tc>
          <w:tcPr>
            <w:tcW w:w="1822" w:type="dxa"/>
            <w:tcBorders>
              <w:top w:val="single" w:sz="4" w:space="0" w:color="auto"/>
              <w:left w:val="single" w:sz="4" w:space="0" w:color="auto"/>
              <w:bottom w:val="single" w:sz="4" w:space="0" w:color="auto"/>
              <w:right w:val="single" w:sz="4" w:space="0" w:color="auto"/>
            </w:tcBorders>
            <w:vAlign w:val="center"/>
          </w:tcPr>
          <w:p w14:paraId="0D8DF79B"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First subcarrier index in the PRB used for CSI-RS</w:t>
            </w:r>
            <w:r w:rsidRPr="00FA1FB5" w:rsidDel="0032520A">
              <w:rPr>
                <w:rFonts w:ascii="Arial" w:eastAsia="SimSun" w:hAnsi="Arial"/>
                <w:sz w:val="18"/>
                <w:lang w:val="en-US"/>
              </w:rPr>
              <w:t xml:space="preserve"> </w:t>
            </w:r>
            <w:r w:rsidRPr="00FA1FB5">
              <w:rPr>
                <w:rFonts w:ascii="Arial" w:eastAsia="SimSun" w:hAnsi="Arial"/>
                <w:sz w:val="18"/>
                <w:lang w:val="en-US"/>
              </w:rPr>
              <w:t>(k</w:t>
            </w:r>
            <w:r w:rsidRPr="00FA1FB5">
              <w:rPr>
                <w:rFonts w:ascii="Arial" w:eastAsia="SimSun" w:hAnsi="Arial"/>
                <w:sz w:val="18"/>
                <w:vertAlign w:val="subscript"/>
                <w:lang w:val="en-US"/>
              </w:rPr>
              <w:t>0</w:t>
            </w:r>
            <w:r w:rsidRPr="00FA1FB5">
              <w:rPr>
                <w:rFonts w:ascii="Arial" w:eastAsia="SimSun" w:hAnsi="Arial"/>
                <w:sz w:val="18"/>
                <w:lang w:val="en-US"/>
              </w:rPr>
              <w:t>, k</w:t>
            </w:r>
            <w:r w:rsidRPr="00FA1FB5">
              <w:rPr>
                <w:rFonts w:ascii="Arial" w:eastAsia="SimSun" w:hAnsi="Arial"/>
                <w:sz w:val="18"/>
                <w:vertAlign w:val="subscript"/>
                <w:lang w:val="en-US"/>
              </w:rPr>
              <w:t>1</w:t>
            </w:r>
            <w:r w:rsidRPr="00FA1FB5">
              <w:rPr>
                <w:rFonts w:ascii="Arial" w:eastAsia="SimSun" w:hAnsi="Arial"/>
                <w:sz w:val="18"/>
                <w:lang w:val="en-US"/>
              </w:rPr>
              <w:t xml:space="preserve"> )</w:t>
            </w:r>
          </w:p>
        </w:tc>
        <w:tc>
          <w:tcPr>
            <w:tcW w:w="912" w:type="dxa"/>
            <w:tcBorders>
              <w:top w:val="single" w:sz="4" w:space="0" w:color="auto"/>
              <w:left w:val="single" w:sz="4" w:space="0" w:color="auto"/>
              <w:bottom w:val="single" w:sz="4" w:space="0" w:color="auto"/>
              <w:right w:val="single" w:sz="4" w:space="0" w:color="auto"/>
            </w:tcBorders>
            <w:vAlign w:val="center"/>
          </w:tcPr>
          <w:p w14:paraId="1A60BD51"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C4B9542"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Row 3, (6,-)</w:t>
            </w:r>
          </w:p>
        </w:tc>
      </w:tr>
      <w:tr w:rsidR="009F2BA2" w:rsidRPr="0061289A" w14:paraId="32846B96" w14:textId="77777777" w:rsidTr="003A71DE">
        <w:trPr>
          <w:trHeight w:val="230"/>
          <w:jc w:val="center"/>
        </w:trPr>
        <w:tc>
          <w:tcPr>
            <w:tcW w:w="1481" w:type="dxa"/>
            <w:vMerge/>
            <w:tcBorders>
              <w:left w:val="single" w:sz="4" w:space="0" w:color="auto"/>
              <w:right w:val="single" w:sz="4" w:space="0" w:color="auto"/>
            </w:tcBorders>
            <w:vAlign w:val="center"/>
            <w:hideMark/>
          </w:tcPr>
          <w:p w14:paraId="6F466715"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vAlign w:val="center"/>
          </w:tcPr>
          <w:p w14:paraId="7AED7CE6"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First OFDM symbol in the PRB used for CSI-RS (l</w:t>
            </w:r>
            <w:r w:rsidRPr="00FA1FB5">
              <w:rPr>
                <w:rFonts w:ascii="Arial" w:eastAsia="SimSun" w:hAnsi="Arial"/>
                <w:sz w:val="18"/>
                <w:vertAlign w:val="subscript"/>
                <w:lang w:val="en-US"/>
              </w:rPr>
              <w:t>0</w:t>
            </w:r>
            <w:r w:rsidRPr="00FA1FB5">
              <w:rPr>
                <w:rFonts w:ascii="Arial" w:eastAsia="SimSun" w:hAnsi="Arial"/>
                <w:sz w:val="18"/>
                <w:lang w:val="en-US"/>
              </w:rPr>
              <w:t>, l</w:t>
            </w:r>
            <w:r w:rsidRPr="00FA1FB5">
              <w:rPr>
                <w:rFonts w:ascii="Arial" w:eastAsia="SimSun" w:hAnsi="Arial"/>
                <w:sz w:val="18"/>
                <w:vertAlign w:val="subscript"/>
                <w:lang w:val="en-US"/>
              </w:rPr>
              <w:t>1</w:t>
            </w:r>
            <w:r w:rsidRPr="00FA1FB5">
              <w:rPr>
                <w:rFonts w:ascii="Arial" w:eastAsia="SimSun" w:hAnsi="Arial"/>
                <w:sz w:val="18"/>
                <w:lang w:val="en-US"/>
              </w:rPr>
              <w:t>)</w:t>
            </w:r>
          </w:p>
        </w:tc>
        <w:tc>
          <w:tcPr>
            <w:tcW w:w="912" w:type="dxa"/>
            <w:tcBorders>
              <w:top w:val="single" w:sz="4" w:space="0" w:color="auto"/>
              <w:left w:val="single" w:sz="4" w:space="0" w:color="auto"/>
              <w:bottom w:val="single" w:sz="4" w:space="0" w:color="auto"/>
              <w:right w:val="single" w:sz="4" w:space="0" w:color="auto"/>
            </w:tcBorders>
            <w:vAlign w:val="center"/>
          </w:tcPr>
          <w:p w14:paraId="03DD6F88"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610C5E24"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(13,-)</w:t>
            </w:r>
          </w:p>
        </w:tc>
      </w:tr>
      <w:tr w:rsidR="009F2BA2" w:rsidRPr="0061289A" w14:paraId="17540AD6" w14:textId="77777777" w:rsidTr="003A71DE">
        <w:trPr>
          <w:trHeight w:val="230"/>
          <w:jc w:val="center"/>
        </w:trPr>
        <w:tc>
          <w:tcPr>
            <w:tcW w:w="1481" w:type="dxa"/>
            <w:vMerge/>
            <w:tcBorders>
              <w:left w:val="single" w:sz="4" w:space="0" w:color="auto"/>
              <w:right w:val="single" w:sz="4" w:space="0" w:color="auto"/>
            </w:tcBorders>
            <w:vAlign w:val="center"/>
          </w:tcPr>
          <w:p w14:paraId="1D203189"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vAlign w:val="center"/>
          </w:tcPr>
          <w:p w14:paraId="771918A7"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CSI-RS</w:t>
            </w:r>
          </w:p>
          <w:p w14:paraId="18D3AE3D"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hint="eastAsia"/>
                <w:sz w:val="18"/>
                <w:lang w:val="en-US" w:eastAsia="zh-CN"/>
              </w:rPr>
              <w:t>interval</w:t>
            </w:r>
            <w:r w:rsidRPr="00FA1FB5">
              <w:rPr>
                <w:rFonts w:ascii="Arial" w:eastAsia="SimSun" w:hAnsi="Arial"/>
                <w:sz w:val="18"/>
                <w:lang w:val="en-US"/>
              </w:rPr>
              <w:t xml:space="preserve"> and offset</w:t>
            </w:r>
          </w:p>
        </w:tc>
        <w:tc>
          <w:tcPr>
            <w:tcW w:w="912" w:type="dxa"/>
            <w:tcBorders>
              <w:top w:val="single" w:sz="4" w:space="0" w:color="auto"/>
              <w:left w:val="single" w:sz="4" w:space="0" w:color="auto"/>
              <w:bottom w:val="single" w:sz="4" w:space="0" w:color="auto"/>
              <w:right w:val="single" w:sz="4" w:space="0" w:color="auto"/>
            </w:tcBorders>
            <w:vAlign w:val="center"/>
          </w:tcPr>
          <w:p w14:paraId="0BD01F79" w14:textId="77777777" w:rsidR="009F2BA2" w:rsidRPr="00FA1FB5" w:rsidRDefault="009F2BA2" w:rsidP="009F2BA2">
            <w:pPr>
              <w:keepNext/>
              <w:keepLines/>
              <w:spacing w:after="0"/>
              <w:jc w:val="center"/>
              <w:rPr>
                <w:rFonts w:ascii="Arial" w:hAnsi="Arial"/>
                <w:sz w:val="18"/>
                <w:lang w:val="en-US"/>
              </w:rPr>
            </w:pPr>
            <w:r w:rsidRPr="00FA1FB5">
              <w:rPr>
                <w:rFonts w:ascii="Arial" w:eastAsia="SimSun" w:hAnsi="Arial" w:hint="eastAsia"/>
                <w:sz w:val="18"/>
                <w:lang w:val="en-US" w:eastAsia="zh-CN"/>
              </w:rPr>
              <w:t>slot</w:t>
            </w:r>
          </w:p>
        </w:tc>
        <w:tc>
          <w:tcPr>
            <w:tcW w:w="1524" w:type="dxa"/>
            <w:tcBorders>
              <w:top w:val="single" w:sz="4" w:space="0" w:color="auto"/>
              <w:left w:val="single" w:sz="4" w:space="0" w:color="auto"/>
              <w:bottom w:val="single" w:sz="4" w:space="0" w:color="auto"/>
              <w:right w:val="single" w:sz="4" w:space="0" w:color="auto"/>
            </w:tcBorders>
            <w:vAlign w:val="center"/>
          </w:tcPr>
          <w:p w14:paraId="4A54191B" w14:textId="77777777" w:rsidR="009F2BA2" w:rsidRPr="00F52C4F" w:rsidRDefault="009F2BA2" w:rsidP="009F2BA2">
            <w:pPr>
              <w:keepNext/>
              <w:keepLines/>
              <w:spacing w:after="0"/>
              <w:jc w:val="center"/>
              <w:rPr>
                <w:rFonts w:ascii="Arial" w:eastAsia="SimSun" w:hAnsi="Arial"/>
                <w:sz w:val="18"/>
                <w:lang w:eastAsia="zh-CN"/>
              </w:rPr>
            </w:pPr>
            <w:r w:rsidRPr="00F52C4F">
              <w:rPr>
                <w:rFonts w:ascii="Arial" w:eastAsia="SimSun" w:hAnsi="Arial"/>
                <w:sz w:val="18"/>
                <w:lang w:eastAsia="zh-CN"/>
              </w:rPr>
              <w:t>8/1</w:t>
            </w:r>
          </w:p>
        </w:tc>
      </w:tr>
      <w:tr w:rsidR="009F2BA2" w:rsidRPr="0061289A" w14:paraId="453271ED"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0E30680C"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ReportConfigType</w:t>
            </w:r>
          </w:p>
        </w:tc>
        <w:tc>
          <w:tcPr>
            <w:tcW w:w="912" w:type="dxa"/>
            <w:tcBorders>
              <w:top w:val="single" w:sz="4" w:space="0" w:color="auto"/>
              <w:left w:val="single" w:sz="4" w:space="0" w:color="auto"/>
              <w:bottom w:val="single" w:sz="4" w:space="0" w:color="auto"/>
              <w:right w:val="single" w:sz="4" w:space="0" w:color="auto"/>
            </w:tcBorders>
            <w:vAlign w:val="center"/>
          </w:tcPr>
          <w:p w14:paraId="72143F97"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DD87CA5" w14:textId="77777777" w:rsidR="009F2BA2" w:rsidRPr="009C24B1" w:rsidRDefault="009F2BA2" w:rsidP="009F2BA2">
            <w:pPr>
              <w:keepNext/>
              <w:keepLines/>
              <w:spacing w:after="0"/>
              <w:jc w:val="center"/>
              <w:rPr>
                <w:rFonts w:ascii="Arial" w:eastAsia="SimSun" w:hAnsi="Arial"/>
                <w:sz w:val="18"/>
                <w:highlight w:val="yellow"/>
                <w:lang w:eastAsia="zh-CN"/>
              </w:rPr>
            </w:pPr>
            <w:r w:rsidRPr="00D5656D">
              <w:rPr>
                <w:rFonts w:ascii="Arial" w:eastAsia="SimSun" w:hAnsi="Arial"/>
                <w:sz w:val="18"/>
                <w:lang w:eastAsia="zh-CN"/>
              </w:rPr>
              <w:t>Periodic</w:t>
            </w:r>
          </w:p>
        </w:tc>
      </w:tr>
      <w:tr w:rsidR="009F2BA2" w:rsidRPr="0061289A" w14:paraId="416F5B27"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3B495C7A"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CQI-table</w:t>
            </w:r>
          </w:p>
        </w:tc>
        <w:tc>
          <w:tcPr>
            <w:tcW w:w="912" w:type="dxa"/>
            <w:tcBorders>
              <w:top w:val="single" w:sz="4" w:space="0" w:color="auto"/>
              <w:left w:val="single" w:sz="4" w:space="0" w:color="auto"/>
              <w:bottom w:val="single" w:sz="4" w:space="0" w:color="auto"/>
              <w:right w:val="single" w:sz="4" w:space="0" w:color="auto"/>
            </w:tcBorders>
            <w:vAlign w:val="center"/>
          </w:tcPr>
          <w:p w14:paraId="086D83D3"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6C66DE69"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Table 1</w:t>
            </w:r>
          </w:p>
        </w:tc>
      </w:tr>
      <w:tr w:rsidR="009F2BA2" w:rsidRPr="0061289A" w14:paraId="3370F523"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6808CE7E"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reportQuantity</w:t>
            </w:r>
          </w:p>
        </w:tc>
        <w:tc>
          <w:tcPr>
            <w:tcW w:w="912" w:type="dxa"/>
            <w:tcBorders>
              <w:top w:val="single" w:sz="4" w:space="0" w:color="auto"/>
              <w:left w:val="single" w:sz="4" w:space="0" w:color="auto"/>
              <w:bottom w:val="single" w:sz="4" w:space="0" w:color="auto"/>
              <w:right w:val="single" w:sz="4" w:space="0" w:color="auto"/>
            </w:tcBorders>
            <w:vAlign w:val="center"/>
          </w:tcPr>
          <w:p w14:paraId="34E6A41F"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F3305C4" w14:textId="77777777" w:rsidR="009F2BA2" w:rsidRPr="00FA1FB5" w:rsidRDefault="009F2BA2" w:rsidP="009F2BA2">
            <w:pPr>
              <w:keepNext/>
              <w:keepLines/>
              <w:spacing w:after="0"/>
              <w:jc w:val="center"/>
              <w:rPr>
                <w:rFonts w:ascii="Arial" w:hAnsi="Arial"/>
                <w:sz w:val="18"/>
                <w:lang w:val="en-US"/>
              </w:rPr>
            </w:pPr>
            <w:r w:rsidRPr="00FA1FB5">
              <w:rPr>
                <w:rFonts w:ascii="Arial" w:eastAsia="SimSun" w:hAnsi="Arial"/>
                <w:sz w:val="18"/>
                <w:lang w:val="en-US" w:eastAsia="zh-CN"/>
              </w:rPr>
              <w:t>cri-RI-PMI-CQI</w:t>
            </w:r>
          </w:p>
        </w:tc>
      </w:tr>
      <w:tr w:rsidR="009F2BA2" w:rsidRPr="0061289A" w14:paraId="303D36BB"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0F791DC1"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cqi-FormatIndicator</w:t>
            </w:r>
          </w:p>
        </w:tc>
        <w:tc>
          <w:tcPr>
            <w:tcW w:w="912" w:type="dxa"/>
            <w:tcBorders>
              <w:top w:val="single" w:sz="4" w:space="0" w:color="auto"/>
              <w:left w:val="single" w:sz="4" w:space="0" w:color="auto"/>
              <w:bottom w:val="single" w:sz="4" w:space="0" w:color="auto"/>
              <w:right w:val="single" w:sz="4" w:space="0" w:color="auto"/>
            </w:tcBorders>
            <w:vAlign w:val="center"/>
          </w:tcPr>
          <w:p w14:paraId="34772704"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5A209D3E"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Wideband</w:t>
            </w:r>
          </w:p>
        </w:tc>
      </w:tr>
      <w:tr w:rsidR="009F2BA2" w:rsidRPr="0061289A" w14:paraId="6E2FEBBF"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37696A4B"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pmi-FormatIndicator</w:t>
            </w:r>
            <w:r w:rsidRPr="00FA1FB5">
              <w:rPr>
                <w:rFonts w:ascii="Arial" w:eastAsia="SimSun" w:hAnsi="Arial"/>
                <w:i/>
                <w:sz w:val="18"/>
                <w:lang w:val="en-US"/>
              </w:rPr>
              <w:t xml:space="preserve">  </w:t>
            </w:r>
          </w:p>
        </w:tc>
        <w:tc>
          <w:tcPr>
            <w:tcW w:w="912" w:type="dxa"/>
            <w:tcBorders>
              <w:top w:val="single" w:sz="4" w:space="0" w:color="auto"/>
              <w:left w:val="single" w:sz="4" w:space="0" w:color="auto"/>
              <w:bottom w:val="single" w:sz="4" w:space="0" w:color="auto"/>
              <w:right w:val="single" w:sz="4" w:space="0" w:color="auto"/>
            </w:tcBorders>
            <w:vAlign w:val="center"/>
          </w:tcPr>
          <w:p w14:paraId="621F8839"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6EB9EFC3"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Wideband</w:t>
            </w:r>
          </w:p>
        </w:tc>
      </w:tr>
      <w:tr w:rsidR="009F2BA2" w:rsidRPr="0061289A" w14:paraId="3EC26288"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3F73EB68"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Sub-band Size</w:t>
            </w:r>
          </w:p>
        </w:tc>
        <w:tc>
          <w:tcPr>
            <w:tcW w:w="912" w:type="dxa"/>
            <w:tcBorders>
              <w:top w:val="single" w:sz="4" w:space="0" w:color="auto"/>
              <w:left w:val="single" w:sz="4" w:space="0" w:color="auto"/>
              <w:bottom w:val="single" w:sz="4" w:space="0" w:color="auto"/>
              <w:right w:val="single" w:sz="4" w:space="0" w:color="auto"/>
            </w:tcBorders>
            <w:vAlign w:val="center"/>
          </w:tcPr>
          <w:p w14:paraId="5D1AD9B5" w14:textId="77777777" w:rsidR="009F2BA2" w:rsidRPr="00FA1FB5" w:rsidRDefault="009F2BA2" w:rsidP="009F2BA2">
            <w:pPr>
              <w:keepNext/>
              <w:keepLines/>
              <w:spacing w:after="0"/>
              <w:jc w:val="center"/>
              <w:rPr>
                <w:rFonts w:ascii="Arial" w:hAnsi="Arial"/>
                <w:sz w:val="18"/>
                <w:lang w:val="en-US"/>
              </w:rPr>
            </w:pPr>
            <w:r w:rsidRPr="00FA1FB5">
              <w:rPr>
                <w:rFonts w:ascii="Arial" w:eastAsia="SimSun" w:hAnsi="Arial"/>
                <w:sz w:val="18"/>
                <w:lang w:val="en-US"/>
              </w:rPr>
              <w:t>RB</w:t>
            </w:r>
          </w:p>
        </w:tc>
        <w:tc>
          <w:tcPr>
            <w:tcW w:w="1524" w:type="dxa"/>
            <w:tcBorders>
              <w:top w:val="single" w:sz="4" w:space="0" w:color="auto"/>
              <w:left w:val="single" w:sz="4" w:space="0" w:color="auto"/>
              <w:bottom w:val="single" w:sz="4" w:space="0" w:color="auto"/>
              <w:right w:val="single" w:sz="4" w:space="0" w:color="auto"/>
            </w:tcBorders>
            <w:vAlign w:val="center"/>
          </w:tcPr>
          <w:p w14:paraId="6A1EE84B"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hAnsi="Arial"/>
                <w:sz w:val="18"/>
                <w:lang w:val="en-US"/>
              </w:rPr>
              <w:t>8</w:t>
            </w:r>
          </w:p>
        </w:tc>
      </w:tr>
      <w:tr w:rsidR="009F2BA2" w:rsidRPr="0061289A" w14:paraId="3FEC7CA2"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424ADAB7"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csi-ReportingBand</w:t>
            </w:r>
          </w:p>
        </w:tc>
        <w:tc>
          <w:tcPr>
            <w:tcW w:w="912" w:type="dxa"/>
            <w:tcBorders>
              <w:top w:val="single" w:sz="4" w:space="0" w:color="auto"/>
              <w:left w:val="single" w:sz="4" w:space="0" w:color="auto"/>
              <w:bottom w:val="single" w:sz="4" w:space="0" w:color="auto"/>
              <w:right w:val="single" w:sz="4" w:space="0" w:color="auto"/>
            </w:tcBorders>
            <w:vAlign w:val="center"/>
          </w:tcPr>
          <w:p w14:paraId="4CB57A1E"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691AB05B"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hAnsi="Arial"/>
                <w:sz w:val="18"/>
                <w:lang w:val="en-US"/>
              </w:rPr>
              <w:t>111111111</w:t>
            </w:r>
          </w:p>
        </w:tc>
      </w:tr>
      <w:tr w:rsidR="009F2BA2" w:rsidRPr="0061289A" w14:paraId="7FDD4BD4"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6E762A11"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 xml:space="preserve">CSI-Report </w:t>
            </w:r>
            <w:r w:rsidRPr="00FA1FB5">
              <w:rPr>
                <w:rFonts w:ascii="Arial" w:eastAsia="SimSun" w:hAnsi="Arial" w:hint="eastAsia"/>
                <w:sz w:val="18"/>
                <w:lang w:val="en-US" w:eastAsia="zh-CN"/>
              </w:rPr>
              <w:t>interval</w:t>
            </w:r>
            <w:r w:rsidRPr="00FA1FB5">
              <w:rPr>
                <w:rFonts w:ascii="Arial" w:eastAsia="SimSun" w:hAnsi="Arial"/>
                <w:sz w:val="18"/>
                <w:lang w:val="en-US"/>
              </w:rPr>
              <w:t xml:space="preserve"> and offset</w:t>
            </w:r>
          </w:p>
        </w:tc>
        <w:tc>
          <w:tcPr>
            <w:tcW w:w="912" w:type="dxa"/>
            <w:tcBorders>
              <w:top w:val="single" w:sz="4" w:space="0" w:color="auto"/>
              <w:left w:val="single" w:sz="4" w:space="0" w:color="auto"/>
              <w:bottom w:val="single" w:sz="4" w:space="0" w:color="auto"/>
              <w:right w:val="single" w:sz="4" w:space="0" w:color="auto"/>
            </w:tcBorders>
            <w:vAlign w:val="center"/>
          </w:tcPr>
          <w:p w14:paraId="4638B880"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slot</w:t>
            </w:r>
          </w:p>
        </w:tc>
        <w:tc>
          <w:tcPr>
            <w:tcW w:w="1524" w:type="dxa"/>
            <w:tcBorders>
              <w:top w:val="single" w:sz="4" w:space="0" w:color="auto"/>
              <w:left w:val="single" w:sz="4" w:space="0" w:color="auto"/>
              <w:bottom w:val="single" w:sz="4" w:space="0" w:color="auto"/>
              <w:right w:val="single" w:sz="4" w:space="0" w:color="auto"/>
            </w:tcBorders>
            <w:vAlign w:val="center"/>
          </w:tcPr>
          <w:p w14:paraId="090AD6C0" w14:textId="77777777" w:rsidR="009F2BA2" w:rsidRPr="00A246BC" w:rsidRDefault="009F2BA2" w:rsidP="009F2BA2">
            <w:pPr>
              <w:keepNext/>
              <w:keepLines/>
              <w:spacing w:after="0"/>
              <w:jc w:val="center"/>
              <w:rPr>
                <w:rFonts w:ascii="Arial" w:eastAsia="SimSun" w:hAnsi="Arial"/>
                <w:sz w:val="18"/>
                <w:lang w:eastAsia="zh-CN"/>
              </w:rPr>
            </w:pPr>
            <w:r>
              <w:rPr>
                <w:rFonts w:ascii="Arial" w:eastAsia="SimSun" w:hAnsi="Arial"/>
                <w:sz w:val="18"/>
                <w:lang w:eastAsia="zh-CN"/>
              </w:rPr>
              <w:t>8/3</w:t>
            </w:r>
          </w:p>
        </w:tc>
      </w:tr>
      <w:tr w:rsidR="009F2BA2" w:rsidRPr="0061289A" w14:paraId="3E48DD40" w14:textId="77777777" w:rsidTr="003A71DE">
        <w:trPr>
          <w:trHeight w:val="230"/>
          <w:jc w:val="center"/>
        </w:trPr>
        <w:tc>
          <w:tcPr>
            <w:tcW w:w="1481" w:type="dxa"/>
            <w:vMerge w:val="restart"/>
            <w:tcBorders>
              <w:top w:val="single" w:sz="4" w:space="0" w:color="auto"/>
              <w:left w:val="single" w:sz="4" w:space="0" w:color="auto"/>
              <w:right w:val="single" w:sz="4" w:space="0" w:color="auto"/>
            </w:tcBorders>
            <w:vAlign w:val="center"/>
            <w:hideMark/>
          </w:tcPr>
          <w:p w14:paraId="67B2FA2D"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Codebook configuration</w:t>
            </w:r>
          </w:p>
        </w:tc>
        <w:tc>
          <w:tcPr>
            <w:tcW w:w="1822" w:type="dxa"/>
            <w:tcBorders>
              <w:top w:val="single" w:sz="4" w:space="0" w:color="auto"/>
              <w:left w:val="single" w:sz="4" w:space="0" w:color="auto"/>
              <w:bottom w:val="single" w:sz="4" w:space="0" w:color="auto"/>
              <w:right w:val="single" w:sz="4" w:space="0" w:color="auto"/>
            </w:tcBorders>
          </w:tcPr>
          <w:p w14:paraId="58347B6B"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Codebook Type</w:t>
            </w:r>
          </w:p>
        </w:tc>
        <w:tc>
          <w:tcPr>
            <w:tcW w:w="912" w:type="dxa"/>
            <w:tcBorders>
              <w:top w:val="single" w:sz="4" w:space="0" w:color="auto"/>
              <w:left w:val="single" w:sz="4" w:space="0" w:color="auto"/>
              <w:bottom w:val="single" w:sz="4" w:space="0" w:color="auto"/>
              <w:right w:val="single" w:sz="4" w:space="0" w:color="auto"/>
            </w:tcBorders>
            <w:vAlign w:val="center"/>
          </w:tcPr>
          <w:p w14:paraId="706FA75D"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6747F6B" w14:textId="77777777" w:rsidR="009F2BA2" w:rsidRPr="00FA1FB5" w:rsidRDefault="009F2BA2" w:rsidP="009F2BA2">
            <w:pPr>
              <w:keepNext/>
              <w:keepLines/>
              <w:spacing w:after="0"/>
              <w:jc w:val="center"/>
              <w:rPr>
                <w:rFonts w:ascii="Arial" w:hAnsi="Arial"/>
                <w:sz w:val="18"/>
                <w:lang w:val="en-US"/>
              </w:rPr>
            </w:pPr>
            <w:r w:rsidRPr="00FA1FB5">
              <w:rPr>
                <w:rFonts w:ascii="Arial" w:eastAsia="SimSun" w:hAnsi="Arial"/>
                <w:sz w:val="18"/>
                <w:lang w:val="en-US" w:eastAsia="zh-CN"/>
              </w:rPr>
              <w:t>typeI-SinglePanel</w:t>
            </w:r>
          </w:p>
        </w:tc>
      </w:tr>
      <w:tr w:rsidR="009F2BA2" w:rsidRPr="0061289A" w14:paraId="0726C506" w14:textId="77777777" w:rsidTr="003A71DE">
        <w:trPr>
          <w:trHeight w:val="230"/>
          <w:jc w:val="center"/>
        </w:trPr>
        <w:tc>
          <w:tcPr>
            <w:tcW w:w="1481" w:type="dxa"/>
            <w:vMerge/>
            <w:tcBorders>
              <w:left w:val="single" w:sz="4" w:space="0" w:color="auto"/>
              <w:right w:val="single" w:sz="4" w:space="0" w:color="auto"/>
            </w:tcBorders>
            <w:hideMark/>
          </w:tcPr>
          <w:p w14:paraId="0C5CAEA1"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tcPr>
          <w:p w14:paraId="5AA409D0"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Codebook Mode</w:t>
            </w:r>
          </w:p>
        </w:tc>
        <w:tc>
          <w:tcPr>
            <w:tcW w:w="912" w:type="dxa"/>
            <w:tcBorders>
              <w:top w:val="single" w:sz="4" w:space="0" w:color="auto"/>
              <w:left w:val="single" w:sz="4" w:space="0" w:color="auto"/>
              <w:bottom w:val="single" w:sz="4" w:space="0" w:color="auto"/>
              <w:right w:val="single" w:sz="4" w:space="0" w:color="auto"/>
            </w:tcBorders>
            <w:vAlign w:val="center"/>
          </w:tcPr>
          <w:p w14:paraId="62195AA9"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1B7E708"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w:t>
            </w:r>
          </w:p>
        </w:tc>
      </w:tr>
      <w:tr w:rsidR="009F2BA2" w:rsidRPr="0061289A" w14:paraId="6FC94B92" w14:textId="77777777" w:rsidTr="003A71DE">
        <w:trPr>
          <w:trHeight w:val="230"/>
          <w:jc w:val="center"/>
        </w:trPr>
        <w:tc>
          <w:tcPr>
            <w:tcW w:w="1481" w:type="dxa"/>
            <w:vMerge/>
            <w:tcBorders>
              <w:left w:val="single" w:sz="4" w:space="0" w:color="auto"/>
              <w:right w:val="single" w:sz="4" w:space="0" w:color="auto"/>
            </w:tcBorders>
            <w:hideMark/>
          </w:tcPr>
          <w:p w14:paraId="7561239D"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tcPr>
          <w:p w14:paraId="2AA023DB"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(CodebookConfig-N1,CodebookConfig-N2)</w:t>
            </w:r>
          </w:p>
        </w:tc>
        <w:tc>
          <w:tcPr>
            <w:tcW w:w="912" w:type="dxa"/>
            <w:tcBorders>
              <w:top w:val="single" w:sz="4" w:space="0" w:color="auto"/>
              <w:left w:val="single" w:sz="4" w:space="0" w:color="auto"/>
              <w:bottom w:val="single" w:sz="4" w:space="0" w:color="auto"/>
              <w:right w:val="single" w:sz="4" w:space="0" w:color="auto"/>
            </w:tcBorders>
            <w:vAlign w:val="center"/>
          </w:tcPr>
          <w:p w14:paraId="5C8C4D6B"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D82D8F1"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N/A</w:t>
            </w:r>
          </w:p>
        </w:tc>
      </w:tr>
      <w:tr w:rsidR="009F2BA2" w:rsidRPr="0061289A" w14:paraId="33B2570C" w14:textId="77777777" w:rsidTr="003A71DE">
        <w:trPr>
          <w:trHeight w:val="230"/>
          <w:jc w:val="center"/>
        </w:trPr>
        <w:tc>
          <w:tcPr>
            <w:tcW w:w="1481" w:type="dxa"/>
            <w:vMerge/>
            <w:tcBorders>
              <w:left w:val="single" w:sz="4" w:space="0" w:color="auto"/>
              <w:right w:val="single" w:sz="4" w:space="0" w:color="auto"/>
            </w:tcBorders>
            <w:hideMark/>
          </w:tcPr>
          <w:p w14:paraId="18651ED2"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tcPr>
          <w:p w14:paraId="7A5C1EA6" w14:textId="77777777" w:rsidR="009F2BA2" w:rsidRPr="00FA1FB5" w:rsidRDefault="009F2BA2" w:rsidP="009F2BA2">
            <w:pPr>
              <w:keepNext/>
              <w:keepLines/>
              <w:spacing w:after="0"/>
              <w:rPr>
                <w:rFonts w:ascii="Arial" w:hAnsi="Arial"/>
                <w:sz w:val="18"/>
                <w:lang w:val="en-US"/>
              </w:rPr>
            </w:pPr>
            <w:r w:rsidRPr="00FA1FB5">
              <w:rPr>
                <w:rFonts w:ascii="Arial" w:eastAsia="SimSun" w:hAnsi="Arial"/>
                <w:sz w:val="18"/>
                <w:lang w:val="en-US"/>
              </w:rPr>
              <w:t>CodebookSubsetRestriction</w:t>
            </w:r>
          </w:p>
        </w:tc>
        <w:tc>
          <w:tcPr>
            <w:tcW w:w="912" w:type="dxa"/>
            <w:tcBorders>
              <w:top w:val="single" w:sz="4" w:space="0" w:color="auto"/>
              <w:left w:val="single" w:sz="4" w:space="0" w:color="auto"/>
              <w:bottom w:val="single" w:sz="4" w:space="0" w:color="auto"/>
              <w:right w:val="single" w:sz="4" w:space="0" w:color="auto"/>
            </w:tcBorders>
            <w:vAlign w:val="center"/>
          </w:tcPr>
          <w:p w14:paraId="3B10C7A2"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0DC7591D"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001111</w:t>
            </w:r>
          </w:p>
        </w:tc>
      </w:tr>
      <w:tr w:rsidR="009F2BA2" w:rsidRPr="0061289A" w14:paraId="4EA7363A" w14:textId="77777777" w:rsidTr="003A71DE">
        <w:trPr>
          <w:trHeight w:val="230"/>
          <w:jc w:val="center"/>
        </w:trPr>
        <w:tc>
          <w:tcPr>
            <w:tcW w:w="1481" w:type="dxa"/>
            <w:vMerge/>
            <w:tcBorders>
              <w:left w:val="single" w:sz="4" w:space="0" w:color="auto"/>
              <w:bottom w:val="single" w:sz="4" w:space="0" w:color="auto"/>
              <w:right w:val="single" w:sz="4" w:space="0" w:color="auto"/>
            </w:tcBorders>
          </w:tcPr>
          <w:p w14:paraId="5BC232F6" w14:textId="77777777" w:rsidR="009F2BA2" w:rsidRPr="00FA1FB5" w:rsidRDefault="009F2BA2" w:rsidP="009F2BA2">
            <w:pPr>
              <w:keepNext/>
              <w:keepLines/>
              <w:spacing w:after="0"/>
              <w:rPr>
                <w:rFonts w:ascii="Arial" w:hAnsi="Arial"/>
                <w:sz w:val="18"/>
                <w:lang w:val="en-US"/>
              </w:rPr>
            </w:pPr>
          </w:p>
        </w:tc>
        <w:tc>
          <w:tcPr>
            <w:tcW w:w="1822" w:type="dxa"/>
            <w:tcBorders>
              <w:top w:val="single" w:sz="4" w:space="0" w:color="auto"/>
              <w:left w:val="single" w:sz="4" w:space="0" w:color="auto"/>
              <w:bottom w:val="single" w:sz="4" w:space="0" w:color="auto"/>
              <w:right w:val="single" w:sz="4" w:space="0" w:color="auto"/>
            </w:tcBorders>
          </w:tcPr>
          <w:p w14:paraId="4429EBC5"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RI Restriction</w:t>
            </w:r>
          </w:p>
        </w:tc>
        <w:tc>
          <w:tcPr>
            <w:tcW w:w="912" w:type="dxa"/>
            <w:tcBorders>
              <w:top w:val="single" w:sz="4" w:space="0" w:color="auto"/>
              <w:left w:val="single" w:sz="4" w:space="0" w:color="auto"/>
              <w:bottom w:val="single" w:sz="4" w:space="0" w:color="auto"/>
              <w:right w:val="single" w:sz="4" w:space="0" w:color="auto"/>
            </w:tcBorders>
            <w:vAlign w:val="center"/>
          </w:tcPr>
          <w:p w14:paraId="1746CDB2" w14:textId="77777777" w:rsidR="009F2BA2" w:rsidRPr="00FA1FB5" w:rsidRDefault="009F2BA2" w:rsidP="009F2BA2">
            <w:pPr>
              <w:keepNext/>
              <w:keepLines/>
              <w:spacing w:after="0"/>
              <w:jc w:val="center"/>
              <w:rPr>
                <w:rFonts w:ascii="Arial"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124DD313"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N/A</w:t>
            </w:r>
          </w:p>
        </w:tc>
      </w:tr>
      <w:tr w:rsidR="009F2BA2" w:rsidRPr="0061289A" w14:paraId="4D041FC8"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7FD81CFE" w14:textId="77777777" w:rsidR="009F2BA2" w:rsidRPr="00FA1FB5" w:rsidRDefault="009F2BA2" w:rsidP="009F2BA2">
            <w:pPr>
              <w:keepNext/>
              <w:keepLines/>
              <w:spacing w:after="0"/>
              <w:rPr>
                <w:rFonts w:ascii="Arial" w:eastAsia="SimSun" w:hAnsi="Arial"/>
                <w:sz w:val="18"/>
                <w:lang w:val="en-US"/>
              </w:rPr>
            </w:pPr>
            <w:r w:rsidRPr="00ED22A5">
              <w:rPr>
                <w:rFonts w:ascii="Arial" w:eastAsia="SimSun" w:hAnsi="Arial"/>
                <w:sz w:val="18"/>
              </w:rPr>
              <w:t>CQI/RI/PMI delay</w:t>
            </w:r>
          </w:p>
        </w:tc>
        <w:tc>
          <w:tcPr>
            <w:tcW w:w="912" w:type="dxa"/>
            <w:tcBorders>
              <w:top w:val="single" w:sz="4" w:space="0" w:color="auto"/>
              <w:left w:val="single" w:sz="4" w:space="0" w:color="auto"/>
              <w:bottom w:val="single" w:sz="4" w:space="0" w:color="auto"/>
              <w:right w:val="single" w:sz="4" w:space="0" w:color="auto"/>
            </w:tcBorders>
            <w:vAlign w:val="center"/>
          </w:tcPr>
          <w:p w14:paraId="20DD38E2" w14:textId="77777777" w:rsidR="009F2BA2" w:rsidRPr="00D5656D" w:rsidRDefault="009F2BA2" w:rsidP="009F2BA2">
            <w:pPr>
              <w:keepNext/>
              <w:keepLines/>
              <w:spacing w:after="0"/>
              <w:jc w:val="center"/>
              <w:rPr>
                <w:rFonts w:ascii="Arial" w:eastAsia="SimSun" w:hAnsi="Arial"/>
                <w:sz w:val="18"/>
              </w:rPr>
            </w:pPr>
            <w:r>
              <w:rPr>
                <w:rFonts w:ascii="Arial" w:eastAsia="SimSun" w:hAnsi="Arial"/>
                <w:sz w:val="18"/>
              </w:rPr>
              <w:t>ms</w:t>
            </w:r>
          </w:p>
        </w:tc>
        <w:tc>
          <w:tcPr>
            <w:tcW w:w="1524" w:type="dxa"/>
            <w:tcBorders>
              <w:top w:val="single" w:sz="4" w:space="0" w:color="auto"/>
              <w:left w:val="single" w:sz="4" w:space="0" w:color="auto"/>
              <w:bottom w:val="single" w:sz="4" w:space="0" w:color="auto"/>
              <w:right w:val="single" w:sz="4" w:space="0" w:color="auto"/>
            </w:tcBorders>
            <w:vAlign w:val="center"/>
          </w:tcPr>
          <w:p w14:paraId="61DBEC46" w14:textId="77777777" w:rsidR="009F2BA2" w:rsidRPr="00D5656D" w:rsidRDefault="009F2BA2" w:rsidP="009F2BA2">
            <w:pPr>
              <w:keepNext/>
              <w:keepLines/>
              <w:spacing w:after="0"/>
              <w:jc w:val="center"/>
              <w:rPr>
                <w:rFonts w:ascii="Arial" w:eastAsia="SimSun" w:hAnsi="Arial"/>
                <w:sz w:val="18"/>
                <w:lang w:eastAsia="zh-CN"/>
              </w:rPr>
            </w:pPr>
            <w:r>
              <w:rPr>
                <w:rFonts w:ascii="Arial" w:eastAsia="SimSun" w:hAnsi="Arial"/>
                <w:sz w:val="18"/>
                <w:lang w:eastAsia="zh-CN"/>
              </w:rPr>
              <w:t>1.75</w:t>
            </w:r>
          </w:p>
        </w:tc>
      </w:tr>
      <w:tr w:rsidR="009F2BA2" w:rsidRPr="0061289A" w14:paraId="7A754BB9"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tcPr>
          <w:p w14:paraId="32441A24"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Maximum number of HARQ transmission</w:t>
            </w:r>
          </w:p>
        </w:tc>
        <w:tc>
          <w:tcPr>
            <w:tcW w:w="912" w:type="dxa"/>
            <w:tcBorders>
              <w:top w:val="single" w:sz="4" w:space="0" w:color="auto"/>
              <w:left w:val="single" w:sz="4" w:space="0" w:color="auto"/>
              <w:bottom w:val="single" w:sz="4" w:space="0" w:color="auto"/>
              <w:right w:val="single" w:sz="4" w:space="0" w:color="auto"/>
            </w:tcBorders>
            <w:vAlign w:val="center"/>
          </w:tcPr>
          <w:p w14:paraId="79ABB2CA" w14:textId="77777777" w:rsidR="009F2BA2" w:rsidRPr="00FA1FB5" w:rsidRDefault="009F2BA2" w:rsidP="009F2BA2">
            <w:pPr>
              <w:keepNext/>
              <w:keepLines/>
              <w:spacing w:after="0"/>
              <w:jc w:val="center"/>
              <w:rPr>
                <w:rFonts w:ascii="Arial" w:eastAsia="SimSun" w:hAnsi="Arial"/>
                <w:sz w:val="18"/>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4AF6D5CF" w14:textId="77777777" w:rsidR="009F2BA2" w:rsidRPr="00FA1FB5" w:rsidRDefault="009F2BA2" w:rsidP="009F2BA2">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4</w:t>
            </w:r>
          </w:p>
        </w:tc>
      </w:tr>
      <w:tr w:rsidR="009F2BA2" w:rsidRPr="0061289A" w14:paraId="23A1B9AC" w14:textId="77777777" w:rsidTr="003A71DE">
        <w:trPr>
          <w:trHeight w:val="230"/>
          <w:jc w:val="center"/>
        </w:trPr>
        <w:tc>
          <w:tcPr>
            <w:tcW w:w="3303" w:type="dxa"/>
            <w:gridSpan w:val="2"/>
            <w:tcBorders>
              <w:top w:val="single" w:sz="4" w:space="0" w:color="auto"/>
              <w:left w:val="single" w:sz="4" w:space="0" w:color="auto"/>
              <w:bottom w:val="single" w:sz="4" w:space="0" w:color="auto"/>
              <w:right w:val="single" w:sz="4" w:space="0" w:color="auto"/>
            </w:tcBorders>
            <w:vAlign w:val="center"/>
            <w:hideMark/>
          </w:tcPr>
          <w:p w14:paraId="00E6FD22" w14:textId="77777777" w:rsidR="009F2BA2" w:rsidRPr="00D5656D" w:rsidRDefault="009F2BA2" w:rsidP="009F2BA2">
            <w:pPr>
              <w:keepNext/>
              <w:keepLines/>
              <w:spacing w:after="0"/>
              <w:rPr>
                <w:rFonts w:ascii="Arial" w:hAnsi="Arial"/>
                <w:sz w:val="18"/>
                <w:highlight w:val="yellow"/>
              </w:rPr>
            </w:pPr>
            <w:r w:rsidRPr="00D5656D">
              <w:rPr>
                <w:rFonts w:ascii="Arial" w:eastAsia="SimSun" w:hAnsi="Arial"/>
                <w:sz w:val="18"/>
              </w:rPr>
              <w:t>Measurement channel</w:t>
            </w:r>
          </w:p>
        </w:tc>
        <w:tc>
          <w:tcPr>
            <w:tcW w:w="912" w:type="dxa"/>
            <w:tcBorders>
              <w:top w:val="single" w:sz="4" w:space="0" w:color="auto"/>
              <w:left w:val="single" w:sz="4" w:space="0" w:color="auto"/>
              <w:bottom w:val="single" w:sz="4" w:space="0" w:color="auto"/>
              <w:right w:val="single" w:sz="4" w:space="0" w:color="auto"/>
            </w:tcBorders>
            <w:vAlign w:val="center"/>
          </w:tcPr>
          <w:p w14:paraId="3889BDD2" w14:textId="77777777" w:rsidR="009F2BA2" w:rsidRPr="00FA1FB5" w:rsidRDefault="009F2BA2" w:rsidP="009F2BA2">
            <w:pPr>
              <w:keepNext/>
              <w:keepLines/>
              <w:spacing w:after="0"/>
              <w:jc w:val="center"/>
              <w:rPr>
                <w:rFonts w:ascii="Arial" w:hAnsi="Arial"/>
                <w:sz w:val="18"/>
                <w:highlight w:val="yellow"/>
                <w:lang w:val="en-US"/>
              </w:rPr>
            </w:pPr>
          </w:p>
        </w:tc>
        <w:tc>
          <w:tcPr>
            <w:tcW w:w="1524" w:type="dxa"/>
            <w:tcBorders>
              <w:top w:val="single" w:sz="4" w:space="0" w:color="auto"/>
              <w:left w:val="single" w:sz="4" w:space="0" w:color="auto"/>
              <w:bottom w:val="single" w:sz="4" w:space="0" w:color="auto"/>
              <w:right w:val="single" w:sz="4" w:space="0" w:color="auto"/>
            </w:tcBorders>
            <w:vAlign w:val="center"/>
          </w:tcPr>
          <w:p w14:paraId="1743EB2C" w14:textId="77777777" w:rsidR="009F2BA2" w:rsidRPr="0055145D" w:rsidRDefault="009F2BA2" w:rsidP="009F2BA2">
            <w:pPr>
              <w:keepNext/>
              <w:keepLines/>
              <w:spacing w:after="0"/>
              <w:jc w:val="center"/>
              <w:rPr>
                <w:rFonts w:ascii="Arial" w:eastAsia="SimSun" w:hAnsi="Arial" w:cs="Arial"/>
                <w:sz w:val="18"/>
                <w:szCs w:val="18"/>
                <w:lang w:eastAsia="zh-CN"/>
              </w:rPr>
            </w:pPr>
            <w:r w:rsidRPr="0055145D">
              <w:rPr>
                <w:rFonts w:ascii="Arial" w:hAnsi="Arial" w:cs="Arial"/>
                <w:sz w:val="18"/>
                <w:szCs w:val="18"/>
              </w:rPr>
              <w:t>M-FR2-A.3.5-3</w:t>
            </w:r>
          </w:p>
        </w:tc>
      </w:tr>
      <w:tr w:rsidR="009F2BA2" w:rsidRPr="0061289A" w14:paraId="31E4ACDE" w14:textId="77777777" w:rsidTr="003A71DE">
        <w:trPr>
          <w:trHeight w:val="230"/>
          <w:jc w:val="center"/>
        </w:trPr>
        <w:tc>
          <w:tcPr>
            <w:tcW w:w="5739" w:type="dxa"/>
            <w:gridSpan w:val="4"/>
            <w:tcBorders>
              <w:top w:val="single" w:sz="4" w:space="0" w:color="auto"/>
              <w:left w:val="single" w:sz="4" w:space="0" w:color="auto"/>
              <w:bottom w:val="single" w:sz="4" w:space="0" w:color="auto"/>
              <w:right w:val="single" w:sz="4" w:space="0" w:color="auto"/>
            </w:tcBorders>
            <w:vAlign w:val="center"/>
          </w:tcPr>
          <w:p w14:paraId="0E5CC84A" w14:textId="77777777" w:rsidR="009F2BA2" w:rsidRPr="0055145D" w:rsidRDefault="009F2BA2" w:rsidP="009F2BA2">
            <w:pPr>
              <w:pStyle w:val="TAN"/>
              <w:rPr>
                <w:lang w:eastAsia="zh-CN"/>
              </w:rPr>
            </w:pPr>
            <w:r w:rsidRPr="0055145D">
              <w:rPr>
                <w:lang w:eastAsia="zh-CN"/>
              </w:rPr>
              <w:t xml:space="preserve">Note 1: </w:t>
            </w:r>
            <w:r w:rsidRPr="0055145D">
              <w:rPr>
                <w:lang w:eastAsia="zh-CN"/>
              </w:rPr>
              <w:tab/>
              <w:t>The same requirements are applicable for TDD with different UL-DL pattern.</w:t>
            </w:r>
          </w:p>
          <w:p w14:paraId="187C7954" w14:textId="77777777" w:rsidR="009F2BA2" w:rsidRPr="0055145D" w:rsidRDefault="009F2BA2" w:rsidP="009F2BA2">
            <w:pPr>
              <w:pStyle w:val="TAN"/>
              <w:rPr>
                <w:rFonts w:eastAsia="SimSun"/>
              </w:rPr>
            </w:pPr>
            <w:r w:rsidRPr="0055145D">
              <w:rPr>
                <w:rFonts w:eastAsia="SimSun"/>
              </w:rPr>
              <w:t>Note 2:</w:t>
            </w:r>
            <w:r w:rsidRPr="0055145D">
              <w:rPr>
                <w:rFonts w:eastAsia="SimSun"/>
                <w:lang w:eastAsia="zh-CN"/>
              </w:rPr>
              <w:tab/>
            </w:r>
            <w:r w:rsidRPr="0055145D">
              <w:rPr>
                <w:rFonts w:eastAsia="SimSun"/>
              </w:rPr>
              <w:t>For random precoder selection, the precoder shall be updated in each slot (</w:t>
            </w:r>
            <w:r w:rsidRPr="0055145D">
              <w:rPr>
                <w:rFonts w:eastAsia="SimSun"/>
                <w:lang w:eastAsia="zh-CN"/>
              </w:rPr>
              <w:t>0.125</w:t>
            </w:r>
            <w:r w:rsidRPr="0055145D">
              <w:rPr>
                <w:rFonts w:eastAsia="SimSun"/>
              </w:rPr>
              <w:t xml:space="preserve"> ms granularity).</w:t>
            </w:r>
          </w:p>
          <w:p w14:paraId="575AC94E" w14:textId="4B42AC55" w:rsidR="00170440" w:rsidRDefault="00170440" w:rsidP="00170440">
            <w:pPr>
              <w:pStyle w:val="TAN"/>
            </w:pPr>
            <w:r>
              <w:t>Note 3:</w:t>
            </w:r>
            <w:r>
              <w:rPr>
                <w:lang w:eastAsia="zh-CN"/>
              </w:rPr>
              <w:tab/>
            </w:r>
            <w:r>
              <w:t xml:space="preserve">If the </w:t>
            </w:r>
            <w:r>
              <w:rPr>
                <w:rFonts w:eastAsia="SimSun"/>
                <w:lang w:val="en-US" w:eastAsia="zh-CN"/>
              </w:rPr>
              <w:t>IAB-MT</w:t>
            </w:r>
            <w:r>
              <w:t xml:space="preserve"> reports in an available uplink reporting instance at </w:t>
            </w:r>
            <w:r>
              <w:rPr>
                <w:lang w:eastAsia="zh-CN"/>
              </w:rPr>
              <w:t>slot</w:t>
            </w:r>
            <w:r>
              <w:t xml:space="preserve"> #n based on PMI estimation at a downlink </w:t>
            </w:r>
            <w:r>
              <w:rPr>
                <w:lang w:eastAsia="zh-CN"/>
              </w:rPr>
              <w:t>slot</w:t>
            </w:r>
            <w:r>
              <w:t xml:space="preserve"> not later than </w:t>
            </w:r>
            <w:r>
              <w:rPr>
                <w:lang w:eastAsia="zh-CN"/>
              </w:rPr>
              <w:t>slot</w:t>
            </w:r>
            <w:r>
              <w:t>#(n-</w:t>
            </w:r>
            <w:r>
              <w:rPr>
                <w:lang w:eastAsia="zh-CN"/>
              </w:rPr>
              <w:t>4</w:t>
            </w:r>
            <w:r>
              <w:t xml:space="preserve">), this reported PMI cannot be applied at the gNB downlink before </w:t>
            </w:r>
            <w:r>
              <w:rPr>
                <w:lang w:eastAsia="zh-CN"/>
              </w:rPr>
              <w:t>slot</w:t>
            </w:r>
            <w:r>
              <w:t>#(n+</w:t>
            </w:r>
            <w:r>
              <w:rPr>
                <w:lang w:eastAsia="zh-CN"/>
              </w:rPr>
              <w:t>4</w:t>
            </w:r>
            <w:r>
              <w:t>).</w:t>
            </w:r>
          </w:p>
          <w:p w14:paraId="4D244D7C" w14:textId="6D175CCA" w:rsidR="009F2BA2" w:rsidRPr="0055145D" w:rsidRDefault="009F2BA2" w:rsidP="009F2BA2">
            <w:pPr>
              <w:pStyle w:val="TAN"/>
              <w:rPr>
                <w:rFonts w:eastAsia="SimSun"/>
              </w:rPr>
            </w:pPr>
            <w:r w:rsidRPr="0055145D">
              <w:rPr>
                <w:rFonts w:eastAsia="SimSun"/>
              </w:rPr>
              <w:t xml:space="preserve">Note </w:t>
            </w:r>
            <w:r w:rsidRPr="0055145D">
              <w:rPr>
                <w:rFonts w:eastAsia="SimSun"/>
                <w:lang w:eastAsia="zh-CN"/>
              </w:rPr>
              <w:t>4</w:t>
            </w:r>
            <w:r w:rsidRPr="0055145D">
              <w:rPr>
                <w:rFonts w:eastAsia="SimSun"/>
              </w:rPr>
              <w:t>:</w:t>
            </w:r>
            <w:r w:rsidRPr="0055145D">
              <w:rPr>
                <w:rFonts w:eastAsia="SimSun"/>
              </w:rPr>
              <w:tab/>
              <w:t xml:space="preserve">Randomization of the principle beam direction shall be used as specified in </w:t>
            </w:r>
            <w:r w:rsidRPr="0055145D">
              <w:rPr>
                <w:rFonts w:eastAsia="SimSun"/>
                <w:szCs w:val="18"/>
                <w:lang w:eastAsia="zh-CN"/>
              </w:rPr>
              <w:t xml:space="preserve">Annex </w:t>
            </w:r>
            <w:r>
              <w:rPr>
                <w:rFonts w:eastAsia="SimSun"/>
                <w:szCs w:val="18"/>
              </w:rPr>
              <w:t>I.2.3.2.3</w:t>
            </w:r>
            <w:r w:rsidRPr="0055145D">
              <w:rPr>
                <w:rFonts w:eastAsia="SimSun"/>
              </w:rPr>
              <w:t>.</w:t>
            </w:r>
          </w:p>
          <w:p w14:paraId="4E807A67" w14:textId="31479C4A" w:rsidR="009F2BA2" w:rsidRPr="0055145D" w:rsidRDefault="00BC408B" w:rsidP="009F2BA2">
            <w:pPr>
              <w:pStyle w:val="TAN"/>
            </w:pPr>
            <w:r w:rsidRPr="0055145D">
              <w:rPr>
                <w:rFonts w:eastAsia="SimSun"/>
              </w:rPr>
              <w:t>Note 5:</w:t>
            </w:r>
            <w:r w:rsidRPr="0055145D">
              <w:rPr>
                <w:rFonts w:eastAsia="SimSun"/>
                <w:lang w:eastAsia="zh-CN"/>
              </w:rPr>
              <w:tab/>
            </w:r>
            <w:r w:rsidRPr="0055145D">
              <w:rPr>
                <w:rFonts w:eastAsia="SimSun"/>
              </w:rPr>
              <w:t>SSB, TRS,</w:t>
            </w:r>
            <w:r w:rsidRPr="0055145D">
              <w:t xml:space="preserve"> CSI-RS</w:t>
            </w:r>
            <w:r w:rsidRPr="0055145D">
              <w:rPr>
                <w:rFonts w:eastAsia="SimSun"/>
              </w:rPr>
              <w:t xml:space="preserve"> and/or other unspecified test parameters with respect to TS 38.1</w:t>
            </w:r>
            <w:r w:rsidRPr="0055145D">
              <w:t>01</w:t>
            </w:r>
            <w:r w:rsidRPr="0055145D">
              <w:rPr>
                <w:rFonts w:ascii="Times New Roman" w:hAnsi="Times New Roman"/>
                <w:sz w:val="20"/>
              </w:rPr>
              <w:t>-4</w:t>
            </w:r>
            <w:r w:rsidRPr="0055145D">
              <w:t xml:space="preserve"> [</w:t>
            </w:r>
            <w:r>
              <w:rPr>
                <w:rFonts w:eastAsia="SimSun" w:hint="eastAsia"/>
                <w:lang w:eastAsia="zh-CN"/>
              </w:rPr>
              <w:t>28</w:t>
            </w:r>
            <w:r w:rsidRPr="0055145D">
              <w:t>] a</w:t>
            </w:r>
            <w:r w:rsidRPr="0055145D">
              <w:rPr>
                <w:rFonts w:ascii="Times New Roman" w:hAnsi="Times New Roman"/>
                <w:sz w:val="20"/>
              </w:rPr>
              <w:t>re</w:t>
            </w:r>
            <w:r w:rsidRPr="0055145D">
              <w:rPr>
                <w:rFonts w:eastAsia="SimSun"/>
              </w:rPr>
              <w:t xml:space="preserve"> left up to test implementation, if transmitted or needed</w:t>
            </w:r>
          </w:p>
        </w:tc>
      </w:tr>
    </w:tbl>
    <w:p w14:paraId="2CC88642" w14:textId="77777777" w:rsidR="00241417" w:rsidRPr="00FA1FB5" w:rsidRDefault="00241417" w:rsidP="00241417">
      <w:pPr>
        <w:rPr>
          <w:rFonts w:eastAsia="SimSun"/>
          <w:lang w:val="en-US" w:eastAsia="zh-CN"/>
        </w:rPr>
      </w:pPr>
    </w:p>
    <w:p w14:paraId="23D36201" w14:textId="77777777" w:rsidR="00241417" w:rsidRPr="00FA1FB5" w:rsidRDefault="00241417" w:rsidP="00241417">
      <w:pPr>
        <w:pStyle w:val="H6"/>
        <w:rPr>
          <w:rFonts w:eastAsia="SimSun"/>
          <w:lang w:val="en-US"/>
        </w:rPr>
      </w:pPr>
      <w:r w:rsidRPr="00FA1FB5">
        <w:rPr>
          <w:lang w:val="en-US"/>
        </w:rPr>
        <w:lastRenderedPageBreak/>
        <w:t>11.2.3.2.</w:t>
      </w:r>
      <w:r>
        <w:t>3</w:t>
      </w:r>
      <w:r w:rsidRPr="00FA1FB5">
        <w:rPr>
          <w:lang w:val="en-US"/>
        </w:rPr>
        <w:t>.2</w:t>
      </w:r>
      <w:r w:rsidRPr="00FA1FB5">
        <w:rPr>
          <w:lang w:val="en-US"/>
        </w:rPr>
        <w:tab/>
        <w:t>Minimum requirements</w:t>
      </w:r>
    </w:p>
    <w:p w14:paraId="7F637389" w14:textId="2EB06054" w:rsidR="00241417" w:rsidRPr="00FA1FB5" w:rsidRDefault="00241417" w:rsidP="00241417">
      <w:pPr>
        <w:rPr>
          <w:rFonts w:eastAsia="SimSun"/>
          <w:lang w:val="en-US"/>
        </w:rPr>
      </w:pPr>
      <w:r w:rsidRPr="0055145D">
        <w:rPr>
          <w:rFonts w:eastAsia="SimSun"/>
          <w:lang w:val="en-US"/>
        </w:rPr>
        <w:t xml:space="preserve">For the parameters specified in Table </w:t>
      </w:r>
      <w:r w:rsidRPr="0055145D">
        <w:rPr>
          <w:rFonts w:eastAsia="SimSun"/>
          <w:lang w:val="en-US" w:eastAsia="zh-CN"/>
        </w:rPr>
        <w:t>11.2.3.2.3.1-1</w:t>
      </w:r>
      <w:r w:rsidRPr="0055145D">
        <w:rPr>
          <w:rFonts w:eastAsia="SimSun"/>
          <w:lang w:val="en-US"/>
        </w:rPr>
        <w:t xml:space="preserve">, and using the downlink physical channels specified in Annex </w:t>
      </w:r>
      <w:r w:rsidRPr="0055145D">
        <w:t>TBA</w:t>
      </w:r>
      <w:r w:rsidRPr="0055145D">
        <w:rPr>
          <w:rFonts w:eastAsia="SimSun"/>
          <w:lang w:val="en-US"/>
        </w:rPr>
        <w:t xml:space="preserve">, the minimum requirements are specified in Table </w:t>
      </w:r>
      <w:r w:rsidRPr="0055145D">
        <w:rPr>
          <w:rFonts w:eastAsia="SimSun"/>
          <w:lang w:val="en-US" w:eastAsia="zh-CN"/>
        </w:rPr>
        <w:t>11.2.3.2.3.2-1</w:t>
      </w:r>
      <w:r w:rsidRPr="0055145D">
        <w:rPr>
          <w:rFonts w:eastAsia="SimSun"/>
          <w:lang w:val="en-US"/>
        </w:rPr>
        <w:t>.</w:t>
      </w:r>
    </w:p>
    <w:p w14:paraId="2554514C" w14:textId="77777777" w:rsidR="00241417" w:rsidRPr="00FA1FB5" w:rsidRDefault="00241417" w:rsidP="00241417">
      <w:pPr>
        <w:pStyle w:val="TH"/>
        <w:rPr>
          <w:lang w:val="en-US" w:eastAsia="zh-CN"/>
        </w:rPr>
      </w:pPr>
      <w:r w:rsidRPr="00FA1FB5">
        <w:rPr>
          <w:lang w:val="en-US"/>
        </w:rPr>
        <w:t>Table 11.2.3.2.</w:t>
      </w:r>
      <w:r>
        <w:t>3</w:t>
      </w:r>
      <w:r w:rsidRPr="00FA1FB5">
        <w:rPr>
          <w:lang w:val="en-US"/>
        </w:rPr>
        <w:t>.2-1</w:t>
      </w:r>
      <w:r w:rsidRPr="00FA1FB5">
        <w:rPr>
          <w:rFonts w:hint="eastAsia"/>
          <w:lang w:val="en-US" w:eastAsia="zh-CN"/>
        </w:rPr>
        <w:t>:</w:t>
      </w:r>
      <w:r w:rsidRPr="00FA1FB5">
        <w:rPr>
          <w:lang w:val="en-US"/>
        </w:rPr>
        <w:t xml:space="preserve"> Minimum requirement</w:t>
      </w:r>
    </w:p>
    <w:tbl>
      <w:tblPr>
        <w:tblW w:w="38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1701"/>
      </w:tblGrid>
      <w:tr w:rsidR="00241417" w:rsidRPr="00661924" w14:paraId="748AD887" w14:textId="77777777" w:rsidTr="003A71DE">
        <w:trPr>
          <w:jc w:val="center"/>
        </w:trPr>
        <w:tc>
          <w:tcPr>
            <w:tcW w:w="2126" w:type="dxa"/>
            <w:tcBorders>
              <w:top w:val="single" w:sz="4" w:space="0" w:color="auto"/>
              <w:left w:val="single" w:sz="4" w:space="0" w:color="auto"/>
              <w:bottom w:val="single" w:sz="4" w:space="0" w:color="auto"/>
              <w:right w:val="single" w:sz="4" w:space="0" w:color="auto"/>
            </w:tcBorders>
            <w:hideMark/>
          </w:tcPr>
          <w:p w14:paraId="2EBF9445"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Parameter</w:t>
            </w:r>
          </w:p>
        </w:tc>
        <w:tc>
          <w:tcPr>
            <w:tcW w:w="1701" w:type="dxa"/>
            <w:tcBorders>
              <w:top w:val="single" w:sz="4" w:space="0" w:color="auto"/>
              <w:left w:val="single" w:sz="4" w:space="0" w:color="auto"/>
              <w:bottom w:val="single" w:sz="4" w:space="0" w:color="auto"/>
              <w:right w:val="single" w:sz="4" w:space="0" w:color="auto"/>
            </w:tcBorders>
            <w:hideMark/>
          </w:tcPr>
          <w:p w14:paraId="06A7F5BC" w14:textId="77777777" w:rsidR="00241417" w:rsidRPr="00FA1FB5" w:rsidRDefault="00241417" w:rsidP="003A71DE">
            <w:pPr>
              <w:keepNext/>
              <w:keepLines/>
              <w:spacing w:after="0"/>
              <w:jc w:val="center"/>
              <w:rPr>
                <w:rFonts w:ascii="Arial" w:hAnsi="Arial"/>
                <w:b/>
                <w:sz w:val="18"/>
                <w:lang w:val="en-US"/>
              </w:rPr>
            </w:pPr>
            <w:r w:rsidRPr="00FA1FB5">
              <w:rPr>
                <w:rFonts w:ascii="Arial" w:eastAsia="SimSun" w:hAnsi="Arial"/>
                <w:b/>
                <w:sz w:val="18"/>
                <w:lang w:val="en-US"/>
              </w:rPr>
              <w:t>Test 1</w:t>
            </w:r>
          </w:p>
        </w:tc>
      </w:tr>
      <w:tr w:rsidR="00241417" w:rsidRPr="00661924" w14:paraId="3CE5D92A" w14:textId="77777777" w:rsidTr="003A71DE">
        <w:trPr>
          <w:jc w:val="center"/>
        </w:trPr>
        <w:tc>
          <w:tcPr>
            <w:tcW w:w="2126" w:type="dxa"/>
            <w:tcBorders>
              <w:top w:val="single" w:sz="4" w:space="0" w:color="auto"/>
              <w:left w:val="single" w:sz="4" w:space="0" w:color="auto"/>
              <w:bottom w:val="single" w:sz="4" w:space="0" w:color="auto"/>
              <w:right w:val="single" w:sz="4" w:space="0" w:color="auto"/>
            </w:tcBorders>
            <w:hideMark/>
          </w:tcPr>
          <w:p w14:paraId="0DA1ABD5" w14:textId="77777777" w:rsidR="00241417" w:rsidRPr="00FA1FB5" w:rsidRDefault="00241417" w:rsidP="003A71DE">
            <w:pPr>
              <w:keepNext/>
              <w:keepLines/>
              <w:spacing w:after="0"/>
              <w:jc w:val="center"/>
              <w:rPr>
                <w:rFonts w:ascii="Arial" w:hAnsi="Arial" w:cs="Arial"/>
                <w:sz w:val="18"/>
                <w:lang w:val="en-US"/>
              </w:rPr>
            </w:pPr>
            <w:r w:rsidRPr="00FA1FB5">
              <w:rPr>
                <w:rFonts w:ascii="Symbol" w:eastAsia="?? ??" w:hAnsi="Symbol" w:cs="Arial"/>
                <w:i/>
                <w:sz w:val="18"/>
                <w:lang w:val="en-US"/>
              </w:rPr>
              <w:t></w:t>
            </w:r>
          </w:p>
        </w:tc>
        <w:tc>
          <w:tcPr>
            <w:tcW w:w="1701" w:type="dxa"/>
            <w:tcBorders>
              <w:top w:val="single" w:sz="4" w:space="0" w:color="auto"/>
              <w:left w:val="single" w:sz="4" w:space="0" w:color="auto"/>
              <w:bottom w:val="single" w:sz="4" w:space="0" w:color="auto"/>
              <w:right w:val="single" w:sz="4" w:space="0" w:color="auto"/>
            </w:tcBorders>
            <w:hideMark/>
          </w:tcPr>
          <w:p w14:paraId="0E49B65D" w14:textId="77777777" w:rsidR="00241417" w:rsidRPr="00FA1FB5" w:rsidRDefault="00241417" w:rsidP="003A71DE">
            <w:pPr>
              <w:keepNext/>
              <w:keepLines/>
              <w:spacing w:after="0"/>
              <w:jc w:val="center"/>
              <w:rPr>
                <w:rFonts w:ascii="Arial" w:hAnsi="Arial"/>
                <w:sz w:val="18"/>
                <w:lang w:val="en-US" w:eastAsia="zh-CN"/>
              </w:rPr>
            </w:pPr>
            <w:r w:rsidRPr="00FA1FB5">
              <w:rPr>
                <w:rFonts w:ascii="Arial" w:eastAsia="SimSun" w:hAnsi="Arial" w:hint="eastAsia"/>
                <w:sz w:val="18"/>
                <w:lang w:val="en-US" w:eastAsia="zh-CN"/>
              </w:rPr>
              <w:t>1.05</w:t>
            </w:r>
          </w:p>
        </w:tc>
      </w:tr>
    </w:tbl>
    <w:p w14:paraId="58C8EFC1" w14:textId="77777777" w:rsidR="00241417" w:rsidRPr="00FA1FB5" w:rsidRDefault="00241417" w:rsidP="00241417">
      <w:pPr>
        <w:rPr>
          <w:lang w:val="en-US" w:eastAsia="zh-CN"/>
        </w:rPr>
      </w:pPr>
    </w:p>
    <w:p w14:paraId="2FA2B49A" w14:textId="77777777" w:rsidR="00241417" w:rsidRPr="00FA1FB5" w:rsidRDefault="00241417" w:rsidP="00241417">
      <w:pPr>
        <w:pStyle w:val="Heading5"/>
        <w:rPr>
          <w:lang w:val="en-US" w:eastAsia="zh-CN"/>
        </w:rPr>
      </w:pPr>
      <w:bookmarkStart w:id="8089" w:name="_Toc74583514"/>
      <w:bookmarkStart w:id="8090" w:name="_Toc76542327"/>
      <w:bookmarkStart w:id="8091" w:name="_Toc82450309"/>
      <w:bookmarkStart w:id="8092" w:name="_Toc82450957"/>
      <w:bookmarkStart w:id="8093" w:name="_Toc89949346"/>
      <w:bookmarkStart w:id="8094" w:name="_Toc98755735"/>
      <w:bookmarkStart w:id="8095" w:name="_Toc98763327"/>
      <w:bookmarkStart w:id="8096" w:name="_Toc106184256"/>
      <w:r w:rsidRPr="00FA1FB5">
        <w:rPr>
          <w:lang w:val="en-US" w:eastAsia="zh-CN"/>
        </w:rPr>
        <w:t>11.2.3.2.</w:t>
      </w:r>
      <w:r>
        <w:rPr>
          <w:lang w:eastAsia="zh-CN"/>
        </w:rPr>
        <w:t>4</w:t>
      </w:r>
      <w:r w:rsidRPr="00FA1FB5">
        <w:rPr>
          <w:lang w:val="en-US" w:eastAsia="zh-CN"/>
        </w:rPr>
        <w:tab/>
        <w:t>Reporting of Rank Indicator (RI)</w:t>
      </w:r>
      <w:bookmarkEnd w:id="8089"/>
      <w:bookmarkEnd w:id="8090"/>
      <w:bookmarkEnd w:id="8091"/>
      <w:bookmarkEnd w:id="8092"/>
      <w:bookmarkEnd w:id="8093"/>
      <w:bookmarkEnd w:id="8094"/>
      <w:bookmarkEnd w:id="8095"/>
      <w:bookmarkEnd w:id="8096"/>
    </w:p>
    <w:p w14:paraId="0FF74A98" w14:textId="77777777" w:rsidR="00241417" w:rsidRPr="00FA1FB5" w:rsidRDefault="00241417" w:rsidP="00241417">
      <w:pPr>
        <w:pStyle w:val="H6"/>
        <w:rPr>
          <w:rFonts w:eastAsia="SimSun"/>
          <w:lang w:val="en-US"/>
        </w:rPr>
      </w:pPr>
      <w:r w:rsidRPr="00FA1FB5">
        <w:rPr>
          <w:lang w:val="en-US" w:eastAsia="zh-CN"/>
        </w:rPr>
        <w:t>11.2.3.2.</w:t>
      </w:r>
      <w:r>
        <w:rPr>
          <w:lang w:eastAsia="zh-CN"/>
        </w:rPr>
        <w:t>4</w:t>
      </w:r>
      <w:r w:rsidRPr="00FA1FB5">
        <w:rPr>
          <w:lang w:val="en-US"/>
        </w:rPr>
        <w:t>.1</w:t>
      </w:r>
      <w:r w:rsidRPr="00FA1FB5">
        <w:rPr>
          <w:lang w:val="en-US"/>
        </w:rPr>
        <w:tab/>
        <w:t>General</w:t>
      </w:r>
    </w:p>
    <w:p w14:paraId="1CF56A1C" w14:textId="77777777" w:rsidR="00241417" w:rsidRPr="00FA1FB5" w:rsidRDefault="00241417" w:rsidP="00241417">
      <w:pPr>
        <w:rPr>
          <w:rFonts w:eastAsia="SimSun"/>
          <w:lang w:val="en-US"/>
        </w:rPr>
      </w:pPr>
      <w:r w:rsidRPr="00FA1FB5">
        <w:rPr>
          <w:rFonts w:eastAsia="SimSun"/>
          <w:lang w:val="en-US"/>
        </w:rPr>
        <w:t>The purpose of this test is to verify that the reported rank indicator accurately represents the channel rank. The accuracy of RI reporting is determined by the relative increase of the throughput obtained when transmitting based on the reported rank compared to the case for which a fixed rank is used for transmission.</w:t>
      </w:r>
    </w:p>
    <w:p w14:paraId="0DF47331" w14:textId="77777777" w:rsidR="00241417" w:rsidRPr="00FA1FB5" w:rsidRDefault="00241417" w:rsidP="00241417">
      <w:pPr>
        <w:tabs>
          <w:tab w:val="left" w:pos="6096"/>
        </w:tabs>
        <w:rPr>
          <w:rFonts w:eastAsia="SimSun"/>
          <w:lang w:val="en-US"/>
        </w:rPr>
      </w:pPr>
      <w:r w:rsidRPr="00FA1FB5">
        <w:rPr>
          <w:rFonts w:eastAsia="SimSun"/>
          <w:lang w:val="en-US"/>
        </w:rPr>
        <w:t xml:space="preserve">The minimum performance requirement in Table </w:t>
      </w:r>
      <w:r w:rsidRPr="00FA1FB5">
        <w:rPr>
          <w:lang w:val="en-US" w:eastAsia="zh-CN"/>
        </w:rPr>
        <w:t>11.2.3.2.</w:t>
      </w:r>
      <w:r>
        <w:rPr>
          <w:lang w:eastAsia="zh-CN"/>
        </w:rPr>
        <w:t>4</w:t>
      </w:r>
      <w:r w:rsidRPr="00FA1FB5">
        <w:rPr>
          <w:lang w:val="en-US"/>
        </w:rPr>
        <w:t>.</w:t>
      </w:r>
      <w:r>
        <w:t xml:space="preserve">2-1 </w:t>
      </w:r>
      <w:r w:rsidRPr="00FA1FB5">
        <w:rPr>
          <w:rFonts w:eastAsia="SimSun"/>
          <w:lang w:val="en-US"/>
        </w:rPr>
        <w:t>is defined as</w:t>
      </w:r>
    </w:p>
    <w:p w14:paraId="25220016" w14:textId="57DA084D" w:rsidR="00170440" w:rsidRDefault="00170440" w:rsidP="00170440">
      <w:pPr>
        <w:pStyle w:val="B10"/>
        <w:rPr>
          <w:rFonts w:eastAsia="SimSun"/>
          <w:lang w:val="en-US"/>
        </w:rPr>
      </w:pPr>
      <w:r>
        <w:rPr>
          <w:rFonts w:eastAsia="SimSun"/>
          <w:lang w:val="en-US"/>
        </w:rPr>
        <w:t>a)</w:t>
      </w:r>
      <w:r>
        <w:rPr>
          <w:rFonts w:eastAsia="SimSun"/>
          <w:lang w:val="en-US"/>
        </w:rPr>
        <w:tab/>
        <w:t xml:space="preserve">The ratio of the throughput obtained when transmitting based on </w:t>
      </w:r>
      <w:r>
        <w:rPr>
          <w:rFonts w:eastAsia="SimSun"/>
          <w:lang w:val="en-US" w:eastAsia="zh-CN"/>
        </w:rPr>
        <w:t>IAB-MT</w:t>
      </w:r>
      <w:r>
        <w:rPr>
          <w:rFonts w:eastAsia="SimSun"/>
          <w:lang w:val="en-US"/>
        </w:rPr>
        <w:t xml:space="preserve"> reported RI and that obtained when transmitting with fixed rank 1 shall be ≥ </w:t>
      </w:r>
      <w:r>
        <w:rPr>
          <w:rFonts w:ascii="Symbol" w:eastAsia="SimSun" w:hAnsi="Symbol"/>
          <w:lang w:val="en-US"/>
        </w:rPr>
        <w:t></w:t>
      </w:r>
      <w:r>
        <w:rPr>
          <w:rFonts w:ascii="Symbol" w:eastAsia="SimSun" w:hAnsi="Symbol"/>
          <w:vertAlign w:val="subscript"/>
          <w:lang w:val="en-US"/>
        </w:rPr>
        <w:t></w:t>
      </w:r>
      <w:r>
        <w:rPr>
          <w:rFonts w:eastAsia="SimSun"/>
          <w:lang w:val="en-US"/>
        </w:rPr>
        <w:t>;</w:t>
      </w:r>
    </w:p>
    <w:p w14:paraId="246A216A" w14:textId="627D607D" w:rsidR="00170440" w:rsidRPr="00566D1A" w:rsidRDefault="00170440" w:rsidP="00170440">
      <w:pPr>
        <w:pStyle w:val="B10"/>
        <w:rPr>
          <w:lang w:val="en-US" w:eastAsia="zh-CN"/>
        </w:rPr>
      </w:pPr>
      <w:r>
        <w:rPr>
          <w:rFonts w:eastAsia="SimSun"/>
          <w:lang w:val="en-US"/>
        </w:rPr>
        <w:t>b)</w:t>
      </w:r>
      <w:r>
        <w:rPr>
          <w:rFonts w:eastAsia="SimSun"/>
          <w:lang w:val="en-US"/>
        </w:rPr>
        <w:tab/>
        <w:t xml:space="preserve">The ratio of the throughput obtained when transmitting based on </w:t>
      </w:r>
      <w:r>
        <w:rPr>
          <w:rFonts w:eastAsia="SimSun"/>
          <w:lang w:val="en-US" w:eastAsia="zh-CN"/>
        </w:rPr>
        <w:t>IAB-MT</w:t>
      </w:r>
      <w:r>
        <w:rPr>
          <w:rFonts w:eastAsia="SimSun"/>
          <w:lang w:val="en-US"/>
        </w:rPr>
        <w:t xml:space="preserve"> reported RI and that obtained when transmitting with fixed rank 2 shall be ≥ </w:t>
      </w:r>
      <w:r>
        <w:rPr>
          <w:rFonts w:ascii="Symbol" w:eastAsia="SimSun" w:hAnsi="Symbol"/>
          <w:lang w:val="en-US"/>
        </w:rPr>
        <w:t></w:t>
      </w:r>
      <w:r>
        <w:rPr>
          <w:rFonts w:ascii="Symbol" w:eastAsia="SimSun" w:hAnsi="Symbol"/>
          <w:vertAlign w:val="subscript"/>
          <w:lang w:val="en-US"/>
        </w:rPr>
        <w:t></w:t>
      </w:r>
      <w:r>
        <w:rPr>
          <w:rFonts w:eastAsia="SimSun"/>
          <w:lang w:val="en-US"/>
        </w:rPr>
        <w:t>;</w:t>
      </w:r>
    </w:p>
    <w:p w14:paraId="3EA73125" w14:textId="77777777" w:rsidR="00241417" w:rsidRPr="006F05E7" w:rsidRDefault="00241417" w:rsidP="00241417">
      <w:pPr>
        <w:pStyle w:val="TH"/>
      </w:pPr>
      <w:r w:rsidRPr="00FA1FB5">
        <w:rPr>
          <w:lang w:val="en-US"/>
        </w:rPr>
        <w:lastRenderedPageBreak/>
        <w:t xml:space="preserve">Table </w:t>
      </w:r>
      <w:r w:rsidRPr="00FA1FB5">
        <w:rPr>
          <w:lang w:val="en-US" w:eastAsia="zh-CN"/>
        </w:rPr>
        <w:t>11.2.3.2.</w:t>
      </w:r>
      <w:r>
        <w:rPr>
          <w:lang w:eastAsia="zh-CN"/>
        </w:rPr>
        <w:t>4</w:t>
      </w:r>
      <w:r w:rsidRPr="00FA1FB5">
        <w:rPr>
          <w:lang w:val="en-US"/>
        </w:rPr>
        <w:t>.1-1:</w:t>
      </w:r>
      <w:r>
        <w:t xml:space="preserve"> </w:t>
      </w:r>
      <w:r w:rsidRPr="00FA1FB5">
        <w:rPr>
          <w:lang w:val="en-US"/>
        </w:rPr>
        <w:t>Test</w:t>
      </w:r>
      <w:r>
        <w:t xml:space="preserve"> parameters</w:t>
      </w:r>
    </w:p>
    <w:tbl>
      <w:tblPr>
        <w:tblW w:w="8816" w:type="dxa"/>
        <w:tblInd w:w="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6"/>
        <w:gridCol w:w="71"/>
        <w:gridCol w:w="2654"/>
        <w:gridCol w:w="740"/>
        <w:gridCol w:w="1455"/>
        <w:gridCol w:w="1350"/>
        <w:gridCol w:w="1350"/>
      </w:tblGrid>
      <w:tr w:rsidR="00241417" w:rsidRPr="00401B60" w14:paraId="4FEF421A"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2F1525EB" w14:textId="77777777" w:rsidR="00241417" w:rsidRPr="00FA1FB5" w:rsidRDefault="00241417" w:rsidP="003A71DE">
            <w:pPr>
              <w:keepNext/>
              <w:keepLines/>
              <w:spacing w:after="0"/>
              <w:jc w:val="center"/>
              <w:rPr>
                <w:rFonts w:ascii="Arial" w:eastAsia="SimSun" w:hAnsi="Arial"/>
                <w:b/>
                <w:sz w:val="18"/>
                <w:lang w:val="en-US"/>
              </w:rPr>
            </w:pPr>
            <w:r w:rsidRPr="00FA1FB5">
              <w:rPr>
                <w:rFonts w:ascii="Arial" w:eastAsia="SimSun" w:hAnsi="Arial"/>
                <w:b/>
                <w:sz w:val="18"/>
                <w:lang w:val="en-US"/>
              </w:rPr>
              <w:t>Parameter</w:t>
            </w:r>
          </w:p>
        </w:tc>
        <w:tc>
          <w:tcPr>
            <w:tcW w:w="740" w:type="dxa"/>
            <w:tcBorders>
              <w:top w:val="single" w:sz="4" w:space="0" w:color="auto"/>
              <w:left w:val="single" w:sz="4" w:space="0" w:color="auto"/>
              <w:bottom w:val="single" w:sz="4" w:space="0" w:color="auto"/>
              <w:right w:val="single" w:sz="4" w:space="0" w:color="auto"/>
            </w:tcBorders>
            <w:vAlign w:val="center"/>
            <w:hideMark/>
          </w:tcPr>
          <w:p w14:paraId="595C7B2A" w14:textId="77777777" w:rsidR="00241417" w:rsidRPr="00FA1FB5" w:rsidRDefault="00241417" w:rsidP="003A71DE">
            <w:pPr>
              <w:keepNext/>
              <w:keepLines/>
              <w:spacing w:after="0"/>
              <w:jc w:val="center"/>
              <w:rPr>
                <w:rFonts w:ascii="Arial" w:eastAsia="SimSun" w:hAnsi="Arial"/>
                <w:b/>
                <w:sz w:val="18"/>
                <w:lang w:val="en-US"/>
              </w:rPr>
            </w:pPr>
            <w:r w:rsidRPr="00FA1FB5">
              <w:rPr>
                <w:rFonts w:ascii="Arial" w:eastAsia="SimSun" w:hAnsi="Arial"/>
                <w:b/>
                <w:sz w:val="18"/>
                <w:lang w:val="en-US"/>
              </w:rPr>
              <w:t>Unit</w:t>
            </w:r>
          </w:p>
        </w:tc>
        <w:tc>
          <w:tcPr>
            <w:tcW w:w="1455" w:type="dxa"/>
            <w:tcBorders>
              <w:top w:val="single" w:sz="4" w:space="0" w:color="auto"/>
              <w:left w:val="single" w:sz="4" w:space="0" w:color="auto"/>
              <w:bottom w:val="single" w:sz="4" w:space="0" w:color="auto"/>
              <w:right w:val="single" w:sz="4" w:space="0" w:color="auto"/>
            </w:tcBorders>
            <w:vAlign w:val="center"/>
            <w:hideMark/>
          </w:tcPr>
          <w:p w14:paraId="4BEDEF72" w14:textId="77777777" w:rsidR="00241417" w:rsidRPr="00FA1FB5" w:rsidRDefault="00241417" w:rsidP="003A71DE">
            <w:pPr>
              <w:keepNext/>
              <w:keepLines/>
              <w:spacing w:after="0"/>
              <w:jc w:val="center"/>
              <w:rPr>
                <w:rFonts w:ascii="Arial" w:eastAsia="SimSun" w:hAnsi="Arial"/>
                <w:b/>
                <w:sz w:val="18"/>
                <w:lang w:val="en-US"/>
              </w:rPr>
            </w:pPr>
            <w:r w:rsidRPr="00FA1FB5">
              <w:rPr>
                <w:rFonts w:ascii="Arial" w:eastAsia="SimSun" w:hAnsi="Arial"/>
                <w:b/>
                <w:sz w:val="18"/>
                <w:lang w:val="en-US"/>
              </w:rPr>
              <w:t>Test 1</w:t>
            </w:r>
          </w:p>
        </w:tc>
        <w:tc>
          <w:tcPr>
            <w:tcW w:w="1350" w:type="dxa"/>
            <w:tcBorders>
              <w:top w:val="single" w:sz="4" w:space="0" w:color="auto"/>
              <w:left w:val="single" w:sz="4" w:space="0" w:color="auto"/>
              <w:bottom w:val="single" w:sz="4" w:space="0" w:color="auto"/>
              <w:right w:val="single" w:sz="4" w:space="0" w:color="auto"/>
            </w:tcBorders>
            <w:vAlign w:val="center"/>
          </w:tcPr>
          <w:p w14:paraId="0207C58E" w14:textId="77777777" w:rsidR="00241417" w:rsidRPr="00FA1FB5" w:rsidRDefault="00241417" w:rsidP="003A71DE">
            <w:pPr>
              <w:keepNext/>
              <w:keepLines/>
              <w:spacing w:after="0"/>
              <w:jc w:val="center"/>
              <w:rPr>
                <w:rFonts w:ascii="Arial" w:eastAsia="SimSun" w:hAnsi="Arial"/>
                <w:b/>
                <w:sz w:val="18"/>
                <w:lang w:val="en-US"/>
              </w:rPr>
            </w:pPr>
            <w:r w:rsidRPr="00FA1FB5">
              <w:rPr>
                <w:rFonts w:ascii="Arial" w:eastAsia="SimSun" w:hAnsi="Arial"/>
                <w:b/>
                <w:sz w:val="18"/>
                <w:lang w:val="en-US"/>
              </w:rPr>
              <w:t>Test 2</w:t>
            </w:r>
          </w:p>
        </w:tc>
        <w:tc>
          <w:tcPr>
            <w:tcW w:w="1350" w:type="dxa"/>
            <w:tcBorders>
              <w:top w:val="single" w:sz="4" w:space="0" w:color="auto"/>
              <w:left w:val="single" w:sz="4" w:space="0" w:color="auto"/>
              <w:bottom w:val="single" w:sz="4" w:space="0" w:color="auto"/>
              <w:right w:val="single" w:sz="4" w:space="0" w:color="auto"/>
            </w:tcBorders>
            <w:vAlign w:val="center"/>
          </w:tcPr>
          <w:p w14:paraId="7F328397" w14:textId="77777777" w:rsidR="00241417" w:rsidRPr="00FA1FB5" w:rsidRDefault="00241417" w:rsidP="003A71DE">
            <w:pPr>
              <w:keepNext/>
              <w:keepLines/>
              <w:spacing w:after="0"/>
              <w:jc w:val="center"/>
              <w:rPr>
                <w:rFonts w:ascii="Arial" w:eastAsia="SimSun" w:hAnsi="Arial"/>
                <w:b/>
                <w:sz w:val="18"/>
                <w:lang w:val="en-US"/>
              </w:rPr>
            </w:pPr>
            <w:r w:rsidRPr="00FA1FB5">
              <w:rPr>
                <w:rFonts w:ascii="Arial" w:eastAsia="SimSun" w:hAnsi="Arial"/>
                <w:b/>
                <w:sz w:val="18"/>
                <w:lang w:val="en-US"/>
              </w:rPr>
              <w:t>Test 3</w:t>
            </w:r>
          </w:p>
        </w:tc>
      </w:tr>
      <w:tr w:rsidR="00241417" w:rsidRPr="00401B60" w14:paraId="2B0582B0"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28C7AECC"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Bandwidth</w:t>
            </w:r>
          </w:p>
        </w:tc>
        <w:tc>
          <w:tcPr>
            <w:tcW w:w="740" w:type="dxa"/>
            <w:tcBorders>
              <w:top w:val="single" w:sz="4" w:space="0" w:color="auto"/>
              <w:left w:val="single" w:sz="4" w:space="0" w:color="auto"/>
              <w:bottom w:val="single" w:sz="4" w:space="0" w:color="auto"/>
              <w:right w:val="single" w:sz="4" w:space="0" w:color="auto"/>
            </w:tcBorders>
            <w:vAlign w:val="center"/>
            <w:hideMark/>
          </w:tcPr>
          <w:p w14:paraId="0F89894D"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MHz</w:t>
            </w:r>
          </w:p>
        </w:tc>
        <w:tc>
          <w:tcPr>
            <w:tcW w:w="1455" w:type="dxa"/>
            <w:tcBorders>
              <w:top w:val="single" w:sz="4" w:space="0" w:color="auto"/>
              <w:left w:val="single" w:sz="4" w:space="0" w:color="auto"/>
              <w:bottom w:val="single" w:sz="4" w:space="0" w:color="auto"/>
              <w:right w:val="single" w:sz="4" w:space="0" w:color="auto"/>
            </w:tcBorders>
            <w:vAlign w:val="center"/>
          </w:tcPr>
          <w:p w14:paraId="2A650380"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100</w:t>
            </w:r>
          </w:p>
        </w:tc>
        <w:tc>
          <w:tcPr>
            <w:tcW w:w="1350" w:type="dxa"/>
            <w:tcBorders>
              <w:top w:val="single" w:sz="4" w:space="0" w:color="auto"/>
              <w:left w:val="single" w:sz="4" w:space="0" w:color="auto"/>
              <w:bottom w:val="single" w:sz="4" w:space="0" w:color="auto"/>
              <w:right w:val="single" w:sz="4" w:space="0" w:color="auto"/>
            </w:tcBorders>
            <w:vAlign w:val="center"/>
          </w:tcPr>
          <w:p w14:paraId="004405A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100</w:t>
            </w:r>
          </w:p>
        </w:tc>
        <w:tc>
          <w:tcPr>
            <w:tcW w:w="1350" w:type="dxa"/>
            <w:tcBorders>
              <w:top w:val="single" w:sz="4" w:space="0" w:color="auto"/>
              <w:left w:val="single" w:sz="4" w:space="0" w:color="auto"/>
              <w:bottom w:val="single" w:sz="4" w:space="0" w:color="auto"/>
              <w:right w:val="single" w:sz="4" w:space="0" w:color="auto"/>
            </w:tcBorders>
            <w:vAlign w:val="center"/>
          </w:tcPr>
          <w:p w14:paraId="4C992AA3"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100</w:t>
            </w:r>
          </w:p>
        </w:tc>
      </w:tr>
      <w:tr w:rsidR="00241417" w:rsidRPr="00401B60" w14:paraId="29CD2B86"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0D736924"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Subcarrier spacing</w:t>
            </w:r>
          </w:p>
        </w:tc>
        <w:tc>
          <w:tcPr>
            <w:tcW w:w="740" w:type="dxa"/>
            <w:tcBorders>
              <w:top w:val="single" w:sz="4" w:space="0" w:color="auto"/>
              <w:left w:val="single" w:sz="4" w:space="0" w:color="auto"/>
              <w:bottom w:val="single" w:sz="4" w:space="0" w:color="auto"/>
              <w:right w:val="single" w:sz="4" w:space="0" w:color="auto"/>
            </w:tcBorders>
            <w:vAlign w:val="center"/>
          </w:tcPr>
          <w:p w14:paraId="1F953D5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kHz</w:t>
            </w:r>
          </w:p>
        </w:tc>
        <w:tc>
          <w:tcPr>
            <w:tcW w:w="1455" w:type="dxa"/>
            <w:tcBorders>
              <w:top w:val="single" w:sz="4" w:space="0" w:color="auto"/>
              <w:left w:val="single" w:sz="4" w:space="0" w:color="auto"/>
              <w:bottom w:val="single" w:sz="4" w:space="0" w:color="auto"/>
              <w:right w:val="single" w:sz="4" w:space="0" w:color="auto"/>
            </w:tcBorders>
            <w:vAlign w:val="center"/>
          </w:tcPr>
          <w:p w14:paraId="3B5EA2A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120</w:t>
            </w:r>
          </w:p>
        </w:tc>
        <w:tc>
          <w:tcPr>
            <w:tcW w:w="1350" w:type="dxa"/>
            <w:tcBorders>
              <w:top w:val="single" w:sz="4" w:space="0" w:color="auto"/>
              <w:left w:val="single" w:sz="4" w:space="0" w:color="auto"/>
              <w:bottom w:val="single" w:sz="4" w:space="0" w:color="auto"/>
              <w:right w:val="single" w:sz="4" w:space="0" w:color="auto"/>
            </w:tcBorders>
            <w:vAlign w:val="center"/>
          </w:tcPr>
          <w:p w14:paraId="389279B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120</w:t>
            </w:r>
          </w:p>
        </w:tc>
        <w:tc>
          <w:tcPr>
            <w:tcW w:w="1350" w:type="dxa"/>
            <w:tcBorders>
              <w:top w:val="single" w:sz="4" w:space="0" w:color="auto"/>
              <w:left w:val="single" w:sz="4" w:space="0" w:color="auto"/>
              <w:bottom w:val="single" w:sz="4" w:space="0" w:color="auto"/>
              <w:right w:val="single" w:sz="4" w:space="0" w:color="auto"/>
            </w:tcBorders>
            <w:vAlign w:val="center"/>
          </w:tcPr>
          <w:p w14:paraId="66536EC3"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120</w:t>
            </w:r>
          </w:p>
        </w:tc>
      </w:tr>
      <w:tr w:rsidR="00241417" w:rsidRPr="00401B60" w14:paraId="12FD4910"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3F0B70BF"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Duplex Mode</w:t>
            </w:r>
          </w:p>
        </w:tc>
        <w:tc>
          <w:tcPr>
            <w:tcW w:w="740" w:type="dxa"/>
            <w:tcBorders>
              <w:top w:val="single" w:sz="4" w:space="0" w:color="auto"/>
              <w:left w:val="single" w:sz="4" w:space="0" w:color="auto"/>
              <w:bottom w:val="single" w:sz="4" w:space="0" w:color="auto"/>
              <w:right w:val="single" w:sz="4" w:space="0" w:color="auto"/>
            </w:tcBorders>
            <w:vAlign w:val="center"/>
          </w:tcPr>
          <w:p w14:paraId="34F12AA6"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22FE0549"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TDD</w:t>
            </w:r>
          </w:p>
        </w:tc>
        <w:tc>
          <w:tcPr>
            <w:tcW w:w="1350" w:type="dxa"/>
            <w:tcBorders>
              <w:top w:val="single" w:sz="4" w:space="0" w:color="auto"/>
              <w:left w:val="single" w:sz="4" w:space="0" w:color="auto"/>
              <w:bottom w:val="single" w:sz="4" w:space="0" w:color="auto"/>
              <w:right w:val="single" w:sz="4" w:space="0" w:color="auto"/>
            </w:tcBorders>
            <w:vAlign w:val="center"/>
          </w:tcPr>
          <w:p w14:paraId="061D9957"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TDD</w:t>
            </w:r>
          </w:p>
        </w:tc>
        <w:tc>
          <w:tcPr>
            <w:tcW w:w="1350" w:type="dxa"/>
            <w:tcBorders>
              <w:top w:val="single" w:sz="4" w:space="0" w:color="auto"/>
              <w:left w:val="single" w:sz="4" w:space="0" w:color="auto"/>
              <w:bottom w:val="single" w:sz="4" w:space="0" w:color="auto"/>
              <w:right w:val="single" w:sz="4" w:space="0" w:color="auto"/>
            </w:tcBorders>
            <w:vAlign w:val="center"/>
          </w:tcPr>
          <w:p w14:paraId="38904D9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TDD</w:t>
            </w:r>
          </w:p>
        </w:tc>
      </w:tr>
      <w:tr w:rsidR="00241417" w:rsidRPr="00401B60" w14:paraId="56EEDCBE"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19E8AEED" w14:textId="77777777" w:rsidR="00241417" w:rsidRPr="00FA1FB5" w:rsidRDefault="00241417" w:rsidP="003A71DE">
            <w:pPr>
              <w:keepNext/>
              <w:keepLines/>
              <w:spacing w:after="0"/>
              <w:rPr>
                <w:rFonts w:ascii="Arial" w:eastAsia="SimSun" w:hAnsi="Arial"/>
                <w:strike/>
                <w:sz w:val="18"/>
                <w:highlight w:val="yellow"/>
                <w:lang w:val="en-US"/>
              </w:rPr>
            </w:pPr>
            <w:r w:rsidRPr="00FA1FB5">
              <w:rPr>
                <w:rFonts w:ascii="Arial" w:eastAsia="SimSun" w:hAnsi="Arial"/>
                <w:sz w:val="18"/>
                <w:lang w:val="en-US"/>
              </w:rPr>
              <w:t>Default TDD UL-DL pattern (Note 1)</w:t>
            </w:r>
          </w:p>
        </w:tc>
        <w:tc>
          <w:tcPr>
            <w:tcW w:w="740" w:type="dxa"/>
            <w:tcBorders>
              <w:top w:val="single" w:sz="4" w:space="0" w:color="auto"/>
              <w:left w:val="single" w:sz="4" w:space="0" w:color="auto"/>
              <w:bottom w:val="single" w:sz="4" w:space="0" w:color="auto"/>
              <w:right w:val="single" w:sz="4" w:space="0" w:color="auto"/>
            </w:tcBorders>
            <w:vAlign w:val="center"/>
          </w:tcPr>
          <w:p w14:paraId="0E8B71D9" w14:textId="77777777" w:rsidR="00241417" w:rsidRPr="00FA1FB5" w:rsidRDefault="00241417" w:rsidP="003A71DE">
            <w:pPr>
              <w:keepNext/>
              <w:keepLines/>
              <w:spacing w:after="0"/>
              <w:jc w:val="center"/>
              <w:rPr>
                <w:rFonts w:ascii="Arial" w:eastAsia="SimSun" w:hAnsi="Arial"/>
                <w:strike/>
                <w:sz w:val="18"/>
                <w:highlight w:val="yellow"/>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169B4AB5" w14:textId="77777777" w:rsidR="00241417" w:rsidRPr="00FA1FB5" w:rsidRDefault="00241417" w:rsidP="003A71DE">
            <w:pPr>
              <w:keepNext/>
              <w:keepLines/>
              <w:spacing w:after="0"/>
              <w:jc w:val="center"/>
              <w:rPr>
                <w:rFonts w:ascii="Arial" w:eastAsia="SimSun" w:hAnsi="Arial"/>
                <w:strike/>
                <w:sz w:val="18"/>
                <w:highlight w:val="yellow"/>
                <w:lang w:val="en-US"/>
              </w:rPr>
            </w:pPr>
            <w:r w:rsidRPr="00FA1FB5">
              <w:rPr>
                <w:rFonts w:ascii="Arial" w:hAnsi="Arial"/>
                <w:sz w:val="18"/>
                <w:lang w:val="en-US"/>
              </w:rPr>
              <w:t>3D1S1U</w:t>
            </w:r>
          </w:p>
        </w:tc>
        <w:tc>
          <w:tcPr>
            <w:tcW w:w="1350" w:type="dxa"/>
            <w:tcBorders>
              <w:top w:val="single" w:sz="4" w:space="0" w:color="auto"/>
              <w:left w:val="single" w:sz="4" w:space="0" w:color="auto"/>
              <w:bottom w:val="single" w:sz="4" w:space="0" w:color="auto"/>
              <w:right w:val="single" w:sz="4" w:space="0" w:color="auto"/>
            </w:tcBorders>
            <w:vAlign w:val="center"/>
          </w:tcPr>
          <w:p w14:paraId="5E8DB00F" w14:textId="77777777" w:rsidR="00241417" w:rsidRPr="00FA1FB5" w:rsidRDefault="00241417" w:rsidP="003A71DE">
            <w:pPr>
              <w:keepNext/>
              <w:keepLines/>
              <w:spacing w:after="0"/>
              <w:jc w:val="center"/>
              <w:rPr>
                <w:rFonts w:ascii="Arial" w:eastAsia="SimSun" w:hAnsi="Arial"/>
                <w:strike/>
                <w:sz w:val="18"/>
                <w:highlight w:val="yellow"/>
                <w:lang w:val="en-US"/>
              </w:rPr>
            </w:pPr>
            <w:r w:rsidRPr="00FA1FB5">
              <w:rPr>
                <w:rFonts w:ascii="Arial" w:hAnsi="Arial"/>
                <w:sz w:val="18"/>
                <w:lang w:val="en-US"/>
              </w:rPr>
              <w:t>3D1S1U</w:t>
            </w:r>
          </w:p>
        </w:tc>
        <w:tc>
          <w:tcPr>
            <w:tcW w:w="1350" w:type="dxa"/>
            <w:tcBorders>
              <w:top w:val="single" w:sz="4" w:space="0" w:color="auto"/>
              <w:left w:val="single" w:sz="4" w:space="0" w:color="auto"/>
              <w:bottom w:val="single" w:sz="4" w:space="0" w:color="auto"/>
              <w:right w:val="single" w:sz="4" w:space="0" w:color="auto"/>
            </w:tcBorders>
            <w:vAlign w:val="center"/>
          </w:tcPr>
          <w:p w14:paraId="7CA81307" w14:textId="77777777" w:rsidR="00241417" w:rsidRPr="00FA1FB5" w:rsidRDefault="00241417" w:rsidP="003A71DE">
            <w:pPr>
              <w:keepNext/>
              <w:keepLines/>
              <w:spacing w:after="0"/>
              <w:jc w:val="center"/>
              <w:rPr>
                <w:rFonts w:ascii="Arial" w:eastAsia="SimSun" w:hAnsi="Arial"/>
                <w:strike/>
                <w:sz w:val="18"/>
                <w:highlight w:val="yellow"/>
                <w:lang w:val="en-US"/>
              </w:rPr>
            </w:pPr>
            <w:r w:rsidRPr="00FA1FB5">
              <w:rPr>
                <w:rFonts w:ascii="Arial" w:hAnsi="Arial"/>
                <w:sz w:val="18"/>
                <w:lang w:val="en-US"/>
              </w:rPr>
              <w:t>3D1S1U</w:t>
            </w:r>
          </w:p>
        </w:tc>
      </w:tr>
      <w:tr w:rsidR="00241417" w:rsidRPr="00401B60" w14:paraId="0B8C967C"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24973FC3" w14:textId="77777777" w:rsidR="00241417" w:rsidRPr="00FA1FB5" w:rsidRDefault="00241417" w:rsidP="003A71DE">
            <w:pPr>
              <w:keepNext/>
              <w:keepLines/>
              <w:spacing w:after="0"/>
              <w:rPr>
                <w:rFonts w:ascii="Arial" w:eastAsia="SimSun" w:hAnsi="Arial"/>
                <w:strike/>
                <w:sz w:val="18"/>
                <w:highlight w:val="yellow"/>
                <w:lang w:val="en-US"/>
              </w:rPr>
            </w:pPr>
            <w:r w:rsidRPr="00FA1FB5">
              <w:rPr>
                <w:rFonts w:ascii="Arial" w:eastAsia="SimSun" w:hAnsi="Arial"/>
                <w:sz w:val="18"/>
                <w:lang w:val="en-US"/>
              </w:rPr>
              <w:t>Special Slot Configuration</w:t>
            </w:r>
          </w:p>
        </w:tc>
        <w:tc>
          <w:tcPr>
            <w:tcW w:w="740" w:type="dxa"/>
            <w:tcBorders>
              <w:top w:val="single" w:sz="4" w:space="0" w:color="auto"/>
              <w:left w:val="single" w:sz="4" w:space="0" w:color="auto"/>
              <w:bottom w:val="single" w:sz="4" w:space="0" w:color="auto"/>
              <w:right w:val="single" w:sz="4" w:space="0" w:color="auto"/>
            </w:tcBorders>
            <w:vAlign w:val="center"/>
          </w:tcPr>
          <w:p w14:paraId="5975F467" w14:textId="77777777" w:rsidR="00241417" w:rsidRPr="00FA1FB5" w:rsidRDefault="00241417" w:rsidP="003A71DE">
            <w:pPr>
              <w:keepNext/>
              <w:keepLines/>
              <w:spacing w:after="0"/>
              <w:jc w:val="center"/>
              <w:rPr>
                <w:rFonts w:ascii="Arial" w:eastAsia="SimSun" w:hAnsi="Arial"/>
                <w:strike/>
                <w:sz w:val="18"/>
                <w:highlight w:val="yellow"/>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1D2E0815" w14:textId="77777777" w:rsidR="00241417" w:rsidRPr="00FA1FB5" w:rsidRDefault="00241417" w:rsidP="003A71DE">
            <w:pPr>
              <w:keepNext/>
              <w:keepLines/>
              <w:spacing w:after="0"/>
              <w:jc w:val="center"/>
              <w:rPr>
                <w:rFonts w:ascii="Arial" w:eastAsia="SimSun" w:hAnsi="Arial"/>
                <w:strike/>
                <w:sz w:val="18"/>
                <w:highlight w:val="yellow"/>
                <w:lang w:val="en-US"/>
              </w:rPr>
            </w:pPr>
            <w:r w:rsidRPr="00FA1FB5">
              <w:rPr>
                <w:rFonts w:ascii="Arial" w:hAnsi="Arial"/>
                <w:sz w:val="18"/>
                <w:lang w:val="en-US"/>
              </w:rPr>
              <w:t>10D+2G+2U</w:t>
            </w:r>
          </w:p>
        </w:tc>
        <w:tc>
          <w:tcPr>
            <w:tcW w:w="1350" w:type="dxa"/>
            <w:tcBorders>
              <w:top w:val="single" w:sz="4" w:space="0" w:color="auto"/>
              <w:left w:val="single" w:sz="4" w:space="0" w:color="auto"/>
              <w:bottom w:val="single" w:sz="4" w:space="0" w:color="auto"/>
              <w:right w:val="single" w:sz="4" w:space="0" w:color="auto"/>
            </w:tcBorders>
            <w:vAlign w:val="center"/>
          </w:tcPr>
          <w:p w14:paraId="09F8E05A" w14:textId="77777777" w:rsidR="00241417" w:rsidRPr="00FA1FB5" w:rsidRDefault="00241417" w:rsidP="003A71DE">
            <w:pPr>
              <w:keepNext/>
              <w:keepLines/>
              <w:spacing w:after="0"/>
              <w:jc w:val="center"/>
              <w:rPr>
                <w:rFonts w:ascii="Arial" w:eastAsia="SimSun" w:hAnsi="Arial"/>
                <w:strike/>
                <w:sz w:val="18"/>
                <w:highlight w:val="yellow"/>
                <w:lang w:val="en-US"/>
              </w:rPr>
            </w:pPr>
            <w:r w:rsidRPr="00FA1FB5">
              <w:rPr>
                <w:rFonts w:ascii="Arial" w:hAnsi="Arial"/>
                <w:sz w:val="18"/>
                <w:lang w:val="en-US"/>
              </w:rPr>
              <w:t>10D+2G+2U</w:t>
            </w:r>
          </w:p>
        </w:tc>
        <w:tc>
          <w:tcPr>
            <w:tcW w:w="1350" w:type="dxa"/>
            <w:tcBorders>
              <w:top w:val="single" w:sz="4" w:space="0" w:color="auto"/>
              <w:left w:val="single" w:sz="4" w:space="0" w:color="auto"/>
              <w:bottom w:val="single" w:sz="4" w:space="0" w:color="auto"/>
              <w:right w:val="single" w:sz="4" w:space="0" w:color="auto"/>
            </w:tcBorders>
            <w:vAlign w:val="center"/>
          </w:tcPr>
          <w:p w14:paraId="2BC3A48E" w14:textId="77777777" w:rsidR="00241417" w:rsidRPr="00FA1FB5" w:rsidRDefault="00241417" w:rsidP="003A71DE">
            <w:pPr>
              <w:keepNext/>
              <w:keepLines/>
              <w:spacing w:after="0"/>
              <w:jc w:val="center"/>
              <w:rPr>
                <w:rFonts w:ascii="Arial" w:eastAsia="SimSun" w:hAnsi="Arial"/>
                <w:strike/>
                <w:sz w:val="18"/>
                <w:highlight w:val="yellow"/>
                <w:lang w:val="en-US"/>
              </w:rPr>
            </w:pPr>
            <w:r w:rsidRPr="00FA1FB5">
              <w:rPr>
                <w:rFonts w:ascii="Arial" w:hAnsi="Arial"/>
                <w:sz w:val="18"/>
                <w:lang w:val="en-US"/>
              </w:rPr>
              <w:t>10D+2G+2U</w:t>
            </w:r>
          </w:p>
        </w:tc>
      </w:tr>
      <w:tr w:rsidR="00241417" w:rsidRPr="00401B60" w14:paraId="2D20501A"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2B75BDAF" w14:textId="77777777" w:rsidR="00241417" w:rsidRPr="00FA1FB5" w:rsidRDefault="00241417" w:rsidP="003A71DE">
            <w:pPr>
              <w:keepNext/>
              <w:keepLines/>
              <w:spacing w:after="0"/>
              <w:rPr>
                <w:rFonts w:ascii="Arial" w:eastAsia="?? ??" w:hAnsi="Arial"/>
                <w:sz w:val="18"/>
                <w:lang w:val="en-US"/>
              </w:rPr>
            </w:pPr>
            <w:r w:rsidRPr="00FA1FB5">
              <w:rPr>
                <w:rFonts w:ascii="Arial" w:eastAsia="?? ??" w:hAnsi="Arial"/>
                <w:sz w:val="18"/>
                <w:lang w:val="en-US"/>
              </w:rPr>
              <w:t xml:space="preserve">SNR </w:t>
            </w:r>
          </w:p>
        </w:tc>
        <w:tc>
          <w:tcPr>
            <w:tcW w:w="740" w:type="dxa"/>
            <w:tcBorders>
              <w:top w:val="single" w:sz="4" w:space="0" w:color="auto"/>
              <w:left w:val="single" w:sz="4" w:space="0" w:color="auto"/>
              <w:bottom w:val="single" w:sz="4" w:space="0" w:color="auto"/>
              <w:right w:val="single" w:sz="4" w:space="0" w:color="auto"/>
            </w:tcBorders>
            <w:vAlign w:val="center"/>
            <w:hideMark/>
          </w:tcPr>
          <w:p w14:paraId="5EFAA39C"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 xml:space="preserve"> dB</w:t>
            </w:r>
          </w:p>
        </w:tc>
        <w:tc>
          <w:tcPr>
            <w:tcW w:w="1455" w:type="dxa"/>
            <w:tcBorders>
              <w:top w:val="single" w:sz="4" w:space="0" w:color="auto"/>
              <w:left w:val="single" w:sz="4" w:space="0" w:color="auto"/>
              <w:bottom w:val="single" w:sz="4" w:space="0" w:color="auto"/>
              <w:right w:val="single" w:sz="4" w:space="0" w:color="auto"/>
            </w:tcBorders>
            <w:vAlign w:val="center"/>
          </w:tcPr>
          <w:p w14:paraId="50638AFC"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0</w:t>
            </w:r>
          </w:p>
        </w:tc>
        <w:tc>
          <w:tcPr>
            <w:tcW w:w="1350" w:type="dxa"/>
            <w:tcBorders>
              <w:top w:val="single" w:sz="4" w:space="0" w:color="auto"/>
              <w:left w:val="single" w:sz="4" w:space="0" w:color="auto"/>
              <w:bottom w:val="single" w:sz="4" w:space="0" w:color="auto"/>
              <w:right w:val="single" w:sz="4" w:space="0" w:color="auto"/>
            </w:tcBorders>
            <w:vAlign w:val="center"/>
          </w:tcPr>
          <w:p w14:paraId="15D7D44B"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16</w:t>
            </w:r>
          </w:p>
        </w:tc>
        <w:tc>
          <w:tcPr>
            <w:tcW w:w="1350" w:type="dxa"/>
            <w:tcBorders>
              <w:top w:val="single" w:sz="4" w:space="0" w:color="auto"/>
              <w:left w:val="single" w:sz="4" w:space="0" w:color="auto"/>
              <w:bottom w:val="single" w:sz="4" w:space="0" w:color="auto"/>
              <w:right w:val="single" w:sz="4" w:space="0" w:color="auto"/>
            </w:tcBorders>
            <w:vAlign w:val="center"/>
          </w:tcPr>
          <w:p w14:paraId="13F8068F"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hint="eastAsia"/>
                <w:sz w:val="18"/>
                <w:lang w:val="en-US" w:eastAsia="zh-CN"/>
              </w:rPr>
              <w:t>16</w:t>
            </w:r>
          </w:p>
        </w:tc>
      </w:tr>
      <w:tr w:rsidR="00241417" w:rsidRPr="00401B60" w14:paraId="47DF1B48"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4BADB91B"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Propagation channel</w:t>
            </w:r>
          </w:p>
        </w:tc>
        <w:tc>
          <w:tcPr>
            <w:tcW w:w="740" w:type="dxa"/>
            <w:tcBorders>
              <w:top w:val="single" w:sz="4" w:space="0" w:color="auto"/>
              <w:left w:val="single" w:sz="4" w:space="0" w:color="auto"/>
              <w:bottom w:val="single" w:sz="4" w:space="0" w:color="auto"/>
              <w:right w:val="single" w:sz="4" w:space="0" w:color="auto"/>
            </w:tcBorders>
            <w:vAlign w:val="center"/>
          </w:tcPr>
          <w:p w14:paraId="62A31B78"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tcPr>
          <w:p w14:paraId="2661C28E"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TDLA30-</w:t>
            </w:r>
            <w:r w:rsidRPr="00FA1FB5">
              <w:rPr>
                <w:rFonts w:ascii="Arial" w:eastAsia="SimSun" w:hAnsi="Arial" w:hint="eastAsia"/>
                <w:sz w:val="18"/>
                <w:lang w:val="en-US" w:eastAsia="zh-CN"/>
              </w:rPr>
              <w:t>3</w:t>
            </w:r>
            <w:r w:rsidRPr="00FA1FB5">
              <w:rPr>
                <w:rFonts w:ascii="Arial" w:eastAsia="SimSun" w:hAnsi="Arial"/>
                <w:sz w:val="18"/>
                <w:lang w:val="en-US"/>
              </w:rPr>
              <w:t>5</w:t>
            </w:r>
          </w:p>
        </w:tc>
        <w:tc>
          <w:tcPr>
            <w:tcW w:w="1350" w:type="dxa"/>
            <w:tcBorders>
              <w:top w:val="single" w:sz="4" w:space="0" w:color="auto"/>
              <w:left w:val="single" w:sz="4" w:space="0" w:color="auto"/>
              <w:bottom w:val="single" w:sz="4" w:space="0" w:color="auto"/>
              <w:right w:val="single" w:sz="4" w:space="0" w:color="auto"/>
            </w:tcBorders>
          </w:tcPr>
          <w:p w14:paraId="0F719403"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TDLA30-</w:t>
            </w:r>
            <w:r w:rsidRPr="00FA1FB5">
              <w:rPr>
                <w:rFonts w:ascii="Arial" w:eastAsia="SimSun" w:hAnsi="Arial" w:hint="eastAsia"/>
                <w:sz w:val="18"/>
                <w:lang w:val="en-US" w:eastAsia="zh-CN"/>
              </w:rPr>
              <w:t>3</w:t>
            </w:r>
            <w:r w:rsidRPr="00FA1FB5">
              <w:rPr>
                <w:rFonts w:ascii="Arial" w:eastAsia="SimSun" w:hAnsi="Arial"/>
                <w:sz w:val="18"/>
                <w:lang w:val="en-US"/>
              </w:rPr>
              <w:t>5</w:t>
            </w:r>
          </w:p>
        </w:tc>
        <w:tc>
          <w:tcPr>
            <w:tcW w:w="1350" w:type="dxa"/>
            <w:tcBorders>
              <w:top w:val="single" w:sz="4" w:space="0" w:color="auto"/>
              <w:left w:val="single" w:sz="4" w:space="0" w:color="auto"/>
              <w:bottom w:val="single" w:sz="4" w:space="0" w:color="auto"/>
              <w:right w:val="single" w:sz="4" w:space="0" w:color="auto"/>
            </w:tcBorders>
          </w:tcPr>
          <w:p w14:paraId="1347E313"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TDLA30-</w:t>
            </w:r>
            <w:r w:rsidRPr="00FA1FB5">
              <w:rPr>
                <w:rFonts w:ascii="Arial" w:eastAsia="SimSun" w:hAnsi="Arial" w:hint="eastAsia"/>
                <w:sz w:val="18"/>
                <w:lang w:val="en-US" w:eastAsia="zh-CN"/>
              </w:rPr>
              <w:t>3</w:t>
            </w:r>
            <w:r w:rsidRPr="00FA1FB5">
              <w:rPr>
                <w:rFonts w:ascii="Arial" w:eastAsia="SimSun" w:hAnsi="Arial"/>
                <w:sz w:val="18"/>
                <w:lang w:val="en-US"/>
              </w:rPr>
              <w:t>5</w:t>
            </w:r>
          </w:p>
        </w:tc>
      </w:tr>
      <w:tr w:rsidR="00241417" w:rsidRPr="00401B60" w14:paraId="4F999E10"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552668A7"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Antenna configuration</w:t>
            </w:r>
          </w:p>
        </w:tc>
        <w:tc>
          <w:tcPr>
            <w:tcW w:w="740" w:type="dxa"/>
            <w:tcBorders>
              <w:top w:val="single" w:sz="4" w:space="0" w:color="auto"/>
              <w:left w:val="single" w:sz="4" w:space="0" w:color="auto"/>
              <w:bottom w:val="single" w:sz="4" w:space="0" w:color="auto"/>
              <w:right w:val="single" w:sz="4" w:space="0" w:color="auto"/>
            </w:tcBorders>
            <w:vAlign w:val="center"/>
          </w:tcPr>
          <w:p w14:paraId="3D89C428"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6937052D"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ULA Low 2x2</w:t>
            </w:r>
          </w:p>
        </w:tc>
        <w:tc>
          <w:tcPr>
            <w:tcW w:w="1350" w:type="dxa"/>
            <w:tcBorders>
              <w:top w:val="single" w:sz="4" w:space="0" w:color="auto"/>
              <w:left w:val="single" w:sz="4" w:space="0" w:color="auto"/>
              <w:bottom w:val="single" w:sz="4" w:space="0" w:color="auto"/>
              <w:right w:val="single" w:sz="4" w:space="0" w:color="auto"/>
            </w:tcBorders>
            <w:vAlign w:val="center"/>
          </w:tcPr>
          <w:p w14:paraId="7ECE7698"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ULA Low 2x2</w:t>
            </w:r>
          </w:p>
        </w:tc>
        <w:tc>
          <w:tcPr>
            <w:tcW w:w="1350" w:type="dxa"/>
            <w:tcBorders>
              <w:top w:val="single" w:sz="4" w:space="0" w:color="auto"/>
              <w:left w:val="single" w:sz="4" w:space="0" w:color="auto"/>
              <w:bottom w:val="single" w:sz="4" w:space="0" w:color="auto"/>
              <w:right w:val="single" w:sz="4" w:space="0" w:color="auto"/>
            </w:tcBorders>
            <w:vAlign w:val="center"/>
          </w:tcPr>
          <w:p w14:paraId="51A8B0F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XP High 2x2</w:t>
            </w:r>
          </w:p>
        </w:tc>
      </w:tr>
      <w:tr w:rsidR="009F2BA2" w:rsidRPr="00401B60" w14:paraId="3FC751E0"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5351BDB4" w14:textId="77777777" w:rsidR="009F2BA2" w:rsidRPr="00FA1FB5" w:rsidRDefault="009F2BA2" w:rsidP="009F2BA2">
            <w:pPr>
              <w:keepNext/>
              <w:keepLines/>
              <w:spacing w:after="0"/>
              <w:rPr>
                <w:rFonts w:ascii="Arial" w:eastAsia="SimSun" w:hAnsi="Arial"/>
                <w:sz w:val="18"/>
                <w:lang w:val="en-US"/>
              </w:rPr>
            </w:pPr>
            <w:r w:rsidRPr="00FA1FB5">
              <w:rPr>
                <w:rFonts w:ascii="Arial" w:eastAsia="SimSun" w:hAnsi="Arial"/>
                <w:sz w:val="18"/>
                <w:lang w:val="en-US"/>
              </w:rPr>
              <w:t>Beamforming Model</w:t>
            </w:r>
          </w:p>
        </w:tc>
        <w:tc>
          <w:tcPr>
            <w:tcW w:w="740" w:type="dxa"/>
            <w:tcBorders>
              <w:top w:val="single" w:sz="4" w:space="0" w:color="auto"/>
              <w:left w:val="single" w:sz="4" w:space="0" w:color="auto"/>
              <w:bottom w:val="single" w:sz="4" w:space="0" w:color="auto"/>
              <w:right w:val="single" w:sz="4" w:space="0" w:color="auto"/>
            </w:tcBorders>
            <w:vAlign w:val="center"/>
          </w:tcPr>
          <w:p w14:paraId="01E77FD5" w14:textId="77777777" w:rsidR="009F2BA2" w:rsidRPr="00FA1FB5" w:rsidRDefault="009F2BA2" w:rsidP="009F2BA2">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291FAEE6" w14:textId="344FB435" w:rsidR="009F2BA2" w:rsidRPr="0055145D" w:rsidRDefault="009F2BA2" w:rsidP="009F2BA2">
            <w:pPr>
              <w:pStyle w:val="TAC"/>
              <w:rPr>
                <w:lang w:val="en-US" w:eastAsia="zh-CN"/>
              </w:rPr>
            </w:pPr>
            <w:r w:rsidRPr="0055145D">
              <w:rPr>
                <w:lang w:val="en-US"/>
              </w:rPr>
              <w:t xml:space="preserve">As defined in Annex </w:t>
            </w:r>
            <w:r>
              <w:t>I.3.1</w:t>
            </w:r>
          </w:p>
        </w:tc>
        <w:tc>
          <w:tcPr>
            <w:tcW w:w="1350" w:type="dxa"/>
            <w:tcBorders>
              <w:top w:val="single" w:sz="4" w:space="0" w:color="auto"/>
              <w:left w:val="single" w:sz="4" w:space="0" w:color="auto"/>
              <w:bottom w:val="single" w:sz="4" w:space="0" w:color="auto"/>
              <w:right w:val="single" w:sz="4" w:space="0" w:color="auto"/>
            </w:tcBorders>
            <w:vAlign w:val="center"/>
          </w:tcPr>
          <w:p w14:paraId="3F8580F4" w14:textId="70C134C9" w:rsidR="009F2BA2" w:rsidRPr="0055145D" w:rsidRDefault="009F2BA2" w:rsidP="009F2BA2">
            <w:pPr>
              <w:pStyle w:val="TAC"/>
              <w:rPr>
                <w:lang w:val="en-US" w:eastAsia="zh-CN"/>
              </w:rPr>
            </w:pPr>
            <w:r w:rsidRPr="0055145D">
              <w:rPr>
                <w:lang w:val="en-US"/>
              </w:rPr>
              <w:t xml:space="preserve">As defined in Annex </w:t>
            </w:r>
            <w:r>
              <w:t>I.3.1</w:t>
            </w:r>
          </w:p>
        </w:tc>
        <w:tc>
          <w:tcPr>
            <w:tcW w:w="1350" w:type="dxa"/>
            <w:tcBorders>
              <w:top w:val="single" w:sz="4" w:space="0" w:color="auto"/>
              <w:left w:val="single" w:sz="4" w:space="0" w:color="auto"/>
              <w:bottom w:val="single" w:sz="4" w:space="0" w:color="auto"/>
              <w:right w:val="single" w:sz="4" w:space="0" w:color="auto"/>
            </w:tcBorders>
            <w:vAlign w:val="center"/>
          </w:tcPr>
          <w:p w14:paraId="7FB0E17C" w14:textId="3F12F390" w:rsidR="009F2BA2" w:rsidRPr="0055145D" w:rsidRDefault="009F2BA2" w:rsidP="009F2BA2">
            <w:pPr>
              <w:pStyle w:val="TAC"/>
              <w:rPr>
                <w:lang w:val="en-US" w:eastAsia="zh-CN"/>
              </w:rPr>
            </w:pPr>
            <w:r w:rsidRPr="0055145D">
              <w:rPr>
                <w:lang w:val="en-US"/>
              </w:rPr>
              <w:t xml:space="preserve">As defined in Annex </w:t>
            </w:r>
            <w:r>
              <w:t>I.3.1</w:t>
            </w:r>
          </w:p>
        </w:tc>
      </w:tr>
      <w:tr w:rsidR="00241417" w:rsidRPr="00401B60" w14:paraId="2C5A5B88" w14:textId="77777777" w:rsidTr="003A71DE">
        <w:trPr>
          <w:trHeight w:val="70"/>
        </w:trPr>
        <w:tc>
          <w:tcPr>
            <w:tcW w:w="1196" w:type="dxa"/>
            <w:vMerge w:val="restart"/>
            <w:tcBorders>
              <w:top w:val="single" w:sz="4" w:space="0" w:color="auto"/>
              <w:left w:val="single" w:sz="4" w:space="0" w:color="auto"/>
              <w:right w:val="single" w:sz="4" w:space="0" w:color="auto"/>
            </w:tcBorders>
            <w:vAlign w:val="center"/>
            <w:hideMark/>
          </w:tcPr>
          <w:p w14:paraId="5C9CD3B8"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NZP CSI-RS for CSI acquisition</w:t>
            </w:r>
          </w:p>
          <w:p w14:paraId="07730F6A" w14:textId="77777777" w:rsidR="00241417" w:rsidRPr="00FA1FB5" w:rsidRDefault="00241417" w:rsidP="003A71DE">
            <w:pPr>
              <w:keepNext/>
              <w:keepLines/>
              <w:spacing w:after="0"/>
              <w:rPr>
                <w:rFonts w:ascii="Arial" w:eastAsia="SimSun" w:hAnsi="Arial"/>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6423199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CSI-RS resource</w:t>
            </w:r>
            <w:r w:rsidRPr="00FA1FB5">
              <w:rPr>
                <w:rFonts w:ascii="Arial" w:eastAsia="SimSun" w:hAnsi="Arial" w:hint="eastAsia"/>
                <w:sz w:val="18"/>
                <w:lang w:val="en-US"/>
              </w:rPr>
              <w:t xml:space="preserve"> </w:t>
            </w:r>
            <w:r w:rsidRPr="00FA1FB5">
              <w:rPr>
                <w:rFonts w:ascii="Arial" w:eastAsia="SimSun" w:hAnsi="Arial"/>
                <w:sz w:val="18"/>
                <w:lang w:val="en-US"/>
              </w:rPr>
              <w:t>Type</w:t>
            </w:r>
          </w:p>
        </w:tc>
        <w:tc>
          <w:tcPr>
            <w:tcW w:w="740" w:type="dxa"/>
            <w:tcBorders>
              <w:top w:val="single" w:sz="4" w:space="0" w:color="auto"/>
              <w:left w:val="single" w:sz="4" w:space="0" w:color="auto"/>
              <w:bottom w:val="single" w:sz="4" w:space="0" w:color="auto"/>
              <w:right w:val="single" w:sz="4" w:space="0" w:color="auto"/>
            </w:tcBorders>
            <w:vAlign w:val="center"/>
          </w:tcPr>
          <w:p w14:paraId="319AA082"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140C7A77" w14:textId="77777777" w:rsidR="00241417" w:rsidRPr="009177D2"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Periodic</w:t>
            </w:r>
          </w:p>
        </w:tc>
        <w:tc>
          <w:tcPr>
            <w:tcW w:w="1350" w:type="dxa"/>
            <w:tcBorders>
              <w:top w:val="single" w:sz="4" w:space="0" w:color="auto"/>
              <w:left w:val="single" w:sz="4" w:space="0" w:color="auto"/>
              <w:bottom w:val="single" w:sz="4" w:space="0" w:color="auto"/>
              <w:right w:val="single" w:sz="4" w:space="0" w:color="auto"/>
            </w:tcBorders>
            <w:vAlign w:val="center"/>
          </w:tcPr>
          <w:p w14:paraId="3DC2D589" w14:textId="77777777" w:rsidR="00241417" w:rsidRPr="009177D2" w:rsidRDefault="00241417" w:rsidP="003A71DE">
            <w:pPr>
              <w:keepNext/>
              <w:keepLines/>
              <w:spacing w:after="0"/>
              <w:jc w:val="center"/>
              <w:rPr>
                <w:rFonts w:ascii="Arial" w:eastAsia="SimSun" w:hAnsi="Arial"/>
                <w:sz w:val="18"/>
              </w:rPr>
            </w:pPr>
            <w:r>
              <w:rPr>
                <w:rFonts w:ascii="Arial" w:eastAsia="SimSun" w:hAnsi="Arial"/>
                <w:sz w:val="18"/>
              </w:rPr>
              <w:t>Periodic</w:t>
            </w:r>
          </w:p>
        </w:tc>
        <w:tc>
          <w:tcPr>
            <w:tcW w:w="1350" w:type="dxa"/>
            <w:tcBorders>
              <w:top w:val="single" w:sz="4" w:space="0" w:color="auto"/>
              <w:left w:val="single" w:sz="4" w:space="0" w:color="auto"/>
              <w:bottom w:val="single" w:sz="4" w:space="0" w:color="auto"/>
              <w:right w:val="single" w:sz="4" w:space="0" w:color="auto"/>
            </w:tcBorders>
            <w:vAlign w:val="center"/>
          </w:tcPr>
          <w:p w14:paraId="7686CC59" w14:textId="77777777" w:rsidR="00241417" w:rsidRPr="009177D2" w:rsidRDefault="00241417" w:rsidP="003A71DE">
            <w:pPr>
              <w:keepNext/>
              <w:keepLines/>
              <w:spacing w:after="0"/>
              <w:jc w:val="center"/>
              <w:rPr>
                <w:rFonts w:ascii="Arial" w:eastAsia="SimSun" w:hAnsi="Arial"/>
                <w:sz w:val="18"/>
              </w:rPr>
            </w:pPr>
            <w:r>
              <w:rPr>
                <w:rFonts w:ascii="Arial" w:eastAsia="SimSun" w:hAnsi="Arial"/>
                <w:sz w:val="18"/>
              </w:rPr>
              <w:t>Periodic</w:t>
            </w:r>
          </w:p>
        </w:tc>
      </w:tr>
      <w:tr w:rsidR="00241417" w:rsidRPr="00401B60" w14:paraId="18677A41" w14:textId="77777777" w:rsidTr="003A71DE">
        <w:trPr>
          <w:trHeight w:val="70"/>
        </w:trPr>
        <w:tc>
          <w:tcPr>
            <w:tcW w:w="1196" w:type="dxa"/>
            <w:vMerge/>
            <w:tcBorders>
              <w:left w:val="single" w:sz="4" w:space="0" w:color="auto"/>
              <w:right w:val="single" w:sz="4" w:space="0" w:color="auto"/>
            </w:tcBorders>
            <w:vAlign w:val="center"/>
          </w:tcPr>
          <w:p w14:paraId="21764B26" w14:textId="77777777" w:rsidR="00241417" w:rsidRPr="00FA1FB5" w:rsidRDefault="00241417" w:rsidP="003A71DE">
            <w:pPr>
              <w:keepNext/>
              <w:keepLines/>
              <w:spacing w:after="0"/>
              <w:rPr>
                <w:rFonts w:ascii="Arial" w:eastAsia="SimSun" w:hAnsi="Arial"/>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522DA302"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Number of CSI-RS ports (</w:t>
            </w:r>
            <w:r w:rsidRPr="00FA1FB5">
              <w:rPr>
                <w:rFonts w:ascii="Arial" w:eastAsia="SimSun" w:hAnsi="Arial"/>
                <w:i/>
                <w:sz w:val="18"/>
                <w:lang w:val="en-US"/>
              </w:rPr>
              <w:t>X</w:t>
            </w:r>
            <w:r w:rsidRPr="00FA1FB5">
              <w:rPr>
                <w:rFonts w:ascii="Arial" w:eastAsia="SimSun" w:hAnsi="Arial"/>
                <w:sz w:val="18"/>
                <w:lang w:val="en-US"/>
              </w:rPr>
              <w:t>)</w:t>
            </w:r>
          </w:p>
        </w:tc>
        <w:tc>
          <w:tcPr>
            <w:tcW w:w="740" w:type="dxa"/>
            <w:tcBorders>
              <w:top w:val="single" w:sz="4" w:space="0" w:color="auto"/>
              <w:left w:val="single" w:sz="4" w:space="0" w:color="auto"/>
              <w:bottom w:val="single" w:sz="4" w:space="0" w:color="auto"/>
              <w:right w:val="single" w:sz="4" w:space="0" w:color="auto"/>
            </w:tcBorders>
            <w:vAlign w:val="center"/>
          </w:tcPr>
          <w:p w14:paraId="3BD35207"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34FEA944"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2</w:t>
            </w:r>
          </w:p>
        </w:tc>
        <w:tc>
          <w:tcPr>
            <w:tcW w:w="1350" w:type="dxa"/>
            <w:tcBorders>
              <w:top w:val="single" w:sz="4" w:space="0" w:color="auto"/>
              <w:left w:val="single" w:sz="4" w:space="0" w:color="auto"/>
              <w:bottom w:val="single" w:sz="4" w:space="0" w:color="auto"/>
              <w:right w:val="single" w:sz="4" w:space="0" w:color="auto"/>
            </w:tcBorders>
            <w:vAlign w:val="center"/>
          </w:tcPr>
          <w:p w14:paraId="28B05D90"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2</w:t>
            </w:r>
          </w:p>
        </w:tc>
        <w:tc>
          <w:tcPr>
            <w:tcW w:w="1350" w:type="dxa"/>
            <w:tcBorders>
              <w:top w:val="single" w:sz="4" w:space="0" w:color="auto"/>
              <w:left w:val="single" w:sz="4" w:space="0" w:color="auto"/>
              <w:bottom w:val="single" w:sz="4" w:space="0" w:color="auto"/>
              <w:right w:val="single" w:sz="4" w:space="0" w:color="auto"/>
            </w:tcBorders>
            <w:vAlign w:val="center"/>
          </w:tcPr>
          <w:p w14:paraId="1102183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2</w:t>
            </w:r>
          </w:p>
        </w:tc>
      </w:tr>
      <w:tr w:rsidR="00241417" w:rsidRPr="00401B60" w14:paraId="16A8A174" w14:textId="77777777" w:rsidTr="003A71DE">
        <w:trPr>
          <w:trHeight w:val="70"/>
        </w:trPr>
        <w:tc>
          <w:tcPr>
            <w:tcW w:w="1196" w:type="dxa"/>
            <w:vMerge/>
            <w:tcBorders>
              <w:left w:val="single" w:sz="4" w:space="0" w:color="auto"/>
              <w:right w:val="single" w:sz="4" w:space="0" w:color="auto"/>
            </w:tcBorders>
            <w:vAlign w:val="center"/>
            <w:hideMark/>
          </w:tcPr>
          <w:p w14:paraId="54C9D0A6" w14:textId="77777777" w:rsidR="00241417" w:rsidRPr="00FA1FB5" w:rsidRDefault="00241417" w:rsidP="003A71DE">
            <w:pPr>
              <w:keepNext/>
              <w:keepLines/>
              <w:spacing w:after="0"/>
              <w:rPr>
                <w:rFonts w:ascii="Arial" w:eastAsia="SimSun" w:hAnsi="Arial"/>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5D56639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CDM Type</w:t>
            </w:r>
          </w:p>
        </w:tc>
        <w:tc>
          <w:tcPr>
            <w:tcW w:w="740" w:type="dxa"/>
            <w:tcBorders>
              <w:top w:val="single" w:sz="4" w:space="0" w:color="auto"/>
              <w:left w:val="single" w:sz="4" w:space="0" w:color="auto"/>
              <w:bottom w:val="single" w:sz="4" w:space="0" w:color="auto"/>
              <w:right w:val="single" w:sz="4" w:space="0" w:color="auto"/>
            </w:tcBorders>
            <w:vAlign w:val="center"/>
          </w:tcPr>
          <w:p w14:paraId="56389324"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5371B7C0"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FD-CDM2</w:t>
            </w:r>
          </w:p>
        </w:tc>
        <w:tc>
          <w:tcPr>
            <w:tcW w:w="1350" w:type="dxa"/>
            <w:tcBorders>
              <w:top w:val="single" w:sz="4" w:space="0" w:color="auto"/>
              <w:left w:val="single" w:sz="4" w:space="0" w:color="auto"/>
              <w:bottom w:val="single" w:sz="4" w:space="0" w:color="auto"/>
              <w:right w:val="single" w:sz="4" w:space="0" w:color="auto"/>
            </w:tcBorders>
            <w:vAlign w:val="center"/>
          </w:tcPr>
          <w:p w14:paraId="4CA31B43"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FD-CDM2</w:t>
            </w:r>
          </w:p>
        </w:tc>
        <w:tc>
          <w:tcPr>
            <w:tcW w:w="1350" w:type="dxa"/>
            <w:tcBorders>
              <w:top w:val="single" w:sz="4" w:space="0" w:color="auto"/>
              <w:left w:val="single" w:sz="4" w:space="0" w:color="auto"/>
              <w:bottom w:val="single" w:sz="4" w:space="0" w:color="auto"/>
              <w:right w:val="single" w:sz="4" w:space="0" w:color="auto"/>
            </w:tcBorders>
            <w:vAlign w:val="center"/>
          </w:tcPr>
          <w:p w14:paraId="2859C35D"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FD-CDM2</w:t>
            </w:r>
          </w:p>
        </w:tc>
      </w:tr>
      <w:tr w:rsidR="00241417" w:rsidRPr="00401B60" w14:paraId="690328AF" w14:textId="77777777" w:rsidTr="003A71DE">
        <w:trPr>
          <w:trHeight w:val="70"/>
        </w:trPr>
        <w:tc>
          <w:tcPr>
            <w:tcW w:w="1196" w:type="dxa"/>
            <w:vMerge/>
            <w:tcBorders>
              <w:left w:val="single" w:sz="4" w:space="0" w:color="auto"/>
              <w:right w:val="single" w:sz="4" w:space="0" w:color="auto"/>
            </w:tcBorders>
            <w:vAlign w:val="center"/>
            <w:hideMark/>
          </w:tcPr>
          <w:p w14:paraId="5E468A5F" w14:textId="77777777" w:rsidR="00241417" w:rsidRPr="00FA1FB5" w:rsidRDefault="00241417" w:rsidP="003A71DE">
            <w:pPr>
              <w:keepNext/>
              <w:keepLines/>
              <w:spacing w:after="0"/>
              <w:rPr>
                <w:rFonts w:ascii="Arial" w:eastAsia="SimSun" w:hAnsi="Arial"/>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5337574C"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Density (ρ)</w:t>
            </w:r>
          </w:p>
        </w:tc>
        <w:tc>
          <w:tcPr>
            <w:tcW w:w="740" w:type="dxa"/>
            <w:tcBorders>
              <w:top w:val="single" w:sz="4" w:space="0" w:color="auto"/>
              <w:left w:val="single" w:sz="4" w:space="0" w:color="auto"/>
              <w:bottom w:val="single" w:sz="4" w:space="0" w:color="auto"/>
              <w:right w:val="single" w:sz="4" w:space="0" w:color="auto"/>
            </w:tcBorders>
            <w:vAlign w:val="center"/>
          </w:tcPr>
          <w:p w14:paraId="0D1CD0F6"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2589126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c>
          <w:tcPr>
            <w:tcW w:w="1350" w:type="dxa"/>
            <w:tcBorders>
              <w:top w:val="single" w:sz="4" w:space="0" w:color="auto"/>
              <w:left w:val="single" w:sz="4" w:space="0" w:color="auto"/>
              <w:bottom w:val="single" w:sz="4" w:space="0" w:color="auto"/>
              <w:right w:val="single" w:sz="4" w:space="0" w:color="auto"/>
            </w:tcBorders>
            <w:vAlign w:val="center"/>
          </w:tcPr>
          <w:p w14:paraId="1693091A"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c>
          <w:tcPr>
            <w:tcW w:w="1350" w:type="dxa"/>
            <w:tcBorders>
              <w:top w:val="single" w:sz="4" w:space="0" w:color="auto"/>
              <w:left w:val="single" w:sz="4" w:space="0" w:color="auto"/>
              <w:bottom w:val="single" w:sz="4" w:space="0" w:color="auto"/>
              <w:right w:val="single" w:sz="4" w:space="0" w:color="auto"/>
            </w:tcBorders>
            <w:vAlign w:val="center"/>
          </w:tcPr>
          <w:p w14:paraId="21D0F99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r>
      <w:tr w:rsidR="00241417" w:rsidRPr="00401B60" w14:paraId="4698B152" w14:textId="77777777" w:rsidTr="003A71DE">
        <w:trPr>
          <w:trHeight w:val="70"/>
        </w:trPr>
        <w:tc>
          <w:tcPr>
            <w:tcW w:w="1196" w:type="dxa"/>
            <w:vMerge/>
            <w:tcBorders>
              <w:left w:val="single" w:sz="4" w:space="0" w:color="auto"/>
              <w:right w:val="single" w:sz="4" w:space="0" w:color="auto"/>
            </w:tcBorders>
            <w:vAlign w:val="center"/>
            <w:hideMark/>
          </w:tcPr>
          <w:p w14:paraId="393CA8D3" w14:textId="77777777" w:rsidR="00241417" w:rsidRPr="00FA1FB5" w:rsidRDefault="00241417" w:rsidP="003A71DE">
            <w:pPr>
              <w:keepNext/>
              <w:keepLines/>
              <w:spacing w:after="0"/>
              <w:rPr>
                <w:rFonts w:ascii="Arial" w:eastAsia="SimSun" w:hAnsi="Arial"/>
                <w:b/>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67258C07"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First subcarrier index in the PRB used for CSI-RS</w:t>
            </w:r>
            <w:r w:rsidRPr="00FA1FB5" w:rsidDel="0032520A">
              <w:rPr>
                <w:rFonts w:ascii="Arial" w:eastAsia="SimSun" w:hAnsi="Arial"/>
                <w:sz w:val="18"/>
                <w:lang w:val="en-US"/>
              </w:rPr>
              <w:t xml:space="preserve"> </w:t>
            </w:r>
            <w:r w:rsidRPr="00FA1FB5">
              <w:rPr>
                <w:rFonts w:ascii="Arial" w:eastAsia="SimSun" w:hAnsi="Arial"/>
                <w:sz w:val="18"/>
                <w:lang w:val="en-US"/>
              </w:rPr>
              <w:t>(k</w:t>
            </w:r>
            <w:r w:rsidRPr="00FA1FB5">
              <w:rPr>
                <w:rFonts w:ascii="Arial" w:eastAsia="SimSun" w:hAnsi="Arial"/>
                <w:sz w:val="18"/>
                <w:vertAlign w:val="subscript"/>
                <w:lang w:val="en-US"/>
              </w:rPr>
              <w:t>0</w:t>
            </w:r>
            <w:r w:rsidRPr="00FA1FB5">
              <w:rPr>
                <w:rFonts w:ascii="Arial" w:eastAsia="SimSun" w:hAnsi="Arial"/>
                <w:sz w:val="18"/>
                <w:lang w:val="en-US"/>
              </w:rPr>
              <w:t>, k</w:t>
            </w:r>
            <w:r w:rsidRPr="00FA1FB5">
              <w:rPr>
                <w:rFonts w:ascii="Arial" w:eastAsia="SimSun" w:hAnsi="Arial"/>
                <w:sz w:val="18"/>
                <w:vertAlign w:val="subscript"/>
                <w:lang w:val="en-US"/>
              </w:rPr>
              <w:t>1</w:t>
            </w:r>
            <w:r w:rsidRPr="00FA1FB5">
              <w:rPr>
                <w:rFonts w:ascii="Arial" w:eastAsia="SimSun" w:hAnsi="Arial"/>
                <w:sz w:val="18"/>
                <w:lang w:val="en-US"/>
              </w:rPr>
              <w:t xml:space="preserve"> )</w:t>
            </w:r>
          </w:p>
        </w:tc>
        <w:tc>
          <w:tcPr>
            <w:tcW w:w="740" w:type="dxa"/>
            <w:tcBorders>
              <w:top w:val="single" w:sz="4" w:space="0" w:color="auto"/>
              <w:left w:val="single" w:sz="4" w:space="0" w:color="auto"/>
              <w:bottom w:val="single" w:sz="4" w:space="0" w:color="auto"/>
              <w:right w:val="single" w:sz="4" w:space="0" w:color="auto"/>
            </w:tcBorders>
            <w:vAlign w:val="center"/>
          </w:tcPr>
          <w:p w14:paraId="2679DF88"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2C8128F8"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Row 3 (6,-)</w:t>
            </w:r>
          </w:p>
        </w:tc>
        <w:tc>
          <w:tcPr>
            <w:tcW w:w="1350" w:type="dxa"/>
            <w:tcBorders>
              <w:top w:val="single" w:sz="4" w:space="0" w:color="auto"/>
              <w:left w:val="single" w:sz="4" w:space="0" w:color="auto"/>
              <w:bottom w:val="single" w:sz="4" w:space="0" w:color="auto"/>
              <w:right w:val="single" w:sz="4" w:space="0" w:color="auto"/>
            </w:tcBorders>
            <w:vAlign w:val="center"/>
          </w:tcPr>
          <w:p w14:paraId="720D6D49"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Row 3 (6,-)</w:t>
            </w:r>
          </w:p>
        </w:tc>
        <w:tc>
          <w:tcPr>
            <w:tcW w:w="1350" w:type="dxa"/>
            <w:tcBorders>
              <w:top w:val="single" w:sz="4" w:space="0" w:color="auto"/>
              <w:left w:val="single" w:sz="4" w:space="0" w:color="auto"/>
              <w:bottom w:val="single" w:sz="4" w:space="0" w:color="auto"/>
              <w:right w:val="single" w:sz="4" w:space="0" w:color="auto"/>
            </w:tcBorders>
            <w:vAlign w:val="center"/>
          </w:tcPr>
          <w:p w14:paraId="0826766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Row 3 (6,-)</w:t>
            </w:r>
          </w:p>
        </w:tc>
      </w:tr>
      <w:tr w:rsidR="00241417" w:rsidRPr="00401B60" w14:paraId="1EDD663A" w14:textId="77777777" w:rsidTr="003A71DE">
        <w:trPr>
          <w:trHeight w:val="70"/>
        </w:trPr>
        <w:tc>
          <w:tcPr>
            <w:tcW w:w="1196" w:type="dxa"/>
            <w:vMerge/>
            <w:tcBorders>
              <w:left w:val="single" w:sz="4" w:space="0" w:color="auto"/>
              <w:right w:val="single" w:sz="4" w:space="0" w:color="auto"/>
            </w:tcBorders>
            <w:vAlign w:val="center"/>
            <w:hideMark/>
          </w:tcPr>
          <w:p w14:paraId="6AD76C34" w14:textId="77777777" w:rsidR="00241417" w:rsidRPr="00FA1FB5" w:rsidRDefault="00241417" w:rsidP="003A71DE">
            <w:pPr>
              <w:keepNext/>
              <w:keepLines/>
              <w:spacing w:after="0"/>
              <w:rPr>
                <w:rFonts w:ascii="Arial" w:eastAsia="SimSun" w:hAnsi="Arial"/>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vAlign w:val="center"/>
          </w:tcPr>
          <w:p w14:paraId="655F09CA"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First OFDM symbol in the PRB used for CSI-RS (l</w:t>
            </w:r>
            <w:r w:rsidRPr="00FA1FB5">
              <w:rPr>
                <w:rFonts w:ascii="Arial" w:eastAsia="SimSun" w:hAnsi="Arial"/>
                <w:sz w:val="18"/>
                <w:vertAlign w:val="subscript"/>
                <w:lang w:val="en-US"/>
              </w:rPr>
              <w:t>0</w:t>
            </w:r>
            <w:r w:rsidRPr="00FA1FB5">
              <w:rPr>
                <w:rFonts w:ascii="Arial" w:eastAsia="SimSun" w:hAnsi="Arial"/>
                <w:sz w:val="18"/>
                <w:lang w:val="en-US"/>
              </w:rPr>
              <w:t>, l</w:t>
            </w:r>
            <w:r w:rsidRPr="00FA1FB5">
              <w:rPr>
                <w:rFonts w:ascii="Arial" w:eastAsia="SimSun" w:hAnsi="Arial"/>
                <w:sz w:val="18"/>
                <w:vertAlign w:val="subscript"/>
                <w:lang w:val="en-US"/>
              </w:rPr>
              <w:t>1</w:t>
            </w:r>
            <w:r w:rsidRPr="00FA1FB5">
              <w:rPr>
                <w:rFonts w:ascii="Arial" w:eastAsia="SimSun" w:hAnsi="Arial"/>
                <w:sz w:val="18"/>
                <w:lang w:val="en-US"/>
              </w:rPr>
              <w:t>)</w:t>
            </w:r>
          </w:p>
        </w:tc>
        <w:tc>
          <w:tcPr>
            <w:tcW w:w="740" w:type="dxa"/>
            <w:tcBorders>
              <w:top w:val="single" w:sz="4" w:space="0" w:color="auto"/>
              <w:left w:val="single" w:sz="4" w:space="0" w:color="auto"/>
              <w:bottom w:val="single" w:sz="4" w:space="0" w:color="auto"/>
              <w:right w:val="single" w:sz="4" w:space="0" w:color="auto"/>
            </w:tcBorders>
            <w:vAlign w:val="center"/>
          </w:tcPr>
          <w:p w14:paraId="0A0770D0"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5A7F9AA7"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(13,-)</w:t>
            </w:r>
          </w:p>
        </w:tc>
        <w:tc>
          <w:tcPr>
            <w:tcW w:w="1350" w:type="dxa"/>
            <w:tcBorders>
              <w:top w:val="single" w:sz="4" w:space="0" w:color="auto"/>
              <w:left w:val="single" w:sz="4" w:space="0" w:color="auto"/>
              <w:bottom w:val="single" w:sz="4" w:space="0" w:color="auto"/>
              <w:right w:val="single" w:sz="4" w:space="0" w:color="auto"/>
            </w:tcBorders>
            <w:vAlign w:val="center"/>
          </w:tcPr>
          <w:p w14:paraId="6C5CD04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(13,-)</w:t>
            </w:r>
          </w:p>
        </w:tc>
        <w:tc>
          <w:tcPr>
            <w:tcW w:w="1350" w:type="dxa"/>
            <w:tcBorders>
              <w:top w:val="single" w:sz="4" w:space="0" w:color="auto"/>
              <w:left w:val="single" w:sz="4" w:space="0" w:color="auto"/>
              <w:bottom w:val="single" w:sz="4" w:space="0" w:color="auto"/>
              <w:right w:val="single" w:sz="4" w:space="0" w:color="auto"/>
            </w:tcBorders>
            <w:vAlign w:val="center"/>
          </w:tcPr>
          <w:p w14:paraId="3FAE5AC7"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(13,-)</w:t>
            </w:r>
          </w:p>
        </w:tc>
      </w:tr>
      <w:tr w:rsidR="00241417" w:rsidRPr="00401B60" w14:paraId="40FEEA40" w14:textId="77777777" w:rsidTr="003A71DE">
        <w:trPr>
          <w:trHeight w:val="70"/>
        </w:trPr>
        <w:tc>
          <w:tcPr>
            <w:tcW w:w="1196" w:type="dxa"/>
            <w:vMerge/>
            <w:tcBorders>
              <w:left w:val="single" w:sz="4" w:space="0" w:color="auto"/>
              <w:right w:val="single" w:sz="4" w:space="0" w:color="auto"/>
            </w:tcBorders>
            <w:vAlign w:val="center"/>
            <w:hideMark/>
          </w:tcPr>
          <w:p w14:paraId="2EA7820F" w14:textId="77777777" w:rsidR="00241417" w:rsidRPr="00FA1FB5" w:rsidRDefault="00241417" w:rsidP="003A71DE">
            <w:pPr>
              <w:keepNext/>
              <w:keepLines/>
              <w:spacing w:after="0"/>
              <w:rPr>
                <w:rFonts w:ascii="Arial" w:eastAsia="SimSun" w:hAnsi="Arial"/>
                <w:sz w:val="18"/>
                <w:lang w:val="en-US"/>
              </w:rPr>
            </w:pPr>
          </w:p>
        </w:tc>
        <w:tc>
          <w:tcPr>
            <w:tcW w:w="2725" w:type="dxa"/>
            <w:gridSpan w:val="2"/>
            <w:tcBorders>
              <w:top w:val="single" w:sz="4" w:space="0" w:color="auto"/>
              <w:left w:val="single" w:sz="4" w:space="0" w:color="auto"/>
              <w:bottom w:val="single" w:sz="4" w:space="0" w:color="auto"/>
              <w:right w:val="single" w:sz="4" w:space="0" w:color="auto"/>
            </w:tcBorders>
          </w:tcPr>
          <w:p w14:paraId="6B353BC2"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NZP CSI-RS-timeConfig</w:t>
            </w:r>
          </w:p>
          <w:p w14:paraId="74427829"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interval and offset</w:t>
            </w:r>
          </w:p>
        </w:tc>
        <w:tc>
          <w:tcPr>
            <w:tcW w:w="740" w:type="dxa"/>
            <w:tcBorders>
              <w:top w:val="single" w:sz="4" w:space="0" w:color="auto"/>
              <w:left w:val="single" w:sz="4" w:space="0" w:color="auto"/>
              <w:bottom w:val="single" w:sz="4" w:space="0" w:color="auto"/>
              <w:right w:val="single" w:sz="4" w:space="0" w:color="auto"/>
            </w:tcBorders>
            <w:vAlign w:val="center"/>
            <w:hideMark/>
          </w:tcPr>
          <w:p w14:paraId="3508B24F"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slot</w:t>
            </w:r>
          </w:p>
        </w:tc>
        <w:tc>
          <w:tcPr>
            <w:tcW w:w="1455" w:type="dxa"/>
            <w:tcBorders>
              <w:top w:val="single" w:sz="4" w:space="0" w:color="auto"/>
              <w:left w:val="single" w:sz="4" w:space="0" w:color="auto"/>
              <w:bottom w:val="single" w:sz="4" w:space="0" w:color="auto"/>
              <w:right w:val="single" w:sz="4" w:space="0" w:color="auto"/>
            </w:tcBorders>
          </w:tcPr>
          <w:p w14:paraId="29AD4C74" w14:textId="77777777" w:rsidR="00241417" w:rsidRPr="009177D2"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8/1</w:t>
            </w:r>
          </w:p>
        </w:tc>
        <w:tc>
          <w:tcPr>
            <w:tcW w:w="1350" w:type="dxa"/>
            <w:tcBorders>
              <w:top w:val="single" w:sz="4" w:space="0" w:color="auto"/>
              <w:left w:val="single" w:sz="4" w:space="0" w:color="auto"/>
              <w:bottom w:val="single" w:sz="4" w:space="0" w:color="auto"/>
              <w:right w:val="single" w:sz="4" w:space="0" w:color="auto"/>
            </w:tcBorders>
          </w:tcPr>
          <w:p w14:paraId="785ACA1D" w14:textId="77777777" w:rsidR="00241417" w:rsidRPr="009177D2"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8/1</w:t>
            </w:r>
          </w:p>
        </w:tc>
        <w:tc>
          <w:tcPr>
            <w:tcW w:w="1350" w:type="dxa"/>
            <w:tcBorders>
              <w:top w:val="single" w:sz="4" w:space="0" w:color="auto"/>
              <w:left w:val="single" w:sz="4" w:space="0" w:color="auto"/>
              <w:bottom w:val="single" w:sz="4" w:space="0" w:color="auto"/>
              <w:right w:val="single" w:sz="4" w:space="0" w:color="auto"/>
            </w:tcBorders>
          </w:tcPr>
          <w:p w14:paraId="4E08C1C8" w14:textId="77777777" w:rsidR="00241417" w:rsidRPr="00951AFE"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8/1</w:t>
            </w:r>
          </w:p>
        </w:tc>
      </w:tr>
      <w:tr w:rsidR="00241417" w:rsidRPr="00401B60" w14:paraId="209E10D7"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0E6D75DD"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ReportConfigType</w:t>
            </w:r>
          </w:p>
        </w:tc>
        <w:tc>
          <w:tcPr>
            <w:tcW w:w="740" w:type="dxa"/>
            <w:tcBorders>
              <w:top w:val="single" w:sz="4" w:space="0" w:color="auto"/>
              <w:left w:val="single" w:sz="4" w:space="0" w:color="auto"/>
              <w:bottom w:val="single" w:sz="4" w:space="0" w:color="auto"/>
              <w:right w:val="single" w:sz="4" w:space="0" w:color="auto"/>
            </w:tcBorders>
            <w:vAlign w:val="center"/>
          </w:tcPr>
          <w:p w14:paraId="184F663F"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391232E3" w14:textId="77777777" w:rsidR="00241417" w:rsidRPr="00951AFE" w:rsidRDefault="00241417" w:rsidP="003A71DE">
            <w:pPr>
              <w:keepNext/>
              <w:keepLines/>
              <w:spacing w:after="0"/>
              <w:jc w:val="center"/>
              <w:rPr>
                <w:rFonts w:ascii="Arial" w:eastAsia="SimSun" w:hAnsi="Arial"/>
                <w:sz w:val="18"/>
                <w:lang w:eastAsia="zh-CN"/>
              </w:rPr>
            </w:pPr>
            <w:r>
              <w:rPr>
                <w:rFonts w:ascii="Arial" w:eastAsia="SimSun" w:hAnsi="Arial"/>
                <w:sz w:val="18"/>
                <w:lang w:eastAsia="zh-CN"/>
              </w:rPr>
              <w:t>Periodic</w:t>
            </w:r>
          </w:p>
        </w:tc>
        <w:tc>
          <w:tcPr>
            <w:tcW w:w="1350" w:type="dxa"/>
            <w:tcBorders>
              <w:top w:val="single" w:sz="4" w:space="0" w:color="auto"/>
              <w:left w:val="single" w:sz="4" w:space="0" w:color="auto"/>
              <w:bottom w:val="single" w:sz="4" w:space="0" w:color="auto"/>
              <w:right w:val="single" w:sz="4" w:space="0" w:color="auto"/>
            </w:tcBorders>
            <w:vAlign w:val="center"/>
          </w:tcPr>
          <w:p w14:paraId="0A370A8E" w14:textId="77777777" w:rsidR="00241417" w:rsidRPr="00FA1FB5" w:rsidRDefault="00241417" w:rsidP="003A71DE">
            <w:pPr>
              <w:keepNext/>
              <w:keepLines/>
              <w:spacing w:after="0"/>
              <w:jc w:val="center"/>
              <w:rPr>
                <w:rFonts w:ascii="Arial" w:eastAsia="SimSun" w:hAnsi="Arial"/>
                <w:sz w:val="18"/>
                <w:lang w:val="en-US" w:eastAsia="zh-CN"/>
              </w:rPr>
            </w:pPr>
            <w:r>
              <w:rPr>
                <w:rFonts w:ascii="Arial" w:eastAsia="SimSun" w:hAnsi="Arial"/>
                <w:sz w:val="18"/>
                <w:lang w:eastAsia="zh-CN"/>
              </w:rPr>
              <w:t>Periodic</w:t>
            </w:r>
          </w:p>
        </w:tc>
        <w:tc>
          <w:tcPr>
            <w:tcW w:w="1350" w:type="dxa"/>
            <w:tcBorders>
              <w:top w:val="single" w:sz="4" w:space="0" w:color="auto"/>
              <w:left w:val="single" w:sz="4" w:space="0" w:color="auto"/>
              <w:bottom w:val="single" w:sz="4" w:space="0" w:color="auto"/>
              <w:right w:val="single" w:sz="4" w:space="0" w:color="auto"/>
            </w:tcBorders>
            <w:vAlign w:val="center"/>
          </w:tcPr>
          <w:p w14:paraId="7C9CA620" w14:textId="77777777" w:rsidR="00241417" w:rsidRPr="00FA1FB5" w:rsidRDefault="00241417" w:rsidP="003A71DE">
            <w:pPr>
              <w:keepNext/>
              <w:keepLines/>
              <w:spacing w:after="0"/>
              <w:jc w:val="center"/>
              <w:rPr>
                <w:rFonts w:ascii="Arial" w:eastAsia="SimSun" w:hAnsi="Arial"/>
                <w:sz w:val="18"/>
                <w:lang w:val="en-US" w:eastAsia="zh-CN"/>
              </w:rPr>
            </w:pPr>
            <w:r>
              <w:rPr>
                <w:rFonts w:ascii="Arial" w:eastAsia="SimSun" w:hAnsi="Arial"/>
                <w:sz w:val="18"/>
                <w:lang w:eastAsia="zh-CN"/>
              </w:rPr>
              <w:t>Periodic</w:t>
            </w:r>
          </w:p>
        </w:tc>
      </w:tr>
      <w:tr w:rsidR="00241417" w:rsidRPr="00401B60" w14:paraId="48A89EBA"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6AF8BB47"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CQI-table</w:t>
            </w:r>
          </w:p>
        </w:tc>
        <w:tc>
          <w:tcPr>
            <w:tcW w:w="740" w:type="dxa"/>
            <w:tcBorders>
              <w:top w:val="single" w:sz="4" w:space="0" w:color="auto"/>
              <w:left w:val="single" w:sz="4" w:space="0" w:color="auto"/>
              <w:bottom w:val="single" w:sz="4" w:space="0" w:color="auto"/>
              <w:right w:val="single" w:sz="4" w:space="0" w:color="auto"/>
            </w:tcBorders>
            <w:vAlign w:val="center"/>
          </w:tcPr>
          <w:p w14:paraId="63359551"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19AE2E74"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Table 1</w:t>
            </w:r>
          </w:p>
        </w:tc>
        <w:tc>
          <w:tcPr>
            <w:tcW w:w="1350" w:type="dxa"/>
            <w:tcBorders>
              <w:top w:val="single" w:sz="4" w:space="0" w:color="auto"/>
              <w:left w:val="single" w:sz="4" w:space="0" w:color="auto"/>
              <w:bottom w:val="single" w:sz="4" w:space="0" w:color="auto"/>
              <w:right w:val="single" w:sz="4" w:space="0" w:color="auto"/>
            </w:tcBorders>
            <w:vAlign w:val="center"/>
          </w:tcPr>
          <w:p w14:paraId="4A38CC71"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Table 1</w:t>
            </w:r>
          </w:p>
        </w:tc>
        <w:tc>
          <w:tcPr>
            <w:tcW w:w="1350" w:type="dxa"/>
            <w:tcBorders>
              <w:top w:val="single" w:sz="4" w:space="0" w:color="auto"/>
              <w:left w:val="single" w:sz="4" w:space="0" w:color="auto"/>
              <w:bottom w:val="single" w:sz="4" w:space="0" w:color="auto"/>
              <w:right w:val="single" w:sz="4" w:space="0" w:color="auto"/>
            </w:tcBorders>
            <w:vAlign w:val="center"/>
          </w:tcPr>
          <w:p w14:paraId="0007DCA7"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Table 1</w:t>
            </w:r>
          </w:p>
        </w:tc>
      </w:tr>
      <w:tr w:rsidR="00241417" w:rsidRPr="00401B60" w14:paraId="241E6990"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07DE17EC"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reportQuantity</w:t>
            </w:r>
          </w:p>
        </w:tc>
        <w:tc>
          <w:tcPr>
            <w:tcW w:w="740" w:type="dxa"/>
            <w:tcBorders>
              <w:top w:val="single" w:sz="4" w:space="0" w:color="auto"/>
              <w:left w:val="single" w:sz="4" w:space="0" w:color="auto"/>
              <w:bottom w:val="single" w:sz="4" w:space="0" w:color="auto"/>
              <w:right w:val="single" w:sz="4" w:space="0" w:color="auto"/>
            </w:tcBorders>
            <w:vAlign w:val="center"/>
          </w:tcPr>
          <w:p w14:paraId="6E486B62"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6B4C86B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cri-RI-PMI-CQI</w:t>
            </w:r>
          </w:p>
        </w:tc>
        <w:tc>
          <w:tcPr>
            <w:tcW w:w="1350" w:type="dxa"/>
            <w:tcBorders>
              <w:top w:val="single" w:sz="4" w:space="0" w:color="auto"/>
              <w:left w:val="single" w:sz="4" w:space="0" w:color="auto"/>
              <w:bottom w:val="single" w:sz="4" w:space="0" w:color="auto"/>
              <w:right w:val="single" w:sz="4" w:space="0" w:color="auto"/>
            </w:tcBorders>
            <w:vAlign w:val="center"/>
          </w:tcPr>
          <w:p w14:paraId="71D8D48C"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cri-RI-PMI-CQI</w:t>
            </w:r>
          </w:p>
        </w:tc>
        <w:tc>
          <w:tcPr>
            <w:tcW w:w="1350" w:type="dxa"/>
            <w:tcBorders>
              <w:top w:val="single" w:sz="4" w:space="0" w:color="auto"/>
              <w:left w:val="single" w:sz="4" w:space="0" w:color="auto"/>
              <w:bottom w:val="single" w:sz="4" w:space="0" w:color="auto"/>
              <w:right w:val="single" w:sz="4" w:space="0" w:color="auto"/>
            </w:tcBorders>
            <w:vAlign w:val="center"/>
          </w:tcPr>
          <w:p w14:paraId="265EF65F"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cri-RI-PMI-CQI</w:t>
            </w:r>
          </w:p>
        </w:tc>
      </w:tr>
      <w:tr w:rsidR="00241417" w:rsidRPr="00401B60" w14:paraId="606B6ECB"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3DC484F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cqi-FormatIndicator</w:t>
            </w:r>
          </w:p>
        </w:tc>
        <w:tc>
          <w:tcPr>
            <w:tcW w:w="740" w:type="dxa"/>
            <w:tcBorders>
              <w:top w:val="single" w:sz="4" w:space="0" w:color="auto"/>
              <w:left w:val="single" w:sz="4" w:space="0" w:color="auto"/>
              <w:bottom w:val="single" w:sz="4" w:space="0" w:color="auto"/>
              <w:right w:val="single" w:sz="4" w:space="0" w:color="auto"/>
            </w:tcBorders>
            <w:vAlign w:val="center"/>
          </w:tcPr>
          <w:p w14:paraId="372EC949"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18ECB42A"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Wideband</w:t>
            </w:r>
          </w:p>
        </w:tc>
        <w:tc>
          <w:tcPr>
            <w:tcW w:w="1350" w:type="dxa"/>
            <w:tcBorders>
              <w:top w:val="single" w:sz="4" w:space="0" w:color="auto"/>
              <w:left w:val="single" w:sz="4" w:space="0" w:color="auto"/>
              <w:bottom w:val="single" w:sz="4" w:space="0" w:color="auto"/>
              <w:right w:val="single" w:sz="4" w:space="0" w:color="auto"/>
            </w:tcBorders>
            <w:vAlign w:val="center"/>
          </w:tcPr>
          <w:p w14:paraId="4BC85D0A"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Wideband</w:t>
            </w:r>
          </w:p>
        </w:tc>
        <w:tc>
          <w:tcPr>
            <w:tcW w:w="1350" w:type="dxa"/>
            <w:tcBorders>
              <w:top w:val="single" w:sz="4" w:space="0" w:color="auto"/>
              <w:left w:val="single" w:sz="4" w:space="0" w:color="auto"/>
              <w:bottom w:val="single" w:sz="4" w:space="0" w:color="auto"/>
              <w:right w:val="single" w:sz="4" w:space="0" w:color="auto"/>
            </w:tcBorders>
            <w:vAlign w:val="center"/>
          </w:tcPr>
          <w:p w14:paraId="60A621CC"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Wideband</w:t>
            </w:r>
          </w:p>
        </w:tc>
      </w:tr>
      <w:tr w:rsidR="00241417" w:rsidRPr="00401B60" w14:paraId="62B417F4"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148639DD"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pmi-FormatIndicator</w:t>
            </w:r>
            <w:r w:rsidRPr="00FA1FB5">
              <w:rPr>
                <w:rFonts w:ascii="Arial" w:eastAsia="SimSun" w:hAnsi="Arial"/>
                <w:i/>
                <w:sz w:val="18"/>
                <w:lang w:val="en-US"/>
              </w:rPr>
              <w:t xml:space="preserve">  </w:t>
            </w:r>
          </w:p>
        </w:tc>
        <w:tc>
          <w:tcPr>
            <w:tcW w:w="740" w:type="dxa"/>
            <w:tcBorders>
              <w:top w:val="single" w:sz="4" w:space="0" w:color="auto"/>
              <w:left w:val="single" w:sz="4" w:space="0" w:color="auto"/>
              <w:bottom w:val="single" w:sz="4" w:space="0" w:color="auto"/>
              <w:right w:val="single" w:sz="4" w:space="0" w:color="auto"/>
            </w:tcBorders>
            <w:vAlign w:val="center"/>
          </w:tcPr>
          <w:p w14:paraId="7C669E23"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07CD902A"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Wideband</w:t>
            </w:r>
          </w:p>
        </w:tc>
        <w:tc>
          <w:tcPr>
            <w:tcW w:w="1350" w:type="dxa"/>
            <w:tcBorders>
              <w:top w:val="single" w:sz="4" w:space="0" w:color="auto"/>
              <w:left w:val="single" w:sz="4" w:space="0" w:color="auto"/>
              <w:bottom w:val="single" w:sz="4" w:space="0" w:color="auto"/>
              <w:right w:val="single" w:sz="4" w:space="0" w:color="auto"/>
            </w:tcBorders>
            <w:vAlign w:val="center"/>
          </w:tcPr>
          <w:p w14:paraId="74206103"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Wideband</w:t>
            </w:r>
          </w:p>
        </w:tc>
        <w:tc>
          <w:tcPr>
            <w:tcW w:w="1350" w:type="dxa"/>
            <w:tcBorders>
              <w:top w:val="single" w:sz="4" w:space="0" w:color="auto"/>
              <w:left w:val="single" w:sz="4" w:space="0" w:color="auto"/>
              <w:bottom w:val="single" w:sz="4" w:space="0" w:color="auto"/>
              <w:right w:val="single" w:sz="4" w:space="0" w:color="auto"/>
            </w:tcBorders>
            <w:vAlign w:val="center"/>
          </w:tcPr>
          <w:p w14:paraId="1936B46A"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Wideband</w:t>
            </w:r>
          </w:p>
        </w:tc>
      </w:tr>
      <w:tr w:rsidR="00241417" w:rsidRPr="00401B60" w14:paraId="0ADB6FA4"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3207D67D"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Sub-band Size</w:t>
            </w:r>
          </w:p>
        </w:tc>
        <w:tc>
          <w:tcPr>
            <w:tcW w:w="740" w:type="dxa"/>
            <w:tcBorders>
              <w:top w:val="single" w:sz="4" w:space="0" w:color="auto"/>
              <w:left w:val="single" w:sz="4" w:space="0" w:color="auto"/>
              <w:bottom w:val="single" w:sz="4" w:space="0" w:color="auto"/>
              <w:right w:val="single" w:sz="4" w:space="0" w:color="auto"/>
            </w:tcBorders>
            <w:vAlign w:val="center"/>
          </w:tcPr>
          <w:p w14:paraId="71BC53FF"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RB</w:t>
            </w:r>
          </w:p>
        </w:tc>
        <w:tc>
          <w:tcPr>
            <w:tcW w:w="1455" w:type="dxa"/>
            <w:tcBorders>
              <w:top w:val="single" w:sz="4" w:space="0" w:color="auto"/>
              <w:left w:val="single" w:sz="4" w:space="0" w:color="auto"/>
              <w:bottom w:val="single" w:sz="4" w:space="0" w:color="auto"/>
              <w:right w:val="single" w:sz="4" w:space="0" w:color="auto"/>
            </w:tcBorders>
            <w:vAlign w:val="center"/>
          </w:tcPr>
          <w:p w14:paraId="60EF4EA0"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8</w:t>
            </w:r>
          </w:p>
        </w:tc>
        <w:tc>
          <w:tcPr>
            <w:tcW w:w="1350" w:type="dxa"/>
            <w:tcBorders>
              <w:top w:val="single" w:sz="4" w:space="0" w:color="auto"/>
              <w:left w:val="single" w:sz="4" w:space="0" w:color="auto"/>
              <w:bottom w:val="single" w:sz="4" w:space="0" w:color="auto"/>
              <w:right w:val="single" w:sz="4" w:space="0" w:color="auto"/>
            </w:tcBorders>
            <w:vAlign w:val="center"/>
          </w:tcPr>
          <w:p w14:paraId="57A84D08"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8</w:t>
            </w:r>
          </w:p>
        </w:tc>
        <w:tc>
          <w:tcPr>
            <w:tcW w:w="1350" w:type="dxa"/>
            <w:tcBorders>
              <w:top w:val="single" w:sz="4" w:space="0" w:color="auto"/>
              <w:left w:val="single" w:sz="4" w:space="0" w:color="auto"/>
              <w:bottom w:val="single" w:sz="4" w:space="0" w:color="auto"/>
              <w:right w:val="single" w:sz="4" w:space="0" w:color="auto"/>
            </w:tcBorders>
            <w:vAlign w:val="center"/>
          </w:tcPr>
          <w:p w14:paraId="6E9FFDE0"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8</w:t>
            </w:r>
          </w:p>
        </w:tc>
      </w:tr>
      <w:tr w:rsidR="00241417" w:rsidRPr="00401B60" w14:paraId="444EED0E"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1F56A465"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csi-ReportingBand</w:t>
            </w:r>
          </w:p>
        </w:tc>
        <w:tc>
          <w:tcPr>
            <w:tcW w:w="740" w:type="dxa"/>
            <w:tcBorders>
              <w:top w:val="single" w:sz="4" w:space="0" w:color="auto"/>
              <w:left w:val="single" w:sz="4" w:space="0" w:color="auto"/>
              <w:bottom w:val="single" w:sz="4" w:space="0" w:color="auto"/>
              <w:right w:val="single" w:sz="4" w:space="0" w:color="auto"/>
            </w:tcBorders>
            <w:vAlign w:val="center"/>
          </w:tcPr>
          <w:p w14:paraId="59ED8AE9"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08F6ECC8"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111111111</w:t>
            </w:r>
          </w:p>
        </w:tc>
        <w:tc>
          <w:tcPr>
            <w:tcW w:w="1350" w:type="dxa"/>
            <w:tcBorders>
              <w:top w:val="single" w:sz="4" w:space="0" w:color="auto"/>
              <w:left w:val="single" w:sz="4" w:space="0" w:color="auto"/>
              <w:bottom w:val="single" w:sz="4" w:space="0" w:color="auto"/>
              <w:right w:val="single" w:sz="4" w:space="0" w:color="auto"/>
            </w:tcBorders>
            <w:vAlign w:val="center"/>
          </w:tcPr>
          <w:p w14:paraId="03E669DC"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111111111</w:t>
            </w:r>
          </w:p>
        </w:tc>
        <w:tc>
          <w:tcPr>
            <w:tcW w:w="1350" w:type="dxa"/>
            <w:tcBorders>
              <w:top w:val="single" w:sz="4" w:space="0" w:color="auto"/>
              <w:left w:val="single" w:sz="4" w:space="0" w:color="auto"/>
              <w:bottom w:val="single" w:sz="4" w:space="0" w:color="auto"/>
              <w:right w:val="single" w:sz="4" w:space="0" w:color="auto"/>
            </w:tcBorders>
            <w:vAlign w:val="center"/>
          </w:tcPr>
          <w:p w14:paraId="3977CF0D"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hAnsi="Arial"/>
                <w:sz w:val="18"/>
                <w:lang w:val="en-US"/>
              </w:rPr>
              <w:t>111111111</w:t>
            </w:r>
          </w:p>
        </w:tc>
      </w:tr>
      <w:tr w:rsidR="00241417" w:rsidRPr="00401B60" w14:paraId="4BF99729"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22E908E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CSI-Report interval and offset</w:t>
            </w:r>
          </w:p>
        </w:tc>
        <w:tc>
          <w:tcPr>
            <w:tcW w:w="740" w:type="dxa"/>
            <w:tcBorders>
              <w:top w:val="single" w:sz="4" w:space="0" w:color="auto"/>
              <w:left w:val="single" w:sz="4" w:space="0" w:color="auto"/>
              <w:bottom w:val="single" w:sz="4" w:space="0" w:color="auto"/>
              <w:right w:val="single" w:sz="4" w:space="0" w:color="auto"/>
            </w:tcBorders>
            <w:vAlign w:val="center"/>
          </w:tcPr>
          <w:p w14:paraId="610859F1"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slot</w:t>
            </w:r>
          </w:p>
        </w:tc>
        <w:tc>
          <w:tcPr>
            <w:tcW w:w="1455" w:type="dxa"/>
            <w:tcBorders>
              <w:top w:val="single" w:sz="4" w:space="0" w:color="auto"/>
              <w:left w:val="single" w:sz="4" w:space="0" w:color="auto"/>
              <w:bottom w:val="single" w:sz="4" w:space="0" w:color="auto"/>
              <w:right w:val="single" w:sz="4" w:space="0" w:color="auto"/>
            </w:tcBorders>
            <w:vAlign w:val="center"/>
          </w:tcPr>
          <w:p w14:paraId="186F5755" w14:textId="77777777" w:rsidR="00241417" w:rsidRPr="00AB28DD" w:rsidRDefault="00241417" w:rsidP="003A71DE">
            <w:pPr>
              <w:keepNext/>
              <w:keepLines/>
              <w:spacing w:after="0"/>
              <w:jc w:val="center"/>
              <w:rPr>
                <w:rFonts w:ascii="Arial" w:eastAsia="SimSun" w:hAnsi="Arial"/>
                <w:sz w:val="18"/>
              </w:rPr>
            </w:pPr>
            <w:r>
              <w:rPr>
                <w:rFonts w:ascii="Arial" w:eastAsia="SimSun" w:hAnsi="Arial"/>
                <w:sz w:val="18"/>
              </w:rPr>
              <w:t>8/3</w:t>
            </w:r>
          </w:p>
        </w:tc>
        <w:tc>
          <w:tcPr>
            <w:tcW w:w="1350" w:type="dxa"/>
            <w:tcBorders>
              <w:top w:val="single" w:sz="4" w:space="0" w:color="auto"/>
              <w:left w:val="single" w:sz="4" w:space="0" w:color="auto"/>
              <w:bottom w:val="single" w:sz="4" w:space="0" w:color="auto"/>
              <w:right w:val="single" w:sz="4" w:space="0" w:color="auto"/>
            </w:tcBorders>
            <w:vAlign w:val="center"/>
          </w:tcPr>
          <w:p w14:paraId="0276171F" w14:textId="77777777" w:rsidR="00241417" w:rsidRPr="00AB28DD" w:rsidRDefault="00241417" w:rsidP="003A71DE">
            <w:pPr>
              <w:keepNext/>
              <w:keepLines/>
              <w:spacing w:after="0"/>
              <w:jc w:val="center"/>
              <w:rPr>
                <w:rFonts w:ascii="Arial" w:eastAsia="SimSun" w:hAnsi="Arial"/>
                <w:sz w:val="18"/>
              </w:rPr>
            </w:pPr>
            <w:r>
              <w:rPr>
                <w:rFonts w:ascii="Arial" w:eastAsia="SimSun" w:hAnsi="Arial"/>
                <w:sz w:val="18"/>
              </w:rPr>
              <w:t>8/3</w:t>
            </w:r>
          </w:p>
        </w:tc>
        <w:tc>
          <w:tcPr>
            <w:tcW w:w="1350" w:type="dxa"/>
            <w:tcBorders>
              <w:top w:val="single" w:sz="4" w:space="0" w:color="auto"/>
              <w:left w:val="single" w:sz="4" w:space="0" w:color="auto"/>
              <w:bottom w:val="single" w:sz="4" w:space="0" w:color="auto"/>
              <w:right w:val="single" w:sz="4" w:space="0" w:color="auto"/>
            </w:tcBorders>
            <w:vAlign w:val="center"/>
          </w:tcPr>
          <w:p w14:paraId="0761BF6E" w14:textId="77777777" w:rsidR="00241417" w:rsidRPr="00AB28DD" w:rsidRDefault="00241417" w:rsidP="003A71DE">
            <w:pPr>
              <w:keepNext/>
              <w:keepLines/>
              <w:spacing w:after="0"/>
              <w:jc w:val="center"/>
              <w:rPr>
                <w:rFonts w:ascii="Arial" w:eastAsia="SimSun" w:hAnsi="Arial"/>
                <w:sz w:val="18"/>
              </w:rPr>
            </w:pPr>
            <w:r>
              <w:rPr>
                <w:rFonts w:ascii="Arial" w:eastAsia="SimSun" w:hAnsi="Arial"/>
                <w:sz w:val="18"/>
              </w:rPr>
              <w:t>8/3</w:t>
            </w:r>
          </w:p>
        </w:tc>
      </w:tr>
      <w:tr w:rsidR="00241417" w:rsidRPr="00401B60" w14:paraId="09CECD10" w14:textId="77777777" w:rsidTr="003A71DE">
        <w:trPr>
          <w:trHeight w:val="70"/>
        </w:trPr>
        <w:tc>
          <w:tcPr>
            <w:tcW w:w="1267" w:type="dxa"/>
            <w:gridSpan w:val="2"/>
            <w:vMerge w:val="restart"/>
            <w:tcBorders>
              <w:top w:val="single" w:sz="4" w:space="0" w:color="auto"/>
              <w:left w:val="single" w:sz="4" w:space="0" w:color="auto"/>
              <w:right w:val="single" w:sz="4" w:space="0" w:color="auto"/>
            </w:tcBorders>
            <w:vAlign w:val="center"/>
            <w:hideMark/>
          </w:tcPr>
          <w:p w14:paraId="4128D335"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Codebook configuration</w:t>
            </w:r>
          </w:p>
        </w:tc>
        <w:tc>
          <w:tcPr>
            <w:tcW w:w="2654" w:type="dxa"/>
            <w:tcBorders>
              <w:top w:val="single" w:sz="4" w:space="0" w:color="auto"/>
              <w:left w:val="single" w:sz="4" w:space="0" w:color="auto"/>
              <w:bottom w:val="single" w:sz="4" w:space="0" w:color="auto"/>
              <w:right w:val="single" w:sz="4" w:space="0" w:color="auto"/>
            </w:tcBorders>
          </w:tcPr>
          <w:p w14:paraId="563B6235"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Codebook Type</w:t>
            </w:r>
          </w:p>
        </w:tc>
        <w:tc>
          <w:tcPr>
            <w:tcW w:w="740" w:type="dxa"/>
            <w:tcBorders>
              <w:top w:val="single" w:sz="4" w:space="0" w:color="auto"/>
              <w:left w:val="single" w:sz="4" w:space="0" w:color="auto"/>
              <w:bottom w:val="single" w:sz="4" w:space="0" w:color="auto"/>
              <w:right w:val="single" w:sz="4" w:space="0" w:color="auto"/>
            </w:tcBorders>
            <w:vAlign w:val="center"/>
          </w:tcPr>
          <w:p w14:paraId="3F336FCF"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335528E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typeI-SinglePanel</w:t>
            </w:r>
          </w:p>
        </w:tc>
        <w:tc>
          <w:tcPr>
            <w:tcW w:w="1350" w:type="dxa"/>
            <w:tcBorders>
              <w:top w:val="single" w:sz="4" w:space="0" w:color="auto"/>
              <w:left w:val="single" w:sz="4" w:space="0" w:color="auto"/>
              <w:bottom w:val="single" w:sz="4" w:space="0" w:color="auto"/>
              <w:right w:val="single" w:sz="4" w:space="0" w:color="auto"/>
            </w:tcBorders>
            <w:vAlign w:val="center"/>
          </w:tcPr>
          <w:p w14:paraId="650ECB1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typeI-SinglePanel</w:t>
            </w:r>
          </w:p>
        </w:tc>
        <w:tc>
          <w:tcPr>
            <w:tcW w:w="1350" w:type="dxa"/>
            <w:tcBorders>
              <w:top w:val="single" w:sz="4" w:space="0" w:color="auto"/>
              <w:left w:val="single" w:sz="4" w:space="0" w:color="auto"/>
              <w:bottom w:val="single" w:sz="4" w:space="0" w:color="auto"/>
              <w:right w:val="single" w:sz="4" w:space="0" w:color="auto"/>
            </w:tcBorders>
            <w:vAlign w:val="center"/>
          </w:tcPr>
          <w:p w14:paraId="0391C21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typeI-SinglePanel</w:t>
            </w:r>
          </w:p>
        </w:tc>
      </w:tr>
      <w:tr w:rsidR="00241417" w:rsidRPr="00401B60" w14:paraId="5C9B2C4A" w14:textId="77777777" w:rsidTr="003A71DE">
        <w:trPr>
          <w:trHeight w:val="70"/>
        </w:trPr>
        <w:tc>
          <w:tcPr>
            <w:tcW w:w="1267" w:type="dxa"/>
            <w:gridSpan w:val="2"/>
            <w:vMerge/>
            <w:tcBorders>
              <w:left w:val="single" w:sz="4" w:space="0" w:color="auto"/>
              <w:right w:val="single" w:sz="4" w:space="0" w:color="auto"/>
            </w:tcBorders>
            <w:hideMark/>
          </w:tcPr>
          <w:p w14:paraId="5D9D8BD8" w14:textId="77777777" w:rsidR="00241417" w:rsidRPr="00FA1FB5" w:rsidRDefault="00241417" w:rsidP="003A71DE">
            <w:pPr>
              <w:keepNext/>
              <w:keepLines/>
              <w:spacing w:after="0"/>
              <w:rPr>
                <w:rFonts w:ascii="Arial" w:eastAsia="SimSun" w:hAnsi="Arial"/>
                <w:sz w:val="18"/>
                <w:lang w:val="en-US"/>
              </w:rPr>
            </w:pPr>
          </w:p>
        </w:tc>
        <w:tc>
          <w:tcPr>
            <w:tcW w:w="2654" w:type="dxa"/>
            <w:tcBorders>
              <w:top w:val="single" w:sz="4" w:space="0" w:color="auto"/>
              <w:left w:val="single" w:sz="4" w:space="0" w:color="auto"/>
              <w:bottom w:val="single" w:sz="4" w:space="0" w:color="auto"/>
              <w:right w:val="single" w:sz="4" w:space="0" w:color="auto"/>
            </w:tcBorders>
          </w:tcPr>
          <w:p w14:paraId="000ABDA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Codebook Mode</w:t>
            </w:r>
          </w:p>
        </w:tc>
        <w:tc>
          <w:tcPr>
            <w:tcW w:w="740" w:type="dxa"/>
            <w:tcBorders>
              <w:top w:val="single" w:sz="4" w:space="0" w:color="auto"/>
              <w:left w:val="single" w:sz="4" w:space="0" w:color="auto"/>
              <w:bottom w:val="single" w:sz="4" w:space="0" w:color="auto"/>
              <w:right w:val="single" w:sz="4" w:space="0" w:color="auto"/>
            </w:tcBorders>
            <w:vAlign w:val="center"/>
          </w:tcPr>
          <w:p w14:paraId="371B7861"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33E5F59C"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c>
          <w:tcPr>
            <w:tcW w:w="1350" w:type="dxa"/>
            <w:tcBorders>
              <w:top w:val="single" w:sz="4" w:space="0" w:color="auto"/>
              <w:left w:val="single" w:sz="4" w:space="0" w:color="auto"/>
              <w:bottom w:val="single" w:sz="4" w:space="0" w:color="auto"/>
              <w:right w:val="single" w:sz="4" w:space="0" w:color="auto"/>
            </w:tcBorders>
            <w:vAlign w:val="center"/>
          </w:tcPr>
          <w:p w14:paraId="180C370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c>
          <w:tcPr>
            <w:tcW w:w="1350" w:type="dxa"/>
            <w:tcBorders>
              <w:top w:val="single" w:sz="4" w:space="0" w:color="auto"/>
              <w:left w:val="single" w:sz="4" w:space="0" w:color="auto"/>
              <w:bottom w:val="single" w:sz="4" w:space="0" w:color="auto"/>
              <w:right w:val="single" w:sz="4" w:space="0" w:color="auto"/>
            </w:tcBorders>
            <w:vAlign w:val="center"/>
          </w:tcPr>
          <w:p w14:paraId="27A76A0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r>
      <w:tr w:rsidR="00241417" w:rsidRPr="00401B60" w14:paraId="23CA3F1E" w14:textId="77777777" w:rsidTr="003A71DE">
        <w:trPr>
          <w:trHeight w:val="70"/>
        </w:trPr>
        <w:tc>
          <w:tcPr>
            <w:tcW w:w="1267" w:type="dxa"/>
            <w:gridSpan w:val="2"/>
            <w:vMerge/>
            <w:tcBorders>
              <w:left w:val="single" w:sz="4" w:space="0" w:color="auto"/>
              <w:right w:val="single" w:sz="4" w:space="0" w:color="auto"/>
            </w:tcBorders>
            <w:hideMark/>
          </w:tcPr>
          <w:p w14:paraId="47FEF0FE" w14:textId="77777777" w:rsidR="00241417" w:rsidRPr="00FA1FB5" w:rsidRDefault="00241417" w:rsidP="003A71DE">
            <w:pPr>
              <w:keepNext/>
              <w:keepLines/>
              <w:spacing w:after="0"/>
              <w:rPr>
                <w:rFonts w:ascii="Arial" w:eastAsia="SimSun" w:hAnsi="Arial"/>
                <w:sz w:val="18"/>
                <w:lang w:val="en-US"/>
              </w:rPr>
            </w:pPr>
          </w:p>
        </w:tc>
        <w:tc>
          <w:tcPr>
            <w:tcW w:w="2654" w:type="dxa"/>
            <w:tcBorders>
              <w:top w:val="single" w:sz="4" w:space="0" w:color="auto"/>
              <w:left w:val="single" w:sz="4" w:space="0" w:color="auto"/>
              <w:bottom w:val="single" w:sz="4" w:space="0" w:color="auto"/>
              <w:right w:val="single" w:sz="4" w:space="0" w:color="auto"/>
            </w:tcBorders>
          </w:tcPr>
          <w:p w14:paraId="1A701F83"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(CodebookConfig-N1,CodebookConfig-N2)</w:t>
            </w:r>
          </w:p>
        </w:tc>
        <w:tc>
          <w:tcPr>
            <w:tcW w:w="740" w:type="dxa"/>
            <w:tcBorders>
              <w:top w:val="single" w:sz="4" w:space="0" w:color="auto"/>
              <w:left w:val="single" w:sz="4" w:space="0" w:color="auto"/>
              <w:bottom w:val="single" w:sz="4" w:space="0" w:color="auto"/>
              <w:right w:val="single" w:sz="4" w:space="0" w:color="auto"/>
            </w:tcBorders>
            <w:vAlign w:val="center"/>
          </w:tcPr>
          <w:p w14:paraId="5A7592E5"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6B913EC5"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N/A</w:t>
            </w:r>
          </w:p>
        </w:tc>
        <w:tc>
          <w:tcPr>
            <w:tcW w:w="1350" w:type="dxa"/>
            <w:tcBorders>
              <w:top w:val="single" w:sz="4" w:space="0" w:color="auto"/>
              <w:left w:val="single" w:sz="4" w:space="0" w:color="auto"/>
              <w:bottom w:val="single" w:sz="4" w:space="0" w:color="auto"/>
              <w:right w:val="single" w:sz="4" w:space="0" w:color="auto"/>
            </w:tcBorders>
            <w:vAlign w:val="center"/>
          </w:tcPr>
          <w:p w14:paraId="3E21F4C4"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N/A</w:t>
            </w:r>
          </w:p>
        </w:tc>
        <w:tc>
          <w:tcPr>
            <w:tcW w:w="1350" w:type="dxa"/>
            <w:tcBorders>
              <w:top w:val="single" w:sz="4" w:space="0" w:color="auto"/>
              <w:left w:val="single" w:sz="4" w:space="0" w:color="auto"/>
              <w:bottom w:val="single" w:sz="4" w:space="0" w:color="auto"/>
              <w:right w:val="single" w:sz="4" w:space="0" w:color="auto"/>
            </w:tcBorders>
            <w:vAlign w:val="center"/>
          </w:tcPr>
          <w:p w14:paraId="37B7DDF1"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N/A</w:t>
            </w:r>
          </w:p>
        </w:tc>
      </w:tr>
      <w:tr w:rsidR="00241417" w:rsidRPr="00401B60" w14:paraId="1DC556DA" w14:textId="77777777" w:rsidTr="003A71DE">
        <w:trPr>
          <w:trHeight w:val="70"/>
        </w:trPr>
        <w:tc>
          <w:tcPr>
            <w:tcW w:w="1267" w:type="dxa"/>
            <w:gridSpan w:val="2"/>
            <w:vMerge/>
            <w:tcBorders>
              <w:left w:val="single" w:sz="4" w:space="0" w:color="auto"/>
              <w:right w:val="single" w:sz="4" w:space="0" w:color="auto"/>
            </w:tcBorders>
            <w:hideMark/>
          </w:tcPr>
          <w:p w14:paraId="20E43033" w14:textId="77777777" w:rsidR="00241417" w:rsidRPr="00FA1FB5" w:rsidRDefault="00241417" w:rsidP="003A71DE">
            <w:pPr>
              <w:keepNext/>
              <w:keepLines/>
              <w:spacing w:after="0"/>
              <w:rPr>
                <w:rFonts w:ascii="Arial" w:eastAsia="SimSun" w:hAnsi="Arial"/>
                <w:sz w:val="18"/>
                <w:lang w:val="en-US"/>
              </w:rPr>
            </w:pPr>
          </w:p>
        </w:tc>
        <w:tc>
          <w:tcPr>
            <w:tcW w:w="2654" w:type="dxa"/>
            <w:tcBorders>
              <w:top w:val="single" w:sz="4" w:space="0" w:color="auto"/>
              <w:left w:val="single" w:sz="4" w:space="0" w:color="auto"/>
              <w:bottom w:val="single" w:sz="4" w:space="0" w:color="auto"/>
              <w:right w:val="single" w:sz="4" w:space="0" w:color="auto"/>
            </w:tcBorders>
          </w:tcPr>
          <w:p w14:paraId="6D19E73F"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CodebookSubsetRestriction</w:t>
            </w:r>
          </w:p>
        </w:tc>
        <w:tc>
          <w:tcPr>
            <w:tcW w:w="740" w:type="dxa"/>
            <w:tcBorders>
              <w:top w:val="single" w:sz="4" w:space="0" w:color="auto"/>
              <w:left w:val="single" w:sz="4" w:space="0" w:color="auto"/>
              <w:bottom w:val="single" w:sz="4" w:space="0" w:color="auto"/>
              <w:right w:val="single" w:sz="4" w:space="0" w:color="auto"/>
            </w:tcBorders>
            <w:vAlign w:val="center"/>
          </w:tcPr>
          <w:p w14:paraId="15C94A1C"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662CCF23"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010000 for fixed rank 2,</w:t>
            </w:r>
          </w:p>
          <w:p w14:paraId="6013700B"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010011 for following rank</w:t>
            </w:r>
          </w:p>
        </w:tc>
        <w:tc>
          <w:tcPr>
            <w:tcW w:w="1350" w:type="dxa"/>
            <w:tcBorders>
              <w:top w:val="single" w:sz="4" w:space="0" w:color="auto"/>
              <w:left w:val="single" w:sz="4" w:space="0" w:color="auto"/>
              <w:bottom w:val="single" w:sz="4" w:space="0" w:color="auto"/>
              <w:right w:val="single" w:sz="4" w:space="0" w:color="auto"/>
            </w:tcBorders>
            <w:vAlign w:val="center"/>
          </w:tcPr>
          <w:p w14:paraId="64BE394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000011 for fixed rank 1,</w:t>
            </w:r>
          </w:p>
          <w:p w14:paraId="70A8261E"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010011 for following rank</w:t>
            </w:r>
          </w:p>
        </w:tc>
        <w:tc>
          <w:tcPr>
            <w:tcW w:w="1350" w:type="dxa"/>
            <w:tcBorders>
              <w:top w:val="single" w:sz="4" w:space="0" w:color="auto"/>
              <w:left w:val="single" w:sz="4" w:space="0" w:color="auto"/>
              <w:bottom w:val="single" w:sz="4" w:space="0" w:color="auto"/>
              <w:right w:val="single" w:sz="4" w:space="0" w:color="auto"/>
            </w:tcBorders>
            <w:vAlign w:val="center"/>
          </w:tcPr>
          <w:p w14:paraId="7DCB381E"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000011 for fixed rank 1,</w:t>
            </w:r>
          </w:p>
          <w:p w14:paraId="7834D466" w14:textId="77777777" w:rsidR="00241417" w:rsidRPr="00FA1FB5" w:rsidRDefault="00241417" w:rsidP="003A71DE">
            <w:pPr>
              <w:keepNext/>
              <w:keepLines/>
              <w:spacing w:after="0"/>
              <w:jc w:val="center"/>
              <w:rPr>
                <w:rFonts w:ascii="Arial" w:eastAsia="SimSun" w:hAnsi="Arial"/>
                <w:sz w:val="18"/>
                <w:lang w:val="en-US" w:eastAsia="zh-CN"/>
              </w:rPr>
            </w:pPr>
            <w:r w:rsidRPr="00FA1FB5">
              <w:rPr>
                <w:rFonts w:ascii="Arial" w:eastAsia="SimSun" w:hAnsi="Arial"/>
                <w:sz w:val="18"/>
                <w:lang w:val="en-US"/>
              </w:rPr>
              <w:t>010011 for following rank</w:t>
            </w:r>
          </w:p>
        </w:tc>
      </w:tr>
      <w:tr w:rsidR="00241417" w:rsidRPr="00401B60" w14:paraId="672E6855" w14:textId="77777777" w:rsidTr="003A71DE">
        <w:trPr>
          <w:trHeight w:val="70"/>
        </w:trPr>
        <w:tc>
          <w:tcPr>
            <w:tcW w:w="1267" w:type="dxa"/>
            <w:gridSpan w:val="2"/>
            <w:vMerge/>
            <w:tcBorders>
              <w:left w:val="single" w:sz="4" w:space="0" w:color="auto"/>
              <w:bottom w:val="single" w:sz="4" w:space="0" w:color="auto"/>
              <w:right w:val="single" w:sz="4" w:space="0" w:color="auto"/>
            </w:tcBorders>
          </w:tcPr>
          <w:p w14:paraId="36A19E2C" w14:textId="77777777" w:rsidR="00241417" w:rsidRPr="00FA1FB5" w:rsidRDefault="00241417" w:rsidP="003A71DE">
            <w:pPr>
              <w:keepNext/>
              <w:keepLines/>
              <w:spacing w:after="0"/>
              <w:rPr>
                <w:rFonts w:ascii="Arial" w:eastAsia="SimSun" w:hAnsi="Arial"/>
                <w:sz w:val="18"/>
                <w:lang w:val="en-US"/>
              </w:rPr>
            </w:pPr>
          </w:p>
        </w:tc>
        <w:tc>
          <w:tcPr>
            <w:tcW w:w="2654" w:type="dxa"/>
            <w:tcBorders>
              <w:top w:val="single" w:sz="4" w:space="0" w:color="auto"/>
              <w:left w:val="single" w:sz="4" w:space="0" w:color="auto"/>
              <w:bottom w:val="single" w:sz="4" w:space="0" w:color="auto"/>
              <w:right w:val="single" w:sz="4" w:space="0" w:color="auto"/>
            </w:tcBorders>
          </w:tcPr>
          <w:p w14:paraId="713DC191"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RI Restriction</w:t>
            </w:r>
          </w:p>
        </w:tc>
        <w:tc>
          <w:tcPr>
            <w:tcW w:w="740" w:type="dxa"/>
            <w:tcBorders>
              <w:top w:val="single" w:sz="4" w:space="0" w:color="auto"/>
              <w:left w:val="single" w:sz="4" w:space="0" w:color="auto"/>
              <w:bottom w:val="single" w:sz="4" w:space="0" w:color="auto"/>
              <w:right w:val="single" w:sz="4" w:space="0" w:color="auto"/>
            </w:tcBorders>
            <w:vAlign w:val="center"/>
          </w:tcPr>
          <w:p w14:paraId="6937D1BB"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1D75EF18"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N/A</w:t>
            </w:r>
          </w:p>
        </w:tc>
        <w:tc>
          <w:tcPr>
            <w:tcW w:w="1350" w:type="dxa"/>
            <w:tcBorders>
              <w:top w:val="single" w:sz="4" w:space="0" w:color="auto"/>
              <w:left w:val="single" w:sz="4" w:space="0" w:color="auto"/>
              <w:bottom w:val="single" w:sz="4" w:space="0" w:color="auto"/>
              <w:right w:val="single" w:sz="4" w:space="0" w:color="auto"/>
            </w:tcBorders>
            <w:vAlign w:val="center"/>
          </w:tcPr>
          <w:p w14:paraId="50621E5F"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N/A</w:t>
            </w:r>
          </w:p>
        </w:tc>
        <w:tc>
          <w:tcPr>
            <w:tcW w:w="1350" w:type="dxa"/>
            <w:tcBorders>
              <w:top w:val="single" w:sz="4" w:space="0" w:color="auto"/>
              <w:left w:val="single" w:sz="4" w:space="0" w:color="auto"/>
              <w:bottom w:val="single" w:sz="4" w:space="0" w:color="auto"/>
              <w:right w:val="single" w:sz="4" w:space="0" w:color="auto"/>
            </w:tcBorders>
            <w:vAlign w:val="center"/>
          </w:tcPr>
          <w:p w14:paraId="5F33F442"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N/A</w:t>
            </w:r>
          </w:p>
        </w:tc>
      </w:tr>
      <w:tr w:rsidR="00241417" w:rsidRPr="00401B60" w14:paraId="2076B319"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7A657558" w14:textId="77777777" w:rsidR="00241417" w:rsidRPr="00D5656D" w:rsidRDefault="00241417" w:rsidP="003A71DE">
            <w:pPr>
              <w:keepNext/>
              <w:keepLines/>
              <w:spacing w:after="0"/>
              <w:rPr>
                <w:rFonts w:ascii="Arial" w:eastAsia="SimSun" w:hAnsi="Arial"/>
                <w:sz w:val="18"/>
                <w:lang w:val="en-US"/>
              </w:rPr>
            </w:pPr>
            <w:r w:rsidRPr="00D5656D">
              <w:rPr>
                <w:rFonts w:ascii="Arial" w:eastAsia="SimSun" w:hAnsi="Arial"/>
                <w:sz w:val="18"/>
                <w:lang w:val="en-US"/>
              </w:rPr>
              <w:t xml:space="preserve">CQI/RI/PMI delay </w:t>
            </w:r>
          </w:p>
        </w:tc>
        <w:tc>
          <w:tcPr>
            <w:tcW w:w="740" w:type="dxa"/>
            <w:tcBorders>
              <w:top w:val="single" w:sz="4" w:space="0" w:color="auto"/>
              <w:left w:val="single" w:sz="4" w:space="0" w:color="auto"/>
              <w:bottom w:val="single" w:sz="4" w:space="0" w:color="auto"/>
              <w:right w:val="single" w:sz="4" w:space="0" w:color="auto"/>
            </w:tcBorders>
            <w:vAlign w:val="center"/>
            <w:hideMark/>
          </w:tcPr>
          <w:p w14:paraId="2153A376" w14:textId="77777777" w:rsidR="00241417" w:rsidRPr="00D5656D" w:rsidRDefault="00241417" w:rsidP="003A71DE">
            <w:pPr>
              <w:keepNext/>
              <w:keepLines/>
              <w:spacing w:after="0"/>
              <w:jc w:val="center"/>
              <w:rPr>
                <w:rFonts w:ascii="Arial" w:eastAsia="SimSun" w:hAnsi="Arial"/>
                <w:sz w:val="18"/>
                <w:lang w:val="en-US"/>
              </w:rPr>
            </w:pPr>
            <w:r w:rsidRPr="00D5656D">
              <w:rPr>
                <w:rFonts w:ascii="Arial" w:eastAsia="SimSun" w:hAnsi="Arial"/>
                <w:sz w:val="18"/>
                <w:lang w:val="en-US"/>
              </w:rPr>
              <w:t>ms</w:t>
            </w:r>
          </w:p>
        </w:tc>
        <w:tc>
          <w:tcPr>
            <w:tcW w:w="1455" w:type="dxa"/>
            <w:tcBorders>
              <w:top w:val="single" w:sz="4" w:space="0" w:color="auto"/>
              <w:left w:val="single" w:sz="4" w:space="0" w:color="auto"/>
              <w:bottom w:val="single" w:sz="4" w:space="0" w:color="auto"/>
              <w:right w:val="single" w:sz="4" w:space="0" w:color="auto"/>
            </w:tcBorders>
            <w:vAlign w:val="center"/>
          </w:tcPr>
          <w:p w14:paraId="20B2AE53" w14:textId="77777777" w:rsidR="00241417" w:rsidRPr="00D5656D" w:rsidRDefault="00241417" w:rsidP="003A71DE">
            <w:pPr>
              <w:keepNext/>
              <w:keepLines/>
              <w:spacing w:after="0"/>
              <w:jc w:val="center"/>
              <w:rPr>
                <w:rFonts w:ascii="Arial" w:eastAsia="SimSun" w:hAnsi="Arial"/>
                <w:sz w:val="18"/>
                <w:lang w:val="en-US" w:eastAsia="zh-CN"/>
              </w:rPr>
            </w:pPr>
            <w:r w:rsidRPr="00D5656D">
              <w:rPr>
                <w:rFonts w:ascii="Arial" w:eastAsia="SimSun" w:hAnsi="Arial" w:hint="eastAsia"/>
                <w:sz w:val="18"/>
                <w:lang w:val="en-US" w:eastAsia="zh-CN"/>
              </w:rPr>
              <w:t>1.375</w:t>
            </w:r>
          </w:p>
        </w:tc>
        <w:tc>
          <w:tcPr>
            <w:tcW w:w="1350" w:type="dxa"/>
            <w:tcBorders>
              <w:top w:val="single" w:sz="4" w:space="0" w:color="auto"/>
              <w:left w:val="single" w:sz="4" w:space="0" w:color="auto"/>
              <w:bottom w:val="single" w:sz="4" w:space="0" w:color="auto"/>
              <w:right w:val="single" w:sz="4" w:space="0" w:color="auto"/>
            </w:tcBorders>
            <w:vAlign w:val="center"/>
          </w:tcPr>
          <w:p w14:paraId="01D6726F" w14:textId="77777777" w:rsidR="00241417" w:rsidRPr="00D5656D" w:rsidRDefault="00241417" w:rsidP="003A71DE">
            <w:pPr>
              <w:keepNext/>
              <w:keepLines/>
              <w:spacing w:after="0"/>
              <w:jc w:val="center"/>
              <w:rPr>
                <w:rFonts w:ascii="Arial" w:eastAsia="SimSun" w:hAnsi="Arial"/>
                <w:sz w:val="18"/>
                <w:lang w:val="en-US" w:eastAsia="zh-CN"/>
              </w:rPr>
            </w:pPr>
            <w:r w:rsidRPr="00D5656D">
              <w:rPr>
                <w:rFonts w:ascii="Arial" w:eastAsia="SimSun" w:hAnsi="Arial" w:hint="eastAsia"/>
                <w:sz w:val="18"/>
                <w:lang w:val="en-US" w:eastAsia="zh-CN"/>
              </w:rPr>
              <w:t>1.375</w:t>
            </w:r>
          </w:p>
        </w:tc>
        <w:tc>
          <w:tcPr>
            <w:tcW w:w="1350" w:type="dxa"/>
            <w:tcBorders>
              <w:top w:val="single" w:sz="4" w:space="0" w:color="auto"/>
              <w:left w:val="single" w:sz="4" w:space="0" w:color="auto"/>
              <w:bottom w:val="single" w:sz="4" w:space="0" w:color="auto"/>
              <w:right w:val="single" w:sz="4" w:space="0" w:color="auto"/>
            </w:tcBorders>
            <w:vAlign w:val="center"/>
          </w:tcPr>
          <w:p w14:paraId="1AF0BC5B" w14:textId="77777777" w:rsidR="00241417" w:rsidRPr="00D5656D" w:rsidRDefault="00241417" w:rsidP="003A71DE">
            <w:pPr>
              <w:keepNext/>
              <w:keepLines/>
              <w:spacing w:after="0"/>
              <w:jc w:val="center"/>
              <w:rPr>
                <w:rFonts w:ascii="Arial" w:eastAsia="SimSun" w:hAnsi="Arial"/>
                <w:sz w:val="18"/>
                <w:lang w:val="en-US" w:eastAsia="zh-CN"/>
              </w:rPr>
            </w:pPr>
            <w:r w:rsidRPr="00D5656D">
              <w:rPr>
                <w:rFonts w:ascii="Arial" w:eastAsia="SimSun" w:hAnsi="Arial" w:hint="eastAsia"/>
                <w:sz w:val="18"/>
                <w:lang w:val="en-US" w:eastAsia="zh-CN"/>
              </w:rPr>
              <w:t>1.375</w:t>
            </w:r>
          </w:p>
        </w:tc>
      </w:tr>
      <w:tr w:rsidR="00241417" w:rsidRPr="00401B60" w14:paraId="6C31562F"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tcPr>
          <w:p w14:paraId="04C18DDE"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Maximum number of HARQ transmission</w:t>
            </w:r>
          </w:p>
        </w:tc>
        <w:tc>
          <w:tcPr>
            <w:tcW w:w="740" w:type="dxa"/>
            <w:tcBorders>
              <w:top w:val="single" w:sz="4" w:space="0" w:color="auto"/>
              <w:left w:val="single" w:sz="4" w:space="0" w:color="auto"/>
              <w:bottom w:val="single" w:sz="4" w:space="0" w:color="auto"/>
              <w:right w:val="single" w:sz="4" w:space="0" w:color="auto"/>
            </w:tcBorders>
            <w:vAlign w:val="center"/>
          </w:tcPr>
          <w:p w14:paraId="106C3194"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21B6A986"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c>
          <w:tcPr>
            <w:tcW w:w="1350" w:type="dxa"/>
            <w:tcBorders>
              <w:top w:val="single" w:sz="4" w:space="0" w:color="auto"/>
              <w:left w:val="single" w:sz="4" w:space="0" w:color="auto"/>
              <w:bottom w:val="single" w:sz="4" w:space="0" w:color="auto"/>
              <w:right w:val="single" w:sz="4" w:space="0" w:color="auto"/>
            </w:tcBorders>
            <w:vAlign w:val="center"/>
          </w:tcPr>
          <w:p w14:paraId="77923A57"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c>
          <w:tcPr>
            <w:tcW w:w="1350" w:type="dxa"/>
            <w:tcBorders>
              <w:top w:val="single" w:sz="4" w:space="0" w:color="auto"/>
              <w:left w:val="single" w:sz="4" w:space="0" w:color="auto"/>
              <w:bottom w:val="single" w:sz="4" w:space="0" w:color="auto"/>
              <w:right w:val="single" w:sz="4" w:space="0" w:color="auto"/>
            </w:tcBorders>
            <w:vAlign w:val="center"/>
          </w:tcPr>
          <w:p w14:paraId="3FD51271"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1</w:t>
            </w:r>
          </w:p>
        </w:tc>
      </w:tr>
      <w:tr w:rsidR="00241417" w:rsidRPr="00401B60" w14:paraId="21D0E9FB" w14:textId="77777777" w:rsidTr="003A71DE">
        <w:trPr>
          <w:trHeight w:val="70"/>
        </w:trPr>
        <w:tc>
          <w:tcPr>
            <w:tcW w:w="3921" w:type="dxa"/>
            <w:gridSpan w:val="3"/>
            <w:tcBorders>
              <w:top w:val="single" w:sz="4" w:space="0" w:color="auto"/>
              <w:left w:val="single" w:sz="4" w:space="0" w:color="auto"/>
              <w:bottom w:val="single" w:sz="4" w:space="0" w:color="auto"/>
              <w:right w:val="single" w:sz="4" w:space="0" w:color="auto"/>
            </w:tcBorders>
            <w:vAlign w:val="center"/>
            <w:hideMark/>
          </w:tcPr>
          <w:p w14:paraId="3BC440CF" w14:textId="77777777" w:rsidR="00241417" w:rsidRPr="00FA1FB5" w:rsidRDefault="00241417" w:rsidP="003A71DE">
            <w:pPr>
              <w:keepNext/>
              <w:keepLines/>
              <w:spacing w:after="0"/>
              <w:rPr>
                <w:rFonts w:ascii="Arial" w:eastAsia="SimSun" w:hAnsi="Arial"/>
                <w:sz w:val="18"/>
                <w:lang w:val="en-US"/>
              </w:rPr>
            </w:pPr>
            <w:r w:rsidRPr="00FA1FB5">
              <w:rPr>
                <w:rFonts w:ascii="Arial" w:eastAsia="SimSun" w:hAnsi="Arial"/>
                <w:sz w:val="18"/>
                <w:lang w:val="en-US"/>
              </w:rPr>
              <w:t>RI Configuration</w:t>
            </w:r>
          </w:p>
        </w:tc>
        <w:tc>
          <w:tcPr>
            <w:tcW w:w="740" w:type="dxa"/>
            <w:tcBorders>
              <w:top w:val="single" w:sz="4" w:space="0" w:color="auto"/>
              <w:left w:val="single" w:sz="4" w:space="0" w:color="auto"/>
              <w:bottom w:val="single" w:sz="4" w:space="0" w:color="auto"/>
              <w:right w:val="single" w:sz="4" w:space="0" w:color="auto"/>
            </w:tcBorders>
            <w:vAlign w:val="center"/>
          </w:tcPr>
          <w:p w14:paraId="72F7293A" w14:textId="77777777" w:rsidR="00241417" w:rsidRPr="00FA1FB5" w:rsidRDefault="00241417" w:rsidP="003A71DE">
            <w:pPr>
              <w:keepNext/>
              <w:keepLines/>
              <w:spacing w:after="0"/>
              <w:jc w:val="center"/>
              <w:rPr>
                <w:rFonts w:ascii="Arial" w:eastAsia="SimSun" w:hAnsi="Arial"/>
                <w:sz w:val="18"/>
                <w:lang w:val="en-US"/>
              </w:rPr>
            </w:pPr>
          </w:p>
        </w:tc>
        <w:tc>
          <w:tcPr>
            <w:tcW w:w="1455" w:type="dxa"/>
            <w:tcBorders>
              <w:top w:val="single" w:sz="4" w:space="0" w:color="auto"/>
              <w:left w:val="single" w:sz="4" w:space="0" w:color="auto"/>
              <w:bottom w:val="single" w:sz="4" w:space="0" w:color="auto"/>
              <w:right w:val="single" w:sz="4" w:space="0" w:color="auto"/>
            </w:tcBorders>
            <w:vAlign w:val="center"/>
          </w:tcPr>
          <w:p w14:paraId="0EF582B8"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Fixed RI = 2 and follow RI</w:t>
            </w:r>
          </w:p>
        </w:tc>
        <w:tc>
          <w:tcPr>
            <w:tcW w:w="1350" w:type="dxa"/>
            <w:tcBorders>
              <w:top w:val="single" w:sz="4" w:space="0" w:color="auto"/>
              <w:left w:val="single" w:sz="4" w:space="0" w:color="auto"/>
              <w:bottom w:val="single" w:sz="4" w:space="0" w:color="auto"/>
              <w:right w:val="single" w:sz="4" w:space="0" w:color="auto"/>
            </w:tcBorders>
            <w:vAlign w:val="center"/>
          </w:tcPr>
          <w:p w14:paraId="7BA48F01"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Fixed RI = 1 and follow RI</w:t>
            </w:r>
          </w:p>
        </w:tc>
        <w:tc>
          <w:tcPr>
            <w:tcW w:w="1350" w:type="dxa"/>
            <w:tcBorders>
              <w:top w:val="single" w:sz="4" w:space="0" w:color="auto"/>
              <w:left w:val="single" w:sz="4" w:space="0" w:color="auto"/>
              <w:bottom w:val="single" w:sz="4" w:space="0" w:color="auto"/>
              <w:right w:val="single" w:sz="4" w:space="0" w:color="auto"/>
            </w:tcBorders>
            <w:vAlign w:val="center"/>
          </w:tcPr>
          <w:p w14:paraId="730F021C" w14:textId="77777777" w:rsidR="00241417" w:rsidRPr="00FA1FB5" w:rsidRDefault="00241417" w:rsidP="003A71DE">
            <w:pPr>
              <w:keepNext/>
              <w:keepLines/>
              <w:spacing w:after="0"/>
              <w:jc w:val="center"/>
              <w:rPr>
                <w:rFonts w:ascii="Arial" w:eastAsia="SimSun" w:hAnsi="Arial"/>
                <w:sz w:val="18"/>
                <w:lang w:val="en-US"/>
              </w:rPr>
            </w:pPr>
            <w:r w:rsidRPr="00FA1FB5">
              <w:rPr>
                <w:rFonts w:ascii="Arial" w:eastAsia="SimSun" w:hAnsi="Arial"/>
                <w:sz w:val="18"/>
                <w:lang w:val="en-US"/>
              </w:rPr>
              <w:t>Fixed RI = 1 and follow RI</w:t>
            </w:r>
          </w:p>
        </w:tc>
      </w:tr>
      <w:tr w:rsidR="00241417" w:rsidRPr="00401B60" w14:paraId="36314D78" w14:textId="77777777" w:rsidTr="003A71DE">
        <w:trPr>
          <w:trHeight w:val="70"/>
        </w:trPr>
        <w:tc>
          <w:tcPr>
            <w:tcW w:w="8816" w:type="dxa"/>
            <w:gridSpan w:val="7"/>
            <w:tcBorders>
              <w:top w:val="single" w:sz="4" w:space="0" w:color="auto"/>
              <w:left w:val="single" w:sz="4" w:space="0" w:color="auto"/>
              <w:bottom w:val="single" w:sz="4" w:space="0" w:color="auto"/>
              <w:right w:val="single" w:sz="4" w:space="0" w:color="auto"/>
            </w:tcBorders>
            <w:vAlign w:val="center"/>
          </w:tcPr>
          <w:p w14:paraId="66ACF4C2" w14:textId="77777777" w:rsidR="00241417" w:rsidRDefault="00241417" w:rsidP="003A71DE">
            <w:pPr>
              <w:pStyle w:val="TAN"/>
              <w:rPr>
                <w:rFonts w:eastAsia="SimSun"/>
              </w:rPr>
            </w:pPr>
            <w:r w:rsidRPr="00177566">
              <w:rPr>
                <w:rFonts w:eastAsia="SimSun"/>
              </w:rPr>
              <w:t>Note 1:</w:t>
            </w:r>
            <w:r w:rsidRPr="00177566">
              <w:rPr>
                <w:rFonts w:eastAsia="SimSun"/>
              </w:rPr>
              <w:tab/>
              <w:t>The same requirements are applicable to with different UL-DL patterns.</w:t>
            </w:r>
          </w:p>
          <w:p w14:paraId="616C884B" w14:textId="23438725" w:rsidR="00BC408B" w:rsidRDefault="00BC408B" w:rsidP="00BC408B">
            <w:pPr>
              <w:pStyle w:val="TAN"/>
              <w:rPr>
                <w:rFonts w:eastAsia="SimSun"/>
              </w:rPr>
            </w:pPr>
            <w:r w:rsidRPr="00210FED">
              <w:rPr>
                <w:rFonts w:eastAsia="SimSun"/>
              </w:rPr>
              <w:t>Note 2:</w:t>
            </w:r>
            <w:r w:rsidRPr="00210FED">
              <w:rPr>
                <w:rFonts w:eastAsia="SimSun"/>
              </w:rPr>
              <w:tab/>
              <w:t>SSB, TRS,</w:t>
            </w:r>
            <w:r>
              <w:rPr>
                <w:rFonts w:eastAsia="SimSun"/>
              </w:rPr>
              <w:t xml:space="preserve"> </w:t>
            </w:r>
            <w:r w:rsidRPr="00D5656D">
              <w:t>CSI-RS</w:t>
            </w:r>
            <w:r>
              <w:rPr>
                <w:rFonts w:eastAsia="SimSun"/>
              </w:rPr>
              <w:t xml:space="preserve"> </w:t>
            </w:r>
            <w:r w:rsidRPr="00210FED">
              <w:rPr>
                <w:rFonts w:eastAsia="SimSun"/>
              </w:rPr>
              <w:t>and/or other unspecified test parameters with respect to TS 38.101-4</w:t>
            </w:r>
            <w:r>
              <w:rPr>
                <w:rFonts w:eastAsia="SimSun"/>
              </w:rPr>
              <w:t xml:space="preserve"> [</w:t>
            </w:r>
            <w:r>
              <w:rPr>
                <w:rFonts w:eastAsia="SimSun" w:hint="eastAsia"/>
                <w:lang w:eastAsia="zh-CN"/>
              </w:rPr>
              <w:t>28</w:t>
            </w:r>
            <w:r>
              <w:rPr>
                <w:rFonts w:eastAsia="SimSun"/>
              </w:rPr>
              <w:t>]</w:t>
            </w:r>
            <w:r w:rsidRPr="00210FED">
              <w:rPr>
                <w:rFonts w:eastAsia="SimSun"/>
              </w:rPr>
              <w:t xml:space="preserve"> are left up to test implementation, if transmitted or needed.</w:t>
            </w:r>
          </w:p>
          <w:p w14:paraId="0FC93CE1" w14:textId="1BB58EE6" w:rsidR="00241417" w:rsidRPr="00D5656D" w:rsidRDefault="00BC408B" w:rsidP="00BC408B">
            <w:pPr>
              <w:pStyle w:val="TAN"/>
              <w:rPr>
                <w:rFonts w:eastAsia="SimSun"/>
              </w:rPr>
            </w:pPr>
            <w:r w:rsidRPr="00737731">
              <w:rPr>
                <w:rFonts w:eastAsia="SimSun"/>
              </w:rPr>
              <w:t>Note 3:</w:t>
            </w:r>
            <w:r w:rsidRPr="00737731">
              <w:rPr>
                <w:rFonts w:eastAsia="SimSun"/>
              </w:rPr>
              <w:tab/>
              <w:t>Meas</w:t>
            </w:r>
            <w:r w:rsidRPr="0055145D">
              <w:rPr>
                <w:rFonts w:eastAsia="SimSun"/>
              </w:rPr>
              <w:t>urements channels are specified in Table A.3.5-2. M-FR2-A.3.5-1 is used for Rank 1 case. M-FR2-A.3.5-2 is used for</w:t>
            </w:r>
            <w:r w:rsidRPr="00737731">
              <w:rPr>
                <w:rFonts w:eastAsia="SimSun"/>
              </w:rPr>
              <w:t xml:space="preserve"> Rank 2 case.</w:t>
            </w:r>
          </w:p>
        </w:tc>
      </w:tr>
    </w:tbl>
    <w:p w14:paraId="1C75C43F" w14:textId="77777777" w:rsidR="00241417" w:rsidRPr="00FA1FB5" w:rsidRDefault="00241417" w:rsidP="00241417">
      <w:pPr>
        <w:rPr>
          <w:rFonts w:eastAsia="SimSun"/>
          <w:lang w:val="en-US" w:eastAsia="zh-CN"/>
        </w:rPr>
      </w:pPr>
    </w:p>
    <w:p w14:paraId="6CF65B95" w14:textId="77777777" w:rsidR="00241417" w:rsidRPr="00FA1FB5" w:rsidRDefault="00241417" w:rsidP="00241417">
      <w:pPr>
        <w:pStyle w:val="H6"/>
        <w:rPr>
          <w:rFonts w:eastAsia="SimSun"/>
          <w:lang w:val="en-US"/>
        </w:rPr>
      </w:pPr>
      <w:r w:rsidRPr="00FA1FB5">
        <w:rPr>
          <w:lang w:val="en-US" w:eastAsia="zh-CN"/>
        </w:rPr>
        <w:t>11.2.3.2.</w:t>
      </w:r>
      <w:r>
        <w:rPr>
          <w:lang w:eastAsia="zh-CN"/>
        </w:rPr>
        <w:t>4</w:t>
      </w:r>
      <w:r w:rsidRPr="00FA1FB5">
        <w:rPr>
          <w:lang w:val="en-US"/>
        </w:rPr>
        <w:t>.2</w:t>
      </w:r>
      <w:r w:rsidRPr="00FA1FB5">
        <w:rPr>
          <w:lang w:val="en-US"/>
        </w:rPr>
        <w:tab/>
        <w:t>Minimum requirements</w:t>
      </w:r>
    </w:p>
    <w:p w14:paraId="422453E5" w14:textId="07C9B3E3" w:rsidR="00241417" w:rsidRPr="00FA1FB5" w:rsidRDefault="00241417" w:rsidP="00241417">
      <w:pPr>
        <w:rPr>
          <w:rFonts w:eastAsia="SimSun"/>
          <w:lang w:val="en-US"/>
        </w:rPr>
      </w:pPr>
      <w:r w:rsidRPr="0055145D">
        <w:rPr>
          <w:rFonts w:eastAsia="SimSun"/>
          <w:lang w:val="en-US"/>
        </w:rPr>
        <w:t xml:space="preserve">For the parameters specified in Table </w:t>
      </w:r>
      <w:r w:rsidRPr="0055145D">
        <w:rPr>
          <w:lang w:val="en-US" w:eastAsia="zh-CN"/>
        </w:rPr>
        <w:t>11.2.3.2.</w:t>
      </w:r>
      <w:r w:rsidRPr="0055145D">
        <w:rPr>
          <w:lang w:eastAsia="zh-CN"/>
        </w:rPr>
        <w:t>4</w:t>
      </w:r>
      <w:r w:rsidRPr="0055145D">
        <w:rPr>
          <w:lang w:val="en-US"/>
        </w:rPr>
        <w:t>.1</w:t>
      </w:r>
      <w:r w:rsidRPr="0055145D">
        <w:rPr>
          <w:rFonts w:eastAsia="SimSun"/>
          <w:lang w:val="en-US"/>
        </w:rPr>
        <w:t xml:space="preserve">-1, and using the downlink physical channels specified in Annex </w:t>
      </w:r>
      <w:r w:rsidRPr="0055145D">
        <w:t>TBA</w:t>
      </w:r>
      <w:r w:rsidRPr="0055145D">
        <w:rPr>
          <w:rFonts w:eastAsia="SimSun"/>
          <w:lang w:val="en-US"/>
        </w:rPr>
        <w:t xml:space="preserve">, the minimum requirements are specified in Table </w:t>
      </w:r>
      <w:r w:rsidRPr="0055145D">
        <w:rPr>
          <w:lang w:val="en-US" w:eastAsia="zh-CN"/>
        </w:rPr>
        <w:t>11.2.3.2.</w:t>
      </w:r>
      <w:r w:rsidRPr="0055145D">
        <w:rPr>
          <w:lang w:eastAsia="zh-CN"/>
        </w:rPr>
        <w:t>4</w:t>
      </w:r>
      <w:r w:rsidRPr="0055145D">
        <w:rPr>
          <w:lang w:val="en-US"/>
        </w:rPr>
        <w:t>.</w:t>
      </w:r>
      <w:r w:rsidRPr="0055145D">
        <w:t>2</w:t>
      </w:r>
      <w:r w:rsidRPr="0055145D">
        <w:rPr>
          <w:rFonts w:eastAsia="SimSun"/>
          <w:lang w:val="en-US"/>
        </w:rPr>
        <w:t>-</w:t>
      </w:r>
      <w:r w:rsidRPr="0055145D">
        <w:rPr>
          <w:rFonts w:eastAsia="SimSun"/>
        </w:rPr>
        <w:t>1</w:t>
      </w:r>
      <w:r w:rsidRPr="0055145D">
        <w:rPr>
          <w:rFonts w:eastAsia="SimSun"/>
          <w:lang w:val="en-US"/>
        </w:rPr>
        <w:t>.</w:t>
      </w:r>
    </w:p>
    <w:p w14:paraId="06B36045" w14:textId="77777777" w:rsidR="00241417" w:rsidRPr="00FA1FB5" w:rsidRDefault="00241417" w:rsidP="00241417">
      <w:pPr>
        <w:pStyle w:val="TH"/>
        <w:rPr>
          <w:lang w:val="en-US"/>
        </w:rPr>
      </w:pPr>
      <w:r w:rsidRPr="00FA1FB5">
        <w:rPr>
          <w:lang w:val="en-US"/>
        </w:rPr>
        <w:t xml:space="preserve">Table </w:t>
      </w:r>
      <w:r w:rsidRPr="00FA1FB5">
        <w:rPr>
          <w:lang w:val="en-US" w:eastAsia="zh-CN"/>
        </w:rPr>
        <w:t>11.2.3.2.</w:t>
      </w:r>
      <w:r>
        <w:rPr>
          <w:lang w:eastAsia="zh-CN"/>
        </w:rPr>
        <w:t>4</w:t>
      </w:r>
      <w:r w:rsidRPr="00FA1FB5">
        <w:rPr>
          <w:lang w:val="en-US"/>
        </w:rPr>
        <w:t>.2-</w:t>
      </w:r>
      <w:r>
        <w:t>1</w:t>
      </w:r>
      <w:r w:rsidRPr="00FA1FB5">
        <w:rPr>
          <w:lang w:val="en-US"/>
        </w:rPr>
        <w:t>: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4"/>
        <w:gridCol w:w="1412"/>
        <w:gridCol w:w="1512"/>
        <w:gridCol w:w="1512"/>
      </w:tblGrid>
      <w:tr w:rsidR="00241417" w:rsidRPr="00661924" w14:paraId="46F26EB6" w14:textId="77777777" w:rsidTr="003A71DE">
        <w:trPr>
          <w:jc w:val="center"/>
        </w:trPr>
        <w:tc>
          <w:tcPr>
            <w:tcW w:w="1984" w:type="dxa"/>
            <w:tcBorders>
              <w:bottom w:val="nil"/>
            </w:tcBorders>
          </w:tcPr>
          <w:p w14:paraId="2A80F602" w14:textId="77777777" w:rsidR="00241417" w:rsidRPr="00FA1FB5" w:rsidRDefault="00241417" w:rsidP="003A71DE">
            <w:pPr>
              <w:keepNext/>
              <w:keepLines/>
              <w:spacing w:after="0"/>
              <w:jc w:val="center"/>
              <w:rPr>
                <w:rFonts w:ascii="Arial" w:eastAsia="?? ??" w:hAnsi="Arial" w:cs="v5.0.0"/>
                <w:b/>
                <w:sz w:val="18"/>
                <w:lang w:val="en-US"/>
              </w:rPr>
            </w:pPr>
          </w:p>
        </w:tc>
        <w:tc>
          <w:tcPr>
            <w:tcW w:w="1412" w:type="dxa"/>
            <w:tcBorders>
              <w:bottom w:val="nil"/>
            </w:tcBorders>
          </w:tcPr>
          <w:p w14:paraId="306A7462" w14:textId="77777777" w:rsidR="00241417" w:rsidRPr="00FA1FB5" w:rsidRDefault="00241417" w:rsidP="003A71DE">
            <w:pPr>
              <w:keepNext/>
              <w:keepLines/>
              <w:spacing w:after="0"/>
              <w:jc w:val="center"/>
              <w:rPr>
                <w:rFonts w:ascii="Arial" w:eastAsia="?? ??" w:hAnsi="Arial" w:cs="v5.0.0"/>
                <w:b/>
                <w:sz w:val="18"/>
                <w:lang w:val="en-US"/>
              </w:rPr>
            </w:pPr>
            <w:r w:rsidRPr="00FA1FB5">
              <w:rPr>
                <w:rFonts w:ascii="Arial" w:eastAsia="?? ??" w:hAnsi="Arial" w:cs="v5.0.0"/>
                <w:b/>
                <w:sz w:val="18"/>
                <w:lang w:val="en-US"/>
              </w:rPr>
              <w:t>Test 1</w:t>
            </w:r>
          </w:p>
        </w:tc>
        <w:tc>
          <w:tcPr>
            <w:tcW w:w="1512" w:type="dxa"/>
            <w:tcBorders>
              <w:bottom w:val="nil"/>
            </w:tcBorders>
          </w:tcPr>
          <w:p w14:paraId="7EFF9C47" w14:textId="77777777" w:rsidR="00241417" w:rsidRPr="00FA1FB5" w:rsidRDefault="00241417" w:rsidP="003A71DE">
            <w:pPr>
              <w:keepNext/>
              <w:keepLines/>
              <w:spacing w:after="0"/>
              <w:jc w:val="center"/>
              <w:rPr>
                <w:rFonts w:ascii="Arial" w:eastAsia="?? ??" w:hAnsi="Arial" w:cs="v5.0.0"/>
                <w:b/>
                <w:sz w:val="18"/>
                <w:lang w:val="en-US"/>
              </w:rPr>
            </w:pPr>
            <w:r w:rsidRPr="00FA1FB5">
              <w:rPr>
                <w:rFonts w:ascii="Arial" w:eastAsia="?? ??" w:hAnsi="Arial" w:cs="v5.0.0"/>
                <w:b/>
                <w:sz w:val="18"/>
                <w:lang w:val="en-US"/>
              </w:rPr>
              <w:t>Test 2</w:t>
            </w:r>
          </w:p>
        </w:tc>
        <w:tc>
          <w:tcPr>
            <w:tcW w:w="1512" w:type="dxa"/>
            <w:tcBorders>
              <w:bottom w:val="nil"/>
            </w:tcBorders>
          </w:tcPr>
          <w:p w14:paraId="2F1B5757" w14:textId="77777777" w:rsidR="00241417" w:rsidRPr="00FA1FB5" w:rsidRDefault="00241417" w:rsidP="003A71DE">
            <w:pPr>
              <w:keepNext/>
              <w:keepLines/>
              <w:spacing w:after="0"/>
              <w:jc w:val="center"/>
              <w:rPr>
                <w:rFonts w:ascii="Arial" w:eastAsia="?? ??" w:hAnsi="Arial" w:cs="v5.0.0"/>
                <w:b/>
                <w:sz w:val="18"/>
                <w:lang w:val="en-US"/>
              </w:rPr>
            </w:pPr>
            <w:r w:rsidRPr="00FA1FB5">
              <w:rPr>
                <w:rFonts w:ascii="Arial" w:eastAsia="?? ??" w:hAnsi="Arial" w:cs="v5.0.0"/>
                <w:b/>
                <w:sz w:val="18"/>
                <w:lang w:val="en-US"/>
              </w:rPr>
              <w:t>Test 3</w:t>
            </w:r>
          </w:p>
        </w:tc>
      </w:tr>
      <w:tr w:rsidR="00241417" w:rsidRPr="00661924" w14:paraId="204FDA32" w14:textId="77777777" w:rsidTr="003A71DE">
        <w:trPr>
          <w:cantSplit/>
          <w:jc w:val="center"/>
        </w:trPr>
        <w:tc>
          <w:tcPr>
            <w:tcW w:w="1984" w:type="dxa"/>
          </w:tcPr>
          <w:p w14:paraId="5D8E083E" w14:textId="77777777" w:rsidR="00241417" w:rsidRPr="00FA1FB5" w:rsidRDefault="00241417" w:rsidP="003A71DE">
            <w:pPr>
              <w:keepNext/>
              <w:keepLines/>
              <w:spacing w:after="0"/>
              <w:jc w:val="center"/>
              <w:rPr>
                <w:rFonts w:ascii="Arial" w:eastAsia="?? ??" w:hAnsi="Arial" w:cs="v5.0.0"/>
                <w:sz w:val="18"/>
                <w:vertAlign w:val="subscript"/>
                <w:lang w:val="en-US"/>
              </w:rPr>
            </w:pPr>
            <w:r w:rsidRPr="00FA1FB5">
              <w:rPr>
                <w:rFonts w:ascii="Symbol" w:eastAsia="?? ??" w:hAnsi="Symbol" w:cs="Arial"/>
                <w:i/>
                <w:sz w:val="18"/>
                <w:lang w:val="en-US"/>
              </w:rPr>
              <w:t></w:t>
            </w:r>
            <w:r w:rsidRPr="00FA1FB5">
              <w:rPr>
                <w:rFonts w:ascii="Arial" w:eastAsia="?? ??" w:hAnsi="Arial" w:cs="Arial"/>
                <w:sz w:val="18"/>
                <w:vertAlign w:val="subscript"/>
                <w:lang w:val="en-US"/>
              </w:rPr>
              <w:t>1</w:t>
            </w:r>
          </w:p>
        </w:tc>
        <w:tc>
          <w:tcPr>
            <w:tcW w:w="1412" w:type="dxa"/>
          </w:tcPr>
          <w:p w14:paraId="2CDF2158" w14:textId="77777777" w:rsidR="00241417" w:rsidRPr="00FA1FB5" w:rsidRDefault="00241417" w:rsidP="003A71DE">
            <w:pPr>
              <w:keepNext/>
              <w:keepLines/>
              <w:spacing w:after="0"/>
              <w:jc w:val="center"/>
              <w:rPr>
                <w:rFonts w:ascii="Arial" w:eastAsia="?? ??" w:hAnsi="Arial" w:cs="v5.0.0"/>
                <w:sz w:val="18"/>
                <w:lang w:val="en-US"/>
              </w:rPr>
            </w:pPr>
            <w:r w:rsidRPr="00FA1FB5">
              <w:rPr>
                <w:rFonts w:ascii="Arial" w:eastAsia="?? ??" w:hAnsi="Arial" w:cs="v5.0.0"/>
                <w:sz w:val="18"/>
                <w:lang w:val="en-US"/>
              </w:rPr>
              <w:t>N/A</w:t>
            </w:r>
          </w:p>
        </w:tc>
        <w:tc>
          <w:tcPr>
            <w:tcW w:w="1512" w:type="dxa"/>
          </w:tcPr>
          <w:p w14:paraId="070EF940" w14:textId="77777777" w:rsidR="00241417" w:rsidRPr="00FA1FB5" w:rsidRDefault="00241417" w:rsidP="003A71DE">
            <w:pPr>
              <w:keepNext/>
              <w:keepLines/>
              <w:spacing w:after="0"/>
              <w:jc w:val="center"/>
              <w:rPr>
                <w:rFonts w:ascii="Arial" w:eastAsia="?? ??" w:hAnsi="Arial" w:cs="v5.0.0"/>
                <w:sz w:val="18"/>
                <w:lang w:val="en-US"/>
              </w:rPr>
            </w:pPr>
            <w:r w:rsidRPr="00FA1FB5">
              <w:rPr>
                <w:rFonts w:ascii="Arial" w:eastAsia="?? ??" w:hAnsi="Arial" w:cs="v5.0.0"/>
                <w:sz w:val="18"/>
                <w:lang w:val="en-US"/>
              </w:rPr>
              <w:t>1.05</w:t>
            </w:r>
          </w:p>
        </w:tc>
        <w:tc>
          <w:tcPr>
            <w:tcW w:w="1512" w:type="dxa"/>
          </w:tcPr>
          <w:p w14:paraId="647CBC47" w14:textId="77777777" w:rsidR="00241417" w:rsidRPr="00FA1FB5" w:rsidRDefault="00241417" w:rsidP="003A71DE">
            <w:pPr>
              <w:keepNext/>
              <w:keepLines/>
              <w:spacing w:after="0"/>
              <w:jc w:val="center"/>
              <w:rPr>
                <w:rFonts w:ascii="Arial" w:eastAsia="?? ??" w:hAnsi="Arial" w:cs="v5.0.0"/>
                <w:sz w:val="18"/>
                <w:lang w:val="en-US"/>
              </w:rPr>
            </w:pPr>
            <w:r w:rsidRPr="00FA1FB5">
              <w:rPr>
                <w:rFonts w:ascii="Arial" w:eastAsia="?? ??" w:hAnsi="Arial" w:cs="v5.0.0"/>
                <w:sz w:val="18"/>
                <w:lang w:val="en-US"/>
              </w:rPr>
              <w:t>1.05</w:t>
            </w:r>
          </w:p>
        </w:tc>
      </w:tr>
      <w:tr w:rsidR="00241417" w:rsidRPr="00661924" w14:paraId="0DB05A4F" w14:textId="77777777" w:rsidTr="003A71DE">
        <w:trPr>
          <w:cantSplit/>
          <w:jc w:val="center"/>
        </w:trPr>
        <w:tc>
          <w:tcPr>
            <w:tcW w:w="1984" w:type="dxa"/>
          </w:tcPr>
          <w:p w14:paraId="327260F2" w14:textId="77777777" w:rsidR="00241417" w:rsidRPr="00FA1FB5" w:rsidRDefault="00241417" w:rsidP="003A71DE">
            <w:pPr>
              <w:keepNext/>
              <w:keepLines/>
              <w:spacing w:after="0"/>
              <w:jc w:val="center"/>
              <w:rPr>
                <w:rFonts w:ascii="Symbol" w:eastAsia="?? ??" w:hAnsi="Symbol" w:cs="Arial" w:hint="eastAsia"/>
                <w:i/>
                <w:sz w:val="18"/>
                <w:lang w:val="en-US"/>
              </w:rPr>
            </w:pPr>
            <w:r w:rsidRPr="00FA1FB5">
              <w:rPr>
                <w:rFonts w:ascii="Symbol" w:eastAsia="?? ??" w:hAnsi="Symbol" w:cs="Arial"/>
                <w:i/>
                <w:sz w:val="18"/>
                <w:lang w:val="en-US"/>
              </w:rPr>
              <w:t></w:t>
            </w:r>
            <w:r w:rsidRPr="00FA1FB5">
              <w:rPr>
                <w:rFonts w:ascii="Arial" w:eastAsia="?? ??" w:hAnsi="Arial" w:cs="Arial"/>
                <w:sz w:val="18"/>
                <w:vertAlign w:val="subscript"/>
                <w:lang w:val="en-US"/>
              </w:rPr>
              <w:t>2</w:t>
            </w:r>
          </w:p>
        </w:tc>
        <w:tc>
          <w:tcPr>
            <w:tcW w:w="1412" w:type="dxa"/>
          </w:tcPr>
          <w:p w14:paraId="68FDE0E7" w14:textId="77777777" w:rsidR="00241417" w:rsidRPr="00FA1FB5" w:rsidRDefault="00241417" w:rsidP="003A71DE">
            <w:pPr>
              <w:keepNext/>
              <w:keepLines/>
              <w:spacing w:after="0"/>
              <w:jc w:val="center"/>
              <w:rPr>
                <w:rFonts w:ascii="Arial" w:eastAsia="?? ??" w:hAnsi="Arial" w:cs="v5.0.0"/>
                <w:sz w:val="18"/>
                <w:lang w:val="en-US"/>
              </w:rPr>
            </w:pPr>
            <w:r w:rsidRPr="00FA1FB5">
              <w:rPr>
                <w:rFonts w:ascii="Arial" w:hAnsi="Arial" w:cs="v5.0.0" w:hint="eastAsia"/>
                <w:sz w:val="18"/>
                <w:lang w:val="en-US" w:eastAsia="zh-CN"/>
              </w:rPr>
              <w:t>1.0</w:t>
            </w:r>
          </w:p>
        </w:tc>
        <w:tc>
          <w:tcPr>
            <w:tcW w:w="1512" w:type="dxa"/>
          </w:tcPr>
          <w:p w14:paraId="6EA9F893" w14:textId="77777777" w:rsidR="00241417" w:rsidRPr="00FA1FB5" w:rsidRDefault="00241417" w:rsidP="003A71DE">
            <w:pPr>
              <w:keepNext/>
              <w:keepLines/>
              <w:spacing w:after="0"/>
              <w:jc w:val="center"/>
              <w:rPr>
                <w:rFonts w:ascii="Arial" w:eastAsia="?? ??" w:hAnsi="Arial" w:cs="v5.0.0"/>
                <w:sz w:val="18"/>
                <w:lang w:val="en-US"/>
              </w:rPr>
            </w:pPr>
            <w:r w:rsidRPr="00FA1FB5">
              <w:rPr>
                <w:rFonts w:ascii="Arial" w:eastAsia="?? ??" w:hAnsi="Arial" w:cs="v5.0.0"/>
                <w:sz w:val="18"/>
                <w:lang w:val="en-US"/>
              </w:rPr>
              <w:t>N/A</w:t>
            </w:r>
          </w:p>
        </w:tc>
        <w:tc>
          <w:tcPr>
            <w:tcW w:w="1512" w:type="dxa"/>
          </w:tcPr>
          <w:p w14:paraId="09B20682" w14:textId="77777777" w:rsidR="00241417" w:rsidRPr="00FA1FB5" w:rsidRDefault="00241417" w:rsidP="003A71DE">
            <w:pPr>
              <w:keepNext/>
              <w:keepLines/>
              <w:spacing w:after="0"/>
              <w:jc w:val="center"/>
              <w:rPr>
                <w:rFonts w:ascii="Arial" w:eastAsia="?? ??" w:hAnsi="Arial" w:cs="v5.0.0"/>
                <w:sz w:val="18"/>
                <w:lang w:val="en-US"/>
              </w:rPr>
            </w:pPr>
            <w:r w:rsidRPr="00FA1FB5">
              <w:rPr>
                <w:rFonts w:ascii="Arial" w:hAnsi="Arial" w:cs="v5.0.0" w:hint="eastAsia"/>
                <w:sz w:val="18"/>
                <w:lang w:val="en-US" w:eastAsia="zh-CN"/>
              </w:rPr>
              <w:t>N/A</w:t>
            </w:r>
          </w:p>
        </w:tc>
      </w:tr>
    </w:tbl>
    <w:p w14:paraId="41853B33" w14:textId="77777777" w:rsidR="00241417" w:rsidRDefault="00241417" w:rsidP="00241417">
      <w:pPr>
        <w:rPr>
          <w:noProof/>
        </w:rPr>
      </w:pPr>
    </w:p>
    <w:p w14:paraId="48725852" w14:textId="372576FA" w:rsidR="00B179ED" w:rsidRDefault="00B179ED">
      <w:pPr>
        <w:pStyle w:val="Heading1"/>
      </w:pPr>
      <w:bookmarkStart w:id="8097" w:name="_Toc74583515"/>
      <w:bookmarkStart w:id="8098" w:name="_Toc76542328"/>
      <w:bookmarkStart w:id="8099" w:name="_Toc82450310"/>
      <w:bookmarkStart w:id="8100" w:name="_Toc82450958"/>
      <w:bookmarkStart w:id="8101" w:name="_Toc89949347"/>
      <w:bookmarkStart w:id="8102" w:name="_Toc98755736"/>
      <w:bookmarkStart w:id="8103" w:name="_Toc98763328"/>
      <w:bookmarkStart w:id="8104" w:name="_Toc106184257"/>
      <w:r>
        <w:lastRenderedPageBreak/>
        <w:t>12</w:t>
      </w:r>
      <w:r w:rsidR="002E2B73">
        <w:tab/>
      </w:r>
      <w:r w:rsidR="00AD2A23">
        <w:t>R</w:t>
      </w:r>
      <w:r w:rsidR="006B014D">
        <w:t xml:space="preserve">adio </w:t>
      </w:r>
      <w:r w:rsidR="00AD2A23">
        <w:t>R</w:t>
      </w:r>
      <w:r w:rsidR="006B014D">
        <w:t xml:space="preserve">esource </w:t>
      </w:r>
      <w:r w:rsidR="00AD2A23">
        <w:t>M</w:t>
      </w:r>
      <w:r w:rsidR="006B014D">
        <w:t>anagement</w:t>
      </w:r>
      <w:r w:rsidR="00AD2A23">
        <w:t xml:space="preserve"> requirements</w:t>
      </w:r>
      <w:bookmarkEnd w:id="7139"/>
      <w:bookmarkEnd w:id="7140"/>
      <w:bookmarkEnd w:id="7141"/>
      <w:bookmarkEnd w:id="7142"/>
      <w:bookmarkEnd w:id="7143"/>
      <w:bookmarkEnd w:id="7144"/>
      <w:bookmarkEnd w:id="7145"/>
      <w:bookmarkEnd w:id="7146"/>
      <w:bookmarkEnd w:id="7147"/>
      <w:bookmarkEnd w:id="7148"/>
      <w:bookmarkEnd w:id="8097"/>
      <w:bookmarkEnd w:id="8098"/>
      <w:bookmarkEnd w:id="8099"/>
      <w:bookmarkEnd w:id="8100"/>
      <w:bookmarkEnd w:id="8101"/>
      <w:bookmarkEnd w:id="8102"/>
      <w:bookmarkEnd w:id="8103"/>
      <w:bookmarkEnd w:id="8104"/>
      <w:r w:rsidR="00AD2A23">
        <w:t xml:space="preserve"> </w:t>
      </w:r>
    </w:p>
    <w:p w14:paraId="49335485" w14:textId="69340F62" w:rsidR="00170917" w:rsidRDefault="00170917" w:rsidP="00AD2A23">
      <w:pPr>
        <w:pStyle w:val="Heading2"/>
      </w:pPr>
      <w:bookmarkStart w:id="8105" w:name="_Toc53185580"/>
      <w:bookmarkStart w:id="8106" w:name="_Toc53185956"/>
      <w:bookmarkStart w:id="8107" w:name="_Toc57820442"/>
      <w:bookmarkStart w:id="8108" w:name="_Toc57821369"/>
      <w:bookmarkStart w:id="8109" w:name="_Toc61183645"/>
      <w:bookmarkStart w:id="8110" w:name="_Toc61184039"/>
      <w:bookmarkStart w:id="8111" w:name="_Toc61184431"/>
      <w:bookmarkStart w:id="8112" w:name="_Toc61184823"/>
      <w:bookmarkStart w:id="8113" w:name="_Toc61185213"/>
      <w:bookmarkStart w:id="8114" w:name="_Toc66386558"/>
      <w:bookmarkStart w:id="8115" w:name="_Toc74583516"/>
      <w:bookmarkStart w:id="8116" w:name="_Toc76542329"/>
      <w:bookmarkStart w:id="8117" w:name="_Toc82450311"/>
      <w:bookmarkStart w:id="8118" w:name="_Toc82450959"/>
      <w:bookmarkStart w:id="8119" w:name="_Toc89949348"/>
      <w:bookmarkStart w:id="8120" w:name="_Toc98755737"/>
      <w:bookmarkStart w:id="8121" w:name="_Toc98763329"/>
      <w:bookmarkStart w:id="8122" w:name="_Toc106184258"/>
      <w:r>
        <w:t>12.</w:t>
      </w:r>
      <w:r w:rsidR="00B179ED">
        <w:t>1</w:t>
      </w:r>
      <w:r w:rsidR="002E2B73">
        <w:tab/>
      </w:r>
      <w:r>
        <w:t>RRC_CONNECTED state mobility</w:t>
      </w:r>
      <w:r w:rsidR="00D619FA">
        <w:t xml:space="preserve"> </w:t>
      </w:r>
      <w:r w:rsidR="0098572F">
        <w:t>for IAB-MTs</w:t>
      </w:r>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p>
    <w:p w14:paraId="43B5AD17" w14:textId="28F2C8BD" w:rsidR="00083A52" w:rsidRPr="00295C2F" w:rsidRDefault="00083A52" w:rsidP="002E2B73">
      <w:pPr>
        <w:pStyle w:val="Heading3"/>
      </w:pPr>
      <w:bookmarkStart w:id="8123" w:name="_Toc53185581"/>
      <w:bookmarkStart w:id="8124" w:name="_Toc53185957"/>
      <w:bookmarkStart w:id="8125" w:name="_Toc57820443"/>
      <w:bookmarkStart w:id="8126" w:name="_Toc57821370"/>
      <w:bookmarkStart w:id="8127" w:name="_Toc61183646"/>
      <w:bookmarkStart w:id="8128" w:name="_Toc61184040"/>
      <w:bookmarkStart w:id="8129" w:name="_Toc61184432"/>
      <w:bookmarkStart w:id="8130" w:name="_Toc61184824"/>
      <w:bookmarkStart w:id="8131" w:name="_Toc61185214"/>
      <w:bookmarkStart w:id="8132" w:name="_Toc66386559"/>
      <w:bookmarkStart w:id="8133" w:name="_Toc74583517"/>
      <w:bookmarkStart w:id="8134" w:name="_Toc76542330"/>
      <w:bookmarkStart w:id="8135" w:name="_Toc82450312"/>
      <w:bookmarkStart w:id="8136" w:name="_Toc82450960"/>
      <w:bookmarkStart w:id="8137" w:name="_Toc89949349"/>
      <w:bookmarkStart w:id="8138" w:name="_Toc98755738"/>
      <w:bookmarkStart w:id="8139" w:name="_Toc98763330"/>
      <w:bookmarkStart w:id="8140" w:name="_Toc106184259"/>
      <w:r>
        <w:t>12.1</w:t>
      </w:r>
      <w:r w:rsidR="002E3B58">
        <w:t>.1</w:t>
      </w:r>
      <w:r w:rsidR="002E2B73">
        <w:tab/>
      </w:r>
      <w:r>
        <w:t>RRC Connection Mobility Control</w:t>
      </w:r>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p>
    <w:p w14:paraId="2BBE2F76" w14:textId="2B83E957" w:rsidR="00083A52" w:rsidRDefault="00083A52" w:rsidP="00AD2A23">
      <w:pPr>
        <w:pStyle w:val="Heading4"/>
      </w:pPr>
      <w:bookmarkStart w:id="8141" w:name="_Toc53185582"/>
      <w:bookmarkStart w:id="8142" w:name="_Toc53185958"/>
      <w:bookmarkStart w:id="8143" w:name="_Toc57820444"/>
      <w:bookmarkStart w:id="8144" w:name="_Toc57821371"/>
      <w:bookmarkStart w:id="8145" w:name="_Toc61183647"/>
      <w:bookmarkStart w:id="8146" w:name="_Toc61184041"/>
      <w:bookmarkStart w:id="8147" w:name="_Toc61184433"/>
      <w:bookmarkStart w:id="8148" w:name="_Toc61184825"/>
      <w:bookmarkStart w:id="8149" w:name="_Toc61185215"/>
      <w:bookmarkStart w:id="8150" w:name="_Toc66386560"/>
      <w:bookmarkStart w:id="8151" w:name="_Toc74583518"/>
      <w:bookmarkStart w:id="8152" w:name="_Toc76542331"/>
      <w:bookmarkStart w:id="8153" w:name="_Toc82450313"/>
      <w:bookmarkStart w:id="8154" w:name="_Toc82450961"/>
      <w:bookmarkStart w:id="8155" w:name="_Toc89949350"/>
      <w:bookmarkStart w:id="8156" w:name="_Toc98755739"/>
      <w:bookmarkStart w:id="8157" w:name="_Toc98763331"/>
      <w:bookmarkStart w:id="8158" w:name="_Toc106184260"/>
      <w:r>
        <w:t>12.1.1</w:t>
      </w:r>
      <w:r w:rsidR="00B1470A">
        <w:t>.1</w:t>
      </w:r>
      <w:r w:rsidR="002E2B73">
        <w:tab/>
      </w:r>
      <w:r>
        <w:t>SA: RRC Re-establishment</w:t>
      </w:r>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p>
    <w:p w14:paraId="0F660698" w14:textId="77777777" w:rsidR="00516255" w:rsidRPr="00516255" w:rsidRDefault="00516255" w:rsidP="00357409">
      <w:pPr>
        <w:pStyle w:val="Heading5"/>
        <w:rPr>
          <w:szCs w:val="22"/>
        </w:rPr>
      </w:pPr>
      <w:bookmarkStart w:id="8159" w:name="_Toc535475936"/>
      <w:bookmarkStart w:id="8160" w:name="_Toc53185583"/>
      <w:bookmarkStart w:id="8161" w:name="_Toc53185959"/>
      <w:bookmarkStart w:id="8162" w:name="_Toc57820445"/>
      <w:bookmarkStart w:id="8163" w:name="_Toc57821372"/>
      <w:bookmarkStart w:id="8164" w:name="_Toc61183648"/>
      <w:bookmarkStart w:id="8165" w:name="_Toc61184042"/>
      <w:bookmarkStart w:id="8166" w:name="_Toc61184434"/>
      <w:bookmarkStart w:id="8167" w:name="_Toc61184826"/>
      <w:bookmarkStart w:id="8168" w:name="_Toc61185216"/>
      <w:bookmarkStart w:id="8169" w:name="_Toc66386561"/>
      <w:bookmarkStart w:id="8170" w:name="_Toc74583519"/>
      <w:bookmarkStart w:id="8171" w:name="_Toc76542332"/>
      <w:bookmarkStart w:id="8172" w:name="_Toc82450314"/>
      <w:bookmarkStart w:id="8173" w:name="_Toc82450962"/>
      <w:bookmarkStart w:id="8174" w:name="_Toc89949351"/>
      <w:bookmarkStart w:id="8175" w:name="_Toc98755740"/>
      <w:bookmarkStart w:id="8176" w:name="_Toc98763332"/>
      <w:bookmarkStart w:id="8177" w:name="_Toc106184261"/>
      <w:r w:rsidRPr="00516255">
        <w:rPr>
          <w:rFonts w:eastAsia="SimSun"/>
          <w:szCs w:val="22"/>
        </w:rPr>
        <w:t>12.</w:t>
      </w:r>
      <w:r w:rsidRPr="0019115D">
        <w:rPr>
          <w:rFonts w:eastAsia="SimSun"/>
          <w:szCs w:val="22"/>
        </w:rPr>
        <w:t>1.1.1.1</w:t>
      </w:r>
      <w:r w:rsidRPr="00516255">
        <w:rPr>
          <w:szCs w:val="22"/>
        </w:rPr>
        <w:tab/>
      </w:r>
      <w:bookmarkEnd w:id="8159"/>
      <w:r w:rsidRPr="00516255">
        <w:rPr>
          <w:szCs w:val="22"/>
        </w:rPr>
        <w:t>Introduction</w:t>
      </w:r>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p>
    <w:p w14:paraId="5817A88B" w14:textId="11C60886" w:rsidR="00516255" w:rsidRPr="00516255" w:rsidRDefault="00516255" w:rsidP="00516255">
      <w:r w:rsidRPr="00516255">
        <w:t xml:space="preserve">This clause contains requirements on the IAB-MT regarding RRC connection re-establishment procedure. RRC connection re-establishment is initiated when an IAB-MT in RRC_CONNECTED state loses RRC connection due to any of failure cases, including radio link failure, handover failure, and RRC connection reconfiguration failure. The RRC connection re-establishment procedure is specified in clause </w:t>
      </w:r>
      <w:r w:rsidR="00540668">
        <w:t>5.3.7</w:t>
      </w:r>
      <w:r w:rsidR="00540668" w:rsidRPr="00516255">
        <w:t xml:space="preserve"> </w:t>
      </w:r>
      <w:r w:rsidRPr="00516255">
        <w:t>of TS 38.331 [</w:t>
      </w:r>
      <w:r w:rsidR="009F389B">
        <w:t>15</w:t>
      </w:r>
      <w:r w:rsidRPr="00516255">
        <w:t>].</w:t>
      </w:r>
    </w:p>
    <w:p w14:paraId="1EA9C699" w14:textId="77777777" w:rsidR="00516255" w:rsidRPr="00516255" w:rsidRDefault="00516255" w:rsidP="00516255">
      <w:r w:rsidRPr="00516255">
        <w:t>The requirements in this clause are applicable for RRC connection re-establishment to NR cell.</w:t>
      </w:r>
    </w:p>
    <w:p w14:paraId="723496D9" w14:textId="77777777" w:rsidR="00516255" w:rsidRPr="00516255" w:rsidRDefault="00516255" w:rsidP="00357409">
      <w:pPr>
        <w:pStyle w:val="Heading5"/>
        <w:rPr>
          <w:szCs w:val="22"/>
        </w:rPr>
      </w:pPr>
      <w:bookmarkStart w:id="8178" w:name="_Toc535475937"/>
      <w:bookmarkStart w:id="8179" w:name="_Toc53185584"/>
      <w:bookmarkStart w:id="8180" w:name="_Toc53185960"/>
      <w:bookmarkStart w:id="8181" w:name="_Toc57820446"/>
      <w:bookmarkStart w:id="8182" w:name="_Toc57821373"/>
      <w:bookmarkStart w:id="8183" w:name="_Toc61183649"/>
      <w:bookmarkStart w:id="8184" w:name="_Toc61184043"/>
      <w:bookmarkStart w:id="8185" w:name="_Toc61184435"/>
      <w:bookmarkStart w:id="8186" w:name="_Toc61184827"/>
      <w:bookmarkStart w:id="8187" w:name="_Toc61185217"/>
      <w:bookmarkStart w:id="8188" w:name="_Toc66386562"/>
      <w:bookmarkStart w:id="8189" w:name="_Toc74583520"/>
      <w:bookmarkStart w:id="8190" w:name="_Toc76542333"/>
      <w:bookmarkStart w:id="8191" w:name="_Toc82450315"/>
      <w:bookmarkStart w:id="8192" w:name="_Toc82450963"/>
      <w:bookmarkStart w:id="8193" w:name="_Toc89949352"/>
      <w:bookmarkStart w:id="8194" w:name="_Toc98755741"/>
      <w:bookmarkStart w:id="8195" w:name="_Toc98763333"/>
      <w:bookmarkStart w:id="8196" w:name="_Toc106184262"/>
      <w:r w:rsidRPr="00516255">
        <w:rPr>
          <w:rFonts w:eastAsia="SimSun"/>
          <w:szCs w:val="22"/>
        </w:rPr>
        <w:t>12.1.1.1.2</w:t>
      </w:r>
      <w:r w:rsidRPr="00516255">
        <w:rPr>
          <w:szCs w:val="22"/>
        </w:rPr>
        <w:tab/>
      </w:r>
      <w:bookmarkEnd w:id="8178"/>
      <w:r w:rsidRPr="00516255">
        <w:rPr>
          <w:szCs w:val="22"/>
        </w:rPr>
        <w:t>Requirements</w:t>
      </w:r>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p>
    <w:p w14:paraId="668BF6AB" w14:textId="77777777" w:rsidR="00516255" w:rsidRPr="00516255" w:rsidRDefault="00516255" w:rsidP="00516255">
      <w:r w:rsidRPr="00516255">
        <w:t xml:space="preserve">In </w:t>
      </w:r>
      <w:r w:rsidRPr="00516255">
        <w:rPr>
          <w:lang w:eastAsia="zh-CN"/>
        </w:rPr>
        <w:t>RRC_CONNECTED state</w:t>
      </w:r>
      <w:r w:rsidRPr="00516255">
        <w:t xml:space="preserve"> the IAB-MT shall be capable of sending </w:t>
      </w:r>
      <w:r w:rsidRPr="00516255">
        <w:rPr>
          <w:i/>
        </w:rPr>
        <w:t>RRCReestablishmentRequest</w:t>
      </w:r>
      <w:r w:rsidRPr="00516255">
        <w:t xml:space="preserve"> message within T</w:t>
      </w:r>
      <w:r w:rsidRPr="00516255">
        <w:rPr>
          <w:vertAlign w:val="subscript"/>
        </w:rPr>
        <w:t>re-establish_delay</w:t>
      </w:r>
      <w:r w:rsidRPr="00516255">
        <w:t xml:space="preserve"> seconds from the moment it detects </w:t>
      </w:r>
      <w:r w:rsidRPr="00516255">
        <w:rPr>
          <w:snapToGrid w:val="0"/>
        </w:rPr>
        <w:t>a loss in RRC connection</w:t>
      </w:r>
      <w:r w:rsidRPr="00516255">
        <w:t>. The total RRC connection delay (T</w:t>
      </w:r>
      <w:r w:rsidRPr="00516255">
        <w:rPr>
          <w:vertAlign w:val="subscript"/>
        </w:rPr>
        <w:t>re-establish_delay</w:t>
      </w:r>
      <w:r w:rsidRPr="00516255">
        <w:t>) shall be less than:</w:t>
      </w:r>
    </w:p>
    <w:p w14:paraId="2282F76F" w14:textId="3B210B04" w:rsidR="00516255" w:rsidRPr="00516255" w:rsidRDefault="00000000" w:rsidP="00516255">
      <w:pPr>
        <w:pStyle w:val="EQ"/>
        <w:jc w:val="center"/>
        <w:rPr>
          <w:i/>
          <w:vertAlign w:val="subscript"/>
        </w:rPr>
      </w:pPr>
      <m:oMathPara>
        <m:oMath>
          <m:sSub>
            <m:sSubPr>
              <m:ctrlPr>
                <w:rPr>
                  <w:rFonts w:ascii="Cambria Math" w:hAnsi="Cambria Math"/>
                  <w:noProof w:val="0"/>
                </w:rPr>
              </m:ctrlPr>
            </m:sSubPr>
            <m:e>
              <m:r>
                <w:rPr>
                  <w:rFonts w:ascii="Cambria Math" w:hAnsi="Cambria Math"/>
                  <w:noProof w:val="0"/>
                </w:rPr>
                <m:t>T</m:t>
              </m:r>
            </m:e>
            <m:sub>
              <m:r>
                <w:rPr>
                  <w:rFonts w:ascii="Cambria Math" w:hAnsi="Cambria Math"/>
                  <w:noProof w:val="0"/>
                </w:rPr>
                <m:t>re-establish_delay</m:t>
              </m:r>
            </m:sub>
          </m:sSub>
          <m:r>
            <w:rPr>
              <w:rFonts w:ascii="Cambria Math" w:hAnsi="Cambria Math"/>
              <w:noProof w:val="0"/>
            </w:rPr>
            <m:t>=</m:t>
          </m:r>
          <m:sSub>
            <m:sSubPr>
              <m:ctrlPr>
                <w:rPr>
                  <w:rFonts w:ascii="Cambria Math" w:hAnsi="Cambria Math"/>
                  <w:noProof w:val="0"/>
                </w:rPr>
              </m:ctrlPr>
            </m:sSubPr>
            <m:e>
              <m:r>
                <w:rPr>
                  <w:rFonts w:ascii="Cambria Math" w:hAnsi="Cambria Math"/>
                  <w:noProof w:val="0"/>
                </w:rPr>
                <m:t>T</m:t>
              </m:r>
            </m:e>
            <m:sub>
              <m:r>
                <w:rPr>
                  <w:rFonts w:ascii="Cambria Math" w:hAnsi="Cambria Math"/>
                  <w:noProof w:val="0"/>
                </w:rPr>
                <m:t>IAB-MT_re-establish_delay</m:t>
              </m:r>
            </m:sub>
          </m:sSub>
          <m:r>
            <m:rPr>
              <m:sty m:val="p"/>
            </m:rPr>
            <w:rPr>
              <w:rFonts w:ascii="Cambria Math" w:hAnsi="Cambria Math"/>
            </w:rPr>
            <m:t>+</m:t>
          </m:r>
          <m:sSub>
            <m:sSubPr>
              <m:ctrlPr>
                <w:rPr>
                  <w:rFonts w:ascii="Cambria Math" w:hAnsi="Cambria Math"/>
                  <w:i/>
                  <w:noProof w:val="0"/>
                </w:rPr>
              </m:ctrlPr>
            </m:sSubPr>
            <m:e>
              <m:r>
                <w:rPr>
                  <w:rFonts w:ascii="Cambria Math" w:hAnsi="Cambria Math"/>
                  <w:noProof w:val="0"/>
                </w:rPr>
                <m:t>T</m:t>
              </m:r>
            </m:e>
            <m:sub>
              <m:r>
                <w:rPr>
                  <w:rFonts w:ascii="Cambria Math" w:hAnsi="Cambria Math"/>
                  <w:noProof w:val="0"/>
                </w:rPr>
                <m:t>UL_grant</m:t>
              </m:r>
            </m:sub>
          </m:sSub>
        </m:oMath>
      </m:oMathPara>
    </w:p>
    <w:p w14:paraId="155B13BA" w14:textId="77777777" w:rsidR="00516255" w:rsidRPr="00FC6A10" w:rsidRDefault="00516255" w:rsidP="00516255">
      <w:r w:rsidRPr="0019115D">
        <w:t>T</w:t>
      </w:r>
      <w:r w:rsidRPr="0019115D">
        <w:rPr>
          <w:vertAlign w:val="subscript"/>
        </w:rPr>
        <w:t>UL_grant</w:t>
      </w:r>
      <w:r w:rsidRPr="0019115D">
        <w:t xml:space="preserve">: It is the time required to acquire and process uplink grant from the target PCell. The uplink grant is required to </w:t>
      </w:r>
      <w:r w:rsidRPr="00385064">
        <w:t xml:space="preserve">transmit </w:t>
      </w:r>
      <w:r w:rsidRPr="00385064">
        <w:rPr>
          <w:i/>
        </w:rPr>
        <w:t>RRCReestablishmentRequest</w:t>
      </w:r>
      <w:r w:rsidRPr="00E63503">
        <w:t xml:space="preserve"> </w:t>
      </w:r>
      <w:r w:rsidRPr="00E63503">
        <w:rPr>
          <w:rFonts w:cs="v4.2.0"/>
        </w:rPr>
        <w:t>message.</w:t>
      </w:r>
    </w:p>
    <w:p w14:paraId="62107519" w14:textId="77777777" w:rsidR="00516255" w:rsidRPr="00357409" w:rsidRDefault="00516255" w:rsidP="00516255">
      <w:r w:rsidRPr="008D69F5">
        <w:t>The IAB-MT re-establishment delay (T</w:t>
      </w:r>
      <w:r w:rsidRPr="008D69F5">
        <w:rPr>
          <w:vertAlign w:val="subscript"/>
        </w:rPr>
        <w:t>IAB-MT</w:t>
      </w:r>
      <w:r w:rsidRPr="00794089">
        <w:rPr>
          <w:vertAlign w:val="subscript"/>
        </w:rPr>
        <w:t>_re-establish_delay</w:t>
      </w:r>
      <w:r w:rsidRPr="00794089">
        <w:t>) is specified in clause </w:t>
      </w:r>
      <w:r w:rsidRPr="000356D9">
        <w:t>12.1.1</w:t>
      </w:r>
      <w:r w:rsidRPr="00357409">
        <w:t>.1.2.1.</w:t>
      </w:r>
    </w:p>
    <w:p w14:paraId="2C693891" w14:textId="77777777" w:rsidR="00516255" w:rsidRPr="00516255" w:rsidRDefault="00516255" w:rsidP="00357409">
      <w:pPr>
        <w:pStyle w:val="Heading6"/>
        <w:rPr>
          <w:sz w:val="22"/>
          <w:szCs w:val="22"/>
        </w:rPr>
      </w:pPr>
      <w:bookmarkStart w:id="8197" w:name="_Toc53185585"/>
      <w:bookmarkStart w:id="8198" w:name="_Toc53185961"/>
      <w:bookmarkStart w:id="8199" w:name="_Toc57820447"/>
      <w:bookmarkStart w:id="8200" w:name="_Toc57821374"/>
      <w:bookmarkStart w:id="8201" w:name="_Toc61183650"/>
      <w:bookmarkStart w:id="8202" w:name="_Toc61184044"/>
      <w:bookmarkStart w:id="8203" w:name="_Toc61184436"/>
      <w:bookmarkStart w:id="8204" w:name="_Toc61184828"/>
      <w:bookmarkStart w:id="8205" w:name="_Toc61185218"/>
      <w:bookmarkStart w:id="8206" w:name="_Toc66386563"/>
      <w:bookmarkStart w:id="8207" w:name="_Toc74583521"/>
      <w:bookmarkStart w:id="8208" w:name="_Toc76542334"/>
      <w:bookmarkStart w:id="8209" w:name="_Toc82450316"/>
      <w:bookmarkStart w:id="8210" w:name="_Toc82450964"/>
      <w:bookmarkStart w:id="8211" w:name="_Toc89949353"/>
      <w:bookmarkStart w:id="8212" w:name="_Toc98755742"/>
      <w:bookmarkStart w:id="8213" w:name="_Toc98763334"/>
      <w:bookmarkStart w:id="8214" w:name="_Toc106184263"/>
      <w:r w:rsidRPr="00357409">
        <w:rPr>
          <w:rFonts w:eastAsia="SimSun"/>
          <w:sz w:val="22"/>
          <w:szCs w:val="22"/>
        </w:rPr>
        <w:t>12.1.1.1.2.1</w:t>
      </w:r>
      <w:r w:rsidRPr="00516255">
        <w:rPr>
          <w:sz w:val="22"/>
          <w:szCs w:val="22"/>
        </w:rPr>
        <w:tab/>
        <w:t>IAB MT Re-establishment delay requirement</w:t>
      </w:r>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p>
    <w:p w14:paraId="38F77204" w14:textId="77777777" w:rsidR="009F2BA2" w:rsidRPr="00516255" w:rsidRDefault="009F2BA2" w:rsidP="009F2BA2">
      <w:r w:rsidRPr="00516255">
        <w:t>The IAB-MT re-establishment delay (T</w:t>
      </w:r>
      <w:r w:rsidRPr="00516255">
        <w:rPr>
          <w:vertAlign w:val="subscript"/>
        </w:rPr>
        <w:t>IAB-MT_re-establish_delay</w:t>
      </w:r>
      <w:r w:rsidRPr="00516255">
        <w:t xml:space="preserve">) is the time between the moments when any of the conditions requiring RRC </w:t>
      </w:r>
      <w:r w:rsidRPr="00516255">
        <w:rPr>
          <w:lang w:eastAsia="zh-CN"/>
        </w:rPr>
        <w:t>re-establishment</w:t>
      </w:r>
      <w:r w:rsidRPr="00516255">
        <w:t xml:space="preserve"> as defined in clause </w:t>
      </w:r>
      <w:r>
        <w:t>5.3.7</w:t>
      </w:r>
      <w:r w:rsidRPr="00516255">
        <w:t xml:space="preserve"> in TS 38.331 [</w:t>
      </w:r>
      <w:r>
        <w:t>15</w:t>
      </w:r>
      <w:r w:rsidRPr="00516255">
        <w:t xml:space="preserve">] is detected </w:t>
      </w:r>
      <w:r w:rsidRPr="00516255">
        <w:rPr>
          <w:snapToGrid w:val="0"/>
        </w:rPr>
        <w:t>by the IAB-MT</w:t>
      </w:r>
      <w:r w:rsidRPr="00516255">
        <w:t xml:space="preserve"> and when the IAB-MT sends PRACH to the target </w:t>
      </w:r>
      <w:r w:rsidRPr="00516255">
        <w:rPr>
          <w:lang w:eastAsia="zh-CN"/>
        </w:rPr>
        <w:t>PC</w:t>
      </w:r>
      <w:r w:rsidRPr="00516255">
        <w:t>ell. The IAB-MT re-establishment delay (T</w:t>
      </w:r>
      <w:r w:rsidRPr="00516255">
        <w:rPr>
          <w:vertAlign w:val="subscript"/>
        </w:rPr>
        <w:t>IAB-MT_re-establish_delay</w:t>
      </w:r>
      <w:r w:rsidRPr="00516255">
        <w:t>) requirement shall be less than:</w:t>
      </w:r>
    </w:p>
    <w:p w14:paraId="07DDCB03" w14:textId="77777777" w:rsidR="009F2BA2" w:rsidRPr="00516255" w:rsidRDefault="00000000" w:rsidP="009F2BA2">
      <w:pPr>
        <w:pStyle w:val="EQ"/>
        <w:jc w:val="center"/>
      </w:pPr>
      <m:oMathPara>
        <m:oMath>
          <m:sSub>
            <m:sSubPr>
              <m:ctrlPr>
                <w:rPr>
                  <w:rFonts w:ascii="Cambria Math" w:hAnsi="Cambria Math"/>
                  <w:noProof w:val="0"/>
                </w:rPr>
              </m:ctrlPr>
            </m:sSubPr>
            <m:e>
              <m:r>
                <w:rPr>
                  <w:rFonts w:ascii="Cambria Math" w:hAnsi="Cambria Math"/>
                  <w:noProof w:val="0"/>
                </w:rPr>
                <m:t>T</m:t>
              </m:r>
            </m:e>
            <m:sub>
              <m:r>
                <w:rPr>
                  <w:rFonts w:ascii="Cambria Math" w:hAnsi="Cambria Math"/>
                  <w:noProof w:val="0"/>
                </w:rPr>
                <m:t>IAB-MT_re-establish_delay</m:t>
              </m:r>
            </m:sub>
          </m:sSub>
          <m:r>
            <w:rPr>
              <w:rFonts w:ascii="Cambria Math" w:hAnsi="Cambria Math"/>
              <w:noProof w:val="0"/>
            </w:rPr>
            <m:t xml:space="preserve">=400 </m:t>
          </m:r>
          <m:r>
            <m:rPr>
              <m:sty m:val="p"/>
            </m:rPr>
            <w:rPr>
              <w:rFonts w:ascii="Cambria Math" w:hAnsi="Cambria Math"/>
              <w:noProof w:val="0"/>
            </w:rPr>
            <m:t>ms</m:t>
          </m:r>
          <m:r>
            <w:rPr>
              <w:rFonts w:ascii="Cambria Math" w:hAnsi="Cambria Math"/>
              <w:noProof w:val="0"/>
            </w:rPr>
            <m:t>+</m:t>
          </m:r>
          <m:sSub>
            <m:sSubPr>
              <m:ctrlPr>
                <w:rPr>
                  <w:rFonts w:ascii="Cambria Math" w:hAnsi="Cambria Math"/>
                  <w:i/>
                  <w:noProof w:val="0"/>
                </w:rPr>
              </m:ctrlPr>
            </m:sSubPr>
            <m:e>
              <m:r>
                <w:rPr>
                  <w:rFonts w:ascii="Cambria Math" w:hAnsi="Cambria Math"/>
                  <w:noProof w:val="0"/>
                </w:rPr>
                <m:t>T</m:t>
              </m:r>
            </m:e>
            <m:sub>
              <m:r>
                <w:rPr>
                  <w:rFonts w:ascii="Cambria Math" w:hAnsi="Cambria Math"/>
                  <w:noProof w:val="0"/>
                </w:rPr>
                <m:t>identify_intra_NR</m:t>
              </m:r>
            </m:sub>
          </m:sSub>
          <m:r>
            <w:rPr>
              <w:rFonts w:ascii="Cambria Math" w:hAnsi="Cambria Math"/>
              <w:noProof w:val="0"/>
            </w:rPr>
            <m:t>+</m:t>
          </m:r>
          <m:nary>
            <m:naryPr>
              <m:chr m:val="∑"/>
              <m:limLoc m:val="subSup"/>
              <m:ctrlPr>
                <w:rPr>
                  <w:rFonts w:ascii="Cambria Math" w:hAnsi="Cambria Math"/>
                </w:rPr>
              </m:ctrlPr>
            </m:naryPr>
            <m:sub>
              <m:r>
                <w:rPr>
                  <w:rFonts w:ascii="Cambria Math" w:hAnsi="Cambria Math"/>
                </w:rPr>
                <m:t>i=1</m:t>
              </m:r>
            </m:sub>
            <m:sup>
              <m:sSub>
                <m:sSubPr>
                  <m:ctrlPr>
                    <w:rPr>
                      <w:rFonts w:ascii="Cambria Math" w:hAnsi="Cambria Math"/>
                      <w:i/>
                    </w:rPr>
                  </m:ctrlPr>
                </m:sSubPr>
                <m:e>
                  <m:r>
                    <w:rPr>
                      <w:rFonts w:ascii="Cambria Math" w:hAnsi="Cambria Math"/>
                    </w:rPr>
                    <m:t>N</m:t>
                  </m:r>
                </m:e>
                <m:sub>
                  <m:r>
                    <w:rPr>
                      <w:rFonts w:ascii="Cambria Math" w:hAnsi="Cambria Math"/>
                    </w:rPr>
                    <m:t>freq</m:t>
                  </m:r>
                </m:sub>
              </m:sSub>
              <m:r>
                <w:rPr>
                  <w:rFonts w:ascii="Cambria Math" w:hAnsi="Cambria Math"/>
                </w:rPr>
                <m:t>-1</m:t>
              </m:r>
            </m:sup>
            <m:e>
              <m:sSub>
                <m:sSubPr>
                  <m:ctrlPr>
                    <w:rPr>
                      <w:rFonts w:ascii="Cambria Math" w:hAnsi="Cambria Math"/>
                      <w:i/>
                    </w:rPr>
                  </m:ctrlPr>
                </m:sSubPr>
                <m:e>
                  <m:r>
                    <w:rPr>
                      <w:rFonts w:ascii="Cambria Math" w:hAnsi="Cambria Math"/>
                    </w:rPr>
                    <m:t>T</m:t>
                  </m:r>
                </m:e>
                <m:sub>
                  <m:r>
                    <w:rPr>
                      <w:rFonts w:ascii="Cambria Math" w:hAnsi="Cambria Math"/>
                    </w:rPr>
                    <m:t>identify_inter_NR,i</m:t>
                  </m:r>
                </m:sub>
              </m:sSub>
            </m:e>
          </m:nary>
          <m:r>
            <m:rPr>
              <m:sty m:val="p"/>
            </m:rPr>
            <w:rPr>
              <w:rFonts w:ascii="Cambria Math" w:hAnsi="Cambria Math"/>
              <w:vertAlign w:val="subscript"/>
            </w:rPr>
            <m:t>+</m:t>
          </m:r>
          <m:sSub>
            <m:sSubPr>
              <m:ctrlPr>
                <w:rPr>
                  <w:rFonts w:ascii="Cambria Math" w:hAnsi="Cambria Math"/>
                  <w:vertAlign w:val="subscript"/>
                </w:rPr>
              </m:ctrlPr>
            </m:sSubPr>
            <m:e>
              <m:r>
                <w:rPr>
                  <w:rFonts w:ascii="Cambria Math" w:hAnsi="Cambria Math"/>
                  <w:vertAlign w:val="subscript"/>
                </w:rPr>
                <m:t>T</m:t>
              </m:r>
            </m:e>
            <m:sub>
              <m:r>
                <w:rPr>
                  <w:rFonts w:ascii="Cambria Math" w:hAnsi="Cambria Math"/>
                  <w:vertAlign w:val="subscript"/>
                </w:rPr>
                <m:t>SI-NR</m:t>
              </m:r>
            </m:sub>
          </m:sSub>
          <m:r>
            <m:rPr>
              <m:sty m:val="p"/>
            </m:rPr>
            <w:rPr>
              <w:rFonts w:ascii="Cambria Math" w:hAnsi="Cambria Math"/>
              <w:vertAlign w:val="subscript"/>
            </w:rPr>
            <m:t>+</m:t>
          </m:r>
          <m:sSub>
            <m:sSubPr>
              <m:ctrlPr>
                <w:rPr>
                  <w:rFonts w:ascii="Cambria Math" w:hAnsi="Cambria Math"/>
                  <w:vertAlign w:val="subscript"/>
                </w:rPr>
              </m:ctrlPr>
            </m:sSubPr>
            <m:e>
              <m:r>
                <w:rPr>
                  <w:rFonts w:ascii="Cambria Math" w:hAnsi="Cambria Math"/>
                  <w:vertAlign w:val="subscript"/>
                </w:rPr>
                <m:t>T</m:t>
              </m:r>
            </m:e>
            <m:sub>
              <m:r>
                <w:rPr>
                  <w:rFonts w:ascii="Cambria Math" w:hAnsi="Cambria Math"/>
                  <w:vertAlign w:val="subscript"/>
                </w:rPr>
                <m:t>PRACH</m:t>
              </m:r>
            </m:sub>
          </m:sSub>
        </m:oMath>
      </m:oMathPara>
    </w:p>
    <w:p w14:paraId="62C1F779" w14:textId="77777777" w:rsidR="009F2BA2" w:rsidRPr="0019115D" w:rsidRDefault="009F2BA2" w:rsidP="009F2BA2">
      <w:pPr>
        <w:rPr>
          <w:rFonts w:cs="v4.2.0"/>
        </w:rPr>
      </w:pPr>
      <w:r w:rsidRPr="0019115D">
        <w:t>The intra-frequency target NR cell shall be considered detectable</w:t>
      </w:r>
      <w:r w:rsidRPr="0019115D">
        <w:rPr>
          <w:rFonts w:cs="v4.2.0"/>
        </w:rPr>
        <w:t xml:space="preserve"> </w:t>
      </w:r>
      <w:r w:rsidRPr="0019115D">
        <w:rPr>
          <w:rFonts w:cs="v4.2.0" w:hint="eastAsia"/>
          <w:lang w:eastAsia="zh-CN"/>
        </w:rPr>
        <w:t>if</w:t>
      </w:r>
      <w:r w:rsidRPr="0019115D">
        <w:rPr>
          <w:rFonts w:cs="v4.2.0"/>
        </w:rPr>
        <w:t xml:space="preserve"> each relevant SSB</w:t>
      </w:r>
      <w:r w:rsidRPr="0019115D">
        <w:rPr>
          <w:rFonts w:cs="v4.2.0" w:hint="eastAsia"/>
          <w:lang w:eastAsia="zh-CN"/>
        </w:rPr>
        <w:t xml:space="preserve"> can satisfy that</w:t>
      </w:r>
      <w:r w:rsidRPr="0019115D">
        <w:rPr>
          <w:rFonts w:cs="v4.2.0"/>
        </w:rPr>
        <w:t>:</w:t>
      </w:r>
    </w:p>
    <w:p w14:paraId="1679B498" w14:textId="33DE14AD" w:rsidR="009F2BA2" w:rsidRPr="000356D9" w:rsidRDefault="009F2BA2" w:rsidP="009F2BA2">
      <w:pPr>
        <w:pStyle w:val="B10"/>
        <w:rPr>
          <w:rFonts w:cs="v4.2.0"/>
        </w:rPr>
      </w:pPr>
      <w:r w:rsidRPr="00FC6A10">
        <w:t>-</w:t>
      </w:r>
      <w:r w:rsidRPr="00FC6A10">
        <w:tab/>
      </w:r>
      <w:r w:rsidRPr="00FC6A10">
        <w:rPr>
          <w:rFonts w:hint="eastAsia"/>
          <w:lang w:eastAsia="zh-CN"/>
        </w:rPr>
        <w:t xml:space="preserve">the conditions of </w:t>
      </w:r>
      <w:r w:rsidRPr="00043B44">
        <w:t xml:space="preserve">SSB_RP and SSB </w:t>
      </w:r>
      <w:r w:rsidRPr="00043B44">
        <w:rPr>
          <w:lang w:val="en-US"/>
        </w:rPr>
        <w:t>Ês/Iot</w:t>
      </w:r>
      <w:r w:rsidRPr="00043B44">
        <w:t xml:space="preserve"> according to Annex </w:t>
      </w:r>
      <w:r>
        <w:t>H.1.1.1</w:t>
      </w:r>
      <w:r w:rsidRPr="008D69F5">
        <w:t xml:space="preserve"> for a corresponding </w:t>
      </w:r>
      <w:r w:rsidRPr="00BF4D5A">
        <w:t>IAB-MT class and IAB type</w:t>
      </w:r>
      <w:r w:rsidRPr="008D69F5" w:rsidDel="00962D64">
        <w:t xml:space="preserve"> </w:t>
      </w:r>
      <w:r w:rsidRPr="00794089">
        <w:rPr>
          <w:rFonts w:hint="eastAsia"/>
          <w:lang w:eastAsia="zh-CN"/>
        </w:rPr>
        <w:t>are fulfilled</w:t>
      </w:r>
      <w:r w:rsidRPr="000356D9">
        <w:t>.</w:t>
      </w:r>
    </w:p>
    <w:p w14:paraId="5611DFE4" w14:textId="77777777" w:rsidR="009F2BA2" w:rsidRPr="00357409" w:rsidRDefault="009F2BA2" w:rsidP="009F2BA2">
      <w:pPr>
        <w:rPr>
          <w:rFonts w:cs="v4.2.0"/>
        </w:rPr>
      </w:pPr>
      <w:r w:rsidRPr="00357409">
        <w:t>The inter-frequency target NR cell shall be considered detectable</w:t>
      </w:r>
      <w:r w:rsidRPr="00357409">
        <w:rPr>
          <w:rFonts w:cs="v4.2.0"/>
        </w:rPr>
        <w:t xml:space="preserve"> when for each relevant SSB:</w:t>
      </w:r>
    </w:p>
    <w:p w14:paraId="207A6EE2" w14:textId="2DD90EB9" w:rsidR="009F2BA2" w:rsidRPr="00516255" w:rsidRDefault="009F2BA2" w:rsidP="009F2BA2">
      <w:pPr>
        <w:pStyle w:val="B10"/>
        <w:rPr>
          <w:rFonts w:cs="v4.2.0"/>
        </w:rPr>
      </w:pPr>
      <w:r w:rsidRPr="00516255">
        <w:t>-</w:t>
      </w:r>
      <w:r w:rsidRPr="00516255">
        <w:tab/>
      </w:r>
      <w:r w:rsidRPr="00516255">
        <w:rPr>
          <w:lang w:eastAsia="zh-CN"/>
        </w:rPr>
        <w:t xml:space="preserve">the conditions of </w:t>
      </w:r>
      <w:r w:rsidRPr="00516255">
        <w:t xml:space="preserve">SSB_RP and SSB </w:t>
      </w:r>
      <w:r w:rsidRPr="00516255">
        <w:rPr>
          <w:lang w:val="en-US"/>
        </w:rPr>
        <w:t>Ês/Iot</w:t>
      </w:r>
      <w:r w:rsidRPr="00516255">
        <w:t xml:space="preserve"> according to Annex </w:t>
      </w:r>
      <w:r>
        <w:t xml:space="preserve">H.1.1.2 </w:t>
      </w:r>
      <w:r w:rsidRPr="00516255">
        <w:t xml:space="preserve">for a corresponding </w:t>
      </w:r>
      <w:r w:rsidRPr="00BF4D5A">
        <w:t>IAB-MT class and IAB type</w:t>
      </w:r>
      <w:r w:rsidRPr="00516255" w:rsidDel="00962D64">
        <w:t xml:space="preserve"> </w:t>
      </w:r>
      <w:r w:rsidRPr="00516255">
        <w:rPr>
          <w:lang w:eastAsia="zh-CN"/>
        </w:rPr>
        <w:t>are fulfilled</w:t>
      </w:r>
      <w:r w:rsidRPr="00516255">
        <w:t>.</w:t>
      </w:r>
    </w:p>
    <w:p w14:paraId="13FCA853" w14:textId="77777777" w:rsidR="009F2BA2" w:rsidRPr="00516255" w:rsidRDefault="009F2BA2" w:rsidP="009F2BA2">
      <w:r w:rsidRPr="00516255">
        <w:t>T</w:t>
      </w:r>
      <w:r w:rsidRPr="00516255">
        <w:rPr>
          <w:vertAlign w:val="subscript"/>
        </w:rPr>
        <w:t>identify_intra_NR</w:t>
      </w:r>
      <w:r w:rsidRPr="00516255">
        <w:t>: It is the time to identify the target intra-frequency NR cell and it depends on whether the target NR cell is known cell or unknown cell and on the frequency range (FR) of the target NR cell. If the IAB-MT is not configured with intra-frequency NR carrier for RRC re-establishment then T</w:t>
      </w:r>
      <w:r w:rsidRPr="00516255">
        <w:rPr>
          <w:vertAlign w:val="subscript"/>
        </w:rPr>
        <w:t>identify_intra_NR</w:t>
      </w:r>
      <w:r w:rsidRPr="00516255">
        <w:t>=0; otherwise T</w:t>
      </w:r>
      <w:r w:rsidRPr="00516255">
        <w:rPr>
          <w:vertAlign w:val="subscript"/>
        </w:rPr>
        <w:t>identify_intra_NR</w:t>
      </w:r>
      <w:r w:rsidRPr="00516255">
        <w:t xml:space="preserve"> shall not exceed the values defined in </w:t>
      </w:r>
      <w:r w:rsidRPr="00516255">
        <w:rPr>
          <w:lang w:eastAsia="zh-CN"/>
        </w:rPr>
        <w:t>T</w:t>
      </w:r>
      <w:r w:rsidRPr="00516255">
        <w:t>able 12.1.1.1.2.1-1.</w:t>
      </w:r>
    </w:p>
    <w:p w14:paraId="003366C6" w14:textId="1640F384" w:rsidR="00516255" w:rsidRDefault="00516255" w:rsidP="00516255">
      <w:r w:rsidRPr="00516255">
        <w:t>T</w:t>
      </w:r>
      <w:r w:rsidRPr="00516255">
        <w:rPr>
          <w:vertAlign w:val="subscript"/>
        </w:rPr>
        <w:t>identify_inter_NR,i</w:t>
      </w:r>
      <w:r w:rsidRPr="00516255">
        <w:t xml:space="preserve">: It is the time to identify the target inter-frequency NR cell on inter-frequency carrier </w:t>
      </w:r>
      <w:r w:rsidRPr="00516255">
        <w:rPr>
          <w:i/>
        </w:rPr>
        <w:t>i</w:t>
      </w:r>
      <w:r w:rsidRPr="00516255">
        <w:t xml:space="preserve"> configured for RRC re-establishment and it depends on whether the target NR cell is known cell or unknown cell and on the frequency range (FR) of the target NR cell. T</w:t>
      </w:r>
      <w:r w:rsidRPr="00516255">
        <w:rPr>
          <w:vertAlign w:val="subscript"/>
        </w:rPr>
        <w:t>identify_inter_NR,i</w:t>
      </w:r>
      <w:r w:rsidRPr="00516255">
        <w:t xml:space="preserve"> shall not exceed the values defined in </w:t>
      </w:r>
      <w:r w:rsidRPr="00516255">
        <w:rPr>
          <w:lang w:eastAsia="zh-CN"/>
        </w:rPr>
        <w:t>T</w:t>
      </w:r>
      <w:r w:rsidRPr="00516255">
        <w:t>able 12.1.1.1.2.1-2.</w:t>
      </w:r>
    </w:p>
    <w:p w14:paraId="5B5B1E1F" w14:textId="708DABC5" w:rsidR="002E2B73" w:rsidRPr="00C70CE9" w:rsidRDefault="002E2B73" w:rsidP="002E2B73">
      <w:r w:rsidRPr="00C70CE9">
        <w:t>T</w:t>
      </w:r>
      <w:r w:rsidRPr="00C70CE9">
        <w:rPr>
          <w:vertAlign w:val="subscript"/>
        </w:rPr>
        <w:t>SMTC</w:t>
      </w:r>
      <w:r w:rsidRPr="00C70CE9">
        <w:t xml:space="preserve">: It is the periodicity of the SMTC occasion configured for the intra-frequency carrier. If the IAB-MT has been provided with higher layer signaling of </w:t>
      </w:r>
      <w:r w:rsidRPr="00C70CE9">
        <w:rPr>
          <w:i/>
        </w:rPr>
        <w:t>smtc2</w:t>
      </w:r>
      <w:r w:rsidRPr="00C70CE9">
        <w:rPr>
          <w:iCs/>
        </w:rPr>
        <w:t xml:space="preserve"> [15]</w:t>
      </w:r>
      <w:r w:rsidRPr="00C70CE9">
        <w:t xml:space="preserve"> and is not capable of 4 SMTC configurations per frequency [15], then T</w:t>
      </w:r>
      <w:r>
        <w:rPr>
          <w:vertAlign w:val="subscript"/>
        </w:rPr>
        <w:t>SMTC</w:t>
      </w:r>
      <w:r w:rsidRPr="00C70CE9">
        <w:t xml:space="preserve"> follows </w:t>
      </w:r>
      <w:r w:rsidRPr="00C70CE9">
        <w:rPr>
          <w:i/>
        </w:rPr>
        <w:t>smtc1</w:t>
      </w:r>
      <w:r w:rsidRPr="00C70CE9">
        <w:t xml:space="preserve"> or </w:t>
      </w:r>
      <w:r w:rsidRPr="00C70CE9">
        <w:rPr>
          <w:i/>
        </w:rPr>
        <w:t>smtc2</w:t>
      </w:r>
      <w:r w:rsidRPr="00C70CE9">
        <w:t xml:space="preserve"> according to the physical cell ID of the target cell. If the IAB-MT has been provided </w:t>
      </w:r>
      <w:r w:rsidRPr="00C70CE9">
        <w:lastRenderedPageBreak/>
        <w:t xml:space="preserve">with higher layer signaling of </w:t>
      </w:r>
      <w:r w:rsidRPr="00C70CE9">
        <w:rPr>
          <w:i/>
        </w:rPr>
        <w:t>smtcj</w:t>
      </w:r>
      <w:r w:rsidRPr="00C70CE9">
        <w:t>, where 1≤</w:t>
      </w:r>
      <w:r w:rsidRPr="00C70CE9">
        <w:rPr>
          <w:i/>
          <w:iCs/>
        </w:rPr>
        <w:t>j</w:t>
      </w:r>
      <w:r w:rsidRPr="00C70CE9">
        <w:t>≤4 [15] and is also capable of 4 SMTC configurations per frequency [15], then T</w:t>
      </w:r>
      <w:r>
        <w:rPr>
          <w:vertAlign w:val="subscript"/>
        </w:rPr>
        <w:t>SMTC</w:t>
      </w:r>
      <w:r w:rsidRPr="00C70CE9">
        <w:t xml:space="preserve"> follows </w:t>
      </w:r>
      <w:r w:rsidRPr="00C70CE9">
        <w:rPr>
          <w:i/>
        </w:rPr>
        <w:t>smtcj</w:t>
      </w:r>
      <w:r w:rsidRPr="00C70CE9">
        <w:t xml:space="preserve"> according to the physical cell ID of the target cell. </w:t>
      </w:r>
    </w:p>
    <w:p w14:paraId="519F8060" w14:textId="757B8933" w:rsidR="002E2B73" w:rsidRPr="00C70CE9" w:rsidRDefault="002E2B73" w:rsidP="002E2B73">
      <w:r w:rsidRPr="00C70CE9">
        <w:t>T</w:t>
      </w:r>
      <w:r w:rsidRPr="00C70CE9">
        <w:rPr>
          <w:vertAlign w:val="subscript"/>
        </w:rPr>
        <w:t>SMTC,i</w:t>
      </w:r>
      <w:r w:rsidRPr="00C70CE9">
        <w:t xml:space="preserve">: It is the periodicity of the SMTC occasion configured for the inter-frequency carrier </w:t>
      </w:r>
      <w:r w:rsidRPr="00C70CE9">
        <w:rPr>
          <w:i/>
        </w:rPr>
        <w:t>i</w:t>
      </w:r>
      <w:r w:rsidRPr="00C70CE9">
        <w:t xml:space="preserve">. If the IAB-MT is not capable of 4 SMTC configurations per frequency [15], then the requirements shall apply provided that the IAB-MT is configured with only one SMTC configuration for each inter-frequency carrier </w:t>
      </w:r>
      <w:r w:rsidRPr="00C70CE9">
        <w:rPr>
          <w:i/>
        </w:rPr>
        <w:t xml:space="preserve">i </w:t>
      </w:r>
      <w:r w:rsidRPr="00C70CE9">
        <w:t xml:space="preserve">according to the physical cell ID of the target cell. If the IAB-MT has been provided with higher layer signaling of </w:t>
      </w:r>
      <w:r w:rsidRPr="00C70CE9">
        <w:rPr>
          <w:i/>
        </w:rPr>
        <w:t>smtcj</w:t>
      </w:r>
      <w:r w:rsidRPr="00C70CE9">
        <w:t>, where 1≤</w:t>
      </w:r>
      <w:r w:rsidRPr="00C70CE9">
        <w:rPr>
          <w:i/>
          <w:iCs/>
        </w:rPr>
        <w:t>j</w:t>
      </w:r>
      <w:r w:rsidRPr="00C70CE9">
        <w:t>≤4 [15] and is also capable of 4 SMTC configurations per frequency [15], then T</w:t>
      </w:r>
      <w:r>
        <w:rPr>
          <w:vertAlign w:val="subscript"/>
        </w:rPr>
        <w:t>SMTC</w:t>
      </w:r>
      <w:r w:rsidRPr="00C70CE9">
        <w:t xml:space="preserve"> follows </w:t>
      </w:r>
      <w:r w:rsidRPr="00C70CE9">
        <w:rPr>
          <w:i/>
        </w:rPr>
        <w:t>smtcj</w:t>
      </w:r>
      <w:r w:rsidRPr="00C70CE9">
        <w:t xml:space="preserve"> configured for the inter-frequency carrier </w:t>
      </w:r>
      <w:r w:rsidRPr="00C70CE9">
        <w:rPr>
          <w:i/>
        </w:rPr>
        <w:t xml:space="preserve">i </w:t>
      </w:r>
      <w:r w:rsidRPr="00C70CE9">
        <w:t>according to the physical cell ID of the target cell. If the IAB-MT is not provided with SMTC configuration then the IAB-MT may assume that the target SSB periodicity is no larger than 160 ms.</w:t>
      </w:r>
    </w:p>
    <w:p w14:paraId="7524E467" w14:textId="578CE883" w:rsidR="00516255" w:rsidRPr="006B6B13" w:rsidRDefault="00516255" w:rsidP="00516255">
      <w:pPr>
        <w:rPr>
          <w:rFonts w:cs="v4.2.0"/>
        </w:rPr>
      </w:pPr>
      <w:r w:rsidRPr="0019115D">
        <w:rPr>
          <w:lang w:eastAsia="zh-CN"/>
        </w:rPr>
        <w:t>T</w:t>
      </w:r>
      <w:r w:rsidRPr="0019115D">
        <w:rPr>
          <w:vertAlign w:val="subscript"/>
          <w:lang w:eastAsia="zh-CN"/>
        </w:rPr>
        <w:t>SI-NR</w:t>
      </w:r>
      <w:r w:rsidRPr="0019115D">
        <w:rPr>
          <w:rFonts w:hint="eastAsia"/>
          <w:lang w:eastAsia="zh-CN"/>
        </w:rPr>
        <w:t>:</w:t>
      </w:r>
      <w:r w:rsidRPr="0019115D">
        <w:rPr>
          <w:lang w:eastAsia="zh-CN"/>
        </w:rPr>
        <w:t xml:space="preserve"> It</w:t>
      </w:r>
      <w:r w:rsidRPr="0019115D">
        <w:rPr>
          <w:rFonts w:cs="v4.2.0"/>
          <w:iCs/>
        </w:rPr>
        <w:t xml:space="preserve"> </w:t>
      </w:r>
      <w:r w:rsidRPr="0019115D">
        <w:rPr>
          <w:rFonts w:cs="v4.2.0"/>
        </w:rPr>
        <w:t xml:space="preserve">is the time required for receiving all the relevant system information according to the reception procedure and the RRC procedure delay of system information blocks defined in </w:t>
      </w:r>
      <w:r w:rsidRPr="0019115D">
        <w:t>TS 38.331 [</w:t>
      </w:r>
      <w:r w:rsidR="003815EA">
        <w:t>15</w:t>
      </w:r>
      <w:r w:rsidRPr="0019115D">
        <w:t>]</w:t>
      </w:r>
      <w:r w:rsidRPr="0019115D">
        <w:rPr>
          <w:rFonts w:cs="v4.2.0"/>
        </w:rPr>
        <w:t xml:space="preserve"> for the</w:t>
      </w:r>
      <w:r w:rsidRPr="006B6B13">
        <w:rPr>
          <w:rFonts w:cs="v4.2.0"/>
          <w:lang w:eastAsia="zh-CN"/>
        </w:rPr>
        <w:t xml:space="preserve"> target</w:t>
      </w:r>
      <w:r w:rsidRPr="006B6B13">
        <w:rPr>
          <w:rFonts w:cs="v4.2.0"/>
        </w:rPr>
        <w:t xml:space="preserve"> NR cell.</w:t>
      </w:r>
    </w:p>
    <w:p w14:paraId="235B4C50" w14:textId="53C0CBAC" w:rsidR="00516255" w:rsidRPr="000356D9" w:rsidRDefault="00516255" w:rsidP="00516255">
      <w:pPr>
        <w:rPr>
          <w:rFonts w:eastAsia="Malgun Gothic"/>
        </w:rPr>
      </w:pPr>
      <w:r w:rsidRPr="00385064">
        <w:t>T</w:t>
      </w:r>
      <w:r w:rsidRPr="00385064">
        <w:rPr>
          <w:vertAlign w:val="subscript"/>
        </w:rPr>
        <w:t>PRACH</w:t>
      </w:r>
      <w:r w:rsidRPr="00E63503">
        <w:rPr>
          <w:rFonts w:hint="eastAsia"/>
          <w:vertAlign w:val="subscript"/>
          <w:lang w:eastAsia="zh-CN"/>
        </w:rPr>
        <w:t>:</w:t>
      </w:r>
      <w:r w:rsidRPr="00E63503">
        <w:rPr>
          <w:vertAlign w:val="subscript"/>
          <w:lang w:eastAsia="zh-CN"/>
        </w:rPr>
        <w:t xml:space="preserve"> </w:t>
      </w:r>
      <w:r w:rsidRPr="00E63503">
        <w:t>It</w:t>
      </w:r>
      <w:r w:rsidRPr="00FC6A10">
        <w:t xml:space="preserve"> is the delay uncertainty in acquiring the first available PRACH occasion in the target NR cell. T</w:t>
      </w:r>
      <w:r w:rsidRPr="00FC6A10">
        <w:rPr>
          <w:vertAlign w:val="subscript"/>
        </w:rPr>
        <w:t>PRACH</w:t>
      </w:r>
      <w:r w:rsidRPr="00043B44">
        <w:t xml:space="preserve"> can be up to the summation of SSB to PRACH occasion association period and 10 ms. SSB to PRACH occasion associated period is defined in </w:t>
      </w:r>
      <w:r w:rsidRPr="008D69F5">
        <w:t>clause 14 of TS 38.213 [</w:t>
      </w:r>
      <w:r w:rsidR="003815EA">
        <w:t>10</w:t>
      </w:r>
      <w:r w:rsidRPr="000356D9">
        <w:t>].</w:t>
      </w:r>
    </w:p>
    <w:p w14:paraId="008B6D83" w14:textId="77777777" w:rsidR="00516255" w:rsidRPr="00516255" w:rsidRDefault="00516255" w:rsidP="00516255">
      <w:pPr>
        <w:rPr>
          <w:rFonts w:cs="v4.2.0"/>
        </w:rPr>
      </w:pPr>
      <w:r w:rsidRPr="00357409">
        <w:rPr>
          <w:rFonts w:cs="v4.2.0"/>
          <w:iCs/>
        </w:rPr>
        <w:t>N</w:t>
      </w:r>
      <w:r w:rsidRPr="00357409">
        <w:rPr>
          <w:rFonts w:cs="v4.2.0"/>
          <w:iCs/>
          <w:vertAlign w:val="subscript"/>
        </w:rPr>
        <w:t>freq</w:t>
      </w:r>
      <w:r w:rsidRPr="00357409">
        <w:rPr>
          <w:rFonts w:cs="v4.2.0"/>
        </w:rPr>
        <w:t>: It is the total number of NR frequencies to be monitored for RRC re-establishment; N</w:t>
      </w:r>
      <w:r w:rsidRPr="00357409">
        <w:rPr>
          <w:rFonts w:cs="v4.2.0"/>
          <w:vertAlign w:val="subscript"/>
        </w:rPr>
        <w:t xml:space="preserve">freq </w:t>
      </w:r>
      <w:r w:rsidRPr="00357409">
        <w:rPr>
          <w:rFonts w:cs="v4.2.0"/>
        </w:rPr>
        <w:t>= 1 if the target intra-frequency NR cell is known, else N</w:t>
      </w:r>
      <w:r w:rsidRPr="00516255">
        <w:rPr>
          <w:rFonts w:cs="v4.2.0"/>
          <w:vertAlign w:val="subscript"/>
        </w:rPr>
        <w:t xml:space="preserve">freq </w:t>
      </w:r>
      <w:r w:rsidRPr="00516255">
        <w:rPr>
          <w:rFonts w:cs="v4.2.0"/>
        </w:rPr>
        <w:t xml:space="preserve">= 2 and </w:t>
      </w:r>
      <w:r w:rsidRPr="00516255">
        <w:t>T</w:t>
      </w:r>
      <w:r w:rsidRPr="00516255">
        <w:rPr>
          <w:vertAlign w:val="subscript"/>
        </w:rPr>
        <w:t>identify_intra_NR</w:t>
      </w:r>
      <w:r w:rsidRPr="00516255">
        <w:rPr>
          <w:rFonts w:cs="v4.2.0"/>
        </w:rPr>
        <w:t xml:space="preserve"> = 0 if the target inter-frequency </w:t>
      </w:r>
      <w:r w:rsidRPr="00516255">
        <w:rPr>
          <w:rFonts w:cs="v4.2.0"/>
          <w:lang w:eastAsia="zh-CN"/>
        </w:rPr>
        <w:t>NR c</w:t>
      </w:r>
      <w:r w:rsidRPr="00516255">
        <w:rPr>
          <w:rFonts w:cs="v4.2.0"/>
        </w:rPr>
        <w:t>ell is known.</w:t>
      </w:r>
    </w:p>
    <w:p w14:paraId="7FF4E2E6" w14:textId="26525669" w:rsidR="00516255" w:rsidRPr="00516255" w:rsidRDefault="00516255" w:rsidP="00516255">
      <w:r w:rsidRPr="00516255">
        <w:t>There is no requirement if the target cell does not contain the IAB-MT context</w:t>
      </w:r>
      <w:r w:rsidR="007F05C1">
        <w:t xml:space="preserve"> </w:t>
      </w:r>
      <w:r w:rsidR="007F05C1" w:rsidRPr="002111DB">
        <w:t>or if the SSB transmission periodicity is larger than 160 ms.</w:t>
      </w:r>
    </w:p>
    <w:p w14:paraId="70B1871E" w14:textId="77777777" w:rsidR="00516255" w:rsidRPr="00516255" w:rsidRDefault="00516255" w:rsidP="00516255">
      <w:r w:rsidRPr="00516255">
        <w:t>In the requirement defined in the below tables, the target FR1 cell is known if it has been meeting the relevant cell identification requirement during the last 5 seconds otherwise it is unknown.</w:t>
      </w:r>
    </w:p>
    <w:p w14:paraId="4A4907C0" w14:textId="0B800EFB" w:rsidR="00516255" w:rsidRPr="0019115D" w:rsidRDefault="00516255" w:rsidP="00EB3109">
      <w:pPr>
        <w:pStyle w:val="TH"/>
      </w:pPr>
      <w:r w:rsidRPr="0019115D">
        <w:t>Table 12.1.1.1.2.1-1: Time to identify target NR cell for RRC connection re-establishment to NR intra-frequency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6"/>
        <w:gridCol w:w="1837"/>
        <w:gridCol w:w="2801"/>
        <w:gridCol w:w="3375"/>
      </w:tblGrid>
      <w:tr w:rsidR="00EB3109" w:rsidRPr="00516255" w14:paraId="5C6D87FF" w14:textId="77777777" w:rsidTr="00EB3109">
        <w:trPr>
          <w:jc w:val="center"/>
        </w:trPr>
        <w:tc>
          <w:tcPr>
            <w:tcW w:w="1616" w:type="dxa"/>
            <w:tcBorders>
              <w:bottom w:val="nil"/>
            </w:tcBorders>
            <w:shd w:val="clear" w:color="auto" w:fill="auto"/>
          </w:tcPr>
          <w:p w14:paraId="6EBB2484" w14:textId="77777777" w:rsidR="00EB3109" w:rsidRPr="006B6B13" w:rsidRDefault="00EB3109" w:rsidP="00EB3109">
            <w:pPr>
              <w:pStyle w:val="TAH"/>
            </w:pPr>
            <w:r w:rsidRPr="0019115D">
              <w:t xml:space="preserve">Serving cell SSB </w:t>
            </w:r>
            <w:r w:rsidRPr="006B6B13">
              <w:rPr>
                <w:lang w:val="en-US"/>
              </w:rPr>
              <w:t>Ês/Iot (dB)</w:t>
            </w:r>
          </w:p>
        </w:tc>
        <w:tc>
          <w:tcPr>
            <w:tcW w:w="1837" w:type="dxa"/>
            <w:tcBorders>
              <w:bottom w:val="nil"/>
            </w:tcBorders>
            <w:shd w:val="clear" w:color="auto" w:fill="auto"/>
          </w:tcPr>
          <w:p w14:paraId="1C74DF01" w14:textId="77777777" w:rsidR="00EB3109" w:rsidRPr="00385064" w:rsidRDefault="00EB3109" w:rsidP="00EB3109">
            <w:pPr>
              <w:pStyle w:val="TAH"/>
            </w:pPr>
            <w:r w:rsidRPr="00385064">
              <w:t>Frequency range (FR) of target NR cell</w:t>
            </w:r>
          </w:p>
        </w:tc>
        <w:tc>
          <w:tcPr>
            <w:tcW w:w="6176" w:type="dxa"/>
            <w:gridSpan w:val="2"/>
            <w:shd w:val="clear" w:color="auto" w:fill="auto"/>
          </w:tcPr>
          <w:p w14:paraId="4A9BF75D" w14:textId="77777777" w:rsidR="00EB3109" w:rsidRPr="00FC6A10" w:rsidRDefault="00EB3109" w:rsidP="00EB3109">
            <w:pPr>
              <w:pStyle w:val="TAH"/>
            </w:pPr>
            <w:r w:rsidRPr="00E63503">
              <w:t>T</w:t>
            </w:r>
            <w:r w:rsidRPr="00E63503">
              <w:rPr>
                <w:vertAlign w:val="subscript"/>
              </w:rPr>
              <w:t xml:space="preserve">identify_intra_NR </w:t>
            </w:r>
            <w:r w:rsidRPr="00E63503">
              <w:t>[ms]</w:t>
            </w:r>
          </w:p>
        </w:tc>
      </w:tr>
      <w:tr w:rsidR="00EB3109" w:rsidRPr="00516255" w14:paraId="376BD3B4" w14:textId="77777777" w:rsidTr="00EB3109">
        <w:trPr>
          <w:jc w:val="center"/>
        </w:trPr>
        <w:tc>
          <w:tcPr>
            <w:tcW w:w="1616" w:type="dxa"/>
            <w:tcBorders>
              <w:top w:val="nil"/>
            </w:tcBorders>
            <w:shd w:val="clear" w:color="auto" w:fill="auto"/>
          </w:tcPr>
          <w:p w14:paraId="710719F9" w14:textId="77777777" w:rsidR="00EB3109" w:rsidRPr="00516255" w:rsidRDefault="00EB3109" w:rsidP="00EB3109">
            <w:pPr>
              <w:pStyle w:val="TAH"/>
            </w:pPr>
          </w:p>
        </w:tc>
        <w:tc>
          <w:tcPr>
            <w:tcW w:w="1837" w:type="dxa"/>
            <w:tcBorders>
              <w:top w:val="nil"/>
            </w:tcBorders>
            <w:shd w:val="clear" w:color="auto" w:fill="auto"/>
          </w:tcPr>
          <w:p w14:paraId="387C6B94" w14:textId="77777777" w:rsidR="00EB3109" w:rsidRPr="00516255" w:rsidRDefault="00EB3109" w:rsidP="00EB3109">
            <w:pPr>
              <w:pStyle w:val="TAH"/>
            </w:pPr>
          </w:p>
        </w:tc>
        <w:tc>
          <w:tcPr>
            <w:tcW w:w="2801" w:type="dxa"/>
            <w:shd w:val="clear" w:color="auto" w:fill="auto"/>
          </w:tcPr>
          <w:p w14:paraId="1837EC01" w14:textId="77777777" w:rsidR="00EB3109" w:rsidRPr="00516255" w:rsidRDefault="00EB3109" w:rsidP="00EB3109">
            <w:pPr>
              <w:pStyle w:val="TAH"/>
            </w:pPr>
            <w:r w:rsidRPr="00516255">
              <w:t>Known NR cell</w:t>
            </w:r>
          </w:p>
        </w:tc>
        <w:tc>
          <w:tcPr>
            <w:tcW w:w="3375" w:type="dxa"/>
          </w:tcPr>
          <w:p w14:paraId="346590AC" w14:textId="77777777" w:rsidR="00EB3109" w:rsidRPr="00516255" w:rsidRDefault="00EB3109" w:rsidP="00EB3109">
            <w:pPr>
              <w:pStyle w:val="TAH"/>
            </w:pPr>
            <w:r w:rsidRPr="00516255">
              <w:t>Unknown NR cell</w:t>
            </w:r>
          </w:p>
        </w:tc>
      </w:tr>
      <w:tr w:rsidR="00516255" w:rsidRPr="00516255" w14:paraId="53988F95" w14:textId="77777777" w:rsidTr="00A4061E">
        <w:trPr>
          <w:jc w:val="center"/>
        </w:trPr>
        <w:tc>
          <w:tcPr>
            <w:tcW w:w="1616" w:type="dxa"/>
            <w:shd w:val="clear" w:color="auto" w:fill="auto"/>
          </w:tcPr>
          <w:p w14:paraId="3EA5633A" w14:textId="77777777" w:rsidR="00516255" w:rsidRPr="00516255" w:rsidRDefault="00516255" w:rsidP="00EB3109">
            <w:pPr>
              <w:pStyle w:val="TAL"/>
              <w:rPr>
                <w:lang w:eastAsia="zh-CN"/>
              </w:rPr>
            </w:pPr>
            <w:r w:rsidRPr="00516255">
              <w:rPr>
                <w:rFonts w:cs="Arial"/>
              </w:rPr>
              <w:t>≥</w:t>
            </w:r>
            <w:r w:rsidRPr="00516255">
              <w:t xml:space="preserve"> -8</w:t>
            </w:r>
          </w:p>
        </w:tc>
        <w:tc>
          <w:tcPr>
            <w:tcW w:w="1837" w:type="dxa"/>
            <w:shd w:val="clear" w:color="auto" w:fill="auto"/>
          </w:tcPr>
          <w:p w14:paraId="69DC82CE" w14:textId="77777777" w:rsidR="00516255" w:rsidRPr="00516255" w:rsidRDefault="00516255" w:rsidP="00EB3109">
            <w:pPr>
              <w:pStyle w:val="TAL"/>
            </w:pPr>
            <w:r w:rsidRPr="00516255">
              <w:t>FR1</w:t>
            </w:r>
          </w:p>
        </w:tc>
        <w:tc>
          <w:tcPr>
            <w:tcW w:w="2801" w:type="dxa"/>
            <w:shd w:val="clear" w:color="auto" w:fill="auto"/>
          </w:tcPr>
          <w:p w14:paraId="4B9317C4" w14:textId="77777777" w:rsidR="00516255" w:rsidRPr="00516255" w:rsidRDefault="00516255" w:rsidP="00EB3109">
            <w:pPr>
              <w:pStyle w:val="TAC"/>
            </w:pPr>
            <w:r w:rsidRPr="00516255">
              <w:t>MAX (1600 ms, 5 x T</w:t>
            </w:r>
            <w:r w:rsidRPr="00516255">
              <w:rPr>
                <w:vertAlign w:val="subscript"/>
              </w:rPr>
              <w:t>SMTC</w:t>
            </w:r>
            <w:r w:rsidRPr="00516255">
              <w:t>)</w:t>
            </w:r>
          </w:p>
        </w:tc>
        <w:tc>
          <w:tcPr>
            <w:tcW w:w="3375" w:type="dxa"/>
            <w:shd w:val="clear" w:color="auto" w:fill="auto"/>
          </w:tcPr>
          <w:p w14:paraId="65038880" w14:textId="77777777" w:rsidR="00516255" w:rsidRPr="00516255" w:rsidRDefault="00516255" w:rsidP="00EB3109">
            <w:pPr>
              <w:pStyle w:val="TAC"/>
            </w:pPr>
            <w:r w:rsidRPr="00516255">
              <w:t>MAX (6400 ms, 10 x T</w:t>
            </w:r>
            <w:r w:rsidRPr="00516255">
              <w:rPr>
                <w:vertAlign w:val="subscript"/>
              </w:rPr>
              <w:t>SMTC</w:t>
            </w:r>
            <w:r w:rsidRPr="00516255">
              <w:t>)</w:t>
            </w:r>
          </w:p>
        </w:tc>
      </w:tr>
      <w:tr w:rsidR="00516255" w:rsidRPr="00516255" w14:paraId="14B0D589" w14:textId="77777777" w:rsidTr="00A4061E">
        <w:trPr>
          <w:jc w:val="center"/>
        </w:trPr>
        <w:tc>
          <w:tcPr>
            <w:tcW w:w="1616" w:type="dxa"/>
            <w:shd w:val="clear" w:color="auto" w:fill="auto"/>
          </w:tcPr>
          <w:p w14:paraId="1EC9355A" w14:textId="77777777" w:rsidR="00516255" w:rsidRPr="00516255" w:rsidRDefault="00516255" w:rsidP="00EB3109">
            <w:pPr>
              <w:pStyle w:val="TAL"/>
              <w:rPr>
                <w:lang w:eastAsia="zh-CN"/>
              </w:rPr>
            </w:pPr>
            <w:r w:rsidRPr="00516255">
              <w:rPr>
                <w:rFonts w:cs="Arial"/>
              </w:rPr>
              <w:t>≥</w:t>
            </w:r>
            <w:r w:rsidRPr="00516255">
              <w:t xml:space="preserve"> -8</w:t>
            </w:r>
          </w:p>
        </w:tc>
        <w:tc>
          <w:tcPr>
            <w:tcW w:w="1837" w:type="dxa"/>
            <w:shd w:val="clear" w:color="auto" w:fill="auto"/>
          </w:tcPr>
          <w:p w14:paraId="28107897" w14:textId="77777777" w:rsidR="00516255" w:rsidRPr="00516255" w:rsidRDefault="00516255" w:rsidP="00EB3109">
            <w:pPr>
              <w:pStyle w:val="TAL"/>
            </w:pPr>
            <w:r w:rsidRPr="00516255">
              <w:t>FR2</w:t>
            </w:r>
          </w:p>
        </w:tc>
        <w:tc>
          <w:tcPr>
            <w:tcW w:w="2801" w:type="dxa"/>
            <w:shd w:val="clear" w:color="auto" w:fill="auto"/>
          </w:tcPr>
          <w:p w14:paraId="1AEF09DB" w14:textId="77777777" w:rsidR="00516255" w:rsidRPr="00516255" w:rsidRDefault="00516255" w:rsidP="00EB3109">
            <w:pPr>
              <w:pStyle w:val="TAC"/>
              <w:rPr>
                <w:lang w:eastAsia="zh-CN"/>
              </w:rPr>
            </w:pPr>
            <w:r w:rsidRPr="00516255">
              <w:rPr>
                <w:lang w:eastAsia="zh-CN"/>
              </w:rPr>
              <w:t>N/A</w:t>
            </w:r>
          </w:p>
        </w:tc>
        <w:tc>
          <w:tcPr>
            <w:tcW w:w="3375" w:type="dxa"/>
            <w:shd w:val="clear" w:color="auto" w:fill="auto"/>
          </w:tcPr>
          <w:p w14:paraId="5F59D798" w14:textId="77777777" w:rsidR="00516255" w:rsidRPr="00516255" w:rsidRDefault="00516255" w:rsidP="00EB3109">
            <w:pPr>
              <w:pStyle w:val="TAC"/>
            </w:pPr>
            <w:r w:rsidRPr="00516255">
              <w:t xml:space="preserve">MAX (8000 ms, </w:t>
            </w:r>
            <w:r w:rsidRPr="00516255">
              <w:rPr>
                <w:lang w:eastAsia="zh-CN"/>
              </w:rPr>
              <w:t>80</w:t>
            </w:r>
            <w:r w:rsidRPr="00516255">
              <w:t xml:space="preserve"> x T</w:t>
            </w:r>
            <w:r w:rsidRPr="00516255">
              <w:rPr>
                <w:vertAlign w:val="subscript"/>
              </w:rPr>
              <w:t>SMTC</w:t>
            </w:r>
            <w:r w:rsidRPr="00516255">
              <w:t>))</w:t>
            </w:r>
          </w:p>
        </w:tc>
      </w:tr>
      <w:tr w:rsidR="00516255" w:rsidRPr="00516255" w14:paraId="1817EF15" w14:textId="77777777" w:rsidTr="00A4061E">
        <w:trPr>
          <w:jc w:val="center"/>
        </w:trPr>
        <w:tc>
          <w:tcPr>
            <w:tcW w:w="1616" w:type="dxa"/>
          </w:tcPr>
          <w:p w14:paraId="5EFCB126" w14:textId="77777777" w:rsidR="00516255" w:rsidRPr="00516255" w:rsidRDefault="00516255" w:rsidP="00EB3109">
            <w:pPr>
              <w:pStyle w:val="TAL"/>
              <w:rPr>
                <w:lang w:eastAsia="zh-CN"/>
              </w:rPr>
            </w:pPr>
            <w:r w:rsidRPr="00516255">
              <w:t>&lt; -8</w:t>
            </w:r>
          </w:p>
        </w:tc>
        <w:tc>
          <w:tcPr>
            <w:tcW w:w="1837" w:type="dxa"/>
            <w:shd w:val="clear" w:color="auto" w:fill="auto"/>
          </w:tcPr>
          <w:p w14:paraId="1F24EA7B" w14:textId="77777777" w:rsidR="00516255" w:rsidRPr="00516255" w:rsidRDefault="00516255" w:rsidP="00EB3109">
            <w:pPr>
              <w:pStyle w:val="TAL"/>
            </w:pPr>
            <w:r w:rsidRPr="00516255">
              <w:t>FR1</w:t>
            </w:r>
          </w:p>
        </w:tc>
        <w:tc>
          <w:tcPr>
            <w:tcW w:w="2801" w:type="dxa"/>
            <w:shd w:val="clear" w:color="auto" w:fill="auto"/>
          </w:tcPr>
          <w:p w14:paraId="664424D5" w14:textId="77777777" w:rsidR="00516255" w:rsidRPr="00516255" w:rsidRDefault="00516255" w:rsidP="00EB3109">
            <w:pPr>
              <w:pStyle w:val="TAC"/>
              <w:rPr>
                <w:lang w:eastAsia="zh-CN"/>
              </w:rPr>
            </w:pPr>
            <w:r w:rsidRPr="00516255">
              <w:rPr>
                <w:lang w:eastAsia="zh-CN"/>
              </w:rPr>
              <w:t>N/A</w:t>
            </w:r>
          </w:p>
        </w:tc>
        <w:tc>
          <w:tcPr>
            <w:tcW w:w="3375" w:type="dxa"/>
            <w:shd w:val="clear" w:color="auto" w:fill="auto"/>
          </w:tcPr>
          <w:p w14:paraId="5F45E967" w14:textId="77777777" w:rsidR="00516255" w:rsidRPr="00516255" w:rsidRDefault="00516255" w:rsidP="00EB3109">
            <w:pPr>
              <w:pStyle w:val="TAC"/>
            </w:pPr>
            <w:r w:rsidRPr="00516255">
              <w:t>6400</w:t>
            </w:r>
            <w:r w:rsidRPr="00516255">
              <w:rPr>
                <w:vertAlign w:val="superscript"/>
              </w:rPr>
              <w:t>Note1</w:t>
            </w:r>
          </w:p>
        </w:tc>
      </w:tr>
      <w:tr w:rsidR="00516255" w:rsidRPr="00516255" w14:paraId="0DBCE015" w14:textId="77777777" w:rsidTr="00A4061E">
        <w:trPr>
          <w:jc w:val="center"/>
        </w:trPr>
        <w:tc>
          <w:tcPr>
            <w:tcW w:w="1616" w:type="dxa"/>
          </w:tcPr>
          <w:p w14:paraId="693BCA39" w14:textId="77777777" w:rsidR="00516255" w:rsidRPr="00516255" w:rsidRDefault="00516255" w:rsidP="00EB3109">
            <w:pPr>
              <w:pStyle w:val="TAL"/>
              <w:rPr>
                <w:lang w:eastAsia="zh-CN"/>
              </w:rPr>
            </w:pPr>
            <w:r w:rsidRPr="00516255">
              <w:t>&lt; -8</w:t>
            </w:r>
          </w:p>
        </w:tc>
        <w:tc>
          <w:tcPr>
            <w:tcW w:w="1837" w:type="dxa"/>
            <w:shd w:val="clear" w:color="auto" w:fill="auto"/>
          </w:tcPr>
          <w:p w14:paraId="35C9E57E" w14:textId="77777777" w:rsidR="00516255" w:rsidRPr="00516255" w:rsidRDefault="00516255" w:rsidP="00EB3109">
            <w:pPr>
              <w:pStyle w:val="TAL"/>
            </w:pPr>
            <w:r w:rsidRPr="00516255">
              <w:t>FR2</w:t>
            </w:r>
          </w:p>
        </w:tc>
        <w:tc>
          <w:tcPr>
            <w:tcW w:w="2801" w:type="dxa"/>
            <w:shd w:val="clear" w:color="auto" w:fill="auto"/>
          </w:tcPr>
          <w:p w14:paraId="1D75E51F" w14:textId="77777777" w:rsidR="00516255" w:rsidRPr="00516255" w:rsidRDefault="00516255" w:rsidP="00EB3109">
            <w:pPr>
              <w:pStyle w:val="TAC"/>
              <w:rPr>
                <w:lang w:eastAsia="zh-CN"/>
              </w:rPr>
            </w:pPr>
            <w:r w:rsidRPr="00516255">
              <w:rPr>
                <w:lang w:eastAsia="zh-CN"/>
              </w:rPr>
              <w:t>N/A</w:t>
            </w:r>
          </w:p>
        </w:tc>
        <w:tc>
          <w:tcPr>
            <w:tcW w:w="3375" w:type="dxa"/>
            <w:shd w:val="clear" w:color="auto" w:fill="auto"/>
          </w:tcPr>
          <w:p w14:paraId="4EE3A1A4" w14:textId="77777777" w:rsidR="00516255" w:rsidRPr="00516255" w:rsidRDefault="00516255" w:rsidP="00EB3109">
            <w:pPr>
              <w:pStyle w:val="TAC"/>
            </w:pPr>
            <w:bookmarkStart w:id="8215" w:name="_Hlk521492617"/>
            <w:r w:rsidRPr="00516255">
              <w:t>28160</w:t>
            </w:r>
            <w:bookmarkEnd w:id="8215"/>
            <w:r w:rsidRPr="00516255">
              <w:rPr>
                <w:vertAlign w:val="superscript"/>
              </w:rPr>
              <w:t>Note1</w:t>
            </w:r>
          </w:p>
        </w:tc>
      </w:tr>
      <w:tr w:rsidR="00516255" w:rsidRPr="00516255" w14:paraId="231984FA" w14:textId="77777777" w:rsidTr="00A4061E">
        <w:trPr>
          <w:jc w:val="center"/>
        </w:trPr>
        <w:tc>
          <w:tcPr>
            <w:tcW w:w="9629" w:type="dxa"/>
            <w:gridSpan w:val="4"/>
          </w:tcPr>
          <w:p w14:paraId="21ED2E64" w14:textId="77777777" w:rsidR="00516255" w:rsidRPr="00516255" w:rsidRDefault="00516255" w:rsidP="00EB3109">
            <w:pPr>
              <w:pStyle w:val="TAN"/>
              <w:rPr>
                <w:lang w:eastAsia="zh-CN"/>
              </w:rPr>
            </w:pPr>
            <w:r w:rsidRPr="00516255">
              <w:t>Note 1:</w:t>
            </w:r>
            <w:r w:rsidRPr="00516255">
              <w:tab/>
              <w:t>The IAB-MT is not required to successfully</w:t>
            </w:r>
            <w:r w:rsidRPr="00516255">
              <w:rPr>
                <w:b/>
                <w:bCs/>
              </w:rPr>
              <w:t xml:space="preserve"> </w:t>
            </w:r>
            <w:r w:rsidRPr="00516255">
              <w:t>identify a cell on any NR frequency layer when T</w:t>
            </w:r>
            <w:r w:rsidRPr="00516255">
              <w:rPr>
                <w:vertAlign w:val="subscript"/>
              </w:rPr>
              <w:t>SMTC</w:t>
            </w:r>
            <w:r w:rsidRPr="00516255">
              <w:t xml:space="preserve"> &gt;160 ms and serving cell SSB Ês/Iot &lt; -8 dB.</w:t>
            </w:r>
          </w:p>
        </w:tc>
      </w:tr>
    </w:tbl>
    <w:p w14:paraId="250F2BB6" w14:textId="77777777" w:rsidR="00516255" w:rsidRPr="00516255" w:rsidRDefault="00516255" w:rsidP="00516255"/>
    <w:p w14:paraId="520CA422" w14:textId="77777777" w:rsidR="00516255" w:rsidRPr="00516255" w:rsidRDefault="00516255" w:rsidP="00516255">
      <w:pPr>
        <w:pStyle w:val="TH"/>
        <w:spacing w:after="120"/>
      </w:pPr>
      <w:r w:rsidRPr="00516255">
        <w:t>Table 12.1.1.1.2.1-2: Time to identify target NR cell for RRC connection re-establishment to NR inter-frequency cell</w:t>
      </w:r>
    </w:p>
    <w:tbl>
      <w:tblPr>
        <w:tblW w:w="96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1701"/>
        <w:gridCol w:w="2835"/>
        <w:gridCol w:w="3411"/>
      </w:tblGrid>
      <w:tr w:rsidR="00EB3109" w:rsidRPr="00516255" w14:paraId="49C3999E" w14:textId="77777777" w:rsidTr="00EB3109">
        <w:trPr>
          <w:jc w:val="center"/>
        </w:trPr>
        <w:tc>
          <w:tcPr>
            <w:tcW w:w="1696" w:type="dxa"/>
            <w:tcBorders>
              <w:bottom w:val="nil"/>
            </w:tcBorders>
            <w:shd w:val="clear" w:color="auto" w:fill="auto"/>
          </w:tcPr>
          <w:p w14:paraId="4A017CF9" w14:textId="77777777" w:rsidR="00EB3109" w:rsidRPr="00516255" w:rsidRDefault="00EB3109" w:rsidP="00EB3109">
            <w:pPr>
              <w:pStyle w:val="TAH"/>
            </w:pPr>
            <w:r w:rsidRPr="00516255">
              <w:t xml:space="preserve">Serving cell SSB </w:t>
            </w:r>
            <w:r w:rsidRPr="00516255">
              <w:rPr>
                <w:lang w:val="en-US"/>
              </w:rPr>
              <w:t>Ês/Iot (dB)</w:t>
            </w:r>
          </w:p>
        </w:tc>
        <w:tc>
          <w:tcPr>
            <w:tcW w:w="1701" w:type="dxa"/>
            <w:tcBorders>
              <w:bottom w:val="nil"/>
            </w:tcBorders>
            <w:shd w:val="clear" w:color="auto" w:fill="auto"/>
          </w:tcPr>
          <w:p w14:paraId="36244761" w14:textId="77777777" w:rsidR="00EB3109" w:rsidRPr="00516255" w:rsidRDefault="00EB3109" w:rsidP="00EB3109">
            <w:pPr>
              <w:pStyle w:val="TAH"/>
            </w:pPr>
            <w:r w:rsidRPr="00516255">
              <w:t>Frequency range (FR) of target NR cell</w:t>
            </w:r>
          </w:p>
        </w:tc>
        <w:tc>
          <w:tcPr>
            <w:tcW w:w="6246" w:type="dxa"/>
            <w:gridSpan w:val="2"/>
            <w:shd w:val="clear" w:color="auto" w:fill="auto"/>
          </w:tcPr>
          <w:p w14:paraId="28D335CC" w14:textId="77777777" w:rsidR="00EB3109" w:rsidRPr="00516255" w:rsidRDefault="00EB3109" w:rsidP="00EB3109">
            <w:pPr>
              <w:pStyle w:val="TAH"/>
            </w:pPr>
            <w:r w:rsidRPr="00516255">
              <w:t>T</w:t>
            </w:r>
            <w:r w:rsidRPr="00516255">
              <w:rPr>
                <w:vertAlign w:val="subscript"/>
              </w:rPr>
              <w:t xml:space="preserve">identify_inter_NR, i </w:t>
            </w:r>
            <w:r w:rsidRPr="00516255">
              <w:t>[ms]</w:t>
            </w:r>
          </w:p>
        </w:tc>
      </w:tr>
      <w:tr w:rsidR="00EB3109" w:rsidRPr="00516255" w14:paraId="11E68200" w14:textId="77777777" w:rsidTr="00EB3109">
        <w:trPr>
          <w:jc w:val="center"/>
        </w:trPr>
        <w:tc>
          <w:tcPr>
            <w:tcW w:w="1696" w:type="dxa"/>
            <w:tcBorders>
              <w:top w:val="nil"/>
            </w:tcBorders>
            <w:shd w:val="clear" w:color="auto" w:fill="auto"/>
          </w:tcPr>
          <w:p w14:paraId="6FE91950" w14:textId="77777777" w:rsidR="00EB3109" w:rsidRPr="00516255" w:rsidRDefault="00EB3109" w:rsidP="00EB3109">
            <w:pPr>
              <w:pStyle w:val="TAH"/>
            </w:pPr>
          </w:p>
        </w:tc>
        <w:tc>
          <w:tcPr>
            <w:tcW w:w="1701" w:type="dxa"/>
            <w:tcBorders>
              <w:top w:val="nil"/>
            </w:tcBorders>
            <w:shd w:val="clear" w:color="auto" w:fill="auto"/>
          </w:tcPr>
          <w:p w14:paraId="5C7D06E0" w14:textId="77777777" w:rsidR="00EB3109" w:rsidRPr="00516255" w:rsidRDefault="00EB3109" w:rsidP="00EB3109">
            <w:pPr>
              <w:pStyle w:val="TAH"/>
            </w:pPr>
          </w:p>
        </w:tc>
        <w:tc>
          <w:tcPr>
            <w:tcW w:w="2835" w:type="dxa"/>
            <w:shd w:val="clear" w:color="auto" w:fill="auto"/>
          </w:tcPr>
          <w:p w14:paraId="437DA01C" w14:textId="77777777" w:rsidR="00EB3109" w:rsidRPr="00516255" w:rsidRDefault="00EB3109" w:rsidP="00EB3109">
            <w:pPr>
              <w:pStyle w:val="TAH"/>
            </w:pPr>
            <w:r w:rsidRPr="00516255">
              <w:t>Known NR cell</w:t>
            </w:r>
          </w:p>
        </w:tc>
        <w:tc>
          <w:tcPr>
            <w:tcW w:w="3411" w:type="dxa"/>
          </w:tcPr>
          <w:p w14:paraId="457418C1" w14:textId="77777777" w:rsidR="00EB3109" w:rsidRPr="00516255" w:rsidRDefault="00EB3109" w:rsidP="00EB3109">
            <w:pPr>
              <w:pStyle w:val="TAH"/>
            </w:pPr>
            <w:r w:rsidRPr="00516255">
              <w:t>Unknown NR cell</w:t>
            </w:r>
          </w:p>
        </w:tc>
      </w:tr>
      <w:tr w:rsidR="00516255" w:rsidRPr="00516255" w14:paraId="09A7DCD9" w14:textId="77777777" w:rsidTr="00A4061E">
        <w:trPr>
          <w:jc w:val="center"/>
        </w:trPr>
        <w:tc>
          <w:tcPr>
            <w:tcW w:w="1696" w:type="dxa"/>
          </w:tcPr>
          <w:p w14:paraId="53160454" w14:textId="77777777" w:rsidR="00516255" w:rsidRPr="00516255" w:rsidRDefault="00516255" w:rsidP="00EB3109">
            <w:pPr>
              <w:pStyle w:val="TAL"/>
              <w:rPr>
                <w:lang w:eastAsia="zh-CN"/>
              </w:rPr>
            </w:pPr>
            <w:r w:rsidRPr="00516255">
              <w:rPr>
                <w:rFonts w:cs="Arial"/>
              </w:rPr>
              <w:t xml:space="preserve">≥ </w:t>
            </w:r>
            <w:r w:rsidRPr="00516255">
              <w:t>-8</w:t>
            </w:r>
          </w:p>
        </w:tc>
        <w:tc>
          <w:tcPr>
            <w:tcW w:w="1701" w:type="dxa"/>
            <w:shd w:val="clear" w:color="auto" w:fill="auto"/>
          </w:tcPr>
          <w:p w14:paraId="0EB0EB8D" w14:textId="77777777" w:rsidR="00516255" w:rsidRPr="00516255" w:rsidRDefault="00516255" w:rsidP="00EB3109">
            <w:pPr>
              <w:pStyle w:val="TAL"/>
            </w:pPr>
            <w:r w:rsidRPr="00516255">
              <w:t>FR1</w:t>
            </w:r>
          </w:p>
        </w:tc>
        <w:tc>
          <w:tcPr>
            <w:tcW w:w="2835" w:type="dxa"/>
            <w:shd w:val="clear" w:color="auto" w:fill="auto"/>
          </w:tcPr>
          <w:p w14:paraId="34493C51" w14:textId="77777777" w:rsidR="00516255" w:rsidRPr="00516255" w:rsidRDefault="00516255" w:rsidP="00EB3109">
            <w:pPr>
              <w:pStyle w:val="TAC"/>
            </w:pPr>
            <w:r w:rsidRPr="00516255">
              <w:t>MAX (1600 ms, 6 x T</w:t>
            </w:r>
            <w:r w:rsidRPr="00516255">
              <w:rPr>
                <w:vertAlign w:val="subscript"/>
              </w:rPr>
              <w:t>SMTC, i</w:t>
            </w:r>
            <w:r w:rsidRPr="00516255">
              <w:t>)</w:t>
            </w:r>
          </w:p>
        </w:tc>
        <w:tc>
          <w:tcPr>
            <w:tcW w:w="3411" w:type="dxa"/>
            <w:shd w:val="clear" w:color="auto" w:fill="auto"/>
          </w:tcPr>
          <w:p w14:paraId="789BBCD3" w14:textId="77777777" w:rsidR="00516255" w:rsidRPr="00516255" w:rsidRDefault="00516255" w:rsidP="00EB3109">
            <w:pPr>
              <w:pStyle w:val="TAC"/>
            </w:pPr>
            <w:r w:rsidRPr="00516255">
              <w:t>MAX (6400 ms, 13 x T</w:t>
            </w:r>
            <w:r w:rsidRPr="00516255">
              <w:rPr>
                <w:vertAlign w:val="subscript"/>
              </w:rPr>
              <w:t>SMTC, i</w:t>
            </w:r>
            <w:r w:rsidRPr="00516255">
              <w:t>)</w:t>
            </w:r>
          </w:p>
        </w:tc>
      </w:tr>
      <w:tr w:rsidR="00516255" w:rsidRPr="00516255" w14:paraId="7770563E" w14:textId="77777777" w:rsidTr="00A4061E">
        <w:trPr>
          <w:jc w:val="center"/>
        </w:trPr>
        <w:tc>
          <w:tcPr>
            <w:tcW w:w="1696" w:type="dxa"/>
          </w:tcPr>
          <w:p w14:paraId="07D01D6B" w14:textId="77777777" w:rsidR="00516255" w:rsidRPr="00516255" w:rsidRDefault="00516255" w:rsidP="00EB3109">
            <w:pPr>
              <w:pStyle w:val="TAL"/>
              <w:rPr>
                <w:lang w:eastAsia="zh-CN"/>
              </w:rPr>
            </w:pPr>
            <w:r w:rsidRPr="00516255">
              <w:rPr>
                <w:rFonts w:cs="Arial"/>
              </w:rPr>
              <w:t xml:space="preserve">≥ </w:t>
            </w:r>
            <w:r w:rsidRPr="00516255">
              <w:t>-8</w:t>
            </w:r>
          </w:p>
        </w:tc>
        <w:tc>
          <w:tcPr>
            <w:tcW w:w="1701" w:type="dxa"/>
            <w:shd w:val="clear" w:color="auto" w:fill="auto"/>
          </w:tcPr>
          <w:p w14:paraId="56054845" w14:textId="77777777" w:rsidR="00516255" w:rsidRPr="00516255" w:rsidRDefault="00516255" w:rsidP="00EB3109">
            <w:pPr>
              <w:pStyle w:val="TAL"/>
            </w:pPr>
            <w:r w:rsidRPr="00516255">
              <w:t>FR2</w:t>
            </w:r>
          </w:p>
        </w:tc>
        <w:tc>
          <w:tcPr>
            <w:tcW w:w="2835" w:type="dxa"/>
            <w:shd w:val="clear" w:color="auto" w:fill="auto"/>
          </w:tcPr>
          <w:p w14:paraId="23B253F6" w14:textId="77777777" w:rsidR="00516255" w:rsidRPr="00516255" w:rsidRDefault="00516255" w:rsidP="00EB3109">
            <w:pPr>
              <w:pStyle w:val="TAC"/>
              <w:rPr>
                <w:lang w:eastAsia="zh-CN"/>
              </w:rPr>
            </w:pPr>
            <w:r w:rsidRPr="00516255">
              <w:rPr>
                <w:lang w:eastAsia="zh-CN"/>
              </w:rPr>
              <w:t>N/A</w:t>
            </w:r>
          </w:p>
        </w:tc>
        <w:tc>
          <w:tcPr>
            <w:tcW w:w="3411" w:type="dxa"/>
            <w:shd w:val="clear" w:color="auto" w:fill="auto"/>
          </w:tcPr>
          <w:p w14:paraId="0B4BD67E" w14:textId="77777777" w:rsidR="00516255" w:rsidRPr="00516255" w:rsidRDefault="00516255" w:rsidP="00EB3109">
            <w:pPr>
              <w:pStyle w:val="TAC"/>
            </w:pPr>
            <w:r w:rsidRPr="00516255">
              <w:t xml:space="preserve">MAX (8000 ms, </w:t>
            </w:r>
            <w:r w:rsidRPr="00516255">
              <w:rPr>
                <w:lang w:eastAsia="zh-CN"/>
              </w:rPr>
              <w:t xml:space="preserve">104 </w:t>
            </w:r>
            <w:r w:rsidRPr="00516255">
              <w:t>x T</w:t>
            </w:r>
            <w:r w:rsidRPr="00516255">
              <w:rPr>
                <w:vertAlign w:val="subscript"/>
              </w:rPr>
              <w:t>SMTC, i</w:t>
            </w:r>
            <w:r w:rsidRPr="00516255">
              <w:t>))</w:t>
            </w:r>
          </w:p>
        </w:tc>
      </w:tr>
      <w:tr w:rsidR="00516255" w:rsidRPr="00516255" w14:paraId="198F1BEC" w14:textId="77777777" w:rsidTr="00A4061E">
        <w:trPr>
          <w:jc w:val="center"/>
        </w:trPr>
        <w:tc>
          <w:tcPr>
            <w:tcW w:w="1696" w:type="dxa"/>
          </w:tcPr>
          <w:p w14:paraId="2BA98AC0" w14:textId="77777777" w:rsidR="00516255" w:rsidRPr="00516255" w:rsidRDefault="00516255" w:rsidP="00EB3109">
            <w:pPr>
              <w:pStyle w:val="TAL"/>
              <w:rPr>
                <w:lang w:eastAsia="zh-CN"/>
              </w:rPr>
            </w:pPr>
            <w:r w:rsidRPr="00516255">
              <w:t>&lt; -8</w:t>
            </w:r>
          </w:p>
        </w:tc>
        <w:tc>
          <w:tcPr>
            <w:tcW w:w="1701" w:type="dxa"/>
            <w:shd w:val="clear" w:color="auto" w:fill="auto"/>
          </w:tcPr>
          <w:p w14:paraId="223CB5E7" w14:textId="77777777" w:rsidR="00516255" w:rsidRPr="00516255" w:rsidRDefault="00516255" w:rsidP="00EB3109">
            <w:pPr>
              <w:pStyle w:val="TAL"/>
            </w:pPr>
            <w:r w:rsidRPr="00516255">
              <w:t>FR1</w:t>
            </w:r>
          </w:p>
        </w:tc>
        <w:tc>
          <w:tcPr>
            <w:tcW w:w="2835" w:type="dxa"/>
            <w:shd w:val="clear" w:color="auto" w:fill="auto"/>
          </w:tcPr>
          <w:p w14:paraId="0E1B23B5" w14:textId="77777777" w:rsidR="00516255" w:rsidRPr="00516255" w:rsidRDefault="00516255" w:rsidP="00EB3109">
            <w:pPr>
              <w:pStyle w:val="TAC"/>
              <w:rPr>
                <w:lang w:eastAsia="zh-CN"/>
              </w:rPr>
            </w:pPr>
            <w:r w:rsidRPr="00516255">
              <w:rPr>
                <w:lang w:eastAsia="zh-CN"/>
              </w:rPr>
              <w:t>N/A</w:t>
            </w:r>
          </w:p>
        </w:tc>
        <w:tc>
          <w:tcPr>
            <w:tcW w:w="3411" w:type="dxa"/>
            <w:shd w:val="clear" w:color="auto" w:fill="auto"/>
          </w:tcPr>
          <w:p w14:paraId="4235807D" w14:textId="77777777" w:rsidR="00516255" w:rsidRPr="00516255" w:rsidRDefault="00516255" w:rsidP="00EB3109">
            <w:pPr>
              <w:pStyle w:val="TAC"/>
            </w:pPr>
            <w:bookmarkStart w:id="8216" w:name="_Hlk521492632"/>
            <w:r w:rsidRPr="00516255">
              <w:t>6400</w:t>
            </w:r>
            <w:bookmarkEnd w:id="8216"/>
            <w:r w:rsidRPr="00516255">
              <w:rPr>
                <w:vertAlign w:val="superscript"/>
              </w:rPr>
              <w:t>Note1</w:t>
            </w:r>
          </w:p>
        </w:tc>
      </w:tr>
      <w:tr w:rsidR="00516255" w:rsidRPr="00516255" w14:paraId="777DC3CC" w14:textId="77777777" w:rsidTr="00A4061E">
        <w:trPr>
          <w:jc w:val="center"/>
        </w:trPr>
        <w:tc>
          <w:tcPr>
            <w:tcW w:w="1696" w:type="dxa"/>
          </w:tcPr>
          <w:p w14:paraId="222EDE6A" w14:textId="77777777" w:rsidR="00516255" w:rsidRPr="00516255" w:rsidRDefault="00516255" w:rsidP="00EB3109">
            <w:pPr>
              <w:pStyle w:val="TAL"/>
              <w:rPr>
                <w:lang w:eastAsia="zh-CN"/>
              </w:rPr>
            </w:pPr>
            <w:r w:rsidRPr="00516255">
              <w:t>&lt; -8</w:t>
            </w:r>
          </w:p>
        </w:tc>
        <w:tc>
          <w:tcPr>
            <w:tcW w:w="1701" w:type="dxa"/>
            <w:shd w:val="clear" w:color="auto" w:fill="auto"/>
          </w:tcPr>
          <w:p w14:paraId="7B174C64" w14:textId="77777777" w:rsidR="00516255" w:rsidRPr="00516255" w:rsidRDefault="00516255" w:rsidP="00EB3109">
            <w:pPr>
              <w:pStyle w:val="TAL"/>
            </w:pPr>
            <w:r w:rsidRPr="00516255">
              <w:t>FR2</w:t>
            </w:r>
          </w:p>
        </w:tc>
        <w:tc>
          <w:tcPr>
            <w:tcW w:w="2835" w:type="dxa"/>
            <w:shd w:val="clear" w:color="auto" w:fill="auto"/>
          </w:tcPr>
          <w:p w14:paraId="47DA87E5" w14:textId="77777777" w:rsidR="00516255" w:rsidRPr="00516255" w:rsidRDefault="00516255" w:rsidP="00EB3109">
            <w:pPr>
              <w:pStyle w:val="TAC"/>
              <w:rPr>
                <w:lang w:eastAsia="zh-CN"/>
              </w:rPr>
            </w:pPr>
            <w:r w:rsidRPr="00516255">
              <w:rPr>
                <w:lang w:eastAsia="zh-CN"/>
              </w:rPr>
              <w:t>N/A</w:t>
            </w:r>
          </w:p>
        </w:tc>
        <w:tc>
          <w:tcPr>
            <w:tcW w:w="3411" w:type="dxa"/>
            <w:shd w:val="clear" w:color="auto" w:fill="auto"/>
          </w:tcPr>
          <w:p w14:paraId="259C47DE" w14:textId="77777777" w:rsidR="00516255" w:rsidRPr="00516255" w:rsidRDefault="00516255" w:rsidP="00EB3109">
            <w:pPr>
              <w:pStyle w:val="TAC"/>
            </w:pPr>
            <w:r w:rsidRPr="00516255">
              <w:rPr>
                <w:lang w:val="sv-SE"/>
              </w:rPr>
              <w:t>32000</w:t>
            </w:r>
            <w:r w:rsidRPr="00516255">
              <w:rPr>
                <w:vertAlign w:val="superscript"/>
                <w:lang w:val="sv-SE"/>
              </w:rPr>
              <w:t>Note1</w:t>
            </w:r>
          </w:p>
        </w:tc>
      </w:tr>
      <w:tr w:rsidR="00516255" w:rsidRPr="00AC029D" w14:paraId="15FB1A18" w14:textId="77777777" w:rsidTr="00A4061E">
        <w:trPr>
          <w:jc w:val="center"/>
        </w:trPr>
        <w:tc>
          <w:tcPr>
            <w:tcW w:w="9643" w:type="dxa"/>
            <w:gridSpan w:val="4"/>
          </w:tcPr>
          <w:p w14:paraId="2ECD5322" w14:textId="77777777" w:rsidR="00516255" w:rsidRPr="00AC029D" w:rsidRDefault="00516255" w:rsidP="00EB3109">
            <w:pPr>
              <w:pStyle w:val="TAN"/>
            </w:pPr>
            <w:r w:rsidRPr="00516255">
              <w:t>Note 1:</w:t>
            </w:r>
            <w:r w:rsidRPr="00516255">
              <w:tab/>
              <w:t>The IAB-MT is not required to successfully identify a cell on any NR frequency layer when T</w:t>
            </w:r>
            <w:r w:rsidRPr="00516255">
              <w:rPr>
                <w:vertAlign w:val="subscript"/>
              </w:rPr>
              <w:t>SMTC,i</w:t>
            </w:r>
            <w:r w:rsidRPr="00516255">
              <w:t xml:space="preserve"> &gt;160 ms and serving cell SSB Ês/Iot &lt; -8 dB.</w:t>
            </w:r>
          </w:p>
        </w:tc>
      </w:tr>
    </w:tbl>
    <w:p w14:paraId="5D24BCEB" w14:textId="77777777" w:rsidR="00516255" w:rsidRDefault="00516255" w:rsidP="00516255">
      <w:pPr>
        <w:rPr>
          <w:rFonts w:eastAsia="SimSun" w:cs="v4.2.0"/>
        </w:rPr>
      </w:pPr>
    </w:p>
    <w:p w14:paraId="01FFF15C" w14:textId="4494D636" w:rsidR="00083A52" w:rsidRDefault="00083A52" w:rsidP="00AD2A23">
      <w:pPr>
        <w:pStyle w:val="Heading4"/>
      </w:pPr>
      <w:bookmarkStart w:id="8217" w:name="_Toc53185586"/>
      <w:bookmarkStart w:id="8218" w:name="_Toc53185962"/>
      <w:bookmarkStart w:id="8219" w:name="_Toc57820448"/>
      <w:bookmarkStart w:id="8220" w:name="_Toc57821375"/>
      <w:bookmarkStart w:id="8221" w:name="_Toc61183651"/>
      <w:bookmarkStart w:id="8222" w:name="_Toc61184045"/>
      <w:bookmarkStart w:id="8223" w:name="_Toc61184437"/>
      <w:bookmarkStart w:id="8224" w:name="_Toc61184829"/>
      <w:bookmarkStart w:id="8225" w:name="_Toc61185219"/>
      <w:bookmarkStart w:id="8226" w:name="_Toc66386564"/>
      <w:bookmarkStart w:id="8227" w:name="_Toc74583522"/>
      <w:bookmarkStart w:id="8228" w:name="_Toc76542335"/>
      <w:bookmarkStart w:id="8229" w:name="_Toc82450317"/>
      <w:bookmarkStart w:id="8230" w:name="_Toc82450965"/>
      <w:bookmarkStart w:id="8231" w:name="_Toc89949354"/>
      <w:bookmarkStart w:id="8232" w:name="_Toc98755743"/>
      <w:bookmarkStart w:id="8233" w:name="_Toc98763335"/>
      <w:bookmarkStart w:id="8234" w:name="_Toc106184264"/>
      <w:r>
        <w:t>12.1.</w:t>
      </w:r>
      <w:r w:rsidR="00B1470A">
        <w:t>1.</w:t>
      </w:r>
      <w:r>
        <w:t>2</w:t>
      </w:r>
      <w:r w:rsidR="00EB3109">
        <w:tab/>
      </w:r>
      <w:r>
        <w:t>Random access</w:t>
      </w:r>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p>
    <w:p w14:paraId="23A2F9AB" w14:textId="2BAE5DAD" w:rsidR="00EB3109" w:rsidRPr="00C70CE9" w:rsidRDefault="00EB3109" w:rsidP="00EB3109">
      <w:pPr>
        <w:rPr>
          <w:rFonts w:cs="v4.2.0"/>
        </w:rPr>
      </w:pPr>
      <w:bookmarkStart w:id="8235" w:name="_Toc53185587"/>
      <w:bookmarkStart w:id="8236" w:name="_Toc53185963"/>
      <w:r w:rsidRPr="00C70CE9">
        <w:rPr>
          <w:rFonts w:cs="v4.2.0"/>
        </w:rPr>
        <w:t>The requirements in clause 6.2.2 in TS 38.133 [6] apply for IAB-MT.</w:t>
      </w:r>
    </w:p>
    <w:p w14:paraId="248C4F9C" w14:textId="0390EAD3" w:rsidR="00083A52" w:rsidRPr="00935D1A" w:rsidRDefault="00083A52" w:rsidP="00EB3109">
      <w:pPr>
        <w:pStyle w:val="Heading4"/>
      </w:pPr>
      <w:bookmarkStart w:id="8237" w:name="_Toc57820449"/>
      <w:bookmarkStart w:id="8238" w:name="_Toc57821376"/>
      <w:bookmarkStart w:id="8239" w:name="_Toc61183652"/>
      <w:bookmarkStart w:id="8240" w:name="_Toc61184046"/>
      <w:bookmarkStart w:id="8241" w:name="_Toc61184438"/>
      <w:bookmarkStart w:id="8242" w:name="_Toc61184830"/>
      <w:bookmarkStart w:id="8243" w:name="_Toc61185220"/>
      <w:bookmarkStart w:id="8244" w:name="_Toc66386565"/>
      <w:bookmarkStart w:id="8245" w:name="_Toc74583523"/>
      <w:bookmarkStart w:id="8246" w:name="_Toc76542336"/>
      <w:bookmarkStart w:id="8247" w:name="_Toc82450318"/>
      <w:bookmarkStart w:id="8248" w:name="_Toc82450966"/>
      <w:bookmarkStart w:id="8249" w:name="_Toc89949355"/>
      <w:bookmarkStart w:id="8250" w:name="_Toc98755744"/>
      <w:bookmarkStart w:id="8251" w:name="_Toc98763336"/>
      <w:bookmarkStart w:id="8252" w:name="_Toc106184265"/>
      <w:r>
        <w:lastRenderedPageBreak/>
        <w:t>12.1.</w:t>
      </w:r>
      <w:r w:rsidR="00B1470A">
        <w:t>1.</w:t>
      </w:r>
      <w:r>
        <w:t>3</w:t>
      </w:r>
      <w:r w:rsidR="00EB3109">
        <w:tab/>
      </w:r>
      <w:r>
        <w:t>SA: RRC Connection Release with Redirection</w:t>
      </w:r>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p>
    <w:p w14:paraId="7B11036B" w14:textId="798FF48D" w:rsidR="009C39E1" w:rsidRDefault="009C39E1" w:rsidP="00DF4A07">
      <w:pPr>
        <w:pStyle w:val="Heading5"/>
        <w:ind w:left="0" w:firstLine="0"/>
      </w:pPr>
      <w:bookmarkStart w:id="8253" w:name="_Toc53185588"/>
      <w:bookmarkStart w:id="8254" w:name="_Toc53185964"/>
      <w:bookmarkStart w:id="8255" w:name="_Toc57820450"/>
      <w:bookmarkStart w:id="8256" w:name="_Toc57821377"/>
      <w:bookmarkStart w:id="8257" w:name="_Toc61183653"/>
      <w:bookmarkStart w:id="8258" w:name="_Toc61184047"/>
      <w:bookmarkStart w:id="8259" w:name="_Toc61184439"/>
      <w:bookmarkStart w:id="8260" w:name="_Toc61184831"/>
      <w:bookmarkStart w:id="8261" w:name="_Toc61185221"/>
      <w:bookmarkStart w:id="8262" w:name="_Toc66386566"/>
      <w:bookmarkStart w:id="8263" w:name="_Toc74583524"/>
      <w:bookmarkStart w:id="8264" w:name="_Toc76542337"/>
      <w:bookmarkStart w:id="8265" w:name="_Toc82450319"/>
      <w:bookmarkStart w:id="8266" w:name="_Toc82450967"/>
      <w:bookmarkStart w:id="8267" w:name="_Toc89949356"/>
      <w:bookmarkStart w:id="8268" w:name="_Toc98755745"/>
      <w:bookmarkStart w:id="8269" w:name="_Toc98763337"/>
      <w:bookmarkStart w:id="8270" w:name="_Toc106184266"/>
      <w:r>
        <w:t>12.1.1.3.1</w:t>
      </w:r>
      <w:r w:rsidR="00EB3109">
        <w:tab/>
      </w:r>
      <w:r w:rsidR="006D0A2E">
        <w:t>Introduction</w:t>
      </w:r>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p>
    <w:p w14:paraId="56AFA4F0" w14:textId="2D331F18" w:rsidR="00576097" w:rsidRPr="00EB3109" w:rsidRDefault="00013F59" w:rsidP="00357409">
      <w:pPr>
        <w:rPr>
          <w:lang w:val="en-US" w:eastAsia="zh-CN"/>
        </w:rPr>
      </w:pPr>
      <w:r w:rsidRPr="00885F53">
        <w:rPr>
          <w:lang w:val="en-US" w:eastAsia="zh-CN"/>
        </w:rPr>
        <w:t xml:space="preserve">This clause contains requirements on the </w:t>
      </w:r>
      <w:r>
        <w:rPr>
          <w:lang w:val="en-US" w:eastAsia="zh-CN"/>
        </w:rPr>
        <w:t>IAB-MT</w:t>
      </w:r>
      <w:r w:rsidRPr="00885F53">
        <w:rPr>
          <w:lang w:val="en-US" w:eastAsia="zh-CN"/>
        </w:rPr>
        <w:t xml:space="preserve"> regarding RRC connection release with redirection procedure. RRC connection release with redirection is initiated by the </w:t>
      </w:r>
      <w:r w:rsidRPr="00885F53">
        <w:rPr>
          <w:rFonts w:hint="eastAsia"/>
          <w:i/>
          <w:lang w:val="en-US" w:eastAsia="zh-CN"/>
        </w:rPr>
        <w:t>RRCRelease</w:t>
      </w:r>
      <w:r w:rsidRPr="00885F53">
        <w:rPr>
          <w:lang w:val="en-US" w:eastAsia="zh-CN"/>
        </w:rPr>
        <w:t xml:space="preserve"> message with redirection to NR from NR specified in TS 38.331 [</w:t>
      </w:r>
      <w:r w:rsidR="00B51EF6">
        <w:rPr>
          <w:lang w:val="en-US" w:eastAsia="zh-CN"/>
        </w:rPr>
        <w:t>15</w:t>
      </w:r>
      <w:r w:rsidRPr="00885F53">
        <w:rPr>
          <w:lang w:val="en-US" w:eastAsia="zh-CN"/>
        </w:rPr>
        <w:t xml:space="preserve">]. The RRC connection release with redirection procedure is specified in clause </w:t>
      </w:r>
      <w:r w:rsidR="00540668">
        <w:rPr>
          <w:lang w:val="en-US" w:eastAsia="zh-CN"/>
        </w:rPr>
        <w:t xml:space="preserve">5.3.8 </w:t>
      </w:r>
      <w:r w:rsidRPr="00885F53">
        <w:rPr>
          <w:lang w:val="en-US" w:eastAsia="zh-CN"/>
        </w:rPr>
        <w:t>of TS 38.331 [</w:t>
      </w:r>
      <w:r w:rsidR="00B51EF6">
        <w:rPr>
          <w:lang w:val="en-US" w:eastAsia="zh-CN"/>
        </w:rPr>
        <w:t>15</w:t>
      </w:r>
      <w:r w:rsidRPr="00885F53">
        <w:rPr>
          <w:lang w:val="en-US" w:eastAsia="zh-CN"/>
        </w:rPr>
        <w:t>].</w:t>
      </w:r>
    </w:p>
    <w:p w14:paraId="110134CF" w14:textId="08B362D8" w:rsidR="00013F59" w:rsidRPr="00013F59" w:rsidRDefault="00013F59" w:rsidP="00EB3109">
      <w:pPr>
        <w:pStyle w:val="Heading5"/>
      </w:pPr>
      <w:bookmarkStart w:id="8271" w:name="_Toc53185589"/>
      <w:bookmarkStart w:id="8272" w:name="_Toc53185965"/>
      <w:bookmarkStart w:id="8273" w:name="_Toc57820451"/>
      <w:bookmarkStart w:id="8274" w:name="_Toc57821378"/>
      <w:bookmarkStart w:id="8275" w:name="_Toc61183654"/>
      <w:bookmarkStart w:id="8276" w:name="_Toc61184048"/>
      <w:bookmarkStart w:id="8277" w:name="_Toc61184440"/>
      <w:bookmarkStart w:id="8278" w:name="_Toc61184832"/>
      <w:bookmarkStart w:id="8279" w:name="_Toc61185222"/>
      <w:bookmarkStart w:id="8280" w:name="_Toc66386567"/>
      <w:bookmarkStart w:id="8281" w:name="_Toc74583525"/>
      <w:bookmarkStart w:id="8282" w:name="_Toc76542338"/>
      <w:bookmarkStart w:id="8283" w:name="_Toc82450320"/>
      <w:bookmarkStart w:id="8284" w:name="_Toc82450968"/>
      <w:bookmarkStart w:id="8285" w:name="_Toc89949357"/>
      <w:bookmarkStart w:id="8286" w:name="_Toc98755746"/>
      <w:bookmarkStart w:id="8287" w:name="_Toc98763338"/>
      <w:bookmarkStart w:id="8288" w:name="_Toc106184267"/>
      <w:r>
        <w:t>12.1.1.3.2</w:t>
      </w:r>
      <w:r w:rsidR="00EB3109">
        <w:tab/>
      </w:r>
      <w:r>
        <w:t>Requirements</w:t>
      </w:r>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p>
    <w:p w14:paraId="4298F572" w14:textId="09DD1916" w:rsidR="00013F59" w:rsidRDefault="00013F59" w:rsidP="00013F59">
      <w:pPr>
        <w:pStyle w:val="Heading6"/>
      </w:pPr>
      <w:bookmarkStart w:id="8289" w:name="_Toc53185590"/>
      <w:bookmarkStart w:id="8290" w:name="_Toc53185966"/>
      <w:bookmarkStart w:id="8291" w:name="_Toc57820452"/>
      <w:bookmarkStart w:id="8292" w:name="_Toc57821379"/>
      <w:bookmarkStart w:id="8293" w:name="_Toc61183655"/>
      <w:bookmarkStart w:id="8294" w:name="_Toc61184049"/>
      <w:bookmarkStart w:id="8295" w:name="_Toc61184441"/>
      <w:bookmarkStart w:id="8296" w:name="_Toc61184833"/>
      <w:bookmarkStart w:id="8297" w:name="_Toc61185223"/>
      <w:bookmarkStart w:id="8298" w:name="_Toc66386568"/>
      <w:bookmarkStart w:id="8299" w:name="_Toc74583526"/>
      <w:bookmarkStart w:id="8300" w:name="_Toc76542339"/>
      <w:bookmarkStart w:id="8301" w:name="_Toc82450321"/>
      <w:bookmarkStart w:id="8302" w:name="_Toc82450969"/>
      <w:bookmarkStart w:id="8303" w:name="_Toc89949358"/>
      <w:bookmarkStart w:id="8304" w:name="_Toc98755747"/>
      <w:bookmarkStart w:id="8305" w:name="_Toc98763339"/>
      <w:bookmarkStart w:id="8306" w:name="_Toc106184268"/>
      <w:r>
        <w:t>12.1.1.3.2.1</w:t>
      </w:r>
      <w:r w:rsidR="00EB3109">
        <w:tab/>
      </w:r>
      <w:r>
        <w:t>RRC connec</w:t>
      </w:r>
      <w:r w:rsidR="001C4F05">
        <w:t>tion release with redirection to NR</w:t>
      </w:r>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p>
    <w:p w14:paraId="207DF676" w14:textId="77777777" w:rsidR="004A33A8" w:rsidRPr="00A0597B" w:rsidRDefault="004A33A8" w:rsidP="004A33A8">
      <w:r w:rsidRPr="00A0597B">
        <w:t xml:space="preserve">The </w:t>
      </w:r>
      <w:r>
        <w:t>IAB-MT</w:t>
      </w:r>
      <w:r w:rsidRPr="00A0597B">
        <w:t xml:space="preserve"> shall be capable of performing the RRC connection release with redirection to the target NR cell within T</w:t>
      </w:r>
      <w:r w:rsidRPr="00A0597B">
        <w:rPr>
          <w:vertAlign w:val="subscript"/>
        </w:rPr>
        <w:t>connection_release_redirect_NR</w:t>
      </w:r>
      <w:r w:rsidRPr="00A0597B">
        <w:t>.</w:t>
      </w:r>
    </w:p>
    <w:p w14:paraId="1B64C1C5" w14:textId="7A51CD25" w:rsidR="004A33A8" w:rsidRPr="00A0597B" w:rsidRDefault="004A33A8" w:rsidP="004A33A8">
      <w:r w:rsidRPr="00A0597B">
        <w:t>The time delay (T</w:t>
      </w:r>
      <w:r w:rsidRPr="00A0597B">
        <w:rPr>
          <w:vertAlign w:val="subscript"/>
        </w:rPr>
        <w:t>connection_release_redirect_NR</w:t>
      </w:r>
      <w:r w:rsidRPr="00A0597B">
        <w:t>) is the time between the end of the last slot containing the RRC command, “</w:t>
      </w:r>
      <w:r w:rsidRPr="00A0597B">
        <w:rPr>
          <w:i/>
        </w:rPr>
        <w:t>RRCRelease</w:t>
      </w:r>
      <w:r w:rsidRPr="00A0597B">
        <w:t>” (TS 38.331 [</w:t>
      </w:r>
      <w:r w:rsidR="00B729A5">
        <w:t>15</w:t>
      </w:r>
      <w:r w:rsidRPr="00A0597B">
        <w:t xml:space="preserve">]) on the NR PDSCH and the time the </w:t>
      </w:r>
      <w:r>
        <w:t>IAB-MT</w:t>
      </w:r>
      <w:r w:rsidRPr="00A0597B">
        <w:t xml:space="preserve"> starts to send random access to the target NR cell. The time delay (T</w:t>
      </w:r>
      <w:r w:rsidRPr="00A0597B">
        <w:rPr>
          <w:vertAlign w:val="subscript"/>
        </w:rPr>
        <w:t>connection_release_redirect_NR</w:t>
      </w:r>
      <w:r w:rsidRPr="00A0597B">
        <w:t>) shall be less than:</w:t>
      </w:r>
    </w:p>
    <w:p w14:paraId="036A5F30" w14:textId="77777777" w:rsidR="004A33A8" w:rsidRPr="00A0597B" w:rsidRDefault="004A33A8" w:rsidP="004A33A8">
      <w:pPr>
        <w:pStyle w:val="EQ"/>
        <w:rPr>
          <w:vertAlign w:val="subscript"/>
        </w:rPr>
      </w:pPr>
      <w:r w:rsidRPr="00A0597B">
        <w:tab/>
        <w:t>T</w:t>
      </w:r>
      <w:r w:rsidRPr="00A0597B">
        <w:rPr>
          <w:vertAlign w:val="subscript"/>
        </w:rPr>
        <w:t>connection_release_redirect_NR</w:t>
      </w:r>
      <w:r w:rsidRPr="00A0597B">
        <w:t xml:space="preserve"> = T</w:t>
      </w:r>
      <w:r w:rsidRPr="00A0597B">
        <w:rPr>
          <w:vertAlign w:val="subscript"/>
        </w:rPr>
        <w:t xml:space="preserve">RRC_procedure_delay </w:t>
      </w:r>
      <w:r w:rsidRPr="00A0597B">
        <w:t>+ T</w:t>
      </w:r>
      <w:r w:rsidRPr="00A0597B">
        <w:rPr>
          <w:vertAlign w:val="subscript"/>
        </w:rPr>
        <w:t xml:space="preserve">identify-NR </w:t>
      </w:r>
      <w:r w:rsidRPr="00A0597B">
        <w:t>+ T</w:t>
      </w:r>
      <w:r w:rsidRPr="00A0597B">
        <w:rPr>
          <w:vertAlign w:val="subscript"/>
        </w:rPr>
        <w:t xml:space="preserve">SI-NR </w:t>
      </w:r>
      <w:r w:rsidRPr="00A0597B">
        <w:t>+ T</w:t>
      </w:r>
      <w:r w:rsidRPr="00A0597B">
        <w:rPr>
          <w:vertAlign w:val="subscript"/>
        </w:rPr>
        <w:t>RACH</w:t>
      </w:r>
    </w:p>
    <w:p w14:paraId="22B5E41F" w14:textId="77777777" w:rsidR="009F2BA2" w:rsidRPr="001A00BA" w:rsidRDefault="009F2BA2" w:rsidP="009F2BA2">
      <w:r w:rsidRPr="001A00BA">
        <w:t>The target NR cell shall be considered detetable when for each relevant SSB, the side conditions should be met that,</w:t>
      </w:r>
    </w:p>
    <w:p w14:paraId="36FD4CCF" w14:textId="2CCDC0A6" w:rsidR="009F2BA2" w:rsidRPr="001A00BA" w:rsidRDefault="009F2BA2" w:rsidP="009F2BA2">
      <w:pPr>
        <w:pStyle w:val="B10"/>
        <w:rPr>
          <w:lang w:val="en-US" w:eastAsia="ko-KR"/>
        </w:rPr>
      </w:pPr>
      <w:r>
        <w:rPr>
          <w:rFonts w:eastAsia="DengXian"/>
          <w:lang w:val="en-US" w:eastAsia="zh-CN"/>
        </w:rPr>
        <w:t>-</w:t>
      </w:r>
      <w:r>
        <w:rPr>
          <w:rFonts w:eastAsia="DengXian"/>
          <w:lang w:val="en-US" w:eastAsia="zh-CN"/>
        </w:rPr>
        <w:tab/>
      </w:r>
      <w:r w:rsidRPr="001A00BA">
        <w:rPr>
          <w:rFonts w:eastAsia="DengXian"/>
          <w:lang w:val="en-US" w:eastAsia="zh-CN"/>
        </w:rPr>
        <w:t xml:space="preserve">the conditions of </w:t>
      </w:r>
      <w:r w:rsidRPr="001A00BA">
        <w:rPr>
          <w:lang w:val="en-US" w:eastAsia="ko-KR"/>
        </w:rPr>
        <w:t xml:space="preserve">SSB_RP and SSB </w:t>
      </w:r>
      <w:r w:rsidRPr="001A00BA">
        <w:rPr>
          <w:lang w:val="en-US"/>
        </w:rPr>
        <w:t>Ês/Iot</w:t>
      </w:r>
      <w:r w:rsidRPr="001A00BA">
        <w:rPr>
          <w:lang w:val="en-US" w:eastAsia="ko-KR"/>
        </w:rPr>
        <w:t xml:space="preserve"> according to Annex </w:t>
      </w:r>
      <w:r>
        <w:rPr>
          <w:lang w:val="en-US" w:eastAsia="ko-KR"/>
        </w:rPr>
        <w:t>H.1.1.3</w:t>
      </w:r>
      <w:r w:rsidRPr="001A00BA">
        <w:rPr>
          <w:lang w:val="en-US" w:eastAsia="ko-KR"/>
        </w:rPr>
        <w:t xml:space="preserve"> for a corresponding </w:t>
      </w:r>
      <w:r>
        <w:rPr>
          <w:lang w:val="en-US" w:eastAsia="ko-KR"/>
        </w:rPr>
        <w:t>IAB-MT class and IAB type</w:t>
      </w:r>
      <w:r w:rsidRPr="001A00BA">
        <w:rPr>
          <w:rFonts w:eastAsia="DengXian"/>
          <w:lang w:val="en-US" w:eastAsia="zh-CN"/>
        </w:rPr>
        <w:t xml:space="preserve"> are fulfilled</w:t>
      </w:r>
      <w:r w:rsidRPr="001A00BA">
        <w:rPr>
          <w:lang w:val="en-US" w:eastAsia="ko-KR"/>
        </w:rPr>
        <w:t>.</w:t>
      </w:r>
      <w:r w:rsidRPr="001A00BA" w:rsidDel="002216F6">
        <w:rPr>
          <w:lang w:val="en-US" w:eastAsia="ko-KR"/>
        </w:rPr>
        <w:t xml:space="preserve"> </w:t>
      </w:r>
    </w:p>
    <w:p w14:paraId="2E7868FB" w14:textId="77777777" w:rsidR="009F2BA2" w:rsidRPr="001A00BA" w:rsidRDefault="009F2BA2" w:rsidP="009F2BA2">
      <w:r w:rsidRPr="001A00BA">
        <w:t>T</w:t>
      </w:r>
      <w:r w:rsidRPr="001A00BA">
        <w:rPr>
          <w:vertAlign w:val="subscript"/>
        </w:rPr>
        <w:t>RRC_procedure_delay</w:t>
      </w:r>
      <w:r w:rsidRPr="001A00BA">
        <w:t>: It is the RRC procedure delay for processing the received message “</w:t>
      </w:r>
      <w:r w:rsidRPr="001A00BA">
        <w:rPr>
          <w:i/>
        </w:rPr>
        <w:t>RRCRelease</w:t>
      </w:r>
      <w:r w:rsidRPr="001A00BA">
        <w:t>” as defined in clause 6.2.2 of TS 38.331 [15].</w:t>
      </w:r>
    </w:p>
    <w:p w14:paraId="2A499DD9" w14:textId="77777777" w:rsidR="004A33A8" w:rsidRPr="00A0597B" w:rsidRDefault="004A33A8" w:rsidP="004A33A8">
      <w:r w:rsidRPr="00A0597B">
        <w:t>T</w:t>
      </w:r>
      <w:r w:rsidRPr="00A0597B">
        <w:rPr>
          <w:vertAlign w:val="subscript"/>
        </w:rPr>
        <w:t>identify-NR</w:t>
      </w:r>
      <w:r w:rsidRPr="00A0597B">
        <w:t xml:space="preserve">: It is the time to identify the target NR cell and depends on the frequency range (FR) of the target NR cell. It is defined in </w:t>
      </w:r>
      <w:r w:rsidRPr="00A0597B">
        <w:rPr>
          <w:lang w:eastAsia="zh-CN"/>
        </w:rPr>
        <w:t>T</w:t>
      </w:r>
      <w:r w:rsidRPr="00A0597B">
        <w:t xml:space="preserve">able </w:t>
      </w:r>
      <w:r>
        <w:t>12</w:t>
      </w:r>
      <w:r w:rsidRPr="00A0597B">
        <w:t>.</w:t>
      </w:r>
      <w:r>
        <w:t>1</w:t>
      </w:r>
      <w:r w:rsidRPr="00A0597B">
        <w:t>.</w:t>
      </w:r>
      <w:r>
        <w:t>1</w:t>
      </w:r>
      <w:r w:rsidRPr="00A0597B">
        <w:t>.</w:t>
      </w:r>
      <w:r>
        <w:t>3</w:t>
      </w:r>
      <w:r w:rsidRPr="00A0597B">
        <w:t>.</w:t>
      </w:r>
      <w:r>
        <w:t>2</w:t>
      </w:r>
      <w:r w:rsidRPr="00A0597B">
        <w:t>-1. Note that T</w:t>
      </w:r>
      <w:r w:rsidRPr="00A0597B">
        <w:rPr>
          <w:vertAlign w:val="subscript"/>
        </w:rPr>
        <w:t>identify-NR</w:t>
      </w:r>
      <w:r w:rsidRPr="00A0597B">
        <w:t xml:space="preserve"> = T</w:t>
      </w:r>
      <w:r w:rsidRPr="00A0597B">
        <w:rPr>
          <w:vertAlign w:val="subscript"/>
        </w:rPr>
        <w:t>PSS/SSS-sync</w:t>
      </w:r>
      <w:r w:rsidRPr="00A0597B">
        <w:t xml:space="preserve"> + T</w:t>
      </w:r>
      <w:r w:rsidRPr="00A0597B">
        <w:rPr>
          <w:vertAlign w:val="subscript"/>
        </w:rPr>
        <w:t>meas</w:t>
      </w:r>
      <w:r w:rsidRPr="00A0597B">
        <w:t>, in which T</w:t>
      </w:r>
      <w:r w:rsidRPr="00A0597B">
        <w:rPr>
          <w:vertAlign w:val="subscript"/>
        </w:rPr>
        <w:t>PSS/SSS-sync</w:t>
      </w:r>
      <w:r w:rsidRPr="00A0597B">
        <w:t xml:space="preserve"> is the cell search time and T</w:t>
      </w:r>
      <w:r w:rsidRPr="00A0597B">
        <w:rPr>
          <w:vertAlign w:val="subscript"/>
        </w:rPr>
        <w:t>meas</w:t>
      </w:r>
      <w:r w:rsidRPr="00A0597B">
        <w:t xml:space="preserve"> is the measurement time due to cell selection criteria evaluation.</w:t>
      </w:r>
    </w:p>
    <w:p w14:paraId="6348A5D0" w14:textId="69ACE95A" w:rsidR="004A33A8" w:rsidRPr="00A0597B" w:rsidRDefault="004A33A8" w:rsidP="004A33A8">
      <w:r w:rsidRPr="00A0597B">
        <w:t>T</w:t>
      </w:r>
      <w:r w:rsidRPr="00A0597B">
        <w:rPr>
          <w:vertAlign w:val="subscript"/>
        </w:rPr>
        <w:t>SI-NR</w:t>
      </w:r>
      <w:r w:rsidRPr="00A0597B">
        <w:t xml:space="preserve">: It is the time required for acquiring all the relevant system information of the target NR cell. This time depends upon whether the </w:t>
      </w:r>
      <w:r>
        <w:t>IAB-MT</w:t>
      </w:r>
      <w:r w:rsidRPr="00A0597B">
        <w:t xml:space="preserve"> is provided with the relevant system information of the target NR cell or not by the old NR cell before the RRC connection is released. </w:t>
      </w:r>
      <w:bookmarkStart w:id="8307" w:name="_Hlk514061496"/>
    </w:p>
    <w:p w14:paraId="750E1438" w14:textId="1361BC54" w:rsidR="004A33A8" w:rsidRPr="00A0597B" w:rsidRDefault="004A33A8" w:rsidP="004A33A8">
      <w:pPr>
        <w:rPr>
          <w:rFonts w:eastAsia="Malgun Gothic"/>
        </w:rPr>
      </w:pPr>
      <w:r w:rsidRPr="00A0597B">
        <w:t>T</w:t>
      </w:r>
      <w:r w:rsidRPr="00A0597B">
        <w:rPr>
          <w:vertAlign w:val="subscript"/>
        </w:rPr>
        <w:t>RACH</w:t>
      </w:r>
      <w:r w:rsidRPr="00A0597B">
        <w:rPr>
          <w:vertAlign w:val="subscript"/>
          <w:lang w:eastAsia="zh-CN"/>
        </w:rPr>
        <w:t xml:space="preserve">: </w:t>
      </w:r>
      <w:r w:rsidRPr="00A0597B">
        <w:t>It is the delay uncertainty in acquiring the first available PRACH occasion in the target NR cell. T</w:t>
      </w:r>
      <w:r w:rsidRPr="00A0597B">
        <w:rPr>
          <w:vertAlign w:val="subscript"/>
        </w:rPr>
        <w:t>RACH</w:t>
      </w:r>
      <w:r w:rsidRPr="00A0597B">
        <w:t xml:space="preserve"> can be up to the summation of SSB to PRACH occasion association period and 10 ms. SSB to PRACH occasion associated period is defined in </w:t>
      </w:r>
      <w:r>
        <w:t>clause 14</w:t>
      </w:r>
      <w:r w:rsidRPr="00A0597B">
        <w:t xml:space="preserve"> of TS 38.213 [</w:t>
      </w:r>
      <w:r w:rsidR="00954C1E">
        <w:t>10</w:t>
      </w:r>
      <w:r w:rsidRPr="00A0597B">
        <w:t>].</w:t>
      </w:r>
    </w:p>
    <w:p w14:paraId="5806AF3A" w14:textId="7D336E9D" w:rsidR="004A33A8" w:rsidRPr="00131C75" w:rsidRDefault="004A33A8" w:rsidP="00131C75">
      <w:r w:rsidRPr="00A0597B">
        <w:t>T</w:t>
      </w:r>
      <w:r w:rsidRPr="00A0597B">
        <w:rPr>
          <w:vertAlign w:val="subscript"/>
        </w:rPr>
        <w:t>rs</w:t>
      </w:r>
      <w:r w:rsidRPr="00A0597B">
        <w:t xml:space="preserve"> is the SMTC periodicity of the target NR cell if the </w:t>
      </w:r>
      <w:r>
        <w:t>IAB-MT</w:t>
      </w:r>
      <w:r w:rsidRPr="00A0597B">
        <w:t xml:space="preserve"> has been provided with an SMTC configuration for the target cell in the redirection command, otherwise T</w:t>
      </w:r>
      <w:r w:rsidRPr="00A0597B">
        <w:rPr>
          <w:vertAlign w:val="subscript"/>
        </w:rPr>
        <w:t>rs</w:t>
      </w:r>
      <w:r w:rsidRPr="00A0597B">
        <w:t xml:space="preserve"> is the SMTC periodicity configured in the </w:t>
      </w:r>
      <w:r w:rsidRPr="00A0597B">
        <w:rPr>
          <w:i/>
        </w:rPr>
        <w:t>measObjectNR</w:t>
      </w:r>
      <w:r w:rsidRPr="00A0597B">
        <w:t xml:space="preserve"> having the same SSB frequency and subcarrier spacing configured for the RRC connection release with redirection. </w:t>
      </w:r>
      <w:r w:rsidR="00B334F7" w:rsidRPr="002E58A9">
        <w:t xml:space="preserve">If the IAB-MT is not capable of 4 SMTC configurations per frequency [15], then the requirements shall apply provided that the IAB-MT is configured with only one SMTC configuration on carrier configured configured for RRC connection release with redirection. If the IAB-MT has been provided with higher layer signaling of </w:t>
      </w:r>
      <w:r w:rsidR="00B334F7" w:rsidRPr="002E58A9">
        <w:rPr>
          <w:i/>
        </w:rPr>
        <w:t>smtcj</w:t>
      </w:r>
      <w:r w:rsidR="00B334F7" w:rsidRPr="002E58A9">
        <w:t>, where 1≤</w:t>
      </w:r>
      <w:r w:rsidR="00B334F7" w:rsidRPr="002E58A9">
        <w:rPr>
          <w:i/>
          <w:iCs/>
        </w:rPr>
        <w:t>j</w:t>
      </w:r>
      <w:r w:rsidR="00B334F7" w:rsidRPr="002E58A9">
        <w:t>≤4 [15] and is also capable of 4 SMTC configurations per frequency [15], then T</w:t>
      </w:r>
      <w:r w:rsidR="00B334F7" w:rsidRPr="002E58A9">
        <w:rPr>
          <w:vertAlign w:val="subscript"/>
        </w:rPr>
        <w:t>smtc</w:t>
      </w:r>
      <w:r w:rsidR="00B334F7" w:rsidRPr="002E58A9">
        <w:t xml:space="preserve"> follows </w:t>
      </w:r>
      <w:r w:rsidR="00B334F7" w:rsidRPr="002E58A9">
        <w:rPr>
          <w:i/>
        </w:rPr>
        <w:t>smtcj</w:t>
      </w:r>
      <w:r w:rsidR="00B334F7" w:rsidRPr="002E58A9">
        <w:t xml:space="preserve"> according</w:t>
      </w:r>
      <w:r w:rsidR="00B334F7" w:rsidRPr="00885F53">
        <w:t xml:space="preserve"> to the physical cell ID of the target cell</w:t>
      </w:r>
      <w:r w:rsidR="00B334F7">
        <w:t xml:space="preserve">. </w:t>
      </w:r>
      <w:r w:rsidRPr="00A0597B">
        <w:t xml:space="preserve">If the </w:t>
      </w:r>
      <w:r>
        <w:t>IAB-MT</w:t>
      </w:r>
      <w:r w:rsidRPr="00A0597B">
        <w:t xml:space="preserve"> is not provided with SMTC configuration or measurement object for the frequency which is also configured for the RRC connection release with redirection then</w:t>
      </w:r>
      <w:r w:rsidR="00131C75">
        <w:t xml:space="preserve"> </w:t>
      </w:r>
      <w:r w:rsidRPr="0096616C">
        <w:t>the requirement in this clause is applied with T</w:t>
      </w:r>
      <w:r w:rsidRPr="0096616C">
        <w:rPr>
          <w:vertAlign w:val="subscript"/>
        </w:rPr>
        <w:t>rs</w:t>
      </w:r>
      <w:r w:rsidRPr="0096616C">
        <w:t> = 16</w:t>
      </w:r>
      <w:r w:rsidRPr="00131C75">
        <w:t xml:space="preserve">0 ms </w:t>
      </w:r>
      <w:r w:rsidRPr="00131C75">
        <w:rPr>
          <w:lang w:eastAsia="zh-CN"/>
        </w:rPr>
        <w:t>if</w:t>
      </w:r>
      <w:r w:rsidRPr="00131C75">
        <w:t xml:space="preserve"> the SSB transmission periodicity is not larger than 160 ms</w:t>
      </w:r>
      <w:r w:rsidR="0096616C" w:rsidRPr="00131C75">
        <w:rPr>
          <w:lang w:eastAsia="zh-CN"/>
        </w:rPr>
        <w:t>.</w:t>
      </w:r>
      <w:r w:rsidRPr="00131C75">
        <w:t xml:space="preserve"> </w:t>
      </w:r>
    </w:p>
    <w:p w14:paraId="137D3451" w14:textId="7E7F0668" w:rsidR="004A33A8" w:rsidRPr="00A0597B" w:rsidRDefault="00C60E58" w:rsidP="00C60E58">
      <w:pPr>
        <w:pStyle w:val="B10"/>
        <w:rPr>
          <w:lang w:eastAsia="ko-KR"/>
        </w:rPr>
      </w:pPr>
      <w:r>
        <w:t>-</w:t>
      </w:r>
      <w:r>
        <w:tab/>
      </w:r>
      <w:r w:rsidR="0014104B">
        <w:t>T</w:t>
      </w:r>
      <w:r w:rsidR="004A33A8" w:rsidRPr="00A0597B">
        <w:t xml:space="preserve">here is no requirement if the SSB transmission periodicity is larger than </w:t>
      </w:r>
      <w:r w:rsidR="004A33A8">
        <w:t>16</w:t>
      </w:r>
      <w:r w:rsidR="004A33A8" w:rsidRPr="00A0597B">
        <w:t>0ms</w:t>
      </w:r>
      <w:r w:rsidR="004A33A8" w:rsidRPr="00A0597B">
        <w:rPr>
          <w:lang w:eastAsia="ko-KR"/>
        </w:rPr>
        <w:t xml:space="preserve">. </w:t>
      </w:r>
    </w:p>
    <w:bookmarkEnd w:id="8307"/>
    <w:p w14:paraId="454CBEA6" w14:textId="77777777" w:rsidR="004A33A8" w:rsidRPr="00885F53" w:rsidRDefault="004A33A8" w:rsidP="004A33A8">
      <w:pPr>
        <w:pStyle w:val="TH"/>
        <w:spacing w:after="120"/>
        <w:jc w:val="left"/>
      </w:pPr>
      <w:r w:rsidRPr="00885F53">
        <w:t xml:space="preserve">Table </w:t>
      </w:r>
      <w:r>
        <w:t>12</w:t>
      </w:r>
      <w:r w:rsidRPr="00885F53">
        <w:t>.</w:t>
      </w:r>
      <w:r>
        <w:t>1</w:t>
      </w:r>
      <w:r w:rsidRPr="00885F53">
        <w:t>.</w:t>
      </w:r>
      <w:r>
        <w:t>1</w:t>
      </w:r>
      <w:r w:rsidRPr="00885F53">
        <w:t>.</w:t>
      </w:r>
      <w:r>
        <w:t>3</w:t>
      </w:r>
      <w:r w:rsidRPr="00885F53">
        <w:t>.</w:t>
      </w:r>
      <w:r>
        <w:t>2</w:t>
      </w:r>
      <w:r w:rsidRPr="00885F53">
        <w:t>-1: Time to identify target NR cell for RRC connection release with redirection to NR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70"/>
        <w:gridCol w:w="5528"/>
      </w:tblGrid>
      <w:tr w:rsidR="004A33A8" w:rsidRPr="00D04670" w14:paraId="27FE0441" w14:textId="77777777" w:rsidTr="00A4061E">
        <w:trPr>
          <w:jc w:val="center"/>
        </w:trPr>
        <w:tc>
          <w:tcPr>
            <w:tcW w:w="3670" w:type="dxa"/>
            <w:tcBorders>
              <w:top w:val="single" w:sz="4" w:space="0" w:color="auto"/>
              <w:left w:val="single" w:sz="4" w:space="0" w:color="auto"/>
              <w:bottom w:val="single" w:sz="4" w:space="0" w:color="auto"/>
              <w:right w:val="single" w:sz="4" w:space="0" w:color="auto"/>
            </w:tcBorders>
            <w:hideMark/>
          </w:tcPr>
          <w:p w14:paraId="2C3ABB20" w14:textId="77777777" w:rsidR="004A33A8" w:rsidRPr="00D04670" w:rsidRDefault="004A33A8" w:rsidP="00A4061E">
            <w:pPr>
              <w:pStyle w:val="TAH"/>
              <w:rPr>
                <w:szCs w:val="18"/>
              </w:rPr>
            </w:pPr>
            <w:r w:rsidRPr="00D04670">
              <w:rPr>
                <w:szCs w:val="18"/>
              </w:rPr>
              <w:t>Frequency range (FR) of target NR cell</w:t>
            </w:r>
          </w:p>
        </w:tc>
        <w:tc>
          <w:tcPr>
            <w:tcW w:w="5528" w:type="dxa"/>
            <w:tcBorders>
              <w:top w:val="single" w:sz="4" w:space="0" w:color="auto"/>
              <w:left w:val="single" w:sz="4" w:space="0" w:color="auto"/>
              <w:bottom w:val="single" w:sz="4" w:space="0" w:color="auto"/>
              <w:right w:val="single" w:sz="4" w:space="0" w:color="auto"/>
            </w:tcBorders>
            <w:hideMark/>
          </w:tcPr>
          <w:p w14:paraId="642985C7" w14:textId="77777777" w:rsidR="004A33A8" w:rsidRPr="00D04670" w:rsidRDefault="004A33A8" w:rsidP="00A4061E">
            <w:pPr>
              <w:pStyle w:val="TAH"/>
              <w:rPr>
                <w:szCs w:val="18"/>
              </w:rPr>
            </w:pPr>
            <w:r w:rsidRPr="00D04670">
              <w:rPr>
                <w:szCs w:val="18"/>
              </w:rPr>
              <w:t>T</w:t>
            </w:r>
            <w:r w:rsidRPr="00D04670">
              <w:rPr>
                <w:szCs w:val="18"/>
                <w:vertAlign w:val="subscript"/>
              </w:rPr>
              <w:t>identify-NR</w:t>
            </w:r>
          </w:p>
        </w:tc>
      </w:tr>
      <w:tr w:rsidR="004A33A8" w:rsidRPr="00D04670" w14:paraId="003D8088" w14:textId="77777777" w:rsidTr="00A4061E">
        <w:trPr>
          <w:jc w:val="center"/>
        </w:trPr>
        <w:tc>
          <w:tcPr>
            <w:tcW w:w="3670" w:type="dxa"/>
            <w:tcBorders>
              <w:top w:val="single" w:sz="4" w:space="0" w:color="auto"/>
              <w:left w:val="single" w:sz="4" w:space="0" w:color="auto"/>
              <w:bottom w:val="single" w:sz="4" w:space="0" w:color="auto"/>
              <w:right w:val="single" w:sz="4" w:space="0" w:color="auto"/>
            </w:tcBorders>
            <w:hideMark/>
          </w:tcPr>
          <w:p w14:paraId="56F5E6BD" w14:textId="77777777" w:rsidR="004A33A8" w:rsidRPr="00D04670" w:rsidRDefault="004A33A8" w:rsidP="00EB3109">
            <w:pPr>
              <w:pStyle w:val="TAL"/>
            </w:pPr>
            <w:r w:rsidRPr="00D04670">
              <w:t>FR1</w:t>
            </w:r>
          </w:p>
        </w:tc>
        <w:tc>
          <w:tcPr>
            <w:tcW w:w="5528" w:type="dxa"/>
            <w:tcBorders>
              <w:top w:val="single" w:sz="4" w:space="0" w:color="auto"/>
              <w:left w:val="single" w:sz="4" w:space="0" w:color="auto"/>
              <w:bottom w:val="single" w:sz="4" w:space="0" w:color="auto"/>
              <w:right w:val="single" w:sz="4" w:space="0" w:color="auto"/>
            </w:tcBorders>
            <w:hideMark/>
          </w:tcPr>
          <w:p w14:paraId="32A1B22F" w14:textId="77777777" w:rsidR="004A33A8" w:rsidRPr="00D04670" w:rsidRDefault="004A33A8" w:rsidP="00EB3109">
            <w:pPr>
              <w:pStyle w:val="TAC"/>
            </w:pPr>
            <w:r w:rsidRPr="00D04670">
              <w:t>MAX (</w:t>
            </w:r>
            <w:r>
              <w:t>544</w:t>
            </w:r>
            <w:r w:rsidRPr="00D04670">
              <w:t>0 ms, 11</w:t>
            </w:r>
            <w:r>
              <w:sym w:font="Symbol" w:char="F0B4"/>
            </w:r>
            <w:r w:rsidRPr="00D04670">
              <w:t>T</w:t>
            </w:r>
            <w:r w:rsidRPr="00D04670">
              <w:rPr>
                <w:vertAlign w:val="subscript"/>
              </w:rPr>
              <w:t>rs</w:t>
            </w:r>
            <w:r w:rsidRPr="00D04670">
              <w:t>)</w:t>
            </w:r>
          </w:p>
        </w:tc>
      </w:tr>
      <w:tr w:rsidR="004A33A8" w:rsidRPr="00D04670" w14:paraId="38A9BDA0" w14:textId="77777777" w:rsidTr="00A4061E">
        <w:trPr>
          <w:jc w:val="center"/>
        </w:trPr>
        <w:tc>
          <w:tcPr>
            <w:tcW w:w="3670" w:type="dxa"/>
            <w:tcBorders>
              <w:top w:val="single" w:sz="4" w:space="0" w:color="auto"/>
              <w:left w:val="single" w:sz="4" w:space="0" w:color="auto"/>
              <w:bottom w:val="single" w:sz="4" w:space="0" w:color="auto"/>
              <w:right w:val="single" w:sz="4" w:space="0" w:color="auto"/>
            </w:tcBorders>
            <w:hideMark/>
          </w:tcPr>
          <w:p w14:paraId="52789182" w14:textId="77777777" w:rsidR="004A33A8" w:rsidRPr="00D04670" w:rsidRDefault="004A33A8" w:rsidP="00EB3109">
            <w:pPr>
              <w:pStyle w:val="TAL"/>
            </w:pPr>
            <w:r w:rsidRPr="00D04670">
              <w:t>FR2</w:t>
            </w:r>
          </w:p>
        </w:tc>
        <w:tc>
          <w:tcPr>
            <w:tcW w:w="5528" w:type="dxa"/>
            <w:tcBorders>
              <w:top w:val="single" w:sz="4" w:space="0" w:color="auto"/>
              <w:left w:val="single" w:sz="4" w:space="0" w:color="auto"/>
              <w:bottom w:val="single" w:sz="4" w:space="0" w:color="auto"/>
              <w:right w:val="single" w:sz="4" w:space="0" w:color="auto"/>
            </w:tcBorders>
            <w:hideMark/>
          </w:tcPr>
          <w:p w14:paraId="76731997" w14:textId="77777777" w:rsidR="004A33A8" w:rsidRPr="00D04670" w:rsidRDefault="004A33A8" w:rsidP="00EB3109">
            <w:pPr>
              <w:pStyle w:val="TAC"/>
            </w:pPr>
            <w:r w:rsidRPr="00D04670">
              <w:t>MAX (</w:t>
            </w:r>
            <w:r>
              <w:t>7</w:t>
            </w:r>
            <w:r w:rsidRPr="00D04670">
              <w:t>0</w:t>
            </w:r>
            <w:r>
              <w:t>40</w:t>
            </w:r>
            <w:r w:rsidRPr="00D04670">
              <w:t xml:space="preserve"> ms, 8</w:t>
            </w:r>
            <w:r>
              <w:sym w:font="Symbol" w:char="F0B4"/>
            </w:r>
            <w:r w:rsidRPr="00D04670">
              <w:t>11</w:t>
            </w:r>
            <w:r>
              <w:sym w:font="Symbol" w:char="F0B4"/>
            </w:r>
            <w:r w:rsidRPr="00D04670">
              <w:t>T</w:t>
            </w:r>
            <w:r w:rsidRPr="00D04670">
              <w:rPr>
                <w:vertAlign w:val="subscript"/>
              </w:rPr>
              <w:t>rs</w:t>
            </w:r>
            <w:r w:rsidRPr="00D04670">
              <w:t>)</w:t>
            </w:r>
          </w:p>
        </w:tc>
      </w:tr>
    </w:tbl>
    <w:p w14:paraId="01AF7C88" w14:textId="77777777" w:rsidR="00641611" w:rsidRPr="001C4F05" w:rsidRDefault="00641611" w:rsidP="00357409"/>
    <w:p w14:paraId="0BFBEA79" w14:textId="679618C3" w:rsidR="00334C0D" w:rsidRPr="00295C2F" w:rsidRDefault="00083A52" w:rsidP="00EB3109">
      <w:pPr>
        <w:pStyle w:val="Heading2"/>
      </w:pPr>
      <w:bookmarkStart w:id="8308" w:name="_Toc53185591"/>
      <w:bookmarkStart w:id="8309" w:name="_Toc53185967"/>
      <w:bookmarkStart w:id="8310" w:name="_Toc57820453"/>
      <w:bookmarkStart w:id="8311" w:name="_Toc57821380"/>
      <w:bookmarkStart w:id="8312" w:name="_Toc61183656"/>
      <w:bookmarkStart w:id="8313" w:name="_Toc61184050"/>
      <w:bookmarkStart w:id="8314" w:name="_Toc61184442"/>
      <w:bookmarkStart w:id="8315" w:name="_Toc61184834"/>
      <w:bookmarkStart w:id="8316" w:name="_Toc61185224"/>
      <w:bookmarkStart w:id="8317" w:name="_Toc66386569"/>
      <w:bookmarkStart w:id="8318" w:name="_Toc74583527"/>
      <w:bookmarkStart w:id="8319" w:name="_Toc76542340"/>
      <w:bookmarkStart w:id="8320" w:name="_Toc82450322"/>
      <w:bookmarkStart w:id="8321" w:name="_Toc82450970"/>
      <w:bookmarkStart w:id="8322" w:name="_Toc89949359"/>
      <w:bookmarkStart w:id="8323" w:name="_Toc98755748"/>
      <w:bookmarkStart w:id="8324" w:name="_Toc98763340"/>
      <w:bookmarkStart w:id="8325" w:name="_Toc106184269"/>
      <w:r>
        <w:lastRenderedPageBreak/>
        <w:t>1</w:t>
      </w:r>
      <w:r w:rsidR="00B1470A">
        <w:t>2</w:t>
      </w:r>
      <w:r>
        <w:t>.</w:t>
      </w:r>
      <w:r w:rsidR="00B1470A">
        <w:t>2</w:t>
      </w:r>
      <w:r w:rsidR="00EB3109">
        <w:tab/>
      </w:r>
      <w:r>
        <w:t>Timing</w:t>
      </w:r>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p>
    <w:p w14:paraId="44892771" w14:textId="1221AF53" w:rsidR="00C8152E" w:rsidRPr="00EB3109" w:rsidRDefault="00083A52" w:rsidP="00EB3109">
      <w:pPr>
        <w:pStyle w:val="Heading3"/>
      </w:pPr>
      <w:bookmarkStart w:id="8326" w:name="_Toc53185592"/>
      <w:bookmarkStart w:id="8327" w:name="_Toc53185968"/>
      <w:bookmarkStart w:id="8328" w:name="_Toc57820454"/>
      <w:bookmarkStart w:id="8329" w:name="_Toc57821381"/>
      <w:bookmarkStart w:id="8330" w:name="_Toc61183657"/>
      <w:bookmarkStart w:id="8331" w:name="_Toc61184051"/>
      <w:bookmarkStart w:id="8332" w:name="_Toc61184443"/>
      <w:bookmarkStart w:id="8333" w:name="_Toc61184835"/>
      <w:bookmarkStart w:id="8334" w:name="_Toc61185225"/>
      <w:bookmarkStart w:id="8335" w:name="_Toc66386570"/>
      <w:bookmarkStart w:id="8336" w:name="_Toc74583528"/>
      <w:bookmarkStart w:id="8337" w:name="_Toc76542341"/>
      <w:bookmarkStart w:id="8338" w:name="_Toc82450323"/>
      <w:bookmarkStart w:id="8339" w:name="_Toc82450971"/>
      <w:bookmarkStart w:id="8340" w:name="_Toc89949360"/>
      <w:bookmarkStart w:id="8341" w:name="_Toc98755749"/>
      <w:bookmarkStart w:id="8342" w:name="_Toc98763341"/>
      <w:bookmarkStart w:id="8343" w:name="_Toc106184270"/>
      <w:r>
        <w:t>1</w:t>
      </w:r>
      <w:r w:rsidR="00B1470A">
        <w:t>2</w:t>
      </w:r>
      <w:r>
        <w:t>.</w:t>
      </w:r>
      <w:r w:rsidR="00B1470A">
        <w:t>2.</w:t>
      </w:r>
      <w:r>
        <w:t>1</w:t>
      </w:r>
      <w:r w:rsidR="00EB3109">
        <w:tab/>
      </w:r>
      <w:r w:rsidR="0098572F">
        <w:t>IAB-</w:t>
      </w:r>
      <w:r>
        <w:t>MT transmit timing</w:t>
      </w:r>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p>
    <w:p w14:paraId="5CBAE880" w14:textId="73622025" w:rsidR="00C8152E" w:rsidRPr="004E1253" w:rsidRDefault="00C8152E" w:rsidP="00C8152E">
      <w:pPr>
        <w:pStyle w:val="Heading4"/>
        <w:rPr>
          <w:rFonts w:eastAsia="SimSun"/>
          <w:b/>
          <w:bCs/>
        </w:rPr>
      </w:pPr>
      <w:bookmarkStart w:id="8344" w:name="_Toc53185593"/>
      <w:bookmarkStart w:id="8345" w:name="_Toc53185969"/>
      <w:bookmarkStart w:id="8346" w:name="_Toc57820455"/>
      <w:bookmarkStart w:id="8347" w:name="_Toc57821382"/>
      <w:bookmarkStart w:id="8348" w:name="_Toc61183658"/>
      <w:bookmarkStart w:id="8349" w:name="_Toc61184052"/>
      <w:bookmarkStart w:id="8350" w:name="_Toc61184444"/>
      <w:bookmarkStart w:id="8351" w:name="_Toc61184836"/>
      <w:bookmarkStart w:id="8352" w:name="_Toc61185226"/>
      <w:bookmarkStart w:id="8353" w:name="_Toc66386571"/>
      <w:bookmarkStart w:id="8354" w:name="_Toc74583529"/>
      <w:bookmarkStart w:id="8355" w:name="_Toc76542342"/>
      <w:bookmarkStart w:id="8356" w:name="_Toc82450324"/>
      <w:bookmarkStart w:id="8357" w:name="_Toc82450972"/>
      <w:bookmarkStart w:id="8358" w:name="_Toc89949361"/>
      <w:bookmarkStart w:id="8359" w:name="_Toc98755750"/>
      <w:bookmarkStart w:id="8360" w:name="_Toc98763342"/>
      <w:bookmarkStart w:id="8361" w:name="_Toc106184271"/>
      <w:r w:rsidRPr="004E1253">
        <w:rPr>
          <w:rFonts w:eastAsia="SimSun"/>
        </w:rPr>
        <w:t>12.2.1.1</w:t>
      </w:r>
      <w:r w:rsidR="00EB3109">
        <w:tab/>
      </w:r>
      <w:r w:rsidRPr="004E1253">
        <w:rPr>
          <w:rFonts w:eastAsia="SimSun"/>
        </w:rPr>
        <w:t>Introduction</w:t>
      </w:r>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p>
    <w:p w14:paraId="274BF629" w14:textId="77777777" w:rsidR="00F43639" w:rsidRPr="00885F53" w:rsidRDefault="00F43639" w:rsidP="00F43639">
      <w:pPr>
        <w:rPr>
          <w:rFonts w:cs="v4.2.0"/>
          <w:lang w:eastAsia="zh-CN"/>
        </w:rPr>
      </w:pPr>
      <w:bookmarkStart w:id="8362" w:name="_Toc535475929"/>
      <w:bookmarkStart w:id="8363" w:name="_Toc53185594"/>
      <w:bookmarkStart w:id="8364" w:name="_Toc53185970"/>
      <w:bookmarkStart w:id="8365" w:name="_Toc57820456"/>
      <w:bookmarkStart w:id="8366" w:name="_Toc57821383"/>
      <w:bookmarkStart w:id="8367" w:name="_Toc61183659"/>
      <w:bookmarkStart w:id="8368" w:name="_Toc61184053"/>
      <w:bookmarkStart w:id="8369" w:name="_Toc61184445"/>
      <w:bookmarkStart w:id="8370" w:name="_Toc61184837"/>
      <w:bookmarkStart w:id="8371" w:name="_Toc61185227"/>
      <w:bookmarkStart w:id="8372" w:name="_Toc66386572"/>
      <w:bookmarkStart w:id="8373" w:name="_Toc74583530"/>
      <w:bookmarkStart w:id="8374" w:name="_Toc76542343"/>
      <w:bookmarkStart w:id="8375" w:name="_Toc82450325"/>
      <w:bookmarkStart w:id="8376" w:name="_Toc82450973"/>
      <w:bookmarkStart w:id="8377" w:name="_Toc89949362"/>
      <w:bookmarkStart w:id="8378" w:name="_Toc98755751"/>
      <w:r w:rsidRPr="00885F53">
        <w:rPr>
          <w:rFonts w:cs="v4.2.0"/>
        </w:rPr>
        <w:t xml:space="preserve">The </w:t>
      </w:r>
      <w:r>
        <w:rPr>
          <w:rFonts w:cs="v4.2.0"/>
        </w:rPr>
        <w:t>IAB-MT</w:t>
      </w:r>
      <w:r w:rsidRPr="00885F53">
        <w:rPr>
          <w:rFonts w:cs="v4.2.0"/>
        </w:rPr>
        <w:t xml:space="preserve"> shall have capability to follow the frame timing change of the </w:t>
      </w:r>
      <w:r w:rsidRPr="00885F53">
        <w:t>reference cell</w:t>
      </w:r>
      <w:r w:rsidRPr="00885F53">
        <w:rPr>
          <w:rFonts w:cs="v4.2.0"/>
        </w:rPr>
        <w:t xml:space="preserve"> in connected </w:t>
      </w:r>
      <w:r w:rsidRPr="00885F53">
        <w:t>state</w:t>
      </w:r>
      <w:r w:rsidRPr="00885F53">
        <w:rPr>
          <w:rFonts w:cs="v4.2.0"/>
        </w:rPr>
        <w:t>. The uplink frame transmission takes place</w:t>
      </w:r>
      <w:r w:rsidRPr="00885F53">
        <w:rPr>
          <w:rFonts w:cs="v4.2.0"/>
          <w:vertAlign w:val="subscript"/>
        </w:rPr>
        <w:t xml:space="preserve"> </w:t>
      </w:r>
      <w:r w:rsidRPr="00885F53">
        <w:rPr>
          <w:position w:val="-10"/>
        </w:rPr>
        <w:object w:dxaOrig="1800" w:dyaOrig="300" w14:anchorId="1357B874">
          <v:shape id="_x0000_i1040" type="#_x0000_t75" style="width:94.7pt;height:13.85pt" o:ole="">
            <v:imagedata r:id="rId52" o:title=""/>
          </v:shape>
          <o:OLEObject Type="Embed" ProgID="Equation.3" ShapeID="_x0000_i1040" DrawAspect="Content" ObjectID="_1734764422" r:id="rId53"/>
        </w:object>
      </w:r>
      <w:r w:rsidRPr="00885F53" w:rsidDel="005D39B2">
        <w:rPr>
          <w:rFonts w:cs="v4.2.0"/>
        </w:rPr>
        <w:t xml:space="preserve"> </w:t>
      </w:r>
      <w:r w:rsidRPr="00885F53">
        <w:rPr>
          <w:rFonts w:cs="v4.2.0"/>
        </w:rPr>
        <w:t>before the reception of the first detected path (in time) of the corresponding downlink frame</w:t>
      </w:r>
      <w:r w:rsidRPr="00885F53">
        <w:t xml:space="preserve"> from the referenc</w:t>
      </w:r>
      <w:r w:rsidRPr="00A409EC">
        <w:t xml:space="preserve">e cell. </w:t>
      </w:r>
      <w:r w:rsidRPr="00653CAD">
        <w:t>IAB-MT belonging to local area IAB-MT class as defined in clause 4.4.2 and also capable of carrier aggregation shall use the SpCell as the reference cell for deriving the IAB-MT transmit timing for cells in the PTAG.</w:t>
      </w:r>
      <w:r>
        <w:t xml:space="preserve"> </w:t>
      </w:r>
      <w:r w:rsidRPr="00A409EC">
        <w:rPr>
          <w:lang w:eastAsia="zh-CN"/>
        </w:rPr>
        <w:t>IAB-MT</w:t>
      </w:r>
      <w:r w:rsidRPr="00885F53">
        <w:rPr>
          <w:rFonts w:cs="v4.2.0"/>
        </w:rPr>
        <w:t xml:space="preserve"> initial transmit timing accuracy, </w:t>
      </w:r>
      <w:r w:rsidRPr="00885F53">
        <w:t>gradual timing adjustment requirements</w:t>
      </w:r>
      <w:r w:rsidRPr="00885F53">
        <w:rPr>
          <w:rFonts w:cs="v4.2.0"/>
        </w:rPr>
        <w:t xml:space="preserve"> are defined in the following requirements.</w:t>
      </w:r>
      <w:r>
        <w:rPr>
          <w:rFonts w:cs="v4.2.0"/>
        </w:rPr>
        <w:t xml:space="preserve"> The requirements apply when the indicated IAB-MT </w:t>
      </w:r>
      <w:r>
        <w:rPr>
          <w:rFonts w:cs="v4.2.0" w:hint="eastAsia"/>
          <w:lang w:eastAsia="zh-CN"/>
        </w:rPr>
        <w:t>t</w:t>
      </w:r>
      <w:r>
        <w:rPr>
          <w:rFonts w:cs="v4.2.0"/>
          <w:lang w:eastAsia="zh-CN"/>
        </w:rPr>
        <w:t xml:space="preserve">ransmission timing mode is set to ‘Case 1’ </w:t>
      </w:r>
      <w:r>
        <w:rPr>
          <w:rFonts w:cs="v4.2.0"/>
        </w:rPr>
        <w:t>specified in clause 14 of TS 38.213 [10].</w:t>
      </w:r>
    </w:p>
    <w:p w14:paraId="1BFA7F83" w14:textId="77777777" w:rsidR="00C8152E" w:rsidRPr="004E1253" w:rsidRDefault="00C8152E" w:rsidP="00C8152E">
      <w:pPr>
        <w:pStyle w:val="Heading4"/>
        <w:rPr>
          <w:rFonts w:eastAsia="SimSun"/>
          <w:b/>
          <w:bCs/>
        </w:rPr>
      </w:pPr>
      <w:bookmarkStart w:id="8379" w:name="_Toc98763343"/>
      <w:bookmarkStart w:id="8380" w:name="_Toc106184272"/>
      <w:r w:rsidRPr="004E1253">
        <w:rPr>
          <w:rFonts w:eastAsia="SimSun"/>
        </w:rPr>
        <w:t>12.2.1.2</w:t>
      </w:r>
      <w:r w:rsidRPr="004E1253">
        <w:rPr>
          <w:rFonts w:eastAsia="SimSun"/>
        </w:rPr>
        <w:tab/>
        <w:t>Requirements</w:t>
      </w:r>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p>
    <w:p w14:paraId="73FA803B" w14:textId="77777777" w:rsidR="00C8152E" w:rsidRPr="00867DDD" w:rsidRDefault="00C8152E" w:rsidP="00C8152E">
      <w:pPr>
        <w:rPr>
          <w:rFonts w:cs="v4.2.0"/>
        </w:rPr>
      </w:pPr>
      <w:r w:rsidRPr="00885F53">
        <w:rPr>
          <w:rFonts w:cs="v4.2.0"/>
        </w:rPr>
        <w:t xml:space="preserve">The </w:t>
      </w:r>
      <w:r w:rsidRPr="00A409EC">
        <w:rPr>
          <w:rFonts w:cs="v4.2.0"/>
        </w:rPr>
        <w:t xml:space="preserve">IAB-MT </w:t>
      </w:r>
      <w:r w:rsidRPr="00885F53">
        <w:rPr>
          <w:rFonts w:cs="v4.2.0"/>
        </w:rPr>
        <w:t xml:space="preserve">initial transmission timing error shall be less than or equal to </w:t>
      </w:r>
      <w:r w:rsidRPr="00885F53">
        <w:rPr>
          <w:rFonts w:cs="v4.2.0"/>
        </w:rPr>
        <w:sym w:font="Symbol" w:char="F0B1"/>
      </w:r>
      <w:r w:rsidRPr="00885F53">
        <w:rPr>
          <w:rFonts w:cs="v4.2.0"/>
        </w:rPr>
        <w:t>T</w:t>
      </w:r>
      <w:r w:rsidRPr="00885F53">
        <w:rPr>
          <w:rFonts w:cs="v4.2.0"/>
          <w:vertAlign w:val="subscript"/>
        </w:rPr>
        <w:t>e</w:t>
      </w:r>
      <w:r w:rsidRPr="00885F53">
        <w:t xml:space="preserve"> where the timing error limit value </w:t>
      </w:r>
      <w:r w:rsidRPr="00885F53">
        <w:rPr>
          <w:rFonts w:cs="v4.2.0"/>
        </w:rPr>
        <w:t>T</w:t>
      </w:r>
      <w:r w:rsidRPr="00885F53">
        <w:rPr>
          <w:rFonts w:cs="v4.2.0"/>
          <w:vertAlign w:val="subscript"/>
        </w:rPr>
        <w:t>e</w:t>
      </w:r>
      <w:r w:rsidRPr="00885F53">
        <w:t xml:space="preserve"> is specified in Table </w:t>
      </w:r>
      <w:r>
        <w:t>12.2</w:t>
      </w:r>
      <w:r w:rsidRPr="00885F53">
        <w:t>.1.2-1</w:t>
      </w:r>
      <w:r w:rsidRPr="00885F53">
        <w:rPr>
          <w:rFonts w:cs="v4.2.0"/>
        </w:rPr>
        <w:t>. This requirement applies</w:t>
      </w:r>
      <w:r>
        <w:rPr>
          <w:rFonts w:cs="v4.2.0"/>
        </w:rPr>
        <w:t xml:space="preserve"> </w:t>
      </w:r>
      <w:r w:rsidRPr="00885F53">
        <w:t>for PUCCH, PUSCH and SRS or it is the PRACH transmission.</w:t>
      </w:r>
    </w:p>
    <w:p w14:paraId="6C1647C0" w14:textId="77777777" w:rsidR="00C8152E" w:rsidRPr="00885F53" w:rsidRDefault="00C8152E" w:rsidP="00C8152E">
      <w:pPr>
        <w:rPr>
          <w:rFonts w:cs="v4.2.0"/>
        </w:rPr>
      </w:pPr>
      <w:r w:rsidRPr="00885F53">
        <w:rPr>
          <w:rFonts w:cs="v4.2.0"/>
        </w:rPr>
        <w:t xml:space="preserve">The </w:t>
      </w:r>
      <w:r w:rsidRPr="00A409EC">
        <w:rPr>
          <w:rFonts w:eastAsiaTheme="minorEastAsia"/>
          <w:lang w:eastAsia="zh-CN"/>
        </w:rPr>
        <w:t>IAB-MT</w:t>
      </w:r>
      <w:r w:rsidRPr="00885F53">
        <w:rPr>
          <w:rFonts w:cs="v4.2.0"/>
        </w:rPr>
        <w:t xml:space="preserve"> shall meet the Te requirement for an initial transmission provided that at least one SSB is available at the </w:t>
      </w:r>
      <w:r>
        <w:rPr>
          <w:rFonts w:cs="v4.2.0"/>
        </w:rPr>
        <w:t>IAB-MT</w:t>
      </w:r>
      <w:r w:rsidRPr="00885F53">
        <w:rPr>
          <w:rFonts w:cs="v4.2.0"/>
        </w:rPr>
        <w:t xml:space="preserve"> during the last 160 ms. The reference point for the </w:t>
      </w:r>
      <w:r w:rsidRPr="00A409EC">
        <w:rPr>
          <w:rFonts w:eastAsiaTheme="minorEastAsia"/>
          <w:lang w:eastAsia="zh-CN"/>
        </w:rPr>
        <w:t>IAB-MT</w:t>
      </w:r>
      <w:r w:rsidRPr="00885F53">
        <w:rPr>
          <w:rFonts w:cs="v4.2.0"/>
        </w:rPr>
        <w:t xml:space="preserve"> initial transmit timing control requirement shall be the downlink timing of the reference cell minus </w:t>
      </w:r>
      <w:r w:rsidRPr="00885F53">
        <w:rPr>
          <w:noProof/>
          <w:position w:val="-10"/>
          <w:lang w:val="en-US" w:eastAsia="zh-CN"/>
        </w:rPr>
        <w:drawing>
          <wp:inline distT="0" distB="0" distL="0" distR="0" wp14:anchorId="332A4A2F" wp14:editId="786CCD34">
            <wp:extent cx="1145540" cy="187960"/>
            <wp:effectExtent l="0" t="0" r="0" b="2540"/>
            <wp:docPr id="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145540" cy="187960"/>
                    </a:xfrm>
                    <a:prstGeom prst="rect">
                      <a:avLst/>
                    </a:prstGeom>
                    <a:noFill/>
                    <a:ln>
                      <a:noFill/>
                    </a:ln>
                  </pic:spPr>
                </pic:pic>
              </a:graphicData>
            </a:graphic>
          </wp:inline>
        </w:drawing>
      </w:r>
      <w:r w:rsidRPr="00885F53">
        <w:rPr>
          <w:rFonts w:cs="v4.2.0"/>
        </w:rPr>
        <w:t xml:space="preserve">. The downlink timing is defined as the time when the first detected path (in time) of the corresponding downlink frame is received </w:t>
      </w:r>
      <w:r w:rsidRPr="00885F53">
        <w:t xml:space="preserve">from the reference cell. </w:t>
      </w:r>
      <w:r w:rsidRPr="00885F53">
        <w:rPr>
          <w:rFonts w:cs="v4.2.0"/>
          <w:i/>
        </w:rPr>
        <w:t>N</w:t>
      </w:r>
      <w:r w:rsidRPr="00885F53">
        <w:rPr>
          <w:rFonts w:cs="v4.2.0"/>
          <w:vertAlign w:val="subscript"/>
        </w:rPr>
        <w:t>TA</w:t>
      </w:r>
      <w:r w:rsidRPr="00885F53">
        <w:rPr>
          <w:rFonts w:cs="v4.2.0"/>
        </w:rPr>
        <w:t xml:space="preserve"> for PRACH is defined as 0.</w:t>
      </w:r>
      <w:r>
        <w:rPr>
          <w:rFonts w:cs="v4.2.0"/>
        </w:rPr>
        <w:t xml:space="preserve"> </w:t>
      </w:r>
    </w:p>
    <w:p w14:paraId="2DCB7561" w14:textId="77777777" w:rsidR="00C8152E" w:rsidRPr="00885F53" w:rsidRDefault="00C8152E" w:rsidP="00C8152E">
      <w:pPr>
        <w:rPr>
          <w:rFonts w:cs="v4.2.0"/>
        </w:rPr>
      </w:pPr>
      <w:r w:rsidRPr="00885F53">
        <w:rPr>
          <w:noProof/>
          <w:position w:val="-10"/>
          <w:lang w:val="en-US" w:eastAsia="zh-CN"/>
        </w:rPr>
        <w:drawing>
          <wp:inline distT="0" distB="0" distL="0" distR="0" wp14:anchorId="010945D2" wp14:editId="5BC83B91">
            <wp:extent cx="1145540" cy="187960"/>
            <wp:effectExtent l="0" t="0" r="0" b="2540"/>
            <wp:docPr id="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145540" cy="187960"/>
                    </a:xfrm>
                    <a:prstGeom prst="rect">
                      <a:avLst/>
                    </a:prstGeom>
                    <a:noFill/>
                    <a:ln>
                      <a:noFill/>
                    </a:ln>
                  </pic:spPr>
                </pic:pic>
              </a:graphicData>
            </a:graphic>
          </wp:inline>
        </w:drawing>
      </w:r>
      <w:r w:rsidRPr="00885F53">
        <w:rPr>
          <w:rFonts w:cs="v4.2.0"/>
        </w:rPr>
        <w:t xml:space="preserve"> </w:t>
      </w:r>
      <w:r w:rsidRPr="00885F53">
        <w:t xml:space="preserve">(in </w:t>
      </w:r>
      <w:r w:rsidRPr="00885F53">
        <w:rPr>
          <w:i/>
        </w:rPr>
        <w:t>T</w:t>
      </w:r>
      <w:r w:rsidRPr="00885F53">
        <w:rPr>
          <w:i/>
          <w:vertAlign w:val="subscript"/>
        </w:rPr>
        <w:t>c</w:t>
      </w:r>
      <w:r w:rsidRPr="00885F53">
        <w:t xml:space="preserve"> units) </w:t>
      </w:r>
      <w:r w:rsidRPr="00885F53">
        <w:rPr>
          <w:rFonts w:cs="v4.2.0"/>
        </w:rPr>
        <w:t xml:space="preserve">for other channels is the difference between </w:t>
      </w:r>
      <w:r w:rsidRPr="00A409EC">
        <w:rPr>
          <w:rFonts w:eastAsiaTheme="minorEastAsia"/>
          <w:lang w:eastAsia="zh-CN"/>
        </w:rPr>
        <w:t>IAB-MT</w:t>
      </w:r>
      <w:r w:rsidRPr="00885F53">
        <w:rPr>
          <w:rFonts w:cs="v4.2.0"/>
        </w:rPr>
        <w:t xml:space="preserve"> transmission timing and the downlink timing immediately after when the last timing advance in clause </w:t>
      </w:r>
      <w:r>
        <w:rPr>
          <w:rFonts w:cs="v4.2.0"/>
        </w:rPr>
        <w:t>12.2</w:t>
      </w:r>
      <w:r w:rsidRPr="00885F53">
        <w:rPr>
          <w:rFonts w:cs="v4.2.0"/>
        </w:rPr>
        <w:t>.</w:t>
      </w:r>
      <w:r>
        <w:rPr>
          <w:rFonts w:cs="v4.2.0"/>
        </w:rPr>
        <w:t>2</w:t>
      </w:r>
      <w:r w:rsidRPr="00885F53">
        <w:rPr>
          <w:rFonts w:cs="v4.2.0"/>
        </w:rPr>
        <w:t xml:space="preserve"> was applied. </w:t>
      </w:r>
      <w:r w:rsidRPr="00885F53">
        <w:rPr>
          <w:rFonts w:cs="v4.2.0"/>
          <w:i/>
        </w:rPr>
        <w:t>N</w:t>
      </w:r>
      <w:r w:rsidRPr="00885F53">
        <w:rPr>
          <w:rFonts w:cs="v4.2.0"/>
          <w:vertAlign w:val="subscript"/>
        </w:rPr>
        <w:t>TA</w:t>
      </w:r>
      <w:r w:rsidRPr="00885F53">
        <w:rPr>
          <w:rFonts w:cs="v4.2.0"/>
        </w:rPr>
        <w:t xml:space="preserve"> for other channels is not changed until next timing advance is received. The value of</w:t>
      </w:r>
      <w:r w:rsidRPr="00885F53">
        <w:rPr>
          <w:noProof/>
          <w:position w:val="-10"/>
          <w:lang w:val="en-US" w:eastAsia="zh-CN"/>
        </w:rPr>
        <w:drawing>
          <wp:inline distT="0" distB="0" distL="0" distR="0" wp14:anchorId="2BA1FEF2" wp14:editId="00BE63FB">
            <wp:extent cx="500380" cy="187960"/>
            <wp:effectExtent l="0" t="0" r="0" b="2540"/>
            <wp:docPr id="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00380" cy="187960"/>
                    </a:xfrm>
                    <a:prstGeom prst="rect">
                      <a:avLst/>
                    </a:prstGeom>
                    <a:noFill/>
                    <a:ln>
                      <a:noFill/>
                    </a:ln>
                  </pic:spPr>
                </pic:pic>
              </a:graphicData>
            </a:graphic>
          </wp:inline>
        </w:drawing>
      </w:r>
      <w:r w:rsidRPr="00885F53">
        <w:t xml:space="preserve">depends on the duplex mode of the cell in which the uplink transmission takes place and the frequency range (FR). </w:t>
      </w:r>
      <w:r w:rsidRPr="00885F53">
        <w:rPr>
          <w:noProof/>
          <w:position w:val="-10"/>
          <w:lang w:val="en-US" w:eastAsia="zh-CN"/>
        </w:rPr>
        <w:drawing>
          <wp:inline distT="0" distB="0" distL="0" distR="0" wp14:anchorId="230E5466" wp14:editId="77C89A14">
            <wp:extent cx="500380" cy="187960"/>
            <wp:effectExtent l="0" t="0" r="0" b="2540"/>
            <wp:docPr id="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00380" cy="187960"/>
                    </a:xfrm>
                    <a:prstGeom prst="rect">
                      <a:avLst/>
                    </a:prstGeom>
                    <a:noFill/>
                    <a:ln>
                      <a:noFill/>
                    </a:ln>
                  </pic:spPr>
                </pic:pic>
              </a:graphicData>
            </a:graphic>
          </wp:inline>
        </w:drawing>
      </w:r>
      <w:r w:rsidRPr="00885F53">
        <w:t xml:space="preserve">is defined in </w:t>
      </w:r>
      <w:r w:rsidRPr="00885F53">
        <w:rPr>
          <w:rFonts w:cs="v4.2.0"/>
        </w:rPr>
        <w:t xml:space="preserve">Table </w:t>
      </w:r>
      <w:r>
        <w:t>12</w:t>
      </w:r>
      <w:r w:rsidRPr="00885F53">
        <w:t>.</w:t>
      </w:r>
      <w:r>
        <w:t>2.1.</w:t>
      </w:r>
      <w:r w:rsidRPr="00885F53">
        <w:t>2</w:t>
      </w:r>
      <w:r w:rsidRPr="00885F53">
        <w:rPr>
          <w:rFonts w:cs="v4.2.0"/>
        </w:rPr>
        <w:t>-2.</w:t>
      </w:r>
    </w:p>
    <w:p w14:paraId="7162E1FA" w14:textId="77777777" w:rsidR="00C8152E" w:rsidRPr="00885F53" w:rsidRDefault="00C8152E" w:rsidP="00C8152E">
      <w:pPr>
        <w:pStyle w:val="TH"/>
      </w:pPr>
      <w:r w:rsidRPr="00885F53">
        <w:t xml:space="preserve">Table </w:t>
      </w:r>
      <w:r>
        <w:t>12</w:t>
      </w:r>
      <w:r w:rsidRPr="00885F53">
        <w:t>.</w:t>
      </w:r>
      <w:r>
        <w:t>2.1.</w:t>
      </w:r>
      <w:r w:rsidRPr="00885F53">
        <w:t>2-1: T</w:t>
      </w:r>
      <w:r w:rsidRPr="00885F53">
        <w:rPr>
          <w:vertAlign w:val="subscript"/>
        </w:rPr>
        <w:t>e</w:t>
      </w:r>
      <w:r w:rsidRPr="00885F53">
        <w:t xml:space="preserve"> Timing Error Limit</w:t>
      </w:r>
    </w:p>
    <w:tbl>
      <w:tblPr>
        <w:tblW w:w="31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6"/>
        <w:gridCol w:w="1524"/>
        <w:gridCol w:w="1526"/>
        <w:gridCol w:w="1811"/>
      </w:tblGrid>
      <w:tr w:rsidR="00EB3109" w:rsidRPr="00885F53" w14:paraId="18AF8470" w14:textId="77777777" w:rsidTr="00EB3109">
        <w:trPr>
          <w:cantSplit/>
          <w:jc w:val="center"/>
        </w:trPr>
        <w:tc>
          <w:tcPr>
            <w:tcW w:w="1033" w:type="pct"/>
            <w:tcBorders>
              <w:bottom w:val="single" w:sz="4" w:space="0" w:color="auto"/>
            </w:tcBorders>
            <w:vAlign w:val="center"/>
          </w:tcPr>
          <w:p w14:paraId="7984288E" w14:textId="77777777" w:rsidR="00C8152E" w:rsidRPr="00885F53" w:rsidRDefault="00C8152E" w:rsidP="00EB3109">
            <w:pPr>
              <w:pStyle w:val="TAH"/>
            </w:pPr>
            <w:r w:rsidRPr="00885F53">
              <w:t>Frequency Range</w:t>
            </w:r>
          </w:p>
        </w:tc>
        <w:tc>
          <w:tcPr>
            <w:tcW w:w="1244" w:type="pct"/>
            <w:tcBorders>
              <w:bottom w:val="single" w:sz="4" w:space="0" w:color="auto"/>
            </w:tcBorders>
            <w:vAlign w:val="center"/>
          </w:tcPr>
          <w:p w14:paraId="5E14CFC9" w14:textId="77777777" w:rsidR="00C8152E" w:rsidRPr="00885F53" w:rsidRDefault="00C8152E" w:rsidP="00EB3109">
            <w:pPr>
              <w:pStyle w:val="TAH"/>
            </w:pPr>
            <w:r w:rsidRPr="00885F53">
              <w:t>SCS of SSB signals ( kHz)</w:t>
            </w:r>
          </w:p>
        </w:tc>
        <w:tc>
          <w:tcPr>
            <w:tcW w:w="1245" w:type="pct"/>
            <w:vAlign w:val="center"/>
          </w:tcPr>
          <w:p w14:paraId="5F744A21" w14:textId="77777777" w:rsidR="00C8152E" w:rsidRPr="00885F53" w:rsidRDefault="00C8152E" w:rsidP="00EB3109">
            <w:pPr>
              <w:pStyle w:val="TAH"/>
            </w:pPr>
            <w:r w:rsidRPr="00885F53">
              <w:t>SCS of uplink signals ( kHz)</w:t>
            </w:r>
          </w:p>
        </w:tc>
        <w:tc>
          <w:tcPr>
            <w:tcW w:w="1478" w:type="pct"/>
            <w:vAlign w:val="center"/>
          </w:tcPr>
          <w:p w14:paraId="0B4CB459" w14:textId="77777777" w:rsidR="00C8152E" w:rsidRPr="00885F53" w:rsidRDefault="00C8152E" w:rsidP="00EB3109">
            <w:pPr>
              <w:pStyle w:val="TAH"/>
            </w:pPr>
            <w:r w:rsidRPr="00885F53">
              <w:t>T</w:t>
            </w:r>
            <w:r w:rsidRPr="00885F53">
              <w:rPr>
                <w:vertAlign w:val="subscript"/>
              </w:rPr>
              <w:t>e</w:t>
            </w:r>
          </w:p>
        </w:tc>
      </w:tr>
      <w:tr w:rsidR="00EB3109" w:rsidRPr="00885F53" w14:paraId="26BD8F77" w14:textId="77777777" w:rsidTr="00EB3109">
        <w:trPr>
          <w:cantSplit/>
          <w:jc w:val="center"/>
        </w:trPr>
        <w:tc>
          <w:tcPr>
            <w:tcW w:w="1033" w:type="pct"/>
            <w:tcBorders>
              <w:bottom w:val="nil"/>
            </w:tcBorders>
            <w:shd w:val="clear" w:color="auto" w:fill="auto"/>
            <w:vAlign w:val="center"/>
          </w:tcPr>
          <w:p w14:paraId="207888D1" w14:textId="77777777" w:rsidR="00EB3109" w:rsidRPr="00885F53" w:rsidRDefault="00EB3109" w:rsidP="00255E64">
            <w:pPr>
              <w:pStyle w:val="TAC"/>
            </w:pPr>
            <w:r w:rsidRPr="00885F53">
              <w:t>1</w:t>
            </w:r>
          </w:p>
        </w:tc>
        <w:tc>
          <w:tcPr>
            <w:tcW w:w="1244" w:type="pct"/>
            <w:tcBorders>
              <w:bottom w:val="nil"/>
            </w:tcBorders>
            <w:shd w:val="clear" w:color="auto" w:fill="auto"/>
            <w:vAlign w:val="center"/>
          </w:tcPr>
          <w:p w14:paraId="4B258262" w14:textId="77777777" w:rsidR="00EB3109" w:rsidRPr="00885F53" w:rsidRDefault="00EB3109" w:rsidP="00255E64">
            <w:pPr>
              <w:pStyle w:val="TAC"/>
            </w:pPr>
            <w:r w:rsidRPr="00885F53">
              <w:t>15</w:t>
            </w:r>
          </w:p>
        </w:tc>
        <w:tc>
          <w:tcPr>
            <w:tcW w:w="1245" w:type="pct"/>
          </w:tcPr>
          <w:p w14:paraId="7907B5E0" w14:textId="77777777" w:rsidR="00EB3109" w:rsidRPr="00885F53" w:rsidRDefault="00EB3109" w:rsidP="00255E64">
            <w:pPr>
              <w:pStyle w:val="TAC"/>
            </w:pPr>
            <w:r w:rsidRPr="00885F53">
              <w:t>15</w:t>
            </w:r>
          </w:p>
        </w:tc>
        <w:tc>
          <w:tcPr>
            <w:tcW w:w="1478" w:type="pct"/>
          </w:tcPr>
          <w:p w14:paraId="37D94F22" w14:textId="77777777" w:rsidR="00EB3109" w:rsidRPr="00885F53" w:rsidRDefault="00EB3109" w:rsidP="00255E64">
            <w:pPr>
              <w:pStyle w:val="TAC"/>
            </w:pPr>
            <w:r w:rsidRPr="00885F53">
              <w:t>12*64*T</w:t>
            </w:r>
            <w:r w:rsidRPr="00885F53">
              <w:rPr>
                <w:vertAlign w:val="subscript"/>
              </w:rPr>
              <w:t>c</w:t>
            </w:r>
          </w:p>
        </w:tc>
      </w:tr>
      <w:tr w:rsidR="00EB3109" w:rsidRPr="00885F53" w14:paraId="34B41493" w14:textId="77777777" w:rsidTr="00EB3109">
        <w:trPr>
          <w:cantSplit/>
          <w:jc w:val="center"/>
        </w:trPr>
        <w:tc>
          <w:tcPr>
            <w:tcW w:w="1033" w:type="pct"/>
            <w:tcBorders>
              <w:top w:val="nil"/>
              <w:bottom w:val="nil"/>
            </w:tcBorders>
            <w:shd w:val="clear" w:color="auto" w:fill="auto"/>
            <w:vAlign w:val="center"/>
          </w:tcPr>
          <w:p w14:paraId="51357FFA" w14:textId="77777777" w:rsidR="00EB3109" w:rsidRPr="00885F53" w:rsidRDefault="00EB3109" w:rsidP="00255E64">
            <w:pPr>
              <w:pStyle w:val="TAC"/>
            </w:pPr>
          </w:p>
        </w:tc>
        <w:tc>
          <w:tcPr>
            <w:tcW w:w="1244" w:type="pct"/>
            <w:tcBorders>
              <w:top w:val="nil"/>
              <w:bottom w:val="nil"/>
            </w:tcBorders>
            <w:shd w:val="clear" w:color="auto" w:fill="auto"/>
            <w:vAlign w:val="center"/>
          </w:tcPr>
          <w:p w14:paraId="0C7B790F" w14:textId="77777777" w:rsidR="00EB3109" w:rsidRPr="00885F53" w:rsidRDefault="00EB3109" w:rsidP="00255E64">
            <w:pPr>
              <w:pStyle w:val="TAC"/>
            </w:pPr>
          </w:p>
        </w:tc>
        <w:tc>
          <w:tcPr>
            <w:tcW w:w="1245" w:type="pct"/>
          </w:tcPr>
          <w:p w14:paraId="77DFE2C0" w14:textId="77777777" w:rsidR="00EB3109" w:rsidRPr="00885F53" w:rsidRDefault="00EB3109" w:rsidP="00255E64">
            <w:pPr>
              <w:pStyle w:val="TAC"/>
            </w:pPr>
            <w:r w:rsidRPr="00885F53">
              <w:t>30</w:t>
            </w:r>
          </w:p>
        </w:tc>
        <w:tc>
          <w:tcPr>
            <w:tcW w:w="1478" w:type="pct"/>
          </w:tcPr>
          <w:p w14:paraId="630AE9B1" w14:textId="77777777" w:rsidR="00EB3109" w:rsidRPr="00885F53" w:rsidRDefault="00EB3109" w:rsidP="00255E64">
            <w:pPr>
              <w:pStyle w:val="TAC"/>
            </w:pPr>
            <w:r w:rsidRPr="00885F53">
              <w:t>10*64*T</w:t>
            </w:r>
            <w:r w:rsidRPr="00885F53">
              <w:rPr>
                <w:vertAlign w:val="subscript"/>
              </w:rPr>
              <w:t>c</w:t>
            </w:r>
          </w:p>
        </w:tc>
      </w:tr>
      <w:tr w:rsidR="00EB3109" w:rsidRPr="00885F53" w14:paraId="2ED367F4" w14:textId="77777777" w:rsidTr="00EB3109">
        <w:trPr>
          <w:cantSplit/>
          <w:jc w:val="center"/>
        </w:trPr>
        <w:tc>
          <w:tcPr>
            <w:tcW w:w="1033" w:type="pct"/>
            <w:tcBorders>
              <w:top w:val="nil"/>
              <w:bottom w:val="nil"/>
            </w:tcBorders>
            <w:shd w:val="clear" w:color="auto" w:fill="auto"/>
            <w:vAlign w:val="center"/>
          </w:tcPr>
          <w:p w14:paraId="7B862D1B" w14:textId="77777777" w:rsidR="00EB3109" w:rsidRPr="00885F53" w:rsidRDefault="00EB3109" w:rsidP="00255E64">
            <w:pPr>
              <w:pStyle w:val="TAC"/>
            </w:pPr>
          </w:p>
        </w:tc>
        <w:tc>
          <w:tcPr>
            <w:tcW w:w="1244" w:type="pct"/>
            <w:tcBorders>
              <w:top w:val="nil"/>
              <w:bottom w:val="single" w:sz="4" w:space="0" w:color="auto"/>
            </w:tcBorders>
            <w:shd w:val="clear" w:color="auto" w:fill="auto"/>
            <w:vAlign w:val="center"/>
          </w:tcPr>
          <w:p w14:paraId="657D5F9D" w14:textId="77777777" w:rsidR="00EB3109" w:rsidRPr="00885F53" w:rsidRDefault="00EB3109" w:rsidP="00255E64">
            <w:pPr>
              <w:pStyle w:val="TAC"/>
            </w:pPr>
          </w:p>
        </w:tc>
        <w:tc>
          <w:tcPr>
            <w:tcW w:w="1245" w:type="pct"/>
          </w:tcPr>
          <w:p w14:paraId="15C9FF27" w14:textId="77777777" w:rsidR="00EB3109" w:rsidRPr="00885F53" w:rsidRDefault="00EB3109" w:rsidP="00255E64">
            <w:pPr>
              <w:pStyle w:val="TAC"/>
            </w:pPr>
            <w:r w:rsidRPr="00885F53">
              <w:t>60</w:t>
            </w:r>
          </w:p>
        </w:tc>
        <w:tc>
          <w:tcPr>
            <w:tcW w:w="1478" w:type="pct"/>
          </w:tcPr>
          <w:p w14:paraId="014E2AFA" w14:textId="77777777" w:rsidR="00EB3109" w:rsidRPr="00885F53" w:rsidRDefault="00EB3109" w:rsidP="00255E64">
            <w:pPr>
              <w:pStyle w:val="TAC"/>
            </w:pPr>
            <w:r w:rsidRPr="00885F53">
              <w:t>10*64*T</w:t>
            </w:r>
            <w:r w:rsidRPr="00885F53">
              <w:rPr>
                <w:vertAlign w:val="subscript"/>
              </w:rPr>
              <w:t>c</w:t>
            </w:r>
          </w:p>
        </w:tc>
      </w:tr>
      <w:tr w:rsidR="00EB3109" w:rsidRPr="00885F53" w14:paraId="5ACA749F" w14:textId="77777777" w:rsidTr="00EB3109">
        <w:trPr>
          <w:cantSplit/>
          <w:jc w:val="center"/>
        </w:trPr>
        <w:tc>
          <w:tcPr>
            <w:tcW w:w="1033" w:type="pct"/>
            <w:tcBorders>
              <w:top w:val="nil"/>
              <w:bottom w:val="nil"/>
            </w:tcBorders>
            <w:shd w:val="clear" w:color="auto" w:fill="auto"/>
            <w:vAlign w:val="center"/>
          </w:tcPr>
          <w:p w14:paraId="7F47B8C8" w14:textId="77777777" w:rsidR="00EB3109" w:rsidRPr="00885F53" w:rsidRDefault="00EB3109" w:rsidP="00255E64">
            <w:pPr>
              <w:pStyle w:val="TAC"/>
            </w:pPr>
          </w:p>
        </w:tc>
        <w:tc>
          <w:tcPr>
            <w:tcW w:w="1244" w:type="pct"/>
            <w:tcBorders>
              <w:bottom w:val="nil"/>
            </w:tcBorders>
            <w:shd w:val="clear" w:color="auto" w:fill="auto"/>
            <w:vAlign w:val="center"/>
          </w:tcPr>
          <w:p w14:paraId="7D88BE63" w14:textId="77777777" w:rsidR="00EB3109" w:rsidRPr="00885F53" w:rsidRDefault="00EB3109" w:rsidP="00255E64">
            <w:pPr>
              <w:pStyle w:val="TAC"/>
            </w:pPr>
            <w:r w:rsidRPr="00885F53">
              <w:t>30</w:t>
            </w:r>
          </w:p>
        </w:tc>
        <w:tc>
          <w:tcPr>
            <w:tcW w:w="1245" w:type="pct"/>
          </w:tcPr>
          <w:p w14:paraId="01FCC997" w14:textId="77777777" w:rsidR="00EB3109" w:rsidRPr="00885F53" w:rsidRDefault="00EB3109" w:rsidP="00255E64">
            <w:pPr>
              <w:pStyle w:val="TAC"/>
            </w:pPr>
            <w:r w:rsidRPr="00885F53">
              <w:t>15</w:t>
            </w:r>
          </w:p>
        </w:tc>
        <w:tc>
          <w:tcPr>
            <w:tcW w:w="1478" w:type="pct"/>
          </w:tcPr>
          <w:p w14:paraId="59CE4F70" w14:textId="77777777" w:rsidR="00EB3109" w:rsidRPr="00885F53" w:rsidRDefault="00EB3109" w:rsidP="00255E64">
            <w:pPr>
              <w:pStyle w:val="TAC"/>
            </w:pPr>
            <w:r w:rsidRPr="00885F53">
              <w:t>8*64*T</w:t>
            </w:r>
            <w:r w:rsidRPr="00885F53">
              <w:rPr>
                <w:vertAlign w:val="subscript"/>
              </w:rPr>
              <w:t>c</w:t>
            </w:r>
          </w:p>
        </w:tc>
      </w:tr>
      <w:tr w:rsidR="00EB3109" w:rsidRPr="00885F53" w14:paraId="3AE70371" w14:textId="77777777" w:rsidTr="00EB3109">
        <w:trPr>
          <w:cantSplit/>
          <w:jc w:val="center"/>
        </w:trPr>
        <w:tc>
          <w:tcPr>
            <w:tcW w:w="1033" w:type="pct"/>
            <w:tcBorders>
              <w:top w:val="nil"/>
              <w:bottom w:val="nil"/>
            </w:tcBorders>
            <w:shd w:val="clear" w:color="auto" w:fill="auto"/>
            <w:vAlign w:val="center"/>
          </w:tcPr>
          <w:p w14:paraId="23E8EF0D" w14:textId="77777777" w:rsidR="00EB3109" w:rsidRPr="00885F53" w:rsidRDefault="00EB3109" w:rsidP="00255E64">
            <w:pPr>
              <w:pStyle w:val="TAC"/>
            </w:pPr>
          </w:p>
        </w:tc>
        <w:tc>
          <w:tcPr>
            <w:tcW w:w="1244" w:type="pct"/>
            <w:tcBorders>
              <w:top w:val="nil"/>
              <w:bottom w:val="nil"/>
            </w:tcBorders>
            <w:shd w:val="clear" w:color="auto" w:fill="auto"/>
            <w:vAlign w:val="center"/>
          </w:tcPr>
          <w:p w14:paraId="3A277FCB" w14:textId="77777777" w:rsidR="00EB3109" w:rsidRPr="00885F53" w:rsidRDefault="00EB3109" w:rsidP="00255E64">
            <w:pPr>
              <w:pStyle w:val="TAC"/>
            </w:pPr>
          </w:p>
        </w:tc>
        <w:tc>
          <w:tcPr>
            <w:tcW w:w="1245" w:type="pct"/>
          </w:tcPr>
          <w:p w14:paraId="185E5FD2" w14:textId="77777777" w:rsidR="00EB3109" w:rsidRPr="00885F53" w:rsidRDefault="00EB3109" w:rsidP="00255E64">
            <w:pPr>
              <w:pStyle w:val="TAC"/>
            </w:pPr>
            <w:r w:rsidRPr="00885F53">
              <w:t>30</w:t>
            </w:r>
          </w:p>
        </w:tc>
        <w:tc>
          <w:tcPr>
            <w:tcW w:w="1478" w:type="pct"/>
          </w:tcPr>
          <w:p w14:paraId="778EC34B" w14:textId="77777777" w:rsidR="00EB3109" w:rsidRPr="00885F53" w:rsidRDefault="00EB3109" w:rsidP="00255E64">
            <w:pPr>
              <w:pStyle w:val="TAC"/>
            </w:pPr>
            <w:r w:rsidRPr="00885F53">
              <w:t>8*64*T</w:t>
            </w:r>
            <w:r w:rsidRPr="00885F53">
              <w:rPr>
                <w:vertAlign w:val="subscript"/>
              </w:rPr>
              <w:t>c</w:t>
            </w:r>
          </w:p>
        </w:tc>
      </w:tr>
      <w:tr w:rsidR="00EB3109" w:rsidRPr="00885F53" w14:paraId="7ECB03B4" w14:textId="77777777" w:rsidTr="00EB3109">
        <w:trPr>
          <w:cantSplit/>
          <w:jc w:val="center"/>
        </w:trPr>
        <w:tc>
          <w:tcPr>
            <w:tcW w:w="1033" w:type="pct"/>
            <w:tcBorders>
              <w:top w:val="nil"/>
              <w:bottom w:val="single" w:sz="4" w:space="0" w:color="auto"/>
            </w:tcBorders>
            <w:shd w:val="clear" w:color="auto" w:fill="auto"/>
            <w:vAlign w:val="center"/>
          </w:tcPr>
          <w:p w14:paraId="4B7BCECE" w14:textId="77777777" w:rsidR="00EB3109" w:rsidRPr="00885F53" w:rsidRDefault="00EB3109" w:rsidP="00255E64">
            <w:pPr>
              <w:pStyle w:val="TAC"/>
            </w:pPr>
          </w:p>
        </w:tc>
        <w:tc>
          <w:tcPr>
            <w:tcW w:w="1244" w:type="pct"/>
            <w:tcBorders>
              <w:top w:val="nil"/>
              <w:bottom w:val="single" w:sz="4" w:space="0" w:color="auto"/>
            </w:tcBorders>
            <w:shd w:val="clear" w:color="auto" w:fill="auto"/>
            <w:vAlign w:val="center"/>
          </w:tcPr>
          <w:p w14:paraId="67B99CFC" w14:textId="77777777" w:rsidR="00EB3109" w:rsidRPr="00885F53" w:rsidRDefault="00EB3109" w:rsidP="00255E64">
            <w:pPr>
              <w:pStyle w:val="TAC"/>
            </w:pPr>
          </w:p>
        </w:tc>
        <w:tc>
          <w:tcPr>
            <w:tcW w:w="1245" w:type="pct"/>
          </w:tcPr>
          <w:p w14:paraId="56C85BD1" w14:textId="77777777" w:rsidR="00EB3109" w:rsidRPr="00885F53" w:rsidRDefault="00EB3109" w:rsidP="00255E64">
            <w:pPr>
              <w:pStyle w:val="TAC"/>
            </w:pPr>
            <w:r w:rsidRPr="00885F53">
              <w:t>60</w:t>
            </w:r>
          </w:p>
        </w:tc>
        <w:tc>
          <w:tcPr>
            <w:tcW w:w="1478" w:type="pct"/>
          </w:tcPr>
          <w:p w14:paraId="5F774CD2" w14:textId="77777777" w:rsidR="00EB3109" w:rsidRPr="00885F53" w:rsidRDefault="00EB3109" w:rsidP="00255E64">
            <w:pPr>
              <w:pStyle w:val="TAC"/>
            </w:pPr>
            <w:r w:rsidRPr="00885F53">
              <w:t>7*64*T</w:t>
            </w:r>
            <w:r w:rsidRPr="00885F53">
              <w:rPr>
                <w:vertAlign w:val="subscript"/>
              </w:rPr>
              <w:t>c</w:t>
            </w:r>
          </w:p>
        </w:tc>
      </w:tr>
      <w:tr w:rsidR="00EB3109" w:rsidRPr="00885F53" w14:paraId="7B2C8B03" w14:textId="77777777" w:rsidTr="00EB3109">
        <w:trPr>
          <w:cantSplit/>
          <w:jc w:val="center"/>
        </w:trPr>
        <w:tc>
          <w:tcPr>
            <w:tcW w:w="1033" w:type="pct"/>
            <w:tcBorders>
              <w:bottom w:val="nil"/>
            </w:tcBorders>
            <w:shd w:val="clear" w:color="auto" w:fill="auto"/>
            <w:vAlign w:val="center"/>
          </w:tcPr>
          <w:p w14:paraId="4D5A146A" w14:textId="77777777" w:rsidR="00EB3109" w:rsidRPr="00885F53" w:rsidRDefault="00EB3109" w:rsidP="00255E64">
            <w:pPr>
              <w:pStyle w:val="TAC"/>
            </w:pPr>
            <w:r w:rsidRPr="00885F53">
              <w:t>2</w:t>
            </w:r>
          </w:p>
        </w:tc>
        <w:tc>
          <w:tcPr>
            <w:tcW w:w="1244" w:type="pct"/>
            <w:tcBorders>
              <w:bottom w:val="nil"/>
            </w:tcBorders>
            <w:shd w:val="clear" w:color="auto" w:fill="auto"/>
            <w:vAlign w:val="center"/>
          </w:tcPr>
          <w:p w14:paraId="13CE0273" w14:textId="77777777" w:rsidR="00EB3109" w:rsidRPr="00885F53" w:rsidRDefault="00EB3109" w:rsidP="00255E64">
            <w:pPr>
              <w:pStyle w:val="TAC"/>
            </w:pPr>
            <w:r w:rsidRPr="00885F53">
              <w:t>120</w:t>
            </w:r>
          </w:p>
        </w:tc>
        <w:tc>
          <w:tcPr>
            <w:tcW w:w="1245" w:type="pct"/>
          </w:tcPr>
          <w:p w14:paraId="6140A462" w14:textId="77777777" w:rsidR="00EB3109" w:rsidRPr="00885F53" w:rsidRDefault="00EB3109" w:rsidP="00255E64">
            <w:pPr>
              <w:pStyle w:val="TAC"/>
            </w:pPr>
            <w:r w:rsidRPr="00885F53">
              <w:t>60</w:t>
            </w:r>
          </w:p>
        </w:tc>
        <w:tc>
          <w:tcPr>
            <w:tcW w:w="1478" w:type="pct"/>
          </w:tcPr>
          <w:p w14:paraId="07EF1CB2" w14:textId="77777777" w:rsidR="00EB3109" w:rsidRPr="00885F53" w:rsidRDefault="00EB3109" w:rsidP="00255E64">
            <w:pPr>
              <w:pStyle w:val="TAC"/>
            </w:pPr>
            <w:r w:rsidRPr="00885F53">
              <w:t>3.5*64*T</w:t>
            </w:r>
            <w:r w:rsidRPr="00885F53">
              <w:rPr>
                <w:vertAlign w:val="subscript"/>
              </w:rPr>
              <w:t>c</w:t>
            </w:r>
          </w:p>
        </w:tc>
      </w:tr>
      <w:tr w:rsidR="00EB3109" w:rsidRPr="00885F53" w14:paraId="3490F0D5" w14:textId="77777777" w:rsidTr="00EB3109">
        <w:trPr>
          <w:cantSplit/>
          <w:jc w:val="center"/>
        </w:trPr>
        <w:tc>
          <w:tcPr>
            <w:tcW w:w="1033" w:type="pct"/>
            <w:tcBorders>
              <w:top w:val="nil"/>
              <w:bottom w:val="nil"/>
            </w:tcBorders>
            <w:shd w:val="clear" w:color="auto" w:fill="auto"/>
            <w:vAlign w:val="center"/>
          </w:tcPr>
          <w:p w14:paraId="76DDF4B0" w14:textId="77777777" w:rsidR="00EB3109" w:rsidRPr="00885F53" w:rsidRDefault="00EB3109" w:rsidP="00255E64">
            <w:pPr>
              <w:pStyle w:val="TAC"/>
            </w:pPr>
          </w:p>
        </w:tc>
        <w:tc>
          <w:tcPr>
            <w:tcW w:w="1244" w:type="pct"/>
            <w:tcBorders>
              <w:top w:val="nil"/>
              <w:bottom w:val="single" w:sz="4" w:space="0" w:color="auto"/>
            </w:tcBorders>
            <w:shd w:val="clear" w:color="auto" w:fill="auto"/>
            <w:vAlign w:val="center"/>
          </w:tcPr>
          <w:p w14:paraId="3C00F4DB" w14:textId="77777777" w:rsidR="00EB3109" w:rsidRPr="00885F53" w:rsidRDefault="00EB3109" w:rsidP="00255E64">
            <w:pPr>
              <w:pStyle w:val="TAC"/>
            </w:pPr>
          </w:p>
        </w:tc>
        <w:tc>
          <w:tcPr>
            <w:tcW w:w="1245" w:type="pct"/>
          </w:tcPr>
          <w:p w14:paraId="0BBE4536" w14:textId="77777777" w:rsidR="00EB3109" w:rsidRPr="00885F53" w:rsidRDefault="00EB3109" w:rsidP="00255E64">
            <w:pPr>
              <w:pStyle w:val="TAC"/>
            </w:pPr>
            <w:r w:rsidRPr="00885F53">
              <w:t>120</w:t>
            </w:r>
          </w:p>
        </w:tc>
        <w:tc>
          <w:tcPr>
            <w:tcW w:w="1478" w:type="pct"/>
          </w:tcPr>
          <w:p w14:paraId="1D71DF51" w14:textId="77777777" w:rsidR="00EB3109" w:rsidRPr="00885F53" w:rsidRDefault="00EB3109" w:rsidP="00255E64">
            <w:pPr>
              <w:pStyle w:val="TAC"/>
            </w:pPr>
            <w:r w:rsidRPr="00885F53">
              <w:t>3.5*64*T</w:t>
            </w:r>
            <w:r w:rsidRPr="00885F53">
              <w:rPr>
                <w:vertAlign w:val="subscript"/>
              </w:rPr>
              <w:t>c</w:t>
            </w:r>
          </w:p>
        </w:tc>
      </w:tr>
      <w:tr w:rsidR="00EB3109" w:rsidRPr="00885F53" w14:paraId="33BF0CF9" w14:textId="77777777" w:rsidTr="00EB3109">
        <w:trPr>
          <w:cantSplit/>
          <w:jc w:val="center"/>
        </w:trPr>
        <w:tc>
          <w:tcPr>
            <w:tcW w:w="1033" w:type="pct"/>
            <w:tcBorders>
              <w:top w:val="nil"/>
              <w:bottom w:val="nil"/>
            </w:tcBorders>
            <w:shd w:val="clear" w:color="auto" w:fill="auto"/>
            <w:vAlign w:val="center"/>
          </w:tcPr>
          <w:p w14:paraId="3773DD04" w14:textId="77777777" w:rsidR="00EB3109" w:rsidRPr="00885F53" w:rsidRDefault="00EB3109" w:rsidP="00255E64">
            <w:pPr>
              <w:pStyle w:val="TAC"/>
            </w:pPr>
          </w:p>
        </w:tc>
        <w:tc>
          <w:tcPr>
            <w:tcW w:w="1244" w:type="pct"/>
            <w:tcBorders>
              <w:bottom w:val="nil"/>
            </w:tcBorders>
            <w:shd w:val="clear" w:color="auto" w:fill="auto"/>
            <w:vAlign w:val="center"/>
          </w:tcPr>
          <w:p w14:paraId="72F2C0C9" w14:textId="77777777" w:rsidR="00EB3109" w:rsidRPr="00885F53" w:rsidRDefault="00EB3109" w:rsidP="00255E64">
            <w:pPr>
              <w:pStyle w:val="TAC"/>
            </w:pPr>
            <w:r w:rsidRPr="00885F53">
              <w:t>240</w:t>
            </w:r>
          </w:p>
        </w:tc>
        <w:tc>
          <w:tcPr>
            <w:tcW w:w="1245" w:type="pct"/>
          </w:tcPr>
          <w:p w14:paraId="65DAD328" w14:textId="77777777" w:rsidR="00EB3109" w:rsidRPr="00885F53" w:rsidRDefault="00EB3109" w:rsidP="00255E64">
            <w:pPr>
              <w:pStyle w:val="TAC"/>
            </w:pPr>
            <w:r w:rsidRPr="00885F53">
              <w:t>60</w:t>
            </w:r>
          </w:p>
        </w:tc>
        <w:tc>
          <w:tcPr>
            <w:tcW w:w="1478" w:type="pct"/>
          </w:tcPr>
          <w:p w14:paraId="16E3945A" w14:textId="77777777" w:rsidR="00EB3109" w:rsidRPr="00885F53" w:rsidRDefault="00EB3109" w:rsidP="00255E64">
            <w:pPr>
              <w:pStyle w:val="TAC"/>
            </w:pPr>
            <w:r w:rsidRPr="00885F53">
              <w:t>3*64*T</w:t>
            </w:r>
            <w:r w:rsidRPr="00885F53">
              <w:rPr>
                <w:vertAlign w:val="subscript"/>
              </w:rPr>
              <w:t>c</w:t>
            </w:r>
          </w:p>
        </w:tc>
      </w:tr>
      <w:tr w:rsidR="00EB3109" w:rsidRPr="00885F53" w14:paraId="3E94D3C5" w14:textId="77777777" w:rsidTr="00EB3109">
        <w:trPr>
          <w:cantSplit/>
          <w:jc w:val="center"/>
        </w:trPr>
        <w:tc>
          <w:tcPr>
            <w:tcW w:w="1033" w:type="pct"/>
            <w:tcBorders>
              <w:top w:val="nil"/>
            </w:tcBorders>
            <w:shd w:val="clear" w:color="auto" w:fill="auto"/>
          </w:tcPr>
          <w:p w14:paraId="436182D9" w14:textId="77777777" w:rsidR="00EB3109" w:rsidRPr="00885F53" w:rsidRDefault="00EB3109" w:rsidP="00255E64">
            <w:pPr>
              <w:pStyle w:val="TAC"/>
            </w:pPr>
          </w:p>
        </w:tc>
        <w:tc>
          <w:tcPr>
            <w:tcW w:w="1244" w:type="pct"/>
            <w:tcBorders>
              <w:top w:val="nil"/>
            </w:tcBorders>
            <w:shd w:val="clear" w:color="auto" w:fill="auto"/>
          </w:tcPr>
          <w:p w14:paraId="0EE5A93C" w14:textId="77777777" w:rsidR="00EB3109" w:rsidRPr="00885F53" w:rsidRDefault="00EB3109" w:rsidP="00255E64">
            <w:pPr>
              <w:pStyle w:val="TAC"/>
            </w:pPr>
          </w:p>
        </w:tc>
        <w:tc>
          <w:tcPr>
            <w:tcW w:w="1245" w:type="pct"/>
          </w:tcPr>
          <w:p w14:paraId="1B9A1394" w14:textId="77777777" w:rsidR="00EB3109" w:rsidRPr="00885F53" w:rsidRDefault="00EB3109" w:rsidP="00255E64">
            <w:pPr>
              <w:pStyle w:val="TAC"/>
            </w:pPr>
            <w:r w:rsidRPr="00885F53">
              <w:t>120</w:t>
            </w:r>
          </w:p>
        </w:tc>
        <w:tc>
          <w:tcPr>
            <w:tcW w:w="1478" w:type="pct"/>
          </w:tcPr>
          <w:p w14:paraId="00EDD1C3" w14:textId="77777777" w:rsidR="00EB3109" w:rsidRPr="00885F53" w:rsidRDefault="00EB3109" w:rsidP="00255E64">
            <w:pPr>
              <w:pStyle w:val="TAC"/>
            </w:pPr>
            <w:r w:rsidRPr="00885F53">
              <w:t>3*64*T</w:t>
            </w:r>
            <w:r w:rsidRPr="00885F53">
              <w:rPr>
                <w:vertAlign w:val="subscript"/>
              </w:rPr>
              <w:t>c</w:t>
            </w:r>
          </w:p>
        </w:tc>
      </w:tr>
      <w:tr w:rsidR="00C8152E" w:rsidRPr="00885F53" w14:paraId="35386A07" w14:textId="77777777" w:rsidTr="00A4061E">
        <w:trPr>
          <w:cantSplit/>
          <w:jc w:val="center"/>
        </w:trPr>
        <w:tc>
          <w:tcPr>
            <w:tcW w:w="5000" w:type="pct"/>
            <w:gridSpan w:val="4"/>
          </w:tcPr>
          <w:p w14:paraId="6E8D13AB" w14:textId="07294C34" w:rsidR="00C8152E" w:rsidRPr="00885F53" w:rsidRDefault="00C8152E" w:rsidP="00EB3109">
            <w:pPr>
              <w:pStyle w:val="TAN"/>
            </w:pPr>
            <w:r w:rsidRPr="00885F53">
              <w:rPr>
                <w:rFonts w:cs="Arial"/>
              </w:rPr>
              <w:t>Note</w:t>
            </w:r>
            <w:r w:rsidRPr="00885F53">
              <w:t xml:space="preserve"> 1:</w:t>
            </w:r>
            <w:r w:rsidRPr="00885F53">
              <w:tab/>
              <w:t>T</w:t>
            </w:r>
            <w:r w:rsidRPr="00885F53">
              <w:rPr>
                <w:vertAlign w:val="subscript"/>
              </w:rPr>
              <w:t>c</w:t>
            </w:r>
            <w:r w:rsidRPr="00885F53">
              <w:t xml:space="preserve"> is the basic timing unit defined in TS 38.211 [</w:t>
            </w:r>
            <w:r w:rsidR="00954C1E">
              <w:t>8</w:t>
            </w:r>
            <w:r w:rsidRPr="00885F53">
              <w:t>]</w:t>
            </w:r>
          </w:p>
        </w:tc>
      </w:tr>
    </w:tbl>
    <w:p w14:paraId="50485F64" w14:textId="77777777" w:rsidR="00C8152E" w:rsidRPr="00885F53" w:rsidRDefault="00C8152E" w:rsidP="00C8152E">
      <w:pPr>
        <w:rPr>
          <w:snapToGrid w:val="0"/>
        </w:rPr>
      </w:pPr>
    </w:p>
    <w:p w14:paraId="038058CC" w14:textId="77777777" w:rsidR="00C8152E" w:rsidRPr="00885F53" w:rsidRDefault="00C8152E" w:rsidP="00EB3109">
      <w:pPr>
        <w:pStyle w:val="TH"/>
      </w:pPr>
      <w:r w:rsidRPr="00885F53">
        <w:t xml:space="preserve">Table </w:t>
      </w:r>
      <w:r>
        <w:t>12</w:t>
      </w:r>
      <w:r w:rsidRPr="00885F53">
        <w:t>.</w:t>
      </w:r>
      <w:r>
        <w:t>2.1.</w:t>
      </w:r>
      <w:r w:rsidRPr="00885F53">
        <w:t xml:space="preserve">2-2: The Value of </w:t>
      </w:r>
      <w:r w:rsidRPr="00885F53">
        <w:rPr>
          <w:noProof/>
          <w:position w:val="-10"/>
          <w:lang w:val="en-US" w:eastAsia="zh-CN"/>
        </w:rPr>
        <w:drawing>
          <wp:inline distT="0" distB="0" distL="0" distR="0" wp14:anchorId="65CBF27A" wp14:editId="5C2228A1">
            <wp:extent cx="494665" cy="187960"/>
            <wp:effectExtent l="0" t="0" r="635" b="2540"/>
            <wp:docPr id="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8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94665" cy="187960"/>
                    </a:xfrm>
                    <a:prstGeom prst="rect">
                      <a:avLst/>
                    </a:prstGeom>
                    <a:noFill/>
                    <a:ln>
                      <a:noFill/>
                    </a:ln>
                  </pic:spPr>
                </pic:pic>
              </a:graphicData>
            </a:graphic>
          </wp:inline>
        </w:drawing>
      </w:r>
    </w:p>
    <w:tbl>
      <w:tblPr>
        <w:tblW w:w="36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76"/>
        <w:gridCol w:w="2439"/>
      </w:tblGrid>
      <w:tr w:rsidR="00C8152E" w:rsidRPr="00885F53" w14:paraId="1F4C006E" w14:textId="77777777" w:rsidTr="00A4061E">
        <w:trPr>
          <w:cantSplit/>
          <w:jc w:val="center"/>
        </w:trPr>
        <w:tc>
          <w:tcPr>
            <w:tcW w:w="3286" w:type="pct"/>
          </w:tcPr>
          <w:p w14:paraId="6DDB38F0" w14:textId="77777777" w:rsidR="00C8152E" w:rsidRPr="00885F53" w:rsidRDefault="00C8152E" w:rsidP="00255E64">
            <w:pPr>
              <w:pStyle w:val="TAH"/>
              <w:rPr>
                <w:lang w:eastAsia="zh-CN"/>
              </w:rPr>
            </w:pPr>
            <w:r w:rsidRPr="00885F53">
              <w:t>Frequency range and band of cell used for uplink transmission</w:t>
            </w:r>
          </w:p>
        </w:tc>
        <w:tc>
          <w:tcPr>
            <w:tcW w:w="1714" w:type="pct"/>
          </w:tcPr>
          <w:p w14:paraId="0E243D30" w14:textId="77777777" w:rsidR="00C8152E" w:rsidRPr="00885F53" w:rsidRDefault="00C8152E" w:rsidP="00255E64">
            <w:pPr>
              <w:pStyle w:val="TAH"/>
            </w:pPr>
            <w:r w:rsidRPr="00885F53">
              <w:rPr>
                <w:noProof/>
                <w:position w:val="-10"/>
                <w:lang w:val="en-US" w:eastAsia="zh-CN"/>
              </w:rPr>
              <w:drawing>
                <wp:inline distT="0" distB="0" distL="0" distR="0" wp14:anchorId="257DA16D" wp14:editId="5FA68C84">
                  <wp:extent cx="494665" cy="187960"/>
                  <wp:effectExtent l="0" t="0" r="635" b="25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8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94665" cy="187960"/>
                          </a:xfrm>
                          <a:prstGeom prst="rect">
                            <a:avLst/>
                          </a:prstGeom>
                          <a:noFill/>
                          <a:ln>
                            <a:noFill/>
                          </a:ln>
                        </pic:spPr>
                      </pic:pic>
                    </a:graphicData>
                  </a:graphic>
                </wp:inline>
              </w:drawing>
            </w:r>
            <w:r w:rsidRPr="00885F53">
              <w:t>(Unit: T</w:t>
            </w:r>
            <w:r w:rsidRPr="00885F53">
              <w:rPr>
                <w:vertAlign w:val="subscript"/>
              </w:rPr>
              <w:t>C</w:t>
            </w:r>
            <w:r w:rsidRPr="00885F53">
              <w:t>)</w:t>
            </w:r>
          </w:p>
        </w:tc>
      </w:tr>
      <w:tr w:rsidR="00C8152E" w:rsidRPr="00885F53" w14:paraId="7BBDECAB" w14:textId="77777777" w:rsidTr="00A4061E">
        <w:trPr>
          <w:cantSplit/>
          <w:jc w:val="center"/>
        </w:trPr>
        <w:tc>
          <w:tcPr>
            <w:tcW w:w="3286" w:type="pct"/>
          </w:tcPr>
          <w:p w14:paraId="41B932F5" w14:textId="77777777" w:rsidR="00C8152E" w:rsidRPr="00885F53" w:rsidRDefault="00C8152E" w:rsidP="00255E64">
            <w:pPr>
              <w:pStyle w:val="TAL"/>
              <w:rPr>
                <w:rFonts w:eastAsia="MS Mincho"/>
                <w:lang w:eastAsia="ja-JP"/>
              </w:rPr>
            </w:pPr>
            <w:r w:rsidRPr="00885F53">
              <w:rPr>
                <w:rFonts w:eastAsia="MS Mincho"/>
                <w:lang w:eastAsia="ja-JP"/>
              </w:rPr>
              <w:t>FR1 T</w:t>
            </w:r>
            <w:r w:rsidRPr="00885F53">
              <w:t>DD band without LTE-NR coexistence case</w:t>
            </w:r>
            <w:r w:rsidRPr="00885F53">
              <w:rPr>
                <w:rFonts w:ascii="MS Mincho" w:eastAsia="MS Mincho" w:hAnsi="MS Mincho"/>
                <w:lang w:eastAsia="ja-JP"/>
              </w:rPr>
              <w:t xml:space="preserve"> </w:t>
            </w:r>
          </w:p>
        </w:tc>
        <w:tc>
          <w:tcPr>
            <w:tcW w:w="1714" w:type="pct"/>
          </w:tcPr>
          <w:p w14:paraId="78E4C747" w14:textId="77777777" w:rsidR="00C8152E" w:rsidRPr="00885F53" w:rsidRDefault="00C8152E" w:rsidP="00255E64">
            <w:pPr>
              <w:pStyle w:val="TAL"/>
              <w:rPr>
                <w:rFonts w:eastAsia="MS Mincho" w:cs="v4.2.0"/>
                <w:lang w:eastAsia="ja-JP"/>
              </w:rPr>
            </w:pPr>
            <w:r w:rsidRPr="00885F53">
              <w:rPr>
                <w:rFonts w:cs="v4.2.0"/>
                <w:lang w:eastAsia="ja-JP"/>
              </w:rPr>
              <w:t>2560</w:t>
            </w:r>
            <w:r w:rsidRPr="00885F53">
              <w:rPr>
                <w:rFonts w:cs="v4.2.0"/>
              </w:rPr>
              <w:t>0</w:t>
            </w:r>
            <w:r w:rsidRPr="00885F53">
              <w:rPr>
                <w:rFonts w:eastAsia="MS Mincho" w:cs="v4.2.0"/>
                <w:lang w:eastAsia="ja-JP"/>
              </w:rPr>
              <w:t xml:space="preserve"> (Note 1)</w:t>
            </w:r>
          </w:p>
        </w:tc>
      </w:tr>
      <w:tr w:rsidR="00C8152E" w:rsidRPr="00885F53" w14:paraId="2D8C482B" w14:textId="77777777" w:rsidTr="00A4061E">
        <w:trPr>
          <w:cantSplit/>
          <w:jc w:val="center"/>
        </w:trPr>
        <w:tc>
          <w:tcPr>
            <w:tcW w:w="3286" w:type="pct"/>
          </w:tcPr>
          <w:p w14:paraId="402D6251" w14:textId="77777777" w:rsidR="00C8152E" w:rsidRPr="00885F53" w:rsidRDefault="00C8152E" w:rsidP="00255E64">
            <w:pPr>
              <w:pStyle w:val="TAL"/>
              <w:rPr>
                <w:rFonts w:eastAsia="MS Mincho"/>
                <w:lang w:eastAsia="ja-JP"/>
              </w:rPr>
            </w:pPr>
            <w:r w:rsidRPr="00885F53">
              <w:t>FR1 TDD band</w:t>
            </w:r>
            <w:r w:rsidRPr="00885F53">
              <w:rPr>
                <w:rFonts w:eastAsia="MS Mincho"/>
                <w:lang w:eastAsia="ja-JP"/>
              </w:rPr>
              <w:t xml:space="preserve"> </w:t>
            </w:r>
            <w:r w:rsidRPr="00885F53">
              <w:rPr>
                <w:lang w:eastAsia="zh-CN"/>
              </w:rPr>
              <w:t>with LTE-NR coexistence case</w:t>
            </w:r>
          </w:p>
        </w:tc>
        <w:tc>
          <w:tcPr>
            <w:tcW w:w="1714" w:type="pct"/>
          </w:tcPr>
          <w:p w14:paraId="2821A38E" w14:textId="77777777" w:rsidR="00C8152E" w:rsidRPr="00885F53" w:rsidRDefault="00C8152E" w:rsidP="00255E64">
            <w:pPr>
              <w:pStyle w:val="TAL"/>
              <w:rPr>
                <w:rFonts w:cs="v4.2.0"/>
                <w:lang w:eastAsia="zh-CN"/>
              </w:rPr>
            </w:pPr>
            <w:r w:rsidRPr="00885F53">
              <w:rPr>
                <w:rFonts w:cs="v4.2.0"/>
              </w:rPr>
              <w:t>39936</w:t>
            </w:r>
            <w:r w:rsidRPr="00885F53">
              <w:rPr>
                <w:rFonts w:cs="v4.2.0"/>
                <w:lang w:eastAsia="zh-CN"/>
              </w:rPr>
              <w:t xml:space="preserve"> (Note 1)</w:t>
            </w:r>
          </w:p>
        </w:tc>
      </w:tr>
      <w:tr w:rsidR="00C8152E" w:rsidRPr="00885F53" w14:paraId="112721BB" w14:textId="77777777" w:rsidTr="00A4061E">
        <w:trPr>
          <w:cantSplit/>
          <w:jc w:val="center"/>
        </w:trPr>
        <w:tc>
          <w:tcPr>
            <w:tcW w:w="3286" w:type="pct"/>
          </w:tcPr>
          <w:p w14:paraId="79B95B54" w14:textId="77777777" w:rsidR="00C8152E" w:rsidRPr="00885F53" w:rsidDel="00E06E79" w:rsidRDefault="00C8152E" w:rsidP="00255E64">
            <w:pPr>
              <w:pStyle w:val="TAL"/>
            </w:pPr>
            <w:r w:rsidRPr="00885F53">
              <w:t>FR2</w:t>
            </w:r>
          </w:p>
        </w:tc>
        <w:tc>
          <w:tcPr>
            <w:tcW w:w="1714" w:type="pct"/>
          </w:tcPr>
          <w:p w14:paraId="56F1B12E" w14:textId="77777777" w:rsidR="00C8152E" w:rsidRPr="00885F53" w:rsidDel="00E06E79" w:rsidRDefault="00C8152E" w:rsidP="00255E64">
            <w:pPr>
              <w:pStyle w:val="TAL"/>
              <w:rPr>
                <w:rFonts w:cs="v4.2.0"/>
              </w:rPr>
            </w:pPr>
            <w:r w:rsidRPr="00885F53">
              <w:rPr>
                <w:rFonts w:cs="v4.2.0"/>
              </w:rPr>
              <w:t>13792</w:t>
            </w:r>
          </w:p>
        </w:tc>
      </w:tr>
      <w:tr w:rsidR="00C8152E" w:rsidRPr="00885F53" w14:paraId="01A12739" w14:textId="77777777" w:rsidTr="00A4061E">
        <w:trPr>
          <w:cantSplit/>
          <w:jc w:val="center"/>
        </w:trPr>
        <w:tc>
          <w:tcPr>
            <w:tcW w:w="5000" w:type="pct"/>
            <w:gridSpan w:val="2"/>
          </w:tcPr>
          <w:p w14:paraId="2545CB9E" w14:textId="565D2A66" w:rsidR="00C8152E" w:rsidRPr="00885F53" w:rsidRDefault="00C8152E" w:rsidP="00255E64">
            <w:pPr>
              <w:pStyle w:val="TAN"/>
            </w:pPr>
            <w:r w:rsidRPr="00885F53">
              <w:t>Note 1:</w:t>
            </w:r>
            <w:r w:rsidRPr="00885F53">
              <w:tab/>
              <w:t xml:space="preserve">The </w:t>
            </w:r>
            <w:r>
              <w:t>IAB-MT</w:t>
            </w:r>
            <w:r w:rsidRPr="00885F53">
              <w:t xml:space="preserve"> identifies </w:t>
            </w:r>
            <w:r w:rsidRPr="00885F53">
              <w:rPr>
                <w:b/>
                <w:noProof/>
                <w:position w:val="-10"/>
                <w:lang w:val="en-US" w:eastAsia="zh-CN"/>
              </w:rPr>
              <w:drawing>
                <wp:inline distT="0" distB="0" distL="0" distR="0" wp14:anchorId="13698D75" wp14:editId="53646B63">
                  <wp:extent cx="494665" cy="187960"/>
                  <wp:effectExtent l="0" t="0" r="635" b="2540"/>
                  <wp:docPr id="4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8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94665" cy="187960"/>
                          </a:xfrm>
                          <a:prstGeom prst="rect">
                            <a:avLst/>
                          </a:prstGeom>
                          <a:noFill/>
                          <a:ln>
                            <a:noFill/>
                          </a:ln>
                        </pic:spPr>
                      </pic:pic>
                    </a:graphicData>
                  </a:graphic>
                </wp:inline>
              </w:drawing>
            </w:r>
            <w:r w:rsidRPr="00885F53">
              <w:t xml:space="preserve"> based on the information n-TimingAdvanceOffset</w:t>
            </w:r>
            <w:r w:rsidRPr="00885F53" w:rsidDel="00406F3A">
              <w:t xml:space="preserve"> </w:t>
            </w:r>
            <w:r w:rsidRPr="00885F53">
              <w:t>as specified in TS 38.331 [</w:t>
            </w:r>
            <w:r w:rsidR="00954C1E">
              <w:t>15</w:t>
            </w:r>
            <w:r w:rsidRPr="00885F53">
              <w:t xml:space="preserve">]. If </w:t>
            </w:r>
            <w:r>
              <w:t>IAB-MT</w:t>
            </w:r>
            <w:r w:rsidRPr="00885F53">
              <w:t xml:space="preserve"> is not provided with the information n-TimingAdvanceOffset, the default value of </w:t>
            </w:r>
            <w:r w:rsidRPr="00885F53">
              <w:rPr>
                <w:b/>
                <w:noProof/>
                <w:position w:val="-10"/>
                <w:lang w:val="en-US" w:eastAsia="zh-CN"/>
              </w:rPr>
              <w:drawing>
                <wp:inline distT="0" distB="0" distL="0" distR="0" wp14:anchorId="4E78A369" wp14:editId="0521C2F2">
                  <wp:extent cx="494665" cy="187960"/>
                  <wp:effectExtent l="0" t="0" r="635" b="2540"/>
                  <wp:docPr id="4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87"/>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94665" cy="187960"/>
                          </a:xfrm>
                          <a:prstGeom prst="rect">
                            <a:avLst/>
                          </a:prstGeom>
                          <a:noFill/>
                          <a:ln>
                            <a:noFill/>
                          </a:ln>
                        </pic:spPr>
                      </pic:pic>
                    </a:graphicData>
                  </a:graphic>
                </wp:inline>
              </w:drawing>
            </w:r>
            <w:r w:rsidRPr="00885F53">
              <w:t xml:space="preserve"> is set as </w:t>
            </w:r>
            <w:r w:rsidRPr="00885F53">
              <w:rPr>
                <w:lang w:eastAsia="ja-JP"/>
              </w:rPr>
              <w:t>2560</w:t>
            </w:r>
            <w:r w:rsidRPr="00885F53">
              <w:t>0 for FR1 band.</w:t>
            </w:r>
          </w:p>
        </w:tc>
      </w:tr>
    </w:tbl>
    <w:p w14:paraId="1E6A5960" w14:textId="77777777" w:rsidR="00C8152E" w:rsidRPr="00885F53" w:rsidRDefault="00C8152E" w:rsidP="00C8152E"/>
    <w:p w14:paraId="70F37D08" w14:textId="12642B49" w:rsidR="00C8152E" w:rsidRPr="00885F53" w:rsidRDefault="00C8152E" w:rsidP="00C8152E">
      <w:pPr>
        <w:rPr>
          <w:rFonts w:cs="v4.2.0"/>
        </w:rPr>
      </w:pPr>
      <w:r w:rsidRPr="00885F53">
        <w:lastRenderedPageBreak/>
        <w:t xml:space="preserve">When it is the transmission for PUCCH, PUSCH and SRS transmission, </w:t>
      </w:r>
      <w:r w:rsidRPr="00885F53">
        <w:rPr>
          <w:rFonts w:cs="v4.2.0"/>
        </w:rPr>
        <w:t xml:space="preserve">the </w:t>
      </w:r>
      <w:r>
        <w:rPr>
          <w:rFonts w:cs="v4.2.0"/>
        </w:rPr>
        <w:t>IAB-MT</w:t>
      </w:r>
      <w:r w:rsidRPr="00885F53">
        <w:rPr>
          <w:rFonts w:cs="v4.2.0"/>
        </w:rPr>
        <w:t xml:space="preserve"> shall be capable of changing the transmission timing according to the received downlink frame of the reference cell</w:t>
      </w:r>
      <w:r w:rsidRPr="00885F53">
        <w:t xml:space="preserve"> except when the timing advance in clause </w:t>
      </w:r>
      <w:r>
        <w:t>12.2.</w:t>
      </w:r>
      <w:r w:rsidR="00954C1E">
        <w:t>3</w:t>
      </w:r>
      <w:r w:rsidR="00954C1E" w:rsidRPr="00885F53">
        <w:t xml:space="preserve"> </w:t>
      </w:r>
      <w:r w:rsidRPr="00885F53">
        <w:t>is applied.</w:t>
      </w:r>
    </w:p>
    <w:p w14:paraId="48109A59" w14:textId="77777777" w:rsidR="00C8152E" w:rsidRPr="004E1253" w:rsidRDefault="00C8152E" w:rsidP="00C8152E">
      <w:pPr>
        <w:pStyle w:val="Heading5"/>
        <w:rPr>
          <w:rFonts w:eastAsia="SimSun"/>
          <w:b/>
          <w:bCs/>
          <w:lang w:eastAsia="zh-CN"/>
        </w:rPr>
      </w:pPr>
      <w:bookmarkStart w:id="8381" w:name="_Toc53185595"/>
      <w:bookmarkStart w:id="8382" w:name="_Toc53185971"/>
      <w:bookmarkStart w:id="8383" w:name="_Toc57820457"/>
      <w:bookmarkStart w:id="8384" w:name="_Toc57821384"/>
      <w:bookmarkStart w:id="8385" w:name="_Toc61183660"/>
      <w:bookmarkStart w:id="8386" w:name="_Toc61184054"/>
      <w:bookmarkStart w:id="8387" w:name="_Toc61184446"/>
      <w:bookmarkStart w:id="8388" w:name="_Toc61184838"/>
      <w:bookmarkStart w:id="8389" w:name="_Toc61185228"/>
      <w:bookmarkStart w:id="8390" w:name="_Toc66386573"/>
      <w:bookmarkStart w:id="8391" w:name="_Toc74583531"/>
      <w:bookmarkStart w:id="8392" w:name="_Toc76542344"/>
      <w:bookmarkStart w:id="8393" w:name="_Toc82450326"/>
      <w:bookmarkStart w:id="8394" w:name="_Toc82450974"/>
      <w:bookmarkStart w:id="8395" w:name="_Toc89949363"/>
      <w:bookmarkStart w:id="8396" w:name="_Toc98755752"/>
      <w:bookmarkStart w:id="8397" w:name="_Toc98763344"/>
      <w:bookmarkStart w:id="8398" w:name="_Toc106184273"/>
      <w:r w:rsidRPr="004E1253">
        <w:rPr>
          <w:rFonts w:eastAsia="SimSun"/>
          <w:lang w:eastAsia="zh-CN"/>
        </w:rPr>
        <w:t>12.2.1.2.1</w:t>
      </w:r>
      <w:r w:rsidRPr="004E1253">
        <w:rPr>
          <w:rFonts w:eastAsia="SimSun"/>
          <w:lang w:eastAsia="zh-CN"/>
        </w:rPr>
        <w:tab/>
        <w:t>Gradual timing adjustment</w:t>
      </w:r>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p>
    <w:p w14:paraId="3FFE22EC" w14:textId="77777777" w:rsidR="00C8152E" w:rsidRPr="001D7B23" w:rsidRDefault="00C8152E" w:rsidP="00C8152E">
      <w:pPr>
        <w:rPr>
          <w:lang w:eastAsia="zh-CN"/>
        </w:rPr>
      </w:pPr>
      <w:r w:rsidRPr="001D7B23">
        <w:t xml:space="preserve">When the transmission timing error between the IAB-MT and the reference </w:t>
      </w:r>
      <w:r w:rsidRPr="001D7B23">
        <w:rPr>
          <w:lang w:eastAsia="ja-JP"/>
        </w:rPr>
        <w:t>timing</w:t>
      </w:r>
      <w:r w:rsidRPr="001D7B23">
        <w:t xml:space="preserve"> exceeds </w:t>
      </w:r>
      <w:r w:rsidRPr="001D7B23">
        <w:sym w:font="Symbol" w:char="F0B1"/>
      </w:r>
      <w:r w:rsidRPr="001D7B23">
        <w:t>T</w:t>
      </w:r>
      <w:r w:rsidRPr="001D7B23">
        <w:rPr>
          <w:vertAlign w:val="subscript"/>
        </w:rPr>
        <w:t>e</w:t>
      </w:r>
      <w:r w:rsidRPr="001D7B23">
        <w:t xml:space="preserve"> then the IAB-MT is required to adjust its timing to within </w:t>
      </w:r>
      <w:r w:rsidRPr="001D7B23">
        <w:sym w:font="Symbol" w:char="F0B1"/>
      </w:r>
      <w:r w:rsidRPr="001D7B23">
        <w:t>T</w:t>
      </w:r>
      <w:r w:rsidRPr="001D7B23">
        <w:rPr>
          <w:vertAlign w:val="subscript"/>
        </w:rPr>
        <w:t>e</w:t>
      </w:r>
      <w:r w:rsidRPr="001D7B23">
        <w:t>.</w:t>
      </w:r>
      <w:r w:rsidRPr="001D7B23">
        <w:rPr>
          <w:lang w:eastAsia="ja-JP"/>
        </w:rPr>
        <w:t xml:space="preserve"> </w:t>
      </w:r>
      <w:r w:rsidRPr="001D7B23">
        <w:t xml:space="preserve">The reference </w:t>
      </w:r>
      <w:r w:rsidRPr="001D7B23">
        <w:rPr>
          <w:lang w:eastAsia="ja-JP"/>
        </w:rPr>
        <w:t>timing</w:t>
      </w:r>
      <w:r w:rsidRPr="001D7B23">
        <w:t xml:space="preserve"> shall be </w:t>
      </w:r>
      <w:r w:rsidRPr="001D7B23">
        <w:rPr>
          <w:noProof/>
          <w:position w:val="-10"/>
          <w:lang w:val="en-US" w:eastAsia="zh-CN"/>
        </w:rPr>
        <w:drawing>
          <wp:inline distT="0" distB="0" distL="0" distR="0" wp14:anchorId="7B40828C" wp14:editId="74DD1D62">
            <wp:extent cx="1145540" cy="187960"/>
            <wp:effectExtent l="0" t="0" r="0" b="2540"/>
            <wp:docPr id="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145540" cy="187960"/>
                    </a:xfrm>
                    <a:prstGeom prst="rect">
                      <a:avLst/>
                    </a:prstGeom>
                    <a:noFill/>
                    <a:ln>
                      <a:noFill/>
                    </a:ln>
                  </pic:spPr>
                </pic:pic>
              </a:graphicData>
            </a:graphic>
          </wp:inline>
        </w:drawing>
      </w:r>
      <w:r w:rsidRPr="001D7B23">
        <w:rPr>
          <w:lang w:eastAsia="ja-JP"/>
        </w:rPr>
        <w:t xml:space="preserve"> before </w:t>
      </w:r>
      <w:r w:rsidRPr="001D7B23">
        <w:t>the d</w:t>
      </w:r>
      <w:r w:rsidRPr="001D7B23">
        <w:rPr>
          <w:lang w:eastAsia="ja-JP"/>
        </w:rPr>
        <w:t>ownlink timing of the reference cell.</w:t>
      </w:r>
      <w:r w:rsidRPr="001D7B23" w:rsidDel="00C02601">
        <w:rPr>
          <w:lang w:eastAsia="ja-JP"/>
        </w:rPr>
        <w:t xml:space="preserve"> </w:t>
      </w:r>
      <w:r w:rsidRPr="001D7B23">
        <w:t>All adjustments made to the IAB-MT uplink timing shall follow these rules:</w:t>
      </w:r>
    </w:p>
    <w:p w14:paraId="138E825E" w14:textId="77777777" w:rsidR="00C8152E" w:rsidRPr="001D7B23" w:rsidRDefault="00C8152E" w:rsidP="00C8152E">
      <w:pPr>
        <w:pStyle w:val="B10"/>
      </w:pPr>
      <w:r w:rsidRPr="001D7B23">
        <w:t>1)</w:t>
      </w:r>
      <w:r w:rsidRPr="001D7B23">
        <w:tab/>
        <w:t>The maximum amount of the magnitude of the timing change in one adjustment shall be T</w:t>
      </w:r>
      <w:r w:rsidRPr="001D7B23">
        <w:rPr>
          <w:vertAlign w:val="subscript"/>
        </w:rPr>
        <w:t>q</w:t>
      </w:r>
      <w:r w:rsidRPr="001D7B23">
        <w:t>.</w:t>
      </w:r>
    </w:p>
    <w:p w14:paraId="5D2C0053" w14:textId="77777777" w:rsidR="00C8152E" w:rsidRPr="001D7B23" w:rsidRDefault="00C8152E" w:rsidP="00C8152E">
      <w:pPr>
        <w:pStyle w:val="B10"/>
      </w:pPr>
      <w:r w:rsidRPr="001D7B23">
        <w:t>2)</w:t>
      </w:r>
      <w:r w:rsidRPr="001D7B23">
        <w:tab/>
        <w:t>The minimum aggregate adjustment rate shall be T</w:t>
      </w:r>
      <w:r w:rsidRPr="001D7B23">
        <w:rPr>
          <w:vertAlign w:val="subscript"/>
          <w:lang w:eastAsia="zh-CN"/>
        </w:rPr>
        <w:t>p</w:t>
      </w:r>
      <w:r w:rsidRPr="001D7B23" w:rsidDel="00053109">
        <w:t xml:space="preserve"> </w:t>
      </w:r>
      <w:r w:rsidRPr="001D7B23">
        <w:t>per second.</w:t>
      </w:r>
    </w:p>
    <w:p w14:paraId="7C15687C" w14:textId="77777777" w:rsidR="00C8152E" w:rsidRPr="001D7B23" w:rsidRDefault="00C8152E" w:rsidP="00C8152E">
      <w:pPr>
        <w:pStyle w:val="B10"/>
      </w:pPr>
      <w:r w:rsidRPr="001D7B23">
        <w:t>3)</w:t>
      </w:r>
      <w:r w:rsidRPr="001D7B23">
        <w:tab/>
        <w:t>The maximum aggregate adjustment rate shall be T</w:t>
      </w:r>
      <w:r w:rsidRPr="001D7B23">
        <w:rPr>
          <w:vertAlign w:val="subscript"/>
        </w:rPr>
        <w:t>q</w:t>
      </w:r>
      <w:r w:rsidRPr="001D7B23">
        <w:t xml:space="preserve"> per 200 ms.</w:t>
      </w:r>
    </w:p>
    <w:p w14:paraId="5C56524F" w14:textId="77777777" w:rsidR="00C8152E" w:rsidRPr="001D7B23" w:rsidRDefault="00C8152E" w:rsidP="00C8152E">
      <w:pPr>
        <w:pStyle w:val="B10"/>
      </w:pPr>
      <w:r w:rsidRPr="001D7B23">
        <w:t>where the maximum autonomous time adjustment step T</w:t>
      </w:r>
      <w:r w:rsidRPr="001D7B23">
        <w:rPr>
          <w:vertAlign w:val="subscript"/>
        </w:rPr>
        <w:t>q</w:t>
      </w:r>
      <w:r w:rsidRPr="001D7B23">
        <w:t xml:space="preserve"> and the aggregate adjustment rate T</w:t>
      </w:r>
      <w:r w:rsidRPr="001D7B23">
        <w:rPr>
          <w:vertAlign w:val="subscript"/>
        </w:rPr>
        <w:t>p</w:t>
      </w:r>
      <w:r w:rsidRPr="001D7B23">
        <w:t xml:space="preserve"> are specified in Table 12.2.1.2.1-1.</w:t>
      </w:r>
    </w:p>
    <w:p w14:paraId="76A084E0" w14:textId="77777777" w:rsidR="00C8152E" w:rsidRPr="00885F53" w:rsidRDefault="00C8152E" w:rsidP="00C8152E">
      <w:pPr>
        <w:pStyle w:val="TH"/>
      </w:pPr>
      <w:r w:rsidRPr="00885F53">
        <w:t xml:space="preserve">Table </w:t>
      </w:r>
      <w:r w:rsidRPr="00DB2052">
        <w:t>12.2.1.2.1</w:t>
      </w:r>
      <w:r w:rsidRPr="00885F53">
        <w:t>-1: T</w:t>
      </w:r>
      <w:r w:rsidRPr="00885F53">
        <w:rPr>
          <w:vertAlign w:val="subscript"/>
        </w:rPr>
        <w:t>q</w:t>
      </w:r>
      <w:r w:rsidRPr="00885F53">
        <w:t xml:space="preserve"> Maximum Autonomous Time Adjustment Step and T</w:t>
      </w:r>
      <w:r w:rsidRPr="00885F53">
        <w:rPr>
          <w:vertAlign w:val="subscript"/>
        </w:rPr>
        <w:t>p</w:t>
      </w:r>
      <w:r w:rsidRPr="00885F53">
        <w:t xml:space="preserve"> Minimum Aggregate Adjustment rate</w:t>
      </w:r>
    </w:p>
    <w:tbl>
      <w:tblPr>
        <w:tblW w:w="412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13"/>
        <w:gridCol w:w="2033"/>
        <w:gridCol w:w="1996"/>
        <w:gridCol w:w="1998"/>
      </w:tblGrid>
      <w:tr w:rsidR="00C8152E" w:rsidRPr="00885F53" w14:paraId="64D6CFD9" w14:textId="77777777" w:rsidTr="00EB3109">
        <w:trPr>
          <w:cantSplit/>
          <w:jc w:val="center"/>
        </w:trPr>
        <w:tc>
          <w:tcPr>
            <w:tcW w:w="1205" w:type="pct"/>
            <w:tcBorders>
              <w:bottom w:val="single" w:sz="4" w:space="0" w:color="auto"/>
            </w:tcBorders>
          </w:tcPr>
          <w:p w14:paraId="07167FF6" w14:textId="77777777" w:rsidR="00C8152E" w:rsidRPr="00885F53" w:rsidRDefault="00C8152E" w:rsidP="00EB3109">
            <w:pPr>
              <w:pStyle w:val="TAH"/>
            </w:pPr>
            <w:r w:rsidRPr="00885F53">
              <w:t>Freq</w:t>
            </w:r>
            <w:r>
              <w:t>ue</w:t>
            </w:r>
            <w:r w:rsidRPr="00885F53">
              <w:t>ncy Range</w:t>
            </w:r>
          </w:p>
        </w:tc>
        <w:tc>
          <w:tcPr>
            <w:tcW w:w="1280" w:type="pct"/>
          </w:tcPr>
          <w:p w14:paraId="0537BA24" w14:textId="77777777" w:rsidR="00C8152E" w:rsidRPr="00885F53" w:rsidRDefault="00C8152E" w:rsidP="00EB3109">
            <w:pPr>
              <w:pStyle w:val="TAH"/>
            </w:pPr>
            <w:r w:rsidRPr="00885F53">
              <w:t>SCS of uplink signals (kHz)</w:t>
            </w:r>
          </w:p>
        </w:tc>
        <w:tc>
          <w:tcPr>
            <w:tcW w:w="1257" w:type="pct"/>
          </w:tcPr>
          <w:p w14:paraId="45ECAC47" w14:textId="77777777" w:rsidR="00C8152E" w:rsidRPr="00885F53" w:rsidRDefault="00C8152E" w:rsidP="00EB3109">
            <w:pPr>
              <w:pStyle w:val="TAH"/>
            </w:pPr>
            <w:r w:rsidRPr="00885F53">
              <w:t>T</w:t>
            </w:r>
            <w:r w:rsidRPr="00885F53">
              <w:rPr>
                <w:vertAlign w:val="subscript"/>
              </w:rPr>
              <w:t>q</w:t>
            </w:r>
          </w:p>
        </w:tc>
        <w:tc>
          <w:tcPr>
            <w:tcW w:w="1258" w:type="pct"/>
          </w:tcPr>
          <w:p w14:paraId="2399F849" w14:textId="25307719" w:rsidR="00C8152E" w:rsidRPr="00885F53" w:rsidRDefault="00C8152E" w:rsidP="00EB3109">
            <w:pPr>
              <w:pStyle w:val="TAH"/>
            </w:pPr>
            <w:r w:rsidRPr="00885F53">
              <w:t>T</w:t>
            </w:r>
            <w:r w:rsidRPr="00885F53">
              <w:rPr>
                <w:vertAlign w:val="subscript"/>
              </w:rPr>
              <w:t>p</w:t>
            </w:r>
          </w:p>
        </w:tc>
      </w:tr>
      <w:tr w:rsidR="00EB3109" w:rsidRPr="00885F53" w14:paraId="62676628" w14:textId="77777777" w:rsidTr="00EB3109">
        <w:trPr>
          <w:cantSplit/>
          <w:jc w:val="center"/>
        </w:trPr>
        <w:tc>
          <w:tcPr>
            <w:tcW w:w="1205" w:type="pct"/>
            <w:tcBorders>
              <w:bottom w:val="nil"/>
            </w:tcBorders>
            <w:shd w:val="clear" w:color="auto" w:fill="auto"/>
            <w:vAlign w:val="center"/>
          </w:tcPr>
          <w:p w14:paraId="1FF0B50A" w14:textId="77777777" w:rsidR="00EB3109" w:rsidRPr="00885F53" w:rsidRDefault="00EB3109" w:rsidP="00255E64">
            <w:pPr>
              <w:pStyle w:val="TAC"/>
            </w:pPr>
            <w:r w:rsidRPr="00885F53">
              <w:t>1</w:t>
            </w:r>
          </w:p>
        </w:tc>
        <w:tc>
          <w:tcPr>
            <w:tcW w:w="1280" w:type="pct"/>
          </w:tcPr>
          <w:p w14:paraId="705E081D" w14:textId="77777777" w:rsidR="00EB3109" w:rsidRPr="00885F53" w:rsidRDefault="00EB3109" w:rsidP="00255E64">
            <w:pPr>
              <w:pStyle w:val="TAC"/>
            </w:pPr>
            <w:r w:rsidRPr="00885F53">
              <w:t>15</w:t>
            </w:r>
          </w:p>
        </w:tc>
        <w:tc>
          <w:tcPr>
            <w:tcW w:w="1257" w:type="pct"/>
          </w:tcPr>
          <w:p w14:paraId="626A2550" w14:textId="77777777" w:rsidR="00EB3109" w:rsidRPr="00885F53" w:rsidRDefault="00EB3109" w:rsidP="00255E64">
            <w:pPr>
              <w:pStyle w:val="TAC"/>
            </w:pPr>
            <w:r w:rsidRPr="00885F53">
              <w:t>5.5*64*T</w:t>
            </w:r>
            <w:r w:rsidRPr="00885F53">
              <w:rPr>
                <w:vertAlign w:val="subscript"/>
              </w:rPr>
              <w:t>c</w:t>
            </w:r>
          </w:p>
        </w:tc>
        <w:tc>
          <w:tcPr>
            <w:tcW w:w="1258" w:type="pct"/>
          </w:tcPr>
          <w:p w14:paraId="1D2653BE" w14:textId="77777777" w:rsidR="00EB3109" w:rsidRPr="00885F53" w:rsidRDefault="00EB3109" w:rsidP="00255E64">
            <w:pPr>
              <w:pStyle w:val="TAC"/>
            </w:pPr>
            <w:r w:rsidRPr="00885F53">
              <w:t>5.5*64*T</w:t>
            </w:r>
            <w:r w:rsidRPr="00885F53">
              <w:rPr>
                <w:vertAlign w:val="subscript"/>
              </w:rPr>
              <w:t>c</w:t>
            </w:r>
          </w:p>
        </w:tc>
      </w:tr>
      <w:tr w:rsidR="00EB3109" w:rsidRPr="00885F53" w14:paraId="04D03616" w14:textId="77777777" w:rsidTr="00EB3109">
        <w:trPr>
          <w:cantSplit/>
          <w:jc w:val="center"/>
        </w:trPr>
        <w:tc>
          <w:tcPr>
            <w:tcW w:w="1205" w:type="pct"/>
            <w:tcBorders>
              <w:top w:val="nil"/>
              <w:bottom w:val="nil"/>
            </w:tcBorders>
            <w:shd w:val="clear" w:color="auto" w:fill="auto"/>
            <w:vAlign w:val="center"/>
          </w:tcPr>
          <w:p w14:paraId="33C6E6F9" w14:textId="77777777" w:rsidR="00EB3109" w:rsidRPr="00885F53" w:rsidRDefault="00EB3109" w:rsidP="00255E64">
            <w:pPr>
              <w:pStyle w:val="TAC"/>
            </w:pPr>
          </w:p>
        </w:tc>
        <w:tc>
          <w:tcPr>
            <w:tcW w:w="1280" w:type="pct"/>
          </w:tcPr>
          <w:p w14:paraId="70979B25" w14:textId="77777777" w:rsidR="00EB3109" w:rsidRPr="00885F53" w:rsidRDefault="00EB3109" w:rsidP="00255E64">
            <w:pPr>
              <w:pStyle w:val="TAC"/>
            </w:pPr>
            <w:r w:rsidRPr="00885F53">
              <w:t>30</w:t>
            </w:r>
          </w:p>
        </w:tc>
        <w:tc>
          <w:tcPr>
            <w:tcW w:w="1257" w:type="pct"/>
          </w:tcPr>
          <w:p w14:paraId="0327DF98" w14:textId="77777777" w:rsidR="00EB3109" w:rsidRPr="00885F53" w:rsidRDefault="00EB3109" w:rsidP="00255E64">
            <w:pPr>
              <w:pStyle w:val="TAC"/>
            </w:pPr>
            <w:r w:rsidRPr="00885F53">
              <w:t>5.5*64*T</w:t>
            </w:r>
            <w:r w:rsidRPr="00885F53">
              <w:rPr>
                <w:vertAlign w:val="subscript"/>
              </w:rPr>
              <w:t>c</w:t>
            </w:r>
          </w:p>
        </w:tc>
        <w:tc>
          <w:tcPr>
            <w:tcW w:w="1258" w:type="pct"/>
          </w:tcPr>
          <w:p w14:paraId="2BB97527" w14:textId="77777777" w:rsidR="00EB3109" w:rsidRPr="00885F53" w:rsidRDefault="00EB3109" w:rsidP="00255E64">
            <w:pPr>
              <w:pStyle w:val="TAC"/>
            </w:pPr>
            <w:r w:rsidRPr="00885F53">
              <w:t>5.5*64*T</w:t>
            </w:r>
            <w:r w:rsidRPr="00885F53">
              <w:rPr>
                <w:vertAlign w:val="subscript"/>
              </w:rPr>
              <w:t>c</w:t>
            </w:r>
          </w:p>
        </w:tc>
      </w:tr>
      <w:tr w:rsidR="00EB3109" w:rsidRPr="00885F53" w14:paraId="702FA360" w14:textId="77777777" w:rsidTr="00EB3109">
        <w:trPr>
          <w:cantSplit/>
          <w:jc w:val="center"/>
        </w:trPr>
        <w:tc>
          <w:tcPr>
            <w:tcW w:w="1205" w:type="pct"/>
            <w:tcBorders>
              <w:top w:val="nil"/>
              <w:bottom w:val="single" w:sz="4" w:space="0" w:color="auto"/>
            </w:tcBorders>
            <w:shd w:val="clear" w:color="auto" w:fill="auto"/>
            <w:vAlign w:val="center"/>
          </w:tcPr>
          <w:p w14:paraId="42B79719" w14:textId="77777777" w:rsidR="00EB3109" w:rsidRPr="00885F53" w:rsidRDefault="00EB3109" w:rsidP="00255E64">
            <w:pPr>
              <w:pStyle w:val="TAC"/>
            </w:pPr>
          </w:p>
        </w:tc>
        <w:tc>
          <w:tcPr>
            <w:tcW w:w="1280" w:type="pct"/>
          </w:tcPr>
          <w:p w14:paraId="182C8143" w14:textId="77777777" w:rsidR="00EB3109" w:rsidRPr="00885F53" w:rsidRDefault="00EB3109" w:rsidP="00255E64">
            <w:pPr>
              <w:pStyle w:val="TAC"/>
            </w:pPr>
            <w:r w:rsidRPr="00885F53">
              <w:t>60</w:t>
            </w:r>
          </w:p>
        </w:tc>
        <w:tc>
          <w:tcPr>
            <w:tcW w:w="1257" w:type="pct"/>
          </w:tcPr>
          <w:p w14:paraId="7E679F62" w14:textId="77777777" w:rsidR="00EB3109" w:rsidRPr="00885F53" w:rsidRDefault="00EB3109" w:rsidP="00255E64">
            <w:pPr>
              <w:pStyle w:val="TAC"/>
            </w:pPr>
            <w:r w:rsidRPr="00885F53">
              <w:t>5.5*64*T</w:t>
            </w:r>
            <w:r w:rsidRPr="00885F53">
              <w:rPr>
                <w:vertAlign w:val="subscript"/>
              </w:rPr>
              <w:t>c</w:t>
            </w:r>
          </w:p>
        </w:tc>
        <w:tc>
          <w:tcPr>
            <w:tcW w:w="1258" w:type="pct"/>
          </w:tcPr>
          <w:p w14:paraId="685A6DB5" w14:textId="77777777" w:rsidR="00EB3109" w:rsidRPr="00885F53" w:rsidRDefault="00EB3109" w:rsidP="00255E64">
            <w:pPr>
              <w:pStyle w:val="TAC"/>
            </w:pPr>
            <w:r w:rsidRPr="00885F53">
              <w:t>5.5*64*T</w:t>
            </w:r>
            <w:r w:rsidRPr="00885F53">
              <w:rPr>
                <w:vertAlign w:val="subscript"/>
              </w:rPr>
              <w:t>c</w:t>
            </w:r>
          </w:p>
        </w:tc>
      </w:tr>
      <w:tr w:rsidR="00EB3109" w:rsidRPr="00885F53" w14:paraId="32B7E110" w14:textId="77777777" w:rsidTr="00EB3109">
        <w:trPr>
          <w:cantSplit/>
          <w:jc w:val="center"/>
        </w:trPr>
        <w:tc>
          <w:tcPr>
            <w:tcW w:w="1205" w:type="pct"/>
            <w:tcBorders>
              <w:bottom w:val="nil"/>
            </w:tcBorders>
            <w:shd w:val="clear" w:color="auto" w:fill="auto"/>
            <w:vAlign w:val="center"/>
          </w:tcPr>
          <w:p w14:paraId="6E9B85EB" w14:textId="77777777" w:rsidR="00EB3109" w:rsidRPr="00885F53" w:rsidRDefault="00EB3109" w:rsidP="00255E64">
            <w:pPr>
              <w:pStyle w:val="TAC"/>
            </w:pPr>
            <w:r w:rsidRPr="00885F53">
              <w:t>2</w:t>
            </w:r>
          </w:p>
        </w:tc>
        <w:tc>
          <w:tcPr>
            <w:tcW w:w="1280" w:type="pct"/>
          </w:tcPr>
          <w:p w14:paraId="5F6D85E0" w14:textId="77777777" w:rsidR="00EB3109" w:rsidRPr="00885F53" w:rsidRDefault="00EB3109" w:rsidP="00255E64">
            <w:pPr>
              <w:pStyle w:val="TAC"/>
            </w:pPr>
            <w:r w:rsidRPr="00885F53">
              <w:t>60</w:t>
            </w:r>
          </w:p>
        </w:tc>
        <w:tc>
          <w:tcPr>
            <w:tcW w:w="1257" w:type="pct"/>
          </w:tcPr>
          <w:p w14:paraId="07B5C5CF" w14:textId="77777777" w:rsidR="00EB3109" w:rsidRPr="00885F53" w:rsidRDefault="00EB3109" w:rsidP="00255E64">
            <w:pPr>
              <w:pStyle w:val="TAC"/>
            </w:pPr>
            <w:r w:rsidRPr="00885F53">
              <w:t>2.5*64*T</w:t>
            </w:r>
            <w:r w:rsidRPr="00885F53">
              <w:rPr>
                <w:vertAlign w:val="subscript"/>
              </w:rPr>
              <w:t>c</w:t>
            </w:r>
          </w:p>
        </w:tc>
        <w:tc>
          <w:tcPr>
            <w:tcW w:w="1258" w:type="pct"/>
          </w:tcPr>
          <w:p w14:paraId="63724B19" w14:textId="77777777" w:rsidR="00EB3109" w:rsidRPr="00885F53" w:rsidRDefault="00EB3109" w:rsidP="00255E64">
            <w:pPr>
              <w:pStyle w:val="TAC"/>
            </w:pPr>
            <w:r w:rsidRPr="00885F53">
              <w:t>2.5*64*T</w:t>
            </w:r>
            <w:r w:rsidRPr="00885F53">
              <w:rPr>
                <w:vertAlign w:val="subscript"/>
              </w:rPr>
              <w:t>c</w:t>
            </w:r>
          </w:p>
        </w:tc>
      </w:tr>
      <w:tr w:rsidR="00EB3109" w:rsidRPr="00885F53" w14:paraId="03440D14" w14:textId="77777777" w:rsidTr="00EB3109">
        <w:trPr>
          <w:cantSplit/>
          <w:jc w:val="center"/>
        </w:trPr>
        <w:tc>
          <w:tcPr>
            <w:tcW w:w="1205" w:type="pct"/>
            <w:tcBorders>
              <w:top w:val="nil"/>
            </w:tcBorders>
            <w:shd w:val="clear" w:color="auto" w:fill="auto"/>
          </w:tcPr>
          <w:p w14:paraId="5341FAA1" w14:textId="77777777" w:rsidR="00EB3109" w:rsidRPr="00885F53" w:rsidRDefault="00EB3109" w:rsidP="00255E64">
            <w:pPr>
              <w:pStyle w:val="TAC"/>
            </w:pPr>
          </w:p>
        </w:tc>
        <w:tc>
          <w:tcPr>
            <w:tcW w:w="1280" w:type="pct"/>
          </w:tcPr>
          <w:p w14:paraId="2538C7D5" w14:textId="77777777" w:rsidR="00EB3109" w:rsidRPr="00885F53" w:rsidRDefault="00EB3109" w:rsidP="00255E64">
            <w:pPr>
              <w:pStyle w:val="TAC"/>
            </w:pPr>
            <w:r w:rsidRPr="00885F53">
              <w:t>120</w:t>
            </w:r>
          </w:p>
        </w:tc>
        <w:tc>
          <w:tcPr>
            <w:tcW w:w="1257" w:type="pct"/>
          </w:tcPr>
          <w:p w14:paraId="0E570BF3" w14:textId="77777777" w:rsidR="00EB3109" w:rsidRPr="00885F53" w:rsidRDefault="00EB3109" w:rsidP="00255E64">
            <w:pPr>
              <w:pStyle w:val="TAC"/>
            </w:pPr>
            <w:r w:rsidRPr="00885F53">
              <w:t>2.5*64*T</w:t>
            </w:r>
            <w:r w:rsidRPr="00885F53">
              <w:rPr>
                <w:vertAlign w:val="subscript"/>
              </w:rPr>
              <w:t>c</w:t>
            </w:r>
          </w:p>
        </w:tc>
        <w:tc>
          <w:tcPr>
            <w:tcW w:w="1258" w:type="pct"/>
          </w:tcPr>
          <w:p w14:paraId="3C722D63" w14:textId="77777777" w:rsidR="00EB3109" w:rsidRPr="00885F53" w:rsidRDefault="00EB3109" w:rsidP="00255E64">
            <w:pPr>
              <w:pStyle w:val="TAC"/>
            </w:pPr>
            <w:r w:rsidRPr="00885F53">
              <w:t>2.5*64*T</w:t>
            </w:r>
            <w:r w:rsidRPr="00885F53">
              <w:rPr>
                <w:vertAlign w:val="subscript"/>
              </w:rPr>
              <w:t>c</w:t>
            </w:r>
          </w:p>
        </w:tc>
      </w:tr>
      <w:tr w:rsidR="00C8152E" w:rsidRPr="00885F53" w14:paraId="461F2063" w14:textId="77777777" w:rsidTr="00A4061E">
        <w:trPr>
          <w:cantSplit/>
          <w:jc w:val="center"/>
        </w:trPr>
        <w:tc>
          <w:tcPr>
            <w:tcW w:w="5000" w:type="pct"/>
            <w:gridSpan w:val="4"/>
          </w:tcPr>
          <w:p w14:paraId="64B67122" w14:textId="27DD3AD4" w:rsidR="00C8152E" w:rsidRPr="00885F53" w:rsidRDefault="00C8152E" w:rsidP="00EB3109">
            <w:pPr>
              <w:pStyle w:val="TAN"/>
            </w:pPr>
            <w:r w:rsidRPr="00885F53">
              <w:rPr>
                <w:rFonts w:cs="Arial"/>
              </w:rPr>
              <w:t>NOTE</w:t>
            </w:r>
            <w:r w:rsidRPr="00885F53">
              <w:t>:</w:t>
            </w:r>
            <w:r w:rsidRPr="00885F53">
              <w:tab/>
              <w:t>T</w:t>
            </w:r>
            <w:r w:rsidRPr="00885F53">
              <w:rPr>
                <w:vertAlign w:val="subscript"/>
              </w:rPr>
              <w:t>c</w:t>
            </w:r>
            <w:r w:rsidRPr="00885F53">
              <w:t xml:space="preserve"> is the basic timing unit defined in TS 38.211 [</w:t>
            </w:r>
            <w:r w:rsidR="00405706">
              <w:t>8</w:t>
            </w:r>
            <w:r w:rsidRPr="00885F53">
              <w:t>]</w:t>
            </w:r>
          </w:p>
        </w:tc>
      </w:tr>
    </w:tbl>
    <w:p w14:paraId="33B13054" w14:textId="77777777" w:rsidR="00400154" w:rsidRPr="00935D1A" w:rsidRDefault="00400154" w:rsidP="00AD2A23"/>
    <w:p w14:paraId="0246DDBE" w14:textId="0FF202C7" w:rsidR="00EB3109" w:rsidRPr="00C70CE9" w:rsidRDefault="00EB3109" w:rsidP="00EB3109">
      <w:pPr>
        <w:keepNext/>
        <w:keepLines/>
        <w:spacing w:before="120"/>
        <w:ind w:left="1134" w:hanging="1134"/>
        <w:outlineLvl w:val="2"/>
        <w:rPr>
          <w:rFonts w:ascii="Arial" w:hAnsi="Arial"/>
          <w:sz w:val="28"/>
        </w:rPr>
      </w:pPr>
      <w:bookmarkStart w:id="8399" w:name="_Toc53185596"/>
      <w:bookmarkStart w:id="8400" w:name="_Toc53185972"/>
      <w:r w:rsidRPr="00C70CE9">
        <w:rPr>
          <w:rFonts w:ascii="Arial" w:hAnsi="Arial"/>
          <w:sz w:val="28"/>
        </w:rPr>
        <w:t>12.2.</w:t>
      </w:r>
      <w:r>
        <w:rPr>
          <w:rFonts w:ascii="Arial" w:hAnsi="Arial"/>
          <w:sz w:val="28"/>
        </w:rPr>
        <w:t>2</w:t>
      </w:r>
      <w:r w:rsidR="00F72FF2">
        <w:rPr>
          <w:rFonts w:ascii="Arial" w:hAnsi="Arial"/>
          <w:sz w:val="28"/>
        </w:rPr>
        <w:tab/>
      </w:r>
      <w:r>
        <w:rPr>
          <w:rFonts w:ascii="Arial" w:hAnsi="Arial"/>
          <w:sz w:val="28"/>
        </w:rPr>
        <w:t>Void</w:t>
      </w:r>
    </w:p>
    <w:p w14:paraId="2F97D3FE" w14:textId="791C8FDD" w:rsidR="00400154" w:rsidRDefault="00400154" w:rsidP="00AD2A23">
      <w:pPr>
        <w:pStyle w:val="Heading3"/>
      </w:pPr>
      <w:bookmarkStart w:id="8401" w:name="_Toc57820458"/>
      <w:bookmarkStart w:id="8402" w:name="_Toc57821385"/>
      <w:bookmarkStart w:id="8403" w:name="_Toc61183661"/>
      <w:bookmarkStart w:id="8404" w:name="_Toc61184055"/>
      <w:bookmarkStart w:id="8405" w:name="_Toc61184447"/>
      <w:bookmarkStart w:id="8406" w:name="_Toc61184839"/>
      <w:bookmarkStart w:id="8407" w:name="_Toc61185229"/>
      <w:bookmarkStart w:id="8408" w:name="_Toc66386574"/>
      <w:bookmarkStart w:id="8409" w:name="_Toc74583532"/>
      <w:bookmarkStart w:id="8410" w:name="_Toc76542345"/>
      <w:bookmarkStart w:id="8411" w:name="_Toc82450327"/>
      <w:bookmarkStart w:id="8412" w:name="_Toc82450975"/>
      <w:bookmarkStart w:id="8413" w:name="_Toc89949364"/>
      <w:bookmarkStart w:id="8414" w:name="_Toc98755753"/>
      <w:bookmarkStart w:id="8415" w:name="_Toc98763345"/>
      <w:bookmarkStart w:id="8416" w:name="_Toc106184274"/>
      <w:r>
        <w:t>1</w:t>
      </w:r>
      <w:r w:rsidR="00B1470A">
        <w:t>2</w:t>
      </w:r>
      <w:r>
        <w:t>.</w:t>
      </w:r>
      <w:r w:rsidR="00B1470A">
        <w:t>2.</w:t>
      </w:r>
      <w:r>
        <w:t>3</w:t>
      </w:r>
      <w:r w:rsidR="00F72FF2">
        <w:tab/>
      </w:r>
      <w:r w:rsidR="0098572F">
        <w:t>IAB-</w:t>
      </w:r>
      <w:r>
        <w:t>MT timing advance</w:t>
      </w:r>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p>
    <w:p w14:paraId="6E8314C2" w14:textId="77777777" w:rsidR="00F43639" w:rsidRDefault="00F43639" w:rsidP="00F43639">
      <w:pPr>
        <w:rPr>
          <w:lang w:eastAsia="zh-CN"/>
        </w:rPr>
      </w:pPr>
      <w:bookmarkStart w:id="8417" w:name="_Toc53185597"/>
      <w:bookmarkStart w:id="8418" w:name="_Toc53185973"/>
      <w:bookmarkStart w:id="8419" w:name="_Toc57820459"/>
      <w:bookmarkStart w:id="8420" w:name="_Toc57821386"/>
      <w:bookmarkStart w:id="8421" w:name="_Toc61183662"/>
      <w:bookmarkStart w:id="8422" w:name="_Toc61184056"/>
      <w:bookmarkStart w:id="8423" w:name="_Toc61184448"/>
      <w:bookmarkStart w:id="8424" w:name="_Toc61184840"/>
      <w:bookmarkStart w:id="8425" w:name="_Toc61185230"/>
      <w:bookmarkStart w:id="8426" w:name="_Toc66386575"/>
      <w:bookmarkStart w:id="8427" w:name="_Toc74583533"/>
      <w:bookmarkStart w:id="8428" w:name="_Toc76542346"/>
      <w:bookmarkStart w:id="8429" w:name="_Toc82450328"/>
      <w:bookmarkStart w:id="8430" w:name="_Toc82450976"/>
      <w:bookmarkStart w:id="8431" w:name="_Toc89949365"/>
      <w:bookmarkStart w:id="8432" w:name="_Toc98755754"/>
      <w:r>
        <w:rPr>
          <w:rFonts w:eastAsia="SimSun" w:cs="v4.2.0"/>
          <w:lang w:val="en-US"/>
        </w:rPr>
        <w:t>T</w:t>
      </w:r>
      <w:r>
        <w:rPr>
          <w:rFonts w:eastAsia="SimSun" w:cs="v4.2.0"/>
        </w:rPr>
        <w:t xml:space="preserve">he requirements in clause 7.3 in [6] apply for IAB-MT, </w:t>
      </w:r>
      <w:r>
        <w:rPr>
          <w:rFonts w:cs="v4.2.0"/>
        </w:rPr>
        <w:t>for ‘Case 1’ transmission timing mode specified in clause 14 of TS 38.213 [10]</w:t>
      </w:r>
      <w:r>
        <w:rPr>
          <w:rFonts w:eastAsia="SimSun" w:cs="v4.2.0"/>
        </w:rPr>
        <w:t>.</w:t>
      </w:r>
    </w:p>
    <w:p w14:paraId="147BAA7F" w14:textId="7FC0A27D" w:rsidR="008029FD" w:rsidRDefault="00400154" w:rsidP="00EB3109">
      <w:pPr>
        <w:pStyle w:val="Heading3"/>
      </w:pPr>
      <w:bookmarkStart w:id="8433" w:name="_Toc98763346"/>
      <w:bookmarkStart w:id="8434" w:name="_Toc106184275"/>
      <w:r>
        <w:t>1</w:t>
      </w:r>
      <w:r w:rsidR="00B1470A">
        <w:t>2</w:t>
      </w:r>
      <w:r>
        <w:t>.</w:t>
      </w:r>
      <w:r w:rsidR="00B1470A">
        <w:t>2.</w:t>
      </w:r>
      <w:r>
        <w:t>4</w:t>
      </w:r>
      <w:r w:rsidR="00F72FF2">
        <w:tab/>
      </w:r>
      <w:r>
        <w:t>Cell phase synchronization accuracy</w:t>
      </w:r>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p>
    <w:p w14:paraId="6F889233" w14:textId="609004BD" w:rsidR="00921B9A" w:rsidRDefault="00921B9A" w:rsidP="00921B9A">
      <w:pPr>
        <w:pStyle w:val="Heading4"/>
      </w:pPr>
      <w:bookmarkStart w:id="8435" w:name="_Toc53185598"/>
      <w:bookmarkStart w:id="8436" w:name="_Toc53185974"/>
      <w:bookmarkStart w:id="8437" w:name="_Toc57820460"/>
      <w:bookmarkStart w:id="8438" w:name="_Toc57821387"/>
      <w:bookmarkStart w:id="8439" w:name="_Toc61183663"/>
      <w:bookmarkStart w:id="8440" w:name="_Toc61184057"/>
      <w:bookmarkStart w:id="8441" w:name="_Toc61184449"/>
      <w:bookmarkStart w:id="8442" w:name="_Toc61184841"/>
      <w:bookmarkStart w:id="8443" w:name="_Toc61185231"/>
      <w:bookmarkStart w:id="8444" w:name="_Toc66386576"/>
      <w:bookmarkStart w:id="8445" w:name="_Toc74583534"/>
      <w:bookmarkStart w:id="8446" w:name="_Toc76542347"/>
      <w:bookmarkStart w:id="8447" w:name="_Toc82450329"/>
      <w:bookmarkStart w:id="8448" w:name="_Toc82450977"/>
      <w:bookmarkStart w:id="8449" w:name="_Toc89949366"/>
      <w:bookmarkStart w:id="8450" w:name="_Toc98755755"/>
      <w:bookmarkStart w:id="8451" w:name="_Toc98763347"/>
      <w:bookmarkStart w:id="8452" w:name="_Toc106184276"/>
      <w:bookmarkStart w:id="8453" w:name="_Toc535475928"/>
      <w:r>
        <w:t>12.2.4.1</w:t>
      </w:r>
      <w:r w:rsidR="00F72FF2">
        <w:rPr>
          <w:sz w:val="28"/>
        </w:rPr>
        <w:tab/>
      </w:r>
      <w:r>
        <w:t>Introduction</w:t>
      </w:r>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p>
    <w:p w14:paraId="49C8D79F" w14:textId="49050171" w:rsidR="00921B9A" w:rsidRPr="00EB3109" w:rsidRDefault="00921B9A" w:rsidP="00921B9A">
      <w:pPr>
        <w:rPr>
          <w:rFonts w:cs="v4.2.0"/>
        </w:rPr>
      </w:pPr>
      <w:r w:rsidRPr="00885F53">
        <w:rPr>
          <w:rFonts w:cs="v4.2.0"/>
        </w:rPr>
        <w:t>Cell phase synchronization accuracy</w:t>
      </w:r>
      <w:r w:rsidR="00DF33FA">
        <w:rPr>
          <w:rFonts w:cs="v4.2.0"/>
        </w:rPr>
        <w:t xml:space="preserve"> for TDD</w:t>
      </w:r>
      <w:r w:rsidRPr="00885F53">
        <w:rPr>
          <w:rFonts w:cs="v4.2.0"/>
        </w:rPr>
        <w:t xml:space="preserve"> is defined as the maximum absolute deviation in frame start timing between any pair of cells on the same frequency that have overlapping coverage areas.</w:t>
      </w:r>
    </w:p>
    <w:p w14:paraId="0ECFDD39" w14:textId="1FF836CB" w:rsidR="00921B9A" w:rsidRDefault="00921B9A">
      <w:pPr>
        <w:pStyle w:val="Heading4"/>
      </w:pPr>
      <w:bookmarkStart w:id="8454" w:name="_Toc53185599"/>
      <w:bookmarkStart w:id="8455" w:name="_Toc53185975"/>
      <w:bookmarkStart w:id="8456" w:name="_Toc57820461"/>
      <w:bookmarkStart w:id="8457" w:name="_Toc57821388"/>
      <w:bookmarkStart w:id="8458" w:name="_Toc61183664"/>
      <w:bookmarkStart w:id="8459" w:name="_Toc61184058"/>
      <w:bookmarkStart w:id="8460" w:name="_Toc61184450"/>
      <w:bookmarkStart w:id="8461" w:name="_Toc61184842"/>
      <w:bookmarkStart w:id="8462" w:name="_Toc61185232"/>
      <w:bookmarkStart w:id="8463" w:name="_Toc66386577"/>
      <w:bookmarkStart w:id="8464" w:name="_Toc74583535"/>
      <w:bookmarkStart w:id="8465" w:name="_Toc76542348"/>
      <w:bookmarkStart w:id="8466" w:name="_Toc82450330"/>
      <w:bookmarkStart w:id="8467" w:name="_Toc82450978"/>
      <w:bookmarkStart w:id="8468" w:name="_Toc89949367"/>
      <w:bookmarkStart w:id="8469" w:name="_Toc98755756"/>
      <w:bookmarkStart w:id="8470" w:name="_Toc98763348"/>
      <w:bookmarkStart w:id="8471" w:name="_Toc106184277"/>
      <w:r>
        <w:t>12.2.4.2</w:t>
      </w:r>
      <w:r w:rsidR="00F72FF2">
        <w:rPr>
          <w:sz w:val="28"/>
        </w:rPr>
        <w:tab/>
      </w:r>
      <w:r>
        <w:t>Requirements</w:t>
      </w:r>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p>
    <w:p w14:paraId="45CCB711" w14:textId="7266E593" w:rsidR="005408A0" w:rsidRDefault="005408A0" w:rsidP="005408A0">
      <w:pPr>
        <w:rPr>
          <w:i/>
          <w:color w:val="0000FF"/>
          <w:lang w:eastAsia="zh-CN"/>
        </w:rPr>
      </w:pPr>
      <w:r>
        <w:t xml:space="preserve">The cell phase synchronization accuracy measured at IAB DU </w:t>
      </w:r>
      <w:r>
        <w:rPr>
          <w:rFonts w:eastAsia="SimSun"/>
          <w:lang w:val="en-US" w:eastAsia="zh-CN"/>
        </w:rPr>
        <w:t>TAB</w:t>
      </w:r>
      <w:r>
        <w:t xml:space="preserve"> connectors</w:t>
      </w:r>
      <w:r>
        <w:rPr>
          <w:rFonts w:eastAsia="SimSun"/>
          <w:lang w:val="en-US" w:eastAsia="zh-CN"/>
        </w:rPr>
        <w:t xml:space="preserve"> or RIBs</w:t>
      </w:r>
      <w:r>
        <w:t xml:space="preserve"> shall be better than 3 µs.</w:t>
      </w:r>
    </w:p>
    <w:p w14:paraId="6B4810B1" w14:textId="250ED9F8" w:rsidR="00921B9A" w:rsidRDefault="00921B9A" w:rsidP="00921B9A">
      <w:r w:rsidRPr="00D13D9C">
        <w:t>.</w:t>
      </w:r>
    </w:p>
    <w:p w14:paraId="584A8A52" w14:textId="5C0E3115" w:rsidR="0070791F" w:rsidRPr="00295C2F" w:rsidRDefault="0070791F" w:rsidP="00EB3109">
      <w:pPr>
        <w:pStyle w:val="Heading2"/>
      </w:pPr>
      <w:bookmarkStart w:id="8472" w:name="_Toc53185600"/>
      <w:bookmarkStart w:id="8473" w:name="_Toc53185976"/>
      <w:bookmarkStart w:id="8474" w:name="_Toc57820462"/>
      <w:bookmarkStart w:id="8475" w:name="_Toc57821389"/>
      <w:bookmarkStart w:id="8476" w:name="_Toc61183665"/>
      <w:bookmarkStart w:id="8477" w:name="_Toc61184059"/>
      <w:bookmarkStart w:id="8478" w:name="_Toc61184451"/>
      <w:bookmarkStart w:id="8479" w:name="_Toc61184843"/>
      <w:bookmarkStart w:id="8480" w:name="_Toc61185233"/>
      <w:bookmarkStart w:id="8481" w:name="_Toc66386578"/>
      <w:bookmarkStart w:id="8482" w:name="_Toc74583536"/>
      <w:bookmarkStart w:id="8483" w:name="_Toc76542349"/>
      <w:bookmarkStart w:id="8484" w:name="_Toc82450331"/>
      <w:bookmarkStart w:id="8485" w:name="_Toc82450979"/>
      <w:bookmarkStart w:id="8486" w:name="_Toc89949368"/>
      <w:bookmarkStart w:id="8487" w:name="_Toc98755757"/>
      <w:bookmarkStart w:id="8488" w:name="_Toc98763349"/>
      <w:bookmarkStart w:id="8489" w:name="_Toc106184278"/>
      <w:bookmarkEnd w:id="8453"/>
      <w:r>
        <w:t>1</w:t>
      </w:r>
      <w:r w:rsidR="00F00690">
        <w:t>2.3</w:t>
      </w:r>
      <w:r w:rsidR="00F72FF2">
        <w:rPr>
          <w:sz w:val="28"/>
        </w:rPr>
        <w:tab/>
      </w:r>
      <w:r>
        <w:t>Signalling Characteristics</w:t>
      </w:r>
      <w:r w:rsidR="002716A4">
        <w:t xml:space="preserve"> for IAB MTs</w:t>
      </w:r>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p>
    <w:p w14:paraId="0233DCE2" w14:textId="4BDE3E5A" w:rsidR="006D6C3F" w:rsidRPr="00295C2F" w:rsidRDefault="006D6C3F" w:rsidP="00EB3109">
      <w:pPr>
        <w:pStyle w:val="Heading3"/>
      </w:pPr>
      <w:bookmarkStart w:id="8490" w:name="_Toc53185601"/>
      <w:bookmarkStart w:id="8491" w:name="_Toc53185977"/>
      <w:bookmarkStart w:id="8492" w:name="_Toc57820463"/>
      <w:bookmarkStart w:id="8493" w:name="_Toc57821390"/>
      <w:bookmarkStart w:id="8494" w:name="_Toc61183666"/>
      <w:bookmarkStart w:id="8495" w:name="_Toc61184060"/>
      <w:bookmarkStart w:id="8496" w:name="_Toc61184452"/>
      <w:bookmarkStart w:id="8497" w:name="_Toc61184844"/>
      <w:bookmarkStart w:id="8498" w:name="_Toc61185234"/>
      <w:bookmarkStart w:id="8499" w:name="_Toc66386579"/>
      <w:bookmarkStart w:id="8500" w:name="_Toc74583537"/>
      <w:bookmarkStart w:id="8501" w:name="_Toc76542350"/>
      <w:bookmarkStart w:id="8502" w:name="_Toc82450332"/>
      <w:bookmarkStart w:id="8503" w:name="_Toc82450980"/>
      <w:bookmarkStart w:id="8504" w:name="_Toc89949369"/>
      <w:bookmarkStart w:id="8505" w:name="_Toc98755758"/>
      <w:bookmarkStart w:id="8506" w:name="_Toc98763350"/>
      <w:bookmarkStart w:id="8507" w:name="_Toc106184279"/>
      <w:r>
        <w:t>1</w:t>
      </w:r>
      <w:r w:rsidR="00F00690">
        <w:t>2</w:t>
      </w:r>
      <w:r>
        <w:t>.</w:t>
      </w:r>
      <w:r w:rsidR="00F00690">
        <w:t>3.</w:t>
      </w:r>
      <w:r>
        <w:t>1</w:t>
      </w:r>
      <w:r w:rsidR="00F72FF2">
        <w:tab/>
      </w:r>
      <w:r>
        <w:t>Radio Link Monitoring</w:t>
      </w:r>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p>
    <w:p w14:paraId="1AAD84EC" w14:textId="72CB4C86" w:rsidR="006D6C3F" w:rsidRDefault="006D6C3F" w:rsidP="00FE263A">
      <w:pPr>
        <w:pStyle w:val="Heading4"/>
      </w:pPr>
      <w:bookmarkStart w:id="8508" w:name="_Toc53185602"/>
      <w:bookmarkStart w:id="8509" w:name="_Toc53185978"/>
      <w:bookmarkStart w:id="8510" w:name="_Toc57820464"/>
      <w:bookmarkStart w:id="8511" w:name="_Toc57821391"/>
      <w:bookmarkStart w:id="8512" w:name="_Toc61183667"/>
      <w:bookmarkStart w:id="8513" w:name="_Toc61184061"/>
      <w:bookmarkStart w:id="8514" w:name="_Toc61184453"/>
      <w:bookmarkStart w:id="8515" w:name="_Toc61184845"/>
      <w:bookmarkStart w:id="8516" w:name="_Toc61185235"/>
      <w:bookmarkStart w:id="8517" w:name="_Toc66386580"/>
      <w:bookmarkStart w:id="8518" w:name="_Toc74583538"/>
      <w:bookmarkStart w:id="8519" w:name="_Toc76542351"/>
      <w:bookmarkStart w:id="8520" w:name="_Toc82450333"/>
      <w:bookmarkStart w:id="8521" w:name="_Toc82450981"/>
      <w:bookmarkStart w:id="8522" w:name="_Toc89949370"/>
      <w:bookmarkStart w:id="8523" w:name="_Toc98755759"/>
      <w:bookmarkStart w:id="8524" w:name="_Toc98763351"/>
      <w:bookmarkStart w:id="8525" w:name="_Toc106184280"/>
      <w:r>
        <w:t>1</w:t>
      </w:r>
      <w:r w:rsidR="00F00690">
        <w:t>2</w:t>
      </w:r>
      <w:r>
        <w:t>.</w:t>
      </w:r>
      <w:r w:rsidR="009778A7">
        <w:t>3.</w:t>
      </w:r>
      <w:r>
        <w:t>1.1</w:t>
      </w:r>
      <w:r w:rsidR="00F72FF2">
        <w:rPr>
          <w:sz w:val="28"/>
        </w:rPr>
        <w:tab/>
      </w:r>
      <w:r>
        <w:t>Introduction</w:t>
      </w:r>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p>
    <w:p w14:paraId="2A230A5E" w14:textId="3A6EB8F9" w:rsidR="00334C0D" w:rsidRPr="00295C2F" w:rsidRDefault="00923FC8" w:rsidP="00FE263A">
      <w:r>
        <w:t xml:space="preserve">The UE requirements in sub-clause </w:t>
      </w:r>
      <w:r w:rsidR="00CF271B">
        <w:t xml:space="preserve">8.1.1 [6] </w:t>
      </w:r>
      <w:r>
        <w:t>apply for IAB-MT.</w:t>
      </w:r>
    </w:p>
    <w:p w14:paraId="1273B21B" w14:textId="29A6B0CE" w:rsidR="00295C2F" w:rsidRPr="00295C2F" w:rsidRDefault="00295C2F" w:rsidP="00EB3109">
      <w:pPr>
        <w:pStyle w:val="Heading4"/>
      </w:pPr>
      <w:bookmarkStart w:id="8526" w:name="_Toc53185603"/>
      <w:bookmarkStart w:id="8527" w:name="_Toc53185979"/>
      <w:bookmarkStart w:id="8528" w:name="_Toc57820465"/>
      <w:bookmarkStart w:id="8529" w:name="_Toc57821392"/>
      <w:bookmarkStart w:id="8530" w:name="_Toc61183668"/>
      <w:bookmarkStart w:id="8531" w:name="_Toc61184062"/>
      <w:bookmarkStart w:id="8532" w:name="_Toc61184454"/>
      <w:bookmarkStart w:id="8533" w:name="_Toc61184846"/>
      <w:bookmarkStart w:id="8534" w:name="_Toc61185236"/>
      <w:bookmarkStart w:id="8535" w:name="_Toc66386581"/>
      <w:bookmarkStart w:id="8536" w:name="_Toc74583539"/>
      <w:bookmarkStart w:id="8537" w:name="_Toc76542352"/>
      <w:bookmarkStart w:id="8538" w:name="_Toc82450334"/>
      <w:bookmarkStart w:id="8539" w:name="_Toc82450982"/>
      <w:bookmarkStart w:id="8540" w:name="_Toc89949371"/>
      <w:bookmarkStart w:id="8541" w:name="_Toc98755760"/>
      <w:bookmarkStart w:id="8542" w:name="_Toc98763352"/>
      <w:bookmarkStart w:id="8543" w:name="_Toc106184281"/>
      <w:r>
        <w:lastRenderedPageBreak/>
        <w:t>1</w:t>
      </w:r>
      <w:r w:rsidR="009778A7">
        <w:t>2</w:t>
      </w:r>
      <w:r>
        <w:t>.</w:t>
      </w:r>
      <w:r w:rsidR="009778A7">
        <w:t>3.</w:t>
      </w:r>
      <w:r>
        <w:t>1.2</w:t>
      </w:r>
      <w:r w:rsidR="00F72FF2">
        <w:rPr>
          <w:sz w:val="28"/>
        </w:rPr>
        <w:tab/>
      </w:r>
      <w:r>
        <w:t>Requirements for SSB based radio link monitoring</w:t>
      </w:r>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p>
    <w:p w14:paraId="411B49BD" w14:textId="103C0CDC" w:rsidR="00542589" w:rsidRDefault="002E0EB3" w:rsidP="00542589">
      <w:pPr>
        <w:pStyle w:val="Heading5"/>
        <w:rPr>
          <w:rFonts w:eastAsia="SimSun"/>
          <w:sz w:val="24"/>
        </w:rPr>
      </w:pPr>
      <w:bookmarkStart w:id="8544" w:name="_Toc53185604"/>
      <w:bookmarkStart w:id="8545" w:name="_Toc53185980"/>
      <w:bookmarkStart w:id="8546" w:name="_Toc57820466"/>
      <w:bookmarkStart w:id="8547" w:name="_Toc57821393"/>
      <w:bookmarkStart w:id="8548" w:name="_Toc61183669"/>
      <w:bookmarkStart w:id="8549" w:name="_Toc61184063"/>
      <w:bookmarkStart w:id="8550" w:name="_Toc61184455"/>
      <w:bookmarkStart w:id="8551" w:name="_Toc61184847"/>
      <w:bookmarkStart w:id="8552" w:name="_Toc61185237"/>
      <w:bookmarkStart w:id="8553" w:name="_Toc66386582"/>
      <w:bookmarkStart w:id="8554" w:name="_Toc74583540"/>
      <w:bookmarkStart w:id="8555" w:name="_Toc76542353"/>
      <w:bookmarkStart w:id="8556" w:name="_Toc82450335"/>
      <w:bookmarkStart w:id="8557" w:name="_Toc82450983"/>
      <w:bookmarkStart w:id="8558" w:name="_Toc89949372"/>
      <w:bookmarkStart w:id="8559" w:name="_Toc98755761"/>
      <w:bookmarkStart w:id="8560" w:name="_Toc98763353"/>
      <w:bookmarkStart w:id="8561" w:name="_Toc106184282"/>
      <w:r>
        <w:t>12.3.1.2.1</w:t>
      </w:r>
      <w:r w:rsidR="00F72FF2">
        <w:rPr>
          <w:sz w:val="28"/>
        </w:rPr>
        <w:tab/>
      </w:r>
      <w:r>
        <w:rPr>
          <w:rFonts w:eastAsia="SimSun"/>
          <w:sz w:val="24"/>
        </w:rPr>
        <w:t>Introduction</w:t>
      </w:r>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p>
    <w:p w14:paraId="0050322B" w14:textId="77777777" w:rsidR="00EF0517" w:rsidRDefault="00EF0517" w:rsidP="00EF0517">
      <w:pPr>
        <w:rPr>
          <w:rFonts w:eastAsia="SimSun"/>
        </w:rPr>
      </w:pPr>
      <w:r>
        <w:rPr>
          <w:rFonts w:eastAsia="SimSun"/>
        </w:rPr>
        <w:t xml:space="preserve">The requirements in this clause apply for each SSB based RLM-RS resource configured for PCell or PSCell, provided that the SSB configured for RLM is actually transmitted within </w:t>
      </w:r>
      <w:r>
        <w:rPr>
          <w:rFonts w:eastAsia="SimSun" w:hint="eastAsia"/>
          <w:lang w:eastAsia="zh-CN"/>
        </w:rPr>
        <w:t>IAB-MT</w:t>
      </w:r>
      <w:r>
        <w:rPr>
          <w:rFonts w:eastAsia="SimSun"/>
        </w:rPr>
        <w:t xml:space="preserve"> active DL BWP during the entire evaluation period specified in clause </w:t>
      </w:r>
      <w:r>
        <w:rPr>
          <w:rFonts w:eastAsia="SimSun" w:hint="eastAsia"/>
          <w:lang w:eastAsia="zh-CN"/>
        </w:rPr>
        <w:t>12.3.1</w:t>
      </w:r>
      <w:r>
        <w:rPr>
          <w:rFonts w:eastAsia="SimSun"/>
        </w:rPr>
        <w:t>.2.2.</w:t>
      </w:r>
    </w:p>
    <w:p w14:paraId="1FA14C7A" w14:textId="77777777" w:rsidR="00EF0517" w:rsidRDefault="00EF0517" w:rsidP="0063534F">
      <w:pPr>
        <w:pStyle w:val="TH"/>
        <w:rPr>
          <w:rFonts w:eastAsia="SimSun"/>
        </w:rPr>
      </w:pPr>
      <w:r>
        <w:rPr>
          <w:rFonts w:eastAsia="SimSun"/>
        </w:rPr>
        <w:t xml:space="preserve">Table </w:t>
      </w:r>
      <w:r>
        <w:rPr>
          <w:rFonts w:eastAsia="SimSun" w:hint="eastAsia"/>
          <w:lang w:eastAsia="zh-CN"/>
        </w:rPr>
        <w:t>12.3.1</w:t>
      </w:r>
      <w:r>
        <w:rPr>
          <w:rFonts w:eastAsia="SimSun"/>
        </w:rPr>
        <w:t>.2.1-1: PDCCH transmission parameters for out-of-sync evaluation</w:t>
      </w:r>
    </w:p>
    <w:tbl>
      <w:tblPr>
        <w:tblW w:w="6235"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649"/>
        <w:gridCol w:w="3586"/>
      </w:tblGrid>
      <w:tr w:rsidR="00EF0517" w14:paraId="66733F29" w14:textId="77777777" w:rsidTr="00A4061E">
        <w:trPr>
          <w:jc w:val="center"/>
        </w:trPr>
        <w:tc>
          <w:tcPr>
            <w:tcW w:w="2649" w:type="dxa"/>
            <w:shd w:val="clear" w:color="auto" w:fill="auto"/>
            <w:vAlign w:val="center"/>
          </w:tcPr>
          <w:p w14:paraId="09FFA849" w14:textId="77777777" w:rsidR="00EF0517" w:rsidRDefault="00EF0517" w:rsidP="0063534F">
            <w:pPr>
              <w:pStyle w:val="TAH"/>
              <w:rPr>
                <w:rFonts w:eastAsia="SimSun"/>
              </w:rPr>
            </w:pPr>
            <w:r>
              <w:rPr>
                <w:rFonts w:eastAsia="SimSun"/>
              </w:rPr>
              <w:t>Attribute</w:t>
            </w:r>
          </w:p>
        </w:tc>
        <w:tc>
          <w:tcPr>
            <w:tcW w:w="3586" w:type="dxa"/>
            <w:shd w:val="clear" w:color="auto" w:fill="auto"/>
            <w:vAlign w:val="center"/>
          </w:tcPr>
          <w:p w14:paraId="2FE7B0B8" w14:textId="77777777" w:rsidR="00EF0517" w:rsidRDefault="00EF0517" w:rsidP="0063534F">
            <w:pPr>
              <w:pStyle w:val="TAH"/>
              <w:rPr>
                <w:rFonts w:eastAsia="?? ??"/>
              </w:rPr>
            </w:pPr>
            <w:r>
              <w:rPr>
                <w:rFonts w:eastAsia="SimSun" w:hint="eastAsia"/>
                <w:lang w:eastAsia="zh-CN"/>
              </w:rPr>
              <w:t>Value</w:t>
            </w:r>
            <w:r>
              <w:rPr>
                <w:rFonts w:eastAsia="?? ??"/>
              </w:rPr>
              <w:t xml:space="preserve"> for BLER Configuration #0</w:t>
            </w:r>
          </w:p>
        </w:tc>
      </w:tr>
      <w:tr w:rsidR="00EF0517" w14:paraId="7BA05333" w14:textId="77777777" w:rsidTr="0063534F">
        <w:trPr>
          <w:trHeight w:val="201"/>
          <w:jc w:val="center"/>
        </w:trPr>
        <w:tc>
          <w:tcPr>
            <w:tcW w:w="2649" w:type="dxa"/>
            <w:shd w:val="clear" w:color="auto" w:fill="auto"/>
          </w:tcPr>
          <w:p w14:paraId="6E4AEA33" w14:textId="77777777" w:rsidR="00EF0517" w:rsidRDefault="00EF0517" w:rsidP="0063534F">
            <w:pPr>
              <w:pStyle w:val="TAL"/>
              <w:rPr>
                <w:rFonts w:eastAsia="?? ??"/>
              </w:rPr>
            </w:pPr>
            <w:r>
              <w:rPr>
                <w:rFonts w:eastAsia="?? ??"/>
              </w:rPr>
              <w:t>DCI format</w:t>
            </w:r>
          </w:p>
        </w:tc>
        <w:tc>
          <w:tcPr>
            <w:tcW w:w="3586" w:type="dxa"/>
            <w:shd w:val="clear" w:color="auto" w:fill="auto"/>
          </w:tcPr>
          <w:p w14:paraId="4B078C5B" w14:textId="77777777" w:rsidR="00EF0517" w:rsidRDefault="00EF0517" w:rsidP="0063534F">
            <w:pPr>
              <w:pStyle w:val="TAC"/>
              <w:rPr>
                <w:rFonts w:eastAsia="?? ??"/>
              </w:rPr>
            </w:pPr>
            <w:r>
              <w:rPr>
                <w:rFonts w:eastAsia="?? ??"/>
              </w:rPr>
              <w:t>1-0</w:t>
            </w:r>
          </w:p>
        </w:tc>
      </w:tr>
      <w:tr w:rsidR="00EF0517" w14:paraId="18B2986D" w14:textId="77777777" w:rsidTr="0063534F">
        <w:trPr>
          <w:jc w:val="center"/>
        </w:trPr>
        <w:tc>
          <w:tcPr>
            <w:tcW w:w="2649" w:type="dxa"/>
            <w:shd w:val="clear" w:color="auto" w:fill="auto"/>
          </w:tcPr>
          <w:p w14:paraId="50A4CB0E" w14:textId="77777777" w:rsidR="00EF0517" w:rsidRDefault="00EF0517" w:rsidP="0063534F">
            <w:pPr>
              <w:pStyle w:val="TAL"/>
              <w:rPr>
                <w:rFonts w:eastAsia="?? ??"/>
              </w:rPr>
            </w:pPr>
            <w:r>
              <w:rPr>
                <w:rFonts w:eastAsia="?? ??"/>
              </w:rPr>
              <w:t>Number of control OFDM symbols</w:t>
            </w:r>
          </w:p>
        </w:tc>
        <w:tc>
          <w:tcPr>
            <w:tcW w:w="3586" w:type="dxa"/>
            <w:shd w:val="clear" w:color="auto" w:fill="auto"/>
          </w:tcPr>
          <w:p w14:paraId="5D0EB7EB" w14:textId="77777777" w:rsidR="00EF0517" w:rsidRDefault="00EF0517" w:rsidP="0063534F">
            <w:pPr>
              <w:pStyle w:val="TAC"/>
              <w:rPr>
                <w:rFonts w:eastAsia="?? ??"/>
                <w:lang w:val="de-DE"/>
              </w:rPr>
            </w:pPr>
            <w:r>
              <w:rPr>
                <w:rFonts w:eastAsia="?? ??"/>
              </w:rPr>
              <w:t>2</w:t>
            </w:r>
          </w:p>
        </w:tc>
      </w:tr>
      <w:tr w:rsidR="00EF0517" w14:paraId="014D39B6" w14:textId="77777777" w:rsidTr="0063534F">
        <w:trPr>
          <w:jc w:val="center"/>
        </w:trPr>
        <w:tc>
          <w:tcPr>
            <w:tcW w:w="2649" w:type="dxa"/>
            <w:shd w:val="clear" w:color="auto" w:fill="auto"/>
          </w:tcPr>
          <w:p w14:paraId="168E5036" w14:textId="77777777" w:rsidR="00EF0517" w:rsidRDefault="00EF0517" w:rsidP="0063534F">
            <w:pPr>
              <w:pStyle w:val="TAL"/>
              <w:rPr>
                <w:rFonts w:eastAsia="?? ??"/>
              </w:rPr>
            </w:pPr>
            <w:r>
              <w:rPr>
                <w:rFonts w:eastAsia="?? ??"/>
              </w:rPr>
              <w:t>Aggregation level (CCE)</w:t>
            </w:r>
          </w:p>
        </w:tc>
        <w:tc>
          <w:tcPr>
            <w:tcW w:w="3586" w:type="dxa"/>
            <w:shd w:val="clear" w:color="auto" w:fill="auto"/>
          </w:tcPr>
          <w:p w14:paraId="6CA7ED73" w14:textId="77777777" w:rsidR="00EF0517" w:rsidRDefault="00EF0517" w:rsidP="0063534F">
            <w:pPr>
              <w:pStyle w:val="TAC"/>
              <w:rPr>
                <w:rFonts w:eastAsia="?? ??"/>
              </w:rPr>
            </w:pPr>
            <w:r>
              <w:rPr>
                <w:rFonts w:eastAsia="?? ??"/>
              </w:rPr>
              <w:t>8</w:t>
            </w:r>
          </w:p>
        </w:tc>
      </w:tr>
      <w:tr w:rsidR="00EF0517" w14:paraId="53B96816" w14:textId="77777777" w:rsidTr="0063534F">
        <w:trPr>
          <w:jc w:val="center"/>
        </w:trPr>
        <w:tc>
          <w:tcPr>
            <w:tcW w:w="2649" w:type="dxa"/>
            <w:shd w:val="clear" w:color="auto" w:fill="auto"/>
          </w:tcPr>
          <w:p w14:paraId="0AABA202" w14:textId="77777777" w:rsidR="00EF0517" w:rsidRDefault="00EF0517" w:rsidP="0063534F">
            <w:pPr>
              <w:pStyle w:val="TAL"/>
              <w:rPr>
                <w:rFonts w:eastAsia="?? ??"/>
              </w:rPr>
            </w:pPr>
            <w:r>
              <w:rPr>
                <w:rFonts w:eastAsia="?? ??"/>
              </w:rPr>
              <w:t>Ratio of hypothetical PDCCH RE energy to average SSS RE energy</w:t>
            </w:r>
          </w:p>
        </w:tc>
        <w:tc>
          <w:tcPr>
            <w:tcW w:w="3586" w:type="dxa"/>
            <w:shd w:val="clear" w:color="auto" w:fill="auto"/>
          </w:tcPr>
          <w:p w14:paraId="7572E49E" w14:textId="77777777" w:rsidR="00EF0517" w:rsidRDefault="00EF0517" w:rsidP="0063534F">
            <w:pPr>
              <w:pStyle w:val="TAC"/>
              <w:rPr>
                <w:rFonts w:eastAsia="?? ??"/>
              </w:rPr>
            </w:pPr>
            <w:r>
              <w:rPr>
                <w:rFonts w:eastAsia="?? ??"/>
              </w:rPr>
              <w:t>4dB</w:t>
            </w:r>
          </w:p>
        </w:tc>
      </w:tr>
      <w:tr w:rsidR="00EF0517" w14:paraId="72640566" w14:textId="77777777" w:rsidTr="0063534F">
        <w:trPr>
          <w:jc w:val="center"/>
        </w:trPr>
        <w:tc>
          <w:tcPr>
            <w:tcW w:w="2649" w:type="dxa"/>
            <w:shd w:val="clear" w:color="auto" w:fill="auto"/>
          </w:tcPr>
          <w:p w14:paraId="0ADAFEC5" w14:textId="77777777" w:rsidR="00EF0517" w:rsidRDefault="00EF0517" w:rsidP="0063534F">
            <w:pPr>
              <w:pStyle w:val="TAL"/>
              <w:rPr>
                <w:rFonts w:eastAsia="?? ??"/>
              </w:rPr>
            </w:pPr>
            <w:r>
              <w:rPr>
                <w:rFonts w:eastAsia="?? ??"/>
              </w:rPr>
              <w:t>Ratio of hypothetical PDCCH DMRS energy to average SSS RE energy</w:t>
            </w:r>
          </w:p>
        </w:tc>
        <w:tc>
          <w:tcPr>
            <w:tcW w:w="3586" w:type="dxa"/>
            <w:shd w:val="clear" w:color="auto" w:fill="auto"/>
          </w:tcPr>
          <w:p w14:paraId="0E6C78D4" w14:textId="77777777" w:rsidR="00EF0517" w:rsidRDefault="00EF0517" w:rsidP="0063534F">
            <w:pPr>
              <w:pStyle w:val="TAC"/>
              <w:rPr>
                <w:rFonts w:eastAsia="?? ??"/>
              </w:rPr>
            </w:pPr>
            <w:r>
              <w:rPr>
                <w:rFonts w:eastAsia="?? ??"/>
              </w:rPr>
              <w:t>4dB</w:t>
            </w:r>
          </w:p>
        </w:tc>
      </w:tr>
      <w:tr w:rsidR="00EF0517" w14:paraId="56C55FCB" w14:textId="77777777" w:rsidTr="0063534F">
        <w:trPr>
          <w:jc w:val="center"/>
        </w:trPr>
        <w:tc>
          <w:tcPr>
            <w:tcW w:w="2649" w:type="dxa"/>
            <w:shd w:val="clear" w:color="auto" w:fill="auto"/>
          </w:tcPr>
          <w:p w14:paraId="02301697" w14:textId="77777777" w:rsidR="00EF0517" w:rsidRDefault="00EF0517" w:rsidP="0063534F">
            <w:pPr>
              <w:pStyle w:val="TAL"/>
              <w:rPr>
                <w:rFonts w:eastAsia="?? ??"/>
              </w:rPr>
            </w:pPr>
            <w:r>
              <w:rPr>
                <w:rFonts w:eastAsia="?? ??"/>
              </w:rPr>
              <w:t>Bandwidth (PRBs)</w:t>
            </w:r>
          </w:p>
        </w:tc>
        <w:tc>
          <w:tcPr>
            <w:tcW w:w="3586" w:type="dxa"/>
            <w:shd w:val="clear" w:color="auto" w:fill="auto"/>
          </w:tcPr>
          <w:p w14:paraId="09DF4E24" w14:textId="77777777" w:rsidR="00EF0517" w:rsidRDefault="00EF0517" w:rsidP="0063534F">
            <w:pPr>
              <w:pStyle w:val="TAC"/>
              <w:rPr>
                <w:rFonts w:eastAsia="?? ??"/>
              </w:rPr>
            </w:pPr>
            <w:r>
              <w:rPr>
                <w:rFonts w:eastAsia="?? ??"/>
              </w:rPr>
              <w:t>24</w:t>
            </w:r>
          </w:p>
        </w:tc>
      </w:tr>
      <w:tr w:rsidR="00EF0517" w14:paraId="345EB7C0" w14:textId="77777777" w:rsidTr="0063534F">
        <w:trPr>
          <w:jc w:val="center"/>
        </w:trPr>
        <w:tc>
          <w:tcPr>
            <w:tcW w:w="2649" w:type="dxa"/>
            <w:shd w:val="clear" w:color="auto" w:fill="auto"/>
          </w:tcPr>
          <w:p w14:paraId="6CF8DFBA" w14:textId="77777777" w:rsidR="00EF0517" w:rsidRDefault="00EF0517" w:rsidP="0063534F">
            <w:pPr>
              <w:pStyle w:val="TAL"/>
              <w:rPr>
                <w:rFonts w:eastAsia="?? ??"/>
              </w:rPr>
            </w:pPr>
            <w:r>
              <w:rPr>
                <w:rFonts w:eastAsia="?? ??"/>
              </w:rPr>
              <w:t>Sub-carrier spacing (kHz)</w:t>
            </w:r>
          </w:p>
        </w:tc>
        <w:tc>
          <w:tcPr>
            <w:tcW w:w="3586" w:type="dxa"/>
            <w:shd w:val="clear" w:color="auto" w:fill="auto"/>
          </w:tcPr>
          <w:p w14:paraId="22ABD031" w14:textId="77777777" w:rsidR="00EF0517" w:rsidRDefault="00EF0517" w:rsidP="0063534F">
            <w:pPr>
              <w:pStyle w:val="TAC"/>
              <w:rPr>
                <w:rFonts w:eastAsia="?? ??"/>
              </w:rPr>
            </w:pPr>
            <w:r>
              <w:rPr>
                <w:rFonts w:eastAsia="?? ??"/>
              </w:rPr>
              <w:t>SCS of the active DL BWP</w:t>
            </w:r>
          </w:p>
        </w:tc>
      </w:tr>
      <w:tr w:rsidR="00EF0517" w14:paraId="7A21C909" w14:textId="77777777" w:rsidTr="0063534F">
        <w:trPr>
          <w:jc w:val="center"/>
        </w:trPr>
        <w:tc>
          <w:tcPr>
            <w:tcW w:w="2649" w:type="dxa"/>
            <w:shd w:val="clear" w:color="auto" w:fill="auto"/>
          </w:tcPr>
          <w:p w14:paraId="30BC1352" w14:textId="77777777" w:rsidR="00EF0517" w:rsidRDefault="00EF0517" w:rsidP="0063534F">
            <w:pPr>
              <w:pStyle w:val="TAL"/>
              <w:rPr>
                <w:rFonts w:eastAsia="?? ??"/>
              </w:rPr>
            </w:pPr>
            <w:r>
              <w:rPr>
                <w:rFonts w:eastAsia="?? ??"/>
              </w:rPr>
              <w:t>DMRS precoder granularity</w:t>
            </w:r>
          </w:p>
        </w:tc>
        <w:tc>
          <w:tcPr>
            <w:tcW w:w="3586" w:type="dxa"/>
            <w:shd w:val="clear" w:color="auto" w:fill="auto"/>
          </w:tcPr>
          <w:p w14:paraId="3A3E1113" w14:textId="77777777" w:rsidR="00EF0517" w:rsidRDefault="00EF0517" w:rsidP="0063534F">
            <w:pPr>
              <w:pStyle w:val="TAC"/>
              <w:rPr>
                <w:rFonts w:eastAsia="?? ??"/>
              </w:rPr>
            </w:pPr>
            <w:r>
              <w:rPr>
                <w:rFonts w:eastAsia="?? ??"/>
              </w:rPr>
              <w:t>REG bundle size</w:t>
            </w:r>
          </w:p>
        </w:tc>
      </w:tr>
      <w:tr w:rsidR="00EF0517" w14:paraId="19ECFCD2" w14:textId="77777777" w:rsidTr="0063534F">
        <w:trPr>
          <w:jc w:val="center"/>
        </w:trPr>
        <w:tc>
          <w:tcPr>
            <w:tcW w:w="2649" w:type="dxa"/>
            <w:shd w:val="clear" w:color="auto" w:fill="auto"/>
          </w:tcPr>
          <w:p w14:paraId="7D2A54E1" w14:textId="77777777" w:rsidR="00EF0517" w:rsidRDefault="00EF0517" w:rsidP="0063534F">
            <w:pPr>
              <w:pStyle w:val="TAL"/>
              <w:rPr>
                <w:rFonts w:eastAsia="?? ??"/>
              </w:rPr>
            </w:pPr>
            <w:r>
              <w:rPr>
                <w:rFonts w:eastAsia="?? ??"/>
              </w:rPr>
              <w:t>REG bundle size</w:t>
            </w:r>
          </w:p>
        </w:tc>
        <w:tc>
          <w:tcPr>
            <w:tcW w:w="3586" w:type="dxa"/>
            <w:shd w:val="clear" w:color="auto" w:fill="auto"/>
          </w:tcPr>
          <w:p w14:paraId="5C072A42" w14:textId="77777777" w:rsidR="00EF0517" w:rsidRDefault="00EF0517" w:rsidP="0063534F">
            <w:pPr>
              <w:pStyle w:val="TAC"/>
              <w:rPr>
                <w:rFonts w:eastAsia="?? ??"/>
              </w:rPr>
            </w:pPr>
            <w:r>
              <w:rPr>
                <w:rFonts w:eastAsia="?? ??"/>
              </w:rPr>
              <w:t>6</w:t>
            </w:r>
          </w:p>
        </w:tc>
      </w:tr>
      <w:tr w:rsidR="00EF0517" w14:paraId="20FFFA93" w14:textId="77777777" w:rsidTr="0063534F">
        <w:trPr>
          <w:jc w:val="center"/>
        </w:trPr>
        <w:tc>
          <w:tcPr>
            <w:tcW w:w="2649" w:type="dxa"/>
            <w:shd w:val="clear" w:color="auto" w:fill="auto"/>
          </w:tcPr>
          <w:p w14:paraId="33ABCBC6" w14:textId="77777777" w:rsidR="00EF0517" w:rsidRDefault="00EF0517" w:rsidP="0063534F">
            <w:pPr>
              <w:pStyle w:val="TAL"/>
              <w:rPr>
                <w:rFonts w:eastAsia="?? ??"/>
              </w:rPr>
            </w:pPr>
            <w:r>
              <w:rPr>
                <w:rFonts w:eastAsia="?? ??"/>
              </w:rPr>
              <w:t>CP length</w:t>
            </w:r>
          </w:p>
        </w:tc>
        <w:tc>
          <w:tcPr>
            <w:tcW w:w="3586" w:type="dxa"/>
            <w:shd w:val="clear" w:color="auto" w:fill="auto"/>
          </w:tcPr>
          <w:p w14:paraId="60B52958" w14:textId="77777777" w:rsidR="00EF0517" w:rsidRDefault="00EF0517" w:rsidP="0063534F">
            <w:pPr>
              <w:pStyle w:val="TAC"/>
              <w:rPr>
                <w:rFonts w:eastAsia="?? ??"/>
              </w:rPr>
            </w:pPr>
            <w:r>
              <w:rPr>
                <w:rFonts w:eastAsia="?? ??"/>
              </w:rPr>
              <w:t>Normal</w:t>
            </w:r>
          </w:p>
        </w:tc>
      </w:tr>
      <w:tr w:rsidR="00EF0517" w14:paraId="7C28CD79" w14:textId="77777777" w:rsidTr="0063534F">
        <w:trPr>
          <w:jc w:val="center"/>
        </w:trPr>
        <w:tc>
          <w:tcPr>
            <w:tcW w:w="2649" w:type="dxa"/>
            <w:shd w:val="clear" w:color="auto" w:fill="auto"/>
          </w:tcPr>
          <w:p w14:paraId="173C9892" w14:textId="77777777" w:rsidR="00EF0517" w:rsidRDefault="00EF0517" w:rsidP="0063534F">
            <w:pPr>
              <w:pStyle w:val="TAL"/>
              <w:rPr>
                <w:rFonts w:eastAsia="?? ??"/>
              </w:rPr>
            </w:pPr>
            <w:r>
              <w:rPr>
                <w:rFonts w:eastAsia="?? ??"/>
              </w:rPr>
              <w:t>Mapping from REG to CCE</w:t>
            </w:r>
          </w:p>
        </w:tc>
        <w:tc>
          <w:tcPr>
            <w:tcW w:w="3586" w:type="dxa"/>
            <w:shd w:val="clear" w:color="auto" w:fill="auto"/>
          </w:tcPr>
          <w:p w14:paraId="0AB5D13D" w14:textId="77777777" w:rsidR="00EF0517" w:rsidRDefault="00EF0517" w:rsidP="0063534F">
            <w:pPr>
              <w:pStyle w:val="TAC"/>
              <w:rPr>
                <w:rFonts w:eastAsia="?? ??"/>
              </w:rPr>
            </w:pPr>
            <w:r>
              <w:rPr>
                <w:rFonts w:eastAsia="?? ??"/>
              </w:rPr>
              <w:t>Distributed</w:t>
            </w:r>
          </w:p>
        </w:tc>
      </w:tr>
    </w:tbl>
    <w:p w14:paraId="445FA3A0" w14:textId="77777777" w:rsidR="00EF0517" w:rsidRDefault="00EF0517" w:rsidP="00EF0517">
      <w:pPr>
        <w:rPr>
          <w:rFonts w:eastAsia="?? ??"/>
        </w:rPr>
      </w:pPr>
    </w:p>
    <w:p w14:paraId="241516F4" w14:textId="77777777" w:rsidR="00EF0517" w:rsidRDefault="00EF0517" w:rsidP="0063534F">
      <w:pPr>
        <w:pStyle w:val="TH"/>
        <w:rPr>
          <w:rFonts w:eastAsia="SimSun"/>
        </w:rPr>
      </w:pPr>
      <w:r>
        <w:rPr>
          <w:rFonts w:eastAsia="SimSun"/>
        </w:rPr>
        <w:t xml:space="preserve">Table </w:t>
      </w:r>
      <w:r>
        <w:rPr>
          <w:rFonts w:eastAsia="SimSun" w:hint="eastAsia"/>
          <w:lang w:eastAsia="zh-CN"/>
        </w:rPr>
        <w:t>12.3.1</w:t>
      </w:r>
      <w:r>
        <w:rPr>
          <w:rFonts w:eastAsia="SimSun"/>
        </w:rPr>
        <w:t>.2.1-2: PDCCH transmission parameters for in-sync evaluation</w:t>
      </w:r>
    </w:p>
    <w:tbl>
      <w:tblPr>
        <w:tblW w:w="6235"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649"/>
        <w:gridCol w:w="3586"/>
      </w:tblGrid>
      <w:tr w:rsidR="00EF0517" w14:paraId="286E8ADE" w14:textId="77777777" w:rsidTr="00A4061E">
        <w:trPr>
          <w:jc w:val="center"/>
        </w:trPr>
        <w:tc>
          <w:tcPr>
            <w:tcW w:w="2649" w:type="dxa"/>
            <w:shd w:val="clear" w:color="auto" w:fill="auto"/>
            <w:vAlign w:val="center"/>
          </w:tcPr>
          <w:p w14:paraId="581E62B6" w14:textId="77777777" w:rsidR="00EF0517" w:rsidRDefault="00EF0517" w:rsidP="0063534F">
            <w:pPr>
              <w:pStyle w:val="TAH"/>
              <w:rPr>
                <w:rFonts w:eastAsia="SimSun"/>
              </w:rPr>
            </w:pPr>
            <w:r>
              <w:rPr>
                <w:rFonts w:eastAsia="SimSun"/>
              </w:rPr>
              <w:t>Attribute</w:t>
            </w:r>
          </w:p>
        </w:tc>
        <w:tc>
          <w:tcPr>
            <w:tcW w:w="3586" w:type="dxa"/>
            <w:shd w:val="clear" w:color="auto" w:fill="auto"/>
            <w:vAlign w:val="center"/>
          </w:tcPr>
          <w:p w14:paraId="20BDB251" w14:textId="77777777" w:rsidR="00EF0517" w:rsidRDefault="00EF0517" w:rsidP="0063534F">
            <w:pPr>
              <w:pStyle w:val="TAH"/>
              <w:rPr>
                <w:rFonts w:eastAsia="?? ??"/>
              </w:rPr>
            </w:pPr>
            <w:r>
              <w:rPr>
                <w:rFonts w:eastAsia="SimSun" w:hint="eastAsia"/>
                <w:lang w:eastAsia="zh-CN"/>
              </w:rPr>
              <w:t>Value</w:t>
            </w:r>
            <w:r>
              <w:rPr>
                <w:rFonts w:eastAsia="?? ??"/>
              </w:rPr>
              <w:t xml:space="preserve"> for BLER Configuration #0</w:t>
            </w:r>
          </w:p>
        </w:tc>
      </w:tr>
      <w:tr w:rsidR="00EF0517" w14:paraId="3E14E315" w14:textId="77777777" w:rsidTr="00A4061E">
        <w:trPr>
          <w:trHeight w:val="201"/>
          <w:jc w:val="center"/>
        </w:trPr>
        <w:tc>
          <w:tcPr>
            <w:tcW w:w="2649" w:type="dxa"/>
            <w:shd w:val="clear" w:color="auto" w:fill="auto"/>
            <w:vAlign w:val="center"/>
          </w:tcPr>
          <w:p w14:paraId="33D23E64" w14:textId="77777777" w:rsidR="00EF0517" w:rsidRDefault="00EF0517" w:rsidP="0063534F">
            <w:pPr>
              <w:pStyle w:val="TAL"/>
              <w:rPr>
                <w:rFonts w:eastAsia="?? ??"/>
              </w:rPr>
            </w:pPr>
            <w:r>
              <w:rPr>
                <w:rFonts w:eastAsia="?? ??"/>
              </w:rPr>
              <w:t>DCI payload size</w:t>
            </w:r>
          </w:p>
        </w:tc>
        <w:tc>
          <w:tcPr>
            <w:tcW w:w="3586" w:type="dxa"/>
            <w:shd w:val="clear" w:color="auto" w:fill="auto"/>
            <w:vAlign w:val="center"/>
          </w:tcPr>
          <w:p w14:paraId="23B050B5" w14:textId="77777777" w:rsidR="00EF0517" w:rsidRDefault="00EF0517" w:rsidP="0063534F">
            <w:pPr>
              <w:pStyle w:val="TAC"/>
              <w:rPr>
                <w:rFonts w:eastAsia="?? ??"/>
              </w:rPr>
            </w:pPr>
            <w:r>
              <w:rPr>
                <w:rFonts w:eastAsia="?? ??"/>
              </w:rPr>
              <w:t>1-0</w:t>
            </w:r>
          </w:p>
        </w:tc>
      </w:tr>
      <w:tr w:rsidR="00EF0517" w14:paraId="65242358" w14:textId="77777777" w:rsidTr="00A4061E">
        <w:trPr>
          <w:jc w:val="center"/>
        </w:trPr>
        <w:tc>
          <w:tcPr>
            <w:tcW w:w="2649" w:type="dxa"/>
            <w:shd w:val="clear" w:color="auto" w:fill="auto"/>
            <w:vAlign w:val="center"/>
          </w:tcPr>
          <w:p w14:paraId="4258605D" w14:textId="77777777" w:rsidR="00EF0517" w:rsidRDefault="00EF0517" w:rsidP="0063534F">
            <w:pPr>
              <w:pStyle w:val="TAL"/>
              <w:rPr>
                <w:rFonts w:eastAsia="?? ??"/>
              </w:rPr>
            </w:pPr>
            <w:r>
              <w:rPr>
                <w:rFonts w:eastAsia="?? ??"/>
              </w:rPr>
              <w:t>Number of control OFDM symbols</w:t>
            </w:r>
          </w:p>
        </w:tc>
        <w:tc>
          <w:tcPr>
            <w:tcW w:w="3586" w:type="dxa"/>
            <w:shd w:val="clear" w:color="auto" w:fill="auto"/>
            <w:vAlign w:val="center"/>
          </w:tcPr>
          <w:p w14:paraId="5375B16A" w14:textId="77777777" w:rsidR="00EF0517" w:rsidRDefault="00EF0517" w:rsidP="0063534F">
            <w:pPr>
              <w:pStyle w:val="TAC"/>
              <w:rPr>
                <w:rFonts w:eastAsia="?? ??"/>
                <w:lang w:val="de-DE"/>
              </w:rPr>
            </w:pPr>
            <w:r>
              <w:rPr>
                <w:rFonts w:eastAsia="?? ??"/>
              </w:rPr>
              <w:t>2</w:t>
            </w:r>
          </w:p>
        </w:tc>
      </w:tr>
      <w:tr w:rsidR="00EF0517" w14:paraId="4FFAA8B3" w14:textId="77777777" w:rsidTr="00A4061E">
        <w:trPr>
          <w:jc w:val="center"/>
        </w:trPr>
        <w:tc>
          <w:tcPr>
            <w:tcW w:w="2649" w:type="dxa"/>
            <w:shd w:val="clear" w:color="auto" w:fill="auto"/>
            <w:vAlign w:val="center"/>
          </w:tcPr>
          <w:p w14:paraId="366CE021" w14:textId="77777777" w:rsidR="00EF0517" w:rsidRDefault="00EF0517" w:rsidP="0063534F">
            <w:pPr>
              <w:pStyle w:val="TAL"/>
              <w:rPr>
                <w:rFonts w:eastAsia="?? ??"/>
              </w:rPr>
            </w:pPr>
            <w:r>
              <w:rPr>
                <w:rFonts w:eastAsia="?? ??"/>
              </w:rPr>
              <w:t>Aggregation level (CCE)</w:t>
            </w:r>
          </w:p>
        </w:tc>
        <w:tc>
          <w:tcPr>
            <w:tcW w:w="3586" w:type="dxa"/>
            <w:shd w:val="clear" w:color="auto" w:fill="auto"/>
            <w:vAlign w:val="center"/>
          </w:tcPr>
          <w:p w14:paraId="09DF20D1" w14:textId="77777777" w:rsidR="00EF0517" w:rsidRDefault="00EF0517" w:rsidP="0063534F">
            <w:pPr>
              <w:pStyle w:val="TAC"/>
              <w:rPr>
                <w:rFonts w:eastAsia="?? ??"/>
              </w:rPr>
            </w:pPr>
            <w:r>
              <w:rPr>
                <w:rFonts w:eastAsia="?? ??"/>
              </w:rPr>
              <w:t>4</w:t>
            </w:r>
          </w:p>
        </w:tc>
      </w:tr>
      <w:tr w:rsidR="00EF0517" w14:paraId="704DB788" w14:textId="77777777" w:rsidTr="00A4061E">
        <w:trPr>
          <w:jc w:val="center"/>
        </w:trPr>
        <w:tc>
          <w:tcPr>
            <w:tcW w:w="2649" w:type="dxa"/>
            <w:shd w:val="clear" w:color="auto" w:fill="auto"/>
            <w:vAlign w:val="center"/>
          </w:tcPr>
          <w:p w14:paraId="5E26AC66" w14:textId="77777777" w:rsidR="00EF0517" w:rsidRDefault="00EF0517" w:rsidP="0063534F">
            <w:pPr>
              <w:pStyle w:val="TAL"/>
              <w:rPr>
                <w:rFonts w:eastAsia="?? ??"/>
              </w:rPr>
            </w:pPr>
            <w:r>
              <w:rPr>
                <w:rFonts w:eastAsia="?? ??"/>
              </w:rPr>
              <w:t>Ratio of hypothetical PDCCH RE energy to average SSS RE energy</w:t>
            </w:r>
          </w:p>
        </w:tc>
        <w:tc>
          <w:tcPr>
            <w:tcW w:w="3586" w:type="dxa"/>
            <w:shd w:val="clear" w:color="auto" w:fill="auto"/>
            <w:vAlign w:val="center"/>
          </w:tcPr>
          <w:p w14:paraId="0CB0A8F0" w14:textId="77777777" w:rsidR="00EF0517" w:rsidRDefault="00EF0517" w:rsidP="0063534F">
            <w:pPr>
              <w:pStyle w:val="TAC"/>
              <w:rPr>
                <w:rFonts w:eastAsia="?? ??"/>
              </w:rPr>
            </w:pPr>
            <w:r>
              <w:rPr>
                <w:rFonts w:eastAsia="?? ??"/>
              </w:rPr>
              <w:t>0dB</w:t>
            </w:r>
          </w:p>
        </w:tc>
      </w:tr>
      <w:tr w:rsidR="00EF0517" w14:paraId="4BC7C60C" w14:textId="77777777" w:rsidTr="00A4061E">
        <w:trPr>
          <w:jc w:val="center"/>
        </w:trPr>
        <w:tc>
          <w:tcPr>
            <w:tcW w:w="2649" w:type="dxa"/>
            <w:shd w:val="clear" w:color="auto" w:fill="auto"/>
            <w:vAlign w:val="center"/>
          </w:tcPr>
          <w:p w14:paraId="7086CD05" w14:textId="77777777" w:rsidR="00EF0517" w:rsidRDefault="00EF0517" w:rsidP="0063534F">
            <w:pPr>
              <w:pStyle w:val="TAL"/>
              <w:rPr>
                <w:rFonts w:eastAsia="?? ??"/>
              </w:rPr>
            </w:pPr>
            <w:r>
              <w:rPr>
                <w:rFonts w:eastAsia="?? ??"/>
              </w:rPr>
              <w:t>Ratio of hypothetical PDCCH DMRS energy to average SSS RE energy</w:t>
            </w:r>
          </w:p>
        </w:tc>
        <w:tc>
          <w:tcPr>
            <w:tcW w:w="3586" w:type="dxa"/>
            <w:shd w:val="clear" w:color="auto" w:fill="auto"/>
            <w:vAlign w:val="center"/>
          </w:tcPr>
          <w:p w14:paraId="7E743951" w14:textId="77777777" w:rsidR="00EF0517" w:rsidRDefault="00EF0517" w:rsidP="0063534F">
            <w:pPr>
              <w:pStyle w:val="TAC"/>
              <w:rPr>
                <w:rFonts w:eastAsia="?? ??"/>
              </w:rPr>
            </w:pPr>
            <w:r>
              <w:rPr>
                <w:rFonts w:eastAsia="?? ??"/>
              </w:rPr>
              <w:t>0dB</w:t>
            </w:r>
          </w:p>
        </w:tc>
      </w:tr>
      <w:tr w:rsidR="00EF0517" w14:paraId="475DF659" w14:textId="77777777" w:rsidTr="00A4061E">
        <w:trPr>
          <w:jc w:val="center"/>
        </w:trPr>
        <w:tc>
          <w:tcPr>
            <w:tcW w:w="2649" w:type="dxa"/>
            <w:shd w:val="clear" w:color="auto" w:fill="auto"/>
            <w:vAlign w:val="center"/>
          </w:tcPr>
          <w:p w14:paraId="4A058A4F" w14:textId="77777777" w:rsidR="00EF0517" w:rsidRDefault="00EF0517" w:rsidP="0063534F">
            <w:pPr>
              <w:pStyle w:val="TAL"/>
              <w:rPr>
                <w:rFonts w:eastAsia="?? ??"/>
              </w:rPr>
            </w:pPr>
            <w:r>
              <w:rPr>
                <w:rFonts w:eastAsia="?? ??"/>
              </w:rPr>
              <w:t>Bandwidth (PRBs)</w:t>
            </w:r>
          </w:p>
        </w:tc>
        <w:tc>
          <w:tcPr>
            <w:tcW w:w="3586" w:type="dxa"/>
            <w:shd w:val="clear" w:color="auto" w:fill="auto"/>
            <w:vAlign w:val="center"/>
          </w:tcPr>
          <w:p w14:paraId="5197CB45" w14:textId="77777777" w:rsidR="00EF0517" w:rsidRDefault="00EF0517" w:rsidP="0063534F">
            <w:pPr>
              <w:pStyle w:val="TAC"/>
              <w:rPr>
                <w:rFonts w:eastAsia="?? ??"/>
              </w:rPr>
            </w:pPr>
            <w:r>
              <w:rPr>
                <w:rFonts w:eastAsia="?? ??"/>
              </w:rPr>
              <w:t>24</w:t>
            </w:r>
          </w:p>
        </w:tc>
      </w:tr>
      <w:tr w:rsidR="00EF0517" w14:paraId="564B1CA5" w14:textId="77777777" w:rsidTr="00A4061E">
        <w:trPr>
          <w:jc w:val="center"/>
        </w:trPr>
        <w:tc>
          <w:tcPr>
            <w:tcW w:w="2649" w:type="dxa"/>
            <w:shd w:val="clear" w:color="auto" w:fill="auto"/>
            <w:vAlign w:val="center"/>
          </w:tcPr>
          <w:p w14:paraId="7AC09DD4" w14:textId="77777777" w:rsidR="00EF0517" w:rsidRDefault="00EF0517" w:rsidP="0063534F">
            <w:pPr>
              <w:pStyle w:val="TAL"/>
              <w:rPr>
                <w:rFonts w:eastAsia="?? ??"/>
              </w:rPr>
            </w:pPr>
            <w:r>
              <w:rPr>
                <w:rFonts w:eastAsia="?? ??"/>
              </w:rPr>
              <w:t>Sub-carrier spacing (kHz)</w:t>
            </w:r>
          </w:p>
        </w:tc>
        <w:tc>
          <w:tcPr>
            <w:tcW w:w="3586" w:type="dxa"/>
            <w:shd w:val="clear" w:color="auto" w:fill="auto"/>
            <w:vAlign w:val="center"/>
          </w:tcPr>
          <w:p w14:paraId="4A73C4A0" w14:textId="77777777" w:rsidR="00EF0517" w:rsidRDefault="00EF0517" w:rsidP="0063534F">
            <w:pPr>
              <w:pStyle w:val="TAC"/>
              <w:rPr>
                <w:rFonts w:eastAsia="?? ??"/>
              </w:rPr>
            </w:pPr>
            <w:r>
              <w:rPr>
                <w:rFonts w:eastAsia="?? ??"/>
              </w:rPr>
              <w:t>SCS of the active DL BWP</w:t>
            </w:r>
          </w:p>
        </w:tc>
      </w:tr>
      <w:tr w:rsidR="00EF0517" w14:paraId="56B8D363" w14:textId="77777777" w:rsidTr="00A4061E">
        <w:trPr>
          <w:jc w:val="center"/>
        </w:trPr>
        <w:tc>
          <w:tcPr>
            <w:tcW w:w="2649" w:type="dxa"/>
            <w:shd w:val="clear" w:color="auto" w:fill="auto"/>
            <w:vAlign w:val="center"/>
          </w:tcPr>
          <w:p w14:paraId="1A96BCB6" w14:textId="77777777" w:rsidR="00EF0517" w:rsidRDefault="00EF0517" w:rsidP="0063534F">
            <w:pPr>
              <w:pStyle w:val="TAL"/>
              <w:rPr>
                <w:rFonts w:eastAsia="?? ??"/>
              </w:rPr>
            </w:pPr>
            <w:r>
              <w:rPr>
                <w:rFonts w:eastAsia="?? ??"/>
              </w:rPr>
              <w:t>DMRS precoder granularity</w:t>
            </w:r>
          </w:p>
        </w:tc>
        <w:tc>
          <w:tcPr>
            <w:tcW w:w="3586" w:type="dxa"/>
            <w:shd w:val="clear" w:color="auto" w:fill="auto"/>
            <w:vAlign w:val="center"/>
          </w:tcPr>
          <w:p w14:paraId="23D252A2" w14:textId="77777777" w:rsidR="00EF0517" w:rsidRDefault="00EF0517" w:rsidP="0063534F">
            <w:pPr>
              <w:pStyle w:val="TAC"/>
              <w:rPr>
                <w:rFonts w:eastAsia="?? ??"/>
              </w:rPr>
            </w:pPr>
            <w:r>
              <w:rPr>
                <w:rFonts w:eastAsia="?? ??"/>
              </w:rPr>
              <w:t>REG bundle size</w:t>
            </w:r>
          </w:p>
        </w:tc>
      </w:tr>
      <w:tr w:rsidR="00EF0517" w14:paraId="3951A9FF" w14:textId="77777777" w:rsidTr="00A4061E">
        <w:trPr>
          <w:jc w:val="center"/>
        </w:trPr>
        <w:tc>
          <w:tcPr>
            <w:tcW w:w="2649" w:type="dxa"/>
            <w:shd w:val="clear" w:color="auto" w:fill="auto"/>
            <w:vAlign w:val="center"/>
          </w:tcPr>
          <w:p w14:paraId="0B926232" w14:textId="77777777" w:rsidR="00EF0517" w:rsidRDefault="00EF0517" w:rsidP="0063534F">
            <w:pPr>
              <w:pStyle w:val="TAL"/>
              <w:rPr>
                <w:rFonts w:eastAsia="?? ??"/>
              </w:rPr>
            </w:pPr>
            <w:r>
              <w:rPr>
                <w:rFonts w:eastAsia="?? ??"/>
              </w:rPr>
              <w:t>REG bundle size</w:t>
            </w:r>
          </w:p>
        </w:tc>
        <w:tc>
          <w:tcPr>
            <w:tcW w:w="3586" w:type="dxa"/>
            <w:shd w:val="clear" w:color="auto" w:fill="auto"/>
            <w:vAlign w:val="center"/>
          </w:tcPr>
          <w:p w14:paraId="09CDDADB" w14:textId="77777777" w:rsidR="00EF0517" w:rsidRDefault="00EF0517" w:rsidP="0063534F">
            <w:pPr>
              <w:pStyle w:val="TAC"/>
              <w:rPr>
                <w:rFonts w:eastAsia="?? ??"/>
              </w:rPr>
            </w:pPr>
            <w:r>
              <w:rPr>
                <w:rFonts w:eastAsia="?? ??"/>
              </w:rPr>
              <w:t>6</w:t>
            </w:r>
          </w:p>
        </w:tc>
      </w:tr>
      <w:tr w:rsidR="00EF0517" w14:paraId="5651537E" w14:textId="77777777" w:rsidTr="00A4061E">
        <w:trPr>
          <w:jc w:val="center"/>
        </w:trPr>
        <w:tc>
          <w:tcPr>
            <w:tcW w:w="2649" w:type="dxa"/>
            <w:shd w:val="clear" w:color="auto" w:fill="auto"/>
            <w:vAlign w:val="center"/>
          </w:tcPr>
          <w:p w14:paraId="0CF37C73" w14:textId="77777777" w:rsidR="00EF0517" w:rsidRDefault="00EF0517" w:rsidP="0063534F">
            <w:pPr>
              <w:pStyle w:val="TAL"/>
              <w:rPr>
                <w:rFonts w:eastAsia="?? ??"/>
              </w:rPr>
            </w:pPr>
            <w:r>
              <w:rPr>
                <w:rFonts w:eastAsia="?? ??"/>
              </w:rPr>
              <w:t>CP length</w:t>
            </w:r>
          </w:p>
        </w:tc>
        <w:tc>
          <w:tcPr>
            <w:tcW w:w="3586" w:type="dxa"/>
            <w:shd w:val="clear" w:color="auto" w:fill="auto"/>
            <w:vAlign w:val="center"/>
          </w:tcPr>
          <w:p w14:paraId="73F9EEF6" w14:textId="77777777" w:rsidR="00EF0517" w:rsidRDefault="00EF0517" w:rsidP="0063534F">
            <w:pPr>
              <w:pStyle w:val="TAC"/>
              <w:rPr>
                <w:rFonts w:eastAsia="?? ??"/>
              </w:rPr>
            </w:pPr>
            <w:r>
              <w:rPr>
                <w:rFonts w:eastAsia="?? ??"/>
              </w:rPr>
              <w:t>Normal</w:t>
            </w:r>
          </w:p>
        </w:tc>
      </w:tr>
      <w:tr w:rsidR="00EF0517" w14:paraId="21A47108" w14:textId="77777777" w:rsidTr="00A4061E">
        <w:trPr>
          <w:jc w:val="center"/>
        </w:trPr>
        <w:tc>
          <w:tcPr>
            <w:tcW w:w="2649" w:type="dxa"/>
            <w:shd w:val="clear" w:color="auto" w:fill="auto"/>
            <w:vAlign w:val="center"/>
          </w:tcPr>
          <w:p w14:paraId="08FCF9FE" w14:textId="77777777" w:rsidR="00EF0517" w:rsidRDefault="00EF0517" w:rsidP="0063534F">
            <w:pPr>
              <w:pStyle w:val="TAL"/>
              <w:rPr>
                <w:rFonts w:eastAsia="?? ??"/>
              </w:rPr>
            </w:pPr>
            <w:r>
              <w:rPr>
                <w:rFonts w:eastAsia="?? ??"/>
              </w:rPr>
              <w:t>Mapping from REG to CCE</w:t>
            </w:r>
          </w:p>
        </w:tc>
        <w:tc>
          <w:tcPr>
            <w:tcW w:w="3586" w:type="dxa"/>
            <w:shd w:val="clear" w:color="auto" w:fill="auto"/>
            <w:vAlign w:val="center"/>
          </w:tcPr>
          <w:p w14:paraId="6C0F4A5B" w14:textId="77777777" w:rsidR="00EF0517" w:rsidRDefault="00EF0517" w:rsidP="0063534F">
            <w:pPr>
              <w:pStyle w:val="TAC"/>
              <w:rPr>
                <w:rFonts w:eastAsia="?? ??"/>
              </w:rPr>
            </w:pPr>
            <w:r>
              <w:rPr>
                <w:rFonts w:eastAsia="?? ??"/>
              </w:rPr>
              <w:t>Distributed</w:t>
            </w:r>
          </w:p>
        </w:tc>
      </w:tr>
    </w:tbl>
    <w:p w14:paraId="48536F6E" w14:textId="77777777" w:rsidR="002E0EB3" w:rsidRPr="002E0EB3" w:rsidRDefault="002E0EB3" w:rsidP="00641611"/>
    <w:p w14:paraId="61932609" w14:textId="73A0992C" w:rsidR="006E344B" w:rsidRDefault="006E344B">
      <w:pPr>
        <w:pStyle w:val="Heading5"/>
      </w:pPr>
      <w:bookmarkStart w:id="8562" w:name="_Toc53185605"/>
      <w:bookmarkStart w:id="8563" w:name="_Toc53185981"/>
      <w:bookmarkStart w:id="8564" w:name="_Toc57820467"/>
      <w:bookmarkStart w:id="8565" w:name="_Toc57821394"/>
      <w:bookmarkStart w:id="8566" w:name="_Toc61183670"/>
      <w:bookmarkStart w:id="8567" w:name="_Toc61184064"/>
      <w:bookmarkStart w:id="8568" w:name="_Toc61184456"/>
      <w:bookmarkStart w:id="8569" w:name="_Toc61184848"/>
      <w:bookmarkStart w:id="8570" w:name="_Toc61185238"/>
      <w:bookmarkStart w:id="8571" w:name="_Toc66386583"/>
      <w:bookmarkStart w:id="8572" w:name="_Toc74583541"/>
      <w:bookmarkStart w:id="8573" w:name="_Toc76542354"/>
      <w:bookmarkStart w:id="8574" w:name="_Toc82450336"/>
      <w:bookmarkStart w:id="8575" w:name="_Toc82450984"/>
      <w:bookmarkStart w:id="8576" w:name="_Toc89949373"/>
      <w:bookmarkStart w:id="8577" w:name="_Toc98755762"/>
      <w:bookmarkStart w:id="8578" w:name="_Toc98763354"/>
      <w:bookmarkStart w:id="8579" w:name="_Toc106184283"/>
      <w:r>
        <w:t>12.3.1.2.2</w:t>
      </w:r>
      <w:r w:rsidR="00F72FF2">
        <w:rPr>
          <w:sz w:val="28"/>
        </w:rPr>
        <w:tab/>
      </w:r>
      <w:r>
        <w:t>Minimum requirement</w:t>
      </w:r>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p>
    <w:p w14:paraId="57924F5B" w14:textId="77777777" w:rsidR="009B4A57" w:rsidRDefault="009B4A57" w:rsidP="009B4A57">
      <w:pPr>
        <w:rPr>
          <w:rFonts w:eastAsia="?? ??"/>
        </w:rPr>
      </w:pPr>
      <w:r>
        <w:rPr>
          <w:rFonts w:eastAsia="SimSun" w:hint="eastAsia"/>
          <w:lang w:eastAsia="zh-CN"/>
        </w:rPr>
        <w:t>IAB-MT</w:t>
      </w:r>
      <w:r>
        <w:rPr>
          <w:rFonts w:eastAsia="?? ??"/>
        </w:rPr>
        <w:t xml:space="preserve"> shall be able to evaluate whether the downlink radio link quality on the configured RLM-RS </w:t>
      </w:r>
      <w:r>
        <w:rPr>
          <w:rFonts w:eastAsia="SimSun" w:cs="Arial"/>
        </w:rPr>
        <w:t>resource</w:t>
      </w:r>
      <w:r>
        <w:rPr>
          <w:rFonts w:eastAsia="SimSun"/>
        </w:rPr>
        <w:t xml:space="preserve"> estimated </w:t>
      </w:r>
      <w:r>
        <w:rPr>
          <w:rFonts w:eastAsia="?? ??"/>
        </w:rPr>
        <w:t xml:space="preserve">over the last </w:t>
      </w:r>
      <w:r>
        <w:rPr>
          <w:rFonts w:eastAsia="SimSun"/>
        </w:rPr>
        <w:t>T</w:t>
      </w:r>
      <w:r>
        <w:rPr>
          <w:rFonts w:eastAsia="SimSun"/>
          <w:vertAlign w:val="subscript"/>
        </w:rPr>
        <w:t>Evaluate_out_SSB</w:t>
      </w:r>
      <w:r>
        <w:rPr>
          <w:rFonts w:eastAsia="?? ??"/>
        </w:rPr>
        <w:t xml:space="preserve"> [ms] period</w:t>
      </w:r>
      <w:r>
        <w:rPr>
          <w:rFonts w:eastAsia="SimSun"/>
        </w:rPr>
        <w:t xml:space="preserve"> </w:t>
      </w:r>
      <w:r>
        <w:rPr>
          <w:rFonts w:eastAsia="?? ??"/>
        </w:rPr>
        <w:t>becomes worse than the threshold Q</w:t>
      </w:r>
      <w:r>
        <w:rPr>
          <w:rFonts w:eastAsia="?? ??"/>
          <w:vertAlign w:val="subscript"/>
        </w:rPr>
        <w:t>out_SSB</w:t>
      </w:r>
      <w:r>
        <w:rPr>
          <w:rFonts w:eastAsia="?? ??"/>
        </w:rPr>
        <w:t xml:space="preserve"> within </w:t>
      </w:r>
      <w:r>
        <w:rPr>
          <w:rFonts w:eastAsia="SimSun"/>
        </w:rPr>
        <w:t>T</w:t>
      </w:r>
      <w:r>
        <w:rPr>
          <w:rFonts w:eastAsia="SimSun"/>
          <w:vertAlign w:val="subscript"/>
        </w:rPr>
        <w:t>Evaluate_out_SSB</w:t>
      </w:r>
      <w:r>
        <w:rPr>
          <w:rFonts w:eastAsia="?? ??"/>
        </w:rPr>
        <w:t xml:space="preserve"> [ms] evaluation period.</w:t>
      </w:r>
    </w:p>
    <w:p w14:paraId="22FB33A5" w14:textId="77777777" w:rsidR="009B4A57" w:rsidRDefault="009B4A57" w:rsidP="009B4A57">
      <w:pPr>
        <w:rPr>
          <w:rFonts w:eastAsia="?? ??"/>
        </w:rPr>
      </w:pPr>
      <w:r>
        <w:rPr>
          <w:rFonts w:eastAsia="SimSun" w:hint="eastAsia"/>
          <w:lang w:eastAsia="zh-CN"/>
        </w:rPr>
        <w:t>IAB-MT</w:t>
      </w:r>
      <w:r>
        <w:rPr>
          <w:rFonts w:eastAsia="?? ??"/>
        </w:rPr>
        <w:t xml:space="preserve"> shall be able to evaluate whether the downlink radio link quality on the configured RLM-RS </w:t>
      </w:r>
      <w:r>
        <w:rPr>
          <w:rFonts w:eastAsia="SimSun" w:cs="Arial"/>
        </w:rPr>
        <w:t>resource</w:t>
      </w:r>
      <w:r>
        <w:rPr>
          <w:rFonts w:eastAsia="SimSun"/>
        </w:rPr>
        <w:t xml:space="preserve"> estimated </w:t>
      </w:r>
      <w:r>
        <w:rPr>
          <w:rFonts w:eastAsia="?? ??"/>
        </w:rPr>
        <w:t xml:space="preserve">over the last </w:t>
      </w:r>
      <w:r>
        <w:rPr>
          <w:rFonts w:eastAsia="SimSun"/>
        </w:rPr>
        <w:t>T</w:t>
      </w:r>
      <w:r>
        <w:rPr>
          <w:rFonts w:eastAsia="SimSun"/>
          <w:vertAlign w:val="subscript"/>
        </w:rPr>
        <w:t>Evaluate_in_SSB</w:t>
      </w:r>
      <w:r>
        <w:rPr>
          <w:rFonts w:eastAsia="?? ??"/>
        </w:rPr>
        <w:t xml:space="preserve"> [ms] period</w:t>
      </w:r>
      <w:r>
        <w:rPr>
          <w:rFonts w:eastAsia="SimSun"/>
        </w:rPr>
        <w:t xml:space="preserve"> </w:t>
      </w:r>
      <w:r>
        <w:rPr>
          <w:rFonts w:eastAsia="?? ??"/>
        </w:rPr>
        <w:t>becomes better than the threshold Q</w:t>
      </w:r>
      <w:r>
        <w:rPr>
          <w:rFonts w:eastAsia="?? ??"/>
          <w:vertAlign w:val="subscript"/>
        </w:rPr>
        <w:t>in_SSB</w:t>
      </w:r>
      <w:r>
        <w:rPr>
          <w:rFonts w:eastAsia="?? ??"/>
        </w:rPr>
        <w:t xml:space="preserve"> within </w:t>
      </w:r>
      <w:r>
        <w:rPr>
          <w:rFonts w:eastAsia="SimSun"/>
        </w:rPr>
        <w:t>T</w:t>
      </w:r>
      <w:r>
        <w:rPr>
          <w:rFonts w:eastAsia="SimSun"/>
          <w:vertAlign w:val="subscript"/>
        </w:rPr>
        <w:t>Evaluate_in_SSB</w:t>
      </w:r>
      <w:r>
        <w:rPr>
          <w:rFonts w:eastAsia="?? ??"/>
        </w:rPr>
        <w:t xml:space="preserve"> [ms] evaluation period.</w:t>
      </w:r>
    </w:p>
    <w:p w14:paraId="19F915C3" w14:textId="300D8DBB" w:rsidR="009B4A57" w:rsidRDefault="009B4A57" w:rsidP="009B4A57">
      <w:pPr>
        <w:rPr>
          <w:rFonts w:eastAsia="?? ??"/>
        </w:rPr>
      </w:pPr>
      <w:r>
        <w:rPr>
          <w:rFonts w:eastAsia="SimSun"/>
        </w:rPr>
        <w:t>T</w:t>
      </w:r>
      <w:r>
        <w:rPr>
          <w:rFonts w:eastAsia="SimSun"/>
          <w:vertAlign w:val="subscript"/>
        </w:rPr>
        <w:t>Evaluate_out_SSB</w:t>
      </w:r>
      <w:r>
        <w:rPr>
          <w:rFonts w:eastAsia="?? ??"/>
        </w:rPr>
        <w:t xml:space="preserve"> and </w:t>
      </w:r>
      <w:r>
        <w:rPr>
          <w:rFonts w:eastAsia="SimSun"/>
        </w:rPr>
        <w:t>T</w:t>
      </w:r>
      <w:r>
        <w:rPr>
          <w:rFonts w:eastAsia="SimSun"/>
          <w:vertAlign w:val="subscript"/>
        </w:rPr>
        <w:t>Evaluate_in_SSB</w:t>
      </w:r>
      <w:r>
        <w:rPr>
          <w:rFonts w:eastAsia="?? ??"/>
        </w:rPr>
        <w:t xml:space="preserve"> are defined in Table </w:t>
      </w:r>
      <w:r>
        <w:rPr>
          <w:rFonts w:eastAsia="SimSun" w:hint="eastAsia"/>
          <w:lang w:eastAsia="zh-CN"/>
        </w:rPr>
        <w:t>12.3.1</w:t>
      </w:r>
      <w:r>
        <w:rPr>
          <w:rFonts w:eastAsia="?? ??"/>
        </w:rPr>
        <w:t>.2.2-1 for FR1</w:t>
      </w:r>
      <w:r>
        <w:rPr>
          <w:rFonts w:eastAsia="SimSun" w:hint="eastAsia"/>
          <w:lang w:val="en-US" w:eastAsia="zh-CN"/>
        </w:rPr>
        <w:t xml:space="preserve"> with scaling factor </w:t>
      </w:r>
      <w:r>
        <w:rPr>
          <w:rFonts w:ascii="Arial" w:eastAsia="SimSun" w:hAnsi="Arial" w:cs="Arial" w:hint="eastAsia"/>
          <w:sz w:val="18"/>
          <w:szCs w:val="18"/>
          <w:lang w:val="en-US" w:eastAsia="zh-CN"/>
        </w:rPr>
        <w:t>K</w:t>
      </w:r>
      <w:r>
        <w:rPr>
          <w:rFonts w:ascii="Arial" w:eastAsia="SimSun" w:hAnsi="Arial" w:cs="Arial" w:hint="eastAsia"/>
          <w:sz w:val="18"/>
          <w:szCs w:val="18"/>
          <w:vertAlign w:val="subscript"/>
          <w:lang w:val="en-US" w:eastAsia="zh-CN"/>
        </w:rPr>
        <w:t>1</w:t>
      </w:r>
      <w:r w:rsidR="00317608">
        <w:rPr>
          <w:rFonts w:ascii="Arial" w:eastAsia="SimSun" w:hAnsi="Arial" w:cs="Arial"/>
          <w:sz w:val="18"/>
          <w:szCs w:val="18"/>
          <w:vertAlign w:val="subscript"/>
          <w:lang w:val="en-US" w:eastAsia="zh-CN"/>
        </w:rPr>
        <w:t xml:space="preserve"> </w:t>
      </w:r>
      <w:r w:rsidR="00317608">
        <w:rPr>
          <w:rFonts w:ascii="Arial" w:eastAsia="SimSun" w:hAnsi="Arial" w:cs="Arial"/>
          <w:sz w:val="18"/>
          <w:szCs w:val="18"/>
          <w:lang w:val="en-US" w:eastAsia="zh-CN"/>
        </w:rPr>
        <w:t>= 5</w:t>
      </w:r>
      <w:r>
        <w:rPr>
          <w:rFonts w:eastAsia="?? ??"/>
        </w:rPr>
        <w:t>.</w:t>
      </w:r>
    </w:p>
    <w:p w14:paraId="03C4A4FF" w14:textId="59526890" w:rsidR="009B4A57" w:rsidRDefault="009B4A57" w:rsidP="009B4A57">
      <w:pPr>
        <w:rPr>
          <w:rFonts w:eastAsia="?? ??"/>
        </w:rPr>
      </w:pPr>
      <w:bookmarkStart w:id="8580" w:name="_Hlk513850659"/>
      <w:r>
        <w:rPr>
          <w:rFonts w:eastAsia="SimSun"/>
        </w:rPr>
        <w:t>T</w:t>
      </w:r>
      <w:r>
        <w:rPr>
          <w:rFonts w:eastAsia="SimSun"/>
          <w:vertAlign w:val="subscript"/>
        </w:rPr>
        <w:t>Evaluate_out_SSB</w:t>
      </w:r>
      <w:r>
        <w:rPr>
          <w:rFonts w:eastAsia="?? ??"/>
        </w:rPr>
        <w:t xml:space="preserve"> and </w:t>
      </w:r>
      <w:r>
        <w:rPr>
          <w:rFonts w:eastAsia="SimSun"/>
        </w:rPr>
        <w:t>T</w:t>
      </w:r>
      <w:r>
        <w:rPr>
          <w:rFonts w:eastAsia="SimSun"/>
          <w:vertAlign w:val="subscript"/>
        </w:rPr>
        <w:t>Evaluate_in_SSB</w:t>
      </w:r>
      <w:r>
        <w:rPr>
          <w:rFonts w:eastAsia="?? ??"/>
        </w:rPr>
        <w:t xml:space="preserve"> are defined in Table </w:t>
      </w:r>
      <w:r>
        <w:rPr>
          <w:rFonts w:eastAsia="SimSun" w:hint="eastAsia"/>
          <w:lang w:eastAsia="zh-CN"/>
        </w:rPr>
        <w:t>12.3.1</w:t>
      </w:r>
      <w:r>
        <w:rPr>
          <w:rFonts w:eastAsia="?? ??"/>
        </w:rPr>
        <w:t>.2.2-2 for FR2 with scaling factor N=</w:t>
      </w:r>
      <w:r>
        <w:rPr>
          <w:rFonts w:eastAsia="?? ??"/>
          <w:lang w:val="en-US"/>
        </w:rPr>
        <w:t>8</w:t>
      </w:r>
      <w:r>
        <w:rPr>
          <w:rFonts w:eastAsia="SimSun" w:hint="eastAsia"/>
          <w:lang w:val="en-US" w:eastAsia="zh-CN"/>
        </w:rPr>
        <w:t xml:space="preserve"> and </w:t>
      </w:r>
      <w:r>
        <w:rPr>
          <w:rFonts w:ascii="Arial" w:eastAsia="SimSun" w:hAnsi="Arial" w:cs="Arial" w:hint="eastAsia"/>
          <w:sz w:val="18"/>
          <w:szCs w:val="18"/>
          <w:lang w:val="en-US" w:eastAsia="zh-CN"/>
        </w:rPr>
        <w:t>K</w:t>
      </w:r>
      <w:r>
        <w:rPr>
          <w:rFonts w:ascii="Arial" w:eastAsia="SimSun" w:hAnsi="Arial" w:cs="Arial" w:hint="eastAsia"/>
          <w:sz w:val="18"/>
          <w:szCs w:val="18"/>
          <w:vertAlign w:val="subscript"/>
          <w:lang w:val="en-US" w:eastAsia="zh-CN"/>
        </w:rPr>
        <w:t>2</w:t>
      </w:r>
      <w:r w:rsidR="00317608">
        <w:rPr>
          <w:rFonts w:ascii="Arial" w:eastAsia="SimSun" w:hAnsi="Arial" w:cs="Arial"/>
          <w:sz w:val="18"/>
          <w:szCs w:val="18"/>
          <w:vertAlign w:val="subscript"/>
          <w:lang w:val="en-US" w:eastAsia="zh-CN"/>
        </w:rPr>
        <w:t xml:space="preserve"> </w:t>
      </w:r>
      <w:r w:rsidR="004D6048" w:rsidRPr="004D6048">
        <w:rPr>
          <w:rFonts w:ascii="Arial" w:eastAsia="SimSun" w:hAnsi="Arial" w:cs="Arial"/>
          <w:sz w:val="18"/>
          <w:szCs w:val="18"/>
          <w:lang w:val="en-US" w:eastAsia="zh-CN"/>
        </w:rPr>
        <w:t>= 3</w:t>
      </w:r>
      <w:r>
        <w:rPr>
          <w:rFonts w:eastAsia="?? ??"/>
        </w:rPr>
        <w:t>.</w:t>
      </w:r>
    </w:p>
    <w:p w14:paraId="0AD603ED" w14:textId="30577D8A" w:rsidR="009B4A57" w:rsidRDefault="009B4A57" w:rsidP="009B4A57">
      <w:pPr>
        <w:rPr>
          <w:rFonts w:eastAsia="?? ??"/>
        </w:rPr>
      </w:pPr>
      <w:r>
        <w:rPr>
          <w:rFonts w:eastAsia="?? ??"/>
        </w:rPr>
        <w:t>For FR1,</w:t>
      </w:r>
    </w:p>
    <w:p w14:paraId="61D11D6D" w14:textId="5C9AEF21" w:rsidR="009B4A57" w:rsidRDefault="009B4A57" w:rsidP="00C26FDC">
      <w:pPr>
        <w:pStyle w:val="B10"/>
        <w:rPr>
          <w:rFonts w:eastAsia="SimSun"/>
        </w:rPr>
      </w:pPr>
      <w:r>
        <w:rPr>
          <w:rFonts w:eastAsia="SimSun"/>
          <w:lang w:eastAsia="en-US"/>
        </w:rPr>
        <w:lastRenderedPageBreak/>
        <w:t>-</w:t>
      </w:r>
      <w:r>
        <w:rPr>
          <w:rFonts w:eastAsia="SimSun"/>
          <w:lang w:eastAsia="en-US"/>
        </w:rPr>
        <w:tab/>
        <w:t>P = 1</w:t>
      </w:r>
    </w:p>
    <w:p w14:paraId="2E62DB6E" w14:textId="77777777" w:rsidR="009B4A57" w:rsidRDefault="009B4A57" w:rsidP="009B4A57">
      <w:pPr>
        <w:ind w:left="568" w:hanging="284"/>
        <w:rPr>
          <w:rFonts w:eastAsia="?? ??"/>
        </w:rPr>
      </w:pPr>
      <w:r>
        <w:rPr>
          <w:rFonts w:eastAsia="?? ??"/>
          <w:lang w:eastAsia="en-US"/>
        </w:rPr>
        <w:t>For FR2,</w:t>
      </w:r>
    </w:p>
    <w:p w14:paraId="2574A5CE" w14:textId="77777777" w:rsidR="00B03869" w:rsidRDefault="00B03869" w:rsidP="00361F12">
      <w:pPr>
        <w:ind w:left="568" w:hanging="284"/>
        <w:rPr>
          <w:rFonts w:eastAsia="SimSun"/>
        </w:rPr>
      </w:pPr>
      <w:r>
        <w:rPr>
          <w:rFonts w:eastAsia="SimSun"/>
        </w:rPr>
        <w:t>-</w:t>
      </w:r>
      <w:r>
        <w:rPr>
          <w:rFonts w:eastAsia="SimSun"/>
        </w:rPr>
        <w:tab/>
        <w:t>P=1, when the RLM-RS resource is not overlapped with SMTC occasion.</w:t>
      </w:r>
    </w:p>
    <w:p w14:paraId="6FF00777" w14:textId="3ED4BC6D" w:rsidR="00E369CA" w:rsidRDefault="00E369CA" w:rsidP="00E369CA">
      <w:pPr>
        <w:pStyle w:val="B10"/>
        <w:rPr>
          <w:rFonts w:eastAsia="SimSun"/>
        </w:rPr>
      </w:pPr>
      <w:r>
        <w:rPr>
          <w:rFonts w:eastAsia="SimSun"/>
        </w:rPr>
        <w:t>-</w:t>
      </w:r>
      <w:r>
        <w:rPr>
          <w:rFonts w:eastAsia="SimSun"/>
        </w:rPr>
        <w:tab/>
      </w:r>
      <w:bookmarkStart w:id="8581" w:name="_Hlk16676141"/>
      <m:oMath>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1-</m:t>
            </m:r>
            <m:f>
              <m:fPr>
                <m:ctrlPr>
                  <w:rPr>
                    <w:rFonts w:ascii="Cambria Math" w:hAnsi="Cambria Math"/>
                    <w:i/>
                  </w:rPr>
                </m:ctrlPr>
              </m:fPr>
              <m:num>
                <m:sSub>
                  <m:sSubPr>
                    <m:ctrlPr>
                      <w:rPr>
                        <w:rFonts w:ascii="Cambria Math" w:hAnsi="Cambria Math"/>
                      </w:rPr>
                    </m:ctrlPr>
                  </m:sSubPr>
                  <m:e>
                    <m:r>
                      <m:rPr>
                        <m:sty m:val="p"/>
                      </m:rPr>
                      <w:rPr>
                        <w:rFonts w:ascii="Cambria Math" w:hAnsi="Cambria Math"/>
                      </w:rPr>
                      <m:t>T</m:t>
                    </m:r>
                  </m:e>
                  <m:sub>
                    <m:r>
                      <w:rPr>
                        <w:rFonts w:ascii="Cambria Math" w:hAnsi="Cambria Math"/>
                      </w:rPr>
                      <m:t>SSB</m:t>
                    </m:r>
                  </m:sub>
                </m:sSub>
              </m:num>
              <m:den>
                <m:sSub>
                  <m:sSubPr>
                    <m:ctrlPr>
                      <w:rPr>
                        <w:rFonts w:ascii="Cambria Math" w:hAnsi="Cambria Math"/>
                        <w:i/>
                      </w:rPr>
                    </m:ctrlPr>
                  </m:sSubPr>
                  <m:e>
                    <m:r>
                      <w:rPr>
                        <w:rFonts w:ascii="Cambria Math" w:hAnsi="Cambria Math"/>
                      </w:rPr>
                      <m:t>T</m:t>
                    </m:r>
                  </m:e>
                  <m:sub>
                    <m:r>
                      <w:rPr>
                        <w:rFonts w:ascii="Cambria Math" w:hAnsi="Cambria Math"/>
                      </w:rPr>
                      <m:t>SMTCperiod</m:t>
                    </m:r>
                  </m:sub>
                </m:sSub>
              </m:den>
            </m:f>
          </m:den>
        </m:f>
      </m:oMath>
      <w:bookmarkEnd w:id="8581"/>
      <w:r>
        <w:rPr>
          <w:rFonts w:eastAsia="SimSun"/>
        </w:rPr>
        <w:t>, when the RLM-RS resource is partially overlapped with SMTC occasion (T</w:t>
      </w:r>
      <w:r>
        <w:rPr>
          <w:rFonts w:eastAsia="SimSun"/>
          <w:vertAlign w:val="subscript"/>
        </w:rPr>
        <w:t>SSB</w:t>
      </w:r>
      <w:r>
        <w:rPr>
          <w:rFonts w:eastAsia="SimSun"/>
        </w:rPr>
        <w:t xml:space="preserve"> &lt; T</w:t>
      </w:r>
      <w:r>
        <w:rPr>
          <w:rFonts w:eastAsia="SimSun"/>
          <w:vertAlign w:val="subscript"/>
        </w:rPr>
        <w:t>SMTCperiod</w:t>
      </w:r>
      <w:r>
        <w:rPr>
          <w:rFonts w:eastAsia="SimSun"/>
        </w:rPr>
        <w:t>).</w:t>
      </w:r>
    </w:p>
    <w:p w14:paraId="10F57EE6" w14:textId="720FB6A2" w:rsidR="00B03869" w:rsidRDefault="00B03869" w:rsidP="00B03869">
      <w:pPr>
        <w:pStyle w:val="B10"/>
        <w:rPr>
          <w:rFonts w:eastAsia="SimSun"/>
        </w:rPr>
      </w:pPr>
      <w:r>
        <w:rPr>
          <w:rFonts w:eastAsia="SimSun"/>
        </w:rPr>
        <w:t>-</w:t>
      </w:r>
      <w:r>
        <w:rPr>
          <w:rFonts w:eastAsia="SimSun"/>
        </w:rPr>
        <w:tab/>
        <w:t>P = 3, when RLM-RS resource is fully overlapped with SMTC period (T</w:t>
      </w:r>
      <w:r>
        <w:rPr>
          <w:rFonts w:eastAsia="SimSun"/>
          <w:vertAlign w:val="subscript"/>
        </w:rPr>
        <w:t>SSB</w:t>
      </w:r>
      <w:r>
        <w:rPr>
          <w:rFonts w:eastAsia="SimSun"/>
        </w:rPr>
        <w:t xml:space="preserve"> = T</w:t>
      </w:r>
      <w:r>
        <w:rPr>
          <w:rFonts w:eastAsia="SimSun"/>
          <w:vertAlign w:val="subscript"/>
        </w:rPr>
        <w:t>SMTCperiod</w:t>
      </w:r>
      <w:r>
        <w:rPr>
          <w:rFonts w:eastAsia="SimSun"/>
        </w:rPr>
        <w:t>).</w:t>
      </w:r>
    </w:p>
    <w:p w14:paraId="73E14F59" w14:textId="77777777" w:rsidR="00F72FF2" w:rsidRDefault="00F72FF2" w:rsidP="00F72FF2">
      <w:r>
        <w:t xml:space="preserve">If the IAB-MT </w:t>
      </w:r>
      <w:r w:rsidRPr="00056493">
        <w:t>is not capable of 4 SMTC configurations per frequency [15]</w:t>
      </w:r>
      <w:r>
        <w:t>, and is provided with higher layer signaling of smtcj, where 1≤</w:t>
      </w:r>
      <w:r w:rsidRPr="00061F8F">
        <w:rPr>
          <w:i/>
          <w:iCs/>
        </w:rPr>
        <w:t>j</w:t>
      </w:r>
      <w:r>
        <w:t xml:space="preserve">≤2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25ADFBD3" w14:textId="77777777" w:rsidR="00F72FF2" w:rsidRPr="004B6FD1" w:rsidRDefault="00F72FF2" w:rsidP="00F72FF2">
      <w:r>
        <w:t xml:space="preserve">If the IAB-MT </w:t>
      </w:r>
      <w:r w:rsidRPr="00056493">
        <w:t>is capable of 4 SMTC configurations per frequency [15]</w:t>
      </w:r>
      <w:r>
        <w:t>, and is provided with higher layer signaling of smtcj, where 1≤</w:t>
      </w:r>
      <w:r w:rsidRPr="00061F8F">
        <w:rPr>
          <w:i/>
          <w:iCs/>
        </w:rPr>
        <w:t>j</w:t>
      </w:r>
      <w:r>
        <w:t xml:space="preserve">≤4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bookmarkEnd w:id="8580"/>
    <w:p w14:paraId="4086E764" w14:textId="29663225" w:rsidR="00200157" w:rsidRDefault="00200157" w:rsidP="00200157">
      <w:pPr>
        <w:rPr>
          <w:rFonts w:eastAsia="?? ??"/>
        </w:rPr>
      </w:pPr>
      <w:r>
        <w:rPr>
          <w:rFonts w:eastAsia="SimSun"/>
        </w:rPr>
        <w:t>Longer evaluation period would be expected if the combination of RLM-RS resource and SMTC occasion configurations does not meet previous conditions.</w:t>
      </w:r>
    </w:p>
    <w:p w14:paraId="067704C0" w14:textId="77777777" w:rsidR="009B4A57" w:rsidRDefault="009B4A57" w:rsidP="00F72FF2">
      <w:pPr>
        <w:pStyle w:val="TH"/>
        <w:rPr>
          <w:rFonts w:eastAsia="SimSun"/>
        </w:rPr>
      </w:pPr>
      <w:r>
        <w:rPr>
          <w:rFonts w:eastAsia="SimSun"/>
        </w:rPr>
        <w:t xml:space="preserve">Table </w:t>
      </w:r>
      <w:r>
        <w:rPr>
          <w:rFonts w:eastAsia="SimSun" w:hint="eastAsia"/>
          <w:lang w:eastAsia="zh-CN"/>
        </w:rPr>
        <w:t>12.3.1</w:t>
      </w:r>
      <w:r>
        <w:rPr>
          <w:rFonts w:eastAsia="SimSun"/>
        </w:rPr>
        <w:t>.2.2-1: Evaluation period T</w:t>
      </w:r>
      <w:r>
        <w:rPr>
          <w:rFonts w:eastAsia="SimSun"/>
          <w:vertAlign w:val="subscript"/>
        </w:rPr>
        <w:t>Evaluate_out_SSB</w:t>
      </w:r>
      <w:r>
        <w:rPr>
          <w:rFonts w:eastAsia="SimSun"/>
        </w:rPr>
        <w:t xml:space="preserve"> and T</w:t>
      </w:r>
      <w:r>
        <w:rPr>
          <w:rFonts w:eastAsia="SimSun"/>
          <w:vertAlign w:val="subscript"/>
        </w:rPr>
        <w:t>Evaluate_in_SSB</w:t>
      </w:r>
      <w:r>
        <w:rPr>
          <w:rFonts w:eastAsia="SimSun"/>
        </w:rPr>
        <w:t xml:space="preserve"> for FR1</w:t>
      </w:r>
    </w:p>
    <w:tbl>
      <w:tblPr>
        <w:tblW w:w="8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35"/>
        <w:gridCol w:w="3260"/>
        <w:gridCol w:w="3309"/>
      </w:tblGrid>
      <w:tr w:rsidR="009B4A57" w14:paraId="1FB7DE5D" w14:textId="77777777" w:rsidTr="00A4061E">
        <w:trPr>
          <w:jc w:val="center"/>
        </w:trPr>
        <w:tc>
          <w:tcPr>
            <w:tcW w:w="2035" w:type="dxa"/>
            <w:shd w:val="clear" w:color="auto" w:fill="auto"/>
          </w:tcPr>
          <w:p w14:paraId="1EFDF35F" w14:textId="77777777" w:rsidR="009B4A57" w:rsidRDefault="009B4A57" w:rsidP="00F72FF2">
            <w:pPr>
              <w:pStyle w:val="TAH"/>
              <w:rPr>
                <w:rFonts w:eastAsia="SimSun"/>
              </w:rPr>
            </w:pPr>
            <w:bookmarkStart w:id="8582" w:name="_Hlk513850563"/>
            <w:r>
              <w:rPr>
                <w:rFonts w:eastAsia="SimSun"/>
              </w:rPr>
              <w:t>Configuration</w:t>
            </w:r>
          </w:p>
        </w:tc>
        <w:tc>
          <w:tcPr>
            <w:tcW w:w="3260" w:type="dxa"/>
            <w:shd w:val="clear" w:color="auto" w:fill="auto"/>
          </w:tcPr>
          <w:p w14:paraId="0F6E5124" w14:textId="77777777" w:rsidR="009B4A57" w:rsidRDefault="009B4A57" w:rsidP="00F72FF2">
            <w:pPr>
              <w:pStyle w:val="TAH"/>
              <w:rPr>
                <w:rFonts w:eastAsia="SimSun"/>
              </w:rPr>
            </w:pPr>
            <w:r>
              <w:rPr>
                <w:rFonts w:eastAsia="SimSun"/>
              </w:rPr>
              <w:t>T</w:t>
            </w:r>
            <w:r>
              <w:rPr>
                <w:rFonts w:eastAsia="SimSun"/>
                <w:vertAlign w:val="subscript"/>
              </w:rPr>
              <w:t>Evaluate_out_SSB</w:t>
            </w:r>
            <w:r>
              <w:rPr>
                <w:rFonts w:eastAsia="SimSun"/>
              </w:rPr>
              <w:t xml:space="preserve"> (ms) </w:t>
            </w:r>
          </w:p>
        </w:tc>
        <w:tc>
          <w:tcPr>
            <w:tcW w:w="3309" w:type="dxa"/>
            <w:shd w:val="clear" w:color="auto" w:fill="auto"/>
          </w:tcPr>
          <w:p w14:paraId="162B8C73" w14:textId="77777777" w:rsidR="009B4A57" w:rsidRDefault="009B4A57" w:rsidP="00F72FF2">
            <w:pPr>
              <w:pStyle w:val="TAH"/>
              <w:rPr>
                <w:rFonts w:eastAsia="SimSun"/>
              </w:rPr>
            </w:pPr>
            <w:r>
              <w:rPr>
                <w:rFonts w:eastAsia="SimSun"/>
              </w:rPr>
              <w:t>T</w:t>
            </w:r>
            <w:r>
              <w:rPr>
                <w:rFonts w:eastAsia="SimSun"/>
                <w:vertAlign w:val="subscript"/>
              </w:rPr>
              <w:t>Evaluate_in_SSB</w:t>
            </w:r>
            <w:r>
              <w:rPr>
                <w:rFonts w:eastAsia="SimSun"/>
              </w:rPr>
              <w:t xml:space="preserve"> (ms) </w:t>
            </w:r>
          </w:p>
        </w:tc>
      </w:tr>
      <w:tr w:rsidR="009B4A57" w14:paraId="32FEECDC" w14:textId="77777777" w:rsidTr="00A4061E">
        <w:trPr>
          <w:jc w:val="center"/>
        </w:trPr>
        <w:tc>
          <w:tcPr>
            <w:tcW w:w="2035" w:type="dxa"/>
            <w:shd w:val="clear" w:color="auto" w:fill="auto"/>
          </w:tcPr>
          <w:p w14:paraId="6BDA4D4E" w14:textId="77777777" w:rsidR="009B4A57" w:rsidRDefault="009B4A57" w:rsidP="00F72FF2">
            <w:pPr>
              <w:pStyle w:val="TAC"/>
              <w:rPr>
                <w:rFonts w:eastAsia="SimSun"/>
              </w:rPr>
            </w:pPr>
            <w:r>
              <w:rPr>
                <w:rFonts w:eastAsia="SimSun"/>
                <w:lang w:eastAsia="en-US"/>
              </w:rPr>
              <w:t>no DRX</w:t>
            </w:r>
          </w:p>
        </w:tc>
        <w:tc>
          <w:tcPr>
            <w:tcW w:w="3260" w:type="dxa"/>
            <w:shd w:val="clear" w:color="auto" w:fill="auto"/>
          </w:tcPr>
          <w:p w14:paraId="30D49A08" w14:textId="77777777" w:rsidR="009B4A57" w:rsidRDefault="009B4A57" w:rsidP="00F72FF2">
            <w:pPr>
              <w:pStyle w:val="TAC"/>
              <w:rPr>
                <w:rFonts w:eastAsia="SimSun"/>
              </w:rPr>
            </w:pPr>
            <w:r>
              <w:rPr>
                <w:rFonts w:eastAsia="SimSun"/>
                <w:lang w:eastAsia="en-US"/>
              </w:rPr>
              <w:t xml:space="preserve">Max(200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1</w:t>
            </w:r>
            <w:r>
              <w:rPr>
                <w:rFonts w:eastAsia="SimSun"/>
                <w:lang w:eastAsia="en-US"/>
              </w:rPr>
              <w:t xml:space="preserve">, Ceil(10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 xml:space="preserve">P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1</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T</w:t>
            </w:r>
            <w:r>
              <w:rPr>
                <w:rFonts w:eastAsia="SimSun"/>
                <w:vertAlign w:val="subscript"/>
                <w:lang w:eastAsia="en-US"/>
              </w:rPr>
              <w:t>SSB</w:t>
            </w:r>
            <w:r>
              <w:rPr>
                <w:rFonts w:eastAsia="SimSun"/>
                <w:lang w:eastAsia="en-US"/>
              </w:rPr>
              <w:t>)</w:t>
            </w:r>
          </w:p>
        </w:tc>
        <w:tc>
          <w:tcPr>
            <w:tcW w:w="3309" w:type="dxa"/>
            <w:shd w:val="clear" w:color="auto" w:fill="auto"/>
          </w:tcPr>
          <w:p w14:paraId="6725DF93" w14:textId="77777777" w:rsidR="009B4A57" w:rsidRDefault="009B4A57" w:rsidP="00F72FF2">
            <w:pPr>
              <w:pStyle w:val="TAC"/>
              <w:rPr>
                <w:rFonts w:eastAsia="SimSun"/>
              </w:rPr>
            </w:pPr>
            <w:r>
              <w:rPr>
                <w:rFonts w:eastAsia="SimSun"/>
                <w:lang w:eastAsia="en-US"/>
              </w:rPr>
              <w:t xml:space="preserve">Max(100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1</w:t>
            </w:r>
            <w:r>
              <w:rPr>
                <w:rFonts w:eastAsia="SimSun"/>
                <w:lang w:eastAsia="en-US"/>
              </w:rPr>
              <w:t xml:space="preserve">, Ceil(5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 xml:space="preserve">P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1</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T</w:t>
            </w:r>
            <w:r>
              <w:rPr>
                <w:rFonts w:eastAsia="SimSun"/>
                <w:vertAlign w:val="subscript"/>
                <w:lang w:eastAsia="en-US"/>
              </w:rPr>
              <w:t>SSB</w:t>
            </w:r>
            <w:r>
              <w:rPr>
                <w:rFonts w:eastAsia="SimSun"/>
                <w:lang w:eastAsia="en-US"/>
              </w:rPr>
              <w:t>)</w:t>
            </w:r>
          </w:p>
        </w:tc>
      </w:tr>
      <w:tr w:rsidR="009B4A57" w14:paraId="185B18FC" w14:textId="77777777" w:rsidTr="00A4061E">
        <w:trPr>
          <w:jc w:val="center"/>
        </w:trPr>
        <w:tc>
          <w:tcPr>
            <w:tcW w:w="8604" w:type="dxa"/>
            <w:gridSpan w:val="3"/>
            <w:shd w:val="clear" w:color="auto" w:fill="auto"/>
          </w:tcPr>
          <w:p w14:paraId="78D18152" w14:textId="77777777" w:rsidR="009B4A57" w:rsidRDefault="009B4A57" w:rsidP="00F72FF2">
            <w:pPr>
              <w:pStyle w:val="TAN"/>
              <w:rPr>
                <w:rFonts w:eastAsia="SimSun"/>
              </w:rPr>
            </w:pPr>
            <w:r>
              <w:rPr>
                <w:rFonts w:eastAsia="SimSun"/>
              </w:rPr>
              <w:t>N</w:t>
            </w:r>
            <w:r>
              <w:rPr>
                <w:rFonts w:eastAsia="Malgun Gothic"/>
              </w:rPr>
              <w:t>OTE</w:t>
            </w:r>
            <w:r>
              <w:rPr>
                <w:rFonts w:eastAsia="SimSun"/>
              </w:rPr>
              <w:t>:</w:t>
            </w:r>
            <w:r>
              <w:rPr>
                <w:rFonts w:eastAsia="SimSun"/>
                <w:sz w:val="28"/>
              </w:rPr>
              <w:tab/>
            </w:r>
            <w:r>
              <w:rPr>
                <w:rFonts w:eastAsia="SimSun"/>
              </w:rPr>
              <w:t>T</w:t>
            </w:r>
            <w:r>
              <w:rPr>
                <w:rFonts w:eastAsia="SimSun"/>
                <w:vertAlign w:val="subscript"/>
              </w:rPr>
              <w:t>SSB</w:t>
            </w:r>
            <w:r>
              <w:rPr>
                <w:rFonts w:eastAsia="SimSun"/>
              </w:rPr>
              <w:t xml:space="preserve"> is the periodicity of the SSB configured for RLM.</w:t>
            </w:r>
          </w:p>
        </w:tc>
      </w:tr>
      <w:bookmarkEnd w:id="8582"/>
    </w:tbl>
    <w:p w14:paraId="79DA2820" w14:textId="77777777" w:rsidR="009B4A57" w:rsidRDefault="009B4A57" w:rsidP="009B4A57">
      <w:pPr>
        <w:rPr>
          <w:rFonts w:eastAsia="?? ??"/>
        </w:rPr>
      </w:pPr>
    </w:p>
    <w:p w14:paraId="414256C0" w14:textId="77777777" w:rsidR="009B4A57" w:rsidRDefault="009B4A57" w:rsidP="00F72FF2">
      <w:pPr>
        <w:pStyle w:val="TH"/>
        <w:rPr>
          <w:rFonts w:eastAsia="SimSun"/>
        </w:rPr>
      </w:pPr>
      <w:r>
        <w:rPr>
          <w:rFonts w:eastAsia="SimSun"/>
        </w:rPr>
        <w:t xml:space="preserve">Table </w:t>
      </w:r>
      <w:r>
        <w:rPr>
          <w:rFonts w:eastAsia="SimSun" w:hint="eastAsia"/>
          <w:lang w:eastAsia="zh-CN"/>
        </w:rPr>
        <w:t>12.3.1</w:t>
      </w:r>
      <w:r>
        <w:rPr>
          <w:rFonts w:eastAsia="SimSun"/>
        </w:rPr>
        <w:t>.2.2-2: Evaluation period T</w:t>
      </w:r>
      <w:r>
        <w:rPr>
          <w:rFonts w:eastAsia="SimSun"/>
          <w:vertAlign w:val="subscript"/>
        </w:rPr>
        <w:t>Evaluate_out_SSB</w:t>
      </w:r>
      <w:r>
        <w:rPr>
          <w:rFonts w:eastAsia="SimSun"/>
        </w:rPr>
        <w:t xml:space="preserve"> and T</w:t>
      </w:r>
      <w:r>
        <w:rPr>
          <w:rFonts w:eastAsia="SimSun"/>
          <w:vertAlign w:val="subscript"/>
        </w:rPr>
        <w:t>Evaluate_in_SSB</w:t>
      </w:r>
      <w:r>
        <w:rPr>
          <w:rFonts w:eastAsia="SimSun"/>
        </w:rPr>
        <w:t xml:space="preserve"> for FR2</w:t>
      </w:r>
    </w:p>
    <w:tbl>
      <w:tblPr>
        <w:tblW w:w="8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35"/>
        <w:gridCol w:w="3260"/>
        <w:gridCol w:w="3309"/>
      </w:tblGrid>
      <w:tr w:rsidR="009B4A57" w14:paraId="64CE7A92" w14:textId="77777777" w:rsidTr="00A4061E">
        <w:trPr>
          <w:jc w:val="center"/>
        </w:trPr>
        <w:tc>
          <w:tcPr>
            <w:tcW w:w="2035" w:type="dxa"/>
            <w:shd w:val="clear" w:color="auto" w:fill="auto"/>
          </w:tcPr>
          <w:p w14:paraId="2906D8CC" w14:textId="77777777" w:rsidR="009B4A57" w:rsidRDefault="009B4A57" w:rsidP="00F72FF2">
            <w:pPr>
              <w:pStyle w:val="TAH"/>
              <w:rPr>
                <w:rFonts w:eastAsia="SimSun"/>
              </w:rPr>
            </w:pPr>
            <w:bookmarkStart w:id="8583" w:name="_Hlk513850590"/>
            <w:r>
              <w:rPr>
                <w:rFonts w:eastAsia="SimSun"/>
              </w:rPr>
              <w:t>Configuration</w:t>
            </w:r>
          </w:p>
        </w:tc>
        <w:tc>
          <w:tcPr>
            <w:tcW w:w="3260" w:type="dxa"/>
            <w:shd w:val="clear" w:color="auto" w:fill="auto"/>
          </w:tcPr>
          <w:p w14:paraId="06B7C3CF" w14:textId="77777777" w:rsidR="009B4A57" w:rsidRDefault="009B4A57" w:rsidP="00F72FF2">
            <w:pPr>
              <w:pStyle w:val="TAH"/>
              <w:rPr>
                <w:rFonts w:eastAsia="SimSun"/>
              </w:rPr>
            </w:pPr>
            <w:r>
              <w:rPr>
                <w:rFonts w:eastAsia="SimSun"/>
              </w:rPr>
              <w:t>T</w:t>
            </w:r>
            <w:r>
              <w:rPr>
                <w:rFonts w:eastAsia="SimSun"/>
                <w:vertAlign w:val="subscript"/>
              </w:rPr>
              <w:t>Evaluate_out_SSB</w:t>
            </w:r>
            <w:r>
              <w:rPr>
                <w:rFonts w:eastAsia="SimSun"/>
              </w:rPr>
              <w:t xml:space="preserve"> (ms) </w:t>
            </w:r>
          </w:p>
        </w:tc>
        <w:tc>
          <w:tcPr>
            <w:tcW w:w="3309" w:type="dxa"/>
            <w:shd w:val="clear" w:color="auto" w:fill="auto"/>
          </w:tcPr>
          <w:p w14:paraId="52DF8A6E" w14:textId="77777777" w:rsidR="009B4A57" w:rsidRDefault="009B4A57" w:rsidP="00F72FF2">
            <w:pPr>
              <w:pStyle w:val="TAH"/>
              <w:rPr>
                <w:rFonts w:eastAsia="SimSun"/>
              </w:rPr>
            </w:pPr>
            <w:r>
              <w:rPr>
                <w:rFonts w:eastAsia="SimSun"/>
              </w:rPr>
              <w:t>T</w:t>
            </w:r>
            <w:r>
              <w:rPr>
                <w:rFonts w:eastAsia="SimSun"/>
                <w:vertAlign w:val="subscript"/>
              </w:rPr>
              <w:t>Evaluate_in_SSB</w:t>
            </w:r>
            <w:r>
              <w:rPr>
                <w:rFonts w:eastAsia="SimSun"/>
              </w:rPr>
              <w:t xml:space="preserve"> (ms) </w:t>
            </w:r>
          </w:p>
        </w:tc>
      </w:tr>
      <w:tr w:rsidR="009B4A57" w14:paraId="0C76B8B8" w14:textId="77777777" w:rsidTr="00A4061E">
        <w:trPr>
          <w:jc w:val="center"/>
        </w:trPr>
        <w:tc>
          <w:tcPr>
            <w:tcW w:w="2035" w:type="dxa"/>
            <w:shd w:val="clear" w:color="auto" w:fill="auto"/>
          </w:tcPr>
          <w:p w14:paraId="6041205C" w14:textId="77777777" w:rsidR="009B4A57" w:rsidRDefault="009B4A57" w:rsidP="00F72FF2">
            <w:pPr>
              <w:pStyle w:val="TAC"/>
              <w:rPr>
                <w:rFonts w:eastAsia="SimSun"/>
              </w:rPr>
            </w:pPr>
            <w:r>
              <w:rPr>
                <w:rFonts w:eastAsia="SimSun"/>
                <w:lang w:eastAsia="en-US"/>
              </w:rPr>
              <w:t>no DRX</w:t>
            </w:r>
          </w:p>
        </w:tc>
        <w:tc>
          <w:tcPr>
            <w:tcW w:w="3260" w:type="dxa"/>
            <w:shd w:val="clear" w:color="auto" w:fill="auto"/>
          </w:tcPr>
          <w:p w14:paraId="3D8343C9" w14:textId="77777777" w:rsidR="009B4A57" w:rsidRDefault="009B4A57" w:rsidP="00F72FF2">
            <w:pPr>
              <w:pStyle w:val="TAC"/>
              <w:rPr>
                <w:rFonts w:eastAsia="SimSun"/>
              </w:rPr>
            </w:pPr>
            <w:r>
              <w:rPr>
                <w:rFonts w:eastAsia="SimSun"/>
                <w:lang w:eastAsia="en-US"/>
              </w:rPr>
              <w:t xml:space="preserve">Max(200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2</w:t>
            </w:r>
            <w:r>
              <w:rPr>
                <w:rFonts w:eastAsia="SimSun"/>
                <w:lang w:eastAsia="en-US"/>
              </w:rPr>
              <w:t xml:space="preserve">, Ceil(10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 xml:space="preserve">P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 xml:space="preserve">N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2</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T</w:t>
            </w:r>
            <w:r>
              <w:rPr>
                <w:rFonts w:eastAsia="SimSun"/>
                <w:vertAlign w:val="subscript"/>
                <w:lang w:eastAsia="en-US"/>
              </w:rPr>
              <w:t>SSB</w:t>
            </w:r>
            <w:r>
              <w:rPr>
                <w:rFonts w:eastAsia="SimSun"/>
                <w:lang w:eastAsia="en-US"/>
              </w:rPr>
              <w:t>)</w:t>
            </w:r>
          </w:p>
        </w:tc>
        <w:tc>
          <w:tcPr>
            <w:tcW w:w="3309" w:type="dxa"/>
            <w:shd w:val="clear" w:color="auto" w:fill="auto"/>
          </w:tcPr>
          <w:p w14:paraId="6FCC521B" w14:textId="77777777" w:rsidR="009B4A57" w:rsidRDefault="009B4A57" w:rsidP="00F72FF2">
            <w:pPr>
              <w:pStyle w:val="TAC"/>
              <w:rPr>
                <w:rFonts w:eastAsia="SimSun"/>
              </w:rPr>
            </w:pPr>
            <w:r>
              <w:rPr>
                <w:rFonts w:eastAsia="SimSun"/>
                <w:lang w:eastAsia="en-US"/>
              </w:rPr>
              <w:t xml:space="preserve">Max(100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2</w:t>
            </w:r>
            <w:r>
              <w:rPr>
                <w:rFonts w:eastAsia="SimSun"/>
                <w:lang w:eastAsia="en-US"/>
              </w:rPr>
              <w:t xml:space="preserve">, Ceil(5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 xml:space="preserve">P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 xml:space="preserve">N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2</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lang w:eastAsia="en-US"/>
              </w:rPr>
              <w:t>T</w:t>
            </w:r>
            <w:r>
              <w:rPr>
                <w:rFonts w:eastAsia="SimSun"/>
                <w:vertAlign w:val="subscript"/>
                <w:lang w:eastAsia="en-US"/>
              </w:rPr>
              <w:t>SSB</w:t>
            </w:r>
            <w:r>
              <w:rPr>
                <w:rFonts w:eastAsia="SimSun"/>
                <w:lang w:eastAsia="en-US"/>
              </w:rPr>
              <w:t>)</w:t>
            </w:r>
          </w:p>
        </w:tc>
      </w:tr>
      <w:tr w:rsidR="009B4A57" w14:paraId="28D410FB" w14:textId="77777777" w:rsidTr="00A4061E">
        <w:trPr>
          <w:jc w:val="center"/>
        </w:trPr>
        <w:tc>
          <w:tcPr>
            <w:tcW w:w="8604" w:type="dxa"/>
            <w:gridSpan w:val="3"/>
            <w:shd w:val="clear" w:color="auto" w:fill="auto"/>
          </w:tcPr>
          <w:p w14:paraId="41991554" w14:textId="77777777" w:rsidR="009B4A57" w:rsidRDefault="009B4A57" w:rsidP="00F72FF2">
            <w:pPr>
              <w:pStyle w:val="TAN"/>
              <w:rPr>
                <w:rFonts w:eastAsia="SimSun"/>
              </w:rPr>
            </w:pPr>
            <w:r>
              <w:rPr>
                <w:rFonts w:eastAsia="SimSun"/>
              </w:rPr>
              <w:t>N</w:t>
            </w:r>
            <w:r>
              <w:rPr>
                <w:rFonts w:eastAsia="Malgun Gothic"/>
              </w:rPr>
              <w:t>OTE</w:t>
            </w:r>
            <w:r>
              <w:rPr>
                <w:rFonts w:eastAsia="SimSun"/>
              </w:rPr>
              <w:t>:</w:t>
            </w:r>
            <w:r>
              <w:rPr>
                <w:rFonts w:eastAsia="SimSun"/>
                <w:sz w:val="28"/>
              </w:rPr>
              <w:tab/>
            </w:r>
            <w:r>
              <w:rPr>
                <w:rFonts w:eastAsia="SimSun"/>
              </w:rPr>
              <w:t>T</w:t>
            </w:r>
            <w:r>
              <w:rPr>
                <w:rFonts w:eastAsia="SimSun"/>
                <w:vertAlign w:val="subscript"/>
              </w:rPr>
              <w:t>SSB</w:t>
            </w:r>
            <w:r>
              <w:rPr>
                <w:rFonts w:eastAsia="SimSun"/>
              </w:rPr>
              <w:t xml:space="preserve"> is the periodicity of the SSB configured for RLM.</w:t>
            </w:r>
          </w:p>
        </w:tc>
      </w:tr>
      <w:bookmarkEnd w:id="8583"/>
    </w:tbl>
    <w:p w14:paraId="790B5E06" w14:textId="77777777" w:rsidR="006E344B" w:rsidRPr="006E344B" w:rsidRDefault="006E344B" w:rsidP="00A73F09"/>
    <w:p w14:paraId="2E782C88" w14:textId="183CD616" w:rsidR="00D810BD" w:rsidRDefault="00D810BD">
      <w:pPr>
        <w:pStyle w:val="Heading5"/>
      </w:pPr>
      <w:bookmarkStart w:id="8584" w:name="_Toc53185606"/>
      <w:bookmarkStart w:id="8585" w:name="_Toc53185982"/>
      <w:bookmarkStart w:id="8586" w:name="_Toc57820468"/>
      <w:bookmarkStart w:id="8587" w:name="_Toc57821395"/>
      <w:bookmarkStart w:id="8588" w:name="_Toc61183671"/>
      <w:bookmarkStart w:id="8589" w:name="_Toc61184065"/>
      <w:bookmarkStart w:id="8590" w:name="_Toc61184457"/>
      <w:bookmarkStart w:id="8591" w:name="_Toc61184849"/>
      <w:bookmarkStart w:id="8592" w:name="_Toc61185239"/>
      <w:bookmarkStart w:id="8593" w:name="_Toc66386584"/>
      <w:bookmarkStart w:id="8594" w:name="_Toc74583542"/>
      <w:bookmarkStart w:id="8595" w:name="_Toc76542355"/>
      <w:bookmarkStart w:id="8596" w:name="_Toc82450337"/>
      <w:bookmarkStart w:id="8597" w:name="_Toc82450985"/>
      <w:bookmarkStart w:id="8598" w:name="_Toc89949374"/>
      <w:bookmarkStart w:id="8599" w:name="_Toc98755763"/>
      <w:bookmarkStart w:id="8600" w:name="_Toc98763355"/>
      <w:bookmarkStart w:id="8601" w:name="_Toc106184284"/>
      <w:r>
        <w:t>12.3.1.2.3</w:t>
      </w:r>
      <w:r w:rsidR="00F72FF2">
        <w:rPr>
          <w:sz w:val="28"/>
        </w:rPr>
        <w:tab/>
      </w:r>
      <w:r>
        <w:t>Measurement restrictions for SSB based RLM</w:t>
      </w:r>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p>
    <w:p w14:paraId="6C1BB3CB" w14:textId="2A75B688" w:rsidR="00D810BD" w:rsidRPr="00A73F09" w:rsidRDefault="001B3C68" w:rsidP="00A73F09">
      <w:pPr>
        <w:rPr>
          <w:rFonts w:eastAsia="SimSun"/>
        </w:rPr>
      </w:pPr>
      <w:r>
        <w:rPr>
          <w:rFonts w:eastAsia="SimSun"/>
        </w:rPr>
        <w:t xml:space="preserve">The </w:t>
      </w:r>
      <w:r>
        <w:rPr>
          <w:rFonts w:eastAsia="SimSun" w:hint="eastAsia"/>
          <w:lang w:val="en-US" w:eastAsia="zh-CN"/>
        </w:rPr>
        <w:t xml:space="preserve">UE </w:t>
      </w:r>
      <w:r>
        <w:rPr>
          <w:rFonts w:eastAsia="SimSun"/>
        </w:rPr>
        <w:t>requirements</w:t>
      </w:r>
      <w:r>
        <w:rPr>
          <w:rFonts w:eastAsia="SimSun" w:hint="eastAsia"/>
          <w:lang w:val="en-US" w:eastAsia="zh-CN"/>
        </w:rPr>
        <w:t xml:space="preserve"> </w:t>
      </w:r>
      <w:r>
        <w:t>in sub-clause 8.</w:t>
      </w:r>
      <w:r>
        <w:rPr>
          <w:rFonts w:eastAsia="SimSun" w:hint="eastAsia"/>
          <w:lang w:val="en-US" w:eastAsia="zh-CN"/>
        </w:rPr>
        <w:t>1.2.3</w:t>
      </w:r>
      <w:r>
        <w:t xml:space="preserve"> [6] apply for IAB-MT.</w:t>
      </w:r>
    </w:p>
    <w:p w14:paraId="19020630" w14:textId="5FD03140" w:rsidR="00295C2F" w:rsidRPr="00295C2F" w:rsidRDefault="00334C0D" w:rsidP="00F72FF2">
      <w:pPr>
        <w:pStyle w:val="Heading4"/>
      </w:pPr>
      <w:bookmarkStart w:id="8602" w:name="_Toc53185607"/>
      <w:bookmarkStart w:id="8603" w:name="_Toc53185983"/>
      <w:bookmarkStart w:id="8604" w:name="_Toc57820469"/>
      <w:bookmarkStart w:id="8605" w:name="_Toc57821396"/>
      <w:bookmarkStart w:id="8606" w:name="_Toc61183672"/>
      <w:bookmarkStart w:id="8607" w:name="_Toc61184066"/>
      <w:bookmarkStart w:id="8608" w:name="_Toc61184458"/>
      <w:bookmarkStart w:id="8609" w:name="_Toc61184850"/>
      <w:bookmarkStart w:id="8610" w:name="_Toc61185240"/>
      <w:bookmarkStart w:id="8611" w:name="_Toc66386585"/>
      <w:bookmarkStart w:id="8612" w:name="_Toc74583543"/>
      <w:bookmarkStart w:id="8613" w:name="_Toc76542356"/>
      <w:bookmarkStart w:id="8614" w:name="_Toc82450338"/>
      <w:bookmarkStart w:id="8615" w:name="_Toc82450986"/>
      <w:bookmarkStart w:id="8616" w:name="_Toc89949375"/>
      <w:bookmarkStart w:id="8617" w:name="_Toc98755764"/>
      <w:bookmarkStart w:id="8618" w:name="_Toc98763356"/>
      <w:bookmarkStart w:id="8619" w:name="_Toc106184285"/>
      <w:r>
        <w:t>1</w:t>
      </w:r>
      <w:r w:rsidR="009778A7">
        <w:t>2</w:t>
      </w:r>
      <w:r>
        <w:t>.</w:t>
      </w:r>
      <w:r w:rsidR="009778A7">
        <w:t>3.</w:t>
      </w:r>
      <w:r>
        <w:t>1.3</w:t>
      </w:r>
      <w:r w:rsidR="00F72FF2">
        <w:rPr>
          <w:sz w:val="28"/>
        </w:rPr>
        <w:tab/>
      </w:r>
      <w:r>
        <w:t>Requirements for CSI-RS based radio link monitoring</w:t>
      </w:r>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p>
    <w:p w14:paraId="620916C2" w14:textId="424DFB49" w:rsidR="009F429D" w:rsidRDefault="009F429D" w:rsidP="009F429D">
      <w:pPr>
        <w:pStyle w:val="Heading5"/>
      </w:pPr>
      <w:bookmarkStart w:id="8620" w:name="_Toc53185608"/>
      <w:bookmarkStart w:id="8621" w:name="_Toc53185984"/>
      <w:bookmarkStart w:id="8622" w:name="_Toc57820470"/>
      <w:bookmarkStart w:id="8623" w:name="_Toc57821397"/>
      <w:bookmarkStart w:id="8624" w:name="_Toc61183673"/>
      <w:bookmarkStart w:id="8625" w:name="_Toc61184067"/>
      <w:bookmarkStart w:id="8626" w:name="_Toc61184459"/>
      <w:bookmarkStart w:id="8627" w:name="_Toc61184851"/>
      <w:bookmarkStart w:id="8628" w:name="_Toc61185241"/>
      <w:bookmarkStart w:id="8629" w:name="_Toc66386586"/>
      <w:bookmarkStart w:id="8630" w:name="_Toc74583544"/>
      <w:bookmarkStart w:id="8631" w:name="_Toc76542357"/>
      <w:bookmarkStart w:id="8632" w:name="_Toc82450339"/>
      <w:bookmarkStart w:id="8633" w:name="_Toc82450987"/>
      <w:bookmarkStart w:id="8634" w:name="_Toc89949376"/>
      <w:bookmarkStart w:id="8635" w:name="_Toc98755765"/>
      <w:bookmarkStart w:id="8636" w:name="_Toc98763357"/>
      <w:bookmarkStart w:id="8637" w:name="_Toc106184286"/>
      <w:r>
        <w:t>12.3.1.3.1</w:t>
      </w:r>
      <w:r w:rsidR="00F72FF2">
        <w:rPr>
          <w:sz w:val="28"/>
        </w:rPr>
        <w:tab/>
      </w:r>
      <w:r>
        <w:t>Introduction</w:t>
      </w:r>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p>
    <w:p w14:paraId="7CE6F7D7" w14:textId="77777777" w:rsidR="00B97FE3" w:rsidRDefault="00B97FE3" w:rsidP="00B97FE3">
      <w:pPr>
        <w:rPr>
          <w:rFonts w:eastAsia="SimSun"/>
        </w:rPr>
      </w:pPr>
      <w:r>
        <w:rPr>
          <w:rFonts w:eastAsia="SimSun"/>
        </w:rPr>
        <w:t xml:space="preserve">The requirements in this clause apply for each CSI-RS based RLM-RS resource configured for PCell or PSCell, provided that the CSI-RS configured for RLM is actually transmitted within </w:t>
      </w:r>
      <w:r>
        <w:rPr>
          <w:rFonts w:eastAsia="SimSun" w:hint="eastAsia"/>
          <w:lang w:eastAsia="zh-CN"/>
        </w:rPr>
        <w:t>IAB-MT</w:t>
      </w:r>
      <w:r>
        <w:rPr>
          <w:rFonts w:eastAsia="SimSun"/>
        </w:rPr>
        <w:t xml:space="preserve"> active DL BWP during the entire evaluation period specified in clause </w:t>
      </w:r>
      <w:r>
        <w:rPr>
          <w:rFonts w:eastAsia="SimSun" w:hint="eastAsia"/>
          <w:lang w:eastAsia="zh-CN"/>
        </w:rPr>
        <w:t>12.3.1</w:t>
      </w:r>
      <w:r>
        <w:rPr>
          <w:rFonts w:eastAsia="SimSun"/>
        </w:rPr>
        <w:t xml:space="preserve">.3.2. </w:t>
      </w:r>
      <w:r>
        <w:rPr>
          <w:rFonts w:eastAsia="SimSun" w:hint="eastAsia"/>
          <w:lang w:eastAsia="zh-CN"/>
        </w:rPr>
        <w:t>IAB-MT</w:t>
      </w:r>
      <w:r>
        <w:rPr>
          <w:rFonts w:eastAsia="SimSun"/>
        </w:rPr>
        <w:t xml:space="preserve"> is not expected to perform radio link monitoring measurements on the CSI-RS configured as RLM-RS if the CSI-RS is not in the active TCI state of any CORESET configured in the </w:t>
      </w:r>
      <w:r>
        <w:rPr>
          <w:rFonts w:eastAsia="SimSun" w:hint="eastAsia"/>
          <w:lang w:eastAsia="zh-CN"/>
        </w:rPr>
        <w:t>IAB-MT</w:t>
      </w:r>
      <w:r>
        <w:rPr>
          <w:rFonts w:eastAsia="SimSun"/>
        </w:rPr>
        <w:t xml:space="preserve"> active BWP.</w:t>
      </w:r>
    </w:p>
    <w:p w14:paraId="43BEF914" w14:textId="77777777" w:rsidR="00B97FE3" w:rsidRDefault="00B97FE3" w:rsidP="00F72FF2">
      <w:pPr>
        <w:pStyle w:val="TH"/>
        <w:rPr>
          <w:rFonts w:eastAsia="SimSun"/>
        </w:rPr>
      </w:pPr>
      <w:r>
        <w:rPr>
          <w:rFonts w:eastAsia="SimSun"/>
        </w:rPr>
        <w:lastRenderedPageBreak/>
        <w:t xml:space="preserve">Table </w:t>
      </w:r>
      <w:r>
        <w:rPr>
          <w:rFonts w:eastAsia="SimSun" w:hint="eastAsia"/>
          <w:lang w:eastAsia="zh-CN"/>
        </w:rPr>
        <w:t>12.3.1</w:t>
      </w:r>
      <w:r>
        <w:rPr>
          <w:rFonts w:eastAsia="SimSun"/>
        </w:rPr>
        <w:t>.3.1-1: PDCCH transmission parameters for out-of-sync evaluation</w:t>
      </w:r>
    </w:p>
    <w:tbl>
      <w:tblPr>
        <w:tblW w:w="6235"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649"/>
        <w:gridCol w:w="3586"/>
      </w:tblGrid>
      <w:tr w:rsidR="00B97FE3" w14:paraId="130ED3C2" w14:textId="77777777" w:rsidTr="00A4061E">
        <w:trPr>
          <w:jc w:val="center"/>
        </w:trPr>
        <w:tc>
          <w:tcPr>
            <w:tcW w:w="2649" w:type="dxa"/>
            <w:shd w:val="clear" w:color="auto" w:fill="auto"/>
            <w:vAlign w:val="center"/>
          </w:tcPr>
          <w:p w14:paraId="1066456B" w14:textId="77777777" w:rsidR="00B97FE3" w:rsidRDefault="00B97FE3" w:rsidP="00F72FF2">
            <w:pPr>
              <w:pStyle w:val="TAH"/>
              <w:rPr>
                <w:rFonts w:eastAsia="SimSun"/>
              </w:rPr>
            </w:pPr>
            <w:r>
              <w:rPr>
                <w:rFonts w:eastAsia="SimSun"/>
              </w:rPr>
              <w:t>Attribute</w:t>
            </w:r>
          </w:p>
        </w:tc>
        <w:tc>
          <w:tcPr>
            <w:tcW w:w="3586" w:type="dxa"/>
            <w:shd w:val="clear" w:color="auto" w:fill="auto"/>
            <w:vAlign w:val="center"/>
          </w:tcPr>
          <w:p w14:paraId="3E81C27C" w14:textId="77777777" w:rsidR="00B97FE3" w:rsidRDefault="00B97FE3" w:rsidP="00F72FF2">
            <w:pPr>
              <w:pStyle w:val="TAH"/>
              <w:rPr>
                <w:rFonts w:eastAsia="?? ??"/>
              </w:rPr>
            </w:pPr>
            <w:r>
              <w:rPr>
                <w:rFonts w:eastAsia="SimSun" w:hint="eastAsia"/>
                <w:lang w:eastAsia="zh-CN"/>
              </w:rPr>
              <w:t>Value</w:t>
            </w:r>
            <w:r>
              <w:rPr>
                <w:rFonts w:eastAsia="?? ??"/>
              </w:rPr>
              <w:t xml:space="preserve"> for BLER Configuration #0</w:t>
            </w:r>
          </w:p>
        </w:tc>
      </w:tr>
      <w:tr w:rsidR="00B97FE3" w14:paraId="5071C6DA" w14:textId="77777777" w:rsidTr="00F72FF2">
        <w:trPr>
          <w:trHeight w:val="201"/>
          <w:jc w:val="center"/>
        </w:trPr>
        <w:tc>
          <w:tcPr>
            <w:tcW w:w="2649" w:type="dxa"/>
            <w:shd w:val="clear" w:color="auto" w:fill="auto"/>
          </w:tcPr>
          <w:p w14:paraId="3ADE829B" w14:textId="77777777" w:rsidR="00B97FE3" w:rsidRDefault="00B97FE3" w:rsidP="00F72FF2">
            <w:pPr>
              <w:pStyle w:val="TAL"/>
              <w:rPr>
                <w:rFonts w:eastAsia="?? ??"/>
              </w:rPr>
            </w:pPr>
            <w:r>
              <w:rPr>
                <w:rFonts w:eastAsia="?? ??"/>
              </w:rPr>
              <w:t>DCI format</w:t>
            </w:r>
          </w:p>
        </w:tc>
        <w:tc>
          <w:tcPr>
            <w:tcW w:w="3586" w:type="dxa"/>
            <w:shd w:val="clear" w:color="auto" w:fill="auto"/>
          </w:tcPr>
          <w:p w14:paraId="054558F1" w14:textId="77777777" w:rsidR="00B97FE3" w:rsidRDefault="00B97FE3" w:rsidP="00F72FF2">
            <w:pPr>
              <w:pStyle w:val="TAC"/>
              <w:rPr>
                <w:rFonts w:eastAsia="?? ??"/>
              </w:rPr>
            </w:pPr>
            <w:r>
              <w:rPr>
                <w:rFonts w:eastAsia="?? ??"/>
              </w:rPr>
              <w:t>1-0</w:t>
            </w:r>
          </w:p>
        </w:tc>
      </w:tr>
      <w:tr w:rsidR="00B97FE3" w14:paraId="72938ADB" w14:textId="77777777" w:rsidTr="00F72FF2">
        <w:trPr>
          <w:jc w:val="center"/>
        </w:trPr>
        <w:tc>
          <w:tcPr>
            <w:tcW w:w="2649" w:type="dxa"/>
            <w:shd w:val="clear" w:color="auto" w:fill="auto"/>
          </w:tcPr>
          <w:p w14:paraId="37E686F7" w14:textId="77777777" w:rsidR="00B97FE3" w:rsidRDefault="00B97FE3" w:rsidP="00F72FF2">
            <w:pPr>
              <w:pStyle w:val="TAL"/>
              <w:rPr>
                <w:rFonts w:eastAsia="?? ??"/>
              </w:rPr>
            </w:pPr>
            <w:r>
              <w:rPr>
                <w:rFonts w:eastAsia="?? ??"/>
              </w:rPr>
              <w:t>Number of control OFDM symbols</w:t>
            </w:r>
          </w:p>
        </w:tc>
        <w:tc>
          <w:tcPr>
            <w:tcW w:w="3586" w:type="dxa"/>
            <w:shd w:val="clear" w:color="auto" w:fill="auto"/>
          </w:tcPr>
          <w:p w14:paraId="21D48F8B" w14:textId="77777777" w:rsidR="00B97FE3" w:rsidRDefault="00B97FE3" w:rsidP="00F72FF2">
            <w:pPr>
              <w:pStyle w:val="TAC"/>
              <w:rPr>
                <w:rFonts w:eastAsia="?? ??"/>
                <w:lang w:val="de-DE"/>
              </w:rPr>
            </w:pPr>
            <w:r>
              <w:rPr>
                <w:rFonts w:eastAsia="?? ??"/>
              </w:rPr>
              <w:t>2</w:t>
            </w:r>
          </w:p>
        </w:tc>
      </w:tr>
      <w:tr w:rsidR="00B97FE3" w14:paraId="0D945532" w14:textId="77777777" w:rsidTr="00F72FF2">
        <w:trPr>
          <w:jc w:val="center"/>
        </w:trPr>
        <w:tc>
          <w:tcPr>
            <w:tcW w:w="2649" w:type="dxa"/>
            <w:shd w:val="clear" w:color="auto" w:fill="auto"/>
          </w:tcPr>
          <w:p w14:paraId="2142D8B7" w14:textId="77777777" w:rsidR="00B97FE3" w:rsidRDefault="00B97FE3" w:rsidP="00F72FF2">
            <w:pPr>
              <w:pStyle w:val="TAL"/>
              <w:rPr>
                <w:rFonts w:eastAsia="?? ??"/>
              </w:rPr>
            </w:pPr>
            <w:r>
              <w:rPr>
                <w:rFonts w:eastAsia="?? ??"/>
              </w:rPr>
              <w:t>Aggregation level (CCE)</w:t>
            </w:r>
          </w:p>
        </w:tc>
        <w:tc>
          <w:tcPr>
            <w:tcW w:w="3586" w:type="dxa"/>
            <w:shd w:val="clear" w:color="auto" w:fill="auto"/>
          </w:tcPr>
          <w:p w14:paraId="1C80A05A" w14:textId="77777777" w:rsidR="00B97FE3" w:rsidRDefault="00B97FE3" w:rsidP="00F72FF2">
            <w:pPr>
              <w:pStyle w:val="TAC"/>
              <w:rPr>
                <w:rFonts w:eastAsia="?? ??"/>
              </w:rPr>
            </w:pPr>
            <w:r>
              <w:rPr>
                <w:rFonts w:eastAsia="?? ??"/>
              </w:rPr>
              <w:t>8</w:t>
            </w:r>
          </w:p>
        </w:tc>
      </w:tr>
      <w:tr w:rsidR="00B97FE3" w14:paraId="79F22A0B" w14:textId="77777777" w:rsidTr="00F72FF2">
        <w:trPr>
          <w:jc w:val="center"/>
        </w:trPr>
        <w:tc>
          <w:tcPr>
            <w:tcW w:w="2649" w:type="dxa"/>
            <w:shd w:val="clear" w:color="auto" w:fill="auto"/>
          </w:tcPr>
          <w:p w14:paraId="0E9510FF" w14:textId="77777777" w:rsidR="00B97FE3" w:rsidRDefault="00B97FE3" w:rsidP="00F72FF2">
            <w:pPr>
              <w:pStyle w:val="TAL"/>
              <w:rPr>
                <w:rFonts w:eastAsia="?? ??"/>
              </w:rPr>
            </w:pPr>
            <w:r>
              <w:rPr>
                <w:rFonts w:eastAsia="?? ??"/>
              </w:rPr>
              <w:t>Ratio of hypothetical PDCCH RE energy to average CSI-RS RE energy</w:t>
            </w:r>
          </w:p>
        </w:tc>
        <w:tc>
          <w:tcPr>
            <w:tcW w:w="3586" w:type="dxa"/>
            <w:shd w:val="clear" w:color="auto" w:fill="auto"/>
          </w:tcPr>
          <w:p w14:paraId="07B9B219" w14:textId="77777777" w:rsidR="00B97FE3" w:rsidRDefault="00B97FE3" w:rsidP="00F72FF2">
            <w:pPr>
              <w:pStyle w:val="TAC"/>
              <w:rPr>
                <w:rFonts w:eastAsia="?? ??"/>
              </w:rPr>
            </w:pPr>
            <w:r>
              <w:rPr>
                <w:rFonts w:eastAsia="?? ??"/>
              </w:rPr>
              <w:t>4dB</w:t>
            </w:r>
          </w:p>
        </w:tc>
      </w:tr>
      <w:tr w:rsidR="00B97FE3" w14:paraId="6DC2A6A1" w14:textId="77777777" w:rsidTr="00F72FF2">
        <w:trPr>
          <w:jc w:val="center"/>
        </w:trPr>
        <w:tc>
          <w:tcPr>
            <w:tcW w:w="2649" w:type="dxa"/>
            <w:shd w:val="clear" w:color="auto" w:fill="auto"/>
          </w:tcPr>
          <w:p w14:paraId="5A43D457" w14:textId="77777777" w:rsidR="00B97FE3" w:rsidRDefault="00B97FE3" w:rsidP="00F72FF2">
            <w:pPr>
              <w:pStyle w:val="TAL"/>
              <w:rPr>
                <w:rFonts w:eastAsia="?? ??"/>
              </w:rPr>
            </w:pPr>
            <w:r>
              <w:rPr>
                <w:rFonts w:eastAsia="?? ??"/>
              </w:rPr>
              <w:t>Ratio of hypothetical PDCCH DMRS energy to average CSI-RS RE energy</w:t>
            </w:r>
          </w:p>
        </w:tc>
        <w:tc>
          <w:tcPr>
            <w:tcW w:w="3586" w:type="dxa"/>
            <w:shd w:val="clear" w:color="auto" w:fill="auto"/>
          </w:tcPr>
          <w:p w14:paraId="7736009E" w14:textId="77777777" w:rsidR="00B97FE3" w:rsidRDefault="00B97FE3" w:rsidP="00F72FF2">
            <w:pPr>
              <w:pStyle w:val="TAC"/>
              <w:rPr>
                <w:rFonts w:eastAsia="?? ??"/>
              </w:rPr>
            </w:pPr>
            <w:r>
              <w:rPr>
                <w:rFonts w:eastAsia="?? ??"/>
              </w:rPr>
              <w:t>4dB</w:t>
            </w:r>
          </w:p>
        </w:tc>
      </w:tr>
      <w:tr w:rsidR="00B97FE3" w14:paraId="0A5F8068" w14:textId="77777777" w:rsidTr="00F72FF2">
        <w:trPr>
          <w:jc w:val="center"/>
        </w:trPr>
        <w:tc>
          <w:tcPr>
            <w:tcW w:w="2649" w:type="dxa"/>
            <w:shd w:val="clear" w:color="auto" w:fill="auto"/>
          </w:tcPr>
          <w:p w14:paraId="5F7F6ACB" w14:textId="77777777" w:rsidR="00B97FE3" w:rsidRDefault="00B97FE3" w:rsidP="00F72FF2">
            <w:pPr>
              <w:pStyle w:val="TAL"/>
              <w:rPr>
                <w:rFonts w:eastAsia="?? ??"/>
              </w:rPr>
            </w:pPr>
            <w:r>
              <w:rPr>
                <w:rFonts w:eastAsia="?? ??"/>
              </w:rPr>
              <w:t>Bandwidth (PRBs)</w:t>
            </w:r>
          </w:p>
        </w:tc>
        <w:tc>
          <w:tcPr>
            <w:tcW w:w="3586" w:type="dxa"/>
            <w:shd w:val="clear" w:color="auto" w:fill="auto"/>
          </w:tcPr>
          <w:p w14:paraId="3630D4C6" w14:textId="77777777" w:rsidR="00B97FE3" w:rsidRDefault="00B97FE3" w:rsidP="00F72FF2">
            <w:pPr>
              <w:pStyle w:val="TAC"/>
              <w:rPr>
                <w:rFonts w:eastAsia="?? ??"/>
              </w:rPr>
            </w:pPr>
            <w:r>
              <w:rPr>
                <w:rFonts w:eastAsia="?? ??"/>
              </w:rPr>
              <w:t>48</w:t>
            </w:r>
          </w:p>
        </w:tc>
      </w:tr>
      <w:tr w:rsidR="00B97FE3" w14:paraId="5AC8AB1A" w14:textId="77777777" w:rsidTr="00F72FF2">
        <w:trPr>
          <w:jc w:val="center"/>
        </w:trPr>
        <w:tc>
          <w:tcPr>
            <w:tcW w:w="2649" w:type="dxa"/>
            <w:shd w:val="clear" w:color="auto" w:fill="auto"/>
          </w:tcPr>
          <w:p w14:paraId="0CCDCC68" w14:textId="77777777" w:rsidR="00B97FE3" w:rsidRDefault="00B97FE3" w:rsidP="00F72FF2">
            <w:pPr>
              <w:pStyle w:val="TAL"/>
              <w:rPr>
                <w:rFonts w:eastAsia="?? ??"/>
              </w:rPr>
            </w:pPr>
            <w:r>
              <w:rPr>
                <w:rFonts w:eastAsia="?? ??"/>
              </w:rPr>
              <w:t>Sub-carrier spacing (kHz)</w:t>
            </w:r>
          </w:p>
        </w:tc>
        <w:tc>
          <w:tcPr>
            <w:tcW w:w="3586" w:type="dxa"/>
            <w:shd w:val="clear" w:color="auto" w:fill="auto"/>
          </w:tcPr>
          <w:p w14:paraId="4E277537" w14:textId="77777777" w:rsidR="00B97FE3" w:rsidRDefault="00B97FE3" w:rsidP="00F72FF2">
            <w:pPr>
              <w:pStyle w:val="TAC"/>
              <w:rPr>
                <w:rFonts w:eastAsia="?? ??"/>
              </w:rPr>
            </w:pPr>
            <w:r>
              <w:rPr>
                <w:rFonts w:eastAsia="?? ??"/>
              </w:rPr>
              <w:t>SCS of the active DL BWP</w:t>
            </w:r>
          </w:p>
        </w:tc>
      </w:tr>
      <w:tr w:rsidR="00B97FE3" w14:paraId="454EB92D" w14:textId="77777777" w:rsidTr="00F72FF2">
        <w:trPr>
          <w:jc w:val="center"/>
        </w:trPr>
        <w:tc>
          <w:tcPr>
            <w:tcW w:w="2649" w:type="dxa"/>
            <w:shd w:val="clear" w:color="auto" w:fill="auto"/>
          </w:tcPr>
          <w:p w14:paraId="5F58E267" w14:textId="77777777" w:rsidR="00B97FE3" w:rsidRDefault="00B97FE3" w:rsidP="00F72FF2">
            <w:pPr>
              <w:pStyle w:val="TAL"/>
              <w:rPr>
                <w:rFonts w:eastAsia="?? ??"/>
              </w:rPr>
            </w:pPr>
            <w:r>
              <w:rPr>
                <w:rFonts w:eastAsia="?? ??"/>
              </w:rPr>
              <w:t>DMRS precoder granularity</w:t>
            </w:r>
          </w:p>
        </w:tc>
        <w:tc>
          <w:tcPr>
            <w:tcW w:w="3586" w:type="dxa"/>
            <w:shd w:val="clear" w:color="auto" w:fill="auto"/>
          </w:tcPr>
          <w:p w14:paraId="6FF28113" w14:textId="77777777" w:rsidR="00B97FE3" w:rsidRDefault="00B97FE3" w:rsidP="00F72FF2">
            <w:pPr>
              <w:pStyle w:val="TAC"/>
              <w:rPr>
                <w:rFonts w:eastAsia="?? ??"/>
              </w:rPr>
            </w:pPr>
            <w:r>
              <w:rPr>
                <w:rFonts w:eastAsia="?? ??"/>
              </w:rPr>
              <w:t>REG bundle size</w:t>
            </w:r>
          </w:p>
        </w:tc>
      </w:tr>
      <w:tr w:rsidR="00B97FE3" w14:paraId="1275BA98" w14:textId="77777777" w:rsidTr="00F72FF2">
        <w:trPr>
          <w:jc w:val="center"/>
        </w:trPr>
        <w:tc>
          <w:tcPr>
            <w:tcW w:w="2649" w:type="dxa"/>
            <w:shd w:val="clear" w:color="auto" w:fill="auto"/>
          </w:tcPr>
          <w:p w14:paraId="7822D62D" w14:textId="77777777" w:rsidR="00B97FE3" w:rsidRDefault="00B97FE3" w:rsidP="00F72FF2">
            <w:pPr>
              <w:pStyle w:val="TAL"/>
              <w:rPr>
                <w:rFonts w:eastAsia="?? ??"/>
              </w:rPr>
            </w:pPr>
            <w:r>
              <w:rPr>
                <w:rFonts w:eastAsia="?? ??"/>
              </w:rPr>
              <w:t>REG bundle size</w:t>
            </w:r>
          </w:p>
        </w:tc>
        <w:tc>
          <w:tcPr>
            <w:tcW w:w="3586" w:type="dxa"/>
            <w:shd w:val="clear" w:color="auto" w:fill="auto"/>
          </w:tcPr>
          <w:p w14:paraId="6B7F6C97" w14:textId="77777777" w:rsidR="00B97FE3" w:rsidRDefault="00B97FE3" w:rsidP="00F72FF2">
            <w:pPr>
              <w:pStyle w:val="TAC"/>
              <w:rPr>
                <w:rFonts w:eastAsia="?? ??"/>
              </w:rPr>
            </w:pPr>
            <w:r>
              <w:rPr>
                <w:rFonts w:eastAsia="?? ??"/>
              </w:rPr>
              <w:t>6</w:t>
            </w:r>
          </w:p>
        </w:tc>
      </w:tr>
      <w:tr w:rsidR="00B97FE3" w14:paraId="2FB19183" w14:textId="77777777" w:rsidTr="00F72FF2">
        <w:trPr>
          <w:jc w:val="center"/>
        </w:trPr>
        <w:tc>
          <w:tcPr>
            <w:tcW w:w="2649" w:type="dxa"/>
            <w:shd w:val="clear" w:color="auto" w:fill="auto"/>
          </w:tcPr>
          <w:p w14:paraId="498415B0" w14:textId="77777777" w:rsidR="00B97FE3" w:rsidRDefault="00B97FE3" w:rsidP="00F72FF2">
            <w:pPr>
              <w:pStyle w:val="TAL"/>
              <w:rPr>
                <w:rFonts w:eastAsia="?? ??"/>
              </w:rPr>
            </w:pPr>
            <w:r>
              <w:rPr>
                <w:rFonts w:eastAsia="?? ??"/>
              </w:rPr>
              <w:t>CP length</w:t>
            </w:r>
          </w:p>
        </w:tc>
        <w:tc>
          <w:tcPr>
            <w:tcW w:w="3586" w:type="dxa"/>
            <w:shd w:val="clear" w:color="auto" w:fill="auto"/>
          </w:tcPr>
          <w:p w14:paraId="6B40CAD1" w14:textId="77777777" w:rsidR="00B97FE3" w:rsidRDefault="00B97FE3" w:rsidP="00F72FF2">
            <w:pPr>
              <w:pStyle w:val="TAC"/>
              <w:rPr>
                <w:rFonts w:eastAsia="?? ??"/>
              </w:rPr>
            </w:pPr>
            <w:r>
              <w:rPr>
                <w:rFonts w:eastAsia="?? ??"/>
              </w:rPr>
              <w:t>Normal</w:t>
            </w:r>
          </w:p>
        </w:tc>
      </w:tr>
      <w:tr w:rsidR="00B97FE3" w14:paraId="17203476" w14:textId="77777777" w:rsidTr="00F72FF2">
        <w:trPr>
          <w:jc w:val="center"/>
        </w:trPr>
        <w:tc>
          <w:tcPr>
            <w:tcW w:w="2649" w:type="dxa"/>
            <w:shd w:val="clear" w:color="auto" w:fill="auto"/>
          </w:tcPr>
          <w:p w14:paraId="4A28237C" w14:textId="77777777" w:rsidR="00B97FE3" w:rsidRDefault="00B97FE3" w:rsidP="00F72FF2">
            <w:pPr>
              <w:pStyle w:val="TAL"/>
              <w:rPr>
                <w:rFonts w:eastAsia="?? ??"/>
              </w:rPr>
            </w:pPr>
            <w:r>
              <w:rPr>
                <w:rFonts w:eastAsia="?? ??"/>
              </w:rPr>
              <w:t>Mapping from REG to CCE</w:t>
            </w:r>
          </w:p>
        </w:tc>
        <w:tc>
          <w:tcPr>
            <w:tcW w:w="3586" w:type="dxa"/>
            <w:shd w:val="clear" w:color="auto" w:fill="auto"/>
          </w:tcPr>
          <w:p w14:paraId="00E61E2C" w14:textId="77777777" w:rsidR="00B97FE3" w:rsidRDefault="00B97FE3" w:rsidP="00F72FF2">
            <w:pPr>
              <w:pStyle w:val="TAC"/>
              <w:rPr>
                <w:rFonts w:eastAsia="?? ??"/>
              </w:rPr>
            </w:pPr>
            <w:r>
              <w:rPr>
                <w:rFonts w:eastAsia="?? ??"/>
              </w:rPr>
              <w:t>Distributed</w:t>
            </w:r>
          </w:p>
        </w:tc>
      </w:tr>
    </w:tbl>
    <w:p w14:paraId="4989485E" w14:textId="77777777" w:rsidR="00B97FE3" w:rsidRDefault="00B97FE3" w:rsidP="00B97FE3">
      <w:pPr>
        <w:rPr>
          <w:rFonts w:eastAsia="SimSun"/>
        </w:rPr>
      </w:pPr>
    </w:p>
    <w:p w14:paraId="32AA17A7" w14:textId="77777777" w:rsidR="00B97FE3" w:rsidRDefault="00B97FE3" w:rsidP="00F72FF2">
      <w:pPr>
        <w:pStyle w:val="TH"/>
        <w:rPr>
          <w:rFonts w:eastAsia="SimSun"/>
        </w:rPr>
      </w:pPr>
      <w:r>
        <w:rPr>
          <w:rFonts w:eastAsia="SimSun"/>
        </w:rPr>
        <w:t xml:space="preserve">Table </w:t>
      </w:r>
      <w:r>
        <w:rPr>
          <w:rFonts w:eastAsia="SimSun" w:hint="eastAsia"/>
          <w:lang w:eastAsia="zh-CN"/>
        </w:rPr>
        <w:t>12.3.1</w:t>
      </w:r>
      <w:r>
        <w:rPr>
          <w:rFonts w:eastAsia="SimSun"/>
        </w:rPr>
        <w:t>.3.1-2: PDCCH transmission parameters for in-sync evaluation</w:t>
      </w:r>
    </w:p>
    <w:tbl>
      <w:tblPr>
        <w:tblW w:w="6235"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649"/>
        <w:gridCol w:w="3586"/>
      </w:tblGrid>
      <w:tr w:rsidR="00B97FE3" w14:paraId="40102793" w14:textId="77777777" w:rsidTr="00A4061E">
        <w:trPr>
          <w:jc w:val="center"/>
        </w:trPr>
        <w:tc>
          <w:tcPr>
            <w:tcW w:w="2649" w:type="dxa"/>
            <w:shd w:val="clear" w:color="auto" w:fill="auto"/>
            <w:vAlign w:val="center"/>
          </w:tcPr>
          <w:p w14:paraId="425A2734" w14:textId="77777777" w:rsidR="00B97FE3" w:rsidRDefault="00B97FE3" w:rsidP="00F72FF2">
            <w:pPr>
              <w:pStyle w:val="TAH"/>
              <w:rPr>
                <w:rFonts w:eastAsia="SimSun"/>
              </w:rPr>
            </w:pPr>
            <w:r>
              <w:rPr>
                <w:rFonts w:eastAsia="SimSun"/>
              </w:rPr>
              <w:t>Attribute</w:t>
            </w:r>
          </w:p>
        </w:tc>
        <w:tc>
          <w:tcPr>
            <w:tcW w:w="3586" w:type="dxa"/>
            <w:shd w:val="clear" w:color="auto" w:fill="auto"/>
            <w:vAlign w:val="center"/>
          </w:tcPr>
          <w:p w14:paraId="179EBEF3" w14:textId="77777777" w:rsidR="00B97FE3" w:rsidRDefault="00B97FE3" w:rsidP="00F72FF2">
            <w:pPr>
              <w:pStyle w:val="TAH"/>
              <w:rPr>
                <w:rFonts w:eastAsia="?? ??"/>
              </w:rPr>
            </w:pPr>
            <w:r>
              <w:rPr>
                <w:rFonts w:eastAsia="SimSun" w:hint="eastAsia"/>
                <w:lang w:eastAsia="zh-CN"/>
              </w:rPr>
              <w:t>Value</w:t>
            </w:r>
            <w:r>
              <w:rPr>
                <w:rFonts w:eastAsia="?? ??"/>
              </w:rPr>
              <w:t xml:space="preserve"> for BLER Configuration #0</w:t>
            </w:r>
          </w:p>
        </w:tc>
      </w:tr>
      <w:tr w:rsidR="00B97FE3" w14:paraId="5EB3B0B6" w14:textId="77777777" w:rsidTr="00F72FF2">
        <w:trPr>
          <w:trHeight w:val="201"/>
          <w:jc w:val="center"/>
        </w:trPr>
        <w:tc>
          <w:tcPr>
            <w:tcW w:w="2649" w:type="dxa"/>
            <w:shd w:val="clear" w:color="auto" w:fill="auto"/>
          </w:tcPr>
          <w:p w14:paraId="46CB0E30" w14:textId="77777777" w:rsidR="00B97FE3" w:rsidRDefault="00B97FE3" w:rsidP="00F72FF2">
            <w:pPr>
              <w:pStyle w:val="TAL"/>
              <w:rPr>
                <w:rFonts w:eastAsia="?? ??"/>
              </w:rPr>
            </w:pPr>
            <w:r>
              <w:rPr>
                <w:rFonts w:eastAsia="?? ??"/>
              </w:rPr>
              <w:t>DCI payload size</w:t>
            </w:r>
          </w:p>
        </w:tc>
        <w:tc>
          <w:tcPr>
            <w:tcW w:w="3586" w:type="dxa"/>
            <w:shd w:val="clear" w:color="auto" w:fill="auto"/>
          </w:tcPr>
          <w:p w14:paraId="76EC34D4" w14:textId="77777777" w:rsidR="00B97FE3" w:rsidRDefault="00B97FE3" w:rsidP="00F72FF2">
            <w:pPr>
              <w:pStyle w:val="TAC"/>
              <w:rPr>
                <w:rFonts w:eastAsia="?? ??"/>
              </w:rPr>
            </w:pPr>
            <w:r>
              <w:rPr>
                <w:rFonts w:eastAsia="?? ??"/>
              </w:rPr>
              <w:t>1-0</w:t>
            </w:r>
          </w:p>
        </w:tc>
      </w:tr>
      <w:tr w:rsidR="00B97FE3" w14:paraId="5D2107DC" w14:textId="77777777" w:rsidTr="00F72FF2">
        <w:trPr>
          <w:jc w:val="center"/>
        </w:trPr>
        <w:tc>
          <w:tcPr>
            <w:tcW w:w="2649" w:type="dxa"/>
            <w:shd w:val="clear" w:color="auto" w:fill="auto"/>
          </w:tcPr>
          <w:p w14:paraId="2E8F0E29" w14:textId="77777777" w:rsidR="00B97FE3" w:rsidRDefault="00B97FE3" w:rsidP="00F72FF2">
            <w:pPr>
              <w:pStyle w:val="TAL"/>
              <w:rPr>
                <w:rFonts w:eastAsia="?? ??"/>
              </w:rPr>
            </w:pPr>
            <w:r>
              <w:rPr>
                <w:rFonts w:eastAsia="?? ??"/>
              </w:rPr>
              <w:t>Number of control OFDM symbols</w:t>
            </w:r>
          </w:p>
        </w:tc>
        <w:tc>
          <w:tcPr>
            <w:tcW w:w="3586" w:type="dxa"/>
            <w:shd w:val="clear" w:color="auto" w:fill="auto"/>
          </w:tcPr>
          <w:p w14:paraId="411EFEC8" w14:textId="77777777" w:rsidR="00B97FE3" w:rsidRDefault="00B97FE3" w:rsidP="00F72FF2">
            <w:pPr>
              <w:pStyle w:val="TAC"/>
              <w:rPr>
                <w:rFonts w:eastAsia="?? ??"/>
                <w:lang w:val="de-DE"/>
              </w:rPr>
            </w:pPr>
            <w:r>
              <w:rPr>
                <w:rFonts w:eastAsia="?? ??"/>
              </w:rPr>
              <w:t>2</w:t>
            </w:r>
          </w:p>
        </w:tc>
      </w:tr>
      <w:tr w:rsidR="00B97FE3" w14:paraId="4B756111" w14:textId="77777777" w:rsidTr="00F72FF2">
        <w:trPr>
          <w:jc w:val="center"/>
        </w:trPr>
        <w:tc>
          <w:tcPr>
            <w:tcW w:w="2649" w:type="dxa"/>
            <w:shd w:val="clear" w:color="auto" w:fill="auto"/>
          </w:tcPr>
          <w:p w14:paraId="57376E85" w14:textId="77777777" w:rsidR="00B97FE3" w:rsidRDefault="00B97FE3" w:rsidP="00F72FF2">
            <w:pPr>
              <w:pStyle w:val="TAL"/>
              <w:rPr>
                <w:rFonts w:eastAsia="?? ??"/>
              </w:rPr>
            </w:pPr>
            <w:r>
              <w:rPr>
                <w:rFonts w:eastAsia="?? ??"/>
              </w:rPr>
              <w:t>Aggregation level (CCE)</w:t>
            </w:r>
          </w:p>
        </w:tc>
        <w:tc>
          <w:tcPr>
            <w:tcW w:w="3586" w:type="dxa"/>
            <w:shd w:val="clear" w:color="auto" w:fill="auto"/>
          </w:tcPr>
          <w:p w14:paraId="0497B7DE" w14:textId="77777777" w:rsidR="00B97FE3" w:rsidRDefault="00B97FE3" w:rsidP="00F72FF2">
            <w:pPr>
              <w:pStyle w:val="TAC"/>
              <w:rPr>
                <w:rFonts w:eastAsia="?? ??"/>
              </w:rPr>
            </w:pPr>
            <w:r>
              <w:rPr>
                <w:rFonts w:eastAsia="?? ??"/>
              </w:rPr>
              <w:t>4</w:t>
            </w:r>
          </w:p>
        </w:tc>
      </w:tr>
      <w:tr w:rsidR="00B97FE3" w14:paraId="59F1FA5B" w14:textId="77777777" w:rsidTr="00F72FF2">
        <w:trPr>
          <w:jc w:val="center"/>
        </w:trPr>
        <w:tc>
          <w:tcPr>
            <w:tcW w:w="2649" w:type="dxa"/>
            <w:shd w:val="clear" w:color="auto" w:fill="auto"/>
          </w:tcPr>
          <w:p w14:paraId="7119A376" w14:textId="77777777" w:rsidR="00B97FE3" w:rsidRDefault="00B97FE3" w:rsidP="00F72FF2">
            <w:pPr>
              <w:pStyle w:val="TAL"/>
              <w:rPr>
                <w:rFonts w:eastAsia="?? ??"/>
              </w:rPr>
            </w:pPr>
            <w:r>
              <w:rPr>
                <w:rFonts w:eastAsia="?? ??"/>
              </w:rPr>
              <w:t>Ratio of hypothetical PDCCH RE energy to average CSI-RS RE energy</w:t>
            </w:r>
          </w:p>
        </w:tc>
        <w:tc>
          <w:tcPr>
            <w:tcW w:w="3586" w:type="dxa"/>
            <w:shd w:val="clear" w:color="auto" w:fill="auto"/>
          </w:tcPr>
          <w:p w14:paraId="7FA0E158" w14:textId="77777777" w:rsidR="00B97FE3" w:rsidRDefault="00B97FE3" w:rsidP="00F72FF2">
            <w:pPr>
              <w:pStyle w:val="TAC"/>
              <w:rPr>
                <w:rFonts w:eastAsia="?? ??"/>
              </w:rPr>
            </w:pPr>
            <w:r>
              <w:rPr>
                <w:rFonts w:eastAsia="?? ??"/>
              </w:rPr>
              <w:t>0dB</w:t>
            </w:r>
          </w:p>
        </w:tc>
      </w:tr>
      <w:tr w:rsidR="00B97FE3" w14:paraId="5732CB09" w14:textId="77777777" w:rsidTr="00F72FF2">
        <w:trPr>
          <w:jc w:val="center"/>
        </w:trPr>
        <w:tc>
          <w:tcPr>
            <w:tcW w:w="2649" w:type="dxa"/>
            <w:shd w:val="clear" w:color="auto" w:fill="auto"/>
          </w:tcPr>
          <w:p w14:paraId="331E6BF9" w14:textId="77777777" w:rsidR="00B97FE3" w:rsidRDefault="00B97FE3" w:rsidP="00F72FF2">
            <w:pPr>
              <w:pStyle w:val="TAL"/>
              <w:rPr>
                <w:rFonts w:eastAsia="?? ??"/>
              </w:rPr>
            </w:pPr>
            <w:r>
              <w:rPr>
                <w:rFonts w:eastAsia="?? ??"/>
              </w:rPr>
              <w:t>Ratio of hypothetical PDCCH DMRS energy to average CSI-RS RE energy</w:t>
            </w:r>
          </w:p>
        </w:tc>
        <w:tc>
          <w:tcPr>
            <w:tcW w:w="3586" w:type="dxa"/>
            <w:shd w:val="clear" w:color="auto" w:fill="auto"/>
          </w:tcPr>
          <w:p w14:paraId="3120ED0D" w14:textId="77777777" w:rsidR="00B97FE3" w:rsidRDefault="00B97FE3" w:rsidP="00F72FF2">
            <w:pPr>
              <w:pStyle w:val="TAC"/>
              <w:rPr>
                <w:rFonts w:eastAsia="?? ??"/>
              </w:rPr>
            </w:pPr>
            <w:r>
              <w:rPr>
                <w:rFonts w:eastAsia="?? ??"/>
              </w:rPr>
              <w:t>0dB</w:t>
            </w:r>
          </w:p>
        </w:tc>
      </w:tr>
      <w:tr w:rsidR="00B97FE3" w14:paraId="33AD4FA2" w14:textId="77777777" w:rsidTr="00F72FF2">
        <w:trPr>
          <w:jc w:val="center"/>
        </w:trPr>
        <w:tc>
          <w:tcPr>
            <w:tcW w:w="2649" w:type="dxa"/>
            <w:shd w:val="clear" w:color="auto" w:fill="auto"/>
          </w:tcPr>
          <w:p w14:paraId="52A404C4" w14:textId="77777777" w:rsidR="00B97FE3" w:rsidRDefault="00B97FE3" w:rsidP="00F72FF2">
            <w:pPr>
              <w:pStyle w:val="TAL"/>
              <w:rPr>
                <w:rFonts w:eastAsia="?? ??"/>
              </w:rPr>
            </w:pPr>
            <w:r>
              <w:rPr>
                <w:rFonts w:eastAsia="?? ??"/>
              </w:rPr>
              <w:t>Bandwidth (PRBs)</w:t>
            </w:r>
          </w:p>
        </w:tc>
        <w:tc>
          <w:tcPr>
            <w:tcW w:w="3586" w:type="dxa"/>
            <w:shd w:val="clear" w:color="auto" w:fill="auto"/>
          </w:tcPr>
          <w:p w14:paraId="7957ADA3" w14:textId="77777777" w:rsidR="00B97FE3" w:rsidRDefault="00B97FE3" w:rsidP="00F72FF2">
            <w:pPr>
              <w:pStyle w:val="TAC"/>
              <w:rPr>
                <w:rFonts w:eastAsia="?? ??"/>
              </w:rPr>
            </w:pPr>
            <w:r>
              <w:rPr>
                <w:rFonts w:eastAsia="?? ??"/>
              </w:rPr>
              <w:t>48</w:t>
            </w:r>
          </w:p>
        </w:tc>
      </w:tr>
      <w:tr w:rsidR="00B97FE3" w14:paraId="37FB906A" w14:textId="77777777" w:rsidTr="00F72FF2">
        <w:trPr>
          <w:jc w:val="center"/>
        </w:trPr>
        <w:tc>
          <w:tcPr>
            <w:tcW w:w="2649" w:type="dxa"/>
            <w:shd w:val="clear" w:color="auto" w:fill="auto"/>
          </w:tcPr>
          <w:p w14:paraId="1AD4D8CA" w14:textId="77777777" w:rsidR="00B97FE3" w:rsidRDefault="00B97FE3" w:rsidP="00F72FF2">
            <w:pPr>
              <w:pStyle w:val="TAL"/>
              <w:rPr>
                <w:rFonts w:eastAsia="?? ??"/>
              </w:rPr>
            </w:pPr>
            <w:r>
              <w:rPr>
                <w:rFonts w:eastAsia="?? ??"/>
              </w:rPr>
              <w:t>Sub-carrier spacing (kHz)</w:t>
            </w:r>
          </w:p>
        </w:tc>
        <w:tc>
          <w:tcPr>
            <w:tcW w:w="3586" w:type="dxa"/>
            <w:shd w:val="clear" w:color="auto" w:fill="auto"/>
          </w:tcPr>
          <w:p w14:paraId="728D762D" w14:textId="77777777" w:rsidR="00B97FE3" w:rsidRDefault="00B97FE3" w:rsidP="00F72FF2">
            <w:pPr>
              <w:pStyle w:val="TAC"/>
              <w:rPr>
                <w:rFonts w:eastAsia="?? ??"/>
              </w:rPr>
            </w:pPr>
            <w:r>
              <w:rPr>
                <w:rFonts w:eastAsia="?? ??"/>
              </w:rPr>
              <w:t>SCS of the active DL BWP</w:t>
            </w:r>
          </w:p>
        </w:tc>
      </w:tr>
      <w:tr w:rsidR="00B97FE3" w14:paraId="7C981B65" w14:textId="77777777" w:rsidTr="00F72FF2">
        <w:trPr>
          <w:jc w:val="center"/>
        </w:trPr>
        <w:tc>
          <w:tcPr>
            <w:tcW w:w="2649" w:type="dxa"/>
            <w:shd w:val="clear" w:color="auto" w:fill="auto"/>
          </w:tcPr>
          <w:p w14:paraId="48DFF3EC" w14:textId="77777777" w:rsidR="00B97FE3" w:rsidRDefault="00B97FE3" w:rsidP="00F72FF2">
            <w:pPr>
              <w:pStyle w:val="TAL"/>
              <w:rPr>
                <w:rFonts w:eastAsia="?? ??"/>
              </w:rPr>
            </w:pPr>
            <w:r>
              <w:rPr>
                <w:rFonts w:eastAsia="?? ??"/>
              </w:rPr>
              <w:t>DMRS precoder granularity</w:t>
            </w:r>
          </w:p>
        </w:tc>
        <w:tc>
          <w:tcPr>
            <w:tcW w:w="3586" w:type="dxa"/>
            <w:shd w:val="clear" w:color="auto" w:fill="auto"/>
          </w:tcPr>
          <w:p w14:paraId="529D6E2A" w14:textId="77777777" w:rsidR="00B97FE3" w:rsidRDefault="00B97FE3" w:rsidP="00F72FF2">
            <w:pPr>
              <w:pStyle w:val="TAC"/>
              <w:rPr>
                <w:rFonts w:eastAsia="?? ??"/>
              </w:rPr>
            </w:pPr>
            <w:r>
              <w:rPr>
                <w:rFonts w:eastAsia="?? ??"/>
              </w:rPr>
              <w:t>REG bundle size</w:t>
            </w:r>
          </w:p>
        </w:tc>
      </w:tr>
      <w:tr w:rsidR="00B97FE3" w14:paraId="29234BB8" w14:textId="77777777" w:rsidTr="00F72FF2">
        <w:trPr>
          <w:jc w:val="center"/>
        </w:trPr>
        <w:tc>
          <w:tcPr>
            <w:tcW w:w="2649" w:type="dxa"/>
            <w:shd w:val="clear" w:color="auto" w:fill="auto"/>
          </w:tcPr>
          <w:p w14:paraId="725FDF3C" w14:textId="77777777" w:rsidR="00B97FE3" w:rsidRDefault="00B97FE3" w:rsidP="00F72FF2">
            <w:pPr>
              <w:pStyle w:val="TAL"/>
              <w:rPr>
                <w:rFonts w:eastAsia="?? ??"/>
              </w:rPr>
            </w:pPr>
            <w:r>
              <w:rPr>
                <w:rFonts w:eastAsia="?? ??"/>
              </w:rPr>
              <w:t>REG bundle size</w:t>
            </w:r>
          </w:p>
        </w:tc>
        <w:tc>
          <w:tcPr>
            <w:tcW w:w="3586" w:type="dxa"/>
            <w:shd w:val="clear" w:color="auto" w:fill="auto"/>
          </w:tcPr>
          <w:p w14:paraId="6303F037" w14:textId="77777777" w:rsidR="00B97FE3" w:rsidRDefault="00B97FE3" w:rsidP="00F72FF2">
            <w:pPr>
              <w:pStyle w:val="TAC"/>
              <w:rPr>
                <w:rFonts w:eastAsia="?? ??"/>
              </w:rPr>
            </w:pPr>
            <w:r>
              <w:rPr>
                <w:rFonts w:eastAsia="?? ??"/>
              </w:rPr>
              <w:t>6</w:t>
            </w:r>
          </w:p>
        </w:tc>
      </w:tr>
      <w:tr w:rsidR="00B97FE3" w14:paraId="698FFD3E" w14:textId="77777777" w:rsidTr="00F72FF2">
        <w:trPr>
          <w:jc w:val="center"/>
        </w:trPr>
        <w:tc>
          <w:tcPr>
            <w:tcW w:w="2649" w:type="dxa"/>
            <w:shd w:val="clear" w:color="auto" w:fill="auto"/>
          </w:tcPr>
          <w:p w14:paraId="4A1C8E3C" w14:textId="77777777" w:rsidR="00B97FE3" w:rsidRDefault="00B97FE3" w:rsidP="00F72FF2">
            <w:pPr>
              <w:pStyle w:val="TAL"/>
              <w:rPr>
                <w:rFonts w:eastAsia="?? ??"/>
              </w:rPr>
            </w:pPr>
            <w:r>
              <w:rPr>
                <w:rFonts w:eastAsia="?? ??"/>
              </w:rPr>
              <w:t>CP length</w:t>
            </w:r>
          </w:p>
        </w:tc>
        <w:tc>
          <w:tcPr>
            <w:tcW w:w="3586" w:type="dxa"/>
            <w:shd w:val="clear" w:color="auto" w:fill="auto"/>
          </w:tcPr>
          <w:p w14:paraId="44897D12" w14:textId="77777777" w:rsidR="00B97FE3" w:rsidRDefault="00B97FE3" w:rsidP="00F72FF2">
            <w:pPr>
              <w:pStyle w:val="TAC"/>
              <w:rPr>
                <w:rFonts w:eastAsia="?? ??"/>
              </w:rPr>
            </w:pPr>
            <w:r>
              <w:rPr>
                <w:rFonts w:eastAsia="?? ??"/>
              </w:rPr>
              <w:t>Normal</w:t>
            </w:r>
          </w:p>
        </w:tc>
      </w:tr>
      <w:tr w:rsidR="00B97FE3" w14:paraId="02F0B3CA" w14:textId="77777777" w:rsidTr="00F72FF2">
        <w:trPr>
          <w:jc w:val="center"/>
        </w:trPr>
        <w:tc>
          <w:tcPr>
            <w:tcW w:w="2649" w:type="dxa"/>
            <w:shd w:val="clear" w:color="auto" w:fill="auto"/>
          </w:tcPr>
          <w:p w14:paraId="53F32E54" w14:textId="77777777" w:rsidR="00B97FE3" w:rsidRDefault="00B97FE3" w:rsidP="00F72FF2">
            <w:pPr>
              <w:pStyle w:val="TAL"/>
              <w:rPr>
                <w:rFonts w:eastAsia="?? ??"/>
              </w:rPr>
            </w:pPr>
            <w:r>
              <w:rPr>
                <w:rFonts w:eastAsia="?? ??"/>
              </w:rPr>
              <w:t>Mapping from REG to CCE</w:t>
            </w:r>
          </w:p>
        </w:tc>
        <w:tc>
          <w:tcPr>
            <w:tcW w:w="3586" w:type="dxa"/>
            <w:shd w:val="clear" w:color="auto" w:fill="auto"/>
          </w:tcPr>
          <w:p w14:paraId="3345418E" w14:textId="77777777" w:rsidR="00B97FE3" w:rsidRDefault="00B97FE3" w:rsidP="00F72FF2">
            <w:pPr>
              <w:pStyle w:val="TAC"/>
              <w:rPr>
                <w:rFonts w:eastAsia="?? ??"/>
              </w:rPr>
            </w:pPr>
            <w:r>
              <w:rPr>
                <w:rFonts w:eastAsia="?? ??"/>
              </w:rPr>
              <w:t>Distributed</w:t>
            </w:r>
          </w:p>
        </w:tc>
      </w:tr>
    </w:tbl>
    <w:p w14:paraId="562FCB92" w14:textId="77777777" w:rsidR="009F429D" w:rsidRPr="009F429D" w:rsidRDefault="009F429D" w:rsidP="00B97FE3"/>
    <w:p w14:paraId="07C0F5ED" w14:textId="712613CA" w:rsidR="00B97FE3" w:rsidRDefault="00B97FE3">
      <w:pPr>
        <w:pStyle w:val="Heading5"/>
      </w:pPr>
      <w:bookmarkStart w:id="8638" w:name="_Toc53185609"/>
      <w:bookmarkStart w:id="8639" w:name="_Toc53185985"/>
      <w:bookmarkStart w:id="8640" w:name="_Toc57820471"/>
      <w:bookmarkStart w:id="8641" w:name="_Toc57821398"/>
      <w:bookmarkStart w:id="8642" w:name="_Toc61183674"/>
      <w:bookmarkStart w:id="8643" w:name="_Toc61184068"/>
      <w:bookmarkStart w:id="8644" w:name="_Toc61184460"/>
      <w:bookmarkStart w:id="8645" w:name="_Toc61184852"/>
      <w:bookmarkStart w:id="8646" w:name="_Toc61185242"/>
      <w:bookmarkStart w:id="8647" w:name="_Toc66386587"/>
      <w:bookmarkStart w:id="8648" w:name="_Toc74583545"/>
      <w:bookmarkStart w:id="8649" w:name="_Toc76542358"/>
      <w:bookmarkStart w:id="8650" w:name="_Toc82450340"/>
      <w:bookmarkStart w:id="8651" w:name="_Toc82450988"/>
      <w:bookmarkStart w:id="8652" w:name="_Toc89949377"/>
      <w:bookmarkStart w:id="8653" w:name="_Toc98755766"/>
      <w:bookmarkStart w:id="8654" w:name="_Toc98763358"/>
      <w:bookmarkStart w:id="8655" w:name="_Toc106184287"/>
      <w:r>
        <w:t>12.3.1.3.2</w:t>
      </w:r>
      <w:r w:rsidR="00F72FF2">
        <w:rPr>
          <w:sz w:val="28"/>
        </w:rPr>
        <w:tab/>
      </w:r>
      <w:r>
        <w:t>Minimum requirement</w:t>
      </w:r>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p>
    <w:p w14:paraId="64CB1307" w14:textId="77777777" w:rsidR="000A0FF4" w:rsidRDefault="000A0FF4" w:rsidP="000A0FF4">
      <w:pPr>
        <w:rPr>
          <w:rFonts w:eastAsia="?? ??"/>
        </w:rPr>
      </w:pPr>
      <w:r>
        <w:rPr>
          <w:rFonts w:eastAsia="SimSun" w:hint="eastAsia"/>
          <w:lang w:eastAsia="zh-CN"/>
        </w:rPr>
        <w:t>IAB-MT</w:t>
      </w:r>
      <w:r>
        <w:rPr>
          <w:rFonts w:eastAsia="?? ??"/>
        </w:rPr>
        <w:t xml:space="preserve"> shall be able to evaluate whether the downlink radio link quality on the configured RLM-RS </w:t>
      </w:r>
      <w:r>
        <w:rPr>
          <w:rFonts w:eastAsia="SimSun" w:cs="Arial"/>
        </w:rPr>
        <w:t>resource</w:t>
      </w:r>
      <w:r>
        <w:rPr>
          <w:rFonts w:eastAsia="SimSun"/>
        </w:rPr>
        <w:t xml:space="preserve"> estimated </w:t>
      </w:r>
      <w:r>
        <w:rPr>
          <w:rFonts w:eastAsia="?? ??"/>
        </w:rPr>
        <w:t xml:space="preserve">over the last </w:t>
      </w:r>
      <w:r>
        <w:rPr>
          <w:rFonts w:eastAsia="SimSun"/>
        </w:rPr>
        <w:t>T</w:t>
      </w:r>
      <w:r>
        <w:rPr>
          <w:rFonts w:eastAsia="SimSun"/>
          <w:vertAlign w:val="subscript"/>
        </w:rPr>
        <w:t>Evaluate_out_CSI-RS</w:t>
      </w:r>
      <w:r>
        <w:rPr>
          <w:rFonts w:eastAsia="?? ??"/>
        </w:rPr>
        <w:t xml:space="preserve"> [ms] period</w:t>
      </w:r>
      <w:r>
        <w:rPr>
          <w:rFonts w:eastAsia="SimSun"/>
        </w:rPr>
        <w:t xml:space="preserve"> </w:t>
      </w:r>
      <w:r>
        <w:rPr>
          <w:rFonts w:eastAsia="?? ??"/>
        </w:rPr>
        <w:t>becomes worse than the threshold Q</w:t>
      </w:r>
      <w:r>
        <w:rPr>
          <w:rFonts w:eastAsia="?? ??"/>
          <w:vertAlign w:val="subscript"/>
        </w:rPr>
        <w:t>out_CSI-RS</w:t>
      </w:r>
      <w:r>
        <w:rPr>
          <w:rFonts w:eastAsia="?? ??"/>
        </w:rPr>
        <w:t xml:space="preserve"> within </w:t>
      </w:r>
      <w:r>
        <w:rPr>
          <w:rFonts w:eastAsia="SimSun"/>
        </w:rPr>
        <w:t>T</w:t>
      </w:r>
      <w:r>
        <w:rPr>
          <w:rFonts w:eastAsia="SimSun"/>
          <w:vertAlign w:val="subscript"/>
        </w:rPr>
        <w:t>Evaluate_out_CSI-RS</w:t>
      </w:r>
      <w:r>
        <w:rPr>
          <w:rFonts w:eastAsia="?? ??"/>
        </w:rPr>
        <w:t xml:space="preserve"> [ms] evaluation period.</w:t>
      </w:r>
    </w:p>
    <w:p w14:paraId="5DA5D6AC" w14:textId="77777777" w:rsidR="000A0FF4" w:rsidRDefault="000A0FF4" w:rsidP="000A0FF4">
      <w:pPr>
        <w:rPr>
          <w:rFonts w:eastAsia="?? ??"/>
        </w:rPr>
      </w:pPr>
      <w:r>
        <w:rPr>
          <w:rFonts w:eastAsia="SimSun" w:hint="eastAsia"/>
          <w:lang w:eastAsia="zh-CN"/>
        </w:rPr>
        <w:t>IAB-MT</w:t>
      </w:r>
      <w:r>
        <w:rPr>
          <w:rFonts w:eastAsia="?? ??"/>
        </w:rPr>
        <w:t xml:space="preserve"> shall be able to evaluate whether the downlink radio link quality on the configured RLM-RS </w:t>
      </w:r>
      <w:r>
        <w:rPr>
          <w:rFonts w:eastAsia="SimSun" w:cs="Arial"/>
        </w:rPr>
        <w:t>resource</w:t>
      </w:r>
      <w:r>
        <w:rPr>
          <w:rFonts w:eastAsia="SimSun"/>
        </w:rPr>
        <w:t xml:space="preserve"> estimated </w:t>
      </w:r>
      <w:r>
        <w:rPr>
          <w:rFonts w:eastAsia="?? ??"/>
        </w:rPr>
        <w:t xml:space="preserve">over the last </w:t>
      </w:r>
      <w:r>
        <w:rPr>
          <w:rFonts w:eastAsia="SimSun"/>
        </w:rPr>
        <w:t>T</w:t>
      </w:r>
      <w:r>
        <w:rPr>
          <w:rFonts w:eastAsia="SimSun"/>
          <w:vertAlign w:val="subscript"/>
        </w:rPr>
        <w:t>Evaluate_in_CSI-RS</w:t>
      </w:r>
      <w:r>
        <w:rPr>
          <w:rFonts w:eastAsia="?? ??"/>
        </w:rPr>
        <w:t xml:space="preserve"> [ms] period</w:t>
      </w:r>
      <w:r>
        <w:rPr>
          <w:rFonts w:eastAsia="SimSun"/>
        </w:rPr>
        <w:t xml:space="preserve"> </w:t>
      </w:r>
      <w:r>
        <w:rPr>
          <w:rFonts w:eastAsia="?? ??"/>
        </w:rPr>
        <w:t>becomes better than the threshold Q</w:t>
      </w:r>
      <w:r>
        <w:rPr>
          <w:rFonts w:eastAsia="?? ??"/>
          <w:vertAlign w:val="subscript"/>
        </w:rPr>
        <w:t>in_CSI-RS</w:t>
      </w:r>
      <w:r>
        <w:rPr>
          <w:rFonts w:eastAsia="?? ??"/>
        </w:rPr>
        <w:t xml:space="preserve"> within </w:t>
      </w:r>
      <w:r>
        <w:rPr>
          <w:rFonts w:eastAsia="SimSun"/>
        </w:rPr>
        <w:t>T</w:t>
      </w:r>
      <w:r>
        <w:rPr>
          <w:rFonts w:eastAsia="SimSun"/>
          <w:vertAlign w:val="subscript"/>
        </w:rPr>
        <w:t>Evaluate_in_CSI-RS</w:t>
      </w:r>
      <w:r>
        <w:rPr>
          <w:rFonts w:eastAsia="?? ??"/>
        </w:rPr>
        <w:t xml:space="preserve"> [ms] evaluation period.</w:t>
      </w:r>
    </w:p>
    <w:p w14:paraId="3E296A3D" w14:textId="76A5B2C1" w:rsidR="000A0FF4" w:rsidRDefault="000A0FF4" w:rsidP="00C60E58">
      <w:pPr>
        <w:pStyle w:val="B10"/>
        <w:rPr>
          <w:rFonts w:eastAsia="SimSun"/>
        </w:rPr>
      </w:pPr>
      <w:r>
        <w:rPr>
          <w:rFonts w:eastAsia="SimSun"/>
          <w:lang w:eastAsia="en-US"/>
        </w:rPr>
        <w:t>-</w:t>
      </w:r>
      <w:r>
        <w:rPr>
          <w:rFonts w:eastAsia="SimSun"/>
          <w:lang w:eastAsia="en-US"/>
        </w:rPr>
        <w:tab/>
        <w:t>T</w:t>
      </w:r>
      <w:r>
        <w:rPr>
          <w:rFonts w:eastAsia="SimSun"/>
          <w:vertAlign w:val="subscript"/>
          <w:lang w:eastAsia="en-US"/>
        </w:rPr>
        <w:t>Evaluate_out_CSI-RS</w:t>
      </w:r>
      <w:r>
        <w:rPr>
          <w:rFonts w:eastAsia="SimSun"/>
          <w:lang w:eastAsia="en-US"/>
        </w:rPr>
        <w:t xml:space="preserve"> and T</w:t>
      </w:r>
      <w:r>
        <w:rPr>
          <w:rFonts w:eastAsia="SimSun"/>
          <w:vertAlign w:val="subscript"/>
          <w:lang w:eastAsia="en-US"/>
        </w:rPr>
        <w:t>Evaluate_in_CSI-RS</w:t>
      </w:r>
      <w:r>
        <w:rPr>
          <w:rFonts w:eastAsia="SimSun"/>
          <w:lang w:eastAsia="en-US"/>
        </w:rPr>
        <w:t xml:space="preserve"> are defined in Table </w:t>
      </w:r>
      <w:r>
        <w:rPr>
          <w:rFonts w:eastAsia="SimSun" w:hint="eastAsia"/>
          <w:lang w:eastAsia="zh-CN"/>
        </w:rPr>
        <w:t>12.3.1</w:t>
      </w:r>
      <w:r>
        <w:rPr>
          <w:rFonts w:eastAsia="SimSun"/>
          <w:lang w:eastAsia="en-US"/>
        </w:rPr>
        <w:t>.3.2-1 for FR1</w:t>
      </w:r>
      <w:r>
        <w:rPr>
          <w:rFonts w:eastAsia="SimSun" w:hint="eastAsia"/>
          <w:lang w:val="en-US" w:eastAsia="zh-CN"/>
        </w:rPr>
        <w:t xml:space="preserve"> with scaling factor </w:t>
      </w:r>
      <w:r>
        <w:rPr>
          <w:rFonts w:ascii="Arial" w:eastAsia="SimSun" w:hAnsi="Arial" w:cs="Arial" w:hint="eastAsia"/>
          <w:sz w:val="18"/>
          <w:szCs w:val="18"/>
          <w:lang w:val="en-US" w:eastAsia="zh-CN"/>
        </w:rPr>
        <w:t>K</w:t>
      </w:r>
      <w:r>
        <w:rPr>
          <w:rFonts w:ascii="Arial" w:eastAsia="SimSun" w:hAnsi="Arial" w:cs="Arial" w:hint="eastAsia"/>
          <w:sz w:val="18"/>
          <w:szCs w:val="18"/>
          <w:vertAlign w:val="subscript"/>
          <w:lang w:val="en-US" w:eastAsia="zh-CN"/>
        </w:rPr>
        <w:t>1</w:t>
      </w:r>
      <w:r w:rsidR="004D6048">
        <w:rPr>
          <w:rFonts w:ascii="Arial" w:eastAsia="SimSun" w:hAnsi="Arial" w:cs="Arial"/>
          <w:sz w:val="18"/>
          <w:szCs w:val="18"/>
          <w:vertAlign w:val="subscript"/>
          <w:lang w:val="en-US" w:eastAsia="zh-CN"/>
        </w:rPr>
        <w:t xml:space="preserve"> </w:t>
      </w:r>
      <w:r w:rsidR="004D6048" w:rsidRPr="004D6048">
        <w:rPr>
          <w:rFonts w:ascii="Arial" w:eastAsia="SimSun" w:hAnsi="Arial" w:cs="Arial"/>
          <w:sz w:val="18"/>
          <w:szCs w:val="18"/>
          <w:lang w:val="en-US" w:eastAsia="zh-CN"/>
        </w:rPr>
        <w:t>= 5</w:t>
      </w:r>
      <w:r>
        <w:rPr>
          <w:rFonts w:eastAsia="SimSun"/>
          <w:lang w:eastAsia="en-US"/>
        </w:rPr>
        <w:t>.</w:t>
      </w:r>
    </w:p>
    <w:p w14:paraId="55DD7343" w14:textId="396D7393" w:rsidR="000A0FF4" w:rsidRDefault="000A0FF4" w:rsidP="00C60E58">
      <w:pPr>
        <w:pStyle w:val="B10"/>
        <w:rPr>
          <w:rFonts w:eastAsia="SimSun"/>
        </w:rPr>
      </w:pPr>
      <w:r>
        <w:rPr>
          <w:rFonts w:eastAsia="SimSun"/>
          <w:lang w:eastAsia="en-US"/>
        </w:rPr>
        <w:t>-</w:t>
      </w:r>
      <w:r>
        <w:rPr>
          <w:rFonts w:eastAsia="SimSun"/>
          <w:lang w:eastAsia="en-US"/>
        </w:rPr>
        <w:tab/>
        <w:t>T</w:t>
      </w:r>
      <w:r>
        <w:rPr>
          <w:rFonts w:eastAsia="SimSun"/>
          <w:vertAlign w:val="subscript"/>
          <w:lang w:eastAsia="en-US"/>
        </w:rPr>
        <w:t>Evaluate_out_CSI-RS</w:t>
      </w:r>
      <w:r>
        <w:rPr>
          <w:rFonts w:eastAsia="SimSun"/>
          <w:lang w:eastAsia="en-US"/>
        </w:rPr>
        <w:t xml:space="preserve"> and T</w:t>
      </w:r>
      <w:r>
        <w:rPr>
          <w:rFonts w:eastAsia="SimSun"/>
          <w:vertAlign w:val="subscript"/>
          <w:lang w:eastAsia="en-US"/>
        </w:rPr>
        <w:t>Evaluate_in_CSI-RS</w:t>
      </w:r>
      <w:r>
        <w:rPr>
          <w:rFonts w:eastAsia="SimSun"/>
          <w:lang w:eastAsia="en-US"/>
        </w:rPr>
        <w:t xml:space="preserve"> are defined in Table </w:t>
      </w:r>
      <w:r>
        <w:rPr>
          <w:rFonts w:eastAsia="SimSun" w:hint="eastAsia"/>
          <w:lang w:eastAsia="zh-CN"/>
        </w:rPr>
        <w:t>12.3.1</w:t>
      </w:r>
      <w:r>
        <w:rPr>
          <w:rFonts w:eastAsia="SimSun"/>
          <w:lang w:eastAsia="en-US"/>
        </w:rPr>
        <w:t xml:space="preserve">.3.2-2 for FR2 with scaling factor </w:t>
      </w:r>
      <w:r>
        <w:rPr>
          <w:rFonts w:ascii="Arial" w:eastAsia="SimSun" w:hAnsi="Arial" w:cs="Arial" w:hint="eastAsia"/>
          <w:sz w:val="18"/>
          <w:szCs w:val="18"/>
          <w:lang w:val="en-US" w:eastAsia="zh-CN"/>
        </w:rPr>
        <w:t>K</w:t>
      </w:r>
      <w:r>
        <w:rPr>
          <w:rFonts w:ascii="Arial" w:eastAsia="SimSun" w:hAnsi="Arial" w:cs="Arial" w:hint="eastAsia"/>
          <w:sz w:val="18"/>
          <w:szCs w:val="18"/>
          <w:vertAlign w:val="subscript"/>
          <w:lang w:val="en-US" w:eastAsia="zh-CN"/>
        </w:rPr>
        <w:t>2</w:t>
      </w:r>
      <w:r w:rsidR="004D6048">
        <w:rPr>
          <w:rFonts w:ascii="Arial" w:eastAsia="SimSun" w:hAnsi="Arial" w:cs="Arial"/>
          <w:sz w:val="18"/>
          <w:szCs w:val="18"/>
          <w:vertAlign w:val="subscript"/>
          <w:lang w:val="en-US" w:eastAsia="zh-CN"/>
        </w:rPr>
        <w:t xml:space="preserve"> </w:t>
      </w:r>
      <w:r w:rsidR="004D6048" w:rsidRPr="004D6048">
        <w:rPr>
          <w:rFonts w:ascii="Arial" w:eastAsia="SimSun" w:hAnsi="Arial" w:cs="Arial"/>
          <w:sz w:val="18"/>
          <w:szCs w:val="18"/>
          <w:lang w:val="en-US" w:eastAsia="zh-CN"/>
        </w:rPr>
        <w:t>= 3</w:t>
      </w:r>
      <w:r>
        <w:rPr>
          <w:rFonts w:eastAsia="SimSun"/>
          <w:lang w:eastAsia="en-US"/>
        </w:rPr>
        <w:t xml:space="preserve">. </w:t>
      </w:r>
    </w:p>
    <w:p w14:paraId="0D7BBB77" w14:textId="570FBACA" w:rsidR="000A0FF4" w:rsidRDefault="000A0FF4" w:rsidP="000A0FF4">
      <w:pPr>
        <w:rPr>
          <w:rFonts w:eastAsia="PMingLiU"/>
          <w:lang w:eastAsia="zh-TW"/>
        </w:rPr>
      </w:pPr>
      <w:r>
        <w:rPr>
          <w:rFonts w:eastAsia="SimSun"/>
        </w:rPr>
        <w:t>The requirements of T</w:t>
      </w:r>
      <w:r>
        <w:rPr>
          <w:rFonts w:eastAsia="SimSun"/>
          <w:vertAlign w:val="subscript"/>
        </w:rPr>
        <w:t>Evaluate_out_CSI-RS</w:t>
      </w:r>
      <w:r>
        <w:rPr>
          <w:rFonts w:eastAsia="SimSun"/>
        </w:rPr>
        <w:t xml:space="preserve"> and T</w:t>
      </w:r>
      <w:r>
        <w:rPr>
          <w:rFonts w:eastAsia="SimSun"/>
          <w:vertAlign w:val="subscript"/>
        </w:rPr>
        <w:t>Evaluate_in_CSI-RS</w:t>
      </w:r>
      <w:r>
        <w:rPr>
          <w:rFonts w:eastAsia="SimSun"/>
        </w:rPr>
        <w:t xml:space="preserve"> apply provided that the CSI-RS for RLM is not in a resource set configured with repetition ON. </w:t>
      </w:r>
      <w:r>
        <w:rPr>
          <w:rFonts w:eastAsia="PMingLiU"/>
          <w:lang w:eastAsia="zh-TW"/>
        </w:rPr>
        <w:t>The requirements do not apply when the CSI-RS resource in the active TCI state of CORESET is the same CSI-RS resource for RLM and the TCI state information of the CSI-RS resource is not given, wherein the TCI state information means QCL Type-D to SSB for L1-RSRP or CSI-RS with repetition ON.</w:t>
      </w:r>
    </w:p>
    <w:p w14:paraId="5ED37921" w14:textId="77777777" w:rsidR="000A0FF4" w:rsidRDefault="000A0FF4" w:rsidP="000A0FF4">
      <w:pPr>
        <w:rPr>
          <w:rFonts w:eastAsia="?? ??"/>
        </w:rPr>
      </w:pPr>
      <w:r>
        <w:rPr>
          <w:rFonts w:eastAsia="?? ??"/>
        </w:rPr>
        <w:t>For FR1,</w:t>
      </w:r>
    </w:p>
    <w:p w14:paraId="718306E8" w14:textId="013D1D0C" w:rsidR="000A0FF4" w:rsidRDefault="000A0FF4" w:rsidP="00C60E58">
      <w:pPr>
        <w:pStyle w:val="B10"/>
        <w:rPr>
          <w:rFonts w:eastAsia="SimSun"/>
        </w:rPr>
      </w:pPr>
      <w:r>
        <w:rPr>
          <w:rFonts w:eastAsia="SimSun"/>
        </w:rPr>
        <w:t>-</w:t>
      </w:r>
      <w:r>
        <w:rPr>
          <w:rFonts w:eastAsia="SimSun"/>
        </w:rPr>
        <w:tab/>
        <w:t xml:space="preserve">P=1 </w:t>
      </w:r>
      <w:r w:rsidR="00AE1831">
        <w:rPr>
          <w:rFonts w:eastAsia="SimSun"/>
        </w:rPr>
        <w:t>.</w:t>
      </w:r>
    </w:p>
    <w:p w14:paraId="681E1678" w14:textId="77777777" w:rsidR="00DF2CEB" w:rsidRDefault="00DF2CEB" w:rsidP="00DF2CEB">
      <w:pPr>
        <w:rPr>
          <w:rFonts w:eastAsia="?? ??"/>
        </w:rPr>
      </w:pPr>
      <w:r>
        <w:rPr>
          <w:rFonts w:eastAsia="?? ??"/>
        </w:rPr>
        <w:t>For FR2,</w:t>
      </w:r>
    </w:p>
    <w:p w14:paraId="6550FAB1" w14:textId="2FFE6D20" w:rsidR="00DF2CEB" w:rsidRDefault="00DF2CEB" w:rsidP="00DF2CEB">
      <w:pPr>
        <w:ind w:left="568" w:hanging="284"/>
        <w:rPr>
          <w:rFonts w:eastAsia="SimSun"/>
        </w:rPr>
      </w:pPr>
      <w:r>
        <w:rPr>
          <w:rFonts w:eastAsia="SimSun"/>
        </w:rPr>
        <w:lastRenderedPageBreak/>
        <w:t>-</w:t>
      </w:r>
      <w:r>
        <w:rPr>
          <w:rFonts w:eastAsia="SimSun"/>
        </w:rPr>
        <w:tab/>
        <w:t>P=1, when the RLM-RS resource is not overlapped with SMTC occasion.</w:t>
      </w:r>
    </w:p>
    <w:p w14:paraId="6EAE573A" w14:textId="4EAD2BA8" w:rsidR="00DF2CEB" w:rsidRDefault="00DF2CEB" w:rsidP="00DF2CEB">
      <w:pPr>
        <w:ind w:left="568" w:hanging="284"/>
        <w:rPr>
          <w:rFonts w:eastAsia="SimSun"/>
        </w:rPr>
      </w:pPr>
      <w:r>
        <w:rPr>
          <w:rFonts w:eastAsia="SimSun"/>
        </w:rPr>
        <w:t>-</w:t>
      </w:r>
      <w:r>
        <w:rPr>
          <w:rFonts w:eastAsia="SimSun"/>
        </w:rPr>
        <w:tab/>
      </w:r>
      <w:bookmarkStart w:id="8656" w:name="_Hlk16676753"/>
      <m:oMath>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1-</m:t>
            </m:r>
            <m:f>
              <m:fPr>
                <m:ctrlPr>
                  <w:rPr>
                    <w:rFonts w:ascii="Cambria Math" w:hAnsi="Cambria Math"/>
                    <w:i/>
                  </w:rPr>
                </m:ctrlPr>
              </m:fPr>
              <m:num>
                <m:sSub>
                  <m:sSubPr>
                    <m:ctrlPr>
                      <w:rPr>
                        <w:rFonts w:ascii="Cambria Math" w:hAnsi="Cambria Math"/>
                      </w:rPr>
                    </m:ctrlPr>
                  </m:sSubPr>
                  <m:e>
                    <m:r>
                      <m:rPr>
                        <m:sty m:val="p"/>
                      </m:rPr>
                      <w:rPr>
                        <w:rFonts w:ascii="Cambria Math" w:hAnsi="Cambria Math"/>
                      </w:rPr>
                      <m:t>T</m:t>
                    </m:r>
                  </m:e>
                  <m:sub>
                    <m:r>
                      <w:rPr>
                        <w:rFonts w:ascii="Cambria Math" w:hAnsi="Cambria Math"/>
                      </w:rPr>
                      <m:t>CSI-RS</m:t>
                    </m:r>
                  </m:sub>
                </m:sSub>
              </m:num>
              <m:den>
                <m:sSub>
                  <m:sSubPr>
                    <m:ctrlPr>
                      <w:rPr>
                        <w:rFonts w:ascii="Cambria Math" w:hAnsi="Cambria Math"/>
                        <w:i/>
                      </w:rPr>
                    </m:ctrlPr>
                  </m:sSubPr>
                  <m:e>
                    <m:r>
                      <w:rPr>
                        <w:rFonts w:ascii="Cambria Math" w:hAnsi="Cambria Math"/>
                      </w:rPr>
                      <m:t>T</m:t>
                    </m:r>
                  </m:e>
                  <m:sub>
                    <m:r>
                      <w:rPr>
                        <w:rFonts w:ascii="Cambria Math" w:hAnsi="Cambria Math"/>
                      </w:rPr>
                      <m:t>SMTCperiod</m:t>
                    </m:r>
                  </m:sub>
                </m:sSub>
              </m:den>
            </m:f>
          </m:den>
        </m:f>
      </m:oMath>
      <w:bookmarkEnd w:id="8656"/>
      <w:r>
        <w:rPr>
          <w:rFonts w:eastAsia="SimSun"/>
        </w:rPr>
        <w:t>, when the RLM-RS resource is partially overlapped with SMTC occasion (T</w:t>
      </w:r>
      <w:r>
        <w:rPr>
          <w:rFonts w:eastAsia="SimSun"/>
          <w:vertAlign w:val="subscript"/>
        </w:rPr>
        <w:t>CSI-RS</w:t>
      </w:r>
      <w:r>
        <w:rPr>
          <w:rFonts w:eastAsia="SimSun"/>
        </w:rPr>
        <w:t xml:space="preserve"> &lt; T</w:t>
      </w:r>
      <w:r>
        <w:rPr>
          <w:rFonts w:eastAsia="SimSun"/>
          <w:vertAlign w:val="subscript"/>
        </w:rPr>
        <w:t>SMTCperiod</w:t>
      </w:r>
      <w:r>
        <w:rPr>
          <w:rFonts w:eastAsia="SimSun"/>
        </w:rPr>
        <w:t>).</w:t>
      </w:r>
    </w:p>
    <w:p w14:paraId="315540BC" w14:textId="6470AD5C" w:rsidR="00DF2CEB" w:rsidRDefault="00DF2CEB" w:rsidP="00DF2CEB">
      <w:pPr>
        <w:ind w:left="568" w:hanging="284"/>
        <w:rPr>
          <w:rFonts w:eastAsia="SimSun"/>
        </w:rPr>
      </w:pPr>
      <w:r>
        <w:rPr>
          <w:rFonts w:eastAsia="SimSun"/>
        </w:rPr>
        <w:t>-</w:t>
      </w:r>
      <w:r>
        <w:rPr>
          <w:rFonts w:eastAsia="SimSun"/>
        </w:rPr>
        <w:tab/>
        <w:t>P = 3, when the RLM-RS resource is fully overlapped with SMTC occasion (</w:t>
      </w:r>
      <w:r>
        <w:rPr>
          <w:rFonts w:eastAsia="?? ??"/>
        </w:rPr>
        <w:t>T</w:t>
      </w:r>
      <w:r>
        <w:rPr>
          <w:rFonts w:eastAsia="?? ??"/>
          <w:vertAlign w:val="subscript"/>
        </w:rPr>
        <w:t>CSI-RS</w:t>
      </w:r>
      <w:r>
        <w:rPr>
          <w:rFonts w:eastAsia="SimSun"/>
        </w:rPr>
        <w:t xml:space="preserve"> = T</w:t>
      </w:r>
      <w:r>
        <w:rPr>
          <w:rFonts w:eastAsia="SimSun"/>
          <w:vertAlign w:val="subscript"/>
        </w:rPr>
        <w:t>SMTCperiod</w:t>
      </w:r>
      <w:r>
        <w:rPr>
          <w:rFonts w:eastAsia="SimSun"/>
        </w:rPr>
        <w:t>).</w:t>
      </w:r>
    </w:p>
    <w:p w14:paraId="5FAF703E" w14:textId="742298A8" w:rsidR="00DF2CEB" w:rsidRDefault="00DF2CEB" w:rsidP="00DF2CEB">
      <w:pPr>
        <w:pStyle w:val="B10"/>
        <w:ind w:left="0" w:firstLine="0"/>
      </w:pPr>
      <w:bookmarkStart w:id="8657" w:name="_Hlk521596941"/>
      <w:r>
        <w:t xml:space="preserve">If the IAB-MT </w:t>
      </w:r>
      <w:r w:rsidRPr="00056493">
        <w:t>is not capable of 4 SMTC configurations per frequency [15]</w:t>
      </w:r>
      <w:r>
        <w:t>, and is provided with higher layer signaling of smtcj, where 1≤</w:t>
      </w:r>
      <w:r w:rsidRPr="00061F8F">
        <w:rPr>
          <w:i/>
          <w:iCs/>
        </w:rPr>
        <w:t>j</w:t>
      </w:r>
      <w:r>
        <w:t xml:space="preserve">≤2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6871D316" w14:textId="77777777" w:rsidR="00DF2CEB" w:rsidRPr="004B6FD1" w:rsidRDefault="00DF2CEB" w:rsidP="00DF2CEB">
      <w:r>
        <w:t xml:space="preserve">If the IAB-MT </w:t>
      </w:r>
      <w:r w:rsidRPr="00056493">
        <w:t>is capable of 4 SMTC configurations per frequency [15]</w:t>
      </w:r>
      <w:r>
        <w:t>, and is provided with higher layer signaling of smtcj, where 1≤</w:t>
      </w:r>
      <w:r w:rsidRPr="00061F8F">
        <w:rPr>
          <w:i/>
          <w:iCs/>
        </w:rPr>
        <w:t>j</w:t>
      </w:r>
      <w:r>
        <w:t xml:space="preserve">≤4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71BBE7A7" w14:textId="77777777" w:rsidR="00DF2CEB" w:rsidRDefault="00DF2CEB" w:rsidP="00DF2CEB">
      <w:pPr>
        <w:keepLines/>
        <w:ind w:left="1135" w:hanging="851"/>
        <w:rPr>
          <w:rFonts w:eastAsia="SimSun"/>
        </w:rPr>
      </w:pPr>
      <w:r>
        <w:rPr>
          <w:rFonts w:eastAsia="SimSun"/>
        </w:rPr>
        <w:t>NOTE:</w:t>
      </w:r>
      <w:r>
        <w:rPr>
          <w:rFonts w:eastAsia="SimSun"/>
        </w:rPr>
        <w:tab/>
        <w:t>The overlap between CSI-RS for RLM and SMTC means that CSI-RS based RLM is within the SMTC window duration</w:t>
      </w:r>
      <w:bookmarkEnd w:id="8657"/>
      <w:r>
        <w:rPr>
          <w:rFonts w:eastAsia="SimSun"/>
        </w:rPr>
        <w:t>.</w:t>
      </w:r>
    </w:p>
    <w:p w14:paraId="123B0800" w14:textId="19647615" w:rsidR="000E323A" w:rsidRDefault="000E323A" w:rsidP="000E323A">
      <w:pPr>
        <w:keepLines/>
        <w:rPr>
          <w:rFonts w:eastAsia="?? ??"/>
        </w:rPr>
      </w:pPr>
      <w:r>
        <w:rPr>
          <w:rFonts w:eastAsia="SimSun"/>
        </w:rPr>
        <w:t>Longer evaluation period would be expected if the combination of RLM-RS resource and SMTC occasionconfigurations does not meet previous conditions.</w:t>
      </w:r>
    </w:p>
    <w:p w14:paraId="1DB7C01A" w14:textId="77777777" w:rsidR="000A0FF4" w:rsidRDefault="000A0FF4" w:rsidP="000A0FF4">
      <w:pPr>
        <w:rPr>
          <w:rFonts w:eastAsia="?? ??"/>
        </w:rPr>
      </w:pPr>
      <w:r>
        <w:rPr>
          <w:rFonts w:eastAsia="?? ??"/>
        </w:rPr>
        <w:t>The val</w:t>
      </w:r>
      <w:r>
        <w:rPr>
          <w:rFonts w:eastAsia="SimSun" w:hint="eastAsia"/>
          <w:lang w:val="en-US" w:eastAsia="zh-CN"/>
        </w:rPr>
        <w:t>ue</w:t>
      </w:r>
      <w:r>
        <w:rPr>
          <w:rFonts w:eastAsia="?? ??"/>
        </w:rPr>
        <w:t xml:space="preserve">s of </w:t>
      </w:r>
      <w:r>
        <w:rPr>
          <w:rFonts w:eastAsia="SimSun"/>
          <w:lang w:eastAsia="zh-CN"/>
        </w:rPr>
        <w:t>M</w:t>
      </w:r>
      <w:r>
        <w:rPr>
          <w:rFonts w:eastAsia="SimSun"/>
          <w:vertAlign w:val="subscript"/>
          <w:lang w:eastAsia="zh-CN"/>
        </w:rPr>
        <w:t>out</w:t>
      </w:r>
      <w:r>
        <w:rPr>
          <w:rFonts w:eastAsia="?? ??"/>
        </w:rPr>
        <w:t xml:space="preserve"> and </w:t>
      </w:r>
      <w:r>
        <w:rPr>
          <w:rFonts w:eastAsia="SimSun"/>
          <w:lang w:eastAsia="zh-CN"/>
        </w:rPr>
        <w:t>M</w:t>
      </w:r>
      <w:r>
        <w:rPr>
          <w:rFonts w:eastAsia="SimSun"/>
          <w:vertAlign w:val="subscript"/>
          <w:lang w:eastAsia="zh-CN"/>
        </w:rPr>
        <w:t>in</w:t>
      </w:r>
      <w:r>
        <w:rPr>
          <w:rFonts w:eastAsia="?? ??"/>
        </w:rPr>
        <w:t xml:space="preserve"> used in Table </w:t>
      </w:r>
      <w:r>
        <w:rPr>
          <w:rFonts w:eastAsia="SimSun" w:hint="eastAsia"/>
          <w:lang w:eastAsia="zh-CN"/>
        </w:rPr>
        <w:t>12.3.1</w:t>
      </w:r>
      <w:r>
        <w:rPr>
          <w:rFonts w:eastAsia="?? ??"/>
        </w:rPr>
        <w:t xml:space="preserve">.3.2-1 and Table </w:t>
      </w:r>
      <w:r>
        <w:rPr>
          <w:rFonts w:eastAsia="SimSun" w:hint="eastAsia"/>
          <w:lang w:eastAsia="zh-CN"/>
        </w:rPr>
        <w:t>12.3.1</w:t>
      </w:r>
      <w:r>
        <w:rPr>
          <w:rFonts w:eastAsia="?? ??"/>
        </w:rPr>
        <w:t>.3.2-2 are defined as:</w:t>
      </w:r>
    </w:p>
    <w:p w14:paraId="2D516151" w14:textId="39FE4FA7" w:rsidR="000A0FF4" w:rsidRDefault="000A0FF4" w:rsidP="00C60E58">
      <w:pPr>
        <w:pStyle w:val="B10"/>
        <w:rPr>
          <w:rFonts w:eastAsia="SimSun"/>
          <w:lang w:eastAsia="zh-CN"/>
        </w:rPr>
      </w:pPr>
      <w:r>
        <w:rPr>
          <w:rFonts w:eastAsia="SimSun"/>
        </w:rPr>
        <w:t>-</w:t>
      </w:r>
      <w:r>
        <w:rPr>
          <w:rFonts w:eastAsia="SimSun"/>
        </w:rPr>
        <w:tab/>
      </w:r>
      <w:r>
        <w:rPr>
          <w:rFonts w:eastAsia="SimSun"/>
          <w:lang w:eastAsia="zh-CN"/>
        </w:rPr>
        <w:t>M</w:t>
      </w:r>
      <w:r>
        <w:rPr>
          <w:rFonts w:eastAsia="SimSun"/>
          <w:vertAlign w:val="subscript"/>
          <w:lang w:eastAsia="zh-CN"/>
        </w:rPr>
        <w:t>out</w:t>
      </w:r>
      <w:r>
        <w:rPr>
          <w:rFonts w:eastAsia="SimSun"/>
          <w:lang w:eastAsia="zh-CN"/>
        </w:rPr>
        <w:t xml:space="preserve"> = 20 and M</w:t>
      </w:r>
      <w:r>
        <w:rPr>
          <w:rFonts w:eastAsia="SimSun"/>
          <w:vertAlign w:val="subscript"/>
          <w:lang w:eastAsia="zh-CN"/>
        </w:rPr>
        <w:t>in</w:t>
      </w:r>
      <w:r>
        <w:rPr>
          <w:rFonts w:eastAsia="SimSun"/>
          <w:lang w:eastAsia="zh-CN"/>
        </w:rPr>
        <w:t xml:space="preserve"> = 10, if the </w:t>
      </w:r>
      <w:r>
        <w:rPr>
          <w:rFonts w:eastAsia="?? ??"/>
        </w:rPr>
        <w:t xml:space="preserve">CSI-RS </w:t>
      </w:r>
      <w:r>
        <w:rPr>
          <w:rFonts w:eastAsia="SimSun" w:cs="Arial"/>
        </w:rPr>
        <w:t>resource</w:t>
      </w:r>
      <w:r>
        <w:rPr>
          <w:rFonts w:eastAsia="SimSun"/>
          <w:lang w:eastAsia="zh-CN"/>
        </w:rPr>
        <w:t xml:space="preserve"> configured for RLM is transmitted with higher layer CSI-RS parameter </w:t>
      </w:r>
      <w:r>
        <w:rPr>
          <w:rFonts w:eastAsia="SimSun"/>
          <w:i/>
          <w:lang w:eastAsia="zh-CN"/>
        </w:rPr>
        <w:t>density</w:t>
      </w:r>
      <w:r>
        <w:rPr>
          <w:rFonts w:eastAsia="SimSun"/>
          <w:lang w:eastAsia="zh-CN"/>
        </w:rPr>
        <w:t xml:space="preserve"> [</w:t>
      </w:r>
      <w:r w:rsidR="00540668">
        <w:rPr>
          <w:rFonts w:eastAsia="SimSun"/>
          <w:lang w:val="en-US" w:eastAsia="zh-CN"/>
        </w:rPr>
        <w:t>8</w:t>
      </w:r>
      <w:r>
        <w:rPr>
          <w:rFonts w:eastAsia="SimSun"/>
          <w:lang w:eastAsia="zh-CN"/>
        </w:rPr>
        <w:t xml:space="preserve">, </w:t>
      </w:r>
      <w:r>
        <w:rPr>
          <w:rFonts w:eastAsia="SimSun"/>
          <w:lang w:val="en-US"/>
        </w:rPr>
        <w:t>clause</w:t>
      </w:r>
      <w:r>
        <w:rPr>
          <w:rFonts w:eastAsia="SimSun"/>
          <w:lang w:eastAsia="zh-CN"/>
        </w:rPr>
        <w:t xml:space="preserve"> 7.4.1] set to 3 and over the bandwidth </w:t>
      </w:r>
      <w:r>
        <w:rPr>
          <w:rFonts w:ascii="SimSun" w:eastAsia="SimSun" w:hAnsi="SimSun" w:hint="eastAsia"/>
          <w:lang w:eastAsia="zh-CN"/>
        </w:rPr>
        <w:t>≥</w:t>
      </w:r>
      <w:r>
        <w:rPr>
          <w:rFonts w:ascii="SimSun" w:eastAsia="SimSun" w:hAnsi="SimSun"/>
          <w:lang w:eastAsia="zh-CN"/>
        </w:rPr>
        <w:t xml:space="preserve"> </w:t>
      </w:r>
      <w:r>
        <w:rPr>
          <w:rFonts w:eastAsia="SimSun"/>
          <w:lang w:eastAsia="zh-CN"/>
        </w:rPr>
        <w:t>24 PRBs.</w:t>
      </w:r>
    </w:p>
    <w:p w14:paraId="260F18EC" w14:textId="77777777" w:rsidR="000A0FF4" w:rsidRDefault="000A0FF4" w:rsidP="00F72FF2">
      <w:pPr>
        <w:pStyle w:val="TH"/>
        <w:rPr>
          <w:rFonts w:eastAsia="SimSun"/>
        </w:rPr>
      </w:pPr>
      <w:r>
        <w:rPr>
          <w:rFonts w:eastAsia="SimSun"/>
        </w:rPr>
        <w:t xml:space="preserve">Table </w:t>
      </w:r>
      <w:r>
        <w:rPr>
          <w:rFonts w:eastAsia="SimSun" w:hint="eastAsia"/>
          <w:lang w:eastAsia="zh-CN"/>
        </w:rPr>
        <w:t>12.3.1</w:t>
      </w:r>
      <w:r>
        <w:rPr>
          <w:rFonts w:eastAsia="SimSun"/>
        </w:rPr>
        <w:t>.3.2-1: Evaluation period T</w:t>
      </w:r>
      <w:r>
        <w:rPr>
          <w:rFonts w:eastAsia="SimSun"/>
          <w:vertAlign w:val="subscript"/>
        </w:rPr>
        <w:t>Evaluate_out_CSI-RS</w:t>
      </w:r>
      <w:r>
        <w:rPr>
          <w:rFonts w:eastAsia="SimSun"/>
        </w:rPr>
        <w:t xml:space="preserve"> and T</w:t>
      </w:r>
      <w:r>
        <w:rPr>
          <w:rFonts w:eastAsia="SimSun"/>
          <w:vertAlign w:val="subscript"/>
        </w:rPr>
        <w:t>Evaluate_in_CSI-RS</w:t>
      </w:r>
      <w:r>
        <w:rPr>
          <w:rFonts w:eastAsia="SimSun"/>
        </w:rPr>
        <w:t xml:space="preserve"> for FR1</w:t>
      </w:r>
    </w:p>
    <w:tbl>
      <w:tblPr>
        <w:tblW w:w="92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5"/>
        <w:gridCol w:w="3260"/>
        <w:gridCol w:w="3649"/>
      </w:tblGrid>
      <w:tr w:rsidR="000A0FF4" w14:paraId="181DDD03" w14:textId="77777777" w:rsidTr="00A4061E">
        <w:trPr>
          <w:jc w:val="center"/>
        </w:trPr>
        <w:tc>
          <w:tcPr>
            <w:tcW w:w="2375" w:type="dxa"/>
            <w:shd w:val="clear" w:color="auto" w:fill="auto"/>
          </w:tcPr>
          <w:p w14:paraId="2C3BEDED" w14:textId="77777777" w:rsidR="000A0FF4" w:rsidRDefault="000A0FF4" w:rsidP="00F72FF2">
            <w:pPr>
              <w:pStyle w:val="TAH"/>
              <w:rPr>
                <w:rFonts w:eastAsia="SimSun"/>
              </w:rPr>
            </w:pPr>
            <w:r>
              <w:rPr>
                <w:rFonts w:eastAsia="SimSun"/>
              </w:rPr>
              <w:t>Configuration</w:t>
            </w:r>
          </w:p>
        </w:tc>
        <w:tc>
          <w:tcPr>
            <w:tcW w:w="3260" w:type="dxa"/>
            <w:shd w:val="clear" w:color="auto" w:fill="auto"/>
          </w:tcPr>
          <w:p w14:paraId="12236EEC" w14:textId="77777777" w:rsidR="000A0FF4" w:rsidRDefault="000A0FF4" w:rsidP="00F72FF2">
            <w:pPr>
              <w:pStyle w:val="TAH"/>
              <w:rPr>
                <w:rFonts w:eastAsia="SimSun"/>
              </w:rPr>
            </w:pPr>
            <w:r>
              <w:rPr>
                <w:rFonts w:eastAsia="SimSun"/>
              </w:rPr>
              <w:t>T</w:t>
            </w:r>
            <w:r>
              <w:rPr>
                <w:rFonts w:eastAsia="SimSun"/>
                <w:vertAlign w:val="subscript"/>
              </w:rPr>
              <w:t>Evaluate_out_CSI-RS</w:t>
            </w:r>
            <w:r>
              <w:rPr>
                <w:rFonts w:eastAsia="SimSun"/>
              </w:rPr>
              <w:t xml:space="preserve"> (ms) </w:t>
            </w:r>
          </w:p>
        </w:tc>
        <w:tc>
          <w:tcPr>
            <w:tcW w:w="3649" w:type="dxa"/>
            <w:shd w:val="clear" w:color="auto" w:fill="auto"/>
          </w:tcPr>
          <w:p w14:paraId="746314B2" w14:textId="77777777" w:rsidR="000A0FF4" w:rsidRDefault="000A0FF4" w:rsidP="00F72FF2">
            <w:pPr>
              <w:pStyle w:val="TAH"/>
              <w:rPr>
                <w:rFonts w:eastAsia="SimSun"/>
              </w:rPr>
            </w:pPr>
            <w:r>
              <w:rPr>
                <w:rFonts w:eastAsia="SimSun"/>
              </w:rPr>
              <w:t>T</w:t>
            </w:r>
            <w:r>
              <w:rPr>
                <w:rFonts w:eastAsia="SimSun"/>
                <w:vertAlign w:val="subscript"/>
              </w:rPr>
              <w:t>Evaluate_in_CSI-RS</w:t>
            </w:r>
            <w:r>
              <w:rPr>
                <w:rFonts w:eastAsia="SimSun"/>
              </w:rPr>
              <w:t xml:space="preserve"> (ms) </w:t>
            </w:r>
          </w:p>
        </w:tc>
      </w:tr>
      <w:tr w:rsidR="000A0FF4" w:rsidRPr="0063534F" w14:paraId="6188F58F" w14:textId="77777777" w:rsidTr="00A4061E">
        <w:trPr>
          <w:jc w:val="center"/>
        </w:trPr>
        <w:tc>
          <w:tcPr>
            <w:tcW w:w="2375" w:type="dxa"/>
            <w:shd w:val="clear" w:color="auto" w:fill="auto"/>
          </w:tcPr>
          <w:p w14:paraId="4CB488BE" w14:textId="77777777" w:rsidR="000A0FF4" w:rsidRDefault="000A0FF4" w:rsidP="00F72FF2">
            <w:pPr>
              <w:pStyle w:val="TAC"/>
              <w:rPr>
                <w:rFonts w:eastAsia="SimSun"/>
              </w:rPr>
            </w:pPr>
            <w:r>
              <w:rPr>
                <w:rFonts w:eastAsia="SimSun"/>
                <w:lang w:eastAsia="en-US"/>
              </w:rPr>
              <w:t>no DRX</w:t>
            </w:r>
          </w:p>
        </w:tc>
        <w:tc>
          <w:tcPr>
            <w:tcW w:w="3260" w:type="dxa"/>
            <w:shd w:val="clear" w:color="auto" w:fill="auto"/>
          </w:tcPr>
          <w:p w14:paraId="44EEB3E5" w14:textId="77777777" w:rsidR="000A0FF4" w:rsidRDefault="000A0FF4" w:rsidP="00F72FF2">
            <w:pPr>
              <w:pStyle w:val="TAC"/>
              <w:rPr>
                <w:rFonts w:eastAsia="SimSun"/>
              </w:rPr>
            </w:pPr>
            <w:r>
              <w:rPr>
                <w:rFonts w:eastAsia="SimSun" w:cs="v4.2.0"/>
                <w:lang w:eastAsia="en-US"/>
              </w:rPr>
              <w:t>Max(200</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1</w:t>
            </w:r>
            <w:r>
              <w:rPr>
                <w:rFonts w:eastAsia="SimSun" w:cs="v4.2.0"/>
                <w:lang w:eastAsia="en-US"/>
              </w:rPr>
              <w:t>, Ceil(M</w:t>
            </w:r>
            <w:r>
              <w:rPr>
                <w:rFonts w:eastAsia="SimSun" w:cs="v4.2.0"/>
                <w:vertAlign w:val="subscript"/>
                <w:lang w:eastAsia="en-US"/>
              </w:rPr>
              <w:t>out</w:t>
            </w:r>
            <w:r>
              <w:rPr>
                <w:rFonts w:eastAsia="SimSun" w:cs="Arial"/>
                <w:lang w:eastAsia="en-US"/>
              </w:rPr>
              <w:t>×P</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1</w:t>
            </w:r>
            <w:r>
              <w:rPr>
                <w:rFonts w:eastAsia="SimSun" w:cs="v4.2.0"/>
                <w:lang w:eastAsia="en-US"/>
              </w:rPr>
              <w:t>)</w:t>
            </w:r>
            <w:r>
              <w:rPr>
                <w:rFonts w:eastAsia="SimSun" w:cs="Arial"/>
                <w:lang w:eastAsia="en-US"/>
              </w:rPr>
              <w:t>×</w:t>
            </w:r>
            <w:r>
              <w:rPr>
                <w:rFonts w:eastAsia="SimSun" w:cs="v4.2.0"/>
                <w:lang w:eastAsia="en-US"/>
              </w:rPr>
              <w:t>T</w:t>
            </w:r>
            <w:r>
              <w:rPr>
                <w:rFonts w:eastAsia="SimSun" w:cs="v4.2.0"/>
                <w:vertAlign w:val="subscript"/>
                <w:lang w:eastAsia="en-US"/>
              </w:rPr>
              <w:t>CSI-RS</w:t>
            </w:r>
            <w:r>
              <w:rPr>
                <w:rFonts w:eastAsia="SimSun" w:cs="v4.2.0"/>
                <w:lang w:eastAsia="en-US"/>
              </w:rPr>
              <w:t>)</w:t>
            </w:r>
          </w:p>
        </w:tc>
        <w:tc>
          <w:tcPr>
            <w:tcW w:w="3649" w:type="dxa"/>
            <w:shd w:val="clear" w:color="auto" w:fill="auto"/>
          </w:tcPr>
          <w:p w14:paraId="14782DFD" w14:textId="77777777" w:rsidR="000A0FF4" w:rsidRDefault="000A0FF4" w:rsidP="00F72FF2">
            <w:pPr>
              <w:pStyle w:val="TAC"/>
              <w:rPr>
                <w:rFonts w:eastAsia="SimSun"/>
                <w:lang w:val="sv-SE"/>
              </w:rPr>
            </w:pPr>
            <w:r>
              <w:rPr>
                <w:rFonts w:eastAsia="SimSun"/>
                <w:lang w:val="sv-SE" w:eastAsia="en-US"/>
              </w:rPr>
              <w:t>Max(100</w:t>
            </w:r>
            <w:r w:rsidRPr="00AC7434">
              <w:rPr>
                <w:rFonts w:eastAsia="SimSun"/>
                <w:lang w:val="sv-FI" w:eastAsia="en-US"/>
              </w:rPr>
              <w:t xml:space="preserve"> </w:t>
            </w:r>
            <w:r>
              <w:rPr>
                <w:rFonts w:eastAsia="SimSun" w:cs="Arial"/>
                <w:szCs w:val="18"/>
                <w:lang w:eastAsia="en-US"/>
              </w:rPr>
              <w:sym w:font="Symbol" w:char="F0B4"/>
            </w:r>
            <w:r w:rsidRPr="00AC7434">
              <w:rPr>
                <w:rFonts w:eastAsia="SimSun" w:cs="Arial"/>
                <w:szCs w:val="18"/>
                <w:lang w:val="sv-FI" w:eastAsia="en-US"/>
              </w:rPr>
              <w:t xml:space="preserve"> </w:t>
            </w:r>
            <w:r w:rsidRPr="00AC7434">
              <w:rPr>
                <w:rFonts w:eastAsia="SimSun" w:cs="Arial" w:hint="eastAsia"/>
                <w:szCs w:val="18"/>
                <w:lang w:val="sv-FI" w:eastAsia="zh-CN"/>
              </w:rPr>
              <w:t>K</w:t>
            </w:r>
            <w:r w:rsidRPr="00AC7434">
              <w:rPr>
                <w:rFonts w:eastAsia="SimSun" w:cs="Arial" w:hint="eastAsia"/>
                <w:szCs w:val="18"/>
                <w:vertAlign w:val="subscript"/>
                <w:lang w:val="sv-FI" w:eastAsia="zh-CN"/>
              </w:rPr>
              <w:t>1</w:t>
            </w:r>
            <w:r>
              <w:rPr>
                <w:rFonts w:eastAsia="SimSun"/>
                <w:lang w:val="sv-SE" w:eastAsia="en-US"/>
              </w:rPr>
              <w:t xml:space="preserve">, </w:t>
            </w:r>
            <w:r>
              <w:rPr>
                <w:rFonts w:eastAsia="SimSun" w:cs="v4.2.0"/>
                <w:lang w:val="sv-SE" w:eastAsia="en-US"/>
              </w:rPr>
              <w:t>Ceil(M</w:t>
            </w:r>
            <w:r>
              <w:rPr>
                <w:rFonts w:eastAsia="SimSun" w:cs="v4.2.0"/>
                <w:vertAlign w:val="subscript"/>
                <w:lang w:val="sv-SE" w:eastAsia="en-US"/>
              </w:rPr>
              <w:t>in</w:t>
            </w:r>
            <w:r>
              <w:rPr>
                <w:rFonts w:eastAsia="SimSun" w:cs="Arial"/>
                <w:lang w:val="sv-SE" w:eastAsia="en-US"/>
              </w:rPr>
              <w:t>×P</w:t>
            </w:r>
            <w:r w:rsidRPr="00AC7434">
              <w:rPr>
                <w:rFonts w:eastAsia="SimSun"/>
                <w:lang w:val="sv-FI" w:eastAsia="en-US"/>
              </w:rPr>
              <w:t xml:space="preserve"> </w:t>
            </w:r>
            <w:r>
              <w:rPr>
                <w:rFonts w:eastAsia="SimSun" w:cs="Arial"/>
                <w:szCs w:val="18"/>
                <w:lang w:eastAsia="en-US"/>
              </w:rPr>
              <w:sym w:font="Symbol" w:char="F0B4"/>
            </w:r>
            <w:r w:rsidRPr="00AC7434">
              <w:rPr>
                <w:rFonts w:eastAsia="SimSun" w:cs="Arial"/>
                <w:szCs w:val="18"/>
                <w:lang w:val="sv-FI" w:eastAsia="en-US"/>
              </w:rPr>
              <w:t xml:space="preserve"> </w:t>
            </w:r>
            <w:r w:rsidRPr="00AC7434">
              <w:rPr>
                <w:rFonts w:eastAsia="SimSun" w:cs="Arial" w:hint="eastAsia"/>
                <w:szCs w:val="18"/>
                <w:lang w:val="sv-FI" w:eastAsia="zh-CN"/>
              </w:rPr>
              <w:t>K</w:t>
            </w:r>
            <w:r w:rsidRPr="00AC7434">
              <w:rPr>
                <w:rFonts w:eastAsia="SimSun" w:cs="Arial" w:hint="eastAsia"/>
                <w:szCs w:val="18"/>
                <w:vertAlign w:val="subscript"/>
                <w:lang w:val="sv-FI" w:eastAsia="zh-CN"/>
              </w:rPr>
              <w:t>1</w:t>
            </w:r>
            <w:r>
              <w:rPr>
                <w:rFonts w:eastAsia="SimSun" w:cs="v4.2.0"/>
                <w:lang w:val="sv-SE" w:eastAsia="en-US"/>
              </w:rPr>
              <w:t>)</w:t>
            </w:r>
            <w:r>
              <w:rPr>
                <w:rFonts w:eastAsia="SimSun" w:cs="Arial"/>
                <w:lang w:val="sv-SE" w:eastAsia="en-US"/>
              </w:rPr>
              <w:t xml:space="preserve"> ×</w:t>
            </w:r>
            <w:r>
              <w:rPr>
                <w:rFonts w:eastAsia="SimSun" w:cs="v4.2.0"/>
                <w:lang w:val="sv-SE" w:eastAsia="en-US"/>
              </w:rPr>
              <w:t xml:space="preserve"> T</w:t>
            </w:r>
            <w:r>
              <w:rPr>
                <w:rFonts w:eastAsia="SimSun" w:cs="v4.2.0"/>
                <w:vertAlign w:val="subscript"/>
                <w:lang w:val="sv-SE" w:eastAsia="en-US"/>
              </w:rPr>
              <w:t>CSI-RS</w:t>
            </w:r>
            <w:r>
              <w:rPr>
                <w:rFonts w:eastAsia="SimSun"/>
                <w:lang w:val="sv-SE" w:eastAsia="en-US"/>
              </w:rPr>
              <w:t>)</w:t>
            </w:r>
          </w:p>
        </w:tc>
      </w:tr>
      <w:tr w:rsidR="000A0FF4" w14:paraId="0E1B8ACF" w14:textId="77777777" w:rsidTr="00A4061E">
        <w:trPr>
          <w:jc w:val="center"/>
        </w:trPr>
        <w:tc>
          <w:tcPr>
            <w:tcW w:w="9284" w:type="dxa"/>
            <w:gridSpan w:val="3"/>
            <w:shd w:val="clear" w:color="auto" w:fill="auto"/>
          </w:tcPr>
          <w:p w14:paraId="5E41670F" w14:textId="77777777" w:rsidR="000A0FF4" w:rsidRDefault="000A0FF4" w:rsidP="00F72FF2">
            <w:pPr>
              <w:pStyle w:val="TAN"/>
              <w:rPr>
                <w:rFonts w:eastAsia="SimSun"/>
              </w:rPr>
            </w:pPr>
            <w:r>
              <w:rPr>
                <w:rFonts w:eastAsia="SimSun"/>
              </w:rPr>
              <w:t>NOTE:</w:t>
            </w:r>
            <w:r>
              <w:rPr>
                <w:rFonts w:eastAsia="SimSun"/>
                <w:sz w:val="28"/>
              </w:rPr>
              <w:tab/>
            </w:r>
            <w:r>
              <w:rPr>
                <w:rFonts w:eastAsia="SimSun" w:cs="v4.2.0"/>
              </w:rPr>
              <w:t>T</w:t>
            </w:r>
            <w:r>
              <w:rPr>
                <w:rFonts w:eastAsia="SimSun" w:cs="v4.2.0"/>
                <w:vertAlign w:val="subscript"/>
              </w:rPr>
              <w:t>CSI-RS</w:t>
            </w:r>
            <w:r>
              <w:rPr>
                <w:rFonts w:eastAsia="SimSun"/>
              </w:rPr>
              <w:t xml:space="preserve"> is the periodicity of the CSI-RS resource configured for RLM. The requirements in this table apply for </w:t>
            </w:r>
            <w:r>
              <w:rPr>
                <w:rFonts w:eastAsia="SimSun" w:cs="v4.2.0"/>
              </w:rPr>
              <w:t>T</w:t>
            </w:r>
            <w:r>
              <w:rPr>
                <w:rFonts w:eastAsia="SimSun" w:cs="v4.2.0"/>
                <w:vertAlign w:val="subscript"/>
              </w:rPr>
              <w:t>CSI-RS</w:t>
            </w:r>
            <w:r>
              <w:rPr>
                <w:rFonts w:eastAsia="SimSun"/>
              </w:rPr>
              <w:t xml:space="preserve"> equal to 5 ms, 10ms, 20 ms or 40 ms.</w:t>
            </w:r>
          </w:p>
        </w:tc>
      </w:tr>
    </w:tbl>
    <w:p w14:paraId="51A8F14D" w14:textId="77777777" w:rsidR="000A0FF4" w:rsidRDefault="000A0FF4" w:rsidP="000A0FF4">
      <w:pPr>
        <w:rPr>
          <w:rFonts w:eastAsia="?? ??"/>
        </w:rPr>
      </w:pPr>
    </w:p>
    <w:p w14:paraId="593E0976" w14:textId="77777777" w:rsidR="000A0FF4" w:rsidRDefault="000A0FF4" w:rsidP="00F72FF2">
      <w:pPr>
        <w:pStyle w:val="TH"/>
        <w:rPr>
          <w:rFonts w:eastAsia="SimSun"/>
        </w:rPr>
      </w:pPr>
      <w:r>
        <w:rPr>
          <w:rFonts w:eastAsia="SimSun"/>
        </w:rPr>
        <w:t xml:space="preserve">Table </w:t>
      </w:r>
      <w:r>
        <w:rPr>
          <w:rFonts w:eastAsia="SimSun" w:hint="eastAsia"/>
          <w:lang w:eastAsia="zh-CN"/>
        </w:rPr>
        <w:t>12.3.1</w:t>
      </w:r>
      <w:r>
        <w:rPr>
          <w:rFonts w:eastAsia="SimSun"/>
        </w:rPr>
        <w:t>.3.2-2: Evaluation period T</w:t>
      </w:r>
      <w:r>
        <w:rPr>
          <w:rFonts w:eastAsia="SimSun"/>
          <w:vertAlign w:val="subscript"/>
        </w:rPr>
        <w:t>Evaluate_out_CSI-RS</w:t>
      </w:r>
      <w:r>
        <w:rPr>
          <w:rFonts w:eastAsia="SimSun"/>
        </w:rPr>
        <w:t xml:space="preserve"> and T</w:t>
      </w:r>
      <w:r>
        <w:rPr>
          <w:rFonts w:eastAsia="SimSun"/>
          <w:vertAlign w:val="subscript"/>
        </w:rPr>
        <w:t>Evaluate_in_CSI-RS</w:t>
      </w:r>
      <w:r>
        <w:rPr>
          <w:rFonts w:eastAsia="SimSun"/>
        </w:rPr>
        <w:t xml:space="preserve"> for FR2</w:t>
      </w:r>
    </w:p>
    <w:tbl>
      <w:tblPr>
        <w:tblW w:w="9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08"/>
        <w:gridCol w:w="3060"/>
        <w:gridCol w:w="2961"/>
      </w:tblGrid>
      <w:tr w:rsidR="000A0FF4" w14:paraId="6E7E60E8" w14:textId="77777777" w:rsidTr="00A4061E">
        <w:trPr>
          <w:jc w:val="center"/>
        </w:trPr>
        <w:tc>
          <w:tcPr>
            <w:tcW w:w="3608" w:type="dxa"/>
            <w:shd w:val="clear" w:color="auto" w:fill="auto"/>
          </w:tcPr>
          <w:p w14:paraId="3BFDE2B0" w14:textId="77777777" w:rsidR="000A0FF4" w:rsidRDefault="000A0FF4" w:rsidP="00F72FF2">
            <w:pPr>
              <w:pStyle w:val="TAH"/>
              <w:rPr>
                <w:rFonts w:eastAsia="SimSun"/>
              </w:rPr>
            </w:pPr>
            <w:r>
              <w:rPr>
                <w:rFonts w:eastAsia="SimSun"/>
              </w:rPr>
              <w:t>Configuration</w:t>
            </w:r>
          </w:p>
        </w:tc>
        <w:tc>
          <w:tcPr>
            <w:tcW w:w="3060" w:type="dxa"/>
            <w:shd w:val="clear" w:color="auto" w:fill="auto"/>
          </w:tcPr>
          <w:p w14:paraId="15EE4638" w14:textId="77777777" w:rsidR="000A0FF4" w:rsidRDefault="000A0FF4" w:rsidP="00F72FF2">
            <w:pPr>
              <w:pStyle w:val="TAH"/>
              <w:rPr>
                <w:rFonts w:eastAsia="SimSun"/>
              </w:rPr>
            </w:pPr>
            <w:r>
              <w:rPr>
                <w:rFonts w:eastAsia="SimSun"/>
              </w:rPr>
              <w:t>T</w:t>
            </w:r>
            <w:r>
              <w:rPr>
                <w:rFonts w:eastAsia="SimSun"/>
                <w:vertAlign w:val="subscript"/>
              </w:rPr>
              <w:t>Evaluate_out_CSI-RS</w:t>
            </w:r>
            <w:r>
              <w:rPr>
                <w:rFonts w:eastAsia="SimSun"/>
              </w:rPr>
              <w:t xml:space="preserve"> (ms) </w:t>
            </w:r>
          </w:p>
        </w:tc>
        <w:tc>
          <w:tcPr>
            <w:tcW w:w="2961" w:type="dxa"/>
            <w:shd w:val="clear" w:color="auto" w:fill="auto"/>
          </w:tcPr>
          <w:p w14:paraId="7108825F" w14:textId="77777777" w:rsidR="000A0FF4" w:rsidRDefault="000A0FF4" w:rsidP="00F72FF2">
            <w:pPr>
              <w:pStyle w:val="TAH"/>
              <w:rPr>
                <w:rFonts w:eastAsia="SimSun"/>
              </w:rPr>
            </w:pPr>
            <w:r>
              <w:rPr>
                <w:rFonts w:eastAsia="SimSun"/>
              </w:rPr>
              <w:t>T</w:t>
            </w:r>
            <w:r>
              <w:rPr>
                <w:rFonts w:eastAsia="SimSun"/>
                <w:vertAlign w:val="subscript"/>
              </w:rPr>
              <w:t>Evaluate_in_CSI-RS</w:t>
            </w:r>
            <w:r>
              <w:rPr>
                <w:rFonts w:eastAsia="SimSun"/>
              </w:rPr>
              <w:t xml:space="preserve"> (ms) </w:t>
            </w:r>
          </w:p>
        </w:tc>
      </w:tr>
      <w:tr w:rsidR="000A0FF4" w:rsidRPr="0063534F" w14:paraId="77288013" w14:textId="77777777" w:rsidTr="00A4061E">
        <w:trPr>
          <w:jc w:val="center"/>
        </w:trPr>
        <w:tc>
          <w:tcPr>
            <w:tcW w:w="3608" w:type="dxa"/>
            <w:shd w:val="clear" w:color="auto" w:fill="auto"/>
          </w:tcPr>
          <w:p w14:paraId="0158A1CA" w14:textId="77777777" w:rsidR="000A0FF4" w:rsidRDefault="000A0FF4" w:rsidP="00F72FF2">
            <w:pPr>
              <w:pStyle w:val="TAC"/>
              <w:rPr>
                <w:rFonts w:eastAsia="SimSun"/>
              </w:rPr>
            </w:pPr>
            <w:r>
              <w:rPr>
                <w:rFonts w:eastAsia="SimSun"/>
                <w:lang w:eastAsia="en-US"/>
              </w:rPr>
              <w:t>no DRX</w:t>
            </w:r>
          </w:p>
        </w:tc>
        <w:tc>
          <w:tcPr>
            <w:tcW w:w="3060" w:type="dxa"/>
            <w:shd w:val="clear" w:color="auto" w:fill="auto"/>
          </w:tcPr>
          <w:p w14:paraId="40437F73" w14:textId="77777777" w:rsidR="000A0FF4" w:rsidRDefault="000A0FF4" w:rsidP="00F72FF2">
            <w:pPr>
              <w:pStyle w:val="TAC"/>
              <w:rPr>
                <w:rFonts w:eastAsia="SimSun"/>
              </w:rPr>
            </w:pPr>
            <w:r>
              <w:rPr>
                <w:rFonts w:eastAsia="SimSun" w:cs="v4.2.0"/>
                <w:lang w:eastAsia="en-US"/>
              </w:rPr>
              <w:t>Max(200</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2</w:t>
            </w:r>
            <w:r>
              <w:rPr>
                <w:rFonts w:eastAsia="SimSun" w:cs="v4.2.0"/>
                <w:lang w:eastAsia="en-US"/>
              </w:rPr>
              <w:t>, Ceil(M</w:t>
            </w:r>
            <w:r>
              <w:rPr>
                <w:rFonts w:eastAsia="SimSun" w:cs="v4.2.0"/>
                <w:vertAlign w:val="subscript"/>
                <w:lang w:eastAsia="en-US"/>
              </w:rPr>
              <w:t>out</w:t>
            </w:r>
            <w:r>
              <w:rPr>
                <w:rFonts w:eastAsia="SimSun" w:cs="Arial"/>
                <w:lang w:eastAsia="en-US"/>
              </w:rPr>
              <w:t>×P</w:t>
            </w:r>
            <w:r>
              <w:rPr>
                <w:rFonts w:eastAsia="SimSun"/>
                <w:lang w:eastAsia="en-US"/>
              </w:rPr>
              <w:t xml:space="preserve"> </w:t>
            </w:r>
            <w:r>
              <w:rPr>
                <w:rFonts w:eastAsia="SimSun" w:cs="Arial"/>
                <w:szCs w:val="18"/>
                <w:lang w:eastAsia="en-US"/>
              </w:rPr>
              <w:sym w:font="Symbol" w:char="F0B4"/>
            </w:r>
            <w:r>
              <w:rPr>
                <w:rFonts w:eastAsia="SimSun" w:cs="Arial"/>
                <w:szCs w:val="18"/>
                <w:lang w:eastAsia="en-US"/>
              </w:rPr>
              <w:t xml:space="preserve"> </w:t>
            </w:r>
            <w:r>
              <w:rPr>
                <w:rFonts w:eastAsia="SimSun" w:cs="Arial" w:hint="eastAsia"/>
                <w:szCs w:val="18"/>
                <w:lang w:val="en-US" w:eastAsia="zh-CN"/>
              </w:rPr>
              <w:t>K</w:t>
            </w:r>
            <w:r>
              <w:rPr>
                <w:rFonts w:eastAsia="SimSun" w:cs="Arial" w:hint="eastAsia"/>
                <w:szCs w:val="18"/>
                <w:vertAlign w:val="subscript"/>
                <w:lang w:val="en-US" w:eastAsia="zh-CN"/>
              </w:rPr>
              <w:t>2</w:t>
            </w:r>
            <w:r>
              <w:rPr>
                <w:rFonts w:eastAsia="SimSun" w:cs="v4.2.0"/>
                <w:lang w:eastAsia="en-US"/>
              </w:rPr>
              <w:t>)</w:t>
            </w:r>
            <w:r>
              <w:rPr>
                <w:rFonts w:eastAsia="SimSun" w:cs="Arial"/>
                <w:lang w:eastAsia="en-US"/>
              </w:rPr>
              <w:t>×</w:t>
            </w:r>
            <w:r>
              <w:rPr>
                <w:rFonts w:eastAsia="SimSun" w:cs="v4.2.0"/>
                <w:lang w:eastAsia="en-US"/>
              </w:rPr>
              <w:t>T</w:t>
            </w:r>
            <w:r>
              <w:rPr>
                <w:rFonts w:eastAsia="SimSun" w:cs="v4.2.0"/>
                <w:vertAlign w:val="subscript"/>
                <w:lang w:eastAsia="en-US"/>
              </w:rPr>
              <w:t>CSI-RS</w:t>
            </w:r>
            <w:r>
              <w:rPr>
                <w:rFonts w:eastAsia="SimSun" w:cs="v4.2.0"/>
                <w:lang w:eastAsia="en-US"/>
              </w:rPr>
              <w:t>)</w:t>
            </w:r>
          </w:p>
        </w:tc>
        <w:tc>
          <w:tcPr>
            <w:tcW w:w="2961" w:type="dxa"/>
            <w:shd w:val="clear" w:color="auto" w:fill="auto"/>
          </w:tcPr>
          <w:p w14:paraId="787D3A0A" w14:textId="77777777" w:rsidR="000A0FF4" w:rsidRDefault="000A0FF4" w:rsidP="00F72FF2">
            <w:pPr>
              <w:pStyle w:val="TAC"/>
              <w:rPr>
                <w:rFonts w:eastAsia="SimSun"/>
                <w:lang w:val="sv-SE"/>
              </w:rPr>
            </w:pPr>
            <w:r>
              <w:rPr>
                <w:rFonts w:eastAsia="SimSun"/>
                <w:lang w:val="sv-SE" w:eastAsia="en-US"/>
              </w:rPr>
              <w:t>Max(100</w:t>
            </w:r>
            <w:r w:rsidRPr="00AC7434">
              <w:rPr>
                <w:rFonts w:eastAsia="SimSun"/>
                <w:lang w:val="sv-FI" w:eastAsia="en-US"/>
              </w:rPr>
              <w:t xml:space="preserve"> </w:t>
            </w:r>
            <w:r>
              <w:rPr>
                <w:rFonts w:eastAsia="SimSun" w:cs="Arial"/>
                <w:szCs w:val="18"/>
                <w:lang w:eastAsia="en-US"/>
              </w:rPr>
              <w:sym w:font="Symbol" w:char="F0B4"/>
            </w:r>
            <w:r w:rsidRPr="00AC7434">
              <w:rPr>
                <w:rFonts w:eastAsia="SimSun" w:cs="Arial"/>
                <w:szCs w:val="18"/>
                <w:lang w:val="sv-FI" w:eastAsia="en-US"/>
              </w:rPr>
              <w:t xml:space="preserve"> </w:t>
            </w:r>
            <w:r w:rsidRPr="00AC7434">
              <w:rPr>
                <w:rFonts w:eastAsia="SimSun" w:cs="Arial" w:hint="eastAsia"/>
                <w:szCs w:val="18"/>
                <w:lang w:val="sv-FI" w:eastAsia="zh-CN"/>
              </w:rPr>
              <w:t>K</w:t>
            </w:r>
            <w:r w:rsidRPr="00AC7434">
              <w:rPr>
                <w:rFonts w:eastAsia="SimSun" w:cs="Arial" w:hint="eastAsia"/>
                <w:szCs w:val="18"/>
                <w:vertAlign w:val="subscript"/>
                <w:lang w:val="sv-FI" w:eastAsia="zh-CN"/>
              </w:rPr>
              <w:t>2</w:t>
            </w:r>
            <w:r>
              <w:rPr>
                <w:rFonts w:eastAsia="SimSun"/>
                <w:lang w:val="sv-SE" w:eastAsia="en-US"/>
              </w:rPr>
              <w:t xml:space="preserve">, </w:t>
            </w:r>
            <w:r>
              <w:rPr>
                <w:rFonts w:eastAsia="SimSun" w:cs="v4.2.0"/>
                <w:lang w:val="sv-SE" w:eastAsia="en-US"/>
              </w:rPr>
              <w:t>Ceil(M</w:t>
            </w:r>
            <w:r>
              <w:rPr>
                <w:rFonts w:eastAsia="SimSun" w:cs="v4.2.0"/>
                <w:vertAlign w:val="subscript"/>
                <w:lang w:val="sv-SE" w:eastAsia="en-US"/>
              </w:rPr>
              <w:t>in</w:t>
            </w:r>
            <w:r>
              <w:rPr>
                <w:rFonts w:eastAsia="SimSun" w:cs="Arial"/>
                <w:lang w:val="sv-SE" w:eastAsia="en-US"/>
              </w:rPr>
              <w:t>×P</w:t>
            </w:r>
            <w:r w:rsidRPr="00AC7434">
              <w:rPr>
                <w:rFonts w:eastAsia="SimSun"/>
                <w:lang w:val="sv-FI" w:eastAsia="en-US"/>
              </w:rPr>
              <w:t xml:space="preserve"> </w:t>
            </w:r>
            <w:r>
              <w:rPr>
                <w:rFonts w:eastAsia="SimSun" w:cs="Arial"/>
                <w:szCs w:val="18"/>
                <w:lang w:eastAsia="en-US"/>
              </w:rPr>
              <w:sym w:font="Symbol" w:char="F0B4"/>
            </w:r>
            <w:r w:rsidRPr="00AC7434">
              <w:rPr>
                <w:rFonts w:eastAsia="SimSun" w:cs="Arial"/>
                <w:szCs w:val="18"/>
                <w:lang w:val="sv-FI" w:eastAsia="en-US"/>
              </w:rPr>
              <w:t xml:space="preserve"> </w:t>
            </w:r>
            <w:r w:rsidRPr="00AC7434">
              <w:rPr>
                <w:rFonts w:eastAsia="SimSun" w:cs="Arial" w:hint="eastAsia"/>
                <w:szCs w:val="18"/>
                <w:lang w:val="sv-FI" w:eastAsia="zh-CN"/>
              </w:rPr>
              <w:t>K</w:t>
            </w:r>
            <w:r w:rsidRPr="00AC7434">
              <w:rPr>
                <w:rFonts w:eastAsia="SimSun" w:cs="Arial" w:hint="eastAsia"/>
                <w:szCs w:val="18"/>
                <w:vertAlign w:val="subscript"/>
                <w:lang w:val="sv-FI" w:eastAsia="zh-CN"/>
              </w:rPr>
              <w:t>2</w:t>
            </w:r>
            <w:r>
              <w:rPr>
                <w:rFonts w:eastAsia="SimSun" w:cs="v4.2.0"/>
                <w:lang w:val="sv-SE" w:eastAsia="en-US"/>
              </w:rPr>
              <w:t>)</w:t>
            </w:r>
            <w:r>
              <w:rPr>
                <w:rFonts w:eastAsia="SimSun" w:cs="Arial"/>
                <w:lang w:val="sv-SE" w:eastAsia="en-US"/>
              </w:rPr>
              <w:t xml:space="preserve"> ×</w:t>
            </w:r>
            <w:r>
              <w:rPr>
                <w:rFonts w:eastAsia="SimSun" w:cs="v4.2.0"/>
                <w:lang w:val="sv-SE" w:eastAsia="en-US"/>
              </w:rPr>
              <w:t xml:space="preserve"> T</w:t>
            </w:r>
            <w:r>
              <w:rPr>
                <w:rFonts w:eastAsia="SimSun" w:cs="v4.2.0"/>
                <w:vertAlign w:val="subscript"/>
                <w:lang w:val="sv-SE" w:eastAsia="en-US"/>
              </w:rPr>
              <w:t>CSI-RS</w:t>
            </w:r>
            <w:r>
              <w:rPr>
                <w:rFonts w:eastAsia="SimSun"/>
                <w:lang w:val="sv-SE" w:eastAsia="en-US"/>
              </w:rPr>
              <w:t>)</w:t>
            </w:r>
          </w:p>
        </w:tc>
      </w:tr>
      <w:tr w:rsidR="000A0FF4" w14:paraId="3DD9C3A0" w14:textId="77777777" w:rsidTr="00A4061E">
        <w:trPr>
          <w:jc w:val="center"/>
        </w:trPr>
        <w:tc>
          <w:tcPr>
            <w:tcW w:w="9629" w:type="dxa"/>
            <w:gridSpan w:val="3"/>
            <w:shd w:val="clear" w:color="auto" w:fill="auto"/>
          </w:tcPr>
          <w:p w14:paraId="67C64F36" w14:textId="77777777" w:rsidR="000A0FF4" w:rsidRDefault="000A0FF4" w:rsidP="00F72FF2">
            <w:pPr>
              <w:pStyle w:val="TAN"/>
              <w:rPr>
                <w:rFonts w:eastAsia="SimSun"/>
              </w:rPr>
            </w:pPr>
            <w:r>
              <w:rPr>
                <w:rFonts w:eastAsia="SimSun"/>
              </w:rPr>
              <w:t>N</w:t>
            </w:r>
            <w:r>
              <w:rPr>
                <w:rFonts w:eastAsia="Malgun Gothic"/>
              </w:rPr>
              <w:t>OTE</w:t>
            </w:r>
            <w:r>
              <w:rPr>
                <w:rFonts w:eastAsia="SimSun"/>
              </w:rPr>
              <w:t>:</w:t>
            </w:r>
            <w:r>
              <w:rPr>
                <w:rFonts w:eastAsia="SimSun"/>
                <w:sz w:val="28"/>
              </w:rPr>
              <w:tab/>
            </w:r>
            <w:r>
              <w:rPr>
                <w:rFonts w:eastAsia="SimSun"/>
              </w:rPr>
              <w:t>T</w:t>
            </w:r>
            <w:r>
              <w:rPr>
                <w:rFonts w:eastAsia="SimSun"/>
                <w:vertAlign w:val="subscript"/>
              </w:rPr>
              <w:t>CSI-RS</w:t>
            </w:r>
            <w:r>
              <w:rPr>
                <w:rFonts w:eastAsia="SimSun"/>
              </w:rPr>
              <w:t xml:space="preserve"> is the periodicity of the CSI-RS resource configured for RLM. The requirements in this table apply for </w:t>
            </w:r>
            <w:r>
              <w:rPr>
                <w:rFonts w:eastAsia="SimSun" w:cs="v4.2.0"/>
              </w:rPr>
              <w:t>T</w:t>
            </w:r>
            <w:r>
              <w:rPr>
                <w:rFonts w:eastAsia="SimSun" w:cs="v4.2.0"/>
                <w:vertAlign w:val="subscript"/>
              </w:rPr>
              <w:t>CSI-RS</w:t>
            </w:r>
            <w:r>
              <w:rPr>
                <w:rFonts w:eastAsia="SimSun"/>
              </w:rPr>
              <w:t xml:space="preserve"> equal to 5 ms, 10 ms, 20 ms or 40 ms.</w:t>
            </w:r>
          </w:p>
        </w:tc>
      </w:tr>
    </w:tbl>
    <w:p w14:paraId="73EC2D5D" w14:textId="77777777" w:rsidR="00B97FE3" w:rsidRPr="00B97FE3" w:rsidRDefault="00B97FE3" w:rsidP="00641611"/>
    <w:p w14:paraId="27D9B39C" w14:textId="5A7660BB" w:rsidR="00374C19" w:rsidRDefault="00374C19" w:rsidP="00C60E58">
      <w:pPr>
        <w:pStyle w:val="Heading5"/>
      </w:pPr>
      <w:bookmarkStart w:id="8658" w:name="_Toc53185610"/>
      <w:bookmarkStart w:id="8659" w:name="_Toc53185986"/>
      <w:bookmarkStart w:id="8660" w:name="_Toc57820472"/>
      <w:bookmarkStart w:id="8661" w:name="_Toc57821399"/>
      <w:bookmarkStart w:id="8662" w:name="_Toc61183675"/>
      <w:bookmarkStart w:id="8663" w:name="_Toc61184069"/>
      <w:bookmarkStart w:id="8664" w:name="_Toc61184461"/>
      <w:bookmarkStart w:id="8665" w:name="_Toc61184853"/>
      <w:bookmarkStart w:id="8666" w:name="_Toc61185243"/>
      <w:bookmarkStart w:id="8667" w:name="_Toc66386588"/>
      <w:bookmarkStart w:id="8668" w:name="_Toc74583546"/>
      <w:bookmarkStart w:id="8669" w:name="_Toc76542359"/>
      <w:bookmarkStart w:id="8670" w:name="_Toc82450341"/>
      <w:bookmarkStart w:id="8671" w:name="_Toc82450989"/>
      <w:bookmarkStart w:id="8672" w:name="_Toc89949378"/>
      <w:bookmarkStart w:id="8673" w:name="_Toc98755767"/>
      <w:bookmarkStart w:id="8674" w:name="_Toc98763359"/>
      <w:bookmarkStart w:id="8675" w:name="_Toc106184288"/>
      <w:r>
        <w:t>12.3.1.3.3</w:t>
      </w:r>
      <w:r w:rsidR="00C60E58">
        <w:tab/>
      </w:r>
      <w:r>
        <w:t>Measurement restrictions for CSI-RS based RLM</w:t>
      </w:r>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p>
    <w:p w14:paraId="3C09C8D0" w14:textId="3038DC09" w:rsidR="00374C19" w:rsidRPr="00D470B1" w:rsidRDefault="00D470B1" w:rsidP="00C60E58">
      <w:pPr>
        <w:rPr>
          <w:rFonts w:eastAsia="SimSun"/>
        </w:rPr>
      </w:pPr>
      <w:r>
        <w:rPr>
          <w:rFonts w:eastAsia="SimSun"/>
        </w:rPr>
        <w:t xml:space="preserve">The </w:t>
      </w:r>
      <w:r>
        <w:rPr>
          <w:rFonts w:eastAsia="SimSun" w:hint="eastAsia"/>
          <w:lang w:val="en-US" w:eastAsia="zh-CN"/>
        </w:rPr>
        <w:t xml:space="preserve">UE </w:t>
      </w:r>
      <w:r>
        <w:rPr>
          <w:rFonts w:eastAsia="SimSun"/>
        </w:rPr>
        <w:t>requirements</w:t>
      </w:r>
      <w:r>
        <w:rPr>
          <w:rFonts w:eastAsia="SimSun" w:hint="eastAsia"/>
          <w:lang w:val="en-US" w:eastAsia="zh-CN"/>
        </w:rPr>
        <w:t xml:space="preserve"> </w:t>
      </w:r>
      <w:r>
        <w:t>in sub-clause 8.</w:t>
      </w:r>
      <w:r>
        <w:rPr>
          <w:rFonts w:eastAsia="SimSun" w:hint="eastAsia"/>
          <w:lang w:val="en-US" w:eastAsia="zh-CN"/>
        </w:rPr>
        <w:t>1.3.3</w:t>
      </w:r>
      <w:r>
        <w:t xml:space="preserve"> [6] apply for IAB-MT.</w:t>
      </w:r>
    </w:p>
    <w:p w14:paraId="7DB40BCB" w14:textId="4FF87B5F" w:rsidR="00334C0D" w:rsidRDefault="00334C0D" w:rsidP="00FE263A">
      <w:pPr>
        <w:pStyle w:val="Heading4"/>
      </w:pPr>
      <w:bookmarkStart w:id="8676" w:name="_Toc53185611"/>
      <w:bookmarkStart w:id="8677" w:name="_Toc53185987"/>
      <w:bookmarkStart w:id="8678" w:name="_Toc57820473"/>
      <w:bookmarkStart w:id="8679" w:name="_Toc57821400"/>
      <w:bookmarkStart w:id="8680" w:name="_Toc61183676"/>
      <w:bookmarkStart w:id="8681" w:name="_Toc61184070"/>
      <w:bookmarkStart w:id="8682" w:name="_Toc61184462"/>
      <w:bookmarkStart w:id="8683" w:name="_Toc61184854"/>
      <w:bookmarkStart w:id="8684" w:name="_Toc61185244"/>
      <w:bookmarkStart w:id="8685" w:name="_Toc66386589"/>
      <w:bookmarkStart w:id="8686" w:name="_Toc74583547"/>
      <w:bookmarkStart w:id="8687" w:name="_Toc76542360"/>
      <w:bookmarkStart w:id="8688" w:name="_Toc82450342"/>
      <w:bookmarkStart w:id="8689" w:name="_Toc82450990"/>
      <w:bookmarkStart w:id="8690" w:name="_Toc89949379"/>
      <w:bookmarkStart w:id="8691" w:name="_Toc98755768"/>
      <w:bookmarkStart w:id="8692" w:name="_Toc98763360"/>
      <w:bookmarkStart w:id="8693" w:name="_Toc106184289"/>
      <w:r>
        <w:t>1</w:t>
      </w:r>
      <w:r w:rsidR="009778A7">
        <w:t>2</w:t>
      </w:r>
      <w:r>
        <w:t>.</w:t>
      </w:r>
      <w:r w:rsidR="009778A7">
        <w:t>3.</w:t>
      </w:r>
      <w:r>
        <w:t>1.4</w:t>
      </w:r>
      <w:r w:rsidR="00C60E58">
        <w:tab/>
      </w:r>
      <w:r>
        <w:t xml:space="preserve">Minimum requirement for </w:t>
      </w:r>
      <w:r w:rsidR="002716A4">
        <w:t>IAB-</w:t>
      </w:r>
      <w:r>
        <w:t>MT turning off the transmitter</w:t>
      </w:r>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p>
    <w:p w14:paraId="3CA2DD10" w14:textId="20A368E6" w:rsidR="00295C2F" w:rsidRPr="007A26F0" w:rsidRDefault="007A26F0" w:rsidP="00FE263A">
      <w:pPr>
        <w:rPr>
          <w:rFonts w:eastAsia="SimSun"/>
        </w:rPr>
      </w:pPr>
      <w:r>
        <w:rPr>
          <w:rFonts w:eastAsia="SimSun"/>
        </w:rPr>
        <w:t xml:space="preserve">The </w:t>
      </w:r>
      <w:r>
        <w:rPr>
          <w:rFonts w:eastAsia="SimSun" w:hint="eastAsia"/>
          <w:lang w:val="en-US" w:eastAsia="zh-CN"/>
        </w:rPr>
        <w:t xml:space="preserve">UE </w:t>
      </w:r>
      <w:r>
        <w:rPr>
          <w:rFonts w:eastAsia="SimSun"/>
        </w:rPr>
        <w:t>requirements</w:t>
      </w:r>
      <w:r>
        <w:rPr>
          <w:rFonts w:eastAsia="SimSun" w:hint="eastAsia"/>
          <w:lang w:val="en-US" w:eastAsia="zh-CN"/>
        </w:rPr>
        <w:t xml:space="preserve"> </w:t>
      </w:r>
      <w:r>
        <w:t>in sub-clause 8.</w:t>
      </w:r>
      <w:r>
        <w:rPr>
          <w:rFonts w:eastAsia="SimSun" w:hint="eastAsia"/>
          <w:lang w:val="en-US" w:eastAsia="zh-CN"/>
        </w:rPr>
        <w:t>1.5</w:t>
      </w:r>
      <w:r>
        <w:t xml:space="preserve"> [6] apply for IAB-MT.</w:t>
      </w:r>
    </w:p>
    <w:p w14:paraId="4F0786DA" w14:textId="6B6839F4" w:rsidR="00334C0D" w:rsidRDefault="00334C0D" w:rsidP="00FE263A">
      <w:pPr>
        <w:pStyle w:val="Heading4"/>
      </w:pPr>
      <w:bookmarkStart w:id="8694" w:name="_Toc53185612"/>
      <w:bookmarkStart w:id="8695" w:name="_Toc53185988"/>
      <w:bookmarkStart w:id="8696" w:name="_Toc57820474"/>
      <w:bookmarkStart w:id="8697" w:name="_Toc57821401"/>
      <w:bookmarkStart w:id="8698" w:name="_Toc61183677"/>
      <w:bookmarkStart w:id="8699" w:name="_Toc61184071"/>
      <w:bookmarkStart w:id="8700" w:name="_Toc61184463"/>
      <w:bookmarkStart w:id="8701" w:name="_Toc61184855"/>
      <w:bookmarkStart w:id="8702" w:name="_Toc61185245"/>
      <w:bookmarkStart w:id="8703" w:name="_Toc66386590"/>
      <w:bookmarkStart w:id="8704" w:name="_Toc74583548"/>
      <w:bookmarkStart w:id="8705" w:name="_Toc76542361"/>
      <w:bookmarkStart w:id="8706" w:name="_Toc82450343"/>
      <w:bookmarkStart w:id="8707" w:name="_Toc82450991"/>
      <w:bookmarkStart w:id="8708" w:name="_Toc89949380"/>
      <w:bookmarkStart w:id="8709" w:name="_Toc98755769"/>
      <w:bookmarkStart w:id="8710" w:name="_Toc98763361"/>
      <w:bookmarkStart w:id="8711" w:name="_Toc106184290"/>
      <w:r>
        <w:t>1</w:t>
      </w:r>
      <w:r w:rsidR="009778A7">
        <w:t>2</w:t>
      </w:r>
      <w:r>
        <w:t>.</w:t>
      </w:r>
      <w:r w:rsidR="009778A7">
        <w:t>3.</w:t>
      </w:r>
      <w:r>
        <w:t>1.5</w:t>
      </w:r>
      <w:r w:rsidR="00C60E58">
        <w:tab/>
      </w:r>
      <w:r>
        <w:t>Minimum requirement for L1 indication</w:t>
      </w:r>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p>
    <w:p w14:paraId="6C9B1170" w14:textId="4D2B4A1B" w:rsidR="007B2898" w:rsidRDefault="007B2898" w:rsidP="007B2898">
      <w:pPr>
        <w:rPr>
          <w:rFonts w:eastAsia="SimSun" w:cs="v4.2.0"/>
        </w:rPr>
      </w:pPr>
      <w:r>
        <w:rPr>
          <w:rFonts w:eastAsia="SimSun" w:cs="v4.2.0"/>
        </w:rPr>
        <w:t>When the downlink radio link quality on all the configured RLM-RS resources is worse than Q</w:t>
      </w:r>
      <w:r>
        <w:rPr>
          <w:rFonts w:eastAsia="SimSun" w:cs="v4.2.0"/>
          <w:vertAlign w:val="subscript"/>
        </w:rPr>
        <w:t>out</w:t>
      </w:r>
      <w:r>
        <w:rPr>
          <w:rFonts w:eastAsia="SimSun" w:cs="v4.2.0"/>
        </w:rPr>
        <w:t xml:space="preserve">, layer 1 of the </w:t>
      </w:r>
      <w:r>
        <w:rPr>
          <w:rFonts w:eastAsia="SimSun" w:cs="v4.2.0" w:hint="eastAsia"/>
          <w:lang w:eastAsia="zh-CN"/>
        </w:rPr>
        <w:t>IAB-MT</w:t>
      </w:r>
      <w:r>
        <w:rPr>
          <w:rFonts w:eastAsia="SimSun" w:cs="v4.2.0"/>
        </w:rPr>
        <w:t xml:space="preserve"> shall send an out-of-sync indication for the cell to the higher layers. A layer 3 filter shall be applied to the out-of-sync indications as specified in </w:t>
      </w:r>
      <w:r>
        <w:rPr>
          <w:rFonts w:eastAsia="SimSun"/>
        </w:rPr>
        <w:t>TS 38.331 </w:t>
      </w:r>
      <w:r>
        <w:rPr>
          <w:rFonts w:eastAsia="SimSun" w:cs="v4.2.0" w:hint="eastAsia"/>
          <w:lang w:eastAsia="zh-CN"/>
        </w:rPr>
        <w:t>[</w:t>
      </w:r>
      <w:r w:rsidR="00293869">
        <w:rPr>
          <w:rFonts w:eastAsia="SimSun" w:cs="v4.2.0"/>
          <w:lang w:eastAsia="zh-CN"/>
        </w:rPr>
        <w:t>15</w:t>
      </w:r>
      <w:r>
        <w:rPr>
          <w:rFonts w:eastAsia="SimSun" w:cs="v4.2.0" w:hint="eastAsia"/>
          <w:lang w:eastAsia="zh-CN"/>
        </w:rPr>
        <w:t>]</w:t>
      </w:r>
      <w:r>
        <w:rPr>
          <w:rFonts w:eastAsia="SimSun" w:cs="v4.2.0"/>
        </w:rPr>
        <w:t>.</w:t>
      </w:r>
    </w:p>
    <w:p w14:paraId="13F8EED9" w14:textId="3FDCFE62" w:rsidR="007B2898" w:rsidRDefault="007B2898" w:rsidP="007B2898">
      <w:pPr>
        <w:rPr>
          <w:rFonts w:eastAsia="?? ??"/>
        </w:rPr>
      </w:pPr>
      <w:r>
        <w:rPr>
          <w:rFonts w:eastAsia="SimSun" w:cs="v4.2.0"/>
        </w:rPr>
        <w:t>When the downlink radio link quality on at least one of the configured RLM-RS resources is better than Q</w:t>
      </w:r>
      <w:r>
        <w:rPr>
          <w:rFonts w:eastAsia="SimSun" w:cs="v4.2.0"/>
          <w:vertAlign w:val="subscript"/>
        </w:rPr>
        <w:t>in</w:t>
      </w:r>
      <w:r>
        <w:rPr>
          <w:rFonts w:eastAsia="SimSun" w:cs="v4.2.0"/>
        </w:rPr>
        <w:t xml:space="preserve">, layer 1 of the </w:t>
      </w:r>
      <w:r>
        <w:rPr>
          <w:rFonts w:eastAsia="SimSun" w:cs="v4.2.0" w:hint="eastAsia"/>
          <w:lang w:eastAsia="zh-CN"/>
        </w:rPr>
        <w:t>IAB-MT</w:t>
      </w:r>
      <w:r>
        <w:rPr>
          <w:rFonts w:eastAsia="SimSun" w:cs="v4.2.0"/>
        </w:rPr>
        <w:t xml:space="preserve"> shall send an in-sync indication for the cell to the higher layers. A layer 3 filter shall be applied to the in-sync indications as specified in </w:t>
      </w:r>
      <w:r>
        <w:rPr>
          <w:rFonts w:eastAsia="SimSun"/>
        </w:rPr>
        <w:t>TS 38.331 </w:t>
      </w:r>
      <w:r>
        <w:rPr>
          <w:rFonts w:eastAsia="SimSun" w:cs="v4.2.0" w:hint="eastAsia"/>
          <w:lang w:eastAsia="zh-CN"/>
        </w:rPr>
        <w:t>[</w:t>
      </w:r>
      <w:r w:rsidR="00293869">
        <w:rPr>
          <w:rFonts w:eastAsia="SimSun" w:cs="v4.2.0"/>
          <w:lang w:eastAsia="zh-CN"/>
        </w:rPr>
        <w:t>15</w:t>
      </w:r>
      <w:r>
        <w:rPr>
          <w:rFonts w:eastAsia="SimSun" w:cs="v4.2.0" w:hint="eastAsia"/>
          <w:lang w:eastAsia="zh-CN"/>
        </w:rPr>
        <w:t>]</w:t>
      </w:r>
      <w:r>
        <w:rPr>
          <w:rFonts w:eastAsia="SimSun" w:cs="v4.2.0"/>
        </w:rPr>
        <w:t>.</w:t>
      </w:r>
    </w:p>
    <w:p w14:paraId="4FEFC9BB" w14:textId="147B9DC1" w:rsidR="007B2898" w:rsidRDefault="007B2898" w:rsidP="007B2898">
      <w:pPr>
        <w:rPr>
          <w:rFonts w:eastAsia="SimSun" w:cs="v4.2.0"/>
        </w:rPr>
      </w:pPr>
      <w:r>
        <w:rPr>
          <w:rFonts w:eastAsia="SimSun" w:cs="v4.2.0"/>
        </w:rPr>
        <w:t>The out-of-sync and in-sync evaluations for the configured RLM-RS resources shall be performed as specified in clause 5 [</w:t>
      </w:r>
      <w:r w:rsidR="00F516E8">
        <w:rPr>
          <w:rFonts w:eastAsia="SimSun" w:cs="v4.2.0"/>
          <w:lang w:val="en-US" w:eastAsia="zh-CN"/>
        </w:rPr>
        <w:t>10</w:t>
      </w:r>
      <w:r>
        <w:rPr>
          <w:rFonts w:eastAsia="SimSun" w:cs="v4.2.0"/>
        </w:rPr>
        <w:t>]. Two successive indications from layer 1 shall be separated by at least T</w:t>
      </w:r>
      <w:r>
        <w:rPr>
          <w:rFonts w:eastAsia="SimSun" w:cs="v4.2.0"/>
          <w:vertAlign w:val="subscript"/>
        </w:rPr>
        <w:t>Indication_interval</w:t>
      </w:r>
      <w:r>
        <w:rPr>
          <w:rFonts w:eastAsia="SimSun" w:cs="v4.2.0"/>
        </w:rPr>
        <w:t>.</w:t>
      </w:r>
    </w:p>
    <w:p w14:paraId="6A92DA11" w14:textId="375B59F3" w:rsidR="00334C0D" w:rsidRPr="00935D1A" w:rsidRDefault="007B2898" w:rsidP="00FE263A">
      <w:r>
        <w:rPr>
          <w:rFonts w:eastAsia="SimSun" w:cs="v4.2.0"/>
        </w:rPr>
        <w:lastRenderedPageBreak/>
        <w:t>T</w:t>
      </w:r>
      <w:r>
        <w:rPr>
          <w:rFonts w:eastAsia="SimSun" w:cs="v4.2.0"/>
          <w:vertAlign w:val="subscript"/>
        </w:rPr>
        <w:t>Indication_interval</w:t>
      </w:r>
      <w:r>
        <w:rPr>
          <w:rFonts w:eastAsia="SimSun" w:cs="v4.2.0"/>
        </w:rPr>
        <w:t xml:space="preserve"> is max(10ms, T</w:t>
      </w:r>
      <w:r>
        <w:rPr>
          <w:rFonts w:eastAsia="SimSun" w:cs="v4.2.0"/>
          <w:vertAlign w:val="subscript"/>
        </w:rPr>
        <w:t>RLM-RS,M</w:t>
      </w:r>
      <w:r>
        <w:rPr>
          <w:rFonts w:eastAsia="SimSun" w:cs="v4.2.0"/>
        </w:rPr>
        <w:t>), where T</w:t>
      </w:r>
      <w:r>
        <w:rPr>
          <w:rFonts w:eastAsia="SimSun" w:cs="v4.2.0"/>
          <w:vertAlign w:val="subscript"/>
        </w:rPr>
        <w:t>RLM,M</w:t>
      </w:r>
      <w:r>
        <w:rPr>
          <w:rFonts w:eastAsia="SimSun" w:cs="v4.2.0"/>
        </w:rPr>
        <w:t xml:space="preserve"> is the shortest periodicity of all configured RLM-RS resources for the monitored cell, which corresponds to T</w:t>
      </w:r>
      <w:r>
        <w:rPr>
          <w:rFonts w:eastAsia="SimSun" w:cs="v4.2.0"/>
          <w:vertAlign w:val="subscript"/>
        </w:rPr>
        <w:t>SSB</w:t>
      </w:r>
      <w:r>
        <w:rPr>
          <w:rFonts w:eastAsia="SimSun" w:cs="v4.2.0"/>
        </w:rPr>
        <w:t xml:space="preserve"> specified in clause </w:t>
      </w:r>
      <w:r>
        <w:rPr>
          <w:rFonts w:eastAsia="SimSun" w:cs="v4.2.0" w:hint="eastAsia"/>
          <w:lang w:eastAsia="zh-CN"/>
        </w:rPr>
        <w:t>12.3.1</w:t>
      </w:r>
      <w:r>
        <w:rPr>
          <w:rFonts w:eastAsia="SimSun" w:cs="v4.2.0"/>
        </w:rPr>
        <w:t>.2 if the RLM-RS resource is SSB, or T</w:t>
      </w:r>
      <w:r>
        <w:rPr>
          <w:rFonts w:eastAsia="SimSun" w:cs="v4.2.0"/>
          <w:vertAlign w:val="subscript"/>
        </w:rPr>
        <w:t>CSI-RS</w:t>
      </w:r>
      <w:r>
        <w:rPr>
          <w:rFonts w:eastAsia="SimSun" w:cs="v4.2.0"/>
        </w:rPr>
        <w:t xml:space="preserve"> specified in clause </w:t>
      </w:r>
      <w:r>
        <w:rPr>
          <w:rFonts w:eastAsia="SimSun" w:cs="v4.2.0" w:hint="eastAsia"/>
          <w:lang w:eastAsia="zh-CN"/>
        </w:rPr>
        <w:t>12.3.1</w:t>
      </w:r>
      <w:r>
        <w:rPr>
          <w:rFonts w:eastAsia="SimSun" w:cs="v4.2.0"/>
        </w:rPr>
        <w:t>.3 if the RLM-RS resource is CSI-RS.</w:t>
      </w:r>
    </w:p>
    <w:p w14:paraId="1EC4BF0E" w14:textId="067ADACF" w:rsidR="00334C0D" w:rsidRDefault="00334C0D" w:rsidP="00FE263A">
      <w:pPr>
        <w:pStyle w:val="Heading4"/>
      </w:pPr>
      <w:bookmarkStart w:id="8712" w:name="_Toc53185613"/>
      <w:bookmarkStart w:id="8713" w:name="_Toc53185989"/>
      <w:bookmarkStart w:id="8714" w:name="_Toc57820475"/>
      <w:bookmarkStart w:id="8715" w:name="_Toc57821402"/>
      <w:bookmarkStart w:id="8716" w:name="_Toc61183678"/>
      <w:bookmarkStart w:id="8717" w:name="_Toc61184072"/>
      <w:bookmarkStart w:id="8718" w:name="_Toc61184464"/>
      <w:bookmarkStart w:id="8719" w:name="_Toc61184856"/>
      <w:bookmarkStart w:id="8720" w:name="_Toc61185246"/>
      <w:bookmarkStart w:id="8721" w:name="_Toc66386591"/>
      <w:bookmarkStart w:id="8722" w:name="_Toc74583549"/>
      <w:bookmarkStart w:id="8723" w:name="_Toc76542362"/>
      <w:bookmarkStart w:id="8724" w:name="_Toc82450344"/>
      <w:bookmarkStart w:id="8725" w:name="_Toc82450992"/>
      <w:bookmarkStart w:id="8726" w:name="_Toc89949381"/>
      <w:bookmarkStart w:id="8727" w:name="_Toc98755770"/>
      <w:bookmarkStart w:id="8728" w:name="_Toc98763362"/>
      <w:bookmarkStart w:id="8729" w:name="_Toc106184291"/>
      <w:r>
        <w:t>1</w:t>
      </w:r>
      <w:r w:rsidR="009778A7">
        <w:t>2</w:t>
      </w:r>
      <w:r>
        <w:t>.</w:t>
      </w:r>
      <w:r w:rsidR="009778A7">
        <w:t>3.</w:t>
      </w:r>
      <w:r>
        <w:t>1.6</w:t>
      </w:r>
      <w:r w:rsidR="00F72FF2">
        <w:tab/>
      </w:r>
      <w:r>
        <w:t xml:space="preserve">Scheduling availability of </w:t>
      </w:r>
      <w:r w:rsidR="002716A4">
        <w:t>IAB-</w:t>
      </w:r>
      <w:r>
        <w:t>MT during radio link monitoring</w:t>
      </w:r>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p>
    <w:p w14:paraId="2AFB3BC5" w14:textId="3E026BDA" w:rsidR="00762D30" w:rsidRPr="00F72FF2" w:rsidRDefault="00B07ECC" w:rsidP="00FE263A">
      <w:r>
        <w:rPr>
          <w:rFonts w:eastAsia="SimSun"/>
        </w:rPr>
        <w:t xml:space="preserve">The </w:t>
      </w:r>
      <w:r>
        <w:rPr>
          <w:rFonts w:eastAsia="SimSun" w:hint="eastAsia"/>
          <w:lang w:val="en-US" w:eastAsia="zh-CN"/>
        </w:rPr>
        <w:t xml:space="preserve">UE </w:t>
      </w:r>
      <w:r>
        <w:rPr>
          <w:rFonts w:eastAsia="SimSun"/>
        </w:rPr>
        <w:t>requirements</w:t>
      </w:r>
      <w:r>
        <w:rPr>
          <w:rFonts w:eastAsia="SimSun" w:hint="eastAsia"/>
          <w:lang w:val="en-US" w:eastAsia="zh-CN"/>
        </w:rPr>
        <w:t xml:space="preserve"> </w:t>
      </w:r>
      <w:r>
        <w:t>in sub-clause 8.</w:t>
      </w:r>
      <w:r>
        <w:rPr>
          <w:rFonts w:eastAsia="SimSun" w:hint="eastAsia"/>
          <w:lang w:val="en-US" w:eastAsia="zh-CN"/>
        </w:rPr>
        <w:t>1.7</w:t>
      </w:r>
      <w:r>
        <w:t xml:space="preserve"> [6] apply for IAB-MT.</w:t>
      </w:r>
    </w:p>
    <w:p w14:paraId="38628D78" w14:textId="147946F2" w:rsidR="00334C0D" w:rsidRDefault="00334C0D" w:rsidP="00FE263A">
      <w:pPr>
        <w:pStyle w:val="Heading3"/>
      </w:pPr>
      <w:bookmarkStart w:id="8730" w:name="_Toc53185614"/>
      <w:bookmarkStart w:id="8731" w:name="_Toc53185990"/>
      <w:bookmarkStart w:id="8732" w:name="_Toc57820476"/>
      <w:bookmarkStart w:id="8733" w:name="_Toc57821403"/>
      <w:bookmarkStart w:id="8734" w:name="_Toc61183679"/>
      <w:bookmarkStart w:id="8735" w:name="_Toc61184073"/>
      <w:bookmarkStart w:id="8736" w:name="_Toc61184465"/>
      <w:bookmarkStart w:id="8737" w:name="_Toc61184857"/>
      <w:bookmarkStart w:id="8738" w:name="_Toc61185247"/>
      <w:bookmarkStart w:id="8739" w:name="_Toc66386592"/>
      <w:bookmarkStart w:id="8740" w:name="_Toc74583550"/>
      <w:bookmarkStart w:id="8741" w:name="_Toc76542363"/>
      <w:bookmarkStart w:id="8742" w:name="_Toc82450345"/>
      <w:bookmarkStart w:id="8743" w:name="_Toc82450993"/>
      <w:bookmarkStart w:id="8744" w:name="_Toc89949382"/>
      <w:bookmarkStart w:id="8745" w:name="_Toc98755771"/>
      <w:bookmarkStart w:id="8746" w:name="_Toc98763363"/>
      <w:bookmarkStart w:id="8747" w:name="_Toc106184292"/>
      <w:r>
        <w:t>1</w:t>
      </w:r>
      <w:r w:rsidR="009778A7">
        <w:t>2</w:t>
      </w:r>
      <w:r>
        <w:t>.</w:t>
      </w:r>
      <w:r w:rsidR="00DE202F">
        <w:t>3.2</w:t>
      </w:r>
      <w:r w:rsidR="00F72FF2">
        <w:tab/>
      </w:r>
      <w:r>
        <w:t>Link Recovery Procedure</w:t>
      </w:r>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p>
    <w:p w14:paraId="37DA14F4" w14:textId="633D1102" w:rsidR="00334C0D" w:rsidRDefault="00334C0D" w:rsidP="00FE263A">
      <w:pPr>
        <w:pStyle w:val="Heading4"/>
      </w:pPr>
      <w:bookmarkStart w:id="8748" w:name="_Toc53185615"/>
      <w:bookmarkStart w:id="8749" w:name="_Toc53185991"/>
      <w:bookmarkStart w:id="8750" w:name="_Toc57820477"/>
      <w:bookmarkStart w:id="8751" w:name="_Toc57821404"/>
      <w:bookmarkStart w:id="8752" w:name="_Toc61183680"/>
      <w:bookmarkStart w:id="8753" w:name="_Toc61184074"/>
      <w:bookmarkStart w:id="8754" w:name="_Toc61184466"/>
      <w:bookmarkStart w:id="8755" w:name="_Toc61184858"/>
      <w:bookmarkStart w:id="8756" w:name="_Toc61185248"/>
      <w:bookmarkStart w:id="8757" w:name="_Toc66386593"/>
      <w:bookmarkStart w:id="8758" w:name="_Toc74583551"/>
      <w:bookmarkStart w:id="8759" w:name="_Toc76542364"/>
      <w:bookmarkStart w:id="8760" w:name="_Toc82450346"/>
      <w:bookmarkStart w:id="8761" w:name="_Toc82450994"/>
      <w:bookmarkStart w:id="8762" w:name="_Toc89949383"/>
      <w:bookmarkStart w:id="8763" w:name="_Toc98755772"/>
      <w:bookmarkStart w:id="8764" w:name="_Toc98763364"/>
      <w:bookmarkStart w:id="8765" w:name="_Toc106184293"/>
      <w:r>
        <w:t>1</w:t>
      </w:r>
      <w:r w:rsidR="00DE202F">
        <w:t>2</w:t>
      </w:r>
      <w:r>
        <w:t>.</w:t>
      </w:r>
      <w:r w:rsidR="00945315">
        <w:t>3.</w:t>
      </w:r>
      <w:r>
        <w:t>2.1</w:t>
      </w:r>
      <w:r w:rsidR="00F72FF2">
        <w:tab/>
      </w:r>
      <w:r>
        <w:t>Introduction</w:t>
      </w:r>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p>
    <w:p w14:paraId="1670D184" w14:textId="49293DE7" w:rsidR="00295C2F" w:rsidRPr="00295C2F" w:rsidRDefault="00CF271B" w:rsidP="00FE263A">
      <w:r>
        <w:t>The UE requirements in sub-clause 8.</w:t>
      </w:r>
      <w:r w:rsidR="000907A4">
        <w:t>5</w:t>
      </w:r>
      <w:r>
        <w:t>.1 [6] apply for IAB-MT.</w:t>
      </w:r>
    </w:p>
    <w:p w14:paraId="4E0792A1" w14:textId="46215CAC" w:rsidR="00295C2F" w:rsidRPr="00295C2F" w:rsidRDefault="00334C0D" w:rsidP="00F72FF2">
      <w:pPr>
        <w:pStyle w:val="Heading4"/>
      </w:pPr>
      <w:bookmarkStart w:id="8766" w:name="_Toc53185616"/>
      <w:bookmarkStart w:id="8767" w:name="_Toc53185992"/>
      <w:bookmarkStart w:id="8768" w:name="_Toc57820478"/>
      <w:bookmarkStart w:id="8769" w:name="_Toc57821405"/>
      <w:bookmarkStart w:id="8770" w:name="_Toc61183681"/>
      <w:bookmarkStart w:id="8771" w:name="_Toc61184075"/>
      <w:bookmarkStart w:id="8772" w:name="_Toc61184467"/>
      <w:bookmarkStart w:id="8773" w:name="_Toc61184859"/>
      <w:bookmarkStart w:id="8774" w:name="_Toc61185249"/>
      <w:bookmarkStart w:id="8775" w:name="_Toc66386594"/>
      <w:bookmarkStart w:id="8776" w:name="_Toc74583552"/>
      <w:bookmarkStart w:id="8777" w:name="_Toc76542365"/>
      <w:bookmarkStart w:id="8778" w:name="_Toc82450347"/>
      <w:bookmarkStart w:id="8779" w:name="_Toc82450995"/>
      <w:bookmarkStart w:id="8780" w:name="_Toc89949384"/>
      <w:bookmarkStart w:id="8781" w:name="_Toc98755773"/>
      <w:bookmarkStart w:id="8782" w:name="_Toc98763365"/>
      <w:bookmarkStart w:id="8783" w:name="_Toc106184294"/>
      <w:r>
        <w:t>1</w:t>
      </w:r>
      <w:r w:rsidR="00945315">
        <w:t>2</w:t>
      </w:r>
      <w:r>
        <w:t>.</w:t>
      </w:r>
      <w:r w:rsidR="00945315">
        <w:t>3.</w:t>
      </w:r>
      <w:r>
        <w:t>2.2</w:t>
      </w:r>
      <w:r w:rsidR="00F72FF2">
        <w:tab/>
      </w:r>
      <w:r>
        <w:t>Requirements for SSB based beam failure detection</w:t>
      </w:r>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p>
    <w:p w14:paraId="05010C47" w14:textId="248A8FA0" w:rsidR="00BD5C26" w:rsidRDefault="00BD5C26" w:rsidP="00BD5C26">
      <w:pPr>
        <w:pStyle w:val="Heading5"/>
      </w:pPr>
      <w:bookmarkStart w:id="8784" w:name="_Toc53185617"/>
      <w:bookmarkStart w:id="8785" w:name="_Toc53185993"/>
      <w:bookmarkStart w:id="8786" w:name="_Toc57820479"/>
      <w:bookmarkStart w:id="8787" w:name="_Toc57821406"/>
      <w:bookmarkStart w:id="8788" w:name="_Toc61183682"/>
      <w:bookmarkStart w:id="8789" w:name="_Toc61184076"/>
      <w:bookmarkStart w:id="8790" w:name="_Toc61184468"/>
      <w:bookmarkStart w:id="8791" w:name="_Toc61184860"/>
      <w:bookmarkStart w:id="8792" w:name="_Toc61185250"/>
      <w:bookmarkStart w:id="8793" w:name="_Toc66386595"/>
      <w:bookmarkStart w:id="8794" w:name="_Toc74583553"/>
      <w:bookmarkStart w:id="8795" w:name="_Toc76542366"/>
      <w:bookmarkStart w:id="8796" w:name="_Toc82450348"/>
      <w:bookmarkStart w:id="8797" w:name="_Toc82450996"/>
      <w:bookmarkStart w:id="8798" w:name="_Toc89949385"/>
      <w:bookmarkStart w:id="8799" w:name="_Toc98755774"/>
      <w:bookmarkStart w:id="8800" w:name="_Toc98763366"/>
      <w:bookmarkStart w:id="8801" w:name="_Toc106184295"/>
      <w:r>
        <w:t>12.3.</w:t>
      </w:r>
      <w:r w:rsidR="00E21D57">
        <w:t>2.2.1</w:t>
      </w:r>
      <w:r w:rsidR="00F72FF2">
        <w:tab/>
      </w:r>
      <w:r w:rsidR="00E21D57">
        <w:t>Introduction</w:t>
      </w:r>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p>
    <w:p w14:paraId="4BF56459" w14:textId="1951A0D7" w:rsidR="00E21D57" w:rsidRPr="00E21D57" w:rsidRDefault="00B76994" w:rsidP="00B76994">
      <w:r>
        <w:t>The UE requirements in sub-clause 8.5.2.1 [6] apply for IAB-MT.</w:t>
      </w:r>
    </w:p>
    <w:p w14:paraId="57ACBFD2" w14:textId="78B7919E" w:rsidR="00B76994" w:rsidRDefault="00B76994">
      <w:pPr>
        <w:pStyle w:val="Heading5"/>
      </w:pPr>
      <w:bookmarkStart w:id="8802" w:name="_Toc53185618"/>
      <w:bookmarkStart w:id="8803" w:name="_Toc53185994"/>
      <w:bookmarkStart w:id="8804" w:name="_Toc57820480"/>
      <w:bookmarkStart w:id="8805" w:name="_Toc57821407"/>
      <w:bookmarkStart w:id="8806" w:name="_Toc61183683"/>
      <w:bookmarkStart w:id="8807" w:name="_Toc61184077"/>
      <w:bookmarkStart w:id="8808" w:name="_Toc61184469"/>
      <w:bookmarkStart w:id="8809" w:name="_Toc61184861"/>
      <w:bookmarkStart w:id="8810" w:name="_Toc61185251"/>
      <w:bookmarkStart w:id="8811" w:name="_Toc66386596"/>
      <w:bookmarkStart w:id="8812" w:name="_Toc74583554"/>
      <w:bookmarkStart w:id="8813" w:name="_Toc76542367"/>
      <w:bookmarkStart w:id="8814" w:name="_Toc82450349"/>
      <w:bookmarkStart w:id="8815" w:name="_Toc82450997"/>
      <w:bookmarkStart w:id="8816" w:name="_Toc89949386"/>
      <w:bookmarkStart w:id="8817" w:name="_Toc98755775"/>
      <w:bookmarkStart w:id="8818" w:name="_Toc98763367"/>
      <w:bookmarkStart w:id="8819" w:name="_Toc106184296"/>
      <w:r>
        <w:t>12.3.2.2.2</w:t>
      </w:r>
      <w:r w:rsidR="00F72FF2">
        <w:tab/>
      </w:r>
      <w:r>
        <w:t>Minimum requirement</w:t>
      </w:r>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p>
    <w:p w14:paraId="7DFB57F3" w14:textId="77777777" w:rsidR="009F6209" w:rsidRPr="00885F53" w:rsidRDefault="009F6209" w:rsidP="009F6209">
      <w:pPr>
        <w:rPr>
          <w:rFonts w:eastAsia="?? ??"/>
        </w:rPr>
      </w:pPr>
      <w:r>
        <w:rPr>
          <w:rFonts w:eastAsia="?? ??"/>
        </w:rPr>
        <w:t>IAB-MT</w:t>
      </w:r>
      <w:r w:rsidRPr="00885F53">
        <w:rPr>
          <w:rFonts w:eastAsia="?? ??"/>
        </w:rPr>
        <w:t xml:space="preserve"> shall be able to evaluate whether the downlink radio link quality on the configured SSB </w:t>
      </w:r>
      <w:r w:rsidRPr="00885F53">
        <w:rPr>
          <w:rFonts w:cs="Arial"/>
        </w:rPr>
        <w:t xml:space="preserve">resource in set </w:t>
      </w:r>
      <w:r w:rsidRPr="00885F53">
        <w:rPr>
          <w:iCs/>
          <w:position w:val="-10"/>
        </w:rPr>
        <w:object w:dxaOrig="240" w:dyaOrig="315" w14:anchorId="3081C8A6">
          <v:shape id="_x0000_i1041" type="#_x0000_t75" style="width:14.4pt;height:21.6pt" o:ole="">
            <v:imagedata r:id="rId57" o:title=""/>
          </v:shape>
          <o:OLEObject Type="Embed" ProgID="Equation.3" ShapeID="_x0000_i1041" DrawAspect="Content" ObjectID="_1734764423" r:id="rId58"/>
        </w:object>
      </w:r>
      <w:r w:rsidRPr="00885F53">
        <w:t xml:space="preserve"> estimated </w:t>
      </w:r>
      <w:r w:rsidRPr="00885F53">
        <w:rPr>
          <w:rFonts w:eastAsia="?? ??"/>
        </w:rPr>
        <w:t xml:space="preserve">over the last </w:t>
      </w:r>
      <w:r w:rsidRPr="00885F53">
        <w:t>T</w:t>
      </w:r>
      <w:r w:rsidRPr="00885F53">
        <w:rPr>
          <w:vertAlign w:val="subscript"/>
        </w:rPr>
        <w:t>Evaluate_BFD_SSB</w:t>
      </w:r>
      <w:r w:rsidRPr="00885F53">
        <w:rPr>
          <w:rFonts w:eastAsia="?? ??"/>
        </w:rPr>
        <w:t xml:space="preserve"> ms period</w:t>
      </w:r>
      <w:r w:rsidRPr="00885F53">
        <w:t xml:space="preserve"> </w:t>
      </w:r>
      <w:r w:rsidRPr="00885F53">
        <w:rPr>
          <w:rFonts w:eastAsia="?? ??"/>
        </w:rPr>
        <w:t>becomes worse than the threshold Q</w:t>
      </w:r>
      <w:r w:rsidRPr="00885F53">
        <w:rPr>
          <w:rFonts w:eastAsia="?? ??"/>
          <w:vertAlign w:val="subscript"/>
        </w:rPr>
        <w:t>out_LR_SSB</w:t>
      </w:r>
      <w:r w:rsidRPr="00885F53">
        <w:rPr>
          <w:rFonts w:eastAsia="?? ??"/>
        </w:rPr>
        <w:t xml:space="preserve"> within </w:t>
      </w:r>
      <w:r w:rsidRPr="00885F53">
        <w:t>T</w:t>
      </w:r>
      <w:r w:rsidRPr="00885F53">
        <w:rPr>
          <w:vertAlign w:val="subscript"/>
        </w:rPr>
        <w:t>Evaluate_BFD_SSB</w:t>
      </w:r>
      <w:r w:rsidRPr="00885F53">
        <w:rPr>
          <w:rFonts w:eastAsia="?? ??"/>
        </w:rPr>
        <w:t xml:space="preserve"> ms period.</w:t>
      </w:r>
    </w:p>
    <w:p w14:paraId="70AF3F1F" w14:textId="5A1D23A6" w:rsidR="00F72FF2" w:rsidRPr="00C70CE9" w:rsidRDefault="00F72FF2" w:rsidP="00F72FF2">
      <w:pPr>
        <w:rPr>
          <w:rFonts w:eastAsia="?? ??"/>
        </w:rPr>
      </w:pPr>
      <w:r w:rsidRPr="00C70CE9">
        <w:rPr>
          <w:rFonts w:eastAsia="?? ??"/>
        </w:rPr>
        <w:t xml:space="preserve">The value of </w:t>
      </w:r>
      <w:r w:rsidRPr="00C70CE9">
        <w:t>T</w:t>
      </w:r>
      <w:r w:rsidRPr="00C70CE9">
        <w:rPr>
          <w:vertAlign w:val="subscript"/>
        </w:rPr>
        <w:t>Evaluate_BFD_SSB</w:t>
      </w:r>
      <w:r w:rsidRPr="00C70CE9">
        <w:rPr>
          <w:rFonts w:eastAsia="?? ??"/>
        </w:rPr>
        <w:t xml:space="preserve"> is defined in Table </w:t>
      </w:r>
      <w:r>
        <w:rPr>
          <w:rFonts w:eastAsia="?? ??"/>
        </w:rPr>
        <w:t>12.3.2.2.2</w:t>
      </w:r>
      <w:r w:rsidRPr="00C70CE9">
        <w:rPr>
          <w:rFonts w:eastAsia="?? ??"/>
        </w:rPr>
        <w:t>-1 for FR1.</w:t>
      </w:r>
    </w:p>
    <w:p w14:paraId="0E15834C" w14:textId="2AED8C45" w:rsidR="00F72FF2" w:rsidRPr="00C70CE9" w:rsidRDefault="00F72FF2" w:rsidP="00F72FF2">
      <w:pPr>
        <w:rPr>
          <w:rFonts w:eastAsia="?? ??"/>
        </w:rPr>
      </w:pPr>
      <w:r w:rsidRPr="00C70CE9">
        <w:rPr>
          <w:rFonts w:eastAsia="?? ??"/>
        </w:rPr>
        <w:t xml:space="preserve">The value of </w:t>
      </w:r>
      <w:r w:rsidRPr="00C70CE9">
        <w:t>T</w:t>
      </w:r>
      <w:r w:rsidRPr="00C70CE9">
        <w:rPr>
          <w:vertAlign w:val="subscript"/>
        </w:rPr>
        <w:t>Evaluate_BFD_SSB</w:t>
      </w:r>
      <w:r w:rsidRPr="00C70CE9">
        <w:rPr>
          <w:rFonts w:eastAsia="?? ??"/>
        </w:rPr>
        <w:t xml:space="preserve"> is defined in Table </w:t>
      </w:r>
      <w:r>
        <w:rPr>
          <w:rFonts w:eastAsia="?? ??"/>
        </w:rPr>
        <w:t>12.3.2.2.2</w:t>
      </w:r>
      <w:r w:rsidRPr="00C70CE9">
        <w:rPr>
          <w:rFonts w:eastAsia="?? ??"/>
        </w:rPr>
        <w:t>-2 for FR2 with scaling factor N= 8.</w:t>
      </w:r>
    </w:p>
    <w:p w14:paraId="27706477" w14:textId="67F86B35" w:rsidR="00B40A96" w:rsidRPr="00C70CE9" w:rsidRDefault="00B40A96" w:rsidP="00B40A96">
      <w:r w:rsidRPr="00885F53">
        <w:rPr>
          <w:rFonts w:eastAsia="?? ??"/>
        </w:rPr>
        <w:t>For FR1,</w:t>
      </w:r>
    </w:p>
    <w:p w14:paraId="1DCADE0F" w14:textId="4035ACDE" w:rsidR="00B40A96" w:rsidRPr="00C70CE9" w:rsidRDefault="00B40A96" w:rsidP="00B40A96">
      <w:pPr>
        <w:pStyle w:val="B10"/>
      </w:pPr>
      <w:r w:rsidRPr="00C70CE9">
        <w:t>-</w:t>
      </w:r>
      <w:r w:rsidRPr="00C70CE9">
        <w:tab/>
        <w:t>P=1.</w:t>
      </w:r>
    </w:p>
    <w:p w14:paraId="0AB59B1A" w14:textId="77777777" w:rsidR="00B40A96" w:rsidRPr="00885F53" w:rsidRDefault="00B40A96" w:rsidP="00B40A96">
      <w:pPr>
        <w:rPr>
          <w:rFonts w:eastAsia="?? ??"/>
        </w:rPr>
      </w:pPr>
      <w:r w:rsidRPr="00885F53">
        <w:rPr>
          <w:rFonts w:eastAsia="?? ??"/>
        </w:rPr>
        <w:t>For FR2,</w:t>
      </w:r>
    </w:p>
    <w:p w14:paraId="1F89D9C2" w14:textId="77777777" w:rsidR="00B03869" w:rsidRPr="00361F12" w:rsidRDefault="00B03869" w:rsidP="00361F12">
      <w:pPr>
        <w:ind w:left="568" w:hanging="284"/>
        <w:rPr>
          <w:rFonts w:eastAsia="SimSun"/>
        </w:rPr>
      </w:pPr>
      <w:r>
        <w:rPr>
          <w:rFonts w:eastAsia="SimSun"/>
        </w:rPr>
        <w:t>-</w:t>
      </w:r>
      <w:r>
        <w:rPr>
          <w:rFonts w:eastAsia="SimSun"/>
        </w:rPr>
        <w:tab/>
        <w:t>P=1, when the BFD-RS resource is not overlapped with SMTC occasion.</w:t>
      </w:r>
    </w:p>
    <w:p w14:paraId="740BEA04" w14:textId="6635879B" w:rsidR="00B40A96" w:rsidRPr="00C70CE9" w:rsidRDefault="00B40A96" w:rsidP="00B40A96">
      <w:pPr>
        <w:pStyle w:val="B10"/>
      </w:pPr>
      <w:r w:rsidRPr="00C70CE9">
        <w:t>-</w:t>
      </w:r>
      <w:r w:rsidRPr="00C70CE9">
        <w:tab/>
      </w:r>
      <m:oMath>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SSB</m:t>
                    </m:r>
                  </m:sub>
                </m:sSub>
              </m:num>
              <m:den>
                <m:sSub>
                  <m:sSubPr>
                    <m:ctrlPr>
                      <w:rPr>
                        <w:rFonts w:ascii="Cambria Math" w:hAnsi="Cambria Math"/>
                        <w:i/>
                      </w:rPr>
                    </m:ctrlPr>
                  </m:sSubPr>
                  <m:e>
                    <m:r>
                      <w:rPr>
                        <w:rFonts w:ascii="Cambria Math" w:hAnsi="Cambria Math"/>
                      </w:rPr>
                      <m:t>T</m:t>
                    </m:r>
                  </m:e>
                  <m:sub>
                    <m:r>
                      <w:rPr>
                        <w:rFonts w:ascii="Cambria Math" w:hAnsi="Cambria Math"/>
                      </w:rPr>
                      <m:t>SMTCperiod</m:t>
                    </m:r>
                  </m:sub>
                </m:sSub>
              </m:den>
            </m:f>
          </m:den>
        </m:f>
      </m:oMath>
      <w:r w:rsidRPr="00C70CE9">
        <w:t>, when the BFD-RS resource is partially overlapped with SMTC occasion (T</w:t>
      </w:r>
      <w:r w:rsidRPr="00C70CE9">
        <w:rPr>
          <w:vertAlign w:val="subscript"/>
        </w:rPr>
        <w:t>SSB</w:t>
      </w:r>
      <w:r w:rsidRPr="00C70CE9">
        <w:t xml:space="preserve"> &lt; T</w:t>
      </w:r>
      <w:r w:rsidRPr="00C70CE9">
        <w:rPr>
          <w:vertAlign w:val="subscript"/>
        </w:rPr>
        <w:t>SMTCperiod</w:t>
      </w:r>
      <w:r w:rsidRPr="00C70CE9">
        <w:t>).</w:t>
      </w:r>
    </w:p>
    <w:p w14:paraId="3E36EC70" w14:textId="597314D3" w:rsidR="00B03869" w:rsidRPr="00C70CE9" w:rsidRDefault="00B03869" w:rsidP="00B03869">
      <w:pPr>
        <w:pStyle w:val="B10"/>
      </w:pPr>
      <w:r w:rsidRPr="00C70CE9">
        <w:t>-</w:t>
      </w:r>
      <w:r w:rsidRPr="00C70CE9">
        <w:tab/>
        <w:t xml:space="preserve">P = </w:t>
      </w:r>
      <w:r>
        <w:t>3</w:t>
      </w:r>
      <w:r w:rsidRPr="00C70CE9">
        <w:t>, when the BFD-RS resource is fully overlapped with SMTC period (T</w:t>
      </w:r>
      <w:r w:rsidRPr="00C70CE9">
        <w:rPr>
          <w:vertAlign w:val="subscript"/>
        </w:rPr>
        <w:t>SSB</w:t>
      </w:r>
      <w:r w:rsidRPr="00C70CE9">
        <w:t xml:space="preserve"> = T</w:t>
      </w:r>
      <w:r w:rsidRPr="00C70CE9">
        <w:rPr>
          <w:vertAlign w:val="subscript"/>
        </w:rPr>
        <w:t>SMTCperiod</w:t>
      </w:r>
      <w:r w:rsidRPr="00C70CE9">
        <w:t>).</w:t>
      </w:r>
    </w:p>
    <w:p w14:paraId="342AB472" w14:textId="77777777" w:rsidR="00B40A96" w:rsidRDefault="00B40A96" w:rsidP="00B40A96">
      <w:r>
        <w:t xml:space="preserve">If the IAB-MT </w:t>
      </w:r>
      <w:r w:rsidRPr="00056493">
        <w:t>is not capable of 4 SMTC configurations per frequency [15]</w:t>
      </w:r>
      <w:r>
        <w:t>, and is provided with higher layer signaling of smtcj, where 1≤</w:t>
      </w:r>
      <w:r w:rsidRPr="00061F8F">
        <w:rPr>
          <w:i/>
          <w:iCs/>
        </w:rPr>
        <w:t>j</w:t>
      </w:r>
      <w:r>
        <w:t xml:space="preserve">≤2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65594F48" w14:textId="77777777" w:rsidR="00B40A96" w:rsidRPr="004B6FD1" w:rsidRDefault="00B40A96" w:rsidP="00B40A96">
      <w:r>
        <w:t xml:space="preserve">If the IAB-MT </w:t>
      </w:r>
      <w:r w:rsidRPr="00056493">
        <w:t>is capable of 4 SMTC configurations per frequency [15]</w:t>
      </w:r>
      <w:r>
        <w:t>, and is provided with higher layer signaling of smtcj, where 1≤</w:t>
      </w:r>
      <w:r w:rsidRPr="00061F8F">
        <w:rPr>
          <w:i/>
          <w:iCs/>
        </w:rPr>
        <w:t>j</w:t>
      </w:r>
      <w:r>
        <w:t xml:space="preserve">≤4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2E435D24" w14:textId="39C39E8B" w:rsidR="00B40A96" w:rsidRPr="00F947E2" w:rsidRDefault="00B40A96" w:rsidP="00B40A96">
      <w:pPr>
        <w:rPr>
          <w:rFonts w:eastAsia="?? ??"/>
        </w:rPr>
      </w:pPr>
      <w:r w:rsidRPr="00885F53">
        <w:t xml:space="preserve">Longer evaluation period would be expected if the combination of </w:t>
      </w:r>
      <w:r w:rsidRPr="00E03D7F">
        <w:t>BFD</w:t>
      </w:r>
      <w:r w:rsidRPr="00B216A9">
        <w:t>-RS</w:t>
      </w:r>
      <w:r w:rsidRPr="00E03D7F">
        <w:t xml:space="preserve"> resource</w:t>
      </w:r>
      <w:r>
        <w:t xml:space="preserve"> and</w:t>
      </w:r>
      <w:r w:rsidRPr="00885F53">
        <w:t xml:space="preserve"> SMTC occasion does not meet pervious conditions.</w:t>
      </w:r>
    </w:p>
    <w:p w14:paraId="4A045FF1" w14:textId="51765A6A" w:rsidR="00623FE6" w:rsidRPr="00C70CE9" w:rsidRDefault="00623FE6" w:rsidP="00623FE6">
      <w:pPr>
        <w:pStyle w:val="TH"/>
      </w:pPr>
      <w:r w:rsidRPr="00C70CE9">
        <w:t xml:space="preserve">Table </w:t>
      </w:r>
      <w:r>
        <w:t>12.3.2.2.2</w:t>
      </w:r>
      <w:r w:rsidRPr="00C70CE9">
        <w:t>-1: Evaluation period T</w:t>
      </w:r>
      <w:r w:rsidRPr="00C70CE9">
        <w:rPr>
          <w:vertAlign w:val="subscript"/>
        </w:rPr>
        <w:t>Evaluate_BFD_SSB</w:t>
      </w:r>
      <w:r w:rsidRPr="00C70CE9">
        <w:t xml:space="preserve"> for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9F6209" w:rsidRPr="00885F53" w14:paraId="38311327"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497369FC" w14:textId="77777777" w:rsidR="009F6209" w:rsidRPr="00885F53" w:rsidRDefault="009F6209" w:rsidP="00623FE6">
            <w:pPr>
              <w:pStyle w:val="TAH"/>
            </w:pPr>
            <w:r w:rsidRPr="00885F53">
              <w:t>Configuration</w:t>
            </w:r>
          </w:p>
        </w:tc>
        <w:tc>
          <w:tcPr>
            <w:tcW w:w="4582" w:type="dxa"/>
            <w:tcBorders>
              <w:top w:val="single" w:sz="4" w:space="0" w:color="auto"/>
              <w:left w:val="single" w:sz="4" w:space="0" w:color="auto"/>
              <w:bottom w:val="single" w:sz="4" w:space="0" w:color="auto"/>
              <w:right w:val="single" w:sz="4" w:space="0" w:color="auto"/>
            </w:tcBorders>
            <w:hideMark/>
          </w:tcPr>
          <w:p w14:paraId="6BB5CAC7" w14:textId="77777777" w:rsidR="009F6209" w:rsidRPr="00885F53" w:rsidRDefault="009F6209" w:rsidP="00623FE6">
            <w:pPr>
              <w:pStyle w:val="TAH"/>
            </w:pPr>
            <w:r w:rsidRPr="00885F53">
              <w:t>T</w:t>
            </w:r>
            <w:r w:rsidRPr="00885F53">
              <w:rPr>
                <w:vertAlign w:val="subscript"/>
              </w:rPr>
              <w:t>Evaluate_BFD_SSB</w:t>
            </w:r>
            <w:r w:rsidRPr="00885F53">
              <w:t xml:space="preserve"> (ms) </w:t>
            </w:r>
          </w:p>
        </w:tc>
      </w:tr>
      <w:tr w:rsidR="009F6209" w:rsidRPr="00885F53" w14:paraId="39B8E3A2"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4DB89782" w14:textId="77777777" w:rsidR="009F6209" w:rsidRPr="00885F53" w:rsidRDefault="009F6209" w:rsidP="00623FE6">
            <w:pPr>
              <w:pStyle w:val="TAC"/>
            </w:pPr>
            <w:r w:rsidRPr="00885F53">
              <w:t>no DRX</w:t>
            </w:r>
          </w:p>
        </w:tc>
        <w:tc>
          <w:tcPr>
            <w:tcW w:w="4582" w:type="dxa"/>
            <w:tcBorders>
              <w:top w:val="single" w:sz="4" w:space="0" w:color="auto"/>
              <w:left w:val="single" w:sz="4" w:space="0" w:color="auto"/>
              <w:bottom w:val="single" w:sz="4" w:space="0" w:color="auto"/>
              <w:right w:val="single" w:sz="4" w:space="0" w:color="auto"/>
            </w:tcBorders>
            <w:hideMark/>
          </w:tcPr>
          <w:p w14:paraId="3D9935FC" w14:textId="77777777" w:rsidR="009F6209" w:rsidRPr="00885F53" w:rsidRDefault="009F6209" w:rsidP="00623FE6">
            <w:pPr>
              <w:pStyle w:val="TAC"/>
            </w:pPr>
            <w:r w:rsidRPr="00E03D7F">
              <w:rPr>
                <w:rFonts w:cs="v4.2.0"/>
              </w:rPr>
              <w:t>Max(50, Ceil(5</w:t>
            </w:r>
            <w:r>
              <w:rPr>
                <w:rFonts w:cs="v4.2.0"/>
              </w:rPr>
              <w:t xml:space="preserve"> </w:t>
            </w:r>
            <w:r w:rsidRPr="00F1114A">
              <w:rPr>
                <w:rFonts w:cs="Arial"/>
                <w:szCs w:val="18"/>
              </w:rPr>
              <w:sym w:font="Symbol" w:char="F0B4"/>
            </w:r>
            <w:r>
              <w:rPr>
                <w:rFonts w:cs="Arial"/>
                <w:szCs w:val="18"/>
              </w:rPr>
              <w:t xml:space="preserve"> </w:t>
            </w:r>
            <w:r w:rsidRPr="00E03D7F">
              <w:rPr>
                <w:rFonts w:cs="v4.2.0"/>
              </w:rPr>
              <w:t>P)</w:t>
            </w:r>
            <w:r>
              <w:rPr>
                <w:rFonts w:cs="v4.2.0"/>
              </w:rPr>
              <w:t xml:space="preserve"> </w:t>
            </w:r>
            <w:r w:rsidRPr="00F1114A">
              <w:rPr>
                <w:rFonts w:cs="Arial"/>
                <w:szCs w:val="18"/>
              </w:rPr>
              <w:sym w:font="Symbol" w:char="F0B4"/>
            </w:r>
            <w:r>
              <w:rPr>
                <w:rFonts w:cs="Arial"/>
                <w:szCs w:val="18"/>
              </w:rPr>
              <w:t xml:space="preserve"> </w:t>
            </w:r>
            <w:r w:rsidRPr="00E03D7F">
              <w:rPr>
                <w:rFonts w:cs="v4.2.0"/>
              </w:rPr>
              <w:t>T</w:t>
            </w:r>
            <w:r w:rsidRPr="00E03D7F">
              <w:rPr>
                <w:rFonts w:cs="v4.2.0"/>
                <w:vertAlign w:val="subscript"/>
              </w:rPr>
              <w:t>SSB</w:t>
            </w:r>
            <w:r w:rsidRPr="00E03D7F">
              <w:rPr>
                <w:rFonts w:cs="v4.2.0"/>
              </w:rPr>
              <w:t>)</w:t>
            </w:r>
          </w:p>
        </w:tc>
      </w:tr>
      <w:tr w:rsidR="009F6209" w:rsidRPr="00885F53" w14:paraId="264833F4" w14:textId="77777777" w:rsidTr="00A4061E">
        <w:trPr>
          <w:jc w:val="center"/>
        </w:trPr>
        <w:tc>
          <w:tcPr>
            <w:tcW w:w="6617" w:type="dxa"/>
            <w:gridSpan w:val="2"/>
            <w:tcBorders>
              <w:top w:val="single" w:sz="4" w:space="0" w:color="auto"/>
              <w:left w:val="single" w:sz="4" w:space="0" w:color="auto"/>
              <w:bottom w:val="single" w:sz="4" w:space="0" w:color="auto"/>
              <w:right w:val="single" w:sz="4" w:space="0" w:color="auto"/>
            </w:tcBorders>
            <w:hideMark/>
          </w:tcPr>
          <w:p w14:paraId="05018496" w14:textId="77777777" w:rsidR="009F6209" w:rsidRPr="00885F53" w:rsidRDefault="009F6209" w:rsidP="00623FE6">
            <w:pPr>
              <w:pStyle w:val="TAN"/>
              <w:rPr>
                <w:rFonts w:cs="v4.2.0"/>
              </w:rPr>
            </w:pPr>
            <w:r w:rsidRPr="00885F53">
              <w:t>Note:</w:t>
            </w:r>
            <w:r w:rsidRPr="00885F53">
              <w:rPr>
                <w:sz w:val="28"/>
              </w:rPr>
              <w:tab/>
            </w:r>
            <w:r w:rsidRPr="00885F53">
              <w:rPr>
                <w:rFonts w:cs="v4.2.0"/>
              </w:rPr>
              <w:t>T</w:t>
            </w:r>
            <w:r w:rsidRPr="00885F53">
              <w:rPr>
                <w:rFonts w:cs="v4.2.0"/>
                <w:vertAlign w:val="subscript"/>
              </w:rPr>
              <w:t>SSB</w:t>
            </w:r>
            <w:r w:rsidRPr="00885F53">
              <w:t xml:space="preserve"> is the periodicity of SSB in the set </w:t>
            </w:r>
            <w:r w:rsidRPr="00885F53">
              <w:rPr>
                <w:iCs/>
                <w:noProof/>
                <w:position w:val="-10"/>
                <w:lang w:val="en-US" w:eastAsia="zh-CN"/>
              </w:rPr>
              <w:drawing>
                <wp:inline distT="0" distB="0" distL="0" distR="0" wp14:anchorId="5E75E06A" wp14:editId="6B2F196C">
                  <wp:extent cx="152400" cy="198120"/>
                  <wp:effectExtent l="0" t="0" r="0" b="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2400" cy="198120"/>
                          </a:xfrm>
                          <a:prstGeom prst="rect">
                            <a:avLst/>
                          </a:prstGeom>
                          <a:noFill/>
                          <a:ln>
                            <a:noFill/>
                          </a:ln>
                        </pic:spPr>
                      </pic:pic>
                    </a:graphicData>
                  </a:graphic>
                </wp:inline>
              </w:drawing>
            </w:r>
            <w:r w:rsidRPr="00885F53">
              <w:t>.</w:t>
            </w:r>
            <w:r w:rsidRPr="00885F53">
              <w:rPr>
                <w:rFonts w:cs="v4.2.0"/>
              </w:rPr>
              <w:t xml:space="preserve"> </w:t>
            </w:r>
          </w:p>
        </w:tc>
      </w:tr>
    </w:tbl>
    <w:p w14:paraId="3AFDD9BA" w14:textId="77777777" w:rsidR="009F6209" w:rsidRPr="00885F53" w:rsidRDefault="009F6209" w:rsidP="009F6209">
      <w:pPr>
        <w:rPr>
          <w:rFonts w:eastAsia="?? ??"/>
        </w:rPr>
      </w:pPr>
    </w:p>
    <w:p w14:paraId="64A5486A" w14:textId="44776FFF" w:rsidR="00623FE6" w:rsidRPr="00C70CE9" w:rsidRDefault="00623FE6" w:rsidP="00623FE6">
      <w:pPr>
        <w:pStyle w:val="TH"/>
      </w:pPr>
      <w:r w:rsidRPr="00C70CE9">
        <w:lastRenderedPageBreak/>
        <w:t xml:space="preserve">Table </w:t>
      </w:r>
      <w:r>
        <w:t>12.3.2.2.2</w:t>
      </w:r>
      <w:r w:rsidRPr="00C70CE9">
        <w:t>-2: Evaluation period T</w:t>
      </w:r>
      <w:r w:rsidRPr="00C70CE9">
        <w:rPr>
          <w:vertAlign w:val="subscript"/>
        </w:rPr>
        <w:t>Evaluate_BFD_SSB</w:t>
      </w:r>
      <w:r w:rsidRPr="00C70CE9">
        <w:t xml:space="preserve"> for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9F6209" w:rsidRPr="00885F53" w14:paraId="35844125"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2712D61C" w14:textId="77777777" w:rsidR="009F6209" w:rsidRPr="00885F53" w:rsidRDefault="009F6209" w:rsidP="00623FE6">
            <w:pPr>
              <w:pStyle w:val="TAH"/>
            </w:pPr>
            <w:r w:rsidRPr="00885F53">
              <w:t>Configuration</w:t>
            </w:r>
          </w:p>
        </w:tc>
        <w:tc>
          <w:tcPr>
            <w:tcW w:w="4582" w:type="dxa"/>
            <w:tcBorders>
              <w:top w:val="single" w:sz="4" w:space="0" w:color="auto"/>
              <w:left w:val="single" w:sz="4" w:space="0" w:color="auto"/>
              <w:bottom w:val="single" w:sz="4" w:space="0" w:color="auto"/>
              <w:right w:val="single" w:sz="4" w:space="0" w:color="auto"/>
            </w:tcBorders>
            <w:hideMark/>
          </w:tcPr>
          <w:p w14:paraId="18ACBABA" w14:textId="77777777" w:rsidR="009F6209" w:rsidRPr="00885F53" w:rsidRDefault="009F6209" w:rsidP="00623FE6">
            <w:pPr>
              <w:pStyle w:val="TAH"/>
            </w:pPr>
            <w:r w:rsidRPr="00885F53">
              <w:t>T</w:t>
            </w:r>
            <w:r w:rsidRPr="00885F53">
              <w:rPr>
                <w:vertAlign w:val="subscript"/>
              </w:rPr>
              <w:t>Evaluate_BFD_SSB</w:t>
            </w:r>
            <w:r w:rsidRPr="00885F53">
              <w:t xml:space="preserve"> (ms) </w:t>
            </w:r>
          </w:p>
        </w:tc>
      </w:tr>
      <w:tr w:rsidR="009F6209" w:rsidRPr="00885F53" w14:paraId="0C60D0E0"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2DC3FE89" w14:textId="77777777" w:rsidR="009F6209" w:rsidRPr="00885F53" w:rsidRDefault="009F6209" w:rsidP="00623FE6">
            <w:pPr>
              <w:pStyle w:val="TAC"/>
            </w:pPr>
            <w:r w:rsidRPr="00885F53">
              <w:t>no DRX</w:t>
            </w:r>
          </w:p>
        </w:tc>
        <w:tc>
          <w:tcPr>
            <w:tcW w:w="4582" w:type="dxa"/>
            <w:tcBorders>
              <w:top w:val="single" w:sz="4" w:space="0" w:color="auto"/>
              <w:left w:val="single" w:sz="4" w:space="0" w:color="auto"/>
              <w:bottom w:val="single" w:sz="4" w:space="0" w:color="auto"/>
              <w:right w:val="single" w:sz="4" w:space="0" w:color="auto"/>
            </w:tcBorders>
            <w:hideMark/>
          </w:tcPr>
          <w:p w14:paraId="53089C4B" w14:textId="77777777" w:rsidR="009F6209" w:rsidRPr="00885F53" w:rsidRDefault="009F6209" w:rsidP="00623FE6">
            <w:pPr>
              <w:pStyle w:val="TAC"/>
            </w:pPr>
            <w:r w:rsidRPr="00E03D7F">
              <w:t>Max(50, Ceil(5</w:t>
            </w:r>
            <w:r>
              <w:t xml:space="preserve"> </w:t>
            </w:r>
            <w:r w:rsidRPr="00F1114A">
              <w:rPr>
                <w:rFonts w:cs="Arial"/>
                <w:szCs w:val="18"/>
              </w:rPr>
              <w:sym w:font="Symbol" w:char="F0B4"/>
            </w:r>
            <w:r>
              <w:rPr>
                <w:rFonts w:cs="Arial"/>
                <w:szCs w:val="18"/>
              </w:rPr>
              <w:t xml:space="preserve"> </w:t>
            </w:r>
            <w:r w:rsidRPr="00E03D7F">
              <w:t>P</w:t>
            </w:r>
            <w:r>
              <w:t xml:space="preserve"> </w:t>
            </w:r>
            <w:r w:rsidRPr="00F1114A">
              <w:rPr>
                <w:rFonts w:cs="Arial"/>
                <w:szCs w:val="18"/>
              </w:rPr>
              <w:sym w:font="Symbol" w:char="F0B4"/>
            </w:r>
            <w:r>
              <w:rPr>
                <w:rFonts w:cs="Arial"/>
                <w:szCs w:val="18"/>
              </w:rPr>
              <w:t xml:space="preserve"> </w:t>
            </w:r>
            <w:r w:rsidRPr="00E03D7F">
              <w:t>N)</w:t>
            </w:r>
            <w:r>
              <w:t xml:space="preserve"> </w:t>
            </w:r>
            <w:r w:rsidRPr="00F1114A">
              <w:rPr>
                <w:rFonts w:cs="Arial"/>
                <w:szCs w:val="18"/>
              </w:rPr>
              <w:sym w:font="Symbol" w:char="F0B4"/>
            </w:r>
            <w:r>
              <w:rPr>
                <w:rFonts w:cs="Arial"/>
                <w:szCs w:val="18"/>
              </w:rPr>
              <w:t xml:space="preserve"> </w:t>
            </w:r>
            <w:r w:rsidRPr="00E03D7F">
              <w:t>T</w:t>
            </w:r>
            <w:r w:rsidRPr="00E03D7F">
              <w:rPr>
                <w:vertAlign w:val="subscript"/>
              </w:rPr>
              <w:t>SSB</w:t>
            </w:r>
            <w:r w:rsidRPr="00E03D7F">
              <w:t>)</w:t>
            </w:r>
          </w:p>
        </w:tc>
      </w:tr>
      <w:tr w:rsidR="009F6209" w:rsidRPr="00885F53" w14:paraId="3BDB1308" w14:textId="77777777" w:rsidTr="00A4061E">
        <w:trPr>
          <w:jc w:val="center"/>
        </w:trPr>
        <w:tc>
          <w:tcPr>
            <w:tcW w:w="6617" w:type="dxa"/>
            <w:gridSpan w:val="2"/>
            <w:tcBorders>
              <w:top w:val="single" w:sz="4" w:space="0" w:color="auto"/>
              <w:left w:val="single" w:sz="4" w:space="0" w:color="auto"/>
              <w:bottom w:val="single" w:sz="4" w:space="0" w:color="auto"/>
              <w:right w:val="single" w:sz="4" w:space="0" w:color="auto"/>
            </w:tcBorders>
            <w:hideMark/>
          </w:tcPr>
          <w:p w14:paraId="7939DCDD" w14:textId="77777777" w:rsidR="009F6209" w:rsidRPr="00885F53" w:rsidRDefault="009F6209" w:rsidP="00623FE6">
            <w:pPr>
              <w:pStyle w:val="TAN"/>
              <w:rPr>
                <w:rFonts w:cs="v4.2.0"/>
              </w:rPr>
            </w:pPr>
            <w:r w:rsidRPr="00885F53">
              <w:t>Note:</w:t>
            </w:r>
            <w:r w:rsidRPr="00885F53">
              <w:rPr>
                <w:sz w:val="28"/>
              </w:rPr>
              <w:tab/>
            </w:r>
            <w:r w:rsidRPr="00885F53">
              <w:rPr>
                <w:rFonts w:cs="v4.2.0"/>
              </w:rPr>
              <w:t>T</w:t>
            </w:r>
            <w:r w:rsidRPr="00885F53">
              <w:rPr>
                <w:rFonts w:cs="v4.2.0"/>
                <w:vertAlign w:val="subscript"/>
              </w:rPr>
              <w:t>SSB</w:t>
            </w:r>
            <w:r w:rsidRPr="00885F53">
              <w:t xml:space="preserve"> is the periodicity of SSB in the set </w:t>
            </w:r>
            <w:r w:rsidRPr="00885F53">
              <w:rPr>
                <w:iCs/>
                <w:noProof/>
                <w:position w:val="-10"/>
                <w:lang w:val="en-US" w:eastAsia="zh-CN"/>
              </w:rPr>
              <w:drawing>
                <wp:inline distT="0" distB="0" distL="0" distR="0" wp14:anchorId="08EF390D" wp14:editId="5C6C6217">
                  <wp:extent cx="152400" cy="198120"/>
                  <wp:effectExtent l="0" t="0" r="0" b="0"/>
                  <wp:docPr id="1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2400" cy="198120"/>
                          </a:xfrm>
                          <a:prstGeom prst="rect">
                            <a:avLst/>
                          </a:prstGeom>
                          <a:noFill/>
                          <a:ln>
                            <a:noFill/>
                          </a:ln>
                        </pic:spPr>
                      </pic:pic>
                    </a:graphicData>
                  </a:graphic>
                </wp:inline>
              </w:drawing>
            </w:r>
            <w:r w:rsidRPr="00885F53">
              <w:t>.</w:t>
            </w:r>
            <w:r w:rsidRPr="00885F53">
              <w:rPr>
                <w:rFonts w:cs="v4.2.0"/>
              </w:rPr>
              <w:t xml:space="preserve"> </w:t>
            </w:r>
          </w:p>
        </w:tc>
      </w:tr>
    </w:tbl>
    <w:p w14:paraId="7A17823B" w14:textId="77777777" w:rsidR="00B76994" w:rsidRPr="00B76994" w:rsidRDefault="00B76994" w:rsidP="00B76994"/>
    <w:p w14:paraId="06A91D08" w14:textId="5DDC45B8" w:rsidR="007D1ADD" w:rsidRDefault="007D1ADD">
      <w:pPr>
        <w:pStyle w:val="Heading5"/>
      </w:pPr>
      <w:bookmarkStart w:id="8820" w:name="_Toc53185619"/>
      <w:bookmarkStart w:id="8821" w:name="_Toc53185995"/>
      <w:bookmarkStart w:id="8822" w:name="_Toc57820481"/>
      <w:bookmarkStart w:id="8823" w:name="_Toc57821408"/>
      <w:bookmarkStart w:id="8824" w:name="_Toc61183684"/>
      <w:bookmarkStart w:id="8825" w:name="_Toc61184078"/>
      <w:bookmarkStart w:id="8826" w:name="_Toc61184470"/>
      <w:bookmarkStart w:id="8827" w:name="_Toc61184862"/>
      <w:bookmarkStart w:id="8828" w:name="_Toc61185252"/>
      <w:bookmarkStart w:id="8829" w:name="_Toc66386597"/>
      <w:bookmarkStart w:id="8830" w:name="_Toc74583555"/>
      <w:bookmarkStart w:id="8831" w:name="_Toc76542368"/>
      <w:bookmarkStart w:id="8832" w:name="_Toc82450350"/>
      <w:bookmarkStart w:id="8833" w:name="_Toc82450998"/>
      <w:bookmarkStart w:id="8834" w:name="_Toc89949387"/>
      <w:bookmarkStart w:id="8835" w:name="_Toc98755776"/>
      <w:bookmarkStart w:id="8836" w:name="_Toc98763368"/>
      <w:bookmarkStart w:id="8837" w:name="_Toc106184297"/>
      <w:r>
        <w:t>12.3.2.2.3</w:t>
      </w:r>
      <w:r w:rsidR="00623FE6">
        <w:tab/>
      </w:r>
      <w:r>
        <w:t>Measurement restriction for SSB based beam failure detection</w:t>
      </w:r>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p>
    <w:p w14:paraId="6E8299FB" w14:textId="06266459" w:rsidR="007D1ADD" w:rsidRPr="007D1ADD" w:rsidRDefault="00CB2ED0" w:rsidP="007D1ADD">
      <w:pPr>
        <w:rPr>
          <w:lang w:eastAsia="zh-CN"/>
        </w:rPr>
      </w:pPr>
      <w:r>
        <w:t>The UE requirements in sub-clause 8.5.2.3 [6] apply for IAB-MT.</w:t>
      </w:r>
    </w:p>
    <w:p w14:paraId="66BBA6EC" w14:textId="0EC44EDA" w:rsidR="00295C2F" w:rsidRPr="00295C2F" w:rsidRDefault="00334C0D" w:rsidP="00623FE6">
      <w:pPr>
        <w:pStyle w:val="Heading4"/>
      </w:pPr>
      <w:bookmarkStart w:id="8838" w:name="_Toc53185620"/>
      <w:bookmarkStart w:id="8839" w:name="_Toc53185996"/>
      <w:bookmarkStart w:id="8840" w:name="_Toc57820482"/>
      <w:bookmarkStart w:id="8841" w:name="_Toc57821409"/>
      <w:bookmarkStart w:id="8842" w:name="_Toc61183685"/>
      <w:bookmarkStart w:id="8843" w:name="_Toc61184079"/>
      <w:bookmarkStart w:id="8844" w:name="_Toc61184471"/>
      <w:bookmarkStart w:id="8845" w:name="_Toc61184863"/>
      <w:bookmarkStart w:id="8846" w:name="_Toc61185253"/>
      <w:bookmarkStart w:id="8847" w:name="_Toc66386598"/>
      <w:bookmarkStart w:id="8848" w:name="_Toc74583556"/>
      <w:bookmarkStart w:id="8849" w:name="_Toc76542369"/>
      <w:bookmarkStart w:id="8850" w:name="_Toc82450351"/>
      <w:bookmarkStart w:id="8851" w:name="_Toc82450999"/>
      <w:bookmarkStart w:id="8852" w:name="_Toc89949388"/>
      <w:bookmarkStart w:id="8853" w:name="_Toc98755777"/>
      <w:bookmarkStart w:id="8854" w:name="_Toc98763369"/>
      <w:bookmarkStart w:id="8855" w:name="_Toc106184298"/>
      <w:r>
        <w:t>1</w:t>
      </w:r>
      <w:r w:rsidR="00945315">
        <w:t>2</w:t>
      </w:r>
      <w:r>
        <w:t>.</w:t>
      </w:r>
      <w:r w:rsidR="00945315">
        <w:t>3.</w:t>
      </w:r>
      <w:r>
        <w:t>2.3</w:t>
      </w:r>
      <w:r w:rsidR="00623FE6">
        <w:tab/>
      </w:r>
      <w:r>
        <w:t>Requirements for CSI-RS based beam failure detection</w:t>
      </w:r>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p>
    <w:p w14:paraId="5BA9CA1B" w14:textId="36825F48" w:rsidR="00992BE1" w:rsidRDefault="00992BE1" w:rsidP="00992BE1">
      <w:pPr>
        <w:pStyle w:val="Heading5"/>
      </w:pPr>
      <w:bookmarkStart w:id="8856" w:name="_Toc53185621"/>
      <w:bookmarkStart w:id="8857" w:name="_Toc53185997"/>
      <w:bookmarkStart w:id="8858" w:name="_Toc57820483"/>
      <w:bookmarkStart w:id="8859" w:name="_Toc57821410"/>
      <w:bookmarkStart w:id="8860" w:name="_Toc61183686"/>
      <w:bookmarkStart w:id="8861" w:name="_Toc61184080"/>
      <w:bookmarkStart w:id="8862" w:name="_Toc61184472"/>
      <w:bookmarkStart w:id="8863" w:name="_Toc61184864"/>
      <w:bookmarkStart w:id="8864" w:name="_Toc61185254"/>
      <w:bookmarkStart w:id="8865" w:name="_Toc66386599"/>
      <w:bookmarkStart w:id="8866" w:name="_Toc74583557"/>
      <w:bookmarkStart w:id="8867" w:name="_Toc76542370"/>
      <w:bookmarkStart w:id="8868" w:name="_Toc82450352"/>
      <w:bookmarkStart w:id="8869" w:name="_Toc82451000"/>
      <w:bookmarkStart w:id="8870" w:name="_Toc89949389"/>
      <w:bookmarkStart w:id="8871" w:name="_Toc98755778"/>
      <w:bookmarkStart w:id="8872" w:name="_Toc98763370"/>
      <w:bookmarkStart w:id="8873" w:name="_Toc106184299"/>
      <w:r>
        <w:t>12.3.2.3.1</w:t>
      </w:r>
      <w:r w:rsidR="00623FE6">
        <w:tab/>
      </w:r>
      <w:r>
        <w:t>Introduction</w:t>
      </w:r>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p>
    <w:p w14:paraId="440CD438" w14:textId="4F54E8ED" w:rsidR="00992BE1" w:rsidRPr="00992BE1" w:rsidRDefault="005B3544" w:rsidP="00992BE1">
      <w:pPr>
        <w:rPr>
          <w:lang w:eastAsia="zh-CN"/>
        </w:rPr>
      </w:pPr>
      <w:r>
        <w:t>The UE requirements in sub-clause 8.5.3.1 [6] apply for IAB-MT.</w:t>
      </w:r>
    </w:p>
    <w:p w14:paraId="43DF857B" w14:textId="04F12612" w:rsidR="005B3544" w:rsidRDefault="005B3544">
      <w:pPr>
        <w:pStyle w:val="Heading5"/>
      </w:pPr>
      <w:bookmarkStart w:id="8874" w:name="_Toc53185622"/>
      <w:bookmarkStart w:id="8875" w:name="_Toc53185998"/>
      <w:bookmarkStart w:id="8876" w:name="_Toc57820484"/>
      <w:bookmarkStart w:id="8877" w:name="_Toc57821411"/>
      <w:bookmarkStart w:id="8878" w:name="_Toc61183687"/>
      <w:bookmarkStart w:id="8879" w:name="_Toc61184081"/>
      <w:bookmarkStart w:id="8880" w:name="_Toc61184473"/>
      <w:bookmarkStart w:id="8881" w:name="_Toc61184865"/>
      <w:bookmarkStart w:id="8882" w:name="_Toc61185255"/>
      <w:bookmarkStart w:id="8883" w:name="_Toc66386600"/>
      <w:bookmarkStart w:id="8884" w:name="_Toc74583558"/>
      <w:bookmarkStart w:id="8885" w:name="_Toc76542371"/>
      <w:bookmarkStart w:id="8886" w:name="_Toc82450353"/>
      <w:bookmarkStart w:id="8887" w:name="_Toc82451001"/>
      <w:bookmarkStart w:id="8888" w:name="_Toc89949390"/>
      <w:bookmarkStart w:id="8889" w:name="_Toc98755779"/>
      <w:bookmarkStart w:id="8890" w:name="_Toc98763371"/>
      <w:bookmarkStart w:id="8891" w:name="_Toc106184300"/>
      <w:r>
        <w:t>12.3.</w:t>
      </w:r>
      <w:r w:rsidR="00CC384D">
        <w:t>2.3.2</w:t>
      </w:r>
      <w:r w:rsidR="00623FE6">
        <w:tab/>
      </w:r>
      <w:r w:rsidR="00CC384D">
        <w:t>Minimum requirement</w:t>
      </w:r>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p>
    <w:p w14:paraId="4FF6C0BF" w14:textId="77777777" w:rsidR="00A51958" w:rsidRPr="00885F53" w:rsidRDefault="00A51958" w:rsidP="00A51958">
      <w:pPr>
        <w:rPr>
          <w:rFonts w:eastAsia="?? ??"/>
        </w:rPr>
      </w:pPr>
      <w:r>
        <w:rPr>
          <w:rFonts w:eastAsia="?? ??"/>
        </w:rPr>
        <w:t>IAB-MT</w:t>
      </w:r>
      <w:r w:rsidRPr="00885F53">
        <w:rPr>
          <w:rFonts w:eastAsia="?? ??"/>
        </w:rPr>
        <w:t xml:space="preserve"> shall be able to evaluate whether the downlink radio link quality on the CSI-RS </w:t>
      </w:r>
      <w:r w:rsidRPr="00885F53">
        <w:rPr>
          <w:rFonts w:cs="Arial"/>
        </w:rPr>
        <w:t xml:space="preserve">resource in set </w:t>
      </w:r>
      <w:r w:rsidRPr="00885F53">
        <w:rPr>
          <w:iCs/>
          <w:position w:val="-10"/>
        </w:rPr>
        <w:object w:dxaOrig="240" w:dyaOrig="315" w14:anchorId="6B2D9D41">
          <v:shape id="_x0000_i1042" type="#_x0000_t75" style="width:14.4pt;height:21.6pt" o:ole="">
            <v:imagedata r:id="rId57" o:title=""/>
          </v:shape>
          <o:OLEObject Type="Embed" ProgID="Equation.3" ShapeID="_x0000_i1042" DrawAspect="Content" ObjectID="_1734764424" r:id="rId60"/>
        </w:object>
      </w:r>
      <w:r w:rsidRPr="00885F53">
        <w:t xml:space="preserve"> estimated </w:t>
      </w:r>
      <w:r w:rsidRPr="00885F53">
        <w:rPr>
          <w:rFonts w:eastAsia="?? ??"/>
        </w:rPr>
        <w:t xml:space="preserve">over the last </w:t>
      </w:r>
      <w:r w:rsidRPr="00885F53">
        <w:t>T</w:t>
      </w:r>
      <w:r w:rsidRPr="00885F53">
        <w:rPr>
          <w:vertAlign w:val="subscript"/>
        </w:rPr>
        <w:t>Evaluate_BFD_CSI-RS</w:t>
      </w:r>
      <w:r w:rsidRPr="00885F53">
        <w:rPr>
          <w:rFonts w:eastAsia="?? ??"/>
        </w:rPr>
        <w:t xml:space="preserve"> ms period</w:t>
      </w:r>
      <w:r w:rsidRPr="00885F53">
        <w:t xml:space="preserve"> </w:t>
      </w:r>
      <w:r w:rsidRPr="00885F53">
        <w:rPr>
          <w:rFonts w:eastAsia="?? ??"/>
        </w:rPr>
        <w:t>becomes worse than the threshold Q</w:t>
      </w:r>
      <w:r w:rsidRPr="00885F53">
        <w:rPr>
          <w:rFonts w:eastAsia="?? ??"/>
          <w:vertAlign w:val="subscript"/>
        </w:rPr>
        <w:t>out_LR_CSI-RS</w:t>
      </w:r>
      <w:r w:rsidRPr="00885F53">
        <w:rPr>
          <w:rFonts w:eastAsia="?? ??"/>
        </w:rPr>
        <w:t xml:space="preserve"> within </w:t>
      </w:r>
      <w:r w:rsidRPr="00885F53">
        <w:t>T</w:t>
      </w:r>
      <w:r w:rsidRPr="00885F53">
        <w:rPr>
          <w:vertAlign w:val="subscript"/>
        </w:rPr>
        <w:t>Evaluate_BFD_CSI-RS</w:t>
      </w:r>
      <w:r w:rsidRPr="00885F53">
        <w:rPr>
          <w:rFonts w:eastAsia="?? ??"/>
        </w:rPr>
        <w:t xml:space="preserve"> ms period.</w:t>
      </w:r>
    </w:p>
    <w:p w14:paraId="264D800A" w14:textId="72AD0F72" w:rsidR="00623FE6" w:rsidRPr="00C70CE9" w:rsidRDefault="00623FE6" w:rsidP="00623FE6">
      <w:pPr>
        <w:rPr>
          <w:rFonts w:eastAsia="?? ??"/>
        </w:rPr>
      </w:pPr>
      <w:r w:rsidRPr="00C70CE9">
        <w:rPr>
          <w:rFonts w:eastAsia="?? ??"/>
        </w:rPr>
        <w:t xml:space="preserve">The value of </w:t>
      </w:r>
      <w:r w:rsidRPr="00C70CE9">
        <w:t>T</w:t>
      </w:r>
      <w:r w:rsidRPr="00C70CE9">
        <w:rPr>
          <w:vertAlign w:val="subscript"/>
        </w:rPr>
        <w:t>Evaluate_BFD_CSI-RS</w:t>
      </w:r>
      <w:r w:rsidRPr="00C70CE9">
        <w:rPr>
          <w:rFonts w:eastAsia="?? ??"/>
        </w:rPr>
        <w:t xml:space="preserve"> is defined in Table </w:t>
      </w:r>
      <w:r>
        <w:rPr>
          <w:rFonts w:eastAsia="?? ??"/>
        </w:rPr>
        <w:t>12.3.2.3.2</w:t>
      </w:r>
      <w:r w:rsidRPr="00C70CE9">
        <w:rPr>
          <w:rFonts w:eastAsia="?? ??"/>
        </w:rPr>
        <w:t>-1 for FR1.</w:t>
      </w:r>
    </w:p>
    <w:p w14:paraId="0635C7DE" w14:textId="7436829F" w:rsidR="00623FE6" w:rsidRDefault="00623FE6" w:rsidP="00623FE6">
      <w:pPr>
        <w:rPr>
          <w:rFonts w:eastAsia="?? ??"/>
        </w:rPr>
      </w:pPr>
      <w:r w:rsidRPr="00C70CE9">
        <w:rPr>
          <w:rFonts w:eastAsia="?? ??"/>
        </w:rPr>
        <w:t xml:space="preserve">The value of </w:t>
      </w:r>
      <w:r w:rsidRPr="00C70CE9">
        <w:t>T</w:t>
      </w:r>
      <w:r w:rsidRPr="00C70CE9">
        <w:rPr>
          <w:vertAlign w:val="subscript"/>
        </w:rPr>
        <w:t>Evaluate_BFD_CSI-RS</w:t>
      </w:r>
      <w:r w:rsidRPr="00C70CE9">
        <w:rPr>
          <w:rFonts w:eastAsia="?? ??"/>
        </w:rPr>
        <w:t xml:space="preserve"> is defined in Table </w:t>
      </w:r>
      <w:r>
        <w:rPr>
          <w:rFonts w:eastAsia="?? ??"/>
        </w:rPr>
        <w:t>12.3.2.3.2</w:t>
      </w:r>
      <w:r w:rsidRPr="00C70CE9">
        <w:rPr>
          <w:rFonts w:eastAsia="?? ??"/>
        </w:rPr>
        <w:t>-2 for FR2 with N=1.</w:t>
      </w:r>
    </w:p>
    <w:p w14:paraId="560C3291" w14:textId="442C942B" w:rsidR="00A51958" w:rsidRPr="00885F53" w:rsidRDefault="00A51958" w:rsidP="00A51958">
      <w:r w:rsidRPr="00885F53">
        <w:t>The requirements of T</w:t>
      </w:r>
      <w:r w:rsidRPr="00885F53">
        <w:rPr>
          <w:vertAlign w:val="subscript"/>
        </w:rPr>
        <w:t>Evaluate_BFD_CSI-RS</w:t>
      </w:r>
      <w:r w:rsidRPr="00885F53">
        <w:t xml:space="preserve"> apply provided that the CSI-RS for BFD is not in a resource set configured with repetition ON. </w:t>
      </w:r>
      <w:r w:rsidRPr="00885F53">
        <w:rPr>
          <w:rFonts w:eastAsia="PMingLiU" w:hint="eastAsia"/>
          <w:lang w:eastAsia="zh-TW"/>
        </w:rPr>
        <w:t>T</w:t>
      </w:r>
      <w:r w:rsidRPr="00885F53">
        <w:rPr>
          <w:rFonts w:eastAsia="PMingLiU"/>
          <w:lang w:eastAsia="zh-TW"/>
        </w:rPr>
        <w:t>he requirements shall not apply when the CSI-RS resource in the active TCI state of CORESET is the same CSI-RS resource for BFD</w:t>
      </w:r>
      <w:r w:rsidRPr="00885F53">
        <w:rPr>
          <w:rFonts w:eastAsia="PMingLiU" w:hint="eastAsia"/>
          <w:lang w:eastAsia="zh-TW"/>
        </w:rPr>
        <w:t xml:space="preserve"> </w:t>
      </w:r>
      <w:r w:rsidRPr="00885F53">
        <w:rPr>
          <w:rFonts w:eastAsia="PMingLiU"/>
          <w:lang w:eastAsia="zh-TW"/>
        </w:rPr>
        <w:t>and the TCI state information of the CSI-RS resource is not given, wherein the TCI state information means QCL Type-D to SSB for L1-RSRP or CSI-RS with repetition ON.</w:t>
      </w:r>
    </w:p>
    <w:p w14:paraId="12E955C5" w14:textId="3178230F" w:rsidR="00CF4857" w:rsidRPr="00C70CE9" w:rsidRDefault="00CF4857" w:rsidP="00CF4857">
      <w:r w:rsidRPr="00885F53">
        <w:rPr>
          <w:rFonts w:eastAsia="?? ??"/>
        </w:rPr>
        <w:t>For FR1,</w:t>
      </w:r>
    </w:p>
    <w:p w14:paraId="1C8C2030" w14:textId="4F38C94F" w:rsidR="00CF4857" w:rsidRPr="00885F53" w:rsidRDefault="00CF4857" w:rsidP="00CF4857">
      <w:pPr>
        <w:pStyle w:val="B10"/>
      </w:pPr>
      <w:r w:rsidRPr="00885F53">
        <w:t>-</w:t>
      </w:r>
      <w:r w:rsidRPr="00885F53">
        <w:tab/>
      </w:r>
      <w:r w:rsidRPr="00E03D7F">
        <w:t>P</w:t>
      </w:r>
      <w:r>
        <w:t xml:space="preserve"> </w:t>
      </w:r>
      <w:r w:rsidRPr="00E03D7F">
        <w:t>=</w:t>
      </w:r>
      <w:r>
        <w:t xml:space="preserve"> </w:t>
      </w:r>
      <w:r w:rsidRPr="00E03D7F">
        <w:t>1</w:t>
      </w:r>
      <w:r w:rsidRPr="00885F53">
        <w:t>.</w:t>
      </w:r>
    </w:p>
    <w:p w14:paraId="46BB9F10" w14:textId="77777777" w:rsidR="00CF4857" w:rsidRPr="00885F53" w:rsidRDefault="00CF4857" w:rsidP="00CF4857">
      <w:pPr>
        <w:rPr>
          <w:rFonts w:eastAsia="?? ??"/>
        </w:rPr>
      </w:pPr>
      <w:r w:rsidRPr="00885F53">
        <w:rPr>
          <w:rFonts w:eastAsia="?? ??"/>
        </w:rPr>
        <w:t>For FR2,</w:t>
      </w:r>
    </w:p>
    <w:p w14:paraId="26D2098C" w14:textId="5EEDE3DF" w:rsidR="00CF4857" w:rsidRPr="00C70CE9" w:rsidRDefault="00CF4857" w:rsidP="00CF4857">
      <w:pPr>
        <w:pStyle w:val="B10"/>
      </w:pPr>
      <w:r w:rsidRPr="00C70CE9">
        <w:t>-</w:t>
      </w:r>
      <w:r w:rsidRPr="00C70CE9">
        <w:tab/>
        <w:t>P = 1, when the BFD-RS resource is not overlapped with SMTC occasion.</w:t>
      </w:r>
    </w:p>
    <w:p w14:paraId="62C50671" w14:textId="674BCB6F" w:rsidR="00CF4857" w:rsidRPr="00C70CE9" w:rsidRDefault="00CF4857" w:rsidP="00CF4857">
      <w:pPr>
        <w:pStyle w:val="B10"/>
      </w:pPr>
      <w:r w:rsidRPr="00C70CE9">
        <w:t>-</w:t>
      </w:r>
      <w:r w:rsidRPr="00C70CE9">
        <w:tab/>
      </w:r>
      <m:oMath>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1-</m:t>
            </m:r>
            <m:f>
              <m:fPr>
                <m:ctrlPr>
                  <w:rPr>
                    <w:rFonts w:ascii="Cambria Math" w:hAnsi="Cambria Math"/>
                    <w:i/>
                  </w:rPr>
                </m:ctrlPr>
              </m:fPr>
              <m:num>
                <m:sSub>
                  <m:sSubPr>
                    <m:ctrlPr>
                      <w:rPr>
                        <w:rFonts w:ascii="Cambria Math" w:hAnsi="Cambria Math"/>
                      </w:rPr>
                    </m:ctrlPr>
                  </m:sSubPr>
                  <m:e>
                    <m:r>
                      <m:rPr>
                        <m:sty m:val="p"/>
                      </m:rPr>
                      <w:rPr>
                        <w:rFonts w:ascii="Cambria Math" w:hAnsi="Cambria Math"/>
                      </w:rPr>
                      <m:t>T</m:t>
                    </m:r>
                  </m:e>
                  <m:sub>
                    <m:r>
                      <m:rPr>
                        <m:sty m:val="p"/>
                      </m:rPr>
                      <w:rPr>
                        <w:rFonts w:ascii="Cambria Math" w:hAnsi="Cambria Math"/>
                      </w:rPr>
                      <m:t>CSI-RS</m:t>
                    </m:r>
                  </m:sub>
                </m:sSub>
              </m:num>
              <m:den>
                <m:sSub>
                  <m:sSubPr>
                    <m:ctrlPr>
                      <w:rPr>
                        <w:rFonts w:ascii="Cambria Math" w:hAnsi="Cambria Math"/>
                        <w:i/>
                      </w:rPr>
                    </m:ctrlPr>
                  </m:sSubPr>
                  <m:e>
                    <m:r>
                      <w:rPr>
                        <w:rFonts w:ascii="Cambria Math" w:hAnsi="Cambria Math"/>
                      </w:rPr>
                      <m:t>T</m:t>
                    </m:r>
                  </m:e>
                  <m:sub>
                    <m:r>
                      <w:rPr>
                        <w:rFonts w:ascii="Cambria Math" w:hAnsi="Cambria Math"/>
                      </w:rPr>
                      <m:t>SMTCperiod</m:t>
                    </m:r>
                  </m:sub>
                </m:sSub>
              </m:den>
            </m:f>
          </m:den>
        </m:f>
      </m:oMath>
      <w:r w:rsidRPr="00C70CE9">
        <w:t>, when the BFD-RS resource is partially overlapped with SMTC occasion (T</w:t>
      </w:r>
      <w:r w:rsidRPr="00C70CE9">
        <w:rPr>
          <w:vertAlign w:val="subscript"/>
        </w:rPr>
        <w:t>CSI-RS</w:t>
      </w:r>
      <w:r w:rsidRPr="00C70CE9">
        <w:t xml:space="preserve"> &lt; T</w:t>
      </w:r>
      <w:r w:rsidRPr="00C70CE9">
        <w:rPr>
          <w:vertAlign w:val="subscript"/>
        </w:rPr>
        <w:t>SMTCperiod</w:t>
      </w:r>
      <w:r w:rsidRPr="00C70CE9">
        <w:t>).</w:t>
      </w:r>
    </w:p>
    <w:p w14:paraId="641E2A08" w14:textId="388FA35A" w:rsidR="00CF4857" w:rsidRPr="00C70CE9" w:rsidRDefault="00CF4857" w:rsidP="00CF4857">
      <w:pPr>
        <w:pStyle w:val="B10"/>
      </w:pPr>
      <w:r w:rsidRPr="00C70CE9">
        <w:t>-</w:t>
      </w:r>
      <w:r w:rsidRPr="00C70CE9">
        <w:tab/>
        <w:t>P = P</w:t>
      </w:r>
      <w:r w:rsidRPr="00C70CE9">
        <w:rPr>
          <w:vertAlign w:val="subscript"/>
        </w:rPr>
        <w:t>sharing factor</w:t>
      </w:r>
      <w:r w:rsidRPr="00C70CE9">
        <w:t>, when BFD-RS resource is fully overlapped with SMTC occasion (</w:t>
      </w:r>
      <w:r w:rsidRPr="00C70CE9">
        <w:rPr>
          <w:rFonts w:eastAsia="?? ??"/>
        </w:rPr>
        <w:t>T</w:t>
      </w:r>
      <w:r w:rsidRPr="00C70CE9">
        <w:rPr>
          <w:rFonts w:eastAsia="?? ??"/>
          <w:vertAlign w:val="subscript"/>
        </w:rPr>
        <w:t>CSI-RS</w:t>
      </w:r>
      <w:r w:rsidRPr="00C70CE9">
        <w:t xml:space="preserve"> = T</w:t>
      </w:r>
      <w:r w:rsidRPr="00C70CE9">
        <w:rPr>
          <w:vertAlign w:val="subscript"/>
        </w:rPr>
        <w:t>SMTCperiod</w:t>
      </w:r>
      <w:r w:rsidRPr="00C70CE9">
        <w:t>).</w:t>
      </w:r>
    </w:p>
    <w:p w14:paraId="743F6525" w14:textId="77777777" w:rsidR="00CF4857" w:rsidRPr="00C70CE9" w:rsidRDefault="00CF4857" w:rsidP="00CF4857">
      <w:pPr>
        <w:pStyle w:val="B10"/>
        <w:rPr>
          <w:b/>
        </w:rPr>
      </w:pPr>
      <w:r w:rsidRPr="00C70CE9">
        <w:t>-</w:t>
      </w:r>
      <w:r w:rsidRPr="00C70CE9">
        <w:tab/>
        <w:t>P</w:t>
      </w:r>
      <w:r w:rsidRPr="00C70CE9">
        <w:rPr>
          <w:vertAlign w:val="subscript"/>
        </w:rPr>
        <w:t>sharing factor</w:t>
      </w:r>
      <w:r w:rsidRPr="00C70CE9">
        <w:t xml:space="preserve"> = 3</w:t>
      </w:r>
      <w:r w:rsidRPr="00C70CE9">
        <w:rPr>
          <w:b/>
        </w:rPr>
        <w:t>.</w:t>
      </w:r>
    </w:p>
    <w:p w14:paraId="3F184064" w14:textId="77777777" w:rsidR="00CF4857" w:rsidRDefault="00CF4857" w:rsidP="00CF4857">
      <w:r>
        <w:t xml:space="preserve">If the IAB-MT </w:t>
      </w:r>
      <w:r w:rsidRPr="00056493">
        <w:t>is not capable of 4 SMTC configurations per frequency [15]</w:t>
      </w:r>
      <w:r>
        <w:t>, and is provided with higher layer signaling of smtcj, where 1≤</w:t>
      </w:r>
      <w:r>
        <w:rPr>
          <w:i/>
          <w:iCs/>
        </w:rPr>
        <w:t>j</w:t>
      </w:r>
      <w:r>
        <w:t xml:space="preserve">≤2 </w:t>
      </w:r>
      <w:r w:rsidRPr="00885F53">
        <w:t>[</w:t>
      </w:r>
      <w:r>
        <w:t>15</w:t>
      </w:r>
      <w:r w:rsidRPr="00885F53">
        <w:t>]</w:t>
      </w:r>
      <w:r>
        <w:t xml:space="preserve">, then </w:t>
      </w:r>
      <w:r w:rsidRPr="00056493">
        <w:t>T</w:t>
      </w:r>
      <w:r>
        <w:rPr>
          <w:vertAlign w:val="subscript"/>
        </w:rPr>
        <w:t xml:space="preserve">SMTCperiod </w:t>
      </w:r>
      <w:r>
        <w:t>follows smtcj</w:t>
      </w:r>
      <w:r w:rsidRPr="004B6FD1">
        <w:rPr>
          <w:vertAlign w:val="subscript"/>
        </w:rPr>
        <w:t>max</w:t>
      </w:r>
      <w:r>
        <w:rPr>
          <w:vertAlign w:val="subscript"/>
        </w:rPr>
        <w:t xml:space="preserve"> </w:t>
      </w:r>
      <w:r>
        <w:t>where j</w:t>
      </w:r>
      <w:r w:rsidRPr="004B6FD1">
        <w:rPr>
          <w:vertAlign w:val="subscript"/>
        </w:rPr>
        <w:t>max</w:t>
      </w:r>
      <w:r>
        <w:t xml:space="preserve"> is the maximum value of all j for which smtcj has been configured.</w:t>
      </w:r>
    </w:p>
    <w:p w14:paraId="206B1139" w14:textId="77777777" w:rsidR="00CF4857" w:rsidRPr="004B6FD1" w:rsidRDefault="00CF4857" w:rsidP="00CF4857">
      <w:r>
        <w:t xml:space="preserve">If the IAB-MT </w:t>
      </w:r>
      <w:r w:rsidRPr="00056493">
        <w:t>is capable of 4 SMTC configurations per frequency [15]</w:t>
      </w:r>
      <w:r>
        <w:t>, and is provided with higher layer signaling of smtcj, where 1≤</w:t>
      </w:r>
      <w:r>
        <w:rPr>
          <w:i/>
          <w:iCs/>
        </w:rPr>
        <w:t>j</w:t>
      </w:r>
      <w:r>
        <w:t xml:space="preserve">≤4 </w:t>
      </w:r>
      <w:r w:rsidRPr="00885F53">
        <w:t>[</w:t>
      </w:r>
      <w:r>
        <w:t>15</w:t>
      </w:r>
      <w:r w:rsidRPr="00885F53">
        <w:t>]</w:t>
      </w:r>
      <w:r>
        <w:t xml:space="preserve">, then </w:t>
      </w:r>
      <w:r w:rsidRPr="00056493">
        <w:t>T</w:t>
      </w:r>
      <w:r>
        <w:rPr>
          <w:vertAlign w:val="subscript"/>
        </w:rPr>
        <w:t xml:space="preserve">SMTCperiod </w:t>
      </w:r>
      <w:r>
        <w:t>follows smtcj</w:t>
      </w:r>
      <w:r w:rsidRPr="004B6FD1">
        <w:rPr>
          <w:vertAlign w:val="subscript"/>
        </w:rPr>
        <w:t>max</w:t>
      </w:r>
      <w:r>
        <w:rPr>
          <w:vertAlign w:val="subscript"/>
        </w:rPr>
        <w:t xml:space="preserve"> </w:t>
      </w:r>
      <w:r>
        <w:t>where j</w:t>
      </w:r>
      <w:r w:rsidRPr="004B6FD1">
        <w:rPr>
          <w:vertAlign w:val="subscript"/>
        </w:rPr>
        <w:t>max</w:t>
      </w:r>
      <w:r>
        <w:t xml:space="preserve"> is the maximum value of all j for which smtcj has been configured.</w:t>
      </w:r>
    </w:p>
    <w:p w14:paraId="468089D4" w14:textId="77777777" w:rsidR="00CF4857" w:rsidRPr="00885F53" w:rsidRDefault="00CF4857" w:rsidP="00CF4857">
      <w:pPr>
        <w:pStyle w:val="NO"/>
        <w:rPr>
          <w:i/>
        </w:rPr>
      </w:pPr>
      <w:r w:rsidRPr="00885F53">
        <w:t>N</w:t>
      </w:r>
      <w:r>
        <w:t>OTE</w:t>
      </w:r>
      <w:r w:rsidRPr="00885F53">
        <w:t>:</w:t>
      </w:r>
      <w:r w:rsidRPr="00885F53">
        <w:tab/>
        <w:t>The overlap between CSI-RS for BFD and SMTC means that CSI-RS for BFD is within the SMTC window duration.</w:t>
      </w:r>
    </w:p>
    <w:p w14:paraId="3A508F70" w14:textId="4426BB7C" w:rsidR="003008E4" w:rsidRPr="00885F53" w:rsidRDefault="003008E4" w:rsidP="003008E4">
      <w:pPr>
        <w:rPr>
          <w:rFonts w:eastAsia="?? ??"/>
        </w:rPr>
      </w:pPr>
      <w:r w:rsidRPr="00885F53">
        <w:t>Longer evaluation period would be expected if the combination of the BFD</w:t>
      </w:r>
      <w:r w:rsidRPr="00B216A9">
        <w:t>-RS</w:t>
      </w:r>
      <w:r w:rsidRPr="00885F53">
        <w:t xml:space="preserve"> resource</w:t>
      </w:r>
      <w:r>
        <w:t xml:space="preserve"> and</w:t>
      </w:r>
      <w:r w:rsidRPr="00885F53">
        <w:t xml:space="preserve"> SMTC occasion configurations does not meet pervious conditions.</w:t>
      </w:r>
    </w:p>
    <w:p w14:paraId="115A9510" w14:textId="77777777" w:rsidR="00CF4857" w:rsidRPr="00C70CE9" w:rsidRDefault="00CF4857" w:rsidP="00CF4857">
      <w:pPr>
        <w:rPr>
          <w:rFonts w:eastAsia="?? ??"/>
        </w:rPr>
      </w:pPr>
      <w:r w:rsidRPr="00C70CE9">
        <w:rPr>
          <w:rFonts w:eastAsia="?? ??"/>
        </w:rPr>
        <w:t>The values of M</w:t>
      </w:r>
      <w:r w:rsidRPr="00C70CE9">
        <w:rPr>
          <w:rFonts w:eastAsia="?? ??"/>
          <w:vertAlign w:val="subscript"/>
        </w:rPr>
        <w:t>BFD</w:t>
      </w:r>
      <w:r w:rsidRPr="00C70CE9">
        <w:rPr>
          <w:rFonts w:eastAsia="?? ??"/>
        </w:rPr>
        <w:t xml:space="preserve"> used in Table </w:t>
      </w:r>
      <w:r>
        <w:rPr>
          <w:rFonts w:eastAsia="?? ??"/>
        </w:rPr>
        <w:t>12.3.2.3.2</w:t>
      </w:r>
      <w:r w:rsidRPr="00C70CE9">
        <w:rPr>
          <w:rFonts w:eastAsia="?? ??"/>
        </w:rPr>
        <w:t xml:space="preserve">-1 and Table </w:t>
      </w:r>
      <w:r>
        <w:rPr>
          <w:rFonts w:eastAsia="?? ??"/>
        </w:rPr>
        <w:t>12.3.2.3.2</w:t>
      </w:r>
      <w:r w:rsidRPr="00C70CE9">
        <w:rPr>
          <w:rFonts w:eastAsia="?? ??"/>
        </w:rPr>
        <w:t>-2 are defined as</w:t>
      </w:r>
    </w:p>
    <w:p w14:paraId="5B152E73" w14:textId="77777777" w:rsidR="00CF4857" w:rsidRPr="00885F53" w:rsidRDefault="00CF4857" w:rsidP="00CF4857">
      <w:pPr>
        <w:pStyle w:val="B10"/>
      </w:pPr>
      <w:r w:rsidRPr="00885F53">
        <w:lastRenderedPageBreak/>
        <w:t>-</w:t>
      </w:r>
      <w:r w:rsidRPr="00885F53">
        <w:tab/>
        <w:t>M</w:t>
      </w:r>
      <w:r w:rsidRPr="00885F53">
        <w:rPr>
          <w:vertAlign w:val="subscript"/>
        </w:rPr>
        <w:t>BFD</w:t>
      </w:r>
      <w:r w:rsidRPr="00885F53">
        <w:t xml:space="preserve"> = 10, if the CSI-RS resource(s) in set </w:t>
      </w:r>
      <w:r w:rsidRPr="00885F53">
        <w:rPr>
          <w:iCs/>
          <w:noProof/>
          <w:position w:val="-10"/>
          <w:lang w:val="en-US" w:eastAsia="zh-CN"/>
        </w:rPr>
        <w:drawing>
          <wp:inline distT="0" distB="0" distL="0" distR="0" wp14:anchorId="56A3CEFD" wp14:editId="65489840">
            <wp:extent cx="152400" cy="19812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2400" cy="198120"/>
                    </a:xfrm>
                    <a:prstGeom prst="rect">
                      <a:avLst/>
                    </a:prstGeom>
                    <a:noFill/>
                    <a:ln>
                      <a:noFill/>
                    </a:ln>
                  </pic:spPr>
                </pic:pic>
              </a:graphicData>
            </a:graphic>
          </wp:inline>
        </w:drawing>
      </w:r>
      <w:r w:rsidRPr="00885F53">
        <w:t xml:space="preserve"> used for BFD is transmitted with Density = 3.</w:t>
      </w:r>
    </w:p>
    <w:p w14:paraId="267B0B9B" w14:textId="7FE38682" w:rsidR="00623FE6" w:rsidRPr="00C70CE9" w:rsidRDefault="00623FE6" w:rsidP="00623FE6">
      <w:pPr>
        <w:pStyle w:val="TH"/>
      </w:pPr>
      <w:r w:rsidRPr="00C70CE9">
        <w:t xml:space="preserve">Table </w:t>
      </w:r>
      <w:r>
        <w:t>12.3.2.3.2</w:t>
      </w:r>
      <w:r w:rsidRPr="00C70CE9">
        <w:t>-1: Evaluation period T</w:t>
      </w:r>
      <w:r w:rsidRPr="00C70CE9">
        <w:rPr>
          <w:vertAlign w:val="subscript"/>
        </w:rPr>
        <w:t>Evaluate_BFD_CSI-RS</w:t>
      </w:r>
      <w:r w:rsidRPr="00C70CE9">
        <w:t xml:space="preserve"> for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A51958" w:rsidRPr="00885F53" w14:paraId="00323B8F"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50FBDCDE" w14:textId="77777777" w:rsidR="00A51958" w:rsidRPr="00885F53" w:rsidRDefault="00A51958" w:rsidP="00623FE6">
            <w:pPr>
              <w:pStyle w:val="TAH"/>
            </w:pPr>
            <w:r w:rsidRPr="00885F53">
              <w:t>Configuration</w:t>
            </w:r>
          </w:p>
        </w:tc>
        <w:tc>
          <w:tcPr>
            <w:tcW w:w="4582" w:type="dxa"/>
            <w:tcBorders>
              <w:top w:val="single" w:sz="4" w:space="0" w:color="auto"/>
              <w:left w:val="single" w:sz="4" w:space="0" w:color="auto"/>
              <w:bottom w:val="single" w:sz="4" w:space="0" w:color="auto"/>
              <w:right w:val="single" w:sz="4" w:space="0" w:color="auto"/>
            </w:tcBorders>
            <w:hideMark/>
          </w:tcPr>
          <w:p w14:paraId="695515CD" w14:textId="761EA944" w:rsidR="00A51958" w:rsidRPr="00885F53" w:rsidRDefault="00A51958" w:rsidP="00623FE6">
            <w:pPr>
              <w:pStyle w:val="TAH"/>
            </w:pPr>
            <w:r w:rsidRPr="00885F53">
              <w:t>T</w:t>
            </w:r>
            <w:r w:rsidRPr="00885F53">
              <w:rPr>
                <w:vertAlign w:val="subscript"/>
              </w:rPr>
              <w:t>Evaluate_BFD_CSI-RS</w:t>
            </w:r>
            <w:r w:rsidRPr="00885F53">
              <w:t xml:space="preserve"> (ms)</w:t>
            </w:r>
          </w:p>
        </w:tc>
      </w:tr>
      <w:tr w:rsidR="00A51958" w:rsidRPr="00885F53" w14:paraId="04F940DB"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22238783" w14:textId="77777777" w:rsidR="00A51958" w:rsidRPr="00885F53" w:rsidRDefault="00A51958" w:rsidP="00623FE6">
            <w:pPr>
              <w:pStyle w:val="TAC"/>
            </w:pPr>
            <w:r w:rsidRPr="00885F53">
              <w:t>no DRX</w:t>
            </w:r>
          </w:p>
        </w:tc>
        <w:tc>
          <w:tcPr>
            <w:tcW w:w="4582" w:type="dxa"/>
            <w:tcBorders>
              <w:top w:val="single" w:sz="4" w:space="0" w:color="auto"/>
              <w:left w:val="single" w:sz="4" w:space="0" w:color="auto"/>
              <w:bottom w:val="single" w:sz="4" w:space="0" w:color="auto"/>
              <w:right w:val="single" w:sz="4" w:space="0" w:color="auto"/>
            </w:tcBorders>
            <w:hideMark/>
          </w:tcPr>
          <w:p w14:paraId="481266A9" w14:textId="77777777" w:rsidR="00A51958" w:rsidRPr="00885F53" w:rsidRDefault="00A51958" w:rsidP="00623FE6">
            <w:pPr>
              <w:pStyle w:val="TAC"/>
            </w:pPr>
            <w:r w:rsidRPr="00E03D7F">
              <w:rPr>
                <w:rFonts w:cs="v4.2.0"/>
              </w:rPr>
              <w:t>Max(50, [M</w:t>
            </w:r>
            <w:r w:rsidRPr="00E03D7F">
              <w:rPr>
                <w:rFonts w:cs="v4.2.0"/>
                <w:vertAlign w:val="subscript"/>
              </w:rPr>
              <w:t>BFD</w:t>
            </w:r>
            <w:r w:rsidRPr="00E03D7F">
              <w:rPr>
                <w:rFonts w:cs="v4.2.0"/>
              </w:rPr>
              <w:t xml:space="preserve"> </w:t>
            </w:r>
            <w:r w:rsidRPr="00F1114A">
              <w:rPr>
                <w:rFonts w:cs="Arial"/>
                <w:szCs w:val="18"/>
              </w:rPr>
              <w:sym w:font="Symbol" w:char="F0B4"/>
            </w:r>
            <w:r>
              <w:rPr>
                <w:rFonts w:cs="Arial"/>
                <w:szCs w:val="18"/>
              </w:rPr>
              <w:t xml:space="preserve"> </w:t>
            </w:r>
            <w:r w:rsidRPr="00E03D7F">
              <w:rPr>
                <w:rFonts w:cs="v4.2.0"/>
              </w:rPr>
              <w:t xml:space="preserve">P] </w:t>
            </w:r>
            <w:r w:rsidRPr="00F1114A">
              <w:rPr>
                <w:rFonts w:cs="Arial"/>
                <w:szCs w:val="18"/>
              </w:rPr>
              <w:sym w:font="Symbol" w:char="F0B4"/>
            </w:r>
            <w:r w:rsidRPr="00E03D7F">
              <w:rPr>
                <w:rFonts w:cs="v4.2.0"/>
              </w:rPr>
              <w:t xml:space="preserve"> T</w:t>
            </w:r>
            <w:r w:rsidRPr="00E03D7F">
              <w:rPr>
                <w:rFonts w:cs="v4.2.0"/>
                <w:vertAlign w:val="subscript"/>
              </w:rPr>
              <w:t>CSI-RS</w:t>
            </w:r>
            <w:r w:rsidRPr="00E03D7F">
              <w:rPr>
                <w:rFonts w:cs="v4.2.0"/>
              </w:rPr>
              <w:t>)</w:t>
            </w:r>
          </w:p>
        </w:tc>
      </w:tr>
      <w:tr w:rsidR="00A51958" w:rsidRPr="00885F53" w14:paraId="6AA460C8" w14:textId="77777777" w:rsidTr="00A4061E">
        <w:trPr>
          <w:jc w:val="center"/>
        </w:trPr>
        <w:tc>
          <w:tcPr>
            <w:tcW w:w="6617" w:type="dxa"/>
            <w:gridSpan w:val="2"/>
            <w:tcBorders>
              <w:top w:val="single" w:sz="4" w:space="0" w:color="auto"/>
              <w:left w:val="single" w:sz="4" w:space="0" w:color="auto"/>
              <w:bottom w:val="single" w:sz="4" w:space="0" w:color="auto"/>
              <w:right w:val="single" w:sz="4" w:space="0" w:color="auto"/>
            </w:tcBorders>
            <w:hideMark/>
          </w:tcPr>
          <w:p w14:paraId="6939D4C4" w14:textId="77777777" w:rsidR="00A51958" w:rsidRPr="00885F53" w:rsidRDefault="00A51958" w:rsidP="00623FE6">
            <w:pPr>
              <w:pStyle w:val="TAN"/>
              <w:rPr>
                <w:rFonts w:cs="v4.2.0"/>
              </w:rPr>
            </w:pPr>
            <w:r w:rsidRPr="00885F53">
              <w:t>Note:</w:t>
            </w:r>
            <w:r w:rsidRPr="00885F53">
              <w:rPr>
                <w:sz w:val="28"/>
              </w:rPr>
              <w:tab/>
            </w:r>
            <w:r w:rsidRPr="00885F53">
              <w:rPr>
                <w:rFonts w:cs="v4.2.0"/>
              </w:rPr>
              <w:t>T</w:t>
            </w:r>
            <w:r w:rsidRPr="00885F53">
              <w:rPr>
                <w:rFonts w:cs="v4.2.0"/>
                <w:vertAlign w:val="subscript"/>
              </w:rPr>
              <w:t>CSI-RS</w:t>
            </w:r>
            <w:r w:rsidRPr="00885F53">
              <w:t xml:space="preserve"> is the periodicity of CSI-RS resource in the set </w:t>
            </w:r>
            <w:r w:rsidRPr="00885F53">
              <w:rPr>
                <w:iCs/>
                <w:noProof/>
                <w:position w:val="-10"/>
                <w:lang w:val="en-US" w:eastAsia="zh-CN"/>
              </w:rPr>
              <w:drawing>
                <wp:inline distT="0" distB="0" distL="0" distR="0" wp14:anchorId="3AE85512" wp14:editId="7E1479BD">
                  <wp:extent cx="152400" cy="1981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2400" cy="198120"/>
                          </a:xfrm>
                          <a:prstGeom prst="rect">
                            <a:avLst/>
                          </a:prstGeom>
                          <a:noFill/>
                          <a:ln>
                            <a:noFill/>
                          </a:ln>
                        </pic:spPr>
                      </pic:pic>
                    </a:graphicData>
                  </a:graphic>
                </wp:inline>
              </w:drawing>
            </w:r>
            <w:r w:rsidRPr="00885F53">
              <w:t>.</w:t>
            </w:r>
            <w:r w:rsidRPr="00885F53">
              <w:rPr>
                <w:rFonts w:cs="v4.2.0"/>
              </w:rPr>
              <w:t xml:space="preserve"> </w:t>
            </w:r>
          </w:p>
        </w:tc>
      </w:tr>
    </w:tbl>
    <w:p w14:paraId="3F21C2FB" w14:textId="77777777" w:rsidR="00A51958" w:rsidRPr="00885F53" w:rsidRDefault="00A51958" w:rsidP="00A51958">
      <w:pPr>
        <w:rPr>
          <w:rFonts w:eastAsia="?? ??"/>
        </w:rPr>
      </w:pPr>
    </w:p>
    <w:p w14:paraId="19B4BC4D" w14:textId="56AC2F6C" w:rsidR="00623FE6" w:rsidRPr="00C70CE9" w:rsidRDefault="00623FE6" w:rsidP="00623FE6">
      <w:pPr>
        <w:pStyle w:val="TH"/>
      </w:pPr>
      <w:r w:rsidRPr="00C70CE9">
        <w:t xml:space="preserve">Table </w:t>
      </w:r>
      <w:r>
        <w:t>12.3.2.3.2</w:t>
      </w:r>
      <w:r w:rsidRPr="00C70CE9">
        <w:t>-2: Evaluation period T</w:t>
      </w:r>
      <w:r w:rsidRPr="00C70CE9">
        <w:rPr>
          <w:vertAlign w:val="subscript"/>
        </w:rPr>
        <w:t>Evaluate_BFD_CSI-RS</w:t>
      </w:r>
      <w:r w:rsidRPr="00C70CE9">
        <w:t xml:space="preserve"> for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A51958" w:rsidRPr="00885F53" w14:paraId="6341368F"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34557589" w14:textId="77777777" w:rsidR="00A51958" w:rsidRPr="00885F53" w:rsidRDefault="00A51958" w:rsidP="00623FE6">
            <w:pPr>
              <w:pStyle w:val="TAH"/>
            </w:pPr>
            <w:r w:rsidRPr="00885F53">
              <w:t>Configuration</w:t>
            </w:r>
          </w:p>
        </w:tc>
        <w:tc>
          <w:tcPr>
            <w:tcW w:w="4582" w:type="dxa"/>
            <w:tcBorders>
              <w:top w:val="single" w:sz="4" w:space="0" w:color="auto"/>
              <w:left w:val="single" w:sz="4" w:space="0" w:color="auto"/>
              <w:bottom w:val="single" w:sz="4" w:space="0" w:color="auto"/>
              <w:right w:val="single" w:sz="4" w:space="0" w:color="auto"/>
            </w:tcBorders>
            <w:hideMark/>
          </w:tcPr>
          <w:p w14:paraId="4D8ADCB0" w14:textId="5D80F966" w:rsidR="00A51958" w:rsidRPr="00885F53" w:rsidRDefault="00A51958" w:rsidP="00623FE6">
            <w:pPr>
              <w:pStyle w:val="TAH"/>
            </w:pPr>
            <w:r w:rsidRPr="00885F53">
              <w:t>T</w:t>
            </w:r>
            <w:r w:rsidRPr="00885F53">
              <w:rPr>
                <w:vertAlign w:val="subscript"/>
              </w:rPr>
              <w:t>Evaluate_BFD_CSI-RS</w:t>
            </w:r>
            <w:r w:rsidRPr="00885F53">
              <w:t xml:space="preserve"> (ms)</w:t>
            </w:r>
          </w:p>
        </w:tc>
      </w:tr>
      <w:tr w:rsidR="00A51958" w:rsidRPr="00885F53" w14:paraId="05C19DE9" w14:textId="77777777" w:rsidTr="00A4061E">
        <w:trPr>
          <w:jc w:val="center"/>
        </w:trPr>
        <w:tc>
          <w:tcPr>
            <w:tcW w:w="2035" w:type="dxa"/>
            <w:tcBorders>
              <w:top w:val="single" w:sz="4" w:space="0" w:color="auto"/>
              <w:left w:val="single" w:sz="4" w:space="0" w:color="auto"/>
              <w:bottom w:val="single" w:sz="4" w:space="0" w:color="auto"/>
              <w:right w:val="single" w:sz="4" w:space="0" w:color="auto"/>
            </w:tcBorders>
            <w:hideMark/>
          </w:tcPr>
          <w:p w14:paraId="57D6F7FF" w14:textId="77777777" w:rsidR="00A51958" w:rsidRPr="00885F53" w:rsidRDefault="00A51958" w:rsidP="00623FE6">
            <w:pPr>
              <w:pStyle w:val="TAC"/>
            </w:pPr>
            <w:r w:rsidRPr="00885F53">
              <w:t>no DRX</w:t>
            </w:r>
          </w:p>
        </w:tc>
        <w:tc>
          <w:tcPr>
            <w:tcW w:w="4582" w:type="dxa"/>
            <w:tcBorders>
              <w:top w:val="single" w:sz="4" w:space="0" w:color="auto"/>
              <w:left w:val="single" w:sz="4" w:space="0" w:color="auto"/>
              <w:bottom w:val="single" w:sz="4" w:space="0" w:color="auto"/>
              <w:right w:val="single" w:sz="4" w:space="0" w:color="auto"/>
            </w:tcBorders>
            <w:hideMark/>
          </w:tcPr>
          <w:p w14:paraId="6CF4C8A0" w14:textId="77777777" w:rsidR="00A51958" w:rsidRPr="00885F53" w:rsidRDefault="00A51958" w:rsidP="00623FE6">
            <w:pPr>
              <w:pStyle w:val="TAC"/>
            </w:pPr>
            <w:r w:rsidRPr="00E03D7F">
              <w:rPr>
                <w:rFonts w:cs="v4.2.0"/>
              </w:rPr>
              <w:t>Max(50, [</w:t>
            </w:r>
            <w:r w:rsidRPr="00E03D7F">
              <w:rPr>
                <w:rFonts w:cs="Arial"/>
              </w:rPr>
              <w:t>M</w:t>
            </w:r>
            <w:r w:rsidRPr="00E03D7F">
              <w:rPr>
                <w:rFonts w:cs="Arial"/>
                <w:vertAlign w:val="subscript"/>
              </w:rPr>
              <w:t>BFD</w:t>
            </w:r>
            <w:r w:rsidRPr="00E03D7F">
              <w:rPr>
                <w:rFonts w:cs="v4.2.0"/>
              </w:rPr>
              <w:t xml:space="preserve"> </w:t>
            </w:r>
            <w:r w:rsidRPr="00F1114A">
              <w:rPr>
                <w:rFonts w:cs="Arial"/>
                <w:szCs w:val="18"/>
              </w:rPr>
              <w:sym w:font="Symbol" w:char="F0B4"/>
            </w:r>
            <w:r>
              <w:rPr>
                <w:rFonts w:cs="Arial"/>
                <w:szCs w:val="18"/>
              </w:rPr>
              <w:t xml:space="preserve"> </w:t>
            </w:r>
            <w:r w:rsidRPr="00E03D7F">
              <w:rPr>
                <w:rFonts w:cs="v4.2.0"/>
              </w:rPr>
              <w:t>P</w:t>
            </w:r>
            <w:r>
              <w:rPr>
                <w:rFonts w:cs="v4.2.0"/>
              </w:rPr>
              <w:t xml:space="preserve"> </w:t>
            </w:r>
            <w:r w:rsidRPr="00F1114A">
              <w:rPr>
                <w:rFonts w:cs="Arial"/>
                <w:szCs w:val="18"/>
              </w:rPr>
              <w:sym w:font="Symbol" w:char="F0B4"/>
            </w:r>
            <w:r>
              <w:rPr>
                <w:rFonts w:cs="Arial"/>
                <w:szCs w:val="18"/>
              </w:rPr>
              <w:t xml:space="preserve"> </w:t>
            </w:r>
            <w:r w:rsidRPr="00E03D7F">
              <w:rPr>
                <w:rFonts w:cs="v4.2.0"/>
              </w:rPr>
              <w:t xml:space="preserve">N] </w:t>
            </w:r>
            <w:r w:rsidRPr="00F1114A">
              <w:rPr>
                <w:rFonts w:cs="Arial"/>
                <w:szCs w:val="18"/>
              </w:rPr>
              <w:sym w:font="Symbol" w:char="F0B4"/>
            </w:r>
            <w:r w:rsidRPr="00E03D7F">
              <w:rPr>
                <w:rFonts w:cs="v4.2.0"/>
              </w:rPr>
              <w:t xml:space="preserve"> T</w:t>
            </w:r>
            <w:r w:rsidRPr="00E03D7F">
              <w:rPr>
                <w:rFonts w:cs="v4.2.0"/>
                <w:vertAlign w:val="subscript"/>
              </w:rPr>
              <w:t>CSI-RS</w:t>
            </w:r>
            <w:r w:rsidRPr="00E03D7F">
              <w:rPr>
                <w:rFonts w:cs="v4.2.0"/>
              </w:rPr>
              <w:t>)</w:t>
            </w:r>
          </w:p>
        </w:tc>
      </w:tr>
      <w:tr w:rsidR="00A51958" w:rsidRPr="00885F53" w14:paraId="26269D48" w14:textId="77777777" w:rsidTr="00A4061E">
        <w:trPr>
          <w:jc w:val="center"/>
        </w:trPr>
        <w:tc>
          <w:tcPr>
            <w:tcW w:w="6617" w:type="dxa"/>
            <w:gridSpan w:val="2"/>
            <w:tcBorders>
              <w:top w:val="single" w:sz="4" w:space="0" w:color="auto"/>
              <w:left w:val="single" w:sz="4" w:space="0" w:color="auto"/>
              <w:bottom w:val="single" w:sz="4" w:space="0" w:color="auto"/>
              <w:right w:val="single" w:sz="4" w:space="0" w:color="auto"/>
            </w:tcBorders>
            <w:hideMark/>
          </w:tcPr>
          <w:p w14:paraId="6FD3A9D1" w14:textId="77777777" w:rsidR="00A51958" w:rsidRPr="00885F53" w:rsidRDefault="00A51958" w:rsidP="00623FE6">
            <w:pPr>
              <w:pStyle w:val="TAN"/>
              <w:rPr>
                <w:rFonts w:cs="v4.2.0"/>
              </w:rPr>
            </w:pPr>
            <w:r w:rsidRPr="00885F53">
              <w:t>Note:</w:t>
            </w:r>
            <w:r w:rsidRPr="00885F53">
              <w:rPr>
                <w:sz w:val="28"/>
              </w:rPr>
              <w:tab/>
            </w:r>
            <w:r w:rsidRPr="00885F53">
              <w:rPr>
                <w:rFonts w:cs="v4.2.0"/>
              </w:rPr>
              <w:t>T</w:t>
            </w:r>
            <w:r w:rsidRPr="00885F53">
              <w:rPr>
                <w:rFonts w:cs="v4.2.0"/>
                <w:vertAlign w:val="subscript"/>
              </w:rPr>
              <w:t>CSI-RS</w:t>
            </w:r>
            <w:r w:rsidRPr="00885F53">
              <w:t xml:space="preserve"> is the periodicity of CSI-RS resource in the set </w:t>
            </w:r>
            <w:r w:rsidRPr="00885F53">
              <w:rPr>
                <w:iCs/>
                <w:noProof/>
                <w:position w:val="-10"/>
                <w:lang w:val="en-US" w:eastAsia="zh-CN"/>
              </w:rPr>
              <w:drawing>
                <wp:inline distT="0" distB="0" distL="0" distR="0" wp14:anchorId="728F3E92" wp14:editId="7C604B11">
                  <wp:extent cx="152400" cy="198120"/>
                  <wp:effectExtent l="0" t="0" r="0" b="0"/>
                  <wp:docPr id="1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2400" cy="198120"/>
                          </a:xfrm>
                          <a:prstGeom prst="rect">
                            <a:avLst/>
                          </a:prstGeom>
                          <a:noFill/>
                          <a:ln>
                            <a:noFill/>
                          </a:ln>
                        </pic:spPr>
                      </pic:pic>
                    </a:graphicData>
                  </a:graphic>
                </wp:inline>
              </w:drawing>
            </w:r>
            <w:r w:rsidRPr="00885F53">
              <w:t>.</w:t>
            </w:r>
            <w:r w:rsidRPr="00885F53">
              <w:rPr>
                <w:rFonts w:cs="v4.2.0"/>
              </w:rPr>
              <w:t xml:space="preserve"> </w:t>
            </w:r>
          </w:p>
        </w:tc>
      </w:tr>
    </w:tbl>
    <w:p w14:paraId="79E18694" w14:textId="77777777" w:rsidR="00CC384D" w:rsidRPr="00CC384D" w:rsidRDefault="00CC384D" w:rsidP="00CC384D"/>
    <w:p w14:paraId="6892132A" w14:textId="79F4ED4E" w:rsidR="00A51958" w:rsidRDefault="00A51958">
      <w:pPr>
        <w:pStyle w:val="Heading5"/>
      </w:pPr>
      <w:bookmarkStart w:id="8892" w:name="_Toc53185623"/>
      <w:bookmarkStart w:id="8893" w:name="_Toc53185999"/>
      <w:bookmarkStart w:id="8894" w:name="_Toc57820485"/>
      <w:bookmarkStart w:id="8895" w:name="_Toc57821412"/>
      <w:bookmarkStart w:id="8896" w:name="_Toc61183688"/>
      <w:bookmarkStart w:id="8897" w:name="_Toc61184082"/>
      <w:bookmarkStart w:id="8898" w:name="_Toc61184474"/>
      <w:bookmarkStart w:id="8899" w:name="_Toc61184866"/>
      <w:bookmarkStart w:id="8900" w:name="_Toc61185256"/>
      <w:bookmarkStart w:id="8901" w:name="_Toc66386601"/>
      <w:bookmarkStart w:id="8902" w:name="_Toc74583559"/>
      <w:bookmarkStart w:id="8903" w:name="_Toc76542372"/>
      <w:bookmarkStart w:id="8904" w:name="_Toc82450354"/>
      <w:bookmarkStart w:id="8905" w:name="_Toc82451002"/>
      <w:bookmarkStart w:id="8906" w:name="_Toc89949391"/>
      <w:bookmarkStart w:id="8907" w:name="_Toc98755780"/>
      <w:bookmarkStart w:id="8908" w:name="_Toc98763372"/>
      <w:bookmarkStart w:id="8909" w:name="_Toc106184301"/>
      <w:r>
        <w:t>12.3.2.3.3</w:t>
      </w:r>
      <w:r w:rsidR="00623FE6">
        <w:tab/>
      </w:r>
      <w:r>
        <w:t>Measurement restrictions for CSI-RS based beam failure detection</w:t>
      </w:r>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p>
    <w:p w14:paraId="5EC6668D" w14:textId="21A65CE4" w:rsidR="00A51958" w:rsidRPr="00A51958" w:rsidRDefault="00A10D66" w:rsidP="00A10D66">
      <w:pPr>
        <w:rPr>
          <w:lang w:eastAsia="zh-CN"/>
        </w:rPr>
      </w:pPr>
      <w:r>
        <w:t>The UE requirements in sub-clause 8.5.3.3 [6] apply for IAB-MT.</w:t>
      </w:r>
    </w:p>
    <w:p w14:paraId="47FFA86A" w14:textId="429EA51D" w:rsidR="00334C0D" w:rsidRDefault="00334C0D" w:rsidP="00FE263A">
      <w:pPr>
        <w:pStyle w:val="Heading4"/>
      </w:pPr>
      <w:bookmarkStart w:id="8910" w:name="_Toc53185624"/>
      <w:bookmarkStart w:id="8911" w:name="_Toc53186000"/>
      <w:bookmarkStart w:id="8912" w:name="_Toc57820486"/>
      <w:bookmarkStart w:id="8913" w:name="_Toc57821413"/>
      <w:bookmarkStart w:id="8914" w:name="_Toc61183689"/>
      <w:bookmarkStart w:id="8915" w:name="_Toc61184083"/>
      <w:bookmarkStart w:id="8916" w:name="_Toc61184475"/>
      <w:bookmarkStart w:id="8917" w:name="_Toc61184867"/>
      <w:bookmarkStart w:id="8918" w:name="_Toc61185257"/>
      <w:bookmarkStart w:id="8919" w:name="_Toc66386602"/>
      <w:bookmarkStart w:id="8920" w:name="_Toc74583560"/>
      <w:bookmarkStart w:id="8921" w:name="_Toc76542373"/>
      <w:bookmarkStart w:id="8922" w:name="_Toc82450355"/>
      <w:bookmarkStart w:id="8923" w:name="_Toc82451003"/>
      <w:bookmarkStart w:id="8924" w:name="_Toc89949392"/>
      <w:bookmarkStart w:id="8925" w:name="_Toc98755781"/>
      <w:bookmarkStart w:id="8926" w:name="_Toc98763373"/>
      <w:bookmarkStart w:id="8927" w:name="_Toc106184302"/>
      <w:r>
        <w:t>1</w:t>
      </w:r>
      <w:r w:rsidR="00945315">
        <w:t>2</w:t>
      </w:r>
      <w:r>
        <w:t>.</w:t>
      </w:r>
      <w:r w:rsidR="00945315">
        <w:t>3.</w:t>
      </w:r>
      <w:r>
        <w:t>2.4</w:t>
      </w:r>
      <w:r w:rsidR="00623FE6">
        <w:tab/>
      </w:r>
      <w:r>
        <w:t>Minimum requirement</w:t>
      </w:r>
      <w:r w:rsidR="0037108D">
        <w:t xml:space="preserve"> </w:t>
      </w:r>
      <w:r>
        <w:t>for L1 indication</w:t>
      </w:r>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p>
    <w:p w14:paraId="498D1A57" w14:textId="123FC539" w:rsidR="00623FE6" w:rsidRPr="00C70CE9" w:rsidRDefault="00623FE6" w:rsidP="00623FE6">
      <w:r w:rsidRPr="00C70CE9">
        <w:t xml:space="preserve">When the radio link quality on all the RS resources in set </w:t>
      </w:r>
      <w:r w:rsidRPr="00C70CE9">
        <w:rPr>
          <w:iCs/>
          <w:position w:val="-10"/>
        </w:rPr>
        <w:object w:dxaOrig="240" w:dyaOrig="315" w14:anchorId="554EC29E">
          <v:shape id="_x0000_i1043" type="#_x0000_t75" style="width:14.4pt;height:21.6pt" o:ole="">
            <v:imagedata r:id="rId57" o:title=""/>
          </v:shape>
          <o:OLEObject Type="Embed" ProgID="Equation.3" ShapeID="_x0000_i1043" DrawAspect="Content" ObjectID="_1734764425" r:id="rId61"/>
        </w:object>
      </w:r>
      <w:r w:rsidRPr="00C70CE9">
        <w:rPr>
          <w:iCs/>
        </w:rPr>
        <w:t xml:space="preserve"> </w:t>
      </w:r>
      <w:r w:rsidRPr="00C70CE9">
        <w:t>is worse than Q</w:t>
      </w:r>
      <w:r w:rsidRPr="00C70CE9">
        <w:rPr>
          <w:vertAlign w:val="subscript"/>
        </w:rPr>
        <w:t>out_LR</w:t>
      </w:r>
      <w:r w:rsidRPr="00C70CE9">
        <w:t xml:space="preserve">, layer 1 of the </w:t>
      </w:r>
      <w:r>
        <w:t xml:space="preserve">IAB-MT </w:t>
      </w:r>
      <w:r w:rsidRPr="00C70CE9">
        <w:t>shall send a beam failure instance indication to the higher layers. A layer 3 filter may be applied to the beam failure instance indications as specified in TS 38.331 [15].</w:t>
      </w:r>
    </w:p>
    <w:p w14:paraId="132D1806" w14:textId="2C910172" w:rsidR="001B6A5E" w:rsidRPr="00885F53" w:rsidRDefault="001B6A5E" w:rsidP="00623FE6">
      <w:r w:rsidRPr="00885F53">
        <w:t xml:space="preserve">The beam failure instance evaluation for the RS resources in set </w:t>
      </w:r>
      <w:r w:rsidRPr="00885F53">
        <w:rPr>
          <w:iCs/>
          <w:position w:val="-10"/>
        </w:rPr>
        <w:object w:dxaOrig="240" w:dyaOrig="315" w14:anchorId="6A91FC6C">
          <v:shape id="_x0000_i1044" type="#_x0000_t75" style="width:14.4pt;height:21.6pt" o:ole="">
            <v:imagedata r:id="rId57" o:title=""/>
          </v:shape>
          <o:OLEObject Type="Embed" ProgID="Equation.3" ShapeID="_x0000_i1044" DrawAspect="Content" ObjectID="_1734764426" r:id="rId62"/>
        </w:object>
      </w:r>
      <w:r w:rsidRPr="00885F53">
        <w:rPr>
          <w:iCs/>
        </w:rPr>
        <w:t xml:space="preserve"> </w:t>
      </w:r>
      <w:r w:rsidRPr="00885F53">
        <w:t>shall be performed as specified in clause 6 in TS 38.213 [</w:t>
      </w:r>
      <w:r w:rsidR="00831FFA">
        <w:t>10</w:t>
      </w:r>
      <w:r w:rsidRPr="00885F53">
        <w:t>]. Two successive indications from layer 1 shall be separated by at least T</w:t>
      </w:r>
      <w:r w:rsidRPr="00885F53">
        <w:rPr>
          <w:vertAlign w:val="subscript"/>
        </w:rPr>
        <w:t>Indication_interval_BFD</w:t>
      </w:r>
      <w:r w:rsidRPr="00885F53">
        <w:t>.</w:t>
      </w:r>
    </w:p>
    <w:p w14:paraId="58A54B73" w14:textId="06A60EFA" w:rsidR="00334C0D" w:rsidRPr="00935D1A" w:rsidRDefault="001B6A5E" w:rsidP="00FE263A">
      <w:r w:rsidRPr="00885F53">
        <w:t>T</w:t>
      </w:r>
      <w:r w:rsidRPr="00885F53">
        <w:rPr>
          <w:vertAlign w:val="subscript"/>
        </w:rPr>
        <w:t>Indication_interval_BFD</w:t>
      </w:r>
      <w:r w:rsidRPr="00885F53">
        <w:t xml:space="preserve"> is max(2ms, T</w:t>
      </w:r>
      <w:r w:rsidRPr="00885F53">
        <w:rPr>
          <w:vertAlign w:val="subscript"/>
        </w:rPr>
        <w:t>SSB-RS,M</w:t>
      </w:r>
      <w:r w:rsidRPr="00885F53">
        <w:t>) ) or max(2ms, T</w:t>
      </w:r>
      <w:r w:rsidRPr="00885F53">
        <w:rPr>
          <w:vertAlign w:val="subscript"/>
        </w:rPr>
        <w:t>CSI-RS,M</w:t>
      </w:r>
      <w:r w:rsidRPr="00885F53">
        <w:t>), where T</w:t>
      </w:r>
      <w:r w:rsidRPr="00885F53">
        <w:rPr>
          <w:vertAlign w:val="subscript"/>
        </w:rPr>
        <w:t>SSB-RS,M</w:t>
      </w:r>
      <w:r w:rsidRPr="00885F53">
        <w:t xml:space="preserve"> and T</w:t>
      </w:r>
      <w:r w:rsidRPr="00885F53">
        <w:rPr>
          <w:vertAlign w:val="subscript"/>
        </w:rPr>
        <w:t>CSI-RS,M</w:t>
      </w:r>
      <w:r w:rsidRPr="00885F53">
        <w:t xml:space="preserve"> is the shortest periodicity of all RS resources in set </w:t>
      </w:r>
      <w:r w:rsidRPr="00885F53">
        <w:rPr>
          <w:iCs/>
          <w:position w:val="-10"/>
        </w:rPr>
        <w:object w:dxaOrig="240" w:dyaOrig="315" w14:anchorId="7D8DB3F1">
          <v:shape id="_x0000_i1045" type="#_x0000_t75" style="width:14.4pt;height:21.6pt" o:ole="">
            <v:imagedata r:id="rId57" o:title=""/>
          </v:shape>
          <o:OLEObject Type="Embed" ProgID="Equation.3" ShapeID="_x0000_i1045" DrawAspect="Content" ObjectID="_1734764427" r:id="rId63"/>
        </w:object>
      </w:r>
      <w:r w:rsidRPr="00885F53">
        <w:rPr>
          <w:iCs/>
        </w:rPr>
        <w:t xml:space="preserve"> </w:t>
      </w:r>
      <w:r w:rsidRPr="00885F53">
        <w:t xml:space="preserve">for the </w:t>
      </w:r>
      <w:r w:rsidRPr="00885F53">
        <w:rPr>
          <w:rFonts w:cs="v5.0.0"/>
        </w:rPr>
        <w:t xml:space="preserve">accessed </w:t>
      </w:r>
      <w:r w:rsidRPr="00885F53">
        <w:t xml:space="preserve">cell, corresponding to either the shortest periodicity of the SSB  in the set </w:t>
      </w:r>
      <w:r w:rsidRPr="00885F53">
        <w:rPr>
          <w:iCs/>
          <w:position w:val="-10"/>
        </w:rPr>
        <w:object w:dxaOrig="240" w:dyaOrig="315" w14:anchorId="403D164B">
          <v:shape id="_x0000_i1046" type="#_x0000_t75" style="width:14.4pt;height:21.6pt" o:ole="">
            <v:imagedata r:id="rId57" o:title=""/>
          </v:shape>
          <o:OLEObject Type="Embed" ProgID="Equation.3" ShapeID="_x0000_i1046" DrawAspect="Content" ObjectID="_1734764428" r:id="rId64"/>
        </w:object>
      </w:r>
      <w:r w:rsidRPr="00885F53">
        <w:rPr>
          <w:iCs/>
        </w:rPr>
        <w:t xml:space="preserve"> </w:t>
      </w:r>
      <w:r w:rsidRPr="00885F53">
        <w:t xml:space="preserve">or CSI-RS resource in the set </w:t>
      </w:r>
      <w:r w:rsidRPr="00885F53">
        <w:rPr>
          <w:iCs/>
          <w:position w:val="-10"/>
        </w:rPr>
        <w:object w:dxaOrig="240" w:dyaOrig="315" w14:anchorId="028D0AE6">
          <v:shape id="_x0000_i1047" type="#_x0000_t75" style="width:14.4pt;height:21.6pt" o:ole="">
            <v:imagedata r:id="rId57" o:title=""/>
          </v:shape>
          <o:OLEObject Type="Embed" ProgID="Equation.3" ShapeID="_x0000_i1047" DrawAspect="Content" ObjectID="_1734764429" r:id="rId65"/>
        </w:object>
      </w:r>
      <w:r w:rsidRPr="00885F53">
        <w:t>.</w:t>
      </w:r>
    </w:p>
    <w:p w14:paraId="584C5DC2" w14:textId="7203FA19" w:rsidR="00334C0D" w:rsidRDefault="00334C0D" w:rsidP="00FE263A">
      <w:pPr>
        <w:pStyle w:val="Heading4"/>
      </w:pPr>
      <w:bookmarkStart w:id="8928" w:name="_Toc53185625"/>
      <w:bookmarkStart w:id="8929" w:name="_Toc53186001"/>
      <w:bookmarkStart w:id="8930" w:name="_Toc57820487"/>
      <w:bookmarkStart w:id="8931" w:name="_Toc57821414"/>
      <w:bookmarkStart w:id="8932" w:name="_Toc61183690"/>
      <w:bookmarkStart w:id="8933" w:name="_Toc61184084"/>
      <w:bookmarkStart w:id="8934" w:name="_Toc61184476"/>
      <w:bookmarkStart w:id="8935" w:name="_Toc61184868"/>
      <w:bookmarkStart w:id="8936" w:name="_Toc61185258"/>
      <w:bookmarkStart w:id="8937" w:name="_Toc66386603"/>
      <w:bookmarkStart w:id="8938" w:name="_Toc74583561"/>
      <w:bookmarkStart w:id="8939" w:name="_Toc76542374"/>
      <w:bookmarkStart w:id="8940" w:name="_Toc82450356"/>
      <w:bookmarkStart w:id="8941" w:name="_Toc82451004"/>
      <w:bookmarkStart w:id="8942" w:name="_Toc89949393"/>
      <w:bookmarkStart w:id="8943" w:name="_Toc98755782"/>
      <w:bookmarkStart w:id="8944" w:name="_Toc98763374"/>
      <w:bookmarkStart w:id="8945" w:name="_Toc106184303"/>
      <w:r>
        <w:t>1</w:t>
      </w:r>
      <w:r w:rsidR="00945315">
        <w:t>2</w:t>
      </w:r>
      <w:r>
        <w:t>.</w:t>
      </w:r>
      <w:r w:rsidR="00945315">
        <w:t>3.</w:t>
      </w:r>
      <w:r>
        <w:t>2.5</w:t>
      </w:r>
      <w:r w:rsidR="00623FE6">
        <w:tab/>
      </w:r>
      <w:r>
        <w:t>Requirements for SSB based candidate beam detection</w:t>
      </w:r>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p>
    <w:p w14:paraId="78CBA2AC" w14:textId="23F09B45" w:rsidR="00AF3725" w:rsidRDefault="00AF3725" w:rsidP="00AF3725">
      <w:pPr>
        <w:pStyle w:val="Heading5"/>
      </w:pPr>
      <w:bookmarkStart w:id="8946" w:name="_Toc53185626"/>
      <w:bookmarkStart w:id="8947" w:name="_Toc53186002"/>
      <w:bookmarkStart w:id="8948" w:name="_Toc57820488"/>
      <w:bookmarkStart w:id="8949" w:name="_Toc57821415"/>
      <w:bookmarkStart w:id="8950" w:name="_Toc61183691"/>
      <w:bookmarkStart w:id="8951" w:name="_Toc61184085"/>
      <w:bookmarkStart w:id="8952" w:name="_Toc61184477"/>
      <w:bookmarkStart w:id="8953" w:name="_Toc61184869"/>
      <w:bookmarkStart w:id="8954" w:name="_Toc61185259"/>
      <w:bookmarkStart w:id="8955" w:name="_Toc66386604"/>
      <w:bookmarkStart w:id="8956" w:name="_Toc74583562"/>
      <w:bookmarkStart w:id="8957" w:name="_Toc76542375"/>
      <w:bookmarkStart w:id="8958" w:name="_Toc82450357"/>
      <w:bookmarkStart w:id="8959" w:name="_Toc82451005"/>
      <w:bookmarkStart w:id="8960" w:name="_Toc89949394"/>
      <w:bookmarkStart w:id="8961" w:name="_Toc98755783"/>
      <w:bookmarkStart w:id="8962" w:name="_Toc98763375"/>
      <w:bookmarkStart w:id="8963" w:name="_Toc106184304"/>
      <w:r>
        <w:t>12.3.2.5.1</w:t>
      </w:r>
      <w:r w:rsidR="00623FE6">
        <w:tab/>
      </w:r>
      <w:r>
        <w:t>Introduction</w:t>
      </w:r>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p>
    <w:p w14:paraId="05AC233A" w14:textId="38B28EA7" w:rsidR="00AF3725" w:rsidRPr="00AF3725" w:rsidRDefault="00857A90" w:rsidP="00357409">
      <w:r w:rsidRPr="001B7DB7">
        <w:t xml:space="preserve">The requirements in this clause apply for each SSB resource in the set </w:t>
      </w:r>
      <w:r w:rsidRPr="001B7DB7">
        <w:rPr>
          <w:iCs/>
          <w:noProof/>
          <w:position w:val="-10"/>
          <w:lang w:val="en-US" w:eastAsia="zh-CN"/>
        </w:rPr>
        <w:drawing>
          <wp:inline distT="0" distB="0" distL="0" distR="0" wp14:anchorId="1EB8594A" wp14:editId="21463C48">
            <wp:extent cx="133350" cy="200025"/>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33350" cy="200025"/>
                    </a:xfrm>
                    <a:prstGeom prst="rect">
                      <a:avLst/>
                    </a:prstGeom>
                    <a:noFill/>
                    <a:ln>
                      <a:noFill/>
                    </a:ln>
                  </pic:spPr>
                </pic:pic>
              </a:graphicData>
            </a:graphic>
          </wp:inline>
        </w:drawing>
      </w:r>
      <w:r w:rsidRPr="001B7DB7">
        <w:t xml:space="preserve"> configured for a serving cell, provided that the SSBs configured for candidate </w:t>
      </w:r>
      <w:r w:rsidRPr="001B7DB7">
        <w:rPr>
          <w:rFonts w:cs="v5.0.0"/>
        </w:rPr>
        <w:t>beam detection</w:t>
      </w:r>
      <w:r w:rsidRPr="001B7DB7">
        <w:t xml:space="preserve"> are actually transmitted within IAB-MT active DL BWP during the entire evaluation period specified in clause 12.3.2.5.2.</w:t>
      </w:r>
    </w:p>
    <w:p w14:paraId="217311EC" w14:textId="0FF64A6D" w:rsidR="00857A90" w:rsidRDefault="00857A90">
      <w:pPr>
        <w:pStyle w:val="Heading5"/>
      </w:pPr>
      <w:bookmarkStart w:id="8964" w:name="_Toc53185627"/>
      <w:bookmarkStart w:id="8965" w:name="_Toc53186003"/>
      <w:bookmarkStart w:id="8966" w:name="_Toc57820489"/>
      <w:bookmarkStart w:id="8967" w:name="_Toc57821416"/>
      <w:bookmarkStart w:id="8968" w:name="_Toc61183692"/>
      <w:bookmarkStart w:id="8969" w:name="_Toc61184086"/>
      <w:bookmarkStart w:id="8970" w:name="_Toc61184478"/>
      <w:bookmarkStart w:id="8971" w:name="_Toc61184870"/>
      <w:bookmarkStart w:id="8972" w:name="_Toc61185260"/>
      <w:bookmarkStart w:id="8973" w:name="_Toc66386605"/>
      <w:bookmarkStart w:id="8974" w:name="_Toc74583563"/>
      <w:bookmarkStart w:id="8975" w:name="_Toc76542376"/>
      <w:bookmarkStart w:id="8976" w:name="_Toc82450358"/>
      <w:bookmarkStart w:id="8977" w:name="_Toc82451006"/>
      <w:bookmarkStart w:id="8978" w:name="_Toc89949395"/>
      <w:bookmarkStart w:id="8979" w:name="_Toc98755784"/>
      <w:bookmarkStart w:id="8980" w:name="_Toc98763376"/>
      <w:bookmarkStart w:id="8981" w:name="_Toc106184305"/>
      <w:r>
        <w:t>12.3.</w:t>
      </w:r>
      <w:r w:rsidR="00593E5E">
        <w:t>2.</w:t>
      </w:r>
      <w:r>
        <w:t>5.2</w:t>
      </w:r>
      <w:r w:rsidR="00623FE6">
        <w:tab/>
      </w:r>
      <w:r>
        <w:t>Minimum requirement</w:t>
      </w:r>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p>
    <w:p w14:paraId="28E20BFA" w14:textId="328959AD" w:rsidR="00857A90" w:rsidRPr="001B7DB7" w:rsidRDefault="00857A90" w:rsidP="00857A90">
      <w:pPr>
        <w:rPr>
          <w:rFonts w:eastAsia="?? ??"/>
        </w:rPr>
      </w:pPr>
      <w:r w:rsidRPr="00D05627">
        <w:rPr>
          <w:rFonts w:eastAsia="?? ??"/>
        </w:rPr>
        <w:t xml:space="preserve">Upon request the IAB-MT shall be able to evaluate whether the L1-RSRP measured on the configured SSB </w:t>
      </w:r>
      <w:r w:rsidRPr="00D05627">
        <w:rPr>
          <w:rFonts w:cs="Arial"/>
        </w:rPr>
        <w:t xml:space="preserve">resource in set </w:t>
      </w:r>
      <w:r w:rsidRPr="001B7DB7">
        <w:rPr>
          <w:noProof/>
          <w:position w:val="-10"/>
          <w:lang w:val="en-US" w:eastAsia="zh-CN"/>
        </w:rPr>
        <w:drawing>
          <wp:inline distT="0" distB="0" distL="0" distR="0" wp14:anchorId="42080FD5" wp14:editId="4A542975">
            <wp:extent cx="133350" cy="200025"/>
            <wp:effectExtent l="19050" t="0" r="0" b="0"/>
            <wp:docPr id="2881"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1B7DB7">
        <w:t xml:space="preserve"> estimated </w:t>
      </w:r>
      <w:r w:rsidRPr="001B7DB7">
        <w:rPr>
          <w:rFonts w:eastAsia="?? ??"/>
        </w:rPr>
        <w:t xml:space="preserve">over the last </w:t>
      </w:r>
      <w:r w:rsidRPr="001B7DB7">
        <w:t>T</w:t>
      </w:r>
      <w:r w:rsidRPr="001B7DB7">
        <w:rPr>
          <w:vertAlign w:val="subscript"/>
        </w:rPr>
        <w:t>Evaluate_CBD_SSB</w:t>
      </w:r>
      <w:r w:rsidRPr="001B7DB7">
        <w:rPr>
          <w:rFonts w:eastAsia="?? ??"/>
        </w:rPr>
        <w:t xml:space="preserve"> ms period</w:t>
      </w:r>
      <w:r w:rsidRPr="001B7DB7">
        <w:t xml:space="preserve"> </w:t>
      </w:r>
      <w:r w:rsidRPr="001B7DB7">
        <w:rPr>
          <w:rFonts w:eastAsia="?? ??"/>
        </w:rPr>
        <w:t>becomes better than the threshold Q</w:t>
      </w:r>
      <w:r w:rsidRPr="001B7DB7">
        <w:rPr>
          <w:rFonts w:eastAsia="?? ??"/>
          <w:vertAlign w:val="subscript"/>
        </w:rPr>
        <w:t xml:space="preserve">in_LR </w:t>
      </w:r>
      <w:r w:rsidRPr="001B7DB7">
        <w:rPr>
          <w:rFonts w:eastAsia="?? ??"/>
        </w:rPr>
        <w:t xml:space="preserve">provided SSB_RP and SSB </w:t>
      </w:r>
      <w:r w:rsidRPr="00AF3725">
        <w:rPr>
          <w:lang w:val="en-US"/>
        </w:rPr>
        <w:t>Ês/Iot</w:t>
      </w:r>
      <w:r w:rsidRPr="00AF3725">
        <w:t xml:space="preserve"> are according </w:t>
      </w:r>
      <w:r w:rsidRPr="001B7DB7">
        <w:t>to Annex Table in B.2.4.1 [</w:t>
      </w:r>
      <w:r w:rsidR="003C241D">
        <w:t>6</w:t>
      </w:r>
      <w:r w:rsidRPr="001B7DB7">
        <w:t>] for a corresponding band</w:t>
      </w:r>
      <w:r w:rsidRPr="001B7DB7">
        <w:rPr>
          <w:rFonts w:eastAsia="?? ??"/>
        </w:rPr>
        <w:t>.</w:t>
      </w:r>
    </w:p>
    <w:p w14:paraId="02F22D32" w14:textId="77777777" w:rsidR="00857A90" w:rsidRPr="001B7DB7" w:rsidRDefault="00857A90" w:rsidP="00857A90">
      <w:pPr>
        <w:rPr>
          <w:rFonts w:cs="v4.2.0"/>
        </w:rPr>
      </w:pPr>
      <w:r w:rsidRPr="001B7DB7">
        <w:rPr>
          <w:rFonts w:cs="v4.2.0"/>
        </w:rPr>
        <w:t xml:space="preserve">The </w:t>
      </w:r>
      <w:r w:rsidRPr="001B7DB7">
        <w:rPr>
          <w:rFonts w:eastAsia="?? ??"/>
        </w:rPr>
        <w:t>IAB-MT</w:t>
      </w:r>
      <w:r w:rsidRPr="001B7DB7">
        <w:rPr>
          <w:rFonts w:cs="v4.2.0"/>
        </w:rPr>
        <w:t xml:space="preserve"> shall monitor the configured SSB resources using the evaluation period in table 12.3.2.5.2-1 and 12.3.2.5.2-2 which is applicable to the non-DRX mode only.</w:t>
      </w:r>
    </w:p>
    <w:p w14:paraId="1FBC938F" w14:textId="77777777" w:rsidR="00857A90" w:rsidRPr="001B7DB7" w:rsidRDefault="00857A90" w:rsidP="00857A90">
      <w:pPr>
        <w:rPr>
          <w:rFonts w:eastAsia="?? ??"/>
        </w:rPr>
      </w:pPr>
      <w:r w:rsidRPr="001B7DB7">
        <w:rPr>
          <w:rFonts w:eastAsia="?? ??"/>
        </w:rPr>
        <w:t xml:space="preserve">The value of </w:t>
      </w:r>
      <w:r w:rsidRPr="001B7DB7">
        <w:t>T</w:t>
      </w:r>
      <w:r w:rsidRPr="001B7DB7">
        <w:rPr>
          <w:vertAlign w:val="subscript"/>
        </w:rPr>
        <w:t>Evaluate_CBD_SSB</w:t>
      </w:r>
      <w:r w:rsidRPr="001B7DB7">
        <w:rPr>
          <w:rFonts w:eastAsia="?? ??"/>
        </w:rPr>
        <w:t xml:space="preserve"> is defined in Table </w:t>
      </w:r>
      <w:r w:rsidRPr="001B7DB7">
        <w:rPr>
          <w:rFonts w:cs="v4.2.0"/>
        </w:rPr>
        <w:t>12.3.2.5.2</w:t>
      </w:r>
      <w:r w:rsidRPr="001B7DB7">
        <w:rPr>
          <w:rFonts w:eastAsia="?? ??"/>
        </w:rPr>
        <w:t>-1 for FR1.</w:t>
      </w:r>
    </w:p>
    <w:p w14:paraId="207597DD" w14:textId="5A420EDF" w:rsidR="00857A90" w:rsidRPr="00885F53" w:rsidRDefault="00857A90" w:rsidP="00857A90">
      <w:pPr>
        <w:rPr>
          <w:rFonts w:eastAsia="?? ??"/>
        </w:rPr>
      </w:pPr>
      <w:r w:rsidRPr="001B7DB7">
        <w:rPr>
          <w:rFonts w:eastAsia="?? ??"/>
        </w:rPr>
        <w:t xml:space="preserve">The value of </w:t>
      </w:r>
      <w:r w:rsidRPr="001B7DB7">
        <w:t>T</w:t>
      </w:r>
      <w:r w:rsidRPr="001B7DB7">
        <w:rPr>
          <w:vertAlign w:val="subscript"/>
        </w:rPr>
        <w:t>Evaluate_CBD_SSB</w:t>
      </w:r>
      <w:r w:rsidRPr="001B7DB7">
        <w:rPr>
          <w:rFonts w:eastAsia="?? ??"/>
        </w:rPr>
        <w:t xml:space="preserve"> is defined in Table </w:t>
      </w:r>
      <w:r w:rsidRPr="001B7DB7">
        <w:rPr>
          <w:rFonts w:cs="v4.2.0"/>
        </w:rPr>
        <w:t>12.3.2.5.2</w:t>
      </w:r>
      <w:r w:rsidRPr="001B7DB7">
        <w:rPr>
          <w:rFonts w:eastAsia="?? ??"/>
        </w:rPr>
        <w:t>-2 for FR2 with scaling factor N=</w:t>
      </w:r>
      <w:r w:rsidR="001C0477">
        <w:rPr>
          <w:rFonts w:eastAsia="?? ??"/>
        </w:rPr>
        <w:t>8</w:t>
      </w:r>
      <w:r w:rsidRPr="001B7DB7">
        <w:rPr>
          <w:rFonts w:eastAsia="?? ??"/>
        </w:rPr>
        <w:t>.</w:t>
      </w:r>
    </w:p>
    <w:p w14:paraId="5A4FCBA1" w14:textId="77777777" w:rsidR="00857A90" w:rsidRPr="00885F53" w:rsidRDefault="00857A90" w:rsidP="00857A90">
      <w:pPr>
        <w:rPr>
          <w:rFonts w:eastAsia="?? ??"/>
        </w:rPr>
      </w:pPr>
      <w:r w:rsidRPr="00885F53">
        <w:rPr>
          <w:rFonts w:eastAsia="?? ??"/>
        </w:rPr>
        <w:t>Where,</w:t>
      </w:r>
    </w:p>
    <w:p w14:paraId="70580C43" w14:textId="39087210" w:rsidR="00B64A8B" w:rsidRPr="00C70CE9" w:rsidRDefault="00B64A8B" w:rsidP="00B64A8B">
      <w:r w:rsidRPr="00885F53">
        <w:rPr>
          <w:rFonts w:eastAsia="?? ??"/>
        </w:rPr>
        <w:t>For FR1,</w:t>
      </w:r>
      <w:r w:rsidRPr="00C70CE9">
        <w:t>,</w:t>
      </w:r>
    </w:p>
    <w:p w14:paraId="7CDB6112" w14:textId="1AB56DCD" w:rsidR="00B64A8B" w:rsidRPr="00E03D7F" w:rsidRDefault="00B64A8B" w:rsidP="00B64A8B">
      <w:pPr>
        <w:pStyle w:val="B10"/>
      </w:pPr>
      <w:r w:rsidRPr="00E03D7F">
        <w:t>-</w:t>
      </w:r>
      <w:r w:rsidRPr="00E03D7F">
        <w:tab/>
        <w:t>P</w:t>
      </w:r>
      <w:r>
        <w:t xml:space="preserve"> </w:t>
      </w:r>
      <w:r w:rsidRPr="00E03D7F">
        <w:t>=</w:t>
      </w:r>
      <w:r>
        <w:t xml:space="preserve"> </w:t>
      </w:r>
      <w:r w:rsidRPr="00E03D7F">
        <w:t>1.</w:t>
      </w:r>
    </w:p>
    <w:p w14:paraId="0727DDC3" w14:textId="77777777" w:rsidR="00B64A8B" w:rsidRPr="00885F53" w:rsidRDefault="00B64A8B" w:rsidP="00B64A8B">
      <w:pPr>
        <w:rPr>
          <w:rFonts w:eastAsia="?? ??"/>
        </w:rPr>
      </w:pPr>
      <w:r w:rsidRPr="00885F53">
        <w:rPr>
          <w:rFonts w:eastAsia="?? ??"/>
        </w:rPr>
        <w:lastRenderedPageBreak/>
        <w:t>For FR2,</w:t>
      </w:r>
    </w:p>
    <w:p w14:paraId="7D7E9F41" w14:textId="77777777" w:rsidR="00B03869" w:rsidRPr="00361F12" w:rsidRDefault="00B03869" w:rsidP="00361F12">
      <w:pPr>
        <w:ind w:left="568" w:hanging="284"/>
        <w:rPr>
          <w:rFonts w:eastAsia="SimSun"/>
        </w:rPr>
      </w:pPr>
      <w:r>
        <w:rPr>
          <w:rFonts w:eastAsia="SimSun"/>
        </w:rPr>
        <w:t>-</w:t>
      </w:r>
      <w:r>
        <w:rPr>
          <w:rFonts w:eastAsia="SimSun"/>
        </w:rPr>
        <w:tab/>
        <w:t xml:space="preserve">P=1, when the </w:t>
      </w:r>
      <w:r w:rsidRPr="00885F53">
        <w:t>candidate beam detection</w:t>
      </w:r>
      <w:r>
        <w:rPr>
          <w:rFonts w:eastAsia="SimSun"/>
        </w:rPr>
        <w:t xml:space="preserve"> RS resource is not overlapped with SMTC occasion.</w:t>
      </w:r>
    </w:p>
    <w:p w14:paraId="1F733CD0" w14:textId="3D421402" w:rsidR="00B64A8B" w:rsidRPr="00885F53" w:rsidRDefault="00B64A8B" w:rsidP="00B64A8B">
      <w:pPr>
        <w:pStyle w:val="B10"/>
      </w:pPr>
      <w:r w:rsidRPr="00885F53">
        <w:t>-</w:t>
      </w:r>
      <w:r w:rsidRPr="00885F53">
        <w:tab/>
      </w:r>
      <m:oMath>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1-</m:t>
            </m:r>
            <m:f>
              <m:fPr>
                <m:ctrlPr>
                  <w:rPr>
                    <w:rFonts w:ascii="Cambria Math" w:hAnsi="Cambria Math"/>
                    <w:i/>
                  </w:rPr>
                </m:ctrlPr>
              </m:fPr>
              <m:num>
                <m:sSub>
                  <m:sSubPr>
                    <m:ctrlPr>
                      <w:rPr>
                        <w:rFonts w:ascii="Cambria Math" w:hAnsi="Cambria Math"/>
                      </w:rPr>
                    </m:ctrlPr>
                  </m:sSubPr>
                  <m:e>
                    <m:r>
                      <m:rPr>
                        <m:sty m:val="p"/>
                      </m:rPr>
                      <w:rPr>
                        <w:rFonts w:ascii="Cambria Math" w:hAnsi="Cambria Math"/>
                      </w:rPr>
                      <m:t>T</m:t>
                    </m:r>
                  </m:e>
                  <m:sub>
                    <m:r>
                      <m:rPr>
                        <m:sty m:val="p"/>
                      </m:rPr>
                      <w:rPr>
                        <w:rFonts w:ascii="Cambria Math" w:hAnsi="Cambria Math"/>
                        <w:vertAlign w:val="subscript"/>
                      </w:rPr>
                      <m:t>SSB</m:t>
                    </m:r>
                  </m:sub>
                </m:sSub>
              </m:num>
              <m:den>
                <m:sSub>
                  <m:sSubPr>
                    <m:ctrlPr>
                      <w:rPr>
                        <w:rFonts w:ascii="Cambria Math" w:hAnsi="Cambria Math"/>
                        <w:i/>
                      </w:rPr>
                    </m:ctrlPr>
                  </m:sSubPr>
                  <m:e>
                    <m:r>
                      <w:rPr>
                        <w:rFonts w:ascii="Cambria Math" w:hAnsi="Cambria Math"/>
                      </w:rPr>
                      <m:t>T</m:t>
                    </m:r>
                  </m:e>
                  <m:sub>
                    <m:r>
                      <w:rPr>
                        <w:rFonts w:ascii="Cambria Math" w:hAnsi="Cambria Math"/>
                      </w:rPr>
                      <m:t>SMTCperiod</m:t>
                    </m:r>
                  </m:sub>
                </m:sSub>
              </m:den>
            </m:f>
          </m:den>
        </m:f>
      </m:oMath>
      <w:r w:rsidRPr="00885F53">
        <w:t>, when candidate beam detection RS is partially overlapped with SMTC occasion (T</w:t>
      </w:r>
      <w:r w:rsidRPr="00885F53">
        <w:rPr>
          <w:vertAlign w:val="subscript"/>
        </w:rPr>
        <w:t>SSB</w:t>
      </w:r>
      <w:r w:rsidRPr="00885F53">
        <w:t xml:space="preserve"> &lt; T</w:t>
      </w:r>
      <w:r w:rsidRPr="00885F53">
        <w:rPr>
          <w:vertAlign w:val="subscript"/>
        </w:rPr>
        <w:t>SMTCperiod</w:t>
      </w:r>
      <w:r w:rsidRPr="00885F53">
        <w:t>).</w:t>
      </w:r>
    </w:p>
    <w:p w14:paraId="3CF86B66" w14:textId="26BDDB8A" w:rsidR="00B03869" w:rsidRPr="00C70CE9" w:rsidRDefault="00B03869" w:rsidP="00B03869">
      <w:pPr>
        <w:pStyle w:val="B10"/>
      </w:pPr>
      <w:r w:rsidRPr="00885F53">
        <w:t>-</w:t>
      </w:r>
      <w:r w:rsidRPr="00885F53">
        <w:tab/>
        <w:t xml:space="preserve">P </w:t>
      </w:r>
      <w:r>
        <w:t>= 3</w:t>
      </w:r>
      <w:r w:rsidRPr="00885F53">
        <w:t>, when candidate beam detection RS is fully overlapped with SMTC period (T</w:t>
      </w:r>
      <w:r w:rsidRPr="00885F53">
        <w:rPr>
          <w:vertAlign w:val="subscript"/>
        </w:rPr>
        <w:t>SSB</w:t>
      </w:r>
      <w:r w:rsidRPr="00885F53">
        <w:t xml:space="preserve"> = T</w:t>
      </w:r>
      <w:r w:rsidRPr="00885F53">
        <w:rPr>
          <w:vertAlign w:val="subscript"/>
        </w:rPr>
        <w:t>SMTCperiod</w:t>
      </w:r>
      <w:r w:rsidRPr="00885F53">
        <w:t>).</w:t>
      </w:r>
    </w:p>
    <w:p w14:paraId="7EB4FEEF" w14:textId="77777777" w:rsidR="00B64A8B" w:rsidRPr="00770030" w:rsidRDefault="00B64A8B" w:rsidP="00B64A8B">
      <w:r w:rsidRPr="00770030">
        <w:t>If the IAB-MT is not capable of 4 SMTC configurations per frequency [15], and is provided with higher layer signaling of smtcj, where 1≤</w:t>
      </w:r>
      <w:r w:rsidRPr="00770030">
        <w:rPr>
          <w:i/>
          <w:iCs/>
        </w:rPr>
        <w:t>j</w:t>
      </w:r>
      <w:r w:rsidRPr="00770030">
        <w:t>≤2 [15], then T</w:t>
      </w:r>
      <w:r w:rsidRPr="00770030">
        <w:rPr>
          <w:vertAlign w:val="subscript"/>
        </w:rPr>
        <w:t xml:space="preserve">SMTCperiod </w:t>
      </w:r>
      <w:r w:rsidRPr="00770030">
        <w:t>follows smtcj</w:t>
      </w:r>
      <w:r w:rsidRPr="00770030">
        <w:rPr>
          <w:vertAlign w:val="subscript"/>
        </w:rPr>
        <w:t xml:space="preserve">max </w:t>
      </w:r>
      <w:r w:rsidRPr="00770030">
        <w:t>where j</w:t>
      </w:r>
      <w:r w:rsidRPr="00770030">
        <w:rPr>
          <w:vertAlign w:val="subscript"/>
        </w:rPr>
        <w:t>max</w:t>
      </w:r>
      <w:r w:rsidRPr="00770030">
        <w:t xml:space="preserve"> is the maximum value of all j for which smtcj has been configured.</w:t>
      </w:r>
    </w:p>
    <w:p w14:paraId="00A525CB" w14:textId="77777777" w:rsidR="00B64A8B" w:rsidRPr="00C70CE9" w:rsidRDefault="00B64A8B" w:rsidP="00B64A8B">
      <w:r w:rsidRPr="00770030">
        <w:t>If the IAB-MT is capable of 4 SMTC configurations per frequency [15], and is provided with higher layer signaling of smtcj, where 1≤</w:t>
      </w:r>
      <w:r w:rsidRPr="00770030">
        <w:rPr>
          <w:i/>
          <w:iCs/>
        </w:rPr>
        <w:t>j</w:t>
      </w:r>
      <w:r w:rsidRPr="00770030">
        <w:t>≤4 [15], then T</w:t>
      </w:r>
      <w:r w:rsidRPr="00770030">
        <w:rPr>
          <w:vertAlign w:val="subscript"/>
        </w:rPr>
        <w:t xml:space="preserve">SMTCperiod </w:t>
      </w:r>
      <w:r w:rsidRPr="00770030">
        <w:t>follows smtcj</w:t>
      </w:r>
      <w:r w:rsidRPr="00770030">
        <w:rPr>
          <w:vertAlign w:val="subscript"/>
        </w:rPr>
        <w:t xml:space="preserve">max </w:t>
      </w:r>
      <w:r w:rsidRPr="00770030">
        <w:t>where j</w:t>
      </w:r>
      <w:r w:rsidRPr="00770030">
        <w:rPr>
          <w:vertAlign w:val="subscript"/>
        </w:rPr>
        <w:t>max</w:t>
      </w:r>
      <w:r w:rsidRPr="00770030">
        <w:t xml:space="preserve"> is the maximum value of all j for which smtcj has been configured.</w:t>
      </w:r>
    </w:p>
    <w:p w14:paraId="5AA77FBC" w14:textId="7BEDE309" w:rsidR="00B64A8B" w:rsidRPr="00623FE6" w:rsidRDefault="00B64A8B" w:rsidP="00B64A8B">
      <w:pPr>
        <w:rPr>
          <w:rFonts w:eastAsia="?? ??"/>
        </w:rPr>
      </w:pPr>
      <w:r w:rsidRPr="00C70CE9">
        <w:t xml:space="preserve">Longer evaluation period would be expected if the combination of </w:t>
      </w:r>
      <w:r>
        <w:t>CB</w:t>
      </w:r>
      <w:r w:rsidRPr="00C70CE9">
        <w:t>D-RS resource</w:t>
      </w:r>
      <w:r>
        <w:t xml:space="preserve"> and</w:t>
      </w:r>
      <w:r w:rsidRPr="00C70CE9">
        <w:t xml:space="preserve"> SMTC occasion configurations does not meet pervious conditions.</w:t>
      </w:r>
    </w:p>
    <w:p w14:paraId="58A71BE4" w14:textId="77777777" w:rsidR="00857A90" w:rsidRPr="00E873FD" w:rsidRDefault="00857A90" w:rsidP="00C60E58">
      <w:pPr>
        <w:pStyle w:val="TH"/>
      </w:pPr>
      <w:r w:rsidRPr="00E873FD">
        <w:t>Table 12.3.2.5.2-1: Evaluation period T</w:t>
      </w:r>
      <w:r w:rsidRPr="00E873FD">
        <w:rPr>
          <w:vertAlign w:val="subscript"/>
        </w:rPr>
        <w:t>Evaluate_CBD_SSB</w:t>
      </w:r>
      <w:r w:rsidRPr="00E873FD">
        <w:t xml:space="preserve"> for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857A90" w:rsidRPr="00D05627" w14:paraId="05025468" w14:textId="77777777" w:rsidTr="00A4061E">
        <w:trPr>
          <w:jc w:val="center"/>
        </w:trPr>
        <w:tc>
          <w:tcPr>
            <w:tcW w:w="2035" w:type="dxa"/>
            <w:shd w:val="clear" w:color="auto" w:fill="auto"/>
          </w:tcPr>
          <w:p w14:paraId="1DE5D58B" w14:textId="77777777" w:rsidR="00857A90" w:rsidRPr="00E873FD" w:rsidRDefault="00857A90" w:rsidP="00255E64">
            <w:pPr>
              <w:pStyle w:val="TAH"/>
            </w:pPr>
            <w:r w:rsidRPr="00E873FD">
              <w:t>Configuration</w:t>
            </w:r>
          </w:p>
        </w:tc>
        <w:tc>
          <w:tcPr>
            <w:tcW w:w="4582" w:type="dxa"/>
            <w:shd w:val="clear" w:color="auto" w:fill="auto"/>
          </w:tcPr>
          <w:p w14:paraId="153DF590" w14:textId="222A01E2" w:rsidR="00857A90" w:rsidRPr="001B7DB7" w:rsidRDefault="00857A90" w:rsidP="00255E64">
            <w:pPr>
              <w:pStyle w:val="TAH"/>
            </w:pPr>
            <w:r w:rsidRPr="001B7DB7">
              <w:t>T</w:t>
            </w:r>
            <w:r w:rsidRPr="001B7DB7">
              <w:rPr>
                <w:vertAlign w:val="subscript"/>
              </w:rPr>
              <w:t>Evaluate_CBD_SSB</w:t>
            </w:r>
            <w:r w:rsidRPr="001B7DB7">
              <w:t xml:space="preserve"> (ms)</w:t>
            </w:r>
          </w:p>
        </w:tc>
      </w:tr>
      <w:tr w:rsidR="00857A90" w:rsidRPr="00D05627" w14:paraId="2DC906FA" w14:textId="77777777" w:rsidTr="00A4061E">
        <w:trPr>
          <w:jc w:val="center"/>
        </w:trPr>
        <w:tc>
          <w:tcPr>
            <w:tcW w:w="2035" w:type="dxa"/>
            <w:shd w:val="clear" w:color="auto" w:fill="auto"/>
          </w:tcPr>
          <w:p w14:paraId="456CCB02" w14:textId="77777777" w:rsidR="00857A90" w:rsidRPr="00D05627" w:rsidRDefault="00857A90" w:rsidP="00255E64">
            <w:pPr>
              <w:pStyle w:val="TAC"/>
            </w:pPr>
            <w:r w:rsidRPr="00D05627">
              <w:t>non-DRX</w:t>
            </w:r>
          </w:p>
        </w:tc>
        <w:tc>
          <w:tcPr>
            <w:tcW w:w="4582" w:type="dxa"/>
            <w:shd w:val="clear" w:color="auto" w:fill="auto"/>
          </w:tcPr>
          <w:p w14:paraId="79B4F286" w14:textId="77777777" w:rsidR="00857A90" w:rsidRPr="00E873FD" w:rsidRDefault="00857A90" w:rsidP="00255E64">
            <w:pPr>
              <w:pStyle w:val="TAC"/>
            </w:pPr>
            <w:r w:rsidRPr="00D05627">
              <w:rPr>
                <w:rFonts w:cs="v4.2.0"/>
              </w:rPr>
              <w:t xml:space="preserve">Ceil(3 </w:t>
            </w:r>
            <w:r w:rsidRPr="00E873FD">
              <w:rPr>
                <w:rFonts w:cs="Arial"/>
                <w:szCs w:val="18"/>
              </w:rPr>
              <w:sym w:font="Symbol" w:char="F0B4"/>
            </w:r>
            <w:r w:rsidRPr="00E873FD">
              <w:rPr>
                <w:rFonts w:cs="Arial"/>
                <w:szCs w:val="18"/>
              </w:rPr>
              <w:t xml:space="preserve"> </w:t>
            </w:r>
            <w:r w:rsidRPr="00E873FD">
              <w:rPr>
                <w:rFonts w:cs="v4.2.0"/>
              </w:rPr>
              <w:t xml:space="preserve">P) </w:t>
            </w:r>
            <w:r w:rsidRPr="00E873FD">
              <w:rPr>
                <w:rFonts w:cs="Arial"/>
                <w:szCs w:val="18"/>
              </w:rPr>
              <w:sym w:font="Symbol" w:char="F0B4"/>
            </w:r>
            <w:r w:rsidRPr="00E873FD">
              <w:rPr>
                <w:rFonts w:cs="v4.2.0"/>
              </w:rPr>
              <w:t xml:space="preserve"> T</w:t>
            </w:r>
            <w:r w:rsidRPr="00E873FD">
              <w:rPr>
                <w:rFonts w:cs="v4.2.0"/>
                <w:vertAlign w:val="subscript"/>
              </w:rPr>
              <w:t>SSB</w:t>
            </w:r>
          </w:p>
        </w:tc>
      </w:tr>
      <w:tr w:rsidR="00857A90" w:rsidRPr="00D05627" w14:paraId="47271262" w14:textId="77777777" w:rsidTr="00A4061E">
        <w:trPr>
          <w:jc w:val="center"/>
        </w:trPr>
        <w:tc>
          <w:tcPr>
            <w:tcW w:w="6617" w:type="dxa"/>
            <w:gridSpan w:val="2"/>
            <w:shd w:val="clear" w:color="auto" w:fill="auto"/>
          </w:tcPr>
          <w:p w14:paraId="141D67E2" w14:textId="77777777" w:rsidR="00857A90" w:rsidRPr="00E873FD" w:rsidRDefault="00857A90" w:rsidP="00623FE6">
            <w:pPr>
              <w:pStyle w:val="TAN"/>
              <w:rPr>
                <w:rFonts w:cs="v4.2.0"/>
              </w:rPr>
            </w:pPr>
            <w:r w:rsidRPr="00D05627">
              <w:t>Note:</w:t>
            </w:r>
            <w:r w:rsidRPr="00D05627">
              <w:rPr>
                <w:sz w:val="28"/>
              </w:rPr>
              <w:tab/>
            </w:r>
            <w:r w:rsidRPr="00D05627">
              <w:rPr>
                <w:rFonts w:cs="v4.2.0"/>
              </w:rPr>
              <w:t>T</w:t>
            </w:r>
            <w:r w:rsidRPr="00D05627">
              <w:rPr>
                <w:rFonts w:cs="v4.2.0"/>
                <w:vertAlign w:val="subscript"/>
              </w:rPr>
              <w:t>SSB</w:t>
            </w:r>
            <w:r w:rsidRPr="00D05627">
              <w:t xml:space="preserve"> is the periodicity of SSB in the set </w:t>
            </w:r>
            <w:r w:rsidRPr="00E873FD">
              <w:rPr>
                <w:noProof/>
                <w:position w:val="-10"/>
                <w:lang w:val="en-US" w:eastAsia="zh-CN"/>
              </w:rPr>
              <w:drawing>
                <wp:inline distT="0" distB="0" distL="0" distR="0" wp14:anchorId="19C7477F" wp14:editId="0D0E8C63">
                  <wp:extent cx="133350" cy="200025"/>
                  <wp:effectExtent l="19050" t="0" r="0" b="0"/>
                  <wp:docPr id="66"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E873FD">
              <w:t>.</w:t>
            </w:r>
            <w:r w:rsidRPr="00E873FD">
              <w:rPr>
                <w:rFonts w:cs="v4.2.0"/>
              </w:rPr>
              <w:t xml:space="preserve"> </w:t>
            </w:r>
          </w:p>
        </w:tc>
      </w:tr>
    </w:tbl>
    <w:p w14:paraId="40F905CE" w14:textId="77777777" w:rsidR="00857A90" w:rsidRPr="00D05627" w:rsidRDefault="00857A90" w:rsidP="00C60E58">
      <w:pPr>
        <w:rPr>
          <w:rFonts w:eastAsia="?? ??"/>
        </w:rPr>
      </w:pPr>
    </w:p>
    <w:p w14:paraId="2C607F43" w14:textId="77777777" w:rsidR="00857A90" w:rsidRPr="00E873FD" w:rsidRDefault="00857A90" w:rsidP="00623FE6">
      <w:pPr>
        <w:pStyle w:val="TH"/>
      </w:pPr>
      <w:r w:rsidRPr="00E873FD">
        <w:t>Table 12.3.2.5.2-2: Evaluation period T</w:t>
      </w:r>
      <w:r w:rsidRPr="00E873FD">
        <w:rPr>
          <w:vertAlign w:val="subscript"/>
        </w:rPr>
        <w:t>Evaluate_CBD_SSB</w:t>
      </w:r>
      <w:r w:rsidRPr="00E873FD">
        <w:t xml:space="preserve"> for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857A90" w:rsidRPr="00D05627" w14:paraId="6AC687CB" w14:textId="77777777" w:rsidTr="00A4061E">
        <w:trPr>
          <w:jc w:val="center"/>
        </w:trPr>
        <w:tc>
          <w:tcPr>
            <w:tcW w:w="2035" w:type="dxa"/>
            <w:shd w:val="clear" w:color="auto" w:fill="auto"/>
          </w:tcPr>
          <w:p w14:paraId="0CFEF580" w14:textId="77777777" w:rsidR="00857A90" w:rsidRPr="001B7DB7" w:rsidRDefault="00857A90" w:rsidP="00255E64">
            <w:pPr>
              <w:pStyle w:val="TAH"/>
            </w:pPr>
            <w:r w:rsidRPr="001B7DB7">
              <w:t>Configuration</w:t>
            </w:r>
          </w:p>
        </w:tc>
        <w:tc>
          <w:tcPr>
            <w:tcW w:w="4582" w:type="dxa"/>
            <w:shd w:val="clear" w:color="auto" w:fill="auto"/>
          </w:tcPr>
          <w:p w14:paraId="2C1CDFE8" w14:textId="174E49FF" w:rsidR="00857A90" w:rsidRPr="00AF3725" w:rsidRDefault="00857A90" w:rsidP="00255E64">
            <w:pPr>
              <w:pStyle w:val="TAH"/>
            </w:pPr>
            <w:r w:rsidRPr="00AF3725">
              <w:t>T</w:t>
            </w:r>
            <w:r w:rsidRPr="00AF3725">
              <w:rPr>
                <w:vertAlign w:val="subscript"/>
              </w:rPr>
              <w:t>Evaluate_CBD_SSB</w:t>
            </w:r>
            <w:r w:rsidRPr="00AF3725">
              <w:t xml:space="preserve"> (ms)</w:t>
            </w:r>
          </w:p>
        </w:tc>
      </w:tr>
      <w:tr w:rsidR="00857A90" w:rsidRPr="00D05627" w14:paraId="7FB9B4AB" w14:textId="77777777" w:rsidTr="00A4061E">
        <w:trPr>
          <w:jc w:val="center"/>
        </w:trPr>
        <w:tc>
          <w:tcPr>
            <w:tcW w:w="2035" w:type="dxa"/>
            <w:shd w:val="clear" w:color="auto" w:fill="auto"/>
          </w:tcPr>
          <w:p w14:paraId="5D545FA5" w14:textId="77777777" w:rsidR="00857A90" w:rsidRPr="00D05627" w:rsidRDefault="00857A90" w:rsidP="00255E64">
            <w:pPr>
              <w:pStyle w:val="TAC"/>
            </w:pPr>
            <w:r w:rsidRPr="00D05627">
              <w:t>non-DRX</w:t>
            </w:r>
          </w:p>
        </w:tc>
        <w:tc>
          <w:tcPr>
            <w:tcW w:w="4582" w:type="dxa"/>
            <w:shd w:val="clear" w:color="auto" w:fill="auto"/>
          </w:tcPr>
          <w:p w14:paraId="08E6222C" w14:textId="77777777" w:rsidR="00857A90" w:rsidRPr="00E873FD" w:rsidRDefault="00857A90" w:rsidP="00255E64">
            <w:pPr>
              <w:pStyle w:val="TAC"/>
            </w:pPr>
            <w:r w:rsidRPr="00D05627">
              <w:rPr>
                <w:rFonts w:cs="v4.2.0"/>
              </w:rPr>
              <w:t xml:space="preserve">Ceil(3 </w:t>
            </w:r>
            <w:r w:rsidRPr="00E873FD">
              <w:rPr>
                <w:rFonts w:cs="Arial"/>
                <w:szCs w:val="18"/>
              </w:rPr>
              <w:sym w:font="Symbol" w:char="F0B4"/>
            </w:r>
            <w:r w:rsidRPr="00E873FD">
              <w:rPr>
                <w:rFonts w:cs="Arial"/>
                <w:szCs w:val="18"/>
              </w:rPr>
              <w:t xml:space="preserve"> </w:t>
            </w:r>
            <w:r w:rsidRPr="00E873FD">
              <w:rPr>
                <w:rFonts w:cs="v4.2.0"/>
              </w:rPr>
              <w:t xml:space="preserve">P </w:t>
            </w:r>
            <w:r w:rsidRPr="00E873FD">
              <w:rPr>
                <w:rFonts w:cs="Arial"/>
                <w:szCs w:val="18"/>
              </w:rPr>
              <w:sym w:font="Symbol" w:char="F0B4"/>
            </w:r>
            <w:r w:rsidRPr="00E873FD">
              <w:rPr>
                <w:rFonts w:cs="Arial"/>
                <w:szCs w:val="18"/>
              </w:rPr>
              <w:t xml:space="preserve"> </w:t>
            </w:r>
            <w:r w:rsidRPr="00E873FD">
              <w:rPr>
                <w:rFonts w:cs="v4.2.0"/>
              </w:rPr>
              <w:t xml:space="preserve">N) </w:t>
            </w:r>
            <w:r w:rsidRPr="00E873FD">
              <w:rPr>
                <w:rFonts w:cs="Arial"/>
                <w:szCs w:val="18"/>
              </w:rPr>
              <w:sym w:font="Symbol" w:char="F0B4"/>
            </w:r>
            <w:r w:rsidRPr="00E873FD">
              <w:rPr>
                <w:rFonts w:cs="v4.2.0"/>
              </w:rPr>
              <w:t xml:space="preserve"> T</w:t>
            </w:r>
            <w:r w:rsidRPr="00E873FD">
              <w:rPr>
                <w:rFonts w:cs="v4.2.0"/>
                <w:vertAlign w:val="subscript"/>
              </w:rPr>
              <w:t>SSB</w:t>
            </w:r>
          </w:p>
        </w:tc>
      </w:tr>
      <w:tr w:rsidR="00857A90" w:rsidRPr="00D05627" w14:paraId="609F8C66" w14:textId="77777777" w:rsidTr="00A4061E">
        <w:trPr>
          <w:jc w:val="center"/>
        </w:trPr>
        <w:tc>
          <w:tcPr>
            <w:tcW w:w="6617" w:type="dxa"/>
            <w:gridSpan w:val="2"/>
            <w:shd w:val="clear" w:color="auto" w:fill="auto"/>
          </w:tcPr>
          <w:p w14:paraId="1254F74A" w14:textId="77777777" w:rsidR="00857A90" w:rsidRPr="00E873FD" w:rsidRDefault="00857A90" w:rsidP="00623FE6">
            <w:pPr>
              <w:pStyle w:val="TAN"/>
              <w:rPr>
                <w:rFonts w:cs="v4.2.0"/>
              </w:rPr>
            </w:pPr>
            <w:r w:rsidRPr="00D05627">
              <w:t>Note:</w:t>
            </w:r>
            <w:r w:rsidRPr="00D05627">
              <w:rPr>
                <w:sz w:val="28"/>
              </w:rPr>
              <w:tab/>
            </w:r>
            <w:r w:rsidRPr="00D05627">
              <w:rPr>
                <w:rFonts w:cs="v4.2.0"/>
              </w:rPr>
              <w:t>T</w:t>
            </w:r>
            <w:r w:rsidRPr="00D05627">
              <w:rPr>
                <w:rFonts w:cs="v4.2.0"/>
                <w:vertAlign w:val="subscript"/>
              </w:rPr>
              <w:t>SSB</w:t>
            </w:r>
            <w:r w:rsidRPr="00D05627">
              <w:t xml:space="preserve"> is the periodicity of SSB in the set </w:t>
            </w:r>
            <w:r w:rsidRPr="00E873FD">
              <w:rPr>
                <w:noProof/>
                <w:position w:val="-10"/>
                <w:lang w:val="en-US" w:eastAsia="zh-CN"/>
              </w:rPr>
              <w:drawing>
                <wp:inline distT="0" distB="0" distL="0" distR="0" wp14:anchorId="022C5CC1" wp14:editId="7AEF00B9">
                  <wp:extent cx="133350" cy="200025"/>
                  <wp:effectExtent l="19050" t="0" r="0" b="0"/>
                  <wp:docPr id="67"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E873FD">
              <w:t>.</w:t>
            </w:r>
          </w:p>
        </w:tc>
      </w:tr>
    </w:tbl>
    <w:p w14:paraId="1922B364" w14:textId="77777777" w:rsidR="00857A90" w:rsidRPr="00857A90" w:rsidRDefault="00857A90" w:rsidP="00357409"/>
    <w:p w14:paraId="4641731A" w14:textId="420383E6" w:rsidR="00857A90" w:rsidRDefault="00857A90">
      <w:pPr>
        <w:pStyle w:val="Heading5"/>
        <w:rPr>
          <w:rFonts w:eastAsia="?? ??"/>
          <w:sz w:val="24"/>
        </w:rPr>
      </w:pPr>
      <w:bookmarkStart w:id="8982" w:name="_Toc53185628"/>
      <w:bookmarkStart w:id="8983" w:name="_Toc53186004"/>
      <w:bookmarkStart w:id="8984" w:name="_Toc57820490"/>
      <w:bookmarkStart w:id="8985" w:name="_Toc57821417"/>
      <w:bookmarkStart w:id="8986" w:name="_Toc61183693"/>
      <w:bookmarkStart w:id="8987" w:name="_Toc61184087"/>
      <w:bookmarkStart w:id="8988" w:name="_Toc61184479"/>
      <w:bookmarkStart w:id="8989" w:name="_Toc61184871"/>
      <w:bookmarkStart w:id="8990" w:name="_Toc61185261"/>
      <w:bookmarkStart w:id="8991" w:name="_Toc66386606"/>
      <w:bookmarkStart w:id="8992" w:name="_Toc74583564"/>
      <w:bookmarkStart w:id="8993" w:name="_Toc76542377"/>
      <w:bookmarkStart w:id="8994" w:name="_Toc82450359"/>
      <w:bookmarkStart w:id="8995" w:name="_Toc82451007"/>
      <w:bookmarkStart w:id="8996" w:name="_Toc89949396"/>
      <w:bookmarkStart w:id="8997" w:name="_Toc98755785"/>
      <w:bookmarkStart w:id="8998" w:name="_Toc98763377"/>
      <w:bookmarkStart w:id="8999" w:name="_Toc106184306"/>
      <w:r>
        <w:rPr>
          <w:rFonts w:eastAsia="?? ??"/>
          <w:sz w:val="24"/>
        </w:rPr>
        <w:t>12.3.2.5.3</w:t>
      </w:r>
      <w:r w:rsidR="00623FE6">
        <w:tab/>
      </w:r>
      <w:r>
        <w:rPr>
          <w:rFonts w:eastAsia="?? ??"/>
          <w:sz w:val="24"/>
        </w:rPr>
        <w:t>Measurement restriction for SSB based candidate b</w:t>
      </w:r>
      <w:r w:rsidR="00AD2880">
        <w:rPr>
          <w:rFonts w:eastAsia="?? ??"/>
          <w:sz w:val="24"/>
        </w:rPr>
        <w:t>eam detection</w:t>
      </w:r>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p>
    <w:p w14:paraId="0D99273E" w14:textId="65FB3D5C" w:rsidR="00AD2880" w:rsidRPr="00AD2880" w:rsidRDefault="000E75F9" w:rsidP="00357409">
      <w:r w:rsidRPr="00B24A70">
        <w:t>The UE requirements in sub-clause 8.5.5.3 [6] apply for IAB-MT.</w:t>
      </w:r>
    </w:p>
    <w:p w14:paraId="6A5E8B6C" w14:textId="3A672580" w:rsidR="00334C0D" w:rsidRDefault="00334C0D" w:rsidP="00FE263A">
      <w:pPr>
        <w:pStyle w:val="Heading4"/>
      </w:pPr>
      <w:bookmarkStart w:id="9000" w:name="_Toc53185629"/>
      <w:bookmarkStart w:id="9001" w:name="_Toc53186005"/>
      <w:bookmarkStart w:id="9002" w:name="_Toc57820491"/>
      <w:bookmarkStart w:id="9003" w:name="_Toc57821418"/>
      <w:bookmarkStart w:id="9004" w:name="_Toc61183694"/>
      <w:bookmarkStart w:id="9005" w:name="_Toc61184088"/>
      <w:bookmarkStart w:id="9006" w:name="_Toc61184480"/>
      <w:bookmarkStart w:id="9007" w:name="_Toc61184872"/>
      <w:bookmarkStart w:id="9008" w:name="_Toc61185262"/>
      <w:bookmarkStart w:id="9009" w:name="_Toc66386607"/>
      <w:bookmarkStart w:id="9010" w:name="_Toc74583565"/>
      <w:bookmarkStart w:id="9011" w:name="_Toc76542378"/>
      <w:bookmarkStart w:id="9012" w:name="_Toc82450360"/>
      <w:bookmarkStart w:id="9013" w:name="_Toc82451008"/>
      <w:bookmarkStart w:id="9014" w:name="_Toc89949397"/>
      <w:bookmarkStart w:id="9015" w:name="_Toc98755786"/>
      <w:bookmarkStart w:id="9016" w:name="_Toc98763378"/>
      <w:bookmarkStart w:id="9017" w:name="_Toc106184307"/>
      <w:r>
        <w:t>1</w:t>
      </w:r>
      <w:r w:rsidR="00945315">
        <w:t>2</w:t>
      </w:r>
      <w:r>
        <w:t>.</w:t>
      </w:r>
      <w:r w:rsidR="00945315">
        <w:t>3.</w:t>
      </w:r>
      <w:r>
        <w:t>2.6</w:t>
      </w:r>
      <w:r w:rsidR="00623FE6">
        <w:tab/>
      </w:r>
      <w:r>
        <w:t>Requirements for CSI-RS based candidate beam detection</w:t>
      </w:r>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p>
    <w:p w14:paraId="38877FE8" w14:textId="7AA05546" w:rsidR="00F8590C" w:rsidRDefault="00E53AE3" w:rsidP="00F8590C">
      <w:pPr>
        <w:pStyle w:val="Heading5"/>
      </w:pPr>
      <w:bookmarkStart w:id="9018" w:name="_Toc53185630"/>
      <w:bookmarkStart w:id="9019" w:name="_Toc53186006"/>
      <w:bookmarkStart w:id="9020" w:name="_Toc57820492"/>
      <w:bookmarkStart w:id="9021" w:name="_Toc57821419"/>
      <w:bookmarkStart w:id="9022" w:name="_Toc61183695"/>
      <w:bookmarkStart w:id="9023" w:name="_Toc61184089"/>
      <w:bookmarkStart w:id="9024" w:name="_Toc61184481"/>
      <w:bookmarkStart w:id="9025" w:name="_Toc61184873"/>
      <w:bookmarkStart w:id="9026" w:name="_Toc61185263"/>
      <w:bookmarkStart w:id="9027" w:name="_Toc66386608"/>
      <w:bookmarkStart w:id="9028" w:name="_Toc74583566"/>
      <w:bookmarkStart w:id="9029" w:name="_Toc76542379"/>
      <w:bookmarkStart w:id="9030" w:name="_Toc82450361"/>
      <w:bookmarkStart w:id="9031" w:name="_Toc82451009"/>
      <w:bookmarkStart w:id="9032" w:name="_Toc89949398"/>
      <w:bookmarkStart w:id="9033" w:name="_Toc98755787"/>
      <w:bookmarkStart w:id="9034" w:name="_Toc98763379"/>
      <w:bookmarkStart w:id="9035" w:name="_Toc106184308"/>
      <w:r>
        <w:t>12.3.2.6.1</w:t>
      </w:r>
      <w:r w:rsidR="00623FE6">
        <w:tab/>
      </w:r>
      <w:r>
        <w:t>Introduction</w:t>
      </w:r>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p>
    <w:p w14:paraId="65673C1C" w14:textId="642814DF" w:rsidR="00E53AE3" w:rsidRPr="00E53AE3" w:rsidRDefault="00E53AE3" w:rsidP="00357409">
      <w:r w:rsidRPr="00D05627">
        <w:t xml:space="preserve">The requirements in this clause apply for each CSI-RS resource in the set </w:t>
      </w:r>
      <w:r w:rsidRPr="001B7DB7">
        <w:rPr>
          <w:iCs/>
          <w:noProof/>
          <w:position w:val="-10"/>
          <w:lang w:val="en-US" w:eastAsia="zh-CN"/>
        </w:rPr>
        <w:drawing>
          <wp:inline distT="0" distB="0" distL="0" distR="0" wp14:anchorId="6E74E3E2" wp14:editId="1557553B">
            <wp:extent cx="133350" cy="200025"/>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33350" cy="200025"/>
                    </a:xfrm>
                    <a:prstGeom prst="rect">
                      <a:avLst/>
                    </a:prstGeom>
                    <a:noFill/>
                    <a:ln>
                      <a:noFill/>
                    </a:ln>
                  </pic:spPr>
                </pic:pic>
              </a:graphicData>
            </a:graphic>
          </wp:inline>
        </w:drawing>
      </w:r>
      <w:r w:rsidRPr="001B7DB7">
        <w:t xml:space="preserve"> configured for a serving cell, provided that the CSI-RS resources configured for candidate </w:t>
      </w:r>
      <w:r w:rsidRPr="001B7DB7">
        <w:rPr>
          <w:rFonts w:cs="v5.0.0"/>
        </w:rPr>
        <w:t>beam detection</w:t>
      </w:r>
      <w:r w:rsidRPr="001B7DB7">
        <w:t xml:space="preserve"> are actually transmitted within IAB MT active DL BWP during the entire evaluation period specified in clause 12.3.2.6.2.</w:t>
      </w:r>
    </w:p>
    <w:p w14:paraId="2CC1BE7B" w14:textId="4D850CAF" w:rsidR="00E53AE3" w:rsidRDefault="00E53AE3">
      <w:pPr>
        <w:pStyle w:val="Heading5"/>
      </w:pPr>
      <w:bookmarkStart w:id="9036" w:name="_Toc53185631"/>
      <w:bookmarkStart w:id="9037" w:name="_Toc53186007"/>
      <w:bookmarkStart w:id="9038" w:name="_Toc57820493"/>
      <w:bookmarkStart w:id="9039" w:name="_Toc57821420"/>
      <w:bookmarkStart w:id="9040" w:name="_Toc61183696"/>
      <w:bookmarkStart w:id="9041" w:name="_Toc61184090"/>
      <w:bookmarkStart w:id="9042" w:name="_Toc61184482"/>
      <w:bookmarkStart w:id="9043" w:name="_Toc61184874"/>
      <w:bookmarkStart w:id="9044" w:name="_Toc61185264"/>
      <w:bookmarkStart w:id="9045" w:name="_Toc66386609"/>
      <w:bookmarkStart w:id="9046" w:name="_Toc74583567"/>
      <w:bookmarkStart w:id="9047" w:name="_Toc76542380"/>
      <w:bookmarkStart w:id="9048" w:name="_Toc82450362"/>
      <w:bookmarkStart w:id="9049" w:name="_Toc82451010"/>
      <w:bookmarkStart w:id="9050" w:name="_Toc89949399"/>
      <w:bookmarkStart w:id="9051" w:name="_Toc98755788"/>
      <w:bookmarkStart w:id="9052" w:name="_Toc98763380"/>
      <w:bookmarkStart w:id="9053" w:name="_Toc106184309"/>
      <w:r>
        <w:t>12.3.</w:t>
      </w:r>
      <w:r w:rsidR="00593E5E">
        <w:t>2</w:t>
      </w:r>
      <w:r w:rsidR="00F23A03">
        <w:t>.</w:t>
      </w:r>
      <w:r>
        <w:t>6.2</w:t>
      </w:r>
      <w:r w:rsidR="00623FE6">
        <w:tab/>
      </w:r>
      <w:r>
        <w:t>Minimum requirement</w:t>
      </w:r>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p>
    <w:p w14:paraId="0E20B129" w14:textId="1E3905D0" w:rsidR="00731BE8" w:rsidRPr="00F00E7F" w:rsidRDefault="00731BE8" w:rsidP="00731BE8">
      <w:pPr>
        <w:rPr>
          <w:rFonts w:eastAsia="?? ??"/>
        </w:rPr>
      </w:pPr>
      <w:r w:rsidRPr="00D05627">
        <w:rPr>
          <w:rFonts w:eastAsia="?? ??"/>
        </w:rPr>
        <w:t xml:space="preserve">Upon request the IAB-MT shall be able to evaluate whether the L1-RSRP measured on the configured CSI-RS </w:t>
      </w:r>
      <w:r w:rsidRPr="00D05627">
        <w:rPr>
          <w:rFonts w:cs="Arial"/>
        </w:rPr>
        <w:t xml:space="preserve">resource in set </w:t>
      </w:r>
      <w:r w:rsidRPr="001B7DB7">
        <w:rPr>
          <w:noProof/>
          <w:position w:val="-10"/>
          <w:lang w:val="en-US" w:eastAsia="zh-CN"/>
        </w:rPr>
        <w:drawing>
          <wp:inline distT="0" distB="0" distL="0" distR="0" wp14:anchorId="6BE36F83" wp14:editId="0F39F2C6">
            <wp:extent cx="133350" cy="200025"/>
            <wp:effectExtent l="19050" t="0" r="0" b="0"/>
            <wp:docPr id="2900"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1B7DB7">
        <w:t xml:space="preserve"> estimated </w:t>
      </w:r>
      <w:r w:rsidRPr="001B7DB7">
        <w:rPr>
          <w:rFonts w:eastAsia="?? ??"/>
        </w:rPr>
        <w:t xml:space="preserve">over the last </w:t>
      </w:r>
      <w:r w:rsidRPr="001B7DB7">
        <w:t>T</w:t>
      </w:r>
      <w:r w:rsidRPr="001B7DB7">
        <w:rPr>
          <w:vertAlign w:val="subscript"/>
        </w:rPr>
        <w:t>Evaluate_CBD_CSI-RS</w:t>
      </w:r>
      <w:r w:rsidRPr="001B7DB7">
        <w:rPr>
          <w:rFonts w:eastAsia="?? ??"/>
        </w:rPr>
        <w:t xml:space="preserve"> [ms] period</w:t>
      </w:r>
      <w:r w:rsidRPr="001B7DB7">
        <w:t xml:space="preserve"> </w:t>
      </w:r>
      <w:r w:rsidRPr="001B7DB7">
        <w:rPr>
          <w:rFonts w:eastAsia="?? ??"/>
        </w:rPr>
        <w:t>becomes better than the threshold Q</w:t>
      </w:r>
      <w:r w:rsidRPr="001B7DB7">
        <w:rPr>
          <w:rFonts w:eastAsia="?? ??"/>
          <w:vertAlign w:val="subscript"/>
        </w:rPr>
        <w:t>in_LR</w:t>
      </w:r>
      <w:r w:rsidRPr="001B7DB7">
        <w:rPr>
          <w:rFonts w:eastAsia="?? ??"/>
        </w:rPr>
        <w:t xml:space="preserve"> within </w:t>
      </w:r>
      <w:r w:rsidRPr="001B7DB7">
        <w:t>T</w:t>
      </w:r>
      <w:r w:rsidRPr="00316B92">
        <w:rPr>
          <w:vertAlign w:val="subscript"/>
        </w:rPr>
        <w:t>Evaluate_CBD_CSI-RS</w:t>
      </w:r>
      <w:r w:rsidRPr="00316B92">
        <w:rPr>
          <w:rFonts w:eastAsia="?? ??"/>
        </w:rPr>
        <w:t xml:space="preserve"> [ms] period provided CSI-RS </w:t>
      </w:r>
      <w:r w:rsidRPr="00316B92">
        <w:rPr>
          <w:lang w:val="en-US"/>
        </w:rPr>
        <w:t>Ês/Iot</w:t>
      </w:r>
      <w:r w:rsidRPr="00316B92">
        <w:t xml:space="preserve"> is according to Annex Table in B.2.4.2 [</w:t>
      </w:r>
      <w:r w:rsidR="006F0561">
        <w:t>6</w:t>
      </w:r>
      <w:r w:rsidRPr="00316B92">
        <w:t>]</w:t>
      </w:r>
      <w:r w:rsidRPr="001B7DB7">
        <w:t xml:space="preserve"> for a corresponding band</w:t>
      </w:r>
      <w:r w:rsidRPr="00F00E7F">
        <w:rPr>
          <w:rFonts w:eastAsia="?? ??"/>
        </w:rPr>
        <w:t>.</w:t>
      </w:r>
    </w:p>
    <w:p w14:paraId="587AC938" w14:textId="38F41C0C" w:rsidR="00623FE6" w:rsidRPr="00C70CE9" w:rsidRDefault="00623FE6" w:rsidP="00623FE6">
      <w:pPr>
        <w:rPr>
          <w:rFonts w:cs="v4.2.0"/>
        </w:rPr>
      </w:pPr>
      <w:r w:rsidRPr="00C70CE9">
        <w:rPr>
          <w:rFonts w:cs="v4.2.0"/>
        </w:rPr>
        <w:t xml:space="preserve">The </w:t>
      </w:r>
      <w:r w:rsidRPr="00AB570F">
        <w:rPr>
          <w:rFonts w:cs="v4.2.0"/>
        </w:rPr>
        <w:t>IAB-MT</w:t>
      </w:r>
      <w:r>
        <w:rPr>
          <w:rFonts w:cs="v4.2.0"/>
        </w:rPr>
        <w:t xml:space="preserve"> </w:t>
      </w:r>
      <w:r w:rsidRPr="00C70CE9">
        <w:rPr>
          <w:rFonts w:cs="v4.2.0"/>
        </w:rPr>
        <w:t>shall monitor the configured CSI-RS resources using the evaluation period in table 12.3.2.6.2-1 and 12.3.2.6.2-2 which is applicable to the non-DRX mode only.</w:t>
      </w:r>
    </w:p>
    <w:p w14:paraId="06054311" w14:textId="77777777" w:rsidR="00731BE8" w:rsidRPr="001B7DB7" w:rsidRDefault="00731BE8" w:rsidP="00731BE8">
      <w:pPr>
        <w:rPr>
          <w:rFonts w:eastAsia="?? ??"/>
        </w:rPr>
      </w:pPr>
      <w:r w:rsidRPr="001B7DB7">
        <w:rPr>
          <w:rFonts w:eastAsia="?? ??"/>
        </w:rPr>
        <w:t xml:space="preserve">The value of </w:t>
      </w:r>
      <w:r w:rsidRPr="001B7DB7">
        <w:t>T</w:t>
      </w:r>
      <w:r w:rsidRPr="001B7DB7">
        <w:rPr>
          <w:vertAlign w:val="subscript"/>
        </w:rPr>
        <w:t>Evaluate_CBD_CSI-RS</w:t>
      </w:r>
      <w:r w:rsidRPr="001B7DB7">
        <w:rPr>
          <w:rFonts w:eastAsia="?? ??"/>
        </w:rPr>
        <w:t xml:space="preserve"> is defined </w:t>
      </w:r>
      <w:r w:rsidRPr="00D05627">
        <w:rPr>
          <w:rFonts w:eastAsia="?? ??"/>
        </w:rPr>
        <w:t>in Table 12.3.2.6.2-1 for FR1.</w:t>
      </w:r>
    </w:p>
    <w:p w14:paraId="12EA9EBF" w14:textId="0CA0CBEA" w:rsidR="00731BE8" w:rsidRPr="001B7DB7" w:rsidRDefault="00731BE8" w:rsidP="00731BE8">
      <w:pPr>
        <w:rPr>
          <w:rFonts w:eastAsia="?? ??"/>
        </w:rPr>
      </w:pPr>
      <w:r w:rsidRPr="001B7DB7">
        <w:rPr>
          <w:rFonts w:eastAsia="?? ??"/>
        </w:rPr>
        <w:t xml:space="preserve">The value of </w:t>
      </w:r>
      <w:r w:rsidRPr="001B7DB7">
        <w:t>T</w:t>
      </w:r>
      <w:r w:rsidRPr="001B7DB7">
        <w:rPr>
          <w:vertAlign w:val="subscript"/>
        </w:rPr>
        <w:t>Evaluate_CBD_CSI-RS</w:t>
      </w:r>
      <w:r w:rsidRPr="001B7DB7">
        <w:rPr>
          <w:rFonts w:eastAsia="?? ??"/>
        </w:rPr>
        <w:t xml:space="preserve"> is defined </w:t>
      </w:r>
      <w:r w:rsidRPr="00D05627">
        <w:rPr>
          <w:rFonts w:eastAsia="?? ??"/>
        </w:rPr>
        <w:t>in Table 12.3.2.6.2-2 for FR2 with scaling factor N=</w:t>
      </w:r>
      <w:r w:rsidR="000D3CC7">
        <w:rPr>
          <w:rFonts w:eastAsia="?? ??"/>
        </w:rPr>
        <w:t>8</w:t>
      </w:r>
      <w:r w:rsidRPr="001B7DB7">
        <w:rPr>
          <w:rFonts w:eastAsia="?? ??"/>
        </w:rPr>
        <w:t>.</w:t>
      </w:r>
    </w:p>
    <w:p w14:paraId="3D55DB79" w14:textId="2B3B3BAE" w:rsidR="00B76867" w:rsidRPr="00C70CE9" w:rsidRDefault="00B76867" w:rsidP="00B76867">
      <w:r w:rsidRPr="00F8590C">
        <w:rPr>
          <w:rFonts w:eastAsia="?? ??"/>
        </w:rPr>
        <w:t>For FR1,</w:t>
      </w:r>
    </w:p>
    <w:p w14:paraId="21D17DD6" w14:textId="1A6D4CC4" w:rsidR="00B76867" w:rsidRPr="00D05627" w:rsidRDefault="00B76867" w:rsidP="00B76867">
      <w:pPr>
        <w:pStyle w:val="B10"/>
      </w:pPr>
      <w:r w:rsidRPr="00D05627">
        <w:t>-</w:t>
      </w:r>
      <w:r w:rsidRPr="00D05627">
        <w:tab/>
        <w:t>P = 1.</w:t>
      </w:r>
    </w:p>
    <w:p w14:paraId="7CD5479D" w14:textId="77777777" w:rsidR="00B76867" w:rsidRPr="00D05627" w:rsidRDefault="00B76867" w:rsidP="00B76867">
      <w:pPr>
        <w:rPr>
          <w:rFonts w:eastAsia="?? ??"/>
        </w:rPr>
      </w:pPr>
      <w:r w:rsidRPr="00D05627">
        <w:rPr>
          <w:rFonts w:eastAsia="?? ??"/>
        </w:rPr>
        <w:lastRenderedPageBreak/>
        <w:t>For FR2,</w:t>
      </w:r>
    </w:p>
    <w:p w14:paraId="351AF71B" w14:textId="4AAFE292" w:rsidR="00665A27" w:rsidRPr="00C70CE9" w:rsidRDefault="00665A27" w:rsidP="00665A27">
      <w:pPr>
        <w:ind w:left="568" w:hanging="284"/>
      </w:pPr>
      <w:r w:rsidRPr="00C70CE9">
        <w:t>-</w:t>
      </w:r>
      <w:r w:rsidRPr="00C70CE9">
        <w:tab/>
        <w:t>P = 1, when candidate beam detection RS is not overlapped with SMTC occasion.</w:t>
      </w:r>
    </w:p>
    <w:p w14:paraId="575B67DA" w14:textId="4460C4C0" w:rsidR="00B76867" w:rsidRPr="00C70CE9" w:rsidRDefault="00B76867" w:rsidP="00B76867">
      <w:pPr>
        <w:ind w:left="568" w:hanging="284"/>
      </w:pPr>
      <w:r w:rsidRPr="00C70CE9">
        <w:t>-</w:t>
      </w:r>
      <w:r w:rsidRPr="00C70CE9">
        <w:tab/>
      </w:r>
      <m:oMath>
        <m:r>
          <w:rPr>
            <w:rFonts w:ascii="Cambria Math" w:hAnsi="Cambria Math"/>
          </w:rPr>
          <m:t>P=</m:t>
        </m:r>
        <m:f>
          <m:fPr>
            <m:ctrlPr>
              <w:rPr>
                <w:rFonts w:ascii="Cambria Math" w:hAnsi="Cambria Math"/>
                <w:i/>
              </w:rPr>
            </m:ctrlPr>
          </m:fPr>
          <m:num>
            <m:r>
              <w:rPr>
                <w:rFonts w:ascii="Cambria Math" w:hAnsi="Cambria Math"/>
              </w:rPr>
              <m:t>1</m:t>
            </m:r>
          </m:num>
          <m:den>
            <m:r>
              <w:rPr>
                <w:rFonts w:ascii="Cambria Math" w:hAnsi="Cambria Math"/>
              </w:rPr>
              <m:t>1-</m:t>
            </m:r>
            <m:f>
              <m:fPr>
                <m:ctrlPr>
                  <w:rPr>
                    <w:rFonts w:ascii="Cambria Math" w:hAnsi="Cambria Math"/>
                    <w:i/>
                  </w:rPr>
                </m:ctrlPr>
              </m:fPr>
              <m:num>
                <m:sSub>
                  <m:sSubPr>
                    <m:ctrlPr>
                      <w:rPr>
                        <w:rFonts w:ascii="Cambria Math" w:hAnsi="Cambria Math"/>
                      </w:rPr>
                    </m:ctrlPr>
                  </m:sSubPr>
                  <m:e>
                    <m:r>
                      <m:rPr>
                        <m:sty m:val="p"/>
                      </m:rPr>
                      <w:rPr>
                        <w:rFonts w:ascii="Cambria Math" w:hAnsi="Cambria Math"/>
                      </w:rPr>
                      <m:t>T</m:t>
                    </m:r>
                  </m:e>
                  <m:sub>
                    <m:r>
                      <m:rPr>
                        <m:sty m:val="p"/>
                      </m:rPr>
                      <w:rPr>
                        <w:rFonts w:ascii="Cambria Math" w:hAnsi="Cambria Math"/>
                      </w:rPr>
                      <m:t>CSI-RS</m:t>
                    </m:r>
                  </m:sub>
                </m:sSub>
              </m:num>
              <m:den>
                <m:sSub>
                  <m:sSubPr>
                    <m:ctrlPr>
                      <w:rPr>
                        <w:rFonts w:ascii="Cambria Math" w:hAnsi="Cambria Math"/>
                        <w:i/>
                      </w:rPr>
                    </m:ctrlPr>
                  </m:sSubPr>
                  <m:e>
                    <m:r>
                      <w:rPr>
                        <w:rFonts w:ascii="Cambria Math" w:hAnsi="Cambria Math"/>
                      </w:rPr>
                      <m:t>T</m:t>
                    </m:r>
                  </m:e>
                  <m:sub>
                    <m:r>
                      <w:rPr>
                        <w:rFonts w:ascii="Cambria Math" w:hAnsi="Cambria Math"/>
                      </w:rPr>
                      <m:t>SMTCperiod</m:t>
                    </m:r>
                  </m:sub>
                </m:sSub>
              </m:den>
            </m:f>
          </m:den>
        </m:f>
      </m:oMath>
      <w:r w:rsidRPr="00C70CE9">
        <w:t>, when candidate beam detection RS is partially overlapped with SMTC occasion (T</w:t>
      </w:r>
      <w:r w:rsidRPr="00C70CE9">
        <w:rPr>
          <w:vertAlign w:val="subscript"/>
        </w:rPr>
        <w:t>CSI-RS</w:t>
      </w:r>
      <w:r w:rsidRPr="00C70CE9">
        <w:t xml:space="preserve"> &lt; T</w:t>
      </w:r>
      <w:r w:rsidRPr="00C70CE9">
        <w:rPr>
          <w:vertAlign w:val="subscript"/>
        </w:rPr>
        <w:t>SMTCperiod</w:t>
      </w:r>
      <w:r w:rsidRPr="00C70CE9">
        <w:t>).</w:t>
      </w:r>
    </w:p>
    <w:p w14:paraId="66AD2EB9" w14:textId="723075B6" w:rsidR="00B76867" w:rsidRPr="00C70CE9" w:rsidRDefault="00B76867" w:rsidP="00B76867">
      <w:pPr>
        <w:rPr>
          <w:rFonts w:eastAsia="?? ??"/>
        </w:rPr>
      </w:pPr>
      <w:r w:rsidRPr="00C70CE9">
        <w:t>-</w:t>
      </w:r>
      <w:r w:rsidRPr="00C70CE9">
        <w:tab/>
        <w:t>P = 3, when candidate beam detection RS is fully overlapped with SMTC occasion (</w:t>
      </w:r>
      <w:r w:rsidRPr="00C70CE9">
        <w:rPr>
          <w:rFonts w:eastAsia="?? ??"/>
        </w:rPr>
        <w:t>T</w:t>
      </w:r>
      <w:r w:rsidRPr="00C70CE9">
        <w:rPr>
          <w:rFonts w:eastAsia="?? ??"/>
          <w:vertAlign w:val="subscript"/>
        </w:rPr>
        <w:t>CSI-RS</w:t>
      </w:r>
      <w:r w:rsidRPr="00C70CE9">
        <w:t xml:space="preserve"> = T</w:t>
      </w:r>
      <w:r w:rsidRPr="00C70CE9">
        <w:rPr>
          <w:vertAlign w:val="subscript"/>
        </w:rPr>
        <w:t>SMTCperiod</w:t>
      </w:r>
      <w:r w:rsidRPr="00C70CE9">
        <w:t>).</w:t>
      </w:r>
    </w:p>
    <w:p w14:paraId="1CE66453" w14:textId="77777777" w:rsidR="00B76867" w:rsidRDefault="00B76867" w:rsidP="00B76867">
      <w:r>
        <w:t xml:space="preserve">If the IAB-MT </w:t>
      </w:r>
      <w:r w:rsidRPr="00056493">
        <w:t>is not capable of 4 SMTC configurations per frequency [15]</w:t>
      </w:r>
      <w:r>
        <w:t>, and is provided with higher layer signaling of smtcj, where 1≤</w:t>
      </w:r>
      <w:r w:rsidRPr="00061F8F">
        <w:rPr>
          <w:i/>
          <w:iCs/>
        </w:rPr>
        <w:t>j</w:t>
      </w:r>
      <w:r>
        <w:t xml:space="preserve">≤2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4DA373F5" w14:textId="77777777" w:rsidR="00B76867" w:rsidRPr="004B6FD1" w:rsidRDefault="00B76867" w:rsidP="00B76867">
      <w:r>
        <w:t xml:space="preserve">If the IAB-MT </w:t>
      </w:r>
      <w:r w:rsidRPr="00056493">
        <w:t>is capable of 4 SMTC configurations per frequency [15]</w:t>
      </w:r>
      <w:r>
        <w:t>, and is provided with higher layer signaling of smtcj, where 1≤</w:t>
      </w:r>
      <w:r w:rsidRPr="00061F8F">
        <w:rPr>
          <w:i/>
          <w:iCs/>
        </w:rPr>
        <w:t>j</w:t>
      </w:r>
      <w:r>
        <w:t xml:space="preserve">≤4 </w:t>
      </w:r>
      <w:r w:rsidRPr="00885F53">
        <w:t>[</w:t>
      </w:r>
      <w:r>
        <w:t>15</w:t>
      </w:r>
      <w:r w:rsidRPr="00885F53">
        <w:t>]</w:t>
      </w:r>
      <w:r>
        <w:t xml:space="preserve">, then </w:t>
      </w:r>
      <w:r w:rsidRPr="00056493">
        <w:t>T</w:t>
      </w:r>
      <w:r w:rsidRPr="00061F8F">
        <w:rPr>
          <w:vertAlign w:val="subscript"/>
        </w:rPr>
        <w:t xml:space="preserve">SMTCperiod </w:t>
      </w:r>
      <w:r>
        <w:t>follows smtcj</w:t>
      </w:r>
      <w:r w:rsidRPr="00061F8F">
        <w:rPr>
          <w:vertAlign w:val="subscript"/>
        </w:rPr>
        <w:t xml:space="preserve">max </w:t>
      </w:r>
      <w:r>
        <w:t>where j</w:t>
      </w:r>
      <w:r w:rsidRPr="00061F8F">
        <w:rPr>
          <w:vertAlign w:val="subscript"/>
        </w:rPr>
        <w:t>max</w:t>
      </w:r>
      <w:r>
        <w:t xml:space="preserve"> is the maximum value of all j for which smtcj has been configured.</w:t>
      </w:r>
    </w:p>
    <w:p w14:paraId="12A45380" w14:textId="77777777" w:rsidR="00B76867" w:rsidRPr="001B7DB7" w:rsidRDefault="00B76867" w:rsidP="00B76867">
      <w:pPr>
        <w:rPr>
          <w:rFonts w:eastAsia="?? ??"/>
        </w:rPr>
      </w:pPr>
      <w:r w:rsidRPr="00D05627">
        <w:t xml:space="preserve">Longer evaluation period would be expected if the CSI-RS is on the same OFDM symbols with RLM, BFD, BM-RS, or other CBD-RS, according to the measurement restrictions </w:t>
      </w:r>
      <w:r w:rsidRPr="00316B92">
        <w:t>defined in clause 12.3.2.6.3</w:t>
      </w:r>
      <w:r w:rsidRPr="00316B92">
        <w:rPr>
          <w:rFonts w:eastAsia="?? ??"/>
        </w:rPr>
        <w:t>.</w:t>
      </w:r>
    </w:p>
    <w:p w14:paraId="452412A4" w14:textId="77777777" w:rsidR="00B76867" w:rsidRPr="001B7DB7" w:rsidRDefault="00B76867" w:rsidP="00B76867">
      <w:pPr>
        <w:rPr>
          <w:rFonts w:eastAsia="?? ??"/>
        </w:rPr>
      </w:pPr>
      <w:r w:rsidRPr="001B7DB7">
        <w:rPr>
          <w:rFonts w:eastAsia="?? ??"/>
        </w:rPr>
        <w:t>The values of M</w:t>
      </w:r>
      <w:r w:rsidRPr="001B7DB7">
        <w:rPr>
          <w:rFonts w:eastAsia="?? ??"/>
          <w:vertAlign w:val="subscript"/>
        </w:rPr>
        <w:t>CBD</w:t>
      </w:r>
      <w:r w:rsidRPr="001B7DB7">
        <w:rPr>
          <w:rFonts w:eastAsia="?? ??"/>
        </w:rPr>
        <w:t xml:space="preserve"> used </w:t>
      </w:r>
      <w:r w:rsidRPr="00316B92">
        <w:rPr>
          <w:rFonts w:eastAsia="?? ??"/>
        </w:rPr>
        <w:t>in Table 12.3.2.6.2-1 and Table 12.3.2.6.2-2</w:t>
      </w:r>
      <w:r w:rsidRPr="001B7DB7">
        <w:rPr>
          <w:rFonts w:eastAsia="?? ??"/>
        </w:rPr>
        <w:t xml:space="preserve"> are defined as</w:t>
      </w:r>
    </w:p>
    <w:p w14:paraId="13EBFFD0" w14:textId="77777777" w:rsidR="00B76867" w:rsidRPr="001B7DB7" w:rsidRDefault="00B76867" w:rsidP="00B76867">
      <w:pPr>
        <w:pStyle w:val="B10"/>
      </w:pPr>
      <w:r w:rsidRPr="001B7DB7">
        <w:t>-</w:t>
      </w:r>
      <w:r w:rsidRPr="001B7DB7">
        <w:tab/>
        <w:t>M</w:t>
      </w:r>
      <w:r w:rsidRPr="001B7DB7">
        <w:rPr>
          <w:vertAlign w:val="subscript"/>
        </w:rPr>
        <w:t>CBD</w:t>
      </w:r>
      <w:r w:rsidRPr="001B7DB7">
        <w:t xml:space="preserve"> = 3, if the CSI-RS resource configured in the set </w:t>
      </w:r>
      <w:r w:rsidRPr="001B7DB7">
        <w:rPr>
          <w:noProof/>
          <w:position w:val="-10"/>
          <w:lang w:val="en-US" w:eastAsia="zh-CN"/>
        </w:rPr>
        <w:drawing>
          <wp:inline distT="0" distB="0" distL="0" distR="0" wp14:anchorId="5FC1870F" wp14:editId="1E6722A4">
            <wp:extent cx="133350" cy="200025"/>
            <wp:effectExtent l="19050" t="0" r="0" b="0"/>
            <wp:docPr id="2901"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1B7DB7">
        <w:t xml:space="preserve"> is transmitted with Density = 3.</w:t>
      </w:r>
    </w:p>
    <w:p w14:paraId="2EE68564" w14:textId="77777777" w:rsidR="00731BE8" w:rsidRPr="001B7DB7" w:rsidRDefault="00731BE8" w:rsidP="00C60E58">
      <w:pPr>
        <w:pStyle w:val="TH"/>
      </w:pPr>
      <w:r w:rsidRPr="00316B92">
        <w:t>Table 12.3.2.6.2-1: Evaluation period T</w:t>
      </w:r>
      <w:r w:rsidRPr="00316B92">
        <w:rPr>
          <w:vertAlign w:val="subscript"/>
        </w:rPr>
        <w:t>Evaluate_CBD_CSI-RS</w:t>
      </w:r>
      <w:r w:rsidRPr="00316B92">
        <w:t xml:space="preserve"> for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731BE8" w:rsidRPr="00D05627" w14:paraId="609D78DE" w14:textId="77777777" w:rsidTr="00A4061E">
        <w:trPr>
          <w:jc w:val="center"/>
        </w:trPr>
        <w:tc>
          <w:tcPr>
            <w:tcW w:w="2035" w:type="dxa"/>
            <w:shd w:val="clear" w:color="auto" w:fill="auto"/>
          </w:tcPr>
          <w:p w14:paraId="5C9822E5" w14:textId="77777777" w:rsidR="00731BE8" w:rsidRPr="00F8590C" w:rsidRDefault="00731BE8" w:rsidP="00255E64">
            <w:pPr>
              <w:pStyle w:val="TAH"/>
            </w:pPr>
            <w:r w:rsidRPr="00F8590C">
              <w:t>Configuration</w:t>
            </w:r>
          </w:p>
        </w:tc>
        <w:tc>
          <w:tcPr>
            <w:tcW w:w="4582" w:type="dxa"/>
            <w:shd w:val="clear" w:color="auto" w:fill="auto"/>
          </w:tcPr>
          <w:p w14:paraId="537F95AA" w14:textId="44ECD64E" w:rsidR="00731BE8" w:rsidRPr="00D05627" w:rsidRDefault="00731BE8" w:rsidP="00255E64">
            <w:pPr>
              <w:pStyle w:val="TAH"/>
            </w:pPr>
            <w:r w:rsidRPr="00D05627">
              <w:t>T</w:t>
            </w:r>
            <w:r w:rsidRPr="00D05627">
              <w:rPr>
                <w:vertAlign w:val="subscript"/>
              </w:rPr>
              <w:t>EvaluateC_CBD_CSI-RS</w:t>
            </w:r>
            <w:r w:rsidRPr="00D05627">
              <w:t xml:space="preserve"> (ms)</w:t>
            </w:r>
          </w:p>
        </w:tc>
      </w:tr>
      <w:tr w:rsidR="00731BE8" w:rsidRPr="00D05627" w14:paraId="3E70E626" w14:textId="77777777" w:rsidTr="00A4061E">
        <w:trPr>
          <w:jc w:val="center"/>
        </w:trPr>
        <w:tc>
          <w:tcPr>
            <w:tcW w:w="2035" w:type="dxa"/>
            <w:shd w:val="clear" w:color="auto" w:fill="auto"/>
          </w:tcPr>
          <w:p w14:paraId="1432BBE3" w14:textId="77777777" w:rsidR="00731BE8" w:rsidRPr="00D05627" w:rsidRDefault="00731BE8" w:rsidP="00255E64">
            <w:pPr>
              <w:pStyle w:val="TAC"/>
            </w:pPr>
            <w:r w:rsidRPr="00D05627">
              <w:t>non-DRX</w:t>
            </w:r>
          </w:p>
        </w:tc>
        <w:tc>
          <w:tcPr>
            <w:tcW w:w="4582" w:type="dxa"/>
            <w:shd w:val="clear" w:color="auto" w:fill="auto"/>
          </w:tcPr>
          <w:p w14:paraId="795EA1C4" w14:textId="77777777" w:rsidR="00731BE8" w:rsidRPr="001B7DB7" w:rsidRDefault="00731BE8" w:rsidP="00255E64">
            <w:pPr>
              <w:pStyle w:val="TAC"/>
            </w:pPr>
            <w:r w:rsidRPr="00D05627">
              <w:rPr>
                <w:rFonts w:cs="v4.2.0"/>
              </w:rPr>
              <w:t>Max(25, Ceil(M</w:t>
            </w:r>
            <w:r w:rsidRPr="00D05627">
              <w:rPr>
                <w:rFonts w:cs="v4.2.0"/>
                <w:vertAlign w:val="subscript"/>
              </w:rPr>
              <w:t>CBD</w:t>
            </w:r>
            <w:r w:rsidRPr="00D05627">
              <w:rPr>
                <w:rFonts w:cs="v4.2.0"/>
              </w:rPr>
              <w:t xml:space="preserve"> </w:t>
            </w:r>
            <w:r w:rsidRPr="001B7DB7">
              <w:rPr>
                <w:rFonts w:cs="Arial"/>
                <w:szCs w:val="18"/>
              </w:rPr>
              <w:sym w:font="Symbol" w:char="F0B4"/>
            </w:r>
            <w:r w:rsidRPr="001B7DB7">
              <w:rPr>
                <w:rFonts w:cs="Arial"/>
                <w:szCs w:val="18"/>
              </w:rPr>
              <w:t xml:space="preserve"> </w:t>
            </w:r>
            <w:r w:rsidRPr="001B7DB7">
              <w:rPr>
                <w:rFonts w:cs="v4.2.0"/>
              </w:rPr>
              <w:t xml:space="preserve">P) </w:t>
            </w:r>
            <w:r w:rsidRPr="001B7DB7">
              <w:rPr>
                <w:rFonts w:cs="Arial"/>
                <w:szCs w:val="18"/>
              </w:rPr>
              <w:sym w:font="Symbol" w:char="F0B4"/>
            </w:r>
            <w:r w:rsidRPr="001B7DB7">
              <w:rPr>
                <w:rFonts w:cs="v4.2.0"/>
              </w:rPr>
              <w:t xml:space="preserve"> T</w:t>
            </w:r>
            <w:r w:rsidRPr="001B7DB7">
              <w:rPr>
                <w:rFonts w:cs="v4.2.0"/>
                <w:vertAlign w:val="subscript"/>
              </w:rPr>
              <w:t>CSI-RS</w:t>
            </w:r>
            <w:r w:rsidRPr="001B7DB7">
              <w:rPr>
                <w:rFonts w:cs="v4.2.0"/>
              </w:rPr>
              <w:t>)</w:t>
            </w:r>
          </w:p>
        </w:tc>
      </w:tr>
      <w:tr w:rsidR="00731BE8" w:rsidRPr="00D05627" w14:paraId="28870830" w14:textId="77777777" w:rsidTr="00A4061E">
        <w:trPr>
          <w:jc w:val="center"/>
        </w:trPr>
        <w:tc>
          <w:tcPr>
            <w:tcW w:w="6617" w:type="dxa"/>
            <w:gridSpan w:val="2"/>
            <w:shd w:val="clear" w:color="auto" w:fill="auto"/>
          </w:tcPr>
          <w:p w14:paraId="0C3A02B8" w14:textId="77777777" w:rsidR="00731BE8" w:rsidRPr="001B7DB7" w:rsidRDefault="00731BE8" w:rsidP="00623FE6">
            <w:pPr>
              <w:pStyle w:val="TAN"/>
              <w:rPr>
                <w:rFonts w:cs="v4.2.0"/>
              </w:rPr>
            </w:pPr>
            <w:r w:rsidRPr="00D05627">
              <w:t>Note:</w:t>
            </w:r>
            <w:r w:rsidRPr="00D05627">
              <w:rPr>
                <w:sz w:val="28"/>
              </w:rPr>
              <w:tab/>
            </w:r>
            <w:r w:rsidRPr="00D05627">
              <w:rPr>
                <w:rFonts w:cs="v4.2.0"/>
              </w:rPr>
              <w:t>T</w:t>
            </w:r>
            <w:r w:rsidRPr="00D05627">
              <w:rPr>
                <w:rFonts w:cs="v4.2.0"/>
                <w:vertAlign w:val="subscript"/>
              </w:rPr>
              <w:t>CSI-RS</w:t>
            </w:r>
            <w:r w:rsidRPr="00D05627">
              <w:t xml:space="preserve"> is the periodicity of CSI-RS resource in the set </w:t>
            </w:r>
            <w:r w:rsidRPr="001B7DB7">
              <w:rPr>
                <w:noProof/>
                <w:position w:val="-10"/>
                <w:lang w:val="en-US" w:eastAsia="zh-CN"/>
              </w:rPr>
              <w:drawing>
                <wp:inline distT="0" distB="0" distL="0" distR="0" wp14:anchorId="57D22617" wp14:editId="340C1E77">
                  <wp:extent cx="133350" cy="200025"/>
                  <wp:effectExtent l="19050" t="0" r="0" b="0"/>
                  <wp:docPr id="68"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1B7DB7">
              <w:t>.</w:t>
            </w:r>
            <w:r w:rsidRPr="001B7DB7">
              <w:rPr>
                <w:rFonts w:cs="v4.2.0"/>
              </w:rPr>
              <w:t xml:space="preserve"> </w:t>
            </w:r>
          </w:p>
        </w:tc>
      </w:tr>
    </w:tbl>
    <w:p w14:paraId="1D8FD7D1" w14:textId="77777777" w:rsidR="003062EC" w:rsidRDefault="003062EC" w:rsidP="00E10D04">
      <w:pPr>
        <w:pStyle w:val="TH"/>
      </w:pPr>
      <w:bookmarkStart w:id="9054" w:name="_Toc53185633"/>
      <w:bookmarkStart w:id="9055" w:name="_Toc53186009"/>
      <w:bookmarkStart w:id="9056" w:name="_Toc57820495"/>
      <w:bookmarkStart w:id="9057" w:name="_Toc57821422"/>
      <w:bookmarkStart w:id="9058" w:name="_Toc61183698"/>
      <w:bookmarkStart w:id="9059" w:name="_Toc61184092"/>
      <w:bookmarkStart w:id="9060" w:name="_Toc61184484"/>
      <w:bookmarkStart w:id="9061" w:name="_Toc61184876"/>
      <w:bookmarkStart w:id="9062" w:name="_Toc61185266"/>
    </w:p>
    <w:p w14:paraId="13AD5A5F" w14:textId="71B73C43" w:rsidR="00E10D04" w:rsidRPr="001B7DB7" w:rsidRDefault="00E10D04" w:rsidP="00E10D04">
      <w:pPr>
        <w:pStyle w:val="TH"/>
      </w:pPr>
      <w:r w:rsidRPr="00316B92">
        <w:t>Table 12.3.2.6.2-2: Evaluation period T</w:t>
      </w:r>
      <w:r w:rsidRPr="00316B92">
        <w:rPr>
          <w:vertAlign w:val="subscript"/>
        </w:rPr>
        <w:t>Evaluate_CBD_CSI-RS</w:t>
      </w:r>
      <w:r w:rsidRPr="00316B92">
        <w:t xml:space="preserve"> for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4582"/>
      </w:tblGrid>
      <w:tr w:rsidR="00E10D04" w:rsidRPr="00D05627" w14:paraId="2B94260F" w14:textId="77777777" w:rsidTr="00B03869">
        <w:trPr>
          <w:jc w:val="center"/>
        </w:trPr>
        <w:tc>
          <w:tcPr>
            <w:tcW w:w="2035" w:type="dxa"/>
            <w:shd w:val="clear" w:color="auto" w:fill="auto"/>
          </w:tcPr>
          <w:p w14:paraId="7C70AF52" w14:textId="77777777" w:rsidR="00E10D04" w:rsidRPr="00F8590C" w:rsidRDefault="00E10D04" w:rsidP="00B03869">
            <w:pPr>
              <w:pStyle w:val="TAH"/>
            </w:pPr>
            <w:r w:rsidRPr="00F8590C">
              <w:t>Configuration</w:t>
            </w:r>
          </w:p>
        </w:tc>
        <w:tc>
          <w:tcPr>
            <w:tcW w:w="4582" w:type="dxa"/>
            <w:shd w:val="clear" w:color="auto" w:fill="auto"/>
          </w:tcPr>
          <w:p w14:paraId="0A02E191" w14:textId="77777777" w:rsidR="00E10D04" w:rsidRPr="00D05627" w:rsidRDefault="00E10D04" w:rsidP="00B03869">
            <w:pPr>
              <w:pStyle w:val="TAH"/>
            </w:pPr>
            <w:r w:rsidRPr="00D05627">
              <w:t>T</w:t>
            </w:r>
            <w:r w:rsidRPr="00D05627">
              <w:rPr>
                <w:vertAlign w:val="subscript"/>
              </w:rPr>
              <w:t>Evaluate_CBD_CSI-RS</w:t>
            </w:r>
            <w:r w:rsidRPr="00D05627">
              <w:t xml:space="preserve"> (ms)</w:t>
            </w:r>
          </w:p>
        </w:tc>
      </w:tr>
      <w:tr w:rsidR="00E10D04" w:rsidRPr="00D05627" w14:paraId="76A83DA5" w14:textId="77777777" w:rsidTr="00B03869">
        <w:trPr>
          <w:jc w:val="center"/>
        </w:trPr>
        <w:tc>
          <w:tcPr>
            <w:tcW w:w="2035" w:type="dxa"/>
            <w:shd w:val="clear" w:color="auto" w:fill="auto"/>
          </w:tcPr>
          <w:p w14:paraId="6D84D1A2" w14:textId="77777777" w:rsidR="00E10D04" w:rsidRPr="00D05627" w:rsidRDefault="00E10D04" w:rsidP="00B03869">
            <w:pPr>
              <w:pStyle w:val="TAC"/>
            </w:pPr>
            <w:r w:rsidRPr="00D05627">
              <w:t>non-DRX</w:t>
            </w:r>
          </w:p>
        </w:tc>
        <w:tc>
          <w:tcPr>
            <w:tcW w:w="4582" w:type="dxa"/>
            <w:shd w:val="clear" w:color="auto" w:fill="auto"/>
          </w:tcPr>
          <w:p w14:paraId="1B6B18EF" w14:textId="77777777" w:rsidR="00E10D04" w:rsidRPr="001B7DB7" w:rsidRDefault="00E10D04" w:rsidP="00B03869">
            <w:pPr>
              <w:pStyle w:val="TAC"/>
            </w:pPr>
            <w:r w:rsidRPr="00D05627">
              <w:rPr>
                <w:rFonts w:cs="v4.2.0"/>
              </w:rPr>
              <w:t>Max(25, Ceil(M</w:t>
            </w:r>
            <w:r w:rsidRPr="00D05627">
              <w:rPr>
                <w:rFonts w:cs="v4.2.0"/>
                <w:vertAlign w:val="subscript"/>
              </w:rPr>
              <w:t>CBD</w:t>
            </w:r>
            <w:r w:rsidRPr="00D05627">
              <w:rPr>
                <w:rFonts w:cs="v4.2.0"/>
              </w:rPr>
              <w:t xml:space="preserve"> </w:t>
            </w:r>
            <w:r w:rsidRPr="001B7DB7">
              <w:rPr>
                <w:rFonts w:cs="Arial"/>
                <w:szCs w:val="18"/>
              </w:rPr>
              <w:sym w:font="Symbol" w:char="F0B4"/>
            </w:r>
            <w:r w:rsidRPr="001B7DB7">
              <w:rPr>
                <w:rFonts w:cs="Arial"/>
                <w:szCs w:val="18"/>
              </w:rPr>
              <w:t xml:space="preserve"> </w:t>
            </w:r>
            <w:r w:rsidRPr="001B7DB7">
              <w:rPr>
                <w:rFonts w:cs="v4.2.0"/>
              </w:rPr>
              <w:t xml:space="preserve">P </w:t>
            </w:r>
            <w:r w:rsidRPr="001B7DB7">
              <w:rPr>
                <w:rFonts w:cs="Arial"/>
                <w:szCs w:val="18"/>
              </w:rPr>
              <w:sym w:font="Symbol" w:char="F0B4"/>
            </w:r>
            <w:r w:rsidRPr="001B7DB7">
              <w:rPr>
                <w:rFonts w:cs="Arial"/>
                <w:szCs w:val="18"/>
              </w:rPr>
              <w:t xml:space="preserve"> </w:t>
            </w:r>
            <w:r w:rsidRPr="001B7DB7">
              <w:rPr>
                <w:rFonts w:cs="v4.2.0"/>
              </w:rPr>
              <w:t xml:space="preserve">N) </w:t>
            </w:r>
            <w:r w:rsidRPr="001B7DB7">
              <w:rPr>
                <w:rFonts w:cs="Arial"/>
                <w:szCs w:val="18"/>
              </w:rPr>
              <w:sym w:font="Symbol" w:char="F0B4"/>
            </w:r>
            <w:r w:rsidRPr="001B7DB7">
              <w:rPr>
                <w:rFonts w:cs="v4.2.0"/>
              </w:rPr>
              <w:t xml:space="preserve"> T</w:t>
            </w:r>
            <w:r w:rsidRPr="001B7DB7">
              <w:rPr>
                <w:rFonts w:cs="v4.2.0"/>
                <w:vertAlign w:val="subscript"/>
              </w:rPr>
              <w:t>CSI-RS</w:t>
            </w:r>
            <w:r w:rsidRPr="001B7DB7">
              <w:rPr>
                <w:rFonts w:cs="v4.2.0"/>
              </w:rPr>
              <w:t>)</w:t>
            </w:r>
          </w:p>
        </w:tc>
      </w:tr>
      <w:tr w:rsidR="00E10D04" w:rsidRPr="00D05627" w14:paraId="73D7305C" w14:textId="77777777" w:rsidTr="00B03869">
        <w:trPr>
          <w:jc w:val="center"/>
        </w:trPr>
        <w:tc>
          <w:tcPr>
            <w:tcW w:w="6617" w:type="dxa"/>
            <w:gridSpan w:val="2"/>
            <w:shd w:val="clear" w:color="auto" w:fill="auto"/>
          </w:tcPr>
          <w:p w14:paraId="2F51E551" w14:textId="77777777" w:rsidR="00E10D04" w:rsidRPr="001B7DB7" w:rsidRDefault="00E10D04" w:rsidP="00B03869">
            <w:pPr>
              <w:pStyle w:val="TAN"/>
              <w:rPr>
                <w:rFonts w:cs="v4.2.0"/>
              </w:rPr>
            </w:pPr>
            <w:r w:rsidRPr="00D05627">
              <w:t>Note:</w:t>
            </w:r>
            <w:r w:rsidRPr="00D05627">
              <w:rPr>
                <w:sz w:val="28"/>
              </w:rPr>
              <w:tab/>
            </w:r>
            <w:r w:rsidRPr="00D05627">
              <w:rPr>
                <w:rFonts w:cs="v4.2.0"/>
              </w:rPr>
              <w:t>T</w:t>
            </w:r>
            <w:r w:rsidRPr="00D05627">
              <w:rPr>
                <w:rFonts w:cs="v4.2.0"/>
                <w:vertAlign w:val="subscript"/>
              </w:rPr>
              <w:t>CSI-RS</w:t>
            </w:r>
            <w:r w:rsidRPr="00D05627">
              <w:t xml:space="preserve"> is the periodicity of CSI-RS resource in the set </w:t>
            </w:r>
            <w:r w:rsidRPr="001B7DB7">
              <w:rPr>
                <w:noProof/>
                <w:position w:val="-10"/>
                <w:lang w:val="en-US" w:eastAsia="zh-CN"/>
              </w:rPr>
              <w:drawing>
                <wp:inline distT="0" distB="0" distL="0" distR="0" wp14:anchorId="2742D254" wp14:editId="498BABBE">
                  <wp:extent cx="133350" cy="200025"/>
                  <wp:effectExtent l="19050" t="0" r="0" b="0"/>
                  <wp:docPr id="69"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66" cstate="print"/>
                          <a:srcRect/>
                          <a:stretch>
                            <a:fillRect/>
                          </a:stretch>
                        </pic:blipFill>
                        <pic:spPr bwMode="auto">
                          <a:xfrm>
                            <a:off x="0" y="0"/>
                            <a:ext cx="133350" cy="200025"/>
                          </a:xfrm>
                          <a:prstGeom prst="rect">
                            <a:avLst/>
                          </a:prstGeom>
                          <a:noFill/>
                          <a:ln w="9525">
                            <a:noFill/>
                            <a:miter lim="800000"/>
                            <a:headEnd/>
                            <a:tailEnd/>
                          </a:ln>
                        </pic:spPr>
                      </pic:pic>
                    </a:graphicData>
                  </a:graphic>
                </wp:inline>
              </w:drawing>
            </w:r>
            <w:r w:rsidRPr="001B7DB7">
              <w:t>.</w:t>
            </w:r>
          </w:p>
        </w:tc>
      </w:tr>
    </w:tbl>
    <w:p w14:paraId="0F5FA95B" w14:textId="77777777" w:rsidR="00E10D04" w:rsidRDefault="00E10D04" w:rsidP="00E10D04">
      <w:pPr>
        <w:pStyle w:val="Heading5"/>
        <w:rPr>
          <w:rFonts w:eastAsia="?? ??"/>
          <w:sz w:val="24"/>
        </w:rPr>
      </w:pPr>
      <w:bookmarkStart w:id="9063" w:name="_Toc53185632"/>
      <w:bookmarkStart w:id="9064" w:name="_Toc53186008"/>
      <w:bookmarkStart w:id="9065" w:name="_Toc57820494"/>
      <w:bookmarkStart w:id="9066" w:name="_Toc57821421"/>
      <w:bookmarkStart w:id="9067" w:name="_Toc61183697"/>
      <w:bookmarkStart w:id="9068" w:name="_Toc61184091"/>
      <w:bookmarkStart w:id="9069" w:name="_Toc61184483"/>
      <w:bookmarkStart w:id="9070" w:name="_Toc61184875"/>
      <w:bookmarkStart w:id="9071" w:name="_Toc61185265"/>
      <w:bookmarkStart w:id="9072" w:name="_Toc66386610"/>
      <w:bookmarkStart w:id="9073" w:name="_Toc74583568"/>
      <w:bookmarkStart w:id="9074" w:name="_Toc76542381"/>
      <w:bookmarkStart w:id="9075" w:name="_Toc82450363"/>
      <w:bookmarkStart w:id="9076" w:name="_Toc82451011"/>
      <w:bookmarkStart w:id="9077" w:name="_Toc89949400"/>
      <w:bookmarkStart w:id="9078" w:name="_Toc98755789"/>
      <w:bookmarkStart w:id="9079" w:name="_Toc98763381"/>
      <w:bookmarkStart w:id="9080" w:name="_Toc106184310"/>
      <w:r>
        <w:rPr>
          <w:rFonts w:eastAsia="?? ??"/>
          <w:sz w:val="24"/>
        </w:rPr>
        <w:t>12.3.2.6.3</w:t>
      </w:r>
      <w:r>
        <w:tab/>
      </w:r>
      <w:r>
        <w:rPr>
          <w:rFonts w:eastAsia="?? ??"/>
          <w:sz w:val="24"/>
        </w:rPr>
        <w:t>Measurement restriction for CSI-RS based candidate beam detection</w:t>
      </w:r>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bookmarkEnd w:id="9080"/>
    </w:p>
    <w:p w14:paraId="63F0C858" w14:textId="77777777" w:rsidR="00E10D04" w:rsidRDefault="00E10D04" w:rsidP="00E10D04">
      <w:bookmarkStart w:id="9081" w:name="_Hlk42527721"/>
      <w:r w:rsidRPr="00467F4C">
        <w:t>The UE requirements in sub-clause 8.5.6.3 [6] apply for IAB-MT.</w:t>
      </w:r>
      <w:bookmarkEnd w:id="9081"/>
    </w:p>
    <w:p w14:paraId="56013E85" w14:textId="5B808943" w:rsidR="00334C0D" w:rsidRDefault="00334C0D" w:rsidP="00FE263A">
      <w:pPr>
        <w:pStyle w:val="Heading4"/>
      </w:pPr>
      <w:bookmarkStart w:id="9082" w:name="_Toc66386611"/>
      <w:bookmarkStart w:id="9083" w:name="_Toc74583569"/>
      <w:bookmarkStart w:id="9084" w:name="_Toc76542382"/>
      <w:bookmarkStart w:id="9085" w:name="_Toc82450364"/>
      <w:bookmarkStart w:id="9086" w:name="_Toc82451012"/>
      <w:bookmarkStart w:id="9087" w:name="_Toc89949401"/>
      <w:bookmarkStart w:id="9088" w:name="_Toc98755790"/>
      <w:bookmarkStart w:id="9089" w:name="_Toc98763382"/>
      <w:bookmarkStart w:id="9090" w:name="_Toc106184311"/>
      <w:r>
        <w:t>1</w:t>
      </w:r>
      <w:r w:rsidR="00945315">
        <w:t>2</w:t>
      </w:r>
      <w:r>
        <w:t>.</w:t>
      </w:r>
      <w:r w:rsidR="00945315">
        <w:t>3.</w:t>
      </w:r>
      <w:r>
        <w:t>2.7</w:t>
      </w:r>
      <w:r w:rsidR="00623FE6">
        <w:tab/>
      </w:r>
      <w:r>
        <w:t xml:space="preserve">Scheduling availability of </w:t>
      </w:r>
      <w:r w:rsidR="002716A4">
        <w:t>IAB-</w:t>
      </w:r>
      <w:r>
        <w:t>MT during beam failure detection</w:t>
      </w:r>
      <w:bookmarkEnd w:id="9054"/>
      <w:bookmarkEnd w:id="9055"/>
      <w:bookmarkEnd w:id="9056"/>
      <w:bookmarkEnd w:id="9057"/>
      <w:bookmarkEnd w:id="9058"/>
      <w:bookmarkEnd w:id="9059"/>
      <w:bookmarkEnd w:id="9060"/>
      <w:bookmarkEnd w:id="9061"/>
      <w:bookmarkEnd w:id="9062"/>
      <w:bookmarkEnd w:id="9082"/>
      <w:bookmarkEnd w:id="9083"/>
      <w:bookmarkEnd w:id="9084"/>
      <w:bookmarkEnd w:id="9085"/>
      <w:bookmarkEnd w:id="9086"/>
      <w:bookmarkEnd w:id="9087"/>
      <w:bookmarkEnd w:id="9088"/>
      <w:bookmarkEnd w:id="9089"/>
      <w:bookmarkEnd w:id="9090"/>
    </w:p>
    <w:p w14:paraId="2B7E938F" w14:textId="77777777" w:rsidR="00722A09" w:rsidRPr="00295C2F" w:rsidRDefault="00722A09" w:rsidP="00722A09">
      <w:r w:rsidRPr="00722A09">
        <w:t>The UE requirements in sub-clause 8.5.7 [6] apply for IAB-MT.</w:t>
      </w:r>
    </w:p>
    <w:p w14:paraId="668C6463" w14:textId="4A5F5F4E" w:rsidR="00334C0D" w:rsidRDefault="00334C0D" w:rsidP="00FE263A">
      <w:pPr>
        <w:pStyle w:val="Heading4"/>
      </w:pPr>
      <w:bookmarkStart w:id="9091" w:name="_Toc53185634"/>
      <w:bookmarkStart w:id="9092" w:name="_Toc53186010"/>
      <w:bookmarkStart w:id="9093" w:name="_Toc57820496"/>
      <w:bookmarkStart w:id="9094" w:name="_Toc57821423"/>
      <w:bookmarkStart w:id="9095" w:name="_Toc61183699"/>
      <w:bookmarkStart w:id="9096" w:name="_Toc61184093"/>
      <w:bookmarkStart w:id="9097" w:name="_Toc61184485"/>
      <w:bookmarkStart w:id="9098" w:name="_Toc61184877"/>
      <w:bookmarkStart w:id="9099" w:name="_Toc61185267"/>
      <w:bookmarkStart w:id="9100" w:name="_Toc66386612"/>
      <w:bookmarkStart w:id="9101" w:name="_Toc74583570"/>
      <w:bookmarkStart w:id="9102" w:name="_Toc76542383"/>
      <w:bookmarkStart w:id="9103" w:name="_Toc82450365"/>
      <w:bookmarkStart w:id="9104" w:name="_Toc82451013"/>
      <w:bookmarkStart w:id="9105" w:name="_Toc89949402"/>
      <w:bookmarkStart w:id="9106" w:name="_Toc98755791"/>
      <w:bookmarkStart w:id="9107" w:name="_Toc98763383"/>
      <w:bookmarkStart w:id="9108" w:name="_Toc106184312"/>
      <w:r>
        <w:t>1</w:t>
      </w:r>
      <w:r w:rsidR="00945315">
        <w:t>2</w:t>
      </w:r>
      <w:r>
        <w:t>.</w:t>
      </w:r>
      <w:r w:rsidR="00945315">
        <w:t>3.</w:t>
      </w:r>
      <w:r>
        <w:t>2.8</w:t>
      </w:r>
      <w:r w:rsidR="00623FE6">
        <w:tab/>
      </w:r>
      <w:r>
        <w:t xml:space="preserve">Scheduling availability of </w:t>
      </w:r>
      <w:r w:rsidR="002716A4">
        <w:t>IAB-</w:t>
      </w:r>
      <w:r>
        <w:t>MT during candidate beam detection</w:t>
      </w:r>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p>
    <w:p w14:paraId="1FCA1FCB" w14:textId="1D8A1C8D" w:rsidR="00FB3F21" w:rsidRPr="00295C2F" w:rsidRDefault="00FB3F21" w:rsidP="00FB3F21">
      <w:r w:rsidRPr="00FB3F21">
        <w:t>The UE requirements in sub-clause 8.5.8 [6] apply for IAB-MT.</w:t>
      </w:r>
    </w:p>
    <w:p w14:paraId="725FF16B" w14:textId="2955549E" w:rsidR="00DD7068" w:rsidRPr="00DD7068" w:rsidRDefault="00334C0D" w:rsidP="00C60E58">
      <w:pPr>
        <w:overflowPunct/>
        <w:autoSpaceDE/>
        <w:autoSpaceDN/>
        <w:adjustRightInd/>
        <w:spacing w:after="160" w:line="259" w:lineRule="auto"/>
        <w:textAlignment w:val="auto"/>
      </w:pPr>
      <w:r>
        <w:br w:type="page"/>
      </w:r>
    </w:p>
    <w:p w14:paraId="7C0C3D35" w14:textId="77777777" w:rsidR="00F25B52" w:rsidRPr="00A8475B" w:rsidRDefault="00F25B52" w:rsidP="00F25B52"/>
    <w:p w14:paraId="7C950A32" w14:textId="77777777" w:rsidR="00F25B52" w:rsidRPr="00F95B02" w:rsidRDefault="00F25B52" w:rsidP="00F25B52">
      <w:pPr>
        <w:pStyle w:val="Heading8"/>
      </w:pPr>
      <w:bookmarkStart w:id="9109" w:name="_Toc21127804"/>
      <w:bookmarkStart w:id="9110" w:name="_Toc29812013"/>
      <w:bookmarkStart w:id="9111" w:name="_Toc36817565"/>
      <w:bookmarkStart w:id="9112" w:name="_Toc37260488"/>
      <w:bookmarkStart w:id="9113" w:name="_Toc37267876"/>
      <w:bookmarkStart w:id="9114" w:name="_Toc53185635"/>
      <w:bookmarkStart w:id="9115" w:name="_Toc53186011"/>
      <w:bookmarkStart w:id="9116" w:name="_Toc57820497"/>
      <w:bookmarkStart w:id="9117" w:name="_Toc57821424"/>
      <w:bookmarkStart w:id="9118" w:name="_Toc61183700"/>
      <w:bookmarkStart w:id="9119" w:name="_Toc61184094"/>
      <w:bookmarkStart w:id="9120" w:name="_Toc61184486"/>
      <w:bookmarkStart w:id="9121" w:name="_Toc61184878"/>
      <w:bookmarkStart w:id="9122" w:name="_Toc61185268"/>
      <w:bookmarkStart w:id="9123" w:name="_Toc66386613"/>
      <w:bookmarkStart w:id="9124" w:name="_Toc74583571"/>
      <w:bookmarkStart w:id="9125" w:name="_Toc76542384"/>
      <w:bookmarkStart w:id="9126" w:name="_Toc82450366"/>
      <w:bookmarkStart w:id="9127" w:name="_Toc82451014"/>
      <w:bookmarkStart w:id="9128" w:name="_Toc89949403"/>
      <w:bookmarkStart w:id="9129" w:name="_Toc98755792"/>
      <w:bookmarkStart w:id="9130" w:name="_Toc98763384"/>
      <w:bookmarkStart w:id="9131" w:name="_Toc106184313"/>
      <w:r w:rsidRPr="00F95B02">
        <w:t>Annex A (normative):</w:t>
      </w:r>
      <w:r w:rsidRPr="00F95B02">
        <w:br/>
      </w:r>
      <w:r>
        <w:t xml:space="preserve">IAB-MT </w:t>
      </w:r>
      <w:r w:rsidRPr="00F95B02">
        <w:t>Reference measurement channels</w:t>
      </w:r>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p>
    <w:p w14:paraId="7CB50863" w14:textId="77777777" w:rsidR="00F25B52" w:rsidRPr="00F95B02" w:rsidRDefault="00F25B52" w:rsidP="00241417">
      <w:pPr>
        <w:pStyle w:val="Heading2"/>
      </w:pPr>
      <w:bookmarkStart w:id="9132" w:name="_Toc21127805"/>
      <w:bookmarkStart w:id="9133" w:name="_Toc29812014"/>
      <w:bookmarkStart w:id="9134" w:name="_Toc36817566"/>
      <w:bookmarkStart w:id="9135" w:name="_Toc37260489"/>
      <w:bookmarkStart w:id="9136" w:name="_Toc37267877"/>
      <w:bookmarkStart w:id="9137" w:name="_Toc53185636"/>
      <w:bookmarkStart w:id="9138" w:name="_Toc53186012"/>
      <w:bookmarkStart w:id="9139" w:name="_Toc57820498"/>
      <w:bookmarkStart w:id="9140" w:name="_Toc57821425"/>
      <w:bookmarkStart w:id="9141" w:name="_Toc61183701"/>
      <w:bookmarkStart w:id="9142" w:name="_Toc61184095"/>
      <w:bookmarkStart w:id="9143" w:name="_Toc61184487"/>
      <w:bookmarkStart w:id="9144" w:name="_Toc61184879"/>
      <w:bookmarkStart w:id="9145" w:name="_Toc61185269"/>
      <w:bookmarkStart w:id="9146" w:name="_Toc66386614"/>
      <w:bookmarkStart w:id="9147" w:name="_Toc74583572"/>
      <w:bookmarkStart w:id="9148" w:name="_Toc76542385"/>
      <w:bookmarkStart w:id="9149" w:name="_Toc82450367"/>
      <w:bookmarkStart w:id="9150" w:name="_Toc82451015"/>
      <w:bookmarkStart w:id="9151" w:name="_Toc89949404"/>
      <w:bookmarkStart w:id="9152" w:name="_Toc98755793"/>
      <w:bookmarkStart w:id="9153" w:name="_Toc98763385"/>
      <w:bookmarkStart w:id="9154" w:name="_Toc106184314"/>
      <w:r w:rsidRPr="00F95B02">
        <w:t>A.1</w:t>
      </w:r>
      <w:r w:rsidRPr="00F95B02">
        <w:tab/>
        <w:t>Fixed Reference Channels for reference sensitivity level, ACS, in-band blocking, out-of-band blocking</w:t>
      </w:r>
      <w:r>
        <w:t xml:space="preserve"> and</w:t>
      </w:r>
      <w:r w:rsidRPr="00F95B02">
        <w:t xml:space="preserve"> receiver intermodulation (QPSK, R=1/3)</w:t>
      </w:r>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bookmarkEnd w:id="9151"/>
      <w:bookmarkEnd w:id="9152"/>
      <w:bookmarkEnd w:id="9153"/>
      <w:bookmarkEnd w:id="9154"/>
    </w:p>
    <w:p w14:paraId="480FB148" w14:textId="77777777" w:rsidR="00F25B52" w:rsidRPr="00F95B02" w:rsidRDefault="00F25B52" w:rsidP="00F25B52">
      <w:bookmarkStart w:id="9155" w:name="OLE_LINK15"/>
      <w:bookmarkStart w:id="9156" w:name="OLE_LINK16"/>
      <w:r w:rsidRPr="00F95B02">
        <w:t>The parameters for the reference measurement chann</w:t>
      </w:r>
      <w:r>
        <w:t xml:space="preserve">els are specified in tables A.1-1 </w:t>
      </w:r>
      <w:r w:rsidRPr="00F95B02">
        <w:t xml:space="preserve">for FR1 reference sensitivity level, ACS, in-band blocking, out-of-band blocking, receiver intermodulation, OTA sensitivity, OTA reference sensitivity level, OTA ACS, OTA in-band blocking, OTA out-of-band blocking, </w:t>
      </w:r>
      <w:r>
        <w:t xml:space="preserve">and </w:t>
      </w:r>
      <w:r w:rsidRPr="00F95B02">
        <w:t>OTA receiver intermodulation.</w:t>
      </w:r>
    </w:p>
    <w:p w14:paraId="1D10DF9D" w14:textId="77777777" w:rsidR="00F25B52" w:rsidRDefault="00F25B52" w:rsidP="00F25B52">
      <w:r w:rsidRPr="00F95B02">
        <w:t>The parameters for the reference measurement channels are specified in table</w:t>
      </w:r>
      <w:r>
        <w:t>s</w:t>
      </w:r>
      <w:r w:rsidRPr="00F95B02">
        <w:t xml:space="preserve"> </w:t>
      </w:r>
      <w:r>
        <w:t>A.1-2</w:t>
      </w:r>
      <w:r w:rsidRPr="00F95B02">
        <w:t xml:space="preserve"> for FR2 OTA reference sensitivity level, OTA ACS, OTA in-band blocking, </w:t>
      </w:r>
      <w:r>
        <w:t xml:space="preserve">and </w:t>
      </w:r>
      <w:r w:rsidRPr="00F95B02">
        <w:t>OTA out-of-band blocking.</w:t>
      </w:r>
    </w:p>
    <w:p w14:paraId="2B5F5650" w14:textId="77777777" w:rsidR="00F25B52" w:rsidRDefault="00F25B52" w:rsidP="00F25B52">
      <w:pPr>
        <w:pStyle w:val="TH"/>
      </w:pPr>
      <w:bookmarkStart w:id="9157" w:name="_Ref43894658"/>
      <w:r>
        <w:t xml:space="preserve">Table </w:t>
      </w:r>
      <w:bookmarkEnd w:id="9157"/>
      <w:r>
        <w:t>A1-1: FRC parameters for FR1 reference sensitivity level for IAB-MT.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3818"/>
        <w:gridCol w:w="1417"/>
        <w:gridCol w:w="1559"/>
        <w:gridCol w:w="1418"/>
        <w:gridCol w:w="1409"/>
      </w:tblGrid>
      <w:tr w:rsidR="00F25B52" w14:paraId="46FDED2A" w14:textId="77777777" w:rsidTr="00BD1F8C">
        <w:trPr>
          <w:jc w:val="center"/>
        </w:trPr>
        <w:tc>
          <w:tcPr>
            <w:tcW w:w="3818" w:type="dxa"/>
            <w:tcMar>
              <w:top w:w="0" w:type="dxa"/>
              <w:left w:w="108" w:type="dxa"/>
              <w:bottom w:w="0" w:type="dxa"/>
              <w:right w:w="108" w:type="dxa"/>
            </w:tcMar>
            <w:hideMark/>
          </w:tcPr>
          <w:p w14:paraId="037F1175" w14:textId="77777777" w:rsidR="00F25B52" w:rsidRDefault="00F25B52" w:rsidP="00BD1F8C">
            <w:pPr>
              <w:pStyle w:val="TAH"/>
            </w:pPr>
            <w:bookmarkStart w:id="9158" w:name="OLE_LINK11"/>
            <w:bookmarkStart w:id="9159" w:name="OLE_LINK12"/>
            <w:bookmarkStart w:id="9160" w:name="OLE_LINK13"/>
            <w:r>
              <w:t>Reference channel</w:t>
            </w:r>
          </w:p>
        </w:tc>
        <w:tc>
          <w:tcPr>
            <w:tcW w:w="1417" w:type="dxa"/>
            <w:tcMar>
              <w:top w:w="0" w:type="dxa"/>
              <w:left w:w="108" w:type="dxa"/>
              <w:bottom w:w="0" w:type="dxa"/>
              <w:right w:w="108" w:type="dxa"/>
            </w:tcMar>
            <w:hideMark/>
          </w:tcPr>
          <w:p w14:paraId="3CCD798A" w14:textId="77777777" w:rsidR="00F25B52" w:rsidRDefault="00F25B52" w:rsidP="00BD1F8C">
            <w:pPr>
              <w:pStyle w:val="TAH"/>
            </w:pPr>
            <w:r>
              <w:rPr>
                <w:lang w:eastAsia="zh-CN"/>
              </w:rPr>
              <w:t>G-FR1-A1-22</w:t>
            </w:r>
          </w:p>
        </w:tc>
        <w:tc>
          <w:tcPr>
            <w:tcW w:w="1559" w:type="dxa"/>
            <w:tcMar>
              <w:top w:w="0" w:type="dxa"/>
              <w:left w:w="108" w:type="dxa"/>
              <w:bottom w:w="0" w:type="dxa"/>
              <w:right w:w="108" w:type="dxa"/>
            </w:tcMar>
            <w:hideMark/>
          </w:tcPr>
          <w:p w14:paraId="31BC7A47" w14:textId="77777777" w:rsidR="00F25B52" w:rsidRDefault="00F25B52" w:rsidP="00BD1F8C">
            <w:pPr>
              <w:pStyle w:val="TAH"/>
            </w:pPr>
            <w:r>
              <w:rPr>
                <w:lang w:eastAsia="zh-CN"/>
              </w:rPr>
              <w:t>G-FR1-A1-23</w:t>
            </w:r>
          </w:p>
        </w:tc>
        <w:tc>
          <w:tcPr>
            <w:tcW w:w="1418" w:type="dxa"/>
            <w:tcMar>
              <w:top w:w="0" w:type="dxa"/>
              <w:left w:w="108" w:type="dxa"/>
              <w:bottom w:w="0" w:type="dxa"/>
              <w:right w:w="108" w:type="dxa"/>
            </w:tcMar>
            <w:hideMark/>
          </w:tcPr>
          <w:p w14:paraId="26ABB2C9" w14:textId="77777777" w:rsidR="00F25B52" w:rsidRDefault="00F25B52" w:rsidP="00BD1F8C">
            <w:pPr>
              <w:pStyle w:val="TAH"/>
            </w:pPr>
            <w:r>
              <w:rPr>
                <w:lang w:eastAsia="zh-CN"/>
              </w:rPr>
              <w:t>G-FR1-A1-25</w:t>
            </w:r>
          </w:p>
        </w:tc>
        <w:tc>
          <w:tcPr>
            <w:tcW w:w="1409" w:type="dxa"/>
            <w:tcMar>
              <w:top w:w="0" w:type="dxa"/>
              <w:left w:w="108" w:type="dxa"/>
              <w:bottom w:w="0" w:type="dxa"/>
              <w:right w:w="108" w:type="dxa"/>
            </w:tcMar>
            <w:hideMark/>
          </w:tcPr>
          <w:p w14:paraId="23F69D51" w14:textId="77777777" w:rsidR="00F25B52" w:rsidRDefault="00F25B52" w:rsidP="00BD1F8C">
            <w:pPr>
              <w:pStyle w:val="TAH"/>
            </w:pPr>
            <w:r>
              <w:rPr>
                <w:lang w:eastAsia="zh-CN"/>
              </w:rPr>
              <w:t>G-FR1-A1-26</w:t>
            </w:r>
          </w:p>
        </w:tc>
      </w:tr>
      <w:tr w:rsidR="00F25B52" w14:paraId="60E57124" w14:textId="77777777" w:rsidTr="00BD1F8C">
        <w:trPr>
          <w:jc w:val="center"/>
        </w:trPr>
        <w:tc>
          <w:tcPr>
            <w:tcW w:w="3818" w:type="dxa"/>
            <w:tcMar>
              <w:top w:w="0" w:type="dxa"/>
              <w:left w:w="108" w:type="dxa"/>
              <w:bottom w:w="0" w:type="dxa"/>
              <w:right w:w="108" w:type="dxa"/>
            </w:tcMar>
            <w:hideMark/>
          </w:tcPr>
          <w:p w14:paraId="16803BB4" w14:textId="77777777" w:rsidR="00F25B52" w:rsidRDefault="00F25B52" w:rsidP="00BD1F8C">
            <w:pPr>
              <w:pStyle w:val="TAL"/>
              <w:rPr>
                <w:lang w:eastAsia="zh-CN"/>
              </w:rPr>
            </w:pPr>
            <w:r>
              <w:rPr>
                <w:lang w:eastAsia="zh-CN"/>
              </w:rPr>
              <w:t>Subcarrier spacing (kHz)</w:t>
            </w:r>
          </w:p>
        </w:tc>
        <w:tc>
          <w:tcPr>
            <w:tcW w:w="1417" w:type="dxa"/>
            <w:tcMar>
              <w:top w:w="0" w:type="dxa"/>
              <w:left w:w="108" w:type="dxa"/>
              <w:bottom w:w="0" w:type="dxa"/>
              <w:right w:w="108" w:type="dxa"/>
            </w:tcMar>
            <w:hideMark/>
          </w:tcPr>
          <w:p w14:paraId="507F1AE4" w14:textId="77777777" w:rsidR="00F25B52" w:rsidRDefault="00F25B52" w:rsidP="00BD1F8C">
            <w:pPr>
              <w:pStyle w:val="TAC"/>
            </w:pPr>
            <w:r>
              <w:t>30</w:t>
            </w:r>
          </w:p>
        </w:tc>
        <w:tc>
          <w:tcPr>
            <w:tcW w:w="1559" w:type="dxa"/>
            <w:tcMar>
              <w:top w:w="0" w:type="dxa"/>
              <w:left w:w="108" w:type="dxa"/>
              <w:bottom w:w="0" w:type="dxa"/>
              <w:right w:w="108" w:type="dxa"/>
            </w:tcMar>
            <w:hideMark/>
          </w:tcPr>
          <w:p w14:paraId="37378701" w14:textId="77777777" w:rsidR="00F25B52" w:rsidRDefault="00F25B52" w:rsidP="00BD1F8C">
            <w:pPr>
              <w:pStyle w:val="TAC"/>
            </w:pPr>
            <w:r>
              <w:t>60</w:t>
            </w:r>
          </w:p>
        </w:tc>
        <w:tc>
          <w:tcPr>
            <w:tcW w:w="1418" w:type="dxa"/>
            <w:tcMar>
              <w:top w:w="0" w:type="dxa"/>
              <w:left w:w="108" w:type="dxa"/>
              <w:bottom w:w="0" w:type="dxa"/>
              <w:right w:w="108" w:type="dxa"/>
            </w:tcMar>
            <w:hideMark/>
          </w:tcPr>
          <w:p w14:paraId="6842F399" w14:textId="77777777" w:rsidR="00F25B52" w:rsidRDefault="00F25B52" w:rsidP="00BD1F8C">
            <w:pPr>
              <w:pStyle w:val="TAC"/>
            </w:pPr>
            <w:r>
              <w:t>30</w:t>
            </w:r>
          </w:p>
        </w:tc>
        <w:tc>
          <w:tcPr>
            <w:tcW w:w="1409" w:type="dxa"/>
            <w:tcMar>
              <w:top w:w="0" w:type="dxa"/>
              <w:left w:w="108" w:type="dxa"/>
              <w:bottom w:w="0" w:type="dxa"/>
              <w:right w:w="108" w:type="dxa"/>
            </w:tcMar>
            <w:hideMark/>
          </w:tcPr>
          <w:p w14:paraId="6B88244C" w14:textId="77777777" w:rsidR="00F25B52" w:rsidRDefault="00F25B52" w:rsidP="00BD1F8C">
            <w:pPr>
              <w:pStyle w:val="TAC"/>
            </w:pPr>
            <w:r>
              <w:t>60</w:t>
            </w:r>
          </w:p>
        </w:tc>
      </w:tr>
      <w:tr w:rsidR="00F25B52" w14:paraId="4780DD84" w14:textId="77777777" w:rsidTr="00BD1F8C">
        <w:trPr>
          <w:jc w:val="center"/>
        </w:trPr>
        <w:tc>
          <w:tcPr>
            <w:tcW w:w="3818" w:type="dxa"/>
            <w:tcMar>
              <w:top w:w="0" w:type="dxa"/>
              <w:left w:w="108" w:type="dxa"/>
              <w:bottom w:w="0" w:type="dxa"/>
              <w:right w:w="108" w:type="dxa"/>
            </w:tcMar>
            <w:hideMark/>
          </w:tcPr>
          <w:p w14:paraId="5D3263E5" w14:textId="77777777" w:rsidR="00F25B52" w:rsidRDefault="00F25B52" w:rsidP="00BD1F8C">
            <w:pPr>
              <w:pStyle w:val="TAL"/>
            </w:pPr>
            <w:r>
              <w:t>Allocated resource blocks</w:t>
            </w:r>
          </w:p>
        </w:tc>
        <w:tc>
          <w:tcPr>
            <w:tcW w:w="1417" w:type="dxa"/>
            <w:tcMar>
              <w:top w:w="0" w:type="dxa"/>
              <w:left w:w="108" w:type="dxa"/>
              <w:bottom w:w="0" w:type="dxa"/>
              <w:right w:w="108" w:type="dxa"/>
            </w:tcMar>
            <w:hideMark/>
          </w:tcPr>
          <w:p w14:paraId="712F1EA8" w14:textId="77777777" w:rsidR="00F25B52" w:rsidRDefault="00F25B52" w:rsidP="00BD1F8C">
            <w:pPr>
              <w:pStyle w:val="TAC"/>
            </w:pPr>
            <w:r>
              <w:t>11</w:t>
            </w:r>
          </w:p>
        </w:tc>
        <w:tc>
          <w:tcPr>
            <w:tcW w:w="1559" w:type="dxa"/>
            <w:tcMar>
              <w:top w:w="0" w:type="dxa"/>
              <w:left w:w="108" w:type="dxa"/>
              <w:bottom w:w="0" w:type="dxa"/>
              <w:right w:w="108" w:type="dxa"/>
            </w:tcMar>
            <w:hideMark/>
          </w:tcPr>
          <w:p w14:paraId="37B80466" w14:textId="77777777" w:rsidR="00F25B52" w:rsidRDefault="00F25B52" w:rsidP="00BD1F8C">
            <w:pPr>
              <w:pStyle w:val="TAC"/>
            </w:pPr>
            <w:r>
              <w:t>11</w:t>
            </w:r>
          </w:p>
        </w:tc>
        <w:tc>
          <w:tcPr>
            <w:tcW w:w="1418" w:type="dxa"/>
            <w:tcMar>
              <w:top w:w="0" w:type="dxa"/>
              <w:left w:w="108" w:type="dxa"/>
              <w:bottom w:w="0" w:type="dxa"/>
              <w:right w:w="108" w:type="dxa"/>
            </w:tcMar>
            <w:hideMark/>
          </w:tcPr>
          <w:p w14:paraId="298D9027" w14:textId="77777777" w:rsidR="00F25B52" w:rsidRDefault="00F25B52" w:rsidP="00BD1F8C">
            <w:pPr>
              <w:pStyle w:val="TAC"/>
            </w:pPr>
            <w:r>
              <w:t>51</w:t>
            </w:r>
          </w:p>
        </w:tc>
        <w:tc>
          <w:tcPr>
            <w:tcW w:w="1409" w:type="dxa"/>
            <w:tcMar>
              <w:top w:w="0" w:type="dxa"/>
              <w:left w:w="108" w:type="dxa"/>
              <w:bottom w:w="0" w:type="dxa"/>
              <w:right w:w="108" w:type="dxa"/>
            </w:tcMar>
            <w:hideMark/>
          </w:tcPr>
          <w:p w14:paraId="36DFEC81" w14:textId="77777777" w:rsidR="00F25B52" w:rsidRDefault="00F25B52" w:rsidP="00BD1F8C">
            <w:pPr>
              <w:pStyle w:val="TAC"/>
            </w:pPr>
            <w:r>
              <w:t>24</w:t>
            </w:r>
          </w:p>
        </w:tc>
      </w:tr>
      <w:tr w:rsidR="00F25B52" w14:paraId="275C18A4" w14:textId="77777777" w:rsidTr="00BD1F8C">
        <w:trPr>
          <w:jc w:val="center"/>
        </w:trPr>
        <w:tc>
          <w:tcPr>
            <w:tcW w:w="3818" w:type="dxa"/>
            <w:tcMar>
              <w:top w:w="0" w:type="dxa"/>
              <w:left w:w="108" w:type="dxa"/>
              <w:bottom w:w="0" w:type="dxa"/>
              <w:right w:w="108" w:type="dxa"/>
            </w:tcMar>
          </w:tcPr>
          <w:p w14:paraId="35BEE3D3" w14:textId="77777777" w:rsidR="00F25B52" w:rsidRDefault="00F25B52" w:rsidP="00BD1F8C">
            <w:pPr>
              <w:pStyle w:val="TAL"/>
            </w:pPr>
            <w:r>
              <w:rPr>
                <w:lang w:eastAsia="zh-CN"/>
              </w:rPr>
              <w:t>CP</w:t>
            </w:r>
            <w:r>
              <w:t xml:space="preserve">-OFDM Symbols per </w:t>
            </w:r>
            <w:r>
              <w:rPr>
                <w:lang w:eastAsia="zh-CN"/>
              </w:rPr>
              <w:t>slot (Note 1)</w:t>
            </w:r>
          </w:p>
        </w:tc>
        <w:tc>
          <w:tcPr>
            <w:tcW w:w="1417" w:type="dxa"/>
            <w:tcMar>
              <w:top w:w="0" w:type="dxa"/>
              <w:left w:w="108" w:type="dxa"/>
              <w:bottom w:w="0" w:type="dxa"/>
              <w:right w:w="108" w:type="dxa"/>
            </w:tcMar>
          </w:tcPr>
          <w:p w14:paraId="7736EB71" w14:textId="77777777" w:rsidR="00F25B52" w:rsidRDefault="00F25B52" w:rsidP="00BD1F8C">
            <w:pPr>
              <w:pStyle w:val="TAC"/>
            </w:pPr>
            <w:r>
              <w:t>9</w:t>
            </w:r>
          </w:p>
        </w:tc>
        <w:tc>
          <w:tcPr>
            <w:tcW w:w="1559" w:type="dxa"/>
            <w:tcMar>
              <w:top w:w="0" w:type="dxa"/>
              <w:left w:w="108" w:type="dxa"/>
              <w:bottom w:w="0" w:type="dxa"/>
              <w:right w:w="108" w:type="dxa"/>
            </w:tcMar>
          </w:tcPr>
          <w:p w14:paraId="10F34D6F" w14:textId="77777777" w:rsidR="00F25B52" w:rsidRDefault="00F25B52" w:rsidP="00BD1F8C">
            <w:pPr>
              <w:pStyle w:val="TAC"/>
            </w:pPr>
            <w:r>
              <w:t>9</w:t>
            </w:r>
          </w:p>
        </w:tc>
        <w:tc>
          <w:tcPr>
            <w:tcW w:w="1418" w:type="dxa"/>
            <w:tcMar>
              <w:top w:w="0" w:type="dxa"/>
              <w:left w:w="108" w:type="dxa"/>
              <w:bottom w:w="0" w:type="dxa"/>
              <w:right w:w="108" w:type="dxa"/>
            </w:tcMar>
          </w:tcPr>
          <w:p w14:paraId="60EE46B5" w14:textId="77777777" w:rsidR="00F25B52" w:rsidRDefault="00F25B52" w:rsidP="00BD1F8C">
            <w:pPr>
              <w:pStyle w:val="TAC"/>
            </w:pPr>
            <w:r>
              <w:t>9</w:t>
            </w:r>
          </w:p>
        </w:tc>
        <w:tc>
          <w:tcPr>
            <w:tcW w:w="1409" w:type="dxa"/>
            <w:tcMar>
              <w:top w:w="0" w:type="dxa"/>
              <w:left w:w="108" w:type="dxa"/>
              <w:bottom w:w="0" w:type="dxa"/>
              <w:right w:w="108" w:type="dxa"/>
            </w:tcMar>
          </w:tcPr>
          <w:p w14:paraId="301B6E1D" w14:textId="77777777" w:rsidR="00F25B52" w:rsidRDefault="00F25B52" w:rsidP="00BD1F8C">
            <w:pPr>
              <w:pStyle w:val="TAC"/>
            </w:pPr>
            <w:r>
              <w:t>9</w:t>
            </w:r>
          </w:p>
        </w:tc>
      </w:tr>
      <w:tr w:rsidR="00F25B52" w14:paraId="677B592F" w14:textId="77777777" w:rsidTr="00BD1F8C">
        <w:trPr>
          <w:jc w:val="center"/>
        </w:trPr>
        <w:tc>
          <w:tcPr>
            <w:tcW w:w="3818" w:type="dxa"/>
            <w:tcMar>
              <w:top w:w="0" w:type="dxa"/>
              <w:left w:w="108" w:type="dxa"/>
              <w:bottom w:w="0" w:type="dxa"/>
              <w:right w:w="108" w:type="dxa"/>
            </w:tcMar>
            <w:hideMark/>
          </w:tcPr>
          <w:p w14:paraId="132A17B5" w14:textId="77777777" w:rsidR="00F25B52" w:rsidRDefault="00F25B52" w:rsidP="00BD1F8C">
            <w:pPr>
              <w:pStyle w:val="TAL"/>
            </w:pPr>
            <w:r>
              <w:t>Modulation</w:t>
            </w:r>
          </w:p>
        </w:tc>
        <w:tc>
          <w:tcPr>
            <w:tcW w:w="1417" w:type="dxa"/>
            <w:tcMar>
              <w:top w:w="0" w:type="dxa"/>
              <w:left w:w="108" w:type="dxa"/>
              <w:bottom w:w="0" w:type="dxa"/>
              <w:right w:w="108" w:type="dxa"/>
            </w:tcMar>
            <w:hideMark/>
          </w:tcPr>
          <w:p w14:paraId="50DC4335" w14:textId="77777777" w:rsidR="00F25B52" w:rsidRDefault="00F25B52" w:rsidP="00BD1F8C">
            <w:pPr>
              <w:pStyle w:val="TAC"/>
            </w:pPr>
            <w:r>
              <w:t>QPSK</w:t>
            </w:r>
          </w:p>
        </w:tc>
        <w:tc>
          <w:tcPr>
            <w:tcW w:w="1559" w:type="dxa"/>
            <w:tcMar>
              <w:top w:w="0" w:type="dxa"/>
              <w:left w:w="108" w:type="dxa"/>
              <w:bottom w:w="0" w:type="dxa"/>
              <w:right w:w="108" w:type="dxa"/>
            </w:tcMar>
            <w:hideMark/>
          </w:tcPr>
          <w:p w14:paraId="2D0B3AE5" w14:textId="77777777" w:rsidR="00F25B52" w:rsidRDefault="00F25B52" w:rsidP="00BD1F8C">
            <w:pPr>
              <w:pStyle w:val="TAC"/>
            </w:pPr>
            <w:r>
              <w:t>QPSK</w:t>
            </w:r>
          </w:p>
        </w:tc>
        <w:tc>
          <w:tcPr>
            <w:tcW w:w="1418" w:type="dxa"/>
            <w:tcMar>
              <w:top w:w="0" w:type="dxa"/>
              <w:left w:w="108" w:type="dxa"/>
              <w:bottom w:w="0" w:type="dxa"/>
              <w:right w:w="108" w:type="dxa"/>
            </w:tcMar>
            <w:hideMark/>
          </w:tcPr>
          <w:p w14:paraId="22DF3996" w14:textId="77777777" w:rsidR="00F25B52" w:rsidRDefault="00F25B52" w:rsidP="00BD1F8C">
            <w:pPr>
              <w:pStyle w:val="TAC"/>
            </w:pPr>
            <w:r>
              <w:t>QPSK</w:t>
            </w:r>
          </w:p>
        </w:tc>
        <w:tc>
          <w:tcPr>
            <w:tcW w:w="1409" w:type="dxa"/>
            <w:tcMar>
              <w:top w:w="0" w:type="dxa"/>
              <w:left w:w="108" w:type="dxa"/>
              <w:bottom w:w="0" w:type="dxa"/>
              <w:right w:w="108" w:type="dxa"/>
            </w:tcMar>
            <w:hideMark/>
          </w:tcPr>
          <w:p w14:paraId="68B0F386" w14:textId="77777777" w:rsidR="00F25B52" w:rsidRDefault="00F25B52" w:rsidP="00BD1F8C">
            <w:pPr>
              <w:pStyle w:val="TAC"/>
            </w:pPr>
            <w:r>
              <w:t>QPSK</w:t>
            </w:r>
          </w:p>
        </w:tc>
      </w:tr>
      <w:tr w:rsidR="00F25B52" w14:paraId="45769844" w14:textId="77777777" w:rsidTr="00BD1F8C">
        <w:trPr>
          <w:jc w:val="center"/>
        </w:trPr>
        <w:tc>
          <w:tcPr>
            <w:tcW w:w="3818" w:type="dxa"/>
            <w:tcMar>
              <w:top w:w="0" w:type="dxa"/>
              <w:left w:w="108" w:type="dxa"/>
              <w:bottom w:w="0" w:type="dxa"/>
              <w:right w:w="108" w:type="dxa"/>
            </w:tcMar>
            <w:hideMark/>
          </w:tcPr>
          <w:p w14:paraId="0219436F" w14:textId="77777777" w:rsidR="00F25B52" w:rsidRDefault="00F25B52" w:rsidP="00BD1F8C">
            <w:pPr>
              <w:pStyle w:val="TAL"/>
            </w:pPr>
            <w:r>
              <w:t>Code rate</w:t>
            </w:r>
            <w:r>
              <w:rPr>
                <w:lang w:eastAsia="zh-CN"/>
              </w:rPr>
              <w:t xml:space="preserve"> (Note 2)</w:t>
            </w:r>
          </w:p>
        </w:tc>
        <w:tc>
          <w:tcPr>
            <w:tcW w:w="1417" w:type="dxa"/>
            <w:tcMar>
              <w:top w:w="0" w:type="dxa"/>
              <w:left w:w="108" w:type="dxa"/>
              <w:bottom w:w="0" w:type="dxa"/>
              <w:right w:w="108" w:type="dxa"/>
            </w:tcMar>
            <w:hideMark/>
          </w:tcPr>
          <w:p w14:paraId="1E3CA742" w14:textId="77777777" w:rsidR="00F25B52" w:rsidRDefault="00F25B52" w:rsidP="00BD1F8C">
            <w:pPr>
              <w:pStyle w:val="TAC"/>
            </w:pPr>
            <w:r>
              <w:t>1/3</w:t>
            </w:r>
          </w:p>
        </w:tc>
        <w:tc>
          <w:tcPr>
            <w:tcW w:w="1559" w:type="dxa"/>
            <w:tcMar>
              <w:top w:w="0" w:type="dxa"/>
              <w:left w:w="108" w:type="dxa"/>
              <w:bottom w:w="0" w:type="dxa"/>
              <w:right w:w="108" w:type="dxa"/>
            </w:tcMar>
            <w:hideMark/>
          </w:tcPr>
          <w:p w14:paraId="17E94FB8" w14:textId="77777777" w:rsidR="00F25B52" w:rsidRDefault="00F25B52" w:rsidP="00BD1F8C">
            <w:pPr>
              <w:pStyle w:val="TAC"/>
              <w:rPr>
                <w:lang w:eastAsia="zh-TW"/>
              </w:rPr>
            </w:pPr>
            <w:r>
              <w:t>1/3</w:t>
            </w:r>
          </w:p>
        </w:tc>
        <w:tc>
          <w:tcPr>
            <w:tcW w:w="1418" w:type="dxa"/>
            <w:tcMar>
              <w:top w:w="0" w:type="dxa"/>
              <w:left w:w="108" w:type="dxa"/>
              <w:bottom w:w="0" w:type="dxa"/>
              <w:right w:w="108" w:type="dxa"/>
            </w:tcMar>
            <w:hideMark/>
          </w:tcPr>
          <w:p w14:paraId="6CA40DEC" w14:textId="77777777" w:rsidR="00F25B52" w:rsidRDefault="00F25B52" w:rsidP="00BD1F8C">
            <w:pPr>
              <w:pStyle w:val="TAC"/>
            </w:pPr>
            <w:r>
              <w:t>1/3</w:t>
            </w:r>
          </w:p>
        </w:tc>
        <w:tc>
          <w:tcPr>
            <w:tcW w:w="1409" w:type="dxa"/>
            <w:tcMar>
              <w:top w:w="0" w:type="dxa"/>
              <w:left w:w="108" w:type="dxa"/>
              <w:bottom w:w="0" w:type="dxa"/>
              <w:right w:w="108" w:type="dxa"/>
            </w:tcMar>
            <w:hideMark/>
          </w:tcPr>
          <w:p w14:paraId="6CB70CE5" w14:textId="77777777" w:rsidR="00F25B52" w:rsidRDefault="00F25B52" w:rsidP="00BD1F8C">
            <w:pPr>
              <w:pStyle w:val="TAC"/>
            </w:pPr>
            <w:r>
              <w:t>1/3</w:t>
            </w:r>
          </w:p>
        </w:tc>
      </w:tr>
      <w:tr w:rsidR="00F25B52" w14:paraId="5B6A9748" w14:textId="77777777" w:rsidTr="00BD1F8C">
        <w:trPr>
          <w:jc w:val="center"/>
        </w:trPr>
        <w:tc>
          <w:tcPr>
            <w:tcW w:w="9621" w:type="dxa"/>
            <w:gridSpan w:val="5"/>
            <w:tcMar>
              <w:top w:w="0" w:type="dxa"/>
              <w:left w:w="108" w:type="dxa"/>
              <w:bottom w:w="0" w:type="dxa"/>
              <w:right w:w="108" w:type="dxa"/>
            </w:tcMar>
          </w:tcPr>
          <w:p w14:paraId="71BC31E8" w14:textId="252D9118" w:rsidR="00F25B52" w:rsidRDefault="00F25B52" w:rsidP="00BD1F8C">
            <w:pPr>
              <w:pStyle w:val="TAN"/>
            </w:pPr>
            <w:bookmarkStart w:id="9161" w:name="_Hlk499884117"/>
            <w:r>
              <w:t xml:space="preserve">NOTE 1:   </w:t>
            </w:r>
            <w:r w:rsidRPr="001030DA">
              <w:rPr>
                <w:i/>
                <w:iCs/>
              </w:rPr>
              <w:t>D</w:t>
            </w:r>
            <w:r>
              <w:rPr>
                <w:i/>
                <w:iCs/>
              </w:rPr>
              <w:t>L-DMRS-config-type</w:t>
            </w:r>
            <w:r>
              <w:t xml:space="preserve"> = 1 with </w:t>
            </w:r>
            <w:r w:rsidRPr="001030DA">
              <w:rPr>
                <w:i/>
                <w:iCs/>
              </w:rPr>
              <w:t>D</w:t>
            </w:r>
            <w:r>
              <w:rPr>
                <w:i/>
                <w:iCs/>
              </w:rPr>
              <w:t>L-DMRS-max-len</w:t>
            </w:r>
            <w:r>
              <w:t xml:space="preserve"> = 1, </w:t>
            </w:r>
            <w:r w:rsidRPr="001030DA">
              <w:rPr>
                <w:i/>
                <w:iCs/>
              </w:rPr>
              <w:t>D</w:t>
            </w:r>
            <w:r>
              <w:rPr>
                <w:i/>
                <w:iCs/>
              </w:rPr>
              <w:t>L-DMRS-add-pos</w:t>
            </w:r>
            <w:r>
              <w:t xml:space="preserve"> = pos2 with </w:t>
            </w:r>
            <w:r>
              <w:fldChar w:fldCharType="begin"/>
            </w:r>
            <w:r>
              <w:instrText xml:space="preserve"> INCLUDEPICTURE  "cid:image003.png@01D6459A.4A6FCF50" \* MERGEFORMATINET </w:instrText>
            </w:r>
            <w:r>
              <w:fldChar w:fldCharType="separate"/>
            </w:r>
            <w:r>
              <w:fldChar w:fldCharType="begin"/>
            </w:r>
            <w:r>
              <w:instrText xml:space="preserve"> INCLUDEPICTURE  "cid:image003.png@01D6459A.4A6FCF50" \* MERGEFORMATINET </w:instrText>
            </w:r>
            <w:r>
              <w:fldChar w:fldCharType="separate"/>
            </w:r>
            <w:r>
              <w:fldChar w:fldCharType="begin"/>
            </w:r>
            <w:r>
              <w:instrText xml:space="preserve"> INCLUDEPICTURE  "cid:image003.png@01D6459A.4A6FCF50" \* MERGEFORMATINET </w:instrText>
            </w:r>
            <w:r>
              <w:fldChar w:fldCharType="separate"/>
            </w:r>
            <w:r>
              <w:fldChar w:fldCharType="begin"/>
            </w:r>
            <w:r>
              <w:instrText xml:space="preserve"> INCLUDEPICTURE  "cid:image003.png@01D6459A.4A6FCF50" \* MERGEFORMATINET </w:instrText>
            </w:r>
            <w:r>
              <w:fldChar w:fldCharType="separate"/>
            </w:r>
            <w:r>
              <w:fldChar w:fldCharType="begin"/>
            </w:r>
            <w:r>
              <w:instrText xml:space="preserve"> INCLUDEPICTURE  "cid:image003.png@01D6459A.4A6FCF50" \* MERGEFORMATINET </w:instrText>
            </w:r>
            <w:r>
              <w:fldChar w:fldCharType="separate"/>
            </w:r>
            <w:r>
              <w:fldChar w:fldCharType="begin"/>
            </w:r>
            <w:r>
              <w:instrText xml:space="preserve"> INCLUDEPICTURE  "cid:image003.png@01D6459A.4A6FCF50" \* MERGEFORMATINET </w:instrText>
            </w:r>
            <w:r>
              <w:fldChar w:fldCharType="separate"/>
            </w:r>
            <w:r>
              <w:fldChar w:fldCharType="begin"/>
            </w:r>
            <w:r>
              <w:instrText xml:space="preserve"> INCLUDEPICTURE  "cid:image003.png@01D6459A.4A6FCF50" \* MERGEFORMATINET </w:instrText>
            </w:r>
            <w:r>
              <w:fldChar w:fldCharType="separate"/>
            </w:r>
            <w:r w:rsidR="00236A8E">
              <w:fldChar w:fldCharType="begin"/>
            </w:r>
            <w:r w:rsidR="00236A8E">
              <w:instrText xml:space="preserve"> INCLUDEPICTURE  \d "cid:image003.png@01D6459A.4A6FCF50" \* MERGEFORMATINET </w:instrText>
            </w:r>
            <w:r w:rsidR="00236A8E">
              <w:fldChar w:fldCharType="separate"/>
            </w:r>
            <w:r w:rsidR="0039060E">
              <w:fldChar w:fldCharType="begin"/>
            </w:r>
            <w:r w:rsidR="0039060E">
              <w:instrText xml:space="preserve"> INCLUDEPICTURE  \d "cid:image003.png@01D6459A.4A6FCF50" \* MERGEFORMATINET </w:instrText>
            </w:r>
            <w:r w:rsidR="0039060E">
              <w:fldChar w:fldCharType="separate"/>
            </w:r>
            <w:r w:rsidR="00715E2D">
              <w:fldChar w:fldCharType="begin"/>
            </w:r>
            <w:r w:rsidR="00715E2D">
              <w:instrText xml:space="preserve"> INCLUDEPICTURE  \d "cid:image003.png@01D6459A.4A6FCF50" \* MERGEFORMATINET </w:instrText>
            </w:r>
            <w:r w:rsidR="00715E2D">
              <w:fldChar w:fldCharType="separate"/>
            </w:r>
            <w:r w:rsidR="00BD1F8C">
              <w:fldChar w:fldCharType="begin"/>
            </w:r>
            <w:r w:rsidR="00BD1F8C">
              <w:instrText xml:space="preserve"> INCLUDEPICTURE  \d "cid:image003.png@01D6459A.4A6FCF50" \* MERGEFORMATINET </w:instrText>
            </w:r>
            <w:r w:rsidR="00BD1F8C">
              <w:fldChar w:fldCharType="separate"/>
            </w:r>
            <w:r w:rsidR="008A584D">
              <w:fldChar w:fldCharType="begin"/>
            </w:r>
            <w:r w:rsidR="008A584D">
              <w:instrText xml:space="preserve"> INCLUDEPICTURE  \d "cid:image003.png@01D6459A.4A6FCF50" \* MERGEFORMATINET </w:instrText>
            </w:r>
            <w:r w:rsidR="008A584D">
              <w:fldChar w:fldCharType="separate"/>
            </w:r>
            <w:r w:rsidR="00E030AB">
              <w:fldChar w:fldCharType="begin"/>
            </w:r>
            <w:r w:rsidR="00E030AB">
              <w:instrText xml:space="preserve"> INCLUDEPICTURE  \d "cid:image003.png@01D6459A.4A6FCF50" \* MERGEFORMATINET </w:instrText>
            </w:r>
            <w:r w:rsidR="00E030AB">
              <w:fldChar w:fldCharType="separate"/>
            </w:r>
            <w:r w:rsidR="009A4A82">
              <w:fldChar w:fldCharType="begin"/>
            </w:r>
            <w:r w:rsidR="009A4A82">
              <w:instrText xml:space="preserve"> INCLUDEPICTURE  \d "cid:image003.png@01D6459A.4A6FCF50" \* MERGEFORMATINET </w:instrText>
            </w:r>
            <w:r w:rsidR="009A4A82">
              <w:fldChar w:fldCharType="separate"/>
            </w:r>
            <w:r w:rsidR="00E34F05">
              <w:fldChar w:fldCharType="begin"/>
            </w:r>
            <w:r w:rsidR="00E34F05">
              <w:instrText xml:space="preserve"> INCLUDEPICTURE  \d "cid:image003.png@01D6459A.4A6FCF50" \* MERGEFORMATINET </w:instrText>
            </w:r>
            <w:r w:rsidR="00E34F05">
              <w:fldChar w:fldCharType="separate"/>
            </w:r>
            <w:r w:rsidR="008F31BD">
              <w:fldChar w:fldCharType="begin"/>
            </w:r>
            <w:r w:rsidR="008F31BD">
              <w:instrText xml:space="preserve"> INCLUDEPICTURE  \d "cid:image003.png@01D6459A.4A6FCF50" \* MERGEFORMATINET </w:instrText>
            </w:r>
            <w:r w:rsidR="008F31BD">
              <w:fldChar w:fldCharType="separate"/>
            </w:r>
            <w:r w:rsidR="00AC7434">
              <w:fldChar w:fldCharType="begin"/>
            </w:r>
            <w:r w:rsidR="00AC7434">
              <w:instrText xml:space="preserve"> INCLUDEPICTURE  \d "cid:image003.png@01D6459A.4A6FCF50" \* MERGEFORMATINET </w:instrText>
            </w:r>
            <w:r w:rsidR="00AC7434">
              <w:fldChar w:fldCharType="separate"/>
            </w:r>
            <w:r w:rsidR="00CB5E7E">
              <w:fldChar w:fldCharType="begin"/>
            </w:r>
            <w:r w:rsidR="00CB5E7E">
              <w:instrText xml:space="preserve"> INCLUDEPICTURE  \d "cid:image003.png@01D6459A.4A6FCF50" \* MERGEFORMATINET </w:instrText>
            </w:r>
            <w:r w:rsidR="00CB5E7E">
              <w:fldChar w:fldCharType="separate"/>
            </w:r>
            <w:r w:rsidR="002E1777">
              <w:fldChar w:fldCharType="begin"/>
            </w:r>
            <w:r w:rsidR="002E1777">
              <w:instrText xml:space="preserve"> INCLUDEPICTURE  \d "cid:image003.png@01D6459A.4A6FCF50" \* MERGEFORMATINET </w:instrText>
            </w:r>
            <w:r w:rsidR="002E1777">
              <w:fldChar w:fldCharType="separate"/>
            </w:r>
            <w:r w:rsidR="0057023C">
              <w:fldChar w:fldCharType="begin"/>
            </w:r>
            <w:r w:rsidR="0057023C">
              <w:instrText xml:space="preserve"> INCLUDEPICTURE  \d "cid:image003.png@01D6459A.4A6FCF50" \* MERGEFORMATINET </w:instrText>
            </w:r>
            <w:r w:rsidR="0057023C">
              <w:fldChar w:fldCharType="separate"/>
            </w:r>
            <w:r w:rsidR="00976390">
              <w:fldChar w:fldCharType="begin"/>
            </w:r>
            <w:r w:rsidR="00976390">
              <w:instrText xml:space="preserve"> INCLUDEPICTURE  \d "cid:image003.png@01D6459A.4A6FCF50" \* MERGEFORMATINET </w:instrText>
            </w:r>
            <w:r w:rsidR="00976390">
              <w:fldChar w:fldCharType="separate"/>
            </w:r>
            <w:r w:rsidR="007A18EB">
              <w:fldChar w:fldCharType="begin"/>
            </w:r>
            <w:r w:rsidR="007A18EB">
              <w:instrText xml:space="preserve"> INCLUDEPICTURE  \d "cid:image003.png@01D6459A.4A6FCF50" \* MERGEFORMATINET </w:instrText>
            </w:r>
            <w:r w:rsidR="007A18EB">
              <w:fldChar w:fldCharType="separate"/>
            </w:r>
            <w:r w:rsidR="00A043EA">
              <w:fldChar w:fldCharType="begin"/>
            </w:r>
            <w:r w:rsidR="00A043EA">
              <w:instrText xml:space="preserve"> INCLUDEPICTURE  \d "cid:image003.png@01D6459A.4A6FCF50" \* MERGEFORMATINET </w:instrText>
            </w:r>
            <w:r w:rsidR="00A043EA">
              <w:fldChar w:fldCharType="separate"/>
            </w:r>
            <w:r w:rsidR="00B03869">
              <w:fldChar w:fldCharType="begin"/>
            </w:r>
            <w:r w:rsidR="00B03869">
              <w:instrText xml:space="preserve"> INCLUDEPICTURE  \d "cid:image003.png@01D6459A.4A6FCF50" \* MERGEFORMATINET </w:instrText>
            </w:r>
            <w:r w:rsidR="00B03869">
              <w:fldChar w:fldCharType="separate"/>
            </w:r>
            <w:r w:rsidR="00241417">
              <w:fldChar w:fldCharType="begin"/>
            </w:r>
            <w:r w:rsidR="00241417">
              <w:instrText xml:space="preserve"> INCLUDEPICTURE  \d "cid:image003.png@01D6459A.4A6FCF50" \* MERGEFORMATINET </w:instrText>
            </w:r>
            <w:r w:rsidR="00241417">
              <w:fldChar w:fldCharType="separate"/>
            </w:r>
            <w:r w:rsidR="003A71DE">
              <w:fldChar w:fldCharType="begin"/>
            </w:r>
            <w:r w:rsidR="003A71DE">
              <w:instrText xml:space="preserve"> INCLUDEPICTURE  \d "cid:image003.png@01D6459A.4A6FCF50" \* MERGEFORMATINET </w:instrText>
            </w:r>
            <w:r w:rsidR="003A71DE">
              <w:fldChar w:fldCharType="separate"/>
            </w:r>
            <w:r w:rsidR="00FC2237">
              <w:fldChar w:fldCharType="begin"/>
            </w:r>
            <w:r w:rsidR="00FC2237">
              <w:instrText xml:space="preserve"> INCLUDEPICTURE  \d "cid:image003.png@01D6459A.4A6FCF50" \* MERGEFORMATINET </w:instrText>
            </w:r>
            <w:r w:rsidR="00FC2237">
              <w:fldChar w:fldCharType="separate"/>
            </w:r>
            <w:r w:rsidR="00406C16">
              <w:fldChar w:fldCharType="begin"/>
            </w:r>
            <w:r w:rsidR="00406C16">
              <w:instrText xml:space="preserve"> INCLUDEPICTURE  \d "cid:image003.png@01D6459A.4A6FCF50" \* MERGEFORMATINET </w:instrText>
            </w:r>
            <w:r w:rsidR="00406C16">
              <w:fldChar w:fldCharType="separate"/>
            </w:r>
            <w:r w:rsidR="008C4CE6">
              <w:fldChar w:fldCharType="begin"/>
            </w:r>
            <w:r w:rsidR="008C4CE6">
              <w:instrText xml:space="preserve"> INCLUDEPICTURE  \d "cid:image003.png@01D6459A.4A6FCF50" \* MERGEFORMATINET </w:instrText>
            </w:r>
            <w:r w:rsidR="008C4CE6">
              <w:fldChar w:fldCharType="separate"/>
            </w:r>
            <w:r w:rsidR="009C3C75">
              <w:fldChar w:fldCharType="begin"/>
            </w:r>
            <w:r w:rsidR="009C3C75">
              <w:instrText xml:space="preserve"> INCLUDEPICTURE  \d "cid:image003.png@01D6459A.4A6FCF50" \* MERGEFORMATINET </w:instrText>
            </w:r>
            <w:r w:rsidR="009C3C75">
              <w:fldChar w:fldCharType="separate"/>
            </w:r>
            <w:r w:rsidR="008A56CB">
              <w:fldChar w:fldCharType="begin"/>
            </w:r>
            <w:r w:rsidR="008A56CB">
              <w:instrText xml:space="preserve"> INCLUDEPICTURE  \d "cid:image003.png@01D6459A.4A6FCF50" \* MERGEFORMATINET </w:instrText>
            </w:r>
            <w:r w:rsidR="008A56CB">
              <w:fldChar w:fldCharType="separate"/>
            </w:r>
            <w:r w:rsidR="00B1369D">
              <w:fldChar w:fldCharType="begin"/>
            </w:r>
            <w:r w:rsidR="00B1369D">
              <w:instrText xml:space="preserve"> INCLUDEPICTURE  \d "cid:image003.png@01D6459A.4A6FCF50" \* MERGEFORMATINET </w:instrText>
            </w:r>
            <w:r w:rsidR="00B1369D">
              <w:fldChar w:fldCharType="separate"/>
            </w:r>
            <w:r w:rsidR="00BC408B">
              <w:fldChar w:fldCharType="begin"/>
            </w:r>
            <w:r w:rsidR="00BC408B">
              <w:instrText xml:space="preserve"> INCLUDEPICTURE  \d "cid:image003.png@01D6459A.4A6FCF50" \* MERGEFORMATINET </w:instrText>
            </w:r>
            <w:r w:rsidR="00BC408B">
              <w:fldChar w:fldCharType="separate"/>
            </w:r>
            <w:r w:rsidR="005437E4">
              <w:fldChar w:fldCharType="begin"/>
            </w:r>
            <w:r w:rsidR="005437E4">
              <w:instrText xml:space="preserve"> INCLUDEPICTURE  \d "cid:image003.png@01D6459A.4A6FCF50" \* MERGEFORMATINET </w:instrText>
            </w:r>
            <w:r w:rsidR="005437E4">
              <w:fldChar w:fldCharType="separate"/>
            </w:r>
            <w:r w:rsidR="00A51ED4">
              <w:fldChar w:fldCharType="begin"/>
            </w:r>
            <w:r w:rsidR="00A51ED4">
              <w:instrText xml:space="preserve"> INCLUDEPICTURE  \d "cid:image003.png@01D6459A.4A6FCF50" \* MERGEFORMATINET </w:instrText>
            </w:r>
            <w:r w:rsidR="00A51ED4">
              <w:fldChar w:fldCharType="separate"/>
            </w:r>
            <w:r w:rsidR="00FF7AA7">
              <w:fldChar w:fldCharType="begin"/>
            </w:r>
            <w:r w:rsidR="00FF7AA7">
              <w:instrText xml:space="preserve"> INCLUDEPICTURE  \d "cid:image003.png@01D6459A.4A6FCF50" \* MERGEFORMATINET </w:instrText>
            </w:r>
            <w:r w:rsidR="00FF7AA7">
              <w:fldChar w:fldCharType="separate"/>
            </w:r>
            <w:r w:rsidR="004363C6">
              <w:fldChar w:fldCharType="begin"/>
            </w:r>
            <w:r w:rsidR="004363C6">
              <w:instrText xml:space="preserve"> INCLUDEPICTURE  \d "cid:image003.png@01D6459A.4A6FCF50" \* MERGEFORMATINET </w:instrText>
            </w:r>
            <w:r w:rsidR="004363C6">
              <w:fldChar w:fldCharType="separate"/>
            </w:r>
            <w:r w:rsidR="00A83D76">
              <w:fldChar w:fldCharType="begin"/>
            </w:r>
            <w:r w:rsidR="00A83D76">
              <w:instrText xml:space="preserve"> INCLUDEPICTURE  \d "cid:image003.png@01D6459A.4A6FCF50" \* MERGEFORMATINET </w:instrText>
            </w:r>
            <w:r w:rsidR="00A83D76">
              <w:fldChar w:fldCharType="separate"/>
            </w:r>
            <w:r w:rsidR="0089397E">
              <w:fldChar w:fldCharType="begin"/>
            </w:r>
            <w:r w:rsidR="0089397E">
              <w:instrText xml:space="preserve"> INCLUDEPICTURE  \d "cid:image003.png@01D6459A.4A6FCF50" \* MERGEFORMATINET </w:instrText>
            </w:r>
            <w:r w:rsidR="0089397E">
              <w:fldChar w:fldCharType="separate"/>
            </w:r>
            <w:r w:rsidR="00736C24">
              <w:fldChar w:fldCharType="begin"/>
            </w:r>
            <w:r w:rsidR="00736C24">
              <w:instrText xml:space="preserve"> INCLUDEPICTURE  \d "cid:image003.png@01D6459A.4A6FCF50" \* MERGEFORMATINET </w:instrText>
            </w:r>
            <w:r w:rsidR="00736C24">
              <w:fldChar w:fldCharType="separate"/>
            </w:r>
            <w:r w:rsidR="00B52631">
              <w:fldChar w:fldCharType="begin"/>
            </w:r>
            <w:r w:rsidR="00B52631">
              <w:instrText xml:space="preserve"> INCLUDEPICTURE  \d "cid:image003.png@01D6459A.4A6FCF50" \* MERGEFORMATINET </w:instrText>
            </w:r>
            <w:r w:rsidR="00B52631">
              <w:fldChar w:fldCharType="separate"/>
            </w:r>
            <w:r w:rsidR="00A10DF8">
              <w:fldChar w:fldCharType="begin"/>
            </w:r>
            <w:r w:rsidR="00A10DF8">
              <w:instrText xml:space="preserve"> INCLUDEPICTURE  \d "cid:image003.png@01D6459A.4A6FCF50" \* MERGEFORMATINET </w:instrText>
            </w:r>
            <w:r w:rsidR="00A10DF8">
              <w:fldChar w:fldCharType="separate"/>
            </w:r>
            <w:r w:rsidR="00B06527">
              <w:fldChar w:fldCharType="begin"/>
            </w:r>
            <w:r w:rsidR="00B06527">
              <w:instrText xml:space="preserve"> INCLUDEPICTURE  \d "cid:image003.png@01D6459A.4A6FCF50" \* MERGEFORMATINET </w:instrText>
            </w:r>
            <w:r w:rsidR="00B06527">
              <w:fldChar w:fldCharType="separate"/>
            </w:r>
            <w:r w:rsidR="003C625C">
              <w:fldChar w:fldCharType="begin"/>
            </w:r>
            <w:r w:rsidR="003C625C">
              <w:instrText xml:space="preserve"> INCLUDEPICTURE  \d "cid:image003.png@01D6459A.4A6FCF50" \* MERGEFORMATINET </w:instrText>
            </w:r>
            <w:r w:rsidR="003C625C">
              <w:fldChar w:fldCharType="separate"/>
            </w:r>
            <w:r w:rsidR="00706733">
              <w:fldChar w:fldCharType="begin"/>
            </w:r>
            <w:r w:rsidR="00706733">
              <w:instrText xml:space="preserve"> INCLUDEPICTURE  \d "cid:image003.png@01D6459A.4A6FCF50" \* MERGEFORMATINET </w:instrText>
            </w:r>
            <w:r w:rsidR="00706733">
              <w:fldChar w:fldCharType="separate"/>
            </w:r>
            <w:r>
              <w:fldChar w:fldCharType="begin"/>
            </w:r>
            <w:r>
              <w:instrText xml:space="preserve"> INCLUDEPICTURE  \d "cid:image003.png@01D6459A.4A6FCF50" \* MERGEFORMATINET </w:instrText>
            </w:r>
            <w:r>
              <w:fldChar w:fldCharType="separate"/>
            </w:r>
            <w:r>
              <w:fldChar w:fldCharType="begin"/>
            </w:r>
            <w:r>
              <w:instrText xml:space="preserve"> INCLUDEPICTURE  \d "cid:image003.png@01D6459A.4A6FCF50" \* MERGEFORMATINET </w:instrText>
            </w:r>
            <w:r>
              <w:fldChar w:fldCharType="separate"/>
            </w:r>
            <w:r w:rsidR="00000000">
              <w:fldChar w:fldCharType="begin"/>
            </w:r>
            <w:r w:rsidR="00000000">
              <w:instrText xml:space="preserve"> INCLUDEPICTURE  \d "cid:image003.png@01D6459A.4A6FCF50" \* MERGEFORMATINET </w:instrText>
            </w:r>
            <w:r w:rsidR="00000000">
              <w:fldChar w:fldCharType="separate"/>
            </w:r>
            <w:r w:rsidR="00000000">
              <w:pict w14:anchorId="07AFE1F4">
                <v:shape id="_x0000_i1048" type="#_x0000_t75" style="width:8.3pt;height:14.4pt">
                  <v:imagedata r:id="rId67"/>
                </v:shape>
              </w:pict>
            </w:r>
            <w:r w:rsidR="00000000">
              <w:fldChar w:fldCharType="end"/>
            </w:r>
            <w:r>
              <w:fldChar w:fldCharType="end"/>
            </w:r>
            <w:r>
              <w:fldChar w:fldCharType="end"/>
            </w:r>
            <w:r w:rsidR="00706733">
              <w:fldChar w:fldCharType="end"/>
            </w:r>
            <w:r w:rsidR="003C625C">
              <w:fldChar w:fldCharType="end"/>
            </w:r>
            <w:r w:rsidR="00B06527">
              <w:fldChar w:fldCharType="end"/>
            </w:r>
            <w:r w:rsidR="00A10DF8">
              <w:fldChar w:fldCharType="end"/>
            </w:r>
            <w:r w:rsidR="00B52631">
              <w:fldChar w:fldCharType="end"/>
            </w:r>
            <w:r w:rsidR="00736C24">
              <w:fldChar w:fldCharType="end"/>
            </w:r>
            <w:r w:rsidR="0089397E">
              <w:fldChar w:fldCharType="end"/>
            </w:r>
            <w:r w:rsidR="00A83D76">
              <w:fldChar w:fldCharType="end"/>
            </w:r>
            <w:r w:rsidR="004363C6">
              <w:fldChar w:fldCharType="end"/>
            </w:r>
            <w:r w:rsidR="00FF7AA7">
              <w:fldChar w:fldCharType="end"/>
            </w:r>
            <w:r w:rsidR="00A51ED4">
              <w:fldChar w:fldCharType="end"/>
            </w:r>
            <w:r w:rsidR="005437E4">
              <w:fldChar w:fldCharType="end"/>
            </w:r>
            <w:r w:rsidR="00BC408B">
              <w:fldChar w:fldCharType="end"/>
            </w:r>
            <w:r w:rsidR="00B1369D">
              <w:fldChar w:fldCharType="end"/>
            </w:r>
            <w:r w:rsidR="008A56CB">
              <w:fldChar w:fldCharType="end"/>
            </w:r>
            <w:r w:rsidR="009C3C75">
              <w:fldChar w:fldCharType="end"/>
            </w:r>
            <w:r w:rsidR="008C4CE6">
              <w:fldChar w:fldCharType="end"/>
            </w:r>
            <w:r w:rsidR="00406C16">
              <w:fldChar w:fldCharType="end"/>
            </w:r>
            <w:r w:rsidR="00FC2237">
              <w:fldChar w:fldCharType="end"/>
            </w:r>
            <w:r w:rsidR="003A71DE">
              <w:fldChar w:fldCharType="end"/>
            </w:r>
            <w:r w:rsidR="00241417">
              <w:fldChar w:fldCharType="end"/>
            </w:r>
            <w:r w:rsidR="00B03869">
              <w:fldChar w:fldCharType="end"/>
            </w:r>
            <w:r w:rsidR="00A043EA">
              <w:fldChar w:fldCharType="end"/>
            </w:r>
            <w:r w:rsidR="007A18EB">
              <w:fldChar w:fldCharType="end"/>
            </w:r>
            <w:r w:rsidR="00976390">
              <w:fldChar w:fldCharType="end"/>
            </w:r>
            <w:r w:rsidR="0057023C">
              <w:fldChar w:fldCharType="end"/>
            </w:r>
            <w:r w:rsidR="002E1777">
              <w:fldChar w:fldCharType="end"/>
            </w:r>
            <w:r w:rsidR="00CB5E7E">
              <w:fldChar w:fldCharType="end"/>
            </w:r>
            <w:r w:rsidR="00AC7434">
              <w:fldChar w:fldCharType="end"/>
            </w:r>
            <w:r w:rsidR="008F31BD">
              <w:fldChar w:fldCharType="end"/>
            </w:r>
            <w:r w:rsidR="00E34F05">
              <w:fldChar w:fldCharType="end"/>
            </w:r>
            <w:r w:rsidR="009A4A82">
              <w:fldChar w:fldCharType="end"/>
            </w:r>
            <w:r w:rsidR="00E030AB">
              <w:fldChar w:fldCharType="end"/>
            </w:r>
            <w:r w:rsidR="008A584D">
              <w:fldChar w:fldCharType="end"/>
            </w:r>
            <w:r w:rsidR="00BD1F8C">
              <w:fldChar w:fldCharType="end"/>
            </w:r>
            <w:r w:rsidR="00715E2D">
              <w:fldChar w:fldCharType="end"/>
            </w:r>
            <w:r w:rsidR="0039060E">
              <w:fldChar w:fldCharType="end"/>
            </w:r>
            <w:r w:rsidR="00236A8E">
              <w:fldChar w:fldCharType="end"/>
            </w:r>
            <w:r>
              <w:fldChar w:fldCharType="end"/>
            </w:r>
            <w:r>
              <w:fldChar w:fldCharType="end"/>
            </w:r>
            <w:r>
              <w:fldChar w:fldCharType="end"/>
            </w:r>
            <w:r>
              <w:fldChar w:fldCharType="end"/>
            </w:r>
            <w:r>
              <w:fldChar w:fldCharType="end"/>
            </w:r>
            <w:r>
              <w:fldChar w:fldCharType="end"/>
            </w:r>
            <w:r>
              <w:fldChar w:fldCharType="end"/>
            </w:r>
            <w:r>
              <w:t xml:space="preserve">= 2, </w:t>
            </w:r>
            <w:r>
              <w:fldChar w:fldCharType="begin"/>
            </w:r>
            <w:r>
              <w:instrText xml:space="preserve"> INCLUDEPICTURE  "cid:image004.png@01D6459A.4A6FCF50" \* MERGEFORMATINET </w:instrText>
            </w:r>
            <w:r>
              <w:fldChar w:fldCharType="separate"/>
            </w:r>
            <w:r>
              <w:fldChar w:fldCharType="begin"/>
            </w:r>
            <w:r>
              <w:instrText xml:space="preserve"> INCLUDEPICTURE  "cid:image004.png@01D6459A.4A6FCF50" \* MERGEFORMATINET </w:instrText>
            </w:r>
            <w:r>
              <w:fldChar w:fldCharType="separate"/>
            </w:r>
            <w:r>
              <w:fldChar w:fldCharType="begin"/>
            </w:r>
            <w:r>
              <w:instrText xml:space="preserve"> INCLUDEPICTURE  "cid:image004.png@01D6459A.4A6FCF50" \* MERGEFORMATINET </w:instrText>
            </w:r>
            <w:r>
              <w:fldChar w:fldCharType="separate"/>
            </w:r>
            <w:r>
              <w:fldChar w:fldCharType="begin"/>
            </w:r>
            <w:r>
              <w:instrText xml:space="preserve"> INCLUDEPICTURE  "cid:image004.png@01D6459A.4A6FCF50" \* MERGEFORMATINET </w:instrText>
            </w:r>
            <w:r>
              <w:fldChar w:fldCharType="separate"/>
            </w:r>
            <w:r>
              <w:fldChar w:fldCharType="begin"/>
            </w:r>
            <w:r>
              <w:instrText xml:space="preserve"> INCLUDEPICTURE  "cid:image004.png@01D6459A.4A6FCF50" \* MERGEFORMATINET </w:instrText>
            </w:r>
            <w:r>
              <w:fldChar w:fldCharType="separate"/>
            </w:r>
            <w:r>
              <w:fldChar w:fldCharType="begin"/>
            </w:r>
            <w:r>
              <w:instrText xml:space="preserve"> INCLUDEPICTURE  "cid:image004.png@01D6459A.4A6FCF50" \* MERGEFORMATINET </w:instrText>
            </w:r>
            <w:r>
              <w:fldChar w:fldCharType="separate"/>
            </w:r>
            <w:r>
              <w:fldChar w:fldCharType="begin"/>
            </w:r>
            <w:r>
              <w:instrText xml:space="preserve"> INCLUDEPICTURE  "cid:image004.png@01D6459A.4A6FCF50" \* MERGEFORMATINET </w:instrText>
            </w:r>
            <w:r>
              <w:fldChar w:fldCharType="separate"/>
            </w:r>
            <w:r w:rsidR="00236A8E">
              <w:fldChar w:fldCharType="begin"/>
            </w:r>
            <w:r w:rsidR="00236A8E">
              <w:instrText xml:space="preserve"> INCLUDEPICTURE  \d "cid:image004.png@01D6459A.4A6FCF50" \* MERGEFORMATINET </w:instrText>
            </w:r>
            <w:r w:rsidR="00236A8E">
              <w:fldChar w:fldCharType="separate"/>
            </w:r>
            <w:r w:rsidR="0039060E">
              <w:fldChar w:fldCharType="begin"/>
            </w:r>
            <w:r w:rsidR="0039060E">
              <w:instrText xml:space="preserve"> INCLUDEPICTURE  \d "cid:image004.png@01D6459A.4A6FCF50" \* MERGEFORMATINET </w:instrText>
            </w:r>
            <w:r w:rsidR="0039060E">
              <w:fldChar w:fldCharType="separate"/>
            </w:r>
            <w:r w:rsidR="00715E2D">
              <w:fldChar w:fldCharType="begin"/>
            </w:r>
            <w:r w:rsidR="00715E2D">
              <w:instrText xml:space="preserve"> INCLUDEPICTURE  \d "cid:image004.png@01D6459A.4A6FCF50" \* MERGEFORMATINET </w:instrText>
            </w:r>
            <w:r w:rsidR="00715E2D">
              <w:fldChar w:fldCharType="separate"/>
            </w:r>
            <w:r w:rsidR="00BD1F8C">
              <w:fldChar w:fldCharType="begin"/>
            </w:r>
            <w:r w:rsidR="00BD1F8C">
              <w:instrText xml:space="preserve"> INCLUDEPICTURE  \d "cid:image004.png@01D6459A.4A6FCF50" \* MERGEFORMATINET </w:instrText>
            </w:r>
            <w:r w:rsidR="00BD1F8C">
              <w:fldChar w:fldCharType="separate"/>
            </w:r>
            <w:r w:rsidR="008A584D">
              <w:fldChar w:fldCharType="begin"/>
            </w:r>
            <w:r w:rsidR="008A584D">
              <w:instrText xml:space="preserve"> INCLUDEPICTURE  \d "cid:image004.png@01D6459A.4A6FCF50" \* MERGEFORMATINET </w:instrText>
            </w:r>
            <w:r w:rsidR="008A584D">
              <w:fldChar w:fldCharType="separate"/>
            </w:r>
            <w:r w:rsidR="00E030AB">
              <w:fldChar w:fldCharType="begin"/>
            </w:r>
            <w:r w:rsidR="00E030AB">
              <w:instrText xml:space="preserve"> INCLUDEPICTURE  \d "cid:image004.png@01D6459A.4A6FCF50" \* MERGEFORMATINET </w:instrText>
            </w:r>
            <w:r w:rsidR="00E030AB">
              <w:fldChar w:fldCharType="separate"/>
            </w:r>
            <w:r w:rsidR="009A4A82">
              <w:fldChar w:fldCharType="begin"/>
            </w:r>
            <w:r w:rsidR="009A4A82">
              <w:instrText xml:space="preserve"> INCLUDEPICTURE  \d "cid:image004.png@01D6459A.4A6FCF50" \* MERGEFORMATINET </w:instrText>
            </w:r>
            <w:r w:rsidR="009A4A82">
              <w:fldChar w:fldCharType="separate"/>
            </w:r>
            <w:r w:rsidR="00E34F05">
              <w:fldChar w:fldCharType="begin"/>
            </w:r>
            <w:r w:rsidR="00E34F05">
              <w:instrText xml:space="preserve"> INCLUDEPICTURE  \d "cid:image004.png@01D6459A.4A6FCF50" \* MERGEFORMATINET </w:instrText>
            </w:r>
            <w:r w:rsidR="00E34F05">
              <w:fldChar w:fldCharType="separate"/>
            </w:r>
            <w:r w:rsidR="008F31BD">
              <w:fldChar w:fldCharType="begin"/>
            </w:r>
            <w:r w:rsidR="008F31BD">
              <w:instrText xml:space="preserve"> INCLUDEPICTURE  \d "cid:image004.png@01D6459A.4A6FCF50" \* MERGEFORMATINET </w:instrText>
            </w:r>
            <w:r w:rsidR="008F31BD">
              <w:fldChar w:fldCharType="separate"/>
            </w:r>
            <w:r w:rsidR="00AC7434">
              <w:fldChar w:fldCharType="begin"/>
            </w:r>
            <w:r w:rsidR="00AC7434">
              <w:instrText xml:space="preserve"> INCLUDEPICTURE  \d "cid:image004.png@01D6459A.4A6FCF50" \* MERGEFORMATINET </w:instrText>
            </w:r>
            <w:r w:rsidR="00AC7434">
              <w:fldChar w:fldCharType="separate"/>
            </w:r>
            <w:r w:rsidR="00CB5E7E">
              <w:fldChar w:fldCharType="begin"/>
            </w:r>
            <w:r w:rsidR="00CB5E7E">
              <w:instrText xml:space="preserve"> INCLUDEPICTURE  \d "cid:image004.png@01D6459A.4A6FCF50" \* MERGEFORMATINET </w:instrText>
            </w:r>
            <w:r w:rsidR="00CB5E7E">
              <w:fldChar w:fldCharType="separate"/>
            </w:r>
            <w:r w:rsidR="002E1777">
              <w:fldChar w:fldCharType="begin"/>
            </w:r>
            <w:r w:rsidR="002E1777">
              <w:instrText xml:space="preserve"> INCLUDEPICTURE  \d "cid:image004.png@01D6459A.4A6FCF50" \* MERGEFORMATINET </w:instrText>
            </w:r>
            <w:r w:rsidR="002E1777">
              <w:fldChar w:fldCharType="separate"/>
            </w:r>
            <w:r w:rsidR="0057023C">
              <w:fldChar w:fldCharType="begin"/>
            </w:r>
            <w:r w:rsidR="0057023C">
              <w:instrText xml:space="preserve"> INCLUDEPICTURE  \d "cid:image004.png@01D6459A.4A6FCF50" \* MERGEFORMATINET </w:instrText>
            </w:r>
            <w:r w:rsidR="0057023C">
              <w:fldChar w:fldCharType="separate"/>
            </w:r>
            <w:r w:rsidR="00976390">
              <w:fldChar w:fldCharType="begin"/>
            </w:r>
            <w:r w:rsidR="00976390">
              <w:instrText xml:space="preserve"> INCLUDEPICTURE  \d "cid:image004.png@01D6459A.4A6FCF50" \* MERGEFORMATINET </w:instrText>
            </w:r>
            <w:r w:rsidR="00976390">
              <w:fldChar w:fldCharType="separate"/>
            </w:r>
            <w:r w:rsidR="007A18EB">
              <w:fldChar w:fldCharType="begin"/>
            </w:r>
            <w:r w:rsidR="007A18EB">
              <w:instrText xml:space="preserve"> INCLUDEPICTURE  \d "cid:image004.png@01D6459A.4A6FCF50" \* MERGEFORMATINET </w:instrText>
            </w:r>
            <w:r w:rsidR="007A18EB">
              <w:fldChar w:fldCharType="separate"/>
            </w:r>
            <w:r w:rsidR="00A043EA">
              <w:fldChar w:fldCharType="begin"/>
            </w:r>
            <w:r w:rsidR="00A043EA">
              <w:instrText xml:space="preserve"> INCLUDEPICTURE  \d "cid:image004.png@01D6459A.4A6FCF50" \* MERGEFORMATINET </w:instrText>
            </w:r>
            <w:r w:rsidR="00A043EA">
              <w:fldChar w:fldCharType="separate"/>
            </w:r>
            <w:r w:rsidR="00B03869">
              <w:fldChar w:fldCharType="begin"/>
            </w:r>
            <w:r w:rsidR="00B03869">
              <w:instrText xml:space="preserve"> INCLUDEPICTURE  \d "cid:image004.png@01D6459A.4A6FCF50" \* MERGEFORMATINET </w:instrText>
            </w:r>
            <w:r w:rsidR="00B03869">
              <w:fldChar w:fldCharType="separate"/>
            </w:r>
            <w:r w:rsidR="00241417">
              <w:fldChar w:fldCharType="begin"/>
            </w:r>
            <w:r w:rsidR="00241417">
              <w:instrText xml:space="preserve"> INCLUDEPICTURE  \d "cid:image004.png@01D6459A.4A6FCF50" \* MERGEFORMATINET </w:instrText>
            </w:r>
            <w:r w:rsidR="00241417">
              <w:fldChar w:fldCharType="separate"/>
            </w:r>
            <w:r w:rsidR="003A71DE">
              <w:fldChar w:fldCharType="begin"/>
            </w:r>
            <w:r w:rsidR="003A71DE">
              <w:instrText xml:space="preserve"> INCLUDEPICTURE  \d "cid:image004.png@01D6459A.4A6FCF50" \* MERGEFORMATINET </w:instrText>
            </w:r>
            <w:r w:rsidR="003A71DE">
              <w:fldChar w:fldCharType="separate"/>
            </w:r>
            <w:r w:rsidR="00FC2237">
              <w:fldChar w:fldCharType="begin"/>
            </w:r>
            <w:r w:rsidR="00FC2237">
              <w:instrText xml:space="preserve"> INCLUDEPICTURE  \d "cid:image004.png@01D6459A.4A6FCF50" \* MERGEFORMATINET </w:instrText>
            </w:r>
            <w:r w:rsidR="00FC2237">
              <w:fldChar w:fldCharType="separate"/>
            </w:r>
            <w:r w:rsidR="00406C16">
              <w:fldChar w:fldCharType="begin"/>
            </w:r>
            <w:r w:rsidR="00406C16">
              <w:instrText xml:space="preserve"> INCLUDEPICTURE  \d "cid:image004.png@01D6459A.4A6FCF50" \* MERGEFORMATINET </w:instrText>
            </w:r>
            <w:r w:rsidR="00406C16">
              <w:fldChar w:fldCharType="separate"/>
            </w:r>
            <w:r w:rsidR="008C4CE6">
              <w:fldChar w:fldCharType="begin"/>
            </w:r>
            <w:r w:rsidR="008C4CE6">
              <w:instrText xml:space="preserve"> INCLUDEPICTURE  \d "cid:image004.png@01D6459A.4A6FCF50" \* MERGEFORMATINET </w:instrText>
            </w:r>
            <w:r w:rsidR="008C4CE6">
              <w:fldChar w:fldCharType="separate"/>
            </w:r>
            <w:r w:rsidR="009C3C75">
              <w:fldChar w:fldCharType="begin"/>
            </w:r>
            <w:r w:rsidR="009C3C75">
              <w:instrText xml:space="preserve"> INCLUDEPICTURE  \d "cid:image004.png@01D6459A.4A6FCF50" \* MERGEFORMATINET </w:instrText>
            </w:r>
            <w:r w:rsidR="009C3C75">
              <w:fldChar w:fldCharType="separate"/>
            </w:r>
            <w:r w:rsidR="008A56CB">
              <w:fldChar w:fldCharType="begin"/>
            </w:r>
            <w:r w:rsidR="008A56CB">
              <w:instrText xml:space="preserve"> INCLUDEPICTURE  \d "cid:image004.png@01D6459A.4A6FCF50" \* MERGEFORMATINET </w:instrText>
            </w:r>
            <w:r w:rsidR="008A56CB">
              <w:fldChar w:fldCharType="separate"/>
            </w:r>
            <w:r w:rsidR="00B1369D">
              <w:fldChar w:fldCharType="begin"/>
            </w:r>
            <w:r w:rsidR="00B1369D">
              <w:instrText xml:space="preserve"> INCLUDEPICTURE  \d "cid:image004.png@01D6459A.4A6FCF50" \* MERGEFORMATINET </w:instrText>
            </w:r>
            <w:r w:rsidR="00B1369D">
              <w:fldChar w:fldCharType="separate"/>
            </w:r>
            <w:r w:rsidR="00BC408B">
              <w:fldChar w:fldCharType="begin"/>
            </w:r>
            <w:r w:rsidR="00BC408B">
              <w:instrText xml:space="preserve"> INCLUDEPICTURE  \d "cid:image004.png@01D6459A.4A6FCF50" \* MERGEFORMATINET </w:instrText>
            </w:r>
            <w:r w:rsidR="00BC408B">
              <w:fldChar w:fldCharType="separate"/>
            </w:r>
            <w:r w:rsidR="005437E4">
              <w:fldChar w:fldCharType="begin"/>
            </w:r>
            <w:r w:rsidR="005437E4">
              <w:instrText xml:space="preserve"> INCLUDEPICTURE  \d "cid:image004.png@01D6459A.4A6FCF50" \* MERGEFORMATINET </w:instrText>
            </w:r>
            <w:r w:rsidR="005437E4">
              <w:fldChar w:fldCharType="separate"/>
            </w:r>
            <w:r w:rsidR="00A51ED4">
              <w:fldChar w:fldCharType="begin"/>
            </w:r>
            <w:r w:rsidR="00A51ED4">
              <w:instrText xml:space="preserve"> INCLUDEPICTURE  \d "cid:image004.png@01D6459A.4A6FCF50" \* MERGEFORMATINET </w:instrText>
            </w:r>
            <w:r w:rsidR="00A51ED4">
              <w:fldChar w:fldCharType="separate"/>
            </w:r>
            <w:r w:rsidR="00FF7AA7">
              <w:fldChar w:fldCharType="begin"/>
            </w:r>
            <w:r w:rsidR="00FF7AA7">
              <w:instrText xml:space="preserve"> INCLUDEPICTURE  \d "cid:image004.png@01D6459A.4A6FCF50" \* MERGEFORMATINET </w:instrText>
            </w:r>
            <w:r w:rsidR="00FF7AA7">
              <w:fldChar w:fldCharType="separate"/>
            </w:r>
            <w:r w:rsidR="004363C6">
              <w:fldChar w:fldCharType="begin"/>
            </w:r>
            <w:r w:rsidR="004363C6">
              <w:instrText xml:space="preserve"> INCLUDEPICTURE  \d "cid:image004.png@01D6459A.4A6FCF50" \* MERGEFORMATINET </w:instrText>
            </w:r>
            <w:r w:rsidR="004363C6">
              <w:fldChar w:fldCharType="separate"/>
            </w:r>
            <w:r w:rsidR="00A83D76">
              <w:fldChar w:fldCharType="begin"/>
            </w:r>
            <w:r w:rsidR="00A83D76">
              <w:instrText xml:space="preserve"> INCLUDEPICTURE  \d "cid:image004.png@01D6459A.4A6FCF50" \* MERGEFORMATINET </w:instrText>
            </w:r>
            <w:r w:rsidR="00A83D76">
              <w:fldChar w:fldCharType="separate"/>
            </w:r>
            <w:r w:rsidR="0089397E">
              <w:fldChar w:fldCharType="begin"/>
            </w:r>
            <w:r w:rsidR="0089397E">
              <w:instrText xml:space="preserve"> INCLUDEPICTURE  \d "cid:image004.png@01D6459A.4A6FCF50" \* MERGEFORMATINET </w:instrText>
            </w:r>
            <w:r w:rsidR="0089397E">
              <w:fldChar w:fldCharType="separate"/>
            </w:r>
            <w:r w:rsidR="00736C24">
              <w:fldChar w:fldCharType="begin"/>
            </w:r>
            <w:r w:rsidR="00736C24">
              <w:instrText xml:space="preserve"> INCLUDEPICTURE  \d "cid:image004.png@01D6459A.4A6FCF50" \* MERGEFORMATINET </w:instrText>
            </w:r>
            <w:r w:rsidR="00736C24">
              <w:fldChar w:fldCharType="separate"/>
            </w:r>
            <w:r w:rsidR="00B52631">
              <w:fldChar w:fldCharType="begin"/>
            </w:r>
            <w:r w:rsidR="00B52631">
              <w:instrText xml:space="preserve"> INCLUDEPICTURE  \d "cid:image004.png@01D6459A.4A6FCF50" \* MERGEFORMATINET </w:instrText>
            </w:r>
            <w:r w:rsidR="00B52631">
              <w:fldChar w:fldCharType="separate"/>
            </w:r>
            <w:r w:rsidR="00A10DF8">
              <w:fldChar w:fldCharType="begin"/>
            </w:r>
            <w:r w:rsidR="00A10DF8">
              <w:instrText xml:space="preserve"> INCLUDEPICTURE  \d "cid:image004.png@01D6459A.4A6FCF50" \* MERGEFORMATINET </w:instrText>
            </w:r>
            <w:r w:rsidR="00A10DF8">
              <w:fldChar w:fldCharType="separate"/>
            </w:r>
            <w:r w:rsidR="00B06527">
              <w:fldChar w:fldCharType="begin"/>
            </w:r>
            <w:r w:rsidR="00B06527">
              <w:instrText xml:space="preserve"> INCLUDEPICTURE  \d "cid:image004.png@01D6459A.4A6FCF50" \* MERGEFORMATINET </w:instrText>
            </w:r>
            <w:r w:rsidR="00B06527">
              <w:fldChar w:fldCharType="separate"/>
            </w:r>
            <w:r w:rsidR="003C625C">
              <w:fldChar w:fldCharType="begin"/>
            </w:r>
            <w:r w:rsidR="003C625C">
              <w:instrText xml:space="preserve"> INCLUDEPICTURE  \d "cid:image004.png@01D6459A.4A6FCF50" \* MERGEFORMATINET </w:instrText>
            </w:r>
            <w:r w:rsidR="003C625C">
              <w:fldChar w:fldCharType="separate"/>
            </w:r>
            <w:r w:rsidR="00706733">
              <w:fldChar w:fldCharType="begin"/>
            </w:r>
            <w:r w:rsidR="00706733">
              <w:instrText xml:space="preserve"> INCLUDEPICTURE  \d "cid:image004.png@01D6459A.4A6FCF50" \* MERGEFORMATINET </w:instrText>
            </w:r>
            <w:r w:rsidR="00706733">
              <w:fldChar w:fldCharType="separate"/>
            </w:r>
            <w:r>
              <w:fldChar w:fldCharType="begin"/>
            </w:r>
            <w:r>
              <w:instrText xml:space="preserve"> INCLUDEPICTURE  \d "cid:image004.png@01D6459A.4A6FCF50" \* MERGEFORMATINET </w:instrText>
            </w:r>
            <w:r>
              <w:fldChar w:fldCharType="separate"/>
            </w:r>
            <w:r>
              <w:fldChar w:fldCharType="begin"/>
            </w:r>
            <w:r>
              <w:instrText xml:space="preserve"> INCLUDEPICTURE  \d "cid:image004.png@01D6459A.4A6FCF50" \* MERGEFORMATINET </w:instrText>
            </w:r>
            <w:r>
              <w:fldChar w:fldCharType="separate"/>
            </w:r>
            <w:r w:rsidR="00000000">
              <w:fldChar w:fldCharType="begin"/>
            </w:r>
            <w:r w:rsidR="00000000">
              <w:instrText xml:space="preserve"> INCLUDEPICTURE  \d "cid:image004.png@01D6459A.4A6FCF50" \* MERGEFORMATINET </w:instrText>
            </w:r>
            <w:r w:rsidR="00000000">
              <w:fldChar w:fldCharType="separate"/>
            </w:r>
            <w:r w:rsidR="00000000">
              <w:pict w14:anchorId="76F1C065">
                <v:shape id="_x0000_i1049" type="#_x0000_t75" style="width:8.3pt;height:14.4pt">
                  <v:imagedata r:id="rId68"/>
                </v:shape>
              </w:pict>
            </w:r>
            <w:r w:rsidR="00000000">
              <w:fldChar w:fldCharType="end"/>
            </w:r>
            <w:r>
              <w:fldChar w:fldCharType="end"/>
            </w:r>
            <w:r>
              <w:fldChar w:fldCharType="end"/>
            </w:r>
            <w:r w:rsidR="00706733">
              <w:fldChar w:fldCharType="end"/>
            </w:r>
            <w:r w:rsidR="003C625C">
              <w:fldChar w:fldCharType="end"/>
            </w:r>
            <w:r w:rsidR="00B06527">
              <w:fldChar w:fldCharType="end"/>
            </w:r>
            <w:r w:rsidR="00A10DF8">
              <w:fldChar w:fldCharType="end"/>
            </w:r>
            <w:r w:rsidR="00B52631">
              <w:fldChar w:fldCharType="end"/>
            </w:r>
            <w:r w:rsidR="00736C24">
              <w:fldChar w:fldCharType="end"/>
            </w:r>
            <w:r w:rsidR="0089397E">
              <w:fldChar w:fldCharType="end"/>
            </w:r>
            <w:r w:rsidR="00A83D76">
              <w:fldChar w:fldCharType="end"/>
            </w:r>
            <w:r w:rsidR="004363C6">
              <w:fldChar w:fldCharType="end"/>
            </w:r>
            <w:r w:rsidR="00FF7AA7">
              <w:fldChar w:fldCharType="end"/>
            </w:r>
            <w:r w:rsidR="00A51ED4">
              <w:fldChar w:fldCharType="end"/>
            </w:r>
            <w:r w:rsidR="005437E4">
              <w:fldChar w:fldCharType="end"/>
            </w:r>
            <w:r w:rsidR="00BC408B">
              <w:fldChar w:fldCharType="end"/>
            </w:r>
            <w:r w:rsidR="00B1369D">
              <w:fldChar w:fldCharType="end"/>
            </w:r>
            <w:r w:rsidR="008A56CB">
              <w:fldChar w:fldCharType="end"/>
            </w:r>
            <w:r w:rsidR="009C3C75">
              <w:fldChar w:fldCharType="end"/>
            </w:r>
            <w:r w:rsidR="008C4CE6">
              <w:fldChar w:fldCharType="end"/>
            </w:r>
            <w:r w:rsidR="00406C16">
              <w:fldChar w:fldCharType="end"/>
            </w:r>
            <w:r w:rsidR="00FC2237">
              <w:fldChar w:fldCharType="end"/>
            </w:r>
            <w:r w:rsidR="003A71DE">
              <w:fldChar w:fldCharType="end"/>
            </w:r>
            <w:r w:rsidR="00241417">
              <w:fldChar w:fldCharType="end"/>
            </w:r>
            <w:r w:rsidR="00B03869">
              <w:fldChar w:fldCharType="end"/>
            </w:r>
            <w:r w:rsidR="00A043EA">
              <w:fldChar w:fldCharType="end"/>
            </w:r>
            <w:r w:rsidR="007A18EB">
              <w:fldChar w:fldCharType="end"/>
            </w:r>
            <w:r w:rsidR="00976390">
              <w:fldChar w:fldCharType="end"/>
            </w:r>
            <w:r w:rsidR="0057023C">
              <w:fldChar w:fldCharType="end"/>
            </w:r>
            <w:r w:rsidR="002E1777">
              <w:fldChar w:fldCharType="end"/>
            </w:r>
            <w:r w:rsidR="00CB5E7E">
              <w:fldChar w:fldCharType="end"/>
            </w:r>
            <w:r w:rsidR="00AC7434">
              <w:fldChar w:fldCharType="end"/>
            </w:r>
            <w:r w:rsidR="008F31BD">
              <w:fldChar w:fldCharType="end"/>
            </w:r>
            <w:r w:rsidR="00E34F05">
              <w:fldChar w:fldCharType="end"/>
            </w:r>
            <w:r w:rsidR="009A4A82">
              <w:fldChar w:fldCharType="end"/>
            </w:r>
            <w:r w:rsidR="00E030AB">
              <w:fldChar w:fldCharType="end"/>
            </w:r>
            <w:r w:rsidR="008A584D">
              <w:fldChar w:fldCharType="end"/>
            </w:r>
            <w:r w:rsidR="00BD1F8C">
              <w:fldChar w:fldCharType="end"/>
            </w:r>
            <w:r w:rsidR="00715E2D">
              <w:fldChar w:fldCharType="end"/>
            </w:r>
            <w:r w:rsidR="0039060E">
              <w:fldChar w:fldCharType="end"/>
            </w:r>
            <w:r w:rsidR="00236A8E">
              <w:fldChar w:fldCharType="end"/>
            </w:r>
            <w:r>
              <w:fldChar w:fldCharType="end"/>
            </w:r>
            <w:r>
              <w:fldChar w:fldCharType="end"/>
            </w:r>
            <w:r>
              <w:fldChar w:fldCharType="end"/>
            </w:r>
            <w:r>
              <w:fldChar w:fldCharType="end"/>
            </w:r>
            <w:r>
              <w:fldChar w:fldCharType="end"/>
            </w:r>
            <w:r>
              <w:fldChar w:fldCharType="end"/>
            </w:r>
            <w:r>
              <w:fldChar w:fldCharType="end"/>
            </w:r>
            <w:r>
              <w:t xml:space="preserve">= 6 and 9 as per Table </w:t>
            </w:r>
            <w:r w:rsidRPr="00D313B6">
              <w:t>7.4.1.1.2-</w:t>
            </w:r>
            <w:r>
              <w:t>3 of TS 38.211</w:t>
            </w:r>
            <w:r w:rsidR="00ED70DB">
              <w:t xml:space="preserve"> [3]</w:t>
            </w:r>
            <w:r>
              <w:t>.</w:t>
            </w:r>
          </w:p>
          <w:p w14:paraId="5BD37CE0" w14:textId="77777777" w:rsidR="00F25B52" w:rsidRPr="000D2B34" w:rsidRDefault="00F25B52" w:rsidP="00BD1F8C">
            <w:pPr>
              <w:pStyle w:val="TAC"/>
              <w:ind w:left="851" w:hanging="851"/>
              <w:jc w:val="left"/>
              <w:rPr>
                <w:lang w:eastAsia="zh-TW"/>
              </w:rPr>
            </w:pPr>
            <w:r>
              <w:t xml:space="preserve">NOTE 2:   MCS index 4 and target coding rate = 308/1024 are adopted to calculate payload size for receiver sensitivity </w:t>
            </w:r>
          </w:p>
        </w:tc>
      </w:tr>
      <w:bookmarkEnd w:id="9158"/>
      <w:bookmarkEnd w:id="9159"/>
      <w:bookmarkEnd w:id="9160"/>
      <w:bookmarkEnd w:id="9161"/>
    </w:tbl>
    <w:p w14:paraId="233A934E" w14:textId="77777777" w:rsidR="00F25B52" w:rsidRDefault="00F25B52" w:rsidP="00F25B52">
      <w:pPr>
        <w:rPr>
          <w:lang w:val="en-US"/>
        </w:rPr>
      </w:pPr>
    </w:p>
    <w:p w14:paraId="1931CB44" w14:textId="77777777" w:rsidR="00F25B52" w:rsidRDefault="00F25B52" w:rsidP="00F25B52">
      <w:pPr>
        <w:pStyle w:val="TH"/>
      </w:pPr>
      <w:bookmarkStart w:id="9162" w:name="_Ref43895291"/>
      <w:r>
        <w:t xml:space="preserve">Table </w:t>
      </w:r>
      <w:bookmarkEnd w:id="9162"/>
      <w:r>
        <w:t>A1-2: FRC parameters for FR2 reference sensitivity level for IAB-MT.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4105"/>
        <w:gridCol w:w="1830"/>
        <w:gridCol w:w="1830"/>
        <w:gridCol w:w="1830"/>
        <w:gridCol w:w="26"/>
      </w:tblGrid>
      <w:tr w:rsidR="00F25B52" w14:paraId="1D2B0902" w14:textId="77777777" w:rsidTr="00BD1F8C">
        <w:trPr>
          <w:gridAfter w:val="1"/>
          <w:jc w:val="center"/>
        </w:trPr>
        <w:tc>
          <w:tcPr>
            <w:tcW w:w="0" w:type="auto"/>
            <w:tcMar>
              <w:top w:w="0" w:type="dxa"/>
              <w:left w:w="108" w:type="dxa"/>
              <w:bottom w:w="0" w:type="dxa"/>
              <w:right w:w="108" w:type="dxa"/>
            </w:tcMar>
            <w:hideMark/>
          </w:tcPr>
          <w:p w14:paraId="264F9E76" w14:textId="77777777" w:rsidR="00F25B52" w:rsidRDefault="00F25B52" w:rsidP="00BD1F8C">
            <w:pPr>
              <w:pStyle w:val="TAH"/>
            </w:pPr>
            <w:r>
              <w:t>Reference channel</w:t>
            </w:r>
          </w:p>
        </w:tc>
        <w:tc>
          <w:tcPr>
            <w:tcW w:w="0" w:type="auto"/>
            <w:tcMar>
              <w:top w:w="0" w:type="dxa"/>
              <w:left w:w="108" w:type="dxa"/>
              <w:bottom w:w="0" w:type="dxa"/>
              <w:right w:w="108" w:type="dxa"/>
            </w:tcMar>
            <w:hideMark/>
          </w:tcPr>
          <w:p w14:paraId="577ED587" w14:textId="77777777" w:rsidR="00F25B52" w:rsidRDefault="00F25B52" w:rsidP="00BD1F8C">
            <w:pPr>
              <w:pStyle w:val="TAH"/>
            </w:pPr>
            <w:r>
              <w:rPr>
                <w:lang w:eastAsia="zh-CN"/>
              </w:rPr>
              <w:t>G-FR2-A1-21</w:t>
            </w:r>
          </w:p>
        </w:tc>
        <w:tc>
          <w:tcPr>
            <w:tcW w:w="0" w:type="auto"/>
            <w:tcMar>
              <w:top w:w="0" w:type="dxa"/>
              <w:left w:w="108" w:type="dxa"/>
              <w:bottom w:w="0" w:type="dxa"/>
              <w:right w:w="108" w:type="dxa"/>
            </w:tcMar>
            <w:hideMark/>
          </w:tcPr>
          <w:p w14:paraId="37D292E1" w14:textId="77777777" w:rsidR="00F25B52" w:rsidRDefault="00F25B52" w:rsidP="00BD1F8C">
            <w:pPr>
              <w:pStyle w:val="TAH"/>
            </w:pPr>
            <w:r>
              <w:rPr>
                <w:lang w:eastAsia="zh-CN"/>
              </w:rPr>
              <w:t>G-FR2-A1-22</w:t>
            </w:r>
          </w:p>
        </w:tc>
        <w:tc>
          <w:tcPr>
            <w:tcW w:w="0" w:type="auto"/>
            <w:tcMar>
              <w:top w:w="0" w:type="dxa"/>
              <w:left w:w="108" w:type="dxa"/>
              <w:bottom w:w="0" w:type="dxa"/>
              <w:right w:w="108" w:type="dxa"/>
            </w:tcMar>
            <w:hideMark/>
          </w:tcPr>
          <w:p w14:paraId="24599EBA" w14:textId="77777777" w:rsidR="00F25B52" w:rsidRDefault="00F25B52" w:rsidP="00BD1F8C">
            <w:pPr>
              <w:pStyle w:val="TAH"/>
            </w:pPr>
            <w:r>
              <w:rPr>
                <w:lang w:eastAsia="zh-CN"/>
              </w:rPr>
              <w:t>G-FR2-A1-23</w:t>
            </w:r>
          </w:p>
        </w:tc>
      </w:tr>
      <w:tr w:rsidR="00F25B52" w14:paraId="7C47002F" w14:textId="77777777" w:rsidTr="00BD1F8C">
        <w:trPr>
          <w:gridAfter w:val="1"/>
          <w:jc w:val="center"/>
        </w:trPr>
        <w:tc>
          <w:tcPr>
            <w:tcW w:w="0" w:type="auto"/>
            <w:tcMar>
              <w:top w:w="0" w:type="dxa"/>
              <w:left w:w="108" w:type="dxa"/>
              <w:bottom w:w="0" w:type="dxa"/>
              <w:right w:w="108" w:type="dxa"/>
            </w:tcMar>
            <w:hideMark/>
          </w:tcPr>
          <w:p w14:paraId="1705577D" w14:textId="77777777" w:rsidR="00F25B52" w:rsidRDefault="00F25B52" w:rsidP="00BD1F8C">
            <w:pPr>
              <w:pStyle w:val="TAL"/>
              <w:rPr>
                <w:lang w:eastAsia="zh-CN"/>
              </w:rPr>
            </w:pPr>
            <w:r>
              <w:rPr>
                <w:lang w:eastAsia="zh-CN"/>
              </w:rPr>
              <w:t>Subcarrier spacing (kHz)</w:t>
            </w:r>
          </w:p>
        </w:tc>
        <w:tc>
          <w:tcPr>
            <w:tcW w:w="0" w:type="auto"/>
            <w:tcMar>
              <w:top w:w="0" w:type="dxa"/>
              <w:left w:w="108" w:type="dxa"/>
              <w:bottom w:w="0" w:type="dxa"/>
              <w:right w:w="108" w:type="dxa"/>
            </w:tcMar>
            <w:hideMark/>
          </w:tcPr>
          <w:p w14:paraId="42FA0E02" w14:textId="77777777" w:rsidR="00F25B52" w:rsidRDefault="00F25B52" w:rsidP="00BD1F8C">
            <w:pPr>
              <w:pStyle w:val="TAC"/>
              <w:rPr>
                <w:lang w:eastAsia="zh-TW"/>
              </w:rPr>
            </w:pPr>
            <w:r>
              <w:t>60</w:t>
            </w:r>
          </w:p>
        </w:tc>
        <w:tc>
          <w:tcPr>
            <w:tcW w:w="0" w:type="auto"/>
            <w:tcMar>
              <w:top w:w="0" w:type="dxa"/>
              <w:left w:w="108" w:type="dxa"/>
              <w:bottom w:w="0" w:type="dxa"/>
              <w:right w:w="108" w:type="dxa"/>
            </w:tcMar>
            <w:hideMark/>
          </w:tcPr>
          <w:p w14:paraId="0DF83407" w14:textId="77777777" w:rsidR="00F25B52" w:rsidRDefault="00F25B52" w:rsidP="00BD1F8C">
            <w:pPr>
              <w:pStyle w:val="TAC"/>
            </w:pPr>
            <w:r>
              <w:t>120</w:t>
            </w:r>
          </w:p>
        </w:tc>
        <w:tc>
          <w:tcPr>
            <w:tcW w:w="0" w:type="auto"/>
            <w:tcMar>
              <w:top w:w="0" w:type="dxa"/>
              <w:left w:w="108" w:type="dxa"/>
              <w:bottom w:w="0" w:type="dxa"/>
              <w:right w:w="108" w:type="dxa"/>
            </w:tcMar>
            <w:hideMark/>
          </w:tcPr>
          <w:p w14:paraId="05F0A718" w14:textId="77777777" w:rsidR="00F25B52" w:rsidRDefault="00F25B52" w:rsidP="00BD1F8C">
            <w:pPr>
              <w:pStyle w:val="TAC"/>
            </w:pPr>
            <w:r>
              <w:t>120</w:t>
            </w:r>
          </w:p>
        </w:tc>
      </w:tr>
      <w:tr w:rsidR="00F25B52" w14:paraId="351B8379" w14:textId="77777777" w:rsidTr="00BD1F8C">
        <w:trPr>
          <w:gridAfter w:val="1"/>
          <w:jc w:val="center"/>
        </w:trPr>
        <w:tc>
          <w:tcPr>
            <w:tcW w:w="0" w:type="auto"/>
            <w:tcMar>
              <w:top w:w="0" w:type="dxa"/>
              <w:left w:w="108" w:type="dxa"/>
              <w:bottom w:w="0" w:type="dxa"/>
              <w:right w:w="108" w:type="dxa"/>
            </w:tcMar>
            <w:hideMark/>
          </w:tcPr>
          <w:p w14:paraId="4ADEFB51" w14:textId="77777777" w:rsidR="00F25B52" w:rsidRDefault="00F25B52" w:rsidP="00BD1F8C">
            <w:pPr>
              <w:pStyle w:val="TAL"/>
            </w:pPr>
            <w:r>
              <w:t>Allocated resource blocks</w:t>
            </w:r>
          </w:p>
        </w:tc>
        <w:tc>
          <w:tcPr>
            <w:tcW w:w="0" w:type="auto"/>
            <w:tcMar>
              <w:top w:w="0" w:type="dxa"/>
              <w:left w:w="108" w:type="dxa"/>
              <w:bottom w:w="0" w:type="dxa"/>
              <w:right w:w="108" w:type="dxa"/>
            </w:tcMar>
            <w:hideMark/>
          </w:tcPr>
          <w:p w14:paraId="675C3029" w14:textId="77777777" w:rsidR="00F25B52" w:rsidRDefault="00F25B52" w:rsidP="00BD1F8C">
            <w:pPr>
              <w:pStyle w:val="TAC"/>
            </w:pPr>
            <w:r>
              <w:t>66</w:t>
            </w:r>
          </w:p>
        </w:tc>
        <w:tc>
          <w:tcPr>
            <w:tcW w:w="0" w:type="auto"/>
            <w:tcMar>
              <w:top w:w="0" w:type="dxa"/>
              <w:left w:w="108" w:type="dxa"/>
              <w:bottom w:w="0" w:type="dxa"/>
              <w:right w:w="108" w:type="dxa"/>
            </w:tcMar>
            <w:hideMark/>
          </w:tcPr>
          <w:p w14:paraId="56B077A6" w14:textId="77777777" w:rsidR="00F25B52" w:rsidRDefault="00F25B52" w:rsidP="00BD1F8C">
            <w:pPr>
              <w:pStyle w:val="TAC"/>
            </w:pPr>
            <w:r>
              <w:t>32</w:t>
            </w:r>
          </w:p>
        </w:tc>
        <w:tc>
          <w:tcPr>
            <w:tcW w:w="0" w:type="auto"/>
            <w:tcMar>
              <w:top w:w="0" w:type="dxa"/>
              <w:left w:w="108" w:type="dxa"/>
              <w:bottom w:w="0" w:type="dxa"/>
              <w:right w:w="108" w:type="dxa"/>
            </w:tcMar>
            <w:hideMark/>
          </w:tcPr>
          <w:p w14:paraId="4AEB0494" w14:textId="77777777" w:rsidR="00F25B52" w:rsidRDefault="00F25B52" w:rsidP="00BD1F8C">
            <w:pPr>
              <w:pStyle w:val="TAC"/>
            </w:pPr>
            <w:r>
              <w:t>66</w:t>
            </w:r>
          </w:p>
        </w:tc>
      </w:tr>
      <w:tr w:rsidR="00F25B52" w14:paraId="236B7C76" w14:textId="77777777" w:rsidTr="00BD1F8C">
        <w:trPr>
          <w:gridAfter w:val="1"/>
          <w:jc w:val="center"/>
        </w:trPr>
        <w:tc>
          <w:tcPr>
            <w:tcW w:w="0" w:type="auto"/>
            <w:tcMar>
              <w:top w:w="0" w:type="dxa"/>
              <w:left w:w="108" w:type="dxa"/>
              <w:bottom w:w="0" w:type="dxa"/>
              <w:right w:w="108" w:type="dxa"/>
            </w:tcMar>
            <w:hideMark/>
          </w:tcPr>
          <w:p w14:paraId="7B8F8D66" w14:textId="77777777" w:rsidR="00F25B52" w:rsidRDefault="00F25B52" w:rsidP="00BD1F8C">
            <w:pPr>
              <w:pStyle w:val="TAL"/>
              <w:rPr>
                <w:lang w:eastAsia="zh-CN"/>
              </w:rPr>
            </w:pPr>
            <w:r>
              <w:rPr>
                <w:lang w:eastAsia="zh-CN"/>
              </w:rPr>
              <w:t>CP</w:t>
            </w:r>
            <w:r>
              <w:t xml:space="preserve">-OFDM Symbols per </w:t>
            </w:r>
            <w:r>
              <w:rPr>
                <w:lang w:eastAsia="zh-CN"/>
              </w:rPr>
              <w:t>slot (Note 1)</w:t>
            </w:r>
          </w:p>
        </w:tc>
        <w:tc>
          <w:tcPr>
            <w:tcW w:w="0" w:type="auto"/>
            <w:tcMar>
              <w:top w:w="0" w:type="dxa"/>
              <w:left w:w="108" w:type="dxa"/>
              <w:bottom w:w="0" w:type="dxa"/>
              <w:right w:w="108" w:type="dxa"/>
            </w:tcMar>
            <w:hideMark/>
          </w:tcPr>
          <w:p w14:paraId="4D307718" w14:textId="77777777" w:rsidR="00F25B52" w:rsidRDefault="00F25B52" w:rsidP="00BD1F8C">
            <w:pPr>
              <w:pStyle w:val="TAC"/>
              <w:rPr>
                <w:lang w:eastAsia="zh-TW"/>
              </w:rPr>
            </w:pPr>
            <w:r>
              <w:t>9</w:t>
            </w:r>
          </w:p>
        </w:tc>
        <w:tc>
          <w:tcPr>
            <w:tcW w:w="0" w:type="auto"/>
            <w:tcMar>
              <w:top w:w="0" w:type="dxa"/>
              <w:left w:w="108" w:type="dxa"/>
              <w:bottom w:w="0" w:type="dxa"/>
              <w:right w:w="108" w:type="dxa"/>
            </w:tcMar>
            <w:hideMark/>
          </w:tcPr>
          <w:p w14:paraId="5755A311" w14:textId="77777777" w:rsidR="00F25B52" w:rsidRDefault="00F25B52" w:rsidP="00BD1F8C">
            <w:pPr>
              <w:pStyle w:val="TAC"/>
            </w:pPr>
            <w:r>
              <w:t>9</w:t>
            </w:r>
          </w:p>
        </w:tc>
        <w:tc>
          <w:tcPr>
            <w:tcW w:w="0" w:type="auto"/>
            <w:tcMar>
              <w:top w:w="0" w:type="dxa"/>
              <w:left w:w="108" w:type="dxa"/>
              <w:bottom w:w="0" w:type="dxa"/>
              <w:right w:w="108" w:type="dxa"/>
            </w:tcMar>
            <w:hideMark/>
          </w:tcPr>
          <w:p w14:paraId="0B5DAABB" w14:textId="77777777" w:rsidR="00F25B52" w:rsidRDefault="00F25B52" w:rsidP="00BD1F8C">
            <w:pPr>
              <w:pStyle w:val="TAC"/>
            </w:pPr>
            <w:r>
              <w:t>9</w:t>
            </w:r>
          </w:p>
        </w:tc>
      </w:tr>
      <w:tr w:rsidR="00F25B52" w14:paraId="04BA63CC" w14:textId="77777777" w:rsidTr="00BD1F8C">
        <w:trPr>
          <w:gridAfter w:val="1"/>
          <w:jc w:val="center"/>
        </w:trPr>
        <w:tc>
          <w:tcPr>
            <w:tcW w:w="0" w:type="auto"/>
            <w:tcMar>
              <w:top w:w="0" w:type="dxa"/>
              <w:left w:w="108" w:type="dxa"/>
              <w:bottom w:w="0" w:type="dxa"/>
              <w:right w:w="108" w:type="dxa"/>
            </w:tcMar>
            <w:hideMark/>
          </w:tcPr>
          <w:p w14:paraId="6D927B01" w14:textId="77777777" w:rsidR="00F25B52" w:rsidRDefault="00F25B52" w:rsidP="00BD1F8C">
            <w:pPr>
              <w:pStyle w:val="TAL"/>
            </w:pPr>
            <w:r>
              <w:t>Modulation</w:t>
            </w:r>
          </w:p>
        </w:tc>
        <w:tc>
          <w:tcPr>
            <w:tcW w:w="0" w:type="auto"/>
            <w:tcMar>
              <w:top w:w="0" w:type="dxa"/>
              <w:left w:w="108" w:type="dxa"/>
              <w:bottom w:w="0" w:type="dxa"/>
              <w:right w:w="108" w:type="dxa"/>
            </w:tcMar>
            <w:hideMark/>
          </w:tcPr>
          <w:p w14:paraId="2785C1C9" w14:textId="77777777" w:rsidR="00F25B52" w:rsidRDefault="00F25B52" w:rsidP="00BD1F8C">
            <w:pPr>
              <w:pStyle w:val="TAC"/>
            </w:pPr>
            <w:r>
              <w:t>QPSK</w:t>
            </w:r>
          </w:p>
        </w:tc>
        <w:tc>
          <w:tcPr>
            <w:tcW w:w="0" w:type="auto"/>
            <w:tcMar>
              <w:top w:w="0" w:type="dxa"/>
              <w:left w:w="108" w:type="dxa"/>
              <w:bottom w:w="0" w:type="dxa"/>
              <w:right w:w="108" w:type="dxa"/>
            </w:tcMar>
            <w:hideMark/>
          </w:tcPr>
          <w:p w14:paraId="51680F90" w14:textId="77777777" w:rsidR="00F25B52" w:rsidRDefault="00F25B52" w:rsidP="00BD1F8C">
            <w:pPr>
              <w:pStyle w:val="TAC"/>
            </w:pPr>
            <w:r>
              <w:t>QPSK</w:t>
            </w:r>
          </w:p>
        </w:tc>
        <w:tc>
          <w:tcPr>
            <w:tcW w:w="0" w:type="auto"/>
            <w:tcMar>
              <w:top w:w="0" w:type="dxa"/>
              <w:left w:w="108" w:type="dxa"/>
              <w:bottom w:w="0" w:type="dxa"/>
              <w:right w:w="108" w:type="dxa"/>
            </w:tcMar>
            <w:hideMark/>
          </w:tcPr>
          <w:p w14:paraId="2029F576" w14:textId="77777777" w:rsidR="00F25B52" w:rsidRDefault="00F25B52" w:rsidP="00BD1F8C">
            <w:pPr>
              <w:pStyle w:val="TAC"/>
            </w:pPr>
            <w:r>
              <w:t>QPSK</w:t>
            </w:r>
          </w:p>
        </w:tc>
      </w:tr>
      <w:tr w:rsidR="00F25B52" w14:paraId="1D5A88CE" w14:textId="77777777" w:rsidTr="00BD1F8C">
        <w:trPr>
          <w:gridAfter w:val="1"/>
          <w:jc w:val="center"/>
        </w:trPr>
        <w:tc>
          <w:tcPr>
            <w:tcW w:w="0" w:type="auto"/>
            <w:tcMar>
              <w:top w:w="0" w:type="dxa"/>
              <w:left w:w="108" w:type="dxa"/>
              <w:bottom w:w="0" w:type="dxa"/>
              <w:right w:w="108" w:type="dxa"/>
            </w:tcMar>
            <w:hideMark/>
          </w:tcPr>
          <w:p w14:paraId="7D9337DC" w14:textId="77777777" w:rsidR="00F25B52" w:rsidRDefault="00F25B52" w:rsidP="00BD1F8C">
            <w:pPr>
              <w:pStyle w:val="TAL"/>
            </w:pPr>
            <w:r>
              <w:t>Code rate</w:t>
            </w:r>
            <w:r>
              <w:rPr>
                <w:lang w:eastAsia="zh-CN"/>
              </w:rPr>
              <w:t xml:space="preserve"> (Note 2)</w:t>
            </w:r>
          </w:p>
        </w:tc>
        <w:tc>
          <w:tcPr>
            <w:tcW w:w="0" w:type="auto"/>
            <w:tcMar>
              <w:top w:w="0" w:type="dxa"/>
              <w:left w:w="108" w:type="dxa"/>
              <w:bottom w:w="0" w:type="dxa"/>
              <w:right w:w="108" w:type="dxa"/>
            </w:tcMar>
            <w:hideMark/>
          </w:tcPr>
          <w:p w14:paraId="13D30051" w14:textId="77777777" w:rsidR="00F25B52" w:rsidRDefault="00F25B52" w:rsidP="00BD1F8C">
            <w:pPr>
              <w:pStyle w:val="TAC"/>
            </w:pPr>
            <w:r>
              <w:t>1/3</w:t>
            </w:r>
          </w:p>
        </w:tc>
        <w:tc>
          <w:tcPr>
            <w:tcW w:w="0" w:type="auto"/>
            <w:tcMar>
              <w:top w:w="0" w:type="dxa"/>
              <w:left w:w="108" w:type="dxa"/>
              <w:bottom w:w="0" w:type="dxa"/>
              <w:right w:w="108" w:type="dxa"/>
            </w:tcMar>
            <w:hideMark/>
          </w:tcPr>
          <w:p w14:paraId="20BFCD9D" w14:textId="77777777" w:rsidR="00F25B52" w:rsidRDefault="00F25B52" w:rsidP="00BD1F8C">
            <w:pPr>
              <w:pStyle w:val="TAC"/>
            </w:pPr>
            <w:r>
              <w:t>1/3</w:t>
            </w:r>
          </w:p>
        </w:tc>
        <w:tc>
          <w:tcPr>
            <w:tcW w:w="0" w:type="auto"/>
            <w:tcMar>
              <w:top w:w="0" w:type="dxa"/>
              <w:left w:w="108" w:type="dxa"/>
              <w:bottom w:w="0" w:type="dxa"/>
              <w:right w:w="108" w:type="dxa"/>
            </w:tcMar>
            <w:hideMark/>
          </w:tcPr>
          <w:p w14:paraId="793FBDA0" w14:textId="77777777" w:rsidR="00F25B52" w:rsidRDefault="00F25B52" w:rsidP="00BD1F8C">
            <w:pPr>
              <w:pStyle w:val="TAC"/>
            </w:pPr>
            <w:r>
              <w:t>1/3</w:t>
            </w:r>
          </w:p>
        </w:tc>
      </w:tr>
      <w:tr w:rsidR="00F25B52" w14:paraId="5C6CF1DA" w14:textId="77777777" w:rsidTr="00BD1F8C">
        <w:trPr>
          <w:jc w:val="center"/>
        </w:trPr>
        <w:tc>
          <w:tcPr>
            <w:tcW w:w="0" w:type="auto"/>
            <w:gridSpan w:val="4"/>
            <w:tcMar>
              <w:top w:w="0" w:type="dxa"/>
              <w:left w:w="108" w:type="dxa"/>
              <w:bottom w:w="0" w:type="dxa"/>
              <w:right w:w="108" w:type="dxa"/>
            </w:tcMar>
          </w:tcPr>
          <w:p w14:paraId="353F0D0B" w14:textId="3A62FC45" w:rsidR="00F25B52" w:rsidRDefault="00F25B52" w:rsidP="00BD1F8C">
            <w:pPr>
              <w:pStyle w:val="TAN"/>
            </w:pPr>
            <w:r>
              <w:t xml:space="preserve">NOTE 1:   DM-RS configuration type = 1 with DM-RS duration = single-symbol DM-RS, additional DM-RS position = pos2 with </w:t>
            </w:r>
            <w:r>
              <w:rPr>
                <w:i/>
                <w:iCs/>
              </w:rPr>
              <w:t>l</w:t>
            </w:r>
            <w:r>
              <w:rPr>
                <w:i/>
                <w:iCs/>
                <w:vertAlign w:val="subscript"/>
              </w:rPr>
              <w:t>0</w:t>
            </w:r>
            <w:r>
              <w:t xml:space="preserve"> = 2, </w:t>
            </w:r>
            <w:r>
              <w:rPr>
                <w:i/>
                <w:iCs/>
              </w:rPr>
              <w:t>l</w:t>
            </w:r>
            <w:r>
              <w:t xml:space="preserve"> = 6 and 9 as per Table </w:t>
            </w:r>
            <w:r w:rsidRPr="00D313B6">
              <w:t>7.4.1.1.2-</w:t>
            </w:r>
            <w:r>
              <w:t>3 of TS 38.211</w:t>
            </w:r>
            <w:r w:rsidR="00ED70DB">
              <w:t xml:space="preserve"> [3]</w:t>
            </w:r>
            <w:r>
              <w:t>.</w:t>
            </w:r>
          </w:p>
          <w:p w14:paraId="4EE44067" w14:textId="77777777" w:rsidR="00F25B52" w:rsidRDefault="00F25B52" w:rsidP="00BD1F8C">
            <w:pPr>
              <w:pStyle w:val="TAC"/>
              <w:ind w:left="851" w:hanging="851"/>
              <w:jc w:val="left"/>
              <w:rPr>
                <w:lang w:eastAsia="zh-TW"/>
              </w:rPr>
            </w:pPr>
            <w:r>
              <w:t>NOTE 2:   MCS index 4 and target coding rate = 308/1024 are adopted to calculate payload size.</w:t>
            </w:r>
          </w:p>
        </w:tc>
        <w:tc>
          <w:tcPr>
            <w:tcW w:w="0" w:type="auto"/>
          </w:tcPr>
          <w:p w14:paraId="25878E5B" w14:textId="77777777" w:rsidR="00F25B52" w:rsidRDefault="00F25B52" w:rsidP="00BD1F8C">
            <w:pPr>
              <w:spacing w:after="0"/>
              <w:rPr>
                <w:lang w:eastAsia="zh-TW"/>
              </w:rPr>
            </w:pPr>
          </w:p>
        </w:tc>
      </w:tr>
    </w:tbl>
    <w:p w14:paraId="5A872C42" w14:textId="0AD17D2C" w:rsidR="00F25B52" w:rsidRDefault="00F25B52" w:rsidP="00F25B52">
      <w:pPr>
        <w:rPr>
          <w:lang w:val="en-US"/>
        </w:rPr>
      </w:pPr>
    </w:p>
    <w:p w14:paraId="59E4CA97" w14:textId="77777777" w:rsidR="00241417" w:rsidRPr="006C7AF4" w:rsidRDefault="00241417" w:rsidP="00241417">
      <w:pPr>
        <w:pStyle w:val="Heading2"/>
      </w:pPr>
      <w:bookmarkStart w:id="9163" w:name="_Toc74583573"/>
      <w:bookmarkStart w:id="9164" w:name="_Toc76542386"/>
      <w:bookmarkStart w:id="9165" w:name="_Toc82450368"/>
      <w:bookmarkStart w:id="9166" w:name="_Toc82451016"/>
      <w:bookmarkStart w:id="9167" w:name="_Toc89949405"/>
      <w:bookmarkStart w:id="9168" w:name="_Toc98755794"/>
      <w:bookmarkStart w:id="9169" w:name="_Toc98763386"/>
      <w:bookmarkStart w:id="9170" w:name="_Toc106184315"/>
      <w:r w:rsidRPr="00B87932">
        <w:rPr>
          <w:lang w:val="en-US"/>
        </w:rPr>
        <w:t>A.2</w:t>
      </w:r>
      <w:r w:rsidRPr="00B87932">
        <w:rPr>
          <w:lang w:val="en-US"/>
        </w:rPr>
        <w:tab/>
        <w:t>IAB-DU Fixed Reference Channels</w:t>
      </w:r>
      <w:bookmarkEnd w:id="9163"/>
      <w:bookmarkEnd w:id="9164"/>
      <w:bookmarkEnd w:id="9165"/>
      <w:bookmarkEnd w:id="9166"/>
      <w:bookmarkEnd w:id="9167"/>
      <w:bookmarkEnd w:id="9168"/>
      <w:bookmarkEnd w:id="9169"/>
      <w:bookmarkEnd w:id="9170"/>
    </w:p>
    <w:p w14:paraId="393CE77C" w14:textId="77777777" w:rsidR="00241417" w:rsidRPr="004710DC" w:rsidRDefault="00241417" w:rsidP="00241417">
      <w:pPr>
        <w:pStyle w:val="Heading3"/>
        <w:rPr>
          <w:lang w:eastAsia="zh-CN"/>
        </w:rPr>
      </w:pPr>
      <w:bookmarkStart w:id="9171" w:name="_Toc74583574"/>
      <w:bookmarkStart w:id="9172" w:name="_Toc76542387"/>
      <w:bookmarkStart w:id="9173" w:name="_Toc82450369"/>
      <w:bookmarkStart w:id="9174" w:name="_Toc82451017"/>
      <w:bookmarkStart w:id="9175" w:name="_Toc89949406"/>
      <w:bookmarkStart w:id="9176" w:name="_Toc98755795"/>
      <w:bookmarkStart w:id="9177" w:name="_Toc98763387"/>
      <w:bookmarkStart w:id="9178" w:name="_Toc106184316"/>
      <w:r w:rsidRPr="004710DC">
        <w:t>A.</w:t>
      </w:r>
      <w:r>
        <w:rPr>
          <w:lang w:eastAsia="zh-CN"/>
        </w:rPr>
        <w:t>2.1</w:t>
      </w:r>
      <w:r w:rsidRPr="004710DC">
        <w:tab/>
        <w:t xml:space="preserve">Fixed Reference Channels for </w:t>
      </w:r>
      <w:r>
        <w:t xml:space="preserve">PUSCH </w:t>
      </w:r>
      <w:r w:rsidRPr="004710DC">
        <w:t>performance requirements (</w:t>
      </w:r>
      <w:r w:rsidRPr="004710DC">
        <w:rPr>
          <w:lang w:eastAsia="zh-CN"/>
        </w:rPr>
        <w:t>QPSK</w:t>
      </w:r>
      <w:r w:rsidRPr="004710DC">
        <w:t>, R=193/</w:t>
      </w:r>
      <w:r w:rsidRPr="004710DC">
        <w:rPr>
          <w:lang w:eastAsia="zh-CN"/>
        </w:rPr>
        <w:t>1024</w:t>
      </w:r>
      <w:r w:rsidRPr="004710DC">
        <w:t>)</w:t>
      </w:r>
      <w:bookmarkEnd w:id="9171"/>
      <w:bookmarkEnd w:id="9172"/>
      <w:bookmarkEnd w:id="9173"/>
      <w:bookmarkEnd w:id="9174"/>
      <w:bookmarkEnd w:id="9175"/>
      <w:bookmarkEnd w:id="9176"/>
      <w:bookmarkEnd w:id="9177"/>
      <w:bookmarkEnd w:id="9178"/>
    </w:p>
    <w:p w14:paraId="708957B6" w14:textId="5893DFE4" w:rsidR="00241417" w:rsidRPr="006C7AF4" w:rsidRDefault="00241417" w:rsidP="00241417">
      <w:pPr>
        <w:rPr>
          <w:lang w:val="en-US"/>
        </w:rPr>
      </w:pPr>
      <w:r w:rsidRPr="006C7AF4">
        <w:rPr>
          <w:lang w:val="en-US"/>
        </w:rPr>
        <w:t xml:space="preserve">The parameters for the reference measurement channels are specified in table A.2.1-1 </w:t>
      </w:r>
      <w:r>
        <w:rPr>
          <w:lang w:val="en-US"/>
        </w:rPr>
        <w:t>to</w:t>
      </w:r>
      <w:r w:rsidRPr="006C7AF4">
        <w:rPr>
          <w:lang w:val="en-US"/>
        </w:rPr>
        <w:t xml:space="preserve"> table A.2.1-3 for FR1 PUSCH performance requirements:</w:t>
      </w:r>
    </w:p>
    <w:p w14:paraId="5FF6CEE3" w14:textId="77777777" w:rsidR="00241417" w:rsidRPr="006C7AF4" w:rsidRDefault="00241417" w:rsidP="00241417">
      <w:pPr>
        <w:pStyle w:val="B10"/>
        <w:rPr>
          <w:lang w:val="en-US"/>
        </w:rPr>
      </w:pPr>
      <w:r w:rsidRPr="006C7AF4">
        <w:rPr>
          <w:lang w:val="en-US"/>
        </w:rPr>
        <w:t>-</w:t>
      </w:r>
      <w:r w:rsidRPr="006C7AF4">
        <w:rPr>
          <w:lang w:val="en-US"/>
        </w:rPr>
        <w:tab/>
        <w:t>FRC parameters are specified in table A.2.1-1 for FR1 PUSCH with transform precoding disabled, Additional DM-RS position = pos1 and 1 transmission layer.</w:t>
      </w:r>
    </w:p>
    <w:p w14:paraId="1A6BB85A" w14:textId="77777777" w:rsidR="00241417" w:rsidRPr="006C7AF4" w:rsidRDefault="00241417" w:rsidP="00241417">
      <w:pPr>
        <w:pStyle w:val="B10"/>
        <w:rPr>
          <w:lang w:val="en-US"/>
        </w:rPr>
      </w:pPr>
      <w:r w:rsidRPr="006C7AF4">
        <w:rPr>
          <w:lang w:val="en-US"/>
        </w:rPr>
        <w:t xml:space="preserve">- </w:t>
      </w:r>
      <w:r w:rsidRPr="006C7AF4">
        <w:rPr>
          <w:lang w:val="en-US"/>
        </w:rPr>
        <w:tab/>
        <w:t>FRC parameters are specified in table A.2.1-2 for FR1 PUSCH with transform precoding disabled, Additional DM-RS position = pos1 and 2 transmission layers.</w:t>
      </w:r>
    </w:p>
    <w:p w14:paraId="318C1F06" w14:textId="77777777" w:rsidR="00241417" w:rsidRPr="006C7AF4" w:rsidRDefault="00241417" w:rsidP="00241417">
      <w:pPr>
        <w:pStyle w:val="B10"/>
        <w:rPr>
          <w:lang w:val="en-US"/>
        </w:rPr>
      </w:pPr>
      <w:r w:rsidRPr="006C7AF4">
        <w:rPr>
          <w:lang w:val="en-US"/>
        </w:rPr>
        <w:t>-</w:t>
      </w:r>
      <w:r w:rsidRPr="006C7AF4">
        <w:rPr>
          <w:lang w:val="en-US"/>
        </w:rPr>
        <w:tab/>
        <w:t xml:space="preserve">FRC parameters are specified in table A.2.1-3 for FR1 PUSCH with transform precoding enabled, Additional DM-RS position = pos1 and 1 transmission layer. </w:t>
      </w:r>
    </w:p>
    <w:p w14:paraId="678F0A36" w14:textId="77777777" w:rsidR="00241417" w:rsidRPr="006C7AF4" w:rsidRDefault="00241417" w:rsidP="00241417">
      <w:pPr>
        <w:pStyle w:val="B10"/>
      </w:pPr>
      <w:r w:rsidRPr="00766BC2">
        <w:lastRenderedPageBreak/>
        <w:t>The parameters for the reference measurement channels are specified in table A.</w:t>
      </w:r>
      <w:r w:rsidRPr="006C7AF4">
        <w:t>2.1</w:t>
      </w:r>
      <w:r w:rsidRPr="000E0FC8">
        <w:t>-</w:t>
      </w:r>
      <w:r w:rsidRPr="006C7AF4">
        <w:t>4</w:t>
      </w:r>
      <w:r w:rsidRPr="000E0FC8">
        <w:t xml:space="preserve"> </w:t>
      </w:r>
      <w:r w:rsidRPr="006C7AF4">
        <w:t>to table A.2.1-</w:t>
      </w:r>
      <w:r>
        <w:t>9</w:t>
      </w:r>
      <w:r w:rsidRPr="006C7AF4">
        <w:t xml:space="preserve"> </w:t>
      </w:r>
      <w:r w:rsidRPr="000E0FC8">
        <w:t>for FR</w:t>
      </w:r>
      <w:r w:rsidRPr="006C7AF4">
        <w:t>2</w:t>
      </w:r>
      <w:r w:rsidRPr="000E0FC8">
        <w:t xml:space="preserve"> PUSCH performance requirements</w:t>
      </w:r>
      <w:r w:rsidRPr="006C7AF4">
        <w:t>:</w:t>
      </w:r>
    </w:p>
    <w:p w14:paraId="75879C12" w14:textId="77777777" w:rsidR="00241417" w:rsidRPr="00766BC2" w:rsidRDefault="00241417" w:rsidP="00241417">
      <w:pPr>
        <w:pStyle w:val="B10"/>
      </w:pPr>
      <w:r w:rsidRPr="000E0FC8">
        <w:t>-</w:t>
      </w:r>
      <w:r w:rsidRPr="000E0FC8">
        <w:tab/>
      </w:r>
      <w:r w:rsidRPr="006C7AF4">
        <w:t xml:space="preserve">FRC parameters </w:t>
      </w:r>
      <w:r w:rsidRPr="000E0FC8">
        <w:t xml:space="preserve">are specified in table A.2.1-4 for FR2 PUSCH with transform precoding disabled, </w:t>
      </w:r>
      <w:r w:rsidRPr="006C7AF4">
        <w:t>Additional DM-RS position = pos0</w:t>
      </w:r>
      <w:r w:rsidRPr="000E0FC8">
        <w:t xml:space="preserve"> and 1 transmission layer. </w:t>
      </w:r>
    </w:p>
    <w:p w14:paraId="6E7B524D" w14:textId="77777777" w:rsidR="00241417" w:rsidRPr="00766BC2" w:rsidRDefault="00241417" w:rsidP="00241417">
      <w:pPr>
        <w:pStyle w:val="B10"/>
      </w:pPr>
      <w:r w:rsidRPr="00766BC2">
        <w:t>-</w:t>
      </w:r>
      <w:r w:rsidRPr="00766BC2">
        <w:tab/>
      </w:r>
      <w:r w:rsidRPr="006C7AF4">
        <w:t xml:space="preserve">FRC parameters </w:t>
      </w:r>
      <w:r w:rsidRPr="000E0FC8">
        <w:t xml:space="preserve">are specified in table A.2.1-5 for FR2 PUSCH with transform precoding disabled, </w:t>
      </w:r>
      <w:r w:rsidRPr="006C7AF4">
        <w:t>Additional DM-RS position = pos0</w:t>
      </w:r>
      <w:r w:rsidRPr="000E0FC8">
        <w:t xml:space="preserve"> and 2 transmission layers. </w:t>
      </w:r>
    </w:p>
    <w:p w14:paraId="0C11463E" w14:textId="77777777" w:rsidR="00241417" w:rsidRPr="006C7AF4" w:rsidRDefault="00241417" w:rsidP="00241417">
      <w:pPr>
        <w:pStyle w:val="B10"/>
      </w:pPr>
      <w:r w:rsidRPr="00766BC2">
        <w:t>-</w:t>
      </w:r>
      <w:r w:rsidRPr="00766BC2">
        <w:tab/>
      </w:r>
      <w:r w:rsidRPr="006C7AF4">
        <w:t xml:space="preserve">FRC parameters </w:t>
      </w:r>
      <w:r w:rsidRPr="000E0FC8">
        <w:t xml:space="preserve">are specified in table A.2.1-6 for FR2 PUSCH with transform precoding enabled, </w:t>
      </w:r>
      <w:r w:rsidRPr="006C7AF4">
        <w:t>Additional DM-RS position = pos0</w:t>
      </w:r>
      <w:r w:rsidRPr="000E0FC8">
        <w:t xml:space="preserve"> and 1 transmission layer.</w:t>
      </w:r>
      <w:r w:rsidRPr="006C7AF4">
        <w:t xml:space="preserve"> </w:t>
      </w:r>
    </w:p>
    <w:p w14:paraId="0DC06C27" w14:textId="77777777" w:rsidR="00241417" w:rsidRPr="00766BC2" w:rsidRDefault="00241417" w:rsidP="00241417">
      <w:pPr>
        <w:pStyle w:val="B10"/>
      </w:pPr>
      <w:r w:rsidRPr="000E0FC8">
        <w:t>-</w:t>
      </w:r>
      <w:r w:rsidRPr="000E0FC8">
        <w:tab/>
      </w:r>
      <w:r w:rsidRPr="006C7AF4">
        <w:t xml:space="preserve">FRC parameters </w:t>
      </w:r>
      <w:r w:rsidRPr="000E0FC8">
        <w:t>are specified in table A.2.1-</w:t>
      </w:r>
      <w:r w:rsidRPr="006C7AF4">
        <w:t>7</w:t>
      </w:r>
      <w:r w:rsidRPr="000E0FC8">
        <w:t xml:space="preserve"> for FR2 PUSCH with transform precoding disabled, </w:t>
      </w:r>
      <w:r w:rsidRPr="006C7AF4">
        <w:t>Additional DM-RS position = pos1</w:t>
      </w:r>
      <w:r w:rsidRPr="000E0FC8">
        <w:t xml:space="preserve"> and 1 transmission layer. </w:t>
      </w:r>
    </w:p>
    <w:p w14:paraId="2A01CD6A" w14:textId="77777777" w:rsidR="00241417" w:rsidRPr="00766BC2" w:rsidRDefault="00241417" w:rsidP="00241417">
      <w:pPr>
        <w:pStyle w:val="B10"/>
      </w:pPr>
      <w:r w:rsidRPr="00766BC2">
        <w:t>-</w:t>
      </w:r>
      <w:r w:rsidRPr="00766BC2">
        <w:tab/>
      </w:r>
      <w:r w:rsidRPr="006C7AF4">
        <w:t xml:space="preserve">FRC parameters </w:t>
      </w:r>
      <w:r w:rsidRPr="000E0FC8">
        <w:t>are specified in table A.2.1-</w:t>
      </w:r>
      <w:r w:rsidRPr="006C7AF4">
        <w:t>8</w:t>
      </w:r>
      <w:r w:rsidRPr="000E0FC8">
        <w:t xml:space="preserve"> for FR2 PUSCH with transform precoding disabled, </w:t>
      </w:r>
      <w:r w:rsidRPr="006C7AF4">
        <w:t>Additional DM-RS position = pos1</w:t>
      </w:r>
      <w:r w:rsidRPr="000E0FC8">
        <w:t xml:space="preserve"> and 2 transmission layers. </w:t>
      </w:r>
    </w:p>
    <w:p w14:paraId="22322CA8" w14:textId="77777777" w:rsidR="00241417" w:rsidRPr="00766BC2" w:rsidRDefault="00241417" w:rsidP="00241417">
      <w:pPr>
        <w:pStyle w:val="B10"/>
      </w:pPr>
      <w:r w:rsidRPr="00766BC2">
        <w:t>-</w:t>
      </w:r>
      <w:r w:rsidRPr="00766BC2">
        <w:tab/>
      </w:r>
      <w:r w:rsidRPr="006C7AF4">
        <w:t xml:space="preserve">FRC parameters </w:t>
      </w:r>
      <w:r w:rsidRPr="000E0FC8">
        <w:t>are specified in table A.2.1-</w:t>
      </w:r>
      <w:r w:rsidRPr="006C7AF4">
        <w:t>9</w:t>
      </w:r>
      <w:r w:rsidRPr="000E0FC8">
        <w:t xml:space="preserve"> for FR2 PUSCH with transform precoding enabled, </w:t>
      </w:r>
      <w:r w:rsidRPr="006C7AF4">
        <w:t>Additional DM-RS position = pos1</w:t>
      </w:r>
      <w:r w:rsidRPr="000E0FC8">
        <w:t xml:space="preserve"> and 1 transmissi</w:t>
      </w:r>
      <w:r w:rsidRPr="00766BC2">
        <w:t>on layer.</w:t>
      </w:r>
    </w:p>
    <w:p w14:paraId="609C76E4" w14:textId="77777777" w:rsidR="00241417" w:rsidRPr="000E0FC8" w:rsidRDefault="00241417" w:rsidP="00241417">
      <w:pPr>
        <w:rPr>
          <w:lang w:eastAsia="zh-CN"/>
        </w:rPr>
      </w:pPr>
    </w:p>
    <w:p w14:paraId="6D89F46C" w14:textId="77777777" w:rsidR="00241417" w:rsidRPr="004C46B7" w:rsidRDefault="00241417" w:rsidP="00241417">
      <w:pPr>
        <w:pStyle w:val="TH"/>
        <w:rPr>
          <w:lang w:eastAsia="zh-CN"/>
        </w:rPr>
      </w:pPr>
      <w:r w:rsidRPr="004C46B7">
        <w:rPr>
          <w:rFonts w:eastAsia="Malgun Gothic"/>
        </w:rPr>
        <w:t>Table A.2.1</w:t>
      </w:r>
      <w:r w:rsidRPr="008B038E">
        <w:rPr>
          <w:rFonts w:eastAsia="Malgun Gothic"/>
        </w:rPr>
        <w:t>-</w:t>
      </w:r>
      <w:r w:rsidRPr="005439D8">
        <w:rPr>
          <w:lang w:eastAsia="zh-CN"/>
        </w:rPr>
        <w:t>1</w:t>
      </w:r>
      <w:r w:rsidRPr="00FE146D">
        <w:rPr>
          <w:rFonts w:eastAsia="Malgun Gothic"/>
        </w:rPr>
        <w:t>: FRC parameters for</w:t>
      </w:r>
      <w:r w:rsidRPr="00FE146D">
        <w:rPr>
          <w:lang w:eastAsia="zh-CN"/>
        </w:rPr>
        <w:t xml:space="preserve"> FR1 PUSCH </w:t>
      </w:r>
      <w:r w:rsidRPr="00EF40AF">
        <w:rPr>
          <w:rFonts w:eastAsia="Malgun Gothic"/>
        </w:rPr>
        <w:t>performance requirements</w:t>
      </w:r>
      <w:r w:rsidRPr="00EF40AF">
        <w:rPr>
          <w:lang w:eastAsia="zh-CN"/>
        </w:rPr>
        <w:t xml:space="preserve">, transform precoding disabled, </w:t>
      </w:r>
      <w:r w:rsidRPr="00CD5E5F">
        <w:rPr>
          <w:i/>
          <w:lang w:eastAsia="zh-CN"/>
        </w:rPr>
        <w:t>Additional DM-RS position = pos1</w:t>
      </w:r>
      <w:r w:rsidRPr="00CD5E5F">
        <w:rPr>
          <w:lang w:eastAsia="zh-CN"/>
        </w:rPr>
        <w:t xml:space="preserve"> and 1 transmission layer</w:t>
      </w:r>
      <w:r w:rsidRPr="00CD5E5F">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1"/>
        <w:gridCol w:w="1070"/>
        <w:gridCol w:w="1071"/>
        <w:gridCol w:w="1070"/>
        <w:gridCol w:w="1071"/>
        <w:gridCol w:w="1070"/>
        <w:gridCol w:w="1071"/>
        <w:gridCol w:w="1071"/>
      </w:tblGrid>
      <w:tr w:rsidR="00241417" w:rsidRPr="004710DC" w14:paraId="572C83C4" w14:textId="77777777" w:rsidTr="003A71DE">
        <w:trPr>
          <w:cantSplit/>
          <w:jc w:val="center"/>
        </w:trPr>
        <w:tc>
          <w:tcPr>
            <w:tcW w:w="2421" w:type="dxa"/>
          </w:tcPr>
          <w:p w14:paraId="6072CD24" w14:textId="77777777" w:rsidR="00241417" w:rsidRPr="004710DC" w:rsidRDefault="00241417" w:rsidP="003A71DE">
            <w:pPr>
              <w:pStyle w:val="TAH"/>
            </w:pPr>
            <w:r w:rsidRPr="004710DC">
              <w:t>Reference channel</w:t>
            </w:r>
          </w:p>
        </w:tc>
        <w:tc>
          <w:tcPr>
            <w:tcW w:w="1070" w:type="dxa"/>
          </w:tcPr>
          <w:p w14:paraId="2F34CC4D" w14:textId="77777777" w:rsidR="00241417" w:rsidRPr="004710DC" w:rsidRDefault="00241417" w:rsidP="003A71DE">
            <w:pPr>
              <w:pStyle w:val="TAH"/>
            </w:pPr>
            <w:r>
              <w:rPr>
                <w:lang w:eastAsia="zh-CN"/>
              </w:rPr>
              <w:t>D-FR1-A.2.1</w:t>
            </w:r>
            <w:r w:rsidRPr="004710DC">
              <w:rPr>
                <w:lang w:eastAsia="zh-CN"/>
              </w:rPr>
              <w:t>-</w:t>
            </w:r>
            <w:r>
              <w:rPr>
                <w:lang w:eastAsia="zh-CN"/>
              </w:rPr>
              <w:t>1</w:t>
            </w:r>
          </w:p>
        </w:tc>
        <w:tc>
          <w:tcPr>
            <w:tcW w:w="1071" w:type="dxa"/>
          </w:tcPr>
          <w:p w14:paraId="178E60DE" w14:textId="77777777" w:rsidR="00241417" w:rsidRPr="004710DC" w:rsidRDefault="00241417" w:rsidP="003A71DE">
            <w:pPr>
              <w:pStyle w:val="TAH"/>
            </w:pPr>
            <w:r>
              <w:rPr>
                <w:lang w:eastAsia="zh-CN"/>
              </w:rPr>
              <w:t>D-FR1-A.2.1</w:t>
            </w:r>
            <w:r w:rsidRPr="004710DC">
              <w:rPr>
                <w:lang w:eastAsia="zh-CN"/>
              </w:rPr>
              <w:t>-</w:t>
            </w:r>
            <w:r>
              <w:rPr>
                <w:lang w:eastAsia="zh-CN"/>
              </w:rPr>
              <w:t>2</w:t>
            </w:r>
          </w:p>
        </w:tc>
        <w:tc>
          <w:tcPr>
            <w:tcW w:w="1070" w:type="dxa"/>
          </w:tcPr>
          <w:p w14:paraId="4C26F5A5" w14:textId="77777777" w:rsidR="00241417" w:rsidRPr="004710DC" w:rsidRDefault="00241417" w:rsidP="003A71DE">
            <w:pPr>
              <w:pStyle w:val="TAH"/>
            </w:pPr>
            <w:r>
              <w:rPr>
                <w:lang w:eastAsia="zh-CN"/>
              </w:rPr>
              <w:t>D-FR1-A.2.1</w:t>
            </w:r>
            <w:r w:rsidRPr="004710DC">
              <w:rPr>
                <w:lang w:eastAsia="zh-CN"/>
              </w:rPr>
              <w:t>-</w:t>
            </w:r>
            <w:r>
              <w:rPr>
                <w:lang w:eastAsia="zh-CN"/>
              </w:rPr>
              <w:t>3</w:t>
            </w:r>
          </w:p>
        </w:tc>
        <w:tc>
          <w:tcPr>
            <w:tcW w:w="1071" w:type="dxa"/>
          </w:tcPr>
          <w:p w14:paraId="0DAAA259" w14:textId="77777777" w:rsidR="00241417" w:rsidRPr="004710DC" w:rsidRDefault="00241417" w:rsidP="003A71DE">
            <w:pPr>
              <w:pStyle w:val="TAH"/>
            </w:pPr>
            <w:r>
              <w:rPr>
                <w:lang w:eastAsia="zh-CN"/>
              </w:rPr>
              <w:t>D-FR1-A.2.1</w:t>
            </w:r>
            <w:r w:rsidRPr="004710DC">
              <w:rPr>
                <w:lang w:eastAsia="zh-CN"/>
              </w:rPr>
              <w:t>-</w:t>
            </w:r>
            <w:r>
              <w:rPr>
                <w:lang w:eastAsia="zh-CN"/>
              </w:rPr>
              <w:t>4</w:t>
            </w:r>
          </w:p>
        </w:tc>
        <w:tc>
          <w:tcPr>
            <w:tcW w:w="1070" w:type="dxa"/>
          </w:tcPr>
          <w:p w14:paraId="6622D6EB" w14:textId="77777777" w:rsidR="00241417" w:rsidRPr="004710DC" w:rsidRDefault="00241417" w:rsidP="003A71DE">
            <w:pPr>
              <w:pStyle w:val="TAH"/>
            </w:pPr>
            <w:r>
              <w:rPr>
                <w:lang w:eastAsia="zh-CN"/>
              </w:rPr>
              <w:t>D-FR1-A.2.1-5</w:t>
            </w:r>
          </w:p>
        </w:tc>
        <w:tc>
          <w:tcPr>
            <w:tcW w:w="1071" w:type="dxa"/>
          </w:tcPr>
          <w:p w14:paraId="619BE41D" w14:textId="77777777" w:rsidR="00241417" w:rsidRPr="004710DC" w:rsidRDefault="00241417" w:rsidP="003A71DE">
            <w:pPr>
              <w:pStyle w:val="TAH"/>
            </w:pPr>
            <w:r>
              <w:rPr>
                <w:lang w:eastAsia="zh-CN"/>
              </w:rPr>
              <w:t>D-FR1-A.2.1</w:t>
            </w:r>
            <w:r w:rsidRPr="004710DC">
              <w:rPr>
                <w:lang w:eastAsia="zh-CN"/>
              </w:rPr>
              <w:t>-</w:t>
            </w:r>
            <w:r>
              <w:rPr>
                <w:lang w:eastAsia="zh-CN"/>
              </w:rPr>
              <w:t>6</w:t>
            </w:r>
          </w:p>
        </w:tc>
        <w:tc>
          <w:tcPr>
            <w:tcW w:w="1071" w:type="dxa"/>
          </w:tcPr>
          <w:p w14:paraId="348B1835" w14:textId="77777777" w:rsidR="00241417" w:rsidRPr="004710DC" w:rsidRDefault="00241417" w:rsidP="003A71DE">
            <w:pPr>
              <w:pStyle w:val="TAH"/>
              <w:rPr>
                <w:lang w:eastAsia="zh-CN"/>
              </w:rPr>
            </w:pPr>
            <w:r>
              <w:rPr>
                <w:lang w:eastAsia="zh-CN"/>
              </w:rPr>
              <w:t>D-FR1-A.2.1</w:t>
            </w:r>
            <w:r w:rsidRPr="004710DC">
              <w:rPr>
                <w:lang w:eastAsia="zh-CN"/>
              </w:rPr>
              <w:t>-</w:t>
            </w:r>
            <w:r>
              <w:rPr>
                <w:lang w:eastAsia="zh-CN"/>
              </w:rPr>
              <w:t>7</w:t>
            </w:r>
          </w:p>
        </w:tc>
      </w:tr>
      <w:tr w:rsidR="00241417" w:rsidRPr="004710DC" w14:paraId="17FF9B75" w14:textId="77777777" w:rsidTr="003A71DE">
        <w:trPr>
          <w:cantSplit/>
          <w:jc w:val="center"/>
        </w:trPr>
        <w:tc>
          <w:tcPr>
            <w:tcW w:w="2421" w:type="dxa"/>
          </w:tcPr>
          <w:p w14:paraId="61C7E03A" w14:textId="77777777" w:rsidR="00241417" w:rsidRPr="004710DC" w:rsidRDefault="00241417" w:rsidP="003A71DE">
            <w:pPr>
              <w:pStyle w:val="TAC"/>
              <w:rPr>
                <w:lang w:eastAsia="zh-CN"/>
              </w:rPr>
            </w:pPr>
            <w:r w:rsidRPr="004710DC">
              <w:rPr>
                <w:lang w:eastAsia="zh-CN"/>
              </w:rPr>
              <w:t>Subcarrier spacing [kHz]</w:t>
            </w:r>
          </w:p>
        </w:tc>
        <w:tc>
          <w:tcPr>
            <w:tcW w:w="1070" w:type="dxa"/>
          </w:tcPr>
          <w:p w14:paraId="4BF1EBBC" w14:textId="77777777" w:rsidR="00241417" w:rsidRPr="004710DC" w:rsidRDefault="00241417" w:rsidP="003A71DE">
            <w:pPr>
              <w:pStyle w:val="TAC"/>
              <w:rPr>
                <w:lang w:eastAsia="zh-CN"/>
              </w:rPr>
            </w:pPr>
            <w:r w:rsidRPr="004710DC">
              <w:rPr>
                <w:lang w:eastAsia="zh-CN"/>
              </w:rPr>
              <w:t>15</w:t>
            </w:r>
          </w:p>
        </w:tc>
        <w:tc>
          <w:tcPr>
            <w:tcW w:w="1071" w:type="dxa"/>
          </w:tcPr>
          <w:p w14:paraId="1AED5CE5" w14:textId="77777777" w:rsidR="00241417" w:rsidRPr="004710DC" w:rsidRDefault="00241417" w:rsidP="003A71DE">
            <w:pPr>
              <w:pStyle w:val="TAC"/>
            </w:pPr>
            <w:r w:rsidRPr="004710DC">
              <w:rPr>
                <w:lang w:eastAsia="zh-CN"/>
              </w:rPr>
              <w:t>15</w:t>
            </w:r>
          </w:p>
        </w:tc>
        <w:tc>
          <w:tcPr>
            <w:tcW w:w="1070" w:type="dxa"/>
          </w:tcPr>
          <w:p w14:paraId="1F118F9D" w14:textId="77777777" w:rsidR="00241417" w:rsidRPr="004710DC" w:rsidRDefault="00241417" w:rsidP="003A71DE">
            <w:pPr>
              <w:pStyle w:val="TAC"/>
            </w:pPr>
            <w:r w:rsidRPr="004710DC">
              <w:rPr>
                <w:lang w:eastAsia="zh-CN"/>
              </w:rPr>
              <w:t>15</w:t>
            </w:r>
          </w:p>
        </w:tc>
        <w:tc>
          <w:tcPr>
            <w:tcW w:w="1071" w:type="dxa"/>
          </w:tcPr>
          <w:p w14:paraId="7FBF4C61" w14:textId="77777777" w:rsidR="00241417" w:rsidRPr="004710DC" w:rsidRDefault="00241417" w:rsidP="003A71DE">
            <w:pPr>
              <w:pStyle w:val="TAC"/>
            </w:pPr>
            <w:r w:rsidRPr="004710DC">
              <w:rPr>
                <w:lang w:eastAsia="zh-CN"/>
              </w:rPr>
              <w:t>30</w:t>
            </w:r>
          </w:p>
        </w:tc>
        <w:tc>
          <w:tcPr>
            <w:tcW w:w="1070" w:type="dxa"/>
          </w:tcPr>
          <w:p w14:paraId="68E216FA" w14:textId="77777777" w:rsidR="00241417" w:rsidRPr="004710DC" w:rsidRDefault="00241417" w:rsidP="003A71DE">
            <w:pPr>
              <w:pStyle w:val="TAC"/>
            </w:pPr>
            <w:r w:rsidRPr="004710DC">
              <w:rPr>
                <w:lang w:eastAsia="zh-CN"/>
              </w:rPr>
              <w:t>30</w:t>
            </w:r>
          </w:p>
        </w:tc>
        <w:tc>
          <w:tcPr>
            <w:tcW w:w="1071" w:type="dxa"/>
          </w:tcPr>
          <w:p w14:paraId="44986AD5" w14:textId="77777777" w:rsidR="00241417" w:rsidRPr="004710DC" w:rsidRDefault="00241417" w:rsidP="003A71DE">
            <w:pPr>
              <w:pStyle w:val="TAC"/>
            </w:pPr>
            <w:r w:rsidRPr="004710DC">
              <w:rPr>
                <w:lang w:eastAsia="zh-CN"/>
              </w:rPr>
              <w:t>30</w:t>
            </w:r>
          </w:p>
        </w:tc>
        <w:tc>
          <w:tcPr>
            <w:tcW w:w="1071" w:type="dxa"/>
          </w:tcPr>
          <w:p w14:paraId="26474A71" w14:textId="77777777" w:rsidR="00241417" w:rsidRPr="004710DC" w:rsidRDefault="00241417" w:rsidP="003A71DE">
            <w:pPr>
              <w:pStyle w:val="TAC"/>
            </w:pPr>
            <w:r w:rsidRPr="004710DC">
              <w:rPr>
                <w:lang w:eastAsia="zh-CN"/>
              </w:rPr>
              <w:t>30</w:t>
            </w:r>
          </w:p>
        </w:tc>
      </w:tr>
      <w:tr w:rsidR="00241417" w:rsidRPr="004710DC" w14:paraId="2946C3A5" w14:textId="77777777" w:rsidTr="003A71DE">
        <w:trPr>
          <w:cantSplit/>
          <w:jc w:val="center"/>
        </w:trPr>
        <w:tc>
          <w:tcPr>
            <w:tcW w:w="2421" w:type="dxa"/>
          </w:tcPr>
          <w:p w14:paraId="43FB9924" w14:textId="77777777" w:rsidR="00241417" w:rsidRPr="004710DC" w:rsidRDefault="00241417" w:rsidP="003A71DE">
            <w:pPr>
              <w:pStyle w:val="TAC"/>
            </w:pPr>
            <w:r w:rsidRPr="004710DC">
              <w:t>Allocated resource blocks</w:t>
            </w:r>
          </w:p>
        </w:tc>
        <w:tc>
          <w:tcPr>
            <w:tcW w:w="1070" w:type="dxa"/>
          </w:tcPr>
          <w:p w14:paraId="262ED86A" w14:textId="77777777" w:rsidR="00241417" w:rsidRPr="004710DC" w:rsidRDefault="00241417" w:rsidP="003A71DE">
            <w:pPr>
              <w:pStyle w:val="TAC"/>
            </w:pPr>
            <w:r w:rsidRPr="004710DC">
              <w:t>25</w:t>
            </w:r>
          </w:p>
        </w:tc>
        <w:tc>
          <w:tcPr>
            <w:tcW w:w="1071" w:type="dxa"/>
          </w:tcPr>
          <w:p w14:paraId="6E312848" w14:textId="77777777" w:rsidR="00241417" w:rsidRPr="004710DC" w:rsidRDefault="00241417" w:rsidP="003A71DE">
            <w:pPr>
              <w:pStyle w:val="TAC"/>
            </w:pPr>
            <w:r w:rsidRPr="004710DC">
              <w:t>52</w:t>
            </w:r>
          </w:p>
        </w:tc>
        <w:tc>
          <w:tcPr>
            <w:tcW w:w="1070" w:type="dxa"/>
          </w:tcPr>
          <w:p w14:paraId="6EE340D3" w14:textId="77777777" w:rsidR="00241417" w:rsidRPr="004710DC" w:rsidRDefault="00241417" w:rsidP="003A71DE">
            <w:pPr>
              <w:pStyle w:val="TAC"/>
              <w:rPr>
                <w:lang w:eastAsia="zh-CN"/>
              </w:rPr>
            </w:pPr>
            <w:r w:rsidRPr="004710DC">
              <w:rPr>
                <w:lang w:eastAsia="zh-CN"/>
              </w:rPr>
              <w:t>106</w:t>
            </w:r>
          </w:p>
        </w:tc>
        <w:tc>
          <w:tcPr>
            <w:tcW w:w="1071" w:type="dxa"/>
          </w:tcPr>
          <w:p w14:paraId="1F3AC36F" w14:textId="77777777" w:rsidR="00241417" w:rsidRPr="004710DC" w:rsidRDefault="00241417" w:rsidP="003A71DE">
            <w:pPr>
              <w:pStyle w:val="TAC"/>
            </w:pPr>
            <w:r w:rsidRPr="004710DC">
              <w:t>24</w:t>
            </w:r>
          </w:p>
        </w:tc>
        <w:tc>
          <w:tcPr>
            <w:tcW w:w="1070" w:type="dxa"/>
          </w:tcPr>
          <w:p w14:paraId="2C6838A4" w14:textId="77777777" w:rsidR="00241417" w:rsidRPr="004710DC" w:rsidRDefault="00241417" w:rsidP="003A71DE">
            <w:pPr>
              <w:pStyle w:val="TAC"/>
            </w:pPr>
            <w:r w:rsidRPr="004710DC">
              <w:t>51</w:t>
            </w:r>
          </w:p>
        </w:tc>
        <w:tc>
          <w:tcPr>
            <w:tcW w:w="1071" w:type="dxa"/>
          </w:tcPr>
          <w:p w14:paraId="3551B1B6" w14:textId="77777777" w:rsidR="00241417" w:rsidRPr="004710DC" w:rsidRDefault="00241417" w:rsidP="003A71DE">
            <w:pPr>
              <w:pStyle w:val="TAC"/>
            </w:pPr>
            <w:r w:rsidRPr="004710DC">
              <w:t>106</w:t>
            </w:r>
          </w:p>
        </w:tc>
        <w:tc>
          <w:tcPr>
            <w:tcW w:w="1071" w:type="dxa"/>
          </w:tcPr>
          <w:p w14:paraId="1A1B6D8F" w14:textId="77777777" w:rsidR="00241417" w:rsidRPr="004710DC" w:rsidRDefault="00241417" w:rsidP="003A71DE">
            <w:pPr>
              <w:pStyle w:val="TAC"/>
            </w:pPr>
            <w:r w:rsidRPr="004710DC">
              <w:t>273</w:t>
            </w:r>
          </w:p>
        </w:tc>
      </w:tr>
      <w:tr w:rsidR="00241417" w:rsidRPr="004710DC" w14:paraId="28625260" w14:textId="77777777" w:rsidTr="003A71DE">
        <w:trPr>
          <w:cantSplit/>
          <w:jc w:val="center"/>
        </w:trPr>
        <w:tc>
          <w:tcPr>
            <w:tcW w:w="2421" w:type="dxa"/>
          </w:tcPr>
          <w:p w14:paraId="1ACC495D"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0" w:type="dxa"/>
          </w:tcPr>
          <w:p w14:paraId="2A274602" w14:textId="77777777" w:rsidR="00241417" w:rsidRPr="004710DC" w:rsidRDefault="00241417" w:rsidP="003A71DE">
            <w:pPr>
              <w:pStyle w:val="TAC"/>
              <w:rPr>
                <w:lang w:eastAsia="zh-CN"/>
              </w:rPr>
            </w:pPr>
            <w:r w:rsidRPr="004710DC">
              <w:rPr>
                <w:lang w:eastAsia="zh-CN"/>
              </w:rPr>
              <w:t>12</w:t>
            </w:r>
          </w:p>
        </w:tc>
        <w:tc>
          <w:tcPr>
            <w:tcW w:w="1071" w:type="dxa"/>
          </w:tcPr>
          <w:p w14:paraId="3FB590AB" w14:textId="77777777" w:rsidR="00241417" w:rsidRPr="004710DC" w:rsidRDefault="00241417" w:rsidP="003A71DE">
            <w:pPr>
              <w:pStyle w:val="TAC"/>
            </w:pPr>
            <w:r w:rsidRPr="004710DC">
              <w:rPr>
                <w:lang w:eastAsia="zh-CN"/>
              </w:rPr>
              <w:t>12</w:t>
            </w:r>
          </w:p>
        </w:tc>
        <w:tc>
          <w:tcPr>
            <w:tcW w:w="1070" w:type="dxa"/>
          </w:tcPr>
          <w:p w14:paraId="337BD713" w14:textId="77777777" w:rsidR="00241417" w:rsidRPr="004710DC" w:rsidRDefault="00241417" w:rsidP="003A71DE">
            <w:pPr>
              <w:pStyle w:val="TAC"/>
            </w:pPr>
            <w:r w:rsidRPr="004710DC">
              <w:rPr>
                <w:lang w:eastAsia="zh-CN"/>
              </w:rPr>
              <w:t>12</w:t>
            </w:r>
          </w:p>
        </w:tc>
        <w:tc>
          <w:tcPr>
            <w:tcW w:w="1071" w:type="dxa"/>
          </w:tcPr>
          <w:p w14:paraId="30F6BD69" w14:textId="77777777" w:rsidR="00241417" w:rsidRPr="004710DC" w:rsidRDefault="00241417" w:rsidP="003A71DE">
            <w:pPr>
              <w:pStyle w:val="TAC"/>
            </w:pPr>
            <w:r w:rsidRPr="004710DC">
              <w:rPr>
                <w:lang w:eastAsia="zh-CN"/>
              </w:rPr>
              <w:t>12</w:t>
            </w:r>
          </w:p>
        </w:tc>
        <w:tc>
          <w:tcPr>
            <w:tcW w:w="1070" w:type="dxa"/>
          </w:tcPr>
          <w:p w14:paraId="04CD1FE4" w14:textId="77777777" w:rsidR="00241417" w:rsidRPr="004710DC" w:rsidRDefault="00241417" w:rsidP="003A71DE">
            <w:pPr>
              <w:pStyle w:val="TAC"/>
            </w:pPr>
            <w:r w:rsidRPr="004710DC">
              <w:rPr>
                <w:lang w:eastAsia="zh-CN"/>
              </w:rPr>
              <w:t>12</w:t>
            </w:r>
          </w:p>
        </w:tc>
        <w:tc>
          <w:tcPr>
            <w:tcW w:w="1071" w:type="dxa"/>
          </w:tcPr>
          <w:p w14:paraId="4C4D30E3" w14:textId="77777777" w:rsidR="00241417" w:rsidRPr="004710DC" w:rsidRDefault="00241417" w:rsidP="003A71DE">
            <w:pPr>
              <w:pStyle w:val="TAC"/>
            </w:pPr>
            <w:r w:rsidRPr="004710DC">
              <w:rPr>
                <w:lang w:eastAsia="zh-CN"/>
              </w:rPr>
              <w:t>12</w:t>
            </w:r>
          </w:p>
        </w:tc>
        <w:tc>
          <w:tcPr>
            <w:tcW w:w="1071" w:type="dxa"/>
          </w:tcPr>
          <w:p w14:paraId="4859641C" w14:textId="77777777" w:rsidR="00241417" w:rsidRPr="004710DC" w:rsidRDefault="00241417" w:rsidP="003A71DE">
            <w:pPr>
              <w:pStyle w:val="TAC"/>
            </w:pPr>
            <w:r w:rsidRPr="004710DC">
              <w:rPr>
                <w:lang w:eastAsia="zh-CN"/>
              </w:rPr>
              <w:t>12</w:t>
            </w:r>
          </w:p>
        </w:tc>
      </w:tr>
      <w:tr w:rsidR="00241417" w:rsidRPr="004710DC" w14:paraId="2F13256E" w14:textId="77777777" w:rsidTr="003A71DE">
        <w:trPr>
          <w:cantSplit/>
          <w:jc w:val="center"/>
        </w:trPr>
        <w:tc>
          <w:tcPr>
            <w:tcW w:w="2421" w:type="dxa"/>
          </w:tcPr>
          <w:p w14:paraId="5EFEFC4C" w14:textId="77777777" w:rsidR="00241417" w:rsidRPr="004710DC" w:rsidRDefault="00241417" w:rsidP="003A71DE">
            <w:pPr>
              <w:pStyle w:val="TAC"/>
            </w:pPr>
            <w:r w:rsidRPr="004710DC">
              <w:t>Modulation</w:t>
            </w:r>
          </w:p>
        </w:tc>
        <w:tc>
          <w:tcPr>
            <w:tcW w:w="1070" w:type="dxa"/>
          </w:tcPr>
          <w:p w14:paraId="7721DE20" w14:textId="77777777" w:rsidR="00241417" w:rsidRPr="004710DC" w:rsidRDefault="00241417" w:rsidP="003A71DE">
            <w:pPr>
              <w:pStyle w:val="TAC"/>
              <w:rPr>
                <w:lang w:eastAsia="zh-CN"/>
              </w:rPr>
            </w:pPr>
            <w:r w:rsidRPr="004710DC">
              <w:rPr>
                <w:lang w:eastAsia="zh-CN"/>
              </w:rPr>
              <w:t>QPSK</w:t>
            </w:r>
          </w:p>
        </w:tc>
        <w:tc>
          <w:tcPr>
            <w:tcW w:w="1071" w:type="dxa"/>
          </w:tcPr>
          <w:p w14:paraId="69536EC1" w14:textId="77777777" w:rsidR="00241417" w:rsidRPr="004710DC" w:rsidRDefault="00241417" w:rsidP="003A71DE">
            <w:pPr>
              <w:pStyle w:val="TAC"/>
              <w:rPr>
                <w:lang w:eastAsia="zh-CN"/>
              </w:rPr>
            </w:pPr>
            <w:r w:rsidRPr="004710DC">
              <w:rPr>
                <w:lang w:eastAsia="zh-CN"/>
              </w:rPr>
              <w:t>QPSK</w:t>
            </w:r>
          </w:p>
        </w:tc>
        <w:tc>
          <w:tcPr>
            <w:tcW w:w="1070" w:type="dxa"/>
          </w:tcPr>
          <w:p w14:paraId="40CCC924" w14:textId="77777777" w:rsidR="00241417" w:rsidRPr="004710DC" w:rsidRDefault="00241417" w:rsidP="003A71DE">
            <w:pPr>
              <w:pStyle w:val="TAC"/>
              <w:rPr>
                <w:lang w:eastAsia="zh-CN"/>
              </w:rPr>
            </w:pPr>
            <w:r w:rsidRPr="004710DC">
              <w:rPr>
                <w:lang w:eastAsia="zh-CN"/>
              </w:rPr>
              <w:t>QPSK</w:t>
            </w:r>
          </w:p>
        </w:tc>
        <w:tc>
          <w:tcPr>
            <w:tcW w:w="1071" w:type="dxa"/>
          </w:tcPr>
          <w:p w14:paraId="0B4D3A8E" w14:textId="77777777" w:rsidR="00241417" w:rsidRPr="004710DC" w:rsidRDefault="00241417" w:rsidP="003A71DE">
            <w:pPr>
              <w:pStyle w:val="TAC"/>
              <w:rPr>
                <w:lang w:eastAsia="zh-CN"/>
              </w:rPr>
            </w:pPr>
            <w:r w:rsidRPr="004710DC">
              <w:rPr>
                <w:lang w:eastAsia="zh-CN"/>
              </w:rPr>
              <w:t>QPSK</w:t>
            </w:r>
          </w:p>
        </w:tc>
        <w:tc>
          <w:tcPr>
            <w:tcW w:w="1070" w:type="dxa"/>
          </w:tcPr>
          <w:p w14:paraId="2CCC1036" w14:textId="77777777" w:rsidR="00241417" w:rsidRPr="004710DC" w:rsidRDefault="00241417" w:rsidP="003A71DE">
            <w:pPr>
              <w:pStyle w:val="TAC"/>
              <w:rPr>
                <w:lang w:eastAsia="zh-CN"/>
              </w:rPr>
            </w:pPr>
            <w:r w:rsidRPr="004710DC">
              <w:rPr>
                <w:lang w:eastAsia="zh-CN"/>
              </w:rPr>
              <w:t>QPSK</w:t>
            </w:r>
          </w:p>
        </w:tc>
        <w:tc>
          <w:tcPr>
            <w:tcW w:w="1071" w:type="dxa"/>
          </w:tcPr>
          <w:p w14:paraId="2B96AB0E" w14:textId="77777777" w:rsidR="00241417" w:rsidRPr="004710DC" w:rsidRDefault="00241417" w:rsidP="003A71DE">
            <w:pPr>
              <w:pStyle w:val="TAC"/>
              <w:rPr>
                <w:lang w:eastAsia="zh-CN"/>
              </w:rPr>
            </w:pPr>
            <w:r w:rsidRPr="004710DC">
              <w:rPr>
                <w:lang w:eastAsia="zh-CN"/>
              </w:rPr>
              <w:t>QPSK</w:t>
            </w:r>
          </w:p>
        </w:tc>
        <w:tc>
          <w:tcPr>
            <w:tcW w:w="1071" w:type="dxa"/>
          </w:tcPr>
          <w:p w14:paraId="4E2CFDD8" w14:textId="77777777" w:rsidR="00241417" w:rsidRPr="004710DC" w:rsidRDefault="00241417" w:rsidP="003A71DE">
            <w:pPr>
              <w:pStyle w:val="TAC"/>
              <w:rPr>
                <w:lang w:eastAsia="zh-CN"/>
              </w:rPr>
            </w:pPr>
            <w:r w:rsidRPr="004710DC">
              <w:rPr>
                <w:lang w:eastAsia="zh-CN"/>
              </w:rPr>
              <w:t>QPSK</w:t>
            </w:r>
          </w:p>
        </w:tc>
      </w:tr>
      <w:tr w:rsidR="00241417" w:rsidRPr="004710DC" w14:paraId="7631B9A3" w14:textId="77777777" w:rsidTr="003A71DE">
        <w:trPr>
          <w:cantSplit/>
          <w:jc w:val="center"/>
        </w:trPr>
        <w:tc>
          <w:tcPr>
            <w:tcW w:w="2421" w:type="dxa"/>
          </w:tcPr>
          <w:p w14:paraId="0C8FBE43" w14:textId="77777777" w:rsidR="00241417" w:rsidRPr="004710DC" w:rsidRDefault="00241417" w:rsidP="003A71DE">
            <w:pPr>
              <w:pStyle w:val="TAC"/>
            </w:pPr>
            <w:r w:rsidRPr="004710DC">
              <w:t>Code rate</w:t>
            </w:r>
          </w:p>
        </w:tc>
        <w:tc>
          <w:tcPr>
            <w:tcW w:w="1070" w:type="dxa"/>
          </w:tcPr>
          <w:p w14:paraId="0182C6E4" w14:textId="77777777" w:rsidR="00241417" w:rsidRPr="004710DC" w:rsidRDefault="00241417" w:rsidP="003A71DE">
            <w:pPr>
              <w:pStyle w:val="TAC"/>
              <w:rPr>
                <w:lang w:eastAsia="zh-CN"/>
              </w:rPr>
            </w:pPr>
            <w:r w:rsidRPr="004710DC">
              <w:rPr>
                <w:lang w:eastAsia="zh-CN"/>
              </w:rPr>
              <w:t>193/1024</w:t>
            </w:r>
          </w:p>
        </w:tc>
        <w:tc>
          <w:tcPr>
            <w:tcW w:w="1071" w:type="dxa"/>
          </w:tcPr>
          <w:p w14:paraId="1114D54C" w14:textId="77777777" w:rsidR="00241417" w:rsidRPr="004710DC" w:rsidRDefault="00241417" w:rsidP="003A71DE">
            <w:pPr>
              <w:pStyle w:val="TAC"/>
              <w:rPr>
                <w:lang w:eastAsia="zh-CN"/>
              </w:rPr>
            </w:pPr>
            <w:r w:rsidRPr="004710DC">
              <w:rPr>
                <w:lang w:eastAsia="zh-CN"/>
              </w:rPr>
              <w:t>193/1024</w:t>
            </w:r>
          </w:p>
        </w:tc>
        <w:tc>
          <w:tcPr>
            <w:tcW w:w="1070" w:type="dxa"/>
          </w:tcPr>
          <w:p w14:paraId="67478E7D" w14:textId="77777777" w:rsidR="00241417" w:rsidRPr="004710DC" w:rsidRDefault="00241417" w:rsidP="003A71DE">
            <w:pPr>
              <w:pStyle w:val="TAC"/>
              <w:rPr>
                <w:lang w:eastAsia="zh-CN"/>
              </w:rPr>
            </w:pPr>
            <w:r w:rsidRPr="004710DC">
              <w:rPr>
                <w:lang w:eastAsia="zh-CN"/>
              </w:rPr>
              <w:t>193/1024</w:t>
            </w:r>
          </w:p>
        </w:tc>
        <w:tc>
          <w:tcPr>
            <w:tcW w:w="1071" w:type="dxa"/>
          </w:tcPr>
          <w:p w14:paraId="3F323A7F" w14:textId="77777777" w:rsidR="00241417" w:rsidRPr="004710DC" w:rsidRDefault="00241417" w:rsidP="003A71DE">
            <w:pPr>
              <w:pStyle w:val="TAC"/>
              <w:rPr>
                <w:lang w:eastAsia="zh-CN"/>
              </w:rPr>
            </w:pPr>
            <w:r w:rsidRPr="004710DC">
              <w:rPr>
                <w:lang w:eastAsia="zh-CN"/>
              </w:rPr>
              <w:t>193/1024</w:t>
            </w:r>
          </w:p>
        </w:tc>
        <w:tc>
          <w:tcPr>
            <w:tcW w:w="1070" w:type="dxa"/>
          </w:tcPr>
          <w:p w14:paraId="04FAFDA5" w14:textId="77777777" w:rsidR="00241417" w:rsidRPr="004710DC" w:rsidRDefault="00241417" w:rsidP="003A71DE">
            <w:pPr>
              <w:pStyle w:val="TAC"/>
              <w:rPr>
                <w:lang w:eastAsia="zh-CN"/>
              </w:rPr>
            </w:pPr>
            <w:r w:rsidRPr="004710DC">
              <w:rPr>
                <w:lang w:eastAsia="zh-CN"/>
              </w:rPr>
              <w:t>193/1024</w:t>
            </w:r>
          </w:p>
        </w:tc>
        <w:tc>
          <w:tcPr>
            <w:tcW w:w="1071" w:type="dxa"/>
          </w:tcPr>
          <w:p w14:paraId="2BE15ED0" w14:textId="77777777" w:rsidR="00241417" w:rsidRPr="004710DC" w:rsidRDefault="00241417" w:rsidP="003A71DE">
            <w:pPr>
              <w:pStyle w:val="TAC"/>
              <w:rPr>
                <w:lang w:eastAsia="zh-CN"/>
              </w:rPr>
            </w:pPr>
            <w:r w:rsidRPr="004710DC">
              <w:rPr>
                <w:lang w:eastAsia="zh-CN"/>
              </w:rPr>
              <w:t>193/1024</w:t>
            </w:r>
          </w:p>
        </w:tc>
        <w:tc>
          <w:tcPr>
            <w:tcW w:w="1071" w:type="dxa"/>
          </w:tcPr>
          <w:p w14:paraId="7FFF0A0E" w14:textId="77777777" w:rsidR="00241417" w:rsidRPr="004710DC" w:rsidRDefault="00241417" w:rsidP="003A71DE">
            <w:pPr>
              <w:pStyle w:val="TAC"/>
              <w:rPr>
                <w:lang w:eastAsia="zh-CN"/>
              </w:rPr>
            </w:pPr>
            <w:r w:rsidRPr="004710DC">
              <w:rPr>
                <w:lang w:eastAsia="zh-CN"/>
              </w:rPr>
              <w:t>193/1024</w:t>
            </w:r>
          </w:p>
        </w:tc>
      </w:tr>
      <w:tr w:rsidR="00241417" w:rsidRPr="004710DC" w14:paraId="3632C86E" w14:textId="77777777" w:rsidTr="003A71DE">
        <w:trPr>
          <w:cantSplit/>
          <w:jc w:val="center"/>
        </w:trPr>
        <w:tc>
          <w:tcPr>
            <w:tcW w:w="2421" w:type="dxa"/>
          </w:tcPr>
          <w:p w14:paraId="6CAB9A79" w14:textId="77777777" w:rsidR="00241417" w:rsidRPr="004710DC" w:rsidRDefault="00241417" w:rsidP="003A71DE">
            <w:pPr>
              <w:pStyle w:val="TAC"/>
            </w:pPr>
            <w:r w:rsidRPr="004710DC">
              <w:t>Payload size (bits)</w:t>
            </w:r>
          </w:p>
        </w:tc>
        <w:tc>
          <w:tcPr>
            <w:tcW w:w="1070" w:type="dxa"/>
            <w:vAlign w:val="center"/>
          </w:tcPr>
          <w:p w14:paraId="0E520254" w14:textId="77777777" w:rsidR="00241417" w:rsidRPr="004710DC" w:rsidRDefault="00241417" w:rsidP="003A71DE">
            <w:pPr>
              <w:pStyle w:val="TAC"/>
              <w:rPr>
                <w:lang w:eastAsia="zh-CN"/>
              </w:rPr>
            </w:pPr>
            <w:r w:rsidRPr="004710DC">
              <w:rPr>
                <w:lang w:eastAsia="zh-CN"/>
              </w:rPr>
              <w:t>1352</w:t>
            </w:r>
          </w:p>
        </w:tc>
        <w:tc>
          <w:tcPr>
            <w:tcW w:w="1071" w:type="dxa"/>
            <w:vAlign w:val="center"/>
          </w:tcPr>
          <w:p w14:paraId="7B30196B" w14:textId="77777777" w:rsidR="00241417" w:rsidRPr="004710DC" w:rsidRDefault="00241417" w:rsidP="003A71DE">
            <w:pPr>
              <w:pStyle w:val="TAC"/>
              <w:rPr>
                <w:lang w:eastAsia="zh-CN"/>
              </w:rPr>
            </w:pPr>
            <w:r w:rsidRPr="004710DC">
              <w:rPr>
                <w:lang w:eastAsia="zh-CN"/>
              </w:rPr>
              <w:t>2856</w:t>
            </w:r>
          </w:p>
        </w:tc>
        <w:tc>
          <w:tcPr>
            <w:tcW w:w="1070" w:type="dxa"/>
          </w:tcPr>
          <w:p w14:paraId="7F4C13F4" w14:textId="77777777" w:rsidR="00241417" w:rsidRPr="004710DC" w:rsidRDefault="00241417" w:rsidP="003A71DE">
            <w:pPr>
              <w:pStyle w:val="TAC"/>
              <w:rPr>
                <w:lang w:eastAsia="zh-CN"/>
              </w:rPr>
            </w:pPr>
            <w:r w:rsidRPr="004710DC">
              <w:rPr>
                <w:lang w:eastAsia="zh-CN"/>
              </w:rPr>
              <w:t>5768</w:t>
            </w:r>
          </w:p>
        </w:tc>
        <w:tc>
          <w:tcPr>
            <w:tcW w:w="1071" w:type="dxa"/>
            <w:vAlign w:val="center"/>
          </w:tcPr>
          <w:p w14:paraId="24A68209" w14:textId="77777777" w:rsidR="00241417" w:rsidRPr="004710DC" w:rsidRDefault="00241417" w:rsidP="003A71DE">
            <w:pPr>
              <w:pStyle w:val="TAC"/>
              <w:rPr>
                <w:lang w:eastAsia="zh-CN"/>
              </w:rPr>
            </w:pPr>
            <w:r w:rsidRPr="004710DC">
              <w:rPr>
                <w:lang w:eastAsia="zh-CN"/>
              </w:rPr>
              <w:t>1320</w:t>
            </w:r>
          </w:p>
        </w:tc>
        <w:tc>
          <w:tcPr>
            <w:tcW w:w="1070" w:type="dxa"/>
            <w:vAlign w:val="center"/>
          </w:tcPr>
          <w:p w14:paraId="22D759A1" w14:textId="77777777" w:rsidR="00241417" w:rsidRPr="004710DC" w:rsidRDefault="00241417" w:rsidP="003A71DE">
            <w:pPr>
              <w:pStyle w:val="TAC"/>
              <w:rPr>
                <w:lang w:eastAsia="zh-CN"/>
              </w:rPr>
            </w:pPr>
            <w:r w:rsidRPr="004710DC">
              <w:rPr>
                <w:lang w:eastAsia="zh-CN"/>
              </w:rPr>
              <w:t>2792</w:t>
            </w:r>
          </w:p>
        </w:tc>
        <w:tc>
          <w:tcPr>
            <w:tcW w:w="1071" w:type="dxa"/>
          </w:tcPr>
          <w:p w14:paraId="3A963E78" w14:textId="77777777" w:rsidR="00241417" w:rsidRPr="004710DC" w:rsidRDefault="00241417" w:rsidP="003A71DE">
            <w:pPr>
              <w:pStyle w:val="TAC"/>
              <w:rPr>
                <w:lang w:eastAsia="zh-CN"/>
              </w:rPr>
            </w:pPr>
            <w:r w:rsidRPr="004710DC">
              <w:rPr>
                <w:lang w:eastAsia="zh-CN"/>
              </w:rPr>
              <w:t>5768</w:t>
            </w:r>
          </w:p>
        </w:tc>
        <w:tc>
          <w:tcPr>
            <w:tcW w:w="1071" w:type="dxa"/>
          </w:tcPr>
          <w:p w14:paraId="30E75849" w14:textId="77777777" w:rsidR="00241417" w:rsidRPr="004710DC" w:rsidRDefault="00241417" w:rsidP="003A71DE">
            <w:pPr>
              <w:pStyle w:val="TAC"/>
              <w:rPr>
                <w:lang w:eastAsia="zh-CN"/>
              </w:rPr>
            </w:pPr>
            <w:r w:rsidRPr="004710DC">
              <w:rPr>
                <w:lang w:eastAsia="zh-CN"/>
              </w:rPr>
              <w:t>14856</w:t>
            </w:r>
          </w:p>
        </w:tc>
      </w:tr>
      <w:tr w:rsidR="00241417" w:rsidRPr="004710DC" w14:paraId="3F1F9E0D" w14:textId="77777777" w:rsidTr="003A71DE">
        <w:trPr>
          <w:cantSplit/>
          <w:jc w:val="center"/>
        </w:trPr>
        <w:tc>
          <w:tcPr>
            <w:tcW w:w="2421" w:type="dxa"/>
          </w:tcPr>
          <w:p w14:paraId="553FEA9E" w14:textId="77777777" w:rsidR="00241417" w:rsidRPr="004710DC" w:rsidRDefault="00241417" w:rsidP="003A71DE">
            <w:pPr>
              <w:pStyle w:val="TAC"/>
            </w:pPr>
            <w:r w:rsidRPr="004710DC">
              <w:t>Transport block CRC (bits)</w:t>
            </w:r>
          </w:p>
        </w:tc>
        <w:tc>
          <w:tcPr>
            <w:tcW w:w="1070" w:type="dxa"/>
          </w:tcPr>
          <w:p w14:paraId="10189441" w14:textId="77777777" w:rsidR="00241417" w:rsidRPr="004710DC" w:rsidRDefault="00241417" w:rsidP="003A71DE">
            <w:pPr>
              <w:pStyle w:val="TAC"/>
              <w:rPr>
                <w:lang w:eastAsia="zh-CN"/>
              </w:rPr>
            </w:pPr>
            <w:r w:rsidRPr="004710DC">
              <w:rPr>
                <w:lang w:eastAsia="zh-CN"/>
              </w:rPr>
              <w:t>16</w:t>
            </w:r>
          </w:p>
        </w:tc>
        <w:tc>
          <w:tcPr>
            <w:tcW w:w="1071" w:type="dxa"/>
          </w:tcPr>
          <w:p w14:paraId="19FC47D3" w14:textId="77777777" w:rsidR="00241417" w:rsidRPr="004710DC" w:rsidRDefault="00241417" w:rsidP="003A71DE">
            <w:pPr>
              <w:pStyle w:val="TAC"/>
              <w:rPr>
                <w:lang w:eastAsia="zh-CN"/>
              </w:rPr>
            </w:pPr>
            <w:r w:rsidRPr="004710DC">
              <w:rPr>
                <w:lang w:eastAsia="zh-CN"/>
              </w:rPr>
              <w:t>16</w:t>
            </w:r>
          </w:p>
        </w:tc>
        <w:tc>
          <w:tcPr>
            <w:tcW w:w="1070" w:type="dxa"/>
          </w:tcPr>
          <w:p w14:paraId="7E5C24B1" w14:textId="77777777" w:rsidR="00241417" w:rsidRPr="004710DC" w:rsidRDefault="00241417" w:rsidP="003A71DE">
            <w:pPr>
              <w:pStyle w:val="TAC"/>
              <w:rPr>
                <w:lang w:eastAsia="zh-CN"/>
              </w:rPr>
            </w:pPr>
            <w:r w:rsidRPr="004710DC">
              <w:rPr>
                <w:lang w:eastAsia="zh-CN"/>
              </w:rPr>
              <w:t>24</w:t>
            </w:r>
          </w:p>
        </w:tc>
        <w:tc>
          <w:tcPr>
            <w:tcW w:w="1071" w:type="dxa"/>
          </w:tcPr>
          <w:p w14:paraId="2FF89F99" w14:textId="77777777" w:rsidR="00241417" w:rsidRPr="004710DC" w:rsidRDefault="00241417" w:rsidP="003A71DE">
            <w:pPr>
              <w:pStyle w:val="TAC"/>
              <w:rPr>
                <w:lang w:eastAsia="zh-CN"/>
              </w:rPr>
            </w:pPr>
            <w:r w:rsidRPr="004710DC">
              <w:rPr>
                <w:lang w:eastAsia="zh-CN"/>
              </w:rPr>
              <w:t>16</w:t>
            </w:r>
          </w:p>
        </w:tc>
        <w:tc>
          <w:tcPr>
            <w:tcW w:w="1070" w:type="dxa"/>
          </w:tcPr>
          <w:p w14:paraId="700F8FD0" w14:textId="77777777" w:rsidR="00241417" w:rsidRPr="004710DC" w:rsidRDefault="00241417" w:rsidP="003A71DE">
            <w:pPr>
              <w:pStyle w:val="TAC"/>
              <w:rPr>
                <w:lang w:eastAsia="zh-CN"/>
              </w:rPr>
            </w:pPr>
            <w:r w:rsidRPr="004710DC">
              <w:rPr>
                <w:lang w:eastAsia="zh-CN"/>
              </w:rPr>
              <w:t>16</w:t>
            </w:r>
          </w:p>
        </w:tc>
        <w:tc>
          <w:tcPr>
            <w:tcW w:w="1071" w:type="dxa"/>
          </w:tcPr>
          <w:p w14:paraId="200D1999" w14:textId="77777777" w:rsidR="00241417" w:rsidRPr="004710DC" w:rsidRDefault="00241417" w:rsidP="003A71DE">
            <w:pPr>
              <w:pStyle w:val="TAC"/>
              <w:rPr>
                <w:lang w:eastAsia="zh-CN"/>
              </w:rPr>
            </w:pPr>
            <w:r w:rsidRPr="004710DC">
              <w:rPr>
                <w:lang w:eastAsia="zh-CN"/>
              </w:rPr>
              <w:t>24</w:t>
            </w:r>
          </w:p>
        </w:tc>
        <w:tc>
          <w:tcPr>
            <w:tcW w:w="1071" w:type="dxa"/>
          </w:tcPr>
          <w:p w14:paraId="319BBFF3" w14:textId="77777777" w:rsidR="00241417" w:rsidRPr="004710DC" w:rsidRDefault="00241417" w:rsidP="003A71DE">
            <w:pPr>
              <w:pStyle w:val="TAC"/>
              <w:rPr>
                <w:lang w:eastAsia="zh-CN"/>
              </w:rPr>
            </w:pPr>
            <w:r w:rsidRPr="004710DC">
              <w:rPr>
                <w:lang w:eastAsia="zh-CN"/>
              </w:rPr>
              <w:t>24</w:t>
            </w:r>
          </w:p>
        </w:tc>
      </w:tr>
      <w:tr w:rsidR="00241417" w:rsidRPr="004710DC" w14:paraId="0BB318CE" w14:textId="77777777" w:rsidTr="003A71DE">
        <w:trPr>
          <w:cantSplit/>
          <w:jc w:val="center"/>
        </w:trPr>
        <w:tc>
          <w:tcPr>
            <w:tcW w:w="2421" w:type="dxa"/>
          </w:tcPr>
          <w:p w14:paraId="3AFF2B38" w14:textId="77777777" w:rsidR="00241417" w:rsidRPr="00766BC2" w:rsidRDefault="00241417" w:rsidP="003A71DE">
            <w:pPr>
              <w:pStyle w:val="TAC"/>
            </w:pPr>
            <w:r w:rsidRPr="000E0FC8">
              <w:t>Code block CRC size (bits)</w:t>
            </w:r>
          </w:p>
        </w:tc>
        <w:tc>
          <w:tcPr>
            <w:tcW w:w="1070" w:type="dxa"/>
            <w:vAlign w:val="center"/>
          </w:tcPr>
          <w:p w14:paraId="6A29DCA8" w14:textId="77777777" w:rsidR="00241417" w:rsidRPr="004710DC" w:rsidRDefault="00241417" w:rsidP="003A71DE">
            <w:pPr>
              <w:pStyle w:val="TAC"/>
              <w:rPr>
                <w:lang w:eastAsia="zh-CN"/>
              </w:rPr>
            </w:pPr>
            <w:r w:rsidRPr="004710DC">
              <w:rPr>
                <w:lang w:eastAsia="zh-CN"/>
              </w:rPr>
              <w:t>-</w:t>
            </w:r>
          </w:p>
        </w:tc>
        <w:tc>
          <w:tcPr>
            <w:tcW w:w="1071" w:type="dxa"/>
            <w:vAlign w:val="center"/>
          </w:tcPr>
          <w:p w14:paraId="630306A6" w14:textId="77777777" w:rsidR="00241417" w:rsidRPr="004710DC" w:rsidRDefault="00241417" w:rsidP="003A71DE">
            <w:pPr>
              <w:pStyle w:val="TAC"/>
              <w:rPr>
                <w:lang w:eastAsia="zh-CN"/>
              </w:rPr>
            </w:pPr>
            <w:r w:rsidRPr="004710DC">
              <w:rPr>
                <w:lang w:eastAsia="zh-CN"/>
              </w:rPr>
              <w:t>-</w:t>
            </w:r>
          </w:p>
        </w:tc>
        <w:tc>
          <w:tcPr>
            <w:tcW w:w="1070" w:type="dxa"/>
          </w:tcPr>
          <w:p w14:paraId="0623048C" w14:textId="77777777" w:rsidR="00241417" w:rsidRPr="004710DC" w:rsidRDefault="00241417" w:rsidP="003A71DE">
            <w:pPr>
              <w:pStyle w:val="TAC"/>
              <w:rPr>
                <w:lang w:eastAsia="zh-CN"/>
              </w:rPr>
            </w:pPr>
            <w:r w:rsidRPr="004710DC">
              <w:rPr>
                <w:lang w:eastAsia="zh-CN"/>
              </w:rPr>
              <w:t>24</w:t>
            </w:r>
          </w:p>
        </w:tc>
        <w:tc>
          <w:tcPr>
            <w:tcW w:w="1071" w:type="dxa"/>
            <w:vAlign w:val="center"/>
          </w:tcPr>
          <w:p w14:paraId="0872141A" w14:textId="77777777" w:rsidR="00241417" w:rsidRPr="004710DC" w:rsidRDefault="00241417" w:rsidP="003A71DE">
            <w:pPr>
              <w:pStyle w:val="TAC"/>
              <w:rPr>
                <w:lang w:eastAsia="zh-CN"/>
              </w:rPr>
            </w:pPr>
            <w:r w:rsidRPr="004710DC">
              <w:rPr>
                <w:lang w:eastAsia="zh-CN"/>
              </w:rPr>
              <w:t>-</w:t>
            </w:r>
          </w:p>
        </w:tc>
        <w:tc>
          <w:tcPr>
            <w:tcW w:w="1070" w:type="dxa"/>
            <w:vAlign w:val="center"/>
          </w:tcPr>
          <w:p w14:paraId="1B79E77D" w14:textId="77777777" w:rsidR="00241417" w:rsidRPr="004710DC" w:rsidRDefault="00241417" w:rsidP="003A71DE">
            <w:pPr>
              <w:pStyle w:val="TAC"/>
              <w:rPr>
                <w:lang w:eastAsia="zh-CN"/>
              </w:rPr>
            </w:pPr>
            <w:r w:rsidRPr="004710DC">
              <w:rPr>
                <w:lang w:eastAsia="zh-CN"/>
              </w:rPr>
              <w:t>-</w:t>
            </w:r>
          </w:p>
        </w:tc>
        <w:tc>
          <w:tcPr>
            <w:tcW w:w="1071" w:type="dxa"/>
          </w:tcPr>
          <w:p w14:paraId="2EB2692C" w14:textId="77777777" w:rsidR="00241417" w:rsidRPr="004710DC" w:rsidRDefault="00241417" w:rsidP="003A71DE">
            <w:pPr>
              <w:pStyle w:val="TAC"/>
              <w:rPr>
                <w:lang w:eastAsia="zh-CN"/>
              </w:rPr>
            </w:pPr>
            <w:r w:rsidRPr="004710DC">
              <w:rPr>
                <w:lang w:eastAsia="zh-CN"/>
              </w:rPr>
              <w:t>24</w:t>
            </w:r>
          </w:p>
        </w:tc>
        <w:tc>
          <w:tcPr>
            <w:tcW w:w="1071" w:type="dxa"/>
          </w:tcPr>
          <w:p w14:paraId="0D7990C2" w14:textId="77777777" w:rsidR="00241417" w:rsidRPr="004710DC" w:rsidRDefault="00241417" w:rsidP="003A71DE">
            <w:pPr>
              <w:pStyle w:val="TAC"/>
              <w:rPr>
                <w:lang w:eastAsia="zh-CN"/>
              </w:rPr>
            </w:pPr>
            <w:r w:rsidRPr="004710DC">
              <w:rPr>
                <w:lang w:eastAsia="zh-CN"/>
              </w:rPr>
              <w:t>24</w:t>
            </w:r>
          </w:p>
        </w:tc>
      </w:tr>
      <w:tr w:rsidR="00241417" w:rsidRPr="004710DC" w14:paraId="510E95A5" w14:textId="77777777" w:rsidTr="003A71DE">
        <w:trPr>
          <w:cantSplit/>
          <w:jc w:val="center"/>
        </w:trPr>
        <w:tc>
          <w:tcPr>
            <w:tcW w:w="2421" w:type="dxa"/>
          </w:tcPr>
          <w:p w14:paraId="70CB3E65" w14:textId="77777777" w:rsidR="00241417" w:rsidRPr="00766BC2" w:rsidRDefault="00241417" w:rsidP="003A71DE">
            <w:pPr>
              <w:pStyle w:val="TAC"/>
            </w:pPr>
            <w:r w:rsidRPr="000E0FC8">
              <w:t xml:space="preserve">Number of </w:t>
            </w:r>
            <w:r w:rsidRPr="00766BC2">
              <w:t>code blocks - C</w:t>
            </w:r>
          </w:p>
        </w:tc>
        <w:tc>
          <w:tcPr>
            <w:tcW w:w="1070" w:type="dxa"/>
            <w:vAlign w:val="center"/>
          </w:tcPr>
          <w:p w14:paraId="4025A54C" w14:textId="77777777" w:rsidR="00241417" w:rsidRPr="004710DC" w:rsidRDefault="00241417" w:rsidP="003A71DE">
            <w:pPr>
              <w:pStyle w:val="TAC"/>
              <w:rPr>
                <w:lang w:eastAsia="zh-CN"/>
              </w:rPr>
            </w:pPr>
            <w:r w:rsidRPr="004710DC">
              <w:rPr>
                <w:lang w:eastAsia="zh-CN"/>
              </w:rPr>
              <w:t>1</w:t>
            </w:r>
          </w:p>
        </w:tc>
        <w:tc>
          <w:tcPr>
            <w:tcW w:w="1071" w:type="dxa"/>
            <w:vAlign w:val="center"/>
          </w:tcPr>
          <w:p w14:paraId="7F433124" w14:textId="77777777" w:rsidR="00241417" w:rsidRPr="004710DC" w:rsidRDefault="00241417" w:rsidP="003A71DE">
            <w:pPr>
              <w:pStyle w:val="TAC"/>
              <w:rPr>
                <w:lang w:eastAsia="zh-CN"/>
              </w:rPr>
            </w:pPr>
            <w:r w:rsidRPr="004710DC">
              <w:rPr>
                <w:lang w:eastAsia="zh-CN"/>
              </w:rPr>
              <w:t>1</w:t>
            </w:r>
          </w:p>
        </w:tc>
        <w:tc>
          <w:tcPr>
            <w:tcW w:w="1070" w:type="dxa"/>
          </w:tcPr>
          <w:p w14:paraId="4FC13ECB" w14:textId="77777777" w:rsidR="00241417" w:rsidRPr="004710DC" w:rsidRDefault="00241417" w:rsidP="003A71DE">
            <w:pPr>
              <w:pStyle w:val="TAC"/>
              <w:rPr>
                <w:lang w:eastAsia="zh-CN"/>
              </w:rPr>
            </w:pPr>
            <w:r w:rsidRPr="004710DC">
              <w:rPr>
                <w:lang w:eastAsia="zh-CN"/>
              </w:rPr>
              <w:t>2</w:t>
            </w:r>
          </w:p>
        </w:tc>
        <w:tc>
          <w:tcPr>
            <w:tcW w:w="1071" w:type="dxa"/>
            <w:vAlign w:val="center"/>
          </w:tcPr>
          <w:p w14:paraId="4392D061" w14:textId="77777777" w:rsidR="00241417" w:rsidRPr="004710DC" w:rsidRDefault="00241417" w:rsidP="003A71DE">
            <w:pPr>
              <w:pStyle w:val="TAC"/>
              <w:rPr>
                <w:lang w:eastAsia="zh-CN"/>
              </w:rPr>
            </w:pPr>
            <w:r w:rsidRPr="004710DC">
              <w:rPr>
                <w:lang w:eastAsia="zh-CN"/>
              </w:rPr>
              <w:t>1</w:t>
            </w:r>
          </w:p>
        </w:tc>
        <w:tc>
          <w:tcPr>
            <w:tcW w:w="1070" w:type="dxa"/>
            <w:vAlign w:val="center"/>
          </w:tcPr>
          <w:p w14:paraId="725102E2" w14:textId="77777777" w:rsidR="00241417" w:rsidRPr="004710DC" w:rsidRDefault="00241417" w:rsidP="003A71DE">
            <w:pPr>
              <w:pStyle w:val="TAC"/>
              <w:rPr>
                <w:lang w:eastAsia="zh-CN"/>
              </w:rPr>
            </w:pPr>
            <w:r w:rsidRPr="004710DC">
              <w:rPr>
                <w:lang w:eastAsia="zh-CN"/>
              </w:rPr>
              <w:t>1</w:t>
            </w:r>
          </w:p>
        </w:tc>
        <w:tc>
          <w:tcPr>
            <w:tcW w:w="1071" w:type="dxa"/>
          </w:tcPr>
          <w:p w14:paraId="28E89CA7" w14:textId="77777777" w:rsidR="00241417" w:rsidRPr="004710DC" w:rsidRDefault="00241417" w:rsidP="003A71DE">
            <w:pPr>
              <w:pStyle w:val="TAC"/>
              <w:rPr>
                <w:lang w:eastAsia="zh-CN"/>
              </w:rPr>
            </w:pPr>
            <w:r w:rsidRPr="004710DC">
              <w:rPr>
                <w:lang w:eastAsia="zh-CN"/>
              </w:rPr>
              <w:t>2</w:t>
            </w:r>
          </w:p>
        </w:tc>
        <w:tc>
          <w:tcPr>
            <w:tcW w:w="1071" w:type="dxa"/>
          </w:tcPr>
          <w:p w14:paraId="7ECE7294" w14:textId="77777777" w:rsidR="00241417" w:rsidRPr="004710DC" w:rsidRDefault="00241417" w:rsidP="003A71DE">
            <w:pPr>
              <w:pStyle w:val="TAC"/>
              <w:rPr>
                <w:lang w:eastAsia="zh-CN"/>
              </w:rPr>
            </w:pPr>
            <w:r w:rsidRPr="004710DC">
              <w:rPr>
                <w:lang w:eastAsia="zh-CN"/>
              </w:rPr>
              <w:t>4</w:t>
            </w:r>
          </w:p>
        </w:tc>
      </w:tr>
      <w:tr w:rsidR="00241417" w:rsidRPr="004710DC" w14:paraId="4E840608" w14:textId="77777777" w:rsidTr="003A71DE">
        <w:trPr>
          <w:cantSplit/>
          <w:jc w:val="center"/>
        </w:trPr>
        <w:tc>
          <w:tcPr>
            <w:tcW w:w="2421" w:type="dxa"/>
          </w:tcPr>
          <w:p w14:paraId="378FBAC7" w14:textId="77777777" w:rsidR="00241417" w:rsidRPr="004C46B7" w:rsidRDefault="00241417" w:rsidP="003A71DE">
            <w:pPr>
              <w:pStyle w:val="TAC"/>
              <w:rPr>
                <w:lang w:eastAsia="zh-CN"/>
              </w:rPr>
            </w:pPr>
            <w:r w:rsidRPr="000E0FC8">
              <w:t>Code block size</w:t>
            </w:r>
            <w:r w:rsidRPr="00766BC2">
              <w:rPr>
                <w:rFonts w:eastAsia="Malgun Gothic" w:cs="Arial"/>
              </w:rPr>
              <w:t xml:space="preserve"> including CRC</w:t>
            </w:r>
            <w:r w:rsidRPr="00D952AE">
              <w:t xml:space="preserve"> (bits)</w:t>
            </w:r>
            <w:r w:rsidRPr="004C46B7">
              <w:rPr>
                <w:lang w:eastAsia="zh-CN"/>
              </w:rPr>
              <w:t xml:space="preserve"> </w:t>
            </w:r>
            <w:r w:rsidRPr="004C46B7">
              <w:rPr>
                <w:rFonts w:cs="Arial"/>
                <w:lang w:eastAsia="zh-CN"/>
              </w:rPr>
              <w:t>(Note 2)</w:t>
            </w:r>
          </w:p>
        </w:tc>
        <w:tc>
          <w:tcPr>
            <w:tcW w:w="1070" w:type="dxa"/>
            <w:vAlign w:val="center"/>
          </w:tcPr>
          <w:p w14:paraId="1FFD23FC" w14:textId="77777777" w:rsidR="00241417" w:rsidRPr="004710DC" w:rsidRDefault="00241417" w:rsidP="003A71DE">
            <w:pPr>
              <w:pStyle w:val="TAC"/>
              <w:rPr>
                <w:lang w:eastAsia="zh-CN"/>
              </w:rPr>
            </w:pPr>
            <w:r w:rsidRPr="004710DC">
              <w:t>1368</w:t>
            </w:r>
          </w:p>
        </w:tc>
        <w:tc>
          <w:tcPr>
            <w:tcW w:w="1071" w:type="dxa"/>
            <w:vAlign w:val="center"/>
          </w:tcPr>
          <w:p w14:paraId="4D5A3D28" w14:textId="77777777" w:rsidR="00241417" w:rsidRPr="004710DC" w:rsidRDefault="00241417" w:rsidP="003A71DE">
            <w:pPr>
              <w:pStyle w:val="TAC"/>
              <w:rPr>
                <w:lang w:eastAsia="zh-CN"/>
              </w:rPr>
            </w:pPr>
            <w:r w:rsidRPr="004710DC">
              <w:t>2872</w:t>
            </w:r>
          </w:p>
        </w:tc>
        <w:tc>
          <w:tcPr>
            <w:tcW w:w="1070" w:type="dxa"/>
            <w:vAlign w:val="center"/>
          </w:tcPr>
          <w:p w14:paraId="19E913BB" w14:textId="77777777" w:rsidR="00241417" w:rsidRPr="004710DC" w:rsidRDefault="00241417" w:rsidP="003A71DE">
            <w:pPr>
              <w:pStyle w:val="TAC"/>
              <w:rPr>
                <w:lang w:eastAsia="zh-CN"/>
              </w:rPr>
            </w:pPr>
            <w:r w:rsidRPr="004710DC">
              <w:t>2920</w:t>
            </w:r>
          </w:p>
        </w:tc>
        <w:tc>
          <w:tcPr>
            <w:tcW w:w="1071" w:type="dxa"/>
            <w:vAlign w:val="center"/>
          </w:tcPr>
          <w:p w14:paraId="1DA6AB80" w14:textId="77777777" w:rsidR="00241417" w:rsidRPr="004710DC" w:rsidRDefault="00241417" w:rsidP="003A71DE">
            <w:pPr>
              <w:pStyle w:val="TAC"/>
              <w:rPr>
                <w:lang w:eastAsia="zh-CN"/>
              </w:rPr>
            </w:pPr>
            <w:r w:rsidRPr="004710DC">
              <w:t>1336</w:t>
            </w:r>
          </w:p>
        </w:tc>
        <w:tc>
          <w:tcPr>
            <w:tcW w:w="1070" w:type="dxa"/>
            <w:vAlign w:val="center"/>
          </w:tcPr>
          <w:p w14:paraId="1E0E1AAE" w14:textId="77777777" w:rsidR="00241417" w:rsidRPr="004710DC" w:rsidRDefault="00241417" w:rsidP="003A71DE">
            <w:pPr>
              <w:pStyle w:val="TAC"/>
              <w:rPr>
                <w:lang w:eastAsia="zh-CN"/>
              </w:rPr>
            </w:pPr>
            <w:r w:rsidRPr="004710DC">
              <w:t>2808</w:t>
            </w:r>
          </w:p>
        </w:tc>
        <w:tc>
          <w:tcPr>
            <w:tcW w:w="1071" w:type="dxa"/>
            <w:vAlign w:val="center"/>
          </w:tcPr>
          <w:p w14:paraId="1E223C23" w14:textId="77777777" w:rsidR="00241417" w:rsidRPr="004710DC" w:rsidRDefault="00241417" w:rsidP="003A71DE">
            <w:pPr>
              <w:pStyle w:val="TAC"/>
              <w:rPr>
                <w:lang w:eastAsia="zh-CN"/>
              </w:rPr>
            </w:pPr>
            <w:r w:rsidRPr="004710DC">
              <w:t>2920</w:t>
            </w:r>
          </w:p>
        </w:tc>
        <w:tc>
          <w:tcPr>
            <w:tcW w:w="1071" w:type="dxa"/>
            <w:vAlign w:val="center"/>
          </w:tcPr>
          <w:p w14:paraId="2269C3AA" w14:textId="77777777" w:rsidR="00241417" w:rsidRPr="004710DC" w:rsidRDefault="00241417" w:rsidP="003A71DE">
            <w:pPr>
              <w:pStyle w:val="TAC"/>
              <w:rPr>
                <w:lang w:eastAsia="zh-CN"/>
              </w:rPr>
            </w:pPr>
            <w:r w:rsidRPr="004710DC">
              <w:t>3744</w:t>
            </w:r>
          </w:p>
        </w:tc>
      </w:tr>
      <w:tr w:rsidR="00241417" w:rsidRPr="004710DC" w14:paraId="7B473161" w14:textId="77777777" w:rsidTr="003A71DE">
        <w:trPr>
          <w:cantSplit/>
          <w:jc w:val="center"/>
        </w:trPr>
        <w:tc>
          <w:tcPr>
            <w:tcW w:w="2421" w:type="dxa"/>
          </w:tcPr>
          <w:p w14:paraId="39E8405E" w14:textId="77777777" w:rsidR="00241417" w:rsidRPr="004C46B7" w:rsidRDefault="00241417" w:rsidP="003A71DE">
            <w:pPr>
              <w:pStyle w:val="TAC"/>
              <w:rPr>
                <w:lang w:eastAsia="zh-CN"/>
              </w:rPr>
            </w:pPr>
            <w:r w:rsidRPr="000E0FC8">
              <w:t xml:space="preserve">Total number of bits per </w:t>
            </w:r>
            <w:r w:rsidRPr="00D952AE">
              <w:rPr>
                <w:lang w:eastAsia="zh-CN"/>
              </w:rPr>
              <w:t>slot</w:t>
            </w:r>
          </w:p>
        </w:tc>
        <w:tc>
          <w:tcPr>
            <w:tcW w:w="1070" w:type="dxa"/>
            <w:vAlign w:val="center"/>
          </w:tcPr>
          <w:p w14:paraId="1DFA195D" w14:textId="77777777" w:rsidR="00241417" w:rsidRPr="004710DC" w:rsidRDefault="00241417" w:rsidP="003A71DE">
            <w:pPr>
              <w:pStyle w:val="TAC"/>
              <w:rPr>
                <w:lang w:eastAsia="zh-CN"/>
              </w:rPr>
            </w:pPr>
            <w:r w:rsidRPr="004710DC">
              <w:rPr>
                <w:lang w:eastAsia="zh-CN"/>
              </w:rPr>
              <w:t>7200</w:t>
            </w:r>
          </w:p>
        </w:tc>
        <w:tc>
          <w:tcPr>
            <w:tcW w:w="1071" w:type="dxa"/>
            <w:vAlign w:val="center"/>
          </w:tcPr>
          <w:p w14:paraId="1EABB5A4" w14:textId="77777777" w:rsidR="00241417" w:rsidRPr="004710DC" w:rsidRDefault="00241417" w:rsidP="003A71DE">
            <w:pPr>
              <w:pStyle w:val="TAC"/>
              <w:rPr>
                <w:lang w:eastAsia="zh-CN"/>
              </w:rPr>
            </w:pPr>
            <w:r w:rsidRPr="004710DC">
              <w:rPr>
                <w:lang w:eastAsia="zh-CN"/>
              </w:rPr>
              <w:t>14976</w:t>
            </w:r>
          </w:p>
        </w:tc>
        <w:tc>
          <w:tcPr>
            <w:tcW w:w="1070" w:type="dxa"/>
            <w:vAlign w:val="center"/>
          </w:tcPr>
          <w:p w14:paraId="3C64188A" w14:textId="77777777" w:rsidR="00241417" w:rsidRPr="004710DC" w:rsidRDefault="00241417" w:rsidP="003A71DE">
            <w:pPr>
              <w:pStyle w:val="TAC"/>
              <w:rPr>
                <w:lang w:eastAsia="zh-CN"/>
              </w:rPr>
            </w:pPr>
            <w:r w:rsidRPr="004710DC">
              <w:rPr>
                <w:lang w:eastAsia="zh-CN"/>
              </w:rPr>
              <w:t>30528</w:t>
            </w:r>
          </w:p>
        </w:tc>
        <w:tc>
          <w:tcPr>
            <w:tcW w:w="1071" w:type="dxa"/>
            <w:vAlign w:val="center"/>
          </w:tcPr>
          <w:p w14:paraId="670E364E" w14:textId="77777777" w:rsidR="00241417" w:rsidRPr="004710DC" w:rsidRDefault="00241417" w:rsidP="003A71DE">
            <w:pPr>
              <w:pStyle w:val="TAC"/>
              <w:rPr>
                <w:lang w:eastAsia="zh-CN"/>
              </w:rPr>
            </w:pPr>
            <w:r w:rsidRPr="004710DC">
              <w:rPr>
                <w:lang w:eastAsia="zh-CN"/>
              </w:rPr>
              <w:t>6912</w:t>
            </w:r>
          </w:p>
        </w:tc>
        <w:tc>
          <w:tcPr>
            <w:tcW w:w="1070" w:type="dxa"/>
            <w:vAlign w:val="center"/>
          </w:tcPr>
          <w:p w14:paraId="274635D0" w14:textId="77777777" w:rsidR="00241417" w:rsidRPr="004710DC" w:rsidRDefault="00241417" w:rsidP="003A71DE">
            <w:pPr>
              <w:pStyle w:val="TAC"/>
              <w:rPr>
                <w:lang w:eastAsia="zh-CN"/>
              </w:rPr>
            </w:pPr>
            <w:r w:rsidRPr="004710DC">
              <w:rPr>
                <w:lang w:eastAsia="zh-CN"/>
              </w:rPr>
              <w:t>14688</w:t>
            </w:r>
          </w:p>
        </w:tc>
        <w:tc>
          <w:tcPr>
            <w:tcW w:w="1071" w:type="dxa"/>
            <w:vAlign w:val="center"/>
          </w:tcPr>
          <w:p w14:paraId="4B8B407B" w14:textId="77777777" w:rsidR="00241417" w:rsidRPr="004710DC" w:rsidRDefault="00241417" w:rsidP="003A71DE">
            <w:pPr>
              <w:pStyle w:val="TAC"/>
              <w:rPr>
                <w:lang w:eastAsia="zh-CN"/>
              </w:rPr>
            </w:pPr>
            <w:r w:rsidRPr="004710DC">
              <w:rPr>
                <w:lang w:eastAsia="zh-CN"/>
              </w:rPr>
              <w:t>30528</w:t>
            </w:r>
          </w:p>
        </w:tc>
        <w:tc>
          <w:tcPr>
            <w:tcW w:w="1071" w:type="dxa"/>
            <w:vAlign w:val="center"/>
          </w:tcPr>
          <w:p w14:paraId="3835994F" w14:textId="77777777" w:rsidR="00241417" w:rsidRPr="004710DC" w:rsidRDefault="00241417" w:rsidP="003A71DE">
            <w:pPr>
              <w:pStyle w:val="TAC"/>
              <w:rPr>
                <w:lang w:eastAsia="zh-CN"/>
              </w:rPr>
            </w:pPr>
            <w:r w:rsidRPr="004710DC">
              <w:rPr>
                <w:lang w:eastAsia="zh-CN"/>
              </w:rPr>
              <w:t>78624</w:t>
            </w:r>
          </w:p>
        </w:tc>
      </w:tr>
      <w:tr w:rsidR="00241417" w:rsidRPr="004710DC" w14:paraId="71EFD95E" w14:textId="77777777" w:rsidTr="003A71DE">
        <w:trPr>
          <w:cantSplit/>
          <w:jc w:val="center"/>
        </w:trPr>
        <w:tc>
          <w:tcPr>
            <w:tcW w:w="2421" w:type="dxa"/>
          </w:tcPr>
          <w:p w14:paraId="753E5397"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0" w:type="dxa"/>
          </w:tcPr>
          <w:p w14:paraId="7319C3B6" w14:textId="77777777" w:rsidR="00241417" w:rsidRPr="004710DC" w:rsidRDefault="00241417" w:rsidP="003A71DE">
            <w:pPr>
              <w:pStyle w:val="TAC"/>
              <w:rPr>
                <w:lang w:eastAsia="zh-CN"/>
              </w:rPr>
            </w:pPr>
            <w:r w:rsidRPr="004710DC">
              <w:rPr>
                <w:lang w:eastAsia="zh-CN"/>
              </w:rPr>
              <w:t>3600</w:t>
            </w:r>
          </w:p>
        </w:tc>
        <w:tc>
          <w:tcPr>
            <w:tcW w:w="1071" w:type="dxa"/>
          </w:tcPr>
          <w:p w14:paraId="3E7600B3" w14:textId="77777777" w:rsidR="00241417" w:rsidRPr="004710DC" w:rsidRDefault="00241417" w:rsidP="003A71DE">
            <w:pPr>
              <w:pStyle w:val="TAC"/>
              <w:rPr>
                <w:lang w:eastAsia="zh-CN"/>
              </w:rPr>
            </w:pPr>
            <w:r w:rsidRPr="004710DC">
              <w:rPr>
                <w:lang w:eastAsia="zh-CN"/>
              </w:rPr>
              <w:t>7488</w:t>
            </w:r>
          </w:p>
        </w:tc>
        <w:tc>
          <w:tcPr>
            <w:tcW w:w="1070" w:type="dxa"/>
          </w:tcPr>
          <w:p w14:paraId="500595F0" w14:textId="77777777" w:rsidR="00241417" w:rsidRPr="004710DC" w:rsidRDefault="00241417" w:rsidP="003A71DE">
            <w:pPr>
              <w:pStyle w:val="TAC"/>
              <w:rPr>
                <w:lang w:eastAsia="zh-CN"/>
              </w:rPr>
            </w:pPr>
            <w:r w:rsidRPr="004710DC">
              <w:rPr>
                <w:lang w:eastAsia="zh-CN"/>
              </w:rPr>
              <w:t>15264</w:t>
            </w:r>
          </w:p>
        </w:tc>
        <w:tc>
          <w:tcPr>
            <w:tcW w:w="1071" w:type="dxa"/>
          </w:tcPr>
          <w:p w14:paraId="0155F9E6" w14:textId="77777777" w:rsidR="00241417" w:rsidRPr="004710DC" w:rsidRDefault="00241417" w:rsidP="003A71DE">
            <w:pPr>
              <w:pStyle w:val="TAC"/>
              <w:rPr>
                <w:lang w:eastAsia="zh-CN"/>
              </w:rPr>
            </w:pPr>
            <w:r w:rsidRPr="004710DC">
              <w:rPr>
                <w:lang w:eastAsia="zh-CN"/>
              </w:rPr>
              <w:t>3456</w:t>
            </w:r>
          </w:p>
        </w:tc>
        <w:tc>
          <w:tcPr>
            <w:tcW w:w="1070" w:type="dxa"/>
          </w:tcPr>
          <w:p w14:paraId="5A609AA2" w14:textId="77777777" w:rsidR="00241417" w:rsidRPr="004710DC" w:rsidRDefault="00241417" w:rsidP="003A71DE">
            <w:pPr>
              <w:pStyle w:val="TAC"/>
              <w:rPr>
                <w:lang w:eastAsia="zh-CN"/>
              </w:rPr>
            </w:pPr>
            <w:r w:rsidRPr="004710DC">
              <w:rPr>
                <w:lang w:eastAsia="zh-CN"/>
              </w:rPr>
              <w:t>7344</w:t>
            </w:r>
          </w:p>
        </w:tc>
        <w:tc>
          <w:tcPr>
            <w:tcW w:w="1071" w:type="dxa"/>
          </w:tcPr>
          <w:p w14:paraId="47192DE4" w14:textId="77777777" w:rsidR="00241417" w:rsidRPr="004710DC" w:rsidRDefault="00241417" w:rsidP="003A71DE">
            <w:pPr>
              <w:pStyle w:val="TAC"/>
              <w:rPr>
                <w:lang w:eastAsia="zh-CN"/>
              </w:rPr>
            </w:pPr>
            <w:r w:rsidRPr="004710DC">
              <w:rPr>
                <w:lang w:eastAsia="zh-CN"/>
              </w:rPr>
              <w:t>15264</w:t>
            </w:r>
          </w:p>
        </w:tc>
        <w:tc>
          <w:tcPr>
            <w:tcW w:w="1071" w:type="dxa"/>
          </w:tcPr>
          <w:p w14:paraId="2C025E7E" w14:textId="77777777" w:rsidR="00241417" w:rsidRPr="004710DC" w:rsidRDefault="00241417" w:rsidP="003A71DE">
            <w:pPr>
              <w:pStyle w:val="TAC"/>
              <w:rPr>
                <w:lang w:eastAsia="zh-CN"/>
              </w:rPr>
            </w:pPr>
            <w:r w:rsidRPr="004710DC">
              <w:rPr>
                <w:lang w:eastAsia="zh-CN"/>
              </w:rPr>
              <w:t>39312</w:t>
            </w:r>
          </w:p>
        </w:tc>
      </w:tr>
      <w:tr w:rsidR="00241417" w:rsidRPr="000E0FC8" w14:paraId="5DBBD55C" w14:textId="77777777" w:rsidTr="003A71DE">
        <w:trPr>
          <w:cantSplit/>
          <w:jc w:val="center"/>
        </w:trPr>
        <w:tc>
          <w:tcPr>
            <w:tcW w:w="9915" w:type="dxa"/>
            <w:gridSpan w:val="8"/>
          </w:tcPr>
          <w:p w14:paraId="1972E3EF" w14:textId="77777777" w:rsidR="00241417" w:rsidRPr="004C46B7" w:rsidRDefault="00241417" w:rsidP="003A71DE">
            <w:pPr>
              <w:pStyle w:val="TAN"/>
              <w:rPr>
                <w:lang w:eastAsia="zh-CN"/>
              </w:rPr>
            </w:pPr>
            <w:r w:rsidRPr="000E0FC8">
              <w:t>NOTE 1:</w:t>
            </w:r>
            <w:r w:rsidRPr="000E0FC8">
              <w:tab/>
            </w:r>
            <w:r w:rsidRPr="00766BC2">
              <w:rPr>
                <w:i/>
              </w:rPr>
              <w:t xml:space="preserve">DM-RS configuration type </w:t>
            </w:r>
            <w:r w:rsidRPr="00766BC2">
              <w:t xml:space="preserve"> = 1 with </w:t>
            </w:r>
            <w:r w:rsidRPr="00CB102E">
              <w:rPr>
                <w:i/>
              </w:rPr>
              <w:t>DM-RS duration = single-symbol DM-RS</w:t>
            </w:r>
            <w:r w:rsidRPr="00CB102E">
              <w:rPr>
                <w:lang w:eastAsia="zh-CN"/>
              </w:rPr>
              <w:t xml:space="preserve"> and the number of DM-RS CDM groups without data is 2</w:t>
            </w:r>
            <w:r w:rsidRPr="00D952AE">
              <w:t xml:space="preserve">, </w:t>
            </w:r>
            <w:r w:rsidRPr="004C46B7">
              <w:rPr>
                <w:i/>
              </w:rPr>
              <w:t>Additional DM-RS position = pos1</w:t>
            </w:r>
            <w:r w:rsidRPr="004C46B7">
              <w:rPr>
                <w:lang w:eastAsia="zh-CN"/>
              </w:rPr>
              <w:t>,</w:t>
            </w:r>
            <w:r w:rsidRPr="008B038E">
              <w:t xml:space="preserve"> </w:t>
            </w:r>
            <w:r w:rsidRPr="005439D8">
              <w:rPr>
                <w:i/>
                <w:lang w:eastAsia="zh-CN"/>
              </w:rPr>
              <w:t>l</w:t>
            </w:r>
            <w:r w:rsidRPr="00FE146D">
              <w:rPr>
                <w:i/>
                <w:vertAlign w:val="subscript"/>
                <w:lang w:eastAsia="zh-CN"/>
              </w:rPr>
              <w:t>0</w:t>
            </w:r>
            <w:r w:rsidRPr="00FE146D">
              <w:t>= 2</w:t>
            </w:r>
            <w:r w:rsidRPr="00FE146D">
              <w:rPr>
                <w:lang w:eastAsia="zh-CN"/>
              </w:rPr>
              <w:t xml:space="preserve"> and </w:t>
            </w:r>
            <w:r w:rsidRPr="00EF40AF">
              <w:rPr>
                <w:i/>
                <w:lang w:eastAsia="zh-CN"/>
              </w:rPr>
              <w:t xml:space="preserve">l </w:t>
            </w:r>
            <w:r w:rsidRPr="00EF40AF">
              <w:rPr>
                <w:lang w:eastAsia="zh-CN"/>
              </w:rPr>
              <w:t>=11</w:t>
            </w:r>
            <w:r w:rsidRPr="00CD5E5F">
              <w:t xml:space="preserve"> </w:t>
            </w:r>
            <w:r w:rsidRPr="00CD5E5F">
              <w:rPr>
                <w:lang w:eastAsia="zh-CN"/>
              </w:rPr>
              <w:t xml:space="preserve">for </w:t>
            </w:r>
            <w:r w:rsidRPr="00CD5E5F">
              <w:t>PUSCH mapping type A</w:t>
            </w:r>
            <w:r w:rsidRPr="00CD5E5F">
              <w:rPr>
                <w:lang w:eastAsia="zh-CN"/>
              </w:rPr>
              <w:t xml:space="preserve">, </w:t>
            </w:r>
            <w:r w:rsidRPr="00CD5E5F">
              <w:rPr>
                <w:i/>
                <w:lang w:eastAsia="zh-CN"/>
              </w:rPr>
              <w:t>l</w:t>
            </w:r>
            <w:r w:rsidRPr="006C7AF4">
              <w:rPr>
                <w:i/>
                <w:vertAlign w:val="subscript"/>
                <w:lang w:eastAsia="zh-CN"/>
              </w:rPr>
              <w:t>0</w:t>
            </w:r>
            <w:r w:rsidRPr="006C7AF4">
              <w:t xml:space="preserve">= </w:t>
            </w:r>
            <w:r w:rsidRPr="006C7AF4">
              <w:rPr>
                <w:lang w:eastAsia="zh-CN"/>
              </w:rPr>
              <w:t xml:space="preserve">0 and </w:t>
            </w:r>
            <w:r w:rsidRPr="006C7AF4">
              <w:rPr>
                <w:i/>
                <w:lang w:eastAsia="zh-CN"/>
              </w:rPr>
              <w:t xml:space="preserve">l </w:t>
            </w:r>
            <w:r w:rsidRPr="006C7AF4">
              <w:rPr>
                <w:lang w:eastAsia="zh-CN"/>
              </w:rPr>
              <w:t>=10</w:t>
            </w:r>
            <w:r w:rsidRPr="006C7AF4">
              <w:t xml:space="preserve"> </w:t>
            </w:r>
            <w:r w:rsidRPr="006C7AF4">
              <w:rPr>
                <w:lang w:eastAsia="zh-CN"/>
              </w:rPr>
              <w:t xml:space="preserve">for </w:t>
            </w:r>
            <w:r w:rsidRPr="006C7AF4">
              <w:t xml:space="preserve">PUSCH mapping type </w:t>
            </w:r>
            <w:r w:rsidRPr="006C7AF4">
              <w:rPr>
                <w:lang w:eastAsia="zh-CN"/>
              </w:rPr>
              <w:t xml:space="preserve">B </w:t>
            </w:r>
            <w:r w:rsidRPr="006C7AF4">
              <w:t>as per table 6.4.1.1.3-3 of TS 38.211 [8].</w:t>
            </w:r>
          </w:p>
          <w:p w14:paraId="679F1A2B" w14:textId="77777777" w:rsidR="00241417" w:rsidRPr="004C46B7" w:rsidRDefault="00241417" w:rsidP="003A71DE">
            <w:pPr>
              <w:pStyle w:val="TAN"/>
              <w:rPr>
                <w:szCs w:val="18"/>
                <w:lang w:eastAsia="zh-CN"/>
              </w:rPr>
            </w:pPr>
            <w:r w:rsidRPr="004C46B7">
              <w:t xml:space="preserve">NOTE </w:t>
            </w:r>
            <w:r w:rsidRPr="004C46B7">
              <w:rPr>
                <w:lang w:eastAsia="zh-CN"/>
              </w:rPr>
              <w:t>2</w:t>
            </w:r>
            <w:r w:rsidRPr="008B038E">
              <w:t>:</w:t>
            </w:r>
            <w:r w:rsidRPr="008B038E">
              <w:tab/>
              <w:t>Code block size including CRC (bits)</w:t>
            </w:r>
            <w:r w:rsidRPr="005439D8">
              <w:rPr>
                <w:lang w:eastAsia="zh-CN"/>
              </w:rPr>
              <w:t xml:space="preserve"> equals to </w:t>
            </w:r>
            <w:r w:rsidRPr="00FE146D">
              <w:rPr>
                <w:i/>
                <w:lang w:eastAsia="zh-CN"/>
              </w:rPr>
              <w:t>K'</w:t>
            </w:r>
            <w:r w:rsidRPr="00FE146D">
              <w:rPr>
                <w:lang w:eastAsia="zh-CN"/>
              </w:rPr>
              <w:t xml:space="preserve"> in clause 5.2.2 of TS 38.212 [9</w:t>
            </w:r>
            <w:r w:rsidRPr="00EF40AF">
              <w:rPr>
                <w:lang w:eastAsia="zh-CN"/>
              </w:rPr>
              <w:t>].</w:t>
            </w:r>
          </w:p>
        </w:tc>
      </w:tr>
    </w:tbl>
    <w:p w14:paraId="09F5204A" w14:textId="77777777" w:rsidR="00241417" w:rsidRPr="000E0FC8" w:rsidRDefault="00241417" w:rsidP="00241417">
      <w:pPr>
        <w:rPr>
          <w:noProof/>
          <w:lang w:eastAsia="zh-CN"/>
        </w:rPr>
      </w:pPr>
    </w:p>
    <w:p w14:paraId="23360F97" w14:textId="77777777" w:rsidR="00241417" w:rsidRPr="004C46B7" w:rsidRDefault="00241417" w:rsidP="00241417">
      <w:pPr>
        <w:pStyle w:val="TH"/>
        <w:rPr>
          <w:lang w:eastAsia="zh-CN"/>
        </w:rPr>
      </w:pPr>
      <w:r w:rsidRPr="004C46B7">
        <w:rPr>
          <w:rFonts w:eastAsia="Malgun Gothic"/>
        </w:rPr>
        <w:lastRenderedPageBreak/>
        <w:t>Table A.2.1</w:t>
      </w:r>
      <w:r w:rsidRPr="008B038E">
        <w:rPr>
          <w:rFonts w:eastAsia="Malgun Gothic"/>
        </w:rPr>
        <w:t>-</w:t>
      </w:r>
      <w:r w:rsidRPr="005439D8">
        <w:rPr>
          <w:lang w:eastAsia="zh-CN"/>
        </w:rPr>
        <w:t>2</w:t>
      </w:r>
      <w:r w:rsidRPr="00FE146D">
        <w:rPr>
          <w:rFonts w:eastAsia="Malgun Gothic"/>
        </w:rPr>
        <w:t>: FRC parameters for</w:t>
      </w:r>
      <w:r w:rsidRPr="00FE146D">
        <w:rPr>
          <w:lang w:eastAsia="zh-CN"/>
        </w:rPr>
        <w:t xml:space="preserve"> FR1 PUSCH </w:t>
      </w:r>
      <w:r w:rsidRPr="00FE146D">
        <w:rPr>
          <w:rFonts w:eastAsia="Malgun Gothic"/>
        </w:rPr>
        <w:t>performance requirements</w:t>
      </w:r>
      <w:r w:rsidRPr="00EF40AF">
        <w:rPr>
          <w:lang w:eastAsia="zh-CN"/>
        </w:rPr>
        <w:t xml:space="preserve">, transform precoding disabled, </w:t>
      </w:r>
      <w:r w:rsidRPr="00CD5E5F">
        <w:rPr>
          <w:i/>
          <w:lang w:eastAsia="zh-CN"/>
        </w:rPr>
        <w:t>Additional DM-RS position = pos1</w:t>
      </w:r>
      <w:r w:rsidRPr="00CD5E5F">
        <w:rPr>
          <w:lang w:eastAsia="zh-CN"/>
        </w:rPr>
        <w:t xml:space="preserve"> and 2 transmission layers</w:t>
      </w:r>
      <w:r w:rsidRPr="00CD5E5F">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1"/>
        <w:gridCol w:w="1070"/>
        <w:gridCol w:w="1071"/>
        <w:gridCol w:w="1070"/>
        <w:gridCol w:w="1071"/>
        <w:gridCol w:w="1070"/>
        <w:gridCol w:w="1071"/>
        <w:gridCol w:w="1071"/>
      </w:tblGrid>
      <w:tr w:rsidR="00241417" w:rsidRPr="004710DC" w14:paraId="66B489C0" w14:textId="77777777" w:rsidTr="003A71DE">
        <w:trPr>
          <w:cantSplit/>
          <w:jc w:val="center"/>
        </w:trPr>
        <w:tc>
          <w:tcPr>
            <w:tcW w:w="2421" w:type="dxa"/>
          </w:tcPr>
          <w:p w14:paraId="6C00D4BE" w14:textId="77777777" w:rsidR="00241417" w:rsidRPr="004710DC" w:rsidRDefault="00241417" w:rsidP="003A71DE">
            <w:pPr>
              <w:pStyle w:val="TAH"/>
            </w:pPr>
            <w:r w:rsidRPr="004710DC">
              <w:t>Reference channel</w:t>
            </w:r>
          </w:p>
        </w:tc>
        <w:tc>
          <w:tcPr>
            <w:tcW w:w="1070" w:type="dxa"/>
          </w:tcPr>
          <w:p w14:paraId="76EE6266" w14:textId="77777777" w:rsidR="00241417" w:rsidRPr="004710DC" w:rsidRDefault="00241417" w:rsidP="003A71DE">
            <w:pPr>
              <w:pStyle w:val="TAH"/>
            </w:pPr>
            <w:r>
              <w:rPr>
                <w:lang w:eastAsia="zh-CN"/>
              </w:rPr>
              <w:t>D-FR1-A.2.1</w:t>
            </w:r>
            <w:r w:rsidRPr="004710DC">
              <w:rPr>
                <w:lang w:eastAsia="zh-CN"/>
              </w:rPr>
              <w:t>-</w:t>
            </w:r>
            <w:r>
              <w:rPr>
                <w:lang w:eastAsia="zh-CN"/>
              </w:rPr>
              <w:t>8</w:t>
            </w:r>
          </w:p>
        </w:tc>
        <w:tc>
          <w:tcPr>
            <w:tcW w:w="1071" w:type="dxa"/>
          </w:tcPr>
          <w:p w14:paraId="3241DA1E" w14:textId="77777777" w:rsidR="00241417" w:rsidRPr="004710DC" w:rsidRDefault="00241417" w:rsidP="003A71DE">
            <w:pPr>
              <w:pStyle w:val="TAH"/>
            </w:pPr>
            <w:r>
              <w:rPr>
                <w:lang w:eastAsia="zh-CN"/>
              </w:rPr>
              <w:t>D-FR1-A.2.1</w:t>
            </w:r>
            <w:r w:rsidRPr="004710DC">
              <w:rPr>
                <w:lang w:eastAsia="zh-CN"/>
              </w:rPr>
              <w:t>-</w:t>
            </w:r>
            <w:r>
              <w:rPr>
                <w:lang w:eastAsia="zh-CN"/>
              </w:rPr>
              <w:t>9</w:t>
            </w:r>
          </w:p>
        </w:tc>
        <w:tc>
          <w:tcPr>
            <w:tcW w:w="1070" w:type="dxa"/>
          </w:tcPr>
          <w:p w14:paraId="23597C81" w14:textId="77777777" w:rsidR="00241417" w:rsidRPr="004710DC" w:rsidRDefault="00241417" w:rsidP="003A71DE">
            <w:pPr>
              <w:pStyle w:val="TAH"/>
            </w:pPr>
            <w:r>
              <w:rPr>
                <w:lang w:eastAsia="zh-CN"/>
              </w:rPr>
              <w:t>D-FR1-A.2.1-10</w:t>
            </w:r>
          </w:p>
        </w:tc>
        <w:tc>
          <w:tcPr>
            <w:tcW w:w="1071" w:type="dxa"/>
          </w:tcPr>
          <w:p w14:paraId="3B0A1EE8" w14:textId="77777777" w:rsidR="00241417" w:rsidRPr="004710DC" w:rsidRDefault="00241417" w:rsidP="003A71DE">
            <w:pPr>
              <w:pStyle w:val="TAH"/>
            </w:pPr>
            <w:r>
              <w:rPr>
                <w:lang w:eastAsia="zh-CN"/>
              </w:rPr>
              <w:t>D-FR1-A.2.1</w:t>
            </w:r>
            <w:r w:rsidRPr="004710DC">
              <w:rPr>
                <w:lang w:eastAsia="zh-CN"/>
              </w:rPr>
              <w:t>-</w:t>
            </w:r>
            <w:r>
              <w:rPr>
                <w:lang w:eastAsia="zh-CN"/>
              </w:rPr>
              <w:t>11</w:t>
            </w:r>
          </w:p>
        </w:tc>
        <w:tc>
          <w:tcPr>
            <w:tcW w:w="1070" w:type="dxa"/>
          </w:tcPr>
          <w:p w14:paraId="0E506D0C" w14:textId="77777777" w:rsidR="00241417" w:rsidRPr="004710DC" w:rsidRDefault="00241417" w:rsidP="003A71DE">
            <w:pPr>
              <w:pStyle w:val="TAH"/>
            </w:pPr>
            <w:r>
              <w:rPr>
                <w:lang w:eastAsia="zh-CN"/>
              </w:rPr>
              <w:t>D-FR1-A.2.1</w:t>
            </w:r>
            <w:r w:rsidRPr="004710DC">
              <w:rPr>
                <w:lang w:eastAsia="zh-CN"/>
              </w:rPr>
              <w:t>-</w:t>
            </w:r>
            <w:r>
              <w:rPr>
                <w:lang w:eastAsia="zh-CN"/>
              </w:rPr>
              <w:t>12</w:t>
            </w:r>
          </w:p>
        </w:tc>
        <w:tc>
          <w:tcPr>
            <w:tcW w:w="1071" w:type="dxa"/>
          </w:tcPr>
          <w:p w14:paraId="3E7412C4" w14:textId="77777777" w:rsidR="00241417" w:rsidRPr="004710DC" w:rsidRDefault="00241417" w:rsidP="003A71DE">
            <w:pPr>
              <w:pStyle w:val="TAH"/>
            </w:pPr>
            <w:r>
              <w:rPr>
                <w:lang w:eastAsia="zh-CN"/>
              </w:rPr>
              <w:t>D-FR1-A.2.1</w:t>
            </w:r>
            <w:r w:rsidRPr="004710DC">
              <w:rPr>
                <w:lang w:eastAsia="zh-CN"/>
              </w:rPr>
              <w:t>-</w:t>
            </w:r>
            <w:r>
              <w:rPr>
                <w:lang w:eastAsia="zh-CN"/>
              </w:rPr>
              <w:t>13</w:t>
            </w:r>
          </w:p>
        </w:tc>
        <w:tc>
          <w:tcPr>
            <w:tcW w:w="1071" w:type="dxa"/>
          </w:tcPr>
          <w:p w14:paraId="0600C5E5" w14:textId="77777777" w:rsidR="00241417" w:rsidRPr="004710DC" w:rsidRDefault="00241417" w:rsidP="003A71DE">
            <w:pPr>
              <w:pStyle w:val="TAH"/>
              <w:rPr>
                <w:lang w:eastAsia="zh-CN"/>
              </w:rPr>
            </w:pPr>
            <w:r>
              <w:rPr>
                <w:lang w:eastAsia="zh-CN"/>
              </w:rPr>
              <w:t>D-FR1-A.2.1</w:t>
            </w:r>
            <w:r w:rsidRPr="004710DC">
              <w:rPr>
                <w:lang w:eastAsia="zh-CN"/>
              </w:rPr>
              <w:t>-</w:t>
            </w:r>
            <w:r>
              <w:rPr>
                <w:lang w:eastAsia="zh-CN"/>
              </w:rPr>
              <w:t>14</w:t>
            </w:r>
          </w:p>
        </w:tc>
      </w:tr>
      <w:tr w:rsidR="00241417" w:rsidRPr="004710DC" w14:paraId="093DFD16" w14:textId="77777777" w:rsidTr="003A71DE">
        <w:trPr>
          <w:cantSplit/>
          <w:jc w:val="center"/>
        </w:trPr>
        <w:tc>
          <w:tcPr>
            <w:tcW w:w="2421" w:type="dxa"/>
          </w:tcPr>
          <w:p w14:paraId="3715875B" w14:textId="77777777" w:rsidR="00241417" w:rsidRPr="004710DC" w:rsidRDefault="00241417" w:rsidP="003A71DE">
            <w:pPr>
              <w:pStyle w:val="TAC"/>
              <w:rPr>
                <w:lang w:eastAsia="zh-CN"/>
              </w:rPr>
            </w:pPr>
            <w:r w:rsidRPr="004710DC">
              <w:rPr>
                <w:lang w:eastAsia="zh-CN"/>
              </w:rPr>
              <w:t>Subcarrier spacing [kHz]</w:t>
            </w:r>
          </w:p>
        </w:tc>
        <w:tc>
          <w:tcPr>
            <w:tcW w:w="1070" w:type="dxa"/>
          </w:tcPr>
          <w:p w14:paraId="4FF68A85" w14:textId="77777777" w:rsidR="00241417" w:rsidRPr="004710DC" w:rsidRDefault="00241417" w:rsidP="003A71DE">
            <w:pPr>
              <w:pStyle w:val="TAC"/>
              <w:rPr>
                <w:lang w:eastAsia="zh-CN"/>
              </w:rPr>
            </w:pPr>
            <w:r w:rsidRPr="004710DC">
              <w:rPr>
                <w:lang w:eastAsia="zh-CN"/>
              </w:rPr>
              <w:t>15</w:t>
            </w:r>
          </w:p>
        </w:tc>
        <w:tc>
          <w:tcPr>
            <w:tcW w:w="1071" w:type="dxa"/>
          </w:tcPr>
          <w:p w14:paraId="402CEFB3" w14:textId="77777777" w:rsidR="00241417" w:rsidRPr="004710DC" w:rsidRDefault="00241417" w:rsidP="003A71DE">
            <w:pPr>
              <w:pStyle w:val="TAC"/>
            </w:pPr>
            <w:r w:rsidRPr="004710DC">
              <w:rPr>
                <w:lang w:eastAsia="zh-CN"/>
              </w:rPr>
              <w:t>15</w:t>
            </w:r>
          </w:p>
        </w:tc>
        <w:tc>
          <w:tcPr>
            <w:tcW w:w="1070" w:type="dxa"/>
          </w:tcPr>
          <w:p w14:paraId="16F488A3" w14:textId="77777777" w:rsidR="00241417" w:rsidRPr="004710DC" w:rsidRDefault="00241417" w:rsidP="003A71DE">
            <w:pPr>
              <w:pStyle w:val="TAC"/>
            </w:pPr>
            <w:r w:rsidRPr="004710DC">
              <w:rPr>
                <w:lang w:eastAsia="zh-CN"/>
              </w:rPr>
              <w:t>15</w:t>
            </w:r>
          </w:p>
        </w:tc>
        <w:tc>
          <w:tcPr>
            <w:tcW w:w="1071" w:type="dxa"/>
          </w:tcPr>
          <w:p w14:paraId="3E2A8A31" w14:textId="77777777" w:rsidR="00241417" w:rsidRPr="004710DC" w:rsidRDefault="00241417" w:rsidP="003A71DE">
            <w:pPr>
              <w:pStyle w:val="TAC"/>
            </w:pPr>
            <w:r w:rsidRPr="004710DC">
              <w:rPr>
                <w:lang w:eastAsia="zh-CN"/>
              </w:rPr>
              <w:t>30</w:t>
            </w:r>
          </w:p>
        </w:tc>
        <w:tc>
          <w:tcPr>
            <w:tcW w:w="1070" w:type="dxa"/>
          </w:tcPr>
          <w:p w14:paraId="01043D64" w14:textId="77777777" w:rsidR="00241417" w:rsidRPr="004710DC" w:rsidRDefault="00241417" w:rsidP="003A71DE">
            <w:pPr>
              <w:pStyle w:val="TAC"/>
            </w:pPr>
            <w:r w:rsidRPr="004710DC">
              <w:rPr>
                <w:lang w:eastAsia="zh-CN"/>
              </w:rPr>
              <w:t>30</w:t>
            </w:r>
          </w:p>
        </w:tc>
        <w:tc>
          <w:tcPr>
            <w:tcW w:w="1071" w:type="dxa"/>
          </w:tcPr>
          <w:p w14:paraId="1AB3D2AA" w14:textId="77777777" w:rsidR="00241417" w:rsidRPr="004710DC" w:rsidRDefault="00241417" w:rsidP="003A71DE">
            <w:pPr>
              <w:pStyle w:val="TAC"/>
            </w:pPr>
            <w:r w:rsidRPr="004710DC">
              <w:rPr>
                <w:lang w:eastAsia="zh-CN"/>
              </w:rPr>
              <w:t>30</w:t>
            </w:r>
          </w:p>
        </w:tc>
        <w:tc>
          <w:tcPr>
            <w:tcW w:w="1071" w:type="dxa"/>
          </w:tcPr>
          <w:p w14:paraId="7FA5731C" w14:textId="77777777" w:rsidR="00241417" w:rsidRPr="004710DC" w:rsidRDefault="00241417" w:rsidP="003A71DE">
            <w:pPr>
              <w:pStyle w:val="TAC"/>
            </w:pPr>
            <w:r w:rsidRPr="004710DC">
              <w:rPr>
                <w:lang w:eastAsia="zh-CN"/>
              </w:rPr>
              <w:t>30</w:t>
            </w:r>
          </w:p>
        </w:tc>
      </w:tr>
      <w:tr w:rsidR="00241417" w:rsidRPr="004710DC" w14:paraId="6ADDB74B" w14:textId="77777777" w:rsidTr="003A71DE">
        <w:trPr>
          <w:cantSplit/>
          <w:jc w:val="center"/>
        </w:trPr>
        <w:tc>
          <w:tcPr>
            <w:tcW w:w="2421" w:type="dxa"/>
          </w:tcPr>
          <w:p w14:paraId="2A22F342" w14:textId="77777777" w:rsidR="00241417" w:rsidRPr="004710DC" w:rsidRDefault="00241417" w:rsidP="003A71DE">
            <w:pPr>
              <w:pStyle w:val="TAC"/>
            </w:pPr>
            <w:r w:rsidRPr="004710DC">
              <w:t>Allocated resource blocks</w:t>
            </w:r>
          </w:p>
        </w:tc>
        <w:tc>
          <w:tcPr>
            <w:tcW w:w="1070" w:type="dxa"/>
          </w:tcPr>
          <w:p w14:paraId="19DB02A5" w14:textId="77777777" w:rsidR="00241417" w:rsidRPr="004710DC" w:rsidRDefault="00241417" w:rsidP="003A71DE">
            <w:pPr>
              <w:pStyle w:val="TAC"/>
            </w:pPr>
            <w:r w:rsidRPr="004710DC">
              <w:t>25</w:t>
            </w:r>
          </w:p>
        </w:tc>
        <w:tc>
          <w:tcPr>
            <w:tcW w:w="1071" w:type="dxa"/>
          </w:tcPr>
          <w:p w14:paraId="02013B5A" w14:textId="77777777" w:rsidR="00241417" w:rsidRPr="004710DC" w:rsidRDefault="00241417" w:rsidP="003A71DE">
            <w:pPr>
              <w:pStyle w:val="TAC"/>
            </w:pPr>
            <w:r w:rsidRPr="004710DC">
              <w:t>52</w:t>
            </w:r>
          </w:p>
        </w:tc>
        <w:tc>
          <w:tcPr>
            <w:tcW w:w="1070" w:type="dxa"/>
          </w:tcPr>
          <w:p w14:paraId="044EA325" w14:textId="77777777" w:rsidR="00241417" w:rsidRPr="004710DC" w:rsidRDefault="00241417" w:rsidP="003A71DE">
            <w:pPr>
              <w:pStyle w:val="TAC"/>
              <w:rPr>
                <w:lang w:eastAsia="zh-CN"/>
              </w:rPr>
            </w:pPr>
            <w:r w:rsidRPr="004710DC">
              <w:rPr>
                <w:lang w:eastAsia="zh-CN"/>
              </w:rPr>
              <w:t>106</w:t>
            </w:r>
          </w:p>
        </w:tc>
        <w:tc>
          <w:tcPr>
            <w:tcW w:w="1071" w:type="dxa"/>
          </w:tcPr>
          <w:p w14:paraId="57D585CE" w14:textId="77777777" w:rsidR="00241417" w:rsidRPr="004710DC" w:rsidRDefault="00241417" w:rsidP="003A71DE">
            <w:pPr>
              <w:pStyle w:val="TAC"/>
            </w:pPr>
            <w:r w:rsidRPr="004710DC">
              <w:t>24</w:t>
            </w:r>
          </w:p>
        </w:tc>
        <w:tc>
          <w:tcPr>
            <w:tcW w:w="1070" w:type="dxa"/>
          </w:tcPr>
          <w:p w14:paraId="357B059F" w14:textId="77777777" w:rsidR="00241417" w:rsidRPr="004710DC" w:rsidRDefault="00241417" w:rsidP="003A71DE">
            <w:pPr>
              <w:pStyle w:val="TAC"/>
            </w:pPr>
            <w:r w:rsidRPr="004710DC">
              <w:t>51</w:t>
            </w:r>
          </w:p>
        </w:tc>
        <w:tc>
          <w:tcPr>
            <w:tcW w:w="1071" w:type="dxa"/>
          </w:tcPr>
          <w:p w14:paraId="4B936E7E" w14:textId="77777777" w:rsidR="00241417" w:rsidRPr="004710DC" w:rsidRDefault="00241417" w:rsidP="003A71DE">
            <w:pPr>
              <w:pStyle w:val="TAC"/>
            </w:pPr>
            <w:r w:rsidRPr="004710DC">
              <w:t>106</w:t>
            </w:r>
          </w:p>
        </w:tc>
        <w:tc>
          <w:tcPr>
            <w:tcW w:w="1071" w:type="dxa"/>
          </w:tcPr>
          <w:p w14:paraId="7202A76B" w14:textId="77777777" w:rsidR="00241417" w:rsidRPr="004710DC" w:rsidRDefault="00241417" w:rsidP="003A71DE">
            <w:pPr>
              <w:pStyle w:val="TAC"/>
            </w:pPr>
            <w:r w:rsidRPr="004710DC">
              <w:t>273</w:t>
            </w:r>
          </w:p>
        </w:tc>
      </w:tr>
      <w:tr w:rsidR="00241417" w:rsidRPr="004710DC" w14:paraId="07105AFE" w14:textId="77777777" w:rsidTr="003A71DE">
        <w:trPr>
          <w:cantSplit/>
          <w:jc w:val="center"/>
        </w:trPr>
        <w:tc>
          <w:tcPr>
            <w:tcW w:w="2421" w:type="dxa"/>
          </w:tcPr>
          <w:p w14:paraId="56CDA929"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0" w:type="dxa"/>
          </w:tcPr>
          <w:p w14:paraId="2ADF7FE9" w14:textId="77777777" w:rsidR="00241417" w:rsidRPr="004710DC" w:rsidRDefault="00241417" w:rsidP="003A71DE">
            <w:pPr>
              <w:pStyle w:val="TAC"/>
              <w:rPr>
                <w:lang w:eastAsia="zh-CN"/>
              </w:rPr>
            </w:pPr>
            <w:r w:rsidRPr="004710DC">
              <w:rPr>
                <w:lang w:eastAsia="zh-CN"/>
              </w:rPr>
              <w:t>12</w:t>
            </w:r>
          </w:p>
        </w:tc>
        <w:tc>
          <w:tcPr>
            <w:tcW w:w="1071" w:type="dxa"/>
          </w:tcPr>
          <w:p w14:paraId="5B3AC457" w14:textId="77777777" w:rsidR="00241417" w:rsidRPr="004710DC" w:rsidRDefault="00241417" w:rsidP="003A71DE">
            <w:pPr>
              <w:pStyle w:val="TAC"/>
            </w:pPr>
            <w:r w:rsidRPr="004710DC">
              <w:rPr>
                <w:lang w:eastAsia="zh-CN"/>
              </w:rPr>
              <w:t>12</w:t>
            </w:r>
          </w:p>
        </w:tc>
        <w:tc>
          <w:tcPr>
            <w:tcW w:w="1070" w:type="dxa"/>
          </w:tcPr>
          <w:p w14:paraId="788B2E5F" w14:textId="77777777" w:rsidR="00241417" w:rsidRPr="004710DC" w:rsidRDefault="00241417" w:rsidP="003A71DE">
            <w:pPr>
              <w:pStyle w:val="TAC"/>
            </w:pPr>
            <w:r w:rsidRPr="004710DC">
              <w:rPr>
                <w:lang w:eastAsia="zh-CN"/>
              </w:rPr>
              <w:t>12</w:t>
            </w:r>
          </w:p>
        </w:tc>
        <w:tc>
          <w:tcPr>
            <w:tcW w:w="1071" w:type="dxa"/>
          </w:tcPr>
          <w:p w14:paraId="0E7EDA84" w14:textId="77777777" w:rsidR="00241417" w:rsidRPr="004710DC" w:rsidRDefault="00241417" w:rsidP="003A71DE">
            <w:pPr>
              <w:pStyle w:val="TAC"/>
            </w:pPr>
            <w:r w:rsidRPr="004710DC">
              <w:rPr>
                <w:lang w:eastAsia="zh-CN"/>
              </w:rPr>
              <w:t>12</w:t>
            </w:r>
          </w:p>
        </w:tc>
        <w:tc>
          <w:tcPr>
            <w:tcW w:w="1070" w:type="dxa"/>
          </w:tcPr>
          <w:p w14:paraId="3391B1ED" w14:textId="77777777" w:rsidR="00241417" w:rsidRPr="004710DC" w:rsidRDefault="00241417" w:rsidP="003A71DE">
            <w:pPr>
              <w:pStyle w:val="TAC"/>
            </w:pPr>
            <w:r w:rsidRPr="004710DC">
              <w:rPr>
                <w:lang w:eastAsia="zh-CN"/>
              </w:rPr>
              <w:t>12</w:t>
            </w:r>
          </w:p>
        </w:tc>
        <w:tc>
          <w:tcPr>
            <w:tcW w:w="1071" w:type="dxa"/>
          </w:tcPr>
          <w:p w14:paraId="77639EDF" w14:textId="77777777" w:rsidR="00241417" w:rsidRPr="004710DC" w:rsidRDefault="00241417" w:rsidP="003A71DE">
            <w:pPr>
              <w:pStyle w:val="TAC"/>
            </w:pPr>
            <w:r w:rsidRPr="004710DC">
              <w:rPr>
                <w:lang w:eastAsia="zh-CN"/>
              </w:rPr>
              <w:t>12</w:t>
            </w:r>
          </w:p>
        </w:tc>
        <w:tc>
          <w:tcPr>
            <w:tcW w:w="1071" w:type="dxa"/>
          </w:tcPr>
          <w:p w14:paraId="43D2BFAE" w14:textId="77777777" w:rsidR="00241417" w:rsidRPr="004710DC" w:rsidRDefault="00241417" w:rsidP="003A71DE">
            <w:pPr>
              <w:pStyle w:val="TAC"/>
            </w:pPr>
            <w:r w:rsidRPr="004710DC">
              <w:rPr>
                <w:lang w:eastAsia="zh-CN"/>
              </w:rPr>
              <w:t>12</w:t>
            </w:r>
          </w:p>
        </w:tc>
      </w:tr>
      <w:tr w:rsidR="00241417" w:rsidRPr="004710DC" w14:paraId="2346C06F" w14:textId="77777777" w:rsidTr="003A71DE">
        <w:trPr>
          <w:cantSplit/>
          <w:jc w:val="center"/>
        </w:trPr>
        <w:tc>
          <w:tcPr>
            <w:tcW w:w="2421" w:type="dxa"/>
          </w:tcPr>
          <w:p w14:paraId="197F8184" w14:textId="77777777" w:rsidR="00241417" w:rsidRPr="004710DC" w:rsidRDefault="00241417" w:rsidP="003A71DE">
            <w:pPr>
              <w:pStyle w:val="TAC"/>
            </w:pPr>
            <w:r w:rsidRPr="004710DC">
              <w:t>Modulation</w:t>
            </w:r>
          </w:p>
        </w:tc>
        <w:tc>
          <w:tcPr>
            <w:tcW w:w="1070" w:type="dxa"/>
          </w:tcPr>
          <w:p w14:paraId="4B98641E" w14:textId="77777777" w:rsidR="00241417" w:rsidRPr="004710DC" w:rsidRDefault="00241417" w:rsidP="003A71DE">
            <w:pPr>
              <w:pStyle w:val="TAC"/>
              <w:rPr>
                <w:lang w:eastAsia="zh-CN"/>
              </w:rPr>
            </w:pPr>
            <w:r w:rsidRPr="004710DC">
              <w:rPr>
                <w:lang w:eastAsia="zh-CN"/>
              </w:rPr>
              <w:t>QPSK</w:t>
            </w:r>
          </w:p>
        </w:tc>
        <w:tc>
          <w:tcPr>
            <w:tcW w:w="1071" w:type="dxa"/>
          </w:tcPr>
          <w:p w14:paraId="3045B176" w14:textId="77777777" w:rsidR="00241417" w:rsidRPr="004710DC" w:rsidRDefault="00241417" w:rsidP="003A71DE">
            <w:pPr>
              <w:pStyle w:val="TAC"/>
              <w:rPr>
                <w:lang w:eastAsia="zh-CN"/>
              </w:rPr>
            </w:pPr>
            <w:r w:rsidRPr="004710DC">
              <w:rPr>
                <w:lang w:eastAsia="zh-CN"/>
              </w:rPr>
              <w:t>QPSK</w:t>
            </w:r>
          </w:p>
        </w:tc>
        <w:tc>
          <w:tcPr>
            <w:tcW w:w="1070" w:type="dxa"/>
          </w:tcPr>
          <w:p w14:paraId="7CB5B82E" w14:textId="77777777" w:rsidR="00241417" w:rsidRPr="004710DC" w:rsidRDefault="00241417" w:rsidP="003A71DE">
            <w:pPr>
              <w:pStyle w:val="TAC"/>
              <w:rPr>
                <w:lang w:eastAsia="zh-CN"/>
              </w:rPr>
            </w:pPr>
            <w:r w:rsidRPr="004710DC">
              <w:rPr>
                <w:lang w:eastAsia="zh-CN"/>
              </w:rPr>
              <w:t>QPSK</w:t>
            </w:r>
          </w:p>
        </w:tc>
        <w:tc>
          <w:tcPr>
            <w:tcW w:w="1071" w:type="dxa"/>
          </w:tcPr>
          <w:p w14:paraId="6267C561" w14:textId="77777777" w:rsidR="00241417" w:rsidRPr="004710DC" w:rsidRDefault="00241417" w:rsidP="003A71DE">
            <w:pPr>
              <w:pStyle w:val="TAC"/>
              <w:rPr>
                <w:lang w:eastAsia="zh-CN"/>
              </w:rPr>
            </w:pPr>
            <w:r w:rsidRPr="004710DC">
              <w:rPr>
                <w:lang w:eastAsia="zh-CN"/>
              </w:rPr>
              <w:t>QPSK</w:t>
            </w:r>
          </w:p>
        </w:tc>
        <w:tc>
          <w:tcPr>
            <w:tcW w:w="1070" w:type="dxa"/>
          </w:tcPr>
          <w:p w14:paraId="420C0011" w14:textId="77777777" w:rsidR="00241417" w:rsidRPr="004710DC" w:rsidRDefault="00241417" w:rsidP="003A71DE">
            <w:pPr>
              <w:pStyle w:val="TAC"/>
              <w:rPr>
                <w:lang w:eastAsia="zh-CN"/>
              </w:rPr>
            </w:pPr>
            <w:r w:rsidRPr="004710DC">
              <w:rPr>
                <w:lang w:eastAsia="zh-CN"/>
              </w:rPr>
              <w:t>QPSK</w:t>
            </w:r>
          </w:p>
        </w:tc>
        <w:tc>
          <w:tcPr>
            <w:tcW w:w="1071" w:type="dxa"/>
          </w:tcPr>
          <w:p w14:paraId="616B603E" w14:textId="77777777" w:rsidR="00241417" w:rsidRPr="004710DC" w:rsidRDefault="00241417" w:rsidP="003A71DE">
            <w:pPr>
              <w:pStyle w:val="TAC"/>
              <w:rPr>
                <w:lang w:eastAsia="zh-CN"/>
              </w:rPr>
            </w:pPr>
            <w:r w:rsidRPr="004710DC">
              <w:rPr>
                <w:lang w:eastAsia="zh-CN"/>
              </w:rPr>
              <w:t>QPSK</w:t>
            </w:r>
          </w:p>
        </w:tc>
        <w:tc>
          <w:tcPr>
            <w:tcW w:w="1071" w:type="dxa"/>
          </w:tcPr>
          <w:p w14:paraId="6F582315" w14:textId="77777777" w:rsidR="00241417" w:rsidRPr="004710DC" w:rsidRDefault="00241417" w:rsidP="003A71DE">
            <w:pPr>
              <w:pStyle w:val="TAC"/>
              <w:rPr>
                <w:lang w:eastAsia="zh-CN"/>
              </w:rPr>
            </w:pPr>
            <w:r w:rsidRPr="004710DC">
              <w:rPr>
                <w:lang w:eastAsia="zh-CN"/>
              </w:rPr>
              <w:t>QPSK</w:t>
            </w:r>
          </w:p>
        </w:tc>
      </w:tr>
      <w:tr w:rsidR="00241417" w:rsidRPr="004710DC" w14:paraId="6B3D5048" w14:textId="77777777" w:rsidTr="003A71DE">
        <w:trPr>
          <w:cantSplit/>
          <w:jc w:val="center"/>
        </w:trPr>
        <w:tc>
          <w:tcPr>
            <w:tcW w:w="2421" w:type="dxa"/>
          </w:tcPr>
          <w:p w14:paraId="6C513A10" w14:textId="77777777" w:rsidR="00241417" w:rsidRPr="004710DC" w:rsidRDefault="00241417" w:rsidP="003A71DE">
            <w:pPr>
              <w:pStyle w:val="TAC"/>
            </w:pPr>
            <w:r>
              <w:t>Code Rate</w:t>
            </w:r>
          </w:p>
        </w:tc>
        <w:tc>
          <w:tcPr>
            <w:tcW w:w="1070" w:type="dxa"/>
          </w:tcPr>
          <w:p w14:paraId="032D6C8E" w14:textId="77777777" w:rsidR="00241417" w:rsidRPr="004710DC" w:rsidRDefault="00241417" w:rsidP="003A71DE">
            <w:pPr>
              <w:pStyle w:val="TAC"/>
              <w:rPr>
                <w:lang w:eastAsia="zh-CN"/>
              </w:rPr>
            </w:pPr>
            <w:r w:rsidRPr="004710DC">
              <w:rPr>
                <w:lang w:eastAsia="zh-CN"/>
              </w:rPr>
              <w:t>193/1024</w:t>
            </w:r>
          </w:p>
        </w:tc>
        <w:tc>
          <w:tcPr>
            <w:tcW w:w="1071" w:type="dxa"/>
          </w:tcPr>
          <w:p w14:paraId="00AA3711" w14:textId="77777777" w:rsidR="00241417" w:rsidRPr="004710DC" w:rsidRDefault="00241417" w:rsidP="003A71DE">
            <w:pPr>
              <w:pStyle w:val="TAC"/>
              <w:rPr>
                <w:lang w:eastAsia="zh-CN"/>
              </w:rPr>
            </w:pPr>
            <w:r w:rsidRPr="004710DC">
              <w:rPr>
                <w:lang w:eastAsia="zh-CN"/>
              </w:rPr>
              <w:t>193/1024</w:t>
            </w:r>
          </w:p>
        </w:tc>
        <w:tc>
          <w:tcPr>
            <w:tcW w:w="1070" w:type="dxa"/>
          </w:tcPr>
          <w:p w14:paraId="1D0F327D" w14:textId="77777777" w:rsidR="00241417" w:rsidRPr="004710DC" w:rsidRDefault="00241417" w:rsidP="003A71DE">
            <w:pPr>
              <w:pStyle w:val="TAC"/>
              <w:rPr>
                <w:lang w:eastAsia="zh-CN"/>
              </w:rPr>
            </w:pPr>
            <w:r w:rsidRPr="004710DC">
              <w:rPr>
                <w:lang w:eastAsia="zh-CN"/>
              </w:rPr>
              <w:t>193/1024</w:t>
            </w:r>
          </w:p>
        </w:tc>
        <w:tc>
          <w:tcPr>
            <w:tcW w:w="1071" w:type="dxa"/>
          </w:tcPr>
          <w:p w14:paraId="6B10AF6E" w14:textId="77777777" w:rsidR="00241417" w:rsidRPr="004710DC" w:rsidRDefault="00241417" w:rsidP="003A71DE">
            <w:pPr>
              <w:pStyle w:val="TAC"/>
              <w:rPr>
                <w:lang w:eastAsia="zh-CN"/>
              </w:rPr>
            </w:pPr>
            <w:r w:rsidRPr="004710DC">
              <w:rPr>
                <w:lang w:eastAsia="zh-CN"/>
              </w:rPr>
              <w:t>193/1024</w:t>
            </w:r>
          </w:p>
        </w:tc>
        <w:tc>
          <w:tcPr>
            <w:tcW w:w="1070" w:type="dxa"/>
          </w:tcPr>
          <w:p w14:paraId="7A270DB3" w14:textId="77777777" w:rsidR="00241417" w:rsidRPr="004710DC" w:rsidRDefault="00241417" w:rsidP="003A71DE">
            <w:pPr>
              <w:pStyle w:val="TAC"/>
              <w:rPr>
                <w:lang w:eastAsia="zh-CN"/>
              </w:rPr>
            </w:pPr>
            <w:r w:rsidRPr="004710DC">
              <w:rPr>
                <w:lang w:eastAsia="zh-CN"/>
              </w:rPr>
              <w:t>193/1024</w:t>
            </w:r>
          </w:p>
        </w:tc>
        <w:tc>
          <w:tcPr>
            <w:tcW w:w="1071" w:type="dxa"/>
          </w:tcPr>
          <w:p w14:paraId="4745827D" w14:textId="77777777" w:rsidR="00241417" w:rsidRPr="004710DC" w:rsidRDefault="00241417" w:rsidP="003A71DE">
            <w:pPr>
              <w:pStyle w:val="TAC"/>
              <w:rPr>
                <w:lang w:eastAsia="zh-CN"/>
              </w:rPr>
            </w:pPr>
            <w:r w:rsidRPr="004710DC">
              <w:rPr>
                <w:lang w:eastAsia="zh-CN"/>
              </w:rPr>
              <w:t>193/1024</w:t>
            </w:r>
          </w:p>
        </w:tc>
        <w:tc>
          <w:tcPr>
            <w:tcW w:w="1071" w:type="dxa"/>
          </w:tcPr>
          <w:p w14:paraId="50ABD5FE" w14:textId="77777777" w:rsidR="00241417" w:rsidRPr="004710DC" w:rsidRDefault="00241417" w:rsidP="003A71DE">
            <w:pPr>
              <w:pStyle w:val="TAC"/>
              <w:rPr>
                <w:lang w:eastAsia="zh-CN"/>
              </w:rPr>
            </w:pPr>
            <w:r w:rsidRPr="004710DC">
              <w:rPr>
                <w:lang w:eastAsia="zh-CN"/>
              </w:rPr>
              <w:t>193/1024</w:t>
            </w:r>
          </w:p>
        </w:tc>
      </w:tr>
      <w:tr w:rsidR="00241417" w:rsidRPr="004710DC" w14:paraId="7092DAEE" w14:textId="77777777" w:rsidTr="003A71DE">
        <w:trPr>
          <w:cantSplit/>
          <w:jc w:val="center"/>
        </w:trPr>
        <w:tc>
          <w:tcPr>
            <w:tcW w:w="2421" w:type="dxa"/>
          </w:tcPr>
          <w:p w14:paraId="2A3DC049" w14:textId="77777777" w:rsidR="00241417" w:rsidRPr="004710DC" w:rsidRDefault="00241417" w:rsidP="003A71DE">
            <w:pPr>
              <w:pStyle w:val="TAC"/>
            </w:pPr>
            <w:r w:rsidRPr="004710DC">
              <w:t>Payload size (bits)</w:t>
            </w:r>
          </w:p>
        </w:tc>
        <w:tc>
          <w:tcPr>
            <w:tcW w:w="1070" w:type="dxa"/>
            <w:vAlign w:val="center"/>
          </w:tcPr>
          <w:p w14:paraId="1E067A2D" w14:textId="77777777" w:rsidR="00241417" w:rsidRPr="004710DC" w:rsidRDefault="00241417" w:rsidP="003A71DE">
            <w:pPr>
              <w:pStyle w:val="TAC"/>
              <w:rPr>
                <w:lang w:eastAsia="zh-CN"/>
              </w:rPr>
            </w:pPr>
            <w:r w:rsidRPr="004710DC">
              <w:rPr>
                <w:lang w:eastAsia="zh-CN"/>
              </w:rPr>
              <w:t>2728</w:t>
            </w:r>
          </w:p>
        </w:tc>
        <w:tc>
          <w:tcPr>
            <w:tcW w:w="1071" w:type="dxa"/>
            <w:vAlign w:val="center"/>
          </w:tcPr>
          <w:p w14:paraId="7989D906" w14:textId="77777777" w:rsidR="00241417" w:rsidRPr="004710DC" w:rsidRDefault="00241417" w:rsidP="003A71DE">
            <w:pPr>
              <w:pStyle w:val="TAC"/>
              <w:rPr>
                <w:lang w:eastAsia="zh-CN"/>
              </w:rPr>
            </w:pPr>
            <w:r w:rsidRPr="004710DC">
              <w:rPr>
                <w:lang w:eastAsia="zh-CN"/>
              </w:rPr>
              <w:t>5640</w:t>
            </w:r>
          </w:p>
        </w:tc>
        <w:tc>
          <w:tcPr>
            <w:tcW w:w="1070" w:type="dxa"/>
            <w:vAlign w:val="center"/>
          </w:tcPr>
          <w:p w14:paraId="3857C2BA" w14:textId="77777777" w:rsidR="00241417" w:rsidRPr="004710DC" w:rsidRDefault="00241417" w:rsidP="003A71DE">
            <w:pPr>
              <w:pStyle w:val="TAC"/>
              <w:rPr>
                <w:lang w:eastAsia="zh-CN"/>
              </w:rPr>
            </w:pPr>
            <w:r w:rsidRPr="004710DC">
              <w:rPr>
                <w:lang w:eastAsia="zh-CN"/>
              </w:rPr>
              <w:t>11528</w:t>
            </w:r>
          </w:p>
        </w:tc>
        <w:tc>
          <w:tcPr>
            <w:tcW w:w="1071" w:type="dxa"/>
            <w:vAlign w:val="center"/>
          </w:tcPr>
          <w:p w14:paraId="19D623AD" w14:textId="77777777" w:rsidR="00241417" w:rsidRPr="004710DC" w:rsidRDefault="00241417" w:rsidP="003A71DE">
            <w:pPr>
              <w:pStyle w:val="TAC"/>
              <w:rPr>
                <w:lang w:eastAsia="zh-CN"/>
              </w:rPr>
            </w:pPr>
            <w:r w:rsidRPr="004710DC">
              <w:rPr>
                <w:lang w:eastAsia="zh-CN"/>
              </w:rPr>
              <w:t>2600</w:t>
            </w:r>
          </w:p>
        </w:tc>
        <w:tc>
          <w:tcPr>
            <w:tcW w:w="1070" w:type="dxa"/>
            <w:vAlign w:val="center"/>
          </w:tcPr>
          <w:p w14:paraId="47236FFA" w14:textId="77777777" w:rsidR="00241417" w:rsidRPr="004710DC" w:rsidRDefault="00241417" w:rsidP="003A71DE">
            <w:pPr>
              <w:pStyle w:val="TAC"/>
              <w:rPr>
                <w:lang w:eastAsia="zh-CN"/>
              </w:rPr>
            </w:pPr>
            <w:r w:rsidRPr="004710DC">
              <w:rPr>
                <w:lang w:eastAsia="zh-CN"/>
              </w:rPr>
              <w:t>5512</w:t>
            </w:r>
          </w:p>
        </w:tc>
        <w:tc>
          <w:tcPr>
            <w:tcW w:w="1071" w:type="dxa"/>
          </w:tcPr>
          <w:p w14:paraId="358B9247" w14:textId="77777777" w:rsidR="00241417" w:rsidRPr="004710DC" w:rsidRDefault="00241417" w:rsidP="003A71DE">
            <w:pPr>
              <w:pStyle w:val="TAC"/>
              <w:rPr>
                <w:lang w:eastAsia="zh-CN"/>
              </w:rPr>
            </w:pPr>
            <w:r w:rsidRPr="004710DC">
              <w:rPr>
                <w:lang w:eastAsia="zh-CN"/>
              </w:rPr>
              <w:t>11528</w:t>
            </w:r>
          </w:p>
        </w:tc>
        <w:tc>
          <w:tcPr>
            <w:tcW w:w="1071" w:type="dxa"/>
          </w:tcPr>
          <w:p w14:paraId="46777A12" w14:textId="77777777" w:rsidR="00241417" w:rsidRPr="004710DC" w:rsidRDefault="00241417" w:rsidP="003A71DE">
            <w:pPr>
              <w:pStyle w:val="TAC"/>
              <w:rPr>
                <w:lang w:eastAsia="zh-CN"/>
              </w:rPr>
            </w:pPr>
            <w:r w:rsidRPr="004710DC">
              <w:rPr>
                <w:lang w:eastAsia="zh-CN"/>
              </w:rPr>
              <w:t>29736</w:t>
            </w:r>
          </w:p>
        </w:tc>
      </w:tr>
      <w:tr w:rsidR="00241417" w:rsidRPr="004710DC" w14:paraId="584AC42B" w14:textId="77777777" w:rsidTr="003A71DE">
        <w:trPr>
          <w:cantSplit/>
          <w:jc w:val="center"/>
        </w:trPr>
        <w:tc>
          <w:tcPr>
            <w:tcW w:w="2421" w:type="dxa"/>
          </w:tcPr>
          <w:p w14:paraId="4CE5C6DC" w14:textId="77777777" w:rsidR="00241417" w:rsidRPr="004710DC" w:rsidRDefault="00241417" w:rsidP="003A71DE">
            <w:pPr>
              <w:pStyle w:val="TAC"/>
            </w:pPr>
            <w:r w:rsidRPr="004710DC">
              <w:t>Transport block CRC (bits)</w:t>
            </w:r>
          </w:p>
        </w:tc>
        <w:tc>
          <w:tcPr>
            <w:tcW w:w="1070" w:type="dxa"/>
          </w:tcPr>
          <w:p w14:paraId="260ABD11" w14:textId="77777777" w:rsidR="00241417" w:rsidRPr="004710DC" w:rsidRDefault="00241417" w:rsidP="003A71DE">
            <w:pPr>
              <w:pStyle w:val="TAC"/>
              <w:rPr>
                <w:lang w:eastAsia="zh-CN"/>
              </w:rPr>
            </w:pPr>
            <w:r w:rsidRPr="004710DC">
              <w:rPr>
                <w:lang w:eastAsia="zh-CN"/>
              </w:rPr>
              <w:t>16</w:t>
            </w:r>
          </w:p>
        </w:tc>
        <w:tc>
          <w:tcPr>
            <w:tcW w:w="1071" w:type="dxa"/>
          </w:tcPr>
          <w:p w14:paraId="0503F22C" w14:textId="77777777" w:rsidR="00241417" w:rsidRPr="004710DC" w:rsidRDefault="00241417" w:rsidP="003A71DE">
            <w:pPr>
              <w:pStyle w:val="TAC"/>
              <w:rPr>
                <w:lang w:eastAsia="zh-CN"/>
              </w:rPr>
            </w:pPr>
            <w:r w:rsidRPr="004710DC">
              <w:rPr>
                <w:lang w:eastAsia="zh-CN"/>
              </w:rPr>
              <w:t>24</w:t>
            </w:r>
          </w:p>
        </w:tc>
        <w:tc>
          <w:tcPr>
            <w:tcW w:w="1070" w:type="dxa"/>
          </w:tcPr>
          <w:p w14:paraId="036E2FEB" w14:textId="77777777" w:rsidR="00241417" w:rsidRPr="004710DC" w:rsidRDefault="00241417" w:rsidP="003A71DE">
            <w:pPr>
              <w:pStyle w:val="TAC"/>
              <w:rPr>
                <w:lang w:eastAsia="zh-CN"/>
              </w:rPr>
            </w:pPr>
            <w:r w:rsidRPr="004710DC">
              <w:rPr>
                <w:lang w:eastAsia="zh-CN"/>
              </w:rPr>
              <w:t>24</w:t>
            </w:r>
          </w:p>
        </w:tc>
        <w:tc>
          <w:tcPr>
            <w:tcW w:w="1071" w:type="dxa"/>
          </w:tcPr>
          <w:p w14:paraId="35310B1C" w14:textId="77777777" w:rsidR="00241417" w:rsidRPr="004710DC" w:rsidRDefault="00241417" w:rsidP="003A71DE">
            <w:pPr>
              <w:pStyle w:val="TAC"/>
              <w:rPr>
                <w:lang w:eastAsia="zh-CN"/>
              </w:rPr>
            </w:pPr>
            <w:r w:rsidRPr="004710DC">
              <w:rPr>
                <w:lang w:eastAsia="zh-CN"/>
              </w:rPr>
              <w:t>16</w:t>
            </w:r>
          </w:p>
        </w:tc>
        <w:tc>
          <w:tcPr>
            <w:tcW w:w="1070" w:type="dxa"/>
          </w:tcPr>
          <w:p w14:paraId="3584089D" w14:textId="77777777" w:rsidR="00241417" w:rsidRPr="004710DC" w:rsidRDefault="00241417" w:rsidP="003A71DE">
            <w:pPr>
              <w:pStyle w:val="TAC"/>
              <w:rPr>
                <w:lang w:eastAsia="zh-CN"/>
              </w:rPr>
            </w:pPr>
            <w:r w:rsidRPr="004710DC">
              <w:rPr>
                <w:lang w:eastAsia="zh-CN"/>
              </w:rPr>
              <w:t>24</w:t>
            </w:r>
          </w:p>
        </w:tc>
        <w:tc>
          <w:tcPr>
            <w:tcW w:w="1071" w:type="dxa"/>
          </w:tcPr>
          <w:p w14:paraId="254B47E7" w14:textId="77777777" w:rsidR="00241417" w:rsidRPr="004710DC" w:rsidRDefault="00241417" w:rsidP="003A71DE">
            <w:pPr>
              <w:pStyle w:val="TAC"/>
              <w:rPr>
                <w:lang w:eastAsia="zh-CN"/>
              </w:rPr>
            </w:pPr>
            <w:r w:rsidRPr="004710DC">
              <w:rPr>
                <w:lang w:eastAsia="zh-CN"/>
              </w:rPr>
              <w:t>24</w:t>
            </w:r>
          </w:p>
        </w:tc>
        <w:tc>
          <w:tcPr>
            <w:tcW w:w="1071" w:type="dxa"/>
          </w:tcPr>
          <w:p w14:paraId="54122CBA" w14:textId="77777777" w:rsidR="00241417" w:rsidRPr="004710DC" w:rsidRDefault="00241417" w:rsidP="003A71DE">
            <w:pPr>
              <w:pStyle w:val="TAC"/>
              <w:rPr>
                <w:lang w:eastAsia="zh-CN"/>
              </w:rPr>
            </w:pPr>
            <w:r w:rsidRPr="004710DC">
              <w:rPr>
                <w:lang w:eastAsia="zh-CN"/>
              </w:rPr>
              <w:t>24</w:t>
            </w:r>
          </w:p>
        </w:tc>
      </w:tr>
      <w:tr w:rsidR="00241417" w:rsidRPr="004710DC" w14:paraId="79B69A99" w14:textId="77777777" w:rsidTr="003A71DE">
        <w:trPr>
          <w:cantSplit/>
          <w:jc w:val="center"/>
        </w:trPr>
        <w:tc>
          <w:tcPr>
            <w:tcW w:w="2421" w:type="dxa"/>
          </w:tcPr>
          <w:p w14:paraId="47549557" w14:textId="77777777" w:rsidR="00241417" w:rsidRPr="00766BC2" w:rsidRDefault="00241417" w:rsidP="003A71DE">
            <w:pPr>
              <w:pStyle w:val="TAC"/>
            </w:pPr>
            <w:r w:rsidRPr="000E0FC8">
              <w:t>Code block CRC size (bits)</w:t>
            </w:r>
          </w:p>
        </w:tc>
        <w:tc>
          <w:tcPr>
            <w:tcW w:w="1070" w:type="dxa"/>
            <w:vAlign w:val="center"/>
          </w:tcPr>
          <w:p w14:paraId="12F1FDC7" w14:textId="77777777" w:rsidR="00241417" w:rsidRPr="004710DC" w:rsidRDefault="00241417" w:rsidP="003A71DE">
            <w:pPr>
              <w:pStyle w:val="TAC"/>
              <w:rPr>
                <w:lang w:eastAsia="zh-CN"/>
              </w:rPr>
            </w:pPr>
            <w:r w:rsidRPr="004710DC">
              <w:rPr>
                <w:lang w:eastAsia="zh-CN"/>
              </w:rPr>
              <w:t>-</w:t>
            </w:r>
          </w:p>
        </w:tc>
        <w:tc>
          <w:tcPr>
            <w:tcW w:w="1071" w:type="dxa"/>
          </w:tcPr>
          <w:p w14:paraId="68A18698" w14:textId="77777777" w:rsidR="00241417" w:rsidRPr="004710DC" w:rsidRDefault="00241417" w:rsidP="003A71DE">
            <w:pPr>
              <w:pStyle w:val="TAC"/>
              <w:rPr>
                <w:lang w:eastAsia="zh-CN"/>
              </w:rPr>
            </w:pPr>
            <w:r w:rsidRPr="004710DC">
              <w:rPr>
                <w:lang w:eastAsia="zh-CN"/>
              </w:rPr>
              <w:t>24</w:t>
            </w:r>
          </w:p>
        </w:tc>
        <w:tc>
          <w:tcPr>
            <w:tcW w:w="1070" w:type="dxa"/>
          </w:tcPr>
          <w:p w14:paraId="17B5641E" w14:textId="77777777" w:rsidR="00241417" w:rsidRPr="004710DC" w:rsidRDefault="00241417" w:rsidP="003A71DE">
            <w:pPr>
              <w:pStyle w:val="TAC"/>
              <w:rPr>
                <w:lang w:eastAsia="zh-CN"/>
              </w:rPr>
            </w:pPr>
            <w:r w:rsidRPr="004710DC">
              <w:rPr>
                <w:lang w:eastAsia="zh-CN"/>
              </w:rPr>
              <w:t>24</w:t>
            </w:r>
          </w:p>
        </w:tc>
        <w:tc>
          <w:tcPr>
            <w:tcW w:w="1071" w:type="dxa"/>
            <w:vAlign w:val="center"/>
          </w:tcPr>
          <w:p w14:paraId="24CE7FC8" w14:textId="77777777" w:rsidR="00241417" w:rsidRPr="004710DC" w:rsidRDefault="00241417" w:rsidP="003A71DE">
            <w:pPr>
              <w:pStyle w:val="TAC"/>
              <w:rPr>
                <w:lang w:eastAsia="zh-CN"/>
              </w:rPr>
            </w:pPr>
            <w:r w:rsidRPr="004710DC">
              <w:rPr>
                <w:lang w:eastAsia="zh-CN"/>
              </w:rPr>
              <w:t>-</w:t>
            </w:r>
          </w:p>
        </w:tc>
        <w:tc>
          <w:tcPr>
            <w:tcW w:w="1070" w:type="dxa"/>
          </w:tcPr>
          <w:p w14:paraId="2108EDEE" w14:textId="77777777" w:rsidR="00241417" w:rsidRPr="004710DC" w:rsidRDefault="00241417" w:rsidP="003A71DE">
            <w:pPr>
              <w:pStyle w:val="TAC"/>
              <w:rPr>
                <w:lang w:eastAsia="zh-CN"/>
              </w:rPr>
            </w:pPr>
            <w:r w:rsidRPr="004710DC">
              <w:rPr>
                <w:lang w:eastAsia="zh-CN"/>
              </w:rPr>
              <w:t>24</w:t>
            </w:r>
          </w:p>
        </w:tc>
        <w:tc>
          <w:tcPr>
            <w:tcW w:w="1071" w:type="dxa"/>
          </w:tcPr>
          <w:p w14:paraId="6E9C87DE" w14:textId="77777777" w:rsidR="00241417" w:rsidRPr="004710DC" w:rsidRDefault="00241417" w:rsidP="003A71DE">
            <w:pPr>
              <w:pStyle w:val="TAC"/>
              <w:rPr>
                <w:lang w:eastAsia="zh-CN"/>
              </w:rPr>
            </w:pPr>
            <w:r w:rsidRPr="004710DC">
              <w:rPr>
                <w:lang w:eastAsia="zh-CN"/>
              </w:rPr>
              <w:t>24</w:t>
            </w:r>
          </w:p>
        </w:tc>
        <w:tc>
          <w:tcPr>
            <w:tcW w:w="1071" w:type="dxa"/>
          </w:tcPr>
          <w:p w14:paraId="061549A3" w14:textId="77777777" w:rsidR="00241417" w:rsidRPr="004710DC" w:rsidRDefault="00241417" w:rsidP="003A71DE">
            <w:pPr>
              <w:pStyle w:val="TAC"/>
              <w:rPr>
                <w:lang w:eastAsia="zh-CN"/>
              </w:rPr>
            </w:pPr>
            <w:r w:rsidRPr="004710DC">
              <w:rPr>
                <w:lang w:eastAsia="zh-CN"/>
              </w:rPr>
              <w:t>24</w:t>
            </w:r>
          </w:p>
        </w:tc>
      </w:tr>
      <w:tr w:rsidR="00241417" w:rsidRPr="004710DC" w14:paraId="312E179D" w14:textId="77777777" w:rsidTr="003A71DE">
        <w:trPr>
          <w:cantSplit/>
          <w:jc w:val="center"/>
        </w:trPr>
        <w:tc>
          <w:tcPr>
            <w:tcW w:w="2421" w:type="dxa"/>
          </w:tcPr>
          <w:p w14:paraId="6D55DC1C" w14:textId="77777777" w:rsidR="00241417" w:rsidRPr="00333EE0" w:rsidRDefault="00241417" w:rsidP="003A71DE">
            <w:pPr>
              <w:pStyle w:val="TAC"/>
            </w:pPr>
            <w:r w:rsidRPr="00333EE0">
              <w:t>Number of code blocks - C</w:t>
            </w:r>
          </w:p>
        </w:tc>
        <w:tc>
          <w:tcPr>
            <w:tcW w:w="1070" w:type="dxa"/>
            <w:vAlign w:val="center"/>
          </w:tcPr>
          <w:p w14:paraId="11EA1A2E" w14:textId="77777777" w:rsidR="00241417" w:rsidRPr="004710DC" w:rsidRDefault="00241417" w:rsidP="003A71DE">
            <w:pPr>
              <w:pStyle w:val="TAC"/>
              <w:rPr>
                <w:lang w:eastAsia="zh-CN"/>
              </w:rPr>
            </w:pPr>
            <w:r w:rsidRPr="004710DC">
              <w:rPr>
                <w:lang w:eastAsia="zh-CN"/>
              </w:rPr>
              <w:t>1</w:t>
            </w:r>
          </w:p>
        </w:tc>
        <w:tc>
          <w:tcPr>
            <w:tcW w:w="1071" w:type="dxa"/>
            <w:vAlign w:val="center"/>
          </w:tcPr>
          <w:p w14:paraId="5CFB21DD" w14:textId="77777777" w:rsidR="00241417" w:rsidRPr="004710DC" w:rsidRDefault="00241417" w:rsidP="003A71DE">
            <w:pPr>
              <w:pStyle w:val="TAC"/>
              <w:rPr>
                <w:lang w:eastAsia="zh-CN"/>
              </w:rPr>
            </w:pPr>
            <w:r w:rsidRPr="004710DC">
              <w:rPr>
                <w:lang w:eastAsia="zh-CN"/>
              </w:rPr>
              <w:t>2</w:t>
            </w:r>
          </w:p>
        </w:tc>
        <w:tc>
          <w:tcPr>
            <w:tcW w:w="1070" w:type="dxa"/>
          </w:tcPr>
          <w:p w14:paraId="294EFC3E" w14:textId="77777777" w:rsidR="00241417" w:rsidRPr="004710DC" w:rsidRDefault="00241417" w:rsidP="003A71DE">
            <w:pPr>
              <w:pStyle w:val="TAC"/>
              <w:rPr>
                <w:lang w:eastAsia="zh-CN"/>
              </w:rPr>
            </w:pPr>
            <w:r w:rsidRPr="004710DC">
              <w:rPr>
                <w:lang w:eastAsia="zh-CN"/>
              </w:rPr>
              <w:t>4</w:t>
            </w:r>
          </w:p>
        </w:tc>
        <w:tc>
          <w:tcPr>
            <w:tcW w:w="1071" w:type="dxa"/>
            <w:vAlign w:val="center"/>
          </w:tcPr>
          <w:p w14:paraId="562FB203" w14:textId="77777777" w:rsidR="00241417" w:rsidRPr="004710DC" w:rsidRDefault="00241417" w:rsidP="003A71DE">
            <w:pPr>
              <w:pStyle w:val="TAC"/>
              <w:rPr>
                <w:lang w:eastAsia="zh-CN"/>
              </w:rPr>
            </w:pPr>
            <w:r w:rsidRPr="004710DC">
              <w:rPr>
                <w:lang w:eastAsia="zh-CN"/>
              </w:rPr>
              <w:t>1</w:t>
            </w:r>
          </w:p>
        </w:tc>
        <w:tc>
          <w:tcPr>
            <w:tcW w:w="1070" w:type="dxa"/>
            <w:vAlign w:val="center"/>
          </w:tcPr>
          <w:p w14:paraId="7ECCEE9C" w14:textId="77777777" w:rsidR="00241417" w:rsidRPr="004710DC" w:rsidRDefault="00241417" w:rsidP="003A71DE">
            <w:pPr>
              <w:pStyle w:val="TAC"/>
              <w:rPr>
                <w:lang w:eastAsia="zh-CN"/>
              </w:rPr>
            </w:pPr>
            <w:r w:rsidRPr="004710DC">
              <w:rPr>
                <w:lang w:eastAsia="zh-CN"/>
              </w:rPr>
              <w:t>2</w:t>
            </w:r>
          </w:p>
        </w:tc>
        <w:tc>
          <w:tcPr>
            <w:tcW w:w="1071" w:type="dxa"/>
          </w:tcPr>
          <w:p w14:paraId="16EAC87E" w14:textId="77777777" w:rsidR="00241417" w:rsidRPr="004710DC" w:rsidRDefault="00241417" w:rsidP="003A71DE">
            <w:pPr>
              <w:pStyle w:val="TAC"/>
              <w:rPr>
                <w:lang w:eastAsia="zh-CN"/>
              </w:rPr>
            </w:pPr>
            <w:r w:rsidRPr="004710DC">
              <w:rPr>
                <w:lang w:eastAsia="zh-CN"/>
              </w:rPr>
              <w:t>4</w:t>
            </w:r>
          </w:p>
        </w:tc>
        <w:tc>
          <w:tcPr>
            <w:tcW w:w="1071" w:type="dxa"/>
          </w:tcPr>
          <w:p w14:paraId="481A39F4" w14:textId="77777777" w:rsidR="00241417" w:rsidRPr="004710DC" w:rsidRDefault="00241417" w:rsidP="003A71DE">
            <w:pPr>
              <w:pStyle w:val="TAC"/>
              <w:rPr>
                <w:lang w:eastAsia="zh-CN"/>
              </w:rPr>
            </w:pPr>
            <w:r w:rsidRPr="004710DC">
              <w:rPr>
                <w:lang w:eastAsia="zh-CN"/>
              </w:rPr>
              <w:t>8</w:t>
            </w:r>
          </w:p>
        </w:tc>
      </w:tr>
      <w:tr w:rsidR="00241417" w:rsidRPr="004710DC" w14:paraId="38B6DDD1" w14:textId="77777777" w:rsidTr="003A71DE">
        <w:trPr>
          <w:cantSplit/>
          <w:jc w:val="center"/>
        </w:trPr>
        <w:tc>
          <w:tcPr>
            <w:tcW w:w="2421" w:type="dxa"/>
          </w:tcPr>
          <w:p w14:paraId="504CB0EF" w14:textId="77777777" w:rsidR="00241417" w:rsidRPr="00333EE0" w:rsidRDefault="00241417" w:rsidP="003A71DE">
            <w:pPr>
              <w:pStyle w:val="TAC"/>
              <w:rPr>
                <w:lang w:eastAsia="zh-CN"/>
              </w:rPr>
            </w:pPr>
            <w:r w:rsidRPr="00333EE0">
              <w:t>Code block size</w:t>
            </w:r>
            <w:r w:rsidRPr="00333EE0">
              <w:rPr>
                <w:rFonts w:eastAsia="Malgun Gothic" w:cs="Arial"/>
              </w:rPr>
              <w:t xml:space="preserve"> including CRC</w:t>
            </w:r>
            <w:r w:rsidRPr="00333EE0">
              <w:t xml:space="preserve"> (bits)</w:t>
            </w:r>
            <w:r w:rsidRPr="00333EE0">
              <w:rPr>
                <w:lang w:eastAsia="zh-CN"/>
              </w:rPr>
              <w:t xml:space="preserve"> </w:t>
            </w:r>
            <w:r w:rsidRPr="00333EE0">
              <w:rPr>
                <w:rFonts w:cs="Arial"/>
                <w:lang w:eastAsia="zh-CN"/>
              </w:rPr>
              <w:t>(Note 2)</w:t>
            </w:r>
          </w:p>
        </w:tc>
        <w:tc>
          <w:tcPr>
            <w:tcW w:w="1070" w:type="dxa"/>
            <w:vAlign w:val="center"/>
          </w:tcPr>
          <w:p w14:paraId="292CA4EE" w14:textId="77777777" w:rsidR="00241417" w:rsidRPr="004710DC" w:rsidRDefault="00241417" w:rsidP="003A71DE">
            <w:pPr>
              <w:pStyle w:val="TAC"/>
              <w:rPr>
                <w:lang w:eastAsia="zh-CN"/>
              </w:rPr>
            </w:pPr>
            <w:r w:rsidRPr="004710DC">
              <w:t>2744</w:t>
            </w:r>
          </w:p>
        </w:tc>
        <w:tc>
          <w:tcPr>
            <w:tcW w:w="1071" w:type="dxa"/>
            <w:vAlign w:val="center"/>
          </w:tcPr>
          <w:p w14:paraId="30C00BB7" w14:textId="77777777" w:rsidR="00241417" w:rsidRPr="004710DC" w:rsidRDefault="00241417" w:rsidP="003A71DE">
            <w:pPr>
              <w:pStyle w:val="TAC"/>
              <w:rPr>
                <w:lang w:eastAsia="zh-CN"/>
              </w:rPr>
            </w:pPr>
            <w:r w:rsidRPr="004710DC">
              <w:t>2856</w:t>
            </w:r>
          </w:p>
        </w:tc>
        <w:tc>
          <w:tcPr>
            <w:tcW w:w="1070" w:type="dxa"/>
            <w:vAlign w:val="center"/>
          </w:tcPr>
          <w:p w14:paraId="528E295F" w14:textId="77777777" w:rsidR="00241417" w:rsidRPr="004710DC" w:rsidRDefault="00241417" w:rsidP="003A71DE">
            <w:pPr>
              <w:pStyle w:val="TAC"/>
              <w:rPr>
                <w:lang w:eastAsia="zh-CN"/>
              </w:rPr>
            </w:pPr>
            <w:r w:rsidRPr="004710DC">
              <w:t>2912</w:t>
            </w:r>
          </w:p>
        </w:tc>
        <w:tc>
          <w:tcPr>
            <w:tcW w:w="1071" w:type="dxa"/>
            <w:vAlign w:val="center"/>
          </w:tcPr>
          <w:p w14:paraId="32D5FCB3" w14:textId="77777777" w:rsidR="00241417" w:rsidRPr="004710DC" w:rsidRDefault="00241417" w:rsidP="003A71DE">
            <w:pPr>
              <w:pStyle w:val="TAC"/>
              <w:rPr>
                <w:lang w:eastAsia="zh-CN"/>
              </w:rPr>
            </w:pPr>
            <w:r w:rsidRPr="004710DC">
              <w:t>2616</w:t>
            </w:r>
          </w:p>
        </w:tc>
        <w:tc>
          <w:tcPr>
            <w:tcW w:w="1070" w:type="dxa"/>
            <w:vAlign w:val="center"/>
          </w:tcPr>
          <w:p w14:paraId="564C3B0A" w14:textId="77777777" w:rsidR="00241417" w:rsidRPr="004710DC" w:rsidRDefault="00241417" w:rsidP="003A71DE">
            <w:pPr>
              <w:pStyle w:val="TAC"/>
              <w:rPr>
                <w:lang w:eastAsia="zh-CN"/>
              </w:rPr>
            </w:pPr>
            <w:r w:rsidRPr="004710DC">
              <w:t>2792</w:t>
            </w:r>
          </w:p>
        </w:tc>
        <w:tc>
          <w:tcPr>
            <w:tcW w:w="1071" w:type="dxa"/>
            <w:vAlign w:val="center"/>
          </w:tcPr>
          <w:p w14:paraId="4581CA92" w14:textId="77777777" w:rsidR="00241417" w:rsidRPr="004710DC" w:rsidRDefault="00241417" w:rsidP="003A71DE">
            <w:pPr>
              <w:pStyle w:val="TAC"/>
              <w:rPr>
                <w:lang w:eastAsia="zh-CN"/>
              </w:rPr>
            </w:pPr>
            <w:r w:rsidRPr="004710DC">
              <w:t>2912</w:t>
            </w:r>
          </w:p>
        </w:tc>
        <w:tc>
          <w:tcPr>
            <w:tcW w:w="1071" w:type="dxa"/>
            <w:vAlign w:val="center"/>
          </w:tcPr>
          <w:p w14:paraId="1F451803" w14:textId="77777777" w:rsidR="00241417" w:rsidRPr="004710DC" w:rsidRDefault="00241417" w:rsidP="003A71DE">
            <w:pPr>
              <w:pStyle w:val="TAC"/>
              <w:rPr>
                <w:lang w:eastAsia="zh-CN"/>
              </w:rPr>
            </w:pPr>
            <w:r w:rsidRPr="004710DC">
              <w:t>3744</w:t>
            </w:r>
          </w:p>
        </w:tc>
      </w:tr>
      <w:tr w:rsidR="00241417" w:rsidRPr="004710DC" w14:paraId="5BF43425" w14:textId="77777777" w:rsidTr="003A71DE">
        <w:trPr>
          <w:cantSplit/>
          <w:jc w:val="center"/>
        </w:trPr>
        <w:tc>
          <w:tcPr>
            <w:tcW w:w="2421" w:type="dxa"/>
          </w:tcPr>
          <w:p w14:paraId="5A6873A4" w14:textId="77777777" w:rsidR="00241417" w:rsidRPr="00333EE0" w:rsidRDefault="00241417" w:rsidP="003A71DE">
            <w:pPr>
              <w:pStyle w:val="TAC"/>
              <w:rPr>
                <w:lang w:eastAsia="zh-CN"/>
              </w:rPr>
            </w:pPr>
            <w:r w:rsidRPr="00333EE0">
              <w:t xml:space="preserve">Total number of bits per </w:t>
            </w:r>
            <w:r w:rsidRPr="00333EE0">
              <w:rPr>
                <w:lang w:eastAsia="zh-CN"/>
              </w:rPr>
              <w:t>slot</w:t>
            </w:r>
          </w:p>
        </w:tc>
        <w:tc>
          <w:tcPr>
            <w:tcW w:w="1070" w:type="dxa"/>
            <w:vAlign w:val="center"/>
          </w:tcPr>
          <w:p w14:paraId="742936D0" w14:textId="77777777" w:rsidR="00241417" w:rsidRPr="004710DC" w:rsidRDefault="00241417" w:rsidP="003A71DE">
            <w:pPr>
              <w:pStyle w:val="TAC"/>
              <w:rPr>
                <w:lang w:eastAsia="zh-CN"/>
              </w:rPr>
            </w:pPr>
            <w:r w:rsidRPr="004710DC">
              <w:rPr>
                <w:lang w:eastAsia="zh-CN"/>
              </w:rPr>
              <w:t>14400</w:t>
            </w:r>
          </w:p>
        </w:tc>
        <w:tc>
          <w:tcPr>
            <w:tcW w:w="1071" w:type="dxa"/>
            <w:vAlign w:val="center"/>
          </w:tcPr>
          <w:p w14:paraId="6C28BA67" w14:textId="77777777" w:rsidR="00241417" w:rsidRPr="004710DC" w:rsidRDefault="00241417" w:rsidP="003A71DE">
            <w:pPr>
              <w:pStyle w:val="TAC"/>
              <w:rPr>
                <w:lang w:eastAsia="zh-CN"/>
              </w:rPr>
            </w:pPr>
            <w:r w:rsidRPr="004710DC">
              <w:rPr>
                <w:lang w:eastAsia="zh-CN"/>
              </w:rPr>
              <w:t>29952</w:t>
            </w:r>
          </w:p>
        </w:tc>
        <w:tc>
          <w:tcPr>
            <w:tcW w:w="1070" w:type="dxa"/>
            <w:vAlign w:val="center"/>
          </w:tcPr>
          <w:p w14:paraId="7183F089" w14:textId="77777777" w:rsidR="00241417" w:rsidRPr="004710DC" w:rsidRDefault="00241417" w:rsidP="003A71DE">
            <w:pPr>
              <w:pStyle w:val="TAC"/>
              <w:rPr>
                <w:lang w:eastAsia="zh-CN"/>
              </w:rPr>
            </w:pPr>
            <w:r w:rsidRPr="004710DC">
              <w:rPr>
                <w:lang w:eastAsia="zh-CN"/>
              </w:rPr>
              <w:t>61056</w:t>
            </w:r>
          </w:p>
        </w:tc>
        <w:tc>
          <w:tcPr>
            <w:tcW w:w="1071" w:type="dxa"/>
            <w:vAlign w:val="center"/>
          </w:tcPr>
          <w:p w14:paraId="6DAF9FFE" w14:textId="77777777" w:rsidR="00241417" w:rsidRPr="004710DC" w:rsidRDefault="00241417" w:rsidP="003A71DE">
            <w:pPr>
              <w:pStyle w:val="TAC"/>
              <w:rPr>
                <w:lang w:eastAsia="zh-CN"/>
              </w:rPr>
            </w:pPr>
            <w:r w:rsidRPr="004710DC">
              <w:rPr>
                <w:lang w:eastAsia="zh-CN"/>
              </w:rPr>
              <w:t>13824</w:t>
            </w:r>
          </w:p>
        </w:tc>
        <w:tc>
          <w:tcPr>
            <w:tcW w:w="1070" w:type="dxa"/>
            <w:vAlign w:val="center"/>
          </w:tcPr>
          <w:p w14:paraId="0599C698" w14:textId="77777777" w:rsidR="00241417" w:rsidRPr="004710DC" w:rsidRDefault="00241417" w:rsidP="003A71DE">
            <w:pPr>
              <w:pStyle w:val="TAC"/>
              <w:rPr>
                <w:lang w:eastAsia="zh-CN"/>
              </w:rPr>
            </w:pPr>
            <w:r w:rsidRPr="004710DC">
              <w:rPr>
                <w:lang w:eastAsia="zh-CN"/>
              </w:rPr>
              <w:t>29376</w:t>
            </w:r>
          </w:p>
        </w:tc>
        <w:tc>
          <w:tcPr>
            <w:tcW w:w="1071" w:type="dxa"/>
            <w:vAlign w:val="center"/>
          </w:tcPr>
          <w:p w14:paraId="7764574F" w14:textId="77777777" w:rsidR="00241417" w:rsidRPr="004710DC" w:rsidRDefault="00241417" w:rsidP="003A71DE">
            <w:pPr>
              <w:pStyle w:val="TAC"/>
              <w:rPr>
                <w:lang w:eastAsia="zh-CN"/>
              </w:rPr>
            </w:pPr>
            <w:r w:rsidRPr="004710DC">
              <w:rPr>
                <w:lang w:eastAsia="zh-CN"/>
              </w:rPr>
              <w:t>61056</w:t>
            </w:r>
          </w:p>
        </w:tc>
        <w:tc>
          <w:tcPr>
            <w:tcW w:w="1071" w:type="dxa"/>
            <w:vAlign w:val="center"/>
          </w:tcPr>
          <w:p w14:paraId="5F766457" w14:textId="77777777" w:rsidR="00241417" w:rsidRPr="004710DC" w:rsidRDefault="00241417" w:rsidP="003A71DE">
            <w:pPr>
              <w:pStyle w:val="TAC"/>
              <w:rPr>
                <w:lang w:eastAsia="zh-CN"/>
              </w:rPr>
            </w:pPr>
            <w:r w:rsidRPr="004710DC">
              <w:rPr>
                <w:lang w:eastAsia="zh-CN"/>
              </w:rPr>
              <w:t>157248</w:t>
            </w:r>
          </w:p>
        </w:tc>
      </w:tr>
      <w:tr w:rsidR="00241417" w:rsidRPr="004710DC" w14:paraId="44E7F26C" w14:textId="77777777" w:rsidTr="003A71DE">
        <w:trPr>
          <w:cantSplit/>
          <w:jc w:val="center"/>
        </w:trPr>
        <w:tc>
          <w:tcPr>
            <w:tcW w:w="2421" w:type="dxa"/>
          </w:tcPr>
          <w:p w14:paraId="428167C7"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0" w:type="dxa"/>
          </w:tcPr>
          <w:p w14:paraId="79770C30" w14:textId="77777777" w:rsidR="00241417" w:rsidRPr="004710DC" w:rsidRDefault="00241417" w:rsidP="003A71DE">
            <w:pPr>
              <w:pStyle w:val="TAC"/>
              <w:rPr>
                <w:lang w:eastAsia="zh-CN"/>
              </w:rPr>
            </w:pPr>
            <w:r w:rsidRPr="004710DC">
              <w:rPr>
                <w:lang w:eastAsia="zh-CN"/>
              </w:rPr>
              <w:t>7200</w:t>
            </w:r>
          </w:p>
        </w:tc>
        <w:tc>
          <w:tcPr>
            <w:tcW w:w="1071" w:type="dxa"/>
          </w:tcPr>
          <w:p w14:paraId="671B97E7" w14:textId="77777777" w:rsidR="00241417" w:rsidRPr="004710DC" w:rsidRDefault="00241417" w:rsidP="003A71DE">
            <w:pPr>
              <w:pStyle w:val="TAC"/>
              <w:rPr>
                <w:lang w:eastAsia="zh-CN"/>
              </w:rPr>
            </w:pPr>
            <w:r w:rsidRPr="004710DC">
              <w:rPr>
                <w:lang w:eastAsia="zh-CN"/>
              </w:rPr>
              <w:t>14976</w:t>
            </w:r>
          </w:p>
        </w:tc>
        <w:tc>
          <w:tcPr>
            <w:tcW w:w="1070" w:type="dxa"/>
          </w:tcPr>
          <w:p w14:paraId="289F6C89" w14:textId="77777777" w:rsidR="00241417" w:rsidRPr="004710DC" w:rsidRDefault="00241417" w:rsidP="003A71DE">
            <w:pPr>
              <w:pStyle w:val="TAC"/>
              <w:rPr>
                <w:lang w:eastAsia="zh-CN"/>
              </w:rPr>
            </w:pPr>
            <w:r w:rsidRPr="004710DC">
              <w:rPr>
                <w:lang w:eastAsia="zh-CN"/>
              </w:rPr>
              <w:t>30528</w:t>
            </w:r>
          </w:p>
        </w:tc>
        <w:tc>
          <w:tcPr>
            <w:tcW w:w="1071" w:type="dxa"/>
          </w:tcPr>
          <w:p w14:paraId="071381AA" w14:textId="77777777" w:rsidR="00241417" w:rsidRPr="004710DC" w:rsidRDefault="00241417" w:rsidP="003A71DE">
            <w:pPr>
              <w:pStyle w:val="TAC"/>
              <w:rPr>
                <w:lang w:eastAsia="zh-CN"/>
              </w:rPr>
            </w:pPr>
            <w:r w:rsidRPr="004710DC">
              <w:rPr>
                <w:lang w:eastAsia="zh-CN"/>
              </w:rPr>
              <w:t>6912</w:t>
            </w:r>
          </w:p>
        </w:tc>
        <w:tc>
          <w:tcPr>
            <w:tcW w:w="1070" w:type="dxa"/>
          </w:tcPr>
          <w:p w14:paraId="12620B96" w14:textId="77777777" w:rsidR="00241417" w:rsidRPr="004710DC" w:rsidRDefault="00241417" w:rsidP="003A71DE">
            <w:pPr>
              <w:pStyle w:val="TAC"/>
              <w:rPr>
                <w:lang w:eastAsia="zh-CN"/>
              </w:rPr>
            </w:pPr>
            <w:r w:rsidRPr="004710DC">
              <w:rPr>
                <w:lang w:eastAsia="zh-CN"/>
              </w:rPr>
              <w:t>14688</w:t>
            </w:r>
          </w:p>
        </w:tc>
        <w:tc>
          <w:tcPr>
            <w:tcW w:w="1071" w:type="dxa"/>
          </w:tcPr>
          <w:p w14:paraId="56632F24" w14:textId="77777777" w:rsidR="00241417" w:rsidRPr="004710DC" w:rsidRDefault="00241417" w:rsidP="003A71DE">
            <w:pPr>
              <w:pStyle w:val="TAC"/>
              <w:rPr>
                <w:lang w:eastAsia="zh-CN"/>
              </w:rPr>
            </w:pPr>
            <w:r w:rsidRPr="004710DC">
              <w:rPr>
                <w:lang w:eastAsia="zh-CN"/>
              </w:rPr>
              <w:t>30528</w:t>
            </w:r>
          </w:p>
        </w:tc>
        <w:tc>
          <w:tcPr>
            <w:tcW w:w="1071" w:type="dxa"/>
          </w:tcPr>
          <w:p w14:paraId="36145404" w14:textId="77777777" w:rsidR="00241417" w:rsidRPr="004710DC" w:rsidRDefault="00241417" w:rsidP="003A71DE">
            <w:pPr>
              <w:pStyle w:val="TAC"/>
              <w:rPr>
                <w:lang w:eastAsia="zh-CN"/>
              </w:rPr>
            </w:pPr>
            <w:r w:rsidRPr="004710DC">
              <w:rPr>
                <w:lang w:eastAsia="zh-CN"/>
              </w:rPr>
              <w:t>78624</w:t>
            </w:r>
          </w:p>
        </w:tc>
      </w:tr>
      <w:tr w:rsidR="00241417" w:rsidRPr="00333EE0" w14:paraId="68584AE2" w14:textId="77777777" w:rsidTr="003A71DE">
        <w:trPr>
          <w:cantSplit/>
          <w:jc w:val="center"/>
        </w:trPr>
        <w:tc>
          <w:tcPr>
            <w:tcW w:w="9915" w:type="dxa"/>
            <w:gridSpan w:val="8"/>
          </w:tcPr>
          <w:p w14:paraId="114BF254" w14:textId="77777777" w:rsidR="00241417" w:rsidRPr="00333EE0" w:rsidRDefault="00241417" w:rsidP="003A71DE">
            <w:pPr>
              <w:pStyle w:val="TAN"/>
              <w:rPr>
                <w:lang w:eastAsia="zh-CN"/>
              </w:rPr>
            </w:pPr>
            <w:r w:rsidRPr="00333EE0">
              <w:t>NOTE 1:</w:t>
            </w:r>
            <w:r w:rsidRPr="00333EE0">
              <w:tab/>
            </w:r>
            <w:r w:rsidRPr="00333EE0">
              <w:rPr>
                <w:i/>
              </w:rPr>
              <w:t xml:space="preserve">DM-RS configuration type </w:t>
            </w:r>
            <w:r w:rsidRPr="00333EE0">
              <w:t xml:space="preserve"> = 1 with </w:t>
            </w:r>
            <w:r w:rsidRPr="00333EE0">
              <w:rPr>
                <w:i/>
              </w:rPr>
              <w:t>DM-RS duration = single-symbol DM-RS</w:t>
            </w:r>
            <w:r w:rsidRPr="00333EE0">
              <w:rPr>
                <w:lang w:eastAsia="zh-CN"/>
              </w:rPr>
              <w:t xml:space="preserve"> and the number of DM-RS CDM groups without data is 2</w:t>
            </w:r>
            <w:r w:rsidRPr="00333EE0">
              <w:t xml:space="preserve">, </w:t>
            </w:r>
            <w:r w:rsidRPr="00333EE0">
              <w:rPr>
                <w:i/>
              </w:rPr>
              <w:t>Additional DM-RS position = pos1</w:t>
            </w:r>
            <w:r w:rsidRPr="00333EE0">
              <w:rPr>
                <w:lang w:eastAsia="zh-CN"/>
              </w:rPr>
              <w:t>,</w:t>
            </w:r>
            <w:r w:rsidRPr="00333EE0">
              <w:t xml:space="preserve"> </w:t>
            </w:r>
            <w:r w:rsidRPr="00333EE0">
              <w:rPr>
                <w:i/>
                <w:lang w:eastAsia="zh-CN"/>
              </w:rPr>
              <w:t>l</w:t>
            </w:r>
            <w:r w:rsidRPr="00333EE0">
              <w:rPr>
                <w:i/>
                <w:vertAlign w:val="subscript"/>
                <w:lang w:eastAsia="zh-CN"/>
              </w:rPr>
              <w:t>0</w:t>
            </w:r>
            <w:r w:rsidRPr="00333EE0">
              <w:t>= 2</w:t>
            </w:r>
            <w:r w:rsidRPr="00333EE0">
              <w:rPr>
                <w:lang w:eastAsia="zh-CN"/>
              </w:rPr>
              <w:t xml:space="preserve"> and </w:t>
            </w:r>
            <w:r w:rsidRPr="00333EE0">
              <w:rPr>
                <w:i/>
                <w:lang w:eastAsia="zh-CN"/>
              </w:rPr>
              <w:t>l</w:t>
            </w:r>
            <w:r w:rsidRPr="00333EE0">
              <w:rPr>
                <w:lang w:eastAsia="zh-CN"/>
              </w:rPr>
              <w:t>=11</w:t>
            </w:r>
            <w:r w:rsidRPr="00333EE0">
              <w:t xml:space="preserve"> </w:t>
            </w:r>
            <w:r w:rsidRPr="00333EE0">
              <w:rPr>
                <w:lang w:eastAsia="zh-CN"/>
              </w:rPr>
              <w:t xml:space="preserve">for </w:t>
            </w:r>
            <w:r w:rsidRPr="00333EE0">
              <w:t>PUSCH mapping type A</w:t>
            </w:r>
            <w:r w:rsidRPr="00333EE0">
              <w:rPr>
                <w:lang w:eastAsia="zh-CN"/>
              </w:rPr>
              <w:t xml:space="preserve">, </w:t>
            </w:r>
            <w:r w:rsidRPr="00333EE0">
              <w:rPr>
                <w:i/>
                <w:lang w:eastAsia="zh-CN"/>
              </w:rPr>
              <w:t>l</w:t>
            </w:r>
            <w:r w:rsidRPr="00333EE0">
              <w:rPr>
                <w:i/>
                <w:vertAlign w:val="subscript"/>
                <w:lang w:eastAsia="zh-CN"/>
              </w:rPr>
              <w:t xml:space="preserve">0 </w:t>
            </w:r>
            <w:r w:rsidRPr="00333EE0">
              <w:t xml:space="preserve">= </w:t>
            </w:r>
            <w:r w:rsidRPr="00333EE0">
              <w:rPr>
                <w:lang w:eastAsia="zh-CN"/>
              </w:rPr>
              <w:t xml:space="preserve">0 and </w:t>
            </w:r>
            <w:r w:rsidRPr="00333EE0">
              <w:rPr>
                <w:i/>
                <w:lang w:eastAsia="zh-CN"/>
              </w:rPr>
              <w:t xml:space="preserve">l </w:t>
            </w:r>
            <w:r w:rsidRPr="00333EE0">
              <w:rPr>
                <w:lang w:eastAsia="zh-CN"/>
              </w:rPr>
              <w:t>=10</w:t>
            </w:r>
            <w:r w:rsidRPr="00333EE0">
              <w:t xml:space="preserve"> </w:t>
            </w:r>
            <w:r w:rsidRPr="00333EE0">
              <w:rPr>
                <w:lang w:eastAsia="zh-CN"/>
              </w:rPr>
              <w:t xml:space="preserve">for </w:t>
            </w:r>
            <w:r w:rsidRPr="00333EE0">
              <w:t xml:space="preserve">PUSCH mapping type </w:t>
            </w:r>
            <w:r w:rsidRPr="00333EE0">
              <w:rPr>
                <w:lang w:eastAsia="zh-CN"/>
              </w:rPr>
              <w:t>B</w:t>
            </w:r>
            <w:r w:rsidRPr="00333EE0">
              <w:t xml:space="preserve"> as per table 6.4.1.1.3-3 of TS 38.211 [8].</w:t>
            </w:r>
          </w:p>
          <w:p w14:paraId="299C32DE" w14:textId="77777777" w:rsidR="00241417" w:rsidRPr="00333EE0" w:rsidRDefault="00241417" w:rsidP="003A71DE">
            <w:pPr>
              <w:pStyle w:val="TAN"/>
              <w:rPr>
                <w:szCs w:val="18"/>
                <w:lang w:eastAsia="zh-CN"/>
              </w:rPr>
            </w:pPr>
            <w:r w:rsidRPr="00333EE0">
              <w:t xml:space="preserve">NOTE </w:t>
            </w:r>
            <w:r w:rsidRPr="00333EE0">
              <w:rPr>
                <w:lang w:eastAsia="zh-CN"/>
              </w:rPr>
              <w:t>2</w:t>
            </w:r>
            <w:r w:rsidRPr="00333EE0">
              <w:t>:</w:t>
            </w:r>
            <w:r w:rsidRPr="00333EE0">
              <w:tab/>
              <w:t>Code block size including CRC (bits)</w:t>
            </w:r>
            <w:r w:rsidRPr="00333EE0">
              <w:rPr>
                <w:lang w:eastAsia="zh-CN"/>
              </w:rPr>
              <w:t xml:space="preserve"> equals to </w:t>
            </w:r>
            <w:r w:rsidRPr="00333EE0">
              <w:rPr>
                <w:i/>
                <w:lang w:eastAsia="zh-CN"/>
              </w:rPr>
              <w:t>K'</w:t>
            </w:r>
            <w:r w:rsidRPr="00333EE0">
              <w:rPr>
                <w:rFonts w:hint="eastAsia"/>
                <w:lang w:eastAsia="zh-CN"/>
              </w:rPr>
              <w:t xml:space="preserve"> in clause </w:t>
            </w:r>
            <w:r w:rsidRPr="00333EE0">
              <w:rPr>
                <w:lang w:eastAsia="zh-CN"/>
              </w:rPr>
              <w:t>5.2.2 of TS 38.212 [9].</w:t>
            </w:r>
          </w:p>
        </w:tc>
      </w:tr>
    </w:tbl>
    <w:p w14:paraId="1E3DB0F2" w14:textId="77777777" w:rsidR="00241417" w:rsidRPr="00333EE0" w:rsidRDefault="00241417" w:rsidP="00241417">
      <w:pPr>
        <w:rPr>
          <w:noProof/>
          <w:lang w:eastAsia="zh-CN"/>
        </w:rPr>
      </w:pPr>
    </w:p>
    <w:p w14:paraId="5D195487" w14:textId="77777777" w:rsidR="00241417" w:rsidRPr="00333EE0" w:rsidRDefault="00241417" w:rsidP="00241417">
      <w:pPr>
        <w:pStyle w:val="TH"/>
        <w:rPr>
          <w:lang w:eastAsia="zh-CN"/>
        </w:rPr>
      </w:pPr>
      <w:r w:rsidRPr="00333EE0">
        <w:rPr>
          <w:rFonts w:eastAsia="Malgun Gothic"/>
        </w:rPr>
        <w:t>Table A.2.1-</w:t>
      </w:r>
      <w:r w:rsidRPr="00333EE0">
        <w:rPr>
          <w:lang w:eastAsia="zh-CN"/>
        </w:rPr>
        <w:t>3</w:t>
      </w:r>
      <w:r w:rsidRPr="00333EE0">
        <w:rPr>
          <w:rFonts w:eastAsia="Malgun Gothic"/>
        </w:rPr>
        <w:t>: FRC parameters for</w:t>
      </w:r>
      <w:r w:rsidRPr="00333EE0">
        <w:rPr>
          <w:lang w:eastAsia="zh-CN"/>
        </w:rPr>
        <w:t xml:space="preserve"> FR1 PUSCH </w:t>
      </w:r>
      <w:r w:rsidRPr="00333EE0">
        <w:rPr>
          <w:rFonts w:eastAsia="Malgun Gothic"/>
        </w:rPr>
        <w:t>performance requirements</w:t>
      </w:r>
      <w:r w:rsidRPr="00333EE0">
        <w:rPr>
          <w:lang w:eastAsia="zh-CN"/>
        </w:rPr>
        <w:t xml:space="preserve">, transform precoding enabled, </w:t>
      </w:r>
      <w:r w:rsidRPr="00333EE0">
        <w:rPr>
          <w:i/>
          <w:lang w:eastAsia="zh-CN"/>
        </w:rPr>
        <w:t>Additional DM-RS position = pos1</w:t>
      </w:r>
      <w:r w:rsidRPr="00333EE0">
        <w:rPr>
          <w:lang w:eastAsia="zh-CN"/>
        </w:rPr>
        <w:t xml:space="preserve"> and 1 transmission layer</w:t>
      </w:r>
      <w:r w:rsidRPr="00333EE0">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70"/>
        <w:gridCol w:w="2268"/>
        <w:gridCol w:w="2312"/>
      </w:tblGrid>
      <w:tr w:rsidR="00241417" w:rsidRPr="004710DC" w14:paraId="4D025033" w14:textId="77777777" w:rsidTr="003A71DE">
        <w:trPr>
          <w:cantSplit/>
          <w:jc w:val="center"/>
        </w:trPr>
        <w:tc>
          <w:tcPr>
            <w:tcW w:w="4470" w:type="dxa"/>
          </w:tcPr>
          <w:p w14:paraId="2FCCB38F" w14:textId="77777777" w:rsidR="00241417" w:rsidRPr="004710DC" w:rsidRDefault="00241417" w:rsidP="003A71DE">
            <w:pPr>
              <w:pStyle w:val="TAH"/>
            </w:pPr>
            <w:r w:rsidRPr="004710DC">
              <w:t>Reference channel</w:t>
            </w:r>
          </w:p>
        </w:tc>
        <w:tc>
          <w:tcPr>
            <w:tcW w:w="2268" w:type="dxa"/>
          </w:tcPr>
          <w:p w14:paraId="5B1139BB" w14:textId="77777777" w:rsidR="00241417" w:rsidRPr="004710DC" w:rsidRDefault="00241417" w:rsidP="003A71DE">
            <w:pPr>
              <w:pStyle w:val="TAH"/>
            </w:pPr>
            <w:r>
              <w:rPr>
                <w:lang w:eastAsia="zh-CN"/>
              </w:rPr>
              <w:t>D-FR1-A.2.1</w:t>
            </w:r>
            <w:r w:rsidRPr="004710DC">
              <w:rPr>
                <w:lang w:eastAsia="zh-CN"/>
              </w:rPr>
              <w:t>-</w:t>
            </w:r>
            <w:r>
              <w:rPr>
                <w:lang w:eastAsia="zh-CN"/>
              </w:rPr>
              <w:t>15</w:t>
            </w:r>
          </w:p>
        </w:tc>
        <w:tc>
          <w:tcPr>
            <w:tcW w:w="2312" w:type="dxa"/>
          </w:tcPr>
          <w:p w14:paraId="3EE0B165" w14:textId="77777777" w:rsidR="00241417" w:rsidRPr="004710DC" w:rsidRDefault="00241417" w:rsidP="003A71DE">
            <w:pPr>
              <w:pStyle w:val="TAH"/>
            </w:pPr>
            <w:r>
              <w:rPr>
                <w:lang w:eastAsia="zh-CN"/>
              </w:rPr>
              <w:t>D-FR1-A.2.1</w:t>
            </w:r>
            <w:r w:rsidRPr="004710DC">
              <w:rPr>
                <w:lang w:eastAsia="zh-CN"/>
              </w:rPr>
              <w:t>-</w:t>
            </w:r>
            <w:r>
              <w:rPr>
                <w:lang w:eastAsia="zh-CN"/>
              </w:rPr>
              <w:t>16</w:t>
            </w:r>
          </w:p>
        </w:tc>
      </w:tr>
      <w:tr w:rsidR="00241417" w:rsidRPr="004710DC" w14:paraId="6DB8AE4F" w14:textId="77777777" w:rsidTr="003A71DE">
        <w:trPr>
          <w:cantSplit/>
          <w:jc w:val="center"/>
        </w:trPr>
        <w:tc>
          <w:tcPr>
            <w:tcW w:w="4470" w:type="dxa"/>
          </w:tcPr>
          <w:p w14:paraId="6CCB8C91" w14:textId="77777777" w:rsidR="00241417" w:rsidRPr="004710DC" w:rsidRDefault="00241417" w:rsidP="003A71DE">
            <w:pPr>
              <w:pStyle w:val="TAC"/>
              <w:rPr>
                <w:lang w:eastAsia="zh-CN"/>
              </w:rPr>
            </w:pPr>
            <w:r w:rsidRPr="004710DC">
              <w:rPr>
                <w:lang w:eastAsia="zh-CN"/>
              </w:rPr>
              <w:t>Subcarrier spacing [kHz]</w:t>
            </w:r>
          </w:p>
        </w:tc>
        <w:tc>
          <w:tcPr>
            <w:tcW w:w="2268" w:type="dxa"/>
          </w:tcPr>
          <w:p w14:paraId="57DC80EC" w14:textId="77777777" w:rsidR="00241417" w:rsidRPr="004710DC" w:rsidRDefault="00241417" w:rsidP="003A71DE">
            <w:pPr>
              <w:pStyle w:val="TAC"/>
              <w:rPr>
                <w:lang w:eastAsia="zh-CN"/>
              </w:rPr>
            </w:pPr>
            <w:r w:rsidRPr="004710DC">
              <w:rPr>
                <w:lang w:eastAsia="zh-CN"/>
              </w:rPr>
              <w:t>15</w:t>
            </w:r>
          </w:p>
        </w:tc>
        <w:tc>
          <w:tcPr>
            <w:tcW w:w="2312" w:type="dxa"/>
          </w:tcPr>
          <w:p w14:paraId="414ACD74" w14:textId="77777777" w:rsidR="00241417" w:rsidRPr="004710DC" w:rsidRDefault="00241417" w:rsidP="003A71DE">
            <w:pPr>
              <w:pStyle w:val="TAC"/>
            </w:pPr>
            <w:r w:rsidRPr="004710DC">
              <w:rPr>
                <w:lang w:eastAsia="zh-CN"/>
              </w:rPr>
              <w:t>30</w:t>
            </w:r>
          </w:p>
        </w:tc>
      </w:tr>
      <w:tr w:rsidR="00241417" w:rsidRPr="004710DC" w14:paraId="4A2C96AA" w14:textId="77777777" w:rsidTr="003A71DE">
        <w:trPr>
          <w:cantSplit/>
          <w:jc w:val="center"/>
        </w:trPr>
        <w:tc>
          <w:tcPr>
            <w:tcW w:w="4470" w:type="dxa"/>
          </w:tcPr>
          <w:p w14:paraId="6103FE5D" w14:textId="77777777" w:rsidR="00241417" w:rsidRPr="004710DC" w:rsidRDefault="00241417" w:rsidP="003A71DE">
            <w:pPr>
              <w:pStyle w:val="TAC"/>
            </w:pPr>
            <w:r w:rsidRPr="004710DC">
              <w:t>Allocated resource blocks</w:t>
            </w:r>
          </w:p>
        </w:tc>
        <w:tc>
          <w:tcPr>
            <w:tcW w:w="2268" w:type="dxa"/>
          </w:tcPr>
          <w:p w14:paraId="714224C0" w14:textId="77777777" w:rsidR="00241417" w:rsidRPr="004710DC" w:rsidRDefault="00241417" w:rsidP="003A71DE">
            <w:pPr>
              <w:pStyle w:val="TAC"/>
            </w:pPr>
            <w:r w:rsidRPr="004710DC">
              <w:t>25</w:t>
            </w:r>
          </w:p>
        </w:tc>
        <w:tc>
          <w:tcPr>
            <w:tcW w:w="2312" w:type="dxa"/>
          </w:tcPr>
          <w:p w14:paraId="1188DA55" w14:textId="77777777" w:rsidR="00241417" w:rsidRPr="004710DC" w:rsidRDefault="00241417" w:rsidP="003A71DE">
            <w:pPr>
              <w:pStyle w:val="TAC"/>
            </w:pPr>
            <w:r w:rsidRPr="004710DC">
              <w:t>24</w:t>
            </w:r>
          </w:p>
        </w:tc>
      </w:tr>
      <w:tr w:rsidR="00241417" w:rsidRPr="004710DC" w14:paraId="1AF43A6E" w14:textId="77777777" w:rsidTr="003A71DE">
        <w:trPr>
          <w:cantSplit/>
          <w:jc w:val="center"/>
        </w:trPr>
        <w:tc>
          <w:tcPr>
            <w:tcW w:w="4470" w:type="dxa"/>
          </w:tcPr>
          <w:p w14:paraId="2B9CE2E8" w14:textId="77777777" w:rsidR="00241417" w:rsidRPr="00333EE0" w:rsidRDefault="00241417" w:rsidP="003A71DE">
            <w:pPr>
              <w:pStyle w:val="TAC"/>
              <w:rPr>
                <w:lang w:eastAsia="zh-CN"/>
              </w:rPr>
            </w:pPr>
            <w:r w:rsidRPr="00333EE0">
              <w:rPr>
                <w:lang w:eastAsia="zh-CN"/>
              </w:rPr>
              <w:t>DFT-s</w:t>
            </w:r>
            <w:r w:rsidRPr="00333EE0">
              <w:t xml:space="preserve">-OFDM Symbols per </w:t>
            </w:r>
            <w:r w:rsidRPr="00333EE0">
              <w:rPr>
                <w:lang w:eastAsia="zh-CN"/>
              </w:rPr>
              <w:t>slot (Note 1)</w:t>
            </w:r>
          </w:p>
        </w:tc>
        <w:tc>
          <w:tcPr>
            <w:tcW w:w="2268" w:type="dxa"/>
          </w:tcPr>
          <w:p w14:paraId="3CB9AE61" w14:textId="77777777" w:rsidR="00241417" w:rsidRPr="004710DC" w:rsidRDefault="00241417" w:rsidP="003A71DE">
            <w:pPr>
              <w:pStyle w:val="TAC"/>
              <w:rPr>
                <w:lang w:eastAsia="zh-CN"/>
              </w:rPr>
            </w:pPr>
            <w:r w:rsidRPr="004710DC">
              <w:rPr>
                <w:lang w:eastAsia="zh-CN"/>
              </w:rPr>
              <w:t>12</w:t>
            </w:r>
          </w:p>
        </w:tc>
        <w:tc>
          <w:tcPr>
            <w:tcW w:w="2312" w:type="dxa"/>
          </w:tcPr>
          <w:p w14:paraId="3A639FBF" w14:textId="77777777" w:rsidR="00241417" w:rsidRPr="004710DC" w:rsidRDefault="00241417" w:rsidP="003A71DE">
            <w:pPr>
              <w:pStyle w:val="TAC"/>
            </w:pPr>
            <w:r w:rsidRPr="004710DC">
              <w:rPr>
                <w:lang w:eastAsia="zh-CN"/>
              </w:rPr>
              <w:t>12</w:t>
            </w:r>
          </w:p>
        </w:tc>
      </w:tr>
      <w:tr w:rsidR="00241417" w:rsidRPr="004710DC" w14:paraId="5B209F31" w14:textId="77777777" w:rsidTr="003A71DE">
        <w:trPr>
          <w:cantSplit/>
          <w:jc w:val="center"/>
        </w:trPr>
        <w:tc>
          <w:tcPr>
            <w:tcW w:w="4470" w:type="dxa"/>
          </w:tcPr>
          <w:p w14:paraId="267251D9" w14:textId="77777777" w:rsidR="00241417" w:rsidRPr="004710DC" w:rsidRDefault="00241417" w:rsidP="003A71DE">
            <w:pPr>
              <w:pStyle w:val="TAC"/>
            </w:pPr>
            <w:r w:rsidRPr="004710DC">
              <w:t>Modulation</w:t>
            </w:r>
          </w:p>
        </w:tc>
        <w:tc>
          <w:tcPr>
            <w:tcW w:w="2268" w:type="dxa"/>
          </w:tcPr>
          <w:p w14:paraId="0ABABB0A" w14:textId="77777777" w:rsidR="00241417" w:rsidRPr="004710DC" w:rsidRDefault="00241417" w:rsidP="003A71DE">
            <w:pPr>
              <w:pStyle w:val="TAC"/>
              <w:rPr>
                <w:lang w:eastAsia="zh-CN"/>
              </w:rPr>
            </w:pPr>
            <w:r w:rsidRPr="004710DC">
              <w:rPr>
                <w:lang w:eastAsia="zh-CN"/>
              </w:rPr>
              <w:t>QPSK</w:t>
            </w:r>
          </w:p>
        </w:tc>
        <w:tc>
          <w:tcPr>
            <w:tcW w:w="2312" w:type="dxa"/>
          </w:tcPr>
          <w:p w14:paraId="38A633DE" w14:textId="77777777" w:rsidR="00241417" w:rsidRPr="004710DC" w:rsidRDefault="00241417" w:rsidP="003A71DE">
            <w:pPr>
              <w:pStyle w:val="TAC"/>
              <w:rPr>
                <w:lang w:eastAsia="zh-CN"/>
              </w:rPr>
            </w:pPr>
            <w:r w:rsidRPr="004710DC">
              <w:rPr>
                <w:lang w:eastAsia="zh-CN"/>
              </w:rPr>
              <w:t>QPSK</w:t>
            </w:r>
          </w:p>
        </w:tc>
      </w:tr>
      <w:tr w:rsidR="00241417" w:rsidRPr="004710DC" w14:paraId="21EA09C1" w14:textId="77777777" w:rsidTr="003A71DE">
        <w:trPr>
          <w:cantSplit/>
          <w:jc w:val="center"/>
        </w:trPr>
        <w:tc>
          <w:tcPr>
            <w:tcW w:w="4470" w:type="dxa"/>
          </w:tcPr>
          <w:p w14:paraId="0D8808F3" w14:textId="77777777" w:rsidR="00241417" w:rsidRPr="004710DC" w:rsidRDefault="00241417" w:rsidP="003A71DE">
            <w:pPr>
              <w:pStyle w:val="TAC"/>
            </w:pPr>
            <w:r>
              <w:t>Code Rate</w:t>
            </w:r>
          </w:p>
        </w:tc>
        <w:tc>
          <w:tcPr>
            <w:tcW w:w="2268" w:type="dxa"/>
          </w:tcPr>
          <w:p w14:paraId="36CC0634" w14:textId="77777777" w:rsidR="00241417" w:rsidRPr="004710DC" w:rsidRDefault="00241417" w:rsidP="003A71DE">
            <w:pPr>
              <w:pStyle w:val="TAC"/>
              <w:rPr>
                <w:lang w:eastAsia="zh-CN"/>
              </w:rPr>
            </w:pPr>
            <w:r w:rsidRPr="004710DC">
              <w:rPr>
                <w:lang w:eastAsia="zh-CN"/>
              </w:rPr>
              <w:t>193/1024</w:t>
            </w:r>
          </w:p>
        </w:tc>
        <w:tc>
          <w:tcPr>
            <w:tcW w:w="2312" w:type="dxa"/>
          </w:tcPr>
          <w:p w14:paraId="4C16CE02" w14:textId="77777777" w:rsidR="00241417" w:rsidRPr="004710DC" w:rsidRDefault="00241417" w:rsidP="003A71DE">
            <w:pPr>
              <w:pStyle w:val="TAC"/>
              <w:rPr>
                <w:lang w:eastAsia="zh-CN"/>
              </w:rPr>
            </w:pPr>
            <w:r w:rsidRPr="004710DC">
              <w:rPr>
                <w:lang w:eastAsia="zh-CN"/>
              </w:rPr>
              <w:t>193/1024</w:t>
            </w:r>
          </w:p>
        </w:tc>
      </w:tr>
      <w:tr w:rsidR="00241417" w:rsidRPr="004710DC" w14:paraId="762DE904" w14:textId="77777777" w:rsidTr="003A71DE">
        <w:trPr>
          <w:cantSplit/>
          <w:jc w:val="center"/>
        </w:trPr>
        <w:tc>
          <w:tcPr>
            <w:tcW w:w="4470" w:type="dxa"/>
          </w:tcPr>
          <w:p w14:paraId="2A850197" w14:textId="77777777" w:rsidR="00241417" w:rsidRPr="004710DC" w:rsidRDefault="00241417" w:rsidP="003A71DE">
            <w:pPr>
              <w:pStyle w:val="TAC"/>
            </w:pPr>
            <w:r w:rsidRPr="004710DC">
              <w:t>Payload size (bits)</w:t>
            </w:r>
          </w:p>
        </w:tc>
        <w:tc>
          <w:tcPr>
            <w:tcW w:w="2268" w:type="dxa"/>
            <w:vAlign w:val="center"/>
          </w:tcPr>
          <w:p w14:paraId="4B9AB47A" w14:textId="77777777" w:rsidR="00241417" w:rsidRPr="004710DC" w:rsidRDefault="00241417" w:rsidP="003A71DE">
            <w:pPr>
              <w:pStyle w:val="TAC"/>
              <w:rPr>
                <w:lang w:eastAsia="zh-CN"/>
              </w:rPr>
            </w:pPr>
            <w:r w:rsidRPr="004710DC">
              <w:rPr>
                <w:lang w:eastAsia="zh-CN"/>
              </w:rPr>
              <w:t>1352</w:t>
            </w:r>
          </w:p>
        </w:tc>
        <w:tc>
          <w:tcPr>
            <w:tcW w:w="2312" w:type="dxa"/>
            <w:vAlign w:val="center"/>
          </w:tcPr>
          <w:p w14:paraId="090A961F" w14:textId="77777777" w:rsidR="00241417" w:rsidRPr="004710DC" w:rsidRDefault="00241417" w:rsidP="003A71DE">
            <w:pPr>
              <w:pStyle w:val="TAC"/>
              <w:rPr>
                <w:lang w:eastAsia="zh-CN"/>
              </w:rPr>
            </w:pPr>
            <w:r w:rsidRPr="004710DC">
              <w:rPr>
                <w:lang w:eastAsia="zh-CN"/>
              </w:rPr>
              <w:t>1320</w:t>
            </w:r>
          </w:p>
        </w:tc>
      </w:tr>
      <w:tr w:rsidR="00241417" w:rsidRPr="004710DC" w14:paraId="2920C3F7" w14:textId="77777777" w:rsidTr="003A71DE">
        <w:trPr>
          <w:cantSplit/>
          <w:jc w:val="center"/>
        </w:trPr>
        <w:tc>
          <w:tcPr>
            <w:tcW w:w="4470" w:type="dxa"/>
          </w:tcPr>
          <w:p w14:paraId="5A5142C6" w14:textId="77777777" w:rsidR="00241417" w:rsidRPr="004710DC" w:rsidRDefault="00241417" w:rsidP="003A71DE">
            <w:pPr>
              <w:pStyle w:val="TAC"/>
            </w:pPr>
            <w:r w:rsidRPr="004710DC">
              <w:t>Transport block CRC (bits)</w:t>
            </w:r>
          </w:p>
        </w:tc>
        <w:tc>
          <w:tcPr>
            <w:tcW w:w="2268" w:type="dxa"/>
          </w:tcPr>
          <w:p w14:paraId="7A7B9DBD" w14:textId="77777777" w:rsidR="00241417" w:rsidRPr="004710DC" w:rsidRDefault="00241417" w:rsidP="003A71DE">
            <w:pPr>
              <w:pStyle w:val="TAC"/>
              <w:rPr>
                <w:lang w:eastAsia="zh-CN"/>
              </w:rPr>
            </w:pPr>
            <w:r w:rsidRPr="004710DC">
              <w:rPr>
                <w:lang w:eastAsia="zh-CN"/>
              </w:rPr>
              <w:t>16</w:t>
            </w:r>
          </w:p>
        </w:tc>
        <w:tc>
          <w:tcPr>
            <w:tcW w:w="2312" w:type="dxa"/>
          </w:tcPr>
          <w:p w14:paraId="735F4681" w14:textId="77777777" w:rsidR="00241417" w:rsidRPr="004710DC" w:rsidRDefault="00241417" w:rsidP="003A71DE">
            <w:pPr>
              <w:pStyle w:val="TAC"/>
              <w:rPr>
                <w:lang w:eastAsia="zh-CN"/>
              </w:rPr>
            </w:pPr>
            <w:r w:rsidRPr="004710DC">
              <w:rPr>
                <w:lang w:eastAsia="zh-CN"/>
              </w:rPr>
              <w:t>16</w:t>
            </w:r>
          </w:p>
        </w:tc>
      </w:tr>
      <w:tr w:rsidR="00241417" w:rsidRPr="004710DC" w14:paraId="3805CF35" w14:textId="77777777" w:rsidTr="003A71DE">
        <w:trPr>
          <w:cantSplit/>
          <w:jc w:val="center"/>
        </w:trPr>
        <w:tc>
          <w:tcPr>
            <w:tcW w:w="4470" w:type="dxa"/>
          </w:tcPr>
          <w:p w14:paraId="690AB35E" w14:textId="77777777" w:rsidR="00241417" w:rsidRPr="00333EE0" w:rsidRDefault="00241417" w:rsidP="003A71DE">
            <w:pPr>
              <w:pStyle w:val="TAC"/>
            </w:pPr>
            <w:r w:rsidRPr="00333EE0">
              <w:t>Code block CRC size (bits)</w:t>
            </w:r>
          </w:p>
        </w:tc>
        <w:tc>
          <w:tcPr>
            <w:tcW w:w="2268" w:type="dxa"/>
            <w:vAlign w:val="center"/>
          </w:tcPr>
          <w:p w14:paraId="5A9018C7" w14:textId="77777777" w:rsidR="00241417" w:rsidRPr="004710DC" w:rsidRDefault="00241417" w:rsidP="003A71DE">
            <w:pPr>
              <w:pStyle w:val="TAC"/>
              <w:rPr>
                <w:lang w:eastAsia="zh-CN"/>
              </w:rPr>
            </w:pPr>
            <w:r w:rsidRPr="004710DC">
              <w:rPr>
                <w:lang w:eastAsia="zh-CN"/>
              </w:rPr>
              <w:t>-</w:t>
            </w:r>
          </w:p>
        </w:tc>
        <w:tc>
          <w:tcPr>
            <w:tcW w:w="2312" w:type="dxa"/>
            <w:vAlign w:val="center"/>
          </w:tcPr>
          <w:p w14:paraId="65137F41" w14:textId="77777777" w:rsidR="00241417" w:rsidRPr="004710DC" w:rsidRDefault="00241417" w:rsidP="003A71DE">
            <w:pPr>
              <w:pStyle w:val="TAC"/>
              <w:rPr>
                <w:lang w:eastAsia="zh-CN"/>
              </w:rPr>
            </w:pPr>
            <w:r w:rsidRPr="004710DC">
              <w:rPr>
                <w:lang w:eastAsia="zh-CN"/>
              </w:rPr>
              <w:t>-</w:t>
            </w:r>
          </w:p>
        </w:tc>
      </w:tr>
      <w:tr w:rsidR="00241417" w:rsidRPr="004710DC" w14:paraId="3F8F3C9D" w14:textId="77777777" w:rsidTr="003A71DE">
        <w:trPr>
          <w:cantSplit/>
          <w:jc w:val="center"/>
        </w:trPr>
        <w:tc>
          <w:tcPr>
            <w:tcW w:w="4470" w:type="dxa"/>
          </w:tcPr>
          <w:p w14:paraId="51EB01FD" w14:textId="77777777" w:rsidR="00241417" w:rsidRPr="00333EE0" w:rsidRDefault="00241417" w:rsidP="003A71DE">
            <w:pPr>
              <w:pStyle w:val="TAC"/>
            </w:pPr>
            <w:r w:rsidRPr="00333EE0">
              <w:t>Number of code blocks - C</w:t>
            </w:r>
          </w:p>
        </w:tc>
        <w:tc>
          <w:tcPr>
            <w:tcW w:w="2268" w:type="dxa"/>
            <w:vAlign w:val="center"/>
          </w:tcPr>
          <w:p w14:paraId="3FB829AA" w14:textId="77777777" w:rsidR="00241417" w:rsidRPr="004710DC" w:rsidRDefault="00241417" w:rsidP="003A71DE">
            <w:pPr>
              <w:pStyle w:val="TAC"/>
              <w:rPr>
                <w:lang w:eastAsia="zh-CN"/>
              </w:rPr>
            </w:pPr>
            <w:r w:rsidRPr="004710DC">
              <w:rPr>
                <w:lang w:eastAsia="zh-CN"/>
              </w:rPr>
              <w:t>1</w:t>
            </w:r>
          </w:p>
        </w:tc>
        <w:tc>
          <w:tcPr>
            <w:tcW w:w="2312" w:type="dxa"/>
            <w:vAlign w:val="center"/>
          </w:tcPr>
          <w:p w14:paraId="17234809" w14:textId="77777777" w:rsidR="00241417" w:rsidRPr="004710DC" w:rsidRDefault="00241417" w:rsidP="003A71DE">
            <w:pPr>
              <w:pStyle w:val="TAC"/>
              <w:rPr>
                <w:lang w:eastAsia="zh-CN"/>
              </w:rPr>
            </w:pPr>
            <w:r w:rsidRPr="004710DC">
              <w:rPr>
                <w:lang w:eastAsia="zh-CN"/>
              </w:rPr>
              <w:t>1</w:t>
            </w:r>
          </w:p>
        </w:tc>
      </w:tr>
      <w:tr w:rsidR="00241417" w:rsidRPr="004710DC" w14:paraId="39D54D1E" w14:textId="77777777" w:rsidTr="003A71DE">
        <w:trPr>
          <w:cantSplit/>
          <w:jc w:val="center"/>
        </w:trPr>
        <w:tc>
          <w:tcPr>
            <w:tcW w:w="4470" w:type="dxa"/>
          </w:tcPr>
          <w:p w14:paraId="7515277A" w14:textId="77777777" w:rsidR="00241417" w:rsidRPr="00333EE0" w:rsidRDefault="00241417" w:rsidP="003A71DE">
            <w:pPr>
              <w:pStyle w:val="TAC"/>
              <w:rPr>
                <w:lang w:eastAsia="zh-CN"/>
              </w:rPr>
            </w:pPr>
            <w:r w:rsidRPr="00333EE0">
              <w:t>Code block size</w:t>
            </w:r>
            <w:r w:rsidRPr="00333EE0">
              <w:rPr>
                <w:rFonts w:eastAsia="Malgun Gothic" w:cs="Arial"/>
              </w:rPr>
              <w:t xml:space="preserve"> including CRC</w:t>
            </w:r>
            <w:r w:rsidRPr="00333EE0">
              <w:t xml:space="preserve"> (bits)</w:t>
            </w:r>
            <w:r w:rsidRPr="00333EE0">
              <w:rPr>
                <w:lang w:eastAsia="zh-CN"/>
              </w:rPr>
              <w:t xml:space="preserve"> </w:t>
            </w:r>
            <w:r w:rsidRPr="00333EE0">
              <w:rPr>
                <w:rFonts w:cs="Arial"/>
                <w:lang w:eastAsia="zh-CN"/>
              </w:rPr>
              <w:t>(Note 2)</w:t>
            </w:r>
          </w:p>
        </w:tc>
        <w:tc>
          <w:tcPr>
            <w:tcW w:w="2268" w:type="dxa"/>
            <w:vAlign w:val="center"/>
          </w:tcPr>
          <w:p w14:paraId="4798685C" w14:textId="77777777" w:rsidR="00241417" w:rsidRPr="004710DC" w:rsidRDefault="00241417" w:rsidP="003A71DE">
            <w:pPr>
              <w:pStyle w:val="TAC"/>
              <w:rPr>
                <w:lang w:eastAsia="zh-CN"/>
              </w:rPr>
            </w:pPr>
            <w:r w:rsidRPr="004710DC">
              <w:t>1368</w:t>
            </w:r>
          </w:p>
        </w:tc>
        <w:tc>
          <w:tcPr>
            <w:tcW w:w="2312" w:type="dxa"/>
            <w:vAlign w:val="center"/>
          </w:tcPr>
          <w:p w14:paraId="3CE860C5" w14:textId="77777777" w:rsidR="00241417" w:rsidRPr="004710DC" w:rsidRDefault="00241417" w:rsidP="003A71DE">
            <w:pPr>
              <w:pStyle w:val="TAC"/>
              <w:rPr>
                <w:lang w:eastAsia="zh-CN"/>
              </w:rPr>
            </w:pPr>
            <w:r w:rsidRPr="004710DC">
              <w:t>1336</w:t>
            </w:r>
          </w:p>
        </w:tc>
      </w:tr>
      <w:tr w:rsidR="00241417" w:rsidRPr="004710DC" w14:paraId="41E9DF21" w14:textId="77777777" w:rsidTr="003A71DE">
        <w:trPr>
          <w:cantSplit/>
          <w:jc w:val="center"/>
        </w:trPr>
        <w:tc>
          <w:tcPr>
            <w:tcW w:w="4470" w:type="dxa"/>
          </w:tcPr>
          <w:p w14:paraId="46FC52C9" w14:textId="77777777" w:rsidR="00241417" w:rsidRPr="00333EE0" w:rsidRDefault="00241417" w:rsidP="003A71DE">
            <w:pPr>
              <w:pStyle w:val="TAC"/>
              <w:rPr>
                <w:lang w:eastAsia="zh-CN"/>
              </w:rPr>
            </w:pPr>
            <w:r w:rsidRPr="00333EE0">
              <w:t xml:space="preserve">Total number of bits per </w:t>
            </w:r>
            <w:r w:rsidRPr="00333EE0">
              <w:rPr>
                <w:lang w:eastAsia="zh-CN"/>
              </w:rPr>
              <w:t>slot</w:t>
            </w:r>
          </w:p>
        </w:tc>
        <w:tc>
          <w:tcPr>
            <w:tcW w:w="2268" w:type="dxa"/>
            <w:vAlign w:val="center"/>
          </w:tcPr>
          <w:p w14:paraId="5900CF85" w14:textId="77777777" w:rsidR="00241417" w:rsidRPr="004710DC" w:rsidRDefault="00241417" w:rsidP="003A71DE">
            <w:pPr>
              <w:pStyle w:val="TAC"/>
              <w:rPr>
                <w:lang w:eastAsia="zh-CN"/>
              </w:rPr>
            </w:pPr>
            <w:r w:rsidRPr="004710DC">
              <w:rPr>
                <w:lang w:eastAsia="zh-CN"/>
              </w:rPr>
              <w:t>7200</w:t>
            </w:r>
          </w:p>
        </w:tc>
        <w:tc>
          <w:tcPr>
            <w:tcW w:w="2312" w:type="dxa"/>
            <w:vAlign w:val="center"/>
          </w:tcPr>
          <w:p w14:paraId="0F260DBE" w14:textId="77777777" w:rsidR="00241417" w:rsidRPr="004710DC" w:rsidRDefault="00241417" w:rsidP="003A71DE">
            <w:pPr>
              <w:pStyle w:val="TAC"/>
              <w:rPr>
                <w:lang w:eastAsia="zh-CN"/>
              </w:rPr>
            </w:pPr>
            <w:r w:rsidRPr="004710DC">
              <w:rPr>
                <w:lang w:eastAsia="zh-CN"/>
              </w:rPr>
              <w:t>6912</w:t>
            </w:r>
          </w:p>
        </w:tc>
      </w:tr>
      <w:tr w:rsidR="00241417" w:rsidRPr="004710DC" w14:paraId="4837A9D5" w14:textId="77777777" w:rsidTr="003A71DE">
        <w:trPr>
          <w:cantSplit/>
          <w:jc w:val="center"/>
        </w:trPr>
        <w:tc>
          <w:tcPr>
            <w:tcW w:w="4470" w:type="dxa"/>
          </w:tcPr>
          <w:p w14:paraId="4421DC2A"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2268" w:type="dxa"/>
          </w:tcPr>
          <w:p w14:paraId="620815AA" w14:textId="77777777" w:rsidR="00241417" w:rsidRPr="004710DC" w:rsidRDefault="00241417" w:rsidP="003A71DE">
            <w:pPr>
              <w:pStyle w:val="TAC"/>
              <w:rPr>
                <w:lang w:eastAsia="zh-CN"/>
              </w:rPr>
            </w:pPr>
            <w:r w:rsidRPr="004710DC">
              <w:rPr>
                <w:lang w:eastAsia="zh-CN"/>
              </w:rPr>
              <w:t>3600</w:t>
            </w:r>
          </w:p>
        </w:tc>
        <w:tc>
          <w:tcPr>
            <w:tcW w:w="2312" w:type="dxa"/>
          </w:tcPr>
          <w:p w14:paraId="6B3415DD" w14:textId="77777777" w:rsidR="00241417" w:rsidRPr="004710DC" w:rsidRDefault="00241417" w:rsidP="003A71DE">
            <w:pPr>
              <w:pStyle w:val="TAC"/>
              <w:rPr>
                <w:lang w:eastAsia="zh-CN"/>
              </w:rPr>
            </w:pPr>
            <w:r w:rsidRPr="004710DC">
              <w:rPr>
                <w:lang w:eastAsia="zh-CN"/>
              </w:rPr>
              <w:t>3456</w:t>
            </w:r>
          </w:p>
        </w:tc>
      </w:tr>
      <w:tr w:rsidR="00241417" w:rsidRPr="00333EE0" w14:paraId="204AEA3A" w14:textId="77777777" w:rsidTr="003A71DE">
        <w:trPr>
          <w:cantSplit/>
          <w:jc w:val="center"/>
        </w:trPr>
        <w:tc>
          <w:tcPr>
            <w:tcW w:w="9050" w:type="dxa"/>
            <w:gridSpan w:val="3"/>
          </w:tcPr>
          <w:p w14:paraId="1A7B359C" w14:textId="77777777" w:rsidR="00241417" w:rsidRPr="00333EE0" w:rsidRDefault="00241417" w:rsidP="003A71DE">
            <w:pPr>
              <w:pStyle w:val="TAN"/>
              <w:rPr>
                <w:lang w:eastAsia="zh-CN"/>
              </w:rPr>
            </w:pPr>
            <w:r w:rsidRPr="00333EE0">
              <w:t>NOTE 1:</w:t>
            </w:r>
            <w:r w:rsidRPr="00333EE0">
              <w:tab/>
            </w:r>
            <w:r w:rsidRPr="00333EE0">
              <w:rPr>
                <w:i/>
              </w:rPr>
              <w:t xml:space="preserve">DM-RS configuration type </w:t>
            </w:r>
            <w:r w:rsidRPr="00333EE0">
              <w:t xml:space="preserve"> = 1 with </w:t>
            </w:r>
            <w:r w:rsidRPr="00333EE0">
              <w:rPr>
                <w:i/>
              </w:rPr>
              <w:t>DM-RS duration = single-symbol DM-RS</w:t>
            </w:r>
            <w:r w:rsidRPr="00333EE0">
              <w:rPr>
                <w:lang w:eastAsia="zh-CN"/>
              </w:rPr>
              <w:t xml:space="preserve"> and the number of DM-RS CDM groups without data is 2</w:t>
            </w:r>
            <w:r w:rsidRPr="00333EE0">
              <w:t xml:space="preserve">, </w:t>
            </w:r>
            <w:r w:rsidRPr="00333EE0">
              <w:rPr>
                <w:i/>
              </w:rPr>
              <w:t>Additional DM-RS position = pos1</w:t>
            </w:r>
            <w:r w:rsidRPr="00333EE0">
              <w:rPr>
                <w:lang w:eastAsia="zh-CN"/>
              </w:rPr>
              <w:t>,</w:t>
            </w:r>
            <w:r w:rsidRPr="00333EE0">
              <w:t xml:space="preserve"> </w:t>
            </w:r>
            <w:r w:rsidRPr="00333EE0">
              <w:rPr>
                <w:i/>
                <w:lang w:eastAsia="zh-CN"/>
              </w:rPr>
              <w:t>l</w:t>
            </w:r>
            <w:r w:rsidRPr="00333EE0">
              <w:rPr>
                <w:i/>
                <w:vertAlign w:val="subscript"/>
                <w:lang w:eastAsia="zh-CN"/>
              </w:rPr>
              <w:t>0</w:t>
            </w:r>
            <w:r w:rsidRPr="00333EE0">
              <w:t>= 2</w:t>
            </w:r>
            <w:r w:rsidRPr="00333EE0">
              <w:rPr>
                <w:lang w:eastAsia="zh-CN"/>
              </w:rPr>
              <w:t xml:space="preserve"> and </w:t>
            </w:r>
            <w:r w:rsidRPr="00333EE0">
              <w:rPr>
                <w:i/>
                <w:lang w:eastAsia="zh-CN"/>
              </w:rPr>
              <w:t>l</w:t>
            </w:r>
            <w:r w:rsidRPr="00333EE0">
              <w:rPr>
                <w:lang w:eastAsia="zh-CN"/>
              </w:rPr>
              <w:t>=11</w:t>
            </w:r>
            <w:r w:rsidRPr="00333EE0">
              <w:t xml:space="preserve"> </w:t>
            </w:r>
            <w:r w:rsidRPr="00333EE0">
              <w:rPr>
                <w:lang w:eastAsia="zh-CN"/>
              </w:rPr>
              <w:t xml:space="preserve">for </w:t>
            </w:r>
            <w:r w:rsidRPr="00333EE0">
              <w:t>PUSCH mapping type A</w:t>
            </w:r>
            <w:r w:rsidRPr="00333EE0">
              <w:rPr>
                <w:lang w:eastAsia="zh-CN"/>
              </w:rPr>
              <w:t xml:space="preserve">, </w:t>
            </w:r>
            <w:r w:rsidRPr="00333EE0">
              <w:rPr>
                <w:i/>
                <w:lang w:eastAsia="zh-CN"/>
              </w:rPr>
              <w:t>l</w:t>
            </w:r>
            <w:r w:rsidRPr="00333EE0">
              <w:rPr>
                <w:i/>
                <w:vertAlign w:val="subscript"/>
                <w:lang w:eastAsia="zh-CN"/>
              </w:rPr>
              <w:t>0</w:t>
            </w:r>
            <w:r w:rsidRPr="00333EE0">
              <w:t xml:space="preserve">= </w:t>
            </w:r>
            <w:r w:rsidRPr="00333EE0">
              <w:rPr>
                <w:lang w:eastAsia="zh-CN"/>
              </w:rPr>
              <w:t xml:space="preserve">0 and </w:t>
            </w:r>
            <w:r w:rsidRPr="00333EE0">
              <w:rPr>
                <w:i/>
                <w:lang w:eastAsia="zh-CN"/>
              </w:rPr>
              <w:t xml:space="preserve">l </w:t>
            </w:r>
            <w:r w:rsidRPr="00333EE0">
              <w:rPr>
                <w:lang w:eastAsia="zh-CN"/>
              </w:rPr>
              <w:t>=10</w:t>
            </w:r>
            <w:r w:rsidRPr="00333EE0">
              <w:t xml:space="preserve"> </w:t>
            </w:r>
            <w:r w:rsidRPr="00333EE0">
              <w:rPr>
                <w:lang w:eastAsia="zh-CN"/>
              </w:rPr>
              <w:t xml:space="preserve">for </w:t>
            </w:r>
            <w:r w:rsidRPr="00333EE0">
              <w:t xml:space="preserve">PUSCH mapping type </w:t>
            </w:r>
            <w:r w:rsidRPr="00333EE0">
              <w:rPr>
                <w:lang w:eastAsia="zh-CN"/>
              </w:rPr>
              <w:t>B</w:t>
            </w:r>
            <w:r w:rsidRPr="00333EE0">
              <w:t xml:space="preserve"> as per Table 6.4.1.1.3-3 of TS 38.211 [8].</w:t>
            </w:r>
          </w:p>
          <w:p w14:paraId="03C4645D" w14:textId="77777777" w:rsidR="00241417" w:rsidRPr="00333EE0" w:rsidRDefault="00241417" w:rsidP="003A71DE">
            <w:pPr>
              <w:pStyle w:val="TAN"/>
              <w:rPr>
                <w:lang w:eastAsia="zh-CN"/>
              </w:rPr>
            </w:pPr>
            <w:r w:rsidRPr="00333EE0">
              <w:t xml:space="preserve">NOTE </w:t>
            </w:r>
            <w:r w:rsidRPr="00333EE0">
              <w:rPr>
                <w:lang w:eastAsia="zh-CN"/>
              </w:rPr>
              <w:t>2</w:t>
            </w:r>
            <w:r w:rsidRPr="00333EE0">
              <w:t>:</w:t>
            </w:r>
            <w:r w:rsidRPr="00333EE0">
              <w:tab/>
              <w:t>Code block size including CRC (bits)</w:t>
            </w:r>
            <w:r w:rsidRPr="00333EE0">
              <w:rPr>
                <w:lang w:eastAsia="zh-CN"/>
              </w:rPr>
              <w:t xml:space="preserve"> equals to </w:t>
            </w:r>
            <w:r w:rsidRPr="00333EE0">
              <w:rPr>
                <w:i/>
                <w:lang w:eastAsia="zh-CN"/>
              </w:rPr>
              <w:t>K'</w:t>
            </w:r>
            <w:r w:rsidRPr="00333EE0">
              <w:rPr>
                <w:rFonts w:hint="eastAsia"/>
                <w:lang w:eastAsia="zh-CN"/>
              </w:rPr>
              <w:t xml:space="preserve"> in sub-clause </w:t>
            </w:r>
            <w:r w:rsidRPr="00333EE0">
              <w:rPr>
                <w:lang w:eastAsia="zh-CN"/>
              </w:rPr>
              <w:t>5.2.2 of TS 38.212 [9].</w:t>
            </w:r>
          </w:p>
        </w:tc>
      </w:tr>
    </w:tbl>
    <w:p w14:paraId="75086D83" w14:textId="77777777" w:rsidR="00241417" w:rsidRPr="00333EE0" w:rsidRDefault="00241417" w:rsidP="00241417">
      <w:pPr>
        <w:rPr>
          <w:noProof/>
          <w:lang w:eastAsia="zh-CN"/>
        </w:rPr>
      </w:pPr>
    </w:p>
    <w:p w14:paraId="5F5E2E81" w14:textId="77777777" w:rsidR="00241417" w:rsidRPr="00333EE0" w:rsidRDefault="00241417" w:rsidP="00241417">
      <w:pPr>
        <w:pStyle w:val="TH"/>
        <w:rPr>
          <w:lang w:eastAsia="zh-CN"/>
        </w:rPr>
      </w:pPr>
      <w:r w:rsidRPr="00333EE0">
        <w:rPr>
          <w:rFonts w:eastAsia="Malgun Gothic"/>
        </w:rPr>
        <w:lastRenderedPageBreak/>
        <w:t>Table A.</w:t>
      </w:r>
      <w:r w:rsidRPr="00333EE0">
        <w:rPr>
          <w:lang w:eastAsia="zh-CN"/>
        </w:rPr>
        <w:t>2.1</w:t>
      </w:r>
      <w:r w:rsidRPr="00333EE0">
        <w:rPr>
          <w:rFonts w:eastAsia="Malgun Gothic"/>
        </w:rPr>
        <w:t>-</w:t>
      </w:r>
      <w:r w:rsidRPr="00333EE0">
        <w:rPr>
          <w:lang w:eastAsia="zh-CN"/>
        </w:rPr>
        <w:t>4</w:t>
      </w:r>
      <w:r w:rsidRPr="00333EE0">
        <w:rPr>
          <w:rFonts w:eastAsia="Malgun Gothic"/>
        </w:rPr>
        <w:t>: FRC parameters for</w:t>
      </w:r>
      <w:r w:rsidRPr="00333EE0">
        <w:rPr>
          <w:lang w:eastAsia="zh-CN"/>
        </w:rPr>
        <w:t xml:space="preserve"> FR2 PUSCH </w:t>
      </w:r>
      <w:r w:rsidRPr="00333EE0">
        <w:rPr>
          <w:rFonts w:eastAsia="Malgun Gothic"/>
        </w:rPr>
        <w:t>performance requirements</w:t>
      </w:r>
      <w:r w:rsidRPr="00333EE0">
        <w:rPr>
          <w:lang w:eastAsia="zh-CN"/>
        </w:rPr>
        <w:t xml:space="preserve">, transform precoding disabled, </w:t>
      </w:r>
      <w:r w:rsidRPr="00333EE0">
        <w:rPr>
          <w:i/>
          <w:lang w:eastAsia="zh-CN"/>
        </w:rPr>
        <w:t>Additional DM-RS position = pos0</w:t>
      </w:r>
      <w:r w:rsidRPr="00333EE0">
        <w:rPr>
          <w:lang w:eastAsia="zh-CN"/>
        </w:rPr>
        <w:t xml:space="preserve"> and 1 transmission layer</w:t>
      </w:r>
      <w:r w:rsidRPr="00333EE0">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11A5EE08" w14:textId="77777777" w:rsidTr="003A71DE">
        <w:trPr>
          <w:cantSplit/>
          <w:jc w:val="center"/>
        </w:trPr>
        <w:tc>
          <w:tcPr>
            <w:tcW w:w="3950" w:type="dxa"/>
          </w:tcPr>
          <w:p w14:paraId="3B2AE4B4" w14:textId="77777777" w:rsidR="00241417" w:rsidRPr="004710DC" w:rsidRDefault="00241417" w:rsidP="003A71DE">
            <w:pPr>
              <w:pStyle w:val="TAH"/>
            </w:pPr>
            <w:r w:rsidRPr="004710DC">
              <w:t>Reference channel</w:t>
            </w:r>
          </w:p>
        </w:tc>
        <w:tc>
          <w:tcPr>
            <w:tcW w:w="1076" w:type="dxa"/>
          </w:tcPr>
          <w:p w14:paraId="77949F0F" w14:textId="77777777" w:rsidR="00241417" w:rsidRPr="004710DC" w:rsidRDefault="00241417" w:rsidP="003A71DE">
            <w:pPr>
              <w:pStyle w:val="TAH"/>
            </w:pPr>
            <w:r>
              <w:rPr>
                <w:lang w:eastAsia="zh-CN"/>
              </w:rPr>
              <w:t>D-FR2-A.2.1</w:t>
            </w:r>
            <w:r w:rsidRPr="004710DC">
              <w:rPr>
                <w:lang w:eastAsia="zh-CN"/>
              </w:rPr>
              <w:t>-1</w:t>
            </w:r>
          </w:p>
        </w:tc>
        <w:tc>
          <w:tcPr>
            <w:tcW w:w="1077" w:type="dxa"/>
          </w:tcPr>
          <w:p w14:paraId="1BA70234" w14:textId="77777777" w:rsidR="00241417" w:rsidRPr="004710DC" w:rsidRDefault="00241417" w:rsidP="003A71DE">
            <w:pPr>
              <w:pStyle w:val="TAH"/>
            </w:pPr>
            <w:r>
              <w:rPr>
                <w:lang w:eastAsia="zh-CN"/>
              </w:rPr>
              <w:t>D-FR2-A.2.1</w:t>
            </w:r>
            <w:r w:rsidRPr="004710DC">
              <w:rPr>
                <w:lang w:eastAsia="zh-CN"/>
              </w:rPr>
              <w:t>-2</w:t>
            </w:r>
          </w:p>
        </w:tc>
        <w:tc>
          <w:tcPr>
            <w:tcW w:w="1076" w:type="dxa"/>
          </w:tcPr>
          <w:p w14:paraId="710C5330" w14:textId="77777777" w:rsidR="00241417" w:rsidRPr="004710DC" w:rsidRDefault="00241417" w:rsidP="003A71DE">
            <w:pPr>
              <w:pStyle w:val="TAH"/>
            </w:pPr>
            <w:r>
              <w:rPr>
                <w:lang w:eastAsia="zh-CN"/>
              </w:rPr>
              <w:t>D-FR2-A.2.1</w:t>
            </w:r>
            <w:r w:rsidRPr="004710DC">
              <w:rPr>
                <w:lang w:eastAsia="zh-CN"/>
              </w:rPr>
              <w:t>-3</w:t>
            </w:r>
          </w:p>
        </w:tc>
        <w:tc>
          <w:tcPr>
            <w:tcW w:w="1077" w:type="dxa"/>
          </w:tcPr>
          <w:p w14:paraId="00E05187" w14:textId="77777777" w:rsidR="00241417" w:rsidRPr="004710DC" w:rsidRDefault="00241417" w:rsidP="003A71DE">
            <w:pPr>
              <w:pStyle w:val="TAH"/>
            </w:pPr>
            <w:r>
              <w:rPr>
                <w:lang w:eastAsia="zh-CN"/>
              </w:rPr>
              <w:t>D-FR2-A.2.1</w:t>
            </w:r>
            <w:r w:rsidRPr="004710DC">
              <w:rPr>
                <w:lang w:eastAsia="zh-CN"/>
              </w:rPr>
              <w:t>-4</w:t>
            </w:r>
          </w:p>
        </w:tc>
        <w:tc>
          <w:tcPr>
            <w:tcW w:w="1077" w:type="dxa"/>
          </w:tcPr>
          <w:p w14:paraId="38A44989" w14:textId="77777777" w:rsidR="00241417" w:rsidRPr="004710DC" w:rsidRDefault="00241417" w:rsidP="003A71DE">
            <w:pPr>
              <w:pStyle w:val="TAH"/>
            </w:pPr>
            <w:r>
              <w:rPr>
                <w:lang w:eastAsia="zh-CN"/>
              </w:rPr>
              <w:t>D-FR2-A.2.1</w:t>
            </w:r>
            <w:r w:rsidRPr="004710DC">
              <w:rPr>
                <w:lang w:eastAsia="zh-CN"/>
              </w:rPr>
              <w:t>-5</w:t>
            </w:r>
          </w:p>
        </w:tc>
      </w:tr>
      <w:tr w:rsidR="00241417" w:rsidRPr="004710DC" w14:paraId="5F2CF338" w14:textId="77777777" w:rsidTr="003A71DE">
        <w:trPr>
          <w:cantSplit/>
          <w:jc w:val="center"/>
        </w:trPr>
        <w:tc>
          <w:tcPr>
            <w:tcW w:w="3950" w:type="dxa"/>
          </w:tcPr>
          <w:p w14:paraId="25A95F02"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6DAE88BF" w14:textId="77777777" w:rsidR="00241417" w:rsidRPr="004710DC" w:rsidRDefault="00241417" w:rsidP="003A71DE">
            <w:pPr>
              <w:pStyle w:val="TAC"/>
              <w:rPr>
                <w:lang w:eastAsia="zh-CN"/>
              </w:rPr>
            </w:pPr>
            <w:r w:rsidRPr="004710DC">
              <w:rPr>
                <w:lang w:eastAsia="zh-CN"/>
              </w:rPr>
              <w:t>60</w:t>
            </w:r>
          </w:p>
        </w:tc>
        <w:tc>
          <w:tcPr>
            <w:tcW w:w="1077" w:type="dxa"/>
          </w:tcPr>
          <w:p w14:paraId="5BC0E9FE" w14:textId="77777777" w:rsidR="00241417" w:rsidRPr="004710DC" w:rsidRDefault="00241417" w:rsidP="003A71DE">
            <w:pPr>
              <w:pStyle w:val="TAC"/>
            </w:pPr>
            <w:r w:rsidRPr="004710DC">
              <w:rPr>
                <w:lang w:eastAsia="zh-CN"/>
              </w:rPr>
              <w:t>60</w:t>
            </w:r>
          </w:p>
        </w:tc>
        <w:tc>
          <w:tcPr>
            <w:tcW w:w="1076" w:type="dxa"/>
          </w:tcPr>
          <w:p w14:paraId="12DD909D" w14:textId="77777777" w:rsidR="00241417" w:rsidRPr="004710DC" w:rsidRDefault="00241417" w:rsidP="003A71DE">
            <w:pPr>
              <w:pStyle w:val="TAC"/>
            </w:pPr>
            <w:r w:rsidRPr="004710DC">
              <w:rPr>
                <w:lang w:eastAsia="zh-CN"/>
              </w:rPr>
              <w:t>120</w:t>
            </w:r>
          </w:p>
        </w:tc>
        <w:tc>
          <w:tcPr>
            <w:tcW w:w="1077" w:type="dxa"/>
          </w:tcPr>
          <w:p w14:paraId="59019A9F" w14:textId="77777777" w:rsidR="00241417" w:rsidRPr="004710DC" w:rsidRDefault="00241417" w:rsidP="003A71DE">
            <w:pPr>
              <w:pStyle w:val="TAC"/>
            </w:pPr>
            <w:r w:rsidRPr="004710DC">
              <w:rPr>
                <w:lang w:eastAsia="zh-CN"/>
              </w:rPr>
              <w:t>120</w:t>
            </w:r>
          </w:p>
        </w:tc>
        <w:tc>
          <w:tcPr>
            <w:tcW w:w="1077" w:type="dxa"/>
          </w:tcPr>
          <w:p w14:paraId="2D959975" w14:textId="77777777" w:rsidR="00241417" w:rsidRPr="004710DC" w:rsidRDefault="00241417" w:rsidP="003A71DE">
            <w:pPr>
              <w:pStyle w:val="TAC"/>
            </w:pPr>
            <w:r w:rsidRPr="004710DC">
              <w:rPr>
                <w:lang w:eastAsia="zh-CN"/>
              </w:rPr>
              <w:t>120</w:t>
            </w:r>
          </w:p>
        </w:tc>
      </w:tr>
      <w:tr w:rsidR="00241417" w:rsidRPr="004710DC" w14:paraId="2C9678DB" w14:textId="77777777" w:rsidTr="003A71DE">
        <w:trPr>
          <w:cantSplit/>
          <w:jc w:val="center"/>
        </w:trPr>
        <w:tc>
          <w:tcPr>
            <w:tcW w:w="3950" w:type="dxa"/>
          </w:tcPr>
          <w:p w14:paraId="5A7BA3C1" w14:textId="77777777" w:rsidR="00241417" w:rsidRPr="004710DC" w:rsidRDefault="00241417" w:rsidP="003A71DE">
            <w:pPr>
              <w:pStyle w:val="TAC"/>
            </w:pPr>
            <w:r w:rsidRPr="004710DC">
              <w:t>Allocated resource blocks</w:t>
            </w:r>
          </w:p>
        </w:tc>
        <w:tc>
          <w:tcPr>
            <w:tcW w:w="1076" w:type="dxa"/>
          </w:tcPr>
          <w:p w14:paraId="5445F8FB" w14:textId="77777777" w:rsidR="00241417" w:rsidRPr="004710DC" w:rsidRDefault="00241417" w:rsidP="003A71DE">
            <w:pPr>
              <w:pStyle w:val="TAC"/>
            </w:pPr>
            <w:r w:rsidRPr="004710DC">
              <w:t>66</w:t>
            </w:r>
          </w:p>
        </w:tc>
        <w:tc>
          <w:tcPr>
            <w:tcW w:w="1077" w:type="dxa"/>
          </w:tcPr>
          <w:p w14:paraId="1B6D952B" w14:textId="77777777" w:rsidR="00241417" w:rsidRPr="004710DC" w:rsidRDefault="00241417" w:rsidP="003A71DE">
            <w:pPr>
              <w:pStyle w:val="TAC"/>
            </w:pPr>
            <w:r w:rsidRPr="004710DC">
              <w:t>132</w:t>
            </w:r>
          </w:p>
        </w:tc>
        <w:tc>
          <w:tcPr>
            <w:tcW w:w="1076" w:type="dxa"/>
          </w:tcPr>
          <w:p w14:paraId="5600603F" w14:textId="77777777" w:rsidR="00241417" w:rsidRPr="004710DC" w:rsidRDefault="00241417" w:rsidP="003A71DE">
            <w:pPr>
              <w:pStyle w:val="TAC"/>
            </w:pPr>
            <w:r w:rsidRPr="004710DC">
              <w:t>32</w:t>
            </w:r>
          </w:p>
        </w:tc>
        <w:tc>
          <w:tcPr>
            <w:tcW w:w="1077" w:type="dxa"/>
          </w:tcPr>
          <w:p w14:paraId="6779319E" w14:textId="77777777" w:rsidR="00241417" w:rsidRPr="004710DC" w:rsidRDefault="00241417" w:rsidP="003A71DE">
            <w:pPr>
              <w:pStyle w:val="TAC"/>
            </w:pPr>
            <w:r w:rsidRPr="004710DC">
              <w:t>66</w:t>
            </w:r>
          </w:p>
        </w:tc>
        <w:tc>
          <w:tcPr>
            <w:tcW w:w="1077" w:type="dxa"/>
          </w:tcPr>
          <w:p w14:paraId="2F716758" w14:textId="77777777" w:rsidR="00241417" w:rsidRPr="004710DC" w:rsidRDefault="00241417" w:rsidP="003A71DE">
            <w:pPr>
              <w:pStyle w:val="TAC"/>
            </w:pPr>
            <w:r w:rsidRPr="004710DC">
              <w:t>132</w:t>
            </w:r>
          </w:p>
        </w:tc>
      </w:tr>
      <w:tr w:rsidR="00241417" w:rsidRPr="004710DC" w14:paraId="42688720" w14:textId="77777777" w:rsidTr="003A71DE">
        <w:trPr>
          <w:cantSplit/>
          <w:jc w:val="center"/>
        </w:trPr>
        <w:tc>
          <w:tcPr>
            <w:tcW w:w="3950" w:type="dxa"/>
          </w:tcPr>
          <w:p w14:paraId="23A733E4"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607E6C7F" w14:textId="77777777" w:rsidR="00241417" w:rsidRPr="004710DC" w:rsidRDefault="00241417" w:rsidP="003A71DE">
            <w:pPr>
              <w:pStyle w:val="TAC"/>
              <w:rPr>
                <w:lang w:eastAsia="zh-CN"/>
              </w:rPr>
            </w:pPr>
            <w:r w:rsidRPr="004710DC">
              <w:rPr>
                <w:lang w:eastAsia="zh-CN"/>
              </w:rPr>
              <w:t>9</w:t>
            </w:r>
          </w:p>
        </w:tc>
        <w:tc>
          <w:tcPr>
            <w:tcW w:w="1077" w:type="dxa"/>
          </w:tcPr>
          <w:p w14:paraId="6D152697" w14:textId="77777777" w:rsidR="00241417" w:rsidRPr="004710DC" w:rsidRDefault="00241417" w:rsidP="003A71DE">
            <w:pPr>
              <w:pStyle w:val="TAC"/>
              <w:rPr>
                <w:lang w:eastAsia="zh-CN"/>
              </w:rPr>
            </w:pPr>
            <w:r w:rsidRPr="004710DC">
              <w:rPr>
                <w:lang w:eastAsia="zh-CN"/>
              </w:rPr>
              <w:t>9</w:t>
            </w:r>
          </w:p>
        </w:tc>
        <w:tc>
          <w:tcPr>
            <w:tcW w:w="1076" w:type="dxa"/>
          </w:tcPr>
          <w:p w14:paraId="5F76629E" w14:textId="77777777" w:rsidR="00241417" w:rsidRPr="004710DC" w:rsidRDefault="00241417" w:rsidP="003A71DE">
            <w:pPr>
              <w:pStyle w:val="TAC"/>
              <w:rPr>
                <w:lang w:eastAsia="zh-CN"/>
              </w:rPr>
            </w:pPr>
            <w:r w:rsidRPr="004710DC">
              <w:rPr>
                <w:lang w:eastAsia="zh-CN"/>
              </w:rPr>
              <w:t>9</w:t>
            </w:r>
          </w:p>
        </w:tc>
        <w:tc>
          <w:tcPr>
            <w:tcW w:w="1077" w:type="dxa"/>
          </w:tcPr>
          <w:p w14:paraId="5BB239AA" w14:textId="77777777" w:rsidR="00241417" w:rsidRPr="004710DC" w:rsidRDefault="00241417" w:rsidP="003A71DE">
            <w:pPr>
              <w:pStyle w:val="TAC"/>
              <w:rPr>
                <w:lang w:eastAsia="zh-CN"/>
              </w:rPr>
            </w:pPr>
            <w:r w:rsidRPr="004710DC">
              <w:rPr>
                <w:lang w:eastAsia="zh-CN"/>
              </w:rPr>
              <w:t>9</w:t>
            </w:r>
          </w:p>
        </w:tc>
        <w:tc>
          <w:tcPr>
            <w:tcW w:w="1077" w:type="dxa"/>
          </w:tcPr>
          <w:p w14:paraId="5F5B08AC" w14:textId="77777777" w:rsidR="00241417" w:rsidRPr="004710DC" w:rsidRDefault="00241417" w:rsidP="003A71DE">
            <w:pPr>
              <w:pStyle w:val="TAC"/>
              <w:rPr>
                <w:lang w:eastAsia="zh-CN"/>
              </w:rPr>
            </w:pPr>
            <w:r w:rsidRPr="004710DC">
              <w:rPr>
                <w:lang w:eastAsia="zh-CN"/>
              </w:rPr>
              <w:t>9</w:t>
            </w:r>
          </w:p>
        </w:tc>
      </w:tr>
      <w:tr w:rsidR="00241417" w:rsidRPr="004710DC" w14:paraId="521FEA2F" w14:textId="77777777" w:rsidTr="003A71DE">
        <w:trPr>
          <w:cantSplit/>
          <w:jc w:val="center"/>
        </w:trPr>
        <w:tc>
          <w:tcPr>
            <w:tcW w:w="3950" w:type="dxa"/>
          </w:tcPr>
          <w:p w14:paraId="3F14ABE5" w14:textId="77777777" w:rsidR="00241417" w:rsidRPr="004710DC" w:rsidRDefault="00241417" w:rsidP="003A71DE">
            <w:pPr>
              <w:pStyle w:val="TAC"/>
            </w:pPr>
            <w:r w:rsidRPr="004710DC">
              <w:t>Modulation</w:t>
            </w:r>
          </w:p>
        </w:tc>
        <w:tc>
          <w:tcPr>
            <w:tcW w:w="1076" w:type="dxa"/>
          </w:tcPr>
          <w:p w14:paraId="17133ECB" w14:textId="77777777" w:rsidR="00241417" w:rsidRPr="004710DC" w:rsidRDefault="00241417" w:rsidP="003A71DE">
            <w:pPr>
              <w:pStyle w:val="TAC"/>
              <w:rPr>
                <w:lang w:eastAsia="zh-CN"/>
              </w:rPr>
            </w:pPr>
            <w:r w:rsidRPr="004710DC">
              <w:rPr>
                <w:lang w:eastAsia="zh-CN"/>
              </w:rPr>
              <w:t>QPSK</w:t>
            </w:r>
          </w:p>
        </w:tc>
        <w:tc>
          <w:tcPr>
            <w:tcW w:w="1077" w:type="dxa"/>
          </w:tcPr>
          <w:p w14:paraId="585CB9FA" w14:textId="77777777" w:rsidR="00241417" w:rsidRPr="004710DC" w:rsidRDefault="00241417" w:rsidP="003A71DE">
            <w:pPr>
              <w:pStyle w:val="TAC"/>
              <w:rPr>
                <w:lang w:eastAsia="zh-CN"/>
              </w:rPr>
            </w:pPr>
            <w:r w:rsidRPr="004710DC">
              <w:rPr>
                <w:lang w:eastAsia="zh-CN"/>
              </w:rPr>
              <w:t>QPSK</w:t>
            </w:r>
          </w:p>
        </w:tc>
        <w:tc>
          <w:tcPr>
            <w:tcW w:w="1076" w:type="dxa"/>
          </w:tcPr>
          <w:p w14:paraId="7857898D" w14:textId="77777777" w:rsidR="00241417" w:rsidRPr="004710DC" w:rsidRDefault="00241417" w:rsidP="003A71DE">
            <w:pPr>
              <w:pStyle w:val="TAC"/>
              <w:rPr>
                <w:lang w:eastAsia="zh-CN"/>
              </w:rPr>
            </w:pPr>
            <w:r w:rsidRPr="004710DC">
              <w:rPr>
                <w:lang w:eastAsia="zh-CN"/>
              </w:rPr>
              <w:t>QPSK</w:t>
            </w:r>
          </w:p>
        </w:tc>
        <w:tc>
          <w:tcPr>
            <w:tcW w:w="1077" w:type="dxa"/>
          </w:tcPr>
          <w:p w14:paraId="5144EF57" w14:textId="77777777" w:rsidR="00241417" w:rsidRPr="004710DC" w:rsidRDefault="00241417" w:rsidP="003A71DE">
            <w:pPr>
              <w:pStyle w:val="TAC"/>
              <w:rPr>
                <w:lang w:eastAsia="zh-CN"/>
              </w:rPr>
            </w:pPr>
            <w:r w:rsidRPr="004710DC">
              <w:rPr>
                <w:lang w:eastAsia="zh-CN"/>
              </w:rPr>
              <w:t>QPSK</w:t>
            </w:r>
          </w:p>
        </w:tc>
        <w:tc>
          <w:tcPr>
            <w:tcW w:w="1077" w:type="dxa"/>
          </w:tcPr>
          <w:p w14:paraId="5C9EC607" w14:textId="77777777" w:rsidR="00241417" w:rsidRPr="004710DC" w:rsidRDefault="00241417" w:rsidP="003A71DE">
            <w:pPr>
              <w:pStyle w:val="TAC"/>
              <w:rPr>
                <w:lang w:eastAsia="zh-CN"/>
              </w:rPr>
            </w:pPr>
            <w:r w:rsidRPr="004710DC">
              <w:rPr>
                <w:lang w:eastAsia="zh-CN"/>
              </w:rPr>
              <w:t>QPSK</w:t>
            </w:r>
          </w:p>
        </w:tc>
      </w:tr>
      <w:tr w:rsidR="00241417" w:rsidRPr="004710DC" w14:paraId="1EEB47F1" w14:textId="77777777" w:rsidTr="003A71DE">
        <w:trPr>
          <w:cantSplit/>
          <w:jc w:val="center"/>
        </w:trPr>
        <w:tc>
          <w:tcPr>
            <w:tcW w:w="3950" w:type="dxa"/>
          </w:tcPr>
          <w:p w14:paraId="2D67FFA4" w14:textId="77777777" w:rsidR="00241417" w:rsidRPr="004710DC" w:rsidRDefault="00241417" w:rsidP="003A71DE">
            <w:pPr>
              <w:pStyle w:val="TAC"/>
            </w:pPr>
            <w:r>
              <w:t>Code Rate</w:t>
            </w:r>
          </w:p>
        </w:tc>
        <w:tc>
          <w:tcPr>
            <w:tcW w:w="1076" w:type="dxa"/>
          </w:tcPr>
          <w:p w14:paraId="09C70601" w14:textId="77777777" w:rsidR="00241417" w:rsidRPr="004710DC" w:rsidRDefault="00241417" w:rsidP="003A71DE">
            <w:pPr>
              <w:pStyle w:val="TAC"/>
              <w:rPr>
                <w:lang w:eastAsia="zh-CN"/>
              </w:rPr>
            </w:pPr>
            <w:r w:rsidRPr="004710DC">
              <w:rPr>
                <w:lang w:eastAsia="zh-CN"/>
              </w:rPr>
              <w:t>193/1024</w:t>
            </w:r>
          </w:p>
        </w:tc>
        <w:tc>
          <w:tcPr>
            <w:tcW w:w="1077" w:type="dxa"/>
          </w:tcPr>
          <w:p w14:paraId="333E1C85" w14:textId="77777777" w:rsidR="00241417" w:rsidRPr="004710DC" w:rsidRDefault="00241417" w:rsidP="003A71DE">
            <w:pPr>
              <w:pStyle w:val="TAC"/>
              <w:rPr>
                <w:lang w:eastAsia="zh-CN"/>
              </w:rPr>
            </w:pPr>
            <w:r w:rsidRPr="004710DC">
              <w:rPr>
                <w:lang w:eastAsia="zh-CN"/>
              </w:rPr>
              <w:t>193/1024</w:t>
            </w:r>
          </w:p>
        </w:tc>
        <w:tc>
          <w:tcPr>
            <w:tcW w:w="1076" w:type="dxa"/>
          </w:tcPr>
          <w:p w14:paraId="70D8F115" w14:textId="77777777" w:rsidR="00241417" w:rsidRPr="004710DC" w:rsidRDefault="00241417" w:rsidP="003A71DE">
            <w:pPr>
              <w:pStyle w:val="TAC"/>
              <w:rPr>
                <w:lang w:eastAsia="zh-CN"/>
              </w:rPr>
            </w:pPr>
            <w:r w:rsidRPr="004710DC">
              <w:rPr>
                <w:lang w:eastAsia="zh-CN"/>
              </w:rPr>
              <w:t>193/1024</w:t>
            </w:r>
          </w:p>
        </w:tc>
        <w:tc>
          <w:tcPr>
            <w:tcW w:w="1077" w:type="dxa"/>
          </w:tcPr>
          <w:p w14:paraId="4DA59981" w14:textId="77777777" w:rsidR="00241417" w:rsidRPr="004710DC" w:rsidRDefault="00241417" w:rsidP="003A71DE">
            <w:pPr>
              <w:pStyle w:val="TAC"/>
              <w:rPr>
                <w:lang w:eastAsia="zh-CN"/>
              </w:rPr>
            </w:pPr>
            <w:r w:rsidRPr="004710DC">
              <w:rPr>
                <w:lang w:eastAsia="zh-CN"/>
              </w:rPr>
              <w:t>193/1024</w:t>
            </w:r>
          </w:p>
        </w:tc>
        <w:tc>
          <w:tcPr>
            <w:tcW w:w="1077" w:type="dxa"/>
          </w:tcPr>
          <w:p w14:paraId="64FED2D6" w14:textId="77777777" w:rsidR="00241417" w:rsidRPr="004710DC" w:rsidRDefault="00241417" w:rsidP="003A71DE">
            <w:pPr>
              <w:pStyle w:val="TAC"/>
              <w:rPr>
                <w:lang w:eastAsia="zh-CN"/>
              </w:rPr>
            </w:pPr>
            <w:r w:rsidRPr="004710DC">
              <w:rPr>
                <w:lang w:eastAsia="zh-CN"/>
              </w:rPr>
              <w:t>193/1024</w:t>
            </w:r>
          </w:p>
        </w:tc>
      </w:tr>
      <w:tr w:rsidR="00241417" w:rsidRPr="004710DC" w14:paraId="77FCD800" w14:textId="77777777" w:rsidTr="003A71DE">
        <w:trPr>
          <w:cantSplit/>
          <w:jc w:val="center"/>
        </w:trPr>
        <w:tc>
          <w:tcPr>
            <w:tcW w:w="3950" w:type="dxa"/>
          </w:tcPr>
          <w:p w14:paraId="4333A71E" w14:textId="77777777" w:rsidR="00241417" w:rsidRPr="004710DC" w:rsidRDefault="00241417" w:rsidP="003A71DE">
            <w:pPr>
              <w:pStyle w:val="TAC"/>
            </w:pPr>
            <w:r w:rsidRPr="004710DC">
              <w:t>Payload size (bits)</w:t>
            </w:r>
          </w:p>
        </w:tc>
        <w:tc>
          <w:tcPr>
            <w:tcW w:w="1076" w:type="dxa"/>
            <w:vAlign w:val="center"/>
          </w:tcPr>
          <w:p w14:paraId="2F9EF713" w14:textId="77777777" w:rsidR="00241417" w:rsidRPr="004710DC" w:rsidRDefault="00241417" w:rsidP="003A71DE">
            <w:pPr>
              <w:pStyle w:val="TAC"/>
            </w:pPr>
            <w:r w:rsidRPr="004710DC">
              <w:t>2664</w:t>
            </w:r>
          </w:p>
        </w:tc>
        <w:tc>
          <w:tcPr>
            <w:tcW w:w="1077" w:type="dxa"/>
            <w:vAlign w:val="center"/>
          </w:tcPr>
          <w:p w14:paraId="00797131" w14:textId="77777777" w:rsidR="00241417" w:rsidRPr="004710DC" w:rsidRDefault="00241417" w:rsidP="003A71DE">
            <w:pPr>
              <w:pStyle w:val="TAC"/>
            </w:pPr>
            <w:r w:rsidRPr="004710DC">
              <w:t>5384</w:t>
            </w:r>
          </w:p>
        </w:tc>
        <w:tc>
          <w:tcPr>
            <w:tcW w:w="1076" w:type="dxa"/>
            <w:vAlign w:val="center"/>
          </w:tcPr>
          <w:p w14:paraId="4DF81DBF" w14:textId="77777777" w:rsidR="00241417" w:rsidRPr="004710DC" w:rsidRDefault="00241417" w:rsidP="003A71DE">
            <w:pPr>
              <w:pStyle w:val="TAC"/>
            </w:pPr>
            <w:r w:rsidRPr="004710DC">
              <w:t>1320</w:t>
            </w:r>
          </w:p>
        </w:tc>
        <w:tc>
          <w:tcPr>
            <w:tcW w:w="1077" w:type="dxa"/>
            <w:vAlign w:val="center"/>
          </w:tcPr>
          <w:p w14:paraId="429A0406" w14:textId="77777777" w:rsidR="00241417" w:rsidRPr="004710DC" w:rsidRDefault="00241417" w:rsidP="003A71DE">
            <w:pPr>
              <w:pStyle w:val="TAC"/>
            </w:pPr>
            <w:r w:rsidRPr="004710DC">
              <w:t>2664</w:t>
            </w:r>
          </w:p>
        </w:tc>
        <w:tc>
          <w:tcPr>
            <w:tcW w:w="1077" w:type="dxa"/>
            <w:vAlign w:val="center"/>
          </w:tcPr>
          <w:p w14:paraId="2999451B" w14:textId="77777777" w:rsidR="00241417" w:rsidRPr="004710DC" w:rsidRDefault="00241417" w:rsidP="003A71DE">
            <w:pPr>
              <w:pStyle w:val="TAC"/>
            </w:pPr>
            <w:r w:rsidRPr="004710DC">
              <w:t>5384</w:t>
            </w:r>
          </w:p>
        </w:tc>
      </w:tr>
      <w:tr w:rsidR="00241417" w:rsidRPr="004710DC" w14:paraId="072E6020" w14:textId="77777777" w:rsidTr="003A71DE">
        <w:trPr>
          <w:cantSplit/>
          <w:jc w:val="center"/>
        </w:trPr>
        <w:tc>
          <w:tcPr>
            <w:tcW w:w="3950" w:type="dxa"/>
          </w:tcPr>
          <w:p w14:paraId="39F764DF" w14:textId="77777777" w:rsidR="00241417" w:rsidRPr="004710DC" w:rsidRDefault="00241417" w:rsidP="003A71DE">
            <w:pPr>
              <w:pStyle w:val="TAC"/>
            </w:pPr>
            <w:r w:rsidRPr="004710DC">
              <w:t>Transport block CRC (bits)</w:t>
            </w:r>
          </w:p>
        </w:tc>
        <w:tc>
          <w:tcPr>
            <w:tcW w:w="1076" w:type="dxa"/>
          </w:tcPr>
          <w:p w14:paraId="62E59600" w14:textId="77777777" w:rsidR="00241417" w:rsidRPr="004710DC" w:rsidRDefault="00241417" w:rsidP="003A71DE">
            <w:pPr>
              <w:pStyle w:val="TAC"/>
              <w:rPr>
                <w:lang w:eastAsia="zh-CN"/>
              </w:rPr>
            </w:pPr>
            <w:r w:rsidRPr="004710DC">
              <w:rPr>
                <w:lang w:eastAsia="zh-CN"/>
              </w:rPr>
              <w:t>16</w:t>
            </w:r>
          </w:p>
        </w:tc>
        <w:tc>
          <w:tcPr>
            <w:tcW w:w="1077" w:type="dxa"/>
          </w:tcPr>
          <w:p w14:paraId="1CB879C9" w14:textId="77777777" w:rsidR="00241417" w:rsidRPr="004710DC" w:rsidRDefault="00241417" w:rsidP="003A71DE">
            <w:pPr>
              <w:pStyle w:val="TAC"/>
              <w:rPr>
                <w:lang w:eastAsia="zh-CN"/>
              </w:rPr>
            </w:pPr>
            <w:r w:rsidRPr="004710DC">
              <w:rPr>
                <w:lang w:eastAsia="zh-CN"/>
              </w:rPr>
              <w:t>24</w:t>
            </w:r>
          </w:p>
        </w:tc>
        <w:tc>
          <w:tcPr>
            <w:tcW w:w="1076" w:type="dxa"/>
          </w:tcPr>
          <w:p w14:paraId="6C24CA31" w14:textId="77777777" w:rsidR="00241417" w:rsidRPr="004710DC" w:rsidRDefault="00241417" w:rsidP="003A71DE">
            <w:pPr>
              <w:pStyle w:val="TAC"/>
              <w:rPr>
                <w:lang w:eastAsia="zh-CN"/>
              </w:rPr>
            </w:pPr>
            <w:r w:rsidRPr="004710DC">
              <w:rPr>
                <w:lang w:eastAsia="zh-CN"/>
              </w:rPr>
              <w:t>16</w:t>
            </w:r>
          </w:p>
        </w:tc>
        <w:tc>
          <w:tcPr>
            <w:tcW w:w="1077" w:type="dxa"/>
          </w:tcPr>
          <w:p w14:paraId="5A6DA027" w14:textId="77777777" w:rsidR="00241417" w:rsidRPr="004710DC" w:rsidRDefault="00241417" w:rsidP="003A71DE">
            <w:pPr>
              <w:pStyle w:val="TAC"/>
              <w:rPr>
                <w:lang w:eastAsia="zh-CN"/>
              </w:rPr>
            </w:pPr>
            <w:r w:rsidRPr="004710DC">
              <w:rPr>
                <w:lang w:eastAsia="zh-CN"/>
              </w:rPr>
              <w:t>16</w:t>
            </w:r>
          </w:p>
        </w:tc>
        <w:tc>
          <w:tcPr>
            <w:tcW w:w="1077" w:type="dxa"/>
          </w:tcPr>
          <w:p w14:paraId="3AA5D6CE" w14:textId="77777777" w:rsidR="00241417" w:rsidRPr="004710DC" w:rsidRDefault="00241417" w:rsidP="003A71DE">
            <w:pPr>
              <w:pStyle w:val="TAC"/>
              <w:rPr>
                <w:lang w:eastAsia="zh-CN"/>
              </w:rPr>
            </w:pPr>
            <w:r w:rsidRPr="004710DC">
              <w:rPr>
                <w:lang w:eastAsia="zh-CN"/>
              </w:rPr>
              <w:t>24</w:t>
            </w:r>
          </w:p>
        </w:tc>
      </w:tr>
      <w:tr w:rsidR="00241417" w:rsidRPr="004710DC" w14:paraId="1170FABF" w14:textId="77777777" w:rsidTr="003A71DE">
        <w:trPr>
          <w:cantSplit/>
          <w:jc w:val="center"/>
        </w:trPr>
        <w:tc>
          <w:tcPr>
            <w:tcW w:w="3950" w:type="dxa"/>
          </w:tcPr>
          <w:p w14:paraId="192A6373" w14:textId="77777777" w:rsidR="00241417" w:rsidRPr="00333EE0" w:rsidRDefault="00241417" w:rsidP="003A71DE">
            <w:pPr>
              <w:pStyle w:val="TAC"/>
            </w:pPr>
            <w:r w:rsidRPr="00333EE0">
              <w:t>Code block CRC size (bits)</w:t>
            </w:r>
          </w:p>
        </w:tc>
        <w:tc>
          <w:tcPr>
            <w:tcW w:w="1076" w:type="dxa"/>
            <w:vAlign w:val="center"/>
          </w:tcPr>
          <w:p w14:paraId="0A35F29F" w14:textId="77777777" w:rsidR="00241417" w:rsidRPr="004710DC" w:rsidRDefault="00241417" w:rsidP="003A71DE">
            <w:pPr>
              <w:pStyle w:val="TAC"/>
            </w:pPr>
            <w:r w:rsidRPr="004710DC">
              <w:t>-</w:t>
            </w:r>
          </w:p>
        </w:tc>
        <w:tc>
          <w:tcPr>
            <w:tcW w:w="1077" w:type="dxa"/>
            <w:vAlign w:val="center"/>
          </w:tcPr>
          <w:p w14:paraId="52A967F2" w14:textId="77777777" w:rsidR="00241417" w:rsidRPr="004710DC" w:rsidRDefault="00241417" w:rsidP="003A71DE">
            <w:pPr>
              <w:pStyle w:val="TAC"/>
              <w:rPr>
                <w:lang w:eastAsia="zh-CN"/>
              </w:rPr>
            </w:pPr>
            <w:r w:rsidRPr="004710DC">
              <w:rPr>
                <w:lang w:eastAsia="zh-CN"/>
              </w:rPr>
              <w:t>24</w:t>
            </w:r>
          </w:p>
        </w:tc>
        <w:tc>
          <w:tcPr>
            <w:tcW w:w="1076" w:type="dxa"/>
          </w:tcPr>
          <w:p w14:paraId="480592DE" w14:textId="77777777" w:rsidR="00241417" w:rsidRPr="004710DC" w:rsidRDefault="00241417" w:rsidP="003A71DE">
            <w:pPr>
              <w:pStyle w:val="TAC"/>
            </w:pPr>
            <w:r w:rsidRPr="004710DC">
              <w:t>-</w:t>
            </w:r>
          </w:p>
        </w:tc>
        <w:tc>
          <w:tcPr>
            <w:tcW w:w="1077" w:type="dxa"/>
            <w:vAlign w:val="center"/>
          </w:tcPr>
          <w:p w14:paraId="18E03454" w14:textId="77777777" w:rsidR="00241417" w:rsidRPr="004710DC" w:rsidRDefault="00241417" w:rsidP="003A71DE">
            <w:pPr>
              <w:pStyle w:val="TAC"/>
            </w:pPr>
            <w:r w:rsidRPr="004710DC">
              <w:t>-</w:t>
            </w:r>
          </w:p>
        </w:tc>
        <w:tc>
          <w:tcPr>
            <w:tcW w:w="1077" w:type="dxa"/>
            <w:vAlign w:val="center"/>
          </w:tcPr>
          <w:p w14:paraId="6C4440A5" w14:textId="77777777" w:rsidR="00241417" w:rsidRPr="004710DC" w:rsidRDefault="00241417" w:rsidP="003A71DE">
            <w:pPr>
              <w:pStyle w:val="TAC"/>
              <w:rPr>
                <w:lang w:eastAsia="zh-CN"/>
              </w:rPr>
            </w:pPr>
            <w:r w:rsidRPr="004710DC">
              <w:rPr>
                <w:lang w:eastAsia="zh-CN"/>
              </w:rPr>
              <w:t>24</w:t>
            </w:r>
          </w:p>
        </w:tc>
      </w:tr>
      <w:tr w:rsidR="00241417" w:rsidRPr="004710DC" w14:paraId="787844FA" w14:textId="77777777" w:rsidTr="003A71DE">
        <w:trPr>
          <w:cantSplit/>
          <w:jc w:val="center"/>
        </w:trPr>
        <w:tc>
          <w:tcPr>
            <w:tcW w:w="3950" w:type="dxa"/>
          </w:tcPr>
          <w:p w14:paraId="36502E28" w14:textId="77777777" w:rsidR="00241417" w:rsidRPr="00333EE0" w:rsidRDefault="00241417" w:rsidP="003A71DE">
            <w:pPr>
              <w:pStyle w:val="TAC"/>
            </w:pPr>
            <w:r w:rsidRPr="00333EE0">
              <w:t>Number of code blocks - C</w:t>
            </w:r>
          </w:p>
        </w:tc>
        <w:tc>
          <w:tcPr>
            <w:tcW w:w="1076" w:type="dxa"/>
            <w:vAlign w:val="center"/>
          </w:tcPr>
          <w:p w14:paraId="3D0773EC" w14:textId="77777777" w:rsidR="00241417" w:rsidRPr="004710DC" w:rsidRDefault="00241417" w:rsidP="003A71DE">
            <w:pPr>
              <w:pStyle w:val="TAC"/>
            </w:pPr>
            <w:r w:rsidRPr="004710DC">
              <w:t>1</w:t>
            </w:r>
          </w:p>
        </w:tc>
        <w:tc>
          <w:tcPr>
            <w:tcW w:w="1077" w:type="dxa"/>
            <w:vAlign w:val="center"/>
          </w:tcPr>
          <w:p w14:paraId="61F6F1D5" w14:textId="77777777" w:rsidR="00241417" w:rsidRPr="004710DC" w:rsidRDefault="00241417" w:rsidP="003A71DE">
            <w:pPr>
              <w:pStyle w:val="TAC"/>
              <w:rPr>
                <w:lang w:eastAsia="zh-CN"/>
              </w:rPr>
            </w:pPr>
            <w:r w:rsidRPr="004710DC">
              <w:rPr>
                <w:lang w:eastAsia="zh-CN"/>
              </w:rPr>
              <w:t>2</w:t>
            </w:r>
          </w:p>
        </w:tc>
        <w:tc>
          <w:tcPr>
            <w:tcW w:w="1076" w:type="dxa"/>
          </w:tcPr>
          <w:p w14:paraId="59A8750F" w14:textId="77777777" w:rsidR="00241417" w:rsidRPr="004710DC" w:rsidRDefault="00241417" w:rsidP="003A71DE">
            <w:pPr>
              <w:pStyle w:val="TAC"/>
            </w:pPr>
            <w:r w:rsidRPr="004710DC">
              <w:t>1</w:t>
            </w:r>
          </w:p>
        </w:tc>
        <w:tc>
          <w:tcPr>
            <w:tcW w:w="1077" w:type="dxa"/>
            <w:vAlign w:val="center"/>
          </w:tcPr>
          <w:p w14:paraId="2E9FA3E1" w14:textId="77777777" w:rsidR="00241417" w:rsidRPr="004710DC" w:rsidRDefault="00241417" w:rsidP="003A71DE">
            <w:pPr>
              <w:pStyle w:val="TAC"/>
            </w:pPr>
            <w:r w:rsidRPr="004710DC">
              <w:t>1</w:t>
            </w:r>
          </w:p>
        </w:tc>
        <w:tc>
          <w:tcPr>
            <w:tcW w:w="1077" w:type="dxa"/>
            <w:vAlign w:val="center"/>
          </w:tcPr>
          <w:p w14:paraId="3D5ECA00" w14:textId="77777777" w:rsidR="00241417" w:rsidRPr="004710DC" w:rsidRDefault="00241417" w:rsidP="003A71DE">
            <w:pPr>
              <w:pStyle w:val="TAC"/>
              <w:rPr>
                <w:lang w:eastAsia="zh-CN"/>
              </w:rPr>
            </w:pPr>
            <w:r w:rsidRPr="004710DC">
              <w:rPr>
                <w:lang w:eastAsia="zh-CN"/>
              </w:rPr>
              <w:t>2</w:t>
            </w:r>
          </w:p>
        </w:tc>
      </w:tr>
      <w:tr w:rsidR="00241417" w:rsidRPr="004710DC" w14:paraId="763CD7BC" w14:textId="77777777" w:rsidTr="003A71DE">
        <w:trPr>
          <w:cantSplit/>
          <w:jc w:val="center"/>
        </w:trPr>
        <w:tc>
          <w:tcPr>
            <w:tcW w:w="3950" w:type="dxa"/>
          </w:tcPr>
          <w:p w14:paraId="38FB2900" w14:textId="77777777" w:rsidR="00241417" w:rsidRPr="00333EE0" w:rsidRDefault="00241417" w:rsidP="003A71DE">
            <w:pPr>
              <w:pStyle w:val="TAC"/>
              <w:rPr>
                <w:lang w:eastAsia="zh-CN"/>
              </w:rPr>
            </w:pPr>
            <w:r w:rsidRPr="00333EE0">
              <w:t>Code block size</w:t>
            </w:r>
            <w:r w:rsidRPr="00333EE0">
              <w:rPr>
                <w:lang w:eastAsia="zh-CN"/>
              </w:rPr>
              <w:t xml:space="preserve"> </w:t>
            </w:r>
            <w:r w:rsidRPr="00333EE0">
              <w:rPr>
                <w:rFonts w:eastAsia="Malgun Gothic" w:cs="Arial"/>
              </w:rPr>
              <w:t>including CRC</w:t>
            </w:r>
            <w:r w:rsidRPr="00333EE0">
              <w:t xml:space="preserve"> (bits)</w:t>
            </w:r>
            <w:r w:rsidRPr="00333EE0">
              <w:rPr>
                <w:lang w:eastAsia="zh-CN"/>
              </w:rPr>
              <w:t xml:space="preserve"> </w:t>
            </w:r>
            <w:r w:rsidRPr="00333EE0">
              <w:rPr>
                <w:rFonts w:cs="Arial"/>
                <w:lang w:eastAsia="zh-CN"/>
              </w:rPr>
              <w:t>(Note 2)</w:t>
            </w:r>
          </w:p>
        </w:tc>
        <w:tc>
          <w:tcPr>
            <w:tcW w:w="1076" w:type="dxa"/>
            <w:vAlign w:val="center"/>
          </w:tcPr>
          <w:p w14:paraId="1660BA59" w14:textId="77777777" w:rsidR="00241417" w:rsidRPr="004710DC" w:rsidRDefault="00241417" w:rsidP="003A71DE">
            <w:pPr>
              <w:pStyle w:val="TAC"/>
              <w:rPr>
                <w:lang w:eastAsia="zh-CN"/>
              </w:rPr>
            </w:pPr>
            <w:r w:rsidRPr="004710DC">
              <w:rPr>
                <w:lang w:eastAsia="zh-CN"/>
              </w:rPr>
              <w:t>2680</w:t>
            </w:r>
          </w:p>
        </w:tc>
        <w:tc>
          <w:tcPr>
            <w:tcW w:w="1077" w:type="dxa"/>
            <w:vAlign w:val="center"/>
          </w:tcPr>
          <w:p w14:paraId="17D9978A" w14:textId="77777777" w:rsidR="00241417" w:rsidRPr="004710DC" w:rsidRDefault="00241417" w:rsidP="003A71DE">
            <w:pPr>
              <w:pStyle w:val="TAC"/>
              <w:rPr>
                <w:lang w:eastAsia="zh-CN"/>
              </w:rPr>
            </w:pPr>
            <w:r w:rsidRPr="004710DC">
              <w:rPr>
                <w:lang w:eastAsia="zh-CN"/>
              </w:rPr>
              <w:t>2728</w:t>
            </w:r>
          </w:p>
        </w:tc>
        <w:tc>
          <w:tcPr>
            <w:tcW w:w="1076" w:type="dxa"/>
            <w:vAlign w:val="center"/>
          </w:tcPr>
          <w:p w14:paraId="11974D3F" w14:textId="77777777" w:rsidR="00241417" w:rsidRPr="004710DC" w:rsidRDefault="00241417" w:rsidP="003A71DE">
            <w:pPr>
              <w:pStyle w:val="TAC"/>
              <w:rPr>
                <w:lang w:eastAsia="zh-CN"/>
              </w:rPr>
            </w:pPr>
            <w:r w:rsidRPr="004710DC">
              <w:rPr>
                <w:lang w:eastAsia="zh-CN"/>
              </w:rPr>
              <w:t>1336</w:t>
            </w:r>
          </w:p>
        </w:tc>
        <w:tc>
          <w:tcPr>
            <w:tcW w:w="1077" w:type="dxa"/>
            <w:vAlign w:val="center"/>
          </w:tcPr>
          <w:p w14:paraId="747B21A1" w14:textId="77777777" w:rsidR="00241417" w:rsidRPr="004710DC" w:rsidRDefault="00241417" w:rsidP="003A71DE">
            <w:pPr>
              <w:pStyle w:val="TAC"/>
              <w:rPr>
                <w:lang w:eastAsia="zh-CN"/>
              </w:rPr>
            </w:pPr>
            <w:r w:rsidRPr="004710DC">
              <w:rPr>
                <w:lang w:eastAsia="zh-CN"/>
              </w:rPr>
              <w:t>2680</w:t>
            </w:r>
          </w:p>
        </w:tc>
        <w:tc>
          <w:tcPr>
            <w:tcW w:w="1077" w:type="dxa"/>
            <w:vAlign w:val="center"/>
          </w:tcPr>
          <w:p w14:paraId="32C62316" w14:textId="77777777" w:rsidR="00241417" w:rsidRPr="004710DC" w:rsidRDefault="00241417" w:rsidP="003A71DE">
            <w:pPr>
              <w:pStyle w:val="TAC"/>
              <w:rPr>
                <w:lang w:eastAsia="zh-CN"/>
              </w:rPr>
            </w:pPr>
            <w:r w:rsidRPr="004710DC">
              <w:rPr>
                <w:lang w:eastAsia="zh-CN"/>
              </w:rPr>
              <w:t>2728</w:t>
            </w:r>
          </w:p>
        </w:tc>
      </w:tr>
      <w:tr w:rsidR="00241417" w:rsidRPr="004710DC" w14:paraId="7D369CFE" w14:textId="77777777" w:rsidTr="003A71DE">
        <w:trPr>
          <w:cantSplit/>
          <w:jc w:val="center"/>
        </w:trPr>
        <w:tc>
          <w:tcPr>
            <w:tcW w:w="3950" w:type="dxa"/>
          </w:tcPr>
          <w:p w14:paraId="172D31D9" w14:textId="77777777" w:rsidR="00241417" w:rsidRPr="00333EE0" w:rsidRDefault="00241417" w:rsidP="003A71DE">
            <w:pPr>
              <w:pStyle w:val="TAC"/>
              <w:rPr>
                <w:lang w:eastAsia="zh-CN"/>
              </w:rPr>
            </w:pPr>
            <w:r w:rsidRPr="00333EE0">
              <w:t xml:space="preserve">Total number of bits per </w:t>
            </w:r>
            <w:r w:rsidRPr="00333EE0">
              <w:rPr>
                <w:lang w:eastAsia="zh-CN"/>
              </w:rPr>
              <w:t>slot</w:t>
            </w:r>
          </w:p>
        </w:tc>
        <w:tc>
          <w:tcPr>
            <w:tcW w:w="1076" w:type="dxa"/>
            <w:vAlign w:val="center"/>
          </w:tcPr>
          <w:p w14:paraId="3BDE10B3" w14:textId="77777777" w:rsidR="00241417" w:rsidRPr="004710DC" w:rsidRDefault="00241417" w:rsidP="003A71DE">
            <w:pPr>
              <w:pStyle w:val="TAC"/>
              <w:rPr>
                <w:rFonts w:ascii="SimSun" w:hAnsi="SimSun" w:cs="SimSun"/>
              </w:rPr>
            </w:pPr>
            <w:r w:rsidRPr="004710DC">
              <w:t>14256</w:t>
            </w:r>
          </w:p>
        </w:tc>
        <w:tc>
          <w:tcPr>
            <w:tcW w:w="1077" w:type="dxa"/>
            <w:vAlign w:val="center"/>
          </w:tcPr>
          <w:p w14:paraId="513365B6" w14:textId="77777777" w:rsidR="00241417" w:rsidRPr="004710DC" w:rsidRDefault="00241417" w:rsidP="003A71DE">
            <w:pPr>
              <w:pStyle w:val="TAC"/>
              <w:rPr>
                <w:rFonts w:ascii="SimSun" w:hAnsi="SimSun" w:cs="SimSun"/>
              </w:rPr>
            </w:pPr>
            <w:r w:rsidRPr="004710DC">
              <w:t>28512</w:t>
            </w:r>
          </w:p>
        </w:tc>
        <w:tc>
          <w:tcPr>
            <w:tcW w:w="1076" w:type="dxa"/>
            <w:vAlign w:val="center"/>
          </w:tcPr>
          <w:p w14:paraId="3BD1EA48" w14:textId="77777777" w:rsidR="00241417" w:rsidRPr="004710DC" w:rsidRDefault="00241417" w:rsidP="003A71DE">
            <w:pPr>
              <w:pStyle w:val="TAC"/>
              <w:rPr>
                <w:rFonts w:ascii="SimSun" w:hAnsi="SimSun" w:cs="SimSun"/>
              </w:rPr>
            </w:pPr>
            <w:r w:rsidRPr="004710DC">
              <w:t>6912</w:t>
            </w:r>
          </w:p>
        </w:tc>
        <w:tc>
          <w:tcPr>
            <w:tcW w:w="1077" w:type="dxa"/>
            <w:vAlign w:val="center"/>
          </w:tcPr>
          <w:p w14:paraId="7F15ACF6" w14:textId="77777777" w:rsidR="00241417" w:rsidRPr="004710DC" w:rsidRDefault="00241417" w:rsidP="003A71DE">
            <w:pPr>
              <w:pStyle w:val="TAC"/>
              <w:rPr>
                <w:rFonts w:ascii="SimSun" w:hAnsi="SimSun" w:cs="SimSun"/>
              </w:rPr>
            </w:pPr>
            <w:r w:rsidRPr="004710DC">
              <w:t>14256</w:t>
            </w:r>
          </w:p>
        </w:tc>
        <w:tc>
          <w:tcPr>
            <w:tcW w:w="1077" w:type="dxa"/>
            <w:vAlign w:val="center"/>
          </w:tcPr>
          <w:p w14:paraId="7D994D47" w14:textId="77777777" w:rsidR="00241417" w:rsidRPr="004710DC" w:rsidRDefault="00241417" w:rsidP="003A71DE">
            <w:pPr>
              <w:pStyle w:val="TAC"/>
              <w:rPr>
                <w:rFonts w:ascii="SimSun" w:hAnsi="SimSun" w:cs="SimSun"/>
              </w:rPr>
            </w:pPr>
            <w:r w:rsidRPr="004710DC">
              <w:t>28512</w:t>
            </w:r>
          </w:p>
        </w:tc>
      </w:tr>
      <w:tr w:rsidR="00241417" w:rsidRPr="004710DC" w14:paraId="13D8C263" w14:textId="77777777" w:rsidTr="003A71DE">
        <w:trPr>
          <w:cantSplit/>
          <w:jc w:val="center"/>
        </w:trPr>
        <w:tc>
          <w:tcPr>
            <w:tcW w:w="3950" w:type="dxa"/>
          </w:tcPr>
          <w:p w14:paraId="3331B462"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Pr>
          <w:p w14:paraId="14E1F40A" w14:textId="77777777" w:rsidR="00241417" w:rsidRPr="004710DC" w:rsidRDefault="00241417" w:rsidP="003A71DE">
            <w:pPr>
              <w:pStyle w:val="TAC"/>
              <w:rPr>
                <w:rFonts w:ascii="SimSun" w:hAnsi="SimSun" w:cs="SimSun"/>
              </w:rPr>
            </w:pPr>
            <w:r w:rsidRPr="004710DC">
              <w:t>7128</w:t>
            </w:r>
          </w:p>
        </w:tc>
        <w:tc>
          <w:tcPr>
            <w:tcW w:w="1077" w:type="dxa"/>
          </w:tcPr>
          <w:p w14:paraId="3B5BCE58" w14:textId="77777777" w:rsidR="00241417" w:rsidRPr="004710DC" w:rsidRDefault="00241417" w:rsidP="003A71DE">
            <w:pPr>
              <w:pStyle w:val="TAC"/>
              <w:rPr>
                <w:rFonts w:ascii="SimSun" w:hAnsi="SimSun" w:cs="SimSun"/>
              </w:rPr>
            </w:pPr>
            <w:r w:rsidRPr="004710DC">
              <w:t>14256</w:t>
            </w:r>
          </w:p>
        </w:tc>
        <w:tc>
          <w:tcPr>
            <w:tcW w:w="1076" w:type="dxa"/>
          </w:tcPr>
          <w:p w14:paraId="4C07CDF9" w14:textId="77777777" w:rsidR="00241417" w:rsidRPr="004710DC" w:rsidRDefault="00241417" w:rsidP="003A71DE">
            <w:pPr>
              <w:pStyle w:val="TAC"/>
              <w:rPr>
                <w:rFonts w:ascii="SimSun" w:hAnsi="SimSun" w:cs="SimSun"/>
              </w:rPr>
            </w:pPr>
            <w:r w:rsidRPr="004710DC">
              <w:t>3456</w:t>
            </w:r>
          </w:p>
        </w:tc>
        <w:tc>
          <w:tcPr>
            <w:tcW w:w="1077" w:type="dxa"/>
          </w:tcPr>
          <w:p w14:paraId="6275B8A6" w14:textId="77777777" w:rsidR="00241417" w:rsidRPr="004710DC" w:rsidRDefault="00241417" w:rsidP="003A71DE">
            <w:pPr>
              <w:pStyle w:val="TAC"/>
              <w:rPr>
                <w:rFonts w:ascii="SimSun" w:hAnsi="SimSun" w:cs="SimSun"/>
              </w:rPr>
            </w:pPr>
            <w:r w:rsidRPr="004710DC">
              <w:t>7128</w:t>
            </w:r>
          </w:p>
        </w:tc>
        <w:tc>
          <w:tcPr>
            <w:tcW w:w="1077" w:type="dxa"/>
          </w:tcPr>
          <w:p w14:paraId="5939A76C" w14:textId="77777777" w:rsidR="00241417" w:rsidRPr="004710DC" w:rsidRDefault="00241417" w:rsidP="003A71DE">
            <w:pPr>
              <w:pStyle w:val="TAC"/>
              <w:rPr>
                <w:rFonts w:ascii="SimSun" w:hAnsi="SimSun" w:cs="SimSun"/>
              </w:rPr>
            </w:pPr>
            <w:r w:rsidRPr="004710DC">
              <w:t>14256</w:t>
            </w:r>
          </w:p>
        </w:tc>
      </w:tr>
      <w:tr w:rsidR="00241417" w:rsidRPr="00333EE0" w14:paraId="4BB06EB3" w14:textId="77777777" w:rsidTr="003A71DE">
        <w:trPr>
          <w:cantSplit/>
          <w:jc w:val="center"/>
        </w:trPr>
        <w:tc>
          <w:tcPr>
            <w:tcW w:w="9333" w:type="dxa"/>
            <w:gridSpan w:val="6"/>
          </w:tcPr>
          <w:p w14:paraId="7DA615DF" w14:textId="77777777" w:rsidR="00241417" w:rsidRPr="00333EE0" w:rsidRDefault="00241417" w:rsidP="003A71DE">
            <w:pPr>
              <w:pStyle w:val="TAN"/>
              <w:rPr>
                <w:lang w:eastAsia="zh-CN"/>
              </w:rPr>
            </w:pPr>
            <w:r w:rsidRPr="00333EE0">
              <w:t>NOTE 1:</w:t>
            </w:r>
            <w:r w:rsidRPr="00333EE0">
              <w:tab/>
            </w:r>
            <w:r w:rsidRPr="00333EE0">
              <w:rPr>
                <w:i/>
              </w:rPr>
              <w:t xml:space="preserve">DM-RS configuration type </w:t>
            </w:r>
            <w:r w:rsidRPr="00333EE0">
              <w:t xml:space="preserve"> = 1 with </w:t>
            </w:r>
            <w:r w:rsidRPr="00333EE0">
              <w:rPr>
                <w:i/>
              </w:rPr>
              <w:t>DM-RS duration = single-symbol DM-RS</w:t>
            </w:r>
            <w:r w:rsidRPr="00333EE0">
              <w:rPr>
                <w:lang w:eastAsia="zh-CN"/>
              </w:rPr>
              <w:t xml:space="preserve"> and the number of DM-RS CDM groups without data is 2</w:t>
            </w:r>
            <w:r w:rsidRPr="00333EE0">
              <w:t xml:space="preserve">, </w:t>
            </w:r>
            <w:r w:rsidRPr="00333EE0">
              <w:rPr>
                <w:i/>
              </w:rPr>
              <w:t>Additional DM-RS position = pos0</w:t>
            </w:r>
            <w:r w:rsidRPr="00333EE0">
              <w:t xml:space="preserve"> with </w:t>
            </w:r>
            <w:r w:rsidRPr="00333EE0">
              <w:rPr>
                <w:i/>
                <w:lang w:eastAsia="zh-CN"/>
              </w:rPr>
              <w:t>l</w:t>
            </w:r>
            <w:r w:rsidRPr="00333EE0">
              <w:rPr>
                <w:i/>
                <w:vertAlign w:val="subscript"/>
                <w:lang w:eastAsia="zh-CN"/>
              </w:rPr>
              <w:t>0</w:t>
            </w:r>
            <w:r w:rsidRPr="00333EE0">
              <w:t xml:space="preserve">= </w:t>
            </w:r>
            <w:r w:rsidRPr="00333EE0">
              <w:rPr>
                <w:lang w:eastAsia="zh-CN"/>
              </w:rPr>
              <w:t>0</w:t>
            </w:r>
            <w:r w:rsidRPr="00333EE0">
              <w:t xml:space="preserve"> as per Table 6.4.1.1.3-3 of TS 38.211 [8].</w:t>
            </w:r>
          </w:p>
          <w:p w14:paraId="67A1F7E8" w14:textId="77777777" w:rsidR="00241417" w:rsidRPr="00333EE0" w:rsidRDefault="00241417" w:rsidP="003A71DE">
            <w:pPr>
              <w:pStyle w:val="TAN"/>
              <w:rPr>
                <w:lang w:eastAsia="zh-CN"/>
              </w:rPr>
            </w:pPr>
            <w:r w:rsidRPr="00333EE0">
              <w:t xml:space="preserve">NOTE </w:t>
            </w:r>
            <w:r w:rsidRPr="00333EE0">
              <w:rPr>
                <w:lang w:eastAsia="zh-CN"/>
              </w:rPr>
              <w:t>2</w:t>
            </w:r>
            <w:r w:rsidRPr="00333EE0">
              <w:t>:</w:t>
            </w:r>
            <w:r w:rsidRPr="00333EE0">
              <w:tab/>
              <w:t>Code block size including CRC (bits)</w:t>
            </w:r>
            <w:r w:rsidRPr="00333EE0">
              <w:rPr>
                <w:lang w:eastAsia="zh-CN"/>
              </w:rPr>
              <w:t xml:space="preserve"> equals to </w:t>
            </w:r>
            <w:r w:rsidRPr="00333EE0">
              <w:rPr>
                <w:i/>
                <w:lang w:eastAsia="zh-CN"/>
              </w:rPr>
              <w:t>K'</w:t>
            </w:r>
            <w:r w:rsidRPr="00333EE0">
              <w:rPr>
                <w:rFonts w:hint="eastAsia"/>
                <w:lang w:eastAsia="zh-CN"/>
              </w:rPr>
              <w:t xml:space="preserve"> in sub-clause </w:t>
            </w:r>
            <w:r w:rsidRPr="00333EE0">
              <w:rPr>
                <w:lang w:eastAsia="zh-CN"/>
              </w:rPr>
              <w:t>5.2.2 of TS 38.212 [9].</w:t>
            </w:r>
          </w:p>
        </w:tc>
      </w:tr>
    </w:tbl>
    <w:p w14:paraId="4A93A6B0" w14:textId="77777777" w:rsidR="00241417" w:rsidRPr="00333EE0" w:rsidRDefault="00241417" w:rsidP="00241417">
      <w:pPr>
        <w:rPr>
          <w:lang w:eastAsia="zh-CN"/>
        </w:rPr>
      </w:pPr>
    </w:p>
    <w:p w14:paraId="1D6E89BA" w14:textId="77777777" w:rsidR="00241417" w:rsidRPr="00333EE0" w:rsidRDefault="00241417" w:rsidP="00241417">
      <w:pPr>
        <w:pStyle w:val="TH"/>
        <w:rPr>
          <w:lang w:eastAsia="zh-CN"/>
        </w:rPr>
      </w:pPr>
      <w:r w:rsidRPr="00333EE0">
        <w:rPr>
          <w:rFonts w:eastAsia="Malgun Gothic"/>
        </w:rPr>
        <w:t>Table A.</w:t>
      </w:r>
      <w:r w:rsidRPr="00333EE0">
        <w:rPr>
          <w:lang w:eastAsia="zh-CN"/>
        </w:rPr>
        <w:t>2.1</w:t>
      </w:r>
      <w:r w:rsidRPr="00333EE0">
        <w:rPr>
          <w:rFonts w:eastAsia="Malgun Gothic"/>
        </w:rPr>
        <w:t>-</w:t>
      </w:r>
      <w:r w:rsidRPr="00333EE0">
        <w:rPr>
          <w:lang w:eastAsia="zh-CN"/>
        </w:rPr>
        <w:t>5</w:t>
      </w:r>
      <w:r w:rsidRPr="00333EE0">
        <w:rPr>
          <w:rFonts w:eastAsia="Malgun Gothic"/>
        </w:rPr>
        <w:t>: FRC parameters for</w:t>
      </w:r>
      <w:r w:rsidRPr="00333EE0">
        <w:rPr>
          <w:lang w:eastAsia="zh-CN"/>
        </w:rPr>
        <w:t xml:space="preserve"> FR2 PUSCH </w:t>
      </w:r>
      <w:r w:rsidRPr="00333EE0">
        <w:rPr>
          <w:rFonts w:eastAsia="Malgun Gothic"/>
        </w:rPr>
        <w:t>performance requirements</w:t>
      </w:r>
      <w:r w:rsidRPr="00333EE0">
        <w:rPr>
          <w:lang w:eastAsia="zh-CN"/>
        </w:rPr>
        <w:t xml:space="preserve">, transform precoding disabled, </w:t>
      </w:r>
      <w:r w:rsidRPr="00333EE0">
        <w:rPr>
          <w:i/>
          <w:lang w:eastAsia="zh-CN"/>
        </w:rPr>
        <w:t>Additional DM-RS position = pos0</w:t>
      </w:r>
      <w:r w:rsidRPr="00333EE0">
        <w:rPr>
          <w:lang w:eastAsia="zh-CN"/>
        </w:rPr>
        <w:t xml:space="preserve"> and 2 transmission layers</w:t>
      </w:r>
      <w:r w:rsidRPr="00333EE0">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4897EA36" w14:textId="77777777" w:rsidTr="003A71DE">
        <w:trPr>
          <w:cantSplit/>
          <w:jc w:val="center"/>
        </w:trPr>
        <w:tc>
          <w:tcPr>
            <w:tcW w:w="3950" w:type="dxa"/>
          </w:tcPr>
          <w:p w14:paraId="34A66B9A" w14:textId="77777777" w:rsidR="00241417" w:rsidRPr="004710DC" w:rsidRDefault="00241417" w:rsidP="003A71DE">
            <w:pPr>
              <w:pStyle w:val="TAH"/>
            </w:pPr>
            <w:r w:rsidRPr="004710DC">
              <w:t>Reference channel</w:t>
            </w:r>
          </w:p>
        </w:tc>
        <w:tc>
          <w:tcPr>
            <w:tcW w:w="1076" w:type="dxa"/>
          </w:tcPr>
          <w:p w14:paraId="6F7AD446" w14:textId="77777777" w:rsidR="00241417" w:rsidRPr="004710DC" w:rsidRDefault="00241417" w:rsidP="003A71DE">
            <w:pPr>
              <w:pStyle w:val="TAH"/>
            </w:pPr>
            <w:r>
              <w:rPr>
                <w:lang w:eastAsia="zh-CN"/>
              </w:rPr>
              <w:t>D-FR2-A.2.1</w:t>
            </w:r>
            <w:r w:rsidRPr="004710DC">
              <w:rPr>
                <w:lang w:eastAsia="zh-CN"/>
              </w:rPr>
              <w:t>-6</w:t>
            </w:r>
          </w:p>
        </w:tc>
        <w:tc>
          <w:tcPr>
            <w:tcW w:w="1077" w:type="dxa"/>
          </w:tcPr>
          <w:p w14:paraId="562E7FC2" w14:textId="77777777" w:rsidR="00241417" w:rsidRPr="004710DC" w:rsidRDefault="00241417" w:rsidP="003A71DE">
            <w:pPr>
              <w:pStyle w:val="TAH"/>
            </w:pPr>
            <w:r>
              <w:rPr>
                <w:lang w:eastAsia="zh-CN"/>
              </w:rPr>
              <w:t>D-FR2-A.2.1</w:t>
            </w:r>
            <w:r w:rsidRPr="004710DC">
              <w:rPr>
                <w:lang w:eastAsia="zh-CN"/>
              </w:rPr>
              <w:t>-7</w:t>
            </w:r>
          </w:p>
        </w:tc>
        <w:tc>
          <w:tcPr>
            <w:tcW w:w="1076" w:type="dxa"/>
          </w:tcPr>
          <w:p w14:paraId="50E818E8" w14:textId="77777777" w:rsidR="00241417" w:rsidRPr="004710DC" w:rsidRDefault="00241417" w:rsidP="003A71DE">
            <w:pPr>
              <w:pStyle w:val="TAH"/>
            </w:pPr>
            <w:r>
              <w:rPr>
                <w:lang w:eastAsia="zh-CN"/>
              </w:rPr>
              <w:t>D-FR2-A.2.1</w:t>
            </w:r>
            <w:r w:rsidRPr="004710DC">
              <w:rPr>
                <w:lang w:eastAsia="zh-CN"/>
              </w:rPr>
              <w:t>-8</w:t>
            </w:r>
          </w:p>
        </w:tc>
        <w:tc>
          <w:tcPr>
            <w:tcW w:w="1077" w:type="dxa"/>
          </w:tcPr>
          <w:p w14:paraId="7310578B" w14:textId="77777777" w:rsidR="00241417" w:rsidRPr="004710DC" w:rsidRDefault="00241417" w:rsidP="003A71DE">
            <w:pPr>
              <w:pStyle w:val="TAH"/>
            </w:pPr>
            <w:r>
              <w:rPr>
                <w:lang w:eastAsia="zh-CN"/>
              </w:rPr>
              <w:t>D-FR2-A.2.1</w:t>
            </w:r>
            <w:r w:rsidRPr="004710DC">
              <w:rPr>
                <w:lang w:eastAsia="zh-CN"/>
              </w:rPr>
              <w:t>-9</w:t>
            </w:r>
          </w:p>
        </w:tc>
        <w:tc>
          <w:tcPr>
            <w:tcW w:w="1077" w:type="dxa"/>
          </w:tcPr>
          <w:p w14:paraId="54FB527A" w14:textId="77777777" w:rsidR="00241417" w:rsidRPr="004710DC" w:rsidRDefault="00241417" w:rsidP="003A71DE">
            <w:pPr>
              <w:pStyle w:val="TAH"/>
            </w:pPr>
            <w:r>
              <w:rPr>
                <w:lang w:eastAsia="zh-CN"/>
              </w:rPr>
              <w:t>D-FR2-A.2.1</w:t>
            </w:r>
            <w:r w:rsidRPr="004710DC">
              <w:rPr>
                <w:lang w:eastAsia="zh-CN"/>
              </w:rPr>
              <w:t>-10</w:t>
            </w:r>
          </w:p>
        </w:tc>
      </w:tr>
      <w:tr w:rsidR="00241417" w:rsidRPr="004710DC" w14:paraId="362FA3C5" w14:textId="77777777" w:rsidTr="003A71DE">
        <w:trPr>
          <w:cantSplit/>
          <w:jc w:val="center"/>
        </w:trPr>
        <w:tc>
          <w:tcPr>
            <w:tcW w:w="3950" w:type="dxa"/>
          </w:tcPr>
          <w:p w14:paraId="0700F5EF"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4AE77CE8" w14:textId="77777777" w:rsidR="00241417" w:rsidRPr="004710DC" w:rsidRDefault="00241417" w:rsidP="003A71DE">
            <w:pPr>
              <w:pStyle w:val="TAC"/>
              <w:rPr>
                <w:lang w:eastAsia="zh-CN"/>
              </w:rPr>
            </w:pPr>
            <w:r w:rsidRPr="004710DC">
              <w:rPr>
                <w:lang w:eastAsia="zh-CN"/>
              </w:rPr>
              <w:t>60</w:t>
            </w:r>
          </w:p>
        </w:tc>
        <w:tc>
          <w:tcPr>
            <w:tcW w:w="1077" w:type="dxa"/>
          </w:tcPr>
          <w:p w14:paraId="2DAFBB21" w14:textId="77777777" w:rsidR="00241417" w:rsidRPr="004710DC" w:rsidRDefault="00241417" w:rsidP="003A71DE">
            <w:pPr>
              <w:pStyle w:val="TAC"/>
            </w:pPr>
            <w:r w:rsidRPr="004710DC">
              <w:rPr>
                <w:lang w:eastAsia="zh-CN"/>
              </w:rPr>
              <w:t>60</w:t>
            </w:r>
          </w:p>
        </w:tc>
        <w:tc>
          <w:tcPr>
            <w:tcW w:w="1076" w:type="dxa"/>
          </w:tcPr>
          <w:p w14:paraId="49AABB94" w14:textId="77777777" w:rsidR="00241417" w:rsidRPr="004710DC" w:rsidRDefault="00241417" w:rsidP="003A71DE">
            <w:pPr>
              <w:pStyle w:val="TAC"/>
            </w:pPr>
            <w:r w:rsidRPr="004710DC">
              <w:rPr>
                <w:lang w:eastAsia="zh-CN"/>
              </w:rPr>
              <w:t>120</w:t>
            </w:r>
          </w:p>
        </w:tc>
        <w:tc>
          <w:tcPr>
            <w:tcW w:w="1077" w:type="dxa"/>
          </w:tcPr>
          <w:p w14:paraId="35EAE765" w14:textId="77777777" w:rsidR="00241417" w:rsidRPr="004710DC" w:rsidRDefault="00241417" w:rsidP="003A71DE">
            <w:pPr>
              <w:pStyle w:val="TAC"/>
            </w:pPr>
            <w:r w:rsidRPr="004710DC">
              <w:rPr>
                <w:lang w:eastAsia="zh-CN"/>
              </w:rPr>
              <w:t>120</w:t>
            </w:r>
          </w:p>
        </w:tc>
        <w:tc>
          <w:tcPr>
            <w:tcW w:w="1077" w:type="dxa"/>
          </w:tcPr>
          <w:p w14:paraId="0FBBE43D" w14:textId="77777777" w:rsidR="00241417" w:rsidRPr="004710DC" w:rsidRDefault="00241417" w:rsidP="003A71DE">
            <w:pPr>
              <w:pStyle w:val="TAC"/>
            </w:pPr>
            <w:r w:rsidRPr="004710DC">
              <w:rPr>
                <w:lang w:eastAsia="zh-CN"/>
              </w:rPr>
              <w:t>120</w:t>
            </w:r>
          </w:p>
        </w:tc>
      </w:tr>
      <w:tr w:rsidR="00241417" w:rsidRPr="004710DC" w14:paraId="24E2A1DA" w14:textId="77777777" w:rsidTr="003A71DE">
        <w:trPr>
          <w:cantSplit/>
          <w:jc w:val="center"/>
        </w:trPr>
        <w:tc>
          <w:tcPr>
            <w:tcW w:w="3950" w:type="dxa"/>
          </w:tcPr>
          <w:p w14:paraId="5CAA8B77" w14:textId="77777777" w:rsidR="00241417" w:rsidRPr="004710DC" w:rsidRDefault="00241417" w:rsidP="003A71DE">
            <w:pPr>
              <w:pStyle w:val="TAC"/>
            </w:pPr>
            <w:r w:rsidRPr="004710DC">
              <w:t>Allocated resource blocks</w:t>
            </w:r>
          </w:p>
        </w:tc>
        <w:tc>
          <w:tcPr>
            <w:tcW w:w="1076" w:type="dxa"/>
          </w:tcPr>
          <w:p w14:paraId="15B53856" w14:textId="77777777" w:rsidR="00241417" w:rsidRPr="004710DC" w:rsidRDefault="00241417" w:rsidP="003A71DE">
            <w:pPr>
              <w:pStyle w:val="TAC"/>
            </w:pPr>
            <w:r w:rsidRPr="004710DC">
              <w:t>66</w:t>
            </w:r>
          </w:p>
        </w:tc>
        <w:tc>
          <w:tcPr>
            <w:tcW w:w="1077" w:type="dxa"/>
          </w:tcPr>
          <w:p w14:paraId="643F087E" w14:textId="77777777" w:rsidR="00241417" w:rsidRPr="004710DC" w:rsidRDefault="00241417" w:rsidP="003A71DE">
            <w:pPr>
              <w:pStyle w:val="TAC"/>
            </w:pPr>
            <w:r w:rsidRPr="004710DC">
              <w:t>132</w:t>
            </w:r>
          </w:p>
        </w:tc>
        <w:tc>
          <w:tcPr>
            <w:tcW w:w="1076" w:type="dxa"/>
          </w:tcPr>
          <w:p w14:paraId="6135AE07" w14:textId="77777777" w:rsidR="00241417" w:rsidRPr="004710DC" w:rsidRDefault="00241417" w:rsidP="003A71DE">
            <w:pPr>
              <w:pStyle w:val="TAC"/>
            </w:pPr>
            <w:r w:rsidRPr="004710DC">
              <w:t>32</w:t>
            </w:r>
          </w:p>
        </w:tc>
        <w:tc>
          <w:tcPr>
            <w:tcW w:w="1077" w:type="dxa"/>
          </w:tcPr>
          <w:p w14:paraId="63621DBB" w14:textId="77777777" w:rsidR="00241417" w:rsidRPr="004710DC" w:rsidRDefault="00241417" w:rsidP="003A71DE">
            <w:pPr>
              <w:pStyle w:val="TAC"/>
            </w:pPr>
            <w:r w:rsidRPr="004710DC">
              <w:t>66</w:t>
            </w:r>
          </w:p>
        </w:tc>
        <w:tc>
          <w:tcPr>
            <w:tcW w:w="1077" w:type="dxa"/>
          </w:tcPr>
          <w:p w14:paraId="461B6AF2" w14:textId="77777777" w:rsidR="00241417" w:rsidRPr="004710DC" w:rsidRDefault="00241417" w:rsidP="003A71DE">
            <w:pPr>
              <w:pStyle w:val="TAC"/>
            </w:pPr>
            <w:r w:rsidRPr="004710DC">
              <w:t>132</w:t>
            </w:r>
          </w:p>
        </w:tc>
      </w:tr>
      <w:tr w:rsidR="00241417" w:rsidRPr="004710DC" w14:paraId="4F0AC129" w14:textId="77777777" w:rsidTr="003A71DE">
        <w:trPr>
          <w:cantSplit/>
          <w:jc w:val="center"/>
        </w:trPr>
        <w:tc>
          <w:tcPr>
            <w:tcW w:w="3950" w:type="dxa"/>
          </w:tcPr>
          <w:p w14:paraId="2567FD2A"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21680D5A" w14:textId="77777777" w:rsidR="00241417" w:rsidRPr="004710DC" w:rsidRDefault="00241417" w:rsidP="003A71DE">
            <w:pPr>
              <w:pStyle w:val="TAC"/>
              <w:rPr>
                <w:lang w:eastAsia="zh-CN"/>
              </w:rPr>
            </w:pPr>
            <w:r w:rsidRPr="004710DC">
              <w:rPr>
                <w:lang w:eastAsia="zh-CN"/>
              </w:rPr>
              <w:t>9</w:t>
            </w:r>
          </w:p>
        </w:tc>
        <w:tc>
          <w:tcPr>
            <w:tcW w:w="1077" w:type="dxa"/>
          </w:tcPr>
          <w:p w14:paraId="2FD4E80C" w14:textId="77777777" w:rsidR="00241417" w:rsidRPr="004710DC" w:rsidRDefault="00241417" w:rsidP="003A71DE">
            <w:pPr>
              <w:pStyle w:val="TAC"/>
              <w:rPr>
                <w:lang w:eastAsia="zh-CN"/>
              </w:rPr>
            </w:pPr>
            <w:r w:rsidRPr="004710DC">
              <w:rPr>
                <w:lang w:eastAsia="zh-CN"/>
              </w:rPr>
              <w:t>9</w:t>
            </w:r>
          </w:p>
        </w:tc>
        <w:tc>
          <w:tcPr>
            <w:tcW w:w="1076" w:type="dxa"/>
          </w:tcPr>
          <w:p w14:paraId="15D6F099" w14:textId="77777777" w:rsidR="00241417" w:rsidRPr="004710DC" w:rsidRDefault="00241417" w:rsidP="003A71DE">
            <w:pPr>
              <w:pStyle w:val="TAC"/>
              <w:rPr>
                <w:lang w:eastAsia="zh-CN"/>
              </w:rPr>
            </w:pPr>
            <w:r w:rsidRPr="004710DC">
              <w:rPr>
                <w:lang w:eastAsia="zh-CN"/>
              </w:rPr>
              <w:t>9</w:t>
            </w:r>
          </w:p>
        </w:tc>
        <w:tc>
          <w:tcPr>
            <w:tcW w:w="1077" w:type="dxa"/>
          </w:tcPr>
          <w:p w14:paraId="71D8E80F" w14:textId="77777777" w:rsidR="00241417" w:rsidRPr="004710DC" w:rsidRDefault="00241417" w:rsidP="003A71DE">
            <w:pPr>
              <w:pStyle w:val="TAC"/>
              <w:rPr>
                <w:lang w:eastAsia="zh-CN"/>
              </w:rPr>
            </w:pPr>
            <w:r w:rsidRPr="004710DC">
              <w:rPr>
                <w:lang w:eastAsia="zh-CN"/>
              </w:rPr>
              <w:t>9</w:t>
            </w:r>
          </w:p>
        </w:tc>
        <w:tc>
          <w:tcPr>
            <w:tcW w:w="1077" w:type="dxa"/>
          </w:tcPr>
          <w:p w14:paraId="294B766B" w14:textId="77777777" w:rsidR="00241417" w:rsidRPr="004710DC" w:rsidRDefault="00241417" w:rsidP="003A71DE">
            <w:pPr>
              <w:pStyle w:val="TAC"/>
              <w:rPr>
                <w:lang w:eastAsia="zh-CN"/>
              </w:rPr>
            </w:pPr>
            <w:r w:rsidRPr="004710DC">
              <w:rPr>
                <w:lang w:eastAsia="zh-CN"/>
              </w:rPr>
              <w:t>9</w:t>
            </w:r>
          </w:p>
        </w:tc>
      </w:tr>
      <w:tr w:rsidR="00241417" w:rsidRPr="004710DC" w14:paraId="6AA833DF" w14:textId="77777777" w:rsidTr="003A71DE">
        <w:trPr>
          <w:cantSplit/>
          <w:jc w:val="center"/>
        </w:trPr>
        <w:tc>
          <w:tcPr>
            <w:tcW w:w="3950" w:type="dxa"/>
          </w:tcPr>
          <w:p w14:paraId="6AA11703" w14:textId="77777777" w:rsidR="00241417" w:rsidRPr="004710DC" w:rsidRDefault="00241417" w:rsidP="003A71DE">
            <w:pPr>
              <w:pStyle w:val="TAC"/>
            </w:pPr>
            <w:r w:rsidRPr="004710DC">
              <w:t>Modulation</w:t>
            </w:r>
          </w:p>
        </w:tc>
        <w:tc>
          <w:tcPr>
            <w:tcW w:w="1076" w:type="dxa"/>
          </w:tcPr>
          <w:p w14:paraId="40FCB51E" w14:textId="77777777" w:rsidR="00241417" w:rsidRPr="004710DC" w:rsidRDefault="00241417" w:rsidP="003A71DE">
            <w:pPr>
              <w:pStyle w:val="TAC"/>
              <w:rPr>
                <w:lang w:eastAsia="zh-CN"/>
              </w:rPr>
            </w:pPr>
            <w:r w:rsidRPr="004710DC">
              <w:rPr>
                <w:lang w:eastAsia="zh-CN"/>
              </w:rPr>
              <w:t>QPSK</w:t>
            </w:r>
          </w:p>
        </w:tc>
        <w:tc>
          <w:tcPr>
            <w:tcW w:w="1077" w:type="dxa"/>
          </w:tcPr>
          <w:p w14:paraId="39BD105F" w14:textId="77777777" w:rsidR="00241417" w:rsidRPr="004710DC" w:rsidRDefault="00241417" w:rsidP="003A71DE">
            <w:pPr>
              <w:pStyle w:val="TAC"/>
              <w:rPr>
                <w:lang w:eastAsia="zh-CN"/>
              </w:rPr>
            </w:pPr>
            <w:r w:rsidRPr="004710DC">
              <w:rPr>
                <w:lang w:eastAsia="zh-CN"/>
              </w:rPr>
              <w:t>QPSK</w:t>
            </w:r>
          </w:p>
        </w:tc>
        <w:tc>
          <w:tcPr>
            <w:tcW w:w="1076" w:type="dxa"/>
          </w:tcPr>
          <w:p w14:paraId="2529E980" w14:textId="77777777" w:rsidR="00241417" w:rsidRPr="004710DC" w:rsidRDefault="00241417" w:rsidP="003A71DE">
            <w:pPr>
              <w:pStyle w:val="TAC"/>
              <w:rPr>
                <w:lang w:eastAsia="zh-CN"/>
              </w:rPr>
            </w:pPr>
            <w:r w:rsidRPr="004710DC">
              <w:rPr>
                <w:lang w:eastAsia="zh-CN"/>
              </w:rPr>
              <w:t>QPSK</w:t>
            </w:r>
          </w:p>
        </w:tc>
        <w:tc>
          <w:tcPr>
            <w:tcW w:w="1077" w:type="dxa"/>
          </w:tcPr>
          <w:p w14:paraId="53EF96EF" w14:textId="77777777" w:rsidR="00241417" w:rsidRPr="004710DC" w:rsidRDefault="00241417" w:rsidP="003A71DE">
            <w:pPr>
              <w:pStyle w:val="TAC"/>
              <w:rPr>
                <w:lang w:eastAsia="zh-CN"/>
              </w:rPr>
            </w:pPr>
            <w:r w:rsidRPr="004710DC">
              <w:rPr>
                <w:lang w:eastAsia="zh-CN"/>
              </w:rPr>
              <w:t>QPSK</w:t>
            </w:r>
          </w:p>
        </w:tc>
        <w:tc>
          <w:tcPr>
            <w:tcW w:w="1077" w:type="dxa"/>
          </w:tcPr>
          <w:p w14:paraId="297E3AF3" w14:textId="77777777" w:rsidR="00241417" w:rsidRPr="004710DC" w:rsidRDefault="00241417" w:rsidP="003A71DE">
            <w:pPr>
              <w:pStyle w:val="TAC"/>
              <w:rPr>
                <w:lang w:eastAsia="zh-CN"/>
              </w:rPr>
            </w:pPr>
            <w:r w:rsidRPr="004710DC">
              <w:rPr>
                <w:lang w:eastAsia="zh-CN"/>
              </w:rPr>
              <w:t>QPSK</w:t>
            </w:r>
          </w:p>
        </w:tc>
      </w:tr>
      <w:tr w:rsidR="00241417" w:rsidRPr="004710DC" w14:paraId="46E3A1CA" w14:textId="77777777" w:rsidTr="003A71DE">
        <w:trPr>
          <w:cantSplit/>
          <w:jc w:val="center"/>
        </w:trPr>
        <w:tc>
          <w:tcPr>
            <w:tcW w:w="3950" w:type="dxa"/>
          </w:tcPr>
          <w:p w14:paraId="51DAE9AC" w14:textId="77777777" w:rsidR="00241417" w:rsidRPr="004710DC" w:rsidRDefault="00241417" w:rsidP="003A71DE">
            <w:pPr>
              <w:pStyle w:val="TAC"/>
            </w:pPr>
            <w:r>
              <w:t>Code Rate</w:t>
            </w:r>
          </w:p>
        </w:tc>
        <w:tc>
          <w:tcPr>
            <w:tcW w:w="1076" w:type="dxa"/>
          </w:tcPr>
          <w:p w14:paraId="56434865" w14:textId="77777777" w:rsidR="00241417" w:rsidRPr="004710DC" w:rsidRDefault="00241417" w:rsidP="003A71DE">
            <w:pPr>
              <w:pStyle w:val="TAC"/>
              <w:rPr>
                <w:lang w:eastAsia="zh-CN"/>
              </w:rPr>
            </w:pPr>
            <w:r w:rsidRPr="004710DC">
              <w:rPr>
                <w:lang w:eastAsia="zh-CN"/>
              </w:rPr>
              <w:t>193/1024</w:t>
            </w:r>
          </w:p>
        </w:tc>
        <w:tc>
          <w:tcPr>
            <w:tcW w:w="1077" w:type="dxa"/>
          </w:tcPr>
          <w:p w14:paraId="6E3D2D85" w14:textId="77777777" w:rsidR="00241417" w:rsidRPr="004710DC" w:rsidRDefault="00241417" w:rsidP="003A71DE">
            <w:pPr>
              <w:pStyle w:val="TAC"/>
              <w:rPr>
                <w:lang w:eastAsia="zh-CN"/>
              </w:rPr>
            </w:pPr>
            <w:r w:rsidRPr="004710DC">
              <w:rPr>
                <w:lang w:eastAsia="zh-CN"/>
              </w:rPr>
              <w:t>193/1024</w:t>
            </w:r>
          </w:p>
        </w:tc>
        <w:tc>
          <w:tcPr>
            <w:tcW w:w="1076" w:type="dxa"/>
          </w:tcPr>
          <w:p w14:paraId="3C08378F" w14:textId="77777777" w:rsidR="00241417" w:rsidRPr="004710DC" w:rsidRDefault="00241417" w:rsidP="003A71DE">
            <w:pPr>
              <w:pStyle w:val="TAC"/>
              <w:rPr>
                <w:lang w:eastAsia="zh-CN"/>
              </w:rPr>
            </w:pPr>
            <w:r w:rsidRPr="004710DC">
              <w:rPr>
                <w:lang w:eastAsia="zh-CN"/>
              </w:rPr>
              <w:t>193/1024</w:t>
            </w:r>
          </w:p>
        </w:tc>
        <w:tc>
          <w:tcPr>
            <w:tcW w:w="1077" w:type="dxa"/>
          </w:tcPr>
          <w:p w14:paraId="224846B0" w14:textId="77777777" w:rsidR="00241417" w:rsidRPr="004710DC" w:rsidRDefault="00241417" w:rsidP="003A71DE">
            <w:pPr>
              <w:pStyle w:val="TAC"/>
              <w:rPr>
                <w:lang w:eastAsia="zh-CN"/>
              </w:rPr>
            </w:pPr>
            <w:r w:rsidRPr="004710DC">
              <w:rPr>
                <w:lang w:eastAsia="zh-CN"/>
              </w:rPr>
              <w:t>193/1024</w:t>
            </w:r>
          </w:p>
        </w:tc>
        <w:tc>
          <w:tcPr>
            <w:tcW w:w="1077" w:type="dxa"/>
          </w:tcPr>
          <w:p w14:paraId="49CC8A54" w14:textId="77777777" w:rsidR="00241417" w:rsidRPr="004710DC" w:rsidRDefault="00241417" w:rsidP="003A71DE">
            <w:pPr>
              <w:pStyle w:val="TAC"/>
              <w:rPr>
                <w:lang w:eastAsia="zh-CN"/>
              </w:rPr>
            </w:pPr>
            <w:r w:rsidRPr="004710DC">
              <w:rPr>
                <w:lang w:eastAsia="zh-CN"/>
              </w:rPr>
              <w:t>193/1024</w:t>
            </w:r>
          </w:p>
        </w:tc>
      </w:tr>
      <w:tr w:rsidR="00241417" w:rsidRPr="004710DC" w14:paraId="0BE26A1C" w14:textId="77777777" w:rsidTr="003A71DE">
        <w:trPr>
          <w:cantSplit/>
          <w:jc w:val="center"/>
        </w:trPr>
        <w:tc>
          <w:tcPr>
            <w:tcW w:w="3950" w:type="dxa"/>
          </w:tcPr>
          <w:p w14:paraId="25C2A417" w14:textId="77777777" w:rsidR="00241417" w:rsidRPr="004710DC" w:rsidRDefault="00241417" w:rsidP="003A71DE">
            <w:pPr>
              <w:pStyle w:val="TAC"/>
            </w:pPr>
            <w:r w:rsidRPr="004710DC">
              <w:t>Payload size (bits)</w:t>
            </w:r>
          </w:p>
        </w:tc>
        <w:tc>
          <w:tcPr>
            <w:tcW w:w="1076" w:type="dxa"/>
            <w:vAlign w:val="center"/>
          </w:tcPr>
          <w:p w14:paraId="371DDACD" w14:textId="77777777" w:rsidR="00241417" w:rsidRPr="004710DC" w:rsidRDefault="00241417" w:rsidP="003A71DE">
            <w:pPr>
              <w:pStyle w:val="TAC"/>
            </w:pPr>
            <w:r w:rsidRPr="004710DC">
              <w:t>5384</w:t>
            </w:r>
          </w:p>
        </w:tc>
        <w:tc>
          <w:tcPr>
            <w:tcW w:w="1077" w:type="dxa"/>
            <w:vAlign w:val="center"/>
          </w:tcPr>
          <w:p w14:paraId="0F5FB927" w14:textId="77777777" w:rsidR="00241417" w:rsidRPr="004710DC" w:rsidRDefault="00241417" w:rsidP="003A71DE">
            <w:pPr>
              <w:pStyle w:val="TAC"/>
            </w:pPr>
            <w:r w:rsidRPr="004710DC">
              <w:t>10752</w:t>
            </w:r>
          </w:p>
        </w:tc>
        <w:tc>
          <w:tcPr>
            <w:tcW w:w="1076" w:type="dxa"/>
            <w:vAlign w:val="center"/>
          </w:tcPr>
          <w:p w14:paraId="664EB600" w14:textId="77777777" w:rsidR="00241417" w:rsidRPr="004710DC" w:rsidRDefault="00241417" w:rsidP="003A71DE">
            <w:pPr>
              <w:pStyle w:val="TAC"/>
            </w:pPr>
            <w:r w:rsidRPr="004710DC">
              <w:t>2600</w:t>
            </w:r>
          </w:p>
        </w:tc>
        <w:tc>
          <w:tcPr>
            <w:tcW w:w="1077" w:type="dxa"/>
            <w:vAlign w:val="center"/>
          </w:tcPr>
          <w:p w14:paraId="74A91DFA" w14:textId="77777777" w:rsidR="00241417" w:rsidRPr="004710DC" w:rsidRDefault="00241417" w:rsidP="003A71DE">
            <w:pPr>
              <w:pStyle w:val="TAC"/>
            </w:pPr>
            <w:r w:rsidRPr="004710DC">
              <w:t>5384</w:t>
            </w:r>
          </w:p>
        </w:tc>
        <w:tc>
          <w:tcPr>
            <w:tcW w:w="1077" w:type="dxa"/>
            <w:vAlign w:val="center"/>
          </w:tcPr>
          <w:p w14:paraId="16EFE2F4" w14:textId="77777777" w:rsidR="00241417" w:rsidRPr="004710DC" w:rsidRDefault="00241417" w:rsidP="003A71DE">
            <w:pPr>
              <w:pStyle w:val="TAC"/>
            </w:pPr>
            <w:r w:rsidRPr="004710DC">
              <w:t>10752</w:t>
            </w:r>
          </w:p>
        </w:tc>
      </w:tr>
      <w:tr w:rsidR="00241417" w:rsidRPr="004710DC" w14:paraId="639FA59A" w14:textId="77777777" w:rsidTr="003A71DE">
        <w:trPr>
          <w:cantSplit/>
          <w:jc w:val="center"/>
        </w:trPr>
        <w:tc>
          <w:tcPr>
            <w:tcW w:w="3950" w:type="dxa"/>
          </w:tcPr>
          <w:p w14:paraId="080D61E2" w14:textId="77777777" w:rsidR="00241417" w:rsidRPr="004710DC" w:rsidRDefault="00241417" w:rsidP="003A71DE">
            <w:pPr>
              <w:pStyle w:val="TAC"/>
            </w:pPr>
            <w:r w:rsidRPr="004710DC">
              <w:t>Transport block CRC (bits)</w:t>
            </w:r>
          </w:p>
        </w:tc>
        <w:tc>
          <w:tcPr>
            <w:tcW w:w="1076" w:type="dxa"/>
          </w:tcPr>
          <w:p w14:paraId="0470C6F0" w14:textId="77777777" w:rsidR="00241417" w:rsidRPr="004710DC" w:rsidRDefault="00241417" w:rsidP="003A71DE">
            <w:pPr>
              <w:pStyle w:val="TAC"/>
            </w:pPr>
            <w:r w:rsidRPr="004710DC">
              <w:t>24</w:t>
            </w:r>
          </w:p>
        </w:tc>
        <w:tc>
          <w:tcPr>
            <w:tcW w:w="1077" w:type="dxa"/>
          </w:tcPr>
          <w:p w14:paraId="758CA2A0" w14:textId="77777777" w:rsidR="00241417" w:rsidRPr="004710DC" w:rsidRDefault="00241417" w:rsidP="003A71DE">
            <w:pPr>
              <w:pStyle w:val="TAC"/>
            </w:pPr>
            <w:r w:rsidRPr="004710DC">
              <w:t>24</w:t>
            </w:r>
          </w:p>
        </w:tc>
        <w:tc>
          <w:tcPr>
            <w:tcW w:w="1076" w:type="dxa"/>
          </w:tcPr>
          <w:p w14:paraId="2F47D23B" w14:textId="77777777" w:rsidR="00241417" w:rsidRPr="004710DC" w:rsidRDefault="00241417" w:rsidP="003A71DE">
            <w:pPr>
              <w:pStyle w:val="TAC"/>
            </w:pPr>
            <w:r w:rsidRPr="004710DC">
              <w:t>16</w:t>
            </w:r>
          </w:p>
        </w:tc>
        <w:tc>
          <w:tcPr>
            <w:tcW w:w="1077" w:type="dxa"/>
          </w:tcPr>
          <w:p w14:paraId="7158EFE1" w14:textId="77777777" w:rsidR="00241417" w:rsidRPr="004710DC" w:rsidRDefault="00241417" w:rsidP="003A71DE">
            <w:pPr>
              <w:pStyle w:val="TAC"/>
            </w:pPr>
            <w:r w:rsidRPr="004710DC">
              <w:t>24</w:t>
            </w:r>
          </w:p>
        </w:tc>
        <w:tc>
          <w:tcPr>
            <w:tcW w:w="1077" w:type="dxa"/>
          </w:tcPr>
          <w:p w14:paraId="7BF791C1" w14:textId="77777777" w:rsidR="00241417" w:rsidRPr="004710DC" w:rsidRDefault="00241417" w:rsidP="003A71DE">
            <w:pPr>
              <w:pStyle w:val="TAC"/>
            </w:pPr>
            <w:r w:rsidRPr="004710DC">
              <w:t>24</w:t>
            </w:r>
          </w:p>
        </w:tc>
      </w:tr>
      <w:tr w:rsidR="00241417" w:rsidRPr="004710DC" w14:paraId="0985468A" w14:textId="77777777" w:rsidTr="003A71DE">
        <w:trPr>
          <w:cantSplit/>
          <w:jc w:val="center"/>
        </w:trPr>
        <w:tc>
          <w:tcPr>
            <w:tcW w:w="3950" w:type="dxa"/>
          </w:tcPr>
          <w:p w14:paraId="7EA0F4F6" w14:textId="77777777" w:rsidR="00241417" w:rsidRPr="00333EE0" w:rsidRDefault="00241417" w:rsidP="003A71DE">
            <w:pPr>
              <w:pStyle w:val="TAC"/>
            </w:pPr>
            <w:r w:rsidRPr="00333EE0">
              <w:t>Code block CRC size (bits)</w:t>
            </w:r>
          </w:p>
        </w:tc>
        <w:tc>
          <w:tcPr>
            <w:tcW w:w="1076" w:type="dxa"/>
            <w:vAlign w:val="center"/>
          </w:tcPr>
          <w:p w14:paraId="7FE27068" w14:textId="77777777" w:rsidR="00241417" w:rsidRPr="004710DC" w:rsidRDefault="00241417" w:rsidP="003A71DE">
            <w:pPr>
              <w:pStyle w:val="TAC"/>
            </w:pPr>
            <w:r w:rsidRPr="004710DC">
              <w:t>24</w:t>
            </w:r>
          </w:p>
        </w:tc>
        <w:tc>
          <w:tcPr>
            <w:tcW w:w="1077" w:type="dxa"/>
            <w:vAlign w:val="center"/>
          </w:tcPr>
          <w:p w14:paraId="2CFF4D7A" w14:textId="77777777" w:rsidR="00241417" w:rsidRPr="004710DC" w:rsidRDefault="00241417" w:rsidP="003A71DE">
            <w:pPr>
              <w:pStyle w:val="TAC"/>
            </w:pPr>
            <w:r w:rsidRPr="004710DC">
              <w:t>24</w:t>
            </w:r>
          </w:p>
        </w:tc>
        <w:tc>
          <w:tcPr>
            <w:tcW w:w="1076" w:type="dxa"/>
          </w:tcPr>
          <w:p w14:paraId="594C195C" w14:textId="77777777" w:rsidR="00241417" w:rsidRPr="004710DC" w:rsidRDefault="00241417" w:rsidP="003A71DE">
            <w:pPr>
              <w:pStyle w:val="TAC"/>
            </w:pPr>
            <w:r w:rsidRPr="004710DC">
              <w:t>-</w:t>
            </w:r>
          </w:p>
        </w:tc>
        <w:tc>
          <w:tcPr>
            <w:tcW w:w="1077" w:type="dxa"/>
            <w:vAlign w:val="center"/>
          </w:tcPr>
          <w:p w14:paraId="5775C8AB" w14:textId="77777777" w:rsidR="00241417" w:rsidRPr="004710DC" w:rsidRDefault="00241417" w:rsidP="003A71DE">
            <w:pPr>
              <w:pStyle w:val="TAC"/>
            </w:pPr>
            <w:r w:rsidRPr="004710DC">
              <w:t>24</w:t>
            </w:r>
          </w:p>
        </w:tc>
        <w:tc>
          <w:tcPr>
            <w:tcW w:w="1077" w:type="dxa"/>
            <w:vAlign w:val="center"/>
          </w:tcPr>
          <w:p w14:paraId="5CA037B0" w14:textId="77777777" w:rsidR="00241417" w:rsidRPr="004710DC" w:rsidRDefault="00241417" w:rsidP="003A71DE">
            <w:pPr>
              <w:pStyle w:val="TAC"/>
            </w:pPr>
            <w:r w:rsidRPr="004710DC">
              <w:t>24</w:t>
            </w:r>
          </w:p>
        </w:tc>
      </w:tr>
      <w:tr w:rsidR="00241417" w:rsidRPr="004710DC" w14:paraId="29E167FB" w14:textId="77777777" w:rsidTr="003A71DE">
        <w:trPr>
          <w:cantSplit/>
          <w:jc w:val="center"/>
        </w:trPr>
        <w:tc>
          <w:tcPr>
            <w:tcW w:w="3950" w:type="dxa"/>
          </w:tcPr>
          <w:p w14:paraId="58EFC950" w14:textId="77777777" w:rsidR="00241417" w:rsidRPr="00333EE0" w:rsidRDefault="00241417" w:rsidP="003A71DE">
            <w:pPr>
              <w:pStyle w:val="TAC"/>
            </w:pPr>
            <w:r w:rsidRPr="00333EE0">
              <w:t>Number of code blocks - C</w:t>
            </w:r>
          </w:p>
        </w:tc>
        <w:tc>
          <w:tcPr>
            <w:tcW w:w="1076" w:type="dxa"/>
            <w:vAlign w:val="center"/>
          </w:tcPr>
          <w:p w14:paraId="020AF036" w14:textId="77777777" w:rsidR="00241417" w:rsidRPr="004710DC" w:rsidRDefault="00241417" w:rsidP="003A71DE">
            <w:pPr>
              <w:pStyle w:val="TAC"/>
            </w:pPr>
            <w:r w:rsidRPr="004710DC">
              <w:t>2</w:t>
            </w:r>
          </w:p>
        </w:tc>
        <w:tc>
          <w:tcPr>
            <w:tcW w:w="1077" w:type="dxa"/>
            <w:vAlign w:val="center"/>
          </w:tcPr>
          <w:p w14:paraId="78ADFB8A" w14:textId="77777777" w:rsidR="00241417" w:rsidRPr="004710DC" w:rsidRDefault="00241417" w:rsidP="003A71DE">
            <w:pPr>
              <w:pStyle w:val="TAC"/>
            </w:pPr>
            <w:r w:rsidRPr="004710DC">
              <w:t>3</w:t>
            </w:r>
          </w:p>
        </w:tc>
        <w:tc>
          <w:tcPr>
            <w:tcW w:w="1076" w:type="dxa"/>
          </w:tcPr>
          <w:p w14:paraId="4597D89E" w14:textId="77777777" w:rsidR="00241417" w:rsidRPr="004710DC" w:rsidRDefault="00241417" w:rsidP="003A71DE">
            <w:pPr>
              <w:pStyle w:val="TAC"/>
            </w:pPr>
            <w:r w:rsidRPr="004710DC">
              <w:t>1</w:t>
            </w:r>
          </w:p>
        </w:tc>
        <w:tc>
          <w:tcPr>
            <w:tcW w:w="1077" w:type="dxa"/>
            <w:vAlign w:val="center"/>
          </w:tcPr>
          <w:p w14:paraId="6D5DFD23" w14:textId="77777777" w:rsidR="00241417" w:rsidRPr="004710DC" w:rsidRDefault="00241417" w:rsidP="003A71DE">
            <w:pPr>
              <w:pStyle w:val="TAC"/>
            </w:pPr>
            <w:r w:rsidRPr="004710DC">
              <w:t>2</w:t>
            </w:r>
          </w:p>
        </w:tc>
        <w:tc>
          <w:tcPr>
            <w:tcW w:w="1077" w:type="dxa"/>
            <w:vAlign w:val="center"/>
          </w:tcPr>
          <w:p w14:paraId="49C51C74" w14:textId="77777777" w:rsidR="00241417" w:rsidRPr="004710DC" w:rsidRDefault="00241417" w:rsidP="003A71DE">
            <w:pPr>
              <w:pStyle w:val="TAC"/>
            </w:pPr>
            <w:r w:rsidRPr="004710DC">
              <w:t>3</w:t>
            </w:r>
          </w:p>
        </w:tc>
      </w:tr>
      <w:tr w:rsidR="00241417" w:rsidRPr="004710DC" w14:paraId="09042A00" w14:textId="77777777" w:rsidTr="003A71DE">
        <w:trPr>
          <w:cantSplit/>
          <w:jc w:val="center"/>
        </w:trPr>
        <w:tc>
          <w:tcPr>
            <w:tcW w:w="3950" w:type="dxa"/>
          </w:tcPr>
          <w:p w14:paraId="475ED9DB" w14:textId="77777777" w:rsidR="00241417" w:rsidRPr="009150CA" w:rsidRDefault="00241417" w:rsidP="003A71DE">
            <w:pPr>
              <w:pStyle w:val="TAC"/>
              <w:rPr>
                <w:lang w:eastAsia="zh-CN"/>
              </w:rPr>
            </w:pPr>
            <w:r w:rsidRPr="009150CA">
              <w:t>Code block size</w:t>
            </w:r>
            <w:r w:rsidRPr="009150CA">
              <w:rPr>
                <w:lang w:eastAsia="zh-CN"/>
              </w:rPr>
              <w:t xml:space="preserve"> </w:t>
            </w:r>
            <w:r w:rsidRPr="009150CA">
              <w:rPr>
                <w:rFonts w:eastAsia="Malgun Gothic" w:cs="Arial"/>
              </w:rPr>
              <w:t>including CRC</w:t>
            </w:r>
            <w:r w:rsidRPr="009150CA">
              <w:t xml:space="preserve"> (bits)</w:t>
            </w:r>
            <w:r w:rsidRPr="009150CA">
              <w:rPr>
                <w:lang w:eastAsia="zh-CN"/>
              </w:rPr>
              <w:t xml:space="preserve"> </w:t>
            </w:r>
            <w:r w:rsidRPr="009150CA">
              <w:rPr>
                <w:rFonts w:cs="Arial"/>
                <w:lang w:eastAsia="zh-CN"/>
              </w:rPr>
              <w:t>(Note 2)</w:t>
            </w:r>
          </w:p>
        </w:tc>
        <w:tc>
          <w:tcPr>
            <w:tcW w:w="1076" w:type="dxa"/>
            <w:vAlign w:val="center"/>
          </w:tcPr>
          <w:p w14:paraId="1CD87FF3" w14:textId="77777777" w:rsidR="00241417" w:rsidRPr="004710DC" w:rsidRDefault="00241417" w:rsidP="003A71DE">
            <w:pPr>
              <w:pStyle w:val="TAC"/>
            </w:pPr>
            <w:r w:rsidRPr="004710DC">
              <w:rPr>
                <w:lang w:eastAsia="zh-CN"/>
              </w:rPr>
              <w:t>2728</w:t>
            </w:r>
          </w:p>
        </w:tc>
        <w:tc>
          <w:tcPr>
            <w:tcW w:w="1077" w:type="dxa"/>
            <w:vAlign w:val="center"/>
          </w:tcPr>
          <w:p w14:paraId="38B15B81" w14:textId="77777777" w:rsidR="00241417" w:rsidRPr="004710DC" w:rsidRDefault="00241417" w:rsidP="003A71DE">
            <w:pPr>
              <w:pStyle w:val="TAC"/>
            </w:pPr>
            <w:r w:rsidRPr="004710DC">
              <w:rPr>
                <w:lang w:eastAsia="zh-CN"/>
              </w:rPr>
              <w:t>3616</w:t>
            </w:r>
          </w:p>
        </w:tc>
        <w:tc>
          <w:tcPr>
            <w:tcW w:w="1076" w:type="dxa"/>
            <w:vAlign w:val="center"/>
          </w:tcPr>
          <w:p w14:paraId="07102F9F" w14:textId="77777777" w:rsidR="00241417" w:rsidRPr="004710DC" w:rsidRDefault="00241417" w:rsidP="003A71DE">
            <w:pPr>
              <w:pStyle w:val="TAC"/>
            </w:pPr>
            <w:r w:rsidRPr="004710DC">
              <w:rPr>
                <w:lang w:eastAsia="zh-CN"/>
              </w:rPr>
              <w:t>2616</w:t>
            </w:r>
          </w:p>
        </w:tc>
        <w:tc>
          <w:tcPr>
            <w:tcW w:w="1077" w:type="dxa"/>
            <w:vAlign w:val="center"/>
          </w:tcPr>
          <w:p w14:paraId="12FF8C61" w14:textId="77777777" w:rsidR="00241417" w:rsidRPr="004710DC" w:rsidRDefault="00241417" w:rsidP="003A71DE">
            <w:pPr>
              <w:pStyle w:val="TAC"/>
            </w:pPr>
            <w:r w:rsidRPr="004710DC">
              <w:rPr>
                <w:lang w:eastAsia="zh-CN"/>
              </w:rPr>
              <w:t>2728</w:t>
            </w:r>
          </w:p>
        </w:tc>
        <w:tc>
          <w:tcPr>
            <w:tcW w:w="1077" w:type="dxa"/>
            <w:vAlign w:val="center"/>
          </w:tcPr>
          <w:p w14:paraId="70B91FC1" w14:textId="77777777" w:rsidR="00241417" w:rsidRPr="004710DC" w:rsidRDefault="00241417" w:rsidP="003A71DE">
            <w:pPr>
              <w:pStyle w:val="TAC"/>
            </w:pPr>
            <w:r w:rsidRPr="004710DC">
              <w:rPr>
                <w:lang w:eastAsia="zh-CN"/>
              </w:rPr>
              <w:t>3616</w:t>
            </w:r>
          </w:p>
        </w:tc>
      </w:tr>
      <w:tr w:rsidR="00241417" w:rsidRPr="004710DC" w14:paraId="3F4DA71E" w14:textId="77777777" w:rsidTr="003A71DE">
        <w:trPr>
          <w:cantSplit/>
          <w:jc w:val="center"/>
        </w:trPr>
        <w:tc>
          <w:tcPr>
            <w:tcW w:w="3950" w:type="dxa"/>
          </w:tcPr>
          <w:p w14:paraId="7FCBF147" w14:textId="77777777" w:rsidR="00241417" w:rsidRPr="009150CA" w:rsidRDefault="00241417" w:rsidP="003A71DE">
            <w:pPr>
              <w:pStyle w:val="TAC"/>
              <w:rPr>
                <w:lang w:eastAsia="zh-CN"/>
              </w:rPr>
            </w:pPr>
            <w:r w:rsidRPr="009150CA">
              <w:t xml:space="preserve">Total number of bits per </w:t>
            </w:r>
            <w:r w:rsidRPr="009150CA">
              <w:rPr>
                <w:lang w:eastAsia="zh-CN"/>
              </w:rPr>
              <w:t>slot</w:t>
            </w:r>
          </w:p>
        </w:tc>
        <w:tc>
          <w:tcPr>
            <w:tcW w:w="1076" w:type="dxa"/>
            <w:vAlign w:val="center"/>
          </w:tcPr>
          <w:p w14:paraId="4DF4223C" w14:textId="77777777" w:rsidR="00241417" w:rsidRPr="004710DC" w:rsidRDefault="00241417" w:rsidP="003A71DE">
            <w:pPr>
              <w:pStyle w:val="TAC"/>
            </w:pPr>
            <w:r w:rsidRPr="004710DC">
              <w:t>28512</w:t>
            </w:r>
          </w:p>
        </w:tc>
        <w:tc>
          <w:tcPr>
            <w:tcW w:w="1077" w:type="dxa"/>
            <w:vAlign w:val="center"/>
          </w:tcPr>
          <w:p w14:paraId="29D231F0" w14:textId="77777777" w:rsidR="00241417" w:rsidRPr="004710DC" w:rsidRDefault="00241417" w:rsidP="003A71DE">
            <w:pPr>
              <w:pStyle w:val="TAC"/>
            </w:pPr>
            <w:r w:rsidRPr="004710DC">
              <w:t>57024</w:t>
            </w:r>
          </w:p>
        </w:tc>
        <w:tc>
          <w:tcPr>
            <w:tcW w:w="1076" w:type="dxa"/>
            <w:vAlign w:val="center"/>
          </w:tcPr>
          <w:p w14:paraId="7FD28B5E" w14:textId="77777777" w:rsidR="00241417" w:rsidRPr="004710DC" w:rsidRDefault="00241417" w:rsidP="003A71DE">
            <w:pPr>
              <w:pStyle w:val="TAC"/>
            </w:pPr>
            <w:r w:rsidRPr="004710DC">
              <w:t>13824</w:t>
            </w:r>
          </w:p>
        </w:tc>
        <w:tc>
          <w:tcPr>
            <w:tcW w:w="1077" w:type="dxa"/>
            <w:vAlign w:val="center"/>
          </w:tcPr>
          <w:p w14:paraId="4B39846B" w14:textId="77777777" w:rsidR="00241417" w:rsidRPr="004710DC" w:rsidRDefault="00241417" w:rsidP="003A71DE">
            <w:pPr>
              <w:pStyle w:val="TAC"/>
            </w:pPr>
            <w:r w:rsidRPr="004710DC">
              <w:t>28512</w:t>
            </w:r>
          </w:p>
        </w:tc>
        <w:tc>
          <w:tcPr>
            <w:tcW w:w="1077" w:type="dxa"/>
            <w:vAlign w:val="center"/>
          </w:tcPr>
          <w:p w14:paraId="7899CCAB" w14:textId="77777777" w:rsidR="00241417" w:rsidRPr="004710DC" w:rsidRDefault="00241417" w:rsidP="003A71DE">
            <w:pPr>
              <w:pStyle w:val="TAC"/>
            </w:pPr>
            <w:r w:rsidRPr="004710DC">
              <w:t>57024</w:t>
            </w:r>
          </w:p>
        </w:tc>
      </w:tr>
      <w:tr w:rsidR="00241417" w:rsidRPr="004710DC" w14:paraId="029A13FB" w14:textId="77777777" w:rsidTr="003A71DE">
        <w:trPr>
          <w:cantSplit/>
          <w:jc w:val="center"/>
        </w:trPr>
        <w:tc>
          <w:tcPr>
            <w:tcW w:w="3950" w:type="dxa"/>
          </w:tcPr>
          <w:p w14:paraId="2111126D"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Pr>
          <w:p w14:paraId="26FCA1FC" w14:textId="77777777" w:rsidR="00241417" w:rsidRPr="004710DC" w:rsidRDefault="00241417" w:rsidP="003A71DE">
            <w:pPr>
              <w:pStyle w:val="TAC"/>
            </w:pPr>
            <w:r w:rsidRPr="004710DC">
              <w:t>14256</w:t>
            </w:r>
          </w:p>
        </w:tc>
        <w:tc>
          <w:tcPr>
            <w:tcW w:w="1077" w:type="dxa"/>
          </w:tcPr>
          <w:p w14:paraId="44DF17D7" w14:textId="77777777" w:rsidR="00241417" w:rsidRPr="004710DC" w:rsidRDefault="00241417" w:rsidP="003A71DE">
            <w:pPr>
              <w:pStyle w:val="TAC"/>
            </w:pPr>
            <w:r w:rsidRPr="004710DC">
              <w:t>28512</w:t>
            </w:r>
          </w:p>
        </w:tc>
        <w:tc>
          <w:tcPr>
            <w:tcW w:w="1076" w:type="dxa"/>
          </w:tcPr>
          <w:p w14:paraId="3DA25E09" w14:textId="77777777" w:rsidR="00241417" w:rsidRPr="004710DC" w:rsidRDefault="00241417" w:rsidP="003A71DE">
            <w:pPr>
              <w:pStyle w:val="TAC"/>
            </w:pPr>
            <w:r w:rsidRPr="004710DC">
              <w:t>6912</w:t>
            </w:r>
          </w:p>
        </w:tc>
        <w:tc>
          <w:tcPr>
            <w:tcW w:w="1077" w:type="dxa"/>
          </w:tcPr>
          <w:p w14:paraId="18FE4B53" w14:textId="77777777" w:rsidR="00241417" w:rsidRPr="004710DC" w:rsidRDefault="00241417" w:rsidP="003A71DE">
            <w:pPr>
              <w:pStyle w:val="TAC"/>
            </w:pPr>
            <w:r w:rsidRPr="004710DC">
              <w:t>14256</w:t>
            </w:r>
          </w:p>
        </w:tc>
        <w:tc>
          <w:tcPr>
            <w:tcW w:w="1077" w:type="dxa"/>
          </w:tcPr>
          <w:p w14:paraId="6E9C70A3" w14:textId="77777777" w:rsidR="00241417" w:rsidRPr="004710DC" w:rsidRDefault="00241417" w:rsidP="003A71DE">
            <w:pPr>
              <w:pStyle w:val="TAC"/>
            </w:pPr>
            <w:r w:rsidRPr="004710DC">
              <w:t>28512</w:t>
            </w:r>
          </w:p>
        </w:tc>
      </w:tr>
      <w:tr w:rsidR="00241417" w:rsidRPr="009150CA" w14:paraId="5C136E1C" w14:textId="77777777" w:rsidTr="003A71DE">
        <w:trPr>
          <w:cantSplit/>
          <w:jc w:val="center"/>
        </w:trPr>
        <w:tc>
          <w:tcPr>
            <w:tcW w:w="9333" w:type="dxa"/>
            <w:gridSpan w:val="6"/>
          </w:tcPr>
          <w:p w14:paraId="6BFD33E9" w14:textId="77777777" w:rsidR="00241417" w:rsidRPr="009150CA" w:rsidRDefault="00241417" w:rsidP="003A71DE">
            <w:pPr>
              <w:pStyle w:val="TAN"/>
              <w:rPr>
                <w:lang w:eastAsia="zh-CN"/>
              </w:rPr>
            </w:pPr>
            <w:r w:rsidRPr="009150CA">
              <w:t>NOTE 1:</w:t>
            </w:r>
            <w:r w:rsidRPr="009150CA">
              <w:tab/>
            </w:r>
            <w:r w:rsidRPr="009150CA">
              <w:rPr>
                <w:i/>
              </w:rPr>
              <w:t xml:space="preserve">DM-RS configuration type </w:t>
            </w:r>
            <w:r w:rsidRPr="009150CA">
              <w:t xml:space="preserve">= 1 with </w:t>
            </w:r>
            <w:r w:rsidRPr="009150CA">
              <w:rPr>
                <w:i/>
              </w:rPr>
              <w:t>DM-RS duration = single-symbol DM-RS</w:t>
            </w:r>
            <w:r w:rsidRPr="009150CA">
              <w:rPr>
                <w:lang w:eastAsia="zh-CN"/>
              </w:rPr>
              <w:t xml:space="preserve"> and the number of DM-RS CDM groups without data is 2</w:t>
            </w:r>
            <w:r w:rsidRPr="009150CA">
              <w:t xml:space="preserve">, </w:t>
            </w:r>
            <w:r w:rsidRPr="009150CA">
              <w:rPr>
                <w:i/>
              </w:rPr>
              <w:t>Additional DM-RS position = pos0</w:t>
            </w:r>
            <w:r w:rsidRPr="009150CA">
              <w:t xml:space="preserve"> with </w:t>
            </w:r>
            <w:r w:rsidRPr="009150CA">
              <w:rPr>
                <w:i/>
                <w:lang w:eastAsia="zh-CN"/>
              </w:rPr>
              <w:t>l</w:t>
            </w:r>
            <w:r w:rsidRPr="009150CA">
              <w:rPr>
                <w:i/>
                <w:vertAlign w:val="subscript"/>
                <w:lang w:eastAsia="zh-CN"/>
              </w:rPr>
              <w:t>0</w:t>
            </w:r>
            <w:r w:rsidRPr="009150CA">
              <w:t xml:space="preserve">= </w:t>
            </w:r>
            <w:r w:rsidRPr="009150CA">
              <w:rPr>
                <w:lang w:eastAsia="zh-CN"/>
              </w:rPr>
              <w:t>0</w:t>
            </w:r>
            <w:r w:rsidRPr="009150CA">
              <w:t xml:space="preserve"> as per Table 6.4.1.1.3-3 of TS 38.211 [8].</w:t>
            </w:r>
          </w:p>
          <w:p w14:paraId="6BBD6688" w14:textId="77777777" w:rsidR="00241417" w:rsidRPr="009150CA" w:rsidRDefault="00241417" w:rsidP="003A71DE">
            <w:pPr>
              <w:pStyle w:val="TAN"/>
              <w:rPr>
                <w:lang w:eastAsia="zh-CN"/>
              </w:rPr>
            </w:pPr>
            <w:r w:rsidRPr="009150CA">
              <w:t xml:space="preserve">NOTE </w:t>
            </w:r>
            <w:r w:rsidRPr="009150CA">
              <w:rPr>
                <w:lang w:eastAsia="zh-CN"/>
              </w:rPr>
              <w:t>2</w:t>
            </w:r>
            <w:r w:rsidRPr="009150CA">
              <w:t>:</w:t>
            </w:r>
            <w:r w:rsidRPr="009150CA">
              <w:tab/>
              <w:t>Code block size including CRC (bits)</w:t>
            </w:r>
            <w:r w:rsidRPr="009150CA">
              <w:rPr>
                <w:lang w:eastAsia="zh-CN"/>
              </w:rPr>
              <w:t xml:space="preserve"> equals to </w:t>
            </w:r>
            <w:r w:rsidRPr="009150CA">
              <w:rPr>
                <w:i/>
                <w:lang w:eastAsia="zh-CN"/>
              </w:rPr>
              <w:t>K'</w:t>
            </w:r>
            <w:r w:rsidRPr="009150CA">
              <w:rPr>
                <w:rFonts w:hint="eastAsia"/>
                <w:lang w:eastAsia="zh-CN"/>
              </w:rPr>
              <w:t xml:space="preserve"> in sub-clause </w:t>
            </w:r>
            <w:r w:rsidRPr="009150CA">
              <w:rPr>
                <w:lang w:eastAsia="zh-CN"/>
              </w:rPr>
              <w:t>5.2.2 of TS 38.212 [9].</w:t>
            </w:r>
          </w:p>
        </w:tc>
      </w:tr>
    </w:tbl>
    <w:p w14:paraId="70740801" w14:textId="77777777" w:rsidR="00241417" w:rsidRPr="009150CA" w:rsidRDefault="00241417" w:rsidP="00241417">
      <w:pPr>
        <w:rPr>
          <w:noProof/>
          <w:lang w:eastAsia="zh-CN"/>
        </w:rPr>
      </w:pPr>
    </w:p>
    <w:p w14:paraId="2E63F46B" w14:textId="77777777" w:rsidR="00241417" w:rsidRPr="009150CA" w:rsidRDefault="00241417" w:rsidP="00241417">
      <w:pPr>
        <w:pStyle w:val="TH"/>
      </w:pPr>
      <w:r w:rsidRPr="009150CA">
        <w:lastRenderedPageBreak/>
        <w:t xml:space="preserve">Table A.2.1-6: FRC parameters for FR2 PUSCH performance requirements, transform precoding enabled, </w:t>
      </w:r>
      <w:r w:rsidRPr="009150CA">
        <w:rPr>
          <w:i/>
        </w:rPr>
        <w:t>Additional DM-RS position = pos0</w:t>
      </w:r>
      <w:r w:rsidRPr="009150CA">
        <w:t xml:space="preserve"> and 1 transmission layer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70"/>
        <w:gridCol w:w="2268"/>
        <w:gridCol w:w="2312"/>
      </w:tblGrid>
      <w:tr w:rsidR="00241417" w:rsidRPr="004710DC" w14:paraId="71D38EC6" w14:textId="77777777" w:rsidTr="003A71DE">
        <w:trPr>
          <w:cantSplit/>
          <w:jc w:val="center"/>
        </w:trPr>
        <w:tc>
          <w:tcPr>
            <w:tcW w:w="4470" w:type="dxa"/>
          </w:tcPr>
          <w:p w14:paraId="4BA46FA2" w14:textId="77777777" w:rsidR="00241417" w:rsidRPr="004710DC" w:rsidRDefault="00241417" w:rsidP="003A71DE">
            <w:pPr>
              <w:pStyle w:val="TAH"/>
            </w:pPr>
            <w:r w:rsidRPr="004710DC">
              <w:t>Reference channel</w:t>
            </w:r>
          </w:p>
        </w:tc>
        <w:tc>
          <w:tcPr>
            <w:tcW w:w="2268" w:type="dxa"/>
          </w:tcPr>
          <w:p w14:paraId="7E5B6D9E" w14:textId="77777777" w:rsidR="00241417" w:rsidRPr="004710DC" w:rsidRDefault="00241417" w:rsidP="003A71DE">
            <w:pPr>
              <w:pStyle w:val="TAH"/>
            </w:pPr>
            <w:r>
              <w:rPr>
                <w:lang w:eastAsia="zh-CN"/>
              </w:rPr>
              <w:t>D-FR2-A.2.1</w:t>
            </w:r>
            <w:r w:rsidRPr="004710DC">
              <w:rPr>
                <w:lang w:eastAsia="zh-CN"/>
              </w:rPr>
              <w:t>-11</w:t>
            </w:r>
          </w:p>
        </w:tc>
        <w:tc>
          <w:tcPr>
            <w:tcW w:w="2312" w:type="dxa"/>
          </w:tcPr>
          <w:p w14:paraId="14894973" w14:textId="77777777" w:rsidR="00241417" w:rsidRPr="004710DC" w:rsidRDefault="00241417" w:rsidP="003A71DE">
            <w:pPr>
              <w:pStyle w:val="TAH"/>
            </w:pPr>
            <w:r>
              <w:rPr>
                <w:lang w:eastAsia="zh-CN"/>
              </w:rPr>
              <w:t>D-FR2-A.2.1</w:t>
            </w:r>
            <w:r w:rsidRPr="004710DC">
              <w:rPr>
                <w:lang w:eastAsia="zh-CN"/>
              </w:rPr>
              <w:t>-12</w:t>
            </w:r>
          </w:p>
        </w:tc>
      </w:tr>
      <w:tr w:rsidR="00241417" w:rsidRPr="004710DC" w14:paraId="0CC62F64" w14:textId="77777777" w:rsidTr="003A71DE">
        <w:trPr>
          <w:cantSplit/>
          <w:jc w:val="center"/>
        </w:trPr>
        <w:tc>
          <w:tcPr>
            <w:tcW w:w="4470" w:type="dxa"/>
          </w:tcPr>
          <w:p w14:paraId="5C194581" w14:textId="77777777" w:rsidR="00241417" w:rsidRPr="004710DC" w:rsidRDefault="00241417" w:rsidP="003A71DE">
            <w:pPr>
              <w:pStyle w:val="TAC"/>
              <w:rPr>
                <w:lang w:eastAsia="zh-CN"/>
              </w:rPr>
            </w:pPr>
            <w:r w:rsidRPr="004710DC">
              <w:rPr>
                <w:lang w:eastAsia="zh-CN"/>
              </w:rPr>
              <w:t>Subcarrier spacing [kHz]</w:t>
            </w:r>
          </w:p>
        </w:tc>
        <w:tc>
          <w:tcPr>
            <w:tcW w:w="2268" w:type="dxa"/>
          </w:tcPr>
          <w:p w14:paraId="508C3E34" w14:textId="77777777" w:rsidR="00241417" w:rsidRPr="004710DC" w:rsidRDefault="00241417" w:rsidP="003A71DE">
            <w:pPr>
              <w:pStyle w:val="TAC"/>
              <w:rPr>
                <w:lang w:eastAsia="zh-CN"/>
              </w:rPr>
            </w:pPr>
            <w:r w:rsidRPr="004710DC">
              <w:rPr>
                <w:lang w:eastAsia="zh-CN"/>
              </w:rPr>
              <w:t>60</w:t>
            </w:r>
          </w:p>
        </w:tc>
        <w:tc>
          <w:tcPr>
            <w:tcW w:w="2312" w:type="dxa"/>
          </w:tcPr>
          <w:p w14:paraId="2F3B30A6" w14:textId="77777777" w:rsidR="00241417" w:rsidRPr="004710DC" w:rsidRDefault="00241417" w:rsidP="003A71DE">
            <w:pPr>
              <w:pStyle w:val="TAC"/>
              <w:rPr>
                <w:lang w:eastAsia="zh-CN"/>
              </w:rPr>
            </w:pPr>
            <w:r w:rsidRPr="004710DC">
              <w:rPr>
                <w:lang w:eastAsia="zh-CN"/>
              </w:rPr>
              <w:t>120</w:t>
            </w:r>
          </w:p>
        </w:tc>
      </w:tr>
      <w:tr w:rsidR="00241417" w:rsidRPr="004710DC" w14:paraId="682C7DE2" w14:textId="77777777" w:rsidTr="003A71DE">
        <w:trPr>
          <w:cantSplit/>
          <w:jc w:val="center"/>
        </w:trPr>
        <w:tc>
          <w:tcPr>
            <w:tcW w:w="4470" w:type="dxa"/>
          </w:tcPr>
          <w:p w14:paraId="2A14D610" w14:textId="77777777" w:rsidR="00241417" w:rsidRPr="004710DC" w:rsidRDefault="00241417" w:rsidP="003A71DE">
            <w:pPr>
              <w:pStyle w:val="TAC"/>
            </w:pPr>
            <w:r w:rsidRPr="004710DC">
              <w:t>Allocated resource blocks</w:t>
            </w:r>
          </w:p>
        </w:tc>
        <w:tc>
          <w:tcPr>
            <w:tcW w:w="2268" w:type="dxa"/>
          </w:tcPr>
          <w:p w14:paraId="7C64E945" w14:textId="77777777" w:rsidR="00241417" w:rsidRPr="004710DC" w:rsidRDefault="00241417" w:rsidP="003A71DE">
            <w:pPr>
              <w:pStyle w:val="TAC"/>
            </w:pPr>
            <w:r w:rsidRPr="004710DC">
              <w:t>30</w:t>
            </w:r>
          </w:p>
        </w:tc>
        <w:tc>
          <w:tcPr>
            <w:tcW w:w="2312" w:type="dxa"/>
          </w:tcPr>
          <w:p w14:paraId="4655E484" w14:textId="77777777" w:rsidR="00241417" w:rsidRPr="004710DC" w:rsidRDefault="00241417" w:rsidP="003A71DE">
            <w:pPr>
              <w:pStyle w:val="TAC"/>
            </w:pPr>
            <w:r w:rsidRPr="004710DC">
              <w:t>30</w:t>
            </w:r>
          </w:p>
        </w:tc>
      </w:tr>
      <w:tr w:rsidR="00241417" w:rsidRPr="004710DC" w14:paraId="02C00249" w14:textId="77777777" w:rsidTr="003A71DE">
        <w:trPr>
          <w:cantSplit/>
          <w:jc w:val="center"/>
        </w:trPr>
        <w:tc>
          <w:tcPr>
            <w:tcW w:w="4470" w:type="dxa"/>
          </w:tcPr>
          <w:p w14:paraId="0DE63074" w14:textId="77777777" w:rsidR="00241417" w:rsidRPr="009150CA" w:rsidRDefault="00241417" w:rsidP="003A71DE">
            <w:pPr>
              <w:pStyle w:val="TAC"/>
              <w:rPr>
                <w:lang w:eastAsia="zh-CN"/>
              </w:rPr>
            </w:pPr>
            <w:r w:rsidRPr="009150CA">
              <w:rPr>
                <w:lang w:eastAsia="zh-CN"/>
              </w:rPr>
              <w:t>DFT-s</w:t>
            </w:r>
            <w:r w:rsidRPr="009150CA">
              <w:t xml:space="preserve">-OFDM Symbols per </w:t>
            </w:r>
            <w:r w:rsidRPr="009150CA">
              <w:rPr>
                <w:lang w:eastAsia="zh-CN"/>
              </w:rPr>
              <w:t>slot (Note 1)</w:t>
            </w:r>
          </w:p>
        </w:tc>
        <w:tc>
          <w:tcPr>
            <w:tcW w:w="2268" w:type="dxa"/>
          </w:tcPr>
          <w:p w14:paraId="52DD9474" w14:textId="77777777" w:rsidR="00241417" w:rsidRPr="004710DC" w:rsidRDefault="00241417" w:rsidP="003A71DE">
            <w:pPr>
              <w:pStyle w:val="TAC"/>
              <w:rPr>
                <w:lang w:eastAsia="zh-CN"/>
              </w:rPr>
            </w:pPr>
            <w:r w:rsidRPr="004710DC">
              <w:rPr>
                <w:lang w:eastAsia="zh-CN"/>
              </w:rPr>
              <w:t>9</w:t>
            </w:r>
          </w:p>
        </w:tc>
        <w:tc>
          <w:tcPr>
            <w:tcW w:w="2312" w:type="dxa"/>
          </w:tcPr>
          <w:p w14:paraId="1994F677" w14:textId="77777777" w:rsidR="00241417" w:rsidRPr="004710DC" w:rsidRDefault="00241417" w:rsidP="003A71DE">
            <w:pPr>
              <w:pStyle w:val="TAC"/>
              <w:rPr>
                <w:lang w:eastAsia="zh-CN"/>
              </w:rPr>
            </w:pPr>
            <w:r w:rsidRPr="004710DC">
              <w:rPr>
                <w:lang w:eastAsia="zh-CN"/>
              </w:rPr>
              <w:t>9</w:t>
            </w:r>
          </w:p>
        </w:tc>
      </w:tr>
      <w:tr w:rsidR="00241417" w:rsidRPr="004710DC" w14:paraId="489A8B8E" w14:textId="77777777" w:rsidTr="003A71DE">
        <w:trPr>
          <w:cantSplit/>
          <w:jc w:val="center"/>
        </w:trPr>
        <w:tc>
          <w:tcPr>
            <w:tcW w:w="4470" w:type="dxa"/>
          </w:tcPr>
          <w:p w14:paraId="1B244FD6" w14:textId="77777777" w:rsidR="00241417" w:rsidRPr="004710DC" w:rsidRDefault="00241417" w:rsidP="003A71DE">
            <w:pPr>
              <w:pStyle w:val="TAC"/>
            </w:pPr>
            <w:r w:rsidRPr="004710DC">
              <w:t>Modulation</w:t>
            </w:r>
          </w:p>
        </w:tc>
        <w:tc>
          <w:tcPr>
            <w:tcW w:w="2268" w:type="dxa"/>
          </w:tcPr>
          <w:p w14:paraId="5B1789C1" w14:textId="77777777" w:rsidR="00241417" w:rsidRPr="004710DC" w:rsidRDefault="00241417" w:rsidP="003A71DE">
            <w:pPr>
              <w:pStyle w:val="TAC"/>
              <w:rPr>
                <w:lang w:eastAsia="zh-CN"/>
              </w:rPr>
            </w:pPr>
            <w:r w:rsidRPr="004710DC">
              <w:rPr>
                <w:lang w:eastAsia="zh-CN"/>
              </w:rPr>
              <w:t>QPSK</w:t>
            </w:r>
          </w:p>
        </w:tc>
        <w:tc>
          <w:tcPr>
            <w:tcW w:w="2312" w:type="dxa"/>
          </w:tcPr>
          <w:p w14:paraId="310C86C2" w14:textId="77777777" w:rsidR="00241417" w:rsidRPr="004710DC" w:rsidRDefault="00241417" w:rsidP="003A71DE">
            <w:pPr>
              <w:pStyle w:val="TAC"/>
              <w:rPr>
                <w:lang w:eastAsia="zh-CN"/>
              </w:rPr>
            </w:pPr>
            <w:r w:rsidRPr="004710DC">
              <w:rPr>
                <w:lang w:eastAsia="zh-CN"/>
              </w:rPr>
              <w:t>QPSK</w:t>
            </w:r>
          </w:p>
        </w:tc>
      </w:tr>
      <w:tr w:rsidR="00241417" w:rsidRPr="004710DC" w14:paraId="0B7D2623" w14:textId="77777777" w:rsidTr="003A71DE">
        <w:trPr>
          <w:cantSplit/>
          <w:jc w:val="center"/>
        </w:trPr>
        <w:tc>
          <w:tcPr>
            <w:tcW w:w="4470" w:type="dxa"/>
          </w:tcPr>
          <w:p w14:paraId="6BE8A093" w14:textId="77777777" w:rsidR="00241417" w:rsidRPr="004710DC" w:rsidRDefault="00241417" w:rsidP="003A71DE">
            <w:pPr>
              <w:pStyle w:val="TAC"/>
            </w:pPr>
            <w:r>
              <w:t>Code Rate</w:t>
            </w:r>
          </w:p>
        </w:tc>
        <w:tc>
          <w:tcPr>
            <w:tcW w:w="2268" w:type="dxa"/>
          </w:tcPr>
          <w:p w14:paraId="56650703" w14:textId="77777777" w:rsidR="00241417" w:rsidRPr="004710DC" w:rsidRDefault="00241417" w:rsidP="003A71DE">
            <w:pPr>
              <w:pStyle w:val="TAC"/>
              <w:rPr>
                <w:lang w:eastAsia="zh-CN"/>
              </w:rPr>
            </w:pPr>
            <w:r w:rsidRPr="004710DC">
              <w:rPr>
                <w:lang w:eastAsia="zh-CN"/>
              </w:rPr>
              <w:t>193/1024</w:t>
            </w:r>
          </w:p>
        </w:tc>
        <w:tc>
          <w:tcPr>
            <w:tcW w:w="2312" w:type="dxa"/>
          </w:tcPr>
          <w:p w14:paraId="7CCACF3C" w14:textId="77777777" w:rsidR="00241417" w:rsidRPr="004710DC" w:rsidRDefault="00241417" w:rsidP="003A71DE">
            <w:pPr>
              <w:pStyle w:val="TAC"/>
              <w:rPr>
                <w:lang w:eastAsia="zh-CN"/>
              </w:rPr>
            </w:pPr>
            <w:r w:rsidRPr="004710DC">
              <w:rPr>
                <w:lang w:eastAsia="zh-CN"/>
              </w:rPr>
              <w:t>193/1024</w:t>
            </w:r>
          </w:p>
        </w:tc>
      </w:tr>
      <w:tr w:rsidR="00241417" w:rsidRPr="004710DC" w14:paraId="45BEF399" w14:textId="77777777" w:rsidTr="003A71DE">
        <w:trPr>
          <w:cantSplit/>
          <w:jc w:val="center"/>
        </w:trPr>
        <w:tc>
          <w:tcPr>
            <w:tcW w:w="4470" w:type="dxa"/>
          </w:tcPr>
          <w:p w14:paraId="5B2CD193" w14:textId="77777777" w:rsidR="00241417" w:rsidRPr="004710DC" w:rsidRDefault="00241417" w:rsidP="003A71DE">
            <w:pPr>
              <w:pStyle w:val="TAC"/>
            </w:pPr>
            <w:r w:rsidRPr="004710DC">
              <w:t>Payload size (bits)</w:t>
            </w:r>
          </w:p>
        </w:tc>
        <w:tc>
          <w:tcPr>
            <w:tcW w:w="2268" w:type="dxa"/>
            <w:vAlign w:val="center"/>
          </w:tcPr>
          <w:p w14:paraId="6170CB78" w14:textId="77777777" w:rsidR="00241417" w:rsidRPr="004710DC" w:rsidRDefault="00241417" w:rsidP="003A71DE">
            <w:pPr>
              <w:pStyle w:val="TAC"/>
            </w:pPr>
            <w:r w:rsidRPr="004710DC">
              <w:t>1224</w:t>
            </w:r>
          </w:p>
        </w:tc>
        <w:tc>
          <w:tcPr>
            <w:tcW w:w="2312" w:type="dxa"/>
            <w:vAlign w:val="center"/>
          </w:tcPr>
          <w:p w14:paraId="3F3A96FB" w14:textId="77777777" w:rsidR="00241417" w:rsidRPr="004710DC" w:rsidRDefault="00241417" w:rsidP="003A71DE">
            <w:pPr>
              <w:pStyle w:val="TAC"/>
            </w:pPr>
            <w:r w:rsidRPr="004710DC">
              <w:t>1224</w:t>
            </w:r>
          </w:p>
        </w:tc>
      </w:tr>
      <w:tr w:rsidR="00241417" w:rsidRPr="004710DC" w14:paraId="1B9FC696" w14:textId="77777777" w:rsidTr="003A71DE">
        <w:trPr>
          <w:cantSplit/>
          <w:jc w:val="center"/>
        </w:trPr>
        <w:tc>
          <w:tcPr>
            <w:tcW w:w="4470" w:type="dxa"/>
          </w:tcPr>
          <w:p w14:paraId="49941B4F" w14:textId="77777777" w:rsidR="00241417" w:rsidRPr="004710DC" w:rsidRDefault="00241417" w:rsidP="003A71DE">
            <w:pPr>
              <w:pStyle w:val="TAC"/>
            </w:pPr>
            <w:r w:rsidRPr="004710DC">
              <w:t>Transport block CRC (bits)</w:t>
            </w:r>
          </w:p>
        </w:tc>
        <w:tc>
          <w:tcPr>
            <w:tcW w:w="2268" w:type="dxa"/>
          </w:tcPr>
          <w:p w14:paraId="51E880A9" w14:textId="77777777" w:rsidR="00241417" w:rsidRPr="004710DC" w:rsidRDefault="00241417" w:rsidP="003A71DE">
            <w:pPr>
              <w:pStyle w:val="TAC"/>
              <w:rPr>
                <w:rFonts w:ascii="SimSun" w:hAnsi="SimSun" w:cs="SimSun"/>
              </w:rPr>
            </w:pPr>
            <w:r w:rsidRPr="004710DC">
              <w:t>16</w:t>
            </w:r>
          </w:p>
        </w:tc>
        <w:tc>
          <w:tcPr>
            <w:tcW w:w="2312" w:type="dxa"/>
          </w:tcPr>
          <w:p w14:paraId="5F9CC0DD" w14:textId="77777777" w:rsidR="00241417" w:rsidRPr="004710DC" w:rsidRDefault="00241417" w:rsidP="003A71DE">
            <w:pPr>
              <w:pStyle w:val="TAC"/>
              <w:rPr>
                <w:rFonts w:ascii="SimSun" w:hAnsi="SimSun" w:cs="SimSun"/>
              </w:rPr>
            </w:pPr>
            <w:r w:rsidRPr="004710DC">
              <w:t>16</w:t>
            </w:r>
          </w:p>
        </w:tc>
      </w:tr>
      <w:tr w:rsidR="00241417" w:rsidRPr="004710DC" w14:paraId="0410DF0B" w14:textId="77777777" w:rsidTr="003A71DE">
        <w:trPr>
          <w:cantSplit/>
          <w:jc w:val="center"/>
        </w:trPr>
        <w:tc>
          <w:tcPr>
            <w:tcW w:w="4470" w:type="dxa"/>
          </w:tcPr>
          <w:p w14:paraId="5B923C56" w14:textId="77777777" w:rsidR="00241417" w:rsidRPr="009150CA" w:rsidRDefault="00241417" w:rsidP="003A71DE">
            <w:pPr>
              <w:pStyle w:val="TAC"/>
            </w:pPr>
            <w:r w:rsidRPr="009150CA">
              <w:t>Code block CRC size (bits)</w:t>
            </w:r>
          </w:p>
        </w:tc>
        <w:tc>
          <w:tcPr>
            <w:tcW w:w="2268" w:type="dxa"/>
            <w:vAlign w:val="center"/>
          </w:tcPr>
          <w:p w14:paraId="142192E6" w14:textId="77777777" w:rsidR="00241417" w:rsidRPr="004710DC" w:rsidRDefault="00241417" w:rsidP="003A71DE">
            <w:pPr>
              <w:pStyle w:val="TAC"/>
              <w:rPr>
                <w:rFonts w:ascii="SimSun" w:hAnsi="SimSun" w:cs="SimSun"/>
              </w:rPr>
            </w:pPr>
            <w:r w:rsidRPr="004710DC">
              <w:t>-</w:t>
            </w:r>
          </w:p>
        </w:tc>
        <w:tc>
          <w:tcPr>
            <w:tcW w:w="2312" w:type="dxa"/>
            <w:vAlign w:val="center"/>
          </w:tcPr>
          <w:p w14:paraId="670D4B5B" w14:textId="77777777" w:rsidR="00241417" w:rsidRPr="004710DC" w:rsidRDefault="00241417" w:rsidP="003A71DE">
            <w:pPr>
              <w:pStyle w:val="TAC"/>
              <w:rPr>
                <w:rFonts w:ascii="SimSun" w:hAnsi="SimSun" w:cs="SimSun"/>
              </w:rPr>
            </w:pPr>
            <w:r w:rsidRPr="004710DC">
              <w:t>-</w:t>
            </w:r>
          </w:p>
        </w:tc>
      </w:tr>
      <w:tr w:rsidR="00241417" w:rsidRPr="004710DC" w14:paraId="5201CF88" w14:textId="77777777" w:rsidTr="003A71DE">
        <w:trPr>
          <w:cantSplit/>
          <w:jc w:val="center"/>
        </w:trPr>
        <w:tc>
          <w:tcPr>
            <w:tcW w:w="4470" w:type="dxa"/>
          </w:tcPr>
          <w:p w14:paraId="16495B93" w14:textId="77777777" w:rsidR="00241417" w:rsidRPr="009150CA" w:rsidRDefault="00241417" w:rsidP="003A71DE">
            <w:pPr>
              <w:pStyle w:val="TAC"/>
            </w:pPr>
            <w:r w:rsidRPr="009150CA">
              <w:t>Number of code blocks - C</w:t>
            </w:r>
          </w:p>
        </w:tc>
        <w:tc>
          <w:tcPr>
            <w:tcW w:w="2268" w:type="dxa"/>
            <w:vAlign w:val="center"/>
          </w:tcPr>
          <w:p w14:paraId="174AE12F" w14:textId="77777777" w:rsidR="00241417" w:rsidRPr="004710DC" w:rsidRDefault="00241417" w:rsidP="003A71DE">
            <w:pPr>
              <w:pStyle w:val="TAC"/>
              <w:rPr>
                <w:rFonts w:ascii="SimSun" w:hAnsi="SimSun" w:cs="SimSun"/>
              </w:rPr>
            </w:pPr>
            <w:r w:rsidRPr="004710DC">
              <w:t>1</w:t>
            </w:r>
          </w:p>
        </w:tc>
        <w:tc>
          <w:tcPr>
            <w:tcW w:w="2312" w:type="dxa"/>
            <w:vAlign w:val="center"/>
          </w:tcPr>
          <w:p w14:paraId="2EAD8631" w14:textId="77777777" w:rsidR="00241417" w:rsidRPr="004710DC" w:rsidRDefault="00241417" w:rsidP="003A71DE">
            <w:pPr>
              <w:pStyle w:val="TAC"/>
              <w:rPr>
                <w:rFonts w:ascii="SimSun" w:hAnsi="SimSun" w:cs="SimSun"/>
              </w:rPr>
            </w:pPr>
            <w:r w:rsidRPr="004710DC">
              <w:t>1</w:t>
            </w:r>
          </w:p>
        </w:tc>
      </w:tr>
      <w:tr w:rsidR="00241417" w:rsidRPr="004710DC" w14:paraId="6A41FF41" w14:textId="77777777" w:rsidTr="003A71DE">
        <w:trPr>
          <w:cantSplit/>
          <w:jc w:val="center"/>
        </w:trPr>
        <w:tc>
          <w:tcPr>
            <w:tcW w:w="4470" w:type="dxa"/>
          </w:tcPr>
          <w:p w14:paraId="2A83640F" w14:textId="77777777" w:rsidR="00241417" w:rsidRPr="009150CA" w:rsidRDefault="00241417" w:rsidP="003A71DE">
            <w:pPr>
              <w:pStyle w:val="TAC"/>
              <w:rPr>
                <w:lang w:eastAsia="zh-CN"/>
              </w:rPr>
            </w:pPr>
            <w:r w:rsidRPr="009150CA">
              <w:t>Code block size</w:t>
            </w:r>
            <w:r w:rsidRPr="009150CA">
              <w:rPr>
                <w:rFonts w:eastAsia="Malgun Gothic" w:cs="Arial"/>
              </w:rPr>
              <w:t xml:space="preserve"> including CRC</w:t>
            </w:r>
            <w:r w:rsidRPr="009150CA">
              <w:t xml:space="preserve"> (bits)</w:t>
            </w:r>
            <w:r w:rsidRPr="009150CA">
              <w:rPr>
                <w:lang w:eastAsia="zh-CN"/>
              </w:rPr>
              <w:t xml:space="preserve"> </w:t>
            </w:r>
            <w:r w:rsidRPr="009150CA">
              <w:rPr>
                <w:rFonts w:cs="Arial"/>
                <w:lang w:eastAsia="zh-CN"/>
              </w:rPr>
              <w:t>(Note 2)</w:t>
            </w:r>
          </w:p>
        </w:tc>
        <w:tc>
          <w:tcPr>
            <w:tcW w:w="2268" w:type="dxa"/>
            <w:vAlign w:val="center"/>
          </w:tcPr>
          <w:p w14:paraId="0DA24A26" w14:textId="77777777" w:rsidR="00241417" w:rsidRPr="004710DC" w:rsidRDefault="00241417" w:rsidP="003A71DE">
            <w:pPr>
              <w:pStyle w:val="TAC"/>
              <w:rPr>
                <w:rFonts w:ascii="SimSun" w:hAnsi="SimSun" w:cs="SimSun"/>
              </w:rPr>
            </w:pPr>
            <w:r w:rsidRPr="004710DC">
              <w:rPr>
                <w:lang w:eastAsia="zh-CN"/>
              </w:rPr>
              <w:t>1240</w:t>
            </w:r>
          </w:p>
        </w:tc>
        <w:tc>
          <w:tcPr>
            <w:tcW w:w="2312" w:type="dxa"/>
            <w:vAlign w:val="center"/>
          </w:tcPr>
          <w:p w14:paraId="26035E36" w14:textId="77777777" w:rsidR="00241417" w:rsidRPr="004710DC" w:rsidRDefault="00241417" w:rsidP="003A71DE">
            <w:pPr>
              <w:pStyle w:val="TAC"/>
              <w:rPr>
                <w:rFonts w:ascii="SimSun" w:hAnsi="SimSun" w:cs="SimSun"/>
              </w:rPr>
            </w:pPr>
            <w:r w:rsidRPr="004710DC">
              <w:rPr>
                <w:lang w:eastAsia="zh-CN"/>
              </w:rPr>
              <w:t>1240</w:t>
            </w:r>
          </w:p>
        </w:tc>
      </w:tr>
      <w:tr w:rsidR="00241417" w:rsidRPr="004710DC" w14:paraId="3BE9D77F" w14:textId="77777777" w:rsidTr="003A71DE">
        <w:trPr>
          <w:cantSplit/>
          <w:jc w:val="center"/>
        </w:trPr>
        <w:tc>
          <w:tcPr>
            <w:tcW w:w="4470" w:type="dxa"/>
          </w:tcPr>
          <w:p w14:paraId="00EA3EF4" w14:textId="77777777" w:rsidR="00241417" w:rsidRPr="009150CA" w:rsidRDefault="00241417" w:rsidP="003A71DE">
            <w:pPr>
              <w:pStyle w:val="TAC"/>
              <w:rPr>
                <w:lang w:eastAsia="zh-CN"/>
              </w:rPr>
            </w:pPr>
            <w:r w:rsidRPr="009150CA">
              <w:t xml:space="preserve">Total number of bits per </w:t>
            </w:r>
            <w:r w:rsidRPr="009150CA">
              <w:rPr>
                <w:lang w:eastAsia="zh-CN"/>
              </w:rPr>
              <w:t>slot</w:t>
            </w:r>
          </w:p>
        </w:tc>
        <w:tc>
          <w:tcPr>
            <w:tcW w:w="2268" w:type="dxa"/>
            <w:vAlign w:val="center"/>
          </w:tcPr>
          <w:p w14:paraId="357DBE0E" w14:textId="77777777" w:rsidR="00241417" w:rsidRPr="004710DC" w:rsidRDefault="00241417" w:rsidP="003A71DE">
            <w:pPr>
              <w:pStyle w:val="TAC"/>
              <w:rPr>
                <w:rFonts w:ascii="SimSun" w:hAnsi="SimSun" w:cs="SimSun"/>
              </w:rPr>
            </w:pPr>
            <w:r w:rsidRPr="004710DC">
              <w:t>6480</w:t>
            </w:r>
          </w:p>
        </w:tc>
        <w:tc>
          <w:tcPr>
            <w:tcW w:w="2312" w:type="dxa"/>
            <w:vAlign w:val="center"/>
          </w:tcPr>
          <w:p w14:paraId="33F0E765" w14:textId="77777777" w:rsidR="00241417" w:rsidRPr="004710DC" w:rsidRDefault="00241417" w:rsidP="003A71DE">
            <w:pPr>
              <w:pStyle w:val="TAC"/>
              <w:rPr>
                <w:rFonts w:ascii="SimSun" w:hAnsi="SimSun" w:cs="SimSun"/>
              </w:rPr>
            </w:pPr>
            <w:r w:rsidRPr="004710DC">
              <w:t>6480</w:t>
            </w:r>
          </w:p>
        </w:tc>
      </w:tr>
      <w:tr w:rsidR="00241417" w:rsidRPr="004710DC" w14:paraId="10FE03C4" w14:textId="77777777" w:rsidTr="003A71DE">
        <w:trPr>
          <w:cantSplit/>
          <w:jc w:val="center"/>
        </w:trPr>
        <w:tc>
          <w:tcPr>
            <w:tcW w:w="4470" w:type="dxa"/>
          </w:tcPr>
          <w:p w14:paraId="14FCF9C2"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2268" w:type="dxa"/>
          </w:tcPr>
          <w:p w14:paraId="48063A0E" w14:textId="77777777" w:rsidR="00241417" w:rsidRPr="004710DC" w:rsidRDefault="00241417" w:rsidP="003A71DE">
            <w:pPr>
              <w:pStyle w:val="TAC"/>
              <w:rPr>
                <w:rFonts w:ascii="SimSun" w:hAnsi="SimSun" w:cs="SimSun"/>
              </w:rPr>
            </w:pPr>
            <w:r w:rsidRPr="004710DC">
              <w:t>3240</w:t>
            </w:r>
          </w:p>
        </w:tc>
        <w:tc>
          <w:tcPr>
            <w:tcW w:w="2312" w:type="dxa"/>
          </w:tcPr>
          <w:p w14:paraId="31EDF5DE" w14:textId="77777777" w:rsidR="00241417" w:rsidRPr="00ED4E9B" w:rsidRDefault="00241417" w:rsidP="003A71DE">
            <w:pPr>
              <w:pStyle w:val="TAC"/>
              <w:rPr>
                <w:rFonts w:ascii="SimSun" w:hAnsi="SimSun" w:cs="SimSun"/>
              </w:rPr>
            </w:pPr>
            <w:r w:rsidRPr="00ED4E9B">
              <w:t>3240</w:t>
            </w:r>
          </w:p>
        </w:tc>
      </w:tr>
      <w:tr w:rsidR="00241417" w:rsidRPr="009150CA" w14:paraId="3F789618" w14:textId="77777777" w:rsidTr="003A71DE">
        <w:trPr>
          <w:cantSplit/>
          <w:jc w:val="center"/>
        </w:trPr>
        <w:tc>
          <w:tcPr>
            <w:tcW w:w="9050" w:type="dxa"/>
            <w:gridSpan w:val="3"/>
          </w:tcPr>
          <w:p w14:paraId="7BE33FEE" w14:textId="77777777" w:rsidR="00241417" w:rsidRPr="009150CA" w:rsidRDefault="00241417" w:rsidP="003A71DE">
            <w:pPr>
              <w:pStyle w:val="TAN"/>
              <w:rPr>
                <w:lang w:eastAsia="zh-CN"/>
              </w:rPr>
            </w:pPr>
            <w:r w:rsidRPr="009150CA">
              <w:t>NOTE 1:</w:t>
            </w:r>
            <w:r w:rsidRPr="009150CA">
              <w:tab/>
            </w:r>
            <w:r w:rsidRPr="009150CA">
              <w:rPr>
                <w:i/>
              </w:rPr>
              <w:t xml:space="preserve">DM-RS configuration type </w:t>
            </w:r>
            <w:r w:rsidRPr="009150CA">
              <w:t xml:space="preserve">= 1 with </w:t>
            </w:r>
            <w:r w:rsidRPr="009150CA">
              <w:rPr>
                <w:i/>
              </w:rPr>
              <w:t>DM-RS duration = single-symbol DM-RS</w:t>
            </w:r>
            <w:r w:rsidRPr="009150CA">
              <w:rPr>
                <w:lang w:eastAsia="zh-CN"/>
              </w:rPr>
              <w:t xml:space="preserve"> and the number of DM-RS CDM groups without data is 2</w:t>
            </w:r>
            <w:r w:rsidRPr="009150CA">
              <w:t xml:space="preserve">, </w:t>
            </w:r>
            <w:r w:rsidRPr="009150CA">
              <w:rPr>
                <w:i/>
              </w:rPr>
              <w:t>Additional DM-RS position = pos0</w:t>
            </w:r>
            <w:r w:rsidRPr="009150CA">
              <w:t xml:space="preserve"> with </w:t>
            </w:r>
            <w:r w:rsidRPr="009150CA">
              <w:rPr>
                <w:i/>
                <w:lang w:eastAsia="zh-CN"/>
              </w:rPr>
              <w:t>l</w:t>
            </w:r>
            <w:r w:rsidRPr="009150CA">
              <w:rPr>
                <w:i/>
                <w:vertAlign w:val="subscript"/>
                <w:lang w:eastAsia="zh-CN"/>
              </w:rPr>
              <w:t>0</w:t>
            </w:r>
            <w:r w:rsidRPr="009150CA">
              <w:t xml:space="preserve">= </w:t>
            </w:r>
            <w:r w:rsidRPr="009150CA">
              <w:rPr>
                <w:lang w:eastAsia="zh-CN"/>
              </w:rPr>
              <w:t>0</w:t>
            </w:r>
            <w:r w:rsidRPr="009150CA">
              <w:t xml:space="preserve"> as per Table 6.4.1.1.3-3 of TS 38.211 [8].</w:t>
            </w:r>
          </w:p>
          <w:p w14:paraId="58188379" w14:textId="77777777" w:rsidR="00241417" w:rsidRPr="009150CA" w:rsidRDefault="00241417" w:rsidP="003A71DE">
            <w:pPr>
              <w:pStyle w:val="TAN"/>
              <w:rPr>
                <w:lang w:eastAsia="zh-CN"/>
              </w:rPr>
            </w:pPr>
            <w:r w:rsidRPr="009150CA">
              <w:t xml:space="preserve">NOTE </w:t>
            </w:r>
            <w:r w:rsidRPr="009150CA">
              <w:rPr>
                <w:lang w:eastAsia="zh-CN"/>
              </w:rPr>
              <w:t>2</w:t>
            </w:r>
            <w:r w:rsidRPr="009150CA">
              <w:t>:</w:t>
            </w:r>
            <w:r w:rsidRPr="009150CA">
              <w:tab/>
              <w:t>Code block size including CRC (bits)</w:t>
            </w:r>
            <w:r w:rsidRPr="009150CA">
              <w:rPr>
                <w:lang w:eastAsia="zh-CN"/>
              </w:rPr>
              <w:t xml:space="preserve"> equals to </w:t>
            </w:r>
            <w:r w:rsidRPr="009150CA">
              <w:rPr>
                <w:i/>
                <w:lang w:eastAsia="zh-CN"/>
              </w:rPr>
              <w:t>K'</w:t>
            </w:r>
            <w:r w:rsidRPr="009150CA">
              <w:rPr>
                <w:rFonts w:hint="eastAsia"/>
                <w:lang w:eastAsia="zh-CN"/>
              </w:rPr>
              <w:t xml:space="preserve"> in sub-clause </w:t>
            </w:r>
            <w:r w:rsidRPr="009150CA">
              <w:rPr>
                <w:lang w:eastAsia="zh-CN"/>
              </w:rPr>
              <w:t>5.2.2 of TS 38.212 [9].</w:t>
            </w:r>
          </w:p>
        </w:tc>
      </w:tr>
    </w:tbl>
    <w:p w14:paraId="1022E818" w14:textId="77777777" w:rsidR="00241417" w:rsidRPr="009150CA" w:rsidRDefault="00241417" w:rsidP="00241417">
      <w:pPr>
        <w:rPr>
          <w:noProof/>
          <w:lang w:eastAsia="zh-CN"/>
        </w:rPr>
      </w:pPr>
    </w:p>
    <w:p w14:paraId="262E9E3D" w14:textId="77777777" w:rsidR="00241417" w:rsidRPr="009150CA" w:rsidRDefault="00241417" w:rsidP="00241417">
      <w:pPr>
        <w:pStyle w:val="TH"/>
        <w:rPr>
          <w:lang w:eastAsia="zh-CN"/>
        </w:rPr>
      </w:pPr>
      <w:r w:rsidRPr="009150CA">
        <w:rPr>
          <w:rFonts w:eastAsia="Malgun Gothic"/>
        </w:rPr>
        <w:t>Table A.</w:t>
      </w:r>
      <w:r w:rsidRPr="009150CA">
        <w:rPr>
          <w:lang w:eastAsia="zh-CN"/>
        </w:rPr>
        <w:t>2.1</w:t>
      </w:r>
      <w:r w:rsidRPr="009150CA">
        <w:rPr>
          <w:rFonts w:eastAsia="Malgun Gothic"/>
        </w:rPr>
        <w:t>-</w:t>
      </w:r>
      <w:r w:rsidRPr="009150CA">
        <w:rPr>
          <w:lang w:eastAsia="zh-CN"/>
        </w:rPr>
        <w:t>7</w:t>
      </w:r>
      <w:r w:rsidRPr="009150CA">
        <w:rPr>
          <w:rFonts w:eastAsia="Malgun Gothic"/>
        </w:rPr>
        <w:t>: FRC parameters for</w:t>
      </w:r>
      <w:r w:rsidRPr="009150CA">
        <w:rPr>
          <w:lang w:eastAsia="zh-CN"/>
        </w:rPr>
        <w:t xml:space="preserve"> FR2 PUSCH </w:t>
      </w:r>
      <w:r w:rsidRPr="009150CA">
        <w:rPr>
          <w:rFonts w:eastAsia="Malgun Gothic"/>
        </w:rPr>
        <w:t>performance requirements</w:t>
      </w:r>
      <w:r w:rsidRPr="009150CA">
        <w:rPr>
          <w:lang w:eastAsia="zh-CN"/>
        </w:rPr>
        <w:t xml:space="preserve">, transform precoding disabled, </w:t>
      </w:r>
      <w:r w:rsidRPr="009150CA">
        <w:rPr>
          <w:i/>
          <w:lang w:eastAsia="zh-CN"/>
        </w:rPr>
        <w:t>Additional DM-RS position = pos1</w:t>
      </w:r>
      <w:r w:rsidRPr="009150CA">
        <w:rPr>
          <w:lang w:eastAsia="zh-CN"/>
        </w:rPr>
        <w:t xml:space="preserve"> and 1 transmission layer</w:t>
      </w:r>
      <w:r w:rsidRPr="009150CA">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474AE79C" w14:textId="77777777" w:rsidTr="003A71DE">
        <w:trPr>
          <w:cantSplit/>
          <w:jc w:val="center"/>
        </w:trPr>
        <w:tc>
          <w:tcPr>
            <w:tcW w:w="3950" w:type="dxa"/>
          </w:tcPr>
          <w:p w14:paraId="65794281" w14:textId="77777777" w:rsidR="00241417" w:rsidRPr="004710DC" w:rsidRDefault="00241417" w:rsidP="003A71DE">
            <w:pPr>
              <w:pStyle w:val="TAH"/>
            </w:pPr>
            <w:r w:rsidRPr="004710DC">
              <w:t>Reference channel</w:t>
            </w:r>
          </w:p>
        </w:tc>
        <w:tc>
          <w:tcPr>
            <w:tcW w:w="1076" w:type="dxa"/>
          </w:tcPr>
          <w:p w14:paraId="77F93F7A" w14:textId="77777777" w:rsidR="00241417" w:rsidRPr="004710DC" w:rsidRDefault="00241417" w:rsidP="003A71DE">
            <w:pPr>
              <w:pStyle w:val="TAH"/>
            </w:pPr>
            <w:r>
              <w:rPr>
                <w:lang w:eastAsia="zh-CN"/>
              </w:rPr>
              <w:t>D-FR2-A.2.1</w:t>
            </w:r>
            <w:r w:rsidRPr="004710DC">
              <w:rPr>
                <w:lang w:eastAsia="zh-CN"/>
              </w:rPr>
              <w:t>-13</w:t>
            </w:r>
          </w:p>
        </w:tc>
        <w:tc>
          <w:tcPr>
            <w:tcW w:w="1077" w:type="dxa"/>
          </w:tcPr>
          <w:p w14:paraId="30052BC0" w14:textId="77777777" w:rsidR="00241417" w:rsidRPr="004710DC" w:rsidRDefault="00241417" w:rsidP="003A71DE">
            <w:pPr>
              <w:pStyle w:val="TAH"/>
            </w:pPr>
            <w:r>
              <w:rPr>
                <w:lang w:eastAsia="zh-CN"/>
              </w:rPr>
              <w:t>D-FR2-A.2.1</w:t>
            </w:r>
            <w:r w:rsidRPr="004710DC">
              <w:rPr>
                <w:lang w:eastAsia="zh-CN"/>
              </w:rPr>
              <w:t>-14</w:t>
            </w:r>
          </w:p>
        </w:tc>
        <w:tc>
          <w:tcPr>
            <w:tcW w:w="1076" w:type="dxa"/>
          </w:tcPr>
          <w:p w14:paraId="516C251D" w14:textId="77777777" w:rsidR="00241417" w:rsidRPr="004710DC" w:rsidRDefault="00241417" w:rsidP="003A71DE">
            <w:pPr>
              <w:pStyle w:val="TAH"/>
            </w:pPr>
            <w:r>
              <w:rPr>
                <w:lang w:eastAsia="zh-CN"/>
              </w:rPr>
              <w:t>D-FR2-A.2.1</w:t>
            </w:r>
            <w:r w:rsidRPr="004710DC">
              <w:rPr>
                <w:lang w:eastAsia="zh-CN"/>
              </w:rPr>
              <w:t>-15</w:t>
            </w:r>
          </w:p>
        </w:tc>
        <w:tc>
          <w:tcPr>
            <w:tcW w:w="1077" w:type="dxa"/>
          </w:tcPr>
          <w:p w14:paraId="3CD8A480" w14:textId="77777777" w:rsidR="00241417" w:rsidRPr="004710DC" w:rsidRDefault="00241417" w:rsidP="003A71DE">
            <w:pPr>
              <w:pStyle w:val="TAH"/>
            </w:pPr>
            <w:r>
              <w:rPr>
                <w:lang w:eastAsia="zh-CN"/>
              </w:rPr>
              <w:t>D-FR2-A.2.1</w:t>
            </w:r>
            <w:r w:rsidRPr="004710DC">
              <w:rPr>
                <w:lang w:eastAsia="zh-CN"/>
              </w:rPr>
              <w:t>-16</w:t>
            </w:r>
          </w:p>
        </w:tc>
        <w:tc>
          <w:tcPr>
            <w:tcW w:w="1077" w:type="dxa"/>
          </w:tcPr>
          <w:p w14:paraId="5E2B899B" w14:textId="77777777" w:rsidR="00241417" w:rsidRPr="004710DC" w:rsidRDefault="00241417" w:rsidP="003A71DE">
            <w:pPr>
              <w:pStyle w:val="TAH"/>
            </w:pPr>
            <w:r>
              <w:rPr>
                <w:lang w:eastAsia="zh-CN"/>
              </w:rPr>
              <w:t>D-FR2-A.2.1</w:t>
            </w:r>
            <w:r w:rsidRPr="004710DC">
              <w:rPr>
                <w:lang w:eastAsia="zh-CN"/>
              </w:rPr>
              <w:t>-17</w:t>
            </w:r>
          </w:p>
        </w:tc>
      </w:tr>
      <w:tr w:rsidR="00241417" w:rsidRPr="004710DC" w14:paraId="7D7ACFC6" w14:textId="77777777" w:rsidTr="003A71DE">
        <w:trPr>
          <w:cantSplit/>
          <w:jc w:val="center"/>
        </w:trPr>
        <w:tc>
          <w:tcPr>
            <w:tcW w:w="3950" w:type="dxa"/>
          </w:tcPr>
          <w:p w14:paraId="1FA41F85"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7659EE9B" w14:textId="77777777" w:rsidR="00241417" w:rsidRPr="004710DC" w:rsidRDefault="00241417" w:rsidP="003A71DE">
            <w:pPr>
              <w:pStyle w:val="TAC"/>
              <w:rPr>
                <w:lang w:eastAsia="zh-CN"/>
              </w:rPr>
            </w:pPr>
            <w:r w:rsidRPr="004710DC">
              <w:rPr>
                <w:lang w:eastAsia="zh-CN"/>
              </w:rPr>
              <w:t>60</w:t>
            </w:r>
          </w:p>
        </w:tc>
        <w:tc>
          <w:tcPr>
            <w:tcW w:w="1077" w:type="dxa"/>
          </w:tcPr>
          <w:p w14:paraId="7323A079" w14:textId="77777777" w:rsidR="00241417" w:rsidRPr="004710DC" w:rsidRDefault="00241417" w:rsidP="003A71DE">
            <w:pPr>
              <w:pStyle w:val="TAC"/>
            </w:pPr>
            <w:r w:rsidRPr="004710DC">
              <w:rPr>
                <w:lang w:eastAsia="zh-CN"/>
              </w:rPr>
              <w:t>60</w:t>
            </w:r>
          </w:p>
        </w:tc>
        <w:tc>
          <w:tcPr>
            <w:tcW w:w="1076" w:type="dxa"/>
          </w:tcPr>
          <w:p w14:paraId="38D03F03" w14:textId="77777777" w:rsidR="00241417" w:rsidRPr="004710DC" w:rsidRDefault="00241417" w:rsidP="003A71DE">
            <w:pPr>
              <w:pStyle w:val="TAC"/>
            </w:pPr>
            <w:r w:rsidRPr="004710DC">
              <w:rPr>
                <w:lang w:eastAsia="zh-CN"/>
              </w:rPr>
              <w:t>120</w:t>
            </w:r>
          </w:p>
        </w:tc>
        <w:tc>
          <w:tcPr>
            <w:tcW w:w="1077" w:type="dxa"/>
          </w:tcPr>
          <w:p w14:paraId="280E3613" w14:textId="77777777" w:rsidR="00241417" w:rsidRPr="004710DC" w:rsidRDefault="00241417" w:rsidP="003A71DE">
            <w:pPr>
              <w:pStyle w:val="TAC"/>
            </w:pPr>
            <w:r w:rsidRPr="004710DC">
              <w:rPr>
                <w:lang w:eastAsia="zh-CN"/>
              </w:rPr>
              <w:t>120</w:t>
            </w:r>
          </w:p>
        </w:tc>
        <w:tc>
          <w:tcPr>
            <w:tcW w:w="1077" w:type="dxa"/>
          </w:tcPr>
          <w:p w14:paraId="443D4487" w14:textId="77777777" w:rsidR="00241417" w:rsidRPr="004710DC" w:rsidRDefault="00241417" w:rsidP="003A71DE">
            <w:pPr>
              <w:pStyle w:val="TAC"/>
            </w:pPr>
            <w:r w:rsidRPr="004710DC">
              <w:rPr>
                <w:lang w:eastAsia="zh-CN"/>
              </w:rPr>
              <w:t>120</w:t>
            </w:r>
          </w:p>
        </w:tc>
      </w:tr>
      <w:tr w:rsidR="00241417" w:rsidRPr="004710DC" w14:paraId="4061F7FF" w14:textId="77777777" w:rsidTr="003A71DE">
        <w:trPr>
          <w:cantSplit/>
          <w:jc w:val="center"/>
        </w:trPr>
        <w:tc>
          <w:tcPr>
            <w:tcW w:w="3950" w:type="dxa"/>
          </w:tcPr>
          <w:p w14:paraId="6B81CBE0" w14:textId="77777777" w:rsidR="00241417" w:rsidRPr="004710DC" w:rsidRDefault="00241417" w:rsidP="003A71DE">
            <w:pPr>
              <w:pStyle w:val="TAC"/>
            </w:pPr>
            <w:r w:rsidRPr="004710DC">
              <w:t>Allocated resource blocks</w:t>
            </w:r>
          </w:p>
        </w:tc>
        <w:tc>
          <w:tcPr>
            <w:tcW w:w="1076" w:type="dxa"/>
          </w:tcPr>
          <w:p w14:paraId="6D772E68" w14:textId="77777777" w:rsidR="00241417" w:rsidRPr="004710DC" w:rsidRDefault="00241417" w:rsidP="003A71DE">
            <w:pPr>
              <w:pStyle w:val="TAC"/>
            </w:pPr>
            <w:r w:rsidRPr="004710DC">
              <w:t>66</w:t>
            </w:r>
          </w:p>
        </w:tc>
        <w:tc>
          <w:tcPr>
            <w:tcW w:w="1077" w:type="dxa"/>
          </w:tcPr>
          <w:p w14:paraId="103C4A7D" w14:textId="77777777" w:rsidR="00241417" w:rsidRPr="004710DC" w:rsidRDefault="00241417" w:rsidP="003A71DE">
            <w:pPr>
              <w:pStyle w:val="TAC"/>
            </w:pPr>
            <w:r w:rsidRPr="004710DC">
              <w:t>132</w:t>
            </w:r>
          </w:p>
        </w:tc>
        <w:tc>
          <w:tcPr>
            <w:tcW w:w="1076" w:type="dxa"/>
          </w:tcPr>
          <w:p w14:paraId="740256E1" w14:textId="77777777" w:rsidR="00241417" w:rsidRPr="004710DC" w:rsidRDefault="00241417" w:rsidP="003A71DE">
            <w:pPr>
              <w:pStyle w:val="TAC"/>
            </w:pPr>
            <w:r w:rsidRPr="004710DC">
              <w:t>32</w:t>
            </w:r>
          </w:p>
        </w:tc>
        <w:tc>
          <w:tcPr>
            <w:tcW w:w="1077" w:type="dxa"/>
          </w:tcPr>
          <w:p w14:paraId="18CBDBCB" w14:textId="77777777" w:rsidR="00241417" w:rsidRPr="004710DC" w:rsidRDefault="00241417" w:rsidP="003A71DE">
            <w:pPr>
              <w:pStyle w:val="TAC"/>
            </w:pPr>
            <w:r w:rsidRPr="004710DC">
              <w:t>66</w:t>
            </w:r>
          </w:p>
        </w:tc>
        <w:tc>
          <w:tcPr>
            <w:tcW w:w="1077" w:type="dxa"/>
          </w:tcPr>
          <w:p w14:paraId="5FBBBD81" w14:textId="77777777" w:rsidR="00241417" w:rsidRPr="004710DC" w:rsidRDefault="00241417" w:rsidP="003A71DE">
            <w:pPr>
              <w:pStyle w:val="TAC"/>
            </w:pPr>
            <w:r w:rsidRPr="004710DC">
              <w:t>132</w:t>
            </w:r>
          </w:p>
        </w:tc>
      </w:tr>
      <w:tr w:rsidR="00241417" w:rsidRPr="004710DC" w14:paraId="60EB8D07" w14:textId="77777777" w:rsidTr="003A71DE">
        <w:trPr>
          <w:cantSplit/>
          <w:jc w:val="center"/>
        </w:trPr>
        <w:tc>
          <w:tcPr>
            <w:tcW w:w="3950" w:type="dxa"/>
          </w:tcPr>
          <w:p w14:paraId="0973CE54"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3ABF1414" w14:textId="77777777" w:rsidR="00241417" w:rsidRPr="004710DC" w:rsidRDefault="00241417" w:rsidP="003A71DE">
            <w:pPr>
              <w:pStyle w:val="TAC"/>
              <w:rPr>
                <w:lang w:eastAsia="zh-CN"/>
              </w:rPr>
            </w:pPr>
            <w:r w:rsidRPr="004710DC">
              <w:rPr>
                <w:lang w:eastAsia="zh-CN"/>
              </w:rPr>
              <w:t>8</w:t>
            </w:r>
          </w:p>
        </w:tc>
        <w:tc>
          <w:tcPr>
            <w:tcW w:w="1077" w:type="dxa"/>
          </w:tcPr>
          <w:p w14:paraId="4F721982" w14:textId="77777777" w:rsidR="00241417" w:rsidRPr="004710DC" w:rsidRDefault="00241417" w:rsidP="003A71DE">
            <w:pPr>
              <w:pStyle w:val="TAC"/>
              <w:rPr>
                <w:lang w:eastAsia="zh-CN"/>
              </w:rPr>
            </w:pPr>
            <w:r w:rsidRPr="004710DC">
              <w:rPr>
                <w:lang w:eastAsia="zh-CN"/>
              </w:rPr>
              <w:t>8</w:t>
            </w:r>
          </w:p>
        </w:tc>
        <w:tc>
          <w:tcPr>
            <w:tcW w:w="1076" w:type="dxa"/>
          </w:tcPr>
          <w:p w14:paraId="67496CB0" w14:textId="77777777" w:rsidR="00241417" w:rsidRPr="004710DC" w:rsidRDefault="00241417" w:rsidP="003A71DE">
            <w:pPr>
              <w:pStyle w:val="TAC"/>
              <w:rPr>
                <w:lang w:eastAsia="zh-CN"/>
              </w:rPr>
            </w:pPr>
            <w:r w:rsidRPr="004710DC">
              <w:rPr>
                <w:lang w:eastAsia="zh-CN"/>
              </w:rPr>
              <w:t>8</w:t>
            </w:r>
          </w:p>
        </w:tc>
        <w:tc>
          <w:tcPr>
            <w:tcW w:w="1077" w:type="dxa"/>
          </w:tcPr>
          <w:p w14:paraId="06DB7B53" w14:textId="77777777" w:rsidR="00241417" w:rsidRPr="004710DC" w:rsidRDefault="00241417" w:rsidP="003A71DE">
            <w:pPr>
              <w:pStyle w:val="TAC"/>
              <w:rPr>
                <w:lang w:eastAsia="zh-CN"/>
              </w:rPr>
            </w:pPr>
            <w:r w:rsidRPr="004710DC">
              <w:rPr>
                <w:lang w:eastAsia="zh-CN"/>
              </w:rPr>
              <w:t>8</w:t>
            </w:r>
          </w:p>
        </w:tc>
        <w:tc>
          <w:tcPr>
            <w:tcW w:w="1077" w:type="dxa"/>
          </w:tcPr>
          <w:p w14:paraId="2D16DB65" w14:textId="77777777" w:rsidR="00241417" w:rsidRPr="004710DC" w:rsidRDefault="00241417" w:rsidP="003A71DE">
            <w:pPr>
              <w:pStyle w:val="TAC"/>
              <w:rPr>
                <w:lang w:eastAsia="zh-CN"/>
              </w:rPr>
            </w:pPr>
            <w:r w:rsidRPr="004710DC">
              <w:rPr>
                <w:lang w:eastAsia="zh-CN"/>
              </w:rPr>
              <w:t>8</w:t>
            </w:r>
          </w:p>
        </w:tc>
      </w:tr>
      <w:tr w:rsidR="00241417" w:rsidRPr="004710DC" w14:paraId="6690D9C3" w14:textId="77777777" w:rsidTr="003A71DE">
        <w:trPr>
          <w:cantSplit/>
          <w:jc w:val="center"/>
        </w:trPr>
        <w:tc>
          <w:tcPr>
            <w:tcW w:w="3950" w:type="dxa"/>
          </w:tcPr>
          <w:p w14:paraId="478E2F7E" w14:textId="77777777" w:rsidR="00241417" w:rsidRPr="004710DC" w:rsidRDefault="00241417" w:rsidP="003A71DE">
            <w:pPr>
              <w:pStyle w:val="TAC"/>
            </w:pPr>
            <w:r w:rsidRPr="004710DC">
              <w:t>Modulation</w:t>
            </w:r>
          </w:p>
        </w:tc>
        <w:tc>
          <w:tcPr>
            <w:tcW w:w="1076" w:type="dxa"/>
          </w:tcPr>
          <w:p w14:paraId="34C0C878" w14:textId="77777777" w:rsidR="00241417" w:rsidRPr="004710DC" w:rsidRDefault="00241417" w:rsidP="003A71DE">
            <w:pPr>
              <w:pStyle w:val="TAC"/>
              <w:rPr>
                <w:lang w:eastAsia="zh-CN"/>
              </w:rPr>
            </w:pPr>
            <w:r w:rsidRPr="004710DC">
              <w:rPr>
                <w:lang w:eastAsia="zh-CN"/>
              </w:rPr>
              <w:t>QPSK</w:t>
            </w:r>
          </w:p>
        </w:tc>
        <w:tc>
          <w:tcPr>
            <w:tcW w:w="1077" w:type="dxa"/>
          </w:tcPr>
          <w:p w14:paraId="62D7794F" w14:textId="77777777" w:rsidR="00241417" w:rsidRPr="004710DC" w:rsidRDefault="00241417" w:rsidP="003A71DE">
            <w:pPr>
              <w:pStyle w:val="TAC"/>
              <w:rPr>
                <w:lang w:eastAsia="zh-CN"/>
              </w:rPr>
            </w:pPr>
            <w:r w:rsidRPr="004710DC">
              <w:rPr>
                <w:lang w:eastAsia="zh-CN"/>
              </w:rPr>
              <w:t>QPSK</w:t>
            </w:r>
          </w:p>
        </w:tc>
        <w:tc>
          <w:tcPr>
            <w:tcW w:w="1076" w:type="dxa"/>
          </w:tcPr>
          <w:p w14:paraId="7F55C41B" w14:textId="77777777" w:rsidR="00241417" w:rsidRPr="004710DC" w:rsidRDefault="00241417" w:rsidP="003A71DE">
            <w:pPr>
              <w:pStyle w:val="TAC"/>
              <w:rPr>
                <w:lang w:eastAsia="zh-CN"/>
              </w:rPr>
            </w:pPr>
            <w:r w:rsidRPr="004710DC">
              <w:rPr>
                <w:lang w:eastAsia="zh-CN"/>
              </w:rPr>
              <w:t>QPSK</w:t>
            </w:r>
          </w:p>
        </w:tc>
        <w:tc>
          <w:tcPr>
            <w:tcW w:w="1077" w:type="dxa"/>
          </w:tcPr>
          <w:p w14:paraId="18513C0B" w14:textId="77777777" w:rsidR="00241417" w:rsidRPr="004710DC" w:rsidRDefault="00241417" w:rsidP="003A71DE">
            <w:pPr>
              <w:pStyle w:val="TAC"/>
              <w:rPr>
                <w:lang w:eastAsia="zh-CN"/>
              </w:rPr>
            </w:pPr>
            <w:r w:rsidRPr="004710DC">
              <w:rPr>
                <w:lang w:eastAsia="zh-CN"/>
              </w:rPr>
              <w:t>QPSK</w:t>
            </w:r>
          </w:p>
        </w:tc>
        <w:tc>
          <w:tcPr>
            <w:tcW w:w="1077" w:type="dxa"/>
          </w:tcPr>
          <w:p w14:paraId="7F792BC3" w14:textId="77777777" w:rsidR="00241417" w:rsidRPr="004710DC" w:rsidRDefault="00241417" w:rsidP="003A71DE">
            <w:pPr>
              <w:pStyle w:val="TAC"/>
              <w:rPr>
                <w:lang w:eastAsia="zh-CN"/>
              </w:rPr>
            </w:pPr>
            <w:r w:rsidRPr="004710DC">
              <w:rPr>
                <w:lang w:eastAsia="zh-CN"/>
              </w:rPr>
              <w:t>QPSK</w:t>
            </w:r>
          </w:p>
        </w:tc>
      </w:tr>
      <w:tr w:rsidR="00241417" w:rsidRPr="004710DC" w14:paraId="738F54D8" w14:textId="77777777" w:rsidTr="003A71DE">
        <w:trPr>
          <w:cantSplit/>
          <w:jc w:val="center"/>
        </w:trPr>
        <w:tc>
          <w:tcPr>
            <w:tcW w:w="3950" w:type="dxa"/>
          </w:tcPr>
          <w:p w14:paraId="5DFF0CD7" w14:textId="77777777" w:rsidR="00241417" w:rsidRPr="004710DC" w:rsidRDefault="00241417" w:rsidP="003A71DE">
            <w:pPr>
              <w:pStyle w:val="TAC"/>
            </w:pPr>
            <w:r>
              <w:t>Code Rate</w:t>
            </w:r>
          </w:p>
        </w:tc>
        <w:tc>
          <w:tcPr>
            <w:tcW w:w="1076" w:type="dxa"/>
          </w:tcPr>
          <w:p w14:paraId="1C9C8FBD" w14:textId="77777777" w:rsidR="00241417" w:rsidRPr="004710DC" w:rsidRDefault="00241417" w:rsidP="003A71DE">
            <w:pPr>
              <w:pStyle w:val="TAC"/>
              <w:rPr>
                <w:lang w:eastAsia="zh-CN"/>
              </w:rPr>
            </w:pPr>
            <w:r w:rsidRPr="004710DC">
              <w:rPr>
                <w:lang w:eastAsia="zh-CN"/>
              </w:rPr>
              <w:t>193/1024</w:t>
            </w:r>
          </w:p>
        </w:tc>
        <w:tc>
          <w:tcPr>
            <w:tcW w:w="1077" w:type="dxa"/>
          </w:tcPr>
          <w:p w14:paraId="3D431443" w14:textId="77777777" w:rsidR="00241417" w:rsidRPr="004710DC" w:rsidRDefault="00241417" w:rsidP="003A71DE">
            <w:pPr>
              <w:pStyle w:val="TAC"/>
              <w:rPr>
                <w:lang w:eastAsia="zh-CN"/>
              </w:rPr>
            </w:pPr>
            <w:r w:rsidRPr="004710DC">
              <w:rPr>
                <w:lang w:eastAsia="zh-CN"/>
              </w:rPr>
              <w:t>193/1024</w:t>
            </w:r>
          </w:p>
        </w:tc>
        <w:tc>
          <w:tcPr>
            <w:tcW w:w="1076" w:type="dxa"/>
          </w:tcPr>
          <w:p w14:paraId="516D1692" w14:textId="77777777" w:rsidR="00241417" w:rsidRPr="004710DC" w:rsidRDefault="00241417" w:rsidP="003A71DE">
            <w:pPr>
              <w:pStyle w:val="TAC"/>
              <w:rPr>
                <w:lang w:eastAsia="zh-CN"/>
              </w:rPr>
            </w:pPr>
            <w:r w:rsidRPr="004710DC">
              <w:rPr>
                <w:lang w:eastAsia="zh-CN"/>
              </w:rPr>
              <w:t>193/1024</w:t>
            </w:r>
          </w:p>
        </w:tc>
        <w:tc>
          <w:tcPr>
            <w:tcW w:w="1077" w:type="dxa"/>
          </w:tcPr>
          <w:p w14:paraId="6107BCC6" w14:textId="77777777" w:rsidR="00241417" w:rsidRPr="004710DC" w:rsidRDefault="00241417" w:rsidP="003A71DE">
            <w:pPr>
              <w:pStyle w:val="TAC"/>
              <w:rPr>
                <w:lang w:eastAsia="zh-CN"/>
              </w:rPr>
            </w:pPr>
            <w:r w:rsidRPr="004710DC">
              <w:rPr>
                <w:lang w:eastAsia="zh-CN"/>
              </w:rPr>
              <w:t>193/1024</w:t>
            </w:r>
          </w:p>
        </w:tc>
        <w:tc>
          <w:tcPr>
            <w:tcW w:w="1077" w:type="dxa"/>
          </w:tcPr>
          <w:p w14:paraId="00E1DAB0" w14:textId="77777777" w:rsidR="00241417" w:rsidRPr="004710DC" w:rsidRDefault="00241417" w:rsidP="003A71DE">
            <w:pPr>
              <w:pStyle w:val="TAC"/>
              <w:rPr>
                <w:lang w:eastAsia="zh-CN"/>
              </w:rPr>
            </w:pPr>
            <w:r w:rsidRPr="004710DC">
              <w:rPr>
                <w:lang w:eastAsia="zh-CN"/>
              </w:rPr>
              <w:t>193/1024</w:t>
            </w:r>
          </w:p>
        </w:tc>
      </w:tr>
      <w:tr w:rsidR="00241417" w:rsidRPr="004710DC" w14:paraId="2E3DFADB" w14:textId="77777777" w:rsidTr="003A71DE">
        <w:trPr>
          <w:cantSplit/>
          <w:jc w:val="center"/>
        </w:trPr>
        <w:tc>
          <w:tcPr>
            <w:tcW w:w="3950" w:type="dxa"/>
          </w:tcPr>
          <w:p w14:paraId="5CB6EA8A" w14:textId="77777777" w:rsidR="00241417" w:rsidRPr="004710DC" w:rsidRDefault="00241417" w:rsidP="003A71DE">
            <w:pPr>
              <w:pStyle w:val="TAC"/>
            </w:pPr>
            <w:r w:rsidRPr="004710DC">
              <w:t>Payload size (bits)</w:t>
            </w:r>
          </w:p>
        </w:tc>
        <w:tc>
          <w:tcPr>
            <w:tcW w:w="1076" w:type="dxa"/>
            <w:vAlign w:val="center"/>
          </w:tcPr>
          <w:p w14:paraId="7050901D" w14:textId="77777777" w:rsidR="00241417" w:rsidRPr="004710DC" w:rsidRDefault="00241417" w:rsidP="003A71DE">
            <w:pPr>
              <w:pStyle w:val="TAC"/>
            </w:pPr>
            <w:r w:rsidRPr="004710DC">
              <w:t>2408</w:t>
            </w:r>
          </w:p>
        </w:tc>
        <w:tc>
          <w:tcPr>
            <w:tcW w:w="1077" w:type="dxa"/>
            <w:vAlign w:val="center"/>
          </w:tcPr>
          <w:p w14:paraId="5DB59C86" w14:textId="77777777" w:rsidR="00241417" w:rsidRPr="004710DC" w:rsidRDefault="00241417" w:rsidP="003A71DE">
            <w:pPr>
              <w:pStyle w:val="TAC"/>
            </w:pPr>
            <w:r w:rsidRPr="004710DC">
              <w:t>4744</w:t>
            </w:r>
          </w:p>
        </w:tc>
        <w:tc>
          <w:tcPr>
            <w:tcW w:w="1076" w:type="dxa"/>
            <w:vAlign w:val="center"/>
          </w:tcPr>
          <w:p w14:paraId="1B42A16A" w14:textId="77777777" w:rsidR="00241417" w:rsidRPr="004710DC" w:rsidRDefault="00241417" w:rsidP="003A71DE">
            <w:pPr>
              <w:pStyle w:val="TAC"/>
            </w:pPr>
            <w:r w:rsidRPr="004710DC">
              <w:t>1160</w:t>
            </w:r>
          </w:p>
        </w:tc>
        <w:tc>
          <w:tcPr>
            <w:tcW w:w="1077" w:type="dxa"/>
            <w:vAlign w:val="center"/>
          </w:tcPr>
          <w:p w14:paraId="66372617" w14:textId="77777777" w:rsidR="00241417" w:rsidRPr="004710DC" w:rsidRDefault="00241417" w:rsidP="003A71DE">
            <w:pPr>
              <w:pStyle w:val="TAC"/>
            </w:pPr>
            <w:r w:rsidRPr="004710DC">
              <w:t>2408</w:t>
            </w:r>
          </w:p>
        </w:tc>
        <w:tc>
          <w:tcPr>
            <w:tcW w:w="1077" w:type="dxa"/>
            <w:vAlign w:val="center"/>
          </w:tcPr>
          <w:p w14:paraId="6CBD1E3D" w14:textId="77777777" w:rsidR="00241417" w:rsidRPr="004710DC" w:rsidRDefault="00241417" w:rsidP="003A71DE">
            <w:pPr>
              <w:pStyle w:val="TAC"/>
            </w:pPr>
            <w:r w:rsidRPr="004710DC">
              <w:t>4744</w:t>
            </w:r>
          </w:p>
        </w:tc>
      </w:tr>
      <w:tr w:rsidR="00241417" w:rsidRPr="004710DC" w14:paraId="2C0CE6F4" w14:textId="77777777" w:rsidTr="003A71DE">
        <w:trPr>
          <w:cantSplit/>
          <w:jc w:val="center"/>
        </w:trPr>
        <w:tc>
          <w:tcPr>
            <w:tcW w:w="3950" w:type="dxa"/>
          </w:tcPr>
          <w:p w14:paraId="1ACD5E3B" w14:textId="77777777" w:rsidR="00241417" w:rsidRPr="004710DC" w:rsidRDefault="00241417" w:rsidP="003A71DE">
            <w:pPr>
              <w:pStyle w:val="TAC"/>
            </w:pPr>
            <w:r w:rsidRPr="004710DC">
              <w:t>Transport block CRC (bits)</w:t>
            </w:r>
          </w:p>
        </w:tc>
        <w:tc>
          <w:tcPr>
            <w:tcW w:w="1076" w:type="dxa"/>
          </w:tcPr>
          <w:p w14:paraId="53A4B986" w14:textId="77777777" w:rsidR="00241417" w:rsidRPr="004710DC" w:rsidRDefault="00241417" w:rsidP="003A71DE">
            <w:pPr>
              <w:pStyle w:val="TAC"/>
            </w:pPr>
            <w:r w:rsidRPr="004710DC">
              <w:t>16</w:t>
            </w:r>
          </w:p>
        </w:tc>
        <w:tc>
          <w:tcPr>
            <w:tcW w:w="1077" w:type="dxa"/>
          </w:tcPr>
          <w:p w14:paraId="716E3D71" w14:textId="77777777" w:rsidR="00241417" w:rsidRPr="004710DC" w:rsidRDefault="00241417" w:rsidP="003A71DE">
            <w:pPr>
              <w:pStyle w:val="TAC"/>
            </w:pPr>
            <w:r w:rsidRPr="004710DC">
              <w:t>24</w:t>
            </w:r>
          </w:p>
        </w:tc>
        <w:tc>
          <w:tcPr>
            <w:tcW w:w="1076" w:type="dxa"/>
          </w:tcPr>
          <w:p w14:paraId="2D380A3E" w14:textId="77777777" w:rsidR="00241417" w:rsidRPr="004710DC" w:rsidRDefault="00241417" w:rsidP="003A71DE">
            <w:pPr>
              <w:pStyle w:val="TAC"/>
            </w:pPr>
            <w:r w:rsidRPr="004710DC">
              <w:t>16</w:t>
            </w:r>
          </w:p>
        </w:tc>
        <w:tc>
          <w:tcPr>
            <w:tcW w:w="1077" w:type="dxa"/>
          </w:tcPr>
          <w:p w14:paraId="59EDBF78" w14:textId="77777777" w:rsidR="00241417" w:rsidRPr="004710DC" w:rsidRDefault="00241417" w:rsidP="003A71DE">
            <w:pPr>
              <w:pStyle w:val="TAC"/>
            </w:pPr>
            <w:r w:rsidRPr="004710DC">
              <w:t>16</w:t>
            </w:r>
          </w:p>
        </w:tc>
        <w:tc>
          <w:tcPr>
            <w:tcW w:w="1077" w:type="dxa"/>
          </w:tcPr>
          <w:p w14:paraId="10D73B5C" w14:textId="77777777" w:rsidR="00241417" w:rsidRPr="004710DC" w:rsidRDefault="00241417" w:rsidP="003A71DE">
            <w:pPr>
              <w:pStyle w:val="TAC"/>
            </w:pPr>
            <w:r w:rsidRPr="004710DC">
              <w:t>24</w:t>
            </w:r>
          </w:p>
        </w:tc>
      </w:tr>
      <w:tr w:rsidR="00241417" w:rsidRPr="004710DC" w14:paraId="62C0EC59" w14:textId="77777777" w:rsidTr="003A71DE">
        <w:trPr>
          <w:cantSplit/>
          <w:jc w:val="center"/>
        </w:trPr>
        <w:tc>
          <w:tcPr>
            <w:tcW w:w="3950" w:type="dxa"/>
          </w:tcPr>
          <w:p w14:paraId="0604F0C4" w14:textId="77777777" w:rsidR="00241417" w:rsidRPr="009150CA" w:rsidRDefault="00241417" w:rsidP="003A71DE">
            <w:pPr>
              <w:pStyle w:val="TAC"/>
            </w:pPr>
            <w:r w:rsidRPr="009150CA">
              <w:t>Code block CRC size (bits)</w:t>
            </w:r>
          </w:p>
        </w:tc>
        <w:tc>
          <w:tcPr>
            <w:tcW w:w="1076" w:type="dxa"/>
            <w:vAlign w:val="center"/>
          </w:tcPr>
          <w:p w14:paraId="069545AE" w14:textId="77777777" w:rsidR="00241417" w:rsidRPr="004710DC" w:rsidRDefault="00241417" w:rsidP="003A71DE">
            <w:pPr>
              <w:pStyle w:val="TAC"/>
            </w:pPr>
            <w:r w:rsidRPr="004710DC">
              <w:t>-</w:t>
            </w:r>
          </w:p>
        </w:tc>
        <w:tc>
          <w:tcPr>
            <w:tcW w:w="1077" w:type="dxa"/>
            <w:vAlign w:val="center"/>
          </w:tcPr>
          <w:p w14:paraId="279ED9B6" w14:textId="77777777" w:rsidR="00241417" w:rsidRPr="004710DC" w:rsidRDefault="00241417" w:rsidP="003A71DE">
            <w:pPr>
              <w:pStyle w:val="TAC"/>
            </w:pPr>
            <w:r w:rsidRPr="004710DC">
              <w:t>24</w:t>
            </w:r>
          </w:p>
        </w:tc>
        <w:tc>
          <w:tcPr>
            <w:tcW w:w="1076" w:type="dxa"/>
          </w:tcPr>
          <w:p w14:paraId="1412E91F" w14:textId="77777777" w:rsidR="00241417" w:rsidRPr="004710DC" w:rsidRDefault="00241417" w:rsidP="003A71DE">
            <w:pPr>
              <w:pStyle w:val="TAC"/>
            </w:pPr>
            <w:r w:rsidRPr="004710DC">
              <w:t>-</w:t>
            </w:r>
          </w:p>
        </w:tc>
        <w:tc>
          <w:tcPr>
            <w:tcW w:w="1077" w:type="dxa"/>
            <w:vAlign w:val="center"/>
          </w:tcPr>
          <w:p w14:paraId="3486011C" w14:textId="77777777" w:rsidR="00241417" w:rsidRPr="004710DC" w:rsidRDefault="00241417" w:rsidP="003A71DE">
            <w:pPr>
              <w:pStyle w:val="TAC"/>
            </w:pPr>
            <w:r w:rsidRPr="004710DC">
              <w:t>-</w:t>
            </w:r>
          </w:p>
        </w:tc>
        <w:tc>
          <w:tcPr>
            <w:tcW w:w="1077" w:type="dxa"/>
            <w:vAlign w:val="center"/>
          </w:tcPr>
          <w:p w14:paraId="13E56784" w14:textId="77777777" w:rsidR="00241417" w:rsidRPr="004710DC" w:rsidRDefault="00241417" w:rsidP="003A71DE">
            <w:pPr>
              <w:pStyle w:val="TAC"/>
            </w:pPr>
            <w:r w:rsidRPr="004710DC">
              <w:t>24</w:t>
            </w:r>
          </w:p>
        </w:tc>
      </w:tr>
      <w:tr w:rsidR="00241417" w:rsidRPr="004710DC" w14:paraId="79B5635A" w14:textId="77777777" w:rsidTr="003A71DE">
        <w:trPr>
          <w:cantSplit/>
          <w:jc w:val="center"/>
        </w:trPr>
        <w:tc>
          <w:tcPr>
            <w:tcW w:w="3950" w:type="dxa"/>
          </w:tcPr>
          <w:p w14:paraId="1E37F16B" w14:textId="77777777" w:rsidR="00241417" w:rsidRPr="009150CA" w:rsidRDefault="00241417" w:rsidP="003A71DE">
            <w:pPr>
              <w:pStyle w:val="TAC"/>
            </w:pPr>
            <w:r w:rsidRPr="009150CA">
              <w:t>Number of code blocks - C</w:t>
            </w:r>
          </w:p>
        </w:tc>
        <w:tc>
          <w:tcPr>
            <w:tcW w:w="1076" w:type="dxa"/>
            <w:vAlign w:val="center"/>
          </w:tcPr>
          <w:p w14:paraId="63355C9A" w14:textId="77777777" w:rsidR="00241417" w:rsidRPr="004710DC" w:rsidRDefault="00241417" w:rsidP="003A71DE">
            <w:pPr>
              <w:pStyle w:val="TAC"/>
            </w:pPr>
            <w:r w:rsidRPr="004710DC">
              <w:t>1</w:t>
            </w:r>
          </w:p>
        </w:tc>
        <w:tc>
          <w:tcPr>
            <w:tcW w:w="1077" w:type="dxa"/>
            <w:vAlign w:val="center"/>
          </w:tcPr>
          <w:p w14:paraId="112E6BC5" w14:textId="77777777" w:rsidR="00241417" w:rsidRPr="004710DC" w:rsidRDefault="00241417" w:rsidP="003A71DE">
            <w:pPr>
              <w:pStyle w:val="TAC"/>
            </w:pPr>
            <w:r w:rsidRPr="004710DC">
              <w:t>2</w:t>
            </w:r>
          </w:p>
        </w:tc>
        <w:tc>
          <w:tcPr>
            <w:tcW w:w="1076" w:type="dxa"/>
          </w:tcPr>
          <w:p w14:paraId="3CE926A7" w14:textId="77777777" w:rsidR="00241417" w:rsidRPr="004710DC" w:rsidRDefault="00241417" w:rsidP="003A71DE">
            <w:pPr>
              <w:pStyle w:val="TAC"/>
            </w:pPr>
            <w:r w:rsidRPr="004710DC">
              <w:t>1</w:t>
            </w:r>
          </w:p>
        </w:tc>
        <w:tc>
          <w:tcPr>
            <w:tcW w:w="1077" w:type="dxa"/>
            <w:vAlign w:val="center"/>
          </w:tcPr>
          <w:p w14:paraId="577CB673" w14:textId="77777777" w:rsidR="00241417" w:rsidRPr="004710DC" w:rsidRDefault="00241417" w:rsidP="003A71DE">
            <w:pPr>
              <w:pStyle w:val="TAC"/>
            </w:pPr>
            <w:r w:rsidRPr="004710DC">
              <w:t>1</w:t>
            </w:r>
          </w:p>
        </w:tc>
        <w:tc>
          <w:tcPr>
            <w:tcW w:w="1077" w:type="dxa"/>
            <w:vAlign w:val="center"/>
          </w:tcPr>
          <w:p w14:paraId="66703530" w14:textId="77777777" w:rsidR="00241417" w:rsidRPr="004710DC" w:rsidRDefault="00241417" w:rsidP="003A71DE">
            <w:pPr>
              <w:pStyle w:val="TAC"/>
            </w:pPr>
            <w:r w:rsidRPr="004710DC">
              <w:t>2</w:t>
            </w:r>
          </w:p>
        </w:tc>
      </w:tr>
      <w:tr w:rsidR="00241417" w:rsidRPr="004710DC" w14:paraId="2A81EA5C" w14:textId="77777777" w:rsidTr="003A71DE">
        <w:trPr>
          <w:cantSplit/>
          <w:jc w:val="center"/>
        </w:trPr>
        <w:tc>
          <w:tcPr>
            <w:tcW w:w="3950" w:type="dxa"/>
          </w:tcPr>
          <w:p w14:paraId="3EB169A2" w14:textId="77777777" w:rsidR="00241417" w:rsidRPr="009150CA" w:rsidRDefault="00241417" w:rsidP="003A71DE">
            <w:pPr>
              <w:pStyle w:val="TAC"/>
              <w:rPr>
                <w:lang w:eastAsia="zh-CN"/>
              </w:rPr>
            </w:pPr>
            <w:r w:rsidRPr="009150CA">
              <w:t>Code block size</w:t>
            </w:r>
            <w:r w:rsidRPr="009150CA">
              <w:rPr>
                <w:lang w:eastAsia="zh-CN"/>
              </w:rPr>
              <w:t xml:space="preserve"> </w:t>
            </w:r>
            <w:r w:rsidRPr="009150CA">
              <w:rPr>
                <w:rFonts w:eastAsia="Malgun Gothic" w:cs="Arial"/>
              </w:rPr>
              <w:t>including CRC</w:t>
            </w:r>
            <w:r w:rsidRPr="009150CA">
              <w:t xml:space="preserve"> (bits)</w:t>
            </w:r>
            <w:r w:rsidRPr="009150CA">
              <w:rPr>
                <w:lang w:eastAsia="zh-CN"/>
              </w:rPr>
              <w:t xml:space="preserve"> </w:t>
            </w:r>
            <w:r w:rsidRPr="009150CA">
              <w:rPr>
                <w:rFonts w:cs="Arial"/>
                <w:lang w:eastAsia="zh-CN"/>
              </w:rPr>
              <w:t>(Note 2)</w:t>
            </w:r>
          </w:p>
        </w:tc>
        <w:tc>
          <w:tcPr>
            <w:tcW w:w="1076" w:type="dxa"/>
            <w:vAlign w:val="center"/>
          </w:tcPr>
          <w:p w14:paraId="372E4218" w14:textId="77777777" w:rsidR="00241417" w:rsidRPr="004710DC" w:rsidRDefault="00241417" w:rsidP="003A71DE">
            <w:pPr>
              <w:pStyle w:val="TAC"/>
              <w:rPr>
                <w:lang w:eastAsia="zh-CN"/>
              </w:rPr>
            </w:pPr>
            <w:r w:rsidRPr="004710DC">
              <w:rPr>
                <w:lang w:eastAsia="zh-CN"/>
              </w:rPr>
              <w:t>2424</w:t>
            </w:r>
          </w:p>
        </w:tc>
        <w:tc>
          <w:tcPr>
            <w:tcW w:w="1077" w:type="dxa"/>
            <w:vAlign w:val="center"/>
          </w:tcPr>
          <w:p w14:paraId="04AA6F2F" w14:textId="77777777" w:rsidR="00241417" w:rsidRPr="004710DC" w:rsidRDefault="00241417" w:rsidP="003A71DE">
            <w:pPr>
              <w:pStyle w:val="TAC"/>
              <w:rPr>
                <w:lang w:eastAsia="zh-CN"/>
              </w:rPr>
            </w:pPr>
            <w:r w:rsidRPr="004710DC">
              <w:rPr>
                <w:lang w:eastAsia="zh-CN"/>
              </w:rPr>
              <w:t>2408</w:t>
            </w:r>
          </w:p>
        </w:tc>
        <w:tc>
          <w:tcPr>
            <w:tcW w:w="1076" w:type="dxa"/>
            <w:vAlign w:val="center"/>
          </w:tcPr>
          <w:p w14:paraId="19781719" w14:textId="77777777" w:rsidR="00241417" w:rsidRPr="004710DC" w:rsidRDefault="00241417" w:rsidP="003A71DE">
            <w:pPr>
              <w:pStyle w:val="TAC"/>
              <w:rPr>
                <w:lang w:eastAsia="zh-CN"/>
              </w:rPr>
            </w:pPr>
            <w:r w:rsidRPr="004710DC">
              <w:rPr>
                <w:lang w:eastAsia="zh-CN"/>
              </w:rPr>
              <w:t>1176</w:t>
            </w:r>
          </w:p>
        </w:tc>
        <w:tc>
          <w:tcPr>
            <w:tcW w:w="1077" w:type="dxa"/>
            <w:vAlign w:val="center"/>
          </w:tcPr>
          <w:p w14:paraId="2F1AD653" w14:textId="77777777" w:rsidR="00241417" w:rsidRPr="004710DC" w:rsidRDefault="00241417" w:rsidP="003A71DE">
            <w:pPr>
              <w:pStyle w:val="TAC"/>
              <w:rPr>
                <w:lang w:eastAsia="zh-CN"/>
              </w:rPr>
            </w:pPr>
            <w:r w:rsidRPr="004710DC">
              <w:rPr>
                <w:lang w:eastAsia="zh-CN"/>
              </w:rPr>
              <w:t>2424</w:t>
            </w:r>
          </w:p>
        </w:tc>
        <w:tc>
          <w:tcPr>
            <w:tcW w:w="1077" w:type="dxa"/>
            <w:vAlign w:val="center"/>
          </w:tcPr>
          <w:p w14:paraId="339D097E" w14:textId="77777777" w:rsidR="00241417" w:rsidRPr="004710DC" w:rsidRDefault="00241417" w:rsidP="003A71DE">
            <w:pPr>
              <w:pStyle w:val="TAC"/>
              <w:rPr>
                <w:lang w:eastAsia="zh-CN"/>
              </w:rPr>
            </w:pPr>
            <w:r w:rsidRPr="004710DC">
              <w:rPr>
                <w:lang w:eastAsia="zh-CN"/>
              </w:rPr>
              <w:t>2408</w:t>
            </w:r>
          </w:p>
        </w:tc>
      </w:tr>
      <w:tr w:rsidR="00241417" w:rsidRPr="004710DC" w14:paraId="531B0F1F" w14:textId="77777777" w:rsidTr="003A71DE">
        <w:trPr>
          <w:cantSplit/>
          <w:jc w:val="center"/>
        </w:trPr>
        <w:tc>
          <w:tcPr>
            <w:tcW w:w="3950" w:type="dxa"/>
          </w:tcPr>
          <w:p w14:paraId="55089F1E" w14:textId="77777777" w:rsidR="00241417" w:rsidRPr="009150CA" w:rsidRDefault="00241417" w:rsidP="003A71DE">
            <w:pPr>
              <w:pStyle w:val="TAC"/>
            </w:pPr>
            <w:r w:rsidRPr="009150CA">
              <w:t>Total number of bits per slot</w:t>
            </w:r>
          </w:p>
        </w:tc>
        <w:tc>
          <w:tcPr>
            <w:tcW w:w="1076" w:type="dxa"/>
          </w:tcPr>
          <w:p w14:paraId="46CD179E" w14:textId="77777777" w:rsidR="00241417" w:rsidRPr="004710DC" w:rsidRDefault="00241417" w:rsidP="003A71DE">
            <w:pPr>
              <w:pStyle w:val="TAC"/>
            </w:pPr>
            <w:r w:rsidRPr="004710DC">
              <w:t>12672</w:t>
            </w:r>
          </w:p>
        </w:tc>
        <w:tc>
          <w:tcPr>
            <w:tcW w:w="1077" w:type="dxa"/>
          </w:tcPr>
          <w:p w14:paraId="450FDA72" w14:textId="77777777" w:rsidR="00241417" w:rsidRPr="004710DC" w:rsidRDefault="00241417" w:rsidP="003A71DE">
            <w:pPr>
              <w:pStyle w:val="TAC"/>
            </w:pPr>
            <w:r w:rsidRPr="004710DC">
              <w:t>25344</w:t>
            </w:r>
          </w:p>
        </w:tc>
        <w:tc>
          <w:tcPr>
            <w:tcW w:w="1076" w:type="dxa"/>
          </w:tcPr>
          <w:p w14:paraId="0C3C1D49" w14:textId="77777777" w:rsidR="00241417" w:rsidRPr="004710DC" w:rsidRDefault="00241417" w:rsidP="003A71DE">
            <w:pPr>
              <w:pStyle w:val="TAC"/>
            </w:pPr>
            <w:r w:rsidRPr="004710DC">
              <w:t>6144</w:t>
            </w:r>
          </w:p>
        </w:tc>
        <w:tc>
          <w:tcPr>
            <w:tcW w:w="1077" w:type="dxa"/>
          </w:tcPr>
          <w:p w14:paraId="793C3323" w14:textId="77777777" w:rsidR="00241417" w:rsidRPr="004710DC" w:rsidRDefault="00241417" w:rsidP="003A71DE">
            <w:pPr>
              <w:pStyle w:val="TAC"/>
            </w:pPr>
            <w:r w:rsidRPr="004710DC">
              <w:t>12672</w:t>
            </w:r>
          </w:p>
        </w:tc>
        <w:tc>
          <w:tcPr>
            <w:tcW w:w="1077" w:type="dxa"/>
          </w:tcPr>
          <w:p w14:paraId="1582B9B5" w14:textId="77777777" w:rsidR="00241417" w:rsidRPr="004710DC" w:rsidRDefault="00241417" w:rsidP="003A71DE">
            <w:pPr>
              <w:pStyle w:val="TAC"/>
            </w:pPr>
            <w:r w:rsidRPr="004710DC">
              <w:t>25344</w:t>
            </w:r>
          </w:p>
        </w:tc>
      </w:tr>
      <w:tr w:rsidR="00241417" w:rsidRPr="004710DC" w14:paraId="0CD4342D" w14:textId="77777777" w:rsidTr="003A71DE">
        <w:trPr>
          <w:cantSplit/>
          <w:jc w:val="center"/>
        </w:trPr>
        <w:tc>
          <w:tcPr>
            <w:tcW w:w="3950" w:type="dxa"/>
          </w:tcPr>
          <w:p w14:paraId="50200535"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Pr>
          <w:p w14:paraId="7774A023" w14:textId="77777777" w:rsidR="00241417" w:rsidRPr="004710DC" w:rsidRDefault="00241417" w:rsidP="003A71DE">
            <w:pPr>
              <w:pStyle w:val="TAC"/>
            </w:pPr>
            <w:r w:rsidRPr="004710DC">
              <w:t>6336</w:t>
            </w:r>
          </w:p>
        </w:tc>
        <w:tc>
          <w:tcPr>
            <w:tcW w:w="1077" w:type="dxa"/>
          </w:tcPr>
          <w:p w14:paraId="50304F68" w14:textId="77777777" w:rsidR="00241417" w:rsidRPr="004710DC" w:rsidRDefault="00241417" w:rsidP="003A71DE">
            <w:pPr>
              <w:pStyle w:val="TAC"/>
            </w:pPr>
            <w:r w:rsidRPr="004710DC">
              <w:t>12672</w:t>
            </w:r>
          </w:p>
        </w:tc>
        <w:tc>
          <w:tcPr>
            <w:tcW w:w="1076" w:type="dxa"/>
          </w:tcPr>
          <w:p w14:paraId="686329D0" w14:textId="77777777" w:rsidR="00241417" w:rsidRPr="004710DC" w:rsidRDefault="00241417" w:rsidP="003A71DE">
            <w:pPr>
              <w:pStyle w:val="TAC"/>
            </w:pPr>
            <w:r w:rsidRPr="004710DC">
              <w:t>3072</w:t>
            </w:r>
          </w:p>
        </w:tc>
        <w:tc>
          <w:tcPr>
            <w:tcW w:w="1077" w:type="dxa"/>
          </w:tcPr>
          <w:p w14:paraId="3F47F305" w14:textId="77777777" w:rsidR="00241417" w:rsidRPr="004710DC" w:rsidRDefault="00241417" w:rsidP="003A71DE">
            <w:pPr>
              <w:pStyle w:val="TAC"/>
            </w:pPr>
            <w:r w:rsidRPr="004710DC">
              <w:t>6336</w:t>
            </w:r>
          </w:p>
        </w:tc>
        <w:tc>
          <w:tcPr>
            <w:tcW w:w="1077" w:type="dxa"/>
          </w:tcPr>
          <w:p w14:paraId="4642D438" w14:textId="77777777" w:rsidR="00241417" w:rsidRPr="004710DC" w:rsidRDefault="00241417" w:rsidP="003A71DE">
            <w:pPr>
              <w:pStyle w:val="TAC"/>
            </w:pPr>
            <w:r w:rsidRPr="004710DC">
              <w:t>12672</w:t>
            </w:r>
          </w:p>
        </w:tc>
      </w:tr>
      <w:tr w:rsidR="00241417" w:rsidRPr="009150CA" w14:paraId="4205A89A" w14:textId="77777777" w:rsidTr="003A71DE">
        <w:trPr>
          <w:cantSplit/>
          <w:jc w:val="center"/>
        </w:trPr>
        <w:tc>
          <w:tcPr>
            <w:tcW w:w="9333" w:type="dxa"/>
            <w:gridSpan w:val="6"/>
          </w:tcPr>
          <w:p w14:paraId="43E24EEE" w14:textId="77777777" w:rsidR="00241417" w:rsidRPr="009150CA" w:rsidRDefault="00241417" w:rsidP="003A71DE">
            <w:pPr>
              <w:pStyle w:val="TAN"/>
              <w:rPr>
                <w:lang w:eastAsia="zh-CN"/>
              </w:rPr>
            </w:pPr>
            <w:r w:rsidRPr="009150CA">
              <w:t>NOTE 1:</w:t>
            </w:r>
            <w:r w:rsidRPr="009150CA">
              <w:tab/>
            </w:r>
            <w:r w:rsidRPr="009150CA">
              <w:rPr>
                <w:i/>
              </w:rPr>
              <w:t xml:space="preserve">DM-RS configuration type </w:t>
            </w:r>
            <w:r w:rsidRPr="009150CA">
              <w:t xml:space="preserve">= 1 with </w:t>
            </w:r>
            <w:r w:rsidRPr="009150CA">
              <w:rPr>
                <w:i/>
              </w:rPr>
              <w:t>DM-RS duration = single-symbol DM-RS</w:t>
            </w:r>
            <w:r w:rsidRPr="009150CA">
              <w:rPr>
                <w:lang w:eastAsia="zh-CN"/>
              </w:rPr>
              <w:t xml:space="preserve"> and the number of DM-RS CDM groups without data is 2</w:t>
            </w:r>
            <w:r w:rsidRPr="009150CA">
              <w:t xml:space="preserve">, </w:t>
            </w:r>
            <w:r w:rsidRPr="009150CA">
              <w:rPr>
                <w:i/>
              </w:rPr>
              <w:t>Additional DM-RS position = pos1</w:t>
            </w:r>
            <w:r w:rsidRPr="009150CA">
              <w:t xml:space="preserve"> with </w:t>
            </w:r>
            <w:r w:rsidRPr="009150CA">
              <w:rPr>
                <w:i/>
                <w:lang w:eastAsia="zh-CN"/>
              </w:rPr>
              <w:t>l</w:t>
            </w:r>
            <w:r w:rsidRPr="009150CA">
              <w:rPr>
                <w:i/>
                <w:vertAlign w:val="subscript"/>
                <w:lang w:eastAsia="zh-CN"/>
              </w:rPr>
              <w:t>0</w:t>
            </w:r>
            <w:r w:rsidRPr="009150CA">
              <w:t xml:space="preserve">= </w:t>
            </w:r>
            <w:r w:rsidRPr="009150CA">
              <w:rPr>
                <w:lang w:eastAsia="zh-CN"/>
              </w:rPr>
              <w:t>0</w:t>
            </w:r>
            <w:r w:rsidRPr="009150CA">
              <w:t xml:space="preserve"> </w:t>
            </w:r>
            <w:r w:rsidRPr="009150CA">
              <w:rPr>
                <w:lang w:eastAsia="zh-CN"/>
              </w:rPr>
              <w:t xml:space="preserve">and </w:t>
            </w:r>
            <w:r w:rsidRPr="009150CA">
              <w:rPr>
                <w:i/>
                <w:lang w:eastAsia="zh-CN"/>
              </w:rPr>
              <w:t xml:space="preserve">l </w:t>
            </w:r>
            <w:r w:rsidRPr="009150CA">
              <w:rPr>
                <w:lang w:eastAsia="zh-CN"/>
              </w:rPr>
              <w:t>=8</w:t>
            </w:r>
            <w:r w:rsidRPr="009150CA">
              <w:t xml:space="preserve"> as per Table 6.4.1.1.3-3 of TS 38.211 [8].</w:t>
            </w:r>
          </w:p>
          <w:p w14:paraId="5BFADD39" w14:textId="77777777" w:rsidR="00241417" w:rsidRPr="009150CA" w:rsidRDefault="00241417" w:rsidP="003A71DE">
            <w:pPr>
              <w:pStyle w:val="TAN"/>
              <w:rPr>
                <w:lang w:eastAsia="zh-CN"/>
              </w:rPr>
            </w:pPr>
            <w:r w:rsidRPr="009150CA">
              <w:t xml:space="preserve">NOTE </w:t>
            </w:r>
            <w:r w:rsidRPr="009150CA">
              <w:rPr>
                <w:lang w:eastAsia="zh-CN"/>
              </w:rPr>
              <w:t>2</w:t>
            </w:r>
            <w:r w:rsidRPr="009150CA">
              <w:t>:</w:t>
            </w:r>
            <w:r w:rsidRPr="009150CA">
              <w:tab/>
              <w:t>Code block size including CRC (bits)</w:t>
            </w:r>
            <w:r w:rsidRPr="009150CA">
              <w:rPr>
                <w:lang w:eastAsia="zh-CN"/>
              </w:rPr>
              <w:t xml:space="preserve"> equals to </w:t>
            </w:r>
            <w:r w:rsidRPr="009150CA">
              <w:rPr>
                <w:i/>
                <w:lang w:eastAsia="zh-CN"/>
              </w:rPr>
              <w:t>K'</w:t>
            </w:r>
            <w:r w:rsidRPr="009150CA">
              <w:rPr>
                <w:rFonts w:hint="eastAsia"/>
                <w:lang w:eastAsia="zh-CN"/>
              </w:rPr>
              <w:t xml:space="preserve"> in sub-clause </w:t>
            </w:r>
            <w:r w:rsidRPr="009150CA">
              <w:rPr>
                <w:lang w:eastAsia="zh-CN"/>
              </w:rPr>
              <w:t>5.2.2 of TS 38.212 [9].</w:t>
            </w:r>
          </w:p>
        </w:tc>
      </w:tr>
    </w:tbl>
    <w:p w14:paraId="6E21EE10" w14:textId="77777777" w:rsidR="00241417" w:rsidRPr="009150CA" w:rsidRDefault="00241417" w:rsidP="00241417">
      <w:pPr>
        <w:rPr>
          <w:lang w:eastAsia="zh-CN"/>
        </w:rPr>
      </w:pPr>
    </w:p>
    <w:p w14:paraId="26B6DF04" w14:textId="77777777" w:rsidR="00241417" w:rsidRPr="00AD765F" w:rsidRDefault="00241417" w:rsidP="00241417">
      <w:pPr>
        <w:pStyle w:val="TH"/>
        <w:rPr>
          <w:lang w:eastAsia="zh-CN"/>
        </w:rPr>
      </w:pPr>
      <w:r w:rsidRPr="00AD765F">
        <w:rPr>
          <w:rFonts w:eastAsia="Malgun Gothic"/>
        </w:rPr>
        <w:lastRenderedPageBreak/>
        <w:t>Table A.</w:t>
      </w:r>
      <w:r w:rsidRPr="00AD765F">
        <w:rPr>
          <w:lang w:eastAsia="zh-CN"/>
        </w:rPr>
        <w:t>2.1</w:t>
      </w:r>
      <w:r w:rsidRPr="00AD765F">
        <w:rPr>
          <w:rFonts w:eastAsia="Malgun Gothic"/>
        </w:rPr>
        <w:t>-</w:t>
      </w:r>
      <w:r w:rsidRPr="00AD765F">
        <w:rPr>
          <w:lang w:eastAsia="zh-CN"/>
        </w:rPr>
        <w:t>8</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2 transmission layers</w:t>
      </w:r>
      <w:r w:rsidRPr="00AD765F">
        <w:rPr>
          <w:rFonts w:eastAsia="Malgun Gothic"/>
        </w:rPr>
        <w:t xml:space="preserve">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505D3AD0" w14:textId="77777777" w:rsidTr="003A71DE">
        <w:trPr>
          <w:cantSplit/>
          <w:jc w:val="center"/>
        </w:trPr>
        <w:tc>
          <w:tcPr>
            <w:tcW w:w="3950" w:type="dxa"/>
          </w:tcPr>
          <w:p w14:paraId="50965207" w14:textId="77777777" w:rsidR="00241417" w:rsidRPr="004710DC" w:rsidRDefault="00241417" w:rsidP="003A71DE">
            <w:pPr>
              <w:pStyle w:val="TAH"/>
            </w:pPr>
            <w:r w:rsidRPr="004710DC">
              <w:t>Reference channel</w:t>
            </w:r>
          </w:p>
        </w:tc>
        <w:tc>
          <w:tcPr>
            <w:tcW w:w="1076" w:type="dxa"/>
          </w:tcPr>
          <w:p w14:paraId="31D5AB83" w14:textId="77777777" w:rsidR="00241417" w:rsidRPr="004710DC" w:rsidRDefault="00241417" w:rsidP="003A71DE">
            <w:pPr>
              <w:pStyle w:val="TAH"/>
            </w:pPr>
            <w:r>
              <w:rPr>
                <w:lang w:eastAsia="zh-CN"/>
              </w:rPr>
              <w:t>D-FR2-A.2.1</w:t>
            </w:r>
            <w:r w:rsidRPr="004710DC">
              <w:rPr>
                <w:lang w:eastAsia="zh-CN"/>
              </w:rPr>
              <w:t>-18</w:t>
            </w:r>
          </w:p>
        </w:tc>
        <w:tc>
          <w:tcPr>
            <w:tcW w:w="1077" w:type="dxa"/>
          </w:tcPr>
          <w:p w14:paraId="6D2199AD" w14:textId="77777777" w:rsidR="00241417" w:rsidRPr="004710DC" w:rsidRDefault="00241417" w:rsidP="003A71DE">
            <w:pPr>
              <w:pStyle w:val="TAH"/>
            </w:pPr>
            <w:r>
              <w:rPr>
                <w:lang w:eastAsia="zh-CN"/>
              </w:rPr>
              <w:t>D-FR2-A.2.1</w:t>
            </w:r>
            <w:r w:rsidRPr="004710DC">
              <w:rPr>
                <w:lang w:eastAsia="zh-CN"/>
              </w:rPr>
              <w:t>-19</w:t>
            </w:r>
          </w:p>
        </w:tc>
        <w:tc>
          <w:tcPr>
            <w:tcW w:w="1076" w:type="dxa"/>
          </w:tcPr>
          <w:p w14:paraId="3D1180ED" w14:textId="77777777" w:rsidR="00241417" w:rsidRPr="004710DC" w:rsidRDefault="00241417" w:rsidP="003A71DE">
            <w:pPr>
              <w:pStyle w:val="TAH"/>
            </w:pPr>
            <w:r>
              <w:rPr>
                <w:lang w:eastAsia="zh-CN"/>
              </w:rPr>
              <w:t>D-FR2-A.2.1</w:t>
            </w:r>
            <w:r w:rsidRPr="004710DC">
              <w:rPr>
                <w:lang w:eastAsia="zh-CN"/>
              </w:rPr>
              <w:t>-20</w:t>
            </w:r>
          </w:p>
        </w:tc>
        <w:tc>
          <w:tcPr>
            <w:tcW w:w="1077" w:type="dxa"/>
          </w:tcPr>
          <w:p w14:paraId="638BE055" w14:textId="77777777" w:rsidR="00241417" w:rsidRPr="004710DC" w:rsidRDefault="00241417" w:rsidP="003A71DE">
            <w:pPr>
              <w:pStyle w:val="TAH"/>
            </w:pPr>
            <w:r>
              <w:rPr>
                <w:lang w:eastAsia="zh-CN"/>
              </w:rPr>
              <w:t>D-FR2-A.2.1</w:t>
            </w:r>
            <w:r w:rsidRPr="004710DC">
              <w:rPr>
                <w:lang w:eastAsia="zh-CN"/>
              </w:rPr>
              <w:t>-21</w:t>
            </w:r>
          </w:p>
        </w:tc>
        <w:tc>
          <w:tcPr>
            <w:tcW w:w="1077" w:type="dxa"/>
          </w:tcPr>
          <w:p w14:paraId="082A0DBA" w14:textId="77777777" w:rsidR="00241417" w:rsidRPr="004710DC" w:rsidRDefault="00241417" w:rsidP="003A71DE">
            <w:pPr>
              <w:pStyle w:val="TAH"/>
            </w:pPr>
            <w:r>
              <w:rPr>
                <w:lang w:eastAsia="zh-CN"/>
              </w:rPr>
              <w:t>D-FR2-A.2.1</w:t>
            </w:r>
            <w:r w:rsidRPr="004710DC">
              <w:rPr>
                <w:lang w:eastAsia="zh-CN"/>
              </w:rPr>
              <w:t>-22</w:t>
            </w:r>
          </w:p>
        </w:tc>
      </w:tr>
      <w:tr w:rsidR="00241417" w:rsidRPr="004710DC" w14:paraId="3DF9C227" w14:textId="77777777" w:rsidTr="003A71DE">
        <w:trPr>
          <w:cantSplit/>
          <w:jc w:val="center"/>
        </w:trPr>
        <w:tc>
          <w:tcPr>
            <w:tcW w:w="3950" w:type="dxa"/>
          </w:tcPr>
          <w:p w14:paraId="23A617C7"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35EAFB72" w14:textId="77777777" w:rsidR="00241417" w:rsidRPr="004710DC" w:rsidRDefault="00241417" w:rsidP="003A71DE">
            <w:pPr>
              <w:pStyle w:val="TAC"/>
              <w:rPr>
                <w:lang w:eastAsia="zh-CN"/>
              </w:rPr>
            </w:pPr>
            <w:r w:rsidRPr="004710DC">
              <w:rPr>
                <w:lang w:eastAsia="zh-CN"/>
              </w:rPr>
              <w:t>60</w:t>
            </w:r>
          </w:p>
        </w:tc>
        <w:tc>
          <w:tcPr>
            <w:tcW w:w="1077" w:type="dxa"/>
          </w:tcPr>
          <w:p w14:paraId="12BD0934" w14:textId="77777777" w:rsidR="00241417" w:rsidRPr="004710DC" w:rsidRDefault="00241417" w:rsidP="003A71DE">
            <w:pPr>
              <w:pStyle w:val="TAC"/>
            </w:pPr>
            <w:r w:rsidRPr="004710DC">
              <w:rPr>
                <w:lang w:eastAsia="zh-CN"/>
              </w:rPr>
              <w:t>60</w:t>
            </w:r>
          </w:p>
        </w:tc>
        <w:tc>
          <w:tcPr>
            <w:tcW w:w="1076" w:type="dxa"/>
          </w:tcPr>
          <w:p w14:paraId="7916B99F" w14:textId="77777777" w:rsidR="00241417" w:rsidRPr="004710DC" w:rsidRDefault="00241417" w:rsidP="003A71DE">
            <w:pPr>
              <w:pStyle w:val="TAC"/>
            </w:pPr>
            <w:r w:rsidRPr="004710DC">
              <w:rPr>
                <w:lang w:eastAsia="zh-CN"/>
              </w:rPr>
              <w:t>120</w:t>
            </w:r>
          </w:p>
        </w:tc>
        <w:tc>
          <w:tcPr>
            <w:tcW w:w="1077" w:type="dxa"/>
          </w:tcPr>
          <w:p w14:paraId="77DC0FA1" w14:textId="77777777" w:rsidR="00241417" w:rsidRPr="004710DC" w:rsidRDefault="00241417" w:rsidP="003A71DE">
            <w:pPr>
              <w:pStyle w:val="TAC"/>
            </w:pPr>
            <w:r w:rsidRPr="004710DC">
              <w:rPr>
                <w:lang w:eastAsia="zh-CN"/>
              </w:rPr>
              <w:t>120</w:t>
            </w:r>
          </w:p>
        </w:tc>
        <w:tc>
          <w:tcPr>
            <w:tcW w:w="1077" w:type="dxa"/>
          </w:tcPr>
          <w:p w14:paraId="505091E4" w14:textId="77777777" w:rsidR="00241417" w:rsidRPr="004710DC" w:rsidRDefault="00241417" w:rsidP="003A71DE">
            <w:pPr>
              <w:pStyle w:val="TAC"/>
            </w:pPr>
            <w:r w:rsidRPr="004710DC">
              <w:rPr>
                <w:lang w:eastAsia="zh-CN"/>
              </w:rPr>
              <w:t>120</w:t>
            </w:r>
          </w:p>
        </w:tc>
      </w:tr>
      <w:tr w:rsidR="00241417" w:rsidRPr="004710DC" w14:paraId="1F5049A9" w14:textId="77777777" w:rsidTr="003A71DE">
        <w:trPr>
          <w:cantSplit/>
          <w:jc w:val="center"/>
        </w:trPr>
        <w:tc>
          <w:tcPr>
            <w:tcW w:w="3950" w:type="dxa"/>
          </w:tcPr>
          <w:p w14:paraId="319A2258" w14:textId="77777777" w:rsidR="00241417" w:rsidRPr="004710DC" w:rsidRDefault="00241417" w:rsidP="003A71DE">
            <w:pPr>
              <w:pStyle w:val="TAC"/>
            </w:pPr>
            <w:r w:rsidRPr="004710DC">
              <w:t>Allocated resource blocks</w:t>
            </w:r>
          </w:p>
        </w:tc>
        <w:tc>
          <w:tcPr>
            <w:tcW w:w="1076" w:type="dxa"/>
          </w:tcPr>
          <w:p w14:paraId="01244B16" w14:textId="77777777" w:rsidR="00241417" w:rsidRPr="004710DC" w:rsidRDefault="00241417" w:rsidP="003A71DE">
            <w:pPr>
              <w:pStyle w:val="TAC"/>
            </w:pPr>
            <w:r w:rsidRPr="004710DC">
              <w:t>66</w:t>
            </w:r>
          </w:p>
        </w:tc>
        <w:tc>
          <w:tcPr>
            <w:tcW w:w="1077" w:type="dxa"/>
          </w:tcPr>
          <w:p w14:paraId="6861388C" w14:textId="77777777" w:rsidR="00241417" w:rsidRPr="004710DC" w:rsidRDefault="00241417" w:rsidP="003A71DE">
            <w:pPr>
              <w:pStyle w:val="TAC"/>
            </w:pPr>
            <w:r w:rsidRPr="004710DC">
              <w:t>132</w:t>
            </w:r>
          </w:p>
        </w:tc>
        <w:tc>
          <w:tcPr>
            <w:tcW w:w="1076" w:type="dxa"/>
          </w:tcPr>
          <w:p w14:paraId="74C33D7B" w14:textId="77777777" w:rsidR="00241417" w:rsidRPr="004710DC" w:rsidRDefault="00241417" w:rsidP="003A71DE">
            <w:pPr>
              <w:pStyle w:val="TAC"/>
            </w:pPr>
            <w:r w:rsidRPr="004710DC">
              <w:t>32</w:t>
            </w:r>
          </w:p>
        </w:tc>
        <w:tc>
          <w:tcPr>
            <w:tcW w:w="1077" w:type="dxa"/>
          </w:tcPr>
          <w:p w14:paraId="011A8F33" w14:textId="77777777" w:rsidR="00241417" w:rsidRPr="004710DC" w:rsidRDefault="00241417" w:rsidP="003A71DE">
            <w:pPr>
              <w:pStyle w:val="TAC"/>
            </w:pPr>
            <w:r w:rsidRPr="004710DC">
              <w:t>66</w:t>
            </w:r>
          </w:p>
        </w:tc>
        <w:tc>
          <w:tcPr>
            <w:tcW w:w="1077" w:type="dxa"/>
          </w:tcPr>
          <w:p w14:paraId="72F44036" w14:textId="77777777" w:rsidR="00241417" w:rsidRPr="004710DC" w:rsidRDefault="00241417" w:rsidP="003A71DE">
            <w:pPr>
              <w:pStyle w:val="TAC"/>
            </w:pPr>
            <w:r w:rsidRPr="004710DC">
              <w:t>132</w:t>
            </w:r>
          </w:p>
        </w:tc>
      </w:tr>
      <w:tr w:rsidR="00241417" w:rsidRPr="004710DC" w14:paraId="64D66D27" w14:textId="77777777" w:rsidTr="003A71DE">
        <w:trPr>
          <w:cantSplit/>
          <w:jc w:val="center"/>
        </w:trPr>
        <w:tc>
          <w:tcPr>
            <w:tcW w:w="3950" w:type="dxa"/>
          </w:tcPr>
          <w:p w14:paraId="6626A8F1"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742C0981" w14:textId="77777777" w:rsidR="00241417" w:rsidRPr="004710DC" w:rsidRDefault="00241417" w:rsidP="003A71DE">
            <w:pPr>
              <w:pStyle w:val="TAC"/>
              <w:rPr>
                <w:lang w:eastAsia="zh-CN"/>
              </w:rPr>
            </w:pPr>
            <w:r w:rsidRPr="004710DC">
              <w:rPr>
                <w:lang w:eastAsia="zh-CN"/>
              </w:rPr>
              <w:t>8</w:t>
            </w:r>
          </w:p>
        </w:tc>
        <w:tc>
          <w:tcPr>
            <w:tcW w:w="1077" w:type="dxa"/>
          </w:tcPr>
          <w:p w14:paraId="58757F8A" w14:textId="77777777" w:rsidR="00241417" w:rsidRPr="004710DC" w:rsidRDefault="00241417" w:rsidP="003A71DE">
            <w:pPr>
              <w:pStyle w:val="TAC"/>
              <w:rPr>
                <w:lang w:eastAsia="zh-CN"/>
              </w:rPr>
            </w:pPr>
            <w:r w:rsidRPr="004710DC">
              <w:rPr>
                <w:lang w:eastAsia="zh-CN"/>
              </w:rPr>
              <w:t>8</w:t>
            </w:r>
          </w:p>
        </w:tc>
        <w:tc>
          <w:tcPr>
            <w:tcW w:w="1076" w:type="dxa"/>
          </w:tcPr>
          <w:p w14:paraId="2EAABDB5" w14:textId="77777777" w:rsidR="00241417" w:rsidRPr="004710DC" w:rsidRDefault="00241417" w:rsidP="003A71DE">
            <w:pPr>
              <w:pStyle w:val="TAC"/>
              <w:rPr>
                <w:lang w:eastAsia="zh-CN"/>
              </w:rPr>
            </w:pPr>
            <w:r w:rsidRPr="004710DC">
              <w:rPr>
                <w:lang w:eastAsia="zh-CN"/>
              </w:rPr>
              <w:t>8</w:t>
            </w:r>
          </w:p>
        </w:tc>
        <w:tc>
          <w:tcPr>
            <w:tcW w:w="1077" w:type="dxa"/>
          </w:tcPr>
          <w:p w14:paraId="673C83CC" w14:textId="77777777" w:rsidR="00241417" w:rsidRPr="004710DC" w:rsidRDefault="00241417" w:rsidP="003A71DE">
            <w:pPr>
              <w:pStyle w:val="TAC"/>
              <w:rPr>
                <w:lang w:eastAsia="zh-CN"/>
              </w:rPr>
            </w:pPr>
            <w:r w:rsidRPr="004710DC">
              <w:rPr>
                <w:lang w:eastAsia="zh-CN"/>
              </w:rPr>
              <w:t>8</w:t>
            </w:r>
          </w:p>
        </w:tc>
        <w:tc>
          <w:tcPr>
            <w:tcW w:w="1077" w:type="dxa"/>
          </w:tcPr>
          <w:p w14:paraId="1799080C" w14:textId="77777777" w:rsidR="00241417" w:rsidRPr="004710DC" w:rsidRDefault="00241417" w:rsidP="003A71DE">
            <w:pPr>
              <w:pStyle w:val="TAC"/>
              <w:rPr>
                <w:lang w:eastAsia="zh-CN"/>
              </w:rPr>
            </w:pPr>
            <w:r w:rsidRPr="004710DC">
              <w:rPr>
                <w:lang w:eastAsia="zh-CN"/>
              </w:rPr>
              <w:t>8</w:t>
            </w:r>
          </w:p>
        </w:tc>
      </w:tr>
      <w:tr w:rsidR="00241417" w:rsidRPr="004710DC" w14:paraId="4BEAB180" w14:textId="77777777" w:rsidTr="003A71DE">
        <w:trPr>
          <w:cantSplit/>
          <w:jc w:val="center"/>
        </w:trPr>
        <w:tc>
          <w:tcPr>
            <w:tcW w:w="3950" w:type="dxa"/>
          </w:tcPr>
          <w:p w14:paraId="1126653C" w14:textId="77777777" w:rsidR="00241417" w:rsidRPr="004710DC" w:rsidRDefault="00241417" w:rsidP="003A71DE">
            <w:pPr>
              <w:pStyle w:val="TAC"/>
            </w:pPr>
            <w:r w:rsidRPr="004710DC">
              <w:t>Modulation</w:t>
            </w:r>
          </w:p>
        </w:tc>
        <w:tc>
          <w:tcPr>
            <w:tcW w:w="1076" w:type="dxa"/>
          </w:tcPr>
          <w:p w14:paraId="09067023" w14:textId="77777777" w:rsidR="00241417" w:rsidRPr="004710DC" w:rsidRDefault="00241417" w:rsidP="003A71DE">
            <w:pPr>
              <w:pStyle w:val="TAC"/>
              <w:rPr>
                <w:lang w:eastAsia="zh-CN"/>
              </w:rPr>
            </w:pPr>
            <w:r w:rsidRPr="004710DC">
              <w:rPr>
                <w:lang w:eastAsia="zh-CN"/>
              </w:rPr>
              <w:t>QPSK</w:t>
            </w:r>
          </w:p>
        </w:tc>
        <w:tc>
          <w:tcPr>
            <w:tcW w:w="1077" w:type="dxa"/>
          </w:tcPr>
          <w:p w14:paraId="5708B12D" w14:textId="77777777" w:rsidR="00241417" w:rsidRPr="004710DC" w:rsidRDefault="00241417" w:rsidP="003A71DE">
            <w:pPr>
              <w:pStyle w:val="TAC"/>
              <w:rPr>
                <w:lang w:eastAsia="zh-CN"/>
              </w:rPr>
            </w:pPr>
            <w:r w:rsidRPr="004710DC">
              <w:rPr>
                <w:lang w:eastAsia="zh-CN"/>
              </w:rPr>
              <w:t>QPSK</w:t>
            </w:r>
          </w:p>
        </w:tc>
        <w:tc>
          <w:tcPr>
            <w:tcW w:w="1076" w:type="dxa"/>
          </w:tcPr>
          <w:p w14:paraId="0381E99D" w14:textId="77777777" w:rsidR="00241417" w:rsidRPr="004710DC" w:rsidRDefault="00241417" w:rsidP="003A71DE">
            <w:pPr>
              <w:pStyle w:val="TAC"/>
              <w:rPr>
                <w:lang w:eastAsia="zh-CN"/>
              </w:rPr>
            </w:pPr>
            <w:r w:rsidRPr="004710DC">
              <w:rPr>
                <w:lang w:eastAsia="zh-CN"/>
              </w:rPr>
              <w:t>QPSK</w:t>
            </w:r>
          </w:p>
        </w:tc>
        <w:tc>
          <w:tcPr>
            <w:tcW w:w="1077" w:type="dxa"/>
          </w:tcPr>
          <w:p w14:paraId="29EBCC7B" w14:textId="77777777" w:rsidR="00241417" w:rsidRPr="004710DC" w:rsidRDefault="00241417" w:rsidP="003A71DE">
            <w:pPr>
              <w:pStyle w:val="TAC"/>
              <w:rPr>
                <w:lang w:eastAsia="zh-CN"/>
              </w:rPr>
            </w:pPr>
            <w:r w:rsidRPr="004710DC">
              <w:rPr>
                <w:lang w:eastAsia="zh-CN"/>
              </w:rPr>
              <w:t>QPSK</w:t>
            </w:r>
          </w:p>
        </w:tc>
        <w:tc>
          <w:tcPr>
            <w:tcW w:w="1077" w:type="dxa"/>
          </w:tcPr>
          <w:p w14:paraId="5610571C" w14:textId="77777777" w:rsidR="00241417" w:rsidRPr="004710DC" w:rsidRDefault="00241417" w:rsidP="003A71DE">
            <w:pPr>
              <w:pStyle w:val="TAC"/>
              <w:rPr>
                <w:lang w:eastAsia="zh-CN"/>
              </w:rPr>
            </w:pPr>
            <w:r w:rsidRPr="004710DC">
              <w:rPr>
                <w:lang w:eastAsia="zh-CN"/>
              </w:rPr>
              <w:t>QPSK</w:t>
            </w:r>
          </w:p>
        </w:tc>
      </w:tr>
      <w:tr w:rsidR="00241417" w:rsidRPr="004710DC" w14:paraId="06CC5EE4" w14:textId="77777777" w:rsidTr="003A71DE">
        <w:trPr>
          <w:cantSplit/>
          <w:jc w:val="center"/>
        </w:trPr>
        <w:tc>
          <w:tcPr>
            <w:tcW w:w="3950" w:type="dxa"/>
          </w:tcPr>
          <w:p w14:paraId="05A85DA9" w14:textId="77777777" w:rsidR="00241417" w:rsidRPr="004710DC" w:rsidRDefault="00241417" w:rsidP="003A71DE">
            <w:pPr>
              <w:pStyle w:val="TAC"/>
            </w:pPr>
            <w:r>
              <w:t>Code Rate</w:t>
            </w:r>
          </w:p>
        </w:tc>
        <w:tc>
          <w:tcPr>
            <w:tcW w:w="1076" w:type="dxa"/>
          </w:tcPr>
          <w:p w14:paraId="271DCDED" w14:textId="77777777" w:rsidR="00241417" w:rsidRPr="004710DC" w:rsidRDefault="00241417" w:rsidP="003A71DE">
            <w:pPr>
              <w:pStyle w:val="TAC"/>
              <w:rPr>
                <w:lang w:eastAsia="zh-CN"/>
              </w:rPr>
            </w:pPr>
            <w:r w:rsidRPr="004710DC">
              <w:rPr>
                <w:lang w:eastAsia="zh-CN"/>
              </w:rPr>
              <w:t>193/1024</w:t>
            </w:r>
          </w:p>
        </w:tc>
        <w:tc>
          <w:tcPr>
            <w:tcW w:w="1077" w:type="dxa"/>
          </w:tcPr>
          <w:p w14:paraId="3D71B30C" w14:textId="77777777" w:rsidR="00241417" w:rsidRPr="004710DC" w:rsidRDefault="00241417" w:rsidP="003A71DE">
            <w:pPr>
              <w:pStyle w:val="TAC"/>
              <w:rPr>
                <w:lang w:eastAsia="zh-CN"/>
              </w:rPr>
            </w:pPr>
            <w:r w:rsidRPr="004710DC">
              <w:rPr>
                <w:lang w:eastAsia="zh-CN"/>
              </w:rPr>
              <w:t>193/1024</w:t>
            </w:r>
          </w:p>
        </w:tc>
        <w:tc>
          <w:tcPr>
            <w:tcW w:w="1076" w:type="dxa"/>
          </w:tcPr>
          <w:p w14:paraId="4DEEA4CE" w14:textId="77777777" w:rsidR="00241417" w:rsidRPr="004710DC" w:rsidRDefault="00241417" w:rsidP="003A71DE">
            <w:pPr>
              <w:pStyle w:val="TAC"/>
              <w:rPr>
                <w:lang w:eastAsia="zh-CN"/>
              </w:rPr>
            </w:pPr>
            <w:r w:rsidRPr="004710DC">
              <w:rPr>
                <w:lang w:eastAsia="zh-CN"/>
              </w:rPr>
              <w:t>193/1024</w:t>
            </w:r>
          </w:p>
        </w:tc>
        <w:tc>
          <w:tcPr>
            <w:tcW w:w="1077" w:type="dxa"/>
          </w:tcPr>
          <w:p w14:paraId="57355DAF" w14:textId="77777777" w:rsidR="00241417" w:rsidRPr="004710DC" w:rsidRDefault="00241417" w:rsidP="003A71DE">
            <w:pPr>
              <w:pStyle w:val="TAC"/>
              <w:rPr>
                <w:lang w:eastAsia="zh-CN"/>
              </w:rPr>
            </w:pPr>
            <w:r w:rsidRPr="004710DC">
              <w:rPr>
                <w:lang w:eastAsia="zh-CN"/>
              </w:rPr>
              <w:t>193/1024</w:t>
            </w:r>
          </w:p>
        </w:tc>
        <w:tc>
          <w:tcPr>
            <w:tcW w:w="1077" w:type="dxa"/>
          </w:tcPr>
          <w:p w14:paraId="3557DD2A" w14:textId="77777777" w:rsidR="00241417" w:rsidRPr="004710DC" w:rsidRDefault="00241417" w:rsidP="003A71DE">
            <w:pPr>
              <w:pStyle w:val="TAC"/>
              <w:rPr>
                <w:lang w:eastAsia="zh-CN"/>
              </w:rPr>
            </w:pPr>
            <w:r w:rsidRPr="004710DC">
              <w:rPr>
                <w:lang w:eastAsia="zh-CN"/>
              </w:rPr>
              <w:t>193/1024</w:t>
            </w:r>
          </w:p>
        </w:tc>
      </w:tr>
      <w:tr w:rsidR="00241417" w:rsidRPr="004710DC" w14:paraId="06C0CD12" w14:textId="77777777" w:rsidTr="003A71DE">
        <w:trPr>
          <w:cantSplit/>
          <w:jc w:val="center"/>
        </w:trPr>
        <w:tc>
          <w:tcPr>
            <w:tcW w:w="3950" w:type="dxa"/>
          </w:tcPr>
          <w:p w14:paraId="69610101" w14:textId="77777777" w:rsidR="00241417" w:rsidRPr="004710DC" w:rsidRDefault="00241417" w:rsidP="003A71DE">
            <w:pPr>
              <w:pStyle w:val="TAC"/>
            </w:pPr>
            <w:r w:rsidRPr="004710DC">
              <w:t>Payload size (bits)</w:t>
            </w:r>
          </w:p>
        </w:tc>
        <w:tc>
          <w:tcPr>
            <w:tcW w:w="1076" w:type="dxa"/>
            <w:vAlign w:val="center"/>
          </w:tcPr>
          <w:p w14:paraId="49707BB3" w14:textId="77777777" w:rsidR="00241417" w:rsidRPr="004710DC" w:rsidRDefault="00241417" w:rsidP="003A71DE">
            <w:pPr>
              <w:pStyle w:val="TAC"/>
            </w:pPr>
            <w:r w:rsidRPr="004710DC">
              <w:t>4744</w:t>
            </w:r>
          </w:p>
        </w:tc>
        <w:tc>
          <w:tcPr>
            <w:tcW w:w="1077" w:type="dxa"/>
            <w:vAlign w:val="center"/>
          </w:tcPr>
          <w:p w14:paraId="7B4650EC" w14:textId="77777777" w:rsidR="00241417" w:rsidRPr="004710DC" w:rsidRDefault="00241417" w:rsidP="003A71DE">
            <w:pPr>
              <w:pStyle w:val="TAC"/>
            </w:pPr>
            <w:r w:rsidRPr="004710DC">
              <w:t>9480</w:t>
            </w:r>
          </w:p>
        </w:tc>
        <w:tc>
          <w:tcPr>
            <w:tcW w:w="1076" w:type="dxa"/>
            <w:vAlign w:val="center"/>
          </w:tcPr>
          <w:p w14:paraId="539B7833" w14:textId="77777777" w:rsidR="00241417" w:rsidRPr="004710DC" w:rsidRDefault="00241417" w:rsidP="003A71DE">
            <w:pPr>
              <w:pStyle w:val="TAC"/>
            </w:pPr>
            <w:r w:rsidRPr="004710DC">
              <w:t>2408</w:t>
            </w:r>
          </w:p>
        </w:tc>
        <w:tc>
          <w:tcPr>
            <w:tcW w:w="1077" w:type="dxa"/>
            <w:vAlign w:val="center"/>
          </w:tcPr>
          <w:p w14:paraId="0E5F3025" w14:textId="77777777" w:rsidR="00241417" w:rsidRPr="004710DC" w:rsidRDefault="00241417" w:rsidP="003A71DE">
            <w:pPr>
              <w:pStyle w:val="TAC"/>
            </w:pPr>
            <w:r w:rsidRPr="004710DC">
              <w:t>4744</w:t>
            </w:r>
          </w:p>
        </w:tc>
        <w:tc>
          <w:tcPr>
            <w:tcW w:w="1077" w:type="dxa"/>
            <w:vAlign w:val="center"/>
          </w:tcPr>
          <w:p w14:paraId="74C6B954" w14:textId="77777777" w:rsidR="00241417" w:rsidRPr="004710DC" w:rsidRDefault="00241417" w:rsidP="003A71DE">
            <w:pPr>
              <w:pStyle w:val="TAC"/>
            </w:pPr>
            <w:r w:rsidRPr="004710DC">
              <w:t>9480</w:t>
            </w:r>
          </w:p>
        </w:tc>
      </w:tr>
      <w:tr w:rsidR="00241417" w:rsidRPr="004710DC" w14:paraId="7CCD9445" w14:textId="77777777" w:rsidTr="003A71DE">
        <w:trPr>
          <w:cantSplit/>
          <w:jc w:val="center"/>
        </w:trPr>
        <w:tc>
          <w:tcPr>
            <w:tcW w:w="3950" w:type="dxa"/>
          </w:tcPr>
          <w:p w14:paraId="2D87E144" w14:textId="77777777" w:rsidR="00241417" w:rsidRPr="004710DC" w:rsidRDefault="00241417" w:rsidP="003A71DE">
            <w:pPr>
              <w:pStyle w:val="TAC"/>
            </w:pPr>
            <w:r w:rsidRPr="004710DC">
              <w:t>Transport block CRC (bits)</w:t>
            </w:r>
          </w:p>
        </w:tc>
        <w:tc>
          <w:tcPr>
            <w:tcW w:w="1076" w:type="dxa"/>
          </w:tcPr>
          <w:p w14:paraId="50D9AA3F" w14:textId="77777777" w:rsidR="00241417" w:rsidRPr="004710DC" w:rsidRDefault="00241417" w:rsidP="003A71DE">
            <w:pPr>
              <w:pStyle w:val="TAC"/>
            </w:pPr>
            <w:r w:rsidRPr="004710DC">
              <w:t>24</w:t>
            </w:r>
          </w:p>
        </w:tc>
        <w:tc>
          <w:tcPr>
            <w:tcW w:w="1077" w:type="dxa"/>
          </w:tcPr>
          <w:p w14:paraId="496503BC" w14:textId="77777777" w:rsidR="00241417" w:rsidRPr="004710DC" w:rsidRDefault="00241417" w:rsidP="003A71DE">
            <w:pPr>
              <w:pStyle w:val="TAC"/>
            </w:pPr>
            <w:r w:rsidRPr="004710DC">
              <w:t>24</w:t>
            </w:r>
          </w:p>
        </w:tc>
        <w:tc>
          <w:tcPr>
            <w:tcW w:w="1076" w:type="dxa"/>
          </w:tcPr>
          <w:p w14:paraId="434D1CC3" w14:textId="77777777" w:rsidR="00241417" w:rsidRPr="004710DC" w:rsidRDefault="00241417" w:rsidP="003A71DE">
            <w:pPr>
              <w:pStyle w:val="TAC"/>
            </w:pPr>
            <w:r w:rsidRPr="004710DC">
              <w:t>16</w:t>
            </w:r>
          </w:p>
        </w:tc>
        <w:tc>
          <w:tcPr>
            <w:tcW w:w="1077" w:type="dxa"/>
          </w:tcPr>
          <w:p w14:paraId="00553A0A" w14:textId="77777777" w:rsidR="00241417" w:rsidRPr="004710DC" w:rsidRDefault="00241417" w:rsidP="003A71DE">
            <w:pPr>
              <w:pStyle w:val="TAC"/>
            </w:pPr>
            <w:r w:rsidRPr="004710DC">
              <w:t>24</w:t>
            </w:r>
          </w:p>
        </w:tc>
        <w:tc>
          <w:tcPr>
            <w:tcW w:w="1077" w:type="dxa"/>
          </w:tcPr>
          <w:p w14:paraId="60A032E6" w14:textId="77777777" w:rsidR="00241417" w:rsidRPr="004710DC" w:rsidRDefault="00241417" w:rsidP="003A71DE">
            <w:pPr>
              <w:pStyle w:val="TAC"/>
            </w:pPr>
            <w:r w:rsidRPr="004710DC">
              <w:t>24</w:t>
            </w:r>
          </w:p>
        </w:tc>
      </w:tr>
      <w:tr w:rsidR="00241417" w:rsidRPr="004710DC" w14:paraId="1EB13500" w14:textId="77777777" w:rsidTr="003A71DE">
        <w:trPr>
          <w:cantSplit/>
          <w:jc w:val="center"/>
        </w:trPr>
        <w:tc>
          <w:tcPr>
            <w:tcW w:w="3950" w:type="dxa"/>
          </w:tcPr>
          <w:p w14:paraId="75BE06CF" w14:textId="77777777" w:rsidR="00241417" w:rsidRPr="00AD765F" w:rsidRDefault="00241417" w:rsidP="003A71DE">
            <w:pPr>
              <w:pStyle w:val="TAC"/>
            </w:pPr>
            <w:r w:rsidRPr="00AD765F">
              <w:t>Code block CRC size (bits)</w:t>
            </w:r>
          </w:p>
        </w:tc>
        <w:tc>
          <w:tcPr>
            <w:tcW w:w="1076" w:type="dxa"/>
            <w:vAlign w:val="center"/>
          </w:tcPr>
          <w:p w14:paraId="16183B32" w14:textId="77777777" w:rsidR="00241417" w:rsidRPr="004710DC" w:rsidRDefault="00241417" w:rsidP="003A71DE">
            <w:pPr>
              <w:pStyle w:val="TAC"/>
            </w:pPr>
            <w:r w:rsidRPr="004710DC">
              <w:t>24</w:t>
            </w:r>
          </w:p>
        </w:tc>
        <w:tc>
          <w:tcPr>
            <w:tcW w:w="1077" w:type="dxa"/>
            <w:vAlign w:val="center"/>
          </w:tcPr>
          <w:p w14:paraId="3AA3BAB7" w14:textId="77777777" w:rsidR="00241417" w:rsidRPr="004710DC" w:rsidRDefault="00241417" w:rsidP="003A71DE">
            <w:pPr>
              <w:pStyle w:val="TAC"/>
            </w:pPr>
            <w:r w:rsidRPr="004710DC">
              <w:t>24</w:t>
            </w:r>
          </w:p>
        </w:tc>
        <w:tc>
          <w:tcPr>
            <w:tcW w:w="1076" w:type="dxa"/>
          </w:tcPr>
          <w:p w14:paraId="363ED83F" w14:textId="77777777" w:rsidR="00241417" w:rsidRPr="004710DC" w:rsidRDefault="00241417" w:rsidP="003A71DE">
            <w:pPr>
              <w:pStyle w:val="TAC"/>
            </w:pPr>
            <w:r w:rsidRPr="004710DC">
              <w:t>-</w:t>
            </w:r>
          </w:p>
        </w:tc>
        <w:tc>
          <w:tcPr>
            <w:tcW w:w="1077" w:type="dxa"/>
            <w:vAlign w:val="center"/>
          </w:tcPr>
          <w:p w14:paraId="23FAB398" w14:textId="77777777" w:rsidR="00241417" w:rsidRPr="004710DC" w:rsidRDefault="00241417" w:rsidP="003A71DE">
            <w:pPr>
              <w:pStyle w:val="TAC"/>
            </w:pPr>
            <w:r w:rsidRPr="004710DC">
              <w:t>24</w:t>
            </w:r>
          </w:p>
        </w:tc>
        <w:tc>
          <w:tcPr>
            <w:tcW w:w="1077" w:type="dxa"/>
            <w:vAlign w:val="center"/>
          </w:tcPr>
          <w:p w14:paraId="63C8855D" w14:textId="77777777" w:rsidR="00241417" w:rsidRPr="004710DC" w:rsidRDefault="00241417" w:rsidP="003A71DE">
            <w:pPr>
              <w:pStyle w:val="TAC"/>
            </w:pPr>
            <w:r w:rsidRPr="004710DC">
              <w:t>24</w:t>
            </w:r>
          </w:p>
        </w:tc>
      </w:tr>
      <w:tr w:rsidR="00241417" w:rsidRPr="004710DC" w14:paraId="2B3C8177" w14:textId="77777777" w:rsidTr="003A71DE">
        <w:trPr>
          <w:cantSplit/>
          <w:jc w:val="center"/>
        </w:trPr>
        <w:tc>
          <w:tcPr>
            <w:tcW w:w="3950" w:type="dxa"/>
          </w:tcPr>
          <w:p w14:paraId="0F4B1047" w14:textId="77777777" w:rsidR="00241417" w:rsidRPr="00AD765F" w:rsidRDefault="00241417" w:rsidP="003A71DE">
            <w:pPr>
              <w:pStyle w:val="TAC"/>
            </w:pPr>
            <w:r w:rsidRPr="00AD765F">
              <w:t>Number of code blocks - C</w:t>
            </w:r>
          </w:p>
        </w:tc>
        <w:tc>
          <w:tcPr>
            <w:tcW w:w="1076" w:type="dxa"/>
            <w:vAlign w:val="center"/>
          </w:tcPr>
          <w:p w14:paraId="4DBC2E03" w14:textId="77777777" w:rsidR="00241417" w:rsidRPr="004710DC" w:rsidRDefault="00241417" w:rsidP="003A71DE">
            <w:pPr>
              <w:pStyle w:val="TAC"/>
            </w:pPr>
            <w:r w:rsidRPr="004710DC">
              <w:t>2</w:t>
            </w:r>
          </w:p>
        </w:tc>
        <w:tc>
          <w:tcPr>
            <w:tcW w:w="1077" w:type="dxa"/>
            <w:vAlign w:val="center"/>
          </w:tcPr>
          <w:p w14:paraId="473E0819" w14:textId="77777777" w:rsidR="00241417" w:rsidRPr="004710DC" w:rsidRDefault="00241417" w:rsidP="003A71DE">
            <w:pPr>
              <w:pStyle w:val="TAC"/>
            </w:pPr>
            <w:r w:rsidRPr="004710DC">
              <w:t>3</w:t>
            </w:r>
          </w:p>
        </w:tc>
        <w:tc>
          <w:tcPr>
            <w:tcW w:w="1076" w:type="dxa"/>
          </w:tcPr>
          <w:p w14:paraId="31C98D36" w14:textId="77777777" w:rsidR="00241417" w:rsidRPr="004710DC" w:rsidRDefault="00241417" w:rsidP="003A71DE">
            <w:pPr>
              <w:pStyle w:val="TAC"/>
            </w:pPr>
            <w:r w:rsidRPr="004710DC">
              <w:t>1</w:t>
            </w:r>
          </w:p>
        </w:tc>
        <w:tc>
          <w:tcPr>
            <w:tcW w:w="1077" w:type="dxa"/>
            <w:vAlign w:val="center"/>
          </w:tcPr>
          <w:p w14:paraId="1C3B1A33" w14:textId="77777777" w:rsidR="00241417" w:rsidRPr="004710DC" w:rsidRDefault="00241417" w:rsidP="003A71DE">
            <w:pPr>
              <w:pStyle w:val="TAC"/>
            </w:pPr>
            <w:r w:rsidRPr="004710DC">
              <w:t>2</w:t>
            </w:r>
          </w:p>
        </w:tc>
        <w:tc>
          <w:tcPr>
            <w:tcW w:w="1077" w:type="dxa"/>
            <w:vAlign w:val="center"/>
          </w:tcPr>
          <w:p w14:paraId="2268D83E" w14:textId="77777777" w:rsidR="00241417" w:rsidRPr="004710DC" w:rsidRDefault="00241417" w:rsidP="003A71DE">
            <w:pPr>
              <w:pStyle w:val="TAC"/>
            </w:pPr>
            <w:r w:rsidRPr="004710DC">
              <w:t>3</w:t>
            </w:r>
          </w:p>
        </w:tc>
      </w:tr>
      <w:tr w:rsidR="00241417" w:rsidRPr="004710DC" w14:paraId="6AB11482" w14:textId="77777777" w:rsidTr="003A71DE">
        <w:trPr>
          <w:cantSplit/>
          <w:jc w:val="center"/>
        </w:trPr>
        <w:tc>
          <w:tcPr>
            <w:tcW w:w="3950" w:type="dxa"/>
          </w:tcPr>
          <w:p w14:paraId="4B3F7BE2"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5D807C25" w14:textId="77777777" w:rsidR="00241417" w:rsidRPr="004710DC" w:rsidRDefault="00241417" w:rsidP="003A71DE">
            <w:pPr>
              <w:pStyle w:val="TAC"/>
              <w:rPr>
                <w:lang w:eastAsia="zh-CN"/>
              </w:rPr>
            </w:pPr>
            <w:r w:rsidRPr="004710DC">
              <w:rPr>
                <w:lang w:eastAsia="zh-CN"/>
              </w:rPr>
              <w:t>2408</w:t>
            </w:r>
          </w:p>
        </w:tc>
        <w:tc>
          <w:tcPr>
            <w:tcW w:w="1077" w:type="dxa"/>
            <w:vAlign w:val="center"/>
          </w:tcPr>
          <w:p w14:paraId="252778A0" w14:textId="77777777" w:rsidR="00241417" w:rsidRPr="004710DC" w:rsidRDefault="00241417" w:rsidP="003A71DE">
            <w:pPr>
              <w:pStyle w:val="TAC"/>
              <w:rPr>
                <w:lang w:eastAsia="zh-CN"/>
              </w:rPr>
            </w:pPr>
            <w:r w:rsidRPr="004710DC">
              <w:rPr>
                <w:lang w:eastAsia="zh-CN"/>
              </w:rPr>
              <w:t>3192</w:t>
            </w:r>
          </w:p>
        </w:tc>
        <w:tc>
          <w:tcPr>
            <w:tcW w:w="1076" w:type="dxa"/>
            <w:vAlign w:val="center"/>
          </w:tcPr>
          <w:p w14:paraId="764B5C27" w14:textId="77777777" w:rsidR="00241417" w:rsidRPr="004710DC" w:rsidRDefault="00241417" w:rsidP="003A71DE">
            <w:pPr>
              <w:pStyle w:val="TAC"/>
              <w:rPr>
                <w:lang w:eastAsia="zh-CN"/>
              </w:rPr>
            </w:pPr>
            <w:r w:rsidRPr="004710DC">
              <w:rPr>
                <w:lang w:eastAsia="zh-CN"/>
              </w:rPr>
              <w:t>2424</w:t>
            </w:r>
          </w:p>
        </w:tc>
        <w:tc>
          <w:tcPr>
            <w:tcW w:w="1077" w:type="dxa"/>
            <w:vAlign w:val="center"/>
          </w:tcPr>
          <w:p w14:paraId="441B2FB1" w14:textId="77777777" w:rsidR="00241417" w:rsidRPr="004710DC" w:rsidRDefault="00241417" w:rsidP="003A71DE">
            <w:pPr>
              <w:pStyle w:val="TAC"/>
              <w:rPr>
                <w:lang w:eastAsia="zh-CN"/>
              </w:rPr>
            </w:pPr>
            <w:r w:rsidRPr="004710DC">
              <w:rPr>
                <w:lang w:eastAsia="zh-CN"/>
              </w:rPr>
              <w:t>2408</w:t>
            </w:r>
          </w:p>
        </w:tc>
        <w:tc>
          <w:tcPr>
            <w:tcW w:w="1077" w:type="dxa"/>
            <w:vAlign w:val="center"/>
          </w:tcPr>
          <w:p w14:paraId="620165F3" w14:textId="77777777" w:rsidR="00241417" w:rsidRPr="004710DC" w:rsidRDefault="00241417" w:rsidP="003A71DE">
            <w:pPr>
              <w:pStyle w:val="TAC"/>
              <w:rPr>
                <w:lang w:eastAsia="zh-CN"/>
              </w:rPr>
            </w:pPr>
            <w:r w:rsidRPr="004710DC">
              <w:rPr>
                <w:lang w:eastAsia="zh-CN"/>
              </w:rPr>
              <w:t>3192</w:t>
            </w:r>
          </w:p>
        </w:tc>
      </w:tr>
      <w:tr w:rsidR="00241417" w:rsidRPr="004710DC" w14:paraId="6F785DDC" w14:textId="77777777" w:rsidTr="003A71DE">
        <w:trPr>
          <w:cantSplit/>
          <w:jc w:val="center"/>
        </w:trPr>
        <w:tc>
          <w:tcPr>
            <w:tcW w:w="3950" w:type="dxa"/>
          </w:tcPr>
          <w:p w14:paraId="266CBB62"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345D779E" w14:textId="77777777" w:rsidR="00241417" w:rsidRPr="004710DC" w:rsidRDefault="00241417" w:rsidP="003A71DE">
            <w:pPr>
              <w:pStyle w:val="TAC"/>
            </w:pPr>
            <w:r w:rsidRPr="004710DC">
              <w:t>25344</w:t>
            </w:r>
          </w:p>
        </w:tc>
        <w:tc>
          <w:tcPr>
            <w:tcW w:w="1077" w:type="dxa"/>
            <w:vAlign w:val="center"/>
          </w:tcPr>
          <w:p w14:paraId="00C2BA26" w14:textId="77777777" w:rsidR="00241417" w:rsidRPr="004710DC" w:rsidRDefault="00241417" w:rsidP="003A71DE">
            <w:pPr>
              <w:pStyle w:val="TAC"/>
            </w:pPr>
            <w:r w:rsidRPr="004710DC">
              <w:t>50688</w:t>
            </w:r>
          </w:p>
        </w:tc>
        <w:tc>
          <w:tcPr>
            <w:tcW w:w="1076" w:type="dxa"/>
            <w:vAlign w:val="center"/>
          </w:tcPr>
          <w:p w14:paraId="496BFDCD" w14:textId="77777777" w:rsidR="00241417" w:rsidRPr="004710DC" w:rsidRDefault="00241417" w:rsidP="003A71DE">
            <w:pPr>
              <w:pStyle w:val="TAC"/>
            </w:pPr>
            <w:r w:rsidRPr="004710DC">
              <w:t>12288</w:t>
            </w:r>
          </w:p>
        </w:tc>
        <w:tc>
          <w:tcPr>
            <w:tcW w:w="1077" w:type="dxa"/>
            <w:vAlign w:val="center"/>
          </w:tcPr>
          <w:p w14:paraId="4EF46B94" w14:textId="77777777" w:rsidR="00241417" w:rsidRPr="004710DC" w:rsidRDefault="00241417" w:rsidP="003A71DE">
            <w:pPr>
              <w:pStyle w:val="TAC"/>
            </w:pPr>
            <w:r w:rsidRPr="004710DC">
              <w:t>25344</w:t>
            </w:r>
          </w:p>
        </w:tc>
        <w:tc>
          <w:tcPr>
            <w:tcW w:w="1077" w:type="dxa"/>
            <w:vAlign w:val="center"/>
          </w:tcPr>
          <w:p w14:paraId="11CFE45C" w14:textId="77777777" w:rsidR="00241417" w:rsidRPr="004710DC" w:rsidRDefault="00241417" w:rsidP="003A71DE">
            <w:pPr>
              <w:pStyle w:val="TAC"/>
            </w:pPr>
            <w:r w:rsidRPr="004710DC">
              <w:t>50688</w:t>
            </w:r>
          </w:p>
        </w:tc>
      </w:tr>
      <w:tr w:rsidR="00241417" w:rsidRPr="004710DC" w14:paraId="7164C03E" w14:textId="77777777" w:rsidTr="003A71DE">
        <w:trPr>
          <w:cantSplit/>
          <w:jc w:val="center"/>
        </w:trPr>
        <w:tc>
          <w:tcPr>
            <w:tcW w:w="3950" w:type="dxa"/>
          </w:tcPr>
          <w:p w14:paraId="77B5A2DA"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Pr>
          <w:p w14:paraId="0E356E9F" w14:textId="77777777" w:rsidR="00241417" w:rsidRPr="004710DC" w:rsidRDefault="00241417" w:rsidP="003A71DE">
            <w:pPr>
              <w:pStyle w:val="TAC"/>
            </w:pPr>
            <w:r w:rsidRPr="004710DC">
              <w:t>12672</w:t>
            </w:r>
          </w:p>
        </w:tc>
        <w:tc>
          <w:tcPr>
            <w:tcW w:w="1077" w:type="dxa"/>
          </w:tcPr>
          <w:p w14:paraId="32E1931E" w14:textId="77777777" w:rsidR="00241417" w:rsidRPr="004710DC" w:rsidRDefault="00241417" w:rsidP="003A71DE">
            <w:pPr>
              <w:pStyle w:val="TAC"/>
            </w:pPr>
            <w:r w:rsidRPr="004710DC">
              <w:t>25344</w:t>
            </w:r>
          </w:p>
        </w:tc>
        <w:tc>
          <w:tcPr>
            <w:tcW w:w="1076" w:type="dxa"/>
          </w:tcPr>
          <w:p w14:paraId="12D5B912" w14:textId="77777777" w:rsidR="00241417" w:rsidRPr="004710DC" w:rsidRDefault="00241417" w:rsidP="003A71DE">
            <w:pPr>
              <w:pStyle w:val="TAC"/>
            </w:pPr>
            <w:r w:rsidRPr="004710DC">
              <w:t>6144</w:t>
            </w:r>
          </w:p>
        </w:tc>
        <w:tc>
          <w:tcPr>
            <w:tcW w:w="1077" w:type="dxa"/>
          </w:tcPr>
          <w:p w14:paraId="2C29B2D8" w14:textId="77777777" w:rsidR="00241417" w:rsidRPr="004710DC" w:rsidRDefault="00241417" w:rsidP="003A71DE">
            <w:pPr>
              <w:pStyle w:val="TAC"/>
            </w:pPr>
            <w:r w:rsidRPr="004710DC">
              <w:t>12672</w:t>
            </w:r>
          </w:p>
        </w:tc>
        <w:tc>
          <w:tcPr>
            <w:tcW w:w="1077" w:type="dxa"/>
          </w:tcPr>
          <w:p w14:paraId="56BED100" w14:textId="77777777" w:rsidR="00241417" w:rsidRPr="004710DC" w:rsidRDefault="00241417" w:rsidP="003A71DE">
            <w:pPr>
              <w:pStyle w:val="TAC"/>
            </w:pPr>
            <w:r w:rsidRPr="004710DC">
              <w:t>25344</w:t>
            </w:r>
          </w:p>
        </w:tc>
      </w:tr>
      <w:tr w:rsidR="00241417" w:rsidRPr="00AD765F" w14:paraId="1D7C43B3" w14:textId="77777777" w:rsidTr="003A71DE">
        <w:trPr>
          <w:cantSplit/>
          <w:jc w:val="center"/>
        </w:trPr>
        <w:tc>
          <w:tcPr>
            <w:tcW w:w="9333" w:type="dxa"/>
            <w:gridSpan w:val="6"/>
          </w:tcPr>
          <w:p w14:paraId="41300329"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w:t>
            </w:r>
            <w:r w:rsidRPr="00AD765F">
              <w:rPr>
                <w:lang w:eastAsia="zh-CN"/>
              </w:rPr>
              <w:t xml:space="preserve">and </w:t>
            </w:r>
            <w:r w:rsidRPr="00AD765F">
              <w:rPr>
                <w:i/>
                <w:lang w:eastAsia="zh-CN"/>
              </w:rPr>
              <w:t xml:space="preserve">l </w:t>
            </w:r>
            <w:r w:rsidRPr="00AD765F">
              <w:rPr>
                <w:lang w:eastAsia="zh-CN"/>
              </w:rPr>
              <w:t>=8</w:t>
            </w:r>
            <w:r w:rsidRPr="00AD765F">
              <w:t xml:space="preserve"> as per Table 6.4.1.1.3-3 of TS 38.211 [8].</w:t>
            </w:r>
          </w:p>
          <w:p w14:paraId="69F60074"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 </w:t>
            </w:r>
            <w:r w:rsidRPr="00AD765F">
              <w:rPr>
                <w:lang w:eastAsia="zh-CN"/>
              </w:rPr>
              <w:t>5.2.2 of TS 38.212 [9].</w:t>
            </w:r>
          </w:p>
        </w:tc>
      </w:tr>
    </w:tbl>
    <w:p w14:paraId="433DF089" w14:textId="77777777" w:rsidR="00241417" w:rsidRPr="00AD765F" w:rsidRDefault="00241417" w:rsidP="00241417">
      <w:pPr>
        <w:rPr>
          <w:noProof/>
          <w:lang w:eastAsia="zh-CN"/>
        </w:rPr>
      </w:pPr>
    </w:p>
    <w:p w14:paraId="3A418EB0" w14:textId="77777777" w:rsidR="00241417" w:rsidRPr="00AD765F" w:rsidRDefault="00241417" w:rsidP="00241417">
      <w:pPr>
        <w:pStyle w:val="TH"/>
      </w:pPr>
      <w:r w:rsidRPr="00AD765F">
        <w:t>Table A.2.1-</w:t>
      </w:r>
      <w:r w:rsidRPr="00AD765F">
        <w:rPr>
          <w:lang w:eastAsia="zh-CN"/>
        </w:rPr>
        <w:t>9</w:t>
      </w:r>
      <w:r w:rsidRPr="00AD765F">
        <w:t xml:space="preserve">: FRC parameters for FR2 PUSCH performance requirements, transform precoding enabled, </w:t>
      </w:r>
      <w:r w:rsidRPr="00AD765F">
        <w:rPr>
          <w:i/>
        </w:rPr>
        <w:t>Additional DM-RS position = pos1</w:t>
      </w:r>
      <w:r w:rsidRPr="00AD765F">
        <w:t xml:space="preserve"> and 1 transmission layer (QPSK, R=193/1024)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70"/>
        <w:gridCol w:w="2268"/>
        <w:gridCol w:w="2312"/>
      </w:tblGrid>
      <w:tr w:rsidR="00241417" w:rsidRPr="004710DC" w14:paraId="3071314E" w14:textId="77777777" w:rsidTr="003A71DE">
        <w:trPr>
          <w:cantSplit/>
          <w:jc w:val="center"/>
        </w:trPr>
        <w:tc>
          <w:tcPr>
            <w:tcW w:w="4470" w:type="dxa"/>
          </w:tcPr>
          <w:p w14:paraId="000BC464" w14:textId="77777777" w:rsidR="00241417" w:rsidRPr="004710DC" w:rsidRDefault="00241417" w:rsidP="003A71DE">
            <w:pPr>
              <w:pStyle w:val="TAH"/>
            </w:pPr>
            <w:r w:rsidRPr="004710DC">
              <w:t>Reference channel</w:t>
            </w:r>
          </w:p>
        </w:tc>
        <w:tc>
          <w:tcPr>
            <w:tcW w:w="2268" w:type="dxa"/>
          </w:tcPr>
          <w:p w14:paraId="5E79EA9F" w14:textId="77777777" w:rsidR="00241417" w:rsidRPr="004710DC" w:rsidRDefault="00241417" w:rsidP="003A71DE">
            <w:pPr>
              <w:pStyle w:val="TAH"/>
            </w:pPr>
            <w:r>
              <w:rPr>
                <w:lang w:eastAsia="zh-CN"/>
              </w:rPr>
              <w:t>D-FR2-A.2.1</w:t>
            </w:r>
            <w:r w:rsidRPr="004710DC">
              <w:rPr>
                <w:lang w:eastAsia="zh-CN"/>
              </w:rPr>
              <w:t>-23</w:t>
            </w:r>
          </w:p>
        </w:tc>
        <w:tc>
          <w:tcPr>
            <w:tcW w:w="2312" w:type="dxa"/>
          </w:tcPr>
          <w:p w14:paraId="062ABBBF" w14:textId="77777777" w:rsidR="00241417" w:rsidRPr="004710DC" w:rsidRDefault="00241417" w:rsidP="003A71DE">
            <w:pPr>
              <w:pStyle w:val="TAH"/>
            </w:pPr>
            <w:r>
              <w:rPr>
                <w:lang w:eastAsia="zh-CN"/>
              </w:rPr>
              <w:t>D-FR2-A.2.1</w:t>
            </w:r>
            <w:r w:rsidRPr="004710DC">
              <w:rPr>
                <w:lang w:eastAsia="zh-CN"/>
              </w:rPr>
              <w:t>-24</w:t>
            </w:r>
          </w:p>
        </w:tc>
      </w:tr>
      <w:tr w:rsidR="00241417" w:rsidRPr="004710DC" w14:paraId="67911E0A" w14:textId="77777777" w:rsidTr="003A71DE">
        <w:trPr>
          <w:cantSplit/>
          <w:jc w:val="center"/>
        </w:trPr>
        <w:tc>
          <w:tcPr>
            <w:tcW w:w="4470" w:type="dxa"/>
          </w:tcPr>
          <w:p w14:paraId="017D498B" w14:textId="77777777" w:rsidR="00241417" w:rsidRPr="004710DC" w:rsidRDefault="00241417" w:rsidP="003A71DE">
            <w:pPr>
              <w:pStyle w:val="TAC"/>
              <w:rPr>
                <w:lang w:eastAsia="zh-CN"/>
              </w:rPr>
            </w:pPr>
            <w:r w:rsidRPr="004710DC">
              <w:rPr>
                <w:lang w:eastAsia="zh-CN"/>
              </w:rPr>
              <w:t>Subcarrier spacing [kHz]</w:t>
            </w:r>
          </w:p>
        </w:tc>
        <w:tc>
          <w:tcPr>
            <w:tcW w:w="2268" w:type="dxa"/>
          </w:tcPr>
          <w:p w14:paraId="3E7B028F" w14:textId="77777777" w:rsidR="00241417" w:rsidRPr="004710DC" w:rsidRDefault="00241417" w:rsidP="003A71DE">
            <w:pPr>
              <w:pStyle w:val="TAC"/>
              <w:rPr>
                <w:lang w:eastAsia="zh-CN"/>
              </w:rPr>
            </w:pPr>
            <w:r w:rsidRPr="004710DC">
              <w:rPr>
                <w:lang w:eastAsia="zh-CN"/>
              </w:rPr>
              <w:t>60</w:t>
            </w:r>
          </w:p>
        </w:tc>
        <w:tc>
          <w:tcPr>
            <w:tcW w:w="2312" w:type="dxa"/>
          </w:tcPr>
          <w:p w14:paraId="101DF01C" w14:textId="77777777" w:rsidR="00241417" w:rsidRPr="004710DC" w:rsidRDefault="00241417" w:rsidP="003A71DE">
            <w:pPr>
              <w:pStyle w:val="TAC"/>
              <w:rPr>
                <w:lang w:eastAsia="zh-CN"/>
              </w:rPr>
            </w:pPr>
            <w:r w:rsidRPr="004710DC">
              <w:rPr>
                <w:lang w:eastAsia="zh-CN"/>
              </w:rPr>
              <w:t>120</w:t>
            </w:r>
          </w:p>
        </w:tc>
      </w:tr>
      <w:tr w:rsidR="00241417" w:rsidRPr="004710DC" w14:paraId="0B9AFE8D" w14:textId="77777777" w:rsidTr="003A71DE">
        <w:trPr>
          <w:cantSplit/>
          <w:jc w:val="center"/>
        </w:trPr>
        <w:tc>
          <w:tcPr>
            <w:tcW w:w="4470" w:type="dxa"/>
          </w:tcPr>
          <w:p w14:paraId="453A447E" w14:textId="77777777" w:rsidR="00241417" w:rsidRPr="004710DC" w:rsidRDefault="00241417" w:rsidP="003A71DE">
            <w:pPr>
              <w:pStyle w:val="TAC"/>
            </w:pPr>
            <w:r w:rsidRPr="004710DC">
              <w:t>Allocated resource blocks</w:t>
            </w:r>
          </w:p>
        </w:tc>
        <w:tc>
          <w:tcPr>
            <w:tcW w:w="2268" w:type="dxa"/>
          </w:tcPr>
          <w:p w14:paraId="67626DF6" w14:textId="77777777" w:rsidR="00241417" w:rsidRPr="004710DC" w:rsidRDefault="00241417" w:rsidP="003A71DE">
            <w:pPr>
              <w:pStyle w:val="TAC"/>
            </w:pPr>
            <w:r w:rsidRPr="004710DC">
              <w:t>30</w:t>
            </w:r>
          </w:p>
        </w:tc>
        <w:tc>
          <w:tcPr>
            <w:tcW w:w="2312" w:type="dxa"/>
          </w:tcPr>
          <w:p w14:paraId="46216E8D" w14:textId="77777777" w:rsidR="00241417" w:rsidRPr="004710DC" w:rsidRDefault="00241417" w:rsidP="003A71DE">
            <w:pPr>
              <w:pStyle w:val="TAC"/>
            </w:pPr>
            <w:r w:rsidRPr="004710DC">
              <w:t>30</w:t>
            </w:r>
          </w:p>
        </w:tc>
      </w:tr>
      <w:tr w:rsidR="00241417" w:rsidRPr="004710DC" w14:paraId="43E7FB2E" w14:textId="77777777" w:rsidTr="003A71DE">
        <w:trPr>
          <w:cantSplit/>
          <w:jc w:val="center"/>
        </w:trPr>
        <w:tc>
          <w:tcPr>
            <w:tcW w:w="4470" w:type="dxa"/>
          </w:tcPr>
          <w:p w14:paraId="54242D34" w14:textId="77777777" w:rsidR="00241417" w:rsidRPr="00AD765F" w:rsidRDefault="00241417" w:rsidP="003A71DE">
            <w:pPr>
              <w:pStyle w:val="TAC"/>
              <w:rPr>
                <w:lang w:eastAsia="zh-CN"/>
              </w:rPr>
            </w:pPr>
            <w:r w:rsidRPr="00AD765F">
              <w:rPr>
                <w:lang w:eastAsia="zh-CN"/>
              </w:rPr>
              <w:t>DFT-s</w:t>
            </w:r>
            <w:r w:rsidRPr="00AD765F">
              <w:t xml:space="preserve">-OFDM Symbols per </w:t>
            </w:r>
            <w:r w:rsidRPr="00AD765F">
              <w:rPr>
                <w:lang w:eastAsia="zh-CN"/>
              </w:rPr>
              <w:t>slot (Note 1)</w:t>
            </w:r>
          </w:p>
        </w:tc>
        <w:tc>
          <w:tcPr>
            <w:tcW w:w="2268" w:type="dxa"/>
          </w:tcPr>
          <w:p w14:paraId="0AE716C2" w14:textId="77777777" w:rsidR="00241417" w:rsidRPr="004710DC" w:rsidRDefault="00241417" w:rsidP="003A71DE">
            <w:pPr>
              <w:pStyle w:val="TAC"/>
              <w:rPr>
                <w:lang w:eastAsia="zh-CN"/>
              </w:rPr>
            </w:pPr>
            <w:r w:rsidRPr="004710DC">
              <w:rPr>
                <w:lang w:eastAsia="zh-CN"/>
              </w:rPr>
              <w:t>8</w:t>
            </w:r>
          </w:p>
        </w:tc>
        <w:tc>
          <w:tcPr>
            <w:tcW w:w="2312" w:type="dxa"/>
          </w:tcPr>
          <w:p w14:paraId="5E60D569" w14:textId="77777777" w:rsidR="00241417" w:rsidRPr="004710DC" w:rsidRDefault="00241417" w:rsidP="003A71DE">
            <w:pPr>
              <w:pStyle w:val="TAC"/>
              <w:rPr>
                <w:lang w:eastAsia="zh-CN"/>
              </w:rPr>
            </w:pPr>
            <w:r w:rsidRPr="004710DC">
              <w:rPr>
                <w:lang w:eastAsia="zh-CN"/>
              </w:rPr>
              <w:t>8</w:t>
            </w:r>
          </w:p>
        </w:tc>
      </w:tr>
      <w:tr w:rsidR="00241417" w:rsidRPr="004710DC" w14:paraId="55C37318" w14:textId="77777777" w:rsidTr="003A71DE">
        <w:trPr>
          <w:cantSplit/>
          <w:jc w:val="center"/>
        </w:trPr>
        <w:tc>
          <w:tcPr>
            <w:tcW w:w="4470" w:type="dxa"/>
          </w:tcPr>
          <w:p w14:paraId="359BEBFA" w14:textId="77777777" w:rsidR="00241417" w:rsidRPr="004710DC" w:rsidRDefault="00241417" w:rsidP="003A71DE">
            <w:pPr>
              <w:pStyle w:val="TAC"/>
            </w:pPr>
            <w:r w:rsidRPr="004710DC">
              <w:t>Modulation</w:t>
            </w:r>
          </w:p>
        </w:tc>
        <w:tc>
          <w:tcPr>
            <w:tcW w:w="2268" w:type="dxa"/>
          </w:tcPr>
          <w:p w14:paraId="39B8AE9C" w14:textId="77777777" w:rsidR="00241417" w:rsidRPr="004710DC" w:rsidRDefault="00241417" w:rsidP="003A71DE">
            <w:pPr>
              <w:pStyle w:val="TAC"/>
              <w:rPr>
                <w:lang w:eastAsia="zh-CN"/>
              </w:rPr>
            </w:pPr>
            <w:r w:rsidRPr="004710DC">
              <w:rPr>
                <w:lang w:eastAsia="zh-CN"/>
              </w:rPr>
              <w:t>QPSK</w:t>
            </w:r>
          </w:p>
        </w:tc>
        <w:tc>
          <w:tcPr>
            <w:tcW w:w="2312" w:type="dxa"/>
          </w:tcPr>
          <w:p w14:paraId="7D0F79E0" w14:textId="77777777" w:rsidR="00241417" w:rsidRPr="004710DC" w:rsidRDefault="00241417" w:rsidP="003A71DE">
            <w:pPr>
              <w:pStyle w:val="TAC"/>
              <w:rPr>
                <w:lang w:eastAsia="zh-CN"/>
              </w:rPr>
            </w:pPr>
            <w:r w:rsidRPr="004710DC">
              <w:rPr>
                <w:lang w:eastAsia="zh-CN"/>
              </w:rPr>
              <w:t>QPSK</w:t>
            </w:r>
          </w:p>
        </w:tc>
      </w:tr>
      <w:tr w:rsidR="00241417" w:rsidRPr="004710DC" w14:paraId="148C4DCB" w14:textId="77777777" w:rsidTr="003A71DE">
        <w:trPr>
          <w:cantSplit/>
          <w:jc w:val="center"/>
        </w:trPr>
        <w:tc>
          <w:tcPr>
            <w:tcW w:w="4470" w:type="dxa"/>
          </w:tcPr>
          <w:p w14:paraId="46234F23" w14:textId="77777777" w:rsidR="00241417" w:rsidRPr="004710DC" w:rsidRDefault="00241417" w:rsidP="003A71DE">
            <w:pPr>
              <w:pStyle w:val="TAC"/>
            </w:pPr>
            <w:r>
              <w:t>Code Rate</w:t>
            </w:r>
          </w:p>
        </w:tc>
        <w:tc>
          <w:tcPr>
            <w:tcW w:w="2268" w:type="dxa"/>
          </w:tcPr>
          <w:p w14:paraId="539FCF60" w14:textId="77777777" w:rsidR="00241417" w:rsidRPr="004710DC" w:rsidRDefault="00241417" w:rsidP="003A71DE">
            <w:pPr>
              <w:pStyle w:val="TAC"/>
              <w:rPr>
                <w:lang w:eastAsia="zh-CN"/>
              </w:rPr>
            </w:pPr>
            <w:r w:rsidRPr="004710DC">
              <w:rPr>
                <w:lang w:eastAsia="zh-CN"/>
              </w:rPr>
              <w:t>193/1024</w:t>
            </w:r>
          </w:p>
        </w:tc>
        <w:tc>
          <w:tcPr>
            <w:tcW w:w="2312" w:type="dxa"/>
          </w:tcPr>
          <w:p w14:paraId="34E371AA" w14:textId="77777777" w:rsidR="00241417" w:rsidRPr="004710DC" w:rsidRDefault="00241417" w:rsidP="003A71DE">
            <w:pPr>
              <w:pStyle w:val="TAC"/>
              <w:rPr>
                <w:lang w:eastAsia="zh-CN"/>
              </w:rPr>
            </w:pPr>
            <w:r w:rsidRPr="004710DC">
              <w:rPr>
                <w:lang w:eastAsia="zh-CN"/>
              </w:rPr>
              <w:t>193/1024</w:t>
            </w:r>
          </w:p>
        </w:tc>
      </w:tr>
      <w:tr w:rsidR="00241417" w:rsidRPr="004710DC" w14:paraId="19B990FE" w14:textId="77777777" w:rsidTr="003A71DE">
        <w:trPr>
          <w:cantSplit/>
          <w:jc w:val="center"/>
        </w:trPr>
        <w:tc>
          <w:tcPr>
            <w:tcW w:w="4470" w:type="dxa"/>
          </w:tcPr>
          <w:p w14:paraId="65911FB6" w14:textId="77777777" w:rsidR="00241417" w:rsidRPr="004710DC" w:rsidRDefault="00241417" w:rsidP="003A71DE">
            <w:pPr>
              <w:pStyle w:val="TAC"/>
            </w:pPr>
            <w:r w:rsidRPr="004710DC">
              <w:t>Payload size (bits)</w:t>
            </w:r>
          </w:p>
        </w:tc>
        <w:tc>
          <w:tcPr>
            <w:tcW w:w="2268" w:type="dxa"/>
            <w:vAlign w:val="center"/>
          </w:tcPr>
          <w:p w14:paraId="0B7A8773" w14:textId="77777777" w:rsidR="00241417" w:rsidRPr="004710DC" w:rsidRDefault="00241417" w:rsidP="003A71DE">
            <w:pPr>
              <w:pStyle w:val="TAC"/>
            </w:pPr>
            <w:r w:rsidRPr="004710DC">
              <w:t>1128</w:t>
            </w:r>
          </w:p>
        </w:tc>
        <w:tc>
          <w:tcPr>
            <w:tcW w:w="2312" w:type="dxa"/>
            <w:vAlign w:val="center"/>
          </w:tcPr>
          <w:p w14:paraId="76AB03B1" w14:textId="77777777" w:rsidR="00241417" w:rsidRPr="004710DC" w:rsidRDefault="00241417" w:rsidP="003A71DE">
            <w:pPr>
              <w:pStyle w:val="TAC"/>
            </w:pPr>
            <w:r w:rsidRPr="004710DC">
              <w:t>1128</w:t>
            </w:r>
          </w:p>
        </w:tc>
      </w:tr>
      <w:tr w:rsidR="00241417" w:rsidRPr="004710DC" w14:paraId="04F60D23" w14:textId="77777777" w:rsidTr="003A71DE">
        <w:trPr>
          <w:cantSplit/>
          <w:jc w:val="center"/>
        </w:trPr>
        <w:tc>
          <w:tcPr>
            <w:tcW w:w="4470" w:type="dxa"/>
          </w:tcPr>
          <w:p w14:paraId="7EFC2521" w14:textId="77777777" w:rsidR="00241417" w:rsidRPr="004710DC" w:rsidRDefault="00241417" w:rsidP="003A71DE">
            <w:pPr>
              <w:pStyle w:val="TAC"/>
            </w:pPr>
            <w:r w:rsidRPr="004710DC">
              <w:t>Transport block CRC (bits)</w:t>
            </w:r>
          </w:p>
        </w:tc>
        <w:tc>
          <w:tcPr>
            <w:tcW w:w="2268" w:type="dxa"/>
          </w:tcPr>
          <w:p w14:paraId="2A29606B" w14:textId="77777777" w:rsidR="00241417" w:rsidRPr="004710DC" w:rsidRDefault="00241417" w:rsidP="003A71DE">
            <w:pPr>
              <w:pStyle w:val="TAC"/>
              <w:rPr>
                <w:rFonts w:ascii="SimSun" w:hAnsi="SimSun" w:cs="SimSun"/>
              </w:rPr>
            </w:pPr>
            <w:r w:rsidRPr="004710DC">
              <w:t>16</w:t>
            </w:r>
          </w:p>
        </w:tc>
        <w:tc>
          <w:tcPr>
            <w:tcW w:w="2312" w:type="dxa"/>
          </w:tcPr>
          <w:p w14:paraId="1064C569" w14:textId="77777777" w:rsidR="00241417" w:rsidRPr="004710DC" w:rsidRDefault="00241417" w:rsidP="003A71DE">
            <w:pPr>
              <w:pStyle w:val="TAC"/>
              <w:rPr>
                <w:rFonts w:ascii="SimSun" w:hAnsi="SimSun" w:cs="SimSun"/>
              </w:rPr>
            </w:pPr>
            <w:r w:rsidRPr="004710DC">
              <w:t>16</w:t>
            </w:r>
          </w:p>
        </w:tc>
      </w:tr>
      <w:tr w:rsidR="00241417" w:rsidRPr="004710DC" w14:paraId="45B74821" w14:textId="77777777" w:rsidTr="003A71DE">
        <w:trPr>
          <w:cantSplit/>
          <w:jc w:val="center"/>
        </w:trPr>
        <w:tc>
          <w:tcPr>
            <w:tcW w:w="4470" w:type="dxa"/>
          </w:tcPr>
          <w:p w14:paraId="6E62AFD5" w14:textId="77777777" w:rsidR="00241417" w:rsidRPr="00AD765F" w:rsidRDefault="00241417" w:rsidP="003A71DE">
            <w:pPr>
              <w:pStyle w:val="TAC"/>
            </w:pPr>
            <w:r w:rsidRPr="00AD765F">
              <w:t>Code block CRC size (bits)</w:t>
            </w:r>
          </w:p>
        </w:tc>
        <w:tc>
          <w:tcPr>
            <w:tcW w:w="2268" w:type="dxa"/>
          </w:tcPr>
          <w:p w14:paraId="5B008074" w14:textId="77777777" w:rsidR="00241417" w:rsidRPr="004710DC" w:rsidRDefault="00241417" w:rsidP="003A71DE">
            <w:pPr>
              <w:pStyle w:val="TAC"/>
              <w:rPr>
                <w:rFonts w:ascii="SimSun" w:hAnsi="SimSun" w:cs="SimSun"/>
                <w:szCs w:val="18"/>
              </w:rPr>
            </w:pPr>
            <w:r w:rsidRPr="004710DC">
              <w:t>-</w:t>
            </w:r>
          </w:p>
        </w:tc>
        <w:tc>
          <w:tcPr>
            <w:tcW w:w="2312" w:type="dxa"/>
          </w:tcPr>
          <w:p w14:paraId="3D4CC891" w14:textId="77777777" w:rsidR="00241417" w:rsidRPr="004710DC" w:rsidRDefault="00241417" w:rsidP="003A71DE">
            <w:pPr>
              <w:pStyle w:val="TAC"/>
              <w:rPr>
                <w:rFonts w:ascii="SimSun" w:hAnsi="SimSun" w:cs="SimSun"/>
                <w:szCs w:val="18"/>
              </w:rPr>
            </w:pPr>
            <w:r w:rsidRPr="004710DC">
              <w:t>-</w:t>
            </w:r>
          </w:p>
        </w:tc>
      </w:tr>
      <w:tr w:rsidR="00241417" w:rsidRPr="004710DC" w14:paraId="7A2838A8" w14:textId="77777777" w:rsidTr="003A71DE">
        <w:trPr>
          <w:cantSplit/>
          <w:jc w:val="center"/>
        </w:trPr>
        <w:tc>
          <w:tcPr>
            <w:tcW w:w="4470" w:type="dxa"/>
          </w:tcPr>
          <w:p w14:paraId="2356F195" w14:textId="77777777" w:rsidR="00241417" w:rsidRPr="00AD765F" w:rsidRDefault="00241417" w:rsidP="003A71DE">
            <w:pPr>
              <w:pStyle w:val="TAC"/>
            </w:pPr>
            <w:r w:rsidRPr="00AD765F">
              <w:t>Number of code blocks - C</w:t>
            </w:r>
          </w:p>
        </w:tc>
        <w:tc>
          <w:tcPr>
            <w:tcW w:w="2268" w:type="dxa"/>
            <w:vAlign w:val="center"/>
          </w:tcPr>
          <w:p w14:paraId="597EA191" w14:textId="77777777" w:rsidR="00241417" w:rsidRPr="004710DC" w:rsidRDefault="00241417" w:rsidP="003A71DE">
            <w:pPr>
              <w:pStyle w:val="TAC"/>
              <w:rPr>
                <w:rFonts w:ascii="SimSun" w:hAnsi="SimSun" w:cs="SimSun"/>
              </w:rPr>
            </w:pPr>
            <w:r w:rsidRPr="004710DC">
              <w:t>1</w:t>
            </w:r>
          </w:p>
        </w:tc>
        <w:tc>
          <w:tcPr>
            <w:tcW w:w="2312" w:type="dxa"/>
            <w:vAlign w:val="center"/>
          </w:tcPr>
          <w:p w14:paraId="6A09199B" w14:textId="77777777" w:rsidR="00241417" w:rsidRPr="004710DC" w:rsidRDefault="00241417" w:rsidP="003A71DE">
            <w:pPr>
              <w:pStyle w:val="TAC"/>
              <w:rPr>
                <w:rFonts w:ascii="SimSun" w:hAnsi="SimSun" w:cs="SimSun"/>
              </w:rPr>
            </w:pPr>
            <w:r w:rsidRPr="004710DC">
              <w:t>1</w:t>
            </w:r>
          </w:p>
        </w:tc>
      </w:tr>
      <w:tr w:rsidR="00241417" w:rsidRPr="004710DC" w14:paraId="15C39FDF" w14:textId="77777777" w:rsidTr="003A71DE">
        <w:trPr>
          <w:cantSplit/>
          <w:jc w:val="center"/>
        </w:trPr>
        <w:tc>
          <w:tcPr>
            <w:tcW w:w="4470" w:type="dxa"/>
          </w:tcPr>
          <w:p w14:paraId="74126DB4" w14:textId="77777777" w:rsidR="00241417" w:rsidRPr="00AD765F" w:rsidRDefault="00241417" w:rsidP="003A71DE">
            <w:pPr>
              <w:pStyle w:val="TAC"/>
              <w:rPr>
                <w:lang w:eastAsia="zh-CN"/>
              </w:rPr>
            </w:pPr>
            <w:r w:rsidRPr="00AD765F">
              <w:t>Code block size</w:t>
            </w:r>
            <w:r w:rsidRPr="00AD765F">
              <w:rPr>
                <w:rFonts w:eastAsia="Malgun Gothic" w:cs="Arial"/>
              </w:rPr>
              <w:t xml:space="preserve"> including CRC</w:t>
            </w:r>
            <w:r w:rsidRPr="00AD765F">
              <w:t xml:space="preserve"> (bits)</w:t>
            </w:r>
            <w:r w:rsidRPr="00AD765F">
              <w:rPr>
                <w:lang w:eastAsia="zh-CN"/>
              </w:rPr>
              <w:t xml:space="preserve"> </w:t>
            </w:r>
            <w:r w:rsidRPr="00AD765F">
              <w:rPr>
                <w:rFonts w:cs="Arial"/>
                <w:lang w:eastAsia="zh-CN"/>
              </w:rPr>
              <w:t>(Note 2)</w:t>
            </w:r>
          </w:p>
        </w:tc>
        <w:tc>
          <w:tcPr>
            <w:tcW w:w="2268" w:type="dxa"/>
            <w:vAlign w:val="center"/>
          </w:tcPr>
          <w:p w14:paraId="02078928" w14:textId="77777777" w:rsidR="00241417" w:rsidRPr="004710DC" w:rsidRDefault="00241417" w:rsidP="003A71DE">
            <w:pPr>
              <w:pStyle w:val="TAC"/>
              <w:rPr>
                <w:rFonts w:ascii="SimSun" w:hAnsi="SimSun" w:cs="SimSun"/>
              </w:rPr>
            </w:pPr>
            <w:r w:rsidRPr="004710DC">
              <w:rPr>
                <w:lang w:eastAsia="zh-CN"/>
              </w:rPr>
              <w:t>1144</w:t>
            </w:r>
          </w:p>
        </w:tc>
        <w:tc>
          <w:tcPr>
            <w:tcW w:w="2312" w:type="dxa"/>
            <w:vAlign w:val="center"/>
          </w:tcPr>
          <w:p w14:paraId="76257342" w14:textId="77777777" w:rsidR="00241417" w:rsidRPr="004710DC" w:rsidRDefault="00241417" w:rsidP="003A71DE">
            <w:pPr>
              <w:pStyle w:val="TAC"/>
              <w:rPr>
                <w:rFonts w:ascii="SimSun" w:hAnsi="SimSun" w:cs="SimSun"/>
              </w:rPr>
            </w:pPr>
            <w:r w:rsidRPr="004710DC">
              <w:rPr>
                <w:lang w:eastAsia="zh-CN"/>
              </w:rPr>
              <w:t>1144</w:t>
            </w:r>
            <w:r w:rsidRPr="004710DC">
              <w:rPr>
                <w:rFonts w:ascii="MS Gothic" w:eastAsia="MS Gothic" w:hAnsi="MS Gothic" w:cs="MS Gothic" w:hint="eastAsia"/>
              </w:rPr>
              <w:t xml:space="preserve">　</w:t>
            </w:r>
          </w:p>
        </w:tc>
      </w:tr>
      <w:tr w:rsidR="00241417" w:rsidRPr="004710DC" w14:paraId="7AA4070F" w14:textId="77777777" w:rsidTr="003A71DE">
        <w:trPr>
          <w:cantSplit/>
          <w:jc w:val="center"/>
        </w:trPr>
        <w:tc>
          <w:tcPr>
            <w:tcW w:w="4470" w:type="dxa"/>
          </w:tcPr>
          <w:p w14:paraId="0CD8DFFE"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2268" w:type="dxa"/>
          </w:tcPr>
          <w:p w14:paraId="7715CCAA" w14:textId="77777777" w:rsidR="00241417" w:rsidRPr="004710DC" w:rsidRDefault="00241417" w:rsidP="003A71DE">
            <w:pPr>
              <w:pStyle w:val="TAC"/>
              <w:rPr>
                <w:rFonts w:ascii="SimSun" w:hAnsi="SimSun" w:cs="SimSun"/>
              </w:rPr>
            </w:pPr>
            <w:r w:rsidRPr="004710DC">
              <w:t>5760</w:t>
            </w:r>
          </w:p>
        </w:tc>
        <w:tc>
          <w:tcPr>
            <w:tcW w:w="2312" w:type="dxa"/>
          </w:tcPr>
          <w:p w14:paraId="1A599B35" w14:textId="77777777" w:rsidR="00241417" w:rsidRPr="004710DC" w:rsidRDefault="00241417" w:rsidP="003A71DE">
            <w:pPr>
              <w:pStyle w:val="TAC"/>
              <w:rPr>
                <w:rFonts w:ascii="SimSun" w:hAnsi="SimSun" w:cs="SimSun"/>
              </w:rPr>
            </w:pPr>
            <w:r w:rsidRPr="004710DC">
              <w:t>5760</w:t>
            </w:r>
          </w:p>
        </w:tc>
      </w:tr>
      <w:tr w:rsidR="00241417" w:rsidRPr="004710DC" w14:paraId="4237AB92" w14:textId="77777777" w:rsidTr="003A71DE">
        <w:trPr>
          <w:cantSplit/>
          <w:jc w:val="center"/>
        </w:trPr>
        <w:tc>
          <w:tcPr>
            <w:tcW w:w="4470" w:type="dxa"/>
          </w:tcPr>
          <w:p w14:paraId="01AFBD3E"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2268" w:type="dxa"/>
          </w:tcPr>
          <w:p w14:paraId="4DFBB17D" w14:textId="77777777" w:rsidR="00241417" w:rsidRPr="004710DC" w:rsidRDefault="00241417" w:rsidP="003A71DE">
            <w:pPr>
              <w:pStyle w:val="TAC"/>
              <w:rPr>
                <w:rFonts w:ascii="SimSun" w:hAnsi="SimSun" w:cs="SimSun"/>
              </w:rPr>
            </w:pPr>
            <w:r w:rsidRPr="004710DC">
              <w:t>2880</w:t>
            </w:r>
          </w:p>
        </w:tc>
        <w:tc>
          <w:tcPr>
            <w:tcW w:w="2312" w:type="dxa"/>
          </w:tcPr>
          <w:p w14:paraId="4BD4EA91" w14:textId="77777777" w:rsidR="00241417" w:rsidRPr="004710DC" w:rsidRDefault="00241417" w:rsidP="003A71DE">
            <w:pPr>
              <w:pStyle w:val="TAC"/>
              <w:rPr>
                <w:rFonts w:ascii="SimSun" w:hAnsi="SimSun" w:cs="SimSun"/>
              </w:rPr>
            </w:pPr>
            <w:r w:rsidRPr="004710DC">
              <w:t>2880</w:t>
            </w:r>
          </w:p>
        </w:tc>
      </w:tr>
      <w:tr w:rsidR="00241417" w:rsidRPr="00AD765F" w14:paraId="6C6A554E" w14:textId="77777777" w:rsidTr="003A71DE">
        <w:trPr>
          <w:cantSplit/>
          <w:jc w:val="center"/>
        </w:trPr>
        <w:tc>
          <w:tcPr>
            <w:tcW w:w="9050" w:type="dxa"/>
            <w:gridSpan w:val="3"/>
          </w:tcPr>
          <w:p w14:paraId="6CBDD348"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w:t>
            </w:r>
            <w:r w:rsidRPr="00AD765F">
              <w:rPr>
                <w:lang w:eastAsia="zh-CN"/>
              </w:rPr>
              <w:t xml:space="preserve">and </w:t>
            </w:r>
            <w:r w:rsidRPr="00AD765F">
              <w:rPr>
                <w:i/>
                <w:lang w:eastAsia="zh-CN"/>
              </w:rPr>
              <w:t xml:space="preserve">l </w:t>
            </w:r>
            <w:r w:rsidRPr="00AD765F">
              <w:rPr>
                <w:lang w:eastAsia="zh-CN"/>
              </w:rPr>
              <w:t xml:space="preserve">=8 </w:t>
            </w:r>
            <w:r w:rsidRPr="00AD765F">
              <w:t>as per Table 6.4.1.1.3-3 of TS 38.211 [8].</w:t>
            </w:r>
          </w:p>
          <w:p w14:paraId="495F69CA"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 </w:t>
            </w:r>
            <w:r w:rsidRPr="00AD765F">
              <w:rPr>
                <w:lang w:eastAsia="zh-CN"/>
              </w:rPr>
              <w:t>5.2.2 of TS 38.212 [9].</w:t>
            </w:r>
          </w:p>
        </w:tc>
      </w:tr>
    </w:tbl>
    <w:p w14:paraId="465772E4" w14:textId="77777777" w:rsidR="00241417" w:rsidRPr="00AD765F" w:rsidRDefault="00241417" w:rsidP="00241417">
      <w:pPr>
        <w:rPr>
          <w:noProof/>
          <w:lang w:eastAsia="zh-CN"/>
        </w:rPr>
      </w:pPr>
    </w:p>
    <w:p w14:paraId="508546AF" w14:textId="77777777" w:rsidR="00241417" w:rsidRPr="004710DC" w:rsidRDefault="00241417" w:rsidP="00241417">
      <w:pPr>
        <w:pStyle w:val="Heading3"/>
        <w:rPr>
          <w:lang w:eastAsia="zh-CN"/>
        </w:rPr>
      </w:pPr>
      <w:bookmarkStart w:id="9179" w:name="_Toc29810923"/>
      <w:bookmarkStart w:id="9180" w:name="_Toc21103074"/>
      <w:bookmarkStart w:id="9181" w:name="_Toc37260495"/>
      <w:bookmarkStart w:id="9182" w:name="_Toc37267883"/>
      <w:bookmarkStart w:id="9183" w:name="_Toc44712490"/>
      <w:bookmarkStart w:id="9184" w:name="_Toc45893802"/>
      <w:bookmarkStart w:id="9185" w:name="_Toc53178508"/>
      <w:bookmarkStart w:id="9186" w:name="_Toc53178959"/>
      <w:bookmarkStart w:id="9187" w:name="_Toc61178219"/>
      <w:bookmarkStart w:id="9188" w:name="_Toc61178691"/>
      <w:bookmarkStart w:id="9189" w:name="_Toc74583575"/>
      <w:bookmarkStart w:id="9190" w:name="_Toc76542388"/>
      <w:bookmarkStart w:id="9191" w:name="_Toc82450370"/>
      <w:bookmarkStart w:id="9192" w:name="_Toc82451018"/>
      <w:bookmarkStart w:id="9193" w:name="_Toc89949407"/>
      <w:bookmarkStart w:id="9194" w:name="_Toc98755796"/>
      <w:bookmarkStart w:id="9195" w:name="_Toc98763388"/>
      <w:bookmarkStart w:id="9196" w:name="_Toc106184317"/>
      <w:r w:rsidRPr="004710DC">
        <w:t>A.</w:t>
      </w:r>
      <w:r>
        <w:rPr>
          <w:lang w:eastAsia="zh-CN"/>
        </w:rPr>
        <w:t>2.2</w:t>
      </w:r>
      <w:r w:rsidRPr="004710DC">
        <w:tab/>
        <w:t xml:space="preserve">Fixed Reference Channels for </w:t>
      </w:r>
      <w:r>
        <w:t xml:space="preserve">PUSCH </w:t>
      </w:r>
      <w:r w:rsidRPr="004710DC">
        <w:t>performance requirements (</w:t>
      </w:r>
      <w:r w:rsidRPr="004710DC">
        <w:rPr>
          <w:lang w:eastAsia="zh-CN"/>
        </w:rPr>
        <w:t>16QAM, R=434/1024</w:t>
      </w:r>
      <w:r w:rsidRPr="004710DC">
        <w:t>)</w:t>
      </w:r>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p>
    <w:p w14:paraId="23F59426" w14:textId="77777777" w:rsidR="00241417" w:rsidRPr="00AD765F" w:rsidRDefault="00241417" w:rsidP="00241417">
      <w:pPr>
        <w:rPr>
          <w:lang w:eastAsia="zh-CN"/>
        </w:rPr>
      </w:pPr>
      <w:r w:rsidRPr="00AD765F">
        <w:t xml:space="preserve">The parameters for the reference measurement channels are specified in </w:t>
      </w:r>
      <w:r w:rsidRPr="00AD765F">
        <w:rPr>
          <w:lang w:eastAsia="zh-CN"/>
        </w:rPr>
        <w:t xml:space="preserve">table A.2.2-1 </w:t>
      </w:r>
      <w:r w:rsidRPr="00AD765F">
        <w:t>for FR</w:t>
      </w:r>
      <w:r w:rsidRPr="00AD765F">
        <w:rPr>
          <w:lang w:eastAsia="zh-CN"/>
        </w:rPr>
        <w:t>2</w:t>
      </w:r>
      <w:r w:rsidRPr="00AD765F">
        <w:t xml:space="preserve"> PUSCH performance requirements </w:t>
      </w:r>
      <w:r w:rsidRPr="00AD765F">
        <w:rPr>
          <w:lang w:eastAsia="zh-CN"/>
        </w:rPr>
        <w:t xml:space="preserve">with transform precoding disabled, </w:t>
      </w:r>
      <w:r w:rsidRPr="00AD765F">
        <w:rPr>
          <w:rFonts w:eastAsia="DengXian"/>
          <w:lang w:eastAsia="zh-CN"/>
        </w:rPr>
        <w:t>a</w:t>
      </w:r>
      <w:r w:rsidRPr="00AD765F">
        <w:rPr>
          <w:lang w:eastAsia="zh-CN"/>
        </w:rPr>
        <w:t>dditional DM-RS position</w:t>
      </w:r>
      <w:r w:rsidRPr="00AD765F">
        <w:rPr>
          <w:rFonts w:eastAsia="DengXian"/>
          <w:lang w:eastAsia="zh-CN"/>
        </w:rPr>
        <w:t xml:space="preserve"> = pos0</w:t>
      </w:r>
      <w:r w:rsidRPr="00AD765F">
        <w:rPr>
          <w:lang w:eastAsia="zh-CN"/>
        </w:rPr>
        <w:t xml:space="preserve"> and 2 transmission layers</w:t>
      </w:r>
      <w:r w:rsidRPr="00AD765F">
        <w:t>.</w:t>
      </w:r>
    </w:p>
    <w:p w14:paraId="1F4130DA" w14:textId="77777777" w:rsidR="00241417" w:rsidRPr="00AD765F" w:rsidRDefault="00241417" w:rsidP="00241417">
      <w:r w:rsidRPr="00AD765F">
        <w:t xml:space="preserve">The parameters for the reference measurement channels are specified in </w:t>
      </w:r>
      <w:r w:rsidRPr="00AD765F">
        <w:rPr>
          <w:lang w:eastAsia="zh-CN"/>
        </w:rPr>
        <w:t xml:space="preserve">table A.2.2-2 </w:t>
      </w:r>
      <w:r w:rsidRPr="00AD765F">
        <w:t>for FR</w:t>
      </w:r>
      <w:r w:rsidRPr="00AD765F">
        <w:rPr>
          <w:lang w:eastAsia="zh-CN"/>
        </w:rPr>
        <w:t>2</w:t>
      </w:r>
      <w:r w:rsidRPr="00AD765F">
        <w:t xml:space="preserve"> PUSCH performance requirements </w:t>
      </w:r>
      <w:r w:rsidRPr="00AD765F">
        <w:rPr>
          <w:lang w:eastAsia="zh-CN"/>
        </w:rPr>
        <w:t xml:space="preserve">with transform precoding disabled, </w:t>
      </w:r>
      <w:r w:rsidRPr="00AD765F">
        <w:rPr>
          <w:rFonts w:eastAsia="DengXian"/>
          <w:lang w:eastAsia="zh-CN"/>
        </w:rPr>
        <w:t>a</w:t>
      </w:r>
      <w:r w:rsidRPr="00AD765F">
        <w:rPr>
          <w:lang w:eastAsia="zh-CN"/>
        </w:rPr>
        <w:t>dditional DM-RS position</w:t>
      </w:r>
      <w:r w:rsidRPr="00AD765F">
        <w:rPr>
          <w:rFonts w:eastAsia="DengXian"/>
          <w:lang w:eastAsia="zh-CN"/>
        </w:rPr>
        <w:t xml:space="preserve"> = pos1</w:t>
      </w:r>
      <w:r w:rsidRPr="00AD765F">
        <w:rPr>
          <w:lang w:eastAsia="zh-CN"/>
        </w:rPr>
        <w:t xml:space="preserve"> and 2 transmission layers</w:t>
      </w:r>
      <w:r w:rsidRPr="00AD765F">
        <w:t>.</w:t>
      </w:r>
    </w:p>
    <w:p w14:paraId="22FBD3C5" w14:textId="77777777" w:rsidR="00241417" w:rsidRPr="00AD765F" w:rsidRDefault="00241417" w:rsidP="00241417">
      <w:pPr>
        <w:rPr>
          <w:lang w:eastAsia="zh-CN"/>
        </w:rPr>
      </w:pPr>
    </w:p>
    <w:p w14:paraId="31F7E55D" w14:textId="77777777" w:rsidR="00241417" w:rsidRPr="004710DC" w:rsidRDefault="00241417" w:rsidP="00241417">
      <w:pPr>
        <w:pStyle w:val="TH"/>
        <w:rPr>
          <w:lang w:eastAsia="zh-CN"/>
        </w:rPr>
      </w:pPr>
      <w:r w:rsidRPr="00AD765F">
        <w:rPr>
          <w:lang w:eastAsia="zh-CN"/>
        </w:rPr>
        <w:lastRenderedPageBreak/>
        <w:t>Table A.2.2-1: FRC parameters for FR2 PUSCH performance requirements, transform precoding disabled, Additional DM-RS position = pos0 and 2 transmission layers (16QAM, R=434/1024)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0B41E8DA"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0E26EE7D" w14:textId="77777777" w:rsidR="00241417" w:rsidRPr="004710DC" w:rsidRDefault="00241417" w:rsidP="003A71DE">
            <w:pPr>
              <w:pStyle w:val="TAH"/>
              <w:rPr>
                <w:lang w:eastAsia="zh-CN"/>
              </w:rPr>
            </w:pPr>
            <w:r w:rsidRPr="004710DC">
              <w:rPr>
                <w:lang w:eastAsia="zh-CN"/>
              </w:rPr>
              <w:t>Reference channel</w:t>
            </w:r>
          </w:p>
        </w:tc>
        <w:tc>
          <w:tcPr>
            <w:tcW w:w="1076" w:type="dxa"/>
            <w:tcBorders>
              <w:top w:val="single" w:sz="4" w:space="0" w:color="auto"/>
              <w:left w:val="single" w:sz="4" w:space="0" w:color="auto"/>
              <w:bottom w:val="single" w:sz="4" w:space="0" w:color="auto"/>
              <w:right w:val="single" w:sz="4" w:space="0" w:color="auto"/>
            </w:tcBorders>
            <w:hideMark/>
          </w:tcPr>
          <w:p w14:paraId="0697F2C0" w14:textId="77777777" w:rsidR="00241417" w:rsidRPr="004710DC" w:rsidRDefault="00241417" w:rsidP="003A71DE">
            <w:pPr>
              <w:pStyle w:val="TAH"/>
              <w:rPr>
                <w:lang w:eastAsia="zh-CN"/>
              </w:rPr>
            </w:pPr>
            <w:r>
              <w:rPr>
                <w:lang w:eastAsia="zh-CN"/>
              </w:rPr>
              <w:t>D-FR2-A.2.2</w:t>
            </w:r>
            <w:r w:rsidRPr="004710DC">
              <w:rPr>
                <w:lang w:eastAsia="zh-CN"/>
              </w:rPr>
              <w:t>-1</w:t>
            </w:r>
          </w:p>
        </w:tc>
        <w:tc>
          <w:tcPr>
            <w:tcW w:w="1077" w:type="dxa"/>
            <w:tcBorders>
              <w:top w:val="single" w:sz="4" w:space="0" w:color="auto"/>
              <w:left w:val="single" w:sz="4" w:space="0" w:color="auto"/>
              <w:bottom w:val="single" w:sz="4" w:space="0" w:color="auto"/>
              <w:right w:val="single" w:sz="4" w:space="0" w:color="auto"/>
            </w:tcBorders>
            <w:hideMark/>
          </w:tcPr>
          <w:p w14:paraId="0E487237" w14:textId="77777777" w:rsidR="00241417" w:rsidRPr="004710DC" w:rsidRDefault="00241417" w:rsidP="003A71DE">
            <w:pPr>
              <w:pStyle w:val="TAH"/>
            </w:pPr>
            <w:r>
              <w:rPr>
                <w:lang w:eastAsia="zh-CN"/>
              </w:rPr>
              <w:t>D-FR2-A.2.2</w:t>
            </w:r>
            <w:r w:rsidRPr="004710DC">
              <w:rPr>
                <w:lang w:eastAsia="zh-CN"/>
              </w:rPr>
              <w:t>-2</w:t>
            </w:r>
          </w:p>
        </w:tc>
        <w:tc>
          <w:tcPr>
            <w:tcW w:w="1076" w:type="dxa"/>
            <w:tcBorders>
              <w:top w:val="single" w:sz="4" w:space="0" w:color="auto"/>
              <w:left w:val="single" w:sz="4" w:space="0" w:color="auto"/>
              <w:bottom w:val="single" w:sz="4" w:space="0" w:color="auto"/>
              <w:right w:val="single" w:sz="4" w:space="0" w:color="auto"/>
            </w:tcBorders>
            <w:hideMark/>
          </w:tcPr>
          <w:p w14:paraId="0C525FE1" w14:textId="77777777" w:rsidR="00241417" w:rsidRPr="004710DC" w:rsidRDefault="00241417" w:rsidP="003A71DE">
            <w:pPr>
              <w:pStyle w:val="TAH"/>
            </w:pPr>
            <w:r>
              <w:rPr>
                <w:lang w:eastAsia="zh-CN"/>
              </w:rPr>
              <w:t>D-FR2-A.2.2</w:t>
            </w:r>
            <w:r w:rsidRPr="004710DC">
              <w:rPr>
                <w:lang w:eastAsia="zh-CN"/>
              </w:rPr>
              <w:t>-3</w:t>
            </w:r>
          </w:p>
        </w:tc>
        <w:tc>
          <w:tcPr>
            <w:tcW w:w="1077" w:type="dxa"/>
            <w:tcBorders>
              <w:top w:val="single" w:sz="4" w:space="0" w:color="auto"/>
              <w:left w:val="single" w:sz="4" w:space="0" w:color="auto"/>
              <w:bottom w:val="single" w:sz="4" w:space="0" w:color="auto"/>
              <w:right w:val="single" w:sz="4" w:space="0" w:color="auto"/>
            </w:tcBorders>
            <w:hideMark/>
          </w:tcPr>
          <w:p w14:paraId="4F35018B" w14:textId="77777777" w:rsidR="00241417" w:rsidRPr="004710DC" w:rsidRDefault="00241417" w:rsidP="003A71DE">
            <w:pPr>
              <w:pStyle w:val="TAH"/>
            </w:pPr>
            <w:r>
              <w:rPr>
                <w:lang w:eastAsia="zh-CN"/>
              </w:rPr>
              <w:t>D-FR2-A.2.2</w:t>
            </w:r>
            <w:r w:rsidRPr="004710DC">
              <w:rPr>
                <w:lang w:eastAsia="zh-CN"/>
              </w:rPr>
              <w:t>-4</w:t>
            </w:r>
          </w:p>
        </w:tc>
        <w:tc>
          <w:tcPr>
            <w:tcW w:w="1077" w:type="dxa"/>
            <w:tcBorders>
              <w:top w:val="single" w:sz="4" w:space="0" w:color="auto"/>
              <w:left w:val="single" w:sz="4" w:space="0" w:color="auto"/>
              <w:bottom w:val="single" w:sz="4" w:space="0" w:color="auto"/>
              <w:right w:val="single" w:sz="4" w:space="0" w:color="auto"/>
            </w:tcBorders>
            <w:hideMark/>
          </w:tcPr>
          <w:p w14:paraId="3F892449" w14:textId="77777777" w:rsidR="00241417" w:rsidRPr="004710DC" w:rsidRDefault="00241417" w:rsidP="003A71DE">
            <w:pPr>
              <w:pStyle w:val="TAH"/>
            </w:pPr>
            <w:r>
              <w:rPr>
                <w:lang w:eastAsia="zh-CN"/>
              </w:rPr>
              <w:t>D-FR2-A.2.2</w:t>
            </w:r>
            <w:r w:rsidRPr="004710DC">
              <w:rPr>
                <w:lang w:eastAsia="zh-CN"/>
              </w:rPr>
              <w:t>-5</w:t>
            </w:r>
          </w:p>
        </w:tc>
      </w:tr>
      <w:tr w:rsidR="00241417" w:rsidRPr="004710DC" w14:paraId="1729378F"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7A8EAEFC" w14:textId="77777777" w:rsidR="00241417" w:rsidRPr="004710DC" w:rsidRDefault="00241417" w:rsidP="003A71DE">
            <w:pPr>
              <w:pStyle w:val="TAC"/>
              <w:rPr>
                <w:lang w:eastAsia="zh-CN"/>
              </w:rPr>
            </w:pPr>
            <w:r w:rsidRPr="004710DC">
              <w:rPr>
                <w:lang w:eastAsia="zh-CN"/>
              </w:rPr>
              <w:t>Subcarrier spacing [kHz]</w:t>
            </w:r>
          </w:p>
        </w:tc>
        <w:tc>
          <w:tcPr>
            <w:tcW w:w="1076" w:type="dxa"/>
            <w:tcBorders>
              <w:top w:val="single" w:sz="4" w:space="0" w:color="auto"/>
              <w:left w:val="single" w:sz="4" w:space="0" w:color="auto"/>
              <w:bottom w:val="single" w:sz="4" w:space="0" w:color="auto"/>
              <w:right w:val="single" w:sz="4" w:space="0" w:color="auto"/>
            </w:tcBorders>
            <w:hideMark/>
          </w:tcPr>
          <w:p w14:paraId="4EDBF7CD" w14:textId="77777777" w:rsidR="00241417" w:rsidRPr="004710DC" w:rsidRDefault="00241417" w:rsidP="003A71DE">
            <w:pPr>
              <w:pStyle w:val="TAC"/>
              <w:rPr>
                <w:lang w:eastAsia="zh-CN"/>
              </w:rPr>
            </w:pPr>
            <w:r w:rsidRPr="004710DC">
              <w:rPr>
                <w:lang w:eastAsia="zh-CN"/>
              </w:rPr>
              <w:t>60</w:t>
            </w:r>
          </w:p>
        </w:tc>
        <w:tc>
          <w:tcPr>
            <w:tcW w:w="1077" w:type="dxa"/>
            <w:tcBorders>
              <w:top w:val="single" w:sz="4" w:space="0" w:color="auto"/>
              <w:left w:val="single" w:sz="4" w:space="0" w:color="auto"/>
              <w:bottom w:val="single" w:sz="4" w:space="0" w:color="auto"/>
              <w:right w:val="single" w:sz="4" w:space="0" w:color="auto"/>
            </w:tcBorders>
            <w:hideMark/>
          </w:tcPr>
          <w:p w14:paraId="67BE4FDB" w14:textId="77777777" w:rsidR="00241417" w:rsidRPr="004710DC" w:rsidRDefault="00241417" w:rsidP="003A71DE">
            <w:pPr>
              <w:pStyle w:val="TAC"/>
              <w:rPr>
                <w:lang w:eastAsia="zh-CN"/>
              </w:rPr>
            </w:pPr>
            <w:r w:rsidRPr="004710DC">
              <w:rPr>
                <w:lang w:eastAsia="zh-CN"/>
              </w:rPr>
              <w:t>60</w:t>
            </w:r>
          </w:p>
        </w:tc>
        <w:tc>
          <w:tcPr>
            <w:tcW w:w="1076" w:type="dxa"/>
            <w:tcBorders>
              <w:top w:val="single" w:sz="4" w:space="0" w:color="auto"/>
              <w:left w:val="single" w:sz="4" w:space="0" w:color="auto"/>
              <w:bottom w:val="single" w:sz="4" w:space="0" w:color="auto"/>
              <w:right w:val="single" w:sz="4" w:space="0" w:color="auto"/>
            </w:tcBorders>
            <w:hideMark/>
          </w:tcPr>
          <w:p w14:paraId="0B0A8357" w14:textId="77777777" w:rsidR="00241417" w:rsidRPr="004710DC" w:rsidRDefault="00241417" w:rsidP="003A71DE">
            <w:pPr>
              <w:pStyle w:val="TAC"/>
              <w:rPr>
                <w:lang w:eastAsia="zh-CN"/>
              </w:rPr>
            </w:pPr>
            <w:r w:rsidRPr="004710DC">
              <w:rPr>
                <w:lang w:eastAsia="zh-CN"/>
              </w:rPr>
              <w:t>120</w:t>
            </w:r>
          </w:p>
        </w:tc>
        <w:tc>
          <w:tcPr>
            <w:tcW w:w="1077" w:type="dxa"/>
            <w:tcBorders>
              <w:top w:val="single" w:sz="4" w:space="0" w:color="auto"/>
              <w:left w:val="single" w:sz="4" w:space="0" w:color="auto"/>
              <w:bottom w:val="single" w:sz="4" w:space="0" w:color="auto"/>
              <w:right w:val="single" w:sz="4" w:space="0" w:color="auto"/>
            </w:tcBorders>
            <w:hideMark/>
          </w:tcPr>
          <w:p w14:paraId="2D5D60F8" w14:textId="77777777" w:rsidR="00241417" w:rsidRPr="004710DC" w:rsidRDefault="00241417" w:rsidP="003A71DE">
            <w:pPr>
              <w:pStyle w:val="TAC"/>
              <w:rPr>
                <w:lang w:eastAsia="zh-CN"/>
              </w:rPr>
            </w:pPr>
            <w:r w:rsidRPr="004710DC">
              <w:rPr>
                <w:lang w:eastAsia="zh-CN"/>
              </w:rPr>
              <w:t>120</w:t>
            </w:r>
          </w:p>
        </w:tc>
        <w:tc>
          <w:tcPr>
            <w:tcW w:w="1077" w:type="dxa"/>
            <w:tcBorders>
              <w:top w:val="single" w:sz="4" w:space="0" w:color="auto"/>
              <w:left w:val="single" w:sz="4" w:space="0" w:color="auto"/>
              <w:bottom w:val="single" w:sz="4" w:space="0" w:color="auto"/>
              <w:right w:val="single" w:sz="4" w:space="0" w:color="auto"/>
            </w:tcBorders>
            <w:hideMark/>
          </w:tcPr>
          <w:p w14:paraId="725DE50E" w14:textId="77777777" w:rsidR="00241417" w:rsidRPr="004710DC" w:rsidRDefault="00241417" w:rsidP="003A71DE">
            <w:pPr>
              <w:pStyle w:val="TAC"/>
              <w:rPr>
                <w:lang w:eastAsia="zh-CN"/>
              </w:rPr>
            </w:pPr>
            <w:r w:rsidRPr="004710DC">
              <w:rPr>
                <w:lang w:eastAsia="zh-CN"/>
              </w:rPr>
              <w:t>120</w:t>
            </w:r>
          </w:p>
        </w:tc>
      </w:tr>
      <w:tr w:rsidR="00241417" w:rsidRPr="004710DC" w14:paraId="0792D0A4"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3452AF7" w14:textId="77777777" w:rsidR="00241417" w:rsidRPr="004710DC" w:rsidRDefault="00241417" w:rsidP="003A71DE">
            <w:pPr>
              <w:pStyle w:val="TAC"/>
            </w:pPr>
            <w:r w:rsidRPr="004710DC">
              <w:t>Allocated resource blocks</w:t>
            </w:r>
          </w:p>
        </w:tc>
        <w:tc>
          <w:tcPr>
            <w:tcW w:w="1076" w:type="dxa"/>
            <w:tcBorders>
              <w:top w:val="single" w:sz="4" w:space="0" w:color="auto"/>
              <w:left w:val="single" w:sz="4" w:space="0" w:color="auto"/>
              <w:bottom w:val="single" w:sz="4" w:space="0" w:color="auto"/>
              <w:right w:val="single" w:sz="4" w:space="0" w:color="auto"/>
            </w:tcBorders>
            <w:hideMark/>
          </w:tcPr>
          <w:p w14:paraId="2F8DFA2E" w14:textId="77777777" w:rsidR="00241417" w:rsidRPr="004710DC" w:rsidRDefault="00241417" w:rsidP="003A71DE">
            <w:pPr>
              <w:pStyle w:val="TAC"/>
            </w:pPr>
            <w:r w:rsidRPr="004710DC">
              <w:t>66</w:t>
            </w:r>
          </w:p>
        </w:tc>
        <w:tc>
          <w:tcPr>
            <w:tcW w:w="1077" w:type="dxa"/>
            <w:tcBorders>
              <w:top w:val="single" w:sz="4" w:space="0" w:color="auto"/>
              <w:left w:val="single" w:sz="4" w:space="0" w:color="auto"/>
              <w:bottom w:val="single" w:sz="4" w:space="0" w:color="auto"/>
              <w:right w:val="single" w:sz="4" w:space="0" w:color="auto"/>
            </w:tcBorders>
            <w:hideMark/>
          </w:tcPr>
          <w:p w14:paraId="74C3963E" w14:textId="77777777" w:rsidR="00241417" w:rsidRPr="004710DC" w:rsidRDefault="00241417" w:rsidP="003A71DE">
            <w:pPr>
              <w:pStyle w:val="TAC"/>
            </w:pPr>
            <w:r w:rsidRPr="004710DC">
              <w:t>132</w:t>
            </w:r>
          </w:p>
        </w:tc>
        <w:tc>
          <w:tcPr>
            <w:tcW w:w="1076" w:type="dxa"/>
            <w:tcBorders>
              <w:top w:val="single" w:sz="4" w:space="0" w:color="auto"/>
              <w:left w:val="single" w:sz="4" w:space="0" w:color="auto"/>
              <w:bottom w:val="single" w:sz="4" w:space="0" w:color="auto"/>
              <w:right w:val="single" w:sz="4" w:space="0" w:color="auto"/>
            </w:tcBorders>
            <w:hideMark/>
          </w:tcPr>
          <w:p w14:paraId="0E67B912" w14:textId="77777777" w:rsidR="00241417" w:rsidRPr="004710DC" w:rsidRDefault="00241417" w:rsidP="003A71DE">
            <w:pPr>
              <w:pStyle w:val="TAC"/>
            </w:pPr>
            <w:r w:rsidRPr="004710DC">
              <w:t>32</w:t>
            </w:r>
          </w:p>
        </w:tc>
        <w:tc>
          <w:tcPr>
            <w:tcW w:w="1077" w:type="dxa"/>
            <w:tcBorders>
              <w:top w:val="single" w:sz="4" w:space="0" w:color="auto"/>
              <w:left w:val="single" w:sz="4" w:space="0" w:color="auto"/>
              <w:bottom w:val="single" w:sz="4" w:space="0" w:color="auto"/>
              <w:right w:val="single" w:sz="4" w:space="0" w:color="auto"/>
            </w:tcBorders>
            <w:hideMark/>
          </w:tcPr>
          <w:p w14:paraId="3C33946C" w14:textId="77777777" w:rsidR="00241417" w:rsidRPr="004710DC" w:rsidRDefault="00241417" w:rsidP="003A71DE">
            <w:pPr>
              <w:pStyle w:val="TAC"/>
            </w:pPr>
            <w:r w:rsidRPr="004710DC">
              <w:t>66</w:t>
            </w:r>
          </w:p>
        </w:tc>
        <w:tc>
          <w:tcPr>
            <w:tcW w:w="1077" w:type="dxa"/>
            <w:tcBorders>
              <w:top w:val="single" w:sz="4" w:space="0" w:color="auto"/>
              <w:left w:val="single" w:sz="4" w:space="0" w:color="auto"/>
              <w:bottom w:val="single" w:sz="4" w:space="0" w:color="auto"/>
              <w:right w:val="single" w:sz="4" w:space="0" w:color="auto"/>
            </w:tcBorders>
            <w:hideMark/>
          </w:tcPr>
          <w:p w14:paraId="21D1C582" w14:textId="77777777" w:rsidR="00241417" w:rsidRPr="004710DC" w:rsidRDefault="00241417" w:rsidP="003A71DE">
            <w:pPr>
              <w:pStyle w:val="TAC"/>
            </w:pPr>
            <w:r w:rsidRPr="004710DC">
              <w:t>132</w:t>
            </w:r>
          </w:p>
        </w:tc>
      </w:tr>
      <w:tr w:rsidR="00241417" w:rsidRPr="004710DC" w14:paraId="223F85B0"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65AD0D6"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Borders>
              <w:top w:val="single" w:sz="4" w:space="0" w:color="auto"/>
              <w:left w:val="single" w:sz="4" w:space="0" w:color="auto"/>
              <w:bottom w:val="single" w:sz="4" w:space="0" w:color="auto"/>
              <w:right w:val="single" w:sz="4" w:space="0" w:color="auto"/>
            </w:tcBorders>
            <w:hideMark/>
          </w:tcPr>
          <w:p w14:paraId="050A707F" w14:textId="77777777" w:rsidR="00241417" w:rsidRPr="004710DC" w:rsidRDefault="00241417" w:rsidP="003A71DE">
            <w:pPr>
              <w:pStyle w:val="TAC"/>
              <w:rPr>
                <w:lang w:eastAsia="zh-CN"/>
              </w:rPr>
            </w:pPr>
            <w:r w:rsidRPr="004710DC">
              <w:rPr>
                <w:lang w:eastAsia="zh-CN"/>
              </w:rPr>
              <w:t>9</w:t>
            </w:r>
          </w:p>
        </w:tc>
        <w:tc>
          <w:tcPr>
            <w:tcW w:w="1077" w:type="dxa"/>
            <w:tcBorders>
              <w:top w:val="single" w:sz="4" w:space="0" w:color="auto"/>
              <w:left w:val="single" w:sz="4" w:space="0" w:color="auto"/>
              <w:bottom w:val="single" w:sz="4" w:space="0" w:color="auto"/>
              <w:right w:val="single" w:sz="4" w:space="0" w:color="auto"/>
            </w:tcBorders>
            <w:hideMark/>
          </w:tcPr>
          <w:p w14:paraId="7C8A67F0" w14:textId="77777777" w:rsidR="00241417" w:rsidRPr="004710DC" w:rsidRDefault="00241417" w:rsidP="003A71DE">
            <w:pPr>
              <w:pStyle w:val="TAC"/>
              <w:rPr>
                <w:lang w:eastAsia="zh-CN"/>
              </w:rPr>
            </w:pPr>
            <w:r w:rsidRPr="004710DC">
              <w:rPr>
                <w:lang w:eastAsia="zh-CN"/>
              </w:rPr>
              <w:t>9</w:t>
            </w:r>
          </w:p>
        </w:tc>
        <w:tc>
          <w:tcPr>
            <w:tcW w:w="1076" w:type="dxa"/>
            <w:tcBorders>
              <w:top w:val="single" w:sz="4" w:space="0" w:color="auto"/>
              <w:left w:val="single" w:sz="4" w:space="0" w:color="auto"/>
              <w:bottom w:val="single" w:sz="4" w:space="0" w:color="auto"/>
              <w:right w:val="single" w:sz="4" w:space="0" w:color="auto"/>
            </w:tcBorders>
            <w:hideMark/>
          </w:tcPr>
          <w:p w14:paraId="64C25E0B" w14:textId="77777777" w:rsidR="00241417" w:rsidRPr="004710DC" w:rsidRDefault="00241417" w:rsidP="003A71DE">
            <w:pPr>
              <w:pStyle w:val="TAC"/>
              <w:rPr>
                <w:lang w:eastAsia="zh-CN"/>
              </w:rPr>
            </w:pPr>
            <w:r w:rsidRPr="004710DC">
              <w:rPr>
                <w:lang w:eastAsia="zh-CN"/>
              </w:rPr>
              <w:t>9</w:t>
            </w:r>
          </w:p>
        </w:tc>
        <w:tc>
          <w:tcPr>
            <w:tcW w:w="1077" w:type="dxa"/>
            <w:tcBorders>
              <w:top w:val="single" w:sz="4" w:space="0" w:color="auto"/>
              <w:left w:val="single" w:sz="4" w:space="0" w:color="auto"/>
              <w:bottom w:val="single" w:sz="4" w:space="0" w:color="auto"/>
              <w:right w:val="single" w:sz="4" w:space="0" w:color="auto"/>
            </w:tcBorders>
            <w:hideMark/>
          </w:tcPr>
          <w:p w14:paraId="0F9EAF94" w14:textId="77777777" w:rsidR="00241417" w:rsidRPr="004710DC" w:rsidRDefault="00241417" w:rsidP="003A71DE">
            <w:pPr>
              <w:pStyle w:val="TAC"/>
              <w:rPr>
                <w:lang w:eastAsia="zh-CN"/>
              </w:rPr>
            </w:pPr>
            <w:r w:rsidRPr="004710DC">
              <w:rPr>
                <w:lang w:eastAsia="zh-CN"/>
              </w:rPr>
              <w:t>9</w:t>
            </w:r>
          </w:p>
        </w:tc>
        <w:tc>
          <w:tcPr>
            <w:tcW w:w="1077" w:type="dxa"/>
            <w:tcBorders>
              <w:top w:val="single" w:sz="4" w:space="0" w:color="auto"/>
              <w:left w:val="single" w:sz="4" w:space="0" w:color="auto"/>
              <w:bottom w:val="single" w:sz="4" w:space="0" w:color="auto"/>
              <w:right w:val="single" w:sz="4" w:space="0" w:color="auto"/>
            </w:tcBorders>
            <w:hideMark/>
          </w:tcPr>
          <w:p w14:paraId="55C2839A" w14:textId="77777777" w:rsidR="00241417" w:rsidRPr="004710DC" w:rsidRDefault="00241417" w:rsidP="003A71DE">
            <w:pPr>
              <w:pStyle w:val="TAC"/>
              <w:rPr>
                <w:lang w:eastAsia="zh-CN"/>
              </w:rPr>
            </w:pPr>
            <w:r w:rsidRPr="004710DC">
              <w:rPr>
                <w:lang w:eastAsia="zh-CN"/>
              </w:rPr>
              <w:t>9</w:t>
            </w:r>
          </w:p>
        </w:tc>
      </w:tr>
      <w:tr w:rsidR="00241417" w:rsidRPr="004710DC" w14:paraId="63FD0B57"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79F86323" w14:textId="77777777" w:rsidR="00241417" w:rsidRPr="004710DC" w:rsidRDefault="00241417" w:rsidP="003A71DE">
            <w:pPr>
              <w:pStyle w:val="TAC"/>
            </w:pPr>
            <w:r w:rsidRPr="004710DC">
              <w:t>Modulation</w:t>
            </w:r>
          </w:p>
        </w:tc>
        <w:tc>
          <w:tcPr>
            <w:tcW w:w="1076" w:type="dxa"/>
            <w:tcBorders>
              <w:top w:val="single" w:sz="4" w:space="0" w:color="auto"/>
              <w:left w:val="single" w:sz="4" w:space="0" w:color="auto"/>
              <w:bottom w:val="single" w:sz="4" w:space="0" w:color="auto"/>
              <w:right w:val="single" w:sz="4" w:space="0" w:color="auto"/>
            </w:tcBorders>
            <w:hideMark/>
          </w:tcPr>
          <w:p w14:paraId="49002A61" w14:textId="77777777" w:rsidR="00241417" w:rsidRPr="004710DC" w:rsidRDefault="00241417" w:rsidP="003A71DE">
            <w:pPr>
              <w:pStyle w:val="TAC"/>
              <w:rPr>
                <w:lang w:eastAsia="zh-CN"/>
              </w:rPr>
            </w:pPr>
            <w:r w:rsidRPr="004710DC">
              <w:rPr>
                <w:lang w:eastAsia="zh-CN"/>
              </w:rPr>
              <w:t>16QAM</w:t>
            </w:r>
          </w:p>
        </w:tc>
        <w:tc>
          <w:tcPr>
            <w:tcW w:w="1077" w:type="dxa"/>
            <w:tcBorders>
              <w:top w:val="single" w:sz="4" w:space="0" w:color="auto"/>
              <w:left w:val="single" w:sz="4" w:space="0" w:color="auto"/>
              <w:bottom w:val="single" w:sz="4" w:space="0" w:color="auto"/>
              <w:right w:val="single" w:sz="4" w:space="0" w:color="auto"/>
            </w:tcBorders>
            <w:hideMark/>
          </w:tcPr>
          <w:p w14:paraId="26669E09" w14:textId="77777777" w:rsidR="00241417" w:rsidRPr="004710DC" w:rsidRDefault="00241417" w:rsidP="003A71DE">
            <w:pPr>
              <w:pStyle w:val="TAC"/>
              <w:rPr>
                <w:lang w:eastAsia="zh-CN"/>
              </w:rPr>
            </w:pPr>
            <w:r w:rsidRPr="004710DC">
              <w:rPr>
                <w:lang w:eastAsia="zh-CN"/>
              </w:rPr>
              <w:t>16QAM</w:t>
            </w:r>
          </w:p>
        </w:tc>
        <w:tc>
          <w:tcPr>
            <w:tcW w:w="1076" w:type="dxa"/>
            <w:tcBorders>
              <w:top w:val="single" w:sz="4" w:space="0" w:color="auto"/>
              <w:left w:val="single" w:sz="4" w:space="0" w:color="auto"/>
              <w:bottom w:val="single" w:sz="4" w:space="0" w:color="auto"/>
              <w:right w:val="single" w:sz="4" w:space="0" w:color="auto"/>
            </w:tcBorders>
            <w:hideMark/>
          </w:tcPr>
          <w:p w14:paraId="49C98E18" w14:textId="77777777" w:rsidR="00241417" w:rsidRPr="004710DC" w:rsidRDefault="00241417" w:rsidP="003A71DE">
            <w:pPr>
              <w:pStyle w:val="TAC"/>
              <w:rPr>
                <w:lang w:eastAsia="zh-CN"/>
              </w:rPr>
            </w:pPr>
            <w:r w:rsidRPr="004710DC">
              <w:rPr>
                <w:lang w:eastAsia="zh-CN"/>
              </w:rPr>
              <w:t>16QAM</w:t>
            </w:r>
          </w:p>
        </w:tc>
        <w:tc>
          <w:tcPr>
            <w:tcW w:w="1077" w:type="dxa"/>
            <w:tcBorders>
              <w:top w:val="single" w:sz="4" w:space="0" w:color="auto"/>
              <w:left w:val="single" w:sz="4" w:space="0" w:color="auto"/>
              <w:bottom w:val="single" w:sz="4" w:space="0" w:color="auto"/>
              <w:right w:val="single" w:sz="4" w:space="0" w:color="auto"/>
            </w:tcBorders>
            <w:hideMark/>
          </w:tcPr>
          <w:p w14:paraId="545D0BDB" w14:textId="77777777" w:rsidR="00241417" w:rsidRPr="004710DC" w:rsidRDefault="00241417" w:rsidP="003A71DE">
            <w:pPr>
              <w:pStyle w:val="TAC"/>
              <w:rPr>
                <w:lang w:eastAsia="zh-CN"/>
              </w:rPr>
            </w:pPr>
            <w:r w:rsidRPr="004710DC">
              <w:rPr>
                <w:lang w:eastAsia="zh-CN"/>
              </w:rPr>
              <w:t>16QAM</w:t>
            </w:r>
          </w:p>
        </w:tc>
        <w:tc>
          <w:tcPr>
            <w:tcW w:w="1077" w:type="dxa"/>
            <w:tcBorders>
              <w:top w:val="single" w:sz="4" w:space="0" w:color="auto"/>
              <w:left w:val="single" w:sz="4" w:space="0" w:color="auto"/>
              <w:bottom w:val="single" w:sz="4" w:space="0" w:color="auto"/>
              <w:right w:val="single" w:sz="4" w:space="0" w:color="auto"/>
            </w:tcBorders>
            <w:hideMark/>
          </w:tcPr>
          <w:p w14:paraId="109CA1EF" w14:textId="77777777" w:rsidR="00241417" w:rsidRPr="004710DC" w:rsidRDefault="00241417" w:rsidP="003A71DE">
            <w:pPr>
              <w:pStyle w:val="TAC"/>
              <w:rPr>
                <w:lang w:eastAsia="zh-CN"/>
              </w:rPr>
            </w:pPr>
            <w:r w:rsidRPr="004710DC">
              <w:rPr>
                <w:lang w:eastAsia="zh-CN"/>
              </w:rPr>
              <w:t>16QAM</w:t>
            </w:r>
          </w:p>
        </w:tc>
      </w:tr>
      <w:tr w:rsidR="00241417" w:rsidRPr="004710DC" w14:paraId="6D6D66C9"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7DA8E750" w14:textId="77777777" w:rsidR="00241417" w:rsidRPr="004710DC" w:rsidRDefault="00241417" w:rsidP="003A71DE">
            <w:pPr>
              <w:pStyle w:val="TAC"/>
            </w:pPr>
            <w:r>
              <w:t>Code Rate</w:t>
            </w:r>
          </w:p>
        </w:tc>
        <w:tc>
          <w:tcPr>
            <w:tcW w:w="1076" w:type="dxa"/>
            <w:tcBorders>
              <w:top w:val="single" w:sz="4" w:space="0" w:color="auto"/>
              <w:left w:val="single" w:sz="4" w:space="0" w:color="auto"/>
              <w:bottom w:val="single" w:sz="4" w:space="0" w:color="auto"/>
              <w:right w:val="single" w:sz="4" w:space="0" w:color="auto"/>
            </w:tcBorders>
            <w:hideMark/>
          </w:tcPr>
          <w:p w14:paraId="53BED8AE" w14:textId="77777777" w:rsidR="00241417" w:rsidRPr="004710DC" w:rsidRDefault="00241417" w:rsidP="003A71DE">
            <w:pPr>
              <w:pStyle w:val="TAC"/>
              <w:rPr>
                <w:lang w:eastAsia="zh-CN"/>
              </w:rPr>
            </w:pPr>
            <w:r w:rsidRPr="004710DC">
              <w:rPr>
                <w:lang w:eastAsia="zh-CN"/>
              </w:rPr>
              <w:t>434</w:t>
            </w:r>
            <w:r w:rsidRPr="004710DC">
              <w:t>/1024</w:t>
            </w:r>
          </w:p>
        </w:tc>
        <w:tc>
          <w:tcPr>
            <w:tcW w:w="1077" w:type="dxa"/>
            <w:tcBorders>
              <w:top w:val="single" w:sz="4" w:space="0" w:color="auto"/>
              <w:left w:val="single" w:sz="4" w:space="0" w:color="auto"/>
              <w:bottom w:val="single" w:sz="4" w:space="0" w:color="auto"/>
              <w:right w:val="single" w:sz="4" w:space="0" w:color="auto"/>
            </w:tcBorders>
            <w:hideMark/>
          </w:tcPr>
          <w:p w14:paraId="5B8B6559" w14:textId="77777777" w:rsidR="00241417" w:rsidRPr="004710DC" w:rsidRDefault="00241417" w:rsidP="003A71DE">
            <w:pPr>
              <w:pStyle w:val="TAC"/>
              <w:rPr>
                <w:lang w:eastAsia="zh-CN"/>
              </w:rPr>
            </w:pPr>
            <w:r w:rsidRPr="004710DC">
              <w:rPr>
                <w:lang w:eastAsia="zh-CN"/>
              </w:rPr>
              <w:t>434</w:t>
            </w:r>
            <w:r w:rsidRPr="004710DC">
              <w:t>/1024</w:t>
            </w:r>
          </w:p>
        </w:tc>
        <w:tc>
          <w:tcPr>
            <w:tcW w:w="1076" w:type="dxa"/>
            <w:tcBorders>
              <w:top w:val="single" w:sz="4" w:space="0" w:color="auto"/>
              <w:left w:val="single" w:sz="4" w:space="0" w:color="auto"/>
              <w:bottom w:val="single" w:sz="4" w:space="0" w:color="auto"/>
              <w:right w:val="single" w:sz="4" w:space="0" w:color="auto"/>
            </w:tcBorders>
            <w:hideMark/>
          </w:tcPr>
          <w:p w14:paraId="0DBBF4E1" w14:textId="77777777" w:rsidR="00241417" w:rsidRPr="004710DC" w:rsidRDefault="00241417" w:rsidP="003A71DE">
            <w:pPr>
              <w:pStyle w:val="TAC"/>
              <w:rPr>
                <w:lang w:eastAsia="zh-CN"/>
              </w:rPr>
            </w:pPr>
            <w:r w:rsidRPr="004710DC">
              <w:rPr>
                <w:lang w:eastAsia="zh-CN"/>
              </w:rPr>
              <w:t>434</w:t>
            </w:r>
            <w:r w:rsidRPr="004710DC">
              <w:t>/1024</w:t>
            </w:r>
          </w:p>
        </w:tc>
        <w:tc>
          <w:tcPr>
            <w:tcW w:w="1077" w:type="dxa"/>
            <w:tcBorders>
              <w:top w:val="single" w:sz="4" w:space="0" w:color="auto"/>
              <w:left w:val="single" w:sz="4" w:space="0" w:color="auto"/>
              <w:bottom w:val="single" w:sz="4" w:space="0" w:color="auto"/>
              <w:right w:val="single" w:sz="4" w:space="0" w:color="auto"/>
            </w:tcBorders>
            <w:hideMark/>
          </w:tcPr>
          <w:p w14:paraId="7EAE24A4" w14:textId="77777777" w:rsidR="00241417" w:rsidRPr="004710DC" w:rsidRDefault="00241417" w:rsidP="003A71DE">
            <w:pPr>
              <w:pStyle w:val="TAC"/>
              <w:rPr>
                <w:lang w:eastAsia="zh-CN"/>
              </w:rPr>
            </w:pPr>
            <w:r w:rsidRPr="004710DC">
              <w:rPr>
                <w:lang w:eastAsia="zh-CN"/>
              </w:rPr>
              <w:t>434</w:t>
            </w:r>
            <w:r w:rsidRPr="004710DC">
              <w:t>/1024</w:t>
            </w:r>
          </w:p>
        </w:tc>
        <w:tc>
          <w:tcPr>
            <w:tcW w:w="1077" w:type="dxa"/>
            <w:tcBorders>
              <w:top w:val="single" w:sz="4" w:space="0" w:color="auto"/>
              <w:left w:val="single" w:sz="4" w:space="0" w:color="auto"/>
              <w:bottom w:val="single" w:sz="4" w:space="0" w:color="auto"/>
              <w:right w:val="single" w:sz="4" w:space="0" w:color="auto"/>
            </w:tcBorders>
            <w:hideMark/>
          </w:tcPr>
          <w:p w14:paraId="79C09DA9" w14:textId="77777777" w:rsidR="00241417" w:rsidRPr="004710DC" w:rsidRDefault="00241417" w:rsidP="003A71DE">
            <w:pPr>
              <w:pStyle w:val="TAC"/>
              <w:rPr>
                <w:lang w:eastAsia="zh-CN"/>
              </w:rPr>
            </w:pPr>
            <w:r w:rsidRPr="004710DC">
              <w:rPr>
                <w:lang w:eastAsia="zh-CN"/>
              </w:rPr>
              <w:t>434</w:t>
            </w:r>
            <w:r w:rsidRPr="004710DC">
              <w:t>/1024</w:t>
            </w:r>
          </w:p>
        </w:tc>
      </w:tr>
      <w:tr w:rsidR="00241417" w:rsidRPr="004710DC" w14:paraId="04CADD90"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190D19BE" w14:textId="77777777" w:rsidR="00241417" w:rsidRPr="004710DC" w:rsidRDefault="00241417" w:rsidP="003A71DE">
            <w:pPr>
              <w:pStyle w:val="TAC"/>
            </w:pPr>
            <w:r w:rsidRPr="004710DC">
              <w:t>Payload size (bits)</w:t>
            </w:r>
          </w:p>
        </w:tc>
        <w:tc>
          <w:tcPr>
            <w:tcW w:w="1076" w:type="dxa"/>
            <w:tcBorders>
              <w:top w:val="single" w:sz="4" w:space="0" w:color="auto"/>
              <w:left w:val="single" w:sz="4" w:space="0" w:color="auto"/>
              <w:bottom w:val="single" w:sz="4" w:space="0" w:color="auto"/>
              <w:right w:val="single" w:sz="4" w:space="0" w:color="auto"/>
            </w:tcBorders>
            <w:vAlign w:val="center"/>
            <w:hideMark/>
          </w:tcPr>
          <w:p w14:paraId="26A15715" w14:textId="77777777" w:rsidR="00241417" w:rsidRPr="004710DC" w:rsidRDefault="00241417" w:rsidP="003A71DE">
            <w:pPr>
              <w:pStyle w:val="TAC"/>
            </w:pPr>
            <w:r w:rsidRPr="004710DC">
              <w:t>24072</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69677EE" w14:textId="77777777" w:rsidR="00241417" w:rsidRPr="004710DC" w:rsidRDefault="00241417" w:rsidP="003A71DE">
            <w:pPr>
              <w:pStyle w:val="TAC"/>
            </w:pPr>
            <w:r w:rsidRPr="004710DC">
              <w:t>48168</w:t>
            </w:r>
          </w:p>
        </w:tc>
        <w:tc>
          <w:tcPr>
            <w:tcW w:w="1076" w:type="dxa"/>
            <w:tcBorders>
              <w:top w:val="single" w:sz="4" w:space="0" w:color="auto"/>
              <w:left w:val="single" w:sz="4" w:space="0" w:color="auto"/>
              <w:bottom w:val="single" w:sz="4" w:space="0" w:color="auto"/>
              <w:right w:val="single" w:sz="4" w:space="0" w:color="auto"/>
            </w:tcBorders>
            <w:vAlign w:val="center"/>
            <w:hideMark/>
          </w:tcPr>
          <w:p w14:paraId="25839AE3" w14:textId="77777777" w:rsidR="00241417" w:rsidRPr="004710DC" w:rsidRDefault="00241417" w:rsidP="003A71DE">
            <w:pPr>
              <w:pStyle w:val="TAC"/>
            </w:pPr>
            <w:r w:rsidRPr="004710DC">
              <w:t>11784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4D9BD7F" w14:textId="77777777" w:rsidR="00241417" w:rsidRPr="004710DC" w:rsidRDefault="00241417" w:rsidP="003A71DE">
            <w:pPr>
              <w:pStyle w:val="TAC"/>
              <w:rPr>
                <w:lang w:eastAsia="zh-CN"/>
              </w:rPr>
            </w:pPr>
            <w:r w:rsidRPr="004710DC">
              <w:rPr>
                <w:lang w:eastAsia="zh-CN"/>
              </w:rPr>
              <w:t>24072</w:t>
            </w:r>
          </w:p>
        </w:tc>
        <w:tc>
          <w:tcPr>
            <w:tcW w:w="1077" w:type="dxa"/>
            <w:tcBorders>
              <w:top w:val="single" w:sz="4" w:space="0" w:color="auto"/>
              <w:left w:val="single" w:sz="4" w:space="0" w:color="auto"/>
              <w:bottom w:val="single" w:sz="4" w:space="0" w:color="auto"/>
              <w:right w:val="single" w:sz="4" w:space="0" w:color="auto"/>
            </w:tcBorders>
            <w:vAlign w:val="center"/>
            <w:hideMark/>
          </w:tcPr>
          <w:p w14:paraId="70479277" w14:textId="77777777" w:rsidR="00241417" w:rsidRPr="004710DC" w:rsidRDefault="00241417" w:rsidP="003A71DE">
            <w:pPr>
              <w:pStyle w:val="TAC"/>
            </w:pPr>
            <w:r w:rsidRPr="004710DC">
              <w:t>48168</w:t>
            </w:r>
          </w:p>
        </w:tc>
      </w:tr>
      <w:tr w:rsidR="00241417" w:rsidRPr="004710DC" w14:paraId="0A375EB0"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75A29A60" w14:textId="77777777" w:rsidR="00241417" w:rsidRPr="004710DC" w:rsidRDefault="00241417" w:rsidP="003A71DE">
            <w:pPr>
              <w:pStyle w:val="TAC"/>
            </w:pPr>
            <w:r w:rsidRPr="004710DC">
              <w:t>Transport block CRC (bits)</w:t>
            </w:r>
          </w:p>
        </w:tc>
        <w:tc>
          <w:tcPr>
            <w:tcW w:w="1076" w:type="dxa"/>
            <w:tcBorders>
              <w:top w:val="single" w:sz="4" w:space="0" w:color="auto"/>
              <w:left w:val="single" w:sz="4" w:space="0" w:color="auto"/>
              <w:bottom w:val="single" w:sz="4" w:space="0" w:color="auto"/>
              <w:right w:val="single" w:sz="4" w:space="0" w:color="auto"/>
            </w:tcBorders>
            <w:hideMark/>
          </w:tcPr>
          <w:p w14:paraId="7A09567F"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53484FA1" w14:textId="77777777" w:rsidR="00241417" w:rsidRPr="004710DC" w:rsidRDefault="00241417" w:rsidP="003A71DE">
            <w:pPr>
              <w:pStyle w:val="TAC"/>
              <w:rPr>
                <w:lang w:eastAsia="zh-CN"/>
              </w:rPr>
            </w:pPr>
            <w:r w:rsidRPr="004710DC">
              <w:rPr>
                <w:lang w:eastAsia="zh-CN"/>
              </w:rPr>
              <w:t>24</w:t>
            </w:r>
          </w:p>
        </w:tc>
        <w:tc>
          <w:tcPr>
            <w:tcW w:w="1076" w:type="dxa"/>
            <w:tcBorders>
              <w:top w:val="single" w:sz="4" w:space="0" w:color="auto"/>
              <w:left w:val="single" w:sz="4" w:space="0" w:color="auto"/>
              <w:bottom w:val="single" w:sz="4" w:space="0" w:color="auto"/>
              <w:right w:val="single" w:sz="4" w:space="0" w:color="auto"/>
            </w:tcBorders>
            <w:hideMark/>
          </w:tcPr>
          <w:p w14:paraId="1823B952"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2D892C7F"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027CD656" w14:textId="77777777" w:rsidR="00241417" w:rsidRPr="004710DC" w:rsidRDefault="00241417" w:rsidP="003A71DE">
            <w:pPr>
              <w:pStyle w:val="TAC"/>
              <w:rPr>
                <w:lang w:eastAsia="zh-CN"/>
              </w:rPr>
            </w:pPr>
            <w:r w:rsidRPr="004710DC">
              <w:rPr>
                <w:lang w:eastAsia="zh-CN"/>
              </w:rPr>
              <w:t>24</w:t>
            </w:r>
          </w:p>
        </w:tc>
      </w:tr>
      <w:tr w:rsidR="00241417" w:rsidRPr="004710DC" w14:paraId="6D4F90FE"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09383752" w14:textId="77777777" w:rsidR="00241417" w:rsidRPr="00AD765F" w:rsidRDefault="00241417" w:rsidP="003A71DE">
            <w:pPr>
              <w:pStyle w:val="TAC"/>
            </w:pPr>
            <w:r w:rsidRPr="00AD765F">
              <w:t>Code block CRC size (bits)</w:t>
            </w:r>
          </w:p>
        </w:tc>
        <w:tc>
          <w:tcPr>
            <w:tcW w:w="1076" w:type="dxa"/>
            <w:tcBorders>
              <w:top w:val="single" w:sz="4" w:space="0" w:color="auto"/>
              <w:left w:val="single" w:sz="4" w:space="0" w:color="auto"/>
              <w:bottom w:val="single" w:sz="4" w:space="0" w:color="auto"/>
              <w:right w:val="single" w:sz="4" w:space="0" w:color="auto"/>
            </w:tcBorders>
            <w:hideMark/>
          </w:tcPr>
          <w:p w14:paraId="4CAF03CB"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71316A79" w14:textId="77777777" w:rsidR="00241417" w:rsidRPr="004710DC" w:rsidRDefault="00241417" w:rsidP="003A71DE">
            <w:pPr>
              <w:pStyle w:val="TAC"/>
              <w:rPr>
                <w:lang w:eastAsia="zh-CN"/>
              </w:rPr>
            </w:pPr>
            <w:r w:rsidRPr="004710DC">
              <w:rPr>
                <w:lang w:eastAsia="zh-CN"/>
              </w:rPr>
              <w:t>24</w:t>
            </w:r>
          </w:p>
        </w:tc>
        <w:tc>
          <w:tcPr>
            <w:tcW w:w="1076" w:type="dxa"/>
            <w:tcBorders>
              <w:top w:val="single" w:sz="4" w:space="0" w:color="auto"/>
              <w:left w:val="single" w:sz="4" w:space="0" w:color="auto"/>
              <w:bottom w:val="single" w:sz="4" w:space="0" w:color="auto"/>
              <w:right w:val="single" w:sz="4" w:space="0" w:color="auto"/>
            </w:tcBorders>
            <w:hideMark/>
          </w:tcPr>
          <w:p w14:paraId="0FCE9434"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03184644"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554C5B18" w14:textId="77777777" w:rsidR="00241417" w:rsidRPr="004710DC" w:rsidRDefault="00241417" w:rsidP="003A71DE">
            <w:pPr>
              <w:pStyle w:val="TAC"/>
              <w:rPr>
                <w:lang w:eastAsia="zh-CN"/>
              </w:rPr>
            </w:pPr>
            <w:r w:rsidRPr="004710DC">
              <w:rPr>
                <w:lang w:eastAsia="zh-CN"/>
              </w:rPr>
              <w:t>24</w:t>
            </w:r>
          </w:p>
        </w:tc>
      </w:tr>
      <w:tr w:rsidR="00241417" w:rsidRPr="004710DC" w14:paraId="40201162"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07A58FC" w14:textId="77777777" w:rsidR="00241417" w:rsidRPr="00AD765F" w:rsidRDefault="00241417" w:rsidP="003A71DE">
            <w:pPr>
              <w:pStyle w:val="TAC"/>
            </w:pPr>
            <w:r w:rsidRPr="00AD765F">
              <w:t>Number of code blocks - C</w:t>
            </w:r>
          </w:p>
        </w:tc>
        <w:tc>
          <w:tcPr>
            <w:tcW w:w="1076" w:type="dxa"/>
            <w:tcBorders>
              <w:top w:val="single" w:sz="4" w:space="0" w:color="auto"/>
              <w:left w:val="single" w:sz="4" w:space="0" w:color="auto"/>
              <w:bottom w:val="single" w:sz="4" w:space="0" w:color="auto"/>
              <w:right w:val="single" w:sz="4" w:space="0" w:color="auto"/>
            </w:tcBorders>
            <w:vAlign w:val="center"/>
            <w:hideMark/>
          </w:tcPr>
          <w:p w14:paraId="10B48701" w14:textId="77777777" w:rsidR="00241417" w:rsidRPr="004710DC" w:rsidRDefault="00241417" w:rsidP="003A71DE">
            <w:pPr>
              <w:pStyle w:val="TAC"/>
              <w:rPr>
                <w:lang w:eastAsia="zh-CN"/>
              </w:rPr>
            </w:pPr>
            <w:r w:rsidRPr="004710DC">
              <w:rPr>
                <w:lang w:eastAsia="zh-CN"/>
              </w:rPr>
              <w:t>3</w:t>
            </w:r>
          </w:p>
        </w:tc>
        <w:tc>
          <w:tcPr>
            <w:tcW w:w="1077" w:type="dxa"/>
            <w:tcBorders>
              <w:top w:val="single" w:sz="4" w:space="0" w:color="auto"/>
              <w:left w:val="single" w:sz="4" w:space="0" w:color="auto"/>
              <w:bottom w:val="single" w:sz="4" w:space="0" w:color="auto"/>
              <w:right w:val="single" w:sz="4" w:space="0" w:color="auto"/>
            </w:tcBorders>
            <w:vAlign w:val="center"/>
            <w:hideMark/>
          </w:tcPr>
          <w:p w14:paraId="78ABE177" w14:textId="77777777" w:rsidR="00241417" w:rsidRPr="004710DC" w:rsidRDefault="00241417" w:rsidP="003A71DE">
            <w:pPr>
              <w:pStyle w:val="TAC"/>
              <w:rPr>
                <w:lang w:eastAsia="zh-CN"/>
              </w:rPr>
            </w:pPr>
            <w:r w:rsidRPr="004710DC">
              <w:rPr>
                <w:lang w:eastAsia="zh-CN"/>
              </w:rPr>
              <w:t>6</w:t>
            </w:r>
          </w:p>
        </w:tc>
        <w:tc>
          <w:tcPr>
            <w:tcW w:w="1076" w:type="dxa"/>
            <w:tcBorders>
              <w:top w:val="single" w:sz="4" w:space="0" w:color="auto"/>
              <w:left w:val="single" w:sz="4" w:space="0" w:color="auto"/>
              <w:bottom w:val="single" w:sz="4" w:space="0" w:color="auto"/>
              <w:right w:val="single" w:sz="4" w:space="0" w:color="auto"/>
            </w:tcBorders>
            <w:hideMark/>
          </w:tcPr>
          <w:p w14:paraId="74F58398" w14:textId="77777777" w:rsidR="00241417" w:rsidRPr="004710DC" w:rsidRDefault="00241417" w:rsidP="003A71DE">
            <w:pPr>
              <w:pStyle w:val="TAC"/>
              <w:rPr>
                <w:lang w:eastAsia="zh-CN"/>
              </w:rPr>
            </w:pPr>
            <w:r w:rsidRPr="004710DC">
              <w:rPr>
                <w:lang w:eastAsia="zh-CN"/>
              </w:rPr>
              <w:t>2</w:t>
            </w:r>
          </w:p>
        </w:tc>
        <w:tc>
          <w:tcPr>
            <w:tcW w:w="1077" w:type="dxa"/>
            <w:tcBorders>
              <w:top w:val="single" w:sz="4" w:space="0" w:color="auto"/>
              <w:left w:val="single" w:sz="4" w:space="0" w:color="auto"/>
              <w:bottom w:val="single" w:sz="4" w:space="0" w:color="auto"/>
              <w:right w:val="single" w:sz="4" w:space="0" w:color="auto"/>
            </w:tcBorders>
            <w:vAlign w:val="center"/>
            <w:hideMark/>
          </w:tcPr>
          <w:p w14:paraId="09C657AE" w14:textId="77777777" w:rsidR="00241417" w:rsidRPr="004710DC" w:rsidRDefault="00241417" w:rsidP="003A71DE">
            <w:pPr>
              <w:pStyle w:val="TAC"/>
              <w:rPr>
                <w:lang w:eastAsia="zh-CN"/>
              </w:rPr>
            </w:pPr>
            <w:r w:rsidRPr="004710DC">
              <w:rPr>
                <w:lang w:eastAsia="zh-CN"/>
              </w:rPr>
              <w:t>3</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91E72A0" w14:textId="77777777" w:rsidR="00241417" w:rsidRPr="004710DC" w:rsidRDefault="00241417" w:rsidP="003A71DE">
            <w:pPr>
              <w:pStyle w:val="TAC"/>
              <w:rPr>
                <w:lang w:eastAsia="zh-CN"/>
              </w:rPr>
            </w:pPr>
            <w:r w:rsidRPr="004710DC">
              <w:rPr>
                <w:lang w:eastAsia="zh-CN"/>
              </w:rPr>
              <w:t>6</w:t>
            </w:r>
          </w:p>
        </w:tc>
      </w:tr>
      <w:tr w:rsidR="00241417" w:rsidRPr="004710DC" w14:paraId="24C8725E"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947AB5A"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tcBorders>
              <w:top w:val="single" w:sz="4" w:space="0" w:color="auto"/>
              <w:left w:val="single" w:sz="4" w:space="0" w:color="auto"/>
              <w:bottom w:val="single" w:sz="4" w:space="0" w:color="auto"/>
              <w:right w:val="single" w:sz="4" w:space="0" w:color="auto"/>
            </w:tcBorders>
            <w:vAlign w:val="center"/>
            <w:hideMark/>
          </w:tcPr>
          <w:p w14:paraId="3D8571DD" w14:textId="77777777" w:rsidR="00241417" w:rsidRPr="004710DC" w:rsidRDefault="00241417" w:rsidP="003A71DE">
            <w:pPr>
              <w:pStyle w:val="TAC"/>
            </w:pPr>
            <w:r w:rsidRPr="004710DC">
              <w:t>8056</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36E00C7" w14:textId="77777777" w:rsidR="00241417" w:rsidRPr="004710DC" w:rsidRDefault="00241417" w:rsidP="003A71DE">
            <w:pPr>
              <w:pStyle w:val="TAC"/>
            </w:pPr>
            <w:r w:rsidRPr="004710DC">
              <w:t>8056</w:t>
            </w:r>
          </w:p>
        </w:tc>
        <w:tc>
          <w:tcPr>
            <w:tcW w:w="1076" w:type="dxa"/>
            <w:tcBorders>
              <w:top w:val="single" w:sz="4" w:space="0" w:color="auto"/>
              <w:left w:val="single" w:sz="4" w:space="0" w:color="auto"/>
              <w:bottom w:val="single" w:sz="4" w:space="0" w:color="auto"/>
              <w:right w:val="single" w:sz="4" w:space="0" w:color="auto"/>
            </w:tcBorders>
            <w:vAlign w:val="center"/>
            <w:hideMark/>
          </w:tcPr>
          <w:p w14:paraId="6E20B5CC" w14:textId="77777777" w:rsidR="00241417" w:rsidRPr="004710DC" w:rsidRDefault="00241417" w:rsidP="003A71DE">
            <w:pPr>
              <w:pStyle w:val="TAC"/>
            </w:pPr>
            <w:r w:rsidRPr="004710DC">
              <w:t>5928</w:t>
            </w:r>
          </w:p>
        </w:tc>
        <w:tc>
          <w:tcPr>
            <w:tcW w:w="1077" w:type="dxa"/>
            <w:tcBorders>
              <w:top w:val="single" w:sz="4" w:space="0" w:color="auto"/>
              <w:left w:val="single" w:sz="4" w:space="0" w:color="auto"/>
              <w:bottom w:val="single" w:sz="4" w:space="0" w:color="auto"/>
              <w:right w:val="single" w:sz="4" w:space="0" w:color="auto"/>
            </w:tcBorders>
            <w:vAlign w:val="center"/>
            <w:hideMark/>
          </w:tcPr>
          <w:p w14:paraId="77EB3556" w14:textId="77777777" w:rsidR="00241417" w:rsidRPr="004710DC" w:rsidRDefault="00241417" w:rsidP="003A71DE">
            <w:pPr>
              <w:pStyle w:val="TAC"/>
            </w:pPr>
            <w:r w:rsidRPr="004710DC">
              <w:t>8056</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56A298B" w14:textId="77777777" w:rsidR="00241417" w:rsidRPr="004710DC" w:rsidRDefault="00241417" w:rsidP="003A71DE">
            <w:pPr>
              <w:pStyle w:val="TAC"/>
            </w:pPr>
            <w:r w:rsidRPr="004710DC">
              <w:t>8056</w:t>
            </w:r>
          </w:p>
        </w:tc>
      </w:tr>
      <w:tr w:rsidR="00241417" w:rsidRPr="004710DC" w14:paraId="31EA974C"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38D854D1"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tcBorders>
              <w:top w:val="single" w:sz="4" w:space="0" w:color="auto"/>
              <w:left w:val="single" w:sz="4" w:space="0" w:color="auto"/>
              <w:bottom w:val="single" w:sz="4" w:space="0" w:color="auto"/>
              <w:right w:val="single" w:sz="4" w:space="0" w:color="auto"/>
            </w:tcBorders>
            <w:vAlign w:val="center"/>
            <w:hideMark/>
          </w:tcPr>
          <w:p w14:paraId="5E3AB981" w14:textId="77777777" w:rsidR="00241417" w:rsidRPr="004710DC" w:rsidRDefault="00241417" w:rsidP="003A71DE">
            <w:pPr>
              <w:pStyle w:val="TAC"/>
              <w:rPr>
                <w:lang w:eastAsia="zh-CN"/>
              </w:rPr>
            </w:pPr>
            <w:r w:rsidRPr="004710DC">
              <w:rPr>
                <w:lang w:eastAsia="zh-CN"/>
              </w:rPr>
              <w:t>57024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0DEB7311" w14:textId="77777777" w:rsidR="00241417" w:rsidRPr="004710DC" w:rsidRDefault="00241417" w:rsidP="003A71DE">
            <w:pPr>
              <w:pStyle w:val="TAC"/>
              <w:rPr>
                <w:lang w:eastAsia="zh-CN"/>
              </w:rPr>
            </w:pPr>
            <w:r w:rsidRPr="004710DC">
              <w:rPr>
                <w:lang w:eastAsia="zh-CN"/>
              </w:rPr>
              <w:t>114048</w:t>
            </w:r>
          </w:p>
        </w:tc>
        <w:tc>
          <w:tcPr>
            <w:tcW w:w="1076" w:type="dxa"/>
            <w:tcBorders>
              <w:top w:val="single" w:sz="4" w:space="0" w:color="auto"/>
              <w:left w:val="single" w:sz="4" w:space="0" w:color="auto"/>
              <w:bottom w:val="single" w:sz="4" w:space="0" w:color="auto"/>
              <w:right w:val="single" w:sz="4" w:space="0" w:color="auto"/>
            </w:tcBorders>
            <w:vAlign w:val="center"/>
            <w:hideMark/>
          </w:tcPr>
          <w:p w14:paraId="1CAA078E" w14:textId="77777777" w:rsidR="00241417" w:rsidRPr="004710DC" w:rsidRDefault="00241417" w:rsidP="003A71DE">
            <w:pPr>
              <w:pStyle w:val="TAC"/>
              <w:rPr>
                <w:lang w:eastAsia="zh-CN"/>
              </w:rPr>
            </w:pPr>
            <w:r w:rsidRPr="004710DC">
              <w:rPr>
                <w:lang w:eastAsia="zh-CN"/>
              </w:rPr>
              <w:t>27648</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1F084CA" w14:textId="77777777" w:rsidR="00241417" w:rsidRPr="004710DC" w:rsidRDefault="00241417" w:rsidP="003A71DE">
            <w:pPr>
              <w:pStyle w:val="TAC"/>
              <w:rPr>
                <w:lang w:eastAsia="zh-CN"/>
              </w:rPr>
            </w:pPr>
            <w:r w:rsidRPr="004710DC">
              <w:rPr>
                <w:lang w:eastAsia="zh-CN"/>
              </w:rPr>
              <w:t>57024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32307AF" w14:textId="77777777" w:rsidR="00241417" w:rsidRPr="004710DC" w:rsidRDefault="00241417" w:rsidP="003A71DE">
            <w:pPr>
              <w:pStyle w:val="TAC"/>
              <w:rPr>
                <w:lang w:eastAsia="zh-CN"/>
              </w:rPr>
            </w:pPr>
            <w:r w:rsidRPr="004710DC">
              <w:rPr>
                <w:lang w:eastAsia="zh-CN"/>
              </w:rPr>
              <w:t>114048</w:t>
            </w:r>
          </w:p>
        </w:tc>
      </w:tr>
      <w:tr w:rsidR="00241417" w:rsidRPr="004710DC" w14:paraId="2D40B668"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0FBB0678"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Borders>
              <w:top w:val="single" w:sz="4" w:space="0" w:color="auto"/>
              <w:left w:val="single" w:sz="4" w:space="0" w:color="auto"/>
              <w:bottom w:val="single" w:sz="4" w:space="0" w:color="auto"/>
              <w:right w:val="single" w:sz="4" w:space="0" w:color="auto"/>
            </w:tcBorders>
            <w:hideMark/>
          </w:tcPr>
          <w:p w14:paraId="14F3E47E" w14:textId="77777777" w:rsidR="00241417" w:rsidRPr="004710DC" w:rsidRDefault="00241417" w:rsidP="003A71DE">
            <w:pPr>
              <w:pStyle w:val="TAC"/>
              <w:rPr>
                <w:lang w:eastAsia="zh-CN"/>
              </w:rPr>
            </w:pPr>
            <w:r w:rsidRPr="004710DC">
              <w:rPr>
                <w:lang w:eastAsia="zh-CN"/>
              </w:rPr>
              <w:t>14256</w:t>
            </w:r>
          </w:p>
        </w:tc>
        <w:tc>
          <w:tcPr>
            <w:tcW w:w="1077" w:type="dxa"/>
            <w:tcBorders>
              <w:top w:val="single" w:sz="4" w:space="0" w:color="auto"/>
              <w:left w:val="single" w:sz="4" w:space="0" w:color="auto"/>
              <w:bottom w:val="single" w:sz="4" w:space="0" w:color="auto"/>
              <w:right w:val="single" w:sz="4" w:space="0" w:color="auto"/>
            </w:tcBorders>
            <w:hideMark/>
          </w:tcPr>
          <w:p w14:paraId="6B916068" w14:textId="77777777" w:rsidR="00241417" w:rsidRPr="004710DC" w:rsidRDefault="00241417" w:rsidP="003A71DE">
            <w:pPr>
              <w:pStyle w:val="TAC"/>
              <w:rPr>
                <w:lang w:eastAsia="zh-CN"/>
              </w:rPr>
            </w:pPr>
            <w:r w:rsidRPr="004710DC">
              <w:rPr>
                <w:lang w:eastAsia="zh-CN"/>
              </w:rPr>
              <w:t>28512</w:t>
            </w:r>
          </w:p>
        </w:tc>
        <w:tc>
          <w:tcPr>
            <w:tcW w:w="1076" w:type="dxa"/>
            <w:tcBorders>
              <w:top w:val="single" w:sz="4" w:space="0" w:color="auto"/>
              <w:left w:val="single" w:sz="4" w:space="0" w:color="auto"/>
              <w:bottom w:val="single" w:sz="4" w:space="0" w:color="auto"/>
              <w:right w:val="single" w:sz="4" w:space="0" w:color="auto"/>
            </w:tcBorders>
            <w:hideMark/>
          </w:tcPr>
          <w:p w14:paraId="432C5D2F" w14:textId="77777777" w:rsidR="00241417" w:rsidRPr="004710DC" w:rsidRDefault="00241417" w:rsidP="003A71DE">
            <w:pPr>
              <w:pStyle w:val="TAC"/>
              <w:rPr>
                <w:lang w:eastAsia="zh-CN"/>
              </w:rPr>
            </w:pPr>
            <w:r w:rsidRPr="004710DC">
              <w:rPr>
                <w:lang w:eastAsia="zh-CN"/>
              </w:rPr>
              <w:t>6912</w:t>
            </w:r>
          </w:p>
        </w:tc>
        <w:tc>
          <w:tcPr>
            <w:tcW w:w="1077" w:type="dxa"/>
            <w:tcBorders>
              <w:top w:val="single" w:sz="4" w:space="0" w:color="auto"/>
              <w:left w:val="single" w:sz="4" w:space="0" w:color="auto"/>
              <w:bottom w:val="single" w:sz="4" w:space="0" w:color="auto"/>
              <w:right w:val="single" w:sz="4" w:space="0" w:color="auto"/>
            </w:tcBorders>
            <w:hideMark/>
          </w:tcPr>
          <w:p w14:paraId="17FFA107" w14:textId="77777777" w:rsidR="00241417" w:rsidRPr="004710DC" w:rsidRDefault="00241417" w:rsidP="003A71DE">
            <w:pPr>
              <w:pStyle w:val="TAC"/>
              <w:rPr>
                <w:lang w:eastAsia="zh-CN"/>
              </w:rPr>
            </w:pPr>
            <w:r w:rsidRPr="004710DC">
              <w:rPr>
                <w:lang w:eastAsia="zh-CN"/>
              </w:rPr>
              <w:t>14256</w:t>
            </w:r>
          </w:p>
        </w:tc>
        <w:tc>
          <w:tcPr>
            <w:tcW w:w="1077" w:type="dxa"/>
            <w:tcBorders>
              <w:top w:val="single" w:sz="4" w:space="0" w:color="auto"/>
              <w:left w:val="single" w:sz="4" w:space="0" w:color="auto"/>
              <w:bottom w:val="single" w:sz="4" w:space="0" w:color="auto"/>
              <w:right w:val="single" w:sz="4" w:space="0" w:color="auto"/>
            </w:tcBorders>
            <w:hideMark/>
          </w:tcPr>
          <w:p w14:paraId="44D151EC" w14:textId="77777777" w:rsidR="00241417" w:rsidRPr="004710DC" w:rsidRDefault="00241417" w:rsidP="003A71DE">
            <w:pPr>
              <w:pStyle w:val="TAC"/>
              <w:rPr>
                <w:lang w:eastAsia="zh-CN"/>
              </w:rPr>
            </w:pPr>
            <w:r w:rsidRPr="004710DC">
              <w:rPr>
                <w:lang w:eastAsia="zh-CN"/>
              </w:rPr>
              <w:t>28512</w:t>
            </w:r>
          </w:p>
        </w:tc>
      </w:tr>
      <w:tr w:rsidR="00241417" w:rsidRPr="00AD765F" w14:paraId="531EDABB" w14:textId="77777777" w:rsidTr="003A71DE">
        <w:trPr>
          <w:cantSplit/>
          <w:jc w:val="center"/>
        </w:trPr>
        <w:tc>
          <w:tcPr>
            <w:tcW w:w="9333" w:type="dxa"/>
            <w:gridSpan w:val="6"/>
            <w:tcBorders>
              <w:top w:val="single" w:sz="4" w:space="0" w:color="auto"/>
              <w:left w:val="single" w:sz="4" w:space="0" w:color="auto"/>
              <w:bottom w:val="single" w:sz="4" w:space="0" w:color="auto"/>
              <w:right w:val="single" w:sz="4" w:space="0" w:color="auto"/>
            </w:tcBorders>
            <w:hideMark/>
          </w:tcPr>
          <w:p w14:paraId="26A28E4C"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pos0</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as per Table 6.4.1.1.3-3 of TS 38.211 [8].</w:t>
            </w:r>
          </w:p>
          <w:p w14:paraId="4539BD45"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lang w:eastAsia="zh-CN"/>
              </w:rPr>
              <w:t xml:space="preserve"> in sub-clause 5.2.2 of TS 38.212 [9].</w:t>
            </w:r>
          </w:p>
        </w:tc>
      </w:tr>
    </w:tbl>
    <w:p w14:paraId="61BA0987" w14:textId="77777777" w:rsidR="00241417" w:rsidRPr="00AD765F" w:rsidRDefault="00241417" w:rsidP="00241417">
      <w:pPr>
        <w:rPr>
          <w:lang w:eastAsia="zh-CN"/>
        </w:rPr>
      </w:pPr>
    </w:p>
    <w:p w14:paraId="390C78D4" w14:textId="77777777" w:rsidR="00241417" w:rsidRPr="00AD765F" w:rsidRDefault="00241417" w:rsidP="00241417">
      <w:pPr>
        <w:pStyle w:val="TH"/>
        <w:rPr>
          <w:lang w:eastAsia="zh-CN"/>
        </w:rPr>
      </w:pPr>
      <w:r w:rsidRPr="00AD765F">
        <w:rPr>
          <w:lang w:eastAsia="zh-CN"/>
        </w:rPr>
        <w:t>Table A.2.2-2: FRC parameters for FR2 PUSCH performance requirements, transform precoding disabled, Additional DM-RS position = pos1 and 2 transmission layers (16QAM, R=434/1024)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12FA4431"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E842F5D" w14:textId="77777777" w:rsidR="00241417" w:rsidRPr="004710DC" w:rsidRDefault="00241417" w:rsidP="003A71DE">
            <w:pPr>
              <w:pStyle w:val="TAH"/>
              <w:rPr>
                <w:lang w:eastAsia="zh-CN"/>
              </w:rPr>
            </w:pPr>
            <w:r w:rsidRPr="004710DC">
              <w:rPr>
                <w:lang w:eastAsia="zh-CN"/>
              </w:rPr>
              <w:t>Reference channel</w:t>
            </w:r>
          </w:p>
        </w:tc>
        <w:tc>
          <w:tcPr>
            <w:tcW w:w="1076" w:type="dxa"/>
            <w:tcBorders>
              <w:top w:val="single" w:sz="4" w:space="0" w:color="auto"/>
              <w:left w:val="single" w:sz="4" w:space="0" w:color="auto"/>
              <w:bottom w:val="single" w:sz="4" w:space="0" w:color="auto"/>
              <w:right w:val="single" w:sz="4" w:space="0" w:color="auto"/>
            </w:tcBorders>
            <w:hideMark/>
          </w:tcPr>
          <w:p w14:paraId="2019CE2A" w14:textId="77777777" w:rsidR="00241417" w:rsidRPr="004710DC" w:rsidRDefault="00241417" w:rsidP="003A71DE">
            <w:pPr>
              <w:pStyle w:val="TAH"/>
              <w:rPr>
                <w:lang w:eastAsia="zh-CN"/>
              </w:rPr>
            </w:pPr>
            <w:r>
              <w:rPr>
                <w:lang w:eastAsia="zh-CN"/>
              </w:rPr>
              <w:t>D-FR2-A.2.2</w:t>
            </w:r>
            <w:r w:rsidRPr="004710DC">
              <w:rPr>
                <w:lang w:eastAsia="zh-CN"/>
              </w:rPr>
              <w:t>-6</w:t>
            </w:r>
          </w:p>
        </w:tc>
        <w:tc>
          <w:tcPr>
            <w:tcW w:w="1077" w:type="dxa"/>
            <w:tcBorders>
              <w:top w:val="single" w:sz="4" w:space="0" w:color="auto"/>
              <w:left w:val="single" w:sz="4" w:space="0" w:color="auto"/>
              <w:bottom w:val="single" w:sz="4" w:space="0" w:color="auto"/>
              <w:right w:val="single" w:sz="4" w:space="0" w:color="auto"/>
            </w:tcBorders>
            <w:hideMark/>
          </w:tcPr>
          <w:p w14:paraId="1906F0C2" w14:textId="77777777" w:rsidR="00241417" w:rsidRPr="004710DC" w:rsidRDefault="00241417" w:rsidP="003A71DE">
            <w:pPr>
              <w:pStyle w:val="TAH"/>
            </w:pPr>
            <w:r>
              <w:rPr>
                <w:lang w:eastAsia="zh-CN"/>
              </w:rPr>
              <w:t>D-FR2-A.2.2</w:t>
            </w:r>
            <w:r w:rsidRPr="004710DC">
              <w:rPr>
                <w:lang w:eastAsia="zh-CN"/>
              </w:rPr>
              <w:t>-7</w:t>
            </w:r>
          </w:p>
        </w:tc>
        <w:tc>
          <w:tcPr>
            <w:tcW w:w="1076" w:type="dxa"/>
            <w:tcBorders>
              <w:top w:val="single" w:sz="4" w:space="0" w:color="auto"/>
              <w:left w:val="single" w:sz="4" w:space="0" w:color="auto"/>
              <w:bottom w:val="single" w:sz="4" w:space="0" w:color="auto"/>
              <w:right w:val="single" w:sz="4" w:space="0" w:color="auto"/>
            </w:tcBorders>
            <w:hideMark/>
          </w:tcPr>
          <w:p w14:paraId="3A4F119A" w14:textId="77777777" w:rsidR="00241417" w:rsidRPr="004710DC" w:rsidRDefault="00241417" w:rsidP="003A71DE">
            <w:pPr>
              <w:pStyle w:val="TAH"/>
            </w:pPr>
            <w:r>
              <w:rPr>
                <w:lang w:eastAsia="zh-CN"/>
              </w:rPr>
              <w:t>D-FR2-A.2.2</w:t>
            </w:r>
            <w:r w:rsidRPr="004710DC">
              <w:rPr>
                <w:lang w:eastAsia="zh-CN"/>
              </w:rPr>
              <w:t>-8</w:t>
            </w:r>
          </w:p>
        </w:tc>
        <w:tc>
          <w:tcPr>
            <w:tcW w:w="1077" w:type="dxa"/>
            <w:tcBorders>
              <w:top w:val="single" w:sz="4" w:space="0" w:color="auto"/>
              <w:left w:val="single" w:sz="4" w:space="0" w:color="auto"/>
              <w:bottom w:val="single" w:sz="4" w:space="0" w:color="auto"/>
              <w:right w:val="single" w:sz="4" w:space="0" w:color="auto"/>
            </w:tcBorders>
            <w:hideMark/>
          </w:tcPr>
          <w:p w14:paraId="06631398" w14:textId="77777777" w:rsidR="00241417" w:rsidRPr="004710DC" w:rsidRDefault="00241417" w:rsidP="003A71DE">
            <w:pPr>
              <w:pStyle w:val="TAH"/>
            </w:pPr>
            <w:r>
              <w:rPr>
                <w:lang w:eastAsia="zh-CN"/>
              </w:rPr>
              <w:t>D-FR2-A.2.2</w:t>
            </w:r>
            <w:r w:rsidRPr="004710DC">
              <w:rPr>
                <w:lang w:eastAsia="zh-CN"/>
              </w:rPr>
              <w:t>-9</w:t>
            </w:r>
          </w:p>
        </w:tc>
        <w:tc>
          <w:tcPr>
            <w:tcW w:w="1077" w:type="dxa"/>
            <w:tcBorders>
              <w:top w:val="single" w:sz="4" w:space="0" w:color="auto"/>
              <w:left w:val="single" w:sz="4" w:space="0" w:color="auto"/>
              <w:bottom w:val="single" w:sz="4" w:space="0" w:color="auto"/>
              <w:right w:val="single" w:sz="4" w:space="0" w:color="auto"/>
            </w:tcBorders>
            <w:hideMark/>
          </w:tcPr>
          <w:p w14:paraId="21F36F1C" w14:textId="77777777" w:rsidR="00241417" w:rsidRPr="004710DC" w:rsidRDefault="00241417" w:rsidP="003A71DE">
            <w:pPr>
              <w:pStyle w:val="TAH"/>
            </w:pPr>
            <w:r>
              <w:rPr>
                <w:lang w:eastAsia="zh-CN"/>
              </w:rPr>
              <w:t>D-FR2-A.2.2</w:t>
            </w:r>
            <w:r w:rsidRPr="004710DC">
              <w:rPr>
                <w:lang w:eastAsia="zh-CN"/>
              </w:rPr>
              <w:t>-10</w:t>
            </w:r>
          </w:p>
        </w:tc>
      </w:tr>
      <w:tr w:rsidR="00241417" w:rsidRPr="004710DC" w14:paraId="3060132F"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616B610" w14:textId="77777777" w:rsidR="00241417" w:rsidRPr="004710DC" w:rsidRDefault="00241417" w:rsidP="003A71DE">
            <w:pPr>
              <w:pStyle w:val="TAC"/>
              <w:rPr>
                <w:lang w:eastAsia="zh-CN"/>
              </w:rPr>
            </w:pPr>
            <w:r w:rsidRPr="004710DC">
              <w:rPr>
                <w:lang w:eastAsia="zh-CN"/>
              </w:rPr>
              <w:t>Subcarrier spacing [kHz]</w:t>
            </w:r>
          </w:p>
        </w:tc>
        <w:tc>
          <w:tcPr>
            <w:tcW w:w="1076" w:type="dxa"/>
            <w:tcBorders>
              <w:top w:val="single" w:sz="4" w:space="0" w:color="auto"/>
              <w:left w:val="single" w:sz="4" w:space="0" w:color="auto"/>
              <w:bottom w:val="single" w:sz="4" w:space="0" w:color="auto"/>
              <w:right w:val="single" w:sz="4" w:space="0" w:color="auto"/>
            </w:tcBorders>
            <w:hideMark/>
          </w:tcPr>
          <w:p w14:paraId="5053485F" w14:textId="77777777" w:rsidR="00241417" w:rsidRPr="004710DC" w:rsidRDefault="00241417" w:rsidP="003A71DE">
            <w:pPr>
              <w:pStyle w:val="TAC"/>
              <w:rPr>
                <w:lang w:eastAsia="zh-CN"/>
              </w:rPr>
            </w:pPr>
            <w:r w:rsidRPr="004710DC">
              <w:rPr>
                <w:lang w:eastAsia="zh-CN"/>
              </w:rPr>
              <w:t>60</w:t>
            </w:r>
          </w:p>
        </w:tc>
        <w:tc>
          <w:tcPr>
            <w:tcW w:w="1077" w:type="dxa"/>
            <w:tcBorders>
              <w:top w:val="single" w:sz="4" w:space="0" w:color="auto"/>
              <w:left w:val="single" w:sz="4" w:space="0" w:color="auto"/>
              <w:bottom w:val="single" w:sz="4" w:space="0" w:color="auto"/>
              <w:right w:val="single" w:sz="4" w:space="0" w:color="auto"/>
            </w:tcBorders>
            <w:hideMark/>
          </w:tcPr>
          <w:p w14:paraId="260C4612" w14:textId="77777777" w:rsidR="00241417" w:rsidRPr="004710DC" w:rsidRDefault="00241417" w:rsidP="003A71DE">
            <w:pPr>
              <w:pStyle w:val="TAC"/>
              <w:rPr>
                <w:lang w:eastAsia="zh-CN"/>
              </w:rPr>
            </w:pPr>
            <w:r w:rsidRPr="004710DC">
              <w:rPr>
                <w:lang w:eastAsia="zh-CN"/>
              </w:rPr>
              <w:t>60</w:t>
            </w:r>
          </w:p>
        </w:tc>
        <w:tc>
          <w:tcPr>
            <w:tcW w:w="1076" w:type="dxa"/>
            <w:tcBorders>
              <w:top w:val="single" w:sz="4" w:space="0" w:color="auto"/>
              <w:left w:val="single" w:sz="4" w:space="0" w:color="auto"/>
              <w:bottom w:val="single" w:sz="4" w:space="0" w:color="auto"/>
              <w:right w:val="single" w:sz="4" w:space="0" w:color="auto"/>
            </w:tcBorders>
            <w:hideMark/>
          </w:tcPr>
          <w:p w14:paraId="3FE8E70C" w14:textId="77777777" w:rsidR="00241417" w:rsidRPr="004710DC" w:rsidRDefault="00241417" w:rsidP="003A71DE">
            <w:pPr>
              <w:pStyle w:val="TAC"/>
              <w:rPr>
                <w:lang w:eastAsia="zh-CN"/>
              </w:rPr>
            </w:pPr>
            <w:r w:rsidRPr="004710DC">
              <w:rPr>
                <w:lang w:eastAsia="zh-CN"/>
              </w:rPr>
              <w:t>120</w:t>
            </w:r>
          </w:p>
        </w:tc>
        <w:tc>
          <w:tcPr>
            <w:tcW w:w="1077" w:type="dxa"/>
            <w:tcBorders>
              <w:top w:val="single" w:sz="4" w:space="0" w:color="auto"/>
              <w:left w:val="single" w:sz="4" w:space="0" w:color="auto"/>
              <w:bottom w:val="single" w:sz="4" w:space="0" w:color="auto"/>
              <w:right w:val="single" w:sz="4" w:space="0" w:color="auto"/>
            </w:tcBorders>
            <w:hideMark/>
          </w:tcPr>
          <w:p w14:paraId="64F48E46" w14:textId="77777777" w:rsidR="00241417" w:rsidRPr="004710DC" w:rsidRDefault="00241417" w:rsidP="003A71DE">
            <w:pPr>
              <w:pStyle w:val="TAC"/>
              <w:rPr>
                <w:lang w:eastAsia="zh-CN"/>
              </w:rPr>
            </w:pPr>
            <w:r w:rsidRPr="004710DC">
              <w:rPr>
                <w:lang w:eastAsia="zh-CN"/>
              </w:rPr>
              <w:t>120</w:t>
            </w:r>
          </w:p>
        </w:tc>
        <w:tc>
          <w:tcPr>
            <w:tcW w:w="1077" w:type="dxa"/>
            <w:tcBorders>
              <w:top w:val="single" w:sz="4" w:space="0" w:color="auto"/>
              <w:left w:val="single" w:sz="4" w:space="0" w:color="auto"/>
              <w:bottom w:val="single" w:sz="4" w:space="0" w:color="auto"/>
              <w:right w:val="single" w:sz="4" w:space="0" w:color="auto"/>
            </w:tcBorders>
            <w:hideMark/>
          </w:tcPr>
          <w:p w14:paraId="1503083F" w14:textId="77777777" w:rsidR="00241417" w:rsidRPr="004710DC" w:rsidRDefault="00241417" w:rsidP="003A71DE">
            <w:pPr>
              <w:pStyle w:val="TAC"/>
              <w:rPr>
                <w:lang w:eastAsia="zh-CN"/>
              </w:rPr>
            </w:pPr>
            <w:r w:rsidRPr="004710DC">
              <w:rPr>
                <w:lang w:eastAsia="zh-CN"/>
              </w:rPr>
              <w:t>120</w:t>
            </w:r>
          </w:p>
        </w:tc>
      </w:tr>
      <w:tr w:rsidR="00241417" w:rsidRPr="004710DC" w14:paraId="3B00AC51"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70CCB1B0" w14:textId="77777777" w:rsidR="00241417" w:rsidRPr="004710DC" w:rsidRDefault="00241417" w:rsidP="003A71DE">
            <w:pPr>
              <w:pStyle w:val="TAC"/>
            </w:pPr>
            <w:r w:rsidRPr="004710DC">
              <w:t>Allocated resource blocks</w:t>
            </w:r>
          </w:p>
        </w:tc>
        <w:tc>
          <w:tcPr>
            <w:tcW w:w="1076" w:type="dxa"/>
            <w:tcBorders>
              <w:top w:val="single" w:sz="4" w:space="0" w:color="auto"/>
              <w:left w:val="single" w:sz="4" w:space="0" w:color="auto"/>
              <w:bottom w:val="single" w:sz="4" w:space="0" w:color="auto"/>
              <w:right w:val="single" w:sz="4" w:space="0" w:color="auto"/>
            </w:tcBorders>
            <w:hideMark/>
          </w:tcPr>
          <w:p w14:paraId="77C98EF1" w14:textId="77777777" w:rsidR="00241417" w:rsidRPr="004710DC" w:rsidRDefault="00241417" w:rsidP="003A71DE">
            <w:pPr>
              <w:pStyle w:val="TAC"/>
            </w:pPr>
            <w:r w:rsidRPr="004710DC">
              <w:t>66</w:t>
            </w:r>
          </w:p>
        </w:tc>
        <w:tc>
          <w:tcPr>
            <w:tcW w:w="1077" w:type="dxa"/>
            <w:tcBorders>
              <w:top w:val="single" w:sz="4" w:space="0" w:color="auto"/>
              <w:left w:val="single" w:sz="4" w:space="0" w:color="auto"/>
              <w:bottom w:val="single" w:sz="4" w:space="0" w:color="auto"/>
              <w:right w:val="single" w:sz="4" w:space="0" w:color="auto"/>
            </w:tcBorders>
            <w:hideMark/>
          </w:tcPr>
          <w:p w14:paraId="0A7DA3DF" w14:textId="77777777" w:rsidR="00241417" w:rsidRPr="004710DC" w:rsidRDefault="00241417" w:rsidP="003A71DE">
            <w:pPr>
              <w:pStyle w:val="TAC"/>
            </w:pPr>
            <w:r w:rsidRPr="004710DC">
              <w:t>132</w:t>
            </w:r>
          </w:p>
        </w:tc>
        <w:tc>
          <w:tcPr>
            <w:tcW w:w="1076" w:type="dxa"/>
            <w:tcBorders>
              <w:top w:val="single" w:sz="4" w:space="0" w:color="auto"/>
              <w:left w:val="single" w:sz="4" w:space="0" w:color="auto"/>
              <w:bottom w:val="single" w:sz="4" w:space="0" w:color="auto"/>
              <w:right w:val="single" w:sz="4" w:space="0" w:color="auto"/>
            </w:tcBorders>
            <w:hideMark/>
          </w:tcPr>
          <w:p w14:paraId="11046048" w14:textId="77777777" w:rsidR="00241417" w:rsidRPr="004710DC" w:rsidRDefault="00241417" w:rsidP="003A71DE">
            <w:pPr>
              <w:pStyle w:val="TAC"/>
            </w:pPr>
            <w:r w:rsidRPr="004710DC">
              <w:t>32</w:t>
            </w:r>
          </w:p>
        </w:tc>
        <w:tc>
          <w:tcPr>
            <w:tcW w:w="1077" w:type="dxa"/>
            <w:tcBorders>
              <w:top w:val="single" w:sz="4" w:space="0" w:color="auto"/>
              <w:left w:val="single" w:sz="4" w:space="0" w:color="auto"/>
              <w:bottom w:val="single" w:sz="4" w:space="0" w:color="auto"/>
              <w:right w:val="single" w:sz="4" w:space="0" w:color="auto"/>
            </w:tcBorders>
            <w:hideMark/>
          </w:tcPr>
          <w:p w14:paraId="6FEE5B75" w14:textId="77777777" w:rsidR="00241417" w:rsidRPr="004710DC" w:rsidRDefault="00241417" w:rsidP="003A71DE">
            <w:pPr>
              <w:pStyle w:val="TAC"/>
            </w:pPr>
            <w:r w:rsidRPr="004710DC">
              <w:t>66</w:t>
            </w:r>
          </w:p>
        </w:tc>
        <w:tc>
          <w:tcPr>
            <w:tcW w:w="1077" w:type="dxa"/>
            <w:tcBorders>
              <w:top w:val="single" w:sz="4" w:space="0" w:color="auto"/>
              <w:left w:val="single" w:sz="4" w:space="0" w:color="auto"/>
              <w:bottom w:val="single" w:sz="4" w:space="0" w:color="auto"/>
              <w:right w:val="single" w:sz="4" w:space="0" w:color="auto"/>
            </w:tcBorders>
            <w:hideMark/>
          </w:tcPr>
          <w:p w14:paraId="26378547" w14:textId="77777777" w:rsidR="00241417" w:rsidRPr="004710DC" w:rsidRDefault="00241417" w:rsidP="003A71DE">
            <w:pPr>
              <w:pStyle w:val="TAC"/>
            </w:pPr>
            <w:r w:rsidRPr="004710DC">
              <w:t>132</w:t>
            </w:r>
          </w:p>
        </w:tc>
      </w:tr>
      <w:tr w:rsidR="00241417" w:rsidRPr="004710DC" w14:paraId="69B9BFE9"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23DF69C2"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Borders>
              <w:top w:val="single" w:sz="4" w:space="0" w:color="auto"/>
              <w:left w:val="single" w:sz="4" w:space="0" w:color="auto"/>
              <w:bottom w:val="single" w:sz="4" w:space="0" w:color="auto"/>
              <w:right w:val="single" w:sz="4" w:space="0" w:color="auto"/>
            </w:tcBorders>
            <w:hideMark/>
          </w:tcPr>
          <w:p w14:paraId="4CE8F225" w14:textId="77777777" w:rsidR="00241417" w:rsidRPr="004710DC" w:rsidRDefault="00241417" w:rsidP="003A71DE">
            <w:pPr>
              <w:pStyle w:val="TAC"/>
              <w:rPr>
                <w:lang w:eastAsia="zh-CN"/>
              </w:rPr>
            </w:pPr>
            <w:r w:rsidRPr="004710DC">
              <w:rPr>
                <w:lang w:eastAsia="zh-CN"/>
              </w:rPr>
              <w:t>8</w:t>
            </w:r>
          </w:p>
        </w:tc>
        <w:tc>
          <w:tcPr>
            <w:tcW w:w="1077" w:type="dxa"/>
            <w:tcBorders>
              <w:top w:val="single" w:sz="4" w:space="0" w:color="auto"/>
              <w:left w:val="single" w:sz="4" w:space="0" w:color="auto"/>
              <w:bottom w:val="single" w:sz="4" w:space="0" w:color="auto"/>
              <w:right w:val="single" w:sz="4" w:space="0" w:color="auto"/>
            </w:tcBorders>
            <w:hideMark/>
          </w:tcPr>
          <w:p w14:paraId="1F9E57E6" w14:textId="77777777" w:rsidR="00241417" w:rsidRPr="004710DC" w:rsidRDefault="00241417" w:rsidP="003A71DE">
            <w:pPr>
              <w:pStyle w:val="TAC"/>
              <w:rPr>
                <w:lang w:eastAsia="zh-CN"/>
              </w:rPr>
            </w:pPr>
            <w:r w:rsidRPr="004710DC">
              <w:rPr>
                <w:lang w:eastAsia="zh-CN"/>
              </w:rPr>
              <w:t>8</w:t>
            </w:r>
          </w:p>
        </w:tc>
        <w:tc>
          <w:tcPr>
            <w:tcW w:w="1076" w:type="dxa"/>
            <w:tcBorders>
              <w:top w:val="single" w:sz="4" w:space="0" w:color="auto"/>
              <w:left w:val="single" w:sz="4" w:space="0" w:color="auto"/>
              <w:bottom w:val="single" w:sz="4" w:space="0" w:color="auto"/>
              <w:right w:val="single" w:sz="4" w:space="0" w:color="auto"/>
            </w:tcBorders>
            <w:hideMark/>
          </w:tcPr>
          <w:p w14:paraId="189EDFF5" w14:textId="77777777" w:rsidR="00241417" w:rsidRPr="004710DC" w:rsidRDefault="00241417" w:rsidP="003A71DE">
            <w:pPr>
              <w:pStyle w:val="TAC"/>
              <w:rPr>
                <w:lang w:eastAsia="zh-CN"/>
              </w:rPr>
            </w:pPr>
            <w:r w:rsidRPr="004710DC">
              <w:rPr>
                <w:lang w:eastAsia="zh-CN"/>
              </w:rPr>
              <w:t>8</w:t>
            </w:r>
          </w:p>
        </w:tc>
        <w:tc>
          <w:tcPr>
            <w:tcW w:w="1077" w:type="dxa"/>
            <w:tcBorders>
              <w:top w:val="single" w:sz="4" w:space="0" w:color="auto"/>
              <w:left w:val="single" w:sz="4" w:space="0" w:color="auto"/>
              <w:bottom w:val="single" w:sz="4" w:space="0" w:color="auto"/>
              <w:right w:val="single" w:sz="4" w:space="0" w:color="auto"/>
            </w:tcBorders>
            <w:hideMark/>
          </w:tcPr>
          <w:p w14:paraId="220285D5" w14:textId="77777777" w:rsidR="00241417" w:rsidRPr="004710DC" w:rsidRDefault="00241417" w:rsidP="003A71DE">
            <w:pPr>
              <w:pStyle w:val="TAC"/>
              <w:rPr>
                <w:lang w:eastAsia="zh-CN"/>
              </w:rPr>
            </w:pPr>
            <w:r w:rsidRPr="004710DC">
              <w:rPr>
                <w:lang w:eastAsia="zh-CN"/>
              </w:rPr>
              <w:t>8</w:t>
            </w:r>
          </w:p>
        </w:tc>
        <w:tc>
          <w:tcPr>
            <w:tcW w:w="1077" w:type="dxa"/>
            <w:tcBorders>
              <w:top w:val="single" w:sz="4" w:space="0" w:color="auto"/>
              <w:left w:val="single" w:sz="4" w:space="0" w:color="auto"/>
              <w:bottom w:val="single" w:sz="4" w:space="0" w:color="auto"/>
              <w:right w:val="single" w:sz="4" w:space="0" w:color="auto"/>
            </w:tcBorders>
            <w:hideMark/>
          </w:tcPr>
          <w:p w14:paraId="55D50F53" w14:textId="77777777" w:rsidR="00241417" w:rsidRPr="004710DC" w:rsidRDefault="00241417" w:rsidP="003A71DE">
            <w:pPr>
              <w:pStyle w:val="TAC"/>
              <w:rPr>
                <w:lang w:eastAsia="zh-CN"/>
              </w:rPr>
            </w:pPr>
            <w:r w:rsidRPr="004710DC">
              <w:rPr>
                <w:lang w:eastAsia="zh-CN"/>
              </w:rPr>
              <w:t>8</w:t>
            </w:r>
          </w:p>
        </w:tc>
      </w:tr>
      <w:tr w:rsidR="00241417" w:rsidRPr="004710DC" w14:paraId="73E2683D"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160448E8" w14:textId="77777777" w:rsidR="00241417" w:rsidRPr="004710DC" w:rsidRDefault="00241417" w:rsidP="003A71DE">
            <w:pPr>
              <w:pStyle w:val="TAC"/>
            </w:pPr>
            <w:r w:rsidRPr="004710DC">
              <w:t>Modulation</w:t>
            </w:r>
          </w:p>
        </w:tc>
        <w:tc>
          <w:tcPr>
            <w:tcW w:w="1076" w:type="dxa"/>
            <w:tcBorders>
              <w:top w:val="single" w:sz="4" w:space="0" w:color="auto"/>
              <w:left w:val="single" w:sz="4" w:space="0" w:color="auto"/>
              <w:bottom w:val="single" w:sz="4" w:space="0" w:color="auto"/>
              <w:right w:val="single" w:sz="4" w:space="0" w:color="auto"/>
            </w:tcBorders>
            <w:hideMark/>
          </w:tcPr>
          <w:p w14:paraId="3D6D980A" w14:textId="77777777" w:rsidR="00241417" w:rsidRPr="004710DC" w:rsidRDefault="00241417" w:rsidP="003A71DE">
            <w:pPr>
              <w:pStyle w:val="TAC"/>
              <w:rPr>
                <w:lang w:eastAsia="zh-CN"/>
              </w:rPr>
            </w:pPr>
            <w:r w:rsidRPr="004710DC">
              <w:rPr>
                <w:lang w:eastAsia="zh-CN"/>
              </w:rPr>
              <w:t>16QAM</w:t>
            </w:r>
          </w:p>
        </w:tc>
        <w:tc>
          <w:tcPr>
            <w:tcW w:w="1077" w:type="dxa"/>
            <w:tcBorders>
              <w:top w:val="single" w:sz="4" w:space="0" w:color="auto"/>
              <w:left w:val="single" w:sz="4" w:space="0" w:color="auto"/>
              <w:bottom w:val="single" w:sz="4" w:space="0" w:color="auto"/>
              <w:right w:val="single" w:sz="4" w:space="0" w:color="auto"/>
            </w:tcBorders>
            <w:hideMark/>
          </w:tcPr>
          <w:p w14:paraId="306E9478" w14:textId="77777777" w:rsidR="00241417" w:rsidRPr="004710DC" w:rsidRDefault="00241417" w:rsidP="003A71DE">
            <w:pPr>
              <w:pStyle w:val="TAC"/>
              <w:rPr>
                <w:lang w:eastAsia="zh-CN"/>
              </w:rPr>
            </w:pPr>
            <w:r w:rsidRPr="004710DC">
              <w:rPr>
                <w:lang w:eastAsia="zh-CN"/>
              </w:rPr>
              <w:t>16QAM</w:t>
            </w:r>
          </w:p>
        </w:tc>
        <w:tc>
          <w:tcPr>
            <w:tcW w:w="1076" w:type="dxa"/>
            <w:tcBorders>
              <w:top w:val="single" w:sz="4" w:space="0" w:color="auto"/>
              <w:left w:val="single" w:sz="4" w:space="0" w:color="auto"/>
              <w:bottom w:val="single" w:sz="4" w:space="0" w:color="auto"/>
              <w:right w:val="single" w:sz="4" w:space="0" w:color="auto"/>
            </w:tcBorders>
            <w:hideMark/>
          </w:tcPr>
          <w:p w14:paraId="1D429B75" w14:textId="77777777" w:rsidR="00241417" w:rsidRPr="004710DC" w:rsidRDefault="00241417" w:rsidP="003A71DE">
            <w:pPr>
              <w:pStyle w:val="TAC"/>
              <w:rPr>
                <w:lang w:eastAsia="zh-CN"/>
              </w:rPr>
            </w:pPr>
            <w:r w:rsidRPr="004710DC">
              <w:rPr>
                <w:lang w:eastAsia="zh-CN"/>
              </w:rPr>
              <w:t>16QAM</w:t>
            </w:r>
          </w:p>
        </w:tc>
        <w:tc>
          <w:tcPr>
            <w:tcW w:w="1077" w:type="dxa"/>
            <w:tcBorders>
              <w:top w:val="single" w:sz="4" w:space="0" w:color="auto"/>
              <w:left w:val="single" w:sz="4" w:space="0" w:color="auto"/>
              <w:bottom w:val="single" w:sz="4" w:space="0" w:color="auto"/>
              <w:right w:val="single" w:sz="4" w:space="0" w:color="auto"/>
            </w:tcBorders>
            <w:hideMark/>
          </w:tcPr>
          <w:p w14:paraId="1F52A582" w14:textId="77777777" w:rsidR="00241417" w:rsidRPr="004710DC" w:rsidRDefault="00241417" w:rsidP="003A71DE">
            <w:pPr>
              <w:pStyle w:val="TAC"/>
              <w:rPr>
                <w:lang w:eastAsia="zh-CN"/>
              </w:rPr>
            </w:pPr>
            <w:r w:rsidRPr="004710DC">
              <w:rPr>
                <w:lang w:eastAsia="zh-CN"/>
              </w:rPr>
              <w:t>16QAM</w:t>
            </w:r>
          </w:p>
        </w:tc>
        <w:tc>
          <w:tcPr>
            <w:tcW w:w="1077" w:type="dxa"/>
            <w:tcBorders>
              <w:top w:val="single" w:sz="4" w:space="0" w:color="auto"/>
              <w:left w:val="single" w:sz="4" w:space="0" w:color="auto"/>
              <w:bottom w:val="single" w:sz="4" w:space="0" w:color="auto"/>
              <w:right w:val="single" w:sz="4" w:space="0" w:color="auto"/>
            </w:tcBorders>
            <w:hideMark/>
          </w:tcPr>
          <w:p w14:paraId="40A42313" w14:textId="77777777" w:rsidR="00241417" w:rsidRPr="004710DC" w:rsidRDefault="00241417" w:rsidP="003A71DE">
            <w:pPr>
              <w:pStyle w:val="TAC"/>
              <w:rPr>
                <w:lang w:eastAsia="zh-CN"/>
              </w:rPr>
            </w:pPr>
            <w:r w:rsidRPr="004710DC">
              <w:rPr>
                <w:lang w:eastAsia="zh-CN"/>
              </w:rPr>
              <w:t>16QAM</w:t>
            </w:r>
          </w:p>
        </w:tc>
      </w:tr>
      <w:tr w:rsidR="00241417" w:rsidRPr="004710DC" w14:paraId="41501FC0"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4FC5F248" w14:textId="77777777" w:rsidR="00241417" w:rsidRPr="004710DC" w:rsidRDefault="00241417" w:rsidP="003A71DE">
            <w:pPr>
              <w:pStyle w:val="TAC"/>
            </w:pPr>
            <w:r>
              <w:t>Code Rate</w:t>
            </w:r>
          </w:p>
        </w:tc>
        <w:tc>
          <w:tcPr>
            <w:tcW w:w="1076" w:type="dxa"/>
            <w:tcBorders>
              <w:top w:val="single" w:sz="4" w:space="0" w:color="auto"/>
              <w:left w:val="single" w:sz="4" w:space="0" w:color="auto"/>
              <w:bottom w:val="single" w:sz="4" w:space="0" w:color="auto"/>
              <w:right w:val="single" w:sz="4" w:space="0" w:color="auto"/>
            </w:tcBorders>
            <w:hideMark/>
          </w:tcPr>
          <w:p w14:paraId="77EC9363" w14:textId="77777777" w:rsidR="00241417" w:rsidRPr="004710DC" w:rsidRDefault="00241417" w:rsidP="003A71DE">
            <w:pPr>
              <w:pStyle w:val="TAC"/>
              <w:rPr>
                <w:lang w:eastAsia="zh-CN"/>
              </w:rPr>
            </w:pPr>
            <w:r w:rsidRPr="004710DC">
              <w:rPr>
                <w:lang w:eastAsia="zh-CN"/>
              </w:rPr>
              <w:t>434</w:t>
            </w:r>
            <w:r w:rsidRPr="004710DC">
              <w:t>/1024</w:t>
            </w:r>
          </w:p>
        </w:tc>
        <w:tc>
          <w:tcPr>
            <w:tcW w:w="1077" w:type="dxa"/>
            <w:tcBorders>
              <w:top w:val="single" w:sz="4" w:space="0" w:color="auto"/>
              <w:left w:val="single" w:sz="4" w:space="0" w:color="auto"/>
              <w:bottom w:val="single" w:sz="4" w:space="0" w:color="auto"/>
              <w:right w:val="single" w:sz="4" w:space="0" w:color="auto"/>
            </w:tcBorders>
            <w:hideMark/>
          </w:tcPr>
          <w:p w14:paraId="49DF37FF" w14:textId="77777777" w:rsidR="00241417" w:rsidRPr="004710DC" w:rsidRDefault="00241417" w:rsidP="003A71DE">
            <w:pPr>
              <w:pStyle w:val="TAC"/>
              <w:rPr>
                <w:lang w:eastAsia="zh-CN"/>
              </w:rPr>
            </w:pPr>
            <w:r w:rsidRPr="004710DC">
              <w:rPr>
                <w:lang w:eastAsia="zh-CN"/>
              </w:rPr>
              <w:t>434</w:t>
            </w:r>
            <w:r w:rsidRPr="004710DC">
              <w:t>/1024</w:t>
            </w:r>
          </w:p>
        </w:tc>
        <w:tc>
          <w:tcPr>
            <w:tcW w:w="1076" w:type="dxa"/>
            <w:tcBorders>
              <w:top w:val="single" w:sz="4" w:space="0" w:color="auto"/>
              <w:left w:val="single" w:sz="4" w:space="0" w:color="auto"/>
              <w:bottom w:val="single" w:sz="4" w:space="0" w:color="auto"/>
              <w:right w:val="single" w:sz="4" w:space="0" w:color="auto"/>
            </w:tcBorders>
            <w:hideMark/>
          </w:tcPr>
          <w:p w14:paraId="1374155F" w14:textId="77777777" w:rsidR="00241417" w:rsidRPr="004710DC" w:rsidRDefault="00241417" w:rsidP="003A71DE">
            <w:pPr>
              <w:pStyle w:val="TAC"/>
              <w:rPr>
                <w:lang w:eastAsia="zh-CN"/>
              </w:rPr>
            </w:pPr>
            <w:r w:rsidRPr="004710DC">
              <w:rPr>
                <w:lang w:eastAsia="zh-CN"/>
              </w:rPr>
              <w:t>434</w:t>
            </w:r>
            <w:r w:rsidRPr="004710DC">
              <w:t>/1024</w:t>
            </w:r>
          </w:p>
        </w:tc>
        <w:tc>
          <w:tcPr>
            <w:tcW w:w="1077" w:type="dxa"/>
            <w:tcBorders>
              <w:top w:val="single" w:sz="4" w:space="0" w:color="auto"/>
              <w:left w:val="single" w:sz="4" w:space="0" w:color="auto"/>
              <w:bottom w:val="single" w:sz="4" w:space="0" w:color="auto"/>
              <w:right w:val="single" w:sz="4" w:space="0" w:color="auto"/>
            </w:tcBorders>
            <w:hideMark/>
          </w:tcPr>
          <w:p w14:paraId="676487EB" w14:textId="77777777" w:rsidR="00241417" w:rsidRPr="004710DC" w:rsidRDefault="00241417" w:rsidP="003A71DE">
            <w:pPr>
              <w:pStyle w:val="TAC"/>
              <w:rPr>
                <w:lang w:eastAsia="zh-CN"/>
              </w:rPr>
            </w:pPr>
            <w:r w:rsidRPr="004710DC">
              <w:rPr>
                <w:lang w:eastAsia="zh-CN"/>
              </w:rPr>
              <w:t>434</w:t>
            </w:r>
            <w:r w:rsidRPr="004710DC">
              <w:t>/1024</w:t>
            </w:r>
          </w:p>
        </w:tc>
        <w:tc>
          <w:tcPr>
            <w:tcW w:w="1077" w:type="dxa"/>
            <w:tcBorders>
              <w:top w:val="single" w:sz="4" w:space="0" w:color="auto"/>
              <w:left w:val="single" w:sz="4" w:space="0" w:color="auto"/>
              <w:bottom w:val="single" w:sz="4" w:space="0" w:color="auto"/>
              <w:right w:val="single" w:sz="4" w:space="0" w:color="auto"/>
            </w:tcBorders>
            <w:hideMark/>
          </w:tcPr>
          <w:p w14:paraId="16BF3B3C" w14:textId="77777777" w:rsidR="00241417" w:rsidRPr="004710DC" w:rsidRDefault="00241417" w:rsidP="003A71DE">
            <w:pPr>
              <w:pStyle w:val="TAC"/>
              <w:rPr>
                <w:lang w:eastAsia="zh-CN"/>
              </w:rPr>
            </w:pPr>
            <w:r w:rsidRPr="004710DC">
              <w:rPr>
                <w:lang w:eastAsia="zh-CN"/>
              </w:rPr>
              <w:t>434</w:t>
            </w:r>
            <w:r w:rsidRPr="004710DC">
              <w:t>/1024</w:t>
            </w:r>
          </w:p>
        </w:tc>
      </w:tr>
      <w:tr w:rsidR="00241417" w:rsidRPr="004710DC" w14:paraId="3CC27EE6"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39DED002" w14:textId="77777777" w:rsidR="00241417" w:rsidRPr="004710DC" w:rsidRDefault="00241417" w:rsidP="003A71DE">
            <w:pPr>
              <w:pStyle w:val="TAC"/>
            </w:pPr>
            <w:r w:rsidRPr="004710DC">
              <w:t>Payload size (bits)</w:t>
            </w:r>
          </w:p>
        </w:tc>
        <w:tc>
          <w:tcPr>
            <w:tcW w:w="1076" w:type="dxa"/>
            <w:tcBorders>
              <w:top w:val="single" w:sz="4" w:space="0" w:color="auto"/>
              <w:left w:val="single" w:sz="4" w:space="0" w:color="auto"/>
              <w:bottom w:val="single" w:sz="4" w:space="0" w:color="auto"/>
              <w:right w:val="single" w:sz="4" w:space="0" w:color="auto"/>
            </w:tcBorders>
            <w:vAlign w:val="center"/>
            <w:hideMark/>
          </w:tcPr>
          <w:p w14:paraId="33DEAC9A" w14:textId="77777777" w:rsidR="00241417" w:rsidRPr="004710DC" w:rsidRDefault="00241417" w:rsidP="003A71DE">
            <w:pPr>
              <w:pStyle w:val="TAC"/>
              <w:rPr>
                <w:lang w:eastAsia="zh-CN"/>
              </w:rPr>
            </w:pPr>
            <w:r w:rsidRPr="004710DC">
              <w:rPr>
                <w:lang w:eastAsia="zh-CN"/>
              </w:rPr>
              <w:t>21504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00905B8D" w14:textId="77777777" w:rsidR="00241417" w:rsidRPr="004710DC" w:rsidRDefault="00241417" w:rsidP="003A71DE">
            <w:pPr>
              <w:pStyle w:val="TAC"/>
            </w:pPr>
            <w:r w:rsidRPr="004710DC">
              <w:t>43032</w:t>
            </w:r>
          </w:p>
        </w:tc>
        <w:tc>
          <w:tcPr>
            <w:tcW w:w="1076" w:type="dxa"/>
            <w:tcBorders>
              <w:top w:val="single" w:sz="4" w:space="0" w:color="auto"/>
              <w:left w:val="single" w:sz="4" w:space="0" w:color="auto"/>
              <w:bottom w:val="single" w:sz="4" w:space="0" w:color="auto"/>
              <w:right w:val="single" w:sz="4" w:space="0" w:color="auto"/>
            </w:tcBorders>
            <w:vAlign w:val="center"/>
            <w:hideMark/>
          </w:tcPr>
          <w:p w14:paraId="3D14EE44" w14:textId="77777777" w:rsidR="00241417" w:rsidRPr="004710DC" w:rsidRDefault="00241417" w:rsidP="003A71DE">
            <w:pPr>
              <w:pStyle w:val="TAC"/>
            </w:pPr>
            <w:r w:rsidRPr="004710DC">
              <w:t>10504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67056977" w14:textId="77777777" w:rsidR="00241417" w:rsidRPr="004710DC" w:rsidRDefault="00241417" w:rsidP="003A71DE">
            <w:pPr>
              <w:pStyle w:val="TAC"/>
            </w:pPr>
            <w:r w:rsidRPr="004710DC">
              <w:t>21504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55ABD977" w14:textId="77777777" w:rsidR="00241417" w:rsidRPr="004710DC" w:rsidRDefault="00241417" w:rsidP="003A71DE">
            <w:pPr>
              <w:pStyle w:val="TAC"/>
            </w:pPr>
            <w:r w:rsidRPr="004710DC">
              <w:t>43032</w:t>
            </w:r>
          </w:p>
        </w:tc>
      </w:tr>
      <w:tr w:rsidR="00241417" w:rsidRPr="004710DC" w14:paraId="0C6FD510"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0C8B2123" w14:textId="77777777" w:rsidR="00241417" w:rsidRPr="004710DC" w:rsidRDefault="00241417" w:rsidP="003A71DE">
            <w:pPr>
              <w:pStyle w:val="TAC"/>
            </w:pPr>
            <w:r w:rsidRPr="004710DC">
              <w:t>Transport block CRC (bits)</w:t>
            </w:r>
          </w:p>
        </w:tc>
        <w:tc>
          <w:tcPr>
            <w:tcW w:w="1076" w:type="dxa"/>
            <w:tcBorders>
              <w:top w:val="single" w:sz="4" w:space="0" w:color="auto"/>
              <w:left w:val="single" w:sz="4" w:space="0" w:color="auto"/>
              <w:bottom w:val="single" w:sz="4" w:space="0" w:color="auto"/>
              <w:right w:val="single" w:sz="4" w:space="0" w:color="auto"/>
            </w:tcBorders>
            <w:hideMark/>
          </w:tcPr>
          <w:p w14:paraId="5082FE8D"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4C6C41F6" w14:textId="77777777" w:rsidR="00241417" w:rsidRPr="004710DC" w:rsidRDefault="00241417" w:rsidP="003A71DE">
            <w:pPr>
              <w:pStyle w:val="TAC"/>
              <w:rPr>
                <w:lang w:eastAsia="zh-CN"/>
              </w:rPr>
            </w:pPr>
            <w:r w:rsidRPr="004710DC">
              <w:rPr>
                <w:lang w:eastAsia="zh-CN"/>
              </w:rPr>
              <w:t>24</w:t>
            </w:r>
          </w:p>
        </w:tc>
        <w:tc>
          <w:tcPr>
            <w:tcW w:w="1076" w:type="dxa"/>
            <w:tcBorders>
              <w:top w:val="single" w:sz="4" w:space="0" w:color="auto"/>
              <w:left w:val="single" w:sz="4" w:space="0" w:color="auto"/>
              <w:bottom w:val="single" w:sz="4" w:space="0" w:color="auto"/>
              <w:right w:val="single" w:sz="4" w:space="0" w:color="auto"/>
            </w:tcBorders>
            <w:hideMark/>
          </w:tcPr>
          <w:p w14:paraId="702B52EE"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49196920"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6EE2C36B" w14:textId="77777777" w:rsidR="00241417" w:rsidRPr="004710DC" w:rsidRDefault="00241417" w:rsidP="003A71DE">
            <w:pPr>
              <w:pStyle w:val="TAC"/>
              <w:rPr>
                <w:lang w:eastAsia="zh-CN"/>
              </w:rPr>
            </w:pPr>
            <w:r w:rsidRPr="004710DC">
              <w:rPr>
                <w:lang w:eastAsia="zh-CN"/>
              </w:rPr>
              <w:t>24</w:t>
            </w:r>
          </w:p>
        </w:tc>
      </w:tr>
      <w:tr w:rsidR="00241417" w:rsidRPr="004710DC" w14:paraId="630F7078"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394D7D96" w14:textId="77777777" w:rsidR="00241417" w:rsidRPr="00AD765F" w:rsidRDefault="00241417" w:rsidP="003A71DE">
            <w:pPr>
              <w:pStyle w:val="TAC"/>
            </w:pPr>
            <w:r w:rsidRPr="00AD765F">
              <w:t>Code block CRC size (bits)</w:t>
            </w:r>
          </w:p>
        </w:tc>
        <w:tc>
          <w:tcPr>
            <w:tcW w:w="1076" w:type="dxa"/>
            <w:tcBorders>
              <w:top w:val="single" w:sz="4" w:space="0" w:color="auto"/>
              <w:left w:val="single" w:sz="4" w:space="0" w:color="auto"/>
              <w:bottom w:val="single" w:sz="4" w:space="0" w:color="auto"/>
              <w:right w:val="single" w:sz="4" w:space="0" w:color="auto"/>
            </w:tcBorders>
            <w:hideMark/>
          </w:tcPr>
          <w:p w14:paraId="6CD7B4DD"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2A42662B" w14:textId="77777777" w:rsidR="00241417" w:rsidRPr="004710DC" w:rsidRDefault="00241417" w:rsidP="003A71DE">
            <w:pPr>
              <w:pStyle w:val="TAC"/>
              <w:rPr>
                <w:lang w:eastAsia="zh-CN"/>
              </w:rPr>
            </w:pPr>
            <w:r w:rsidRPr="004710DC">
              <w:rPr>
                <w:lang w:eastAsia="zh-CN"/>
              </w:rPr>
              <w:t>24</w:t>
            </w:r>
          </w:p>
        </w:tc>
        <w:tc>
          <w:tcPr>
            <w:tcW w:w="1076" w:type="dxa"/>
            <w:tcBorders>
              <w:top w:val="single" w:sz="4" w:space="0" w:color="auto"/>
              <w:left w:val="single" w:sz="4" w:space="0" w:color="auto"/>
              <w:bottom w:val="single" w:sz="4" w:space="0" w:color="auto"/>
              <w:right w:val="single" w:sz="4" w:space="0" w:color="auto"/>
            </w:tcBorders>
            <w:hideMark/>
          </w:tcPr>
          <w:p w14:paraId="5056380B"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16B0CF39" w14:textId="77777777" w:rsidR="00241417" w:rsidRPr="004710DC" w:rsidRDefault="00241417" w:rsidP="003A71DE">
            <w:pPr>
              <w:pStyle w:val="TAC"/>
              <w:rPr>
                <w:lang w:eastAsia="zh-CN"/>
              </w:rPr>
            </w:pPr>
            <w:r w:rsidRPr="004710DC">
              <w:rPr>
                <w:lang w:eastAsia="zh-CN"/>
              </w:rPr>
              <w:t>24</w:t>
            </w:r>
          </w:p>
        </w:tc>
        <w:tc>
          <w:tcPr>
            <w:tcW w:w="1077" w:type="dxa"/>
            <w:tcBorders>
              <w:top w:val="single" w:sz="4" w:space="0" w:color="auto"/>
              <w:left w:val="single" w:sz="4" w:space="0" w:color="auto"/>
              <w:bottom w:val="single" w:sz="4" w:space="0" w:color="auto"/>
              <w:right w:val="single" w:sz="4" w:space="0" w:color="auto"/>
            </w:tcBorders>
            <w:hideMark/>
          </w:tcPr>
          <w:p w14:paraId="180A6D4A" w14:textId="77777777" w:rsidR="00241417" w:rsidRPr="004710DC" w:rsidRDefault="00241417" w:rsidP="003A71DE">
            <w:pPr>
              <w:pStyle w:val="TAC"/>
              <w:rPr>
                <w:lang w:eastAsia="zh-CN"/>
              </w:rPr>
            </w:pPr>
            <w:r w:rsidRPr="004710DC">
              <w:rPr>
                <w:lang w:eastAsia="zh-CN"/>
              </w:rPr>
              <w:t>24</w:t>
            </w:r>
          </w:p>
        </w:tc>
      </w:tr>
      <w:tr w:rsidR="00241417" w:rsidRPr="004710DC" w14:paraId="7396CD5D"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625A9B76" w14:textId="77777777" w:rsidR="00241417" w:rsidRPr="00AD765F" w:rsidRDefault="00241417" w:rsidP="003A71DE">
            <w:pPr>
              <w:pStyle w:val="TAC"/>
            </w:pPr>
            <w:r w:rsidRPr="00AD765F">
              <w:t>Number of code blocks - C</w:t>
            </w:r>
          </w:p>
        </w:tc>
        <w:tc>
          <w:tcPr>
            <w:tcW w:w="1076" w:type="dxa"/>
            <w:tcBorders>
              <w:top w:val="single" w:sz="4" w:space="0" w:color="auto"/>
              <w:left w:val="single" w:sz="4" w:space="0" w:color="auto"/>
              <w:bottom w:val="single" w:sz="4" w:space="0" w:color="auto"/>
              <w:right w:val="single" w:sz="4" w:space="0" w:color="auto"/>
            </w:tcBorders>
            <w:vAlign w:val="center"/>
            <w:hideMark/>
          </w:tcPr>
          <w:p w14:paraId="490ADEF9" w14:textId="77777777" w:rsidR="00241417" w:rsidRPr="004710DC" w:rsidRDefault="00241417" w:rsidP="003A71DE">
            <w:pPr>
              <w:pStyle w:val="TAC"/>
              <w:rPr>
                <w:lang w:eastAsia="zh-CN"/>
              </w:rPr>
            </w:pPr>
            <w:r w:rsidRPr="004710DC">
              <w:rPr>
                <w:lang w:eastAsia="zh-CN"/>
              </w:rPr>
              <w:t>3</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118DFE2" w14:textId="77777777" w:rsidR="00241417" w:rsidRPr="004710DC" w:rsidRDefault="00241417" w:rsidP="003A71DE">
            <w:pPr>
              <w:pStyle w:val="TAC"/>
              <w:rPr>
                <w:lang w:eastAsia="zh-CN"/>
              </w:rPr>
            </w:pPr>
            <w:r w:rsidRPr="004710DC">
              <w:rPr>
                <w:lang w:eastAsia="zh-CN"/>
              </w:rPr>
              <w:t>6</w:t>
            </w:r>
          </w:p>
        </w:tc>
        <w:tc>
          <w:tcPr>
            <w:tcW w:w="1076" w:type="dxa"/>
            <w:tcBorders>
              <w:top w:val="single" w:sz="4" w:space="0" w:color="auto"/>
              <w:left w:val="single" w:sz="4" w:space="0" w:color="auto"/>
              <w:bottom w:val="single" w:sz="4" w:space="0" w:color="auto"/>
              <w:right w:val="single" w:sz="4" w:space="0" w:color="auto"/>
            </w:tcBorders>
            <w:hideMark/>
          </w:tcPr>
          <w:p w14:paraId="7251AA61" w14:textId="77777777" w:rsidR="00241417" w:rsidRPr="004710DC" w:rsidRDefault="00241417" w:rsidP="003A71DE">
            <w:pPr>
              <w:pStyle w:val="TAC"/>
              <w:rPr>
                <w:lang w:eastAsia="zh-CN"/>
              </w:rPr>
            </w:pPr>
            <w:r w:rsidRPr="004710DC">
              <w:rPr>
                <w:lang w:eastAsia="zh-CN"/>
              </w:rPr>
              <w:t>2</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2023DCE" w14:textId="77777777" w:rsidR="00241417" w:rsidRPr="004710DC" w:rsidRDefault="00241417" w:rsidP="003A71DE">
            <w:pPr>
              <w:pStyle w:val="TAC"/>
              <w:rPr>
                <w:lang w:eastAsia="zh-CN"/>
              </w:rPr>
            </w:pPr>
            <w:r w:rsidRPr="004710DC">
              <w:rPr>
                <w:lang w:eastAsia="zh-CN"/>
              </w:rPr>
              <w:t>3</w:t>
            </w:r>
          </w:p>
        </w:tc>
        <w:tc>
          <w:tcPr>
            <w:tcW w:w="1077" w:type="dxa"/>
            <w:tcBorders>
              <w:top w:val="single" w:sz="4" w:space="0" w:color="auto"/>
              <w:left w:val="single" w:sz="4" w:space="0" w:color="auto"/>
              <w:bottom w:val="single" w:sz="4" w:space="0" w:color="auto"/>
              <w:right w:val="single" w:sz="4" w:space="0" w:color="auto"/>
            </w:tcBorders>
            <w:vAlign w:val="center"/>
            <w:hideMark/>
          </w:tcPr>
          <w:p w14:paraId="6B09D755" w14:textId="77777777" w:rsidR="00241417" w:rsidRPr="004710DC" w:rsidRDefault="00241417" w:rsidP="003A71DE">
            <w:pPr>
              <w:pStyle w:val="TAC"/>
              <w:rPr>
                <w:lang w:eastAsia="zh-CN"/>
              </w:rPr>
            </w:pPr>
            <w:r w:rsidRPr="004710DC">
              <w:rPr>
                <w:lang w:eastAsia="zh-CN"/>
              </w:rPr>
              <w:t>6</w:t>
            </w:r>
          </w:p>
        </w:tc>
      </w:tr>
      <w:tr w:rsidR="00241417" w:rsidRPr="004710DC" w14:paraId="2E15F458"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7B5161CB"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tcBorders>
              <w:top w:val="single" w:sz="4" w:space="0" w:color="auto"/>
              <w:left w:val="single" w:sz="4" w:space="0" w:color="auto"/>
              <w:bottom w:val="single" w:sz="4" w:space="0" w:color="auto"/>
              <w:right w:val="single" w:sz="4" w:space="0" w:color="auto"/>
            </w:tcBorders>
            <w:vAlign w:val="center"/>
            <w:hideMark/>
          </w:tcPr>
          <w:p w14:paraId="7C219012" w14:textId="77777777" w:rsidR="00241417" w:rsidRPr="004710DC" w:rsidRDefault="00241417" w:rsidP="003A71DE">
            <w:pPr>
              <w:pStyle w:val="TAC"/>
              <w:rPr>
                <w:lang w:eastAsia="zh-CN"/>
              </w:rPr>
            </w:pPr>
            <w:r w:rsidRPr="004710DC">
              <w:rPr>
                <w:lang w:eastAsia="zh-CN"/>
              </w:rPr>
              <w:t>7200</w:t>
            </w:r>
          </w:p>
        </w:tc>
        <w:tc>
          <w:tcPr>
            <w:tcW w:w="1077" w:type="dxa"/>
            <w:tcBorders>
              <w:top w:val="single" w:sz="4" w:space="0" w:color="auto"/>
              <w:left w:val="single" w:sz="4" w:space="0" w:color="auto"/>
              <w:bottom w:val="single" w:sz="4" w:space="0" w:color="auto"/>
              <w:right w:val="single" w:sz="4" w:space="0" w:color="auto"/>
            </w:tcBorders>
            <w:vAlign w:val="center"/>
            <w:hideMark/>
          </w:tcPr>
          <w:p w14:paraId="2EA0EEF6" w14:textId="77777777" w:rsidR="00241417" w:rsidRPr="004710DC" w:rsidRDefault="00241417" w:rsidP="003A71DE">
            <w:pPr>
              <w:pStyle w:val="TAC"/>
            </w:pPr>
            <w:r w:rsidRPr="004710DC">
              <w:t>7200</w:t>
            </w:r>
          </w:p>
        </w:tc>
        <w:tc>
          <w:tcPr>
            <w:tcW w:w="1076" w:type="dxa"/>
            <w:tcBorders>
              <w:top w:val="single" w:sz="4" w:space="0" w:color="auto"/>
              <w:left w:val="single" w:sz="4" w:space="0" w:color="auto"/>
              <w:bottom w:val="single" w:sz="4" w:space="0" w:color="auto"/>
              <w:right w:val="single" w:sz="4" w:space="0" w:color="auto"/>
            </w:tcBorders>
            <w:vAlign w:val="center"/>
            <w:hideMark/>
          </w:tcPr>
          <w:p w14:paraId="6EFC26E9" w14:textId="77777777" w:rsidR="00241417" w:rsidRPr="004710DC" w:rsidRDefault="00241417" w:rsidP="003A71DE">
            <w:pPr>
              <w:pStyle w:val="TAC"/>
            </w:pPr>
            <w:r w:rsidRPr="004710DC">
              <w:t>5288</w:t>
            </w:r>
          </w:p>
        </w:tc>
        <w:tc>
          <w:tcPr>
            <w:tcW w:w="1077" w:type="dxa"/>
            <w:tcBorders>
              <w:top w:val="single" w:sz="4" w:space="0" w:color="auto"/>
              <w:left w:val="single" w:sz="4" w:space="0" w:color="auto"/>
              <w:bottom w:val="single" w:sz="4" w:space="0" w:color="auto"/>
              <w:right w:val="single" w:sz="4" w:space="0" w:color="auto"/>
            </w:tcBorders>
            <w:vAlign w:val="center"/>
            <w:hideMark/>
          </w:tcPr>
          <w:p w14:paraId="5A6DA6CA" w14:textId="77777777" w:rsidR="00241417" w:rsidRPr="004710DC" w:rsidRDefault="00241417" w:rsidP="003A71DE">
            <w:pPr>
              <w:pStyle w:val="TAC"/>
            </w:pPr>
            <w:r w:rsidRPr="004710DC">
              <w:t>7200</w:t>
            </w:r>
          </w:p>
        </w:tc>
        <w:tc>
          <w:tcPr>
            <w:tcW w:w="1077" w:type="dxa"/>
            <w:tcBorders>
              <w:top w:val="single" w:sz="4" w:space="0" w:color="auto"/>
              <w:left w:val="single" w:sz="4" w:space="0" w:color="auto"/>
              <w:bottom w:val="single" w:sz="4" w:space="0" w:color="auto"/>
              <w:right w:val="single" w:sz="4" w:space="0" w:color="auto"/>
            </w:tcBorders>
            <w:vAlign w:val="center"/>
            <w:hideMark/>
          </w:tcPr>
          <w:p w14:paraId="3BA46DD2" w14:textId="77777777" w:rsidR="00241417" w:rsidRPr="004710DC" w:rsidRDefault="00241417" w:rsidP="003A71DE">
            <w:pPr>
              <w:pStyle w:val="TAC"/>
            </w:pPr>
            <w:r w:rsidRPr="004710DC">
              <w:t>7200</w:t>
            </w:r>
          </w:p>
        </w:tc>
      </w:tr>
      <w:tr w:rsidR="00241417" w:rsidRPr="004710DC" w14:paraId="4F53BBA7"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1B4BB2C1"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tcBorders>
              <w:top w:val="single" w:sz="4" w:space="0" w:color="auto"/>
              <w:left w:val="single" w:sz="4" w:space="0" w:color="auto"/>
              <w:bottom w:val="single" w:sz="4" w:space="0" w:color="auto"/>
              <w:right w:val="single" w:sz="4" w:space="0" w:color="auto"/>
            </w:tcBorders>
            <w:vAlign w:val="center"/>
            <w:hideMark/>
          </w:tcPr>
          <w:p w14:paraId="42156756" w14:textId="77777777" w:rsidR="00241417" w:rsidRPr="004710DC" w:rsidRDefault="00241417" w:rsidP="003A71DE">
            <w:pPr>
              <w:pStyle w:val="TAC"/>
            </w:pPr>
            <w:r w:rsidRPr="004710DC">
              <w:t>50688</w:t>
            </w:r>
          </w:p>
        </w:tc>
        <w:tc>
          <w:tcPr>
            <w:tcW w:w="1077" w:type="dxa"/>
            <w:tcBorders>
              <w:top w:val="single" w:sz="4" w:space="0" w:color="auto"/>
              <w:left w:val="single" w:sz="4" w:space="0" w:color="auto"/>
              <w:bottom w:val="single" w:sz="4" w:space="0" w:color="auto"/>
              <w:right w:val="single" w:sz="4" w:space="0" w:color="auto"/>
            </w:tcBorders>
            <w:vAlign w:val="center"/>
            <w:hideMark/>
          </w:tcPr>
          <w:p w14:paraId="4A2A242F" w14:textId="77777777" w:rsidR="00241417" w:rsidRPr="004710DC" w:rsidRDefault="00241417" w:rsidP="003A71DE">
            <w:pPr>
              <w:pStyle w:val="TAC"/>
            </w:pPr>
            <w:r w:rsidRPr="004710DC">
              <w:t>101376</w:t>
            </w:r>
          </w:p>
        </w:tc>
        <w:tc>
          <w:tcPr>
            <w:tcW w:w="1076" w:type="dxa"/>
            <w:tcBorders>
              <w:top w:val="single" w:sz="4" w:space="0" w:color="auto"/>
              <w:left w:val="single" w:sz="4" w:space="0" w:color="auto"/>
              <w:bottom w:val="single" w:sz="4" w:space="0" w:color="auto"/>
              <w:right w:val="single" w:sz="4" w:space="0" w:color="auto"/>
            </w:tcBorders>
            <w:hideMark/>
          </w:tcPr>
          <w:p w14:paraId="4DBB0606" w14:textId="77777777" w:rsidR="00241417" w:rsidRPr="004710DC" w:rsidRDefault="00241417" w:rsidP="003A71DE">
            <w:pPr>
              <w:pStyle w:val="TAC"/>
            </w:pPr>
            <w:r w:rsidRPr="004710DC">
              <w:t>24576</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AE3040D" w14:textId="77777777" w:rsidR="00241417" w:rsidRPr="004710DC" w:rsidRDefault="00241417" w:rsidP="003A71DE">
            <w:pPr>
              <w:pStyle w:val="TAC"/>
            </w:pPr>
            <w:r w:rsidRPr="004710DC">
              <w:t>50688</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21F2178" w14:textId="77777777" w:rsidR="00241417" w:rsidRPr="004710DC" w:rsidRDefault="00241417" w:rsidP="003A71DE">
            <w:pPr>
              <w:pStyle w:val="TAC"/>
            </w:pPr>
            <w:r w:rsidRPr="004710DC">
              <w:t>101376</w:t>
            </w:r>
          </w:p>
        </w:tc>
      </w:tr>
      <w:tr w:rsidR="00241417" w:rsidRPr="004710DC" w14:paraId="15A358E4" w14:textId="77777777" w:rsidTr="003A71DE">
        <w:trPr>
          <w:cantSplit/>
          <w:jc w:val="center"/>
        </w:trPr>
        <w:tc>
          <w:tcPr>
            <w:tcW w:w="3950" w:type="dxa"/>
            <w:tcBorders>
              <w:top w:val="single" w:sz="4" w:space="0" w:color="auto"/>
              <w:left w:val="single" w:sz="4" w:space="0" w:color="auto"/>
              <w:bottom w:val="single" w:sz="4" w:space="0" w:color="auto"/>
              <w:right w:val="single" w:sz="4" w:space="0" w:color="auto"/>
            </w:tcBorders>
            <w:hideMark/>
          </w:tcPr>
          <w:p w14:paraId="5A52E54F"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Borders>
              <w:top w:val="single" w:sz="4" w:space="0" w:color="auto"/>
              <w:left w:val="single" w:sz="4" w:space="0" w:color="auto"/>
              <w:bottom w:val="single" w:sz="4" w:space="0" w:color="auto"/>
              <w:right w:val="single" w:sz="4" w:space="0" w:color="auto"/>
            </w:tcBorders>
            <w:vAlign w:val="center"/>
            <w:hideMark/>
          </w:tcPr>
          <w:p w14:paraId="3933FA44" w14:textId="77777777" w:rsidR="00241417" w:rsidRPr="004710DC" w:rsidRDefault="00241417" w:rsidP="003A71DE">
            <w:pPr>
              <w:pStyle w:val="TAC"/>
            </w:pPr>
            <w:r w:rsidRPr="004710DC">
              <w:t>12672</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A14D221" w14:textId="77777777" w:rsidR="00241417" w:rsidRPr="004710DC" w:rsidRDefault="00241417" w:rsidP="003A71DE">
            <w:pPr>
              <w:pStyle w:val="TAC"/>
            </w:pPr>
            <w:r w:rsidRPr="004710DC">
              <w:t>25344</w:t>
            </w:r>
          </w:p>
        </w:tc>
        <w:tc>
          <w:tcPr>
            <w:tcW w:w="1076" w:type="dxa"/>
            <w:tcBorders>
              <w:top w:val="single" w:sz="4" w:space="0" w:color="auto"/>
              <w:left w:val="single" w:sz="4" w:space="0" w:color="auto"/>
              <w:bottom w:val="single" w:sz="4" w:space="0" w:color="auto"/>
              <w:right w:val="single" w:sz="4" w:space="0" w:color="auto"/>
            </w:tcBorders>
            <w:hideMark/>
          </w:tcPr>
          <w:p w14:paraId="2BCE0425" w14:textId="77777777" w:rsidR="00241417" w:rsidRPr="004710DC" w:rsidRDefault="00241417" w:rsidP="003A71DE">
            <w:pPr>
              <w:pStyle w:val="TAC"/>
            </w:pPr>
            <w:r w:rsidRPr="004710DC">
              <w:t>6144</w:t>
            </w:r>
          </w:p>
        </w:tc>
        <w:tc>
          <w:tcPr>
            <w:tcW w:w="1077" w:type="dxa"/>
            <w:tcBorders>
              <w:top w:val="single" w:sz="4" w:space="0" w:color="auto"/>
              <w:left w:val="single" w:sz="4" w:space="0" w:color="auto"/>
              <w:bottom w:val="single" w:sz="4" w:space="0" w:color="auto"/>
              <w:right w:val="single" w:sz="4" w:space="0" w:color="auto"/>
            </w:tcBorders>
            <w:vAlign w:val="center"/>
            <w:hideMark/>
          </w:tcPr>
          <w:p w14:paraId="1981D636" w14:textId="77777777" w:rsidR="00241417" w:rsidRPr="00ED4E9B" w:rsidRDefault="00241417" w:rsidP="003A71DE">
            <w:pPr>
              <w:pStyle w:val="TAC"/>
            </w:pPr>
            <w:r w:rsidRPr="00ED4E9B">
              <w:t>12672</w:t>
            </w:r>
          </w:p>
        </w:tc>
        <w:tc>
          <w:tcPr>
            <w:tcW w:w="1077" w:type="dxa"/>
            <w:tcBorders>
              <w:top w:val="single" w:sz="4" w:space="0" w:color="auto"/>
              <w:left w:val="single" w:sz="4" w:space="0" w:color="auto"/>
              <w:bottom w:val="single" w:sz="4" w:space="0" w:color="auto"/>
              <w:right w:val="single" w:sz="4" w:space="0" w:color="auto"/>
            </w:tcBorders>
            <w:vAlign w:val="center"/>
            <w:hideMark/>
          </w:tcPr>
          <w:p w14:paraId="25039622" w14:textId="77777777" w:rsidR="00241417" w:rsidRPr="004710DC" w:rsidRDefault="00241417" w:rsidP="003A71DE">
            <w:pPr>
              <w:pStyle w:val="TAC"/>
            </w:pPr>
            <w:r w:rsidRPr="004710DC">
              <w:t>25344</w:t>
            </w:r>
          </w:p>
        </w:tc>
      </w:tr>
      <w:tr w:rsidR="00241417" w:rsidRPr="00AD765F" w14:paraId="34B2457F" w14:textId="77777777" w:rsidTr="003A71DE">
        <w:trPr>
          <w:cantSplit/>
          <w:jc w:val="center"/>
        </w:trPr>
        <w:tc>
          <w:tcPr>
            <w:tcW w:w="9333" w:type="dxa"/>
            <w:gridSpan w:val="6"/>
            <w:tcBorders>
              <w:top w:val="single" w:sz="4" w:space="0" w:color="auto"/>
              <w:left w:val="single" w:sz="4" w:space="0" w:color="auto"/>
              <w:bottom w:val="single" w:sz="4" w:space="0" w:color="auto"/>
              <w:right w:val="single" w:sz="4" w:space="0" w:color="auto"/>
            </w:tcBorders>
            <w:hideMark/>
          </w:tcPr>
          <w:p w14:paraId="3695E1B2"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t xml:space="preserve"> with </w:t>
            </w:r>
            <w:r w:rsidRPr="00AD765F">
              <w:rPr>
                <w:i/>
                <w:lang w:eastAsia="zh-CN"/>
              </w:rPr>
              <w:t>l</w:t>
            </w:r>
            <w:r w:rsidRPr="00AD765F">
              <w:rPr>
                <w:i/>
                <w:vertAlign w:val="subscript"/>
                <w:lang w:eastAsia="zh-CN"/>
              </w:rPr>
              <w:t xml:space="preserve">0 </w:t>
            </w:r>
            <w:r w:rsidRPr="00AD765F">
              <w:t xml:space="preserve">= </w:t>
            </w:r>
            <w:r w:rsidRPr="00AD765F">
              <w:rPr>
                <w:lang w:eastAsia="zh-CN"/>
              </w:rPr>
              <w:t xml:space="preserve">0 and </w:t>
            </w:r>
            <w:r w:rsidRPr="00AD765F">
              <w:rPr>
                <w:i/>
                <w:lang w:eastAsia="zh-CN"/>
              </w:rPr>
              <w:t xml:space="preserve">l </w:t>
            </w:r>
            <w:r w:rsidRPr="00AD765F">
              <w:t xml:space="preserve">= </w:t>
            </w:r>
            <w:r w:rsidRPr="00AD765F">
              <w:rPr>
                <w:lang w:eastAsia="zh-CN"/>
              </w:rPr>
              <w:t>8</w:t>
            </w:r>
            <w:r w:rsidRPr="00AD765F">
              <w:t xml:space="preserve"> as per Table 6.4.1.1.3-3 of TS 38.211 [8].</w:t>
            </w:r>
          </w:p>
          <w:p w14:paraId="2F002C5A"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lang w:eastAsia="zh-CN"/>
              </w:rPr>
              <w:t xml:space="preserve"> in sub-clause 5.2.2 of TS 38.212 [9].</w:t>
            </w:r>
          </w:p>
        </w:tc>
      </w:tr>
    </w:tbl>
    <w:p w14:paraId="3620F9F2" w14:textId="77777777" w:rsidR="00241417" w:rsidRPr="00AD765F" w:rsidRDefault="00241417" w:rsidP="00241417"/>
    <w:p w14:paraId="516C6D57" w14:textId="77777777" w:rsidR="00241417" w:rsidRPr="004710DC" w:rsidRDefault="00241417" w:rsidP="00241417">
      <w:pPr>
        <w:pStyle w:val="Heading3"/>
        <w:rPr>
          <w:lang w:eastAsia="zh-CN"/>
        </w:rPr>
      </w:pPr>
      <w:bookmarkStart w:id="9197" w:name="_Toc21127808"/>
      <w:bookmarkStart w:id="9198" w:name="_Toc29812017"/>
      <w:bookmarkStart w:id="9199" w:name="_Toc36817569"/>
      <w:bookmarkStart w:id="9200" w:name="_Toc37260492"/>
      <w:bookmarkStart w:id="9201" w:name="_Toc37267880"/>
      <w:bookmarkStart w:id="9202" w:name="_Toc44712487"/>
      <w:bookmarkStart w:id="9203" w:name="_Toc45893799"/>
      <w:bookmarkStart w:id="9204" w:name="_Toc53178505"/>
      <w:bookmarkStart w:id="9205" w:name="_Toc53178956"/>
      <w:bookmarkStart w:id="9206" w:name="_Toc61178216"/>
      <w:bookmarkStart w:id="9207" w:name="_Toc61178688"/>
      <w:bookmarkStart w:id="9208" w:name="_Toc74583576"/>
      <w:bookmarkStart w:id="9209" w:name="_Toc76542389"/>
      <w:bookmarkStart w:id="9210" w:name="_Toc82450371"/>
      <w:bookmarkStart w:id="9211" w:name="_Toc82451019"/>
      <w:bookmarkStart w:id="9212" w:name="_Toc89949408"/>
      <w:bookmarkStart w:id="9213" w:name="_Toc98755797"/>
      <w:bookmarkStart w:id="9214" w:name="_Toc98763389"/>
      <w:bookmarkStart w:id="9215" w:name="_Toc106184318"/>
      <w:r w:rsidRPr="004710DC">
        <w:t>A.</w:t>
      </w:r>
      <w:r>
        <w:t>2.</w:t>
      </w:r>
      <w:r>
        <w:rPr>
          <w:lang w:eastAsia="zh-CN"/>
        </w:rPr>
        <w:t>3</w:t>
      </w:r>
      <w:r w:rsidRPr="004710DC">
        <w:tab/>
        <w:t xml:space="preserve">Fixed Reference Channels for </w:t>
      </w:r>
      <w:r>
        <w:t xml:space="preserve">PUSCH </w:t>
      </w:r>
      <w:r w:rsidRPr="004710DC">
        <w:t>performance requirements (</w:t>
      </w:r>
      <w:r w:rsidRPr="004710DC">
        <w:rPr>
          <w:lang w:eastAsia="zh-CN"/>
        </w:rPr>
        <w:t>16QAM, R=658/1024</w:t>
      </w:r>
      <w:r w:rsidRPr="004710DC">
        <w:t>)</w:t>
      </w:r>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p>
    <w:p w14:paraId="47AB801E" w14:textId="77777777" w:rsidR="00241417" w:rsidRPr="00AD765F" w:rsidRDefault="00241417" w:rsidP="00241417">
      <w:pPr>
        <w:rPr>
          <w:lang w:eastAsia="zh-CN"/>
        </w:rPr>
      </w:pPr>
      <w:r w:rsidRPr="00AD765F">
        <w:t>The parameters for the reference measurement channels are specified in table A.2.</w:t>
      </w:r>
      <w:r w:rsidRPr="00AD765F">
        <w:rPr>
          <w:lang w:eastAsia="zh-CN"/>
        </w:rPr>
        <w:t>3</w:t>
      </w:r>
      <w:r w:rsidRPr="00AD765F">
        <w:t>-1</w:t>
      </w:r>
      <w:r w:rsidRPr="00AD765F">
        <w:rPr>
          <w:lang w:eastAsia="zh-CN"/>
        </w:rPr>
        <w:t xml:space="preserve"> and table A.2.3-2 </w:t>
      </w:r>
      <w:r w:rsidRPr="00AD765F">
        <w:t>for FR1 PUSCH performance requirements</w:t>
      </w:r>
      <w:r w:rsidRPr="00AD765F">
        <w:rPr>
          <w:lang w:eastAsia="zh-CN"/>
        </w:rPr>
        <w:t>:</w:t>
      </w:r>
    </w:p>
    <w:p w14:paraId="195ECCC0" w14:textId="77777777" w:rsidR="00241417" w:rsidRPr="00AD765F" w:rsidRDefault="00241417" w:rsidP="00241417">
      <w:pPr>
        <w:pStyle w:val="B10"/>
      </w:pPr>
      <w:r w:rsidRPr="00AD765F">
        <w:t>-</w:t>
      </w:r>
      <w:r w:rsidRPr="00AD765F">
        <w:tab/>
      </w:r>
      <w:r w:rsidRPr="00AD765F">
        <w:rPr>
          <w:lang w:eastAsia="zh-CN"/>
        </w:rPr>
        <w:t xml:space="preserve">FRC parameters </w:t>
      </w:r>
      <w:r w:rsidRPr="00AD765F">
        <w:t>are specified in table A.2.</w:t>
      </w:r>
      <w:r w:rsidRPr="00AD765F">
        <w:rPr>
          <w:lang w:eastAsia="zh-CN"/>
        </w:rPr>
        <w:t>3</w:t>
      </w:r>
      <w:r w:rsidRPr="00AD765F">
        <w:t>-</w:t>
      </w:r>
      <w:r w:rsidRPr="00AD765F">
        <w:rPr>
          <w:lang w:eastAsia="zh-CN"/>
        </w:rPr>
        <w:t>1</w:t>
      </w:r>
      <w:r w:rsidRPr="00AD765F">
        <w:t xml:space="preserve"> for FR1 PUSCH </w:t>
      </w:r>
      <w:r w:rsidRPr="00AD765F">
        <w:rPr>
          <w:lang w:eastAsia="zh-CN"/>
        </w:rPr>
        <w:t xml:space="preserve">with transform precoding disabled, </w:t>
      </w:r>
      <w:r w:rsidRPr="00AD765F">
        <w:rPr>
          <w:i/>
          <w:lang w:eastAsia="zh-CN"/>
        </w:rPr>
        <w:t>Additional DM-RS position = pos1</w:t>
      </w:r>
      <w:r w:rsidRPr="00AD765F">
        <w:rPr>
          <w:lang w:eastAsia="zh-CN"/>
        </w:rPr>
        <w:t xml:space="preserve"> and 1 transmission layer</w:t>
      </w:r>
      <w:r w:rsidRPr="00AD765F">
        <w:t xml:space="preserve">. </w:t>
      </w:r>
    </w:p>
    <w:p w14:paraId="64E1B106"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3</w:t>
      </w:r>
      <w:r w:rsidRPr="00AD765F">
        <w:t>-</w:t>
      </w:r>
      <w:r w:rsidRPr="00AD765F">
        <w:rPr>
          <w:lang w:eastAsia="zh-CN"/>
        </w:rPr>
        <w:t>2</w:t>
      </w:r>
      <w:r w:rsidRPr="00AD765F">
        <w:t xml:space="preserve"> for FR1 PUSCH </w:t>
      </w:r>
      <w:r w:rsidRPr="00AD765F">
        <w:rPr>
          <w:lang w:eastAsia="zh-CN"/>
        </w:rPr>
        <w:t xml:space="preserve">with transform precoding disabled, </w:t>
      </w:r>
      <w:r w:rsidRPr="00AD765F">
        <w:rPr>
          <w:i/>
          <w:lang w:eastAsia="zh-CN"/>
        </w:rPr>
        <w:t>Additional DM-RS position = pos1</w:t>
      </w:r>
      <w:r w:rsidRPr="00AD765F">
        <w:rPr>
          <w:lang w:eastAsia="zh-CN"/>
        </w:rPr>
        <w:t xml:space="preserve"> and 2 transmission layers</w:t>
      </w:r>
      <w:r w:rsidRPr="00AD765F">
        <w:t>.</w:t>
      </w:r>
    </w:p>
    <w:p w14:paraId="415113C3" w14:textId="77777777" w:rsidR="00241417" w:rsidRPr="00AD765F" w:rsidRDefault="00241417" w:rsidP="00241417">
      <w:pPr>
        <w:rPr>
          <w:lang w:eastAsia="zh-CN"/>
        </w:rPr>
      </w:pPr>
      <w:r w:rsidRPr="00AD765F">
        <w:t>The parameters for the reference measurement channels are specified in table A.2.</w:t>
      </w:r>
      <w:r w:rsidRPr="00AD765F">
        <w:rPr>
          <w:lang w:eastAsia="zh-CN"/>
        </w:rPr>
        <w:t>3</w:t>
      </w:r>
      <w:r w:rsidRPr="00AD765F">
        <w:t>-</w:t>
      </w:r>
      <w:r w:rsidRPr="00AD765F">
        <w:rPr>
          <w:lang w:eastAsia="zh-CN"/>
        </w:rPr>
        <w:t>3</w:t>
      </w:r>
      <w:r w:rsidRPr="00AD765F">
        <w:t xml:space="preserve"> </w:t>
      </w:r>
      <w:r w:rsidRPr="00AD765F">
        <w:rPr>
          <w:lang w:eastAsia="zh-CN"/>
        </w:rPr>
        <w:t xml:space="preserve">to table A.2.3-6 </w:t>
      </w:r>
      <w:r w:rsidRPr="00AD765F">
        <w:t>for FR</w:t>
      </w:r>
      <w:r w:rsidRPr="00AD765F">
        <w:rPr>
          <w:lang w:eastAsia="zh-CN"/>
        </w:rPr>
        <w:t>2</w:t>
      </w:r>
      <w:r w:rsidRPr="00AD765F">
        <w:t xml:space="preserve"> PUSCH performance requirements</w:t>
      </w:r>
      <w:r w:rsidRPr="00AD765F">
        <w:rPr>
          <w:lang w:eastAsia="zh-CN"/>
        </w:rPr>
        <w:t>:</w:t>
      </w:r>
    </w:p>
    <w:p w14:paraId="5E6FFED9"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3</w:t>
      </w:r>
      <w:r w:rsidRPr="00AD765F">
        <w:t>-</w:t>
      </w:r>
      <w:r w:rsidRPr="00AD765F">
        <w:rPr>
          <w:lang w:eastAsia="zh-CN"/>
        </w:rPr>
        <w:t>3</w:t>
      </w:r>
      <w:r w:rsidRPr="00AD765F">
        <w:t xml:space="preserve"> for FR</w:t>
      </w:r>
      <w:r w:rsidRPr="00AD765F">
        <w:rPr>
          <w:lang w:eastAsia="zh-CN"/>
        </w:rPr>
        <w:t>2</w:t>
      </w:r>
      <w:r w:rsidRPr="00AD765F">
        <w:t xml:space="preserve"> PUSCH </w:t>
      </w:r>
      <w:r w:rsidRPr="00AD765F">
        <w:rPr>
          <w:lang w:eastAsia="zh-CN"/>
        </w:rPr>
        <w:t xml:space="preserve">with transform precoding disabled, </w:t>
      </w:r>
      <w:r w:rsidRPr="00AD765F">
        <w:rPr>
          <w:i/>
          <w:lang w:eastAsia="zh-CN"/>
        </w:rPr>
        <w:t>Additional DM-RS position = pos0</w:t>
      </w:r>
      <w:r w:rsidRPr="00AD765F">
        <w:rPr>
          <w:lang w:eastAsia="zh-CN"/>
        </w:rPr>
        <w:t xml:space="preserve"> and 1 transmission layer</w:t>
      </w:r>
      <w:r w:rsidRPr="00AD765F">
        <w:t>.</w:t>
      </w:r>
    </w:p>
    <w:p w14:paraId="0990B0F7" w14:textId="77777777" w:rsidR="00241417" w:rsidRPr="00AD765F" w:rsidRDefault="00241417" w:rsidP="00241417">
      <w:pPr>
        <w:pStyle w:val="B10"/>
        <w:rPr>
          <w:lang w:eastAsia="zh-CN"/>
        </w:rPr>
      </w:pPr>
      <w:r w:rsidRPr="00AD765F">
        <w:lastRenderedPageBreak/>
        <w:t>-</w:t>
      </w:r>
      <w:r w:rsidRPr="00AD765F">
        <w:tab/>
      </w:r>
      <w:r w:rsidRPr="00AD765F">
        <w:rPr>
          <w:lang w:eastAsia="zh-CN"/>
        </w:rPr>
        <w:t xml:space="preserve">FRC parameters </w:t>
      </w:r>
      <w:r w:rsidRPr="00AD765F">
        <w:t>are specified in table A.2.</w:t>
      </w:r>
      <w:r w:rsidRPr="00AD765F">
        <w:rPr>
          <w:lang w:eastAsia="zh-CN"/>
        </w:rPr>
        <w:t>3</w:t>
      </w:r>
      <w:r w:rsidRPr="00AD765F">
        <w:t>-</w:t>
      </w:r>
      <w:r w:rsidRPr="00AD765F">
        <w:rPr>
          <w:lang w:eastAsia="zh-CN"/>
        </w:rPr>
        <w:t>4</w:t>
      </w:r>
      <w:r w:rsidRPr="00AD765F">
        <w:t xml:space="preserve"> for FR</w:t>
      </w:r>
      <w:r w:rsidRPr="00AD765F">
        <w:rPr>
          <w:lang w:eastAsia="zh-CN"/>
        </w:rPr>
        <w:t>2</w:t>
      </w:r>
      <w:r w:rsidRPr="00AD765F">
        <w:t xml:space="preserve"> PUSCH </w:t>
      </w:r>
      <w:r w:rsidRPr="00AD765F">
        <w:rPr>
          <w:lang w:eastAsia="zh-CN"/>
        </w:rPr>
        <w:t xml:space="preserve">with transform precoding disabled, </w:t>
      </w:r>
      <w:r w:rsidRPr="00AD765F">
        <w:rPr>
          <w:i/>
          <w:lang w:eastAsia="zh-CN"/>
        </w:rPr>
        <w:t>Additional DM-RS position = pos0</w:t>
      </w:r>
      <w:r w:rsidRPr="00AD765F">
        <w:rPr>
          <w:lang w:eastAsia="zh-CN"/>
        </w:rPr>
        <w:t xml:space="preserve"> and 2 transmission layers</w:t>
      </w:r>
      <w:r w:rsidRPr="00AD765F">
        <w:t>.</w:t>
      </w:r>
      <w:r w:rsidRPr="00AD765F">
        <w:rPr>
          <w:lang w:eastAsia="zh-CN"/>
        </w:rPr>
        <w:t xml:space="preserve"> </w:t>
      </w:r>
    </w:p>
    <w:p w14:paraId="0EE196F3"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3</w:t>
      </w:r>
      <w:r w:rsidRPr="00AD765F">
        <w:t>-</w:t>
      </w:r>
      <w:r w:rsidRPr="00AD765F">
        <w:rPr>
          <w:lang w:eastAsia="zh-CN"/>
        </w:rPr>
        <w:t>5</w:t>
      </w:r>
      <w:r w:rsidRPr="00AD765F">
        <w:t xml:space="preserve"> for FR</w:t>
      </w:r>
      <w:r w:rsidRPr="00AD765F">
        <w:rPr>
          <w:lang w:eastAsia="zh-CN"/>
        </w:rPr>
        <w:t>2</w:t>
      </w:r>
      <w:r w:rsidRPr="00AD765F">
        <w:t xml:space="preserve"> PUSCH </w:t>
      </w:r>
      <w:r w:rsidRPr="00AD765F">
        <w:rPr>
          <w:lang w:eastAsia="zh-CN"/>
        </w:rPr>
        <w:t xml:space="preserve">with transform precoding disabled, </w:t>
      </w:r>
      <w:r w:rsidRPr="00AD765F">
        <w:rPr>
          <w:i/>
          <w:lang w:eastAsia="zh-CN"/>
        </w:rPr>
        <w:t>Additional DM-RS position = pos1</w:t>
      </w:r>
      <w:r w:rsidRPr="00AD765F">
        <w:rPr>
          <w:lang w:eastAsia="zh-CN"/>
        </w:rPr>
        <w:t xml:space="preserve"> and 1 transmission layer</w:t>
      </w:r>
      <w:r w:rsidRPr="00AD765F">
        <w:t>.</w:t>
      </w:r>
    </w:p>
    <w:p w14:paraId="7F68A9FC"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3</w:t>
      </w:r>
      <w:r w:rsidRPr="00AD765F">
        <w:t>-</w:t>
      </w:r>
      <w:r w:rsidRPr="00AD765F">
        <w:rPr>
          <w:lang w:eastAsia="zh-CN"/>
        </w:rPr>
        <w:t>6</w:t>
      </w:r>
      <w:r w:rsidRPr="00AD765F">
        <w:t xml:space="preserve"> for FR</w:t>
      </w:r>
      <w:r w:rsidRPr="00AD765F">
        <w:rPr>
          <w:lang w:eastAsia="zh-CN"/>
        </w:rPr>
        <w:t>2</w:t>
      </w:r>
      <w:r w:rsidRPr="00AD765F">
        <w:t xml:space="preserve"> PUSCH </w:t>
      </w:r>
      <w:r w:rsidRPr="00AD765F">
        <w:rPr>
          <w:lang w:eastAsia="zh-CN"/>
        </w:rPr>
        <w:t xml:space="preserve">with transform precoding disabled, </w:t>
      </w:r>
      <w:r w:rsidRPr="00AD765F">
        <w:rPr>
          <w:i/>
          <w:lang w:eastAsia="zh-CN"/>
        </w:rPr>
        <w:t>Additional DM-RS position = pos1</w:t>
      </w:r>
      <w:r w:rsidRPr="00AD765F">
        <w:rPr>
          <w:lang w:eastAsia="zh-CN"/>
        </w:rPr>
        <w:t xml:space="preserve"> and 2 transmission layers</w:t>
      </w:r>
      <w:r w:rsidRPr="00AD765F">
        <w:t>.</w:t>
      </w:r>
    </w:p>
    <w:p w14:paraId="6D4E3436" w14:textId="77777777" w:rsidR="00241417" w:rsidRPr="00AD765F" w:rsidRDefault="00241417" w:rsidP="00241417"/>
    <w:p w14:paraId="6C35EBA2" w14:textId="77777777" w:rsidR="00241417" w:rsidRPr="00AD765F" w:rsidRDefault="00241417" w:rsidP="00241417">
      <w:pPr>
        <w:pStyle w:val="TH"/>
        <w:rPr>
          <w:lang w:eastAsia="zh-CN"/>
        </w:rPr>
      </w:pPr>
      <w:bookmarkStart w:id="9216" w:name="_Hlk527996584"/>
      <w:r w:rsidRPr="00AD765F">
        <w:rPr>
          <w:rFonts w:eastAsia="Malgun Gothic"/>
        </w:rPr>
        <w:t>Table A.2.</w:t>
      </w:r>
      <w:r w:rsidRPr="00AD765F">
        <w:rPr>
          <w:lang w:eastAsia="zh-CN"/>
        </w:rPr>
        <w:t>3</w:t>
      </w:r>
      <w:r w:rsidRPr="00AD765F">
        <w:rPr>
          <w:rFonts w:eastAsia="Malgun Gothic"/>
        </w:rPr>
        <w:t>-</w:t>
      </w:r>
      <w:r w:rsidRPr="00AD765F">
        <w:rPr>
          <w:lang w:eastAsia="zh-CN"/>
        </w:rPr>
        <w:t>1</w:t>
      </w:r>
      <w:r w:rsidRPr="00AD765F">
        <w:rPr>
          <w:rFonts w:eastAsia="Malgun Gothic"/>
        </w:rPr>
        <w:t>: FRC parameters for</w:t>
      </w:r>
      <w:r w:rsidRPr="00AD765F">
        <w:rPr>
          <w:lang w:eastAsia="zh-CN"/>
        </w:rPr>
        <w:t xml:space="preserve"> FR1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1 transmission layer</w:t>
      </w:r>
      <w:r w:rsidRPr="00AD765F">
        <w:rPr>
          <w:rFonts w:eastAsia="Malgun Gothic"/>
        </w:rPr>
        <w:t xml:space="preserve"> (</w:t>
      </w:r>
      <w:r w:rsidRPr="00AD765F">
        <w:rPr>
          <w:lang w:eastAsia="zh-CN"/>
        </w:rPr>
        <w:t>16QAM</w:t>
      </w:r>
      <w:r w:rsidRPr="00AD765F">
        <w:rPr>
          <w:rFonts w:eastAsia="Malgun Gothic"/>
        </w:rPr>
        <w:t>, R=658/1024)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1"/>
        <w:gridCol w:w="1070"/>
        <w:gridCol w:w="1071"/>
        <w:gridCol w:w="1070"/>
        <w:gridCol w:w="1071"/>
        <w:gridCol w:w="1070"/>
        <w:gridCol w:w="1071"/>
        <w:gridCol w:w="1071"/>
      </w:tblGrid>
      <w:tr w:rsidR="00241417" w:rsidRPr="004710DC" w14:paraId="2091C667" w14:textId="77777777" w:rsidTr="003A71DE">
        <w:trPr>
          <w:cantSplit/>
          <w:jc w:val="center"/>
        </w:trPr>
        <w:tc>
          <w:tcPr>
            <w:tcW w:w="2421" w:type="dxa"/>
          </w:tcPr>
          <w:p w14:paraId="6B9D94F8" w14:textId="77777777" w:rsidR="00241417" w:rsidRPr="004710DC" w:rsidRDefault="00241417" w:rsidP="003A71DE">
            <w:pPr>
              <w:pStyle w:val="TAH"/>
            </w:pPr>
            <w:r w:rsidRPr="004710DC">
              <w:t>Reference channel</w:t>
            </w:r>
          </w:p>
        </w:tc>
        <w:tc>
          <w:tcPr>
            <w:tcW w:w="1070" w:type="dxa"/>
          </w:tcPr>
          <w:p w14:paraId="1768D652" w14:textId="77777777" w:rsidR="00241417" w:rsidRPr="004710DC" w:rsidRDefault="00241417" w:rsidP="003A71DE">
            <w:pPr>
              <w:pStyle w:val="TAH"/>
            </w:pPr>
            <w:r>
              <w:rPr>
                <w:lang w:eastAsia="zh-CN"/>
              </w:rPr>
              <w:t>D-FR1-A.2.3</w:t>
            </w:r>
            <w:r w:rsidRPr="004710DC">
              <w:rPr>
                <w:lang w:eastAsia="zh-CN"/>
              </w:rPr>
              <w:t>-</w:t>
            </w:r>
            <w:r>
              <w:rPr>
                <w:lang w:eastAsia="zh-CN"/>
              </w:rPr>
              <w:t>1</w:t>
            </w:r>
          </w:p>
        </w:tc>
        <w:tc>
          <w:tcPr>
            <w:tcW w:w="1071" w:type="dxa"/>
          </w:tcPr>
          <w:p w14:paraId="2BF2D4BE" w14:textId="77777777" w:rsidR="00241417" w:rsidRPr="004710DC" w:rsidRDefault="00241417" w:rsidP="003A71DE">
            <w:pPr>
              <w:pStyle w:val="TAH"/>
            </w:pPr>
            <w:r>
              <w:rPr>
                <w:lang w:eastAsia="zh-CN"/>
              </w:rPr>
              <w:t>D-FR1-A.2.3</w:t>
            </w:r>
            <w:r w:rsidRPr="004710DC">
              <w:rPr>
                <w:lang w:eastAsia="zh-CN"/>
              </w:rPr>
              <w:t>-</w:t>
            </w:r>
            <w:r>
              <w:rPr>
                <w:lang w:eastAsia="zh-CN"/>
              </w:rPr>
              <w:t>2</w:t>
            </w:r>
          </w:p>
        </w:tc>
        <w:tc>
          <w:tcPr>
            <w:tcW w:w="1070" w:type="dxa"/>
          </w:tcPr>
          <w:p w14:paraId="1DD84568" w14:textId="77777777" w:rsidR="00241417" w:rsidRPr="004710DC" w:rsidRDefault="00241417" w:rsidP="003A71DE">
            <w:pPr>
              <w:pStyle w:val="TAH"/>
            </w:pPr>
            <w:r>
              <w:rPr>
                <w:lang w:eastAsia="zh-CN"/>
              </w:rPr>
              <w:t>D-FR1-A.2.3</w:t>
            </w:r>
            <w:r w:rsidRPr="004710DC">
              <w:rPr>
                <w:lang w:eastAsia="zh-CN"/>
              </w:rPr>
              <w:t>-</w:t>
            </w:r>
            <w:r>
              <w:rPr>
                <w:lang w:eastAsia="zh-CN"/>
              </w:rPr>
              <w:t>3</w:t>
            </w:r>
          </w:p>
        </w:tc>
        <w:tc>
          <w:tcPr>
            <w:tcW w:w="1071" w:type="dxa"/>
          </w:tcPr>
          <w:p w14:paraId="0CEB6C18" w14:textId="77777777" w:rsidR="00241417" w:rsidRPr="004710DC" w:rsidRDefault="00241417" w:rsidP="003A71DE">
            <w:pPr>
              <w:pStyle w:val="TAH"/>
            </w:pPr>
            <w:r>
              <w:rPr>
                <w:lang w:eastAsia="zh-CN"/>
              </w:rPr>
              <w:t>D-FR1-A.2.3</w:t>
            </w:r>
            <w:r w:rsidRPr="004710DC">
              <w:rPr>
                <w:lang w:eastAsia="zh-CN"/>
              </w:rPr>
              <w:t>-</w:t>
            </w:r>
            <w:r>
              <w:rPr>
                <w:lang w:eastAsia="zh-CN"/>
              </w:rPr>
              <w:t>4</w:t>
            </w:r>
          </w:p>
        </w:tc>
        <w:tc>
          <w:tcPr>
            <w:tcW w:w="1070" w:type="dxa"/>
          </w:tcPr>
          <w:p w14:paraId="3E9E88DF" w14:textId="77777777" w:rsidR="00241417" w:rsidRPr="004710DC" w:rsidRDefault="00241417" w:rsidP="003A71DE">
            <w:pPr>
              <w:pStyle w:val="TAH"/>
            </w:pPr>
            <w:r>
              <w:rPr>
                <w:lang w:eastAsia="zh-CN"/>
              </w:rPr>
              <w:t>D-FR1-A.2.3</w:t>
            </w:r>
            <w:r w:rsidRPr="004710DC">
              <w:rPr>
                <w:lang w:eastAsia="zh-CN"/>
              </w:rPr>
              <w:t>-</w:t>
            </w:r>
            <w:r>
              <w:rPr>
                <w:lang w:eastAsia="zh-CN"/>
              </w:rPr>
              <w:t>5</w:t>
            </w:r>
          </w:p>
        </w:tc>
        <w:tc>
          <w:tcPr>
            <w:tcW w:w="1071" w:type="dxa"/>
          </w:tcPr>
          <w:p w14:paraId="62F596AC" w14:textId="77777777" w:rsidR="00241417" w:rsidRPr="004710DC" w:rsidRDefault="00241417" w:rsidP="003A71DE">
            <w:pPr>
              <w:pStyle w:val="TAH"/>
            </w:pPr>
            <w:r>
              <w:rPr>
                <w:lang w:eastAsia="zh-CN"/>
              </w:rPr>
              <w:t>D-FR1-A.2.3</w:t>
            </w:r>
            <w:r w:rsidRPr="004710DC">
              <w:rPr>
                <w:lang w:eastAsia="zh-CN"/>
              </w:rPr>
              <w:t>-</w:t>
            </w:r>
            <w:r>
              <w:rPr>
                <w:lang w:eastAsia="zh-CN"/>
              </w:rPr>
              <w:t>6</w:t>
            </w:r>
          </w:p>
        </w:tc>
        <w:tc>
          <w:tcPr>
            <w:tcW w:w="1071" w:type="dxa"/>
          </w:tcPr>
          <w:p w14:paraId="02A21F27" w14:textId="77777777" w:rsidR="00241417" w:rsidRPr="004710DC" w:rsidRDefault="00241417" w:rsidP="003A71DE">
            <w:pPr>
              <w:pStyle w:val="TAH"/>
              <w:rPr>
                <w:lang w:eastAsia="zh-CN"/>
              </w:rPr>
            </w:pPr>
            <w:r>
              <w:rPr>
                <w:lang w:eastAsia="zh-CN"/>
              </w:rPr>
              <w:t>D-FR1-A.2.3</w:t>
            </w:r>
            <w:r w:rsidRPr="004710DC">
              <w:rPr>
                <w:lang w:eastAsia="zh-CN"/>
              </w:rPr>
              <w:t>-</w:t>
            </w:r>
            <w:r>
              <w:rPr>
                <w:lang w:eastAsia="zh-CN"/>
              </w:rPr>
              <w:t>7</w:t>
            </w:r>
          </w:p>
        </w:tc>
      </w:tr>
      <w:tr w:rsidR="00241417" w:rsidRPr="004710DC" w14:paraId="5D33B657" w14:textId="77777777" w:rsidTr="003A71DE">
        <w:trPr>
          <w:cantSplit/>
          <w:jc w:val="center"/>
        </w:trPr>
        <w:tc>
          <w:tcPr>
            <w:tcW w:w="2421" w:type="dxa"/>
          </w:tcPr>
          <w:p w14:paraId="13752FD8" w14:textId="77777777" w:rsidR="00241417" w:rsidRPr="004710DC" w:rsidRDefault="00241417" w:rsidP="003A71DE">
            <w:pPr>
              <w:pStyle w:val="TAC"/>
              <w:rPr>
                <w:lang w:eastAsia="zh-CN"/>
              </w:rPr>
            </w:pPr>
            <w:r w:rsidRPr="004710DC">
              <w:rPr>
                <w:lang w:eastAsia="zh-CN"/>
              </w:rPr>
              <w:t>Subcarrier spacing [kHz]</w:t>
            </w:r>
          </w:p>
        </w:tc>
        <w:tc>
          <w:tcPr>
            <w:tcW w:w="1070" w:type="dxa"/>
          </w:tcPr>
          <w:p w14:paraId="11B93475" w14:textId="77777777" w:rsidR="00241417" w:rsidRPr="004710DC" w:rsidRDefault="00241417" w:rsidP="003A71DE">
            <w:pPr>
              <w:pStyle w:val="TAC"/>
              <w:rPr>
                <w:lang w:eastAsia="zh-CN"/>
              </w:rPr>
            </w:pPr>
            <w:r w:rsidRPr="004710DC">
              <w:rPr>
                <w:lang w:eastAsia="zh-CN"/>
              </w:rPr>
              <w:t>15</w:t>
            </w:r>
          </w:p>
        </w:tc>
        <w:tc>
          <w:tcPr>
            <w:tcW w:w="1071" w:type="dxa"/>
          </w:tcPr>
          <w:p w14:paraId="091E2ED2" w14:textId="77777777" w:rsidR="00241417" w:rsidRPr="004710DC" w:rsidRDefault="00241417" w:rsidP="003A71DE">
            <w:pPr>
              <w:pStyle w:val="TAC"/>
            </w:pPr>
            <w:r w:rsidRPr="004710DC">
              <w:rPr>
                <w:lang w:eastAsia="zh-CN"/>
              </w:rPr>
              <w:t>15</w:t>
            </w:r>
          </w:p>
        </w:tc>
        <w:tc>
          <w:tcPr>
            <w:tcW w:w="1070" w:type="dxa"/>
          </w:tcPr>
          <w:p w14:paraId="65F6D83F" w14:textId="77777777" w:rsidR="00241417" w:rsidRPr="004710DC" w:rsidRDefault="00241417" w:rsidP="003A71DE">
            <w:pPr>
              <w:pStyle w:val="TAC"/>
            </w:pPr>
            <w:r w:rsidRPr="004710DC">
              <w:rPr>
                <w:lang w:eastAsia="zh-CN"/>
              </w:rPr>
              <w:t>15</w:t>
            </w:r>
          </w:p>
        </w:tc>
        <w:tc>
          <w:tcPr>
            <w:tcW w:w="1071" w:type="dxa"/>
          </w:tcPr>
          <w:p w14:paraId="49D2DE4D" w14:textId="77777777" w:rsidR="00241417" w:rsidRPr="004710DC" w:rsidRDefault="00241417" w:rsidP="003A71DE">
            <w:pPr>
              <w:pStyle w:val="TAC"/>
            </w:pPr>
            <w:r w:rsidRPr="004710DC">
              <w:rPr>
                <w:lang w:eastAsia="zh-CN"/>
              </w:rPr>
              <w:t>30</w:t>
            </w:r>
          </w:p>
        </w:tc>
        <w:tc>
          <w:tcPr>
            <w:tcW w:w="1070" w:type="dxa"/>
          </w:tcPr>
          <w:p w14:paraId="39A6FBA7" w14:textId="77777777" w:rsidR="00241417" w:rsidRPr="004710DC" w:rsidRDefault="00241417" w:rsidP="003A71DE">
            <w:pPr>
              <w:pStyle w:val="TAC"/>
            </w:pPr>
            <w:r w:rsidRPr="004710DC">
              <w:rPr>
                <w:lang w:eastAsia="zh-CN"/>
              </w:rPr>
              <w:t>30</w:t>
            </w:r>
          </w:p>
        </w:tc>
        <w:tc>
          <w:tcPr>
            <w:tcW w:w="1071" w:type="dxa"/>
          </w:tcPr>
          <w:p w14:paraId="5610FAAD" w14:textId="77777777" w:rsidR="00241417" w:rsidRPr="004710DC" w:rsidRDefault="00241417" w:rsidP="003A71DE">
            <w:pPr>
              <w:pStyle w:val="TAC"/>
            </w:pPr>
            <w:r w:rsidRPr="004710DC">
              <w:rPr>
                <w:lang w:eastAsia="zh-CN"/>
              </w:rPr>
              <w:t>30</w:t>
            </w:r>
          </w:p>
        </w:tc>
        <w:tc>
          <w:tcPr>
            <w:tcW w:w="1071" w:type="dxa"/>
          </w:tcPr>
          <w:p w14:paraId="646DA3D9" w14:textId="77777777" w:rsidR="00241417" w:rsidRPr="004710DC" w:rsidRDefault="00241417" w:rsidP="003A71DE">
            <w:pPr>
              <w:pStyle w:val="TAC"/>
            </w:pPr>
            <w:r w:rsidRPr="004710DC">
              <w:rPr>
                <w:lang w:eastAsia="zh-CN"/>
              </w:rPr>
              <w:t>30</w:t>
            </w:r>
          </w:p>
        </w:tc>
      </w:tr>
      <w:tr w:rsidR="00241417" w:rsidRPr="004710DC" w14:paraId="68D5F082" w14:textId="77777777" w:rsidTr="003A71DE">
        <w:trPr>
          <w:cantSplit/>
          <w:jc w:val="center"/>
        </w:trPr>
        <w:tc>
          <w:tcPr>
            <w:tcW w:w="2421" w:type="dxa"/>
          </w:tcPr>
          <w:p w14:paraId="23E700C6" w14:textId="77777777" w:rsidR="00241417" w:rsidRPr="004710DC" w:rsidRDefault="00241417" w:rsidP="003A71DE">
            <w:pPr>
              <w:pStyle w:val="TAC"/>
            </w:pPr>
            <w:r w:rsidRPr="004710DC">
              <w:t>Allocated resource blocks</w:t>
            </w:r>
          </w:p>
        </w:tc>
        <w:tc>
          <w:tcPr>
            <w:tcW w:w="1070" w:type="dxa"/>
          </w:tcPr>
          <w:p w14:paraId="7015653F" w14:textId="77777777" w:rsidR="00241417" w:rsidRPr="004710DC" w:rsidRDefault="00241417" w:rsidP="003A71DE">
            <w:pPr>
              <w:pStyle w:val="TAC"/>
            </w:pPr>
            <w:r w:rsidRPr="004710DC">
              <w:t>25</w:t>
            </w:r>
          </w:p>
        </w:tc>
        <w:tc>
          <w:tcPr>
            <w:tcW w:w="1071" w:type="dxa"/>
          </w:tcPr>
          <w:p w14:paraId="7FDA205D" w14:textId="77777777" w:rsidR="00241417" w:rsidRPr="004710DC" w:rsidRDefault="00241417" w:rsidP="003A71DE">
            <w:pPr>
              <w:pStyle w:val="TAC"/>
            </w:pPr>
            <w:r w:rsidRPr="004710DC">
              <w:t>52</w:t>
            </w:r>
          </w:p>
        </w:tc>
        <w:tc>
          <w:tcPr>
            <w:tcW w:w="1070" w:type="dxa"/>
          </w:tcPr>
          <w:p w14:paraId="6E188100" w14:textId="77777777" w:rsidR="00241417" w:rsidRPr="004710DC" w:rsidRDefault="00241417" w:rsidP="003A71DE">
            <w:pPr>
              <w:pStyle w:val="TAC"/>
              <w:rPr>
                <w:lang w:eastAsia="zh-CN"/>
              </w:rPr>
            </w:pPr>
            <w:r w:rsidRPr="004710DC">
              <w:rPr>
                <w:lang w:eastAsia="zh-CN"/>
              </w:rPr>
              <w:t>106</w:t>
            </w:r>
          </w:p>
        </w:tc>
        <w:tc>
          <w:tcPr>
            <w:tcW w:w="1071" w:type="dxa"/>
          </w:tcPr>
          <w:p w14:paraId="3D19C886" w14:textId="77777777" w:rsidR="00241417" w:rsidRPr="004710DC" w:rsidRDefault="00241417" w:rsidP="003A71DE">
            <w:pPr>
              <w:pStyle w:val="TAC"/>
            </w:pPr>
            <w:r w:rsidRPr="004710DC">
              <w:t>24</w:t>
            </w:r>
          </w:p>
        </w:tc>
        <w:tc>
          <w:tcPr>
            <w:tcW w:w="1070" w:type="dxa"/>
          </w:tcPr>
          <w:p w14:paraId="212E8955" w14:textId="77777777" w:rsidR="00241417" w:rsidRPr="004710DC" w:rsidRDefault="00241417" w:rsidP="003A71DE">
            <w:pPr>
              <w:pStyle w:val="TAC"/>
            </w:pPr>
            <w:r w:rsidRPr="004710DC">
              <w:t>51</w:t>
            </w:r>
          </w:p>
        </w:tc>
        <w:tc>
          <w:tcPr>
            <w:tcW w:w="1071" w:type="dxa"/>
          </w:tcPr>
          <w:p w14:paraId="115754C1" w14:textId="77777777" w:rsidR="00241417" w:rsidRPr="004710DC" w:rsidRDefault="00241417" w:rsidP="003A71DE">
            <w:pPr>
              <w:pStyle w:val="TAC"/>
            </w:pPr>
            <w:r w:rsidRPr="004710DC">
              <w:t>106</w:t>
            </w:r>
          </w:p>
        </w:tc>
        <w:tc>
          <w:tcPr>
            <w:tcW w:w="1071" w:type="dxa"/>
          </w:tcPr>
          <w:p w14:paraId="5E5B1F8B" w14:textId="77777777" w:rsidR="00241417" w:rsidRPr="004710DC" w:rsidRDefault="00241417" w:rsidP="003A71DE">
            <w:pPr>
              <w:pStyle w:val="TAC"/>
            </w:pPr>
            <w:r w:rsidRPr="004710DC">
              <w:t>273</w:t>
            </w:r>
          </w:p>
        </w:tc>
      </w:tr>
      <w:tr w:rsidR="00241417" w:rsidRPr="004710DC" w14:paraId="56C9F2BF" w14:textId="77777777" w:rsidTr="003A71DE">
        <w:trPr>
          <w:cantSplit/>
          <w:jc w:val="center"/>
        </w:trPr>
        <w:tc>
          <w:tcPr>
            <w:tcW w:w="2421" w:type="dxa"/>
          </w:tcPr>
          <w:p w14:paraId="7278A355"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0" w:type="dxa"/>
          </w:tcPr>
          <w:p w14:paraId="191EFA9A" w14:textId="77777777" w:rsidR="00241417" w:rsidRPr="004710DC" w:rsidRDefault="00241417" w:rsidP="003A71DE">
            <w:pPr>
              <w:pStyle w:val="TAC"/>
              <w:rPr>
                <w:lang w:eastAsia="zh-CN"/>
              </w:rPr>
            </w:pPr>
            <w:r w:rsidRPr="004710DC">
              <w:rPr>
                <w:lang w:eastAsia="zh-CN"/>
              </w:rPr>
              <w:t>12</w:t>
            </w:r>
          </w:p>
        </w:tc>
        <w:tc>
          <w:tcPr>
            <w:tcW w:w="1071" w:type="dxa"/>
          </w:tcPr>
          <w:p w14:paraId="5480B033" w14:textId="77777777" w:rsidR="00241417" w:rsidRPr="004710DC" w:rsidRDefault="00241417" w:rsidP="003A71DE">
            <w:pPr>
              <w:pStyle w:val="TAC"/>
              <w:rPr>
                <w:lang w:eastAsia="zh-CN"/>
              </w:rPr>
            </w:pPr>
            <w:r w:rsidRPr="004710DC">
              <w:rPr>
                <w:lang w:eastAsia="zh-CN"/>
              </w:rPr>
              <w:t>12</w:t>
            </w:r>
          </w:p>
        </w:tc>
        <w:tc>
          <w:tcPr>
            <w:tcW w:w="1070" w:type="dxa"/>
          </w:tcPr>
          <w:p w14:paraId="67F46E97" w14:textId="77777777" w:rsidR="00241417" w:rsidRPr="004710DC" w:rsidRDefault="00241417" w:rsidP="003A71DE">
            <w:pPr>
              <w:pStyle w:val="TAC"/>
              <w:rPr>
                <w:lang w:eastAsia="zh-CN"/>
              </w:rPr>
            </w:pPr>
            <w:r w:rsidRPr="004710DC">
              <w:rPr>
                <w:lang w:eastAsia="zh-CN"/>
              </w:rPr>
              <w:t>12</w:t>
            </w:r>
          </w:p>
        </w:tc>
        <w:tc>
          <w:tcPr>
            <w:tcW w:w="1071" w:type="dxa"/>
          </w:tcPr>
          <w:p w14:paraId="27437D6F" w14:textId="77777777" w:rsidR="00241417" w:rsidRPr="004710DC" w:rsidRDefault="00241417" w:rsidP="003A71DE">
            <w:pPr>
              <w:pStyle w:val="TAC"/>
              <w:rPr>
                <w:lang w:eastAsia="zh-CN"/>
              </w:rPr>
            </w:pPr>
            <w:r w:rsidRPr="004710DC">
              <w:rPr>
                <w:lang w:eastAsia="zh-CN"/>
              </w:rPr>
              <w:t>12</w:t>
            </w:r>
          </w:p>
        </w:tc>
        <w:tc>
          <w:tcPr>
            <w:tcW w:w="1070" w:type="dxa"/>
          </w:tcPr>
          <w:p w14:paraId="632FD859" w14:textId="77777777" w:rsidR="00241417" w:rsidRPr="004710DC" w:rsidRDefault="00241417" w:rsidP="003A71DE">
            <w:pPr>
              <w:pStyle w:val="TAC"/>
              <w:rPr>
                <w:lang w:eastAsia="zh-CN"/>
              </w:rPr>
            </w:pPr>
            <w:r w:rsidRPr="004710DC">
              <w:rPr>
                <w:lang w:eastAsia="zh-CN"/>
              </w:rPr>
              <w:t>12</w:t>
            </w:r>
          </w:p>
        </w:tc>
        <w:tc>
          <w:tcPr>
            <w:tcW w:w="1071" w:type="dxa"/>
          </w:tcPr>
          <w:p w14:paraId="3D8BC40B" w14:textId="77777777" w:rsidR="00241417" w:rsidRPr="004710DC" w:rsidRDefault="00241417" w:rsidP="003A71DE">
            <w:pPr>
              <w:pStyle w:val="TAC"/>
              <w:rPr>
                <w:lang w:eastAsia="zh-CN"/>
              </w:rPr>
            </w:pPr>
            <w:r w:rsidRPr="004710DC">
              <w:rPr>
                <w:lang w:eastAsia="zh-CN"/>
              </w:rPr>
              <w:t>12</w:t>
            </w:r>
          </w:p>
        </w:tc>
        <w:tc>
          <w:tcPr>
            <w:tcW w:w="1071" w:type="dxa"/>
          </w:tcPr>
          <w:p w14:paraId="35ECC18C" w14:textId="77777777" w:rsidR="00241417" w:rsidRPr="004710DC" w:rsidRDefault="00241417" w:rsidP="003A71DE">
            <w:pPr>
              <w:pStyle w:val="TAC"/>
              <w:rPr>
                <w:lang w:eastAsia="zh-CN"/>
              </w:rPr>
            </w:pPr>
            <w:r w:rsidRPr="004710DC">
              <w:rPr>
                <w:lang w:eastAsia="zh-CN"/>
              </w:rPr>
              <w:t>12</w:t>
            </w:r>
          </w:p>
        </w:tc>
      </w:tr>
      <w:tr w:rsidR="00241417" w:rsidRPr="004710DC" w14:paraId="0796F608" w14:textId="77777777" w:rsidTr="003A71DE">
        <w:trPr>
          <w:cantSplit/>
          <w:jc w:val="center"/>
        </w:trPr>
        <w:tc>
          <w:tcPr>
            <w:tcW w:w="2421" w:type="dxa"/>
          </w:tcPr>
          <w:p w14:paraId="1C726FE4" w14:textId="77777777" w:rsidR="00241417" w:rsidRPr="004710DC" w:rsidRDefault="00241417" w:rsidP="003A71DE">
            <w:pPr>
              <w:pStyle w:val="TAC"/>
            </w:pPr>
            <w:r w:rsidRPr="004710DC">
              <w:t>Modulation</w:t>
            </w:r>
          </w:p>
        </w:tc>
        <w:tc>
          <w:tcPr>
            <w:tcW w:w="1070" w:type="dxa"/>
          </w:tcPr>
          <w:p w14:paraId="6D3B43E2" w14:textId="77777777" w:rsidR="00241417" w:rsidRPr="004710DC" w:rsidRDefault="00241417" w:rsidP="003A71DE">
            <w:pPr>
              <w:pStyle w:val="TAC"/>
              <w:rPr>
                <w:lang w:eastAsia="zh-CN"/>
              </w:rPr>
            </w:pPr>
            <w:r w:rsidRPr="004710DC">
              <w:rPr>
                <w:lang w:eastAsia="zh-CN"/>
              </w:rPr>
              <w:t>16QAM</w:t>
            </w:r>
          </w:p>
        </w:tc>
        <w:tc>
          <w:tcPr>
            <w:tcW w:w="1071" w:type="dxa"/>
          </w:tcPr>
          <w:p w14:paraId="15A82EF0" w14:textId="77777777" w:rsidR="00241417" w:rsidRPr="004710DC" w:rsidRDefault="00241417" w:rsidP="003A71DE">
            <w:pPr>
              <w:pStyle w:val="TAC"/>
              <w:rPr>
                <w:lang w:eastAsia="zh-CN"/>
              </w:rPr>
            </w:pPr>
            <w:r w:rsidRPr="004710DC">
              <w:rPr>
                <w:lang w:eastAsia="zh-CN"/>
              </w:rPr>
              <w:t>16QAM</w:t>
            </w:r>
          </w:p>
        </w:tc>
        <w:tc>
          <w:tcPr>
            <w:tcW w:w="1070" w:type="dxa"/>
          </w:tcPr>
          <w:p w14:paraId="701D6E26" w14:textId="77777777" w:rsidR="00241417" w:rsidRPr="004710DC" w:rsidRDefault="00241417" w:rsidP="003A71DE">
            <w:pPr>
              <w:pStyle w:val="TAC"/>
              <w:rPr>
                <w:lang w:eastAsia="zh-CN"/>
              </w:rPr>
            </w:pPr>
            <w:r w:rsidRPr="004710DC">
              <w:rPr>
                <w:lang w:eastAsia="zh-CN"/>
              </w:rPr>
              <w:t>16QAM</w:t>
            </w:r>
          </w:p>
        </w:tc>
        <w:tc>
          <w:tcPr>
            <w:tcW w:w="1071" w:type="dxa"/>
          </w:tcPr>
          <w:p w14:paraId="34179427" w14:textId="77777777" w:rsidR="00241417" w:rsidRPr="004710DC" w:rsidRDefault="00241417" w:rsidP="003A71DE">
            <w:pPr>
              <w:pStyle w:val="TAC"/>
              <w:rPr>
                <w:lang w:eastAsia="zh-CN"/>
              </w:rPr>
            </w:pPr>
            <w:r w:rsidRPr="004710DC">
              <w:rPr>
                <w:lang w:eastAsia="zh-CN"/>
              </w:rPr>
              <w:t>16QAM</w:t>
            </w:r>
          </w:p>
        </w:tc>
        <w:tc>
          <w:tcPr>
            <w:tcW w:w="1070" w:type="dxa"/>
          </w:tcPr>
          <w:p w14:paraId="079B68D3" w14:textId="77777777" w:rsidR="00241417" w:rsidRPr="004710DC" w:rsidRDefault="00241417" w:rsidP="003A71DE">
            <w:pPr>
              <w:pStyle w:val="TAC"/>
              <w:rPr>
                <w:lang w:eastAsia="zh-CN"/>
              </w:rPr>
            </w:pPr>
            <w:r w:rsidRPr="004710DC">
              <w:rPr>
                <w:lang w:eastAsia="zh-CN"/>
              </w:rPr>
              <w:t>16QAM</w:t>
            </w:r>
          </w:p>
        </w:tc>
        <w:tc>
          <w:tcPr>
            <w:tcW w:w="1071" w:type="dxa"/>
          </w:tcPr>
          <w:p w14:paraId="70111328" w14:textId="77777777" w:rsidR="00241417" w:rsidRPr="004710DC" w:rsidRDefault="00241417" w:rsidP="003A71DE">
            <w:pPr>
              <w:pStyle w:val="TAC"/>
              <w:rPr>
                <w:lang w:eastAsia="zh-CN"/>
              </w:rPr>
            </w:pPr>
            <w:r w:rsidRPr="004710DC">
              <w:rPr>
                <w:lang w:eastAsia="zh-CN"/>
              </w:rPr>
              <w:t>16QAM</w:t>
            </w:r>
          </w:p>
        </w:tc>
        <w:tc>
          <w:tcPr>
            <w:tcW w:w="1071" w:type="dxa"/>
          </w:tcPr>
          <w:p w14:paraId="5A18E1B0" w14:textId="77777777" w:rsidR="00241417" w:rsidRPr="004710DC" w:rsidRDefault="00241417" w:rsidP="003A71DE">
            <w:pPr>
              <w:pStyle w:val="TAC"/>
              <w:rPr>
                <w:lang w:eastAsia="zh-CN"/>
              </w:rPr>
            </w:pPr>
            <w:r w:rsidRPr="004710DC">
              <w:rPr>
                <w:lang w:eastAsia="zh-CN"/>
              </w:rPr>
              <w:t>16QAM</w:t>
            </w:r>
          </w:p>
        </w:tc>
      </w:tr>
      <w:tr w:rsidR="00241417" w:rsidRPr="004710DC" w14:paraId="2E5E84E7" w14:textId="77777777" w:rsidTr="003A71DE">
        <w:trPr>
          <w:cantSplit/>
          <w:jc w:val="center"/>
        </w:trPr>
        <w:tc>
          <w:tcPr>
            <w:tcW w:w="2421" w:type="dxa"/>
          </w:tcPr>
          <w:p w14:paraId="45694342" w14:textId="77777777" w:rsidR="00241417" w:rsidRPr="004710DC" w:rsidRDefault="00241417" w:rsidP="003A71DE">
            <w:pPr>
              <w:pStyle w:val="TAC"/>
            </w:pPr>
            <w:r>
              <w:t>Code Rate</w:t>
            </w:r>
          </w:p>
        </w:tc>
        <w:tc>
          <w:tcPr>
            <w:tcW w:w="1070" w:type="dxa"/>
          </w:tcPr>
          <w:p w14:paraId="72461736" w14:textId="77777777" w:rsidR="00241417" w:rsidRPr="004710DC" w:rsidRDefault="00241417" w:rsidP="003A71DE">
            <w:pPr>
              <w:pStyle w:val="TAC"/>
              <w:rPr>
                <w:lang w:eastAsia="zh-CN"/>
              </w:rPr>
            </w:pPr>
            <w:r w:rsidRPr="004710DC">
              <w:rPr>
                <w:lang w:eastAsia="zh-CN"/>
              </w:rPr>
              <w:t>658/1024</w:t>
            </w:r>
          </w:p>
        </w:tc>
        <w:tc>
          <w:tcPr>
            <w:tcW w:w="1071" w:type="dxa"/>
          </w:tcPr>
          <w:p w14:paraId="05F56377" w14:textId="77777777" w:rsidR="00241417" w:rsidRPr="004710DC" w:rsidRDefault="00241417" w:rsidP="003A71DE">
            <w:pPr>
              <w:pStyle w:val="TAC"/>
              <w:rPr>
                <w:lang w:eastAsia="zh-CN"/>
              </w:rPr>
            </w:pPr>
            <w:r w:rsidRPr="004710DC">
              <w:rPr>
                <w:lang w:eastAsia="zh-CN"/>
              </w:rPr>
              <w:t>658/1024</w:t>
            </w:r>
          </w:p>
        </w:tc>
        <w:tc>
          <w:tcPr>
            <w:tcW w:w="1070" w:type="dxa"/>
          </w:tcPr>
          <w:p w14:paraId="31F56EA0" w14:textId="77777777" w:rsidR="00241417" w:rsidRPr="004710DC" w:rsidRDefault="00241417" w:rsidP="003A71DE">
            <w:pPr>
              <w:pStyle w:val="TAC"/>
              <w:rPr>
                <w:lang w:eastAsia="zh-CN"/>
              </w:rPr>
            </w:pPr>
            <w:r w:rsidRPr="004710DC">
              <w:rPr>
                <w:lang w:eastAsia="zh-CN"/>
              </w:rPr>
              <w:t>658/1024</w:t>
            </w:r>
          </w:p>
        </w:tc>
        <w:tc>
          <w:tcPr>
            <w:tcW w:w="1071" w:type="dxa"/>
          </w:tcPr>
          <w:p w14:paraId="2FA1B1EA" w14:textId="77777777" w:rsidR="00241417" w:rsidRPr="004710DC" w:rsidRDefault="00241417" w:rsidP="003A71DE">
            <w:pPr>
              <w:pStyle w:val="TAC"/>
              <w:rPr>
                <w:lang w:eastAsia="zh-CN"/>
              </w:rPr>
            </w:pPr>
            <w:r w:rsidRPr="004710DC">
              <w:rPr>
                <w:lang w:eastAsia="zh-CN"/>
              </w:rPr>
              <w:t>658/1024</w:t>
            </w:r>
          </w:p>
        </w:tc>
        <w:tc>
          <w:tcPr>
            <w:tcW w:w="1070" w:type="dxa"/>
          </w:tcPr>
          <w:p w14:paraId="693323EA" w14:textId="77777777" w:rsidR="00241417" w:rsidRPr="004710DC" w:rsidRDefault="00241417" w:rsidP="003A71DE">
            <w:pPr>
              <w:pStyle w:val="TAC"/>
              <w:rPr>
                <w:lang w:eastAsia="zh-CN"/>
              </w:rPr>
            </w:pPr>
            <w:r w:rsidRPr="004710DC">
              <w:rPr>
                <w:lang w:eastAsia="zh-CN"/>
              </w:rPr>
              <w:t>658/1024</w:t>
            </w:r>
          </w:p>
        </w:tc>
        <w:tc>
          <w:tcPr>
            <w:tcW w:w="1071" w:type="dxa"/>
          </w:tcPr>
          <w:p w14:paraId="69F5B3E7" w14:textId="77777777" w:rsidR="00241417" w:rsidRPr="004710DC" w:rsidRDefault="00241417" w:rsidP="003A71DE">
            <w:pPr>
              <w:pStyle w:val="TAC"/>
              <w:rPr>
                <w:lang w:eastAsia="zh-CN"/>
              </w:rPr>
            </w:pPr>
            <w:r w:rsidRPr="004710DC">
              <w:rPr>
                <w:lang w:eastAsia="zh-CN"/>
              </w:rPr>
              <w:t>658/1024</w:t>
            </w:r>
          </w:p>
        </w:tc>
        <w:tc>
          <w:tcPr>
            <w:tcW w:w="1071" w:type="dxa"/>
          </w:tcPr>
          <w:p w14:paraId="12039457" w14:textId="77777777" w:rsidR="00241417" w:rsidRPr="004710DC" w:rsidRDefault="00241417" w:rsidP="003A71DE">
            <w:pPr>
              <w:pStyle w:val="TAC"/>
              <w:rPr>
                <w:lang w:eastAsia="zh-CN"/>
              </w:rPr>
            </w:pPr>
            <w:r w:rsidRPr="004710DC">
              <w:rPr>
                <w:lang w:eastAsia="zh-CN"/>
              </w:rPr>
              <w:t>658/1024</w:t>
            </w:r>
          </w:p>
        </w:tc>
      </w:tr>
      <w:tr w:rsidR="00241417" w:rsidRPr="004710DC" w14:paraId="1FA4E061" w14:textId="77777777" w:rsidTr="003A71DE">
        <w:trPr>
          <w:cantSplit/>
          <w:jc w:val="center"/>
        </w:trPr>
        <w:tc>
          <w:tcPr>
            <w:tcW w:w="2421" w:type="dxa"/>
          </w:tcPr>
          <w:p w14:paraId="7B1D6DB4" w14:textId="77777777" w:rsidR="00241417" w:rsidRPr="004710DC" w:rsidRDefault="00241417" w:rsidP="003A71DE">
            <w:pPr>
              <w:pStyle w:val="TAC"/>
            </w:pPr>
            <w:r w:rsidRPr="004710DC">
              <w:t>Payload size (bits)</w:t>
            </w:r>
          </w:p>
        </w:tc>
        <w:tc>
          <w:tcPr>
            <w:tcW w:w="1070" w:type="dxa"/>
            <w:vAlign w:val="center"/>
          </w:tcPr>
          <w:p w14:paraId="33067FC9" w14:textId="77777777" w:rsidR="00241417" w:rsidRPr="004710DC" w:rsidRDefault="00241417" w:rsidP="003A71DE">
            <w:pPr>
              <w:pStyle w:val="TAC"/>
              <w:rPr>
                <w:lang w:eastAsia="zh-CN"/>
              </w:rPr>
            </w:pPr>
            <w:r w:rsidRPr="004710DC">
              <w:rPr>
                <w:lang w:eastAsia="zh-CN"/>
              </w:rPr>
              <w:t>9224</w:t>
            </w:r>
          </w:p>
        </w:tc>
        <w:tc>
          <w:tcPr>
            <w:tcW w:w="1071" w:type="dxa"/>
            <w:vAlign w:val="center"/>
          </w:tcPr>
          <w:p w14:paraId="1B61235B" w14:textId="77777777" w:rsidR="00241417" w:rsidRPr="004710DC" w:rsidRDefault="00241417" w:rsidP="003A71DE">
            <w:pPr>
              <w:pStyle w:val="TAC"/>
              <w:rPr>
                <w:lang w:eastAsia="zh-CN"/>
              </w:rPr>
            </w:pPr>
            <w:r w:rsidRPr="004710DC">
              <w:rPr>
                <w:lang w:eastAsia="zh-CN"/>
              </w:rPr>
              <w:t>19464</w:t>
            </w:r>
          </w:p>
        </w:tc>
        <w:tc>
          <w:tcPr>
            <w:tcW w:w="1070" w:type="dxa"/>
            <w:vAlign w:val="center"/>
          </w:tcPr>
          <w:p w14:paraId="78960BA8" w14:textId="77777777" w:rsidR="00241417" w:rsidRPr="004710DC" w:rsidRDefault="00241417" w:rsidP="003A71DE">
            <w:pPr>
              <w:pStyle w:val="TAC"/>
              <w:rPr>
                <w:lang w:eastAsia="zh-CN"/>
              </w:rPr>
            </w:pPr>
            <w:r w:rsidRPr="004710DC">
              <w:rPr>
                <w:lang w:eastAsia="zh-CN"/>
              </w:rPr>
              <w:t>38936</w:t>
            </w:r>
          </w:p>
        </w:tc>
        <w:tc>
          <w:tcPr>
            <w:tcW w:w="1071" w:type="dxa"/>
            <w:vAlign w:val="center"/>
          </w:tcPr>
          <w:p w14:paraId="2F4A35AD" w14:textId="77777777" w:rsidR="00241417" w:rsidRPr="004710DC" w:rsidRDefault="00241417" w:rsidP="003A71DE">
            <w:pPr>
              <w:pStyle w:val="TAC"/>
              <w:rPr>
                <w:lang w:eastAsia="zh-CN"/>
              </w:rPr>
            </w:pPr>
            <w:r w:rsidRPr="004710DC">
              <w:rPr>
                <w:lang w:eastAsia="zh-CN"/>
              </w:rPr>
              <w:t>8968</w:t>
            </w:r>
          </w:p>
        </w:tc>
        <w:tc>
          <w:tcPr>
            <w:tcW w:w="1070" w:type="dxa"/>
            <w:vAlign w:val="center"/>
          </w:tcPr>
          <w:p w14:paraId="4CF9FB40" w14:textId="77777777" w:rsidR="00241417" w:rsidRPr="004710DC" w:rsidRDefault="00241417" w:rsidP="003A71DE">
            <w:pPr>
              <w:pStyle w:val="TAC"/>
              <w:rPr>
                <w:lang w:eastAsia="zh-CN"/>
              </w:rPr>
            </w:pPr>
            <w:r w:rsidRPr="004710DC">
              <w:rPr>
                <w:lang w:eastAsia="zh-CN"/>
              </w:rPr>
              <w:t>18960</w:t>
            </w:r>
          </w:p>
        </w:tc>
        <w:tc>
          <w:tcPr>
            <w:tcW w:w="1071" w:type="dxa"/>
          </w:tcPr>
          <w:p w14:paraId="2D289214" w14:textId="77777777" w:rsidR="00241417" w:rsidRPr="004710DC" w:rsidRDefault="00241417" w:rsidP="003A71DE">
            <w:pPr>
              <w:pStyle w:val="TAC"/>
              <w:rPr>
                <w:lang w:eastAsia="zh-CN"/>
              </w:rPr>
            </w:pPr>
            <w:r w:rsidRPr="004710DC">
              <w:rPr>
                <w:lang w:eastAsia="zh-CN"/>
              </w:rPr>
              <w:t>38936</w:t>
            </w:r>
          </w:p>
        </w:tc>
        <w:tc>
          <w:tcPr>
            <w:tcW w:w="1071" w:type="dxa"/>
          </w:tcPr>
          <w:p w14:paraId="0878DC37" w14:textId="77777777" w:rsidR="00241417" w:rsidRPr="004710DC" w:rsidRDefault="00241417" w:rsidP="003A71DE">
            <w:pPr>
              <w:pStyle w:val="TAC"/>
              <w:rPr>
                <w:lang w:eastAsia="zh-CN"/>
              </w:rPr>
            </w:pPr>
            <w:r w:rsidRPr="004710DC">
              <w:rPr>
                <w:lang w:eastAsia="zh-CN"/>
              </w:rPr>
              <w:t>100392</w:t>
            </w:r>
          </w:p>
        </w:tc>
      </w:tr>
      <w:tr w:rsidR="00241417" w:rsidRPr="004710DC" w14:paraId="245F1559" w14:textId="77777777" w:rsidTr="003A71DE">
        <w:trPr>
          <w:cantSplit/>
          <w:jc w:val="center"/>
        </w:trPr>
        <w:tc>
          <w:tcPr>
            <w:tcW w:w="2421" w:type="dxa"/>
          </w:tcPr>
          <w:p w14:paraId="1340BE23" w14:textId="77777777" w:rsidR="00241417" w:rsidRPr="004710DC" w:rsidRDefault="00241417" w:rsidP="003A71DE">
            <w:pPr>
              <w:pStyle w:val="TAC"/>
            </w:pPr>
            <w:r w:rsidRPr="004710DC">
              <w:t>Transport block CRC (bits)</w:t>
            </w:r>
          </w:p>
        </w:tc>
        <w:tc>
          <w:tcPr>
            <w:tcW w:w="1070" w:type="dxa"/>
          </w:tcPr>
          <w:p w14:paraId="35CAF079" w14:textId="77777777" w:rsidR="00241417" w:rsidRPr="004710DC" w:rsidRDefault="00241417" w:rsidP="003A71DE">
            <w:pPr>
              <w:pStyle w:val="TAC"/>
              <w:rPr>
                <w:lang w:eastAsia="zh-CN"/>
              </w:rPr>
            </w:pPr>
            <w:r w:rsidRPr="004710DC">
              <w:rPr>
                <w:lang w:eastAsia="zh-CN"/>
              </w:rPr>
              <w:t>24</w:t>
            </w:r>
          </w:p>
        </w:tc>
        <w:tc>
          <w:tcPr>
            <w:tcW w:w="1071" w:type="dxa"/>
          </w:tcPr>
          <w:p w14:paraId="45782ECB" w14:textId="77777777" w:rsidR="00241417" w:rsidRPr="004710DC" w:rsidRDefault="00241417" w:rsidP="003A71DE">
            <w:pPr>
              <w:pStyle w:val="TAC"/>
              <w:rPr>
                <w:lang w:eastAsia="zh-CN"/>
              </w:rPr>
            </w:pPr>
            <w:r w:rsidRPr="004710DC">
              <w:rPr>
                <w:lang w:eastAsia="zh-CN"/>
              </w:rPr>
              <w:t>24</w:t>
            </w:r>
          </w:p>
        </w:tc>
        <w:tc>
          <w:tcPr>
            <w:tcW w:w="1070" w:type="dxa"/>
          </w:tcPr>
          <w:p w14:paraId="2EA7FD9C" w14:textId="77777777" w:rsidR="00241417" w:rsidRPr="004710DC" w:rsidRDefault="00241417" w:rsidP="003A71DE">
            <w:pPr>
              <w:pStyle w:val="TAC"/>
              <w:rPr>
                <w:lang w:eastAsia="zh-CN"/>
              </w:rPr>
            </w:pPr>
            <w:r w:rsidRPr="004710DC">
              <w:rPr>
                <w:lang w:eastAsia="zh-CN"/>
              </w:rPr>
              <w:t>24</w:t>
            </w:r>
          </w:p>
        </w:tc>
        <w:tc>
          <w:tcPr>
            <w:tcW w:w="1071" w:type="dxa"/>
          </w:tcPr>
          <w:p w14:paraId="7DB917AB" w14:textId="77777777" w:rsidR="00241417" w:rsidRPr="004710DC" w:rsidRDefault="00241417" w:rsidP="003A71DE">
            <w:pPr>
              <w:pStyle w:val="TAC"/>
              <w:rPr>
                <w:lang w:eastAsia="zh-CN"/>
              </w:rPr>
            </w:pPr>
            <w:r w:rsidRPr="004710DC">
              <w:rPr>
                <w:lang w:eastAsia="zh-CN"/>
              </w:rPr>
              <w:t>24</w:t>
            </w:r>
          </w:p>
        </w:tc>
        <w:tc>
          <w:tcPr>
            <w:tcW w:w="1070" w:type="dxa"/>
          </w:tcPr>
          <w:p w14:paraId="40CDFEB2" w14:textId="77777777" w:rsidR="00241417" w:rsidRPr="004710DC" w:rsidRDefault="00241417" w:rsidP="003A71DE">
            <w:pPr>
              <w:pStyle w:val="TAC"/>
              <w:rPr>
                <w:lang w:eastAsia="zh-CN"/>
              </w:rPr>
            </w:pPr>
            <w:r w:rsidRPr="004710DC">
              <w:rPr>
                <w:lang w:eastAsia="zh-CN"/>
              </w:rPr>
              <w:t>24</w:t>
            </w:r>
          </w:p>
        </w:tc>
        <w:tc>
          <w:tcPr>
            <w:tcW w:w="1071" w:type="dxa"/>
          </w:tcPr>
          <w:p w14:paraId="39B0CB01" w14:textId="77777777" w:rsidR="00241417" w:rsidRPr="004710DC" w:rsidRDefault="00241417" w:rsidP="003A71DE">
            <w:pPr>
              <w:pStyle w:val="TAC"/>
              <w:rPr>
                <w:lang w:eastAsia="zh-CN"/>
              </w:rPr>
            </w:pPr>
            <w:r w:rsidRPr="004710DC">
              <w:rPr>
                <w:lang w:eastAsia="zh-CN"/>
              </w:rPr>
              <w:t>24</w:t>
            </w:r>
          </w:p>
        </w:tc>
        <w:tc>
          <w:tcPr>
            <w:tcW w:w="1071" w:type="dxa"/>
          </w:tcPr>
          <w:p w14:paraId="4E68C51F" w14:textId="77777777" w:rsidR="00241417" w:rsidRPr="004710DC" w:rsidRDefault="00241417" w:rsidP="003A71DE">
            <w:pPr>
              <w:pStyle w:val="TAC"/>
              <w:rPr>
                <w:lang w:eastAsia="zh-CN"/>
              </w:rPr>
            </w:pPr>
            <w:r w:rsidRPr="004710DC">
              <w:rPr>
                <w:lang w:eastAsia="zh-CN"/>
              </w:rPr>
              <w:t>24</w:t>
            </w:r>
          </w:p>
        </w:tc>
      </w:tr>
      <w:tr w:rsidR="00241417" w:rsidRPr="004710DC" w14:paraId="39E54AF4" w14:textId="77777777" w:rsidTr="003A71DE">
        <w:trPr>
          <w:cantSplit/>
          <w:jc w:val="center"/>
        </w:trPr>
        <w:tc>
          <w:tcPr>
            <w:tcW w:w="2421" w:type="dxa"/>
          </w:tcPr>
          <w:p w14:paraId="6EC2BE10" w14:textId="77777777" w:rsidR="00241417" w:rsidRPr="00AD765F" w:rsidRDefault="00241417" w:rsidP="003A71DE">
            <w:pPr>
              <w:pStyle w:val="TAC"/>
            </w:pPr>
            <w:r w:rsidRPr="00AD765F">
              <w:t>Code block CRC size (bits)</w:t>
            </w:r>
          </w:p>
        </w:tc>
        <w:tc>
          <w:tcPr>
            <w:tcW w:w="1070" w:type="dxa"/>
          </w:tcPr>
          <w:p w14:paraId="400257A2" w14:textId="77777777" w:rsidR="00241417" w:rsidRPr="004710DC" w:rsidRDefault="00241417" w:rsidP="003A71DE">
            <w:pPr>
              <w:pStyle w:val="TAC"/>
              <w:rPr>
                <w:lang w:eastAsia="zh-CN"/>
              </w:rPr>
            </w:pPr>
            <w:r w:rsidRPr="004710DC">
              <w:rPr>
                <w:lang w:eastAsia="zh-CN"/>
              </w:rPr>
              <w:t>24</w:t>
            </w:r>
          </w:p>
        </w:tc>
        <w:tc>
          <w:tcPr>
            <w:tcW w:w="1071" w:type="dxa"/>
          </w:tcPr>
          <w:p w14:paraId="34E8CA61" w14:textId="77777777" w:rsidR="00241417" w:rsidRPr="004710DC" w:rsidRDefault="00241417" w:rsidP="003A71DE">
            <w:pPr>
              <w:pStyle w:val="TAC"/>
              <w:rPr>
                <w:lang w:eastAsia="zh-CN"/>
              </w:rPr>
            </w:pPr>
            <w:r w:rsidRPr="004710DC">
              <w:rPr>
                <w:lang w:eastAsia="zh-CN"/>
              </w:rPr>
              <w:t>24</w:t>
            </w:r>
          </w:p>
        </w:tc>
        <w:tc>
          <w:tcPr>
            <w:tcW w:w="1070" w:type="dxa"/>
          </w:tcPr>
          <w:p w14:paraId="61A8AD9F" w14:textId="77777777" w:rsidR="00241417" w:rsidRPr="004710DC" w:rsidRDefault="00241417" w:rsidP="003A71DE">
            <w:pPr>
              <w:pStyle w:val="TAC"/>
              <w:rPr>
                <w:lang w:eastAsia="zh-CN"/>
              </w:rPr>
            </w:pPr>
            <w:r w:rsidRPr="004710DC">
              <w:rPr>
                <w:lang w:eastAsia="zh-CN"/>
              </w:rPr>
              <w:t>24</w:t>
            </w:r>
          </w:p>
        </w:tc>
        <w:tc>
          <w:tcPr>
            <w:tcW w:w="1071" w:type="dxa"/>
          </w:tcPr>
          <w:p w14:paraId="1F19AA6B" w14:textId="77777777" w:rsidR="00241417" w:rsidRPr="004710DC" w:rsidRDefault="00241417" w:rsidP="003A71DE">
            <w:pPr>
              <w:pStyle w:val="TAC"/>
              <w:rPr>
                <w:lang w:eastAsia="zh-CN"/>
              </w:rPr>
            </w:pPr>
            <w:r w:rsidRPr="004710DC">
              <w:rPr>
                <w:lang w:eastAsia="zh-CN"/>
              </w:rPr>
              <w:t>24</w:t>
            </w:r>
          </w:p>
        </w:tc>
        <w:tc>
          <w:tcPr>
            <w:tcW w:w="1070" w:type="dxa"/>
          </w:tcPr>
          <w:p w14:paraId="36AB95CD" w14:textId="77777777" w:rsidR="00241417" w:rsidRPr="004710DC" w:rsidRDefault="00241417" w:rsidP="003A71DE">
            <w:pPr>
              <w:pStyle w:val="TAC"/>
              <w:rPr>
                <w:lang w:eastAsia="zh-CN"/>
              </w:rPr>
            </w:pPr>
            <w:r w:rsidRPr="004710DC">
              <w:rPr>
                <w:lang w:eastAsia="zh-CN"/>
              </w:rPr>
              <w:t>24</w:t>
            </w:r>
          </w:p>
        </w:tc>
        <w:tc>
          <w:tcPr>
            <w:tcW w:w="1071" w:type="dxa"/>
          </w:tcPr>
          <w:p w14:paraId="6F9EA586" w14:textId="77777777" w:rsidR="00241417" w:rsidRPr="004710DC" w:rsidRDefault="00241417" w:rsidP="003A71DE">
            <w:pPr>
              <w:pStyle w:val="TAC"/>
              <w:rPr>
                <w:lang w:eastAsia="zh-CN"/>
              </w:rPr>
            </w:pPr>
            <w:r w:rsidRPr="004710DC">
              <w:rPr>
                <w:lang w:eastAsia="zh-CN"/>
              </w:rPr>
              <w:t>24</w:t>
            </w:r>
          </w:p>
        </w:tc>
        <w:tc>
          <w:tcPr>
            <w:tcW w:w="1071" w:type="dxa"/>
          </w:tcPr>
          <w:p w14:paraId="3440ED88" w14:textId="77777777" w:rsidR="00241417" w:rsidRPr="004710DC" w:rsidRDefault="00241417" w:rsidP="003A71DE">
            <w:pPr>
              <w:pStyle w:val="TAC"/>
              <w:rPr>
                <w:lang w:eastAsia="zh-CN"/>
              </w:rPr>
            </w:pPr>
            <w:r w:rsidRPr="004710DC">
              <w:rPr>
                <w:lang w:eastAsia="zh-CN"/>
              </w:rPr>
              <w:t>24</w:t>
            </w:r>
          </w:p>
        </w:tc>
      </w:tr>
      <w:tr w:rsidR="00241417" w:rsidRPr="004710DC" w14:paraId="58ADBF4B" w14:textId="77777777" w:rsidTr="003A71DE">
        <w:trPr>
          <w:cantSplit/>
          <w:jc w:val="center"/>
        </w:trPr>
        <w:tc>
          <w:tcPr>
            <w:tcW w:w="2421" w:type="dxa"/>
          </w:tcPr>
          <w:p w14:paraId="2C795699" w14:textId="77777777" w:rsidR="00241417" w:rsidRPr="00AD765F" w:rsidRDefault="00241417" w:rsidP="003A71DE">
            <w:pPr>
              <w:pStyle w:val="TAC"/>
            </w:pPr>
            <w:r w:rsidRPr="00AD765F">
              <w:t>Number of code blocks - C</w:t>
            </w:r>
          </w:p>
        </w:tc>
        <w:tc>
          <w:tcPr>
            <w:tcW w:w="1070" w:type="dxa"/>
            <w:vAlign w:val="center"/>
          </w:tcPr>
          <w:p w14:paraId="45FBEAE5" w14:textId="77777777" w:rsidR="00241417" w:rsidRPr="004710DC" w:rsidRDefault="00241417" w:rsidP="003A71DE">
            <w:pPr>
              <w:pStyle w:val="TAC"/>
              <w:rPr>
                <w:lang w:eastAsia="zh-CN"/>
              </w:rPr>
            </w:pPr>
            <w:r w:rsidRPr="004710DC">
              <w:rPr>
                <w:lang w:eastAsia="zh-CN"/>
              </w:rPr>
              <w:t>2</w:t>
            </w:r>
          </w:p>
        </w:tc>
        <w:tc>
          <w:tcPr>
            <w:tcW w:w="1071" w:type="dxa"/>
            <w:vAlign w:val="center"/>
          </w:tcPr>
          <w:p w14:paraId="6C6F3FAF" w14:textId="77777777" w:rsidR="00241417" w:rsidRPr="004710DC" w:rsidRDefault="00241417" w:rsidP="003A71DE">
            <w:pPr>
              <w:pStyle w:val="TAC"/>
              <w:rPr>
                <w:lang w:eastAsia="zh-CN"/>
              </w:rPr>
            </w:pPr>
            <w:r w:rsidRPr="004710DC">
              <w:rPr>
                <w:lang w:eastAsia="zh-CN"/>
              </w:rPr>
              <w:t>3</w:t>
            </w:r>
          </w:p>
        </w:tc>
        <w:tc>
          <w:tcPr>
            <w:tcW w:w="1070" w:type="dxa"/>
          </w:tcPr>
          <w:p w14:paraId="02EB1D61" w14:textId="77777777" w:rsidR="00241417" w:rsidRPr="004710DC" w:rsidRDefault="00241417" w:rsidP="003A71DE">
            <w:pPr>
              <w:pStyle w:val="TAC"/>
              <w:rPr>
                <w:lang w:eastAsia="zh-CN"/>
              </w:rPr>
            </w:pPr>
            <w:r w:rsidRPr="004710DC">
              <w:rPr>
                <w:lang w:eastAsia="zh-CN"/>
              </w:rPr>
              <w:t>5</w:t>
            </w:r>
          </w:p>
        </w:tc>
        <w:tc>
          <w:tcPr>
            <w:tcW w:w="1071" w:type="dxa"/>
            <w:vAlign w:val="center"/>
          </w:tcPr>
          <w:p w14:paraId="10D2CF02" w14:textId="77777777" w:rsidR="00241417" w:rsidRPr="004710DC" w:rsidRDefault="00241417" w:rsidP="003A71DE">
            <w:pPr>
              <w:pStyle w:val="TAC"/>
              <w:rPr>
                <w:lang w:eastAsia="zh-CN"/>
              </w:rPr>
            </w:pPr>
            <w:r w:rsidRPr="004710DC">
              <w:rPr>
                <w:lang w:eastAsia="zh-CN"/>
              </w:rPr>
              <w:t>2</w:t>
            </w:r>
          </w:p>
        </w:tc>
        <w:tc>
          <w:tcPr>
            <w:tcW w:w="1070" w:type="dxa"/>
            <w:vAlign w:val="center"/>
          </w:tcPr>
          <w:p w14:paraId="025C3F1F" w14:textId="77777777" w:rsidR="00241417" w:rsidRPr="004710DC" w:rsidRDefault="00241417" w:rsidP="003A71DE">
            <w:pPr>
              <w:pStyle w:val="TAC"/>
              <w:rPr>
                <w:lang w:eastAsia="zh-CN"/>
              </w:rPr>
            </w:pPr>
            <w:r w:rsidRPr="004710DC">
              <w:rPr>
                <w:lang w:eastAsia="zh-CN"/>
              </w:rPr>
              <w:t>3</w:t>
            </w:r>
          </w:p>
        </w:tc>
        <w:tc>
          <w:tcPr>
            <w:tcW w:w="1071" w:type="dxa"/>
          </w:tcPr>
          <w:p w14:paraId="27EE4601" w14:textId="77777777" w:rsidR="00241417" w:rsidRPr="004710DC" w:rsidRDefault="00241417" w:rsidP="003A71DE">
            <w:pPr>
              <w:pStyle w:val="TAC"/>
              <w:rPr>
                <w:lang w:eastAsia="zh-CN"/>
              </w:rPr>
            </w:pPr>
            <w:r w:rsidRPr="004710DC">
              <w:rPr>
                <w:lang w:eastAsia="zh-CN"/>
              </w:rPr>
              <w:t>5</w:t>
            </w:r>
          </w:p>
        </w:tc>
        <w:tc>
          <w:tcPr>
            <w:tcW w:w="1071" w:type="dxa"/>
          </w:tcPr>
          <w:p w14:paraId="7B00619D" w14:textId="77777777" w:rsidR="00241417" w:rsidRPr="004710DC" w:rsidRDefault="00241417" w:rsidP="003A71DE">
            <w:pPr>
              <w:pStyle w:val="TAC"/>
              <w:rPr>
                <w:lang w:eastAsia="zh-CN"/>
              </w:rPr>
            </w:pPr>
            <w:r w:rsidRPr="004710DC">
              <w:rPr>
                <w:lang w:eastAsia="zh-CN"/>
              </w:rPr>
              <w:t>12</w:t>
            </w:r>
          </w:p>
        </w:tc>
      </w:tr>
      <w:tr w:rsidR="00241417" w:rsidRPr="004710DC" w14:paraId="6F76FE09" w14:textId="77777777" w:rsidTr="003A71DE">
        <w:trPr>
          <w:cantSplit/>
          <w:jc w:val="center"/>
        </w:trPr>
        <w:tc>
          <w:tcPr>
            <w:tcW w:w="2421" w:type="dxa"/>
          </w:tcPr>
          <w:p w14:paraId="1C907272" w14:textId="77777777" w:rsidR="00241417" w:rsidRPr="00AD765F" w:rsidRDefault="00241417" w:rsidP="003A71DE">
            <w:pPr>
              <w:pStyle w:val="TAC"/>
              <w:rPr>
                <w:lang w:eastAsia="zh-CN"/>
              </w:rPr>
            </w:pPr>
            <w:r w:rsidRPr="00AD765F">
              <w:t xml:space="preserve">Code block size </w:t>
            </w:r>
            <w:r w:rsidRPr="00AD765F">
              <w:rPr>
                <w:rFonts w:eastAsia="Malgun Gothic" w:cs="Arial"/>
              </w:rPr>
              <w:t xml:space="preserve">including CRC </w:t>
            </w:r>
            <w:r w:rsidRPr="00AD765F">
              <w:t>(bits)</w:t>
            </w:r>
            <w:r w:rsidRPr="00AD765F">
              <w:rPr>
                <w:lang w:eastAsia="zh-CN"/>
              </w:rPr>
              <w:t xml:space="preserve"> </w:t>
            </w:r>
            <w:r w:rsidRPr="00AD765F">
              <w:rPr>
                <w:rFonts w:cs="Arial"/>
                <w:lang w:eastAsia="zh-CN"/>
              </w:rPr>
              <w:t>(Note 2)</w:t>
            </w:r>
          </w:p>
        </w:tc>
        <w:tc>
          <w:tcPr>
            <w:tcW w:w="1070" w:type="dxa"/>
            <w:vAlign w:val="center"/>
          </w:tcPr>
          <w:p w14:paraId="6C833CDA" w14:textId="77777777" w:rsidR="00241417" w:rsidRPr="004710DC" w:rsidRDefault="00241417" w:rsidP="003A71DE">
            <w:pPr>
              <w:pStyle w:val="TAC"/>
              <w:rPr>
                <w:lang w:eastAsia="zh-CN"/>
              </w:rPr>
            </w:pPr>
            <w:r w:rsidRPr="004710DC">
              <w:t>4648</w:t>
            </w:r>
          </w:p>
        </w:tc>
        <w:tc>
          <w:tcPr>
            <w:tcW w:w="1071" w:type="dxa"/>
            <w:vAlign w:val="center"/>
          </w:tcPr>
          <w:p w14:paraId="01C2754E" w14:textId="77777777" w:rsidR="00241417" w:rsidRPr="004710DC" w:rsidRDefault="00241417" w:rsidP="003A71DE">
            <w:pPr>
              <w:pStyle w:val="TAC"/>
              <w:rPr>
                <w:lang w:eastAsia="zh-CN"/>
              </w:rPr>
            </w:pPr>
            <w:r w:rsidRPr="004710DC">
              <w:rPr>
                <w:rFonts w:hint="eastAsia"/>
                <w:lang w:eastAsia="zh-CN"/>
              </w:rPr>
              <w:t>6520</w:t>
            </w:r>
          </w:p>
        </w:tc>
        <w:tc>
          <w:tcPr>
            <w:tcW w:w="1070" w:type="dxa"/>
            <w:vAlign w:val="center"/>
          </w:tcPr>
          <w:p w14:paraId="1C1AD96D" w14:textId="77777777" w:rsidR="00241417" w:rsidRPr="004710DC" w:rsidRDefault="00241417" w:rsidP="003A71DE">
            <w:pPr>
              <w:pStyle w:val="TAC"/>
              <w:rPr>
                <w:lang w:eastAsia="zh-CN"/>
              </w:rPr>
            </w:pPr>
            <w:r w:rsidRPr="004710DC">
              <w:t>7816</w:t>
            </w:r>
          </w:p>
        </w:tc>
        <w:tc>
          <w:tcPr>
            <w:tcW w:w="1071" w:type="dxa"/>
            <w:vAlign w:val="center"/>
          </w:tcPr>
          <w:p w14:paraId="4D13E4E5" w14:textId="77777777" w:rsidR="00241417" w:rsidRPr="004710DC" w:rsidRDefault="00241417" w:rsidP="003A71DE">
            <w:pPr>
              <w:pStyle w:val="TAC"/>
              <w:rPr>
                <w:lang w:eastAsia="zh-CN"/>
              </w:rPr>
            </w:pPr>
            <w:r w:rsidRPr="004710DC">
              <w:t>4520</w:t>
            </w:r>
          </w:p>
        </w:tc>
        <w:tc>
          <w:tcPr>
            <w:tcW w:w="1070" w:type="dxa"/>
            <w:vAlign w:val="center"/>
          </w:tcPr>
          <w:p w14:paraId="0F40FBD0" w14:textId="77777777" w:rsidR="00241417" w:rsidRPr="004710DC" w:rsidRDefault="00241417" w:rsidP="003A71DE">
            <w:pPr>
              <w:pStyle w:val="TAC"/>
              <w:rPr>
                <w:lang w:eastAsia="zh-CN"/>
              </w:rPr>
            </w:pPr>
            <w:r w:rsidRPr="004710DC">
              <w:t>6352</w:t>
            </w:r>
          </w:p>
        </w:tc>
        <w:tc>
          <w:tcPr>
            <w:tcW w:w="1071" w:type="dxa"/>
            <w:vAlign w:val="center"/>
          </w:tcPr>
          <w:p w14:paraId="4B090D24" w14:textId="77777777" w:rsidR="00241417" w:rsidRPr="004710DC" w:rsidRDefault="00241417" w:rsidP="003A71DE">
            <w:pPr>
              <w:pStyle w:val="TAC"/>
              <w:rPr>
                <w:lang w:eastAsia="zh-CN"/>
              </w:rPr>
            </w:pPr>
            <w:r w:rsidRPr="004710DC">
              <w:t>7816</w:t>
            </w:r>
          </w:p>
        </w:tc>
        <w:tc>
          <w:tcPr>
            <w:tcW w:w="1071" w:type="dxa"/>
            <w:vAlign w:val="center"/>
          </w:tcPr>
          <w:p w14:paraId="3549E8DC" w14:textId="77777777" w:rsidR="00241417" w:rsidRPr="004710DC" w:rsidRDefault="00241417" w:rsidP="003A71DE">
            <w:pPr>
              <w:pStyle w:val="TAC"/>
              <w:rPr>
                <w:lang w:eastAsia="zh-CN"/>
              </w:rPr>
            </w:pPr>
            <w:r w:rsidRPr="004710DC">
              <w:t>8392</w:t>
            </w:r>
          </w:p>
        </w:tc>
      </w:tr>
      <w:tr w:rsidR="00241417" w:rsidRPr="004710DC" w14:paraId="6851AECD" w14:textId="77777777" w:rsidTr="003A71DE">
        <w:trPr>
          <w:cantSplit/>
          <w:jc w:val="center"/>
        </w:trPr>
        <w:tc>
          <w:tcPr>
            <w:tcW w:w="2421" w:type="dxa"/>
          </w:tcPr>
          <w:p w14:paraId="42FC8F5D"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0" w:type="dxa"/>
            <w:vAlign w:val="center"/>
          </w:tcPr>
          <w:p w14:paraId="6E14B26E" w14:textId="77777777" w:rsidR="00241417" w:rsidRPr="004710DC" w:rsidRDefault="00241417" w:rsidP="003A71DE">
            <w:pPr>
              <w:pStyle w:val="TAC"/>
              <w:rPr>
                <w:lang w:eastAsia="zh-CN"/>
              </w:rPr>
            </w:pPr>
            <w:r w:rsidRPr="004710DC">
              <w:rPr>
                <w:lang w:eastAsia="zh-CN"/>
              </w:rPr>
              <w:t>14400</w:t>
            </w:r>
          </w:p>
        </w:tc>
        <w:tc>
          <w:tcPr>
            <w:tcW w:w="1071" w:type="dxa"/>
            <w:vAlign w:val="center"/>
          </w:tcPr>
          <w:p w14:paraId="2B0E2963" w14:textId="77777777" w:rsidR="00241417" w:rsidRPr="004710DC" w:rsidRDefault="00241417" w:rsidP="003A71DE">
            <w:pPr>
              <w:pStyle w:val="TAC"/>
              <w:rPr>
                <w:lang w:eastAsia="zh-CN"/>
              </w:rPr>
            </w:pPr>
            <w:r w:rsidRPr="004710DC">
              <w:rPr>
                <w:lang w:eastAsia="zh-CN"/>
              </w:rPr>
              <w:t>29952</w:t>
            </w:r>
          </w:p>
        </w:tc>
        <w:tc>
          <w:tcPr>
            <w:tcW w:w="1070" w:type="dxa"/>
            <w:vAlign w:val="center"/>
          </w:tcPr>
          <w:p w14:paraId="59568584" w14:textId="77777777" w:rsidR="00241417" w:rsidRPr="004710DC" w:rsidRDefault="00241417" w:rsidP="003A71DE">
            <w:pPr>
              <w:pStyle w:val="TAC"/>
              <w:rPr>
                <w:lang w:eastAsia="zh-CN"/>
              </w:rPr>
            </w:pPr>
            <w:r w:rsidRPr="004710DC">
              <w:rPr>
                <w:lang w:eastAsia="zh-CN"/>
              </w:rPr>
              <w:t>61056</w:t>
            </w:r>
          </w:p>
        </w:tc>
        <w:tc>
          <w:tcPr>
            <w:tcW w:w="1071" w:type="dxa"/>
            <w:vAlign w:val="center"/>
          </w:tcPr>
          <w:p w14:paraId="674D0EE3" w14:textId="77777777" w:rsidR="00241417" w:rsidRPr="004710DC" w:rsidRDefault="00241417" w:rsidP="003A71DE">
            <w:pPr>
              <w:pStyle w:val="TAC"/>
              <w:rPr>
                <w:lang w:eastAsia="zh-CN"/>
              </w:rPr>
            </w:pPr>
            <w:r w:rsidRPr="004710DC">
              <w:rPr>
                <w:lang w:eastAsia="zh-CN"/>
              </w:rPr>
              <w:t>13824</w:t>
            </w:r>
          </w:p>
        </w:tc>
        <w:tc>
          <w:tcPr>
            <w:tcW w:w="1070" w:type="dxa"/>
            <w:vAlign w:val="center"/>
          </w:tcPr>
          <w:p w14:paraId="124116ED" w14:textId="77777777" w:rsidR="00241417" w:rsidRPr="004710DC" w:rsidRDefault="00241417" w:rsidP="003A71DE">
            <w:pPr>
              <w:pStyle w:val="TAC"/>
              <w:rPr>
                <w:lang w:eastAsia="zh-CN"/>
              </w:rPr>
            </w:pPr>
            <w:r w:rsidRPr="004710DC">
              <w:rPr>
                <w:lang w:eastAsia="zh-CN"/>
              </w:rPr>
              <w:t>29376</w:t>
            </w:r>
          </w:p>
        </w:tc>
        <w:tc>
          <w:tcPr>
            <w:tcW w:w="1071" w:type="dxa"/>
            <w:vAlign w:val="center"/>
          </w:tcPr>
          <w:p w14:paraId="66192A42" w14:textId="77777777" w:rsidR="00241417" w:rsidRPr="004710DC" w:rsidRDefault="00241417" w:rsidP="003A71DE">
            <w:pPr>
              <w:pStyle w:val="TAC"/>
              <w:rPr>
                <w:lang w:eastAsia="zh-CN"/>
              </w:rPr>
            </w:pPr>
            <w:r w:rsidRPr="004710DC">
              <w:rPr>
                <w:lang w:eastAsia="zh-CN"/>
              </w:rPr>
              <w:t>61056</w:t>
            </w:r>
          </w:p>
        </w:tc>
        <w:tc>
          <w:tcPr>
            <w:tcW w:w="1071" w:type="dxa"/>
            <w:vAlign w:val="center"/>
          </w:tcPr>
          <w:p w14:paraId="6E770D9A" w14:textId="77777777" w:rsidR="00241417" w:rsidRPr="004710DC" w:rsidRDefault="00241417" w:rsidP="003A71DE">
            <w:pPr>
              <w:pStyle w:val="TAC"/>
              <w:rPr>
                <w:lang w:eastAsia="zh-CN"/>
              </w:rPr>
            </w:pPr>
            <w:r w:rsidRPr="004710DC">
              <w:rPr>
                <w:lang w:eastAsia="zh-CN"/>
              </w:rPr>
              <w:t>157248</w:t>
            </w:r>
          </w:p>
        </w:tc>
      </w:tr>
      <w:tr w:rsidR="00241417" w:rsidRPr="004710DC" w14:paraId="116B61F0" w14:textId="77777777" w:rsidTr="003A71DE">
        <w:trPr>
          <w:cantSplit/>
          <w:jc w:val="center"/>
        </w:trPr>
        <w:tc>
          <w:tcPr>
            <w:tcW w:w="2421" w:type="dxa"/>
          </w:tcPr>
          <w:p w14:paraId="20ABD101"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0" w:type="dxa"/>
          </w:tcPr>
          <w:p w14:paraId="7A7DE7BB" w14:textId="77777777" w:rsidR="00241417" w:rsidRPr="004710DC" w:rsidRDefault="00241417" w:rsidP="003A71DE">
            <w:pPr>
              <w:pStyle w:val="TAC"/>
              <w:rPr>
                <w:lang w:eastAsia="zh-CN"/>
              </w:rPr>
            </w:pPr>
            <w:r w:rsidRPr="004710DC">
              <w:rPr>
                <w:lang w:eastAsia="zh-CN"/>
              </w:rPr>
              <w:t>3600</w:t>
            </w:r>
          </w:p>
        </w:tc>
        <w:tc>
          <w:tcPr>
            <w:tcW w:w="1071" w:type="dxa"/>
          </w:tcPr>
          <w:p w14:paraId="4B2FDF01" w14:textId="77777777" w:rsidR="00241417" w:rsidRPr="004710DC" w:rsidRDefault="00241417" w:rsidP="003A71DE">
            <w:pPr>
              <w:pStyle w:val="TAC"/>
              <w:rPr>
                <w:lang w:eastAsia="zh-CN"/>
              </w:rPr>
            </w:pPr>
            <w:r w:rsidRPr="004710DC">
              <w:rPr>
                <w:lang w:eastAsia="zh-CN"/>
              </w:rPr>
              <w:t>7488</w:t>
            </w:r>
          </w:p>
        </w:tc>
        <w:tc>
          <w:tcPr>
            <w:tcW w:w="1070" w:type="dxa"/>
          </w:tcPr>
          <w:p w14:paraId="068AFCC3" w14:textId="77777777" w:rsidR="00241417" w:rsidRPr="004710DC" w:rsidRDefault="00241417" w:rsidP="003A71DE">
            <w:pPr>
              <w:pStyle w:val="TAC"/>
              <w:rPr>
                <w:lang w:eastAsia="zh-CN"/>
              </w:rPr>
            </w:pPr>
            <w:r w:rsidRPr="004710DC">
              <w:rPr>
                <w:lang w:eastAsia="zh-CN"/>
              </w:rPr>
              <w:t>15264</w:t>
            </w:r>
          </w:p>
        </w:tc>
        <w:tc>
          <w:tcPr>
            <w:tcW w:w="1071" w:type="dxa"/>
          </w:tcPr>
          <w:p w14:paraId="1D0F7EB0" w14:textId="77777777" w:rsidR="00241417" w:rsidRPr="004710DC" w:rsidRDefault="00241417" w:rsidP="003A71DE">
            <w:pPr>
              <w:pStyle w:val="TAC"/>
              <w:rPr>
                <w:lang w:eastAsia="zh-CN"/>
              </w:rPr>
            </w:pPr>
            <w:r w:rsidRPr="004710DC">
              <w:rPr>
                <w:lang w:eastAsia="zh-CN"/>
              </w:rPr>
              <w:t>3456</w:t>
            </w:r>
          </w:p>
        </w:tc>
        <w:tc>
          <w:tcPr>
            <w:tcW w:w="1070" w:type="dxa"/>
          </w:tcPr>
          <w:p w14:paraId="767BE21A" w14:textId="77777777" w:rsidR="00241417" w:rsidRPr="004710DC" w:rsidRDefault="00241417" w:rsidP="003A71DE">
            <w:pPr>
              <w:pStyle w:val="TAC"/>
              <w:rPr>
                <w:lang w:eastAsia="zh-CN"/>
              </w:rPr>
            </w:pPr>
            <w:r w:rsidRPr="004710DC">
              <w:rPr>
                <w:lang w:eastAsia="zh-CN"/>
              </w:rPr>
              <w:t>7344</w:t>
            </w:r>
          </w:p>
        </w:tc>
        <w:tc>
          <w:tcPr>
            <w:tcW w:w="1071" w:type="dxa"/>
          </w:tcPr>
          <w:p w14:paraId="099DFA2E" w14:textId="77777777" w:rsidR="00241417" w:rsidRPr="004710DC" w:rsidRDefault="00241417" w:rsidP="003A71DE">
            <w:pPr>
              <w:pStyle w:val="TAC"/>
              <w:rPr>
                <w:lang w:eastAsia="zh-CN"/>
              </w:rPr>
            </w:pPr>
            <w:r w:rsidRPr="004710DC">
              <w:rPr>
                <w:lang w:eastAsia="zh-CN"/>
              </w:rPr>
              <w:t>15264</w:t>
            </w:r>
          </w:p>
        </w:tc>
        <w:tc>
          <w:tcPr>
            <w:tcW w:w="1071" w:type="dxa"/>
          </w:tcPr>
          <w:p w14:paraId="0C937E92" w14:textId="77777777" w:rsidR="00241417" w:rsidRPr="004710DC" w:rsidRDefault="00241417" w:rsidP="003A71DE">
            <w:pPr>
              <w:pStyle w:val="TAC"/>
              <w:rPr>
                <w:lang w:eastAsia="zh-CN"/>
              </w:rPr>
            </w:pPr>
            <w:r w:rsidRPr="004710DC">
              <w:rPr>
                <w:lang w:eastAsia="zh-CN"/>
              </w:rPr>
              <w:t>39312</w:t>
            </w:r>
          </w:p>
        </w:tc>
      </w:tr>
      <w:tr w:rsidR="00241417" w:rsidRPr="00AD765F" w14:paraId="1D4C2441" w14:textId="77777777" w:rsidTr="003A71DE">
        <w:trPr>
          <w:cantSplit/>
          <w:jc w:val="center"/>
        </w:trPr>
        <w:tc>
          <w:tcPr>
            <w:tcW w:w="9915" w:type="dxa"/>
            <w:gridSpan w:val="8"/>
          </w:tcPr>
          <w:p w14:paraId="5F98DED2" w14:textId="77777777" w:rsidR="00241417" w:rsidRPr="00AD765F" w:rsidRDefault="00241417" w:rsidP="003A71DE">
            <w:pPr>
              <w:pStyle w:val="TAN"/>
            </w:pPr>
            <w:r w:rsidRPr="00AD765F">
              <w:t>NOTE 1:</w:t>
            </w:r>
            <w:r w:rsidRPr="00AD765F">
              <w:tab/>
            </w:r>
            <w:r w:rsidRPr="00AD765F">
              <w:rPr>
                <w:i/>
              </w:rPr>
              <w:t xml:space="preserve">DM-RS configuration type </w:t>
            </w:r>
            <w:r w:rsidRPr="00AD765F">
              <w:t xml:space="preserve"> =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rPr>
                <w:lang w:eastAsia="zh-CN"/>
              </w:rPr>
              <w:t>,</w:t>
            </w:r>
            <w:r w:rsidRPr="00AD765F">
              <w:t xml:space="preserve"> </w:t>
            </w:r>
            <w:r w:rsidRPr="00AD765F">
              <w:rPr>
                <w:i/>
                <w:lang w:eastAsia="zh-CN"/>
              </w:rPr>
              <w:t>l</w:t>
            </w:r>
            <w:r w:rsidRPr="00AD765F">
              <w:rPr>
                <w:i/>
                <w:vertAlign w:val="subscript"/>
                <w:lang w:eastAsia="zh-CN"/>
              </w:rPr>
              <w:t>0</w:t>
            </w:r>
            <w:r w:rsidRPr="00AD765F">
              <w:t>= 2 and</w:t>
            </w:r>
            <w:r w:rsidRPr="00AD765F">
              <w:rPr>
                <w:lang w:eastAsia="zh-CN"/>
              </w:rPr>
              <w:t xml:space="preserve"> </w:t>
            </w:r>
            <w:r w:rsidRPr="00AD765F">
              <w:rPr>
                <w:i/>
                <w:lang w:eastAsia="zh-CN"/>
              </w:rPr>
              <w:t>l</w:t>
            </w:r>
            <w:r w:rsidRPr="00AD765F">
              <w:rPr>
                <w:lang w:eastAsia="zh-CN"/>
              </w:rPr>
              <w:t>=11</w:t>
            </w:r>
            <w:r w:rsidRPr="00AD765F">
              <w:t xml:space="preserve"> </w:t>
            </w:r>
            <w:r w:rsidRPr="00AD765F">
              <w:rPr>
                <w:lang w:eastAsia="zh-CN"/>
              </w:rPr>
              <w:t xml:space="preserve">for </w:t>
            </w:r>
            <w:r w:rsidRPr="00AD765F">
              <w:t>PUSCH mapping type A</w:t>
            </w:r>
            <w:r w:rsidRPr="00AD765F">
              <w:rPr>
                <w:lang w:eastAsia="zh-CN"/>
              </w:rPr>
              <w:t xml:space="preserve">, </w:t>
            </w:r>
            <w:r w:rsidRPr="00AD765F">
              <w:rPr>
                <w:i/>
                <w:lang w:eastAsia="zh-CN"/>
              </w:rPr>
              <w:t>l</w:t>
            </w:r>
            <w:r w:rsidRPr="00AD765F">
              <w:rPr>
                <w:i/>
                <w:vertAlign w:val="subscript"/>
                <w:lang w:eastAsia="zh-CN"/>
              </w:rPr>
              <w:t>0</w:t>
            </w:r>
            <w:r w:rsidRPr="00AD765F">
              <w:t xml:space="preserve">= </w:t>
            </w:r>
            <w:r w:rsidRPr="00AD765F">
              <w:rPr>
                <w:lang w:eastAsia="zh-CN"/>
              </w:rPr>
              <w:t xml:space="preserve">0 and </w:t>
            </w:r>
            <w:r w:rsidRPr="00AD765F">
              <w:rPr>
                <w:i/>
                <w:lang w:eastAsia="zh-CN"/>
              </w:rPr>
              <w:t xml:space="preserve">l </w:t>
            </w:r>
            <w:r w:rsidRPr="00AD765F">
              <w:rPr>
                <w:lang w:eastAsia="zh-CN"/>
              </w:rPr>
              <w:t>=10</w:t>
            </w:r>
            <w:r w:rsidRPr="00AD765F">
              <w:t xml:space="preserve"> </w:t>
            </w:r>
            <w:r w:rsidRPr="00AD765F">
              <w:rPr>
                <w:lang w:eastAsia="zh-CN"/>
              </w:rPr>
              <w:t xml:space="preserve">for </w:t>
            </w:r>
            <w:r w:rsidRPr="00AD765F">
              <w:t xml:space="preserve">PUSCH mapping type </w:t>
            </w:r>
            <w:r w:rsidRPr="00AD765F">
              <w:rPr>
                <w:lang w:eastAsia="zh-CN"/>
              </w:rPr>
              <w:t xml:space="preserve">B </w:t>
            </w:r>
            <w:r w:rsidRPr="00AD765F">
              <w:t>as per table 6.4.1.1.3-3 of TS 38.211 [8].</w:t>
            </w:r>
          </w:p>
          <w:p w14:paraId="06A905B2" w14:textId="77777777" w:rsidR="00241417" w:rsidRPr="00AD765F" w:rsidRDefault="00241417" w:rsidP="003A71DE">
            <w:pPr>
              <w:pStyle w:val="TAN"/>
              <w:rPr>
                <w:szCs w:val="18"/>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clause </w:t>
            </w:r>
            <w:r w:rsidRPr="00AD765F">
              <w:rPr>
                <w:lang w:eastAsia="zh-CN"/>
              </w:rPr>
              <w:t>5.2.2 of TS 38.212 [9].</w:t>
            </w:r>
          </w:p>
        </w:tc>
      </w:tr>
      <w:bookmarkEnd w:id="9216"/>
    </w:tbl>
    <w:p w14:paraId="0D1799FF" w14:textId="77777777" w:rsidR="00241417" w:rsidRPr="00AD765F" w:rsidRDefault="00241417" w:rsidP="00241417"/>
    <w:p w14:paraId="5D7B90F2" w14:textId="77777777" w:rsidR="00241417" w:rsidRPr="00AD765F" w:rsidRDefault="00241417" w:rsidP="00241417">
      <w:pPr>
        <w:pStyle w:val="TH"/>
        <w:rPr>
          <w:lang w:eastAsia="zh-CN"/>
        </w:rPr>
      </w:pPr>
      <w:bookmarkStart w:id="9217" w:name="_Hlk527996513"/>
      <w:r w:rsidRPr="00AD765F">
        <w:rPr>
          <w:rFonts w:eastAsia="Malgun Gothic"/>
        </w:rPr>
        <w:t>Table A.2.</w:t>
      </w:r>
      <w:r w:rsidRPr="00AD765F">
        <w:rPr>
          <w:lang w:eastAsia="zh-CN"/>
        </w:rPr>
        <w:t>3</w:t>
      </w:r>
      <w:r w:rsidRPr="00AD765F">
        <w:rPr>
          <w:rFonts w:eastAsia="Malgun Gothic"/>
        </w:rPr>
        <w:t>-</w:t>
      </w:r>
      <w:r w:rsidRPr="00AD765F">
        <w:rPr>
          <w:lang w:eastAsia="zh-CN"/>
        </w:rPr>
        <w:t>2</w:t>
      </w:r>
      <w:r w:rsidRPr="00AD765F">
        <w:rPr>
          <w:rFonts w:eastAsia="Malgun Gothic"/>
        </w:rPr>
        <w:t>: FRC parameters for</w:t>
      </w:r>
      <w:r w:rsidRPr="00AD765F">
        <w:rPr>
          <w:lang w:eastAsia="zh-CN"/>
        </w:rPr>
        <w:t xml:space="preserve"> FR1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2 transmission layers</w:t>
      </w:r>
      <w:r w:rsidRPr="00AD765F">
        <w:rPr>
          <w:rFonts w:eastAsia="Malgun Gothic"/>
        </w:rPr>
        <w:t xml:space="preserve"> (</w:t>
      </w:r>
      <w:r w:rsidRPr="00AD765F">
        <w:rPr>
          <w:lang w:eastAsia="zh-CN"/>
        </w:rPr>
        <w:t>16QAM</w:t>
      </w:r>
      <w:r w:rsidRPr="00AD765F">
        <w:rPr>
          <w:rFonts w:eastAsia="Malgun Gothic"/>
        </w:rPr>
        <w:t>, R=658/1024)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1"/>
        <w:gridCol w:w="1070"/>
        <w:gridCol w:w="1071"/>
        <w:gridCol w:w="1070"/>
        <w:gridCol w:w="1071"/>
        <w:gridCol w:w="1070"/>
        <w:gridCol w:w="1071"/>
        <w:gridCol w:w="1071"/>
      </w:tblGrid>
      <w:tr w:rsidR="00241417" w:rsidRPr="004710DC" w14:paraId="3E3BB6FC" w14:textId="77777777" w:rsidTr="003A71DE">
        <w:trPr>
          <w:cantSplit/>
          <w:jc w:val="center"/>
        </w:trPr>
        <w:tc>
          <w:tcPr>
            <w:tcW w:w="2421" w:type="dxa"/>
          </w:tcPr>
          <w:p w14:paraId="68746E6D" w14:textId="77777777" w:rsidR="00241417" w:rsidRPr="004710DC" w:rsidRDefault="00241417" w:rsidP="003A71DE">
            <w:pPr>
              <w:pStyle w:val="TAH"/>
            </w:pPr>
            <w:r w:rsidRPr="004710DC">
              <w:t>Reference channel</w:t>
            </w:r>
          </w:p>
        </w:tc>
        <w:tc>
          <w:tcPr>
            <w:tcW w:w="1070" w:type="dxa"/>
          </w:tcPr>
          <w:p w14:paraId="55BD359F" w14:textId="77777777" w:rsidR="00241417" w:rsidRPr="004710DC" w:rsidRDefault="00241417" w:rsidP="003A71DE">
            <w:pPr>
              <w:pStyle w:val="TAH"/>
            </w:pPr>
            <w:r>
              <w:rPr>
                <w:lang w:eastAsia="zh-CN"/>
              </w:rPr>
              <w:t>D-FR1-A.2.3</w:t>
            </w:r>
            <w:r w:rsidRPr="004710DC">
              <w:rPr>
                <w:lang w:eastAsia="zh-CN"/>
              </w:rPr>
              <w:t>-</w:t>
            </w:r>
            <w:r>
              <w:rPr>
                <w:lang w:eastAsia="zh-CN"/>
              </w:rPr>
              <w:t>8</w:t>
            </w:r>
          </w:p>
        </w:tc>
        <w:tc>
          <w:tcPr>
            <w:tcW w:w="1071" w:type="dxa"/>
          </w:tcPr>
          <w:p w14:paraId="56BEEF6D" w14:textId="77777777" w:rsidR="00241417" w:rsidRPr="004710DC" w:rsidRDefault="00241417" w:rsidP="003A71DE">
            <w:pPr>
              <w:pStyle w:val="TAH"/>
            </w:pPr>
            <w:r>
              <w:rPr>
                <w:lang w:eastAsia="zh-CN"/>
              </w:rPr>
              <w:t>D-FR1-A.2.3</w:t>
            </w:r>
            <w:r w:rsidRPr="004710DC">
              <w:rPr>
                <w:lang w:eastAsia="zh-CN"/>
              </w:rPr>
              <w:t>-</w:t>
            </w:r>
            <w:r>
              <w:rPr>
                <w:lang w:eastAsia="zh-CN"/>
              </w:rPr>
              <w:t>9</w:t>
            </w:r>
          </w:p>
        </w:tc>
        <w:tc>
          <w:tcPr>
            <w:tcW w:w="1070" w:type="dxa"/>
          </w:tcPr>
          <w:p w14:paraId="75F3FA31" w14:textId="77777777" w:rsidR="00241417" w:rsidRPr="004710DC" w:rsidRDefault="00241417" w:rsidP="003A71DE">
            <w:pPr>
              <w:pStyle w:val="TAH"/>
            </w:pPr>
            <w:r>
              <w:rPr>
                <w:lang w:eastAsia="zh-CN"/>
              </w:rPr>
              <w:t>D-FR1-A.2.3</w:t>
            </w:r>
            <w:r w:rsidRPr="004710DC">
              <w:rPr>
                <w:lang w:eastAsia="zh-CN"/>
              </w:rPr>
              <w:t>-</w:t>
            </w:r>
            <w:r>
              <w:rPr>
                <w:lang w:eastAsia="zh-CN"/>
              </w:rPr>
              <w:t>10</w:t>
            </w:r>
          </w:p>
        </w:tc>
        <w:tc>
          <w:tcPr>
            <w:tcW w:w="1071" w:type="dxa"/>
          </w:tcPr>
          <w:p w14:paraId="2BD22296" w14:textId="77777777" w:rsidR="00241417" w:rsidRPr="004710DC" w:rsidRDefault="00241417" w:rsidP="003A71DE">
            <w:pPr>
              <w:pStyle w:val="TAH"/>
            </w:pPr>
            <w:r>
              <w:rPr>
                <w:lang w:eastAsia="zh-CN"/>
              </w:rPr>
              <w:t>D-FR1-A.2.3</w:t>
            </w:r>
            <w:r w:rsidRPr="004710DC">
              <w:rPr>
                <w:lang w:eastAsia="zh-CN"/>
              </w:rPr>
              <w:t>-</w:t>
            </w:r>
            <w:r>
              <w:rPr>
                <w:lang w:eastAsia="zh-CN"/>
              </w:rPr>
              <w:t>11</w:t>
            </w:r>
          </w:p>
        </w:tc>
        <w:tc>
          <w:tcPr>
            <w:tcW w:w="1070" w:type="dxa"/>
          </w:tcPr>
          <w:p w14:paraId="3785A6D7" w14:textId="77777777" w:rsidR="00241417" w:rsidRPr="004710DC" w:rsidRDefault="00241417" w:rsidP="003A71DE">
            <w:pPr>
              <w:pStyle w:val="TAH"/>
            </w:pPr>
            <w:r>
              <w:rPr>
                <w:lang w:eastAsia="zh-CN"/>
              </w:rPr>
              <w:t>D-FR1-A.2.3</w:t>
            </w:r>
            <w:r w:rsidRPr="004710DC">
              <w:rPr>
                <w:lang w:eastAsia="zh-CN"/>
              </w:rPr>
              <w:t>-</w:t>
            </w:r>
            <w:r>
              <w:rPr>
                <w:lang w:eastAsia="zh-CN"/>
              </w:rPr>
              <w:t>12</w:t>
            </w:r>
          </w:p>
        </w:tc>
        <w:tc>
          <w:tcPr>
            <w:tcW w:w="1071" w:type="dxa"/>
          </w:tcPr>
          <w:p w14:paraId="1D5E517C" w14:textId="77777777" w:rsidR="00241417" w:rsidRPr="004710DC" w:rsidRDefault="00241417" w:rsidP="003A71DE">
            <w:pPr>
              <w:pStyle w:val="TAH"/>
            </w:pPr>
            <w:r>
              <w:rPr>
                <w:lang w:eastAsia="zh-CN"/>
              </w:rPr>
              <w:t>D-FR1-A.2.3</w:t>
            </w:r>
            <w:r w:rsidRPr="004710DC">
              <w:rPr>
                <w:lang w:eastAsia="zh-CN"/>
              </w:rPr>
              <w:t>-</w:t>
            </w:r>
            <w:r>
              <w:rPr>
                <w:lang w:eastAsia="zh-CN"/>
              </w:rPr>
              <w:t>13</w:t>
            </w:r>
          </w:p>
        </w:tc>
        <w:tc>
          <w:tcPr>
            <w:tcW w:w="1071" w:type="dxa"/>
          </w:tcPr>
          <w:p w14:paraId="4668D18C" w14:textId="77777777" w:rsidR="00241417" w:rsidRPr="004710DC" w:rsidRDefault="00241417" w:rsidP="003A71DE">
            <w:pPr>
              <w:pStyle w:val="TAH"/>
              <w:rPr>
                <w:lang w:eastAsia="zh-CN"/>
              </w:rPr>
            </w:pPr>
            <w:r>
              <w:rPr>
                <w:lang w:eastAsia="zh-CN"/>
              </w:rPr>
              <w:t>D-FR1-A.2.3</w:t>
            </w:r>
            <w:r w:rsidRPr="004710DC">
              <w:rPr>
                <w:lang w:eastAsia="zh-CN"/>
              </w:rPr>
              <w:t>-</w:t>
            </w:r>
            <w:r>
              <w:rPr>
                <w:lang w:eastAsia="zh-CN"/>
              </w:rPr>
              <w:t>14</w:t>
            </w:r>
          </w:p>
        </w:tc>
      </w:tr>
      <w:tr w:rsidR="00241417" w:rsidRPr="004710DC" w14:paraId="7877F917" w14:textId="77777777" w:rsidTr="003A71DE">
        <w:trPr>
          <w:cantSplit/>
          <w:jc w:val="center"/>
        </w:trPr>
        <w:tc>
          <w:tcPr>
            <w:tcW w:w="2421" w:type="dxa"/>
          </w:tcPr>
          <w:p w14:paraId="13E7B432" w14:textId="77777777" w:rsidR="00241417" w:rsidRPr="004710DC" w:rsidRDefault="00241417" w:rsidP="003A71DE">
            <w:pPr>
              <w:pStyle w:val="TAC"/>
              <w:rPr>
                <w:lang w:eastAsia="zh-CN"/>
              </w:rPr>
            </w:pPr>
            <w:r w:rsidRPr="004710DC">
              <w:rPr>
                <w:lang w:eastAsia="zh-CN"/>
              </w:rPr>
              <w:t>Subcarrier spacing [kHz]</w:t>
            </w:r>
          </w:p>
        </w:tc>
        <w:tc>
          <w:tcPr>
            <w:tcW w:w="1070" w:type="dxa"/>
          </w:tcPr>
          <w:p w14:paraId="3AF8A30D" w14:textId="77777777" w:rsidR="00241417" w:rsidRPr="004710DC" w:rsidRDefault="00241417" w:rsidP="003A71DE">
            <w:pPr>
              <w:pStyle w:val="TAC"/>
              <w:rPr>
                <w:lang w:eastAsia="zh-CN"/>
              </w:rPr>
            </w:pPr>
            <w:r w:rsidRPr="004710DC">
              <w:rPr>
                <w:lang w:eastAsia="zh-CN"/>
              </w:rPr>
              <w:t>15</w:t>
            </w:r>
          </w:p>
        </w:tc>
        <w:tc>
          <w:tcPr>
            <w:tcW w:w="1071" w:type="dxa"/>
          </w:tcPr>
          <w:p w14:paraId="6F940F19" w14:textId="77777777" w:rsidR="00241417" w:rsidRPr="004710DC" w:rsidRDefault="00241417" w:rsidP="003A71DE">
            <w:pPr>
              <w:pStyle w:val="TAC"/>
            </w:pPr>
            <w:r w:rsidRPr="004710DC">
              <w:rPr>
                <w:lang w:eastAsia="zh-CN"/>
              </w:rPr>
              <w:t>15</w:t>
            </w:r>
          </w:p>
        </w:tc>
        <w:tc>
          <w:tcPr>
            <w:tcW w:w="1070" w:type="dxa"/>
          </w:tcPr>
          <w:p w14:paraId="1E142912" w14:textId="77777777" w:rsidR="00241417" w:rsidRPr="004710DC" w:rsidRDefault="00241417" w:rsidP="003A71DE">
            <w:pPr>
              <w:pStyle w:val="TAC"/>
            </w:pPr>
            <w:r w:rsidRPr="004710DC">
              <w:rPr>
                <w:lang w:eastAsia="zh-CN"/>
              </w:rPr>
              <w:t>15</w:t>
            </w:r>
          </w:p>
        </w:tc>
        <w:tc>
          <w:tcPr>
            <w:tcW w:w="1071" w:type="dxa"/>
          </w:tcPr>
          <w:p w14:paraId="06785C1A" w14:textId="77777777" w:rsidR="00241417" w:rsidRPr="004710DC" w:rsidRDefault="00241417" w:rsidP="003A71DE">
            <w:pPr>
              <w:pStyle w:val="TAC"/>
            </w:pPr>
            <w:r w:rsidRPr="004710DC">
              <w:rPr>
                <w:lang w:eastAsia="zh-CN"/>
              </w:rPr>
              <w:t>30</w:t>
            </w:r>
          </w:p>
        </w:tc>
        <w:tc>
          <w:tcPr>
            <w:tcW w:w="1070" w:type="dxa"/>
          </w:tcPr>
          <w:p w14:paraId="52720CA3" w14:textId="77777777" w:rsidR="00241417" w:rsidRPr="004710DC" w:rsidRDefault="00241417" w:rsidP="003A71DE">
            <w:pPr>
              <w:pStyle w:val="TAC"/>
            </w:pPr>
            <w:r w:rsidRPr="004710DC">
              <w:rPr>
                <w:lang w:eastAsia="zh-CN"/>
              </w:rPr>
              <w:t>30</w:t>
            </w:r>
          </w:p>
        </w:tc>
        <w:tc>
          <w:tcPr>
            <w:tcW w:w="1071" w:type="dxa"/>
          </w:tcPr>
          <w:p w14:paraId="7C5BB615" w14:textId="77777777" w:rsidR="00241417" w:rsidRPr="004710DC" w:rsidRDefault="00241417" w:rsidP="003A71DE">
            <w:pPr>
              <w:pStyle w:val="TAC"/>
            </w:pPr>
            <w:r w:rsidRPr="004710DC">
              <w:rPr>
                <w:lang w:eastAsia="zh-CN"/>
              </w:rPr>
              <w:t>30</w:t>
            </w:r>
          </w:p>
        </w:tc>
        <w:tc>
          <w:tcPr>
            <w:tcW w:w="1071" w:type="dxa"/>
          </w:tcPr>
          <w:p w14:paraId="656540E8" w14:textId="77777777" w:rsidR="00241417" w:rsidRPr="004710DC" w:rsidRDefault="00241417" w:rsidP="003A71DE">
            <w:pPr>
              <w:pStyle w:val="TAC"/>
            </w:pPr>
            <w:r w:rsidRPr="004710DC">
              <w:rPr>
                <w:lang w:eastAsia="zh-CN"/>
              </w:rPr>
              <w:t>30</w:t>
            </w:r>
          </w:p>
        </w:tc>
      </w:tr>
      <w:tr w:rsidR="00241417" w:rsidRPr="004710DC" w14:paraId="73962DF7" w14:textId="77777777" w:rsidTr="003A71DE">
        <w:trPr>
          <w:cantSplit/>
          <w:jc w:val="center"/>
        </w:trPr>
        <w:tc>
          <w:tcPr>
            <w:tcW w:w="2421" w:type="dxa"/>
          </w:tcPr>
          <w:p w14:paraId="2D9BEE61" w14:textId="77777777" w:rsidR="00241417" w:rsidRPr="004710DC" w:rsidRDefault="00241417" w:rsidP="003A71DE">
            <w:pPr>
              <w:pStyle w:val="TAC"/>
            </w:pPr>
            <w:r w:rsidRPr="004710DC">
              <w:t>Allocated resource blocks</w:t>
            </w:r>
          </w:p>
        </w:tc>
        <w:tc>
          <w:tcPr>
            <w:tcW w:w="1070" w:type="dxa"/>
          </w:tcPr>
          <w:p w14:paraId="5214BF00" w14:textId="77777777" w:rsidR="00241417" w:rsidRPr="004710DC" w:rsidRDefault="00241417" w:rsidP="003A71DE">
            <w:pPr>
              <w:pStyle w:val="TAC"/>
            </w:pPr>
            <w:r w:rsidRPr="004710DC">
              <w:t>25</w:t>
            </w:r>
          </w:p>
        </w:tc>
        <w:tc>
          <w:tcPr>
            <w:tcW w:w="1071" w:type="dxa"/>
          </w:tcPr>
          <w:p w14:paraId="00F052F2" w14:textId="77777777" w:rsidR="00241417" w:rsidRPr="004710DC" w:rsidRDefault="00241417" w:rsidP="003A71DE">
            <w:pPr>
              <w:pStyle w:val="TAC"/>
            </w:pPr>
            <w:r w:rsidRPr="004710DC">
              <w:t>52</w:t>
            </w:r>
          </w:p>
        </w:tc>
        <w:tc>
          <w:tcPr>
            <w:tcW w:w="1070" w:type="dxa"/>
          </w:tcPr>
          <w:p w14:paraId="1EAACFA1" w14:textId="77777777" w:rsidR="00241417" w:rsidRPr="004710DC" w:rsidRDefault="00241417" w:rsidP="003A71DE">
            <w:pPr>
              <w:pStyle w:val="TAC"/>
              <w:rPr>
                <w:lang w:eastAsia="zh-CN"/>
              </w:rPr>
            </w:pPr>
            <w:r w:rsidRPr="004710DC">
              <w:rPr>
                <w:lang w:eastAsia="zh-CN"/>
              </w:rPr>
              <w:t>106</w:t>
            </w:r>
          </w:p>
        </w:tc>
        <w:tc>
          <w:tcPr>
            <w:tcW w:w="1071" w:type="dxa"/>
          </w:tcPr>
          <w:p w14:paraId="19EC126F" w14:textId="77777777" w:rsidR="00241417" w:rsidRPr="004710DC" w:rsidRDefault="00241417" w:rsidP="003A71DE">
            <w:pPr>
              <w:pStyle w:val="TAC"/>
            </w:pPr>
            <w:r w:rsidRPr="004710DC">
              <w:t>24</w:t>
            </w:r>
          </w:p>
        </w:tc>
        <w:tc>
          <w:tcPr>
            <w:tcW w:w="1070" w:type="dxa"/>
          </w:tcPr>
          <w:p w14:paraId="108BDB1F" w14:textId="77777777" w:rsidR="00241417" w:rsidRPr="004710DC" w:rsidRDefault="00241417" w:rsidP="003A71DE">
            <w:pPr>
              <w:pStyle w:val="TAC"/>
            </w:pPr>
            <w:r w:rsidRPr="004710DC">
              <w:t>51</w:t>
            </w:r>
          </w:p>
        </w:tc>
        <w:tc>
          <w:tcPr>
            <w:tcW w:w="1071" w:type="dxa"/>
          </w:tcPr>
          <w:p w14:paraId="6061E53A" w14:textId="77777777" w:rsidR="00241417" w:rsidRPr="004710DC" w:rsidRDefault="00241417" w:rsidP="003A71DE">
            <w:pPr>
              <w:pStyle w:val="TAC"/>
            </w:pPr>
            <w:r w:rsidRPr="004710DC">
              <w:t>106</w:t>
            </w:r>
          </w:p>
        </w:tc>
        <w:tc>
          <w:tcPr>
            <w:tcW w:w="1071" w:type="dxa"/>
          </w:tcPr>
          <w:p w14:paraId="26A3C3AB" w14:textId="77777777" w:rsidR="00241417" w:rsidRPr="004710DC" w:rsidRDefault="00241417" w:rsidP="003A71DE">
            <w:pPr>
              <w:pStyle w:val="TAC"/>
            </w:pPr>
            <w:r w:rsidRPr="004710DC">
              <w:t>273</w:t>
            </w:r>
          </w:p>
        </w:tc>
      </w:tr>
      <w:tr w:rsidR="00241417" w:rsidRPr="004710DC" w14:paraId="38C197C6" w14:textId="77777777" w:rsidTr="003A71DE">
        <w:trPr>
          <w:cantSplit/>
          <w:jc w:val="center"/>
        </w:trPr>
        <w:tc>
          <w:tcPr>
            <w:tcW w:w="2421" w:type="dxa"/>
          </w:tcPr>
          <w:p w14:paraId="636E5B6F"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0" w:type="dxa"/>
          </w:tcPr>
          <w:p w14:paraId="1BB69129" w14:textId="77777777" w:rsidR="00241417" w:rsidRPr="004710DC" w:rsidRDefault="00241417" w:rsidP="003A71DE">
            <w:pPr>
              <w:pStyle w:val="TAC"/>
              <w:rPr>
                <w:lang w:eastAsia="zh-CN"/>
              </w:rPr>
            </w:pPr>
            <w:r w:rsidRPr="004710DC">
              <w:rPr>
                <w:lang w:eastAsia="zh-CN"/>
              </w:rPr>
              <w:t>12</w:t>
            </w:r>
          </w:p>
        </w:tc>
        <w:tc>
          <w:tcPr>
            <w:tcW w:w="1071" w:type="dxa"/>
          </w:tcPr>
          <w:p w14:paraId="45EB9195" w14:textId="77777777" w:rsidR="00241417" w:rsidRPr="004710DC" w:rsidRDefault="00241417" w:rsidP="003A71DE">
            <w:pPr>
              <w:pStyle w:val="TAC"/>
            </w:pPr>
            <w:r w:rsidRPr="004710DC">
              <w:rPr>
                <w:lang w:eastAsia="zh-CN"/>
              </w:rPr>
              <w:t>12</w:t>
            </w:r>
          </w:p>
        </w:tc>
        <w:tc>
          <w:tcPr>
            <w:tcW w:w="1070" w:type="dxa"/>
          </w:tcPr>
          <w:p w14:paraId="793CEA1A" w14:textId="77777777" w:rsidR="00241417" w:rsidRPr="004710DC" w:rsidRDefault="00241417" w:rsidP="003A71DE">
            <w:pPr>
              <w:pStyle w:val="TAC"/>
            </w:pPr>
            <w:r w:rsidRPr="004710DC">
              <w:rPr>
                <w:lang w:eastAsia="zh-CN"/>
              </w:rPr>
              <w:t>12</w:t>
            </w:r>
          </w:p>
        </w:tc>
        <w:tc>
          <w:tcPr>
            <w:tcW w:w="1071" w:type="dxa"/>
          </w:tcPr>
          <w:p w14:paraId="30EDD3A5" w14:textId="77777777" w:rsidR="00241417" w:rsidRPr="004710DC" w:rsidRDefault="00241417" w:rsidP="003A71DE">
            <w:pPr>
              <w:pStyle w:val="TAC"/>
            </w:pPr>
            <w:r w:rsidRPr="004710DC">
              <w:rPr>
                <w:lang w:eastAsia="zh-CN"/>
              </w:rPr>
              <w:t>12</w:t>
            </w:r>
          </w:p>
        </w:tc>
        <w:tc>
          <w:tcPr>
            <w:tcW w:w="1070" w:type="dxa"/>
          </w:tcPr>
          <w:p w14:paraId="2EDD1F82" w14:textId="77777777" w:rsidR="00241417" w:rsidRPr="004710DC" w:rsidRDefault="00241417" w:rsidP="003A71DE">
            <w:pPr>
              <w:pStyle w:val="TAC"/>
            </w:pPr>
            <w:r w:rsidRPr="004710DC">
              <w:rPr>
                <w:lang w:eastAsia="zh-CN"/>
              </w:rPr>
              <w:t>12</w:t>
            </w:r>
          </w:p>
        </w:tc>
        <w:tc>
          <w:tcPr>
            <w:tcW w:w="1071" w:type="dxa"/>
          </w:tcPr>
          <w:p w14:paraId="740E8B66" w14:textId="77777777" w:rsidR="00241417" w:rsidRPr="004710DC" w:rsidRDefault="00241417" w:rsidP="003A71DE">
            <w:pPr>
              <w:pStyle w:val="TAC"/>
            </w:pPr>
            <w:r w:rsidRPr="004710DC">
              <w:rPr>
                <w:lang w:eastAsia="zh-CN"/>
              </w:rPr>
              <w:t>12</w:t>
            </w:r>
          </w:p>
        </w:tc>
        <w:tc>
          <w:tcPr>
            <w:tcW w:w="1071" w:type="dxa"/>
          </w:tcPr>
          <w:p w14:paraId="6D06CBB4" w14:textId="77777777" w:rsidR="00241417" w:rsidRPr="004710DC" w:rsidRDefault="00241417" w:rsidP="003A71DE">
            <w:pPr>
              <w:pStyle w:val="TAC"/>
            </w:pPr>
            <w:r w:rsidRPr="004710DC">
              <w:rPr>
                <w:lang w:eastAsia="zh-CN"/>
              </w:rPr>
              <w:t>12</w:t>
            </w:r>
          </w:p>
        </w:tc>
      </w:tr>
      <w:tr w:rsidR="00241417" w:rsidRPr="004710DC" w14:paraId="298B0772" w14:textId="77777777" w:rsidTr="003A71DE">
        <w:trPr>
          <w:cantSplit/>
          <w:jc w:val="center"/>
        </w:trPr>
        <w:tc>
          <w:tcPr>
            <w:tcW w:w="2421" w:type="dxa"/>
          </w:tcPr>
          <w:p w14:paraId="75E8699B" w14:textId="77777777" w:rsidR="00241417" w:rsidRPr="004710DC" w:rsidRDefault="00241417" w:rsidP="003A71DE">
            <w:pPr>
              <w:pStyle w:val="TAC"/>
            </w:pPr>
            <w:r w:rsidRPr="004710DC">
              <w:t>Modulation</w:t>
            </w:r>
          </w:p>
        </w:tc>
        <w:tc>
          <w:tcPr>
            <w:tcW w:w="1070" w:type="dxa"/>
          </w:tcPr>
          <w:p w14:paraId="702867FA" w14:textId="77777777" w:rsidR="00241417" w:rsidRPr="004710DC" w:rsidRDefault="00241417" w:rsidP="003A71DE">
            <w:pPr>
              <w:pStyle w:val="TAC"/>
              <w:rPr>
                <w:lang w:eastAsia="zh-CN"/>
              </w:rPr>
            </w:pPr>
            <w:r w:rsidRPr="004710DC">
              <w:rPr>
                <w:lang w:eastAsia="zh-CN"/>
              </w:rPr>
              <w:t>16QAM</w:t>
            </w:r>
          </w:p>
        </w:tc>
        <w:tc>
          <w:tcPr>
            <w:tcW w:w="1071" w:type="dxa"/>
          </w:tcPr>
          <w:p w14:paraId="5929C7A6" w14:textId="77777777" w:rsidR="00241417" w:rsidRPr="004710DC" w:rsidRDefault="00241417" w:rsidP="003A71DE">
            <w:pPr>
              <w:pStyle w:val="TAC"/>
              <w:rPr>
                <w:lang w:eastAsia="zh-CN"/>
              </w:rPr>
            </w:pPr>
            <w:r w:rsidRPr="004710DC">
              <w:rPr>
                <w:lang w:eastAsia="zh-CN"/>
              </w:rPr>
              <w:t>16QAM</w:t>
            </w:r>
          </w:p>
        </w:tc>
        <w:tc>
          <w:tcPr>
            <w:tcW w:w="1070" w:type="dxa"/>
          </w:tcPr>
          <w:p w14:paraId="32DCFF73" w14:textId="77777777" w:rsidR="00241417" w:rsidRPr="004710DC" w:rsidRDefault="00241417" w:rsidP="003A71DE">
            <w:pPr>
              <w:pStyle w:val="TAC"/>
              <w:rPr>
                <w:lang w:eastAsia="zh-CN"/>
              </w:rPr>
            </w:pPr>
            <w:r w:rsidRPr="004710DC">
              <w:rPr>
                <w:lang w:eastAsia="zh-CN"/>
              </w:rPr>
              <w:t>16QAM</w:t>
            </w:r>
          </w:p>
        </w:tc>
        <w:tc>
          <w:tcPr>
            <w:tcW w:w="1071" w:type="dxa"/>
          </w:tcPr>
          <w:p w14:paraId="6340B7F1" w14:textId="77777777" w:rsidR="00241417" w:rsidRPr="004710DC" w:rsidRDefault="00241417" w:rsidP="003A71DE">
            <w:pPr>
              <w:pStyle w:val="TAC"/>
              <w:rPr>
                <w:lang w:eastAsia="zh-CN"/>
              </w:rPr>
            </w:pPr>
            <w:r w:rsidRPr="004710DC">
              <w:rPr>
                <w:lang w:eastAsia="zh-CN"/>
              </w:rPr>
              <w:t>16QAM</w:t>
            </w:r>
          </w:p>
        </w:tc>
        <w:tc>
          <w:tcPr>
            <w:tcW w:w="1070" w:type="dxa"/>
          </w:tcPr>
          <w:p w14:paraId="44DD783C" w14:textId="77777777" w:rsidR="00241417" w:rsidRPr="004710DC" w:rsidRDefault="00241417" w:rsidP="003A71DE">
            <w:pPr>
              <w:pStyle w:val="TAC"/>
              <w:rPr>
                <w:lang w:eastAsia="zh-CN"/>
              </w:rPr>
            </w:pPr>
            <w:r w:rsidRPr="004710DC">
              <w:rPr>
                <w:lang w:eastAsia="zh-CN"/>
              </w:rPr>
              <w:t>16QAM</w:t>
            </w:r>
          </w:p>
        </w:tc>
        <w:tc>
          <w:tcPr>
            <w:tcW w:w="1071" w:type="dxa"/>
          </w:tcPr>
          <w:p w14:paraId="7F5A6DE9" w14:textId="77777777" w:rsidR="00241417" w:rsidRPr="004710DC" w:rsidRDefault="00241417" w:rsidP="003A71DE">
            <w:pPr>
              <w:pStyle w:val="TAC"/>
              <w:rPr>
                <w:lang w:eastAsia="zh-CN"/>
              </w:rPr>
            </w:pPr>
            <w:r w:rsidRPr="004710DC">
              <w:rPr>
                <w:lang w:eastAsia="zh-CN"/>
              </w:rPr>
              <w:t>16QAM</w:t>
            </w:r>
          </w:p>
        </w:tc>
        <w:tc>
          <w:tcPr>
            <w:tcW w:w="1071" w:type="dxa"/>
          </w:tcPr>
          <w:p w14:paraId="4B3774DC" w14:textId="77777777" w:rsidR="00241417" w:rsidRPr="004710DC" w:rsidRDefault="00241417" w:rsidP="003A71DE">
            <w:pPr>
              <w:pStyle w:val="TAC"/>
              <w:rPr>
                <w:lang w:eastAsia="zh-CN"/>
              </w:rPr>
            </w:pPr>
            <w:r w:rsidRPr="004710DC">
              <w:rPr>
                <w:lang w:eastAsia="zh-CN"/>
              </w:rPr>
              <w:t>16QAM</w:t>
            </w:r>
          </w:p>
        </w:tc>
      </w:tr>
      <w:tr w:rsidR="00241417" w:rsidRPr="004710DC" w14:paraId="5E12C4A8" w14:textId="77777777" w:rsidTr="003A71DE">
        <w:trPr>
          <w:cantSplit/>
          <w:jc w:val="center"/>
        </w:trPr>
        <w:tc>
          <w:tcPr>
            <w:tcW w:w="2421" w:type="dxa"/>
          </w:tcPr>
          <w:p w14:paraId="55A96CFD" w14:textId="77777777" w:rsidR="00241417" w:rsidRPr="004710DC" w:rsidRDefault="00241417" w:rsidP="003A71DE">
            <w:pPr>
              <w:pStyle w:val="TAC"/>
            </w:pPr>
            <w:r>
              <w:t>Code Rate</w:t>
            </w:r>
          </w:p>
        </w:tc>
        <w:tc>
          <w:tcPr>
            <w:tcW w:w="1070" w:type="dxa"/>
          </w:tcPr>
          <w:p w14:paraId="5FC7182D" w14:textId="77777777" w:rsidR="00241417" w:rsidRPr="004710DC" w:rsidRDefault="00241417" w:rsidP="003A71DE">
            <w:pPr>
              <w:pStyle w:val="TAC"/>
              <w:rPr>
                <w:lang w:eastAsia="zh-CN"/>
              </w:rPr>
            </w:pPr>
            <w:r w:rsidRPr="004710DC">
              <w:rPr>
                <w:lang w:eastAsia="zh-CN"/>
              </w:rPr>
              <w:t>658/1024</w:t>
            </w:r>
          </w:p>
        </w:tc>
        <w:tc>
          <w:tcPr>
            <w:tcW w:w="1071" w:type="dxa"/>
          </w:tcPr>
          <w:p w14:paraId="73F75042" w14:textId="77777777" w:rsidR="00241417" w:rsidRPr="004710DC" w:rsidRDefault="00241417" w:rsidP="003A71DE">
            <w:pPr>
              <w:pStyle w:val="TAC"/>
              <w:rPr>
                <w:lang w:eastAsia="zh-CN"/>
              </w:rPr>
            </w:pPr>
            <w:r w:rsidRPr="004710DC">
              <w:rPr>
                <w:lang w:eastAsia="zh-CN"/>
              </w:rPr>
              <w:t>658/1024</w:t>
            </w:r>
          </w:p>
        </w:tc>
        <w:tc>
          <w:tcPr>
            <w:tcW w:w="1070" w:type="dxa"/>
          </w:tcPr>
          <w:p w14:paraId="71CEF2FA" w14:textId="77777777" w:rsidR="00241417" w:rsidRPr="004710DC" w:rsidRDefault="00241417" w:rsidP="003A71DE">
            <w:pPr>
              <w:pStyle w:val="TAC"/>
              <w:rPr>
                <w:lang w:eastAsia="zh-CN"/>
              </w:rPr>
            </w:pPr>
            <w:r w:rsidRPr="004710DC">
              <w:rPr>
                <w:lang w:eastAsia="zh-CN"/>
              </w:rPr>
              <w:t>658/1024</w:t>
            </w:r>
          </w:p>
        </w:tc>
        <w:tc>
          <w:tcPr>
            <w:tcW w:w="1071" w:type="dxa"/>
          </w:tcPr>
          <w:p w14:paraId="2B4C5C87" w14:textId="77777777" w:rsidR="00241417" w:rsidRPr="004710DC" w:rsidRDefault="00241417" w:rsidP="003A71DE">
            <w:pPr>
              <w:pStyle w:val="TAC"/>
              <w:rPr>
                <w:lang w:eastAsia="zh-CN"/>
              </w:rPr>
            </w:pPr>
            <w:r w:rsidRPr="004710DC">
              <w:rPr>
                <w:lang w:eastAsia="zh-CN"/>
              </w:rPr>
              <w:t>658/1024</w:t>
            </w:r>
          </w:p>
        </w:tc>
        <w:tc>
          <w:tcPr>
            <w:tcW w:w="1070" w:type="dxa"/>
          </w:tcPr>
          <w:p w14:paraId="2B867CB0" w14:textId="77777777" w:rsidR="00241417" w:rsidRPr="004710DC" w:rsidRDefault="00241417" w:rsidP="003A71DE">
            <w:pPr>
              <w:pStyle w:val="TAC"/>
              <w:rPr>
                <w:lang w:eastAsia="zh-CN"/>
              </w:rPr>
            </w:pPr>
            <w:r w:rsidRPr="004710DC">
              <w:rPr>
                <w:lang w:eastAsia="zh-CN"/>
              </w:rPr>
              <w:t>658/1024</w:t>
            </w:r>
          </w:p>
        </w:tc>
        <w:tc>
          <w:tcPr>
            <w:tcW w:w="1071" w:type="dxa"/>
          </w:tcPr>
          <w:p w14:paraId="616A3704" w14:textId="77777777" w:rsidR="00241417" w:rsidRPr="004710DC" w:rsidRDefault="00241417" w:rsidP="003A71DE">
            <w:pPr>
              <w:pStyle w:val="TAC"/>
              <w:rPr>
                <w:lang w:eastAsia="zh-CN"/>
              </w:rPr>
            </w:pPr>
            <w:r w:rsidRPr="004710DC">
              <w:rPr>
                <w:lang w:eastAsia="zh-CN"/>
              </w:rPr>
              <w:t>658/1024</w:t>
            </w:r>
          </w:p>
        </w:tc>
        <w:tc>
          <w:tcPr>
            <w:tcW w:w="1071" w:type="dxa"/>
          </w:tcPr>
          <w:p w14:paraId="42CD6E71" w14:textId="77777777" w:rsidR="00241417" w:rsidRPr="004710DC" w:rsidRDefault="00241417" w:rsidP="003A71DE">
            <w:pPr>
              <w:pStyle w:val="TAC"/>
              <w:rPr>
                <w:lang w:eastAsia="zh-CN"/>
              </w:rPr>
            </w:pPr>
            <w:r w:rsidRPr="004710DC">
              <w:rPr>
                <w:lang w:eastAsia="zh-CN"/>
              </w:rPr>
              <w:t>658/1024</w:t>
            </w:r>
          </w:p>
        </w:tc>
      </w:tr>
      <w:tr w:rsidR="00241417" w:rsidRPr="004710DC" w14:paraId="2A884A7C" w14:textId="77777777" w:rsidTr="003A71DE">
        <w:trPr>
          <w:cantSplit/>
          <w:jc w:val="center"/>
        </w:trPr>
        <w:tc>
          <w:tcPr>
            <w:tcW w:w="2421" w:type="dxa"/>
          </w:tcPr>
          <w:p w14:paraId="110F588C" w14:textId="77777777" w:rsidR="00241417" w:rsidRPr="004710DC" w:rsidRDefault="00241417" w:rsidP="003A71DE">
            <w:pPr>
              <w:pStyle w:val="TAC"/>
            </w:pPr>
            <w:r w:rsidRPr="004710DC">
              <w:t>Payload size (bits)</w:t>
            </w:r>
          </w:p>
        </w:tc>
        <w:tc>
          <w:tcPr>
            <w:tcW w:w="1070" w:type="dxa"/>
            <w:vAlign w:val="center"/>
          </w:tcPr>
          <w:p w14:paraId="14C49B79" w14:textId="77777777" w:rsidR="00241417" w:rsidRPr="004710DC" w:rsidRDefault="00241417" w:rsidP="003A71DE">
            <w:pPr>
              <w:pStyle w:val="TAC"/>
              <w:rPr>
                <w:lang w:eastAsia="zh-CN"/>
              </w:rPr>
            </w:pPr>
            <w:r w:rsidRPr="004710DC">
              <w:rPr>
                <w:lang w:eastAsia="zh-CN"/>
              </w:rPr>
              <w:t>18432</w:t>
            </w:r>
          </w:p>
        </w:tc>
        <w:tc>
          <w:tcPr>
            <w:tcW w:w="1071" w:type="dxa"/>
            <w:vAlign w:val="center"/>
          </w:tcPr>
          <w:p w14:paraId="558D35AA" w14:textId="77777777" w:rsidR="00241417" w:rsidRPr="004710DC" w:rsidRDefault="00241417" w:rsidP="003A71DE">
            <w:pPr>
              <w:pStyle w:val="TAC"/>
              <w:rPr>
                <w:lang w:eastAsia="zh-CN"/>
              </w:rPr>
            </w:pPr>
            <w:r w:rsidRPr="004710DC">
              <w:rPr>
                <w:lang w:eastAsia="zh-CN"/>
              </w:rPr>
              <w:t>38936</w:t>
            </w:r>
          </w:p>
        </w:tc>
        <w:tc>
          <w:tcPr>
            <w:tcW w:w="1070" w:type="dxa"/>
            <w:vAlign w:val="center"/>
          </w:tcPr>
          <w:p w14:paraId="2550AA41" w14:textId="77777777" w:rsidR="00241417" w:rsidRPr="004710DC" w:rsidRDefault="00241417" w:rsidP="003A71DE">
            <w:pPr>
              <w:pStyle w:val="TAC"/>
              <w:rPr>
                <w:lang w:eastAsia="zh-CN"/>
              </w:rPr>
            </w:pPr>
            <w:r w:rsidRPr="004710DC">
              <w:rPr>
                <w:lang w:eastAsia="zh-CN"/>
              </w:rPr>
              <w:t>77896</w:t>
            </w:r>
          </w:p>
        </w:tc>
        <w:tc>
          <w:tcPr>
            <w:tcW w:w="1071" w:type="dxa"/>
            <w:vAlign w:val="center"/>
          </w:tcPr>
          <w:p w14:paraId="22A03DE1" w14:textId="77777777" w:rsidR="00241417" w:rsidRPr="004710DC" w:rsidRDefault="00241417" w:rsidP="003A71DE">
            <w:pPr>
              <w:pStyle w:val="TAC"/>
              <w:rPr>
                <w:lang w:eastAsia="zh-CN"/>
              </w:rPr>
            </w:pPr>
            <w:r w:rsidRPr="004710DC">
              <w:rPr>
                <w:lang w:eastAsia="zh-CN"/>
              </w:rPr>
              <w:t>17928</w:t>
            </w:r>
          </w:p>
        </w:tc>
        <w:tc>
          <w:tcPr>
            <w:tcW w:w="1070" w:type="dxa"/>
            <w:vAlign w:val="center"/>
          </w:tcPr>
          <w:p w14:paraId="7872B867" w14:textId="77777777" w:rsidR="00241417" w:rsidRPr="004710DC" w:rsidRDefault="00241417" w:rsidP="003A71DE">
            <w:pPr>
              <w:pStyle w:val="TAC"/>
              <w:rPr>
                <w:lang w:eastAsia="zh-CN"/>
              </w:rPr>
            </w:pPr>
            <w:r w:rsidRPr="004710DC">
              <w:rPr>
                <w:lang w:eastAsia="zh-CN"/>
              </w:rPr>
              <w:t>37896</w:t>
            </w:r>
          </w:p>
        </w:tc>
        <w:tc>
          <w:tcPr>
            <w:tcW w:w="1071" w:type="dxa"/>
          </w:tcPr>
          <w:p w14:paraId="64193530" w14:textId="77777777" w:rsidR="00241417" w:rsidRPr="004710DC" w:rsidRDefault="00241417" w:rsidP="003A71DE">
            <w:pPr>
              <w:pStyle w:val="TAC"/>
              <w:rPr>
                <w:lang w:eastAsia="zh-CN"/>
              </w:rPr>
            </w:pPr>
            <w:r w:rsidRPr="004710DC">
              <w:rPr>
                <w:lang w:eastAsia="zh-CN"/>
              </w:rPr>
              <w:t>77896</w:t>
            </w:r>
          </w:p>
        </w:tc>
        <w:tc>
          <w:tcPr>
            <w:tcW w:w="1071" w:type="dxa"/>
          </w:tcPr>
          <w:p w14:paraId="361A5053" w14:textId="77777777" w:rsidR="00241417" w:rsidRPr="004710DC" w:rsidRDefault="00241417" w:rsidP="003A71DE">
            <w:pPr>
              <w:pStyle w:val="TAC"/>
              <w:rPr>
                <w:lang w:eastAsia="zh-CN"/>
              </w:rPr>
            </w:pPr>
            <w:r w:rsidRPr="004710DC">
              <w:rPr>
                <w:lang w:eastAsia="zh-CN"/>
              </w:rPr>
              <w:t>200808</w:t>
            </w:r>
          </w:p>
        </w:tc>
      </w:tr>
      <w:tr w:rsidR="00241417" w:rsidRPr="004710DC" w14:paraId="305D9312" w14:textId="77777777" w:rsidTr="003A71DE">
        <w:trPr>
          <w:cantSplit/>
          <w:jc w:val="center"/>
        </w:trPr>
        <w:tc>
          <w:tcPr>
            <w:tcW w:w="2421" w:type="dxa"/>
          </w:tcPr>
          <w:p w14:paraId="499E31B7" w14:textId="77777777" w:rsidR="00241417" w:rsidRPr="004710DC" w:rsidRDefault="00241417" w:rsidP="003A71DE">
            <w:pPr>
              <w:pStyle w:val="TAC"/>
            </w:pPr>
            <w:r w:rsidRPr="004710DC">
              <w:t>Transport block CRC (bits)</w:t>
            </w:r>
          </w:p>
        </w:tc>
        <w:tc>
          <w:tcPr>
            <w:tcW w:w="1070" w:type="dxa"/>
          </w:tcPr>
          <w:p w14:paraId="54E61BEF" w14:textId="77777777" w:rsidR="00241417" w:rsidRPr="004710DC" w:rsidRDefault="00241417" w:rsidP="003A71DE">
            <w:pPr>
              <w:pStyle w:val="TAC"/>
              <w:rPr>
                <w:lang w:eastAsia="zh-CN"/>
              </w:rPr>
            </w:pPr>
            <w:r w:rsidRPr="004710DC">
              <w:rPr>
                <w:lang w:eastAsia="zh-CN"/>
              </w:rPr>
              <w:t>24</w:t>
            </w:r>
          </w:p>
        </w:tc>
        <w:tc>
          <w:tcPr>
            <w:tcW w:w="1071" w:type="dxa"/>
          </w:tcPr>
          <w:p w14:paraId="1ACA9397" w14:textId="77777777" w:rsidR="00241417" w:rsidRPr="004710DC" w:rsidRDefault="00241417" w:rsidP="003A71DE">
            <w:pPr>
              <w:pStyle w:val="TAC"/>
              <w:rPr>
                <w:lang w:eastAsia="zh-CN"/>
              </w:rPr>
            </w:pPr>
            <w:r w:rsidRPr="004710DC">
              <w:rPr>
                <w:lang w:eastAsia="zh-CN"/>
              </w:rPr>
              <w:t>24</w:t>
            </w:r>
          </w:p>
        </w:tc>
        <w:tc>
          <w:tcPr>
            <w:tcW w:w="1070" w:type="dxa"/>
          </w:tcPr>
          <w:p w14:paraId="688CD3AE" w14:textId="77777777" w:rsidR="00241417" w:rsidRPr="004710DC" w:rsidRDefault="00241417" w:rsidP="003A71DE">
            <w:pPr>
              <w:pStyle w:val="TAC"/>
              <w:rPr>
                <w:lang w:eastAsia="zh-CN"/>
              </w:rPr>
            </w:pPr>
            <w:r w:rsidRPr="004710DC">
              <w:rPr>
                <w:lang w:eastAsia="zh-CN"/>
              </w:rPr>
              <w:t>24</w:t>
            </w:r>
          </w:p>
        </w:tc>
        <w:tc>
          <w:tcPr>
            <w:tcW w:w="1071" w:type="dxa"/>
          </w:tcPr>
          <w:p w14:paraId="7DA1B384" w14:textId="77777777" w:rsidR="00241417" w:rsidRPr="004710DC" w:rsidRDefault="00241417" w:rsidP="003A71DE">
            <w:pPr>
              <w:pStyle w:val="TAC"/>
              <w:rPr>
                <w:lang w:eastAsia="zh-CN"/>
              </w:rPr>
            </w:pPr>
            <w:r w:rsidRPr="004710DC">
              <w:rPr>
                <w:lang w:eastAsia="zh-CN"/>
              </w:rPr>
              <w:t>24</w:t>
            </w:r>
          </w:p>
        </w:tc>
        <w:tc>
          <w:tcPr>
            <w:tcW w:w="1070" w:type="dxa"/>
          </w:tcPr>
          <w:p w14:paraId="3F70D214" w14:textId="77777777" w:rsidR="00241417" w:rsidRPr="004710DC" w:rsidRDefault="00241417" w:rsidP="003A71DE">
            <w:pPr>
              <w:pStyle w:val="TAC"/>
              <w:rPr>
                <w:lang w:eastAsia="zh-CN"/>
              </w:rPr>
            </w:pPr>
            <w:r w:rsidRPr="004710DC">
              <w:rPr>
                <w:lang w:eastAsia="zh-CN"/>
              </w:rPr>
              <w:t>24</w:t>
            </w:r>
          </w:p>
        </w:tc>
        <w:tc>
          <w:tcPr>
            <w:tcW w:w="1071" w:type="dxa"/>
          </w:tcPr>
          <w:p w14:paraId="66381E4F" w14:textId="77777777" w:rsidR="00241417" w:rsidRPr="004710DC" w:rsidRDefault="00241417" w:rsidP="003A71DE">
            <w:pPr>
              <w:pStyle w:val="TAC"/>
              <w:rPr>
                <w:lang w:eastAsia="zh-CN"/>
              </w:rPr>
            </w:pPr>
            <w:r w:rsidRPr="004710DC">
              <w:rPr>
                <w:lang w:eastAsia="zh-CN"/>
              </w:rPr>
              <w:t>24</w:t>
            </w:r>
          </w:p>
        </w:tc>
        <w:tc>
          <w:tcPr>
            <w:tcW w:w="1071" w:type="dxa"/>
          </w:tcPr>
          <w:p w14:paraId="11EF9CC3" w14:textId="77777777" w:rsidR="00241417" w:rsidRPr="004710DC" w:rsidRDefault="00241417" w:rsidP="003A71DE">
            <w:pPr>
              <w:pStyle w:val="TAC"/>
              <w:rPr>
                <w:lang w:eastAsia="zh-CN"/>
              </w:rPr>
            </w:pPr>
            <w:r w:rsidRPr="004710DC">
              <w:rPr>
                <w:lang w:eastAsia="zh-CN"/>
              </w:rPr>
              <w:t>24</w:t>
            </w:r>
          </w:p>
        </w:tc>
      </w:tr>
      <w:tr w:rsidR="00241417" w:rsidRPr="004710DC" w14:paraId="722F68C2" w14:textId="77777777" w:rsidTr="003A71DE">
        <w:trPr>
          <w:cantSplit/>
          <w:jc w:val="center"/>
        </w:trPr>
        <w:tc>
          <w:tcPr>
            <w:tcW w:w="2421" w:type="dxa"/>
          </w:tcPr>
          <w:p w14:paraId="10DFF627" w14:textId="77777777" w:rsidR="00241417" w:rsidRPr="00AD765F" w:rsidRDefault="00241417" w:rsidP="003A71DE">
            <w:pPr>
              <w:pStyle w:val="TAC"/>
            </w:pPr>
            <w:r w:rsidRPr="00AD765F">
              <w:t>Code block CRC size (bits)</w:t>
            </w:r>
          </w:p>
        </w:tc>
        <w:tc>
          <w:tcPr>
            <w:tcW w:w="1070" w:type="dxa"/>
          </w:tcPr>
          <w:p w14:paraId="7AF2FD1F" w14:textId="77777777" w:rsidR="00241417" w:rsidRPr="004710DC" w:rsidRDefault="00241417" w:rsidP="003A71DE">
            <w:pPr>
              <w:pStyle w:val="TAC"/>
              <w:rPr>
                <w:lang w:eastAsia="zh-CN"/>
              </w:rPr>
            </w:pPr>
            <w:r w:rsidRPr="004710DC">
              <w:rPr>
                <w:lang w:eastAsia="zh-CN"/>
              </w:rPr>
              <w:t>24</w:t>
            </w:r>
          </w:p>
        </w:tc>
        <w:tc>
          <w:tcPr>
            <w:tcW w:w="1071" w:type="dxa"/>
          </w:tcPr>
          <w:p w14:paraId="56E58EFD" w14:textId="77777777" w:rsidR="00241417" w:rsidRPr="004710DC" w:rsidRDefault="00241417" w:rsidP="003A71DE">
            <w:pPr>
              <w:pStyle w:val="TAC"/>
              <w:rPr>
                <w:lang w:eastAsia="zh-CN"/>
              </w:rPr>
            </w:pPr>
            <w:r w:rsidRPr="004710DC">
              <w:rPr>
                <w:lang w:eastAsia="zh-CN"/>
              </w:rPr>
              <w:t>24</w:t>
            </w:r>
          </w:p>
        </w:tc>
        <w:tc>
          <w:tcPr>
            <w:tcW w:w="1070" w:type="dxa"/>
          </w:tcPr>
          <w:p w14:paraId="3FAB5C26" w14:textId="77777777" w:rsidR="00241417" w:rsidRPr="004710DC" w:rsidRDefault="00241417" w:rsidP="003A71DE">
            <w:pPr>
              <w:pStyle w:val="TAC"/>
              <w:rPr>
                <w:lang w:eastAsia="zh-CN"/>
              </w:rPr>
            </w:pPr>
            <w:r w:rsidRPr="004710DC">
              <w:rPr>
                <w:lang w:eastAsia="zh-CN"/>
              </w:rPr>
              <w:t>24</w:t>
            </w:r>
          </w:p>
        </w:tc>
        <w:tc>
          <w:tcPr>
            <w:tcW w:w="1071" w:type="dxa"/>
          </w:tcPr>
          <w:p w14:paraId="2BFAE849" w14:textId="77777777" w:rsidR="00241417" w:rsidRPr="004710DC" w:rsidRDefault="00241417" w:rsidP="003A71DE">
            <w:pPr>
              <w:pStyle w:val="TAC"/>
              <w:rPr>
                <w:lang w:eastAsia="zh-CN"/>
              </w:rPr>
            </w:pPr>
            <w:r w:rsidRPr="004710DC">
              <w:rPr>
                <w:lang w:eastAsia="zh-CN"/>
              </w:rPr>
              <w:t>24</w:t>
            </w:r>
          </w:p>
        </w:tc>
        <w:tc>
          <w:tcPr>
            <w:tcW w:w="1070" w:type="dxa"/>
          </w:tcPr>
          <w:p w14:paraId="53AE0120" w14:textId="77777777" w:rsidR="00241417" w:rsidRPr="004710DC" w:rsidRDefault="00241417" w:rsidP="003A71DE">
            <w:pPr>
              <w:pStyle w:val="TAC"/>
              <w:rPr>
                <w:lang w:eastAsia="zh-CN"/>
              </w:rPr>
            </w:pPr>
            <w:r w:rsidRPr="004710DC">
              <w:rPr>
                <w:lang w:eastAsia="zh-CN"/>
              </w:rPr>
              <w:t>24</w:t>
            </w:r>
          </w:p>
        </w:tc>
        <w:tc>
          <w:tcPr>
            <w:tcW w:w="1071" w:type="dxa"/>
          </w:tcPr>
          <w:p w14:paraId="556E02D6" w14:textId="77777777" w:rsidR="00241417" w:rsidRPr="004710DC" w:rsidRDefault="00241417" w:rsidP="003A71DE">
            <w:pPr>
              <w:pStyle w:val="TAC"/>
              <w:rPr>
                <w:lang w:eastAsia="zh-CN"/>
              </w:rPr>
            </w:pPr>
            <w:r w:rsidRPr="004710DC">
              <w:rPr>
                <w:lang w:eastAsia="zh-CN"/>
              </w:rPr>
              <w:t>24</w:t>
            </w:r>
          </w:p>
        </w:tc>
        <w:tc>
          <w:tcPr>
            <w:tcW w:w="1071" w:type="dxa"/>
          </w:tcPr>
          <w:p w14:paraId="786FC041" w14:textId="77777777" w:rsidR="00241417" w:rsidRPr="004710DC" w:rsidRDefault="00241417" w:rsidP="003A71DE">
            <w:pPr>
              <w:pStyle w:val="TAC"/>
              <w:rPr>
                <w:lang w:eastAsia="zh-CN"/>
              </w:rPr>
            </w:pPr>
            <w:r w:rsidRPr="004710DC">
              <w:rPr>
                <w:lang w:eastAsia="zh-CN"/>
              </w:rPr>
              <w:t>24</w:t>
            </w:r>
          </w:p>
        </w:tc>
      </w:tr>
      <w:tr w:rsidR="00241417" w:rsidRPr="004710DC" w14:paraId="20106878" w14:textId="77777777" w:rsidTr="003A71DE">
        <w:trPr>
          <w:cantSplit/>
          <w:jc w:val="center"/>
        </w:trPr>
        <w:tc>
          <w:tcPr>
            <w:tcW w:w="2421" w:type="dxa"/>
          </w:tcPr>
          <w:p w14:paraId="1FD2D117" w14:textId="77777777" w:rsidR="00241417" w:rsidRPr="00AD765F" w:rsidRDefault="00241417" w:rsidP="003A71DE">
            <w:pPr>
              <w:pStyle w:val="TAC"/>
            </w:pPr>
            <w:r w:rsidRPr="00AD765F">
              <w:t>Number of code blocks - C</w:t>
            </w:r>
          </w:p>
        </w:tc>
        <w:tc>
          <w:tcPr>
            <w:tcW w:w="1070" w:type="dxa"/>
            <w:vAlign w:val="center"/>
          </w:tcPr>
          <w:p w14:paraId="75AC2782" w14:textId="77777777" w:rsidR="00241417" w:rsidRPr="004710DC" w:rsidRDefault="00241417" w:rsidP="003A71DE">
            <w:pPr>
              <w:pStyle w:val="TAC"/>
              <w:rPr>
                <w:lang w:eastAsia="zh-CN"/>
              </w:rPr>
            </w:pPr>
            <w:r w:rsidRPr="004710DC">
              <w:rPr>
                <w:lang w:eastAsia="zh-CN"/>
              </w:rPr>
              <w:t>3</w:t>
            </w:r>
          </w:p>
        </w:tc>
        <w:tc>
          <w:tcPr>
            <w:tcW w:w="1071" w:type="dxa"/>
            <w:vAlign w:val="center"/>
          </w:tcPr>
          <w:p w14:paraId="6874A35B" w14:textId="77777777" w:rsidR="00241417" w:rsidRPr="004710DC" w:rsidRDefault="00241417" w:rsidP="003A71DE">
            <w:pPr>
              <w:pStyle w:val="TAC"/>
              <w:rPr>
                <w:lang w:eastAsia="zh-CN"/>
              </w:rPr>
            </w:pPr>
            <w:r w:rsidRPr="004710DC">
              <w:rPr>
                <w:lang w:eastAsia="zh-CN"/>
              </w:rPr>
              <w:t>5</w:t>
            </w:r>
          </w:p>
        </w:tc>
        <w:tc>
          <w:tcPr>
            <w:tcW w:w="1070" w:type="dxa"/>
          </w:tcPr>
          <w:p w14:paraId="5DABC115" w14:textId="77777777" w:rsidR="00241417" w:rsidRPr="004710DC" w:rsidRDefault="00241417" w:rsidP="003A71DE">
            <w:pPr>
              <w:pStyle w:val="TAC"/>
              <w:rPr>
                <w:lang w:eastAsia="zh-CN"/>
              </w:rPr>
            </w:pPr>
            <w:r w:rsidRPr="004710DC">
              <w:rPr>
                <w:lang w:eastAsia="zh-CN"/>
              </w:rPr>
              <w:t>10</w:t>
            </w:r>
          </w:p>
        </w:tc>
        <w:tc>
          <w:tcPr>
            <w:tcW w:w="1071" w:type="dxa"/>
            <w:vAlign w:val="center"/>
          </w:tcPr>
          <w:p w14:paraId="211B3978" w14:textId="77777777" w:rsidR="00241417" w:rsidRPr="004710DC" w:rsidRDefault="00241417" w:rsidP="003A71DE">
            <w:pPr>
              <w:pStyle w:val="TAC"/>
              <w:rPr>
                <w:lang w:eastAsia="zh-CN"/>
              </w:rPr>
            </w:pPr>
            <w:r w:rsidRPr="004710DC">
              <w:rPr>
                <w:lang w:eastAsia="zh-CN"/>
              </w:rPr>
              <w:t>3</w:t>
            </w:r>
          </w:p>
        </w:tc>
        <w:tc>
          <w:tcPr>
            <w:tcW w:w="1070" w:type="dxa"/>
            <w:vAlign w:val="center"/>
          </w:tcPr>
          <w:p w14:paraId="2C786738" w14:textId="77777777" w:rsidR="00241417" w:rsidRPr="004710DC" w:rsidRDefault="00241417" w:rsidP="003A71DE">
            <w:pPr>
              <w:pStyle w:val="TAC"/>
              <w:rPr>
                <w:lang w:eastAsia="zh-CN"/>
              </w:rPr>
            </w:pPr>
            <w:r w:rsidRPr="004710DC">
              <w:rPr>
                <w:lang w:eastAsia="zh-CN"/>
              </w:rPr>
              <w:t>5</w:t>
            </w:r>
          </w:p>
        </w:tc>
        <w:tc>
          <w:tcPr>
            <w:tcW w:w="1071" w:type="dxa"/>
          </w:tcPr>
          <w:p w14:paraId="221C92C8" w14:textId="77777777" w:rsidR="00241417" w:rsidRPr="004710DC" w:rsidRDefault="00241417" w:rsidP="003A71DE">
            <w:pPr>
              <w:pStyle w:val="TAC"/>
              <w:rPr>
                <w:lang w:eastAsia="zh-CN"/>
              </w:rPr>
            </w:pPr>
            <w:r w:rsidRPr="004710DC">
              <w:rPr>
                <w:lang w:eastAsia="zh-CN"/>
              </w:rPr>
              <w:t>10</w:t>
            </w:r>
          </w:p>
        </w:tc>
        <w:tc>
          <w:tcPr>
            <w:tcW w:w="1071" w:type="dxa"/>
          </w:tcPr>
          <w:p w14:paraId="3D37C86A" w14:textId="77777777" w:rsidR="00241417" w:rsidRPr="004710DC" w:rsidRDefault="00241417" w:rsidP="003A71DE">
            <w:pPr>
              <w:pStyle w:val="TAC"/>
              <w:rPr>
                <w:lang w:eastAsia="zh-CN"/>
              </w:rPr>
            </w:pPr>
            <w:r w:rsidRPr="004710DC">
              <w:rPr>
                <w:lang w:eastAsia="zh-CN"/>
              </w:rPr>
              <w:t>24</w:t>
            </w:r>
          </w:p>
        </w:tc>
      </w:tr>
      <w:tr w:rsidR="00241417" w:rsidRPr="004710DC" w14:paraId="29801A48" w14:textId="77777777" w:rsidTr="003A71DE">
        <w:trPr>
          <w:cantSplit/>
          <w:jc w:val="center"/>
        </w:trPr>
        <w:tc>
          <w:tcPr>
            <w:tcW w:w="2421" w:type="dxa"/>
          </w:tcPr>
          <w:p w14:paraId="308494E4" w14:textId="77777777" w:rsidR="00241417" w:rsidRPr="00AD765F" w:rsidRDefault="00241417" w:rsidP="003A71DE">
            <w:pPr>
              <w:pStyle w:val="TAC"/>
            </w:pPr>
            <w:r w:rsidRPr="00AD765F">
              <w:t xml:space="preserve">Code block size </w:t>
            </w:r>
            <w:r w:rsidRPr="00AD765F">
              <w:rPr>
                <w:rFonts w:eastAsia="Malgun Gothic" w:cs="Arial"/>
              </w:rPr>
              <w:t xml:space="preserve">including CRC </w:t>
            </w:r>
            <w:r w:rsidRPr="00AD765F">
              <w:t>(bits)</w:t>
            </w:r>
            <w:r w:rsidRPr="00AD765F">
              <w:rPr>
                <w:rFonts w:cs="Arial"/>
                <w:lang w:eastAsia="zh-CN"/>
              </w:rPr>
              <w:t xml:space="preserve"> (Note 2)</w:t>
            </w:r>
          </w:p>
        </w:tc>
        <w:tc>
          <w:tcPr>
            <w:tcW w:w="1070" w:type="dxa"/>
            <w:vAlign w:val="center"/>
          </w:tcPr>
          <w:p w14:paraId="6950CBBD" w14:textId="77777777" w:rsidR="00241417" w:rsidRPr="004710DC" w:rsidRDefault="00241417" w:rsidP="003A71DE">
            <w:pPr>
              <w:pStyle w:val="TAC"/>
              <w:rPr>
                <w:lang w:eastAsia="zh-CN"/>
              </w:rPr>
            </w:pPr>
            <w:r w:rsidRPr="004710DC">
              <w:t>6176</w:t>
            </w:r>
          </w:p>
        </w:tc>
        <w:tc>
          <w:tcPr>
            <w:tcW w:w="1071" w:type="dxa"/>
            <w:vAlign w:val="center"/>
          </w:tcPr>
          <w:p w14:paraId="5BA4F47D" w14:textId="77777777" w:rsidR="00241417" w:rsidRPr="004710DC" w:rsidRDefault="00241417" w:rsidP="003A71DE">
            <w:pPr>
              <w:pStyle w:val="TAC"/>
              <w:rPr>
                <w:lang w:eastAsia="zh-CN"/>
              </w:rPr>
            </w:pPr>
            <w:r w:rsidRPr="004710DC">
              <w:t>7816</w:t>
            </w:r>
          </w:p>
        </w:tc>
        <w:tc>
          <w:tcPr>
            <w:tcW w:w="1070" w:type="dxa"/>
            <w:vAlign w:val="center"/>
          </w:tcPr>
          <w:p w14:paraId="62444FA7" w14:textId="77777777" w:rsidR="00241417" w:rsidRPr="004710DC" w:rsidRDefault="00241417" w:rsidP="003A71DE">
            <w:pPr>
              <w:pStyle w:val="TAC"/>
              <w:rPr>
                <w:lang w:eastAsia="zh-CN"/>
              </w:rPr>
            </w:pPr>
            <w:r w:rsidRPr="004710DC">
              <w:t>7816</w:t>
            </w:r>
          </w:p>
        </w:tc>
        <w:tc>
          <w:tcPr>
            <w:tcW w:w="1071" w:type="dxa"/>
            <w:vAlign w:val="center"/>
          </w:tcPr>
          <w:p w14:paraId="71B09740" w14:textId="77777777" w:rsidR="00241417" w:rsidRPr="004710DC" w:rsidRDefault="00241417" w:rsidP="003A71DE">
            <w:pPr>
              <w:pStyle w:val="TAC"/>
              <w:rPr>
                <w:lang w:eastAsia="zh-CN"/>
              </w:rPr>
            </w:pPr>
            <w:r w:rsidRPr="004710DC">
              <w:t>6008</w:t>
            </w:r>
          </w:p>
        </w:tc>
        <w:tc>
          <w:tcPr>
            <w:tcW w:w="1070" w:type="dxa"/>
            <w:vAlign w:val="center"/>
          </w:tcPr>
          <w:p w14:paraId="1EA76D6F" w14:textId="77777777" w:rsidR="00241417" w:rsidRPr="004710DC" w:rsidRDefault="00241417" w:rsidP="003A71DE">
            <w:pPr>
              <w:pStyle w:val="TAC"/>
              <w:rPr>
                <w:lang w:eastAsia="zh-CN"/>
              </w:rPr>
            </w:pPr>
            <w:r w:rsidRPr="004710DC">
              <w:t>7608</w:t>
            </w:r>
          </w:p>
        </w:tc>
        <w:tc>
          <w:tcPr>
            <w:tcW w:w="1071" w:type="dxa"/>
            <w:vAlign w:val="center"/>
          </w:tcPr>
          <w:p w14:paraId="181E067B" w14:textId="77777777" w:rsidR="00241417" w:rsidRPr="004710DC" w:rsidRDefault="00241417" w:rsidP="003A71DE">
            <w:pPr>
              <w:pStyle w:val="TAC"/>
              <w:rPr>
                <w:lang w:eastAsia="zh-CN"/>
              </w:rPr>
            </w:pPr>
            <w:r w:rsidRPr="004710DC">
              <w:t>7816</w:t>
            </w:r>
          </w:p>
        </w:tc>
        <w:tc>
          <w:tcPr>
            <w:tcW w:w="1071" w:type="dxa"/>
            <w:vAlign w:val="center"/>
          </w:tcPr>
          <w:p w14:paraId="52EB5747" w14:textId="77777777" w:rsidR="00241417" w:rsidRPr="004710DC" w:rsidRDefault="00241417" w:rsidP="003A71DE">
            <w:pPr>
              <w:pStyle w:val="TAC"/>
              <w:rPr>
                <w:lang w:eastAsia="zh-CN"/>
              </w:rPr>
            </w:pPr>
            <w:r w:rsidRPr="004710DC">
              <w:t>8392</w:t>
            </w:r>
          </w:p>
        </w:tc>
      </w:tr>
      <w:tr w:rsidR="00241417" w:rsidRPr="004710DC" w14:paraId="7F13384C" w14:textId="77777777" w:rsidTr="003A71DE">
        <w:trPr>
          <w:cantSplit/>
          <w:jc w:val="center"/>
        </w:trPr>
        <w:tc>
          <w:tcPr>
            <w:tcW w:w="2421" w:type="dxa"/>
          </w:tcPr>
          <w:p w14:paraId="327D0DAE"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0" w:type="dxa"/>
            <w:vAlign w:val="center"/>
          </w:tcPr>
          <w:p w14:paraId="028297AB" w14:textId="77777777" w:rsidR="00241417" w:rsidRPr="004710DC" w:rsidRDefault="00241417" w:rsidP="003A71DE">
            <w:pPr>
              <w:pStyle w:val="TAC"/>
              <w:rPr>
                <w:lang w:eastAsia="zh-CN"/>
              </w:rPr>
            </w:pPr>
            <w:r w:rsidRPr="004710DC">
              <w:rPr>
                <w:lang w:eastAsia="zh-CN"/>
              </w:rPr>
              <w:t>28800</w:t>
            </w:r>
          </w:p>
        </w:tc>
        <w:tc>
          <w:tcPr>
            <w:tcW w:w="1071" w:type="dxa"/>
            <w:vAlign w:val="center"/>
          </w:tcPr>
          <w:p w14:paraId="67012B39" w14:textId="77777777" w:rsidR="00241417" w:rsidRPr="004710DC" w:rsidRDefault="00241417" w:rsidP="003A71DE">
            <w:pPr>
              <w:pStyle w:val="TAC"/>
              <w:rPr>
                <w:lang w:eastAsia="zh-CN"/>
              </w:rPr>
            </w:pPr>
            <w:r w:rsidRPr="004710DC">
              <w:rPr>
                <w:lang w:eastAsia="zh-CN"/>
              </w:rPr>
              <w:t>59904</w:t>
            </w:r>
          </w:p>
        </w:tc>
        <w:tc>
          <w:tcPr>
            <w:tcW w:w="1070" w:type="dxa"/>
            <w:vAlign w:val="center"/>
          </w:tcPr>
          <w:p w14:paraId="32E41B14" w14:textId="77777777" w:rsidR="00241417" w:rsidRPr="004710DC" w:rsidRDefault="00241417" w:rsidP="003A71DE">
            <w:pPr>
              <w:pStyle w:val="TAC"/>
              <w:rPr>
                <w:lang w:eastAsia="zh-CN"/>
              </w:rPr>
            </w:pPr>
            <w:r w:rsidRPr="004710DC">
              <w:rPr>
                <w:lang w:eastAsia="zh-CN"/>
              </w:rPr>
              <w:t>122112</w:t>
            </w:r>
          </w:p>
        </w:tc>
        <w:tc>
          <w:tcPr>
            <w:tcW w:w="1071" w:type="dxa"/>
            <w:vAlign w:val="center"/>
          </w:tcPr>
          <w:p w14:paraId="73EF91EC" w14:textId="77777777" w:rsidR="00241417" w:rsidRPr="004710DC" w:rsidRDefault="00241417" w:rsidP="003A71DE">
            <w:pPr>
              <w:pStyle w:val="TAC"/>
              <w:rPr>
                <w:lang w:eastAsia="zh-CN"/>
              </w:rPr>
            </w:pPr>
            <w:r w:rsidRPr="004710DC">
              <w:rPr>
                <w:lang w:eastAsia="zh-CN"/>
              </w:rPr>
              <w:t>27648</w:t>
            </w:r>
          </w:p>
        </w:tc>
        <w:tc>
          <w:tcPr>
            <w:tcW w:w="1070" w:type="dxa"/>
            <w:vAlign w:val="center"/>
          </w:tcPr>
          <w:p w14:paraId="48BE0BC3" w14:textId="77777777" w:rsidR="00241417" w:rsidRPr="004710DC" w:rsidRDefault="00241417" w:rsidP="003A71DE">
            <w:pPr>
              <w:pStyle w:val="TAC"/>
              <w:rPr>
                <w:lang w:eastAsia="zh-CN"/>
              </w:rPr>
            </w:pPr>
            <w:r w:rsidRPr="004710DC">
              <w:rPr>
                <w:lang w:eastAsia="zh-CN"/>
              </w:rPr>
              <w:t>58752</w:t>
            </w:r>
          </w:p>
        </w:tc>
        <w:tc>
          <w:tcPr>
            <w:tcW w:w="1071" w:type="dxa"/>
            <w:vAlign w:val="center"/>
          </w:tcPr>
          <w:p w14:paraId="3DD60996" w14:textId="77777777" w:rsidR="00241417" w:rsidRPr="004710DC" w:rsidRDefault="00241417" w:rsidP="003A71DE">
            <w:pPr>
              <w:pStyle w:val="TAC"/>
              <w:rPr>
                <w:lang w:eastAsia="zh-CN"/>
              </w:rPr>
            </w:pPr>
            <w:r w:rsidRPr="004710DC">
              <w:rPr>
                <w:lang w:eastAsia="zh-CN"/>
              </w:rPr>
              <w:t>122112</w:t>
            </w:r>
          </w:p>
        </w:tc>
        <w:tc>
          <w:tcPr>
            <w:tcW w:w="1071" w:type="dxa"/>
            <w:vAlign w:val="center"/>
          </w:tcPr>
          <w:p w14:paraId="573A9FD9" w14:textId="77777777" w:rsidR="00241417" w:rsidRPr="004710DC" w:rsidRDefault="00241417" w:rsidP="003A71DE">
            <w:pPr>
              <w:pStyle w:val="TAC"/>
              <w:rPr>
                <w:lang w:eastAsia="zh-CN"/>
              </w:rPr>
            </w:pPr>
            <w:r w:rsidRPr="004710DC">
              <w:rPr>
                <w:lang w:eastAsia="zh-CN"/>
              </w:rPr>
              <w:t>314496</w:t>
            </w:r>
          </w:p>
        </w:tc>
      </w:tr>
      <w:tr w:rsidR="00241417" w:rsidRPr="004710DC" w14:paraId="69C3F49A" w14:textId="77777777" w:rsidTr="003A71DE">
        <w:trPr>
          <w:cantSplit/>
          <w:jc w:val="center"/>
        </w:trPr>
        <w:tc>
          <w:tcPr>
            <w:tcW w:w="2421" w:type="dxa"/>
          </w:tcPr>
          <w:p w14:paraId="1F63AE1A"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0" w:type="dxa"/>
            <w:vAlign w:val="center"/>
          </w:tcPr>
          <w:p w14:paraId="4E1AE3E7" w14:textId="77777777" w:rsidR="00241417" w:rsidRPr="004710DC" w:rsidRDefault="00241417" w:rsidP="003A71DE">
            <w:pPr>
              <w:pStyle w:val="TAC"/>
              <w:rPr>
                <w:lang w:eastAsia="zh-CN"/>
              </w:rPr>
            </w:pPr>
            <w:r w:rsidRPr="004710DC">
              <w:rPr>
                <w:lang w:eastAsia="zh-CN"/>
              </w:rPr>
              <w:t>7200</w:t>
            </w:r>
          </w:p>
        </w:tc>
        <w:tc>
          <w:tcPr>
            <w:tcW w:w="1071" w:type="dxa"/>
            <w:vAlign w:val="center"/>
          </w:tcPr>
          <w:p w14:paraId="78A5E131" w14:textId="77777777" w:rsidR="00241417" w:rsidRPr="004710DC" w:rsidRDefault="00241417" w:rsidP="003A71DE">
            <w:pPr>
              <w:pStyle w:val="TAC"/>
              <w:rPr>
                <w:lang w:eastAsia="zh-CN"/>
              </w:rPr>
            </w:pPr>
            <w:r w:rsidRPr="004710DC">
              <w:rPr>
                <w:lang w:eastAsia="zh-CN"/>
              </w:rPr>
              <w:t>14976</w:t>
            </w:r>
          </w:p>
        </w:tc>
        <w:tc>
          <w:tcPr>
            <w:tcW w:w="1070" w:type="dxa"/>
            <w:vAlign w:val="center"/>
          </w:tcPr>
          <w:p w14:paraId="0EBD118F" w14:textId="77777777" w:rsidR="00241417" w:rsidRPr="004710DC" w:rsidRDefault="00241417" w:rsidP="003A71DE">
            <w:pPr>
              <w:pStyle w:val="TAC"/>
              <w:rPr>
                <w:lang w:eastAsia="zh-CN"/>
              </w:rPr>
            </w:pPr>
            <w:r w:rsidRPr="004710DC">
              <w:rPr>
                <w:lang w:eastAsia="zh-CN"/>
              </w:rPr>
              <w:t>30528</w:t>
            </w:r>
          </w:p>
        </w:tc>
        <w:tc>
          <w:tcPr>
            <w:tcW w:w="1071" w:type="dxa"/>
            <w:vAlign w:val="center"/>
          </w:tcPr>
          <w:p w14:paraId="06575F10" w14:textId="77777777" w:rsidR="00241417" w:rsidRPr="004710DC" w:rsidRDefault="00241417" w:rsidP="003A71DE">
            <w:pPr>
              <w:pStyle w:val="TAC"/>
              <w:rPr>
                <w:lang w:eastAsia="zh-CN"/>
              </w:rPr>
            </w:pPr>
            <w:r w:rsidRPr="004710DC">
              <w:rPr>
                <w:lang w:eastAsia="zh-CN"/>
              </w:rPr>
              <w:t>6912</w:t>
            </w:r>
          </w:p>
        </w:tc>
        <w:tc>
          <w:tcPr>
            <w:tcW w:w="1070" w:type="dxa"/>
            <w:vAlign w:val="center"/>
          </w:tcPr>
          <w:p w14:paraId="60E6A08F" w14:textId="77777777" w:rsidR="00241417" w:rsidRPr="004710DC" w:rsidRDefault="00241417" w:rsidP="003A71DE">
            <w:pPr>
              <w:pStyle w:val="TAC"/>
              <w:rPr>
                <w:lang w:eastAsia="zh-CN"/>
              </w:rPr>
            </w:pPr>
            <w:r w:rsidRPr="004710DC">
              <w:rPr>
                <w:lang w:eastAsia="zh-CN"/>
              </w:rPr>
              <w:t>14688</w:t>
            </w:r>
          </w:p>
        </w:tc>
        <w:tc>
          <w:tcPr>
            <w:tcW w:w="1071" w:type="dxa"/>
            <w:vAlign w:val="center"/>
          </w:tcPr>
          <w:p w14:paraId="0AAA6D30" w14:textId="77777777" w:rsidR="00241417" w:rsidRPr="004710DC" w:rsidRDefault="00241417" w:rsidP="003A71DE">
            <w:pPr>
              <w:pStyle w:val="TAC"/>
              <w:rPr>
                <w:lang w:eastAsia="zh-CN"/>
              </w:rPr>
            </w:pPr>
            <w:r w:rsidRPr="004710DC">
              <w:rPr>
                <w:lang w:eastAsia="zh-CN"/>
              </w:rPr>
              <w:t>30528</w:t>
            </w:r>
          </w:p>
        </w:tc>
        <w:tc>
          <w:tcPr>
            <w:tcW w:w="1071" w:type="dxa"/>
            <w:vAlign w:val="center"/>
          </w:tcPr>
          <w:p w14:paraId="472B78BE" w14:textId="77777777" w:rsidR="00241417" w:rsidRPr="004710DC" w:rsidRDefault="00241417" w:rsidP="003A71DE">
            <w:pPr>
              <w:pStyle w:val="TAC"/>
              <w:rPr>
                <w:lang w:eastAsia="zh-CN"/>
              </w:rPr>
            </w:pPr>
            <w:r w:rsidRPr="004710DC">
              <w:rPr>
                <w:lang w:eastAsia="zh-CN"/>
              </w:rPr>
              <w:t>78624</w:t>
            </w:r>
          </w:p>
        </w:tc>
      </w:tr>
      <w:tr w:rsidR="00241417" w:rsidRPr="00AD765F" w14:paraId="13653447" w14:textId="77777777" w:rsidTr="003A71DE">
        <w:trPr>
          <w:cantSplit/>
          <w:jc w:val="center"/>
        </w:trPr>
        <w:tc>
          <w:tcPr>
            <w:tcW w:w="9915" w:type="dxa"/>
            <w:gridSpan w:val="8"/>
          </w:tcPr>
          <w:p w14:paraId="1D8BA126"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rPr>
                <w:lang w:eastAsia="zh-CN"/>
              </w:rPr>
              <w:t>,</w:t>
            </w:r>
            <w:r w:rsidRPr="00AD765F">
              <w:t xml:space="preserve"> </w:t>
            </w:r>
            <w:r w:rsidRPr="00AD765F">
              <w:rPr>
                <w:i/>
                <w:lang w:eastAsia="zh-CN"/>
              </w:rPr>
              <w:t>l</w:t>
            </w:r>
            <w:r w:rsidRPr="00AD765F">
              <w:rPr>
                <w:i/>
                <w:vertAlign w:val="subscript"/>
                <w:lang w:eastAsia="zh-CN"/>
              </w:rPr>
              <w:t>0</w:t>
            </w:r>
            <w:r w:rsidRPr="00AD765F">
              <w:t>= 2 and</w:t>
            </w:r>
            <w:r w:rsidRPr="00AD765F">
              <w:rPr>
                <w:lang w:eastAsia="zh-CN"/>
              </w:rPr>
              <w:t xml:space="preserve"> </w:t>
            </w:r>
            <w:r w:rsidRPr="00AD765F">
              <w:rPr>
                <w:i/>
                <w:lang w:eastAsia="zh-CN"/>
              </w:rPr>
              <w:t>l</w:t>
            </w:r>
            <w:r w:rsidRPr="00AD765F">
              <w:rPr>
                <w:lang w:eastAsia="zh-CN"/>
              </w:rPr>
              <w:t>=11</w:t>
            </w:r>
            <w:r w:rsidRPr="00AD765F">
              <w:t xml:space="preserve"> </w:t>
            </w:r>
            <w:r w:rsidRPr="00AD765F">
              <w:rPr>
                <w:lang w:eastAsia="zh-CN"/>
              </w:rPr>
              <w:t xml:space="preserve">for </w:t>
            </w:r>
            <w:r w:rsidRPr="00AD765F">
              <w:t>PUSCH mapping type A</w:t>
            </w:r>
            <w:r w:rsidRPr="00AD765F">
              <w:rPr>
                <w:lang w:eastAsia="zh-CN"/>
              </w:rPr>
              <w:t xml:space="preserve">, </w:t>
            </w:r>
            <w:r w:rsidRPr="00AD765F">
              <w:rPr>
                <w:i/>
                <w:lang w:eastAsia="zh-CN"/>
              </w:rPr>
              <w:t>l</w:t>
            </w:r>
            <w:r w:rsidRPr="00AD765F">
              <w:rPr>
                <w:i/>
                <w:vertAlign w:val="subscript"/>
                <w:lang w:eastAsia="zh-CN"/>
              </w:rPr>
              <w:t>0</w:t>
            </w:r>
            <w:r w:rsidRPr="00AD765F">
              <w:t xml:space="preserve">= </w:t>
            </w:r>
            <w:r w:rsidRPr="00AD765F">
              <w:rPr>
                <w:lang w:eastAsia="zh-CN"/>
              </w:rPr>
              <w:t xml:space="preserve">0 and </w:t>
            </w:r>
            <w:r w:rsidRPr="00AD765F">
              <w:rPr>
                <w:i/>
                <w:lang w:eastAsia="zh-CN"/>
              </w:rPr>
              <w:t xml:space="preserve">l </w:t>
            </w:r>
            <w:r w:rsidRPr="00AD765F">
              <w:rPr>
                <w:lang w:eastAsia="zh-CN"/>
              </w:rPr>
              <w:t>=10</w:t>
            </w:r>
            <w:r w:rsidRPr="00AD765F">
              <w:t xml:space="preserve"> </w:t>
            </w:r>
            <w:r w:rsidRPr="00AD765F">
              <w:rPr>
                <w:lang w:eastAsia="zh-CN"/>
              </w:rPr>
              <w:t xml:space="preserve">for </w:t>
            </w:r>
            <w:r w:rsidRPr="00AD765F">
              <w:t xml:space="preserve">PUSCH mapping type </w:t>
            </w:r>
            <w:r w:rsidRPr="00AD765F">
              <w:rPr>
                <w:lang w:eastAsia="zh-CN"/>
              </w:rPr>
              <w:t xml:space="preserve">B </w:t>
            </w:r>
            <w:r w:rsidRPr="00AD765F">
              <w:t>as per table 6.4.1.1.3-3 of TS 38.211 [8].</w:t>
            </w:r>
          </w:p>
          <w:p w14:paraId="10B1E32F" w14:textId="77777777" w:rsidR="00241417" w:rsidRPr="00AD765F" w:rsidRDefault="00241417" w:rsidP="003A71DE">
            <w:pPr>
              <w:pStyle w:val="TAN"/>
              <w:rPr>
                <w:szCs w:val="18"/>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w:t>
            </w:r>
            <w:r w:rsidRPr="00AD765F">
              <w:rPr>
                <w:lang w:eastAsia="zh-CN"/>
              </w:rPr>
              <w:t>n clause 5.2.2 of TS 38.212 [9].</w:t>
            </w:r>
          </w:p>
        </w:tc>
      </w:tr>
    </w:tbl>
    <w:p w14:paraId="2C935618" w14:textId="77777777" w:rsidR="00241417" w:rsidRPr="00AD765F" w:rsidRDefault="00241417" w:rsidP="00241417">
      <w:pPr>
        <w:rPr>
          <w:noProof/>
          <w:lang w:eastAsia="zh-CN"/>
        </w:rPr>
      </w:pPr>
    </w:p>
    <w:p w14:paraId="2B5AA971" w14:textId="77777777" w:rsidR="00241417" w:rsidRPr="00AD765F" w:rsidRDefault="00241417" w:rsidP="00241417">
      <w:pPr>
        <w:pStyle w:val="TH"/>
        <w:rPr>
          <w:lang w:eastAsia="zh-CN"/>
        </w:rPr>
      </w:pPr>
      <w:r w:rsidRPr="00AD765F">
        <w:rPr>
          <w:rFonts w:eastAsia="Malgun Gothic"/>
        </w:rPr>
        <w:lastRenderedPageBreak/>
        <w:t>Table A.2.</w:t>
      </w:r>
      <w:r w:rsidRPr="00AD765F">
        <w:rPr>
          <w:lang w:eastAsia="zh-CN"/>
        </w:rPr>
        <w:t>3</w:t>
      </w:r>
      <w:r w:rsidRPr="00AD765F">
        <w:rPr>
          <w:rFonts w:eastAsia="Malgun Gothic"/>
        </w:rPr>
        <w:t>-</w:t>
      </w:r>
      <w:r w:rsidRPr="00AD765F">
        <w:rPr>
          <w:lang w:eastAsia="zh-CN"/>
        </w:rPr>
        <w:t>3</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pos0</w:t>
      </w:r>
      <w:r w:rsidRPr="00AD765F">
        <w:rPr>
          <w:lang w:eastAsia="zh-CN"/>
        </w:rPr>
        <w:t xml:space="preserve"> and 1 transmission layer</w:t>
      </w:r>
      <w:r w:rsidRPr="00AD765F">
        <w:rPr>
          <w:rFonts w:eastAsia="Malgun Gothic"/>
        </w:rPr>
        <w:t xml:space="preserve"> (</w:t>
      </w:r>
      <w:r w:rsidRPr="00AD765F">
        <w:rPr>
          <w:lang w:eastAsia="zh-CN"/>
        </w:rPr>
        <w:t>16QAM</w:t>
      </w:r>
      <w:r w:rsidRPr="00AD765F">
        <w:rPr>
          <w:rFonts w:eastAsia="Malgun Gothic"/>
        </w:rPr>
        <w:t>, R=658/1024)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3BD7EEA5" w14:textId="77777777" w:rsidTr="003A71DE">
        <w:trPr>
          <w:cantSplit/>
          <w:jc w:val="center"/>
        </w:trPr>
        <w:tc>
          <w:tcPr>
            <w:tcW w:w="3950" w:type="dxa"/>
          </w:tcPr>
          <w:p w14:paraId="50231BE8" w14:textId="77777777" w:rsidR="00241417" w:rsidRPr="004710DC" w:rsidRDefault="00241417" w:rsidP="003A71DE">
            <w:pPr>
              <w:pStyle w:val="TAH"/>
            </w:pPr>
            <w:r w:rsidRPr="004710DC">
              <w:t>Reference channel</w:t>
            </w:r>
          </w:p>
        </w:tc>
        <w:tc>
          <w:tcPr>
            <w:tcW w:w="1076" w:type="dxa"/>
          </w:tcPr>
          <w:p w14:paraId="6DF27489" w14:textId="3C011A66" w:rsidR="00241417" w:rsidRPr="004710DC" w:rsidRDefault="00241417" w:rsidP="003A71DE">
            <w:pPr>
              <w:pStyle w:val="TAH"/>
            </w:pPr>
            <w:r>
              <w:rPr>
                <w:lang w:eastAsia="zh-CN"/>
              </w:rPr>
              <w:t>D-FR2-A.2.3</w:t>
            </w:r>
            <w:r w:rsidRPr="004710DC">
              <w:rPr>
                <w:lang w:eastAsia="zh-CN"/>
              </w:rPr>
              <w:t>-1</w:t>
            </w:r>
          </w:p>
        </w:tc>
        <w:tc>
          <w:tcPr>
            <w:tcW w:w="1077" w:type="dxa"/>
          </w:tcPr>
          <w:p w14:paraId="096DA322" w14:textId="115E9C77" w:rsidR="00241417" w:rsidRPr="004710DC" w:rsidRDefault="00241417" w:rsidP="003A71DE">
            <w:pPr>
              <w:pStyle w:val="TAH"/>
            </w:pPr>
            <w:r>
              <w:rPr>
                <w:lang w:eastAsia="zh-CN"/>
              </w:rPr>
              <w:t>D-FR2-A.2.3</w:t>
            </w:r>
            <w:r w:rsidRPr="004710DC">
              <w:rPr>
                <w:lang w:eastAsia="zh-CN"/>
              </w:rPr>
              <w:t>-2</w:t>
            </w:r>
          </w:p>
        </w:tc>
        <w:tc>
          <w:tcPr>
            <w:tcW w:w="1076" w:type="dxa"/>
          </w:tcPr>
          <w:p w14:paraId="4E181077" w14:textId="75A539CC" w:rsidR="00241417" w:rsidRPr="004710DC" w:rsidRDefault="00241417" w:rsidP="003A71DE">
            <w:pPr>
              <w:pStyle w:val="TAH"/>
            </w:pPr>
            <w:r>
              <w:rPr>
                <w:lang w:eastAsia="zh-CN"/>
              </w:rPr>
              <w:t>D-FR2-A.2.3</w:t>
            </w:r>
            <w:r w:rsidRPr="004710DC">
              <w:rPr>
                <w:lang w:eastAsia="zh-CN"/>
              </w:rPr>
              <w:t>-3</w:t>
            </w:r>
          </w:p>
        </w:tc>
        <w:tc>
          <w:tcPr>
            <w:tcW w:w="1077" w:type="dxa"/>
          </w:tcPr>
          <w:p w14:paraId="0C3C7927" w14:textId="5EA74CA1" w:rsidR="00241417" w:rsidRPr="004710DC" w:rsidRDefault="00241417" w:rsidP="003A71DE">
            <w:pPr>
              <w:pStyle w:val="TAH"/>
            </w:pPr>
            <w:r>
              <w:rPr>
                <w:lang w:eastAsia="zh-CN"/>
              </w:rPr>
              <w:t>D-FR2-A.2.3-</w:t>
            </w:r>
            <w:r w:rsidRPr="004710DC">
              <w:rPr>
                <w:lang w:eastAsia="zh-CN"/>
              </w:rPr>
              <w:t>4</w:t>
            </w:r>
          </w:p>
        </w:tc>
        <w:tc>
          <w:tcPr>
            <w:tcW w:w="1077" w:type="dxa"/>
          </w:tcPr>
          <w:p w14:paraId="0700916E" w14:textId="5333B0B4" w:rsidR="00241417" w:rsidRPr="004710DC" w:rsidRDefault="00241417" w:rsidP="003A71DE">
            <w:pPr>
              <w:pStyle w:val="TAH"/>
            </w:pPr>
            <w:r>
              <w:rPr>
                <w:lang w:eastAsia="zh-CN"/>
              </w:rPr>
              <w:t>D-FR2-A.2.3</w:t>
            </w:r>
            <w:r w:rsidRPr="004710DC">
              <w:rPr>
                <w:lang w:eastAsia="zh-CN"/>
              </w:rPr>
              <w:t>-5</w:t>
            </w:r>
          </w:p>
        </w:tc>
      </w:tr>
      <w:tr w:rsidR="00241417" w:rsidRPr="004710DC" w14:paraId="478CF6E8" w14:textId="77777777" w:rsidTr="003A71DE">
        <w:trPr>
          <w:cantSplit/>
          <w:jc w:val="center"/>
        </w:trPr>
        <w:tc>
          <w:tcPr>
            <w:tcW w:w="3950" w:type="dxa"/>
          </w:tcPr>
          <w:p w14:paraId="65EB06EE"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0475D43F" w14:textId="77777777" w:rsidR="00241417" w:rsidRPr="004710DC" w:rsidRDefault="00241417" w:rsidP="003A71DE">
            <w:pPr>
              <w:pStyle w:val="TAC"/>
              <w:rPr>
                <w:lang w:eastAsia="zh-CN"/>
              </w:rPr>
            </w:pPr>
            <w:r w:rsidRPr="004710DC">
              <w:rPr>
                <w:lang w:eastAsia="zh-CN"/>
              </w:rPr>
              <w:t>60</w:t>
            </w:r>
          </w:p>
        </w:tc>
        <w:tc>
          <w:tcPr>
            <w:tcW w:w="1077" w:type="dxa"/>
          </w:tcPr>
          <w:p w14:paraId="375C2B10" w14:textId="77777777" w:rsidR="00241417" w:rsidRPr="004710DC" w:rsidRDefault="00241417" w:rsidP="003A71DE">
            <w:pPr>
              <w:pStyle w:val="TAC"/>
            </w:pPr>
            <w:r w:rsidRPr="004710DC">
              <w:rPr>
                <w:lang w:eastAsia="zh-CN"/>
              </w:rPr>
              <w:t>60</w:t>
            </w:r>
          </w:p>
        </w:tc>
        <w:tc>
          <w:tcPr>
            <w:tcW w:w="1076" w:type="dxa"/>
          </w:tcPr>
          <w:p w14:paraId="65ECC4CD" w14:textId="77777777" w:rsidR="00241417" w:rsidRPr="004710DC" w:rsidRDefault="00241417" w:rsidP="003A71DE">
            <w:pPr>
              <w:pStyle w:val="TAC"/>
            </w:pPr>
            <w:r w:rsidRPr="004710DC">
              <w:rPr>
                <w:lang w:eastAsia="zh-CN"/>
              </w:rPr>
              <w:t>120</w:t>
            </w:r>
          </w:p>
        </w:tc>
        <w:tc>
          <w:tcPr>
            <w:tcW w:w="1077" w:type="dxa"/>
          </w:tcPr>
          <w:p w14:paraId="4746CAF5" w14:textId="77777777" w:rsidR="00241417" w:rsidRPr="004710DC" w:rsidRDefault="00241417" w:rsidP="003A71DE">
            <w:pPr>
              <w:pStyle w:val="TAC"/>
            </w:pPr>
            <w:r w:rsidRPr="004710DC">
              <w:rPr>
                <w:lang w:eastAsia="zh-CN"/>
              </w:rPr>
              <w:t>120</w:t>
            </w:r>
          </w:p>
        </w:tc>
        <w:tc>
          <w:tcPr>
            <w:tcW w:w="1077" w:type="dxa"/>
          </w:tcPr>
          <w:p w14:paraId="01E4F4B8" w14:textId="77777777" w:rsidR="00241417" w:rsidRPr="004710DC" w:rsidRDefault="00241417" w:rsidP="003A71DE">
            <w:pPr>
              <w:pStyle w:val="TAC"/>
            </w:pPr>
            <w:r w:rsidRPr="004710DC">
              <w:rPr>
                <w:lang w:eastAsia="zh-CN"/>
              </w:rPr>
              <w:t>120</w:t>
            </w:r>
          </w:p>
        </w:tc>
      </w:tr>
      <w:tr w:rsidR="00241417" w:rsidRPr="004710DC" w14:paraId="714A1F24" w14:textId="77777777" w:rsidTr="003A71DE">
        <w:trPr>
          <w:cantSplit/>
          <w:jc w:val="center"/>
        </w:trPr>
        <w:tc>
          <w:tcPr>
            <w:tcW w:w="3950" w:type="dxa"/>
          </w:tcPr>
          <w:p w14:paraId="05E907BE" w14:textId="77777777" w:rsidR="00241417" w:rsidRPr="004710DC" w:rsidRDefault="00241417" w:rsidP="003A71DE">
            <w:pPr>
              <w:pStyle w:val="TAC"/>
            </w:pPr>
            <w:r w:rsidRPr="004710DC">
              <w:t>Allocated resource blocks</w:t>
            </w:r>
          </w:p>
        </w:tc>
        <w:tc>
          <w:tcPr>
            <w:tcW w:w="1076" w:type="dxa"/>
          </w:tcPr>
          <w:p w14:paraId="57DAA5E4" w14:textId="77777777" w:rsidR="00241417" w:rsidRPr="004710DC" w:rsidRDefault="00241417" w:rsidP="003A71DE">
            <w:pPr>
              <w:pStyle w:val="TAC"/>
            </w:pPr>
            <w:r w:rsidRPr="004710DC">
              <w:t>66</w:t>
            </w:r>
          </w:p>
        </w:tc>
        <w:tc>
          <w:tcPr>
            <w:tcW w:w="1077" w:type="dxa"/>
          </w:tcPr>
          <w:p w14:paraId="7A1AF98F" w14:textId="77777777" w:rsidR="00241417" w:rsidRPr="004710DC" w:rsidRDefault="00241417" w:rsidP="003A71DE">
            <w:pPr>
              <w:pStyle w:val="TAC"/>
            </w:pPr>
            <w:r w:rsidRPr="004710DC">
              <w:t>132</w:t>
            </w:r>
          </w:p>
        </w:tc>
        <w:tc>
          <w:tcPr>
            <w:tcW w:w="1076" w:type="dxa"/>
          </w:tcPr>
          <w:p w14:paraId="77E4EC11" w14:textId="77777777" w:rsidR="00241417" w:rsidRPr="004710DC" w:rsidRDefault="00241417" w:rsidP="003A71DE">
            <w:pPr>
              <w:pStyle w:val="TAC"/>
            </w:pPr>
            <w:r w:rsidRPr="004710DC">
              <w:t>32</w:t>
            </w:r>
          </w:p>
        </w:tc>
        <w:tc>
          <w:tcPr>
            <w:tcW w:w="1077" w:type="dxa"/>
          </w:tcPr>
          <w:p w14:paraId="2441319A" w14:textId="77777777" w:rsidR="00241417" w:rsidRPr="004710DC" w:rsidRDefault="00241417" w:rsidP="003A71DE">
            <w:pPr>
              <w:pStyle w:val="TAC"/>
            </w:pPr>
            <w:r w:rsidRPr="004710DC">
              <w:t>66</w:t>
            </w:r>
          </w:p>
        </w:tc>
        <w:tc>
          <w:tcPr>
            <w:tcW w:w="1077" w:type="dxa"/>
          </w:tcPr>
          <w:p w14:paraId="7418AA4C" w14:textId="77777777" w:rsidR="00241417" w:rsidRPr="004710DC" w:rsidRDefault="00241417" w:rsidP="003A71DE">
            <w:pPr>
              <w:pStyle w:val="TAC"/>
            </w:pPr>
            <w:r w:rsidRPr="004710DC">
              <w:t>132</w:t>
            </w:r>
          </w:p>
        </w:tc>
      </w:tr>
      <w:tr w:rsidR="00241417" w:rsidRPr="004710DC" w14:paraId="6B65BCEE" w14:textId="77777777" w:rsidTr="003A71DE">
        <w:trPr>
          <w:cantSplit/>
          <w:jc w:val="center"/>
        </w:trPr>
        <w:tc>
          <w:tcPr>
            <w:tcW w:w="3950" w:type="dxa"/>
          </w:tcPr>
          <w:p w14:paraId="439999E5"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76B1BCBB" w14:textId="77777777" w:rsidR="00241417" w:rsidRPr="004710DC" w:rsidRDefault="00241417" w:rsidP="003A71DE">
            <w:pPr>
              <w:pStyle w:val="TAC"/>
              <w:rPr>
                <w:lang w:eastAsia="zh-CN"/>
              </w:rPr>
            </w:pPr>
            <w:r w:rsidRPr="004710DC">
              <w:rPr>
                <w:lang w:eastAsia="zh-CN"/>
              </w:rPr>
              <w:t>9</w:t>
            </w:r>
          </w:p>
        </w:tc>
        <w:tc>
          <w:tcPr>
            <w:tcW w:w="1077" w:type="dxa"/>
          </w:tcPr>
          <w:p w14:paraId="1BA24A45" w14:textId="77777777" w:rsidR="00241417" w:rsidRPr="004710DC" w:rsidRDefault="00241417" w:rsidP="003A71DE">
            <w:pPr>
              <w:pStyle w:val="TAC"/>
              <w:rPr>
                <w:lang w:eastAsia="zh-CN"/>
              </w:rPr>
            </w:pPr>
            <w:r w:rsidRPr="004710DC">
              <w:rPr>
                <w:lang w:eastAsia="zh-CN"/>
              </w:rPr>
              <w:t>9</w:t>
            </w:r>
          </w:p>
        </w:tc>
        <w:tc>
          <w:tcPr>
            <w:tcW w:w="1076" w:type="dxa"/>
          </w:tcPr>
          <w:p w14:paraId="3C08081E" w14:textId="77777777" w:rsidR="00241417" w:rsidRPr="004710DC" w:rsidRDefault="00241417" w:rsidP="003A71DE">
            <w:pPr>
              <w:pStyle w:val="TAC"/>
              <w:rPr>
                <w:lang w:eastAsia="zh-CN"/>
              </w:rPr>
            </w:pPr>
            <w:r w:rsidRPr="004710DC">
              <w:rPr>
                <w:lang w:eastAsia="zh-CN"/>
              </w:rPr>
              <w:t>9</w:t>
            </w:r>
          </w:p>
        </w:tc>
        <w:tc>
          <w:tcPr>
            <w:tcW w:w="1077" w:type="dxa"/>
          </w:tcPr>
          <w:p w14:paraId="1B2C3294" w14:textId="77777777" w:rsidR="00241417" w:rsidRPr="004710DC" w:rsidRDefault="00241417" w:rsidP="003A71DE">
            <w:pPr>
              <w:pStyle w:val="TAC"/>
              <w:rPr>
                <w:lang w:eastAsia="zh-CN"/>
              </w:rPr>
            </w:pPr>
            <w:r w:rsidRPr="004710DC">
              <w:rPr>
                <w:lang w:eastAsia="zh-CN"/>
              </w:rPr>
              <w:t>9</w:t>
            </w:r>
          </w:p>
        </w:tc>
        <w:tc>
          <w:tcPr>
            <w:tcW w:w="1077" w:type="dxa"/>
          </w:tcPr>
          <w:p w14:paraId="099D1CC7" w14:textId="77777777" w:rsidR="00241417" w:rsidRPr="004710DC" w:rsidRDefault="00241417" w:rsidP="003A71DE">
            <w:pPr>
              <w:pStyle w:val="TAC"/>
              <w:rPr>
                <w:lang w:eastAsia="zh-CN"/>
              </w:rPr>
            </w:pPr>
            <w:r w:rsidRPr="004710DC">
              <w:rPr>
                <w:lang w:eastAsia="zh-CN"/>
              </w:rPr>
              <w:t>9</w:t>
            </w:r>
          </w:p>
        </w:tc>
      </w:tr>
      <w:tr w:rsidR="00241417" w:rsidRPr="004710DC" w14:paraId="73297616" w14:textId="77777777" w:rsidTr="003A71DE">
        <w:trPr>
          <w:cantSplit/>
          <w:jc w:val="center"/>
        </w:trPr>
        <w:tc>
          <w:tcPr>
            <w:tcW w:w="3950" w:type="dxa"/>
          </w:tcPr>
          <w:p w14:paraId="390DF0F8" w14:textId="77777777" w:rsidR="00241417" w:rsidRPr="004710DC" w:rsidRDefault="00241417" w:rsidP="003A71DE">
            <w:pPr>
              <w:pStyle w:val="TAC"/>
            </w:pPr>
            <w:r w:rsidRPr="004710DC">
              <w:t>Modulation</w:t>
            </w:r>
          </w:p>
        </w:tc>
        <w:tc>
          <w:tcPr>
            <w:tcW w:w="1076" w:type="dxa"/>
          </w:tcPr>
          <w:p w14:paraId="66E23355" w14:textId="77777777" w:rsidR="00241417" w:rsidRPr="004710DC" w:rsidRDefault="00241417" w:rsidP="003A71DE">
            <w:pPr>
              <w:pStyle w:val="TAC"/>
              <w:rPr>
                <w:lang w:eastAsia="zh-CN"/>
              </w:rPr>
            </w:pPr>
            <w:r w:rsidRPr="004710DC">
              <w:rPr>
                <w:lang w:eastAsia="zh-CN"/>
              </w:rPr>
              <w:t>16QAM</w:t>
            </w:r>
          </w:p>
        </w:tc>
        <w:tc>
          <w:tcPr>
            <w:tcW w:w="1077" w:type="dxa"/>
          </w:tcPr>
          <w:p w14:paraId="0ED82A89" w14:textId="77777777" w:rsidR="00241417" w:rsidRPr="004710DC" w:rsidRDefault="00241417" w:rsidP="003A71DE">
            <w:pPr>
              <w:pStyle w:val="TAC"/>
              <w:rPr>
                <w:lang w:eastAsia="zh-CN"/>
              </w:rPr>
            </w:pPr>
            <w:r w:rsidRPr="004710DC">
              <w:rPr>
                <w:lang w:eastAsia="zh-CN"/>
              </w:rPr>
              <w:t>16QAM</w:t>
            </w:r>
          </w:p>
        </w:tc>
        <w:tc>
          <w:tcPr>
            <w:tcW w:w="1076" w:type="dxa"/>
          </w:tcPr>
          <w:p w14:paraId="15E47767" w14:textId="77777777" w:rsidR="00241417" w:rsidRPr="004710DC" w:rsidRDefault="00241417" w:rsidP="003A71DE">
            <w:pPr>
              <w:pStyle w:val="TAC"/>
              <w:rPr>
                <w:lang w:eastAsia="zh-CN"/>
              </w:rPr>
            </w:pPr>
            <w:r w:rsidRPr="004710DC">
              <w:rPr>
                <w:lang w:eastAsia="zh-CN"/>
              </w:rPr>
              <w:t>16QAM</w:t>
            </w:r>
          </w:p>
        </w:tc>
        <w:tc>
          <w:tcPr>
            <w:tcW w:w="1077" w:type="dxa"/>
          </w:tcPr>
          <w:p w14:paraId="78C575A5" w14:textId="77777777" w:rsidR="00241417" w:rsidRPr="004710DC" w:rsidRDefault="00241417" w:rsidP="003A71DE">
            <w:pPr>
              <w:pStyle w:val="TAC"/>
              <w:rPr>
                <w:lang w:eastAsia="zh-CN"/>
              </w:rPr>
            </w:pPr>
            <w:r w:rsidRPr="004710DC">
              <w:rPr>
                <w:lang w:eastAsia="zh-CN"/>
              </w:rPr>
              <w:t>16QAM</w:t>
            </w:r>
          </w:p>
        </w:tc>
        <w:tc>
          <w:tcPr>
            <w:tcW w:w="1077" w:type="dxa"/>
          </w:tcPr>
          <w:p w14:paraId="4A3F22DE" w14:textId="77777777" w:rsidR="00241417" w:rsidRPr="004710DC" w:rsidRDefault="00241417" w:rsidP="003A71DE">
            <w:pPr>
              <w:pStyle w:val="TAC"/>
              <w:rPr>
                <w:lang w:eastAsia="zh-CN"/>
              </w:rPr>
            </w:pPr>
            <w:r w:rsidRPr="004710DC">
              <w:rPr>
                <w:lang w:eastAsia="zh-CN"/>
              </w:rPr>
              <w:t>16QAM</w:t>
            </w:r>
          </w:p>
        </w:tc>
      </w:tr>
      <w:tr w:rsidR="00241417" w:rsidRPr="004710DC" w14:paraId="11752B58" w14:textId="77777777" w:rsidTr="003A71DE">
        <w:trPr>
          <w:cantSplit/>
          <w:jc w:val="center"/>
        </w:trPr>
        <w:tc>
          <w:tcPr>
            <w:tcW w:w="3950" w:type="dxa"/>
          </w:tcPr>
          <w:p w14:paraId="18A42939" w14:textId="77777777" w:rsidR="00241417" w:rsidRPr="004710DC" w:rsidRDefault="00241417" w:rsidP="003A71DE">
            <w:pPr>
              <w:pStyle w:val="TAC"/>
            </w:pPr>
            <w:r>
              <w:t>Code Rate</w:t>
            </w:r>
          </w:p>
        </w:tc>
        <w:tc>
          <w:tcPr>
            <w:tcW w:w="1076" w:type="dxa"/>
          </w:tcPr>
          <w:p w14:paraId="6CCE33AA" w14:textId="77777777" w:rsidR="00241417" w:rsidRPr="004710DC" w:rsidRDefault="00241417" w:rsidP="003A71DE">
            <w:pPr>
              <w:pStyle w:val="TAC"/>
              <w:rPr>
                <w:lang w:eastAsia="zh-CN"/>
              </w:rPr>
            </w:pPr>
            <w:r w:rsidRPr="004710DC">
              <w:t>658/1024</w:t>
            </w:r>
          </w:p>
        </w:tc>
        <w:tc>
          <w:tcPr>
            <w:tcW w:w="1077" w:type="dxa"/>
          </w:tcPr>
          <w:p w14:paraId="3DA0F74B" w14:textId="77777777" w:rsidR="00241417" w:rsidRPr="004710DC" w:rsidRDefault="00241417" w:rsidP="003A71DE">
            <w:pPr>
              <w:pStyle w:val="TAC"/>
              <w:rPr>
                <w:lang w:eastAsia="zh-CN"/>
              </w:rPr>
            </w:pPr>
            <w:r w:rsidRPr="004710DC">
              <w:t>658/1024</w:t>
            </w:r>
          </w:p>
        </w:tc>
        <w:tc>
          <w:tcPr>
            <w:tcW w:w="1076" w:type="dxa"/>
          </w:tcPr>
          <w:p w14:paraId="633BDFDF" w14:textId="77777777" w:rsidR="00241417" w:rsidRPr="004710DC" w:rsidRDefault="00241417" w:rsidP="003A71DE">
            <w:pPr>
              <w:pStyle w:val="TAC"/>
              <w:rPr>
                <w:lang w:eastAsia="zh-CN"/>
              </w:rPr>
            </w:pPr>
            <w:r w:rsidRPr="004710DC">
              <w:t>658/1024</w:t>
            </w:r>
          </w:p>
        </w:tc>
        <w:tc>
          <w:tcPr>
            <w:tcW w:w="1077" w:type="dxa"/>
          </w:tcPr>
          <w:p w14:paraId="0B084FDF" w14:textId="77777777" w:rsidR="00241417" w:rsidRPr="004710DC" w:rsidRDefault="00241417" w:rsidP="003A71DE">
            <w:pPr>
              <w:pStyle w:val="TAC"/>
              <w:rPr>
                <w:lang w:eastAsia="zh-CN"/>
              </w:rPr>
            </w:pPr>
            <w:r w:rsidRPr="004710DC">
              <w:t>658/1024</w:t>
            </w:r>
          </w:p>
        </w:tc>
        <w:tc>
          <w:tcPr>
            <w:tcW w:w="1077" w:type="dxa"/>
          </w:tcPr>
          <w:p w14:paraId="58ECDA07" w14:textId="77777777" w:rsidR="00241417" w:rsidRPr="004710DC" w:rsidRDefault="00241417" w:rsidP="003A71DE">
            <w:pPr>
              <w:pStyle w:val="TAC"/>
              <w:rPr>
                <w:lang w:eastAsia="zh-CN"/>
              </w:rPr>
            </w:pPr>
            <w:r w:rsidRPr="004710DC">
              <w:t>658/1024</w:t>
            </w:r>
          </w:p>
        </w:tc>
      </w:tr>
      <w:tr w:rsidR="00241417" w:rsidRPr="004710DC" w14:paraId="7C9230DB" w14:textId="77777777" w:rsidTr="003A71DE">
        <w:trPr>
          <w:cantSplit/>
          <w:jc w:val="center"/>
        </w:trPr>
        <w:tc>
          <w:tcPr>
            <w:tcW w:w="3950" w:type="dxa"/>
          </w:tcPr>
          <w:p w14:paraId="570C788E" w14:textId="77777777" w:rsidR="00241417" w:rsidRPr="004710DC" w:rsidRDefault="00241417" w:rsidP="003A71DE">
            <w:pPr>
              <w:pStyle w:val="TAC"/>
            </w:pPr>
            <w:r w:rsidRPr="004710DC">
              <w:t>Payload size (bits)</w:t>
            </w:r>
          </w:p>
        </w:tc>
        <w:tc>
          <w:tcPr>
            <w:tcW w:w="1076" w:type="dxa"/>
            <w:vAlign w:val="center"/>
          </w:tcPr>
          <w:p w14:paraId="1479B229" w14:textId="77777777" w:rsidR="00241417" w:rsidRPr="004710DC" w:rsidRDefault="00241417" w:rsidP="003A71DE">
            <w:pPr>
              <w:pStyle w:val="TAC"/>
            </w:pPr>
            <w:r w:rsidRPr="004710DC">
              <w:t>18432</w:t>
            </w:r>
          </w:p>
        </w:tc>
        <w:tc>
          <w:tcPr>
            <w:tcW w:w="1077" w:type="dxa"/>
            <w:vAlign w:val="center"/>
          </w:tcPr>
          <w:p w14:paraId="1BB488D1" w14:textId="77777777" w:rsidR="00241417" w:rsidRPr="004710DC" w:rsidRDefault="00241417" w:rsidP="003A71DE">
            <w:pPr>
              <w:pStyle w:val="TAC"/>
            </w:pPr>
            <w:r w:rsidRPr="004710DC">
              <w:t>36896</w:t>
            </w:r>
          </w:p>
        </w:tc>
        <w:tc>
          <w:tcPr>
            <w:tcW w:w="1076" w:type="dxa"/>
            <w:vAlign w:val="center"/>
          </w:tcPr>
          <w:p w14:paraId="77F17D0F" w14:textId="77777777" w:rsidR="00241417" w:rsidRPr="004710DC" w:rsidRDefault="00241417" w:rsidP="003A71DE">
            <w:pPr>
              <w:pStyle w:val="TAC"/>
            </w:pPr>
            <w:r w:rsidRPr="004710DC">
              <w:t>8968</w:t>
            </w:r>
          </w:p>
        </w:tc>
        <w:tc>
          <w:tcPr>
            <w:tcW w:w="1077" w:type="dxa"/>
            <w:vAlign w:val="center"/>
          </w:tcPr>
          <w:p w14:paraId="06579F11" w14:textId="77777777" w:rsidR="00241417" w:rsidRPr="004710DC" w:rsidRDefault="00241417" w:rsidP="003A71DE">
            <w:pPr>
              <w:pStyle w:val="TAC"/>
            </w:pPr>
            <w:r w:rsidRPr="004710DC">
              <w:t>18432</w:t>
            </w:r>
          </w:p>
        </w:tc>
        <w:tc>
          <w:tcPr>
            <w:tcW w:w="1077" w:type="dxa"/>
            <w:vAlign w:val="center"/>
          </w:tcPr>
          <w:p w14:paraId="6A7DF0F7" w14:textId="77777777" w:rsidR="00241417" w:rsidRPr="004710DC" w:rsidRDefault="00241417" w:rsidP="003A71DE">
            <w:pPr>
              <w:pStyle w:val="TAC"/>
            </w:pPr>
            <w:r w:rsidRPr="004710DC">
              <w:t>36896</w:t>
            </w:r>
          </w:p>
        </w:tc>
      </w:tr>
      <w:tr w:rsidR="00241417" w:rsidRPr="004710DC" w14:paraId="1F9F2C1D" w14:textId="77777777" w:rsidTr="003A71DE">
        <w:trPr>
          <w:cantSplit/>
          <w:jc w:val="center"/>
        </w:trPr>
        <w:tc>
          <w:tcPr>
            <w:tcW w:w="3950" w:type="dxa"/>
          </w:tcPr>
          <w:p w14:paraId="0F694ECD" w14:textId="77777777" w:rsidR="00241417" w:rsidRPr="004710DC" w:rsidRDefault="00241417" w:rsidP="003A71DE">
            <w:pPr>
              <w:pStyle w:val="TAC"/>
            </w:pPr>
            <w:r w:rsidRPr="004710DC">
              <w:t>Transport block CRC (bits)</w:t>
            </w:r>
          </w:p>
        </w:tc>
        <w:tc>
          <w:tcPr>
            <w:tcW w:w="1076" w:type="dxa"/>
          </w:tcPr>
          <w:p w14:paraId="5600D115" w14:textId="77777777" w:rsidR="00241417" w:rsidRPr="004710DC" w:rsidRDefault="00241417" w:rsidP="003A71DE">
            <w:pPr>
              <w:pStyle w:val="TAC"/>
            </w:pPr>
            <w:r w:rsidRPr="004710DC">
              <w:t>24</w:t>
            </w:r>
          </w:p>
        </w:tc>
        <w:tc>
          <w:tcPr>
            <w:tcW w:w="1077" w:type="dxa"/>
          </w:tcPr>
          <w:p w14:paraId="7861FED2" w14:textId="77777777" w:rsidR="00241417" w:rsidRPr="004710DC" w:rsidRDefault="00241417" w:rsidP="003A71DE">
            <w:pPr>
              <w:pStyle w:val="TAC"/>
            </w:pPr>
            <w:r w:rsidRPr="004710DC">
              <w:t>24</w:t>
            </w:r>
          </w:p>
        </w:tc>
        <w:tc>
          <w:tcPr>
            <w:tcW w:w="1076" w:type="dxa"/>
          </w:tcPr>
          <w:p w14:paraId="6279C994" w14:textId="77777777" w:rsidR="00241417" w:rsidRPr="004710DC" w:rsidRDefault="00241417" w:rsidP="003A71DE">
            <w:pPr>
              <w:pStyle w:val="TAC"/>
            </w:pPr>
            <w:r w:rsidRPr="004710DC">
              <w:t>24</w:t>
            </w:r>
          </w:p>
        </w:tc>
        <w:tc>
          <w:tcPr>
            <w:tcW w:w="1077" w:type="dxa"/>
          </w:tcPr>
          <w:p w14:paraId="75372661" w14:textId="77777777" w:rsidR="00241417" w:rsidRPr="004710DC" w:rsidRDefault="00241417" w:rsidP="003A71DE">
            <w:pPr>
              <w:pStyle w:val="TAC"/>
            </w:pPr>
            <w:r w:rsidRPr="004710DC">
              <w:t>24</w:t>
            </w:r>
          </w:p>
        </w:tc>
        <w:tc>
          <w:tcPr>
            <w:tcW w:w="1077" w:type="dxa"/>
          </w:tcPr>
          <w:p w14:paraId="5FC83B7E" w14:textId="77777777" w:rsidR="00241417" w:rsidRPr="004710DC" w:rsidRDefault="00241417" w:rsidP="003A71DE">
            <w:pPr>
              <w:pStyle w:val="TAC"/>
            </w:pPr>
            <w:r w:rsidRPr="004710DC">
              <w:t>24</w:t>
            </w:r>
          </w:p>
        </w:tc>
      </w:tr>
      <w:tr w:rsidR="00241417" w:rsidRPr="004710DC" w14:paraId="60DEA1BF" w14:textId="77777777" w:rsidTr="003A71DE">
        <w:trPr>
          <w:cantSplit/>
          <w:jc w:val="center"/>
        </w:trPr>
        <w:tc>
          <w:tcPr>
            <w:tcW w:w="3950" w:type="dxa"/>
          </w:tcPr>
          <w:p w14:paraId="386C181F" w14:textId="77777777" w:rsidR="00241417" w:rsidRPr="00AD765F" w:rsidRDefault="00241417" w:rsidP="003A71DE">
            <w:pPr>
              <w:pStyle w:val="TAC"/>
            </w:pPr>
            <w:r w:rsidRPr="00AD765F">
              <w:t>Code block CRC size (bits)</w:t>
            </w:r>
          </w:p>
        </w:tc>
        <w:tc>
          <w:tcPr>
            <w:tcW w:w="1076" w:type="dxa"/>
          </w:tcPr>
          <w:p w14:paraId="25E630F5" w14:textId="77777777" w:rsidR="00241417" w:rsidRPr="004710DC" w:rsidRDefault="00241417" w:rsidP="003A71DE">
            <w:pPr>
              <w:pStyle w:val="TAC"/>
            </w:pPr>
            <w:r w:rsidRPr="004710DC">
              <w:t>24</w:t>
            </w:r>
          </w:p>
        </w:tc>
        <w:tc>
          <w:tcPr>
            <w:tcW w:w="1077" w:type="dxa"/>
          </w:tcPr>
          <w:p w14:paraId="0AF0FCBA" w14:textId="77777777" w:rsidR="00241417" w:rsidRPr="004710DC" w:rsidRDefault="00241417" w:rsidP="003A71DE">
            <w:pPr>
              <w:pStyle w:val="TAC"/>
            </w:pPr>
            <w:r w:rsidRPr="004710DC">
              <w:t>24</w:t>
            </w:r>
          </w:p>
        </w:tc>
        <w:tc>
          <w:tcPr>
            <w:tcW w:w="1076" w:type="dxa"/>
          </w:tcPr>
          <w:p w14:paraId="5A1C1741" w14:textId="77777777" w:rsidR="00241417" w:rsidRPr="004710DC" w:rsidRDefault="00241417" w:rsidP="003A71DE">
            <w:pPr>
              <w:pStyle w:val="TAC"/>
            </w:pPr>
            <w:r w:rsidRPr="004710DC">
              <w:t>24</w:t>
            </w:r>
          </w:p>
        </w:tc>
        <w:tc>
          <w:tcPr>
            <w:tcW w:w="1077" w:type="dxa"/>
          </w:tcPr>
          <w:p w14:paraId="02B4EE7C" w14:textId="77777777" w:rsidR="00241417" w:rsidRPr="004710DC" w:rsidRDefault="00241417" w:rsidP="003A71DE">
            <w:pPr>
              <w:pStyle w:val="TAC"/>
            </w:pPr>
            <w:r w:rsidRPr="004710DC">
              <w:t>24</w:t>
            </w:r>
          </w:p>
        </w:tc>
        <w:tc>
          <w:tcPr>
            <w:tcW w:w="1077" w:type="dxa"/>
          </w:tcPr>
          <w:p w14:paraId="722DC4AA" w14:textId="77777777" w:rsidR="00241417" w:rsidRPr="004710DC" w:rsidRDefault="00241417" w:rsidP="003A71DE">
            <w:pPr>
              <w:pStyle w:val="TAC"/>
            </w:pPr>
            <w:r w:rsidRPr="004710DC">
              <w:t>24</w:t>
            </w:r>
          </w:p>
        </w:tc>
      </w:tr>
      <w:tr w:rsidR="00241417" w:rsidRPr="004710DC" w14:paraId="2EDF71B2" w14:textId="77777777" w:rsidTr="003A71DE">
        <w:trPr>
          <w:cantSplit/>
          <w:jc w:val="center"/>
        </w:trPr>
        <w:tc>
          <w:tcPr>
            <w:tcW w:w="3950" w:type="dxa"/>
          </w:tcPr>
          <w:p w14:paraId="57F01432" w14:textId="77777777" w:rsidR="00241417" w:rsidRPr="00AD765F" w:rsidRDefault="00241417" w:rsidP="003A71DE">
            <w:pPr>
              <w:pStyle w:val="TAC"/>
            </w:pPr>
            <w:r w:rsidRPr="00AD765F">
              <w:t>Number of code blocks - C</w:t>
            </w:r>
          </w:p>
        </w:tc>
        <w:tc>
          <w:tcPr>
            <w:tcW w:w="1076" w:type="dxa"/>
            <w:vAlign w:val="center"/>
          </w:tcPr>
          <w:p w14:paraId="3043AD03" w14:textId="77777777" w:rsidR="00241417" w:rsidRPr="004710DC" w:rsidRDefault="00241417" w:rsidP="003A71DE">
            <w:pPr>
              <w:pStyle w:val="TAC"/>
            </w:pPr>
            <w:r w:rsidRPr="004710DC">
              <w:t>3</w:t>
            </w:r>
          </w:p>
        </w:tc>
        <w:tc>
          <w:tcPr>
            <w:tcW w:w="1077" w:type="dxa"/>
            <w:vAlign w:val="center"/>
          </w:tcPr>
          <w:p w14:paraId="2F5126AE" w14:textId="77777777" w:rsidR="00241417" w:rsidRPr="004710DC" w:rsidRDefault="00241417" w:rsidP="003A71DE">
            <w:pPr>
              <w:pStyle w:val="TAC"/>
            </w:pPr>
            <w:r w:rsidRPr="004710DC">
              <w:t>5</w:t>
            </w:r>
          </w:p>
        </w:tc>
        <w:tc>
          <w:tcPr>
            <w:tcW w:w="1076" w:type="dxa"/>
          </w:tcPr>
          <w:p w14:paraId="5745ABD7" w14:textId="77777777" w:rsidR="00241417" w:rsidRPr="004710DC" w:rsidRDefault="00241417" w:rsidP="003A71DE">
            <w:pPr>
              <w:pStyle w:val="TAC"/>
            </w:pPr>
            <w:r w:rsidRPr="004710DC">
              <w:t>2</w:t>
            </w:r>
          </w:p>
        </w:tc>
        <w:tc>
          <w:tcPr>
            <w:tcW w:w="1077" w:type="dxa"/>
            <w:vAlign w:val="center"/>
          </w:tcPr>
          <w:p w14:paraId="26DE2DA6" w14:textId="77777777" w:rsidR="00241417" w:rsidRPr="004710DC" w:rsidRDefault="00241417" w:rsidP="003A71DE">
            <w:pPr>
              <w:pStyle w:val="TAC"/>
            </w:pPr>
            <w:r w:rsidRPr="004710DC">
              <w:t>3</w:t>
            </w:r>
          </w:p>
        </w:tc>
        <w:tc>
          <w:tcPr>
            <w:tcW w:w="1077" w:type="dxa"/>
            <w:vAlign w:val="center"/>
          </w:tcPr>
          <w:p w14:paraId="348A0B47" w14:textId="77777777" w:rsidR="00241417" w:rsidRPr="004710DC" w:rsidRDefault="00241417" w:rsidP="003A71DE">
            <w:pPr>
              <w:pStyle w:val="TAC"/>
            </w:pPr>
            <w:r w:rsidRPr="004710DC">
              <w:t>5</w:t>
            </w:r>
          </w:p>
        </w:tc>
      </w:tr>
      <w:tr w:rsidR="00241417" w:rsidRPr="004710DC" w14:paraId="1DCAC600" w14:textId="77777777" w:rsidTr="003A71DE">
        <w:trPr>
          <w:cantSplit/>
          <w:jc w:val="center"/>
        </w:trPr>
        <w:tc>
          <w:tcPr>
            <w:tcW w:w="3950" w:type="dxa"/>
          </w:tcPr>
          <w:p w14:paraId="4D197768"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65069E08" w14:textId="77777777" w:rsidR="00241417" w:rsidRPr="004710DC" w:rsidRDefault="00241417" w:rsidP="003A71DE">
            <w:pPr>
              <w:pStyle w:val="TAC"/>
            </w:pPr>
            <w:r w:rsidRPr="004710DC">
              <w:rPr>
                <w:lang w:eastAsia="zh-CN"/>
              </w:rPr>
              <w:t>6176</w:t>
            </w:r>
          </w:p>
        </w:tc>
        <w:tc>
          <w:tcPr>
            <w:tcW w:w="1077" w:type="dxa"/>
            <w:vAlign w:val="center"/>
          </w:tcPr>
          <w:p w14:paraId="49E97D29" w14:textId="77777777" w:rsidR="00241417" w:rsidRPr="004710DC" w:rsidRDefault="00241417" w:rsidP="003A71DE">
            <w:pPr>
              <w:pStyle w:val="TAC"/>
            </w:pPr>
            <w:r w:rsidRPr="004710DC">
              <w:rPr>
                <w:lang w:eastAsia="zh-CN"/>
              </w:rPr>
              <w:t>7408</w:t>
            </w:r>
          </w:p>
        </w:tc>
        <w:tc>
          <w:tcPr>
            <w:tcW w:w="1076" w:type="dxa"/>
            <w:vAlign w:val="center"/>
          </w:tcPr>
          <w:p w14:paraId="1D736916" w14:textId="77777777" w:rsidR="00241417" w:rsidRPr="004710DC" w:rsidRDefault="00241417" w:rsidP="003A71DE">
            <w:pPr>
              <w:pStyle w:val="TAC"/>
            </w:pPr>
            <w:r w:rsidRPr="004710DC">
              <w:rPr>
                <w:lang w:eastAsia="zh-CN"/>
              </w:rPr>
              <w:t>4520</w:t>
            </w:r>
          </w:p>
        </w:tc>
        <w:tc>
          <w:tcPr>
            <w:tcW w:w="1077" w:type="dxa"/>
            <w:vAlign w:val="center"/>
          </w:tcPr>
          <w:p w14:paraId="6F9326A3" w14:textId="77777777" w:rsidR="00241417" w:rsidRPr="004710DC" w:rsidRDefault="00241417" w:rsidP="003A71DE">
            <w:pPr>
              <w:pStyle w:val="TAC"/>
            </w:pPr>
            <w:r w:rsidRPr="004710DC">
              <w:rPr>
                <w:lang w:eastAsia="zh-CN"/>
              </w:rPr>
              <w:t>6176</w:t>
            </w:r>
          </w:p>
        </w:tc>
        <w:tc>
          <w:tcPr>
            <w:tcW w:w="1077" w:type="dxa"/>
            <w:vAlign w:val="center"/>
          </w:tcPr>
          <w:p w14:paraId="7B3E3D83" w14:textId="77777777" w:rsidR="00241417" w:rsidRPr="004710DC" w:rsidRDefault="00241417" w:rsidP="003A71DE">
            <w:pPr>
              <w:pStyle w:val="TAC"/>
            </w:pPr>
            <w:r w:rsidRPr="004710DC">
              <w:rPr>
                <w:lang w:eastAsia="zh-CN"/>
              </w:rPr>
              <w:t>7408</w:t>
            </w:r>
          </w:p>
        </w:tc>
      </w:tr>
      <w:tr w:rsidR="00241417" w:rsidRPr="004710DC" w14:paraId="7FD0FA21" w14:textId="77777777" w:rsidTr="003A71DE">
        <w:trPr>
          <w:cantSplit/>
          <w:jc w:val="center"/>
        </w:trPr>
        <w:tc>
          <w:tcPr>
            <w:tcW w:w="3950" w:type="dxa"/>
          </w:tcPr>
          <w:p w14:paraId="071AA7C6"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24A30C21" w14:textId="77777777" w:rsidR="00241417" w:rsidRPr="004710DC" w:rsidRDefault="00241417" w:rsidP="003A71DE">
            <w:pPr>
              <w:pStyle w:val="TAC"/>
            </w:pPr>
            <w:r w:rsidRPr="004710DC">
              <w:t>28512</w:t>
            </w:r>
          </w:p>
        </w:tc>
        <w:tc>
          <w:tcPr>
            <w:tcW w:w="1077" w:type="dxa"/>
            <w:vAlign w:val="center"/>
          </w:tcPr>
          <w:p w14:paraId="1E15267B" w14:textId="77777777" w:rsidR="00241417" w:rsidRPr="004710DC" w:rsidRDefault="00241417" w:rsidP="003A71DE">
            <w:pPr>
              <w:pStyle w:val="TAC"/>
            </w:pPr>
            <w:r w:rsidRPr="004710DC">
              <w:t>57024</w:t>
            </w:r>
          </w:p>
        </w:tc>
        <w:tc>
          <w:tcPr>
            <w:tcW w:w="1076" w:type="dxa"/>
            <w:vAlign w:val="center"/>
          </w:tcPr>
          <w:p w14:paraId="2C720404" w14:textId="77777777" w:rsidR="00241417" w:rsidRPr="004710DC" w:rsidRDefault="00241417" w:rsidP="003A71DE">
            <w:pPr>
              <w:pStyle w:val="TAC"/>
            </w:pPr>
            <w:r w:rsidRPr="004710DC">
              <w:t>13824</w:t>
            </w:r>
          </w:p>
        </w:tc>
        <w:tc>
          <w:tcPr>
            <w:tcW w:w="1077" w:type="dxa"/>
            <w:vAlign w:val="center"/>
          </w:tcPr>
          <w:p w14:paraId="2D10E44C" w14:textId="77777777" w:rsidR="00241417" w:rsidRPr="004710DC" w:rsidRDefault="00241417" w:rsidP="003A71DE">
            <w:pPr>
              <w:pStyle w:val="TAC"/>
            </w:pPr>
            <w:r w:rsidRPr="004710DC">
              <w:t>28512</w:t>
            </w:r>
          </w:p>
        </w:tc>
        <w:tc>
          <w:tcPr>
            <w:tcW w:w="1077" w:type="dxa"/>
            <w:vAlign w:val="center"/>
          </w:tcPr>
          <w:p w14:paraId="7C12FF16" w14:textId="77777777" w:rsidR="00241417" w:rsidRPr="004710DC" w:rsidRDefault="00241417" w:rsidP="003A71DE">
            <w:pPr>
              <w:pStyle w:val="TAC"/>
            </w:pPr>
            <w:r w:rsidRPr="004710DC">
              <w:t>57024</w:t>
            </w:r>
          </w:p>
        </w:tc>
      </w:tr>
      <w:tr w:rsidR="00241417" w:rsidRPr="004710DC" w14:paraId="7D559C14" w14:textId="77777777" w:rsidTr="003A71DE">
        <w:trPr>
          <w:cantSplit/>
          <w:jc w:val="center"/>
        </w:trPr>
        <w:tc>
          <w:tcPr>
            <w:tcW w:w="3950" w:type="dxa"/>
          </w:tcPr>
          <w:p w14:paraId="0F18D008"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vAlign w:val="center"/>
          </w:tcPr>
          <w:p w14:paraId="45F1891D" w14:textId="77777777" w:rsidR="00241417" w:rsidRPr="004710DC" w:rsidRDefault="00241417" w:rsidP="003A71DE">
            <w:pPr>
              <w:pStyle w:val="TAC"/>
            </w:pPr>
            <w:r w:rsidRPr="004710DC">
              <w:t>7128</w:t>
            </w:r>
          </w:p>
        </w:tc>
        <w:tc>
          <w:tcPr>
            <w:tcW w:w="1077" w:type="dxa"/>
            <w:vAlign w:val="center"/>
          </w:tcPr>
          <w:p w14:paraId="5E25FEF1" w14:textId="77777777" w:rsidR="00241417" w:rsidRPr="004710DC" w:rsidRDefault="00241417" w:rsidP="003A71DE">
            <w:pPr>
              <w:pStyle w:val="TAC"/>
            </w:pPr>
            <w:r w:rsidRPr="004710DC">
              <w:t>14256</w:t>
            </w:r>
          </w:p>
        </w:tc>
        <w:tc>
          <w:tcPr>
            <w:tcW w:w="1076" w:type="dxa"/>
            <w:vAlign w:val="center"/>
          </w:tcPr>
          <w:p w14:paraId="72B2427B" w14:textId="77777777" w:rsidR="00241417" w:rsidRPr="004710DC" w:rsidRDefault="00241417" w:rsidP="003A71DE">
            <w:pPr>
              <w:pStyle w:val="TAC"/>
            </w:pPr>
            <w:r w:rsidRPr="004710DC">
              <w:t>3456</w:t>
            </w:r>
          </w:p>
        </w:tc>
        <w:tc>
          <w:tcPr>
            <w:tcW w:w="1077" w:type="dxa"/>
            <w:vAlign w:val="center"/>
          </w:tcPr>
          <w:p w14:paraId="3BAD6E35" w14:textId="77777777" w:rsidR="00241417" w:rsidRPr="004710DC" w:rsidRDefault="00241417" w:rsidP="003A71DE">
            <w:pPr>
              <w:pStyle w:val="TAC"/>
            </w:pPr>
            <w:r w:rsidRPr="004710DC">
              <w:t>7128</w:t>
            </w:r>
          </w:p>
        </w:tc>
        <w:tc>
          <w:tcPr>
            <w:tcW w:w="1077" w:type="dxa"/>
            <w:vAlign w:val="center"/>
          </w:tcPr>
          <w:p w14:paraId="0769B51C" w14:textId="77777777" w:rsidR="00241417" w:rsidRPr="004710DC" w:rsidRDefault="00241417" w:rsidP="003A71DE">
            <w:pPr>
              <w:pStyle w:val="TAC"/>
            </w:pPr>
            <w:r w:rsidRPr="004710DC">
              <w:t>14256</w:t>
            </w:r>
          </w:p>
        </w:tc>
      </w:tr>
      <w:tr w:rsidR="00241417" w:rsidRPr="00AD765F" w14:paraId="04D7E020" w14:textId="77777777" w:rsidTr="003A71DE">
        <w:trPr>
          <w:cantSplit/>
          <w:jc w:val="center"/>
        </w:trPr>
        <w:tc>
          <w:tcPr>
            <w:tcW w:w="9333" w:type="dxa"/>
            <w:gridSpan w:val="6"/>
          </w:tcPr>
          <w:p w14:paraId="5851B236"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pos0</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as per Table 6.4.1.1.3-3 of TS 38.211 [8].</w:t>
            </w:r>
          </w:p>
          <w:p w14:paraId="512EA0B3"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w:t>
            </w:r>
            <w:r w:rsidRPr="00AD765F">
              <w:rPr>
                <w:lang w:eastAsia="zh-CN"/>
              </w:rPr>
              <w:t xml:space="preserve"> 5.2.2 of TS 38.212 [9].</w:t>
            </w:r>
          </w:p>
        </w:tc>
      </w:tr>
    </w:tbl>
    <w:p w14:paraId="68BDF115" w14:textId="77777777" w:rsidR="00241417" w:rsidRPr="00AD765F" w:rsidRDefault="00241417" w:rsidP="00241417">
      <w:pPr>
        <w:rPr>
          <w:lang w:eastAsia="zh-CN"/>
        </w:rPr>
      </w:pPr>
    </w:p>
    <w:p w14:paraId="59D69B14" w14:textId="77777777" w:rsidR="00241417" w:rsidRPr="00AD765F" w:rsidRDefault="00241417" w:rsidP="00241417">
      <w:pPr>
        <w:pStyle w:val="TH"/>
        <w:rPr>
          <w:lang w:eastAsia="zh-CN"/>
        </w:rPr>
      </w:pPr>
      <w:r w:rsidRPr="00AD765F">
        <w:rPr>
          <w:rFonts w:eastAsia="Malgun Gothic"/>
        </w:rPr>
        <w:t>Table A.2.</w:t>
      </w:r>
      <w:r w:rsidRPr="00AD765F">
        <w:rPr>
          <w:lang w:eastAsia="zh-CN"/>
        </w:rPr>
        <w:t>3</w:t>
      </w:r>
      <w:r w:rsidRPr="00AD765F">
        <w:rPr>
          <w:rFonts w:eastAsia="Malgun Gothic"/>
        </w:rPr>
        <w:t>-</w:t>
      </w:r>
      <w:r w:rsidRPr="00AD765F">
        <w:rPr>
          <w:lang w:eastAsia="zh-CN"/>
        </w:rPr>
        <w:t>4</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pos0</w:t>
      </w:r>
      <w:r w:rsidRPr="00AD765F">
        <w:rPr>
          <w:lang w:eastAsia="zh-CN"/>
        </w:rPr>
        <w:t xml:space="preserve"> and 2 transmission layers</w:t>
      </w:r>
      <w:r w:rsidRPr="00AD765F">
        <w:rPr>
          <w:rFonts w:eastAsia="Malgun Gothic"/>
        </w:rPr>
        <w:t xml:space="preserve"> (</w:t>
      </w:r>
      <w:r w:rsidRPr="00AD765F">
        <w:rPr>
          <w:lang w:eastAsia="zh-CN"/>
        </w:rPr>
        <w:t>16QAM</w:t>
      </w:r>
      <w:r w:rsidRPr="00AD765F">
        <w:rPr>
          <w:rFonts w:eastAsia="Malgun Gothic"/>
        </w:rPr>
        <w:t>, R=658/1024)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0ED37342" w14:textId="77777777" w:rsidTr="003A71DE">
        <w:trPr>
          <w:cantSplit/>
          <w:jc w:val="center"/>
        </w:trPr>
        <w:tc>
          <w:tcPr>
            <w:tcW w:w="3950" w:type="dxa"/>
          </w:tcPr>
          <w:p w14:paraId="1908300D" w14:textId="77777777" w:rsidR="00241417" w:rsidRPr="004710DC" w:rsidRDefault="00241417" w:rsidP="003A71DE">
            <w:pPr>
              <w:pStyle w:val="TAH"/>
            </w:pPr>
            <w:r w:rsidRPr="004710DC">
              <w:t>Reference channel</w:t>
            </w:r>
          </w:p>
        </w:tc>
        <w:tc>
          <w:tcPr>
            <w:tcW w:w="1076" w:type="dxa"/>
          </w:tcPr>
          <w:p w14:paraId="6A2817C5" w14:textId="010EB8AB" w:rsidR="00241417" w:rsidRPr="004710DC" w:rsidRDefault="00241417" w:rsidP="003A71DE">
            <w:pPr>
              <w:pStyle w:val="TAH"/>
            </w:pPr>
            <w:r>
              <w:rPr>
                <w:lang w:eastAsia="zh-CN"/>
              </w:rPr>
              <w:t>D-FR2-A.2.3</w:t>
            </w:r>
            <w:r w:rsidRPr="004710DC">
              <w:rPr>
                <w:lang w:eastAsia="zh-CN"/>
              </w:rPr>
              <w:t>-6</w:t>
            </w:r>
          </w:p>
        </w:tc>
        <w:tc>
          <w:tcPr>
            <w:tcW w:w="1077" w:type="dxa"/>
          </w:tcPr>
          <w:p w14:paraId="1F24D17C" w14:textId="2CCF3258" w:rsidR="00241417" w:rsidRPr="004710DC" w:rsidRDefault="00241417" w:rsidP="003A71DE">
            <w:pPr>
              <w:pStyle w:val="TAH"/>
            </w:pPr>
            <w:r>
              <w:rPr>
                <w:lang w:eastAsia="zh-CN"/>
              </w:rPr>
              <w:t>D-FR2-A.2.3</w:t>
            </w:r>
            <w:r w:rsidRPr="004710DC">
              <w:rPr>
                <w:lang w:eastAsia="zh-CN"/>
              </w:rPr>
              <w:t>-7</w:t>
            </w:r>
          </w:p>
        </w:tc>
        <w:tc>
          <w:tcPr>
            <w:tcW w:w="1076" w:type="dxa"/>
          </w:tcPr>
          <w:p w14:paraId="6285519E" w14:textId="23CB129E" w:rsidR="00241417" w:rsidRPr="004710DC" w:rsidRDefault="00241417" w:rsidP="003A71DE">
            <w:pPr>
              <w:pStyle w:val="TAH"/>
            </w:pPr>
            <w:r>
              <w:rPr>
                <w:lang w:eastAsia="zh-CN"/>
              </w:rPr>
              <w:t>D-FR2-A.2.3</w:t>
            </w:r>
            <w:r w:rsidRPr="004710DC">
              <w:rPr>
                <w:lang w:eastAsia="zh-CN"/>
              </w:rPr>
              <w:t>-8</w:t>
            </w:r>
          </w:p>
        </w:tc>
        <w:tc>
          <w:tcPr>
            <w:tcW w:w="1077" w:type="dxa"/>
          </w:tcPr>
          <w:p w14:paraId="2F9916DB" w14:textId="409602AA" w:rsidR="00241417" w:rsidRPr="004710DC" w:rsidRDefault="00241417" w:rsidP="003A71DE">
            <w:pPr>
              <w:pStyle w:val="TAH"/>
            </w:pPr>
            <w:r>
              <w:rPr>
                <w:lang w:eastAsia="zh-CN"/>
              </w:rPr>
              <w:t>D-FR2-A.2.3</w:t>
            </w:r>
            <w:r w:rsidRPr="004710DC">
              <w:rPr>
                <w:lang w:eastAsia="zh-CN"/>
              </w:rPr>
              <w:t>-9</w:t>
            </w:r>
          </w:p>
        </w:tc>
        <w:tc>
          <w:tcPr>
            <w:tcW w:w="1077" w:type="dxa"/>
          </w:tcPr>
          <w:p w14:paraId="1F0E9E16" w14:textId="55F10BFC" w:rsidR="00241417" w:rsidRPr="004710DC" w:rsidRDefault="00241417" w:rsidP="003A71DE">
            <w:pPr>
              <w:pStyle w:val="TAH"/>
            </w:pPr>
            <w:r>
              <w:rPr>
                <w:lang w:eastAsia="zh-CN"/>
              </w:rPr>
              <w:t>D-FR2-A.2.3</w:t>
            </w:r>
            <w:r w:rsidRPr="004710DC">
              <w:rPr>
                <w:lang w:eastAsia="zh-CN"/>
              </w:rPr>
              <w:t>-10</w:t>
            </w:r>
          </w:p>
        </w:tc>
      </w:tr>
      <w:tr w:rsidR="00241417" w:rsidRPr="004710DC" w14:paraId="34DBD21A" w14:textId="77777777" w:rsidTr="003A71DE">
        <w:trPr>
          <w:cantSplit/>
          <w:jc w:val="center"/>
        </w:trPr>
        <w:tc>
          <w:tcPr>
            <w:tcW w:w="3950" w:type="dxa"/>
          </w:tcPr>
          <w:p w14:paraId="60F96678"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5ADCEBF9" w14:textId="77777777" w:rsidR="00241417" w:rsidRPr="004710DC" w:rsidRDefault="00241417" w:rsidP="003A71DE">
            <w:pPr>
              <w:pStyle w:val="TAC"/>
              <w:rPr>
                <w:lang w:eastAsia="zh-CN"/>
              </w:rPr>
            </w:pPr>
            <w:r w:rsidRPr="004710DC">
              <w:rPr>
                <w:lang w:eastAsia="zh-CN"/>
              </w:rPr>
              <w:t>60</w:t>
            </w:r>
          </w:p>
        </w:tc>
        <w:tc>
          <w:tcPr>
            <w:tcW w:w="1077" w:type="dxa"/>
          </w:tcPr>
          <w:p w14:paraId="68559C40" w14:textId="77777777" w:rsidR="00241417" w:rsidRPr="004710DC" w:rsidRDefault="00241417" w:rsidP="003A71DE">
            <w:pPr>
              <w:pStyle w:val="TAC"/>
            </w:pPr>
            <w:r w:rsidRPr="004710DC">
              <w:rPr>
                <w:lang w:eastAsia="zh-CN"/>
              </w:rPr>
              <w:t>60</w:t>
            </w:r>
          </w:p>
        </w:tc>
        <w:tc>
          <w:tcPr>
            <w:tcW w:w="1076" w:type="dxa"/>
          </w:tcPr>
          <w:p w14:paraId="37583990" w14:textId="77777777" w:rsidR="00241417" w:rsidRPr="004710DC" w:rsidRDefault="00241417" w:rsidP="003A71DE">
            <w:pPr>
              <w:pStyle w:val="TAC"/>
            </w:pPr>
            <w:r w:rsidRPr="004710DC">
              <w:rPr>
                <w:lang w:eastAsia="zh-CN"/>
              </w:rPr>
              <w:t>120</w:t>
            </w:r>
          </w:p>
        </w:tc>
        <w:tc>
          <w:tcPr>
            <w:tcW w:w="1077" w:type="dxa"/>
          </w:tcPr>
          <w:p w14:paraId="4EA51BE2" w14:textId="77777777" w:rsidR="00241417" w:rsidRPr="004710DC" w:rsidRDefault="00241417" w:rsidP="003A71DE">
            <w:pPr>
              <w:pStyle w:val="TAC"/>
            </w:pPr>
            <w:r w:rsidRPr="004710DC">
              <w:rPr>
                <w:lang w:eastAsia="zh-CN"/>
              </w:rPr>
              <w:t>120</w:t>
            </w:r>
          </w:p>
        </w:tc>
        <w:tc>
          <w:tcPr>
            <w:tcW w:w="1077" w:type="dxa"/>
          </w:tcPr>
          <w:p w14:paraId="2F2B8D63" w14:textId="77777777" w:rsidR="00241417" w:rsidRPr="004710DC" w:rsidRDefault="00241417" w:rsidP="003A71DE">
            <w:pPr>
              <w:pStyle w:val="TAC"/>
            </w:pPr>
            <w:r w:rsidRPr="004710DC">
              <w:rPr>
                <w:lang w:eastAsia="zh-CN"/>
              </w:rPr>
              <w:t>120</w:t>
            </w:r>
          </w:p>
        </w:tc>
      </w:tr>
      <w:tr w:rsidR="00241417" w:rsidRPr="004710DC" w14:paraId="2785DB58" w14:textId="77777777" w:rsidTr="003A71DE">
        <w:trPr>
          <w:cantSplit/>
          <w:jc w:val="center"/>
        </w:trPr>
        <w:tc>
          <w:tcPr>
            <w:tcW w:w="3950" w:type="dxa"/>
          </w:tcPr>
          <w:p w14:paraId="7017FFB1" w14:textId="77777777" w:rsidR="00241417" w:rsidRPr="004710DC" w:rsidRDefault="00241417" w:rsidP="003A71DE">
            <w:pPr>
              <w:pStyle w:val="TAC"/>
            </w:pPr>
            <w:r w:rsidRPr="004710DC">
              <w:t>Allocated resource blocks</w:t>
            </w:r>
          </w:p>
        </w:tc>
        <w:tc>
          <w:tcPr>
            <w:tcW w:w="1076" w:type="dxa"/>
          </w:tcPr>
          <w:p w14:paraId="63B917BE" w14:textId="77777777" w:rsidR="00241417" w:rsidRPr="004710DC" w:rsidRDefault="00241417" w:rsidP="003A71DE">
            <w:pPr>
              <w:pStyle w:val="TAC"/>
            </w:pPr>
            <w:r w:rsidRPr="004710DC">
              <w:t>66</w:t>
            </w:r>
          </w:p>
        </w:tc>
        <w:tc>
          <w:tcPr>
            <w:tcW w:w="1077" w:type="dxa"/>
          </w:tcPr>
          <w:p w14:paraId="4ED0CA56" w14:textId="77777777" w:rsidR="00241417" w:rsidRPr="004710DC" w:rsidRDefault="00241417" w:rsidP="003A71DE">
            <w:pPr>
              <w:pStyle w:val="TAC"/>
            </w:pPr>
            <w:r w:rsidRPr="004710DC">
              <w:t>132</w:t>
            </w:r>
          </w:p>
        </w:tc>
        <w:tc>
          <w:tcPr>
            <w:tcW w:w="1076" w:type="dxa"/>
          </w:tcPr>
          <w:p w14:paraId="3AEF17D0" w14:textId="77777777" w:rsidR="00241417" w:rsidRPr="004710DC" w:rsidRDefault="00241417" w:rsidP="003A71DE">
            <w:pPr>
              <w:pStyle w:val="TAC"/>
            </w:pPr>
            <w:r w:rsidRPr="004710DC">
              <w:t>32</w:t>
            </w:r>
          </w:p>
        </w:tc>
        <w:tc>
          <w:tcPr>
            <w:tcW w:w="1077" w:type="dxa"/>
          </w:tcPr>
          <w:p w14:paraId="017166D9" w14:textId="77777777" w:rsidR="00241417" w:rsidRPr="004710DC" w:rsidRDefault="00241417" w:rsidP="003A71DE">
            <w:pPr>
              <w:pStyle w:val="TAC"/>
            </w:pPr>
            <w:r w:rsidRPr="004710DC">
              <w:t>66</w:t>
            </w:r>
          </w:p>
        </w:tc>
        <w:tc>
          <w:tcPr>
            <w:tcW w:w="1077" w:type="dxa"/>
          </w:tcPr>
          <w:p w14:paraId="768355F7" w14:textId="77777777" w:rsidR="00241417" w:rsidRPr="004710DC" w:rsidRDefault="00241417" w:rsidP="003A71DE">
            <w:pPr>
              <w:pStyle w:val="TAC"/>
            </w:pPr>
            <w:r w:rsidRPr="004710DC">
              <w:t>132</w:t>
            </w:r>
          </w:p>
        </w:tc>
      </w:tr>
      <w:tr w:rsidR="00241417" w:rsidRPr="004710DC" w14:paraId="25CE77AB" w14:textId="77777777" w:rsidTr="003A71DE">
        <w:trPr>
          <w:cantSplit/>
          <w:jc w:val="center"/>
        </w:trPr>
        <w:tc>
          <w:tcPr>
            <w:tcW w:w="3950" w:type="dxa"/>
          </w:tcPr>
          <w:p w14:paraId="553C92AA"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0FD3597B" w14:textId="77777777" w:rsidR="00241417" w:rsidRPr="004710DC" w:rsidRDefault="00241417" w:rsidP="003A71DE">
            <w:pPr>
              <w:pStyle w:val="TAC"/>
              <w:rPr>
                <w:lang w:eastAsia="zh-CN"/>
              </w:rPr>
            </w:pPr>
            <w:r w:rsidRPr="004710DC">
              <w:rPr>
                <w:lang w:eastAsia="zh-CN"/>
              </w:rPr>
              <w:t>9</w:t>
            </w:r>
          </w:p>
        </w:tc>
        <w:tc>
          <w:tcPr>
            <w:tcW w:w="1077" w:type="dxa"/>
          </w:tcPr>
          <w:p w14:paraId="3A1C6F5E" w14:textId="77777777" w:rsidR="00241417" w:rsidRPr="004710DC" w:rsidRDefault="00241417" w:rsidP="003A71DE">
            <w:pPr>
              <w:pStyle w:val="TAC"/>
              <w:rPr>
                <w:lang w:eastAsia="zh-CN"/>
              </w:rPr>
            </w:pPr>
            <w:r w:rsidRPr="004710DC">
              <w:rPr>
                <w:lang w:eastAsia="zh-CN"/>
              </w:rPr>
              <w:t>9</w:t>
            </w:r>
          </w:p>
        </w:tc>
        <w:tc>
          <w:tcPr>
            <w:tcW w:w="1076" w:type="dxa"/>
          </w:tcPr>
          <w:p w14:paraId="6FE93F03" w14:textId="77777777" w:rsidR="00241417" w:rsidRPr="004710DC" w:rsidRDefault="00241417" w:rsidP="003A71DE">
            <w:pPr>
              <w:pStyle w:val="TAC"/>
              <w:rPr>
                <w:lang w:eastAsia="zh-CN"/>
              </w:rPr>
            </w:pPr>
            <w:r w:rsidRPr="004710DC">
              <w:rPr>
                <w:lang w:eastAsia="zh-CN"/>
              </w:rPr>
              <w:t>9</w:t>
            </w:r>
          </w:p>
        </w:tc>
        <w:tc>
          <w:tcPr>
            <w:tcW w:w="1077" w:type="dxa"/>
          </w:tcPr>
          <w:p w14:paraId="62235C6F" w14:textId="77777777" w:rsidR="00241417" w:rsidRPr="004710DC" w:rsidRDefault="00241417" w:rsidP="003A71DE">
            <w:pPr>
              <w:pStyle w:val="TAC"/>
              <w:rPr>
                <w:lang w:eastAsia="zh-CN"/>
              </w:rPr>
            </w:pPr>
            <w:r w:rsidRPr="004710DC">
              <w:rPr>
                <w:lang w:eastAsia="zh-CN"/>
              </w:rPr>
              <w:t>9</w:t>
            </w:r>
          </w:p>
        </w:tc>
        <w:tc>
          <w:tcPr>
            <w:tcW w:w="1077" w:type="dxa"/>
          </w:tcPr>
          <w:p w14:paraId="019E0264" w14:textId="77777777" w:rsidR="00241417" w:rsidRPr="004710DC" w:rsidRDefault="00241417" w:rsidP="003A71DE">
            <w:pPr>
              <w:pStyle w:val="TAC"/>
              <w:rPr>
                <w:lang w:eastAsia="zh-CN"/>
              </w:rPr>
            </w:pPr>
            <w:r w:rsidRPr="004710DC">
              <w:rPr>
                <w:lang w:eastAsia="zh-CN"/>
              </w:rPr>
              <w:t>9</w:t>
            </w:r>
          </w:p>
        </w:tc>
      </w:tr>
      <w:tr w:rsidR="00241417" w:rsidRPr="004710DC" w14:paraId="367AEE0D" w14:textId="77777777" w:rsidTr="003A71DE">
        <w:trPr>
          <w:cantSplit/>
          <w:jc w:val="center"/>
        </w:trPr>
        <w:tc>
          <w:tcPr>
            <w:tcW w:w="3950" w:type="dxa"/>
          </w:tcPr>
          <w:p w14:paraId="7CD19D95" w14:textId="77777777" w:rsidR="00241417" w:rsidRPr="004710DC" w:rsidRDefault="00241417" w:rsidP="003A71DE">
            <w:pPr>
              <w:pStyle w:val="TAC"/>
            </w:pPr>
            <w:r w:rsidRPr="004710DC">
              <w:t>Modulation</w:t>
            </w:r>
          </w:p>
        </w:tc>
        <w:tc>
          <w:tcPr>
            <w:tcW w:w="1076" w:type="dxa"/>
          </w:tcPr>
          <w:p w14:paraId="109746E5" w14:textId="77777777" w:rsidR="00241417" w:rsidRPr="004710DC" w:rsidRDefault="00241417" w:rsidP="003A71DE">
            <w:pPr>
              <w:pStyle w:val="TAC"/>
              <w:rPr>
                <w:lang w:eastAsia="zh-CN"/>
              </w:rPr>
            </w:pPr>
            <w:r w:rsidRPr="004710DC">
              <w:rPr>
                <w:lang w:eastAsia="zh-CN"/>
              </w:rPr>
              <w:t>16QAM</w:t>
            </w:r>
          </w:p>
        </w:tc>
        <w:tc>
          <w:tcPr>
            <w:tcW w:w="1077" w:type="dxa"/>
          </w:tcPr>
          <w:p w14:paraId="16876E53" w14:textId="77777777" w:rsidR="00241417" w:rsidRPr="004710DC" w:rsidRDefault="00241417" w:rsidP="003A71DE">
            <w:pPr>
              <w:pStyle w:val="TAC"/>
              <w:rPr>
                <w:lang w:eastAsia="zh-CN"/>
              </w:rPr>
            </w:pPr>
            <w:r w:rsidRPr="004710DC">
              <w:rPr>
                <w:lang w:eastAsia="zh-CN"/>
              </w:rPr>
              <w:t>16QAM</w:t>
            </w:r>
          </w:p>
        </w:tc>
        <w:tc>
          <w:tcPr>
            <w:tcW w:w="1076" w:type="dxa"/>
          </w:tcPr>
          <w:p w14:paraId="64A0234B" w14:textId="77777777" w:rsidR="00241417" w:rsidRPr="004710DC" w:rsidRDefault="00241417" w:rsidP="003A71DE">
            <w:pPr>
              <w:pStyle w:val="TAC"/>
              <w:rPr>
                <w:lang w:eastAsia="zh-CN"/>
              </w:rPr>
            </w:pPr>
            <w:r w:rsidRPr="004710DC">
              <w:rPr>
                <w:lang w:eastAsia="zh-CN"/>
              </w:rPr>
              <w:t>16QAM</w:t>
            </w:r>
          </w:p>
        </w:tc>
        <w:tc>
          <w:tcPr>
            <w:tcW w:w="1077" w:type="dxa"/>
          </w:tcPr>
          <w:p w14:paraId="6E76D679" w14:textId="77777777" w:rsidR="00241417" w:rsidRPr="004710DC" w:rsidRDefault="00241417" w:rsidP="003A71DE">
            <w:pPr>
              <w:pStyle w:val="TAC"/>
              <w:rPr>
                <w:lang w:eastAsia="zh-CN"/>
              </w:rPr>
            </w:pPr>
            <w:r w:rsidRPr="004710DC">
              <w:rPr>
                <w:lang w:eastAsia="zh-CN"/>
              </w:rPr>
              <w:t>16QAM</w:t>
            </w:r>
          </w:p>
        </w:tc>
        <w:tc>
          <w:tcPr>
            <w:tcW w:w="1077" w:type="dxa"/>
          </w:tcPr>
          <w:p w14:paraId="600EE52E" w14:textId="77777777" w:rsidR="00241417" w:rsidRPr="004710DC" w:rsidRDefault="00241417" w:rsidP="003A71DE">
            <w:pPr>
              <w:pStyle w:val="TAC"/>
              <w:rPr>
                <w:lang w:eastAsia="zh-CN"/>
              </w:rPr>
            </w:pPr>
            <w:r w:rsidRPr="004710DC">
              <w:rPr>
                <w:lang w:eastAsia="zh-CN"/>
              </w:rPr>
              <w:t>16QAM</w:t>
            </w:r>
          </w:p>
        </w:tc>
      </w:tr>
      <w:tr w:rsidR="00241417" w:rsidRPr="004710DC" w14:paraId="403E9440" w14:textId="77777777" w:rsidTr="003A71DE">
        <w:trPr>
          <w:cantSplit/>
          <w:jc w:val="center"/>
        </w:trPr>
        <w:tc>
          <w:tcPr>
            <w:tcW w:w="3950" w:type="dxa"/>
          </w:tcPr>
          <w:p w14:paraId="250B487C" w14:textId="77777777" w:rsidR="00241417" w:rsidRPr="004710DC" w:rsidRDefault="00241417" w:rsidP="003A71DE">
            <w:pPr>
              <w:pStyle w:val="TAC"/>
            </w:pPr>
            <w:r>
              <w:t>Code Rate</w:t>
            </w:r>
          </w:p>
        </w:tc>
        <w:tc>
          <w:tcPr>
            <w:tcW w:w="1076" w:type="dxa"/>
          </w:tcPr>
          <w:p w14:paraId="3CE875C5" w14:textId="77777777" w:rsidR="00241417" w:rsidRPr="004710DC" w:rsidRDefault="00241417" w:rsidP="003A71DE">
            <w:pPr>
              <w:pStyle w:val="TAC"/>
              <w:rPr>
                <w:lang w:eastAsia="zh-CN"/>
              </w:rPr>
            </w:pPr>
            <w:r w:rsidRPr="004710DC">
              <w:t>658/1024</w:t>
            </w:r>
          </w:p>
        </w:tc>
        <w:tc>
          <w:tcPr>
            <w:tcW w:w="1077" w:type="dxa"/>
          </w:tcPr>
          <w:p w14:paraId="3CFACD4D" w14:textId="77777777" w:rsidR="00241417" w:rsidRPr="004710DC" w:rsidRDefault="00241417" w:rsidP="003A71DE">
            <w:pPr>
              <w:pStyle w:val="TAC"/>
              <w:rPr>
                <w:lang w:eastAsia="zh-CN"/>
              </w:rPr>
            </w:pPr>
            <w:r w:rsidRPr="004710DC">
              <w:t>658/1024</w:t>
            </w:r>
          </w:p>
        </w:tc>
        <w:tc>
          <w:tcPr>
            <w:tcW w:w="1076" w:type="dxa"/>
          </w:tcPr>
          <w:p w14:paraId="7CA2C86E" w14:textId="77777777" w:rsidR="00241417" w:rsidRPr="004710DC" w:rsidRDefault="00241417" w:rsidP="003A71DE">
            <w:pPr>
              <w:pStyle w:val="TAC"/>
              <w:rPr>
                <w:lang w:eastAsia="zh-CN"/>
              </w:rPr>
            </w:pPr>
            <w:r w:rsidRPr="004710DC">
              <w:t>658/1024</w:t>
            </w:r>
          </w:p>
        </w:tc>
        <w:tc>
          <w:tcPr>
            <w:tcW w:w="1077" w:type="dxa"/>
          </w:tcPr>
          <w:p w14:paraId="0BF00C6A" w14:textId="77777777" w:rsidR="00241417" w:rsidRPr="004710DC" w:rsidRDefault="00241417" w:rsidP="003A71DE">
            <w:pPr>
              <w:pStyle w:val="TAC"/>
              <w:rPr>
                <w:lang w:eastAsia="zh-CN"/>
              </w:rPr>
            </w:pPr>
            <w:r w:rsidRPr="004710DC">
              <w:t>658/1024</w:t>
            </w:r>
          </w:p>
        </w:tc>
        <w:tc>
          <w:tcPr>
            <w:tcW w:w="1077" w:type="dxa"/>
          </w:tcPr>
          <w:p w14:paraId="1318FA14" w14:textId="77777777" w:rsidR="00241417" w:rsidRPr="004710DC" w:rsidRDefault="00241417" w:rsidP="003A71DE">
            <w:pPr>
              <w:pStyle w:val="TAC"/>
              <w:rPr>
                <w:lang w:eastAsia="zh-CN"/>
              </w:rPr>
            </w:pPr>
            <w:r w:rsidRPr="004710DC">
              <w:t>658/1024</w:t>
            </w:r>
          </w:p>
        </w:tc>
      </w:tr>
      <w:tr w:rsidR="00241417" w:rsidRPr="004710DC" w14:paraId="68B48612" w14:textId="77777777" w:rsidTr="003A71DE">
        <w:trPr>
          <w:cantSplit/>
          <w:jc w:val="center"/>
        </w:trPr>
        <w:tc>
          <w:tcPr>
            <w:tcW w:w="3950" w:type="dxa"/>
          </w:tcPr>
          <w:p w14:paraId="3BCA43ED" w14:textId="77777777" w:rsidR="00241417" w:rsidRPr="004710DC" w:rsidRDefault="00241417" w:rsidP="003A71DE">
            <w:pPr>
              <w:pStyle w:val="TAC"/>
            </w:pPr>
            <w:r w:rsidRPr="004710DC">
              <w:t>Payload size (bits)</w:t>
            </w:r>
          </w:p>
        </w:tc>
        <w:tc>
          <w:tcPr>
            <w:tcW w:w="1076" w:type="dxa"/>
            <w:vAlign w:val="center"/>
          </w:tcPr>
          <w:p w14:paraId="599CAB6B" w14:textId="77777777" w:rsidR="00241417" w:rsidRPr="004710DC" w:rsidRDefault="00241417" w:rsidP="003A71DE">
            <w:pPr>
              <w:pStyle w:val="TAC"/>
            </w:pPr>
            <w:r w:rsidRPr="004710DC">
              <w:t>36896</w:t>
            </w:r>
          </w:p>
        </w:tc>
        <w:tc>
          <w:tcPr>
            <w:tcW w:w="1077" w:type="dxa"/>
            <w:vAlign w:val="center"/>
          </w:tcPr>
          <w:p w14:paraId="6A691D48" w14:textId="77777777" w:rsidR="00241417" w:rsidRPr="004710DC" w:rsidRDefault="00241417" w:rsidP="003A71DE">
            <w:pPr>
              <w:pStyle w:val="TAC"/>
            </w:pPr>
            <w:r w:rsidRPr="004710DC">
              <w:t>73776</w:t>
            </w:r>
          </w:p>
        </w:tc>
        <w:tc>
          <w:tcPr>
            <w:tcW w:w="1076" w:type="dxa"/>
            <w:vAlign w:val="center"/>
          </w:tcPr>
          <w:p w14:paraId="5D954532" w14:textId="77777777" w:rsidR="00241417" w:rsidRPr="004710DC" w:rsidRDefault="00241417" w:rsidP="003A71DE">
            <w:pPr>
              <w:pStyle w:val="TAC"/>
            </w:pPr>
            <w:r w:rsidRPr="004710DC">
              <w:t>17928</w:t>
            </w:r>
          </w:p>
        </w:tc>
        <w:tc>
          <w:tcPr>
            <w:tcW w:w="1077" w:type="dxa"/>
            <w:vAlign w:val="center"/>
          </w:tcPr>
          <w:p w14:paraId="428C7A89" w14:textId="77777777" w:rsidR="00241417" w:rsidRPr="004710DC" w:rsidRDefault="00241417" w:rsidP="003A71DE">
            <w:pPr>
              <w:pStyle w:val="TAC"/>
            </w:pPr>
            <w:r w:rsidRPr="004710DC">
              <w:t>36896</w:t>
            </w:r>
          </w:p>
        </w:tc>
        <w:tc>
          <w:tcPr>
            <w:tcW w:w="1077" w:type="dxa"/>
            <w:vAlign w:val="center"/>
          </w:tcPr>
          <w:p w14:paraId="2245BEC6" w14:textId="77777777" w:rsidR="00241417" w:rsidRPr="004710DC" w:rsidRDefault="00241417" w:rsidP="003A71DE">
            <w:pPr>
              <w:pStyle w:val="TAC"/>
            </w:pPr>
            <w:r w:rsidRPr="004710DC">
              <w:t>73776</w:t>
            </w:r>
          </w:p>
        </w:tc>
      </w:tr>
      <w:tr w:rsidR="00241417" w:rsidRPr="004710DC" w14:paraId="555AF0C7" w14:textId="77777777" w:rsidTr="003A71DE">
        <w:trPr>
          <w:cantSplit/>
          <w:jc w:val="center"/>
        </w:trPr>
        <w:tc>
          <w:tcPr>
            <w:tcW w:w="3950" w:type="dxa"/>
          </w:tcPr>
          <w:p w14:paraId="70886010" w14:textId="77777777" w:rsidR="00241417" w:rsidRPr="004710DC" w:rsidRDefault="00241417" w:rsidP="003A71DE">
            <w:pPr>
              <w:pStyle w:val="TAC"/>
            </w:pPr>
            <w:r w:rsidRPr="004710DC">
              <w:t>Transport block CRC (bits)</w:t>
            </w:r>
          </w:p>
        </w:tc>
        <w:tc>
          <w:tcPr>
            <w:tcW w:w="1076" w:type="dxa"/>
          </w:tcPr>
          <w:p w14:paraId="3ADA4BDC" w14:textId="77777777" w:rsidR="00241417" w:rsidRPr="004710DC" w:rsidRDefault="00241417" w:rsidP="003A71DE">
            <w:pPr>
              <w:pStyle w:val="TAC"/>
            </w:pPr>
            <w:r w:rsidRPr="004710DC">
              <w:t>24</w:t>
            </w:r>
          </w:p>
        </w:tc>
        <w:tc>
          <w:tcPr>
            <w:tcW w:w="1077" w:type="dxa"/>
          </w:tcPr>
          <w:p w14:paraId="639D0F1C" w14:textId="77777777" w:rsidR="00241417" w:rsidRPr="004710DC" w:rsidRDefault="00241417" w:rsidP="003A71DE">
            <w:pPr>
              <w:pStyle w:val="TAC"/>
            </w:pPr>
            <w:r w:rsidRPr="004710DC">
              <w:t>24</w:t>
            </w:r>
          </w:p>
        </w:tc>
        <w:tc>
          <w:tcPr>
            <w:tcW w:w="1076" w:type="dxa"/>
          </w:tcPr>
          <w:p w14:paraId="1B599D5C" w14:textId="77777777" w:rsidR="00241417" w:rsidRPr="004710DC" w:rsidRDefault="00241417" w:rsidP="003A71DE">
            <w:pPr>
              <w:pStyle w:val="TAC"/>
            </w:pPr>
            <w:r w:rsidRPr="004710DC">
              <w:t>24</w:t>
            </w:r>
          </w:p>
        </w:tc>
        <w:tc>
          <w:tcPr>
            <w:tcW w:w="1077" w:type="dxa"/>
          </w:tcPr>
          <w:p w14:paraId="57F69362" w14:textId="77777777" w:rsidR="00241417" w:rsidRPr="004710DC" w:rsidRDefault="00241417" w:rsidP="003A71DE">
            <w:pPr>
              <w:pStyle w:val="TAC"/>
            </w:pPr>
            <w:r w:rsidRPr="004710DC">
              <w:t>24</w:t>
            </w:r>
          </w:p>
        </w:tc>
        <w:tc>
          <w:tcPr>
            <w:tcW w:w="1077" w:type="dxa"/>
          </w:tcPr>
          <w:p w14:paraId="298102F3" w14:textId="77777777" w:rsidR="00241417" w:rsidRPr="004710DC" w:rsidRDefault="00241417" w:rsidP="003A71DE">
            <w:pPr>
              <w:pStyle w:val="TAC"/>
            </w:pPr>
            <w:r w:rsidRPr="004710DC">
              <w:t>24</w:t>
            </w:r>
          </w:p>
        </w:tc>
      </w:tr>
      <w:tr w:rsidR="00241417" w:rsidRPr="004710DC" w14:paraId="1AEC0B8F" w14:textId="77777777" w:rsidTr="003A71DE">
        <w:trPr>
          <w:cantSplit/>
          <w:jc w:val="center"/>
        </w:trPr>
        <w:tc>
          <w:tcPr>
            <w:tcW w:w="3950" w:type="dxa"/>
          </w:tcPr>
          <w:p w14:paraId="1CD3ED98" w14:textId="77777777" w:rsidR="00241417" w:rsidRPr="00AD765F" w:rsidRDefault="00241417" w:rsidP="003A71DE">
            <w:pPr>
              <w:pStyle w:val="TAC"/>
            </w:pPr>
            <w:r w:rsidRPr="00AD765F">
              <w:t>Code block CRC size (bits)</w:t>
            </w:r>
          </w:p>
        </w:tc>
        <w:tc>
          <w:tcPr>
            <w:tcW w:w="1076" w:type="dxa"/>
          </w:tcPr>
          <w:p w14:paraId="094E97E5" w14:textId="77777777" w:rsidR="00241417" w:rsidRPr="004710DC" w:rsidRDefault="00241417" w:rsidP="003A71DE">
            <w:pPr>
              <w:pStyle w:val="TAC"/>
            </w:pPr>
            <w:r w:rsidRPr="004710DC">
              <w:t>24</w:t>
            </w:r>
          </w:p>
        </w:tc>
        <w:tc>
          <w:tcPr>
            <w:tcW w:w="1077" w:type="dxa"/>
          </w:tcPr>
          <w:p w14:paraId="2725DE18" w14:textId="77777777" w:rsidR="00241417" w:rsidRPr="004710DC" w:rsidRDefault="00241417" w:rsidP="003A71DE">
            <w:pPr>
              <w:pStyle w:val="TAC"/>
            </w:pPr>
            <w:r w:rsidRPr="004710DC">
              <w:t>24</w:t>
            </w:r>
          </w:p>
        </w:tc>
        <w:tc>
          <w:tcPr>
            <w:tcW w:w="1076" w:type="dxa"/>
          </w:tcPr>
          <w:p w14:paraId="72C61782" w14:textId="77777777" w:rsidR="00241417" w:rsidRPr="004710DC" w:rsidRDefault="00241417" w:rsidP="003A71DE">
            <w:pPr>
              <w:pStyle w:val="TAC"/>
            </w:pPr>
            <w:r w:rsidRPr="004710DC">
              <w:t>24</w:t>
            </w:r>
          </w:p>
        </w:tc>
        <w:tc>
          <w:tcPr>
            <w:tcW w:w="1077" w:type="dxa"/>
          </w:tcPr>
          <w:p w14:paraId="3480B96F" w14:textId="77777777" w:rsidR="00241417" w:rsidRPr="004710DC" w:rsidRDefault="00241417" w:rsidP="003A71DE">
            <w:pPr>
              <w:pStyle w:val="TAC"/>
            </w:pPr>
            <w:r w:rsidRPr="004710DC">
              <w:t>24</w:t>
            </w:r>
          </w:p>
        </w:tc>
        <w:tc>
          <w:tcPr>
            <w:tcW w:w="1077" w:type="dxa"/>
          </w:tcPr>
          <w:p w14:paraId="49569DAF" w14:textId="77777777" w:rsidR="00241417" w:rsidRPr="004710DC" w:rsidRDefault="00241417" w:rsidP="003A71DE">
            <w:pPr>
              <w:pStyle w:val="TAC"/>
            </w:pPr>
            <w:r w:rsidRPr="004710DC">
              <w:t>24</w:t>
            </w:r>
          </w:p>
        </w:tc>
      </w:tr>
      <w:tr w:rsidR="00241417" w:rsidRPr="004710DC" w14:paraId="224F1C47" w14:textId="77777777" w:rsidTr="003A71DE">
        <w:trPr>
          <w:cantSplit/>
          <w:jc w:val="center"/>
        </w:trPr>
        <w:tc>
          <w:tcPr>
            <w:tcW w:w="3950" w:type="dxa"/>
          </w:tcPr>
          <w:p w14:paraId="6C841D47" w14:textId="77777777" w:rsidR="00241417" w:rsidRPr="00AD765F" w:rsidRDefault="00241417" w:rsidP="003A71DE">
            <w:pPr>
              <w:pStyle w:val="TAC"/>
            </w:pPr>
            <w:r w:rsidRPr="00AD765F">
              <w:t>Number of code blocks - C</w:t>
            </w:r>
          </w:p>
        </w:tc>
        <w:tc>
          <w:tcPr>
            <w:tcW w:w="1076" w:type="dxa"/>
            <w:vAlign w:val="center"/>
          </w:tcPr>
          <w:p w14:paraId="23640CB4" w14:textId="77777777" w:rsidR="00241417" w:rsidRPr="004710DC" w:rsidRDefault="00241417" w:rsidP="003A71DE">
            <w:pPr>
              <w:pStyle w:val="TAC"/>
            </w:pPr>
            <w:r w:rsidRPr="004710DC">
              <w:t>5</w:t>
            </w:r>
          </w:p>
        </w:tc>
        <w:tc>
          <w:tcPr>
            <w:tcW w:w="1077" w:type="dxa"/>
            <w:vAlign w:val="center"/>
          </w:tcPr>
          <w:p w14:paraId="50481C0C" w14:textId="77777777" w:rsidR="00241417" w:rsidRPr="004710DC" w:rsidRDefault="00241417" w:rsidP="003A71DE">
            <w:pPr>
              <w:pStyle w:val="TAC"/>
            </w:pPr>
            <w:r w:rsidRPr="004710DC">
              <w:t>9</w:t>
            </w:r>
          </w:p>
        </w:tc>
        <w:tc>
          <w:tcPr>
            <w:tcW w:w="1076" w:type="dxa"/>
          </w:tcPr>
          <w:p w14:paraId="7968DD36" w14:textId="77777777" w:rsidR="00241417" w:rsidRPr="004710DC" w:rsidRDefault="00241417" w:rsidP="003A71DE">
            <w:pPr>
              <w:pStyle w:val="TAC"/>
            </w:pPr>
            <w:r w:rsidRPr="004710DC">
              <w:t>3</w:t>
            </w:r>
          </w:p>
        </w:tc>
        <w:tc>
          <w:tcPr>
            <w:tcW w:w="1077" w:type="dxa"/>
            <w:vAlign w:val="center"/>
          </w:tcPr>
          <w:p w14:paraId="46FB4D30" w14:textId="77777777" w:rsidR="00241417" w:rsidRPr="004710DC" w:rsidRDefault="00241417" w:rsidP="003A71DE">
            <w:pPr>
              <w:pStyle w:val="TAC"/>
            </w:pPr>
            <w:r w:rsidRPr="004710DC">
              <w:t>5</w:t>
            </w:r>
          </w:p>
        </w:tc>
        <w:tc>
          <w:tcPr>
            <w:tcW w:w="1077" w:type="dxa"/>
            <w:vAlign w:val="center"/>
          </w:tcPr>
          <w:p w14:paraId="31CD0BEC" w14:textId="77777777" w:rsidR="00241417" w:rsidRPr="004710DC" w:rsidRDefault="00241417" w:rsidP="003A71DE">
            <w:pPr>
              <w:pStyle w:val="TAC"/>
            </w:pPr>
            <w:r w:rsidRPr="004710DC">
              <w:t>9</w:t>
            </w:r>
          </w:p>
        </w:tc>
      </w:tr>
      <w:tr w:rsidR="00241417" w:rsidRPr="004710DC" w14:paraId="0648EC9C" w14:textId="77777777" w:rsidTr="003A71DE">
        <w:trPr>
          <w:cantSplit/>
          <w:jc w:val="center"/>
        </w:trPr>
        <w:tc>
          <w:tcPr>
            <w:tcW w:w="3950" w:type="dxa"/>
          </w:tcPr>
          <w:p w14:paraId="4FFC8478"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2572BDAC" w14:textId="77777777" w:rsidR="00241417" w:rsidRPr="004710DC" w:rsidRDefault="00241417" w:rsidP="003A71DE">
            <w:pPr>
              <w:pStyle w:val="TAC"/>
            </w:pPr>
            <w:r w:rsidRPr="004710DC">
              <w:rPr>
                <w:lang w:eastAsia="zh-CN"/>
              </w:rPr>
              <w:t>7408</w:t>
            </w:r>
          </w:p>
        </w:tc>
        <w:tc>
          <w:tcPr>
            <w:tcW w:w="1077" w:type="dxa"/>
            <w:vAlign w:val="center"/>
          </w:tcPr>
          <w:p w14:paraId="3DE32D4D" w14:textId="77777777" w:rsidR="00241417" w:rsidRPr="004710DC" w:rsidRDefault="00241417" w:rsidP="003A71DE">
            <w:pPr>
              <w:pStyle w:val="TAC"/>
            </w:pPr>
            <w:r w:rsidRPr="004710DC">
              <w:rPr>
                <w:lang w:eastAsia="zh-CN"/>
              </w:rPr>
              <w:t>8224</w:t>
            </w:r>
          </w:p>
        </w:tc>
        <w:tc>
          <w:tcPr>
            <w:tcW w:w="1076" w:type="dxa"/>
            <w:vAlign w:val="center"/>
          </w:tcPr>
          <w:p w14:paraId="4F4DB731" w14:textId="77777777" w:rsidR="00241417" w:rsidRPr="004710DC" w:rsidRDefault="00241417" w:rsidP="003A71DE">
            <w:pPr>
              <w:pStyle w:val="TAC"/>
            </w:pPr>
            <w:r w:rsidRPr="004710DC">
              <w:rPr>
                <w:lang w:eastAsia="zh-CN"/>
              </w:rPr>
              <w:t>6008</w:t>
            </w:r>
          </w:p>
        </w:tc>
        <w:tc>
          <w:tcPr>
            <w:tcW w:w="1077" w:type="dxa"/>
            <w:vAlign w:val="center"/>
          </w:tcPr>
          <w:p w14:paraId="7379B2EE" w14:textId="77777777" w:rsidR="00241417" w:rsidRPr="004710DC" w:rsidRDefault="00241417" w:rsidP="003A71DE">
            <w:pPr>
              <w:pStyle w:val="TAC"/>
            </w:pPr>
            <w:r w:rsidRPr="004710DC">
              <w:rPr>
                <w:lang w:eastAsia="zh-CN"/>
              </w:rPr>
              <w:t>7408</w:t>
            </w:r>
          </w:p>
        </w:tc>
        <w:tc>
          <w:tcPr>
            <w:tcW w:w="1077" w:type="dxa"/>
            <w:vAlign w:val="center"/>
          </w:tcPr>
          <w:p w14:paraId="1ED25664" w14:textId="77777777" w:rsidR="00241417" w:rsidRPr="004710DC" w:rsidRDefault="00241417" w:rsidP="003A71DE">
            <w:pPr>
              <w:pStyle w:val="TAC"/>
            </w:pPr>
            <w:r w:rsidRPr="004710DC">
              <w:rPr>
                <w:lang w:eastAsia="zh-CN"/>
              </w:rPr>
              <w:t>8224</w:t>
            </w:r>
          </w:p>
        </w:tc>
      </w:tr>
      <w:tr w:rsidR="00241417" w:rsidRPr="004710DC" w14:paraId="1353728A" w14:textId="77777777" w:rsidTr="003A71DE">
        <w:trPr>
          <w:cantSplit/>
          <w:jc w:val="center"/>
        </w:trPr>
        <w:tc>
          <w:tcPr>
            <w:tcW w:w="3950" w:type="dxa"/>
          </w:tcPr>
          <w:p w14:paraId="36A9CB94"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2AF3BB5E" w14:textId="77777777" w:rsidR="00241417" w:rsidRPr="004710DC" w:rsidRDefault="00241417" w:rsidP="003A71DE">
            <w:pPr>
              <w:pStyle w:val="TAC"/>
            </w:pPr>
            <w:r w:rsidRPr="004710DC">
              <w:t>57024</w:t>
            </w:r>
          </w:p>
        </w:tc>
        <w:tc>
          <w:tcPr>
            <w:tcW w:w="1077" w:type="dxa"/>
            <w:vAlign w:val="center"/>
          </w:tcPr>
          <w:p w14:paraId="6367CD61" w14:textId="77777777" w:rsidR="00241417" w:rsidRPr="004710DC" w:rsidRDefault="00241417" w:rsidP="003A71DE">
            <w:pPr>
              <w:pStyle w:val="TAC"/>
            </w:pPr>
            <w:r w:rsidRPr="004710DC">
              <w:t>114048</w:t>
            </w:r>
          </w:p>
        </w:tc>
        <w:tc>
          <w:tcPr>
            <w:tcW w:w="1076" w:type="dxa"/>
            <w:vAlign w:val="center"/>
          </w:tcPr>
          <w:p w14:paraId="203EDFFA" w14:textId="77777777" w:rsidR="00241417" w:rsidRPr="004710DC" w:rsidRDefault="00241417" w:rsidP="003A71DE">
            <w:pPr>
              <w:pStyle w:val="TAC"/>
            </w:pPr>
            <w:r w:rsidRPr="004710DC">
              <w:t>27648</w:t>
            </w:r>
          </w:p>
        </w:tc>
        <w:tc>
          <w:tcPr>
            <w:tcW w:w="1077" w:type="dxa"/>
            <w:vAlign w:val="center"/>
          </w:tcPr>
          <w:p w14:paraId="27233637" w14:textId="77777777" w:rsidR="00241417" w:rsidRPr="004710DC" w:rsidRDefault="00241417" w:rsidP="003A71DE">
            <w:pPr>
              <w:pStyle w:val="TAC"/>
            </w:pPr>
            <w:r w:rsidRPr="004710DC">
              <w:t>57024</w:t>
            </w:r>
          </w:p>
        </w:tc>
        <w:tc>
          <w:tcPr>
            <w:tcW w:w="1077" w:type="dxa"/>
            <w:vAlign w:val="center"/>
          </w:tcPr>
          <w:p w14:paraId="0CE39EE5" w14:textId="77777777" w:rsidR="00241417" w:rsidRPr="004710DC" w:rsidRDefault="00241417" w:rsidP="003A71DE">
            <w:pPr>
              <w:pStyle w:val="TAC"/>
            </w:pPr>
            <w:r w:rsidRPr="004710DC">
              <w:t>114048</w:t>
            </w:r>
          </w:p>
        </w:tc>
      </w:tr>
      <w:tr w:rsidR="00241417" w:rsidRPr="004710DC" w14:paraId="2FA09F5C" w14:textId="77777777" w:rsidTr="003A71DE">
        <w:trPr>
          <w:cantSplit/>
          <w:jc w:val="center"/>
        </w:trPr>
        <w:tc>
          <w:tcPr>
            <w:tcW w:w="3950" w:type="dxa"/>
          </w:tcPr>
          <w:p w14:paraId="035DC638"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vAlign w:val="center"/>
          </w:tcPr>
          <w:p w14:paraId="3F89FAA8" w14:textId="77777777" w:rsidR="00241417" w:rsidRPr="004710DC" w:rsidRDefault="00241417" w:rsidP="003A71DE">
            <w:pPr>
              <w:pStyle w:val="TAC"/>
            </w:pPr>
            <w:r w:rsidRPr="004710DC">
              <w:t>14256</w:t>
            </w:r>
          </w:p>
        </w:tc>
        <w:tc>
          <w:tcPr>
            <w:tcW w:w="1077" w:type="dxa"/>
            <w:vAlign w:val="center"/>
          </w:tcPr>
          <w:p w14:paraId="2B61CE3B" w14:textId="77777777" w:rsidR="00241417" w:rsidRPr="004710DC" w:rsidRDefault="00241417" w:rsidP="003A71DE">
            <w:pPr>
              <w:pStyle w:val="TAC"/>
            </w:pPr>
            <w:r w:rsidRPr="004710DC">
              <w:t>28512</w:t>
            </w:r>
          </w:p>
        </w:tc>
        <w:tc>
          <w:tcPr>
            <w:tcW w:w="1076" w:type="dxa"/>
            <w:vAlign w:val="center"/>
          </w:tcPr>
          <w:p w14:paraId="6231870C" w14:textId="77777777" w:rsidR="00241417" w:rsidRPr="004710DC" w:rsidRDefault="00241417" w:rsidP="003A71DE">
            <w:pPr>
              <w:pStyle w:val="TAC"/>
            </w:pPr>
            <w:r w:rsidRPr="004710DC">
              <w:t>6912</w:t>
            </w:r>
          </w:p>
        </w:tc>
        <w:tc>
          <w:tcPr>
            <w:tcW w:w="1077" w:type="dxa"/>
            <w:vAlign w:val="center"/>
          </w:tcPr>
          <w:p w14:paraId="2116BA7E" w14:textId="77777777" w:rsidR="00241417" w:rsidRPr="004710DC" w:rsidRDefault="00241417" w:rsidP="003A71DE">
            <w:pPr>
              <w:pStyle w:val="TAC"/>
            </w:pPr>
            <w:r w:rsidRPr="004710DC">
              <w:t>14256</w:t>
            </w:r>
          </w:p>
        </w:tc>
        <w:tc>
          <w:tcPr>
            <w:tcW w:w="1077" w:type="dxa"/>
            <w:vAlign w:val="center"/>
          </w:tcPr>
          <w:p w14:paraId="7FFD3329" w14:textId="77777777" w:rsidR="00241417" w:rsidRPr="004710DC" w:rsidRDefault="00241417" w:rsidP="003A71DE">
            <w:pPr>
              <w:pStyle w:val="TAC"/>
            </w:pPr>
            <w:r w:rsidRPr="004710DC">
              <w:t>28512</w:t>
            </w:r>
          </w:p>
        </w:tc>
      </w:tr>
      <w:tr w:rsidR="00241417" w:rsidRPr="00AD765F" w14:paraId="0CF84783" w14:textId="77777777" w:rsidTr="003A71DE">
        <w:trPr>
          <w:cantSplit/>
          <w:jc w:val="center"/>
        </w:trPr>
        <w:tc>
          <w:tcPr>
            <w:tcW w:w="9333" w:type="dxa"/>
            <w:gridSpan w:val="6"/>
          </w:tcPr>
          <w:p w14:paraId="400E62D1"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pos0</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as per Table 6.4.1.1.3-3 of TS 38.211 [8].</w:t>
            </w:r>
          </w:p>
          <w:p w14:paraId="02F1AFF7"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 </w:t>
            </w:r>
            <w:r w:rsidRPr="00AD765F">
              <w:rPr>
                <w:lang w:eastAsia="zh-CN"/>
              </w:rPr>
              <w:t>5.2.2 of TS 38.212 [9].</w:t>
            </w:r>
          </w:p>
        </w:tc>
      </w:tr>
    </w:tbl>
    <w:p w14:paraId="2BDC2996" w14:textId="77777777" w:rsidR="00241417" w:rsidRPr="00AD765F" w:rsidRDefault="00241417" w:rsidP="00241417">
      <w:pPr>
        <w:rPr>
          <w:noProof/>
          <w:lang w:eastAsia="zh-CN"/>
        </w:rPr>
      </w:pPr>
    </w:p>
    <w:p w14:paraId="3834246B" w14:textId="77777777" w:rsidR="00241417" w:rsidRPr="00AD765F" w:rsidRDefault="00241417" w:rsidP="00241417">
      <w:pPr>
        <w:pStyle w:val="TH"/>
        <w:rPr>
          <w:lang w:eastAsia="zh-CN"/>
        </w:rPr>
      </w:pPr>
      <w:r w:rsidRPr="00AD765F">
        <w:rPr>
          <w:rFonts w:eastAsia="Malgun Gothic"/>
        </w:rPr>
        <w:lastRenderedPageBreak/>
        <w:t>Table A.2.</w:t>
      </w:r>
      <w:r w:rsidRPr="00AD765F">
        <w:rPr>
          <w:lang w:eastAsia="zh-CN"/>
        </w:rPr>
        <w:t>3</w:t>
      </w:r>
      <w:r w:rsidRPr="00AD765F">
        <w:rPr>
          <w:rFonts w:eastAsia="Malgun Gothic"/>
        </w:rPr>
        <w:t>-</w:t>
      </w:r>
      <w:r w:rsidRPr="00AD765F">
        <w:rPr>
          <w:lang w:eastAsia="zh-CN"/>
        </w:rPr>
        <w:t>5</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1 transmission layer</w:t>
      </w:r>
      <w:r w:rsidRPr="00AD765F">
        <w:rPr>
          <w:rFonts w:eastAsia="Malgun Gothic"/>
        </w:rPr>
        <w:t xml:space="preserve"> (</w:t>
      </w:r>
      <w:r w:rsidRPr="00AD765F">
        <w:rPr>
          <w:lang w:eastAsia="zh-CN"/>
        </w:rPr>
        <w:t>16QAM</w:t>
      </w:r>
      <w:r w:rsidRPr="00AD765F">
        <w:rPr>
          <w:rFonts w:eastAsia="Malgun Gothic"/>
        </w:rPr>
        <w:t>, R=658/1024)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3F2227C9" w14:textId="77777777" w:rsidTr="003A71DE">
        <w:trPr>
          <w:cantSplit/>
          <w:jc w:val="center"/>
        </w:trPr>
        <w:tc>
          <w:tcPr>
            <w:tcW w:w="3950" w:type="dxa"/>
          </w:tcPr>
          <w:p w14:paraId="4365EBA9" w14:textId="77777777" w:rsidR="00241417" w:rsidRPr="004710DC" w:rsidRDefault="00241417" w:rsidP="003A71DE">
            <w:pPr>
              <w:pStyle w:val="TAH"/>
            </w:pPr>
            <w:r w:rsidRPr="004710DC">
              <w:t>Reference channel</w:t>
            </w:r>
          </w:p>
        </w:tc>
        <w:tc>
          <w:tcPr>
            <w:tcW w:w="1076" w:type="dxa"/>
          </w:tcPr>
          <w:p w14:paraId="380E78D4" w14:textId="1B65AB00" w:rsidR="00241417" w:rsidRPr="004710DC" w:rsidRDefault="00241417" w:rsidP="003A71DE">
            <w:pPr>
              <w:pStyle w:val="TAH"/>
            </w:pPr>
            <w:r>
              <w:rPr>
                <w:lang w:eastAsia="zh-CN"/>
              </w:rPr>
              <w:t>D-FR2-A.2.3</w:t>
            </w:r>
            <w:r w:rsidRPr="004710DC">
              <w:rPr>
                <w:lang w:eastAsia="zh-CN"/>
              </w:rPr>
              <w:t>-11</w:t>
            </w:r>
          </w:p>
        </w:tc>
        <w:tc>
          <w:tcPr>
            <w:tcW w:w="1077" w:type="dxa"/>
          </w:tcPr>
          <w:p w14:paraId="1E3E2CF7" w14:textId="265DDA6C" w:rsidR="00241417" w:rsidRPr="004710DC" w:rsidRDefault="00241417" w:rsidP="003A71DE">
            <w:pPr>
              <w:pStyle w:val="TAH"/>
            </w:pPr>
            <w:r>
              <w:rPr>
                <w:lang w:eastAsia="zh-CN"/>
              </w:rPr>
              <w:t>D-FR2-A.2.3</w:t>
            </w:r>
            <w:r w:rsidRPr="004710DC">
              <w:rPr>
                <w:lang w:eastAsia="zh-CN"/>
              </w:rPr>
              <w:t>-12</w:t>
            </w:r>
          </w:p>
        </w:tc>
        <w:tc>
          <w:tcPr>
            <w:tcW w:w="1076" w:type="dxa"/>
          </w:tcPr>
          <w:p w14:paraId="524FD24D" w14:textId="79911648" w:rsidR="00241417" w:rsidRPr="004710DC" w:rsidRDefault="00241417" w:rsidP="003A71DE">
            <w:pPr>
              <w:pStyle w:val="TAH"/>
            </w:pPr>
            <w:r>
              <w:rPr>
                <w:lang w:eastAsia="zh-CN"/>
              </w:rPr>
              <w:t>D-FR2-A.2.3</w:t>
            </w:r>
            <w:r w:rsidRPr="004710DC">
              <w:rPr>
                <w:lang w:eastAsia="zh-CN"/>
              </w:rPr>
              <w:t>-13</w:t>
            </w:r>
          </w:p>
        </w:tc>
        <w:tc>
          <w:tcPr>
            <w:tcW w:w="1077" w:type="dxa"/>
          </w:tcPr>
          <w:p w14:paraId="5B43B441" w14:textId="4E10B913" w:rsidR="00241417" w:rsidRPr="004710DC" w:rsidRDefault="00241417" w:rsidP="003A71DE">
            <w:pPr>
              <w:pStyle w:val="TAH"/>
            </w:pPr>
            <w:r>
              <w:rPr>
                <w:lang w:eastAsia="zh-CN"/>
              </w:rPr>
              <w:t>D-FR2-A.2.3</w:t>
            </w:r>
            <w:r w:rsidRPr="004710DC">
              <w:rPr>
                <w:lang w:eastAsia="zh-CN"/>
              </w:rPr>
              <w:t>-14</w:t>
            </w:r>
          </w:p>
        </w:tc>
        <w:tc>
          <w:tcPr>
            <w:tcW w:w="1077" w:type="dxa"/>
          </w:tcPr>
          <w:p w14:paraId="4F670B1D" w14:textId="7298DD8C" w:rsidR="00241417" w:rsidRPr="004710DC" w:rsidRDefault="00241417" w:rsidP="003A71DE">
            <w:pPr>
              <w:pStyle w:val="TAH"/>
            </w:pPr>
            <w:r>
              <w:rPr>
                <w:lang w:eastAsia="zh-CN"/>
              </w:rPr>
              <w:t>D-FR2-A.2.3</w:t>
            </w:r>
            <w:r w:rsidRPr="004710DC">
              <w:rPr>
                <w:lang w:eastAsia="zh-CN"/>
              </w:rPr>
              <w:t>-15</w:t>
            </w:r>
          </w:p>
        </w:tc>
      </w:tr>
      <w:tr w:rsidR="00241417" w:rsidRPr="004710DC" w14:paraId="1D2A23DE" w14:textId="77777777" w:rsidTr="003A71DE">
        <w:trPr>
          <w:cantSplit/>
          <w:jc w:val="center"/>
        </w:trPr>
        <w:tc>
          <w:tcPr>
            <w:tcW w:w="3950" w:type="dxa"/>
          </w:tcPr>
          <w:p w14:paraId="1C5D121A"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398C3F3F" w14:textId="77777777" w:rsidR="00241417" w:rsidRPr="004710DC" w:rsidRDefault="00241417" w:rsidP="003A71DE">
            <w:pPr>
              <w:pStyle w:val="TAC"/>
              <w:rPr>
                <w:lang w:eastAsia="zh-CN"/>
              </w:rPr>
            </w:pPr>
            <w:r w:rsidRPr="004710DC">
              <w:rPr>
                <w:lang w:eastAsia="zh-CN"/>
              </w:rPr>
              <w:t>60</w:t>
            </w:r>
          </w:p>
        </w:tc>
        <w:tc>
          <w:tcPr>
            <w:tcW w:w="1077" w:type="dxa"/>
          </w:tcPr>
          <w:p w14:paraId="54631885" w14:textId="77777777" w:rsidR="00241417" w:rsidRPr="004710DC" w:rsidRDefault="00241417" w:rsidP="003A71DE">
            <w:pPr>
              <w:pStyle w:val="TAC"/>
            </w:pPr>
            <w:r w:rsidRPr="004710DC">
              <w:rPr>
                <w:lang w:eastAsia="zh-CN"/>
              </w:rPr>
              <w:t>60</w:t>
            </w:r>
          </w:p>
        </w:tc>
        <w:tc>
          <w:tcPr>
            <w:tcW w:w="1076" w:type="dxa"/>
          </w:tcPr>
          <w:p w14:paraId="78B08ED7" w14:textId="77777777" w:rsidR="00241417" w:rsidRPr="004710DC" w:rsidRDefault="00241417" w:rsidP="003A71DE">
            <w:pPr>
              <w:pStyle w:val="TAC"/>
            </w:pPr>
            <w:r w:rsidRPr="004710DC">
              <w:rPr>
                <w:lang w:eastAsia="zh-CN"/>
              </w:rPr>
              <w:t>120</w:t>
            </w:r>
          </w:p>
        </w:tc>
        <w:tc>
          <w:tcPr>
            <w:tcW w:w="1077" w:type="dxa"/>
          </w:tcPr>
          <w:p w14:paraId="2864B6DB" w14:textId="77777777" w:rsidR="00241417" w:rsidRPr="004710DC" w:rsidRDefault="00241417" w:rsidP="003A71DE">
            <w:pPr>
              <w:pStyle w:val="TAC"/>
            </w:pPr>
            <w:r w:rsidRPr="004710DC">
              <w:rPr>
                <w:lang w:eastAsia="zh-CN"/>
              </w:rPr>
              <w:t>120</w:t>
            </w:r>
          </w:p>
        </w:tc>
        <w:tc>
          <w:tcPr>
            <w:tcW w:w="1077" w:type="dxa"/>
          </w:tcPr>
          <w:p w14:paraId="3AC7C700" w14:textId="77777777" w:rsidR="00241417" w:rsidRPr="004710DC" w:rsidRDefault="00241417" w:rsidP="003A71DE">
            <w:pPr>
              <w:pStyle w:val="TAC"/>
            </w:pPr>
            <w:r w:rsidRPr="004710DC">
              <w:rPr>
                <w:lang w:eastAsia="zh-CN"/>
              </w:rPr>
              <w:t>120</w:t>
            </w:r>
          </w:p>
        </w:tc>
      </w:tr>
      <w:tr w:rsidR="00241417" w:rsidRPr="004710DC" w14:paraId="4DC4143F" w14:textId="77777777" w:rsidTr="003A71DE">
        <w:trPr>
          <w:cantSplit/>
          <w:jc w:val="center"/>
        </w:trPr>
        <w:tc>
          <w:tcPr>
            <w:tcW w:w="3950" w:type="dxa"/>
          </w:tcPr>
          <w:p w14:paraId="74AEBF75" w14:textId="77777777" w:rsidR="00241417" w:rsidRPr="004710DC" w:rsidRDefault="00241417" w:rsidP="003A71DE">
            <w:pPr>
              <w:pStyle w:val="TAC"/>
            </w:pPr>
            <w:r w:rsidRPr="004710DC">
              <w:t>Allocated resource blocks</w:t>
            </w:r>
          </w:p>
        </w:tc>
        <w:tc>
          <w:tcPr>
            <w:tcW w:w="1076" w:type="dxa"/>
          </w:tcPr>
          <w:p w14:paraId="6EF3D41A" w14:textId="77777777" w:rsidR="00241417" w:rsidRPr="004710DC" w:rsidRDefault="00241417" w:rsidP="003A71DE">
            <w:pPr>
              <w:pStyle w:val="TAC"/>
            </w:pPr>
            <w:r w:rsidRPr="004710DC">
              <w:t>66</w:t>
            </w:r>
          </w:p>
        </w:tc>
        <w:tc>
          <w:tcPr>
            <w:tcW w:w="1077" w:type="dxa"/>
          </w:tcPr>
          <w:p w14:paraId="1B1CD92A" w14:textId="77777777" w:rsidR="00241417" w:rsidRPr="004710DC" w:rsidRDefault="00241417" w:rsidP="003A71DE">
            <w:pPr>
              <w:pStyle w:val="TAC"/>
            </w:pPr>
            <w:r w:rsidRPr="004710DC">
              <w:t>132</w:t>
            </w:r>
          </w:p>
        </w:tc>
        <w:tc>
          <w:tcPr>
            <w:tcW w:w="1076" w:type="dxa"/>
          </w:tcPr>
          <w:p w14:paraId="3CC3F381" w14:textId="77777777" w:rsidR="00241417" w:rsidRPr="004710DC" w:rsidRDefault="00241417" w:rsidP="003A71DE">
            <w:pPr>
              <w:pStyle w:val="TAC"/>
            </w:pPr>
            <w:r w:rsidRPr="004710DC">
              <w:t>32</w:t>
            </w:r>
          </w:p>
        </w:tc>
        <w:tc>
          <w:tcPr>
            <w:tcW w:w="1077" w:type="dxa"/>
          </w:tcPr>
          <w:p w14:paraId="44616E22" w14:textId="77777777" w:rsidR="00241417" w:rsidRPr="004710DC" w:rsidRDefault="00241417" w:rsidP="003A71DE">
            <w:pPr>
              <w:pStyle w:val="TAC"/>
            </w:pPr>
            <w:r w:rsidRPr="004710DC">
              <w:t>66</w:t>
            </w:r>
          </w:p>
        </w:tc>
        <w:tc>
          <w:tcPr>
            <w:tcW w:w="1077" w:type="dxa"/>
          </w:tcPr>
          <w:p w14:paraId="68CAF91F" w14:textId="77777777" w:rsidR="00241417" w:rsidRPr="004710DC" w:rsidRDefault="00241417" w:rsidP="003A71DE">
            <w:pPr>
              <w:pStyle w:val="TAC"/>
            </w:pPr>
            <w:r w:rsidRPr="004710DC">
              <w:t>132</w:t>
            </w:r>
          </w:p>
        </w:tc>
      </w:tr>
      <w:tr w:rsidR="00241417" w:rsidRPr="004710DC" w14:paraId="442A0091" w14:textId="77777777" w:rsidTr="003A71DE">
        <w:trPr>
          <w:cantSplit/>
          <w:jc w:val="center"/>
        </w:trPr>
        <w:tc>
          <w:tcPr>
            <w:tcW w:w="3950" w:type="dxa"/>
          </w:tcPr>
          <w:p w14:paraId="764983A2"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7D4BDA61" w14:textId="77777777" w:rsidR="00241417" w:rsidRPr="004710DC" w:rsidRDefault="00241417" w:rsidP="003A71DE">
            <w:pPr>
              <w:pStyle w:val="TAC"/>
              <w:rPr>
                <w:lang w:eastAsia="zh-CN"/>
              </w:rPr>
            </w:pPr>
            <w:r w:rsidRPr="004710DC">
              <w:rPr>
                <w:lang w:eastAsia="zh-CN"/>
              </w:rPr>
              <w:t>8</w:t>
            </w:r>
          </w:p>
        </w:tc>
        <w:tc>
          <w:tcPr>
            <w:tcW w:w="1077" w:type="dxa"/>
          </w:tcPr>
          <w:p w14:paraId="6205B73E" w14:textId="77777777" w:rsidR="00241417" w:rsidRPr="004710DC" w:rsidRDefault="00241417" w:rsidP="003A71DE">
            <w:pPr>
              <w:pStyle w:val="TAC"/>
              <w:rPr>
                <w:lang w:eastAsia="zh-CN"/>
              </w:rPr>
            </w:pPr>
            <w:r w:rsidRPr="004710DC">
              <w:rPr>
                <w:lang w:eastAsia="zh-CN"/>
              </w:rPr>
              <w:t>8</w:t>
            </w:r>
          </w:p>
        </w:tc>
        <w:tc>
          <w:tcPr>
            <w:tcW w:w="1076" w:type="dxa"/>
          </w:tcPr>
          <w:p w14:paraId="1053B70B" w14:textId="77777777" w:rsidR="00241417" w:rsidRPr="004710DC" w:rsidRDefault="00241417" w:rsidP="003A71DE">
            <w:pPr>
              <w:pStyle w:val="TAC"/>
              <w:rPr>
                <w:lang w:eastAsia="zh-CN"/>
              </w:rPr>
            </w:pPr>
            <w:r w:rsidRPr="004710DC">
              <w:rPr>
                <w:lang w:eastAsia="zh-CN"/>
              </w:rPr>
              <w:t>8</w:t>
            </w:r>
          </w:p>
        </w:tc>
        <w:tc>
          <w:tcPr>
            <w:tcW w:w="1077" w:type="dxa"/>
          </w:tcPr>
          <w:p w14:paraId="76A1DB96" w14:textId="77777777" w:rsidR="00241417" w:rsidRPr="004710DC" w:rsidRDefault="00241417" w:rsidP="003A71DE">
            <w:pPr>
              <w:pStyle w:val="TAC"/>
              <w:rPr>
                <w:lang w:eastAsia="zh-CN"/>
              </w:rPr>
            </w:pPr>
            <w:r w:rsidRPr="004710DC">
              <w:rPr>
                <w:lang w:eastAsia="zh-CN"/>
              </w:rPr>
              <w:t>8</w:t>
            </w:r>
          </w:p>
        </w:tc>
        <w:tc>
          <w:tcPr>
            <w:tcW w:w="1077" w:type="dxa"/>
          </w:tcPr>
          <w:p w14:paraId="3A720B58" w14:textId="77777777" w:rsidR="00241417" w:rsidRPr="004710DC" w:rsidRDefault="00241417" w:rsidP="003A71DE">
            <w:pPr>
              <w:pStyle w:val="TAC"/>
              <w:rPr>
                <w:lang w:eastAsia="zh-CN"/>
              </w:rPr>
            </w:pPr>
            <w:r w:rsidRPr="004710DC">
              <w:rPr>
                <w:lang w:eastAsia="zh-CN"/>
              </w:rPr>
              <w:t>8</w:t>
            </w:r>
          </w:p>
        </w:tc>
      </w:tr>
      <w:tr w:rsidR="00241417" w:rsidRPr="004710DC" w14:paraId="37DE79D9" w14:textId="77777777" w:rsidTr="003A71DE">
        <w:trPr>
          <w:cantSplit/>
          <w:jc w:val="center"/>
        </w:trPr>
        <w:tc>
          <w:tcPr>
            <w:tcW w:w="3950" w:type="dxa"/>
          </w:tcPr>
          <w:p w14:paraId="1A648D19" w14:textId="77777777" w:rsidR="00241417" w:rsidRPr="004710DC" w:rsidRDefault="00241417" w:rsidP="003A71DE">
            <w:pPr>
              <w:pStyle w:val="TAC"/>
            </w:pPr>
            <w:r w:rsidRPr="004710DC">
              <w:t>Modulation</w:t>
            </w:r>
          </w:p>
        </w:tc>
        <w:tc>
          <w:tcPr>
            <w:tcW w:w="1076" w:type="dxa"/>
          </w:tcPr>
          <w:p w14:paraId="1E85CA6E" w14:textId="77777777" w:rsidR="00241417" w:rsidRPr="004710DC" w:rsidRDefault="00241417" w:rsidP="003A71DE">
            <w:pPr>
              <w:pStyle w:val="TAC"/>
              <w:rPr>
                <w:lang w:eastAsia="zh-CN"/>
              </w:rPr>
            </w:pPr>
            <w:r w:rsidRPr="004710DC">
              <w:rPr>
                <w:lang w:eastAsia="zh-CN"/>
              </w:rPr>
              <w:t>16QAM</w:t>
            </w:r>
          </w:p>
        </w:tc>
        <w:tc>
          <w:tcPr>
            <w:tcW w:w="1077" w:type="dxa"/>
          </w:tcPr>
          <w:p w14:paraId="0DB3A958" w14:textId="77777777" w:rsidR="00241417" w:rsidRPr="004710DC" w:rsidRDefault="00241417" w:rsidP="003A71DE">
            <w:pPr>
              <w:pStyle w:val="TAC"/>
              <w:rPr>
                <w:lang w:eastAsia="zh-CN"/>
              </w:rPr>
            </w:pPr>
            <w:r w:rsidRPr="004710DC">
              <w:rPr>
                <w:lang w:eastAsia="zh-CN"/>
              </w:rPr>
              <w:t>16QAM</w:t>
            </w:r>
          </w:p>
        </w:tc>
        <w:tc>
          <w:tcPr>
            <w:tcW w:w="1076" w:type="dxa"/>
          </w:tcPr>
          <w:p w14:paraId="40743E1B" w14:textId="77777777" w:rsidR="00241417" w:rsidRPr="004710DC" w:rsidRDefault="00241417" w:rsidP="003A71DE">
            <w:pPr>
              <w:pStyle w:val="TAC"/>
              <w:rPr>
                <w:lang w:eastAsia="zh-CN"/>
              </w:rPr>
            </w:pPr>
            <w:r w:rsidRPr="004710DC">
              <w:rPr>
                <w:lang w:eastAsia="zh-CN"/>
              </w:rPr>
              <w:t>16QAM</w:t>
            </w:r>
          </w:p>
        </w:tc>
        <w:tc>
          <w:tcPr>
            <w:tcW w:w="1077" w:type="dxa"/>
          </w:tcPr>
          <w:p w14:paraId="467F60EF" w14:textId="77777777" w:rsidR="00241417" w:rsidRPr="004710DC" w:rsidRDefault="00241417" w:rsidP="003A71DE">
            <w:pPr>
              <w:pStyle w:val="TAC"/>
              <w:rPr>
                <w:lang w:eastAsia="zh-CN"/>
              </w:rPr>
            </w:pPr>
            <w:r w:rsidRPr="004710DC">
              <w:rPr>
                <w:lang w:eastAsia="zh-CN"/>
              </w:rPr>
              <w:t>16QAM</w:t>
            </w:r>
          </w:p>
        </w:tc>
        <w:tc>
          <w:tcPr>
            <w:tcW w:w="1077" w:type="dxa"/>
          </w:tcPr>
          <w:p w14:paraId="1FB68379" w14:textId="77777777" w:rsidR="00241417" w:rsidRPr="004710DC" w:rsidRDefault="00241417" w:rsidP="003A71DE">
            <w:pPr>
              <w:pStyle w:val="TAC"/>
              <w:rPr>
                <w:lang w:eastAsia="zh-CN"/>
              </w:rPr>
            </w:pPr>
            <w:r w:rsidRPr="004710DC">
              <w:rPr>
                <w:lang w:eastAsia="zh-CN"/>
              </w:rPr>
              <w:t>16QAM</w:t>
            </w:r>
          </w:p>
        </w:tc>
      </w:tr>
      <w:tr w:rsidR="00241417" w:rsidRPr="004710DC" w14:paraId="0D1B3CC0" w14:textId="77777777" w:rsidTr="003A71DE">
        <w:trPr>
          <w:cantSplit/>
          <w:jc w:val="center"/>
        </w:trPr>
        <w:tc>
          <w:tcPr>
            <w:tcW w:w="3950" w:type="dxa"/>
          </w:tcPr>
          <w:p w14:paraId="6CF538D8" w14:textId="77777777" w:rsidR="00241417" w:rsidRPr="004710DC" w:rsidRDefault="00241417" w:rsidP="003A71DE">
            <w:pPr>
              <w:pStyle w:val="TAC"/>
            </w:pPr>
            <w:r>
              <w:t>Code Rate</w:t>
            </w:r>
          </w:p>
        </w:tc>
        <w:tc>
          <w:tcPr>
            <w:tcW w:w="1076" w:type="dxa"/>
          </w:tcPr>
          <w:p w14:paraId="1692AD75" w14:textId="77777777" w:rsidR="00241417" w:rsidRPr="004710DC" w:rsidRDefault="00241417" w:rsidP="003A71DE">
            <w:pPr>
              <w:pStyle w:val="TAC"/>
              <w:rPr>
                <w:lang w:eastAsia="zh-CN"/>
              </w:rPr>
            </w:pPr>
            <w:r w:rsidRPr="004710DC">
              <w:t>658/1024</w:t>
            </w:r>
          </w:p>
        </w:tc>
        <w:tc>
          <w:tcPr>
            <w:tcW w:w="1077" w:type="dxa"/>
          </w:tcPr>
          <w:p w14:paraId="14152611" w14:textId="77777777" w:rsidR="00241417" w:rsidRPr="004710DC" w:rsidRDefault="00241417" w:rsidP="003A71DE">
            <w:pPr>
              <w:pStyle w:val="TAC"/>
              <w:rPr>
                <w:lang w:eastAsia="zh-CN"/>
              </w:rPr>
            </w:pPr>
            <w:r w:rsidRPr="004710DC">
              <w:t>658/1024</w:t>
            </w:r>
          </w:p>
        </w:tc>
        <w:tc>
          <w:tcPr>
            <w:tcW w:w="1076" w:type="dxa"/>
          </w:tcPr>
          <w:p w14:paraId="0A62155F" w14:textId="77777777" w:rsidR="00241417" w:rsidRPr="004710DC" w:rsidRDefault="00241417" w:rsidP="003A71DE">
            <w:pPr>
              <w:pStyle w:val="TAC"/>
              <w:rPr>
                <w:lang w:eastAsia="zh-CN"/>
              </w:rPr>
            </w:pPr>
            <w:r w:rsidRPr="004710DC">
              <w:t>658/1024</w:t>
            </w:r>
          </w:p>
        </w:tc>
        <w:tc>
          <w:tcPr>
            <w:tcW w:w="1077" w:type="dxa"/>
          </w:tcPr>
          <w:p w14:paraId="6FDAA404" w14:textId="77777777" w:rsidR="00241417" w:rsidRPr="004710DC" w:rsidRDefault="00241417" w:rsidP="003A71DE">
            <w:pPr>
              <w:pStyle w:val="TAC"/>
              <w:rPr>
                <w:lang w:eastAsia="zh-CN"/>
              </w:rPr>
            </w:pPr>
            <w:r w:rsidRPr="004710DC">
              <w:t>658/1024</w:t>
            </w:r>
          </w:p>
        </w:tc>
        <w:tc>
          <w:tcPr>
            <w:tcW w:w="1077" w:type="dxa"/>
          </w:tcPr>
          <w:p w14:paraId="31D32ABC" w14:textId="77777777" w:rsidR="00241417" w:rsidRPr="004710DC" w:rsidRDefault="00241417" w:rsidP="003A71DE">
            <w:pPr>
              <w:pStyle w:val="TAC"/>
              <w:rPr>
                <w:lang w:eastAsia="zh-CN"/>
              </w:rPr>
            </w:pPr>
            <w:r w:rsidRPr="004710DC">
              <w:t>658/1024</w:t>
            </w:r>
          </w:p>
        </w:tc>
      </w:tr>
      <w:tr w:rsidR="00241417" w:rsidRPr="004710DC" w14:paraId="73A1390A" w14:textId="77777777" w:rsidTr="003A71DE">
        <w:trPr>
          <w:cantSplit/>
          <w:jc w:val="center"/>
        </w:trPr>
        <w:tc>
          <w:tcPr>
            <w:tcW w:w="3950" w:type="dxa"/>
          </w:tcPr>
          <w:p w14:paraId="68F64C0B" w14:textId="77777777" w:rsidR="00241417" w:rsidRPr="004710DC" w:rsidRDefault="00241417" w:rsidP="003A71DE">
            <w:pPr>
              <w:pStyle w:val="TAC"/>
            </w:pPr>
            <w:r w:rsidRPr="004710DC">
              <w:t>Payload size (bits)</w:t>
            </w:r>
          </w:p>
        </w:tc>
        <w:tc>
          <w:tcPr>
            <w:tcW w:w="1076" w:type="dxa"/>
            <w:vAlign w:val="center"/>
          </w:tcPr>
          <w:p w14:paraId="4BD027F9" w14:textId="77777777" w:rsidR="00241417" w:rsidRPr="004710DC" w:rsidRDefault="00241417" w:rsidP="003A71DE">
            <w:pPr>
              <w:pStyle w:val="TAC"/>
            </w:pPr>
            <w:r w:rsidRPr="004710DC">
              <w:t>16392</w:t>
            </w:r>
          </w:p>
        </w:tc>
        <w:tc>
          <w:tcPr>
            <w:tcW w:w="1077" w:type="dxa"/>
            <w:vAlign w:val="center"/>
          </w:tcPr>
          <w:p w14:paraId="0B9A5D77" w14:textId="77777777" w:rsidR="00241417" w:rsidRPr="004710DC" w:rsidRDefault="00241417" w:rsidP="003A71DE">
            <w:pPr>
              <w:pStyle w:val="TAC"/>
            </w:pPr>
            <w:r w:rsidRPr="004710DC">
              <w:t>32776</w:t>
            </w:r>
          </w:p>
        </w:tc>
        <w:tc>
          <w:tcPr>
            <w:tcW w:w="1076" w:type="dxa"/>
            <w:vAlign w:val="center"/>
          </w:tcPr>
          <w:p w14:paraId="3C00682F" w14:textId="77777777" w:rsidR="00241417" w:rsidRPr="004710DC" w:rsidRDefault="00241417" w:rsidP="003A71DE">
            <w:pPr>
              <w:pStyle w:val="TAC"/>
            </w:pPr>
            <w:r w:rsidRPr="004710DC">
              <w:t>7936</w:t>
            </w:r>
          </w:p>
        </w:tc>
        <w:tc>
          <w:tcPr>
            <w:tcW w:w="1077" w:type="dxa"/>
            <w:vAlign w:val="center"/>
          </w:tcPr>
          <w:p w14:paraId="76A9B7A0" w14:textId="77777777" w:rsidR="00241417" w:rsidRPr="004710DC" w:rsidRDefault="00241417" w:rsidP="003A71DE">
            <w:pPr>
              <w:pStyle w:val="TAC"/>
            </w:pPr>
            <w:r w:rsidRPr="004710DC">
              <w:t>16392</w:t>
            </w:r>
          </w:p>
        </w:tc>
        <w:tc>
          <w:tcPr>
            <w:tcW w:w="1077" w:type="dxa"/>
            <w:vAlign w:val="center"/>
          </w:tcPr>
          <w:p w14:paraId="67F66C2F" w14:textId="77777777" w:rsidR="00241417" w:rsidRPr="004710DC" w:rsidRDefault="00241417" w:rsidP="003A71DE">
            <w:pPr>
              <w:pStyle w:val="TAC"/>
            </w:pPr>
            <w:r w:rsidRPr="004710DC">
              <w:t>32776</w:t>
            </w:r>
          </w:p>
        </w:tc>
      </w:tr>
      <w:tr w:rsidR="00241417" w:rsidRPr="004710DC" w14:paraId="680797D7" w14:textId="77777777" w:rsidTr="003A71DE">
        <w:trPr>
          <w:cantSplit/>
          <w:jc w:val="center"/>
        </w:trPr>
        <w:tc>
          <w:tcPr>
            <w:tcW w:w="3950" w:type="dxa"/>
          </w:tcPr>
          <w:p w14:paraId="0B16190A" w14:textId="77777777" w:rsidR="00241417" w:rsidRPr="004710DC" w:rsidRDefault="00241417" w:rsidP="003A71DE">
            <w:pPr>
              <w:pStyle w:val="TAC"/>
            </w:pPr>
            <w:r w:rsidRPr="004710DC">
              <w:t>Transport block CRC (bits)</w:t>
            </w:r>
          </w:p>
        </w:tc>
        <w:tc>
          <w:tcPr>
            <w:tcW w:w="1076" w:type="dxa"/>
          </w:tcPr>
          <w:p w14:paraId="69CB5764" w14:textId="77777777" w:rsidR="00241417" w:rsidRPr="004710DC" w:rsidRDefault="00241417" w:rsidP="003A71DE">
            <w:pPr>
              <w:pStyle w:val="TAC"/>
            </w:pPr>
            <w:r w:rsidRPr="004710DC">
              <w:t>24</w:t>
            </w:r>
          </w:p>
        </w:tc>
        <w:tc>
          <w:tcPr>
            <w:tcW w:w="1077" w:type="dxa"/>
          </w:tcPr>
          <w:p w14:paraId="38E49176" w14:textId="77777777" w:rsidR="00241417" w:rsidRPr="004710DC" w:rsidRDefault="00241417" w:rsidP="003A71DE">
            <w:pPr>
              <w:pStyle w:val="TAC"/>
            </w:pPr>
            <w:r w:rsidRPr="004710DC">
              <w:t>24</w:t>
            </w:r>
          </w:p>
        </w:tc>
        <w:tc>
          <w:tcPr>
            <w:tcW w:w="1076" w:type="dxa"/>
          </w:tcPr>
          <w:p w14:paraId="33AD388E" w14:textId="77777777" w:rsidR="00241417" w:rsidRPr="004710DC" w:rsidRDefault="00241417" w:rsidP="003A71DE">
            <w:pPr>
              <w:pStyle w:val="TAC"/>
            </w:pPr>
            <w:r w:rsidRPr="004710DC">
              <w:t>24</w:t>
            </w:r>
          </w:p>
        </w:tc>
        <w:tc>
          <w:tcPr>
            <w:tcW w:w="1077" w:type="dxa"/>
          </w:tcPr>
          <w:p w14:paraId="175F6D84" w14:textId="77777777" w:rsidR="00241417" w:rsidRPr="004710DC" w:rsidRDefault="00241417" w:rsidP="003A71DE">
            <w:pPr>
              <w:pStyle w:val="TAC"/>
            </w:pPr>
            <w:r w:rsidRPr="004710DC">
              <w:t>24</w:t>
            </w:r>
          </w:p>
        </w:tc>
        <w:tc>
          <w:tcPr>
            <w:tcW w:w="1077" w:type="dxa"/>
          </w:tcPr>
          <w:p w14:paraId="42F910D5" w14:textId="77777777" w:rsidR="00241417" w:rsidRPr="004710DC" w:rsidRDefault="00241417" w:rsidP="003A71DE">
            <w:pPr>
              <w:pStyle w:val="TAC"/>
            </w:pPr>
            <w:r w:rsidRPr="004710DC">
              <w:t>24</w:t>
            </w:r>
          </w:p>
        </w:tc>
      </w:tr>
      <w:tr w:rsidR="00241417" w:rsidRPr="004710DC" w14:paraId="10C05750" w14:textId="77777777" w:rsidTr="003A71DE">
        <w:trPr>
          <w:cantSplit/>
          <w:jc w:val="center"/>
        </w:trPr>
        <w:tc>
          <w:tcPr>
            <w:tcW w:w="3950" w:type="dxa"/>
          </w:tcPr>
          <w:p w14:paraId="0658F27E" w14:textId="77777777" w:rsidR="00241417" w:rsidRPr="00AD765F" w:rsidRDefault="00241417" w:rsidP="003A71DE">
            <w:pPr>
              <w:pStyle w:val="TAC"/>
            </w:pPr>
            <w:r w:rsidRPr="00AD765F">
              <w:t>Code block CRC size (bits)</w:t>
            </w:r>
          </w:p>
        </w:tc>
        <w:tc>
          <w:tcPr>
            <w:tcW w:w="1076" w:type="dxa"/>
          </w:tcPr>
          <w:p w14:paraId="1D5B8805" w14:textId="77777777" w:rsidR="00241417" w:rsidRPr="004710DC" w:rsidRDefault="00241417" w:rsidP="003A71DE">
            <w:pPr>
              <w:pStyle w:val="TAC"/>
            </w:pPr>
            <w:r w:rsidRPr="004710DC">
              <w:t>24</w:t>
            </w:r>
          </w:p>
        </w:tc>
        <w:tc>
          <w:tcPr>
            <w:tcW w:w="1077" w:type="dxa"/>
          </w:tcPr>
          <w:p w14:paraId="5B7DDCCA" w14:textId="77777777" w:rsidR="00241417" w:rsidRPr="004710DC" w:rsidRDefault="00241417" w:rsidP="003A71DE">
            <w:pPr>
              <w:pStyle w:val="TAC"/>
            </w:pPr>
            <w:r w:rsidRPr="004710DC">
              <w:t>24</w:t>
            </w:r>
          </w:p>
        </w:tc>
        <w:tc>
          <w:tcPr>
            <w:tcW w:w="1076" w:type="dxa"/>
          </w:tcPr>
          <w:p w14:paraId="068C1B56" w14:textId="77777777" w:rsidR="00241417" w:rsidRPr="004710DC" w:rsidRDefault="00241417" w:rsidP="003A71DE">
            <w:pPr>
              <w:pStyle w:val="TAC"/>
            </w:pPr>
            <w:r w:rsidRPr="004710DC">
              <w:rPr>
                <w:lang w:eastAsia="zh-CN"/>
              </w:rPr>
              <w:t>-</w:t>
            </w:r>
          </w:p>
        </w:tc>
        <w:tc>
          <w:tcPr>
            <w:tcW w:w="1077" w:type="dxa"/>
          </w:tcPr>
          <w:p w14:paraId="48015F93" w14:textId="77777777" w:rsidR="00241417" w:rsidRPr="004710DC" w:rsidRDefault="00241417" w:rsidP="003A71DE">
            <w:pPr>
              <w:pStyle w:val="TAC"/>
            </w:pPr>
            <w:r w:rsidRPr="004710DC">
              <w:t>24</w:t>
            </w:r>
          </w:p>
        </w:tc>
        <w:tc>
          <w:tcPr>
            <w:tcW w:w="1077" w:type="dxa"/>
          </w:tcPr>
          <w:p w14:paraId="77BC601E" w14:textId="77777777" w:rsidR="00241417" w:rsidRPr="004710DC" w:rsidRDefault="00241417" w:rsidP="003A71DE">
            <w:pPr>
              <w:pStyle w:val="TAC"/>
            </w:pPr>
            <w:r w:rsidRPr="004710DC">
              <w:t>24</w:t>
            </w:r>
          </w:p>
        </w:tc>
      </w:tr>
      <w:tr w:rsidR="00241417" w:rsidRPr="004710DC" w14:paraId="4AC780B1" w14:textId="77777777" w:rsidTr="003A71DE">
        <w:trPr>
          <w:cantSplit/>
          <w:jc w:val="center"/>
        </w:trPr>
        <w:tc>
          <w:tcPr>
            <w:tcW w:w="3950" w:type="dxa"/>
          </w:tcPr>
          <w:p w14:paraId="3DE247A4" w14:textId="77777777" w:rsidR="00241417" w:rsidRPr="00AD765F" w:rsidRDefault="00241417" w:rsidP="003A71DE">
            <w:pPr>
              <w:pStyle w:val="TAC"/>
            </w:pPr>
            <w:r w:rsidRPr="00AD765F">
              <w:t>Number of code blocks - C</w:t>
            </w:r>
          </w:p>
        </w:tc>
        <w:tc>
          <w:tcPr>
            <w:tcW w:w="1076" w:type="dxa"/>
            <w:vAlign w:val="center"/>
          </w:tcPr>
          <w:p w14:paraId="2CE34588" w14:textId="77777777" w:rsidR="00241417" w:rsidRPr="004710DC" w:rsidRDefault="00241417" w:rsidP="003A71DE">
            <w:pPr>
              <w:pStyle w:val="TAC"/>
            </w:pPr>
            <w:r w:rsidRPr="004710DC">
              <w:t>2</w:t>
            </w:r>
          </w:p>
        </w:tc>
        <w:tc>
          <w:tcPr>
            <w:tcW w:w="1077" w:type="dxa"/>
            <w:vAlign w:val="center"/>
          </w:tcPr>
          <w:p w14:paraId="25EF3BEA" w14:textId="77777777" w:rsidR="00241417" w:rsidRPr="004710DC" w:rsidRDefault="00241417" w:rsidP="003A71DE">
            <w:pPr>
              <w:pStyle w:val="TAC"/>
            </w:pPr>
            <w:r w:rsidRPr="004710DC">
              <w:t>4</w:t>
            </w:r>
          </w:p>
        </w:tc>
        <w:tc>
          <w:tcPr>
            <w:tcW w:w="1076" w:type="dxa"/>
          </w:tcPr>
          <w:p w14:paraId="65DA3AC0" w14:textId="77777777" w:rsidR="00241417" w:rsidRPr="004710DC" w:rsidRDefault="00241417" w:rsidP="003A71DE">
            <w:pPr>
              <w:pStyle w:val="TAC"/>
            </w:pPr>
            <w:r w:rsidRPr="004710DC">
              <w:t>1</w:t>
            </w:r>
          </w:p>
        </w:tc>
        <w:tc>
          <w:tcPr>
            <w:tcW w:w="1077" w:type="dxa"/>
            <w:vAlign w:val="center"/>
          </w:tcPr>
          <w:p w14:paraId="000CC12E" w14:textId="77777777" w:rsidR="00241417" w:rsidRPr="004710DC" w:rsidRDefault="00241417" w:rsidP="003A71DE">
            <w:pPr>
              <w:pStyle w:val="TAC"/>
            </w:pPr>
            <w:r w:rsidRPr="004710DC">
              <w:t>2</w:t>
            </w:r>
          </w:p>
        </w:tc>
        <w:tc>
          <w:tcPr>
            <w:tcW w:w="1077" w:type="dxa"/>
            <w:vAlign w:val="center"/>
          </w:tcPr>
          <w:p w14:paraId="045BA4A2" w14:textId="77777777" w:rsidR="00241417" w:rsidRPr="004710DC" w:rsidRDefault="00241417" w:rsidP="003A71DE">
            <w:pPr>
              <w:pStyle w:val="TAC"/>
            </w:pPr>
            <w:r w:rsidRPr="004710DC">
              <w:t>4</w:t>
            </w:r>
          </w:p>
        </w:tc>
      </w:tr>
      <w:tr w:rsidR="00241417" w:rsidRPr="004710DC" w14:paraId="1F84F196" w14:textId="77777777" w:rsidTr="003A71DE">
        <w:trPr>
          <w:cantSplit/>
          <w:jc w:val="center"/>
        </w:trPr>
        <w:tc>
          <w:tcPr>
            <w:tcW w:w="3950" w:type="dxa"/>
          </w:tcPr>
          <w:p w14:paraId="62A0E361"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513FE923" w14:textId="77777777" w:rsidR="00241417" w:rsidRPr="004710DC" w:rsidRDefault="00241417" w:rsidP="003A71DE">
            <w:pPr>
              <w:pStyle w:val="TAC"/>
            </w:pPr>
            <w:r w:rsidRPr="004710DC">
              <w:t>8232</w:t>
            </w:r>
          </w:p>
        </w:tc>
        <w:tc>
          <w:tcPr>
            <w:tcW w:w="1077" w:type="dxa"/>
            <w:vAlign w:val="center"/>
          </w:tcPr>
          <w:p w14:paraId="1BDFC8F2" w14:textId="77777777" w:rsidR="00241417" w:rsidRPr="004710DC" w:rsidRDefault="00241417" w:rsidP="003A71DE">
            <w:pPr>
              <w:pStyle w:val="TAC"/>
            </w:pPr>
            <w:r w:rsidRPr="004710DC">
              <w:t>8224</w:t>
            </w:r>
          </w:p>
        </w:tc>
        <w:tc>
          <w:tcPr>
            <w:tcW w:w="1076" w:type="dxa"/>
            <w:vAlign w:val="center"/>
          </w:tcPr>
          <w:p w14:paraId="732CAE99" w14:textId="77777777" w:rsidR="00241417" w:rsidRPr="004710DC" w:rsidRDefault="00241417" w:rsidP="003A71DE">
            <w:pPr>
              <w:pStyle w:val="TAC"/>
            </w:pPr>
            <w:r w:rsidRPr="004710DC">
              <w:t>7960</w:t>
            </w:r>
          </w:p>
        </w:tc>
        <w:tc>
          <w:tcPr>
            <w:tcW w:w="1077" w:type="dxa"/>
            <w:vAlign w:val="center"/>
          </w:tcPr>
          <w:p w14:paraId="143316C0" w14:textId="77777777" w:rsidR="00241417" w:rsidRPr="004710DC" w:rsidRDefault="00241417" w:rsidP="003A71DE">
            <w:pPr>
              <w:pStyle w:val="TAC"/>
            </w:pPr>
            <w:r w:rsidRPr="004710DC">
              <w:t>8232</w:t>
            </w:r>
            <w:r w:rsidRPr="004710DC">
              <w:rPr>
                <w:rFonts w:ascii="MS Gothic" w:eastAsia="MS Gothic" w:hAnsi="MS Gothic" w:cs="MS Gothic" w:hint="eastAsia"/>
              </w:rPr>
              <w:t xml:space="preserve">　</w:t>
            </w:r>
          </w:p>
        </w:tc>
        <w:tc>
          <w:tcPr>
            <w:tcW w:w="1077" w:type="dxa"/>
            <w:vAlign w:val="center"/>
          </w:tcPr>
          <w:p w14:paraId="06FC7E46" w14:textId="77777777" w:rsidR="00241417" w:rsidRPr="004710DC" w:rsidRDefault="00241417" w:rsidP="003A71DE">
            <w:pPr>
              <w:pStyle w:val="TAC"/>
            </w:pPr>
            <w:r w:rsidRPr="004710DC">
              <w:t>8224</w:t>
            </w:r>
            <w:r w:rsidRPr="004710DC">
              <w:rPr>
                <w:rFonts w:ascii="MS Gothic" w:eastAsia="MS Gothic" w:hAnsi="MS Gothic" w:cs="MS Gothic" w:hint="eastAsia"/>
              </w:rPr>
              <w:t xml:space="preserve">　</w:t>
            </w:r>
          </w:p>
        </w:tc>
      </w:tr>
      <w:tr w:rsidR="00241417" w:rsidRPr="004710DC" w14:paraId="42B110E6" w14:textId="77777777" w:rsidTr="003A71DE">
        <w:trPr>
          <w:cantSplit/>
          <w:jc w:val="center"/>
        </w:trPr>
        <w:tc>
          <w:tcPr>
            <w:tcW w:w="3950" w:type="dxa"/>
          </w:tcPr>
          <w:p w14:paraId="4A34DD23"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691452CA" w14:textId="77777777" w:rsidR="00241417" w:rsidRPr="004710DC" w:rsidRDefault="00241417" w:rsidP="003A71DE">
            <w:pPr>
              <w:pStyle w:val="TAC"/>
            </w:pPr>
            <w:r w:rsidRPr="004710DC">
              <w:t>25344</w:t>
            </w:r>
          </w:p>
        </w:tc>
        <w:tc>
          <w:tcPr>
            <w:tcW w:w="1077" w:type="dxa"/>
            <w:vAlign w:val="center"/>
          </w:tcPr>
          <w:p w14:paraId="4BB90FBC" w14:textId="77777777" w:rsidR="00241417" w:rsidRPr="004710DC" w:rsidRDefault="00241417" w:rsidP="003A71DE">
            <w:pPr>
              <w:pStyle w:val="TAC"/>
            </w:pPr>
            <w:r w:rsidRPr="004710DC">
              <w:t>50688</w:t>
            </w:r>
          </w:p>
        </w:tc>
        <w:tc>
          <w:tcPr>
            <w:tcW w:w="1076" w:type="dxa"/>
            <w:vAlign w:val="center"/>
          </w:tcPr>
          <w:p w14:paraId="159D7EE9" w14:textId="77777777" w:rsidR="00241417" w:rsidRPr="004710DC" w:rsidRDefault="00241417" w:rsidP="003A71DE">
            <w:pPr>
              <w:pStyle w:val="TAC"/>
            </w:pPr>
            <w:r w:rsidRPr="004710DC">
              <w:t>12288</w:t>
            </w:r>
          </w:p>
        </w:tc>
        <w:tc>
          <w:tcPr>
            <w:tcW w:w="1077" w:type="dxa"/>
            <w:vAlign w:val="center"/>
          </w:tcPr>
          <w:p w14:paraId="561A5B6D" w14:textId="77777777" w:rsidR="00241417" w:rsidRPr="004710DC" w:rsidRDefault="00241417" w:rsidP="003A71DE">
            <w:pPr>
              <w:pStyle w:val="TAC"/>
            </w:pPr>
            <w:r w:rsidRPr="004710DC">
              <w:t>25344</w:t>
            </w:r>
          </w:p>
        </w:tc>
        <w:tc>
          <w:tcPr>
            <w:tcW w:w="1077" w:type="dxa"/>
            <w:vAlign w:val="center"/>
          </w:tcPr>
          <w:p w14:paraId="4C3259EF" w14:textId="77777777" w:rsidR="00241417" w:rsidRPr="004710DC" w:rsidRDefault="00241417" w:rsidP="003A71DE">
            <w:pPr>
              <w:pStyle w:val="TAC"/>
            </w:pPr>
            <w:r w:rsidRPr="004710DC">
              <w:t>50688</w:t>
            </w:r>
          </w:p>
        </w:tc>
      </w:tr>
      <w:tr w:rsidR="00241417" w:rsidRPr="004710DC" w14:paraId="706FF8AA" w14:textId="77777777" w:rsidTr="003A71DE">
        <w:trPr>
          <w:cantSplit/>
          <w:jc w:val="center"/>
        </w:trPr>
        <w:tc>
          <w:tcPr>
            <w:tcW w:w="3950" w:type="dxa"/>
          </w:tcPr>
          <w:p w14:paraId="1DE210B0"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vAlign w:val="center"/>
          </w:tcPr>
          <w:p w14:paraId="04A6EE35" w14:textId="77777777" w:rsidR="00241417" w:rsidRPr="004710DC" w:rsidRDefault="00241417" w:rsidP="003A71DE">
            <w:pPr>
              <w:pStyle w:val="TAC"/>
            </w:pPr>
            <w:r w:rsidRPr="004710DC">
              <w:t>6336</w:t>
            </w:r>
          </w:p>
        </w:tc>
        <w:tc>
          <w:tcPr>
            <w:tcW w:w="1077" w:type="dxa"/>
            <w:vAlign w:val="center"/>
          </w:tcPr>
          <w:p w14:paraId="130D188F" w14:textId="77777777" w:rsidR="00241417" w:rsidRPr="004710DC" w:rsidRDefault="00241417" w:rsidP="003A71DE">
            <w:pPr>
              <w:pStyle w:val="TAC"/>
            </w:pPr>
            <w:r w:rsidRPr="004710DC">
              <w:t>12672</w:t>
            </w:r>
          </w:p>
        </w:tc>
        <w:tc>
          <w:tcPr>
            <w:tcW w:w="1076" w:type="dxa"/>
          </w:tcPr>
          <w:p w14:paraId="7873ED5A" w14:textId="77777777" w:rsidR="00241417" w:rsidRPr="004710DC" w:rsidRDefault="00241417" w:rsidP="003A71DE">
            <w:pPr>
              <w:pStyle w:val="TAC"/>
            </w:pPr>
            <w:r w:rsidRPr="004710DC">
              <w:t>3072</w:t>
            </w:r>
          </w:p>
        </w:tc>
        <w:tc>
          <w:tcPr>
            <w:tcW w:w="1077" w:type="dxa"/>
            <w:vAlign w:val="center"/>
          </w:tcPr>
          <w:p w14:paraId="126599DF" w14:textId="77777777" w:rsidR="00241417" w:rsidRPr="004710DC" w:rsidRDefault="00241417" w:rsidP="003A71DE">
            <w:pPr>
              <w:pStyle w:val="TAC"/>
            </w:pPr>
            <w:r w:rsidRPr="004710DC">
              <w:t>6336</w:t>
            </w:r>
          </w:p>
        </w:tc>
        <w:tc>
          <w:tcPr>
            <w:tcW w:w="1077" w:type="dxa"/>
            <w:vAlign w:val="center"/>
          </w:tcPr>
          <w:p w14:paraId="5ECCC35F" w14:textId="77777777" w:rsidR="00241417" w:rsidRPr="004710DC" w:rsidRDefault="00241417" w:rsidP="003A71DE">
            <w:pPr>
              <w:pStyle w:val="TAC"/>
            </w:pPr>
            <w:r w:rsidRPr="004710DC">
              <w:t>12672</w:t>
            </w:r>
          </w:p>
        </w:tc>
      </w:tr>
      <w:tr w:rsidR="00241417" w:rsidRPr="00AD765F" w14:paraId="44FF5CD9" w14:textId="77777777" w:rsidTr="003A71DE">
        <w:trPr>
          <w:cantSplit/>
          <w:jc w:val="center"/>
        </w:trPr>
        <w:tc>
          <w:tcPr>
            <w:tcW w:w="9333" w:type="dxa"/>
            <w:gridSpan w:val="6"/>
          </w:tcPr>
          <w:p w14:paraId="12A373D8"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w:t>
            </w:r>
            <w:r w:rsidRPr="00AD765F">
              <w:rPr>
                <w:lang w:eastAsia="zh-CN"/>
              </w:rPr>
              <w:t xml:space="preserve">and </w:t>
            </w:r>
            <w:r w:rsidRPr="00AD765F">
              <w:rPr>
                <w:i/>
                <w:lang w:eastAsia="zh-CN"/>
              </w:rPr>
              <w:t xml:space="preserve">l </w:t>
            </w:r>
            <w:r w:rsidRPr="00AD765F">
              <w:rPr>
                <w:lang w:eastAsia="zh-CN"/>
              </w:rPr>
              <w:t xml:space="preserve">=8 </w:t>
            </w:r>
            <w:r w:rsidRPr="00AD765F">
              <w:t>as per Table 6.4.1.1.3-3 of TS 38.211 [8].</w:t>
            </w:r>
          </w:p>
          <w:p w14:paraId="239FD01B"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 </w:t>
            </w:r>
            <w:r w:rsidRPr="00AD765F">
              <w:rPr>
                <w:lang w:eastAsia="zh-CN"/>
              </w:rPr>
              <w:t>5.2.2 of TS 38.212 [9].</w:t>
            </w:r>
          </w:p>
        </w:tc>
      </w:tr>
    </w:tbl>
    <w:p w14:paraId="1399BDC9" w14:textId="77777777" w:rsidR="00241417" w:rsidRPr="00AD765F" w:rsidRDefault="00241417" w:rsidP="00241417">
      <w:pPr>
        <w:rPr>
          <w:lang w:eastAsia="zh-CN"/>
        </w:rPr>
      </w:pPr>
    </w:p>
    <w:p w14:paraId="0C129067" w14:textId="77777777" w:rsidR="00241417" w:rsidRPr="00AD765F" w:rsidRDefault="00241417" w:rsidP="00241417">
      <w:pPr>
        <w:pStyle w:val="TH"/>
        <w:rPr>
          <w:lang w:eastAsia="zh-CN"/>
        </w:rPr>
      </w:pPr>
      <w:r w:rsidRPr="00AD765F">
        <w:rPr>
          <w:rFonts w:eastAsia="Malgun Gothic"/>
        </w:rPr>
        <w:t>Table A.2.</w:t>
      </w:r>
      <w:r w:rsidRPr="00AD765F">
        <w:rPr>
          <w:lang w:eastAsia="zh-CN"/>
        </w:rPr>
        <w:t>3</w:t>
      </w:r>
      <w:r w:rsidRPr="00AD765F">
        <w:rPr>
          <w:rFonts w:eastAsia="Malgun Gothic"/>
        </w:rPr>
        <w:t>-</w:t>
      </w:r>
      <w:r w:rsidRPr="00AD765F">
        <w:rPr>
          <w:lang w:eastAsia="zh-CN"/>
        </w:rPr>
        <w:t>6</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2 transmission layers</w:t>
      </w:r>
      <w:r w:rsidRPr="00AD765F">
        <w:rPr>
          <w:rFonts w:eastAsia="Malgun Gothic"/>
        </w:rPr>
        <w:t xml:space="preserve"> (</w:t>
      </w:r>
      <w:r w:rsidRPr="00AD765F">
        <w:rPr>
          <w:lang w:eastAsia="zh-CN"/>
        </w:rPr>
        <w:t>16QAM</w:t>
      </w:r>
      <w:r w:rsidRPr="00AD765F">
        <w:rPr>
          <w:rFonts w:eastAsia="Malgun Gothic"/>
        </w:rPr>
        <w:t>, R=658/1024)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7025F55E" w14:textId="77777777" w:rsidTr="003A71DE">
        <w:trPr>
          <w:cantSplit/>
          <w:jc w:val="center"/>
        </w:trPr>
        <w:tc>
          <w:tcPr>
            <w:tcW w:w="3950" w:type="dxa"/>
          </w:tcPr>
          <w:p w14:paraId="3F3A84BA" w14:textId="77777777" w:rsidR="00241417" w:rsidRPr="004710DC" w:rsidRDefault="00241417" w:rsidP="003A71DE">
            <w:pPr>
              <w:pStyle w:val="TAH"/>
            </w:pPr>
            <w:r w:rsidRPr="004710DC">
              <w:t>Reference channel</w:t>
            </w:r>
          </w:p>
        </w:tc>
        <w:tc>
          <w:tcPr>
            <w:tcW w:w="1076" w:type="dxa"/>
          </w:tcPr>
          <w:p w14:paraId="4302AE15" w14:textId="6D784748" w:rsidR="00241417" w:rsidRPr="004710DC" w:rsidRDefault="00241417" w:rsidP="003A71DE">
            <w:pPr>
              <w:pStyle w:val="TAH"/>
            </w:pPr>
            <w:r>
              <w:rPr>
                <w:lang w:eastAsia="zh-CN"/>
              </w:rPr>
              <w:t>D-FR2-A.2.3</w:t>
            </w:r>
            <w:r w:rsidRPr="004710DC">
              <w:rPr>
                <w:lang w:eastAsia="zh-CN"/>
              </w:rPr>
              <w:t>-16</w:t>
            </w:r>
          </w:p>
        </w:tc>
        <w:tc>
          <w:tcPr>
            <w:tcW w:w="1077" w:type="dxa"/>
          </w:tcPr>
          <w:p w14:paraId="58DD45A7" w14:textId="3A538613" w:rsidR="00241417" w:rsidRPr="004710DC" w:rsidRDefault="00241417" w:rsidP="003A71DE">
            <w:pPr>
              <w:pStyle w:val="TAH"/>
            </w:pPr>
            <w:r>
              <w:rPr>
                <w:lang w:eastAsia="zh-CN"/>
              </w:rPr>
              <w:t>D-FR2-A.2.3</w:t>
            </w:r>
            <w:r w:rsidRPr="004710DC">
              <w:rPr>
                <w:lang w:eastAsia="zh-CN"/>
              </w:rPr>
              <w:t>-17</w:t>
            </w:r>
          </w:p>
        </w:tc>
        <w:tc>
          <w:tcPr>
            <w:tcW w:w="1076" w:type="dxa"/>
          </w:tcPr>
          <w:p w14:paraId="3BC5F255" w14:textId="314B568D" w:rsidR="00241417" w:rsidRPr="004710DC" w:rsidRDefault="00241417" w:rsidP="003A71DE">
            <w:pPr>
              <w:pStyle w:val="TAH"/>
            </w:pPr>
            <w:r>
              <w:rPr>
                <w:lang w:eastAsia="zh-CN"/>
              </w:rPr>
              <w:t>D-FR2-A.2.3</w:t>
            </w:r>
            <w:r w:rsidRPr="004710DC">
              <w:rPr>
                <w:lang w:eastAsia="zh-CN"/>
              </w:rPr>
              <w:t>-18</w:t>
            </w:r>
          </w:p>
        </w:tc>
        <w:tc>
          <w:tcPr>
            <w:tcW w:w="1077" w:type="dxa"/>
          </w:tcPr>
          <w:p w14:paraId="33EE787A" w14:textId="32443C49" w:rsidR="00241417" w:rsidRPr="004710DC" w:rsidRDefault="00241417" w:rsidP="003A71DE">
            <w:pPr>
              <w:pStyle w:val="TAH"/>
            </w:pPr>
            <w:r>
              <w:rPr>
                <w:lang w:eastAsia="zh-CN"/>
              </w:rPr>
              <w:t>D-FR2-A.2.3</w:t>
            </w:r>
            <w:r w:rsidRPr="004710DC">
              <w:rPr>
                <w:lang w:eastAsia="zh-CN"/>
              </w:rPr>
              <w:t>-19</w:t>
            </w:r>
          </w:p>
        </w:tc>
        <w:tc>
          <w:tcPr>
            <w:tcW w:w="1077" w:type="dxa"/>
          </w:tcPr>
          <w:p w14:paraId="5E90B2BD" w14:textId="7EC986EB" w:rsidR="00241417" w:rsidRPr="004710DC" w:rsidRDefault="00241417" w:rsidP="003A71DE">
            <w:pPr>
              <w:pStyle w:val="TAH"/>
            </w:pPr>
            <w:r>
              <w:rPr>
                <w:lang w:eastAsia="zh-CN"/>
              </w:rPr>
              <w:t>D-FR2-A.2.3</w:t>
            </w:r>
            <w:r w:rsidRPr="004710DC">
              <w:rPr>
                <w:lang w:eastAsia="zh-CN"/>
              </w:rPr>
              <w:t>-20</w:t>
            </w:r>
          </w:p>
        </w:tc>
      </w:tr>
      <w:tr w:rsidR="00241417" w:rsidRPr="004710DC" w14:paraId="5EE6CF47" w14:textId="77777777" w:rsidTr="003A71DE">
        <w:trPr>
          <w:cantSplit/>
          <w:jc w:val="center"/>
        </w:trPr>
        <w:tc>
          <w:tcPr>
            <w:tcW w:w="3950" w:type="dxa"/>
          </w:tcPr>
          <w:p w14:paraId="7B4308E3"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55B8E27A" w14:textId="77777777" w:rsidR="00241417" w:rsidRPr="004710DC" w:rsidRDefault="00241417" w:rsidP="003A71DE">
            <w:pPr>
              <w:pStyle w:val="TAC"/>
              <w:rPr>
                <w:lang w:eastAsia="zh-CN"/>
              </w:rPr>
            </w:pPr>
            <w:r w:rsidRPr="004710DC">
              <w:rPr>
                <w:lang w:eastAsia="zh-CN"/>
              </w:rPr>
              <w:t>60</w:t>
            </w:r>
          </w:p>
        </w:tc>
        <w:tc>
          <w:tcPr>
            <w:tcW w:w="1077" w:type="dxa"/>
          </w:tcPr>
          <w:p w14:paraId="30D53F75" w14:textId="77777777" w:rsidR="00241417" w:rsidRPr="004710DC" w:rsidRDefault="00241417" w:rsidP="003A71DE">
            <w:pPr>
              <w:pStyle w:val="TAC"/>
            </w:pPr>
            <w:r w:rsidRPr="004710DC">
              <w:rPr>
                <w:lang w:eastAsia="zh-CN"/>
              </w:rPr>
              <w:t>60</w:t>
            </w:r>
          </w:p>
        </w:tc>
        <w:tc>
          <w:tcPr>
            <w:tcW w:w="1076" w:type="dxa"/>
          </w:tcPr>
          <w:p w14:paraId="7FF03CDF" w14:textId="77777777" w:rsidR="00241417" w:rsidRPr="004710DC" w:rsidRDefault="00241417" w:rsidP="003A71DE">
            <w:pPr>
              <w:pStyle w:val="TAC"/>
            </w:pPr>
            <w:r w:rsidRPr="004710DC">
              <w:rPr>
                <w:lang w:eastAsia="zh-CN"/>
              </w:rPr>
              <w:t>120</w:t>
            </w:r>
          </w:p>
        </w:tc>
        <w:tc>
          <w:tcPr>
            <w:tcW w:w="1077" w:type="dxa"/>
          </w:tcPr>
          <w:p w14:paraId="3E5C4141" w14:textId="77777777" w:rsidR="00241417" w:rsidRPr="004710DC" w:rsidRDefault="00241417" w:rsidP="003A71DE">
            <w:pPr>
              <w:pStyle w:val="TAC"/>
            </w:pPr>
            <w:r w:rsidRPr="004710DC">
              <w:rPr>
                <w:lang w:eastAsia="zh-CN"/>
              </w:rPr>
              <w:t>120</w:t>
            </w:r>
          </w:p>
        </w:tc>
        <w:tc>
          <w:tcPr>
            <w:tcW w:w="1077" w:type="dxa"/>
          </w:tcPr>
          <w:p w14:paraId="74403965" w14:textId="77777777" w:rsidR="00241417" w:rsidRPr="004710DC" w:rsidRDefault="00241417" w:rsidP="003A71DE">
            <w:pPr>
              <w:pStyle w:val="TAC"/>
            </w:pPr>
            <w:r w:rsidRPr="004710DC">
              <w:rPr>
                <w:lang w:eastAsia="zh-CN"/>
              </w:rPr>
              <w:t>120</w:t>
            </w:r>
          </w:p>
        </w:tc>
      </w:tr>
      <w:tr w:rsidR="00241417" w:rsidRPr="004710DC" w14:paraId="46F4E009" w14:textId="77777777" w:rsidTr="003A71DE">
        <w:trPr>
          <w:cantSplit/>
          <w:jc w:val="center"/>
        </w:trPr>
        <w:tc>
          <w:tcPr>
            <w:tcW w:w="3950" w:type="dxa"/>
          </w:tcPr>
          <w:p w14:paraId="57AAACBC" w14:textId="77777777" w:rsidR="00241417" w:rsidRPr="004710DC" w:rsidRDefault="00241417" w:rsidP="003A71DE">
            <w:pPr>
              <w:pStyle w:val="TAC"/>
            </w:pPr>
            <w:r w:rsidRPr="004710DC">
              <w:t>Allocated resource blocks</w:t>
            </w:r>
          </w:p>
        </w:tc>
        <w:tc>
          <w:tcPr>
            <w:tcW w:w="1076" w:type="dxa"/>
          </w:tcPr>
          <w:p w14:paraId="49B18F40" w14:textId="77777777" w:rsidR="00241417" w:rsidRPr="004710DC" w:rsidRDefault="00241417" w:rsidP="003A71DE">
            <w:pPr>
              <w:pStyle w:val="TAC"/>
            </w:pPr>
            <w:r w:rsidRPr="004710DC">
              <w:t>66</w:t>
            </w:r>
          </w:p>
        </w:tc>
        <w:tc>
          <w:tcPr>
            <w:tcW w:w="1077" w:type="dxa"/>
          </w:tcPr>
          <w:p w14:paraId="3BD153C1" w14:textId="77777777" w:rsidR="00241417" w:rsidRPr="004710DC" w:rsidRDefault="00241417" w:rsidP="003A71DE">
            <w:pPr>
              <w:pStyle w:val="TAC"/>
            </w:pPr>
            <w:r w:rsidRPr="004710DC">
              <w:t>132</w:t>
            </w:r>
          </w:p>
        </w:tc>
        <w:tc>
          <w:tcPr>
            <w:tcW w:w="1076" w:type="dxa"/>
          </w:tcPr>
          <w:p w14:paraId="6886F438" w14:textId="77777777" w:rsidR="00241417" w:rsidRPr="004710DC" w:rsidRDefault="00241417" w:rsidP="003A71DE">
            <w:pPr>
              <w:pStyle w:val="TAC"/>
            </w:pPr>
            <w:r w:rsidRPr="004710DC">
              <w:t>32</w:t>
            </w:r>
          </w:p>
        </w:tc>
        <w:tc>
          <w:tcPr>
            <w:tcW w:w="1077" w:type="dxa"/>
          </w:tcPr>
          <w:p w14:paraId="1C53F1C5" w14:textId="77777777" w:rsidR="00241417" w:rsidRPr="004710DC" w:rsidRDefault="00241417" w:rsidP="003A71DE">
            <w:pPr>
              <w:pStyle w:val="TAC"/>
            </w:pPr>
            <w:r w:rsidRPr="004710DC">
              <w:t>66</w:t>
            </w:r>
          </w:p>
        </w:tc>
        <w:tc>
          <w:tcPr>
            <w:tcW w:w="1077" w:type="dxa"/>
          </w:tcPr>
          <w:p w14:paraId="5B6EDBD8" w14:textId="77777777" w:rsidR="00241417" w:rsidRPr="004710DC" w:rsidRDefault="00241417" w:rsidP="003A71DE">
            <w:pPr>
              <w:pStyle w:val="TAC"/>
            </w:pPr>
            <w:r w:rsidRPr="004710DC">
              <w:t>132</w:t>
            </w:r>
          </w:p>
        </w:tc>
      </w:tr>
      <w:tr w:rsidR="00241417" w:rsidRPr="004710DC" w14:paraId="463AD083" w14:textId="77777777" w:rsidTr="003A71DE">
        <w:trPr>
          <w:cantSplit/>
          <w:jc w:val="center"/>
        </w:trPr>
        <w:tc>
          <w:tcPr>
            <w:tcW w:w="3950" w:type="dxa"/>
          </w:tcPr>
          <w:p w14:paraId="3B4388B2"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28DFDCD2" w14:textId="77777777" w:rsidR="00241417" w:rsidRPr="004710DC" w:rsidRDefault="00241417" w:rsidP="003A71DE">
            <w:pPr>
              <w:pStyle w:val="TAC"/>
              <w:rPr>
                <w:lang w:eastAsia="zh-CN"/>
              </w:rPr>
            </w:pPr>
            <w:r w:rsidRPr="004710DC">
              <w:rPr>
                <w:lang w:eastAsia="zh-CN"/>
              </w:rPr>
              <w:t>8</w:t>
            </w:r>
          </w:p>
        </w:tc>
        <w:tc>
          <w:tcPr>
            <w:tcW w:w="1077" w:type="dxa"/>
          </w:tcPr>
          <w:p w14:paraId="2F273B0F" w14:textId="77777777" w:rsidR="00241417" w:rsidRPr="004710DC" w:rsidRDefault="00241417" w:rsidP="003A71DE">
            <w:pPr>
              <w:pStyle w:val="TAC"/>
              <w:rPr>
                <w:lang w:eastAsia="zh-CN"/>
              </w:rPr>
            </w:pPr>
            <w:r w:rsidRPr="004710DC">
              <w:rPr>
                <w:lang w:eastAsia="zh-CN"/>
              </w:rPr>
              <w:t>8</w:t>
            </w:r>
          </w:p>
        </w:tc>
        <w:tc>
          <w:tcPr>
            <w:tcW w:w="1076" w:type="dxa"/>
          </w:tcPr>
          <w:p w14:paraId="0F116EF7" w14:textId="77777777" w:rsidR="00241417" w:rsidRPr="004710DC" w:rsidRDefault="00241417" w:rsidP="003A71DE">
            <w:pPr>
              <w:pStyle w:val="TAC"/>
              <w:rPr>
                <w:lang w:eastAsia="zh-CN"/>
              </w:rPr>
            </w:pPr>
            <w:r w:rsidRPr="004710DC">
              <w:rPr>
                <w:lang w:eastAsia="zh-CN"/>
              </w:rPr>
              <w:t>8</w:t>
            </w:r>
          </w:p>
        </w:tc>
        <w:tc>
          <w:tcPr>
            <w:tcW w:w="1077" w:type="dxa"/>
          </w:tcPr>
          <w:p w14:paraId="2ADABC45" w14:textId="77777777" w:rsidR="00241417" w:rsidRPr="004710DC" w:rsidRDefault="00241417" w:rsidP="003A71DE">
            <w:pPr>
              <w:pStyle w:val="TAC"/>
              <w:rPr>
                <w:lang w:eastAsia="zh-CN"/>
              </w:rPr>
            </w:pPr>
            <w:r w:rsidRPr="004710DC">
              <w:rPr>
                <w:lang w:eastAsia="zh-CN"/>
              </w:rPr>
              <w:t>8</w:t>
            </w:r>
          </w:p>
        </w:tc>
        <w:tc>
          <w:tcPr>
            <w:tcW w:w="1077" w:type="dxa"/>
          </w:tcPr>
          <w:p w14:paraId="247561EF" w14:textId="77777777" w:rsidR="00241417" w:rsidRPr="004710DC" w:rsidRDefault="00241417" w:rsidP="003A71DE">
            <w:pPr>
              <w:pStyle w:val="TAC"/>
              <w:rPr>
                <w:lang w:eastAsia="zh-CN"/>
              </w:rPr>
            </w:pPr>
            <w:r w:rsidRPr="004710DC">
              <w:rPr>
                <w:lang w:eastAsia="zh-CN"/>
              </w:rPr>
              <w:t>8</w:t>
            </w:r>
          </w:p>
        </w:tc>
      </w:tr>
      <w:tr w:rsidR="00241417" w:rsidRPr="004710DC" w14:paraId="3F56EB1D" w14:textId="77777777" w:rsidTr="003A71DE">
        <w:trPr>
          <w:cantSplit/>
          <w:jc w:val="center"/>
        </w:trPr>
        <w:tc>
          <w:tcPr>
            <w:tcW w:w="3950" w:type="dxa"/>
          </w:tcPr>
          <w:p w14:paraId="595DFE64" w14:textId="77777777" w:rsidR="00241417" w:rsidRPr="004710DC" w:rsidRDefault="00241417" w:rsidP="003A71DE">
            <w:pPr>
              <w:pStyle w:val="TAC"/>
            </w:pPr>
            <w:r w:rsidRPr="004710DC">
              <w:t>Modulation</w:t>
            </w:r>
          </w:p>
        </w:tc>
        <w:tc>
          <w:tcPr>
            <w:tcW w:w="1076" w:type="dxa"/>
          </w:tcPr>
          <w:p w14:paraId="05F52324" w14:textId="77777777" w:rsidR="00241417" w:rsidRPr="004710DC" w:rsidRDefault="00241417" w:rsidP="003A71DE">
            <w:pPr>
              <w:pStyle w:val="TAC"/>
              <w:rPr>
                <w:lang w:eastAsia="zh-CN"/>
              </w:rPr>
            </w:pPr>
            <w:r w:rsidRPr="004710DC">
              <w:rPr>
                <w:lang w:eastAsia="zh-CN"/>
              </w:rPr>
              <w:t>16QAM</w:t>
            </w:r>
          </w:p>
        </w:tc>
        <w:tc>
          <w:tcPr>
            <w:tcW w:w="1077" w:type="dxa"/>
          </w:tcPr>
          <w:p w14:paraId="2851C344" w14:textId="77777777" w:rsidR="00241417" w:rsidRPr="004710DC" w:rsidRDefault="00241417" w:rsidP="003A71DE">
            <w:pPr>
              <w:pStyle w:val="TAC"/>
              <w:rPr>
                <w:lang w:eastAsia="zh-CN"/>
              </w:rPr>
            </w:pPr>
            <w:r w:rsidRPr="004710DC">
              <w:rPr>
                <w:lang w:eastAsia="zh-CN"/>
              </w:rPr>
              <w:t>16QAM</w:t>
            </w:r>
          </w:p>
        </w:tc>
        <w:tc>
          <w:tcPr>
            <w:tcW w:w="1076" w:type="dxa"/>
          </w:tcPr>
          <w:p w14:paraId="63BCE177" w14:textId="77777777" w:rsidR="00241417" w:rsidRPr="004710DC" w:rsidRDefault="00241417" w:rsidP="003A71DE">
            <w:pPr>
              <w:pStyle w:val="TAC"/>
              <w:rPr>
                <w:lang w:eastAsia="zh-CN"/>
              </w:rPr>
            </w:pPr>
            <w:r w:rsidRPr="004710DC">
              <w:rPr>
                <w:lang w:eastAsia="zh-CN"/>
              </w:rPr>
              <w:t>16QAM</w:t>
            </w:r>
          </w:p>
        </w:tc>
        <w:tc>
          <w:tcPr>
            <w:tcW w:w="1077" w:type="dxa"/>
          </w:tcPr>
          <w:p w14:paraId="6022834C" w14:textId="77777777" w:rsidR="00241417" w:rsidRPr="004710DC" w:rsidRDefault="00241417" w:rsidP="003A71DE">
            <w:pPr>
              <w:pStyle w:val="TAC"/>
              <w:rPr>
                <w:lang w:eastAsia="zh-CN"/>
              </w:rPr>
            </w:pPr>
            <w:r w:rsidRPr="004710DC">
              <w:rPr>
                <w:lang w:eastAsia="zh-CN"/>
              </w:rPr>
              <w:t>16QAM</w:t>
            </w:r>
          </w:p>
        </w:tc>
        <w:tc>
          <w:tcPr>
            <w:tcW w:w="1077" w:type="dxa"/>
          </w:tcPr>
          <w:p w14:paraId="2713D81F" w14:textId="77777777" w:rsidR="00241417" w:rsidRPr="004710DC" w:rsidRDefault="00241417" w:rsidP="003A71DE">
            <w:pPr>
              <w:pStyle w:val="TAC"/>
              <w:rPr>
                <w:lang w:eastAsia="zh-CN"/>
              </w:rPr>
            </w:pPr>
            <w:r w:rsidRPr="004710DC">
              <w:rPr>
                <w:lang w:eastAsia="zh-CN"/>
              </w:rPr>
              <w:t>16QAM</w:t>
            </w:r>
          </w:p>
        </w:tc>
      </w:tr>
      <w:tr w:rsidR="00241417" w:rsidRPr="004710DC" w14:paraId="2F8764D8" w14:textId="77777777" w:rsidTr="003A71DE">
        <w:trPr>
          <w:cantSplit/>
          <w:jc w:val="center"/>
        </w:trPr>
        <w:tc>
          <w:tcPr>
            <w:tcW w:w="3950" w:type="dxa"/>
          </w:tcPr>
          <w:p w14:paraId="048686D0" w14:textId="77777777" w:rsidR="00241417" w:rsidRPr="004710DC" w:rsidRDefault="00241417" w:rsidP="003A71DE">
            <w:pPr>
              <w:pStyle w:val="TAC"/>
            </w:pPr>
            <w:r>
              <w:t>Code Rate</w:t>
            </w:r>
          </w:p>
        </w:tc>
        <w:tc>
          <w:tcPr>
            <w:tcW w:w="1076" w:type="dxa"/>
          </w:tcPr>
          <w:p w14:paraId="37EE93C8" w14:textId="77777777" w:rsidR="00241417" w:rsidRPr="004710DC" w:rsidRDefault="00241417" w:rsidP="003A71DE">
            <w:pPr>
              <w:pStyle w:val="TAC"/>
              <w:rPr>
                <w:lang w:eastAsia="zh-CN"/>
              </w:rPr>
            </w:pPr>
            <w:r w:rsidRPr="004710DC">
              <w:t>658/1024</w:t>
            </w:r>
          </w:p>
        </w:tc>
        <w:tc>
          <w:tcPr>
            <w:tcW w:w="1077" w:type="dxa"/>
          </w:tcPr>
          <w:p w14:paraId="56A83EAA" w14:textId="77777777" w:rsidR="00241417" w:rsidRPr="004710DC" w:rsidRDefault="00241417" w:rsidP="003A71DE">
            <w:pPr>
              <w:pStyle w:val="TAC"/>
              <w:rPr>
                <w:lang w:eastAsia="zh-CN"/>
              </w:rPr>
            </w:pPr>
            <w:r w:rsidRPr="004710DC">
              <w:t>658/1024</w:t>
            </w:r>
          </w:p>
        </w:tc>
        <w:tc>
          <w:tcPr>
            <w:tcW w:w="1076" w:type="dxa"/>
          </w:tcPr>
          <w:p w14:paraId="0F78E5E3" w14:textId="77777777" w:rsidR="00241417" w:rsidRPr="004710DC" w:rsidRDefault="00241417" w:rsidP="003A71DE">
            <w:pPr>
              <w:pStyle w:val="TAC"/>
              <w:rPr>
                <w:lang w:eastAsia="zh-CN"/>
              </w:rPr>
            </w:pPr>
            <w:r w:rsidRPr="004710DC">
              <w:t>658/1024</w:t>
            </w:r>
          </w:p>
        </w:tc>
        <w:tc>
          <w:tcPr>
            <w:tcW w:w="1077" w:type="dxa"/>
          </w:tcPr>
          <w:p w14:paraId="2C17FF0C" w14:textId="77777777" w:rsidR="00241417" w:rsidRPr="004710DC" w:rsidRDefault="00241417" w:rsidP="003A71DE">
            <w:pPr>
              <w:pStyle w:val="TAC"/>
              <w:rPr>
                <w:lang w:eastAsia="zh-CN"/>
              </w:rPr>
            </w:pPr>
            <w:r w:rsidRPr="004710DC">
              <w:t>658/1024</w:t>
            </w:r>
          </w:p>
        </w:tc>
        <w:tc>
          <w:tcPr>
            <w:tcW w:w="1077" w:type="dxa"/>
          </w:tcPr>
          <w:p w14:paraId="2FA03113" w14:textId="77777777" w:rsidR="00241417" w:rsidRPr="004710DC" w:rsidRDefault="00241417" w:rsidP="003A71DE">
            <w:pPr>
              <w:pStyle w:val="TAC"/>
              <w:rPr>
                <w:lang w:eastAsia="zh-CN"/>
              </w:rPr>
            </w:pPr>
            <w:r w:rsidRPr="004710DC">
              <w:t>658/1024</w:t>
            </w:r>
          </w:p>
        </w:tc>
      </w:tr>
      <w:tr w:rsidR="00241417" w:rsidRPr="004710DC" w14:paraId="27BF7956" w14:textId="77777777" w:rsidTr="003A71DE">
        <w:trPr>
          <w:cantSplit/>
          <w:jc w:val="center"/>
        </w:trPr>
        <w:tc>
          <w:tcPr>
            <w:tcW w:w="3950" w:type="dxa"/>
          </w:tcPr>
          <w:p w14:paraId="78347C1F" w14:textId="77777777" w:rsidR="00241417" w:rsidRPr="004710DC" w:rsidRDefault="00241417" w:rsidP="003A71DE">
            <w:pPr>
              <w:pStyle w:val="TAC"/>
            </w:pPr>
            <w:r w:rsidRPr="004710DC">
              <w:t>Payload size (bits)</w:t>
            </w:r>
          </w:p>
        </w:tc>
        <w:tc>
          <w:tcPr>
            <w:tcW w:w="1076" w:type="dxa"/>
            <w:vAlign w:val="center"/>
          </w:tcPr>
          <w:p w14:paraId="108AA04F" w14:textId="77777777" w:rsidR="00241417" w:rsidRPr="004710DC" w:rsidRDefault="00241417" w:rsidP="003A71DE">
            <w:pPr>
              <w:pStyle w:val="TAC"/>
            </w:pPr>
            <w:r w:rsidRPr="004710DC">
              <w:t>32776</w:t>
            </w:r>
          </w:p>
        </w:tc>
        <w:tc>
          <w:tcPr>
            <w:tcW w:w="1077" w:type="dxa"/>
            <w:vAlign w:val="center"/>
          </w:tcPr>
          <w:p w14:paraId="3134B1AB" w14:textId="77777777" w:rsidR="00241417" w:rsidRPr="004710DC" w:rsidRDefault="00241417" w:rsidP="003A71DE">
            <w:pPr>
              <w:pStyle w:val="TAC"/>
            </w:pPr>
            <w:r w:rsidRPr="004710DC">
              <w:t>65576</w:t>
            </w:r>
          </w:p>
        </w:tc>
        <w:tc>
          <w:tcPr>
            <w:tcW w:w="1076" w:type="dxa"/>
          </w:tcPr>
          <w:p w14:paraId="4D90C516" w14:textId="77777777" w:rsidR="00241417" w:rsidRPr="004710DC" w:rsidRDefault="00241417" w:rsidP="003A71DE">
            <w:pPr>
              <w:pStyle w:val="TAC"/>
            </w:pPr>
            <w:r w:rsidRPr="004710DC">
              <w:t>15880</w:t>
            </w:r>
          </w:p>
        </w:tc>
        <w:tc>
          <w:tcPr>
            <w:tcW w:w="1077" w:type="dxa"/>
            <w:vAlign w:val="center"/>
          </w:tcPr>
          <w:p w14:paraId="45E5C046" w14:textId="77777777" w:rsidR="00241417" w:rsidRPr="004710DC" w:rsidRDefault="00241417" w:rsidP="003A71DE">
            <w:pPr>
              <w:pStyle w:val="TAC"/>
            </w:pPr>
            <w:r w:rsidRPr="004710DC">
              <w:t>32776</w:t>
            </w:r>
          </w:p>
        </w:tc>
        <w:tc>
          <w:tcPr>
            <w:tcW w:w="1077" w:type="dxa"/>
            <w:vAlign w:val="center"/>
          </w:tcPr>
          <w:p w14:paraId="1A0E0AC2" w14:textId="77777777" w:rsidR="00241417" w:rsidRPr="004710DC" w:rsidRDefault="00241417" w:rsidP="003A71DE">
            <w:pPr>
              <w:pStyle w:val="TAC"/>
            </w:pPr>
            <w:r w:rsidRPr="004710DC">
              <w:t>65576</w:t>
            </w:r>
          </w:p>
        </w:tc>
      </w:tr>
      <w:tr w:rsidR="00241417" w:rsidRPr="004710DC" w14:paraId="48906DD2" w14:textId="77777777" w:rsidTr="003A71DE">
        <w:trPr>
          <w:cantSplit/>
          <w:jc w:val="center"/>
        </w:trPr>
        <w:tc>
          <w:tcPr>
            <w:tcW w:w="3950" w:type="dxa"/>
          </w:tcPr>
          <w:p w14:paraId="779EAF4E" w14:textId="77777777" w:rsidR="00241417" w:rsidRPr="004710DC" w:rsidRDefault="00241417" w:rsidP="003A71DE">
            <w:pPr>
              <w:pStyle w:val="TAC"/>
            </w:pPr>
            <w:r w:rsidRPr="004710DC">
              <w:t>Transport block CRC (bits)</w:t>
            </w:r>
          </w:p>
        </w:tc>
        <w:tc>
          <w:tcPr>
            <w:tcW w:w="1076" w:type="dxa"/>
          </w:tcPr>
          <w:p w14:paraId="1DB84617" w14:textId="77777777" w:rsidR="00241417" w:rsidRPr="004710DC" w:rsidRDefault="00241417" w:rsidP="003A71DE">
            <w:pPr>
              <w:pStyle w:val="TAC"/>
            </w:pPr>
            <w:r w:rsidRPr="004710DC">
              <w:t>24</w:t>
            </w:r>
          </w:p>
        </w:tc>
        <w:tc>
          <w:tcPr>
            <w:tcW w:w="1077" w:type="dxa"/>
          </w:tcPr>
          <w:p w14:paraId="4165927C" w14:textId="77777777" w:rsidR="00241417" w:rsidRPr="004710DC" w:rsidRDefault="00241417" w:rsidP="003A71DE">
            <w:pPr>
              <w:pStyle w:val="TAC"/>
            </w:pPr>
            <w:r w:rsidRPr="004710DC">
              <w:t>24</w:t>
            </w:r>
          </w:p>
        </w:tc>
        <w:tc>
          <w:tcPr>
            <w:tcW w:w="1076" w:type="dxa"/>
          </w:tcPr>
          <w:p w14:paraId="70B16660" w14:textId="77777777" w:rsidR="00241417" w:rsidRPr="004710DC" w:rsidRDefault="00241417" w:rsidP="003A71DE">
            <w:pPr>
              <w:pStyle w:val="TAC"/>
            </w:pPr>
            <w:r w:rsidRPr="004710DC">
              <w:t>24</w:t>
            </w:r>
          </w:p>
        </w:tc>
        <w:tc>
          <w:tcPr>
            <w:tcW w:w="1077" w:type="dxa"/>
          </w:tcPr>
          <w:p w14:paraId="60B16E14" w14:textId="77777777" w:rsidR="00241417" w:rsidRPr="004710DC" w:rsidRDefault="00241417" w:rsidP="003A71DE">
            <w:pPr>
              <w:pStyle w:val="TAC"/>
            </w:pPr>
            <w:r w:rsidRPr="004710DC">
              <w:t>24</w:t>
            </w:r>
          </w:p>
        </w:tc>
        <w:tc>
          <w:tcPr>
            <w:tcW w:w="1077" w:type="dxa"/>
          </w:tcPr>
          <w:p w14:paraId="11D8E330" w14:textId="77777777" w:rsidR="00241417" w:rsidRPr="004710DC" w:rsidRDefault="00241417" w:rsidP="003A71DE">
            <w:pPr>
              <w:pStyle w:val="TAC"/>
            </w:pPr>
            <w:r w:rsidRPr="004710DC">
              <w:t>24</w:t>
            </w:r>
          </w:p>
        </w:tc>
      </w:tr>
      <w:tr w:rsidR="00241417" w:rsidRPr="004710DC" w14:paraId="6013AE6D" w14:textId="77777777" w:rsidTr="003A71DE">
        <w:trPr>
          <w:cantSplit/>
          <w:jc w:val="center"/>
        </w:trPr>
        <w:tc>
          <w:tcPr>
            <w:tcW w:w="3950" w:type="dxa"/>
          </w:tcPr>
          <w:p w14:paraId="67D1F2C5" w14:textId="77777777" w:rsidR="00241417" w:rsidRPr="00AD765F" w:rsidRDefault="00241417" w:rsidP="003A71DE">
            <w:pPr>
              <w:pStyle w:val="TAC"/>
            </w:pPr>
            <w:r w:rsidRPr="00AD765F">
              <w:t>Code block CRC size (bits)</w:t>
            </w:r>
          </w:p>
        </w:tc>
        <w:tc>
          <w:tcPr>
            <w:tcW w:w="1076" w:type="dxa"/>
          </w:tcPr>
          <w:p w14:paraId="7C5B5577" w14:textId="77777777" w:rsidR="00241417" w:rsidRPr="004710DC" w:rsidRDefault="00241417" w:rsidP="003A71DE">
            <w:pPr>
              <w:pStyle w:val="TAC"/>
            </w:pPr>
            <w:r w:rsidRPr="004710DC">
              <w:t>24</w:t>
            </w:r>
          </w:p>
        </w:tc>
        <w:tc>
          <w:tcPr>
            <w:tcW w:w="1077" w:type="dxa"/>
          </w:tcPr>
          <w:p w14:paraId="56EAB7A1" w14:textId="77777777" w:rsidR="00241417" w:rsidRPr="004710DC" w:rsidRDefault="00241417" w:rsidP="003A71DE">
            <w:pPr>
              <w:pStyle w:val="TAC"/>
            </w:pPr>
            <w:r w:rsidRPr="004710DC">
              <w:t>24</w:t>
            </w:r>
          </w:p>
        </w:tc>
        <w:tc>
          <w:tcPr>
            <w:tcW w:w="1076" w:type="dxa"/>
          </w:tcPr>
          <w:p w14:paraId="05939001" w14:textId="77777777" w:rsidR="00241417" w:rsidRPr="004710DC" w:rsidRDefault="00241417" w:rsidP="003A71DE">
            <w:pPr>
              <w:pStyle w:val="TAC"/>
            </w:pPr>
            <w:r w:rsidRPr="004710DC">
              <w:t>24</w:t>
            </w:r>
          </w:p>
        </w:tc>
        <w:tc>
          <w:tcPr>
            <w:tcW w:w="1077" w:type="dxa"/>
          </w:tcPr>
          <w:p w14:paraId="09083B27" w14:textId="77777777" w:rsidR="00241417" w:rsidRPr="004710DC" w:rsidRDefault="00241417" w:rsidP="003A71DE">
            <w:pPr>
              <w:pStyle w:val="TAC"/>
            </w:pPr>
            <w:r w:rsidRPr="004710DC">
              <w:t>24</w:t>
            </w:r>
          </w:p>
        </w:tc>
        <w:tc>
          <w:tcPr>
            <w:tcW w:w="1077" w:type="dxa"/>
          </w:tcPr>
          <w:p w14:paraId="1BD1F0E8" w14:textId="77777777" w:rsidR="00241417" w:rsidRPr="004710DC" w:rsidRDefault="00241417" w:rsidP="003A71DE">
            <w:pPr>
              <w:pStyle w:val="TAC"/>
            </w:pPr>
            <w:r w:rsidRPr="004710DC">
              <w:t>24</w:t>
            </w:r>
          </w:p>
        </w:tc>
      </w:tr>
      <w:tr w:rsidR="00241417" w:rsidRPr="004710DC" w14:paraId="65069B36" w14:textId="77777777" w:rsidTr="003A71DE">
        <w:trPr>
          <w:cantSplit/>
          <w:jc w:val="center"/>
        </w:trPr>
        <w:tc>
          <w:tcPr>
            <w:tcW w:w="3950" w:type="dxa"/>
          </w:tcPr>
          <w:p w14:paraId="6E1763A3" w14:textId="77777777" w:rsidR="00241417" w:rsidRPr="00AD765F" w:rsidRDefault="00241417" w:rsidP="003A71DE">
            <w:pPr>
              <w:pStyle w:val="TAC"/>
            </w:pPr>
            <w:r w:rsidRPr="00AD765F">
              <w:t>Number of code blocks - C</w:t>
            </w:r>
          </w:p>
        </w:tc>
        <w:tc>
          <w:tcPr>
            <w:tcW w:w="1076" w:type="dxa"/>
            <w:vAlign w:val="center"/>
          </w:tcPr>
          <w:p w14:paraId="12564E77" w14:textId="77777777" w:rsidR="00241417" w:rsidRPr="004710DC" w:rsidRDefault="00241417" w:rsidP="003A71DE">
            <w:pPr>
              <w:pStyle w:val="TAC"/>
            </w:pPr>
            <w:r w:rsidRPr="004710DC">
              <w:t>4</w:t>
            </w:r>
          </w:p>
        </w:tc>
        <w:tc>
          <w:tcPr>
            <w:tcW w:w="1077" w:type="dxa"/>
            <w:vAlign w:val="center"/>
          </w:tcPr>
          <w:p w14:paraId="140CF497" w14:textId="77777777" w:rsidR="00241417" w:rsidRPr="004710DC" w:rsidRDefault="00241417" w:rsidP="003A71DE">
            <w:pPr>
              <w:pStyle w:val="TAC"/>
            </w:pPr>
            <w:r w:rsidRPr="004710DC">
              <w:t>8</w:t>
            </w:r>
          </w:p>
        </w:tc>
        <w:tc>
          <w:tcPr>
            <w:tcW w:w="1076" w:type="dxa"/>
          </w:tcPr>
          <w:p w14:paraId="500FF1A9" w14:textId="77777777" w:rsidR="00241417" w:rsidRPr="004710DC" w:rsidRDefault="00241417" w:rsidP="003A71DE">
            <w:pPr>
              <w:pStyle w:val="TAC"/>
            </w:pPr>
            <w:r w:rsidRPr="004710DC">
              <w:t>2</w:t>
            </w:r>
          </w:p>
        </w:tc>
        <w:tc>
          <w:tcPr>
            <w:tcW w:w="1077" w:type="dxa"/>
            <w:vAlign w:val="center"/>
          </w:tcPr>
          <w:p w14:paraId="0EB6D210" w14:textId="77777777" w:rsidR="00241417" w:rsidRPr="004710DC" w:rsidRDefault="00241417" w:rsidP="003A71DE">
            <w:pPr>
              <w:pStyle w:val="TAC"/>
            </w:pPr>
            <w:r w:rsidRPr="004710DC">
              <w:t>4</w:t>
            </w:r>
          </w:p>
        </w:tc>
        <w:tc>
          <w:tcPr>
            <w:tcW w:w="1077" w:type="dxa"/>
            <w:vAlign w:val="center"/>
          </w:tcPr>
          <w:p w14:paraId="16A57859" w14:textId="77777777" w:rsidR="00241417" w:rsidRPr="004710DC" w:rsidRDefault="00241417" w:rsidP="003A71DE">
            <w:pPr>
              <w:pStyle w:val="TAC"/>
            </w:pPr>
            <w:r w:rsidRPr="004710DC">
              <w:t>8</w:t>
            </w:r>
          </w:p>
        </w:tc>
      </w:tr>
      <w:tr w:rsidR="00241417" w:rsidRPr="004710DC" w14:paraId="5ECD4D0B" w14:textId="77777777" w:rsidTr="003A71DE">
        <w:trPr>
          <w:cantSplit/>
          <w:jc w:val="center"/>
        </w:trPr>
        <w:tc>
          <w:tcPr>
            <w:tcW w:w="3950" w:type="dxa"/>
          </w:tcPr>
          <w:p w14:paraId="497D5F40"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69BC0505" w14:textId="77777777" w:rsidR="00241417" w:rsidRPr="004710DC" w:rsidRDefault="00241417" w:rsidP="003A71DE">
            <w:pPr>
              <w:pStyle w:val="TAC"/>
            </w:pPr>
            <w:r w:rsidRPr="004710DC">
              <w:rPr>
                <w:lang w:eastAsia="zh-CN"/>
              </w:rPr>
              <w:t>8224</w:t>
            </w:r>
          </w:p>
        </w:tc>
        <w:tc>
          <w:tcPr>
            <w:tcW w:w="1077" w:type="dxa"/>
            <w:vAlign w:val="center"/>
          </w:tcPr>
          <w:p w14:paraId="6D198ACC" w14:textId="77777777" w:rsidR="00241417" w:rsidRPr="004710DC" w:rsidRDefault="00241417" w:rsidP="003A71DE">
            <w:pPr>
              <w:pStyle w:val="TAC"/>
            </w:pPr>
            <w:r w:rsidRPr="004710DC">
              <w:rPr>
                <w:lang w:eastAsia="zh-CN"/>
              </w:rPr>
              <w:t>8224</w:t>
            </w:r>
          </w:p>
        </w:tc>
        <w:tc>
          <w:tcPr>
            <w:tcW w:w="1076" w:type="dxa"/>
          </w:tcPr>
          <w:p w14:paraId="07EEA93A" w14:textId="77777777" w:rsidR="00241417" w:rsidRPr="004710DC" w:rsidRDefault="00241417" w:rsidP="003A71DE">
            <w:pPr>
              <w:pStyle w:val="TAC"/>
            </w:pPr>
            <w:r w:rsidRPr="004710DC">
              <w:rPr>
                <w:lang w:eastAsia="zh-CN"/>
              </w:rPr>
              <w:t>7976</w:t>
            </w:r>
          </w:p>
        </w:tc>
        <w:tc>
          <w:tcPr>
            <w:tcW w:w="1077" w:type="dxa"/>
            <w:vAlign w:val="center"/>
          </w:tcPr>
          <w:p w14:paraId="69DEC5F3" w14:textId="77777777" w:rsidR="00241417" w:rsidRPr="004710DC" w:rsidRDefault="00241417" w:rsidP="003A71DE">
            <w:pPr>
              <w:pStyle w:val="TAC"/>
            </w:pPr>
            <w:r w:rsidRPr="004710DC">
              <w:rPr>
                <w:lang w:eastAsia="zh-CN"/>
              </w:rPr>
              <w:t>8224</w:t>
            </w:r>
          </w:p>
        </w:tc>
        <w:tc>
          <w:tcPr>
            <w:tcW w:w="1077" w:type="dxa"/>
            <w:vAlign w:val="center"/>
          </w:tcPr>
          <w:p w14:paraId="225CD7BE" w14:textId="77777777" w:rsidR="00241417" w:rsidRPr="004710DC" w:rsidRDefault="00241417" w:rsidP="003A71DE">
            <w:pPr>
              <w:pStyle w:val="TAC"/>
            </w:pPr>
            <w:r w:rsidRPr="004710DC">
              <w:rPr>
                <w:lang w:eastAsia="zh-CN"/>
              </w:rPr>
              <w:t>8224</w:t>
            </w:r>
          </w:p>
        </w:tc>
      </w:tr>
      <w:tr w:rsidR="00241417" w:rsidRPr="004710DC" w14:paraId="5AA5F11B" w14:textId="77777777" w:rsidTr="003A71DE">
        <w:trPr>
          <w:cantSplit/>
          <w:jc w:val="center"/>
        </w:trPr>
        <w:tc>
          <w:tcPr>
            <w:tcW w:w="3950" w:type="dxa"/>
          </w:tcPr>
          <w:p w14:paraId="0511819B"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0BA5CC49" w14:textId="77777777" w:rsidR="00241417" w:rsidRPr="004710DC" w:rsidRDefault="00241417" w:rsidP="003A71DE">
            <w:pPr>
              <w:pStyle w:val="TAC"/>
            </w:pPr>
            <w:r w:rsidRPr="004710DC">
              <w:t>50688</w:t>
            </w:r>
          </w:p>
        </w:tc>
        <w:tc>
          <w:tcPr>
            <w:tcW w:w="1077" w:type="dxa"/>
            <w:vAlign w:val="center"/>
          </w:tcPr>
          <w:p w14:paraId="729AD01A" w14:textId="77777777" w:rsidR="00241417" w:rsidRPr="004710DC" w:rsidRDefault="00241417" w:rsidP="003A71DE">
            <w:pPr>
              <w:pStyle w:val="TAC"/>
            </w:pPr>
            <w:r w:rsidRPr="004710DC">
              <w:t>101376</w:t>
            </w:r>
          </w:p>
        </w:tc>
        <w:tc>
          <w:tcPr>
            <w:tcW w:w="1076" w:type="dxa"/>
          </w:tcPr>
          <w:p w14:paraId="382E6F81" w14:textId="77777777" w:rsidR="00241417" w:rsidRPr="004710DC" w:rsidRDefault="00241417" w:rsidP="003A71DE">
            <w:pPr>
              <w:pStyle w:val="TAC"/>
            </w:pPr>
            <w:r w:rsidRPr="004710DC">
              <w:t>24576</w:t>
            </w:r>
          </w:p>
        </w:tc>
        <w:tc>
          <w:tcPr>
            <w:tcW w:w="1077" w:type="dxa"/>
            <w:vAlign w:val="center"/>
          </w:tcPr>
          <w:p w14:paraId="68787DA7" w14:textId="77777777" w:rsidR="00241417" w:rsidRPr="004710DC" w:rsidRDefault="00241417" w:rsidP="003A71DE">
            <w:pPr>
              <w:pStyle w:val="TAC"/>
            </w:pPr>
            <w:r w:rsidRPr="004710DC">
              <w:t>50688</w:t>
            </w:r>
          </w:p>
        </w:tc>
        <w:tc>
          <w:tcPr>
            <w:tcW w:w="1077" w:type="dxa"/>
            <w:vAlign w:val="center"/>
          </w:tcPr>
          <w:p w14:paraId="71796F0B" w14:textId="77777777" w:rsidR="00241417" w:rsidRPr="004710DC" w:rsidRDefault="00241417" w:rsidP="003A71DE">
            <w:pPr>
              <w:pStyle w:val="TAC"/>
            </w:pPr>
            <w:r w:rsidRPr="004710DC">
              <w:t>101376</w:t>
            </w:r>
          </w:p>
        </w:tc>
      </w:tr>
      <w:tr w:rsidR="00241417" w:rsidRPr="004710DC" w14:paraId="19B87854" w14:textId="77777777" w:rsidTr="003A71DE">
        <w:trPr>
          <w:cantSplit/>
          <w:jc w:val="center"/>
        </w:trPr>
        <w:tc>
          <w:tcPr>
            <w:tcW w:w="3950" w:type="dxa"/>
          </w:tcPr>
          <w:p w14:paraId="2B1F793E"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vAlign w:val="center"/>
          </w:tcPr>
          <w:p w14:paraId="717B1098" w14:textId="77777777" w:rsidR="00241417" w:rsidRPr="00ED4E9B" w:rsidRDefault="00241417" w:rsidP="003A71DE">
            <w:pPr>
              <w:pStyle w:val="TAC"/>
            </w:pPr>
            <w:r w:rsidRPr="00ED4E9B">
              <w:t>12672</w:t>
            </w:r>
          </w:p>
        </w:tc>
        <w:tc>
          <w:tcPr>
            <w:tcW w:w="1077" w:type="dxa"/>
            <w:vAlign w:val="center"/>
          </w:tcPr>
          <w:p w14:paraId="19388597" w14:textId="77777777" w:rsidR="00241417" w:rsidRPr="004710DC" w:rsidRDefault="00241417" w:rsidP="003A71DE">
            <w:pPr>
              <w:pStyle w:val="TAC"/>
            </w:pPr>
            <w:r w:rsidRPr="004710DC">
              <w:t>25344</w:t>
            </w:r>
          </w:p>
        </w:tc>
        <w:tc>
          <w:tcPr>
            <w:tcW w:w="1076" w:type="dxa"/>
          </w:tcPr>
          <w:p w14:paraId="2869BAC3" w14:textId="77777777" w:rsidR="00241417" w:rsidRPr="004710DC" w:rsidRDefault="00241417" w:rsidP="003A71DE">
            <w:pPr>
              <w:pStyle w:val="TAC"/>
            </w:pPr>
            <w:r w:rsidRPr="004710DC">
              <w:t>6144</w:t>
            </w:r>
          </w:p>
        </w:tc>
        <w:tc>
          <w:tcPr>
            <w:tcW w:w="1077" w:type="dxa"/>
            <w:vAlign w:val="center"/>
          </w:tcPr>
          <w:p w14:paraId="7B2E9A8F" w14:textId="77777777" w:rsidR="00241417" w:rsidRPr="004710DC" w:rsidRDefault="00241417" w:rsidP="003A71DE">
            <w:pPr>
              <w:pStyle w:val="TAC"/>
            </w:pPr>
            <w:r w:rsidRPr="004710DC">
              <w:t>12672</w:t>
            </w:r>
          </w:p>
        </w:tc>
        <w:tc>
          <w:tcPr>
            <w:tcW w:w="1077" w:type="dxa"/>
            <w:vAlign w:val="center"/>
          </w:tcPr>
          <w:p w14:paraId="45EC6A57" w14:textId="77777777" w:rsidR="00241417" w:rsidRPr="004710DC" w:rsidRDefault="00241417" w:rsidP="003A71DE">
            <w:pPr>
              <w:pStyle w:val="TAC"/>
            </w:pPr>
            <w:r w:rsidRPr="004710DC">
              <w:t>25344</w:t>
            </w:r>
          </w:p>
        </w:tc>
      </w:tr>
      <w:tr w:rsidR="00241417" w:rsidRPr="00AD765F" w14:paraId="1A1D39ED" w14:textId="77777777" w:rsidTr="003A71DE">
        <w:trPr>
          <w:cantSplit/>
          <w:jc w:val="center"/>
        </w:trPr>
        <w:tc>
          <w:tcPr>
            <w:tcW w:w="9333" w:type="dxa"/>
            <w:gridSpan w:val="6"/>
          </w:tcPr>
          <w:p w14:paraId="54ECF77F"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w:t>
            </w:r>
            <w:r w:rsidRPr="00AD765F">
              <w:rPr>
                <w:lang w:eastAsia="zh-CN"/>
              </w:rPr>
              <w:t xml:space="preserve">and </w:t>
            </w:r>
            <w:r w:rsidRPr="00AD765F">
              <w:rPr>
                <w:i/>
                <w:lang w:eastAsia="zh-CN"/>
              </w:rPr>
              <w:t xml:space="preserve">l </w:t>
            </w:r>
            <w:r w:rsidRPr="00AD765F">
              <w:rPr>
                <w:lang w:eastAsia="zh-CN"/>
              </w:rPr>
              <w:t>=8</w:t>
            </w:r>
            <w:r w:rsidRPr="00AD765F">
              <w:t xml:space="preserve"> as per Table 6.4.1.1.3-3 of TS 38.211 [8].</w:t>
            </w:r>
          </w:p>
          <w:p w14:paraId="21DF99D5"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w:t>
            </w:r>
            <w:r w:rsidRPr="00AD765F">
              <w:rPr>
                <w:lang w:eastAsia="zh-CN"/>
              </w:rPr>
              <w:t>lause 5.2.2 of TS 38.212 [9].</w:t>
            </w:r>
          </w:p>
        </w:tc>
      </w:tr>
    </w:tbl>
    <w:p w14:paraId="6E43FFC1" w14:textId="77777777" w:rsidR="00241417" w:rsidRPr="00AD765F" w:rsidRDefault="00241417" w:rsidP="00241417">
      <w:pPr>
        <w:rPr>
          <w:noProof/>
          <w:lang w:eastAsia="zh-CN"/>
        </w:rPr>
      </w:pPr>
    </w:p>
    <w:p w14:paraId="41B773F8" w14:textId="77777777" w:rsidR="00241417" w:rsidRPr="004710DC" w:rsidRDefault="00241417" w:rsidP="00241417">
      <w:pPr>
        <w:pStyle w:val="Heading3"/>
        <w:rPr>
          <w:lang w:eastAsia="zh-CN"/>
        </w:rPr>
      </w:pPr>
      <w:bookmarkStart w:id="9218" w:name="_Toc21127809"/>
      <w:bookmarkStart w:id="9219" w:name="_Toc29812018"/>
      <w:bookmarkStart w:id="9220" w:name="_Toc36817570"/>
      <w:bookmarkStart w:id="9221" w:name="_Toc37260493"/>
      <w:bookmarkStart w:id="9222" w:name="_Toc37267881"/>
      <w:bookmarkStart w:id="9223" w:name="_Toc44712488"/>
      <w:bookmarkStart w:id="9224" w:name="_Toc45893800"/>
      <w:bookmarkStart w:id="9225" w:name="_Toc53178506"/>
      <w:bookmarkStart w:id="9226" w:name="_Toc53178957"/>
      <w:bookmarkStart w:id="9227" w:name="_Toc61178217"/>
      <w:bookmarkStart w:id="9228" w:name="_Toc61178689"/>
      <w:bookmarkStart w:id="9229" w:name="_Toc74583577"/>
      <w:bookmarkStart w:id="9230" w:name="_Toc76542390"/>
      <w:bookmarkStart w:id="9231" w:name="_Toc82450372"/>
      <w:bookmarkStart w:id="9232" w:name="_Toc82451020"/>
      <w:bookmarkStart w:id="9233" w:name="_Toc89949409"/>
      <w:bookmarkStart w:id="9234" w:name="_Toc98755798"/>
      <w:bookmarkStart w:id="9235" w:name="_Toc98763390"/>
      <w:bookmarkStart w:id="9236" w:name="_Toc106184319"/>
      <w:r w:rsidRPr="004710DC">
        <w:t>A.</w:t>
      </w:r>
      <w:r>
        <w:t>2.</w:t>
      </w:r>
      <w:r>
        <w:rPr>
          <w:lang w:eastAsia="zh-CN"/>
        </w:rPr>
        <w:t>4</w:t>
      </w:r>
      <w:r w:rsidRPr="004710DC">
        <w:tab/>
        <w:t xml:space="preserve">Fixed Reference Channels for </w:t>
      </w:r>
      <w:r>
        <w:t xml:space="preserve">PUSCH </w:t>
      </w:r>
      <w:r w:rsidRPr="004710DC">
        <w:t>performance requirements (</w:t>
      </w:r>
      <w:r w:rsidRPr="004710DC">
        <w:rPr>
          <w:lang w:eastAsia="zh-CN"/>
        </w:rPr>
        <w:t>64QAM, R=567/1024</w:t>
      </w:r>
      <w:r w:rsidRPr="004710DC">
        <w:t>)</w:t>
      </w:r>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p>
    <w:p w14:paraId="35E8B774" w14:textId="77777777" w:rsidR="00241417" w:rsidRPr="00AD765F" w:rsidRDefault="00241417" w:rsidP="00241417">
      <w:pPr>
        <w:rPr>
          <w:lang w:eastAsia="zh-CN"/>
        </w:rPr>
      </w:pPr>
      <w:r w:rsidRPr="00AD765F">
        <w:t xml:space="preserve">The parameters for the reference measurement channels are specified in </w:t>
      </w:r>
      <w:r w:rsidRPr="00AD765F">
        <w:rPr>
          <w:lang w:eastAsia="zh-CN"/>
        </w:rPr>
        <w:t xml:space="preserve">table A.2.4-1 </w:t>
      </w:r>
      <w:r w:rsidRPr="00AD765F">
        <w:t>for FR</w:t>
      </w:r>
      <w:r w:rsidRPr="00AD765F">
        <w:rPr>
          <w:lang w:eastAsia="zh-CN"/>
        </w:rPr>
        <w:t>1</w:t>
      </w:r>
      <w:r w:rsidRPr="00AD765F">
        <w:t xml:space="preserve"> PUSCH performance requirements</w:t>
      </w:r>
      <w:r w:rsidRPr="00AD765F">
        <w:rPr>
          <w:lang w:eastAsia="zh-CN"/>
        </w:rPr>
        <w:t>:</w:t>
      </w:r>
    </w:p>
    <w:p w14:paraId="3BD2A61F" w14:textId="77777777" w:rsidR="00241417" w:rsidRPr="00AD765F" w:rsidRDefault="00241417" w:rsidP="00241417">
      <w:pPr>
        <w:pStyle w:val="B10"/>
      </w:pPr>
      <w:r w:rsidRPr="00AD765F">
        <w:t>-</w:t>
      </w:r>
      <w:r w:rsidRPr="00AD765F">
        <w:tab/>
      </w:r>
      <w:r w:rsidRPr="00AD765F">
        <w:rPr>
          <w:lang w:eastAsia="zh-CN"/>
        </w:rPr>
        <w:t xml:space="preserve">FRC parameters </w:t>
      </w:r>
      <w:r w:rsidRPr="00AD765F">
        <w:t>are specified in table A.2.</w:t>
      </w:r>
      <w:r w:rsidRPr="00AD765F">
        <w:rPr>
          <w:lang w:eastAsia="zh-CN"/>
        </w:rPr>
        <w:t>4</w:t>
      </w:r>
      <w:r w:rsidRPr="00AD765F">
        <w:t>-</w:t>
      </w:r>
      <w:r w:rsidRPr="00AD765F">
        <w:rPr>
          <w:lang w:eastAsia="zh-CN"/>
        </w:rPr>
        <w:t>1</w:t>
      </w:r>
      <w:r w:rsidRPr="00AD765F">
        <w:t xml:space="preserve"> for FR1 PUSCH </w:t>
      </w:r>
      <w:r w:rsidRPr="00AD765F">
        <w:rPr>
          <w:lang w:eastAsia="zh-CN"/>
        </w:rPr>
        <w:t xml:space="preserve">with transform precoding disabled, </w:t>
      </w:r>
      <w:r w:rsidRPr="00AD765F">
        <w:rPr>
          <w:i/>
          <w:lang w:eastAsia="zh-CN"/>
        </w:rPr>
        <w:t>Additional DM-RS position = pos1</w:t>
      </w:r>
      <w:r w:rsidRPr="00AD765F">
        <w:rPr>
          <w:lang w:eastAsia="zh-CN"/>
        </w:rPr>
        <w:t xml:space="preserve"> and 1 transmission layer</w:t>
      </w:r>
      <w:r w:rsidRPr="00AD765F">
        <w:t>.</w:t>
      </w:r>
    </w:p>
    <w:p w14:paraId="1B3BC9F5" w14:textId="77777777" w:rsidR="00241417" w:rsidRPr="00AD765F" w:rsidRDefault="00241417" w:rsidP="00241417">
      <w:pPr>
        <w:rPr>
          <w:lang w:eastAsia="zh-CN"/>
        </w:rPr>
      </w:pPr>
      <w:r w:rsidRPr="00AD765F">
        <w:t>The parameters for the reference measurement channels are specified in table A.2.</w:t>
      </w:r>
      <w:r w:rsidRPr="00AD765F">
        <w:rPr>
          <w:lang w:eastAsia="zh-CN"/>
        </w:rPr>
        <w:t>4</w:t>
      </w:r>
      <w:r w:rsidRPr="00AD765F">
        <w:t>-</w:t>
      </w:r>
      <w:r w:rsidRPr="00AD765F">
        <w:rPr>
          <w:lang w:eastAsia="zh-CN"/>
        </w:rPr>
        <w:t>2</w:t>
      </w:r>
      <w:r w:rsidRPr="00AD765F">
        <w:t xml:space="preserve"> </w:t>
      </w:r>
      <w:r w:rsidRPr="00AD765F">
        <w:rPr>
          <w:lang w:eastAsia="zh-CN"/>
        </w:rPr>
        <w:t xml:space="preserve">and table A.2.4-3 </w:t>
      </w:r>
      <w:r w:rsidRPr="00AD765F">
        <w:t>for FR</w:t>
      </w:r>
      <w:r w:rsidRPr="00AD765F">
        <w:rPr>
          <w:lang w:eastAsia="zh-CN"/>
        </w:rPr>
        <w:t>2</w:t>
      </w:r>
      <w:r w:rsidRPr="00AD765F">
        <w:t xml:space="preserve"> PUSCH performance requirements</w:t>
      </w:r>
      <w:r w:rsidRPr="00AD765F">
        <w:rPr>
          <w:lang w:eastAsia="zh-CN"/>
        </w:rPr>
        <w:t>:</w:t>
      </w:r>
    </w:p>
    <w:p w14:paraId="5FBF758C"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4</w:t>
      </w:r>
      <w:r w:rsidRPr="00AD765F">
        <w:t>-</w:t>
      </w:r>
      <w:r w:rsidRPr="00AD765F">
        <w:rPr>
          <w:lang w:eastAsia="zh-CN"/>
        </w:rPr>
        <w:t>2</w:t>
      </w:r>
      <w:r w:rsidRPr="00AD765F">
        <w:t xml:space="preserve"> for FR</w:t>
      </w:r>
      <w:r w:rsidRPr="00AD765F">
        <w:rPr>
          <w:lang w:eastAsia="zh-CN"/>
        </w:rPr>
        <w:t>2</w:t>
      </w:r>
      <w:r w:rsidRPr="00AD765F">
        <w:t xml:space="preserve"> PUSCH </w:t>
      </w:r>
      <w:r w:rsidRPr="00AD765F">
        <w:rPr>
          <w:lang w:eastAsia="zh-CN"/>
        </w:rPr>
        <w:t xml:space="preserve">with transform precoding disabled, </w:t>
      </w:r>
      <w:r w:rsidRPr="00AD765F">
        <w:rPr>
          <w:i/>
          <w:lang w:eastAsia="zh-CN"/>
        </w:rPr>
        <w:t>Additional DM-RS position = pos0</w:t>
      </w:r>
      <w:r w:rsidRPr="00AD765F">
        <w:rPr>
          <w:lang w:eastAsia="zh-CN"/>
        </w:rPr>
        <w:t xml:space="preserve"> and 1 transmission layer</w:t>
      </w:r>
      <w:r w:rsidRPr="00AD765F">
        <w:t>.</w:t>
      </w:r>
      <w:r w:rsidRPr="00AD765F">
        <w:rPr>
          <w:lang w:eastAsia="zh-CN"/>
        </w:rPr>
        <w:t xml:space="preserve"> </w:t>
      </w:r>
    </w:p>
    <w:p w14:paraId="4F0D68E1" w14:textId="77777777" w:rsidR="00241417" w:rsidRPr="00AD765F" w:rsidRDefault="00241417" w:rsidP="00241417">
      <w:pPr>
        <w:pStyle w:val="B10"/>
        <w:rPr>
          <w:lang w:eastAsia="zh-CN"/>
        </w:rPr>
      </w:pPr>
      <w:r w:rsidRPr="00AD765F">
        <w:t>-</w:t>
      </w:r>
      <w:r w:rsidRPr="00AD765F">
        <w:tab/>
      </w:r>
      <w:r w:rsidRPr="00AD765F">
        <w:rPr>
          <w:lang w:eastAsia="zh-CN"/>
        </w:rPr>
        <w:t xml:space="preserve">FRC parameters </w:t>
      </w:r>
      <w:r w:rsidRPr="00AD765F">
        <w:t>are specified in table A.2.</w:t>
      </w:r>
      <w:r w:rsidRPr="00AD765F">
        <w:rPr>
          <w:lang w:eastAsia="zh-CN"/>
        </w:rPr>
        <w:t>4</w:t>
      </w:r>
      <w:r w:rsidRPr="00AD765F">
        <w:t>-</w:t>
      </w:r>
      <w:r w:rsidRPr="00AD765F">
        <w:rPr>
          <w:lang w:eastAsia="zh-CN"/>
        </w:rPr>
        <w:t>3</w:t>
      </w:r>
      <w:r w:rsidRPr="00AD765F">
        <w:t xml:space="preserve"> for FR</w:t>
      </w:r>
      <w:r w:rsidRPr="00AD765F">
        <w:rPr>
          <w:lang w:eastAsia="zh-CN"/>
        </w:rPr>
        <w:t>2</w:t>
      </w:r>
      <w:r w:rsidRPr="00AD765F">
        <w:t xml:space="preserve"> PUSCH </w:t>
      </w:r>
      <w:r w:rsidRPr="00AD765F">
        <w:rPr>
          <w:lang w:eastAsia="zh-CN"/>
        </w:rPr>
        <w:t xml:space="preserve">with transform precoding disabled, </w:t>
      </w:r>
      <w:r w:rsidRPr="00AD765F">
        <w:rPr>
          <w:i/>
          <w:lang w:eastAsia="zh-CN"/>
        </w:rPr>
        <w:t>Additional DM-RS position = pos1</w:t>
      </w:r>
      <w:r w:rsidRPr="00AD765F">
        <w:rPr>
          <w:lang w:eastAsia="zh-CN"/>
        </w:rPr>
        <w:t xml:space="preserve"> and 1 transmission layer</w:t>
      </w:r>
      <w:r w:rsidRPr="00AD765F">
        <w:t>.</w:t>
      </w:r>
    </w:p>
    <w:p w14:paraId="507D6497" w14:textId="77777777" w:rsidR="00241417" w:rsidRPr="00AD765F" w:rsidRDefault="00241417" w:rsidP="00241417">
      <w:pPr>
        <w:rPr>
          <w:lang w:eastAsia="zh-CN"/>
        </w:rPr>
      </w:pPr>
    </w:p>
    <w:p w14:paraId="7588E16C" w14:textId="77777777" w:rsidR="00241417" w:rsidRPr="00AD765F" w:rsidRDefault="00241417" w:rsidP="00241417">
      <w:pPr>
        <w:pStyle w:val="TH"/>
        <w:rPr>
          <w:lang w:eastAsia="zh-CN"/>
        </w:rPr>
      </w:pPr>
      <w:r w:rsidRPr="00AD765F">
        <w:rPr>
          <w:rFonts w:eastAsia="Malgun Gothic"/>
        </w:rPr>
        <w:lastRenderedPageBreak/>
        <w:t>Table A.2.</w:t>
      </w:r>
      <w:r w:rsidRPr="00AD765F">
        <w:rPr>
          <w:lang w:eastAsia="zh-CN"/>
        </w:rPr>
        <w:t>4</w:t>
      </w:r>
      <w:r w:rsidRPr="00AD765F">
        <w:rPr>
          <w:rFonts w:eastAsia="Malgun Gothic"/>
        </w:rPr>
        <w:t>-</w:t>
      </w:r>
      <w:r w:rsidRPr="00AD765F">
        <w:rPr>
          <w:lang w:eastAsia="zh-CN"/>
        </w:rPr>
        <w:t>1</w:t>
      </w:r>
      <w:r w:rsidRPr="00AD765F">
        <w:rPr>
          <w:rFonts w:eastAsia="Malgun Gothic"/>
        </w:rPr>
        <w:t>: FRC parameters for</w:t>
      </w:r>
      <w:r w:rsidRPr="00AD765F">
        <w:rPr>
          <w:lang w:eastAsia="zh-CN"/>
        </w:rPr>
        <w:t xml:space="preserve"> FR1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1 transmission layer</w:t>
      </w:r>
      <w:r w:rsidRPr="00AD765F">
        <w:rPr>
          <w:rFonts w:eastAsia="Malgun Gothic"/>
        </w:rPr>
        <w:t xml:space="preserve"> (</w:t>
      </w:r>
      <w:r w:rsidRPr="00AD765F">
        <w:rPr>
          <w:lang w:eastAsia="zh-CN"/>
        </w:rPr>
        <w:t>64QAM</w:t>
      </w:r>
      <w:r w:rsidRPr="00AD765F">
        <w:rPr>
          <w:rFonts w:eastAsia="Malgun Gothic"/>
        </w:rPr>
        <w:t>, R=567/1024)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1"/>
        <w:gridCol w:w="1070"/>
        <w:gridCol w:w="1071"/>
        <w:gridCol w:w="1070"/>
        <w:gridCol w:w="1071"/>
        <w:gridCol w:w="1070"/>
        <w:gridCol w:w="1071"/>
        <w:gridCol w:w="1071"/>
      </w:tblGrid>
      <w:tr w:rsidR="00241417" w:rsidRPr="004710DC" w14:paraId="5CFF4EDC" w14:textId="77777777" w:rsidTr="003A71DE">
        <w:trPr>
          <w:cantSplit/>
          <w:jc w:val="center"/>
        </w:trPr>
        <w:tc>
          <w:tcPr>
            <w:tcW w:w="2421" w:type="dxa"/>
          </w:tcPr>
          <w:p w14:paraId="1F3CF402" w14:textId="77777777" w:rsidR="00241417" w:rsidRPr="004710DC" w:rsidRDefault="00241417" w:rsidP="003A71DE">
            <w:pPr>
              <w:pStyle w:val="TAH"/>
            </w:pPr>
            <w:r w:rsidRPr="004710DC">
              <w:t>Reference channel</w:t>
            </w:r>
          </w:p>
        </w:tc>
        <w:tc>
          <w:tcPr>
            <w:tcW w:w="1070" w:type="dxa"/>
          </w:tcPr>
          <w:p w14:paraId="0069A94D" w14:textId="77777777" w:rsidR="00241417" w:rsidRPr="004710DC" w:rsidRDefault="00241417" w:rsidP="003A71DE">
            <w:pPr>
              <w:pStyle w:val="TAH"/>
            </w:pPr>
            <w:r>
              <w:rPr>
                <w:lang w:eastAsia="zh-CN"/>
              </w:rPr>
              <w:t>D-FR1-A.2.4</w:t>
            </w:r>
            <w:r w:rsidRPr="004710DC">
              <w:rPr>
                <w:lang w:eastAsia="zh-CN"/>
              </w:rPr>
              <w:t>-</w:t>
            </w:r>
            <w:r>
              <w:rPr>
                <w:lang w:eastAsia="zh-CN"/>
              </w:rPr>
              <w:t>1</w:t>
            </w:r>
          </w:p>
        </w:tc>
        <w:tc>
          <w:tcPr>
            <w:tcW w:w="1071" w:type="dxa"/>
          </w:tcPr>
          <w:p w14:paraId="7090A7C4" w14:textId="77777777" w:rsidR="00241417" w:rsidRPr="004710DC" w:rsidRDefault="00241417" w:rsidP="003A71DE">
            <w:pPr>
              <w:pStyle w:val="TAH"/>
            </w:pPr>
            <w:r>
              <w:rPr>
                <w:lang w:eastAsia="zh-CN"/>
              </w:rPr>
              <w:t>D-FR1-A.2.4</w:t>
            </w:r>
            <w:r w:rsidRPr="004710DC">
              <w:rPr>
                <w:lang w:eastAsia="zh-CN"/>
              </w:rPr>
              <w:t>-</w:t>
            </w:r>
            <w:r>
              <w:rPr>
                <w:lang w:eastAsia="zh-CN"/>
              </w:rPr>
              <w:t>2</w:t>
            </w:r>
          </w:p>
        </w:tc>
        <w:tc>
          <w:tcPr>
            <w:tcW w:w="1070" w:type="dxa"/>
          </w:tcPr>
          <w:p w14:paraId="7880FE44" w14:textId="77777777" w:rsidR="00241417" w:rsidRPr="004710DC" w:rsidRDefault="00241417" w:rsidP="003A71DE">
            <w:pPr>
              <w:pStyle w:val="TAH"/>
            </w:pPr>
            <w:r>
              <w:rPr>
                <w:lang w:eastAsia="zh-CN"/>
              </w:rPr>
              <w:t>D-FR1-A.2.4</w:t>
            </w:r>
            <w:r w:rsidRPr="004710DC">
              <w:rPr>
                <w:lang w:eastAsia="zh-CN"/>
              </w:rPr>
              <w:t>-</w:t>
            </w:r>
            <w:r>
              <w:rPr>
                <w:lang w:eastAsia="zh-CN"/>
              </w:rPr>
              <w:t>3</w:t>
            </w:r>
          </w:p>
        </w:tc>
        <w:tc>
          <w:tcPr>
            <w:tcW w:w="1071" w:type="dxa"/>
          </w:tcPr>
          <w:p w14:paraId="07A76CDE" w14:textId="77777777" w:rsidR="00241417" w:rsidRPr="004710DC" w:rsidRDefault="00241417" w:rsidP="003A71DE">
            <w:pPr>
              <w:pStyle w:val="TAH"/>
            </w:pPr>
            <w:r>
              <w:rPr>
                <w:lang w:eastAsia="zh-CN"/>
              </w:rPr>
              <w:t>D-FR1-A.2.4</w:t>
            </w:r>
            <w:r w:rsidRPr="004710DC">
              <w:rPr>
                <w:lang w:eastAsia="zh-CN"/>
              </w:rPr>
              <w:t>-</w:t>
            </w:r>
            <w:r>
              <w:rPr>
                <w:lang w:eastAsia="zh-CN"/>
              </w:rPr>
              <w:t>4</w:t>
            </w:r>
          </w:p>
        </w:tc>
        <w:tc>
          <w:tcPr>
            <w:tcW w:w="1070" w:type="dxa"/>
          </w:tcPr>
          <w:p w14:paraId="3D08455C" w14:textId="77777777" w:rsidR="00241417" w:rsidRPr="004710DC" w:rsidRDefault="00241417" w:rsidP="003A71DE">
            <w:pPr>
              <w:pStyle w:val="TAH"/>
            </w:pPr>
            <w:r>
              <w:rPr>
                <w:lang w:eastAsia="zh-CN"/>
              </w:rPr>
              <w:t>D-FR1-A.2.4</w:t>
            </w:r>
            <w:r w:rsidRPr="004710DC">
              <w:rPr>
                <w:lang w:eastAsia="zh-CN"/>
              </w:rPr>
              <w:t>-</w:t>
            </w:r>
            <w:r>
              <w:rPr>
                <w:lang w:eastAsia="zh-CN"/>
              </w:rPr>
              <w:t>5</w:t>
            </w:r>
          </w:p>
        </w:tc>
        <w:tc>
          <w:tcPr>
            <w:tcW w:w="1071" w:type="dxa"/>
          </w:tcPr>
          <w:p w14:paraId="0159A38E" w14:textId="77777777" w:rsidR="00241417" w:rsidRPr="004710DC" w:rsidRDefault="00241417" w:rsidP="003A71DE">
            <w:pPr>
              <w:pStyle w:val="TAH"/>
            </w:pPr>
            <w:r>
              <w:rPr>
                <w:lang w:eastAsia="zh-CN"/>
              </w:rPr>
              <w:t>D-FR1-A.2.4</w:t>
            </w:r>
            <w:r w:rsidRPr="004710DC">
              <w:rPr>
                <w:lang w:eastAsia="zh-CN"/>
              </w:rPr>
              <w:t>-</w:t>
            </w:r>
            <w:r>
              <w:rPr>
                <w:lang w:eastAsia="zh-CN"/>
              </w:rPr>
              <w:t>6</w:t>
            </w:r>
          </w:p>
        </w:tc>
        <w:tc>
          <w:tcPr>
            <w:tcW w:w="1071" w:type="dxa"/>
          </w:tcPr>
          <w:p w14:paraId="66E43CD9" w14:textId="77777777" w:rsidR="00241417" w:rsidRPr="004710DC" w:rsidRDefault="00241417" w:rsidP="003A71DE">
            <w:pPr>
              <w:pStyle w:val="TAH"/>
              <w:rPr>
                <w:lang w:eastAsia="zh-CN"/>
              </w:rPr>
            </w:pPr>
            <w:r>
              <w:rPr>
                <w:lang w:eastAsia="zh-CN"/>
              </w:rPr>
              <w:t>D-FR1-A.2.4</w:t>
            </w:r>
            <w:r w:rsidRPr="004710DC">
              <w:rPr>
                <w:lang w:eastAsia="zh-CN"/>
              </w:rPr>
              <w:t>-</w:t>
            </w:r>
            <w:r>
              <w:rPr>
                <w:lang w:eastAsia="zh-CN"/>
              </w:rPr>
              <w:t>7</w:t>
            </w:r>
          </w:p>
        </w:tc>
      </w:tr>
      <w:tr w:rsidR="00241417" w:rsidRPr="004710DC" w14:paraId="78410BC1" w14:textId="77777777" w:rsidTr="003A71DE">
        <w:trPr>
          <w:cantSplit/>
          <w:jc w:val="center"/>
        </w:trPr>
        <w:tc>
          <w:tcPr>
            <w:tcW w:w="2421" w:type="dxa"/>
          </w:tcPr>
          <w:p w14:paraId="49814728" w14:textId="77777777" w:rsidR="00241417" w:rsidRPr="004710DC" w:rsidRDefault="00241417" w:rsidP="003A71DE">
            <w:pPr>
              <w:pStyle w:val="TAC"/>
              <w:rPr>
                <w:lang w:eastAsia="zh-CN"/>
              </w:rPr>
            </w:pPr>
            <w:r w:rsidRPr="004710DC">
              <w:rPr>
                <w:lang w:eastAsia="zh-CN"/>
              </w:rPr>
              <w:t>Subcarrier spacing [kHz]</w:t>
            </w:r>
          </w:p>
        </w:tc>
        <w:tc>
          <w:tcPr>
            <w:tcW w:w="1070" w:type="dxa"/>
          </w:tcPr>
          <w:p w14:paraId="7F939F52" w14:textId="77777777" w:rsidR="00241417" w:rsidRPr="004710DC" w:rsidRDefault="00241417" w:rsidP="003A71DE">
            <w:pPr>
              <w:pStyle w:val="TAC"/>
              <w:rPr>
                <w:lang w:eastAsia="zh-CN"/>
              </w:rPr>
            </w:pPr>
            <w:r w:rsidRPr="004710DC">
              <w:rPr>
                <w:lang w:eastAsia="zh-CN"/>
              </w:rPr>
              <w:t>15</w:t>
            </w:r>
          </w:p>
        </w:tc>
        <w:tc>
          <w:tcPr>
            <w:tcW w:w="1071" w:type="dxa"/>
          </w:tcPr>
          <w:p w14:paraId="5D540C2A" w14:textId="77777777" w:rsidR="00241417" w:rsidRPr="004710DC" w:rsidRDefault="00241417" w:rsidP="003A71DE">
            <w:pPr>
              <w:pStyle w:val="TAC"/>
            </w:pPr>
            <w:r w:rsidRPr="004710DC">
              <w:rPr>
                <w:lang w:eastAsia="zh-CN"/>
              </w:rPr>
              <w:t>15</w:t>
            </w:r>
          </w:p>
        </w:tc>
        <w:tc>
          <w:tcPr>
            <w:tcW w:w="1070" w:type="dxa"/>
          </w:tcPr>
          <w:p w14:paraId="7C639F5D" w14:textId="77777777" w:rsidR="00241417" w:rsidRPr="004710DC" w:rsidRDefault="00241417" w:rsidP="003A71DE">
            <w:pPr>
              <w:pStyle w:val="TAC"/>
            </w:pPr>
            <w:r w:rsidRPr="004710DC">
              <w:rPr>
                <w:lang w:eastAsia="zh-CN"/>
              </w:rPr>
              <w:t>15</w:t>
            </w:r>
          </w:p>
        </w:tc>
        <w:tc>
          <w:tcPr>
            <w:tcW w:w="1071" w:type="dxa"/>
          </w:tcPr>
          <w:p w14:paraId="14E5B982" w14:textId="77777777" w:rsidR="00241417" w:rsidRPr="004710DC" w:rsidRDefault="00241417" w:rsidP="003A71DE">
            <w:pPr>
              <w:pStyle w:val="TAC"/>
            </w:pPr>
            <w:r w:rsidRPr="004710DC">
              <w:rPr>
                <w:lang w:eastAsia="zh-CN"/>
              </w:rPr>
              <w:t>30</w:t>
            </w:r>
          </w:p>
        </w:tc>
        <w:tc>
          <w:tcPr>
            <w:tcW w:w="1070" w:type="dxa"/>
          </w:tcPr>
          <w:p w14:paraId="4C0A7A7B" w14:textId="77777777" w:rsidR="00241417" w:rsidRPr="004710DC" w:rsidRDefault="00241417" w:rsidP="003A71DE">
            <w:pPr>
              <w:pStyle w:val="TAC"/>
            </w:pPr>
            <w:r w:rsidRPr="004710DC">
              <w:rPr>
                <w:lang w:eastAsia="zh-CN"/>
              </w:rPr>
              <w:t>30</w:t>
            </w:r>
          </w:p>
        </w:tc>
        <w:tc>
          <w:tcPr>
            <w:tcW w:w="1071" w:type="dxa"/>
          </w:tcPr>
          <w:p w14:paraId="49099ABF" w14:textId="77777777" w:rsidR="00241417" w:rsidRPr="004710DC" w:rsidRDefault="00241417" w:rsidP="003A71DE">
            <w:pPr>
              <w:pStyle w:val="TAC"/>
            </w:pPr>
            <w:r w:rsidRPr="004710DC">
              <w:rPr>
                <w:lang w:eastAsia="zh-CN"/>
              </w:rPr>
              <w:t>30</w:t>
            </w:r>
          </w:p>
        </w:tc>
        <w:tc>
          <w:tcPr>
            <w:tcW w:w="1071" w:type="dxa"/>
          </w:tcPr>
          <w:p w14:paraId="108277F7" w14:textId="77777777" w:rsidR="00241417" w:rsidRPr="004710DC" w:rsidRDefault="00241417" w:rsidP="003A71DE">
            <w:pPr>
              <w:pStyle w:val="TAC"/>
            </w:pPr>
            <w:r w:rsidRPr="004710DC">
              <w:rPr>
                <w:lang w:eastAsia="zh-CN"/>
              </w:rPr>
              <w:t>30</w:t>
            </w:r>
          </w:p>
        </w:tc>
      </w:tr>
      <w:tr w:rsidR="00241417" w:rsidRPr="004710DC" w14:paraId="69D88A7C" w14:textId="77777777" w:rsidTr="003A71DE">
        <w:trPr>
          <w:cantSplit/>
          <w:jc w:val="center"/>
        </w:trPr>
        <w:tc>
          <w:tcPr>
            <w:tcW w:w="2421" w:type="dxa"/>
          </w:tcPr>
          <w:p w14:paraId="726CE0D3" w14:textId="77777777" w:rsidR="00241417" w:rsidRPr="004710DC" w:rsidRDefault="00241417" w:rsidP="003A71DE">
            <w:pPr>
              <w:pStyle w:val="TAC"/>
            </w:pPr>
            <w:r w:rsidRPr="004710DC">
              <w:t>Allocated resource blocks</w:t>
            </w:r>
          </w:p>
        </w:tc>
        <w:tc>
          <w:tcPr>
            <w:tcW w:w="1070" w:type="dxa"/>
          </w:tcPr>
          <w:p w14:paraId="55F9E647" w14:textId="77777777" w:rsidR="00241417" w:rsidRPr="004710DC" w:rsidRDefault="00241417" w:rsidP="003A71DE">
            <w:pPr>
              <w:pStyle w:val="TAC"/>
            </w:pPr>
            <w:r w:rsidRPr="004710DC">
              <w:t>25</w:t>
            </w:r>
          </w:p>
        </w:tc>
        <w:tc>
          <w:tcPr>
            <w:tcW w:w="1071" w:type="dxa"/>
          </w:tcPr>
          <w:p w14:paraId="6F0413B9" w14:textId="77777777" w:rsidR="00241417" w:rsidRPr="004710DC" w:rsidRDefault="00241417" w:rsidP="003A71DE">
            <w:pPr>
              <w:pStyle w:val="TAC"/>
            </w:pPr>
            <w:r w:rsidRPr="004710DC">
              <w:t>52</w:t>
            </w:r>
          </w:p>
        </w:tc>
        <w:tc>
          <w:tcPr>
            <w:tcW w:w="1070" w:type="dxa"/>
          </w:tcPr>
          <w:p w14:paraId="0A75898F" w14:textId="77777777" w:rsidR="00241417" w:rsidRPr="004710DC" w:rsidRDefault="00241417" w:rsidP="003A71DE">
            <w:pPr>
              <w:pStyle w:val="TAC"/>
              <w:rPr>
                <w:lang w:eastAsia="zh-CN"/>
              </w:rPr>
            </w:pPr>
            <w:r w:rsidRPr="004710DC">
              <w:rPr>
                <w:lang w:eastAsia="zh-CN"/>
              </w:rPr>
              <w:t>106</w:t>
            </w:r>
          </w:p>
        </w:tc>
        <w:tc>
          <w:tcPr>
            <w:tcW w:w="1071" w:type="dxa"/>
          </w:tcPr>
          <w:p w14:paraId="5A2AF569" w14:textId="77777777" w:rsidR="00241417" w:rsidRPr="004710DC" w:rsidRDefault="00241417" w:rsidP="003A71DE">
            <w:pPr>
              <w:pStyle w:val="TAC"/>
            </w:pPr>
            <w:r w:rsidRPr="004710DC">
              <w:t>24</w:t>
            </w:r>
          </w:p>
        </w:tc>
        <w:tc>
          <w:tcPr>
            <w:tcW w:w="1070" w:type="dxa"/>
          </w:tcPr>
          <w:p w14:paraId="3D159B68" w14:textId="77777777" w:rsidR="00241417" w:rsidRPr="004710DC" w:rsidRDefault="00241417" w:rsidP="003A71DE">
            <w:pPr>
              <w:pStyle w:val="TAC"/>
            </w:pPr>
            <w:r w:rsidRPr="004710DC">
              <w:t>51</w:t>
            </w:r>
          </w:p>
        </w:tc>
        <w:tc>
          <w:tcPr>
            <w:tcW w:w="1071" w:type="dxa"/>
          </w:tcPr>
          <w:p w14:paraId="00F7AB98" w14:textId="77777777" w:rsidR="00241417" w:rsidRPr="004710DC" w:rsidRDefault="00241417" w:rsidP="003A71DE">
            <w:pPr>
              <w:pStyle w:val="TAC"/>
            </w:pPr>
            <w:r w:rsidRPr="004710DC">
              <w:t>106</w:t>
            </w:r>
          </w:p>
        </w:tc>
        <w:tc>
          <w:tcPr>
            <w:tcW w:w="1071" w:type="dxa"/>
          </w:tcPr>
          <w:p w14:paraId="387E8C48" w14:textId="77777777" w:rsidR="00241417" w:rsidRPr="004710DC" w:rsidRDefault="00241417" w:rsidP="003A71DE">
            <w:pPr>
              <w:pStyle w:val="TAC"/>
            </w:pPr>
            <w:r w:rsidRPr="004710DC">
              <w:t>273</w:t>
            </w:r>
          </w:p>
        </w:tc>
      </w:tr>
      <w:tr w:rsidR="00241417" w:rsidRPr="004710DC" w14:paraId="5AC265D0" w14:textId="77777777" w:rsidTr="003A71DE">
        <w:trPr>
          <w:cantSplit/>
          <w:jc w:val="center"/>
        </w:trPr>
        <w:tc>
          <w:tcPr>
            <w:tcW w:w="2421" w:type="dxa"/>
          </w:tcPr>
          <w:p w14:paraId="3345A4AB"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0" w:type="dxa"/>
          </w:tcPr>
          <w:p w14:paraId="11CB03FF" w14:textId="77777777" w:rsidR="00241417" w:rsidRPr="004710DC" w:rsidRDefault="00241417" w:rsidP="003A71DE">
            <w:pPr>
              <w:pStyle w:val="TAC"/>
              <w:rPr>
                <w:lang w:eastAsia="zh-CN"/>
              </w:rPr>
            </w:pPr>
            <w:r w:rsidRPr="004710DC">
              <w:rPr>
                <w:lang w:eastAsia="zh-CN"/>
              </w:rPr>
              <w:t>12</w:t>
            </w:r>
          </w:p>
        </w:tc>
        <w:tc>
          <w:tcPr>
            <w:tcW w:w="1071" w:type="dxa"/>
          </w:tcPr>
          <w:p w14:paraId="3465193E" w14:textId="77777777" w:rsidR="00241417" w:rsidRPr="004710DC" w:rsidRDefault="00241417" w:rsidP="003A71DE">
            <w:pPr>
              <w:pStyle w:val="TAC"/>
            </w:pPr>
            <w:r w:rsidRPr="004710DC">
              <w:rPr>
                <w:lang w:eastAsia="zh-CN"/>
              </w:rPr>
              <w:t>12</w:t>
            </w:r>
          </w:p>
        </w:tc>
        <w:tc>
          <w:tcPr>
            <w:tcW w:w="1070" w:type="dxa"/>
          </w:tcPr>
          <w:p w14:paraId="25861D91" w14:textId="77777777" w:rsidR="00241417" w:rsidRPr="004710DC" w:rsidRDefault="00241417" w:rsidP="003A71DE">
            <w:pPr>
              <w:pStyle w:val="TAC"/>
            </w:pPr>
            <w:r w:rsidRPr="004710DC">
              <w:rPr>
                <w:lang w:eastAsia="zh-CN"/>
              </w:rPr>
              <w:t>12</w:t>
            </w:r>
          </w:p>
        </w:tc>
        <w:tc>
          <w:tcPr>
            <w:tcW w:w="1071" w:type="dxa"/>
          </w:tcPr>
          <w:p w14:paraId="25290670" w14:textId="77777777" w:rsidR="00241417" w:rsidRPr="004710DC" w:rsidRDefault="00241417" w:rsidP="003A71DE">
            <w:pPr>
              <w:pStyle w:val="TAC"/>
            </w:pPr>
            <w:r w:rsidRPr="004710DC">
              <w:rPr>
                <w:lang w:eastAsia="zh-CN"/>
              </w:rPr>
              <w:t>12</w:t>
            </w:r>
          </w:p>
        </w:tc>
        <w:tc>
          <w:tcPr>
            <w:tcW w:w="1070" w:type="dxa"/>
          </w:tcPr>
          <w:p w14:paraId="31E8CA75" w14:textId="77777777" w:rsidR="00241417" w:rsidRPr="004710DC" w:rsidRDefault="00241417" w:rsidP="003A71DE">
            <w:pPr>
              <w:pStyle w:val="TAC"/>
            </w:pPr>
            <w:r w:rsidRPr="004710DC">
              <w:rPr>
                <w:lang w:eastAsia="zh-CN"/>
              </w:rPr>
              <w:t>12</w:t>
            </w:r>
          </w:p>
        </w:tc>
        <w:tc>
          <w:tcPr>
            <w:tcW w:w="1071" w:type="dxa"/>
          </w:tcPr>
          <w:p w14:paraId="4AABC731" w14:textId="77777777" w:rsidR="00241417" w:rsidRPr="004710DC" w:rsidRDefault="00241417" w:rsidP="003A71DE">
            <w:pPr>
              <w:pStyle w:val="TAC"/>
            </w:pPr>
            <w:r w:rsidRPr="004710DC">
              <w:rPr>
                <w:lang w:eastAsia="zh-CN"/>
              </w:rPr>
              <w:t>12</w:t>
            </w:r>
          </w:p>
        </w:tc>
        <w:tc>
          <w:tcPr>
            <w:tcW w:w="1071" w:type="dxa"/>
          </w:tcPr>
          <w:p w14:paraId="3B0570BA" w14:textId="77777777" w:rsidR="00241417" w:rsidRPr="004710DC" w:rsidRDefault="00241417" w:rsidP="003A71DE">
            <w:pPr>
              <w:pStyle w:val="TAC"/>
            </w:pPr>
            <w:r w:rsidRPr="004710DC">
              <w:rPr>
                <w:lang w:eastAsia="zh-CN"/>
              </w:rPr>
              <w:t>12</w:t>
            </w:r>
          </w:p>
        </w:tc>
      </w:tr>
      <w:tr w:rsidR="00241417" w:rsidRPr="004710DC" w14:paraId="2A0FDE7C" w14:textId="77777777" w:rsidTr="003A71DE">
        <w:trPr>
          <w:cantSplit/>
          <w:jc w:val="center"/>
        </w:trPr>
        <w:tc>
          <w:tcPr>
            <w:tcW w:w="2421" w:type="dxa"/>
          </w:tcPr>
          <w:p w14:paraId="6EC8B905" w14:textId="77777777" w:rsidR="00241417" w:rsidRPr="004710DC" w:rsidRDefault="00241417" w:rsidP="003A71DE">
            <w:pPr>
              <w:pStyle w:val="TAC"/>
            </w:pPr>
            <w:r w:rsidRPr="004710DC">
              <w:t>Modulation</w:t>
            </w:r>
          </w:p>
        </w:tc>
        <w:tc>
          <w:tcPr>
            <w:tcW w:w="1070" w:type="dxa"/>
          </w:tcPr>
          <w:p w14:paraId="256EFA91" w14:textId="77777777" w:rsidR="00241417" w:rsidRPr="004710DC" w:rsidRDefault="00241417" w:rsidP="003A71DE">
            <w:pPr>
              <w:pStyle w:val="TAC"/>
              <w:rPr>
                <w:lang w:eastAsia="zh-CN"/>
              </w:rPr>
            </w:pPr>
            <w:r w:rsidRPr="004710DC">
              <w:rPr>
                <w:lang w:eastAsia="zh-CN"/>
              </w:rPr>
              <w:t>64QAM</w:t>
            </w:r>
          </w:p>
        </w:tc>
        <w:tc>
          <w:tcPr>
            <w:tcW w:w="1071" w:type="dxa"/>
          </w:tcPr>
          <w:p w14:paraId="2D8F48FF" w14:textId="77777777" w:rsidR="00241417" w:rsidRPr="004710DC" w:rsidRDefault="00241417" w:rsidP="003A71DE">
            <w:pPr>
              <w:pStyle w:val="TAC"/>
            </w:pPr>
            <w:r w:rsidRPr="004710DC">
              <w:rPr>
                <w:lang w:eastAsia="zh-CN"/>
              </w:rPr>
              <w:t>64QAM</w:t>
            </w:r>
          </w:p>
        </w:tc>
        <w:tc>
          <w:tcPr>
            <w:tcW w:w="1070" w:type="dxa"/>
          </w:tcPr>
          <w:p w14:paraId="6CF01A94" w14:textId="77777777" w:rsidR="00241417" w:rsidRPr="004710DC" w:rsidRDefault="00241417" w:rsidP="003A71DE">
            <w:pPr>
              <w:pStyle w:val="TAC"/>
            </w:pPr>
            <w:r w:rsidRPr="004710DC">
              <w:rPr>
                <w:lang w:eastAsia="zh-CN"/>
              </w:rPr>
              <w:t>64QAM</w:t>
            </w:r>
          </w:p>
        </w:tc>
        <w:tc>
          <w:tcPr>
            <w:tcW w:w="1071" w:type="dxa"/>
          </w:tcPr>
          <w:p w14:paraId="52388598" w14:textId="77777777" w:rsidR="00241417" w:rsidRPr="004710DC" w:rsidRDefault="00241417" w:rsidP="003A71DE">
            <w:pPr>
              <w:pStyle w:val="TAC"/>
            </w:pPr>
            <w:r w:rsidRPr="004710DC">
              <w:rPr>
                <w:lang w:eastAsia="zh-CN"/>
              </w:rPr>
              <w:t>64QAM</w:t>
            </w:r>
          </w:p>
        </w:tc>
        <w:tc>
          <w:tcPr>
            <w:tcW w:w="1070" w:type="dxa"/>
          </w:tcPr>
          <w:p w14:paraId="5D69EC5D" w14:textId="77777777" w:rsidR="00241417" w:rsidRPr="004710DC" w:rsidRDefault="00241417" w:rsidP="003A71DE">
            <w:pPr>
              <w:pStyle w:val="TAC"/>
            </w:pPr>
            <w:r w:rsidRPr="004710DC">
              <w:rPr>
                <w:lang w:eastAsia="zh-CN"/>
              </w:rPr>
              <w:t>64QAM</w:t>
            </w:r>
          </w:p>
        </w:tc>
        <w:tc>
          <w:tcPr>
            <w:tcW w:w="1071" w:type="dxa"/>
          </w:tcPr>
          <w:p w14:paraId="439D84F3" w14:textId="77777777" w:rsidR="00241417" w:rsidRPr="004710DC" w:rsidRDefault="00241417" w:rsidP="003A71DE">
            <w:pPr>
              <w:pStyle w:val="TAC"/>
            </w:pPr>
            <w:r w:rsidRPr="004710DC">
              <w:rPr>
                <w:lang w:eastAsia="zh-CN"/>
              </w:rPr>
              <w:t>64QAM</w:t>
            </w:r>
          </w:p>
        </w:tc>
        <w:tc>
          <w:tcPr>
            <w:tcW w:w="1071" w:type="dxa"/>
          </w:tcPr>
          <w:p w14:paraId="0D023DF7" w14:textId="77777777" w:rsidR="00241417" w:rsidRPr="004710DC" w:rsidRDefault="00241417" w:rsidP="003A71DE">
            <w:pPr>
              <w:pStyle w:val="TAC"/>
            </w:pPr>
            <w:r w:rsidRPr="004710DC">
              <w:rPr>
                <w:lang w:eastAsia="zh-CN"/>
              </w:rPr>
              <w:t>64QAM</w:t>
            </w:r>
          </w:p>
        </w:tc>
      </w:tr>
      <w:tr w:rsidR="00241417" w:rsidRPr="004710DC" w14:paraId="4BAC2A87" w14:textId="77777777" w:rsidTr="003A71DE">
        <w:trPr>
          <w:cantSplit/>
          <w:jc w:val="center"/>
        </w:trPr>
        <w:tc>
          <w:tcPr>
            <w:tcW w:w="2421" w:type="dxa"/>
          </w:tcPr>
          <w:p w14:paraId="3DD705E7" w14:textId="77777777" w:rsidR="00241417" w:rsidRPr="004710DC" w:rsidRDefault="00241417" w:rsidP="003A71DE">
            <w:pPr>
              <w:pStyle w:val="TAC"/>
            </w:pPr>
            <w:r>
              <w:t>Code Rate</w:t>
            </w:r>
          </w:p>
        </w:tc>
        <w:tc>
          <w:tcPr>
            <w:tcW w:w="1070" w:type="dxa"/>
          </w:tcPr>
          <w:p w14:paraId="7D0A3400" w14:textId="77777777" w:rsidR="00241417" w:rsidRPr="004710DC" w:rsidRDefault="00241417" w:rsidP="003A71DE">
            <w:pPr>
              <w:pStyle w:val="TAC"/>
              <w:rPr>
                <w:lang w:eastAsia="zh-CN"/>
              </w:rPr>
            </w:pPr>
            <w:r w:rsidRPr="004710DC">
              <w:rPr>
                <w:lang w:eastAsia="zh-CN"/>
              </w:rPr>
              <w:t>567/1024</w:t>
            </w:r>
          </w:p>
        </w:tc>
        <w:tc>
          <w:tcPr>
            <w:tcW w:w="1071" w:type="dxa"/>
          </w:tcPr>
          <w:p w14:paraId="0B79CFFA" w14:textId="77777777" w:rsidR="00241417" w:rsidRPr="004710DC" w:rsidRDefault="00241417" w:rsidP="003A71DE">
            <w:pPr>
              <w:pStyle w:val="TAC"/>
              <w:rPr>
                <w:lang w:eastAsia="zh-CN"/>
              </w:rPr>
            </w:pPr>
            <w:r w:rsidRPr="004710DC">
              <w:rPr>
                <w:lang w:eastAsia="zh-CN"/>
              </w:rPr>
              <w:t>567/1024</w:t>
            </w:r>
          </w:p>
        </w:tc>
        <w:tc>
          <w:tcPr>
            <w:tcW w:w="1070" w:type="dxa"/>
          </w:tcPr>
          <w:p w14:paraId="5B2C538E" w14:textId="77777777" w:rsidR="00241417" w:rsidRPr="004710DC" w:rsidRDefault="00241417" w:rsidP="003A71DE">
            <w:pPr>
              <w:pStyle w:val="TAC"/>
              <w:rPr>
                <w:lang w:eastAsia="zh-CN"/>
              </w:rPr>
            </w:pPr>
            <w:r w:rsidRPr="004710DC">
              <w:rPr>
                <w:lang w:eastAsia="zh-CN"/>
              </w:rPr>
              <w:t>567/1024</w:t>
            </w:r>
          </w:p>
        </w:tc>
        <w:tc>
          <w:tcPr>
            <w:tcW w:w="1071" w:type="dxa"/>
          </w:tcPr>
          <w:p w14:paraId="4E8E4F18" w14:textId="77777777" w:rsidR="00241417" w:rsidRPr="004710DC" w:rsidRDefault="00241417" w:rsidP="003A71DE">
            <w:pPr>
              <w:pStyle w:val="TAC"/>
              <w:rPr>
                <w:lang w:eastAsia="zh-CN"/>
              </w:rPr>
            </w:pPr>
            <w:r w:rsidRPr="004710DC">
              <w:rPr>
                <w:lang w:eastAsia="zh-CN"/>
              </w:rPr>
              <w:t>567/1024</w:t>
            </w:r>
          </w:p>
        </w:tc>
        <w:tc>
          <w:tcPr>
            <w:tcW w:w="1070" w:type="dxa"/>
          </w:tcPr>
          <w:p w14:paraId="447D23C2" w14:textId="77777777" w:rsidR="00241417" w:rsidRPr="004710DC" w:rsidRDefault="00241417" w:rsidP="003A71DE">
            <w:pPr>
              <w:pStyle w:val="TAC"/>
              <w:rPr>
                <w:lang w:eastAsia="zh-CN"/>
              </w:rPr>
            </w:pPr>
            <w:r w:rsidRPr="004710DC">
              <w:rPr>
                <w:lang w:eastAsia="zh-CN"/>
              </w:rPr>
              <w:t>567/1024</w:t>
            </w:r>
          </w:p>
        </w:tc>
        <w:tc>
          <w:tcPr>
            <w:tcW w:w="1071" w:type="dxa"/>
          </w:tcPr>
          <w:p w14:paraId="0FD1B3BA" w14:textId="77777777" w:rsidR="00241417" w:rsidRPr="004710DC" w:rsidRDefault="00241417" w:rsidP="003A71DE">
            <w:pPr>
              <w:pStyle w:val="TAC"/>
              <w:rPr>
                <w:lang w:eastAsia="zh-CN"/>
              </w:rPr>
            </w:pPr>
            <w:r w:rsidRPr="004710DC">
              <w:rPr>
                <w:lang w:eastAsia="zh-CN"/>
              </w:rPr>
              <w:t>567/1024</w:t>
            </w:r>
          </w:p>
        </w:tc>
        <w:tc>
          <w:tcPr>
            <w:tcW w:w="1071" w:type="dxa"/>
          </w:tcPr>
          <w:p w14:paraId="7AE8AFC6" w14:textId="77777777" w:rsidR="00241417" w:rsidRPr="004710DC" w:rsidRDefault="00241417" w:rsidP="003A71DE">
            <w:pPr>
              <w:pStyle w:val="TAC"/>
              <w:rPr>
                <w:lang w:eastAsia="zh-CN"/>
              </w:rPr>
            </w:pPr>
            <w:r w:rsidRPr="004710DC">
              <w:rPr>
                <w:lang w:eastAsia="zh-CN"/>
              </w:rPr>
              <w:t>567/1024</w:t>
            </w:r>
          </w:p>
        </w:tc>
      </w:tr>
      <w:tr w:rsidR="00241417" w:rsidRPr="004710DC" w14:paraId="038EB18B" w14:textId="77777777" w:rsidTr="003A71DE">
        <w:trPr>
          <w:cantSplit/>
          <w:jc w:val="center"/>
        </w:trPr>
        <w:tc>
          <w:tcPr>
            <w:tcW w:w="2421" w:type="dxa"/>
          </w:tcPr>
          <w:p w14:paraId="26E85097" w14:textId="77777777" w:rsidR="00241417" w:rsidRPr="004710DC" w:rsidRDefault="00241417" w:rsidP="003A71DE">
            <w:pPr>
              <w:pStyle w:val="TAC"/>
            </w:pPr>
            <w:r w:rsidRPr="004710DC">
              <w:t>Payload size (bits)</w:t>
            </w:r>
          </w:p>
        </w:tc>
        <w:tc>
          <w:tcPr>
            <w:tcW w:w="1070" w:type="dxa"/>
            <w:vAlign w:val="center"/>
          </w:tcPr>
          <w:p w14:paraId="396878A3" w14:textId="77777777" w:rsidR="00241417" w:rsidRPr="004710DC" w:rsidRDefault="00241417" w:rsidP="003A71DE">
            <w:pPr>
              <w:pStyle w:val="TAC"/>
              <w:rPr>
                <w:lang w:eastAsia="zh-CN"/>
              </w:rPr>
            </w:pPr>
            <w:r w:rsidRPr="004710DC">
              <w:rPr>
                <w:lang w:eastAsia="zh-CN"/>
              </w:rPr>
              <w:t>12040</w:t>
            </w:r>
          </w:p>
        </w:tc>
        <w:tc>
          <w:tcPr>
            <w:tcW w:w="1071" w:type="dxa"/>
            <w:vAlign w:val="center"/>
          </w:tcPr>
          <w:p w14:paraId="77E8DF80" w14:textId="77777777" w:rsidR="00241417" w:rsidRPr="004710DC" w:rsidRDefault="00241417" w:rsidP="003A71DE">
            <w:pPr>
              <w:pStyle w:val="TAC"/>
              <w:rPr>
                <w:lang w:eastAsia="zh-CN"/>
              </w:rPr>
            </w:pPr>
            <w:r w:rsidRPr="004710DC">
              <w:rPr>
                <w:lang w:eastAsia="zh-CN"/>
              </w:rPr>
              <w:t>25104</w:t>
            </w:r>
          </w:p>
        </w:tc>
        <w:tc>
          <w:tcPr>
            <w:tcW w:w="1070" w:type="dxa"/>
            <w:vAlign w:val="center"/>
          </w:tcPr>
          <w:p w14:paraId="3BD32CFB" w14:textId="77777777" w:rsidR="00241417" w:rsidRPr="004710DC" w:rsidRDefault="00241417" w:rsidP="003A71DE">
            <w:pPr>
              <w:pStyle w:val="TAC"/>
              <w:rPr>
                <w:lang w:eastAsia="zh-CN"/>
              </w:rPr>
            </w:pPr>
            <w:r w:rsidRPr="004710DC">
              <w:rPr>
                <w:lang w:eastAsia="zh-CN"/>
              </w:rPr>
              <w:t>50184</w:t>
            </w:r>
          </w:p>
        </w:tc>
        <w:tc>
          <w:tcPr>
            <w:tcW w:w="1071" w:type="dxa"/>
            <w:vAlign w:val="center"/>
          </w:tcPr>
          <w:p w14:paraId="2F718036" w14:textId="77777777" w:rsidR="00241417" w:rsidRPr="004710DC" w:rsidRDefault="00241417" w:rsidP="003A71DE">
            <w:pPr>
              <w:pStyle w:val="TAC"/>
              <w:rPr>
                <w:lang w:eastAsia="zh-CN"/>
              </w:rPr>
            </w:pPr>
            <w:r w:rsidRPr="004710DC">
              <w:rPr>
                <w:lang w:eastAsia="zh-CN"/>
              </w:rPr>
              <w:t>11528</w:t>
            </w:r>
          </w:p>
        </w:tc>
        <w:tc>
          <w:tcPr>
            <w:tcW w:w="1070" w:type="dxa"/>
            <w:vAlign w:val="center"/>
          </w:tcPr>
          <w:p w14:paraId="30506817" w14:textId="77777777" w:rsidR="00241417" w:rsidRPr="004710DC" w:rsidRDefault="00241417" w:rsidP="003A71DE">
            <w:pPr>
              <w:pStyle w:val="TAC"/>
              <w:rPr>
                <w:lang w:eastAsia="zh-CN"/>
              </w:rPr>
            </w:pPr>
            <w:r w:rsidRPr="004710DC">
              <w:rPr>
                <w:lang w:eastAsia="zh-CN"/>
              </w:rPr>
              <w:t>24576</w:t>
            </w:r>
          </w:p>
        </w:tc>
        <w:tc>
          <w:tcPr>
            <w:tcW w:w="1071" w:type="dxa"/>
          </w:tcPr>
          <w:p w14:paraId="17B61758" w14:textId="77777777" w:rsidR="00241417" w:rsidRPr="004710DC" w:rsidRDefault="00241417" w:rsidP="003A71DE">
            <w:pPr>
              <w:pStyle w:val="TAC"/>
              <w:rPr>
                <w:lang w:eastAsia="zh-CN"/>
              </w:rPr>
            </w:pPr>
            <w:r w:rsidRPr="004710DC">
              <w:rPr>
                <w:lang w:eastAsia="zh-CN"/>
              </w:rPr>
              <w:t>50184</w:t>
            </w:r>
          </w:p>
        </w:tc>
        <w:tc>
          <w:tcPr>
            <w:tcW w:w="1071" w:type="dxa"/>
          </w:tcPr>
          <w:p w14:paraId="3FAA4E68" w14:textId="77777777" w:rsidR="00241417" w:rsidRPr="004710DC" w:rsidRDefault="00241417" w:rsidP="003A71DE">
            <w:pPr>
              <w:pStyle w:val="TAC"/>
              <w:rPr>
                <w:lang w:eastAsia="zh-CN"/>
              </w:rPr>
            </w:pPr>
            <w:r w:rsidRPr="004710DC">
              <w:rPr>
                <w:lang w:eastAsia="zh-CN"/>
              </w:rPr>
              <w:t>131176</w:t>
            </w:r>
          </w:p>
        </w:tc>
      </w:tr>
      <w:tr w:rsidR="00241417" w:rsidRPr="004710DC" w14:paraId="48BECC4F" w14:textId="77777777" w:rsidTr="003A71DE">
        <w:trPr>
          <w:cantSplit/>
          <w:jc w:val="center"/>
        </w:trPr>
        <w:tc>
          <w:tcPr>
            <w:tcW w:w="2421" w:type="dxa"/>
          </w:tcPr>
          <w:p w14:paraId="143DD919" w14:textId="77777777" w:rsidR="00241417" w:rsidRPr="004710DC" w:rsidRDefault="00241417" w:rsidP="003A71DE">
            <w:pPr>
              <w:pStyle w:val="TAC"/>
            </w:pPr>
            <w:r w:rsidRPr="004710DC">
              <w:t>Transport block CRC (bits)</w:t>
            </w:r>
          </w:p>
        </w:tc>
        <w:tc>
          <w:tcPr>
            <w:tcW w:w="1070" w:type="dxa"/>
          </w:tcPr>
          <w:p w14:paraId="23BE3F05" w14:textId="77777777" w:rsidR="00241417" w:rsidRPr="004710DC" w:rsidRDefault="00241417" w:rsidP="003A71DE">
            <w:pPr>
              <w:pStyle w:val="TAC"/>
              <w:rPr>
                <w:lang w:eastAsia="zh-CN"/>
              </w:rPr>
            </w:pPr>
            <w:r w:rsidRPr="004710DC">
              <w:rPr>
                <w:lang w:eastAsia="zh-CN"/>
              </w:rPr>
              <w:t>24</w:t>
            </w:r>
          </w:p>
        </w:tc>
        <w:tc>
          <w:tcPr>
            <w:tcW w:w="1071" w:type="dxa"/>
          </w:tcPr>
          <w:p w14:paraId="5484595D" w14:textId="77777777" w:rsidR="00241417" w:rsidRPr="004710DC" w:rsidRDefault="00241417" w:rsidP="003A71DE">
            <w:pPr>
              <w:pStyle w:val="TAC"/>
              <w:rPr>
                <w:lang w:eastAsia="zh-CN"/>
              </w:rPr>
            </w:pPr>
            <w:r w:rsidRPr="004710DC">
              <w:rPr>
                <w:lang w:eastAsia="zh-CN"/>
              </w:rPr>
              <w:t>24</w:t>
            </w:r>
          </w:p>
        </w:tc>
        <w:tc>
          <w:tcPr>
            <w:tcW w:w="1070" w:type="dxa"/>
          </w:tcPr>
          <w:p w14:paraId="7465279D" w14:textId="77777777" w:rsidR="00241417" w:rsidRPr="004710DC" w:rsidRDefault="00241417" w:rsidP="003A71DE">
            <w:pPr>
              <w:pStyle w:val="TAC"/>
              <w:rPr>
                <w:lang w:eastAsia="zh-CN"/>
              </w:rPr>
            </w:pPr>
            <w:r w:rsidRPr="004710DC">
              <w:rPr>
                <w:lang w:eastAsia="zh-CN"/>
              </w:rPr>
              <w:t>24</w:t>
            </w:r>
          </w:p>
        </w:tc>
        <w:tc>
          <w:tcPr>
            <w:tcW w:w="1071" w:type="dxa"/>
          </w:tcPr>
          <w:p w14:paraId="67ADA247" w14:textId="77777777" w:rsidR="00241417" w:rsidRPr="004710DC" w:rsidRDefault="00241417" w:rsidP="003A71DE">
            <w:pPr>
              <w:pStyle w:val="TAC"/>
              <w:rPr>
                <w:lang w:eastAsia="zh-CN"/>
              </w:rPr>
            </w:pPr>
            <w:r w:rsidRPr="004710DC">
              <w:rPr>
                <w:lang w:eastAsia="zh-CN"/>
              </w:rPr>
              <w:t>24</w:t>
            </w:r>
          </w:p>
        </w:tc>
        <w:tc>
          <w:tcPr>
            <w:tcW w:w="1070" w:type="dxa"/>
          </w:tcPr>
          <w:p w14:paraId="0B375B88" w14:textId="77777777" w:rsidR="00241417" w:rsidRPr="004710DC" w:rsidRDefault="00241417" w:rsidP="003A71DE">
            <w:pPr>
              <w:pStyle w:val="TAC"/>
              <w:rPr>
                <w:lang w:eastAsia="zh-CN"/>
              </w:rPr>
            </w:pPr>
            <w:r w:rsidRPr="004710DC">
              <w:rPr>
                <w:lang w:eastAsia="zh-CN"/>
              </w:rPr>
              <w:t>24</w:t>
            </w:r>
          </w:p>
        </w:tc>
        <w:tc>
          <w:tcPr>
            <w:tcW w:w="1071" w:type="dxa"/>
          </w:tcPr>
          <w:p w14:paraId="65BF2CCC" w14:textId="77777777" w:rsidR="00241417" w:rsidRPr="004710DC" w:rsidRDefault="00241417" w:rsidP="003A71DE">
            <w:pPr>
              <w:pStyle w:val="TAC"/>
              <w:rPr>
                <w:lang w:eastAsia="zh-CN"/>
              </w:rPr>
            </w:pPr>
            <w:r w:rsidRPr="004710DC">
              <w:rPr>
                <w:lang w:eastAsia="zh-CN"/>
              </w:rPr>
              <w:t>24</w:t>
            </w:r>
          </w:p>
        </w:tc>
        <w:tc>
          <w:tcPr>
            <w:tcW w:w="1071" w:type="dxa"/>
          </w:tcPr>
          <w:p w14:paraId="72267762" w14:textId="77777777" w:rsidR="00241417" w:rsidRPr="004710DC" w:rsidRDefault="00241417" w:rsidP="003A71DE">
            <w:pPr>
              <w:pStyle w:val="TAC"/>
              <w:rPr>
                <w:lang w:eastAsia="zh-CN"/>
              </w:rPr>
            </w:pPr>
            <w:r w:rsidRPr="004710DC">
              <w:rPr>
                <w:lang w:eastAsia="zh-CN"/>
              </w:rPr>
              <w:t>24</w:t>
            </w:r>
          </w:p>
        </w:tc>
      </w:tr>
      <w:tr w:rsidR="00241417" w:rsidRPr="004710DC" w14:paraId="1BA935C6" w14:textId="77777777" w:rsidTr="003A71DE">
        <w:trPr>
          <w:cantSplit/>
          <w:jc w:val="center"/>
        </w:trPr>
        <w:tc>
          <w:tcPr>
            <w:tcW w:w="2421" w:type="dxa"/>
          </w:tcPr>
          <w:p w14:paraId="5AB0C724" w14:textId="77777777" w:rsidR="00241417" w:rsidRPr="00AD765F" w:rsidRDefault="00241417" w:rsidP="003A71DE">
            <w:pPr>
              <w:pStyle w:val="TAC"/>
            </w:pPr>
            <w:r w:rsidRPr="00AD765F">
              <w:t>Code block CRC size (bits)</w:t>
            </w:r>
          </w:p>
        </w:tc>
        <w:tc>
          <w:tcPr>
            <w:tcW w:w="1070" w:type="dxa"/>
          </w:tcPr>
          <w:p w14:paraId="4AD4A51E" w14:textId="77777777" w:rsidR="00241417" w:rsidRPr="004710DC" w:rsidRDefault="00241417" w:rsidP="003A71DE">
            <w:pPr>
              <w:pStyle w:val="TAC"/>
              <w:rPr>
                <w:lang w:eastAsia="zh-CN"/>
              </w:rPr>
            </w:pPr>
            <w:r w:rsidRPr="004710DC">
              <w:rPr>
                <w:lang w:eastAsia="zh-CN"/>
              </w:rPr>
              <w:t>24</w:t>
            </w:r>
          </w:p>
        </w:tc>
        <w:tc>
          <w:tcPr>
            <w:tcW w:w="1071" w:type="dxa"/>
          </w:tcPr>
          <w:p w14:paraId="5ACF3F19" w14:textId="77777777" w:rsidR="00241417" w:rsidRPr="004710DC" w:rsidRDefault="00241417" w:rsidP="003A71DE">
            <w:pPr>
              <w:pStyle w:val="TAC"/>
              <w:rPr>
                <w:lang w:eastAsia="zh-CN"/>
              </w:rPr>
            </w:pPr>
            <w:r w:rsidRPr="004710DC">
              <w:rPr>
                <w:lang w:eastAsia="zh-CN"/>
              </w:rPr>
              <w:t>24</w:t>
            </w:r>
          </w:p>
        </w:tc>
        <w:tc>
          <w:tcPr>
            <w:tcW w:w="1070" w:type="dxa"/>
          </w:tcPr>
          <w:p w14:paraId="5BB47BB2" w14:textId="77777777" w:rsidR="00241417" w:rsidRPr="004710DC" w:rsidRDefault="00241417" w:rsidP="003A71DE">
            <w:pPr>
              <w:pStyle w:val="TAC"/>
              <w:rPr>
                <w:lang w:eastAsia="zh-CN"/>
              </w:rPr>
            </w:pPr>
            <w:r w:rsidRPr="004710DC">
              <w:rPr>
                <w:lang w:eastAsia="zh-CN"/>
              </w:rPr>
              <w:t>24</w:t>
            </w:r>
          </w:p>
        </w:tc>
        <w:tc>
          <w:tcPr>
            <w:tcW w:w="1071" w:type="dxa"/>
          </w:tcPr>
          <w:p w14:paraId="35FA3ECC" w14:textId="77777777" w:rsidR="00241417" w:rsidRPr="004710DC" w:rsidRDefault="00241417" w:rsidP="003A71DE">
            <w:pPr>
              <w:pStyle w:val="TAC"/>
              <w:rPr>
                <w:lang w:eastAsia="zh-CN"/>
              </w:rPr>
            </w:pPr>
            <w:r w:rsidRPr="004710DC">
              <w:rPr>
                <w:lang w:eastAsia="zh-CN"/>
              </w:rPr>
              <w:t>24</w:t>
            </w:r>
          </w:p>
        </w:tc>
        <w:tc>
          <w:tcPr>
            <w:tcW w:w="1070" w:type="dxa"/>
          </w:tcPr>
          <w:p w14:paraId="5C47D77F" w14:textId="77777777" w:rsidR="00241417" w:rsidRPr="004710DC" w:rsidRDefault="00241417" w:rsidP="003A71DE">
            <w:pPr>
              <w:pStyle w:val="TAC"/>
              <w:rPr>
                <w:lang w:eastAsia="zh-CN"/>
              </w:rPr>
            </w:pPr>
            <w:r w:rsidRPr="004710DC">
              <w:rPr>
                <w:lang w:eastAsia="zh-CN"/>
              </w:rPr>
              <w:t>24</w:t>
            </w:r>
          </w:p>
        </w:tc>
        <w:tc>
          <w:tcPr>
            <w:tcW w:w="1071" w:type="dxa"/>
          </w:tcPr>
          <w:p w14:paraId="4B23169A" w14:textId="77777777" w:rsidR="00241417" w:rsidRPr="004710DC" w:rsidRDefault="00241417" w:rsidP="003A71DE">
            <w:pPr>
              <w:pStyle w:val="TAC"/>
              <w:rPr>
                <w:lang w:eastAsia="zh-CN"/>
              </w:rPr>
            </w:pPr>
            <w:r w:rsidRPr="004710DC">
              <w:rPr>
                <w:lang w:eastAsia="zh-CN"/>
              </w:rPr>
              <w:t>24</w:t>
            </w:r>
          </w:p>
        </w:tc>
        <w:tc>
          <w:tcPr>
            <w:tcW w:w="1071" w:type="dxa"/>
          </w:tcPr>
          <w:p w14:paraId="1C26E844" w14:textId="77777777" w:rsidR="00241417" w:rsidRPr="004710DC" w:rsidRDefault="00241417" w:rsidP="003A71DE">
            <w:pPr>
              <w:pStyle w:val="TAC"/>
              <w:rPr>
                <w:lang w:eastAsia="zh-CN"/>
              </w:rPr>
            </w:pPr>
            <w:r w:rsidRPr="004710DC">
              <w:rPr>
                <w:lang w:eastAsia="zh-CN"/>
              </w:rPr>
              <w:t>24</w:t>
            </w:r>
          </w:p>
        </w:tc>
      </w:tr>
      <w:tr w:rsidR="00241417" w:rsidRPr="004710DC" w14:paraId="565473FD" w14:textId="77777777" w:rsidTr="003A71DE">
        <w:trPr>
          <w:cantSplit/>
          <w:jc w:val="center"/>
        </w:trPr>
        <w:tc>
          <w:tcPr>
            <w:tcW w:w="2421" w:type="dxa"/>
          </w:tcPr>
          <w:p w14:paraId="4580A1D4" w14:textId="77777777" w:rsidR="00241417" w:rsidRPr="00AD765F" w:rsidRDefault="00241417" w:rsidP="003A71DE">
            <w:pPr>
              <w:pStyle w:val="TAC"/>
            </w:pPr>
            <w:r w:rsidRPr="00AD765F">
              <w:t>Number of code blocks - C</w:t>
            </w:r>
          </w:p>
        </w:tc>
        <w:tc>
          <w:tcPr>
            <w:tcW w:w="1070" w:type="dxa"/>
            <w:vAlign w:val="center"/>
          </w:tcPr>
          <w:p w14:paraId="72CD24FE" w14:textId="77777777" w:rsidR="00241417" w:rsidRPr="004710DC" w:rsidRDefault="00241417" w:rsidP="003A71DE">
            <w:pPr>
              <w:pStyle w:val="TAC"/>
              <w:rPr>
                <w:lang w:eastAsia="zh-CN"/>
              </w:rPr>
            </w:pPr>
            <w:r w:rsidRPr="004710DC">
              <w:rPr>
                <w:lang w:eastAsia="zh-CN"/>
              </w:rPr>
              <w:t>2</w:t>
            </w:r>
          </w:p>
        </w:tc>
        <w:tc>
          <w:tcPr>
            <w:tcW w:w="1071" w:type="dxa"/>
            <w:vAlign w:val="center"/>
          </w:tcPr>
          <w:p w14:paraId="43112274" w14:textId="77777777" w:rsidR="00241417" w:rsidRPr="004710DC" w:rsidRDefault="00241417" w:rsidP="003A71DE">
            <w:pPr>
              <w:pStyle w:val="TAC"/>
              <w:rPr>
                <w:lang w:eastAsia="zh-CN"/>
              </w:rPr>
            </w:pPr>
            <w:r w:rsidRPr="004710DC">
              <w:rPr>
                <w:lang w:eastAsia="zh-CN"/>
              </w:rPr>
              <w:t>3</w:t>
            </w:r>
          </w:p>
        </w:tc>
        <w:tc>
          <w:tcPr>
            <w:tcW w:w="1070" w:type="dxa"/>
          </w:tcPr>
          <w:p w14:paraId="0363917D" w14:textId="77777777" w:rsidR="00241417" w:rsidRPr="004710DC" w:rsidRDefault="00241417" w:rsidP="003A71DE">
            <w:pPr>
              <w:pStyle w:val="TAC"/>
              <w:rPr>
                <w:lang w:eastAsia="zh-CN"/>
              </w:rPr>
            </w:pPr>
            <w:r w:rsidRPr="004710DC">
              <w:rPr>
                <w:lang w:eastAsia="zh-CN"/>
              </w:rPr>
              <w:t>6</w:t>
            </w:r>
          </w:p>
        </w:tc>
        <w:tc>
          <w:tcPr>
            <w:tcW w:w="1071" w:type="dxa"/>
            <w:vAlign w:val="center"/>
          </w:tcPr>
          <w:p w14:paraId="1DD1179E" w14:textId="77777777" w:rsidR="00241417" w:rsidRPr="004710DC" w:rsidRDefault="00241417" w:rsidP="003A71DE">
            <w:pPr>
              <w:pStyle w:val="TAC"/>
              <w:rPr>
                <w:lang w:eastAsia="zh-CN"/>
              </w:rPr>
            </w:pPr>
            <w:r w:rsidRPr="004710DC">
              <w:rPr>
                <w:lang w:eastAsia="zh-CN"/>
              </w:rPr>
              <w:t>2</w:t>
            </w:r>
          </w:p>
        </w:tc>
        <w:tc>
          <w:tcPr>
            <w:tcW w:w="1070" w:type="dxa"/>
            <w:vAlign w:val="center"/>
          </w:tcPr>
          <w:p w14:paraId="7983CC81" w14:textId="77777777" w:rsidR="00241417" w:rsidRPr="004710DC" w:rsidRDefault="00241417" w:rsidP="003A71DE">
            <w:pPr>
              <w:pStyle w:val="TAC"/>
              <w:rPr>
                <w:lang w:eastAsia="zh-CN"/>
              </w:rPr>
            </w:pPr>
            <w:r w:rsidRPr="004710DC">
              <w:rPr>
                <w:lang w:eastAsia="zh-CN"/>
              </w:rPr>
              <w:t>3</w:t>
            </w:r>
          </w:p>
        </w:tc>
        <w:tc>
          <w:tcPr>
            <w:tcW w:w="1071" w:type="dxa"/>
          </w:tcPr>
          <w:p w14:paraId="50497556" w14:textId="77777777" w:rsidR="00241417" w:rsidRPr="004710DC" w:rsidRDefault="00241417" w:rsidP="003A71DE">
            <w:pPr>
              <w:pStyle w:val="TAC"/>
              <w:rPr>
                <w:lang w:eastAsia="zh-CN"/>
              </w:rPr>
            </w:pPr>
            <w:r w:rsidRPr="004710DC">
              <w:rPr>
                <w:lang w:eastAsia="zh-CN"/>
              </w:rPr>
              <w:t>6</w:t>
            </w:r>
          </w:p>
        </w:tc>
        <w:tc>
          <w:tcPr>
            <w:tcW w:w="1071" w:type="dxa"/>
          </w:tcPr>
          <w:p w14:paraId="2D27437A" w14:textId="77777777" w:rsidR="00241417" w:rsidRPr="004710DC" w:rsidRDefault="00241417" w:rsidP="003A71DE">
            <w:pPr>
              <w:pStyle w:val="TAC"/>
              <w:rPr>
                <w:lang w:eastAsia="zh-CN"/>
              </w:rPr>
            </w:pPr>
            <w:r w:rsidRPr="004710DC">
              <w:rPr>
                <w:lang w:eastAsia="zh-CN"/>
              </w:rPr>
              <w:t>16</w:t>
            </w:r>
          </w:p>
        </w:tc>
      </w:tr>
      <w:tr w:rsidR="00241417" w:rsidRPr="004710DC" w14:paraId="5D82FB21" w14:textId="77777777" w:rsidTr="003A71DE">
        <w:trPr>
          <w:cantSplit/>
          <w:jc w:val="center"/>
        </w:trPr>
        <w:tc>
          <w:tcPr>
            <w:tcW w:w="2421" w:type="dxa"/>
          </w:tcPr>
          <w:p w14:paraId="00F2947E" w14:textId="77777777" w:rsidR="00241417" w:rsidRPr="00AD765F" w:rsidRDefault="00241417" w:rsidP="003A71DE">
            <w:pPr>
              <w:pStyle w:val="TAC"/>
            </w:pPr>
            <w:r w:rsidRPr="00AD765F">
              <w:t xml:space="preserve">Code block size </w:t>
            </w:r>
            <w:r w:rsidRPr="00AD765F">
              <w:rPr>
                <w:rFonts w:eastAsia="Malgun Gothic" w:cs="Arial"/>
              </w:rPr>
              <w:t xml:space="preserve">including CRC </w:t>
            </w:r>
            <w:r w:rsidRPr="00AD765F">
              <w:t>(bits)</w:t>
            </w:r>
            <w:r w:rsidRPr="00AD765F">
              <w:rPr>
                <w:rFonts w:cs="Arial"/>
                <w:lang w:eastAsia="zh-CN"/>
              </w:rPr>
              <w:t xml:space="preserve"> (Note 2)</w:t>
            </w:r>
          </w:p>
        </w:tc>
        <w:tc>
          <w:tcPr>
            <w:tcW w:w="1070" w:type="dxa"/>
            <w:vAlign w:val="center"/>
          </w:tcPr>
          <w:p w14:paraId="7537689B" w14:textId="77777777" w:rsidR="00241417" w:rsidRPr="004710DC" w:rsidRDefault="00241417" w:rsidP="003A71DE">
            <w:pPr>
              <w:pStyle w:val="TAC"/>
              <w:rPr>
                <w:lang w:eastAsia="zh-CN"/>
              </w:rPr>
            </w:pPr>
            <w:r w:rsidRPr="004710DC">
              <w:t>6056</w:t>
            </w:r>
          </w:p>
        </w:tc>
        <w:tc>
          <w:tcPr>
            <w:tcW w:w="1071" w:type="dxa"/>
            <w:vAlign w:val="center"/>
          </w:tcPr>
          <w:p w14:paraId="69B50369" w14:textId="77777777" w:rsidR="00241417" w:rsidRPr="004710DC" w:rsidRDefault="00241417" w:rsidP="003A71DE">
            <w:pPr>
              <w:pStyle w:val="TAC"/>
              <w:rPr>
                <w:lang w:eastAsia="zh-CN"/>
              </w:rPr>
            </w:pPr>
            <w:r w:rsidRPr="004710DC">
              <w:t>8400</w:t>
            </w:r>
          </w:p>
        </w:tc>
        <w:tc>
          <w:tcPr>
            <w:tcW w:w="1070" w:type="dxa"/>
            <w:vAlign w:val="center"/>
          </w:tcPr>
          <w:p w14:paraId="6050B752" w14:textId="77777777" w:rsidR="00241417" w:rsidRPr="004710DC" w:rsidRDefault="00241417" w:rsidP="003A71DE">
            <w:pPr>
              <w:pStyle w:val="TAC"/>
              <w:rPr>
                <w:lang w:eastAsia="zh-CN"/>
              </w:rPr>
            </w:pPr>
            <w:r w:rsidRPr="004710DC">
              <w:t>8392</w:t>
            </w:r>
          </w:p>
        </w:tc>
        <w:tc>
          <w:tcPr>
            <w:tcW w:w="1071" w:type="dxa"/>
            <w:vAlign w:val="center"/>
          </w:tcPr>
          <w:p w14:paraId="1395BF60" w14:textId="77777777" w:rsidR="00241417" w:rsidRPr="004710DC" w:rsidRDefault="00241417" w:rsidP="003A71DE">
            <w:pPr>
              <w:pStyle w:val="TAC"/>
              <w:rPr>
                <w:lang w:eastAsia="zh-CN"/>
              </w:rPr>
            </w:pPr>
            <w:r w:rsidRPr="004710DC">
              <w:t>5800</w:t>
            </w:r>
          </w:p>
        </w:tc>
        <w:tc>
          <w:tcPr>
            <w:tcW w:w="1070" w:type="dxa"/>
            <w:vAlign w:val="center"/>
          </w:tcPr>
          <w:p w14:paraId="72DB7FA4" w14:textId="77777777" w:rsidR="00241417" w:rsidRPr="004710DC" w:rsidRDefault="00241417" w:rsidP="003A71DE">
            <w:pPr>
              <w:pStyle w:val="TAC"/>
              <w:rPr>
                <w:lang w:eastAsia="zh-CN"/>
              </w:rPr>
            </w:pPr>
            <w:r w:rsidRPr="004710DC">
              <w:t>8224</w:t>
            </w:r>
          </w:p>
        </w:tc>
        <w:tc>
          <w:tcPr>
            <w:tcW w:w="1071" w:type="dxa"/>
            <w:vAlign w:val="center"/>
          </w:tcPr>
          <w:p w14:paraId="69BCB880" w14:textId="77777777" w:rsidR="00241417" w:rsidRPr="004710DC" w:rsidRDefault="00241417" w:rsidP="003A71DE">
            <w:pPr>
              <w:pStyle w:val="TAC"/>
              <w:rPr>
                <w:lang w:eastAsia="zh-CN"/>
              </w:rPr>
            </w:pPr>
            <w:r w:rsidRPr="004710DC">
              <w:t>8392</w:t>
            </w:r>
          </w:p>
        </w:tc>
        <w:tc>
          <w:tcPr>
            <w:tcW w:w="1071" w:type="dxa"/>
            <w:vAlign w:val="center"/>
          </w:tcPr>
          <w:p w14:paraId="07FF0582" w14:textId="77777777" w:rsidR="00241417" w:rsidRPr="004710DC" w:rsidRDefault="00241417" w:rsidP="003A71DE">
            <w:pPr>
              <w:pStyle w:val="TAC"/>
              <w:rPr>
                <w:lang w:eastAsia="zh-CN"/>
              </w:rPr>
            </w:pPr>
            <w:r w:rsidRPr="004710DC">
              <w:t>8224</w:t>
            </w:r>
          </w:p>
        </w:tc>
      </w:tr>
      <w:tr w:rsidR="00241417" w:rsidRPr="004710DC" w14:paraId="33AA9979" w14:textId="77777777" w:rsidTr="003A71DE">
        <w:trPr>
          <w:cantSplit/>
          <w:jc w:val="center"/>
        </w:trPr>
        <w:tc>
          <w:tcPr>
            <w:tcW w:w="2421" w:type="dxa"/>
          </w:tcPr>
          <w:p w14:paraId="04E915F5"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0" w:type="dxa"/>
            <w:vAlign w:val="center"/>
          </w:tcPr>
          <w:p w14:paraId="7CFBF9DE" w14:textId="77777777" w:rsidR="00241417" w:rsidRPr="004710DC" w:rsidRDefault="00241417" w:rsidP="003A71DE">
            <w:pPr>
              <w:pStyle w:val="TAC"/>
              <w:rPr>
                <w:lang w:eastAsia="zh-CN"/>
              </w:rPr>
            </w:pPr>
            <w:r w:rsidRPr="004710DC">
              <w:rPr>
                <w:lang w:eastAsia="zh-CN"/>
              </w:rPr>
              <w:t>21600</w:t>
            </w:r>
          </w:p>
        </w:tc>
        <w:tc>
          <w:tcPr>
            <w:tcW w:w="1071" w:type="dxa"/>
            <w:vAlign w:val="center"/>
          </w:tcPr>
          <w:p w14:paraId="69ADBDBF" w14:textId="77777777" w:rsidR="00241417" w:rsidRPr="004710DC" w:rsidRDefault="00241417" w:rsidP="003A71DE">
            <w:pPr>
              <w:pStyle w:val="TAC"/>
              <w:rPr>
                <w:lang w:eastAsia="zh-CN"/>
              </w:rPr>
            </w:pPr>
            <w:r w:rsidRPr="004710DC">
              <w:rPr>
                <w:lang w:eastAsia="zh-CN"/>
              </w:rPr>
              <w:t>44928</w:t>
            </w:r>
          </w:p>
        </w:tc>
        <w:tc>
          <w:tcPr>
            <w:tcW w:w="1070" w:type="dxa"/>
            <w:vAlign w:val="center"/>
          </w:tcPr>
          <w:p w14:paraId="49552B38" w14:textId="77777777" w:rsidR="00241417" w:rsidRPr="004710DC" w:rsidRDefault="00241417" w:rsidP="003A71DE">
            <w:pPr>
              <w:pStyle w:val="TAC"/>
              <w:rPr>
                <w:lang w:eastAsia="zh-CN"/>
              </w:rPr>
            </w:pPr>
            <w:r w:rsidRPr="004710DC">
              <w:rPr>
                <w:lang w:eastAsia="zh-CN"/>
              </w:rPr>
              <w:t>91584</w:t>
            </w:r>
          </w:p>
        </w:tc>
        <w:tc>
          <w:tcPr>
            <w:tcW w:w="1071" w:type="dxa"/>
            <w:vAlign w:val="center"/>
          </w:tcPr>
          <w:p w14:paraId="6367CD39" w14:textId="77777777" w:rsidR="00241417" w:rsidRPr="004710DC" w:rsidRDefault="00241417" w:rsidP="003A71DE">
            <w:pPr>
              <w:pStyle w:val="TAC"/>
              <w:rPr>
                <w:lang w:eastAsia="zh-CN"/>
              </w:rPr>
            </w:pPr>
            <w:r w:rsidRPr="004710DC">
              <w:rPr>
                <w:lang w:eastAsia="zh-CN"/>
              </w:rPr>
              <w:t>20736</w:t>
            </w:r>
          </w:p>
        </w:tc>
        <w:tc>
          <w:tcPr>
            <w:tcW w:w="1070" w:type="dxa"/>
            <w:vAlign w:val="center"/>
          </w:tcPr>
          <w:p w14:paraId="2038E14B" w14:textId="77777777" w:rsidR="00241417" w:rsidRPr="004710DC" w:rsidRDefault="00241417" w:rsidP="003A71DE">
            <w:pPr>
              <w:pStyle w:val="TAC"/>
              <w:rPr>
                <w:lang w:eastAsia="zh-CN"/>
              </w:rPr>
            </w:pPr>
            <w:r w:rsidRPr="004710DC">
              <w:rPr>
                <w:lang w:eastAsia="zh-CN"/>
              </w:rPr>
              <w:t>44064</w:t>
            </w:r>
          </w:p>
        </w:tc>
        <w:tc>
          <w:tcPr>
            <w:tcW w:w="1071" w:type="dxa"/>
            <w:vAlign w:val="center"/>
          </w:tcPr>
          <w:p w14:paraId="4127CF11" w14:textId="77777777" w:rsidR="00241417" w:rsidRPr="004710DC" w:rsidRDefault="00241417" w:rsidP="003A71DE">
            <w:pPr>
              <w:pStyle w:val="TAC"/>
              <w:rPr>
                <w:lang w:eastAsia="zh-CN"/>
              </w:rPr>
            </w:pPr>
            <w:r w:rsidRPr="004710DC">
              <w:rPr>
                <w:lang w:eastAsia="zh-CN"/>
              </w:rPr>
              <w:t>91584</w:t>
            </w:r>
          </w:p>
        </w:tc>
        <w:tc>
          <w:tcPr>
            <w:tcW w:w="1071" w:type="dxa"/>
            <w:vAlign w:val="center"/>
          </w:tcPr>
          <w:p w14:paraId="2F3F8A55" w14:textId="77777777" w:rsidR="00241417" w:rsidRPr="004710DC" w:rsidRDefault="00241417" w:rsidP="003A71DE">
            <w:pPr>
              <w:pStyle w:val="TAC"/>
              <w:rPr>
                <w:lang w:eastAsia="zh-CN"/>
              </w:rPr>
            </w:pPr>
            <w:r w:rsidRPr="004710DC">
              <w:rPr>
                <w:lang w:eastAsia="zh-CN"/>
              </w:rPr>
              <w:t>235872</w:t>
            </w:r>
          </w:p>
        </w:tc>
      </w:tr>
      <w:tr w:rsidR="00241417" w:rsidRPr="004710DC" w14:paraId="4F07B446" w14:textId="77777777" w:rsidTr="003A71DE">
        <w:trPr>
          <w:cantSplit/>
          <w:jc w:val="center"/>
        </w:trPr>
        <w:tc>
          <w:tcPr>
            <w:tcW w:w="2421" w:type="dxa"/>
          </w:tcPr>
          <w:p w14:paraId="32CE9272"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0" w:type="dxa"/>
          </w:tcPr>
          <w:p w14:paraId="39D4F0F0" w14:textId="77777777" w:rsidR="00241417" w:rsidRPr="004710DC" w:rsidRDefault="00241417" w:rsidP="003A71DE">
            <w:pPr>
              <w:pStyle w:val="TAC"/>
              <w:rPr>
                <w:lang w:eastAsia="zh-CN"/>
              </w:rPr>
            </w:pPr>
            <w:r w:rsidRPr="004710DC">
              <w:rPr>
                <w:lang w:eastAsia="zh-CN"/>
              </w:rPr>
              <w:t>3600</w:t>
            </w:r>
          </w:p>
        </w:tc>
        <w:tc>
          <w:tcPr>
            <w:tcW w:w="1071" w:type="dxa"/>
          </w:tcPr>
          <w:p w14:paraId="392BF2A4" w14:textId="77777777" w:rsidR="00241417" w:rsidRPr="004710DC" w:rsidRDefault="00241417" w:rsidP="003A71DE">
            <w:pPr>
              <w:pStyle w:val="TAC"/>
              <w:rPr>
                <w:lang w:eastAsia="zh-CN"/>
              </w:rPr>
            </w:pPr>
            <w:r w:rsidRPr="004710DC">
              <w:rPr>
                <w:lang w:eastAsia="zh-CN"/>
              </w:rPr>
              <w:t>7488</w:t>
            </w:r>
          </w:p>
        </w:tc>
        <w:tc>
          <w:tcPr>
            <w:tcW w:w="1070" w:type="dxa"/>
          </w:tcPr>
          <w:p w14:paraId="6608540B" w14:textId="77777777" w:rsidR="00241417" w:rsidRPr="004710DC" w:rsidRDefault="00241417" w:rsidP="003A71DE">
            <w:pPr>
              <w:pStyle w:val="TAC"/>
              <w:rPr>
                <w:lang w:eastAsia="zh-CN"/>
              </w:rPr>
            </w:pPr>
            <w:r w:rsidRPr="004710DC">
              <w:rPr>
                <w:lang w:eastAsia="zh-CN"/>
              </w:rPr>
              <w:t>15264</w:t>
            </w:r>
          </w:p>
        </w:tc>
        <w:tc>
          <w:tcPr>
            <w:tcW w:w="1071" w:type="dxa"/>
          </w:tcPr>
          <w:p w14:paraId="688D1B5C" w14:textId="77777777" w:rsidR="00241417" w:rsidRPr="004710DC" w:rsidRDefault="00241417" w:rsidP="003A71DE">
            <w:pPr>
              <w:pStyle w:val="TAC"/>
              <w:rPr>
                <w:lang w:eastAsia="zh-CN"/>
              </w:rPr>
            </w:pPr>
            <w:r w:rsidRPr="004710DC">
              <w:rPr>
                <w:lang w:eastAsia="zh-CN"/>
              </w:rPr>
              <w:t>3456</w:t>
            </w:r>
          </w:p>
        </w:tc>
        <w:tc>
          <w:tcPr>
            <w:tcW w:w="1070" w:type="dxa"/>
          </w:tcPr>
          <w:p w14:paraId="085F91CF" w14:textId="77777777" w:rsidR="00241417" w:rsidRPr="004710DC" w:rsidRDefault="00241417" w:rsidP="003A71DE">
            <w:pPr>
              <w:pStyle w:val="TAC"/>
              <w:rPr>
                <w:lang w:eastAsia="zh-CN"/>
              </w:rPr>
            </w:pPr>
            <w:r w:rsidRPr="004710DC">
              <w:rPr>
                <w:lang w:eastAsia="zh-CN"/>
              </w:rPr>
              <w:t>7344</w:t>
            </w:r>
          </w:p>
        </w:tc>
        <w:tc>
          <w:tcPr>
            <w:tcW w:w="1071" w:type="dxa"/>
          </w:tcPr>
          <w:p w14:paraId="55696F91" w14:textId="77777777" w:rsidR="00241417" w:rsidRPr="004710DC" w:rsidRDefault="00241417" w:rsidP="003A71DE">
            <w:pPr>
              <w:pStyle w:val="TAC"/>
              <w:rPr>
                <w:lang w:eastAsia="zh-CN"/>
              </w:rPr>
            </w:pPr>
            <w:r w:rsidRPr="004710DC">
              <w:rPr>
                <w:lang w:eastAsia="zh-CN"/>
              </w:rPr>
              <w:t>15264</w:t>
            </w:r>
          </w:p>
        </w:tc>
        <w:tc>
          <w:tcPr>
            <w:tcW w:w="1071" w:type="dxa"/>
          </w:tcPr>
          <w:p w14:paraId="48E9DE73" w14:textId="77777777" w:rsidR="00241417" w:rsidRPr="004710DC" w:rsidRDefault="00241417" w:rsidP="003A71DE">
            <w:pPr>
              <w:pStyle w:val="TAC"/>
              <w:rPr>
                <w:lang w:eastAsia="zh-CN"/>
              </w:rPr>
            </w:pPr>
            <w:r w:rsidRPr="004710DC">
              <w:rPr>
                <w:lang w:eastAsia="zh-CN"/>
              </w:rPr>
              <w:t>39312</w:t>
            </w:r>
          </w:p>
        </w:tc>
      </w:tr>
      <w:tr w:rsidR="00241417" w:rsidRPr="00AD765F" w14:paraId="33EAA1E4" w14:textId="77777777" w:rsidTr="003A71DE">
        <w:trPr>
          <w:cantSplit/>
          <w:jc w:val="center"/>
        </w:trPr>
        <w:tc>
          <w:tcPr>
            <w:tcW w:w="9915" w:type="dxa"/>
            <w:gridSpan w:val="8"/>
          </w:tcPr>
          <w:p w14:paraId="759BBABE"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rPr>
                <w:lang w:eastAsia="zh-CN"/>
              </w:rPr>
              <w:t>,</w:t>
            </w:r>
            <w:r w:rsidRPr="00AD765F">
              <w:t xml:space="preserve"> </w:t>
            </w:r>
            <w:r w:rsidRPr="00AD765F">
              <w:rPr>
                <w:i/>
                <w:lang w:eastAsia="zh-CN"/>
              </w:rPr>
              <w:t>l</w:t>
            </w:r>
            <w:r w:rsidRPr="00AD765F">
              <w:rPr>
                <w:i/>
                <w:vertAlign w:val="subscript"/>
                <w:lang w:eastAsia="zh-CN"/>
              </w:rPr>
              <w:t>0</w:t>
            </w:r>
            <w:r w:rsidRPr="00AD765F">
              <w:t>= 2 and</w:t>
            </w:r>
            <w:r w:rsidRPr="00AD765F">
              <w:rPr>
                <w:lang w:eastAsia="zh-CN"/>
              </w:rPr>
              <w:t xml:space="preserve"> </w:t>
            </w:r>
            <w:r w:rsidRPr="00AD765F">
              <w:rPr>
                <w:i/>
                <w:lang w:eastAsia="zh-CN"/>
              </w:rPr>
              <w:t xml:space="preserve">l </w:t>
            </w:r>
            <w:r w:rsidRPr="00AD765F">
              <w:rPr>
                <w:lang w:eastAsia="zh-CN"/>
              </w:rPr>
              <w:t>=11</w:t>
            </w:r>
            <w:r w:rsidRPr="00AD765F">
              <w:t xml:space="preserve"> </w:t>
            </w:r>
            <w:r w:rsidRPr="00AD765F">
              <w:rPr>
                <w:lang w:eastAsia="zh-CN"/>
              </w:rPr>
              <w:t xml:space="preserve">for </w:t>
            </w:r>
            <w:r w:rsidRPr="00AD765F">
              <w:t>PUSCH mapping type A</w:t>
            </w:r>
            <w:r w:rsidRPr="00AD765F">
              <w:rPr>
                <w:lang w:eastAsia="zh-CN"/>
              </w:rPr>
              <w:t xml:space="preserve">, </w:t>
            </w:r>
            <w:r w:rsidRPr="00AD765F">
              <w:rPr>
                <w:i/>
                <w:lang w:eastAsia="zh-CN"/>
              </w:rPr>
              <w:t>l</w:t>
            </w:r>
            <w:r w:rsidRPr="00AD765F">
              <w:rPr>
                <w:i/>
                <w:vertAlign w:val="subscript"/>
                <w:lang w:eastAsia="zh-CN"/>
              </w:rPr>
              <w:t>0</w:t>
            </w:r>
            <w:r w:rsidRPr="00AD765F">
              <w:t xml:space="preserve">= </w:t>
            </w:r>
            <w:r w:rsidRPr="00AD765F">
              <w:rPr>
                <w:lang w:eastAsia="zh-CN"/>
              </w:rPr>
              <w:t xml:space="preserve">0 and </w:t>
            </w:r>
            <w:r w:rsidRPr="00AD765F">
              <w:rPr>
                <w:i/>
                <w:lang w:eastAsia="zh-CN"/>
              </w:rPr>
              <w:t xml:space="preserve">l </w:t>
            </w:r>
            <w:r w:rsidRPr="00AD765F">
              <w:rPr>
                <w:lang w:eastAsia="zh-CN"/>
              </w:rPr>
              <w:t>=10</w:t>
            </w:r>
            <w:r w:rsidRPr="00AD765F">
              <w:t xml:space="preserve"> </w:t>
            </w:r>
            <w:r w:rsidRPr="00AD765F">
              <w:rPr>
                <w:lang w:eastAsia="zh-CN"/>
              </w:rPr>
              <w:t xml:space="preserve">for </w:t>
            </w:r>
            <w:r w:rsidRPr="00AD765F">
              <w:t xml:space="preserve">PUSCH mapping type </w:t>
            </w:r>
            <w:r w:rsidRPr="00AD765F">
              <w:rPr>
                <w:lang w:eastAsia="zh-CN"/>
              </w:rPr>
              <w:t xml:space="preserve">B </w:t>
            </w:r>
            <w:r w:rsidRPr="00AD765F">
              <w:t>as per table 6.4.1.1.3-3 of TS 38.211 [8].</w:t>
            </w:r>
          </w:p>
          <w:p w14:paraId="7257F8A4" w14:textId="77777777" w:rsidR="00241417" w:rsidRPr="00AD765F" w:rsidRDefault="00241417" w:rsidP="003A71DE">
            <w:pPr>
              <w:pStyle w:val="TAN"/>
              <w:rPr>
                <w:szCs w:val="18"/>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clause </w:t>
            </w:r>
            <w:r w:rsidRPr="00AD765F">
              <w:rPr>
                <w:lang w:eastAsia="zh-CN"/>
              </w:rPr>
              <w:t>5.2.2 of TS 38.212 [9].</w:t>
            </w:r>
          </w:p>
        </w:tc>
      </w:tr>
    </w:tbl>
    <w:p w14:paraId="4B517A79" w14:textId="77777777" w:rsidR="00241417" w:rsidRPr="00AD765F" w:rsidRDefault="00241417" w:rsidP="00241417">
      <w:pPr>
        <w:rPr>
          <w:noProof/>
          <w:lang w:eastAsia="zh-CN"/>
        </w:rPr>
      </w:pPr>
    </w:p>
    <w:p w14:paraId="0FD45B36" w14:textId="77777777" w:rsidR="00241417" w:rsidRPr="00AD765F" w:rsidRDefault="00241417" w:rsidP="00241417">
      <w:pPr>
        <w:pStyle w:val="TH"/>
        <w:rPr>
          <w:lang w:eastAsia="zh-CN"/>
        </w:rPr>
      </w:pPr>
      <w:r w:rsidRPr="00AD765F">
        <w:rPr>
          <w:rFonts w:eastAsia="Malgun Gothic"/>
        </w:rPr>
        <w:t>Table A.2.</w:t>
      </w:r>
      <w:r w:rsidRPr="00AD765F">
        <w:rPr>
          <w:lang w:eastAsia="zh-CN"/>
        </w:rPr>
        <w:t>4</w:t>
      </w:r>
      <w:r w:rsidRPr="00AD765F">
        <w:rPr>
          <w:rFonts w:eastAsia="Malgun Gothic"/>
        </w:rPr>
        <w:t>-</w:t>
      </w:r>
      <w:r w:rsidRPr="00AD765F">
        <w:rPr>
          <w:lang w:eastAsia="zh-CN"/>
        </w:rPr>
        <w:t>2</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pos0</w:t>
      </w:r>
      <w:r w:rsidRPr="00AD765F">
        <w:rPr>
          <w:lang w:eastAsia="zh-CN"/>
        </w:rPr>
        <w:t xml:space="preserve"> and 1 transmission layer</w:t>
      </w:r>
      <w:r w:rsidRPr="00AD765F">
        <w:rPr>
          <w:rFonts w:eastAsia="Malgun Gothic"/>
        </w:rPr>
        <w:t xml:space="preserve"> (</w:t>
      </w:r>
      <w:r w:rsidRPr="00AD765F">
        <w:rPr>
          <w:lang w:eastAsia="zh-CN"/>
        </w:rPr>
        <w:t>64QAM</w:t>
      </w:r>
      <w:r w:rsidRPr="00AD765F">
        <w:rPr>
          <w:rFonts w:eastAsia="Malgun Gothic"/>
        </w:rPr>
        <w:t>, R=567/1024)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14DF4029" w14:textId="77777777" w:rsidTr="003A71DE">
        <w:trPr>
          <w:cantSplit/>
          <w:jc w:val="center"/>
        </w:trPr>
        <w:tc>
          <w:tcPr>
            <w:tcW w:w="3950" w:type="dxa"/>
          </w:tcPr>
          <w:p w14:paraId="60BBE5A1" w14:textId="77777777" w:rsidR="00241417" w:rsidRPr="004710DC" w:rsidRDefault="00241417" w:rsidP="003A71DE">
            <w:pPr>
              <w:pStyle w:val="TAH"/>
            </w:pPr>
            <w:r w:rsidRPr="004710DC">
              <w:t>Reference channel</w:t>
            </w:r>
          </w:p>
        </w:tc>
        <w:tc>
          <w:tcPr>
            <w:tcW w:w="1076" w:type="dxa"/>
          </w:tcPr>
          <w:p w14:paraId="2365487A" w14:textId="77777777" w:rsidR="00241417" w:rsidRPr="004710DC" w:rsidRDefault="00241417" w:rsidP="003A71DE">
            <w:pPr>
              <w:pStyle w:val="TAH"/>
            </w:pPr>
            <w:r>
              <w:rPr>
                <w:lang w:eastAsia="zh-CN"/>
              </w:rPr>
              <w:t>G-FR2-A.2.4</w:t>
            </w:r>
            <w:r w:rsidRPr="004710DC">
              <w:rPr>
                <w:lang w:eastAsia="zh-CN"/>
              </w:rPr>
              <w:t>-1</w:t>
            </w:r>
          </w:p>
        </w:tc>
        <w:tc>
          <w:tcPr>
            <w:tcW w:w="1077" w:type="dxa"/>
          </w:tcPr>
          <w:p w14:paraId="7F9A34E0" w14:textId="77777777" w:rsidR="00241417" w:rsidRPr="004710DC" w:rsidRDefault="00241417" w:rsidP="003A71DE">
            <w:pPr>
              <w:pStyle w:val="TAH"/>
            </w:pPr>
            <w:r>
              <w:rPr>
                <w:lang w:eastAsia="zh-CN"/>
              </w:rPr>
              <w:t>G-FR2-A.2.4</w:t>
            </w:r>
            <w:r w:rsidRPr="004710DC">
              <w:rPr>
                <w:lang w:eastAsia="zh-CN"/>
              </w:rPr>
              <w:t>-2</w:t>
            </w:r>
          </w:p>
        </w:tc>
        <w:tc>
          <w:tcPr>
            <w:tcW w:w="1076" w:type="dxa"/>
          </w:tcPr>
          <w:p w14:paraId="59EB7D4B" w14:textId="77777777" w:rsidR="00241417" w:rsidRPr="004710DC" w:rsidRDefault="00241417" w:rsidP="003A71DE">
            <w:pPr>
              <w:pStyle w:val="TAH"/>
            </w:pPr>
            <w:r>
              <w:rPr>
                <w:lang w:eastAsia="zh-CN"/>
              </w:rPr>
              <w:t>G-FR2-A.2.4</w:t>
            </w:r>
            <w:r w:rsidRPr="004710DC">
              <w:rPr>
                <w:lang w:eastAsia="zh-CN"/>
              </w:rPr>
              <w:t>-3</w:t>
            </w:r>
          </w:p>
        </w:tc>
        <w:tc>
          <w:tcPr>
            <w:tcW w:w="1077" w:type="dxa"/>
          </w:tcPr>
          <w:p w14:paraId="3A329344" w14:textId="77777777" w:rsidR="00241417" w:rsidRPr="004710DC" w:rsidRDefault="00241417" w:rsidP="003A71DE">
            <w:pPr>
              <w:pStyle w:val="TAH"/>
            </w:pPr>
            <w:r>
              <w:rPr>
                <w:lang w:eastAsia="zh-CN"/>
              </w:rPr>
              <w:t>G-FR2-A.2.4</w:t>
            </w:r>
            <w:r w:rsidRPr="004710DC">
              <w:rPr>
                <w:lang w:eastAsia="zh-CN"/>
              </w:rPr>
              <w:t>-4</w:t>
            </w:r>
          </w:p>
        </w:tc>
        <w:tc>
          <w:tcPr>
            <w:tcW w:w="1077" w:type="dxa"/>
          </w:tcPr>
          <w:p w14:paraId="41487C8F" w14:textId="77777777" w:rsidR="00241417" w:rsidRPr="004710DC" w:rsidRDefault="00241417" w:rsidP="003A71DE">
            <w:pPr>
              <w:pStyle w:val="TAH"/>
            </w:pPr>
            <w:r>
              <w:rPr>
                <w:lang w:eastAsia="zh-CN"/>
              </w:rPr>
              <w:t>G-FR2-A.2.4</w:t>
            </w:r>
            <w:r w:rsidRPr="004710DC">
              <w:rPr>
                <w:lang w:eastAsia="zh-CN"/>
              </w:rPr>
              <w:t>-5</w:t>
            </w:r>
          </w:p>
        </w:tc>
      </w:tr>
      <w:tr w:rsidR="00241417" w:rsidRPr="004710DC" w14:paraId="6812691F" w14:textId="77777777" w:rsidTr="003A71DE">
        <w:trPr>
          <w:cantSplit/>
          <w:jc w:val="center"/>
        </w:trPr>
        <w:tc>
          <w:tcPr>
            <w:tcW w:w="3950" w:type="dxa"/>
          </w:tcPr>
          <w:p w14:paraId="53AD1FF0"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33AF191F" w14:textId="77777777" w:rsidR="00241417" w:rsidRPr="004710DC" w:rsidRDefault="00241417" w:rsidP="003A71DE">
            <w:pPr>
              <w:pStyle w:val="TAC"/>
              <w:rPr>
                <w:lang w:eastAsia="zh-CN"/>
              </w:rPr>
            </w:pPr>
            <w:r w:rsidRPr="004710DC">
              <w:rPr>
                <w:lang w:eastAsia="zh-CN"/>
              </w:rPr>
              <w:t>60</w:t>
            </w:r>
          </w:p>
        </w:tc>
        <w:tc>
          <w:tcPr>
            <w:tcW w:w="1077" w:type="dxa"/>
          </w:tcPr>
          <w:p w14:paraId="5F63996B" w14:textId="77777777" w:rsidR="00241417" w:rsidRPr="004710DC" w:rsidRDefault="00241417" w:rsidP="003A71DE">
            <w:pPr>
              <w:pStyle w:val="TAC"/>
            </w:pPr>
            <w:r w:rsidRPr="004710DC">
              <w:rPr>
                <w:lang w:eastAsia="zh-CN"/>
              </w:rPr>
              <w:t>60</w:t>
            </w:r>
          </w:p>
        </w:tc>
        <w:tc>
          <w:tcPr>
            <w:tcW w:w="1076" w:type="dxa"/>
          </w:tcPr>
          <w:p w14:paraId="0B0191F0" w14:textId="77777777" w:rsidR="00241417" w:rsidRPr="004710DC" w:rsidRDefault="00241417" w:rsidP="003A71DE">
            <w:pPr>
              <w:pStyle w:val="TAC"/>
            </w:pPr>
            <w:r w:rsidRPr="004710DC">
              <w:rPr>
                <w:lang w:eastAsia="zh-CN"/>
              </w:rPr>
              <w:t>120</w:t>
            </w:r>
          </w:p>
        </w:tc>
        <w:tc>
          <w:tcPr>
            <w:tcW w:w="1077" w:type="dxa"/>
          </w:tcPr>
          <w:p w14:paraId="56486586" w14:textId="77777777" w:rsidR="00241417" w:rsidRPr="004710DC" w:rsidRDefault="00241417" w:rsidP="003A71DE">
            <w:pPr>
              <w:pStyle w:val="TAC"/>
            </w:pPr>
            <w:r w:rsidRPr="004710DC">
              <w:rPr>
                <w:lang w:eastAsia="zh-CN"/>
              </w:rPr>
              <w:t>120</w:t>
            </w:r>
          </w:p>
        </w:tc>
        <w:tc>
          <w:tcPr>
            <w:tcW w:w="1077" w:type="dxa"/>
          </w:tcPr>
          <w:p w14:paraId="326BAE81" w14:textId="77777777" w:rsidR="00241417" w:rsidRPr="004710DC" w:rsidRDefault="00241417" w:rsidP="003A71DE">
            <w:pPr>
              <w:pStyle w:val="TAC"/>
            </w:pPr>
            <w:r w:rsidRPr="004710DC">
              <w:rPr>
                <w:lang w:eastAsia="zh-CN"/>
              </w:rPr>
              <w:t>120</w:t>
            </w:r>
          </w:p>
        </w:tc>
      </w:tr>
      <w:tr w:rsidR="00241417" w:rsidRPr="004710DC" w14:paraId="67AFAA6A" w14:textId="77777777" w:rsidTr="003A71DE">
        <w:trPr>
          <w:cantSplit/>
          <w:jc w:val="center"/>
        </w:trPr>
        <w:tc>
          <w:tcPr>
            <w:tcW w:w="3950" w:type="dxa"/>
          </w:tcPr>
          <w:p w14:paraId="2557B76F" w14:textId="77777777" w:rsidR="00241417" w:rsidRPr="004710DC" w:rsidRDefault="00241417" w:rsidP="003A71DE">
            <w:pPr>
              <w:pStyle w:val="TAC"/>
            </w:pPr>
            <w:r w:rsidRPr="004710DC">
              <w:t>Allocated resource blocks</w:t>
            </w:r>
          </w:p>
        </w:tc>
        <w:tc>
          <w:tcPr>
            <w:tcW w:w="1076" w:type="dxa"/>
          </w:tcPr>
          <w:p w14:paraId="3124E9C1" w14:textId="77777777" w:rsidR="00241417" w:rsidRPr="004710DC" w:rsidRDefault="00241417" w:rsidP="003A71DE">
            <w:pPr>
              <w:pStyle w:val="TAC"/>
            </w:pPr>
            <w:r w:rsidRPr="004710DC">
              <w:t>66</w:t>
            </w:r>
          </w:p>
        </w:tc>
        <w:tc>
          <w:tcPr>
            <w:tcW w:w="1077" w:type="dxa"/>
          </w:tcPr>
          <w:p w14:paraId="70284F14" w14:textId="77777777" w:rsidR="00241417" w:rsidRPr="004710DC" w:rsidRDefault="00241417" w:rsidP="003A71DE">
            <w:pPr>
              <w:pStyle w:val="TAC"/>
            </w:pPr>
            <w:r w:rsidRPr="004710DC">
              <w:t>132</w:t>
            </w:r>
          </w:p>
        </w:tc>
        <w:tc>
          <w:tcPr>
            <w:tcW w:w="1076" w:type="dxa"/>
          </w:tcPr>
          <w:p w14:paraId="556E946C" w14:textId="77777777" w:rsidR="00241417" w:rsidRPr="004710DC" w:rsidRDefault="00241417" w:rsidP="003A71DE">
            <w:pPr>
              <w:pStyle w:val="TAC"/>
            </w:pPr>
            <w:r w:rsidRPr="004710DC">
              <w:t>32</w:t>
            </w:r>
          </w:p>
        </w:tc>
        <w:tc>
          <w:tcPr>
            <w:tcW w:w="1077" w:type="dxa"/>
          </w:tcPr>
          <w:p w14:paraId="0E40CB47" w14:textId="77777777" w:rsidR="00241417" w:rsidRPr="004710DC" w:rsidRDefault="00241417" w:rsidP="003A71DE">
            <w:pPr>
              <w:pStyle w:val="TAC"/>
            </w:pPr>
            <w:r w:rsidRPr="004710DC">
              <w:t>66</w:t>
            </w:r>
          </w:p>
        </w:tc>
        <w:tc>
          <w:tcPr>
            <w:tcW w:w="1077" w:type="dxa"/>
          </w:tcPr>
          <w:p w14:paraId="66C326AD" w14:textId="77777777" w:rsidR="00241417" w:rsidRPr="004710DC" w:rsidRDefault="00241417" w:rsidP="003A71DE">
            <w:pPr>
              <w:pStyle w:val="TAC"/>
            </w:pPr>
            <w:r w:rsidRPr="004710DC">
              <w:t>132</w:t>
            </w:r>
          </w:p>
        </w:tc>
      </w:tr>
      <w:tr w:rsidR="00241417" w:rsidRPr="004710DC" w14:paraId="19FB938C" w14:textId="77777777" w:rsidTr="003A71DE">
        <w:trPr>
          <w:cantSplit/>
          <w:jc w:val="center"/>
        </w:trPr>
        <w:tc>
          <w:tcPr>
            <w:tcW w:w="3950" w:type="dxa"/>
          </w:tcPr>
          <w:p w14:paraId="5929901B"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2A8A2F5B" w14:textId="77777777" w:rsidR="00241417" w:rsidRPr="004710DC" w:rsidRDefault="00241417" w:rsidP="003A71DE">
            <w:pPr>
              <w:pStyle w:val="TAC"/>
              <w:rPr>
                <w:lang w:eastAsia="zh-CN"/>
              </w:rPr>
            </w:pPr>
            <w:r w:rsidRPr="004710DC">
              <w:rPr>
                <w:lang w:eastAsia="zh-CN"/>
              </w:rPr>
              <w:t>9</w:t>
            </w:r>
          </w:p>
        </w:tc>
        <w:tc>
          <w:tcPr>
            <w:tcW w:w="1077" w:type="dxa"/>
          </w:tcPr>
          <w:p w14:paraId="12477DD8" w14:textId="77777777" w:rsidR="00241417" w:rsidRPr="004710DC" w:rsidRDefault="00241417" w:rsidP="003A71DE">
            <w:pPr>
              <w:pStyle w:val="TAC"/>
              <w:rPr>
                <w:lang w:eastAsia="zh-CN"/>
              </w:rPr>
            </w:pPr>
            <w:r w:rsidRPr="004710DC">
              <w:rPr>
                <w:lang w:eastAsia="zh-CN"/>
              </w:rPr>
              <w:t>9</w:t>
            </w:r>
          </w:p>
        </w:tc>
        <w:tc>
          <w:tcPr>
            <w:tcW w:w="1076" w:type="dxa"/>
          </w:tcPr>
          <w:p w14:paraId="5BB37B65" w14:textId="77777777" w:rsidR="00241417" w:rsidRPr="004710DC" w:rsidRDefault="00241417" w:rsidP="003A71DE">
            <w:pPr>
              <w:pStyle w:val="TAC"/>
              <w:rPr>
                <w:lang w:eastAsia="zh-CN"/>
              </w:rPr>
            </w:pPr>
            <w:r w:rsidRPr="004710DC">
              <w:rPr>
                <w:lang w:eastAsia="zh-CN"/>
              </w:rPr>
              <w:t>9</w:t>
            </w:r>
          </w:p>
        </w:tc>
        <w:tc>
          <w:tcPr>
            <w:tcW w:w="1077" w:type="dxa"/>
          </w:tcPr>
          <w:p w14:paraId="0F91A6D0" w14:textId="77777777" w:rsidR="00241417" w:rsidRPr="004710DC" w:rsidRDefault="00241417" w:rsidP="003A71DE">
            <w:pPr>
              <w:pStyle w:val="TAC"/>
              <w:rPr>
                <w:lang w:eastAsia="zh-CN"/>
              </w:rPr>
            </w:pPr>
            <w:r w:rsidRPr="004710DC">
              <w:rPr>
                <w:lang w:eastAsia="zh-CN"/>
              </w:rPr>
              <w:t>9</w:t>
            </w:r>
          </w:p>
        </w:tc>
        <w:tc>
          <w:tcPr>
            <w:tcW w:w="1077" w:type="dxa"/>
          </w:tcPr>
          <w:p w14:paraId="61B93A39" w14:textId="77777777" w:rsidR="00241417" w:rsidRPr="004710DC" w:rsidRDefault="00241417" w:rsidP="003A71DE">
            <w:pPr>
              <w:pStyle w:val="TAC"/>
              <w:rPr>
                <w:lang w:eastAsia="zh-CN"/>
              </w:rPr>
            </w:pPr>
            <w:r w:rsidRPr="004710DC">
              <w:rPr>
                <w:lang w:eastAsia="zh-CN"/>
              </w:rPr>
              <w:t>9</w:t>
            </w:r>
          </w:p>
        </w:tc>
      </w:tr>
      <w:tr w:rsidR="00241417" w:rsidRPr="004710DC" w14:paraId="3FD88422" w14:textId="77777777" w:rsidTr="003A71DE">
        <w:trPr>
          <w:cantSplit/>
          <w:jc w:val="center"/>
        </w:trPr>
        <w:tc>
          <w:tcPr>
            <w:tcW w:w="3950" w:type="dxa"/>
          </w:tcPr>
          <w:p w14:paraId="6358187B" w14:textId="77777777" w:rsidR="00241417" w:rsidRPr="004710DC" w:rsidRDefault="00241417" w:rsidP="003A71DE">
            <w:pPr>
              <w:pStyle w:val="TAC"/>
            </w:pPr>
            <w:r w:rsidRPr="004710DC">
              <w:t>Modulation</w:t>
            </w:r>
          </w:p>
        </w:tc>
        <w:tc>
          <w:tcPr>
            <w:tcW w:w="1076" w:type="dxa"/>
          </w:tcPr>
          <w:p w14:paraId="45B0107B" w14:textId="77777777" w:rsidR="00241417" w:rsidRPr="004710DC" w:rsidRDefault="00241417" w:rsidP="003A71DE">
            <w:pPr>
              <w:pStyle w:val="TAC"/>
              <w:rPr>
                <w:lang w:eastAsia="zh-CN"/>
              </w:rPr>
            </w:pPr>
            <w:r w:rsidRPr="004710DC">
              <w:rPr>
                <w:lang w:eastAsia="zh-CN"/>
              </w:rPr>
              <w:t>64QAM</w:t>
            </w:r>
          </w:p>
        </w:tc>
        <w:tc>
          <w:tcPr>
            <w:tcW w:w="1077" w:type="dxa"/>
          </w:tcPr>
          <w:p w14:paraId="0E752ACF" w14:textId="77777777" w:rsidR="00241417" w:rsidRPr="004710DC" w:rsidRDefault="00241417" w:rsidP="003A71DE">
            <w:pPr>
              <w:pStyle w:val="TAC"/>
              <w:rPr>
                <w:lang w:eastAsia="zh-CN"/>
              </w:rPr>
            </w:pPr>
            <w:r w:rsidRPr="004710DC">
              <w:rPr>
                <w:lang w:eastAsia="zh-CN"/>
              </w:rPr>
              <w:t>64QAM</w:t>
            </w:r>
          </w:p>
        </w:tc>
        <w:tc>
          <w:tcPr>
            <w:tcW w:w="1076" w:type="dxa"/>
          </w:tcPr>
          <w:p w14:paraId="3FF7FECC" w14:textId="77777777" w:rsidR="00241417" w:rsidRPr="004710DC" w:rsidRDefault="00241417" w:rsidP="003A71DE">
            <w:pPr>
              <w:pStyle w:val="TAC"/>
              <w:rPr>
                <w:lang w:eastAsia="zh-CN"/>
              </w:rPr>
            </w:pPr>
            <w:r w:rsidRPr="004710DC">
              <w:rPr>
                <w:lang w:eastAsia="zh-CN"/>
              </w:rPr>
              <w:t>64QAM</w:t>
            </w:r>
          </w:p>
        </w:tc>
        <w:tc>
          <w:tcPr>
            <w:tcW w:w="1077" w:type="dxa"/>
          </w:tcPr>
          <w:p w14:paraId="27F6A969" w14:textId="77777777" w:rsidR="00241417" w:rsidRPr="004710DC" w:rsidRDefault="00241417" w:rsidP="003A71DE">
            <w:pPr>
              <w:pStyle w:val="TAC"/>
              <w:rPr>
                <w:lang w:eastAsia="zh-CN"/>
              </w:rPr>
            </w:pPr>
            <w:r w:rsidRPr="004710DC">
              <w:rPr>
                <w:lang w:eastAsia="zh-CN"/>
              </w:rPr>
              <w:t>64QAM</w:t>
            </w:r>
          </w:p>
        </w:tc>
        <w:tc>
          <w:tcPr>
            <w:tcW w:w="1077" w:type="dxa"/>
          </w:tcPr>
          <w:p w14:paraId="3CCDD7B1" w14:textId="77777777" w:rsidR="00241417" w:rsidRPr="004710DC" w:rsidRDefault="00241417" w:rsidP="003A71DE">
            <w:pPr>
              <w:pStyle w:val="TAC"/>
              <w:rPr>
                <w:lang w:eastAsia="zh-CN"/>
              </w:rPr>
            </w:pPr>
            <w:r w:rsidRPr="004710DC">
              <w:rPr>
                <w:lang w:eastAsia="zh-CN"/>
              </w:rPr>
              <w:t>64QAM</w:t>
            </w:r>
          </w:p>
        </w:tc>
      </w:tr>
      <w:tr w:rsidR="00241417" w:rsidRPr="004710DC" w14:paraId="70AC497F" w14:textId="77777777" w:rsidTr="003A71DE">
        <w:trPr>
          <w:cantSplit/>
          <w:jc w:val="center"/>
        </w:trPr>
        <w:tc>
          <w:tcPr>
            <w:tcW w:w="3950" w:type="dxa"/>
          </w:tcPr>
          <w:p w14:paraId="7051D63A" w14:textId="77777777" w:rsidR="00241417" w:rsidRPr="004710DC" w:rsidRDefault="00241417" w:rsidP="003A71DE">
            <w:pPr>
              <w:pStyle w:val="TAC"/>
            </w:pPr>
            <w:r>
              <w:t>Code Rate</w:t>
            </w:r>
          </w:p>
        </w:tc>
        <w:tc>
          <w:tcPr>
            <w:tcW w:w="1076" w:type="dxa"/>
          </w:tcPr>
          <w:p w14:paraId="0E947306" w14:textId="77777777" w:rsidR="00241417" w:rsidRPr="004710DC" w:rsidRDefault="00241417" w:rsidP="003A71DE">
            <w:pPr>
              <w:pStyle w:val="TAC"/>
              <w:rPr>
                <w:lang w:eastAsia="zh-CN"/>
              </w:rPr>
            </w:pPr>
            <w:r w:rsidRPr="004710DC">
              <w:t>567/1024</w:t>
            </w:r>
          </w:p>
        </w:tc>
        <w:tc>
          <w:tcPr>
            <w:tcW w:w="1077" w:type="dxa"/>
          </w:tcPr>
          <w:p w14:paraId="700D5BB5" w14:textId="77777777" w:rsidR="00241417" w:rsidRPr="004710DC" w:rsidRDefault="00241417" w:rsidP="003A71DE">
            <w:pPr>
              <w:pStyle w:val="TAC"/>
              <w:rPr>
                <w:lang w:eastAsia="zh-CN"/>
              </w:rPr>
            </w:pPr>
            <w:r w:rsidRPr="004710DC">
              <w:t>567/1024</w:t>
            </w:r>
          </w:p>
        </w:tc>
        <w:tc>
          <w:tcPr>
            <w:tcW w:w="1076" w:type="dxa"/>
          </w:tcPr>
          <w:p w14:paraId="4B84273D" w14:textId="77777777" w:rsidR="00241417" w:rsidRPr="004710DC" w:rsidRDefault="00241417" w:rsidP="003A71DE">
            <w:pPr>
              <w:pStyle w:val="TAC"/>
              <w:rPr>
                <w:lang w:eastAsia="zh-CN"/>
              </w:rPr>
            </w:pPr>
            <w:r w:rsidRPr="004710DC">
              <w:t>567/1024</w:t>
            </w:r>
          </w:p>
        </w:tc>
        <w:tc>
          <w:tcPr>
            <w:tcW w:w="1077" w:type="dxa"/>
          </w:tcPr>
          <w:p w14:paraId="27E22C00" w14:textId="77777777" w:rsidR="00241417" w:rsidRPr="004710DC" w:rsidRDefault="00241417" w:rsidP="003A71DE">
            <w:pPr>
              <w:pStyle w:val="TAC"/>
              <w:rPr>
                <w:lang w:eastAsia="zh-CN"/>
              </w:rPr>
            </w:pPr>
            <w:r w:rsidRPr="004710DC">
              <w:t>567/1024</w:t>
            </w:r>
          </w:p>
        </w:tc>
        <w:tc>
          <w:tcPr>
            <w:tcW w:w="1077" w:type="dxa"/>
          </w:tcPr>
          <w:p w14:paraId="2ABEB180" w14:textId="77777777" w:rsidR="00241417" w:rsidRPr="004710DC" w:rsidRDefault="00241417" w:rsidP="003A71DE">
            <w:pPr>
              <w:pStyle w:val="TAC"/>
              <w:rPr>
                <w:lang w:eastAsia="zh-CN"/>
              </w:rPr>
            </w:pPr>
            <w:r w:rsidRPr="004710DC">
              <w:t>567/1024</w:t>
            </w:r>
          </w:p>
        </w:tc>
      </w:tr>
      <w:tr w:rsidR="00241417" w:rsidRPr="004710DC" w14:paraId="0D3C4CB2" w14:textId="77777777" w:rsidTr="003A71DE">
        <w:trPr>
          <w:cantSplit/>
          <w:jc w:val="center"/>
        </w:trPr>
        <w:tc>
          <w:tcPr>
            <w:tcW w:w="3950" w:type="dxa"/>
          </w:tcPr>
          <w:p w14:paraId="1C8C90B7" w14:textId="77777777" w:rsidR="00241417" w:rsidRPr="004710DC" w:rsidRDefault="00241417" w:rsidP="003A71DE">
            <w:pPr>
              <w:pStyle w:val="TAC"/>
            </w:pPr>
            <w:r w:rsidRPr="004710DC">
              <w:t>Payload size (bits)</w:t>
            </w:r>
          </w:p>
        </w:tc>
        <w:tc>
          <w:tcPr>
            <w:tcW w:w="1076" w:type="dxa"/>
            <w:vAlign w:val="center"/>
          </w:tcPr>
          <w:p w14:paraId="57986E75" w14:textId="77777777" w:rsidR="00241417" w:rsidRPr="004710DC" w:rsidRDefault="00241417" w:rsidP="003A71DE">
            <w:pPr>
              <w:pStyle w:val="TAC"/>
            </w:pPr>
            <w:r w:rsidRPr="004710DC">
              <w:t>23568</w:t>
            </w:r>
          </w:p>
        </w:tc>
        <w:tc>
          <w:tcPr>
            <w:tcW w:w="1077" w:type="dxa"/>
            <w:vAlign w:val="center"/>
          </w:tcPr>
          <w:p w14:paraId="0DD25E44" w14:textId="77777777" w:rsidR="00241417" w:rsidRPr="004710DC" w:rsidRDefault="00241417" w:rsidP="003A71DE">
            <w:pPr>
              <w:pStyle w:val="TAC"/>
            </w:pPr>
            <w:r w:rsidRPr="004710DC">
              <w:t>47112</w:t>
            </w:r>
          </w:p>
        </w:tc>
        <w:tc>
          <w:tcPr>
            <w:tcW w:w="1076" w:type="dxa"/>
            <w:vAlign w:val="center"/>
          </w:tcPr>
          <w:p w14:paraId="5A770F6C" w14:textId="77777777" w:rsidR="00241417" w:rsidRPr="004710DC" w:rsidRDefault="00241417" w:rsidP="003A71DE">
            <w:pPr>
              <w:pStyle w:val="TAC"/>
            </w:pPr>
            <w:r w:rsidRPr="004710DC">
              <w:t>11528</w:t>
            </w:r>
          </w:p>
        </w:tc>
        <w:tc>
          <w:tcPr>
            <w:tcW w:w="1077" w:type="dxa"/>
            <w:vAlign w:val="center"/>
          </w:tcPr>
          <w:p w14:paraId="24978F55" w14:textId="77777777" w:rsidR="00241417" w:rsidRPr="004710DC" w:rsidRDefault="00241417" w:rsidP="003A71DE">
            <w:pPr>
              <w:pStyle w:val="TAC"/>
            </w:pPr>
            <w:r w:rsidRPr="004710DC">
              <w:t>23568</w:t>
            </w:r>
          </w:p>
        </w:tc>
        <w:tc>
          <w:tcPr>
            <w:tcW w:w="1077" w:type="dxa"/>
            <w:vAlign w:val="center"/>
          </w:tcPr>
          <w:p w14:paraId="65627556" w14:textId="77777777" w:rsidR="00241417" w:rsidRPr="004710DC" w:rsidRDefault="00241417" w:rsidP="003A71DE">
            <w:pPr>
              <w:pStyle w:val="TAC"/>
            </w:pPr>
            <w:r w:rsidRPr="004710DC">
              <w:t>47112</w:t>
            </w:r>
          </w:p>
        </w:tc>
      </w:tr>
      <w:tr w:rsidR="00241417" w:rsidRPr="004710DC" w14:paraId="1ECC8815" w14:textId="77777777" w:rsidTr="003A71DE">
        <w:trPr>
          <w:cantSplit/>
          <w:jc w:val="center"/>
        </w:trPr>
        <w:tc>
          <w:tcPr>
            <w:tcW w:w="3950" w:type="dxa"/>
          </w:tcPr>
          <w:p w14:paraId="5D570415" w14:textId="77777777" w:rsidR="00241417" w:rsidRPr="004710DC" w:rsidRDefault="00241417" w:rsidP="003A71DE">
            <w:pPr>
              <w:pStyle w:val="TAC"/>
            </w:pPr>
            <w:r w:rsidRPr="004710DC">
              <w:t>Transport block CRC (bits)</w:t>
            </w:r>
          </w:p>
        </w:tc>
        <w:tc>
          <w:tcPr>
            <w:tcW w:w="1076" w:type="dxa"/>
          </w:tcPr>
          <w:p w14:paraId="6E44750A" w14:textId="77777777" w:rsidR="00241417" w:rsidRPr="004710DC" w:rsidRDefault="00241417" w:rsidP="003A71DE">
            <w:pPr>
              <w:pStyle w:val="TAC"/>
            </w:pPr>
            <w:r w:rsidRPr="004710DC">
              <w:t>24</w:t>
            </w:r>
          </w:p>
        </w:tc>
        <w:tc>
          <w:tcPr>
            <w:tcW w:w="1077" w:type="dxa"/>
          </w:tcPr>
          <w:p w14:paraId="534AF18D" w14:textId="77777777" w:rsidR="00241417" w:rsidRPr="004710DC" w:rsidRDefault="00241417" w:rsidP="003A71DE">
            <w:pPr>
              <w:pStyle w:val="TAC"/>
            </w:pPr>
            <w:r w:rsidRPr="004710DC">
              <w:t>24</w:t>
            </w:r>
          </w:p>
        </w:tc>
        <w:tc>
          <w:tcPr>
            <w:tcW w:w="1076" w:type="dxa"/>
          </w:tcPr>
          <w:p w14:paraId="7D217DDE" w14:textId="77777777" w:rsidR="00241417" w:rsidRPr="004710DC" w:rsidRDefault="00241417" w:rsidP="003A71DE">
            <w:pPr>
              <w:pStyle w:val="TAC"/>
            </w:pPr>
            <w:r w:rsidRPr="004710DC">
              <w:t>24</w:t>
            </w:r>
          </w:p>
        </w:tc>
        <w:tc>
          <w:tcPr>
            <w:tcW w:w="1077" w:type="dxa"/>
          </w:tcPr>
          <w:p w14:paraId="08E6B114" w14:textId="77777777" w:rsidR="00241417" w:rsidRPr="004710DC" w:rsidRDefault="00241417" w:rsidP="003A71DE">
            <w:pPr>
              <w:pStyle w:val="TAC"/>
            </w:pPr>
            <w:r w:rsidRPr="004710DC">
              <w:t>24</w:t>
            </w:r>
          </w:p>
        </w:tc>
        <w:tc>
          <w:tcPr>
            <w:tcW w:w="1077" w:type="dxa"/>
          </w:tcPr>
          <w:p w14:paraId="1523F075" w14:textId="77777777" w:rsidR="00241417" w:rsidRPr="004710DC" w:rsidRDefault="00241417" w:rsidP="003A71DE">
            <w:pPr>
              <w:pStyle w:val="TAC"/>
            </w:pPr>
            <w:r w:rsidRPr="004710DC">
              <w:t>24</w:t>
            </w:r>
          </w:p>
        </w:tc>
      </w:tr>
      <w:tr w:rsidR="00241417" w:rsidRPr="004710DC" w14:paraId="1DCA1C5D" w14:textId="77777777" w:rsidTr="003A71DE">
        <w:trPr>
          <w:cantSplit/>
          <w:jc w:val="center"/>
        </w:trPr>
        <w:tc>
          <w:tcPr>
            <w:tcW w:w="3950" w:type="dxa"/>
          </w:tcPr>
          <w:p w14:paraId="278D3D5C" w14:textId="77777777" w:rsidR="00241417" w:rsidRPr="00AD765F" w:rsidRDefault="00241417" w:rsidP="003A71DE">
            <w:pPr>
              <w:pStyle w:val="TAC"/>
            </w:pPr>
            <w:r w:rsidRPr="00AD765F">
              <w:t>Code block CRC size (bits)</w:t>
            </w:r>
          </w:p>
        </w:tc>
        <w:tc>
          <w:tcPr>
            <w:tcW w:w="1076" w:type="dxa"/>
          </w:tcPr>
          <w:p w14:paraId="7077C0F2" w14:textId="77777777" w:rsidR="00241417" w:rsidRPr="004710DC" w:rsidRDefault="00241417" w:rsidP="003A71DE">
            <w:pPr>
              <w:pStyle w:val="TAC"/>
            </w:pPr>
            <w:r w:rsidRPr="004710DC">
              <w:t>24</w:t>
            </w:r>
          </w:p>
        </w:tc>
        <w:tc>
          <w:tcPr>
            <w:tcW w:w="1077" w:type="dxa"/>
          </w:tcPr>
          <w:p w14:paraId="3D31EB8A" w14:textId="77777777" w:rsidR="00241417" w:rsidRPr="004710DC" w:rsidRDefault="00241417" w:rsidP="003A71DE">
            <w:pPr>
              <w:pStyle w:val="TAC"/>
            </w:pPr>
            <w:r w:rsidRPr="004710DC">
              <w:t>24</w:t>
            </w:r>
          </w:p>
        </w:tc>
        <w:tc>
          <w:tcPr>
            <w:tcW w:w="1076" w:type="dxa"/>
          </w:tcPr>
          <w:p w14:paraId="3F25EF11" w14:textId="77777777" w:rsidR="00241417" w:rsidRPr="004710DC" w:rsidRDefault="00241417" w:rsidP="003A71DE">
            <w:pPr>
              <w:pStyle w:val="TAC"/>
            </w:pPr>
            <w:r w:rsidRPr="004710DC">
              <w:t>24</w:t>
            </w:r>
          </w:p>
        </w:tc>
        <w:tc>
          <w:tcPr>
            <w:tcW w:w="1077" w:type="dxa"/>
          </w:tcPr>
          <w:p w14:paraId="2D51222A" w14:textId="77777777" w:rsidR="00241417" w:rsidRPr="004710DC" w:rsidRDefault="00241417" w:rsidP="003A71DE">
            <w:pPr>
              <w:pStyle w:val="TAC"/>
            </w:pPr>
            <w:r w:rsidRPr="004710DC">
              <w:t>24</w:t>
            </w:r>
          </w:p>
        </w:tc>
        <w:tc>
          <w:tcPr>
            <w:tcW w:w="1077" w:type="dxa"/>
          </w:tcPr>
          <w:p w14:paraId="1C986792" w14:textId="77777777" w:rsidR="00241417" w:rsidRPr="004710DC" w:rsidRDefault="00241417" w:rsidP="003A71DE">
            <w:pPr>
              <w:pStyle w:val="TAC"/>
            </w:pPr>
            <w:r w:rsidRPr="004710DC">
              <w:t>24</w:t>
            </w:r>
          </w:p>
        </w:tc>
      </w:tr>
      <w:tr w:rsidR="00241417" w:rsidRPr="004710DC" w14:paraId="53BD7126" w14:textId="77777777" w:rsidTr="003A71DE">
        <w:trPr>
          <w:cantSplit/>
          <w:jc w:val="center"/>
        </w:trPr>
        <w:tc>
          <w:tcPr>
            <w:tcW w:w="3950" w:type="dxa"/>
          </w:tcPr>
          <w:p w14:paraId="6DAEEAD5" w14:textId="77777777" w:rsidR="00241417" w:rsidRPr="00AD765F" w:rsidRDefault="00241417" w:rsidP="003A71DE">
            <w:pPr>
              <w:pStyle w:val="TAC"/>
            </w:pPr>
            <w:r w:rsidRPr="00AD765F">
              <w:t>Number of code blocks - C</w:t>
            </w:r>
          </w:p>
        </w:tc>
        <w:tc>
          <w:tcPr>
            <w:tcW w:w="1076" w:type="dxa"/>
            <w:vAlign w:val="center"/>
          </w:tcPr>
          <w:p w14:paraId="6A73DF6B" w14:textId="77777777" w:rsidR="00241417" w:rsidRPr="004710DC" w:rsidRDefault="00241417" w:rsidP="003A71DE">
            <w:pPr>
              <w:pStyle w:val="TAC"/>
            </w:pPr>
            <w:r w:rsidRPr="004710DC">
              <w:t>3</w:t>
            </w:r>
          </w:p>
        </w:tc>
        <w:tc>
          <w:tcPr>
            <w:tcW w:w="1077" w:type="dxa"/>
            <w:vAlign w:val="center"/>
          </w:tcPr>
          <w:p w14:paraId="7A4EF764" w14:textId="77777777" w:rsidR="00241417" w:rsidRPr="004710DC" w:rsidRDefault="00241417" w:rsidP="003A71DE">
            <w:pPr>
              <w:pStyle w:val="TAC"/>
            </w:pPr>
            <w:r w:rsidRPr="004710DC">
              <w:t>6</w:t>
            </w:r>
          </w:p>
        </w:tc>
        <w:tc>
          <w:tcPr>
            <w:tcW w:w="1076" w:type="dxa"/>
          </w:tcPr>
          <w:p w14:paraId="4275AA45" w14:textId="77777777" w:rsidR="00241417" w:rsidRPr="004710DC" w:rsidRDefault="00241417" w:rsidP="003A71DE">
            <w:pPr>
              <w:pStyle w:val="TAC"/>
            </w:pPr>
            <w:r w:rsidRPr="004710DC">
              <w:t>2</w:t>
            </w:r>
          </w:p>
        </w:tc>
        <w:tc>
          <w:tcPr>
            <w:tcW w:w="1077" w:type="dxa"/>
            <w:vAlign w:val="center"/>
          </w:tcPr>
          <w:p w14:paraId="3711E51F" w14:textId="77777777" w:rsidR="00241417" w:rsidRPr="004710DC" w:rsidRDefault="00241417" w:rsidP="003A71DE">
            <w:pPr>
              <w:pStyle w:val="TAC"/>
            </w:pPr>
            <w:r w:rsidRPr="004710DC">
              <w:t>3</w:t>
            </w:r>
          </w:p>
        </w:tc>
        <w:tc>
          <w:tcPr>
            <w:tcW w:w="1077" w:type="dxa"/>
            <w:vAlign w:val="center"/>
          </w:tcPr>
          <w:p w14:paraId="448F97C0" w14:textId="77777777" w:rsidR="00241417" w:rsidRPr="004710DC" w:rsidRDefault="00241417" w:rsidP="003A71DE">
            <w:pPr>
              <w:pStyle w:val="TAC"/>
            </w:pPr>
            <w:r w:rsidRPr="004710DC">
              <w:t>6</w:t>
            </w:r>
          </w:p>
        </w:tc>
      </w:tr>
      <w:tr w:rsidR="00241417" w:rsidRPr="004710DC" w14:paraId="285F2260" w14:textId="77777777" w:rsidTr="003A71DE">
        <w:trPr>
          <w:cantSplit/>
          <w:jc w:val="center"/>
        </w:trPr>
        <w:tc>
          <w:tcPr>
            <w:tcW w:w="3950" w:type="dxa"/>
          </w:tcPr>
          <w:p w14:paraId="25AA94D3"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1C1C2A36" w14:textId="77777777" w:rsidR="00241417" w:rsidRPr="004710DC" w:rsidRDefault="00241417" w:rsidP="003A71DE">
            <w:pPr>
              <w:pStyle w:val="TAC"/>
            </w:pPr>
            <w:r w:rsidRPr="004710DC">
              <w:rPr>
                <w:lang w:eastAsia="zh-CN"/>
              </w:rPr>
              <w:t>7888</w:t>
            </w:r>
          </w:p>
        </w:tc>
        <w:tc>
          <w:tcPr>
            <w:tcW w:w="1077" w:type="dxa"/>
            <w:vAlign w:val="center"/>
          </w:tcPr>
          <w:p w14:paraId="7F8C1EFF" w14:textId="77777777" w:rsidR="00241417" w:rsidRPr="004710DC" w:rsidRDefault="00241417" w:rsidP="003A71DE">
            <w:pPr>
              <w:pStyle w:val="TAC"/>
            </w:pPr>
            <w:r w:rsidRPr="004710DC">
              <w:rPr>
                <w:lang w:eastAsia="zh-CN"/>
              </w:rPr>
              <w:t>7880</w:t>
            </w:r>
          </w:p>
        </w:tc>
        <w:tc>
          <w:tcPr>
            <w:tcW w:w="1076" w:type="dxa"/>
            <w:vAlign w:val="center"/>
          </w:tcPr>
          <w:p w14:paraId="3D8E247B" w14:textId="77777777" w:rsidR="00241417" w:rsidRPr="004710DC" w:rsidRDefault="00241417" w:rsidP="003A71DE">
            <w:pPr>
              <w:pStyle w:val="TAC"/>
            </w:pPr>
            <w:r w:rsidRPr="004710DC">
              <w:rPr>
                <w:lang w:eastAsia="zh-CN"/>
              </w:rPr>
              <w:t>5800</w:t>
            </w:r>
          </w:p>
        </w:tc>
        <w:tc>
          <w:tcPr>
            <w:tcW w:w="1077" w:type="dxa"/>
            <w:vAlign w:val="center"/>
          </w:tcPr>
          <w:p w14:paraId="111A68AA" w14:textId="77777777" w:rsidR="00241417" w:rsidRPr="004710DC" w:rsidRDefault="00241417" w:rsidP="003A71DE">
            <w:pPr>
              <w:pStyle w:val="TAC"/>
            </w:pPr>
            <w:r w:rsidRPr="004710DC">
              <w:rPr>
                <w:lang w:eastAsia="zh-CN"/>
              </w:rPr>
              <w:t>7888</w:t>
            </w:r>
          </w:p>
        </w:tc>
        <w:tc>
          <w:tcPr>
            <w:tcW w:w="1077" w:type="dxa"/>
            <w:vAlign w:val="center"/>
          </w:tcPr>
          <w:p w14:paraId="3D2DFD67" w14:textId="77777777" w:rsidR="00241417" w:rsidRPr="004710DC" w:rsidRDefault="00241417" w:rsidP="003A71DE">
            <w:pPr>
              <w:pStyle w:val="TAC"/>
            </w:pPr>
            <w:r w:rsidRPr="004710DC">
              <w:rPr>
                <w:lang w:eastAsia="zh-CN"/>
              </w:rPr>
              <w:t>7880</w:t>
            </w:r>
          </w:p>
        </w:tc>
      </w:tr>
      <w:tr w:rsidR="00241417" w:rsidRPr="004710DC" w14:paraId="144C36DE" w14:textId="77777777" w:rsidTr="003A71DE">
        <w:trPr>
          <w:cantSplit/>
          <w:jc w:val="center"/>
        </w:trPr>
        <w:tc>
          <w:tcPr>
            <w:tcW w:w="3950" w:type="dxa"/>
          </w:tcPr>
          <w:p w14:paraId="64B67B10"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479C0BE0" w14:textId="77777777" w:rsidR="00241417" w:rsidRPr="004710DC" w:rsidRDefault="00241417" w:rsidP="003A71DE">
            <w:pPr>
              <w:pStyle w:val="TAC"/>
            </w:pPr>
            <w:r w:rsidRPr="004710DC">
              <w:t>42768</w:t>
            </w:r>
          </w:p>
        </w:tc>
        <w:tc>
          <w:tcPr>
            <w:tcW w:w="1077" w:type="dxa"/>
            <w:vAlign w:val="center"/>
          </w:tcPr>
          <w:p w14:paraId="48805BE7" w14:textId="77777777" w:rsidR="00241417" w:rsidRPr="004710DC" w:rsidRDefault="00241417" w:rsidP="003A71DE">
            <w:pPr>
              <w:pStyle w:val="TAC"/>
            </w:pPr>
            <w:r w:rsidRPr="004710DC">
              <w:t>85536</w:t>
            </w:r>
          </w:p>
        </w:tc>
        <w:tc>
          <w:tcPr>
            <w:tcW w:w="1076" w:type="dxa"/>
            <w:vAlign w:val="center"/>
          </w:tcPr>
          <w:p w14:paraId="7F528A5A" w14:textId="77777777" w:rsidR="00241417" w:rsidRPr="004710DC" w:rsidRDefault="00241417" w:rsidP="003A71DE">
            <w:pPr>
              <w:pStyle w:val="TAC"/>
            </w:pPr>
            <w:r w:rsidRPr="004710DC">
              <w:t>20736</w:t>
            </w:r>
          </w:p>
        </w:tc>
        <w:tc>
          <w:tcPr>
            <w:tcW w:w="1077" w:type="dxa"/>
            <w:vAlign w:val="center"/>
          </w:tcPr>
          <w:p w14:paraId="1C928BF1" w14:textId="77777777" w:rsidR="00241417" w:rsidRPr="004710DC" w:rsidRDefault="00241417" w:rsidP="003A71DE">
            <w:pPr>
              <w:pStyle w:val="TAC"/>
            </w:pPr>
            <w:r w:rsidRPr="004710DC">
              <w:t>42768</w:t>
            </w:r>
          </w:p>
        </w:tc>
        <w:tc>
          <w:tcPr>
            <w:tcW w:w="1077" w:type="dxa"/>
            <w:vAlign w:val="center"/>
          </w:tcPr>
          <w:p w14:paraId="3D0F7019" w14:textId="77777777" w:rsidR="00241417" w:rsidRPr="004710DC" w:rsidRDefault="00241417" w:rsidP="003A71DE">
            <w:pPr>
              <w:pStyle w:val="TAC"/>
            </w:pPr>
            <w:r w:rsidRPr="004710DC">
              <w:t>85536</w:t>
            </w:r>
          </w:p>
        </w:tc>
      </w:tr>
      <w:tr w:rsidR="00241417" w:rsidRPr="004710DC" w14:paraId="26F1324D" w14:textId="77777777" w:rsidTr="003A71DE">
        <w:trPr>
          <w:cantSplit/>
          <w:jc w:val="center"/>
        </w:trPr>
        <w:tc>
          <w:tcPr>
            <w:tcW w:w="3950" w:type="dxa"/>
          </w:tcPr>
          <w:p w14:paraId="4AE19693"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Pr>
          <w:p w14:paraId="4B5A5A85" w14:textId="77777777" w:rsidR="00241417" w:rsidRPr="004710DC" w:rsidRDefault="00241417" w:rsidP="003A71DE">
            <w:pPr>
              <w:pStyle w:val="TAC"/>
            </w:pPr>
            <w:r w:rsidRPr="004710DC">
              <w:t>7128</w:t>
            </w:r>
          </w:p>
        </w:tc>
        <w:tc>
          <w:tcPr>
            <w:tcW w:w="1077" w:type="dxa"/>
          </w:tcPr>
          <w:p w14:paraId="644F8757" w14:textId="77777777" w:rsidR="00241417" w:rsidRPr="004710DC" w:rsidRDefault="00241417" w:rsidP="003A71DE">
            <w:pPr>
              <w:pStyle w:val="TAC"/>
            </w:pPr>
            <w:r w:rsidRPr="004710DC">
              <w:t>14256</w:t>
            </w:r>
          </w:p>
        </w:tc>
        <w:tc>
          <w:tcPr>
            <w:tcW w:w="1076" w:type="dxa"/>
          </w:tcPr>
          <w:p w14:paraId="5A080B71" w14:textId="77777777" w:rsidR="00241417" w:rsidRPr="004710DC" w:rsidRDefault="00241417" w:rsidP="003A71DE">
            <w:pPr>
              <w:pStyle w:val="TAC"/>
            </w:pPr>
            <w:r w:rsidRPr="004710DC">
              <w:t>3456</w:t>
            </w:r>
          </w:p>
        </w:tc>
        <w:tc>
          <w:tcPr>
            <w:tcW w:w="1077" w:type="dxa"/>
          </w:tcPr>
          <w:p w14:paraId="01ABCB0A" w14:textId="77777777" w:rsidR="00241417" w:rsidRPr="004710DC" w:rsidRDefault="00241417" w:rsidP="003A71DE">
            <w:pPr>
              <w:pStyle w:val="TAC"/>
            </w:pPr>
            <w:r w:rsidRPr="004710DC">
              <w:t>7128</w:t>
            </w:r>
          </w:p>
        </w:tc>
        <w:tc>
          <w:tcPr>
            <w:tcW w:w="1077" w:type="dxa"/>
          </w:tcPr>
          <w:p w14:paraId="36990212" w14:textId="77777777" w:rsidR="00241417" w:rsidRPr="004710DC" w:rsidRDefault="00241417" w:rsidP="003A71DE">
            <w:pPr>
              <w:pStyle w:val="TAC"/>
            </w:pPr>
            <w:r w:rsidRPr="004710DC">
              <w:t>14256</w:t>
            </w:r>
          </w:p>
        </w:tc>
      </w:tr>
      <w:tr w:rsidR="00241417" w:rsidRPr="00AD765F" w14:paraId="705F6996" w14:textId="77777777" w:rsidTr="003A71DE">
        <w:trPr>
          <w:cantSplit/>
          <w:jc w:val="center"/>
        </w:trPr>
        <w:tc>
          <w:tcPr>
            <w:tcW w:w="9333" w:type="dxa"/>
            <w:gridSpan w:val="6"/>
          </w:tcPr>
          <w:p w14:paraId="0E238293"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pos0</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as per Table 6.4.1.1.3-3 of TS 38.211 [8].</w:t>
            </w:r>
          </w:p>
          <w:p w14:paraId="035509A3"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 </w:t>
            </w:r>
            <w:r w:rsidRPr="00AD765F">
              <w:rPr>
                <w:lang w:eastAsia="zh-CN"/>
              </w:rPr>
              <w:t>5.2.2 of TS 38.212 [9].</w:t>
            </w:r>
          </w:p>
        </w:tc>
      </w:tr>
    </w:tbl>
    <w:p w14:paraId="17628241" w14:textId="77777777" w:rsidR="00241417" w:rsidRPr="00AD765F" w:rsidRDefault="00241417" w:rsidP="00241417">
      <w:pPr>
        <w:rPr>
          <w:noProof/>
          <w:lang w:eastAsia="zh-CN"/>
        </w:rPr>
      </w:pPr>
    </w:p>
    <w:p w14:paraId="392BAB3D" w14:textId="77777777" w:rsidR="00241417" w:rsidRPr="00AD765F" w:rsidRDefault="00241417" w:rsidP="00241417">
      <w:pPr>
        <w:pStyle w:val="TH"/>
        <w:rPr>
          <w:lang w:eastAsia="zh-CN"/>
        </w:rPr>
      </w:pPr>
      <w:r w:rsidRPr="00AD765F">
        <w:rPr>
          <w:rFonts w:eastAsia="Malgun Gothic"/>
        </w:rPr>
        <w:lastRenderedPageBreak/>
        <w:t>Table A.2.</w:t>
      </w:r>
      <w:r w:rsidRPr="00AD765F">
        <w:rPr>
          <w:lang w:eastAsia="zh-CN"/>
        </w:rPr>
        <w:t>4</w:t>
      </w:r>
      <w:r w:rsidRPr="00AD765F">
        <w:rPr>
          <w:rFonts w:eastAsia="Malgun Gothic"/>
        </w:rPr>
        <w:t>-</w:t>
      </w:r>
      <w:r w:rsidRPr="00AD765F">
        <w:rPr>
          <w:lang w:eastAsia="zh-CN"/>
        </w:rPr>
        <w:t>3</w:t>
      </w:r>
      <w:r w:rsidRPr="00AD765F">
        <w:rPr>
          <w:rFonts w:eastAsia="Malgun Gothic"/>
        </w:rPr>
        <w:t>: FRC parameters for</w:t>
      </w:r>
      <w:r w:rsidRPr="00AD765F">
        <w:rPr>
          <w:lang w:eastAsia="zh-CN"/>
        </w:rPr>
        <w:t xml:space="preserve"> FR2 PUSCH </w:t>
      </w:r>
      <w:r w:rsidRPr="00AD765F">
        <w:rPr>
          <w:rFonts w:eastAsia="Malgun Gothic"/>
        </w:rPr>
        <w:t>performance requirements</w:t>
      </w:r>
      <w:r w:rsidRPr="00AD765F">
        <w:rPr>
          <w:lang w:eastAsia="zh-CN"/>
        </w:rPr>
        <w:t xml:space="preserve">, transform precoding disabled, </w:t>
      </w:r>
      <w:r w:rsidRPr="00AD765F">
        <w:rPr>
          <w:i/>
          <w:lang w:eastAsia="zh-CN"/>
        </w:rPr>
        <w:t>Additional DM-RS position = pos1</w:t>
      </w:r>
      <w:r w:rsidRPr="00AD765F">
        <w:rPr>
          <w:lang w:eastAsia="zh-CN"/>
        </w:rPr>
        <w:t xml:space="preserve"> and 1 transmission layer</w:t>
      </w:r>
      <w:r w:rsidRPr="00AD765F">
        <w:rPr>
          <w:rFonts w:eastAsia="Malgun Gothic"/>
        </w:rPr>
        <w:t xml:space="preserve"> (</w:t>
      </w:r>
      <w:r w:rsidRPr="00AD765F">
        <w:rPr>
          <w:lang w:eastAsia="zh-CN"/>
        </w:rPr>
        <w:t>64QAM</w:t>
      </w:r>
      <w:r w:rsidRPr="00AD765F">
        <w:rPr>
          <w:rFonts w:eastAsia="Malgun Gothic"/>
        </w:rPr>
        <w:t>, R=567/1024)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50"/>
        <w:gridCol w:w="1076"/>
        <w:gridCol w:w="1077"/>
        <w:gridCol w:w="1076"/>
        <w:gridCol w:w="1077"/>
        <w:gridCol w:w="1077"/>
      </w:tblGrid>
      <w:tr w:rsidR="00241417" w:rsidRPr="004710DC" w14:paraId="5B89608C" w14:textId="77777777" w:rsidTr="003A71DE">
        <w:trPr>
          <w:cantSplit/>
          <w:jc w:val="center"/>
        </w:trPr>
        <w:tc>
          <w:tcPr>
            <w:tcW w:w="3950" w:type="dxa"/>
          </w:tcPr>
          <w:p w14:paraId="5B5522C4" w14:textId="77777777" w:rsidR="00241417" w:rsidRPr="004710DC" w:rsidRDefault="00241417" w:rsidP="003A71DE">
            <w:pPr>
              <w:pStyle w:val="TAH"/>
            </w:pPr>
            <w:r w:rsidRPr="004710DC">
              <w:t>Reference channel</w:t>
            </w:r>
          </w:p>
        </w:tc>
        <w:tc>
          <w:tcPr>
            <w:tcW w:w="1076" w:type="dxa"/>
          </w:tcPr>
          <w:p w14:paraId="6C23B0B6" w14:textId="77777777" w:rsidR="00241417" w:rsidRPr="004710DC" w:rsidRDefault="00241417" w:rsidP="003A71DE">
            <w:pPr>
              <w:pStyle w:val="TAH"/>
            </w:pPr>
            <w:r>
              <w:rPr>
                <w:lang w:eastAsia="zh-CN"/>
              </w:rPr>
              <w:t>G-FR2-A.2.4</w:t>
            </w:r>
            <w:r w:rsidRPr="004710DC">
              <w:rPr>
                <w:lang w:eastAsia="zh-CN"/>
              </w:rPr>
              <w:t>-6</w:t>
            </w:r>
          </w:p>
        </w:tc>
        <w:tc>
          <w:tcPr>
            <w:tcW w:w="1077" w:type="dxa"/>
          </w:tcPr>
          <w:p w14:paraId="303F2B75" w14:textId="77777777" w:rsidR="00241417" w:rsidRPr="004710DC" w:rsidRDefault="00241417" w:rsidP="003A71DE">
            <w:pPr>
              <w:pStyle w:val="TAH"/>
            </w:pPr>
            <w:r>
              <w:rPr>
                <w:lang w:eastAsia="zh-CN"/>
              </w:rPr>
              <w:t>G-FR2-A.2.4</w:t>
            </w:r>
            <w:r w:rsidRPr="004710DC">
              <w:rPr>
                <w:lang w:eastAsia="zh-CN"/>
              </w:rPr>
              <w:t>-7</w:t>
            </w:r>
          </w:p>
        </w:tc>
        <w:tc>
          <w:tcPr>
            <w:tcW w:w="1076" w:type="dxa"/>
          </w:tcPr>
          <w:p w14:paraId="0272EC5E" w14:textId="77777777" w:rsidR="00241417" w:rsidRPr="004710DC" w:rsidRDefault="00241417" w:rsidP="003A71DE">
            <w:pPr>
              <w:pStyle w:val="TAH"/>
            </w:pPr>
            <w:r>
              <w:rPr>
                <w:lang w:eastAsia="zh-CN"/>
              </w:rPr>
              <w:t>G-FR2-A.2.4</w:t>
            </w:r>
            <w:r w:rsidRPr="004710DC">
              <w:rPr>
                <w:lang w:eastAsia="zh-CN"/>
              </w:rPr>
              <w:t>-8</w:t>
            </w:r>
          </w:p>
        </w:tc>
        <w:tc>
          <w:tcPr>
            <w:tcW w:w="1077" w:type="dxa"/>
          </w:tcPr>
          <w:p w14:paraId="0DE282DB" w14:textId="77777777" w:rsidR="00241417" w:rsidRPr="004710DC" w:rsidRDefault="00241417" w:rsidP="003A71DE">
            <w:pPr>
              <w:pStyle w:val="TAH"/>
            </w:pPr>
            <w:r>
              <w:rPr>
                <w:lang w:eastAsia="zh-CN"/>
              </w:rPr>
              <w:t>G-FR2-A.2.4</w:t>
            </w:r>
            <w:r w:rsidRPr="004710DC">
              <w:rPr>
                <w:lang w:eastAsia="zh-CN"/>
              </w:rPr>
              <w:t>-9</w:t>
            </w:r>
          </w:p>
        </w:tc>
        <w:tc>
          <w:tcPr>
            <w:tcW w:w="1077" w:type="dxa"/>
          </w:tcPr>
          <w:p w14:paraId="45C2C196" w14:textId="77777777" w:rsidR="00241417" w:rsidRPr="004710DC" w:rsidRDefault="00241417" w:rsidP="003A71DE">
            <w:pPr>
              <w:pStyle w:val="TAH"/>
            </w:pPr>
            <w:r>
              <w:rPr>
                <w:lang w:eastAsia="zh-CN"/>
              </w:rPr>
              <w:t>G-FR2-A.2.4</w:t>
            </w:r>
            <w:r w:rsidRPr="004710DC">
              <w:rPr>
                <w:lang w:eastAsia="zh-CN"/>
              </w:rPr>
              <w:t>-10</w:t>
            </w:r>
          </w:p>
        </w:tc>
      </w:tr>
      <w:tr w:rsidR="00241417" w:rsidRPr="004710DC" w14:paraId="636ADDE6" w14:textId="77777777" w:rsidTr="003A71DE">
        <w:trPr>
          <w:cantSplit/>
          <w:jc w:val="center"/>
        </w:trPr>
        <w:tc>
          <w:tcPr>
            <w:tcW w:w="3950" w:type="dxa"/>
          </w:tcPr>
          <w:p w14:paraId="4049B885" w14:textId="77777777" w:rsidR="00241417" w:rsidRPr="004710DC" w:rsidRDefault="00241417" w:rsidP="003A71DE">
            <w:pPr>
              <w:pStyle w:val="TAC"/>
              <w:rPr>
                <w:lang w:eastAsia="zh-CN"/>
              </w:rPr>
            </w:pPr>
            <w:r w:rsidRPr="004710DC">
              <w:rPr>
                <w:lang w:eastAsia="zh-CN"/>
              </w:rPr>
              <w:t>Subcarrier spacing [kHz]</w:t>
            </w:r>
          </w:p>
        </w:tc>
        <w:tc>
          <w:tcPr>
            <w:tcW w:w="1076" w:type="dxa"/>
          </w:tcPr>
          <w:p w14:paraId="6738A21A" w14:textId="77777777" w:rsidR="00241417" w:rsidRPr="004710DC" w:rsidRDefault="00241417" w:rsidP="003A71DE">
            <w:pPr>
              <w:pStyle w:val="TAC"/>
              <w:rPr>
                <w:lang w:eastAsia="zh-CN"/>
              </w:rPr>
            </w:pPr>
            <w:r w:rsidRPr="004710DC">
              <w:rPr>
                <w:lang w:eastAsia="zh-CN"/>
              </w:rPr>
              <w:t>60</w:t>
            </w:r>
          </w:p>
        </w:tc>
        <w:tc>
          <w:tcPr>
            <w:tcW w:w="1077" w:type="dxa"/>
          </w:tcPr>
          <w:p w14:paraId="02AFACD8" w14:textId="77777777" w:rsidR="00241417" w:rsidRPr="004710DC" w:rsidRDefault="00241417" w:rsidP="003A71DE">
            <w:pPr>
              <w:pStyle w:val="TAC"/>
            </w:pPr>
            <w:r w:rsidRPr="004710DC">
              <w:rPr>
                <w:lang w:eastAsia="zh-CN"/>
              </w:rPr>
              <w:t>60</w:t>
            </w:r>
          </w:p>
        </w:tc>
        <w:tc>
          <w:tcPr>
            <w:tcW w:w="1076" w:type="dxa"/>
          </w:tcPr>
          <w:p w14:paraId="28869570" w14:textId="77777777" w:rsidR="00241417" w:rsidRPr="004710DC" w:rsidRDefault="00241417" w:rsidP="003A71DE">
            <w:pPr>
              <w:pStyle w:val="TAC"/>
            </w:pPr>
            <w:r w:rsidRPr="004710DC">
              <w:rPr>
                <w:lang w:eastAsia="zh-CN"/>
              </w:rPr>
              <w:t>120</w:t>
            </w:r>
          </w:p>
        </w:tc>
        <w:tc>
          <w:tcPr>
            <w:tcW w:w="1077" w:type="dxa"/>
          </w:tcPr>
          <w:p w14:paraId="4E1FC1A8" w14:textId="77777777" w:rsidR="00241417" w:rsidRPr="004710DC" w:rsidRDefault="00241417" w:rsidP="003A71DE">
            <w:pPr>
              <w:pStyle w:val="TAC"/>
            </w:pPr>
            <w:r w:rsidRPr="004710DC">
              <w:rPr>
                <w:lang w:eastAsia="zh-CN"/>
              </w:rPr>
              <w:t>120</w:t>
            </w:r>
          </w:p>
        </w:tc>
        <w:tc>
          <w:tcPr>
            <w:tcW w:w="1077" w:type="dxa"/>
          </w:tcPr>
          <w:p w14:paraId="33551DF4" w14:textId="77777777" w:rsidR="00241417" w:rsidRPr="004710DC" w:rsidRDefault="00241417" w:rsidP="003A71DE">
            <w:pPr>
              <w:pStyle w:val="TAC"/>
            </w:pPr>
            <w:r w:rsidRPr="004710DC">
              <w:rPr>
                <w:lang w:eastAsia="zh-CN"/>
              </w:rPr>
              <w:t>120</w:t>
            </w:r>
          </w:p>
        </w:tc>
      </w:tr>
      <w:tr w:rsidR="00241417" w:rsidRPr="004710DC" w14:paraId="01B691A5" w14:textId="77777777" w:rsidTr="003A71DE">
        <w:trPr>
          <w:cantSplit/>
          <w:jc w:val="center"/>
        </w:trPr>
        <w:tc>
          <w:tcPr>
            <w:tcW w:w="3950" w:type="dxa"/>
          </w:tcPr>
          <w:p w14:paraId="15CFAC9B" w14:textId="77777777" w:rsidR="00241417" w:rsidRPr="004710DC" w:rsidRDefault="00241417" w:rsidP="003A71DE">
            <w:pPr>
              <w:pStyle w:val="TAC"/>
            </w:pPr>
            <w:r w:rsidRPr="004710DC">
              <w:t>Allocated resource blocks</w:t>
            </w:r>
          </w:p>
        </w:tc>
        <w:tc>
          <w:tcPr>
            <w:tcW w:w="1076" w:type="dxa"/>
          </w:tcPr>
          <w:p w14:paraId="5B1D66F0" w14:textId="77777777" w:rsidR="00241417" w:rsidRPr="004710DC" w:rsidRDefault="00241417" w:rsidP="003A71DE">
            <w:pPr>
              <w:pStyle w:val="TAC"/>
            </w:pPr>
            <w:r w:rsidRPr="004710DC">
              <w:t>66</w:t>
            </w:r>
          </w:p>
        </w:tc>
        <w:tc>
          <w:tcPr>
            <w:tcW w:w="1077" w:type="dxa"/>
          </w:tcPr>
          <w:p w14:paraId="1202DA9C" w14:textId="77777777" w:rsidR="00241417" w:rsidRPr="004710DC" w:rsidRDefault="00241417" w:rsidP="003A71DE">
            <w:pPr>
              <w:pStyle w:val="TAC"/>
            </w:pPr>
            <w:r w:rsidRPr="004710DC">
              <w:t>132</w:t>
            </w:r>
          </w:p>
        </w:tc>
        <w:tc>
          <w:tcPr>
            <w:tcW w:w="1076" w:type="dxa"/>
          </w:tcPr>
          <w:p w14:paraId="128948D9" w14:textId="77777777" w:rsidR="00241417" w:rsidRPr="004710DC" w:rsidRDefault="00241417" w:rsidP="003A71DE">
            <w:pPr>
              <w:pStyle w:val="TAC"/>
            </w:pPr>
            <w:r w:rsidRPr="004710DC">
              <w:t>32</w:t>
            </w:r>
          </w:p>
        </w:tc>
        <w:tc>
          <w:tcPr>
            <w:tcW w:w="1077" w:type="dxa"/>
          </w:tcPr>
          <w:p w14:paraId="37BC6CD2" w14:textId="77777777" w:rsidR="00241417" w:rsidRPr="004710DC" w:rsidRDefault="00241417" w:rsidP="003A71DE">
            <w:pPr>
              <w:pStyle w:val="TAC"/>
            </w:pPr>
            <w:r w:rsidRPr="004710DC">
              <w:t>66</w:t>
            </w:r>
          </w:p>
        </w:tc>
        <w:tc>
          <w:tcPr>
            <w:tcW w:w="1077" w:type="dxa"/>
          </w:tcPr>
          <w:p w14:paraId="52A792C6" w14:textId="77777777" w:rsidR="00241417" w:rsidRPr="004710DC" w:rsidRDefault="00241417" w:rsidP="003A71DE">
            <w:pPr>
              <w:pStyle w:val="TAC"/>
            </w:pPr>
            <w:r w:rsidRPr="004710DC">
              <w:t>132</w:t>
            </w:r>
          </w:p>
        </w:tc>
      </w:tr>
      <w:tr w:rsidR="00241417" w:rsidRPr="004710DC" w14:paraId="0B37ACAC" w14:textId="77777777" w:rsidTr="003A71DE">
        <w:trPr>
          <w:cantSplit/>
          <w:jc w:val="center"/>
        </w:trPr>
        <w:tc>
          <w:tcPr>
            <w:tcW w:w="3950" w:type="dxa"/>
          </w:tcPr>
          <w:p w14:paraId="53FE2701" w14:textId="77777777" w:rsidR="00241417" w:rsidRPr="004710DC" w:rsidRDefault="00241417" w:rsidP="003A71DE">
            <w:pPr>
              <w:pStyle w:val="TAC"/>
              <w:rPr>
                <w:lang w:eastAsia="zh-CN"/>
              </w:rPr>
            </w:pPr>
            <w:r w:rsidRPr="004710DC">
              <w:rPr>
                <w:lang w:eastAsia="zh-CN"/>
              </w:rPr>
              <w:t>CP</w:t>
            </w:r>
            <w:r w:rsidRPr="004710DC">
              <w:t xml:space="preserve">-OFDM Symbols per </w:t>
            </w:r>
            <w:r w:rsidRPr="004710DC">
              <w:rPr>
                <w:lang w:eastAsia="zh-CN"/>
              </w:rPr>
              <w:t>slot (Note 1)</w:t>
            </w:r>
          </w:p>
        </w:tc>
        <w:tc>
          <w:tcPr>
            <w:tcW w:w="1076" w:type="dxa"/>
          </w:tcPr>
          <w:p w14:paraId="582B36D1" w14:textId="77777777" w:rsidR="00241417" w:rsidRPr="004710DC" w:rsidRDefault="00241417" w:rsidP="003A71DE">
            <w:pPr>
              <w:pStyle w:val="TAC"/>
              <w:rPr>
                <w:lang w:eastAsia="zh-CN"/>
              </w:rPr>
            </w:pPr>
            <w:r w:rsidRPr="004710DC">
              <w:rPr>
                <w:lang w:eastAsia="zh-CN"/>
              </w:rPr>
              <w:t>8</w:t>
            </w:r>
          </w:p>
        </w:tc>
        <w:tc>
          <w:tcPr>
            <w:tcW w:w="1077" w:type="dxa"/>
          </w:tcPr>
          <w:p w14:paraId="0CE2DE86" w14:textId="77777777" w:rsidR="00241417" w:rsidRPr="004710DC" w:rsidRDefault="00241417" w:rsidP="003A71DE">
            <w:pPr>
              <w:pStyle w:val="TAC"/>
              <w:rPr>
                <w:lang w:eastAsia="zh-CN"/>
              </w:rPr>
            </w:pPr>
            <w:r w:rsidRPr="004710DC">
              <w:rPr>
                <w:lang w:eastAsia="zh-CN"/>
              </w:rPr>
              <w:t>8</w:t>
            </w:r>
          </w:p>
        </w:tc>
        <w:tc>
          <w:tcPr>
            <w:tcW w:w="1076" w:type="dxa"/>
          </w:tcPr>
          <w:p w14:paraId="767F720C" w14:textId="77777777" w:rsidR="00241417" w:rsidRPr="004710DC" w:rsidRDefault="00241417" w:rsidP="003A71DE">
            <w:pPr>
              <w:pStyle w:val="TAC"/>
              <w:rPr>
                <w:lang w:eastAsia="zh-CN"/>
              </w:rPr>
            </w:pPr>
            <w:r w:rsidRPr="004710DC">
              <w:rPr>
                <w:lang w:eastAsia="zh-CN"/>
              </w:rPr>
              <w:t>8</w:t>
            </w:r>
          </w:p>
        </w:tc>
        <w:tc>
          <w:tcPr>
            <w:tcW w:w="1077" w:type="dxa"/>
          </w:tcPr>
          <w:p w14:paraId="12473F7B" w14:textId="77777777" w:rsidR="00241417" w:rsidRPr="004710DC" w:rsidRDefault="00241417" w:rsidP="003A71DE">
            <w:pPr>
              <w:pStyle w:val="TAC"/>
              <w:rPr>
                <w:lang w:eastAsia="zh-CN"/>
              </w:rPr>
            </w:pPr>
            <w:r w:rsidRPr="004710DC">
              <w:rPr>
                <w:lang w:eastAsia="zh-CN"/>
              </w:rPr>
              <w:t>8</w:t>
            </w:r>
          </w:p>
        </w:tc>
        <w:tc>
          <w:tcPr>
            <w:tcW w:w="1077" w:type="dxa"/>
          </w:tcPr>
          <w:p w14:paraId="525B14BE" w14:textId="77777777" w:rsidR="00241417" w:rsidRPr="004710DC" w:rsidRDefault="00241417" w:rsidP="003A71DE">
            <w:pPr>
              <w:pStyle w:val="TAC"/>
              <w:rPr>
                <w:lang w:eastAsia="zh-CN"/>
              </w:rPr>
            </w:pPr>
            <w:r w:rsidRPr="004710DC">
              <w:rPr>
                <w:lang w:eastAsia="zh-CN"/>
              </w:rPr>
              <w:t>8</w:t>
            </w:r>
          </w:p>
        </w:tc>
      </w:tr>
      <w:tr w:rsidR="00241417" w:rsidRPr="004710DC" w14:paraId="6FEC24F0" w14:textId="77777777" w:rsidTr="003A71DE">
        <w:trPr>
          <w:cantSplit/>
          <w:jc w:val="center"/>
        </w:trPr>
        <w:tc>
          <w:tcPr>
            <w:tcW w:w="3950" w:type="dxa"/>
          </w:tcPr>
          <w:p w14:paraId="71E7E852" w14:textId="77777777" w:rsidR="00241417" w:rsidRPr="004710DC" w:rsidRDefault="00241417" w:rsidP="003A71DE">
            <w:pPr>
              <w:pStyle w:val="TAC"/>
            </w:pPr>
            <w:r w:rsidRPr="004710DC">
              <w:t>Modulation</w:t>
            </w:r>
          </w:p>
        </w:tc>
        <w:tc>
          <w:tcPr>
            <w:tcW w:w="1076" w:type="dxa"/>
          </w:tcPr>
          <w:p w14:paraId="68C88793" w14:textId="77777777" w:rsidR="00241417" w:rsidRPr="004710DC" w:rsidRDefault="00241417" w:rsidP="003A71DE">
            <w:pPr>
              <w:pStyle w:val="TAC"/>
              <w:rPr>
                <w:lang w:eastAsia="zh-CN"/>
              </w:rPr>
            </w:pPr>
            <w:r w:rsidRPr="004710DC">
              <w:rPr>
                <w:lang w:eastAsia="zh-CN"/>
              </w:rPr>
              <w:t>64QAM</w:t>
            </w:r>
          </w:p>
        </w:tc>
        <w:tc>
          <w:tcPr>
            <w:tcW w:w="1077" w:type="dxa"/>
          </w:tcPr>
          <w:p w14:paraId="700600EB" w14:textId="77777777" w:rsidR="00241417" w:rsidRPr="004710DC" w:rsidRDefault="00241417" w:rsidP="003A71DE">
            <w:pPr>
              <w:pStyle w:val="TAC"/>
              <w:rPr>
                <w:lang w:eastAsia="zh-CN"/>
              </w:rPr>
            </w:pPr>
            <w:r w:rsidRPr="004710DC">
              <w:rPr>
                <w:lang w:eastAsia="zh-CN"/>
              </w:rPr>
              <w:t>64QAM</w:t>
            </w:r>
          </w:p>
        </w:tc>
        <w:tc>
          <w:tcPr>
            <w:tcW w:w="1076" w:type="dxa"/>
          </w:tcPr>
          <w:p w14:paraId="315E3481" w14:textId="77777777" w:rsidR="00241417" w:rsidRPr="004710DC" w:rsidRDefault="00241417" w:rsidP="003A71DE">
            <w:pPr>
              <w:pStyle w:val="TAC"/>
              <w:rPr>
                <w:lang w:eastAsia="zh-CN"/>
              </w:rPr>
            </w:pPr>
            <w:r w:rsidRPr="004710DC">
              <w:rPr>
                <w:lang w:eastAsia="zh-CN"/>
              </w:rPr>
              <w:t>64QAM</w:t>
            </w:r>
          </w:p>
        </w:tc>
        <w:tc>
          <w:tcPr>
            <w:tcW w:w="1077" w:type="dxa"/>
          </w:tcPr>
          <w:p w14:paraId="0610F988" w14:textId="77777777" w:rsidR="00241417" w:rsidRPr="004710DC" w:rsidRDefault="00241417" w:rsidP="003A71DE">
            <w:pPr>
              <w:pStyle w:val="TAC"/>
              <w:rPr>
                <w:lang w:eastAsia="zh-CN"/>
              </w:rPr>
            </w:pPr>
            <w:r w:rsidRPr="004710DC">
              <w:rPr>
                <w:lang w:eastAsia="zh-CN"/>
              </w:rPr>
              <w:t>64QAM</w:t>
            </w:r>
          </w:p>
        </w:tc>
        <w:tc>
          <w:tcPr>
            <w:tcW w:w="1077" w:type="dxa"/>
          </w:tcPr>
          <w:p w14:paraId="54418084" w14:textId="77777777" w:rsidR="00241417" w:rsidRPr="004710DC" w:rsidRDefault="00241417" w:rsidP="003A71DE">
            <w:pPr>
              <w:pStyle w:val="TAC"/>
              <w:rPr>
                <w:lang w:eastAsia="zh-CN"/>
              </w:rPr>
            </w:pPr>
            <w:r w:rsidRPr="004710DC">
              <w:rPr>
                <w:lang w:eastAsia="zh-CN"/>
              </w:rPr>
              <w:t>64QAM</w:t>
            </w:r>
          </w:p>
        </w:tc>
      </w:tr>
      <w:tr w:rsidR="00241417" w:rsidRPr="004710DC" w14:paraId="1FCEF6D5" w14:textId="77777777" w:rsidTr="003A71DE">
        <w:trPr>
          <w:cantSplit/>
          <w:jc w:val="center"/>
        </w:trPr>
        <w:tc>
          <w:tcPr>
            <w:tcW w:w="3950" w:type="dxa"/>
          </w:tcPr>
          <w:p w14:paraId="5151F4FC" w14:textId="77777777" w:rsidR="00241417" w:rsidRPr="004710DC" w:rsidRDefault="00241417" w:rsidP="003A71DE">
            <w:pPr>
              <w:pStyle w:val="TAC"/>
            </w:pPr>
            <w:r>
              <w:t>Code Rate</w:t>
            </w:r>
          </w:p>
        </w:tc>
        <w:tc>
          <w:tcPr>
            <w:tcW w:w="1076" w:type="dxa"/>
          </w:tcPr>
          <w:p w14:paraId="503053AB" w14:textId="77777777" w:rsidR="00241417" w:rsidRPr="004710DC" w:rsidRDefault="00241417" w:rsidP="003A71DE">
            <w:pPr>
              <w:pStyle w:val="TAC"/>
              <w:rPr>
                <w:lang w:eastAsia="zh-CN"/>
              </w:rPr>
            </w:pPr>
            <w:r w:rsidRPr="004710DC">
              <w:t>567/1024</w:t>
            </w:r>
          </w:p>
        </w:tc>
        <w:tc>
          <w:tcPr>
            <w:tcW w:w="1077" w:type="dxa"/>
          </w:tcPr>
          <w:p w14:paraId="6906A514" w14:textId="77777777" w:rsidR="00241417" w:rsidRPr="004710DC" w:rsidRDefault="00241417" w:rsidP="003A71DE">
            <w:pPr>
              <w:pStyle w:val="TAC"/>
              <w:rPr>
                <w:lang w:eastAsia="zh-CN"/>
              </w:rPr>
            </w:pPr>
            <w:r w:rsidRPr="004710DC">
              <w:t>567/1024</w:t>
            </w:r>
          </w:p>
        </w:tc>
        <w:tc>
          <w:tcPr>
            <w:tcW w:w="1076" w:type="dxa"/>
          </w:tcPr>
          <w:p w14:paraId="3EF7E7ED" w14:textId="77777777" w:rsidR="00241417" w:rsidRPr="004710DC" w:rsidRDefault="00241417" w:rsidP="003A71DE">
            <w:pPr>
              <w:pStyle w:val="TAC"/>
              <w:rPr>
                <w:lang w:eastAsia="zh-CN"/>
              </w:rPr>
            </w:pPr>
            <w:r w:rsidRPr="004710DC">
              <w:t>567/1024</w:t>
            </w:r>
          </w:p>
        </w:tc>
        <w:tc>
          <w:tcPr>
            <w:tcW w:w="1077" w:type="dxa"/>
          </w:tcPr>
          <w:p w14:paraId="47894C02" w14:textId="77777777" w:rsidR="00241417" w:rsidRPr="004710DC" w:rsidRDefault="00241417" w:rsidP="003A71DE">
            <w:pPr>
              <w:pStyle w:val="TAC"/>
              <w:rPr>
                <w:lang w:eastAsia="zh-CN"/>
              </w:rPr>
            </w:pPr>
            <w:r w:rsidRPr="004710DC">
              <w:t>567/1024</w:t>
            </w:r>
          </w:p>
        </w:tc>
        <w:tc>
          <w:tcPr>
            <w:tcW w:w="1077" w:type="dxa"/>
          </w:tcPr>
          <w:p w14:paraId="7935CB8E" w14:textId="77777777" w:rsidR="00241417" w:rsidRPr="004710DC" w:rsidRDefault="00241417" w:rsidP="003A71DE">
            <w:pPr>
              <w:pStyle w:val="TAC"/>
              <w:rPr>
                <w:lang w:eastAsia="zh-CN"/>
              </w:rPr>
            </w:pPr>
            <w:r w:rsidRPr="004710DC">
              <w:t>567/1024</w:t>
            </w:r>
          </w:p>
        </w:tc>
      </w:tr>
      <w:tr w:rsidR="00241417" w:rsidRPr="004710DC" w14:paraId="1A22B1AB" w14:textId="77777777" w:rsidTr="003A71DE">
        <w:trPr>
          <w:cantSplit/>
          <w:jc w:val="center"/>
        </w:trPr>
        <w:tc>
          <w:tcPr>
            <w:tcW w:w="3950" w:type="dxa"/>
          </w:tcPr>
          <w:p w14:paraId="61E000C0" w14:textId="77777777" w:rsidR="00241417" w:rsidRPr="004710DC" w:rsidRDefault="00241417" w:rsidP="003A71DE">
            <w:pPr>
              <w:pStyle w:val="TAC"/>
            </w:pPr>
            <w:r w:rsidRPr="004710DC">
              <w:t>Payload size (bits)</w:t>
            </w:r>
          </w:p>
        </w:tc>
        <w:tc>
          <w:tcPr>
            <w:tcW w:w="1076" w:type="dxa"/>
            <w:vAlign w:val="center"/>
          </w:tcPr>
          <w:p w14:paraId="6989A881" w14:textId="77777777" w:rsidR="00241417" w:rsidRPr="004710DC" w:rsidRDefault="00241417" w:rsidP="003A71DE">
            <w:pPr>
              <w:pStyle w:val="TAC"/>
            </w:pPr>
            <w:r w:rsidRPr="004710DC">
              <w:t>21000</w:t>
            </w:r>
          </w:p>
        </w:tc>
        <w:tc>
          <w:tcPr>
            <w:tcW w:w="1077" w:type="dxa"/>
            <w:vAlign w:val="center"/>
          </w:tcPr>
          <w:p w14:paraId="61124623" w14:textId="77777777" w:rsidR="00241417" w:rsidRPr="004710DC" w:rsidRDefault="00241417" w:rsidP="003A71DE">
            <w:pPr>
              <w:pStyle w:val="TAC"/>
            </w:pPr>
            <w:r w:rsidRPr="004710DC">
              <w:t>42016</w:t>
            </w:r>
          </w:p>
        </w:tc>
        <w:tc>
          <w:tcPr>
            <w:tcW w:w="1076" w:type="dxa"/>
            <w:vAlign w:val="center"/>
          </w:tcPr>
          <w:p w14:paraId="15198E6D" w14:textId="77777777" w:rsidR="00241417" w:rsidRPr="004710DC" w:rsidRDefault="00241417" w:rsidP="003A71DE">
            <w:pPr>
              <w:pStyle w:val="TAC"/>
            </w:pPr>
            <w:r w:rsidRPr="004710DC">
              <w:t>10248</w:t>
            </w:r>
          </w:p>
        </w:tc>
        <w:tc>
          <w:tcPr>
            <w:tcW w:w="1077" w:type="dxa"/>
            <w:vAlign w:val="center"/>
          </w:tcPr>
          <w:p w14:paraId="107999AF" w14:textId="77777777" w:rsidR="00241417" w:rsidRPr="004710DC" w:rsidRDefault="00241417" w:rsidP="003A71DE">
            <w:pPr>
              <w:pStyle w:val="TAC"/>
            </w:pPr>
            <w:r w:rsidRPr="004710DC">
              <w:t>21000</w:t>
            </w:r>
          </w:p>
        </w:tc>
        <w:tc>
          <w:tcPr>
            <w:tcW w:w="1077" w:type="dxa"/>
            <w:vAlign w:val="center"/>
          </w:tcPr>
          <w:p w14:paraId="240976E3" w14:textId="77777777" w:rsidR="00241417" w:rsidRPr="004710DC" w:rsidRDefault="00241417" w:rsidP="003A71DE">
            <w:pPr>
              <w:pStyle w:val="TAC"/>
            </w:pPr>
            <w:r w:rsidRPr="004710DC">
              <w:t>42016</w:t>
            </w:r>
          </w:p>
        </w:tc>
      </w:tr>
      <w:tr w:rsidR="00241417" w:rsidRPr="004710DC" w14:paraId="3933C6B9" w14:textId="77777777" w:rsidTr="003A71DE">
        <w:trPr>
          <w:cantSplit/>
          <w:jc w:val="center"/>
        </w:trPr>
        <w:tc>
          <w:tcPr>
            <w:tcW w:w="3950" w:type="dxa"/>
          </w:tcPr>
          <w:p w14:paraId="4006A05F" w14:textId="77777777" w:rsidR="00241417" w:rsidRPr="004710DC" w:rsidRDefault="00241417" w:rsidP="003A71DE">
            <w:pPr>
              <w:pStyle w:val="TAC"/>
            </w:pPr>
            <w:r w:rsidRPr="004710DC">
              <w:t>Transport block CRC (bits)</w:t>
            </w:r>
          </w:p>
        </w:tc>
        <w:tc>
          <w:tcPr>
            <w:tcW w:w="1076" w:type="dxa"/>
          </w:tcPr>
          <w:p w14:paraId="59433FA4" w14:textId="77777777" w:rsidR="00241417" w:rsidRPr="004710DC" w:rsidRDefault="00241417" w:rsidP="003A71DE">
            <w:pPr>
              <w:pStyle w:val="TAC"/>
            </w:pPr>
            <w:r w:rsidRPr="004710DC">
              <w:t>24</w:t>
            </w:r>
          </w:p>
        </w:tc>
        <w:tc>
          <w:tcPr>
            <w:tcW w:w="1077" w:type="dxa"/>
          </w:tcPr>
          <w:p w14:paraId="03ED5C56" w14:textId="77777777" w:rsidR="00241417" w:rsidRPr="004710DC" w:rsidRDefault="00241417" w:rsidP="003A71DE">
            <w:pPr>
              <w:pStyle w:val="TAC"/>
            </w:pPr>
            <w:r w:rsidRPr="004710DC">
              <w:t>24</w:t>
            </w:r>
          </w:p>
        </w:tc>
        <w:tc>
          <w:tcPr>
            <w:tcW w:w="1076" w:type="dxa"/>
          </w:tcPr>
          <w:p w14:paraId="43FBF5FB" w14:textId="77777777" w:rsidR="00241417" w:rsidRPr="004710DC" w:rsidRDefault="00241417" w:rsidP="003A71DE">
            <w:pPr>
              <w:pStyle w:val="TAC"/>
            </w:pPr>
            <w:r w:rsidRPr="004710DC">
              <w:t>24</w:t>
            </w:r>
          </w:p>
        </w:tc>
        <w:tc>
          <w:tcPr>
            <w:tcW w:w="1077" w:type="dxa"/>
          </w:tcPr>
          <w:p w14:paraId="34187481" w14:textId="77777777" w:rsidR="00241417" w:rsidRPr="004710DC" w:rsidRDefault="00241417" w:rsidP="003A71DE">
            <w:pPr>
              <w:pStyle w:val="TAC"/>
            </w:pPr>
            <w:r w:rsidRPr="004710DC">
              <w:t>24</w:t>
            </w:r>
          </w:p>
        </w:tc>
        <w:tc>
          <w:tcPr>
            <w:tcW w:w="1077" w:type="dxa"/>
          </w:tcPr>
          <w:p w14:paraId="293A35EE" w14:textId="77777777" w:rsidR="00241417" w:rsidRPr="004710DC" w:rsidRDefault="00241417" w:rsidP="003A71DE">
            <w:pPr>
              <w:pStyle w:val="TAC"/>
            </w:pPr>
            <w:r w:rsidRPr="004710DC">
              <w:t>24</w:t>
            </w:r>
          </w:p>
        </w:tc>
      </w:tr>
      <w:tr w:rsidR="00241417" w:rsidRPr="004710DC" w14:paraId="12BBF544" w14:textId="77777777" w:rsidTr="003A71DE">
        <w:trPr>
          <w:cantSplit/>
          <w:jc w:val="center"/>
        </w:trPr>
        <w:tc>
          <w:tcPr>
            <w:tcW w:w="3950" w:type="dxa"/>
          </w:tcPr>
          <w:p w14:paraId="125B8A31" w14:textId="77777777" w:rsidR="00241417" w:rsidRPr="00AD765F" w:rsidRDefault="00241417" w:rsidP="003A71DE">
            <w:pPr>
              <w:pStyle w:val="TAC"/>
            </w:pPr>
            <w:r w:rsidRPr="00AD765F">
              <w:t>Code block CRC size (bits)</w:t>
            </w:r>
          </w:p>
        </w:tc>
        <w:tc>
          <w:tcPr>
            <w:tcW w:w="1076" w:type="dxa"/>
          </w:tcPr>
          <w:p w14:paraId="5CD12B41" w14:textId="77777777" w:rsidR="00241417" w:rsidRPr="004710DC" w:rsidRDefault="00241417" w:rsidP="003A71DE">
            <w:pPr>
              <w:pStyle w:val="TAC"/>
            </w:pPr>
            <w:r w:rsidRPr="004710DC">
              <w:t>24</w:t>
            </w:r>
          </w:p>
        </w:tc>
        <w:tc>
          <w:tcPr>
            <w:tcW w:w="1077" w:type="dxa"/>
          </w:tcPr>
          <w:p w14:paraId="5F7531F4" w14:textId="77777777" w:rsidR="00241417" w:rsidRPr="004710DC" w:rsidRDefault="00241417" w:rsidP="003A71DE">
            <w:pPr>
              <w:pStyle w:val="TAC"/>
            </w:pPr>
            <w:r w:rsidRPr="004710DC">
              <w:t>24</w:t>
            </w:r>
          </w:p>
        </w:tc>
        <w:tc>
          <w:tcPr>
            <w:tcW w:w="1076" w:type="dxa"/>
          </w:tcPr>
          <w:p w14:paraId="2E0A5993" w14:textId="77777777" w:rsidR="00241417" w:rsidRPr="004710DC" w:rsidRDefault="00241417" w:rsidP="003A71DE">
            <w:pPr>
              <w:pStyle w:val="TAC"/>
            </w:pPr>
            <w:r w:rsidRPr="004710DC">
              <w:t>24</w:t>
            </w:r>
          </w:p>
        </w:tc>
        <w:tc>
          <w:tcPr>
            <w:tcW w:w="1077" w:type="dxa"/>
          </w:tcPr>
          <w:p w14:paraId="5E1B2083" w14:textId="77777777" w:rsidR="00241417" w:rsidRPr="004710DC" w:rsidRDefault="00241417" w:rsidP="003A71DE">
            <w:pPr>
              <w:pStyle w:val="TAC"/>
            </w:pPr>
            <w:r w:rsidRPr="004710DC">
              <w:t>24</w:t>
            </w:r>
          </w:p>
        </w:tc>
        <w:tc>
          <w:tcPr>
            <w:tcW w:w="1077" w:type="dxa"/>
          </w:tcPr>
          <w:p w14:paraId="51BB1FB3" w14:textId="77777777" w:rsidR="00241417" w:rsidRPr="004710DC" w:rsidRDefault="00241417" w:rsidP="003A71DE">
            <w:pPr>
              <w:pStyle w:val="TAC"/>
            </w:pPr>
            <w:r w:rsidRPr="004710DC">
              <w:t>24</w:t>
            </w:r>
          </w:p>
        </w:tc>
      </w:tr>
      <w:tr w:rsidR="00241417" w:rsidRPr="004710DC" w14:paraId="7BC8FF27" w14:textId="77777777" w:rsidTr="003A71DE">
        <w:trPr>
          <w:cantSplit/>
          <w:jc w:val="center"/>
        </w:trPr>
        <w:tc>
          <w:tcPr>
            <w:tcW w:w="3950" w:type="dxa"/>
          </w:tcPr>
          <w:p w14:paraId="4FBCE002" w14:textId="77777777" w:rsidR="00241417" w:rsidRPr="00AD765F" w:rsidRDefault="00241417" w:rsidP="003A71DE">
            <w:pPr>
              <w:pStyle w:val="TAC"/>
            </w:pPr>
            <w:r w:rsidRPr="00AD765F">
              <w:t>Number of code blocks - C</w:t>
            </w:r>
          </w:p>
        </w:tc>
        <w:tc>
          <w:tcPr>
            <w:tcW w:w="1076" w:type="dxa"/>
            <w:vAlign w:val="center"/>
          </w:tcPr>
          <w:p w14:paraId="1BEA904F" w14:textId="77777777" w:rsidR="00241417" w:rsidRPr="004710DC" w:rsidRDefault="00241417" w:rsidP="003A71DE">
            <w:pPr>
              <w:pStyle w:val="TAC"/>
            </w:pPr>
            <w:r w:rsidRPr="004710DC">
              <w:t>3</w:t>
            </w:r>
          </w:p>
        </w:tc>
        <w:tc>
          <w:tcPr>
            <w:tcW w:w="1077" w:type="dxa"/>
            <w:vAlign w:val="center"/>
          </w:tcPr>
          <w:p w14:paraId="10AEE98A" w14:textId="77777777" w:rsidR="00241417" w:rsidRPr="004710DC" w:rsidRDefault="00241417" w:rsidP="003A71DE">
            <w:pPr>
              <w:pStyle w:val="TAC"/>
            </w:pPr>
            <w:r w:rsidRPr="004710DC">
              <w:t>5</w:t>
            </w:r>
          </w:p>
        </w:tc>
        <w:tc>
          <w:tcPr>
            <w:tcW w:w="1076" w:type="dxa"/>
          </w:tcPr>
          <w:p w14:paraId="21420783" w14:textId="77777777" w:rsidR="00241417" w:rsidRPr="004710DC" w:rsidRDefault="00241417" w:rsidP="003A71DE">
            <w:pPr>
              <w:pStyle w:val="TAC"/>
            </w:pPr>
            <w:r w:rsidRPr="004710DC">
              <w:t>2</w:t>
            </w:r>
          </w:p>
        </w:tc>
        <w:tc>
          <w:tcPr>
            <w:tcW w:w="1077" w:type="dxa"/>
            <w:vAlign w:val="center"/>
          </w:tcPr>
          <w:p w14:paraId="7D26DECA" w14:textId="77777777" w:rsidR="00241417" w:rsidRPr="004710DC" w:rsidRDefault="00241417" w:rsidP="003A71DE">
            <w:pPr>
              <w:pStyle w:val="TAC"/>
            </w:pPr>
            <w:r w:rsidRPr="004710DC">
              <w:t>3</w:t>
            </w:r>
          </w:p>
        </w:tc>
        <w:tc>
          <w:tcPr>
            <w:tcW w:w="1077" w:type="dxa"/>
            <w:vAlign w:val="center"/>
          </w:tcPr>
          <w:p w14:paraId="573DE00C" w14:textId="77777777" w:rsidR="00241417" w:rsidRPr="004710DC" w:rsidRDefault="00241417" w:rsidP="003A71DE">
            <w:pPr>
              <w:pStyle w:val="TAC"/>
            </w:pPr>
            <w:r w:rsidRPr="004710DC">
              <w:t>5</w:t>
            </w:r>
          </w:p>
        </w:tc>
      </w:tr>
      <w:tr w:rsidR="00241417" w:rsidRPr="004710DC" w14:paraId="3F15EDD1" w14:textId="77777777" w:rsidTr="003A71DE">
        <w:trPr>
          <w:cantSplit/>
          <w:jc w:val="center"/>
        </w:trPr>
        <w:tc>
          <w:tcPr>
            <w:tcW w:w="3950" w:type="dxa"/>
          </w:tcPr>
          <w:p w14:paraId="68F1705B" w14:textId="77777777" w:rsidR="00241417" w:rsidRPr="00AD765F" w:rsidRDefault="00241417" w:rsidP="003A71DE">
            <w:pPr>
              <w:pStyle w:val="TAC"/>
              <w:rPr>
                <w:lang w:eastAsia="zh-CN"/>
              </w:rPr>
            </w:pPr>
            <w:r w:rsidRPr="00AD765F">
              <w:t>Code block size</w:t>
            </w:r>
            <w:r w:rsidRPr="00AD765F">
              <w:rPr>
                <w:lang w:eastAsia="zh-CN"/>
              </w:rPr>
              <w:t xml:space="preserve"> </w:t>
            </w:r>
            <w:r w:rsidRPr="00AD765F">
              <w:rPr>
                <w:rFonts w:eastAsia="Malgun Gothic" w:cs="Arial"/>
              </w:rPr>
              <w:t>including CRC</w:t>
            </w:r>
            <w:r w:rsidRPr="00AD765F">
              <w:t xml:space="preserve"> (bits)</w:t>
            </w:r>
            <w:r w:rsidRPr="00AD765F">
              <w:rPr>
                <w:lang w:eastAsia="zh-CN"/>
              </w:rPr>
              <w:t xml:space="preserve"> </w:t>
            </w:r>
            <w:r w:rsidRPr="00AD765F">
              <w:rPr>
                <w:rFonts w:cs="Arial"/>
                <w:lang w:eastAsia="zh-CN"/>
              </w:rPr>
              <w:t>(Note 2)</w:t>
            </w:r>
          </w:p>
        </w:tc>
        <w:tc>
          <w:tcPr>
            <w:tcW w:w="1076" w:type="dxa"/>
            <w:vAlign w:val="center"/>
          </w:tcPr>
          <w:p w14:paraId="11703033" w14:textId="77777777" w:rsidR="00241417" w:rsidRPr="004710DC" w:rsidRDefault="00241417" w:rsidP="003A71DE">
            <w:pPr>
              <w:pStyle w:val="TAC"/>
              <w:rPr>
                <w:lang w:eastAsia="zh-CN"/>
              </w:rPr>
            </w:pPr>
            <w:r w:rsidRPr="004710DC">
              <w:rPr>
                <w:lang w:eastAsia="zh-CN"/>
              </w:rPr>
              <w:t>7032</w:t>
            </w:r>
          </w:p>
        </w:tc>
        <w:tc>
          <w:tcPr>
            <w:tcW w:w="1077" w:type="dxa"/>
            <w:vAlign w:val="center"/>
          </w:tcPr>
          <w:p w14:paraId="17F5BF8A" w14:textId="77777777" w:rsidR="00241417" w:rsidRPr="004710DC" w:rsidRDefault="00241417" w:rsidP="003A71DE">
            <w:pPr>
              <w:pStyle w:val="TAC"/>
              <w:rPr>
                <w:lang w:eastAsia="zh-CN"/>
              </w:rPr>
            </w:pPr>
            <w:r w:rsidRPr="004710DC">
              <w:rPr>
                <w:lang w:eastAsia="zh-CN"/>
              </w:rPr>
              <w:t>8432</w:t>
            </w:r>
          </w:p>
        </w:tc>
        <w:tc>
          <w:tcPr>
            <w:tcW w:w="1076" w:type="dxa"/>
            <w:vAlign w:val="center"/>
          </w:tcPr>
          <w:p w14:paraId="49C1CEA6" w14:textId="77777777" w:rsidR="00241417" w:rsidRPr="004710DC" w:rsidRDefault="00241417" w:rsidP="003A71DE">
            <w:pPr>
              <w:pStyle w:val="TAC"/>
              <w:rPr>
                <w:lang w:eastAsia="zh-CN"/>
              </w:rPr>
            </w:pPr>
            <w:r w:rsidRPr="004710DC">
              <w:rPr>
                <w:lang w:eastAsia="zh-CN"/>
              </w:rPr>
              <w:t>5160</w:t>
            </w:r>
          </w:p>
        </w:tc>
        <w:tc>
          <w:tcPr>
            <w:tcW w:w="1077" w:type="dxa"/>
            <w:vAlign w:val="center"/>
          </w:tcPr>
          <w:p w14:paraId="2B219504" w14:textId="77777777" w:rsidR="00241417" w:rsidRPr="004710DC" w:rsidRDefault="00241417" w:rsidP="003A71DE">
            <w:pPr>
              <w:pStyle w:val="TAC"/>
              <w:rPr>
                <w:lang w:eastAsia="zh-CN"/>
              </w:rPr>
            </w:pPr>
            <w:r w:rsidRPr="004710DC">
              <w:rPr>
                <w:lang w:eastAsia="zh-CN"/>
              </w:rPr>
              <w:t>7032</w:t>
            </w:r>
          </w:p>
        </w:tc>
        <w:tc>
          <w:tcPr>
            <w:tcW w:w="1077" w:type="dxa"/>
            <w:vAlign w:val="center"/>
          </w:tcPr>
          <w:p w14:paraId="425E84B5" w14:textId="77777777" w:rsidR="00241417" w:rsidRPr="004710DC" w:rsidRDefault="00241417" w:rsidP="003A71DE">
            <w:pPr>
              <w:pStyle w:val="TAC"/>
              <w:rPr>
                <w:lang w:eastAsia="zh-CN"/>
              </w:rPr>
            </w:pPr>
            <w:r w:rsidRPr="004710DC">
              <w:rPr>
                <w:lang w:eastAsia="zh-CN"/>
              </w:rPr>
              <w:t>8432</w:t>
            </w:r>
          </w:p>
        </w:tc>
      </w:tr>
      <w:tr w:rsidR="00241417" w:rsidRPr="004710DC" w14:paraId="503D99A5" w14:textId="77777777" w:rsidTr="003A71DE">
        <w:trPr>
          <w:cantSplit/>
          <w:jc w:val="center"/>
        </w:trPr>
        <w:tc>
          <w:tcPr>
            <w:tcW w:w="3950" w:type="dxa"/>
          </w:tcPr>
          <w:p w14:paraId="47515181" w14:textId="77777777" w:rsidR="00241417" w:rsidRPr="00AD765F" w:rsidRDefault="00241417" w:rsidP="003A71DE">
            <w:pPr>
              <w:pStyle w:val="TAC"/>
              <w:rPr>
                <w:lang w:eastAsia="zh-CN"/>
              </w:rPr>
            </w:pPr>
            <w:r w:rsidRPr="00AD765F">
              <w:t xml:space="preserve">Total number of bits per </w:t>
            </w:r>
            <w:r w:rsidRPr="00AD765F">
              <w:rPr>
                <w:lang w:eastAsia="zh-CN"/>
              </w:rPr>
              <w:t>slot</w:t>
            </w:r>
          </w:p>
        </w:tc>
        <w:tc>
          <w:tcPr>
            <w:tcW w:w="1076" w:type="dxa"/>
            <w:vAlign w:val="center"/>
          </w:tcPr>
          <w:p w14:paraId="15B08EE4" w14:textId="77777777" w:rsidR="00241417" w:rsidRPr="004710DC" w:rsidRDefault="00241417" w:rsidP="003A71DE">
            <w:pPr>
              <w:pStyle w:val="TAC"/>
            </w:pPr>
            <w:r w:rsidRPr="004710DC">
              <w:t>38016</w:t>
            </w:r>
          </w:p>
        </w:tc>
        <w:tc>
          <w:tcPr>
            <w:tcW w:w="1077" w:type="dxa"/>
            <w:vAlign w:val="center"/>
          </w:tcPr>
          <w:p w14:paraId="3166902E" w14:textId="77777777" w:rsidR="00241417" w:rsidRPr="004710DC" w:rsidRDefault="00241417" w:rsidP="003A71DE">
            <w:pPr>
              <w:pStyle w:val="TAC"/>
            </w:pPr>
            <w:r w:rsidRPr="004710DC">
              <w:t>76032</w:t>
            </w:r>
          </w:p>
        </w:tc>
        <w:tc>
          <w:tcPr>
            <w:tcW w:w="1076" w:type="dxa"/>
            <w:vAlign w:val="center"/>
          </w:tcPr>
          <w:p w14:paraId="46B5F5E6" w14:textId="77777777" w:rsidR="00241417" w:rsidRPr="004710DC" w:rsidRDefault="00241417" w:rsidP="003A71DE">
            <w:pPr>
              <w:pStyle w:val="TAC"/>
            </w:pPr>
            <w:r w:rsidRPr="004710DC">
              <w:t>18432</w:t>
            </w:r>
          </w:p>
        </w:tc>
        <w:tc>
          <w:tcPr>
            <w:tcW w:w="1077" w:type="dxa"/>
            <w:vAlign w:val="center"/>
          </w:tcPr>
          <w:p w14:paraId="4DA75371" w14:textId="77777777" w:rsidR="00241417" w:rsidRPr="004710DC" w:rsidRDefault="00241417" w:rsidP="003A71DE">
            <w:pPr>
              <w:pStyle w:val="TAC"/>
            </w:pPr>
            <w:r w:rsidRPr="004710DC">
              <w:t>38016</w:t>
            </w:r>
          </w:p>
        </w:tc>
        <w:tc>
          <w:tcPr>
            <w:tcW w:w="1077" w:type="dxa"/>
            <w:vAlign w:val="center"/>
          </w:tcPr>
          <w:p w14:paraId="2738FC8E" w14:textId="77777777" w:rsidR="00241417" w:rsidRPr="004710DC" w:rsidRDefault="00241417" w:rsidP="003A71DE">
            <w:pPr>
              <w:pStyle w:val="TAC"/>
            </w:pPr>
            <w:r w:rsidRPr="004710DC">
              <w:t>76032</w:t>
            </w:r>
          </w:p>
        </w:tc>
      </w:tr>
      <w:tr w:rsidR="00241417" w:rsidRPr="004710DC" w14:paraId="3AD9B6A6" w14:textId="77777777" w:rsidTr="003A71DE">
        <w:trPr>
          <w:cantSplit/>
          <w:jc w:val="center"/>
        </w:trPr>
        <w:tc>
          <w:tcPr>
            <w:tcW w:w="3950" w:type="dxa"/>
          </w:tcPr>
          <w:p w14:paraId="663C2269" w14:textId="77777777" w:rsidR="00241417" w:rsidRPr="004710DC" w:rsidRDefault="00241417" w:rsidP="003A71DE">
            <w:pPr>
              <w:pStyle w:val="TAC"/>
              <w:rPr>
                <w:lang w:eastAsia="zh-CN"/>
              </w:rPr>
            </w:pPr>
            <w:r w:rsidRPr="004710DC">
              <w:t xml:space="preserve">Total symbols per </w:t>
            </w:r>
            <w:r w:rsidRPr="004710DC">
              <w:rPr>
                <w:lang w:eastAsia="zh-CN"/>
              </w:rPr>
              <w:t>slot</w:t>
            </w:r>
          </w:p>
        </w:tc>
        <w:tc>
          <w:tcPr>
            <w:tcW w:w="1076" w:type="dxa"/>
          </w:tcPr>
          <w:p w14:paraId="2C00FD53" w14:textId="77777777" w:rsidR="00241417" w:rsidRPr="004710DC" w:rsidRDefault="00241417" w:rsidP="003A71DE">
            <w:pPr>
              <w:pStyle w:val="TAC"/>
            </w:pPr>
            <w:r w:rsidRPr="004710DC">
              <w:t>6336</w:t>
            </w:r>
          </w:p>
        </w:tc>
        <w:tc>
          <w:tcPr>
            <w:tcW w:w="1077" w:type="dxa"/>
          </w:tcPr>
          <w:p w14:paraId="3D031133" w14:textId="77777777" w:rsidR="00241417" w:rsidRPr="004710DC" w:rsidRDefault="00241417" w:rsidP="003A71DE">
            <w:pPr>
              <w:pStyle w:val="TAC"/>
            </w:pPr>
            <w:r w:rsidRPr="004710DC">
              <w:t>12672</w:t>
            </w:r>
          </w:p>
        </w:tc>
        <w:tc>
          <w:tcPr>
            <w:tcW w:w="1076" w:type="dxa"/>
          </w:tcPr>
          <w:p w14:paraId="39B7A646" w14:textId="77777777" w:rsidR="00241417" w:rsidRPr="004710DC" w:rsidRDefault="00241417" w:rsidP="003A71DE">
            <w:pPr>
              <w:pStyle w:val="TAC"/>
            </w:pPr>
            <w:r w:rsidRPr="004710DC">
              <w:t>3072</w:t>
            </w:r>
          </w:p>
        </w:tc>
        <w:tc>
          <w:tcPr>
            <w:tcW w:w="1077" w:type="dxa"/>
          </w:tcPr>
          <w:p w14:paraId="55728F9D" w14:textId="77777777" w:rsidR="00241417" w:rsidRPr="004710DC" w:rsidRDefault="00241417" w:rsidP="003A71DE">
            <w:pPr>
              <w:pStyle w:val="TAC"/>
            </w:pPr>
            <w:r w:rsidRPr="004710DC">
              <w:t>6336</w:t>
            </w:r>
          </w:p>
        </w:tc>
        <w:tc>
          <w:tcPr>
            <w:tcW w:w="1077" w:type="dxa"/>
          </w:tcPr>
          <w:p w14:paraId="26FC5F1E" w14:textId="77777777" w:rsidR="00241417" w:rsidRPr="004710DC" w:rsidRDefault="00241417" w:rsidP="003A71DE">
            <w:pPr>
              <w:pStyle w:val="TAC"/>
            </w:pPr>
            <w:r w:rsidRPr="004710DC">
              <w:t>12672</w:t>
            </w:r>
          </w:p>
        </w:tc>
      </w:tr>
      <w:tr w:rsidR="00241417" w:rsidRPr="00AD765F" w14:paraId="485219EC" w14:textId="77777777" w:rsidTr="003A71DE">
        <w:trPr>
          <w:cantSplit/>
          <w:jc w:val="center"/>
        </w:trPr>
        <w:tc>
          <w:tcPr>
            <w:tcW w:w="9333" w:type="dxa"/>
            <w:gridSpan w:val="6"/>
          </w:tcPr>
          <w:p w14:paraId="4D40D359" w14:textId="77777777" w:rsidR="00241417" w:rsidRPr="00AD765F" w:rsidRDefault="00241417" w:rsidP="003A71DE">
            <w:pPr>
              <w:pStyle w:val="TAN"/>
              <w:rPr>
                <w:lang w:eastAsia="zh-CN"/>
              </w:rPr>
            </w:pPr>
            <w:r w:rsidRPr="00AD765F">
              <w:t>NOTE 1:</w:t>
            </w:r>
            <w:r w:rsidRPr="00AD765F">
              <w:tab/>
            </w:r>
            <w:r w:rsidRPr="00AD765F">
              <w:rPr>
                <w:i/>
              </w:rPr>
              <w:t xml:space="preserve">DM-RS configuration type </w:t>
            </w:r>
            <w:r w:rsidRPr="00AD765F">
              <w:t xml:space="preserve">= 1 with </w:t>
            </w:r>
            <w:r w:rsidRPr="00AD765F">
              <w:rPr>
                <w:i/>
              </w:rPr>
              <w:t>DM-RS duration = single-symbol DM-RS</w:t>
            </w:r>
            <w:r w:rsidRPr="00AD765F">
              <w:rPr>
                <w:lang w:eastAsia="zh-CN"/>
              </w:rPr>
              <w:t xml:space="preserve"> and the number of DM-RS CDM groups without data is 2</w:t>
            </w:r>
            <w:r w:rsidRPr="00AD765F">
              <w:t xml:space="preserve">, </w:t>
            </w:r>
            <w:r w:rsidRPr="00AD765F">
              <w:rPr>
                <w:i/>
              </w:rPr>
              <w:t>Additional DM-RS position = pos1</w:t>
            </w:r>
            <w:r w:rsidRPr="00AD765F">
              <w:t xml:space="preserve"> with </w:t>
            </w:r>
            <w:r w:rsidRPr="00AD765F">
              <w:rPr>
                <w:i/>
                <w:lang w:eastAsia="zh-CN"/>
              </w:rPr>
              <w:t>l</w:t>
            </w:r>
            <w:r w:rsidRPr="00AD765F">
              <w:rPr>
                <w:i/>
                <w:vertAlign w:val="subscript"/>
                <w:lang w:eastAsia="zh-CN"/>
              </w:rPr>
              <w:t>0</w:t>
            </w:r>
            <w:r w:rsidRPr="00AD765F">
              <w:t xml:space="preserve">= </w:t>
            </w:r>
            <w:r w:rsidRPr="00AD765F">
              <w:rPr>
                <w:lang w:eastAsia="zh-CN"/>
              </w:rPr>
              <w:t>0</w:t>
            </w:r>
            <w:r w:rsidRPr="00AD765F">
              <w:t xml:space="preserve"> </w:t>
            </w:r>
            <w:r w:rsidRPr="00AD765F">
              <w:rPr>
                <w:lang w:eastAsia="zh-CN"/>
              </w:rPr>
              <w:t xml:space="preserve">and </w:t>
            </w:r>
            <w:r w:rsidRPr="00AD765F">
              <w:rPr>
                <w:i/>
                <w:lang w:eastAsia="zh-CN"/>
              </w:rPr>
              <w:t xml:space="preserve">l </w:t>
            </w:r>
            <w:r w:rsidRPr="00AD765F">
              <w:rPr>
                <w:lang w:eastAsia="zh-CN"/>
              </w:rPr>
              <w:t>=8</w:t>
            </w:r>
            <w:r w:rsidRPr="00AD765F">
              <w:t xml:space="preserve"> as per Table 6.4.1.1.3-3 of TS 38.211 [8].</w:t>
            </w:r>
          </w:p>
          <w:p w14:paraId="4AF8DD64" w14:textId="77777777" w:rsidR="00241417" w:rsidRPr="00AD765F" w:rsidRDefault="00241417" w:rsidP="003A71DE">
            <w:pPr>
              <w:pStyle w:val="TAN"/>
              <w:rPr>
                <w:lang w:eastAsia="zh-CN"/>
              </w:rPr>
            </w:pPr>
            <w:r w:rsidRPr="00AD765F">
              <w:t xml:space="preserve">NOTE </w:t>
            </w:r>
            <w:r w:rsidRPr="00AD765F">
              <w:rPr>
                <w:lang w:eastAsia="zh-CN"/>
              </w:rPr>
              <w:t>2</w:t>
            </w:r>
            <w:r w:rsidRPr="00AD765F">
              <w:t>:</w:t>
            </w:r>
            <w:r w:rsidRPr="00AD765F">
              <w:tab/>
              <w:t>Code block size including CRC (bits)</w:t>
            </w:r>
            <w:r w:rsidRPr="00AD765F">
              <w:rPr>
                <w:lang w:eastAsia="zh-CN"/>
              </w:rPr>
              <w:t xml:space="preserve"> equals to </w:t>
            </w:r>
            <w:r w:rsidRPr="00AD765F">
              <w:rPr>
                <w:i/>
                <w:lang w:eastAsia="zh-CN"/>
              </w:rPr>
              <w:t>K'</w:t>
            </w:r>
            <w:r w:rsidRPr="00AD765F">
              <w:rPr>
                <w:rFonts w:hint="eastAsia"/>
                <w:lang w:eastAsia="zh-CN"/>
              </w:rPr>
              <w:t xml:space="preserve"> in sub-clause </w:t>
            </w:r>
            <w:r w:rsidRPr="00AD765F">
              <w:rPr>
                <w:lang w:eastAsia="zh-CN"/>
              </w:rPr>
              <w:t>5.2.2 of TS 38.212 [9].</w:t>
            </w:r>
          </w:p>
        </w:tc>
      </w:tr>
    </w:tbl>
    <w:p w14:paraId="10B94F59" w14:textId="77777777" w:rsidR="00241417" w:rsidRPr="00AD765F" w:rsidRDefault="00241417" w:rsidP="00241417">
      <w:pPr>
        <w:rPr>
          <w:noProof/>
          <w:lang w:eastAsia="zh-CN"/>
        </w:rPr>
      </w:pPr>
    </w:p>
    <w:p w14:paraId="3025D04A" w14:textId="77777777" w:rsidR="00241417" w:rsidRPr="004710DC" w:rsidRDefault="00241417" w:rsidP="00241417">
      <w:pPr>
        <w:pStyle w:val="Heading3"/>
      </w:pPr>
      <w:bookmarkStart w:id="9237" w:name="_Toc21127810"/>
      <w:bookmarkStart w:id="9238" w:name="_Toc29812019"/>
      <w:bookmarkStart w:id="9239" w:name="_Toc36817571"/>
      <w:bookmarkStart w:id="9240" w:name="_Toc37260494"/>
      <w:bookmarkStart w:id="9241" w:name="_Toc37267882"/>
      <w:bookmarkStart w:id="9242" w:name="_Toc44712489"/>
      <w:bookmarkStart w:id="9243" w:name="_Toc45893801"/>
      <w:bookmarkStart w:id="9244" w:name="_Toc53178507"/>
      <w:bookmarkStart w:id="9245" w:name="_Toc53178958"/>
      <w:bookmarkStart w:id="9246" w:name="_Toc61178218"/>
      <w:bookmarkStart w:id="9247" w:name="_Toc61178690"/>
      <w:bookmarkStart w:id="9248" w:name="_Toc74583578"/>
      <w:bookmarkStart w:id="9249" w:name="_Toc76542391"/>
      <w:bookmarkStart w:id="9250" w:name="_Toc82450373"/>
      <w:bookmarkStart w:id="9251" w:name="_Toc82451021"/>
      <w:bookmarkStart w:id="9252" w:name="_Toc89949410"/>
      <w:bookmarkStart w:id="9253" w:name="_Toc98755799"/>
      <w:bookmarkStart w:id="9254" w:name="_Toc98763391"/>
      <w:bookmarkStart w:id="9255" w:name="_Toc106184320"/>
      <w:r w:rsidRPr="004710DC">
        <w:t>A.</w:t>
      </w:r>
      <w:r>
        <w:t>2.5</w:t>
      </w:r>
      <w:r w:rsidRPr="004710DC">
        <w:tab/>
        <w:t>PRACH Test preambles</w:t>
      </w:r>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p>
    <w:p w14:paraId="35B4813F" w14:textId="77777777" w:rsidR="00241417" w:rsidRPr="00AD765F" w:rsidRDefault="00241417" w:rsidP="00241417">
      <w:pPr>
        <w:pStyle w:val="TH"/>
        <w:rPr>
          <w:lang w:eastAsia="zh-CN"/>
        </w:rPr>
      </w:pPr>
      <w:r w:rsidRPr="00AD765F">
        <w:t>Table A.2.5-1: Test preambles for Normal Mode</w:t>
      </w:r>
      <w:r w:rsidRPr="00AD765F">
        <w:rPr>
          <w:lang w:eastAsia="zh-CN"/>
        </w:rPr>
        <w:t xml:space="preserve"> 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73"/>
        <w:gridCol w:w="1167"/>
        <w:gridCol w:w="554"/>
        <w:gridCol w:w="2268"/>
        <w:gridCol w:w="567"/>
      </w:tblGrid>
      <w:tr w:rsidR="00241417" w:rsidRPr="004710DC" w14:paraId="2AFE9549" w14:textId="77777777" w:rsidTr="003A71DE">
        <w:trPr>
          <w:cantSplit/>
          <w:jc w:val="center"/>
        </w:trPr>
        <w:tc>
          <w:tcPr>
            <w:tcW w:w="1373" w:type="dxa"/>
          </w:tcPr>
          <w:p w14:paraId="68CF29F9" w14:textId="77777777" w:rsidR="00241417" w:rsidRPr="004710DC" w:rsidRDefault="00241417" w:rsidP="003A71DE">
            <w:pPr>
              <w:pStyle w:val="TAH"/>
            </w:pPr>
            <w:r w:rsidRPr="004710DC">
              <w:t>Burst format</w:t>
            </w:r>
          </w:p>
        </w:tc>
        <w:tc>
          <w:tcPr>
            <w:tcW w:w="1167" w:type="dxa"/>
          </w:tcPr>
          <w:p w14:paraId="6E8A185C" w14:textId="77777777" w:rsidR="00241417" w:rsidRPr="004710DC" w:rsidRDefault="00241417" w:rsidP="003A71DE">
            <w:pPr>
              <w:pStyle w:val="TAH"/>
            </w:pPr>
            <w:r w:rsidRPr="004710DC">
              <w:t>SCS (kHz)</w:t>
            </w:r>
          </w:p>
        </w:tc>
        <w:tc>
          <w:tcPr>
            <w:tcW w:w="554" w:type="dxa"/>
          </w:tcPr>
          <w:p w14:paraId="42D578A2" w14:textId="77777777" w:rsidR="00241417" w:rsidRPr="004710DC" w:rsidRDefault="00241417" w:rsidP="003A71DE">
            <w:pPr>
              <w:pStyle w:val="TAH"/>
            </w:pPr>
            <w:r w:rsidRPr="004710DC">
              <w:t>Ncs</w:t>
            </w:r>
          </w:p>
        </w:tc>
        <w:tc>
          <w:tcPr>
            <w:tcW w:w="2268" w:type="dxa"/>
          </w:tcPr>
          <w:p w14:paraId="1281B865" w14:textId="77777777" w:rsidR="00241417" w:rsidRPr="004710DC" w:rsidRDefault="00241417" w:rsidP="003A71DE">
            <w:pPr>
              <w:pStyle w:val="TAH"/>
            </w:pPr>
            <w:r w:rsidRPr="004710DC">
              <w:t>Logical sequence index</w:t>
            </w:r>
          </w:p>
        </w:tc>
        <w:tc>
          <w:tcPr>
            <w:tcW w:w="567" w:type="dxa"/>
          </w:tcPr>
          <w:p w14:paraId="158BB07E" w14:textId="77777777" w:rsidR="00241417" w:rsidRPr="004710DC" w:rsidRDefault="00241417" w:rsidP="003A71DE">
            <w:pPr>
              <w:pStyle w:val="TAH"/>
            </w:pPr>
            <w:r w:rsidRPr="004710DC">
              <w:t>v</w:t>
            </w:r>
          </w:p>
        </w:tc>
      </w:tr>
      <w:tr w:rsidR="00241417" w:rsidRPr="004710DC" w14:paraId="488AAC8D" w14:textId="77777777" w:rsidTr="003A71DE">
        <w:trPr>
          <w:cantSplit/>
          <w:jc w:val="center"/>
        </w:trPr>
        <w:tc>
          <w:tcPr>
            <w:tcW w:w="1373" w:type="dxa"/>
            <w:tcBorders>
              <w:bottom w:val="single" w:sz="4" w:space="0" w:color="auto"/>
            </w:tcBorders>
          </w:tcPr>
          <w:p w14:paraId="03B1DE40" w14:textId="77777777" w:rsidR="00241417" w:rsidRPr="004710DC" w:rsidRDefault="00241417" w:rsidP="003A71DE">
            <w:pPr>
              <w:pStyle w:val="TAC"/>
            </w:pPr>
            <w:r w:rsidRPr="004710DC">
              <w:t>0</w:t>
            </w:r>
          </w:p>
        </w:tc>
        <w:tc>
          <w:tcPr>
            <w:tcW w:w="1167" w:type="dxa"/>
          </w:tcPr>
          <w:p w14:paraId="59A7F0B9" w14:textId="77777777" w:rsidR="00241417" w:rsidRPr="004710DC" w:rsidRDefault="00241417" w:rsidP="003A71DE">
            <w:pPr>
              <w:pStyle w:val="TAC"/>
            </w:pPr>
            <w:r w:rsidRPr="004710DC">
              <w:rPr>
                <w:lang w:eastAsia="zh-CN"/>
              </w:rPr>
              <w:t>1.25</w:t>
            </w:r>
          </w:p>
        </w:tc>
        <w:tc>
          <w:tcPr>
            <w:tcW w:w="554" w:type="dxa"/>
          </w:tcPr>
          <w:p w14:paraId="1ACAE13F" w14:textId="77777777" w:rsidR="00241417" w:rsidRPr="004710DC" w:rsidRDefault="00241417" w:rsidP="003A71DE">
            <w:pPr>
              <w:pStyle w:val="TAC"/>
            </w:pPr>
            <w:r w:rsidRPr="004710DC">
              <w:t>13</w:t>
            </w:r>
          </w:p>
        </w:tc>
        <w:tc>
          <w:tcPr>
            <w:tcW w:w="2268" w:type="dxa"/>
          </w:tcPr>
          <w:p w14:paraId="742FE0E9" w14:textId="77777777" w:rsidR="00241417" w:rsidRPr="004710DC" w:rsidRDefault="00241417" w:rsidP="003A71DE">
            <w:pPr>
              <w:pStyle w:val="TAC"/>
            </w:pPr>
            <w:r w:rsidRPr="004710DC">
              <w:t>22</w:t>
            </w:r>
          </w:p>
        </w:tc>
        <w:tc>
          <w:tcPr>
            <w:tcW w:w="567" w:type="dxa"/>
          </w:tcPr>
          <w:p w14:paraId="6BD43F3B" w14:textId="77777777" w:rsidR="00241417" w:rsidRPr="004710DC" w:rsidRDefault="00241417" w:rsidP="003A71DE">
            <w:pPr>
              <w:pStyle w:val="TAC"/>
            </w:pPr>
            <w:r w:rsidRPr="004710DC">
              <w:t>32</w:t>
            </w:r>
          </w:p>
        </w:tc>
      </w:tr>
      <w:tr w:rsidR="00241417" w:rsidRPr="004710DC" w14:paraId="38DBD808" w14:textId="77777777" w:rsidTr="003A71DE">
        <w:trPr>
          <w:cantSplit/>
          <w:jc w:val="center"/>
        </w:trPr>
        <w:tc>
          <w:tcPr>
            <w:tcW w:w="1373" w:type="dxa"/>
            <w:tcBorders>
              <w:bottom w:val="nil"/>
            </w:tcBorders>
          </w:tcPr>
          <w:p w14:paraId="0B0A6947" w14:textId="77777777" w:rsidR="00241417" w:rsidRPr="004710DC" w:rsidRDefault="00241417" w:rsidP="003A71DE">
            <w:pPr>
              <w:pStyle w:val="TAC"/>
            </w:pPr>
            <w:r w:rsidRPr="004710DC">
              <w:rPr>
                <w:lang w:eastAsia="zh-CN"/>
              </w:rPr>
              <w:t>A1, A2, A3,</w:t>
            </w:r>
          </w:p>
        </w:tc>
        <w:tc>
          <w:tcPr>
            <w:tcW w:w="1167" w:type="dxa"/>
          </w:tcPr>
          <w:p w14:paraId="29758A48" w14:textId="77777777" w:rsidR="00241417" w:rsidRPr="004710DC" w:rsidRDefault="00241417" w:rsidP="003A71DE">
            <w:pPr>
              <w:pStyle w:val="TAC"/>
              <w:rPr>
                <w:lang w:eastAsia="zh-CN"/>
              </w:rPr>
            </w:pPr>
            <w:r w:rsidRPr="004710DC">
              <w:rPr>
                <w:lang w:eastAsia="zh-CN"/>
              </w:rPr>
              <w:t>15</w:t>
            </w:r>
          </w:p>
        </w:tc>
        <w:tc>
          <w:tcPr>
            <w:tcW w:w="554" w:type="dxa"/>
          </w:tcPr>
          <w:p w14:paraId="1D46BC8F" w14:textId="77777777" w:rsidR="00241417" w:rsidRPr="004710DC" w:rsidRDefault="00241417" w:rsidP="003A71DE">
            <w:pPr>
              <w:pStyle w:val="TAC"/>
            </w:pPr>
            <w:r w:rsidRPr="004710DC">
              <w:rPr>
                <w:lang w:eastAsia="zh-CN"/>
              </w:rPr>
              <w:t>23</w:t>
            </w:r>
          </w:p>
        </w:tc>
        <w:tc>
          <w:tcPr>
            <w:tcW w:w="2268" w:type="dxa"/>
          </w:tcPr>
          <w:p w14:paraId="3DBC699B" w14:textId="77777777" w:rsidR="00241417" w:rsidRPr="004710DC" w:rsidRDefault="00241417" w:rsidP="003A71DE">
            <w:pPr>
              <w:pStyle w:val="TAC"/>
            </w:pPr>
            <w:r w:rsidRPr="004710DC">
              <w:rPr>
                <w:lang w:eastAsia="zh-CN"/>
              </w:rPr>
              <w:t>0</w:t>
            </w:r>
          </w:p>
        </w:tc>
        <w:tc>
          <w:tcPr>
            <w:tcW w:w="567" w:type="dxa"/>
          </w:tcPr>
          <w:p w14:paraId="002C26DF" w14:textId="77777777" w:rsidR="00241417" w:rsidRPr="004710DC" w:rsidRDefault="00241417" w:rsidP="003A71DE">
            <w:pPr>
              <w:pStyle w:val="TAC"/>
            </w:pPr>
            <w:r w:rsidRPr="004710DC">
              <w:rPr>
                <w:lang w:eastAsia="zh-CN"/>
              </w:rPr>
              <w:t>0</w:t>
            </w:r>
          </w:p>
        </w:tc>
      </w:tr>
      <w:tr w:rsidR="00241417" w:rsidRPr="004710DC" w14:paraId="19E44D23" w14:textId="77777777" w:rsidTr="003A71DE">
        <w:trPr>
          <w:cantSplit/>
          <w:jc w:val="center"/>
        </w:trPr>
        <w:tc>
          <w:tcPr>
            <w:tcW w:w="1373" w:type="dxa"/>
            <w:tcBorders>
              <w:top w:val="nil"/>
            </w:tcBorders>
          </w:tcPr>
          <w:p w14:paraId="64FB8C63" w14:textId="77777777" w:rsidR="00241417" w:rsidRPr="004710DC" w:rsidRDefault="00241417" w:rsidP="003A71DE">
            <w:pPr>
              <w:pStyle w:val="TAC"/>
            </w:pPr>
            <w:r w:rsidRPr="004710DC">
              <w:rPr>
                <w:lang w:eastAsia="zh-CN"/>
              </w:rPr>
              <w:t>B4, C0, C2</w:t>
            </w:r>
          </w:p>
        </w:tc>
        <w:tc>
          <w:tcPr>
            <w:tcW w:w="1167" w:type="dxa"/>
          </w:tcPr>
          <w:p w14:paraId="2145A641" w14:textId="77777777" w:rsidR="00241417" w:rsidRPr="004710DC" w:rsidRDefault="00241417" w:rsidP="003A71DE">
            <w:pPr>
              <w:pStyle w:val="TAC"/>
              <w:rPr>
                <w:lang w:eastAsia="zh-CN"/>
              </w:rPr>
            </w:pPr>
            <w:r w:rsidRPr="004710DC">
              <w:rPr>
                <w:lang w:eastAsia="zh-CN"/>
              </w:rPr>
              <w:t>30</w:t>
            </w:r>
          </w:p>
        </w:tc>
        <w:tc>
          <w:tcPr>
            <w:tcW w:w="554" w:type="dxa"/>
          </w:tcPr>
          <w:p w14:paraId="0807E1DC" w14:textId="77777777" w:rsidR="00241417" w:rsidRPr="004710DC" w:rsidRDefault="00241417" w:rsidP="003A71DE">
            <w:pPr>
              <w:pStyle w:val="TAC"/>
            </w:pPr>
            <w:r w:rsidRPr="004710DC">
              <w:rPr>
                <w:lang w:eastAsia="zh-CN"/>
              </w:rPr>
              <w:t>46</w:t>
            </w:r>
          </w:p>
        </w:tc>
        <w:tc>
          <w:tcPr>
            <w:tcW w:w="2268" w:type="dxa"/>
          </w:tcPr>
          <w:p w14:paraId="31706B05" w14:textId="77777777" w:rsidR="00241417" w:rsidRPr="004710DC" w:rsidRDefault="00241417" w:rsidP="003A71DE">
            <w:pPr>
              <w:pStyle w:val="TAC"/>
            </w:pPr>
            <w:r w:rsidRPr="004710DC">
              <w:rPr>
                <w:lang w:eastAsia="zh-CN"/>
              </w:rPr>
              <w:t>0</w:t>
            </w:r>
          </w:p>
        </w:tc>
        <w:tc>
          <w:tcPr>
            <w:tcW w:w="567" w:type="dxa"/>
          </w:tcPr>
          <w:p w14:paraId="40C67E33" w14:textId="77777777" w:rsidR="00241417" w:rsidRPr="004710DC" w:rsidRDefault="00241417" w:rsidP="003A71DE">
            <w:pPr>
              <w:pStyle w:val="TAC"/>
            </w:pPr>
            <w:r w:rsidRPr="004710DC">
              <w:t>0</w:t>
            </w:r>
          </w:p>
        </w:tc>
      </w:tr>
    </w:tbl>
    <w:p w14:paraId="666FECB0" w14:textId="77777777" w:rsidR="00241417" w:rsidRPr="004710DC" w:rsidRDefault="00241417" w:rsidP="00241417">
      <w:pPr>
        <w:rPr>
          <w:lang w:eastAsia="zh-CN"/>
        </w:rPr>
      </w:pPr>
    </w:p>
    <w:p w14:paraId="6ED805E2" w14:textId="77777777" w:rsidR="00241417" w:rsidRPr="00AD765F" w:rsidRDefault="00241417" w:rsidP="00241417">
      <w:pPr>
        <w:pStyle w:val="TH"/>
        <w:rPr>
          <w:lang w:eastAsia="zh-CN"/>
        </w:rPr>
      </w:pPr>
      <w:r w:rsidRPr="00AD765F">
        <w:t>Table A.2.5-</w:t>
      </w:r>
      <w:r w:rsidRPr="00AD765F">
        <w:rPr>
          <w:lang w:eastAsia="zh-CN"/>
        </w:rPr>
        <w:t>2:</w:t>
      </w:r>
      <w:r w:rsidRPr="00AD765F">
        <w:t xml:space="preserve"> Test preambles for Normal Mode</w:t>
      </w:r>
      <w:r w:rsidRPr="00AD765F">
        <w:rPr>
          <w:lang w:eastAsia="zh-CN"/>
        </w:rPr>
        <w:t xml:space="preserve"> in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73"/>
        <w:gridCol w:w="1167"/>
        <w:gridCol w:w="554"/>
        <w:gridCol w:w="2268"/>
        <w:gridCol w:w="567"/>
      </w:tblGrid>
      <w:tr w:rsidR="00241417" w:rsidRPr="004710DC" w14:paraId="23594176" w14:textId="77777777" w:rsidTr="003A71DE">
        <w:trPr>
          <w:cantSplit/>
          <w:jc w:val="center"/>
        </w:trPr>
        <w:tc>
          <w:tcPr>
            <w:tcW w:w="1373" w:type="dxa"/>
          </w:tcPr>
          <w:p w14:paraId="7066A928" w14:textId="77777777" w:rsidR="00241417" w:rsidRPr="004710DC" w:rsidRDefault="00241417" w:rsidP="003A71DE">
            <w:pPr>
              <w:pStyle w:val="TAH"/>
            </w:pPr>
            <w:r w:rsidRPr="004710DC">
              <w:t>Burst format</w:t>
            </w:r>
          </w:p>
        </w:tc>
        <w:tc>
          <w:tcPr>
            <w:tcW w:w="1167" w:type="dxa"/>
          </w:tcPr>
          <w:p w14:paraId="2D745FB0" w14:textId="77777777" w:rsidR="00241417" w:rsidRPr="004710DC" w:rsidRDefault="00241417" w:rsidP="003A71DE">
            <w:pPr>
              <w:pStyle w:val="TAH"/>
            </w:pPr>
            <w:r w:rsidRPr="004710DC">
              <w:t>SCS (kHz)</w:t>
            </w:r>
          </w:p>
        </w:tc>
        <w:tc>
          <w:tcPr>
            <w:tcW w:w="554" w:type="dxa"/>
          </w:tcPr>
          <w:p w14:paraId="6487BC06" w14:textId="77777777" w:rsidR="00241417" w:rsidRPr="004710DC" w:rsidRDefault="00241417" w:rsidP="003A71DE">
            <w:pPr>
              <w:pStyle w:val="TAH"/>
            </w:pPr>
            <w:r w:rsidRPr="004710DC">
              <w:t>Ncs</w:t>
            </w:r>
          </w:p>
        </w:tc>
        <w:tc>
          <w:tcPr>
            <w:tcW w:w="2268" w:type="dxa"/>
          </w:tcPr>
          <w:p w14:paraId="46453142" w14:textId="77777777" w:rsidR="00241417" w:rsidRPr="004710DC" w:rsidRDefault="00241417" w:rsidP="003A71DE">
            <w:pPr>
              <w:pStyle w:val="TAH"/>
            </w:pPr>
            <w:r w:rsidRPr="004710DC">
              <w:t>Logical sequence index</w:t>
            </w:r>
          </w:p>
        </w:tc>
        <w:tc>
          <w:tcPr>
            <w:tcW w:w="567" w:type="dxa"/>
          </w:tcPr>
          <w:p w14:paraId="677F8D36" w14:textId="77777777" w:rsidR="00241417" w:rsidRPr="004710DC" w:rsidRDefault="00241417" w:rsidP="003A71DE">
            <w:pPr>
              <w:pStyle w:val="TAH"/>
            </w:pPr>
            <w:r w:rsidRPr="004710DC">
              <w:t>v</w:t>
            </w:r>
          </w:p>
        </w:tc>
      </w:tr>
      <w:tr w:rsidR="00241417" w:rsidRPr="004710DC" w14:paraId="76B2AD16" w14:textId="77777777" w:rsidTr="003A71DE">
        <w:trPr>
          <w:cantSplit/>
          <w:jc w:val="center"/>
        </w:trPr>
        <w:tc>
          <w:tcPr>
            <w:tcW w:w="1373" w:type="dxa"/>
            <w:tcBorders>
              <w:bottom w:val="nil"/>
            </w:tcBorders>
          </w:tcPr>
          <w:p w14:paraId="32311479" w14:textId="77777777" w:rsidR="00241417" w:rsidRPr="004710DC" w:rsidRDefault="00241417" w:rsidP="003A71DE">
            <w:pPr>
              <w:pStyle w:val="TAC"/>
            </w:pPr>
            <w:r w:rsidRPr="004710DC">
              <w:rPr>
                <w:lang w:eastAsia="zh-CN"/>
              </w:rPr>
              <w:t>A1, A2, A3,</w:t>
            </w:r>
          </w:p>
        </w:tc>
        <w:tc>
          <w:tcPr>
            <w:tcW w:w="1167" w:type="dxa"/>
          </w:tcPr>
          <w:p w14:paraId="1FEB402C" w14:textId="77777777" w:rsidR="00241417" w:rsidRPr="004710DC" w:rsidRDefault="00241417" w:rsidP="003A71DE">
            <w:pPr>
              <w:pStyle w:val="TAC"/>
              <w:rPr>
                <w:lang w:eastAsia="zh-CN"/>
              </w:rPr>
            </w:pPr>
            <w:r w:rsidRPr="004710DC">
              <w:rPr>
                <w:lang w:eastAsia="zh-CN"/>
              </w:rPr>
              <w:t>60</w:t>
            </w:r>
          </w:p>
        </w:tc>
        <w:tc>
          <w:tcPr>
            <w:tcW w:w="554" w:type="dxa"/>
          </w:tcPr>
          <w:p w14:paraId="1F09A623" w14:textId="77777777" w:rsidR="00241417" w:rsidRPr="004710DC" w:rsidRDefault="00241417" w:rsidP="003A71DE">
            <w:pPr>
              <w:pStyle w:val="TAC"/>
            </w:pPr>
            <w:r w:rsidRPr="004710DC">
              <w:rPr>
                <w:lang w:eastAsia="zh-CN"/>
              </w:rPr>
              <w:t>69</w:t>
            </w:r>
          </w:p>
        </w:tc>
        <w:tc>
          <w:tcPr>
            <w:tcW w:w="2268" w:type="dxa"/>
          </w:tcPr>
          <w:p w14:paraId="50375180" w14:textId="77777777" w:rsidR="00241417" w:rsidRPr="004710DC" w:rsidRDefault="00241417" w:rsidP="003A71DE">
            <w:pPr>
              <w:pStyle w:val="TAC"/>
            </w:pPr>
            <w:r w:rsidRPr="004710DC">
              <w:rPr>
                <w:lang w:eastAsia="zh-CN"/>
              </w:rPr>
              <w:t>0</w:t>
            </w:r>
          </w:p>
        </w:tc>
        <w:tc>
          <w:tcPr>
            <w:tcW w:w="567" w:type="dxa"/>
          </w:tcPr>
          <w:p w14:paraId="753E6B98" w14:textId="77777777" w:rsidR="00241417" w:rsidRPr="004710DC" w:rsidRDefault="00241417" w:rsidP="003A71DE">
            <w:pPr>
              <w:pStyle w:val="TAC"/>
            </w:pPr>
            <w:r w:rsidRPr="004710DC">
              <w:rPr>
                <w:lang w:eastAsia="zh-CN"/>
              </w:rPr>
              <w:t>0</w:t>
            </w:r>
          </w:p>
        </w:tc>
      </w:tr>
      <w:tr w:rsidR="00241417" w:rsidRPr="004710DC" w14:paraId="4170ADE9" w14:textId="77777777" w:rsidTr="003A71DE">
        <w:trPr>
          <w:cantSplit/>
          <w:jc w:val="center"/>
        </w:trPr>
        <w:tc>
          <w:tcPr>
            <w:tcW w:w="1373" w:type="dxa"/>
            <w:tcBorders>
              <w:top w:val="nil"/>
            </w:tcBorders>
          </w:tcPr>
          <w:p w14:paraId="3FA72366" w14:textId="77777777" w:rsidR="00241417" w:rsidRPr="004710DC" w:rsidRDefault="00241417" w:rsidP="003A71DE">
            <w:pPr>
              <w:pStyle w:val="TAC"/>
            </w:pPr>
            <w:r w:rsidRPr="004710DC">
              <w:rPr>
                <w:lang w:eastAsia="zh-CN"/>
              </w:rPr>
              <w:t>B4, C0, C2</w:t>
            </w:r>
          </w:p>
        </w:tc>
        <w:tc>
          <w:tcPr>
            <w:tcW w:w="1167" w:type="dxa"/>
          </w:tcPr>
          <w:p w14:paraId="0A05C405" w14:textId="77777777" w:rsidR="00241417" w:rsidRPr="004710DC" w:rsidRDefault="00241417" w:rsidP="003A71DE">
            <w:pPr>
              <w:pStyle w:val="TAC"/>
              <w:rPr>
                <w:lang w:eastAsia="zh-CN"/>
              </w:rPr>
            </w:pPr>
            <w:r w:rsidRPr="004710DC">
              <w:rPr>
                <w:lang w:eastAsia="zh-CN"/>
              </w:rPr>
              <w:t>120</w:t>
            </w:r>
          </w:p>
        </w:tc>
        <w:tc>
          <w:tcPr>
            <w:tcW w:w="554" w:type="dxa"/>
          </w:tcPr>
          <w:p w14:paraId="1A3D9DA1" w14:textId="77777777" w:rsidR="00241417" w:rsidRPr="004710DC" w:rsidRDefault="00241417" w:rsidP="003A71DE">
            <w:pPr>
              <w:pStyle w:val="TAC"/>
            </w:pPr>
            <w:r w:rsidRPr="004710DC">
              <w:rPr>
                <w:lang w:eastAsia="zh-CN"/>
              </w:rPr>
              <w:t>69</w:t>
            </w:r>
          </w:p>
        </w:tc>
        <w:tc>
          <w:tcPr>
            <w:tcW w:w="2268" w:type="dxa"/>
          </w:tcPr>
          <w:p w14:paraId="48D4EA9A" w14:textId="77777777" w:rsidR="00241417" w:rsidRPr="004710DC" w:rsidRDefault="00241417" w:rsidP="003A71DE">
            <w:pPr>
              <w:pStyle w:val="TAC"/>
            </w:pPr>
            <w:r w:rsidRPr="004710DC">
              <w:rPr>
                <w:lang w:eastAsia="zh-CN"/>
              </w:rPr>
              <w:t>0</w:t>
            </w:r>
          </w:p>
        </w:tc>
        <w:tc>
          <w:tcPr>
            <w:tcW w:w="567" w:type="dxa"/>
          </w:tcPr>
          <w:p w14:paraId="2B38E9DE" w14:textId="77777777" w:rsidR="00241417" w:rsidRPr="004710DC" w:rsidRDefault="00241417" w:rsidP="003A71DE">
            <w:pPr>
              <w:pStyle w:val="TAC"/>
            </w:pPr>
            <w:r w:rsidRPr="004710DC">
              <w:t>0</w:t>
            </w:r>
          </w:p>
        </w:tc>
      </w:tr>
      <w:bookmarkEnd w:id="9217"/>
    </w:tbl>
    <w:p w14:paraId="21BBA5DA" w14:textId="10FD9AB2" w:rsidR="00241417" w:rsidRDefault="00241417" w:rsidP="00F25B52">
      <w:pPr>
        <w:rPr>
          <w:lang w:val="en-US"/>
        </w:rPr>
      </w:pPr>
    </w:p>
    <w:p w14:paraId="39E79F76" w14:textId="77777777" w:rsidR="00241417" w:rsidRPr="004710DC" w:rsidRDefault="00241417" w:rsidP="00241417">
      <w:pPr>
        <w:pStyle w:val="Heading2"/>
      </w:pPr>
      <w:bookmarkStart w:id="9256" w:name="_Toc74583579"/>
      <w:bookmarkStart w:id="9257" w:name="_Toc76542392"/>
      <w:bookmarkStart w:id="9258" w:name="_Toc82450374"/>
      <w:bookmarkStart w:id="9259" w:name="_Toc82451022"/>
      <w:bookmarkStart w:id="9260" w:name="_Toc89949411"/>
      <w:bookmarkStart w:id="9261" w:name="_Toc98755800"/>
      <w:bookmarkStart w:id="9262" w:name="_Toc98763392"/>
      <w:bookmarkStart w:id="9263" w:name="_Toc106184321"/>
      <w:r w:rsidRPr="004710DC">
        <w:t>A.</w:t>
      </w:r>
      <w:r>
        <w:t>3</w:t>
      </w:r>
      <w:r w:rsidRPr="004710DC">
        <w:tab/>
      </w:r>
      <w:r>
        <w:t>IAB-MT Fixed Reference Channels</w:t>
      </w:r>
      <w:bookmarkEnd w:id="9256"/>
      <w:bookmarkEnd w:id="9257"/>
      <w:bookmarkEnd w:id="9258"/>
      <w:bookmarkEnd w:id="9259"/>
      <w:bookmarkEnd w:id="9260"/>
      <w:bookmarkEnd w:id="9261"/>
      <w:bookmarkEnd w:id="9262"/>
      <w:bookmarkEnd w:id="9263"/>
    </w:p>
    <w:p w14:paraId="05DD4F62" w14:textId="77777777" w:rsidR="00241417" w:rsidRPr="004710DC" w:rsidRDefault="00241417" w:rsidP="00241417">
      <w:pPr>
        <w:pStyle w:val="Heading3"/>
      </w:pPr>
      <w:bookmarkStart w:id="9264" w:name="_Toc74583580"/>
      <w:bookmarkStart w:id="9265" w:name="_Toc76542393"/>
      <w:bookmarkStart w:id="9266" w:name="_Toc82450375"/>
      <w:bookmarkStart w:id="9267" w:name="_Toc82451023"/>
      <w:bookmarkStart w:id="9268" w:name="_Toc89949412"/>
      <w:bookmarkStart w:id="9269" w:name="_Toc98755801"/>
      <w:bookmarkStart w:id="9270" w:name="_Toc98763393"/>
      <w:bookmarkStart w:id="9271" w:name="_Toc106184322"/>
      <w:r w:rsidRPr="004710DC">
        <w:t>A.</w:t>
      </w:r>
      <w:r>
        <w:t>3.1</w:t>
      </w:r>
      <w:r w:rsidRPr="004710DC">
        <w:tab/>
        <w:t xml:space="preserve">Fixed Reference Channels for </w:t>
      </w:r>
      <w:r>
        <w:t xml:space="preserve">PDSCH </w:t>
      </w:r>
      <w:r w:rsidRPr="004710DC">
        <w:t>performance requirements (</w:t>
      </w:r>
      <w:r w:rsidRPr="004710DC">
        <w:rPr>
          <w:lang w:eastAsia="zh-CN"/>
        </w:rPr>
        <w:t>16QAM</w:t>
      </w:r>
      <w:r>
        <w:rPr>
          <w:lang w:eastAsia="zh-CN"/>
        </w:rPr>
        <w:t>)</w:t>
      </w:r>
      <w:bookmarkEnd w:id="9264"/>
      <w:bookmarkEnd w:id="9265"/>
      <w:bookmarkEnd w:id="9266"/>
      <w:bookmarkEnd w:id="9267"/>
      <w:bookmarkEnd w:id="9268"/>
      <w:bookmarkEnd w:id="9269"/>
      <w:bookmarkEnd w:id="9270"/>
      <w:bookmarkEnd w:id="9271"/>
    </w:p>
    <w:p w14:paraId="71FEE3A0" w14:textId="77777777" w:rsidR="00241417" w:rsidRPr="00AD765F" w:rsidRDefault="00241417" w:rsidP="00241417">
      <w:r w:rsidRPr="00AD765F">
        <w:t xml:space="preserve">The parameters for the reference measurement channels are specified in </w:t>
      </w:r>
      <w:r w:rsidRPr="00AD765F">
        <w:rPr>
          <w:lang w:eastAsia="zh-CN"/>
        </w:rPr>
        <w:t xml:space="preserve">table A.3.1-1 </w:t>
      </w:r>
      <w:r w:rsidRPr="00AD765F">
        <w:t>for FR</w:t>
      </w:r>
      <w:r w:rsidRPr="00AD765F">
        <w:rPr>
          <w:lang w:eastAsia="zh-CN"/>
        </w:rPr>
        <w:t>1</w:t>
      </w:r>
      <w:r w:rsidRPr="00AD765F">
        <w:t xml:space="preserve"> PDSCH performance requirements</w:t>
      </w:r>
      <w:r w:rsidRPr="00AD765F">
        <w:rPr>
          <w:lang w:eastAsia="zh-CN"/>
        </w:rPr>
        <w:t>.</w:t>
      </w:r>
    </w:p>
    <w:p w14:paraId="5A6F7812" w14:textId="77777777" w:rsidR="00241417" w:rsidRPr="00AD765F" w:rsidRDefault="00241417" w:rsidP="00241417">
      <w:r w:rsidRPr="00AD765F">
        <w:t xml:space="preserve">The parameters for the reference measurement channels are specified in </w:t>
      </w:r>
      <w:r w:rsidRPr="00AD765F">
        <w:rPr>
          <w:lang w:eastAsia="zh-CN"/>
        </w:rPr>
        <w:t xml:space="preserve">table A.3.1-2 </w:t>
      </w:r>
      <w:r w:rsidRPr="00AD765F">
        <w:t>for FR</w:t>
      </w:r>
      <w:r w:rsidRPr="00AD765F">
        <w:rPr>
          <w:lang w:eastAsia="zh-CN"/>
        </w:rPr>
        <w:t>2</w:t>
      </w:r>
      <w:r w:rsidRPr="00AD765F">
        <w:t xml:space="preserve"> PDSCH performance requirements</w:t>
      </w:r>
      <w:r w:rsidRPr="00AD765F">
        <w:rPr>
          <w:lang w:eastAsia="zh-CN"/>
        </w:rPr>
        <w:t>.</w:t>
      </w:r>
    </w:p>
    <w:p w14:paraId="015E29A1" w14:textId="77777777" w:rsidR="00241417" w:rsidRPr="00AD765F" w:rsidRDefault="00241417" w:rsidP="00241417"/>
    <w:p w14:paraId="146FA5DC" w14:textId="77777777" w:rsidR="00241417" w:rsidRPr="00AD765F" w:rsidRDefault="00241417" w:rsidP="00241417">
      <w:pPr>
        <w:pStyle w:val="TH"/>
        <w:rPr>
          <w:lang w:eastAsia="zh-CN"/>
        </w:rPr>
      </w:pPr>
      <w:r w:rsidRPr="00AD765F">
        <w:lastRenderedPageBreak/>
        <w:t>Table A.</w:t>
      </w:r>
      <w:r w:rsidRPr="00AD765F">
        <w:rPr>
          <w:lang w:eastAsia="zh-CN"/>
        </w:rPr>
        <w:t>3.1</w:t>
      </w:r>
      <w:r w:rsidRPr="00AD765F">
        <w:t>-</w:t>
      </w:r>
      <w:r w:rsidRPr="00AD765F">
        <w:rPr>
          <w:lang w:eastAsia="zh-CN"/>
        </w:rPr>
        <w:t>1</w:t>
      </w:r>
      <w:r w:rsidRPr="00AD765F">
        <w:t>: FRC parameters for</w:t>
      </w:r>
      <w:r w:rsidRPr="00AD765F">
        <w:rPr>
          <w:lang w:eastAsia="zh-CN"/>
        </w:rPr>
        <w:t xml:space="preserve"> FR1 PDSCH </w:t>
      </w:r>
      <w:r w:rsidRPr="00AD765F">
        <w:t>performance requirements</w:t>
      </w:r>
      <w:r w:rsidRPr="00AD765F">
        <w:rPr>
          <w:lang w:eastAsia="zh-CN"/>
        </w:rPr>
        <w:t>, 1-4 transmission layers, 16QAM</w:t>
      </w:r>
    </w:p>
    <w:tbl>
      <w:tblPr>
        <w:tblW w:w="39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72"/>
        <w:gridCol w:w="885"/>
        <w:gridCol w:w="1056"/>
        <w:gridCol w:w="1056"/>
        <w:gridCol w:w="1053"/>
      </w:tblGrid>
      <w:tr w:rsidR="00241417" w:rsidRPr="00BD3EE8" w14:paraId="0A57A884" w14:textId="77777777" w:rsidTr="003A71DE">
        <w:trPr>
          <w:jc w:val="center"/>
        </w:trPr>
        <w:tc>
          <w:tcPr>
            <w:tcW w:w="2308" w:type="pct"/>
            <w:shd w:val="clear" w:color="auto" w:fill="auto"/>
            <w:vAlign w:val="center"/>
          </w:tcPr>
          <w:p w14:paraId="1A3AAE62" w14:textId="77777777" w:rsidR="00241417" w:rsidRPr="00BD3EE8" w:rsidRDefault="00241417" w:rsidP="003A71DE">
            <w:pPr>
              <w:pStyle w:val="TAH"/>
            </w:pPr>
            <w:r w:rsidRPr="00BD3EE8">
              <w:t>Parameter</w:t>
            </w:r>
          </w:p>
        </w:tc>
        <w:tc>
          <w:tcPr>
            <w:tcW w:w="588" w:type="pct"/>
            <w:shd w:val="clear" w:color="auto" w:fill="auto"/>
            <w:vAlign w:val="center"/>
          </w:tcPr>
          <w:p w14:paraId="5840B330" w14:textId="77777777" w:rsidR="00241417" w:rsidRPr="00BD3EE8" w:rsidRDefault="00241417" w:rsidP="003A71DE">
            <w:pPr>
              <w:pStyle w:val="TAH"/>
            </w:pPr>
            <w:r w:rsidRPr="00BD3EE8">
              <w:t>Unit</w:t>
            </w:r>
          </w:p>
        </w:tc>
        <w:tc>
          <w:tcPr>
            <w:tcW w:w="2105" w:type="pct"/>
            <w:gridSpan w:val="3"/>
            <w:shd w:val="clear" w:color="auto" w:fill="auto"/>
            <w:vAlign w:val="center"/>
          </w:tcPr>
          <w:p w14:paraId="452728DE" w14:textId="77777777" w:rsidR="00241417" w:rsidRPr="00BD3EE8" w:rsidRDefault="00241417" w:rsidP="003A71DE">
            <w:pPr>
              <w:pStyle w:val="TAH"/>
            </w:pPr>
            <w:r w:rsidRPr="00BD3EE8">
              <w:t>Value</w:t>
            </w:r>
          </w:p>
        </w:tc>
      </w:tr>
      <w:tr w:rsidR="00241417" w:rsidRPr="00BD3EE8" w14:paraId="6A126862" w14:textId="77777777" w:rsidTr="003A71DE">
        <w:trPr>
          <w:jc w:val="center"/>
        </w:trPr>
        <w:tc>
          <w:tcPr>
            <w:tcW w:w="2308" w:type="pct"/>
            <w:vAlign w:val="center"/>
          </w:tcPr>
          <w:p w14:paraId="5FE87797" w14:textId="77777777" w:rsidR="00241417" w:rsidRPr="00BD3EE8" w:rsidRDefault="00241417" w:rsidP="003A71DE">
            <w:pPr>
              <w:pStyle w:val="TAC"/>
            </w:pPr>
            <w:r w:rsidRPr="00BD3EE8">
              <w:t>Reference channel</w:t>
            </w:r>
          </w:p>
        </w:tc>
        <w:tc>
          <w:tcPr>
            <w:tcW w:w="588" w:type="pct"/>
            <w:vAlign w:val="center"/>
          </w:tcPr>
          <w:p w14:paraId="7440B910" w14:textId="77777777" w:rsidR="00241417" w:rsidRPr="00BD3EE8" w:rsidRDefault="00241417" w:rsidP="003A71DE">
            <w:pPr>
              <w:pStyle w:val="TAC"/>
            </w:pPr>
          </w:p>
        </w:tc>
        <w:tc>
          <w:tcPr>
            <w:tcW w:w="702" w:type="pct"/>
            <w:vAlign w:val="center"/>
          </w:tcPr>
          <w:p w14:paraId="72089983" w14:textId="77777777" w:rsidR="00241417" w:rsidRPr="00BD3EE8" w:rsidRDefault="00241417" w:rsidP="003A71DE">
            <w:pPr>
              <w:pStyle w:val="TAC"/>
            </w:pPr>
            <w:r>
              <w:t>M-FR1-A.3.1-1</w:t>
            </w:r>
          </w:p>
        </w:tc>
        <w:tc>
          <w:tcPr>
            <w:tcW w:w="702" w:type="pct"/>
            <w:vAlign w:val="center"/>
          </w:tcPr>
          <w:p w14:paraId="4EF63CC9" w14:textId="77777777" w:rsidR="00241417" w:rsidRPr="00BD3EE8" w:rsidRDefault="00241417" w:rsidP="003A71DE">
            <w:pPr>
              <w:pStyle w:val="TAC"/>
              <w:rPr>
                <w:lang w:eastAsia="zh-CN"/>
              </w:rPr>
            </w:pPr>
            <w:r>
              <w:t>M-FR1-A.3.1-2</w:t>
            </w:r>
          </w:p>
        </w:tc>
        <w:tc>
          <w:tcPr>
            <w:tcW w:w="702" w:type="pct"/>
            <w:vAlign w:val="center"/>
          </w:tcPr>
          <w:p w14:paraId="5786D125" w14:textId="77777777" w:rsidR="00241417" w:rsidRPr="00BD3EE8" w:rsidRDefault="00241417" w:rsidP="003A71DE">
            <w:pPr>
              <w:pStyle w:val="TAC"/>
            </w:pPr>
            <w:r>
              <w:t>M-FR1-A.3.1-3</w:t>
            </w:r>
          </w:p>
        </w:tc>
      </w:tr>
      <w:tr w:rsidR="00241417" w:rsidRPr="00BD3EE8" w14:paraId="5EC8FED7" w14:textId="77777777" w:rsidTr="003A71DE">
        <w:trPr>
          <w:jc w:val="center"/>
        </w:trPr>
        <w:tc>
          <w:tcPr>
            <w:tcW w:w="2308" w:type="pct"/>
            <w:vAlign w:val="center"/>
          </w:tcPr>
          <w:p w14:paraId="5F3B5FAD" w14:textId="77777777" w:rsidR="00241417" w:rsidRPr="00BD3EE8" w:rsidRDefault="00241417" w:rsidP="003A71DE">
            <w:pPr>
              <w:pStyle w:val="TAC"/>
            </w:pPr>
            <w:r w:rsidRPr="00BD3EE8">
              <w:t>Channel bandwidth</w:t>
            </w:r>
          </w:p>
        </w:tc>
        <w:tc>
          <w:tcPr>
            <w:tcW w:w="588" w:type="pct"/>
            <w:vAlign w:val="center"/>
          </w:tcPr>
          <w:p w14:paraId="03D25528" w14:textId="77777777" w:rsidR="00241417" w:rsidRPr="00BD3EE8" w:rsidRDefault="00241417" w:rsidP="003A71DE">
            <w:pPr>
              <w:pStyle w:val="TAC"/>
            </w:pPr>
            <w:r w:rsidRPr="00BD3EE8">
              <w:t>MHz</w:t>
            </w:r>
          </w:p>
        </w:tc>
        <w:tc>
          <w:tcPr>
            <w:tcW w:w="702" w:type="pct"/>
            <w:vAlign w:val="center"/>
          </w:tcPr>
          <w:p w14:paraId="371982D3" w14:textId="77777777" w:rsidR="00241417" w:rsidRPr="00BD3EE8" w:rsidRDefault="00241417" w:rsidP="003A71DE">
            <w:pPr>
              <w:pStyle w:val="TAC"/>
            </w:pPr>
            <w:r w:rsidRPr="00BD3EE8">
              <w:t>40</w:t>
            </w:r>
          </w:p>
        </w:tc>
        <w:tc>
          <w:tcPr>
            <w:tcW w:w="702" w:type="pct"/>
            <w:vAlign w:val="center"/>
          </w:tcPr>
          <w:p w14:paraId="68BCA155" w14:textId="77777777" w:rsidR="00241417" w:rsidRPr="00BD3EE8" w:rsidRDefault="00241417" w:rsidP="003A71DE">
            <w:pPr>
              <w:pStyle w:val="TAC"/>
            </w:pPr>
            <w:r w:rsidRPr="00BD3EE8">
              <w:t>40</w:t>
            </w:r>
          </w:p>
        </w:tc>
        <w:tc>
          <w:tcPr>
            <w:tcW w:w="702" w:type="pct"/>
            <w:vAlign w:val="center"/>
          </w:tcPr>
          <w:p w14:paraId="27861B10" w14:textId="77777777" w:rsidR="00241417" w:rsidRPr="00BD3EE8" w:rsidRDefault="00241417" w:rsidP="003A71DE">
            <w:pPr>
              <w:pStyle w:val="TAC"/>
            </w:pPr>
            <w:r w:rsidRPr="00BD3EE8">
              <w:t>40</w:t>
            </w:r>
          </w:p>
        </w:tc>
      </w:tr>
      <w:tr w:rsidR="00241417" w:rsidRPr="00BD3EE8" w14:paraId="764F0FB9" w14:textId="77777777" w:rsidTr="003A71DE">
        <w:trPr>
          <w:jc w:val="center"/>
        </w:trPr>
        <w:tc>
          <w:tcPr>
            <w:tcW w:w="2308" w:type="pct"/>
            <w:vAlign w:val="center"/>
          </w:tcPr>
          <w:p w14:paraId="5FE569A0" w14:textId="77777777" w:rsidR="00241417" w:rsidRPr="00BD3EE8" w:rsidRDefault="00241417" w:rsidP="003A71DE">
            <w:pPr>
              <w:pStyle w:val="TAC"/>
            </w:pPr>
            <w:r w:rsidRPr="00BD3EE8">
              <w:t>Subcarrier spacing</w:t>
            </w:r>
          </w:p>
        </w:tc>
        <w:tc>
          <w:tcPr>
            <w:tcW w:w="588" w:type="pct"/>
            <w:vAlign w:val="center"/>
          </w:tcPr>
          <w:p w14:paraId="7F121210" w14:textId="77777777" w:rsidR="00241417" w:rsidRPr="00BD3EE8" w:rsidRDefault="00241417" w:rsidP="003A71DE">
            <w:pPr>
              <w:pStyle w:val="TAC"/>
            </w:pPr>
            <w:r w:rsidRPr="00BD3EE8">
              <w:t>kHz</w:t>
            </w:r>
          </w:p>
        </w:tc>
        <w:tc>
          <w:tcPr>
            <w:tcW w:w="702" w:type="pct"/>
            <w:vAlign w:val="center"/>
          </w:tcPr>
          <w:p w14:paraId="734BE213" w14:textId="77777777" w:rsidR="00241417" w:rsidRPr="00BD3EE8" w:rsidRDefault="00241417" w:rsidP="003A71DE">
            <w:pPr>
              <w:pStyle w:val="TAC"/>
            </w:pPr>
            <w:r w:rsidRPr="00BD3EE8">
              <w:t>30</w:t>
            </w:r>
          </w:p>
        </w:tc>
        <w:tc>
          <w:tcPr>
            <w:tcW w:w="702" w:type="pct"/>
            <w:vAlign w:val="center"/>
          </w:tcPr>
          <w:p w14:paraId="412CF341" w14:textId="77777777" w:rsidR="00241417" w:rsidRPr="00BD3EE8" w:rsidRDefault="00241417" w:rsidP="003A71DE">
            <w:pPr>
              <w:pStyle w:val="TAC"/>
            </w:pPr>
            <w:r w:rsidRPr="00BD3EE8">
              <w:t>30</w:t>
            </w:r>
          </w:p>
        </w:tc>
        <w:tc>
          <w:tcPr>
            <w:tcW w:w="702" w:type="pct"/>
            <w:vAlign w:val="center"/>
          </w:tcPr>
          <w:p w14:paraId="747CE44B" w14:textId="77777777" w:rsidR="00241417" w:rsidRPr="00BD3EE8" w:rsidRDefault="00241417" w:rsidP="003A71DE">
            <w:pPr>
              <w:pStyle w:val="TAC"/>
            </w:pPr>
            <w:r w:rsidRPr="00BD3EE8">
              <w:t>30</w:t>
            </w:r>
          </w:p>
        </w:tc>
      </w:tr>
      <w:tr w:rsidR="00241417" w:rsidRPr="00BD3EE8" w14:paraId="00C89414" w14:textId="77777777" w:rsidTr="003A71DE">
        <w:trPr>
          <w:jc w:val="center"/>
        </w:trPr>
        <w:tc>
          <w:tcPr>
            <w:tcW w:w="2308" w:type="pct"/>
            <w:vAlign w:val="center"/>
          </w:tcPr>
          <w:p w14:paraId="521B1D6C" w14:textId="77777777" w:rsidR="00241417" w:rsidRPr="00BD3EE8" w:rsidRDefault="00241417" w:rsidP="003A71DE">
            <w:pPr>
              <w:pStyle w:val="TAC"/>
            </w:pPr>
            <w:r w:rsidRPr="00BD3EE8">
              <w:t>Allocated resource blocks</w:t>
            </w:r>
          </w:p>
        </w:tc>
        <w:tc>
          <w:tcPr>
            <w:tcW w:w="588" w:type="pct"/>
            <w:vAlign w:val="center"/>
          </w:tcPr>
          <w:p w14:paraId="7544A3C1" w14:textId="77777777" w:rsidR="00241417" w:rsidRPr="00BD3EE8" w:rsidRDefault="00241417" w:rsidP="003A71DE">
            <w:pPr>
              <w:pStyle w:val="TAC"/>
            </w:pPr>
            <w:r w:rsidRPr="00BD3EE8">
              <w:t>PRBs</w:t>
            </w:r>
          </w:p>
        </w:tc>
        <w:tc>
          <w:tcPr>
            <w:tcW w:w="702" w:type="pct"/>
            <w:vAlign w:val="center"/>
          </w:tcPr>
          <w:p w14:paraId="654B160D" w14:textId="77777777" w:rsidR="00241417" w:rsidRPr="00BD3EE8" w:rsidRDefault="00241417" w:rsidP="003A71DE">
            <w:pPr>
              <w:pStyle w:val="TAC"/>
            </w:pPr>
            <w:r w:rsidRPr="00BD3EE8">
              <w:t>106</w:t>
            </w:r>
          </w:p>
        </w:tc>
        <w:tc>
          <w:tcPr>
            <w:tcW w:w="702" w:type="pct"/>
            <w:vAlign w:val="center"/>
          </w:tcPr>
          <w:p w14:paraId="0C99E324" w14:textId="77777777" w:rsidR="00241417" w:rsidRPr="00BD3EE8" w:rsidRDefault="00241417" w:rsidP="003A71DE">
            <w:pPr>
              <w:pStyle w:val="TAC"/>
            </w:pPr>
            <w:r w:rsidRPr="00BD3EE8">
              <w:t>106</w:t>
            </w:r>
          </w:p>
        </w:tc>
        <w:tc>
          <w:tcPr>
            <w:tcW w:w="702" w:type="pct"/>
            <w:vAlign w:val="center"/>
          </w:tcPr>
          <w:p w14:paraId="06AB9D92" w14:textId="77777777" w:rsidR="00241417" w:rsidRPr="00BD3EE8" w:rsidRDefault="00241417" w:rsidP="003A71DE">
            <w:pPr>
              <w:pStyle w:val="TAC"/>
            </w:pPr>
            <w:r w:rsidRPr="00BD3EE8">
              <w:t>106</w:t>
            </w:r>
          </w:p>
        </w:tc>
      </w:tr>
      <w:tr w:rsidR="00241417" w:rsidRPr="00BD3EE8" w14:paraId="33E1F8DB" w14:textId="77777777" w:rsidTr="003A71DE">
        <w:trPr>
          <w:jc w:val="center"/>
        </w:trPr>
        <w:tc>
          <w:tcPr>
            <w:tcW w:w="2308" w:type="pct"/>
            <w:vAlign w:val="center"/>
          </w:tcPr>
          <w:p w14:paraId="29E572EC" w14:textId="77777777" w:rsidR="00241417" w:rsidRPr="00AD765F" w:rsidRDefault="00241417" w:rsidP="003A71DE">
            <w:pPr>
              <w:pStyle w:val="TAC"/>
            </w:pPr>
            <w:r w:rsidRPr="00AD765F">
              <w:t>Number of consecutive PDSCH symbols</w:t>
            </w:r>
          </w:p>
        </w:tc>
        <w:tc>
          <w:tcPr>
            <w:tcW w:w="588" w:type="pct"/>
            <w:vAlign w:val="center"/>
          </w:tcPr>
          <w:p w14:paraId="62768F4A" w14:textId="77777777" w:rsidR="00241417" w:rsidRPr="00AD765F" w:rsidRDefault="00241417" w:rsidP="003A71DE">
            <w:pPr>
              <w:pStyle w:val="TAC"/>
            </w:pPr>
          </w:p>
        </w:tc>
        <w:tc>
          <w:tcPr>
            <w:tcW w:w="702" w:type="pct"/>
            <w:vAlign w:val="center"/>
          </w:tcPr>
          <w:p w14:paraId="79640121" w14:textId="77777777" w:rsidR="00241417" w:rsidRPr="00BD3EE8" w:rsidRDefault="00241417" w:rsidP="003A71DE">
            <w:pPr>
              <w:pStyle w:val="TAC"/>
            </w:pPr>
            <w:r>
              <w:t>12</w:t>
            </w:r>
          </w:p>
        </w:tc>
        <w:tc>
          <w:tcPr>
            <w:tcW w:w="702" w:type="pct"/>
            <w:vAlign w:val="center"/>
          </w:tcPr>
          <w:p w14:paraId="0C8C3F16" w14:textId="77777777" w:rsidR="00241417" w:rsidRPr="00BD3EE8" w:rsidRDefault="00241417" w:rsidP="003A71DE">
            <w:pPr>
              <w:pStyle w:val="TAC"/>
            </w:pPr>
            <w:r>
              <w:t>12</w:t>
            </w:r>
          </w:p>
        </w:tc>
        <w:tc>
          <w:tcPr>
            <w:tcW w:w="702" w:type="pct"/>
            <w:vAlign w:val="center"/>
          </w:tcPr>
          <w:p w14:paraId="7B5CD846" w14:textId="77777777" w:rsidR="00241417" w:rsidRPr="00BD3EE8" w:rsidRDefault="00241417" w:rsidP="003A71DE">
            <w:pPr>
              <w:pStyle w:val="TAC"/>
            </w:pPr>
            <w:r>
              <w:t>12</w:t>
            </w:r>
          </w:p>
        </w:tc>
      </w:tr>
      <w:tr w:rsidR="00241417" w:rsidRPr="00BD3EE8" w14:paraId="4D8311ED" w14:textId="77777777" w:rsidTr="003A71DE">
        <w:trPr>
          <w:jc w:val="center"/>
        </w:trPr>
        <w:tc>
          <w:tcPr>
            <w:tcW w:w="2308" w:type="pct"/>
            <w:vAlign w:val="center"/>
          </w:tcPr>
          <w:p w14:paraId="7F14B41C" w14:textId="77777777" w:rsidR="00241417" w:rsidRPr="00BD3EE8" w:rsidRDefault="00241417" w:rsidP="003A71DE">
            <w:pPr>
              <w:pStyle w:val="TAC"/>
            </w:pPr>
            <w:r w:rsidRPr="00BD3EE8">
              <w:t>MCS table</w:t>
            </w:r>
          </w:p>
        </w:tc>
        <w:tc>
          <w:tcPr>
            <w:tcW w:w="588" w:type="pct"/>
            <w:vAlign w:val="center"/>
          </w:tcPr>
          <w:p w14:paraId="584E8C1C" w14:textId="77777777" w:rsidR="00241417" w:rsidRPr="00BD3EE8" w:rsidRDefault="00241417" w:rsidP="003A71DE">
            <w:pPr>
              <w:pStyle w:val="TAC"/>
            </w:pPr>
          </w:p>
        </w:tc>
        <w:tc>
          <w:tcPr>
            <w:tcW w:w="702" w:type="pct"/>
            <w:vAlign w:val="center"/>
          </w:tcPr>
          <w:p w14:paraId="5861E46A" w14:textId="77777777" w:rsidR="00241417" w:rsidRPr="00BD3EE8" w:rsidRDefault="00241417" w:rsidP="003A71DE">
            <w:pPr>
              <w:pStyle w:val="TAC"/>
            </w:pPr>
            <w:r w:rsidRPr="00BD3EE8">
              <w:t>64QAM</w:t>
            </w:r>
          </w:p>
        </w:tc>
        <w:tc>
          <w:tcPr>
            <w:tcW w:w="702" w:type="pct"/>
            <w:vAlign w:val="center"/>
          </w:tcPr>
          <w:p w14:paraId="3E8492F8" w14:textId="77777777" w:rsidR="00241417" w:rsidRPr="00BD3EE8" w:rsidRDefault="00241417" w:rsidP="003A71DE">
            <w:pPr>
              <w:pStyle w:val="TAC"/>
            </w:pPr>
            <w:r w:rsidRPr="00BD3EE8">
              <w:t>64QAM</w:t>
            </w:r>
          </w:p>
        </w:tc>
        <w:tc>
          <w:tcPr>
            <w:tcW w:w="702" w:type="pct"/>
            <w:vAlign w:val="center"/>
          </w:tcPr>
          <w:p w14:paraId="7F071379" w14:textId="77777777" w:rsidR="00241417" w:rsidRPr="00BD3EE8" w:rsidRDefault="00241417" w:rsidP="003A71DE">
            <w:pPr>
              <w:pStyle w:val="TAC"/>
            </w:pPr>
            <w:r w:rsidRPr="00BD3EE8">
              <w:t>64QAM</w:t>
            </w:r>
          </w:p>
        </w:tc>
      </w:tr>
      <w:tr w:rsidR="00241417" w:rsidRPr="00BD3EE8" w14:paraId="521F7936" w14:textId="77777777" w:rsidTr="003A71DE">
        <w:trPr>
          <w:jc w:val="center"/>
        </w:trPr>
        <w:tc>
          <w:tcPr>
            <w:tcW w:w="2308" w:type="pct"/>
            <w:vAlign w:val="center"/>
          </w:tcPr>
          <w:p w14:paraId="38538C70" w14:textId="77777777" w:rsidR="00241417" w:rsidRPr="00BD3EE8" w:rsidRDefault="00241417" w:rsidP="003A71DE">
            <w:pPr>
              <w:pStyle w:val="TAC"/>
            </w:pPr>
            <w:r w:rsidRPr="00BD3EE8">
              <w:t>MCS index</w:t>
            </w:r>
          </w:p>
        </w:tc>
        <w:tc>
          <w:tcPr>
            <w:tcW w:w="588" w:type="pct"/>
            <w:vAlign w:val="center"/>
          </w:tcPr>
          <w:p w14:paraId="783F6845" w14:textId="77777777" w:rsidR="00241417" w:rsidRPr="00BD3EE8" w:rsidRDefault="00241417" w:rsidP="003A71DE">
            <w:pPr>
              <w:pStyle w:val="TAC"/>
            </w:pPr>
          </w:p>
        </w:tc>
        <w:tc>
          <w:tcPr>
            <w:tcW w:w="702" w:type="pct"/>
            <w:vAlign w:val="center"/>
          </w:tcPr>
          <w:p w14:paraId="33901920" w14:textId="77777777" w:rsidR="00241417" w:rsidRPr="00BD3EE8" w:rsidRDefault="00241417" w:rsidP="003A71DE">
            <w:pPr>
              <w:pStyle w:val="TAC"/>
            </w:pPr>
            <w:r w:rsidRPr="00BD3EE8">
              <w:t>13</w:t>
            </w:r>
          </w:p>
        </w:tc>
        <w:tc>
          <w:tcPr>
            <w:tcW w:w="702" w:type="pct"/>
            <w:vAlign w:val="center"/>
          </w:tcPr>
          <w:p w14:paraId="3A20B66B" w14:textId="77777777" w:rsidR="00241417" w:rsidRPr="00BD3EE8" w:rsidRDefault="00241417" w:rsidP="003A71DE">
            <w:pPr>
              <w:pStyle w:val="TAC"/>
            </w:pPr>
            <w:r w:rsidRPr="00BD3EE8">
              <w:t>13</w:t>
            </w:r>
          </w:p>
        </w:tc>
        <w:tc>
          <w:tcPr>
            <w:tcW w:w="702" w:type="pct"/>
            <w:vAlign w:val="center"/>
          </w:tcPr>
          <w:p w14:paraId="1402FFE4" w14:textId="77777777" w:rsidR="00241417" w:rsidRPr="00BD3EE8" w:rsidRDefault="00241417" w:rsidP="003A71DE">
            <w:pPr>
              <w:pStyle w:val="TAC"/>
            </w:pPr>
            <w:r w:rsidRPr="00BD3EE8">
              <w:t>13</w:t>
            </w:r>
          </w:p>
        </w:tc>
      </w:tr>
      <w:tr w:rsidR="00241417" w:rsidRPr="00BD3EE8" w14:paraId="32BAF82F" w14:textId="77777777" w:rsidTr="003A71DE">
        <w:trPr>
          <w:jc w:val="center"/>
        </w:trPr>
        <w:tc>
          <w:tcPr>
            <w:tcW w:w="2308" w:type="pct"/>
            <w:vAlign w:val="center"/>
          </w:tcPr>
          <w:p w14:paraId="1C79ECFA" w14:textId="77777777" w:rsidR="00241417" w:rsidRPr="00BD3EE8" w:rsidRDefault="00241417" w:rsidP="003A71DE">
            <w:pPr>
              <w:pStyle w:val="TAC"/>
            </w:pPr>
            <w:r w:rsidRPr="00BD3EE8">
              <w:t>Modulation</w:t>
            </w:r>
          </w:p>
        </w:tc>
        <w:tc>
          <w:tcPr>
            <w:tcW w:w="588" w:type="pct"/>
            <w:vAlign w:val="center"/>
          </w:tcPr>
          <w:p w14:paraId="0C84FCEE" w14:textId="77777777" w:rsidR="00241417" w:rsidRPr="00BD3EE8" w:rsidRDefault="00241417" w:rsidP="003A71DE">
            <w:pPr>
              <w:pStyle w:val="TAC"/>
            </w:pPr>
          </w:p>
        </w:tc>
        <w:tc>
          <w:tcPr>
            <w:tcW w:w="702" w:type="pct"/>
            <w:vAlign w:val="center"/>
          </w:tcPr>
          <w:p w14:paraId="64E7DC39" w14:textId="77777777" w:rsidR="00241417" w:rsidRPr="00BD3EE8" w:rsidRDefault="00241417" w:rsidP="003A71DE">
            <w:pPr>
              <w:pStyle w:val="TAC"/>
            </w:pPr>
            <w:r w:rsidRPr="00BD3EE8">
              <w:t>16QAM</w:t>
            </w:r>
          </w:p>
        </w:tc>
        <w:tc>
          <w:tcPr>
            <w:tcW w:w="702" w:type="pct"/>
            <w:vAlign w:val="center"/>
          </w:tcPr>
          <w:p w14:paraId="2DF86587" w14:textId="77777777" w:rsidR="00241417" w:rsidRPr="00BD3EE8" w:rsidRDefault="00241417" w:rsidP="003A71DE">
            <w:pPr>
              <w:pStyle w:val="TAC"/>
            </w:pPr>
            <w:r w:rsidRPr="00BD3EE8">
              <w:t>16QAM</w:t>
            </w:r>
          </w:p>
        </w:tc>
        <w:tc>
          <w:tcPr>
            <w:tcW w:w="702" w:type="pct"/>
            <w:vAlign w:val="center"/>
          </w:tcPr>
          <w:p w14:paraId="2D5BB852" w14:textId="77777777" w:rsidR="00241417" w:rsidRPr="00BD3EE8" w:rsidRDefault="00241417" w:rsidP="003A71DE">
            <w:pPr>
              <w:pStyle w:val="TAC"/>
            </w:pPr>
            <w:r w:rsidRPr="00BD3EE8">
              <w:t>16QAM</w:t>
            </w:r>
          </w:p>
        </w:tc>
      </w:tr>
      <w:tr w:rsidR="00241417" w:rsidRPr="00BD3EE8" w14:paraId="7572E3DC" w14:textId="77777777" w:rsidTr="003A71DE">
        <w:trPr>
          <w:jc w:val="center"/>
        </w:trPr>
        <w:tc>
          <w:tcPr>
            <w:tcW w:w="2308" w:type="pct"/>
            <w:vAlign w:val="center"/>
          </w:tcPr>
          <w:p w14:paraId="49CFE71C" w14:textId="77777777" w:rsidR="00241417" w:rsidRPr="00BD3EE8" w:rsidRDefault="00241417" w:rsidP="003A71DE">
            <w:pPr>
              <w:pStyle w:val="TAC"/>
            </w:pPr>
            <w:r w:rsidRPr="00BD3EE8">
              <w:t>Target Coding Rate</w:t>
            </w:r>
          </w:p>
        </w:tc>
        <w:tc>
          <w:tcPr>
            <w:tcW w:w="588" w:type="pct"/>
            <w:vAlign w:val="center"/>
          </w:tcPr>
          <w:p w14:paraId="47E1F450" w14:textId="77777777" w:rsidR="00241417" w:rsidRPr="00BD3EE8" w:rsidRDefault="00241417" w:rsidP="003A71DE">
            <w:pPr>
              <w:pStyle w:val="TAC"/>
            </w:pPr>
          </w:p>
        </w:tc>
        <w:tc>
          <w:tcPr>
            <w:tcW w:w="702" w:type="pct"/>
            <w:vAlign w:val="center"/>
          </w:tcPr>
          <w:p w14:paraId="4266846B" w14:textId="77777777" w:rsidR="00241417" w:rsidRPr="00BD3EE8" w:rsidRDefault="00241417" w:rsidP="003A71DE">
            <w:pPr>
              <w:pStyle w:val="TAC"/>
            </w:pPr>
            <w:r w:rsidRPr="00BD3EE8">
              <w:t>0.48</w:t>
            </w:r>
          </w:p>
        </w:tc>
        <w:tc>
          <w:tcPr>
            <w:tcW w:w="702" w:type="pct"/>
            <w:vAlign w:val="center"/>
          </w:tcPr>
          <w:p w14:paraId="71F2D12A" w14:textId="77777777" w:rsidR="00241417" w:rsidRPr="00BD3EE8" w:rsidRDefault="00241417" w:rsidP="003A71DE">
            <w:pPr>
              <w:pStyle w:val="TAC"/>
            </w:pPr>
            <w:r w:rsidRPr="00BD3EE8">
              <w:t>0.48</w:t>
            </w:r>
          </w:p>
        </w:tc>
        <w:tc>
          <w:tcPr>
            <w:tcW w:w="702" w:type="pct"/>
            <w:vAlign w:val="center"/>
          </w:tcPr>
          <w:p w14:paraId="0B4F1F5D" w14:textId="77777777" w:rsidR="00241417" w:rsidRPr="00BD3EE8" w:rsidRDefault="00241417" w:rsidP="003A71DE">
            <w:pPr>
              <w:pStyle w:val="TAC"/>
            </w:pPr>
            <w:r w:rsidRPr="00BD3EE8">
              <w:t>0.48</w:t>
            </w:r>
          </w:p>
        </w:tc>
      </w:tr>
      <w:tr w:rsidR="00241417" w:rsidRPr="00BD3EE8" w14:paraId="2E9A9E96" w14:textId="77777777" w:rsidTr="003A71DE">
        <w:trPr>
          <w:jc w:val="center"/>
        </w:trPr>
        <w:tc>
          <w:tcPr>
            <w:tcW w:w="2308" w:type="pct"/>
            <w:vAlign w:val="center"/>
          </w:tcPr>
          <w:p w14:paraId="539C6E26" w14:textId="77777777" w:rsidR="00241417" w:rsidRPr="00BD3EE8" w:rsidRDefault="00241417" w:rsidP="003A71DE">
            <w:pPr>
              <w:pStyle w:val="TAC"/>
            </w:pPr>
            <w:r w:rsidRPr="00BD3EE8">
              <w:t>Number of MIMO layers</w:t>
            </w:r>
          </w:p>
        </w:tc>
        <w:tc>
          <w:tcPr>
            <w:tcW w:w="588" w:type="pct"/>
            <w:vAlign w:val="center"/>
          </w:tcPr>
          <w:p w14:paraId="333A9221" w14:textId="77777777" w:rsidR="00241417" w:rsidRPr="00BD3EE8" w:rsidRDefault="00241417" w:rsidP="003A71DE">
            <w:pPr>
              <w:pStyle w:val="TAC"/>
            </w:pPr>
          </w:p>
        </w:tc>
        <w:tc>
          <w:tcPr>
            <w:tcW w:w="702" w:type="pct"/>
            <w:vAlign w:val="center"/>
          </w:tcPr>
          <w:p w14:paraId="6904CC29" w14:textId="77777777" w:rsidR="00241417" w:rsidRPr="00BD3EE8" w:rsidRDefault="00241417" w:rsidP="003A71DE">
            <w:pPr>
              <w:pStyle w:val="TAC"/>
            </w:pPr>
            <w:r w:rsidRPr="00BD3EE8">
              <w:t>1</w:t>
            </w:r>
          </w:p>
        </w:tc>
        <w:tc>
          <w:tcPr>
            <w:tcW w:w="702" w:type="pct"/>
            <w:vAlign w:val="center"/>
          </w:tcPr>
          <w:p w14:paraId="7819285E" w14:textId="77777777" w:rsidR="00241417" w:rsidRPr="00BD3EE8" w:rsidRDefault="00241417" w:rsidP="003A71DE">
            <w:pPr>
              <w:pStyle w:val="TAC"/>
            </w:pPr>
            <w:r w:rsidRPr="00BD3EE8">
              <w:t>3</w:t>
            </w:r>
          </w:p>
        </w:tc>
        <w:tc>
          <w:tcPr>
            <w:tcW w:w="702" w:type="pct"/>
            <w:vAlign w:val="center"/>
          </w:tcPr>
          <w:p w14:paraId="782E986E" w14:textId="77777777" w:rsidR="00241417" w:rsidRPr="00BD3EE8" w:rsidRDefault="00241417" w:rsidP="003A71DE">
            <w:pPr>
              <w:pStyle w:val="TAC"/>
            </w:pPr>
            <w:r w:rsidRPr="00BD3EE8">
              <w:t>4</w:t>
            </w:r>
          </w:p>
        </w:tc>
      </w:tr>
      <w:tr w:rsidR="00241417" w:rsidRPr="00BD3EE8" w14:paraId="54C9772D" w14:textId="77777777" w:rsidTr="003A71DE">
        <w:trPr>
          <w:jc w:val="center"/>
        </w:trPr>
        <w:tc>
          <w:tcPr>
            <w:tcW w:w="2308" w:type="pct"/>
            <w:vAlign w:val="center"/>
          </w:tcPr>
          <w:p w14:paraId="7CC2A63F" w14:textId="77777777" w:rsidR="00241417" w:rsidRPr="00BD3EE8" w:rsidRDefault="00241417" w:rsidP="003A71DE">
            <w:pPr>
              <w:pStyle w:val="TAC"/>
            </w:pPr>
            <w:r w:rsidRPr="00BD3EE8">
              <w:t xml:space="preserve">Number of DMRS </w:t>
            </w:r>
            <w:r w:rsidRPr="00BD3EE8">
              <w:rPr>
                <w:rFonts w:hint="eastAsia"/>
                <w:lang w:eastAsia="zh-CN"/>
              </w:rPr>
              <w:t>REs</w:t>
            </w:r>
          </w:p>
        </w:tc>
        <w:tc>
          <w:tcPr>
            <w:tcW w:w="588" w:type="pct"/>
            <w:vAlign w:val="center"/>
          </w:tcPr>
          <w:p w14:paraId="5270C336" w14:textId="77777777" w:rsidR="00241417" w:rsidRPr="00BD3EE8" w:rsidRDefault="00241417" w:rsidP="003A71DE">
            <w:pPr>
              <w:pStyle w:val="TAC"/>
            </w:pPr>
          </w:p>
        </w:tc>
        <w:tc>
          <w:tcPr>
            <w:tcW w:w="702" w:type="pct"/>
            <w:vAlign w:val="center"/>
          </w:tcPr>
          <w:p w14:paraId="4AFDC010" w14:textId="77777777" w:rsidR="00241417" w:rsidRPr="00BD3EE8" w:rsidRDefault="00241417" w:rsidP="003A71DE">
            <w:pPr>
              <w:pStyle w:val="TAC"/>
            </w:pPr>
            <w:r>
              <w:t>12</w:t>
            </w:r>
          </w:p>
        </w:tc>
        <w:tc>
          <w:tcPr>
            <w:tcW w:w="702" w:type="pct"/>
            <w:vAlign w:val="center"/>
          </w:tcPr>
          <w:p w14:paraId="03BE10AA" w14:textId="77777777" w:rsidR="00241417" w:rsidRPr="00BD3EE8" w:rsidRDefault="00241417" w:rsidP="003A71DE">
            <w:pPr>
              <w:pStyle w:val="TAC"/>
            </w:pPr>
            <w:r>
              <w:t>24</w:t>
            </w:r>
          </w:p>
        </w:tc>
        <w:tc>
          <w:tcPr>
            <w:tcW w:w="702" w:type="pct"/>
            <w:vAlign w:val="center"/>
          </w:tcPr>
          <w:p w14:paraId="2D91FDFC" w14:textId="77777777" w:rsidR="00241417" w:rsidRPr="00BD3EE8" w:rsidRDefault="00241417" w:rsidP="003A71DE">
            <w:pPr>
              <w:pStyle w:val="TAC"/>
            </w:pPr>
            <w:r>
              <w:t>24</w:t>
            </w:r>
          </w:p>
        </w:tc>
      </w:tr>
      <w:tr w:rsidR="00241417" w:rsidRPr="00BD3EE8" w14:paraId="3AF2A273" w14:textId="77777777" w:rsidTr="003A71DE">
        <w:trPr>
          <w:jc w:val="center"/>
        </w:trPr>
        <w:tc>
          <w:tcPr>
            <w:tcW w:w="2308" w:type="pct"/>
            <w:vAlign w:val="center"/>
          </w:tcPr>
          <w:p w14:paraId="4FEDCFE4" w14:textId="77777777" w:rsidR="00241417" w:rsidRPr="00BD3EE8" w:rsidRDefault="00241417" w:rsidP="003A71DE">
            <w:pPr>
              <w:pStyle w:val="TAC"/>
            </w:pPr>
            <w:r w:rsidRPr="00BD3EE8">
              <w:t>Overhead for TBS determination</w:t>
            </w:r>
          </w:p>
        </w:tc>
        <w:tc>
          <w:tcPr>
            <w:tcW w:w="588" w:type="pct"/>
            <w:vAlign w:val="center"/>
          </w:tcPr>
          <w:p w14:paraId="714D2FCC" w14:textId="77777777" w:rsidR="00241417" w:rsidRPr="00BD3EE8" w:rsidRDefault="00241417" w:rsidP="003A71DE">
            <w:pPr>
              <w:pStyle w:val="TAC"/>
            </w:pPr>
          </w:p>
        </w:tc>
        <w:tc>
          <w:tcPr>
            <w:tcW w:w="702" w:type="pct"/>
            <w:vAlign w:val="center"/>
          </w:tcPr>
          <w:p w14:paraId="392F9A5F" w14:textId="77777777" w:rsidR="00241417" w:rsidRPr="00BD3EE8" w:rsidRDefault="00241417" w:rsidP="003A71DE">
            <w:pPr>
              <w:pStyle w:val="TAC"/>
            </w:pPr>
            <w:r w:rsidRPr="00BD3EE8">
              <w:t>0</w:t>
            </w:r>
          </w:p>
        </w:tc>
        <w:tc>
          <w:tcPr>
            <w:tcW w:w="702" w:type="pct"/>
            <w:vAlign w:val="center"/>
          </w:tcPr>
          <w:p w14:paraId="724212B0" w14:textId="77777777" w:rsidR="00241417" w:rsidRPr="00BD3EE8" w:rsidRDefault="00241417" w:rsidP="003A71DE">
            <w:pPr>
              <w:pStyle w:val="TAC"/>
            </w:pPr>
            <w:r w:rsidRPr="00BD3EE8">
              <w:t>0</w:t>
            </w:r>
          </w:p>
        </w:tc>
        <w:tc>
          <w:tcPr>
            <w:tcW w:w="702" w:type="pct"/>
            <w:vAlign w:val="center"/>
          </w:tcPr>
          <w:p w14:paraId="6BD3E485" w14:textId="77777777" w:rsidR="00241417" w:rsidRPr="00BD3EE8" w:rsidRDefault="00241417" w:rsidP="003A71DE">
            <w:pPr>
              <w:pStyle w:val="TAC"/>
            </w:pPr>
            <w:r w:rsidRPr="00BD3EE8">
              <w:t>0</w:t>
            </w:r>
          </w:p>
        </w:tc>
      </w:tr>
      <w:tr w:rsidR="00241417" w:rsidRPr="00BD3EE8" w14:paraId="38621809" w14:textId="77777777" w:rsidTr="003A71DE">
        <w:trPr>
          <w:jc w:val="center"/>
        </w:trPr>
        <w:tc>
          <w:tcPr>
            <w:tcW w:w="2308" w:type="pct"/>
            <w:vAlign w:val="center"/>
          </w:tcPr>
          <w:p w14:paraId="094EF16B" w14:textId="77777777" w:rsidR="00241417" w:rsidRPr="00BD3EE8" w:rsidRDefault="00241417" w:rsidP="003A71DE">
            <w:pPr>
              <w:pStyle w:val="TAC"/>
            </w:pPr>
            <w:r w:rsidRPr="00BD3EE8">
              <w:t xml:space="preserve">Information Bit Payload per Slot </w:t>
            </w:r>
          </w:p>
        </w:tc>
        <w:tc>
          <w:tcPr>
            <w:tcW w:w="588" w:type="pct"/>
            <w:vAlign w:val="center"/>
          </w:tcPr>
          <w:p w14:paraId="34904EF8" w14:textId="77777777" w:rsidR="00241417" w:rsidRPr="00BD3EE8" w:rsidRDefault="00241417" w:rsidP="003A71DE">
            <w:pPr>
              <w:pStyle w:val="TAC"/>
            </w:pPr>
          </w:p>
        </w:tc>
        <w:tc>
          <w:tcPr>
            <w:tcW w:w="702" w:type="pct"/>
            <w:vAlign w:val="center"/>
          </w:tcPr>
          <w:p w14:paraId="1F32434F" w14:textId="77777777" w:rsidR="00241417" w:rsidRPr="00BD3EE8" w:rsidRDefault="00241417" w:rsidP="003A71DE">
            <w:pPr>
              <w:pStyle w:val="TAC"/>
            </w:pPr>
            <w:r w:rsidRPr="00BD3EE8">
              <w:t>26632</w:t>
            </w:r>
          </w:p>
        </w:tc>
        <w:tc>
          <w:tcPr>
            <w:tcW w:w="702" w:type="pct"/>
            <w:vAlign w:val="center"/>
          </w:tcPr>
          <w:p w14:paraId="664CDE8D" w14:textId="77777777" w:rsidR="00241417" w:rsidRPr="00BD3EE8" w:rsidRDefault="00241417" w:rsidP="003A71DE">
            <w:pPr>
              <w:pStyle w:val="TAC"/>
            </w:pPr>
            <w:r w:rsidRPr="00BD3EE8">
              <w:t>73776</w:t>
            </w:r>
          </w:p>
        </w:tc>
        <w:tc>
          <w:tcPr>
            <w:tcW w:w="702" w:type="pct"/>
            <w:vAlign w:val="center"/>
          </w:tcPr>
          <w:p w14:paraId="2E02B18C" w14:textId="77777777" w:rsidR="00241417" w:rsidRPr="00BD3EE8" w:rsidRDefault="00241417" w:rsidP="003A71DE">
            <w:pPr>
              <w:pStyle w:val="TAC"/>
            </w:pPr>
            <w:r w:rsidRPr="00BD3EE8">
              <w:t>98376</w:t>
            </w:r>
          </w:p>
        </w:tc>
      </w:tr>
      <w:tr w:rsidR="00241417" w:rsidRPr="00BD3EE8" w14:paraId="0953EECE" w14:textId="77777777" w:rsidTr="003A71DE">
        <w:trPr>
          <w:jc w:val="center"/>
        </w:trPr>
        <w:tc>
          <w:tcPr>
            <w:tcW w:w="2308" w:type="pct"/>
            <w:vAlign w:val="center"/>
          </w:tcPr>
          <w:p w14:paraId="2640D262" w14:textId="77777777" w:rsidR="00241417" w:rsidRPr="00BD3EE8" w:rsidRDefault="00241417" w:rsidP="003A71DE">
            <w:pPr>
              <w:pStyle w:val="TAC"/>
              <w:rPr>
                <w:lang w:val="sv-FI"/>
              </w:rPr>
            </w:pPr>
            <w:r w:rsidRPr="00BD3EE8">
              <w:rPr>
                <w:lang w:val="sv-FI"/>
              </w:rPr>
              <w:t>Transport block CRC per Slot</w:t>
            </w:r>
          </w:p>
        </w:tc>
        <w:tc>
          <w:tcPr>
            <w:tcW w:w="588" w:type="pct"/>
            <w:vAlign w:val="center"/>
          </w:tcPr>
          <w:p w14:paraId="1FD3CD86" w14:textId="77777777" w:rsidR="00241417" w:rsidRPr="00BD3EE8" w:rsidRDefault="00241417" w:rsidP="003A71DE">
            <w:pPr>
              <w:pStyle w:val="TAC"/>
              <w:rPr>
                <w:lang w:val="sv-FI"/>
              </w:rPr>
            </w:pPr>
          </w:p>
        </w:tc>
        <w:tc>
          <w:tcPr>
            <w:tcW w:w="702" w:type="pct"/>
            <w:vAlign w:val="center"/>
          </w:tcPr>
          <w:p w14:paraId="1B8051F1" w14:textId="77777777" w:rsidR="00241417" w:rsidRPr="00BD3EE8" w:rsidRDefault="00241417" w:rsidP="003A71DE">
            <w:pPr>
              <w:pStyle w:val="TAC"/>
              <w:rPr>
                <w:lang w:val="sv-FI"/>
              </w:rPr>
            </w:pPr>
            <w:r>
              <w:rPr>
                <w:lang w:val="sv-FI"/>
              </w:rPr>
              <w:t>24</w:t>
            </w:r>
          </w:p>
        </w:tc>
        <w:tc>
          <w:tcPr>
            <w:tcW w:w="702" w:type="pct"/>
            <w:vAlign w:val="center"/>
          </w:tcPr>
          <w:p w14:paraId="24D4503C" w14:textId="77777777" w:rsidR="00241417" w:rsidRPr="00BD3EE8" w:rsidRDefault="00241417" w:rsidP="003A71DE">
            <w:pPr>
              <w:pStyle w:val="TAC"/>
              <w:rPr>
                <w:lang w:val="sv-FI"/>
              </w:rPr>
            </w:pPr>
            <w:r>
              <w:rPr>
                <w:lang w:val="sv-FI"/>
              </w:rPr>
              <w:t>24</w:t>
            </w:r>
          </w:p>
        </w:tc>
        <w:tc>
          <w:tcPr>
            <w:tcW w:w="702" w:type="pct"/>
            <w:vAlign w:val="center"/>
          </w:tcPr>
          <w:p w14:paraId="0016E4CB" w14:textId="77777777" w:rsidR="00241417" w:rsidRPr="00BD3EE8" w:rsidRDefault="00241417" w:rsidP="003A71DE">
            <w:pPr>
              <w:pStyle w:val="TAC"/>
              <w:rPr>
                <w:lang w:val="sv-FI"/>
              </w:rPr>
            </w:pPr>
            <w:r>
              <w:rPr>
                <w:lang w:val="sv-FI"/>
              </w:rPr>
              <w:t>24</w:t>
            </w:r>
          </w:p>
        </w:tc>
      </w:tr>
      <w:tr w:rsidR="00241417" w:rsidRPr="00BD3EE8" w14:paraId="0FF91E98" w14:textId="77777777" w:rsidTr="003A71DE">
        <w:trPr>
          <w:jc w:val="center"/>
        </w:trPr>
        <w:tc>
          <w:tcPr>
            <w:tcW w:w="2308" w:type="pct"/>
            <w:vAlign w:val="center"/>
          </w:tcPr>
          <w:p w14:paraId="73FD0B02" w14:textId="77777777" w:rsidR="00241417" w:rsidRPr="00AD765F" w:rsidRDefault="00241417" w:rsidP="003A71DE">
            <w:pPr>
              <w:pStyle w:val="TAC"/>
            </w:pPr>
            <w:r w:rsidRPr="00AD765F">
              <w:t>Number of Code Blocks per Slot</w:t>
            </w:r>
          </w:p>
        </w:tc>
        <w:tc>
          <w:tcPr>
            <w:tcW w:w="588" w:type="pct"/>
            <w:vAlign w:val="center"/>
          </w:tcPr>
          <w:p w14:paraId="4D9C3FBC" w14:textId="77777777" w:rsidR="00241417" w:rsidRPr="00AD765F" w:rsidRDefault="00241417" w:rsidP="003A71DE">
            <w:pPr>
              <w:pStyle w:val="TAC"/>
            </w:pPr>
          </w:p>
        </w:tc>
        <w:tc>
          <w:tcPr>
            <w:tcW w:w="702" w:type="pct"/>
            <w:vAlign w:val="center"/>
          </w:tcPr>
          <w:p w14:paraId="7E45E83C" w14:textId="77777777" w:rsidR="00241417" w:rsidRPr="00BD3EE8" w:rsidRDefault="00241417" w:rsidP="003A71DE">
            <w:pPr>
              <w:pStyle w:val="TAC"/>
            </w:pPr>
            <w:r>
              <w:t>4</w:t>
            </w:r>
          </w:p>
        </w:tc>
        <w:tc>
          <w:tcPr>
            <w:tcW w:w="702" w:type="pct"/>
            <w:vAlign w:val="center"/>
          </w:tcPr>
          <w:p w14:paraId="5AEB36F0" w14:textId="77777777" w:rsidR="00241417" w:rsidRPr="00BD3EE8" w:rsidRDefault="00241417" w:rsidP="003A71DE">
            <w:pPr>
              <w:pStyle w:val="TAC"/>
            </w:pPr>
            <w:r>
              <w:t>9</w:t>
            </w:r>
          </w:p>
        </w:tc>
        <w:tc>
          <w:tcPr>
            <w:tcW w:w="702" w:type="pct"/>
            <w:vAlign w:val="center"/>
          </w:tcPr>
          <w:p w14:paraId="0CA779D2" w14:textId="77777777" w:rsidR="00241417" w:rsidRPr="00BD3EE8" w:rsidRDefault="00241417" w:rsidP="003A71DE">
            <w:pPr>
              <w:pStyle w:val="TAC"/>
            </w:pPr>
            <w:r>
              <w:t>12</w:t>
            </w:r>
          </w:p>
        </w:tc>
      </w:tr>
      <w:tr w:rsidR="00241417" w:rsidRPr="00BD3EE8" w14:paraId="6A40B6E8" w14:textId="77777777" w:rsidTr="003A71DE">
        <w:trPr>
          <w:trHeight w:val="278"/>
          <w:jc w:val="center"/>
        </w:trPr>
        <w:tc>
          <w:tcPr>
            <w:tcW w:w="2308" w:type="pct"/>
            <w:vAlign w:val="center"/>
          </w:tcPr>
          <w:p w14:paraId="631774A0" w14:textId="77777777" w:rsidR="00241417" w:rsidRPr="00BD3EE8" w:rsidRDefault="00241417" w:rsidP="003A71DE">
            <w:pPr>
              <w:pStyle w:val="TAC"/>
            </w:pPr>
            <w:r w:rsidRPr="00BD3EE8">
              <w:t>Binary Channel Bits Per Slot</w:t>
            </w:r>
          </w:p>
        </w:tc>
        <w:tc>
          <w:tcPr>
            <w:tcW w:w="588" w:type="pct"/>
            <w:vAlign w:val="center"/>
          </w:tcPr>
          <w:p w14:paraId="15E1FBF0" w14:textId="77777777" w:rsidR="00241417" w:rsidRPr="00BD3EE8" w:rsidRDefault="00241417" w:rsidP="003A71DE">
            <w:pPr>
              <w:pStyle w:val="TAC"/>
            </w:pPr>
          </w:p>
        </w:tc>
        <w:tc>
          <w:tcPr>
            <w:tcW w:w="702" w:type="pct"/>
            <w:vAlign w:val="center"/>
          </w:tcPr>
          <w:p w14:paraId="198AE98D" w14:textId="77777777" w:rsidR="00241417" w:rsidRPr="00BD3EE8" w:rsidRDefault="00241417" w:rsidP="003A71DE">
            <w:pPr>
              <w:pStyle w:val="TAC"/>
            </w:pPr>
            <w:r w:rsidRPr="00BD3EE8">
              <w:t>55968</w:t>
            </w:r>
          </w:p>
        </w:tc>
        <w:tc>
          <w:tcPr>
            <w:tcW w:w="702" w:type="pct"/>
            <w:vAlign w:val="center"/>
          </w:tcPr>
          <w:p w14:paraId="012E8504" w14:textId="77777777" w:rsidR="00241417" w:rsidRPr="00BD3EE8" w:rsidRDefault="00241417" w:rsidP="003A71DE">
            <w:pPr>
              <w:pStyle w:val="TAC"/>
            </w:pPr>
            <w:r w:rsidRPr="00BD3EE8">
              <w:t>152640</w:t>
            </w:r>
          </w:p>
        </w:tc>
        <w:tc>
          <w:tcPr>
            <w:tcW w:w="702" w:type="pct"/>
            <w:vAlign w:val="center"/>
          </w:tcPr>
          <w:p w14:paraId="70B1A62B" w14:textId="77777777" w:rsidR="00241417" w:rsidRPr="00BD3EE8" w:rsidRDefault="00241417" w:rsidP="003A71DE">
            <w:pPr>
              <w:pStyle w:val="TAC"/>
            </w:pPr>
            <w:r w:rsidRPr="00BD3EE8">
              <w:t>203520</w:t>
            </w:r>
          </w:p>
        </w:tc>
      </w:tr>
    </w:tbl>
    <w:p w14:paraId="4FB5CE41" w14:textId="77777777" w:rsidR="00241417" w:rsidRDefault="00241417" w:rsidP="00241417"/>
    <w:p w14:paraId="0CB663A4" w14:textId="77777777" w:rsidR="00241417" w:rsidRPr="00AD765F" w:rsidRDefault="00241417" w:rsidP="00241417">
      <w:pPr>
        <w:pStyle w:val="TH"/>
        <w:rPr>
          <w:lang w:eastAsia="zh-CN"/>
        </w:rPr>
      </w:pPr>
      <w:r w:rsidRPr="00AD765F">
        <w:t>Table A.</w:t>
      </w:r>
      <w:r w:rsidRPr="00AD765F">
        <w:rPr>
          <w:lang w:eastAsia="zh-CN"/>
        </w:rPr>
        <w:t>3.1</w:t>
      </w:r>
      <w:r w:rsidRPr="00AD765F">
        <w:t>-2: FRC parameters for</w:t>
      </w:r>
      <w:r w:rsidRPr="00AD765F">
        <w:rPr>
          <w:lang w:eastAsia="zh-CN"/>
        </w:rPr>
        <w:t xml:space="preserve"> FR2 PDSCH </w:t>
      </w:r>
      <w:r w:rsidRPr="00AD765F">
        <w:t>performance requirements</w:t>
      </w:r>
      <w:r w:rsidRPr="00AD765F">
        <w:rPr>
          <w:lang w:eastAsia="zh-CN"/>
        </w:rPr>
        <w:t>, 1-2 transmission layers, 16QAM</w:t>
      </w:r>
    </w:p>
    <w:tbl>
      <w:tblPr>
        <w:tblW w:w="39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40"/>
        <w:gridCol w:w="855"/>
        <w:gridCol w:w="1209"/>
        <w:gridCol w:w="1030"/>
        <w:gridCol w:w="1032"/>
      </w:tblGrid>
      <w:tr w:rsidR="00241417" w:rsidRPr="00C25669" w14:paraId="4B7F2123" w14:textId="77777777" w:rsidTr="003A71DE">
        <w:trPr>
          <w:jc w:val="center"/>
        </w:trPr>
        <w:tc>
          <w:tcPr>
            <w:tcW w:w="2273" w:type="pct"/>
            <w:shd w:val="clear" w:color="auto" w:fill="auto"/>
            <w:vAlign w:val="center"/>
          </w:tcPr>
          <w:p w14:paraId="4C193DC1" w14:textId="77777777" w:rsidR="00241417" w:rsidRPr="00C25669" w:rsidRDefault="00241417" w:rsidP="003A71DE">
            <w:pPr>
              <w:pStyle w:val="TAH"/>
            </w:pPr>
            <w:r w:rsidRPr="00C25669">
              <w:t>Parameter</w:t>
            </w:r>
          </w:p>
        </w:tc>
        <w:tc>
          <w:tcPr>
            <w:tcW w:w="565" w:type="pct"/>
            <w:shd w:val="clear" w:color="auto" w:fill="auto"/>
            <w:vAlign w:val="center"/>
          </w:tcPr>
          <w:p w14:paraId="7F62F146" w14:textId="77777777" w:rsidR="00241417" w:rsidRPr="00C25669" w:rsidRDefault="00241417" w:rsidP="003A71DE">
            <w:pPr>
              <w:pStyle w:val="TAH"/>
            </w:pPr>
            <w:r w:rsidRPr="00C25669">
              <w:t>Unit</w:t>
            </w:r>
          </w:p>
        </w:tc>
        <w:tc>
          <w:tcPr>
            <w:tcW w:w="2162" w:type="pct"/>
            <w:gridSpan w:val="3"/>
            <w:shd w:val="clear" w:color="auto" w:fill="auto"/>
            <w:vAlign w:val="center"/>
          </w:tcPr>
          <w:p w14:paraId="11CEF44E" w14:textId="77777777" w:rsidR="00241417" w:rsidRPr="00C25669" w:rsidRDefault="00241417" w:rsidP="003A71DE">
            <w:pPr>
              <w:pStyle w:val="TAH"/>
            </w:pPr>
            <w:r w:rsidRPr="00C25669">
              <w:t>Value</w:t>
            </w:r>
          </w:p>
        </w:tc>
      </w:tr>
      <w:tr w:rsidR="00241417" w:rsidRPr="00C25669" w14:paraId="12097FC5" w14:textId="77777777" w:rsidTr="003A71DE">
        <w:trPr>
          <w:jc w:val="center"/>
        </w:trPr>
        <w:tc>
          <w:tcPr>
            <w:tcW w:w="2273" w:type="pct"/>
            <w:vAlign w:val="center"/>
          </w:tcPr>
          <w:p w14:paraId="67271C85" w14:textId="77777777" w:rsidR="00241417" w:rsidRPr="00C25669" w:rsidRDefault="00241417" w:rsidP="003A71DE">
            <w:pPr>
              <w:pStyle w:val="TAC"/>
            </w:pPr>
            <w:r w:rsidRPr="00C25669">
              <w:t>Reference channel</w:t>
            </w:r>
          </w:p>
        </w:tc>
        <w:tc>
          <w:tcPr>
            <w:tcW w:w="565" w:type="pct"/>
            <w:vAlign w:val="center"/>
          </w:tcPr>
          <w:p w14:paraId="627E0E3B" w14:textId="77777777" w:rsidR="00241417" w:rsidRPr="00C25669" w:rsidRDefault="00241417" w:rsidP="003A71DE">
            <w:pPr>
              <w:pStyle w:val="TAC"/>
            </w:pPr>
          </w:p>
        </w:tc>
        <w:tc>
          <w:tcPr>
            <w:tcW w:w="799" w:type="pct"/>
            <w:vAlign w:val="center"/>
          </w:tcPr>
          <w:p w14:paraId="18F4C733" w14:textId="77777777" w:rsidR="00241417" w:rsidRPr="00C25669" w:rsidRDefault="00241417" w:rsidP="003A71DE">
            <w:pPr>
              <w:pStyle w:val="TAC"/>
            </w:pPr>
            <w:r>
              <w:t>M-FR2-A.3.1-1</w:t>
            </w:r>
          </w:p>
        </w:tc>
        <w:tc>
          <w:tcPr>
            <w:tcW w:w="681" w:type="pct"/>
            <w:vAlign w:val="center"/>
          </w:tcPr>
          <w:p w14:paraId="018ABA3C" w14:textId="77777777" w:rsidR="00241417" w:rsidRPr="00C25669" w:rsidRDefault="00241417" w:rsidP="003A71DE">
            <w:pPr>
              <w:pStyle w:val="TAC"/>
              <w:rPr>
                <w:lang w:eastAsia="zh-CN"/>
              </w:rPr>
            </w:pPr>
            <w:r>
              <w:t>M-FR2-A.3.1-2</w:t>
            </w:r>
          </w:p>
        </w:tc>
        <w:tc>
          <w:tcPr>
            <w:tcW w:w="681" w:type="pct"/>
            <w:vAlign w:val="center"/>
          </w:tcPr>
          <w:p w14:paraId="421746F2" w14:textId="77777777" w:rsidR="00241417" w:rsidRPr="00C25669" w:rsidRDefault="00241417" w:rsidP="003A71DE">
            <w:pPr>
              <w:pStyle w:val="TAC"/>
            </w:pPr>
            <w:r>
              <w:t>M-FR2-A.3.1-3</w:t>
            </w:r>
          </w:p>
        </w:tc>
      </w:tr>
      <w:tr w:rsidR="00241417" w:rsidRPr="00C25669" w14:paraId="6FB96223" w14:textId="77777777" w:rsidTr="003A71DE">
        <w:trPr>
          <w:jc w:val="center"/>
        </w:trPr>
        <w:tc>
          <w:tcPr>
            <w:tcW w:w="2273" w:type="pct"/>
          </w:tcPr>
          <w:p w14:paraId="11775CF2" w14:textId="77777777" w:rsidR="00241417" w:rsidRPr="00C25669" w:rsidRDefault="00241417" w:rsidP="003A71DE">
            <w:pPr>
              <w:pStyle w:val="TAC"/>
            </w:pPr>
            <w:r w:rsidRPr="00C25669">
              <w:t>Channel bandwidth</w:t>
            </w:r>
          </w:p>
        </w:tc>
        <w:tc>
          <w:tcPr>
            <w:tcW w:w="565" w:type="pct"/>
            <w:vAlign w:val="center"/>
          </w:tcPr>
          <w:p w14:paraId="2B35621E" w14:textId="77777777" w:rsidR="00241417" w:rsidRPr="00C25669" w:rsidRDefault="00241417" w:rsidP="003A71DE">
            <w:pPr>
              <w:pStyle w:val="TAC"/>
            </w:pPr>
            <w:r w:rsidRPr="00C25669">
              <w:t>MHz</w:t>
            </w:r>
          </w:p>
        </w:tc>
        <w:tc>
          <w:tcPr>
            <w:tcW w:w="799" w:type="pct"/>
            <w:vAlign w:val="center"/>
          </w:tcPr>
          <w:p w14:paraId="3A01E733" w14:textId="77777777" w:rsidR="00241417" w:rsidRPr="00C25669" w:rsidRDefault="00241417" w:rsidP="003A71DE">
            <w:pPr>
              <w:pStyle w:val="TAC"/>
            </w:pPr>
            <w:r w:rsidRPr="00C25669">
              <w:t>50</w:t>
            </w:r>
          </w:p>
        </w:tc>
        <w:tc>
          <w:tcPr>
            <w:tcW w:w="681" w:type="pct"/>
            <w:vAlign w:val="center"/>
          </w:tcPr>
          <w:p w14:paraId="760F623F" w14:textId="77777777" w:rsidR="00241417" w:rsidRPr="00C25669" w:rsidRDefault="00241417" w:rsidP="003A71DE">
            <w:pPr>
              <w:pStyle w:val="TAC"/>
            </w:pPr>
            <w:r w:rsidRPr="00C25669">
              <w:t>100</w:t>
            </w:r>
          </w:p>
        </w:tc>
        <w:tc>
          <w:tcPr>
            <w:tcW w:w="681" w:type="pct"/>
            <w:vAlign w:val="center"/>
          </w:tcPr>
          <w:p w14:paraId="4738F91B" w14:textId="77777777" w:rsidR="00241417" w:rsidRPr="00C25669" w:rsidRDefault="00241417" w:rsidP="003A71DE">
            <w:pPr>
              <w:pStyle w:val="TAC"/>
            </w:pPr>
            <w:r w:rsidRPr="00C25669">
              <w:t>100</w:t>
            </w:r>
          </w:p>
        </w:tc>
      </w:tr>
      <w:tr w:rsidR="00241417" w:rsidRPr="00C25669" w14:paraId="302E80A4" w14:textId="77777777" w:rsidTr="003A71DE">
        <w:trPr>
          <w:jc w:val="center"/>
        </w:trPr>
        <w:tc>
          <w:tcPr>
            <w:tcW w:w="2273" w:type="pct"/>
          </w:tcPr>
          <w:p w14:paraId="35F6D70B" w14:textId="77777777" w:rsidR="00241417" w:rsidRPr="00C25669" w:rsidRDefault="00241417" w:rsidP="003A71DE">
            <w:pPr>
              <w:pStyle w:val="TAC"/>
            </w:pPr>
            <w:r w:rsidRPr="00C25669">
              <w:t>Subcarrier spacing</w:t>
            </w:r>
          </w:p>
        </w:tc>
        <w:tc>
          <w:tcPr>
            <w:tcW w:w="565" w:type="pct"/>
            <w:vAlign w:val="center"/>
          </w:tcPr>
          <w:p w14:paraId="59A4A46D" w14:textId="77777777" w:rsidR="00241417" w:rsidRPr="00C25669" w:rsidRDefault="00241417" w:rsidP="003A71DE">
            <w:pPr>
              <w:pStyle w:val="TAC"/>
            </w:pPr>
            <w:r w:rsidRPr="00C25669">
              <w:t>kHz</w:t>
            </w:r>
          </w:p>
        </w:tc>
        <w:tc>
          <w:tcPr>
            <w:tcW w:w="799" w:type="pct"/>
            <w:vAlign w:val="center"/>
          </w:tcPr>
          <w:p w14:paraId="1C44C4DD" w14:textId="77777777" w:rsidR="00241417" w:rsidRPr="00C25669" w:rsidRDefault="00241417" w:rsidP="003A71DE">
            <w:pPr>
              <w:pStyle w:val="TAC"/>
            </w:pPr>
            <w:r w:rsidRPr="00C25669">
              <w:t>60</w:t>
            </w:r>
          </w:p>
        </w:tc>
        <w:tc>
          <w:tcPr>
            <w:tcW w:w="681" w:type="pct"/>
            <w:vAlign w:val="center"/>
          </w:tcPr>
          <w:p w14:paraId="15410EE8" w14:textId="77777777" w:rsidR="00241417" w:rsidRPr="00C25669" w:rsidRDefault="00241417" w:rsidP="003A71DE">
            <w:pPr>
              <w:pStyle w:val="TAC"/>
            </w:pPr>
            <w:r w:rsidRPr="00C25669">
              <w:t>120</w:t>
            </w:r>
          </w:p>
        </w:tc>
        <w:tc>
          <w:tcPr>
            <w:tcW w:w="681" w:type="pct"/>
            <w:vAlign w:val="center"/>
          </w:tcPr>
          <w:p w14:paraId="7BE58BBB" w14:textId="77777777" w:rsidR="00241417" w:rsidRPr="00C25669" w:rsidRDefault="00241417" w:rsidP="003A71DE">
            <w:pPr>
              <w:pStyle w:val="TAC"/>
            </w:pPr>
            <w:r w:rsidRPr="00C25669">
              <w:t>120</w:t>
            </w:r>
          </w:p>
        </w:tc>
      </w:tr>
      <w:tr w:rsidR="00241417" w:rsidRPr="00C25669" w14:paraId="69B3AEBC" w14:textId="77777777" w:rsidTr="003A71DE">
        <w:trPr>
          <w:jc w:val="center"/>
        </w:trPr>
        <w:tc>
          <w:tcPr>
            <w:tcW w:w="2273" w:type="pct"/>
          </w:tcPr>
          <w:p w14:paraId="0309E93A" w14:textId="77777777" w:rsidR="00241417" w:rsidRPr="00C25669" w:rsidRDefault="00241417" w:rsidP="003A71DE">
            <w:pPr>
              <w:pStyle w:val="TAC"/>
            </w:pPr>
            <w:r w:rsidRPr="00C25669">
              <w:t>Allocated resource blocks</w:t>
            </w:r>
          </w:p>
        </w:tc>
        <w:tc>
          <w:tcPr>
            <w:tcW w:w="565" w:type="pct"/>
            <w:vAlign w:val="center"/>
          </w:tcPr>
          <w:p w14:paraId="2E44FAC9" w14:textId="77777777" w:rsidR="00241417" w:rsidRPr="00C25669" w:rsidRDefault="00241417" w:rsidP="003A71DE">
            <w:pPr>
              <w:pStyle w:val="TAC"/>
            </w:pPr>
            <w:r w:rsidRPr="00C25669">
              <w:t>PRBs</w:t>
            </w:r>
          </w:p>
        </w:tc>
        <w:tc>
          <w:tcPr>
            <w:tcW w:w="799" w:type="pct"/>
            <w:vAlign w:val="center"/>
          </w:tcPr>
          <w:p w14:paraId="2755CB03" w14:textId="77777777" w:rsidR="00241417" w:rsidRPr="00C25669" w:rsidRDefault="00241417" w:rsidP="003A71DE">
            <w:pPr>
              <w:pStyle w:val="TAC"/>
            </w:pPr>
            <w:r w:rsidRPr="00C25669">
              <w:t>66</w:t>
            </w:r>
          </w:p>
        </w:tc>
        <w:tc>
          <w:tcPr>
            <w:tcW w:w="681" w:type="pct"/>
            <w:vAlign w:val="center"/>
          </w:tcPr>
          <w:p w14:paraId="215A0257" w14:textId="77777777" w:rsidR="00241417" w:rsidRPr="00C25669" w:rsidRDefault="00241417" w:rsidP="003A71DE">
            <w:pPr>
              <w:pStyle w:val="TAC"/>
            </w:pPr>
            <w:r w:rsidRPr="00C25669">
              <w:t>66</w:t>
            </w:r>
          </w:p>
        </w:tc>
        <w:tc>
          <w:tcPr>
            <w:tcW w:w="681" w:type="pct"/>
            <w:vAlign w:val="center"/>
          </w:tcPr>
          <w:p w14:paraId="15188BB0" w14:textId="77777777" w:rsidR="00241417" w:rsidRPr="00C25669" w:rsidRDefault="00241417" w:rsidP="003A71DE">
            <w:pPr>
              <w:pStyle w:val="TAC"/>
            </w:pPr>
            <w:r w:rsidRPr="00C25669">
              <w:t>66</w:t>
            </w:r>
          </w:p>
        </w:tc>
      </w:tr>
      <w:tr w:rsidR="00241417" w:rsidRPr="00272C8A" w14:paraId="2B082EFC" w14:textId="77777777" w:rsidTr="003A71DE">
        <w:trPr>
          <w:jc w:val="center"/>
        </w:trPr>
        <w:tc>
          <w:tcPr>
            <w:tcW w:w="2273" w:type="pct"/>
          </w:tcPr>
          <w:p w14:paraId="2D434D4C" w14:textId="77777777" w:rsidR="00241417" w:rsidRPr="006C7AF4" w:rsidRDefault="00241417" w:rsidP="003A71DE">
            <w:pPr>
              <w:pStyle w:val="TAC"/>
              <w:rPr>
                <w:rFonts w:eastAsiaTheme="minorHAnsi"/>
              </w:rPr>
            </w:pPr>
            <w:r w:rsidRPr="006C7AF4">
              <w:rPr>
                <w:rFonts w:eastAsiaTheme="minorHAnsi"/>
              </w:rPr>
              <w:t>Number of consecutive PDSCH symbols</w:t>
            </w:r>
          </w:p>
        </w:tc>
        <w:tc>
          <w:tcPr>
            <w:tcW w:w="565" w:type="pct"/>
            <w:vAlign w:val="center"/>
          </w:tcPr>
          <w:p w14:paraId="09F91EC6" w14:textId="77777777" w:rsidR="00241417" w:rsidRPr="006C7AF4" w:rsidRDefault="00241417" w:rsidP="003A71DE">
            <w:pPr>
              <w:pStyle w:val="TAC"/>
              <w:rPr>
                <w:rFonts w:eastAsiaTheme="minorHAnsi"/>
              </w:rPr>
            </w:pPr>
          </w:p>
        </w:tc>
        <w:tc>
          <w:tcPr>
            <w:tcW w:w="799" w:type="pct"/>
            <w:vAlign w:val="center"/>
          </w:tcPr>
          <w:p w14:paraId="351E5451" w14:textId="77777777" w:rsidR="00241417" w:rsidRPr="006C7AF4" w:rsidRDefault="00241417" w:rsidP="003A71DE">
            <w:pPr>
              <w:pStyle w:val="TAC"/>
              <w:rPr>
                <w:rFonts w:eastAsiaTheme="minorHAnsi"/>
              </w:rPr>
            </w:pPr>
            <w:r>
              <w:t>13</w:t>
            </w:r>
          </w:p>
        </w:tc>
        <w:tc>
          <w:tcPr>
            <w:tcW w:w="681" w:type="pct"/>
            <w:vAlign w:val="center"/>
          </w:tcPr>
          <w:p w14:paraId="67957EB7" w14:textId="77777777" w:rsidR="00241417" w:rsidRPr="006C7AF4" w:rsidRDefault="00241417" w:rsidP="003A71DE">
            <w:pPr>
              <w:pStyle w:val="TAC"/>
              <w:rPr>
                <w:rFonts w:eastAsiaTheme="minorHAnsi"/>
              </w:rPr>
            </w:pPr>
            <w:r>
              <w:t>13</w:t>
            </w:r>
          </w:p>
        </w:tc>
        <w:tc>
          <w:tcPr>
            <w:tcW w:w="681" w:type="pct"/>
            <w:vAlign w:val="center"/>
          </w:tcPr>
          <w:p w14:paraId="6D2B23C5" w14:textId="77777777" w:rsidR="00241417" w:rsidRPr="006C7AF4" w:rsidRDefault="00241417" w:rsidP="003A71DE">
            <w:pPr>
              <w:pStyle w:val="TAC"/>
              <w:rPr>
                <w:rFonts w:eastAsiaTheme="minorHAnsi"/>
              </w:rPr>
            </w:pPr>
            <w:r>
              <w:t>13</w:t>
            </w:r>
          </w:p>
        </w:tc>
      </w:tr>
      <w:tr w:rsidR="00241417" w:rsidRPr="00C25669" w14:paraId="77748E1D" w14:textId="77777777" w:rsidTr="003A71DE">
        <w:trPr>
          <w:jc w:val="center"/>
        </w:trPr>
        <w:tc>
          <w:tcPr>
            <w:tcW w:w="2273" w:type="pct"/>
          </w:tcPr>
          <w:p w14:paraId="73FF3B1B" w14:textId="77777777" w:rsidR="00241417" w:rsidRPr="00C25669" w:rsidRDefault="00241417" w:rsidP="003A71DE">
            <w:pPr>
              <w:pStyle w:val="TAC"/>
            </w:pPr>
            <w:r w:rsidRPr="00C25669">
              <w:t>MCS table</w:t>
            </w:r>
          </w:p>
        </w:tc>
        <w:tc>
          <w:tcPr>
            <w:tcW w:w="565" w:type="pct"/>
            <w:vAlign w:val="center"/>
          </w:tcPr>
          <w:p w14:paraId="218B788A" w14:textId="77777777" w:rsidR="00241417" w:rsidRPr="00C25669" w:rsidRDefault="00241417" w:rsidP="003A71DE">
            <w:pPr>
              <w:pStyle w:val="TAC"/>
            </w:pPr>
          </w:p>
        </w:tc>
        <w:tc>
          <w:tcPr>
            <w:tcW w:w="799" w:type="pct"/>
            <w:vAlign w:val="center"/>
          </w:tcPr>
          <w:p w14:paraId="7E9C182D" w14:textId="77777777" w:rsidR="00241417" w:rsidRPr="00C25669" w:rsidRDefault="00241417" w:rsidP="003A71DE">
            <w:pPr>
              <w:pStyle w:val="TAC"/>
            </w:pPr>
            <w:r w:rsidRPr="00C25669">
              <w:t>64QAM</w:t>
            </w:r>
          </w:p>
        </w:tc>
        <w:tc>
          <w:tcPr>
            <w:tcW w:w="681" w:type="pct"/>
            <w:vAlign w:val="center"/>
          </w:tcPr>
          <w:p w14:paraId="45587294" w14:textId="77777777" w:rsidR="00241417" w:rsidRPr="00C25669" w:rsidRDefault="00241417" w:rsidP="003A71DE">
            <w:pPr>
              <w:pStyle w:val="TAC"/>
            </w:pPr>
            <w:r w:rsidRPr="00C25669">
              <w:t>64QAM</w:t>
            </w:r>
          </w:p>
        </w:tc>
        <w:tc>
          <w:tcPr>
            <w:tcW w:w="681" w:type="pct"/>
            <w:vAlign w:val="center"/>
          </w:tcPr>
          <w:p w14:paraId="6D3077E5" w14:textId="77777777" w:rsidR="00241417" w:rsidRPr="00C25669" w:rsidRDefault="00241417" w:rsidP="003A71DE">
            <w:pPr>
              <w:pStyle w:val="TAC"/>
            </w:pPr>
            <w:r w:rsidRPr="00C25669">
              <w:t>64QAM</w:t>
            </w:r>
          </w:p>
        </w:tc>
      </w:tr>
      <w:tr w:rsidR="00241417" w:rsidRPr="00C25669" w14:paraId="1B0A6ED9" w14:textId="77777777" w:rsidTr="003A71DE">
        <w:trPr>
          <w:jc w:val="center"/>
        </w:trPr>
        <w:tc>
          <w:tcPr>
            <w:tcW w:w="2273" w:type="pct"/>
          </w:tcPr>
          <w:p w14:paraId="4D7CED8A" w14:textId="77777777" w:rsidR="00241417" w:rsidRPr="00C25669" w:rsidRDefault="00241417" w:rsidP="003A71DE">
            <w:pPr>
              <w:pStyle w:val="TAC"/>
            </w:pPr>
            <w:r w:rsidRPr="00C25669">
              <w:t>MCS index</w:t>
            </w:r>
          </w:p>
        </w:tc>
        <w:tc>
          <w:tcPr>
            <w:tcW w:w="565" w:type="pct"/>
            <w:vAlign w:val="center"/>
          </w:tcPr>
          <w:p w14:paraId="4CB19C7A" w14:textId="77777777" w:rsidR="00241417" w:rsidRPr="00C25669" w:rsidRDefault="00241417" w:rsidP="003A71DE">
            <w:pPr>
              <w:pStyle w:val="TAC"/>
            </w:pPr>
          </w:p>
        </w:tc>
        <w:tc>
          <w:tcPr>
            <w:tcW w:w="799" w:type="pct"/>
            <w:vAlign w:val="center"/>
          </w:tcPr>
          <w:p w14:paraId="54CCC9E3" w14:textId="77777777" w:rsidR="00241417" w:rsidRPr="00C25669" w:rsidRDefault="00241417" w:rsidP="003A71DE">
            <w:pPr>
              <w:pStyle w:val="TAC"/>
            </w:pPr>
            <w:r w:rsidRPr="00C25669">
              <w:t>13</w:t>
            </w:r>
          </w:p>
        </w:tc>
        <w:tc>
          <w:tcPr>
            <w:tcW w:w="681" w:type="pct"/>
            <w:vAlign w:val="center"/>
          </w:tcPr>
          <w:p w14:paraId="4F69F3F0" w14:textId="77777777" w:rsidR="00241417" w:rsidRPr="00C25669" w:rsidRDefault="00241417" w:rsidP="003A71DE">
            <w:pPr>
              <w:pStyle w:val="TAC"/>
            </w:pPr>
            <w:r w:rsidRPr="00C25669">
              <w:t>13</w:t>
            </w:r>
          </w:p>
        </w:tc>
        <w:tc>
          <w:tcPr>
            <w:tcW w:w="681" w:type="pct"/>
            <w:vAlign w:val="center"/>
          </w:tcPr>
          <w:p w14:paraId="2EC01C4C" w14:textId="77777777" w:rsidR="00241417" w:rsidRPr="00C25669" w:rsidRDefault="00241417" w:rsidP="003A71DE">
            <w:pPr>
              <w:pStyle w:val="TAC"/>
            </w:pPr>
            <w:r w:rsidRPr="00C25669">
              <w:t>13</w:t>
            </w:r>
          </w:p>
        </w:tc>
      </w:tr>
      <w:tr w:rsidR="00241417" w:rsidRPr="00C25669" w14:paraId="53661FE0" w14:textId="77777777" w:rsidTr="003A71DE">
        <w:trPr>
          <w:jc w:val="center"/>
        </w:trPr>
        <w:tc>
          <w:tcPr>
            <w:tcW w:w="2273" w:type="pct"/>
          </w:tcPr>
          <w:p w14:paraId="7A4B2922" w14:textId="77777777" w:rsidR="00241417" w:rsidRPr="00C25669" w:rsidRDefault="00241417" w:rsidP="003A71DE">
            <w:pPr>
              <w:pStyle w:val="TAC"/>
            </w:pPr>
            <w:r w:rsidRPr="00C25669">
              <w:t>Modulation</w:t>
            </w:r>
          </w:p>
        </w:tc>
        <w:tc>
          <w:tcPr>
            <w:tcW w:w="565" w:type="pct"/>
            <w:vAlign w:val="center"/>
          </w:tcPr>
          <w:p w14:paraId="3076074C" w14:textId="77777777" w:rsidR="00241417" w:rsidRPr="00C25669" w:rsidRDefault="00241417" w:rsidP="003A71DE">
            <w:pPr>
              <w:pStyle w:val="TAC"/>
            </w:pPr>
          </w:p>
        </w:tc>
        <w:tc>
          <w:tcPr>
            <w:tcW w:w="799" w:type="pct"/>
            <w:vAlign w:val="center"/>
          </w:tcPr>
          <w:p w14:paraId="3B02B185" w14:textId="77777777" w:rsidR="00241417" w:rsidRPr="00C25669" w:rsidRDefault="00241417" w:rsidP="003A71DE">
            <w:pPr>
              <w:pStyle w:val="TAC"/>
            </w:pPr>
            <w:r w:rsidRPr="00C25669">
              <w:t>16QAM</w:t>
            </w:r>
          </w:p>
        </w:tc>
        <w:tc>
          <w:tcPr>
            <w:tcW w:w="681" w:type="pct"/>
            <w:vAlign w:val="center"/>
          </w:tcPr>
          <w:p w14:paraId="71611D05" w14:textId="77777777" w:rsidR="00241417" w:rsidRPr="00C25669" w:rsidRDefault="00241417" w:rsidP="003A71DE">
            <w:pPr>
              <w:pStyle w:val="TAC"/>
            </w:pPr>
            <w:r w:rsidRPr="00C25669">
              <w:t>16QAM</w:t>
            </w:r>
          </w:p>
        </w:tc>
        <w:tc>
          <w:tcPr>
            <w:tcW w:w="681" w:type="pct"/>
            <w:vAlign w:val="center"/>
          </w:tcPr>
          <w:p w14:paraId="35A343A0" w14:textId="77777777" w:rsidR="00241417" w:rsidRPr="00C25669" w:rsidRDefault="00241417" w:rsidP="003A71DE">
            <w:pPr>
              <w:pStyle w:val="TAC"/>
            </w:pPr>
            <w:r w:rsidRPr="00C25669">
              <w:t>16QAM</w:t>
            </w:r>
          </w:p>
        </w:tc>
      </w:tr>
      <w:tr w:rsidR="00241417" w:rsidRPr="00C25669" w14:paraId="5209D3A8" w14:textId="77777777" w:rsidTr="003A71DE">
        <w:trPr>
          <w:jc w:val="center"/>
        </w:trPr>
        <w:tc>
          <w:tcPr>
            <w:tcW w:w="2273" w:type="pct"/>
          </w:tcPr>
          <w:p w14:paraId="0FE1AA8C" w14:textId="77777777" w:rsidR="00241417" w:rsidRPr="00C25669" w:rsidRDefault="00241417" w:rsidP="003A71DE">
            <w:pPr>
              <w:pStyle w:val="TAC"/>
            </w:pPr>
            <w:r w:rsidRPr="00C25669">
              <w:t>Target Coding Rate</w:t>
            </w:r>
          </w:p>
        </w:tc>
        <w:tc>
          <w:tcPr>
            <w:tcW w:w="565" w:type="pct"/>
            <w:vAlign w:val="center"/>
          </w:tcPr>
          <w:p w14:paraId="5F586BFD" w14:textId="77777777" w:rsidR="00241417" w:rsidRPr="00C25669" w:rsidRDefault="00241417" w:rsidP="003A71DE">
            <w:pPr>
              <w:pStyle w:val="TAC"/>
            </w:pPr>
          </w:p>
        </w:tc>
        <w:tc>
          <w:tcPr>
            <w:tcW w:w="799" w:type="pct"/>
            <w:vAlign w:val="center"/>
          </w:tcPr>
          <w:p w14:paraId="5E33AC6A" w14:textId="77777777" w:rsidR="00241417" w:rsidRPr="00C25669" w:rsidRDefault="00241417" w:rsidP="003A71DE">
            <w:pPr>
              <w:pStyle w:val="TAC"/>
            </w:pPr>
            <w:r w:rsidRPr="00C25669">
              <w:t>0.48</w:t>
            </w:r>
          </w:p>
        </w:tc>
        <w:tc>
          <w:tcPr>
            <w:tcW w:w="681" w:type="pct"/>
            <w:vAlign w:val="center"/>
          </w:tcPr>
          <w:p w14:paraId="7F6A40BC" w14:textId="77777777" w:rsidR="00241417" w:rsidRPr="00C25669" w:rsidRDefault="00241417" w:rsidP="003A71DE">
            <w:pPr>
              <w:pStyle w:val="TAC"/>
            </w:pPr>
            <w:r w:rsidRPr="00C25669">
              <w:t>0.48</w:t>
            </w:r>
          </w:p>
        </w:tc>
        <w:tc>
          <w:tcPr>
            <w:tcW w:w="681" w:type="pct"/>
            <w:vAlign w:val="center"/>
          </w:tcPr>
          <w:p w14:paraId="2A427185" w14:textId="77777777" w:rsidR="00241417" w:rsidRPr="00C25669" w:rsidRDefault="00241417" w:rsidP="003A71DE">
            <w:pPr>
              <w:pStyle w:val="TAC"/>
            </w:pPr>
            <w:r w:rsidRPr="00C25669">
              <w:t>0.48</w:t>
            </w:r>
          </w:p>
        </w:tc>
      </w:tr>
      <w:tr w:rsidR="00241417" w:rsidRPr="00C25669" w14:paraId="2C2535EF" w14:textId="77777777" w:rsidTr="003A71DE">
        <w:trPr>
          <w:jc w:val="center"/>
        </w:trPr>
        <w:tc>
          <w:tcPr>
            <w:tcW w:w="2273" w:type="pct"/>
            <w:vAlign w:val="center"/>
          </w:tcPr>
          <w:p w14:paraId="5E09B3CA" w14:textId="77777777" w:rsidR="00241417" w:rsidRPr="00C25669" w:rsidRDefault="00241417" w:rsidP="003A71DE">
            <w:pPr>
              <w:pStyle w:val="TAC"/>
            </w:pPr>
            <w:r w:rsidRPr="00C25669">
              <w:t>Number of MIMO layers</w:t>
            </w:r>
          </w:p>
        </w:tc>
        <w:tc>
          <w:tcPr>
            <w:tcW w:w="565" w:type="pct"/>
            <w:vAlign w:val="center"/>
          </w:tcPr>
          <w:p w14:paraId="35432B78" w14:textId="77777777" w:rsidR="00241417" w:rsidRPr="00C25669" w:rsidRDefault="00241417" w:rsidP="003A71DE">
            <w:pPr>
              <w:pStyle w:val="TAC"/>
            </w:pPr>
          </w:p>
        </w:tc>
        <w:tc>
          <w:tcPr>
            <w:tcW w:w="799" w:type="pct"/>
            <w:vAlign w:val="center"/>
          </w:tcPr>
          <w:p w14:paraId="6CE76153" w14:textId="77777777" w:rsidR="00241417" w:rsidRPr="00C25669" w:rsidRDefault="00241417" w:rsidP="003A71DE">
            <w:pPr>
              <w:pStyle w:val="TAC"/>
            </w:pPr>
            <w:r w:rsidRPr="00C25669">
              <w:t>2</w:t>
            </w:r>
          </w:p>
        </w:tc>
        <w:tc>
          <w:tcPr>
            <w:tcW w:w="681" w:type="pct"/>
            <w:vAlign w:val="center"/>
          </w:tcPr>
          <w:p w14:paraId="038D98FA" w14:textId="77777777" w:rsidR="00241417" w:rsidRPr="00C25669" w:rsidRDefault="00241417" w:rsidP="003A71DE">
            <w:pPr>
              <w:pStyle w:val="TAC"/>
            </w:pPr>
            <w:r w:rsidRPr="00C25669">
              <w:t>1</w:t>
            </w:r>
          </w:p>
        </w:tc>
        <w:tc>
          <w:tcPr>
            <w:tcW w:w="681" w:type="pct"/>
            <w:vAlign w:val="center"/>
          </w:tcPr>
          <w:p w14:paraId="6A3270FB" w14:textId="77777777" w:rsidR="00241417" w:rsidRPr="00C25669" w:rsidRDefault="00241417" w:rsidP="003A71DE">
            <w:pPr>
              <w:pStyle w:val="TAC"/>
            </w:pPr>
            <w:r w:rsidRPr="00C25669">
              <w:t>2</w:t>
            </w:r>
          </w:p>
        </w:tc>
      </w:tr>
      <w:tr w:rsidR="00241417" w:rsidRPr="00C25669" w14:paraId="66681691" w14:textId="77777777" w:rsidTr="003A71DE">
        <w:trPr>
          <w:jc w:val="center"/>
        </w:trPr>
        <w:tc>
          <w:tcPr>
            <w:tcW w:w="2273" w:type="pct"/>
            <w:vAlign w:val="center"/>
          </w:tcPr>
          <w:p w14:paraId="2A92E91E" w14:textId="77777777" w:rsidR="00241417" w:rsidRPr="00C25669" w:rsidRDefault="00241417" w:rsidP="003A71DE">
            <w:pPr>
              <w:pStyle w:val="TAC"/>
            </w:pPr>
            <w:r w:rsidRPr="00C25669">
              <w:t xml:space="preserve">Number of DMRS </w:t>
            </w:r>
            <w:r w:rsidRPr="00C25669">
              <w:rPr>
                <w:rFonts w:hint="eastAsia"/>
                <w:lang w:eastAsia="zh-CN"/>
              </w:rPr>
              <w:t>REs</w:t>
            </w:r>
          </w:p>
        </w:tc>
        <w:tc>
          <w:tcPr>
            <w:tcW w:w="565" w:type="pct"/>
            <w:vAlign w:val="center"/>
          </w:tcPr>
          <w:p w14:paraId="6105EED3" w14:textId="77777777" w:rsidR="00241417" w:rsidRPr="00C25669" w:rsidRDefault="00241417" w:rsidP="003A71DE">
            <w:pPr>
              <w:pStyle w:val="TAC"/>
            </w:pPr>
          </w:p>
        </w:tc>
        <w:tc>
          <w:tcPr>
            <w:tcW w:w="799" w:type="pct"/>
            <w:vAlign w:val="center"/>
          </w:tcPr>
          <w:p w14:paraId="3BA80712" w14:textId="77777777" w:rsidR="00241417" w:rsidRPr="00C25669" w:rsidRDefault="00241417" w:rsidP="003A71DE">
            <w:pPr>
              <w:pStyle w:val="TAC"/>
            </w:pPr>
            <w:r>
              <w:t>12</w:t>
            </w:r>
          </w:p>
        </w:tc>
        <w:tc>
          <w:tcPr>
            <w:tcW w:w="681" w:type="pct"/>
            <w:vAlign w:val="center"/>
          </w:tcPr>
          <w:p w14:paraId="3823FF07" w14:textId="77777777" w:rsidR="00241417" w:rsidRPr="00C25669" w:rsidRDefault="00241417" w:rsidP="003A71DE">
            <w:pPr>
              <w:pStyle w:val="TAC"/>
            </w:pPr>
            <w:r>
              <w:t>12</w:t>
            </w:r>
          </w:p>
        </w:tc>
        <w:tc>
          <w:tcPr>
            <w:tcW w:w="681" w:type="pct"/>
            <w:vAlign w:val="center"/>
          </w:tcPr>
          <w:p w14:paraId="57FB7FF1" w14:textId="77777777" w:rsidR="00241417" w:rsidRPr="00C25669" w:rsidRDefault="00241417" w:rsidP="003A71DE">
            <w:pPr>
              <w:pStyle w:val="TAC"/>
            </w:pPr>
            <w:r>
              <w:t>12</w:t>
            </w:r>
          </w:p>
        </w:tc>
      </w:tr>
      <w:tr w:rsidR="00241417" w:rsidRPr="00C25669" w14:paraId="22409423" w14:textId="77777777" w:rsidTr="003A71DE">
        <w:trPr>
          <w:jc w:val="center"/>
        </w:trPr>
        <w:tc>
          <w:tcPr>
            <w:tcW w:w="2273" w:type="pct"/>
            <w:vAlign w:val="center"/>
          </w:tcPr>
          <w:p w14:paraId="4236A699" w14:textId="77777777" w:rsidR="00241417" w:rsidRPr="00C25669" w:rsidRDefault="00241417" w:rsidP="003A71DE">
            <w:pPr>
              <w:pStyle w:val="TAC"/>
            </w:pPr>
            <w:r w:rsidRPr="00C25669">
              <w:t>Overhead for TBS determination</w:t>
            </w:r>
          </w:p>
        </w:tc>
        <w:tc>
          <w:tcPr>
            <w:tcW w:w="565" w:type="pct"/>
            <w:vAlign w:val="center"/>
          </w:tcPr>
          <w:p w14:paraId="45A200F7" w14:textId="77777777" w:rsidR="00241417" w:rsidRPr="00C25669" w:rsidRDefault="00241417" w:rsidP="003A71DE">
            <w:pPr>
              <w:pStyle w:val="TAC"/>
            </w:pPr>
          </w:p>
        </w:tc>
        <w:tc>
          <w:tcPr>
            <w:tcW w:w="799" w:type="pct"/>
            <w:vAlign w:val="center"/>
          </w:tcPr>
          <w:p w14:paraId="730BE536" w14:textId="77777777" w:rsidR="00241417" w:rsidRPr="00C25669" w:rsidRDefault="00241417" w:rsidP="003A71DE">
            <w:pPr>
              <w:pStyle w:val="TAC"/>
            </w:pPr>
            <w:r w:rsidRPr="00C25669">
              <w:t>6</w:t>
            </w:r>
          </w:p>
        </w:tc>
        <w:tc>
          <w:tcPr>
            <w:tcW w:w="681" w:type="pct"/>
            <w:vAlign w:val="center"/>
          </w:tcPr>
          <w:p w14:paraId="2A652E85" w14:textId="77777777" w:rsidR="00241417" w:rsidRPr="00C25669" w:rsidRDefault="00241417" w:rsidP="003A71DE">
            <w:pPr>
              <w:pStyle w:val="TAC"/>
            </w:pPr>
            <w:r w:rsidRPr="00C25669">
              <w:t>6</w:t>
            </w:r>
          </w:p>
        </w:tc>
        <w:tc>
          <w:tcPr>
            <w:tcW w:w="681" w:type="pct"/>
            <w:vAlign w:val="center"/>
          </w:tcPr>
          <w:p w14:paraId="06B67F5C" w14:textId="77777777" w:rsidR="00241417" w:rsidRPr="00C25669" w:rsidRDefault="00241417" w:rsidP="003A71DE">
            <w:pPr>
              <w:pStyle w:val="TAC"/>
            </w:pPr>
            <w:r w:rsidRPr="00C25669">
              <w:t>6</w:t>
            </w:r>
          </w:p>
        </w:tc>
      </w:tr>
      <w:tr w:rsidR="00241417" w:rsidRPr="00C25669" w14:paraId="64D1AD74" w14:textId="77777777" w:rsidTr="003A71DE">
        <w:trPr>
          <w:jc w:val="center"/>
        </w:trPr>
        <w:tc>
          <w:tcPr>
            <w:tcW w:w="2273" w:type="pct"/>
          </w:tcPr>
          <w:p w14:paraId="227FC088" w14:textId="77777777" w:rsidR="00241417" w:rsidRPr="00C25669" w:rsidRDefault="00241417" w:rsidP="003A71DE">
            <w:pPr>
              <w:pStyle w:val="TAC"/>
            </w:pPr>
            <w:r w:rsidRPr="00C25669">
              <w:t xml:space="preserve">Information Bit Payload per Slot </w:t>
            </w:r>
          </w:p>
        </w:tc>
        <w:tc>
          <w:tcPr>
            <w:tcW w:w="565" w:type="pct"/>
            <w:vAlign w:val="center"/>
          </w:tcPr>
          <w:p w14:paraId="1A09F5A1" w14:textId="77777777" w:rsidR="00241417" w:rsidRPr="00C25669" w:rsidRDefault="00241417" w:rsidP="003A71DE">
            <w:pPr>
              <w:pStyle w:val="TAC"/>
            </w:pPr>
          </w:p>
        </w:tc>
        <w:tc>
          <w:tcPr>
            <w:tcW w:w="799" w:type="pct"/>
            <w:vAlign w:val="center"/>
          </w:tcPr>
          <w:p w14:paraId="0B20DB43" w14:textId="77777777" w:rsidR="00241417" w:rsidRPr="00C25669" w:rsidRDefault="00241417" w:rsidP="003A71DE">
            <w:pPr>
              <w:pStyle w:val="TAC"/>
            </w:pPr>
            <w:r w:rsidRPr="00C25669">
              <w:t>34816</w:t>
            </w:r>
          </w:p>
        </w:tc>
        <w:tc>
          <w:tcPr>
            <w:tcW w:w="681" w:type="pct"/>
            <w:vAlign w:val="center"/>
          </w:tcPr>
          <w:p w14:paraId="06884E8B" w14:textId="77777777" w:rsidR="00241417" w:rsidRPr="00C25669" w:rsidRDefault="00241417" w:rsidP="003A71DE">
            <w:pPr>
              <w:pStyle w:val="TAC"/>
            </w:pPr>
            <w:r w:rsidRPr="00C25669">
              <w:t>17424</w:t>
            </w:r>
          </w:p>
        </w:tc>
        <w:tc>
          <w:tcPr>
            <w:tcW w:w="681" w:type="pct"/>
            <w:vAlign w:val="center"/>
          </w:tcPr>
          <w:p w14:paraId="3639DCA0" w14:textId="77777777" w:rsidR="00241417" w:rsidRPr="00C25669" w:rsidRDefault="00241417" w:rsidP="003A71DE">
            <w:pPr>
              <w:pStyle w:val="TAC"/>
            </w:pPr>
            <w:r w:rsidRPr="00C25669">
              <w:t>34816</w:t>
            </w:r>
          </w:p>
        </w:tc>
      </w:tr>
      <w:tr w:rsidR="00241417" w:rsidRPr="00C25669" w14:paraId="2CDB7B1C" w14:textId="77777777" w:rsidTr="003A71DE">
        <w:trPr>
          <w:jc w:val="center"/>
        </w:trPr>
        <w:tc>
          <w:tcPr>
            <w:tcW w:w="2273" w:type="pct"/>
          </w:tcPr>
          <w:p w14:paraId="5AF83858" w14:textId="77777777" w:rsidR="00241417" w:rsidRPr="00C25669" w:rsidRDefault="00241417" w:rsidP="003A71DE">
            <w:pPr>
              <w:pStyle w:val="TAC"/>
              <w:rPr>
                <w:lang w:val="sv-FI"/>
              </w:rPr>
            </w:pPr>
            <w:r w:rsidRPr="00C25669">
              <w:rPr>
                <w:lang w:val="sv-FI"/>
              </w:rPr>
              <w:t>Transport block CRC per Slot</w:t>
            </w:r>
          </w:p>
        </w:tc>
        <w:tc>
          <w:tcPr>
            <w:tcW w:w="565" w:type="pct"/>
            <w:vAlign w:val="center"/>
          </w:tcPr>
          <w:p w14:paraId="7F9675CF" w14:textId="77777777" w:rsidR="00241417" w:rsidRPr="00C25669" w:rsidRDefault="00241417" w:rsidP="003A71DE">
            <w:pPr>
              <w:pStyle w:val="TAC"/>
              <w:rPr>
                <w:lang w:val="sv-FI"/>
              </w:rPr>
            </w:pPr>
          </w:p>
        </w:tc>
        <w:tc>
          <w:tcPr>
            <w:tcW w:w="799" w:type="pct"/>
            <w:vAlign w:val="center"/>
          </w:tcPr>
          <w:p w14:paraId="4A329157" w14:textId="77777777" w:rsidR="00241417" w:rsidRPr="00C25669" w:rsidRDefault="00241417" w:rsidP="003A71DE">
            <w:pPr>
              <w:pStyle w:val="TAC"/>
              <w:rPr>
                <w:lang w:val="sv-FI"/>
              </w:rPr>
            </w:pPr>
            <w:r>
              <w:rPr>
                <w:lang w:val="sv-FI"/>
              </w:rPr>
              <w:t>24</w:t>
            </w:r>
          </w:p>
        </w:tc>
        <w:tc>
          <w:tcPr>
            <w:tcW w:w="681" w:type="pct"/>
            <w:vAlign w:val="center"/>
          </w:tcPr>
          <w:p w14:paraId="10FE9C49" w14:textId="77777777" w:rsidR="00241417" w:rsidRPr="00C25669" w:rsidRDefault="00241417" w:rsidP="003A71DE">
            <w:pPr>
              <w:pStyle w:val="TAC"/>
              <w:rPr>
                <w:lang w:val="sv-FI"/>
              </w:rPr>
            </w:pPr>
            <w:r>
              <w:rPr>
                <w:lang w:val="sv-FI"/>
              </w:rPr>
              <w:t>24</w:t>
            </w:r>
          </w:p>
        </w:tc>
        <w:tc>
          <w:tcPr>
            <w:tcW w:w="681" w:type="pct"/>
            <w:vAlign w:val="center"/>
          </w:tcPr>
          <w:p w14:paraId="12BE62A8" w14:textId="77777777" w:rsidR="00241417" w:rsidRPr="00C25669" w:rsidRDefault="00241417" w:rsidP="003A71DE">
            <w:pPr>
              <w:pStyle w:val="TAC"/>
              <w:rPr>
                <w:lang w:val="sv-FI"/>
              </w:rPr>
            </w:pPr>
            <w:r>
              <w:rPr>
                <w:lang w:val="sv-FI"/>
              </w:rPr>
              <w:t>24</w:t>
            </w:r>
          </w:p>
        </w:tc>
      </w:tr>
      <w:tr w:rsidR="00241417" w:rsidRPr="00272C8A" w14:paraId="688E5A45" w14:textId="77777777" w:rsidTr="003A71DE">
        <w:trPr>
          <w:jc w:val="center"/>
        </w:trPr>
        <w:tc>
          <w:tcPr>
            <w:tcW w:w="2273" w:type="pct"/>
          </w:tcPr>
          <w:p w14:paraId="7B0E9DDC" w14:textId="77777777" w:rsidR="00241417" w:rsidRPr="006C7AF4" w:rsidRDefault="00241417" w:rsidP="003A71DE">
            <w:pPr>
              <w:pStyle w:val="TAC"/>
              <w:rPr>
                <w:rFonts w:eastAsiaTheme="minorHAnsi"/>
              </w:rPr>
            </w:pPr>
            <w:r w:rsidRPr="006C7AF4">
              <w:rPr>
                <w:rFonts w:eastAsiaTheme="minorHAnsi"/>
              </w:rPr>
              <w:t>Number of Code Blocks per Slot</w:t>
            </w:r>
          </w:p>
        </w:tc>
        <w:tc>
          <w:tcPr>
            <w:tcW w:w="565" w:type="pct"/>
            <w:vAlign w:val="center"/>
          </w:tcPr>
          <w:p w14:paraId="7ACB0611" w14:textId="77777777" w:rsidR="00241417" w:rsidRPr="006C7AF4" w:rsidRDefault="00241417" w:rsidP="003A71DE">
            <w:pPr>
              <w:pStyle w:val="TAC"/>
              <w:rPr>
                <w:rFonts w:eastAsiaTheme="minorHAnsi"/>
              </w:rPr>
            </w:pPr>
          </w:p>
        </w:tc>
        <w:tc>
          <w:tcPr>
            <w:tcW w:w="799" w:type="pct"/>
            <w:vAlign w:val="center"/>
          </w:tcPr>
          <w:p w14:paraId="59B4B1D6" w14:textId="77777777" w:rsidR="00241417" w:rsidRPr="006C7AF4" w:rsidRDefault="00241417" w:rsidP="003A71DE">
            <w:pPr>
              <w:pStyle w:val="TAC"/>
              <w:rPr>
                <w:rFonts w:eastAsiaTheme="minorHAnsi"/>
              </w:rPr>
            </w:pPr>
            <w:r>
              <w:t>5</w:t>
            </w:r>
          </w:p>
        </w:tc>
        <w:tc>
          <w:tcPr>
            <w:tcW w:w="681" w:type="pct"/>
            <w:vAlign w:val="center"/>
          </w:tcPr>
          <w:p w14:paraId="04173BBB" w14:textId="77777777" w:rsidR="00241417" w:rsidRPr="006C7AF4" w:rsidRDefault="00241417" w:rsidP="003A71DE">
            <w:pPr>
              <w:pStyle w:val="TAC"/>
              <w:rPr>
                <w:rFonts w:eastAsiaTheme="minorHAnsi"/>
              </w:rPr>
            </w:pPr>
            <w:r w:rsidRPr="00C25669">
              <w:t>3</w:t>
            </w:r>
          </w:p>
        </w:tc>
        <w:tc>
          <w:tcPr>
            <w:tcW w:w="681" w:type="pct"/>
            <w:vAlign w:val="center"/>
          </w:tcPr>
          <w:p w14:paraId="0A5B385F" w14:textId="77777777" w:rsidR="00241417" w:rsidRPr="006C7AF4" w:rsidRDefault="00241417" w:rsidP="003A71DE">
            <w:pPr>
              <w:pStyle w:val="TAC"/>
              <w:rPr>
                <w:rFonts w:eastAsiaTheme="minorHAnsi"/>
              </w:rPr>
            </w:pPr>
            <w:r w:rsidRPr="00C25669">
              <w:t>5</w:t>
            </w:r>
          </w:p>
        </w:tc>
      </w:tr>
      <w:tr w:rsidR="00241417" w:rsidRPr="00C25669" w14:paraId="4E6DC5A4" w14:textId="77777777" w:rsidTr="003A71DE">
        <w:trPr>
          <w:jc w:val="center"/>
        </w:trPr>
        <w:tc>
          <w:tcPr>
            <w:tcW w:w="2273" w:type="pct"/>
          </w:tcPr>
          <w:p w14:paraId="3829E707" w14:textId="77777777" w:rsidR="00241417" w:rsidRPr="00C25669" w:rsidRDefault="00241417" w:rsidP="003A71DE">
            <w:pPr>
              <w:pStyle w:val="TAC"/>
            </w:pPr>
            <w:r w:rsidRPr="00C25669">
              <w:t>Binary Channel Bits Per Slot</w:t>
            </w:r>
          </w:p>
        </w:tc>
        <w:tc>
          <w:tcPr>
            <w:tcW w:w="565" w:type="pct"/>
            <w:vAlign w:val="center"/>
          </w:tcPr>
          <w:p w14:paraId="3A90C8D7" w14:textId="77777777" w:rsidR="00241417" w:rsidRPr="00C25669" w:rsidRDefault="00241417" w:rsidP="003A71DE">
            <w:pPr>
              <w:pStyle w:val="TAC"/>
            </w:pPr>
          </w:p>
        </w:tc>
        <w:tc>
          <w:tcPr>
            <w:tcW w:w="799" w:type="pct"/>
            <w:vAlign w:val="center"/>
          </w:tcPr>
          <w:p w14:paraId="5F75BD04" w14:textId="77777777" w:rsidR="00241417" w:rsidRPr="00C25669" w:rsidRDefault="00241417" w:rsidP="003A71DE">
            <w:pPr>
              <w:pStyle w:val="TAC"/>
            </w:pPr>
            <w:r w:rsidRPr="00C25669">
              <w:t>73128</w:t>
            </w:r>
          </w:p>
        </w:tc>
        <w:tc>
          <w:tcPr>
            <w:tcW w:w="681" w:type="pct"/>
            <w:vAlign w:val="center"/>
          </w:tcPr>
          <w:p w14:paraId="42E12549" w14:textId="77777777" w:rsidR="00241417" w:rsidRPr="00C25669" w:rsidRDefault="00241417" w:rsidP="003A71DE">
            <w:pPr>
              <w:pStyle w:val="TAC"/>
            </w:pPr>
            <w:r w:rsidRPr="00C25669">
              <w:t>36564</w:t>
            </w:r>
          </w:p>
        </w:tc>
        <w:tc>
          <w:tcPr>
            <w:tcW w:w="681" w:type="pct"/>
            <w:vAlign w:val="center"/>
          </w:tcPr>
          <w:p w14:paraId="52602B66" w14:textId="77777777" w:rsidR="00241417" w:rsidRPr="00C25669" w:rsidRDefault="00241417" w:rsidP="003A71DE">
            <w:pPr>
              <w:pStyle w:val="TAC"/>
            </w:pPr>
            <w:r w:rsidRPr="00C25669">
              <w:t>73128</w:t>
            </w:r>
          </w:p>
        </w:tc>
      </w:tr>
    </w:tbl>
    <w:p w14:paraId="6443F965" w14:textId="77777777" w:rsidR="00241417" w:rsidRDefault="00241417" w:rsidP="00241417"/>
    <w:p w14:paraId="1EC38936" w14:textId="77777777" w:rsidR="00241417" w:rsidRPr="004710DC" w:rsidRDefault="00241417" w:rsidP="00241417">
      <w:pPr>
        <w:pStyle w:val="Heading3"/>
      </w:pPr>
      <w:bookmarkStart w:id="9272" w:name="_Toc74583581"/>
      <w:bookmarkStart w:id="9273" w:name="_Toc76542394"/>
      <w:bookmarkStart w:id="9274" w:name="_Toc82450376"/>
      <w:bookmarkStart w:id="9275" w:name="_Toc82451024"/>
      <w:bookmarkStart w:id="9276" w:name="_Toc89949413"/>
      <w:bookmarkStart w:id="9277" w:name="_Toc98755802"/>
      <w:bookmarkStart w:id="9278" w:name="_Toc98763394"/>
      <w:bookmarkStart w:id="9279" w:name="_Toc106184323"/>
      <w:r w:rsidRPr="004710DC">
        <w:t>A.</w:t>
      </w:r>
      <w:r>
        <w:t>3.2</w:t>
      </w:r>
      <w:r w:rsidRPr="004710DC">
        <w:tab/>
        <w:t xml:space="preserve">Fixed Reference Channels for </w:t>
      </w:r>
      <w:r>
        <w:t xml:space="preserve">PDSCH </w:t>
      </w:r>
      <w:r w:rsidRPr="004710DC">
        <w:t>performance requirements (</w:t>
      </w:r>
      <w:r>
        <w:rPr>
          <w:lang w:eastAsia="zh-CN"/>
        </w:rPr>
        <w:t>64</w:t>
      </w:r>
      <w:r w:rsidRPr="004710DC">
        <w:rPr>
          <w:lang w:eastAsia="zh-CN"/>
        </w:rPr>
        <w:t>QAM</w:t>
      </w:r>
      <w:r>
        <w:rPr>
          <w:lang w:eastAsia="zh-CN"/>
        </w:rPr>
        <w:t>)</w:t>
      </w:r>
      <w:bookmarkEnd w:id="9272"/>
      <w:bookmarkEnd w:id="9273"/>
      <w:bookmarkEnd w:id="9274"/>
      <w:bookmarkEnd w:id="9275"/>
      <w:bookmarkEnd w:id="9276"/>
      <w:bookmarkEnd w:id="9277"/>
      <w:bookmarkEnd w:id="9278"/>
      <w:bookmarkEnd w:id="9279"/>
    </w:p>
    <w:p w14:paraId="437CCE1B" w14:textId="77777777" w:rsidR="00241417" w:rsidRPr="00AD765F" w:rsidRDefault="00241417" w:rsidP="00241417">
      <w:r w:rsidRPr="00AD765F">
        <w:t xml:space="preserve">The parameters for the reference measurement channels are specified in </w:t>
      </w:r>
      <w:r w:rsidRPr="00AD765F">
        <w:rPr>
          <w:lang w:eastAsia="zh-CN"/>
        </w:rPr>
        <w:t xml:space="preserve">table A.3.2-1 </w:t>
      </w:r>
      <w:r w:rsidRPr="00AD765F">
        <w:t>for FR</w:t>
      </w:r>
      <w:r w:rsidRPr="00AD765F">
        <w:rPr>
          <w:lang w:eastAsia="zh-CN"/>
        </w:rPr>
        <w:t>1</w:t>
      </w:r>
      <w:r w:rsidRPr="00AD765F">
        <w:t xml:space="preserve"> PDSCH performance requirements</w:t>
      </w:r>
      <w:r w:rsidRPr="00AD765F">
        <w:rPr>
          <w:lang w:eastAsia="zh-CN"/>
        </w:rPr>
        <w:t>.</w:t>
      </w:r>
    </w:p>
    <w:p w14:paraId="25FBB355" w14:textId="77777777" w:rsidR="00241417" w:rsidRPr="00AD765F" w:rsidRDefault="00241417" w:rsidP="00241417">
      <w:r w:rsidRPr="00AD765F">
        <w:t xml:space="preserve">The parameters for the reference measurement channels are specified in </w:t>
      </w:r>
      <w:r w:rsidRPr="00AD765F">
        <w:rPr>
          <w:lang w:eastAsia="zh-CN"/>
        </w:rPr>
        <w:t xml:space="preserve">table A.3.2-2 </w:t>
      </w:r>
      <w:r w:rsidRPr="00AD765F">
        <w:t>for FR2 PDSCH performance requirements</w:t>
      </w:r>
      <w:r w:rsidRPr="00AD765F">
        <w:rPr>
          <w:lang w:eastAsia="zh-CN"/>
        </w:rPr>
        <w:t>.</w:t>
      </w:r>
    </w:p>
    <w:p w14:paraId="441B8F55" w14:textId="77777777" w:rsidR="00241417" w:rsidRPr="00AD765F" w:rsidRDefault="00241417" w:rsidP="00241417"/>
    <w:p w14:paraId="70568658" w14:textId="77777777" w:rsidR="00241417" w:rsidRPr="00333EE0" w:rsidRDefault="00241417" w:rsidP="00241417">
      <w:pPr>
        <w:pStyle w:val="TH"/>
        <w:rPr>
          <w:lang w:eastAsia="zh-CN"/>
        </w:rPr>
      </w:pPr>
      <w:r w:rsidRPr="00333EE0">
        <w:lastRenderedPageBreak/>
        <w:t>Table A.</w:t>
      </w:r>
      <w:r w:rsidRPr="00333EE0">
        <w:rPr>
          <w:lang w:eastAsia="zh-CN"/>
        </w:rPr>
        <w:t>3.2</w:t>
      </w:r>
      <w:r w:rsidRPr="00333EE0">
        <w:t>-</w:t>
      </w:r>
      <w:r w:rsidRPr="00333EE0">
        <w:rPr>
          <w:lang w:eastAsia="zh-CN"/>
        </w:rPr>
        <w:t>1</w:t>
      </w:r>
      <w:r w:rsidRPr="00333EE0">
        <w:t>: FRC parameters for</w:t>
      </w:r>
      <w:r w:rsidRPr="00333EE0">
        <w:rPr>
          <w:lang w:eastAsia="zh-CN"/>
        </w:rPr>
        <w:t xml:space="preserve"> FR1 PDSCH </w:t>
      </w:r>
      <w:r w:rsidRPr="00333EE0">
        <w:t>performance requirements</w:t>
      </w:r>
      <w:r w:rsidRPr="00333EE0">
        <w:rPr>
          <w:lang w:eastAsia="zh-CN"/>
        </w:rPr>
        <w:t>, 2 transmission layers, 64QAM</w:t>
      </w:r>
    </w:p>
    <w:tbl>
      <w:tblPr>
        <w:tblW w:w="281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73"/>
        <w:gridCol w:w="888"/>
        <w:gridCol w:w="1055"/>
      </w:tblGrid>
      <w:tr w:rsidR="00241417" w:rsidRPr="00C25669" w14:paraId="3F645434" w14:textId="77777777" w:rsidTr="003A71DE">
        <w:trPr>
          <w:jc w:val="center"/>
        </w:trPr>
        <w:tc>
          <w:tcPr>
            <w:tcW w:w="3205" w:type="pct"/>
            <w:shd w:val="clear" w:color="auto" w:fill="auto"/>
            <w:vAlign w:val="center"/>
          </w:tcPr>
          <w:p w14:paraId="426CCF56" w14:textId="77777777" w:rsidR="00241417" w:rsidRPr="00C25669" w:rsidRDefault="00241417" w:rsidP="003A71DE">
            <w:pPr>
              <w:pStyle w:val="TAH"/>
            </w:pPr>
            <w:r w:rsidRPr="00C25669">
              <w:t>Parameter</w:t>
            </w:r>
          </w:p>
        </w:tc>
        <w:tc>
          <w:tcPr>
            <w:tcW w:w="820" w:type="pct"/>
            <w:shd w:val="clear" w:color="auto" w:fill="auto"/>
            <w:vAlign w:val="center"/>
          </w:tcPr>
          <w:p w14:paraId="635AE956" w14:textId="77777777" w:rsidR="00241417" w:rsidRPr="00C25669" w:rsidRDefault="00241417" w:rsidP="003A71DE">
            <w:pPr>
              <w:pStyle w:val="TAH"/>
            </w:pPr>
            <w:r w:rsidRPr="00C25669">
              <w:t>Unit</w:t>
            </w:r>
          </w:p>
        </w:tc>
        <w:tc>
          <w:tcPr>
            <w:tcW w:w="974" w:type="pct"/>
            <w:shd w:val="clear" w:color="auto" w:fill="auto"/>
            <w:vAlign w:val="center"/>
          </w:tcPr>
          <w:p w14:paraId="31B672F1" w14:textId="77777777" w:rsidR="00241417" w:rsidRPr="00C25669" w:rsidRDefault="00241417" w:rsidP="003A71DE">
            <w:pPr>
              <w:pStyle w:val="TAH"/>
            </w:pPr>
            <w:r w:rsidRPr="00C25669">
              <w:t>Value</w:t>
            </w:r>
          </w:p>
        </w:tc>
      </w:tr>
      <w:tr w:rsidR="00241417" w:rsidRPr="00C25669" w14:paraId="7462FC64" w14:textId="77777777" w:rsidTr="003A71DE">
        <w:trPr>
          <w:jc w:val="center"/>
        </w:trPr>
        <w:tc>
          <w:tcPr>
            <w:tcW w:w="3205" w:type="pct"/>
            <w:vAlign w:val="center"/>
          </w:tcPr>
          <w:p w14:paraId="06FF21C4" w14:textId="77777777" w:rsidR="00241417" w:rsidRPr="00C25669" w:rsidRDefault="00241417" w:rsidP="003A71DE">
            <w:pPr>
              <w:pStyle w:val="TAC"/>
            </w:pPr>
            <w:r w:rsidRPr="00C25669">
              <w:t>Reference channel</w:t>
            </w:r>
          </w:p>
        </w:tc>
        <w:tc>
          <w:tcPr>
            <w:tcW w:w="820" w:type="pct"/>
            <w:vAlign w:val="center"/>
          </w:tcPr>
          <w:p w14:paraId="04BF0BA3" w14:textId="77777777" w:rsidR="00241417" w:rsidRPr="00C25669" w:rsidRDefault="00241417" w:rsidP="003A71DE">
            <w:pPr>
              <w:pStyle w:val="TAC"/>
            </w:pPr>
          </w:p>
        </w:tc>
        <w:tc>
          <w:tcPr>
            <w:tcW w:w="974" w:type="pct"/>
            <w:vAlign w:val="center"/>
          </w:tcPr>
          <w:p w14:paraId="302E1EDE" w14:textId="1449F3BD" w:rsidR="00241417" w:rsidRPr="00C25669" w:rsidRDefault="00241417" w:rsidP="003A71DE">
            <w:pPr>
              <w:pStyle w:val="TAC"/>
            </w:pPr>
            <w:r>
              <w:t>M-FR1-A.3.2-1</w:t>
            </w:r>
          </w:p>
        </w:tc>
      </w:tr>
      <w:tr w:rsidR="00241417" w:rsidRPr="00C25669" w14:paraId="12CB3BAE" w14:textId="77777777" w:rsidTr="003A71DE">
        <w:trPr>
          <w:jc w:val="center"/>
        </w:trPr>
        <w:tc>
          <w:tcPr>
            <w:tcW w:w="3205" w:type="pct"/>
            <w:vAlign w:val="center"/>
          </w:tcPr>
          <w:p w14:paraId="14798F0D" w14:textId="77777777" w:rsidR="00241417" w:rsidRPr="00C25669" w:rsidRDefault="00241417" w:rsidP="003A71DE">
            <w:pPr>
              <w:pStyle w:val="TAC"/>
            </w:pPr>
            <w:r w:rsidRPr="00C25669">
              <w:t>Channel bandwidth</w:t>
            </w:r>
          </w:p>
        </w:tc>
        <w:tc>
          <w:tcPr>
            <w:tcW w:w="820" w:type="pct"/>
            <w:vAlign w:val="center"/>
          </w:tcPr>
          <w:p w14:paraId="1671AFFB" w14:textId="77777777" w:rsidR="00241417" w:rsidRPr="00C25669" w:rsidRDefault="00241417" w:rsidP="003A71DE">
            <w:pPr>
              <w:pStyle w:val="TAC"/>
            </w:pPr>
            <w:r w:rsidRPr="00C25669">
              <w:t>MHz</w:t>
            </w:r>
          </w:p>
        </w:tc>
        <w:tc>
          <w:tcPr>
            <w:tcW w:w="974" w:type="pct"/>
            <w:vAlign w:val="center"/>
          </w:tcPr>
          <w:p w14:paraId="2278E3E3" w14:textId="77777777" w:rsidR="00241417" w:rsidRPr="00C25669" w:rsidRDefault="00241417" w:rsidP="003A71DE">
            <w:pPr>
              <w:pStyle w:val="TAC"/>
            </w:pPr>
            <w:r w:rsidRPr="00C25669">
              <w:t>40</w:t>
            </w:r>
          </w:p>
        </w:tc>
      </w:tr>
      <w:tr w:rsidR="00241417" w:rsidRPr="00C25669" w14:paraId="0D879D2F" w14:textId="77777777" w:rsidTr="003A71DE">
        <w:trPr>
          <w:jc w:val="center"/>
        </w:trPr>
        <w:tc>
          <w:tcPr>
            <w:tcW w:w="3205" w:type="pct"/>
            <w:vAlign w:val="center"/>
          </w:tcPr>
          <w:p w14:paraId="19BD4F3D" w14:textId="77777777" w:rsidR="00241417" w:rsidRPr="00C25669" w:rsidRDefault="00241417" w:rsidP="003A71DE">
            <w:pPr>
              <w:pStyle w:val="TAC"/>
            </w:pPr>
            <w:r w:rsidRPr="00C25669">
              <w:t>Subcarrier spacing</w:t>
            </w:r>
          </w:p>
        </w:tc>
        <w:tc>
          <w:tcPr>
            <w:tcW w:w="820" w:type="pct"/>
            <w:vAlign w:val="center"/>
          </w:tcPr>
          <w:p w14:paraId="0E95A683" w14:textId="77777777" w:rsidR="00241417" w:rsidRPr="00C25669" w:rsidRDefault="00241417" w:rsidP="003A71DE">
            <w:pPr>
              <w:pStyle w:val="TAC"/>
            </w:pPr>
            <w:r w:rsidRPr="00C25669">
              <w:t>kHz</w:t>
            </w:r>
          </w:p>
        </w:tc>
        <w:tc>
          <w:tcPr>
            <w:tcW w:w="974" w:type="pct"/>
            <w:vAlign w:val="center"/>
          </w:tcPr>
          <w:p w14:paraId="1E21B0C8" w14:textId="77777777" w:rsidR="00241417" w:rsidRPr="00C25669" w:rsidRDefault="00241417" w:rsidP="003A71DE">
            <w:pPr>
              <w:pStyle w:val="TAC"/>
            </w:pPr>
            <w:r w:rsidRPr="00C25669">
              <w:t>30</w:t>
            </w:r>
          </w:p>
        </w:tc>
      </w:tr>
      <w:tr w:rsidR="00241417" w:rsidRPr="00C25669" w14:paraId="5DE83B9F" w14:textId="77777777" w:rsidTr="003A71DE">
        <w:trPr>
          <w:jc w:val="center"/>
        </w:trPr>
        <w:tc>
          <w:tcPr>
            <w:tcW w:w="3205" w:type="pct"/>
            <w:vAlign w:val="center"/>
          </w:tcPr>
          <w:p w14:paraId="26A5D437" w14:textId="77777777" w:rsidR="00241417" w:rsidRPr="00C25669" w:rsidRDefault="00241417" w:rsidP="003A71DE">
            <w:pPr>
              <w:pStyle w:val="TAC"/>
            </w:pPr>
            <w:r w:rsidRPr="00C25669">
              <w:t>Allocated resource blocks</w:t>
            </w:r>
          </w:p>
        </w:tc>
        <w:tc>
          <w:tcPr>
            <w:tcW w:w="820" w:type="pct"/>
            <w:vAlign w:val="center"/>
          </w:tcPr>
          <w:p w14:paraId="42CB080A" w14:textId="77777777" w:rsidR="00241417" w:rsidRPr="00C25669" w:rsidRDefault="00241417" w:rsidP="003A71DE">
            <w:pPr>
              <w:pStyle w:val="TAC"/>
            </w:pPr>
            <w:r w:rsidRPr="00C25669">
              <w:t>PRBs</w:t>
            </w:r>
          </w:p>
        </w:tc>
        <w:tc>
          <w:tcPr>
            <w:tcW w:w="974" w:type="pct"/>
            <w:vAlign w:val="center"/>
          </w:tcPr>
          <w:p w14:paraId="02003B1B" w14:textId="77777777" w:rsidR="00241417" w:rsidRPr="00C25669" w:rsidRDefault="00241417" w:rsidP="003A71DE">
            <w:pPr>
              <w:pStyle w:val="TAC"/>
            </w:pPr>
            <w:r w:rsidRPr="00C25669">
              <w:t>106</w:t>
            </w:r>
          </w:p>
        </w:tc>
      </w:tr>
      <w:tr w:rsidR="00241417" w:rsidRPr="0065648C" w14:paraId="55683369" w14:textId="77777777" w:rsidTr="003A71DE">
        <w:trPr>
          <w:jc w:val="center"/>
        </w:trPr>
        <w:tc>
          <w:tcPr>
            <w:tcW w:w="3205" w:type="pct"/>
            <w:vAlign w:val="center"/>
          </w:tcPr>
          <w:p w14:paraId="3144212D" w14:textId="77777777" w:rsidR="00241417" w:rsidRPr="006C7AF4" w:rsidRDefault="00241417" w:rsidP="003A71DE">
            <w:pPr>
              <w:pStyle w:val="TAC"/>
              <w:rPr>
                <w:rFonts w:eastAsiaTheme="minorHAnsi"/>
              </w:rPr>
            </w:pPr>
            <w:r w:rsidRPr="006C7AF4">
              <w:rPr>
                <w:rFonts w:eastAsiaTheme="minorHAnsi"/>
              </w:rPr>
              <w:t>Number of consecutive PDSCH symbols</w:t>
            </w:r>
          </w:p>
        </w:tc>
        <w:tc>
          <w:tcPr>
            <w:tcW w:w="820" w:type="pct"/>
            <w:vAlign w:val="center"/>
          </w:tcPr>
          <w:p w14:paraId="1DB980BC" w14:textId="77777777" w:rsidR="00241417" w:rsidRPr="006C7AF4" w:rsidRDefault="00241417" w:rsidP="003A71DE">
            <w:pPr>
              <w:pStyle w:val="TAC"/>
              <w:rPr>
                <w:rFonts w:eastAsiaTheme="minorHAnsi"/>
              </w:rPr>
            </w:pPr>
          </w:p>
        </w:tc>
        <w:tc>
          <w:tcPr>
            <w:tcW w:w="974" w:type="pct"/>
            <w:vAlign w:val="center"/>
          </w:tcPr>
          <w:p w14:paraId="708C676A" w14:textId="77777777" w:rsidR="00241417" w:rsidRPr="006C7AF4" w:rsidRDefault="00241417" w:rsidP="003A71DE">
            <w:pPr>
              <w:pStyle w:val="TAC"/>
              <w:rPr>
                <w:rFonts w:eastAsiaTheme="minorHAnsi"/>
              </w:rPr>
            </w:pPr>
            <w:r>
              <w:t>12</w:t>
            </w:r>
          </w:p>
        </w:tc>
      </w:tr>
      <w:tr w:rsidR="00241417" w:rsidRPr="00C25669" w14:paraId="5CF8AFC4" w14:textId="77777777" w:rsidTr="003A71DE">
        <w:trPr>
          <w:jc w:val="center"/>
        </w:trPr>
        <w:tc>
          <w:tcPr>
            <w:tcW w:w="3205" w:type="pct"/>
            <w:vAlign w:val="center"/>
          </w:tcPr>
          <w:p w14:paraId="19891E2F" w14:textId="77777777" w:rsidR="00241417" w:rsidRPr="00C25669" w:rsidRDefault="00241417" w:rsidP="003A71DE">
            <w:pPr>
              <w:pStyle w:val="TAC"/>
            </w:pPr>
            <w:r w:rsidRPr="00C25669">
              <w:t>MCS table</w:t>
            </w:r>
          </w:p>
        </w:tc>
        <w:tc>
          <w:tcPr>
            <w:tcW w:w="820" w:type="pct"/>
            <w:vAlign w:val="center"/>
          </w:tcPr>
          <w:p w14:paraId="3C57BF26" w14:textId="77777777" w:rsidR="00241417" w:rsidRPr="00C25669" w:rsidRDefault="00241417" w:rsidP="003A71DE">
            <w:pPr>
              <w:pStyle w:val="TAC"/>
            </w:pPr>
          </w:p>
        </w:tc>
        <w:tc>
          <w:tcPr>
            <w:tcW w:w="974" w:type="pct"/>
            <w:vAlign w:val="center"/>
          </w:tcPr>
          <w:p w14:paraId="0D4CF8FD" w14:textId="77777777" w:rsidR="00241417" w:rsidRPr="00C25669" w:rsidRDefault="00241417" w:rsidP="003A71DE">
            <w:pPr>
              <w:pStyle w:val="TAC"/>
            </w:pPr>
            <w:r w:rsidRPr="00C25669">
              <w:t>64QAM</w:t>
            </w:r>
          </w:p>
        </w:tc>
      </w:tr>
      <w:tr w:rsidR="00241417" w:rsidRPr="00C25669" w14:paraId="4D1C20D9" w14:textId="77777777" w:rsidTr="003A71DE">
        <w:trPr>
          <w:jc w:val="center"/>
        </w:trPr>
        <w:tc>
          <w:tcPr>
            <w:tcW w:w="3205" w:type="pct"/>
            <w:vAlign w:val="center"/>
          </w:tcPr>
          <w:p w14:paraId="4B7BD256" w14:textId="77777777" w:rsidR="00241417" w:rsidRPr="00C25669" w:rsidRDefault="00241417" w:rsidP="003A71DE">
            <w:pPr>
              <w:pStyle w:val="TAC"/>
            </w:pPr>
            <w:r w:rsidRPr="00C25669">
              <w:t>MCS index</w:t>
            </w:r>
          </w:p>
        </w:tc>
        <w:tc>
          <w:tcPr>
            <w:tcW w:w="820" w:type="pct"/>
            <w:vAlign w:val="center"/>
          </w:tcPr>
          <w:p w14:paraId="684108CD" w14:textId="77777777" w:rsidR="00241417" w:rsidRPr="00C25669" w:rsidRDefault="00241417" w:rsidP="003A71DE">
            <w:pPr>
              <w:pStyle w:val="TAC"/>
            </w:pPr>
          </w:p>
        </w:tc>
        <w:tc>
          <w:tcPr>
            <w:tcW w:w="974" w:type="pct"/>
            <w:vAlign w:val="center"/>
          </w:tcPr>
          <w:p w14:paraId="21FB9F54" w14:textId="77777777" w:rsidR="00241417" w:rsidRPr="00C25669" w:rsidRDefault="00241417" w:rsidP="003A71DE">
            <w:pPr>
              <w:pStyle w:val="TAC"/>
            </w:pPr>
            <w:r w:rsidRPr="00C25669">
              <w:t>19</w:t>
            </w:r>
          </w:p>
        </w:tc>
      </w:tr>
      <w:tr w:rsidR="00241417" w:rsidRPr="00C25669" w14:paraId="28B40CDA" w14:textId="77777777" w:rsidTr="003A71DE">
        <w:trPr>
          <w:jc w:val="center"/>
        </w:trPr>
        <w:tc>
          <w:tcPr>
            <w:tcW w:w="3205" w:type="pct"/>
            <w:vAlign w:val="center"/>
          </w:tcPr>
          <w:p w14:paraId="4B24FBAC" w14:textId="77777777" w:rsidR="00241417" w:rsidRPr="00C25669" w:rsidRDefault="00241417" w:rsidP="003A71DE">
            <w:pPr>
              <w:pStyle w:val="TAC"/>
            </w:pPr>
            <w:r w:rsidRPr="00C25669">
              <w:t>Modulation</w:t>
            </w:r>
          </w:p>
        </w:tc>
        <w:tc>
          <w:tcPr>
            <w:tcW w:w="820" w:type="pct"/>
            <w:vAlign w:val="center"/>
          </w:tcPr>
          <w:p w14:paraId="64D7E354" w14:textId="77777777" w:rsidR="00241417" w:rsidRPr="00C25669" w:rsidRDefault="00241417" w:rsidP="003A71DE">
            <w:pPr>
              <w:pStyle w:val="TAC"/>
            </w:pPr>
          </w:p>
        </w:tc>
        <w:tc>
          <w:tcPr>
            <w:tcW w:w="974" w:type="pct"/>
            <w:vAlign w:val="center"/>
          </w:tcPr>
          <w:p w14:paraId="4938F24B" w14:textId="77777777" w:rsidR="00241417" w:rsidRPr="00C25669" w:rsidRDefault="00241417" w:rsidP="003A71DE">
            <w:pPr>
              <w:pStyle w:val="TAC"/>
            </w:pPr>
            <w:r w:rsidRPr="00C25669">
              <w:t>64QAM</w:t>
            </w:r>
          </w:p>
        </w:tc>
      </w:tr>
      <w:tr w:rsidR="00241417" w:rsidRPr="00C25669" w14:paraId="161D2098" w14:textId="77777777" w:rsidTr="003A71DE">
        <w:trPr>
          <w:jc w:val="center"/>
        </w:trPr>
        <w:tc>
          <w:tcPr>
            <w:tcW w:w="3205" w:type="pct"/>
            <w:vAlign w:val="center"/>
          </w:tcPr>
          <w:p w14:paraId="1E5DC65D" w14:textId="77777777" w:rsidR="00241417" w:rsidRPr="00C25669" w:rsidRDefault="00241417" w:rsidP="003A71DE">
            <w:pPr>
              <w:pStyle w:val="TAC"/>
            </w:pPr>
            <w:r w:rsidRPr="00C25669">
              <w:t>Target Coding Rate</w:t>
            </w:r>
          </w:p>
        </w:tc>
        <w:tc>
          <w:tcPr>
            <w:tcW w:w="820" w:type="pct"/>
            <w:vAlign w:val="center"/>
          </w:tcPr>
          <w:p w14:paraId="0E8F95FC" w14:textId="77777777" w:rsidR="00241417" w:rsidRPr="00C25669" w:rsidRDefault="00241417" w:rsidP="003A71DE">
            <w:pPr>
              <w:pStyle w:val="TAC"/>
            </w:pPr>
          </w:p>
        </w:tc>
        <w:tc>
          <w:tcPr>
            <w:tcW w:w="974" w:type="pct"/>
            <w:vAlign w:val="center"/>
          </w:tcPr>
          <w:p w14:paraId="3579A0DD" w14:textId="77777777" w:rsidR="00241417" w:rsidRPr="00C25669" w:rsidRDefault="00241417" w:rsidP="003A71DE">
            <w:pPr>
              <w:pStyle w:val="TAC"/>
            </w:pPr>
            <w:r w:rsidRPr="00C25669">
              <w:t>0.51</w:t>
            </w:r>
          </w:p>
        </w:tc>
      </w:tr>
      <w:tr w:rsidR="00241417" w:rsidRPr="00C25669" w14:paraId="63CEB155" w14:textId="77777777" w:rsidTr="003A71DE">
        <w:trPr>
          <w:jc w:val="center"/>
        </w:trPr>
        <w:tc>
          <w:tcPr>
            <w:tcW w:w="3205" w:type="pct"/>
            <w:vAlign w:val="center"/>
          </w:tcPr>
          <w:p w14:paraId="767826AE" w14:textId="77777777" w:rsidR="00241417" w:rsidRPr="00C25669" w:rsidRDefault="00241417" w:rsidP="003A71DE">
            <w:pPr>
              <w:pStyle w:val="TAC"/>
            </w:pPr>
            <w:r w:rsidRPr="00C25669">
              <w:t>Number of MIMO layers</w:t>
            </w:r>
          </w:p>
        </w:tc>
        <w:tc>
          <w:tcPr>
            <w:tcW w:w="820" w:type="pct"/>
            <w:vAlign w:val="center"/>
          </w:tcPr>
          <w:p w14:paraId="7A70DBA4" w14:textId="77777777" w:rsidR="00241417" w:rsidRPr="00C25669" w:rsidRDefault="00241417" w:rsidP="003A71DE">
            <w:pPr>
              <w:pStyle w:val="TAC"/>
            </w:pPr>
          </w:p>
        </w:tc>
        <w:tc>
          <w:tcPr>
            <w:tcW w:w="974" w:type="pct"/>
            <w:vAlign w:val="center"/>
          </w:tcPr>
          <w:p w14:paraId="56A71B49" w14:textId="77777777" w:rsidR="00241417" w:rsidRPr="00C25669" w:rsidRDefault="00241417" w:rsidP="003A71DE">
            <w:pPr>
              <w:pStyle w:val="TAC"/>
            </w:pPr>
            <w:r w:rsidRPr="00C25669">
              <w:t>2</w:t>
            </w:r>
          </w:p>
        </w:tc>
      </w:tr>
      <w:tr w:rsidR="00241417" w:rsidRPr="00C25669" w14:paraId="7E40BCE2" w14:textId="77777777" w:rsidTr="003A71DE">
        <w:trPr>
          <w:jc w:val="center"/>
        </w:trPr>
        <w:tc>
          <w:tcPr>
            <w:tcW w:w="3205" w:type="pct"/>
            <w:vAlign w:val="center"/>
          </w:tcPr>
          <w:p w14:paraId="0B7606B7" w14:textId="77777777" w:rsidR="00241417" w:rsidRPr="00C25669" w:rsidRDefault="00241417" w:rsidP="003A71DE">
            <w:pPr>
              <w:pStyle w:val="TAC"/>
            </w:pPr>
            <w:r w:rsidRPr="00C25669">
              <w:t xml:space="preserve">Number of DMRS </w:t>
            </w:r>
            <w:r w:rsidRPr="00C25669">
              <w:rPr>
                <w:rFonts w:hint="eastAsia"/>
                <w:lang w:eastAsia="zh-CN"/>
              </w:rPr>
              <w:t>REs</w:t>
            </w:r>
          </w:p>
        </w:tc>
        <w:tc>
          <w:tcPr>
            <w:tcW w:w="820" w:type="pct"/>
            <w:vAlign w:val="center"/>
          </w:tcPr>
          <w:p w14:paraId="49EC3F1F" w14:textId="77777777" w:rsidR="00241417" w:rsidRPr="00C25669" w:rsidRDefault="00241417" w:rsidP="003A71DE">
            <w:pPr>
              <w:pStyle w:val="TAC"/>
            </w:pPr>
          </w:p>
        </w:tc>
        <w:tc>
          <w:tcPr>
            <w:tcW w:w="974" w:type="pct"/>
            <w:vAlign w:val="center"/>
          </w:tcPr>
          <w:p w14:paraId="073E5B49" w14:textId="77777777" w:rsidR="00241417" w:rsidRPr="00C25669" w:rsidRDefault="00241417" w:rsidP="003A71DE">
            <w:pPr>
              <w:pStyle w:val="TAC"/>
            </w:pPr>
            <w:r>
              <w:t>12</w:t>
            </w:r>
          </w:p>
        </w:tc>
      </w:tr>
      <w:tr w:rsidR="00241417" w:rsidRPr="00C25669" w14:paraId="4A06EA5F" w14:textId="77777777" w:rsidTr="003A71DE">
        <w:trPr>
          <w:jc w:val="center"/>
        </w:trPr>
        <w:tc>
          <w:tcPr>
            <w:tcW w:w="3205" w:type="pct"/>
            <w:vAlign w:val="center"/>
          </w:tcPr>
          <w:p w14:paraId="149B213E" w14:textId="77777777" w:rsidR="00241417" w:rsidRPr="00C25669" w:rsidRDefault="00241417" w:rsidP="003A71DE">
            <w:pPr>
              <w:pStyle w:val="TAC"/>
            </w:pPr>
            <w:r w:rsidRPr="00C25669">
              <w:t>Overhead for TBS determination</w:t>
            </w:r>
          </w:p>
        </w:tc>
        <w:tc>
          <w:tcPr>
            <w:tcW w:w="820" w:type="pct"/>
            <w:vAlign w:val="center"/>
          </w:tcPr>
          <w:p w14:paraId="1E56F3CF" w14:textId="77777777" w:rsidR="00241417" w:rsidRPr="00C25669" w:rsidRDefault="00241417" w:rsidP="003A71DE">
            <w:pPr>
              <w:pStyle w:val="TAC"/>
            </w:pPr>
          </w:p>
        </w:tc>
        <w:tc>
          <w:tcPr>
            <w:tcW w:w="974" w:type="pct"/>
            <w:vAlign w:val="center"/>
          </w:tcPr>
          <w:p w14:paraId="08D40D17" w14:textId="77777777" w:rsidR="00241417" w:rsidRPr="00C25669" w:rsidRDefault="00241417" w:rsidP="003A71DE">
            <w:pPr>
              <w:pStyle w:val="TAC"/>
            </w:pPr>
            <w:r w:rsidRPr="00C25669">
              <w:t>0</w:t>
            </w:r>
          </w:p>
        </w:tc>
      </w:tr>
      <w:tr w:rsidR="00241417" w:rsidRPr="00C25669" w14:paraId="0D797C6C" w14:textId="77777777" w:rsidTr="003A71DE">
        <w:trPr>
          <w:jc w:val="center"/>
        </w:trPr>
        <w:tc>
          <w:tcPr>
            <w:tcW w:w="3205" w:type="pct"/>
            <w:vAlign w:val="center"/>
          </w:tcPr>
          <w:p w14:paraId="065A0F23" w14:textId="77777777" w:rsidR="00241417" w:rsidRPr="00C25669" w:rsidRDefault="00241417" w:rsidP="003A71DE">
            <w:pPr>
              <w:pStyle w:val="TAC"/>
            </w:pPr>
            <w:r w:rsidRPr="00C25669">
              <w:t xml:space="preserve">Information Bit Payload per Slot </w:t>
            </w:r>
          </w:p>
        </w:tc>
        <w:tc>
          <w:tcPr>
            <w:tcW w:w="820" w:type="pct"/>
            <w:vAlign w:val="center"/>
          </w:tcPr>
          <w:p w14:paraId="48037646" w14:textId="77777777" w:rsidR="00241417" w:rsidRPr="00C25669" w:rsidRDefault="00241417" w:rsidP="003A71DE">
            <w:pPr>
              <w:pStyle w:val="TAC"/>
            </w:pPr>
          </w:p>
        </w:tc>
        <w:tc>
          <w:tcPr>
            <w:tcW w:w="974" w:type="pct"/>
            <w:vAlign w:val="center"/>
          </w:tcPr>
          <w:p w14:paraId="47DD3CFC" w14:textId="77777777" w:rsidR="00241417" w:rsidRPr="00C25669" w:rsidRDefault="00241417" w:rsidP="003A71DE">
            <w:pPr>
              <w:pStyle w:val="TAC"/>
            </w:pPr>
            <w:r w:rsidRPr="00C25669">
              <w:t>83976</w:t>
            </w:r>
          </w:p>
        </w:tc>
      </w:tr>
      <w:tr w:rsidR="00241417" w:rsidRPr="00C25669" w14:paraId="334FDD3F" w14:textId="77777777" w:rsidTr="003A71DE">
        <w:trPr>
          <w:jc w:val="center"/>
        </w:trPr>
        <w:tc>
          <w:tcPr>
            <w:tcW w:w="3205" w:type="pct"/>
            <w:vAlign w:val="center"/>
          </w:tcPr>
          <w:p w14:paraId="08A6EBCB" w14:textId="77777777" w:rsidR="00241417" w:rsidRPr="00C25669" w:rsidRDefault="00241417" w:rsidP="003A71DE">
            <w:pPr>
              <w:pStyle w:val="TAC"/>
              <w:rPr>
                <w:lang w:val="sv-FI"/>
              </w:rPr>
            </w:pPr>
            <w:r w:rsidRPr="00C25669">
              <w:rPr>
                <w:lang w:val="sv-FI"/>
              </w:rPr>
              <w:t>Transport block CRC per Slot</w:t>
            </w:r>
          </w:p>
        </w:tc>
        <w:tc>
          <w:tcPr>
            <w:tcW w:w="820" w:type="pct"/>
            <w:vAlign w:val="center"/>
          </w:tcPr>
          <w:p w14:paraId="06B072D6" w14:textId="77777777" w:rsidR="00241417" w:rsidRPr="00C25669" w:rsidRDefault="00241417" w:rsidP="003A71DE">
            <w:pPr>
              <w:pStyle w:val="TAC"/>
              <w:rPr>
                <w:lang w:val="sv-FI"/>
              </w:rPr>
            </w:pPr>
          </w:p>
        </w:tc>
        <w:tc>
          <w:tcPr>
            <w:tcW w:w="974" w:type="pct"/>
            <w:vAlign w:val="center"/>
          </w:tcPr>
          <w:p w14:paraId="3A323609" w14:textId="77777777" w:rsidR="00241417" w:rsidRPr="00C25669" w:rsidRDefault="00241417" w:rsidP="003A71DE">
            <w:pPr>
              <w:pStyle w:val="TAC"/>
              <w:rPr>
                <w:lang w:val="sv-FI"/>
              </w:rPr>
            </w:pPr>
            <w:r>
              <w:rPr>
                <w:lang w:val="sv-FI"/>
              </w:rPr>
              <w:t>24</w:t>
            </w:r>
          </w:p>
        </w:tc>
      </w:tr>
      <w:tr w:rsidR="00241417" w:rsidRPr="0065648C" w14:paraId="24E89456" w14:textId="77777777" w:rsidTr="003A71DE">
        <w:trPr>
          <w:jc w:val="center"/>
        </w:trPr>
        <w:tc>
          <w:tcPr>
            <w:tcW w:w="3205" w:type="pct"/>
            <w:vAlign w:val="center"/>
          </w:tcPr>
          <w:p w14:paraId="19E79BE5" w14:textId="77777777" w:rsidR="00241417" w:rsidRPr="006C7AF4" w:rsidRDefault="00241417" w:rsidP="003A71DE">
            <w:pPr>
              <w:pStyle w:val="TAC"/>
              <w:rPr>
                <w:rFonts w:eastAsiaTheme="minorHAnsi"/>
              </w:rPr>
            </w:pPr>
            <w:r w:rsidRPr="006C7AF4">
              <w:rPr>
                <w:rFonts w:eastAsiaTheme="minorHAnsi"/>
              </w:rPr>
              <w:t>Number of Code Blocks per Slot</w:t>
            </w:r>
          </w:p>
        </w:tc>
        <w:tc>
          <w:tcPr>
            <w:tcW w:w="820" w:type="pct"/>
            <w:vAlign w:val="center"/>
          </w:tcPr>
          <w:p w14:paraId="65546A25" w14:textId="77777777" w:rsidR="00241417" w:rsidRPr="006C7AF4" w:rsidRDefault="00241417" w:rsidP="003A71DE">
            <w:pPr>
              <w:pStyle w:val="TAC"/>
              <w:rPr>
                <w:rFonts w:eastAsiaTheme="minorHAnsi"/>
              </w:rPr>
            </w:pPr>
          </w:p>
        </w:tc>
        <w:tc>
          <w:tcPr>
            <w:tcW w:w="974" w:type="pct"/>
            <w:vAlign w:val="center"/>
          </w:tcPr>
          <w:p w14:paraId="7278F1FE" w14:textId="77777777" w:rsidR="00241417" w:rsidRPr="006C7AF4" w:rsidRDefault="00241417" w:rsidP="003A71DE">
            <w:pPr>
              <w:pStyle w:val="TAC"/>
              <w:rPr>
                <w:rFonts w:eastAsiaTheme="minorHAnsi"/>
              </w:rPr>
            </w:pPr>
            <w:r>
              <w:t>10</w:t>
            </w:r>
          </w:p>
        </w:tc>
      </w:tr>
      <w:tr w:rsidR="00241417" w:rsidRPr="00C25669" w14:paraId="107EA27D" w14:textId="77777777" w:rsidTr="003A71DE">
        <w:trPr>
          <w:jc w:val="center"/>
        </w:trPr>
        <w:tc>
          <w:tcPr>
            <w:tcW w:w="3205" w:type="pct"/>
            <w:vAlign w:val="center"/>
          </w:tcPr>
          <w:p w14:paraId="098F72D9" w14:textId="77777777" w:rsidR="00241417" w:rsidRPr="00C25669" w:rsidRDefault="00241417" w:rsidP="003A71DE">
            <w:pPr>
              <w:pStyle w:val="TAC"/>
            </w:pPr>
            <w:r w:rsidRPr="00C25669">
              <w:t>Binary Channel Bits Per Slot</w:t>
            </w:r>
          </w:p>
        </w:tc>
        <w:tc>
          <w:tcPr>
            <w:tcW w:w="820" w:type="pct"/>
            <w:vAlign w:val="center"/>
          </w:tcPr>
          <w:p w14:paraId="5F35ACDF" w14:textId="77777777" w:rsidR="00241417" w:rsidRPr="00C25669" w:rsidRDefault="00241417" w:rsidP="003A71DE">
            <w:pPr>
              <w:pStyle w:val="TAC"/>
            </w:pPr>
          </w:p>
        </w:tc>
        <w:tc>
          <w:tcPr>
            <w:tcW w:w="974" w:type="pct"/>
            <w:vAlign w:val="center"/>
          </w:tcPr>
          <w:p w14:paraId="2935D023" w14:textId="77777777" w:rsidR="00241417" w:rsidRPr="00C25669" w:rsidRDefault="00241417" w:rsidP="003A71DE">
            <w:pPr>
              <w:pStyle w:val="TAC"/>
            </w:pPr>
            <w:r w:rsidRPr="00C25669">
              <w:t>167904</w:t>
            </w:r>
          </w:p>
        </w:tc>
      </w:tr>
    </w:tbl>
    <w:p w14:paraId="652C4BBB" w14:textId="77777777" w:rsidR="00241417" w:rsidRDefault="00241417" w:rsidP="00241417"/>
    <w:p w14:paraId="6F623938" w14:textId="77777777" w:rsidR="00241417" w:rsidRPr="00333EE0" w:rsidRDefault="00241417" w:rsidP="00241417">
      <w:pPr>
        <w:pStyle w:val="TH"/>
        <w:rPr>
          <w:lang w:eastAsia="zh-CN"/>
        </w:rPr>
      </w:pPr>
      <w:r w:rsidRPr="00333EE0">
        <w:t>Table A.</w:t>
      </w:r>
      <w:r w:rsidRPr="00333EE0">
        <w:rPr>
          <w:lang w:eastAsia="zh-CN"/>
        </w:rPr>
        <w:t>3.2</w:t>
      </w:r>
      <w:r w:rsidRPr="00333EE0">
        <w:t>-</w:t>
      </w:r>
      <w:r w:rsidRPr="00333EE0">
        <w:rPr>
          <w:lang w:eastAsia="zh-CN"/>
        </w:rPr>
        <w:t>2</w:t>
      </w:r>
      <w:r w:rsidRPr="00333EE0">
        <w:t>: FRC parameters for</w:t>
      </w:r>
      <w:r w:rsidRPr="00333EE0">
        <w:rPr>
          <w:lang w:eastAsia="zh-CN"/>
        </w:rPr>
        <w:t xml:space="preserve"> FR2 PDSCH </w:t>
      </w:r>
      <w:r w:rsidRPr="00333EE0">
        <w:t>performance requirements</w:t>
      </w:r>
      <w:r w:rsidRPr="00333EE0">
        <w:rPr>
          <w:lang w:eastAsia="zh-CN"/>
        </w:rPr>
        <w:t>, 1-2 transmission layers, 64QAM</w:t>
      </w:r>
    </w:p>
    <w:tbl>
      <w:tblPr>
        <w:tblW w:w="339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41"/>
        <w:gridCol w:w="856"/>
        <w:gridCol w:w="1209"/>
        <w:gridCol w:w="1030"/>
      </w:tblGrid>
      <w:tr w:rsidR="00241417" w:rsidRPr="00B16D89" w14:paraId="67A07B7E" w14:textId="77777777" w:rsidTr="003A71DE">
        <w:trPr>
          <w:jc w:val="center"/>
        </w:trPr>
        <w:tc>
          <w:tcPr>
            <w:tcW w:w="2632" w:type="pct"/>
            <w:shd w:val="clear" w:color="auto" w:fill="auto"/>
            <w:vAlign w:val="center"/>
          </w:tcPr>
          <w:p w14:paraId="263A15F4" w14:textId="77777777" w:rsidR="00241417" w:rsidRPr="00B16D89" w:rsidRDefault="00241417" w:rsidP="003A71DE">
            <w:pPr>
              <w:pStyle w:val="TAH"/>
            </w:pPr>
            <w:r w:rsidRPr="00B16D89">
              <w:t>Parameter</w:t>
            </w:r>
          </w:p>
        </w:tc>
        <w:tc>
          <w:tcPr>
            <w:tcW w:w="655" w:type="pct"/>
            <w:shd w:val="clear" w:color="auto" w:fill="auto"/>
            <w:vAlign w:val="center"/>
          </w:tcPr>
          <w:p w14:paraId="1D68E7D1" w14:textId="77777777" w:rsidR="00241417" w:rsidRPr="00B16D89" w:rsidRDefault="00241417" w:rsidP="003A71DE">
            <w:pPr>
              <w:pStyle w:val="TAH"/>
            </w:pPr>
            <w:r w:rsidRPr="00B16D89">
              <w:t>Unit</w:t>
            </w:r>
          </w:p>
        </w:tc>
        <w:tc>
          <w:tcPr>
            <w:tcW w:w="1713" w:type="pct"/>
            <w:gridSpan w:val="2"/>
            <w:shd w:val="clear" w:color="auto" w:fill="auto"/>
            <w:vAlign w:val="center"/>
          </w:tcPr>
          <w:p w14:paraId="5C91FCEA" w14:textId="77777777" w:rsidR="00241417" w:rsidRPr="00B16D89" w:rsidRDefault="00241417" w:rsidP="003A71DE">
            <w:pPr>
              <w:pStyle w:val="TAH"/>
            </w:pPr>
            <w:r w:rsidRPr="00B16D89">
              <w:t>Value</w:t>
            </w:r>
          </w:p>
        </w:tc>
      </w:tr>
      <w:tr w:rsidR="00241417" w:rsidRPr="00B16D89" w14:paraId="0D738C1A" w14:textId="77777777" w:rsidTr="003A71DE">
        <w:trPr>
          <w:jc w:val="center"/>
        </w:trPr>
        <w:tc>
          <w:tcPr>
            <w:tcW w:w="2632" w:type="pct"/>
            <w:vAlign w:val="center"/>
          </w:tcPr>
          <w:p w14:paraId="12AE6C7D" w14:textId="77777777" w:rsidR="00241417" w:rsidRPr="00B16D89" w:rsidRDefault="00241417" w:rsidP="003A71DE">
            <w:pPr>
              <w:pStyle w:val="TAC"/>
            </w:pPr>
            <w:r w:rsidRPr="00B16D89">
              <w:t>Reference channel</w:t>
            </w:r>
          </w:p>
        </w:tc>
        <w:tc>
          <w:tcPr>
            <w:tcW w:w="655" w:type="pct"/>
            <w:vAlign w:val="center"/>
          </w:tcPr>
          <w:p w14:paraId="4884B779" w14:textId="77777777" w:rsidR="00241417" w:rsidRPr="00B16D89" w:rsidRDefault="00241417" w:rsidP="003A71DE">
            <w:pPr>
              <w:pStyle w:val="TAC"/>
            </w:pPr>
          </w:p>
        </w:tc>
        <w:tc>
          <w:tcPr>
            <w:tcW w:w="925" w:type="pct"/>
            <w:vAlign w:val="center"/>
          </w:tcPr>
          <w:p w14:paraId="267F8269" w14:textId="77777777" w:rsidR="00241417" w:rsidRPr="00B16D89" w:rsidRDefault="00241417" w:rsidP="003A71DE">
            <w:pPr>
              <w:pStyle w:val="TAC"/>
            </w:pPr>
            <w:r>
              <w:t>M-FR2-A.3.2-1</w:t>
            </w:r>
          </w:p>
        </w:tc>
        <w:tc>
          <w:tcPr>
            <w:tcW w:w="788" w:type="pct"/>
            <w:vAlign w:val="center"/>
          </w:tcPr>
          <w:p w14:paraId="04BACDBD" w14:textId="77777777" w:rsidR="00241417" w:rsidRPr="00B16D89" w:rsidRDefault="00241417" w:rsidP="003A71DE">
            <w:pPr>
              <w:pStyle w:val="TAC"/>
              <w:rPr>
                <w:lang w:eastAsia="zh-CN"/>
              </w:rPr>
            </w:pPr>
            <w:r>
              <w:t>M-FR2-A.3.2-2</w:t>
            </w:r>
          </w:p>
        </w:tc>
      </w:tr>
      <w:tr w:rsidR="00241417" w:rsidRPr="00B16D89" w14:paraId="5C8B9338" w14:textId="77777777" w:rsidTr="003A71DE">
        <w:trPr>
          <w:jc w:val="center"/>
        </w:trPr>
        <w:tc>
          <w:tcPr>
            <w:tcW w:w="2632" w:type="pct"/>
          </w:tcPr>
          <w:p w14:paraId="24D27D04" w14:textId="77777777" w:rsidR="00241417" w:rsidRPr="00B16D89" w:rsidRDefault="00241417" w:rsidP="003A71DE">
            <w:pPr>
              <w:pStyle w:val="TAC"/>
            </w:pPr>
            <w:r w:rsidRPr="00B16D89">
              <w:t>Channel bandwidth</w:t>
            </w:r>
          </w:p>
        </w:tc>
        <w:tc>
          <w:tcPr>
            <w:tcW w:w="655" w:type="pct"/>
            <w:vAlign w:val="center"/>
          </w:tcPr>
          <w:p w14:paraId="3A12C571" w14:textId="77777777" w:rsidR="00241417" w:rsidRPr="00B16D89" w:rsidRDefault="00241417" w:rsidP="003A71DE">
            <w:pPr>
              <w:pStyle w:val="TAC"/>
            </w:pPr>
            <w:r w:rsidRPr="00B16D89">
              <w:t>MHz</w:t>
            </w:r>
          </w:p>
        </w:tc>
        <w:tc>
          <w:tcPr>
            <w:tcW w:w="925" w:type="pct"/>
            <w:vAlign w:val="center"/>
          </w:tcPr>
          <w:p w14:paraId="7D2D425C" w14:textId="77777777" w:rsidR="00241417" w:rsidRPr="00B16D89" w:rsidRDefault="00241417" w:rsidP="003A71DE">
            <w:pPr>
              <w:pStyle w:val="TAC"/>
            </w:pPr>
            <w:r w:rsidRPr="00B16D89">
              <w:t>100</w:t>
            </w:r>
          </w:p>
        </w:tc>
        <w:tc>
          <w:tcPr>
            <w:tcW w:w="788" w:type="pct"/>
            <w:vAlign w:val="center"/>
          </w:tcPr>
          <w:p w14:paraId="4C57BA1C" w14:textId="77777777" w:rsidR="00241417" w:rsidRPr="00B16D89" w:rsidRDefault="00241417" w:rsidP="003A71DE">
            <w:pPr>
              <w:pStyle w:val="TAC"/>
            </w:pPr>
            <w:r w:rsidRPr="004F4F43">
              <w:t>100</w:t>
            </w:r>
          </w:p>
        </w:tc>
      </w:tr>
      <w:tr w:rsidR="00241417" w:rsidRPr="00B16D89" w14:paraId="70751903" w14:textId="77777777" w:rsidTr="003A71DE">
        <w:trPr>
          <w:jc w:val="center"/>
        </w:trPr>
        <w:tc>
          <w:tcPr>
            <w:tcW w:w="2632" w:type="pct"/>
          </w:tcPr>
          <w:p w14:paraId="719BBD62" w14:textId="77777777" w:rsidR="00241417" w:rsidRPr="00B16D89" w:rsidRDefault="00241417" w:rsidP="003A71DE">
            <w:pPr>
              <w:pStyle w:val="TAC"/>
            </w:pPr>
            <w:r w:rsidRPr="00B16D89">
              <w:t>Subcarrier spacing</w:t>
            </w:r>
          </w:p>
        </w:tc>
        <w:tc>
          <w:tcPr>
            <w:tcW w:w="655" w:type="pct"/>
            <w:vAlign w:val="center"/>
          </w:tcPr>
          <w:p w14:paraId="7EBD43F8" w14:textId="77777777" w:rsidR="00241417" w:rsidRPr="00B16D89" w:rsidRDefault="00241417" w:rsidP="003A71DE">
            <w:pPr>
              <w:pStyle w:val="TAC"/>
            </w:pPr>
            <w:r w:rsidRPr="00B16D89">
              <w:t>kHz</w:t>
            </w:r>
          </w:p>
        </w:tc>
        <w:tc>
          <w:tcPr>
            <w:tcW w:w="925" w:type="pct"/>
            <w:vAlign w:val="center"/>
          </w:tcPr>
          <w:p w14:paraId="3DE58C89" w14:textId="77777777" w:rsidR="00241417" w:rsidRPr="00B16D89" w:rsidRDefault="00241417" w:rsidP="003A71DE">
            <w:pPr>
              <w:pStyle w:val="TAC"/>
            </w:pPr>
            <w:r w:rsidRPr="00B16D89">
              <w:t>120</w:t>
            </w:r>
          </w:p>
        </w:tc>
        <w:tc>
          <w:tcPr>
            <w:tcW w:w="788" w:type="pct"/>
            <w:vAlign w:val="center"/>
          </w:tcPr>
          <w:p w14:paraId="2A4D3EF5" w14:textId="77777777" w:rsidR="00241417" w:rsidRPr="00B16D89" w:rsidRDefault="00241417" w:rsidP="003A71DE">
            <w:pPr>
              <w:pStyle w:val="TAC"/>
            </w:pPr>
            <w:r w:rsidRPr="004F4F43">
              <w:t>120</w:t>
            </w:r>
          </w:p>
        </w:tc>
      </w:tr>
      <w:tr w:rsidR="00241417" w:rsidRPr="00B16D89" w14:paraId="0C3A9F77" w14:textId="77777777" w:rsidTr="003A71DE">
        <w:trPr>
          <w:jc w:val="center"/>
        </w:trPr>
        <w:tc>
          <w:tcPr>
            <w:tcW w:w="2632" w:type="pct"/>
          </w:tcPr>
          <w:p w14:paraId="574D8A64" w14:textId="77777777" w:rsidR="00241417" w:rsidRPr="00B16D89" w:rsidRDefault="00241417" w:rsidP="003A71DE">
            <w:pPr>
              <w:pStyle w:val="TAC"/>
            </w:pPr>
            <w:r w:rsidRPr="00B16D89">
              <w:t>Allocated resource blocks</w:t>
            </w:r>
          </w:p>
        </w:tc>
        <w:tc>
          <w:tcPr>
            <w:tcW w:w="655" w:type="pct"/>
            <w:vAlign w:val="center"/>
          </w:tcPr>
          <w:p w14:paraId="54C2F35F" w14:textId="77777777" w:rsidR="00241417" w:rsidRPr="00B16D89" w:rsidRDefault="00241417" w:rsidP="003A71DE">
            <w:pPr>
              <w:pStyle w:val="TAC"/>
            </w:pPr>
            <w:r w:rsidRPr="00B16D89">
              <w:t>PRBs</w:t>
            </w:r>
          </w:p>
        </w:tc>
        <w:tc>
          <w:tcPr>
            <w:tcW w:w="925" w:type="pct"/>
            <w:vAlign w:val="center"/>
          </w:tcPr>
          <w:p w14:paraId="55FF6392" w14:textId="77777777" w:rsidR="00241417" w:rsidRPr="00B16D89" w:rsidRDefault="00241417" w:rsidP="003A71DE">
            <w:pPr>
              <w:pStyle w:val="TAC"/>
            </w:pPr>
            <w:r w:rsidRPr="00B16D89">
              <w:t>66</w:t>
            </w:r>
          </w:p>
        </w:tc>
        <w:tc>
          <w:tcPr>
            <w:tcW w:w="788" w:type="pct"/>
            <w:vAlign w:val="center"/>
          </w:tcPr>
          <w:p w14:paraId="419BACA2" w14:textId="77777777" w:rsidR="00241417" w:rsidRPr="00B16D89" w:rsidRDefault="00241417" w:rsidP="003A71DE">
            <w:pPr>
              <w:pStyle w:val="TAC"/>
            </w:pPr>
            <w:r w:rsidRPr="004F4F43">
              <w:t>66</w:t>
            </w:r>
          </w:p>
        </w:tc>
      </w:tr>
      <w:tr w:rsidR="00241417" w:rsidRPr="00B16D89" w14:paraId="22C6C369" w14:textId="77777777" w:rsidTr="003A71DE">
        <w:trPr>
          <w:jc w:val="center"/>
        </w:trPr>
        <w:tc>
          <w:tcPr>
            <w:tcW w:w="2632" w:type="pct"/>
          </w:tcPr>
          <w:p w14:paraId="40045F30" w14:textId="77777777" w:rsidR="00241417" w:rsidRPr="00333EE0" w:rsidRDefault="00241417" w:rsidP="003A71DE">
            <w:pPr>
              <w:pStyle w:val="TAC"/>
            </w:pPr>
            <w:r w:rsidRPr="00333EE0">
              <w:t>Number of consecutive PDSCH symbols</w:t>
            </w:r>
          </w:p>
        </w:tc>
        <w:tc>
          <w:tcPr>
            <w:tcW w:w="655" w:type="pct"/>
            <w:vAlign w:val="center"/>
          </w:tcPr>
          <w:p w14:paraId="02C48ECE" w14:textId="77777777" w:rsidR="00241417" w:rsidRPr="00333EE0" w:rsidRDefault="00241417" w:rsidP="003A71DE">
            <w:pPr>
              <w:pStyle w:val="TAC"/>
            </w:pPr>
          </w:p>
        </w:tc>
        <w:tc>
          <w:tcPr>
            <w:tcW w:w="925" w:type="pct"/>
            <w:vAlign w:val="center"/>
          </w:tcPr>
          <w:p w14:paraId="49A72A8F" w14:textId="77777777" w:rsidR="00241417" w:rsidRPr="00B16D89" w:rsidRDefault="00241417" w:rsidP="003A71DE">
            <w:pPr>
              <w:pStyle w:val="TAC"/>
            </w:pPr>
            <w:r>
              <w:t>13</w:t>
            </w:r>
          </w:p>
        </w:tc>
        <w:tc>
          <w:tcPr>
            <w:tcW w:w="788" w:type="pct"/>
            <w:vAlign w:val="center"/>
          </w:tcPr>
          <w:p w14:paraId="2D1892DC" w14:textId="77777777" w:rsidR="00241417" w:rsidRPr="00B16D89" w:rsidRDefault="00241417" w:rsidP="003A71DE">
            <w:pPr>
              <w:pStyle w:val="TAC"/>
            </w:pPr>
            <w:r>
              <w:t>13</w:t>
            </w:r>
          </w:p>
        </w:tc>
      </w:tr>
      <w:tr w:rsidR="00241417" w:rsidRPr="00B16D89" w14:paraId="108FAC18" w14:textId="77777777" w:rsidTr="003A71DE">
        <w:trPr>
          <w:jc w:val="center"/>
        </w:trPr>
        <w:tc>
          <w:tcPr>
            <w:tcW w:w="2632" w:type="pct"/>
          </w:tcPr>
          <w:p w14:paraId="3E43638B" w14:textId="77777777" w:rsidR="00241417" w:rsidRPr="00B16D89" w:rsidRDefault="00241417" w:rsidP="003A71DE">
            <w:pPr>
              <w:pStyle w:val="TAC"/>
            </w:pPr>
            <w:r w:rsidRPr="00B16D89">
              <w:t>MCS table</w:t>
            </w:r>
          </w:p>
        </w:tc>
        <w:tc>
          <w:tcPr>
            <w:tcW w:w="655" w:type="pct"/>
            <w:vAlign w:val="center"/>
          </w:tcPr>
          <w:p w14:paraId="3A4EA184" w14:textId="77777777" w:rsidR="00241417" w:rsidRPr="00B16D89" w:rsidRDefault="00241417" w:rsidP="003A71DE">
            <w:pPr>
              <w:pStyle w:val="TAC"/>
            </w:pPr>
          </w:p>
        </w:tc>
        <w:tc>
          <w:tcPr>
            <w:tcW w:w="925" w:type="pct"/>
            <w:vAlign w:val="center"/>
          </w:tcPr>
          <w:p w14:paraId="75970C82" w14:textId="77777777" w:rsidR="00241417" w:rsidRPr="00B16D89" w:rsidRDefault="00241417" w:rsidP="003A71DE">
            <w:pPr>
              <w:pStyle w:val="TAC"/>
            </w:pPr>
            <w:r w:rsidRPr="00B16D89">
              <w:t>64QAM</w:t>
            </w:r>
          </w:p>
        </w:tc>
        <w:tc>
          <w:tcPr>
            <w:tcW w:w="788" w:type="pct"/>
            <w:vAlign w:val="center"/>
          </w:tcPr>
          <w:p w14:paraId="3EC7C2F9" w14:textId="77777777" w:rsidR="00241417" w:rsidRPr="00B16D89" w:rsidRDefault="00241417" w:rsidP="003A71DE">
            <w:pPr>
              <w:pStyle w:val="TAC"/>
            </w:pPr>
            <w:r w:rsidRPr="004F4F43">
              <w:t>64QAM</w:t>
            </w:r>
          </w:p>
        </w:tc>
      </w:tr>
      <w:tr w:rsidR="00241417" w:rsidRPr="00B16D89" w14:paraId="7E787785" w14:textId="77777777" w:rsidTr="003A71DE">
        <w:trPr>
          <w:jc w:val="center"/>
        </w:trPr>
        <w:tc>
          <w:tcPr>
            <w:tcW w:w="2632" w:type="pct"/>
          </w:tcPr>
          <w:p w14:paraId="72C9BBD4" w14:textId="77777777" w:rsidR="00241417" w:rsidRPr="00B16D89" w:rsidRDefault="00241417" w:rsidP="003A71DE">
            <w:pPr>
              <w:pStyle w:val="TAC"/>
            </w:pPr>
            <w:r w:rsidRPr="00B16D89">
              <w:t>MCS index</w:t>
            </w:r>
          </w:p>
        </w:tc>
        <w:tc>
          <w:tcPr>
            <w:tcW w:w="655" w:type="pct"/>
            <w:vAlign w:val="center"/>
          </w:tcPr>
          <w:p w14:paraId="4037AD2D" w14:textId="77777777" w:rsidR="00241417" w:rsidRPr="00B16D89" w:rsidRDefault="00241417" w:rsidP="003A71DE">
            <w:pPr>
              <w:pStyle w:val="TAC"/>
            </w:pPr>
          </w:p>
        </w:tc>
        <w:tc>
          <w:tcPr>
            <w:tcW w:w="925" w:type="pct"/>
          </w:tcPr>
          <w:p w14:paraId="32FB6640" w14:textId="77777777" w:rsidR="00241417" w:rsidRPr="00B16D89" w:rsidRDefault="00241417" w:rsidP="003A71DE">
            <w:pPr>
              <w:pStyle w:val="TAC"/>
            </w:pPr>
            <w:r w:rsidRPr="00B16D89">
              <w:t>18</w:t>
            </w:r>
          </w:p>
        </w:tc>
        <w:tc>
          <w:tcPr>
            <w:tcW w:w="788" w:type="pct"/>
            <w:vAlign w:val="center"/>
          </w:tcPr>
          <w:p w14:paraId="718E62FD" w14:textId="77777777" w:rsidR="00241417" w:rsidRPr="00B16D89" w:rsidRDefault="00241417" w:rsidP="003A71DE">
            <w:pPr>
              <w:pStyle w:val="TAC"/>
            </w:pPr>
            <w:r w:rsidRPr="004F4F43">
              <w:t>17</w:t>
            </w:r>
          </w:p>
        </w:tc>
      </w:tr>
      <w:tr w:rsidR="00241417" w:rsidRPr="00B16D89" w14:paraId="11C13930" w14:textId="77777777" w:rsidTr="003A71DE">
        <w:trPr>
          <w:jc w:val="center"/>
        </w:trPr>
        <w:tc>
          <w:tcPr>
            <w:tcW w:w="2632" w:type="pct"/>
          </w:tcPr>
          <w:p w14:paraId="6E8E3402" w14:textId="77777777" w:rsidR="00241417" w:rsidRPr="00B16D89" w:rsidRDefault="00241417" w:rsidP="003A71DE">
            <w:pPr>
              <w:pStyle w:val="TAC"/>
            </w:pPr>
            <w:r w:rsidRPr="00B16D89">
              <w:t>Modulation</w:t>
            </w:r>
          </w:p>
        </w:tc>
        <w:tc>
          <w:tcPr>
            <w:tcW w:w="655" w:type="pct"/>
            <w:vAlign w:val="center"/>
          </w:tcPr>
          <w:p w14:paraId="606E12F5" w14:textId="77777777" w:rsidR="00241417" w:rsidRPr="00B16D89" w:rsidRDefault="00241417" w:rsidP="003A71DE">
            <w:pPr>
              <w:pStyle w:val="TAC"/>
            </w:pPr>
          </w:p>
        </w:tc>
        <w:tc>
          <w:tcPr>
            <w:tcW w:w="925" w:type="pct"/>
            <w:vAlign w:val="center"/>
          </w:tcPr>
          <w:p w14:paraId="79DA1FEF" w14:textId="77777777" w:rsidR="00241417" w:rsidRPr="00B16D89" w:rsidRDefault="00241417" w:rsidP="003A71DE">
            <w:pPr>
              <w:pStyle w:val="TAC"/>
            </w:pPr>
            <w:r w:rsidRPr="00B16D89">
              <w:t>64QAM</w:t>
            </w:r>
          </w:p>
        </w:tc>
        <w:tc>
          <w:tcPr>
            <w:tcW w:w="788" w:type="pct"/>
            <w:vAlign w:val="center"/>
          </w:tcPr>
          <w:p w14:paraId="40081959" w14:textId="77777777" w:rsidR="00241417" w:rsidRPr="00B16D89" w:rsidRDefault="00241417" w:rsidP="003A71DE">
            <w:pPr>
              <w:pStyle w:val="TAC"/>
            </w:pPr>
            <w:r w:rsidRPr="004F4F43">
              <w:t>64QAM</w:t>
            </w:r>
          </w:p>
        </w:tc>
      </w:tr>
      <w:tr w:rsidR="00241417" w:rsidRPr="00B16D89" w14:paraId="2C1394B7" w14:textId="77777777" w:rsidTr="003A71DE">
        <w:trPr>
          <w:jc w:val="center"/>
        </w:trPr>
        <w:tc>
          <w:tcPr>
            <w:tcW w:w="2632" w:type="pct"/>
          </w:tcPr>
          <w:p w14:paraId="3CBB8F59" w14:textId="77777777" w:rsidR="00241417" w:rsidRPr="00B16D89" w:rsidRDefault="00241417" w:rsidP="003A71DE">
            <w:pPr>
              <w:pStyle w:val="TAC"/>
            </w:pPr>
            <w:r w:rsidRPr="00B16D89">
              <w:t>Target Coding Rate</w:t>
            </w:r>
          </w:p>
        </w:tc>
        <w:tc>
          <w:tcPr>
            <w:tcW w:w="655" w:type="pct"/>
            <w:vAlign w:val="center"/>
          </w:tcPr>
          <w:p w14:paraId="027729EB" w14:textId="77777777" w:rsidR="00241417" w:rsidRPr="00B16D89" w:rsidRDefault="00241417" w:rsidP="003A71DE">
            <w:pPr>
              <w:pStyle w:val="TAC"/>
            </w:pPr>
          </w:p>
        </w:tc>
        <w:tc>
          <w:tcPr>
            <w:tcW w:w="925" w:type="pct"/>
            <w:vAlign w:val="center"/>
          </w:tcPr>
          <w:p w14:paraId="308FD505" w14:textId="77777777" w:rsidR="00241417" w:rsidRPr="00B16D89" w:rsidRDefault="00241417" w:rsidP="003A71DE">
            <w:pPr>
              <w:pStyle w:val="TAC"/>
            </w:pPr>
            <w:r w:rsidRPr="00B16D89">
              <w:t>0.46</w:t>
            </w:r>
          </w:p>
        </w:tc>
        <w:tc>
          <w:tcPr>
            <w:tcW w:w="788" w:type="pct"/>
            <w:vAlign w:val="center"/>
          </w:tcPr>
          <w:p w14:paraId="18EBE096" w14:textId="77777777" w:rsidR="00241417" w:rsidRPr="00B16D89" w:rsidRDefault="00241417" w:rsidP="003A71DE">
            <w:pPr>
              <w:pStyle w:val="TAC"/>
            </w:pPr>
            <w:r w:rsidRPr="004F4F43">
              <w:t>0.43</w:t>
            </w:r>
          </w:p>
        </w:tc>
      </w:tr>
      <w:tr w:rsidR="00241417" w:rsidRPr="00B16D89" w14:paraId="723C092D" w14:textId="77777777" w:rsidTr="003A71DE">
        <w:trPr>
          <w:jc w:val="center"/>
        </w:trPr>
        <w:tc>
          <w:tcPr>
            <w:tcW w:w="2632" w:type="pct"/>
            <w:vAlign w:val="center"/>
          </w:tcPr>
          <w:p w14:paraId="063CE921" w14:textId="77777777" w:rsidR="00241417" w:rsidRPr="00B16D89" w:rsidRDefault="00241417" w:rsidP="003A71DE">
            <w:pPr>
              <w:pStyle w:val="TAC"/>
            </w:pPr>
            <w:r w:rsidRPr="00B16D89">
              <w:t>Number of MIMO layers</w:t>
            </w:r>
          </w:p>
        </w:tc>
        <w:tc>
          <w:tcPr>
            <w:tcW w:w="655" w:type="pct"/>
            <w:vAlign w:val="center"/>
          </w:tcPr>
          <w:p w14:paraId="69C856C0" w14:textId="77777777" w:rsidR="00241417" w:rsidRPr="00B16D89" w:rsidRDefault="00241417" w:rsidP="003A71DE">
            <w:pPr>
              <w:pStyle w:val="TAC"/>
            </w:pPr>
          </w:p>
        </w:tc>
        <w:tc>
          <w:tcPr>
            <w:tcW w:w="925" w:type="pct"/>
            <w:vAlign w:val="center"/>
          </w:tcPr>
          <w:p w14:paraId="45B4F3B1" w14:textId="77777777" w:rsidR="00241417" w:rsidRPr="00B16D89" w:rsidRDefault="00241417" w:rsidP="003A71DE">
            <w:pPr>
              <w:pStyle w:val="TAC"/>
            </w:pPr>
            <w:r w:rsidRPr="00B16D89">
              <w:t>1</w:t>
            </w:r>
          </w:p>
        </w:tc>
        <w:tc>
          <w:tcPr>
            <w:tcW w:w="788" w:type="pct"/>
            <w:vAlign w:val="center"/>
          </w:tcPr>
          <w:p w14:paraId="49F5B560" w14:textId="77777777" w:rsidR="00241417" w:rsidRPr="00B16D89" w:rsidRDefault="00241417" w:rsidP="003A71DE">
            <w:pPr>
              <w:pStyle w:val="TAC"/>
            </w:pPr>
            <w:r w:rsidRPr="004F4F43">
              <w:t>2</w:t>
            </w:r>
          </w:p>
        </w:tc>
      </w:tr>
      <w:tr w:rsidR="00241417" w:rsidRPr="00B16D89" w14:paraId="5F04884F" w14:textId="77777777" w:rsidTr="003A71DE">
        <w:trPr>
          <w:jc w:val="center"/>
        </w:trPr>
        <w:tc>
          <w:tcPr>
            <w:tcW w:w="2632" w:type="pct"/>
            <w:vAlign w:val="center"/>
          </w:tcPr>
          <w:p w14:paraId="0438F35F" w14:textId="77777777" w:rsidR="00241417" w:rsidRPr="00B16D89" w:rsidRDefault="00241417" w:rsidP="003A71DE">
            <w:pPr>
              <w:pStyle w:val="TAC"/>
            </w:pPr>
            <w:r w:rsidRPr="00B16D89">
              <w:t xml:space="preserve">Number of DMRS </w:t>
            </w:r>
            <w:r w:rsidRPr="00B16D89">
              <w:rPr>
                <w:rFonts w:hint="eastAsia"/>
                <w:lang w:eastAsia="zh-CN"/>
              </w:rPr>
              <w:t>REs</w:t>
            </w:r>
          </w:p>
        </w:tc>
        <w:tc>
          <w:tcPr>
            <w:tcW w:w="655" w:type="pct"/>
            <w:vAlign w:val="center"/>
          </w:tcPr>
          <w:p w14:paraId="17DD25E8" w14:textId="77777777" w:rsidR="00241417" w:rsidRPr="00B16D89" w:rsidRDefault="00241417" w:rsidP="003A71DE">
            <w:pPr>
              <w:pStyle w:val="TAC"/>
            </w:pPr>
          </w:p>
        </w:tc>
        <w:tc>
          <w:tcPr>
            <w:tcW w:w="925" w:type="pct"/>
            <w:vAlign w:val="center"/>
          </w:tcPr>
          <w:p w14:paraId="1A03F712" w14:textId="77777777" w:rsidR="00241417" w:rsidRPr="00B16D89" w:rsidRDefault="00241417" w:rsidP="003A71DE">
            <w:pPr>
              <w:pStyle w:val="TAC"/>
            </w:pPr>
            <w:r>
              <w:t>12</w:t>
            </w:r>
          </w:p>
        </w:tc>
        <w:tc>
          <w:tcPr>
            <w:tcW w:w="788" w:type="pct"/>
            <w:vAlign w:val="center"/>
          </w:tcPr>
          <w:p w14:paraId="252A3373" w14:textId="77777777" w:rsidR="00241417" w:rsidRPr="00B16D89" w:rsidRDefault="00241417" w:rsidP="003A71DE">
            <w:pPr>
              <w:pStyle w:val="TAC"/>
            </w:pPr>
            <w:r>
              <w:t>12</w:t>
            </w:r>
          </w:p>
        </w:tc>
      </w:tr>
      <w:tr w:rsidR="00241417" w:rsidRPr="00B16D89" w14:paraId="24C827A2" w14:textId="77777777" w:rsidTr="003A71DE">
        <w:trPr>
          <w:jc w:val="center"/>
        </w:trPr>
        <w:tc>
          <w:tcPr>
            <w:tcW w:w="2632" w:type="pct"/>
            <w:vAlign w:val="center"/>
          </w:tcPr>
          <w:p w14:paraId="4BEE2E1E" w14:textId="77777777" w:rsidR="00241417" w:rsidRPr="00B16D89" w:rsidRDefault="00241417" w:rsidP="003A71DE">
            <w:pPr>
              <w:pStyle w:val="TAC"/>
            </w:pPr>
            <w:r w:rsidRPr="00B16D89">
              <w:t>Overhead for TBS determination</w:t>
            </w:r>
          </w:p>
        </w:tc>
        <w:tc>
          <w:tcPr>
            <w:tcW w:w="655" w:type="pct"/>
            <w:vAlign w:val="center"/>
          </w:tcPr>
          <w:p w14:paraId="0B6C1290" w14:textId="77777777" w:rsidR="00241417" w:rsidRPr="00B16D89" w:rsidRDefault="00241417" w:rsidP="003A71DE">
            <w:pPr>
              <w:pStyle w:val="TAC"/>
            </w:pPr>
          </w:p>
        </w:tc>
        <w:tc>
          <w:tcPr>
            <w:tcW w:w="925" w:type="pct"/>
            <w:vAlign w:val="center"/>
          </w:tcPr>
          <w:p w14:paraId="4C10D3BC" w14:textId="77777777" w:rsidR="00241417" w:rsidRPr="00B16D89" w:rsidRDefault="00241417" w:rsidP="003A71DE">
            <w:pPr>
              <w:pStyle w:val="TAC"/>
            </w:pPr>
            <w:r w:rsidRPr="00B16D89">
              <w:t>6</w:t>
            </w:r>
          </w:p>
        </w:tc>
        <w:tc>
          <w:tcPr>
            <w:tcW w:w="788" w:type="pct"/>
            <w:vAlign w:val="center"/>
          </w:tcPr>
          <w:p w14:paraId="3C97C0B1" w14:textId="77777777" w:rsidR="00241417" w:rsidRPr="00B16D89" w:rsidRDefault="00241417" w:rsidP="003A71DE">
            <w:pPr>
              <w:pStyle w:val="TAC"/>
            </w:pPr>
            <w:r w:rsidRPr="004F4F43">
              <w:t>6</w:t>
            </w:r>
          </w:p>
        </w:tc>
      </w:tr>
      <w:tr w:rsidR="00241417" w:rsidRPr="00B16D89" w14:paraId="26A648FB" w14:textId="77777777" w:rsidTr="003A71DE">
        <w:trPr>
          <w:jc w:val="center"/>
        </w:trPr>
        <w:tc>
          <w:tcPr>
            <w:tcW w:w="2632" w:type="pct"/>
          </w:tcPr>
          <w:p w14:paraId="2DA549D2" w14:textId="77777777" w:rsidR="00241417" w:rsidRPr="00B16D89" w:rsidRDefault="00241417" w:rsidP="003A71DE">
            <w:pPr>
              <w:pStyle w:val="TAC"/>
            </w:pPr>
            <w:r w:rsidRPr="00B16D89">
              <w:t xml:space="preserve">Information Bit Payload per Slot </w:t>
            </w:r>
          </w:p>
        </w:tc>
        <w:tc>
          <w:tcPr>
            <w:tcW w:w="655" w:type="pct"/>
            <w:vAlign w:val="center"/>
          </w:tcPr>
          <w:p w14:paraId="390DBA35" w14:textId="77777777" w:rsidR="00241417" w:rsidRPr="00B16D89" w:rsidRDefault="00241417" w:rsidP="003A71DE">
            <w:pPr>
              <w:pStyle w:val="TAC"/>
            </w:pPr>
          </w:p>
        </w:tc>
        <w:tc>
          <w:tcPr>
            <w:tcW w:w="925" w:type="pct"/>
          </w:tcPr>
          <w:p w14:paraId="5EAD5094" w14:textId="77777777" w:rsidR="00241417" w:rsidRPr="00B16D89" w:rsidRDefault="00241417" w:rsidP="003A71DE">
            <w:pPr>
              <w:pStyle w:val="TAC"/>
            </w:pPr>
            <w:r w:rsidRPr="00B16D89">
              <w:t>25104</w:t>
            </w:r>
          </w:p>
        </w:tc>
        <w:tc>
          <w:tcPr>
            <w:tcW w:w="788" w:type="pct"/>
            <w:vAlign w:val="center"/>
          </w:tcPr>
          <w:p w14:paraId="39F928FD" w14:textId="77777777" w:rsidR="00241417" w:rsidRPr="00B16D89" w:rsidRDefault="00241417" w:rsidP="003A71DE">
            <w:pPr>
              <w:pStyle w:val="TAC"/>
            </w:pPr>
            <w:r w:rsidRPr="004F4F43">
              <w:t>47112</w:t>
            </w:r>
          </w:p>
        </w:tc>
      </w:tr>
      <w:tr w:rsidR="00241417" w:rsidRPr="00B16D89" w14:paraId="0AA96A5F" w14:textId="77777777" w:rsidTr="003A71DE">
        <w:trPr>
          <w:jc w:val="center"/>
        </w:trPr>
        <w:tc>
          <w:tcPr>
            <w:tcW w:w="2632" w:type="pct"/>
          </w:tcPr>
          <w:p w14:paraId="544A7B35" w14:textId="77777777" w:rsidR="00241417" w:rsidRPr="00B16D89" w:rsidRDefault="00241417" w:rsidP="003A71DE">
            <w:pPr>
              <w:pStyle w:val="TAC"/>
              <w:rPr>
                <w:lang w:val="sv-FI"/>
              </w:rPr>
            </w:pPr>
            <w:r w:rsidRPr="00B16D89">
              <w:rPr>
                <w:lang w:val="sv-FI"/>
              </w:rPr>
              <w:t>Transport block CRC per Slot</w:t>
            </w:r>
          </w:p>
        </w:tc>
        <w:tc>
          <w:tcPr>
            <w:tcW w:w="655" w:type="pct"/>
            <w:vAlign w:val="center"/>
          </w:tcPr>
          <w:p w14:paraId="486578AB" w14:textId="77777777" w:rsidR="00241417" w:rsidRPr="00B16D89" w:rsidRDefault="00241417" w:rsidP="003A71DE">
            <w:pPr>
              <w:pStyle w:val="TAC"/>
              <w:rPr>
                <w:lang w:val="sv-FI"/>
              </w:rPr>
            </w:pPr>
          </w:p>
        </w:tc>
        <w:tc>
          <w:tcPr>
            <w:tcW w:w="925" w:type="pct"/>
          </w:tcPr>
          <w:p w14:paraId="77D31ED8" w14:textId="77777777" w:rsidR="00241417" w:rsidRPr="00B16D89" w:rsidRDefault="00241417" w:rsidP="003A71DE">
            <w:pPr>
              <w:pStyle w:val="TAC"/>
              <w:rPr>
                <w:lang w:val="sv-FI"/>
              </w:rPr>
            </w:pPr>
            <w:r>
              <w:rPr>
                <w:lang w:val="sv-FI"/>
              </w:rPr>
              <w:t>24</w:t>
            </w:r>
          </w:p>
        </w:tc>
        <w:tc>
          <w:tcPr>
            <w:tcW w:w="788" w:type="pct"/>
            <w:vAlign w:val="center"/>
          </w:tcPr>
          <w:p w14:paraId="795345CB" w14:textId="77777777" w:rsidR="00241417" w:rsidRPr="00B16D89" w:rsidRDefault="00241417" w:rsidP="003A71DE">
            <w:pPr>
              <w:pStyle w:val="TAC"/>
              <w:rPr>
                <w:lang w:val="sv-FI"/>
              </w:rPr>
            </w:pPr>
            <w:r>
              <w:rPr>
                <w:lang w:val="sv-FI"/>
              </w:rPr>
              <w:t>24</w:t>
            </w:r>
          </w:p>
        </w:tc>
      </w:tr>
      <w:tr w:rsidR="00241417" w:rsidRPr="00B16D89" w14:paraId="37C3FC6A" w14:textId="77777777" w:rsidTr="003A71DE">
        <w:trPr>
          <w:jc w:val="center"/>
        </w:trPr>
        <w:tc>
          <w:tcPr>
            <w:tcW w:w="2632" w:type="pct"/>
          </w:tcPr>
          <w:p w14:paraId="20626819" w14:textId="77777777" w:rsidR="00241417" w:rsidRPr="00333EE0" w:rsidRDefault="00241417" w:rsidP="003A71DE">
            <w:pPr>
              <w:pStyle w:val="TAC"/>
            </w:pPr>
            <w:r w:rsidRPr="00333EE0">
              <w:t>Number of Code Blocks per Slot</w:t>
            </w:r>
          </w:p>
        </w:tc>
        <w:tc>
          <w:tcPr>
            <w:tcW w:w="655" w:type="pct"/>
            <w:vAlign w:val="center"/>
          </w:tcPr>
          <w:p w14:paraId="7A4059A6" w14:textId="77777777" w:rsidR="00241417" w:rsidRPr="00333EE0" w:rsidRDefault="00241417" w:rsidP="003A71DE">
            <w:pPr>
              <w:pStyle w:val="TAC"/>
            </w:pPr>
          </w:p>
        </w:tc>
        <w:tc>
          <w:tcPr>
            <w:tcW w:w="925" w:type="pct"/>
          </w:tcPr>
          <w:p w14:paraId="11BC3BF4" w14:textId="77777777" w:rsidR="00241417" w:rsidRPr="00B16D89" w:rsidRDefault="00241417" w:rsidP="003A71DE">
            <w:pPr>
              <w:pStyle w:val="TAC"/>
            </w:pPr>
            <w:r>
              <w:t>3</w:t>
            </w:r>
          </w:p>
        </w:tc>
        <w:tc>
          <w:tcPr>
            <w:tcW w:w="788" w:type="pct"/>
            <w:vAlign w:val="center"/>
          </w:tcPr>
          <w:p w14:paraId="7D54C2D9" w14:textId="77777777" w:rsidR="00241417" w:rsidRPr="00B16D89" w:rsidRDefault="00241417" w:rsidP="003A71DE">
            <w:pPr>
              <w:pStyle w:val="TAC"/>
            </w:pPr>
            <w:r>
              <w:t>6</w:t>
            </w:r>
          </w:p>
        </w:tc>
      </w:tr>
      <w:tr w:rsidR="00241417" w:rsidRPr="00B16D89" w14:paraId="04C95A66" w14:textId="77777777" w:rsidTr="003A71DE">
        <w:trPr>
          <w:jc w:val="center"/>
        </w:trPr>
        <w:tc>
          <w:tcPr>
            <w:tcW w:w="2632" w:type="pct"/>
          </w:tcPr>
          <w:p w14:paraId="74B73277" w14:textId="77777777" w:rsidR="00241417" w:rsidRPr="00B16D89" w:rsidRDefault="00241417" w:rsidP="003A71DE">
            <w:pPr>
              <w:pStyle w:val="TAC"/>
            </w:pPr>
            <w:r w:rsidRPr="00B16D89">
              <w:t>Binary Channel Bits Per Slot</w:t>
            </w:r>
          </w:p>
        </w:tc>
        <w:tc>
          <w:tcPr>
            <w:tcW w:w="655" w:type="pct"/>
            <w:vAlign w:val="center"/>
          </w:tcPr>
          <w:p w14:paraId="3317F5C5" w14:textId="77777777" w:rsidR="00241417" w:rsidRPr="00B16D89" w:rsidRDefault="00241417" w:rsidP="003A71DE">
            <w:pPr>
              <w:pStyle w:val="TAC"/>
            </w:pPr>
          </w:p>
        </w:tc>
        <w:tc>
          <w:tcPr>
            <w:tcW w:w="925" w:type="pct"/>
          </w:tcPr>
          <w:p w14:paraId="393C47D4" w14:textId="77777777" w:rsidR="00241417" w:rsidRPr="00B16D89" w:rsidRDefault="00241417" w:rsidP="003A71DE">
            <w:pPr>
              <w:pStyle w:val="TAC"/>
            </w:pPr>
            <w:r w:rsidRPr="00B16D89">
              <w:t>54846</w:t>
            </w:r>
          </w:p>
        </w:tc>
        <w:tc>
          <w:tcPr>
            <w:tcW w:w="788" w:type="pct"/>
            <w:vAlign w:val="center"/>
          </w:tcPr>
          <w:p w14:paraId="589C71DF" w14:textId="77777777" w:rsidR="00241417" w:rsidRPr="00B16D89" w:rsidRDefault="00241417" w:rsidP="003A71DE">
            <w:pPr>
              <w:pStyle w:val="TAC"/>
            </w:pPr>
            <w:r w:rsidRPr="004F4F43">
              <w:t>109692</w:t>
            </w:r>
          </w:p>
        </w:tc>
      </w:tr>
    </w:tbl>
    <w:p w14:paraId="3B9D9B20" w14:textId="77777777" w:rsidR="00241417" w:rsidRDefault="00241417" w:rsidP="00241417"/>
    <w:p w14:paraId="5CB7DBF9" w14:textId="77777777" w:rsidR="00241417" w:rsidRPr="004710DC" w:rsidRDefault="00241417" w:rsidP="00241417">
      <w:pPr>
        <w:pStyle w:val="Heading3"/>
      </w:pPr>
      <w:bookmarkStart w:id="9280" w:name="_Toc74583582"/>
      <w:bookmarkStart w:id="9281" w:name="_Toc76542395"/>
      <w:bookmarkStart w:id="9282" w:name="_Toc82450377"/>
      <w:bookmarkStart w:id="9283" w:name="_Toc82451025"/>
      <w:bookmarkStart w:id="9284" w:name="_Toc89949414"/>
      <w:bookmarkStart w:id="9285" w:name="_Toc98755803"/>
      <w:bookmarkStart w:id="9286" w:name="_Toc98763395"/>
      <w:bookmarkStart w:id="9287" w:name="_Toc106184324"/>
      <w:r w:rsidRPr="004710DC">
        <w:t>A.</w:t>
      </w:r>
      <w:r>
        <w:t>3.3</w:t>
      </w:r>
      <w:r w:rsidRPr="004710DC">
        <w:tab/>
        <w:t xml:space="preserve">Fixed Reference Channels for </w:t>
      </w:r>
      <w:r>
        <w:t xml:space="preserve">PDSCH </w:t>
      </w:r>
      <w:r w:rsidRPr="004710DC">
        <w:t>performance requirements (</w:t>
      </w:r>
      <w:r>
        <w:rPr>
          <w:lang w:eastAsia="zh-CN"/>
        </w:rPr>
        <w:t>256</w:t>
      </w:r>
      <w:r w:rsidRPr="004710DC">
        <w:rPr>
          <w:lang w:eastAsia="zh-CN"/>
        </w:rPr>
        <w:t>QAM</w:t>
      </w:r>
      <w:r>
        <w:rPr>
          <w:lang w:eastAsia="zh-CN"/>
        </w:rPr>
        <w:t>)</w:t>
      </w:r>
      <w:bookmarkEnd w:id="9280"/>
      <w:bookmarkEnd w:id="9281"/>
      <w:bookmarkEnd w:id="9282"/>
      <w:bookmarkEnd w:id="9283"/>
      <w:bookmarkEnd w:id="9284"/>
      <w:bookmarkEnd w:id="9285"/>
      <w:bookmarkEnd w:id="9286"/>
      <w:bookmarkEnd w:id="9287"/>
    </w:p>
    <w:p w14:paraId="5D8E9F28" w14:textId="77777777" w:rsidR="00241417" w:rsidRPr="00333EE0" w:rsidRDefault="00241417" w:rsidP="00241417">
      <w:r w:rsidRPr="00333EE0">
        <w:t xml:space="preserve">The parameters for the reference measurement channels are specified in </w:t>
      </w:r>
      <w:r w:rsidRPr="00333EE0">
        <w:rPr>
          <w:lang w:eastAsia="zh-CN"/>
        </w:rPr>
        <w:t xml:space="preserve">table A.3.3-1 </w:t>
      </w:r>
      <w:r w:rsidRPr="00333EE0">
        <w:t>for FR</w:t>
      </w:r>
      <w:r w:rsidRPr="00333EE0">
        <w:rPr>
          <w:lang w:eastAsia="zh-CN"/>
        </w:rPr>
        <w:t>1</w:t>
      </w:r>
      <w:r w:rsidRPr="00333EE0">
        <w:t xml:space="preserve"> PDSCH performance requirements</w:t>
      </w:r>
      <w:r w:rsidRPr="00333EE0">
        <w:rPr>
          <w:lang w:eastAsia="zh-CN"/>
        </w:rPr>
        <w:t>.</w:t>
      </w:r>
    </w:p>
    <w:p w14:paraId="437CB825" w14:textId="77777777" w:rsidR="00241417" w:rsidRPr="00333EE0" w:rsidRDefault="00241417" w:rsidP="00241417"/>
    <w:p w14:paraId="22B12B86" w14:textId="77777777" w:rsidR="00241417" w:rsidRPr="00333EE0" w:rsidRDefault="00241417" w:rsidP="00241417">
      <w:pPr>
        <w:pStyle w:val="TH"/>
        <w:rPr>
          <w:lang w:eastAsia="zh-CN"/>
        </w:rPr>
      </w:pPr>
      <w:r w:rsidRPr="00333EE0">
        <w:lastRenderedPageBreak/>
        <w:t>Table A.</w:t>
      </w:r>
      <w:r w:rsidRPr="00333EE0">
        <w:rPr>
          <w:lang w:eastAsia="zh-CN"/>
        </w:rPr>
        <w:t>3.3</w:t>
      </w:r>
      <w:r w:rsidRPr="00333EE0">
        <w:t>-</w:t>
      </w:r>
      <w:r w:rsidRPr="00333EE0">
        <w:rPr>
          <w:lang w:eastAsia="zh-CN"/>
        </w:rPr>
        <w:t>1</w:t>
      </w:r>
      <w:r w:rsidRPr="00333EE0">
        <w:t>: FRC parameters for</w:t>
      </w:r>
      <w:r w:rsidRPr="00333EE0">
        <w:rPr>
          <w:lang w:eastAsia="zh-CN"/>
        </w:rPr>
        <w:t xml:space="preserve"> FR1 PDSCH </w:t>
      </w:r>
      <w:r w:rsidRPr="00333EE0">
        <w:t>performance requirements</w:t>
      </w:r>
      <w:r w:rsidRPr="00333EE0">
        <w:rPr>
          <w:lang w:eastAsia="zh-CN"/>
        </w:rPr>
        <w:t>, 1 transmission layer, 256QAM</w:t>
      </w:r>
    </w:p>
    <w:tbl>
      <w:tblPr>
        <w:tblW w:w="28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40"/>
        <w:gridCol w:w="857"/>
        <w:gridCol w:w="1237"/>
      </w:tblGrid>
      <w:tr w:rsidR="00241417" w:rsidRPr="00C25669" w14:paraId="2CC80308" w14:textId="77777777" w:rsidTr="003A71DE">
        <w:trPr>
          <w:jc w:val="center"/>
        </w:trPr>
        <w:tc>
          <w:tcPr>
            <w:tcW w:w="3108" w:type="pct"/>
            <w:shd w:val="clear" w:color="auto" w:fill="auto"/>
            <w:vAlign w:val="center"/>
          </w:tcPr>
          <w:p w14:paraId="01DF837C" w14:textId="77777777" w:rsidR="00241417" w:rsidRPr="00C25669" w:rsidRDefault="00241417" w:rsidP="003A71DE">
            <w:pPr>
              <w:pStyle w:val="TAH"/>
            </w:pPr>
            <w:r w:rsidRPr="00C25669">
              <w:t>Parameter</w:t>
            </w:r>
          </w:p>
        </w:tc>
        <w:tc>
          <w:tcPr>
            <w:tcW w:w="774" w:type="pct"/>
            <w:shd w:val="clear" w:color="auto" w:fill="auto"/>
            <w:vAlign w:val="center"/>
          </w:tcPr>
          <w:p w14:paraId="76C3CA51" w14:textId="77777777" w:rsidR="00241417" w:rsidRPr="00C25669" w:rsidRDefault="00241417" w:rsidP="003A71DE">
            <w:pPr>
              <w:pStyle w:val="TAH"/>
            </w:pPr>
            <w:r w:rsidRPr="00C25669">
              <w:t>Unit</w:t>
            </w:r>
          </w:p>
        </w:tc>
        <w:tc>
          <w:tcPr>
            <w:tcW w:w="1118" w:type="pct"/>
            <w:shd w:val="clear" w:color="auto" w:fill="auto"/>
            <w:vAlign w:val="center"/>
          </w:tcPr>
          <w:p w14:paraId="50356DF4" w14:textId="77777777" w:rsidR="00241417" w:rsidRPr="00C25669" w:rsidRDefault="00241417" w:rsidP="003A71DE">
            <w:pPr>
              <w:pStyle w:val="TAH"/>
            </w:pPr>
            <w:r w:rsidRPr="00C25669">
              <w:t>Value</w:t>
            </w:r>
          </w:p>
        </w:tc>
      </w:tr>
      <w:tr w:rsidR="00241417" w:rsidRPr="00C25669" w14:paraId="362096E7" w14:textId="77777777" w:rsidTr="003A71DE">
        <w:trPr>
          <w:jc w:val="center"/>
        </w:trPr>
        <w:tc>
          <w:tcPr>
            <w:tcW w:w="3108" w:type="pct"/>
            <w:vAlign w:val="center"/>
          </w:tcPr>
          <w:p w14:paraId="10291822" w14:textId="77777777" w:rsidR="00241417" w:rsidRPr="00C25669" w:rsidRDefault="00241417" w:rsidP="003A71DE">
            <w:pPr>
              <w:pStyle w:val="TAC"/>
            </w:pPr>
            <w:r w:rsidRPr="00C25669">
              <w:t>Reference channel</w:t>
            </w:r>
          </w:p>
        </w:tc>
        <w:tc>
          <w:tcPr>
            <w:tcW w:w="774" w:type="pct"/>
            <w:vAlign w:val="center"/>
          </w:tcPr>
          <w:p w14:paraId="138F9C1B" w14:textId="77777777" w:rsidR="00241417" w:rsidRPr="00C25669" w:rsidRDefault="00241417" w:rsidP="003A71DE">
            <w:pPr>
              <w:pStyle w:val="TAC"/>
            </w:pPr>
          </w:p>
        </w:tc>
        <w:tc>
          <w:tcPr>
            <w:tcW w:w="1118" w:type="pct"/>
            <w:vAlign w:val="center"/>
          </w:tcPr>
          <w:p w14:paraId="076483CA" w14:textId="77777777" w:rsidR="00241417" w:rsidRPr="00C25669" w:rsidRDefault="00241417" w:rsidP="003A71DE">
            <w:pPr>
              <w:pStyle w:val="TAC"/>
            </w:pPr>
            <w:r>
              <w:t>M-FR1-A.3.3-1</w:t>
            </w:r>
          </w:p>
        </w:tc>
      </w:tr>
      <w:tr w:rsidR="00241417" w:rsidRPr="00C25669" w14:paraId="635A5A24" w14:textId="77777777" w:rsidTr="003A71DE">
        <w:trPr>
          <w:jc w:val="center"/>
        </w:trPr>
        <w:tc>
          <w:tcPr>
            <w:tcW w:w="3108" w:type="pct"/>
            <w:vAlign w:val="center"/>
          </w:tcPr>
          <w:p w14:paraId="1B49F071" w14:textId="77777777" w:rsidR="00241417" w:rsidRPr="00C25669" w:rsidRDefault="00241417" w:rsidP="003A71DE">
            <w:pPr>
              <w:pStyle w:val="TAC"/>
            </w:pPr>
            <w:r w:rsidRPr="00C25669">
              <w:t>Channel bandwidth</w:t>
            </w:r>
          </w:p>
        </w:tc>
        <w:tc>
          <w:tcPr>
            <w:tcW w:w="774" w:type="pct"/>
            <w:vAlign w:val="center"/>
          </w:tcPr>
          <w:p w14:paraId="7E99CE54" w14:textId="77777777" w:rsidR="00241417" w:rsidRPr="00C25669" w:rsidRDefault="00241417" w:rsidP="003A71DE">
            <w:pPr>
              <w:pStyle w:val="TAC"/>
            </w:pPr>
            <w:r w:rsidRPr="00C25669">
              <w:t>MHz</w:t>
            </w:r>
          </w:p>
        </w:tc>
        <w:tc>
          <w:tcPr>
            <w:tcW w:w="1118" w:type="pct"/>
            <w:vAlign w:val="center"/>
          </w:tcPr>
          <w:p w14:paraId="6D8D5DF4" w14:textId="77777777" w:rsidR="00241417" w:rsidRPr="00C25669" w:rsidRDefault="00241417" w:rsidP="003A71DE">
            <w:pPr>
              <w:pStyle w:val="TAC"/>
            </w:pPr>
            <w:r w:rsidRPr="00C25669">
              <w:t>40</w:t>
            </w:r>
          </w:p>
        </w:tc>
      </w:tr>
      <w:tr w:rsidR="00241417" w:rsidRPr="00C25669" w14:paraId="1C0D3DB9" w14:textId="77777777" w:rsidTr="003A71DE">
        <w:trPr>
          <w:jc w:val="center"/>
        </w:trPr>
        <w:tc>
          <w:tcPr>
            <w:tcW w:w="3108" w:type="pct"/>
            <w:vAlign w:val="center"/>
          </w:tcPr>
          <w:p w14:paraId="1C4104B3" w14:textId="77777777" w:rsidR="00241417" w:rsidRPr="00C25669" w:rsidRDefault="00241417" w:rsidP="003A71DE">
            <w:pPr>
              <w:pStyle w:val="TAC"/>
            </w:pPr>
            <w:r w:rsidRPr="00C25669">
              <w:t>Subcarrier spacing</w:t>
            </w:r>
          </w:p>
        </w:tc>
        <w:tc>
          <w:tcPr>
            <w:tcW w:w="774" w:type="pct"/>
            <w:vAlign w:val="center"/>
          </w:tcPr>
          <w:p w14:paraId="055E16E8" w14:textId="77777777" w:rsidR="00241417" w:rsidRPr="00C25669" w:rsidRDefault="00241417" w:rsidP="003A71DE">
            <w:pPr>
              <w:pStyle w:val="TAC"/>
            </w:pPr>
            <w:r w:rsidRPr="00C25669">
              <w:t>kHz</w:t>
            </w:r>
          </w:p>
        </w:tc>
        <w:tc>
          <w:tcPr>
            <w:tcW w:w="1118" w:type="pct"/>
            <w:vAlign w:val="center"/>
          </w:tcPr>
          <w:p w14:paraId="05A16786" w14:textId="77777777" w:rsidR="00241417" w:rsidRPr="00C25669" w:rsidRDefault="00241417" w:rsidP="003A71DE">
            <w:pPr>
              <w:pStyle w:val="TAC"/>
            </w:pPr>
            <w:r w:rsidRPr="00C25669">
              <w:t>30</w:t>
            </w:r>
          </w:p>
        </w:tc>
      </w:tr>
      <w:tr w:rsidR="00241417" w:rsidRPr="00C25669" w14:paraId="3646C962" w14:textId="77777777" w:rsidTr="003A71DE">
        <w:trPr>
          <w:jc w:val="center"/>
        </w:trPr>
        <w:tc>
          <w:tcPr>
            <w:tcW w:w="3108" w:type="pct"/>
            <w:vAlign w:val="center"/>
          </w:tcPr>
          <w:p w14:paraId="4305A4F8" w14:textId="77777777" w:rsidR="00241417" w:rsidRPr="00C25669" w:rsidRDefault="00241417" w:rsidP="003A71DE">
            <w:pPr>
              <w:pStyle w:val="TAC"/>
            </w:pPr>
            <w:r w:rsidRPr="00C25669">
              <w:t>Allocated resource blocks</w:t>
            </w:r>
          </w:p>
        </w:tc>
        <w:tc>
          <w:tcPr>
            <w:tcW w:w="774" w:type="pct"/>
            <w:vAlign w:val="center"/>
          </w:tcPr>
          <w:p w14:paraId="4A9691DD" w14:textId="77777777" w:rsidR="00241417" w:rsidRPr="00C25669" w:rsidRDefault="00241417" w:rsidP="003A71DE">
            <w:pPr>
              <w:pStyle w:val="TAC"/>
            </w:pPr>
            <w:r w:rsidRPr="00C25669">
              <w:t>PRBs</w:t>
            </w:r>
          </w:p>
        </w:tc>
        <w:tc>
          <w:tcPr>
            <w:tcW w:w="1118" w:type="pct"/>
            <w:vAlign w:val="center"/>
          </w:tcPr>
          <w:p w14:paraId="0D66A7FA" w14:textId="77777777" w:rsidR="00241417" w:rsidRPr="00C25669" w:rsidRDefault="00241417" w:rsidP="003A71DE">
            <w:pPr>
              <w:pStyle w:val="TAC"/>
            </w:pPr>
            <w:r w:rsidRPr="00C25669">
              <w:t>106</w:t>
            </w:r>
          </w:p>
        </w:tc>
      </w:tr>
      <w:tr w:rsidR="00241417" w:rsidRPr="00096897" w14:paraId="41944213" w14:textId="77777777" w:rsidTr="003A71DE">
        <w:trPr>
          <w:jc w:val="center"/>
        </w:trPr>
        <w:tc>
          <w:tcPr>
            <w:tcW w:w="3108" w:type="pct"/>
            <w:vAlign w:val="center"/>
          </w:tcPr>
          <w:p w14:paraId="54A88AD8" w14:textId="77777777" w:rsidR="00241417" w:rsidRPr="006C7AF4" w:rsidRDefault="00241417" w:rsidP="003A71DE">
            <w:pPr>
              <w:pStyle w:val="TAC"/>
              <w:rPr>
                <w:rFonts w:eastAsiaTheme="minorHAnsi"/>
              </w:rPr>
            </w:pPr>
            <w:r w:rsidRPr="006C7AF4">
              <w:rPr>
                <w:rFonts w:eastAsiaTheme="minorHAnsi"/>
              </w:rPr>
              <w:t>Number of consecutive PDSCH symbols</w:t>
            </w:r>
          </w:p>
        </w:tc>
        <w:tc>
          <w:tcPr>
            <w:tcW w:w="774" w:type="pct"/>
            <w:vAlign w:val="center"/>
          </w:tcPr>
          <w:p w14:paraId="60E35CEE" w14:textId="77777777" w:rsidR="00241417" w:rsidRPr="006C7AF4" w:rsidRDefault="00241417" w:rsidP="003A71DE">
            <w:pPr>
              <w:pStyle w:val="TAC"/>
              <w:rPr>
                <w:rFonts w:eastAsiaTheme="minorHAnsi"/>
              </w:rPr>
            </w:pPr>
          </w:p>
        </w:tc>
        <w:tc>
          <w:tcPr>
            <w:tcW w:w="1118" w:type="pct"/>
            <w:vAlign w:val="center"/>
          </w:tcPr>
          <w:p w14:paraId="0D70F5D9" w14:textId="77777777" w:rsidR="00241417" w:rsidRPr="006C7AF4" w:rsidRDefault="00241417" w:rsidP="003A71DE">
            <w:pPr>
              <w:pStyle w:val="TAC"/>
              <w:rPr>
                <w:rFonts w:eastAsiaTheme="minorHAnsi"/>
              </w:rPr>
            </w:pPr>
            <w:r>
              <w:t>12</w:t>
            </w:r>
          </w:p>
        </w:tc>
      </w:tr>
      <w:tr w:rsidR="00241417" w:rsidRPr="00C25669" w14:paraId="0E4E0F30" w14:textId="77777777" w:rsidTr="003A71DE">
        <w:trPr>
          <w:jc w:val="center"/>
        </w:trPr>
        <w:tc>
          <w:tcPr>
            <w:tcW w:w="3108" w:type="pct"/>
            <w:vAlign w:val="center"/>
          </w:tcPr>
          <w:p w14:paraId="6FB7AE3D" w14:textId="77777777" w:rsidR="00241417" w:rsidRPr="00C25669" w:rsidRDefault="00241417" w:rsidP="003A71DE">
            <w:pPr>
              <w:pStyle w:val="TAC"/>
            </w:pPr>
            <w:r w:rsidRPr="00C25669">
              <w:t>MCS table</w:t>
            </w:r>
          </w:p>
        </w:tc>
        <w:tc>
          <w:tcPr>
            <w:tcW w:w="774" w:type="pct"/>
            <w:vAlign w:val="center"/>
          </w:tcPr>
          <w:p w14:paraId="74A4441B" w14:textId="77777777" w:rsidR="00241417" w:rsidRPr="00C25669" w:rsidRDefault="00241417" w:rsidP="003A71DE">
            <w:pPr>
              <w:pStyle w:val="TAC"/>
            </w:pPr>
          </w:p>
        </w:tc>
        <w:tc>
          <w:tcPr>
            <w:tcW w:w="1118" w:type="pct"/>
            <w:vAlign w:val="center"/>
          </w:tcPr>
          <w:p w14:paraId="5CD5BA04" w14:textId="77777777" w:rsidR="00241417" w:rsidRPr="00C25669" w:rsidRDefault="00241417" w:rsidP="003A71DE">
            <w:pPr>
              <w:pStyle w:val="TAC"/>
            </w:pPr>
            <w:r w:rsidRPr="00C25669">
              <w:t>256QAM</w:t>
            </w:r>
          </w:p>
        </w:tc>
      </w:tr>
      <w:tr w:rsidR="00241417" w:rsidRPr="00C25669" w14:paraId="73F6DAA2" w14:textId="77777777" w:rsidTr="003A71DE">
        <w:trPr>
          <w:jc w:val="center"/>
        </w:trPr>
        <w:tc>
          <w:tcPr>
            <w:tcW w:w="3108" w:type="pct"/>
            <w:vAlign w:val="center"/>
          </w:tcPr>
          <w:p w14:paraId="63A94ED8" w14:textId="77777777" w:rsidR="00241417" w:rsidRPr="00C25669" w:rsidRDefault="00241417" w:rsidP="003A71DE">
            <w:pPr>
              <w:pStyle w:val="TAC"/>
            </w:pPr>
            <w:r w:rsidRPr="00C25669">
              <w:t>MCS index</w:t>
            </w:r>
          </w:p>
        </w:tc>
        <w:tc>
          <w:tcPr>
            <w:tcW w:w="774" w:type="pct"/>
            <w:vAlign w:val="center"/>
          </w:tcPr>
          <w:p w14:paraId="7142AD53" w14:textId="77777777" w:rsidR="00241417" w:rsidRPr="00C25669" w:rsidRDefault="00241417" w:rsidP="003A71DE">
            <w:pPr>
              <w:pStyle w:val="TAC"/>
            </w:pPr>
          </w:p>
        </w:tc>
        <w:tc>
          <w:tcPr>
            <w:tcW w:w="1118" w:type="pct"/>
            <w:vAlign w:val="center"/>
          </w:tcPr>
          <w:p w14:paraId="260048D5" w14:textId="77777777" w:rsidR="00241417" w:rsidRPr="00C25669" w:rsidRDefault="00241417" w:rsidP="003A71DE">
            <w:pPr>
              <w:pStyle w:val="TAC"/>
            </w:pPr>
            <w:r w:rsidRPr="00C25669">
              <w:t>24</w:t>
            </w:r>
          </w:p>
        </w:tc>
      </w:tr>
      <w:tr w:rsidR="00241417" w:rsidRPr="00C25669" w14:paraId="1A19B1D7" w14:textId="77777777" w:rsidTr="003A71DE">
        <w:trPr>
          <w:jc w:val="center"/>
        </w:trPr>
        <w:tc>
          <w:tcPr>
            <w:tcW w:w="3108" w:type="pct"/>
            <w:vAlign w:val="center"/>
          </w:tcPr>
          <w:p w14:paraId="602E6F16" w14:textId="77777777" w:rsidR="00241417" w:rsidRPr="00C25669" w:rsidRDefault="00241417" w:rsidP="003A71DE">
            <w:pPr>
              <w:pStyle w:val="TAC"/>
            </w:pPr>
            <w:r w:rsidRPr="00C25669">
              <w:t>Modulation</w:t>
            </w:r>
          </w:p>
        </w:tc>
        <w:tc>
          <w:tcPr>
            <w:tcW w:w="774" w:type="pct"/>
            <w:vAlign w:val="center"/>
          </w:tcPr>
          <w:p w14:paraId="7068911B" w14:textId="77777777" w:rsidR="00241417" w:rsidRPr="00C25669" w:rsidRDefault="00241417" w:rsidP="003A71DE">
            <w:pPr>
              <w:pStyle w:val="TAC"/>
            </w:pPr>
          </w:p>
        </w:tc>
        <w:tc>
          <w:tcPr>
            <w:tcW w:w="1118" w:type="pct"/>
            <w:vAlign w:val="center"/>
          </w:tcPr>
          <w:p w14:paraId="7693AB25" w14:textId="77777777" w:rsidR="00241417" w:rsidRPr="00C25669" w:rsidRDefault="00241417" w:rsidP="003A71DE">
            <w:pPr>
              <w:pStyle w:val="TAC"/>
            </w:pPr>
            <w:r w:rsidRPr="00C25669">
              <w:t>256QAM</w:t>
            </w:r>
          </w:p>
        </w:tc>
      </w:tr>
      <w:tr w:rsidR="00241417" w:rsidRPr="00C25669" w14:paraId="61AE1608" w14:textId="77777777" w:rsidTr="003A71DE">
        <w:trPr>
          <w:jc w:val="center"/>
        </w:trPr>
        <w:tc>
          <w:tcPr>
            <w:tcW w:w="3108" w:type="pct"/>
            <w:vAlign w:val="center"/>
          </w:tcPr>
          <w:p w14:paraId="66C84145" w14:textId="77777777" w:rsidR="00241417" w:rsidRPr="00C25669" w:rsidRDefault="00241417" w:rsidP="003A71DE">
            <w:pPr>
              <w:pStyle w:val="TAC"/>
            </w:pPr>
            <w:r w:rsidRPr="00C25669">
              <w:t>Target Coding Rate</w:t>
            </w:r>
          </w:p>
        </w:tc>
        <w:tc>
          <w:tcPr>
            <w:tcW w:w="774" w:type="pct"/>
            <w:vAlign w:val="center"/>
          </w:tcPr>
          <w:p w14:paraId="2B7CEECD" w14:textId="77777777" w:rsidR="00241417" w:rsidRPr="00C25669" w:rsidRDefault="00241417" w:rsidP="003A71DE">
            <w:pPr>
              <w:pStyle w:val="TAC"/>
            </w:pPr>
          </w:p>
        </w:tc>
        <w:tc>
          <w:tcPr>
            <w:tcW w:w="1118" w:type="pct"/>
            <w:vAlign w:val="center"/>
          </w:tcPr>
          <w:p w14:paraId="72E1F62D" w14:textId="77777777" w:rsidR="00241417" w:rsidRPr="00C25669" w:rsidRDefault="00241417" w:rsidP="003A71DE">
            <w:pPr>
              <w:pStyle w:val="TAC"/>
            </w:pPr>
            <w:r w:rsidRPr="00C25669">
              <w:t>0.82</w:t>
            </w:r>
          </w:p>
        </w:tc>
      </w:tr>
      <w:tr w:rsidR="00241417" w:rsidRPr="00C25669" w14:paraId="3C72E773" w14:textId="77777777" w:rsidTr="003A71DE">
        <w:trPr>
          <w:jc w:val="center"/>
        </w:trPr>
        <w:tc>
          <w:tcPr>
            <w:tcW w:w="3108" w:type="pct"/>
            <w:vAlign w:val="center"/>
          </w:tcPr>
          <w:p w14:paraId="6E900A25" w14:textId="77777777" w:rsidR="00241417" w:rsidRPr="00C25669" w:rsidRDefault="00241417" w:rsidP="003A71DE">
            <w:pPr>
              <w:pStyle w:val="TAC"/>
            </w:pPr>
            <w:r w:rsidRPr="00C25669">
              <w:t>Number of MIMO layers</w:t>
            </w:r>
          </w:p>
        </w:tc>
        <w:tc>
          <w:tcPr>
            <w:tcW w:w="774" w:type="pct"/>
            <w:vAlign w:val="center"/>
          </w:tcPr>
          <w:p w14:paraId="26E21418" w14:textId="77777777" w:rsidR="00241417" w:rsidRPr="00C25669" w:rsidRDefault="00241417" w:rsidP="003A71DE">
            <w:pPr>
              <w:pStyle w:val="TAC"/>
            </w:pPr>
          </w:p>
        </w:tc>
        <w:tc>
          <w:tcPr>
            <w:tcW w:w="1118" w:type="pct"/>
            <w:vAlign w:val="center"/>
          </w:tcPr>
          <w:p w14:paraId="4A29B0DD" w14:textId="77777777" w:rsidR="00241417" w:rsidRPr="00C25669" w:rsidRDefault="00241417" w:rsidP="003A71DE">
            <w:pPr>
              <w:pStyle w:val="TAC"/>
            </w:pPr>
            <w:r w:rsidRPr="00C25669">
              <w:t>1</w:t>
            </w:r>
          </w:p>
        </w:tc>
      </w:tr>
      <w:tr w:rsidR="00241417" w:rsidRPr="00C25669" w14:paraId="0DE11E81" w14:textId="77777777" w:rsidTr="003A71DE">
        <w:trPr>
          <w:jc w:val="center"/>
        </w:trPr>
        <w:tc>
          <w:tcPr>
            <w:tcW w:w="3108" w:type="pct"/>
            <w:vAlign w:val="center"/>
          </w:tcPr>
          <w:p w14:paraId="1F260677" w14:textId="77777777" w:rsidR="00241417" w:rsidRPr="00C25669" w:rsidRDefault="00241417" w:rsidP="003A71DE">
            <w:pPr>
              <w:pStyle w:val="TAC"/>
            </w:pPr>
            <w:r w:rsidRPr="00C25669">
              <w:t xml:space="preserve">Number of DMRS </w:t>
            </w:r>
            <w:r w:rsidRPr="00C25669">
              <w:rPr>
                <w:rFonts w:hint="eastAsia"/>
                <w:lang w:eastAsia="zh-CN"/>
              </w:rPr>
              <w:t>REs</w:t>
            </w:r>
          </w:p>
        </w:tc>
        <w:tc>
          <w:tcPr>
            <w:tcW w:w="774" w:type="pct"/>
            <w:vAlign w:val="center"/>
          </w:tcPr>
          <w:p w14:paraId="10D2B4FC" w14:textId="77777777" w:rsidR="00241417" w:rsidRPr="00C25669" w:rsidRDefault="00241417" w:rsidP="003A71DE">
            <w:pPr>
              <w:pStyle w:val="TAC"/>
            </w:pPr>
          </w:p>
        </w:tc>
        <w:tc>
          <w:tcPr>
            <w:tcW w:w="1118" w:type="pct"/>
            <w:vAlign w:val="center"/>
          </w:tcPr>
          <w:p w14:paraId="7E75F266" w14:textId="77777777" w:rsidR="00241417" w:rsidRPr="00C25669" w:rsidRDefault="00241417" w:rsidP="003A71DE">
            <w:pPr>
              <w:pStyle w:val="TAC"/>
            </w:pPr>
            <w:r>
              <w:t>12</w:t>
            </w:r>
          </w:p>
        </w:tc>
      </w:tr>
      <w:tr w:rsidR="00241417" w:rsidRPr="00C25669" w14:paraId="249E4CC7" w14:textId="77777777" w:rsidTr="003A71DE">
        <w:trPr>
          <w:jc w:val="center"/>
        </w:trPr>
        <w:tc>
          <w:tcPr>
            <w:tcW w:w="3108" w:type="pct"/>
            <w:vAlign w:val="center"/>
          </w:tcPr>
          <w:p w14:paraId="105C00A0" w14:textId="77777777" w:rsidR="00241417" w:rsidRPr="00C25669" w:rsidRDefault="00241417" w:rsidP="003A71DE">
            <w:pPr>
              <w:pStyle w:val="TAC"/>
            </w:pPr>
            <w:r w:rsidRPr="00C25669">
              <w:t>Overhead for TBS determination</w:t>
            </w:r>
          </w:p>
        </w:tc>
        <w:tc>
          <w:tcPr>
            <w:tcW w:w="774" w:type="pct"/>
            <w:vAlign w:val="center"/>
          </w:tcPr>
          <w:p w14:paraId="3490B1B9" w14:textId="77777777" w:rsidR="00241417" w:rsidRPr="00C25669" w:rsidRDefault="00241417" w:rsidP="003A71DE">
            <w:pPr>
              <w:pStyle w:val="TAC"/>
            </w:pPr>
          </w:p>
        </w:tc>
        <w:tc>
          <w:tcPr>
            <w:tcW w:w="1118" w:type="pct"/>
            <w:vAlign w:val="center"/>
          </w:tcPr>
          <w:p w14:paraId="2DFED781" w14:textId="77777777" w:rsidR="00241417" w:rsidRPr="00C25669" w:rsidRDefault="00241417" w:rsidP="003A71DE">
            <w:pPr>
              <w:pStyle w:val="TAC"/>
            </w:pPr>
            <w:r w:rsidRPr="00C25669">
              <w:t>0</w:t>
            </w:r>
          </w:p>
        </w:tc>
      </w:tr>
      <w:tr w:rsidR="00241417" w:rsidRPr="00C25669" w14:paraId="357864C8" w14:textId="77777777" w:rsidTr="003A71DE">
        <w:trPr>
          <w:jc w:val="center"/>
        </w:trPr>
        <w:tc>
          <w:tcPr>
            <w:tcW w:w="3108" w:type="pct"/>
            <w:vAlign w:val="center"/>
          </w:tcPr>
          <w:p w14:paraId="67F42AC2" w14:textId="77777777" w:rsidR="00241417" w:rsidRPr="00C25669" w:rsidRDefault="00241417" w:rsidP="003A71DE">
            <w:pPr>
              <w:pStyle w:val="TAC"/>
            </w:pPr>
            <w:r w:rsidRPr="00C25669">
              <w:t xml:space="preserve">Information Bit Payload per Slot </w:t>
            </w:r>
          </w:p>
        </w:tc>
        <w:tc>
          <w:tcPr>
            <w:tcW w:w="774" w:type="pct"/>
            <w:vAlign w:val="center"/>
          </w:tcPr>
          <w:p w14:paraId="1D1944B9" w14:textId="77777777" w:rsidR="00241417" w:rsidRPr="00C25669" w:rsidRDefault="00241417" w:rsidP="003A71DE">
            <w:pPr>
              <w:pStyle w:val="TAC"/>
            </w:pPr>
          </w:p>
        </w:tc>
        <w:tc>
          <w:tcPr>
            <w:tcW w:w="1118" w:type="pct"/>
            <w:vAlign w:val="center"/>
          </w:tcPr>
          <w:p w14:paraId="6D6E246D" w14:textId="77777777" w:rsidR="00241417" w:rsidRPr="00C25669" w:rsidRDefault="00241417" w:rsidP="003A71DE">
            <w:pPr>
              <w:pStyle w:val="TAC"/>
            </w:pPr>
            <w:r w:rsidRPr="00C25669">
              <w:t>92200</w:t>
            </w:r>
          </w:p>
        </w:tc>
      </w:tr>
      <w:tr w:rsidR="00241417" w:rsidRPr="00FB27FE" w14:paraId="563BCC56" w14:textId="77777777" w:rsidTr="003A71DE">
        <w:trPr>
          <w:jc w:val="center"/>
        </w:trPr>
        <w:tc>
          <w:tcPr>
            <w:tcW w:w="3108" w:type="pct"/>
            <w:vAlign w:val="center"/>
          </w:tcPr>
          <w:p w14:paraId="66BF17CF" w14:textId="77777777" w:rsidR="00241417" w:rsidRPr="00C25669" w:rsidRDefault="00241417" w:rsidP="003A71DE">
            <w:pPr>
              <w:pStyle w:val="TAC"/>
              <w:rPr>
                <w:lang w:val="sv-FI"/>
              </w:rPr>
            </w:pPr>
            <w:r w:rsidRPr="00C25669">
              <w:rPr>
                <w:lang w:val="sv-FI"/>
              </w:rPr>
              <w:t>Transport block CRC per Slot</w:t>
            </w:r>
          </w:p>
        </w:tc>
        <w:tc>
          <w:tcPr>
            <w:tcW w:w="774" w:type="pct"/>
            <w:vAlign w:val="center"/>
          </w:tcPr>
          <w:p w14:paraId="4C014128" w14:textId="77777777" w:rsidR="00241417" w:rsidRPr="00C25669" w:rsidRDefault="00241417" w:rsidP="003A71DE">
            <w:pPr>
              <w:pStyle w:val="TAC"/>
              <w:rPr>
                <w:lang w:val="sv-FI"/>
              </w:rPr>
            </w:pPr>
          </w:p>
        </w:tc>
        <w:tc>
          <w:tcPr>
            <w:tcW w:w="1118" w:type="pct"/>
            <w:vAlign w:val="center"/>
          </w:tcPr>
          <w:p w14:paraId="672D7704" w14:textId="77777777" w:rsidR="00241417" w:rsidRPr="00C25669" w:rsidRDefault="00241417" w:rsidP="003A71DE">
            <w:pPr>
              <w:pStyle w:val="TAC"/>
              <w:rPr>
                <w:lang w:val="sv-FI"/>
              </w:rPr>
            </w:pPr>
            <w:r>
              <w:rPr>
                <w:lang w:val="sv-FI"/>
              </w:rPr>
              <w:t>24</w:t>
            </w:r>
          </w:p>
        </w:tc>
      </w:tr>
      <w:tr w:rsidR="00241417" w:rsidRPr="00096897" w14:paraId="62FF21E5" w14:textId="77777777" w:rsidTr="003A71DE">
        <w:trPr>
          <w:jc w:val="center"/>
        </w:trPr>
        <w:tc>
          <w:tcPr>
            <w:tcW w:w="3108" w:type="pct"/>
            <w:vAlign w:val="center"/>
          </w:tcPr>
          <w:p w14:paraId="4F1AF10F" w14:textId="77777777" w:rsidR="00241417" w:rsidRPr="006C7AF4" w:rsidRDefault="00241417" w:rsidP="003A71DE">
            <w:pPr>
              <w:pStyle w:val="TAC"/>
              <w:rPr>
                <w:rFonts w:eastAsiaTheme="minorHAnsi"/>
              </w:rPr>
            </w:pPr>
            <w:r w:rsidRPr="006C7AF4">
              <w:rPr>
                <w:rFonts w:eastAsiaTheme="minorHAnsi"/>
              </w:rPr>
              <w:t>Number of Code Blocks per Slot</w:t>
            </w:r>
          </w:p>
        </w:tc>
        <w:tc>
          <w:tcPr>
            <w:tcW w:w="774" w:type="pct"/>
            <w:vAlign w:val="center"/>
          </w:tcPr>
          <w:p w14:paraId="579EA2EA" w14:textId="77777777" w:rsidR="00241417" w:rsidRPr="006C7AF4" w:rsidRDefault="00241417" w:rsidP="003A71DE">
            <w:pPr>
              <w:pStyle w:val="TAC"/>
              <w:rPr>
                <w:rFonts w:eastAsiaTheme="minorHAnsi"/>
              </w:rPr>
            </w:pPr>
          </w:p>
        </w:tc>
        <w:tc>
          <w:tcPr>
            <w:tcW w:w="1118" w:type="pct"/>
            <w:vAlign w:val="center"/>
          </w:tcPr>
          <w:p w14:paraId="7BDCDC5F" w14:textId="77777777" w:rsidR="00241417" w:rsidRPr="006C7AF4" w:rsidRDefault="00241417" w:rsidP="003A71DE">
            <w:pPr>
              <w:pStyle w:val="TAC"/>
              <w:rPr>
                <w:rFonts w:eastAsiaTheme="minorHAnsi"/>
              </w:rPr>
            </w:pPr>
            <w:r>
              <w:t>11</w:t>
            </w:r>
          </w:p>
        </w:tc>
      </w:tr>
      <w:tr w:rsidR="00241417" w:rsidRPr="00C25669" w14:paraId="5B3F5E43" w14:textId="77777777" w:rsidTr="003A71DE">
        <w:trPr>
          <w:jc w:val="center"/>
        </w:trPr>
        <w:tc>
          <w:tcPr>
            <w:tcW w:w="3108" w:type="pct"/>
            <w:vAlign w:val="center"/>
          </w:tcPr>
          <w:p w14:paraId="70C431EB" w14:textId="77777777" w:rsidR="00241417" w:rsidRPr="00C25669" w:rsidRDefault="00241417" w:rsidP="003A71DE">
            <w:pPr>
              <w:pStyle w:val="TAC"/>
            </w:pPr>
            <w:r w:rsidRPr="00C25669">
              <w:t>Binary Channel Bits Per Slot</w:t>
            </w:r>
          </w:p>
        </w:tc>
        <w:tc>
          <w:tcPr>
            <w:tcW w:w="774" w:type="pct"/>
            <w:vAlign w:val="center"/>
          </w:tcPr>
          <w:p w14:paraId="31BBFB82" w14:textId="77777777" w:rsidR="00241417" w:rsidRPr="00C25669" w:rsidRDefault="00241417" w:rsidP="003A71DE">
            <w:pPr>
              <w:pStyle w:val="TAC"/>
            </w:pPr>
          </w:p>
        </w:tc>
        <w:tc>
          <w:tcPr>
            <w:tcW w:w="1118" w:type="pct"/>
            <w:vAlign w:val="center"/>
          </w:tcPr>
          <w:p w14:paraId="13AC7CE0" w14:textId="77777777" w:rsidR="00241417" w:rsidRPr="00C25669" w:rsidRDefault="00241417" w:rsidP="003A71DE">
            <w:pPr>
              <w:pStyle w:val="TAC"/>
            </w:pPr>
            <w:r w:rsidRPr="00C25669">
              <w:t>111936</w:t>
            </w:r>
          </w:p>
        </w:tc>
      </w:tr>
    </w:tbl>
    <w:p w14:paraId="291015B8" w14:textId="77777777" w:rsidR="00241417" w:rsidRDefault="00241417" w:rsidP="00241417"/>
    <w:p w14:paraId="691E0477" w14:textId="77777777" w:rsidR="00241417" w:rsidRDefault="00241417" w:rsidP="00241417">
      <w:pPr>
        <w:pStyle w:val="Heading3"/>
      </w:pPr>
      <w:bookmarkStart w:id="9288" w:name="_Toc74583583"/>
      <w:bookmarkStart w:id="9289" w:name="_Toc76542396"/>
      <w:bookmarkStart w:id="9290" w:name="_Toc82450378"/>
      <w:bookmarkStart w:id="9291" w:name="_Toc82451026"/>
      <w:bookmarkStart w:id="9292" w:name="_Toc89949415"/>
      <w:bookmarkStart w:id="9293" w:name="_Toc98755804"/>
      <w:bookmarkStart w:id="9294" w:name="_Toc98763396"/>
      <w:bookmarkStart w:id="9295" w:name="_Toc106184325"/>
      <w:r w:rsidRPr="004710DC">
        <w:t>A.</w:t>
      </w:r>
      <w:r>
        <w:t>3.4</w:t>
      </w:r>
      <w:r w:rsidRPr="004710DC">
        <w:tab/>
        <w:t xml:space="preserve">Fixed Reference Channels for </w:t>
      </w:r>
      <w:r>
        <w:t xml:space="preserve">PDCCH </w:t>
      </w:r>
      <w:r w:rsidRPr="004710DC">
        <w:t>performance requirements</w:t>
      </w:r>
      <w:bookmarkEnd w:id="9288"/>
      <w:bookmarkEnd w:id="9289"/>
      <w:bookmarkEnd w:id="9290"/>
      <w:bookmarkEnd w:id="9291"/>
      <w:bookmarkEnd w:id="9292"/>
      <w:bookmarkEnd w:id="9293"/>
      <w:bookmarkEnd w:id="9294"/>
      <w:bookmarkEnd w:id="9295"/>
    </w:p>
    <w:p w14:paraId="33439DBA" w14:textId="77777777" w:rsidR="00241417" w:rsidRPr="00333EE0" w:rsidRDefault="00241417" w:rsidP="00241417">
      <w:pPr>
        <w:rPr>
          <w:lang w:eastAsia="zh-CN"/>
        </w:rPr>
      </w:pPr>
      <w:r w:rsidRPr="00333EE0">
        <w:t xml:space="preserve">The parameters for the reference measurement channels are specified in </w:t>
      </w:r>
      <w:r w:rsidRPr="00333EE0">
        <w:rPr>
          <w:lang w:eastAsia="zh-CN"/>
        </w:rPr>
        <w:t xml:space="preserve">table A.3.4-1 </w:t>
      </w:r>
      <w:r w:rsidRPr="00333EE0">
        <w:t>for FR</w:t>
      </w:r>
      <w:r w:rsidRPr="00333EE0">
        <w:rPr>
          <w:lang w:eastAsia="zh-CN"/>
        </w:rPr>
        <w:t>1</w:t>
      </w:r>
      <w:r w:rsidRPr="00333EE0">
        <w:t xml:space="preserve"> PDCCH performance requirements</w:t>
      </w:r>
      <w:r w:rsidRPr="00333EE0">
        <w:rPr>
          <w:lang w:eastAsia="zh-CN"/>
        </w:rPr>
        <w:t>.</w:t>
      </w:r>
    </w:p>
    <w:p w14:paraId="4406AF14" w14:textId="77777777" w:rsidR="00241417" w:rsidRPr="00333EE0" w:rsidRDefault="00241417" w:rsidP="00241417">
      <w:r w:rsidRPr="00333EE0">
        <w:t xml:space="preserve">The parameters for the reference measurement channels are specified in </w:t>
      </w:r>
      <w:r w:rsidRPr="00333EE0">
        <w:rPr>
          <w:lang w:eastAsia="zh-CN"/>
        </w:rPr>
        <w:t xml:space="preserve">table A.3.4-2 </w:t>
      </w:r>
      <w:r w:rsidRPr="00333EE0">
        <w:t>for FR</w:t>
      </w:r>
      <w:r w:rsidRPr="00333EE0">
        <w:rPr>
          <w:lang w:eastAsia="zh-CN"/>
        </w:rPr>
        <w:t>2</w:t>
      </w:r>
      <w:r w:rsidRPr="00333EE0">
        <w:t xml:space="preserve"> PDCCH performance requirements</w:t>
      </w:r>
      <w:r w:rsidRPr="00333EE0">
        <w:rPr>
          <w:lang w:eastAsia="zh-CN"/>
        </w:rPr>
        <w:t>.</w:t>
      </w:r>
    </w:p>
    <w:p w14:paraId="330AFE86" w14:textId="77777777" w:rsidR="00241417" w:rsidRPr="00333EE0" w:rsidRDefault="00241417" w:rsidP="00241417"/>
    <w:p w14:paraId="47D33B56" w14:textId="77777777" w:rsidR="00241417" w:rsidRPr="00333EE0" w:rsidRDefault="00241417" w:rsidP="00241417">
      <w:pPr>
        <w:pStyle w:val="TH"/>
      </w:pPr>
      <w:r w:rsidRPr="00333EE0">
        <w:t>Table A.3.4-1: FR1 PDCCH Reference Channels</w:t>
      </w:r>
    </w:p>
    <w:tbl>
      <w:tblPr>
        <w:tblW w:w="32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566"/>
        <w:gridCol w:w="1268"/>
        <w:gridCol w:w="1268"/>
        <w:gridCol w:w="1269"/>
      </w:tblGrid>
      <w:tr w:rsidR="00241417" w:rsidRPr="0044742D" w14:paraId="643040DB" w14:textId="77777777" w:rsidTr="003A71DE">
        <w:trPr>
          <w:jc w:val="center"/>
        </w:trPr>
        <w:tc>
          <w:tcPr>
            <w:tcW w:w="1541" w:type="pct"/>
            <w:shd w:val="clear" w:color="auto" w:fill="auto"/>
          </w:tcPr>
          <w:p w14:paraId="0D983839" w14:textId="77777777" w:rsidR="00241417" w:rsidRPr="0044742D" w:rsidRDefault="00241417" w:rsidP="003A71DE">
            <w:pPr>
              <w:pStyle w:val="TAH"/>
              <w:rPr>
                <w:rFonts w:eastAsia="Calibri"/>
                <w:lang w:eastAsia="zh-CN"/>
              </w:rPr>
            </w:pPr>
            <w:r w:rsidRPr="0044742D">
              <w:t>Parameter</w:t>
            </w:r>
          </w:p>
        </w:tc>
        <w:tc>
          <w:tcPr>
            <w:tcW w:w="246" w:type="pct"/>
            <w:shd w:val="clear" w:color="auto" w:fill="auto"/>
          </w:tcPr>
          <w:p w14:paraId="23B19E5A" w14:textId="77777777" w:rsidR="00241417" w:rsidRPr="0044742D" w:rsidRDefault="00241417" w:rsidP="003A71DE">
            <w:pPr>
              <w:pStyle w:val="TAH"/>
            </w:pPr>
            <w:r w:rsidRPr="0044742D">
              <w:t>Unit</w:t>
            </w:r>
          </w:p>
        </w:tc>
        <w:tc>
          <w:tcPr>
            <w:tcW w:w="3213" w:type="pct"/>
            <w:gridSpan w:val="3"/>
            <w:shd w:val="clear" w:color="auto" w:fill="auto"/>
          </w:tcPr>
          <w:p w14:paraId="7014ACA6" w14:textId="77777777" w:rsidR="00241417" w:rsidRPr="0044742D" w:rsidRDefault="00241417" w:rsidP="003A71DE">
            <w:pPr>
              <w:pStyle w:val="TAH"/>
            </w:pPr>
            <w:r w:rsidRPr="0044742D">
              <w:t>Value</w:t>
            </w:r>
          </w:p>
        </w:tc>
      </w:tr>
      <w:tr w:rsidR="00241417" w:rsidRPr="0044742D" w14:paraId="0F233DC3" w14:textId="77777777" w:rsidTr="003A71DE">
        <w:trPr>
          <w:jc w:val="center"/>
        </w:trPr>
        <w:tc>
          <w:tcPr>
            <w:tcW w:w="1541" w:type="pct"/>
            <w:shd w:val="clear" w:color="auto" w:fill="auto"/>
          </w:tcPr>
          <w:p w14:paraId="2A3508C5" w14:textId="77777777" w:rsidR="00241417" w:rsidRPr="0044742D" w:rsidRDefault="00241417" w:rsidP="003A71DE">
            <w:pPr>
              <w:pStyle w:val="TAL"/>
              <w:rPr>
                <w:rFonts w:eastAsia="Calibri"/>
                <w:lang w:eastAsia="zh-CN"/>
              </w:rPr>
            </w:pPr>
            <w:r w:rsidRPr="0044742D">
              <w:t>Reference channel</w:t>
            </w:r>
          </w:p>
        </w:tc>
        <w:tc>
          <w:tcPr>
            <w:tcW w:w="246" w:type="pct"/>
            <w:shd w:val="clear" w:color="auto" w:fill="auto"/>
          </w:tcPr>
          <w:p w14:paraId="4F9E4708" w14:textId="77777777" w:rsidR="00241417" w:rsidRPr="0044742D" w:rsidRDefault="00241417" w:rsidP="003A71DE">
            <w:pPr>
              <w:pStyle w:val="TAC"/>
              <w:rPr>
                <w:lang w:eastAsia="zh-CN"/>
              </w:rPr>
            </w:pPr>
          </w:p>
        </w:tc>
        <w:tc>
          <w:tcPr>
            <w:tcW w:w="1071" w:type="pct"/>
            <w:shd w:val="clear" w:color="auto" w:fill="auto"/>
          </w:tcPr>
          <w:p w14:paraId="0617D31B" w14:textId="77777777" w:rsidR="00241417" w:rsidRPr="0044742D" w:rsidRDefault="00241417" w:rsidP="003A71DE">
            <w:pPr>
              <w:pStyle w:val="TAC"/>
              <w:rPr>
                <w:lang w:eastAsia="zh-CN"/>
              </w:rPr>
            </w:pPr>
            <w:r>
              <w:t>M-FR1-A.3.4-1</w:t>
            </w:r>
          </w:p>
        </w:tc>
        <w:tc>
          <w:tcPr>
            <w:tcW w:w="1071" w:type="pct"/>
          </w:tcPr>
          <w:p w14:paraId="5B0A5413" w14:textId="77777777" w:rsidR="00241417" w:rsidRPr="0044742D" w:rsidRDefault="00241417" w:rsidP="003A71DE">
            <w:pPr>
              <w:pStyle w:val="TAC"/>
            </w:pPr>
            <w:r>
              <w:t>M-FR1-A.3.4-2</w:t>
            </w:r>
          </w:p>
        </w:tc>
        <w:tc>
          <w:tcPr>
            <w:tcW w:w="1071" w:type="pct"/>
          </w:tcPr>
          <w:p w14:paraId="36484F9E" w14:textId="77777777" w:rsidR="00241417" w:rsidRPr="0044742D" w:rsidRDefault="00241417" w:rsidP="003A71DE">
            <w:pPr>
              <w:pStyle w:val="TAC"/>
            </w:pPr>
            <w:r>
              <w:t>M-FR1-A.3.4-3</w:t>
            </w:r>
          </w:p>
        </w:tc>
      </w:tr>
      <w:tr w:rsidR="00241417" w:rsidRPr="0044742D" w14:paraId="3C158F8A" w14:textId="77777777" w:rsidTr="003A71DE">
        <w:trPr>
          <w:jc w:val="center"/>
        </w:trPr>
        <w:tc>
          <w:tcPr>
            <w:tcW w:w="1541" w:type="pct"/>
            <w:shd w:val="clear" w:color="auto" w:fill="auto"/>
          </w:tcPr>
          <w:p w14:paraId="560521C1" w14:textId="77777777" w:rsidR="00241417" w:rsidRPr="0044742D" w:rsidRDefault="00241417" w:rsidP="003A71DE">
            <w:pPr>
              <w:pStyle w:val="TAL"/>
              <w:rPr>
                <w:lang w:eastAsia="zh-CN"/>
              </w:rPr>
            </w:pPr>
            <w:r w:rsidRPr="0044742D">
              <w:t>Subcarrier spacing</w:t>
            </w:r>
          </w:p>
        </w:tc>
        <w:tc>
          <w:tcPr>
            <w:tcW w:w="246" w:type="pct"/>
            <w:shd w:val="clear" w:color="auto" w:fill="auto"/>
          </w:tcPr>
          <w:p w14:paraId="1DECC0A2" w14:textId="77777777" w:rsidR="00241417" w:rsidRPr="0044742D" w:rsidRDefault="00241417" w:rsidP="003A71DE">
            <w:pPr>
              <w:pStyle w:val="TAC"/>
            </w:pPr>
            <w:r w:rsidRPr="0044742D">
              <w:t>kHz</w:t>
            </w:r>
          </w:p>
        </w:tc>
        <w:tc>
          <w:tcPr>
            <w:tcW w:w="1071" w:type="pct"/>
            <w:shd w:val="clear" w:color="auto" w:fill="auto"/>
          </w:tcPr>
          <w:p w14:paraId="1EA6C053" w14:textId="77777777" w:rsidR="00241417" w:rsidRPr="0044742D" w:rsidRDefault="00241417" w:rsidP="003A71DE">
            <w:pPr>
              <w:pStyle w:val="TAC"/>
              <w:rPr>
                <w:lang w:eastAsia="zh-CN"/>
              </w:rPr>
            </w:pPr>
            <w:r w:rsidRPr="0044742D">
              <w:rPr>
                <w:lang w:eastAsia="zh-CN"/>
              </w:rPr>
              <w:t>30</w:t>
            </w:r>
          </w:p>
        </w:tc>
        <w:tc>
          <w:tcPr>
            <w:tcW w:w="1071" w:type="pct"/>
          </w:tcPr>
          <w:p w14:paraId="7E2CEFD7" w14:textId="77777777" w:rsidR="00241417" w:rsidRPr="0044742D" w:rsidRDefault="00241417" w:rsidP="003A71DE">
            <w:pPr>
              <w:pStyle w:val="TAC"/>
              <w:rPr>
                <w:lang w:eastAsia="zh-CN"/>
              </w:rPr>
            </w:pPr>
            <w:r w:rsidRPr="0044742D">
              <w:rPr>
                <w:lang w:eastAsia="zh-CN"/>
              </w:rPr>
              <w:t>30</w:t>
            </w:r>
          </w:p>
        </w:tc>
        <w:tc>
          <w:tcPr>
            <w:tcW w:w="1071" w:type="pct"/>
          </w:tcPr>
          <w:p w14:paraId="1CF9F415" w14:textId="77777777" w:rsidR="00241417" w:rsidRPr="0044742D" w:rsidRDefault="00241417" w:rsidP="003A71DE">
            <w:pPr>
              <w:pStyle w:val="TAC"/>
              <w:rPr>
                <w:lang w:eastAsia="zh-CN"/>
              </w:rPr>
            </w:pPr>
            <w:r w:rsidRPr="0044742D">
              <w:rPr>
                <w:lang w:eastAsia="zh-CN"/>
              </w:rPr>
              <w:t>30</w:t>
            </w:r>
          </w:p>
        </w:tc>
      </w:tr>
      <w:tr w:rsidR="00241417" w:rsidRPr="0044742D" w14:paraId="4889D5E1" w14:textId="77777777" w:rsidTr="003A71DE">
        <w:trPr>
          <w:jc w:val="center"/>
        </w:trPr>
        <w:tc>
          <w:tcPr>
            <w:tcW w:w="1541" w:type="pct"/>
            <w:shd w:val="clear" w:color="auto" w:fill="auto"/>
            <w:vAlign w:val="center"/>
          </w:tcPr>
          <w:p w14:paraId="223066AB" w14:textId="77777777" w:rsidR="00241417" w:rsidRPr="0044742D" w:rsidRDefault="00241417" w:rsidP="003A71DE">
            <w:pPr>
              <w:pStyle w:val="TAL"/>
            </w:pPr>
            <w:r w:rsidRPr="0044742D">
              <w:t>CORESET frequency domain allocation</w:t>
            </w:r>
          </w:p>
        </w:tc>
        <w:tc>
          <w:tcPr>
            <w:tcW w:w="246" w:type="pct"/>
            <w:shd w:val="clear" w:color="auto" w:fill="auto"/>
          </w:tcPr>
          <w:p w14:paraId="35DF772D" w14:textId="77777777" w:rsidR="00241417" w:rsidRPr="0044742D" w:rsidRDefault="00241417" w:rsidP="003A71DE">
            <w:pPr>
              <w:pStyle w:val="TAC"/>
            </w:pPr>
          </w:p>
        </w:tc>
        <w:tc>
          <w:tcPr>
            <w:tcW w:w="1071" w:type="pct"/>
            <w:shd w:val="clear" w:color="auto" w:fill="auto"/>
          </w:tcPr>
          <w:p w14:paraId="58EBD702" w14:textId="77777777" w:rsidR="00241417" w:rsidRPr="0044742D" w:rsidRDefault="00241417" w:rsidP="003A71DE">
            <w:pPr>
              <w:pStyle w:val="TAC"/>
              <w:rPr>
                <w:rFonts w:eastAsia="Calibri"/>
                <w:lang w:eastAsia="zh-CN"/>
              </w:rPr>
            </w:pPr>
            <w:r w:rsidRPr="0044742D">
              <w:t>102</w:t>
            </w:r>
          </w:p>
        </w:tc>
        <w:tc>
          <w:tcPr>
            <w:tcW w:w="1071" w:type="pct"/>
          </w:tcPr>
          <w:p w14:paraId="6AA44383" w14:textId="77777777" w:rsidR="00241417" w:rsidRPr="0044742D" w:rsidRDefault="00241417" w:rsidP="003A71DE">
            <w:pPr>
              <w:pStyle w:val="TAC"/>
              <w:rPr>
                <w:lang w:eastAsia="zh-CN"/>
              </w:rPr>
            </w:pPr>
            <w:r w:rsidRPr="0044742D">
              <w:t>102</w:t>
            </w:r>
          </w:p>
        </w:tc>
        <w:tc>
          <w:tcPr>
            <w:tcW w:w="1071" w:type="pct"/>
          </w:tcPr>
          <w:p w14:paraId="3ABEE5FC" w14:textId="77777777" w:rsidR="00241417" w:rsidRPr="0044742D" w:rsidRDefault="00241417" w:rsidP="003A71DE">
            <w:pPr>
              <w:pStyle w:val="TAC"/>
            </w:pPr>
            <w:r w:rsidRPr="0044742D">
              <w:t>90</w:t>
            </w:r>
          </w:p>
        </w:tc>
      </w:tr>
      <w:tr w:rsidR="00241417" w:rsidRPr="0044742D" w14:paraId="6DCEFF8F" w14:textId="77777777" w:rsidTr="003A71DE">
        <w:trPr>
          <w:jc w:val="center"/>
        </w:trPr>
        <w:tc>
          <w:tcPr>
            <w:tcW w:w="1541" w:type="pct"/>
            <w:shd w:val="clear" w:color="auto" w:fill="auto"/>
            <w:vAlign w:val="center"/>
          </w:tcPr>
          <w:p w14:paraId="6ADEF0B4" w14:textId="77777777" w:rsidR="00241417" w:rsidRPr="0044742D" w:rsidRDefault="00241417" w:rsidP="003A71DE">
            <w:pPr>
              <w:pStyle w:val="TAL"/>
            </w:pPr>
            <w:r w:rsidRPr="0044742D">
              <w:t>CORESET time domain allocation</w:t>
            </w:r>
          </w:p>
        </w:tc>
        <w:tc>
          <w:tcPr>
            <w:tcW w:w="246" w:type="pct"/>
            <w:shd w:val="clear" w:color="auto" w:fill="auto"/>
          </w:tcPr>
          <w:p w14:paraId="05C50CAD" w14:textId="77777777" w:rsidR="00241417" w:rsidRPr="0044742D" w:rsidRDefault="00241417" w:rsidP="003A71DE">
            <w:pPr>
              <w:pStyle w:val="TAC"/>
            </w:pPr>
          </w:p>
        </w:tc>
        <w:tc>
          <w:tcPr>
            <w:tcW w:w="1071" w:type="pct"/>
            <w:shd w:val="clear" w:color="auto" w:fill="auto"/>
          </w:tcPr>
          <w:p w14:paraId="7383EFE2" w14:textId="77777777" w:rsidR="00241417" w:rsidRPr="0044742D" w:rsidRDefault="00241417" w:rsidP="003A71DE">
            <w:pPr>
              <w:pStyle w:val="TAC"/>
              <w:rPr>
                <w:lang w:eastAsia="zh-CN"/>
              </w:rPr>
            </w:pPr>
            <w:r w:rsidRPr="0044742D">
              <w:rPr>
                <w:lang w:eastAsia="zh-CN"/>
              </w:rPr>
              <w:t>1</w:t>
            </w:r>
          </w:p>
        </w:tc>
        <w:tc>
          <w:tcPr>
            <w:tcW w:w="1071" w:type="pct"/>
          </w:tcPr>
          <w:p w14:paraId="2796A34B" w14:textId="77777777" w:rsidR="00241417" w:rsidRPr="0044742D" w:rsidRDefault="00241417" w:rsidP="003A71DE">
            <w:pPr>
              <w:pStyle w:val="TAC"/>
              <w:rPr>
                <w:lang w:eastAsia="zh-CN"/>
              </w:rPr>
            </w:pPr>
            <w:r w:rsidRPr="0044742D">
              <w:rPr>
                <w:lang w:eastAsia="zh-CN"/>
              </w:rPr>
              <w:t>1</w:t>
            </w:r>
          </w:p>
        </w:tc>
        <w:tc>
          <w:tcPr>
            <w:tcW w:w="1071" w:type="pct"/>
          </w:tcPr>
          <w:p w14:paraId="59034731" w14:textId="77777777" w:rsidR="00241417" w:rsidRPr="0044742D" w:rsidRDefault="00241417" w:rsidP="003A71DE">
            <w:pPr>
              <w:pStyle w:val="TAC"/>
              <w:rPr>
                <w:lang w:eastAsia="zh-CN"/>
              </w:rPr>
            </w:pPr>
            <w:r w:rsidRPr="0044742D">
              <w:rPr>
                <w:lang w:eastAsia="zh-CN"/>
              </w:rPr>
              <w:t>1</w:t>
            </w:r>
          </w:p>
        </w:tc>
      </w:tr>
      <w:tr w:rsidR="00241417" w:rsidRPr="0044742D" w14:paraId="4A4D11A7" w14:textId="77777777" w:rsidTr="003A71DE">
        <w:trPr>
          <w:jc w:val="center"/>
        </w:trPr>
        <w:tc>
          <w:tcPr>
            <w:tcW w:w="1541" w:type="pct"/>
            <w:shd w:val="clear" w:color="auto" w:fill="auto"/>
            <w:vAlign w:val="center"/>
          </w:tcPr>
          <w:p w14:paraId="392F0C35" w14:textId="77777777" w:rsidR="00241417" w:rsidRPr="0044742D" w:rsidRDefault="00241417" w:rsidP="003A71DE">
            <w:pPr>
              <w:pStyle w:val="TAL"/>
            </w:pPr>
            <w:r w:rsidRPr="0044742D">
              <w:t>Aggregation level</w:t>
            </w:r>
          </w:p>
        </w:tc>
        <w:tc>
          <w:tcPr>
            <w:tcW w:w="246" w:type="pct"/>
            <w:shd w:val="clear" w:color="auto" w:fill="auto"/>
          </w:tcPr>
          <w:p w14:paraId="5CF41F73" w14:textId="77777777" w:rsidR="00241417" w:rsidRPr="0044742D" w:rsidRDefault="00241417" w:rsidP="003A71DE">
            <w:pPr>
              <w:pStyle w:val="TAC"/>
            </w:pPr>
          </w:p>
        </w:tc>
        <w:tc>
          <w:tcPr>
            <w:tcW w:w="1071" w:type="pct"/>
            <w:shd w:val="clear" w:color="auto" w:fill="auto"/>
          </w:tcPr>
          <w:p w14:paraId="1C676296" w14:textId="77777777" w:rsidR="00241417" w:rsidRPr="0044742D" w:rsidRDefault="00241417" w:rsidP="003A71DE">
            <w:pPr>
              <w:pStyle w:val="TAC"/>
              <w:rPr>
                <w:lang w:eastAsia="zh-CN"/>
              </w:rPr>
            </w:pPr>
            <w:r w:rsidRPr="0044742D">
              <w:rPr>
                <w:lang w:eastAsia="zh-CN"/>
              </w:rPr>
              <w:t>2</w:t>
            </w:r>
          </w:p>
        </w:tc>
        <w:tc>
          <w:tcPr>
            <w:tcW w:w="1071" w:type="pct"/>
          </w:tcPr>
          <w:p w14:paraId="453DC5DF" w14:textId="77777777" w:rsidR="00241417" w:rsidRPr="0044742D" w:rsidRDefault="00241417" w:rsidP="003A71DE">
            <w:pPr>
              <w:pStyle w:val="TAC"/>
              <w:rPr>
                <w:lang w:eastAsia="zh-CN"/>
              </w:rPr>
            </w:pPr>
            <w:r w:rsidRPr="0044742D">
              <w:rPr>
                <w:lang w:eastAsia="zh-CN"/>
              </w:rPr>
              <w:t>4</w:t>
            </w:r>
          </w:p>
        </w:tc>
        <w:tc>
          <w:tcPr>
            <w:tcW w:w="1071" w:type="pct"/>
          </w:tcPr>
          <w:p w14:paraId="6DDCCA62" w14:textId="77777777" w:rsidR="00241417" w:rsidRPr="0044742D" w:rsidRDefault="00241417" w:rsidP="003A71DE">
            <w:pPr>
              <w:pStyle w:val="TAC"/>
              <w:rPr>
                <w:lang w:eastAsia="zh-CN"/>
              </w:rPr>
            </w:pPr>
            <w:r w:rsidRPr="0044742D">
              <w:rPr>
                <w:lang w:eastAsia="zh-CN"/>
              </w:rPr>
              <w:t>8</w:t>
            </w:r>
          </w:p>
        </w:tc>
      </w:tr>
      <w:tr w:rsidR="00241417" w:rsidRPr="0044742D" w14:paraId="4613E7F6" w14:textId="77777777" w:rsidTr="003A71DE">
        <w:trPr>
          <w:jc w:val="center"/>
        </w:trPr>
        <w:tc>
          <w:tcPr>
            <w:tcW w:w="1541" w:type="pct"/>
            <w:shd w:val="clear" w:color="auto" w:fill="auto"/>
            <w:vAlign w:val="center"/>
          </w:tcPr>
          <w:p w14:paraId="09AB1DD8" w14:textId="77777777" w:rsidR="00241417" w:rsidRPr="0044742D" w:rsidRDefault="00241417" w:rsidP="003A71DE">
            <w:pPr>
              <w:pStyle w:val="TAL"/>
            </w:pPr>
            <w:r w:rsidRPr="0044742D">
              <w:t>DCI Format</w:t>
            </w:r>
          </w:p>
        </w:tc>
        <w:tc>
          <w:tcPr>
            <w:tcW w:w="246" w:type="pct"/>
            <w:shd w:val="clear" w:color="auto" w:fill="auto"/>
          </w:tcPr>
          <w:p w14:paraId="04A4A9B6" w14:textId="77777777" w:rsidR="00241417" w:rsidRPr="0044742D" w:rsidRDefault="00241417" w:rsidP="003A71DE">
            <w:pPr>
              <w:pStyle w:val="TAC"/>
            </w:pPr>
          </w:p>
        </w:tc>
        <w:tc>
          <w:tcPr>
            <w:tcW w:w="1071" w:type="pct"/>
            <w:shd w:val="clear" w:color="auto" w:fill="auto"/>
          </w:tcPr>
          <w:p w14:paraId="3C0F4E1C" w14:textId="77777777" w:rsidR="00241417" w:rsidRPr="0044742D" w:rsidRDefault="00241417" w:rsidP="003A71DE">
            <w:pPr>
              <w:pStyle w:val="TAC"/>
              <w:rPr>
                <w:lang w:eastAsia="zh-CN"/>
              </w:rPr>
            </w:pPr>
            <w:r w:rsidRPr="0044742D">
              <w:rPr>
                <w:lang w:eastAsia="zh-CN"/>
              </w:rPr>
              <w:t>1_0</w:t>
            </w:r>
          </w:p>
        </w:tc>
        <w:tc>
          <w:tcPr>
            <w:tcW w:w="1071" w:type="pct"/>
          </w:tcPr>
          <w:p w14:paraId="32345B58" w14:textId="77777777" w:rsidR="00241417" w:rsidRPr="0044742D" w:rsidRDefault="00241417" w:rsidP="003A71DE">
            <w:pPr>
              <w:pStyle w:val="TAC"/>
              <w:rPr>
                <w:lang w:eastAsia="zh-CN"/>
              </w:rPr>
            </w:pPr>
            <w:r w:rsidRPr="0044742D">
              <w:rPr>
                <w:lang w:eastAsia="zh-CN"/>
              </w:rPr>
              <w:t>1_1</w:t>
            </w:r>
          </w:p>
        </w:tc>
        <w:tc>
          <w:tcPr>
            <w:tcW w:w="1071" w:type="pct"/>
          </w:tcPr>
          <w:p w14:paraId="1DA10A46" w14:textId="77777777" w:rsidR="00241417" w:rsidRPr="0044742D" w:rsidRDefault="00241417" w:rsidP="003A71DE">
            <w:pPr>
              <w:pStyle w:val="TAC"/>
              <w:rPr>
                <w:lang w:eastAsia="zh-CN"/>
              </w:rPr>
            </w:pPr>
            <w:r w:rsidRPr="0044742D">
              <w:rPr>
                <w:lang w:eastAsia="zh-CN"/>
              </w:rPr>
              <w:t>1_1</w:t>
            </w:r>
          </w:p>
        </w:tc>
      </w:tr>
      <w:tr w:rsidR="00241417" w:rsidRPr="0044742D" w14:paraId="19B47633" w14:textId="77777777" w:rsidTr="003A71DE">
        <w:trPr>
          <w:jc w:val="center"/>
        </w:trPr>
        <w:tc>
          <w:tcPr>
            <w:tcW w:w="1541" w:type="pct"/>
            <w:shd w:val="clear" w:color="auto" w:fill="auto"/>
            <w:vAlign w:val="center"/>
          </w:tcPr>
          <w:p w14:paraId="04B69B9E" w14:textId="77777777" w:rsidR="00241417" w:rsidRPr="0044742D" w:rsidRDefault="00241417" w:rsidP="003A71DE">
            <w:pPr>
              <w:pStyle w:val="TAL"/>
            </w:pPr>
            <w:r w:rsidRPr="0044742D">
              <w:t>Payload (without CRC)</w:t>
            </w:r>
          </w:p>
        </w:tc>
        <w:tc>
          <w:tcPr>
            <w:tcW w:w="246" w:type="pct"/>
            <w:shd w:val="clear" w:color="auto" w:fill="auto"/>
          </w:tcPr>
          <w:p w14:paraId="6C7CA84E" w14:textId="77777777" w:rsidR="00241417" w:rsidRPr="0044742D" w:rsidRDefault="00241417" w:rsidP="003A71DE">
            <w:pPr>
              <w:pStyle w:val="TAC"/>
            </w:pPr>
            <w:r w:rsidRPr="0044742D">
              <w:t>Bits</w:t>
            </w:r>
          </w:p>
        </w:tc>
        <w:tc>
          <w:tcPr>
            <w:tcW w:w="1071" w:type="pct"/>
            <w:shd w:val="clear" w:color="auto" w:fill="auto"/>
          </w:tcPr>
          <w:p w14:paraId="0551A31D" w14:textId="77777777" w:rsidR="00241417" w:rsidRPr="0044742D" w:rsidRDefault="00241417" w:rsidP="003A71DE">
            <w:pPr>
              <w:pStyle w:val="TAC"/>
              <w:rPr>
                <w:lang w:eastAsia="zh-CN"/>
              </w:rPr>
            </w:pPr>
            <w:r w:rsidRPr="0044742D">
              <w:rPr>
                <w:lang w:eastAsia="zh-CN"/>
              </w:rPr>
              <w:t>41</w:t>
            </w:r>
          </w:p>
        </w:tc>
        <w:tc>
          <w:tcPr>
            <w:tcW w:w="1071" w:type="pct"/>
          </w:tcPr>
          <w:p w14:paraId="27EB3CDE" w14:textId="77777777" w:rsidR="00241417" w:rsidRPr="0044742D" w:rsidRDefault="00241417" w:rsidP="003A71DE">
            <w:pPr>
              <w:pStyle w:val="TAC"/>
              <w:rPr>
                <w:lang w:eastAsia="zh-CN"/>
              </w:rPr>
            </w:pPr>
            <w:r w:rsidRPr="0044742D">
              <w:rPr>
                <w:lang w:eastAsia="zh-CN"/>
              </w:rPr>
              <w:t>53</w:t>
            </w:r>
          </w:p>
        </w:tc>
        <w:tc>
          <w:tcPr>
            <w:tcW w:w="1071" w:type="pct"/>
          </w:tcPr>
          <w:p w14:paraId="068AE65F" w14:textId="77777777" w:rsidR="00241417" w:rsidRPr="0044742D" w:rsidRDefault="00241417" w:rsidP="003A71DE">
            <w:pPr>
              <w:pStyle w:val="TAC"/>
              <w:rPr>
                <w:lang w:eastAsia="zh-CN"/>
              </w:rPr>
            </w:pPr>
            <w:r w:rsidRPr="0044742D">
              <w:rPr>
                <w:lang w:eastAsia="zh-CN"/>
              </w:rPr>
              <w:t>53</w:t>
            </w:r>
          </w:p>
        </w:tc>
      </w:tr>
    </w:tbl>
    <w:p w14:paraId="3B273208" w14:textId="77777777" w:rsidR="00241417" w:rsidRDefault="00241417" w:rsidP="00241417">
      <w:pPr>
        <w:pStyle w:val="B10"/>
      </w:pPr>
    </w:p>
    <w:p w14:paraId="69B73CE3" w14:textId="77777777" w:rsidR="00241417" w:rsidRPr="00333EE0" w:rsidRDefault="00241417" w:rsidP="00241417">
      <w:pPr>
        <w:pStyle w:val="TH"/>
      </w:pPr>
      <w:r w:rsidRPr="00333EE0">
        <w:lastRenderedPageBreak/>
        <w:t>Table A.3.4-2: FR2 PDCCH Reference Channels</w:t>
      </w:r>
    </w:p>
    <w:tbl>
      <w:tblPr>
        <w:tblW w:w="32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566"/>
        <w:gridCol w:w="1268"/>
        <w:gridCol w:w="1268"/>
        <w:gridCol w:w="1269"/>
      </w:tblGrid>
      <w:tr w:rsidR="00241417" w:rsidRPr="00BB3AE0" w14:paraId="64D3D5E3" w14:textId="77777777" w:rsidTr="003A71DE">
        <w:trPr>
          <w:jc w:val="center"/>
        </w:trPr>
        <w:tc>
          <w:tcPr>
            <w:tcW w:w="1541" w:type="pct"/>
            <w:shd w:val="clear" w:color="auto" w:fill="auto"/>
          </w:tcPr>
          <w:p w14:paraId="35A7C474" w14:textId="77777777" w:rsidR="00241417" w:rsidRPr="00BB3AE0" w:rsidRDefault="00241417" w:rsidP="003A71DE">
            <w:pPr>
              <w:pStyle w:val="TAH"/>
              <w:rPr>
                <w:rFonts w:eastAsia="Calibri"/>
                <w:lang w:eastAsia="zh-CN"/>
              </w:rPr>
            </w:pPr>
            <w:r w:rsidRPr="00BB3AE0">
              <w:t>Parameter</w:t>
            </w:r>
          </w:p>
        </w:tc>
        <w:tc>
          <w:tcPr>
            <w:tcW w:w="246" w:type="pct"/>
            <w:shd w:val="clear" w:color="auto" w:fill="auto"/>
          </w:tcPr>
          <w:p w14:paraId="002876E1" w14:textId="77777777" w:rsidR="00241417" w:rsidRPr="00BB3AE0" w:rsidRDefault="00241417" w:rsidP="003A71DE">
            <w:pPr>
              <w:pStyle w:val="TAH"/>
            </w:pPr>
            <w:r w:rsidRPr="00BB3AE0">
              <w:t>Unit</w:t>
            </w:r>
          </w:p>
        </w:tc>
        <w:tc>
          <w:tcPr>
            <w:tcW w:w="3213" w:type="pct"/>
            <w:gridSpan w:val="3"/>
            <w:shd w:val="clear" w:color="auto" w:fill="auto"/>
          </w:tcPr>
          <w:p w14:paraId="2B6535F6" w14:textId="77777777" w:rsidR="00241417" w:rsidRPr="00BB3AE0" w:rsidRDefault="00241417" w:rsidP="003A71DE">
            <w:pPr>
              <w:pStyle w:val="TAH"/>
            </w:pPr>
            <w:r w:rsidRPr="00BB3AE0">
              <w:t>Value</w:t>
            </w:r>
          </w:p>
        </w:tc>
      </w:tr>
      <w:tr w:rsidR="00241417" w:rsidRPr="00BB3AE0" w14:paraId="63D990A5" w14:textId="77777777" w:rsidTr="003A71DE">
        <w:trPr>
          <w:jc w:val="center"/>
        </w:trPr>
        <w:tc>
          <w:tcPr>
            <w:tcW w:w="1541" w:type="pct"/>
            <w:shd w:val="clear" w:color="auto" w:fill="auto"/>
          </w:tcPr>
          <w:p w14:paraId="2DC1648B" w14:textId="77777777" w:rsidR="00241417" w:rsidRPr="00BB3AE0" w:rsidRDefault="00241417" w:rsidP="003A71DE">
            <w:pPr>
              <w:pStyle w:val="TAL"/>
              <w:rPr>
                <w:rFonts w:eastAsia="Calibri"/>
                <w:lang w:eastAsia="zh-CN"/>
              </w:rPr>
            </w:pPr>
            <w:r w:rsidRPr="00BB3AE0">
              <w:t>Reference channel</w:t>
            </w:r>
          </w:p>
        </w:tc>
        <w:tc>
          <w:tcPr>
            <w:tcW w:w="246" w:type="pct"/>
            <w:shd w:val="clear" w:color="auto" w:fill="auto"/>
          </w:tcPr>
          <w:p w14:paraId="6F3B04BB" w14:textId="77777777" w:rsidR="00241417" w:rsidRPr="00BB3AE0" w:rsidRDefault="00241417" w:rsidP="003A71DE">
            <w:pPr>
              <w:pStyle w:val="TAC"/>
              <w:rPr>
                <w:lang w:eastAsia="zh-CN"/>
              </w:rPr>
            </w:pPr>
          </w:p>
        </w:tc>
        <w:tc>
          <w:tcPr>
            <w:tcW w:w="1071" w:type="pct"/>
            <w:shd w:val="clear" w:color="auto" w:fill="auto"/>
          </w:tcPr>
          <w:p w14:paraId="46316AC7" w14:textId="77777777" w:rsidR="00241417" w:rsidRPr="00BB3AE0" w:rsidRDefault="00241417" w:rsidP="003A71DE">
            <w:pPr>
              <w:pStyle w:val="TAC"/>
              <w:rPr>
                <w:lang w:eastAsia="zh-CN"/>
              </w:rPr>
            </w:pPr>
            <w:r>
              <w:t>M-FR2-A.3.4-1</w:t>
            </w:r>
          </w:p>
        </w:tc>
        <w:tc>
          <w:tcPr>
            <w:tcW w:w="1071" w:type="pct"/>
          </w:tcPr>
          <w:p w14:paraId="70DA1D0C" w14:textId="77777777" w:rsidR="00241417" w:rsidRPr="00BB3AE0" w:rsidRDefault="00241417" w:rsidP="003A71DE">
            <w:pPr>
              <w:pStyle w:val="TAC"/>
            </w:pPr>
            <w:r>
              <w:t>M-FR2-A.3.4-2</w:t>
            </w:r>
          </w:p>
        </w:tc>
        <w:tc>
          <w:tcPr>
            <w:tcW w:w="1071" w:type="pct"/>
          </w:tcPr>
          <w:p w14:paraId="7A993D82" w14:textId="77777777" w:rsidR="00241417" w:rsidRPr="00BB3AE0" w:rsidRDefault="00241417" w:rsidP="003A71DE">
            <w:pPr>
              <w:pStyle w:val="TAC"/>
            </w:pPr>
            <w:r>
              <w:t>M-FR2-A.3.4-3</w:t>
            </w:r>
          </w:p>
        </w:tc>
      </w:tr>
      <w:tr w:rsidR="00241417" w:rsidRPr="00BB3AE0" w14:paraId="31D39132" w14:textId="77777777" w:rsidTr="003A71DE">
        <w:trPr>
          <w:jc w:val="center"/>
        </w:trPr>
        <w:tc>
          <w:tcPr>
            <w:tcW w:w="1541" w:type="pct"/>
            <w:shd w:val="clear" w:color="auto" w:fill="auto"/>
          </w:tcPr>
          <w:p w14:paraId="2C8F03DA" w14:textId="77777777" w:rsidR="00241417" w:rsidRPr="00BB3AE0" w:rsidRDefault="00241417" w:rsidP="003A71DE">
            <w:pPr>
              <w:pStyle w:val="TAL"/>
              <w:rPr>
                <w:lang w:eastAsia="zh-CN"/>
              </w:rPr>
            </w:pPr>
            <w:r w:rsidRPr="00BB3AE0">
              <w:t>Subcarrier spacing</w:t>
            </w:r>
          </w:p>
        </w:tc>
        <w:tc>
          <w:tcPr>
            <w:tcW w:w="246" w:type="pct"/>
            <w:shd w:val="clear" w:color="auto" w:fill="auto"/>
          </w:tcPr>
          <w:p w14:paraId="059389FB" w14:textId="77777777" w:rsidR="00241417" w:rsidRPr="00BB3AE0" w:rsidRDefault="00241417" w:rsidP="003A71DE">
            <w:pPr>
              <w:pStyle w:val="TAC"/>
            </w:pPr>
            <w:r w:rsidRPr="00BB3AE0">
              <w:t>kHz</w:t>
            </w:r>
          </w:p>
        </w:tc>
        <w:tc>
          <w:tcPr>
            <w:tcW w:w="1071" w:type="pct"/>
            <w:shd w:val="clear" w:color="auto" w:fill="auto"/>
          </w:tcPr>
          <w:p w14:paraId="0821161D" w14:textId="77777777" w:rsidR="00241417" w:rsidRPr="00BB3AE0" w:rsidRDefault="00241417" w:rsidP="003A71DE">
            <w:pPr>
              <w:pStyle w:val="TAC"/>
              <w:rPr>
                <w:lang w:eastAsia="zh-CN"/>
              </w:rPr>
            </w:pPr>
            <w:r w:rsidRPr="00BB3AE0">
              <w:rPr>
                <w:lang w:eastAsia="zh-CN"/>
              </w:rPr>
              <w:t>120</w:t>
            </w:r>
          </w:p>
        </w:tc>
        <w:tc>
          <w:tcPr>
            <w:tcW w:w="1071" w:type="pct"/>
          </w:tcPr>
          <w:p w14:paraId="785A054A" w14:textId="77777777" w:rsidR="00241417" w:rsidRPr="00BB3AE0" w:rsidRDefault="00241417" w:rsidP="003A71DE">
            <w:pPr>
              <w:pStyle w:val="TAC"/>
              <w:rPr>
                <w:lang w:eastAsia="zh-CN"/>
              </w:rPr>
            </w:pPr>
            <w:r w:rsidRPr="00BB3AE0">
              <w:rPr>
                <w:lang w:eastAsia="zh-CN"/>
              </w:rPr>
              <w:t>120</w:t>
            </w:r>
          </w:p>
        </w:tc>
        <w:tc>
          <w:tcPr>
            <w:tcW w:w="1071" w:type="pct"/>
          </w:tcPr>
          <w:p w14:paraId="3089CEE9" w14:textId="77777777" w:rsidR="00241417" w:rsidRPr="00BB3AE0" w:rsidRDefault="00241417" w:rsidP="003A71DE">
            <w:pPr>
              <w:pStyle w:val="TAC"/>
              <w:rPr>
                <w:lang w:eastAsia="zh-CN"/>
              </w:rPr>
            </w:pPr>
            <w:r w:rsidRPr="00BB3AE0">
              <w:rPr>
                <w:lang w:eastAsia="zh-CN"/>
              </w:rPr>
              <w:t>120</w:t>
            </w:r>
          </w:p>
        </w:tc>
      </w:tr>
      <w:tr w:rsidR="00241417" w:rsidRPr="00BB3AE0" w14:paraId="6B60CB33" w14:textId="77777777" w:rsidTr="003A71DE">
        <w:trPr>
          <w:jc w:val="center"/>
        </w:trPr>
        <w:tc>
          <w:tcPr>
            <w:tcW w:w="1541" w:type="pct"/>
            <w:shd w:val="clear" w:color="auto" w:fill="auto"/>
            <w:vAlign w:val="center"/>
          </w:tcPr>
          <w:p w14:paraId="1C75E8C2" w14:textId="77777777" w:rsidR="00241417" w:rsidRPr="00BB3AE0" w:rsidRDefault="00241417" w:rsidP="003A71DE">
            <w:pPr>
              <w:pStyle w:val="TAL"/>
            </w:pPr>
            <w:r w:rsidRPr="00BB3AE0">
              <w:t>CORESET frequency domain allocation</w:t>
            </w:r>
          </w:p>
        </w:tc>
        <w:tc>
          <w:tcPr>
            <w:tcW w:w="246" w:type="pct"/>
            <w:shd w:val="clear" w:color="auto" w:fill="auto"/>
          </w:tcPr>
          <w:p w14:paraId="726F19CA" w14:textId="77777777" w:rsidR="00241417" w:rsidRPr="00BB3AE0" w:rsidRDefault="00241417" w:rsidP="003A71DE">
            <w:pPr>
              <w:pStyle w:val="TAC"/>
            </w:pPr>
          </w:p>
        </w:tc>
        <w:tc>
          <w:tcPr>
            <w:tcW w:w="1071" w:type="pct"/>
            <w:shd w:val="clear" w:color="auto" w:fill="auto"/>
          </w:tcPr>
          <w:p w14:paraId="2B3D46E1" w14:textId="77777777" w:rsidR="00241417" w:rsidRPr="00BB3AE0" w:rsidRDefault="00241417" w:rsidP="003A71DE">
            <w:pPr>
              <w:pStyle w:val="TAC"/>
              <w:rPr>
                <w:rFonts w:eastAsia="Calibri"/>
                <w:lang w:eastAsia="zh-CN"/>
              </w:rPr>
            </w:pPr>
            <w:r w:rsidRPr="00BB3AE0">
              <w:t>60</w:t>
            </w:r>
          </w:p>
        </w:tc>
        <w:tc>
          <w:tcPr>
            <w:tcW w:w="1071" w:type="pct"/>
          </w:tcPr>
          <w:p w14:paraId="68D5002D" w14:textId="77777777" w:rsidR="00241417" w:rsidRPr="00BB3AE0" w:rsidRDefault="00241417" w:rsidP="003A71DE">
            <w:pPr>
              <w:pStyle w:val="TAC"/>
            </w:pPr>
            <w:r w:rsidRPr="00BB3AE0">
              <w:t>60</w:t>
            </w:r>
          </w:p>
        </w:tc>
        <w:tc>
          <w:tcPr>
            <w:tcW w:w="1071" w:type="pct"/>
          </w:tcPr>
          <w:p w14:paraId="4E74A167" w14:textId="77777777" w:rsidR="00241417" w:rsidRPr="00BB3AE0" w:rsidRDefault="00241417" w:rsidP="003A71DE">
            <w:pPr>
              <w:pStyle w:val="TAC"/>
            </w:pPr>
            <w:r w:rsidRPr="00BB3AE0">
              <w:t>60</w:t>
            </w:r>
          </w:p>
        </w:tc>
      </w:tr>
      <w:tr w:rsidR="00241417" w:rsidRPr="00BB3AE0" w14:paraId="204BDF17" w14:textId="77777777" w:rsidTr="003A71DE">
        <w:trPr>
          <w:jc w:val="center"/>
        </w:trPr>
        <w:tc>
          <w:tcPr>
            <w:tcW w:w="1541" w:type="pct"/>
            <w:shd w:val="clear" w:color="auto" w:fill="auto"/>
            <w:vAlign w:val="center"/>
          </w:tcPr>
          <w:p w14:paraId="7B605B1C" w14:textId="77777777" w:rsidR="00241417" w:rsidRPr="00BB3AE0" w:rsidRDefault="00241417" w:rsidP="003A71DE">
            <w:pPr>
              <w:pStyle w:val="TAL"/>
            </w:pPr>
            <w:r w:rsidRPr="00BB3AE0">
              <w:t>CORESET time domain allocation</w:t>
            </w:r>
          </w:p>
        </w:tc>
        <w:tc>
          <w:tcPr>
            <w:tcW w:w="246" w:type="pct"/>
            <w:shd w:val="clear" w:color="auto" w:fill="auto"/>
          </w:tcPr>
          <w:p w14:paraId="3A943D7B" w14:textId="77777777" w:rsidR="00241417" w:rsidRPr="00BB3AE0" w:rsidRDefault="00241417" w:rsidP="003A71DE">
            <w:pPr>
              <w:pStyle w:val="TAC"/>
            </w:pPr>
          </w:p>
        </w:tc>
        <w:tc>
          <w:tcPr>
            <w:tcW w:w="1071" w:type="pct"/>
            <w:shd w:val="clear" w:color="auto" w:fill="auto"/>
          </w:tcPr>
          <w:p w14:paraId="64075858" w14:textId="77777777" w:rsidR="00241417" w:rsidRPr="00BB3AE0" w:rsidRDefault="00241417" w:rsidP="003A71DE">
            <w:pPr>
              <w:pStyle w:val="TAC"/>
              <w:rPr>
                <w:lang w:eastAsia="zh-CN"/>
              </w:rPr>
            </w:pPr>
            <w:r w:rsidRPr="00BB3AE0">
              <w:rPr>
                <w:lang w:eastAsia="zh-CN"/>
              </w:rPr>
              <w:t>1</w:t>
            </w:r>
          </w:p>
        </w:tc>
        <w:tc>
          <w:tcPr>
            <w:tcW w:w="1071" w:type="pct"/>
          </w:tcPr>
          <w:p w14:paraId="08D51ECF" w14:textId="77777777" w:rsidR="00241417" w:rsidRPr="00BB3AE0" w:rsidRDefault="00241417" w:rsidP="003A71DE">
            <w:pPr>
              <w:pStyle w:val="TAC"/>
              <w:rPr>
                <w:lang w:eastAsia="zh-CN"/>
              </w:rPr>
            </w:pPr>
            <w:r w:rsidRPr="00BB3AE0">
              <w:rPr>
                <w:lang w:eastAsia="zh-CN"/>
              </w:rPr>
              <w:t>1</w:t>
            </w:r>
          </w:p>
        </w:tc>
        <w:tc>
          <w:tcPr>
            <w:tcW w:w="1071" w:type="pct"/>
          </w:tcPr>
          <w:p w14:paraId="730BA1D2" w14:textId="77777777" w:rsidR="00241417" w:rsidRPr="00BB3AE0" w:rsidRDefault="00241417" w:rsidP="003A71DE">
            <w:pPr>
              <w:pStyle w:val="TAC"/>
              <w:rPr>
                <w:lang w:eastAsia="zh-CN"/>
              </w:rPr>
            </w:pPr>
            <w:r w:rsidRPr="00BB3AE0">
              <w:rPr>
                <w:lang w:eastAsia="zh-CN"/>
              </w:rPr>
              <w:t>1</w:t>
            </w:r>
          </w:p>
        </w:tc>
      </w:tr>
      <w:tr w:rsidR="00241417" w:rsidRPr="00BB3AE0" w14:paraId="3BEDF35E" w14:textId="77777777" w:rsidTr="003A71DE">
        <w:trPr>
          <w:jc w:val="center"/>
        </w:trPr>
        <w:tc>
          <w:tcPr>
            <w:tcW w:w="1541" w:type="pct"/>
            <w:shd w:val="clear" w:color="auto" w:fill="auto"/>
            <w:vAlign w:val="center"/>
          </w:tcPr>
          <w:p w14:paraId="19BA3B1E" w14:textId="77777777" w:rsidR="00241417" w:rsidRPr="00BB3AE0" w:rsidRDefault="00241417" w:rsidP="003A71DE">
            <w:pPr>
              <w:pStyle w:val="TAL"/>
            </w:pPr>
            <w:r w:rsidRPr="00BB3AE0">
              <w:t>Aggregation level</w:t>
            </w:r>
          </w:p>
        </w:tc>
        <w:tc>
          <w:tcPr>
            <w:tcW w:w="246" w:type="pct"/>
            <w:shd w:val="clear" w:color="auto" w:fill="auto"/>
          </w:tcPr>
          <w:p w14:paraId="187AA57F" w14:textId="77777777" w:rsidR="00241417" w:rsidRPr="00BB3AE0" w:rsidRDefault="00241417" w:rsidP="003A71DE">
            <w:pPr>
              <w:pStyle w:val="TAC"/>
            </w:pPr>
          </w:p>
        </w:tc>
        <w:tc>
          <w:tcPr>
            <w:tcW w:w="1071" w:type="pct"/>
            <w:shd w:val="clear" w:color="auto" w:fill="auto"/>
          </w:tcPr>
          <w:p w14:paraId="342BCA6F" w14:textId="77777777" w:rsidR="00241417" w:rsidRPr="00BB3AE0" w:rsidRDefault="00241417" w:rsidP="003A71DE">
            <w:pPr>
              <w:pStyle w:val="TAC"/>
              <w:rPr>
                <w:lang w:eastAsia="zh-CN"/>
              </w:rPr>
            </w:pPr>
            <w:r w:rsidRPr="00BB3AE0">
              <w:rPr>
                <w:lang w:eastAsia="zh-CN"/>
              </w:rPr>
              <w:t>2</w:t>
            </w:r>
          </w:p>
        </w:tc>
        <w:tc>
          <w:tcPr>
            <w:tcW w:w="1071" w:type="pct"/>
          </w:tcPr>
          <w:p w14:paraId="0F01E13D" w14:textId="77777777" w:rsidR="00241417" w:rsidRPr="00BB3AE0" w:rsidRDefault="00241417" w:rsidP="003A71DE">
            <w:pPr>
              <w:pStyle w:val="TAC"/>
              <w:rPr>
                <w:lang w:eastAsia="zh-CN"/>
              </w:rPr>
            </w:pPr>
            <w:r w:rsidRPr="00BB3AE0">
              <w:rPr>
                <w:lang w:eastAsia="zh-CN"/>
              </w:rPr>
              <w:t>4</w:t>
            </w:r>
          </w:p>
        </w:tc>
        <w:tc>
          <w:tcPr>
            <w:tcW w:w="1071" w:type="pct"/>
          </w:tcPr>
          <w:p w14:paraId="562A9DA0" w14:textId="77777777" w:rsidR="00241417" w:rsidRPr="00BB3AE0" w:rsidRDefault="00241417" w:rsidP="003A71DE">
            <w:pPr>
              <w:pStyle w:val="TAC"/>
              <w:rPr>
                <w:lang w:eastAsia="zh-CN"/>
              </w:rPr>
            </w:pPr>
            <w:r w:rsidRPr="00BB3AE0">
              <w:rPr>
                <w:lang w:eastAsia="zh-CN"/>
              </w:rPr>
              <w:t>8</w:t>
            </w:r>
          </w:p>
        </w:tc>
      </w:tr>
      <w:tr w:rsidR="00241417" w:rsidRPr="00BB3AE0" w14:paraId="196C2471" w14:textId="77777777" w:rsidTr="003A71DE">
        <w:trPr>
          <w:jc w:val="center"/>
        </w:trPr>
        <w:tc>
          <w:tcPr>
            <w:tcW w:w="1541" w:type="pct"/>
            <w:shd w:val="clear" w:color="auto" w:fill="auto"/>
            <w:vAlign w:val="center"/>
          </w:tcPr>
          <w:p w14:paraId="329E3ABC" w14:textId="77777777" w:rsidR="00241417" w:rsidRPr="00BB3AE0" w:rsidRDefault="00241417" w:rsidP="003A71DE">
            <w:pPr>
              <w:pStyle w:val="TAL"/>
            </w:pPr>
            <w:r w:rsidRPr="00BB3AE0">
              <w:t>DCI Format</w:t>
            </w:r>
          </w:p>
        </w:tc>
        <w:tc>
          <w:tcPr>
            <w:tcW w:w="246" w:type="pct"/>
            <w:shd w:val="clear" w:color="auto" w:fill="auto"/>
          </w:tcPr>
          <w:p w14:paraId="7B40131D" w14:textId="77777777" w:rsidR="00241417" w:rsidRPr="00BB3AE0" w:rsidRDefault="00241417" w:rsidP="003A71DE">
            <w:pPr>
              <w:pStyle w:val="TAC"/>
            </w:pPr>
          </w:p>
        </w:tc>
        <w:tc>
          <w:tcPr>
            <w:tcW w:w="1071" w:type="pct"/>
            <w:shd w:val="clear" w:color="auto" w:fill="auto"/>
          </w:tcPr>
          <w:p w14:paraId="642A310D" w14:textId="77777777" w:rsidR="00241417" w:rsidRPr="00BB3AE0" w:rsidRDefault="00241417" w:rsidP="003A71DE">
            <w:pPr>
              <w:pStyle w:val="TAC"/>
              <w:rPr>
                <w:lang w:eastAsia="zh-CN"/>
              </w:rPr>
            </w:pPr>
            <w:r w:rsidRPr="00BB3AE0">
              <w:rPr>
                <w:lang w:eastAsia="zh-CN"/>
              </w:rPr>
              <w:t>1_0</w:t>
            </w:r>
          </w:p>
        </w:tc>
        <w:tc>
          <w:tcPr>
            <w:tcW w:w="1071" w:type="pct"/>
          </w:tcPr>
          <w:p w14:paraId="41A8A0C1" w14:textId="77777777" w:rsidR="00241417" w:rsidRPr="00BB3AE0" w:rsidRDefault="00241417" w:rsidP="003A71DE">
            <w:pPr>
              <w:pStyle w:val="TAC"/>
              <w:rPr>
                <w:lang w:eastAsia="zh-CN"/>
              </w:rPr>
            </w:pPr>
            <w:r w:rsidRPr="00BB3AE0">
              <w:rPr>
                <w:lang w:eastAsia="zh-CN"/>
              </w:rPr>
              <w:t>1_1</w:t>
            </w:r>
          </w:p>
        </w:tc>
        <w:tc>
          <w:tcPr>
            <w:tcW w:w="1071" w:type="pct"/>
          </w:tcPr>
          <w:p w14:paraId="7D2BEE91" w14:textId="77777777" w:rsidR="00241417" w:rsidRPr="00BB3AE0" w:rsidRDefault="00241417" w:rsidP="003A71DE">
            <w:pPr>
              <w:pStyle w:val="TAC"/>
              <w:rPr>
                <w:lang w:eastAsia="zh-CN"/>
              </w:rPr>
            </w:pPr>
            <w:r w:rsidRPr="00BB3AE0">
              <w:rPr>
                <w:lang w:eastAsia="zh-CN"/>
              </w:rPr>
              <w:t>1_1</w:t>
            </w:r>
          </w:p>
        </w:tc>
      </w:tr>
      <w:tr w:rsidR="00241417" w:rsidRPr="00BB3AE0" w14:paraId="38F7073A" w14:textId="77777777" w:rsidTr="003A71DE">
        <w:trPr>
          <w:jc w:val="center"/>
        </w:trPr>
        <w:tc>
          <w:tcPr>
            <w:tcW w:w="1541" w:type="pct"/>
            <w:shd w:val="clear" w:color="auto" w:fill="auto"/>
            <w:vAlign w:val="center"/>
          </w:tcPr>
          <w:p w14:paraId="64BECEF4" w14:textId="77777777" w:rsidR="00241417" w:rsidRPr="00BB3AE0" w:rsidRDefault="00241417" w:rsidP="003A71DE">
            <w:pPr>
              <w:pStyle w:val="TAL"/>
            </w:pPr>
            <w:r w:rsidRPr="00BB3AE0">
              <w:t>Payload (without CRC)</w:t>
            </w:r>
          </w:p>
        </w:tc>
        <w:tc>
          <w:tcPr>
            <w:tcW w:w="246" w:type="pct"/>
            <w:shd w:val="clear" w:color="auto" w:fill="auto"/>
          </w:tcPr>
          <w:p w14:paraId="0716408F" w14:textId="77777777" w:rsidR="00241417" w:rsidRPr="00BB3AE0" w:rsidRDefault="00241417" w:rsidP="003A71DE">
            <w:pPr>
              <w:pStyle w:val="TAC"/>
            </w:pPr>
            <w:r w:rsidRPr="00BB3AE0">
              <w:t>Bits</w:t>
            </w:r>
          </w:p>
        </w:tc>
        <w:tc>
          <w:tcPr>
            <w:tcW w:w="1071" w:type="pct"/>
            <w:shd w:val="clear" w:color="auto" w:fill="auto"/>
          </w:tcPr>
          <w:p w14:paraId="7BB76039" w14:textId="77777777" w:rsidR="00241417" w:rsidRPr="00BB3AE0" w:rsidRDefault="00241417" w:rsidP="003A71DE">
            <w:pPr>
              <w:pStyle w:val="TAC"/>
              <w:rPr>
                <w:lang w:eastAsia="zh-CN"/>
              </w:rPr>
            </w:pPr>
            <w:r w:rsidRPr="00BB3AE0">
              <w:rPr>
                <w:lang w:eastAsia="zh-CN"/>
              </w:rPr>
              <w:t>4</w:t>
            </w:r>
            <w:r w:rsidRPr="00BB3AE0">
              <w:rPr>
                <w:rFonts w:hint="eastAsia"/>
                <w:lang w:eastAsia="zh-CN"/>
              </w:rPr>
              <w:t>0</w:t>
            </w:r>
          </w:p>
        </w:tc>
        <w:tc>
          <w:tcPr>
            <w:tcW w:w="1071" w:type="pct"/>
          </w:tcPr>
          <w:p w14:paraId="44F36657" w14:textId="77777777" w:rsidR="00241417" w:rsidRPr="00BB3AE0" w:rsidRDefault="00241417" w:rsidP="003A71DE">
            <w:pPr>
              <w:pStyle w:val="TAC"/>
              <w:rPr>
                <w:lang w:eastAsia="zh-CN"/>
              </w:rPr>
            </w:pPr>
            <w:r w:rsidRPr="00BB3AE0">
              <w:rPr>
                <w:lang w:eastAsia="zh-CN"/>
              </w:rPr>
              <w:t>5</w:t>
            </w:r>
            <w:r w:rsidRPr="00BB3AE0">
              <w:rPr>
                <w:rFonts w:hint="eastAsia"/>
                <w:lang w:eastAsia="zh-CN"/>
              </w:rPr>
              <w:t>6</w:t>
            </w:r>
          </w:p>
        </w:tc>
        <w:tc>
          <w:tcPr>
            <w:tcW w:w="1071" w:type="pct"/>
          </w:tcPr>
          <w:p w14:paraId="48A9E65B" w14:textId="77777777" w:rsidR="00241417" w:rsidRPr="00BB3AE0" w:rsidRDefault="00241417" w:rsidP="003A71DE">
            <w:pPr>
              <w:pStyle w:val="TAC"/>
              <w:rPr>
                <w:lang w:eastAsia="zh-CN"/>
              </w:rPr>
            </w:pPr>
            <w:r w:rsidRPr="00BB3AE0">
              <w:rPr>
                <w:lang w:eastAsia="zh-CN"/>
              </w:rPr>
              <w:t>5</w:t>
            </w:r>
            <w:r w:rsidRPr="00BB3AE0">
              <w:rPr>
                <w:rFonts w:hint="eastAsia"/>
                <w:lang w:eastAsia="zh-CN"/>
              </w:rPr>
              <w:t>6</w:t>
            </w:r>
          </w:p>
        </w:tc>
      </w:tr>
    </w:tbl>
    <w:p w14:paraId="77DD118F" w14:textId="77777777" w:rsidR="00241417" w:rsidRPr="004710DC" w:rsidRDefault="00241417" w:rsidP="00241417">
      <w:pPr>
        <w:pStyle w:val="B10"/>
      </w:pPr>
    </w:p>
    <w:p w14:paraId="157AC829" w14:textId="78CF78FB" w:rsidR="00241417" w:rsidRDefault="00241417" w:rsidP="00241417">
      <w:pPr>
        <w:pStyle w:val="Heading3"/>
      </w:pPr>
      <w:bookmarkStart w:id="9296" w:name="_Toc74583584"/>
      <w:bookmarkStart w:id="9297" w:name="_Toc76542397"/>
      <w:bookmarkStart w:id="9298" w:name="_Toc82450379"/>
      <w:bookmarkStart w:id="9299" w:name="_Toc82451027"/>
      <w:bookmarkStart w:id="9300" w:name="_Toc89949416"/>
      <w:bookmarkStart w:id="9301" w:name="_Toc98755805"/>
      <w:bookmarkStart w:id="9302" w:name="_Toc98763397"/>
      <w:bookmarkStart w:id="9303" w:name="_Toc106184326"/>
      <w:r w:rsidRPr="004710DC">
        <w:t>A.</w:t>
      </w:r>
      <w:r>
        <w:t>3.5</w:t>
      </w:r>
      <w:r w:rsidRPr="004710DC">
        <w:tab/>
      </w:r>
      <w:r w:rsidRPr="00D952AE">
        <w:t>Fixed Reference Channels for CSI reporting performance</w:t>
      </w:r>
      <w:bookmarkEnd w:id="9296"/>
      <w:bookmarkEnd w:id="9297"/>
      <w:bookmarkEnd w:id="9298"/>
      <w:bookmarkEnd w:id="9299"/>
      <w:bookmarkEnd w:id="9300"/>
      <w:bookmarkEnd w:id="9301"/>
      <w:bookmarkEnd w:id="9302"/>
      <w:bookmarkEnd w:id="9303"/>
      <w:r w:rsidRPr="00D952AE">
        <w:t xml:space="preserve"> </w:t>
      </w:r>
    </w:p>
    <w:p w14:paraId="78D60563" w14:textId="77777777" w:rsidR="00241417" w:rsidRPr="00C542A4" w:rsidRDefault="00241417" w:rsidP="00241417">
      <w:r w:rsidRPr="00D952AE">
        <w:t xml:space="preserve">This clause defines the DL signal applicable to the reporting of </w:t>
      </w:r>
      <w:r w:rsidRPr="00C542A4">
        <w:t>channel status information.</w:t>
      </w:r>
    </w:p>
    <w:p w14:paraId="45999B07" w14:textId="77777777" w:rsidR="00241417" w:rsidRPr="00C542A4" w:rsidRDefault="00241417" w:rsidP="00241417">
      <w:pPr>
        <w:rPr>
          <w:lang w:eastAsia="zh-CN"/>
        </w:rPr>
      </w:pPr>
      <w:r w:rsidRPr="00C542A4">
        <w:t>Tables in this clause specifies the mapping of CQI index to Information Bit payload, which complies with the CQI definition specified in clause 5.2.2.1 of TS 38.214 [</w:t>
      </w:r>
      <w:r w:rsidRPr="00C542A4">
        <w:rPr>
          <w:lang w:eastAsia="zh-CN"/>
        </w:rPr>
        <w:t>11</w:t>
      </w:r>
      <w:r w:rsidRPr="00C542A4">
        <w:t>] and with MCS definition specified in clause 5.1.3 of TS</w:t>
      </w:r>
      <w:r w:rsidRPr="00C542A4">
        <w:rPr>
          <w:rFonts w:hint="eastAsia"/>
        </w:rPr>
        <w:t> </w:t>
      </w:r>
      <w:r w:rsidRPr="00C542A4">
        <w:t>38.214 [</w:t>
      </w:r>
      <w:r w:rsidRPr="00C542A4">
        <w:rPr>
          <w:lang w:eastAsia="zh-CN"/>
        </w:rPr>
        <w:t>11</w:t>
      </w:r>
      <w:r w:rsidRPr="00C542A4">
        <w:t>]</w:t>
      </w:r>
      <w:r w:rsidRPr="00C542A4">
        <w:rPr>
          <w:lang w:eastAsia="zh-CN"/>
        </w:rPr>
        <w:t>.</w:t>
      </w:r>
    </w:p>
    <w:p w14:paraId="30DD4352" w14:textId="77777777" w:rsidR="00241417" w:rsidRPr="00C542A4" w:rsidRDefault="00241417" w:rsidP="00241417">
      <w:pPr>
        <w:rPr>
          <w:lang w:eastAsia="zh-CN"/>
        </w:rPr>
      </w:pPr>
    </w:p>
    <w:p w14:paraId="336C6A38" w14:textId="77777777" w:rsidR="00241417" w:rsidRPr="00C542A4" w:rsidRDefault="00241417" w:rsidP="00241417">
      <w:pPr>
        <w:pStyle w:val="TH"/>
      </w:pPr>
      <w:r w:rsidRPr="00C542A4">
        <w:t>Table A.3.5-1: Fixed Reference Channels for FR1 CSI reporting with CQI table 2 and MCS table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
        <w:gridCol w:w="1514"/>
        <w:gridCol w:w="994"/>
        <w:gridCol w:w="1097"/>
        <w:gridCol w:w="1256"/>
        <w:gridCol w:w="1279"/>
        <w:gridCol w:w="1279"/>
        <w:gridCol w:w="1279"/>
      </w:tblGrid>
      <w:tr w:rsidR="00241417" w14:paraId="0BF27025"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6133C07B" w14:textId="77777777" w:rsidR="00241417" w:rsidRDefault="00241417" w:rsidP="003A71DE">
            <w:pPr>
              <w:pStyle w:val="TAH"/>
              <w:rPr>
                <w:lang w:eastAsia="zh-CN"/>
              </w:rPr>
            </w:pPr>
            <w:r>
              <w:t>Reference channel</w:t>
            </w:r>
          </w:p>
        </w:tc>
        <w:tc>
          <w:tcPr>
            <w:tcW w:w="0" w:type="auto"/>
            <w:tcBorders>
              <w:top w:val="single" w:sz="4" w:space="0" w:color="auto"/>
              <w:left w:val="single" w:sz="4" w:space="0" w:color="auto"/>
              <w:bottom w:val="single" w:sz="4" w:space="0" w:color="auto"/>
              <w:right w:val="single" w:sz="4" w:space="0" w:color="auto"/>
            </w:tcBorders>
            <w:vAlign w:val="center"/>
          </w:tcPr>
          <w:p w14:paraId="196C1C3B" w14:textId="77777777" w:rsidR="00241417" w:rsidRDefault="00241417" w:rsidP="003A71DE">
            <w:pPr>
              <w:pStyle w:val="TAH"/>
              <w:rPr>
                <w:rFonts w:eastAsia="Calibri"/>
                <w:lang w:eastAsia="zh-CN"/>
              </w:rPr>
            </w:pPr>
            <w:r>
              <w:t>M-FR1-A.3.5-1</w:t>
            </w:r>
          </w:p>
        </w:tc>
        <w:tc>
          <w:tcPr>
            <w:tcW w:w="0" w:type="auto"/>
            <w:tcBorders>
              <w:top w:val="single" w:sz="4" w:space="0" w:color="auto"/>
              <w:left w:val="single" w:sz="4" w:space="0" w:color="auto"/>
              <w:bottom w:val="single" w:sz="4" w:space="0" w:color="auto"/>
              <w:right w:val="single" w:sz="4" w:space="0" w:color="auto"/>
            </w:tcBorders>
            <w:vAlign w:val="center"/>
          </w:tcPr>
          <w:p w14:paraId="6383CC56" w14:textId="77777777" w:rsidR="00241417" w:rsidRDefault="00241417" w:rsidP="003A71DE">
            <w:pPr>
              <w:pStyle w:val="TAH"/>
              <w:rPr>
                <w:rFonts w:eastAsia="Calibri"/>
                <w:lang w:eastAsia="zh-CN"/>
              </w:rPr>
            </w:pPr>
            <w:r>
              <w:t>M-FR1-A.3.5-2</w:t>
            </w:r>
          </w:p>
        </w:tc>
        <w:tc>
          <w:tcPr>
            <w:tcW w:w="0" w:type="auto"/>
            <w:tcBorders>
              <w:top w:val="single" w:sz="4" w:space="0" w:color="auto"/>
              <w:left w:val="single" w:sz="4" w:space="0" w:color="auto"/>
              <w:bottom w:val="single" w:sz="4" w:space="0" w:color="auto"/>
              <w:right w:val="single" w:sz="4" w:space="0" w:color="auto"/>
            </w:tcBorders>
            <w:vAlign w:val="center"/>
          </w:tcPr>
          <w:p w14:paraId="5242F554" w14:textId="77777777" w:rsidR="00241417" w:rsidRDefault="00241417" w:rsidP="003A71DE">
            <w:pPr>
              <w:pStyle w:val="TAH"/>
              <w:rPr>
                <w:rFonts w:eastAsia="Calibri"/>
                <w:lang w:eastAsia="zh-CN"/>
              </w:rPr>
            </w:pPr>
            <w:r>
              <w:t>M-FR1-A.3.5-3</w:t>
            </w:r>
          </w:p>
        </w:tc>
        <w:tc>
          <w:tcPr>
            <w:tcW w:w="0" w:type="auto"/>
            <w:tcBorders>
              <w:top w:val="single" w:sz="4" w:space="0" w:color="auto"/>
              <w:left w:val="single" w:sz="4" w:space="0" w:color="auto"/>
              <w:bottom w:val="single" w:sz="4" w:space="0" w:color="auto"/>
              <w:right w:val="single" w:sz="4" w:space="0" w:color="auto"/>
            </w:tcBorders>
            <w:vAlign w:val="center"/>
          </w:tcPr>
          <w:p w14:paraId="6DCA7B8B" w14:textId="77777777" w:rsidR="00241417" w:rsidRDefault="00241417" w:rsidP="003A71DE">
            <w:pPr>
              <w:pStyle w:val="TAH"/>
              <w:rPr>
                <w:rFonts w:eastAsia="Calibri"/>
                <w:lang w:eastAsia="zh-CN"/>
              </w:rPr>
            </w:pPr>
            <w:r>
              <w:t>M-FR1-A.3.5-4</w:t>
            </w:r>
          </w:p>
        </w:tc>
      </w:tr>
      <w:tr w:rsidR="00241417" w14:paraId="0CC55260"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6EC4FD9A" w14:textId="77777777" w:rsidR="00241417" w:rsidRPr="002F1EB5" w:rsidRDefault="00241417" w:rsidP="003A71DE">
            <w:pPr>
              <w:pStyle w:val="TAC"/>
              <w:rPr>
                <w:rFonts w:eastAsia="SimSun"/>
                <w:lang w:eastAsia="zh-CN"/>
              </w:rPr>
            </w:pPr>
            <w:r w:rsidRPr="00766BC2">
              <w:t>Number of allocated PDSCH resource blocks</w:t>
            </w:r>
          </w:p>
        </w:tc>
        <w:tc>
          <w:tcPr>
            <w:tcW w:w="0" w:type="auto"/>
            <w:tcBorders>
              <w:top w:val="single" w:sz="4" w:space="0" w:color="auto"/>
              <w:left w:val="single" w:sz="4" w:space="0" w:color="auto"/>
              <w:bottom w:val="single" w:sz="4" w:space="0" w:color="auto"/>
              <w:right w:val="single" w:sz="4" w:space="0" w:color="auto"/>
            </w:tcBorders>
            <w:vAlign w:val="center"/>
          </w:tcPr>
          <w:p w14:paraId="1641E5B3" w14:textId="77777777" w:rsidR="00241417" w:rsidRDefault="00241417" w:rsidP="003A71DE">
            <w:pPr>
              <w:pStyle w:val="TAC"/>
              <w:rPr>
                <w:lang w:eastAsia="zh-CN"/>
              </w:rPr>
            </w:pPr>
            <w:r>
              <w:rPr>
                <w:lang w:eastAsia="zh-CN"/>
              </w:rPr>
              <w:t>106</w:t>
            </w:r>
          </w:p>
        </w:tc>
        <w:tc>
          <w:tcPr>
            <w:tcW w:w="0" w:type="auto"/>
            <w:tcBorders>
              <w:top w:val="single" w:sz="4" w:space="0" w:color="auto"/>
              <w:left w:val="single" w:sz="4" w:space="0" w:color="auto"/>
              <w:bottom w:val="single" w:sz="4" w:space="0" w:color="auto"/>
              <w:right w:val="single" w:sz="4" w:space="0" w:color="auto"/>
            </w:tcBorders>
            <w:vAlign w:val="center"/>
          </w:tcPr>
          <w:p w14:paraId="7915B51A" w14:textId="77777777" w:rsidR="00241417" w:rsidRDefault="00241417" w:rsidP="003A71DE">
            <w:pPr>
              <w:pStyle w:val="TAC"/>
              <w:rPr>
                <w:lang w:eastAsia="zh-CN"/>
              </w:rPr>
            </w:pPr>
            <w:r>
              <w:rPr>
                <w:lang w:eastAsia="zh-CN"/>
              </w:rPr>
              <w:t>106</w:t>
            </w:r>
          </w:p>
        </w:tc>
        <w:tc>
          <w:tcPr>
            <w:tcW w:w="0" w:type="auto"/>
            <w:tcBorders>
              <w:top w:val="single" w:sz="4" w:space="0" w:color="auto"/>
              <w:left w:val="single" w:sz="4" w:space="0" w:color="auto"/>
              <w:bottom w:val="single" w:sz="4" w:space="0" w:color="auto"/>
              <w:right w:val="single" w:sz="4" w:space="0" w:color="auto"/>
            </w:tcBorders>
            <w:vAlign w:val="center"/>
          </w:tcPr>
          <w:p w14:paraId="50D1A5AC" w14:textId="77777777" w:rsidR="00241417" w:rsidRDefault="00241417" w:rsidP="003A71DE">
            <w:pPr>
              <w:pStyle w:val="TAC"/>
              <w:rPr>
                <w:lang w:eastAsia="zh-CN"/>
              </w:rPr>
            </w:pPr>
            <w:r>
              <w:rPr>
                <w:lang w:eastAsia="zh-CN"/>
              </w:rPr>
              <w:t>106</w:t>
            </w:r>
          </w:p>
        </w:tc>
        <w:tc>
          <w:tcPr>
            <w:tcW w:w="0" w:type="auto"/>
            <w:tcBorders>
              <w:top w:val="single" w:sz="4" w:space="0" w:color="auto"/>
              <w:left w:val="single" w:sz="4" w:space="0" w:color="auto"/>
              <w:bottom w:val="single" w:sz="4" w:space="0" w:color="auto"/>
              <w:right w:val="single" w:sz="4" w:space="0" w:color="auto"/>
            </w:tcBorders>
            <w:vAlign w:val="center"/>
          </w:tcPr>
          <w:p w14:paraId="15CDA1CF" w14:textId="77777777" w:rsidR="00241417" w:rsidRDefault="00241417" w:rsidP="003A71DE">
            <w:pPr>
              <w:pStyle w:val="TAC"/>
              <w:rPr>
                <w:lang w:eastAsia="zh-CN"/>
              </w:rPr>
            </w:pPr>
            <w:r>
              <w:rPr>
                <w:lang w:eastAsia="zh-CN"/>
              </w:rPr>
              <w:t>106</w:t>
            </w:r>
          </w:p>
        </w:tc>
      </w:tr>
      <w:tr w:rsidR="00241417" w14:paraId="09A4110B"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08F5EDFE" w14:textId="77777777" w:rsidR="00241417" w:rsidRDefault="00241417" w:rsidP="003A71DE">
            <w:pPr>
              <w:pStyle w:val="TAC"/>
              <w:rPr>
                <w:rFonts w:eastAsia="SimSun"/>
                <w:lang w:eastAsia="zh-CN"/>
              </w:rPr>
            </w:pPr>
            <w:r>
              <w:t>Number of consecutive PDSCH symbols</w:t>
            </w:r>
          </w:p>
        </w:tc>
        <w:tc>
          <w:tcPr>
            <w:tcW w:w="0" w:type="auto"/>
            <w:tcBorders>
              <w:top w:val="single" w:sz="4" w:space="0" w:color="auto"/>
              <w:left w:val="single" w:sz="4" w:space="0" w:color="auto"/>
              <w:bottom w:val="single" w:sz="4" w:space="0" w:color="auto"/>
              <w:right w:val="single" w:sz="4" w:space="0" w:color="auto"/>
            </w:tcBorders>
            <w:vAlign w:val="center"/>
          </w:tcPr>
          <w:p w14:paraId="5DB7D6D4" w14:textId="77777777" w:rsidR="00241417" w:rsidRDefault="00241417" w:rsidP="003A71DE">
            <w:pPr>
              <w:pStyle w:val="TAC"/>
              <w:rPr>
                <w:lang w:eastAsia="zh-CN"/>
              </w:rPr>
            </w:pPr>
            <w:r>
              <w:rPr>
                <w:lang w:eastAsia="zh-CN"/>
              </w:rPr>
              <w:t>12</w:t>
            </w:r>
          </w:p>
        </w:tc>
        <w:tc>
          <w:tcPr>
            <w:tcW w:w="0" w:type="auto"/>
            <w:tcBorders>
              <w:top w:val="single" w:sz="4" w:space="0" w:color="auto"/>
              <w:left w:val="single" w:sz="4" w:space="0" w:color="auto"/>
              <w:bottom w:val="single" w:sz="4" w:space="0" w:color="auto"/>
              <w:right w:val="single" w:sz="4" w:space="0" w:color="auto"/>
            </w:tcBorders>
            <w:vAlign w:val="center"/>
          </w:tcPr>
          <w:p w14:paraId="70B96DA3" w14:textId="77777777" w:rsidR="00241417" w:rsidRDefault="00241417" w:rsidP="003A71DE">
            <w:pPr>
              <w:pStyle w:val="TAC"/>
              <w:rPr>
                <w:lang w:eastAsia="zh-CN"/>
              </w:rPr>
            </w:pPr>
            <w:r>
              <w:rPr>
                <w:lang w:eastAsia="zh-CN"/>
              </w:rPr>
              <w:t>12</w:t>
            </w:r>
          </w:p>
        </w:tc>
        <w:tc>
          <w:tcPr>
            <w:tcW w:w="0" w:type="auto"/>
            <w:tcBorders>
              <w:top w:val="single" w:sz="4" w:space="0" w:color="auto"/>
              <w:left w:val="single" w:sz="4" w:space="0" w:color="auto"/>
              <w:bottom w:val="single" w:sz="4" w:space="0" w:color="auto"/>
              <w:right w:val="single" w:sz="4" w:space="0" w:color="auto"/>
            </w:tcBorders>
            <w:vAlign w:val="center"/>
          </w:tcPr>
          <w:p w14:paraId="14AFF244" w14:textId="77777777" w:rsidR="00241417" w:rsidRDefault="00241417" w:rsidP="003A71DE">
            <w:pPr>
              <w:pStyle w:val="TAC"/>
              <w:rPr>
                <w:lang w:eastAsia="zh-CN"/>
              </w:rPr>
            </w:pPr>
            <w:r>
              <w:rPr>
                <w:lang w:eastAsia="zh-CN"/>
              </w:rPr>
              <w:t>12</w:t>
            </w:r>
          </w:p>
        </w:tc>
        <w:tc>
          <w:tcPr>
            <w:tcW w:w="0" w:type="auto"/>
            <w:tcBorders>
              <w:top w:val="single" w:sz="4" w:space="0" w:color="auto"/>
              <w:left w:val="single" w:sz="4" w:space="0" w:color="auto"/>
              <w:bottom w:val="single" w:sz="4" w:space="0" w:color="auto"/>
              <w:right w:val="single" w:sz="4" w:space="0" w:color="auto"/>
            </w:tcBorders>
            <w:vAlign w:val="center"/>
          </w:tcPr>
          <w:p w14:paraId="3CEDCB7B" w14:textId="77777777" w:rsidR="00241417" w:rsidRDefault="00241417" w:rsidP="003A71DE">
            <w:pPr>
              <w:pStyle w:val="TAC"/>
              <w:rPr>
                <w:lang w:eastAsia="zh-CN"/>
              </w:rPr>
            </w:pPr>
            <w:r>
              <w:rPr>
                <w:lang w:eastAsia="zh-CN"/>
              </w:rPr>
              <w:t>12</w:t>
            </w:r>
          </w:p>
        </w:tc>
      </w:tr>
      <w:tr w:rsidR="00241417" w14:paraId="112461D7"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62E80ED" w14:textId="77777777" w:rsidR="00241417" w:rsidRDefault="00241417" w:rsidP="003A71DE">
            <w:pPr>
              <w:pStyle w:val="TAC"/>
              <w:rPr>
                <w:rFonts w:eastAsia="SimSun"/>
                <w:lang w:eastAsia="zh-CN"/>
              </w:rPr>
            </w:pPr>
            <w:r>
              <w:t>Number of PDSCH MIMO layers</w:t>
            </w:r>
          </w:p>
        </w:tc>
        <w:tc>
          <w:tcPr>
            <w:tcW w:w="0" w:type="auto"/>
            <w:tcBorders>
              <w:top w:val="single" w:sz="4" w:space="0" w:color="auto"/>
              <w:left w:val="single" w:sz="4" w:space="0" w:color="auto"/>
              <w:bottom w:val="single" w:sz="4" w:space="0" w:color="auto"/>
              <w:right w:val="single" w:sz="4" w:space="0" w:color="auto"/>
            </w:tcBorders>
            <w:vAlign w:val="center"/>
          </w:tcPr>
          <w:p w14:paraId="7114EB32" w14:textId="77777777" w:rsidR="00241417" w:rsidRDefault="00241417" w:rsidP="003A71DE">
            <w:pPr>
              <w:pStyle w:val="TAC"/>
              <w:rPr>
                <w:lang w:eastAsia="zh-CN"/>
              </w:rPr>
            </w:pPr>
            <w:r>
              <w:rPr>
                <w:lang w:eastAsia="zh-CN"/>
              </w:rPr>
              <w:t>1</w:t>
            </w:r>
          </w:p>
        </w:tc>
        <w:tc>
          <w:tcPr>
            <w:tcW w:w="0" w:type="auto"/>
            <w:tcBorders>
              <w:top w:val="single" w:sz="4" w:space="0" w:color="auto"/>
              <w:left w:val="single" w:sz="4" w:space="0" w:color="auto"/>
              <w:bottom w:val="single" w:sz="4" w:space="0" w:color="auto"/>
              <w:right w:val="single" w:sz="4" w:space="0" w:color="auto"/>
            </w:tcBorders>
            <w:vAlign w:val="center"/>
          </w:tcPr>
          <w:p w14:paraId="4A8FDAF8" w14:textId="77777777" w:rsidR="00241417" w:rsidRDefault="00241417" w:rsidP="003A71DE">
            <w:pPr>
              <w:pStyle w:val="TAC"/>
              <w:rPr>
                <w:lang w:eastAsia="zh-CN"/>
              </w:rPr>
            </w:pPr>
            <w:r>
              <w:rPr>
                <w:lang w:eastAsia="zh-CN"/>
              </w:rPr>
              <w:t>2</w:t>
            </w:r>
          </w:p>
        </w:tc>
        <w:tc>
          <w:tcPr>
            <w:tcW w:w="0" w:type="auto"/>
            <w:tcBorders>
              <w:top w:val="single" w:sz="4" w:space="0" w:color="auto"/>
              <w:left w:val="single" w:sz="4" w:space="0" w:color="auto"/>
              <w:bottom w:val="single" w:sz="4" w:space="0" w:color="auto"/>
              <w:right w:val="single" w:sz="4" w:space="0" w:color="auto"/>
            </w:tcBorders>
            <w:vAlign w:val="center"/>
          </w:tcPr>
          <w:p w14:paraId="0BD0350A" w14:textId="77777777" w:rsidR="00241417" w:rsidRDefault="00241417" w:rsidP="003A71DE">
            <w:pPr>
              <w:pStyle w:val="TAC"/>
              <w:rPr>
                <w:lang w:eastAsia="zh-CN"/>
              </w:rPr>
            </w:pPr>
            <w:r>
              <w:rPr>
                <w:lang w:eastAsia="zh-CN"/>
              </w:rPr>
              <w:t>3</w:t>
            </w:r>
          </w:p>
        </w:tc>
        <w:tc>
          <w:tcPr>
            <w:tcW w:w="0" w:type="auto"/>
            <w:tcBorders>
              <w:top w:val="single" w:sz="4" w:space="0" w:color="auto"/>
              <w:left w:val="single" w:sz="4" w:space="0" w:color="auto"/>
              <w:bottom w:val="single" w:sz="4" w:space="0" w:color="auto"/>
              <w:right w:val="single" w:sz="4" w:space="0" w:color="auto"/>
            </w:tcBorders>
            <w:vAlign w:val="center"/>
          </w:tcPr>
          <w:p w14:paraId="4D8F650C" w14:textId="77777777" w:rsidR="00241417" w:rsidRDefault="00241417" w:rsidP="003A71DE">
            <w:pPr>
              <w:pStyle w:val="TAC"/>
              <w:rPr>
                <w:lang w:eastAsia="zh-CN"/>
              </w:rPr>
            </w:pPr>
            <w:r>
              <w:rPr>
                <w:lang w:eastAsia="zh-CN"/>
              </w:rPr>
              <w:t>4</w:t>
            </w:r>
          </w:p>
        </w:tc>
      </w:tr>
      <w:tr w:rsidR="00241417" w14:paraId="163A9229"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BCA3ED6" w14:textId="77777777" w:rsidR="00241417" w:rsidRDefault="00241417" w:rsidP="003A71DE">
            <w:pPr>
              <w:pStyle w:val="TAC"/>
              <w:rPr>
                <w:rFonts w:eastAsia="SimSun"/>
                <w:lang w:eastAsia="zh-CN"/>
              </w:rPr>
            </w:pPr>
            <w:r>
              <w:t xml:space="preserve">Number of DMRS </w:t>
            </w:r>
            <w:r>
              <w:rPr>
                <w:lang w:eastAsia="zh-CN"/>
              </w:rPr>
              <w:t>REs</w:t>
            </w:r>
            <w:r>
              <w:t xml:space="preserve"> (Note 1)</w:t>
            </w:r>
          </w:p>
        </w:tc>
        <w:tc>
          <w:tcPr>
            <w:tcW w:w="0" w:type="auto"/>
            <w:tcBorders>
              <w:top w:val="single" w:sz="4" w:space="0" w:color="auto"/>
              <w:left w:val="single" w:sz="4" w:space="0" w:color="auto"/>
              <w:bottom w:val="single" w:sz="4" w:space="0" w:color="auto"/>
              <w:right w:val="single" w:sz="4" w:space="0" w:color="auto"/>
            </w:tcBorders>
            <w:vAlign w:val="center"/>
          </w:tcPr>
          <w:p w14:paraId="58D96764" w14:textId="77777777" w:rsidR="00241417" w:rsidRDefault="00241417" w:rsidP="003A71DE">
            <w:pPr>
              <w:pStyle w:val="TAC"/>
              <w:rPr>
                <w:lang w:eastAsia="zh-CN"/>
              </w:rPr>
            </w:pPr>
            <w:r>
              <w:rPr>
                <w:lang w:eastAsia="zh-CN"/>
              </w:rPr>
              <w:t>24</w:t>
            </w:r>
          </w:p>
        </w:tc>
        <w:tc>
          <w:tcPr>
            <w:tcW w:w="0" w:type="auto"/>
            <w:tcBorders>
              <w:top w:val="single" w:sz="4" w:space="0" w:color="auto"/>
              <w:left w:val="single" w:sz="4" w:space="0" w:color="auto"/>
              <w:bottom w:val="single" w:sz="4" w:space="0" w:color="auto"/>
              <w:right w:val="single" w:sz="4" w:space="0" w:color="auto"/>
            </w:tcBorders>
            <w:vAlign w:val="center"/>
          </w:tcPr>
          <w:p w14:paraId="27604464" w14:textId="77777777" w:rsidR="00241417" w:rsidRDefault="00241417" w:rsidP="003A71DE">
            <w:pPr>
              <w:pStyle w:val="TAC"/>
              <w:rPr>
                <w:lang w:eastAsia="zh-CN"/>
              </w:rPr>
            </w:pPr>
            <w:r>
              <w:rPr>
                <w:lang w:eastAsia="zh-CN"/>
              </w:rPr>
              <w:t>24</w:t>
            </w:r>
          </w:p>
        </w:tc>
        <w:tc>
          <w:tcPr>
            <w:tcW w:w="0" w:type="auto"/>
            <w:tcBorders>
              <w:top w:val="single" w:sz="4" w:space="0" w:color="auto"/>
              <w:left w:val="single" w:sz="4" w:space="0" w:color="auto"/>
              <w:bottom w:val="single" w:sz="4" w:space="0" w:color="auto"/>
              <w:right w:val="single" w:sz="4" w:space="0" w:color="auto"/>
            </w:tcBorders>
            <w:vAlign w:val="center"/>
          </w:tcPr>
          <w:p w14:paraId="332C7ABC" w14:textId="77777777" w:rsidR="00241417" w:rsidRDefault="00241417" w:rsidP="003A71DE">
            <w:pPr>
              <w:pStyle w:val="TAC"/>
              <w:rPr>
                <w:lang w:eastAsia="zh-CN"/>
              </w:rPr>
            </w:pPr>
            <w:r>
              <w:rPr>
                <w:lang w:eastAsia="zh-CN"/>
              </w:rPr>
              <w:t>24</w:t>
            </w:r>
          </w:p>
        </w:tc>
        <w:tc>
          <w:tcPr>
            <w:tcW w:w="0" w:type="auto"/>
            <w:tcBorders>
              <w:top w:val="single" w:sz="4" w:space="0" w:color="auto"/>
              <w:left w:val="single" w:sz="4" w:space="0" w:color="auto"/>
              <w:bottom w:val="single" w:sz="4" w:space="0" w:color="auto"/>
              <w:right w:val="single" w:sz="4" w:space="0" w:color="auto"/>
            </w:tcBorders>
            <w:vAlign w:val="center"/>
          </w:tcPr>
          <w:p w14:paraId="4C6D3FEF" w14:textId="77777777" w:rsidR="00241417" w:rsidRDefault="00241417" w:rsidP="003A71DE">
            <w:pPr>
              <w:pStyle w:val="TAC"/>
              <w:rPr>
                <w:lang w:eastAsia="zh-CN"/>
              </w:rPr>
            </w:pPr>
            <w:r>
              <w:rPr>
                <w:lang w:eastAsia="zh-CN"/>
              </w:rPr>
              <w:t>24</w:t>
            </w:r>
          </w:p>
        </w:tc>
      </w:tr>
      <w:tr w:rsidR="00241417" w14:paraId="54D4071D"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6005FCAB" w14:textId="77777777" w:rsidR="00241417" w:rsidRDefault="00241417" w:rsidP="003A71DE">
            <w:pPr>
              <w:pStyle w:val="TAC"/>
              <w:rPr>
                <w:rFonts w:eastAsia="SimSun"/>
                <w:lang w:eastAsia="zh-CN"/>
              </w:rPr>
            </w:pPr>
            <w:r>
              <w:t>Overhead for TBS determination</w:t>
            </w:r>
          </w:p>
        </w:tc>
        <w:tc>
          <w:tcPr>
            <w:tcW w:w="0" w:type="auto"/>
            <w:tcBorders>
              <w:top w:val="single" w:sz="4" w:space="0" w:color="auto"/>
              <w:left w:val="single" w:sz="4" w:space="0" w:color="auto"/>
              <w:bottom w:val="single" w:sz="4" w:space="0" w:color="auto"/>
              <w:right w:val="single" w:sz="4" w:space="0" w:color="auto"/>
            </w:tcBorders>
            <w:vAlign w:val="center"/>
          </w:tcPr>
          <w:p w14:paraId="60BB1ACA"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04FF9C17"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5D13D6A0"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5D1DA1C6" w14:textId="77777777" w:rsidR="00241417" w:rsidRDefault="00241417" w:rsidP="003A71DE">
            <w:pPr>
              <w:pStyle w:val="TAC"/>
              <w:rPr>
                <w:lang w:eastAsia="zh-CN"/>
              </w:rPr>
            </w:pPr>
            <w:r>
              <w:rPr>
                <w:lang w:eastAsia="zh-CN"/>
              </w:rPr>
              <w:t>0</w:t>
            </w:r>
          </w:p>
        </w:tc>
      </w:tr>
      <w:tr w:rsidR="00241417" w14:paraId="05D3E672"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6521C9BC" w14:textId="77777777" w:rsidR="00241417" w:rsidRDefault="00241417" w:rsidP="003A71DE">
            <w:pPr>
              <w:pStyle w:val="TAC"/>
              <w:rPr>
                <w:rFonts w:eastAsia="SimSun"/>
                <w:lang w:eastAsia="zh-CN"/>
              </w:rPr>
            </w:pPr>
            <w:r>
              <w:rPr>
                <w:lang w:eastAsia="zh-CN"/>
              </w:rPr>
              <w:t>Available RE-s for PDSCH</w:t>
            </w:r>
          </w:p>
        </w:tc>
        <w:tc>
          <w:tcPr>
            <w:tcW w:w="0" w:type="auto"/>
            <w:tcBorders>
              <w:top w:val="single" w:sz="4" w:space="0" w:color="auto"/>
              <w:left w:val="single" w:sz="4" w:space="0" w:color="auto"/>
              <w:bottom w:val="single" w:sz="4" w:space="0" w:color="auto"/>
              <w:right w:val="single" w:sz="4" w:space="0" w:color="auto"/>
            </w:tcBorders>
            <w:vAlign w:val="center"/>
          </w:tcPr>
          <w:p w14:paraId="5C452835" w14:textId="77777777" w:rsidR="00241417" w:rsidRDefault="00241417" w:rsidP="003A71DE">
            <w:pPr>
              <w:pStyle w:val="TAC"/>
              <w:rPr>
                <w:lang w:eastAsia="zh-CN"/>
              </w:rPr>
            </w:pPr>
            <w:r>
              <w:rPr>
                <w:lang w:eastAsia="zh-CN"/>
              </w:rPr>
              <w:t>12720</w:t>
            </w:r>
          </w:p>
        </w:tc>
        <w:tc>
          <w:tcPr>
            <w:tcW w:w="0" w:type="auto"/>
            <w:tcBorders>
              <w:top w:val="single" w:sz="4" w:space="0" w:color="auto"/>
              <w:left w:val="single" w:sz="4" w:space="0" w:color="auto"/>
              <w:bottom w:val="single" w:sz="4" w:space="0" w:color="auto"/>
              <w:right w:val="single" w:sz="4" w:space="0" w:color="auto"/>
            </w:tcBorders>
            <w:vAlign w:val="center"/>
          </w:tcPr>
          <w:p w14:paraId="64245D35" w14:textId="77777777" w:rsidR="00241417" w:rsidRDefault="00241417" w:rsidP="003A71DE">
            <w:pPr>
              <w:pStyle w:val="TAC"/>
              <w:rPr>
                <w:lang w:eastAsia="zh-CN"/>
              </w:rPr>
            </w:pPr>
            <w:r>
              <w:rPr>
                <w:lang w:eastAsia="zh-CN"/>
              </w:rPr>
              <w:t>12720</w:t>
            </w:r>
          </w:p>
        </w:tc>
        <w:tc>
          <w:tcPr>
            <w:tcW w:w="0" w:type="auto"/>
            <w:tcBorders>
              <w:top w:val="single" w:sz="4" w:space="0" w:color="auto"/>
              <w:left w:val="single" w:sz="4" w:space="0" w:color="auto"/>
              <w:bottom w:val="single" w:sz="4" w:space="0" w:color="auto"/>
              <w:right w:val="single" w:sz="4" w:space="0" w:color="auto"/>
            </w:tcBorders>
            <w:vAlign w:val="center"/>
          </w:tcPr>
          <w:p w14:paraId="62189FEE" w14:textId="77777777" w:rsidR="00241417" w:rsidRDefault="00241417" w:rsidP="003A71DE">
            <w:pPr>
              <w:pStyle w:val="TAC"/>
              <w:rPr>
                <w:lang w:eastAsia="zh-CN"/>
              </w:rPr>
            </w:pPr>
            <w:r>
              <w:rPr>
                <w:lang w:eastAsia="zh-CN"/>
              </w:rPr>
              <w:t>12720</w:t>
            </w:r>
          </w:p>
        </w:tc>
        <w:tc>
          <w:tcPr>
            <w:tcW w:w="0" w:type="auto"/>
            <w:tcBorders>
              <w:top w:val="single" w:sz="4" w:space="0" w:color="auto"/>
              <w:left w:val="single" w:sz="4" w:space="0" w:color="auto"/>
              <w:bottom w:val="single" w:sz="4" w:space="0" w:color="auto"/>
              <w:right w:val="single" w:sz="4" w:space="0" w:color="auto"/>
            </w:tcBorders>
            <w:vAlign w:val="center"/>
          </w:tcPr>
          <w:p w14:paraId="65BC59F5" w14:textId="77777777" w:rsidR="00241417" w:rsidRDefault="00241417" w:rsidP="003A71DE">
            <w:pPr>
              <w:pStyle w:val="TAC"/>
              <w:rPr>
                <w:lang w:eastAsia="zh-CN"/>
              </w:rPr>
            </w:pPr>
            <w:r>
              <w:rPr>
                <w:lang w:eastAsia="zh-CN"/>
              </w:rPr>
              <w:t>12720</w:t>
            </w:r>
          </w:p>
        </w:tc>
      </w:tr>
      <w:tr w:rsidR="00241417" w14:paraId="4C49E2BE"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D3C601C" w14:textId="77777777" w:rsidR="00241417" w:rsidRDefault="00241417" w:rsidP="003A71DE">
            <w:pPr>
              <w:pStyle w:val="TAC"/>
              <w:rPr>
                <w:lang w:eastAsia="zh-CN"/>
              </w:rPr>
            </w:pPr>
            <w:r>
              <w:rPr>
                <w:lang w:eastAsia="zh-CN"/>
              </w:rPr>
              <w:t>CQI index</w:t>
            </w:r>
          </w:p>
        </w:tc>
        <w:tc>
          <w:tcPr>
            <w:tcW w:w="0" w:type="auto"/>
            <w:tcBorders>
              <w:top w:val="single" w:sz="4" w:space="0" w:color="auto"/>
              <w:left w:val="single" w:sz="4" w:space="0" w:color="auto"/>
              <w:bottom w:val="single" w:sz="4" w:space="0" w:color="auto"/>
              <w:right w:val="single" w:sz="4" w:space="0" w:color="auto"/>
            </w:tcBorders>
            <w:vAlign w:val="center"/>
            <w:hideMark/>
          </w:tcPr>
          <w:p w14:paraId="003FCA99" w14:textId="77777777" w:rsidR="00241417" w:rsidRDefault="00241417" w:rsidP="003A71DE">
            <w:pPr>
              <w:pStyle w:val="TAC"/>
              <w:rPr>
                <w:lang w:eastAsia="zh-CN"/>
              </w:rPr>
            </w:pPr>
            <w:r>
              <w:rPr>
                <w:lang w:eastAsia="zh-CN"/>
              </w:rPr>
              <w:t>Spectral efficiency</w:t>
            </w:r>
          </w:p>
        </w:tc>
        <w:tc>
          <w:tcPr>
            <w:tcW w:w="0" w:type="auto"/>
            <w:tcBorders>
              <w:top w:val="single" w:sz="4" w:space="0" w:color="auto"/>
              <w:left w:val="single" w:sz="4" w:space="0" w:color="auto"/>
              <w:bottom w:val="single" w:sz="4" w:space="0" w:color="auto"/>
              <w:right w:val="single" w:sz="4" w:space="0" w:color="auto"/>
            </w:tcBorders>
            <w:vAlign w:val="center"/>
            <w:hideMark/>
          </w:tcPr>
          <w:p w14:paraId="2A4BFA71" w14:textId="77777777" w:rsidR="00241417" w:rsidRDefault="00241417" w:rsidP="003A71DE">
            <w:pPr>
              <w:pStyle w:val="TAC"/>
              <w:rPr>
                <w:lang w:eastAsia="zh-CN"/>
              </w:rPr>
            </w:pPr>
            <w:r>
              <w:rPr>
                <w:lang w:eastAsia="zh-CN"/>
              </w:rPr>
              <w:t>MCS index</w:t>
            </w:r>
          </w:p>
        </w:tc>
        <w:tc>
          <w:tcPr>
            <w:tcW w:w="0" w:type="auto"/>
            <w:tcBorders>
              <w:top w:val="single" w:sz="4" w:space="0" w:color="auto"/>
              <w:left w:val="single" w:sz="4" w:space="0" w:color="auto"/>
              <w:bottom w:val="single" w:sz="4" w:space="0" w:color="auto"/>
              <w:right w:val="single" w:sz="4" w:space="0" w:color="auto"/>
            </w:tcBorders>
            <w:vAlign w:val="center"/>
            <w:hideMark/>
          </w:tcPr>
          <w:p w14:paraId="3FD396FF" w14:textId="77777777" w:rsidR="00241417" w:rsidRDefault="00241417" w:rsidP="003A71DE">
            <w:pPr>
              <w:pStyle w:val="TAC"/>
            </w:pPr>
            <w:r>
              <w:t>Modulation</w:t>
            </w: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354839D" w14:textId="77777777" w:rsidR="00241417" w:rsidRDefault="00241417" w:rsidP="003A71DE">
            <w:pPr>
              <w:pStyle w:val="TAC"/>
            </w:pPr>
            <w:r>
              <w:t>Information Bit Payload per Slot</w:t>
            </w:r>
          </w:p>
        </w:tc>
      </w:tr>
      <w:tr w:rsidR="00241417" w14:paraId="47EFDEBA"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98C8284"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2E77E695" w14:textId="77777777" w:rsidR="00241417" w:rsidRDefault="00241417" w:rsidP="003A71DE">
            <w:pPr>
              <w:pStyle w:val="TAC"/>
              <w:rPr>
                <w:lang w:eastAsia="zh-CN"/>
              </w:rPr>
            </w:pPr>
            <w:r>
              <w:rPr>
                <w:lang w:eastAsia="zh-CN"/>
              </w:rPr>
              <w:t>OOR</w:t>
            </w:r>
          </w:p>
        </w:tc>
        <w:tc>
          <w:tcPr>
            <w:tcW w:w="0" w:type="auto"/>
            <w:tcBorders>
              <w:top w:val="single" w:sz="4" w:space="0" w:color="auto"/>
              <w:left w:val="single" w:sz="4" w:space="0" w:color="auto"/>
              <w:bottom w:val="single" w:sz="4" w:space="0" w:color="auto"/>
              <w:right w:val="single" w:sz="4" w:space="0" w:color="auto"/>
            </w:tcBorders>
            <w:vAlign w:val="center"/>
            <w:hideMark/>
          </w:tcPr>
          <w:p w14:paraId="48D5B9CB" w14:textId="77777777" w:rsidR="00241417" w:rsidRDefault="00241417" w:rsidP="003A71DE">
            <w:pPr>
              <w:pStyle w:val="TAC"/>
              <w:rPr>
                <w:lang w:eastAsia="zh-CN"/>
              </w:rPr>
            </w:pPr>
            <w:r>
              <w:rPr>
                <w:lang w:eastAsia="zh-CN"/>
              </w:rPr>
              <w:t>OOR</w:t>
            </w:r>
          </w:p>
        </w:tc>
        <w:tc>
          <w:tcPr>
            <w:tcW w:w="0" w:type="auto"/>
            <w:tcBorders>
              <w:top w:val="single" w:sz="4" w:space="0" w:color="auto"/>
              <w:left w:val="single" w:sz="4" w:space="0" w:color="auto"/>
              <w:bottom w:val="single" w:sz="4" w:space="0" w:color="auto"/>
              <w:right w:val="single" w:sz="4" w:space="0" w:color="auto"/>
            </w:tcBorders>
            <w:vAlign w:val="center"/>
            <w:hideMark/>
          </w:tcPr>
          <w:p w14:paraId="4A458E84" w14:textId="77777777" w:rsidR="00241417" w:rsidRDefault="00241417" w:rsidP="003A71DE">
            <w:pPr>
              <w:pStyle w:val="TAC"/>
              <w:rPr>
                <w:lang w:eastAsia="zh-CN"/>
              </w:rPr>
            </w:pPr>
            <w:r>
              <w:rPr>
                <w:lang w:eastAsia="zh-CN"/>
              </w:rPr>
              <w:t>OOR</w:t>
            </w:r>
          </w:p>
        </w:tc>
        <w:tc>
          <w:tcPr>
            <w:tcW w:w="0" w:type="auto"/>
            <w:tcBorders>
              <w:top w:val="single" w:sz="4" w:space="0" w:color="auto"/>
              <w:left w:val="single" w:sz="4" w:space="0" w:color="auto"/>
              <w:bottom w:val="single" w:sz="4" w:space="0" w:color="auto"/>
              <w:right w:val="single" w:sz="4" w:space="0" w:color="auto"/>
            </w:tcBorders>
            <w:vAlign w:val="center"/>
          </w:tcPr>
          <w:p w14:paraId="69793BC3" w14:textId="77777777" w:rsidR="00241417" w:rsidRDefault="00241417" w:rsidP="003A71DE">
            <w:pPr>
              <w:pStyle w:val="TAC"/>
              <w:rPr>
                <w:lang w:eastAsia="zh-CN"/>
              </w:rPr>
            </w:pPr>
            <w:r>
              <w:rPr>
                <w:lang w:eastAsia="zh-CN"/>
              </w:rPr>
              <w:t>N/A</w:t>
            </w:r>
          </w:p>
        </w:tc>
        <w:tc>
          <w:tcPr>
            <w:tcW w:w="0" w:type="auto"/>
            <w:tcBorders>
              <w:top w:val="single" w:sz="4" w:space="0" w:color="auto"/>
              <w:left w:val="single" w:sz="4" w:space="0" w:color="auto"/>
              <w:bottom w:val="single" w:sz="4" w:space="0" w:color="auto"/>
              <w:right w:val="single" w:sz="4" w:space="0" w:color="auto"/>
            </w:tcBorders>
            <w:vAlign w:val="center"/>
          </w:tcPr>
          <w:p w14:paraId="6AF69190" w14:textId="77777777" w:rsidR="00241417" w:rsidRDefault="00241417" w:rsidP="003A71DE">
            <w:pPr>
              <w:pStyle w:val="TAC"/>
              <w:rPr>
                <w:lang w:eastAsia="zh-CN"/>
              </w:rPr>
            </w:pPr>
            <w:r>
              <w:rPr>
                <w:lang w:eastAsia="zh-CN"/>
              </w:rPr>
              <w:t>N/A</w:t>
            </w:r>
          </w:p>
        </w:tc>
        <w:tc>
          <w:tcPr>
            <w:tcW w:w="0" w:type="auto"/>
            <w:tcBorders>
              <w:top w:val="single" w:sz="4" w:space="0" w:color="auto"/>
              <w:left w:val="single" w:sz="4" w:space="0" w:color="auto"/>
              <w:bottom w:val="single" w:sz="4" w:space="0" w:color="auto"/>
              <w:right w:val="single" w:sz="4" w:space="0" w:color="auto"/>
            </w:tcBorders>
            <w:vAlign w:val="center"/>
          </w:tcPr>
          <w:p w14:paraId="103B2678" w14:textId="77777777" w:rsidR="00241417" w:rsidRDefault="00241417" w:rsidP="003A71DE">
            <w:pPr>
              <w:pStyle w:val="TAC"/>
              <w:rPr>
                <w:lang w:eastAsia="zh-CN"/>
              </w:rPr>
            </w:pPr>
            <w:r>
              <w:rPr>
                <w:lang w:eastAsia="zh-CN"/>
              </w:rPr>
              <w:t>N/A</w:t>
            </w:r>
          </w:p>
        </w:tc>
        <w:tc>
          <w:tcPr>
            <w:tcW w:w="0" w:type="auto"/>
            <w:tcBorders>
              <w:top w:val="single" w:sz="4" w:space="0" w:color="auto"/>
              <w:left w:val="single" w:sz="4" w:space="0" w:color="auto"/>
              <w:bottom w:val="single" w:sz="4" w:space="0" w:color="auto"/>
              <w:right w:val="single" w:sz="4" w:space="0" w:color="auto"/>
            </w:tcBorders>
            <w:vAlign w:val="center"/>
          </w:tcPr>
          <w:p w14:paraId="483F8576" w14:textId="77777777" w:rsidR="00241417" w:rsidRDefault="00241417" w:rsidP="003A71DE">
            <w:pPr>
              <w:pStyle w:val="TAC"/>
              <w:rPr>
                <w:lang w:eastAsia="zh-CN"/>
              </w:rPr>
            </w:pPr>
            <w:r>
              <w:rPr>
                <w:lang w:eastAsia="zh-CN"/>
              </w:rPr>
              <w:t>N/A</w:t>
            </w:r>
          </w:p>
        </w:tc>
      </w:tr>
      <w:tr w:rsidR="00241417" w14:paraId="098C9DE9"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8405DC2" w14:textId="77777777" w:rsidR="00241417" w:rsidRDefault="00241417" w:rsidP="003A71DE">
            <w:pPr>
              <w:pStyle w:val="TAC"/>
              <w:rPr>
                <w:lang w:eastAsia="zh-CN"/>
              </w:rPr>
            </w:pPr>
            <w:r>
              <w:rPr>
                <w:lang w:eastAsia="zh-CN"/>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3859D3AA" w14:textId="77777777" w:rsidR="00241417" w:rsidRDefault="00241417" w:rsidP="003A71DE">
            <w:pPr>
              <w:pStyle w:val="TAC"/>
              <w:rPr>
                <w:lang w:eastAsia="zh-CN"/>
              </w:rPr>
            </w:pPr>
            <w:r>
              <w:t xml:space="preserve">0.1523 </w:t>
            </w:r>
          </w:p>
        </w:tc>
        <w:tc>
          <w:tcPr>
            <w:tcW w:w="0" w:type="auto"/>
            <w:tcBorders>
              <w:top w:val="single" w:sz="4" w:space="0" w:color="auto"/>
              <w:left w:val="single" w:sz="4" w:space="0" w:color="auto"/>
              <w:bottom w:val="single" w:sz="4" w:space="0" w:color="auto"/>
              <w:right w:val="single" w:sz="4" w:space="0" w:color="auto"/>
            </w:tcBorders>
            <w:vAlign w:val="center"/>
            <w:hideMark/>
          </w:tcPr>
          <w:p w14:paraId="6919E1B8" w14:textId="77777777" w:rsidR="00241417" w:rsidRDefault="00241417" w:rsidP="003A71DE">
            <w:pPr>
              <w:pStyle w:val="TAC"/>
              <w:rPr>
                <w:lang w:eastAsia="zh-CN"/>
              </w:rPr>
            </w:pPr>
            <w:r>
              <w:rPr>
                <w:lang w:eastAsia="zh-CN"/>
              </w:rPr>
              <w:t>0</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0F53C31" w14:textId="77777777" w:rsidR="00241417" w:rsidRDefault="00241417" w:rsidP="003A71DE">
            <w:pPr>
              <w:pStyle w:val="TAC"/>
              <w:rPr>
                <w:lang w:eastAsia="zh-CN"/>
              </w:rPr>
            </w:pPr>
            <w:r>
              <w:rPr>
                <w:lang w:eastAsia="zh-CN"/>
              </w:rPr>
              <w:t>QPSK</w:t>
            </w:r>
          </w:p>
        </w:tc>
        <w:tc>
          <w:tcPr>
            <w:tcW w:w="0" w:type="auto"/>
            <w:tcBorders>
              <w:top w:val="single" w:sz="4" w:space="0" w:color="auto"/>
              <w:left w:val="single" w:sz="4" w:space="0" w:color="auto"/>
              <w:bottom w:val="single" w:sz="4" w:space="0" w:color="auto"/>
              <w:right w:val="single" w:sz="4" w:space="0" w:color="auto"/>
            </w:tcBorders>
          </w:tcPr>
          <w:p w14:paraId="7B12F04D" w14:textId="77777777" w:rsidR="00241417" w:rsidRDefault="00241417" w:rsidP="003A71DE">
            <w:pPr>
              <w:pStyle w:val="TAC"/>
              <w:rPr>
                <w:lang w:eastAsia="zh-CN"/>
              </w:rPr>
            </w:pPr>
            <w:r>
              <w:t>2976</w:t>
            </w:r>
          </w:p>
        </w:tc>
        <w:tc>
          <w:tcPr>
            <w:tcW w:w="0" w:type="auto"/>
            <w:tcBorders>
              <w:top w:val="single" w:sz="4" w:space="0" w:color="auto"/>
              <w:left w:val="single" w:sz="4" w:space="0" w:color="auto"/>
              <w:bottom w:val="single" w:sz="4" w:space="0" w:color="auto"/>
              <w:right w:val="single" w:sz="4" w:space="0" w:color="auto"/>
            </w:tcBorders>
            <w:vAlign w:val="center"/>
          </w:tcPr>
          <w:p w14:paraId="2099A546" w14:textId="77777777" w:rsidR="00241417" w:rsidRDefault="00241417" w:rsidP="003A71DE">
            <w:pPr>
              <w:pStyle w:val="TAC"/>
            </w:pPr>
            <w:r>
              <w:t>5896</w:t>
            </w:r>
          </w:p>
        </w:tc>
        <w:tc>
          <w:tcPr>
            <w:tcW w:w="0" w:type="auto"/>
            <w:tcBorders>
              <w:top w:val="single" w:sz="4" w:space="0" w:color="auto"/>
              <w:left w:val="single" w:sz="4" w:space="0" w:color="auto"/>
              <w:bottom w:val="single" w:sz="4" w:space="0" w:color="auto"/>
              <w:right w:val="single" w:sz="4" w:space="0" w:color="auto"/>
            </w:tcBorders>
            <w:vAlign w:val="center"/>
          </w:tcPr>
          <w:p w14:paraId="4166261A" w14:textId="77777777" w:rsidR="00241417" w:rsidRDefault="00241417" w:rsidP="003A71DE">
            <w:pPr>
              <w:pStyle w:val="TAC"/>
            </w:pPr>
            <w:r>
              <w:rPr>
                <w:lang w:eastAsia="zh-CN"/>
              </w:rPr>
              <w:t>8976</w:t>
            </w:r>
          </w:p>
        </w:tc>
        <w:tc>
          <w:tcPr>
            <w:tcW w:w="0" w:type="auto"/>
            <w:tcBorders>
              <w:top w:val="single" w:sz="4" w:space="0" w:color="auto"/>
              <w:left w:val="single" w:sz="4" w:space="0" w:color="auto"/>
              <w:bottom w:val="single" w:sz="4" w:space="0" w:color="auto"/>
              <w:right w:val="single" w:sz="4" w:space="0" w:color="auto"/>
            </w:tcBorders>
            <w:vAlign w:val="center"/>
          </w:tcPr>
          <w:p w14:paraId="06D08BB7" w14:textId="77777777" w:rsidR="00241417" w:rsidRDefault="00241417" w:rsidP="003A71DE">
            <w:pPr>
              <w:pStyle w:val="TAC"/>
            </w:pPr>
            <w:r>
              <w:rPr>
                <w:lang w:eastAsia="zh-CN"/>
              </w:rPr>
              <w:t>11784</w:t>
            </w:r>
          </w:p>
        </w:tc>
      </w:tr>
      <w:tr w:rsidR="00241417" w14:paraId="32E39740"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292B07C" w14:textId="77777777" w:rsidR="00241417" w:rsidRDefault="00241417" w:rsidP="003A71DE">
            <w:pPr>
              <w:pStyle w:val="TAC"/>
              <w:rPr>
                <w:lang w:eastAsia="zh-CN"/>
              </w:rPr>
            </w:pPr>
            <w:r>
              <w:rPr>
                <w:lang w:eastAsia="zh-CN"/>
              </w:rPr>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008971C6" w14:textId="77777777" w:rsidR="00241417" w:rsidRDefault="00241417" w:rsidP="003A71DE">
            <w:pPr>
              <w:pStyle w:val="TAC"/>
              <w:rPr>
                <w:lang w:eastAsia="zh-CN"/>
              </w:rPr>
            </w:pPr>
            <w:r>
              <w:t xml:space="preserve">0.3770 </w:t>
            </w:r>
          </w:p>
        </w:tc>
        <w:tc>
          <w:tcPr>
            <w:tcW w:w="0" w:type="auto"/>
            <w:tcBorders>
              <w:top w:val="single" w:sz="4" w:space="0" w:color="auto"/>
              <w:left w:val="single" w:sz="4" w:space="0" w:color="auto"/>
              <w:bottom w:val="single" w:sz="4" w:space="0" w:color="auto"/>
              <w:right w:val="single" w:sz="4" w:space="0" w:color="auto"/>
            </w:tcBorders>
            <w:vAlign w:val="center"/>
            <w:hideMark/>
          </w:tcPr>
          <w:p w14:paraId="33DE5B9F" w14:textId="77777777" w:rsidR="00241417" w:rsidRDefault="00241417" w:rsidP="003A71DE">
            <w:pPr>
              <w:pStyle w:val="TAC"/>
              <w:rPr>
                <w:lang w:eastAsia="zh-CN"/>
              </w:rPr>
            </w:pPr>
            <w:r>
              <w:rPr>
                <w:lang w:eastAsia="zh-CN"/>
              </w:rPr>
              <w:t>1</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6DC06C"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317BD686" w14:textId="77777777" w:rsidR="00241417" w:rsidRDefault="00241417" w:rsidP="003A71DE">
            <w:pPr>
              <w:pStyle w:val="TAC"/>
              <w:rPr>
                <w:lang w:eastAsia="zh-CN"/>
              </w:rPr>
            </w:pPr>
            <w:r>
              <w:t>4744</w:t>
            </w:r>
          </w:p>
        </w:tc>
        <w:tc>
          <w:tcPr>
            <w:tcW w:w="0" w:type="auto"/>
            <w:tcBorders>
              <w:top w:val="single" w:sz="4" w:space="0" w:color="auto"/>
              <w:left w:val="single" w:sz="4" w:space="0" w:color="auto"/>
              <w:bottom w:val="single" w:sz="4" w:space="0" w:color="auto"/>
              <w:right w:val="single" w:sz="4" w:space="0" w:color="auto"/>
            </w:tcBorders>
            <w:vAlign w:val="center"/>
          </w:tcPr>
          <w:p w14:paraId="76E1A878" w14:textId="77777777" w:rsidR="00241417" w:rsidRDefault="00241417" w:rsidP="003A71DE">
            <w:pPr>
              <w:pStyle w:val="TAC"/>
            </w:pPr>
            <w:r>
              <w:t>9480</w:t>
            </w:r>
          </w:p>
        </w:tc>
        <w:tc>
          <w:tcPr>
            <w:tcW w:w="0" w:type="auto"/>
            <w:tcBorders>
              <w:top w:val="single" w:sz="4" w:space="0" w:color="auto"/>
              <w:left w:val="single" w:sz="4" w:space="0" w:color="auto"/>
              <w:bottom w:val="single" w:sz="4" w:space="0" w:color="auto"/>
              <w:right w:val="single" w:sz="4" w:space="0" w:color="auto"/>
            </w:tcBorders>
            <w:vAlign w:val="center"/>
          </w:tcPr>
          <w:p w14:paraId="4A0902F9" w14:textId="77777777" w:rsidR="00241417" w:rsidRDefault="00241417" w:rsidP="003A71DE">
            <w:pPr>
              <w:pStyle w:val="TAC"/>
            </w:pPr>
            <w:r>
              <w:rPr>
                <w:lang w:eastAsia="zh-CN"/>
              </w:rPr>
              <w:t>14344</w:t>
            </w:r>
          </w:p>
        </w:tc>
        <w:tc>
          <w:tcPr>
            <w:tcW w:w="0" w:type="auto"/>
            <w:tcBorders>
              <w:top w:val="single" w:sz="4" w:space="0" w:color="auto"/>
              <w:left w:val="single" w:sz="4" w:space="0" w:color="auto"/>
              <w:bottom w:val="single" w:sz="4" w:space="0" w:color="auto"/>
              <w:right w:val="single" w:sz="4" w:space="0" w:color="auto"/>
            </w:tcBorders>
            <w:vAlign w:val="center"/>
          </w:tcPr>
          <w:p w14:paraId="56C3DC34" w14:textId="77777777" w:rsidR="00241417" w:rsidRDefault="00241417" w:rsidP="003A71DE">
            <w:pPr>
              <w:pStyle w:val="TAC"/>
            </w:pPr>
            <w:r>
              <w:rPr>
                <w:lang w:eastAsia="zh-CN"/>
              </w:rPr>
              <w:t>18976</w:t>
            </w:r>
          </w:p>
        </w:tc>
      </w:tr>
      <w:tr w:rsidR="00241417" w14:paraId="3F72D58C"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02E3C5A" w14:textId="77777777" w:rsidR="00241417" w:rsidRDefault="00241417" w:rsidP="003A71DE">
            <w:pPr>
              <w:pStyle w:val="TAC"/>
              <w:rPr>
                <w:lang w:eastAsia="zh-CN"/>
              </w:rPr>
            </w:pPr>
            <w:r>
              <w:rPr>
                <w:lang w:eastAsia="zh-CN"/>
              </w:rPr>
              <w:t>3</w:t>
            </w:r>
          </w:p>
        </w:tc>
        <w:tc>
          <w:tcPr>
            <w:tcW w:w="0" w:type="auto"/>
            <w:tcBorders>
              <w:top w:val="single" w:sz="4" w:space="0" w:color="auto"/>
              <w:left w:val="single" w:sz="4" w:space="0" w:color="auto"/>
              <w:bottom w:val="single" w:sz="4" w:space="0" w:color="auto"/>
              <w:right w:val="single" w:sz="4" w:space="0" w:color="auto"/>
            </w:tcBorders>
            <w:vAlign w:val="center"/>
            <w:hideMark/>
          </w:tcPr>
          <w:p w14:paraId="68CE3B2F" w14:textId="77777777" w:rsidR="00241417" w:rsidRDefault="00241417" w:rsidP="003A71DE">
            <w:pPr>
              <w:pStyle w:val="TAC"/>
              <w:rPr>
                <w:lang w:eastAsia="zh-CN"/>
              </w:rPr>
            </w:pPr>
            <w:r>
              <w:t xml:space="preserve">0.8770 </w:t>
            </w:r>
          </w:p>
        </w:tc>
        <w:tc>
          <w:tcPr>
            <w:tcW w:w="0" w:type="auto"/>
            <w:tcBorders>
              <w:top w:val="single" w:sz="4" w:space="0" w:color="auto"/>
              <w:left w:val="single" w:sz="4" w:space="0" w:color="auto"/>
              <w:bottom w:val="single" w:sz="4" w:space="0" w:color="auto"/>
              <w:right w:val="single" w:sz="4" w:space="0" w:color="auto"/>
            </w:tcBorders>
            <w:vAlign w:val="center"/>
            <w:hideMark/>
          </w:tcPr>
          <w:p w14:paraId="4AC168E5" w14:textId="77777777" w:rsidR="00241417" w:rsidRDefault="00241417" w:rsidP="003A71DE">
            <w:pPr>
              <w:pStyle w:val="TAC"/>
              <w:rPr>
                <w:lang w:eastAsia="zh-CN"/>
              </w:rPr>
            </w:pPr>
            <w:r>
              <w:rPr>
                <w:lang w:eastAsia="zh-CN"/>
              </w:rPr>
              <w:t>3</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8E1E577"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0D2D02FD" w14:textId="77777777" w:rsidR="00241417" w:rsidRDefault="00241417" w:rsidP="003A71DE">
            <w:pPr>
              <w:pStyle w:val="TAC"/>
              <w:rPr>
                <w:lang w:eastAsia="zh-CN"/>
              </w:rPr>
            </w:pPr>
            <w:r>
              <w:t>11016</w:t>
            </w:r>
          </w:p>
        </w:tc>
        <w:tc>
          <w:tcPr>
            <w:tcW w:w="0" w:type="auto"/>
            <w:tcBorders>
              <w:top w:val="single" w:sz="4" w:space="0" w:color="auto"/>
              <w:left w:val="single" w:sz="4" w:space="0" w:color="auto"/>
              <w:bottom w:val="single" w:sz="4" w:space="0" w:color="auto"/>
              <w:right w:val="single" w:sz="4" w:space="0" w:color="auto"/>
            </w:tcBorders>
            <w:vAlign w:val="center"/>
          </w:tcPr>
          <w:p w14:paraId="12D86806" w14:textId="77777777" w:rsidR="00241417" w:rsidRDefault="00241417" w:rsidP="003A71DE">
            <w:pPr>
              <w:pStyle w:val="TAC"/>
            </w:pPr>
            <w:r>
              <w:t>22536</w:t>
            </w:r>
          </w:p>
        </w:tc>
        <w:tc>
          <w:tcPr>
            <w:tcW w:w="0" w:type="auto"/>
            <w:tcBorders>
              <w:top w:val="single" w:sz="4" w:space="0" w:color="auto"/>
              <w:left w:val="single" w:sz="4" w:space="0" w:color="auto"/>
              <w:bottom w:val="single" w:sz="4" w:space="0" w:color="auto"/>
              <w:right w:val="single" w:sz="4" w:space="0" w:color="auto"/>
            </w:tcBorders>
            <w:vAlign w:val="center"/>
          </w:tcPr>
          <w:p w14:paraId="131B65EE" w14:textId="77777777" w:rsidR="00241417" w:rsidRDefault="00241417" w:rsidP="003A71DE">
            <w:pPr>
              <w:pStyle w:val="TAC"/>
            </w:pPr>
            <w:r>
              <w:rPr>
                <w:lang w:eastAsia="zh-CN"/>
              </w:rPr>
              <w:t>33816</w:t>
            </w:r>
          </w:p>
        </w:tc>
        <w:tc>
          <w:tcPr>
            <w:tcW w:w="0" w:type="auto"/>
            <w:tcBorders>
              <w:top w:val="single" w:sz="4" w:space="0" w:color="auto"/>
              <w:left w:val="single" w:sz="4" w:space="0" w:color="auto"/>
              <w:bottom w:val="single" w:sz="4" w:space="0" w:color="auto"/>
              <w:right w:val="single" w:sz="4" w:space="0" w:color="auto"/>
            </w:tcBorders>
            <w:vAlign w:val="center"/>
          </w:tcPr>
          <w:p w14:paraId="1D221455" w14:textId="77777777" w:rsidR="00241417" w:rsidRDefault="00241417" w:rsidP="003A71DE">
            <w:pPr>
              <w:pStyle w:val="TAC"/>
            </w:pPr>
            <w:r>
              <w:rPr>
                <w:lang w:eastAsia="zh-CN"/>
              </w:rPr>
              <w:t>45096</w:t>
            </w:r>
          </w:p>
        </w:tc>
      </w:tr>
      <w:tr w:rsidR="00241417" w14:paraId="0EDAFB2D"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3773F71" w14:textId="77777777" w:rsidR="00241417" w:rsidRDefault="00241417" w:rsidP="003A71DE">
            <w:pPr>
              <w:pStyle w:val="TAC"/>
              <w:rPr>
                <w:lang w:eastAsia="zh-CN"/>
              </w:rPr>
            </w:pPr>
            <w:r>
              <w:rPr>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00C994E4" w14:textId="77777777" w:rsidR="00241417" w:rsidRDefault="00241417" w:rsidP="003A71DE">
            <w:pPr>
              <w:pStyle w:val="TAC"/>
              <w:rPr>
                <w:lang w:eastAsia="zh-CN"/>
              </w:rPr>
            </w:pPr>
            <w:r>
              <w:t xml:space="preserve">1.4766 </w:t>
            </w:r>
          </w:p>
        </w:tc>
        <w:tc>
          <w:tcPr>
            <w:tcW w:w="0" w:type="auto"/>
            <w:tcBorders>
              <w:top w:val="single" w:sz="4" w:space="0" w:color="auto"/>
              <w:left w:val="single" w:sz="4" w:space="0" w:color="auto"/>
              <w:bottom w:val="single" w:sz="4" w:space="0" w:color="auto"/>
              <w:right w:val="single" w:sz="4" w:space="0" w:color="auto"/>
            </w:tcBorders>
            <w:vAlign w:val="center"/>
            <w:hideMark/>
          </w:tcPr>
          <w:p w14:paraId="5061A334" w14:textId="77777777" w:rsidR="00241417" w:rsidRDefault="00241417" w:rsidP="003A71DE">
            <w:pPr>
              <w:pStyle w:val="TAC"/>
              <w:rPr>
                <w:lang w:eastAsia="zh-CN"/>
              </w:rPr>
            </w:pPr>
            <w:r>
              <w:rPr>
                <w:lang w:eastAsia="zh-CN"/>
              </w:rPr>
              <w:t>5</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CBEDA75" w14:textId="77777777" w:rsidR="00241417" w:rsidRDefault="00241417" w:rsidP="003A71DE">
            <w:pPr>
              <w:pStyle w:val="TAC"/>
              <w:rPr>
                <w:lang w:eastAsia="zh-CN"/>
              </w:rPr>
            </w:pPr>
            <w:r>
              <w:rPr>
                <w:lang w:eastAsia="zh-CN"/>
              </w:rPr>
              <w:t>16QAM</w:t>
            </w:r>
          </w:p>
        </w:tc>
        <w:tc>
          <w:tcPr>
            <w:tcW w:w="0" w:type="auto"/>
            <w:tcBorders>
              <w:top w:val="single" w:sz="4" w:space="0" w:color="auto"/>
              <w:left w:val="single" w:sz="4" w:space="0" w:color="auto"/>
              <w:bottom w:val="single" w:sz="4" w:space="0" w:color="auto"/>
              <w:right w:val="single" w:sz="4" w:space="0" w:color="auto"/>
            </w:tcBorders>
          </w:tcPr>
          <w:p w14:paraId="50CF9444" w14:textId="77777777" w:rsidR="00241417" w:rsidRDefault="00241417" w:rsidP="003A71DE">
            <w:pPr>
              <w:pStyle w:val="TAC"/>
              <w:rPr>
                <w:lang w:eastAsia="zh-CN"/>
              </w:rPr>
            </w:pPr>
            <w:r>
              <w:t>18960</w:t>
            </w:r>
          </w:p>
        </w:tc>
        <w:tc>
          <w:tcPr>
            <w:tcW w:w="0" w:type="auto"/>
            <w:tcBorders>
              <w:top w:val="single" w:sz="4" w:space="0" w:color="auto"/>
              <w:left w:val="single" w:sz="4" w:space="0" w:color="auto"/>
              <w:bottom w:val="single" w:sz="4" w:space="0" w:color="auto"/>
              <w:right w:val="single" w:sz="4" w:space="0" w:color="auto"/>
            </w:tcBorders>
            <w:vAlign w:val="center"/>
          </w:tcPr>
          <w:p w14:paraId="4677E5C5" w14:textId="77777777" w:rsidR="00241417" w:rsidRDefault="00241417" w:rsidP="003A71DE">
            <w:pPr>
              <w:pStyle w:val="TAC"/>
            </w:pPr>
            <w:r>
              <w:t>37896</w:t>
            </w:r>
          </w:p>
        </w:tc>
        <w:tc>
          <w:tcPr>
            <w:tcW w:w="0" w:type="auto"/>
            <w:tcBorders>
              <w:top w:val="single" w:sz="4" w:space="0" w:color="auto"/>
              <w:left w:val="single" w:sz="4" w:space="0" w:color="auto"/>
              <w:bottom w:val="single" w:sz="4" w:space="0" w:color="auto"/>
              <w:right w:val="single" w:sz="4" w:space="0" w:color="auto"/>
            </w:tcBorders>
            <w:vAlign w:val="center"/>
          </w:tcPr>
          <w:p w14:paraId="00B69415" w14:textId="77777777" w:rsidR="00241417" w:rsidRDefault="00241417" w:rsidP="003A71DE">
            <w:pPr>
              <w:pStyle w:val="TAC"/>
            </w:pPr>
            <w:r>
              <w:rPr>
                <w:lang w:eastAsia="zh-CN"/>
              </w:rPr>
              <w:t>56368</w:t>
            </w:r>
          </w:p>
        </w:tc>
        <w:tc>
          <w:tcPr>
            <w:tcW w:w="0" w:type="auto"/>
            <w:tcBorders>
              <w:top w:val="single" w:sz="4" w:space="0" w:color="auto"/>
              <w:left w:val="single" w:sz="4" w:space="0" w:color="auto"/>
              <w:bottom w:val="single" w:sz="4" w:space="0" w:color="auto"/>
              <w:right w:val="single" w:sz="4" w:space="0" w:color="auto"/>
            </w:tcBorders>
            <w:vAlign w:val="center"/>
          </w:tcPr>
          <w:p w14:paraId="775B911D" w14:textId="77777777" w:rsidR="00241417" w:rsidRDefault="00241417" w:rsidP="003A71DE">
            <w:pPr>
              <w:pStyle w:val="TAC"/>
            </w:pPr>
            <w:r>
              <w:rPr>
                <w:lang w:eastAsia="zh-CN"/>
              </w:rPr>
              <w:t>75792</w:t>
            </w:r>
          </w:p>
        </w:tc>
      </w:tr>
      <w:tr w:rsidR="00241417" w14:paraId="45129DF6"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1E2B31C" w14:textId="77777777" w:rsidR="00241417" w:rsidRDefault="00241417" w:rsidP="003A71DE">
            <w:pPr>
              <w:pStyle w:val="TAC"/>
              <w:rPr>
                <w:lang w:eastAsia="zh-CN"/>
              </w:rPr>
            </w:pPr>
            <w:r>
              <w:rPr>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70FDF0C4" w14:textId="77777777" w:rsidR="00241417" w:rsidRDefault="00241417" w:rsidP="003A71DE">
            <w:pPr>
              <w:pStyle w:val="TAC"/>
              <w:rPr>
                <w:lang w:eastAsia="zh-CN"/>
              </w:rPr>
            </w:pPr>
            <w:r>
              <w:t xml:space="preserve">1.9141 </w:t>
            </w:r>
          </w:p>
        </w:tc>
        <w:tc>
          <w:tcPr>
            <w:tcW w:w="0" w:type="auto"/>
            <w:tcBorders>
              <w:top w:val="single" w:sz="4" w:space="0" w:color="auto"/>
              <w:left w:val="single" w:sz="4" w:space="0" w:color="auto"/>
              <w:bottom w:val="single" w:sz="4" w:space="0" w:color="auto"/>
              <w:right w:val="single" w:sz="4" w:space="0" w:color="auto"/>
            </w:tcBorders>
            <w:vAlign w:val="center"/>
            <w:hideMark/>
          </w:tcPr>
          <w:p w14:paraId="590A86DD" w14:textId="77777777" w:rsidR="00241417" w:rsidRDefault="00241417" w:rsidP="003A71DE">
            <w:pPr>
              <w:pStyle w:val="TAC"/>
              <w:rPr>
                <w:lang w:eastAsia="zh-CN"/>
              </w:rPr>
            </w:pPr>
            <w:r>
              <w:rPr>
                <w:lang w:eastAsia="zh-CN"/>
              </w:rPr>
              <w:t>7</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3E4C034"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79AE3E4A" w14:textId="77777777" w:rsidR="00241417" w:rsidRDefault="00241417" w:rsidP="003A71DE">
            <w:pPr>
              <w:pStyle w:val="TAC"/>
              <w:rPr>
                <w:lang w:eastAsia="zh-CN"/>
              </w:rPr>
            </w:pPr>
            <w:r>
              <w:t>24576</w:t>
            </w:r>
          </w:p>
        </w:tc>
        <w:tc>
          <w:tcPr>
            <w:tcW w:w="0" w:type="auto"/>
            <w:tcBorders>
              <w:top w:val="single" w:sz="4" w:space="0" w:color="auto"/>
              <w:left w:val="single" w:sz="4" w:space="0" w:color="auto"/>
              <w:bottom w:val="single" w:sz="4" w:space="0" w:color="auto"/>
              <w:right w:val="single" w:sz="4" w:space="0" w:color="auto"/>
            </w:tcBorders>
            <w:vAlign w:val="center"/>
          </w:tcPr>
          <w:p w14:paraId="2C988DF3" w14:textId="77777777" w:rsidR="00241417" w:rsidRDefault="00241417" w:rsidP="003A71DE">
            <w:pPr>
              <w:pStyle w:val="TAC"/>
            </w:pPr>
            <w:r>
              <w:t>49176</w:t>
            </w:r>
          </w:p>
        </w:tc>
        <w:tc>
          <w:tcPr>
            <w:tcW w:w="0" w:type="auto"/>
            <w:tcBorders>
              <w:top w:val="single" w:sz="4" w:space="0" w:color="auto"/>
              <w:left w:val="single" w:sz="4" w:space="0" w:color="auto"/>
              <w:bottom w:val="single" w:sz="4" w:space="0" w:color="auto"/>
              <w:right w:val="single" w:sz="4" w:space="0" w:color="auto"/>
            </w:tcBorders>
            <w:vAlign w:val="center"/>
          </w:tcPr>
          <w:p w14:paraId="738A80DC" w14:textId="77777777" w:rsidR="00241417" w:rsidRDefault="00241417" w:rsidP="003A71DE">
            <w:pPr>
              <w:pStyle w:val="TAC"/>
            </w:pPr>
            <w:r>
              <w:rPr>
                <w:lang w:eastAsia="zh-CN"/>
              </w:rPr>
              <w:t>73776</w:t>
            </w:r>
          </w:p>
        </w:tc>
        <w:tc>
          <w:tcPr>
            <w:tcW w:w="0" w:type="auto"/>
            <w:tcBorders>
              <w:top w:val="single" w:sz="4" w:space="0" w:color="auto"/>
              <w:left w:val="single" w:sz="4" w:space="0" w:color="auto"/>
              <w:bottom w:val="single" w:sz="4" w:space="0" w:color="auto"/>
              <w:right w:val="single" w:sz="4" w:space="0" w:color="auto"/>
            </w:tcBorders>
            <w:vAlign w:val="center"/>
          </w:tcPr>
          <w:p w14:paraId="237E731B" w14:textId="77777777" w:rsidR="00241417" w:rsidRDefault="00241417" w:rsidP="003A71DE">
            <w:pPr>
              <w:pStyle w:val="TAC"/>
            </w:pPr>
            <w:r>
              <w:rPr>
                <w:lang w:eastAsia="zh-CN"/>
              </w:rPr>
              <w:t>98376</w:t>
            </w:r>
          </w:p>
        </w:tc>
      </w:tr>
      <w:tr w:rsidR="00241417" w14:paraId="2B93A79D"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642C752" w14:textId="77777777" w:rsidR="00241417" w:rsidRDefault="00241417" w:rsidP="003A71DE">
            <w:pPr>
              <w:pStyle w:val="TAC"/>
              <w:rPr>
                <w:lang w:eastAsia="zh-CN"/>
              </w:rPr>
            </w:pPr>
            <w:r>
              <w:rPr>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7AE596A3" w14:textId="77777777" w:rsidR="00241417" w:rsidRDefault="00241417" w:rsidP="003A71DE">
            <w:pPr>
              <w:pStyle w:val="TAC"/>
              <w:rPr>
                <w:lang w:eastAsia="zh-CN"/>
              </w:rPr>
            </w:pPr>
            <w:r>
              <w:t xml:space="preserve">2.4063 </w:t>
            </w:r>
          </w:p>
        </w:tc>
        <w:tc>
          <w:tcPr>
            <w:tcW w:w="0" w:type="auto"/>
            <w:tcBorders>
              <w:top w:val="single" w:sz="4" w:space="0" w:color="auto"/>
              <w:left w:val="single" w:sz="4" w:space="0" w:color="auto"/>
              <w:bottom w:val="single" w:sz="4" w:space="0" w:color="auto"/>
              <w:right w:val="single" w:sz="4" w:space="0" w:color="auto"/>
            </w:tcBorders>
            <w:vAlign w:val="center"/>
            <w:hideMark/>
          </w:tcPr>
          <w:p w14:paraId="54D0E32D" w14:textId="77777777" w:rsidR="00241417" w:rsidRDefault="00241417" w:rsidP="003A71DE">
            <w:pPr>
              <w:pStyle w:val="TAC"/>
              <w:rPr>
                <w:lang w:eastAsia="zh-CN"/>
              </w:rPr>
            </w:pPr>
            <w:r>
              <w:rPr>
                <w:lang w:eastAsia="zh-CN"/>
              </w:rPr>
              <w:t>9</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A807D7"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0541C2CA" w14:textId="77777777" w:rsidR="00241417" w:rsidRDefault="00241417" w:rsidP="003A71DE">
            <w:pPr>
              <w:pStyle w:val="TAC"/>
              <w:rPr>
                <w:lang w:eastAsia="zh-CN"/>
              </w:rPr>
            </w:pPr>
            <w:r>
              <w:t>30728</w:t>
            </w:r>
          </w:p>
        </w:tc>
        <w:tc>
          <w:tcPr>
            <w:tcW w:w="0" w:type="auto"/>
            <w:tcBorders>
              <w:top w:val="single" w:sz="4" w:space="0" w:color="auto"/>
              <w:left w:val="single" w:sz="4" w:space="0" w:color="auto"/>
              <w:bottom w:val="single" w:sz="4" w:space="0" w:color="auto"/>
              <w:right w:val="single" w:sz="4" w:space="0" w:color="auto"/>
            </w:tcBorders>
            <w:vAlign w:val="center"/>
          </w:tcPr>
          <w:p w14:paraId="46DA6047" w14:textId="77777777" w:rsidR="00241417" w:rsidRDefault="00241417" w:rsidP="003A71DE">
            <w:pPr>
              <w:pStyle w:val="TAC"/>
            </w:pPr>
            <w:r>
              <w:t>61480</w:t>
            </w:r>
          </w:p>
        </w:tc>
        <w:tc>
          <w:tcPr>
            <w:tcW w:w="0" w:type="auto"/>
            <w:tcBorders>
              <w:top w:val="single" w:sz="4" w:space="0" w:color="auto"/>
              <w:left w:val="single" w:sz="4" w:space="0" w:color="auto"/>
              <w:bottom w:val="single" w:sz="4" w:space="0" w:color="auto"/>
              <w:right w:val="single" w:sz="4" w:space="0" w:color="auto"/>
            </w:tcBorders>
            <w:vAlign w:val="center"/>
          </w:tcPr>
          <w:p w14:paraId="42AC53AB" w14:textId="77777777" w:rsidR="00241417" w:rsidRDefault="00241417" w:rsidP="003A71DE">
            <w:pPr>
              <w:pStyle w:val="TAC"/>
            </w:pPr>
            <w:r>
              <w:rPr>
                <w:lang w:eastAsia="zh-CN"/>
              </w:rPr>
              <w:t>92200</w:t>
            </w:r>
          </w:p>
        </w:tc>
        <w:tc>
          <w:tcPr>
            <w:tcW w:w="0" w:type="auto"/>
            <w:tcBorders>
              <w:top w:val="single" w:sz="4" w:space="0" w:color="auto"/>
              <w:left w:val="single" w:sz="4" w:space="0" w:color="auto"/>
              <w:bottom w:val="single" w:sz="4" w:space="0" w:color="auto"/>
              <w:right w:val="single" w:sz="4" w:space="0" w:color="auto"/>
            </w:tcBorders>
            <w:vAlign w:val="center"/>
          </w:tcPr>
          <w:p w14:paraId="681292B9" w14:textId="77777777" w:rsidR="00241417" w:rsidRDefault="00241417" w:rsidP="003A71DE">
            <w:pPr>
              <w:pStyle w:val="TAC"/>
            </w:pPr>
            <w:r>
              <w:rPr>
                <w:lang w:eastAsia="zh-CN"/>
              </w:rPr>
              <w:t>122976</w:t>
            </w:r>
          </w:p>
        </w:tc>
      </w:tr>
      <w:tr w:rsidR="00241417" w14:paraId="0F04C292"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A91F4CC" w14:textId="77777777" w:rsidR="00241417" w:rsidRDefault="00241417" w:rsidP="003A71DE">
            <w:pPr>
              <w:pStyle w:val="TAC"/>
              <w:rPr>
                <w:lang w:eastAsia="zh-CN"/>
              </w:rPr>
            </w:pPr>
            <w:r>
              <w:rPr>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2C6909E1" w14:textId="77777777" w:rsidR="00241417" w:rsidRDefault="00241417" w:rsidP="003A71DE">
            <w:pPr>
              <w:pStyle w:val="TAC"/>
              <w:rPr>
                <w:lang w:eastAsia="zh-CN"/>
              </w:rPr>
            </w:pPr>
            <w:r>
              <w:t xml:space="preserve">2.7305 </w:t>
            </w:r>
          </w:p>
        </w:tc>
        <w:tc>
          <w:tcPr>
            <w:tcW w:w="0" w:type="auto"/>
            <w:tcBorders>
              <w:top w:val="single" w:sz="4" w:space="0" w:color="auto"/>
              <w:left w:val="single" w:sz="4" w:space="0" w:color="auto"/>
              <w:bottom w:val="single" w:sz="4" w:space="0" w:color="auto"/>
              <w:right w:val="single" w:sz="4" w:space="0" w:color="auto"/>
            </w:tcBorders>
            <w:vAlign w:val="center"/>
            <w:hideMark/>
          </w:tcPr>
          <w:p w14:paraId="54ACD96C" w14:textId="77777777" w:rsidR="00241417" w:rsidRDefault="00241417" w:rsidP="003A71DE">
            <w:pPr>
              <w:pStyle w:val="TAC"/>
              <w:rPr>
                <w:lang w:eastAsia="zh-CN"/>
              </w:rPr>
            </w:pPr>
            <w:r>
              <w:rPr>
                <w:lang w:eastAsia="zh-CN"/>
              </w:rPr>
              <w:t>11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61DF887" w14:textId="77777777" w:rsidR="00241417" w:rsidRDefault="00241417" w:rsidP="003A71DE">
            <w:pPr>
              <w:pStyle w:val="TAC"/>
              <w:rPr>
                <w:lang w:eastAsia="zh-CN"/>
              </w:rPr>
            </w:pPr>
            <w:r>
              <w:rPr>
                <w:lang w:eastAsia="zh-CN"/>
              </w:rPr>
              <w:t>64QAM</w:t>
            </w:r>
          </w:p>
        </w:tc>
        <w:tc>
          <w:tcPr>
            <w:tcW w:w="0" w:type="auto"/>
            <w:tcBorders>
              <w:top w:val="single" w:sz="4" w:space="0" w:color="auto"/>
              <w:left w:val="single" w:sz="4" w:space="0" w:color="auto"/>
              <w:bottom w:val="single" w:sz="4" w:space="0" w:color="auto"/>
              <w:right w:val="single" w:sz="4" w:space="0" w:color="auto"/>
            </w:tcBorders>
          </w:tcPr>
          <w:p w14:paraId="46D402EC" w14:textId="77777777" w:rsidR="00241417" w:rsidRDefault="00241417" w:rsidP="003A71DE">
            <w:pPr>
              <w:pStyle w:val="TAC"/>
              <w:rPr>
                <w:lang w:eastAsia="zh-CN"/>
              </w:rPr>
            </w:pPr>
            <w:r>
              <w:t>34816</w:t>
            </w:r>
          </w:p>
        </w:tc>
        <w:tc>
          <w:tcPr>
            <w:tcW w:w="0" w:type="auto"/>
            <w:tcBorders>
              <w:top w:val="single" w:sz="4" w:space="0" w:color="auto"/>
              <w:left w:val="single" w:sz="4" w:space="0" w:color="auto"/>
              <w:bottom w:val="single" w:sz="4" w:space="0" w:color="auto"/>
              <w:right w:val="single" w:sz="4" w:space="0" w:color="auto"/>
            </w:tcBorders>
            <w:vAlign w:val="center"/>
          </w:tcPr>
          <w:p w14:paraId="4E80F432" w14:textId="77777777" w:rsidR="00241417" w:rsidRDefault="00241417" w:rsidP="003A71DE">
            <w:pPr>
              <w:pStyle w:val="TAC"/>
            </w:pPr>
            <w:r>
              <w:t>69672</w:t>
            </w:r>
          </w:p>
        </w:tc>
        <w:tc>
          <w:tcPr>
            <w:tcW w:w="0" w:type="auto"/>
            <w:tcBorders>
              <w:top w:val="single" w:sz="4" w:space="0" w:color="auto"/>
              <w:left w:val="single" w:sz="4" w:space="0" w:color="auto"/>
              <w:bottom w:val="single" w:sz="4" w:space="0" w:color="auto"/>
              <w:right w:val="single" w:sz="4" w:space="0" w:color="auto"/>
            </w:tcBorders>
            <w:vAlign w:val="center"/>
          </w:tcPr>
          <w:p w14:paraId="4425018C" w14:textId="77777777" w:rsidR="00241417" w:rsidRDefault="00241417" w:rsidP="003A71DE">
            <w:pPr>
              <w:pStyle w:val="TAC"/>
            </w:pPr>
            <w:r>
              <w:rPr>
                <w:lang w:eastAsia="zh-CN"/>
              </w:rPr>
              <w:t>104496</w:t>
            </w:r>
          </w:p>
        </w:tc>
        <w:tc>
          <w:tcPr>
            <w:tcW w:w="0" w:type="auto"/>
            <w:tcBorders>
              <w:top w:val="single" w:sz="4" w:space="0" w:color="auto"/>
              <w:left w:val="single" w:sz="4" w:space="0" w:color="auto"/>
              <w:bottom w:val="single" w:sz="4" w:space="0" w:color="auto"/>
              <w:right w:val="single" w:sz="4" w:space="0" w:color="auto"/>
            </w:tcBorders>
            <w:vAlign w:val="center"/>
          </w:tcPr>
          <w:p w14:paraId="5AB93A77" w14:textId="77777777" w:rsidR="00241417" w:rsidRDefault="00241417" w:rsidP="003A71DE">
            <w:pPr>
              <w:pStyle w:val="TAC"/>
            </w:pPr>
            <w:r>
              <w:rPr>
                <w:lang w:eastAsia="zh-CN"/>
              </w:rPr>
              <w:t>139376</w:t>
            </w:r>
          </w:p>
        </w:tc>
      </w:tr>
      <w:tr w:rsidR="00241417" w14:paraId="3E8543F9"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4A91EA0" w14:textId="77777777" w:rsidR="00241417" w:rsidRDefault="00241417" w:rsidP="003A71DE">
            <w:pPr>
              <w:pStyle w:val="TAC"/>
              <w:rPr>
                <w:lang w:eastAsia="zh-CN"/>
              </w:rPr>
            </w:pPr>
            <w:r>
              <w:rPr>
                <w:lang w:eastAsia="zh-CN"/>
              </w:rPr>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2708B3D2" w14:textId="77777777" w:rsidR="00241417" w:rsidRDefault="00241417" w:rsidP="003A71DE">
            <w:pPr>
              <w:pStyle w:val="TAC"/>
              <w:rPr>
                <w:lang w:eastAsia="zh-CN"/>
              </w:rPr>
            </w:pPr>
            <w:r>
              <w:t xml:space="preserve">3.3223 </w:t>
            </w:r>
          </w:p>
        </w:tc>
        <w:tc>
          <w:tcPr>
            <w:tcW w:w="0" w:type="auto"/>
            <w:tcBorders>
              <w:top w:val="single" w:sz="4" w:space="0" w:color="auto"/>
              <w:left w:val="single" w:sz="4" w:space="0" w:color="auto"/>
              <w:bottom w:val="single" w:sz="4" w:space="0" w:color="auto"/>
              <w:right w:val="single" w:sz="4" w:space="0" w:color="auto"/>
            </w:tcBorders>
            <w:vAlign w:val="center"/>
            <w:hideMark/>
          </w:tcPr>
          <w:p w14:paraId="13E75503" w14:textId="77777777" w:rsidR="00241417" w:rsidRDefault="00241417" w:rsidP="003A71DE">
            <w:pPr>
              <w:pStyle w:val="TAC"/>
              <w:rPr>
                <w:lang w:eastAsia="zh-CN"/>
              </w:rPr>
            </w:pPr>
            <w:r>
              <w:rPr>
                <w:lang w:eastAsia="zh-CN"/>
              </w:rPr>
              <w:t>13</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CB4FFC6"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36C524CC" w14:textId="77777777" w:rsidR="00241417" w:rsidRDefault="00241417" w:rsidP="003A71DE">
            <w:pPr>
              <w:pStyle w:val="TAC"/>
              <w:rPr>
                <w:lang w:eastAsia="zh-CN"/>
              </w:rPr>
            </w:pPr>
            <w:r>
              <w:t>42016</w:t>
            </w:r>
          </w:p>
        </w:tc>
        <w:tc>
          <w:tcPr>
            <w:tcW w:w="0" w:type="auto"/>
            <w:tcBorders>
              <w:top w:val="single" w:sz="4" w:space="0" w:color="auto"/>
              <w:left w:val="single" w:sz="4" w:space="0" w:color="auto"/>
              <w:bottom w:val="single" w:sz="4" w:space="0" w:color="auto"/>
              <w:right w:val="single" w:sz="4" w:space="0" w:color="auto"/>
            </w:tcBorders>
            <w:vAlign w:val="center"/>
          </w:tcPr>
          <w:p w14:paraId="44218618" w14:textId="77777777" w:rsidR="00241417" w:rsidRDefault="00241417" w:rsidP="003A71DE">
            <w:pPr>
              <w:pStyle w:val="TAC"/>
            </w:pPr>
            <w:r>
              <w:t>83976</w:t>
            </w:r>
          </w:p>
        </w:tc>
        <w:tc>
          <w:tcPr>
            <w:tcW w:w="0" w:type="auto"/>
            <w:tcBorders>
              <w:top w:val="single" w:sz="4" w:space="0" w:color="auto"/>
              <w:left w:val="single" w:sz="4" w:space="0" w:color="auto"/>
              <w:bottom w:val="single" w:sz="4" w:space="0" w:color="auto"/>
              <w:right w:val="single" w:sz="4" w:space="0" w:color="auto"/>
            </w:tcBorders>
            <w:vAlign w:val="center"/>
          </w:tcPr>
          <w:p w14:paraId="55221458" w14:textId="77777777" w:rsidR="00241417" w:rsidRDefault="00241417" w:rsidP="003A71DE">
            <w:pPr>
              <w:pStyle w:val="TAC"/>
            </w:pPr>
            <w:r>
              <w:rPr>
                <w:lang w:eastAsia="zh-CN"/>
              </w:rPr>
              <w:t>127080</w:t>
            </w:r>
          </w:p>
        </w:tc>
        <w:tc>
          <w:tcPr>
            <w:tcW w:w="0" w:type="auto"/>
            <w:tcBorders>
              <w:top w:val="single" w:sz="4" w:space="0" w:color="auto"/>
              <w:left w:val="single" w:sz="4" w:space="0" w:color="auto"/>
              <w:bottom w:val="single" w:sz="4" w:space="0" w:color="auto"/>
              <w:right w:val="single" w:sz="4" w:space="0" w:color="auto"/>
            </w:tcBorders>
            <w:vAlign w:val="center"/>
          </w:tcPr>
          <w:p w14:paraId="177354B4" w14:textId="77777777" w:rsidR="00241417" w:rsidRDefault="00241417" w:rsidP="003A71DE">
            <w:pPr>
              <w:pStyle w:val="TAC"/>
            </w:pPr>
            <w:r>
              <w:rPr>
                <w:lang w:eastAsia="zh-CN"/>
              </w:rPr>
              <w:t>167976</w:t>
            </w:r>
          </w:p>
        </w:tc>
      </w:tr>
      <w:tr w:rsidR="00241417" w14:paraId="3025AE4E"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98D8558" w14:textId="77777777" w:rsidR="00241417" w:rsidRDefault="00241417" w:rsidP="003A71DE">
            <w:pPr>
              <w:pStyle w:val="TAC"/>
              <w:rPr>
                <w:lang w:eastAsia="zh-CN"/>
              </w:rPr>
            </w:pPr>
            <w:r>
              <w:rPr>
                <w:lang w:eastAsia="zh-CN"/>
              </w:rPr>
              <w:t>9</w:t>
            </w:r>
          </w:p>
        </w:tc>
        <w:tc>
          <w:tcPr>
            <w:tcW w:w="0" w:type="auto"/>
            <w:tcBorders>
              <w:top w:val="single" w:sz="4" w:space="0" w:color="auto"/>
              <w:left w:val="single" w:sz="4" w:space="0" w:color="auto"/>
              <w:bottom w:val="single" w:sz="4" w:space="0" w:color="auto"/>
              <w:right w:val="single" w:sz="4" w:space="0" w:color="auto"/>
            </w:tcBorders>
            <w:vAlign w:val="center"/>
            <w:hideMark/>
          </w:tcPr>
          <w:p w14:paraId="65414B4C" w14:textId="77777777" w:rsidR="00241417" w:rsidRDefault="00241417" w:rsidP="003A71DE">
            <w:pPr>
              <w:pStyle w:val="TAC"/>
              <w:rPr>
                <w:lang w:eastAsia="zh-CN"/>
              </w:rPr>
            </w:pPr>
            <w:r>
              <w:t xml:space="preserve">3.9023 </w:t>
            </w:r>
          </w:p>
        </w:tc>
        <w:tc>
          <w:tcPr>
            <w:tcW w:w="0" w:type="auto"/>
            <w:tcBorders>
              <w:top w:val="single" w:sz="4" w:space="0" w:color="auto"/>
              <w:left w:val="single" w:sz="4" w:space="0" w:color="auto"/>
              <w:bottom w:val="single" w:sz="4" w:space="0" w:color="auto"/>
              <w:right w:val="single" w:sz="4" w:space="0" w:color="auto"/>
            </w:tcBorders>
            <w:vAlign w:val="center"/>
            <w:hideMark/>
          </w:tcPr>
          <w:p w14:paraId="14F283A5" w14:textId="77777777" w:rsidR="00241417" w:rsidRDefault="00241417" w:rsidP="003A71DE">
            <w:pPr>
              <w:pStyle w:val="TAC"/>
              <w:rPr>
                <w:lang w:eastAsia="zh-CN"/>
              </w:rPr>
            </w:pPr>
            <w:r>
              <w:rPr>
                <w:lang w:eastAsia="zh-CN"/>
              </w:rPr>
              <w:t>15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6B10D09"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414DDFAC" w14:textId="77777777" w:rsidR="00241417" w:rsidRDefault="00241417" w:rsidP="003A71DE">
            <w:pPr>
              <w:pStyle w:val="TAC"/>
              <w:rPr>
                <w:lang w:eastAsia="zh-CN"/>
              </w:rPr>
            </w:pPr>
            <w:r>
              <w:t>49176</w:t>
            </w:r>
          </w:p>
        </w:tc>
        <w:tc>
          <w:tcPr>
            <w:tcW w:w="0" w:type="auto"/>
            <w:tcBorders>
              <w:top w:val="single" w:sz="4" w:space="0" w:color="auto"/>
              <w:left w:val="single" w:sz="4" w:space="0" w:color="auto"/>
              <w:bottom w:val="single" w:sz="4" w:space="0" w:color="auto"/>
              <w:right w:val="single" w:sz="4" w:space="0" w:color="auto"/>
            </w:tcBorders>
            <w:vAlign w:val="center"/>
          </w:tcPr>
          <w:p w14:paraId="638A954F" w14:textId="77777777" w:rsidR="00241417" w:rsidRDefault="00241417" w:rsidP="003A71DE">
            <w:pPr>
              <w:pStyle w:val="TAC"/>
            </w:pPr>
            <w:r>
              <w:t>98376</w:t>
            </w:r>
          </w:p>
        </w:tc>
        <w:tc>
          <w:tcPr>
            <w:tcW w:w="0" w:type="auto"/>
            <w:tcBorders>
              <w:top w:val="single" w:sz="4" w:space="0" w:color="auto"/>
              <w:left w:val="single" w:sz="4" w:space="0" w:color="auto"/>
              <w:bottom w:val="single" w:sz="4" w:space="0" w:color="auto"/>
              <w:right w:val="single" w:sz="4" w:space="0" w:color="auto"/>
            </w:tcBorders>
            <w:vAlign w:val="center"/>
          </w:tcPr>
          <w:p w14:paraId="568EF102" w14:textId="77777777" w:rsidR="00241417" w:rsidRDefault="00241417" w:rsidP="003A71DE">
            <w:pPr>
              <w:pStyle w:val="TAC"/>
            </w:pPr>
            <w:r>
              <w:rPr>
                <w:lang w:eastAsia="zh-CN"/>
              </w:rPr>
              <w:t>147576</w:t>
            </w:r>
          </w:p>
        </w:tc>
        <w:tc>
          <w:tcPr>
            <w:tcW w:w="0" w:type="auto"/>
            <w:tcBorders>
              <w:top w:val="single" w:sz="4" w:space="0" w:color="auto"/>
              <w:left w:val="single" w:sz="4" w:space="0" w:color="auto"/>
              <w:bottom w:val="single" w:sz="4" w:space="0" w:color="auto"/>
              <w:right w:val="single" w:sz="4" w:space="0" w:color="auto"/>
            </w:tcBorders>
            <w:vAlign w:val="center"/>
          </w:tcPr>
          <w:p w14:paraId="44C0B67D" w14:textId="77777777" w:rsidR="00241417" w:rsidRDefault="00241417" w:rsidP="003A71DE">
            <w:pPr>
              <w:pStyle w:val="TAC"/>
            </w:pPr>
            <w:r>
              <w:rPr>
                <w:lang w:eastAsia="zh-CN"/>
              </w:rPr>
              <w:t>196776</w:t>
            </w:r>
          </w:p>
        </w:tc>
      </w:tr>
      <w:tr w:rsidR="00241417" w14:paraId="380A23A0"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09CB875" w14:textId="77777777" w:rsidR="00241417" w:rsidRDefault="00241417" w:rsidP="003A71DE">
            <w:pPr>
              <w:pStyle w:val="TAC"/>
              <w:rPr>
                <w:lang w:eastAsia="zh-CN"/>
              </w:rPr>
            </w:pPr>
            <w:r>
              <w:rPr>
                <w:lang w:eastAsia="zh-CN"/>
              </w:rPr>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075D3D58" w14:textId="77777777" w:rsidR="00241417" w:rsidRDefault="00241417" w:rsidP="003A71DE">
            <w:pPr>
              <w:pStyle w:val="TAC"/>
              <w:rPr>
                <w:lang w:eastAsia="zh-CN"/>
              </w:rPr>
            </w:pPr>
            <w:r>
              <w:t xml:space="preserve">4.5234 </w:t>
            </w:r>
          </w:p>
        </w:tc>
        <w:tc>
          <w:tcPr>
            <w:tcW w:w="0" w:type="auto"/>
            <w:tcBorders>
              <w:top w:val="single" w:sz="4" w:space="0" w:color="auto"/>
              <w:left w:val="single" w:sz="4" w:space="0" w:color="auto"/>
              <w:bottom w:val="single" w:sz="4" w:space="0" w:color="auto"/>
              <w:right w:val="single" w:sz="4" w:space="0" w:color="auto"/>
            </w:tcBorders>
            <w:vAlign w:val="center"/>
            <w:hideMark/>
          </w:tcPr>
          <w:p w14:paraId="1F070E78" w14:textId="77777777" w:rsidR="00241417" w:rsidRDefault="00241417" w:rsidP="003A71DE">
            <w:pPr>
              <w:pStyle w:val="TAC"/>
              <w:rPr>
                <w:lang w:eastAsia="zh-CN"/>
              </w:rPr>
            </w:pPr>
            <w:r>
              <w:rPr>
                <w:lang w:eastAsia="zh-CN"/>
              </w:rPr>
              <w:t>17</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C2DF97"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0B08A76F" w14:textId="77777777" w:rsidR="00241417" w:rsidRDefault="00241417" w:rsidP="003A71DE">
            <w:pPr>
              <w:pStyle w:val="TAC"/>
              <w:rPr>
                <w:lang w:eastAsia="zh-CN"/>
              </w:rPr>
            </w:pPr>
            <w:r>
              <w:t>57376</w:t>
            </w:r>
          </w:p>
        </w:tc>
        <w:tc>
          <w:tcPr>
            <w:tcW w:w="0" w:type="auto"/>
            <w:tcBorders>
              <w:top w:val="single" w:sz="4" w:space="0" w:color="auto"/>
              <w:left w:val="single" w:sz="4" w:space="0" w:color="auto"/>
              <w:bottom w:val="single" w:sz="4" w:space="0" w:color="auto"/>
              <w:right w:val="single" w:sz="4" w:space="0" w:color="auto"/>
            </w:tcBorders>
            <w:vAlign w:val="center"/>
          </w:tcPr>
          <w:p w14:paraId="660BFF4D" w14:textId="77777777" w:rsidR="00241417" w:rsidRDefault="00241417" w:rsidP="003A71DE">
            <w:pPr>
              <w:pStyle w:val="TAC"/>
            </w:pPr>
            <w:r>
              <w:t>114776</w:t>
            </w:r>
          </w:p>
        </w:tc>
        <w:tc>
          <w:tcPr>
            <w:tcW w:w="0" w:type="auto"/>
            <w:tcBorders>
              <w:top w:val="single" w:sz="4" w:space="0" w:color="auto"/>
              <w:left w:val="single" w:sz="4" w:space="0" w:color="auto"/>
              <w:bottom w:val="single" w:sz="4" w:space="0" w:color="auto"/>
              <w:right w:val="single" w:sz="4" w:space="0" w:color="auto"/>
            </w:tcBorders>
            <w:vAlign w:val="center"/>
          </w:tcPr>
          <w:p w14:paraId="754E0CBA" w14:textId="77777777" w:rsidR="00241417" w:rsidRDefault="00241417" w:rsidP="003A71DE">
            <w:pPr>
              <w:pStyle w:val="TAC"/>
            </w:pPr>
            <w:r>
              <w:rPr>
                <w:lang w:eastAsia="zh-CN"/>
              </w:rPr>
              <w:t>172176</w:t>
            </w:r>
          </w:p>
        </w:tc>
        <w:tc>
          <w:tcPr>
            <w:tcW w:w="0" w:type="auto"/>
            <w:tcBorders>
              <w:top w:val="single" w:sz="4" w:space="0" w:color="auto"/>
              <w:left w:val="single" w:sz="4" w:space="0" w:color="auto"/>
              <w:bottom w:val="single" w:sz="4" w:space="0" w:color="auto"/>
              <w:right w:val="single" w:sz="4" w:space="0" w:color="auto"/>
            </w:tcBorders>
            <w:vAlign w:val="center"/>
          </w:tcPr>
          <w:p w14:paraId="4E4B4104" w14:textId="77777777" w:rsidR="00241417" w:rsidRDefault="00241417" w:rsidP="003A71DE">
            <w:pPr>
              <w:pStyle w:val="TAC"/>
            </w:pPr>
            <w:r>
              <w:rPr>
                <w:lang w:eastAsia="zh-CN"/>
              </w:rPr>
              <w:t>229576</w:t>
            </w:r>
          </w:p>
        </w:tc>
      </w:tr>
      <w:tr w:rsidR="00241417" w14:paraId="41C6A41C"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8057D8C" w14:textId="77777777" w:rsidR="00241417" w:rsidRDefault="00241417" w:rsidP="003A71DE">
            <w:pPr>
              <w:pStyle w:val="TAC"/>
              <w:rPr>
                <w:lang w:eastAsia="zh-CN"/>
              </w:rPr>
            </w:pPr>
            <w:r>
              <w:rPr>
                <w:lang w:eastAsia="zh-CN"/>
              </w:rPr>
              <w:t>11</w:t>
            </w:r>
          </w:p>
        </w:tc>
        <w:tc>
          <w:tcPr>
            <w:tcW w:w="0" w:type="auto"/>
            <w:tcBorders>
              <w:top w:val="single" w:sz="4" w:space="0" w:color="auto"/>
              <w:left w:val="single" w:sz="4" w:space="0" w:color="auto"/>
              <w:bottom w:val="single" w:sz="4" w:space="0" w:color="auto"/>
              <w:right w:val="single" w:sz="4" w:space="0" w:color="auto"/>
            </w:tcBorders>
            <w:vAlign w:val="center"/>
            <w:hideMark/>
          </w:tcPr>
          <w:p w14:paraId="05AE6E8E" w14:textId="77777777" w:rsidR="00241417" w:rsidRDefault="00241417" w:rsidP="003A71DE">
            <w:pPr>
              <w:pStyle w:val="TAC"/>
              <w:rPr>
                <w:lang w:eastAsia="zh-CN"/>
              </w:rPr>
            </w:pPr>
            <w:r>
              <w:t xml:space="preserve">5.1152 </w:t>
            </w:r>
          </w:p>
        </w:tc>
        <w:tc>
          <w:tcPr>
            <w:tcW w:w="0" w:type="auto"/>
            <w:tcBorders>
              <w:top w:val="single" w:sz="4" w:space="0" w:color="auto"/>
              <w:left w:val="single" w:sz="4" w:space="0" w:color="auto"/>
              <w:bottom w:val="single" w:sz="4" w:space="0" w:color="auto"/>
              <w:right w:val="single" w:sz="4" w:space="0" w:color="auto"/>
            </w:tcBorders>
            <w:vAlign w:val="center"/>
            <w:hideMark/>
          </w:tcPr>
          <w:p w14:paraId="0FD3F975" w14:textId="77777777" w:rsidR="00241417" w:rsidRDefault="00241417" w:rsidP="003A71DE">
            <w:pPr>
              <w:pStyle w:val="TAC"/>
              <w:rPr>
                <w:lang w:eastAsia="zh-CN"/>
              </w:rPr>
            </w:pPr>
            <w:r>
              <w:rPr>
                <w:lang w:eastAsia="zh-CN"/>
              </w:rPr>
              <w:t>19</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215B600"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25F3F631" w14:textId="77777777" w:rsidR="00241417" w:rsidRDefault="00241417" w:rsidP="003A71DE">
            <w:pPr>
              <w:pStyle w:val="TAC"/>
              <w:rPr>
                <w:lang w:eastAsia="zh-CN"/>
              </w:rPr>
            </w:pPr>
            <w:r>
              <w:t>65576</w:t>
            </w:r>
          </w:p>
        </w:tc>
        <w:tc>
          <w:tcPr>
            <w:tcW w:w="0" w:type="auto"/>
            <w:tcBorders>
              <w:top w:val="single" w:sz="4" w:space="0" w:color="auto"/>
              <w:left w:val="single" w:sz="4" w:space="0" w:color="auto"/>
              <w:bottom w:val="single" w:sz="4" w:space="0" w:color="auto"/>
              <w:right w:val="single" w:sz="4" w:space="0" w:color="auto"/>
            </w:tcBorders>
            <w:vAlign w:val="center"/>
          </w:tcPr>
          <w:p w14:paraId="1B3887A0" w14:textId="77777777" w:rsidR="00241417" w:rsidRDefault="00241417" w:rsidP="003A71DE">
            <w:pPr>
              <w:pStyle w:val="TAC"/>
            </w:pPr>
            <w:r>
              <w:t>131176</w:t>
            </w:r>
          </w:p>
        </w:tc>
        <w:tc>
          <w:tcPr>
            <w:tcW w:w="0" w:type="auto"/>
            <w:tcBorders>
              <w:top w:val="single" w:sz="4" w:space="0" w:color="auto"/>
              <w:left w:val="single" w:sz="4" w:space="0" w:color="auto"/>
              <w:bottom w:val="single" w:sz="4" w:space="0" w:color="auto"/>
              <w:right w:val="single" w:sz="4" w:space="0" w:color="auto"/>
            </w:tcBorders>
            <w:vAlign w:val="center"/>
          </w:tcPr>
          <w:p w14:paraId="62B7C616" w14:textId="77777777" w:rsidR="00241417" w:rsidRDefault="00241417" w:rsidP="003A71DE">
            <w:pPr>
              <w:pStyle w:val="TAC"/>
            </w:pPr>
            <w:r>
              <w:rPr>
                <w:lang w:eastAsia="zh-CN"/>
              </w:rPr>
              <w:t>196776</w:t>
            </w:r>
          </w:p>
        </w:tc>
        <w:tc>
          <w:tcPr>
            <w:tcW w:w="0" w:type="auto"/>
            <w:tcBorders>
              <w:top w:val="single" w:sz="4" w:space="0" w:color="auto"/>
              <w:left w:val="single" w:sz="4" w:space="0" w:color="auto"/>
              <w:bottom w:val="single" w:sz="4" w:space="0" w:color="auto"/>
              <w:right w:val="single" w:sz="4" w:space="0" w:color="auto"/>
            </w:tcBorders>
            <w:vAlign w:val="center"/>
          </w:tcPr>
          <w:p w14:paraId="3F372657" w14:textId="77777777" w:rsidR="00241417" w:rsidRDefault="00241417" w:rsidP="003A71DE">
            <w:pPr>
              <w:pStyle w:val="TAC"/>
            </w:pPr>
            <w:r>
              <w:rPr>
                <w:lang w:eastAsia="zh-CN"/>
              </w:rPr>
              <w:t>262376</w:t>
            </w:r>
          </w:p>
        </w:tc>
      </w:tr>
      <w:tr w:rsidR="00241417" w14:paraId="69281CBD"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C928B1A" w14:textId="77777777" w:rsidR="00241417" w:rsidRDefault="00241417" w:rsidP="003A71DE">
            <w:pPr>
              <w:pStyle w:val="TAC"/>
              <w:rPr>
                <w:lang w:eastAsia="zh-CN"/>
              </w:rPr>
            </w:pPr>
            <w:r>
              <w:rPr>
                <w:lang w:eastAsia="zh-CN"/>
              </w:rPr>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1CEF68D9" w14:textId="77777777" w:rsidR="00241417" w:rsidRDefault="00241417" w:rsidP="003A71DE">
            <w:pPr>
              <w:pStyle w:val="TAC"/>
              <w:rPr>
                <w:lang w:eastAsia="zh-CN"/>
              </w:rPr>
            </w:pPr>
            <w:r>
              <w:t xml:space="preserve">5.5547 </w:t>
            </w:r>
          </w:p>
        </w:tc>
        <w:tc>
          <w:tcPr>
            <w:tcW w:w="0" w:type="auto"/>
            <w:tcBorders>
              <w:top w:val="single" w:sz="4" w:space="0" w:color="auto"/>
              <w:left w:val="single" w:sz="4" w:space="0" w:color="auto"/>
              <w:bottom w:val="single" w:sz="4" w:space="0" w:color="auto"/>
              <w:right w:val="single" w:sz="4" w:space="0" w:color="auto"/>
            </w:tcBorders>
            <w:vAlign w:val="center"/>
            <w:hideMark/>
          </w:tcPr>
          <w:p w14:paraId="2795FED0" w14:textId="77777777" w:rsidR="00241417" w:rsidRDefault="00241417" w:rsidP="003A71DE">
            <w:pPr>
              <w:pStyle w:val="TAC"/>
              <w:rPr>
                <w:lang w:eastAsia="zh-CN"/>
              </w:rPr>
            </w:pPr>
            <w:r>
              <w:rPr>
                <w:lang w:eastAsia="zh-CN"/>
              </w:rPr>
              <w:t>21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05D2AF5" w14:textId="77777777" w:rsidR="00241417" w:rsidRDefault="00241417" w:rsidP="003A71DE">
            <w:pPr>
              <w:pStyle w:val="TAC"/>
              <w:rPr>
                <w:lang w:eastAsia="zh-CN"/>
              </w:rPr>
            </w:pPr>
            <w:r>
              <w:rPr>
                <w:lang w:eastAsia="zh-CN"/>
              </w:rPr>
              <w:t>256QAM</w:t>
            </w:r>
          </w:p>
        </w:tc>
        <w:tc>
          <w:tcPr>
            <w:tcW w:w="0" w:type="auto"/>
            <w:tcBorders>
              <w:top w:val="single" w:sz="4" w:space="0" w:color="auto"/>
              <w:left w:val="single" w:sz="4" w:space="0" w:color="auto"/>
              <w:bottom w:val="single" w:sz="4" w:space="0" w:color="auto"/>
              <w:right w:val="single" w:sz="4" w:space="0" w:color="auto"/>
            </w:tcBorders>
          </w:tcPr>
          <w:p w14:paraId="5145D816" w14:textId="77777777" w:rsidR="00241417" w:rsidRDefault="00241417" w:rsidP="003A71DE">
            <w:pPr>
              <w:pStyle w:val="TAC"/>
              <w:rPr>
                <w:lang w:eastAsia="zh-CN"/>
              </w:rPr>
            </w:pPr>
            <w:r>
              <w:t>69672</w:t>
            </w:r>
          </w:p>
        </w:tc>
        <w:tc>
          <w:tcPr>
            <w:tcW w:w="0" w:type="auto"/>
            <w:tcBorders>
              <w:top w:val="single" w:sz="4" w:space="0" w:color="auto"/>
              <w:left w:val="single" w:sz="4" w:space="0" w:color="auto"/>
              <w:bottom w:val="single" w:sz="4" w:space="0" w:color="auto"/>
              <w:right w:val="single" w:sz="4" w:space="0" w:color="auto"/>
            </w:tcBorders>
            <w:vAlign w:val="center"/>
          </w:tcPr>
          <w:p w14:paraId="7F7FB116" w14:textId="77777777" w:rsidR="00241417" w:rsidRDefault="00241417" w:rsidP="003A71DE">
            <w:pPr>
              <w:pStyle w:val="TAC"/>
            </w:pPr>
            <w:r>
              <w:t>139376</w:t>
            </w:r>
          </w:p>
        </w:tc>
        <w:tc>
          <w:tcPr>
            <w:tcW w:w="0" w:type="auto"/>
            <w:tcBorders>
              <w:top w:val="single" w:sz="4" w:space="0" w:color="auto"/>
              <w:left w:val="single" w:sz="4" w:space="0" w:color="auto"/>
              <w:bottom w:val="single" w:sz="4" w:space="0" w:color="auto"/>
              <w:right w:val="single" w:sz="4" w:space="0" w:color="auto"/>
            </w:tcBorders>
            <w:vAlign w:val="center"/>
          </w:tcPr>
          <w:p w14:paraId="60B984D0" w14:textId="77777777" w:rsidR="00241417" w:rsidRDefault="00241417" w:rsidP="003A71DE">
            <w:pPr>
              <w:pStyle w:val="TAC"/>
            </w:pPr>
            <w:r>
              <w:rPr>
                <w:lang w:eastAsia="zh-CN"/>
              </w:rPr>
              <w:t>213176</w:t>
            </w:r>
          </w:p>
        </w:tc>
        <w:tc>
          <w:tcPr>
            <w:tcW w:w="0" w:type="auto"/>
            <w:tcBorders>
              <w:top w:val="single" w:sz="4" w:space="0" w:color="auto"/>
              <w:left w:val="single" w:sz="4" w:space="0" w:color="auto"/>
              <w:bottom w:val="single" w:sz="4" w:space="0" w:color="auto"/>
              <w:right w:val="single" w:sz="4" w:space="0" w:color="auto"/>
            </w:tcBorders>
            <w:vAlign w:val="center"/>
          </w:tcPr>
          <w:p w14:paraId="48290816" w14:textId="77777777" w:rsidR="00241417" w:rsidRDefault="00241417" w:rsidP="003A71DE">
            <w:pPr>
              <w:pStyle w:val="TAC"/>
            </w:pPr>
            <w:r>
              <w:rPr>
                <w:lang w:eastAsia="zh-CN"/>
              </w:rPr>
              <w:t>278776</w:t>
            </w:r>
          </w:p>
        </w:tc>
      </w:tr>
      <w:tr w:rsidR="00241417" w14:paraId="13A6804A"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2E37C51" w14:textId="77777777" w:rsidR="00241417" w:rsidRDefault="00241417" w:rsidP="003A71DE">
            <w:pPr>
              <w:pStyle w:val="TAC"/>
              <w:rPr>
                <w:lang w:eastAsia="zh-CN"/>
              </w:rPr>
            </w:pPr>
            <w:r>
              <w:rPr>
                <w:lang w:eastAsia="zh-CN"/>
              </w:rPr>
              <w:t>13</w:t>
            </w:r>
          </w:p>
        </w:tc>
        <w:tc>
          <w:tcPr>
            <w:tcW w:w="0" w:type="auto"/>
            <w:tcBorders>
              <w:top w:val="single" w:sz="4" w:space="0" w:color="auto"/>
              <w:left w:val="single" w:sz="4" w:space="0" w:color="auto"/>
              <w:bottom w:val="single" w:sz="4" w:space="0" w:color="auto"/>
              <w:right w:val="single" w:sz="4" w:space="0" w:color="auto"/>
            </w:tcBorders>
            <w:vAlign w:val="center"/>
            <w:hideMark/>
          </w:tcPr>
          <w:p w14:paraId="2C24FA5B" w14:textId="77777777" w:rsidR="00241417" w:rsidRDefault="00241417" w:rsidP="003A71DE">
            <w:pPr>
              <w:pStyle w:val="TAC"/>
              <w:rPr>
                <w:lang w:eastAsia="zh-CN"/>
              </w:rPr>
            </w:pPr>
            <w:r>
              <w:t>6.2266</w:t>
            </w:r>
          </w:p>
        </w:tc>
        <w:tc>
          <w:tcPr>
            <w:tcW w:w="0" w:type="auto"/>
            <w:tcBorders>
              <w:top w:val="single" w:sz="4" w:space="0" w:color="auto"/>
              <w:left w:val="single" w:sz="4" w:space="0" w:color="auto"/>
              <w:bottom w:val="single" w:sz="4" w:space="0" w:color="auto"/>
              <w:right w:val="single" w:sz="4" w:space="0" w:color="auto"/>
            </w:tcBorders>
            <w:vAlign w:val="center"/>
            <w:hideMark/>
          </w:tcPr>
          <w:p w14:paraId="21A5411D" w14:textId="77777777" w:rsidR="00241417" w:rsidRDefault="00241417" w:rsidP="003A71DE">
            <w:pPr>
              <w:pStyle w:val="TAC"/>
              <w:rPr>
                <w:lang w:eastAsia="zh-CN"/>
              </w:rPr>
            </w:pPr>
            <w:r>
              <w:rPr>
                <w:lang w:eastAsia="zh-CN"/>
              </w:rPr>
              <w:t>23</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BBFB705"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64DD3193" w14:textId="77777777" w:rsidR="00241417" w:rsidRDefault="00241417" w:rsidP="003A71DE">
            <w:pPr>
              <w:pStyle w:val="TAC"/>
              <w:rPr>
                <w:lang w:eastAsia="zh-CN"/>
              </w:rPr>
            </w:pPr>
            <w:r>
              <w:t>79896</w:t>
            </w:r>
          </w:p>
        </w:tc>
        <w:tc>
          <w:tcPr>
            <w:tcW w:w="0" w:type="auto"/>
            <w:tcBorders>
              <w:top w:val="single" w:sz="4" w:space="0" w:color="auto"/>
              <w:left w:val="single" w:sz="4" w:space="0" w:color="auto"/>
              <w:bottom w:val="single" w:sz="4" w:space="0" w:color="auto"/>
              <w:right w:val="single" w:sz="4" w:space="0" w:color="auto"/>
            </w:tcBorders>
            <w:vAlign w:val="center"/>
          </w:tcPr>
          <w:p w14:paraId="14C3D0C9" w14:textId="77777777" w:rsidR="00241417" w:rsidRDefault="00241417" w:rsidP="003A71DE">
            <w:pPr>
              <w:pStyle w:val="TAC"/>
            </w:pPr>
            <w:r>
              <w:t>159880</w:t>
            </w:r>
          </w:p>
        </w:tc>
        <w:tc>
          <w:tcPr>
            <w:tcW w:w="0" w:type="auto"/>
            <w:tcBorders>
              <w:top w:val="single" w:sz="4" w:space="0" w:color="auto"/>
              <w:left w:val="single" w:sz="4" w:space="0" w:color="auto"/>
              <w:bottom w:val="single" w:sz="4" w:space="0" w:color="auto"/>
              <w:right w:val="single" w:sz="4" w:space="0" w:color="auto"/>
            </w:tcBorders>
            <w:vAlign w:val="center"/>
          </w:tcPr>
          <w:p w14:paraId="372D7694" w14:textId="77777777" w:rsidR="00241417" w:rsidRDefault="00241417" w:rsidP="003A71DE">
            <w:pPr>
              <w:pStyle w:val="TAC"/>
            </w:pPr>
            <w:r>
              <w:rPr>
                <w:lang w:eastAsia="zh-CN"/>
              </w:rPr>
              <w:t>237776</w:t>
            </w:r>
          </w:p>
        </w:tc>
        <w:tc>
          <w:tcPr>
            <w:tcW w:w="0" w:type="auto"/>
            <w:tcBorders>
              <w:top w:val="single" w:sz="4" w:space="0" w:color="auto"/>
              <w:left w:val="single" w:sz="4" w:space="0" w:color="auto"/>
              <w:bottom w:val="single" w:sz="4" w:space="0" w:color="auto"/>
              <w:right w:val="single" w:sz="4" w:space="0" w:color="auto"/>
            </w:tcBorders>
            <w:vAlign w:val="center"/>
          </w:tcPr>
          <w:p w14:paraId="662AD126" w14:textId="77777777" w:rsidR="00241417" w:rsidRDefault="00241417" w:rsidP="003A71DE">
            <w:pPr>
              <w:pStyle w:val="TAC"/>
            </w:pPr>
            <w:r>
              <w:rPr>
                <w:lang w:eastAsia="zh-CN"/>
              </w:rPr>
              <w:t>319784</w:t>
            </w:r>
          </w:p>
        </w:tc>
      </w:tr>
      <w:tr w:rsidR="00241417" w14:paraId="4A886DE3"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594566B" w14:textId="77777777" w:rsidR="00241417" w:rsidRDefault="00241417" w:rsidP="003A71DE">
            <w:pPr>
              <w:pStyle w:val="TAC"/>
              <w:rPr>
                <w:lang w:eastAsia="zh-CN"/>
              </w:rPr>
            </w:pPr>
            <w:r>
              <w:rPr>
                <w:lang w:eastAsia="zh-CN"/>
              </w:rPr>
              <w:t>14</w:t>
            </w:r>
          </w:p>
        </w:tc>
        <w:tc>
          <w:tcPr>
            <w:tcW w:w="0" w:type="auto"/>
            <w:tcBorders>
              <w:top w:val="single" w:sz="4" w:space="0" w:color="auto"/>
              <w:left w:val="single" w:sz="4" w:space="0" w:color="auto"/>
              <w:bottom w:val="single" w:sz="4" w:space="0" w:color="auto"/>
              <w:right w:val="single" w:sz="4" w:space="0" w:color="auto"/>
            </w:tcBorders>
            <w:vAlign w:val="center"/>
            <w:hideMark/>
          </w:tcPr>
          <w:p w14:paraId="56C44845" w14:textId="77777777" w:rsidR="00241417" w:rsidRDefault="00241417" w:rsidP="003A71DE">
            <w:pPr>
              <w:pStyle w:val="TAC"/>
              <w:rPr>
                <w:lang w:eastAsia="zh-CN"/>
              </w:rPr>
            </w:pPr>
            <w:r>
              <w:t>6.9141</w:t>
            </w:r>
          </w:p>
        </w:tc>
        <w:tc>
          <w:tcPr>
            <w:tcW w:w="0" w:type="auto"/>
            <w:tcBorders>
              <w:top w:val="single" w:sz="4" w:space="0" w:color="auto"/>
              <w:left w:val="single" w:sz="4" w:space="0" w:color="auto"/>
              <w:bottom w:val="single" w:sz="4" w:space="0" w:color="auto"/>
              <w:right w:val="single" w:sz="4" w:space="0" w:color="auto"/>
            </w:tcBorders>
            <w:vAlign w:val="center"/>
            <w:hideMark/>
          </w:tcPr>
          <w:p w14:paraId="43157394" w14:textId="77777777" w:rsidR="00241417" w:rsidRDefault="00241417" w:rsidP="003A71DE">
            <w:pPr>
              <w:pStyle w:val="TAC"/>
              <w:rPr>
                <w:lang w:eastAsia="zh-CN"/>
              </w:rPr>
            </w:pPr>
            <w:r>
              <w:rPr>
                <w:lang w:eastAsia="zh-CN"/>
              </w:rPr>
              <w:t>25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8FFDFEA"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7B3DE41A" w14:textId="77777777" w:rsidR="00241417" w:rsidRDefault="00241417" w:rsidP="003A71DE">
            <w:pPr>
              <w:pStyle w:val="TAC"/>
              <w:rPr>
                <w:lang w:eastAsia="zh-CN"/>
              </w:rPr>
            </w:pPr>
            <w:r>
              <w:t>88064</w:t>
            </w:r>
          </w:p>
        </w:tc>
        <w:tc>
          <w:tcPr>
            <w:tcW w:w="0" w:type="auto"/>
            <w:tcBorders>
              <w:top w:val="single" w:sz="4" w:space="0" w:color="auto"/>
              <w:left w:val="single" w:sz="4" w:space="0" w:color="auto"/>
              <w:bottom w:val="single" w:sz="4" w:space="0" w:color="auto"/>
              <w:right w:val="single" w:sz="4" w:space="0" w:color="auto"/>
            </w:tcBorders>
            <w:vAlign w:val="center"/>
          </w:tcPr>
          <w:p w14:paraId="1064C052" w14:textId="77777777" w:rsidR="00241417" w:rsidRDefault="00241417" w:rsidP="003A71DE">
            <w:pPr>
              <w:pStyle w:val="TAC"/>
            </w:pPr>
            <w:r>
              <w:t>176208</w:t>
            </w:r>
          </w:p>
        </w:tc>
        <w:tc>
          <w:tcPr>
            <w:tcW w:w="0" w:type="auto"/>
            <w:tcBorders>
              <w:top w:val="single" w:sz="4" w:space="0" w:color="auto"/>
              <w:left w:val="single" w:sz="4" w:space="0" w:color="auto"/>
              <w:bottom w:val="single" w:sz="4" w:space="0" w:color="auto"/>
              <w:right w:val="single" w:sz="4" w:space="0" w:color="auto"/>
            </w:tcBorders>
            <w:vAlign w:val="center"/>
          </w:tcPr>
          <w:p w14:paraId="0432BB78" w14:textId="77777777" w:rsidR="00241417" w:rsidRDefault="00241417" w:rsidP="003A71DE">
            <w:pPr>
              <w:pStyle w:val="TAC"/>
            </w:pPr>
            <w:r>
              <w:rPr>
                <w:lang w:eastAsia="zh-CN"/>
              </w:rPr>
              <w:t>262376</w:t>
            </w:r>
          </w:p>
        </w:tc>
        <w:tc>
          <w:tcPr>
            <w:tcW w:w="0" w:type="auto"/>
            <w:tcBorders>
              <w:top w:val="single" w:sz="4" w:space="0" w:color="auto"/>
              <w:left w:val="single" w:sz="4" w:space="0" w:color="auto"/>
              <w:bottom w:val="single" w:sz="4" w:space="0" w:color="auto"/>
              <w:right w:val="single" w:sz="4" w:space="0" w:color="auto"/>
            </w:tcBorders>
            <w:vAlign w:val="center"/>
          </w:tcPr>
          <w:p w14:paraId="294EAE7B" w14:textId="77777777" w:rsidR="00241417" w:rsidRDefault="00241417" w:rsidP="003A71DE">
            <w:pPr>
              <w:pStyle w:val="TAC"/>
            </w:pPr>
            <w:r>
              <w:rPr>
                <w:lang w:eastAsia="zh-CN"/>
              </w:rPr>
              <w:t>352440</w:t>
            </w:r>
          </w:p>
        </w:tc>
      </w:tr>
      <w:tr w:rsidR="00241417" w14:paraId="1D816114"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EEC890F" w14:textId="77777777" w:rsidR="00241417" w:rsidRDefault="00241417" w:rsidP="003A71DE">
            <w:pPr>
              <w:pStyle w:val="TAC"/>
              <w:rPr>
                <w:lang w:eastAsia="zh-CN"/>
              </w:rPr>
            </w:pPr>
            <w:r>
              <w:rPr>
                <w:lang w:eastAsia="zh-CN"/>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0352FE5D" w14:textId="77777777" w:rsidR="00241417" w:rsidRDefault="00241417" w:rsidP="003A71DE">
            <w:pPr>
              <w:pStyle w:val="TAC"/>
              <w:rPr>
                <w:lang w:eastAsia="zh-CN"/>
              </w:rPr>
            </w:pPr>
            <w:r>
              <w:t xml:space="preserve">7.4063 </w:t>
            </w:r>
          </w:p>
        </w:tc>
        <w:tc>
          <w:tcPr>
            <w:tcW w:w="0" w:type="auto"/>
            <w:tcBorders>
              <w:top w:val="single" w:sz="4" w:space="0" w:color="auto"/>
              <w:left w:val="single" w:sz="4" w:space="0" w:color="auto"/>
              <w:bottom w:val="single" w:sz="4" w:space="0" w:color="auto"/>
              <w:right w:val="single" w:sz="4" w:space="0" w:color="auto"/>
            </w:tcBorders>
            <w:vAlign w:val="center"/>
            <w:hideMark/>
          </w:tcPr>
          <w:p w14:paraId="21F4D748" w14:textId="77777777" w:rsidR="00241417" w:rsidRDefault="00241417" w:rsidP="003A71DE">
            <w:pPr>
              <w:pStyle w:val="TAC"/>
              <w:rPr>
                <w:lang w:eastAsia="zh-CN"/>
              </w:rPr>
            </w:pPr>
            <w:r>
              <w:rPr>
                <w:lang w:eastAsia="zh-CN"/>
              </w:rPr>
              <w:t>27</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8F3A00D"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tcPr>
          <w:p w14:paraId="454FFAB9" w14:textId="77777777" w:rsidR="00241417" w:rsidRDefault="00241417" w:rsidP="003A71DE">
            <w:pPr>
              <w:pStyle w:val="TAC"/>
              <w:rPr>
                <w:lang w:eastAsia="zh-CN"/>
              </w:rPr>
            </w:pPr>
            <w:r>
              <w:t>94248</w:t>
            </w:r>
          </w:p>
        </w:tc>
        <w:tc>
          <w:tcPr>
            <w:tcW w:w="0" w:type="auto"/>
            <w:tcBorders>
              <w:top w:val="single" w:sz="4" w:space="0" w:color="auto"/>
              <w:left w:val="single" w:sz="4" w:space="0" w:color="auto"/>
              <w:bottom w:val="single" w:sz="4" w:space="0" w:color="auto"/>
              <w:right w:val="single" w:sz="4" w:space="0" w:color="auto"/>
            </w:tcBorders>
            <w:vAlign w:val="center"/>
          </w:tcPr>
          <w:p w14:paraId="2852698B" w14:textId="77777777" w:rsidR="00241417" w:rsidRDefault="00241417" w:rsidP="003A71DE">
            <w:pPr>
              <w:pStyle w:val="TAC"/>
            </w:pPr>
            <w:r>
              <w:t>188576</w:t>
            </w:r>
          </w:p>
        </w:tc>
        <w:tc>
          <w:tcPr>
            <w:tcW w:w="0" w:type="auto"/>
            <w:tcBorders>
              <w:top w:val="single" w:sz="4" w:space="0" w:color="auto"/>
              <w:left w:val="single" w:sz="4" w:space="0" w:color="auto"/>
              <w:bottom w:val="single" w:sz="4" w:space="0" w:color="auto"/>
              <w:right w:val="single" w:sz="4" w:space="0" w:color="auto"/>
            </w:tcBorders>
            <w:vAlign w:val="center"/>
          </w:tcPr>
          <w:p w14:paraId="7CA7C745" w14:textId="77777777" w:rsidR="00241417" w:rsidRDefault="00241417" w:rsidP="003A71DE">
            <w:pPr>
              <w:pStyle w:val="TAC"/>
            </w:pPr>
            <w:r>
              <w:rPr>
                <w:lang w:eastAsia="zh-CN"/>
              </w:rPr>
              <w:t>278776</w:t>
            </w:r>
          </w:p>
        </w:tc>
        <w:tc>
          <w:tcPr>
            <w:tcW w:w="0" w:type="auto"/>
            <w:tcBorders>
              <w:top w:val="single" w:sz="4" w:space="0" w:color="auto"/>
              <w:left w:val="single" w:sz="4" w:space="0" w:color="auto"/>
              <w:bottom w:val="single" w:sz="4" w:space="0" w:color="auto"/>
              <w:right w:val="single" w:sz="4" w:space="0" w:color="auto"/>
            </w:tcBorders>
            <w:vAlign w:val="center"/>
          </w:tcPr>
          <w:p w14:paraId="4B9490BC" w14:textId="77777777" w:rsidR="00241417" w:rsidRDefault="00241417" w:rsidP="003A71DE">
            <w:pPr>
              <w:pStyle w:val="TAC"/>
            </w:pPr>
            <w:r>
              <w:rPr>
                <w:lang w:eastAsia="zh-CN"/>
              </w:rPr>
              <w:t>376896</w:t>
            </w:r>
          </w:p>
        </w:tc>
      </w:tr>
      <w:tr w:rsidR="00241417" w14:paraId="795DFFE2" w14:textId="77777777" w:rsidTr="003A71DE">
        <w:trPr>
          <w:jc w:val="center"/>
        </w:trPr>
        <w:tc>
          <w:tcPr>
            <w:tcW w:w="0" w:type="auto"/>
            <w:gridSpan w:val="8"/>
            <w:tcBorders>
              <w:top w:val="single" w:sz="4" w:space="0" w:color="auto"/>
              <w:left w:val="single" w:sz="4" w:space="0" w:color="auto"/>
              <w:bottom w:val="single" w:sz="4" w:space="0" w:color="auto"/>
              <w:right w:val="single" w:sz="4" w:space="0" w:color="auto"/>
            </w:tcBorders>
            <w:vAlign w:val="center"/>
            <w:hideMark/>
          </w:tcPr>
          <w:p w14:paraId="0775FB82" w14:textId="77777777" w:rsidR="00241417" w:rsidRDefault="00241417" w:rsidP="003A71DE">
            <w:pPr>
              <w:pStyle w:val="TAN"/>
            </w:pPr>
            <w:r>
              <w:t>NOTE</w:t>
            </w:r>
            <w:r w:rsidRPr="00766BC2">
              <w:t xml:space="preserve"> 1:</w:t>
            </w:r>
            <w:r>
              <w:t xml:space="preserve"> </w:t>
            </w:r>
            <w:r w:rsidRPr="00766BC2">
              <w:t xml:space="preserve">Number of DMRS </w:t>
            </w:r>
            <w:r w:rsidRPr="00D952AE">
              <w:rPr>
                <w:lang w:eastAsia="zh-CN"/>
              </w:rPr>
              <w:t>REs</w:t>
            </w:r>
            <w:r w:rsidRPr="00C542A4">
              <w:t xml:space="preserve"> includes the overhead of the DM-RS CDM groups without data</w:t>
            </w:r>
          </w:p>
          <w:p w14:paraId="543E6964" w14:textId="77777777" w:rsidR="00241417" w:rsidRDefault="00241417" w:rsidP="003A71DE">
            <w:pPr>
              <w:pStyle w:val="TAN"/>
            </w:pPr>
            <w:r>
              <w:t xml:space="preserve">NOTE 2: </w:t>
            </w:r>
            <w:r w:rsidRPr="00FE146D">
              <w:t>PDSCH is only scheduled on slots which are full DL</w:t>
            </w:r>
          </w:p>
        </w:tc>
      </w:tr>
    </w:tbl>
    <w:p w14:paraId="262E8A26" w14:textId="77777777" w:rsidR="00241417" w:rsidRDefault="00241417" w:rsidP="00241417"/>
    <w:p w14:paraId="62768FD2" w14:textId="77777777" w:rsidR="00241417" w:rsidRPr="0060700A" w:rsidRDefault="00241417" w:rsidP="00241417">
      <w:pPr>
        <w:pStyle w:val="TH"/>
      </w:pPr>
      <w:r>
        <w:lastRenderedPageBreak/>
        <w:t xml:space="preserve">Table A.3.5-2: </w:t>
      </w:r>
      <w:r w:rsidRPr="002B2367">
        <w:t xml:space="preserve">Fixed Reference Channels </w:t>
      </w:r>
      <w:r>
        <w:t>for FR2 CSI reporting with CQI table 1 and MCS table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9"/>
        <w:gridCol w:w="1696"/>
        <w:gridCol w:w="1110"/>
        <w:gridCol w:w="1110"/>
        <w:gridCol w:w="1433"/>
        <w:gridCol w:w="1433"/>
      </w:tblGrid>
      <w:tr w:rsidR="00241417" w14:paraId="7429806A"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9785815" w14:textId="77777777" w:rsidR="00241417" w:rsidRPr="00623D6B" w:rsidRDefault="00241417" w:rsidP="003A71DE">
            <w:pPr>
              <w:pStyle w:val="TAH"/>
            </w:pPr>
            <w:r>
              <w:t>Reference channel</w:t>
            </w:r>
          </w:p>
        </w:tc>
        <w:tc>
          <w:tcPr>
            <w:tcW w:w="0" w:type="auto"/>
            <w:tcBorders>
              <w:top w:val="single" w:sz="4" w:space="0" w:color="auto"/>
              <w:left w:val="single" w:sz="4" w:space="0" w:color="auto"/>
              <w:bottom w:val="single" w:sz="4" w:space="0" w:color="auto"/>
              <w:right w:val="single" w:sz="4" w:space="0" w:color="auto"/>
            </w:tcBorders>
            <w:vAlign w:val="center"/>
            <w:hideMark/>
          </w:tcPr>
          <w:p w14:paraId="18D813F2" w14:textId="77777777" w:rsidR="00241417" w:rsidRPr="00623D6B" w:rsidRDefault="00241417" w:rsidP="003A71DE">
            <w:pPr>
              <w:pStyle w:val="TAH"/>
            </w:pPr>
            <w:r>
              <w:t>M-FR2-A.3.5-1</w:t>
            </w:r>
          </w:p>
        </w:tc>
        <w:tc>
          <w:tcPr>
            <w:tcW w:w="0" w:type="auto"/>
            <w:tcBorders>
              <w:top w:val="single" w:sz="4" w:space="0" w:color="auto"/>
              <w:left w:val="single" w:sz="4" w:space="0" w:color="auto"/>
              <w:bottom w:val="single" w:sz="4" w:space="0" w:color="auto"/>
              <w:right w:val="single" w:sz="4" w:space="0" w:color="auto"/>
            </w:tcBorders>
            <w:vAlign w:val="center"/>
          </w:tcPr>
          <w:p w14:paraId="3481D733" w14:textId="77777777" w:rsidR="00241417" w:rsidRDefault="00241417" w:rsidP="003A71DE">
            <w:pPr>
              <w:pStyle w:val="TAH"/>
              <w:rPr>
                <w:lang w:eastAsia="zh-CN"/>
              </w:rPr>
            </w:pPr>
            <w:r>
              <w:t>M-FR2-A.3.5-2</w:t>
            </w:r>
          </w:p>
        </w:tc>
      </w:tr>
      <w:tr w:rsidR="00241417" w14:paraId="2CD07A54"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773047E2" w14:textId="77777777" w:rsidR="00241417" w:rsidRDefault="00241417" w:rsidP="003A71DE">
            <w:pPr>
              <w:pStyle w:val="TAC"/>
              <w:rPr>
                <w:rFonts w:eastAsia="SimSun"/>
                <w:lang w:eastAsia="zh-CN"/>
              </w:rPr>
            </w:pPr>
            <w:r>
              <w:t>Number of allocated PDSCH resource blocks</w:t>
            </w:r>
          </w:p>
        </w:tc>
        <w:tc>
          <w:tcPr>
            <w:tcW w:w="0" w:type="auto"/>
            <w:tcBorders>
              <w:top w:val="single" w:sz="4" w:space="0" w:color="auto"/>
              <w:left w:val="single" w:sz="4" w:space="0" w:color="auto"/>
              <w:bottom w:val="single" w:sz="4" w:space="0" w:color="auto"/>
              <w:right w:val="single" w:sz="4" w:space="0" w:color="auto"/>
            </w:tcBorders>
            <w:vAlign w:val="center"/>
            <w:hideMark/>
          </w:tcPr>
          <w:p w14:paraId="1242A02A" w14:textId="77777777" w:rsidR="00241417" w:rsidRDefault="00241417" w:rsidP="003A71DE">
            <w:pPr>
              <w:pStyle w:val="TAC"/>
              <w:rPr>
                <w:lang w:eastAsia="zh-CN"/>
              </w:rPr>
            </w:pPr>
            <w:r>
              <w:rPr>
                <w:lang w:eastAsia="zh-CN"/>
              </w:rPr>
              <w:t>66</w:t>
            </w:r>
          </w:p>
        </w:tc>
        <w:tc>
          <w:tcPr>
            <w:tcW w:w="0" w:type="auto"/>
            <w:tcBorders>
              <w:top w:val="single" w:sz="4" w:space="0" w:color="auto"/>
              <w:left w:val="single" w:sz="4" w:space="0" w:color="auto"/>
              <w:bottom w:val="single" w:sz="4" w:space="0" w:color="auto"/>
              <w:right w:val="single" w:sz="4" w:space="0" w:color="auto"/>
            </w:tcBorders>
            <w:vAlign w:val="center"/>
          </w:tcPr>
          <w:p w14:paraId="210736DD" w14:textId="77777777" w:rsidR="00241417" w:rsidRDefault="00241417" w:rsidP="003A71DE">
            <w:pPr>
              <w:pStyle w:val="TAC"/>
              <w:rPr>
                <w:lang w:eastAsia="zh-CN"/>
              </w:rPr>
            </w:pPr>
            <w:r>
              <w:rPr>
                <w:lang w:eastAsia="zh-CN"/>
              </w:rPr>
              <w:t>66</w:t>
            </w:r>
          </w:p>
        </w:tc>
      </w:tr>
      <w:tr w:rsidR="00241417" w14:paraId="5BEDA0ED"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54F1AB47" w14:textId="77777777" w:rsidR="00241417" w:rsidRDefault="00241417" w:rsidP="003A71DE">
            <w:pPr>
              <w:pStyle w:val="TAC"/>
              <w:rPr>
                <w:rFonts w:eastAsia="SimSun"/>
                <w:lang w:eastAsia="zh-CN"/>
              </w:rPr>
            </w:pPr>
            <w:r>
              <w:t>Number of consecutive PDSCH symbols</w:t>
            </w:r>
          </w:p>
        </w:tc>
        <w:tc>
          <w:tcPr>
            <w:tcW w:w="0" w:type="auto"/>
            <w:tcBorders>
              <w:top w:val="single" w:sz="4" w:space="0" w:color="auto"/>
              <w:left w:val="single" w:sz="4" w:space="0" w:color="auto"/>
              <w:bottom w:val="single" w:sz="4" w:space="0" w:color="auto"/>
              <w:right w:val="single" w:sz="4" w:space="0" w:color="auto"/>
            </w:tcBorders>
            <w:vAlign w:val="center"/>
            <w:hideMark/>
          </w:tcPr>
          <w:p w14:paraId="56449690" w14:textId="77777777" w:rsidR="00241417" w:rsidRDefault="00241417" w:rsidP="003A71DE">
            <w:pPr>
              <w:pStyle w:val="TAC"/>
              <w:rPr>
                <w:lang w:eastAsia="zh-CN"/>
              </w:rPr>
            </w:pPr>
            <w:r>
              <w:rPr>
                <w:lang w:eastAsia="zh-CN"/>
              </w:rPr>
              <w:t>12</w:t>
            </w:r>
          </w:p>
        </w:tc>
        <w:tc>
          <w:tcPr>
            <w:tcW w:w="0" w:type="auto"/>
            <w:tcBorders>
              <w:top w:val="single" w:sz="4" w:space="0" w:color="auto"/>
              <w:left w:val="single" w:sz="4" w:space="0" w:color="auto"/>
              <w:bottom w:val="single" w:sz="4" w:space="0" w:color="auto"/>
              <w:right w:val="single" w:sz="4" w:space="0" w:color="auto"/>
            </w:tcBorders>
            <w:vAlign w:val="center"/>
          </w:tcPr>
          <w:p w14:paraId="2050EF00" w14:textId="77777777" w:rsidR="00241417" w:rsidRDefault="00241417" w:rsidP="003A71DE">
            <w:pPr>
              <w:pStyle w:val="TAC"/>
              <w:rPr>
                <w:lang w:eastAsia="zh-CN"/>
              </w:rPr>
            </w:pPr>
            <w:r>
              <w:rPr>
                <w:lang w:eastAsia="zh-CN"/>
              </w:rPr>
              <w:t>12</w:t>
            </w:r>
          </w:p>
        </w:tc>
      </w:tr>
      <w:tr w:rsidR="00241417" w14:paraId="5E63278E"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46437A57" w14:textId="77777777" w:rsidR="00241417" w:rsidRDefault="00241417" w:rsidP="003A71DE">
            <w:pPr>
              <w:pStyle w:val="TAC"/>
              <w:rPr>
                <w:rFonts w:eastAsia="SimSun"/>
                <w:lang w:eastAsia="zh-CN"/>
              </w:rPr>
            </w:pPr>
            <w:r>
              <w:t>Number of PDSCH MIMO layers</w:t>
            </w:r>
          </w:p>
        </w:tc>
        <w:tc>
          <w:tcPr>
            <w:tcW w:w="0" w:type="auto"/>
            <w:tcBorders>
              <w:top w:val="single" w:sz="4" w:space="0" w:color="auto"/>
              <w:left w:val="single" w:sz="4" w:space="0" w:color="auto"/>
              <w:bottom w:val="single" w:sz="4" w:space="0" w:color="auto"/>
              <w:right w:val="single" w:sz="4" w:space="0" w:color="auto"/>
            </w:tcBorders>
            <w:vAlign w:val="center"/>
            <w:hideMark/>
          </w:tcPr>
          <w:p w14:paraId="25B93812" w14:textId="77777777" w:rsidR="00241417" w:rsidRDefault="00241417" w:rsidP="003A71DE">
            <w:pPr>
              <w:pStyle w:val="TAC"/>
              <w:rPr>
                <w:lang w:eastAsia="zh-CN"/>
              </w:rPr>
            </w:pPr>
            <w:r>
              <w:rPr>
                <w:lang w:eastAsia="zh-CN"/>
              </w:rPr>
              <w:t>1</w:t>
            </w:r>
          </w:p>
        </w:tc>
        <w:tc>
          <w:tcPr>
            <w:tcW w:w="0" w:type="auto"/>
            <w:tcBorders>
              <w:top w:val="single" w:sz="4" w:space="0" w:color="auto"/>
              <w:left w:val="single" w:sz="4" w:space="0" w:color="auto"/>
              <w:bottom w:val="single" w:sz="4" w:space="0" w:color="auto"/>
              <w:right w:val="single" w:sz="4" w:space="0" w:color="auto"/>
            </w:tcBorders>
            <w:vAlign w:val="center"/>
          </w:tcPr>
          <w:p w14:paraId="4DA8C38F" w14:textId="77777777" w:rsidR="00241417" w:rsidRDefault="00241417" w:rsidP="003A71DE">
            <w:pPr>
              <w:pStyle w:val="TAC"/>
              <w:rPr>
                <w:lang w:eastAsia="zh-CN"/>
              </w:rPr>
            </w:pPr>
            <w:r>
              <w:rPr>
                <w:lang w:eastAsia="zh-CN"/>
              </w:rPr>
              <w:t>2</w:t>
            </w:r>
          </w:p>
        </w:tc>
      </w:tr>
      <w:tr w:rsidR="00241417" w14:paraId="466625DC"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1CF14DED" w14:textId="77777777" w:rsidR="00241417" w:rsidRDefault="00241417" w:rsidP="003A71DE">
            <w:pPr>
              <w:pStyle w:val="TAC"/>
              <w:rPr>
                <w:rFonts w:eastAsia="SimSun"/>
                <w:lang w:eastAsia="zh-CN"/>
              </w:rPr>
            </w:pPr>
            <w:r>
              <w:t xml:space="preserve">Number of DMRS </w:t>
            </w:r>
            <w:r>
              <w:rPr>
                <w:lang w:eastAsia="zh-CN"/>
              </w:rPr>
              <w:t>REs</w:t>
            </w:r>
            <w:r>
              <w:t xml:space="preserve"> (Note 1)</w:t>
            </w:r>
          </w:p>
        </w:tc>
        <w:tc>
          <w:tcPr>
            <w:tcW w:w="0" w:type="auto"/>
            <w:tcBorders>
              <w:top w:val="single" w:sz="4" w:space="0" w:color="auto"/>
              <w:left w:val="single" w:sz="4" w:space="0" w:color="auto"/>
              <w:bottom w:val="single" w:sz="4" w:space="0" w:color="auto"/>
              <w:right w:val="single" w:sz="4" w:space="0" w:color="auto"/>
            </w:tcBorders>
            <w:vAlign w:val="center"/>
            <w:hideMark/>
          </w:tcPr>
          <w:p w14:paraId="704740AE" w14:textId="77777777" w:rsidR="00241417" w:rsidRDefault="00241417" w:rsidP="003A71DE">
            <w:pPr>
              <w:pStyle w:val="TAC"/>
              <w:rPr>
                <w:lang w:eastAsia="zh-CN"/>
              </w:rPr>
            </w:pPr>
            <w:r>
              <w:rPr>
                <w:lang w:eastAsia="zh-CN"/>
              </w:rPr>
              <w:t>24</w:t>
            </w:r>
          </w:p>
        </w:tc>
        <w:tc>
          <w:tcPr>
            <w:tcW w:w="0" w:type="auto"/>
            <w:tcBorders>
              <w:top w:val="single" w:sz="4" w:space="0" w:color="auto"/>
              <w:left w:val="single" w:sz="4" w:space="0" w:color="auto"/>
              <w:bottom w:val="single" w:sz="4" w:space="0" w:color="auto"/>
              <w:right w:val="single" w:sz="4" w:space="0" w:color="auto"/>
            </w:tcBorders>
            <w:vAlign w:val="center"/>
          </w:tcPr>
          <w:p w14:paraId="78894D44" w14:textId="77777777" w:rsidR="00241417" w:rsidRDefault="00241417" w:rsidP="003A71DE">
            <w:pPr>
              <w:pStyle w:val="TAC"/>
              <w:rPr>
                <w:lang w:eastAsia="zh-CN"/>
              </w:rPr>
            </w:pPr>
            <w:r>
              <w:rPr>
                <w:lang w:eastAsia="zh-CN"/>
              </w:rPr>
              <w:t>24</w:t>
            </w:r>
          </w:p>
        </w:tc>
      </w:tr>
      <w:tr w:rsidR="00241417" w14:paraId="42F7BF62"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57C74203" w14:textId="77777777" w:rsidR="00241417" w:rsidRDefault="00241417" w:rsidP="003A71DE">
            <w:pPr>
              <w:pStyle w:val="TAC"/>
              <w:rPr>
                <w:rFonts w:eastAsia="SimSun"/>
                <w:lang w:eastAsia="zh-CN"/>
              </w:rPr>
            </w:pPr>
            <w:r>
              <w:t>Overhead for TBS determination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123C45CF" w14:textId="77777777" w:rsidR="00241417" w:rsidRDefault="00241417" w:rsidP="003A71DE">
            <w:pPr>
              <w:pStyle w:val="TAC"/>
              <w:rPr>
                <w:lang w:eastAsia="zh-CN"/>
              </w:rPr>
            </w:pPr>
            <w:r>
              <w:rPr>
                <w:lang w:eastAsia="zh-CN"/>
              </w:rPr>
              <w:t>6</w:t>
            </w:r>
          </w:p>
        </w:tc>
        <w:tc>
          <w:tcPr>
            <w:tcW w:w="0" w:type="auto"/>
            <w:tcBorders>
              <w:top w:val="single" w:sz="4" w:space="0" w:color="auto"/>
              <w:left w:val="single" w:sz="4" w:space="0" w:color="auto"/>
              <w:bottom w:val="single" w:sz="4" w:space="0" w:color="auto"/>
              <w:right w:val="single" w:sz="4" w:space="0" w:color="auto"/>
            </w:tcBorders>
            <w:vAlign w:val="center"/>
          </w:tcPr>
          <w:p w14:paraId="2D4ECC13" w14:textId="77777777" w:rsidR="00241417" w:rsidRDefault="00241417" w:rsidP="003A71DE">
            <w:pPr>
              <w:pStyle w:val="TAC"/>
              <w:rPr>
                <w:lang w:eastAsia="zh-CN"/>
              </w:rPr>
            </w:pPr>
            <w:r>
              <w:rPr>
                <w:lang w:eastAsia="zh-CN"/>
              </w:rPr>
              <w:t>6</w:t>
            </w:r>
          </w:p>
        </w:tc>
      </w:tr>
      <w:tr w:rsidR="00241417" w14:paraId="38C6132C" w14:textId="77777777" w:rsidTr="003A71DE">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3575DB35" w14:textId="77777777" w:rsidR="00241417" w:rsidRDefault="00241417" w:rsidP="003A71DE">
            <w:pPr>
              <w:pStyle w:val="TAC"/>
              <w:rPr>
                <w:rFonts w:eastAsia="SimSun"/>
                <w:lang w:eastAsia="zh-CN"/>
              </w:rPr>
            </w:pPr>
            <w:r>
              <w:rPr>
                <w:lang w:eastAsia="zh-CN"/>
              </w:rPr>
              <w:t>Available RE-s</w:t>
            </w:r>
          </w:p>
        </w:tc>
        <w:tc>
          <w:tcPr>
            <w:tcW w:w="0" w:type="auto"/>
            <w:tcBorders>
              <w:top w:val="single" w:sz="4" w:space="0" w:color="auto"/>
              <w:left w:val="single" w:sz="4" w:space="0" w:color="auto"/>
              <w:bottom w:val="single" w:sz="4" w:space="0" w:color="auto"/>
              <w:right w:val="single" w:sz="4" w:space="0" w:color="auto"/>
            </w:tcBorders>
            <w:vAlign w:val="center"/>
            <w:hideMark/>
          </w:tcPr>
          <w:p w14:paraId="05675A79" w14:textId="77777777" w:rsidR="00241417" w:rsidRDefault="00241417" w:rsidP="003A71DE">
            <w:pPr>
              <w:pStyle w:val="TAC"/>
              <w:rPr>
                <w:lang w:eastAsia="zh-CN"/>
              </w:rPr>
            </w:pPr>
            <w:r>
              <w:rPr>
                <w:lang w:eastAsia="zh-CN"/>
              </w:rPr>
              <w:t>7590</w:t>
            </w:r>
          </w:p>
        </w:tc>
        <w:tc>
          <w:tcPr>
            <w:tcW w:w="0" w:type="auto"/>
            <w:tcBorders>
              <w:top w:val="single" w:sz="4" w:space="0" w:color="auto"/>
              <w:left w:val="single" w:sz="4" w:space="0" w:color="auto"/>
              <w:bottom w:val="single" w:sz="4" w:space="0" w:color="auto"/>
              <w:right w:val="single" w:sz="4" w:space="0" w:color="auto"/>
            </w:tcBorders>
            <w:vAlign w:val="center"/>
          </w:tcPr>
          <w:p w14:paraId="69067BBE" w14:textId="77777777" w:rsidR="00241417" w:rsidRDefault="00241417" w:rsidP="003A71DE">
            <w:pPr>
              <w:pStyle w:val="TAC"/>
              <w:rPr>
                <w:lang w:eastAsia="zh-CN"/>
              </w:rPr>
            </w:pPr>
            <w:r>
              <w:rPr>
                <w:lang w:eastAsia="zh-CN"/>
              </w:rPr>
              <w:t>7590</w:t>
            </w:r>
          </w:p>
        </w:tc>
      </w:tr>
      <w:tr w:rsidR="00241417" w14:paraId="3C374182"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1DA4F16" w14:textId="77777777" w:rsidR="00241417" w:rsidRDefault="00241417" w:rsidP="003A71DE">
            <w:pPr>
              <w:pStyle w:val="TAC"/>
              <w:rPr>
                <w:lang w:eastAsia="zh-CN"/>
              </w:rPr>
            </w:pPr>
            <w:r>
              <w:rPr>
                <w:lang w:eastAsia="zh-CN"/>
              </w:rPr>
              <w:t>CQI index</w:t>
            </w:r>
          </w:p>
        </w:tc>
        <w:tc>
          <w:tcPr>
            <w:tcW w:w="0" w:type="auto"/>
            <w:tcBorders>
              <w:top w:val="single" w:sz="4" w:space="0" w:color="auto"/>
              <w:left w:val="single" w:sz="4" w:space="0" w:color="auto"/>
              <w:bottom w:val="single" w:sz="4" w:space="0" w:color="auto"/>
              <w:right w:val="single" w:sz="4" w:space="0" w:color="auto"/>
            </w:tcBorders>
            <w:vAlign w:val="center"/>
            <w:hideMark/>
          </w:tcPr>
          <w:p w14:paraId="4F18B923" w14:textId="77777777" w:rsidR="00241417" w:rsidRDefault="00241417" w:rsidP="003A71DE">
            <w:pPr>
              <w:pStyle w:val="TAC"/>
              <w:rPr>
                <w:lang w:eastAsia="zh-CN"/>
              </w:rPr>
            </w:pPr>
            <w:r>
              <w:rPr>
                <w:lang w:eastAsia="zh-CN"/>
              </w:rPr>
              <w:t>Spectral efficiency</w:t>
            </w:r>
          </w:p>
        </w:tc>
        <w:tc>
          <w:tcPr>
            <w:tcW w:w="0" w:type="auto"/>
            <w:tcBorders>
              <w:top w:val="single" w:sz="4" w:space="0" w:color="auto"/>
              <w:left w:val="single" w:sz="4" w:space="0" w:color="auto"/>
              <w:bottom w:val="single" w:sz="4" w:space="0" w:color="auto"/>
              <w:right w:val="single" w:sz="4" w:space="0" w:color="auto"/>
            </w:tcBorders>
            <w:vAlign w:val="center"/>
            <w:hideMark/>
          </w:tcPr>
          <w:p w14:paraId="02834BC2" w14:textId="77777777" w:rsidR="00241417" w:rsidRDefault="00241417" w:rsidP="003A71DE">
            <w:pPr>
              <w:pStyle w:val="TAC"/>
              <w:rPr>
                <w:lang w:eastAsia="zh-CN"/>
              </w:rPr>
            </w:pPr>
            <w:r>
              <w:rPr>
                <w:lang w:eastAsia="zh-CN"/>
              </w:rPr>
              <w:t>MCS index</w:t>
            </w:r>
          </w:p>
        </w:tc>
        <w:tc>
          <w:tcPr>
            <w:tcW w:w="0" w:type="auto"/>
            <w:tcBorders>
              <w:top w:val="single" w:sz="4" w:space="0" w:color="auto"/>
              <w:left w:val="single" w:sz="4" w:space="0" w:color="auto"/>
              <w:bottom w:val="single" w:sz="4" w:space="0" w:color="auto"/>
              <w:right w:val="single" w:sz="4" w:space="0" w:color="auto"/>
            </w:tcBorders>
            <w:vAlign w:val="center"/>
            <w:hideMark/>
          </w:tcPr>
          <w:p w14:paraId="01FE155E" w14:textId="77777777" w:rsidR="00241417" w:rsidRDefault="00241417" w:rsidP="003A71DE">
            <w:pPr>
              <w:pStyle w:val="TAC"/>
            </w:pPr>
            <w:r>
              <w:t>Modulation</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0B8659FF" w14:textId="77777777" w:rsidR="00241417" w:rsidRDefault="00241417" w:rsidP="003A71DE">
            <w:pPr>
              <w:pStyle w:val="TAC"/>
            </w:pPr>
            <w:r>
              <w:t>Information Bit Payload per Slot</w:t>
            </w:r>
          </w:p>
        </w:tc>
      </w:tr>
      <w:tr w:rsidR="00241417" w14:paraId="054EABCE"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ED8DB15" w14:textId="77777777" w:rsidR="00241417" w:rsidRDefault="00241417" w:rsidP="003A71DE">
            <w:pPr>
              <w:pStyle w:val="TAC"/>
              <w:rPr>
                <w:lang w:eastAsia="zh-CN"/>
              </w:rPr>
            </w:pPr>
            <w:r>
              <w:rPr>
                <w:lang w:eastAsia="zh-CN"/>
              </w:rPr>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50598780" w14:textId="77777777" w:rsidR="00241417" w:rsidRDefault="00241417" w:rsidP="003A71DE">
            <w:pPr>
              <w:pStyle w:val="TAC"/>
              <w:rPr>
                <w:lang w:eastAsia="zh-CN"/>
              </w:rPr>
            </w:pPr>
            <w:r>
              <w:rPr>
                <w:lang w:eastAsia="zh-CN"/>
              </w:rPr>
              <w:t>OOR</w:t>
            </w:r>
          </w:p>
        </w:tc>
        <w:tc>
          <w:tcPr>
            <w:tcW w:w="0" w:type="auto"/>
            <w:tcBorders>
              <w:top w:val="single" w:sz="4" w:space="0" w:color="auto"/>
              <w:left w:val="single" w:sz="4" w:space="0" w:color="auto"/>
              <w:bottom w:val="single" w:sz="4" w:space="0" w:color="auto"/>
              <w:right w:val="single" w:sz="4" w:space="0" w:color="auto"/>
            </w:tcBorders>
            <w:vAlign w:val="center"/>
            <w:hideMark/>
          </w:tcPr>
          <w:p w14:paraId="15B00F4C" w14:textId="77777777" w:rsidR="00241417" w:rsidRDefault="00241417" w:rsidP="003A71DE">
            <w:pPr>
              <w:pStyle w:val="TAC"/>
              <w:rPr>
                <w:lang w:eastAsia="zh-CN"/>
              </w:rPr>
            </w:pPr>
            <w:r>
              <w:rPr>
                <w:lang w:eastAsia="zh-CN"/>
              </w:rPr>
              <w:t>OOR</w:t>
            </w:r>
          </w:p>
        </w:tc>
        <w:tc>
          <w:tcPr>
            <w:tcW w:w="0" w:type="auto"/>
            <w:tcBorders>
              <w:top w:val="single" w:sz="4" w:space="0" w:color="auto"/>
              <w:left w:val="single" w:sz="4" w:space="0" w:color="auto"/>
              <w:bottom w:val="single" w:sz="4" w:space="0" w:color="auto"/>
              <w:right w:val="single" w:sz="4" w:space="0" w:color="auto"/>
            </w:tcBorders>
            <w:vAlign w:val="center"/>
            <w:hideMark/>
          </w:tcPr>
          <w:p w14:paraId="1E478943" w14:textId="77777777" w:rsidR="00241417" w:rsidRDefault="00241417" w:rsidP="003A71DE">
            <w:pPr>
              <w:pStyle w:val="TAC"/>
              <w:rPr>
                <w:lang w:eastAsia="zh-CN"/>
              </w:rPr>
            </w:pPr>
            <w:r>
              <w:rPr>
                <w:lang w:eastAsia="zh-CN"/>
              </w:rPr>
              <w:t>OOR</w:t>
            </w:r>
          </w:p>
        </w:tc>
        <w:tc>
          <w:tcPr>
            <w:tcW w:w="0" w:type="auto"/>
            <w:tcBorders>
              <w:top w:val="single" w:sz="4" w:space="0" w:color="auto"/>
              <w:left w:val="single" w:sz="4" w:space="0" w:color="auto"/>
              <w:bottom w:val="single" w:sz="4" w:space="0" w:color="auto"/>
              <w:right w:val="single" w:sz="4" w:space="0" w:color="auto"/>
            </w:tcBorders>
            <w:vAlign w:val="center"/>
            <w:hideMark/>
          </w:tcPr>
          <w:p w14:paraId="3969A116" w14:textId="77777777" w:rsidR="00241417" w:rsidRDefault="00241417" w:rsidP="003A71DE">
            <w:pPr>
              <w:pStyle w:val="TAC"/>
              <w:rPr>
                <w:lang w:eastAsia="zh-CN"/>
              </w:rPr>
            </w:pPr>
            <w:r>
              <w:rPr>
                <w:lang w:eastAsia="zh-CN"/>
              </w:rPr>
              <w:t>N/A</w:t>
            </w:r>
          </w:p>
        </w:tc>
        <w:tc>
          <w:tcPr>
            <w:tcW w:w="0" w:type="auto"/>
            <w:tcBorders>
              <w:top w:val="single" w:sz="4" w:space="0" w:color="auto"/>
              <w:left w:val="single" w:sz="4" w:space="0" w:color="auto"/>
              <w:bottom w:val="single" w:sz="4" w:space="0" w:color="auto"/>
              <w:right w:val="single" w:sz="4" w:space="0" w:color="auto"/>
            </w:tcBorders>
            <w:vAlign w:val="center"/>
          </w:tcPr>
          <w:p w14:paraId="2455A95A" w14:textId="77777777" w:rsidR="00241417" w:rsidRDefault="00241417" w:rsidP="003A71DE">
            <w:pPr>
              <w:pStyle w:val="TAC"/>
              <w:rPr>
                <w:lang w:eastAsia="zh-CN"/>
              </w:rPr>
            </w:pPr>
            <w:r>
              <w:rPr>
                <w:lang w:eastAsia="zh-CN"/>
              </w:rPr>
              <w:t>N/A</w:t>
            </w:r>
          </w:p>
        </w:tc>
      </w:tr>
      <w:tr w:rsidR="00241417" w14:paraId="37E8FCDE"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621A39A" w14:textId="77777777" w:rsidR="00241417" w:rsidRDefault="00241417" w:rsidP="003A71DE">
            <w:pPr>
              <w:pStyle w:val="TAC"/>
              <w:rPr>
                <w:lang w:eastAsia="zh-CN"/>
              </w:rPr>
            </w:pPr>
            <w:r>
              <w:rPr>
                <w:lang w:eastAsia="zh-CN"/>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438E1367" w14:textId="77777777" w:rsidR="00241417" w:rsidRDefault="00241417" w:rsidP="003A71DE">
            <w:pPr>
              <w:pStyle w:val="TAC"/>
              <w:rPr>
                <w:lang w:eastAsia="zh-CN"/>
              </w:rPr>
            </w:pPr>
            <w:r>
              <w:t>0.1523</w:t>
            </w:r>
          </w:p>
        </w:tc>
        <w:tc>
          <w:tcPr>
            <w:tcW w:w="0" w:type="auto"/>
            <w:tcBorders>
              <w:top w:val="single" w:sz="4" w:space="0" w:color="auto"/>
              <w:left w:val="single" w:sz="4" w:space="0" w:color="auto"/>
              <w:bottom w:val="single" w:sz="4" w:space="0" w:color="auto"/>
              <w:right w:val="single" w:sz="4" w:space="0" w:color="auto"/>
            </w:tcBorders>
            <w:vAlign w:val="center"/>
            <w:hideMark/>
          </w:tcPr>
          <w:p w14:paraId="3C8B22B2" w14:textId="77777777" w:rsidR="00241417" w:rsidRDefault="00241417" w:rsidP="003A71DE">
            <w:pPr>
              <w:pStyle w:val="TAC"/>
              <w:rPr>
                <w:lang w:eastAsia="zh-CN"/>
              </w:rPr>
            </w:pPr>
            <w:r>
              <w:rPr>
                <w:lang w:eastAsia="zh-CN"/>
              </w:rPr>
              <w:t>0</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0BEDD0F" w14:textId="77777777" w:rsidR="00241417" w:rsidRDefault="00241417" w:rsidP="003A71DE">
            <w:pPr>
              <w:pStyle w:val="TAC"/>
              <w:rPr>
                <w:lang w:eastAsia="zh-CN"/>
              </w:rPr>
            </w:pPr>
            <w:r>
              <w:rPr>
                <w:lang w:eastAsia="zh-CN"/>
              </w:rPr>
              <w:t>QPSK</w:t>
            </w:r>
          </w:p>
        </w:tc>
        <w:tc>
          <w:tcPr>
            <w:tcW w:w="0" w:type="auto"/>
            <w:tcBorders>
              <w:top w:val="single" w:sz="4" w:space="0" w:color="auto"/>
              <w:left w:val="single" w:sz="4" w:space="0" w:color="auto"/>
              <w:bottom w:val="single" w:sz="4" w:space="0" w:color="auto"/>
              <w:right w:val="single" w:sz="4" w:space="0" w:color="auto"/>
            </w:tcBorders>
            <w:vAlign w:val="center"/>
            <w:hideMark/>
          </w:tcPr>
          <w:p w14:paraId="75334C7B" w14:textId="77777777" w:rsidR="00241417" w:rsidRDefault="00241417" w:rsidP="003A71DE">
            <w:pPr>
              <w:pStyle w:val="TAC"/>
              <w:rPr>
                <w:lang w:eastAsia="zh-CN"/>
              </w:rPr>
            </w:pPr>
            <w:r>
              <w:rPr>
                <w:lang w:eastAsia="zh-CN"/>
              </w:rPr>
              <w:t>1800</w:t>
            </w:r>
          </w:p>
        </w:tc>
        <w:tc>
          <w:tcPr>
            <w:tcW w:w="0" w:type="auto"/>
            <w:tcBorders>
              <w:top w:val="single" w:sz="4" w:space="0" w:color="auto"/>
              <w:left w:val="single" w:sz="4" w:space="0" w:color="auto"/>
              <w:bottom w:val="single" w:sz="4" w:space="0" w:color="auto"/>
              <w:right w:val="single" w:sz="4" w:space="0" w:color="auto"/>
            </w:tcBorders>
            <w:vAlign w:val="center"/>
          </w:tcPr>
          <w:p w14:paraId="4C0A0830" w14:textId="77777777" w:rsidR="00241417" w:rsidRDefault="00241417" w:rsidP="003A71DE">
            <w:pPr>
              <w:pStyle w:val="TAC"/>
              <w:rPr>
                <w:lang w:eastAsia="zh-CN"/>
              </w:rPr>
            </w:pPr>
            <w:r>
              <w:rPr>
                <w:lang w:eastAsia="zh-CN"/>
              </w:rPr>
              <w:t>3624</w:t>
            </w:r>
          </w:p>
        </w:tc>
      </w:tr>
      <w:tr w:rsidR="00241417" w14:paraId="56B1A851"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039ABEA" w14:textId="77777777" w:rsidR="00241417" w:rsidRDefault="00241417" w:rsidP="003A71DE">
            <w:pPr>
              <w:pStyle w:val="TAC"/>
              <w:rPr>
                <w:lang w:eastAsia="zh-CN"/>
              </w:rPr>
            </w:pPr>
            <w:r>
              <w:rPr>
                <w:lang w:eastAsia="zh-CN"/>
              </w:rPr>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3F84ECA0" w14:textId="77777777" w:rsidR="00241417" w:rsidRDefault="00241417" w:rsidP="003A71DE">
            <w:pPr>
              <w:pStyle w:val="TAC"/>
              <w:rPr>
                <w:lang w:eastAsia="zh-CN"/>
              </w:rPr>
            </w:pPr>
            <w:r>
              <w:t>0.2344</w:t>
            </w:r>
          </w:p>
        </w:tc>
        <w:tc>
          <w:tcPr>
            <w:tcW w:w="0" w:type="auto"/>
            <w:tcBorders>
              <w:top w:val="single" w:sz="4" w:space="0" w:color="auto"/>
              <w:left w:val="single" w:sz="4" w:space="0" w:color="auto"/>
              <w:bottom w:val="single" w:sz="4" w:space="0" w:color="auto"/>
              <w:right w:val="single" w:sz="4" w:space="0" w:color="auto"/>
            </w:tcBorders>
            <w:vAlign w:val="center"/>
            <w:hideMark/>
          </w:tcPr>
          <w:p w14:paraId="69768DF1" w14:textId="77777777" w:rsidR="00241417" w:rsidRDefault="00241417" w:rsidP="003A71DE">
            <w:pPr>
              <w:pStyle w:val="TAC"/>
              <w:rPr>
                <w:lang w:eastAsia="zh-CN"/>
              </w:rPr>
            </w:pPr>
            <w:r>
              <w:rPr>
                <w:lang w:eastAsia="zh-CN"/>
              </w:rPr>
              <w:t>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4303A49"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938ACEE" w14:textId="77777777" w:rsidR="00241417" w:rsidRDefault="00241417" w:rsidP="003A71DE">
            <w:pPr>
              <w:pStyle w:val="TAC"/>
              <w:rPr>
                <w:lang w:eastAsia="zh-CN"/>
              </w:rPr>
            </w:pPr>
            <w:r>
              <w:rPr>
                <w:lang w:eastAsia="zh-CN"/>
              </w:rPr>
              <w:t>1800</w:t>
            </w:r>
          </w:p>
        </w:tc>
        <w:tc>
          <w:tcPr>
            <w:tcW w:w="0" w:type="auto"/>
            <w:tcBorders>
              <w:top w:val="single" w:sz="4" w:space="0" w:color="auto"/>
              <w:left w:val="single" w:sz="4" w:space="0" w:color="auto"/>
              <w:bottom w:val="single" w:sz="4" w:space="0" w:color="auto"/>
              <w:right w:val="single" w:sz="4" w:space="0" w:color="auto"/>
            </w:tcBorders>
            <w:vAlign w:val="center"/>
          </w:tcPr>
          <w:p w14:paraId="1E4EF8F6" w14:textId="77777777" w:rsidR="00241417" w:rsidRDefault="00241417" w:rsidP="003A71DE">
            <w:pPr>
              <w:pStyle w:val="TAC"/>
              <w:rPr>
                <w:lang w:eastAsia="zh-CN"/>
              </w:rPr>
            </w:pPr>
            <w:r>
              <w:t>3624</w:t>
            </w:r>
          </w:p>
        </w:tc>
      </w:tr>
      <w:tr w:rsidR="00241417" w14:paraId="4D748345"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893190B" w14:textId="77777777" w:rsidR="00241417" w:rsidRDefault="00241417" w:rsidP="003A71DE">
            <w:pPr>
              <w:pStyle w:val="TAC"/>
              <w:rPr>
                <w:lang w:eastAsia="zh-CN"/>
              </w:rPr>
            </w:pPr>
            <w:r>
              <w:rPr>
                <w:lang w:eastAsia="zh-CN"/>
              </w:rPr>
              <w:t>3</w:t>
            </w:r>
          </w:p>
        </w:tc>
        <w:tc>
          <w:tcPr>
            <w:tcW w:w="0" w:type="auto"/>
            <w:tcBorders>
              <w:top w:val="single" w:sz="4" w:space="0" w:color="auto"/>
              <w:left w:val="single" w:sz="4" w:space="0" w:color="auto"/>
              <w:bottom w:val="single" w:sz="4" w:space="0" w:color="auto"/>
              <w:right w:val="single" w:sz="4" w:space="0" w:color="auto"/>
            </w:tcBorders>
            <w:vAlign w:val="center"/>
            <w:hideMark/>
          </w:tcPr>
          <w:p w14:paraId="3E34B13C" w14:textId="77777777" w:rsidR="00241417" w:rsidRDefault="00241417" w:rsidP="003A71DE">
            <w:pPr>
              <w:pStyle w:val="TAC"/>
              <w:rPr>
                <w:lang w:eastAsia="zh-CN"/>
              </w:rPr>
            </w:pPr>
            <w:r>
              <w:t>0.3770</w:t>
            </w:r>
          </w:p>
        </w:tc>
        <w:tc>
          <w:tcPr>
            <w:tcW w:w="0" w:type="auto"/>
            <w:tcBorders>
              <w:top w:val="single" w:sz="4" w:space="0" w:color="auto"/>
              <w:left w:val="single" w:sz="4" w:space="0" w:color="auto"/>
              <w:bottom w:val="single" w:sz="4" w:space="0" w:color="auto"/>
              <w:right w:val="single" w:sz="4" w:space="0" w:color="auto"/>
            </w:tcBorders>
            <w:vAlign w:val="center"/>
            <w:hideMark/>
          </w:tcPr>
          <w:p w14:paraId="0680168E" w14:textId="77777777" w:rsidR="00241417" w:rsidRDefault="00241417" w:rsidP="003A71DE">
            <w:pPr>
              <w:pStyle w:val="TAC"/>
              <w:rPr>
                <w:lang w:eastAsia="zh-CN"/>
              </w:rPr>
            </w:pPr>
            <w:r>
              <w:rPr>
                <w:lang w:eastAsia="zh-CN"/>
              </w:rPr>
              <w:t>2</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AEDEB32"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464E46A" w14:textId="77777777" w:rsidR="00241417" w:rsidRDefault="00241417" w:rsidP="003A71DE">
            <w:pPr>
              <w:pStyle w:val="TAC"/>
              <w:rPr>
                <w:lang w:eastAsia="zh-CN"/>
              </w:rPr>
            </w:pPr>
            <w:r>
              <w:rPr>
                <w:lang w:eastAsia="zh-CN"/>
              </w:rPr>
              <w:t>2856</w:t>
            </w:r>
          </w:p>
        </w:tc>
        <w:tc>
          <w:tcPr>
            <w:tcW w:w="0" w:type="auto"/>
            <w:tcBorders>
              <w:top w:val="single" w:sz="4" w:space="0" w:color="auto"/>
              <w:left w:val="single" w:sz="4" w:space="0" w:color="auto"/>
              <w:bottom w:val="single" w:sz="4" w:space="0" w:color="auto"/>
              <w:right w:val="single" w:sz="4" w:space="0" w:color="auto"/>
            </w:tcBorders>
            <w:vAlign w:val="center"/>
          </w:tcPr>
          <w:p w14:paraId="7D9B64BC" w14:textId="77777777" w:rsidR="00241417" w:rsidRDefault="00241417" w:rsidP="003A71DE">
            <w:pPr>
              <w:pStyle w:val="TAC"/>
              <w:rPr>
                <w:lang w:eastAsia="zh-CN"/>
              </w:rPr>
            </w:pPr>
            <w:r>
              <w:t>5640</w:t>
            </w:r>
          </w:p>
        </w:tc>
      </w:tr>
      <w:tr w:rsidR="00241417" w14:paraId="44B691E1"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9DCDB64" w14:textId="77777777" w:rsidR="00241417" w:rsidRDefault="00241417" w:rsidP="003A71DE">
            <w:pPr>
              <w:pStyle w:val="TAC"/>
              <w:rPr>
                <w:lang w:eastAsia="zh-CN"/>
              </w:rPr>
            </w:pPr>
            <w:r>
              <w:rPr>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8D93F53" w14:textId="77777777" w:rsidR="00241417" w:rsidRDefault="00241417" w:rsidP="003A71DE">
            <w:pPr>
              <w:pStyle w:val="TAC"/>
              <w:rPr>
                <w:lang w:eastAsia="zh-CN"/>
              </w:rPr>
            </w:pPr>
            <w:r>
              <w:t>0.6016</w:t>
            </w:r>
          </w:p>
        </w:tc>
        <w:tc>
          <w:tcPr>
            <w:tcW w:w="0" w:type="auto"/>
            <w:tcBorders>
              <w:top w:val="single" w:sz="4" w:space="0" w:color="auto"/>
              <w:left w:val="single" w:sz="4" w:space="0" w:color="auto"/>
              <w:bottom w:val="single" w:sz="4" w:space="0" w:color="auto"/>
              <w:right w:val="single" w:sz="4" w:space="0" w:color="auto"/>
            </w:tcBorders>
            <w:vAlign w:val="center"/>
            <w:hideMark/>
          </w:tcPr>
          <w:p w14:paraId="415F559A" w14:textId="77777777" w:rsidR="00241417" w:rsidRDefault="00241417" w:rsidP="003A71DE">
            <w:pPr>
              <w:pStyle w:val="TAC"/>
              <w:rPr>
                <w:lang w:eastAsia="zh-CN"/>
              </w:rPr>
            </w:pPr>
            <w:r>
              <w:rPr>
                <w:lang w:eastAsia="zh-CN"/>
              </w:rPr>
              <w:t>4</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163D7EE"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E5F76E9" w14:textId="77777777" w:rsidR="00241417" w:rsidRDefault="00241417" w:rsidP="003A71DE">
            <w:pPr>
              <w:pStyle w:val="TAC"/>
              <w:rPr>
                <w:lang w:eastAsia="zh-CN"/>
              </w:rPr>
            </w:pPr>
            <w:r>
              <w:rPr>
                <w:lang w:eastAsia="zh-CN"/>
              </w:rPr>
              <w:t>4480</w:t>
            </w:r>
          </w:p>
        </w:tc>
        <w:tc>
          <w:tcPr>
            <w:tcW w:w="0" w:type="auto"/>
            <w:tcBorders>
              <w:top w:val="single" w:sz="4" w:space="0" w:color="auto"/>
              <w:left w:val="single" w:sz="4" w:space="0" w:color="auto"/>
              <w:bottom w:val="single" w:sz="4" w:space="0" w:color="auto"/>
              <w:right w:val="single" w:sz="4" w:space="0" w:color="auto"/>
            </w:tcBorders>
            <w:vAlign w:val="center"/>
          </w:tcPr>
          <w:p w14:paraId="5F61C45A" w14:textId="77777777" w:rsidR="00241417" w:rsidRDefault="00241417" w:rsidP="003A71DE">
            <w:pPr>
              <w:pStyle w:val="TAC"/>
              <w:rPr>
                <w:lang w:eastAsia="zh-CN"/>
              </w:rPr>
            </w:pPr>
            <w:r>
              <w:t>8968</w:t>
            </w:r>
          </w:p>
        </w:tc>
      </w:tr>
      <w:tr w:rsidR="00241417" w14:paraId="432A041C"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B072EC5" w14:textId="77777777" w:rsidR="00241417" w:rsidRDefault="00241417" w:rsidP="003A71DE">
            <w:pPr>
              <w:pStyle w:val="TAC"/>
              <w:rPr>
                <w:lang w:eastAsia="zh-CN"/>
              </w:rPr>
            </w:pPr>
            <w:r>
              <w:rPr>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4D9A00BA" w14:textId="77777777" w:rsidR="00241417" w:rsidRDefault="00241417" w:rsidP="003A71DE">
            <w:pPr>
              <w:pStyle w:val="TAC"/>
              <w:rPr>
                <w:lang w:eastAsia="zh-CN"/>
              </w:rPr>
            </w:pPr>
            <w:r>
              <w:t>0.8770</w:t>
            </w:r>
          </w:p>
        </w:tc>
        <w:tc>
          <w:tcPr>
            <w:tcW w:w="0" w:type="auto"/>
            <w:tcBorders>
              <w:top w:val="single" w:sz="4" w:space="0" w:color="auto"/>
              <w:left w:val="single" w:sz="4" w:space="0" w:color="auto"/>
              <w:bottom w:val="single" w:sz="4" w:space="0" w:color="auto"/>
              <w:right w:val="single" w:sz="4" w:space="0" w:color="auto"/>
            </w:tcBorders>
            <w:vAlign w:val="center"/>
            <w:hideMark/>
          </w:tcPr>
          <w:p w14:paraId="281AAC26" w14:textId="77777777" w:rsidR="00241417" w:rsidRDefault="00241417" w:rsidP="003A71DE">
            <w:pPr>
              <w:pStyle w:val="TAC"/>
              <w:rPr>
                <w:lang w:eastAsia="zh-CN"/>
              </w:rPr>
            </w:pPr>
            <w:r>
              <w:rPr>
                <w:lang w:eastAsia="zh-CN"/>
              </w:rPr>
              <w:t>6</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24AF9B6"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15A6EAB" w14:textId="77777777" w:rsidR="00241417" w:rsidRDefault="00241417" w:rsidP="003A71DE">
            <w:pPr>
              <w:pStyle w:val="TAC"/>
              <w:rPr>
                <w:lang w:eastAsia="zh-CN"/>
              </w:rPr>
            </w:pPr>
            <w:r>
              <w:rPr>
                <w:lang w:eastAsia="zh-CN"/>
              </w:rPr>
              <w:t>6528</w:t>
            </w:r>
          </w:p>
        </w:tc>
        <w:tc>
          <w:tcPr>
            <w:tcW w:w="0" w:type="auto"/>
            <w:tcBorders>
              <w:top w:val="single" w:sz="4" w:space="0" w:color="auto"/>
              <w:left w:val="single" w:sz="4" w:space="0" w:color="auto"/>
              <w:bottom w:val="single" w:sz="4" w:space="0" w:color="auto"/>
              <w:right w:val="single" w:sz="4" w:space="0" w:color="auto"/>
            </w:tcBorders>
            <w:vAlign w:val="center"/>
          </w:tcPr>
          <w:p w14:paraId="75546EC2" w14:textId="77777777" w:rsidR="00241417" w:rsidRDefault="00241417" w:rsidP="003A71DE">
            <w:pPr>
              <w:pStyle w:val="TAC"/>
              <w:rPr>
                <w:lang w:eastAsia="zh-CN"/>
              </w:rPr>
            </w:pPr>
            <w:r>
              <w:t>13064</w:t>
            </w:r>
          </w:p>
        </w:tc>
      </w:tr>
      <w:tr w:rsidR="00241417" w14:paraId="1D7DE1AE"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DEC74EC" w14:textId="77777777" w:rsidR="00241417" w:rsidRDefault="00241417" w:rsidP="003A71DE">
            <w:pPr>
              <w:pStyle w:val="TAC"/>
              <w:rPr>
                <w:lang w:eastAsia="zh-CN"/>
              </w:rPr>
            </w:pPr>
            <w:r>
              <w:rPr>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334E57E7" w14:textId="77777777" w:rsidR="00241417" w:rsidRDefault="00241417" w:rsidP="003A71DE">
            <w:pPr>
              <w:pStyle w:val="TAC"/>
              <w:rPr>
                <w:lang w:eastAsia="zh-CN"/>
              </w:rPr>
            </w:pPr>
            <w:r>
              <w:t>1.1758</w:t>
            </w:r>
          </w:p>
        </w:tc>
        <w:tc>
          <w:tcPr>
            <w:tcW w:w="0" w:type="auto"/>
            <w:tcBorders>
              <w:top w:val="single" w:sz="4" w:space="0" w:color="auto"/>
              <w:left w:val="single" w:sz="4" w:space="0" w:color="auto"/>
              <w:bottom w:val="single" w:sz="4" w:space="0" w:color="auto"/>
              <w:right w:val="single" w:sz="4" w:space="0" w:color="auto"/>
            </w:tcBorders>
            <w:vAlign w:val="center"/>
            <w:hideMark/>
          </w:tcPr>
          <w:p w14:paraId="5F8F0E69" w14:textId="77777777" w:rsidR="00241417" w:rsidRDefault="00241417" w:rsidP="003A71DE">
            <w:pPr>
              <w:pStyle w:val="TAC"/>
              <w:rPr>
                <w:lang w:eastAsia="zh-CN"/>
              </w:rPr>
            </w:pPr>
            <w:r>
              <w:rPr>
                <w:lang w:eastAsia="zh-CN"/>
              </w:rPr>
              <w:t>8</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E28B5A7"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ACD8389" w14:textId="77777777" w:rsidR="00241417" w:rsidRDefault="00241417" w:rsidP="003A71DE">
            <w:pPr>
              <w:pStyle w:val="TAC"/>
              <w:rPr>
                <w:lang w:eastAsia="zh-CN"/>
              </w:rPr>
            </w:pPr>
            <w:r>
              <w:rPr>
                <w:lang w:eastAsia="zh-CN"/>
              </w:rPr>
              <w:t>8712</w:t>
            </w:r>
          </w:p>
        </w:tc>
        <w:tc>
          <w:tcPr>
            <w:tcW w:w="0" w:type="auto"/>
            <w:tcBorders>
              <w:top w:val="single" w:sz="4" w:space="0" w:color="auto"/>
              <w:left w:val="single" w:sz="4" w:space="0" w:color="auto"/>
              <w:bottom w:val="single" w:sz="4" w:space="0" w:color="auto"/>
              <w:right w:val="single" w:sz="4" w:space="0" w:color="auto"/>
            </w:tcBorders>
            <w:vAlign w:val="center"/>
          </w:tcPr>
          <w:p w14:paraId="493BFDA1" w14:textId="77777777" w:rsidR="00241417" w:rsidRDefault="00241417" w:rsidP="003A71DE">
            <w:pPr>
              <w:pStyle w:val="TAC"/>
              <w:rPr>
                <w:lang w:eastAsia="zh-CN"/>
              </w:rPr>
            </w:pPr>
            <w:r>
              <w:t>17928</w:t>
            </w:r>
          </w:p>
        </w:tc>
      </w:tr>
      <w:tr w:rsidR="00241417" w14:paraId="3A772F0F"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147A209" w14:textId="77777777" w:rsidR="00241417" w:rsidRDefault="00241417" w:rsidP="003A71DE">
            <w:pPr>
              <w:pStyle w:val="TAC"/>
              <w:rPr>
                <w:lang w:eastAsia="zh-CN"/>
              </w:rPr>
            </w:pPr>
            <w:r>
              <w:rPr>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341FF43C" w14:textId="77777777" w:rsidR="00241417" w:rsidRDefault="00241417" w:rsidP="003A71DE">
            <w:pPr>
              <w:pStyle w:val="TAC"/>
              <w:rPr>
                <w:lang w:eastAsia="zh-CN"/>
              </w:rPr>
            </w:pPr>
            <w:r>
              <w:t>1.4766</w:t>
            </w:r>
          </w:p>
        </w:tc>
        <w:tc>
          <w:tcPr>
            <w:tcW w:w="0" w:type="auto"/>
            <w:tcBorders>
              <w:top w:val="single" w:sz="4" w:space="0" w:color="auto"/>
              <w:left w:val="single" w:sz="4" w:space="0" w:color="auto"/>
              <w:bottom w:val="single" w:sz="4" w:space="0" w:color="auto"/>
              <w:right w:val="single" w:sz="4" w:space="0" w:color="auto"/>
            </w:tcBorders>
            <w:vAlign w:val="center"/>
            <w:hideMark/>
          </w:tcPr>
          <w:p w14:paraId="48E967C8" w14:textId="77777777" w:rsidR="00241417" w:rsidRDefault="00241417" w:rsidP="003A71DE">
            <w:pPr>
              <w:pStyle w:val="TAC"/>
              <w:rPr>
                <w:lang w:eastAsia="zh-CN"/>
              </w:rPr>
            </w:pPr>
            <w:r>
              <w:rPr>
                <w:lang w:eastAsia="zh-CN"/>
              </w:rPr>
              <w:t>11</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D3F3BA9" w14:textId="77777777" w:rsidR="00241417" w:rsidRDefault="00241417" w:rsidP="003A71DE">
            <w:pPr>
              <w:pStyle w:val="TAC"/>
              <w:rPr>
                <w:lang w:eastAsia="zh-CN"/>
              </w:rPr>
            </w:pPr>
            <w:r>
              <w:rPr>
                <w:lang w:eastAsia="zh-CN"/>
              </w:rPr>
              <w:t>16QAM</w:t>
            </w:r>
          </w:p>
        </w:tc>
        <w:tc>
          <w:tcPr>
            <w:tcW w:w="0" w:type="auto"/>
            <w:tcBorders>
              <w:top w:val="single" w:sz="4" w:space="0" w:color="auto"/>
              <w:left w:val="single" w:sz="4" w:space="0" w:color="auto"/>
              <w:bottom w:val="single" w:sz="4" w:space="0" w:color="auto"/>
              <w:right w:val="single" w:sz="4" w:space="0" w:color="auto"/>
            </w:tcBorders>
            <w:vAlign w:val="center"/>
            <w:hideMark/>
          </w:tcPr>
          <w:p w14:paraId="3DE09604" w14:textId="77777777" w:rsidR="00241417" w:rsidRDefault="00241417" w:rsidP="003A71DE">
            <w:pPr>
              <w:pStyle w:val="TAC"/>
              <w:rPr>
                <w:lang w:eastAsia="zh-CN"/>
              </w:rPr>
            </w:pPr>
            <w:r>
              <w:rPr>
                <w:lang w:eastAsia="zh-CN"/>
              </w:rPr>
              <w:t>11016</w:t>
            </w:r>
          </w:p>
        </w:tc>
        <w:tc>
          <w:tcPr>
            <w:tcW w:w="0" w:type="auto"/>
            <w:tcBorders>
              <w:top w:val="single" w:sz="4" w:space="0" w:color="auto"/>
              <w:left w:val="single" w:sz="4" w:space="0" w:color="auto"/>
              <w:bottom w:val="single" w:sz="4" w:space="0" w:color="auto"/>
              <w:right w:val="single" w:sz="4" w:space="0" w:color="auto"/>
            </w:tcBorders>
            <w:vAlign w:val="center"/>
          </w:tcPr>
          <w:p w14:paraId="6BE7E633" w14:textId="77777777" w:rsidR="00241417" w:rsidRDefault="00241417" w:rsidP="003A71DE">
            <w:pPr>
              <w:pStyle w:val="TAC"/>
              <w:rPr>
                <w:lang w:eastAsia="zh-CN"/>
              </w:rPr>
            </w:pPr>
            <w:r>
              <w:t>22032</w:t>
            </w:r>
          </w:p>
        </w:tc>
      </w:tr>
      <w:tr w:rsidR="00241417" w14:paraId="570872D2"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9552819" w14:textId="77777777" w:rsidR="00241417" w:rsidRDefault="00241417" w:rsidP="003A71DE">
            <w:pPr>
              <w:pStyle w:val="TAC"/>
              <w:rPr>
                <w:lang w:eastAsia="zh-CN"/>
              </w:rPr>
            </w:pPr>
            <w:r>
              <w:rPr>
                <w:lang w:eastAsia="zh-CN"/>
              </w:rPr>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22EFEBCD" w14:textId="77777777" w:rsidR="00241417" w:rsidRDefault="00241417" w:rsidP="003A71DE">
            <w:pPr>
              <w:pStyle w:val="TAC"/>
              <w:rPr>
                <w:lang w:eastAsia="zh-CN"/>
              </w:rPr>
            </w:pPr>
            <w:r>
              <w:t>1.9141</w:t>
            </w:r>
          </w:p>
        </w:tc>
        <w:tc>
          <w:tcPr>
            <w:tcW w:w="0" w:type="auto"/>
            <w:tcBorders>
              <w:top w:val="single" w:sz="4" w:space="0" w:color="auto"/>
              <w:left w:val="single" w:sz="4" w:space="0" w:color="auto"/>
              <w:bottom w:val="single" w:sz="4" w:space="0" w:color="auto"/>
              <w:right w:val="single" w:sz="4" w:space="0" w:color="auto"/>
            </w:tcBorders>
            <w:vAlign w:val="center"/>
            <w:hideMark/>
          </w:tcPr>
          <w:p w14:paraId="6935CB19" w14:textId="77777777" w:rsidR="00241417" w:rsidRDefault="00241417" w:rsidP="003A71DE">
            <w:pPr>
              <w:pStyle w:val="TAC"/>
              <w:rPr>
                <w:lang w:eastAsia="zh-CN"/>
              </w:rPr>
            </w:pPr>
            <w:r>
              <w:rPr>
                <w:lang w:eastAsia="zh-CN"/>
              </w:rPr>
              <w:t>13</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FBD5DB1"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EC02073" w14:textId="77777777" w:rsidR="00241417" w:rsidRDefault="00241417" w:rsidP="003A71DE">
            <w:pPr>
              <w:pStyle w:val="TAC"/>
              <w:rPr>
                <w:lang w:eastAsia="zh-CN"/>
              </w:rPr>
            </w:pPr>
            <w:r>
              <w:rPr>
                <w:lang w:eastAsia="zh-CN"/>
              </w:rPr>
              <w:t>14343</w:t>
            </w:r>
          </w:p>
        </w:tc>
        <w:tc>
          <w:tcPr>
            <w:tcW w:w="0" w:type="auto"/>
            <w:tcBorders>
              <w:top w:val="single" w:sz="4" w:space="0" w:color="auto"/>
              <w:left w:val="single" w:sz="4" w:space="0" w:color="auto"/>
              <w:bottom w:val="single" w:sz="4" w:space="0" w:color="auto"/>
              <w:right w:val="single" w:sz="4" w:space="0" w:color="auto"/>
            </w:tcBorders>
            <w:vAlign w:val="center"/>
          </w:tcPr>
          <w:p w14:paraId="1BA9AAC1" w14:textId="77777777" w:rsidR="00241417" w:rsidRDefault="00241417" w:rsidP="003A71DE">
            <w:pPr>
              <w:pStyle w:val="TAC"/>
              <w:rPr>
                <w:lang w:eastAsia="zh-CN"/>
              </w:rPr>
            </w:pPr>
            <w:r>
              <w:t>28680</w:t>
            </w:r>
          </w:p>
        </w:tc>
      </w:tr>
      <w:tr w:rsidR="00241417" w14:paraId="04F3FB7B"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A29D1C7" w14:textId="77777777" w:rsidR="00241417" w:rsidRDefault="00241417" w:rsidP="003A71DE">
            <w:pPr>
              <w:pStyle w:val="TAC"/>
              <w:rPr>
                <w:lang w:eastAsia="zh-CN"/>
              </w:rPr>
            </w:pPr>
            <w:r>
              <w:rPr>
                <w:lang w:eastAsia="zh-CN"/>
              </w:rPr>
              <w:t>9</w:t>
            </w:r>
          </w:p>
        </w:tc>
        <w:tc>
          <w:tcPr>
            <w:tcW w:w="0" w:type="auto"/>
            <w:tcBorders>
              <w:top w:val="single" w:sz="4" w:space="0" w:color="auto"/>
              <w:left w:val="single" w:sz="4" w:space="0" w:color="auto"/>
              <w:bottom w:val="single" w:sz="4" w:space="0" w:color="auto"/>
              <w:right w:val="single" w:sz="4" w:space="0" w:color="auto"/>
            </w:tcBorders>
            <w:vAlign w:val="center"/>
            <w:hideMark/>
          </w:tcPr>
          <w:p w14:paraId="3161CA49" w14:textId="77777777" w:rsidR="00241417" w:rsidRDefault="00241417" w:rsidP="003A71DE">
            <w:pPr>
              <w:pStyle w:val="TAC"/>
              <w:rPr>
                <w:lang w:eastAsia="zh-CN"/>
              </w:rPr>
            </w:pPr>
            <w:r>
              <w:t>2.4063</w:t>
            </w:r>
          </w:p>
        </w:tc>
        <w:tc>
          <w:tcPr>
            <w:tcW w:w="0" w:type="auto"/>
            <w:tcBorders>
              <w:top w:val="single" w:sz="4" w:space="0" w:color="auto"/>
              <w:left w:val="single" w:sz="4" w:space="0" w:color="auto"/>
              <w:bottom w:val="single" w:sz="4" w:space="0" w:color="auto"/>
              <w:right w:val="single" w:sz="4" w:space="0" w:color="auto"/>
            </w:tcBorders>
            <w:vAlign w:val="center"/>
            <w:hideMark/>
          </w:tcPr>
          <w:p w14:paraId="0F9A2A44" w14:textId="77777777" w:rsidR="00241417" w:rsidRDefault="00241417" w:rsidP="003A71DE">
            <w:pPr>
              <w:pStyle w:val="TAC"/>
              <w:rPr>
                <w:lang w:eastAsia="zh-CN"/>
              </w:rPr>
            </w:pPr>
            <w:r>
              <w:rPr>
                <w:lang w:eastAsia="zh-CN"/>
              </w:rPr>
              <w:t>15</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8541AB7"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D91B82C" w14:textId="77777777" w:rsidR="00241417" w:rsidRDefault="00241417" w:rsidP="003A71DE">
            <w:pPr>
              <w:pStyle w:val="TAC"/>
              <w:rPr>
                <w:lang w:eastAsia="zh-CN"/>
              </w:rPr>
            </w:pPr>
            <w:r>
              <w:rPr>
                <w:lang w:eastAsia="zh-CN"/>
              </w:rPr>
              <w:t>17928</w:t>
            </w:r>
          </w:p>
        </w:tc>
        <w:tc>
          <w:tcPr>
            <w:tcW w:w="0" w:type="auto"/>
            <w:tcBorders>
              <w:top w:val="single" w:sz="4" w:space="0" w:color="auto"/>
              <w:left w:val="single" w:sz="4" w:space="0" w:color="auto"/>
              <w:bottom w:val="single" w:sz="4" w:space="0" w:color="auto"/>
              <w:right w:val="single" w:sz="4" w:space="0" w:color="auto"/>
            </w:tcBorders>
            <w:vAlign w:val="center"/>
          </w:tcPr>
          <w:p w14:paraId="1A5333B9" w14:textId="77777777" w:rsidR="00241417" w:rsidRDefault="00241417" w:rsidP="003A71DE">
            <w:pPr>
              <w:pStyle w:val="TAC"/>
              <w:rPr>
                <w:lang w:eastAsia="zh-CN"/>
              </w:rPr>
            </w:pPr>
            <w:r>
              <w:t>35856</w:t>
            </w:r>
          </w:p>
        </w:tc>
      </w:tr>
      <w:tr w:rsidR="00241417" w14:paraId="67046BC3"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F0344CC" w14:textId="77777777" w:rsidR="00241417" w:rsidRDefault="00241417" w:rsidP="003A71DE">
            <w:pPr>
              <w:pStyle w:val="TAC"/>
              <w:rPr>
                <w:lang w:eastAsia="zh-CN"/>
              </w:rPr>
            </w:pPr>
            <w:r>
              <w:rPr>
                <w:lang w:eastAsia="zh-CN"/>
              </w:rPr>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5B7318E7" w14:textId="77777777" w:rsidR="00241417" w:rsidRDefault="00241417" w:rsidP="003A71DE">
            <w:pPr>
              <w:pStyle w:val="TAC"/>
              <w:rPr>
                <w:lang w:eastAsia="zh-CN"/>
              </w:rPr>
            </w:pPr>
            <w:r>
              <w:t>2.7305</w:t>
            </w:r>
          </w:p>
        </w:tc>
        <w:tc>
          <w:tcPr>
            <w:tcW w:w="0" w:type="auto"/>
            <w:tcBorders>
              <w:top w:val="single" w:sz="4" w:space="0" w:color="auto"/>
              <w:left w:val="single" w:sz="4" w:space="0" w:color="auto"/>
              <w:bottom w:val="single" w:sz="4" w:space="0" w:color="auto"/>
              <w:right w:val="single" w:sz="4" w:space="0" w:color="auto"/>
            </w:tcBorders>
            <w:vAlign w:val="center"/>
            <w:hideMark/>
          </w:tcPr>
          <w:p w14:paraId="698F4B1B" w14:textId="77777777" w:rsidR="00241417" w:rsidRDefault="00241417" w:rsidP="003A71DE">
            <w:pPr>
              <w:pStyle w:val="TAC"/>
              <w:rPr>
                <w:lang w:eastAsia="zh-CN"/>
              </w:rPr>
            </w:pPr>
            <w:r>
              <w:rPr>
                <w:lang w:eastAsia="zh-CN"/>
              </w:rPr>
              <w:t>18</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394127F2" w14:textId="77777777" w:rsidR="00241417" w:rsidRDefault="00241417" w:rsidP="003A71DE">
            <w:pPr>
              <w:pStyle w:val="TAC"/>
              <w:rPr>
                <w:lang w:eastAsia="zh-CN"/>
              </w:rPr>
            </w:pPr>
            <w:r>
              <w:rPr>
                <w:lang w:eastAsia="zh-CN"/>
              </w:rPr>
              <w:t>64QAM</w:t>
            </w:r>
          </w:p>
        </w:tc>
        <w:tc>
          <w:tcPr>
            <w:tcW w:w="0" w:type="auto"/>
            <w:tcBorders>
              <w:top w:val="single" w:sz="4" w:space="0" w:color="auto"/>
              <w:left w:val="single" w:sz="4" w:space="0" w:color="auto"/>
              <w:bottom w:val="single" w:sz="4" w:space="0" w:color="auto"/>
              <w:right w:val="single" w:sz="4" w:space="0" w:color="auto"/>
            </w:tcBorders>
            <w:vAlign w:val="center"/>
            <w:hideMark/>
          </w:tcPr>
          <w:p w14:paraId="13A6404A" w14:textId="77777777" w:rsidR="00241417" w:rsidRDefault="00241417" w:rsidP="003A71DE">
            <w:pPr>
              <w:pStyle w:val="TAC"/>
              <w:rPr>
                <w:lang w:eastAsia="zh-CN"/>
              </w:rPr>
            </w:pPr>
            <w:r>
              <w:rPr>
                <w:lang w:eastAsia="zh-CN"/>
              </w:rPr>
              <w:t>20496</w:t>
            </w:r>
          </w:p>
        </w:tc>
        <w:tc>
          <w:tcPr>
            <w:tcW w:w="0" w:type="auto"/>
            <w:tcBorders>
              <w:top w:val="single" w:sz="4" w:space="0" w:color="auto"/>
              <w:left w:val="single" w:sz="4" w:space="0" w:color="auto"/>
              <w:bottom w:val="single" w:sz="4" w:space="0" w:color="auto"/>
              <w:right w:val="single" w:sz="4" w:space="0" w:color="auto"/>
            </w:tcBorders>
            <w:vAlign w:val="center"/>
          </w:tcPr>
          <w:p w14:paraId="6BFD1466" w14:textId="77777777" w:rsidR="00241417" w:rsidRDefault="00241417" w:rsidP="003A71DE">
            <w:pPr>
              <w:pStyle w:val="TAC"/>
              <w:rPr>
                <w:lang w:eastAsia="zh-CN"/>
              </w:rPr>
            </w:pPr>
            <w:r>
              <w:t>40976</w:t>
            </w:r>
          </w:p>
        </w:tc>
      </w:tr>
      <w:tr w:rsidR="00241417" w14:paraId="578B1123"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FA70875" w14:textId="77777777" w:rsidR="00241417" w:rsidRDefault="00241417" w:rsidP="003A71DE">
            <w:pPr>
              <w:pStyle w:val="TAC"/>
              <w:rPr>
                <w:lang w:eastAsia="zh-CN"/>
              </w:rPr>
            </w:pPr>
            <w:r>
              <w:rPr>
                <w:lang w:eastAsia="zh-CN"/>
              </w:rPr>
              <w:t>11</w:t>
            </w:r>
          </w:p>
        </w:tc>
        <w:tc>
          <w:tcPr>
            <w:tcW w:w="0" w:type="auto"/>
            <w:tcBorders>
              <w:top w:val="single" w:sz="4" w:space="0" w:color="auto"/>
              <w:left w:val="single" w:sz="4" w:space="0" w:color="auto"/>
              <w:bottom w:val="single" w:sz="4" w:space="0" w:color="auto"/>
              <w:right w:val="single" w:sz="4" w:space="0" w:color="auto"/>
            </w:tcBorders>
            <w:vAlign w:val="center"/>
            <w:hideMark/>
          </w:tcPr>
          <w:p w14:paraId="35FC4A92" w14:textId="77777777" w:rsidR="00241417" w:rsidRDefault="00241417" w:rsidP="003A71DE">
            <w:pPr>
              <w:pStyle w:val="TAC"/>
              <w:rPr>
                <w:lang w:eastAsia="zh-CN"/>
              </w:rPr>
            </w:pPr>
            <w:r>
              <w:t>3.3223</w:t>
            </w:r>
          </w:p>
        </w:tc>
        <w:tc>
          <w:tcPr>
            <w:tcW w:w="0" w:type="auto"/>
            <w:tcBorders>
              <w:top w:val="single" w:sz="4" w:space="0" w:color="auto"/>
              <w:left w:val="single" w:sz="4" w:space="0" w:color="auto"/>
              <w:bottom w:val="single" w:sz="4" w:space="0" w:color="auto"/>
              <w:right w:val="single" w:sz="4" w:space="0" w:color="auto"/>
            </w:tcBorders>
            <w:vAlign w:val="center"/>
            <w:hideMark/>
          </w:tcPr>
          <w:p w14:paraId="2AC58341" w14:textId="77777777" w:rsidR="00241417" w:rsidRDefault="00241417" w:rsidP="003A71DE">
            <w:pPr>
              <w:pStyle w:val="TAC"/>
              <w:rPr>
                <w:lang w:eastAsia="zh-CN"/>
              </w:rPr>
            </w:pPr>
            <w:r>
              <w:rPr>
                <w:lang w:eastAsia="zh-CN"/>
              </w:rPr>
              <w:t>20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64921A3"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E9C5FED" w14:textId="77777777" w:rsidR="00241417" w:rsidRDefault="00241417" w:rsidP="003A71DE">
            <w:pPr>
              <w:pStyle w:val="TAC"/>
              <w:rPr>
                <w:lang w:eastAsia="zh-CN"/>
              </w:rPr>
            </w:pPr>
            <w:r>
              <w:rPr>
                <w:lang w:eastAsia="zh-CN"/>
              </w:rPr>
              <w:t>25104</w:t>
            </w:r>
          </w:p>
        </w:tc>
        <w:tc>
          <w:tcPr>
            <w:tcW w:w="0" w:type="auto"/>
            <w:tcBorders>
              <w:top w:val="single" w:sz="4" w:space="0" w:color="auto"/>
              <w:left w:val="single" w:sz="4" w:space="0" w:color="auto"/>
              <w:bottom w:val="single" w:sz="4" w:space="0" w:color="auto"/>
              <w:right w:val="single" w:sz="4" w:space="0" w:color="auto"/>
            </w:tcBorders>
            <w:vAlign w:val="center"/>
          </w:tcPr>
          <w:p w14:paraId="0018EEBA" w14:textId="77777777" w:rsidR="00241417" w:rsidRDefault="00241417" w:rsidP="003A71DE">
            <w:pPr>
              <w:pStyle w:val="TAC"/>
              <w:rPr>
                <w:lang w:eastAsia="zh-CN"/>
              </w:rPr>
            </w:pPr>
            <w:r>
              <w:t>50184</w:t>
            </w:r>
          </w:p>
        </w:tc>
      </w:tr>
      <w:tr w:rsidR="00241417" w14:paraId="05733B11"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D1D5512" w14:textId="77777777" w:rsidR="00241417" w:rsidRDefault="00241417" w:rsidP="003A71DE">
            <w:pPr>
              <w:pStyle w:val="TAC"/>
              <w:rPr>
                <w:lang w:eastAsia="zh-CN"/>
              </w:rPr>
            </w:pPr>
            <w:r>
              <w:rPr>
                <w:lang w:eastAsia="zh-CN"/>
              </w:rPr>
              <w:t>12</w:t>
            </w:r>
          </w:p>
        </w:tc>
        <w:tc>
          <w:tcPr>
            <w:tcW w:w="0" w:type="auto"/>
            <w:tcBorders>
              <w:top w:val="single" w:sz="4" w:space="0" w:color="auto"/>
              <w:left w:val="single" w:sz="4" w:space="0" w:color="auto"/>
              <w:bottom w:val="single" w:sz="4" w:space="0" w:color="auto"/>
              <w:right w:val="single" w:sz="4" w:space="0" w:color="auto"/>
            </w:tcBorders>
            <w:vAlign w:val="center"/>
            <w:hideMark/>
          </w:tcPr>
          <w:p w14:paraId="39553D20" w14:textId="77777777" w:rsidR="00241417" w:rsidRDefault="00241417" w:rsidP="003A71DE">
            <w:pPr>
              <w:pStyle w:val="TAC"/>
              <w:rPr>
                <w:lang w:eastAsia="zh-CN"/>
              </w:rPr>
            </w:pPr>
            <w:r>
              <w:t>3.9023</w:t>
            </w:r>
          </w:p>
        </w:tc>
        <w:tc>
          <w:tcPr>
            <w:tcW w:w="0" w:type="auto"/>
            <w:tcBorders>
              <w:top w:val="single" w:sz="4" w:space="0" w:color="auto"/>
              <w:left w:val="single" w:sz="4" w:space="0" w:color="auto"/>
              <w:bottom w:val="single" w:sz="4" w:space="0" w:color="auto"/>
              <w:right w:val="single" w:sz="4" w:space="0" w:color="auto"/>
            </w:tcBorders>
            <w:vAlign w:val="center"/>
            <w:hideMark/>
          </w:tcPr>
          <w:p w14:paraId="1616C733" w14:textId="77777777" w:rsidR="00241417" w:rsidRDefault="00241417" w:rsidP="003A71DE">
            <w:pPr>
              <w:pStyle w:val="TAC"/>
              <w:rPr>
                <w:lang w:eastAsia="zh-CN"/>
              </w:rPr>
            </w:pPr>
            <w:r>
              <w:rPr>
                <w:lang w:eastAsia="zh-CN"/>
              </w:rPr>
              <w:t>22</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2E4A973"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94563EA" w14:textId="77777777" w:rsidR="00241417" w:rsidRDefault="00241417" w:rsidP="003A71DE">
            <w:pPr>
              <w:pStyle w:val="TAC"/>
              <w:rPr>
                <w:lang w:eastAsia="zh-CN"/>
              </w:rPr>
            </w:pPr>
            <w:r>
              <w:rPr>
                <w:lang w:eastAsia="zh-CN"/>
              </w:rPr>
              <w:t>29192</w:t>
            </w:r>
          </w:p>
        </w:tc>
        <w:tc>
          <w:tcPr>
            <w:tcW w:w="0" w:type="auto"/>
            <w:tcBorders>
              <w:top w:val="single" w:sz="4" w:space="0" w:color="auto"/>
              <w:left w:val="single" w:sz="4" w:space="0" w:color="auto"/>
              <w:bottom w:val="single" w:sz="4" w:space="0" w:color="auto"/>
              <w:right w:val="single" w:sz="4" w:space="0" w:color="auto"/>
            </w:tcBorders>
            <w:vAlign w:val="center"/>
          </w:tcPr>
          <w:p w14:paraId="1616D843" w14:textId="77777777" w:rsidR="00241417" w:rsidRDefault="00241417" w:rsidP="003A71DE">
            <w:pPr>
              <w:pStyle w:val="TAC"/>
              <w:rPr>
                <w:lang w:eastAsia="zh-CN"/>
              </w:rPr>
            </w:pPr>
            <w:r>
              <w:t>58384</w:t>
            </w:r>
          </w:p>
        </w:tc>
      </w:tr>
      <w:tr w:rsidR="00241417" w14:paraId="43830B54"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0AD9B8C" w14:textId="77777777" w:rsidR="00241417" w:rsidRDefault="00241417" w:rsidP="003A71DE">
            <w:pPr>
              <w:pStyle w:val="TAC"/>
              <w:rPr>
                <w:lang w:eastAsia="zh-CN"/>
              </w:rPr>
            </w:pPr>
            <w:r>
              <w:rPr>
                <w:lang w:eastAsia="zh-CN"/>
              </w:rPr>
              <w:t>13</w:t>
            </w:r>
          </w:p>
        </w:tc>
        <w:tc>
          <w:tcPr>
            <w:tcW w:w="0" w:type="auto"/>
            <w:tcBorders>
              <w:top w:val="single" w:sz="4" w:space="0" w:color="auto"/>
              <w:left w:val="single" w:sz="4" w:space="0" w:color="auto"/>
              <w:bottom w:val="single" w:sz="4" w:space="0" w:color="auto"/>
              <w:right w:val="single" w:sz="4" w:space="0" w:color="auto"/>
            </w:tcBorders>
            <w:vAlign w:val="center"/>
            <w:hideMark/>
          </w:tcPr>
          <w:p w14:paraId="0F350F52" w14:textId="77777777" w:rsidR="00241417" w:rsidRDefault="00241417" w:rsidP="003A71DE">
            <w:pPr>
              <w:pStyle w:val="TAC"/>
              <w:rPr>
                <w:lang w:eastAsia="zh-CN"/>
              </w:rPr>
            </w:pPr>
            <w:r>
              <w:t>4.5234</w:t>
            </w:r>
          </w:p>
        </w:tc>
        <w:tc>
          <w:tcPr>
            <w:tcW w:w="0" w:type="auto"/>
            <w:tcBorders>
              <w:top w:val="single" w:sz="4" w:space="0" w:color="auto"/>
              <w:left w:val="single" w:sz="4" w:space="0" w:color="auto"/>
              <w:bottom w:val="single" w:sz="4" w:space="0" w:color="auto"/>
              <w:right w:val="single" w:sz="4" w:space="0" w:color="auto"/>
            </w:tcBorders>
            <w:vAlign w:val="center"/>
            <w:hideMark/>
          </w:tcPr>
          <w:p w14:paraId="01997EE1" w14:textId="77777777" w:rsidR="00241417" w:rsidRDefault="00241417" w:rsidP="003A71DE">
            <w:pPr>
              <w:pStyle w:val="TAC"/>
              <w:rPr>
                <w:lang w:eastAsia="zh-CN"/>
              </w:rPr>
            </w:pPr>
            <w:r>
              <w:rPr>
                <w:lang w:eastAsia="zh-CN"/>
              </w:rPr>
              <w:t>24</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8A53927"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758E8EF1" w14:textId="77777777" w:rsidR="00241417" w:rsidRDefault="00241417" w:rsidP="003A71DE">
            <w:pPr>
              <w:pStyle w:val="TAC"/>
              <w:rPr>
                <w:lang w:eastAsia="zh-CN"/>
              </w:rPr>
            </w:pPr>
            <w:r>
              <w:rPr>
                <w:lang w:eastAsia="zh-CN"/>
              </w:rPr>
              <w:t>33816</w:t>
            </w:r>
          </w:p>
        </w:tc>
        <w:tc>
          <w:tcPr>
            <w:tcW w:w="0" w:type="auto"/>
            <w:tcBorders>
              <w:top w:val="single" w:sz="4" w:space="0" w:color="auto"/>
              <w:left w:val="single" w:sz="4" w:space="0" w:color="auto"/>
              <w:bottom w:val="single" w:sz="4" w:space="0" w:color="auto"/>
              <w:right w:val="single" w:sz="4" w:space="0" w:color="auto"/>
            </w:tcBorders>
            <w:vAlign w:val="center"/>
          </w:tcPr>
          <w:p w14:paraId="790EB001" w14:textId="77777777" w:rsidR="00241417" w:rsidRDefault="00241417" w:rsidP="003A71DE">
            <w:pPr>
              <w:pStyle w:val="TAC"/>
              <w:rPr>
                <w:lang w:eastAsia="zh-CN"/>
              </w:rPr>
            </w:pPr>
            <w:r>
              <w:t>67584</w:t>
            </w:r>
          </w:p>
        </w:tc>
      </w:tr>
      <w:tr w:rsidR="00241417" w14:paraId="359A07C6"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5565DD3" w14:textId="77777777" w:rsidR="00241417" w:rsidRDefault="00241417" w:rsidP="003A71DE">
            <w:pPr>
              <w:pStyle w:val="TAC"/>
              <w:rPr>
                <w:lang w:eastAsia="zh-CN"/>
              </w:rPr>
            </w:pPr>
            <w:r>
              <w:rPr>
                <w:lang w:eastAsia="zh-CN"/>
              </w:rPr>
              <w:t>14</w:t>
            </w:r>
          </w:p>
        </w:tc>
        <w:tc>
          <w:tcPr>
            <w:tcW w:w="0" w:type="auto"/>
            <w:tcBorders>
              <w:top w:val="single" w:sz="4" w:space="0" w:color="auto"/>
              <w:left w:val="single" w:sz="4" w:space="0" w:color="auto"/>
              <w:bottom w:val="single" w:sz="4" w:space="0" w:color="auto"/>
              <w:right w:val="single" w:sz="4" w:space="0" w:color="auto"/>
            </w:tcBorders>
            <w:vAlign w:val="center"/>
            <w:hideMark/>
          </w:tcPr>
          <w:p w14:paraId="2D5A25FF" w14:textId="77777777" w:rsidR="00241417" w:rsidRDefault="00241417" w:rsidP="003A71DE">
            <w:pPr>
              <w:pStyle w:val="TAC"/>
              <w:rPr>
                <w:lang w:eastAsia="zh-CN"/>
              </w:rPr>
            </w:pPr>
            <w:r>
              <w:t>5.1152</w:t>
            </w:r>
          </w:p>
        </w:tc>
        <w:tc>
          <w:tcPr>
            <w:tcW w:w="0" w:type="auto"/>
            <w:tcBorders>
              <w:top w:val="single" w:sz="4" w:space="0" w:color="auto"/>
              <w:left w:val="single" w:sz="4" w:space="0" w:color="auto"/>
              <w:bottom w:val="single" w:sz="4" w:space="0" w:color="auto"/>
              <w:right w:val="single" w:sz="4" w:space="0" w:color="auto"/>
            </w:tcBorders>
            <w:vAlign w:val="center"/>
            <w:hideMark/>
          </w:tcPr>
          <w:p w14:paraId="76705FE8" w14:textId="77777777" w:rsidR="00241417" w:rsidRDefault="00241417" w:rsidP="003A71DE">
            <w:pPr>
              <w:pStyle w:val="TAC"/>
              <w:rPr>
                <w:lang w:eastAsia="zh-CN"/>
              </w:rPr>
            </w:pPr>
            <w:r>
              <w:rPr>
                <w:lang w:eastAsia="zh-CN"/>
              </w:rPr>
              <w:t>26</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01C30EE"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48DF8CB" w14:textId="77777777" w:rsidR="00241417" w:rsidRDefault="00241417" w:rsidP="003A71DE">
            <w:pPr>
              <w:pStyle w:val="TAC"/>
              <w:rPr>
                <w:lang w:eastAsia="zh-CN"/>
              </w:rPr>
            </w:pPr>
            <w:r>
              <w:rPr>
                <w:lang w:eastAsia="zh-CN"/>
              </w:rPr>
              <w:t>38936</w:t>
            </w:r>
          </w:p>
        </w:tc>
        <w:tc>
          <w:tcPr>
            <w:tcW w:w="0" w:type="auto"/>
            <w:tcBorders>
              <w:top w:val="single" w:sz="4" w:space="0" w:color="auto"/>
              <w:left w:val="single" w:sz="4" w:space="0" w:color="auto"/>
              <w:bottom w:val="single" w:sz="4" w:space="0" w:color="auto"/>
              <w:right w:val="single" w:sz="4" w:space="0" w:color="auto"/>
            </w:tcBorders>
            <w:vAlign w:val="center"/>
          </w:tcPr>
          <w:p w14:paraId="358E77E3" w14:textId="77777777" w:rsidR="00241417" w:rsidRDefault="00241417" w:rsidP="003A71DE">
            <w:pPr>
              <w:pStyle w:val="TAC"/>
              <w:rPr>
                <w:lang w:eastAsia="zh-CN"/>
              </w:rPr>
            </w:pPr>
            <w:r>
              <w:t>77896</w:t>
            </w:r>
          </w:p>
        </w:tc>
      </w:tr>
      <w:tr w:rsidR="00241417" w14:paraId="5CB2FA09" w14:textId="77777777" w:rsidTr="003A71DE">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128F544" w14:textId="77777777" w:rsidR="00241417" w:rsidRDefault="00241417" w:rsidP="003A71DE">
            <w:pPr>
              <w:pStyle w:val="TAC"/>
              <w:rPr>
                <w:lang w:eastAsia="zh-CN"/>
              </w:rPr>
            </w:pPr>
            <w:r>
              <w:rPr>
                <w:lang w:eastAsia="zh-CN"/>
              </w:rPr>
              <w:t>15</w:t>
            </w:r>
          </w:p>
        </w:tc>
        <w:tc>
          <w:tcPr>
            <w:tcW w:w="0" w:type="auto"/>
            <w:tcBorders>
              <w:top w:val="single" w:sz="4" w:space="0" w:color="auto"/>
              <w:left w:val="single" w:sz="4" w:space="0" w:color="auto"/>
              <w:bottom w:val="single" w:sz="4" w:space="0" w:color="auto"/>
              <w:right w:val="single" w:sz="4" w:space="0" w:color="auto"/>
            </w:tcBorders>
            <w:vAlign w:val="center"/>
            <w:hideMark/>
          </w:tcPr>
          <w:p w14:paraId="4B5636B3" w14:textId="77777777" w:rsidR="00241417" w:rsidRDefault="00241417" w:rsidP="003A71DE">
            <w:pPr>
              <w:pStyle w:val="TAC"/>
              <w:rPr>
                <w:lang w:eastAsia="zh-CN"/>
              </w:rPr>
            </w:pPr>
            <w:r>
              <w:t>5.5547</w:t>
            </w:r>
          </w:p>
        </w:tc>
        <w:tc>
          <w:tcPr>
            <w:tcW w:w="0" w:type="auto"/>
            <w:tcBorders>
              <w:top w:val="single" w:sz="4" w:space="0" w:color="auto"/>
              <w:left w:val="single" w:sz="4" w:space="0" w:color="auto"/>
              <w:bottom w:val="single" w:sz="4" w:space="0" w:color="auto"/>
              <w:right w:val="single" w:sz="4" w:space="0" w:color="auto"/>
            </w:tcBorders>
            <w:vAlign w:val="center"/>
            <w:hideMark/>
          </w:tcPr>
          <w:p w14:paraId="457D5AC0" w14:textId="77777777" w:rsidR="00241417" w:rsidRDefault="00241417" w:rsidP="003A71DE">
            <w:pPr>
              <w:pStyle w:val="TAC"/>
              <w:rPr>
                <w:lang w:eastAsia="zh-CN"/>
              </w:rPr>
            </w:pPr>
            <w:r>
              <w:rPr>
                <w:lang w:eastAsia="zh-CN"/>
              </w:rPr>
              <w:t>28</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50F5CE6" w14:textId="77777777" w:rsidR="00241417" w:rsidRDefault="00241417" w:rsidP="003A71DE">
            <w:pPr>
              <w:pStyle w:val="TAC"/>
              <w:rPr>
                <w:lang w:eastAsia="zh-CN"/>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96BEBFF" w14:textId="77777777" w:rsidR="00241417" w:rsidRDefault="00241417" w:rsidP="003A71DE">
            <w:pPr>
              <w:pStyle w:val="TAC"/>
              <w:rPr>
                <w:lang w:eastAsia="zh-CN"/>
              </w:rPr>
            </w:pPr>
            <w:r>
              <w:rPr>
                <w:lang w:eastAsia="zh-CN"/>
              </w:rPr>
              <w:t>42016</w:t>
            </w:r>
          </w:p>
        </w:tc>
        <w:tc>
          <w:tcPr>
            <w:tcW w:w="0" w:type="auto"/>
            <w:tcBorders>
              <w:top w:val="single" w:sz="4" w:space="0" w:color="auto"/>
              <w:left w:val="single" w:sz="4" w:space="0" w:color="auto"/>
              <w:bottom w:val="single" w:sz="4" w:space="0" w:color="auto"/>
              <w:right w:val="single" w:sz="4" w:space="0" w:color="auto"/>
            </w:tcBorders>
            <w:vAlign w:val="center"/>
          </w:tcPr>
          <w:p w14:paraId="6C498CFF" w14:textId="77777777" w:rsidR="00241417" w:rsidRDefault="00241417" w:rsidP="003A71DE">
            <w:pPr>
              <w:pStyle w:val="TAC"/>
              <w:rPr>
                <w:lang w:eastAsia="zh-CN"/>
              </w:rPr>
            </w:pPr>
            <w:r>
              <w:t>83976</w:t>
            </w:r>
          </w:p>
        </w:tc>
      </w:tr>
      <w:tr w:rsidR="00241417" w:rsidRPr="00C542A4" w14:paraId="63EDDEAF" w14:textId="77777777" w:rsidTr="003A71DE">
        <w:trPr>
          <w:jc w:val="center"/>
        </w:trPr>
        <w:tc>
          <w:tcPr>
            <w:tcW w:w="0" w:type="auto"/>
            <w:gridSpan w:val="6"/>
            <w:tcBorders>
              <w:top w:val="single" w:sz="4" w:space="0" w:color="auto"/>
              <w:left w:val="single" w:sz="4" w:space="0" w:color="auto"/>
              <w:bottom w:val="single" w:sz="4" w:space="0" w:color="auto"/>
              <w:right w:val="single" w:sz="4" w:space="0" w:color="auto"/>
            </w:tcBorders>
            <w:vAlign w:val="center"/>
            <w:hideMark/>
          </w:tcPr>
          <w:p w14:paraId="592F1E95" w14:textId="77777777" w:rsidR="00241417" w:rsidRDefault="00241417" w:rsidP="003A71DE">
            <w:pPr>
              <w:pStyle w:val="TAN"/>
            </w:pPr>
            <w:r>
              <w:t>NOTE</w:t>
            </w:r>
            <w:r w:rsidRPr="00766BC2">
              <w:t xml:space="preserve"> 1:</w:t>
            </w:r>
            <w:r>
              <w:t xml:space="preserve"> </w:t>
            </w:r>
            <w:r w:rsidRPr="00766BC2">
              <w:t xml:space="preserve">Number of DMRS </w:t>
            </w:r>
            <w:r w:rsidRPr="00D952AE">
              <w:rPr>
                <w:lang w:eastAsia="zh-CN"/>
              </w:rPr>
              <w:t>REs</w:t>
            </w:r>
            <w:r w:rsidRPr="00C542A4">
              <w:t xml:space="preserve"> includes the overhead of the DM-RS CDM groups without data</w:t>
            </w:r>
          </w:p>
          <w:p w14:paraId="7FB528DF" w14:textId="77777777" w:rsidR="00241417" w:rsidRPr="00C542A4" w:rsidRDefault="00241417" w:rsidP="003A71DE">
            <w:pPr>
              <w:pStyle w:val="TAN"/>
            </w:pPr>
            <w:r>
              <w:t xml:space="preserve">NOTE 2: </w:t>
            </w:r>
            <w:r w:rsidRPr="00FE146D">
              <w:t>PDSCH is only scheduled on slots which are full DL</w:t>
            </w:r>
          </w:p>
        </w:tc>
      </w:tr>
    </w:tbl>
    <w:p w14:paraId="3784BA2A" w14:textId="77777777" w:rsidR="00241417" w:rsidRPr="006C7AF4" w:rsidRDefault="00241417" w:rsidP="005437E4">
      <w:pPr>
        <w:rPr>
          <w:rFonts w:eastAsiaTheme="minorHAnsi"/>
          <w:lang w:eastAsia="zh-CN"/>
        </w:rPr>
      </w:pPr>
    </w:p>
    <w:p w14:paraId="79E6A7E2" w14:textId="77777777" w:rsidR="00241417" w:rsidRPr="00131EB9" w:rsidRDefault="00241417" w:rsidP="00241417">
      <w:pPr>
        <w:pStyle w:val="TH"/>
      </w:pPr>
      <w:r w:rsidRPr="009928B4">
        <w:t>Table A.3.</w:t>
      </w:r>
      <w:r>
        <w:t>5-3</w:t>
      </w:r>
      <w:r w:rsidRPr="009928B4">
        <w:t xml:space="preserve">: PDSCH Reference Channel for </w:t>
      </w:r>
      <w:r>
        <w:t>FR1</w:t>
      </w:r>
      <w:r w:rsidRPr="009928B4">
        <w:t xml:space="preserve"> PMI reporting requirements</w:t>
      </w:r>
    </w:p>
    <w:tbl>
      <w:tblPr>
        <w:tblW w:w="34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9"/>
        <w:gridCol w:w="808"/>
        <w:gridCol w:w="1237"/>
        <w:gridCol w:w="1238"/>
      </w:tblGrid>
      <w:tr w:rsidR="00241417" w:rsidRPr="00386133" w14:paraId="6DB67B17" w14:textId="77777777" w:rsidTr="003A71DE">
        <w:trPr>
          <w:jc w:val="center"/>
        </w:trPr>
        <w:tc>
          <w:tcPr>
            <w:tcW w:w="2547" w:type="pct"/>
            <w:shd w:val="clear" w:color="auto" w:fill="auto"/>
            <w:vAlign w:val="center"/>
          </w:tcPr>
          <w:p w14:paraId="20C38602" w14:textId="77777777" w:rsidR="00241417" w:rsidRPr="00386133" w:rsidRDefault="00241417" w:rsidP="003A71DE">
            <w:pPr>
              <w:pStyle w:val="TAH"/>
            </w:pPr>
            <w:r w:rsidRPr="00386133">
              <w:t>Parameter</w:t>
            </w:r>
          </w:p>
        </w:tc>
        <w:tc>
          <w:tcPr>
            <w:tcW w:w="604" w:type="pct"/>
            <w:shd w:val="clear" w:color="auto" w:fill="auto"/>
            <w:vAlign w:val="center"/>
          </w:tcPr>
          <w:p w14:paraId="07F8CCC7" w14:textId="77777777" w:rsidR="00241417" w:rsidRPr="00386133" w:rsidRDefault="00241417" w:rsidP="003A71DE">
            <w:pPr>
              <w:pStyle w:val="TAH"/>
            </w:pPr>
            <w:r w:rsidRPr="00386133">
              <w:t>Unit</w:t>
            </w:r>
          </w:p>
        </w:tc>
        <w:tc>
          <w:tcPr>
            <w:tcW w:w="1849" w:type="pct"/>
            <w:gridSpan w:val="2"/>
            <w:shd w:val="clear" w:color="auto" w:fill="auto"/>
            <w:vAlign w:val="center"/>
          </w:tcPr>
          <w:p w14:paraId="6ED49DCC" w14:textId="77777777" w:rsidR="00241417" w:rsidRPr="00386133" w:rsidRDefault="00241417" w:rsidP="003A71DE">
            <w:pPr>
              <w:pStyle w:val="TAH"/>
            </w:pPr>
            <w:r w:rsidRPr="00386133">
              <w:t>Value</w:t>
            </w:r>
          </w:p>
        </w:tc>
      </w:tr>
      <w:tr w:rsidR="00241417" w:rsidRPr="00386133" w14:paraId="58014F55" w14:textId="77777777" w:rsidTr="003A71DE">
        <w:trPr>
          <w:jc w:val="center"/>
        </w:trPr>
        <w:tc>
          <w:tcPr>
            <w:tcW w:w="2547" w:type="pct"/>
            <w:vAlign w:val="center"/>
          </w:tcPr>
          <w:p w14:paraId="0C9D156C" w14:textId="77777777" w:rsidR="00241417" w:rsidRPr="00386133" w:rsidRDefault="00241417" w:rsidP="003A71DE">
            <w:pPr>
              <w:pStyle w:val="TAL"/>
            </w:pPr>
            <w:r w:rsidRPr="00386133">
              <w:t>Reference channel</w:t>
            </w:r>
          </w:p>
        </w:tc>
        <w:tc>
          <w:tcPr>
            <w:tcW w:w="604" w:type="pct"/>
            <w:vAlign w:val="center"/>
          </w:tcPr>
          <w:p w14:paraId="014B91A7" w14:textId="77777777" w:rsidR="00241417" w:rsidRPr="00386133" w:rsidRDefault="00241417" w:rsidP="003A71DE">
            <w:pPr>
              <w:pStyle w:val="TAC"/>
            </w:pPr>
          </w:p>
        </w:tc>
        <w:tc>
          <w:tcPr>
            <w:tcW w:w="924" w:type="pct"/>
            <w:vAlign w:val="center"/>
          </w:tcPr>
          <w:p w14:paraId="4B1F56BC" w14:textId="77777777" w:rsidR="00241417" w:rsidRPr="00386133" w:rsidRDefault="00241417" w:rsidP="003A71DE">
            <w:pPr>
              <w:pStyle w:val="TAC"/>
            </w:pPr>
            <w:r>
              <w:t>M-FR1-A.3.5-5</w:t>
            </w:r>
          </w:p>
        </w:tc>
        <w:tc>
          <w:tcPr>
            <w:tcW w:w="924" w:type="pct"/>
            <w:vAlign w:val="center"/>
          </w:tcPr>
          <w:p w14:paraId="0C4F4471" w14:textId="77777777" w:rsidR="00241417" w:rsidRPr="00386133" w:rsidRDefault="00241417" w:rsidP="003A71DE">
            <w:pPr>
              <w:pStyle w:val="TAC"/>
              <w:rPr>
                <w:lang w:eastAsia="zh-CN"/>
              </w:rPr>
            </w:pPr>
            <w:r>
              <w:t>M-FR1-A.3.5-6</w:t>
            </w:r>
          </w:p>
        </w:tc>
      </w:tr>
      <w:tr w:rsidR="00241417" w:rsidRPr="00386133" w14:paraId="428D1CF8" w14:textId="77777777" w:rsidTr="003A71DE">
        <w:trPr>
          <w:jc w:val="center"/>
        </w:trPr>
        <w:tc>
          <w:tcPr>
            <w:tcW w:w="2547" w:type="pct"/>
            <w:vAlign w:val="center"/>
          </w:tcPr>
          <w:p w14:paraId="454D5721" w14:textId="77777777" w:rsidR="00241417" w:rsidRPr="00386133" w:rsidRDefault="00241417" w:rsidP="003A71DE">
            <w:pPr>
              <w:pStyle w:val="TAL"/>
            </w:pPr>
            <w:r w:rsidRPr="00386133">
              <w:t>Channel bandwidth</w:t>
            </w:r>
          </w:p>
        </w:tc>
        <w:tc>
          <w:tcPr>
            <w:tcW w:w="604" w:type="pct"/>
            <w:vAlign w:val="center"/>
          </w:tcPr>
          <w:p w14:paraId="4314725E" w14:textId="77777777" w:rsidR="00241417" w:rsidRPr="00386133" w:rsidRDefault="00241417" w:rsidP="003A71DE">
            <w:pPr>
              <w:pStyle w:val="TAC"/>
            </w:pPr>
            <w:r w:rsidRPr="00386133">
              <w:t>MHz</w:t>
            </w:r>
          </w:p>
        </w:tc>
        <w:tc>
          <w:tcPr>
            <w:tcW w:w="924" w:type="pct"/>
            <w:vAlign w:val="center"/>
          </w:tcPr>
          <w:p w14:paraId="027450C6" w14:textId="77777777" w:rsidR="00241417" w:rsidRPr="00386133" w:rsidRDefault="00241417" w:rsidP="003A71DE">
            <w:pPr>
              <w:pStyle w:val="TAC"/>
            </w:pPr>
            <w:r w:rsidRPr="00386133">
              <w:t>40</w:t>
            </w:r>
          </w:p>
        </w:tc>
        <w:tc>
          <w:tcPr>
            <w:tcW w:w="924" w:type="pct"/>
            <w:vAlign w:val="center"/>
          </w:tcPr>
          <w:p w14:paraId="434B807D" w14:textId="77777777" w:rsidR="00241417" w:rsidRPr="00386133" w:rsidRDefault="00241417" w:rsidP="003A71DE">
            <w:pPr>
              <w:pStyle w:val="TAC"/>
            </w:pPr>
            <w:r w:rsidRPr="00386133">
              <w:t>40</w:t>
            </w:r>
          </w:p>
        </w:tc>
      </w:tr>
      <w:tr w:rsidR="00241417" w:rsidRPr="00386133" w14:paraId="5B1AD2F9" w14:textId="77777777" w:rsidTr="003A71DE">
        <w:trPr>
          <w:jc w:val="center"/>
        </w:trPr>
        <w:tc>
          <w:tcPr>
            <w:tcW w:w="2547" w:type="pct"/>
            <w:vAlign w:val="center"/>
          </w:tcPr>
          <w:p w14:paraId="3A9D339B" w14:textId="77777777" w:rsidR="00241417" w:rsidRPr="00386133" w:rsidRDefault="00241417" w:rsidP="003A71DE">
            <w:pPr>
              <w:pStyle w:val="TAL"/>
            </w:pPr>
            <w:r w:rsidRPr="00386133">
              <w:t>Subcarrier spacing</w:t>
            </w:r>
          </w:p>
        </w:tc>
        <w:tc>
          <w:tcPr>
            <w:tcW w:w="604" w:type="pct"/>
            <w:vAlign w:val="center"/>
          </w:tcPr>
          <w:p w14:paraId="3BD18F29" w14:textId="77777777" w:rsidR="00241417" w:rsidRPr="00386133" w:rsidRDefault="00241417" w:rsidP="003A71DE">
            <w:pPr>
              <w:pStyle w:val="TAC"/>
            </w:pPr>
            <w:r w:rsidRPr="00386133">
              <w:t>kHz</w:t>
            </w:r>
          </w:p>
        </w:tc>
        <w:tc>
          <w:tcPr>
            <w:tcW w:w="924" w:type="pct"/>
            <w:vAlign w:val="center"/>
          </w:tcPr>
          <w:p w14:paraId="716DE72A" w14:textId="77777777" w:rsidR="00241417" w:rsidRPr="00386133" w:rsidRDefault="00241417" w:rsidP="003A71DE">
            <w:pPr>
              <w:pStyle w:val="TAC"/>
            </w:pPr>
            <w:r w:rsidRPr="00386133">
              <w:t>30</w:t>
            </w:r>
          </w:p>
        </w:tc>
        <w:tc>
          <w:tcPr>
            <w:tcW w:w="924" w:type="pct"/>
            <w:vAlign w:val="center"/>
          </w:tcPr>
          <w:p w14:paraId="204A3D35" w14:textId="77777777" w:rsidR="00241417" w:rsidRPr="00386133" w:rsidRDefault="00241417" w:rsidP="003A71DE">
            <w:pPr>
              <w:pStyle w:val="TAC"/>
            </w:pPr>
            <w:r w:rsidRPr="00386133">
              <w:t>30</w:t>
            </w:r>
          </w:p>
        </w:tc>
      </w:tr>
      <w:tr w:rsidR="00241417" w:rsidRPr="00386133" w14:paraId="0057CA52" w14:textId="77777777" w:rsidTr="003A71DE">
        <w:trPr>
          <w:jc w:val="center"/>
        </w:trPr>
        <w:tc>
          <w:tcPr>
            <w:tcW w:w="2547" w:type="pct"/>
            <w:vAlign w:val="center"/>
          </w:tcPr>
          <w:p w14:paraId="2F1C878E" w14:textId="77777777" w:rsidR="00241417" w:rsidRPr="00386133" w:rsidRDefault="00241417" w:rsidP="003A71DE">
            <w:pPr>
              <w:pStyle w:val="TAL"/>
            </w:pPr>
            <w:r w:rsidRPr="00386133">
              <w:t>Allocated resource blocks</w:t>
            </w:r>
          </w:p>
        </w:tc>
        <w:tc>
          <w:tcPr>
            <w:tcW w:w="604" w:type="pct"/>
            <w:vAlign w:val="center"/>
          </w:tcPr>
          <w:p w14:paraId="7489180B" w14:textId="77777777" w:rsidR="00241417" w:rsidRPr="00386133" w:rsidRDefault="00241417" w:rsidP="003A71DE">
            <w:pPr>
              <w:pStyle w:val="TAC"/>
            </w:pPr>
            <w:r w:rsidRPr="00386133">
              <w:t>PRBs</w:t>
            </w:r>
          </w:p>
        </w:tc>
        <w:tc>
          <w:tcPr>
            <w:tcW w:w="924" w:type="pct"/>
            <w:vAlign w:val="center"/>
          </w:tcPr>
          <w:p w14:paraId="4A6C4672" w14:textId="77777777" w:rsidR="00241417" w:rsidRPr="00386133" w:rsidRDefault="00241417" w:rsidP="003A71DE">
            <w:pPr>
              <w:pStyle w:val="TAC"/>
            </w:pPr>
            <w:r w:rsidRPr="00386133">
              <w:t>106</w:t>
            </w:r>
          </w:p>
        </w:tc>
        <w:tc>
          <w:tcPr>
            <w:tcW w:w="924" w:type="pct"/>
            <w:vAlign w:val="center"/>
          </w:tcPr>
          <w:p w14:paraId="36D76559" w14:textId="77777777" w:rsidR="00241417" w:rsidRPr="00386133" w:rsidRDefault="00241417" w:rsidP="003A71DE">
            <w:pPr>
              <w:pStyle w:val="TAC"/>
            </w:pPr>
            <w:r w:rsidRPr="00386133">
              <w:t>106</w:t>
            </w:r>
          </w:p>
        </w:tc>
      </w:tr>
      <w:tr w:rsidR="00241417" w:rsidRPr="00386133" w14:paraId="62F84F27" w14:textId="77777777" w:rsidTr="003A71DE">
        <w:trPr>
          <w:jc w:val="center"/>
        </w:trPr>
        <w:tc>
          <w:tcPr>
            <w:tcW w:w="2547" w:type="pct"/>
            <w:vAlign w:val="center"/>
          </w:tcPr>
          <w:p w14:paraId="42F96E1A" w14:textId="77777777" w:rsidR="00241417" w:rsidRPr="00333EE0" w:rsidRDefault="00241417" w:rsidP="003A71DE">
            <w:pPr>
              <w:pStyle w:val="TAL"/>
            </w:pPr>
            <w:r w:rsidRPr="00333EE0">
              <w:t>Number of consecutive PDSCH symbols</w:t>
            </w:r>
          </w:p>
        </w:tc>
        <w:tc>
          <w:tcPr>
            <w:tcW w:w="604" w:type="pct"/>
            <w:vAlign w:val="center"/>
          </w:tcPr>
          <w:p w14:paraId="7601ABC4" w14:textId="77777777" w:rsidR="00241417" w:rsidRPr="00333EE0" w:rsidRDefault="00241417" w:rsidP="003A71DE">
            <w:pPr>
              <w:pStyle w:val="TAC"/>
            </w:pPr>
          </w:p>
        </w:tc>
        <w:tc>
          <w:tcPr>
            <w:tcW w:w="924" w:type="pct"/>
            <w:vAlign w:val="center"/>
          </w:tcPr>
          <w:p w14:paraId="39278201" w14:textId="77777777" w:rsidR="00241417" w:rsidRPr="00386133" w:rsidRDefault="00241417" w:rsidP="003A71DE">
            <w:pPr>
              <w:pStyle w:val="TAC"/>
            </w:pPr>
            <w:r w:rsidRPr="00386133">
              <w:t>12</w:t>
            </w:r>
          </w:p>
        </w:tc>
        <w:tc>
          <w:tcPr>
            <w:tcW w:w="924" w:type="pct"/>
            <w:vAlign w:val="center"/>
          </w:tcPr>
          <w:p w14:paraId="3BB32752" w14:textId="77777777" w:rsidR="00241417" w:rsidRPr="00386133" w:rsidRDefault="00241417" w:rsidP="003A71DE">
            <w:pPr>
              <w:pStyle w:val="TAC"/>
            </w:pPr>
            <w:r w:rsidRPr="00386133">
              <w:t>12</w:t>
            </w:r>
          </w:p>
        </w:tc>
      </w:tr>
      <w:tr w:rsidR="00241417" w:rsidRPr="00386133" w14:paraId="2434D067" w14:textId="77777777" w:rsidTr="003A71DE">
        <w:trPr>
          <w:jc w:val="center"/>
        </w:trPr>
        <w:tc>
          <w:tcPr>
            <w:tcW w:w="2547" w:type="pct"/>
            <w:vAlign w:val="center"/>
          </w:tcPr>
          <w:p w14:paraId="6B016741" w14:textId="77777777" w:rsidR="00241417" w:rsidRPr="00386133" w:rsidRDefault="00241417" w:rsidP="003A71DE">
            <w:pPr>
              <w:pStyle w:val="TAL"/>
            </w:pPr>
            <w:r w:rsidRPr="00386133">
              <w:t>MCS table</w:t>
            </w:r>
          </w:p>
        </w:tc>
        <w:tc>
          <w:tcPr>
            <w:tcW w:w="604" w:type="pct"/>
            <w:vAlign w:val="center"/>
          </w:tcPr>
          <w:p w14:paraId="2FE30B85" w14:textId="77777777" w:rsidR="00241417" w:rsidRPr="00386133" w:rsidRDefault="00241417" w:rsidP="003A71DE">
            <w:pPr>
              <w:pStyle w:val="TAC"/>
            </w:pPr>
          </w:p>
        </w:tc>
        <w:tc>
          <w:tcPr>
            <w:tcW w:w="924" w:type="pct"/>
            <w:vAlign w:val="center"/>
          </w:tcPr>
          <w:p w14:paraId="343DBE2A" w14:textId="77777777" w:rsidR="00241417" w:rsidRPr="00386133" w:rsidRDefault="00241417" w:rsidP="003A71DE">
            <w:pPr>
              <w:pStyle w:val="TAC"/>
            </w:pPr>
            <w:r w:rsidRPr="00386133">
              <w:t>64QAM</w:t>
            </w:r>
          </w:p>
        </w:tc>
        <w:tc>
          <w:tcPr>
            <w:tcW w:w="924" w:type="pct"/>
            <w:vAlign w:val="center"/>
          </w:tcPr>
          <w:p w14:paraId="3FB52AB9" w14:textId="77777777" w:rsidR="00241417" w:rsidRPr="00386133" w:rsidRDefault="00241417" w:rsidP="003A71DE">
            <w:pPr>
              <w:pStyle w:val="TAC"/>
            </w:pPr>
            <w:r w:rsidRPr="00386133">
              <w:t>64QAM</w:t>
            </w:r>
          </w:p>
        </w:tc>
      </w:tr>
      <w:tr w:rsidR="00241417" w:rsidRPr="00386133" w14:paraId="001DCCEB" w14:textId="77777777" w:rsidTr="003A71DE">
        <w:trPr>
          <w:jc w:val="center"/>
        </w:trPr>
        <w:tc>
          <w:tcPr>
            <w:tcW w:w="2547" w:type="pct"/>
            <w:vAlign w:val="center"/>
          </w:tcPr>
          <w:p w14:paraId="192BC70D" w14:textId="77777777" w:rsidR="00241417" w:rsidRPr="00386133" w:rsidRDefault="00241417" w:rsidP="003A71DE">
            <w:pPr>
              <w:pStyle w:val="TAL"/>
            </w:pPr>
            <w:r w:rsidRPr="00386133">
              <w:t>MCS index</w:t>
            </w:r>
          </w:p>
        </w:tc>
        <w:tc>
          <w:tcPr>
            <w:tcW w:w="604" w:type="pct"/>
            <w:vAlign w:val="center"/>
          </w:tcPr>
          <w:p w14:paraId="3F800A13" w14:textId="77777777" w:rsidR="00241417" w:rsidRPr="00386133" w:rsidRDefault="00241417" w:rsidP="003A71DE">
            <w:pPr>
              <w:pStyle w:val="TAC"/>
            </w:pPr>
          </w:p>
        </w:tc>
        <w:tc>
          <w:tcPr>
            <w:tcW w:w="924" w:type="pct"/>
            <w:vAlign w:val="center"/>
          </w:tcPr>
          <w:p w14:paraId="2E0F5844" w14:textId="77777777" w:rsidR="00241417" w:rsidRPr="00386133" w:rsidRDefault="00241417" w:rsidP="003A71DE">
            <w:pPr>
              <w:pStyle w:val="TAC"/>
            </w:pPr>
            <w:r w:rsidRPr="00386133">
              <w:t>13</w:t>
            </w:r>
          </w:p>
        </w:tc>
        <w:tc>
          <w:tcPr>
            <w:tcW w:w="924" w:type="pct"/>
            <w:vAlign w:val="center"/>
          </w:tcPr>
          <w:p w14:paraId="1DB9E89F" w14:textId="77777777" w:rsidR="00241417" w:rsidRPr="00386133" w:rsidRDefault="00241417" w:rsidP="003A71DE">
            <w:pPr>
              <w:pStyle w:val="TAC"/>
            </w:pPr>
            <w:r w:rsidRPr="00386133">
              <w:t>13</w:t>
            </w:r>
          </w:p>
        </w:tc>
      </w:tr>
      <w:tr w:rsidR="00241417" w:rsidRPr="00386133" w14:paraId="0A780AE2" w14:textId="77777777" w:rsidTr="003A71DE">
        <w:trPr>
          <w:jc w:val="center"/>
        </w:trPr>
        <w:tc>
          <w:tcPr>
            <w:tcW w:w="2547" w:type="pct"/>
            <w:vAlign w:val="center"/>
          </w:tcPr>
          <w:p w14:paraId="124B0CD8" w14:textId="77777777" w:rsidR="00241417" w:rsidRPr="00386133" w:rsidRDefault="00241417" w:rsidP="003A71DE">
            <w:pPr>
              <w:pStyle w:val="TAL"/>
            </w:pPr>
            <w:r w:rsidRPr="00386133">
              <w:t>Modulation</w:t>
            </w:r>
          </w:p>
        </w:tc>
        <w:tc>
          <w:tcPr>
            <w:tcW w:w="604" w:type="pct"/>
            <w:vAlign w:val="center"/>
          </w:tcPr>
          <w:p w14:paraId="64387A28" w14:textId="77777777" w:rsidR="00241417" w:rsidRPr="00386133" w:rsidRDefault="00241417" w:rsidP="003A71DE">
            <w:pPr>
              <w:pStyle w:val="TAC"/>
            </w:pPr>
          </w:p>
        </w:tc>
        <w:tc>
          <w:tcPr>
            <w:tcW w:w="924" w:type="pct"/>
            <w:vAlign w:val="center"/>
          </w:tcPr>
          <w:p w14:paraId="65B347DF" w14:textId="77777777" w:rsidR="00241417" w:rsidRPr="00386133" w:rsidRDefault="00241417" w:rsidP="003A71DE">
            <w:pPr>
              <w:pStyle w:val="TAC"/>
              <w:rPr>
                <w:lang w:eastAsia="zh-CN"/>
              </w:rPr>
            </w:pPr>
            <w:r w:rsidRPr="00386133">
              <w:t>16QAM</w:t>
            </w:r>
          </w:p>
        </w:tc>
        <w:tc>
          <w:tcPr>
            <w:tcW w:w="924" w:type="pct"/>
            <w:vAlign w:val="center"/>
          </w:tcPr>
          <w:p w14:paraId="29D92548" w14:textId="77777777" w:rsidR="00241417" w:rsidRPr="00386133" w:rsidRDefault="00241417" w:rsidP="003A71DE">
            <w:pPr>
              <w:pStyle w:val="TAC"/>
            </w:pPr>
            <w:r w:rsidRPr="00386133">
              <w:t>16QAM</w:t>
            </w:r>
          </w:p>
        </w:tc>
      </w:tr>
      <w:tr w:rsidR="00241417" w:rsidRPr="00386133" w14:paraId="145760B6" w14:textId="77777777" w:rsidTr="003A71DE">
        <w:trPr>
          <w:jc w:val="center"/>
        </w:trPr>
        <w:tc>
          <w:tcPr>
            <w:tcW w:w="2547" w:type="pct"/>
            <w:vAlign w:val="center"/>
          </w:tcPr>
          <w:p w14:paraId="3A463DC5" w14:textId="77777777" w:rsidR="00241417" w:rsidRPr="00386133" w:rsidRDefault="00241417" w:rsidP="003A71DE">
            <w:pPr>
              <w:pStyle w:val="TAL"/>
            </w:pPr>
            <w:r w:rsidRPr="00386133">
              <w:t>Target Coding Rate</w:t>
            </w:r>
          </w:p>
        </w:tc>
        <w:tc>
          <w:tcPr>
            <w:tcW w:w="604" w:type="pct"/>
            <w:vAlign w:val="center"/>
          </w:tcPr>
          <w:p w14:paraId="33BC74DA" w14:textId="77777777" w:rsidR="00241417" w:rsidRPr="00386133" w:rsidRDefault="00241417" w:rsidP="003A71DE">
            <w:pPr>
              <w:pStyle w:val="TAC"/>
            </w:pPr>
          </w:p>
        </w:tc>
        <w:tc>
          <w:tcPr>
            <w:tcW w:w="924" w:type="pct"/>
            <w:vAlign w:val="center"/>
          </w:tcPr>
          <w:p w14:paraId="5FDB9135" w14:textId="77777777" w:rsidR="00241417" w:rsidRPr="00386133" w:rsidRDefault="00241417" w:rsidP="003A71DE">
            <w:pPr>
              <w:pStyle w:val="TAC"/>
            </w:pPr>
            <w:r w:rsidRPr="00386133">
              <w:t>0.48</w:t>
            </w:r>
          </w:p>
        </w:tc>
        <w:tc>
          <w:tcPr>
            <w:tcW w:w="924" w:type="pct"/>
            <w:vAlign w:val="center"/>
          </w:tcPr>
          <w:p w14:paraId="055E7912" w14:textId="77777777" w:rsidR="00241417" w:rsidRPr="00386133" w:rsidRDefault="00241417" w:rsidP="003A71DE">
            <w:pPr>
              <w:pStyle w:val="TAC"/>
            </w:pPr>
            <w:r w:rsidRPr="00386133">
              <w:t>0.48</w:t>
            </w:r>
          </w:p>
        </w:tc>
      </w:tr>
      <w:tr w:rsidR="00241417" w:rsidRPr="00386133" w14:paraId="266C6E7D" w14:textId="77777777" w:rsidTr="003A71DE">
        <w:trPr>
          <w:jc w:val="center"/>
        </w:trPr>
        <w:tc>
          <w:tcPr>
            <w:tcW w:w="2547" w:type="pct"/>
            <w:vAlign w:val="center"/>
          </w:tcPr>
          <w:p w14:paraId="7725F04B" w14:textId="77777777" w:rsidR="00241417" w:rsidRPr="00386133" w:rsidRDefault="00241417" w:rsidP="003A71DE">
            <w:pPr>
              <w:pStyle w:val="TAL"/>
            </w:pPr>
            <w:r w:rsidRPr="00386133">
              <w:t>Number of MIMO layers</w:t>
            </w:r>
          </w:p>
        </w:tc>
        <w:tc>
          <w:tcPr>
            <w:tcW w:w="604" w:type="pct"/>
            <w:vAlign w:val="center"/>
          </w:tcPr>
          <w:p w14:paraId="058066B5" w14:textId="77777777" w:rsidR="00241417" w:rsidRPr="00386133" w:rsidRDefault="00241417" w:rsidP="003A71DE">
            <w:pPr>
              <w:pStyle w:val="TAC"/>
            </w:pPr>
          </w:p>
        </w:tc>
        <w:tc>
          <w:tcPr>
            <w:tcW w:w="924" w:type="pct"/>
            <w:vAlign w:val="center"/>
          </w:tcPr>
          <w:p w14:paraId="29F0F22A" w14:textId="77777777" w:rsidR="00241417" w:rsidRPr="00386133" w:rsidRDefault="00241417" w:rsidP="003A71DE">
            <w:pPr>
              <w:pStyle w:val="TAC"/>
            </w:pPr>
            <w:r w:rsidRPr="00386133">
              <w:t>1</w:t>
            </w:r>
          </w:p>
        </w:tc>
        <w:tc>
          <w:tcPr>
            <w:tcW w:w="924" w:type="pct"/>
            <w:vAlign w:val="center"/>
          </w:tcPr>
          <w:p w14:paraId="1B8708E1" w14:textId="77777777" w:rsidR="00241417" w:rsidRPr="00386133" w:rsidRDefault="00241417" w:rsidP="003A71DE">
            <w:pPr>
              <w:pStyle w:val="TAC"/>
            </w:pPr>
            <w:r w:rsidRPr="00386133">
              <w:t>2</w:t>
            </w:r>
          </w:p>
        </w:tc>
      </w:tr>
      <w:tr w:rsidR="00241417" w:rsidRPr="00386133" w14:paraId="748A84DD" w14:textId="77777777" w:rsidTr="003A71DE">
        <w:trPr>
          <w:jc w:val="center"/>
        </w:trPr>
        <w:tc>
          <w:tcPr>
            <w:tcW w:w="2547" w:type="pct"/>
            <w:vAlign w:val="center"/>
          </w:tcPr>
          <w:p w14:paraId="28D78794" w14:textId="77777777" w:rsidR="00241417" w:rsidRPr="00333EE0" w:rsidRDefault="00241417" w:rsidP="003A71DE">
            <w:pPr>
              <w:pStyle w:val="TAL"/>
            </w:pPr>
            <w:r w:rsidRPr="00333EE0">
              <w:t xml:space="preserve">Number of DMRS </w:t>
            </w:r>
            <w:r w:rsidRPr="00333EE0">
              <w:rPr>
                <w:rFonts w:hint="eastAsia"/>
                <w:lang w:eastAsia="zh-CN"/>
              </w:rPr>
              <w:t>REs</w:t>
            </w:r>
            <w:r w:rsidRPr="00333EE0">
              <w:t xml:space="preserve"> (Note 3)</w:t>
            </w:r>
          </w:p>
        </w:tc>
        <w:tc>
          <w:tcPr>
            <w:tcW w:w="604" w:type="pct"/>
            <w:vAlign w:val="center"/>
          </w:tcPr>
          <w:p w14:paraId="6F790E42" w14:textId="77777777" w:rsidR="00241417" w:rsidRPr="00333EE0" w:rsidRDefault="00241417" w:rsidP="003A71DE">
            <w:pPr>
              <w:pStyle w:val="TAC"/>
            </w:pPr>
          </w:p>
        </w:tc>
        <w:tc>
          <w:tcPr>
            <w:tcW w:w="924" w:type="pct"/>
            <w:vAlign w:val="center"/>
          </w:tcPr>
          <w:p w14:paraId="1224DD7C" w14:textId="77777777" w:rsidR="00241417" w:rsidRPr="00386133" w:rsidRDefault="00241417" w:rsidP="003A71DE">
            <w:pPr>
              <w:pStyle w:val="TAC"/>
            </w:pPr>
            <w:r w:rsidRPr="00386133">
              <w:t>24</w:t>
            </w:r>
          </w:p>
        </w:tc>
        <w:tc>
          <w:tcPr>
            <w:tcW w:w="924" w:type="pct"/>
            <w:vAlign w:val="center"/>
          </w:tcPr>
          <w:p w14:paraId="2B5199EB" w14:textId="77777777" w:rsidR="00241417" w:rsidRPr="00386133" w:rsidRDefault="00241417" w:rsidP="003A71DE">
            <w:pPr>
              <w:pStyle w:val="TAC"/>
            </w:pPr>
            <w:r w:rsidRPr="00386133">
              <w:t>24</w:t>
            </w:r>
          </w:p>
        </w:tc>
      </w:tr>
      <w:tr w:rsidR="00241417" w:rsidRPr="00386133" w14:paraId="6DBEBC04" w14:textId="77777777" w:rsidTr="003A71DE">
        <w:trPr>
          <w:jc w:val="center"/>
        </w:trPr>
        <w:tc>
          <w:tcPr>
            <w:tcW w:w="2547" w:type="pct"/>
            <w:vAlign w:val="center"/>
          </w:tcPr>
          <w:p w14:paraId="011810D8" w14:textId="77777777" w:rsidR="00241417" w:rsidRPr="00386133" w:rsidRDefault="00241417" w:rsidP="003A71DE">
            <w:pPr>
              <w:pStyle w:val="TAL"/>
            </w:pPr>
            <w:r w:rsidRPr="00386133">
              <w:t>Overhead for TBS determination</w:t>
            </w:r>
          </w:p>
        </w:tc>
        <w:tc>
          <w:tcPr>
            <w:tcW w:w="604" w:type="pct"/>
            <w:vAlign w:val="center"/>
          </w:tcPr>
          <w:p w14:paraId="134ADA01" w14:textId="77777777" w:rsidR="00241417" w:rsidRPr="00386133" w:rsidRDefault="00241417" w:rsidP="003A71DE">
            <w:pPr>
              <w:pStyle w:val="TAC"/>
            </w:pPr>
          </w:p>
        </w:tc>
        <w:tc>
          <w:tcPr>
            <w:tcW w:w="924" w:type="pct"/>
            <w:vAlign w:val="center"/>
          </w:tcPr>
          <w:p w14:paraId="399A204C" w14:textId="77777777" w:rsidR="00241417" w:rsidRPr="00386133" w:rsidRDefault="00241417" w:rsidP="003A71DE">
            <w:pPr>
              <w:pStyle w:val="TAC"/>
            </w:pPr>
            <w:r w:rsidRPr="00386133">
              <w:t>0</w:t>
            </w:r>
          </w:p>
        </w:tc>
        <w:tc>
          <w:tcPr>
            <w:tcW w:w="924" w:type="pct"/>
            <w:vAlign w:val="center"/>
          </w:tcPr>
          <w:p w14:paraId="68D5D0F8" w14:textId="77777777" w:rsidR="00241417" w:rsidRPr="00386133" w:rsidRDefault="00241417" w:rsidP="003A71DE">
            <w:pPr>
              <w:pStyle w:val="TAC"/>
            </w:pPr>
            <w:r w:rsidRPr="00386133">
              <w:t>0</w:t>
            </w:r>
          </w:p>
        </w:tc>
      </w:tr>
      <w:tr w:rsidR="00241417" w:rsidRPr="00386133" w14:paraId="77E29069" w14:textId="77777777" w:rsidTr="003A71DE">
        <w:trPr>
          <w:jc w:val="center"/>
        </w:trPr>
        <w:tc>
          <w:tcPr>
            <w:tcW w:w="2547" w:type="pct"/>
            <w:vAlign w:val="center"/>
          </w:tcPr>
          <w:p w14:paraId="493FE44E" w14:textId="77777777" w:rsidR="00241417" w:rsidRPr="00386133" w:rsidRDefault="00241417" w:rsidP="003A71DE">
            <w:pPr>
              <w:pStyle w:val="TAL"/>
            </w:pPr>
            <w:r w:rsidRPr="00386133">
              <w:t xml:space="preserve">Information Bit Payload per Slot </w:t>
            </w:r>
          </w:p>
        </w:tc>
        <w:tc>
          <w:tcPr>
            <w:tcW w:w="604" w:type="pct"/>
            <w:vAlign w:val="center"/>
          </w:tcPr>
          <w:p w14:paraId="3326721B" w14:textId="77777777" w:rsidR="00241417" w:rsidRPr="00386133" w:rsidRDefault="00241417" w:rsidP="003A71DE">
            <w:pPr>
              <w:pStyle w:val="TAC"/>
            </w:pPr>
            <w:r w:rsidRPr="00386133">
              <w:t>Bits</w:t>
            </w:r>
          </w:p>
        </w:tc>
        <w:tc>
          <w:tcPr>
            <w:tcW w:w="924" w:type="pct"/>
            <w:vAlign w:val="center"/>
          </w:tcPr>
          <w:p w14:paraId="64F4539E" w14:textId="77777777" w:rsidR="00241417" w:rsidRPr="00386133" w:rsidRDefault="00241417" w:rsidP="003A71DE">
            <w:pPr>
              <w:pStyle w:val="TAC"/>
            </w:pPr>
            <w:r w:rsidRPr="00386133">
              <w:rPr>
                <w:rFonts w:hint="eastAsia"/>
                <w:lang w:eastAsia="zh-CN"/>
              </w:rPr>
              <w:t>24576</w:t>
            </w:r>
          </w:p>
        </w:tc>
        <w:tc>
          <w:tcPr>
            <w:tcW w:w="924" w:type="pct"/>
            <w:vAlign w:val="center"/>
          </w:tcPr>
          <w:p w14:paraId="0C38BE20" w14:textId="77777777" w:rsidR="00241417" w:rsidRPr="00386133" w:rsidRDefault="00241417" w:rsidP="003A71DE">
            <w:pPr>
              <w:pStyle w:val="TAC"/>
            </w:pPr>
            <w:r w:rsidRPr="00386133">
              <w:rPr>
                <w:rFonts w:hint="eastAsia"/>
                <w:lang w:eastAsia="zh-CN"/>
              </w:rPr>
              <w:t>49176</w:t>
            </w:r>
          </w:p>
        </w:tc>
      </w:tr>
      <w:tr w:rsidR="00241417" w:rsidRPr="00386133" w14:paraId="7D1A0D26" w14:textId="77777777" w:rsidTr="003A71DE">
        <w:trPr>
          <w:jc w:val="center"/>
        </w:trPr>
        <w:tc>
          <w:tcPr>
            <w:tcW w:w="2547" w:type="pct"/>
            <w:vAlign w:val="center"/>
          </w:tcPr>
          <w:p w14:paraId="49CB1497" w14:textId="77777777" w:rsidR="00241417" w:rsidRPr="00386133" w:rsidRDefault="00241417" w:rsidP="003A71DE">
            <w:pPr>
              <w:pStyle w:val="TAL"/>
            </w:pPr>
            <w:r w:rsidRPr="00386133">
              <w:t xml:space="preserve">  For Slot i = 20</w:t>
            </w:r>
          </w:p>
        </w:tc>
        <w:tc>
          <w:tcPr>
            <w:tcW w:w="604" w:type="pct"/>
            <w:vAlign w:val="center"/>
          </w:tcPr>
          <w:p w14:paraId="0EE1B5DB" w14:textId="77777777" w:rsidR="00241417" w:rsidRPr="00386133" w:rsidRDefault="00241417" w:rsidP="003A71DE">
            <w:pPr>
              <w:pStyle w:val="TAC"/>
            </w:pPr>
          </w:p>
        </w:tc>
        <w:tc>
          <w:tcPr>
            <w:tcW w:w="924" w:type="pct"/>
            <w:shd w:val="clear" w:color="auto" w:fill="auto"/>
            <w:vAlign w:val="center"/>
          </w:tcPr>
          <w:p w14:paraId="040A539A" w14:textId="77777777" w:rsidR="00241417" w:rsidRPr="00386133" w:rsidRDefault="00241417" w:rsidP="003A71DE">
            <w:pPr>
              <w:pStyle w:val="TAC"/>
              <w:rPr>
                <w:lang w:eastAsia="zh-CN"/>
              </w:rPr>
            </w:pPr>
          </w:p>
        </w:tc>
        <w:tc>
          <w:tcPr>
            <w:tcW w:w="924" w:type="pct"/>
            <w:shd w:val="clear" w:color="auto" w:fill="auto"/>
            <w:vAlign w:val="center"/>
          </w:tcPr>
          <w:p w14:paraId="1B35E189" w14:textId="77777777" w:rsidR="00241417" w:rsidRPr="00386133" w:rsidRDefault="00241417" w:rsidP="003A71DE">
            <w:pPr>
              <w:pStyle w:val="TAC"/>
              <w:rPr>
                <w:lang w:eastAsia="zh-CN"/>
              </w:rPr>
            </w:pPr>
          </w:p>
        </w:tc>
      </w:tr>
      <w:tr w:rsidR="00241417" w:rsidRPr="00386133" w14:paraId="538CB052" w14:textId="77777777" w:rsidTr="003A71DE">
        <w:trPr>
          <w:jc w:val="center"/>
        </w:trPr>
        <w:tc>
          <w:tcPr>
            <w:tcW w:w="2547" w:type="pct"/>
            <w:vAlign w:val="center"/>
          </w:tcPr>
          <w:p w14:paraId="6B775679" w14:textId="77777777" w:rsidR="00241417" w:rsidRPr="00386133" w:rsidRDefault="00241417" w:rsidP="003A71DE">
            <w:pPr>
              <w:pStyle w:val="TAL"/>
              <w:rPr>
                <w:lang w:val="sv-FI"/>
              </w:rPr>
            </w:pPr>
            <w:r w:rsidRPr="00386133">
              <w:rPr>
                <w:lang w:val="sv-FI"/>
              </w:rPr>
              <w:t>Transport block CRC per Slot</w:t>
            </w:r>
          </w:p>
        </w:tc>
        <w:tc>
          <w:tcPr>
            <w:tcW w:w="604" w:type="pct"/>
            <w:vAlign w:val="center"/>
          </w:tcPr>
          <w:p w14:paraId="5C3D60E8" w14:textId="77777777" w:rsidR="00241417" w:rsidRPr="00386133" w:rsidRDefault="00241417" w:rsidP="003A71DE">
            <w:pPr>
              <w:pStyle w:val="TAC"/>
              <w:rPr>
                <w:lang w:val="sv-FI"/>
              </w:rPr>
            </w:pPr>
            <w:r w:rsidRPr="00386133">
              <w:t>Bits</w:t>
            </w:r>
          </w:p>
        </w:tc>
        <w:tc>
          <w:tcPr>
            <w:tcW w:w="924" w:type="pct"/>
            <w:vAlign w:val="center"/>
          </w:tcPr>
          <w:p w14:paraId="39BB9559" w14:textId="77777777" w:rsidR="00241417" w:rsidRPr="00386133" w:rsidRDefault="00241417" w:rsidP="003A71DE">
            <w:pPr>
              <w:pStyle w:val="TAC"/>
              <w:rPr>
                <w:lang w:val="sv-FI"/>
              </w:rPr>
            </w:pPr>
            <w:r w:rsidRPr="00386133">
              <w:t>24</w:t>
            </w:r>
          </w:p>
        </w:tc>
        <w:tc>
          <w:tcPr>
            <w:tcW w:w="924" w:type="pct"/>
            <w:vAlign w:val="center"/>
          </w:tcPr>
          <w:p w14:paraId="6C5D54D7" w14:textId="77777777" w:rsidR="00241417" w:rsidRPr="00386133" w:rsidRDefault="00241417" w:rsidP="003A71DE">
            <w:pPr>
              <w:pStyle w:val="TAC"/>
              <w:rPr>
                <w:lang w:val="sv-FI"/>
              </w:rPr>
            </w:pPr>
            <w:r w:rsidRPr="00386133">
              <w:t>24</w:t>
            </w:r>
          </w:p>
        </w:tc>
      </w:tr>
      <w:tr w:rsidR="00241417" w:rsidRPr="00386133" w14:paraId="645C3459" w14:textId="77777777" w:rsidTr="003A71DE">
        <w:trPr>
          <w:jc w:val="center"/>
        </w:trPr>
        <w:tc>
          <w:tcPr>
            <w:tcW w:w="2547" w:type="pct"/>
            <w:vAlign w:val="center"/>
          </w:tcPr>
          <w:p w14:paraId="57550923" w14:textId="77777777" w:rsidR="00241417" w:rsidRPr="00333EE0" w:rsidRDefault="00241417" w:rsidP="003A71DE">
            <w:pPr>
              <w:pStyle w:val="TAL"/>
            </w:pPr>
            <w:r w:rsidRPr="00333EE0">
              <w:t>Number of Code Blocks per Slot</w:t>
            </w:r>
          </w:p>
        </w:tc>
        <w:tc>
          <w:tcPr>
            <w:tcW w:w="604" w:type="pct"/>
            <w:vAlign w:val="center"/>
          </w:tcPr>
          <w:p w14:paraId="744C6B43" w14:textId="77777777" w:rsidR="00241417" w:rsidRPr="00386133" w:rsidRDefault="00241417" w:rsidP="003A71DE">
            <w:pPr>
              <w:pStyle w:val="TAC"/>
            </w:pPr>
            <w:r w:rsidRPr="00386133">
              <w:t>CBs</w:t>
            </w:r>
          </w:p>
        </w:tc>
        <w:tc>
          <w:tcPr>
            <w:tcW w:w="924" w:type="pct"/>
            <w:vAlign w:val="center"/>
          </w:tcPr>
          <w:p w14:paraId="32BBEA98" w14:textId="77777777" w:rsidR="00241417" w:rsidRPr="00386133" w:rsidRDefault="00241417" w:rsidP="003A71DE">
            <w:pPr>
              <w:pStyle w:val="TAC"/>
            </w:pPr>
            <w:r w:rsidRPr="00386133">
              <w:rPr>
                <w:rFonts w:hint="eastAsia"/>
                <w:lang w:eastAsia="zh-CN"/>
              </w:rPr>
              <w:t>3</w:t>
            </w:r>
          </w:p>
        </w:tc>
        <w:tc>
          <w:tcPr>
            <w:tcW w:w="924" w:type="pct"/>
            <w:vAlign w:val="center"/>
          </w:tcPr>
          <w:p w14:paraId="6E23896E" w14:textId="77777777" w:rsidR="00241417" w:rsidRPr="00386133" w:rsidRDefault="00241417" w:rsidP="003A71DE">
            <w:pPr>
              <w:pStyle w:val="TAC"/>
            </w:pPr>
            <w:r w:rsidRPr="00386133">
              <w:rPr>
                <w:rFonts w:hint="eastAsia"/>
                <w:lang w:eastAsia="zh-CN"/>
              </w:rPr>
              <w:t>6</w:t>
            </w:r>
          </w:p>
        </w:tc>
      </w:tr>
      <w:tr w:rsidR="00241417" w:rsidRPr="00386133" w14:paraId="1EDC6FE3" w14:textId="77777777" w:rsidTr="003A71DE">
        <w:trPr>
          <w:jc w:val="center"/>
        </w:trPr>
        <w:tc>
          <w:tcPr>
            <w:tcW w:w="2547" w:type="pct"/>
            <w:vAlign w:val="center"/>
          </w:tcPr>
          <w:p w14:paraId="4051300B" w14:textId="77777777" w:rsidR="00241417" w:rsidRPr="00386133" w:rsidRDefault="00241417" w:rsidP="003A71DE">
            <w:pPr>
              <w:pStyle w:val="TAL"/>
            </w:pPr>
            <w:r w:rsidRPr="00386133">
              <w:t>Binary Channel Bits Per Slot</w:t>
            </w:r>
          </w:p>
        </w:tc>
        <w:tc>
          <w:tcPr>
            <w:tcW w:w="604" w:type="pct"/>
            <w:vAlign w:val="center"/>
          </w:tcPr>
          <w:p w14:paraId="05ACFD8D" w14:textId="77777777" w:rsidR="00241417" w:rsidRPr="00386133" w:rsidRDefault="00241417" w:rsidP="003A71DE">
            <w:pPr>
              <w:pStyle w:val="TAC"/>
            </w:pPr>
            <w:r w:rsidRPr="00386133">
              <w:t>Bits</w:t>
            </w:r>
          </w:p>
        </w:tc>
        <w:tc>
          <w:tcPr>
            <w:tcW w:w="924" w:type="pct"/>
            <w:vAlign w:val="center"/>
          </w:tcPr>
          <w:p w14:paraId="5887BEBF" w14:textId="77777777" w:rsidR="00241417" w:rsidRPr="00386133" w:rsidRDefault="00241417" w:rsidP="003A71DE">
            <w:pPr>
              <w:pStyle w:val="TAC"/>
            </w:pPr>
            <w:r w:rsidRPr="00386133">
              <w:rPr>
                <w:rFonts w:hint="eastAsia"/>
                <w:lang w:eastAsia="zh-CN"/>
              </w:rPr>
              <w:t>50880</w:t>
            </w:r>
          </w:p>
        </w:tc>
        <w:tc>
          <w:tcPr>
            <w:tcW w:w="924" w:type="pct"/>
            <w:vAlign w:val="center"/>
          </w:tcPr>
          <w:p w14:paraId="6AAD8BE3" w14:textId="77777777" w:rsidR="00241417" w:rsidRPr="00386133" w:rsidRDefault="00241417" w:rsidP="003A71DE">
            <w:pPr>
              <w:pStyle w:val="TAC"/>
            </w:pPr>
            <w:r w:rsidRPr="00386133">
              <w:rPr>
                <w:rFonts w:hint="eastAsia"/>
                <w:lang w:eastAsia="zh-CN"/>
              </w:rPr>
              <w:t>101760</w:t>
            </w:r>
          </w:p>
        </w:tc>
      </w:tr>
    </w:tbl>
    <w:p w14:paraId="09BD2AF0" w14:textId="77777777" w:rsidR="00241417" w:rsidRDefault="00241417" w:rsidP="00241417"/>
    <w:p w14:paraId="3924FA00" w14:textId="77777777" w:rsidR="00241417" w:rsidRPr="001A45E5" w:rsidRDefault="00241417" w:rsidP="00241417">
      <w:pPr>
        <w:pStyle w:val="TH"/>
      </w:pPr>
      <w:r w:rsidRPr="001A45E5">
        <w:t>Table A.3.</w:t>
      </w:r>
      <w:r>
        <w:t>5-4</w:t>
      </w:r>
      <w:r w:rsidRPr="001A45E5">
        <w:t xml:space="preserve">: PDSCH Reference Channel for </w:t>
      </w:r>
      <w:r>
        <w:t>FR2</w:t>
      </w:r>
      <w:r w:rsidRPr="001A45E5">
        <w:t xml:space="preserve"> PMI reporting requirements</w:t>
      </w:r>
    </w:p>
    <w:p w14:paraId="5A97B069" w14:textId="77777777" w:rsidR="00241417" w:rsidRPr="009928B4" w:rsidRDefault="00241417" w:rsidP="00241417"/>
    <w:tbl>
      <w:tblPr>
        <w:tblW w:w="28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7"/>
        <w:gridCol w:w="852"/>
        <w:gridCol w:w="1237"/>
      </w:tblGrid>
      <w:tr w:rsidR="00241417" w:rsidRPr="0088794F" w14:paraId="3EFE6BBC" w14:textId="77777777" w:rsidTr="003A71DE">
        <w:trPr>
          <w:jc w:val="center"/>
        </w:trPr>
        <w:tc>
          <w:tcPr>
            <w:tcW w:w="3117" w:type="pct"/>
            <w:shd w:val="clear" w:color="auto" w:fill="auto"/>
            <w:vAlign w:val="center"/>
          </w:tcPr>
          <w:p w14:paraId="085780E4" w14:textId="77777777" w:rsidR="00241417" w:rsidRPr="0088794F" w:rsidRDefault="00241417" w:rsidP="003A71DE">
            <w:pPr>
              <w:pStyle w:val="TAH"/>
            </w:pPr>
            <w:r w:rsidRPr="0088794F">
              <w:lastRenderedPageBreak/>
              <w:t>Parameter</w:t>
            </w:r>
          </w:p>
        </w:tc>
        <w:tc>
          <w:tcPr>
            <w:tcW w:w="768" w:type="pct"/>
            <w:shd w:val="clear" w:color="auto" w:fill="auto"/>
            <w:vAlign w:val="center"/>
          </w:tcPr>
          <w:p w14:paraId="1FF86F04" w14:textId="77777777" w:rsidR="00241417" w:rsidRPr="0088794F" w:rsidRDefault="00241417" w:rsidP="003A71DE">
            <w:pPr>
              <w:pStyle w:val="TAH"/>
            </w:pPr>
            <w:r w:rsidRPr="0088794F">
              <w:t>Unit</w:t>
            </w:r>
          </w:p>
        </w:tc>
        <w:tc>
          <w:tcPr>
            <w:tcW w:w="1115" w:type="pct"/>
            <w:shd w:val="clear" w:color="auto" w:fill="auto"/>
            <w:vAlign w:val="center"/>
          </w:tcPr>
          <w:p w14:paraId="18C7AB2C" w14:textId="77777777" w:rsidR="00241417" w:rsidRPr="0088794F" w:rsidRDefault="00241417" w:rsidP="003A71DE">
            <w:pPr>
              <w:pStyle w:val="TAH"/>
            </w:pPr>
            <w:r w:rsidRPr="0088794F">
              <w:t>Value</w:t>
            </w:r>
          </w:p>
        </w:tc>
      </w:tr>
      <w:tr w:rsidR="00241417" w:rsidRPr="0088794F" w14:paraId="754D004E" w14:textId="77777777" w:rsidTr="003A71DE">
        <w:trPr>
          <w:jc w:val="center"/>
        </w:trPr>
        <w:tc>
          <w:tcPr>
            <w:tcW w:w="3117" w:type="pct"/>
            <w:vAlign w:val="center"/>
          </w:tcPr>
          <w:p w14:paraId="4177E057" w14:textId="77777777" w:rsidR="00241417" w:rsidRPr="0088794F" w:rsidRDefault="00241417" w:rsidP="003A71DE">
            <w:pPr>
              <w:pStyle w:val="TAL"/>
            </w:pPr>
            <w:r w:rsidRPr="0088794F">
              <w:t>Reference channel</w:t>
            </w:r>
          </w:p>
        </w:tc>
        <w:tc>
          <w:tcPr>
            <w:tcW w:w="768" w:type="pct"/>
            <w:vAlign w:val="center"/>
          </w:tcPr>
          <w:p w14:paraId="2EE649AA" w14:textId="77777777" w:rsidR="00241417" w:rsidRPr="0088794F" w:rsidRDefault="00241417" w:rsidP="003A71DE">
            <w:pPr>
              <w:pStyle w:val="TAC"/>
            </w:pPr>
          </w:p>
        </w:tc>
        <w:tc>
          <w:tcPr>
            <w:tcW w:w="1115" w:type="pct"/>
            <w:vAlign w:val="center"/>
          </w:tcPr>
          <w:p w14:paraId="53A4D35A" w14:textId="77777777" w:rsidR="00241417" w:rsidRPr="0088794F" w:rsidRDefault="00241417" w:rsidP="003A71DE">
            <w:pPr>
              <w:pStyle w:val="TAC"/>
            </w:pPr>
            <w:r>
              <w:t>M-FR2-A.3.5-3</w:t>
            </w:r>
          </w:p>
        </w:tc>
      </w:tr>
      <w:tr w:rsidR="00241417" w:rsidRPr="0088794F" w14:paraId="0F56F518" w14:textId="77777777" w:rsidTr="003A71DE">
        <w:trPr>
          <w:jc w:val="center"/>
        </w:trPr>
        <w:tc>
          <w:tcPr>
            <w:tcW w:w="3117" w:type="pct"/>
            <w:vAlign w:val="center"/>
          </w:tcPr>
          <w:p w14:paraId="26119DA9" w14:textId="77777777" w:rsidR="00241417" w:rsidRPr="0088794F" w:rsidRDefault="00241417" w:rsidP="003A71DE">
            <w:pPr>
              <w:pStyle w:val="TAL"/>
            </w:pPr>
            <w:r w:rsidRPr="0088794F">
              <w:t>Channel bandwidth</w:t>
            </w:r>
          </w:p>
        </w:tc>
        <w:tc>
          <w:tcPr>
            <w:tcW w:w="768" w:type="pct"/>
            <w:vAlign w:val="center"/>
          </w:tcPr>
          <w:p w14:paraId="0CDA1079" w14:textId="77777777" w:rsidR="00241417" w:rsidRPr="0088794F" w:rsidRDefault="00241417" w:rsidP="003A71DE">
            <w:pPr>
              <w:pStyle w:val="TAC"/>
            </w:pPr>
            <w:r w:rsidRPr="0088794F">
              <w:t>MHz</w:t>
            </w:r>
          </w:p>
        </w:tc>
        <w:tc>
          <w:tcPr>
            <w:tcW w:w="1115" w:type="pct"/>
            <w:vAlign w:val="center"/>
          </w:tcPr>
          <w:p w14:paraId="24B6AEA7" w14:textId="77777777" w:rsidR="00241417" w:rsidRPr="0088794F" w:rsidRDefault="00241417" w:rsidP="003A71DE">
            <w:pPr>
              <w:pStyle w:val="TAC"/>
            </w:pPr>
            <w:r w:rsidRPr="0088794F">
              <w:rPr>
                <w:rFonts w:hint="eastAsia"/>
                <w:lang w:eastAsia="zh-CN"/>
              </w:rPr>
              <w:t>100</w:t>
            </w:r>
          </w:p>
        </w:tc>
      </w:tr>
      <w:tr w:rsidR="00241417" w:rsidRPr="0088794F" w14:paraId="6584C642" w14:textId="77777777" w:rsidTr="003A71DE">
        <w:trPr>
          <w:jc w:val="center"/>
        </w:trPr>
        <w:tc>
          <w:tcPr>
            <w:tcW w:w="3117" w:type="pct"/>
            <w:vAlign w:val="center"/>
          </w:tcPr>
          <w:p w14:paraId="16054495" w14:textId="77777777" w:rsidR="00241417" w:rsidRPr="0088794F" w:rsidRDefault="00241417" w:rsidP="003A71DE">
            <w:pPr>
              <w:pStyle w:val="TAL"/>
            </w:pPr>
            <w:r w:rsidRPr="0088794F">
              <w:t>Subcarrier spacing</w:t>
            </w:r>
          </w:p>
        </w:tc>
        <w:tc>
          <w:tcPr>
            <w:tcW w:w="768" w:type="pct"/>
            <w:vAlign w:val="center"/>
          </w:tcPr>
          <w:p w14:paraId="6324B7B5" w14:textId="77777777" w:rsidR="00241417" w:rsidRPr="0088794F" w:rsidRDefault="00241417" w:rsidP="003A71DE">
            <w:pPr>
              <w:pStyle w:val="TAC"/>
            </w:pPr>
            <w:r w:rsidRPr="0088794F">
              <w:t>kHz</w:t>
            </w:r>
          </w:p>
        </w:tc>
        <w:tc>
          <w:tcPr>
            <w:tcW w:w="1115" w:type="pct"/>
            <w:vAlign w:val="center"/>
          </w:tcPr>
          <w:p w14:paraId="12A881B5" w14:textId="77777777" w:rsidR="00241417" w:rsidRPr="0088794F" w:rsidRDefault="00241417" w:rsidP="003A71DE">
            <w:pPr>
              <w:pStyle w:val="TAC"/>
            </w:pPr>
            <w:r w:rsidRPr="0088794F">
              <w:rPr>
                <w:rFonts w:hint="eastAsia"/>
                <w:lang w:eastAsia="zh-CN"/>
              </w:rPr>
              <w:t>120</w:t>
            </w:r>
          </w:p>
        </w:tc>
      </w:tr>
      <w:tr w:rsidR="00241417" w:rsidRPr="0088794F" w14:paraId="2E27425A" w14:textId="77777777" w:rsidTr="003A71DE">
        <w:trPr>
          <w:jc w:val="center"/>
        </w:trPr>
        <w:tc>
          <w:tcPr>
            <w:tcW w:w="3117" w:type="pct"/>
            <w:vAlign w:val="center"/>
          </w:tcPr>
          <w:p w14:paraId="31B6B316" w14:textId="77777777" w:rsidR="00241417" w:rsidRPr="0088794F" w:rsidRDefault="00241417" w:rsidP="003A71DE">
            <w:pPr>
              <w:pStyle w:val="TAL"/>
            </w:pPr>
            <w:r w:rsidRPr="0088794F">
              <w:t>Allocated resource blocks</w:t>
            </w:r>
          </w:p>
        </w:tc>
        <w:tc>
          <w:tcPr>
            <w:tcW w:w="768" w:type="pct"/>
            <w:vAlign w:val="center"/>
          </w:tcPr>
          <w:p w14:paraId="4901160E" w14:textId="77777777" w:rsidR="00241417" w:rsidRPr="0088794F" w:rsidRDefault="00241417" w:rsidP="003A71DE">
            <w:pPr>
              <w:pStyle w:val="TAC"/>
            </w:pPr>
            <w:r w:rsidRPr="0088794F">
              <w:t>PRBs</w:t>
            </w:r>
          </w:p>
        </w:tc>
        <w:tc>
          <w:tcPr>
            <w:tcW w:w="1115" w:type="pct"/>
            <w:vAlign w:val="center"/>
          </w:tcPr>
          <w:p w14:paraId="49B7E05E" w14:textId="77777777" w:rsidR="00241417" w:rsidRPr="0088794F" w:rsidRDefault="00241417" w:rsidP="003A71DE">
            <w:pPr>
              <w:pStyle w:val="TAC"/>
            </w:pPr>
            <w:r w:rsidRPr="0088794F">
              <w:t>66</w:t>
            </w:r>
          </w:p>
        </w:tc>
      </w:tr>
      <w:tr w:rsidR="00241417" w:rsidRPr="0088794F" w14:paraId="1F624A18" w14:textId="77777777" w:rsidTr="003A71DE">
        <w:trPr>
          <w:jc w:val="center"/>
        </w:trPr>
        <w:tc>
          <w:tcPr>
            <w:tcW w:w="3117" w:type="pct"/>
            <w:vAlign w:val="center"/>
          </w:tcPr>
          <w:p w14:paraId="3329461F" w14:textId="77777777" w:rsidR="00241417" w:rsidRPr="00333EE0" w:rsidRDefault="00241417" w:rsidP="003A71DE">
            <w:pPr>
              <w:pStyle w:val="TAL"/>
            </w:pPr>
            <w:r w:rsidRPr="00333EE0">
              <w:t>Number of consecutive PDSCH symbols</w:t>
            </w:r>
          </w:p>
        </w:tc>
        <w:tc>
          <w:tcPr>
            <w:tcW w:w="768" w:type="pct"/>
            <w:vAlign w:val="center"/>
          </w:tcPr>
          <w:p w14:paraId="5173DB6B" w14:textId="77777777" w:rsidR="00241417" w:rsidRPr="00333EE0" w:rsidRDefault="00241417" w:rsidP="003A71DE">
            <w:pPr>
              <w:pStyle w:val="TAC"/>
            </w:pPr>
          </w:p>
        </w:tc>
        <w:tc>
          <w:tcPr>
            <w:tcW w:w="1115" w:type="pct"/>
            <w:vAlign w:val="center"/>
          </w:tcPr>
          <w:p w14:paraId="64B56EA3" w14:textId="77777777" w:rsidR="00241417" w:rsidRPr="0088794F" w:rsidRDefault="00241417" w:rsidP="003A71DE">
            <w:pPr>
              <w:pStyle w:val="TAC"/>
              <w:rPr>
                <w:lang w:eastAsia="zh-CN"/>
              </w:rPr>
            </w:pPr>
            <w:r w:rsidRPr="0088794F">
              <w:rPr>
                <w:rFonts w:hint="eastAsia"/>
                <w:lang w:eastAsia="zh-CN"/>
              </w:rPr>
              <w:t>12</w:t>
            </w:r>
          </w:p>
        </w:tc>
      </w:tr>
      <w:tr w:rsidR="00241417" w:rsidRPr="0088794F" w14:paraId="402B2B55" w14:textId="77777777" w:rsidTr="003A71DE">
        <w:trPr>
          <w:jc w:val="center"/>
        </w:trPr>
        <w:tc>
          <w:tcPr>
            <w:tcW w:w="3117" w:type="pct"/>
            <w:vAlign w:val="center"/>
          </w:tcPr>
          <w:p w14:paraId="18C13D42" w14:textId="77777777" w:rsidR="00241417" w:rsidRPr="0088794F" w:rsidRDefault="00241417" w:rsidP="003A71DE">
            <w:pPr>
              <w:pStyle w:val="TAL"/>
            </w:pPr>
            <w:r w:rsidRPr="0088794F">
              <w:t>MCS table</w:t>
            </w:r>
          </w:p>
        </w:tc>
        <w:tc>
          <w:tcPr>
            <w:tcW w:w="768" w:type="pct"/>
            <w:vAlign w:val="center"/>
          </w:tcPr>
          <w:p w14:paraId="4857CBD7" w14:textId="77777777" w:rsidR="00241417" w:rsidRPr="0088794F" w:rsidRDefault="00241417" w:rsidP="003A71DE">
            <w:pPr>
              <w:pStyle w:val="TAC"/>
            </w:pPr>
          </w:p>
        </w:tc>
        <w:tc>
          <w:tcPr>
            <w:tcW w:w="1115" w:type="pct"/>
            <w:vAlign w:val="center"/>
          </w:tcPr>
          <w:p w14:paraId="6B33E027" w14:textId="77777777" w:rsidR="00241417" w:rsidRPr="0088794F" w:rsidRDefault="00241417" w:rsidP="003A71DE">
            <w:pPr>
              <w:pStyle w:val="TAC"/>
            </w:pPr>
            <w:r w:rsidRPr="0088794F">
              <w:t>64QAM</w:t>
            </w:r>
          </w:p>
        </w:tc>
      </w:tr>
      <w:tr w:rsidR="00241417" w:rsidRPr="0088794F" w14:paraId="0CA57B42" w14:textId="77777777" w:rsidTr="003A71DE">
        <w:trPr>
          <w:jc w:val="center"/>
        </w:trPr>
        <w:tc>
          <w:tcPr>
            <w:tcW w:w="3117" w:type="pct"/>
            <w:vAlign w:val="center"/>
          </w:tcPr>
          <w:p w14:paraId="532A3CC3" w14:textId="77777777" w:rsidR="00241417" w:rsidRPr="0088794F" w:rsidRDefault="00241417" w:rsidP="003A71DE">
            <w:pPr>
              <w:pStyle w:val="TAL"/>
            </w:pPr>
            <w:r w:rsidRPr="0088794F">
              <w:t>MCS index</w:t>
            </w:r>
          </w:p>
        </w:tc>
        <w:tc>
          <w:tcPr>
            <w:tcW w:w="768" w:type="pct"/>
            <w:vAlign w:val="center"/>
          </w:tcPr>
          <w:p w14:paraId="1669D95D" w14:textId="77777777" w:rsidR="00241417" w:rsidRPr="0088794F" w:rsidRDefault="00241417" w:rsidP="003A71DE">
            <w:pPr>
              <w:pStyle w:val="TAC"/>
            </w:pPr>
          </w:p>
        </w:tc>
        <w:tc>
          <w:tcPr>
            <w:tcW w:w="1115" w:type="pct"/>
            <w:vAlign w:val="center"/>
          </w:tcPr>
          <w:p w14:paraId="75C47410" w14:textId="77777777" w:rsidR="00241417" w:rsidRPr="0088794F" w:rsidRDefault="00241417" w:rsidP="003A71DE">
            <w:pPr>
              <w:pStyle w:val="TAC"/>
            </w:pPr>
            <w:r w:rsidRPr="0088794F">
              <w:t>13</w:t>
            </w:r>
          </w:p>
        </w:tc>
      </w:tr>
      <w:tr w:rsidR="00241417" w:rsidRPr="0088794F" w14:paraId="1D547CAE" w14:textId="77777777" w:rsidTr="003A71DE">
        <w:trPr>
          <w:jc w:val="center"/>
        </w:trPr>
        <w:tc>
          <w:tcPr>
            <w:tcW w:w="3117" w:type="pct"/>
            <w:vAlign w:val="center"/>
          </w:tcPr>
          <w:p w14:paraId="437646C1" w14:textId="77777777" w:rsidR="00241417" w:rsidRPr="0088794F" w:rsidRDefault="00241417" w:rsidP="003A71DE">
            <w:pPr>
              <w:pStyle w:val="TAL"/>
            </w:pPr>
            <w:r w:rsidRPr="0088794F">
              <w:t>Modulation</w:t>
            </w:r>
          </w:p>
        </w:tc>
        <w:tc>
          <w:tcPr>
            <w:tcW w:w="768" w:type="pct"/>
            <w:vAlign w:val="center"/>
          </w:tcPr>
          <w:p w14:paraId="2B85214C" w14:textId="77777777" w:rsidR="00241417" w:rsidRPr="0088794F" w:rsidRDefault="00241417" w:rsidP="003A71DE">
            <w:pPr>
              <w:pStyle w:val="TAC"/>
            </w:pPr>
          </w:p>
        </w:tc>
        <w:tc>
          <w:tcPr>
            <w:tcW w:w="1115" w:type="pct"/>
            <w:vAlign w:val="center"/>
          </w:tcPr>
          <w:p w14:paraId="2D5B2984" w14:textId="77777777" w:rsidR="00241417" w:rsidRPr="0088794F" w:rsidRDefault="00241417" w:rsidP="003A71DE">
            <w:pPr>
              <w:pStyle w:val="TAC"/>
              <w:rPr>
                <w:lang w:eastAsia="zh-CN"/>
              </w:rPr>
            </w:pPr>
            <w:r w:rsidRPr="0088794F">
              <w:t>16QAM</w:t>
            </w:r>
          </w:p>
        </w:tc>
      </w:tr>
      <w:tr w:rsidR="00241417" w:rsidRPr="0088794F" w14:paraId="5CA0749D" w14:textId="77777777" w:rsidTr="003A71DE">
        <w:trPr>
          <w:jc w:val="center"/>
        </w:trPr>
        <w:tc>
          <w:tcPr>
            <w:tcW w:w="3117" w:type="pct"/>
            <w:vAlign w:val="center"/>
          </w:tcPr>
          <w:p w14:paraId="4D3FDCE0" w14:textId="77777777" w:rsidR="00241417" w:rsidRPr="0088794F" w:rsidRDefault="00241417" w:rsidP="003A71DE">
            <w:pPr>
              <w:pStyle w:val="TAL"/>
            </w:pPr>
            <w:r w:rsidRPr="0088794F">
              <w:t>Target Coding Rate</w:t>
            </w:r>
          </w:p>
        </w:tc>
        <w:tc>
          <w:tcPr>
            <w:tcW w:w="768" w:type="pct"/>
            <w:vAlign w:val="center"/>
          </w:tcPr>
          <w:p w14:paraId="26096A06" w14:textId="77777777" w:rsidR="00241417" w:rsidRPr="0088794F" w:rsidRDefault="00241417" w:rsidP="003A71DE">
            <w:pPr>
              <w:pStyle w:val="TAC"/>
            </w:pPr>
          </w:p>
        </w:tc>
        <w:tc>
          <w:tcPr>
            <w:tcW w:w="1115" w:type="pct"/>
            <w:vAlign w:val="center"/>
          </w:tcPr>
          <w:p w14:paraId="52352A31" w14:textId="77777777" w:rsidR="00241417" w:rsidRPr="0088794F" w:rsidRDefault="00241417" w:rsidP="003A71DE">
            <w:pPr>
              <w:pStyle w:val="TAC"/>
            </w:pPr>
            <w:r w:rsidRPr="0088794F">
              <w:t>0.48</w:t>
            </w:r>
          </w:p>
        </w:tc>
      </w:tr>
      <w:tr w:rsidR="00241417" w:rsidRPr="0088794F" w14:paraId="4A84A363" w14:textId="77777777" w:rsidTr="003A71DE">
        <w:trPr>
          <w:jc w:val="center"/>
        </w:trPr>
        <w:tc>
          <w:tcPr>
            <w:tcW w:w="3117" w:type="pct"/>
            <w:vAlign w:val="center"/>
          </w:tcPr>
          <w:p w14:paraId="12A68A92" w14:textId="77777777" w:rsidR="00241417" w:rsidRPr="0088794F" w:rsidRDefault="00241417" w:rsidP="003A71DE">
            <w:pPr>
              <w:pStyle w:val="TAL"/>
            </w:pPr>
            <w:r w:rsidRPr="0088794F">
              <w:t>Number of MIMO layers</w:t>
            </w:r>
          </w:p>
        </w:tc>
        <w:tc>
          <w:tcPr>
            <w:tcW w:w="768" w:type="pct"/>
            <w:vAlign w:val="center"/>
          </w:tcPr>
          <w:p w14:paraId="1A1ECD39" w14:textId="77777777" w:rsidR="00241417" w:rsidRPr="0088794F" w:rsidRDefault="00241417" w:rsidP="003A71DE">
            <w:pPr>
              <w:pStyle w:val="TAC"/>
            </w:pPr>
          </w:p>
        </w:tc>
        <w:tc>
          <w:tcPr>
            <w:tcW w:w="1115" w:type="pct"/>
            <w:vAlign w:val="center"/>
          </w:tcPr>
          <w:p w14:paraId="2AB3B071" w14:textId="77777777" w:rsidR="00241417" w:rsidRPr="0088794F" w:rsidRDefault="00241417" w:rsidP="003A71DE">
            <w:pPr>
              <w:pStyle w:val="TAC"/>
            </w:pPr>
            <w:r w:rsidRPr="0088794F">
              <w:rPr>
                <w:rFonts w:hint="eastAsia"/>
                <w:lang w:eastAsia="zh-CN"/>
              </w:rPr>
              <w:t>1</w:t>
            </w:r>
          </w:p>
        </w:tc>
      </w:tr>
      <w:tr w:rsidR="00241417" w:rsidRPr="0088794F" w14:paraId="5D4189EF" w14:textId="77777777" w:rsidTr="003A71DE">
        <w:trPr>
          <w:jc w:val="center"/>
        </w:trPr>
        <w:tc>
          <w:tcPr>
            <w:tcW w:w="3117" w:type="pct"/>
            <w:vAlign w:val="center"/>
          </w:tcPr>
          <w:p w14:paraId="5D7CD99D" w14:textId="77777777" w:rsidR="00241417" w:rsidRPr="00333EE0" w:rsidRDefault="00241417" w:rsidP="003A71DE">
            <w:pPr>
              <w:pStyle w:val="TAL"/>
            </w:pPr>
            <w:r w:rsidRPr="00333EE0">
              <w:t xml:space="preserve">Number of DMRS </w:t>
            </w:r>
            <w:r w:rsidRPr="00333EE0">
              <w:rPr>
                <w:rFonts w:hint="eastAsia"/>
                <w:lang w:eastAsia="zh-CN"/>
              </w:rPr>
              <w:t>REs</w:t>
            </w:r>
            <w:r w:rsidRPr="00333EE0">
              <w:t xml:space="preserve"> (Note 3)</w:t>
            </w:r>
          </w:p>
        </w:tc>
        <w:tc>
          <w:tcPr>
            <w:tcW w:w="768" w:type="pct"/>
            <w:vAlign w:val="center"/>
          </w:tcPr>
          <w:p w14:paraId="19B55546" w14:textId="77777777" w:rsidR="00241417" w:rsidRPr="00333EE0" w:rsidRDefault="00241417" w:rsidP="003A71DE">
            <w:pPr>
              <w:pStyle w:val="TAC"/>
            </w:pPr>
          </w:p>
        </w:tc>
        <w:tc>
          <w:tcPr>
            <w:tcW w:w="1115" w:type="pct"/>
            <w:vAlign w:val="center"/>
          </w:tcPr>
          <w:p w14:paraId="5C950DDC" w14:textId="77777777" w:rsidR="00241417" w:rsidRPr="0088794F" w:rsidRDefault="00241417" w:rsidP="003A71DE">
            <w:pPr>
              <w:pStyle w:val="TAC"/>
              <w:rPr>
                <w:lang w:eastAsia="zh-CN"/>
              </w:rPr>
            </w:pPr>
            <w:r w:rsidRPr="0088794F">
              <w:rPr>
                <w:rFonts w:hint="eastAsia"/>
                <w:lang w:eastAsia="zh-CN"/>
              </w:rPr>
              <w:t>24</w:t>
            </w:r>
          </w:p>
        </w:tc>
      </w:tr>
      <w:tr w:rsidR="00241417" w:rsidRPr="0088794F" w14:paraId="5AA1CBD6" w14:textId="77777777" w:rsidTr="003A71DE">
        <w:trPr>
          <w:jc w:val="center"/>
        </w:trPr>
        <w:tc>
          <w:tcPr>
            <w:tcW w:w="3117" w:type="pct"/>
            <w:vAlign w:val="center"/>
          </w:tcPr>
          <w:p w14:paraId="36558DEF" w14:textId="77777777" w:rsidR="00241417" w:rsidRPr="0088794F" w:rsidRDefault="00241417" w:rsidP="003A71DE">
            <w:pPr>
              <w:pStyle w:val="TAL"/>
            </w:pPr>
            <w:r w:rsidRPr="0088794F">
              <w:t>Overhead for TBS determination</w:t>
            </w:r>
          </w:p>
        </w:tc>
        <w:tc>
          <w:tcPr>
            <w:tcW w:w="768" w:type="pct"/>
            <w:vAlign w:val="center"/>
          </w:tcPr>
          <w:p w14:paraId="0B32EA30" w14:textId="77777777" w:rsidR="00241417" w:rsidRPr="0088794F" w:rsidRDefault="00241417" w:rsidP="003A71DE">
            <w:pPr>
              <w:pStyle w:val="TAC"/>
            </w:pPr>
          </w:p>
        </w:tc>
        <w:tc>
          <w:tcPr>
            <w:tcW w:w="1115" w:type="pct"/>
            <w:vAlign w:val="center"/>
          </w:tcPr>
          <w:p w14:paraId="3B4ED72E" w14:textId="77777777" w:rsidR="00241417" w:rsidRPr="0088794F" w:rsidRDefault="00241417" w:rsidP="003A71DE">
            <w:pPr>
              <w:pStyle w:val="TAC"/>
              <w:rPr>
                <w:lang w:eastAsia="zh-CN"/>
              </w:rPr>
            </w:pPr>
            <w:r w:rsidRPr="0088794F">
              <w:rPr>
                <w:rFonts w:hint="eastAsia"/>
                <w:lang w:eastAsia="zh-CN"/>
              </w:rPr>
              <w:t>6</w:t>
            </w:r>
          </w:p>
        </w:tc>
      </w:tr>
      <w:tr w:rsidR="00241417" w:rsidRPr="0088794F" w14:paraId="3024B149" w14:textId="77777777" w:rsidTr="003A71DE">
        <w:trPr>
          <w:jc w:val="center"/>
        </w:trPr>
        <w:tc>
          <w:tcPr>
            <w:tcW w:w="3117" w:type="pct"/>
            <w:vAlign w:val="center"/>
          </w:tcPr>
          <w:p w14:paraId="0C15BF91" w14:textId="77777777" w:rsidR="00241417" w:rsidRPr="0088794F" w:rsidRDefault="00241417" w:rsidP="003A71DE">
            <w:pPr>
              <w:pStyle w:val="TAL"/>
            </w:pPr>
            <w:r w:rsidRPr="0088794F">
              <w:t xml:space="preserve">Information Bit Payload per Slot </w:t>
            </w:r>
          </w:p>
        </w:tc>
        <w:tc>
          <w:tcPr>
            <w:tcW w:w="768" w:type="pct"/>
            <w:vAlign w:val="center"/>
          </w:tcPr>
          <w:p w14:paraId="3962C397" w14:textId="77777777" w:rsidR="00241417" w:rsidRPr="0088794F" w:rsidRDefault="00241417" w:rsidP="003A71DE">
            <w:pPr>
              <w:pStyle w:val="TAC"/>
            </w:pPr>
          </w:p>
        </w:tc>
        <w:tc>
          <w:tcPr>
            <w:tcW w:w="1115" w:type="pct"/>
            <w:vAlign w:val="center"/>
          </w:tcPr>
          <w:p w14:paraId="1CF64E40" w14:textId="77777777" w:rsidR="00241417" w:rsidRPr="0088794F" w:rsidRDefault="00241417" w:rsidP="003A71DE">
            <w:pPr>
              <w:pStyle w:val="TAC"/>
            </w:pPr>
            <w:r w:rsidRPr="0088794F">
              <w:rPr>
                <w:rFonts w:hint="eastAsia"/>
                <w:lang w:eastAsia="zh-CN"/>
              </w:rPr>
              <w:t>14344</w:t>
            </w:r>
          </w:p>
        </w:tc>
      </w:tr>
      <w:tr w:rsidR="00241417" w:rsidRPr="0088794F" w14:paraId="4800492C" w14:textId="77777777" w:rsidTr="003A71DE">
        <w:trPr>
          <w:jc w:val="center"/>
        </w:trPr>
        <w:tc>
          <w:tcPr>
            <w:tcW w:w="3117" w:type="pct"/>
            <w:vAlign w:val="center"/>
          </w:tcPr>
          <w:p w14:paraId="0AB214AA" w14:textId="77777777" w:rsidR="00241417" w:rsidRPr="0088794F" w:rsidRDefault="00241417" w:rsidP="003A71DE">
            <w:pPr>
              <w:pStyle w:val="TAL"/>
              <w:rPr>
                <w:lang w:val="sv-FI"/>
              </w:rPr>
            </w:pPr>
            <w:r w:rsidRPr="0088794F">
              <w:rPr>
                <w:lang w:val="sv-FI"/>
              </w:rPr>
              <w:t>Transport block CRC per Slot</w:t>
            </w:r>
          </w:p>
        </w:tc>
        <w:tc>
          <w:tcPr>
            <w:tcW w:w="768" w:type="pct"/>
            <w:vAlign w:val="center"/>
          </w:tcPr>
          <w:p w14:paraId="6CCF7ABF" w14:textId="77777777" w:rsidR="00241417" w:rsidRPr="0088794F" w:rsidRDefault="00241417" w:rsidP="003A71DE">
            <w:pPr>
              <w:pStyle w:val="TAC"/>
              <w:rPr>
                <w:lang w:val="sv-FI"/>
              </w:rPr>
            </w:pPr>
          </w:p>
        </w:tc>
        <w:tc>
          <w:tcPr>
            <w:tcW w:w="1115" w:type="pct"/>
            <w:vAlign w:val="center"/>
          </w:tcPr>
          <w:p w14:paraId="6EA4EC0B" w14:textId="77777777" w:rsidR="00241417" w:rsidRPr="0088794F" w:rsidRDefault="00241417" w:rsidP="003A71DE">
            <w:pPr>
              <w:pStyle w:val="TAC"/>
              <w:rPr>
                <w:lang w:val="sv-FI"/>
              </w:rPr>
            </w:pPr>
            <w:r>
              <w:rPr>
                <w:lang w:val="sv-FI"/>
              </w:rPr>
              <w:t>24</w:t>
            </w:r>
          </w:p>
        </w:tc>
      </w:tr>
      <w:tr w:rsidR="00241417" w:rsidRPr="0088794F" w14:paraId="157A524C" w14:textId="77777777" w:rsidTr="003A71DE">
        <w:trPr>
          <w:jc w:val="center"/>
        </w:trPr>
        <w:tc>
          <w:tcPr>
            <w:tcW w:w="3117" w:type="pct"/>
            <w:vAlign w:val="center"/>
          </w:tcPr>
          <w:p w14:paraId="4E03FB78" w14:textId="77777777" w:rsidR="00241417" w:rsidRPr="00333EE0" w:rsidRDefault="00241417" w:rsidP="003A71DE">
            <w:pPr>
              <w:pStyle w:val="TAL"/>
            </w:pPr>
            <w:r w:rsidRPr="00333EE0">
              <w:t>Number of Code Blocks per Slot</w:t>
            </w:r>
          </w:p>
        </w:tc>
        <w:tc>
          <w:tcPr>
            <w:tcW w:w="768" w:type="pct"/>
            <w:vAlign w:val="center"/>
          </w:tcPr>
          <w:p w14:paraId="09D3064F" w14:textId="77777777" w:rsidR="00241417" w:rsidRPr="00333EE0" w:rsidRDefault="00241417" w:rsidP="003A71DE">
            <w:pPr>
              <w:pStyle w:val="TAC"/>
            </w:pPr>
          </w:p>
        </w:tc>
        <w:tc>
          <w:tcPr>
            <w:tcW w:w="1115" w:type="pct"/>
            <w:vAlign w:val="center"/>
          </w:tcPr>
          <w:p w14:paraId="7FA5C4C2" w14:textId="77777777" w:rsidR="00241417" w:rsidRPr="0088794F" w:rsidRDefault="00241417" w:rsidP="003A71DE">
            <w:pPr>
              <w:pStyle w:val="TAC"/>
            </w:pPr>
            <w:r>
              <w:t>2</w:t>
            </w:r>
          </w:p>
        </w:tc>
      </w:tr>
      <w:tr w:rsidR="00241417" w:rsidRPr="0088794F" w14:paraId="62530B5A" w14:textId="77777777" w:rsidTr="003A71DE">
        <w:trPr>
          <w:jc w:val="center"/>
        </w:trPr>
        <w:tc>
          <w:tcPr>
            <w:tcW w:w="3117" w:type="pct"/>
            <w:vAlign w:val="center"/>
          </w:tcPr>
          <w:p w14:paraId="10B3DEFE" w14:textId="77777777" w:rsidR="00241417" w:rsidRPr="0088794F" w:rsidRDefault="00241417" w:rsidP="003A71DE">
            <w:pPr>
              <w:pStyle w:val="TAL"/>
            </w:pPr>
            <w:r w:rsidRPr="0088794F">
              <w:t>Binary Channel Bits Per Slot</w:t>
            </w:r>
          </w:p>
        </w:tc>
        <w:tc>
          <w:tcPr>
            <w:tcW w:w="768" w:type="pct"/>
            <w:vAlign w:val="center"/>
          </w:tcPr>
          <w:p w14:paraId="5F7E5E49" w14:textId="77777777" w:rsidR="00241417" w:rsidRPr="0088794F" w:rsidRDefault="00241417" w:rsidP="003A71DE">
            <w:pPr>
              <w:pStyle w:val="TAC"/>
            </w:pPr>
          </w:p>
        </w:tc>
        <w:tc>
          <w:tcPr>
            <w:tcW w:w="1115" w:type="pct"/>
            <w:vAlign w:val="center"/>
          </w:tcPr>
          <w:p w14:paraId="0DF3F036" w14:textId="77777777" w:rsidR="00241417" w:rsidRPr="0088794F" w:rsidRDefault="00241417" w:rsidP="003A71DE">
            <w:pPr>
              <w:pStyle w:val="TAC"/>
            </w:pPr>
            <w:r w:rsidRPr="0088794F">
              <w:rPr>
                <w:rFonts w:hint="eastAsia"/>
                <w:lang w:eastAsia="zh-CN"/>
              </w:rPr>
              <w:t>30360</w:t>
            </w:r>
          </w:p>
        </w:tc>
      </w:tr>
    </w:tbl>
    <w:p w14:paraId="6C2450CA" w14:textId="77777777" w:rsidR="00241417" w:rsidRDefault="00241417" w:rsidP="00F25B52">
      <w:pPr>
        <w:rPr>
          <w:lang w:val="en-US"/>
        </w:rPr>
      </w:pPr>
    </w:p>
    <w:p w14:paraId="3B07AD39" w14:textId="741851A1" w:rsidR="006246A2" w:rsidRPr="00C60E58" w:rsidRDefault="00334C0D" w:rsidP="0063534F">
      <w:pPr>
        <w:pStyle w:val="Heading8"/>
        <w:rPr>
          <w:i/>
          <w:lang w:eastAsia="zh-CN"/>
        </w:rPr>
      </w:pPr>
      <w:bookmarkStart w:id="9304" w:name="_Toc53185637"/>
      <w:bookmarkStart w:id="9305" w:name="_Toc53186013"/>
      <w:bookmarkStart w:id="9306" w:name="_Toc57820499"/>
      <w:bookmarkStart w:id="9307" w:name="_Toc57821426"/>
      <w:bookmarkStart w:id="9308" w:name="_Toc61183702"/>
      <w:bookmarkStart w:id="9309" w:name="_Toc61184096"/>
      <w:bookmarkStart w:id="9310" w:name="_Toc61184488"/>
      <w:bookmarkStart w:id="9311" w:name="_Toc61184880"/>
      <w:bookmarkStart w:id="9312" w:name="_Toc61185270"/>
      <w:bookmarkStart w:id="9313" w:name="_Toc66386615"/>
      <w:bookmarkStart w:id="9314" w:name="_Toc74583585"/>
      <w:bookmarkStart w:id="9315" w:name="_Toc76542398"/>
      <w:bookmarkStart w:id="9316" w:name="_Toc82450380"/>
      <w:bookmarkStart w:id="9317" w:name="_Toc82451028"/>
      <w:bookmarkStart w:id="9318" w:name="_Toc89949417"/>
      <w:bookmarkStart w:id="9319" w:name="_Toc98755806"/>
      <w:bookmarkStart w:id="9320" w:name="_Toc98763398"/>
      <w:bookmarkStart w:id="9321" w:name="_Toc106184327"/>
      <w:bookmarkEnd w:id="9155"/>
      <w:bookmarkEnd w:id="9156"/>
      <w:r w:rsidRPr="004D3578">
        <w:t xml:space="preserve">Annex </w:t>
      </w:r>
      <w:r w:rsidR="00461ACC">
        <w:t>B</w:t>
      </w:r>
      <w:r w:rsidRPr="004D3578">
        <w:t xml:space="preserve"> (</w:t>
      </w:r>
      <w:r w:rsidR="00B32B2C">
        <w:t>normative</w:t>
      </w:r>
      <w:r w:rsidRPr="004D3578">
        <w:t>):</w:t>
      </w:r>
      <w:bookmarkStart w:id="9322" w:name="_Toc53185638"/>
      <w:bookmarkStart w:id="9323" w:name="_Toc53186014"/>
      <w:bookmarkStart w:id="9324" w:name="_Toc57820500"/>
      <w:bookmarkStart w:id="9325" w:name="_Toc57821427"/>
      <w:bookmarkStart w:id="9326" w:name="_Toc61183703"/>
      <w:bookmarkEnd w:id="9304"/>
      <w:bookmarkEnd w:id="9305"/>
      <w:bookmarkEnd w:id="9306"/>
      <w:bookmarkEnd w:id="9307"/>
      <w:bookmarkEnd w:id="9308"/>
      <w:r w:rsidR="0063534F" w:rsidRPr="0063534F">
        <w:rPr>
          <w:lang w:eastAsia="en-CA"/>
        </w:rPr>
        <w:t xml:space="preserve"> </w:t>
      </w:r>
      <w:r w:rsidR="0063534F">
        <w:rPr>
          <w:lang w:eastAsia="en-CA"/>
        </w:rPr>
        <w:br/>
      </w:r>
      <w:r w:rsidR="006246A2">
        <w:rPr>
          <w:rFonts w:hint="eastAsia"/>
          <w:lang w:eastAsia="zh-CN"/>
        </w:rPr>
        <w:t xml:space="preserve">IAB-DU </w:t>
      </w:r>
      <w:r w:rsidR="006246A2" w:rsidRPr="00E26D09">
        <w:t>Error Vector Magnitude (FR1)</w:t>
      </w:r>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p>
    <w:p w14:paraId="39CC2032" w14:textId="210D199C" w:rsidR="00B32B2C" w:rsidRDefault="00B32B2C" w:rsidP="00B32B2C">
      <w:bookmarkStart w:id="9327" w:name="_Toc53185639"/>
      <w:bookmarkStart w:id="9328" w:name="_Toc53186015"/>
      <w:bookmarkStart w:id="9329" w:name="_Toc57820501"/>
      <w:bookmarkStart w:id="9330" w:name="_Toc57821428"/>
      <w:bookmarkStart w:id="9331" w:name="_Toc61183704"/>
      <w:bookmarkStart w:id="9332" w:name="_Toc61184097"/>
      <w:bookmarkStart w:id="9333" w:name="_Toc61184489"/>
      <w:bookmarkStart w:id="9334" w:name="_Toc61184881"/>
      <w:bookmarkStart w:id="9335" w:name="_Toc61185271"/>
      <w:bookmarkStart w:id="9336" w:name="_Toc66386616"/>
      <w:r>
        <w:rPr>
          <w:rFonts w:hint="eastAsia"/>
        </w:rPr>
        <w:t xml:space="preserve">The Annex B in </w:t>
      </w:r>
      <w:r>
        <w:t>TS 38.1</w:t>
      </w:r>
      <w:r>
        <w:rPr>
          <w:rFonts w:hint="eastAsia"/>
        </w:rPr>
        <w:t>04</w:t>
      </w:r>
      <w:r>
        <w:t xml:space="preserve"> [</w:t>
      </w:r>
      <w:r>
        <w:rPr>
          <w:lang w:eastAsia="zh-CN"/>
        </w:rPr>
        <w:t>2</w:t>
      </w:r>
      <w:r>
        <w:t>] applies to</w:t>
      </w:r>
      <w:r>
        <w:rPr>
          <w:rFonts w:hint="eastAsia"/>
        </w:rPr>
        <w:t xml:space="preserve"> FR1 IAB-DU.</w:t>
      </w:r>
    </w:p>
    <w:p w14:paraId="33E6C7E6" w14:textId="25842931" w:rsidR="006246A2" w:rsidRDefault="006246A2" w:rsidP="0063534F">
      <w:pPr>
        <w:pStyle w:val="Heading8"/>
        <w:rPr>
          <w:lang w:eastAsia="en-CA"/>
        </w:rPr>
      </w:pPr>
      <w:bookmarkStart w:id="9337" w:name="_Toc74583586"/>
      <w:bookmarkStart w:id="9338" w:name="_Toc76542399"/>
      <w:bookmarkStart w:id="9339" w:name="_Toc82450381"/>
      <w:bookmarkStart w:id="9340" w:name="_Toc82451029"/>
      <w:bookmarkStart w:id="9341" w:name="_Toc89949418"/>
      <w:bookmarkStart w:id="9342" w:name="_Toc98755807"/>
      <w:bookmarkStart w:id="9343" w:name="_Toc98763399"/>
      <w:bookmarkStart w:id="9344" w:name="_Toc106184328"/>
      <w:r>
        <w:rPr>
          <w:lang w:eastAsia="en-CA"/>
        </w:rPr>
        <w:t xml:space="preserve">Annex </w:t>
      </w:r>
      <w:r w:rsidR="00461ACC">
        <w:rPr>
          <w:lang w:eastAsia="zh-CN"/>
        </w:rPr>
        <w:t>C</w:t>
      </w:r>
      <w:r>
        <w:rPr>
          <w:lang w:eastAsia="en-CA"/>
        </w:rPr>
        <w:t xml:space="preserve"> (normative): </w:t>
      </w:r>
      <w:r>
        <w:rPr>
          <w:lang w:eastAsia="en-CA"/>
        </w:rPr>
        <w:br/>
      </w:r>
      <w:r>
        <w:rPr>
          <w:rFonts w:hint="eastAsia"/>
          <w:lang w:eastAsia="zh-CN"/>
        </w:rPr>
        <w:t xml:space="preserve">IAB-DU </w:t>
      </w:r>
      <w:r>
        <w:rPr>
          <w:lang w:eastAsia="en-CA"/>
        </w:rPr>
        <w:t>Error Vector Magnitude (FR2)</w:t>
      </w:r>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p>
    <w:p w14:paraId="0B8662C7" w14:textId="606C2DA7" w:rsidR="00B32B2C" w:rsidRDefault="00B32B2C" w:rsidP="00B32B2C">
      <w:bookmarkStart w:id="9345" w:name="_Toc53185640"/>
      <w:bookmarkStart w:id="9346" w:name="_Toc53186016"/>
      <w:bookmarkStart w:id="9347" w:name="_Toc57820502"/>
      <w:bookmarkStart w:id="9348" w:name="_Toc57821429"/>
      <w:bookmarkStart w:id="9349" w:name="_Toc61183705"/>
      <w:bookmarkStart w:id="9350" w:name="_Toc61184098"/>
      <w:bookmarkStart w:id="9351" w:name="_Toc61184490"/>
      <w:bookmarkStart w:id="9352" w:name="_Toc61184882"/>
      <w:bookmarkStart w:id="9353" w:name="_Toc61185272"/>
      <w:bookmarkStart w:id="9354" w:name="_Toc66386617"/>
      <w:r>
        <w:rPr>
          <w:rFonts w:hint="eastAsia"/>
        </w:rPr>
        <w:t xml:space="preserve">The Annex </w:t>
      </w:r>
      <w:r>
        <w:rPr>
          <w:rFonts w:hint="eastAsia"/>
          <w:lang w:eastAsia="zh-CN"/>
        </w:rPr>
        <w:t>C</w:t>
      </w:r>
      <w:r>
        <w:rPr>
          <w:rFonts w:hint="eastAsia"/>
        </w:rPr>
        <w:t xml:space="preserve"> in </w:t>
      </w:r>
      <w:r>
        <w:t>TS 38.1</w:t>
      </w:r>
      <w:r>
        <w:rPr>
          <w:rFonts w:hint="eastAsia"/>
        </w:rPr>
        <w:t>04</w:t>
      </w:r>
      <w:r>
        <w:t xml:space="preserve"> [</w:t>
      </w:r>
      <w:r>
        <w:rPr>
          <w:lang w:eastAsia="zh-CN"/>
        </w:rPr>
        <w:t>2</w:t>
      </w:r>
      <w:r>
        <w:t>] applies to</w:t>
      </w:r>
      <w:r>
        <w:rPr>
          <w:rFonts w:hint="eastAsia"/>
        </w:rPr>
        <w:t xml:space="preserve"> FR</w:t>
      </w:r>
      <w:r>
        <w:rPr>
          <w:rFonts w:hint="eastAsia"/>
          <w:lang w:eastAsia="zh-CN"/>
        </w:rPr>
        <w:t>2</w:t>
      </w:r>
      <w:r>
        <w:rPr>
          <w:rFonts w:hint="eastAsia"/>
        </w:rPr>
        <w:t xml:space="preserve"> IAB-DU.</w:t>
      </w:r>
    </w:p>
    <w:p w14:paraId="1F8B0E9C" w14:textId="1C060041" w:rsidR="00B663B7" w:rsidRPr="00C60E58" w:rsidRDefault="00461ACC" w:rsidP="00677CEF">
      <w:pPr>
        <w:pStyle w:val="Heading8"/>
        <w:rPr>
          <w:i/>
          <w:lang w:eastAsia="zh-CN"/>
        </w:rPr>
      </w:pPr>
      <w:bookmarkStart w:id="9355" w:name="_Toc74583587"/>
      <w:bookmarkStart w:id="9356" w:name="_Toc76542400"/>
      <w:bookmarkStart w:id="9357" w:name="_Toc82450382"/>
      <w:bookmarkStart w:id="9358" w:name="_Toc82451030"/>
      <w:bookmarkStart w:id="9359" w:name="_Toc89949419"/>
      <w:bookmarkStart w:id="9360" w:name="_Toc98755808"/>
      <w:bookmarkStart w:id="9361" w:name="_Toc98763400"/>
      <w:bookmarkStart w:id="9362" w:name="_Toc106184329"/>
      <w:r>
        <w:rPr>
          <w:lang w:eastAsia="en-CA"/>
        </w:rPr>
        <w:t xml:space="preserve">Annex </w:t>
      </w:r>
      <w:r>
        <w:rPr>
          <w:lang w:eastAsia="zh-CN"/>
        </w:rPr>
        <w:t>D</w:t>
      </w:r>
      <w:r>
        <w:rPr>
          <w:lang w:eastAsia="en-CA"/>
        </w:rPr>
        <w:t xml:space="preserve"> (normative):</w:t>
      </w:r>
      <w:bookmarkStart w:id="9363" w:name="_Toc53185641"/>
      <w:bookmarkStart w:id="9364" w:name="_Toc53186017"/>
      <w:bookmarkStart w:id="9365" w:name="_Toc57820503"/>
      <w:bookmarkStart w:id="9366" w:name="_Toc57821430"/>
      <w:bookmarkStart w:id="9367" w:name="_Toc61183706"/>
      <w:bookmarkStart w:id="9368" w:name="_Toc61184099"/>
      <w:bookmarkStart w:id="9369" w:name="_Toc61184491"/>
      <w:bookmarkEnd w:id="9345"/>
      <w:bookmarkEnd w:id="9346"/>
      <w:bookmarkEnd w:id="9347"/>
      <w:bookmarkEnd w:id="9348"/>
      <w:bookmarkEnd w:id="9349"/>
      <w:bookmarkEnd w:id="9350"/>
      <w:bookmarkEnd w:id="9351"/>
      <w:r w:rsidR="00677CEF" w:rsidRPr="00677CEF">
        <w:rPr>
          <w:lang w:eastAsia="en-CA"/>
        </w:rPr>
        <w:t xml:space="preserve"> </w:t>
      </w:r>
      <w:r w:rsidR="00677CEF">
        <w:rPr>
          <w:lang w:eastAsia="en-CA"/>
        </w:rPr>
        <w:br/>
      </w:r>
      <w:r w:rsidR="00B663B7">
        <w:rPr>
          <w:rFonts w:hint="eastAsia"/>
          <w:lang w:eastAsia="zh-CN"/>
        </w:rPr>
        <w:t xml:space="preserve">IAB-MT </w:t>
      </w:r>
      <w:r w:rsidR="00B663B7">
        <w:rPr>
          <w:lang w:eastAsia="en-CA"/>
        </w:rPr>
        <w:t>Error Vector Magnitude</w:t>
      </w:r>
      <w:r w:rsidR="00B663B7" w:rsidRPr="00E26D09">
        <w:t xml:space="preserve"> (FR1)</w:t>
      </w:r>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p>
    <w:p w14:paraId="339C6289" w14:textId="111FB581" w:rsidR="00F21BB6" w:rsidRDefault="00F21BB6" w:rsidP="00F21BB6">
      <w:pPr>
        <w:rPr>
          <w:lang w:eastAsia="zh-CN"/>
        </w:rPr>
      </w:pPr>
      <w:bookmarkStart w:id="9370" w:name="_Toc53185642"/>
      <w:bookmarkStart w:id="9371" w:name="_Toc53186018"/>
      <w:bookmarkStart w:id="9372" w:name="_Toc57820504"/>
      <w:bookmarkStart w:id="9373" w:name="_Toc57821431"/>
      <w:bookmarkStart w:id="9374" w:name="_Toc61183707"/>
      <w:bookmarkStart w:id="9375" w:name="_Toc61184100"/>
      <w:bookmarkStart w:id="9376" w:name="_Toc61184492"/>
      <w:bookmarkStart w:id="9377" w:name="_Toc61184883"/>
      <w:bookmarkStart w:id="9378" w:name="_Toc61185273"/>
      <w:bookmarkStart w:id="9379" w:name="_Toc66386618"/>
    </w:p>
    <w:p w14:paraId="117CDFF7" w14:textId="77777777" w:rsidR="00F21BB6" w:rsidRDefault="00F21BB6" w:rsidP="00A153AF">
      <w:pPr>
        <w:pStyle w:val="Heading2"/>
        <w:rPr>
          <w:lang w:eastAsia="zh-CN"/>
        </w:rPr>
      </w:pPr>
      <w:bookmarkStart w:id="9380" w:name="_Toc74583588"/>
      <w:bookmarkStart w:id="9381" w:name="_Toc76542401"/>
      <w:bookmarkStart w:id="9382" w:name="_Toc82450383"/>
      <w:bookmarkStart w:id="9383" w:name="_Toc82451031"/>
      <w:bookmarkStart w:id="9384" w:name="_Toc89949420"/>
      <w:bookmarkStart w:id="9385" w:name="_Toc98755809"/>
      <w:bookmarkStart w:id="9386" w:name="_Toc98763401"/>
      <w:bookmarkStart w:id="9387" w:name="_Toc106184330"/>
      <w:r>
        <w:rPr>
          <w:rFonts w:hint="eastAsia"/>
          <w:lang w:eastAsia="zh-CN"/>
        </w:rPr>
        <w:t>D</w:t>
      </w:r>
      <w:r>
        <w:rPr>
          <w:lang w:eastAsia="en-CA"/>
        </w:rPr>
        <w:t>.</w:t>
      </w:r>
      <w:r>
        <w:rPr>
          <w:rFonts w:hint="eastAsia"/>
          <w:lang w:eastAsia="zh-CN"/>
        </w:rPr>
        <w:t>0</w:t>
      </w:r>
      <w:r>
        <w:rPr>
          <w:lang w:eastAsia="en-CA"/>
        </w:rPr>
        <w:tab/>
      </w:r>
      <w:r>
        <w:rPr>
          <w:rFonts w:hint="eastAsia"/>
          <w:lang w:eastAsia="zh-CN"/>
        </w:rPr>
        <w:t>General</w:t>
      </w:r>
      <w:bookmarkEnd w:id="9380"/>
      <w:bookmarkEnd w:id="9381"/>
      <w:bookmarkEnd w:id="9382"/>
      <w:bookmarkEnd w:id="9383"/>
      <w:bookmarkEnd w:id="9384"/>
      <w:bookmarkEnd w:id="9385"/>
      <w:bookmarkEnd w:id="9386"/>
      <w:bookmarkEnd w:id="9387"/>
    </w:p>
    <w:p w14:paraId="7EA8B110" w14:textId="77777777" w:rsidR="00F21BB6" w:rsidRDefault="00F21BB6" w:rsidP="00F21BB6">
      <w:pPr>
        <w:rPr>
          <w:lang w:eastAsia="zh-CN"/>
        </w:rPr>
      </w:pPr>
      <w:r>
        <w:rPr>
          <w:rFonts w:hint="eastAsia"/>
          <w:lang w:eastAsia="zh-CN"/>
        </w:rPr>
        <w:t xml:space="preserve">FR1 IAB-MT EVM can be </w:t>
      </w:r>
      <w:r>
        <w:rPr>
          <w:lang w:eastAsia="zh-CN"/>
        </w:rPr>
        <w:t>determined</w:t>
      </w:r>
      <w:r>
        <w:rPr>
          <w:rFonts w:hint="eastAsia"/>
          <w:lang w:eastAsia="zh-CN"/>
        </w:rPr>
        <w:t xml:space="preserve"> by the process according to </w:t>
      </w:r>
    </w:p>
    <w:p w14:paraId="289DA4B5" w14:textId="77777777" w:rsidR="00F21BB6" w:rsidRDefault="00F21BB6" w:rsidP="00F21BB6">
      <w:pPr>
        <w:rPr>
          <w:lang w:eastAsia="zh-CN"/>
        </w:rPr>
      </w:pPr>
      <w:r>
        <w:rPr>
          <w:rFonts w:hint="eastAsia"/>
          <w:lang w:eastAsia="zh-CN"/>
        </w:rPr>
        <w:t>1) Annex E in TS 38.521-1 [23]. Only CP-OFDM waveform of PUSCH is measured for IAB-MT.</w:t>
      </w:r>
    </w:p>
    <w:p w14:paraId="42C46AD4" w14:textId="77777777" w:rsidR="00F21BB6" w:rsidRDefault="00F21BB6" w:rsidP="00F21BB6">
      <w:pPr>
        <w:rPr>
          <w:lang w:eastAsia="zh-CN"/>
        </w:rPr>
      </w:pPr>
      <w:r>
        <w:rPr>
          <w:lang w:eastAsia="zh-CN"/>
        </w:rPr>
        <w:t>O</w:t>
      </w:r>
      <w:r>
        <w:rPr>
          <w:rFonts w:hint="eastAsia"/>
          <w:lang w:eastAsia="zh-CN"/>
        </w:rPr>
        <w:t>r</w:t>
      </w:r>
    </w:p>
    <w:p w14:paraId="04430DE7" w14:textId="77777777" w:rsidR="00F21BB6" w:rsidRDefault="00F21BB6" w:rsidP="00F21BB6">
      <w:pPr>
        <w:rPr>
          <w:lang w:eastAsia="zh-CN"/>
        </w:rPr>
      </w:pPr>
      <w:r>
        <w:rPr>
          <w:rFonts w:hint="eastAsia"/>
          <w:lang w:eastAsia="zh-CN"/>
        </w:rPr>
        <w:t>2) Annex D.1 to Annex D.7.</w:t>
      </w:r>
    </w:p>
    <w:p w14:paraId="1B7903F4" w14:textId="77777777" w:rsidR="00F21BB6" w:rsidRDefault="00F21BB6" w:rsidP="00A153AF">
      <w:pPr>
        <w:pStyle w:val="Heading2"/>
        <w:rPr>
          <w:lang w:eastAsia="en-CA"/>
        </w:rPr>
      </w:pPr>
      <w:bookmarkStart w:id="9388" w:name="_Toc61179689"/>
      <w:bookmarkStart w:id="9389" w:name="_Toc61179219"/>
      <w:bookmarkStart w:id="9390" w:name="_Toc53178971"/>
      <w:bookmarkStart w:id="9391" w:name="_Toc53178520"/>
      <w:bookmarkStart w:id="9392" w:name="_Toc45893814"/>
      <w:bookmarkStart w:id="9393" w:name="_Toc44712502"/>
      <w:bookmarkStart w:id="9394" w:name="_Toc37267895"/>
      <w:bookmarkStart w:id="9395" w:name="_Toc37260507"/>
      <w:bookmarkStart w:id="9396" w:name="_Toc36817583"/>
      <w:bookmarkStart w:id="9397" w:name="_Toc29812031"/>
      <w:bookmarkStart w:id="9398" w:name="_Toc21127822"/>
      <w:bookmarkStart w:id="9399" w:name="_Toc74583589"/>
      <w:bookmarkStart w:id="9400" w:name="_Toc76542402"/>
      <w:bookmarkStart w:id="9401" w:name="_Toc82450384"/>
      <w:bookmarkStart w:id="9402" w:name="_Toc82451032"/>
      <w:bookmarkStart w:id="9403" w:name="_Toc89949421"/>
      <w:bookmarkStart w:id="9404" w:name="_Toc98755810"/>
      <w:bookmarkStart w:id="9405" w:name="_Toc98763402"/>
      <w:bookmarkStart w:id="9406" w:name="_Toc106184331"/>
      <w:r>
        <w:rPr>
          <w:rFonts w:hint="eastAsia"/>
          <w:lang w:eastAsia="zh-CN"/>
        </w:rPr>
        <w:t>D</w:t>
      </w:r>
      <w:r>
        <w:rPr>
          <w:lang w:eastAsia="en-CA"/>
        </w:rPr>
        <w:t>.1</w:t>
      </w:r>
      <w:r>
        <w:rPr>
          <w:lang w:eastAsia="en-CA"/>
        </w:rPr>
        <w:tab/>
        <w:t>Reference point for measurement</w:t>
      </w:r>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p>
    <w:p w14:paraId="0C99617D" w14:textId="77777777" w:rsidR="00F21BB6" w:rsidRPr="00922445" w:rsidRDefault="00F21BB6" w:rsidP="00F21BB6">
      <w:pPr>
        <w:rPr>
          <w:lang w:eastAsia="zh-CN"/>
        </w:rPr>
      </w:pPr>
      <w:r>
        <w:rPr>
          <w:rFonts w:hint="eastAsia"/>
        </w:rPr>
        <w:t xml:space="preserve">The Annex </w:t>
      </w:r>
      <w:r>
        <w:rPr>
          <w:rFonts w:hint="eastAsia"/>
          <w:lang w:eastAsia="zh-CN"/>
        </w:rPr>
        <w:t>B.1</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1</w:t>
      </w:r>
      <w:r>
        <w:rPr>
          <w:rFonts w:hint="eastAsia"/>
        </w:rPr>
        <w:t xml:space="preserve"> IAB-</w:t>
      </w:r>
      <w:r>
        <w:rPr>
          <w:rFonts w:hint="eastAsia"/>
          <w:lang w:eastAsia="zh-CN"/>
        </w:rPr>
        <w:t>MT</w:t>
      </w:r>
      <w:r>
        <w:rPr>
          <w:rFonts w:hint="eastAsia"/>
        </w:rPr>
        <w:t>.</w:t>
      </w:r>
    </w:p>
    <w:p w14:paraId="733DB493" w14:textId="77777777" w:rsidR="00F21BB6" w:rsidRDefault="00F21BB6" w:rsidP="00A153AF">
      <w:pPr>
        <w:pStyle w:val="Heading2"/>
        <w:rPr>
          <w:lang w:eastAsia="en-CA"/>
        </w:rPr>
      </w:pPr>
      <w:bookmarkStart w:id="9407" w:name="_Toc61179690"/>
      <w:bookmarkStart w:id="9408" w:name="_Toc61179220"/>
      <w:bookmarkStart w:id="9409" w:name="_Toc53178972"/>
      <w:bookmarkStart w:id="9410" w:name="_Toc53178521"/>
      <w:bookmarkStart w:id="9411" w:name="_Toc45893815"/>
      <w:bookmarkStart w:id="9412" w:name="_Toc44712503"/>
      <w:bookmarkStart w:id="9413" w:name="_Toc37267896"/>
      <w:bookmarkStart w:id="9414" w:name="_Toc37260508"/>
      <w:bookmarkStart w:id="9415" w:name="_Toc36817584"/>
      <w:bookmarkStart w:id="9416" w:name="_Toc29812032"/>
      <w:bookmarkStart w:id="9417" w:name="_Toc21127823"/>
      <w:bookmarkStart w:id="9418" w:name="_Toc74583590"/>
      <w:bookmarkStart w:id="9419" w:name="_Toc76542403"/>
      <w:bookmarkStart w:id="9420" w:name="_Toc82450385"/>
      <w:bookmarkStart w:id="9421" w:name="_Toc82451033"/>
      <w:bookmarkStart w:id="9422" w:name="_Toc89949422"/>
      <w:bookmarkStart w:id="9423" w:name="_Toc98755811"/>
      <w:bookmarkStart w:id="9424" w:name="_Toc98763403"/>
      <w:bookmarkStart w:id="9425" w:name="_Toc106184332"/>
      <w:r>
        <w:rPr>
          <w:rFonts w:hint="eastAsia"/>
          <w:lang w:eastAsia="zh-CN"/>
        </w:rPr>
        <w:t>D</w:t>
      </w:r>
      <w:r>
        <w:rPr>
          <w:lang w:eastAsia="en-CA"/>
        </w:rPr>
        <w:t>.2</w:t>
      </w:r>
      <w:r>
        <w:rPr>
          <w:lang w:eastAsia="en-CA"/>
        </w:rPr>
        <w:tab/>
        <w:t>Basic unit of measurement</w:t>
      </w:r>
      <w:bookmarkEnd w:id="9407"/>
      <w:bookmarkEnd w:id="9408"/>
      <w:bookmarkEnd w:id="9409"/>
      <w:bookmarkEnd w:id="9410"/>
      <w:bookmarkEnd w:id="9411"/>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p>
    <w:p w14:paraId="21456623" w14:textId="77777777" w:rsidR="00F21BB6" w:rsidRPr="00922445" w:rsidRDefault="00F21BB6" w:rsidP="00F21BB6">
      <w:pPr>
        <w:rPr>
          <w:lang w:eastAsia="zh-CN"/>
        </w:rPr>
      </w:pPr>
      <w:r>
        <w:rPr>
          <w:rFonts w:hint="eastAsia"/>
        </w:rPr>
        <w:t xml:space="preserve">The Annex </w:t>
      </w:r>
      <w:r>
        <w:rPr>
          <w:rFonts w:hint="eastAsia"/>
          <w:lang w:eastAsia="zh-CN"/>
        </w:rPr>
        <w:t>B.2</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1</w:t>
      </w:r>
      <w:r>
        <w:rPr>
          <w:rFonts w:hint="eastAsia"/>
        </w:rPr>
        <w:t xml:space="preserve"> IAB-</w:t>
      </w:r>
      <w:r>
        <w:rPr>
          <w:rFonts w:hint="eastAsia"/>
          <w:lang w:eastAsia="zh-CN"/>
        </w:rPr>
        <w:t>MT</w:t>
      </w:r>
      <w:r>
        <w:rPr>
          <w:rFonts w:hint="eastAsia"/>
        </w:rPr>
        <w:t>.</w:t>
      </w:r>
    </w:p>
    <w:p w14:paraId="7E6C1491" w14:textId="77777777" w:rsidR="00F21BB6" w:rsidRDefault="00F21BB6" w:rsidP="00A153AF">
      <w:pPr>
        <w:pStyle w:val="Heading2"/>
        <w:rPr>
          <w:lang w:eastAsia="en-CA"/>
        </w:rPr>
      </w:pPr>
      <w:bookmarkStart w:id="9426" w:name="_Toc61179691"/>
      <w:bookmarkStart w:id="9427" w:name="_Toc61179221"/>
      <w:bookmarkStart w:id="9428" w:name="_Toc53178973"/>
      <w:bookmarkStart w:id="9429" w:name="_Toc53178522"/>
      <w:bookmarkStart w:id="9430" w:name="_Toc45893816"/>
      <w:bookmarkStart w:id="9431" w:name="_Toc44712504"/>
      <w:bookmarkStart w:id="9432" w:name="_Toc37267897"/>
      <w:bookmarkStart w:id="9433" w:name="_Toc37260509"/>
      <w:bookmarkStart w:id="9434" w:name="_Toc36817585"/>
      <w:bookmarkStart w:id="9435" w:name="_Toc29812033"/>
      <w:bookmarkStart w:id="9436" w:name="_Toc21127824"/>
      <w:bookmarkStart w:id="9437" w:name="_Toc74583591"/>
      <w:bookmarkStart w:id="9438" w:name="_Toc76542404"/>
      <w:bookmarkStart w:id="9439" w:name="_Toc82450386"/>
      <w:bookmarkStart w:id="9440" w:name="_Toc82451034"/>
      <w:bookmarkStart w:id="9441" w:name="_Toc89949423"/>
      <w:bookmarkStart w:id="9442" w:name="_Toc98755812"/>
      <w:bookmarkStart w:id="9443" w:name="_Toc98763404"/>
      <w:bookmarkStart w:id="9444" w:name="_Toc106184333"/>
      <w:r>
        <w:rPr>
          <w:rFonts w:hint="eastAsia"/>
          <w:lang w:eastAsia="zh-CN"/>
        </w:rPr>
        <w:t>D</w:t>
      </w:r>
      <w:r>
        <w:rPr>
          <w:lang w:eastAsia="en-CA"/>
        </w:rPr>
        <w:t>.3</w:t>
      </w:r>
      <w:r>
        <w:rPr>
          <w:lang w:eastAsia="en-CA"/>
        </w:rPr>
        <w:tab/>
        <w:t>Modified signal under test</w:t>
      </w:r>
      <w:bookmarkEnd w:id="9426"/>
      <w:bookmarkEnd w:id="9427"/>
      <w:bookmarkEnd w:id="9428"/>
      <w:bookmarkEnd w:id="9429"/>
      <w:bookmarkEnd w:id="9430"/>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p>
    <w:p w14:paraId="135E064D" w14:textId="77777777" w:rsidR="00F21BB6" w:rsidRPr="00922445" w:rsidRDefault="00F21BB6" w:rsidP="00F21BB6">
      <w:pPr>
        <w:rPr>
          <w:lang w:eastAsia="zh-CN"/>
        </w:rPr>
      </w:pPr>
      <w:r>
        <w:rPr>
          <w:rFonts w:hint="eastAsia"/>
        </w:rPr>
        <w:t xml:space="preserve">The Annex </w:t>
      </w:r>
      <w:r>
        <w:rPr>
          <w:rFonts w:hint="eastAsia"/>
          <w:lang w:eastAsia="zh-CN"/>
        </w:rPr>
        <w:t>B.3</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1</w:t>
      </w:r>
      <w:r>
        <w:rPr>
          <w:rFonts w:hint="eastAsia"/>
        </w:rPr>
        <w:t xml:space="preserve"> IAB-</w:t>
      </w:r>
      <w:r>
        <w:rPr>
          <w:rFonts w:hint="eastAsia"/>
          <w:lang w:eastAsia="zh-CN"/>
        </w:rPr>
        <w:t>MT</w:t>
      </w:r>
      <w:r>
        <w:rPr>
          <w:rFonts w:hint="eastAsia"/>
        </w:rPr>
        <w:t>.</w:t>
      </w:r>
    </w:p>
    <w:p w14:paraId="192462C2" w14:textId="77777777" w:rsidR="00F21BB6" w:rsidRDefault="00F21BB6" w:rsidP="00A153AF">
      <w:pPr>
        <w:pStyle w:val="Heading2"/>
        <w:rPr>
          <w:lang w:eastAsia="en-CA"/>
        </w:rPr>
      </w:pPr>
      <w:bookmarkStart w:id="9445" w:name="_Toc61179692"/>
      <w:bookmarkStart w:id="9446" w:name="_Toc61179222"/>
      <w:bookmarkStart w:id="9447" w:name="_Toc53178974"/>
      <w:bookmarkStart w:id="9448" w:name="_Toc53178523"/>
      <w:bookmarkStart w:id="9449" w:name="_Toc45893817"/>
      <w:bookmarkStart w:id="9450" w:name="_Toc44712505"/>
      <w:bookmarkStart w:id="9451" w:name="_Toc37267898"/>
      <w:bookmarkStart w:id="9452" w:name="_Toc37260510"/>
      <w:bookmarkStart w:id="9453" w:name="_Toc36817586"/>
      <w:bookmarkStart w:id="9454" w:name="_Toc29812034"/>
      <w:bookmarkStart w:id="9455" w:name="_Toc21127825"/>
      <w:bookmarkStart w:id="9456" w:name="_Toc74583592"/>
      <w:bookmarkStart w:id="9457" w:name="_Toc76542405"/>
      <w:bookmarkStart w:id="9458" w:name="_Toc82450387"/>
      <w:bookmarkStart w:id="9459" w:name="_Toc82451035"/>
      <w:bookmarkStart w:id="9460" w:name="_Toc89949424"/>
      <w:bookmarkStart w:id="9461" w:name="_Toc98755813"/>
      <w:bookmarkStart w:id="9462" w:name="_Toc98763405"/>
      <w:bookmarkStart w:id="9463" w:name="_Toc106184334"/>
      <w:r>
        <w:rPr>
          <w:rFonts w:hint="eastAsia"/>
          <w:lang w:eastAsia="zh-CN"/>
        </w:rPr>
        <w:lastRenderedPageBreak/>
        <w:t>D</w:t>
      </w:r>
      <w:r>
        <w:rPr>
          <w:lang w:eastAsia="en-CA"/>
        </w:rPr>
        <w:t>.4</w:t>
      </w:r>
      <w:r>
        <w:rPr>
          <w:lang w:eastAsia="en-CA"/>
        </w:rPr>
        <w:tab/>
        <w:t>Estimation of frequency offset</w:t>
      </w:r>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p>
    <w:p w14:paraId="23ED7B74" w14:textId="77777777" w:rsidR="00F21BB6" w:rsidRPr="00922445" w:rsidRDefault="00F21BB6" w:rsidP="00F21BB6">
      <w:pPr>
        <w:rPr>
          <w:lang w:eastAsia="zh-CN"/>
        </w:rPr>
      </w:pPr>
      <w:r>
        <w:rPr>
          <w:rFonts w:hint="eastAsia"/>
        </w:rPr>
        <w:t xml:space="preserve">The Annex </w:t>
      </w:r>
      <w:r>
        <w:rPr>
          <w:rFonts w:hint="eastAsia"/>
          <w:lang w:eastAsia="zh-CN"/>
        </w:rPr>
        <w:t>B.4</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1</w:t>
      </w:r>
      <w:r>
        <w:rPr>
          <w:rFonts w:hint="eastAsia"/>
        </w:rPr>
        <w:t xml:space="preserve"> IAB-</w:t>
      </w:r>
      <w:r>
        <w:rPr>
          <w:rFonts w:hint="eastAsia"/>
          <w:lang w:eastAsia="zh-CN"/>
        </w:rPr>
        <w:t>MT</w:t>
      </w:r>
      <w:r>
        <w:rPr>
          <w:rFonts w:hint="eastAsia"/>
        </w:rPr>
        <w:t>.</w:t>
      </w:r>
    </w:p>
    <w:p w14:paraId="68A5D5D9" w14:textId="77777777" w:rsidR="00F21BB6" w:rsidRDefault="00F21BB6" w:rsidP="00A153AF">
      <w:pPr>
        <w:pStyle w:val="Heading2"/>
        <w:rPr>
          <w:lang w:eastAsia="en-CA"/>
        </w:rPr>
      </w:pPr>
      <w:bookmarkStart w:id="9464" w:name="_Toc61179693"/>
      <w:bookmarkStart w:id="9465" w:name="_Toc61179223"/>
      <w:bookmarkStart w:id="9466" w:name="_Toc53178975"/>
      <w:bookmarkStart w:id="9467" w:name="_Toc53178524"/>
      <w:bookmarkStart w:id="9468" w:name="_Toc45893818"/>
      <w:bookmarkStart w:id="9469" w:name="_Toc44712506"/>
      <w:bookmarkStart w:id="9470" w:name="_Toc37267899"/>
      <w:bookmarkStart w:id="9471" w:name="_Toc37260511"/>
      <w:bookmarkStart w:id="9472" w:name="_Toc36817587"/>
      <w:bookmarkStart w:id="9473" w:name="_Toc29812035"/>
      <w:bookmarkStart w:id="9474" w:name="_Toc21127826"/>
      <w:bookmarkStart w:id="9475" w:name="_Toc74583593"/>
      <w:bookmarkStart w:id="9476" w:name="_Toc76542406"/>
      <w:bookmarkStart w:id="9477" w:name="_Toc82450388"/>
      <w:bookmarkStart w:id="9478" w:name="_Toc82451036"/>
      <w:bookmarkStart w:id="9479" w:name="_Toc89949425"/>
      <w:bookmarkStart w:id="9480" w:name="_Toc98755814"/>
      <w:bookmarkStart w:id="9481" w:name="_Toc98763406"/>
      <w:bookmarkStart w:id="9482" w:name="_Toc106184335"/>
      <w:r>
        <w:rPr>
          <w:rFonts w:hint="eastAsia"/>
          <w:lang w:eastAsia="zh-CN"/>
        </w:rPr>
        <w:t>D</w:t>
      </w:r>
      <w:r>
        <w:rPr>
          <w:lang w:eastAsia="en-CA"/>
        </w:rPr>
        <w:t>.5</w:t>
      </w:r>
      <w:r>
        <w:rPr>
          <w:lang w:eastAsia="en-CA"/>
        </w:rPr>
        <w:tab/>
        <w:t>Estimation of time offset</w:t>
      </w:r>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p>
    <w:p w14:paraId="3D09D553" w14:textId="77777777" w:rsidR="00F21BB6" w:rsidRPr="00922445" w:rsidRDefault="00F21BB6" w:rsidP="00F21BB6">
      <w:pPr>
        <w:rPr>
          <w:lang w:eastAsia="zh-CN"/>
        </w:rPr>
      </w:pPr>
      <w:r>
        <w:rPr>
          <w:rFonts w:hint="eastAsia"/>
        </w:rPr>
        <w:t xml:space="preserve">The Annex </w:t>
      </w:r>
      <w:r>
        <w:rPr>
          <w:rFonts w:hint="eastAsia"/>
          <w:lang w:eastAsia="zh-CN"/>
        </w:rPr>
        <w:t>B.5</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1</w:t>
      </w:r>
      <w:r>
        <w:rPr>
          <w:rFonts w:hint="eastAsia"/>
        </w:rPr>
        <w:t xml:space="preserve"> IAB-</w:t>
      </w:r>
      <w:r>
        <w:rPr>
          <w:rFonts w:hint="eastAsia"/>
          <w:lang w:eastAsia="zh-CN"/>
        </w:rPr>
        <w:t>MT</w:t>
      </w:r>
      <w:r>
        <w:rPr>
          <w:rFonts w:hint="eastAsia"/>
        </w:rPr>
        <w:t>.</w:t>
      </w:r>
    </w:p>
    <w:p w14:paraId="3D49B5C8" w14:textId="77777777" w:rsidR="00F21BB6" w:rsidRDefault="00F21BB6" w:rsidP="00A153AF">
      <w:pPr>
        <w:pStyle w:val="Heading2"/>
        <w:rPr>
          <w:lang w:eastAsia="en-CA"/>
        </w:rPr>
      </w:pPr>
      <w:bookmarkStart w:id="9483" w:name="_Toc61179696"/>
      <w:bookmarkStart w:id="9484" w:name="_Toc61179226"/>
      <w:bookmarkStart w:id="9485" w:name="_Toc53178978"/>
      <w:bookmarkStart w:id="9486" w:name="_Toc53178527"/>
      <w:bookmarkStart w:id="9487" w:name="_Toc45893821"/>
      <w:bookmarkStart w:id="9488" w:name="_Toc44712509"/>
      <w:bookmarkStart w:id="9489" w:name="_Toc37267902"/>
      <w:bookmarkStart w:id="9490" w:name="_Toc37260514"/>
      <w:bookmarkStart w:id="9491" w:name="_Toc36817590"/>
      <w:bookmarkStart w:id="9492" w:name="_Toc29812038"/>
      <w:bookmarkStart w:id="9493" w:name="_Toc21127829"/>
      <w:bookmarkStart w:id="9494" w:name="_Toc74583594"/>
      <w:bookmarkStart w:id="9495" w:name="_Toc76542407"/>
      <w:bookmarkStart w:id="9496" w:name="_Toc82450389"/>
      <w:bookmarkStart w:id="9497" w:name="_Toc82451037"/>
      <w:bookmarkStart w:id="9498" w:name="_Toc89949426"/>
      <w:bookmarkStart w:id="9499" w:name="_Toc98755815"/>
      <w:bookmarkStart w:id="9500" w:name="_Toc98763407"/>
      <w:bookmarkStart w:id="9501" w:name="_Toc106184336"/>
      <w:r>
        <w:rPr>
          <w:rFonts w:hint="eastAsia"/>
          <w:lang w:eastAsia="zh-CN"/>
        </w:rPr>
        <w:t>D</w:t>
      </w:r>
      <w:r>
        <w:rPr>
          <w:lang w:eastAsia="en-CA"/>
        </w:rPr>
        <w:t>.6</w:t>
      </w:r>
      <w:r>
        <w:rPr>
          <w:lang w:eastAsia="en-CA"/>
        </w:rPr>
        <w:tab/>
        <w:t>Estimation of TX chain amplitude and frequency response parameters</w:t>
      </w:r>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p>
    <w:p w14:paraId="4FCF9152" w14:textId="77777777" w:rsidR="00F21BB6" w:rsidRPr="00922445" w:rsidRDefault="00F21BB6" w:rsidP="00F21BB6">
      <w:pPr>
        <w:rPr>
          <w:lang w:eastAsia="zh-CN"/>
        </w:rPr>
      </w:pPr>
      <w:r>
        <w:rPr>
          <w:rFonts w:hint="eastAsia"/>
        </w:rPr>
        <w:t xml:space="preserve">The Annex </w:t>
      </w:r>
      <w:r>
        <w:rPr>
          <w:rFonts w:hint="eastAsia"/>
          <w:lang w:eastAsia="zh-CN"/>
        </w:rPr>
        <w:t>B.6</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1</w:t>
      </w:r>
      <w:r>
        <w:rPr>
          <w:rFonts w:hint="eastAsia"/>
        </w:rPr>
        <w:t xml:space="preserve"> IAB-</w:t>
      </w:r>
      <w:r>
        <w:rPr>
          <w:rFonts w:hint="eastAsia"/>
          <w:lang w:eastAsia="zh-CN"/>
        </w:rPr>
        <w:t>MT</w:t>
      </w:r>
      <w:r>
        <w:rPr>
          <w:rFonts w:hint="eastAsia"/>
        </w:rPr>
        <w:t>.</w:t>
      </w:r>
    </w:p>
    <w:p w14:paraId="6906E48F" w14:textId="77777777" w:rsidR="00F21BB6" w:rsidRDefault="00F21BB6" w:rsidP="00A153AF">
      <w:pPr>
        <w:pStyle w:val="Heading2"/>
        <w:rPr>
          <w:lang w:eastAsia="en-CA"/>
        </w:rPr>
      </w:pPr>
      <w:bookmarkStart w:id="9502" w:name="_Toc61179697"/>
      <w:bookmarkStart w:id="9503" w:name="_Toc61179227"/>
      <w:bookmarkStart w:id="9504" w:name="_Toc53178979"/>
      <w:bookmarkStart w:id="9505" w:name="_Toc53178528"/>
      <w:bookmarkStart w:id="9506" w:name="_Toc45893822"/>
      <w:bookmarkStart w:id="9507" w:name="_Toc44712510"/>
      <w:bookmarkStart w:id="9508" w:name="_Toc37267903"/>
      <w:bookmarkStart w:id="9509" w:name="_Toc37260515"/>
      <w:bookmarkStart w:id="9510" w:name="_Toc36817591"/>
      <w:bookmarkStart w:id="9511" w:name="_Toc29812039"/>
      <w:bookmarkStart w:id="9512" w:name="_Toc21127830"/>
      <w:bookmarkStart w:id="9513" w:name="_Toc74583595"/>
      <w:bookmarkStart w:id="9514" w:name="_Toc76542408"/>
      <w:bookmarkStart w:id="9515" w:name="_Toc82450390"/>
      <w:bookmarkStart w:id="9516" w:name="_Toc82451038"/>
      <w:bookmarkStart w:id="9517" w:name="_Toc89949427"/>
      <w:bookmarkStart w:id="9518" w:name="_Toc98755816"/>
      <w:bookmarkStart w:id="9519" w:name="_Toc98763408"/>
      <w:bookmarkStart w:id="9520" w:name="_Toc106184337"/>
      <w:r>
        <w:rPr>
          <w:rFonts w:hint="eastAsia"/>
          <w:lang w:eastAsia="zh-CN"/>
        </w:rPr>
        <w:t>D</w:t>
      </w:r>
      <w:r>
        <w:rPr>
          <w:lang w:eastAsia="en-CA"/>
        </w:rPr>
        <w:t>.7</w:t>
      </w:r>
      <w:r>
        <w:rPr>
          <w:lang w:eastAsia="en-CA"/>
        </w:rPr>
        <w:tab/>
        <w:t>Averaged EVM</w:t>
      </w:r>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p>
    <w:p w14:paraId="487B1FC2" w14:textId="77777777" w:rsidR="00F21BB6" w:rsidRPr="00F95B02" w:rsidRDefault="00F21BB6" w:rsidP="00F21BB6">
      <w:pPr>
        <w:rPr>
          <w:lang w:eastAsia="ko-KR"/>
        </w:rPr>
      </w:pPr>
      <w:r w:rsidRPr="00F95B02">
        <w:rPr>
          <w:lang w:eastAsia="ko-KR"/>
        </w:rPr>
        <w:t xml:space="preserve">EVM is averaged over all allocated </w:t>
      </w:r>
      <w:r>
        <w:rPr>
          <w:lang w:eastAsia="ko-KR"/>
        </w:rPr>
        <w:t>uplink</w:t>
      </w:r>
      <w:r w:rsidRPr="00F95B02">
        <w:rPr>
          <w:lang w:eastAsia="ko-KR"/>
        </w:rPr>
        <w:t xml:space="preserve"> resource blocks with the considered modulation scheme in the frequency domain, and a minimum of</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oMath>
      <w:r>
        <w:rPr>
          <w:rFonts w:hint="eastAsia"/>
          <w:lang w:eastAsia="zh-CN"/>
        </w:rPr>
        <w:t xml:space="preserve"> </w:t>
      </w:r>
      <w:r w:rsidRPr="00F95B02">
        <w:rPr>
          <w:rFonts w:eastAsia="Osaka"/>
        </w:rPr>
        <w:t>slots where</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oMath>
      <w:r w:rsidRPr="00F95B02">
        <w:rPr>
          <w:rFonts w:eastAsia="Osaka"/>
        </w:rPr>
        <w:t xml:space="preserve"> is the number of slots in a 10 ms measurement interval</w:t>
      </w:r>
      <w:r w:rsidRPr="00F95B02">
        <w:rPr>
          <w:lang w:eastAsia="ko-KR"/>
        </w:rPr>
        <w:t>.</w:t>
      </w:r>
    </w:p>
    <w:p w14:paraId="367E3F34" w14:textId="77777777" w:rsidR="00F21BB6" w:rsidRPr="00F95B02" w:rsidRDefault="00F21BB6" w:rsidP="00F21BB6">
      <w:pPr>
        <w:rPr>
          <w:lang w:eastAsia="ko-KR"/>
        </w:rPr>
      </w:pPr>
      <w:r w:rsidRPr="00F95B02">
        <w:rPr>
          <w:rFonts w:eastAsia="SimSun"/>
          <w:lang w:eastAsia="ko-KR"/>
        </w:rPr>
        <w:t>For TDD, l</w:t>
      </w:r>
      <w:r w:rsidRPr="00F95B02">
        <w:rPr>
          <w:rFonts w:eastAsia="SimSun"/>
        </w:rPr>
        <w:t>et</w:t>
      </w:r>
      <w:r>
        <w:rPr>
          <w:rFonts w:eastAsia="SimSun" w:hint="eastAsia"/>
          <w:lang w:eastAsia="zh-CN"/>
        </w:rPr>
        <w:t xml:space="preserve"> </w:t>
      </w:r>
      <m:oMath>
        <m:sSubSup>
          <m:sSubSupPr>
            <m:ctrlPr>
              <w:rPr>
                <w:rFonts w:ascii="Cambria Math" w:eastAsia="SimSun" w:hAnsi="Cambria Math"/>
              </w:rPr>
            </m:ctrlPr>
          </m:sSubSupPr>
          <m:e>
            <m:r>
              <w:rPr>
                <w:rFonts w:ascii="Cambria Math" w:eastAsia="SimSun" w:hAnsi="Cambria Math"/>
              </w:rPr>
              <m:t>N</m:t>
            </m:r>
          </m:e>
          <m:sub>
            <m:r>
              <w:rPr>
                <w:rFonts w:ascii="Cambria Math" w:eastAsia="SimSun" w:hAnsi="Cambria Math"/>
              </w:rPr>
              <m:t>ul</m:t>
            </m:r>
          </m:sub>
          <m:sup>
            <m:r>
              <w:rPr>
                <w:rFonts w:ascii="Cambria Math" w:eastAsia="SimSun" w:hAnsi="Cambria Math"/>
              </w:rPr>
              <m:t>TDD</m:t>
            </m:r>
          </m:sup>
        </m:sSubSup>
      </m:oMath>
      <w:r>
        <w:rPr>
          <w:rFonts w:eastAsia="SimSun" w:hint="eastAsia"/>
          <w:lang w:eastAsia="zh-CN"/>
        </w:rPr>
        <w:t xml:space="preserve"> </w:t>
      </w:r>
      <w:r w:rsidRPr="00F95B02">
        <w:rPr>
          <w:rFonts w:eastAsia="SimSun"/>
          <w:lang w:eastAsia="ko-KR"/>
        </w:rPr>
        <w:t xml:space="preserve">be the number of </w:t>
      </w:r>
      <w:r w:rsidRPr="00F95B02">
        <w:rPr>
          <w:rFonts w:eastAsia="SimSun"/>
        </w:rPr>
        <w:t xml:space="preserve">slots with </w:t>
      </w:r>
      <w:r>
        <w:rPr>
          <w:rFonts w:eastAsia="SimSun"/>
        </w:rPr>
        <w:t>uplink</w:t>
      </w:r>
      <w:r w:rsidRPr="00F95B02">
        <w:rPr>
          <w:rFonts w:eastAsia="SimSun"/>
        </w:rPr>
        <w:t xml:space="preserve"> symbols </w:t>
      </w:r>
      <w:r w:rsidRPr="00F95B02">
        <w:rPr>
          <w:rFonts w:eastAsia="SimSun"/>
          <w:lang w:eastAsia="ko-KR"/>
        </w:rPr>
        <w:t xml:space="preserve">within a 10 ms measurement interval, the </w:t>
      </w:r>
      <w:r w:rsidRPr="00F95B02">
        <w:rPr>
          <w:lang w:eastAsia="ko-KR"/>
        </w:rPr>
        <w:t>averaging in the time domain</w:t>
      </w:r>
      <w:r w:rsidRPr="00F95B02">
        <w:rPr>
          <w:rFonts w:eastAsia="SimSun"/>
          <w:lang w:eastAsia="ko-KR"/>
        </w:rPr>
        <w:t xml:space="preserve"> can be calculated from</w:t>
      </w:r>
      <w:r>
        <w:rPr>
          <w:rFonts w:eastAsia="SimSun" w:hint="eastAsia"/>
          <w:lang w:eastAsia="zh-CN"/>
        </w:rPr>
        <w:t xml:space="preserve"> </w:t>
      </w:r>
      <m:oMath>
        <m:sSubSup>
          <m:sSubSupPr>
            <m:ctrlPr>
              <w:rPr>
                <w:rFonts w:ascii="Cambria Math" w:eastAsia="SimSun" w:hAnsi="Cambria Math"/>
              </w:rPr>
            </m:ctrlPr>
          </m:sSubSupPr>
          <m:e>
            <m:r>
              <w:rPr>
                <w:rFonts w:ascii="Cambria Math" w:eastAsia="SimSun" w:hAnsi="Cambria Math"/>
              </w:rPr>
              <m:t>N</m:t>
            </m:r>
          </m:e>
          <m:sub>
            <m:r>
              <w:rPr>
                <w:rFonts w:ascii="Cambria Math" w:eastAsia="SimSun" w:hAnsi="Cambria Math"/>
              </w:rPr>
              <m:t>ul</m:t>
            </m:r>
          </m:sub>
          <m:sup>
            <m:r>
              <w:rPr>
                <w:rFonts w:ascii="Cambria Math" w:eastAsia="SimSun" w:hAnsi="Cambria Math"/>
              </w:rPr>
              <m:t>TDD</m:t>
            </m:r>
          </m:sup>
        </m:sSubSup>
      </m:oMath>
      <w:r>
        <w:rPr>
          <w:rFonts w:eastAsia="SimSun" w:hint="eastAsia"/>
          <w:lang w:eastAsia="zh-CN"/>
        </w:rPr>
        <w:t xml:space="preserve"> </w:t>
      </w:r>
      <w:r w:rsidRPr="00F95B02">
        <w:rPr>
          <w:rFonts w:eastAsia="SimSun"/>
        </w:rPr>
        <w:t xml:space="preserve">slots </w:t>
      </w:r>
      <w:r w:rsidRPr="00F95B02">
        <w:rPr>
          <w:rFonts w:eastAsia="SimSun"/>
          <w:lang w:eastAsia="ko-KR"/>
        </w:rPr>
        <w:t>of different 10 ms measurement intervals</w:t>
      </w:r>
      <w:r w:rsidRPr="00F95B02">
        <w:rPr>
          <w:rFonts w:eastAsia="SimSun"/>
        </w:rPr>
        <w:t xml:space="preserve"> and should have a minimum of</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r>
          <w:rPr>
            <w:rFonts w:ascii="Cambria Math" w:hAnsi="Cambria Math"/>
            <w:lang w:eastAsia="zh-CN"/>
          </w:rPr>
          <m:t xml:space="preserve"> </m:t>
        </m:r>
      </m:oMath>
      <w:r w:rsidRPr="00F95B02">
        <w:rPr>
          <w:rFonts w:eastAsia="Osaka"/>
        </w:rPr>
        <w:t>slots averaging length where</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r>
          <w:rPr>
            <w:rFonts w:ascii="Cambria Math" w:hAnsi="Cambria Math"/>
            <w:lang w:eastAsia="zh-CN"/>
          </w:rPr>
          <m:t xml:space="preserve"> </m:t>
        </m:r>
      </m:oMath>
      <w:r w:rsidRPr="00F95B02">
        <w:rPr>
          <w:rFonts w:eastAsia="Osaka"/>
        </w:rPr>
        <w:t>is the number of slots in a 10 ms measurement interval.</w:t>
      </w:r>
    </w:p>
    <w:p w14:paraId="244B6CAF" w14:textId="77777777" w:rsidR="00F21BB6" w:rsidRPr="00F95B02" w:rsidRDefault="00F21BB6" w:rsidP="00F21BB6">
      <w:pPr>
        <w:pStyle w:val="B10"/>
      </w:pPr>
      <w:r w:rsidRPr="00F95B02">
        <w:rPr>
          <w:iCs/>
          <w:lang w:eastAsia="ko-KR"/>
        </w:rPr>
        <w:t>-</w:t>
      </w:r>
      <w:r w:rsidRPr="00F95B02">
        <w:rPr>
          <w:iCs/>
          <w:lang w:eastAsia="ko-KR"/>
        </w:rPr>
        <w:tab/>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m:t>
            </m:r>
          </m:sub>
        </m:sSub>
      </m:oMath>
      <w:r w:rsidRPr="00F95B02">
        <w:t xml:space="preserve"> is </w:t>
      </w:r>
      <w:r w:rsidRPr="00F95B02">
        <w:rPr>
          <w:rFonts w:eastAsia="×–¾’©‘Ì"/>
        </w:rPr>
        <w:t>derived by:</w:t>
      </w:r>
      <w:r w:rsidRPr="00F95B02">
        <w:t xml:space="preserve"> Square the EVM results in each 10 ms measurement interval. Sum the squares, divide the sum by the number of EVM relevant locations, square-root the quotient (RMS).</w:t>
      </w:r>
    </w:p>
    <w:p w14:paraId="7C95314A" w14:textId="77777777" w:rsidR="00F21BB6" w:rsidRPr="00F95B02" w:rsidRDefault="00000000" w:rsidP="00F21BB6">
      <w:pPr>
        <w:pStyle w:val="B10"/>
        <w:rPr>
          <w:lang w:val="sv-FI"/>
        </w:rPr>
      </w:pPr>
      <m:oMathPara>
        <m:oMathParaPr>
          <m:jc m:val="left"/>
        </m:oMathParaPr>
        <m:oMath>
          <m:sSub>
            <m:sSubPr>
              <m:ctrlPr>
                <w:rPr>
                  <w:rFonts w:ascii="Cambria Math" w:hAnsi="Cambria Math"/>
                </w:rPr>
              </m:ctrlPr>
            </m:sSubPr>
            <m:e>
              <m:acc>
                <m:accPr>
                  <m:chr m:val="̅"/>
                  <m:ctrlPr>
                    <w:rPr>
                      <w:rFonts w:ascii="Cambria Math" w:hAnsi="Cambria Math"/>
                    </w:rPr>
                  </m:ctrlPr>
                </m:accPr>
                <m:e>
                  <m:r>
                    <w:rPr>
                      <w:rFonts w:ascii="Cambria Math" w:hAnsi="Cambria Math"/>
                    </w:rPr>
                    <m:t>EVM</m:t>
                  </m:r>
                </m:e>
              </m:acc>
            </m:e>
            <m:sub>
              <m:r>
                <m:rPr>
                  <m:nor/>
                </m:rPr>
                <w:rPr>
                  <w:lang w:val="sv-FI"/>
                </w:rPr>
                <m:t>frame</m:t>
              </m:r>
            </m:sub>
          </m:sSub>
          <m:r>
            <m:rPr>
              <m:sty m:val="p"/>
            </m:rPr>
            <w:rPr>
              <w:rFonts w:ascii="Cambria Math" w:hAnsi="Cambria Math"/>
              <w:lang w:val="sv-FI"/>
            </w:rPr>
            <m:t>=</m:t>
          </m:r>
          <m:rad>
            <m:radPr>
              <m:degHide m:val="1"/>
              <m:ctrlPr>
                <w:rPr>
                  <w:rFonts w:ascii="Cambria Math" w:hAnsi="Cambria Math"/>
                </w:rPr>
              </m:ctrlPr>
            </m:radPr>
            <m:deg/>
            <m:e>
              <m:f>
                <m:fPr>
                  <m:ctrlPr>
                    <w:rPr>
                      <w:rFonts w:ascii="Cambria Math" w:hAnsi="Cambria Math"/>
                    </w:rPr>
                  </m:ctrlPr>
                </m:fPr>
                <m:num>
                  <m:r>
                    <m:rPr>
                      <m:sty m:val="p"/>
                    </m:rPr>
                    <w:rPr>
                      <w:rFonts w:ascii="Cambria Math" w:hAnsi="Cambria Math"/>
                      <w:lang w:val="sv-FI"/>
                    </w:rPr>
                    <m:t>1</m:t>
                  </m:r>
                </m:num>
                <m:den>
                  <m:nary>
                    <m:naryPr>
                      <m:chr m:val="∑"/>
                      <m:limLoc m:val="undOvr"/>
                      <m:ctrlPr>
                        <w:rPr>
                          <w:rFonts w:ascii="Cambria Math" w:hAnsi="Cambria Math"/>
                        </w:rPr>
                      </m:ctrlPr>
                    </m:naryPr>
                    <m:sub>
                      <m:r>
                        <w:rPr>
                          <w:rFonts w:ascii="Cambria Math" w:hAnsi="Cambria Math"/>
                        </w:rPr>
                        <m:t>i</m:t>
                      </m:r>
                      <m:r>
                        <m:rPr>
                          <m:sty m:val="p"/>
                        </m:rPr>
                        <w:rPr>
                          <w:rFonts w:ascii="Cambria Math" w:hAnsi="Cambria Math"/>
                          <w:lang w:val="sv-FI"/>
                        </w:rPr>
                        <m:t>=1</m:t>
                      </m:r>
                    </m:sub>
                    <m:sup>
                      <m:sSubSup>
                        <m:sSubSupPr>
                          <m:ctrlPr>
                            <w:rPr>
                              <w:rFonts w:ascii="Cambria Math" w:hAnsi="Cambria Math"/>
                            </w:rPr>
                          </m:ctrlPr>
                        </m:sSubSupPr>
                        <m:e>
                          <m:r>
                            <w:rPr>
                              <w:rFonts w:ascii="Cambria Math" w:hAnsi="Cambria Math"/>
                            </w:rPr>
                            <m:t>N</m:t>
                          </m:r>
                        </m:e>
                        <m:sub>
                          <m:r>
                            <w:rPr>
                              <w:rFonts w:ascii="Cambria Math" w:hAnsi="Cambria Math"/>
                            </w:rPr>
                            <m:t>ul</m:t>
                          </m:r>
                        </m:sub>
                        <m:sup>
                          <m:r>
                            <w:rPr>
                              <w:rFonts w:ascii="Cambria Math" w:hAnsi="Cambria Math"/>
                            </w:rPr>
                            <m:t>TDD</m:t>
                          </m:r>
                        </m:sup>
                      </m:sSubSup>
                    </m:sup>
                    <m:e>
                      <m:sSub>
                        <m:sSubPr>
                          <m:ctrlPr>
                            <w:rPr>
                              <w:rFonts w:ascii="Cambria Math" w:hAnsi="Cambria Math"/>
                            </w:rPr>
                          </m:ctrlPr>
                        </m:sSubPr>
                        <m:e>
                          <m:r>
                            <w:rPr>
                              <w:rFonts w:ascii="Cambria Math" w:hAnsi="Cambria Math"/>
                            </w:rPr>
                            <m:t>N</m:t>
                          </m:r>
                        </m:e>
                        <m:sub>
                          <m:r>
                            <w:rPr>
                              <w:rFonts w:ascii="Cambria Math" w:hAnsi="Cambria Math"/>
                            </w:rPr>
                            <m:t>i</m:t>
                          </m:r>
                        </m:sub>
                      </m:sSub>
                    </m:e>
                  </m:nary>
                </m:den>
              </m:f>
              <m:nary>
                <m:naryPr>
                  <m:chr m:val="∑"/>
                  <m:limLoc m:val="undOvr"/>
                  <m:ctrlPr>
                    <w:rPr>
                      <w:rFonts w:ascii="Cambria Math" w:hAnsi="Cambria Math"/>
                    </w:rPr>
                  </m:ctrlPr>
                </m:naryPr>
                <m:sub>
                  <m:r>
                    <w:rPr>
                      <w:rFonts w:ascii="Cambria Math" w:hAnsi="Cambria Math"/>
                    </w:rPr>
                    <m:t>i</m:t>
                  </m:r>
                  <m:r>
                    <m:rPr>
                      <m:sty m:val="p"/>
                    </m:rPr>
                    <w:rPr>
                      <w:rFonts w:ascii="Cambria Math" w:hAnsi="Cambria Math"/>
                      <w:lang w:val="sv-FI"/>
                    </w:rPr>
                    <m:t>=1</m:t>
                  </m:r>
                </m:sub>
                <m:sup>
                  <m:sSubSup>
                    <m:sSubSupPr>
                      <m:ctrlPr>
                        <w:rPr>
                          <w:rFonts w:ascii="Cambria Math" w:hAnsi="Cambria Math"/>
                        </w:rPr>
                      </m:ctrlPr>
                    </m:sSubSupPr>
                    <m:e>
                      <m:r>
                        <w:rPr>
                          <w:rFonts w:ascii="Cambria Math" w:hAnsi="Cambria Math"/>
                        </w:rPr>
                        <m:t>N</m:t>
                      </m:r>
                    </m:e>
                    <m:sub>
                      <m:r>
                        <w:rPr>
                          <w:rFonts w:ascii="Cambria Math" w:hAnsi="Cambria Math"/>
                        </w:rPr>
                        <m:t>ul</m:t>
                      </m:r>
                    </m:sub>
                    <m:sup>
                      <m:r>
                        <w:rPr>
                          <w:rFonts w:ascii="Cambria Math" w:hAnsi="Cambria Math"/>
                        </w:rPr>
                        <m:t>TDD</m:t>
                      </m:r>
                    </m:sup>
                  </m:sSubSup>
                </m:sup>
                <m:e>
                  <m:nary>
                    <m:naryPr>
                      <m:chr m:val="∑"/>
                      <m:limLoc m:val="undOvr"/>
                      <m:ctrlPr>
                        <w:rPr>
                          <w:rFonts w:ascii="Cambria Math" w:hAnsi="Cambria Math"/>
                        </w:rPr>
                      </m:ctrlPr>
                    </m:naryPr>
                    <m:sub>
                      <m:r>
                        <w:rPr>
                          <w:rFonts w:ascii="Cambria Math" w:hAnsi="Cambria Math"/>
                        </w:rPr>
                        <m:t>j</m:t>
                      </m:r>
                      <m:r>
                        <m:rPr>
                          <m:sty m:val="p"/>
                        </m:rPr>
                        <w:rPr>
                          <w:rFonts w:ascii="Cambria Math" w:hAnsi="Cambria Math"/>
                          <w:lang w:val="sv-FI"/>
                        </w:rPr>
                        <m:t>=1</m:t>
                      </m:r>
                    </m:sub>
                    <m:sup>
                      <m:sSub>
                        <m:sSubPr>
                          <m:ctrlPr>
                            <w:rPr>
                              <w:rFonts w:ascii="Cambria Math" w:hAnsi="Cambria Math"/>
                            </w:rPr>
                          </m:ctrlPr>
                        </m:sSubPr>
                        <m:e>
                          <m:r>
                            <w:rPr>
                              <w:rFonts w:ascii="Cambria Math" w:hAnsi="Cambria Math"/>
                            </w:rPr>
                            <m:t>N</m:t>
                          </m:r>
                        </m:e>
                        <m:sub>
                          <m:r>
                            <w:rPr>
                              <w:rFonts w:ascii="Cambria Math" w:hAnsi="Cambria Math"/>
                            </w:rPr>
                            <m:t>i</m:t>
                          </m:r>
                        </m:sub>
                      </m:sSub>
                    </m:sup>
                    <m:e>
                      <m:sSubSup>
                        <m:sSubSupPr>
                          <m:ctrlPr>
                            <w:rPr>
                              <w:rFonts w:ascii="Cambria Math" w:hAnsi="Cambria Math"/>
                            </w:rPr>
                          </m:ctrlPr>
                        </m:sSubSupPr>
                        <m:e>
                          <m:r>
                            <w:rPr>
                              <w:rFonts w:ascii="Cambria Math" w:hAnsi="Cambria Math"/>
                            </w:rPr>
                            <m:t>EVM</m:t>
                          </m:r>
                        </m:e>
                        <m:sub>
                          <m:r>
                            <w:rPr>
                              <w:rFonts w:ascii="Cambria Math" w:hAnsi="Cambria Math"/>
                            </w:rPr>
                            <m:t>i</m:t>
                          </m:r>
                          <m:r>
                            <m:rPr>
                              <m:sty m:val="p"/>
                            </m:rPr>
                            <w:rPr>
                              <w:rFonts w:ascii="Cambria Math" w:hAnsi="Cambria Math"/>
                              <w:lang w:val="sv-FI"/>
                            </w:rPr>
                            <m:t>,</m:t>
                          </m:r>
                          <m:r>
                            <w:rPr>
                              <w:rFonts w:ascii="Cambria Math" w:hAnsi="Cambria Math"/>
                            </w:rPr>
                            <m:t>j</m:t>
                          </m:r>
                        </m:sub>
                        <m:sup>
                          <m:r>
                            <m:rPr>
                              <m:sty m:val="p"/>
                            </m:rPr>
                            <w:rPr>
                              <w:rFonts w:ascii="Cambria Math" w:hAnsi="Cambria Math"/>
                              <w:lang w:val="sv-FI"/>
                            </w:rPr>
                            <m:t>2</m:t>
                          </m:r>
                        </m:sup>
                      </m:sSubSup>
                    </m:e>
                  </m:nary>
                </m:e>
              </m:nary>
            </m:e>
          </m:rad>
        </m:oMath>
      </m:oMathPara>
    </w:p>
    <w:p w14:paraId="0290DB2C" w14:textId="77777777" w:rsidR="00F21BB6" w:rsidRPr="00F95B02" w:rsidRDefault="00F21BB6" w:rsidP="00F21BB6">
      <w:pPr>
        <w:pStyle w:val="B10"/>
        <w:rPr>
          <w:lang w:eastAsia="ko-KR"/>
        </w:rPr>
      </w:pPr>
      <w:r w:rsidRPr="00F95B02">
        <w:rPr>
          <w:iCs/>
          <w:lang w:eastAsia="ko-KR"/>
        </w:rPr>
        <w:t>-</w:t>
      </w:r>
      <w:r w:rsidRPr="00F95B02">
        <w:rPr>
          <w:iCs/>
          <w:lang w:eastAsia="ko-KR"/>
        </w:rPr>
        <w:tab/>
        <w:t xml:space="preserve">Where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i</m:t>
            </m:r>
          </m:sub>
        </m:sSub>
      </m:oMath>
      <w:r w:rsidRPr="00F95B02">
        <w:rPr>
          <w:lang w:eastAsia="ko-KR"/>
        </w:rPr>
        <w:t xml:space="preserve"> is the number of resource blocks with the considered modulation scheme in slot </w:t>
      </w:r>
      <w:r w:rsidRPr="00F95B02">
        <w:rPr>
          <w:i/>
          <w:lang w:eastAsia="ko-KR"/>
        </w:rPr>
        <w:t>i</w:t>
      </w:r>
      <w:r w:rsidRPr="00F95B02">
        <w:rPr>
          <w:lang w:eastAsia="ko-KR"/>
        </w:rPr>
        <w:t>.</w:t>
      </w:r>
    </w:p>
    <w:p w14:paraId="0A34E10F" w14:textId="77777777" w:rsidR="00F21BB6" w:rsidRPr="00F95B02" w:rsidRDefault="00F21BB6" w:rsidP="00F21BB6">
      <w:pPr>
        <w:pStyle w:val="B10"/>
      </w:pPr>
      <w:r w:rsidRPr="00F95B02">
        <w:rPr>
          <w:iCs/>
          <w:lang w:eastAsia="ko-KR"/>
        </w:rPr>
        <w:t>-</w:t>
      </w:r>
      <w:r w:rsidRPr="00F95B02">
        <w:rPr>
          <w:iCs/>
          <w:lang w:eastAsia="ko-KR"/>
        </w:rPr>
        <w:tab/>
      </w:r>
      <w:r w:rsidRPr="00F95B02">
        <w:t xml:space="preserve">The </w:t>
      </w:r>
      <m:oMath>
        <m:sSub>
          <m:sSubPr>
            <m:ctrlPr>
              <w:rPr>
                <w:rFonts w:ascii="Cambria Math" w:eastAsia="×–¾’©‘Ì" w:hAnsi="Cambria Math"/>
                <w:i/>
              </w:rPr>
            </m:ctrlPr>
          </m:sSubPr>
          <m:e>
            <m:r>
              <w:rPr>
                <w:rFonts w:ascii="Cambria Math" w:eastAsia="×–¾’©‘Ì" w:hAnsi="Cambria Math"/>
              </w:rPr>
              <m:t>EVM</m:t>
            </m:r>
          </m:e>
          <m:sub>
            <m:r>
              <m:rPr>
                <m:nor/>
              </m:rPr>
              <w:rPr>
                <w:rFonts w:ascii="Cambria Math" w:eastAsia="×–¾’©‘Ì" w:hAnsi="Cambria Math"/>
              </w:rPr>
              <m:t>frame</m:t>
            </m:r>
          </m:sub>
        </m:sSub>
      </m:oMath>
      <w:r w:rsidRPr="00F95B02">
        <w:t xml:space="preserve"> is calculated, using the maximum of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m:t>
            </m:r>
          </m:sub>
        </m:sSub>
      </m:oMath>
      <w:r w:rsidRPr="00F95B02">
        <w:t xml:space="preserve"> at the window </w:t>
      </w:r>
      <w:r w:rsidRPr="00F95B02">
        <w:rPr>
          <w:i/>
        </w:rPr>
        <w:t>W</w:t>
      </w:r>
      <w:r w:rsidRPr="00F95B02">
        <w:t xml:space="preserve"> extremities. Thus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frame,l</m:t>
            </m:r>
          </m:sub>
        </m:sSub>
      </m:oMath>
      <w:r w:rsidRPr="00F95B02">
        <w:t xml:space="preserve"> is calculated using </w:t>
      </w:r>
      <m:oMath>
        <m:acc>
          <m:accPr>
            <m:chr m:val="̃"/>
            <m:ctrlPr>
              <w:rPr>
                <w:rFonts w:ascii="Cambria Math" w:hAnsi="Cambria Math"/>
                <w:i/>
              </w:rPr>
            </m:ctrlPr>
          </m:accPr>
          <m:e>
            <m:r>
              <w:rPr>
                <w:rFonts w:ascii="Cambria Math" w:hAnsi="Cambria Math"/>
              </w:rPr>
              <m:t>t</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l</m:t>
            </m:r>
          </m:sub>
        </m:sSub>
      </m:oMath>
      <w:r w:rsidRPr="00F95B02">
        <w:t xml:space="preserve"> and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frame,h</m:t>
            </m:r>
          </m:sub>
        </m:sSub>
      </m:oMath>
      <w:r w:rsidRPr="00F95B02">
        <w:rPr>
          <w:rFonts w:eastAsia="×–¾’©‘Ì"/>
        </w:rPr>
        <w:t xml:space="preserve"> i</w:t>
      </w:r>
      <w:r w:rsidRPr="00F95B02">
        <w:t xml:space="preserve">s calculated using </w:t>
      </w:r>
      <m:oMath>
        <m:acc>
          <m:accPr>
            <m:chr m:val="̃"/>
            <m:ctrlPr>
              <w:rPr>
                <w:rFonts w:ascii="Cambria Math" w:hAnsi="Cambria Math"/>
                <w:i/>
              </w:rPr>
            </m:ctrlPr>
          </m:accPr>
          <m:e>
            <m:r>
              <w:rPr>
                <w:rFonts w:ascii="Cambria Math" w:hAnsi="Cambria Math"/>
              </w:rPr>
              <m:t>t</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h</m:t>
            </m:r>
          </m:sub>
        </m:sSub>
      </m:oMath>
      <w:r w:rsidRPr="00F95B02">
        <w:t xml:space="preserve"> (</w:t>
      </w:r>
      <w:r w:rsidRPr="00F95B02">
        <w:rPr>
          <w:i/>
        </w:rPr>
        <w:t>l</w:t>
      </w:r>
      <w:r w:rsidRPr="00F95B02">
        <w:t xml:space="preserve"> and </w:t>
      </w:r>
      <w:r w:rsidRPr="00F95B02">
        <w:rPr>
          <w:i/>
        </w:rPr>
        <w:t>h</w:t>
      </w:r>
      <w:r w:rsidRPr="00F95B02">
        <w:t xml:space="preserve">, low and high; where low is the timing </w:t>
      </w:r>
      <m:oMath>
        <m:d>
          <m:dPr>
            <m:ctrlPr>
              <w:rPr>
                <w:rFonts w:ascii="Cambria Math" w:hAnsi="Cambria Math"/>
                <w:i/>
              </w:rPr>
            </m:ctrlPr>
          </m:dPr>
          <m:e>
            <m:r>
              <w:rPr>
                <w:rFonts w:ascii="Cambria Math" w:hAnsi="Cambria Math"/>
              </w:rPr>
              <m:t>∆c-W/2</m:t>
            </m:r>
          </m:e>
        </m:d>
      </m:oMath>
      <w:r w:rsidRPr="00F95B02">
        <w:rPr>
          <w:noProof/>
        </w:rPr>
        <w:t xml:space="preserve"> and and high is the timing </w:t>
      </w:r>
      <m:oMath>
        <m:d>
          <m:dPr>
            <m:ctrlPr>
              <w:rPr>
                <w:rFonts w:ascii="Cambria Math" w:hAnsi="Cambria Math"/>
                <w:i/>
              </w:rPr>
            </m:ctrlPr>
          </m:dPr>
          <m:e>
            <m:r>
              <w:rPr>
                <w:rFonts w:ascii="Cambria Math" w:hAnsi="Cambria Math"/>
              </w:rPr>
              <m:t>∆c+W/2</m:t>
            </m:r>
          </m:e>
        </m:d>
      </m:oMath>
      <w:r w:rsidRPr="00F95B02">
        <w:rPr>
          <w:noProof/>
        </w:rPr>
        <w:t>)</w:t>
      </w:r>
      <w:r w:rsidRPr="00F95B02">
        <w:t>.</w:t>
      </w:r>
    </w:p>
    <w:p w14:paraId="29AAA72A" w14:textId="77777777" w:rsidR="00F21BB6" w:rsidRPr="00F95B02" w:rsidRDefault="00000000" w:rsidP="00F21BB6">
      <w:pPr>
        <w:pStyle w:val="EQ"/>
        <w:jc w:val="center"/>
        <w:rPr>
          <w:iCs/>
        </w:rPr>
      </w:pPr>
      <m:oMathPara>
        <m:oMath>
          <m:sSub>
            <m:sSubPr>
              <m:ctrlPr>
                <w:rPr>
                  <w:rFonts w:ascii="Cambria Math" w:eastAsia="×–¾’©‘Ì" w:hAnsi="Cambria Math"/>
                  <w:i/>
                </w:rPr>
              </m:ctrlPr>
            </m:sSubPr>
            <m:e>
              <m:r>
                <w:rPr>
                  <w:rFonts w:ascii="Cambria Math" w:eastAsia="×–¾’©‘Ì" w:hAnsi="Cambria Math"/>
                </w:rPr>
                <m:t>EVM</m:t>
              </m:r>
            </m:e>
            <m:sub>
              <m:r>
                <m:rPr>
                  <m:nor/>
                </m:rPr>
                <w:rPr>
                  <w:rFonts w:ascii="Cambria Math" w:eastAsia="×–¾’©‘Ì" w:hAnsi="Cambria Math"/>
                </w:rPr>
                <m:t>frame</m:t>
              </m:r>
            </m:sub>
          </m:sSub>
          <m:r>
            <w:rPr>
              <w:rFonts w:ascii="Cambria Math" w:eastAsia="×–¾’©‘Ì" w:hAnsi="Cambria Math"/>
            </w:rPr>
            <m:t>=</m:t>
          </m:r>
          <m:func>
            <m:funcPr>
              <m:ctrlPr>
                <w:rPr>
                  <w:rFonts w:ascii="Cambria Math" w:eastAsia="×–¾’©‘Ì" w:hAnsi="Cambria Math"/>
                  <w:i/>
                </w:rPr>
              </m:ctrlPr>
            </m:funcPr>
            <m:fName>
              <m:r>
                <m:rPr>
                  <m:sty m:val="p"/>
                </m:rPr>
                <w:rPr>
                  <w:rFonts w:ascii="Cambria Math" w:eastAsia="×–¾’©‘Ì" w:hAnsi="Cambria Math"/>
                </w:rPr>
                <m:t>max</m:t>
              </m:r>
            </m:fName>
            <m:e>
              <m:d>
                <m:dPr>
                  <m:ctrlPr>
                    <w:rPr>
                      <w:rFonts w:ascii="Cambria Math" w:eastAsia="×–¾’©‘Ì" w:hAnsi="Cambria Math"/>
                      <w:i/>
                    </w:rPr>
                  </m:ctrlPr>
                </m:dPr>
                <m:e>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frame,l</m:t>
                      </m:r>
                    </m:sub>
                  </m:sSub>
                  <m:r>
                    <w:rPr>
                      <w:rFonts w:ascii="Cambria Math" w:eastAsia="×–¾’©‘Ì" w:hAnsi="Cambria Math"/>
                    </w:rPr>
                    <m:t>,</m:t>
                  </m:r>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frame,h</m:t>
                      </m:r>
                    </m:sub>
                  </m:sSub>
                </m:e>
              </m:d>
            </m:e>
          </m:func>
        </m:oMath>
      </m:oMathPara>
    </w:p>
    <w:p w14:paraId="12DBAEE6" w14:textId="77777777" w:rsidR="00F21BB6" w:rsidRPr="00F95B02" w:rsidRDefault="00F21BB6" w:rsidP="00F21BB6">
      <w:pPr>
        <w:pStyle w:val="B10"/>
      </w:pPr>
      <w:r w:rsidRPr="00F95B02">
        <w:rPr>
          <w:iCs/>
          <w:lang w:eastAsia="ko-KR"/>
        </w:rPr>
        <w:t>-</w:t>
      </w:r>
      <w:r w:rsidRPr="00F95B02">
        <w:rPr>
          <w:iCs/>
          <w:lang w:eastAsia="ko-KR"/>
        </w:rPr>
        <w:tab/>
      </w:r>
      <w:r w:rsidRPr="00F95B02">
        <w:t>In order to unite at least</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oMath>
      <w:r>
        <w:rPr>
          <w:rFonts w:eastAsia="Osaka"/>
        </w:rPr>
        <w:t xml:space="preserve"> </w:t>
      </w:r>
      <w:r w:rsidRPr="00F95B02">
        <w:rPr>
          <w:lang w:eastAsia="ko-KR"/>
        </w:rPr>
        <w:t>slots</w:t>
      </w:r>
      <w:r w:rsidRPr="00F95B02">
        <w:t xml:space="preserve">, consider the minimum integer number of 10 ms measurement intervals, where </w:t>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oMath>
      <w:r w:rsidRPr="00F95B02">
        <w:rPr>
          <w:lang w:eastAsia="ko-KR"/>
        </w:rPr>
        <w:t xml:space="preserve"> is determined by</w:t>
      </w:r>
      <w:r w:rsidRPr="00F95B02">
        <w:t>.</w:t>
      </w:r>
    </w:p>
    <w:p w14:paraId="10D15E13" w14:textId="77777777" w:rsidR="00F21BB6" w:rsidRPr="00F95B02" w:rsidRDefault="00000000" w:rsidP="00F21BB6">
      <w:pPr>
        <w:pStyle w:val="EQ"/>
        <w:rPr>
          <w:rFonts w:eastAsia="×–¾’©‘Ì"/>
        </w:rPr>
      </w:pPr>
      <m:oMathPara>
        <m:oMath>
          <m:sSub>
            <m:sSubPr>
              <m:ctrlPr>
                <w:rPr>
                  <w:rFonts w:ascii="Cambria Math" w:hAnsi="Cambria Math"/>
                  <w:lang w:eastAsia="ko-KR"/>
                </w:rPr>
              </m:ctrlPr>
            </m:sSubPr>
            <m:e>
              <m:r>
                <w:rPr>
                  <w:rFonts w:ascii="Cambria Math" w:hAnsi="Cambria Math"/>
                  <w:lang w:eastAsia="ko-KR"/>
                </w:rPr>
                <m:t>N</m:t>
              </m:r>
            </m:e>
            <m:sub>
              <m:r>
                <w:rPr>
                  <w:rFonts w:ascii="Cambria Math" w:hAnsi="Cambria Math"/>
                  <w:lang w:eastAsia="ko-KR"/>
                </w:rPr>
                <m:t>frame</m:t>
              </m:r>
            </m:sub>
          </m:sSub>
          <m:r>
            <m:rPr>
              <m:sty m:val="p"/>
            </m:rPr>
            <w:rPr>
              <w:rFonts w:ascii="Cambria Math" w:hAnsi="Cambria Math"/>
              <w:lang w:eastAsia="ko-KR"/>
            </w:rPr>
            <m:t>=</m:t>
          </m:r>
          <m:d>
            <m:dPr>
              <m:begChr m:val="⌈"/>
              <m:endChr m:val="⌉"/>
              <m:ctrlPr>
                <w:rPr>
                  <w:rFonts w:ascii="Cambria Math" w:hAnsi="Cambria Math"/>
                  <w:lang w:eastAsia="ko-KR"/>
                </w:rPr>
              </m:ctrlPr>
            </m:dPr>
            <m:e>
              <m:f>
                <m:fPr>
                  <m:ctrlPr>
                    <w:rPr>
                      <w:rFonts w:ascii="Cambria Math" w:hAnsi="Cambria Math"/>
                      <w:lang w:eastAsia="ko-KR"/>
                    </w:rPr>
                  </m:ctrlPr>
                </m:fPr>
                <m:num>
                  <m:r>
                    <m:rPr>
                      <m:sty m:val="p"/>
                    </m:rPr>
                    <w:rPr>
                      <w:rFonts w:ascii="Cambria Math" w:hAnsi="Cambria Math"/>
                      <w:lang w:eastAsia="ko-KR"/>
                    </w:rPr>
                    <m:t>10</m:t>
                  </m:r>
                  <m:r>
                    <w:rPr>
                      <w:rFonts w:ascii="Cambria Math" w:eastAsia="×–¾’©‘Ì"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slot</m:t>
                      </m:r>
                    </m:sub>
                  </m:sSub>
                </m:num>
                <m:den>
                  <m:sSubSup>
                    <m:sSubSupPr>
                      <m:ctrlPr>
                        <w:rPr>
                          <w:rFonts w:ascii="Cambria Math" w:hAnsi="Cambria Math"/>
                          <w:lang w:eastAsia="ko-KR"/>
                        </w:rPr>
                      </m:ctrlPr>
                    </m:sSubSupPr>
                    <m:e>
                      <m:r>
                        <w:rPr>
                          <w:rFonts w:ascii="Cambria Math" w:hAnsi="Cambria Math"/>
                          <w:lang w:eastAsia="ko-KR"/>
                        </w:rPr>
                        <m:t>N</m:t>
                      </m:r>
                    </m:e>
                    <m:sub>
                      <m:r>
                        <w:rPr>
                          <w:rFonts w:ascii="Cambria Math" w:hAnsi="Cambria Math"/>
                          <w:lang w:eastAsia="ko-KR"/>
                        </w:rPr>
                        <m:t>ul</m:t>
                      </m:r>
                    </m:sub>
                    <m:sup>
                      <m:r>
                        <w:rPr>
                          <w:rFonts w:ascii="Cambria Math" w:hAnsi="Cambria Math"/>
                          <w:lang w:eastAsia="ko-KR"/>
                        </w:rPr>
                        <m:t>TDD</m:t>
                      </m:r>
                    </m:sup>
                  </m:sSubSup>
                </m:den>
              </m:f>
            </m:e>
          </m:d>
        </m:oMath>
      </m:oMathPara>
    </w:p>
    <w:p w14:paraId="4B12B6B0" w14:textId="77777777" w:rsidR="00F21BB6" w:rsidRPr="00F95B02" w:rsidRDefault="00F21BB6" w:rsidP="00F21BB6">
      <w:pPr>
        <w:pStyle w:val="B20"/>
        <w:rPr>
          <w:lang w:eastAsia="ko-KR"/>
        </w:rPr>
      </w:pPr>
      <w:r w:rsidRPr="00F95B02">
        <w:rPr>
          <w:noProof/>
          <w:lang w:eastAsia="ko-KR"/>
        </w:rPr>
        <w:t xml:space="preserve">and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=1</m:t>
        </m:r>
      </m:oMath>
      <w:r w:rsidRPr="00F95B02">
        <w:rPr>
          <w:noProof/>
          <w:lang w:eastAsia="ko-KR"/>
        </w:rPr>
        <w:t xml:space="preserve"> for 15 kHz SCS,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=2</m:t>
        </m:r>
      </m:oMath>
      <w:r w:rsidRPr="00F95B02">
        <w:rPr>
          <w:noProof/>
          <w:lang w:eastAsia="ko-KR"/>
        </w:rPr>
        <w:t xml:space="preserve"> for 30 kHz SCS and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=4</m:t>
        </m:r>
      </m:oMath>
      <w:r w:rsidRPr="00F95B02">
        <w:rPr>
          <w:noProof/>
          <w:lang w:eastAsia="ko-KR"/>
        </w:rPr>
        <w:t xml:space="preserve"> for 60 kHz SCS normal CP.</w:t>
      </w:r>
    </w:p>
    <w:p w14:paraId="27F74D7A" w14:textId="77777777" w:rsidR="00F21BB6" w:rsidRPr="00F95B02" w:rsidRDefault="00F21BB6" w:rsidP="00F21BB6">
      <w:pPr>
        <w:pStyle w:val="B10"/>
      </w:pPr>
      <w:r w:rsidRPr="00F95B02">
        <w:rPr>
          <w:iCs/>
          <w:lang w:eastAsia="ko-KR"/>
        </w:rPr>
        <w:t>-</w:t>
      </w:r>
      <w:r w:rsidRPr="00F95B02">
        <w:rPr>
          <w:iCs/>
          <w:lang w:eastAsia="ko-KR"/>
        </w:rPr>
        <w:tab/>
      </w:r>
      <w:r w:rsidRPr="00F95B02">
        <w:t>Unite by RMS.</w:t>
      </w:r>
    </w:p>
    <w:p w14:paraId="556400B5" w14:textId="77777777" w:rsidR="00F21BB6" w:rsidRDefault="00000000" w:rsidP="00F21BB6">
      <w:pPr>
        <w:pStyle w:val="EQ"/>
        <w:jc w:val="center"/>
        <w:rPr>
          <w:iCs/>
        </w:rPr>
      </w:pPr>
      <m:oMathPara>
        <m:oMath>
          <m:acc>
            <m:accPr>
              <m:chr m:val="̅"/>
              <m:ctrlPr>
                <w:rPr>
                  <w:rFonts w:ascii="Cambria Math" w:eastAsia="×–¾’©‘Ì" w:hAnsi="Cambria Math"/>
                </w:rPr>
              </m:ctrlPr>
            </m:accPr>
            <m:e>
              <m:r>
                <w:rPr>
                  <w:rFonts w:ascii="Cambria Math" w:eastAsia="×–¾’©‘Ì" w:hAnsi="Cambria Math"/>
                </w:rPr>
                <m:t>EVM</m:t>
              </m:r>
            </m:e>
          </m:acc>
          <m:r>
            <m:rPr>
              <m:sty m:val="p"/>
            </m:rPr>
            <w:rPr>
              <w:rFonts w:ascii="Cambria Math" w:eastAsia="×–¾’©‘Ì" w:hAnsi="Cambria Math"/>
            </w:rPr>
            <m:t>=</m:t>
          </m:r>
          <m:rad>
            <m:radPr>
              <m:degHide m:val="1"/>
              <m:ctrlPr>
                <w:rPr>
                  <w:rFonts w:ascii="Cambria Math" w:hAnsi="Cambria Math"/>
                  <w:lang w:eastAsia="ko-KR"/>
                </w:rPr>
              </m:ctrlPr>
            </m:radPr>
            <m:deg/>
            <m:e>
              <m:f>
                <m:fPr>
                  <m:ctrlPr>
                    <w:rPr>
                      <w:rFonts w:ascii="Cambria Math" w:hAnsi="Cambria Math"/>
                      <w:lang w:eastAsia="ko-KR"/>
                    </w:rPr>
                  </m:ctrlPr>
                </m:fPr>
                <m:num>
                  <m:r>
                    <m:rPr>
                      <m:sty m:val="p"/>
                    </m:rPr>
                    <w:rPr>
                      <w:rFonts w:ascii="Cambria Math" w:hAnsi="Cambria Math"/>
                      <w:lang w:eastAsia="ko-KR"/>
                    </w:rPr>
                    <m:t>1</m:t>
                  </m:r>
                </m:num>
                <m:den>
                  <m:sSub>
                    <m:sSubPr>
                      <m:ctrlPr>
                        <w:rPr>
                          <w:rFonts w:ascii="Cambria Math" w:hAnsi="Cambria Math"/>
                          <w:lang w:eastAsia="ko-KR"/>
                        </w:rPr>
                      </m:ctrlPr>
                    </m:sSubPr>
                    <m:e>
                      <m:r>
                        <w:rPr>
                          <w:rFonts w:ascii="Cambria Math" w:hAnsi="Cambria Math"/>
                          <w:lang w:eastAsia="ko-KR"/>
                        </w:rPr>
                        <m:t>N</m:t>
                      </m:r>
                    </m:e>
                    <m:sub>
                      <m:r>
                        <w:rPr>
                          <w:rFonts w:ascii="Cambria Math" w:hAnsi="Cambria Math"/>
                          <w:lang w:eastAsia="ko-KR"/>
                        </w:rPr>
                        <m:t>frame</m:t>
                      </m:r>
                    </m:sub>
                  </m:sSub>
                </m:den>
              </m:f>
              <m:nary>
                <m:naryPr>
                  <m:chr m:val="∑"/>
                  <m:limLoc m:val="undOvr"/>
                  <m:ctrlPr>
                    <w:rPr>
                      <w:rFonts w:ascii="Cambria Math" w:hAnsi="Cambria Math"/>
                      <w:lang w:eastAsia="ko-KR"/>
                    </w:rPr>
                  </m:ctrlPr>
                </m:naryPr>
                <m:sub>
                  <m:r>
                    <w:rPr>
                      <w:rFonts w:ascii="Cambria Math" w:hAnsi="Cambria Math"/>
                      <w:lang w:eastAsia="ko-KR"/>
                    </w:rPr>
                    <m:t>k</m:t>
                  </m:r>
                  <m:r>
                    <m:rPr>
                      <m:sty m:val="p"/>
                    </m:rPr>
                    <w:rPr>
                      <w:rFonts w:ascii="Cambria Math" w:hAnsi="Cambria Math"/>
                      <w:lang w:eastAsia="ko-KR"/>
                    </w:rPr>
                    <m:t>=1</m:t>
                  </m:r>
                </m:sub>
                <m:sup>
                  <m:sSub>
                    <m:sSubPr>
                      <m:ctrlPr>
                        <w:rPr>
                          <w:rFonts w:ascii="Cambria Math" w:hAnsi="Cambria Math"/>
                          <w:lang w:eastAsia="ko-KR"/>
                        </w:rPr>
                      </m:ctrlPr>
                    </m:sSubPr>
                    <m:e>
                      <m:r>
                        <w:rPr>
                          <w:rFonts w:ascii="Cambria Math" w:hAnsi="Cambria Math"/>
                          <w:lang w:eastAsia="ko-KR"/>
                        </w:rPr>
                        <m:t>N</m:t>
                      </m:r>
                    </m:e>
                    <m:sub>
                      <m:r>
                        <w:rPr>
                          <w:rFonts w:ascii="Cambria Math" w:hAnsi="Cambria Math"/>
                          <w:lang w:eastAsia="ko-KR"/>
                        </w:rPr>
                        <m:t>frame</m:t>
                      </m:r>
                    </m:sub>
                  </m:sSub>
                </m:sup>
                <m:e>
                  <m:sSubSup>
                    <m:sSubSupPr>
                      <m:ctrlPr>
                        <w:rPr>
                          <w:rFonts w:ascii="Cambria Math" w:hAnsi="Cambria Math"/>
                          <w:lang w:eastAsia="ko-KR"/>
                        </w:rPr>
                      </m:ctrlPr>
                    </m:sSubSupPr>
                    <m:e>
                      <m:r>
                        <w:rPr>
                          <w:rFonts w:ascii="Cambria Math" w:hAnsi="Cambria Math"/>
                          <w:lang w:eastAsia="ko-KR"/>
                        </w:rPr>
                        <m:t>EVM</m:t>
                      </m:r>
                    </m:e>
                    <m:sub>
                      <m:r>
                        <w:rPr>
                          <w:rFonts w:ascii="Cambria Math" w:hAnsi="Cambria Math"/>
                          <w:lang w:eastAsia="ko-KR"/>
                        </w:rPr>
                        <m:t>frame</m:t>
                      </m:r>
                      <m:r>
                        <m:rPr>
                          <m:sty m:val="p"/>
                        </m:rPr>
                        <w:rPr>
                          <w:rFonts w:ascii="Cambria Math" w:hAnsi="Cambria Math"/>
                          <w:lang w:eastAsia="ko-KR"/>
                        </w:rPr>
                        <m:t>,</m:t>
                      </m:r>
                      <m:r>
                        <w:rPr>
                          <w:rFonts w:ascii="Cambria Math" w:hAnsi="Cambria Math"/>
                          <w:lang w:eastAsia="ko-KR"/>
                        </w:rPr>
                        <m:t>k</m:t>
                      </m:r>
                    </m:sub>
                    <m:sup>
                      <m:r>
                        <m:rPr>
                          <m:sty m:val="p"/>
                        </m:rPr>
                        <w:rPr>
                          <w:rFonts w:ascii="Cambria Math" w:hAnsi="Cambria Math"/>
                          <w:lang w:eastAsia="ko-KR"/>
                        </w:rPr>
                        <m:t>2</m:t>
                      </m:r>
                    </m:sup>
                  </m:sSubSup>
                </m:e>
              </m:nary>
            </m:e>
          </m:rad>
        </m:oMath>
      </m:oMathPara>
    </w:p>
    <w:p w14:paraId="787C1337" w14:textId="77777777" w:rsidR="00F21BB6" w:rsidRDefault="00F21BB6" w:rsidP="00F21BB6">
      <w:pPr>
        <w:rPr>
          <w:lang w:eastAsia="zh-CN"/>
        </w:rPr>
      </w:pPr>
    </w:p>
    <w:p w14:paraId="4CDB3AE0" w14:textId="3456AF76" w:rsidR="00461ACC" w:rsidRPr="00406B1A" w:rsidRDefault="000E495B" w:rsidP="00677CEF">
      <w:pPr>
        <w:pStyle w:val="Heading8"/>
        <w:rPr>
          <w:i/>
          <w:lang w:eastAsia="zh-CN"/>
        </w:rPr>
      </w:pPr>
      <w:bookmarkStart w:id="9521" w:name="_Toc74583596"/>
      <w:bookmarkStart w:id="9522" w:name="_Toc76542409"/>
      <w:bookmarkStart w:id="9523" w:name="_Toc82450391"/>
      <w:bookmarkStart w:id="9524" w:name="_Toc82451039"/>
      <w:bookmarkStart w:id="9525" w:name="_Toc89949428"/>
      <w:bookmarkStart w:id="9526" w:name="_Toc98755817"/>
      <w:bookmarkStart w:id="9527" w:name="_Toc98763409"/>
      <w:bookmarkStart w:id="9528" w:name="_Toc106184338"/>
      <w:r>
        <w:rPr>
          <w:lang w:eastAsia="en-CA"/>
        </w:rPr>
        <w:t xml:space="preserve">Annex </w:t>
      </w:r>
      <w:r>
        <w:rPr>
          <w:lang w:eastAsia="zh-CN"/>
        </w:rPr>
        <w:t>E</w:t>
      </w:r>
      <w:r>
        <w:rPr>
          <w:lang w:eastAsia="en-CA"/>
        </w:rPr>
        <w:t xml:space="preserve"> (normative):</w:t>
      </w:r>
      <w:bookmarkStart w:id="9529" w:name="_Toc53185643"/>
      <w:bookmarkStart w:id="9530" w:name="_Toc53186019"/>
      <w:bookmarkStart w:id="9531" w:name="_Toc57820505"/>
      <w:bookmarkStart w:id="9532" w:name="_Toc57821432"/>
      <w:bookmarkStart w:id="9533" w:name="_Toc61183708"/>
      <w:bookmarkStart w:id="9534" w:name="_Toc61184101"/>
      <w:bookmarkStart w:id="9535" w:name="_Toc61184493"/>
      <w:bookmarkEnd w:id="9370"/>
      <w:bookmarkEnd w:id="9371"/>
      <w:bookmarkEnd w:id="9372"/>
      <w:bookmarkEnd w:id="9373"/>
      <w:bookmarkEnd w:id="9374"/>
      <w:bookmarkEnd w:id="9375"/>
      <w:bookmarkEnd w:id="9376"/>
      <w:r w:rsidR="00677CEF" w:rsidRPr="00677CEF">
        <w:rPr>
          <w:lang w:eastAsia="en-CA"/>
        </w:rPr>
        <w:t xml:space="preserve"> </w:t>
      </w:r>
      <w:r w:rsidR="00677CEF">
        <w:rPr>
          <w:lang w:eastAsia="en-CA"/>
        </w:rPr>
        <w:br/>
      </w:r>
      <w:r w:rsidR="00EC2B64">
        <w:rPr>
          <w:rFonts w:hint="eastAsia"/>
          <w:lang w:eastAsia="zh-CN"/>
        </w:rPr>
        <w:t xml:space="preserve">IAB-MT </w:t>
      </w:r>
      <w:r w:rsidR="00EC2B64">
        <w:rPr>
          <w:lang w:eastAsia="en-CA"/>
        </w:rPr>
        <w:t>Error Vector Magnitude</w:t>
      </w:r>
      <w:r w:rsidR="00EC2B64" w:rsidRPr="00E26D09">
        <w:t xml:space="preserve"> (FR</w:t>
      </w:r>
      <w:r w:rsidR="00EC2B64">
        <w:rPr>
          <w:rFonts w:hint="eastAsia"/>
          <w:lang w:eastAsia="zh-CN"/>
        </w:rPr>
        <w:t>2</w:t>
      </w:r>
      <w:r w:rsidR="00EC2B64" w:rsidRPr="00E26D09">
        <w:t>)</w:t>
      </w:r>
      <w:bookmarkEnd w:id="9377"/>
      <w:bookmarkEnd w:id="9378"/>
      <w:bookmarkEnd w:id="9379"/>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p>
    <w:p w14:paraId="7CFBF747" w14:textId="563C949B" w:rsidR="00F21BB6" w:rsidRDefault="00F21BB6" w:rsidP="00F21BB6">
      <w:pPr>
        <w:rPr>
          <w:lang w:eastAsia="zh-CN"/>
        </w:rPr>
      </w:pPr>
      <w:bookmarkStart w:id="9536" w:name="_Toc57820506"/>
      <w:bookmarkStart w:id="9537" w:name="_Toc57821433"/>
      <w:bookmarkStart w:id="9538" w:name="_Toc61183709"/>
      <w:bookmarkStart w:id="9539" w:name="_Toc61184102"/>
      <w:bookmarkStart w:id="9540" w:name="_Toc61184494"/>
      <w:bookmarkStart w:id="9541" w:name="_Toc61184884"/>
      <w:bookmarkStart w:id="9542" w:name="_Toc61185274"/>
      <w:bookmarkStart w:id="9543" w:name="_Toc66386619"/>
    </w:p>
    <w:p w14:paraId="694A6B0E" w14:textId="77777777" w:rsidR="00F21BB6" w:rsidRDefault="00F21BB6" w:rsidP="00A153AF">
      <w:pPr>
        <w:pStyle w:val="Heading2"/>
        <w:rPr>
          <w:lang w:eastAsia="zh-CN"/>
        </w:rPr>
      </w:pPr>
      <w:bookmarkStart w:id="9544" w:name="_Toc74583597"/>
      <w:bookmarkStart w:id="9545" w:name="_Toc76542410"/>
      <w:bookmarkStart w:id="9546" w:name="_Toc82450392"/>
      <w:bookmarkStart w:id="9547" w:name="_Toc82451040"/>
      <w:bookmarkStart w:id="9548" w:name="_Toc89949429"/>
      <w:bookmarkStart w:id="9549" w:name="_Toc98755818"/>
      <w:bookmarkStart w:id="9550" w:name="_Toc98763410"/>
      <w:bookmarkStart w:id="9551" w:name="_Toc106184339"/>
      <w:r>
        <w:rPr>
          <w:rFonts w:hint="eastAsia"/>
          <w:lang w:eastAsia="zh-CN"/>
        </w:rPr>
        <w:lastRenderedPageBreak/>
        <w:t>E</w:t>
      </w:r>
      <w:r>
        <w:rPr>
          <w:lang w:eastAsia="en-CA"/>
        </w:rPr>
        <w:t>.</w:t>
      </w:r>
      <w:r>
        <w:rPr>
          <w:rFonts w:hint="eastAsia"/>
          <w:lang w:eastAsia="zh-CN"/>
        </w:rPr>
        <w:t>0</w:t>
      </w:r>
      <w:r>
        <w:rPr>
          <w:lang w:eastAsia="en-CA"/>
        </w:rPr>
        <w:tab/>
      </w:r>
      <w:r>
        <w:rPr>
          <w:rFonts w:hint="eastAsia"/>
          <w:lang w:eastAsia="zh-CN"/>
        </w:rPr>
        <w:t>General</w:t>
      </w:r>
      <w:bookmarkEnd w:id="9544"/>
      <w:bookmarkEnd w:id="9545"/>
      <w:bookmarkEnd w:id="9546"/>
      <w:bookmarkEnd w:id="9547"/>
      <w:bookmarkEnd w:id="9548"/>
      <w:bookmarkEnd w:id="9549"/>
      <w:bookmarkEnd w:id="9550"/>
      <w:bookmarkEnd w:id="9551"/>
    </w:p>
    <w:p w14:paraId="66F9F97C" w14:textId="77777777" w:rsidR="00F21BB6" w:rsidRDefault="00F21BB6" w:rsidP="00F21BB6">
      <w:pPr>
        <w:rPr>
          <w:lang w:eastAsia="zh-CN"/>
        </w:rPr>
      </w:pPr>
      <w:r>
        <w:rPr>
          <w:rFonts w:hint="eastAsia"/>
          <w:lang w:eastAsia="zh-CN"/>
        </w:rPr>
        <w:t xml:space="preserve">FR2 IAB-MT EVM can be </w:t>
      </w:r>
      <w:r>
        <w:rPr>
          <w:lang w:eastAsia="zh-CN"/>
        </w:rPr>
        <w:t>determined</w:t>
      </w:r>
      <w:r>
        <w:rPr>
          <w:rFonts w:hint="eastAsia"/>
          <w:lang w:eastAsia="zh-CN"/>
        </w:rPr>
        <w:t xml:space="preserve"> by the process according to </w:t>
      </w:r>
    </w:p>
    <w:p w14:paraId="1EE4FE7D" w14:textId="77777777" w:rsidR="00F21BB6" w:rsidRDefault="00F21BB6" w:rsidP="00F21BB6">
      <w:pPr>
        <w:rPr>
          <w:lang w:eastAsia="zh-CN"/>
        </w:rPr>
      </w:pPr>
      <w:r>
        <w:rPr>
          <w:rFonts w:hint="eastAsia"/>
          <w:lang w:eastAsia="zh-CN"/>
        </w:rPr>
        <w:t>1) Annex E in TS 38.521-2 [24]. Only CP-OFDM waveform of PUSCH is measured for IAB-MT.</w:t>
      </w:r>
    </w:p>
    <w:p w14:paraId="5203BF3A" w14:textId="77777777" w:rsidR="00F21BB6" w:rsidRDefault="00F21BB6" w:rsidP="00F21BB6">
      <w:pPr>
        <w:rPr>
          <w:lang w:eastAsia="zh-CN"/>
        </w:rPr>
      </w:pPr>
      <w:r>
        <w:rPr>
          <w:lang w:eastAsia="zh-CN"/>
        </w:rPr>
        <w:t>O</w:t>
      </w:r>
      <w:r>
        <w:rPr>
          <w:rFonts w:hint="eastAsia"/>
          <w:lang w:eastAsia="zh-CN"/>
        </w:rPr>
        <w:t>r</w:t>
      </w:r>
    </w:p>
    <w:p w14:paraId="74CBE849" w14:textId="77777777" w:rsidR="00F21BB6" w:rsidRDefault="00F21BB6" w:rsidP="00F21BB6">
      <w:pPr>
        <w:rPr>
          <w:lang w:eastAsia="zh-CN"/>
        </w:rPr>
      </w:pPr>
      <w:r>
        <w:rPr>
          <w:rFonts w:hint="eastAsia"/>
          <w:lang w:eastAsia="zh-CN"/>
        </w:rPr>
        <w:t>2) Annex E.1 to Annex E.7.</w:t>
      </w:r>
    </w:p>
    <w:p w14:paraId="4D9B3F04" w14:textId="77777777" w:rsidR="00F21BB6" w:rsidRDefault="00F21BB6" w:rsidP="00A153AF">
      <w:pPr>
        <w:pStyle w:val="Heading2"/>
        <w:rPr>
          <w:lang w:eastAsia="en-CA"/>
        </w:rPr>
      </w:pPr>
      <w:bookmarkStart w:id="9552" w:name="_Toc74583598"/>
      <w:bookmarkStart w:id="9553" w:name="_Toc76542411"/>
      <w:bookmarkStart w:id="9554" w:name="_Toc82450393"/>
      <w:bookmarkStart w:id="9555" w:name="_Toc82451041"/>
      <w:bookmarkStart w:id="9556" w:name="_Toc89949430"/>
      <w:bookmarkStart w:id="9557" w:name="_Toc98755819"/>
      <w:bookmarkStart w:id="9558" w:name="_Toc98763411"/>
      <w:bookmarkStart w:id="9559" w:name="_Toc106184340"/>
      <w:r>
        <w:rPr>
          <w:rFonts w:hint="eastAsia"/>
          <w:lang w:eastAsia="zh-CN"/>
        </w:rPr>
        <w:t>E</w:t>
      </w:r>
      <w:r>
        <w:rPr>
          <w:lang w:eastAsia="en-CA"/>
        </w:rPr>
        <w:t>.1</w:t>
      </w:r>
      <w:r>
        <w:rPr>
          <w:lang w:eastAsia="en-CA"/>
        </w:rPr>
        <w:tab/>
        <w:t>Reference point for measurement</w:t>
      </w:r>
      <w:bookmarkEnd w:id="9552"/>
      <w:bookmarkEnd w:id="9553"/>
      <w:bookmarkEnd w:id="9554"/>
      <w:bookmarkEnd w:id="9555"/>
      <w:bookmarkEnd w:id="9556"/>
      <w:bookmarkEnd w:id="9557"/>
      <w:bookmarkEnd w:id="9558"/>
      <w:bookmarkEnd w:id="9559"/>
    </w:p>
    <w:p w14:paraId="57CD5817" w14:textId="77777777" w:rsidR="00F21BB6" w:rsidRPr="00922445" w:rsidRDefault="00F21BB6" w:rsidP="00F21BB6">
      <w:pPr>
        <w:rPr>
          <w:lang w:eastAsia="zh-CN"/>
        </w:rPr>
      </w:pPr>
      <w:r>
        <w:rPr>
          <w:rFonts w:hint="eastAsia"/>
        </w:rPr>
        <w:t xml:space="preserve">The Annex </w:t>
      </w:r>
      <w:r>
        <w:rPr>
          <w:rFonts w:hint="eastAsia"/>
          <w:lang w:eastAsia="zh-CN"/>
        </w:rPr>
        <w:t>C.1</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2</w:t>
      </w:r>
      <w:r>
        <w:rPr>
          <w:rFonts w:hint="eastAsia"/>
        </w:rPr>
        <w:t xml:space="preserve"> IAB-</w:t>
      </w:r>
      <w:r>
        <w:rPr>
          <w:rFonts w:hint="eastAsia"/>
          <w:lang w:eastAsia="zh-CN"/>
        </w:rPr>
        <w:t>MT</w:t>
      </w:r>
      <w:r>
        <w:rPr>
          <w:rFonts w:hint="eastAsia"/>
        </w:rPr>
        <w:t>.</w:t>
      </w:r>
    </w:p>
    <w:p w14:paraId="7BB949D0" w14:textId="77777777" w:rsidR="00F21BB6" w:rsidRDefault="00F21BB6" w:rsidP="00A153AF">
      <w:pPr>
        <w:pStyle w:val="Heading2"/>
        <w:rPr>
          <w:lang w:eastAsia="en-CA"/>
        </w:rPr>
      </w:pPr>
      <w:bookmarkStart w:id="9560" w:name="_Toc74583599"/>
      <w:bookmarkStart w:id="9561" w:name="_Toc76542412"/>
      <w:bookmarkStart w:id="9562" w:name="_Toc82450394"/>
      <w:bookmarkStart w:id="9563" w:name="_Toc82451042"/>
      <w:bookmarkStart w:id="9564" w:name="_Toc89949431"/>
      <w:bookmarkStart w:id="9565" w:name="_Toc98755820"/>
      <w:bookmarkStart w:id="9566" w:name="_Toc98763412"/>
      <w:bookmarkStart w:id="9567" w:name="_Toc106184341"/>
      <w:r>
        <w:rPr>
          <w:rFonts w:hint="eastAsia"/>
          <w:lang w:eastAsia="zh-CN"/>
        </w:rPr>
        <w:t>E</w:t>
      </w:r>
      <w:r>
        <w:rPr>
          <w:lang w:eastAsia="en-CA"/>
        </w:rPr>
        <w:t>.2</w:t>
      </w:r>
      <w:r>
        <w:rPr>
          <w:lang w:eastAsia="en-CA"/>
        </w:rPr>
        <w:tab/>
        <w:t>Basic unit of measurement</w:t>
      </w:r>
      <w:bookmarkEnd w:id="9560"/>
      <w:bookmarkEnd w:id="9561"/>
      <w:bookmarkEnd w:id="9562"/>
      <w:bookmarkEnd w:id="9563"/>
      <w:bookmarkEnd w:id="9564"/>
      <w:bookmarkEnd w:id="9565"/>
      <w:bookmarkEnd w:id="9566"/>
      <w:bookmarkEnd w:id="9567"/>
    </w:p>
    <w:p w14:paraId="0E519A24" w14:textId="77777777" w:rsidR="00F21BB6" w:rsidRPr="00922445" w:rsidRDefault="00F21BB6" w:rsidP="00F21BB6">
      <w:pPr>
        <w:rPr>
          <w:lang w:eastAsia="zh-CN"/>
        </w:rPr>
      </w:pPr>
      <w:r>
        <w:rPr>
          <w:rFonts w:hint="eastAsia"/>
        </w:rPr>
        <w:t xml:space="preserve">The Annex </w:t>
      </w:r>
      <w:r>
        <w:rPr>
          <w:rFonts w:hint="eastAsia"/>
          <w:lang w:eastAsia="zh-CN"/>
        </w:rPr>
        <w:t>C.2</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2</w:t>
      </w:r>
      <w:r>
        <w:rPr>
          <w:rFonts w:hint="eastAsia"/>
        </w:rPr>
        <w:t xml:space="preserve"> IAB-</w:t>
      </w:r>
      <w:r>
        <w:rPr>
          <w:rFonts w:hint="eastAsia"/>
          <w:lang w:eastAsia="zh-CN"/>
        </w:rPr>
        <w:t>MT</w:t>
      </w:r>
      <w:r>
        <w:rPr>
          <w:rFonts w:hint="eastAsia"/>
        </w:rPr>
        <w:t>.</w:t>
      </w:r>
    </w:p>
    <w:p w14:paraId="6B930801" w14:textId="77777777" w:rsidR="00F21BB6" w:rsidRDefault="00F21BB6" w:rsidP="00A153AF">
      <w:pPr>
        <w:pStyle w:val="Heading2"/>
        <w:rPr>
          <w:lang w:eastAsia="en-CA"/>
        </w:rPr>
      </w:pPr>
      <w:bookmarkStart w:id="9568" w:name="_Toc74583600"/>
      <w:bookmarkStart w:id="9569" w:name="_Toc76542413"/>
      <w:bookmarkStart w:id="9570" w:name="_Toc82450395"/>
      <w:bookmarkStart w:id="9571" w:name="_Toc82451043"/>
      <w:bookmarkStart w:id="9572" w:name="_Toc89949432"/>
      <w:bookmarkStart w:id="9573" w:name="_Toc98755821"/>
      <w:bookmarkStart w:id="9574" w:name="_Toc98763413"/>
      <w:bookmarkStart w:id="9575" w:name="_Toc106184342"/>
      <w:r>
        <w:rPr>
          <w:rFonts w:hint="eastAsia"/>
          <w:lang w:eastAsia="zh-CN"/>
        </w:rPr>
        <w:t>E</w:t>
      </w:r>
      <w:r>
        <w:rPr>
          <w:lang w:eastAsia="en-CA"/>
        </w:rPr>
        <w:t>.3</w:t>
      </w:r>
      <w:r>
        <w:rPr>
          <w:lang w:eastAsia="en-CA"/>
        </w:rPr>
        <w:tab/>
        <w:t>Modified signal under test</w:t>
      </w:r>
      <w:bookmarkEnd w:id="9568"/>
      <w:bookmarkEnd w:id="9569"/>
      <w:bookmarkEnd w:id="9570"/>
      <w:bookmarkEnd w:id="9571"/>
      <w:bookmarkEnd w:id="9572"/>
      <w:bookmarkEnd w:id="9573"/>
      <w:bookmarkEnd w:id="9574"/>
      <w:bookmarkEnd w:id="9575"/>
    </w:p>
    <w:p w14:paraId="02A6FFA9" w14:textId="77777777" w:rsidR="00F21BB6" w:rsidRPr="00922445" w:rsidRDefault="00F21BB6" w:rsidP="00F21BB6">
      <w:pPr>
        <w:rPr>
          <w:lang w:eastAsia="zh-CN"/>
        </w:rPr>
      </w:pPr>
      <w:r>
        <w:rPr>
          <w:rFonts w:hint="eastAsia"/>
        </w:rPr>
        <w:t xml:space="preserve">The Annex </w:t>
      </w:r>
      <w:r>
        <w:rPr>
          <w:rFonts w:hint="eastAsia"/>
          <w:lang w:eastAsia="zh-CN"/>
        </w:rPr>
        <w:t>C.3</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2</w:t>
      </w:r>
      <w:r>
        <w:rPr>
          <w:rFonts w:hint="eastAsia"/>
        </w:rPr>
        <w:t xml:space="preserve"> IAB-</w:t>
      </w:r>
      <w:r>
        <w:rPr>
          <w:rFonts w:hint="eastAsia"/>
          <w:lang w:eastAsia="zh-CN"/>
        </w:rPr>
        <w:t>MT</w:t>
      </w:r>
      <w:r>
        <w:rPr>
          <w:rFonts w:hint="eastAsia"/>
        </w:rPr>
        <w:t>.</w:t>
      </w:r>
    </w:p>
    <w:p w14:paraId="5BAA9C15" w14:textId="77777777" w:rsidR="00F21BB6" w:rsidRDefault="00F21BB6" w:rsidP="00A153AF">
      <w:pPr>
        <w:pStyle w:val="Heading2"/>
        <w:rPr>
          <w:lang w:eastAsia="en-CA"/>
        </w:rPr>
      </w:pPr>
      <w:bookmarkStart w:id="9576" w:name="_Toc74583601"/>
      <w:bookmarkStart w:id="9577" w:name="_Toc76542414"/>
      <w:bookmarkStart w:id="9578" w:name="_Toc82450396"/>
      <w:bookmarkStart w:id="9579" w:name="_Toc82451044"/>
      <w:bookmarkStart w:id="9580" w:name="_Toc89949433"/>
      <w:bookmarkStart w:id="9581" w:name="_Toc98755822"/>
      <w:bookmarkStart w:id="9582" w:name="_Toc98763414"/>
      <w:bookmarkStart w:id="9583" w:name="_Toc106184343"/>
      <w:r>
        <w:rPr>
          <w:rFonts w:hint="eastAsia"/>
          <w:lang w:eastAsia="zh-CN"/>
        </w:rPr>
        <w:t>E</w:t>
      </w:r>
      <w:r>
        <w:rPr>
          <w:lang w:eastAsia="en-CA"/>
        </w:rPr>
        <w:t>.4</w:t>
      </w:r>
      <w:r>
        <w:rPr>
          <w:lang w:eastAsia="en-CA"/>
        </w:rPr>
        <w:tab/>
        <w:t>Estimation of frequency offset</w:t>
      </w:r>
      <w:bookmarkEnd w:id="9576"/>
      <w:bookmarkEnd w:id="9577"/>
      <w:bookmarkEnd w:id="9578"/>
      <w:bookmarkEnd w:id="9579"/>
      <w:bookmarkEnd w:id="9580"/>
      <w:bookmarkEnd w:id="9581"/>
      <w:bookmarkEnd w:id="9582"/>
      <w:bookmarkEnd w:id="9583"/>
    </w:p>
    <w:p w14:paraId="3B32B97C" w14:textId="77777777" w:rsidR="00F21BB6" w:rsidRPr="00922445" w:rsidRDefault="00F21BB6" w:rsidP="00F21BB6">
      <w:pPr>
        <w:rPr>
          <w:lang w:eastAsia="zh-CN"/>
        </w:rPr>
      </w:pPr>
      <w:r>
        <w:rPr>
          <w:rFonts w:hint="eastAsia"/>
        </w:rPr>
        <w:t xml:space="preserve">The Annex </w:t>
      </w:r>
      <w:r>
        <w:rPr>
          <w:rFonts w:hint="eastAsia"/>
          <w:lang w:eastAsia="zh-CN"/>
        </w:rPr>
        <w:t>C.4</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2</w:t>
      </w:r>
      <w:r>
        <w:rPr>
          <w:rFonts w:hint="eastAsia"/>
        </w:rPr>
        <w:t xml:space="preserve"> IAB-</w:t>
      </w:r>
      <w:r>
        <w:rPr>
          <w:rFonts w:hint="eastAsia"/>
          <w:lang w:eastAsia="zh-CN"/>
        </w:rPr>
        <w:t>MT</w:t>
      </w:r>
      <w:r>
        <w:rPr>
          <w:rFonts w:hint="eastAsia"/>
        </w:rPr>
        <w:t>.</w:t>
      </w:r>
    </w:p>
    <w:p w14:paraId="24028B16" w14:textId="77777777" w:rsidR="00F21BB6" w:rsidRDefault="00F21BB6" w:rsidP="00A153AF">
      <w:pPr>
        <w:pStyle w:val="Heading2"/>
        <w:rPr>
          <w:lang w:eastAsia="en-CA"/>
        </w:rPr>
      </w:pPr>
      <w:bookmarkStart w:id="9584" w:name="_Toc74583602"/>
      <w:bookmarkStart w:id="9585" w:name="_Toc76542415"/>
      <w:bookmarkStart w:id="9586" w:name="_Toc82450397"/>
      <w:bookmarkStart w:id="9587" w:name="_Toc82451045"/>
      <w:bookmarkStart w:id="9588" w:name="_Toc89949434"/>
      <w:bookmarkStart w:id="9589" w:name="_Toc98755823"/>
      <w:bookmarkStart w:id="9590" w:name="_Toc98763415"/>
      <w:bookmarkStart w:id="9591" w:name="_Toc106184344"/>
      <w:r>
        <w:rPr>
          <w:rFonts w:hint="eastAsia"/>
          <w:lang w:eastAsia="zh-CN"/>
        </w:rPr>
        <w:t>E</w:t>
      </w:r>
      <w:r>
        <w:rPr>
          <w:lang w:eastAsia="en-CA"/>
        </w:rPr>
        <w:t>.5</w:t>
      </w:r>
      <w:r>
        <w:rPr>
          <w:lang w:eastAsia="en-CA"/>
        </w:rPr>
        <w:tab/>
        <w:t>Estimation of time offset</w:t>
      </w:r>
      <w:bookmarkEnd w:id="9584"/>
      <w:bookmarkEnd w:id="9585"/>
      <w:bookmarkEnd w:id="9586"/>
      <w:bookmarkEnd w:id="9587"/>
      <w:bookmarkEnd w:id="9588"/>
      <w:bookmarkEnd w:id="9589"/>
      <w:bookmarkEnd w:id="9590"/>
      <w:bookmarkEnd w:id="9591"/>
    </w:p>
    <w:p w14:paraId="109E97F2" w14:textId="77777777" w:rsidR="00F21BB6" w:rsidRPr="00922445" w:rsidRDefault="00F21BB6" w:rsidP="00F21BB6">
      <w:pPr>
        <w:rPr>
          <w:lang w:eastAsia="zh-CN"/>
        </w:rPr>
      </w:pPr>
      <w:r>
        <w:rPr>
          <w:rFonts w:hint="eastAsia"/>
        </w:rPr>
        <w:t xml:space="preserve">The Annex </w:t>
      </w:r>
      <w:r>
        <w:rPr>
          <w:rFonts w:hint="eastAsia"/>
          <w:lang w:eastAsia="zh-CN"/>
        </w:rPr>
        <w:t>C.5</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2</w:t>
      </w:r>
      <w:r>
        <w:rPr>
          <w:rFonts w:hint="eastAsia"/>
        </w:rPr>
        <w:t xml:space="preserve"> IAB-</w:t>
      </w:r>
      <w:r>
        <w:rPr>
          <w:rFonts w:hint="eastAsia"/>
          <w:lang w:eastAsia="zh-CN"/>
        </w:rPr>
        <w:t>MT</w:t>
      </w:r>
      <w:r>
        <w:rPr>
          <w:rFonts w:hint="eastAsia"/>
        </w:rPr>
        <w:t>.</w:t>
      </w:r>
    </w:p>
    <w:p w14:paraId="2F37E74C" w14:textId="77777777" w:rsidR="00F21BB6" w:rsidRDefault="00F21BB6" w:rsidP="00A153AF">
      <w:pPr>
        <w:pStyle w:val="Heading2"/>
        <w:rPr>
          <w:lang w:eastAsia="en-CA"/>
        </w:rPr>
      </w:pPr>
      <w:bookmarkStart w:id="9592" w:name="_Toc74583603"/>
      <w:bookmarkStart w:id="9593" w:name="_Toc76542416"/>
      <w:bookmarkStart w:id="9594" w:name="_Toc82450398"/>
      <w:bookmarkStart w:id="9595" w:name="_Toc82451046"/>
      <w:bookmarkStart w:id="9596" w:name="_Toc89949435"/>
      <w:bookmarkStart w:id="9597" w:name="_Toc98755824"/>
      <w:bookmarkStart w:id="9598" w:name="_Toc98763416"/>
      <w:bookmarkStart w:id="9599" w:name="_Toc106184345"/>
      <w:r>
        <w:rPr>
          <w:rFonts w:hint="eastAsia"/>
          <w:lang w:eastAsia="zh-CN"/>
        </w:rPr>
        <w:t>E</w:t>
      </w:r>
      <w:r>
        <w:rPr>
          <w:lang w:eastAsia="en-CA"/>
        </w:rPr>
        <w:t>.6</w:t>
      </w:r>
      <w:r>
        <w:rPr>
          <w:lang w:eastAsia="en-CA"/>
        </w:rPr>
        <w:tab/>
        <w:t>Estimation of TX chain amplitude and frequency response parameters</w:t>
      </w:r>
      <w:bookmarkEnd w:id="9592"/>
      <w:bookmarkEnd w:id="9593"/>
      <w:bookmarkEnd w:id="9594"/>
      <w:bookmarkEnd w:id="9595"/>
      <w:bookmarkEnd w:id="9596"/>
      <w:bookmarkEnd w:id="9597"/>
      <w:bookmarkEnd w:id="9598"/>
      <w:bookmarkEnd w:id="9599"/>
    </w:p>
    <w:p w14:paraId="0EB113EC" w14:textId="77777777" w:rsidR="00F21BB6" w:rsidRPr="00922445" w:rsidRDefault="00F21BB6" w:rsidP="00F21BB6">
      <w:pPr>
        <w:rPr>
          <w:lang w:eastAsia="zh-CN"/>
        </w:rPr>
      </w:pPr>
      <w:r>
        <w:rPr>
          <w:rFonts w:hint="eastAsia"/>
        </w:rPr>
        <w:t xml:space="preserve">The Annex </w:t>
      </w:r>
      <w:r>
        <w:rPr>
          <w:rFonts w:hint="eastAsia"/>
          <w:lang w:eastAsia="zh-CN"/>
        </w:rPr>
        <w:t>C.6</w:t>
      </w:r>
      <w:r>
        <w:rPr>
          <w:rFonts w:hint="eastAsia"/>
        </w:rPr>
        <w:t xml:space="preserve"> in </w:t>
      </w:r>
      <w:r>
        <w:t>TS 38.1</w:t>
      </w:r>
      <w:r>
        <w:rPr>
          <w:rFonts w:hint="eastAsia"/>
        </w:rPr>
        <w:t>04</w:t>
      </w:r>
      <w:r>
        <w:t xml:space="preserve"> [</w:t>
      </w:r>
      <w:r>
        <w:rPr>
          <w:lang w:eastAsia="zh-CN"/>
        </w:rPr>
        <w:t>2</w:t>
      </w:r>
      <w:r>
        <w:t>] appl</w:t>
      </w:r>
      <w:r>
        <w:rPr>
          <w:rFonts w:hint="eastAsia"/>
          <w:lang w:eastAsia="zh-CN"/>
        </w:rPr>
        <w:t>ies</w:t>
      </w:r>
      <w:r>
        <w:t xml:space="preserve"> to</w:t>
      </w:r>
      <w:r>
        <w:rPr>
          <w:rFonts w:hint="eastAsia"/>
        </w:rPr>
        <w:t xml:space="preserve"> FR</w:t>
      </w:r>
      <w:r>
        <w:rPr>
          <w:rFonts w:hint="eastAsia"/>
          <w:lang w:eastAsia="zh-CN"/>
        </w:rPr>
        <w:t>2</w:t>
      </w:r>
      <w:r>
        <w:rPr>
          <w:rFonts w:hint="eastAsia"/>
        </w:rPr>
        <w:t xml:space="preserve"> IAB-</w:t>
      </w:r>
      <w:r>
        <w:rPr>
          <w:rFonts w:hint="eastAsia"/>
          <w:lang w:eastAsia="zh-CN"/>
        </w:rPr>
        <w:t>MT</w:t>
      </w:r>
      <w:r>
        <w:rPr>
          <w:rFonts w:hint="eastAsia"/>
        </w:rPr>
        <w:t>.</w:t>
      </w:r>
    </w:p>
    <w:p w14:paraId="3A55F8E3" w14:textId="77777777" w:rsidR="00F21BB6" w:rsidRDefault="00F21BB6" w:rsidP="00A153AF">
      <w:pPr>
        <w:pStyle w:val="Heading2"/>
        <w:rPr>
          <w:lang w:eastAsia="en-CA"/>
        </w:rPr>
      </w:pPr>
      <w:bookmarkStart w:id="9600" w:name="_Toc74583604"/>
      <w:bookmarkStart w:id="9601" w:name="_Toc76542417"/>
      <w:bookmarkStart w:id="9602" w:name="_Toc82450399"/>
      <w:bookmarkStart w:id="9603" w:name="_Toc82451047"/>
      <w:bookmarkStart w:id="9604" w:name="_Toc89949436"/>
      <w:bookmarkStart w:id="9605" w:name="_Toc98755825"/>
      <w:bookmarkStart w:id="9606" w:name="_Toc98763417"/>
      <w:bookmarkStart w:id="9607" w:name="_Toc106184346"/>
      <w:r>
        <w:rPr>
          <w:rFonts w:hint="eastAsia"/>
          <w:lang w:eastAsia="zh-CN"/>
        </w:rPr>
        <w:t>E</w:t>
      </w:r>
      <w:r>
        <w:rPr>
          <w:lang w:eastAsia="en-CA"/>
        </w:rPr>
        <w:t>.7</w:t>
      </w:r>
      <w:r>
        <w:rPr>
          <w:lang w:eastAsia="en-CA"/>
        </w:rPr>
        <w:tab/>
        <w:t>Averaged EVM</w:t>
      </w:r>
      <w:bookmarkEnd w:id="9600"/>
      <w:bookmarkEnd w:id="9601"/>
      <w:bookmarkEnd w:id="9602"/>
      <w:bookmarkEnd w:id="9603"/>
      <w:bookmarkEnd w:id="9604"/>
      <w:bookmarkEnd w:id="9605"/>
      <w:bookmarkEnd w:id="9606"/>
      <w:bookmarkEnd w:id="9607"/>
    </w:p>
    <w:p w14:paraId="0F39E021" w14:textId="77777777" w:rsidR="00F21BB6" w:rsidRDefault="00F21BB6" w:rsidP="00F21BB6">
      <w:pPr>
        <w:rPr>
          <w:lang w:eastAsia="zh-CN"/>
        </w:rPr>
      </w:pPr>
      <w:r>
        <w:rPr>
          <w:lang w:eastAsia="ko-KR"/>
        </w:rPr>
        <w:t>EVM is averaged over all allocated uplink resource blocks with the considered modulation scheme in the frequency domain, and a minimum of</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r>
          <w:rPr>
            <w:rFonts w:ascii="Cambria Math" w:hAnsi="Cambria Math"/>
            <w:lang w:eastAsia="zh-CN"/>
          </w:rPr>
          <m:t xml:space="preserve"> </m:t>
        </m:r>
      </m:oMath>
      <w:r>
        <w:rPr>
          <w:rFonts w:eastAsia="Osaka"/>
        </w:rPr>
        <w:t>slots where</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oMath>
      <w:r>
        <w:rPr>
          <w:rFonts w:eastAsia="Osaka"/>
        </w:rPr>
        <w:t xml:space="preserve"> is the number of slots in a 10 ms measurement interval</w:t>
      </w:r>
      <w:r>
        <w:rPr>
          <w:lang w:eastAsia="ko-KR"/>
        </w:rPr>
        <w:t>.</w:t>
      </w:r>
    </w:p>
    <w:p w14:paraId="3A58064A" w14:textId="77777777" w:rsidR="00F21BB6" w:rsidRPr="00F95B02" w:rsidRDefault="00F21BB6" w:rsidP="00F21BB6">
      <w:pPr>
        <w:rPr>
          <w:lang w:eastAsia="ko-KR"/>
        </w:rPr>
      </w:pPr>
      <w:r w:rsidRPr="00F95B02">
        <w:rPr>
          <w:rFonts w:eastAsia="SimSun"/>
          <w:lang w:eastAsia="ko-KR"/>
        </w:rPr>
        <w:t>For TDD, l</w:t>
      </w:r>
      <w:r w:rsidRPr="00F95B02">
        <w:rPr>
          <w:rFonts w:eastAsia="SimSun"/>
        </w:rPr>
        <w:t>et</w:t>
      </w:r>
      <w:r>
        <w:rPr>
          <w:rFonts w:eastAsia="SimSun" w:hint="eastAsia"/>
          <w:lang w:eastAsia="zh-CN"/>
        </w:rPr>
        <w:t xml:space="preserve"> </w:t>
      </w:r>
      <m:oMath>
        <m:sSubSup>
          <m:sSubSupPr>
            <m:ctrlPr>
              <w:rPr>
                <w:rFonts w:ascii="Cambria Math" w:eastAsia="SimSun" w:hAnsi="Cambria Math"/>
              </w:rPr>
            </m:ctrlPr>
          </m:sSubSupPr>
          <m:e>
            <m:r>
              <w:rPr>
                <w:rFonts w:ascii="Cambria Math" w:eastAsia="SimSun" w:hAnsi="Cambria Math"/>
              </w:rPr>
              <m:t>N</m:t>
            </m:r>
          </m:e>
          <m:sub>
            <m:r>
              <w:rPr>
                <w:rFonts w:ascii="Cambria Math" w:eastAsia="SimSun" w:hAnsi="Cambria Math"/>
              </w:rPr>
              <m:t>ul</m:t>
            </m:r>
          </m:sub>
          <m:sup>
            <m:r>
              <w:rPr>
                <w:rFonts w:ascii="Cambria Math" w:eastAsia="SimSun" w:hAnsi="Cambria Math"/>
              </w:rPr>
              <m:t>TDD</m:t>
            </m:r>
          </m:sup>
        </m:sSubSup>
      </m:oMath>
      <w:r>
        <w:rPr>
          <w:rFonts w:eastAsia="SimSun" w:hint="eastAsia"/>
          <w:lang w:eastAsia="zh-CN"/>
        </w:rPr>
        <w:t xml:space="preserve"> </w:t>
      </w:r>
      <w:r w:rsidRPr="00F95B02">
        <w:rPr>
          <w:rFonts w:eastAsia="SimSun"/>
          <w:lang w:eastAsia="ko-KR"/>
        </w:rPr>
        <w:t xml:space="preserve">be the number of </w:t>
      </w:r>
      <w:r w:rsidRPr="00F95B02">
        <w:rPr>
          <w:rFonts w:eastAsia="SimSun"/>
        </w:rPr>
        <w:t xml:space="preserve">slots with </w:t>
      </w:r>
      <w:r>
        <w:rPr>
          <w:rFonts w:eastAsia="SimSun"/>
        </w:rPr>
        <w:t>uplink</w:t>
      </w:r>
      <w:r w:rsidRPr="00F95B02">
        <w:rPr>
          <w:rFonts w:eastAsia="SimSun"/>
        </w:rPr>
        <w:t xml:space="preserve"> symbols </w:t>
      </w:r>
      <w:r w:rsidRPr="00F95B02">
        <w:rPr>
          <w:rFonts w:eastAsia="SimSun"/>
          <w:lang w:eastAsia="ko-KR"/>
        </w:rPr>
        <w:t xml:space="preserve">within a 10 ms measurement interval, the </w:t>
      </w:r>
      <w:r w:rsidRPr="00F95B02">
        <w:rPr>
          <w:lang w:eastAsia="ko-KR"/>
        </w:rPr>
        <w:t>averaging in the time domain</w:t>
      </w:r>
      <w:r w:rsidRPr="00F95B02">
        <w:rPr>
          <w:rFonts w:eastAsia="SimSun"/>
          <w:lang w:eastAsia="ko-KR"/>
        </w:rPr>
        <w:t xml:space="preserve"> can be calculated from</w:t>
      </w:r>
      <w:r>
        <w:rPr>
          <w:rFonts w:eastAsia="SimSun" w:hint="eastAsia"/>
          <w:lang w:eastAsia="zh-CN"/>
        </w:rPr>
        <w:t xml:space="preserve"> </w:t>
      </w:r>
      <m:oMath>
        <m:sSubSup>
          <m:sSubSupPr>
            <m:ctrlPr>
              <w:rPr>
                <w:rFonts w:ascii="Cambria Math" w:eastAsia="SimSun" w:hAnsi="Cambria Math"/>
              </w:rPr>
            </m:ctrlPr>
          </m:sSubSupPr>
          <m:e>
            <m:r>
              <w:rPr>
                <w:rFonts w:ascii="Cambria Math" w:eastAsia="SimSun" w:hAnsi="Cambria Math"/>
              </w:rPr>
              <m:t>N</m:t>
            </m:r>
          </m:e>
          <m:sub>
            <m:r>
              <w:rPr>
                <w:rFonts w:ascii="Cambria Math" w:eastAsia="SimSun" w:hAnsi="Cambria Math"/>
              </w:rPr>
              <m:t>ul</m:t>
            </m:r>
          </m:sub>
          <m:sup>
            <m:r>
              <w:rPr>
                <w:rFonts w:ascii="Cambria Math" w:eastAsia="SimSun" w:hAnsi="Cambria Math"/>
              </w:rPr>
              <m:t>TDD</m:t>
            </m:r>
          </m:sup>
        </m:sSubSup>
      </m:oMath>
      <w:r>
        <w:rPr>
          <w:rFonts w:eastAsia="SimSun" w:hint="eastAsia"/>
          <w:lang w:eastAsia="zh-CN"/>
        </w:rPr>
        <w:t xml:space="preserve"> </w:t>
      </w:r>
      <w:r w:rsidRPr="00F95B02">
        <w:rPr>
          <w:rFonts w:eastAsia="SimSun"/>
        </w:rPr>
        <w:t xml:space="preserve">slots </w:t>
      </w:r>
      <w:r w:rsidRPr="00F95B02">
        <w:rPr>
          <w:rFonts w:eastAsia="SimSun"/>
          <w:lang w:eastAsia="ko-KR"/>
        </w:rPr>
        <w:t>of different 10 ms measurement intervals</w:t>
      </w:r>
      <w:r w:rsidRPr="00F95B02">
        <w:rPr>
          <w:rFonts w:eastAsia="SimSun"/>
        </w:rPr>
        <w:t xml:space="preserve"> and should have a minimum of</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r>
          <w:rPr>
            <w:rFonts w:ascii="Cambria Math" w:hAnsi="Cambria Math"/>
            <w:lang w:eastAsia="zh-CN"/>
          </w:rPr>
          <m:t xml:space="preserve"> </m:t>
        </m:r>
      </m:oMath>
      <w:r w:rsidRPr="00F95B02">
        <w:rPr>
          <w:rFonts w:eastAsia="Osaka"/>
        </w:rPr>
        <w:t>slots averaging length where</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r>
          <w:rPr>
            <w:rFonts w:ascii="Cambria Math" w:hAnsi="Cambria Math"/>
            <w:lang w:eastAsia="zh-CN"/>
          </w:rPr>
          <m:t xml:space="preserve"> </m:t>
        </m:r>
      </m:oMath>
      <w:r w:rsidRPr="00F95B02">
        <w:rPr>
          <w:rFonts w:eastAsia="Osaka"/>
        </w:rPr>
        <w:t>is the number of slots in a 10 ms measurement interval.</w:t>
      </w:r>
    </w:p>
    <w:p w14:paraId="5DF6167A" w14:textId="77777777" w:rsidR="00F21BB6" w:rsidRPr="00F95B02" w:rsidRDefault="00F21BB6" w:rsidP="00F21BB6">
      <w:pPr>
        <w:pStyle w:val="B10"/>
      </w:pPr>
      <w:r w:rsidRPr="00F95B02">
        <w:rPr>
          <w:iCs/>
          <w:lang w:eastAsia="ko-KR"/>
        </w:rPr>
        <w:t>-</w:t>
      </w:r>
      <w:r w:rsidRPr="00F95B02">
        <w:rPr>
          <w:iCs/>
          <w:lang w:eastAsia="ko-KR"/>
        </w:rPr>
        <w:tab/>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m:t>
            </m:r>
          </m:sub>
        </m:sSub>
      </m:oMath>
      <w:r w:rsidRPr="00F95B02">
        <w:t xml:space="preserve"> is </w:t>
      </w:r>
      <w:r w:rsidRPr="00F95B02">
        <w:rPr>
          <w:rFonts w:eastAsia="×–¾’©‘Ì"/>
        </w:rPr>
        <w:t>derived by:</w:t>
      </w:r>
      <w:r w:rsidRPr="00F95B02">
        <w:t xml:space="preserve"> Square the EVM results in each 10 ms measurement interval. Sum the squares, divide the sum by the number of EVM relevant locations, square-root the quotient (RMS).</w:t>
      </w:r>
    </w:p>
    <w:p w14:paraId="44C93F1B" w14:textId="77777777" w:rsidR="00F21BB6" w:rsidRPr="00F95B02" w:rsidRDefault="00000000" w:rsidP="00F21BB6">
      <w:pPr>
        <w:pStyle w:val="B10"/>
        <w:rPr>
          <w:lang w:val="sv-FI"/>
        </w:rPr>
      </w:pPr>
      <m:oMathPara>
        <m:oMathParaPr>
          <m:jc m:val="left"/>
        </m:oMathParaPr>
        <m:oMath>
          <m:sSub>
            <m:sSubPr>
              <m:ctrlPr>
                <w:rPr>
                  <w:rFonts w:ascii="Cambria Math" w:hAnsi="Cambria Math"/>
                </w:rPr>
              </m:ctrlPr>
            </m:sSubPr>
            <m:e>
              <m:acc>
                <m:accPr>
                  <m:chr m:val="̅"/>
                  <m:ctrlPr>
                    <w:rPr>
                      <w:rFonts w:ascii="Cambria Math" w:hAnsi="Cambria Math"/>
                    </w:rPr>
                  </m:ctrlPr>
                </m:accPr>
                <m:e>
                  <m:r>
                    <w:rPr>
                      <w:rFonts w:ascii="Cambria Math" w:hAnsi="Cambria Math"/>
                    </w:rPr>
                    <m:t>EVM</m:t>
                  </m:r>
                </m:e>
              </m:acc>
            </m:e>
            <m:sub>
              <m:r>
                <m:rPr>
                  <m:nor/>
                </m:rPr>
                <w:rPr>
                  <w:lang w:val="sv-FI"/>
                </w:rPr>
                <m:t>frame</m:t>
              </m:r>
            </m:sub>
          </m:sSub>
          <m:r>
            <m:rPr>
              <m:sty m:val="p"/>
            </m:rPr>
            <w:rPr>
              <w:rFonts w:ascii="Cambria Math" w:hAnsi="Cambria Math"/>
              <w:lang w:val="sv-FI"/>
            </w:rPr>
            <m:t>=</m:t>
          </m:r>
          <m:rad>
            <m:radPr>
              <m:degHide m:val="1"/>
              <m:ctrlPr>
                <w:rPr>
                  <w:rFonts w:ascii="Cambria Math" w:hAnsi="Cambria Math"/>
                </w:rPr>
              </m:ctrlPr>
            </m:radPr>
            <m:deg/>
            <m:e>
              <m:f>
                <m:fPr>
                  <m:ctrlPr>
                    <w:rPr>
                      <w:rFonts w:ascii="Cambria Math" w:hAnsi="Cambria Math"/>
                    </w:rPr>
                  </m:ctrlPr>
                </m:fPr>
                <m:num>
                  <m:r>
                    <m:rPr>
                      <m:sty m:val="p"/>
                    </m:rPr>
                    <w:rPr>
                      <w:rFonts w:ascii="Cambria Math" w:hAnsi="Cambria Math"/>
                      <w:lang w:val="sv-FI"/>
                    </w:rPr>
                    <m:t>1</m:t>
                  </m:r>
                </m:num>
                <m:den>
                  <m:nary>
                    <m:naryPr>
                      <m:chr m:val="∑"/>
                      <m:limLoc m:val="undOvr"/>
                      <m:ctrlPr>
                        <w:rPr>
                          <w:rFonts w:ascii="Cambria Math" w:hAnsi="Cambria Math"/>
                        </w:rPr>
                      </m:ctrlPr>
                    </m:naryPr>
                    <m:sub>
                      <m:r>
                        <w:rPr>
                          <w:rFonts w:ascii="Cambria Math" w:hAnsi="Cambria Math"/>
                        </w:rPr>
                        <m:t>i</m:t>
                      </m:r>
                      <m:r>
                        <m:rPr>
                          <m:sty m:val="p"/>
                        </m:rPr>
                        <w:rPr>
                          <w:rFonts w:ascii="Cambria Math" w:hAnsi="Cambria Math"/>
                          <w:lang w:val="sv-FI"/>
                        </w:rPr>
                        <m:t>=1</m:t>
                      </m:r>
                    </m:sub>
                    <m:sup>
                      <m:sSubSup>
                        <m:sSubSupPr>
                          <m:ctrlPr>
                            <w:rPr>
                              <w:rFonts w:ascii="Cambria Math" w:hAnsi="Cambria Math"/>
                            </w:rPr>
                          </m:ctrlPr>
                        </m:sSubSupPr>
                        <m:e>
                          <m:r>
                            <w:rPr>
                              <w:rFonts w:ascii="Cambria Math" w:hAnsi="Cambria Math"/>
                            </w:rPr>
                            <m:t>N</m:t>
                          </m:r>
                        </m:e>
                        <m:sub>
                          <m:r>
                            <w:rPr>
                              <w:rFonts w:ascii="Cambria Math" w:hAnsi="Cambria Math"/>
                            </w:rPr>
                            <m:t>ul</m:t>
                          </m:r>
                        </m:sub>
                        <m:sup>
                          <m:r>
                            <w:rPr>
                              <w:rFonts w:ascii="Cambria Math" w:hAnsi="Cambria Math"/>
                            </w:rPr>
                            <m:t>TDD</m:t>
                          </m:r>
                        </m:sup>
                      </m:sSubSup>
                    </m:sup>
                    <m:e>
                      <m:sSub>
                        <m:sSubPr>
                          <m:ctrlPr>
                            <w:rPr>
                              <w:rFonts w:ascii="Cambria Math" w:hAnsi="Cambria Math"/>
                            </w:rPr>
                          </m:ctrlPr>
                        </m:sSubPr>
                        <m:e>
                          <m:r>
                            <w:rPr>
                              <w:rFonts w:ascii="Cambria Math" w:hAnsi="Cambria Math"/>
                            </w:rPr>
                            <m:t>N</m:t>
                          </m:r>
                        </m:e>
                        <m:sub>
                          <m:r>
                            <w:rPr>
                              <w:rFonts w:ascii="Cambria Math" w:hAnsi="Cambria Math"/>
                            </w:rPr>
                            <m:t>i</m:t>
                          </m:r>
                        </m:sub>
                      </m:sSub>
                    </m:e>
                  </m:nary>
                </m:den>
              </m:f>
              <m:nary>
                <m:naryPr>
                  <m:chr m:val="∑"/>
                  <m:limLoc m:val="undOvr"/>
                  <m:ctrlPr>
                    <w:rPr>
                      <w:rFonts w:ascii="Cambria Math" w:hAnsi="Cambria Math"/>
                    </w:rPr>
                  </m:ctrlPr>
                </m:naryPr>
                <m:sub>
                  <m:r>
                    <w:rPr>
                      <w:rFonts w:ascii="Cambria Math" w:hAnsi="Cambria Math"/>
                    </w:rPr>
                    <m:t>i</m:t>
                  </m:r>
                  <m:r>
                    <m:rPr>
                      <m:sty m:val="p"/>
                    </m:rPr>
                    <w:rPr>
                      <w:rFonts w:ascii="Cambria Math" w:hAnsi="Cambria Math"/>
                      <w:lang w:val="sv-FI"/>
                    </w:rPr>
                    <m:t>=1</m:t>
                  </m:r>
                </m:sub>
                <m:sup>
                  <m:sSubSup>
                    <m:sSubSupPr>
                      <m:ctrlPr>
                        <w:rPr>
                          <w:rFonts w:ascii="Cambria Math" w:hAnsi="Cambria Math"/>
                        </w:rPr>
                      </m:ctrlPr>
                    </m:sSubSupPr>
                    <m:e>
                      <m:r>
                        <w:rPr>
                          <w:rFonts w:ascii="Cambria Math" w:hAnsi="Cambria Math"/>
                        </w:rPr>
                        <m:t>N</m:t>
                      </m:r>
                    </m:e>
                    <m:sub>
                      <m:r>
                        <w:rPr>
                          <w:rFonts w:ascii="Cambria Math" w:hAnsi="Cambria Math"/>
                        </w:rPr>
                        <m:t>ul</m:t>
                      </m:r>
                    </m:sub>
                    <m:sup>
                      <m:r>
                        <w:rPr>
                          <w:rFonts w:ascii="Cambria Math" w:hAnsi="Cambria Math"/>
                        </w:rPr>
                        <m:t>TDD</m:t>
                      </m:r>
                    </m:sup>
                  </m:sSubSup>
                </m:sup>
                <m:e>
                  <m:nary>
                    <m:naryPr>
                      <m:chr m:val="∑"/>
                      <m:limLoc m:val="undOvr"/>
                      <m:ctrlPr>
                        <w:rPr>
                          <w:rFonts w:ascii="Cambria Math" w:hAnsi="Cambria Math"/>
                        </w:rPr>
                      </m:ctrlPr>
                    </m:naryPr>
                    <m:sub>
                      <m:r>
                        <w:rPr>
                          <w:rFonts w:ascii="Cambria Math" w:hAnsi="Cambria Math"/>
                        </w:rPr>
                        <m:t>j</m:t>
                      </m:r>
                      <m:r>
                        <m:rPr>
                          <m:sty m:val="p"/>
                        </m:rPr>
                        <w:rPr>
                          <w:rFonts w:ascii="Cambria Math" w:hAnsi="Cambria Math"/>
                          <w:lang w:val="sv-FI"/>
                        </w:rPr>
                        <m:t>=1</m:t>
                      </m:r>
                    </m:sub>
                    <m:sup>
                      <m:sSub>
                        <m:sSubPr>
                          <m:ctrlPr>
                            <w:rPr>
                              <w:rFonts w:ascii="Cambria Math" w:hAnsi="Cambria Math"/>
                            </w:rPr>
                          </m:ctrlPr>
                        </m:sSubPr>
                        <m:e>
                          <m:r>
                            <w:rPr>
                              <w:rFonts w:ascii="Cambria Math" w:hAnsi="Cambria Math"/>
                            </w:rPr>
                            <m:t>N</m:t>
                          </m:r>
                        </m:e>
                        <m:sub>
                          <m:r>
                            <w:rPr>
                              <w:rFonts w:ascii="Cambria Math" w:hAnsi="Cambria Math"/>
                            </w:rPr>
                            <m:t>i</m:t>
                          </m:r>
                        </m:sub>
                      </m:sSub>
                    </m:sup>
                    <m:e>
                      <m:sSubSup>
                        <m:sSubSupPr>
                          <m:ctrlPr>
                            <w:rPr>
                              <w:rFonts w:ascii="Cambria Math" w:hAnsi="Cambria Math"/>
                            </w:rPr>
                          </m:ctrlPr>
                        </m:sSubSupPr>
                        <m:e>
                          <m:r>
                            <w:rPr>
                              <w:rFonts w:ascii="Cambria Math" w:hAnsi="Cambria Math"/>
                            </w:rPr>
                            <m:t>EVM</m:t>
                          </m:r>
                        </m:e>
                        <m:sub>
                          <m:r>
                            <w:rPr>
                              <w:rFonts w:ascii="Cambria Math" w:hAnsi="Cambria Math"/>
                            </w:rPr>
                            <m:t>i</m:t>
                          </m:r>
                          <m:r>
                            <m:rPr>
                              <m:sty m:val="p"/>
                            </m:rPr>
                            <w:rPr>
                              <w:rFonts w:ascii="Cambria Math" w:hAnsi="Cambria Math"/>
                              <w:lang w:val="sv-FI"/>
                            </w:rPr>
                            <m:t>,</m:t>
                          </m:r>
                          <m:r>
                            <w:rPr>
                              <w:rFonts w:ascii="Cambria Math" w:hAnsi="Cambria Math"/>
                            </w:rPr>
                            <m:t>j</m:t>
                          </m:r>
                        </m:sub>
                        <m:sup>
                          <m:r>
                            <m:rPr>
                              <m:sty m:val="p"/>
                            </m:rPr>
                            <w:rPr>
                              <w:rFonts w:ascii="Cambria Math" w:hAnsi="Cambria Math"/>
                              <w:lang w:val="sv-FI"/>
                            </w:rPr>
                            <m:t>2</m:t>
                          </m:r>
                        </m:sup>
                      </m:sSubSup>
                    </m:e>
                  </m:nary>
                </m:e>
              </m:nary>
            </m:e>
          </m:rad>
        </m:oMath>
      </m:oMathPara>
    </w:p>
    <w:p w14:paraId="7786C127" w14:textId="77777777" w:rsidR="00F21BB6" w:rsidRDefault="00F21BB6" w:rsidP="00F21BB6">
      <w:pPr>
        <w:pStyle w:val="B10"/>
        <w:rPr>
          <w:lang w:eastAsia="ko-KR"/>
        </w:rPr>
      </w:pPr>
      <w:r>
        <w:rPr>
          <w:iCs/>
          <w:lang w:eastAsia="ko-KR"/>
        </w:rPr>
        <w:t>-</w:t>
      </w:r>
      <w:r>
        <w:rPr>
          <w:iCs/>
          <w:lang w:eastAsia="ko-KR"/>
        </w:rPr>
        <w:tab/>
        <w:t xml:space="preserve">Where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i</m:t>
            </m:r>
          </m:sub>
        </m:sSub>
      </m:oMath>
      <w:r>
        <w:rPr>
          <w:lang w:eastAsia="ko-KR"/>
        </w:rPr>
        <w:t xml:space="preserve"> is the number of resource blocks with the considered modulation scheme in slot </w:t>
      </w:r>
      <w:r>
        <w:rPr>
          <w:i/>
          <w:lang w:eastAsia="ko-KR"/>
        </w:rPr>
        <w:t>i</w:t>
      </w:r>
      <w:r>
        <w:rPr>
          <w:lang w:eastAsia="ko-KR"/>
        </w:rPr>
        <w:t>.</w:t>
      </w:r>
    </w:p>
    <w:p w14:paraId="07ACE6EA" w14:textId="77777777" w:rsidR="00F21BB6" w:rsidRDefault="00F21BB6" w:rsidP="00F21BB6">
      <w:pPr>
        <w:pStyle w:val="B10"/>
      </w:pPr>
      <w:r>
        <w:rPr>
          <w:iCs/>
          <w:lang w:eastAsia="ko-KR"/>
        </w:rPr>
        <w:t>-</w:t>
      </w:r>
      <w:r>
        <w:rPr>
          <w:iCs/>
          <w:lang w:eastAsia="ko-KR"/>
        </w:rPr>
        <w:tab/>
      </w:r>
      <w:r>
        <w:t xml:space="preserve">The </w:t>
      </w:r>
      <m:oMath>
        <m:sSub>
          <m:sSubPr>
            <m:ctrlPr>
              <w:rPr>
                <w:rFonts w:ascii="Cambria Math" w:eastAsia="×–¾’©‘Ì" w:hAnsi="Cambria Math"/>
                <w:i/>
              </w:rPr>
            </m:ctrlPr>
          </m:sSubPr>
          <m:e>
            <m:r>
              <w:rPr>
                <w:rFonts w:ascii="Cambria Math" w:eastAsia="×–¾’©‘Ì" w:hAnsi="Cambria Math"/>
              </w:rPr>
              <m:t>EVM</m:t>
            </m:r>
          </m:e>
          <m:sub>
            <m:r>
              <m:rPr>
                <m:sty m:val="p"/>
              </m:rPr>
              <w:rPr>
                <w:rFonts w:ascii="Cambria Math" w:eastAsia="×–¾’©‘Ì" w:hAnsi="Cambria Math"/>
              </w:rPr>
              <m:t>frame</m:t>
            </m:r>
          </m:sub>
        </m:sSub>
      </m:oMath>
      <w:r>
        <w:t xml:space="preserve"> is calculated, using the maximum of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sty m:val="p"/>
              </m:rPr>
              <w:rPr>
                <w:rFonts w:ascii="Cambria Math" w:eastAsia="×–¾’©‘Ì" w:hAnsi="Cambria Math"/>
              </w:rPr>
              <m:t>frame</m:t>
            </m:r>
          </m:sub>
        </m:sSub>
      </m:oMath>
      <w:r>
        <w:t xml:space="preserve"> at the window </w:t>
      </w:r>
      <w:r>
        <w:rPr>
          <w:i/>
        </w:rPr>
        <w:t>W</w:t>
      </w:r>
      <w:r>
        <w:t xml:space="preserve"> extremities. Thus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sty m:val="p"/>
              </m:rPr>
              <w:rPr>
                <w:rFonts w:ascii="Cambria Math" w:eastAsia="×–¾’©‘Ì" w:hAnsi="Cambria Math"/>
              </w:rPr>
              <m:t>frame,l</m:t>
            </m:r>
          </m:sub>
        </m:sSub>
      </m:oMath>
      <w:r>
        <w:t xml:space="preserve"> is calculated using </w:t>
      </w:r>
      <m:oMath>
        <m:acc>
          <m:accPr>
            <m:chr m:val="̃"/>
            <m:ctrlPr>
              <w:rPr>
                <w:rFonts w:ascii="Cambria Math" w:hAnsi="Cambria Math"/>
                <w:i/>
              </w:rPr>
            </m:ctrlPr>
          </m:accPr>
          <m:e>
            <m:r>
              <w:rPr>
                <w:rFonts w:ascii="Cambria Math" w:hAnsi="Cambria Math"/>
              </w:rPr>
              <m:t>t</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l</m:t>
            </m:r>
          </m:sub>
        </m:sSub>
      </m:oMath>
      <w:r>
        <w:t xml:space="preserve"> and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sty m:val="p"/>
              </m:rPr>
              <w:rPr>
                <w:rFonts w:ascii="Cambria Math" w:eastAsia="×–¾’©‘Ì" w:hAnsi="Cambria Math"/>
              </w:rPr>
              <m:t>frame,h</m:t>
            </m:r>
          </m:sub>
        </m:sSub>
      </m:oMath>
      <w:r>
        <w:rPr>
          <w:rFonts w:eastAsia="×–¾’©‘Ì"/>
        </w:rPr>
        <w:t xml:space="preserve"> i</w:t>
      </w:r>
      <w:r>
        <w:t xml:space="preserve">s calculated using </w:t>
      </w:r>
      <m:oMath>
        <m:acc>
          <m:accPr>
            <m:chr m:val="̃"/>
            <m:ctrlPr>
              <w:rPr>
                <w:rFonts w:ascii="Cambria Math" w:hAnsi="Cambria Math"/>
                <w:i/>
              </w:rPr>
            </m:ctrlPr>
          </m:accPr>
          <m:e>
            <m:r>
              <w:rPr>
                <w:rFonts w:ascii="Cambria Math" w:hAnsi="Cambria Math"/>
              </w:rPr>
              <m:t>t</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h</m:t>
            </m:r>
          </m:sub>
        </m:sSub>
      </m:oMath>
      <w:r>
        <w:t xml:space="preserve"> (</w:t>
      </w:r>
      <w:r>
        <w:rPr>
          <w:i/>
        </w:rPr>
        <w:t>l</w:t>
      </w:r>
      <w:r>
        <w:t xml:space="preserve"> and </w:t>
      </w:r>
      <w:r>
        <w:rPr>
          <w:i/>
        </w:rPr>
        <w:t>h</w:t>
      </w:r>
      <w:r>
        <w:t xml:space="preserve">, low and high; where low is the timing </w:t>
      </w:r>
      <m:oMath>
        <m:d>
          <m:dPr>
            <m:ctrlPr>
              <w:rPr>
                <w:rFonts w:ascii="Cambria Math" w:hAnsi="Cambria Math"/>
                <w:i/>
              </w:rPr>
            </m:ctrlPr>
          </m:dPr>
          <m:e>
            <m:r>
              <w:rPr>
                <w:rFonts w:ascii="Cambria Math" w:hAnsi="Cambria Math"/>
              </w:rPr>
              <m:t>∆c-W/2</m:t>
            </m:r>
          </m:e>
        </m:d>
      </m:oMath>
      <w:r>
        <w:rPr>
          <w:noProof/>
        </w:rPr>
        <w:t xml:space="preserve"> and and high is the timing </w:t>
      </w:r>
      <m:oMath>
        <m:d>
          <m:dPr>
            <m:ctrlPr>
              <w:rPr>
                <w:rFonts w:ascii="Cambria Math" w:hAnsi="Cambria Math"/>
                <w:i/>
              </w:rPr>
            </m:ctrlPr>
          </m:dPr>
          <m:e>
            <m:r>
              <w:rPr>
                <w:rFonts w:ascii="Cambria Math" w:hAnsi="Cambria Math"/>
              </w:rPr>
              <m:t>∆c+W/2</m:t>
            </m:r>
          </m:e>
        </m:d>
      </m:oMath>
      <w:r>
        <w:rPr>
          <w:noProof/>
        </w:rPr>
        <w:t>)</w:t>
      </w:r>
      <w:r>
        <w:t>.</w:t>
      </w:r>
    </w:p>
    <w:p w14:paraId="0F23484C" w14:textId="77777777" w:rsidR="00F21BB6" w:rsidRDefault="00000000" w:rsidP="00F21BB6">
      <w:pPr>
        <w:pStyle w:val="EQ"/>
        <w:jc w:val="center"/>
        <w:rPr>
          <w:iCs/>
        </w:rPr>
      </w:pPr>
      <m:oMathPara>
        <m:oMath>
          <m:sSub>
            <m:sSubPr>
              <m:ctrlPr>
                <w:rPr>
                  <w:rFonts w:ascii="Cambria Math" w:eastAsia="×–¾’©‘Ì" w:hAnsi="Cambria Math"/>
                  <w:i/>
                </w:rPr>
              </m:ctrlPr>
            </m:sSubPr>
            <m:e>
              <m:r>
                <w:rPr>
                  <w:rFonts w:ascii="Cambria Math" w:eastAsia="×–¾’©‘Ì" w:hAnsi="Cambria Math"/>
                </w:rPr>
                <m:t>EVM</m:t>
              </m:r>
            </m:e>
            <m:sub>
              <m:r>
                <m:rPr>
                  <m:sty m:val="p"/>
                </m:rPr>
                <w:rPr>
                  <w:rFonts w:ascii="Cambria Math" w:eastAsia="×–¾’©‘Ì" w:hAnsi="Cambria Math"/>
                </w:rPr>
                <m:t>frame</m:t>
              </m:r>
            </m:sub>
          </m:sSub>
          <m:r>
            <w:rPr>
              <w:rFonts w:ascii="Cambria Math" w:eastAsia="×–¾’©‘Ì" w:hAnsi="Cambria Math"/>
            </w:rPr>
            <m:t>=</m:t>
          </m:r>
          <m:func>
            <m:funcPr>
              <m:ctrlPr>
                <w:rPr>
                  <w:rFonts w:ascii="Cambria Math" w:eastAsia="×–¾’©‘Ì" w:hAnsi="Cambria Math"/>
                  <w:i/>
                </w:rPr>
              </m:ctrlPr>
            </m:funcPr>
            <m:fName>
              <m:r>
                <m:rPr>
                  <m:sty m:val="p"/>
                </m:rPr>
                <w:rPr>
                  <w:rFonts w:ascii="Cambria Math" w:eastAsia="×–¾’©‘Ì" w:hAnsi="Cambria Math"/>
                </w:rPr>
                <m:t>max</m:t>
              </m:r>
            </m:fName>
            <m:e>
              <m:d>
                <m:dPr>
                  <m:ctrlPr>
                    <w:rPr>
                      <w:rFonts w:ascii="Cambria Math" w:eastAsia="×–¾’©‘Ì" w:hAnsi="Cambria Math"/>
                      <w:i/>
                    </w:rPr>
                  </m:ctrlPr>
                </m:dPr>
                <m:e>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sty m:val="p"/>
                        </m:rPr>
                        <w:rPr>
                          <w:rFonts w:ascii="Cambria Math" w:eastAsia="×–¾’©‘Ì" w:hAnsi="Cambria Math"/>
                        </w:rPr>
                        <m:t>frame,l</m:t>
                      </m:r>
                    </m:sub>
                  </m:sSub>
                  <m:r>
                    <w:rPr>
                      <w:rFonts w:ascii="Cambria Math" w:eastAsia="×–¾’©‘Ì" w:hAnsi="Cambria Math"/>
                    </w:rPr>
                    <m:t>,</m:t>
                  </m:r>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sty m:val="p"/>
                        </m:rPr>
                        <w:rPr>
                          <w:rFonts w:ascii="Cambria Math" w:eastAsia="×–¾’©‘Ì" w:hAnsi="Cambria Math"/>
                        </w:rPr>
                        <m:t>frame,h</m:t>
                      </m:r>
                    </m:sub>
                  </m:sSub>
                </m:e>
              </m:d>
            </m:e>
          </m:func>
        </m:oMath>
      </m:oMathPara>
    </w:p>
    <w:p w14:paraId="5799424E" w14:textId="77777777" w:rsidR="00F21BB6" w:rsidRDefault="00F21BB6" w:rsidP="00F21BB6">
      <w:pPr>
        <w:pStyle w:val="B10"/>
      </w:pPr>
      <w:r>
        <w:rPr>
          <w:iCs/>
          <w:lang w:eastAsia="ko-KR"/>
        </w:rPr>
        <w:lastRenderedPageBreak/>
        <w:t>-</w:t>
      </w:r>
      <w:r>
        <w:rPr>
          <w:iCs/>
          <w:lang w:eastAsia="ko-KR"/>
        </w:rPr>
        <w:tab/>
      </w:r>
      <w:r>
        <w:t>In order to unite at least</w:t>
      </w:r>
      <w:r>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sub>
        </m:sSub>
      </m:oMath>
      <w:r>
        <w:rPr>
          <w:rFonts w:eastAsia="Osaka"/>
        </w:rPr>
        <w:t xml:space="preserve"> </w:t>
      </w:r>
      <w:r>
        <w:rPr>
          <w:lang w:eastAsia="ko-KR"/>
        </w:rPr>
        <w:t>slots</w:t>
      </w:r>
      <w:r>
        <w:t xml:space="preserve">, consider the minimum integer number of 10 ms measurement intervals, where </w:t>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oMath>
      <w:r>
        <w:rPr>
          <w:lang w:eastAsia="ko-KR"/>
        </w:rPr>
        <w:t xml:space="preserve"> is determined by</w:t>
      </w:r>
      <w:r>
        <w:t>.</w:t>
      </w:r>
    </w:p>
    <w:p w14:paraId="2D919B1B" w14:textId="77777777" w:rsidR="00F21BB6" w:rsidRDefault="00000000" w:rsidP="00F21BB6">
      <w:pPr>
        <w:rPr>
          <w:rFonts w:eastAsia="×–¾’©‘Ì"/>
        </w:rPr>
      </w:pPr>
      <m:oMathPara>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r>
            <w:rPr>
              <w:rFonts w:ascii="Cambria Math" w:hAnsi="Cambria Math"/>
              <w:lang w:eastAsia="ko-KR"/>
            </w:rPr>
            <m:t>=</m:t>
          </m:r>
          <m:d>
            <m:dPr>
              <m:begChr m:val="⌈"/>
              <m:endChr m:val="⌉"/>
              <m:ctrlPr>
                <w:rPr>
                  <w:rFonts w:ascii="Cambria Math" w:hAnsi="Cambria Math"/>
                  <w:i/>
                  <w:lang w:eastAsia="ko-KR"/>
                </w:rPr>
              </m:ctrlPr>
            </m:dPr>
            <m:e>
              <m:f>
                <m:fPr>
                  <m:ctrlPr>
                    <w:rPr>
                      <w:rFonts w:ascii="Cambria Math" w:hAnsi="Cambria Math"/>
                      <w:i/>
                      <w:lang w:eastAsia="ko-KR"/>
                    </w:rPr>
                  </m:ctrlPr>
                </m:fPr>
                <m:num>
                  <m:r>
                    <w:rPr>
                      <w:rFonts w:ascii="Cambria Math" w:hAnsi="Cambria Math"/>
                      <w:lang w:eastAsia="ko-KR"/>
                    </w:rPr>
                    <m:t>10</m:t>
                  </m:r>
                  <m:r>
                    <w:rPr>
                      <w:rFonts w:ascii="Cambria Math" w:eastAsia="×–¾’©‘Ì" w:hAnsi="Cambria Math"/>
                      <w:noProof/>
                      <w:lang w:eastAsia="ko-KR"/>
                    </w:rPr>
                    <m:t>×</m:t>
                  </m:r>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num>
                <m:den>
                  <m:sSubSup>
                    <m:sSubSupPr>
                      <m:ctrlPr>
                        <w:rPr>
                          <w:rFonts w:ascii="Cambria Math" w:hAnsi="Cambria Math"/>
                          <w:i/>
                          <w:lang w:eastAsia="ko-KR"/>
                        </w:rPr>
                      </m:ctrlPr>
                    </m:sSubSupPr>
                    <m:e>
                      <m:r>
                        <w:rPr>
                          <w:rFonts w:ascii="Cambria Math" w:hAnsi="Cambria Math"/>
                          <w:lang w:eastAsia="ko-KR"/>
                        </w:rPr>
                        <m:t>N</m:t>
                      </m:r>
                    </m:e>
                    <m:sub>
                      <m:r>
                        <w:rPr>
                          <w:rFonts w:ascii="Cambria Math" w:hAnsi="Cambria Math"/>
                          <w:lang w:eastAsia="ko-KR"/>
                        </w:rPr>
                        <m:t>ul</m:t>
                      </m:r>
                    </m:sub>
                    <m:sup>
                      <m:r>
                        <w:rPr>
                          <w:rFonts w:ascii="Cambria Math" w:hAnsi="Cambria Math"/>
                          <w:lang w:eastAsia="ko-KR"/>
                        </w:rPr>
                        <m:t>TDD</m:t>
                      </m:r>
                    </m:sup>
                  </m:sSubSup>
                </m:den>
              </m:f>
            </m:e>
          </m:d>
        </m:oMath>
      </m:oMathPara>
    </w:p>
    <w:p w14:paraId="45F81C72" w14:textId="77777777" w:rsidR="00F21BB6" w:rsidRDefault="00F21BB6" w:rsidP="00F21BB6">
      <w:pPr>
        <w:pStyle w:val="B20"/>
      </w:pPr>
      <w:r>
        <w:rPr>
          <w:noProof/>
          <w:lang w:eastAsia="ko-KR"/>
        </w:rPr>
        <w:t xml:space="preserve">and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=4</m:t>
        </m:r>
      </m:oMath>
      <w:r>
        <w:rPr>
          <w:noProof/>
          <w:lang w:eastAsia="ko-KR"/>
        </w:rPr>
        <w:t xml:space="preserve"> for 60 kHz SCS and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=8</m:t>
        </m:r>
      </m:oMath>
      <w:r>
        <w:rPr>
          <w:noProof/>
          <w:lang w:eastAsia="ko-KR"/>
        </w:rPr>
        <w:t xml:space="preserve"> for 120 kHz SCS.</w:t>
      </w:r>
    </w:p>
    <w:p w14:paraId="5A681FBF" w14:textId="77777777" w:rsidR="00F21BB6" w:rsidRDefault="00F21BB6" w:rsidP="00F21BB6">
      <w:pPr>
        <w:pStyle w:val="B10"/>
      </w:pPr>
      <w:r>
        <w:rPr>
          <w:iCs/>
          <w:lang w:eastAsia="ko-KR"/>
        </w:rPr>
        <w:t>-</w:t>
      </w:r>
      <w:r>
        <w:rPr>
          <w:iCs/>
          <w:lang w:eastAsia="ko-KR"/>
        </w:rPr>
        <w:tab/>
      </w:r>
      <w:r>
        <w:t>Unite by RMS.</w:t>
      </w:r>
    </w:p>
    <w:p w14:paraId="6796D686" w14:textId="5264D575" w:rsidR="00F21BB6" w:rsidRPr="008A56CB" w:rsidRDefault="00000000" w:rsidP="00F21BB6">
      <w:pPr>
        <w:pStyle w:val="EQ"/>
        <w:jc w:val="center"/>
        <w:rPr>
          <w:lang w:eastAsia="ko-KR"/>
        </w:rPr>
      </w:pPr>
      <m:oMathPara>
        <m:oMath>
          <m:acc>
            <m:accPr>
              <m:chr m:val="̅"/>
              <m:ctrlPr>
                <w:rPr>
                  <w:rFonts w:ascii="Cambria Math" w:eastAsia="×–¾’©‘Ì" w:hAnsi="Cambria Math"/>
                  <w:i/>
                </w:rPr>
              </m:ctrlPr>
            </m:accPr>
            <m:e>
              <m:r>
                <w:rPr>
                  <w:rFonts w:ascii="Cambria Math" w:eastAsia="×–¾’©‘Ì" w:hAnsi="Cambria Math"/>
                </w:rPr>
                <m:t>EVM</m:t>
              </m:r>
            </m:e>
          </m:acc>
          <m:r>
            <w:rPr>
              <w:rFonts w:ascii="Cambria Math" w:eastAsia="×–¾’©‘Ì" w:hAnsi="Cambria Math"/>
            </w:rPr>
            <m:t>=</m:t>
          </m:r>
          <m:rad>
            <m:radPr>
              <m:degHide m:val="1"/>
              <m:ctrlPr>
                <w:rPr>
                  <w:rFonts w:ascii="Cambria Math" w:hAnsi="Cambria Math"/>
                  <w:i/>
                  <w:lang w:eastAsia="ko-KR"/>
                </w:rPr>
              </m:ctrlPr>
            </m:radPr>
            <m:deg/>
            <m:e>
              <m:f>
                <m:fPr>
                  <m:ctrlPr>
                    <w:rPr>
                      <w:rFonts w:ascii="Cambria Math" w:hAnsi="Cambria Math"/>
                      <w:i/>
                      <w:lang w:eastAsia="ko-KR"/>
                    </w:rPr>
                  </m:ctrlPr>
                </m:fPr>
                <m:num>
                  <m:r>
                    <w:rPr>
                      <w:rFonts w:ascii="Cambria Math" w:hAnsi="Cambria Math"/>
                      <w:lang w:eastAsia="ko-KR"/>
                    </w:rPr>
                    <m:t>1</m:t>
                  </m:r>
                </m:num>
                <m:den>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den>
              </m:f>
              <m:nary>
                <m:naryPr>
                  <m:chr m:val="∑"/>
                  <m:limLoc m:val="undOvr"/>
                  <m:ctrlPr>
                    <w:rPr>
                      <w:rFonts w:ascii="Cambria Math" w:hAnsi="Cambria Math"/>
                      <w:i/>
                      <w:lang w:eastAsia="ko-KR"/>
                    </w:rPr>
                  </m:ctrlPr>
                </m:naryPr>
                <m:sub>
                  <m:r>
                    <w:rPr>
                      <w:rFonts w:ascii="Cambria Math" w:hAnsi="Cambria Math"/>
                      <w:lang w:eastAsia="ko-KR"/>
                    </w:rPr>
                    <m:t>k=1</m:t>
                  </m:r>
                </m:sub>
                <m:sup>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sup>
                <m:e>
                  <m:sSubSup>
                    <m:sSubSupPr>
                      <m:ctrlPr>
                        <w:rPr>
                          <w:rFonts w:ascii="Cambria Math" w:hAnsi="Cambria Math"/>
                          <w:i/>
                          <w:lang w:eastAsia="ko-KR"/>
                        </w:rPr>
                      </m:ctrlPr>
                    </m:sSubSupPr>
                    <m:e>
                      <m:r>
                        <w:rPr>
                          <w:rFonts w:ascii="Cambria Math" w:hAnsi="Cambria Math"/>
                          <w:lang w:eastAsia="ko-KR"/>
                        </w:rPr>
                        <m:t>EVM</m:t>
                      </m:r>
                    </m:e>
                    <m:sub>
                      <m:r>
                        <w:rPr>
                          <w:rFonts w:ascii="Cambria Math" w:hAnsi="Cambria Math"/>
                          <w:lang w:eastAsia="ko-KR"/>
                        </w:rPr>
                        <m:t>frame,k</m:t>
                      </m:r>
                    </m:sub>
                    <m:sup>
                      <m:r>
                        <w:rPr>
                          <w:rFonts w:ascii="Cambria Math" w:hAnsi="Cambria Math"/>
                          <w:lang w:eastAsia="ko-KR"/>
                        </w:rPr>
                        <m:t>2</m:t>
                      </m:r>
                    </m:sup>
                  </m:sSubSup>
                </m:e>
              </m:nary>
            </m:e>
          </m:rad>
        </m:oMath>
      </m:oMathPara>
    </w:p>
    <w:p w14:paraId="015DCC6A" w14:textId="77777777" w:rsidR="008A56CB" w:rsidRPr="008A56CB" w:rsidRDefault="008A56CB" w:rsidP="008A56CB">
      <w:pPr>
        <w:rPr>
          <w:lang w:eastAsia="ko-KR"/>
        </w:rPr>
      </w:pPr>
    </w:p>
    <w:p w14:paraId="069CE0C8" w14:textId="47542E2E" w:rsidR="0063534F" w:rsidRDefault="00815C5B" w:rsidP="0063534F">
      <w:pPr>
        <w:pStyle w:val="Heading8"/>
        <w:rPr>
          <w:lang w:eastAsia="en-CA"/>
        </w:rPr>
      </w:pPr>
      <w:bookmarkStart w:id="9608" w:name="_Toc74583605"/>
      <w:bookmarkStart w:id="9609" w:name="_Toc76542418"/>
      <w:bookmarkStart w:id="9610" w:name="_Toc82450400"/>
      <w:bookmarkStart w:id="9611" w:name="_Toc82451048"/>
      <w:bookmarkStart w:id="9612" w:name="_Toc89949437"/>
      <w:bookmarkStart w:id="9613" w:name="_Toc98755826"/>
      <w:bookmarkStart w:id="9614" w:name="_Toc98763418"/>
      <w:bookmarkStart w:id="9615" w:name="_Toc106184347"/>
      <w:r>
        <w:rPr>
          <w:lang w:eastAsia="en-CA"/>
        </w:rPr>
        <w:t xml:space="preserve">Annex </w:t>
      </w:r>
      <w:r>
        <w:rPr>
          <w:lang w:eastAsia="zh-CN"/>
        </w:rPr>
        <w:t>F</w:t>
      </w:r>
      <w:r>
        <w:rPr>
          <w:lang w:eastAsia="en-CA"/>
        </w:rPr>
        <w:t xml:space="preserve"> (normative):</w:t>
      </w:r>
      <w:bookmarkStart w:id="9616" w:name="_Toc57820507"/>
      <w:bookmarkStart w:id="9617" w:name="_Toc57821434"/>
      <w:bookmarkStart w:id="9618" w:name="_Toc61183710"/>
      <w:bookmarkStart w:id="9619" w:name="_Hlk54037232"/>
      <w:bookmarkEnd w:id="9536"/>
      <w:bookmarkEnd w:id="9537"/>
      <w:bookmarkEnd w:id="9538"/>
      <w:bookmarkEnd w:id="9539"/>
      <w:bookmarkEnd w:id="9540"/>
      <w:bookmarkEnd w:id="9541"/>
      <w:bookmarkEnd w:id="9542"/>
      <w:bookmarkEnd w:id="9543"/>
      <w:bookmarkEnd w:id="9608"/>
      <w:bookmarkEnd w:id="9609"/>
      <w:bookmarkEnd w:id="9610"/>
      <w:bookmarkEnd w:id="9611"/>
      <w:bookmarkEnd w:id="9612"/>
      <w:bookmarkEnd w:id="9613"/>
      <w:bookmarkEnd w:id="9614"/>
      <w:bookmarkEnd w:id="9615"/>
    </w:p>
    <w:p w14:paraId="6DC5833A" w14:textId="0C99E2C2" w:rsidR="00815C5B" w:rsidRDefault="00815C5B" w:rsidP="00A153AF">
      <w:pPr>
        <w:pStyle w:val="Heading2"/>
      </w:pPr>
      <w:bookmarkStart w:id="9620" w:name="_Toc61184103"/>
      <w:bookmarkStart w:id="9621" w:name="_Toc61184495"/>
      <w:bookmarkStart w:id="9622" w:name="_Toc61184885"/>
      <w:bookmarkStart w:id="9623" w:name="_Toc61185275"/>
      <w:bookmarkStart w:id="9624" w:name="_Toc66386620"/>
      <w:bookmarkStart w:id="9625" w:name="_Toc74583606"/>
      <w:bookmarkStart w:id="9626" w:name="_Toc76542419"/>
      <w:bookmarkStart w:id="9627" w:name="_Toc82450401"/>
      <w:bookmarkStart w:id="9628" w:name="_Toc82451049"/>
      <w:bookmarkStart w:id="9629" w:name="_Toc89949438"/>
      <w:bookmarkStart w:id="9630" w:name="_Toc98755827"/>
      <w:bookmarkStart w:id="9631" w:name="_Toc98763419"/>
      <w:bookmarkStart w:id="9632" w:name="_Toc106184348"/>
      <w:r>
        <w:t xml:space="preserve">F.1 </w:t>
      </w:r>
      <w:r w:rsidRPr="00E26D09">
        <w:t xml:space="preserve">Characteristics of the interfering signals </w:t>
      </w:r>
      <w:r>
        <w:t>for IAB-DU</w:t>
      </w:r>
      <w:bookmarkEnd w:id="9616"/>
      <w:bookmarkEnd w:id="9617"/>
      <w:bookmarkEnd w:id="9618"/>
      <w:bookmarkEnd w:id="9620"/>
      <w:bookmarkEnd w:id="9621"/>
      <w:bookmarkEnd w:id="9622"/>
      <w:bookmarkEnd w:id="9623"/>
      <w:bookmarkEnd w:id="9624"/>
      <w:bookmarkEnd w:id="9625"/>
      <w:bookmarkEnd w:id="9626"/>
      <w:bookmarkEnd w:id="9627"/>
      <w:bookmarkEnd w:id="9628"/>
      <w:bookmarkEnd w:id="9629"/>
      <w:bookmarkEnd w:id="9630"/>
      <w:bookmarkEnd w:id="9631"/>
      <w:bookmarkEnd w:id="9632"/>
    </w:p>
    <w:p w14:paraId="4D482C66" w14:textId="77777777" w:rsidR="00815C5B" w:rsidRDefault="00815C5B" w:rsidP="00815C5B">
      <w:bookmarkStart w:id="9633" w:name="_Hlk74571481"/>
      <w:bookmarkEnd w:id="9619"/>
      <w:r>
        <w:rPr>
          <w:rFonts w:hint="eastAsia"/>
        </w:rPr>
        <w:t xml:space="preserve">The Annex </w:t>
      </w:r>
      <w:r>
        <w:t>D</w:t>
      </w:r>
      <w:r>
        <w:rPr>
          <w:rFonts w:hint="eastAsia"/>
        </w:rPr>
        <w:t xml:space="preserve"> in </w:t>
      </w:r>
      <w:r>
        <w:t>in TS 38.1</w:t>
      </w:r>
      <w:r>
        <w:rPr>
          <w:rFonts w:hint="eastAsia"/>
        </w:rPr>
        <w:t>04</w:t>
      </w:r>
      <w:r>
        <w:t xml:space="preserve"> [</w:t>
      </w:r>
      <w:r>
        <w:rPr>
          <w:lang w:eastAsia="zh-CN"/>
        </w:rPr>
        <w:t>2</w:t>
      </w:r>
      <w:r>
        <w:t>] apply to</w:t>
      </w:r>
      <w:r>
        <w:rPr>
          <w:rFonts w:hint="eastAsia"/>
        </w:rPr>
        <w:t xml:space="preserve"> FR1 IAB-DU.</w:t>
      </w:r>
    </w:p>
    <w:p w14:paraId="64DC2749" w14:textId="77777777" w:rsidR="00815C5B" w:rsidRDefault="00815C5B" w:rsidP="00A153AF">
      <w:pPr>
        <w:pStyle w:val="Heading2"/>
      </w:pPr>
      <w:bookmarkStart w:id="9634" w:name="_Toc57820508"/>
      <w:bookmarkStart w:id="9635" w:name="_Toc57821435"/>
      <w:bookmarkStart w:id="9636" w:name="_Toc61183711"/>
      <w:bookmarkStart w:id="9637" w:name="_Toc61184104"/>
      <w:bookmarkStart w:id="9638" w:name="_Toc61184496"/>
      <w:bookmarkStart w:id="9639" w:name="_Toc61184886"/>
      <w:bookmarkStart w:id="9640" w:name="_Toc61185276"/>
      <w:bookmarkStart w:id="9641" w:name="_Toc66386621"/>
      <w:bookmarkStart w:id="9642" w:name="_Toc74583607"/>
      <w:bookmarkStart w:id="9643" w:name="_Toc76542420"/>
      <w:bookmarkStart w:id="9644" w:name="_Toc82450402"/>
      <w:bookmarkStart w:id="9645" w:name="_Toc82451050"/>
      <w:bookmarkStart w:id="9646" w:name="_Toc89949439"/>
      <w:bookmarkStart w:id="9647" w:name="_Toc98755828"/>
      <w:bookmarkStart w:id="9648" w:name="_Toc98763420"/>
      <w:bookmarkStart w:id="9649" w:name="_Toc106184349"/>
      <w:bookmarkEnd w:id="9633"/>
      <w:r>
        <w:t xml:space="preserve">F.2 </w:t>
      </w:r>
      <w:r w:rsidRPr="00E26D09">
        <w:t xml:space="preserve">Characteristics of the interfering signals </w:t>
      </w:r>
      <w:r>
        <w:t>for IAB-MT</w:t>
      </w:r>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bookmarkEnd w:id="9649"/>
    </w:p>
    <w:p w14:paraId="77A66173" w14:textId="77777777" w:rsidR="00F60518" w:rsidRPr="00174635" w:rsidRDefault="00F60518" w:rsidP="00F60518">
      <w:pPr>
        <w:rPr>
          <w:rFonts w:cs="v4.2.0"/>
          <w:i/>
          <w:iCs/>
        </w:rPr>
      </w:pPr>
      <w:bookmarkStart w:id="9650" w:name="_Toc53185644"/>
      <w:bookmarkStart w:id="9651" w:name="_Toc53186020"/>
      <w:bookmarkStart w:id="9652" w:name="_Toc57820509"/>
      <w:bookmarkStart w:id="9653" w:name="_Toc57821436"/>
      <w:bookmarkStart w:id="9654" w:name="_Toc61183712"/>
      <w:bookmarkStart w:id="9655" w:name="_Toc61184105"/>
      <w:bookmarkStart w:id="9656" w:name="_Toc61184497"/>
      <w:bookmarkStart w:id="9657" w:name="_Toc61184887"/>
      <w:bookmarkStart w:id="9658" w:name="_Toc61185277"/>
      <w:r w:rsidRPr="00174635">
        <w:rPr>
          <w:rFonts w:cs="v4.2.0"/>
          <w:i/>
          <w:iCs/>
        </w:rPr>
        <w:t xml:space="preserve">The interfering signal shall </w:t>
      </w:r>
      <w:r>
        <w:rPr>
          <w:rFonts w:cs="v4.2.0"/>
          <w:i/>
          <w:iCs/>
        </w:rPr>
        <w:t>be configured with</w:t>
      </w:r>
      <w:r w:rsidRPr="00174635">
        <w:rPr>
          <w:rFonts w:cs="v4.2.0"/>
          <w:i/>
          <w:iCs/>
        </w:rPr>
        <w:t xml:space="preserve"> PDSCH</w:t>
      </w:r>
      <w:r>
        <w:rPr>
          <w:rFonts w:cs="v4.2.0"/>
          <w:i/>
          <w:iCs/>
        </w:rPr>
        <w:t xml:space="preserve"> and PDCCH</w:t>
      </w:r>
      <w:r w:rsidRPr="00174635">
        <w:rPr>
          <w:rFonts w:cs="v4.2.0"/>
          <w:i/>
          <w:iCs/>
        </w:rPr>
        <w:t xml:space="preserve"> containing data and DM-RS symbols. Normal cyclic prefix is used. The data content shall be uncorrelated to the wanted signal and modulated according to clause </w:t>
      </w:r>
      <w:r>
        <w:rPr>
          <w:rFonts w:cs="v4.2.0"/>
          <w:i/>
          <w:iCs/>
        </w:rPr>
        <w:t>7</w:t>
      </w:r>
      <w:r w:rsidRPr="00174635">
        <w:rPr>
          <w:rFonts w:cs="v4.2.0"/>
          <w:i/>
          <w:iCs/>
        </w:rPr>
        <w:t xml:space="preserve"> of TS38.211 [</w:t>
      </w:r>
      <w:r>
        <w:rPr>
          <w:rFonts w:cs="v4.2.0"/>
          <w:i/>
          <w:iCs/>
        </w:rPr>
        <w:t>8</w:t>
      </w:r>
      <w:r w:rsidRPr="00174635">
        <w:rPr>
          <w:rFonts w:cs="v4.2.0"/>
          <w:i/>
          <w:iCs/>
        </w:rPr>
        <w:t>]. Mapping of P</w:t>
      </w:r>
      <w:r>
        <w:rPr>
          <w:rFonts w:cs="v4.2.0"/>
          <w:i/>
          <w:iCs/>
        </w:rPr>
        <w:t>D</w:t>
      </w:r>
      <w:r w:rsidRPr="00174635">
        <w:rPr>
          <w:rFonts w:cs="v4.2.0"/>
          <w:i/>
          <w:iCs/>
        </w:rPr>
        <w:t xml:space="preserve">SCH modulation to receiver requirement are specified in table </w:t>
      </w:r>
      <w:r>
        <w:rPr>
          <w:rFonts w:cs="v4.2.0"/>
          <w:i/>
          <w:iCs/>
        </w:rPr>
        <w:t>F</w:t>
      </w:r>
      <w:r w:rsidRPr="00174635">
        <w:rPr>
          <w:rFonts w:cs="v4.2.0"/>
          <w:i/>
          <w:iCs/>
        </w:rPr>
        <w:t>-1.</w:t>
      </w:r>
    </w:p>
    <w:p w14:paraId="44F56A4B" w14:textId="77777777" w:rsidR="00F60518" w:rsidRDefault="00F60518" w:rsidP="00F60518">
      <w:pPr>
        <w:pStyle w:val="TH"/>
      </w:pPr>
      <w:r>
        <w:t>Table F-1: Modulation of the interfering signal</w:t>
      </w:r>
    </w:p>
    <w:tbl>
      <w:tblPr>
        <w:tblW w:w="415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4A0" w:firstRow="1" w:lastRow="0" w:firstColumn="1" w:lastColumn="0" w:noHBand="0" w:noVBand="1"/>
      </w:tblPr>
      <w:tblGrid>
        <w:gridCol w:w="2451"/>
        <w:gridCol w:w="1704"/>
      </w:tblGrid>
      <w:tr w:rsidR="00F60518" w14:paraId="5836B2A6" w14:textId="77777777" w:rsidTr="00B03869">
        <w:trPr>
          <w:cantSplit/>
          <w:trHeight w:val="113"/>
          <w:jc w:val="center"/>
        </w:trPr>
        <w:tc>
          <w:tcPr>
            <w:tcW w:w="2451"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15FBA048" w14:textId="77777777" w:rsidR="00F60518" w:rsidRDefault="00F60518" w:rsidP="00B03869">
            <w:pPr>
              <w:pStyle w:val="TAH"/>
              <w:rPr>
                <w:rFonts w:cs="Arial"/>
              </w:rPr>
            </w:pPr>
            <w:r>
              <w:rPr>
                <w:rFonts w:cs="Arial"/>
              </w:rPr>
              <w:t>Receiver requirement</w:t>
            </w:r>
          </w:p>
        </w:tc>
        <w:tc>
          <w:tcPr>
            <w:tcW w:w="1704"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7140A63F" w14:textId="77777777" w:rsidR="00F60518" w:rsidRDefault="00F60518" w:rsidP="00B03869">
            <w:pPr>
              <w:pStyle w:val="TAH"/>
              <w:rPr>
                <w:rFonts w:cs="Arial"/>
              </w:rPr>
            </w:pPr>
            <w:r>
              <w:rPr>
                <w:rFonts w:cs="Arial"/>
              </w:rPr>
              <w:t>Modulation</w:t>
            </w:r>
          </w:p>
        </w:tc>
      </w:tr>
      <w:tr w:rsidR="00F60518" w14:paraId="33485748" w14:textId="77777777" w:rsidTr="00B03869">
        <w:trPr>
          <w:cantSplit/>
          <w:trHeight w:val="113"/>
          <w:jc w:val="center"/>
        </w:trPr>
        <w:tc>
          <w:tcPr>
            <w:tcW w:w="2451"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45707C92" w14:textId="77777777" w:rsidR="00F60518" w:rsidRDefault="00F60518" w:rsidP="00B03869">
            <w:pPr>
              <w:pStyle w:val="TAL"/>
              <w:rPr>
                <w:rFonts w:cs="Arial"/>
              </w:rPr>
            </w:pPr>
            <w:r>
              <w:rPr>
                <w:rFonts w:cs="Arial"/>
              </w:rPr>
              <w:t>Adjacent channel selectivity and narrow-band blocking</w:t>
            </w:r>
          </w:p>
        </w:tc>
        <w:tc>
          <w:tcPr>
            <w:tcW w:w="1704"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0767C6F5" w14:textId="77777777" w:rsidR="00F60518" w:rsidRDefault="00F60518" w:rsidP="00B03869">
            <w:pPr>
              <w:pStyle w:val="TAC"/>
              <w:rPr>
                <w:rFonts w:cs="Arial"/>
              </w:rPr>
            </w:pPr>
            <w:r>
              <w:rPr>
                <w:rFonts w:cs="Arial"/>
              </w:rPr>
              <w:t>QPSK</w:t>
            </w:r>
          </w:p>
        </w:tc>
      </w:tr>
      <w:tr w:rsidR="00F60518" w14:paraId="58530AD5" w14:textId="77777777" w:rsidTr="00B03869">
        <w:trPr>
          <w:cantSplit/>
          <w:trHeight w:val="113"/>
          <w:jc w:val="center"/>
        </w:trPr>
        <w:tc>
          <w:tcPr>
            <w:tcW w:w="2451"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79493A6C" w14:textId="77777777" w:rsidR="00F60518" w:rsidRDefault="00F60518" w:rsidP="00B03869">
            <w:pPr>
              <w:pStyle w:val="TAL"/>
              <w:rPr>
                <w:rFonts w:cs="Arial"/>
              </w:rPr>
            </w:pPr>
            <w:r>
              <w:rPr>
                <w:rFonts w:cs="Arial"/>
              </w:rPr>
              <w:t>General blocking</w:t>
            </w:r>
          </w:p>
        </w:tc>
        <w:tc>
          <w:tcPr>
            <w:tcW w:w="1704"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09533633" w14:textId="77777777" w:rsidR="00F60518" w:rsidRDefault="00F60518" w:rsidP="00B03869">
            <w:pPr>
              <w:pStyle w:val="TAC"/>
              <w:rPr>
                <w:rFonts w:cs="Arial"/>
              </w:rPr>
            </w:pPr>
            <w:r>
              <w:rPr>
                <w:rFonts w:cs="Arial"/>
              </w:rPr>
              <w:t>QPSK</w:t>
            </w:r>
          </w:p>
        </w:tc>
      </w:tr>
      <w:tr w:rsidR="00F60518" w14:paraId="43AEE9FD" w14:textId="77777777" w:rsidTr="00B03869">
        <w:trPr>
          <w:cantSplit/>
          <w:trHeight w:val="113"/>
          <w:jc w:val="center"/>
        </w:trPr>
        <w:tc>
          <w:tcPr>
            <w:tcW w:w="2451"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04D37216" w14:textId="77777777" w:rsidR="00F60518" w:rsidRDefault="00F60518" w:rsidP="00B03869">
            <w:pPr>
              <w:pStyle w:val="TAL"/>
              <w:rPr>
                <w:rFonts w:cs="Arial"/>
              </w:rPr>
            </w:pPr>
            <w:r>
              <w:rPr>
                <w:rFonts w:cs="Arial"/>
              </w:rPr>
              <w:t>Receiver intermodulation</w:t>
            </w:r>
          </w:p>
        </w:tc>
        <w:tc>
          <w:tcPr>
            <w:tcW w:w="1704" w:type="dxa"/>
            <w:tcBorders>
              <w:top w:val="single" w:sz="2" w:space="0" w:color="auto"/>
              <w:left w:val="single" w:sz="2" w:space="0" w:color="auto"/>
              <w:bottom w:val="single" w:sz="2" w:space="0" w:color="auto"/>
              <w:right w:val="single" w:sz="2" w:space="0" w:color="auto"/>
            </w:tcBorders>
            <w:tcMar>
              <w:top w:w="0" w:type="dxa"/>
              <w:left w:w="108" w:type="dxa"/>
              <w:bottom w:w="0" w:type="dxa"/>
              <w:right w:w="108" w:type="dxa"/>
            </w:tcMar>
            <w:hideMark/>
          </w:tcPr>
          <w:p w14:paraId="3ECC6E44" w14:textId="77777777" w:rsidR="00F60518" w:rsidRDefault="00F60518" w:rsidP="00B03869">
            <w:pPr>
              <w:pStyle w:val="TAC"/>
              <w:rPr>
                <w:rFonts w:cs="Arial"/>
              </w:rPr>
            </w:pPr>
            <w:r>
              <w:rPr>
                <w:rFonts w:cs="Arial"/>
              </w:rPr>
              <w:t>QPSK</w:t>
            </w:r>
          </w:p>
        </w:tc>
      </w:tr>
    </w:tbl>
    <w:p w14:paraId="09C1D375" w14:textId="4B607F57" w:rsidR="003A71DE" w:rsidRDefault="003A71DE" w:rsidP="003A71DE">
      <w:bookmarkStart w:id="9659" w:name="_Toc66386622"/>
    </w:p>
    <w:p w14:paraId="7FF34FE1" w14:textId="77777777" w:rsidR="003A71DE" w:rsidRPr="00E03196" w:rsidRDefault="003A71DE" w:rsidP="00A153AF">
      <w:pPr>
        <w:pStyle w:val="Heading8"/>
      </w:pPr>
      <w:bookmarkStart w:id="9660" w:name="_Toc74583608"/>
      <w:bookmarkStart w:id="9661" w:name="_Toc76542421"/>
      <w:bookmarkStart w:id="9662" w:name="_Toc82450403"/>
      <w:bookmarkStart w:id="9663" w:name="_Toc82451051"/>
      <w:bookmarkStart w:id="9664" w:name="_Toc89949440"/>
      <w:bookmarkStart w:id="9665" w:name="_Toc98755829"/>
      <w:bookmarkStart w:id="9666" w:name="_Toc98763421"/>
      <w:bookmarkStart w:id="9667" w:name="_Toc106184350"/>
      <w:r w:rsidRPr="00E03196">
        <w:t xml:space="preserve">Annex </w:t>
      </w:r>
      <w:r>
        <w:t>G</w:t>
      </w:r>
      <w:r w:rsidRPr="00E03196">
        <w:t xml:space="preserve"> (normative):</w:t>
      </w:r>
      <w:r>
        <w:t xml:space="preserve"> </w:t>
      </w:r>
      <w:r w:rsidRPr="00E03196">
        <w:t xml:space="preserve">IAB-MT </w:t>
      </w:r>
      <w:r>
        <w:t>RRM Testing</w:t>
      </w:r>
      <w:bookmarkEnd w:id="9660"/>
      <w:bookmarkEnd w:id="9661"/>
      <w:bookmarkEnd w:id="9662"/>
      <w:bookmarkEnd w:id="9663"/>
      <w:bookmarkEnd w:id="9664"/>
      <w:bookmarkEnd w:id="9665"/>
      <w:bookmarkEnd w:id="9666"/>
      <w:bookmarkEnd w:id="9667"/>
    </w:p>
    <w:p w14:paraId="344C5C2E" w14:textId="77777777" w:rsidR="003A71DE" w:rsidRPr="00EA3B97" w:rsidRDefault="003A71DE" w:rsidP="003A71DE">
      <w:pPr>
        <w:rPr>
          <w:rFonts w:eastAsiaTheme="minorEastAsia"/>
        </w:rPr>
      </w:pPr>
      <w:bookmarkStart w:id="9668" w:name="_Hlk64463380"/>
      <w:r w:rsidRPr="00EA3B97">
        <w:rPr>
          <w:rFonts w:eastAsiaTheme="minorEastAsia"/>
        </w:rPr>
        <w:t>The test cases defined in this Annex are to verify the minimum requirements defined in clause 12. The conducted tests are performed for IAB type 1-H, and the over the air (OTA) tests are performed for IAB type 2-O, where the conducted and radiated reference points and the IAB type are defined in clause 4.3. For the test cases for IAB-MT, the DU part is disabled during the testing. The test cases apply for Local-area IAB-MT classes, where the IAB-MT classes are defined in clause 4.4.</w:t>
      </w:r>
    </w:p>
    <w:p w14:paraId="70792AD9" w14:textId="77777777" w:rsidR="003A71DE" w:rsidRPr="00EA3B97" w:rsidRDefault="003A71DE" w:rsidP="003A71DE">
      <w:pPr>
        <w:rPr>
          <w:rFonts w:eastAsiaTheme="minorEastAsia"/>
        </w:rPr>
      </w:pPr>
      <w:r w:rsidRPr="00EA3B97">
        <w:rPr>
          <w:rFonts w:eastAsiaTheme="minorEastAsia"/>
        </w:rPr>
        <w:t>The test configurations and procedures are defined in following clauses and in each test cases. The test requirements are derived using the corresponding configuration parameters as example. The actual IAB-MT RRM test can be conducted by any set of configuration parameters which are left to implementations and manufacturer declarations and the corresponding test requirements shall be based on the actual configuration parameters used in the test.</w:t>
      </w:r>
      <w:r w:rsidRPr="00F66DD8">
        <w:rPr>
          <w:rFonts w:eastAsiaTheme="minorEastAsia"/>
        </w:rPr>
        <w:t xml:space="preserve"> </w:t>
      </w:r>
      <w:r w:rsidRPr="00EA3B97">
        <w:rPr>
          <w:rFonts w:eastAsiaTheme="minorEastAsia"/>
        </w:rPr>
        <w:t>For example, TDD pattern and related configurations shall be configurable and left for implementation and declaration including:</w:t>
      </w:r>
    </w:p>
    <w:p w14:paraId="736DB460" w14:textId="6E698EE8"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DL/UL scheduling related configuration</w:t>
      </w:r>
    </w:p>
    <w:p w14:paraId="52ADB64B" w14:textId="02A7730A"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PRACH configuration</w:t>
      </w:r>
    </w:p>
    <w:p w14:paraId="6D3738FB" w14:textId="2365CECF"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SRS configuration</w:t>
      </w:r>
    </w:p>
    <w:p w14:paraId="7A91D7F0" w14:textId="7819DE2B"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SSB configuration</w:t>
      </w:r>
    </w:p>
    <w:p w14:paraId="4815FB9D" w14:textId="22D7A2ED"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CSI-RS configuration</w:t>
      </w:r>
    </w:p>
    <w:p w14:paraId="0E627F65" w14:textId="29A07364" w:rsidR="003A71DE" w:rsidRPr="00F66DD8" w:rsidRDefault="0090095F" w:rsidP="0090095F">
      <w:pPr>
        <w:pStyle w:val="B10"/>
        <w:rPr>
          <w:rFonts w:eastAsia="SimSun"/>
        </w:rPr>
      </w:pPr>
      <w:r>
        <w:rPr>
          <w:rFonts w:eastAsia="SimSun"/>
        </w:rPr>
        <w:lastRenderedPageBreak/>
        <w:t>-</w:t>
      </w:r>
      <w:r>
        <w:rPr>
          <w:rFonts w:eastAsia="SimSun"/>
        </w:rPr>
        <w:tab/>
      </w:r>
      <w:r w:rsidR="003A71DE" w:rsidRPr="00F66DD8">
        <w:rPr>
          <w:rFonts w:eastAsia="SimSun"/>
        </w:rPr>
        <w:t>BWP configuration</w:t>
      </w:r>
    </w:p>
    <w:p w14:paraId="73BDF27F" w14:textId="7B655182"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SMTC configuration</w:t>
      </w:r>
    </w:p>
    <w:p w14:paraId="590CE3CD" w14:textId="366FF2FC"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TCI state configuration</w:t>
      </w:r>
    </w:p>
    <w:p w14:paraId="5E8C1E71" w14:textId="4E522D1B" w:rsidR="003A71DE" w:rsidRPr="00F66DD8" w:rsidRDefault="0090095F" w:rsidP="0090095F">
      <w:pPr>
        <w:pStyle w:val="B10"/>
        <w:rPr>
          <w:rFonts w:eastAsia="SimSun"/>
        </w:rPr>
      </w:pPr>
      <w:r>
        <w:rPr>
          <w:rFonts w:eastAsia="SimSun"/>
        </w:rPr>
        <w:t>-</w:t>
      </w:r>
      <w:r>
        <w:rPr>
          <w:rFonts w:eastAsia="SimSun"/>
        </w:rPr>
        <w:tab/>
      </w:r>
      <w:r w:rsidR="003A71DE" w:rsidRPr="00F66DD8">
        <w:rPr>
          <w:rFonts w:eastAsia="SimSun"/>
        </w:rPr>
        <w:t>Antenna configuration</w:t>
      </w:r>
    </w:p>
    <w:p w14:paraId="4078AF44" w14:textId="68B51B4F" w:rsidR="003A71DE" w:rsidRPr="00EA3B97" w:rsidRDefault="0090095F" w:rsidP="0090095F">
      <w:pPr>
        <w:pStyle w:val="B10"/>
        <w:rPr>
          <w:rFonts w:eastAsia="SimSun"/>
          <w:sz w:val="24"/>
          <w:szCs w:val="24"/>
        </w:rPr>
      </w:pPr>
      <w:r>
        <w:rPr>
          <w:rFonts w:eastAsia="SimSun"/>
        </w:rPr>
        <w:t>-</w:t>
      </w:r>
      <w:r>
        <w:rPr>
          <w:rFonts w:eastAsia="SimSun"/>
        </w:rPr>
        <w:tab/>
      </w:r>
      <w:r w:rsidR="003A71DE" w:rsidRPr="00F66DD8">
        <w:rPr>
          <w:rFonts w:eastAsia="SimSun"/>
        </w:rPr>
        <w:t>AoA configuration</w:t>
      </w:r>
    </w:p>
    <w:bookmarkEnd w:id="9668"/>
    <w:p w14:paraId="25304358" w14:textId="77777777" w:rsidR="003A71DE" w:rsidRDefault="003A71DE" w:rsidP="003A71DE">
      <w:pPr>
        <w:rPr>
          <w:noProof/>
        </w:rPr>
      </w:pPr>
    </w:p>
    <w:p w14:paraId="47945738" w14:textId="77777777" w:rsidR="003A71DE" w:rsidRDefault="003A71DE" w:rsidP="00A153AF">
      <w:pPr>
        <w:pStyle w:val="Heading2"/>
        <w:rPr>
          <w:rFonts w:eastAsia="SimSun"/>
        </w:rPr>
      </w:pPr>
      <w:bookmarkStart w:id="9669" w:name="_Toc535476068"/>
      <w:bookmarkStart w:id="9670" w:name="_Toc74583609"/>
      <w:bookmarkStart w:id="9671" w:name="_Toc76542422"/>
      <w:bookmarkStart w:id="9672" w:name="_Toc82450404"/>
      <w:bookmarkStart w:id="9673" w:name="_Toc82451052"/>
      <w:bookmarkStart w:id="9674" w:name="_Toc89949441"/>
      <w:bookmarkStart w:id="9675" w:name="_Toc98755830"/>
      <w:bookmarkStart w:id="9676" w:name="_Toc98763422"/>
      <w:bookmarkStart w:id="9677" w:name="_Toc106184351"/>
      <w:r>
        <w:rPr>
          <w:rFonts w:eastAsia="SimSun"/>
        </w:rPr>
        <w:lastRenderedPageBreak/>
        <w:t>G</w:t>
      </w:r>
      <w:r w:rsidRPr="00585633">
        <w:rPr>
          <w:rFonts w:eastAsia="SimSun"/>
        </w:rPr>
        <w:t>.</w:t>
      </w:r>
      <w:r>
        <w:rPr>
          <w:rFonts w:eastAsia="SimSun"/>
        </w:rPr>
        <w:t>1</w:t>
      </w:r>
      <w:r w:rsidRPr="00585633">
        <w:rPr>
          <w:rFonts w:eastAsia="SimSun"/>
        </w:rPr>
        <w:tab/>
      </w:r>
      <w:r>
        <w:rPr>
          <w:rFonts w:eastAsia="SimSun"/>
        </w:rPr>
        <w:t xml:space="preserve">IAB-MT </w:t>
      </w:r>
      <w:r w:rsidRPr="00585633">
        <w:rPr>
          <w:rFonts w:eastAsia="SimSun"/>
        </w:rPr>
        <w:t>RRM test configurations</w:t>
      </w:r>
      <w:bookmarkEnd w:id="9669"/>
      <w:bookmarkEnd w:id="9670"/>
      <w:bookmarkEnd w:id="9671"/>
      <w:bookmarkEnd w:id="9672"/>
      <w:bookmarkEnd w:id="9673"/>
      <w:bookmarkEnd w:id="9674"/>
      <w:bookmarkEnd w:id="9675"/>
      <w:bookmarkEnd w:id="9676"/>
      <w:bookmarkEnd w:id="9677"/>
    </w:p>
    <w:p w14:paraId="20E2C76D" w14:textId="77777777" w:rsidR="003A71DE" w:rsidRPr="00EA3B97" w:rsidRDefault="003A71DE" w:rsidP="00A153AF">
      <w:pPr>
        <w:pStyle w:val="Heading3"/>
        <w:rPr>
          <w:rFonts w:eastAsiaTheme="minorEastAsia"/>
        </w:rPr>
      </w:pPr>
      <w:bookmarkStart w:id="9678" w:name="_Toc74583610"/>
      <w:bookmarkStart w:id="9679" w:name="_Toc76542423"/>
      <w:bookmarkStart w:id="9680" w:name="_Toc82450405"/>
      <w:bookmarkStart w:id="9681" w:name="_Toc82451053"/>
      <w:bookmarkStart w:id="9682" w:name="_Toc89949442"/>
      <w:bookmarkStart w:id="9683" w:name="_Toc98755831"/>
      <w:bookmarkStart w:id="9684" w:name="_Toc98763423"/>
      <w:bookmarkStart w:id="9685" w:name="_Toc106184352"/>
      <w:r w:rsidRPr="00EA3B97">
        <w:rPr>
          <w:rFonts w:eastAsiaTheme="minorEastAsia"/>
        </w:rPr>
        <w:t>G.1.1</w:t>
      </w:r>
      <w:r w:rsidRPr="00EA3B97">
        <w:rPr>
          <w:rFonts w:eastAsiaTheme="minorEastAsia"/>
        </w:rPr>
        <w:tab/>
        <w:t>Reference measurement channels</w:t>
      </w:r>
      <w:bookmarkEnd w:id="9678"/>
      <w:bookmarkEnd w:id="9679"/>
      <w:bookmarkEnd w:id="9680"/>
      <w:bookmarkEnd w:id="9681"/>
      <w:bookmarkEnd w:id="9682"/>
      <w:bookmarkEnd w:id="9683"/>
      <w:bookmarkEnd w:id="9684"/>
      <w:bookmarkEnd w:id="9685"/>
    </w:p>
    <w:p w14:paraId="37097066" w14:textId="77777777" w:rsidR="003A71DE" w:rsidRPr="00EA3B97" w:rsidRDefault="003A71DE" w:rsidP="00A153AF">
      <w:pPr>
        <w:pStyle w:val="Heading4"/>
        <w:rPr>
          <w:rFonts w:eastAsiaTheme="minorEastAsia"/>
          <w:snapToGrid w:val="0"/>
        </w:rPr>
      </w:pPr>
      <w:bookmarkStart w:id="9686" w:name="_Toc74583611"/>
      <w:bookmarkStart w:id="9687" w:name="_Toc76542424"/>
      <w:bookmarkStart w:id="9688" w:name="_Toc82450406"/>
      <w:bookmarkStart w:id="9689" w:name="_Toc82451054"/>
      <w:bookmarkStart w:id="9690" w:name="_Toc89949443"/>
      <w:bookmarkStart w:id="9691" w:name="_Toc98755832"/>
      <w:bookmarkStart w:id="9692" w:name="_Toc98763424"/>
      <w:bookmarkStart w:id="9693" w:name="_Toc106184353"/>
      <w:r w:rsidRPr="00EA3B97">
        <w:rPr>
          <w:rFonts w:eastAsiaTheme="minorEastAsia"/>
          <w:snapToGrid w:val="0"/>
        </w:rPr>
        <w:t>G.1.1.1</w:t>
      </w:r>
      <w:r w:rsidRPr="00EA3B97">
        <w:rPr>
          <w:rFonts w:eastAsiaTheme="minorEastAsia"/>
          <w:snapToGrid w:val="0"/>
        </w:rPr>
        <w:tab/>
        <w:t>PDSCH</w:t>
      </w:r>
      <w:bookmarkEnd w:id="9686"/>
      <w:bookmarkEnd w:id="9687"/>
      <w:bookmarkEnd w:id="9688"/>
      <w:bookmarkEnd w:id="9689"/>
      <w:bookmarkEnd w:id="9690"/>
      <w:bookmarkEnd w:id="9691"/>
      <w:bookmarkEnd w:id="9692"/>
      <w:bookmarkEnd w:id="9693"/>
    </w:p>
    <w:p w14:paraId="0029BDB1" w14:textId="77777777" w:rsidR="003A71DE" w:rsidRPr="00EA3B97" w:rsidRDefault="003A71DE" w:rsidP="00A153AF">
      <w:pPr>
        <w:pStyle w:val="Heading5"/>
        <w:rPr>
          <w:rFonts w:eastAsiaTheme="minorEastAsia"/>
          <w:snapToGrid w:val="0"/>
        </w:rPr>
      </w:pPr>
      <w:bookmarkStart w:id="9694" w:name="_Toc74583612"/>
      <w:bookmarkStart w:id="9695" w:name="_Toc76542425"/>
      <w:bookmarkStart w:id="9696" w:name="_Toc82450407"/>
      <w:bookmarkStart w:id="9697" w:name="_Toc82451055"/>
      <w:bookmarkStart w:id="9698" w:name="_Toc89949444"/>
      <w:bookmarkStart w:id="9699" w:name="_Toc98755833"/>
      <w:bookmarkStart w:id="9700" w:name="_Toc98763425"/>
      <w:bookmarkStart w:id="9701" w:name="_Toc106184354"/>
      <w:r w:rsidRPr="00EA3B97">
        <w:rPr>
          <w:rFonts w:eastAsiaTheme="minorEastAsia"/>
          <w:snapToGrid w:val="0"/>
        </w:rPr>
        <w:t>G.1.1.1.1</w:t>
      </w:r>
      <w:r w:rsidRPr="00EA3B97">
        <w:rPr>
          <w:rFonts w:eastAsiaTheme="minorEastAsia"/>
          <w:snapToGrid w:val="0"/>
        </w:rPr>
        <w:tab/>
        <w:t>TDD</w:t>
      </w:r>
      <w:bookmarkEnd w:id="9694"/>
      <w:bookmarkEnd w:id="9695"/>
      <w:bookmarkEnd w:id="9696"/>
      <w:bookmarkEnd w:id="9697"/>
      <w:bookmarkEnd w:id="9698"/>
      <w:bookmarkEnd w:id="9699"/>
      <w:bookmarkEnd w:id="9700"/>
      <w:bookmarkEnd w:id="9701"/>
    </w:p>
    <w:p w14:paraId="5C5EF176" w14:textId="77777777" w:rsidR="003A71DE" w:rsidRPr="00EA3B97" w:rsidRDefault="003A71DE" w:rsidP="006578B5">
      <w:pPr>
        <w:pStyle w:val="TH"/>
        <w:rPr>
          <w:rFonts w:eastAsiaTheme="minorEastAsia"/>
        </w:rPr>
      </w:pPr>
      <w:r w:rsidRPr="00EA3B97">
        <w:rPr>
          <w:rFonts w:eastAsiaTheme="minorEastAsia"/>
        </w:rPr>
        <w:t>Table G.1.1.1.1-1: PDSCH Reference Measurement Channels for SCS=15kHz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709"/>
        <w:gridCol w:w="1048"/>
        <w:gridCol w:w="915"/>
        <w:gridCol w:w="915"/>
        <w:gridCol w:w="915"/>
        <w:gridCol w:w="915"/>
        <w:gridCol w:w="915"/>
        <w:gridCol w:w="911"/>
      </w:tblGrid>
      <w:tr w:rsidR="003A71DE" w:rsidRPr="00EA3B97" w14:paraId="635DD37E"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4162249E" w14:textId="77777777" w:rsidR="003A71DE" w:rsidRPr="00EA3B97" w:rsidRDefault="003A71DE" w:rsidP="00D84FA9">
            <w:pPr>
              <w:pStyle w:val="TAH"/>
              <w:rPr>
                <w:rFonts w:eastAsiaTheme="minorEastAsia"/>
              </w:rPr>
            </w:pPr>
            <w:r w:rsidRPr="00EA3B97">
              <w:rPr>
                <w:rFonts w:eastAsiaTheme="minorEastAsia"/>
              </w:rPr>
              <w:t>Parameter</w:t>
            </w:r>
          </w:p>
        </w:tc>
        <w:tc>
          <w:tcPr>
            <w:tcW w:w="368" w:type="pct"/>
            <w:tcBorders>
              <w:top w:val="single" w:sz="4" w:space="0" w:color="auto"/>
              <w:left w:val="single" w:sz="4" w:space="0" w:color="auto"/>
              <w:bottom w:val="single" w:sz="4" w:space="0" w:color="auto"/>
              <w:right w:val="single" w:sz="4" w:space="0" w:color="auto"/>
            </w:tcBorders>
            <w:hideMark/>
          </w:tcPr>
          <w:p w14:paraId="6D23A713" w14:textId="77777777" w:rsidR="003A71DE" w:rsidRPr="00EA3B97" w:rsidRDefault="003A71DE" w:rsidP="00D84FA9">
            <w:pPr>
              <w:pStyle w:val="TAH"/>
              <w:rPr>
                <w:rFonts w:eastAsiaTheme="minorEastAsia"/>
              </w:rPr>
            </w:pPr>
            <w:r w:rsidRPr="00EA3B97">
              <w:rPr>
                <w:rFonts w:eastAsiaTheme="minorEastAsia"/>
              </w:rPr>
              <w:t>Unit</w:t>
            </w:r>
          </w:p>
        </w:tc>
        <w:tc>
          <w:tcPr>
            <w:tcW w:w="3392" w:type="pct"/>
            <w:gridSpan w:val="7"/>
            <w:tcBorders>
              <w:top w:val="single" w:sz="4" w:space="0" w:color="auto"/>
              <w:left w:val="single" w:sz="4" w:space="0" w:color="auto"/>
              <w:bottom w:val="single" w:sz="4" w:space="0" w:color="auto"/>
              <w:right w:val="single" w:sz="4" w:space="0" w:color="auto"/>
            </w:tcBorders>
            <w:hideMark/>
          </w:tcPr>
          <w:p w14:paraId="0BCD7067" w14:textId="77777777" w:rsidR="003A71DE" w:rsidRPr="00EA3B97" w:rsidRDefault="003A71DE" w:rsidP="00D84FA9">
            <w:pPr>
              <w:pStyle w:val="TAH"/>
              <w:rPr>
                <w:rFonts w:eastAsiaTheme="minorEastAsia"/>
              </w:rPr>
            </w:pPr>
            <w:r w:rsidRPr="00EA3B97">
              <w:rPr>
                <w:rFonts w:eastAsiaTheme="minorEastAsia"/>
              </w:rPr>
              <w:t>Value</w:t>
            </w:r>
          </w:p>
        </w:tc>
      </w:tr>
      <w:tr w:rsidR="003A71DE" w:rsidRPr="00EA3B97" w14:paraId="14F9C00D"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21876BD5" w14:textId="77777777" w:rsidR="003A71DE" w:rsidRPr="00EA3B97" w:rsidRDefault="003A71DE" w:rsidP="00D84FA9">
            <w:pPr>
              <w:pStyle w:val="TAL"/>
              <w:rPr>
                <w:rFonts w:eastAsiaTheme="minorEastAsia"/>
              </w:rPr>
            </w:pPr>
            <w:r w:rsidRPr="00EA3B97">
              <w:rPr>
                <w:rFonts w:eastAsiaTheme="minorEastAsia"/>
              </w:rPr>
              <w:t>Reference channel</w:t>
            </w:r>
          </w:p>
        </w:tc>
        <w:tc>
          <w:tcPr>
            <w:tcW w:w="368" w:type="pct"/>
            <w:tcBorders>
              <w:top w:val="single" w:sz="4" w:space="0" w:color="auto"/>
              <w:left w:val="single" w:sz="4" w:space="0" w:color="auto"/>
              <w:bottom w:val="single" w:sz="4" w:space="0" w:color="auto"/>
              <w:right w:val="single" w:sz="4" w:space="0" w:color="auto"/>
            </w:tcBorders>
          </w:tcPr>
          <w:p w14:paraId="634082CC"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3CE6C3B2" w14:textId="77777777" w:rsidR="003A71DE" w:rsidRPr="00EA3B97" w:rsidRDefault="003A71DE" w:rsidP="00D84FA9">
            <w:pPr>
              <w:pStyle w:val="TAC"/>
              <w:rPr>
                <w:rFonts w:eastAsiaTheme="minorEastAsia"/>
              </w:rPr>
            </w:pPr>
            <w:r w:rsidRPr="00EA3B97">
              <w:rPr>
                <w:rFonts w:eastAsiaTheme="minorEastAsia"/>
              </w:rPr>
              <w:t>SR.1.1 TDD</w:t>
            </w:r>
          </w:p>
        </w:tc>
        <w:tc>
          <w:tcPr>
            <w:tcW w:w="475" w:type="pct"/>
            <w:tcBorders>
              <w:top w:val="single" w:sz="4" w:space="0" w:color="auto"/>
              <w:left w:val="single" w:sz="4" w:space="0" w:color="auto"/>
              <w:bottom w:val="single" w:sz="4" w:space="0" w:color="auto"/>
              <w:right w:val="single" w:sz="4" w:space="0" w:color="auto"/>
            </w:tcBorders>
          </w:tcPr>
          <w:p w14:paraId="7BEE599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1F0764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0F5B20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CBA4C5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20EB79B"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49A6899A" w14:textId="77777777" w:rsidR="003A71DE" w:rsidRPr="00EA3B97" w:rsidRDefault="003A71DE" w:rsidP="00D84FA9">
            <w:pPr>
              <w:pStyle w:val="TAC"/>
              <w:rPr>
                <w:rFonts w:eastAsiaTheme="minorEastAsia"/>
              </w:rPr>
            </w:pPr>
          </w:p>
        </w:tc>
      </w:tr>
      <w:tr w:rsidR="003A71DE" w:rsidRPr="00EA3B97" w14:paraId="6C9AF45D"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4C4963CD" w14:textId="77777777" w:rsidR="003A71DE" w:rsidRPr="00EA3B97" w:rsidRDefault="003A71DE" w:rsidP="00D84FA9">
            <w:pPr>
              <w:pStyle w:val="TAL"/>
              <w:rPr>
                <w:rFonts w:eastAsiaTheme="minorEastAsia"/>
              </w:rPr>
            </w:pPr>
            <w:r w:rsidRPr="00EA3B97">
              <w:rPr>
                <w:rFonts w:eastAsiaTheme="minorEastAsia"/>
              </w:rPr>
              <w:t>Channel bandwidth</w:t>
            </w:r>
          </w:p>
        </w:tc>
        <w:tc>
          <w:tcPr>
            <w:tcW w:w="368" w:type="pct"/>
            <w:tcBorders>
              <w:top w:val="single" w:sz="4" w:space="0" w:color="auto"/>
              <w:left w:val="single" w:sz="4" w:space="0" w:color="auto"/>
              <w:bottom w:val="single" w:sz="4" w:space="0" w:color="auto"/>
              <w:right w:val="single" w:sz="4" w:space="0" w:color="auto"/>
            </w:tcBorders>
            <w:hideMark/>
          </w:tcPr>
          <w:p w14:paraId="36868857" w14:textId="77777777" w:rsidR="003A71DE" w:rsidRPr="00EA3B97" w:rsidRDefault="003A71DE" w:rsidP="00D84FA9">
            <w:pPr>
              <w:pStyle w:val="TAC"/>
              <w:rPr>
                <w:rFonts w:eastAsiaTheme="minorEastAsia"/>
              </w:rPr>
            </w:pPr>
            <w:r w:rsidRPr="00EA3B97">
              <w:rPr>
                <w:rFonts w:eastAsiaTheme="minorEastAsia"/>
              </w:rPr>
              <w:t>MHz</w:t>
            </w:r>
          </w:p>
        </w:tc>
        <w:tc>
          <w:tcPr>
            <w:tcW w:w="544" w:type="pct"/>
            <w:tcBorders>
              <w:top w:val="single" w:sz="4" w:space="0" w:color="auto"/>
              <w:left w:val="single" w:sz="4" w:space="0" w:color="auto"/>
              <w:bottom w:val="single" w:sz="4" w:space="0" w:color="auto"/>
              <w:right w:val="single" w:sz="4" w:space="0" w:color="auto"/>
            </w:tcBorders>
            <w:hideMark/>
          </w:tcPr>
          <w:p w14:paraId="6229356A" w14:textId="77777777" w:rsidR="003A71DE" w:rsidRPr="00EA3B97" w:rsidRDefault="003A71DE" w:rsidP="00D84FA9">
            <w:pPr>
              <w:pStyle w:val="TAC"/>
              <w:rPr>
                <w:rFonts w:eastAsiaTheme="minorEastAsia"/>
              </w:rPr>
            </w:pPr>
            <w:r w:rsidRPr="00EA3B97">
              <w:rPr>
                <w:rFonts w:eastAsiaTheme="minorEastAsia"/>
              </w:rPr>
              <w:t>10</w:t>
            </w:r>
          </w:p>
        </w:tc>
        <w:tc>
          <w:tcPr>
            <w:tcW w:w="475" w:type="pct"/>
            <w:tcBorders>
              <w:top w:val="single" w:sz="4" w:space="0" w:color="auto"/>
              <w:left w:val="single" w:sz="4" w:space="0" w:color="auto"/>
              <w:bottom w:val="single" w:sz="4" w:space="0" w:color="auto"/>
              <w:right w:val="single" w:sz="4" w:space="0" w:color="auto"/>
            </w:tcBorders>
          </w:tcPr>
          <w:p w14:paraId="61F30C1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424578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13EA93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BEE6E4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509AF0D"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7F8D58F7" w14:textId="77777777" w:rsidR="003A71DE" w:rsidRPr="00EA3B97" w:rsidRDefault="003A71DE" w:rsidP="00D84FA9">
            <w:pPr>
              <w:pStyle w:val="TAC"/>
              <w:rPr>
                <w:rFonts w:eastAsiaTheme="minorEastAsia"/>
              </w:rPr>
            </w:pPr>
          </w:p>
        </w:tc>
      </w:tr>
      <w:tr w:rsidR="003A71DE" w:rsidRPr="00EA3B97" w14:paraId="257920FA"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0F9D7EB6" w14:textId="77777777" w:rsidR="003A71DE" w:rsidRPr="00EA3B97" w:rsidRDefault="003A71DE" w:rsidP="00D84FA9">
            <w:pPr>
              <w:pStyle w:val="TAL"/>
              <w:rPr>
                <w:rFonts w:eastAsiaTheme="minorEastAsia"/>
              </w:rPr>
            </w:pPr>
            <w:r w:rsidRPr="00EA3B97">
              <w:rPr>
                <w:rFonts w:eastAsiaTheme="minorEastAsia"/>
              </w:rPr>
              <w:t>Number of transmitter antennas</w:t>
            </w:r>
          </w:p>
        </w:tc>
        <w:tc>
          <w:tcPr>
            <w:tcW w:w="368" w:type="pct"/>
            <w:tcBorders>
              <w:top w:val="single" w:sz="4" w:space="0" w:color="auto"/>
              <w:left w:val="single" w:sz="4" w:space="0" w:color="auto"/>
              <w:bottom w:val="single" w:sz="4" w:space="0" w:color="auto"/>
              <w:right w:val="single" w:sz="4" w:space="0" w:color="auto"/>
            </w:tcBorders>
          </w:tcPr>
          <w:p w14:paraId="2812C763"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7377EE70" w14:textId="77777777" w:rsidR="003A71DE" w:rsidRPr="00EA3B97" w:rsidRDefault="003A71DE" w:rsidP="00D84FA9">
            <w:pPr>
              <w:pStyle w:val="TAC"/>
              <w:rPr>
                <w:rFonts w:eastAsiaTheme="minorEastAsia"/>
                <w:strike/>
              </w:rPr>
            </w:pPr>
            <w:r w:rsidRPr="00EA3B97">
              <w:rPr>
                <w:rFonts w:eastAsiaTheme="minorEastAsia"/>
                <w:lang w:eastAsia="zh-CN"/>
              </w:rPr>
              <w:t>1</w:t>
            </w:r>
          </w:p>
        </w:tc>
        <w:tc>
          <w:tcPr>
            <w:tcW w:w="475" w:type="pct"/>
            <w:tcBorders>
              <w:top w:val="single" w:sz="4" w:space="0" w:color="auto"/>
              <w:left w:val="single" w:sz="4" w:space="0" w:color="auto"/>
              <w:bottom w:val="single" w:sz="4" w:space="0" w:color="auto"/>
              <w:right w:val="single" w:sz="4" w:space="0" w:color="auto"/>
            </w:tcBorders>
          </w:tcPr>
          <w:p w14:paraId="5B0337D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5824EB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313400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48C8CE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F059E5A"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1598E440" w14:textId="77777777" w:rsidR="003A71DE" w:rsidRPr="00EA3B97" w:rsidRDefault="003A71DE" w:rsidP="00D84FA9">
            <w:pPr>
              <w:pStyle w:val="TAC"/>
              <w:rPr>
                <w:rFonts w:eastAsiaTheme="minorEastAsia"/>
              </w:rPr>
            </w:pPr>
          </w:p>
        </w:tc>
      </w:tr>
      <w:tr w:rsidR="003A71DE" w:rsidRPr="00EA3B97" w14:paraId="7FEFE14E"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32F2D35D" w14:textId="77777777" w:rsidR="003A71DE" w:rsidRPr="00EA3B97" w:rsidRDefault="003A71DE" w:rsidP="00D84FA9">
            <w:pPr>
              <w:pStyle w:val="TAL"/>
              <w:rPr>
                <w:rFonts w:eastAsiaTheme="minorEastAsia"/>
              </w:rPr>
            </w:pPr>
            <w:r w:rsidRPr="00EA3B97">
              <w:rPr>
                <w:rFonts w:eastAsiaTheme="minorEastAsia"/>
              </w:rPr>
              <w:t xml:space="preserve">Allocated resource blocks for PDSCH </w:t>
            </w:r>
            <w:r w:rsidRPr="00EA3B97">
              <w:rPr>
                <w:rFonts w:eastAsiaTheme="minorEastAsia"/>
                <w:vertAlign w:val="superscript"/>
              </w:rPr>
              <w:t>Note 1</w:t>
            </w:r>
          </w:p>
        </w:tc>
        <w:tc>
          <w:tcPr>
            <w:tcW w:w="368" w:type="pct"/>
            <w:tcBorders>
              <w:top w:val="single" w:sz="4" w:space="0" w:color="auto"/>
              <w:left w:val="single" w:sz="4" w:space="0" w:color="auto"/>
              <w:bottom w:val="single" w:sz="4" w:space="0" w:color="auto"/>
              <w:right w:val="single" w:sz="4" w:space="0" w:color="auto"/>
            </w:tcBorders>
          </w:tcPr>
          <w:p w14:paraId="28A367A2"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1FCB8B51" w14:textId="77777777" w:rsidR="003A71DE" w:rsidRPr="00EA3B97" w:rsidRDefault="003A71DE" w:rsidP="00D84FA9">
            <w:pPr>
              <w:pStyle w:val="TAC"/>
              <w:rPr>
                <w:rFonts w:eastAsiaTheme="minorEastAsia"/>
                <w:strike/>
              </w:rPr>
            </w:pPr>
            <w:r w:rsidRPr="00EA3B97">
              <w:rPr>
                <w:rFonts w:eastAsiaTheme="minorEastAsia"/>
                <w:lang w:eastAsia="zh-CN"/>
              </w:rPr>
              <w:t>24</w:t>
            </w:r>
          </w:p>
        </w:tc>
        <w:tc>
          <w:tcPr>
            <w:tcW w:w="475" w:type="pct"/>
            <w:tcBorders>
              <w:top w:val="single" w:sz="4" w:space="0" w:color="auto"/>
              <w:left w:val="single" w:sz="4" w:space="0" w:color="auto"/>
              <w:bottom w:val="single" w:sz="4" w:space="0" w:color="auto"/>
              <w:right w:val="single" w:sz="4" w:space="0" w:color="auto"/>
            </w:tcBorders>
          </w:tcPr>
          <w:p w14:paraId="5EAC779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975D66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8AEAD0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0315C5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0B0F556"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5FC0BBC2" w14:textId="77777777" w:rsidR="003A71DE" w:rsidRPr="00EA3B97" w:rsidRDefault="003A71DE" w:rsidP="00D84FA9">
            <w:pPr>
              <w:pStyle w:val="TAC"/>
              <w:rPr>
                <w:rFonts w:eastAsiaTheme="minorEastAsia"/>
              </w:rPr>
            </w:pPr>
          </w:p>
        </w:tc>
      </w:tr>
      <w:tr w:rsidR="003A71DE" w:rsidRPr="00EA3B97" w14:paraId="130FBE26"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30A379C1" w14:textId="77777777" w:rsidR="003A71DE" w:rsidRPr="00EA3B97" w:rsidRDefault="003A71DE" w:rsidP="00D84FA9">
            <w:pPr>
              <w:pStyle w:val="TAL"/>
              <w:rPr>
                <w:rFonts w:eastAsiaTheme="minorEastAsia"/>
              </w:rPr>
            </w:pPr>
            <w:r w:rsidRPr="00EA3B97">
              <w:rPr>
                <w:rFonts w:eastAsiaTheme="minorEastAsia"/>
              </w:rPr>
              <w:t>Allocated slots per Radio Frame</w:t>
            </w:r>
          </w:p>
        </w:tc>
        <w:tc>
          <w:tcPr>
            <w:tcW w:w="368" w:type="pct"/>
            <w:tcBorders>
              <w:top w:val="single" w:sz="4" w:space="0" w:color="auto"/>
              <w:left w:val="single" w:sz="4" w:space="0" w:color="auto"/>
              <w:bottom w:val="single" w:sz="4" w:space="0" w:color="auto"/>
              <w:right w:val="single" w:sz="4" w:space="0" w:color="auto"/>
            </w:tcBorders>
          </w:tcPr>
          <w:p w14:paraId="0A82A3E1"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tcPr>
          <w:p w14:paraId="50D59C2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DD4142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C1503E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D43FE4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47DB9B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64A5A80"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4D7EC31B" w14:textId="77777777" w:rsidR="003A71DE" w:rsidRPr="00EA3B97" w:rsidRDefault="003A71DE" w:rsidP="00D84FA9">
            <w:pPr>
              <w:pStyle w:val="TAC"/>
              <w:rPr>
                <w:rFonts w:eastAsiaTheme="minorEastAsia"/>
              </w:rPr>
            </w:pPr>
          </w:p>
        </w:tc>
      </w:tr>
      <w:tr w:rsidR="003A71DE" w:rsidRPr="00EA3B97" w14:paraId="5DDB1339"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5DFE7B63" w14:textId="77777777" w:rsidR="003A71DE" w:rsidRPr="00EA3B97" w:rsidRDefault="003A71DE" w:rsidP="00D84FA9">
            <w:pPr>
              <w:pStyle w:val="TAL"/>
              <w:rPr>
                <w:rFonts w:eastAsiaTheme="minorEastAsia"/>
              </w:rPr>
            </w:pPr>
            <w:r w:rsidRPr="00EA3B97">
              <w:rPr>
                <w:rFonts w:eastAsiaTheme="minorEastAsia"/>
              </w:rPr>
              <w:t xml:space="preserve">  Radio frame containing SSB</w:t>
            </w:r>
          </w:p>
        </w:tc>
        <w:tc>
          <w:tcPr>
            <w:tcW w:w="368" w:type="pct"/>
            <w:tcBorders>
              <w:top w:val="single" w:sz="4" w:space="0" w:color="auto"/>
              <w:left w:val="single" w:sz="4" w:space="0" w:color="auto"/>
              <w:bottom w:val="single" w:sz="4" w:space="0" w:color="auto"/>
              <w:right w:val="single" w:sz="4" w:space="0" w:color="auto"/>
            </w:tcBorders>
            <w:hideMark/>
          </w:tcPr>
          <w:p w14:paraId="06D07F07" w14:textId="77777777" w:rsidR="003A71DE" w:rsidRPr="00EA3B97" w:rsidRDefault="003A71DE" w:rsidP="00D84FA9">
            <w:pPr>
              <w:pStyle w:val="TAC"/>
              <w:rPr>
                <w:rFonts w:eastAsiaTheme="minorEastAsia"/>
              </w:rPr>
            </w:pPr>
            <w:r w:rsidRPr="00EA3B97">
              <w:rPr>
                <w:rFonts w:eastAsiaTheme="minorEastAsia"/>
              </w:rPr>
              <w:t>slots</w:t>
            </w:r>
          </w:p>
        </w:tc>
        <w:tc>
          <w:tcPr>
            <w:tcW w:w="544" w:type="pct"/>
            <w:tcBorders>
              <w:top w:val="single" w:sz="4" w:space="0" w:color="auto"/>
              <w:left w:val="single" w:sz="4" w:space="0" w:color="auto"/>
              <w:bottom w:val="single" w:sz="4" w:space="0" w:color="auto"/>
              <w:right w:val="single" w:sz="4" w:space="0" w:color="auto"/>
            </w:tcBorders>
            <w:hideMark/>
          </w:tcPr>
          <w:p w14:paraId="07A5DEE7" w14:textId="77777777" w:rsidR="003A71DE" w:rsidRPr="00EA3B97" w:rsidRDefault="003A71DE" w:rsidP="00D84FA9">
            <w:pPr>
              <w:pStyle w:val="TAC"/>
              <w:rPr>
                <w:rFonts w:eastAsiaTheme="minorEastAsia"/>
                <w:lang w:eastAsia="zh-CN"/>
              </w:rPr>
            </w:pPr>
            <w:r w:rsidRPr="00EA3B97">
              <w:rPr>
                <w:rFonts w:eastAsiaTheme="minorEastAsia"/>
                <w:lang w:eastAsia="zh-CN"/>
              </w:rPr>
              <w:t>Note 5</w:t>
            </w:r>
          </w:p>
        </w:tc>
        <w:tc>
          <w:tcPr>
            <w:tcW w:w="475" w:type="pct"/>
            <w:tcBorders>
              <w:top w:val="single" w:sz="4" w:space="0" w:color="auto"/>
              <w:left w:val="single" w:sz="4" w:space="0" w:color="auto"/>
              <w:bottom w:val="single" w:sz="4" w:space="0" w:color="auto"/>
              <w:right w:val="single" w:sz="4" w:space="0" w:color="auto"/>
            </w:tcBorders>
          </w:tcPr>
          <w:p w14:paraId="0164EF9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848BCD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980578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BAB6EF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ACDA8E4"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4ED50985" w14:textId="77777777" w:rsidR="003A71DE" w:rsidRPr="00EA3B97" w:rsidRDefault="003A71DE" w:rsidP="00D84FA9">
            <w:pPr>
              <w:pStyle w:val="TAC"/>
              <w:rPr>
                <w:rFonts w:eastAsiaTheme="minorEastAsia"/>
              </w:rPr>
            </w:pPr>
          </w:p>
        </w:tc>
      </w:tr>
      <w:tr w:rsidR="003A71DE" w:rsidRPr="00EA3B97" w14:paraId="7B257CE3"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387D5EBA" w14:textId="77777777" w:rsidR="003A71DE" w:rsidRPr="00EA3B97" w:rsidRDefault="003A71DE" w:rsidP="00D84FA9">
            <w:pPr>
              <w:pStyle w:val="TAL"/>
              <w:rPr>
                <w:rFonts w:eastAsiaTheme="minorEastAsia"/>
              </w:rPr>
            </w:pPr>
            <w:r w:rsidRPr="00EA3B97">
              <w:rPr>
                <w:rFonts w:eastAsiaTheme="minorEastAsia"/>
              </w:rPr>
              <w:t xml:space="preserve">  Radio frame not containing SSB</w:t>
            </w:r>
          </w:p>
        </w:tc>
        <w:tc>
          <w:tcPr>
            <w:tcW w:w="368" w:type="pct"/>
            <w:tcBorders>
              <w:top w:val="single" w:sz="4" w:space="0" w:color="auto"/>
              <w:left w:val="single" w:sz="4" w:space="0" w:color="auto"/>
              <w:bottom w:val="single" w:sz="4" w:space="0" w:color="auto"/>
              <w:right w:val="single" w:sz="4" w:space="0" w:color="auto"/>
            </w:tcBorders>
            <w:hideMark/>
          </w:tcPr>
          <w:p w14:paraId="3CA7EA6D" w14:textId="77777777" w:rsidR="003A71DE" w:rsidRPr="00EA3B97" w:rsidRDefault="003A71DE" w:rsidP="00D84FA9">
            <w:pPr>
              <w:pStyle w:val="TAC"/>
              <w:rPr>
                <w:rFonts w:eastAsiaTheme="minorEastAsia"/>
              </w:rPr>
            </w:pPr>
            <w:r w:rsidRPr="00EA3B97">
              <w:rPr>
                <w:rFonts w:eastAsiaTheme="minorEastAsia"/>
              </w:rPr>
              <w:t>slots</w:t>
            </w:r>
          </w:p>
        </w:tc>
        <w:tc>
          <w:tcPr>
            <w:tcW w:w="544" w:type="pct"/>
            <w:tcBorders>
              <w:top w:val="single" w:sz="4" w:space="0" w:color="auto"/>
              <w:left w:val="single" w:sz="4" w:space="0" w:color="auto"/>
              <w:bottom w:val="single" w:sz="4" w:space="0" w:color="auto"/>
              <w:right w:val="single" w:sz="4" w:space="0" w:color="auto"/>
            </w:tcBorders>
            <w:hideMark/>
          </w:tcPr>
          <w:p w14:paraId="10D91DCF" w14:textId="77777777" w:rsidR="003A71DE" w:rsidRPr="00EA3B97" w:rsidRDefault="003A71DE" w:rsidP="00D84FA9">
            <w:pPr>
              <w:pStyle w:val="TAC"/>
              <w:rPr>
                <w:rFonts w:eastAsiaTheme="minorEastAsia"/>
                <w:lang w:eastAsia="zh-CN"/>
              </w:rPr>
            </w:pPr>
            <w:r w:rsidRPr="00EA3B97">
              <w:rPr>
                <w:rFonts w:eastAsiaTheme="minorEastAsia"/>
                <w:lang w:eastAsia="zh-CN"/>
              </w:rPr>
              <w:t>4</w:t>
            </w:r>
          </w:p>
        </w:tc>
        <w:tc>
          <w:tcPr>
            <w:tcW w:w="475" w:type="pct"/>
            <w:tcBorders>
              <w:top w:val="single" w:sz="4" w:space="0" w:color="auto"/>
              <w:left w:val="single" w:sz="4" w:space="0" w:color="auto"/>
              <w:bottom w:val="single" w:sz="4" w:space="0" w:color="auto"/>
              <w:right w:val="single" w:sz="4" w:space="0" w:color="auto"/>
            </w:tcBorders>
          </w:tcPr>
          <w:p w14:paraId="7459493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05BAE7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8409DB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1F0305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67AEA3E"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447943A9" w14:textId="77777777" w:rsidR="003A71DE" w:rsidRPr="00EA3B97" w:rsidRDefault="003A71DE" w:rsidP="00D84FA9">
            <w:pPr>
              <w:pStyle w:val="TAC"/>
              <w:rPr>
                <w:rFonts w:eastAsiaTheme="minorEastAsia"/>
              </w:rPr>
            </w:pPr>
          </w:p>
        </w:tc>
      </w:tr>
      <w:tr w:rsidR="003A71DE" w:rsidRPr="00EA3B97" w14:paraId="618368D8"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68351024" w14:textId="77777777" w:rsidR="003A71DE" w:rsidRPr="00EA3B97" w:rsidRDefault="003A71DE" w:rsidP="00D84FA9">
            <w:pPr>
              <w:pStyle w:val="TAL"/>
              <w:rPr>
                <w:rFonts w:eastAsiaTheme="minorEastAsia"/>
              </w:rPr>
            </w:pPr>
            <w:r w:rsidRPr="00EA3B97">
              <w:rPr>
                <w:rFonts w:eastAsiaTheme="minorEastAsia"/>
              </w:rPr>
              <w:t>MCS table</w:t>
            </w:r>
          </w:p>
        </w:tc>
        <w:tc>
          <w:tcPr>
            <w:tcW w:w="368" w:type="pct"/>
            <w:tcBorders>
              <w:top w:val="single" w:sz="4" w:space="0" w:color="auto"/>
              <w:left w:val="single" w:sz="4" w:space="0" w:color="auto"/>
              <w:bottom w:val="single" w:sz="4" w:space="0" w:color="auto"/>
              <w:right w:val="single" w:sz="4" w:space="0" w:color="auto"/>
            </w:tcBorders>
          </w:tcPr>
          <w:p w14:paraId="56B922B2"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1774FCE7" w14:textId="77777777" w:rsidR="003A71DE" w:rsidRPr="00EA3B97" w:rsidRDefault="003A71DE" w:rsidP="00D84FA9">
            <w:pPr>
              <w:pStyle w:val="TAC"/>
              <w:rPr>
                <w:rFonts w:eastAsiaTheme="minorEastAsia"/>
                <w:lang w:eastAsia="zh-CN"/>
              </w:rPr>
            </w:pPr>
            <w:r w:rsidRPr="00EA3B97">
              <w:rPr>
                <w:rFonts w:eastAsiaTheme="minorEastAsia"/>
                <w:lang w:eastAsia="zh-CN"/>
              </w:rPr>
              <w:t>64QAM</w:t>
            </w:r>
          </w:p>
        </w:tc>
        <w:tc>
          <w:tcPr>
            <w:tcW w:w="475" w:type="pct"/>
            <w:tcBorders>
              <w:top w:val="single" w:sz="4" w:space="0" w:color="auto"/>
              <w:left w:val="single" w:sz="4" w:space="0" w:color="auto"/>
              <w:bottom w:val="single" w:sz="4" w:space="0" w:color="auto"/>
              <w:right w:val="single" w:sz="4" w:space="0" w:color="auto"/>
            </w:tcBorders>
          </w:tcPr>
          <w:p w14:paraId="7E16F58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1D5D3B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32822F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5D257D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18195F8"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13633F63" w14:textId="77777777" w:rsidR="003A71DE" w:rsidRPr="00EA3B97" w:rsidRDefault="003A71DE" w:rsidP="00D84FA9">
            <w:pPr>
              <w:pStyle w:val="TAC"/>
              <w:rPr>
                <w:rFonts w:eastAsiaTheme="minorEastAsia"/>
              </w:rPr>
            </w:pPr>
          </w:p>
        </w:tc>
      </w:tr>
      <w:tr w:rsidR="003A71DE" w:rsidRPr="00EA3B97" w14:paraId="3AF03B47"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095A02EF" w14:textId="77777777" w:rsidR="003A71DE" w:rsidRPr="00EA3B97" w:rsidRDefault="003A71DE" w:rsidP="00D84FA9">
            <w:pPr>
              <w:pStyle w:val="TAL"/>
              <w:rPr>
                <w:rFonts w:eastAsiaTheme="minorEastAsia"/>
              </w:rPr>
            </w:pPr>
            <w:r w:rsidRPr="00EA3B97">
              <w:rPr>
                <w:rFonts w:eastAsiaTheme="minorEastAsia"/>
              </w:rPr>
              <w:t>MCS index</w:t>
            </w:r>
          </w:p>
        </w:tc>
        <w:tc>
          <w:tcPr>
            <w:tcW w:w="368" w:type="pct"/>
            <w:tcBorders>
              <w:top w:val="single" w:sz="4" w:space="0" w:color="auto"/>
              <w:left w:val="single" w:sz="4" w:space="0" w:color="auto"/>
              <w:bottom w:val="single" w:sz="4" w:space="0" w:color="auto"/>
              <w:right w:val="single" w:sz="4" w:space="0" w:color="auto"/>
            </w:tcBorders>
          </w:tcPr>
          <w:p w14:paraId="5D2F43D8"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794A9812" w14:textId="77777777" w:rsidR="003A71DE" w:rsidRPr="00EA3B97" w:rsidRDefault="003A71DE" w:rsidP="00D84FA9">
            <w:pPr>
              <w:pStyle w:val="TAC"/>
              <w:rPr>
                <w:rFonts w:eastAsiaTheme="minorEastAsia"/>
                <w:lang w:eastAsia="zh-CN"/>
              </w:rPr>
            </w:pPr>
            <w:r w:rsidRPr="00EA3B97">
              <w:rPr>
                <w:rFonts w:eastAsiaTheme="minorEastAsia"/>
                <w:lang w:eastAsia="zh-CN"/>
              </w:rPr>
              <w:t>4</w:t>
            </w:r>
          </w:p>
        </w:tc>
        <w:tc>
          <w:tcPr>
            <w:tcW w:w="475" w:type="pct"/>
            <w:tcBorders>
              <w:top w:val="single" w:sz="4" w:space="0" w:color="auto"/>
              <w:left w:val="single" w:sz="4" w:space="0" w:color="auto"/>
              <w:bottom w:val="single" w:sz="4" w:space="0" w:color="auto"/>
              <w:right w:val="single" w:sz="4" w:space="0" w:color="auto"/>
            </w:tcBorders>
          </w:tcPr>
          <w:p w14:paraId="3DB8EC3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A4BCA2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89847B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504EF6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9614923"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243FB42F" w14:textId="77777777" w:rsidR="003A71DE" w:rsidRPr="00EA3B97" w:rsidRDefault="003A71DE" w:rsidP="00D84FA9">
            <w:pPr>
              <w:pStyle w:val="TAC"/>
              <w:rPr>
                <w:rFonts w:eastAsiaTheme="minorEastAsia"/>
              </w:rPr>
            </w:pPr>
          </w:p>
        </w:tc>
      </w:tr>
      <w:tr w:rsidR="003A71DE" w:rsidRPr="00EA3B97" w14:paraId="1AF418D1"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2D1EE238" w14:textId="77777777" w:rsidR="003A71DE" w:rsidRPr="00EA3B97" w:rsidRDefault="003A71DE" w:rsidP="00D84FA9">
            <w:pPr>
              <w:pStyle w:val="TAL"/>
              <w:rPr>
                <w:rFonts w:eastAsiaTheme="minorEastAsia"/>
              </w:rPr>
            </w:pPr>
            <w:r w:rsidRPr="00EA3B97">
              <w:rPr>
                <w:rFonts w:eastAsiaTheme="minorEastAsia"/>
              </w:rPr>
              <w:t>Modulation</w:t>
            </w:r>
          </w:p>
        </w:tc>
        <w:tc>
          <w:tcPr>
            <w:tcW w:w="368" w:type="pct"/>
            <w:tcBorders>
              <w:top w:val="single" w:sz="4" w:space="0" w:color="auto"/>
              <w:left w:val="single" w:sz="4" w:space="0" w:color="auto"/>
              <w:bottom w:val="single" w:sz="4" w:space="0" w:color="auto"/>
              <w:right w:val="single" w:sz="4" w:space="0" w:color="auto"/>
            </w:tcBorders>
          </w:tcPr>
          <w:p w14:paraId="14D94681"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6E727344" w14:textId="77777777" w:rsidR="003A71DE" w:rsidRPr="00EA3B97" w:rsidRDefault="003A71DE" w:rsidP="00D84FA9">
            <w:pPr>
              <w:pStyle w:val="TAC"/>
              <w:rPr>
                <w:rFonts w:eastAsiaTheme="minorEastAsia"/>
              </w:rPr>
            </w:pPr>
            <w:r w:rsidRPr="00EA3B97">
              <w:rPr>
                <w:rFonts w:eastAsiaTheme="minorEastAsia"/>
                <w:lang w:eastAsia="zh-CN"/>
              </w:rPr>
              <w:t>QPSK</w:t>
            </w:r>
          </w:p>
        </w:tc>
        <w:tc>
          <w:tcPr>
            <w:tcW w:w="475" w:type="pct"/>
            <w:tcBorders>
              <w:top w:val="single" w:sz="4" w:space="0" w:color="auto"/>
              <w:left w:val="single" w:sz="4" w:space="0" w:color="auto"/>
              <w:bottom w:val="single" w:sz="4" w:space="0" w:color="auto"/>
              <w:right w:val="single" w:sz="4" w:space="0" w:color="auto"/>
            </w:tcBorders>
          </w:tcPr>
          <w:p w14:paraId="37BCDE9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3B3BCB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15C8AD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647D87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D490097"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14A8633F" w14:textId="77777777" w:rsidR="003A71DE" w:rsidRPr="00EA3B97" w:rsidRDefault="003A71DE" w:rsidP="00D84FA9">
            <w:pPr>
              <w:pStyle w:val="TAC"/>
              <w:rPr>
                <w:rFonts w:eastAsiaTheme="minorEastAsia"/>
              </w:rPr>
            </w:pPr>
          </w:p>
        </w:tc>
      </w:tr>
      <w:tr w:rsidR="003A71DE" w:rsidRPr="00EA3B97" w14:paraId="2624D8A5"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2168D4DB" w14:textId="77777777" w:rsidR="003A71DE" w:rsidRPr="00EA3B97" w:rsidRDefault="003A71DE" w:rsidP="00D84FA9">
            <w:pPr>
              <w:pStyle w:val="TAL"/>
              <w:rPr>
                <w:rFonts w:eastAsiaTheme="minorEastAsia"/>
              </w:rPr>
            </w:pPr>
            <w:r w:rsidRPr="00EA3B97">
              <w:rPr>
                <w:rFonts w:eastAsiaTheme="minorEastAsia"/>
              </w:rPr>
              <w:t>Target Coding Rate</w:t>
            </w:r>
          </w:p>
        </w:tc>
        <w:tc>
          <w:tcPr>
            <w:tcW w:w="368" w:type="pct"/>
            <w:tcBorders>
              <w:top w:val="single" w:sz="4" w:space="0" w:color="auto"/>
              <w:left w:val="single" w:sz="4" w:space="0" w:color="auto"/>
              <w:bottom w:val="single" w:sz="4" w:space="0" w:color="auto"/>
              <w:right w:val="single" w:sz="4" w:space="0" w:color="auto"/>
            </w:tcBorders>
          </w:tcPr>
          <w:p w14:paraId="4DBAA19C"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0BD6C587" w14:textId="77777777" w:rsidR="003A71DE" w:rsidRPr="00EA3B97" w:rsidRDefault="003A71DE" w:rsidP="00D84FA9">
            <w:pPr>
              <w:pStyle w:val="TAC"/>
              <w:rPr>
                <w:rFonts w:eastAsiaTheme="minorEastAsia"/>
              </w:rPr>
            </w:pPr>
            <w:r w:rsidRPr="00EA3B97">
              <w:rPr>
                <w:rFonts w:eastAsiaTheme="minorEastAsia"/>
                <w:lang w:eastAsia="zh-CN"/>
              </w:rPr>
              <w:t>1/3</w:t>
            </w:r>
          </w:p>
        </w:tc>
        <w:tc>
          <w:tcPr>
            <w:tcW w:w="475" w:type="pct"/>
            <w:tcBorders>
              <w:top w:val="single" w:sz="4" w:space="0" w:color="auto"/>
              <w:left w:val="single" w:sz="4" w:space="0" w:color="auto"/>
              <w:bottom w:val="single" w:sz="4" w:space="0" w:color="auto"/>
              <w:right w:val="single" w:sz="4" w:space="0" w:color="auto"/>
            </w:tcBorders>
          </w:tcPr>
          <w:p w14:paraId="4964761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E12B34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E74BF1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FD327A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2A4ECC9"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6C1CC0FF" w14:textId="77777777" w:rsidR="003A71DE" w:rsidRPr="00EA3B97" w:rsidRDefault="003A71DE" w:rsidP="00D84FA9">
            <w:pPr>
              <w:pStyle w:val="TAC"/>
              <w:rPr>
                <w:rFonts w:eastAsiaTheme="minorEastAsia"/>
              </w:rPr>
            </w:pPr>
          </w:p>
        </w:tc>
      </w:tr>
      <w:tr w:rsidR="003A71DE" w:rsidRPr="00EA3B97" w14:paraId="390CDA64"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6E97FBE5" w14:textId="77777777" w:rsidR="003A71DE" w:rsidRPr="00EA3B97" w:rsidRDefault="003A71DE" w:rsidP="00D84FA9">
            <w:pPr>
              <w:pStyle w:val="TAL"/>
              <w:rPr>
                <w:rFonts w:eastAsiaTheme="minorEastAsia"/>
                <w:lang w:eastAsia="zh-CN"/>
              </w:rPr>
            </w:pPr>
            <w:r w:rsidRPr="00EA3B97">
              <w:rPr>
                <w:rFonts w:eastAsiaTheme="minorEastAsia"/>
                <w:lang w:eastAsia="zh-CN"/>
              </w:rPr>
              <w:t>Number of control symbols</w:t>
            </w:r>
          </w:p>
        </w:tc>
        <w:tc>
          <w:tcPr>
            <w:tcW w:w="368" w:type="pct"/>
            <w:tcBorders>
              <w:top w:val="single" w:sz="4" w:space="0" w:color="auto"/>
              <w:left w:val="single" w:sz="4" w:space="0" w:color="auto"/>
              <w:bottom w:val="single" w:sz="4" w:space="0" w:color="auto"/>
              <w:right w:val="single" w:sz="4" w:space="0" w:color="auto"/>
            </w:tcBorders>
          </w:tcPr>
          <w:p w14:paraId="57A764BE"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4BD0C43C" w14:textId="77777777" w:rsidR="003A71DE" w:rsidRPr="00EA3B97" w:rsidRDefault="003A71DE" w:rsidP="00D84FA9">
            <w:pPr>
              <w:pStyle w:val="TAC"/>
              <w:rPr>
                <w:rFonts w:eastAsiaTheme="minorEastAsia"/>
                <w:lang w:eastAsia="zh-CN"/>
              </w:rPr>
            </w:pPr>
            <w:r w:rsidRPr="00EA3B97">
              <w:rPr>
                <w:rFonts w:eastAsiaTheme="minorEastAsia"/>
                <w:lang w:eastAsia="zh-CN"/>
              </w:rPr>
              <w:t>2</w:t>
            </w:r>
          </w:p>
        </w:tc>
        <w:tc>
          <w:tcPr>
            <w:tcW w:w="475" w:type="pct"/>
            <w:tcBorders>
              <w:top w:val="single" w:sz="4" w:space="0" w:color="auto"/>
              <w:left w:val="single" w:sz="4" w:space="0" w:color="auto"/>
              <w:bottom w:val="single" w:sz="4" w:space="0" w:color="auto"/>
              <w:right w:val="single" w:sz="4" w:space="0" w:color="auto"/>
            </w:tcBorders>
          </w:tcPr>
          <w:p w14:paraId="23050B4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38DDE8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49EF56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1393CC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BDD2EEE"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5F5E2060" w14:textId="77777777" w:rsidR="003A71DE" w:rsidRPr="00EA3B97" w:rsidRDefault="003A71DE" w:rsidP="00D84FA9">
            <w:pPr>
              <w:pStyle w:val="TAC"/>
              <w:rPr>
                <w:rFonts w:eastAsiaTheme="minorEastAsia"/>
              </w:rPr>
            </w:pPr>
          </w:p>
        </w:tc>
      </w:tr>
      <w:tr w:rsidR="003A71DE" w:rsidRPr="00EA3B97" w14:paraId="16DBBFB5"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3D230E29" w14:textId="77777777" w:rsidR="003A71DE" w:rsidRPr="00EA3B97" w:rsidRDefault="003A71DE" w:rsidP="00D84FA9">
            <w:pPr>
              <w:pStyle w:val="TAL"/>
              <w:rPr>
                <w:rFonts w:eastAsiaTheme="minorEastAsia"/>
                <w:lang w:eastAsia="zh-CN"/>
              </w:rPr>
            </w:pPr>
            <w:r w:rsidRPr="00EA3B97">
              <w:rPr>
                <w:rFonts w:eastAsiaTheme="minorEastAsia"/>
                <w:lang w:eastAsia="zh-CN"/>
              </w:rPr>
              <w:t>PDSCH mapping type</w:t>
            </w:r>
          </w:p>
        </w:tc>
        <w:tc>
          <w:tcPr>
            <w:tcW w:w="368" w:type="pct"/>
            <w:tcBorders>
              <w:top w:val="single" w:sz="4" w:space="0" w:color="auto"/>
              <w:left w:val="single" w:sz="4" w:space="0" w:color="auto"/>
              <w:bottom w:val="single" w:sz="4" w:space="0" w:color="auto"/>
              <w:right w:val="single" w:sz="4" w:space="0" w:color="auto"/>
            </w:tcBorders>
          </w:tcPr>
          <w:p w14:paraId="04E320F3"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1873CCE4" w14:textId="77777777" w:rsidR="003A71DE" w:rsidRPr="00EA3B97" w:rsidRDefault="003A71DE" w:rsidP="00D84FA9">
            <w:pPr>
              <w:pStyle w:val="TAC"/>
              <w:rPr>
                <w:rFonts w:eastAsiaTheme="minorEastAsia"/>
                <w:lang w:eastAsia="zh-CN"/>
              </w:rPr>
            </w:pPr>
            <w:r w:rsidRPr="00EA3B97">
              <w:rPr>
                <w:rFonts w:eastAsiaTheme="minorEastAsia"/>
                <w:lang w:eastAsia="zh-CN"/>
              </w:rPr>
              <w:t>Type A</w:t>
            </w:r>
          </w:p>
        </w:tc>
        <w:tc>
          <w:tcPr>
            <w:tcW w:w="475" w:type="pct"/>
            <w:tcBorders>
              <w:top w:val="single" w:sz="4" w:space="0" w:color="auto"/>
              <w:left w:val="single" w:sz="4" w:space="0" w:color="auto"/>
              <w:bottom w:val="single" w:sz="4" w:space="0" w:color="auto"/>
              <w:right w:val="single" w:sz="4" w:space="0" w:color="auto"/>
            </w:tcBorders>
          </w:tcPr>
          <w:p w14:paraId="2D880CA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75A945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8F9015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3B4D0C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ABB27C9"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18F1FF4C" w14:textId="77777777" w:rsidR="003A71DE" w:rsidRPr="00EA3B97" w:rsidRDefault="003A71DE" w:rsidP="00D84FA9">
            <w:pPr>
              <w:pStyle w:val="TAC"/>
              <w:rPr>
                <w:rFonts w:eastAsiaTheme="minorEastAsia"/>
              </w:rPr>
            </w:pPr>
          </w:p>
        </w:tc>
      </w:tr>
      <w:tr w:rsidR="003A71DE" w:rsidRPr="00EA3B97" w14:paraId="3BC2AA72"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075645F8" w14:textId="77777777" w:rsidR="003A71DE" w:rsidRPr="00EA3B97" w:rsidRDefault="003A71DE" w:rsidP="00D84FA9">
            <w:pPr>
              <w:pStyle w:val="TAL"/>
              <w:rPr>
                <w:rFonts w:eastAsiaTheme="minorEastAsia"/>
              </w:rPr>
            </w:pPr>
            <w:r w:rsidRPr="00EA3B97">
              <w:rPr>
                <w:rFonts w:eastAsiaTheme="minorEastAsia"/>
              </w:rPr>
              <w:t>Information Bit Payload</w:t>
            </w:r>
          </w:p>
        </w:tc>
        <w:tc>
          <w:tcPr>
            <w:tcW w:w="368" w:type="pct"/>
            <w:tcBorders>
              <w:top w:val="single" w:sz="4" w:space="0" w:color="auto"/>
              <w:left w:val="single" w:sz="4" w:space="0" w:color="auto"/>
              <w:bottom w:val="single" w:sz="4" w:space="0" w:color="auto"/>
              <w:right w:val="single" w:sz="4" w:space="0" w:color="auto"/>
            </w:tcBorders>
          </w:tcPr>
          <w:p w14:paraId="13C6EBF3"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tcPr>
          <w:p w14:paraId="51568D3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0752D5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A58FD5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2FC5FF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6FAEFF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3D3EB3F"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63F4A74A" w14:textId="77777777" w:rsidR="003A71DE" w:rsidRPr="00EA3B97" w:rsidRDefault="003A71DE" w:rsidP="00D84FA9">
            <w:pPr>
              <w:pStyle w:val="TAC"/>
              <w:rPr>
                <w:rFonts w:eastAsiaTheme="minorEastAsia"/>
              </w:rPr>
            </w:pPr>
          </w:p>
        </w:tc>
      </w:tr>
      <w:tr w:rsidR="003A71DE" w:rsidRPr="00EA3B97" w14:paraId="166BC022"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3611B06E" w14:textId="77777777" w:rsidR="003A71DE" w:rsidRPr="00EA3B97" w:rsidRDefault="003A71DE" w:rsidP="00D84FA9">
            <w:pPr>
              <w:pStyle w:val="TAL"/>
              <w:rPr>
                <w:rFonts w:eastAsiaTheme="minorEastAsia"/>
              </w:rPr>
            </w:pPr>
            <w:r w:rsidRPr="00EA3B97">
              <w:rPr>
                <w:rFonts w:eastAsiaTheme="minorEastAsia"/>
              </w:rPr>
              <w:t xml:space="preserve">  For slots with </w:t>
            </w:r>
            <w:r w:rsidRPr="00EA3B97">
              <w:rPr>
                <w:rFonts w:eastAsiaTheme="minorEastAsia"/>
                <w:szCs w:val="16"/>
              </w:rPr>
              <w:t>RMSI</w:t>
            </w:r>
            <w:r w:rsidRPr="00EA3B97">
              <w:rPr>
                <w:rFonts w:eastAsiaTheme="minorEastAsia"/>
                <w:vertAlign w:val="superscript"/>
              </w:rPr>
              <w:t xml:space="preserve"> Note 2</w:t>
            </w:r>
          </w:p>
        </w:tc>
        <w:tc>
          <w:tcPr>
            <w:tcW w:w="368" w:type="pct"/>
            <w:tcBorders>
              <w:top w:val="single" w:sz="4" w:space="0" w:color="auto"/>
              <w:left w:val="single" w:sz="4" w:space="0" w:color="auto"/>
              <w:bottom w:val="single" w:sz="4" w:space="0" w:color="auto"/>
              <w:right w:val="single" w:sz="4" w:space="0" w:color="auto"/>
            </w:tcBorders>
            <w:hideMark/>
          </w:tcPr>
          <w:p w14:paraId="5FAA3DB5"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hideMark/>
          </w:tcPr>
          <w:p w14:paraId="210E291D" w14:textId="77777777" w:rsidR="003A71DE" w:rsidRPr="00EA3B97" w:rsidRDefault="003A71DE" w:rsidP="00D84FA9">
            <w:pPr>
              <w:pStyle w:val="TAC"/>
              <w:rPr>
                <w:rFonts w:eastAsiaTheme="minorEastAsia"/>
              </w:rPr>
            </w:pPr>
            <w:r w:rsidRPr="00EA3B97">
              <w:rPr>
                <w:rFonts w:eastAsiaTheme="minorEastAsia"/>
                <w:lang w:eastAsia="zh-CN"/>
              </w:rPr>
              <w:t>1608</w:t>
            </w:r>
          </w:p>
        </w:tc>
        <w:tc>
          <w:tcPr>
            <w:tcW w:w="475" w:type="pct"/>
            <w:tcBorders>
              <w:top w:val="single" w:sz="4" w:space="0" w:color="auto"/>
              <w:left w:val="single" w:sz="4" w:space="0" w:color="auto"/>
              <w:bottom w:val="single" w:sz="4" w:space="0" w:color="auto"/>
              <w:right w:val="single" w:sz="4" w:space="0" w:color="auto"/>
            </w:tcBorders>
          </w:tcPr>
          <w:p w14:paraId="374C07A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ACDEAB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8B1EA3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C72E5F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EED3875"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3D9BA091" w14:textId="77777777" w:rsidR="003A71DE" w:rsidRPr="00EA3B97" w:rsidRDefault="003A71DE" w:rsidP="00D84FA9">
            <w:pPr>
              <w:pStyle w:val="TAC"/>
              <w:rPr>
                <w:rFonts w:eastAsiaTheme="minorEastAsia"/>
              </w:rPr>
            </w:pPr>
          </w:p>
        </w:tc>
      </w:tr>
      <w:tr w:rsidR="003A71DE" w:rsidRPr="00EA3B97" w14:paraId="19F6F3D3"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tcPr>
          <w:p w14:paraId="3EB68994" w14:textId="77777777" w:rsidR="003A71DE" w:rsidRPr="00EA3B97" w:rsidRDefault="003A71DE" w:rsidP="00D84FA9">
            <w:pPr>
              <w:pStyle w:val="TAL"/>
              <w:rPr>
                <w:rFonts w:eastAsiaTheme="minorEastAsia"/>
              </w:rPr>
            </w:pPr>
            <w:r w:rsidRPr="00EA3B97">
              <w:rPr>
                <w:rFonts w:eastAsiaTheme="minorEastAsia"/>
              </w:rPr>
              <w:t xml:space="preserve">  For slots without </w:t>
            </w:r>
            <w:r w:rsidRPr="00EA3B97">
              <w:rPr>
                <w:rFonts w:eastAsiaTheme="minorEastAsia"/>
                <w:szCs w:val="16"/>
              </w:rPr>
              <w:t>RMSI</w:t>
            </w:r>
          </w:p>
        </w:tc>
        <w:tc>
          <w:tcPr>
            <w:tcW w:w="368" w:type="pct"/>
            <w:tcBorders>
              <w:top w:val="single" w:sz="4" w:space="0" w:color="auto"/>
              <w:left w:val="single" w:sz="4" w:space="0" w:color="auto"/>
              <w:bottom w:val="single" w:sz="4" w:space="0" w:color="auto"/>
              <w:right w:val="single" w:sz="4" w:space="0" w:color="auto"/>
            </w:tcBorders>
          </w:tcPr>
          <w:p w14:paraId="7BC8D990"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tcPr>
          <w:p w14:paraId="634F719B" w14:textId="77777777" w:rsidR="003A71DE" w:rsidRPr="00EA3B97" w:rsidRDefault="003A71DE" w:rsidP="00D84FA9">
            <w:pPr>
              <w:pStyle w:val="TAC"/>
              <w:rPr>
                <w:rFonts w:eastAsiaTheme="minorEastAsia"/>
                <w:lang w:eastAsia="zh-CN"/>
              </w:rPr>
            </w:pPr>
            <w:r w:rsidRPr="00EA3B97">
              <w:rPr>
                <w:rFonts w:eastAsiaTheme="minorEastAsia"/>
                <w:lang w:eastAsia="zh-CN"/>
              </w:rPr>
              <w:t>1864</w:t>
            </w:r>
          </w:p>
        </w:tc>
        <w:tc>
          <w:tcPr>
            <w:tcW w:w="475" w:type="pct"/>
            <w:tcBorders>
              <w:top w:val="single" w:sz="4" w:space="0" w:color="auto"/>
              <w:left w:val="single" w:sz="4" w:space="0" w:color="auto"/>
              <w:bottom w:val="single" w:sz="4" w:space="0" w:color="auto"/>
              <w:right w:val="single" w:sz="4" w:space="0" w:color="auto"/>
            </w:tcBorders>
          </w:tcPr>
          <w:p w14:paraId="79C630B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348659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B6DAB1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94A7B4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9677941"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21A38A22" w14:textId="77777777" w:rsidR="003A71DE" w:rsidRPr="00EA3B97" w:rsidRDefault="003A71DE" w:rsidP="00D84FA9">
            <w:pPr>
              <w:pStyle w:val="TAC"/>
              <w:rPr>
                <w:rFonts w:eastAsiaTheme="minorEastAsia"/>
              </w:rPr>
            </w:pPr>
          </w:p>
        </w:tc>
      </w:tr>
      <w:tr w:rsidR="003A71DE" w:rsidRPr="00EA3B97" w14:paraId="6896EEC8"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31F4A558" w14:textId="77777777" w:rsidR="003A71DE" w:rsidRPr="00EA3B97" w:rsidRDefault="003A71DE" w:rsidP="00D84FA9">
            <w:pPr>
              <w:pStyle w:val="TAL"/>
              <w:rPr>
                <w:rFonts w:eastAsiaTheme="minorEastAsia"/>
                <w:szCs w:val="22"/>
              </w:rPr>
            </w:pPr>
            <w:r w:rsidRPr="00EA3B97">
              <w:rPr>
                <w:rFonts w:eastAsiaTheme="minorEastAsia"/>
                <w:szCs w:val="22"/>
              </w:rPr>
              <w:t>Number of Code Blocks per slot</w:t>
            </w:r>
          </w:p>
        </w:tc>
        <w:tc>
          <w:tcPr>
            <w:tcW w:w="368" w:type="pct"/>
            <w:tcBorders>
              <w:top w:val="single" w:sz="4" w:space="0" w:color="auto"/>
              <w:left w:val="single" w:sz="4" w:space="0" w:color="auto"/>
              <w:bottom w:val="single" w:sz="4" w:space="0" w:color="auto"/>
              <w:right w:val="single" w:sz="4" w:space="0" w:color="auto"/>
            </w:tcBorders>
          </w:tcPr>
          <w:p w14:paraId="1177E395"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3F6290F6" w14:textId="77777777" w:rsidR="003A71DE" w:rsidRPr="00EA3B97" w:rsidRDefault="003A71DE" w:rsidP="00D84FA9">
            <w:pPr>
              <w:pStyle w:val="TAC"/>
              <w:rPr>
                <w:rFonts w:eastAsiaTheme="minorEastAsia"/>
                <w:lang w:eastAsia="zh-CN"/>
              </w:rPr>
            </w:pPr>
            <w:r w:rsidRPr="00EA3B97">
              <w:rPr>
                <w:rFonts w:eastAsiaTheme="minorEastAsia"/>
                <w:lang w:eastAsia="zh-CN"/>
              </w:rPr>
              <w:t>1</w:t>
            </w:r>
          </w:p>
        </w:tc>
        <w:tc>
          <w:tcPr>
            <w:tcW w:w="475" w:type="pct"/>
            <w:tcBorders>
              <w:top w:val="single" w:sz="4" w:space="0" w:color="auto"/>
              <w:left w:val="single" w:sz="4" w:space="0" w:color="auto"/>
              <w:bottom w:val="single" w:sz="4" w:space="0" w:color="auto"/>
              <w:right w:val="single" w:sz="4" w:space="0" w:color="auto"/>
            </w:tcBorders>
          </w:tcPr>
          <w:p w14:paraId="4360124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7AABAC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BCC8E4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17C25A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2BD0695"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78B23B39" w14:textId="77777777" w:rsidR="003A71DE" w:rsidRPr="00EA3B97" w:rsidRDefault="003A71DE" w:rsidP="00D84FA9">
            <w:pPr>
              <w:pStyle w:val="TAC"/>
              <w:rPr>
                <w:rFonts w:eastAsiaTheme="minorEastAsia"/>
              </w:rPr>
            </w:pPr>
          </w:p>
        </w:tc>
      </w:tr>
      <w:tr w:rsidR="003A71DE" w:rsidRPr="00EA3B97" w14:paraId="4130DFA5"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015354A3" w14:textId="77777777" w:rsidR="003A71DE" w:rsidRPr="00EA3B97" w:rsidRDefault="003A71DE" w:rsidP="00D84FA9">
            <w:pPr>
              <w:pStyle w:val="TAL"/>
              <w:rPr>
                <w:rFonts w:eastAsiaTheme="minorEastAsia"/>
              </w:rPr>
            </w:pPr>
            <w:r w:rsidRPr="00EA3B97">
              <w:rPr>
                <w:rFonts w:eastAsiaTheme="minorEastAsia"/>
              </w:rPr>
              <w:t>Binary Channel Bits Per slot</w:t>
            </w:r>
          </w:p>
        </w:tc>
        <w:tc>
          <w:tcPr>
            <w:tcW w:w="368" w:type="pct"/>
            <w:tcBorders>
              <w:top w:val="single" w:sz="4" w:space="0" w:color="auto"/>
              <w:left w:val="single" w:sz="4" w:space="0" w:color="auto"/>
              <w:bottom w:val="single" w:sz="4" w:space="0" w:color="auto"/>
              <w:right w:val="single" w:sz="4" w:space="0" w:color="auto"/>
            </w:tcBorders>
          </w:tcPr>
          <w:p w14:paraId="74E2ACDB"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tcPr>
          <w:p w14:paraId="370E3DE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868AA8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2636D1E"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B5DCA7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82D751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2F22490"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5E71720A" w14:textId="77777777" w:rsidR="003A71DE" w:rsidRPr="00EA3B97" w:rsidRDefault="003A71DE" w:rsidP="00D84FA9">
            <w:pPr>
              <w:pStyle w:val="TAC"/>
              <w:rPr>
                <w:rFonts w:eastAsiaTheme="minorEastAsia"/>
              </w:rPr>
            </w:pPr>
          </w:p>
        </w:tc>
      </w:tr>
      <w:tr w:rsidR="003A71DE" w:rsidRPr="00EA3B97" w14:paraId="08BE5D0E"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hideMark/>
          </w:tcPr>
          <w:p w14:paraId="0B009A02" w14:textId="77777777" w:rsidR="003A71DE" w:rsidRPr="00EA3B97" w:rsidRDefault="003A71DE" w:rsidP="00D84FA9">
            <w:pPr>
              <w:pStyle w:val="TAL"/>
              <w:rPr>
                <w:rFonts w:eastAsiaTheme="minorEastAsia"/>
              </w:rPr>
            </w:pPr>
            <w:r w:rsidRPr="00EA3B97">
              <w:rPr>
                <w:rFonts w:eastAsiaTheme="minorEastAsia"/>
              </w:rPr>
              <w:t xml:space="preserve">  For slots with </w:t>
            </w:r>
            <w:r w:rsidRPr="00EA3B97">
              <w:rPr>
                <w:rFonts w:eastAsiaTheme="minorEastAsia"/>
                <w:szCs w:val="16"/>
              </w:rPr>
              <w:t>RMSI</w:t>
            </w:r>
            <w:r w:rsidRPr="00EA3B97">
              <w:rPr>
                <w:rFonts w:eastAsiaTheme="minorEastAsia"/>
                <w:vertAlign w:val="superscript"/>
              </w:rPr>
              <w:t xml:space="preserve"> Note 2, Note 4 </w:t>
            </w:r>
          </w:p>
        </w:tc>
        <w:tc>
          <w:tcPr>
            <w:tcW w:w="368" w:type="pct"/>
            <w:tcBorders>
              <w:top w:val="single" w:sz="4" w:space="0" w:color="auto"/>
              <w:left w:val="single" w:sz="4" w:space="0" w:color="auto"/>
              <w:bottom w:val="single" w:sz="4" w:space="0" w:color="auto"/>
              <w:right w:val="single" w:sz="4" w:space="0" w:color="auto"/>
            </w:tcBorders>
            <w:hideMark/>
          </w:tcPr>
          <w:p w14:paraId="3120E2C5"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hideMark/>
          </w:tcPr>
          <w:p w14:paraId="55A86134" w14:textId="77777777" w:rsidR="003A71DE" w:rsidRPr="00EA3B97" w:rsidRDefault="003A71DE" w:rsidP="00D84FA9">
            <w:pPr>
              <w:pStyle w:val="TAC"/>
              <w:rPr>
                <w:rFonts w:eastAsiaTheme="minorEastAsia"/>
              </w:rPr>
            </w:pPr>
            <w:r w:rsidRPr="00EA3B97">
              <w:rPr>
                <w:rFonts w:eastAsiaTheme="minorEastAsia"/>
                <w:lang w:eastAsia="zh-CN"/>
              </w:rPr>
              <w:t>5184</w:t>
            </w:r>
          </w:p>
        </w:tc>
        <w:tc>
          <w:tcPr>
            <w:tcW w:w="475" w:type="pct"/>
            <w:tcBorders>
              <w:top w:val="single" w:sz="4" w:space="0" w:color="auto"/>
              <w:left w:val="single" w:sz="4" w:space="0" w:color="auto"/>
              <w:bottom w:val="single" w:sz="4" w:space="0" w:color="auto"/>
              <w:right w:val="single" w:sz="4" w:space="0" w:color="auto"/>
            </w:tcBorders>
          </w:tcPr>
          <w:p w14:paraId="37A5E63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27E0CD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8BFA92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BC8887F"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7292F60"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020B5B68" w14:textId="77777777" w:rsidR="003A71DE" w:rsidRPr="00EA3B97" w:rsidRDefault="003A71DE" w:rsidP="00D84FA9">
            <w:pPr>
              <w:pStyle w:val="TAC"/>
              <w:rPr>
                <w:rFonts w:eastAsiaTheme="minorEastAsia"/>
              </w:rPr>
            </w:pPr>
          </w:p>
        </w:tc>
      </w:tr>
      <w:tr w:rsidR="003A71DE" w:rsidRPr="00EA3B97" w14:paraId="6640F387" w14:textId="77777777" w:rsidTr="007835E8">
        <w:trPr>
          <w:jc w:val="center"/>
        </w:trPr>
        <w:tc>
          <w:tcPr>
            <w:tcW w:w="1240" w:type="pct"/>
            <w:tcBorders>
              <w:top w:val="single" w:sz="4" w:space="0" w:color="auto"/>
              <w:left w:val="single" w:sz="4" w:space="0" w:color="auto"/>
              <w:bottom w:val="single" w:sz="4" w:space="0" w:color="auto"/>
              <w:right w:val="single" w:sz="4" w:space="0" w:color="auto"/>
            </w:tcBorders>
          </w:tcPr>
          <w:p w14:paraId="0A04A561" w14:textId="77777777" w:rsidR="003A71DE" w:rsidRPr="00EA3B97" w:rsidRDefault="003A71DE" w:rsidP="00D84FA9">
            <w:pPr>
              <w:pStyle w:val="TAL"/>
              <w:rPr>
                <w:rFonts w:eastAsiaTheme="minorEastAsia"/>
              </w:rPr>
            </w:pPr>
            <w:r w:rsidRPr="00EA3B97">
              <w:rPr>
                <w:rFonts w:eastAsiaTheme="minorEastAsia"/>
              </w:rPr>
              <w:t xml:space="preserve">  For slots without </w:t>
            </w:r>
            <w:r w:rsidRPr="00EA3B97">
              <w:rPr>
                <w:rFonts w:eastAsiaTheme="minorEastAsia"/>
                <w:szCs w:val="16"/>
              </w:rPr>
              <w:t>RMSI</w:t>
            </w:r>
            <w:r w:rsidRPr="00EA3B97">
              <w:rPr>
                <w:rFonts w:eastAsiaTheme="minorEastAsia"/>
                <w:szCs w:val="16"/>
                <w:vertAlign w:val="superscript"/>
              </w:rPr>
              <w:t xml:space="preserve"> Note 6</w:t>
            </w:r>
          </w:p>
        </w:tc>
        <w:tc>
          <w:tcPr>
            <w:tcW w:w="368" w:type="pct"/>
            <w:tcBorders>
              <w:top w:val="single" w:sz="4" w:space="0" w:color="auto"/>
              <w:left w:val="single" w:sz="4" w:space="0" w:color="auto"/>
              <w:bottom w:val="single" w:sz="4" w:space="0" w:color="auto"/>
              <w:right w:val="single" w:sz="4" w:space="0" w:color="auto"/>
            </w:tcBorders>
          </w:tcPr>
          <w:p w14:paraId="6F4922B0"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tcPr>
          <w:p w14:paraId="63C4AE2D" w14:textId="77777777" w:rsidR="003A71DE" w:rsidRPr="00EA3B97" w:rsidDel="005069B7" w:rsidRDefault="003A71DE" w:rsidP="00D84FA9">
            <w:pPr>
              <w:pStyle w:val="TAC"/>
              <w:rPr>
                <w:rFonts w:eastAsiaTheme="minorEastAsia"/>
                <w:lang w:eastAsia="zh-CN"/>
              </w:rPr>
            </w:pPr>
            <w:r w:rsidRPr="00EA3B97">
              <w:rPr>
                <w:rFonts w:eastAsiaTheme="minorEastAsia"/>
                <w:lang w:eastAsia="zh-CN"/>
              </w:rPr>
              <w:t>6048</w:t>
            </w:r>
          </w:p>
        </w:tc>
        <w:tc>
          <w:tcPr>
            <w:tcW w:w="475" w:type="pct"/>
            <w:tcBorders>
              <w:top w:val="single" w:sz="4" w:space="0" w:color="auto"/>
              <w:left w:val="single" w:sz="4" w:space="0" w:color="auto"/>
              <w:bottom w:val="single" w:sz="4" w:space="0" w:color="auto"/>
              <w:right w:val="single" w:sz="4" w:space="0" w:color="auto"/>
            </w:tcBorders>
          </w:tcPr>
          <w:p w14:paraId="0B5AF16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AEBDC5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570492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FB401D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7B75B4F" w14:textId="77777777" w:rsidR="003A71DE" w:rsidRPr="00EA3B97" w:rsidRDefault="003A71DE" w:rsidP="00D84FA9">
            <w:pPr>
              <w:pStyle w:val="TAC"/>
              <w:rPr>
                <w:rFonts w:eastAsiaTheme="minorEastAsia"/>
              </w:rPr>
            </w:pPr>
          </w:p>
        </w:tc>
        <w:tc>
          <w:tcPr>
            <w:tcW w:w="474" w:type="pct"/>
            <w:tcBorders>
              <w:top w:val="single" w:sz="4" w:space="0" w:color="auto"/>
              <w:left w:val="single" w:sz="4" w:space="0" w:color="auto"/>
              <w:bottom w:val="single" w:sz="4" w:space="0" w:color="auto"/>
              <w:right w:val="single" w:sz="4" w:space="0" w:color="auto"/>
            </w:tcBorders>
          </w:tcPr>
          <w:p w14:paraId="5036ED78" w14:textId="77777777" w:rsidR="003A71DE" w:rsidRPr="00EA3B97" w:rsidRDefault="003A71DE" w:rsidP="00D84FA9">
            <w:pPr>
              <w:pStyle w:val="TAC"/>
              <w:rPr>
                <w:rFonts w:eastAsiaTheme="minorEastAsia"/>
              </w:rPr>
            </w:pPr>
          </w:p>
        </w:tc>
      </w:tr>
      <w:tr w:rsidR="003A71DE" w:rsidRPr="00EA3B97" w14:paraId="3587AC06" w14:textId="77777777" w:rsidTr="007835E8">
        <w:trPr>
          <w:jc w:val="center"/>
        </w:trPr>
        <w:tc>
          <w:tcPr>
            <w:tcW w:w="5000" w:type="pct"/>
            <w:gridSpan w:val="9"/>
            <w:tcBorders>
              <w:top w:val="single" w:sz="4" w:space="0" w:color="auto"/>
              <w:left w:val="single" w:sz="4" w:space="0" w:color="auto"/>
              <w:bottom w:val="single" w:sz="4" w:space="0" w:color="auto"/>
              <w:right w:val="single" w:sz="4" w:space="0" w:color="auto"/>
            </w:tcBorders>
            <w:hideMark/>
          </w:tcPr>
          <w:p w14:paraId="64CB6133" w14:textId="77777777" w:rsidR="003A71DE" w:rsidRPr="00EA3B97" w:rsidRDefault="003A71DE" w:rsidP="00D84FA9">
            <w:pPr>
              <w:pStyle w:val="TAN"/>
              <w:rPr>
                <w:rFonts w:eastAsiaTheme="minorEastAsia"/>
                <w:lang w:eastAsia="zh-CN"/>
              </w:rPr>
            </w:pPr>
            <w:r w:rsidRPr="00EA3B97">
              <w:rPr>
                <w:rFonts w:eastAsiaTheme="minorEastAsia"/>
              </w:rPr>
              <w:t>Note 1:</w:t>
            </w:r>
            <w:r w:rsidRPr="00EA3B97">
              <w:rPr>
                <w:rFonts w:eastAsiaTheme="minorEastAsia"/>
              </w:rPr>
              <w:tab/>
              <w:t>Allocated outside the SMTC duration in time and in resource blocks which do not overlap with the resource blocks allocated for SS/PBCH block.</w:t>
            </w:r>
          </w:p>
          <w:p w14:paraId="695CD597" w14:textId="77777777" w:rsidR="003A71DE" w:rsidRPr="00EA3B97" w:rsidRDefault="003A71DE" w:rsidP="00D84FA9">
            <w:pPr>
              <w:pStyle w:val="TAN"/>
              <w:rPr>
                <w:rFonts w:eastAsiaTheme="minorEastAsia"/>
              </w:rPr>
            </w:pPr>
            <w:r w:rsidRPr="00EA3B97">
              <w:rPr>
                <w:rFonts w:eastAsiaTheme="minorEastAsia"/>
              </w:rPr>
              <w:t>Note 2:</w:t>
            </w:r>
            <w:r w:rsidRPr="00EA3B97">
              <w:rPr>
                <w:rFonts w:eastAsiaTheme="minorEastAsia"/>
              </w:rPr>
              <w:tab/>
              <w:t>PDSCH is scheduled on the slots with RMSI.</w:t>
            </w:r>
          </w:p>
          <w:p w14:paraId="297AE98F" w14:textId="32377A54" w:rsidR="003A71DE" w:rsidRPr="00EA3B97" w:rsidRDefault="003A71DE" w:rsidP="00D84FA9">
            <w:pPr>
              <w:pStyle w:val="TAN"/>
              <w:rPr>
                <w:rFonts w:eastAsiaTheme="minorEastAsia"/>
              </w:rPr>
            </w:pPr>
            <w:r w:rsidRPr="00EA3B97">
              <w:rPr>
                <w:rFonts w:eastAsiaTheme="minorEastAsia"/>
              </w:rPr>
              <w:t>Note 3:</w:t>
            </w:r>
            <w:r w:rsidRPr="00EA3B97">
              <w:rPr>
                <w:rFonts w:eastAsiaTheme="minorEastAsia"/>
              </w:rPr>
              <w:tab/>
              <w:t xml:space="preserve">If necessary the information bit payload size can be adjusted to facilitate the test implementation. The payload sizes are defined in TS 38.213 </w:t>
            </w:r>
            <w:r w:rsidR="00ED70DB">
              <w:rPr>
                <w:rFonts w:eastAsiaTheme="minorEastAsia"/>
              </w:rPr>
              <w:t>[3]</w:t>
            </w:r>
            <w:r w:rsidRPr="00EA3B97">
              <w:rPr>
                <w:rFonts w:eastAsiaTheme="minorEastAsia"/>
              </w:rPr>
              <w:t>.</w:t>
            </w:r>
          </w:p>
          <w:p w14:paraId="6B5ED569" w14:textId="77777777" w:rsidR="003A71DE" w:rsidRPr="00EA3B97" w:rsidRDefault="003A71DE" w:rsidP="00D84FA9">
            <w:pPr>
              <w:pStyle w:val="TAN"/>
              <w:rPr>
                <w:rFonts w:eastAsiaTheme="minorEastAsia"/>
              </w:rPr>
            </w:pPr>
            <w:r w:rsidRPr="00EA3B97">
              <w:rPr>
                <w:rFonts w:eastAsiaTheme="minorEastAsia"/>
              </w:rPr>
              <w:t>Note 4:</w:t>
            </w:r>
            <w:r w:rsidRPr="00EA3B97">
              <w:rPr>
                <w:rFonts w:eastAsiaTheme="minorEastAsia"/>
              </w:rPr>
              <w:tab/>
              <w:t>Derived based on the PDSCH DMRS assumption: dmrs-TypeA-Position=2, dmrs-Type=1, dmrs-AdditonalPositions=2, maxLength=1, Antenna port index: 1000, and Number of PDSCH DMRS CDM group(s) without data: 2.</w:t>
            </w:r>
          </w:p>
          <w:p w14:paraId="302DFB68" w14:textId="77777777" w:rsidR="003A71DE" w:rsidRPr="00EA3B97" w:rsidRDefault="003A71DE" w:rsidP="00D84FA9">
            <w:pPr>
              <w:pStyle w:val="TAN"/>
              <w:rPr>
                <w:rFonts w:eastAsiaTheme="minorEastAsia"/>
              </w:rPr>
            </w:pPr>
            <w:r w:rsidRPr="00EA3B97">
              <w:rPr>
                <w:rFonts w:eastAsiaTheme="minorEastAsia"/>
              </w:rPr>
              <w:t>Note 5:</w:t>
            </w:r>
            <w:r w:rsidRPr="00EA3B97">
              <w:rPr>
                <w:rFonts w:eastAsiaTheme="minorEastAsia"/>
              </w:rPr>
              <w:tab/>
              <w:t>PDSCH is not scheduled in slots containing SSB according to the SSB configuration used in the test. SSB configurations are defined in clause G.1.5.</w:t>
            </w:r>
          </w:p>
          <w:p w14:paraId="6F128BBC" w14:textId="77777777" w:rsidR="003A71DE" w:rsidRPr="00EA3B97" w:rsidRDefault="003A71DE" w:rsidP="00D84FA9">
            <w:pPr>
              <w:pStyle w:val="TAN"/>
              <w:rPr>
                <w:rFonts w:eastAsiaTheme="minorEastAsia"/>
              </w:rPr>
            </w:pPr>
            <w:r w:rsidRPr="00EA3B97">
              <w:rPr>
                <w:rFonts w:eastAsiaTheme="minorEastAsia"/>
              </w:rPr>
              <w:t>Note 6:</w:t>
            </w:r>
            <w:r w:rsidRPr="00EA3B97">
              <w:rPr>
                <w:rFonts w:eastAsiaTheme="minorEastAsia"/>
              </w:rPr>
              <w:tab/>
              <w:t>Derived based on the PDSCH DMRS assumption: dmrs-TypeA-Position=2, dmrs-Type=1, dmrs-AdditonalPositions=2, maxLength=1, Antenna port index: 1000, and Number of PDSCH DMRS CDM group(s) without data: 1.</w:t>
            </w:r>
          </w:p>
        </w:tc>
      </w:tr>
    </w:tbl>
    <w:p w14:paraId="30DF3E6B" w14:textId="77777777" w:rsidR="003A71DE" w:rsidRPr="00EA3B97" w:rsidRDefault="003A71DE" w:rsidP="003A71DE">
      <w:pPr>
        <w:rPr>
          <w:rFonts w:eastAsia="MS Mincho"/>
        </w:rPr>
      </w:pPr>
    </w:p>
    <w:p w14:paraId="7F6A5959" w14:textId="77777777" w:rsidR="003A71DE" w:rsidRPr="00EA3B97" w:rsidRDefault="003A71DE" w:rsidP="006578B5">
      <w:pPr>
        <w:pStyle w:val="TH"/>
        <w:rPr>
          <w:rFonts w:eastAsiaTheme="minorEastAsia"/>
        </w:rPr>
      </w:pPr>
      <w:r w:rsidRPr="00EA3B97">
        <w:rPr>
          <w:rFonts w:eastAsiaTheme="minorEastAsia"/>
        </w:rPr>
        <w:lastRenderedPageBreak/>
        <w:t>Table G.1.1.1.1-2: PDSCH Reference Measurement Channels for SCS=30kHz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8"/>
        <w:gridCol w:w="709"/>
        <w:gridCol w:w="1048"/>
        <w:gridCol w:w="915"/>
        <w:gridCol w:w="915"/>
        <w:gridCol w:w="915"/>
        <w:gridCol w:w="915"/>
        <w:gridCol w:w="915"/>
        <w:gridCol w:w="911"/>
      </w:tblGrid>
      <w:tr w:rsidR="003A71DE" w:rsidRPr="00EA3B97" w14:paraId="178EF888"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2DF29A4D" w14:textId="77777777" w:rsidR="003A71DE" w:rsidRPr="00EA3B97" w:rsidRDefault="003A71DE" w:rsidP="00D84FA9">
            <w:pPr>
              <w:pStyle w:val="TAH"/>
              <w:rPr>
                <w:rFonts w:eastAsiaTheme="minorEastAsia"/>
              </w:rPr>
            </w:pPr>
            <w:r w:rsidRPr="00EA3B97">
              <w:rPr>
                <w:rFonts w:eastAsiaTheme="minorEastAsia"/>
              </w:rPr>
              <w:t>Parameter</w:t>
            </w:r>
          </w:p>
        </w:tc>
        <w:tc>
          <w:tcPr>
            <w:tcW w:w="368" w:type="pct"/>
            <w:tcBorders>
              <w:top w:val="single" w:sz="4" w:space="0" w:color="auto"/>
              <w:left w:val="single" w:sz="4" w:space="0" w:color="auto"/>
              <w:bottom w:val="single" w:sz="4" w:space="0" w:color="auto"/>
              <w:right w:val="single" w:sz="4" w:space="0" w:color="auto"/>
            </w:tcBorders>
            <w:hideMark/>
          </w:tcPr>
          <w:p w14:paraId="4F165643" w14:textId="77777777" w:rsidR="003A71DE" w:rsidRPr="00EA3B97" w:rsidRDefault="003A71DE" w:rsidP="00D84FA9">
            <w:pPr>
              <w:pStyle w:val="TAH"/>
              <w:rPr>
                <w:rFonts w:eastAsiaTheme="minorEastAsia"/>
              </w:rPr>
            </w:pPr>
            <w:r w:rsidRPr="00EA3B97">
              <w:rPr>
                <w:rFonts w:eastAsiaTheme="minorEastAsia"/>
              </w:rPr>
              <w:t>Unit</w:t>
            </w:r>
          </w:p>
        </w:tc>
        <w:tc>
          <w:tcPr>
            <w:tcW w:w="3392" w:type="pct"/>
            <w:gridSpan w:val="7"/>
            <w:tcBorders>
              <w:top w:val="single" w:sz="4" w:space="0" w:color="auto"/>
              <w:left w:val="single" w:sz="4" w:space="0" w:color="auto"/>
              <w:bottom w:val="single" w:sz="4" w:space="0" w:color="auto"/>
              <w:right w:val="single" w:sz="4" w:space="0" w:color="auto"/>
            </w:tcBorders>
            <w:hideMark/>
          </w:tcPr>
          <w:p w14:paraId="26F81D76" w14:textId="77777777" w:rsidR="003A71DE" w:rsidRPr="00EA3B97" w:rsidRDefault="003A71DE" w:rsidP="00D84FA9">
            <w:pPr>
              <w:pStyle w:val="TAH"/>
              <w:rPr>
                <w:rFonts w:eastAsiaTheme="minorEastAsia"/>
              </w:rPr>
            </w:pPr>
            <w:r w:rsidRPr="00EA3B97">
              <w:rPr>
                <w:rFonts w:eastAsiaTheme="minorEastAsia"/>
              </w:rPr>
              <w:t>Value</w:t>
            </w:r>
          </w:p>
        </w:tc>
      </w:tr>
      <w:tr w:rsidR="003A71DE" w:rsidRPr="00EA3B97" w14:paraId="47338B03"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62E149E1" w14:textId="77777777" w:rsidR="003A71DE" w:rsidRPr="00EA3B97" w:rsidRDefault="003A71DE" w:rsidP="00D84FA9">
            <w:pPr>
              <w:pStyle w:val="TAL"/>
              <w:rPr>
                <w:rFonts w:eastAsiaTheme="minorEastAsia"/>
              </w:rPr>
            </w:pPr>
            <w:r w:rsidRPr="00EA3B97">
              <w:rPr>
                <w:rFonts w:eastAsiaTheme="minorEastAsia"/>
              </w:rPr>
              <w:t>Reference channel</w:t>
            </w:r>
          </w:p>
        </w:tc>
        <w:tc>
          <w:tcPr>
            <w:tcW w:w="368" w:type="pct"/>
            <w:tcBorders>
              <w:top w:val="single" w:sz="4" w:space="0" w:color="auto"/>
              <w:left w:val="single" w:sz="4" w:space="0" w:color="auto"/>
              <w:bottom w:val="single" w:sz="4" w:space="0" w:color="auto"/>
              <w:right w:val="single" w:sz="4" w:space="0" w:color="auto"/>
            </w:tcBorders>
          </w:tcPr>
          <w:p w14:paraId="77DC19B9"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51D3B801" w14:textId="77777777" w:rsidR="003A71DE" w:rsidRPr="00EA3B97" w:rsidRDefault="003A71DE" w:rsidP="00D84FA9">
            <w:pPr>
              <w:pStyle w:val="TAC"/>
              <w:rPr>
                <w:rFonts w:eastAsiaTheme="minorEastAsia"/>
              </w:rPr>
            </w:pPr>
            <w:r w:rsidRPr="00EA3B97">
              <w:rPr>
                <w:rFonts w:eastAsiaTheme="minorEastAsia"/>
              </w:rPr>
              <w:t>SR.2.1 TDD</w:t>
            </w:r>
          </w:p>
        </w:tc>
        <w:tc>
          <w:tcPr>
            <w:tcW w:w="475" w:type="pct"/>
            <w:tcBorders>
              <w:top w:val="single" w:sz="4" w:space="0" w:color="auto"/>
              <w:left w:val="single" w:sz="4" w:space="0" w:color="auto"/>
              <w:bottom w:val="single" w:sz="4" w:space="0" w:color="auto"/>
              <w:right w:val="single" w:sz="4" w:space="0" w:color="auto"/>
            </w:tcBorders>
          </w:tcPr>
          <w:p w14:paraId="4246EA7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59E750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AFB9F0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210861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EF50330"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68881251" w14:textId="77777777" w:rsidR="003A71DE" w:rsidRPr="00EA3B97" w:rsidRDefault="003A71DE" w:rsidP="00D84FA9">
            <w:pPr>
              <w:pStyle w:val="TAC"/>
              <w:rPr>
                <w:rFonts w:eastAsiaTheme="minorEastAsia"/>
              </w:rPr>
            </w:pPr>
          </w:p>
        </w:tc>
      </w:tr>
      <w:tr w:rsidR="003A71DE" w:rsidRPr="00EA3B97" w14:paraId="00256E22"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1F68C6E9" w14:textId="77777777" w:rsidR="003A71DE" w:rsidRPr="00EA3B97" w:rsidRDefault="003A71DE" w:rsidP="00D84FA9">
            <w:pPr>
              <w:pStyle w:val="TAL"/>
              <w:rPr>
                <w:rFonts w:eastAsiaTheme="minorEastAsia"/>
              </w:rPr>
            </w:pPr>
            <w:r w:rsidRPr="00EA3B97">
              <w:rPr>
                <w:rFonts w:eastAsiaTheme="minorEastAsia"/>
              </w:rPr>
              <w:t>Channel bandwidth</w:t>
            </w:r>
          </w:p>
        </w:tc>
        <w:tc>
          <w:tcPr>
            <w:tcW w:w="368" w:type="pct"/>
            <w:tcBorders>
              <w:top w:val="single" w:sz="4" w:space="0" w:color="auto"/>
              <w:left w:val="single" w:sz="4" w:space="0" w:color="auto"/>
              <w:bottom w:val="single" w:sz="4" w:space="0" w:color="auto"/>
              <w:right w:val="single" w:sz="4" w:space="0" w:color="auto"/>
            </w:tcBorders>
            <w:hideMark/>
          </w:tcPr>
          <w:p w14:paraId="11A3A3CD" w14:textId="77777777" w:rsidR="003A71DE" w:rsidRPr="00EA3B97" w:rsidRDefault="003A71DE" w:rsidP="00D84FA9">
            <w:pPr>
              <w:pStyle w:val="TAC"/>
              <w:rPr>
                <w:rFonts w:eastAsiaTheme="minorEastAsia"/>
              </w:rPr>
            </w:pPr>
            <w:r w:rsidRPr="00EA3B97">
              <w:rPr>
                <w:rFonts w:eastAsiaTheme="minorEastAsia"/>
              </w:rPr>
              <w:t>MHz</w:t>
            </w:r>
          </w:p>
        </w:tc>
        <w:tc>
          <w:tcPr>
            <w:tcW w:w="544" w:type="pct"/>
            <w:tcBorders>
              <w:top w:val="single" w:sz="4" w:space="0" w:color="auto"/>
              <w:left w:val="single" w:sz="4" w:space="0" w:color="auto"/>
              <w:bottom w:val="single" w:sz="4" w:space="0" w:color="auto"/>
              <w:right w:val="single" w:sz="4" w:space="0" w:color="auto"/>
            </w:tcBorders>
            <w:hideMark/>
          </w:tcPr>
          <w:p w14:paraId="4DCFAA11" w14:textId="77777777" w:rsidR="003A71DE" w:rsidRPr="00EA3B97" w:rsidRDefault="003A71DE" w:rsidP="00D84FA9">
            <w:pPr>
              <w:pStyle w:val="TAC"/>
              <w:rPr>
                <w:rFonts w:eastAsiaTheme="minorEastAsia"/>
                <w:lang w:eastAsia="zh-CN"/>
              </w:rPr>
            </w:pPr>
            <w:r w:rsidRPr="00EA3B97">
              <w:rPr>
                <w:rFonts w:eastAsiaTheme="minorEastAsia"/>
                <w:lang w:eastAsia="zh-CN"/>
              </w:rPr>
              <w:t>40</w:t>
            </w:r>
          </w:p>
        </w:tc>
        <w:tc>
          <w:tcPr>
            <w:tcW w:w="475" w:type="pct"/>
            <w:tcBorders>
              <w:top w:val="single" w:sz="4" w:space="0" w:color="auto"/>
              <w:left w:val="single" w:sz="4" w:space="0" w:color="auto"/>
              <w:bottom w:val="single" w:sz="4" w:space="0" w:color="auto"/>
              <w:right w:val="single" w:sz="4" w:space="0" w:color="auto"/>
            </w:tcBorders>
          </w:tcPr>
          <w:p w14:paraId="32BC29AA" w14:textId="77777777" w:rsidR="003A71DE" w:rsidRPr="00EA3B97" w:rsidRDefault="003A71DE" w:rsidP="00D84FA9">
            <w:pPr>
              <w:pStyle w:val="TAC"/>
              <w:rPr>
                <w:rFonts w:eastAsiaTheme="minorEastAsia"/>
                <w:lang w:eastAsia="zh-CN"/>
              </w:rPr>
            </w:pPr>
          </w:p>
        </w:tc>
        <w:tc>
          <w:tcPr>
            <w:tcW w:w="475" w:type="pct"/>
            <w:tcBorders>
              <w:top w:val="single" w:sz="4" w:space="0" w:color="auto"/>
              <w:left w:val="single" w:sz="4" w:space="0" w:color="auto"/>
              <w:bottom w:val="single" w:sz="4" w:space="0" w:color="auto"/>
              <w:right w:val="single" w:sz="4" w:space="0" w:color="auto"/>
            </w:tcBorders>
          </w:tcPr>
          <w:p w14:paraId="7797304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E24059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6F8083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45FF807"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60BAFA69" w14:textId="77777777" w:rsidR="003A71DE" w:rsidRPr="00EA3B97" w:rsidRDefault="003A71DE" w:rsidP="00D84FA9">
            <w:pPr>
              <w:pStyle w:val="TAC"/>
              <w:rPr>
                <w:rFonts w:eastAsiaTheme="minorEastAsia"/>
              </w:rPr>
            </w:pPr>
          </w:p>
        </w:tc>
      </w:tr>
      <w:tr w:rsidR="003A71DE" w:rsidRPr="00EA3B97" w14:paraId="298358F0"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36FEB59D" w14:textId="77777777" w:rsidR="003A71DE" w:rsidRPr="00EA3B97" w:rsidRDefault="003A71DE" w:rsidP="00D84FA9">
            <w:pPr>
              <w:pStyle w:val="TAL"/>
              <w:rPr>
                <w:rFonts w:eastAsiaTheme="minorEastAsia"/>
              </w:rPr>
            </w:pPr>
            <w:r w:rsidRPr="00EA3B97">
              <w:rPr>
                <w:rFonts w:eastAsiaTheme="minorEastAsia"/>
              </w:rPr>
              <w:t>Number of transmitter antennas</w:t>
            </w:r>
          </w:p>
        </w:tc>
        <w:tc>
          <w:tcPr>
            <w:tcW w:w="368" w:type="pct"/>
            <w:tcBorders>
              <w:top w:val="single" w:sz="4" w:space="0" w:color="auto"/>
              <w:left w:val="single" w:sz="4" w:space="0" w:color="auto"/>
              <w:bottom w:val="single" w:sz="4" w:space="0" w:color="auto"/>
              <w:right w:val="single" w:sz="4" w:space="0" w:color="auto"/>
            </w:tcBorders>
          </w:tcPr>
          <w:p w14:paraId="648A28C4"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234AE28A" w14:textId="77777777" w:rsidR="003A71DE" w:rsidRPr="00EA3B97" w:rsidRDefault="003A71DE" w:rsidP="00D84FA9">
            <w:pPr>
              <w:pStyle w:val="TAC"/>
              <w:rPr>
                <w:rFonts w:eastAsiaTheme="minorEastAsia"/>
                <w:lang w:eastAsia="zh-CN"/>
              </w:rPr>
            </w:pPr>
            <w:r w:rsidRPr="00EA3B97">
              <w:rPr>
                <w:rFonts w:eastAsiaTheme="minorEastAsia"/>
                <w:lang w:eastAsia="zh-CN"/>
              </w:rPr>
              <w:t>1</w:t>
            </w:r>
          </w:p>
        </w:tc>
        <w:tc>
          <w:tcPr>
            <w:tcW w:w="475" w:type="pct"/>
            <w:tcBorders>
              <w:top w:val="single" w:sz="4" w:space="0" w:color="auto"/>
              <w:left w:val="single" w:sz="4" w:space="0" w:color="auto"/>
              <w:bottom w:val="single" w:sz="4" w:space="0" w:color="auto"/>
              <w:right w:val="single" w:sz="4" w:space="0" w:color="auto"/>
            </w:tcBorders>
          </w:tcPr>
          <w:p w14:paraId="0AE17ADD" w14:textId="77777777" w:rsidR="003A71DE" w:rsidRPr="00EA3B97" w:rsidRDefault="003A71DE" w:rsidP="00D84FA9">
            <w:pPr>
              <w:pStyle w:val="TAC"/>
              <w:rPr>
                <w:rFonts w:eastAsiaTheme="minorEastAsia"/>
                <w:lang w:eastAsia="zh-CN"/>
              </w:rPr>
            </w:pPr>
          </w:p>
        </w:tc>
        <w:tc>
          <w:tcPr>
            <w:tcW w:w="475" w:type="pct"/>
            <w:tcBorders>
              <w:top w:val="single" w:sz="4" w:space="0" w:color="auto"/>
              <w:left w:val="single" w:sz="4" w:space="0" w:color="auto"/>
              <w:bottom w:val="single" w:sz="4" w:space="0" w:color="auto"/>
              <w:right w:val="single" w:sz="4" w:space="0" w:color="auto"/>
            </w:tcBorders>
          </w:tcPr>
          <w:p w14:paraId="073322A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FC4A37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5BF639F"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A5D935E"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52EB575C" w14:textId="77777777" w:rsidR="003A71DE" w:rsidRPr="00EA3B97" w:rsidRDefault="003A71DE" w:rsidP="00D84FA9">
            <w:pPr>
              <w:pStyle w:val="TAC"/>
              <w:rPr>
                <w:rFonts w:eastAsiaTheme="minorEastAsia"/>
              </w:rPr>
            </w:pPr>
          </w:p>
        </w:tc>
      </w:tr>
      <w:tr w:rsidR="003A71DE" w:rsidRPr="00EA3B97" w14:paraId="57C141E3"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2EF7B3F9" w14:textId="77777777" w:rsidR="003A71DE" w:rsidRPr="00EA3B97" w:rsidRDefault="003A71DE" w:rsidP="00D84FA9">
            <w:pPr>
              <w:pStyle w:val="TAL"/>
              <w:rPr>
                <w:rFonts w:eastAsiaTheme="minorEastAsia"/>
              </w:rPr>
            </w:pPr>
            <w:r w:rsidRPr="00EA3B97">
              <w:rPr>
                <w:rFonts w:eastAsiaTheme="minorEastAsia"/>
              </w:rPr>
              <w:t xml:space="preserve">Allocated resource blocks for PDSCH </w:t>
            </w:r>
            <w:r w:rsidRPr="00EA3B97">
              <w:rPr>
                <w:rFonts w:eastAsiaTheme="minorEastAsia"/>
                <w:vertAlign w:val="superscript"/>
              </w:rPr>
              <w:t>Note 1</w:t>
            </w:r>
          </w:p>
        </w:tc>
        <w:tc>
          <w:tcPr>
            <w:tcW w:w="368" w:type="pct"/>
            <w:tcBorders>
              <w:top w:val="single" w:sz="4" w:space="0" w:color="auto"/>
              <w:left w:val="single" w:sz="4" w:space="0" w:color="auto"/>
              <w:bottom w:val="single" w:sz="4" w:space="0" w:color="auto"/>
              <w:right w:val="single" w:sz="4" w:space="0" w:color="auto"/>
            </w:tcBorders>
          </w:tcPr>
          <w:p w14:paraId="6FC0278E"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39BA5318" w14:textId="77777777" w:rsidR="003A71DE" w:rsidRPr="00EA3B97" w:rsidRDefault="003A71DE" w:rsidP="00D84FA9">
            <w:pPr>
              <w:pStyle w:val="TAC"/>
              <w:rPr>
                <w:rFonts w:eastAsiaTheme="minorEastAsia"/>
                <w:strike/>
              </w:rPr>
            </w:pPr>
            <w:r w:rsidRPr="00EA3B97">
              <w:rPr>
                <w:rFonts w:eastAsiaTheme="minorEastAsia"/>
                <w:lang w:eastAsia="zh-CN"/>
              </w:rPr>
              <w:t>24</w:t>
            </w:r>
          </w:p>
        </w:tc>
        <w:tc>
          <w:tcPr>
            <w:tcW w:w="475" w:type="pct"/>
            <w:tcBorders>
              <w:top w:val="single" w:sz="4" w:space="0" w:color="auto"/>
              <w:left w:val="single" w:sz="4" w:space="0" w:color="auto"/>
              <w:bottom w:val="single" w:sz="4" w:space="0" w:color="auto"/>
              <w:right w:val="single" w:sz="4" w:space="0" w:color="auto"/>
            </w:tcBorders>
          </w:tcPr>
          <w:p w14:paraId="3C1297C3" w14:textId="77777777" w:rsidR="003A71DE" w:rsidRPr="00EA3B97" w:rsidRDefault="003A71DE" w:rsidP="00D84FA9">
            <w:pPr>
              <w:pStyle w:val="TAC"/>
              <w:rPr>
                <w:rFonts w:eastAsiaTheme="minorEastAsia"/>
                <w:lang w:eastAsia="zh-CN"/>
              </w:rPr>
            </w:pPr>
          </w:p>
        </w:tc>
        <w:tc>
          <w:tcPr>
            <w:tcW w:w="475" w:type="pct"/>
            <w:tcBorders>
              <w:top w:val="single" w:sz="4" w:space="0" w:color="auto"/>
              <w:left w:val="single" w:sz="4" w:space="0" w:color="auto"/>
              <w:bottom w:val="single" w:sz="4" w:space="0" w:color="auto"/>
              <w:right w:val="single" w:sz="4" w:space="0" w:color="auto"/>
            </w:tcBorders>
          </w:tcPr>
          <w:p w14:paraId="3054D7B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1E4C3C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0376E8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9980496"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07F4DCA4" w14:textId="77777777" w:rsidR="003A71DE" w:rsidRPr="00EA3B97" w:rsidRDefault="003A71DE" w:rsidP="00D84FA9">
            <w:pPr>
              <w:pStyle w:val="TAC"/>
              <w:rPr>
                <w:rFonts w:eastAsiaTheme="minorEastAsia"/>
              </w:rPr>
            </w:pPr>
          </w:p>
        </w:tc>
      </w:tr>
      <w:tr w:rsidR="003A71DE" w:rsidRPr="00EA3B97" w14:paraId="62613CBD"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2C099827" w14:textId="77777777" w:rsidR="003A71DE" w:rsidRPr="00EA3B97" w:rsidRDefault="003A71DE" w:rsidP="00D84FA9">
            <w:pPr>
              <w:pStyle w:val="TAL"/>
              <w:rPr>
                <w:rFonts w:eastAsiaTheme="minorEastAsia"/>
              </w:rPr>
            </w:pPr>
            <w:r w:rsidRPr="00EA3B97">
              <w:rPr>
                <w:rFonts w:eastAsiaTheme="minorEastAsia"/>
              </w:rPr>
              <w:t>Allocated slots per Radio Frame</w:t>
            </w:r>
          </w:p>
        </w:tc>
        <w:tc>
          <w:tcPr>
            <w:tcW w:w="368" w:type="pct"/>
            <w:tcBorders>
              <w:top w:val="single" w:sz="4" w:space="0" w:color="auto"/>
              <w:left w:val="single" w:sz="4" w:space="0" w:color="auto"/>
              <w:bottom w:val="single" w:sz="4" w:space="0" w:color="auto"/>
              <w:right w:val="single" w:sz="4" w:space="0" w:color="auto"/>
            </w:tcBorders>
          </w:tcPr>
          <w:p w14:paraId="071EDF39"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tcPr>
          <w:p w14:paraId="4666330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9C0323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D52407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77F033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EAA6E5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B576C32"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13DEB8B9" w14:textId="77777777" w:rsidR="003A71DE" w:rsidRPr="00EA3B97" w:rsidRDefault="003A71DE" w:rsidP="00D84FA9">
            <w:pPr>
              <w:pStyle w:val="TAC"/>
              <w:rPr>
                <w:rFonts w:eastAsiaTheme="minorEastAsia"/>
              </w:rPr>
            </w:pPr>
          </w:p>
        </w:tc>
      </w:tr>
      <w:tr w:rsidR="003A71DE" w:rsidRPr="00EA3B97" w14:paraId="0CEC8CBF"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47640CF4" w14:textId="77777777" w:rsidR="003A71DE" w:rsidRPr="00EA3B97" w:rsidRDefault="003A71DE" w:rsidP="00D84FA9">
            <w:pPr>
              <w:pStyle w:val="TAL"/>
              <w:rPr>
                <w:rFonts w:eastAsiaTheme="minorEastAsia"/>
              </w:rPr>
            </w:pPr>
            <w:r w:rsidRPr="00EA3B97">
              <w:rPr>
                <w:rFonts w:eastAsiaTheme="minorEastAsia"/>
              </w:rPr>
              <w:t xml:space="preserve">  Radio frame containing SSB</w:t>
            </w:r>
          </w:p>
        </w:tc>
        <w:tc>
          <w:tcPr>
            <w:tcW w:w="368" w:type="pct"/>
            <w:tcBorders>
              <w:top w:val="single" w:sz="4" w:space="0" w:color="auto"/>
              <w:left w:val="single" w:sz="4" w:space="0" w:color="auto"/>
              <w:bottom w:val="single" w:sz="4" w:space="0" w:color="auto"/>
              <w:right w:val="single" w:sz="4" w:space="0" w:color="auto"/>
            </w:tcBorders>
            <w:hideMark/>
          </w:tcPr>
          <w:p w14:paraId="6451D4DD" w14:textId="77777777" w:rsidR="003A71DE" w:rsidRPr="00EA3B97" w:rsidRDefault="003A71DE" w:rsidP="00D84FA9">
            <w:pPr>
              <w:pStyle w:val="TAC"/>
              <w:rPr>
                <w:rFonts w:eastAsiaTheme="minorEastAsia"/>
              </w:rPr>
            </w:pPr>
            <w:r w:rsidRPr="00EA3B97">
              <w:rPr>
                <w:rFonts w:eastAsiaTheme="minorEastAsia"/>
              </w:rPr>
              <w:t>slots</w:t>
            </w:r>
          </w:p>
        </w:tc>
        <w:tc>
          <w:tcPr>
            <w:tcW w:w="544" w:type="pct"/>
            <w:tcBorders>
              <w:top w:val="single" w:sz="4" w:space="0" w:color="auto"/>
              <w:left w:val="single" w:sz="4" w:space="0" w:color="auto"/>
              <w:bottom w:val="single" w:sz="4" w:space="0" w:color="auto"/>
              <w:right w:val="single" w:sz="4" w:space="0" w:color="auto"/>
            </w:tcBorders>
            <w:hideMark/>
          </w:tcPr>
          <w:p w14:paraId="32601587" w14:textId="77777777" w:rsidR="003A71DE" w:rsidRPr="00EA3B97" w:rsidRDefault="003A71DE" w:rsidP="00D84FA9">
            <w:pPr>
              <w:pStyle w:val="TAC"/>
              <w:rPr>
                <w:rFonts w:eastAsiaTheme="minorEastAsia"/>
                <w:lang w:eastAsia="zh-CN"/>
              </w:rPr>
            </w:pPr>
            <w:r w:rsidRPr="00EA3B97">
              <w:rPr>
                <w:rFonts w:eastAsiaTheme="minorEastAsia"/>
                <w:lang w:eastAsia="zh-CN"/>
              </w:rPr>
              <w:t>Note 5</w:t>
            </w:r>
          </w:p>
        </w:tc>
        <w:tc>
          <w:tcPr>
            <w:tcW w:w="475" w:type="pct"/>
            <w:tcBorders>
              <w:top w:val="single" w:sz="4" w:space="0" w:color="auto"/>
              <w:left w:val="single" w:sz="4" w:space="0" w:color="auto"/>
              <w:bottom w:val="single" w:sz="4" w:space="0" w:color="auto"/>
              <w:right w:val="single" w:sz="4" w:space="0" w:color="auto"/>
            </w:tcBorders>
          </w:tcPr>
          <w:p w14:paraId="2B269D7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3735AF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B745CF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A1F36E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A8A7810"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0D2CDB7A" w14:textId="77777777" w:rsidR="003A71DE" w:rsidRPr="00EA3B97" w:rsidRDefault="003A71DE" w:rsidP="00D84FA9">
            <w:pPr>
              <w:pStyle w:val="TAC"/>
              <w:rPr>
                <w:rFonts w:eastAsiaTheme="minorEastAsia"/>
              </w:rPr>
            </w:pPr>
          </w:p>
        </w:tc>
      </w:tr>
      <w:tr w:rsidR="003A71DE" w:rsidRPr="00EA3B97" w14:paraId="69BEE6AA"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69E0426B" w14:textId="77777777" w:rsidR="003A71DE" w:rsidRPr="00EA3B97" w:rsidRDefault="003A71DE" w:rsidP="00D84FA9">
            <w:pPr>
              <w:pStyle w:val="TAL"/>
              <w:rPr>
                <w:rFonts w:eastAsiaTheme="minorEastAsia"/>
              </w:rPr>
            </w:pPr>
            <w:r w:rsidRPr="00EA3B97">
              <w:rPr>
                <w:rFonts w:eastAsiaTheme="minorEastAsia"/>
              </w:rPr>
              <w:t xml:space="preserve">  Radio frame not containing SSB</w:t>
            </w:r>
          </w:p>
        </w:tc>
        <w:tc>
          <w:tcPr>
            <w:tcW w:w="368" w:type="pct"/>
            <w:tcBorders>
              <w:top w:val="single" w:sz="4" w:space="0" w:color="auto"/>
              <w:left w:val="single" w:sz="4" w:space="0" w:color="auto"/>
              <w:bottom w:val="single" w:sz="4" w:space="0" w:color="auto"/>
              <w:right w:val="single" w:sz="4" w:space="0" w:color="auto"/>
            </w:tcBorders>
            <w:hideMark/>
          </w:tcPr>
          <w:p w14:paraId="5B60E434" w14:textId="77777777" w:rsidR="003A71DE" w:rsidRPr="00EA3B97" w:rsidRDefault="003A71DE" w:rsidP="00D84FA9">
            <w:pPr>
              <w:pStyle w:val="TAC"/>
              <w:rPr>
                <w:rFonts w:eastAsiaTheme="minorEastAsia"/>
              </w:rPr>
            </w:pPr>
            <w:r w:rsidRPr="00EA3B97">
              <w:rPr>
                <w:rFonts w:eastAsiaTheme="minorEastAsia"/>
              </w:rPr>
              <w:t>slots</w:t>
            </w:r>
          </w:p>
        </w:tc>
        <w:tc>
          <w:tcPr>
            <w:tcW w:w="544" w:type="pct"/>
            <w:tcBorders>
              <w:top w:val="single" w:sz="4" w:space="0" w:color="auto"/>
              <w:left w:val="single" w:sz="4" w:space="0" w:color="auto"/>
              <w:bottom w:val="single" w:sz="4" w:space="0" w:color="auto"/>
              <w:right w:val="single" w:sz="4" w:space="0" w:color="auto"/>
            </w:tcBorders>
            <w:hideMark/>
          </w:tcPr>
          <w:p w14:paraId="2F1F76DC" w14:textId="77777777" w:rsidR="003A71DE" w:rsidRPr="00EA3B97" w:rsidRDefault="003A71DE" w:rsidP="00D84FA9">
            <w:pPr>
              <w:pStyle w:val="TAC"/>
              <w:rPr>
                <w:rFonts w:eastAsiaTheme="minorEastAsia"/>
                <w:lang w:eastAsia="zh-CN"/>
              </w:rPr>
            </w:pPr>
            <w:r w:rsidRPr="00EA3B97">
              <w:rPr>
                <w:rFonts w:eastAsiaTheme="minorEastAsia"/>
                <w:lang w:eastAsia="zh-CN"/>
              </w:rPr>
              <w:t>10</w:t>
            </w:r>
          </w:p>
        </w:tc>
        <w:tc>
          <w:tcPr>
            <w:tcW w:w="475" w:type="pct"/>
            <w:tcBorders>
              <w:top w:val="single" w:sz="4" w:space="0" w:color="auto"/>
              <w:left w:val="single" w:sz="4" w:space="0" w:color="auto"/>
              <w:bottom w:val="single" w:sz="4" w:space="0" w:color="auto"/>
              <w:right w:val="single" w:sz="4" w:space="0" w:color="auto"/>
            </w:tcBorders>
          </w:tcPr>
          <w:p w14:paraId="651F92D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7510F6F"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BC9DA2F"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9C41425"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2458578"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101DFEA6" w14:textId="77777777" w:rsidR="003A71DE" w:rsidRPr="00EA3B97" w:rsidRDefault="003A71DE" w:rsidP="00D84FA9">
            <w:pPr>
              <w:pStyle w:val="TAC"/>
              <w:rPr>
                <w:rFonts w:eastAsiaTheme="minorEastAsia"/>
              </w:rPr>
            </w:pPr>
          </w:p>
        </w:tc>
      </w:tr>
      <w:tr w:rsidR="003A71DE" w:rsidRPr="00EA3B97" w14:paraId="01E342EE"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5BA40915" w14:textId="77777777" w:rsidR="003A71DE" w:rsidRPr="00EA3B97" w:rsidRDefault="003A71DE" w:rsidP="00D84FA9">
            <w:pPr>
              <w:pStyle w:val="TAL"/>
              <w:rPr>
                <w:rFonts w:eastAsiaTheme="minorEastAsia"/>
              </w:rPr>
            </w:pPr>
            <w:r w:rsidRPr="00EA3B97">
              <w:rPr>
                <w:rFonts w:eastAsiaTheme="minorEastAsia"/>
              </w:rPr>
              <w:t>MCS table</w:t>
            </w:r>
          </w:p>
        </w:tc>
        <w:tc>
          <w:tcPr>
            <w:tcW w:w="368" w:type="pct"/>
            <w:tcBorders>
              <w:top w:val="single" w:sz="4" w:space="0" w:color="auto"/>
              <w:left w:val="single" w:sz="4" w:space="0" w:color="auto"/>
              <w:bottom w:val="single" w:sz="4" w:space="0" w:color="auto"/>
              <w:right w:val="single" w:sz="4" w:space="0" w:color="auto"/>
            </w:tcBorders>
          </w:tcPr>
          <w:p w14:paraId="3EFD5819"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18299F63" w14:textId="77777777" w:rsidR="003A71DE" w:rsidRPr="00EA3B97" w:rsidRDefault="003A71DE" w:rsidP="00D84FA9">
            <w:pPr>
              <w:pStyle w:val="TAC"/>
              <w:rPr>
                <w:rFonts w:eastAsiaTheme="minorEastAsia"/>
                <w:lang w:eastAsia="zh-CN"/>
              </w:rPr>
            </w:pPr>
            <w:r w:rsidRPr="00EA3B97">
              <w:rPr>
                <w:rFonts w:eastAsiaTheme="minorEastAsia"/>
                <w:lang w:eastAsia="zh-CN"/>
              </w:rPr>
              <w:t>64QAM</w:t>
            </w:r>
          </w:p>
        </w:tc>
        <w:tc>
          <w:tcPr>
            <w:tcW w:w="475" w:type="pct"/>
            <w:tcBorders>
              <w:top w:val="single" w:sz="4" w:space="0" w:color="auto"/>
              <w:left w:val="single" w:sz="4" w:space="0" w:color="auto"/>
              <w:bottom w:val="single" w:sz="4" w:space="0" w:color="auto"/>
              <w:right w:val="single" w:sz="4" w:space="0" w:color="auto"/>
            </w:tcBorders>
          </w:tcPr>
          <w:p w14:paraId="0FD4467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D9F671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741E75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654F19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3C4E06F"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72E2CD1A" w14:textId="77777777" w:rsidR="003A71DE" w:rsidRPr="00EA3B97" w:rsidRDefault="003A71DE" w:rsidP="00D84FA9">
            <w:pPr>
              <w:pStyle w:val="TAC"/>
              <w:rPr>
                <w:rFonts w:eastAsiaTheme="minorEastAsia"/>
              </w:rPr>
            </w:pPr>
          </w:p>
        </w:tc>
      </w:tr>
      <w:tr w:rsidR="003A71DE" w:rsidRPr="00EA3B97" w14:paraId="4BF1FA60"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068B47E8" w14:textId="77777777" w:rsidR="003A71DE" w:rsidRPr="00EA3B97" w:rsidRDefault="003A71DE" w:rsidP="00D84FA9">
            <w:pPr>
              <w:pStyle w:val="TAL"/>
              <w:rPr>
                <w:rFonts w:eastAsiaTheme="minorEastAsia"/>
              </w:rPr>
            </w:pPr>
            <w:r w:rsidRPr="00EA3B97">
              <w:rPr>
                <w:rFonts w:eastAsiaTheme="minorEastAsia"/>
              </w:rPr>
              <w:t>MCS index</w:t>
            </w:r>
          </w:p>
        </w:tc>
        <w:tc>
          <w:tcPr>
            <w:tcW w:w="368" w:type="pct"/>
            <w:tcBorders>
              <w:top w:val="single" w:sz="4" w:space="0" w:color="auto"/>
              <w:left w:val="single" w:sz="4" w:space="0" w:color="auto"/>
              <w:bottom w:val="single" w:sz="4" w:space="0" w:color="auto"/>
              <w:right w:val="single" w:sz="4" w:space="0" w:color="auto"/>
            </w:tcBorders>
          </w:tcPr>
          <w:p w14:paraId="28523F8A"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765C5AB3" w14:textId="77777777" w:rsidR="003A71DE" w:rsidRPr="00EA3B97" w:rsidRDefault="003A71DE" w:rsidP="00D84FA9">
            <w:pPr>
              <w:pStyle w:val="TAC"/>
              <w:rPr>
                <w:rFonts w:eastAsiaTheme="minorEastAsia"/>
                <w:lang w:eastAsia="zh-CN"/>
              </w:rPr>
            </w:pPr>
            <w:r w:rsidRPr="00EA3B97">
              <w:rPr>
                <w:rFonts w:eastAsiaTheme="minorEastAsia"/>
                <w:lang w:eastAsia="zh-CN"/>
              </w:rPr>
              <w:t>4</w:t>
            </w:r>
          </w:p>
        </w:tc>
        <w:tc>
          <w:tcPr>
            <w:tcW w:w="475" w:type="pct"/>
            <w:tcBorders>
              <w:top w:val="single" w:sz="4" w:space="0" w:color="auto"/>
              <w:left w:val="single" w:sz="4" w:space="0" w:color="auto"/>
              <w:bottom w:val="single" w:sz="4" w:space="0" w:color="auto"/>
              <w:right w:val="single" w:sz="4" w:space="0" w:color="auto"/>
            </w:tcBorders>
          </w:tcPr>
          <w:p w14:paraId="5010843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4AD2BE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279919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CD3E7F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8769D7C"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59848512" w14:textId="77777777" w:rsidR="003A71DE" w:rsidRPr="00EA3B97" w:rsidRDefault="003A71DE" w:rsidP="00D84FA9">
            <w:pPr>
              <w:pStyle w:val="TAC"/>
              <w:rPr>
                <w:rFonts w:eastAsiaTheme="minorEastAsia"/>
              </w:rPr>
            </w:pPr>
          </w:p>
        </w:tc>
      </w:tr>
      <w:tr w:rsidR="003A71DE" w:rsidRPr="00EA3B97" w14:paraId="117821E4"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1D1F11DD" w14:textId="77777777" w:rsidR="003A71DE" w:rsidRPr="00EA3B97" w:rsidRDefault="003A71DE" w:rsidP="00D84FA9">
            <w:pPr>
              <w:pStyle w:val="TAL"/>
              <w:rPr>
                <w:rFonts w:eastAsiaTheme="minorEastAsia"/>
              </w:rPr>
            </w:pPr>
            <w:r w:rsidRPr="00EA3B97">
              <w:rPr>
                <w:rFonts w:eastAsiaTheme="minorEastAsia"/>
              </w:rPr>
              <w:t>Modulation</w:t>
            </w:r>
          </w:p>
        </w:tc>
        <w:tc>
          <w:tcPr>
            <w:tcW w:w="368" w:type="pct"/>
            <w:tcBorders>
              <w:top w:val="single" w:sz="4" w:space="0" w:color="auto"/>
              <w:left w:val="single" w:sz="4" w:space="0" w:color="auto"/>
              <w:bottom w:val="single" w:sz="4" w:space="0" w:color="auto"/>
              <w:right w:val="single" w:sz="4" w:space="0" w:color="auto"/>
            </w:tcBorders>
          </w:tcPr>
          <w:p w14:paraId="4BFD0EB8"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462A94F7" w14:textId="77777777" w:rsidR="003A71DE" w:rsidRPr="00EA3B97" w:rsidRDefault="003A71DE" w:rsidP="00D84FA9">
            <w:pPr>
              <w:pStyle w:val="TAC"/>
              <w:rPr>
                <w:rFonts w:eastAsiaTheme="minorEastAsia"/>
              </w:rPr>
            </w:pPr>
            <w:r w:rsidRPr="00EA3B97">
              <w:rPr>
                <w:rFonts w:eastAsiaTheme="minorEastAsia"/>
                <w:lang w:eastAsia="zh-CN"/>
              </w:rPr>
              <w:t>QPSK</w:t>
            </w:r>
          </w:p>
        </w:tc>
        <w:tc>
          <w:tcPr>
            <w:tcW w:w="475" w:type="pct"/>
            <w:tcBorders>
              <w:top w:val="single" w:sz="4" w:space="0" w:color="auto"/>
              <w:left w:val="single" w:sz="4" w:space="0" w:color="auto"/>
              <w:bottom w:val="single" w:sz="4" w:space="0" w:color="auto"/>
              <w:right w:val="single" w:sz="4" w:space="0" w:color="auto"/>
            </w:tcBorders>
          </w:tcPr>
          <w:p w14:paraId="6AA1A5B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65E489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A13F27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A4AAE9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E193A43"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38DD00E5" w14:textId="77777777" w:rsidR="003A71DE" w:rsidRPr="00EA3B97" w:rsidRDefault="003A71DE" w:rsidP="00D84FA9">
            <w:pPr>
              <w:pStyle w:val="TAC"/>
              <w:rPr>
                <w:rFonts w:eastAsiaTheme="minorEastAsia"/>
              </w:rPr>
            </w:pPr>
          </w:p>
        </w:tc>
      </w:tr>
      <w:tr w:rsidR="003A71DE" w:rsidRPr="00EA3B97" w14:paraId="24397E8D"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48B8F35B" w14:textId="77777777" w:rsidR="003A71DE" w:rsidRPr="00EA3B97" w:rsidRDefault="003A71DE" w:rsidP="00D84FA9">
            <w:pPr>
              <w:pStyle w:val="TAL"/>
              <w:rPr>
                <w:rFonts w:eastAsiaTheme="minorEastAsia"/>
              </w:rPr>
            </w:pPr>
            <w:r w:rsidRPr="00EA3B97">
              <w:rPr>
                <w:rFonts w:eastAsiaTheme="minorEastAsia"/>
              </w:rPr>
              <w:t>Target Coding Rate</w:t>
            </w:r>
          </w:p>
        </w:tc>
        <w:tc>
          <w:tcPr>
            <w:tcW w:w="368" w:type="pct"/>
            <w:tcBorders>
              <w:top w:val="single" w:sz="4" w:space="0" w:color="auto"/>
              <w:left w:val="single" w:sz="4" w:space="0" w:color="auto"/>
              <w:bottom w:val="single" w:sz="4" w:space="0" w:color="auto"/>
              <w:right w:val="single" w:sz="4" w:space="0" w:color="auto"/>
            </w:tcBorders>
          </w:tcPr>
          <w:p w14:paraId="7A5CC77E"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545E1A05" w14:textId="77777777" w:rsidR="003A71DE" w:rsidRPr="00EA3B97" w:rsidRDefault="003A71DE" w:rsidP="00D84FA9">
            <w:pPr>
              <w:pStyle w:val="TAC"/>
              <w:rPr>
                <w:rFonts w:eastAsiaTheme="minorEastAsia"/>
              </w:rPr>
            </w:pPr>
            <w:r w:rsidRPr="00EA3B97">
              <w:rPr>
                <w:rFonts w:eastAsiaTheme="minorEastAsia"/>
                <w:lang w:eastAsia="zh-CN"/>
              </w:rPr>
              <w:t>1/3</w:t>
            </w:r>
          </w:p>
        </w:tc>
        <w:tc>
          <w:tcPr>
            <w:tcW w:w="475" w:type="pct"/>
            <w:tcBorders>
              <w:top w:val="single" w:sz="4" w:space="0" w:color="auto"/>
              <w:left w:val="single" w:sz="4" w:space="0" w:color="auto"/>
              <w:bottom w:val="single" w:sz="4" w:space="0" w:color="auto"/>
              <w:right w:val="single" w:sz="4" w:space="0" w:color="auto"/>
            </w:tcBorders>
          </w:tcPr>
          <w:p w14:paraId="3919055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FEF889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356FCF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B3364D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DB0BFDC"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70BD2B78" w14:textId="77777777" w:rsidR="003A71DE" w:rsidRPr="00EA3B97" w:rsidRDefault="003A71DE" w:rsidP="00D84FA9">
            <w:pPr>
              <w:pStyle w:val="TAC"/>
              <w:rPr>
                <w:rFonts w:eastAsiaTheme="minorEastAsia"/>
              </w:rPr>
            </w:pPr>
          </w:p>
        </w:tc>
      </w:tr>
      <w:tr w:rsidR="003A71DE" w:rsidRPr="00EA3B97" w14:paraId="306CF225"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4CB8A6B0" w14:textId="77777777" w:rsidR="003A71DE" w:rsidRPr="00EA3B97" w:rsidRDefault="003A71DE" w:rsidP="00D84FA9">
            <w:pPr>
              <w:pStyle w:val="TAL"/>
              <w:rPr>
                <w:rFonts w:eastAsiaTheme="minorEastAsia"/>
                <w:lang w:eastAsia="zh-CN"/>
              </w:rPr>
            </w:pPr>
            <w:r w:rsidRPr="00EA3B97">
              <w:rPr>
                <w:rFonts w:eastAsiaTheme="minorEastAsia"/>
                <w:lang w:eastAsia="zh-CN"/>
              </w:rPr>
              <w:t>Number of control symbols</w:t>
            </w:r>
          </w:p>
        </w:tc>
        <w:tc>
          <w:tcPr>
            <w:tcW w:w="368" w:type="pct"/>
            <w:tcBorders>
              <w:top w:val="single" w:sz="4" w:space="0" w:color="auto"/>
              <w:left w:val="single" w:sz="4" w:space="0" w:color="auto"/>
              <w:bottom w:val="single" w:sz="4" w:space="0" w:color="auto"/>
              <w:right w:val="single" w:sz="4" w:space="0" w:color="auto"/>
            </w:tcBorders>
          </w:tcPr>
          <w:p w14:paraId="62DF8201"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338B58ED" w14:textId="77777777" w:rsidR="003A71DE" w:rsidRPr="00EA3B97" w:rsidRDefault="003A71DE" w:rsidP="00D84FA9">
            <w:pPr>
              <w:pStyle w:val="TAC"/>
              <w:rPr>
                <w:rFonts w:eastAsiaTheme="minorEastAsia"/>
                <w:lang w:eastAsia="zh-CN"/>
              </w:rPr>
            </w:pPr>
            <w:r w:rsidRPr="00EA3B97">
              <w:rPr>
                <w:rFonts w:eastAsiaTheme="minorEastAsia"/>
                <w:lang w:eastAsia="zh-CN"/>
              </w:rPr>
              <w:t>2</w:t>
            </w:r>
          </w:p>
        </w:tc>
        <w:tc>
          <w:tcPr>
            <w:tcW w:w="475" w:type="pct"/>
            <w:tcBorders>
              <w:top w:val="single" w:sz="4" w:space="0" w:color="auto"/>
              <w:left w:val="single" w:sz="4" w:space="0" w:color="auto"/>
              <w:bottom w:val="single" w:sz="4" w:space="0" w:color="auto"/>
              <w:right w:val="single" w:sz="4" w:space="0" w:color="auto"/>
            </w:tcBorders>
          </w:tcPr>
          <w:p w14:paraId="03DF398B" w14:textId="77777777" w:rsidR="003A71DE" w:rsidRPr="00EA3B97" w:rsidRDefault="003A71DE" w:rsidP="00D84FA9">
            <w:pPr>
              <w:pStyle w:val="TAC"/>
              <w:rPr>
                <w:rFonts w:eastAsiaTheme="minorEastAsia"/>
                <w:lang w:eastAsia="zh-CN"/>
              </w:rPr>
            </w:pPr>
          </w:p>
        </w:tc>
        <w:tc>
          <w:tcPr>
            <w:tcW w:w="475" w:type="pct"/>
            <w:tcBorders>
              <w:top w:val="single" w:sz="4" w:space="0" w:color="auto"/>
              <w:left w:val="single" w:sz="4" w:space="0" w:color="auto"/>
              <w:bottom w:val="single" w:sz="4" w:space="0" w:color="auto"/>
              <w:right w:val="single" w:sz="4" w:space="0" w:color="auto"/>
            </w:tcBorders>
          </w:tcPr>
          <w:p w14:paraId="25AF3AE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E7271C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782AC7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B1E2ECA"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1FF5B6A7" w14:textId="77777777" w:rsidR="003A71DE" w:rsidRPr="00EA3B97" w:rsidRDefault="003A71DE" w:rsidP="00D84FA9">
            <w:pPr>
              <w:pStyle w:val="TAC"/>
              <w:rPr>
                <w:rFonts w:eastAsiaTheme="minorEastAsia"/>
              </w:rPr>
            </w:pPr>
          </w:p>
        </w:tc>
      </w:tr>
      <w:tr w:rsidR="003A71DE" w:rsidRPr="00EA3B97" w14:paraId="7CA58D82"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5E92483C" w14:textId="77777777" w:rsidR="003A71DE" w:rsidRPr="00EA3B97" w:rsidRDefault="003A71DE" w:rsidP="00D84FA9">
            <w:pPr>
              <w:pStyle w:val="TAL"/>
              <w:rPr>
                <w:rFonts w:eastAsiaTheme="minorEastAsia"/>
                <w:lang w:eastAsia="zh-CN"/>
              </w:rPr>
            </w:pPr>
            <w:r w:rsidRPr="00EA3B97">
              <w:rPr>
                <w:rFonts w:eastAsiaTheme="minorEastAsia"/>
                <w:lang w:eastAsia="zh-CN"/>
              </w:rPr>
              <w:t>PDSCH mapping type</w:t>
            </w:r>
          </w:p>
        </w:tc>
        <w:tc>
          <w:tcPr>
            <w:tcW w:w="368" w:type="pct"/>
            <w:tcBorders>
              <w:top w:val="single" w:sz="4" w:space="0" w:color="auto"/>
              <w:left w:val="single" w:sz="4" w:space="0" w:color="auto"/>
              <w:bottom w:val="single" w:sz="4" w:space="0" w:color="auto"/>
              <w:right w:val="single" w:sz="4" w:space="0" w:color="auto"/>
            </w:tcBorders>
          </w:tcPr>
          <w:p w14:paraId="2CEA1AFC"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2C1A12AF" w14:textId="77777777" w:rsidR="003A71DE" w:rsidRPr="00EA3B97" w:rsidRDefault="003A71DE" w:rsidP="00D84FA9">
            <w:pPr>
              <w:pStyle w:val="TAC"/>
              <w:rPr>
                <w:rFonts w:eastAsiaTheme="minorEastAsia"/>
                <w:lang w:eastAsia="zh-CN"/>
              </w:rPr>
            </w:pPr>
            <w:r w:rsidRPr="00EA3B97">
              <w:rPr>
                <w:rFonts w:eastAsiaTheme="minorEastAsia"/>
                <w:lang w:eastAsia="zh-CN"/>
              </w:rPr>
              <w:t>Type A</w:t>
            </w:r>
          </w:p>
        </w:tc>
        <w:tc>
          <w:tcPr>
            <w:tcW w:w="475" w:type="pct"/>
            <w:tcBorders>
              <w:top w:val="single" w:sz="4" w:space="0" w:color="auto"/>
              <w:left w:val="single" w:sz="4" w:space="0" w:color="auto"/>
              <w:bottom w:val="single" w:sz="4" w:space="0" w:color="auto"/>
              <w:right w:val="single" w:sz="4" w:space="0" w:color="auto"/>
            </w:tcBorders>
          </w:tcPr>
          <w:p w14:paraId="7F4B94F1" w14:textId="77777777" w:rsidR="003A71DE" w:rsidRPr="00EA3B97" w:rsidRDefault="003A71DE" w:rsidP="00D84FA9">
            <w:pPr>
              <w:pStyle w:val="TAC"/>
              <w:rPr>
                <w:rFonts w:eastAsiaTheme="minorEastAsia"/>
                <w:lang w:eastAsia="zh-CN"/>
              </w:rPr>
            </w:pPr>
          </w:p>
        </w:tc>
        <w:tc>
          <w:tcPr>
            <w:tcW w:w="475" w:type="pct"/>
            <w:tcBorders>
              <w:top w:val="single" w:sz="4" w:space="0" w:color="auto"/>
              <w:left w:val="single" w:sz="4" w:space="0" w:color="auto"/>
              <w:bottom w:val="single" w:sz="4" w:space="0" w:color="auto"/>
              <w:right w:val="single" w:sz="4" w:space="0" w:color="auto"/>
            </w:tcBorders>
          </w:tcPr>
          <w:p w14:paraId="119DEBCC"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26BA98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75397A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CECD16E"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342B4FEA" w14:textId="77777777" w:rsidR="003A71DE" w:rsidRPr="00EA3B97" w:rsidRDefault="003A71DE" w:rsidP="00D84FA9">
            <w:pPr>
              <w:pStyle w:val="TAC"/>
              <w:rPr>
                <w:rFonts w:eastAsiaTheme="minorEastAsia"/>
              </w:rPr>
            </w:pPr>
          </w:p>
        </w:tc>
      </w:tr>
      <w:tr w:rsidR="003A71DE" w:rsidRPr="00EA3B97" w14:paraId="7299A52A"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7632BBB2" w14:textId="77777777" w:rsidR="003A71DE" w:rsidRPr="00EA3B97" w:rsidRDefault="003A71DE" w:rsidP="00D84FA9">
            <w:pPr>
              <w:pStyle w:val="TAL"/>
              <w:rPr>
                <w:rFonts w:eastAsiaTheme="minorEastAsia"/>
              </w:rPr>
            </w:pPr>
            <w:r w:rsidRPr="00EA3B97">
              <w:rPr>
                <w:rFonts w:eastAsiaTheme="minorEastAsia"/>
              </w:rPr>
              <w:t>Information Bit Payload</w:t>
            </w:r>
          </w:p>
        </w:tc>
        <w:tc>
          <w:tcPr>
            <w:tcW w:w="368" w:type="pct"/>
            <w:tcBorders>
              <w:top w:val="single" w:sz="4" w:space="0" w:color="auto"/>
              <w:left w:val="single" w:sz="4" w:space="0" w:color="auto"/>
              <w:bottom w:val="single" w:sz="4" w:space="0" w:color="auto"/>
              <w:right w:val="single" w:sz="4" w:space="0" w:color="auto"/>
            </w:tcBorders>
          </w:tcPr>
          <w:p w14:paraId="13578517"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tcPr>
          <w:p w14:paraId="1F998CB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0B7F54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C49E33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99D70F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803AD56"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01DB4E1"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4EB0E04C" w14:textId="77777777" w:rsidR="003A71DE" w:rsidRPr="00EA3B97" w:rsidRDefault="003A71DE" w:rsidP="00D84FA9">
            <w:pPr>
              <w:pStyle w:val="TAC"/>
              <w:rPr>
                <w:rFonts w:eastAsiaTheme="minorEastAsia"/>
              </w:rPr>
            </w:pPr>
          </w:p>
        </w:tc>
      </w:tr>
      <w:tr w:rsidR="003A71DE" w:rsidRPr="00EA3B97" w14:paraId="3D66BD6F"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0B622922" w14:textId="77777777" w:rsidR="003A71DE" w:rsidRPr="00EA3B97" w:rsidRDefault="003A71DE" w:rsidP="00D84FA9">
            <w:pPr>
              <w:pStyle w:val="TAL"/>
              <w:rPr>
                <w:rFonts w:eastAsiaTheme="minorEastAsia"/>
              </w:rPr>
            </w:pPr>
            <w:r w:rsidRPr="00EA3B97">
              <w:rPr>
                <w:rFonts w:eastAsiaTheme="minorEastAsia"/>
              </w:rPr>
              <w:t xml:space="preserve">  For slots with </w:t>
            </w:r>
            <w:r w:rsidRPr="00EA3B97">
              <w:rPr>
                <w:rFonts w:eastAsiaTheme="minorEastAsia"/>
                <w:szCs w:val="16"/>
              </w:rPr>
              <w:t>RMSI</w:t>
            </w:r>
            <w:r w:rsidRPr="00EA3B97">
              <w:rPr>
                <w:rFonts w:eastAsiaTheme="minorEastAsia"/>
                <w:vertAlign w:val="superscript"/>
              </w:rPr>
              <w:t xml:space="preserve"> Note 2</w:t>
            </w:r>
          </w:p>
        </w:tc>
        <w:tc>
          <w:tcPr>
            <w:tcW w:w="368" w:type="pct"/>
            <w:tcBorders>
              <w:top w:val="single" w:sz="4" w:space="0" w:color="auto"/>
              <w:left w:val="single" w:sz="4" w:space="0" w:color="auto"/>
              <w:bottom w:val="single" w:sz="4" w:space="0" w:color="auto"/>
              <w:right w:val="single" w:sz="4" w:space="0" w:color="auto"/>
            </w:tcBorders>
            <w:hideMark/>
          </w:tcPr>
          <w:p w14:paraId="4FD0ADFB"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hideMark/>
          </w:tcPr>
          <w:p w14:paraId="13AF4B9B" w14:textId="77777777" w:rsidR="003A71DE" w:rsidRPr="00EA3B97" w:rsidRDefault="003A71DE" w:rsidP="00D84FA9">
            <w:pPr>
              <w:pStyle w:val="TAC"/>
              <w:rPr>
                <w:rFonts w:eastAsiaTheme="minorEastAsia"/>
              </w:rPr>
            </w:pPr>
            <w:r w:rsidRPr="00EA3B97">
              <w:rPr>
                <w:rFonts w:eastAsiaTheme="minorEastAsia"/>
                <w:lang w:eastAsia="zh-CN"/>
              </w:rPr>
              <w:t>1608</w:t>
            </w:r>
          </w:p>
        </w:tc>
        <w:tc>
          <w:tcPr>
            <w:tcW w:w="475" w:type="pct"/>
            <w:tcBorders>
              <w:top w:val="single" w:sz="4" w:space="0" w:color="auto"/>
              <w:left w:val="single" w:sz="4" w:space="0" w:color="auto"/>
              <w:bottom w:val="single" w:sz="4" w:space="0" w:color="auto"/>
              <w:right w:val="single" w:sz="4" w:space="0" w:color="auto"/>
            </w:tcBorders>
          </w:tcPr>
          <w:p w14:paraId="46F42F7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0CE680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979FFC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8556AD3"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FF00715"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064C6FB9" w14:textId="77777777" w:rsidR="003A71DE" w:rsidRPr="00EA3B97" w:rsidRDefault="003A71DE" w:rsidP="00D84FA9">
            <w:pPr>
              <w:pStyle w:val="TAC"/>
              <w:rPr>
                <w:rFonts w:eastAsiaTheme="minorEastAsia"/>
              </w:rPr>
            </w:pPr>
          </w:p>
        </w:tc>
      </w:tr>
      <w:tr w:rsidR="003A71DE" w:rsidRPr="00EA3B97" w14:paraId="649E986D"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tcPr>
          <w:p w14:paraId="297E3221" w14:textId="77777777" w:rsidR="003A71DE" w:rsidRPr="00EA3B97" w:rsidRDefault="003A71DE" w:rsidP="00D84FA9">
            <w:pPr>
              <w:pStyle w:val="TAL"/>
              <w:rPr>
                <w:rFonts w:eastAsiaTheme="minorEastAsia"/>
              </w:rPr>
            </w:pPr>
            <w:r w:rsidRPr="00EA3B97">
              <w:rPr>
                <w:rFonts w:eastAsiaTheme="minorEastAsia"/>
              </w:rPr>
              <w:t xml:space="preserve">  For slots without </w:t>
            </w:r>
            <w:r w:rsidRPr="00EA3B97">
              <w:rPr>
                <w:rFonts w:eastAsiaTheme="minorEastAsia"/>
                <w:szCs w:val="16"/>
              </w:rPr>
              <w:t>RMSI</w:t>
            </w:r>
          </w:p>
        </w:tc>
        <w:tc>
          <w:tcPr>
            <w:tcW w:w="368" w:type="pct"/>
            <w:tcBorders>
              <w:top w:val="single" w:sz="4" w:space="0" w:color="auto"/>
              <w:left w:val="single" w:sz="4" w:space="0" w:color="auto"/>
              <w:bottom w:val="single" w:sz="4" w:space="0" w:color="auto"/>
              <w:right w:val="single" w:sz="4" w:space="0" w:color="auto"/>
            </w:tcBorders>
          </w:tcPr>
          <w:p w14:paraId="6955D78E"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tcPr>
          <w:p w14:paraId="1D3B4BF0" w14:textId="77777777" w:rsidR="003A71DE" w:rsidRPr="00EA3B97" w:rsidRDefault="003A71DE" w:rsidP="00D84FA9">
            <w:pPr>
              <w:pStyle w:val="TAC"/>
              <w:rPr>
                <w:rFonts w:eastAsiaTheme="minorEastAsia"/>
                <w:lang w:eastAsia="zh-CN"/>
              </w:rPr>
            </w:pPr>
            <w:r w:rsidRPr="00EA3B97">
              <w:rPr>
                <w:rFonts w:eastAsiaTheme="minorEastAsia"/>
                <w:lang w:eastAsia="zh-CN"/>
              </w:rPr>
              <w:t>1864</w:t>
            </w:r>
          </w:p>
        </w:tc>
        <w:tc>
          <w:tcPr>
            <w:tcW w:w="475" w:type="pct"/>
            <w:tcBorders>
              <w:top w:val="single" w:sz="4" w:space="0" w:color="auto"/>
              <w:left w:val="single" w:sz="4" w:space="0" w:color="auto"/>
              <w:bottom w:val="single" w:sz="4" w:space="0" w:color="auto"/>
              <w:right w:val="single" w:sz="4" w:space="0" w:color="auto"/>
            </w:tcBorders>
          </w:tcPr>
          <w:p w14:paraId="06DCF881"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63616D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4166BB4"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B2EA412"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7590B8D"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6E1CDEDC" w14:textId="77777777" w:rsidR="003A71DE" w:rsidRPr="00EA3B97" w:rsidRDefault="003A71DE" w:rsidP="00D84FA9">
            <w:pPr>
              <w:pStyle w:val="TAC"/>
              <w:rPr>
                <w:rFonts w:eastAsiaTheme="minorEastAsia"/>
              </w:rPr>
            </w:pPr>
          </w:p>
        </w:tc>
      </w:tr>
      <w:tr w:rsidR="003A71DE" w:rsidRPr="00EA3B97" w14:paraId="78CD2C08"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334A8D34" w14:textId="77777777" w:rsidR="003A71DE" w:rsidRPr="00EA3B97" w:rsidRDefault="003A71DE" w:rsidP="00D84FA9">
            <w:pPr>
              <w:pStyle w:val="TAL"/>
              <w:rPr>
                <w:rFonts w:eastAsiaTheme="minorEastAsia"/>
                <w:szCs w:val="22"/>
              </w:rPr>
            </w:pPr>
            <w:r w:rsidRPr="00EA3B97">
              <w:rPr>
                <w:rFonts w:eastAsiaTheme="minorEastAsia"/>
                <w:szCs w:val="22"/>
              </w:rPr>
              <w:t>Number of Code Blocks per slot</w:t>
            </w:r>
          </w:p>
        </w:tc>
        <w:tc>
          <w:tcPr>
            <w:tcW w:w="368" w:type="pct"/>
            <w:tcBorders>
              <w:top w:val="single" w:sz="4" w:space="0" w:color="auto"/>
              <w:left w:val="single" w:sz="4" w:space="0" w:color="auto"/>
              <w:bottom w:val="single" w:sz="4" w:space="0" w:color="auto"/>
              <w:right w:val="single" w:sz="4" w:space="0" w:color="auto"/>
            </w:tcBorders>
          </w:tcPr>
          <w:p w14:paraId="4E17C42E"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hideMark/>
          </w:tcPr>
          <w:p w14:paraId="00CDECB6" w14:textId="77777777" w:rsidR="003A71DE" w:rsidRPr="00EA3B97" w:rsidRDefault="003A71DE" w:rsidP="00D84FA9">
            <w:pPr>
              <w:pStyle w:val="TAC"/>
              <w:rPr>
                <w:rFonts w:eastAsiaTheme="minorEastAsia"/>
                <w:lang w:eastAsia="zh-CN"/>
              </w:rPr>
            </w:pPr>
            <w:r w:rsidRPr="00EA3B97">
              <w:rPr>
                <w:rFonts w:eastAsiaTheme="minorEastAsia"/>
                <w:lang w:eastAsia="zh-CN"/>
              </w:rPr>
              <w:t>1</w:t>
            </w:r>
          </w:p>
        </w:tc>
        <w:tc>
          <w:tcPr>
            <w:tcW w:w="475" w:type="pct"/>
            <w:tcBorders>
              <w:top w:val="single" w:sz="4" w:space="0" w:color="auto"/>
              <w:left w:val="single" w:sz="4" w:space="0" w:color="auto"/>
              <w:bottom w:val="single" w:sz="4" w:space="0" w:color="auto"/>
              <w:right w:val="single" w:sz="4" w:space="0" w:color="auto"/>
            </w:tcBorders>
          </w:tcPr>
          <w:p w14:paraId="76FEA6FB" w14:textId="77777777" w:rsidR="003A71DE" w:rsidRPr="00EA3B97" w:rsidRDefault="003A71DE" w:rsidP="00D84FA9">
            <w:pPr>
              <w:pStyle w:val="TAC"/>
              <w:rPr>
                <w:rFonts w:eastAsiaTheme="minorEastAsia"/>
                <w:lang w:eastAsia="zh-CN"/>
              </w:rPr>
            </w:pPr>
          </w:p>
        </w:tc>
        <w:tc>
          <w:tcPr>
            <w:tcW w:w="475" w:type="pct"/>
            <w:tcBorders>
              <w:top w:val="single" w:sz="4" w:space="0" w:color="auto"/>
              <w:left w:val="single" w:sz="4" w:space="0" w:color="auto"/>
              <w:bottom w:val="single" w:sz="4" w:space="0" w:color="auto"/>
              <w:right w:val="single" w:sz="4" w:space="0" w:color="auto"/>
            </w:tcBorders>
          </w:tcPr>
          <w:p w14:paraId="2258D31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4A7BC2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1E9FBF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874C7E4"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73254B78" w14:textId="77777777" w:rsidR="003A71DE" w:rsidRPr="00EA3B97" w:rsidRDefault="003A71DE" w:rsidP="00D84FA9">
            <w:pPr>
              <w:pStyle w:val="TAC"/>
              <w:rPr>
                <w:rFonts w:eastAsiaTheme="minorEastAsia"/>
              </w:rPr>
            </w:pPr>
          </w:p>
        </w:tc>
      </w:tr>
      <w:tr w:rsidR="003A71DE" w:rsidRPr="00EA3B97" w14:paraId="7560B9F8"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721F2F68" w14:textId="77777777" w:rsidR="003A71DE" w:rsidRPr="00EA3B97" w:rsidRDefault="003A71DE" w:rsidP="00D84FA9">
            <w:pPr>
              <w:pStyle w:val="TAL"/>
              <w:rPr>
                <w:rFonts w:eastAsiaTheme="minorEastAsia"/>
              </w:rPr>
            </w:pPr>
            <w:r w:rsidRPr="00EA3B97">
              <w:rPr>
                <w:rFonts w:eastAsiaTheme="minorEastAsia"/>
              </w:rPr>
              <w:t>Binary Channel Bits Per slot</w:t>
            </w:r>
          </w:p>
        </w:tc>
        <w:tc>
          <w:tcPr>
            <w:tcW w:w="368" w:type="pct"/>
            <w:tcBorders>
              <w:top w:val="single" w:sz="4" w:space="0" w:color="auto"/>
              <w:left w:val="single" w:sz="4" w:space="0" w:color="auto"/>
              <w:bottom w:val="single" w:sz="4" w:space="0" w:color="auto"/>
              <w:right w:val="single" w:sz="4" w:space="0" w:color="auto"/>
            </w:tcBorders>
          </w:tcPr>
          <w:p w14:paraId="316A9667" w14:textId="77777777" w:rsidR="003A71DE" w:rsidRPr="00EA3B97" w:rsidRDefault="003A71DE" w:rsidP="00D84FA9">
            <w:pPr>
              <w:pStyle w:val="TAC"/>
              <w:rPr>
                <w:rFonts w:eastAsiaTheme="minorEastAsia"/>
              </w:rPr>
            </w:pPr>
          </w:p>
        </w:tc>
        <w:tc>
          <w:tcPr>
            <w:tcW w:w="544" w:type="pct"/>
            <w:tcBorders>
              <w:top w:val="single" w:sz="4" w:space="0" w:color="auto"/>
              <w:left w:val="single" w:sz="4" w:space="0" w:color="auto"/>
              <w:bottom w:val="single" w:sz="4" w:space="0" w:color="auto"/>
              <w:right w:val="single" w:sz="4" w:space="0" w:color="auto"/>
            </w:tcBorders>
          </w:tcPr>
          <w:p w14:paraId="6118BD5D"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D2591B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554202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761552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C0B7CE0"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FC26575"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6FBB094D" w14:textId="77777777" w:rsidR="003A71DE" w:rsidRPr="00EA3B97" w:rsidRDefault="003A71DE" w:rsidP="00D84FA9">
            <w:pPr>
              <w:pStyle w:val="TAC"/>
              <w:rPr>
                <w:rFonts w:eastAsiaTheme="minorEastAsia"/>
              </w:rPr>
            </w:pPr>
          </w:p>
        </w:tc>
      </w:tr>
      <w:tr w:rsidR="003A71DE" w:rsidRPr="00EA3B97" w14:paraId="1EB7BF56"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hideMark/>
          </w:tcPr>
          <w:p w14:paraId="1ACB479F" w14:textId="77777777" w:rsidR="003A71DE" w:rsidRPr="00EA3B97" w:rsidRDefault="003A71DE" w:rsidP="00D84FA9">
            <w:pPr>
              <w:pStyle w:val="TAL"/>
              <w:rPr>
                <w:rFonts w:eastAsiaTheme="minorEastAsia"/>
              </w:rPr>
            </w:pPr>
            <w:r w:rsidRPr="00EA3B97">
              <w:rPr>
                <w:rFonts w:eastAsiaTheme="minorEastAsia"/>
              </w:rPr>
              <w:t xml:space="preserve">  For slots with </w:t>
            </w:r>
            <w:r w:rsidRPr="00EA3B97">
              <w:rPr>
                <w:rFonts w:eastAsiaTheme="minorEastAsia"/>
                <w:szCs w:val="16"/>
              </w:rPr>
              <w:t>RMSI</w:t>
            </w:r>
            <w:r w:rsidRPr="00EA3B97">
              <w:rPr>
                <w:rFonts w:eastAsiaTheme="minorEastAsia"/>
                <w:vertAlign w:val="superscript"/>
              </w:rPr>
              <w:t xml:space="preserve"> Note 2, Note 4</w:t>
            </w:r>
          </w:p>
        </w:tc>
        <w:tc>
          <w:tcPr>
            <w:tcW w:w="368" w:type="pct"/>
            <w:tcBorders>
              <w:top w:val="single" w:sz="4" w:space="0" w:color="auto"/>
              <w:left w:val="single" w:sz="4" w:space="0" w:color="auto"/>
              <w:bottom w:val="single" w:sz="4" w:space="0" w:color="auto"/>
              <w:right w:val="single" w:sz="4" w:space="0" w:color="auto"/>
            </w:tcBorders>
            <w:hideMark/>
          </w:tcPr>
          <w:p w14:paraId="0387613A"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hideMark/>
          </w:tcPr>
          <w:p w14:paraId="7BA9A5F7" w14:textId="77777777" w:rsidR="003A71DE" w:rsidRPr="00EA3B97" w:rsidRDefault="003A71DE" w:rsidP="00D84FA9">
            <w:pPr>
              <w:pStyle w:val="TAC"/>
              <w:rPr>
                <w:rFonts w:eastAsiaTheme="minorEastAsia"/>
              </w:rPr>
            </w:pPr>
            <w:r w:rsidRPr="00EA3B97">
              <w:rPr>
                <w:rFonts w:eastAsiaTheme="minorEastAsia"/>
                <w:lang w:eastAsia="zh-CN"/>
              </w:rPr>
              <w:t>5184</w:t>
            </w:r>
          </w:p>
        </w:tc>
        <w:tc>
          <w:tcPr>
            <w:tcW w:w="475" w:type="pct"/>
            <w:tcBorders>
              <w:top w:val="single" w:sz="4" w:space="0" w:color="auto"/>
              <w:left w:val="single" w:sz="4" w:space="0" w:color="auto"/>
              <w:bottom w:val="single" w:sz="4" w:space="0" w:color="auto"/>
              <w:right w:val="single" w:sz="4" w:space="0" w:color="auto"/>
            </w:tcBorders>
          </w:tcPr>
          <w:p w14:paraId="3650E1E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57F7276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3FB01F2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62A892A8"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780F0F4B"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74CAAF66" w14:textId="77777777" w:rsidR="003A71DE" w:rsidRPr="00EA3B97" w:rsidRDefault="003A71DE" w:rsidP="00D84FA9">
            <w:pPr>
              <w:pStyle w:val="TAC"/>
              <w:rPr>
                <w:rFonts w:eastAsiaTheme="minorEastAsia"/>
              </w:rPr>
            </w:pPr>
          </w:p>
        </w:tc>
      </w:tr>
      <w:tr w:rsidR="003A71DE" w:rsidRPr="00EA3B97" w14:paraId="79BEE002" w14:textId="77777777" w:rsidTr="003A71DE">
        <w:trPr>
          <w:jc w:val="center"/>
        </w:trPr>
        <w:tc>
          <w:tcPr>
            <w:tcW w:w="1240" w:type="pct"/>
            <w:tcBorders>
              <w:top w:val="single" w:sz="4" w:space="0" w:color="auto"/>
              <w:left w:val="single" w:sz="4" w:space="0" w:color="auto"/>
              <w:bottom w:val="single" w:sz="4" w:space="0" w:color="auto"/>
              <w:right w:val="single" w:sz="4" w:space="0" w:color="auto"/>
            </w:tcBorders>
          </w:tcPr>
          <w:p w14:paraId="0A3413A6" w14:textId="77777777" w:rsidR="003A71DE" w:rsidRPr="00EA3B97" w:rsidRDefault="003A71DE" w:rsidP="00D84FA9">
            <w:pPr>
              <w:pStyle w:val="TAL"/>
              <w:rPr>
                <w:rFonts w:eastAsiaTheme="minorEastAsia"/>
              </w:rPr>
            </w:pPr>
            <w:r w:rsidRPr="00EA3B97">
              <w:rPr>
                <w:rFonts w:eastAsiaTheme="minorEastAsia"/>
              </w:rPr>
              <w:t xml:space="preserve">  For slots without </w:t>
            </w:r>
            <w:r w:rsidRPr="00EA3B97">
              <w:rPr>
                <w:rFonts w:eastAsiaTheme="minorEastAsia"/>
                <w:szCs w:val="16"/>
              </w:rPr>
              <w:t>RMSI</w:t>
            </w:r>
            <w:r w:rsidRPr="00EA3B97">
              <w:rPr>
                <w:rFonts w:eastAsiaTheme="minorEastAsia"/>
                <w:szCs w:val="16"/>
                <w:vertAlign w:val="superscript"/>
              </w:rPr>
              <w:t xml:space="preserve"> Note 6</w:t>
            </w:r>
          </w:p>
        </w:tc>
        <w:tc>
          <w:tcPr>
            <w:tcW w:w="368" w:type="pct"/>
            <w:tcBorders>
              <w:top w:val="single" w:sz="4" w:space="0" w:color="auto"/>
              <w:left w:val="single" w:sz="4" w:space="0" w:color="auto"/>
              <w:bottom w:val="single" w:sz="4" w:space="0" w:color="auto"/>
              <w:right w:val="single" w:sz="4" w:space="0" w:color="auto"/>
            </w:tcBorders>
          </w:tcPr>
          <w:p w14:paraId="0AE26CC6" w14:textId="77777777" w:rsidR="003A71DE" w:rsidRPr="00EA3B97" w:rsidRDefault="003A71DE" w:rsidP="00D84FA9">
            <w:pPr>
              <w:pStyle w:val="TAC"/>
              <w:rPr>
                <w:rFonts w:eastAsiaTheme="minorEastAsia"/>
              </w:rPr>
            </w:pPr>
            <w:r w:rsidRPr="00EA3B97">
              <w:rPr>
                <w:rFonts w:eastAsiaTheme="minorEastAsia"/>
              </w:rPr>
              <w:t>bits</w:t>
            </w:r>
          </w:p>
        </w:tc>
        <w:tc>
          <w:tcPr>
            <w:tcW w:w="544" w:type="pct"/>
            <w:tcBorders>
              <w:top w:val="single" w:sz="4" w:space="0" w:color="auto"/>
              <w:left w:val="single" w:sz="4" w:space="0" w:color="auto"/>
              <w:bottom w:val="single" w:sz="4" w:space="0" w:color="auto"/>
              <w:right w:val="single" w:sz="4" w:space="0" w:color="auto"/>
            </w:tcBorders>
          </w:tcPr>
          <w:p w14:paraId="2B739483" w14:textId="77777777" w:rsidR="003A71DE" w:rsidRPr="00EA3B97" w:rsidRDefault="003A71DE" w:rsidP="00D84FA9">
            <w:pPr>
              <w:pStyle w:val="TAC"/>
              <w:rPr>
                <w:rFonts w:eastAsiaTheme="minorEastAsia"/>
                <w:lang w:eastAsia="zh-CN"/>
              </w:rPr>
            </w:pPr>
            <w:r w:rsidRPr="00EA3B97">
              <w:rPr>
                <w:rFonts w:eastAsiaTheme="minorEastAsia"/>
                <w:lang w:eastAsia="zh-CN"/>
              </w:rPr>
              <w:t>6048</w:t>
            </w:r>
          </w:p>
        </w:tc>
        <w:tc>
          <w:tcPr>
            <w:tcW w:w="475" w:type="pct"/>
            <w:tcBorders>
              <w:top w:val="single" w:sz="4" w:space="0" w:color="auto"/>
              <w:left w:val="single" w:sz="4" w:space="0" w:color="auto"/>
              <w:bottom w:val="single" w:sz="4" w:space="0" w:color="auto"/>
              <w:right w:val="single" w:sz="4" w:space="0" w:color="auto"/>
            </w:tcBorders>
          </w:tcPr>
          <w:p w14:paraId="0C15425B"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269F4B97"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4823B1FA"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1C6FA0A9" w14:textId="77777777" w:rsidR="003A71DE" w:rsidRPr="00EA3B97" w:rsidRDefault="003A71DE" w:rsidP="00D84FA9">
            <w:pPr>
              <w:pStyle w:val="TAC"/>
              <w:rPr>
                <w:rFonts w:eastAsiaTheme="minorEastAsia"/>
              </w:rPr>
            </w:pPr>
          </w:p>
        </w:tc>
        <w:tc>
          <w:tcPr>
            <w:tcW w:w="475" w:type="pct"/>
            <w:tcBorders>
              <w:top w:val="single" w:sz="4" w:space="0" w:color="auto"/>
              <w:left w:val="single" w:sz="4" w:space="0" w:color="auto"/>
              <w:bottom w:val="single" w:sz="4" w:space="0" w:color="auto"/>
              <w:right w:val="single" w:sz="4" w:space="0" w:color="auto"/>
            </w:tcBorders>
          </w:tcPr>
          <w:p w14:paraId="017328E6" w14:textId="77777777" w:rsidR="003A71DE" w:rsidRPr="00EA3B97" w:rsidRDefault="003A71DE" w:rsidP="00D84FA9">
            <w:pPr>
              <w:pStyle w:val="TAC"/>
              <w:rPr>
                <w:rFonts w:eastAsiaTheme="minorEastAsia"/>
              </w:rPr>
            </w:pPr>
          </w:p>
        </w:tc>
        <w:tc>
          <w:tcPr>
            <w:tcW w:w="472" w:type="pct"/>
            <w:tcBorders>
              <w:top w:val="single" w:sz="4" w:space="0" w:color="auto"/>
              <w:left w:val="single" w:sz="4" w:space="0" w:color="auto"/>
              <w:bottom w:val="single" w:sz="4" w:space="0" w:color="auto"/>
              <w:right w:val="single" w:sz="4" w:space="0" w:color="auto"/>
            </w:tcBorders>
          </w:tcPr>
          <w:p w14:paraId="39F4A731" w14:textId="77777777" w:rsidR="003A71DE" w:rsidRPr="00EA3B97" w:rsidRDefault="003A71DE" w:rsidP="00D84FA9">
            <w:pPr>
              <w:pStyle w:val="TAC"/>
              <w:rPr>
                <w:rFonts w:eastAsiaTheme="minorEastAsia"/>
              </w:rPr>
            </w:pPr>
          </w:p>
        </w:tc>
      </w:tr>
      <w:tr w:rsidR="003A71DE" w:rsidRPr="00EA3B97" w14:paraId="13D72009"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hideMark/>
          </w:tcPr>
          <w:p w14:paraId="2AA4B6E5" w14:textId="77777777" w:rsidR="003A71DE" w:rsidRPr="00EA3B97" w:rsidRDefault="003A71DE" w:rsidP="00D84FA9">
            <w:pPr>
              <w:pStyle w:val="TAN"/>
              <w:rPr>
                <w:rFonts w:eastAsiaTheme="minorEastAsia"/>
                <w:lang w:eastAsia="zh-CN"/>
              </w:rPr>
            </w:pPr>
            <w:r w:rsidRPr="00EA3B97">
              <w:rPr>
                <w:rFonts w:eastAsiaTheme="minorEastAsia"/>
              </w:rPr>
              <w:t>Note 1:</w:t>
            </w:r>
            <w:r w:rsidRPr="00EA3B97">
              <w:rPr>
                <w:rFonts w:eastAsiaTheme="minorEastAsia"/>
              </w:rPr>
              <w:tab/>
              <w:t>Allocated outside the SMTC duration in time and in resource blocks which do not overlap with the resource blocks allocated for SS/PBCH block.</w:t>
            </w:r>
          </w:p>
          <w:p w14:paraId="0C0946F0" w14:textId="77777777" w:rsidR="003A71DE" w:rsidRPr="00EA3B97" w:rsidRDefault="003A71DE" w:rsidP="00D84FA9">
            <w:pPr>
              <w:pStyle w:val="TAN"/>
              <w:rPr>
                <w:rFonts w:eastAsiaTheme="minorEastAsia"/>
              </w:rPr>
            </w:pPr>
            <w:r w:rsidRPr="00EA3B97">
              <w:rPr>
                <w:rFonts w:eastAsiaTheme="minorEastAsia"/>
              </w:rPr>
              <w:t>Note 2:</w:t>
            </w:r>
            <w:r w:rsidRPr="00EA3B97">
              <w:rPr>
                <w:rFonts w:eastAsiaTheme="minorEastAsia"/>
              </w:rPr>
              <w:tab/>
              <w:t>PDSCH is scheduled on the slots with RMSI.</w:t>
            </w:r>
          </w:p>
          <w:p w14:paraId="5AF30D33" w14:textId="77777777" w:rsidR="003A71DE" w:rsidRPr="00EA3B97" w:rsidRDefault="003A71DE" w:rsidP="00D84FA9">
            <w:pPr>
              <w:pStyle w:val="TAN"/>
              <w:rPr>
                <w:rFonts w:eastAsiaTheme="minorEastAsia"/>
              </w:rPr>
            </w:pPr>
            <w:r w:rsidRPr="00EA3B97">
              <w:rPr>
                <w:rFonts w:eastAsiaTheme="minorEastAsia"/>
              </w:rPr>
              <w:t>Note 3:</w:t>
            </w:r>
            <w:r w:rsidRPr="00EA3B97">
              <w:rPr>
                <w:rFonts w:eastAsiaTheme="minorEastAsia"/>
              </w:rPr>
              <w:tab/>
              <w:t>If necessary the information bit payload size can be adjusted to facilitate the test implementation. The payload sizes are defined in TS 38.213 [3].</w:t>
            </w:r>
          </w:p>
          <w:p w14:paraId="394E3738" w14:textId="77777777" w:rsidR="003A71DE" w:rsidRPr="00EA3B97" w:rsidRDefault="003A71DE" w:rsidP="00D84FA9">
            <w:pPr>
              <w:pStyle w:val="TAN"/>
              <w:rPr>
                <w:rFonts w:eastAsiaTheme="minorEastAsia"/>
              </w:rPr>
            </w:pPr>
            <w:r w:rsidRPr="00EA3B97">
              <w:rPr>
                <w:rFonts w:eastAsiaTheme="minorEastAsia"/>
              </w:rPr>
              <w:t>Note 4:</w:t>
            </w:r>
            <w:r w:rsidRPr="00EA3B97">
              <w:rPr>
                <w:rFonts w:eastAsiaTheme="minorEastAsia"/>
              </w:rPr>
              <w:tab/>
              <w:t>Derived based on the PDSCH DMRS assumption: dmrs-TypeA-Position=2, dmrs-Type=1, dmrs-AdditonalPositions=2, maxLength=1, Antenna port index: 1000, and Number of PDSCH DMRS CDM group(s) without data: 2.</w:t>
            </w:r>
          </w:p>
          <w:p w14:paraId="08A92315" w14:textId="77777777" w:rsidR="003A71DE" w:rsidRPr="00EA3B97" w:rsidRDefault="003A71DE" w:rsidP="00D84FA9">
            <w:pPr>
              <w:pStyle w:val="TAN"/>
              <w:rPr>
                <w:rFonts w:eastAsiaTheme="minorEastAsia"/>
              </w:rPr>
            </w:pPr>
            <w:r w:rsidRPr="00EA3B97">
              <w:rPr>
                <w:rFonts w:eastAsiaTheme="minorEastAsia"/>
              </w:rPr>
              <w:t>Note 5:</w:t>
            </w:r>
            <w:r w:rsidRPr="00EA3B97">
              <w:rPr>
                <w:rFonts w:eastAsiaTheme="minorEastAsia"/>
              </w:rPr>
              <w:tab/>
              <w:t>PDSCH is not scheduled in slots containing SSB according to the SSB configuration used in the test. SSB configurations are defined in clause G.1.5.</w:t>
            </w:r>
          </w:p>
          <w:p w14:paraId="5BB397E5" w14:textId="3AA792FA" w:rsidR="003A71DE" w:rsidRPr="00EA3B97" w:rsidRDefault="003A71DE" w:rsidP="00D84FA9">
            <w:pPr>
              <w:pStyle w:val="TAN"/>
              <w:rPr>
                <w:rFonts w:eastAsiaTheme="minorEastAsia"/>
              </w:rPr>
            </w:pPr>
            <w:r w:rsidRPr="00EA3B97">
              <w:rPr>
                <w:rFonts w:eastAsiaTheme="minorEastAsia"/>
              </w:rPr>
              <w:t>Note 6:</w:t>
            </w:r>
            <w:r w:rsidRPr="00EA3B97">
              <w:rPr>
                <w:rFonts w:eastAsiaTheme="minorEastAsia"/>
              </w:rPr>
              <w:tab/>
              <w:t>Derived based on the PDSCH DMRS assumption: dmrs-TypeA-Position=2, dmrs-Type=1, dmrs-AdditonalPositions=2, maxLength=1, Antenna port index: 1000, and Number of PDSCH DMRS CDM group(s) without data: 1.</w:t>
            </w:r>
          </w:p>
        </w:tc>
      </w:tr>
    </w:tbl>
    <w:p w14:paraId="3EF4A5B4" w14:textId="77777777" w:rsidR="003A71DE" w:rsidRPr="00EA3B97" w:rsidRDefault="003A71DE" w:rsidP="003A71DE">
      <w:pPr>
        <w:rPr>
          <w:rFonts w:eastAsia="MS Mincho"/>
        </w:rPr>
      </w:pPr>
    </w:p>
    <w:p w14:paraId="4A85B937" w14:textId="77777777" w:rsidR="003A71DE" w:rsidRPr="00EA3B97" w:rsidRDefault="003A71DE" w:rsidP="006578B5">
      <w:pPr>
        <w:pStyle w:val="TH"/>
        <w:rPr>
          <w:rFonts w:eastAsiaTheme="minorEastAsia"/>
        </w:rPr>
      </w:pPr>
      <w:r w:rsidRPr="00EA3B97">
        <w:rPr>
          <w:rFonts w:eastAsiaTheme="minorEastAsia"/>
        </w:rPr>
        <w:lastRenderedPageBreak/>
        <w:t>Table G.1.1.1.1-3: PDSCH Reference Measurement Channels for SCS=120kHz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5"/>
        <w:gridCol w:w="725"/>
        <w:gridCol w:w="928"/>
        <w:gridCol w:w="930"/>
        <w:gridCol w:w="930"/>
        <w:gridCol w:w="930"/>
        <w:gridCol w:w="930"/>
        <w:gridCol w:w="930"/>
        <w:gridCol w:w="923"/>
      </w:tblGrid>
      <w:tr w:rsidR="003A71DE" w:rsidRPr="00EA3B97" w14:paraId="280194A0"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071F501F" w14:textId="77777777" w:rsidR="003A71DE" w:rsidRPr="00EA3B97" w:rsidRDefault="003A71DE" w:rsidP="00D84FA9">
            <w:pPr>
              <w:pStyle w:val="TAH"/>
              <w:rPr>
                <w:rFonts w:eastAsiaTheme="minorEastAsia"/>
              </w:rPr>
            </w:pPr>
            <w:r w:rsidRPr="00EA3B97">
              <w:rPr>
                <w:rFonts w:eastAsiaTheme="minorEastAsia"/>
              </w:rPr>
              <w:t>Parameter</w:t>
            </w:r>
          </w:p>
        </w:tc>
        <w:tc>
          <w:tcPr>
            <w:tcW w:w="376" w:type="pct"/>
            <w:tcBorders>
              <w:top w:val="single" w:sz="4" w:space="0" w:color="auto"/>
              <w:left w:val="single" w:sz="4" w:space="0" w:color="auto"/>
              <w:bottom w:val="single" w:sz="4" w:space="0" w:color="auto"/>
              <w:right w:val="single" w:sz="4" w:space="0" w:color="auto"/>
            </w:tcBorders>
            <w:hideMark/>
          </w:tcPr>
          <w:p w14:paraId="57516045" w14:textId="77777777" w:rsidR="003A71DE" w:rsidRPr="00EA3B97" w:rsidRDefault="003A71DE" w:rsidP="00D84FA9">
            <w:pPr>
              <w:pStyle w:val="TAH"/>
              <w:rPr>
                <w:rFonts w:eastAsiaTheme="minorEastAsia"/>
              </w:rPr>
            </w:pPr>
            <w:r w:rsidRPr="00EA3B97">
              <w:rPr>
                <w:rFonts w:eastAsiaTheme="minorEastAsia"/>
              </w:rPr>
              <w:t>Unit</w:t>
            </w:r>
          </w:p>
        </w:tc>
        <w:tc>
          <w:tcPr>
            <w:tcW w:w="3376" w:type="pct"/>
            <w:gridSpan w:val="7"/>
            <w:tcBorders>
              <w:top w:val="single" w:sz="4" w:space="0" w:color="auto"/>
              <w:left w:val="single" w:sz="4" w:space="0" w:color="auto"/>
              <w:bottom w:val="single" w:sz="4" w:space="0" w:color="auto"/>
              <w:right w:val="single" w:sz="4" w:space="0" w:color="auto"/>
            </w:tcBorders>
            <w:hideMark/>
          </w:tcPr>
          <w:p w14:paraId="67E71AF2" w14:textId="77777777" w:rsidR="003A71DE" w:rsidRPr="00EA3B97" w:rsidRDefault="003A71DE" w:rsidP="00D84FA9">
            <w:pPr>
              <w:pStyle w:val="TAH"/>
              <w:rPr>
                <w:rFonts w:eastAsiaTheme="minorEastAsia"/>
              </w:rPr>
            </w:pPr>
            <w:r w:rsidRPr="00EA3B97">
              <w:rPr>
                <w:rFonts w:eastAsiaTheme="minorEastAsia"/>
              </w:rPr>
              <w:t>Value</w:t>
            </w:r>
          </w:p>
        </w:tc>
      </w:tr>
      <w:tr w:rsidR="003A71DE" w:rsidRPr="00EA3B97" w14:paraId="04E445ED"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5FAF8861" w14:textId="77777777" w:rsidR="003A71DE" w:rsidRPr="00EA3B97" w:rsidRDefault="003A71DE" w:rsidP="00D84FA9">
            <w:pPr>
              <w:pStyle w:val="TAL"/>
              <w:rPr>
                <w:rFonts w:eastAsiaTheme="minorEastAsia"/>
              </w:rPr>
            </w:pPr>
            <w:r w:rsidRPr="00EA3B97">
              <w:rPr>
                <w:rFonts w:eastAsiaTheme="minorEastAsia"/>
              </w:rPr>
              <w:t>Reference channel</w:t>
            </w:r>
          </w:p>
        </w:tc>
        <w:tc>
          <w:tcPr>
            <w:tcW w:w="376" w:type="pct"/>
            <w:tcBorders>
              <w:top w:val="single" w:sz="4" w:space="0" w:color="auto"/>
              <w:left w:val="single" w:sz="4" w:space="0" w:color="auto"/>
              <w:bottom w:val="single" w:sz="4" w:space="0" w:color="auto"/>
              <w:right w:val="single" w:sz="4" w:space="0" w:color="auto"/>
            </w:tcBorders>
          </w:tcPr>
          <w:p w14:paraId="6C0FCB4D"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34F72F8D" w14:textId="77777777" w:rsidR="003A71DE" w:rsidRPr="00EA3B97" w:rsidRDefault="003A71DE" w:rsidP="00D84FA9">
            <w:pPr>
              <w:pStyle w:val="TAC"/>
              <w:rPr>
                <w:rFonts w:eastAsiaTheme="minorEastAsia"/>
              </w:rPr>
            </w:pPr>
            <w:r w:rsidRPr="00EA3B97">
              <w:rPr>
                <w:rFonts w:eastAsiaTheme="minorEastAsia"/>
              </w:rPr>
              <w:t>SR.3.1 TDD</w:t>
            </w:r>
          </w:p>
        </w:tc>
        <w:tc>
          <w:tcPr>
            <w:tcW w:w="483" w:type="pct"/>
            <w:tcBorders>
              <w:top w:val="single" w:sz="4" w:space="0" w:color="auto"/>
              <w:left w:val="single" w:sz="4" w:space="0" w:color="auto"/>
              <w:bottom w:val="single" w:sz="4" w:space="0" w:color="auto"/>
              <w:right w:val="single" w:sz="4" w:space="0" w:color="auto"/>
            </w:tcBorders>
          </w:tcPr>
          <w:p w14:paraId="09E80154"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487A379"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02971607"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934BF7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7A13508"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7E7C62B9" w14:textId="77777777" w:rsidR="003A71DE" w:rsidRPr="00EA3B97" w:rsidRDefault="003A71DE" w:rsidP="00D84FA9">
            <w:pPr>
              <w:pStyle w:val="TAC"/>
              <w:rPr>
                <w:rFonts w:eastAsiaTheme="minorEastAsia"/>
              </w:rPr>
            </w:pPr>
          </w:p>
        </w:tc>
      </w:tr>
      <w:tr w:rsidR="003A71DE" w:rsidRPr="00EA3B97" w14:paraId="3DA7034C"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445B4C2C" w14:textId="77777777" w:rsidR="003A71DE" w:rsidRPr="00EA3B97" w:rsidRDefault="003A71DE" w:rsidP="00D84FA9">
            <w:pPr>
              <w:pStyle w:val="TAL"/>
              <w:rPr>
                <w:rFonts w:eastAsiaTheme="minorEastAsia"/>
              </w:rPr>
            </w:pPr>
            <w:r w:rsidRPr="00EA3B97">
              <w:rPr>
                <w:rFonts w:eastAsiaTheme="minorEastAsia"/>
              </w:rPr>
              <w:t>Channel bandwidth</w:t>
            </w:r>
          </w:p>
        </w:tc>
        <w:tc>
          <w:tcPr>
            <w:tcW w:w="376" w:type="pct"/>
            <w:tcBorders>
              <w:top w:val="single" w:sz="4" w:space="0" w:color="auto"/>
              <w:left w:val="single" w:sz="4" w:space="0" w:color="auto"/>
              <w:bottom w:val="single" w:sz="4" w:space="0" w:color="auto"/>
              <w:right w:val="single" w:sz="4" w:space="0" w:color="auto"/>
            </w:tcBorders>
            <w:hideMark/>
          </w:tcPr>
          <w:p w14:paraId="7D85FADD" w14:textId="77777777" w:rsidR="003A71DE" w:rsidRPr="00EA3B97" w:rsidRDefault="003A71DE" w:rsidP="00D84FA9">
            <w:pPr>
              <w:pStyle w:val="TAC"/>
              <w:rPr>
                <w:rFonts w:eastAsiaTheme="minorEastAsia"/>
              </w:rPr>
            </w:pPr>
            <w:r w:rsidRPr="00EA3B97">
              <w:rPr>
                <w:rFonts w:eastAsiaTheme="minorEastAsia"/>
              </w:rPr>
              <w:t>MHz</w:t>
            </w:r>
          </w:p>
        </w:tc>
        <w:tc>
          <w:tcPr>
            <w:tcW w:w="482" w:type="pct"/>
            <w:tcBorders>
              <w:top w:val="single" w:sz="4" w:space="0" w:color="auto"/>
              <w:left w:val="single" w:sz="4" w:space="0" w:color="auto"/>
              <w:bottom w:val="single" w:sz="4" w:space="0" w:color="auto"/>
              <w:right w:val="single" w:sz="4" w:space="0" w:color="auto"/>
            </w:tcBorders>
            <w:hideMark/>
          </w:tcPr>
          <w:p w14:paraId="17F5EA0C" w14:textId="77777777" w:rsidR="003A71DE" w:rsidRPr="00EA3B97" w:rsidRDefault="003A71DE" w:rsidP="00D84FA9">
            <w:pPr>
              <w:pStyle w:val="TAC"/>
              <w:rPr>
                <w:rFonts w:eastAsiaTheme="minorEastAsia"/>
                <w:lang w:eastAsia="zh-CN"/>
              </w:rPr>
            </w:pPr>
            <w:r w:rsidRPr="00EA3B97">
              <w:rPr>
                <w:rFonts w:eastAsiaTheme="minorEastAsia"/>
                <w:lang w:eastAsia="zh-CN"/>
              </w:rPr>
              <w:t>100</w:t>
            </w:r>
          </w:p>
        </w:tc>
        <w:tc>
          <w:tcPr>
            <w:tcW w:w="483" w:type="pct"/>
            <w:tcBorders>
              <w:top w:val="single" w:sz="4" w:space="0" w:color="auto"/>
              <w:left w:val="single" w:sz="4" w:space="0" w:color="auto"/>
              <w:bottom w:val="single" w:sz="4" w:space="0" w:color="auto"/>
              <w:right w:val="single" w:sz="4" w:space="0" w:color="auto"/>
            </w:tcBorders>
          </w:tcPr>
          <w:p w14:paraId="50208847" w14:textId="77777777" w:rsidR="003A71DE" w:rsidRPr="00EA3B97" w:rsidRDefault="003A71DE" w:rsidP="00D84FA9">
            <w:pPr>
              <w:pStyle w:val="TAC"/>
              <w:rPr>
                <w:rFonts w:eastAsiaTheme="minorEastAsia"/>
                <w:lang w:eastAsia="zh-CN"/>
              </w:rPr>
            </w:pPr>
          </w:p>
        </w:tc>
        <w:tc>
          <w:tcPr>
            <w:tcW w:w="483" w:type="pct"/>
            <w:tcBorders>
              <w:top w:val="single" w:sz="4" w:space="0" w:color="auto"/>
              <w:left w:val="single" w:sz="4" w:space="0" w:color="auto"/>
              <w:bottom w:val="single" w:sz="4" w:space="0" w:color="auto"/>
              <w:right w:val="single" w:sz="4" w:space="0" w:color="auto"/>
            </w:tcBorders>
          </w:tcPr>
          <w:p w14:paraId="0B18F54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7870E7E"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343E637"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0EE3C225"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529BCA26" w14:textId="77777777" w:rsidR="003A71DE" w:rsidRPr="00EA3B97" w:rsidRDefault="003A71DE" w:rsidP="00D84FA9">
            <w:pPr>
              <w:pStyle w:val="TAC"/>
              <w:rPr>
                <w:rFonts w:eastAsiaTheme="minorEastAsia"/>
              </w:rPr>
            </w:pPr>
          </w:p>
        </w:tc>
      </w:tr>
      <w:tr w:rsidR="003A71DE" w:rsidRPr="00EA3B97" w14:paraId="62B57D50"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4B365F3D" w14:textId="77777777" w:rsidR="003A71DE" w:rsidRPr="00EA3B97" w:rsidRDefault="003A71DE" w:rsidP="00D84FA9">
            <w:pPr>
              <w:pStyle w:val="TAL"/>
              <w:rPr>
                <w:rFonts w:eastAsiaTheme="minorEastAsia"/>
              </w:rPr>
            </w:pPr>
            <w:r w:rsidRPr="00EA3B97">
              <w:rPr>
                <w:rFonts w:eastAsiaTheme="minorEastAsia"/>
              </w:rPr>
              <w:t>Number of transmitter antennas</w:t>
            </w:r>
          </w:p>
        </w:tc>
        <w:tc>
          <w:tcPr>
            <w:tcW w:w="376" w:type="pct"/>
            <w:tcBorders>
              <w:top w:val="single" w:sz="4" w:space="0" w:color="auto"/>
              <w:left w:val="single" w:sz="4" w:space="0" w:color="auto"/>
              <w:bottom w:val="single" w:sz="4" w:space="0" w:color="auto"/>
              <w:right w:val="single" w:sz="4" w:space="0" w:color="auto"/>
            </w:tcBorders>
          </w:tcPr>
          <w:p w14:paraId="7FF07ED3"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483E526C" w14:textId="77777777" w:rsidR="003A71DE" w:rsidRPr="00EA3B97" w:rsidRDefault="003A71DE" w:rsidP="00D84FA9">
            <w:pPr>
              <w:pStyle w:val="TAC"/>
              <w:rPr>
                <w:rFonts w:eastAsiaTheme="minorEastAsia"/>
                <w:lang w:eastAsia="zh-CN"/>
              </w:rPr>
            </w:pPr>
            <w:r w:rsidRPr="00EA3B97">
              <w:rPr>
                <w:rFonts w:eastAsiaTheme="minorEastAsia"/>
                <w:lang w:eastAsia="zh-CN"/>
              </w:rPr>
              <w:t>1</w:t>
            </w:r>
          </w:p>
        </w:tc>
        <w:tc>
          <w:tcPr>
            <w:tcW w:w="483" w:type="pct"/>
            <w:tcBorders>
              <w:top w:val="single" w:sz="4" w:space="0" w:color="auto"/>
              <w:left w:val="single" w:sz="4" w:space="0" w:color="auto"/>
              <w:bottom w:val="single" w:sz="4" w:space="0" w:color="auto"/>
              <w:right w:val="single" w:sz="4" w:space="0" w:color="auto"/>
            </w:tcBorders>
          </w:tcPr>
          <w:p w14:paraId="19ECD71F" w14:textId="77777777" w:rsidR="003A71DE" w:rsidRPr="00EA3B97" w:rsidRDefault="003A71DE" w:rsidP="00D84FA9">
            <w:pPr>
              <w:pStyle w:val="TAC"/>
              <w:rPr>
                <w:rFonts w:eastAsiaTheme="minorEastAsia"/>
                <w:lang w:eastAsia="zh-CN"/>
              </w:rPr>
            </w:pPr>
          </w:p>
        </w:tc>
        <w:tc>
          <w:tcPr>
            <w:tcW w:w="483" w:type="pct"/>
            <w:tcBorders>
              <w:top w:val="single" w:sz="4" w:space="0" w:color="auto"/>
              <w:left w:val="single" w:sz="4" w:space="0" w:color="auto"/>
              <w:bottom w:val="single" w:sz="4" w:space="0" w:color="auto"/>
              <w:right w:val="single" w:sz="4" w:space="0" w:color="auto"/>
            </w:tcBorders>
          </w:tcPr>
          <w:p w14:paraId="2E058A98"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5A2A3E4"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B761DEB"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D66B423"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58196E9E" w14:textId="77777777" w:rsidR="003A71DE" w:rsidRPr="00EA3B97" w:rsidRDefault="003A71DE" w:rsidP="00D84FA9">
            <w:pPr>
              <w:pStyle w:val="TAC"/>
              <w:rPr>
                <w:rFonts w:eastAsiaTheme="minorEastAsia"/>
              </w:rPr>
            </w:pPr>
          </w:p>
        </w:tc>
      </w:tr>
      <w:tr w:rsidR="003A71DE" w:rsidRPr="00EA3B97" w14:paraId="323EF329"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67953EB3" w14:textId="77777777" w:rsidR="003A71DE" w:rsidRPr="00EA3B97" w:rsidRDefault="003A71DE" w:rsidP="00D84FA9">
            <w:pPr>
              <w:pStyle w:val="TAL"/>
              <w:rPr>
                <w:rFonts w:eastAsiaTheme="minorEastAsia"/>
              </w:rPr>
            </w:pPr>
            <w:r w:rsidRPr="00EA3B97">
              <w:rPr>
                <w:rFonts w:eastAsiaTheme="minorEastAsia"/>
              </w:rPr>
              <w:t xml:space="preserve">Allocated resource blocks for PDSCH </w:t>
            </w:r>
            <w:r w:rsidRPr="00EA3B97">
              <w:rPr>
                <w:rFonts w:eastAsiaTheme="minorEastAsia"/>
                <w:vertAlign w:val="superscript"/>
              </w:rPr>
              <w:t>Note 1</w:t>
            </w:r>
          </w:p>
        </w:tc>
        <w:tc>
          <w:tcPr>
            <w:tcW w:w="376" w:type="pct"/>
            <w:tcBorders>
              <w:top w:val="single" w:sz="4" w:space="0" w:color="auto"/>
              <w:left w:val="single" w:sz="4" w:space="0" w:color="auto"/>
              <w:bottom w:val="single" w:sz="4" w:space="0" w:color="auto"/>
              <w:right w:val="single" w:sz="4" w:space="0" w:color="auto"/>
            </w:tcBorders>
          </w:tcPr>
          <w:p w14:paraId="639354A8"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2623A5FF" w14:textId="77777777" w:rsidR="003A71DE" w:rsidRPr="00EA3B97" w:rsidRDefault="003A71DE" w:rsidP="00D84FA9">
            <w:pPr>
              <w:pStyle w:val="TAC"/>
              <w:rPr>
                <w:rFonts w:eastAsiaTheme="minorEastAsia"/>
                <w:strike/>
              </w:rPr>
            </w:pPr>
            <w:r w:rsidRPr="00EA3B97">
              <w:rPr>
                <w:rFonts w:eastAsiaTheme="minorEastAsia"/>
                <w:lang w:eastAsia="zh-CN"/>
              </w:rPr>
              <w:t>24</w:t>
            </w:r>
          </w:p>
        </w:tc>
        <w:tc>
          <w:tcPr>
            <w:tcW w:w="483" w:type="pct"/>
            <w:tcBorders>
              <w:top w:val="single" w:sz="4" w:space="0" w:color="auto"/>
              <w:left w:val="single" w:sz="4" w:space="0" w:color="auto"/>
              <w:bottom w:val="single" w:sz="4" w:space="0" w:color="auto"/>
              <w:right w:val="single" w:sz="4" w:space="0" w:color="auto"/>
            </w:tcBorders>
          </w:tcPr>
          <w:p w14:paraId="40A3EFDE" w14:textId="77777777" w:rsidR="003A71DE" w:rsidRPr="00EA3B97" w:rsidRDefault="003A71DE" w:rsidP="00D84FA9">
            <w:pPr>
              <w:pStyle w:val="TAC"/>
              <w:rPr>
                <w:rFonts w:eastAsiaTheme="minorEastAsia"/>
                <w:lang w:eastAsia="zh-CN"/>
              </w:rPr>
            </w:pPr>
          </w:p>
        </w:tc>
        <w:tc>
          <w:tcPr>
            <w:tcW w:w="483" w:type="pct"/>
            <w:tcBorders>
              <w:top w:val="single" w:sz="4" w:space="0" w:color="auto"/>
              <w:left w:val="single" w:sz="4" w:space="0" w:color="auto"/>
              <w:bottom w:val="single" w:sz="4" w:space="0" w:color="auto"/>
              <w:right w:val="single" w:sz="4" w:space="0" w:color="auto"/>
            </w:tcBorders>
          </w:tcPr>
          <w:p w14:paraId="6C35F562"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D13935B"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308F37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971A567"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07E33398" w14:textId="77777777" w:rsidR="003A71DE" w:rsidRPr="00EA3B97" w:rsidRDefault="003A71DE" w:rsidP="00D84FA9">
            <w:pPr>
              <w:pStyle w:val="TAC"/>
              <w:rPr>
                <w:rFonts w:eastAsiaTheme="minorEastAsia"/>
              </w:rPr>
            </w:pPr>
          </w:p>
        </w:tc>
      </w:tr>
      <w:tr w:rsidR="003A71DE" w:rsidRPr="00EA3B97" w14:paraId="4807001D"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3403346D" w14:textId="77777777" w:rsidR="003A71DE" w:rsidRPr="00EA3B97" w:rsidRDefault="003A71DE" w:rsidP="00D84FA9">
            <w:pPr>
              <w:pStyle w:val="TAL"/>
              <w:rPr>
                <w:rFonts w:eastAsiaTheme="minorEastAsia"/>
              </w:rPr>
            </w:pPr>
            <w:r w:rsidRPr="00EA3B97">
              <w:rPr>
                <w:rFonts w:eastAsiaTheme="minorEastAsia"/>
              </w:rPr>
              <w:t>Allocated slots per Radio Frame</w:t>
            </w:r>
          </w:p>
        </w:tc>
        <w:tc>
          <w:tcPr>
            <w:tcW w:w="376" w:type="pct"/>
            <w:tcBorders>
              <w:top w:val="single" w:sz="4" w:space="0" w:color="auto"/>
              <w:left w:val="single" w:sz="4" w:space="0" w:color="auto"/>
              <w:bottom w:val="single" w:sz="4" w:space="0" w:color="auto"/>
              <w:right w:val="single" w:sz="4" w:space="0" w:color="auto"/>
            </w:tcBorders>
          </w:tcPr>
          <w:p w14:paraId="79FF0CD7"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tcPr>
          <w:p w14:paraId="489C8CBD"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8D01995"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2724AB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15A80873"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A58D454"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CD68F54"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7E456A2B" w14:textId="77777777" w:rsidR="003A71DE" w:rsidRPr="00EA3B97" w:rsidRDefault="003A71DE" w:rsidP="00D84FA9">
            <w:pPr>
              <w:pStyle w:val="TAC"/>
              <w:rPr>
                <w:rFonts w:eastAsiaTheme="minorEastAsia"/>
              </w:rPr>
            </w:pPr>
          </w:p>
        </w:tc>
      </w:tr>
      <w:tr w:rsidR="003A71DE" w:rsidRPr="00EA3B97" w14:paraId="5BF766DC"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4F9C2230" w14:textId="77777777" w:rsidR="003A71DE" w:rsidRPr="00EA3B97" w:rsidRDefault="003A71DE" w:rsidP="00D84FA9">
            <w:pPr>
              <w:pStyle w:val="TAL"/>
              <w:rPr>
                <w:rFonts w:eastAsiaTheme="minorEastAsia"/>
              </w:rPr>
            </w:pPr>
            <w:r w:rsidRPr="00EA3B97">
              <w:rPr>
                <w:rFonts w:eastAsiaTheme="minorEastAsia"/>
              </w:rPr>
              <w:t xml:space="preserve">  Radio frame containing SSB</w:t>
            </w:r>
          </w:p>
        </w:tc>
        <w:tc>
          <w:tcPr>
            <w:tcW w:w="376" w:type="pct"/>
            <w:tcBorders>
              <w:top w:val="single" w:sz="4" w:space="0" w:color="auto"/>
              <w:left w:val="single" w:sz="4" w:space="0" w:color="auto"/>
              <w:bottom w:val="single" w:sz="4" w:space="0" w:color="auto"/>
              <w:right w:val="single" w:sz="4" w:space="0" w:color="auto"/>
            </w:tcBorders>
            <w:hideMark/>
          </w:tcPr>
          <w:p w14:paraId="33D87A7B" w14:textId="77777777" w:rsidR="003A71DE" w:rsidRPr="00EA3B97" w:rsidRDefault="003A71DE" w:rsidP="00D84FA9">
            <w:pPr>
              <w:pStyle w:val="TAC"/>
              <w:rPr>
                <w:rFonts w:eastAsiaTheme="minorEastAsia"/>
              </w:rPr>
            </w:pPr>
            <w:r w:rsidRPr="00EA3B97">
              <w:rPr>
                <w:rFonts w:eastAsiaTheme="minorEastAsia"/>
              </w:rPr>
              <w:t>slots</w:t>
            </w:r>
          </w:p>
        </w:tc>
        <w:tc>
          <w:tcPr>
            <w:tcW w:w="482" w:type="pct"/>
            <w:tcBorders>
              <w:top w:val="single" w:sz="4" w:space="0" w:color="auto"/>
              <w:left w:val="single" w:sz="4" w:space="0" w:color="auto"/>
              <w:bottom w:val="single" w:sz="4" w:space="0" w:color="auto"/>
              <w:right w:val="single" w:sz="4" w:space="0" w:color="auto"/>
            </w:tcBorders>
            <w:hideMark/>
          </w:tcPr>
          <w:p w14:paraId="12DFA1DE" w14:textId="77777777" w:rsidR="003A71DE" w:rsidRPr="00EA3B97" w:rsidRDefault="003A71DE" w:rsidP="00D84FA9">
            <w:pPr>
              <w:pStyle w:val="TAC"/>
              <w:rPr>
                <w:rFonts w:eastAsiaTheme="minorEastAsia"/>
                <w:lang w:eastAsia="zh-CN"/>
              </w:rPr>
            </w:pPr>
            <w:r w:rsidRPr="00EA3B97">
              <w:rPr>
                <w:rFonts w:eastAsiaTheme="minorEastAsia"/>
                <w:lang w:eastAsia="zh-CN"/>
              </w:rPr>
              <w:t>Note 5</w:t>
            </w:r>
          </w:p>
        </w:tc>
        <w:tc>
          <w:tcPr>
            <w:tcW w:w="483" w:type="pct"/>
            <w:tcBorders>
              <w:top w:val="single" w:sz="4" w:space="0" w:color="auto"/>
              <w:left w:val="single" w:sz="4" w:space="0" w:color="auto"/>
              <w:bottom w:val="single" w:sz="4" w:space="0" w:color="auto"/>
              <w:right w:val="single" w:sz="4" w:space="0" w:color="auto"/>
            </w:tcBorders>
          </w:tcPr>
          <w:p w14:paraId="28518BAE"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B68575E"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CECA417"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D5FD242"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01207E4"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5EC58E77" w14:textId="77777777" w:rsidR="003A71DE" w:rsidRPr="00EA3B97" w:rsidRDefault="003A71DE" w:rsidP="00D84FA9">
            <w:pPr>
              <w:pStyle w:val="TAC"/>
              <w:rPr>
                <w:rFonts w:eastAsiaTheme="minorEastAsia"/>
              </w:rPr>
            </w:pPr>
          </w:p>
        </w:tc>
      </w:tr>
      <w:tr w:rsidR="003A71DE" w:rsidRPr="00EA3B97" w14:paraId="3BC482FD"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3D31FAE3" w14:textId="77777777" w:rsidR="003A71DE" w:rsidRPr="00EA3B97" w:rsidRDefault="003A71DE" w:rsidP="00D84FA9">
            <w:pPr>
              <w:pStyle w:val="TAL"/>
              <w:rPr>
                <w:rFonts w:eastAsiaTheme="minorEastAsia"/>
              </w:rPr>
            </w:pPr>
            <w:r w:rsidRPr="00EA3B97">
              <w:rPr>
                <w:rFonts w:eastAsiaTheme="minorEastAsia"/>
              </w:rPr>
              <w:t xml:space="preserve">  Radio frame not containing SSB</w:t>
            </w:r>
          </w:p>
        </w:tc>
        <w:tc>
          <w:tcPr>
            <w:tcW w:w="376" w:type="pct"/>
            <w:tcBorders>
              <w:top w:val="single" w:sz="4" w:space="0" w:color="auto"/>
              <w:left w:val="single" w:sz="4" w:space="0" w:color="auto"/>
              <w:bottom w:val="single" w:sz="4" w:space="0" w:color="auto"/>
              <w:right w:val="single" w:sz="4" w:space="0" w:color="auto"/>
            </w:tcBorders>
            <w:hideMark/>
          </w:tcPr>
          <w:p w14:paraId="41729EB2" w14:textId="77777777" w:rsidR="003A71DE" w:rsidRPr="00EA3B97" w:rsidRDefault="003A71DE" w:rsidP="00D84FA9">
            <w:pPr>
              <w:pStyle w:val="TAC"/>
              <w:rPr>
                <w:rFonts w:eastAsiaTheme="minorEastAsia"/>
              </w:rPr>
            </w:pPr>
            <w:r w:rsidRPr="00EA3B97">
              <w:rPr>
                <w:rFonts w:eastAsiaTheme="minorEastAsia"/>
              </w:rPr>
              <w:t>slots</w:t>
            </w:r>
          </w:p>
        </w:tc>
        <w:tc>
          <w:tcPr>
            <w:tcW w:w="482" w:type="pct"/>
            <w:tcBorders>
              <w:top w:val="single" w:sz="4" w:space="0" w:color="auto"/>
              <w:left w:val="single" w:sz="4" w:space="0" w:color="auto"/>
              <w:bottom w:val="single" w:sz="4" w:space="0" w:color="auto"/>
              <w:right w:val="single" w:sz="4" w:space="0" w:color="auto"/>
            </w:tcBorders>
            <w:hideMark/>
          </w:tcPr>
          <w:p w14:paraId="653EF066" w14:textId="77777777" w:rsidR="003A71DE" w:rsidRPr="00EA3B97" w:rsidRDefault="003A71DE" w:rsidP="00D84FA9">
            <w:pPr>
              <w:pStyle w:val="TAC"/>
              <w:rPr>
                <w:rFonts w:eastAsiaTheme="minorEastAsia"/>
                <w:lang w:eastAsia="zh-CN"/>
              </w:rPr>
            </w:pPr>
            <w:r w:rsidRPr="00EA3B97">
              <w:rPr>
                <w:rFonts w:eastAsiaTheme="minorEastAsia"/>
                <w:lang w:eastAsia="zh-CN"/>
              </w:rPr>
              <w:t>48</w:t>
            </w:r>
          </w:p>
        </w:tc>
        <w:tc>
          <w:tcPr>
            <w:tcW w:w="483" w:type="pct"/>
            <w:tcBorders>
              <w:top w:val="single" w:sz="4" w:space="0" w:color="auto"/>
              <w:left w:val="single" w:sz="4" w:space="0" w:color="auto"/>
              <w:bottom w:val="single" w:sz="4" w:space="0" w:color="auto"/>
              <w:right w:val="single" w:sz="4" w:space="0" w:color="auto"/>
            </w:tcBorders>
          </w:tcPr>
          <w:p w14:paraId="3A995BD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863FD7A"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1EFFECAA"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B270A33"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03BF3B92"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5A5CF8E0" w14:textId="77777777" w:rsidR="003A71DE" w:rsidRPr="00EA3B97" w:rsidRDefault="003A71DE" w:rsidP="00D84FA9">
            <w:pPr>
              <w:pStyle w:val="TAC"/>
              <w:rPr>
                <w:rFonts w:eastAsiaTheme="minorEastAsia"/>
              </w:rPr>
            </w:pPr>
          </w:p>
        </w:tc>
      </w:tr>
      <w:tr w:rsidR="003A71DE" w:rsidRPr="00EA3B97" w14:paraId="42FD5FF7"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7CE20709" w14:textId="77777777" w:rsidR="003A71DE" w:rsidRPr="00EA3B97" w:rsidRDefault="003A71DE" w:rsidP="00D84FA9">
            <w:pPr>
              <w:pStyle w:val="TAL"/>
              <w:rPr>
                <w:rFonts w:eastAsiaTheme="minorEastAsia"/>
              </w:rPr>
            </w:pPr>
            <w:r w:rsidRPr="00EA3B97">
              <w:rPr>
                <w:rFonts w:eastAsiaTheme="minorEastAsia"/>
              </w:rPr>
              <w:t>MCS table</w:t>
            </w:r>
          </w:p>
        </w:tc>
        <w:tc>
          <w:tcPr>
            <w:tcW w:w="376" w:type="pct"/>
            <w:tcBorders>
              <w:top w:val="single" w:sz="4" w:space="0" w:color="auto"/>
              <w:left w:val="single" w:sz="4" w:space="0" w:color="auto"/>
              <w:bottom w:val="single" w:sz="4" w:space="0" w:color="auto"/>
              <w:right w:val="single" w:sz="4" w:space="0" w:color="auto"/>
            </w:tcBorders>
          </w:tcPr>
          <w:p w14:paraId="0634F064"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37F6D337" w14:textId="77777777" w:rsidR="003A71DE" w:rsidRPr="00EA3B97" w:rsidRDefault="003A71DE" w:rsidP="00D84FA9">
            <w:pPr>
              <w:pStyle w:val="TAC"/>
              <w:rPr>
                <w:rFonts w:eastAsiaTheme="minorEastAsia"/>
                <w:lang w:eastAsia="zh-CN"/>
              </w:rPr>
            </w:pPr>
            <w:r w:rsidRPr="00EA3B97">
              <w:rPr>
                <w:rFonts w:eastAsiaTheme="minorEastAsia"/>
                <w:lang w:eastAsia="zh-CN"/>
              </w:rPr>
              <w:t>64QAM</w:t>
            </w:r>
          </w:p>
        </w:tc>
        <w:tc>
          <w:tcPr>
            <w:tcW w:w="483" w:type="pct"/>
            <w:tcBorders>
              <w:top w:val="single" w:sz="4" w:space="0" w:color="auto"/>
              <w:left w:val="single" w:sz="4" w:space="0" w:color="auto"/>
              <w:bottom w:val="single" w:sz="4" w:space="0" w:color="auto"/>
              <w:right w:val="single" w:sz="4" w:space="0" w:color="auto"/>
            </w:tcBorders>
          </w:tcPr>
          <w:p w14:paraId="1311C93D"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C61DDF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18DE88F"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C1F91E2"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22C866F"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612E2990" w14:textId="77777777" w:rsidR="003A71DE" w:rsidRPr="00EA3B97" w:rsidRDefault="003A71DE" w:rsidP="00D84FA9">
            <w:pPr>
              <w:pStyle w:val="TAC"/>
              <w:rPr>
                <w:rFonts w:eastAsiaTheme="minorEastAsia"/>
              </w:rPr>
            </w:pPr>
          </w:p>
        </w:tc>
      </w:tr>
      <w:tr w:rsidR="003A71DE" w:rsidRPr="00EA3B97" w14:paraId="37047EE9"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0D575ABA" w14:textId="77777777" w:rsidR="003A71DE" w:rsidRPr="00EA3B97" w:rsidRDefault="003A71DE" w:rsidP="00D84FA9">
            <w:pPr>
              <w:pStyle w:val="TAL"/>
              <w:rPr>
                <w:rFonts w:eastAsiaTheme="minorEastAsia"/>
              </w:rPr>
            </w:pPr>
            <w:r w:rsidRPr="00EA3B97">
              <w:rPr>
                <w:rFonts w:eastAsiaTheme="minorEastAsia"/>
              </w:rPr>
              <w:t>MCS index</w:t>
            </w:r>
          </w:p>
        </w:tc>
        <w:tc>
          <w:tcPr>
            <w:tcW w:w="376" w:type="pct"/>
            <w:tcBorders>
              <w:top w:val="single" w:sz="4" w:space="0" w:color="auto"/>
              <w:left w:val="single" w:sz="4" w:space="0" w:color="auto"/>
              <w:bottom w:val="single" w:sz="4" w:space="0" w:color="auto"/>
              <w:right w:val="single" w:sz="4" w:space="0" w:color="auto"/>
            </w:tcBorders>
          </w:tcPr>
          <w:p w14:paraId="6B405CCC"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1F34E60A" w14:textId="77777777" w:rsidR="003A71DE" w:rsidRPr="00EA3B97" w:rsidRDefault="003A71DE" w:rsidP="00D84FA9">
            <w:pPr>
              <w:pStyle w:val="TAC"/>
              <w:rPr>
                <w:rFonts w:eastAsiaTheme="minorEastAsia"/>
                <w:lang w:eastAsia="zh-CN"/>
              </w:rPr>
            </w:pPr>
            <w:r w:rsidRPr="00EA3B97">
              <w:rPr>
                <w:rFonts w:eastAsiaTheme="minorEastAsia"/>
                <w:lang w:eastAsia="zh-CN"/>
              </w:rPr>
              <w:t>4</w:t>
            </w:r>
          </w:p>
        </w:tc>
        <w:tc>
          <w:tcPr>
            <w:tcW w:w="483" w:type="pct"/>
            <w:tcBorders>
              <w:top w:val="single" w:sz="4" w:space="0" w:color="auto"/>
              <w:left w:val="single" w:sz="4" w:space="0" w:color="auto"/>
              <w:bottom w:val="single" w:sz="4" w:space="0" w:color="auto"/>
              <w:right w:val="single" w:sz="4" w:space="0" w:color="auto"/>
            </w:tcBorders>
          </w:tcPr>
          <w:p w14:paraId="4B69BEB6"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2C624F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6859B5B"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EA5DAA8"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BC24EC0"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2853EEFF" w14:textId="77777777" w:rsidR="003A71DE" w:rsidRPr="00EA3B97" w:rsidRDefault="003A71DE" w:rsidP="00D84FA9">
            <w:pPr>
              <w:pStyle w:val="TAC"/>
              <w:rPr>
                <w:rFonts w:eastAsiaTheme="minorEastAsia"/>
              </w:rPr>
            </w:pPr>
          </w:p>
        </w:tc>
      </w:tr>
      <w:tr w:rsidR="003A71DE" w:rsidRPr="00EA3B97" w14:paraId="5057E2FF"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4285750E" w14:textId="77777777" w:rsidR="003A71DE" w:rsidRPr="00EA3B97" w:rsidRDefault="003A71DE" w:rsidP="00D84FA9">
            <w:pPr>
              <w:pStyle w:val="TAL"/>
              <w:rPr>
                <w:rFonts w:eastAsiaTheme="minorEastAsia"/>
              </w:rPr>
            </w:pPr>
            <w:r w:rsidRPr="00EA3B97">
              <w:rPr>
                <w:rFonts w:eastAsiaTheme="minorEastAsia"/>
              </w:rPr>
              <w:t>Modulation</w:t>
            </w:r>
          </w:p>
        </w:tc>
        <w:tc>
          <w:tcPr>
            <w:tcW w:w="376" w:type="pct"/>
            <w:tcBorders>
              <w:top w:val="single" w:sz="4" w:space="0" w:color="auto"/>
              <w:left w:val="single" w:sz="4" w:space="0" w:color="auto"/>
              <w:bottom w:val="single" w:sz="4" w:space="0" w:color="auto"/>
              <w:right w:val="single" w:sz="4" w:space="0" w:color="auto"/>
            </w:tcBorders>
          </w:tcPr>
          <w:p w14:paraId="14E86DB5"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33C58781" w14:textId="77777777" w:rsidR="003A71DE" w:rsidRPr="00EA3B97" w:rsidRDefault="003A71DE" w:rsidP="00D84FA9">
            <w:pPr>
              <w:pStyle w:val="TAC"/>
              <w:rPr>
                <w:rFonts w:eastAsiaTheme="minorEastAsia"/>
              </w:rPr>
            </w:pPr>
            <w:r w:rsidRPr="00EA3B97">
              <w:rPr>
                <w:rFonts w:eastAsiaTheme="minorEastAsia"/>
                <w:lang w:eastAsia="zh-CN"/>
              </w:rPr>
              <w:t>QPSK</w:t>
            </w:r>
          </w:p>
        </w:tc>
        <w:tc>
          <w:tcPr>
            <w:tcW w:w="483" w:type="pct"/>
            <w:tcBorders>
              <w:top w:val="single" w:sz="4" w:space="0" w:color="auto"/>
              <w:left w:val="single" w:sz="4" w:space="0" w:color="auto"/>
              <w:bottom w:val="single" w:sz="4" w:space="0" w:color="auto"/>
              <w:right w:val="single" w:sz="4" w:space="0" w:color="auto"/>
            </w:tcBorders>
          </w:tcPr>
          <w:p w14:paraId="3BEC3608"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FE1A666"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EB97A8F"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C9FA22E"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31D9D92"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6232C261" w14:textId="77777777" w:rsidR="003A71DE" w:rsidRPr="00EA3B97" w:rsidRDefault="003A71DE" w:rsidP="00D84FA9">
            <w:pPr>
              <w:pStyle w:val="TAC"/>
              <w:rPr>
                <w:rFonts w:eastAsiaTheme="minorEastAsia"/>
              </w:rPr>
            </w:pPr>
          </w:p>
        </w:tc>
      </w:tr>
      <w:tr w:rsidR="003A71DE" w:rsidRPr="00EA3B97" w14:paraId="60452B44"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56AC2FB8" w14:textId="77777777" w:rsidR="003A71DE" w:rsidRPr="00EA3B97" w:rsidRDefault="003A71DE" w:rsidP="00D84FA9">
            <w:pPr>
              <w:pStyle w:val="TAL"/>
              <w:rPr>
                <w:rFonts w:eastAsiaTheme="minorEastAsia"/>
              </w:rPr>
            </w:pPr>
            <w:r w:rsidRPr="00EA3B97">
              <w:rPr>
                <w:rFonts w:eastAsiaTheme="minorEastAsia"/>
              </w:rPr>
              <w:t>Target Coding Rate</w:t>
            </w:r>
          </w:p>
        </w:tc>
        <w:tc>
          <w:tcPr>
            <w:tcW w:w="376" w:type="pct"/>
            <w:tcBorders>
              <w:top w:val="single" w:sz="4" w:space="0" w:color="auto"/>
              <w:left w:val="single" w:sz="4" w:space="0" w:color="auto"/>
              <w:bottom w:val="single" w:sz="4" w:space="0" w:color="auto"/>
              <w:right w:val="single" w:sz="4" w:space="0" w:color="auto"/>
            </w:tcBorders>
          </w:tcPr>
          <w:p w14:paraId="26AF92F1"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38A4ED03" w14:textId="77777777" w:rsidR="003A71DE" w:rsidRPr="00EA3B97" w:rsidRDefault="003A71DE" w:rsidP="00D84FA9">
            <w:pPr>
              <w:pStyle w:val="TAC"/>
              <w:rPr>
                <w:rFonts w:eastAsiaTheme="minorEastAsia"/>
              </w:rPr>
            </w:pPr>
            <w:r w:rsidRPr="00EA3B97">
              <w:rPr>
                <w:rFonts w:eastAsiaTheme="minorEastAsia"/>
                <w:lang w:eastAsia="zh-CN"/>
              </w:rPr>
              <w:t>1/3</w:t>
            </w:r>
          </w:p>
        </w:tc>
        <w:tc>
          <w:tcPr>
            <w:tcW w:w="483" w:type="pct"/>
            <w:tcBorders>
              <w:top w:val="single" w:sz="4" w:space="0" w:color="auto"/>
              <w:left w:val="single" w:sz="4" w:space="0" w:color="auto"/>
              <w:bottom w:val="single" w:sz="4" w:space="0" w:color="auto"/>
              <w:right w:val="single" w:sz="4" w:space="0" w:color="auto"/>
            </w:tcBorders>
          </w:tcPr>
          <w:p w14:paraId="2A254E2E"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434F62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ED32B67"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634D8F8"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4749807"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67F94126" w14:textId="77777777" w:rsidR="003A71DE" w:rsidRPr="00EA3B97" w:rsidRDefault="003A71DE" w:rsidP="00D84FA9">
            <w:pPr>
              <w:pStyle w:val="TAC"/>
              <w:rPr>
                <w:rFonts w:eastAsiaTheme="minorEastAsia"/>
              </w:rPr>
            </w:pPr>
          </w:p>
        </w:tc>
      </w:tr>
      <w:tr w:rsidR="003A71DE" w:rsidRPr="00EA3B97" w14:paraId="005F468B"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5899AF16" w14:textId="77777777" w:rsidR="003A71DE" w:rsidRPr="00EA3B97" w:rsidRDefault="003A71DE" w:rsidP="00D84FA9">
            <w:pPr>
              <w:pStyle w:val="TAL"/>
              <w:rPr>
                <w:rFonts w:eastAsiaTheme="minorEastAsia"/>
                <w:lang w:eastAsia="zh-CN"/>
              </w:rPr>
            </w:pPr>
            <w:r w:rsidRPr="00EA3B97">
              <w:rPr>
                <w:rFonts w:eastAsiaTheme="minorEastAsia"/>
                <w:lang w:eastAsia="zh-CN"/>
              </w:rPr>
              <w:t>Number of control symbols</w:t>
            </w:r>
          </w:p>
        </w:tc>
        <w:tc>
          <w:tcPr>
            <w:tcW w:w="376" w:type="pct"/>
            <w:tcBorders>
              <w:top w:val="single" w:sz="4" w:space="0" w:color="auto"/>
              <w:left w:val="single" w:sz="4" w:space="0" w:color="auto"/>
              <w:bottom w:val="single" w:sz="4" w:space="0" w:color="auto"/>
              <w:right w:val="single" w:sz="4" w:space="0" w:color="auto"/>
            </w:tcBorders>
          </w:tcPr>
          <w:p w14:paraId="1ADEC19A"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6EB5E5EB" w14:textId="77777777" w:rsidR="003A71DE" w:rsidRPr="00EA3B97" w:rsidRDefault="003A71DE" w:rsidP="00D84FA9">
            <w:pPr>
              <w:pStyle w:val="TAC"/>
              <w:rPr>
                <w:rFonts w:eastAsiaTheme="minorEastAsia"/>
                <w:lang w:eastAsia="zh-CN"/>
              </w:rPr>
            </w:pPr>
            <w:r w:rsidRPr="00EA3B97">
              <w:rPr>
                <w:rFonts w:eastAsiaTheme="minorEastAsia"/>
                <w:lang w:eastAsia="zh-CN"/>
              </w:rPr>
              <w:t>2</w:t>
            </w:r>
          </w:p>
        </w:tc>
        <w:tc>
          <w:tcPr>
            <w:tcW w:w="483" w:type="pct"/>
            <w:tcBorders>
              <w:top w:val="single" w:sz="4" w:space="0" w:color="auto"/>
              <w:left w:val="single" w:sz="4" w:space="0" w:color="auto"/>
              <w:bottom w:val="single" w:sz="4" w:space="0" w:color="auto"/>
              <w:right w:val="single" w:sz="4" w:space="0" w:color="auto"/>
            </w:tcBorders>
          </w:tcPr>
          <w:p w14:paraId="53425252" w14:textId="77777777" w:rsidR="003A71DE" w:rsidRPr="00EA3B97" w:rsidRDefault="003A71DE" w:rsidP="00D84FA9">
            <w:pPr>
              <w:pStyle w:val="TAC"/>
              <w:rPr>
                <w:rFonts w:eastAsiaTheme="minorEastAsia"/>
                <w:lang w:eastAsia="zh-CN"/>
              </w:rPr>
            </w:pPr>
          </w:p>
        </w:tc>
        <w:tc>
          <w:tcPr>
            <w:tcW w:w="483" w:type="pct"/>
            <w:tcBorders>
              <w:top w:val="single" w:sz="4" w:space="0" w:color="auto"/>
              <w:left w:val="single" w:sz="4" w:space="0" w:color="auto"/>
              <w:bottom w:val="single" w:sz="4" w:space="0" w:color="auto"/>
              <w:right w:val="single" w:sz="4" w:space="0" w:color="auto"/>
            </w:tcBorders>
          </w:tcPr>
          <w:p w14:paraId="325CE7A3"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12F1582"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658E607"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B7D9786"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2C2AC89F" w14:textId="77777777" w:rsidR="003A71DE" w:rsidRPr="00EA3B97" w:rsidRDefault="003A71DE" w:rsidP="00D84FA9">
            <w:pPr>
              <w:pStyle w:val="TAC"/>
              <w:rPr>
                <w:rFonts w:eastAsiaTheme="minorEastAsia"/>
              </w:rPr>
            </w:pPr>
          </w:p>
        </w:tc>
      </w:tr>
      <w:tr w:rsidR="003A71DE" w:rsidRPr="00EA3B97" w14:paraId="10B0F14A"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6222009C" w14:textId="77777777" w:rsidR="003A71DE" w:rsidRPr="00EA3B97" w:rsidRDefault="003A71DE" w:rsidP="00D84FA9">
            <w:pPr>
              <w:pStyle w:val="TAL"/>
              <w:rPr>
                <w:rFonts w:eastAsiaTheme="minorEastAsia"/>
                <w:lang w:eastAsia="zh-CN"/>
              </w:rPr>
            </w:pPr>
            <w:r w:rsidRPr="00EA3B97">
              <w:rPr>
                <w:rFonts w:eastAsiaTheme="minorEastAsia"/>
                <w:lang w:eastAsia="zh-CN"/>
              </w:rPr>
              <w:t>PDSCH mapping type</w:t>
            </w:r>
          </w:p>
        </w:tc>
        <w:tc>
          <w:tcPr>
            <w:tcW w:w="376" w:type="pct"/>
            <w:tcBorders>
              <w:top w:val="single" w:sz="4" w:space="0" w:color="auto"/>
              <w:left w:val="single" w:sz="4" w:space="0" w:color="auto"/>
              <w:bottom w:val="single" w:sz="4" w:space="0" w:color="auto"/>
              <w:right w:val="single" w:sz="4" w:space="0" w:color="auto"/>
            </w:tcBorders>
          </w:tcPr>
          <w:p w14:paraId="4D7E50C4"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01ED4D3E" w14:textId="77777777" w:rsidR="003A71DE" w:rsidRPr="00EA3B97" w:rsidRDefault="003A71DE" w:rsidP="00D84FA9">
            <w:pPr>
              <w:pStyle w:val="TAC"/>
              <w:rPr>
                <w:rFonts w:eastAsiaTheme="minorEastAsia"/>
                <w:lang w:eastAsia="zh-CN"/>
              </w:rPr>
            </w:pPr>
            <w:r w:rsidRPr="00EA3B97">
              <w:rPr>
                <w:rFonts w:eastAsiaTheme="minorEastAsia"/>
                <w:lang w:eastAsia="zh-CN"/>
              </w:rPr>
              <w:t>Type A</w:t>
            </w:r>
          </w:p>
        </w:tc>
        <w:tc>
          <w:tcPr>
            <w:tcW w:w="483" w:type="pct"/>
            <w:tcBorders>
              <w:top w:val="single" w:sz="4" w:space="0" w:color="auto"/>
              <w:left w:val="single" w:sz="4" w:space="0" w:color="auto"/>
              <w:bottom w:val="single" w:sz="4" w:space="0" w:color="auto"/>
              <w:right w:val="single" w:sz="4" w:space="0" w:color="auto"/>
            </w:tcBorders>
          </w:tcPr>
          <w:p w14:paraId="07B8F56E" w14:textId="77777777" w:rsidR="003A71DE" w:rsidRPr="00EA3B97" w:rsidRDefault="003A71DE" w:rsidP="00D84FA9">
            <w:pPr>
              <w:pStyle w:val="TAC"/>
              <w:rPr>
                <w:rFonts w:eastAsiaTheme="minorEastAsia"/>
                <w:lang w:eastAsia="zh-CN"/>
              </w:rPr>
            </w:pPr>
          </w:p>
        </w:tc>
        <w:tc>
          <w:tcPr>
            <w:tcW w:w="483" w:type="pct"/>
            <w:tcBorders>
              <w:top w:val="single" w:sz="4" w:space="0" w:color="auto"/>
              <w:left w:val="single" w:sz="4" w:space="0" w:color="auto"/>
              <w:bottom w:val="single" w:sz="4" w:space="0" w:color="auto"/>
              <w:right w:val="single" w:sz="4" w:space="0" w:color="auto"/>
            </w:tcBorders>
          </w:tcPr>
          <w:p w14:paraId="5DAC2F63"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1A2E32A"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0F196A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F2C6631"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45595F7C" w14:textId="77777777" w:rsidR="003A71DE" w:rsidRPr="00EA3B97" w:rsidRDefault="003A71DE" w:rsidP="00D84FA9">
            <w:pPr>
              <w:pStyle w:val="TAC"/>
              <w:rPr>
                <w:rFonts w:eastAsiaTheme="minorEastAsia"/>
              </w:rPr>
            </w:pPr>
          </w:p>
        </w:tc>
      </w:tr>
      <w:tr w:rsidR="003A71DE" w:rsidRPr="00EA3B97" w14:paraId="26A67F39"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6F25642B" w14:textId="77777777" w:rsidR="003A71DE" w:rsidRPr="00EA3B97" w:rsidRDefault="003A71DE" w:rsidP="00D84FA9">
            <w:pPr>
              <w:pStyle w:val="TAL"/>
              <w:rPr>
                <w:rFonts w:eastAsiaTheme="minorEastAsia"/>
              </w:rPr>
            </w:pPr>
            <w:r w:rsidRPr="00EA3B97">
              <w:rPr>
                <w:rFonts w:eastAsiaTheme="minorEastAsia"/>
              </w:rPr>
              <w:t>Information Bit Payload</w:t>
            </w:r>
          </w:p>
        </w:tc>
        <w:tc>
          <w:tcPr>
            <w:tcW w:w="376" w:type="pct"/>
            <w:tcBorders>
              <w:top w:val="single" w:sz="4" w:space="0" w:color="auto"/>
              <w:left w:val="single" w:sz="4" w:space="0" w:color="auto"/>
              <w:bottom w:val="single" w:sz="4" w:space="0" w:color="auto"/>
              <w:right w:val="single" w:sz="4" w:space="0" w:color="auto"/>
            </w:tcBorders>
          </w:tcPr>
          <w:p w14:paraId="0880BFFC"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tcPr>
          <w:p w14:paraId="4E51CB7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2F842F1"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92CEACB"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B386661"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DBC8229"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3DA4073"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76E768A5" w14:textId="77777777" w:rsidR="003A71DE" w:rsidRPr="00EA3B97" w:rsidRDefault="003A71DE" w:rsidP="00D84FA9">
            <w:pPr>
              <w:pStyle w:val="TAC"/>
              <w:rPr>
                <w:rFonts w:eastAsiaTheme="minorEastAsia"/>
              </w:rPr>
            </w:pPr>
          </w:p>
        </w:tc>
      </w:tr>
      <w:tr w:rsidR="003A71DE" w:rsidRPr="00EA3B97" w14:paraId="0B40F304"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5C6B7C28" w14:textId="77777777" w:rsidR="003A71DE" w:rsidRPr="00EA3B97" w:rsidRDefault="003A71DE" w:rsidP="00D84FA9">
            <w:pPr>
              <w:pStyle w:val="TAL"/>
              <w:rPr>
                <w:rFonts w:eastAsiaTheme="minorEastAsia"/>
              </w:rPr>
            </w:pPr>
            <w:r w:rsidRPr="00EA3B97">
              <w:rPr>
                <w:rFonts w:eastAsiaTheme="minorEastAsia"/>
              </w:rPr>
              <w:t xml:space="preserve">  For slots with </w:t>
            </w:r>
            <w:r w:rsidRPr="00EA3B97">
              <w:rPr>
                <w:rFonts w:eastAsiaTheme="minorEastAsia"/>
                <w:szCs w:val="16"/>
              </w:rPr>
              <w:t>RMSI</w:t>
            </w:r>
            <w:r w:rsidRPr="00EA3B97">
              <w:rPr>
                <w:rFonts w:eastAsiaTheme="minorEastAsia"/>
                <w:vertAlign w:val="superscript"/>
              </w:rPr>
              <w:t xml:space="preserve"> Note 2</w:t>
            </w:r>
          </w:p>
        </w:tc>
        <w:tc>
          <w:tcPr>
            <w:tcW w:w="376" w:type="pct"/>
            <w:tcBorders>
              <w:top w:val="single" w:sz="4" w:space="0" w:color="auto"/>
              <w:left w:val="single" w:sz="4" w:space="0" w:color="auto"/>
              <w:bottom w:val="single" w:sz="4" w:space="0" w:color="auto"/>
              <w:right w:val="single" w:sz="4" w:space="0" w:color="auto"/>
            </w:tcBorders>
            <w:hideMark/>
          </w:tcPr>
          <w:p w14:paraId="2286EB31" w14:textId="77777777" w:rsidR="003A71DE" w:rsidRPr="00EA3B97" w:rsidRDefault="003A71DE" w:rsidP="00D84FA9">
            <w:pPr>
              <w:pStyle w:val="TAC"/>
              <w:rPr>
                <w:rFonts w:eastAsiaTheme="minorEastAsia"/>
              </w:rPr>
            </w:pPr>
            <w:r w:rsidRPr="00EA3B97">
              <w:rPr>
                <w:rFonts w:eastAsiaTheme="minorEastAsia"/>
              </w:rPr>
              <w:t>bits</w:t>
            </w:r>
          </w:p>
        </w:tc>
        <w:tc>
          <w:tcPr>
            <w:tcW w:w="482" w:type="pct"/>
            <w:tcBorders>
              <w:top w:val="single" w:sz="4" w:space="0" w:color="auto"/>
              <w:left w:val="single" w:sz="4" w:space="0" w:color="auto"/>
              <w:bottom w:val="single" w:sz="4" w:space="0" w:color="auto"/>
              <w:right w:val="single" w:sz="4" w:space="0" w:color="auto"/>
            </w:tcBorders>
            <w:hideMark/>
          </w:tcPr>
          <w:p w14:paraId="2CF9766B" w14:textId="77777777" w:rsidR="003A71DE" w:rsidRPr="00EA3B97" w:rsidRDefault="003A71DE" w:rsidP="00D84FA9">
            <w:pPr>
              <w:pStyle w:val="TAC"/>
              <w:rPr>
                <w:rFonts w:eastAsiaTheme="minorEastAsia"/>
              </w:rPr>
            </w:pPr>
            <w:r w:rsidRPr="00EA3B97">
              <w:rPr>
                <w:rFonts w:eastAsiaTheme="minorEastAsia"/>
                <w:lang w:eastAsia="zh-CN"/>
              </w:rPr>
              <w:t>1608</w:t>
            </w:r>
          </w:p>
        </w:tc>
        <w:tc>
          <w:tcPr>
            <w:tcW w:w="483" w:type="pct"/>
            <w:tcBorders>
              <w:top w:val="single" w:sz="4" w:space="0" w:color="auto"/>
              <w:left w:val="single" w:sz="4" w:space="0" w:color="auto"/>
              <w:bottom w:val="single" w:sz="4" w:space="0" w:color="auto"/>
              <w:right w:val="single" w:sz="4" w:space="0" w:color="auto"/>
            </w:tcBorders>
          </w:tcPr>
          <w:p w14:paraId="7940A283"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FA76BE8"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14E387EA"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7E1CD4F"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C8E3D78"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67D9027A" w14:textId="77777777" w:rsidR="003A71DE" w:rsidRPr="00EA3B97" w:rsidRDefault="003A71DE" w:rsidP="00D84FA9">
            <w:pPr>
              <w:pStyle w:val="TAC"/>
              <w:rPr>
                <w:rFonts w:eastAsiaTheme="minorEastAsia"/>
              </w:rPr>
            </w:pPr>
          </w:p>
        </w:tc>
      </w:tr>
      <w:tr w:rsidR="003A71DE" w:rsidRPr="00EA3B97" w14:paraId="41D24DAE"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tcPr>
          <w:p w14:paraId="55B79B1F" w14:textId="77777777" w:rsidR="003A71DE" w:rsidRPr="00EA3B97" w:rsidRDefault="003A71DE" w:rsidP="00D84FA9">
            <w:pPr>
              <w:pStyle w:val="TAL"/>
              <w:rPr>
                <w:rFonts w:eastAsiaTheme="minorEastAsia"/>
              </w:rPr>
            </w:pPr>
            <w:r w:rsidRPr="00EA3B97">
              <w:rPr>
                <w:rFonts w:eastAsiaTheme="minorEastAsia"/>
              </w:rPr>
              <w:t xml:space="preserve">  For slots without </w:t>
            </w:r>
            <w:r w:rsidRPr="00EA3B97">
              <w:rPr>
                <w:rFonts w:eastAsiaTheme="minorEastAsia"/>
                <w:szCs w:val="16"/>
              </w:rPr>
              <w:t>RMSI</w:t>
            </w:r>
          </w:p>
        </w:tc>
        <w:tc>
          <w:tcPr>
            <w:tcW w:w="376" w:type="pct"/>
            <w:tcBorders>
              <w:top w:val="single" w:sz="4" w:space="0" w:color="auto"/>
              <w:left w:val="single" w:sz="4" w:space="0" w:color="auto"/>
              <w:bottom w:val="single" w:sz="4" w:space="0" w:color="auto"/>
              <w:right w:val="single" w:sz="4" w:space="0" w:color="auto"/>
            </w:tcBorders>
          </w:tcPr>
          <w:p w14:paraId="7FC6D6B7" w14:textId="77777777" w:rsidR="003A71DE" w:rsidRPr="00EA3B97" w:rsidRDefault="003A71DE" w:rsidP="00D84FA9">
            <w:pPr>
              <w:pStyle w:val="TAC"/>
              <w:rPr>
                <w:rFonts w:eastAsiaTheme="minorEastAsia"/>
              </w:rPr>
            </w:pPr>
            <w:r w:rsidRPr="00EA3B97">
              <w:rPr>
                <w:rFonts w:eastAsiaTheme="minorEastAsia"/>
              </w:rPr>
              <w:t>bits</w:t>
            </w:r>
          </w:p>
        </w:tc>
        <w:tc>
          <w:tcPr>
            <w:tcW w:w="482" w:type="pct"/>
            <w:tcBorders>
              <w:top w:val="single" w:sz="4" w:space="0" w:color="auto"/>
              <w:left w:val="single" w:sz="4" w:space="0" w:color="auto"/>
              <w:bottom w:val="single" w:sz="4" w:space="0" w:color="auto"/>
              <w:right w:val="single" w:sz="4" w:space="0" w:color="auto"/>
            </w:tcBorders>
          </w:tcPr>
          <w:p w14:paraId="0A281E40" w14:textId="77777777" w:rsidR="003A71DE" w:rsidRPr="00EA3B97" w:rsidRDefault="003A71DE" w:rsidP="00D84FA9">
            <w:pPr>
              <w:pStyle w:val="TAC"/>
              <w:rPr>
                <w:rFonts w:eastAsiaTheme="minorEastAsia"/>
                <w:lang w:eastAsia="zh-CN"/>
              </w:rPr>
            </w:pPr>
            <w:r w:rsidRPr="00EA3B97">
              <w:rPr>
                <w:rFonts w:eastAsiaTheme="minorEastAsia"/>
                <w:lang w:eastAsia="zh-CN"/>
              </w:rPr>
              <w:t>1864</w:t>
            </w:r>
          </w:p>
        </w:tc>
        <w:tc>
          <w:tcPr>
            <w:tcW w:w="483" w:type="pct"/>
            <w:tcBorders>
              <w:top w:val="single" w:sz="4" w:space="0" w:color="auto"/>
              <w:left w:val="single" w:sz="4" w:space="0" w:color="auto"/>
              <w:bottom w:val="single" w:sz="4" w:space="0" w:color="auto"/>
              <w:right w:val="single" w:sz="4" w:space="0" w:color="auto"/>
            </w:tcBorders>
          </w:tcPr>
          <w:p w14:paraId="401D22CA"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8CC794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17563141"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0AC3984"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A2771EA"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664A0C9A" w14:textId="77777777" w:rsidR="003A71DE" w:rsidRPr="00EA3B97" w:rsidRDefault="003A71DE" w:rsidP="00D84FA9">
            <w:pPr>
              <w:pStyle w:val="TAC"/>
              <w:rPr>
                <w:rFonts w:eastAsiaTheme="minorEastAsia"/>
              </w:rPr>
            </w:pPr>
          </w:p>
        </w:tc>
      </w:tr>
      <w:tr w:rsidR="003A71DE" w:rsidRPr="00EA3B97" w14:paraId="6CB64D77"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3BFAEEF8" w14:textId="77777777" w:rsidR="003A71DE" w:rsidRPr="00EA3B97" w:rsidRDefault="003A71DE" w:rsidP="00D84FA9">
            <w:pPr>
              <w:pStyle w:val="TAL"/>
              <w:rPr>
                <w:rFonts w:eastAsiaTheme="minorEastAsia"/>
                <w:szCs w:val="22"/>
              </w:rPr>
            </w:pPr>
            <w:r w:rsidRPr="00EA3B97">
              <w:rPr>
                <w:rFonts w:eastAsiaTheme="minorEastAsia"/>
                <w:szCs w:val="22"/>
              </w:rPr>
              <w:t>Number of Code Blocks per slot</w:t>
            </w:r>
          </w:p>
        </w:tc>
        <w:tc>
          <w:tcPr>
            <w:tcW w:w="376" w:type="pct"/>
            <w:tcBorders>
              <w:top w:val="single" w:sz="4" w:space="0" w:color="auto"/>
              <w:left w:val="single" w:sz="4" w:space="0" w:color="auto"/>
              <w:bottom w:val="single" w:sz="4" w:space="0" w:color="auto"/>
              <w:right w:val="single" w:sz="4" w:space="0" w:color="auto"/>
            </w:tcBorders>
          </w:tcPr>
          <w:p w14:paraId="24AE6302"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hideMark/>
          </w:tcPr>
          <w:p w14:paraId="5118FF12" w14:textId="77777777" w:rsidR="003A71DE" w:rsidRPr="00EA3B97" w:rsidRDefault="003A71DE" w:rsidP="00D84FA9">
            <w:pPr>
              <w:pStyle w:val="TAC"/>
              <w:rPr>
                <w:rFonts w:eastAsiaTheme="minorEastAsia"/>
                <w:lang w:eastAsia="zh-CN"/>
              </w:rPr>
            </w:pPr>
            <w:r w:rsidRPr="00EA3B97">
              <w:rPr>
                <w:rFonts w:eastAsiaTheme="minorEastAsia"/>
                <w:lang w:eastAsia="zh-CN"/>
              </w:rPr>
              <w:t>1</w:t>
            </w:r>
          </w:p>
        </w:tc>
        <w:tc>
          <w:tcPr>
            <w:tcW w:w="483" w:type="pct"/>
            <w:tcBorders>
              <w:top w:val="single" w:sz="4" w:space="0" w:color="auto"/>
              <w:left w:val="single" w:sz="4" w:space="0" w:color="auto"/>
              <w:bottom w:val="single" w:sz="4" w:space="0" w:color="auto"/>
              <w:right w:val="single" w:sz="4" w:space="0" w:color="auto"/>
            </w:tcBorders>
          </w:tcPr>
          <w:p w14:paraId="46FE29FC" w14:textId="77777777" w:rsidR="003A71DE" w:rsidRPr="00EA3B97" w:rsidRDefault="003A71DE" w:rsidP="00D84FA9">
            <w:pPr>
              <w:pStyle w:val="TAC"/>
              <w:rPr>
                <w:rFonts w:eastAsiaTheme="minorEastAsia"/>
                <w:lang w:eastAsia="zh-CN"/>
              </w:rPr>
            </w:pPr>
          </w:p>
        </w:tc>
        <w:tc>
          <w:tcPr>
            <w:tcW w:w="483" w:type="pct"/>
            <w:tcBorders>
              <w:top w:val="single" w:sz="4" w:space="0" w:color="auto"/>
              <w:left w:val="single" w:sz="4" w:space="0" w:color="auto"/>
              <w:bottom w:val="single" w:sz="4" w:space="0" w:color="auto"/>
              <w:right w:val="single" w:sz="4" w:space="0" w:color="auto"/>
            </w:tcBorders>
          </w:tcPr>
          <w:p w14:paraId="1F9D7739"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6F394E7"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79A461E4"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24C7153"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39A43C9E" w14:textId="77777777" w:rsidR="003A71DE" w:rsidRPr="00EA3B97" w:rsidRDefault="003A71DE" w:rsidP="00D84FA9">
            <w:pPr>
              <w:pStyle w:val="TAC"/>
              <w:rPr>
                <w:rFonts w:eastAsiaTheme="minorEastAsia"/>
              </w:rPr>
            </w:pPr>
          </w:p>
        </w:tc>
      </w:tr>
      <w:tr w:rsidR="003A71DE" w:rsidRPr="00EA3B97" w14:paraId="5991762E"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28C6C6CB" w14:textId="77777777" w:rsidR="003A71DE" w:rsidRPr="00EA3B97" w:rsidRDefault="003A71DE" w:rsidP="00D84FA9">
            <w:pPr>
              <w:pStyle w:val="TAL"/>
              <w:rPr>
                <w:rFonts w:eastAsiaTheme="minorEastAsia"/>
              </w:rPr>
            </w:pPr>
            <w:r w:rsidRPr="00EA3B97">
              <w:rPr>
                <w:rFonts w:eastAsiaTheme="minorEastAsia"/>
              </w:rPr>
              <w:t>Binary Channel Bits Per slot</w:t>
            </w:r>
          </w:p>
        </w:tc>
        <w:tc>
          <w:tcPr>
            <w:tcW w:w="376" w:type="pct"/>
            <w:tcBorders>
              <w:top w:val="single" w:sz="4" w:space="0" w:color="auto"/>
              <w:left w:val="single" w:sz="4" w:space="0" w:color="auto"/>
              <w:bottom w:val="single" w:sz="4" w:space="0" w:color="auto"/>
              <w:right w:val="single" w:sz="4" w:space="0" w:color="auto"/>
            </w:tcBorders>
          </w:tcPr>
          <w:p w14:paraId="6CC51743" w14:textId="77777777" w:rsidR="003A71DE" w:rsidRPr="00EA3B97" w:rsidRDefault="003A71DE" w:rsidP="00D84FA9">
            <w:pPr>
              <w:pStyle w:val="TAC"/>
              <w:rPr>
                <w:rFonts w:eastAsiaTheme="minorEastAsia"/>
              </w:rPr>
            </w:pPr>
          </w:p>
        </w:tc>
        <w:tc>
          <w:tcPr>
            <w:tcW w:w="482" w:type="pct"/>
            <w:tcBorders>
              <w:top w:val="single" w:sz="4" w:space="0" w:color="auto"/>
              <w:left w:val="single" w:sz="4" w:space="0" w:color="auto"/>
              <w:bottom w:val="single" w:sz="4" w:space="0" w:color="auto"/>
              <w:right w:val="single" w:sz="4" w:space="0" w:color="auto"/>
            </w:tcBorders>
          </w:tcPr>
          <w:p w14:paraId="601A440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AB170F9"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44800E3"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956C4AE"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0C4143D"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1D493783"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1CE35DC8" w14:textId="77777777" w:rsidR="003A71DE" w:rsidRPr="00EA3B97" w:rsidRDefault="003A71DE" w:rsidP="00D84FA9">
            <w:pPr>
              <w:pStyle w:val="TAC"/>
              <w:rPr>
                <w:rFonts w:eastAsiaTheme="minorEastAsia"/>
              </w:rPr>
            </w:pPr>
          </w:p>
        </w:tc>
      </w:tr>
      <w:tr w:rsidR="003A71DE" w:rsidRPr="00EA3B97" w14:paraId="2A7A79DF"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hideMark/>
          </w:tcPr>
          <w:p w14:paraId="3C6FA937" w14:textId="77777777" w:rsidR="003A71DE" w:rsidRPr="00EA3B97" w:rsidRDefault="003A71DE" w:rsidP="00D84FA9">
            <w:pPr>
              <w:pStyle w:val="TAL"/>
              <w:rPr>
                <w:rFonts w:eastAsiaTheme="minorEastAsia"/>
              </w:rPr>
            </w:pPr>
            <w:r w:rsidRPr="00EA3B97">
              <w:rPr>
                <w:rFonts w:eastAsiaTheme="minorEastAsia"/>
              </w:rPr>
              <w:t xml:space="preserve">For slots with </w:t>
            </w:r>
            <w:r w:rsidRPr="00EA3B97">
              <w:rPr>
                <w:rFonts w:eastAsiaTheme="minorEastAsia"/>
                <w:szCs w:val="16"/>
              </w:rPr>
              <w:t>RMSI</w:t>
            </w:r>
            <w:r w:rsidRPr="00EA3B97">
              <w:rPr>
                <w:rFonts w:eastAsiaTheme="minorEastAsia"/>
                <w:vertAlign w:val="superscript"/>
              </w:rPr>
              <w:t xml:space="preserve"> Note 2, Note 4</w:t>
            </w:r>
          </w:p>
        </w:tc>
        <w:tc>
          <w:tcPr>
            <w:tcW w:w="376" w:type="pct"/>
            <w:tcBorders>
              <w:top w:val="single" w:sz="4" w:space="0" w:color="auto"/>
              <w:left w:val="single" w:sz="4" w:space="0" w:color="auto"/>
              <w:bottom w:val="single" w:sz="4" w:space="0" w:color="auto"/>
              <w:right w:val="single" w:sz="4" w:space="0" w:color="auto"/>
            </w:tcBorders>
            <w:hideMark/>
          </w:tcPr>
          <w:p w14:paraId="22BB690A" w14:textId="77777777" w:rsidR="003A71DE" w:rsidRPr="00EA3B97" w:rsidRDefault="003A71DE" w:rsidP="00D84FA9">
            <w:pPr>
              <w:pStyle w:val="TAC"/>
              <w:rPr>
                <w:rFonts w:eastAsiaTheme="minorEastAsia"/>
              </w:rPr>
            </w:pPr>
            <w:r w:rsidRPr="00EA3B97">
              <w:rPr>
                <w:rFonts w:eastAsiaTheme="minorEastAsia"/>
              </w:rPr>
              <w:t>bits</w:t>
            </w:r>
          </w:p>
        </w:tc>
        <w:tc>
          <w:tcPr>
            <w:tcW w:w="482" w:type="pct"/>
            <w:tcBorders>
              <w:top w:val="single" w:sz="4" w:space="0" w:color="auto"/>
              <w:left w:val="single" w:sz="4" w:space="0" w:color="auto"/>
              <w:bottom w:val="single" w:sz="4" w:space="0" w:color="auto"/>
              <w:right w:val="single" w:sz="4" w:space="0" w:color="auto"/>
            </w:tcBorders>
            <w:hideMark/>
          </w:tcPr>
          <w:p w14:paraId="0AB9781B" w14:textId="77777777" w:rsidR="003A71DE" w:rsidRPr="00EA3B97" w:rsidRDefault="003A71DE" w:rsidP="00D84FA9">
            <w:pPr>
              <w:pStyle w:val="TAC"/>
              <w:rPr>
                <w:rFonts w:eastAsiaTheme="minorEastAsia"/>
              </w:rPr>
            </w:pPr>
            <w:r w:rsidRPr="00EA3B97">
              <w:rPr>
                <w:rFonts w:eastAsiaTheme="minorEastAsia"/>
                <w:lang w:eastAsia="zh-CN"/>
              </w:rPr>
              <w:t>5184</w:t>
            </w:r>
          </w:p>
        </w:tc>
        <w:tc>
          <w:tcPr>
            <w:tcW w:w="483" w:type="pct"/>
            <w:tcBorders>
              <w:top w:val="single" w:sz="4" w:space="0" w:color="auto"/>
              <w:left w:val="single" w:sz="4" w:space="0" w:color="auto"/>
              <w:bottom w:val="single" w:sz="4" w:space="0" w:color="auto"/>
              <w:right w:val="single" w:sz="4" w:space="0" w:color="auto"/>
            </w:tcBorders>
          </w:tcPr>
          <w:p w14:paraId="084164A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FBE062C"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7FF9ABA"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33DFBC1F"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2940AFFA"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31ABE4EF" w14:textId="77777777" w:rsidR="003A71DE" w:rsidRPr="00EA3B97" w:rsidRDefault="003A71DE" w:rsidP="00D84FA9">
            <w:pPr>
              <w:pStyle w:val="TAC"/>
              <w:rPr>
                <w:rFonts w:eastAsiaTheme="minorEastAsia"/>
              </w:rPr>
            </w:pPr>
          </w:p>
        </w:tc>
      </w:tr>
      <w:tr w:rsidR="003A71DE" w:rsidRPr="00EA3B97" w14:paraId="7D393C0A" w14:textId="77777777" w:rsidTr="003A71DE">
        <w:trPr>
          <w:jc w:val="center"/>
        </w:trPr>
        <w:tc>
          <w:tcPr>
            <w:tcW w:w="1248" w:type="pct"/>
            <w:tcBorders>
              <w:top w:val="single" w:sz="4" w:space="0" w:color="auto"/>
              <w:left w:val="single" w:sz="4" w:space="0" w:color="auto"/>
              <w:bottom w:val="single" w:sz="4" w:space="0" w:color="auto"/>
              <w:right w:val="single" w:sz="4" w:space="0" w:color="auto"/>
            </w:tcBorders>
          </w:tcPr>
          <w:p w14:paraId="37A219B5" w14:textId="77777777" w:rsidR="003A71DE" w:rsidRPr="00EA3B97" w:rsidRDefault="003A71DE" w:rsidP="00D84FA9">
            <w:pPr>
              <w:pStyle w:val="TAL"/>
              <w:rPr>
                <w:rFonts w:eastAsiaTheme="minorEastAsia"/>
              </w:rPr>
            </w:pPr>
            <w:r w:rsidRPr="00EA3B97">
              <w:rPr>
                <w:rFonts w:eastAsiaTheme="minorEastAsia"/>
              </w:rPr>
              <w:t xml:space="preserve">  For slots without </w:t>
            </w:r>
            <w:r w:rsidRPr="00EA3B97">
              <w:rPr>
                <w:rFonts w:eastAsiaTheme="minorEastAsia"/>
                <w:szCs w:val="16"/>
              </w:rPr>
              <w:t>RMSI</w:t>
            </w:r>
            <w:r w:rsidRPr="00EA3B97">
              <w:rPr>
                <w:rFonts w:eastAsiaTheme="minorEastAsia"/>
                <w:szCs w:val="16"/>
                <w:vertAlign w:val="superscript"/>
              </w:rPr>
              <w:t xml:space="preserve"> Note 6</w:t>
            </w:r>
          </w:p>
        </w:tc>
        <w:tc>
          <w:tcPr>
            <w:tcW w:w="376" w:type="pct"/>
            <w:tcBorders>
              <w:top w:val="single" w:sz="4" w:space="0" w:color="auto"/>
              <w:left w:val="single" w:sz="4" w:space="0" w:color="auto"/>
              <w:bottom w:val="single" w:sz="4" w:space="0" w:color="auto"/>
              <w:right w:val="single" w:sz="4" w:space="0" w:color="auto"/>
            </w:tcBorders>
          </w:tcPr>
          <w:p w14:paraId="60C10959" w14:textId="77777777" w:rsidR="003A71DE" w:rsidRPr="00EA3B97" w:rsidRDefault="003A71DE" w:rsidP="00D84FA9">
            <w:pPr>
              <w:pStyle w:val="TAC"/>
              <w:rPr>
                <w:rFonts w:eastAsiaTheme="minorEastAsia"/>
              </w:rPr>
            </w:pPr>
            <w:r w:rsidRPr="00EA3B97">
              <w:rPr>
                <w:rFonts w:eastAsiaTheme="minorEastAsia"/>
              </w:rPr>
              <w:t>bits</w:t>
            </w:r>
          </w:p>
        </w:tc>
        <w:tc>
          <w:tcPr>
            <w:tcW w:w="482" w:type="pct"/>
            <w:tcBorders>
              <w:top w:val="single" w:sz="4" w:space="0" w:color="auto"/>
              <w:left w:val="single" w:sz="4" w:space="0" w:color="auto"/>
              <w:bottom w:val="single" w:sz="4" w:space="0" w:color="auto"/>
              <w:right w:val="single" w:sz="4" w:space="0" w:color="auto"/>
            </w:tcBorders>
          </w:tcPr>
          <w:p w14:paraId="689077F1" w14:textId="77777777" w:rsidR="003A71DE" w:rsidRPr="00EA3B97" w:rsidRDefault="003A71DE" w:rsidP="00D84FA9">
            <w:pPr>
              <w:pStyle w:val="TAC"/>
              <w:rPr>
                <w:rFonts w:eastAsiaTheme="minorEastAsia"/>
                <w:lang w:eastAsia="zh-CN"/>
              </w:rPr>
            </w:pPr>
            <w:r w:rsidRPr="00EA3B97">
              <w:rPr>
                <w:rFonts w:eastAsiaTheme="minorEastAsia"/>
                <w:lang w:eastAsia="zh-CN"/>
              </w:rPr>
              <w:t>6048</w:t>
            </w:r>
          </w:p>
        </w:tc>
        <w:tc>
          <w:tcPr>
            <w:tcW w:w="483" w:type="pct"/>
            <w:tcBorders>
              <w:top w:val="single" w:sz="4" w:space="0" w:color="auto"/>
              <w:left w:val="single" w:sz="4" w:space="0" w:color="auto"/>
              <w:bottom w:val="single" w:sz="4" w:space="0" w:color="auto"/>
              <w:right w:val="single" w:sz="4" w:space="0" w:color="auto"/>
            </w:tcBorders>
          </w:tcPr>
          <w:p w14:paraId="095645E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4DC35660"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59D57CF6"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6E27CC45" w14:textId="77777777" w:rsidR="003A71DE" w:rsidRPr="00EA3B97" w:rsidRDefault="003A71DE" w:rsidP="00D84FA9">
            <w:pPr>
              <w:pStyle w:val="TAC"/>
              <w:rPr>
                <w:rFonts w:eastAsiaTheme="minorEastAsia"/>
              </w:rPr>
            </w:pPr>
          </w:p>
        </w:tc>
        <w:tc>
          <w:tcPr>
            <w:tcW w:w="483" w:type="pct"/>
            <w:tcBorders>
              <w:top w:val="single" w:sz="4" w:space="0" w:color="auto"/>
              <w:left w:val="single" w:sz="4" w:space="0" w:color="auto"/>
              <w:bottom w:val="single" w:sz="4" w:space="0" w:color="auto"/>
              <w:right w:val="single" w:sz="4" w:space="0" w:color="auto"/>
            </w:tcBorders>
          </w:tcPr>
          <w:p w14:paraId="07D46A48" w14:textId="77777777" w:rsidR="003A71DE" w:rsidRPr="00EA3B97" w:rsidRDefault="003A71DE" w:rsidP="00D84FA9">
            <w:pPr>
              <w:pStyle w:val="TAC"/>
              <w:rPr>
                <w:rFonts w:eastAsiaTheme="minorEastAsia"/>
              </w:rPr>
            </w:pPr>
          </w:p>
        </w:tc>
        <w:tc>
          <w:tcPr>
            <w:tcW w:w="480" w:type="pct"/>
            <w:tcBorders>
              <w:top w:val="single" w:sz="4" w:space="0" w:color="auto"/>
              <w:left w:val="single" w:sz="4" w:space="0" w:color="auto"/>
              <w:bottom w:val="single" w:sz="4" w:space="0" w:color="auto"/>
              <w:right w:val="single" w:sz="4" w:space="0" w:color="auto"/>
            </w:tcBorders>
          </w:tcPr>
          <w:p w14:paraId="7AFDFF54" w14:textId="77777777" w:rsidR="003A71DE" w:rsidRPr="00EA3B97" w:rsidRDefault="003A71DE" w:rsidP="00D84FA9">
            <w:pPr>
              <w:pStyle w:val="TAC"/>
              <w:rPr>
                <w:rFonts w:eastAsiaTheme="minorEastAsia"/>
              </w:rPr>
            </w:pPr>
          </w:p>
        </w:tc>
      </w:tr>
      <w:tr w:rsidR="003A71DE" w:rsidRPr="00EA3B97" w14:paraId="6030AF17"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hideMark/>
          </w:tcPr>
          <w:p w14:paraId="17C135A9" w14:textId="77777777" w:rsidR="003A71DE" w:rsidRPr="00EA3B97" w:rsidRDefault="003A71DE" w:rsidP="00D84FA9">
            <w:pPr>
              <w:pStyle w:val="TAN"/>
              <w:rPr>
                <w:rFonts w:eastAsiaTheme="minorEastAsia"/>
                <w:lang w:eastAsia="zh-CN"/>
              </w:rPr>
            </w:pPr>
            <w:r w:rsidRPr="00EA3B97">
              <w:rPr>
                <w:rFonts w:eastAsiaTheme="minorEastAsia"/>
              </w:rPr>
              <w:t>Note 1:</w:t>
            </w:r>
            <w:r w:rsidRPr="00EA3B97">
              <w:rPr>
                <w:rFonts w:eastAsiaTheme="minorEastAsia"/>
              </w:rPr>
              <w:tab/>
              <w:t>Allocated outside the SMTC duration in time and in resource blocks which do not overlap with the resource blocks allocated for SS/PBCH block</w:t>
            </w:r>
          </w:p>
          <w:p w14:paraId="6A3448C4" w14:textId="77777777" w:rsidR="003A71DE" w:rsidRPr="00EA3B97" w:rsidRDefault="003A71DE" w:rsidP="00D84FA9">
            <w:pPr>
              <w:pStyle w:val="TAN"/>
              <w:rPr>
                <w:rFonts w:eastAsiaTheme="minorEastAsia"/>
              </w:rPr>
            </w:pPr>
            <w:r w:rsidRPr="00EA3B97">
              <w:rPr>
                <w:rFonts w:eastAsiaTheme="minorEastAsia"/>
              </w:rPr>
              <w:t>Note 2:</w:t>
            </w:r>
            <w:r w:rsidRPr="00EA3B97">
              <w:rPr>
                <w:rFonts w:eastAsiaTheme="minorEastAsia"/>
              </w:rPr>
              <w:tab/>
              <w:t>PDSCH is scheduled on the slots with RMSI.</w:t>
            </w:r>
          </w:p>
          <w:p w14:paraId="72D88621" w14:textId="77777777" w:rsidR="003A71DE" w:rsidRPr="00EA3B97" w:rsidRDefault="003A71DE" w:rsidP="00D84FA9">
            <w:pPr>
              <w:pStyle w:val="TAN"/>
              <w:rPr>
                <w:rFonts w:eastAsiaTheme="minorEastAsia"/>
              </w:rPr>
            </w:pPr>
            <w:r w:rsidRPr="00EA3B97">
              <w:rPr>
                <w:rFonts w:eastAsiaTheme="minorEastAsia"/>
              </w:rPr>
              <w:t>Note 3:</w:t>
            </w:r>
            <w:r w:rsidRPr="00EA3B97">
              <w:rPr>
                <w:rFonts w:eastAsiaTheme="minorEastAsia"/>
              </w:rPr>
              <w:tab/>
              <w:t>If necessary the information bit payload size can be adjusted to facilitate the test implementation. The payload sizes are defined in TS 38.213 [3].</w:t>
            </w:r>
          </w:p>
          <w:p w14:paraId="779E94A6" w14:textId="77777777" w:rsidR="003A71DE" w:rsidRPr="00EA3B97" w:rsidRDefault="003A71DE" w:rsidP="00D84FA9">
            <w:pPr>
              <w:pStyle w:val="TAN"/>
              <w:rPr>
                <w:rFonts w:eastAsiaTheme="minorEastAsia"/>
              </w:rPr>
            </w:pPr>
            <w:r w:rsidRPr="00EA3B97">
              <w:rPr>
                <w:rFonts w:eastAsiaTheme="minorEastAsia"/>
              </w:rPr>
              <w:t>Note 4:</w:t>
            </w:r>
            <w:r w:rsidRPr="00EA3B97">
              <w:rPr>
                <w:rFonts w:eastAsiaTheme="minorEastAsia"/>
              </w:rPr>
              <w:tab/>
              <w:t>Derived based on the PDSCH DMRS assumption: dmrs-TypeA-Position=2, dmrs-Type=1, dmrs-AdditonalPositions=2, maxLength=1, Antenna port index: 1000, and Number of PDSCH DMRS CDM group(s) without data: 2.</w:t>
            </w:r>
          </w:p>
          <w:p w14:paraId="19B99D77" w14:textId="77777777" w:rsidR="003A71DE" w:rsidRPr="00EA3B97" w:rsidRDefault="003A71DE" w:rsidP="00D84FA9">
            <w:pPr>
              <w:pStyle w:val="TAN"/>
              <w:rPr>
                <w:rFonts w:eastAsiaTheme="minorEastAsia"/>
              </w:rPr>
            </w:pPr>
            <w:r w:rsidRPr="00EA3B97">
              <w:rPr>
                <w:rFonts w:eastAsiaTheme="minorEastAsia"/>
              </w:rPr>
              <w:t>Note 5:</w:t>
            </w:r>
            <w:r w:rsidRPr="00EA3B97">
              <w:rPr>
                <w:rFonts w:eastAsiaTheme="minorEastAsia"/>
              </w:rPr>
              <w:tab/>
              <w:t>PDSCH is not scheduled in slots containing SSB according to the SSB configuration used in the test. SSB configurations are defined in clause G.1.5.</w:t>
            </w:r>
          </w:p>
          <w:p w14:paraId="00DAAD22" w14:textId="77777777" w:rsidR="003A71DE" w:rsidRPr="00EA3B97" w:rsidRDefault="003A71DE" w:rsidP="00D84FA9">
            <w:pPr>
              <w:pStyle w:val="TAN"/>
              <w:rPr>
                <w:rFonts w:eastAsiaTheme="minorEastAsia"/>
              </w:rPr>
            </w:pPr>
            <w:r w:rsidRPr="00EA3B97">
              <w:rPr>
                <w:rFonts w:eastAsiaTheme="minorEastAsia"/>
              </w:rPr>
              <w:t>Note 6:</w:t>
            </w:r>
            <w:r w:rsidRPr="00EA3B97">
              <w:rPr>
                <w:rFonts w:eastAsiaTheme="minorEastAsia"/>
              </w:rPr>
              <w:tab/>
              <w:t>Derived based on the PDSCH DMRS assumption: dmrs-TypeA-Position=2, dmrs-Type=1, dmrs-AdditonalPositions=2, maxLength=1, Antenna port index: 1000, and Number of PDSCH DMRS CDM group(s) without data: 1.</w:t>
            </w:r>
          </w:p>
        </w:tc>
      </w:tr>
    </w:tbl>
    <w:p w14:paraId="46B9F8F9" w14:textId="77777777" w:rsidR="003A71DE" w:rsidRPr="00EA3B97" w:rsidRDefault="003A71DE" w:rsidP="003A71DE">
      <w:pPr>
        <w:rPr>
          <w:rFonts w:eastAsia="MS Mincho"/>
          <w:snapToGrid w:val="0"/>
        </w:rPr>
      </w:pPr>
    </w:p>
    <w:p w14:paraId="679131CF" w14:textId="77777777" w:rsidR="003A71DE" w:rsidRPr="00EA3B97" w:rsidRDefault="003A71DE" w:rsidP="00A153AF">
      <w:pPr>
        <w:pStyle w:val="Heading4"/>
        <w:rPr>
          <w:rFonts w:eastAsiaTheme="minorEastAsia"/>
          <w:snapToGrid w:val="0"/>
          <w:lang w:eastAsia="zh-CN"/>
        </w:rPr>
      </w:pPr>
      <w:bookmarkStart w:id="9702" w:name="_Toc74583613"/>
      <w:bookmarkStart w:id="9703" w:name="_Toc76542426"/>
      <w:bookmarkStart w:id="9704" w:name="_Toc82450408"/>
      <w:bookmarkStart w:id="9705" w:name="_Toc82451056"/>
      <w:bookmarkStart w:id="9706" w:name="_Toc89949445"/>
      <w:bookmarkStart w:id="9707" w:name="_Toc98755834"/>
      <w:bookmarkStart w:id="9708" w:name="_Toc98763426"/>
      <w:bookmarkStart w:id="9709" w:name="_Toc106184355"/>
      <w:r w:rsidRPr="00EA3B97">
        <w:rPr>
          <w:rFonts w:eastAsiaTheme="minorEastAsia"/>
          <w:snapToGrid w:val="0"/>
        </w:rPr>
        <w:lastRenderedPageBreak/>
        <w:t>G.1.1.2</w:t>
      </w:r>
      <w:r w:rsidRPr="00EA3B97">
        <w:rPr>
          <w:rFonts w:eastAsiaTheme="minorEastAsia"/>
          <w:snapToGrid w:val="0"/>
        </w:rPr>
        <w:tab/>
        <w:t>CORESET</w:t>
      </w:r>
      <w:r w:rsidRPr="00EA3B97">
        <w:rPr>
          <w:rFonts w:eastAsiaTheme="minorEastAsia"/>
          <w:snapToGrid w:val="0"/>
          <w:lang w:eastAsia="zh-CN"/>
        </w:rPr>
        <w:t xml:space="preserve"> for RMSI scheduling</w:t>
      </w:r>
      <w:bookmarkEnd w:id="9702"/>
      <w:bookmarkEnd w:id="9703"/>
      <w:bookmarkEnd w:id="9704"/>
      <w:bookmarkEnd w:id="9705"/>
      <w:bookmarkEnd w:id="9706"/>
      <w:bookmarkEnd w:id="9707"/>
      <w:bookmarkEnd w:id="9708"/>
      <w:bookmarkEnd w:id="9709"/>
    </w:p>
    <w:p w14:paraId="4830CBBC" w14:textId="77777777" w:rsidR="003A71DE" w:rsidRPr="00EA3B97" w:rsidRDefault="003A71DE" w:rsidP="00A153AF">
      <w:pPr>
        <w:pStyle w:val="Heading5"/>
        <w:rPr>
          <w:rFonts w:eastAsiaTheme="minorEastAsia"/>
          <w:snapToGrid w:val="0"/>
        </w:rPr>
      </w:pPr>
      <w:bookmarkStart w:id="9710" w:name="_Toc74583614"/>
      <w:bookmarkStart w:id="9711" w:name="_Toc76542427"/>
      <w:bookmarkStart w:id="9712" w:name="_Toc82450409"/>
      <w:bookmarkStart w:id="9713" w:name="_Toc82451057"/>
      <w:bookmarkStart w:id="9714" w:name="_Toc89949446"/>
      <w:bookmarkStart w:id="9715" w:name="_Toc98755835"/>
      <w:bookmarkStart w:id="9716" w:name="_Toc98763427"/>
      <w:bookmarkStart w:id="9717" w:name="_Toc106184356"/>
      <w:r w:rsidRPr="00EA3B97">
        <w:rPr>
          <w:rFonts w:eastAsiaTheme="minorEastAsia"/>
          <w:snapToGrid w:val="0"/>
        </w:rPr>
        <w:t>G.1.1.2.1</w:t>
      </w:r>
      <w:r w:rsidRPr="00EA3B97">
        <w:rPr>
          <w:rFonts w:eastAsiaTheme="minorEastAsia"/>
          <w:snapToGrid w:val="0"/>
        </w:rPr>
        <w:tab/>
        <w:t>TDD</w:t>
      </w:r>
      <w:bookmarkEnd w:id="9710"/>
      <w:bookmarkEnd w:id="9711"/>
      <w:bookmarkEnd w:id="9712"/>
      <w:bookmarkEnd w:id="9713"/>
      <w:bookmarkEnd w:id="9714"/>
      <w:bookmarkEnd w:id="9715"/>
      <w:bookmarkEnd w:id="9716"/>
      <w:bookmarkEnd w:id="9717"/>
    </w:p>
    <w:p w14:paraId="1304B69A" w14:textId="77777777" w:rsidR="003A71DE" w:rsidRPr="00EA3B97" w:rsidRDefault="003A71DE" w:rsidP="006578B5">
      <w:pPr>
        <w:pStyle w:val="TH"/>
        <w:rPr>
          <w:rFonts w:eastAsiaTheme="minorEastAsia"/>
        </w:rPr>
      </w:pPr>
      <w:r w:rsidRPr="00EA3B97">
        <w:rPr>
          <w:rFonts w:eastAsiaTheme="minorEastAsia"/>
        </w:rPr>
        <w:t>Table G.1.1.2.</w:t>
      </w:r>
      <w:r>
        <w:rPr>
          <w:rFonts w:eastAsiaTheme="minorEastAsia"/>
        </w:rPr>
        <w:t>1</w:t>
      </w:r>
      <w:r w:rsidRPr="00EA3B97">
        <w:rPr>
          <w:rFonts w:eastAsiaTheme="minorEastAsia"/>
        </w:rPr>
        <w:t>-1: RMSI CORESET Reference Channel for TDD with SCS=15KHz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9"/>
        <w:gridCol w:w="904"/>
        <w:gridCol w:w="1110"/>
        <w:gridCol w:w="878"/>
        <w:gridCol w:w="878"/>
        <w:gridCol w:w="878"/>
        <w:gridCol w:w="878"/>
        <w:gridCol w:w="880"/>
        <w:gridCol w:w="876"/>
      </w:tblGrid>
      <w:tr w:rsidR="003A71DE" w:rsidRPr="00EA3B97" w14:paraId="0A871FD7"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36DDFA7A" w14:textId="77777777" w:rsidR="003A71DE" w:rsidRPr="00EA3B97" w:rsidRDefault="003A71DE" w:rsidP="007835E8">
            <w:pPr>
              <w:pStyle w:val="TAH"/>
              <w:rPr>
                <w:rFonts w:eastAsiaTheme="minorEastAsia"/>
              </w:rPr>
            </w:pPr>
            <w:r w:rsidRPr="00EA3B97">
              <w:rPr>
                <w:rFonts w:eastAsiaTheme="minorEastAsia"/>
              </w:rPr>
              <w:t>Parameter</w:t>
            </w:r>
          </w:p>
        </w:tc>
        <w:tc>
          <w:tcPr>
            <w:tcW w:w="469" w:type="pct"/>
            <w:tcBorders>
              <w:top w:val="single" w:sz="4" w:space="0" w:color="auto"/>
              <w:left w:val="single" w:sz="4" w:space="0" w:color="auto"/>
              <w:bottom w:val="single" w:sz="4" w:space="0" w:color="auto"/>
              <w:right w:val="single" w:sz="4" w:space="0" w:color="auto"/>
            </w:tcBorders>
            <w:hideMark/>
          </w:tcPr>
          <w:p w14:paraId="7CDEED90" w14:textId="77777777" w:rsidR="003A71DE" w:rsidRPr="00EA3B97" w:rsidRDefault="003A71DE" w:rsidP="007835E8">
            <w:pPr>
              <w:pStyle w:val="TAH"/>
              <w:rPr>
                <w:rFonts w:eastAsiaTheme="minorEastAsia"/>
              </w:rPr>
            </w:pPr>
            <w:r w:rsidRPr="00EA3B97">
              <w:rPr>
                <w:rFonts w:eastAsiaTheme="minorEastAsia"/>
              </w:rPr>
              <w:t>Unit</w:t>
            </w:r>
          </w:p>
        </w:tc>
        <w:tc>
          <w:tcPr>
            <w:tcW w:w="3312" w:type="pct"/>
            <w:gridSpan w:val="7"/>
            <w:tcBorders>
              <w:top w:val="single" w:sz="4" w:space="0" w:color="auto"/>
              <w:left w:val="single" w:sz="4" w:space="0" w:color="auto"/>
              <w:bottom w:val="single" w:sz="4" w:space="0" w:color="auto"/>
              <w:right w:val="single" w:sz="4" w:space="0" w:color="auto"/>
            </w:tcBorders>
            <w:hideMark/>
          </w:tcPr>
          <w:p w14:paraId="0F4CA5F3" w14:textId="77777777" w:rsidR="003A71DE" w:rsidRPr="00EA3B97" w:rsidRDefault="003A71DE" w:rsidP="007835E8">
            <w:pPr>
              <w:pStyle w:val="TAH"/>
              <w:rPr>
                <w:rFonts w:eastAsiaTheme="minorEastAsia"/>
              </w:rPr>
            </w:pPr>
            <w:r w:rsidRPr="00EA3B97">
              <w:rPr>
                <w:rFonts w:eastAsiaTheme="minorEastAsia"/>
              </w:rPr>
              <w:t>Value</w:t>
            </w:r>
          </w:p>
        </w:tc>
      </w:tr>
      <w:tr w:rsidR="003A71DE" w:rsidRPr="00EA3B97" w14:paraId="4F6C7D65"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CDD364C" w14:textId="77777777" w:rsidR="003A71DE" w:rsidRPr="00EA3B97" w:rsidRDefault="003A71DE" w:rsidP="007835E8">
            <w:pPr>
              <w:pStyle w:val="TAL"/>
              <w:rPr>
                <w:rFonts w:eastAsiaTheme="minorEastAsia"/>
              </w:rPr>
            </w:pPr>
            <w:r w:rsidRPr="00EA3B97">
              <w:rPr>
                <w:rFonts w:eastAsiaTheme="minorEastAsia"/>
              </w:rPr>
              <w:t>Reference channel</w:t>
            </w:r>
          </w:p>
        </w:tc>
        <w:tc>
          <w:tcPr>
            <w:tcW w:w="469" w:type="pct"/>
            <w:tcBorders>
              <w:top w:val="single" w:sz="4" w:space="0" w:color="auto"/>
              <w:left w:val="single" w:sz="4" w:space="0" w:color="auto"/>
              <w:bottom w:val="single" w:sz="4" w:space="0" w:color="auto"/>
              <w:right w:val="single" w:sz="4" w:space="0" w:color="auto"/>
            </w:tcBorders>
          </w:tcPr>
          <w:p w14:paraId="4D78EE7B"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3361BBAD" w14:textId="77777777" w:rsidR="003A71DE" w:rsidRPr="00EA3B97" w:rsidRDefault="003A71DE" w:rsidP="007835E8">
            <w:pPr>
              <w:pStyle w:val="TAC"/>
              <w:rPr>
                <w:rFonts w:eastAsiaTheme="minorEastAsia"/>
              </w:rPr>
            </w:pPr>
            <w:r w:rsidRPr="00EA3B97">
              <w:rPr>
                <w:rFonts w:eastAsiaTheme="minorEastAsia"/>
              </w:rPr>
              <w:t>CR.1.1 TDD</w:t>
            </w:r>
          </w:p>
        </w:tc>
        <w:tc>
          <w:tcPr>
            <w:tcW w:w="456" w:type="pct"/>
            <w:tcBorders>
              <w:top w:val="single" w:sz="4" w:space="0" w:color="auto"/>
              <w:left w:val="single" w:sz="4" w:space="0" w:color="auto"/>
              <w:bottom w:val="single" w:sz="4" w:space="0" w:color="auto"/>
              <w:right w:val="single" w:sz="4" w:space="0" w:color="auto"/>
            </w:tcBorders>
          </w:tcPr>
          <w:p w14:paraId="4769B14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CC25A3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70CBC8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EA8CC14"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CA9D09C"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9B4FD77" w14:textId="77777777" w:rsidR="003A71DE" w:rsidRPr="00EA3B97" w:rsidRDefault="003A71DE" w:rsidP="007835E8">
            <w:pPr>
              <w:pStyle w:val="TAC"/>
              <w:rPr>
                <w:rFonts w:eastAsiaTheme="minorEastAsia"/>
              </w:rPr>
            </w:pPr>
          </w:p>
        </w:tc>
      </w:tr>
      <w:tr w:rsidR="003A71DE" w:rsidRPr="00EA3B97" w14:paraId="29CEFA09"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0136A41" w14:textId="77777777" w:rsidR="003A71DE" w:rsidRPr="00EA3B97" w:rsidRDefault="003A71DE" w:rsidP="007835E8">
            <w:pPr>
              <w:pStyle w:val="TAL"/>
              <w:rPr>
                <w:rFonts w:eastAsiaTheme="minorEastAsia"/>
              </w:rPr>
            </w:pPr>
            <w:r w:rsidRPr="00EA3B97">
              <w:rPr>
                <w:rFonts w:eastAsiaTheme="minorEastAsia"/>
              </w:rPr>
              <w:t>Channel bandwidth</w:t>
            </w:r>
          </w:p>
        </w:tc>
        <w:tc>
          <w:tcPr>
            <w:tcW w:w="469" w:type="pct"/>
            <w:tcBorders>
              <w:top w:val="single" w:sz="4" w:space="0" w:color="auto"/>
              <w:left w:val="single" w:sz="4" w:space="0" w:color="auto"/>
              <w:bottom w:val="single" w:sz="4" w:space="0" w:color="auto"/>
              <w:right w:val="single" w:sz="4" w:space="0" w:color="auto"/>
            </w:tcBorders>
            <w:hideMark/>
          </w:tcPr>
          <w:p w14:paraId="53DFFBEE" w14:textId="77777777" w:rsidR="003A71DE" w:rsidRPr="00EA3B97" w:rsidRDefault="003A71DE" w:rsidP="007835E8">
            <w:pPr>
              <w:pStyle w:val="TAC"/>
              <w:rPr>
                <w:rFonts w:eastAsiaTheme="minorEastAsia"/>
              </w:rPr>
            </w:pPr>
            <w:r w:rsidRPr="00EA3B97">
              <w:rPr>
                <w:rFonts w:eastAsiaTheme="minorEastAsia"/>
              </w:rPr>
              <w:t>MHz</w:t>
            </w:r>
          </w:p>
        </w:tc>
        <w:tc>
          <w:tcPr>
            <w:tcW w:w="576" w:type="pct"/>
            <w:tcBorders>
              <w:top w:val="single" w:sz="4" w:space="0" w:color="auto"/>
              <w:left w:val="single" w:sz="4" w:space="0" w:color="auto"/>
              <w:bottom w:val="single" w:sz="4" w:space="0" w:color="auto"/>
              <w:right w:val="single" w:sz="4" w:space="0" w:color="auto"/>
            </w:tcBorders>
            <w:hideMark/>
          </w:tcPr>
          <w:p w14:paraId="52D0BBC4" w14:textId="77777777" w:rsidR="003A71DE" w:rsidRPr="00EA3B97" w:rsidRDefault="003A71DE" w:rsidP="007835E8">
            <w:pPr>
              <w:pStyle w:val="TAC"/>
              <w:rPr>
                <w:rFonts w:eastAsiaTheme="minorEastAsia"/>
              </w:rPr>
            </w:pPr>
            <w:r w:rsidRPr="00EA3B97">
              <w:rPr>
                <w:rFonts w:eastAsiaTheme="minorEastAsia"/>
              </w:rPr>
              <w:t>10</w:t>
            </w:r>
          </w:p>
        </w:tc>
        <w:tc>
          <w:tcPr>
            <w:tcW w:w="456" w:type="pct"/>
            <w:tcBorders>
              <w:top w:val="single" w:sz="4" w:space="0" w:color="auto"/>
              <w:left w:val="single" w:sz="4" w:space="0" w:color="auto"/>
              <w:bottom w:val="single" w:sz="4" w:space="0" w:color="auto"/>
              <w:right w:val="single" w:sz="4" w:space="0" w:color="auto"/>
            </w:tcBorders>
          </w:tcPr>
          <w:p w14:paraId="2CC0340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498EAF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97B4B0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9F9BC41"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CB807B8"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B0CEC38" w14:textId="77777777" w:rsidR="003A71DE" w:rsidRPr="00EA3B97" w:rsidRDefault="003A71DE" w:rsidP="007835E8">
            <w:pPr>
              <w:pStyle w:val="TAC"/>
              <w:rPr>
                <w:rFonts w:eastAsiaTheme="minorEastAsia"/>
              </w:rPr>
            </w:pPr>
          </w:p>
        </w:tc>
      </w:tr>
      <w:tr w:rsidR="003A71DE" w:rsidRPr="00EA3B97" w14:paraId="53D0234E"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045AEF02" w14:textId="77777777" w:rsidR="003A71DE" w:rsidRPr="00EA3B97" w:rsidRDefault="003A71DE" w:rsidP="007835E8">
            <w:pPr>
              <w:pStyle w:val="TAL"/>
              <w:rPr>
                <w:rFonts w:eastAsiaTheme="minorEastAsia"/>
                <w:lang w:eastAsia="zh-CN"/>
              </w:rPr>
            </w:pPr>
            <w:r w:rsidRPr="00EA3B97">
              <w:rPr>
                <w:rFonts w:eastAsiaTheme="minorEastAsia"/>
                <w:lang w:eastAsia="zh-CN"/>
              </w:rPr>
              <w:t>Subcarrier spacing</w:t>
            </w:r>
          </w:p>
        </w:tc>
        <w:tc>
          <w:tcPr>
            <w:tcW w:w="469" w:type="pct"/>
            <w:tcBorders>
              <w:top w:val="single" w:sz="4" w:space="0" w:color="auto"/>
              <w:left w:val="single" w:sz="4" w:space="0" w:color="auto"/>
              <w:bottom w:val="single" w:sz="4" w:space="0" w:color="auto"/>
              <w:right w:val="single" w:sz="4" w:space="0" w:color="auto"/>
            </w:tcBorders>
            <w:hideMark/>
          </w:tcPr>
          <w:p w14:paraId="2F8FDAFF" w14:textId="77777777" w:rsidR="003A71DE" w:rsidRPr="00EA3B97" w:rsidRDefault="003A71DE" w:rsidP="007835E8">
            <w:pPr>
              <w:pStyle w:val="TAC"/>
              <w:rPr>
                <w:rFonts w:eastAsiaTheme="minorEastAsia"/>
                <w:lang w:eastAsia="zh-CN"/>
              </w:rPr>
            </w:pPr>
            <w:r w:rsidRPr="00EA3B97">
              <w:rPr>
                <w:rFonts w:eastAsiaTheme="minorEastAsia"/>
                <w:lang w:eastAsia="zh-CN"/>
              </w:rPr>
              <w:t>kHz</w:t>
            </w:r>
          </w:p>
        </w:tc>
        <w:tc>
          <w:tcPr>
            <w:tcW w:w="576" w:type="pct"/>
            <w:tcBorders>
              <w:top w:val="single" w:sz="4" w:space="0" w:color="auto"/>
              <w:left w:val="single" w:sz="4" w:space="0" w:color="auto"/>
              <w:bottom w:val="single" w:sz="4" w:space="0" w:color="auto"/>
              <w:right w:val="single" w:sz="4" w:space="0" w:color="auto"/>
            </w:tcBorders>
            <w:hideMark/>
          </w:tcPr>
          <w:p w14:paraId="3CD1361D" w14:textId="77777777" w:rsidR="003A71DE" w:rsidRPr="00EA3B97" w:rsidRDefault="003A71DE" w:rsidP="007835E8">
            <w:pPr>
              <w:pStyle w:val="TAC"/>
              <w:rPr>
                <w:rFonts w:eastAsiaTheme="minorEastAsia"/>
                <w:lang w:eastAsia="zh-CN"/>
              </w:rPr>
            </w:pPr>
            <w:r w:rsidRPr="00EA3B97">
              <w:rPr>
                <w:rFonts w:eastAsiaTheme="minorEastAsia"/>
                <w:lang w:eastAsia="zh-CN"/>
              </w:rPr>
              <w:t>15</w:t>
            </w:r>
          </w:p>
        </w:tc>
        <w:tc>
          <w:tcPr>
            <w:tcW w:w="456" w:type="pct"/>
            <w:tcBorders>
              <w:top w:val="single" w:sz="4" w:space="0" w:color="auto"/>
              <w:left w:val="single" w:sz="4" w:space="0" w:color="auto"/>
              <w:bottom w:val="single" w:sz="4" w:space="0" w:color="auto"/>
              <w:right w:val="single" w:sz="4" w:space="0" w:color="auto"/>
            </w:tcBorders>
          </w:tcPr>
          <w:p w14:paraId="4115C95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BD990B3"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491268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F7FDA7E"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56EDD84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7D8E3690" w14:textId="77777777" w:rsidR="003A71DE" w:rsidRPr="00EA3B97" w:rsidRDefault="003A71DE" w:rsidP="007835E8">
            <w:pPr>
              <w:pStyle w:val="TAC"/>
              <w:rPr>
                <w:rFonts w:eastAsiaTheme="minorEastAsia"/>
              </w:rPr>
            </w:pPr>
          </w:p>
        </w:tc>
      </w:tr>
      <w:tr w:rsidR="003A71DE" w:rsidRPr="00EA3B97" w14:paraId="2C4742D4"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2E73DE0" w14:textId="77777777" w:rsidR="003A71DE" w:rsidRPr="00EA3B97" w:rsidRDefault="003A71DE" w:rsidP="007835E8">
            <w:pPr>
              <w:pStyle w:val="TAL"/>
              <w:rPr>
                <w:rFonts w:eastAsiaTheme="minorEastAsia"/>
                <w:lang w:eastAsia="zh-CN"/>
              </w:rPr>
            </w:pPr>
            <w:r w:rsidRPr="00EA3B97">
              <w:rPr>
                <w:rFonts w:eastAsiaTheme="minorEastAsia"/>
                <w:lang w:eastAsia="zh-CN"/>
              </w:rPr>
              <w:t xml:space="preserve">Allocated </w:t>
            </w:r>
            <w:r w:rsidRPr="00EA3B97">
              <w:rPr>
                <w:rFonts w:eastAsiaTheme="minorEastAsia"/>
              </w:rPr>
              <w:t xml:space="preserve">resource blocks </w:t>
            </w:r>
            <w:r w:rsidRPr="00EA3B97">
              <w:rPr>
                <w:rFonts w:eastAsiaTheme="minorEastAsia"/>
                <w:lang w:eastAsia="zh-CN"/>
              </w:rPr>
              <w:t>for RMSI CORESET</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tcPr>
          <w:p w14:paraId="2C3DB2B6"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55FDBF2A"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456" w:type="pct"/>
            <w:tcBorders>
              <w:top w:val="single" w:sz="4" w:space="0" w:color="auto"/>
              <w:left w:val="single" w:sz="4" w:space="0" w:color="auto"/>
              <w:bottom w:val="single" w:sz="4" w:space="0" w:color="auto"/>
              <w:right w:val="single" w:sz="4" w:space="0" w:color="auto"/>
            </w:tcBorders>
          </w:tcPr>
          <w:p w14:paraId="029BA04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7616EF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FEB783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76EB495"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D12AE98"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70C0B75C" w14:textId="77777777" w:rsidR="003A71DE" w:rsidRPr="00EA3B97" w:rsidRDefault="003A71DE" w:rsidP="007835E8">
            <w:pPr>
              <w:pStyle w:val="TAC"/>
              <w:rPr>
                <w:rFonts w:eastAsiaTheme="minorEastAsia"/>
              </w:rPr>
            </w:pPr>
          </w:p>
        </w:tc>
      </w:tr>
      <w:tr w:rsidR="003A71DE" w:rsidRPr="00EA3B97" w14:paraId="420DC4CA"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44DB82FA" w14:textId="77777777" w:rsidR="003A71DE" w:rsidRPr="00EA3B97" w:rsidRDefault="003A71DE" w:rsidP="007835E8">
            <w:pPr>
              <w:pStyle w:val="TAL"/>
              <w:rPr>
                <w:rFonts w:eastAsiaTheme="minorEastAsia"/>
                <w:lang w:eastAsia="zh-CN"/>
              </w:rPr>
            </w:pPr>
          </w:p>
        </w:tc>
        <w:tc>
          <w:tcPr>
            <w:tcW w:w="469" w:type="pct"/>
            <w:tcBorders>
              <w:top w:val="single" w:sz="4" w:space="0" w:color="auto"/>
              <w:left w:val="single" w:sz="4" w:space="0" w:color="auto"/>
              <w:bottom w:val="single" w:sz="4" w:space="0" w:color="auto"/>
              <w:right w:val="single" w:sz="4" w:space="0" w:color="auto"/>
            </w:tcBorders>
          </w:tcPr>
          <w:p w14:paraId="343C80FF"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102D77C1"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3B57D4A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3868EBF"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C1EFB1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B92B888"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6BE0ED4"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44B9130" w14:textId="77777777" w:rsidR="003A71DE" w:rsidRPr="00EA3B97" w:rsidRDefault="003A71DE" w:rsidP="007835E8">
            <w:pPr>
              <w:pStyle w:val="TAC"/>
              <w:rPr>
                <w:rFonts w:eastAsiaTheme="minorEastAsia"/>
              </w:rPr>
            </w:pPr>
          </w:p>
        </w:tc>
      </w:tr>
      <w:tr w:rsidR="003A71DE" w:rsidRPr="00EA3B97" w14:paraId="37DC14BA"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254357DF" w14:textId="77777777" w:rsidR="003A71DE" w:rsidRPr="00EA3B97" w:rsidRDefault="003A71DE" w:rsidP="007835E8">
            <w:pPr>
              <w:pStyle w:val="TAL"/>
              <w:rPr>
                <w:rFonts w:eastAsiaTheme="minorEastAsia"/>
                <w:lang w:eastAsia="zh-CN"/>
              </w:rPr>
            </w:pPr>
            <w:r w:rsidRPr="00EA3B97">
              <w:rPr>
                <w:rFonts w:eastAsiaTheme="minorEastAsia"/>
                <w:lang w:eastAsia="zh-CN"/>
              </w:rPr>
              <w:t>SSB and RMSI CORESET multiplexing configuration</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tcPr>
          <w:p w14:paraId="238EBB5D"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35B69EDA" w14:textId="77777777" w:rsidR="003A71DE" w:rsidRPr="00EA3B97" w:rsidRDefault="003A71DE" w:rsidP="007835E8">
            <w:pPr>
              <w:pStyle w:val="TAC"/>
              <w:rPr>
                <w:rFonts w:eastAsiaTheme="minorEastAsia"/>
                <w:lang w:eastAsia="zh-CN"/>
              </w:rPr>
            </w:pPr>
            <w:r w:rsidRPr="00EA3B97">
              <w:rPr>
                <w:rFonts w:eastAsiaTheme="minorEastAsia"/>
                <w:lang w:eastAsia="zh-CN"/>
              </w:rPr>
              <w:t>Pattern 1</w:t>
            </w:r>
          </w:p>
        </w:tc>
        <w:tc>
          <w:tcPr>
            <w:tcW w:w="456" w:type="pct"/>
            <w:tcBorders>
              <w:top w:val="single" w:sz="4" w:space="0" w:color="auto"/>
              <w:left w:val="single" w:sz="4" w:space="0" w:color="auto"/>
              <w:bottom w:val="single" w:sz="4" w:space="0" w:color="auto"/>
              <w:right w:val="single" w:sz="4" w:space="0" w:color="auto"/>
            </w:tcBorders>
          </w:tcPr>
          <w:p w14:paraId="39F8D04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95B581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05010F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AA80263"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A707951"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7EADAE3" w14:textId="77777777" w:rsidR="003A71DE" w:rsidRPr="00EA3B97" w:rsidRDefault="003A71DE" w:rsidP="007835E8">
            <w:pPr>
              <w:pStyle w:val="TAC"/>
              <w:rPr>
                <w:rFonts w:eastAsiaTheme="minorEastAsia"/>
              </w:rPr>
            </w:pPr>
          </w:p>
        </w:tc>
      </w:tr>
      <w:tr w:rsidR="003A71DE" w:rsidRPr="00EA3B97" w14:paraId="10CBF23C"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113EA61" w14:textId="77777777" w:rsidR="003A71DE" w:rsidRPr="00EA3B97" w:rsidRDefault="003A71DE" w:rsidP="007835E8">
            <w:pPr>
              <w:pStyle w:val="TAL"/>
              <w:rPr>
                <w:rFonts w:eastAsiaTheme="minorEastAsia"/>
                <w:lang w:eastAsia="zh-CN"/>
              </w:rPr>
            </w:pPr>
            <w:r w:rsidRPr="00EA3B97">
              <w:rPr>
                <w:rFonts w:eastAsiaTheme="minorEastAsia"/>
                <w:lang w:eastAsia="zh-CN"/>
              </w:rPr>
              <w:t>Offset between SSB and RMSI CORESET</w:t>
            </w:r>
            <w:r w:rsidRPr="00EA3B97">
              <w:rPr>
                <w:rFonts w:eastAsiaTheme="minorEastAsia"/>
                <w:vertAlign w:val="superscript"/>
              </w:rPr>
              <w:t xml:space="preserve"> Note 3, 7</w:t>
            </w:r>
          </w:p>
        </w:tc>
        <w:tc>
          <w:tcPr>
            <w:tcW w:w="469" w:type="pct"/>
            <w:tcBorders>
              <w:top w:val="single" w:sz="4" w:space="0" w:color="auto"/>
              <w:left w:val="single" w:sz="4" w:space="0" w:color="auto"/>
              <w:bottom w:val="single" w:sz="4" w:space="0" w:color="auto"/>
              <w:right w:val="single" w:sz="4" w:space="0" w:color="auto"/>
            </w:tcBorders>
            <w:hideMark/>
          </w:tcPr>
          <w:p w14:paraId="441357AA"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576" w:type="pct"/>
            <w:tcBorders>
              <w:top w:val="single" w:sz="4" w:space="0" w:color="auto"/>
              <w:left w:val="single" w:sz="4" w:space="0" w:color="auto"/>
              <w:bottom w:val="single" w:sz="4" w:space="0" w:color="auto"/>
              <w:right w:val="single" w:sz="4" w:space="0" w:color="auto"/>
            </w:tcBorders>
            <w:hideMark/>
          </w:tcPr>
          <w:p w14:paraId="3516F916" w14:textId="77777777" w:rsidR="003A71DE" w:rsidRPr="00EA3B97" w:rsidRDefault="003A71DE" w:rsidP="007835E8">
            <w:pPr>
              <w:pStyle w:val="TAC"/>
              <w:rPr>
                <w:rFonts w:eastAsiaTheme="minorEastAsia"/>
                <w:lang w:eastAsia="zh-CN"/>
              </w:rPr>
            </w:pPr>
            <w:r w:rsidRPr="00EA3B97">
              <w:rPr>
                <w:rFonts w:eastAsiaTheme="minorEastAsia"/>
                <w:lang w:eastAsia="zh-CN"/>
              </w:rPr>
              <w:t>0 (Note 8)</w:t>
            </w:r>
          </w:p>
        </w:tc>
        <w:tc>
          <w:tcPr>
            <w:tcW w:w="456" w:type="pct"/>
            <w:tcBorders>
              <w:top w:val="single" w:sz="4" w:space="0" w:color="auto"/>
              <w:left w:val="single" w:sz="4" w:space="0" w:color="auto"/>
              <w:bottom w:val="single" w:sz="4" w:space="0" w:color="auto"/>
              <w:right w:val="single" w:sz="4" w:space="0" w:color="auto"/>
            </w:tcBorders>
          </w:tcPr>
          <w:p w14:paraId="4D5EA32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2A5C0B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BDE48F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9A27044"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7B9CB9F"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DC59AAF" w14:textId="77777777" w:rsidR="003A71DE" w:rsidRPr="00EA3B97" w:rsidRDefault="003A71DE" w:rsidP="007835E8">
            <w:pPr>
              <w:pStyle w:val="TAC"/>
              <w:rPr>
                <w:rFonts w:eastAsiaTheme="minorEastAsia"/>
              </w:rPr>
            </w:pPr>
          </w:p>
        </w:tc>
      </w:tr>
      <w:tr w:rsidR="003A71DE" w:rsidRPr="00EA3B97" w14:paraId="79308CD1"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B18A649" w14:textId="77777777" w:rsidR="003A71DE" w:rsidRPr="00EA3B97" w:rsidRDefault="003A71DE" w:rsidP="007835E8">
            <w:pPr>
              <w:pStyle w:val="TAL"/>
              <w:rPr>
                <w:rFonts w:eastAsiaTheme="minorEastAsia"/>
                <w:lang w:eastAsia="zh-CN"/>
              </w:rPr>
            </w:pPr>
            <w:r w:rsidRPr="00EA3B97">
              <w:rPr>
                <w:rFonts w:eastAsiaTheme="minorEastAsia"/>
              </w:rPr>
              <w:t xml:space="preserve">Configuration of PDCCH monitoring occasions for </w:t>
            </w:r>
            <w:r w:rsidRPr="00EA3B97">
              <w:rPr>
                <w:rFonts w:eastAsiaTheme="minorEastAsia"/>
                <w:lang w:eastAsia="zh-CN"/>
              </w:rPr>
              <w:t>RMSI CORESET</w:t>
            </w:r>
            <w:r w:rsidRPr="00EA3B97">
              <w:rPr>
                <w:rFonts w:eastAsiaTheme="minorEastAsia"/>
                <w:vertAlign w:val="superscript"/>
              </w:rPr>
              <w:t xml:space="preserve"> Note 4</w:t>
            </w:r>
          </w:p>
        </w:tc>
        <w:tc>
          <w:tcPr>
            <w:tcW w:w="469" w:type="pct"/>
            <w:tcBorders>
              <w:top w:val="single" w:sz="4" w:space="0" w:color="auto"/>
              <w:left w:val="single" w:sz="4" w:space="0" w:color="auto"/>
              <w:bottom w:val="single" w:sz="4" w:space="0" w:color="auto"/>
              <w:right w:val="single" w:sz="4" w:space="0" w:color="auto"/>
            </w:tcBorders>
          </w:tcPr>
          <w:p w14:paraId="7BB02B16"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3071F2D7" w14:textId="77777777" w:rsidR="003A71DE" w:rsidRPr="00EA3B97" w:rsidRDefault="003A71DE" w:rsidP="007835E8">
            <w:pPr>
              <w:pStyle w:val="TAC"/>
              <w:rPr>
                <w:rFonts w:eastAsiaTheme="minorEastAsia"/>
                <w:lang w:eastAsia="zh-CN"/>
              </w:rPr>
            </w:pPr>
            <w:r w:rsidRPr="00EA3B97">
              <w:rPr>
                <w:rFonts w:eastAsiaTheme="minorEastAsia"/>
                <w:lang w:eastAsia="zh-CN"/>
              </w:rPr>
              <w:t>Index 4</w:t>
            </w:r>
          </w:p>
        </w:tc>
        <w:tc>
          <w:tcPr>
            <w:tcW w:w="456" w:type="pct"/>
            <w:tcBorders>
              <w:top w:val="single" w:sz="4" w:space="0" w:color="auto"/>
              <w:left w:val="single" w:sz="4" w:space="0" w:color="auto"/>
              <w:bottom w:val="single" w:sz="4" w:space="0" w:color="auto"/>
              <w:right w:val="single" w:sz="4" w:space="0" w:color="auto"/>
            </w:tcBorders>
          </w:tcPr>
          <w:p w14:paraId="1E7DE1B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E4931D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90A422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998905B"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CE6EA1F"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51B072CA" w14:textId="77777777" w:rsidR="003A71DE" w:rsidRPr="00EA3B97" w:rsidRDefault="003A71DE" w:rsidP="007835E8">
            <w:pPr>
              <w:pStyle w:val="TAC"/>
              <w:rPr>
                <w:rFonts w:eastAsiaTheme="minorEastAsia"/>
              </w:rPr>
            </w:pPr>
          </w:p>
        </w:tc>
      </w:tr>
      <w:tr w:rsidR="003A71DE" w:rsidRPr="00EA3B97" w14:paraId="5D28AA6A"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56971B2C" w14:textId="77777777" w:rsidR="003A71DE" w:rsidRPr="00EA3B97" w:rsidRDefault="003A71DE" w:rsidP="007835E8">
            <w:pPr>
              <w:pStyle w:val="TAL"/>
              <w:rPr>
                <w:rFonts w:eastAsiaTheme="minorEastAsia"/>
              </w:rPr>
            </w:pPr>
            <w:r w:rsidRPr="00EA3B97">
              <w:rPr>
                <w:rFonts w:eastAsiaTheme="minorEastAsia"/>
              </w:rPr>
              <w:t>Number of transmitter antennas</w:t>
            </w:r>
          </w:p>
        </w:tc>
        <w:tc>
          <w:tcPr>
            <w:tcW w:w="469" w:type="pct"/>
            <w:tcBorders>
              <w:top w:val="single" w:sz="4" w:space="0" w:color="auto"/>
              <w:left w:val="single" w:sz="4" w:space="0" w:color="auto"/>
              <w:bottom w:val="single" w:sz="4" w:space="0" w:color="auto"/>
              <w:right w:val="single" w:sz="4" w:space="0" w:color="auto"/>
            </w:tcBorders>
          </w:tcPr>
          <w:p w14:paraId="7DFA3A87"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03A43B31" w14:textId="77777777" w:rsidR="003A71DE" w:rsidRPr="00EA3B97" w:rsidRDefault="003A71DE" w:rsidP="007835E8">
            <w:pPr>
              <w:pStyle w:val="TAC"/>
              <w:rPr>
                <w:rFonts w:eastAsiaTheme="minorEastAsia"/>
              </w:rPr>
            </w:pPr>
            <w:r w:rsidRPr="00EA3B97">
              <w:rPr>
                <w:rFonts w:eastAsiaTheme="minorEastAsia"/>
              </w:rPr>
              <w:t>1</w:t>
            </w:r>
          </w:p>
        </w:tc>
        <w:tc>
          <w:tcPr>
            <w:tcW w:w="456" w:type="pct"/>
            <w:tcBorders>
              <w:top w:val="single" w:sz="4" w:space="0" w:color="auto"/>
              <w:left w:val="single" w:sz="4" w:space="0" w:color="auto"/>
              <w:bottom w:val="single" w:sz="4" w:space="0" w:color="auto"/>
              <w:right w:val="single" w:sz="4" w:space="0" w:color="auto"/>
            </w:tcBorders>
          </w:tcPr>
          <w:p w14:paraId="4E7F7AE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B99C66F"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55E48BF"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D19989C"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A006E9D"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0DA063FD" w14:textId="77777777" w:rsidR="003A71DE" w:rsidRPr="00EA3B97" w:rsidRDefault="003A71DE" w:rsidP="007835E8">
            <w:pPr>
              <w:pStyle w:val="TAC"/>
              <w:rPr>
                <w:rFonts w:eastAsiaTheme="minorEastAsia"/>
              </w:rPr>
            </w:pPr>
          </w:p>
        </w:tc>
      </w:tr>
      <w:tr w:rsidR="003A71DE" w:rsidRPr="00EA3B97" w14:paraId="46F2052C"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C1E859D" w14:textId="77777777" w:rsidR="003A71DE" w:rsidRPr="00EA3B97" w:rsidRDefault="003A71DE" w:rsidP="007835E8">
            <w:pPr>
              <w:pStyle w:val="TAL"/>
              <w:rPr>
                <w:rFonts w:eastAsiaTheme="minorEastAsia"/>
              </w:rPr>
            </w:pPr>
            <w:r w:rsidRPr="00EA3B97">
              <w:rPr>
                <w:rFonts w:eastAsiaTheme="minorEastAsia"/>
              </w:rPr>
              <w:t>Duration of RMSI CORESET</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hideMark/>
          </w:tcPr>
          <w:p w14:paraId="39F8C176" w14:textId="77777777" w:rsidR="003A71DE" w:rsidRPr="00EA3B97" w:rsidRDefault="003A71DE" w:rsidP="007835E8">
            <w:pPr>
              <w:pStyle w:val="TAC"/>
              <w:rPr>
                <w:rFonts w:eastAsiaTheme="minorEastAsia"/>
              </w:rPr>
            </w:pPr>
            <w:r w:rsidRPr="00EA3B97">
              <w:rPr>
                <w:rFonts w:eastAsiaTheme="minorEastAsia"/>
              </w:rPr>
              <w:t>symbols</w:t>
            </w:r>
          </w:p>
        </w:tc>
        <w:tc>
          <w:tcPr>
            <w:tcW w:w="576" w:type="pct"/>
            <w:tcBorders>
              <w:top w:val="single" w:sz="4" w:space="0" w:color="auto"/>
              <w:left w:val="single" w:sz="4" w:space="0" w:color="auto"/>
              <w:bottom w:val="single" w:sz="4" w:space="0" w:color="auto"/>
              <w:right w:val="single" w:sz="4" w:space="0" w:color="auto"/>
            </w:tcBorders>
            <w:hideMark/>
          </w:tcPr>
          <w:p w14:paraId="1722953A" w14:textId="77777777" w:rsidR="003A71DE" w:rsidRPr="00EA3B97" w:rsidRDefault="003A71DE" w:rsidP="007835E8">
            <w:pPr>
              <w:pStyle w:val="TAC"/>
              <w:rPr>
                <w:rFonts w:eastAsiaTheme="minorEastAsia"/>
              </w:rPr>
            </w:pPr>
            <w:r w:rsidRPr="00EA3B97">
              <w:rPr>
                <w:rFonts w:eastAsiaTheme="minorEastAsia"/>
              </w:rPr>
              <w:t>2</w:t>
            </w:r>
          </w:p>
        </w:tc>
        <w:tc>
          <w:tcPr>
            <w:tcW w:w="456" w:type="pct"/>
            <w:tcBorders>
              <w:top w:val="single" w:sz="4" w:space="0" w:color="auto"/>
              <w:left w:val="single" w:sz="4" w:space="0" w:color="auto"/>
              <w:bottom w:val="single" w:sz="4" w:space="0" w:color="auto"/>
              <w:right w:val="single" w:sz="4" w:space="0" w:color="auto"/>
            </w:tcBorders>
          </w:tcPr>
          <w:p w14:paraId="24C37EE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AE7490A"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5E9F38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B30554A"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844CA28"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20C24F1" w14:textId="77777777" w:rsidR="003A71DE" w:rsidRPr="00EA3B97" w:rsidRDefault="003A71DE" w:rsidP="007835E8">
            <w:pPr>
              <w:pStyle w:val="TAC"/>
              <w:rPr>
                <w:rFonts w:eastAsiaTheme="minorEastAsia"/>
              </w:rPr>
            </w:pPr>
          </w:p>
        </w:tc>
      </w:tr>
      <w:tr w:rsidR="003A71DE" w:rsidRPr="00EA3B97" w14:paraId="3ED517C6"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4DBD37BC" w14:textId="77777777" w:rsidR="003A71DE" w:rsidRPr="00EA3B97" w:rsidRDefault="003A71DE" w:rsidP="007835E8">
            <w:pPr>
              <w:pStyle w:val="TAL"/>
              <w:rPr>
                <w:rFonts w:eastAsiaTheme="minorEastAsia"/>
              </w:rPr>
            </w:pPr>
            <w:r w:rsidRPr="00EA3B97">
              <w:rPr>
                <w:rFonts w:eastAsiaTheme="minorEastAsia"/>
              </w:rPr>
              <w:t xml:space="preserve">DCI Format </w:t>
            </w:r>
            <w:r w:rsidRPr="00EA3B97">
              <w:rPr>
                <w:rFonts w:eastAsiaTheme="minorEastAsia"/>
                <w:vertAlign w:val="superscript"/>
              </w:rPr>
              <w:t>Note 1</w:t>
            </w:r>
          </w:p>
        </w:tc>
        <w:tc>
          <w:tcPr>
            <w:tcW w:w="469" w:type="pct"/>
            <w:tcBorders>
              <w:top w:val="single" w:sz="4" w:space="0" w:color="auto"/>
              <w:left w:val="single" w:sz="4" w:space="0" w:color="auto"/>
              <w:bottom w:val="single" w:sz="4" w:space="0" w:color="auto"/>
              <w:right w:val="single" w:sz="4" w:space="0" w:color="auto"/>
            </w:tcBorders>
          </w:tcPr>
          <w:p w14:paraId="6F0FFD76"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537B93B9" w14:textId="77777777" w:rsidR="003A71DE" w:rsidRPr="00EA3B97" w:rsidRDefault="003A71DE" w:rsidP="007835E8">
            <w:pPr>
              <w:pStyle w:val="TAC"/>
              <w:rPr>
                <w:rFonts w:eastAsiaTheme="minorEastAsia"/>
              </w:rPr>
            </w:pPr>
            <w:r w:rsidRPr="00EA3B97">
              <w:rPr>
                <w:rFonts w:eastAsiaTheme="minorEastAsia"/>
              </w:rPr>
              <w:t>Note 2</w:t>
            </w:r>
          </w:p>
        </w:tc>
        <w:tc>
          <w:tcPr>
            <w:tcW w:w="456" w:type="pct"/>
            <w:tcBorders>
              <w:top w:val="single" w:sz="4" w:space="0" w:color="auto"/>
              <w:left w:val="single" w:sz="4" w:space="0" w:color="auto"/>
              <w:bottom w:val="single" w:sz="4" w:space="0" w:color="auto"/>
              <w:right w:val="single" w:sz="4" w:space="0" w:color="auto"/>
            </w:tcBorders>
          </w:tcPr>
          <w:p w14:paraId="46DF03C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4A11F37"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437821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0863845"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8298455"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BC6A5D7" w14:textId="77777777" w:rsidR="003A71DE" w:rsidRPr="00EA3B97" w:rsidRDefault="003A71DE" w:rsidP="007835E8">
            <w:pPr>
              <w:pStyle w:val="TAC"/>
              <w:rPr>
                <w:rFonts w:eastAsiaTheme="minorEastAsia"/>
              </w:rPr>
            </w:pPr>
          </w:p>
        </w:tc>
      </w:tr>
      <w:tr w:rsidR="003A71DE" w:rsidRPr="00EA3B97" w14:paraId="47216A05"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0FFDEBB6" w14:textId="77777777" w:rsidR="003A71DE" w:rsidRPr="00EA3B97" w:rsidRDefault="003A71DE" w:rsidP="007835E8">
            <w:pPr>
              <w:pStyle w:val="TAL"/>
              <w:rPr>
                <w:rFonts w:eastAsiaTheme="minorEastAsia"/>
              </w:rPr>
            </w:pPr>
            <w:r w:rsidRPr="00EA3B97">
              <w:rPr>
                <w:rFonts w:eastAsiaTheme="minorEastAsia"/>
              </w:rPr>
              <w:t>Aggregation level</w:t>
            </w:r>
          </w:p>
        </w:tc>
        <w:tc>
          <w:tcPr>
            <w:tcW w:w="469" w:type="pct"/>
            <w:tcBorders>
              <w:top w:val="single" w:sz="4" w:space="0" w:color="auto"/>
              <w:left w:val="single" w:sz="4" w:space="0" w:color="auto"/>
              <w:bottom w:val="single" w:sz="4" w:space="0" w:color="auto"/>
              <w:right w:val="single" w:sz="4" w:space="0" w:color="auto"/>
            </w:tcBorders>
            <w:hideMark/>
          </w:tcPr>
          <w:p w14:paraId="1B48645C" w14:textId="77777777" w:rsidR="003A71DE" w:rsidRPr="00EA3B97" w:rsidRDefault="003A71DE" w:rsidP="007835E8">
            <w:pPr>
              <w:pStyle w:val="TAC"/>
              <w:rPr>
                <w:rFonts w:eastAsiaTheme="minorEastAsia"/>
              </w:rPr>
            </w:pPr>
            <w:r w:rsidRPr="00EA3B97">
              <w:rPr>
                <w:rFonts w:eastAsiaTheme="minorEastAsia"/>
              </w:rPr>
              <w:t>CCE</w:t>
            </w:r>
          </w:p>
        </w:tc>
        <w:tc>
          <w:tcPr>
            <w:tcW w:w="576" w:type="pct"/>
            <w:tcBorders>
              <w:top w:val="single" w:sz="4" w:space="0" w:color="auto"/>
              <w:left w:val="single" w:sz="4" w:space="0" w:color="auto"/>
              <w:bottom w:val="single" w:sz="4" w:space="0" w:color="auto"/>
              <w:right w:val="single" w:sz="4" w:space="0" w:color="auto"/>
            </w:tcBorders>
            <w:hideMark/>
          </w:tcPr>
          <w:p w14:paraId="433EDC96" w14:textId="77777777" w:rsidR="003A71DE" w:rsidRPr="00EA3B97" w:rsidRDefault="003A71DE" w:rsidP="007835E8">
            <w:pPr>
              <w:pStyle w:val="TAC"/>
              <w:rPr>
                <w:rFonts w:eastAsiaTheme="minorEastAsia"/>
              </w:rPr>
            </w:pPr>
            <w:r w:rsidRPr="00EA3B97">
              <w:rPr>
                <w:rFonts w:eastAsiaTheme="minorEastAsia"/>
              </w:rPr>
              <w:t>8</w:t>
            </w:r>
          </w:p>
        </w:tc>
        <w:tc>
          <w:tcPr>
            <w:tcW w:w="456" w:type="pct"/>
            <w:tcBorders>
              <w:top w:val="single" w:sz="4" w:space="0" w:color="auto"/>
              <w:left w:val="single" w:sz="4" w:space="0" w:color="auto"/>
              <w:bottom w:val="single" w:sz="4" w:space="0" w:color="auto"/>
              <w:right w:val="single" w:sz="4" w:space="0" w:color="auto"/>
            </w:tcBorders>
          </w:tcPr>
          <w:p w14:paraId="5DA1450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EE2E66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1ADDFBA"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66CA208"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0910757"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6D366F4" w14:textId="77777777" w:rsidR="003A71DE" w:rsidRPr="00EA3B97" w:rsidRDefault="003A71DE" w:rsidP="007835E8">
            <w:pPr>
              <w:pStyle w:val="TAC"/>
              <w:rPr>
                <w:rFonts w:eastAsiaTheme="minorEastAsia"/>
              </w:rPr>
            </w:pPr>
          </w:p>
        </w:tc>
      </w:tr>
      <w:tr w:rsidR="003A71DE" w:rsidRPr="00EA3B97" w14:paraId="4E79B948"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67ED1150" w14:textId="77777777" w:rsidR="003A71DE" w:rsidRPr="00EA3B97" w:rsidRDefault="003A71DE" w:rsidP="007835E8">
            <w:pPr>
              <w:pStyle w:val="TAL"/>
              <w:rPr>
                <w:rFonts w:eastAsiaTheme="minorEastAsia"/>
              </w:rPr>
            </w:pPr>
            <w:r w:rsidRPr="00EA3B97">
              <w:rPr>
                <w:rFonts w:eastAsiaTheme="minorEastAsia"/>
              </w:rPr>
              <w:t>DMRS precoder granularity</w:t>
            </w:r>
          </w:p>
        </w:tc>
        <w:tc>
          <w:tcPr>
            <w:tcW w:w="469" w:type="pct"/>
            <w:tcBorders>
              <w:top w:val="single" w:sz="4" w:space="0" w:color="auto"/>
              <w:left w:val="single" w:sz="4" w:space="0" w:color="auto"/>
              <w:bottom w:val="single" w:sz="4" w:space="0" w:color="auto"/>
              <w:right w:val="single" w:sz="4" w:space="0" w:color="auto"/>
            </w:tcBorders>
          </w:tcPr>
          <w:p w14:paraId="0CBE1F8E"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74CD36DE"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6" w:type="pct"/>
            <w:tcBorders>
              <w:top w:val="single" w:sz="4" w:space="0" w:color="auto"/>
              <w:left w:val="single" w:sz="4" w:space="0" w:color="auto"/>
              <w:bottom w:val="single" w:sz="4" w:space="0" w:color="auto"/>
              <w:right w:val="single" w:sz="4" w:space="0" w:color="auto"/>
            </w:tcBorders>
          </w:tcPr>
          <w:p w14:paraId="7FBEC9E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554621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1439E4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A1B59FD"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6581D18"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3D6107EC" w14:textId="77777777" w:rsidR="003A71DE" w:rsidRPr="00EA3B97" w:rsidRDefault="003A71DE" w:rsidP="007835E8">
            <w:pPr>
              <w:pStyle w:val="TAC"/>
              <w:rPr>
                <w:rFonts w:eastAsiaTheme="minorEastAsia"/>
              </w:rPr>
            </w:pPr>
          </w:p>
        </w:tc>
      </w:tr>
      <w:tr w:rsidR="003A71DE" w:rsidRPr="00EA3B97" w14:paraId="42FAD592"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2EC5E31D" w14:textId="77777777" w:rsidR="003A71DE" w:rsidRPr="00EA3B97" w:rsidRDefault="003A71DE" w:rsidP="007835E8">
            <w:pPr>
              <w:pStyle w:val="TAL"/>
              <w:rPr>
                <w:rFonts w:eastAsiaTheme="minorEastAsia"/>
              </w:rPr>
            </w:pPr>
            <w:r w:rsidRPr="00EA3B97">
              <w:rPr>
                <w:rFonts w:eastAsiaTheme="minorEastAsia"/>
              </w:rPr>
              <w:t>REG bundle size</w:t>
            </w:r>
          </w:p>
        </w:tc>
        <w:tc>
          <w:tcPr>
            <w:tcW w:w="469" w:type="pct"/>
            <w:tcBorders>
              <w:top w:val="single" w:sz="4" w:space="0" w:color="auto"/>
              <w:left w:val="single" w:sz="4" w:space="0" w:color="auto"/>
              <w:bottom w:val="single" w:sz="4" w:space="0" w:color="auto"/>
              <w:right w:val="single" w:sz="4" w:space="0" w:color="auto"/>
            </w:tcBorders>
          </w:tcPr>
          <w:p w14:paraId="78A68ED9"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28C30754"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6" w:type="pct"/>
            <w:tcBorders>
              <w:top w:val="single" w:sz="4" w:space="0" w:color="auto"/>
              <w:left w:val="single" w:sz="4" w:space="0" w:color="auto"/>
              <w:bottom w:val="single" w:sz="4" w:space="0" w:color="auto"/>
              <w:right w:val="single" w:sz="4" w:space="0" w:color="auto"/>
            </w:tcBorders>
          </w:tcPr>
          <w:p w14:paraId="5CFCFBF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05AA2B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020657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5E0BE13"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9E8BBD1"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079FD64" w14:textId="77777777" w:rsidR="003A71DE" w:rsidRPr="00EA3B97" w:rsidRDefault="003A71DE" w:rsidP="007835E8">
            <w:pPr>
              <w:pStyle w:val="TAC"/>
              <w:rPr>
                <w:rFonts w:eastAsiaTheme="minorEastAsia"/>
              </w:rPr>
            </w:pPr>
          </w:p>
        </w:tc>
      </w:tr>
      <w:tr w:rsidR="003A71DE" w:rsidRPr="00EA3B97" w14:paraId="7B2C26B1"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2BE01FA0" w14:textId="77777777" w:rsidR="003A71DE" w:rsidRPr="00EA3B97" w:rsidRDefault="003A71DE" w:rsidP="007835E8">
            <w:pPr>
              <w:pStyle w:val="TAL"/>
              <w:rPr>
                <w:rFonts w:eastAsiaTheme="minorEastAsia"/>
              </w:rPr>
            </w:pPr>
            <w:r w:rsidRPr="00EA3B97">
              <w:rPr>
                <w:rFonts w:eastAsiaTheme="minorEastAsia"/>
              </w:rPr>
              <w:t>Mapping from REG to CCE</w:t>
            </w:r>
          </w:p>
        </w:tc>
        <w:tc>
          <w:tcPr>
            <w:tcW w:w="469" w:type="pct"/>
            <w:tcBorders>
              <w:top w:val="single" w:sz="4" w:space="0" w:color="auto"/>
              <w:left w:val="single" w:sz="4" w:space="0" w:color="auto"/>
              <w:bottom w:val="single" w:sz="4" w:space="0" w:color="auto"/>
              <w:right w:val="single" w:sz="4" w:space="0" w:color="auto"/>
            </w:tcBorders>
          </w:tcPr>
          <w:p w14:paraId="502A11F1"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78FF3C10" w14:textId="77777777" w:rsidR="003A71DE" w:rsidRPr="00EA3B97" w:rsidRDefault="003A71DE" w:rsidP="007835E8">
            <w:pPr>
              <w:pStyle w:val="TAC"/>
              <w:rPr>
                <w:rFonts w:eastAsiaTheme="minorEastAsia"/>
              </w:rPr>
            </w:pPr>
            <w:r w:rsidRPr="00EA3B97">
              <w:rPr>
                <w:rFonts w:eastAsiaTheme="minorEastAsia"/>
              </w:rPr>
              <w:t>Distributed</w:t>
            </w:r>
          </w:p>
        </w:tc>
        <w:tc>
          <w:tcPr>
            <w:tcW w:w="456" w:type="pct"/>
            <w:tcBorders>
              <w:top w:val="single" w:sz="4" w:space="0" w:color="auto"/>
              <w:left w:val="single" w:sz="4" w:space="0" w:color="auto"/>
              <w:bottom w:val="single" w:sz="4" w:space="0" w:color="auto"/>
              <w:right w:val="single" w:sz="4" w:space="0" w:color="auto"/>
            </w:tcBorders>
          </w:tcPr>
          <w:p w14:paraId="72B0392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D8CA8F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83BD17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9DECCAB"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335E9630"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4EB46FA7" w14:textId="77777777" w:rsidR="003A71DE" w:rsidRPr="00EA3B97" w:rsidRDefault="003A71DE" w:rsidP="007835E8">
            <w:pPr>
              <w:pStyle w:val="TAC"/>
              <w:rPr>
                <w:rFonts w:eastAsiaTheme="minorEastAsia"/>
              </w:rPr>
            </w:pPr>
          </w:p>
        </w:tc>
      </w:tr>
      <w:tr w:rsidR="003A71DE" w:rsidRPr="00EA3B97" w14:paraId="3912C337"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7D54A03" w14:textId="77777777" w:rsidR="003A71DE" w:rsidRPr="00EA3B97" w:rsidRDefault="003A71DE" w:rsidP="007835E8">
            <w:pPr>
              <w:pStyle w:val="TAL"/>
              <w:rPr>
                <w:rFonts w:eastAsiaTheme="minorEastAsia"/>
              </w:rPr>
            </w:pPr>
            <w:r w:rsidRPr="00EA3B97">
              <w:rPr>
                <w:rFonts w:eastAsiaTheme="minorEastAsia"/>
              </w:rPr>
              <w:t>Cell ID</w:t>
            </w:r>
          </w:p>
        </w:tc>
        <w:tc>
          <w:tcPr>
            <w:tcW w:w="469" w:type="pct"/>
            <w:tcBorders>
              <w:top w:val="single" w:sz="4" w:space="0" w:color="auto"/>
              <w:left w:val="single" w:sz="4" w:space="0" w:color="auto"/>
              <w:bottom w:val="single" w:sz="4" w:space="0" w:color="auto"/>
              <w:right w:val="single" w:sz="4" w:space="0" w:color="auto"/>
            </w:tcBorders>
          </w:tcPr>
          <w:p w14:paraId="7C853CB6"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1E771A57" w14:textId="77777777" w:rsidR="003A71DE" w:rsidRPr="00EA3B97" w:rsidRDefault="003A71DE" w:rsidP="007835E8">
            <w:pPr>
              <w:pStyle w:val="TAC"/>
              <w:rPr>
                <w:rFonts w:eastAsiaTheme="minorEastAsia"/>
              </w:rPr>
            </w:pPr>
            <w:r w:rsidRPr="00EA3B97">
              <w:rPr>
                <w:rFonts w:eastAsiaTheme="minorEastAsia"/>
              </w:rPr>
              <w:t>Note 5</w:t>
            </w:r>
          </w:p>
        </w:tc>
        <w:tc>
          <w:tcPr>
            <w:tcW w:w="456" w:type="pct"/>
            <w:tcBorders>
              <w:top w:val="single" w:sz="4" w:space="0" w:color="auto"/>
              <w:left w:val="single" w:sz="4" w:space="0" w:color="auto"/>
              <w:bottom w:val="single" w:sz="4" w:space="0" w:color="auto"/>
              <w:right w:val="single" w:sz="4" w:space="0" w:color="auto"/>
            </w:tcBorders>
          </w:tcPr>
          <w:p w14:paraId="5A3A37C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67A7B4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3D900A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6FBE688"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8C7C8A6"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43694898" w14:textId="77777777" w:rsidR="003A71DE" w:rsidRPr="00EA3B97" w:rsidRDefault="003A71DE" w:rsidP="007835E8">
            <w:pPr>
              <w:pStyle w:val="TAC"/>
              <w:rPr>
                <w:rFonts w:eastAsiaTheme="minorEastAsia"/>
              </w:rPr>
            </w:pPr>
          </w:p>
        </w:tc>
      </w:tr>
      <w:tr w:rsidR="003A71DE" w:rsidRPr="00EA3B97" w14:paraId="4273E083"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FD7E036" w14:textId="77777777" w:rsidR="003A71DE" w:rsidRPr="00EA3B97" w:rsidRDefault="003A71DE" w:rsidP="007835E8">
            <w:pPr>
              <w:pStyle w:val="TAL"/>
              <w:rPr>
                <w:rFonts w:eastAsiaTheme="minorEastAsia"/>
              </w:rPr>
            </w:pPr>
            <w:r w:rsidRPr="00EA3B97">
              <w:rPr>
                <w:rFonts w:eastAsiaTheme="minorEastAsia"/>
              </w:rPr>
              <w:t>Payload (without CRC)</w:t>
            </w:r>
          </w:p>
        </w:tc>
        <w:tc>
          <w:tcPr>
            <w:tcW w:w="469" w:type="pct"/>
            <w:tcBorders>
              <w:top w:val="single" w:sz="4" w:space="0" w:color="auto"/>
              <w:left w:val="single" w:sz="4" w:space="0" w:color="auto"/>
              <w:bottom w:val="single" w:sz="4" w:space="0" w:color="auto"/>
              <w:right w:val="single" w:sz="4" w:space="0" w:color="auto"/>
            </w:tcBorders>
            <w:hideMark/>
          </w:tcPr>
          <w:p w14:paraId="37C1392E" w14:textId="77777777" w:rsidR="003A71DE" w:rsidRPr="00EA3B97" w:rsidRDefault="003A71DE" w:rsidP="003A71DE">
            <w:pPr>
              <w:keepNext/>
              <w:keepLines/>
              <w:spacing w:after="0"/>
              <w:jc w:val="center"/>
              <w:rPr>
                <w:rFonts w:ascii="Arial" w:eastAsiaTheme="minorEastAsia" w:hAnsi="Arial" w:cs="Arial"/>
                <w:sz w:val="18"/>
              </w:rPr>
            </w:pPr>
            <w:r w:rsidRPr="00EA3B97">
              <w:rPr>
                <w:rFonts w:ascii="Arial" w:eastAsiaTheme="minorEastAsia" w:hAnsi="Arial" w:cs="Arial"/>
                <w:sz w:val="18"/>
              </w:rPr>
              <w:t>bits</w:t>
            </w:r>
          </w:p>
        </w:tc>
        <w:tc>
          <w:tcPr>
            <w:tcW w:w="576" w:type="pct"/>
            <w:tcBorders>
              <w:top w:val="single" w:sz="4" w:space="0" w:color="auto"/>
              <w:left w:val="single" w:sz="4" w:space="0" w:color="auto"/>
              <w:bottom w:val="single" w:sz="4" w:space="0" w:color="auto"/>
              <w:right w:val="single" w:sz="4" w:space="0" w:color="auto"/>
            </w:tcBorders>
            <w:hideMark/>
          </w:tcPr>
          <w:p w14:paraId="0ABB7115" w14:textId="77777777" w:rsidR="003A71DE" w:rsidRPr="00EA3B97" w:rsidRDefault="003A71DE" w:rsidP="003A71DE">
            <w:pPr>
              <w:keepNext/>
              <w:keepLines/>
              <w:spacing w:after="0"/>
              <w:jc w:val="center"/>
              <w:rPr>
                <w:rFonts w:ascii="Arial" w:eastAsiaTheme="minorEastAsia" w:hAnsi="Arial" w:cs="Arial"/>
                <w:sz w:val="18"/>
              </w:rPr>
            </w:pPr>
            <w:r w:rsidRPr="00EA3B97">
              <w:rPr>
                <w:rFonts w:ascii="Arial" w:eastAsiaTheme="minorEastAsia" w:hAnsi="Arial" w:cs="Arial"/>
                <w:sz w:val="18"/>
              </w:rPr>
              <w:t>Note 6</w:t>
            </w:r>
          </w:p>
        </w:tc>
        <w:tc>
          <w:tcPr>
            <w:tcW w:w="456" w:type="pct"/>
            <w:tcBorders>
              <w:top w:val="single" w:sz="4" w:space="0" w:color="auto"/>
              <w:left w:val="single" w:sz="4" w:space="0" w:color="auto"/>
              <w:bottom w:val="single" w:sz="4" w:space="0" w:color="auto"/>
              <w:right w:val="single" w:sz="4" w:space="0" w:color="auto"/>
            </w:tcBorders>
          </w:tcPr>
          <w:p w14:paraId="53EDDE29" w14:textId="77777777" w:rsidR="003A71DE" w:rsidRPr="00EA3B97" w:rsidRDefault="003A71DE" w:rsidP="003A71DE">
            <w:pPr>
              <w:keepNext/>
              <w:keepLines/>
              <w:spacing w:after="0"/>
              <w:jc w:val="center"/>
              <w:rPr>
                <w:rFonts w:ascii="Arial" w:eastAsiaTheme="minorEastAsia" w:hAnsi="Arial" w:cs="Arial"/>
                <w:sz w:val="18"/>
              </w:rPr>
            </w:pPr>
          </w:p>
        </w:tc>
        <w:tc>
          <w:tcPr>
            <w:tcW w:w="456" w:type="pct"/>
            <w:tcBorders>
              <w:top w:val="single" w:sz="4" w:space="0" w:color="auto"/>
              <w:left w:val="single" w:sz="4" w:space="0" w:color="auto"/>
              <w:bottom w:val="single" w:sz="4" w:space="0" w:color="auto"/>
              <w:right w:val="single" w:sz="4" w:space="0" w:color="auto"/>
            </w:tcBorders>
          </w:tcPr>
          <w:p w14:paraId="6770B930" w14:textId="77777777" w:rsidR="003A71DE" w:rsidRPr="00EA3B97" w:rsidRDefault="003A71DE" w:rsidP="003A71DE">
            <w:pPr>
              <w:keepNext/>
              <w:keepLines/>
              <w:spacing w:after="0"/>
              <w:jc w:val="center"/>
              <w:rPr>
                <w:rFonts w:ascii="Arial" w:eastAsiaTheme="minorEastAsia" w:hAnsi="Arial" w:cs="Arial"/>
                <w:sz w:val="18"/>
              </w:rPr>
            </w:pPr>
          </w:p>
        </w:tc>
        <w:tc>
          <w:tcPr>
            <w:tcW w:w="456" w:type="pct"/>
            <w:tcBorders>
              <w:top w:val="single" w:sz="4" w:space="0" w:color="auto"/>
              <w:left w:val="single" w:sz="4" w:space="0" w:color="auto"/>
              <w:bottom w:val="single" w:sz="4" w:space="0" w:color="auto"/>
              <w:right w:val="single" w:sz="4" w:space="0" w:color="auto"/>
            </w:tcBorders>
          </w:tcPr>
          <w:p w14:paraId="6A7D4EA9" w14:textId="77777777" w:rsidR="003A71DE" w:rsidRPr="00EA3B97" w:rsidRDefault="003A71DE" w:rsidP="003A71DE">
            <w:pPr>
              <w:keepNext/>
              <w:keepLines/>
              <w:spacing w:after="0"/>
              <w:jc w:val="center"/>
              <w:rPr>
                <w:rFonts w:ascii="Arial" w:eastAsiaTheme="minorEastAsia" w:hAnsi="Arial" w:cs="Arial"/>
                <w:sz w:val="18"/>
              </w:rPr>
            </w:pPr>
          </w:p>
        </w:tc>
        <w:tc>
          <w:tcPr>
            <w:tcW w:w="456" w:type="pct"/>
            <w:tcBorders>
              <w:top w:val="single" w:sz="4" w:space="0" w:color="auto"/>
              <w:left w:val="single" w:sz="4" w:space="0" w:color="auto"/>
              <w:bottom w:val="single" w:sz="4" w:space="0" w:color="auto"/>
              <w:right w:val="single" w:sz="4" w:space="0" w:color="auto"/>
            </w:tcBorders>
          </w:tcPr>
          <w:p w14:paraId="643F9CA2" w14:textId="77777777" w:rsidR="003A71DE" w:rsidRPr="00EA3B97" w:rsidRDefault="003A71DE" w:rsidP="003A71DE">
            <w:pPr>
              <w:keepNext/>
              <w:keepLines/>
              <w:spacing w:after="0"/>
              <w:jc w:val="center"/>
              <w:rPr>
                <w:rFonts w:ascii="Arial" w:eastAsiaTheme="minorEastAsia" w:hAnsi="Arial" w:cs="Arial"/>
                <w:sz w:val="18"/>
              </w:rPr>
            </w:pPr>
          </w:p>
        </w:tc>
        <w:tc>
          <w:tcPr>
            <w:tcW w:w="457" w:type="pct"/>
            <w:tcBorders>
              <w:top w:val="single" w:sz="4" w:space="0" w:color="auto"/>
              <w:left w:val="single" w:sz="4" w:space="0" w:color="auto"/>
              <w:bottom w:val="single" w:sz="4" w:space="0" w:color="auto"/>
              <w:right w:val="single" w:sz="4" w:space="0" w:color="auto"/>
            </w:tcBorders>
          </w:tcPr>
          <w:p w14:paraId="7768DAA0" w14:textId="77777777" w:rsidR="003A71DE" w:rsidRPr="00EA3B97" w:rsidRDefault="003A71DE" w:rsidP="003A71DE">
            <w:pPr>
              <w:keepNext/>
              <w:keepLines/>
              <w:spacing w:after="0"/>
              <w:jc w:val="center"/>
              <w:rPr>
                <w:rFonts w:ascii="Arial" w:eastAsiaTheme="minorEastAsia" w:hAnsi="Arial" w:cs="Arial"/>
                <w:sz w:val="18"/>
              </w:rPr>
            </w:pPr>
          </w:p>
        </w:tc>
        <w:tc>
          <w:tcPr>
            <w:tcW w:w="455" w:type="pct"/>
            <w:tcBorders>
              <w:top w:val="single" w:sz="4" w:space="0" w:color="auto"/>
              <w:left w:val="single" w:sz="4" w:space="0" w:color="auto"/>
              <w:bottom w:val="single" w:sz="4" w:space="0" w:color="auto"/>
              <w:right w:val="single" w:sz="4" w:space="0" w:color="auto"/>
            </w:tcBorders>
          </w:tcPr>
          <w:p w14:paraId="0C981BEC" w14:textId="77777777" w:rsidR="003A71DE" w:rsidRPr="00EA3B97" w:rsidRDefault="003A71DE" w:rsidP="003A71DE">
            <w:pPr>
              <w:keepNext/>
              <w:keepLines/>
              <w:spacing w:after="0"/>
              <w:jc w:val="center"/>
              <w:rPr>
                <w:rFonts w:ascii="Arial" w:eastAsiaTheme="minorEastAsia" w:hAnsi="Arial" w:cs="Arial"/>
                <w:sz w:val="18"/>
              </w:rPr>
            </w:pPr>
          </w:p>
        </w:tc>
      </w:tr>
      <w:tr w:rsidR="003A71DE" w:rsidRPr="00EA3B97" w14:paraId="4928D119"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hideMark/>
          </w:tcPr>
          <w:p w14:paraId="7278C8C5"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DCI formats are defined in TS 38.212.</w:t>
            </w:r>
          </w:p>
          <w:p w14:paraId="1EBB1CD6"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DCI format shall depend upon the test configuration.</w:t>
            </w:r>
          </w:p>
          <w:p w14:paraId="0B4E0D8B" w14:textId="77777777" w:rsidR="003A71DE" w:rsidRPr="00EA3B97" w:rsidRDefault="003A71DE" w:rsidP="007835E8">
            <w:pPr>
              <w:pStyle w:val="TAN"/>
              <w:rPr>
                <w:rFonts w:eastAsiaTheme="minorEastAsia"/>
                <w:lang w:val="en-US"/>
              </w:rPr>
            </w:pPr>
            <w:r w:rsidRPr="00EA3B97">
              <w:rPr>
                <w:rFonts w:eastAsiaTheme="minorEastAsia"/>
              </w:rPr>
              <w:t>Note 3:</w:t>
            </w:r>
            <w:r w:rsidRPr="00EA3B97">
              <w:rPr>
                <w:rFonts w:eastAsiaTheme="minorEastAsia"/>
              </w:rPr>
              <w:tab/>
            </w:r>
            <w:r w:rsidRPr="00EA3B97">
              <w:rPr>
                <w:rFonts w:eastAsiaTheme="minorEastAsia"/>
                <w:lang w:val="en-US"/>
              </w:rPr>
              <w:t>The offset is defined with respect to the subcarrier spacing of the CORESET from the smallest RB index of RMSI CORESET to the smallest RB index of the common RB overlapping with the first RB of the SS/PBCH block.</w:t>
            </w:r>
          </w:p>
          <w:p w14:paraId="4C6A5221" w14:textId="77777777" w:rsidR="003A71DE" w:rsidRPr="00EA3B97" w:rsidRDefault="003A71DE" w:rsidP="007835E8">
            <w:pPr>
              <w:pStyle w:val="TAN"/>
              <w:rPr>
                <w:rFonts w:eastAsiaTheme="minorEastAsia"/>
              </w:rPr>
            </w:pPr>
            <w:r w:rsidRPr="00EA3B97">
              <w:rPr>
                <w:rFonts w:eastAsiaTheme="minorEastAsia"/>
              </w:rPr>
              <w:t>Note 4:</w:t>
            </w:r>
            <w:r w:rsidRPr="00EA3B97">
              <w:rPr>
                <w:rFonts w:eastAsiaTheme="minorEastAsia"/>
              </w:rPr>
              <w:tab/>
              <w:t xml:space="preserve">The configuration of PDCCH monitoring occasions for </w:t>
            </w:r>
            <w:r w:rsidRPr="00EA3B97">
              <w:rPr>
                <w:rFonts w:eastAsiaTheme="minorEastAsia"/>
                <w:lang w:eastAsia="zh-CN"/>
              </w:rPr>
              <w:t>RMSI CORESET</w:t>
            </w:r>
            <w:r w:rsidRPr="00EA3B97">
              <w:rPr>
                <w:rFonts w:eastAsiaTheme="minorEastAsia"/>
              </w:rPr>
              <w:t xml:space="preserve"> is defined in Table 13-11 in TS 38.213 [3].</w:t>
            </w:r>
          </w:p>
          <w:p w14:paraId="25DDA484" w14:textId="77777777" w:rsidR="003A71DE" w:rsidRPr="00EA3B97" w:rsidRDefault="003A71DE" w:rsidP="007835E8">
            <w:pPr>
              <w:pStyle w:val="TAN"/>
              <w:rPr>
                <w:rFonts w:eastAsiaTheme="minorEastAsia"/>
              </w:rPr>
            </w:pPr>
            <w:r w:rsidRPr="00EA3B97">
              <w:rPr>
                <w:rFonts w:eastAsiaTheme="minorEastAsia"/>
              </w:rPr>
              <w:t>Note 5:</w:t>
            </w:r>
            <w:r w:rsidRPr="00EA3B97">
              <w:rPr>
                <w:rFonts w:eastAsiaTheme="minorEastAsia"/>
              </w:rPr>
              <w:tab/>
              <w:t>Cell ID shall depend upon the test configuration.</w:t>
            </w:r>
          </w:p>
          <w:p w14:paraId="42FD1E57" w14:textId="77777777" w:rsidR="003A71DE" w:rsidRPr="00EA3B97" w:rsidRDefault="003A71DE" w:rsidP="007835E8">
            <w:pPr>
              <w:pStyle w:val="TAN"/>
              <w:rPr>
                <w:rFonts w:eastAsiaTheme="minorEastAsia"/>
              </w:rPr>
            </w:pPr>
            <w:r w:rsidRPr="00EA3B97">
              <w:rPr>
                <w:rFonts w:eastAsiaTheme="minorEastAsia"/>
              </w:rPr>
              <w:t>Note 6:</w:t>
            </w:r>
            <w:r w:rsidRPr="00EA3B97">
              <w:rPr>
                <w:rFonts w:eastAsiaTheme="minorEastAsia"/>
              </w:rPr>
              <w:tab/>
              <w:t>Payload size shall depend upon the test configuration.</w:t>
            </w:r>
          </w:p>
          <w:p w14:paraId="0381C6E7" w14:textId="77777777" w:rsidR="003A71DE" w:rsidRPr="00EA3B97" w:rsidRDefault="003A71DE" w:rsidP="007835E8">
            <w:pPr>
              <w:pStyle w:val="TAN"/>
              <w:rPr>
                <w:rFonts w:eastAsiaTheme="minorEastAsia"/>
                <w:lang w:eastAsia="ja-JP"/>
              </w:rPr>
            </w:pPr>
            <w:r w:rsidRPr="00EA3B97">
              <w:rPr>
                <w:rFonts w:eastAsiaTheme="minorEastAsia"/>
              </w:rPr>
              <w:t xml:space="preserve">Note 7: </w:t>
            </w:r>
            <w:r w:rsidRPr="00EA3B97">
              <w:rPr>
                <w:rFonts w:eastAsiaTheme="minorEastAsia"/>
              </w:rPr>
              <w:tab/>
            </w:r>
            <w:r w:rsidRPr="00EA3B97">
              <w:rPr>
                <w:rFonts w:eastAsiaTheme="minorEastAsia"/>
                <w:lang w:eastAsia="ja-JP"/>
              </w:rPr>
              <w:t>The configuration of set of resource blocks and slot symbols of control resource set for Type0-PDCCH search space corresponds to index 0 in Table 13-1 in TS 38.213 [3].</w:t>
            </w:r>
          </w:p>
          <w:p w14:paraId="24B8307C" w14:textId="77777777" w:rsidR="003A71DE" w:rsidRPr="00EA3B97" w:rsidRDefault="003A71DE" w:rsidP="007835E8">
            <w:pPr>
              <w:pStyle w:val="TAN"/>
              <w:rPr>
                <w:rFonts w:eastAsiaTheme="minorEastAsia"/>
              </w:rPr>
            </w:pPr>
            <w:r w:rsidRPr="00EA3B97">
              <w:rPr>
                <w:rFonts w:eastAsiaTheme="minorEastAsia"/>
              </w:rPr>
              <w:t>Note 8:</w:t>
            </w:r>
            <w:r w:rsidRPr="00EA3B97">
              <w:rPr>
                <w:rFonts w:eastAsiaTheme="minorEastAsia"/>
              </w:rPr>
              <w:tab/>
              <w:t>Other values can be used to align with GSCN [13] as long as SSB does not overlap the RMC.</w:t>
            </w:r>
          </w:p>
        </w:tc>
      </w:tr>
    </w:tbl>
    <w:p w14:paraId="3DEA93EF" w14:textId="77777777" w:rsidR="003A71DE" w:rsidRPr="00EA3B97" w:rsidRDefault="003A71DE" w:rsidP="003A71DE">
      <w:pPr>
        <w:rPr>
          <w:rFonts w:eastAsia="MS Mincho"/>
          <w:noProof/>
        </w:rPr>
      </w:pPr>
    </w:p>
    <w:p w14:paraId="6B3A0838" w14:textId="77777777" w:rsidR="003A71DE" w:rsidRPr="00EA3B97" w:rsidRDefault="003A71DE" w:rsidP="006578B5">
      <w:pPr>
        <w:pStyle w:val="TH"/>
        <w:rPr>
          <w:rFonts w:eastAsiaTheme="minorEastAsia"/>
        </w:rPr>
      </w:pPr>
      <w:r w:rsidRPr="00EA3B97">
        <w:rPr>
          <w:rFonts w:eastAsiaTheme="minorEastAsia"/>
        </w:rPr>
        <w:lastRenderedPageBreak/>
        <w:t>Table G.1.1.2.</w:t>
      </w:r>
      <w:r>
        <w:rPr>
          <w:rFonts w:eastAsiaTheme="minorEastAsia"/>
        </w:rPr>
        <w:t>1</w:t>
      </w:r>
      <w:r w:rsidRPr="00EA3B97">
        <w:rPr>
          <w:rFonts w:eastAsiaTheme="minorEastAsia"/>
        </w:rPr>
        <w:t>-2: RMSI CORESET Reference Channel for TDD with SCS=30KHz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9"/>
        <w:gridCol w:w="904"/>
        <w:gridCol w:w="1110"/>
        <w:gridCol w:w="878"/>
        <w:gridCol w:w="878"/>
        <w:gridCol w:w="878"/>
        <w:gridCol w:w="878"/>
        <w:gridCol w:w="880"/>
        <w:gridCol w:w="876"/>
      </w:tblGrid>
      <w:tr w:rsidR="003A71DE" w:rsidRPr="00EA3B97" w14:paraId="3EEE1FFE"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2C5A48BA" w14:textId="77777777" w:rsidR="003A71DE" w:rsidRPr="00EA3B97" w:rsidRDefault="003A71DE" w:rsidP="007835E8">
            <w:pPr>
              <w:pStyle w:val="TAH"/>
              <w:rPr>
                <w:rFonts w:eastAsiaTheme="minorEastAsia"/>
              </w:rPr>
            </w:pPr>
            <w:r w:rsidRPr="00EA3B97">
              <w:rPr>
                <w:rFonts w:eastAsiaTheme="minorEastAsia"/>
              </w:rPr>
              <w:t>Parameter</w:t>
            </w:r>
          </w:p>
        </w:tc>
        <w:tc>
          <w:tcPr>
            <w:tcW w:w="469" w:type="pct"/>
            <w:tcBorders>
              <w:top w:val="single" w:sz="4" w:space="0" w:color="auto"/>
              <w:left w:val="single" w:sz="4" w:space="0" w:color="auto"/>
              <w:bottom w:val="single" w:sz="4" w:space="0" w:color="auto"/>
              <w:right w:val="single" w:sz="4" w:space="0" w:color="auto"/>
            </w:tcBorders>
            <w:hideMark/>
          </w:tcPr>
          <w:p w14:paraId="1EA4CF21" w14:textId="77777777" w:rsidR="003A71DE" w:rsidRPr="00EA3B97" w:rsidRDefault="003A71DE" w:rsidP="007835E8">
            <w:pPr>
              <w:pStyle w:val="TAH"/>
              <w:rPr>
                <w:rFonts w:eastAsiaTheme="minorEastAsia"/>
              </w:rPr>
            </w:pPr>
            <w:r w:rsidRPr="00EA3B97">
              <w:rPr>
                <w:rFonts w:eastAsiaTheme="minorEastAsia"/>
              </w:rPr>
              <w:t>Unit</w:t>
            </w:r>
          </w:p>
        </w:tc>
        <w:tc>
          <w:tcPr>
            <w:tcW w:w="3312" w:type="pct"/>
            <w:gridSpan w:val="7"/>
            <w:tcBorders>
              <w:top w:val="single" w:sz="4" w:space="0" w:color="auto"/>
              <w:left w:val="single" w:sz="4" w:space="0" w:color="auto"/>
              <w:bottom w:val="single" w:sz="4" w:space="0" w:color="auto"/>
              <w:right w:val="single" w:sz="4" w:space="0" w:color="auto"/>
            </w:tcBorders>
            <w:hideMark/>
          </w:tcPr>
          <w:p w14:paraId="33AAEA5F" w14:textId="77777777" w:rsidR="003A71DE" w:rsidRPr="00EA3B97" w:rsidRDefault="003A71DE" w:rsidP="007835E8">
            <w:pPr>
              <w:pStyle w:val="TAH"/>
              <w:rPr>
                <w:rFonts w:eastAsiaTheme="minorEastAsia"/>
              </w:rPr>
            </w:pPr>
            <w:r w:rsidRPr="00EA3B97">
              <w:rPr>
                <w:rFonts w:eastAsiaTheme="minorEastAsia"/>
              </w:rPr>
              <w:t>Value</w:t>
            </w:r>
          </w:p>
        </w:tc>
      </w:tr>
      <w:tr w:rsidR="003A71DE" w:rsidRPr="00EA3B97" w14:paraId="17510C53"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504E392D" w14:textId="77777777" w:rsidR="003A71DE" w:rsidRPr="00EA3B97" w:rsidRDefault="003A71DE" w:rsidP="007835E8">
            <w:pPr>
              <w:pStyle w:val="TAL"/>
              <w:rPr>
                <w:rFonts w:eastAsiaTheme="minorEastAsia"/>
              </w:rPr>
            </w:pPr>
            <w:r w:rsidRPr="00EA3B97">
              <w:rPr>
                <w:rFonts w:eastAsiaTheme="minorEastAsia"/>
              </w:rPr>
              <w:t>Reference channel</w:t>
            </w:r>
          </w:p>
        </w:tc>
        <w:tc>
          <w:tcPr>
            <w:tcW w:w="469" w:type="pct"/>
            <w:tcBorders>
              <w:top w:val="single" w:sz="4" w:space="0" w:color="auto"/>
              <w:left w:val="single" w:sz="4" w:space="0" w:color="auto"/>
              <w:bottom w:val="single" w:sz="4" w:space="0" w:color="auto"/>
              <w:right w:val="single" w:sz="4" w:space="0" w:color="auto"/>
            </w:tcBorders>
          </w:tcPr>
          <w:p w14:paraId="63F44E62"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2E6FFA0B" w14:textId="77777777" w:rsidR="003A71DE" w:rsidRPr="00EA3B97" w:rsidRDefault="003A71DE" w:rsidP="007835E8">
            <w:pPr>
              <w:pStyle w:val="TAC"/>
              <w:rPr>
                <w:rFonts w:eastAsiaTheme="minorEastAsia"/>
              </w:rPr>
            </w:pPr>
            <w:r w:rsidRPr="00EA3B97">
              <w:rPr>
                <w:rFonts w:eastAsiaTheme="minorEastAsia"/>
              </w:rPr>
              <w:t>CR.2.1 TDD</w:t>
            </w:r>
          </w:p>
        </w:tc>
        <w:tc>
          <w:tcPr>
            <w:tcW w:w="456" w:type="pct"/>
            <w:tcBorders>
              <w:top w:val="single" w:sz="4" w:space="0" w:color="auto"/>
              <w:left w:val="single" w:sz="4" w:space="0" w:color="auto"/>
              <w:bottom w:val="single" w:sz="4" w:space="0" w:color="auto"/>
              <w:right w:val="single" w:sz="4" w:space="0" w:color="auto"/>
            </w:tcBorders>
          </w:tcPr>
          <w:p w14:paraId="18D835D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99540C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DE318CA"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C3AD8F1"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8A19467"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9C72130" w14:textId="77777777" w:rsidR="003A71DE" w:rsidRPr="00EA3B97" w:rsidRDefault="003A71DE" w:rsidP="007835E8">
            <w:pPr>
              <w:pStyle w:val="TAC"/>
              <w:rPr>
                <w:rFonts w:eastAsiaTheme="minorEastAsia"/>
              </w:rPr>
            </w:pPr>
          </w:p>
        </w:tc>
      </w:tr>
      <w:tr w:rsidR="003A71DE" w:rsidRPr="00EA3B97" w14:paraId="16BEF591"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B52967C" w14:textId="77777777" w:rsidR="003A71DE" w:rsidRPr="00EA3B97" w:rsidRDefault="003A71DE" w:rsidP="007835E8">
            <w:pPr>
              <w:pStyle w:val="TAL"/>
              <w:rPr>
                <w:rFonts w:eastAsiaTheme="minorEastAsia"/>
              </w:rPr>
            </w:pPr>
            <w:r w:rsidRPr="00EA3B97">
              <w:rPr>
                <w:rFonts w:eastAsiaTheme="minorEastAsia"/>
              </w:rPr>
              <w:t>Channel bandwidth</w:t>
            </w:r>
          </w:p>
        </w:tc>
        <w:tc>
          <w:tcPr>
            <w:tcW w:w="469" w:type="pct"/>
            <w:tcBorders>
              <w:top w:val="single" w:sz="4" w:space="0" w:color="auto"/>
              <w:left w:val="single" w:sz="4" w:space="0" w:color="auto"/>
              <w:bottom w:val="single" w:sz="4" w:space="0" w:color="auto"/>
              <w:right w:val="single" w:sz="4" w:space="0" w:color="auto"/>
            </w:tcBorders>
            <w:hideMark/>
          </w:tcPr>
          <w:p w14:paraId="4A63CDB7" w14:textId="77777777" w:rsidR="003A71DE" w:rsidRPr="00EA3B97" w:rsidRDefault="003A71DE" w:rsidP="007835E8">
            <w:pPr>
              <w:pStyle w:val="TAC"/>
              <w:rPr>
                <w:rFonts w:eastAsiaTheme="minorEastAsia"/>
              </w:rPr>
            </w:pPr>
            <w:r w:rsidRPr="00EA3B97">
              <w:rPr>
                <w:rFonts w:eastAsiaTheme="minorEastAsia"/>
              </w:rPr>
              <w:t>MHz</w:t>
            </w:r>
          </w:p>
        </w:tc>
        <w:tc>
          <w:tcPr>
            <w:tcW w:w="576" w:type="pct"/>
            <w:tcBorders>
              <w:top w:val="single" w:sz="4" w:space="0" w:color="auto"/>
              <w:left w:val="single" w:sz="4" w:space="0" w:color="auto"/>
              <w:bottom w:val="single" w:sz="4" w:space="0" w:color="auto"/>
              <w:right w:val="single" w:sz="4" w:space="0" w:color="auto"/>
            </w:tcBorders>
            <w:hideMark/>
          </w:tcPr>
          <w:p w14:paraId="71D7C7EF" w14:textId="77777777" w:rsidR="003A71DE" w:rsidRPr="00EA3B97" w:rsidRDefault="003A71DE" w:rsidP="007835E8">
            <w:pPr>
              <w:pStyle w:val="TAC"/>
              <w:rPr>
                <w:rFonts w:eastAsiaTheme="minorEastAsia"/>
                <w:lang w:eastAsia="zh-CN"/>
              </w:rPr>
            </w:pPr>
            <w:r w:rsidRPr="00EA3B97">
              <w:rPr>
                <w:rFonts w:eastAsiaTheme="minorEastAsia"/>
                <w:lang w:eastAsia="zh-CN"/>
              </w:rPr>
              <w:t>40</w:t>
            </w:r>
          </w:p>
        </w:tc>
        <w:tc>
          <w:tcPr>
            <w:tcW w:w="456" w:type="pct"/>
            <w:tcBorders>
              <w:top w:val="single" w:sz="4" w:space="0" w:color="auto"/>
              <w:left w:val="single" w:sz="4" w:space="0" w:color="auto"/>
              <w:bottom w:val="single" w:sz="4" w:space="0" w:color="auto"/>
              <w:right w:val="single" w:sz="4" w:space="0" w:color="auto"/>
            </w:tcBorders>
          </w:tcPr>
          <w:p w14:paraId="7E1E0F96"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248DFC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0BCEF7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B3B87D8"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05D7144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730D097" w14:textId="77777777" w:rsidR="003A71DE" w:rsidRPr="00EA3B97" w:rsidRDefault="003A71DE" w:rsidP="007835E8">
            <w:pPr>
              <w:pStyle w:val="TAC"/>
              <w:rPr>
                <w:rFonts w:eastAsiaTheme="minorEastAsia"/>
              </w:rPr>
            </w:pPr>
          </w:p>
        </w:tc>
      </w:tr>
      <w:tr w:rsidR="003A71DE" w:rsidRPr="00EA3B97" w14:paraId="62D85234"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36DF84CF" w14:textId="77777777" w:rsidR="003A71DE" w:rsidRPr="00EA3B97" w:rsidRDefault="003A71DE" w:rsidP="007835E8">
            <w:pPr>
              <w:pStyle w:val="TAL"/>
              <w:rPr>
                <w:rFonts w:eastAsiaTheme="minorEastAsia"/>
                <w:lang w:eastAsia="zh-CN"/>
              </w:rPr>
            </w:pPr>
            <w:r w:rsidRPr="00EA3B97">
              <w:rPr>
                <w:rFonts w:eastAsiaTheme="minorEastAsia"/>
                <w:lang w:eastAsia="zh-CN"/>
              </w:rPr>
              <w:t>Subcarrier spacing</w:t>
            </w:r>
          </w:p>
        </w:tc>
        <w:tc>
          <w:tcPr>
            <w:tcW w:w="469" w:type="pct"/>
            <w:tcBorders>
              <w:top w:val="single" w:sz="4" w:space="0" w:color="auto"/>
              <w:left w:val="single" w:sz="4" w:space="0" w:color="auto"/>
              <w:bottom w:val="single" w:sz="4" w:space="0" w:color="auto"/>
              <w:right w:val="single" w:sz="4" w:space="0" w:color="auto"/>
            </w:tcBorders>
            <w:hideMark/>
          </w:tcPr>
          <w:p w14:paraId="37F6B777" w14:textId="77777777" w:rsidR="003A71DE" w:rsidRPr="00EA3B97" w:rsidRDefault="003A71DE" w:rsidP="007835E8">
            <w:pPr>
              <w:pStyle w:val="TAC"/>
              <w:rPr>
                <w:rFonts w:eastAsiaTheme="minorEastAsia"/>
                <w:lang w:eastAsia="zh-CN"/>
              </w:rPr>
            </w:pPr>
            <w:r w:rsidRPr="00EA3B97">
              <w:rPr>
                <w:rFonts w:eastAsiaTheme="minorEastAsia"/>
                <w:lang w:eastAsia="zh-CN"/>
              </w:rPr>
              <w:t>kHz</w:t>
            </w:r>
          </w:p>
        </w:tc>
        <w:tc>
          <w:tcPr>
            <w:tcW w:w="576" w:type="pct"/>
            <w:tcBorders>
              <w:top w:val="single" w:sz="4" w:space="0" w:color="auto"/>
              <w:left w:val="single" w:sz="4" w:space="0" w:color="auto"/>
              <w:bottom w:val="single" w:sz="4" w:space="0" w:color="auto"/>
              <w:right w:val="single" w:sz="4" w:space="0" w:color="auto"/>
            </w:tcBorders>
            <w:hideMark/>
          </w:tcPr>
          <w:p w14:paraId="0EE927E6" w14:textId="77777777" w:rsidR="003A71DE" w:rsidRPr="00EA3B97" w:rsidRDefault="003A71DE" w:rsidP="007835E8">
            <w:pPr>
              <w:pStyle w:val="TAC"/>
              <w:rPr>
                <w:rFonts w:eastAsiaTheme="minorEastAsia"/>
                <w:lang w:eastAsia="zh-CN"/>
              </w:rPr>
            </w:pPr>
            <w:r w:rsidRPr="00EA3B97">
              <w:rPr>
                <w:rFonts w:eastAsiaTheme="minorEastAsia"/>
                <w:lang w:eastAsia="zh-CN"/>
              </w:rPr>
              <w:t>30</w:t>
            </w:r>
          </w:p>
        </w:tc>
        <w:tc>
          <w:tcPr>
            <w:tcW w:w="456" w:type="pct"/>
            <w:tcBorders>
              <w:top w:val="single" w:sz="4" w:space="0" w:color="auto"/>
              <w:left w:val="single" w:sz="4" w:space="0" w:color="auto"/>
              <w:bottom w:val="single" w:sz="4" w:space="0" w:color="auto"/>
              <w:right w:val="single" w:sz="4" w:space="0" w:color="auto"/>
            </w:tcBorders>
          </w:tcPr>
          <w:p w14:paraId="21AC69F7"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E69E02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ECA081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7A47FC4"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5CC66B53"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43104949" w14:textId="77777777" w:rsidR="003A71DE" w:rsidRPr="00EA3B97" w:rsidRDefault="003A71DE" w:rsidP="007835E8">
            <w:pPr>
              <w:pStyle w:val="TAC"/>
              <w:rPr>
                <w:rFonts w:eastAsiaTheme="minorEastAsia"/>
              </w:rPr>
            </w:pPr>
          </w:p>
        </w:tc>
      </w:tr>
      <w:tr w:rsidR="003A71DE" w:rsidRPr="00EA3B97" w14:paraId="3755A4C9"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FD6892E" w14:textId="77777777" w:rsidR="003A71DE" w:rsidRPr="00EA3B97" w:rsidRDefault="003A71DE" w:rsidP="007835E8">
            <w:pPr>
              <w:pStyle w:val="TAL"/>
              <w:rPr>
                <w:rFonts w:eastAsiaTheme="minorEastAsia"/>
                <w:lang w:eastAsia="zh-CN"/>
              </w:rPr>
            </w:pPr>
            <w:r w:rsidRPr="00EA3B97">
              <w:rPr>
                <w:rFonts w:eastAsiaTheme="minorEastAsia"/>
                <w:lang w:eastAsia="zh-CN"/>
              </w:rPr>
              <w:t xml:space="preserve">Allocated </w:t>
            </w:r>
            <w:r w:rsidRPr="00EA3B97">
              <w:rPr>
                <w:rFonts w:eastAsiaTheme="minorEastAsia"/>
              </w:rPr>
              <w:t xml:space="preserve">resource blocks </w:t>
            </w:r>
            <w:r w:rsidRPr="00EA3B97">
              <w:rPr>
                <w:rFonts w:eastAsiaTheme="minorEastAsia"/>
                <w:lang w:eastAsia="zh-CN"/>
              </w:rPr>
              <w:t>for RMSI CORESET</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tcPr>
          <w:p w14:paraId="04597FF5"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788E9019"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456" w:type="pct"/>
            <w:tcBorders>
              <w:top w:val="single" w:sz="4" w:space="0" w:color="auto"/>
              <w:left w:val="single" w:sz="4" w:space="0" w:color="auto"/>
              <w:bottom w:val="single" w:sz="4" w:space="0" w:color="auto"/>
              <w:right w:val="single" w:sz="4" w:space="0" w:color="auto"/>
            </w:tcBorders>
          </w:tcPr>
          <w:p w14:paraId="103B14D5"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459AEBB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350EDF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2C628EC"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71CB9CD"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410E609" w14:textId="77777777" w:rsidR="003A71DE" w:rsidRPr="00EA3B97" w:rsidRDefault="003A71DE" w:rsidP="007835E8">
            <w:pPr>
              <w:pStyle w:val="TAC"/>
              <w:rPr>
                <w:rFonts w:eastAsiaTheme="minorEastAsia"/>
              </w:rPr>
            </w:pPr>
          </w:p>
        </w:tc>
      </w:tr>
      <w:tr w:rsidR="003A71DE" w:rsidRPr="00EA3B97" w14:paraId="0AFB5400"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B9F91BA" w14:textId="77777777" w:rsidR="003A71DE" w:rsidRPr="00EA3B97" w:rsidRDefault="003A71DE" w:rsidP="007835E8">
            <w:pPr>
              <w:pStyle w:val="TAL"/>
              <w:rPr>
                <w:rFonts w:eastAsiaTheme="minorEastAsia"/>
                <w:lang w:eastAsia="zh-CN"/>
              </w:rPr>
            </w:pPr>
          </w:p>
        </w:tc>
        <w:tc>
          <w:tcPr>
            <w:tcW w:w="469" w:type="pct"/>
            <w:tcBorders>
              <w:top w:val="single" w:sz="4" w:space="0" w:color="auto"/>
              <w:left w:val="single" w:sz="4" w:space="0" w:color="auto"/>
              <w:bottom w:val="single" w:sz="4" w:space="0" w:color="auto"/>
              <w:right w:val="single" w:sz="4" w:space="0" w:color="auto"/>
            </w:tcBorders>
          </w:tcPr>
          <w:p w14:paraId="63A67D30"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051D7495"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560E18F2"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75DFEB2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A4E39C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60C2B24"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6BDFCA5C"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036313CD" w14:textId="77777777" w:rsidR="003A71DE" w:rsidRPr="00EA3B97" w:rsidRDefault="003A71DE" w:rsidP="007835E8">
            <w:pPr>
              <w:pStyle w:val="TAC"/>
              <w:rPr>
                <w:rFonts w:eastAsiaTheme="minorEastAsia"/>
              </w:rPr>
            </w:pPr>
          </w:p>
        </w:tc>
      </w:tr>
      <w:tr w:rsidR="003A71DE" w:rsidRPr="00EA3B97" w14:paraId="078BD798"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6D24423" w14:textId="77777777" w:rsidR="003A71DE" w:rsidRPr="00EA3B97" w:rsidRDefault="003A71DE" w:rsidP="007835E8">
            <w:pPr>
              <w:pStyle w:val="TAL"/>
              <w:rPr>
                <w:rFonts w:eastAsiaTheme="minorEastAsia"/>
                <w:lang w:eastAsia="zh-CN"/>
              </w:rPr>
            </w:pPr>
            <w:r w:rsidRPr="00EA3B97">
              <w:rPr>
                <w:rFonts w:eastAsiaTheme="minorEastAsia"/>
                <w:lang w:eastAsia="zh-CN"/>
              </w:rPr>
              <w:t>SSB and RMSI CORESET multiplexing configuration</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tcPr>
          <w:p w14:paraId="2B8CDF23"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5659152F" w14:textId="77777777" w:rsidR="003A71DE" w:rsidRPr="00EA3B97" w:rsidRDefault="003A71DE" w:rsidP="007835E8">
            <w:pPr>
              <w:pStyle w:val="TAC"/>
              <w:rPr>
                <w:rFonts w:eastAsiaTheme="minorEastAsia"/>
                <w:lang w:eastAsia="zh-CN"/>
              </w:rPr>
            </w:pPr>
            <w:r w:rsidRPr="00EA3B97">
              <w:rPr>
                <w:rFonts w:eastAsiaTheme="minorEastAsia"/>
                <w:lang w:eastAsia="zh-CN"/>
              </w:rPr>
              <w:t>Pattern 1</w:t>
            </w:r>
          </w:p>
        </w:tc>
        <w:tc>
          <w:tcPr>
            <w:tcW w:w="456" w:type="pct"/>
            <w:tcBorders>
              <w:top w:val="single" w:sz="4" w:space="0" w:color="auto"/>
              <w:left w:val="single" w:sz="4" w:space="0" w:color="auto"/>
              <w:bottom w:val="single" w:sz="4" w:space="0" w:color="auto"/>
              <w:right w:val="single" w:sz="4" w:space="0" w:color="auto"/>
            </w:tcBorders>
          </w:tcPr>
          <w:p w14:paraId="328E9340"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22B3DCA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9251423"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E826D43"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CA6886A"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BCC4BFD" w14:textId="77777777" w:rsidR="003A71DE" w:rsidRPr="00EA3B97" w:rsidRDefault="003A71DE" w:rsidP="007835E8">
            <w:pPr>
              <w:pStyle w:val="TAC"/>
              <w:rPr>
                <w:rFonts w:eastAsiaTheme="minorEastAsia"/>
              </w:rPr>
            </w:pPr>
          </w:p>
        </w:tc>
      </w:tr>
      <w:tr w:rsidR="003A71DE" w:rsidRPr="00EA3B97" w14:paraId="176616CA"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ADA9BEB" w14:textId="77777777" w:rsidR="003A71DE" w:rsidRPr="00EA3B97" w:rsidRDefault="003A71DE" w:rsidP="007835E8">
            <w:pPr>
              <w:pStyle w:val="TAL"/>
              <w:rPr>
                <w:rFonts w:eastAsiaTheme="minorEastAsia"/>
                <w:lang w:eastAsia="zh-CN"/>
              </w:rPr>
            </w:pPr>
            <w:r w:rsidRPr="00EA3B97">
              <w:rPr>
                <w:rFonts w:eastAsiaTheme="minorEastAsia"/>
                <w:lang w:eastAsia="zh-CN"/>
              </w:rPr>
              <w:t>Offset between SSB and RMSI CORESET</w:t>
            </w:r>
            <w:r w:rsidRPr="00EA3B97">
              <w:rPr>
                <w:rFonts w:eastAsiaTheme="minorEastAsia"/>
                <w:vertAlign w:val="superscript"/>
              </w:rPr>
              <w:t xml:space="preserve"> Note 3, 7</w:t>
            </w:r>
          </w:p>
        </w:tc>
        <w:tc>
          <w:tcPr>
            <w:tcW w:w="469" w:type="pct"/>
            <w:tcBorders>
              <w:top w:val="single" w:sz="4" w:space="0" w:color="auto"/>
              <w:left w:val="single" w:sz="4" w:space="0" w:color="auto"/>
              <w:bottom w:val="single" w:sz="4" w:space="0" w:color="auto"/>
              <w:right w:val="single" w:sz="4" w:space="0" w:color="auto"/>
            </w:tcBorders>
            <w:hideMark/>
          </w:tcPr>
          <w:p w14:paraId="4F9C349A"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576" w:type="pct"/>
            <w:tcBorders>
              <w:top w:val="single" w:sz="4" w:space="0" w:color="auto"/>
              <w:left w:val="single" w:sz="4" w:space="0" w:color="auto"/>
              <w:bottom w:val="single" w:sz="4" w:space="0" w:color="auto"/>
              <w:right w:val="single" w:sz="4" w:space="0" w:color="auto"/>
            </w:tcBorders>
            <w:hideMark/>
          </w:tcPr>
          <w:p w14:paraId="369AD48F" w14:textId="77777777" w:rsidR="003A71DE" w:rsidRPr="00EA3B97" w:rsidRDefault="003A71DE" w:rsidP="007835E8">
            <w:pPr>
              <w:pStyle w:val="TAC"/>
              <w:rPr>
                <w:rFonts w:eastAsiaTheme="minorEastAsia"/>
                <w:lang w:eastAsia="zh-CN"/>
              </w:rPr>
            </w:pPr>
            <w:r w:rsidRPr="00EA3B97">
              <w:rPr>
                <w:rFonts w:eastAsiaTheme="minorEastAsia"/>
                <w:lang w:eastAsia="zh-CN"/>
              </w:rPr>
              <w:t>0 (Note 8)</w:t>
            </w:r>
          </w:p>
        </w:tc>
        <w:tc>
          <w:tcPr>
            <w:tcW w:w="456" w:type="pct"/>
            <w:tcBorders>
              <w:top w:val="single" w:sz="4" w:space="0" w:color="auto"/>
              <w:left w:val="single" w:sz="4" w:space="0" w:color="auto"/>
              <w:bottom w:val="single" w:sz="4" w:space="0" w:color="auto"/>
              <w:right w:val="single" w:sz="4" w:space="0" w:color="auto"/>
            </w:tcBorders>
          </w:tcPr>
          <w:p w14:paraId="6CD938E7"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468F6A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9CAF42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A065330"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0FB24769"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456A3AFF" w14:textId="77777777" w:rsidR="003A71DE" w:rsidRPr="00EA3B97" w:rsidRDefault="003A71DE" w:rsidP="007835E8">
            <w:pPr>
              <w:pStyle w:val="TAC"/>
              <w:rPr>
                <w:rFonts w:eastAsiaTheme="minorEastAsia"/>
              </w:rPr>
            </w:pPr>
          </w:p>
        </w:tc>
      </w:tr>
      <w:tr w:rsidR="003A71DE" w:rsidRPr="00EA3B97" w14:paraId="3366FFEB"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4285082B" w14:textId="77777777" w:rsidR="003A71DE" w:rsidRPr="00EA3B97" w:rsidRDefault="003A71DE" w:rsidP="007835E8">
            <w:pPr>
              <w:pStyle w:val="TAL"/>
              <w:rPr>
                <w:rFonts w:eastAsiaTheme="minorEastAsia"/>
                <w:lang w:eastAsia="zh-CN"/>
              </w:rPr>
            </w:pPr>
            <w:r w:rsidRPr="00EA3B97">
              <w:rPr>
                <w:rFonts w:eastAsiaTheme="minorEastAsia"/>
              </w:rPr>
              <w:t xml:space="preserve">Configuration of PDCCH monitoring occasions for </w:t>
            </w:r>
            <w:r w:rsidRPr="00EA3B97">
              <w:rPr>
                <w:rFonts w:eastAsiaTheme="minorEastAsia"/>
                <w:lang w:eastAsia="zh-CN"/>
              </w:rPr>
              <w:t>RMSI CORESET</w:t>
            </w:r>
            <w:r w:rsidRPr="00EA3B97">
              <w:rPr>
                <w:rFonts w:eastAsiaTheme="minorEastAsia"/>
                <w:vertAlign w:val="superscript"/>
              </w:rPr>
              <w:t xml:space="preserve"> Note 4</w:t>
            </w:r>
          </w:p>
        </w:tc>
        <w:tc>
          <w:tcPr>
            <w:tcW w:w="469" w:type="pct"/>
            <w:tcBorders>
              <w:top w:val="single" w:sz="4" w:space="0" w:color="auto"/>
              <w:left w:val="single" w:sz="4" w:space="0" w:color="auto"/>
              <w:bottom w:val="single" w:sz="4" w:space="0" w:color="auto"/>
              <w:right w:val="single" w:sz="4" w:space="0" w:color="auto"/>
            </w:tcBorders>
          </w:tcPr>
          <w:p w14:paraId="049729B9"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3628585A" w14:textId="77777777" w:rsidR="003A71DE" w:rsidRPr="00EA3B97" w:rsidRDefault="003A71DE" w:rsidP="007835E8">
            <w:pPr>
              <w:pStyle w:val="TAC"/>
              <w:rPr>
                <w:rFonts w:eastAsiaTheme="minorEastAsia"/>
                <w:lang w:eastAsia="zh-CN"/>
              </w:rPr>
            </w:pPr>
            <w:r w:rsidRPr="00EA3B97">
              <w:rPr>
                <w:rFonts w:eastAsiaTheme="minorEastAsia"/>
                <w:lang w:eastAsia="zh-CN"/>
              </w:rPr>
              <w:t>Index 4</w:t>
            </w:r>
          </w:p>
        </w:tc>
        <w:tc>
          <w:tcPr>
            <w:tcW w:w="456" w:type="pct"/>
            <w:tcBorders>
              <w:top w:val="single" w:sz="4" w:space="0" w:color="auto"/>
              <w:left w:val="single" w:sz="4" w:space="0" w:color="auto"/>
              <w:bottom w:val="single" w:sz="4" w:space="0" w:color="auto"/>
              <w:right w:val="single" w:sz="4" w:space="0" w:color="auto"/>
            </w:tcBorders>
          </w:tcPr>
          <w:p w14:paraId="44D24CBC"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52D6B28B"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18C6E1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3674769"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3C2B5AB1"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6430014" w14:textId="77777777" w:rsidR="003A71DE" w:rsidRPr="00EA3B97" w:rsidRDefault="003A71DE" w:rsidP="007835E8">
            <w:pPr>
              <w:pStyle w:val="TAC"/>
              <w:rPr>
                <w:rFonts w:eastAsiaTheme="minorEastAsia"/>
              </w:rPr>
            </w:pPr>
          </w:p>
        </w:tc>
      </w:tr>
      <w:tr w:rsidR="003A71DE" w:rsidRPr="00EA3B97" w14:paraId="18D51118"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174AF7E" w14:textId="77777777" w:rsidR="003A71DE" w:rsidRPr="00EA3B97" w:rsidRDefault="003A71DE" w:rsidP="007835E8">
            <w:pPr>
              <w:pStyle w:val="TAL"/>
              <w:rPr>
                <w:rFonts w:eastAsiaTheme="minorEastAsia"/>
              </w:rPr>
            </w:pPr>
            <w:r w:rsidRPr="00EA3B97">
              <w:rPr>
                <w:rFonts w:eastAsiaTheme="minorEastAsia"/>
              </w:rPr>
              <w:t>Number of transmitter antennas</w:t>
            </w:r>
          </w:p>
        </w:tc>
        <w:tc>
          <w:tcPr>
            <w:tcW w:w="469" w:type="pct"/>
            <w:tcBorders>
              <w:top w:val="single" w:sz="4" w:space="0" w:color="auto"/>
              <w:left w:val="single" w:sz="4" w:space="0" w:color="auto"/>
              <w:bottom w:val="single" w:sz="4" w:space="0" w:color="auto"/>
              <w:right w:val="single" w:sz="4" w:space="0" w:color="auto"/>
            </w:tcBorders>
          </w:tcPr>
          <w:p w14:paraId="447D3570"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1277DA2A" w14:textId="77777777" w:rsidR="003A71DE" w:rsidRPr="00EA3B97" w:rsidRDefault="003A71DE" w:rsidP="007835E8">
            <w:pPr>
              <w:pStyle w:val="TAC"/>
              <w:rPr>
                <w:rFonts w:eastAsiaTheme="minorEastAsia"/>
              </w:rPr>
            </w:pPr>
            <w:r w:rsidRPr="00EA3B97">
              <w:rPr>
                <w:rFonts w:eastAsiaTheme="minorEastAsia"/>
              </w:rPr>
              <w:t>1</w:t>
            </w:r>
          </w:p>
        </w:tc>
        <w:tc>
          <w:tcPr>
            <w:tcW w:w="456" w:type="pct"/>
            <w:tcBorders>
              <w:top w:val="single" w:sz="4" w:space="0" w:color="auto"/>
              <w:left w:val="single" w:sz="4" w:space="0" w:color="auto"/>
              <w:bottom w:val="single" w:sz="4" w:space="0" w:color="auto"/>
              <w:right w:val="single" w:sz="4" w:space="0" w:color="auto"/>
            </w:tcBorders>
          </w:tcPr>
          <w:p w14:paraId="1AF933E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548288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C47FBE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09737CB"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44411AF"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2671D20" w14:textId="77777777" w:rsidR="003A71DE" w:rsidRPr="00EA3B97" w:rsidRDefault="003A71DE" w:rsidP="007835E8">
            <w:pPr>
              <w:pStyle w:val="TAC"/>
              <w:rPr>
                <w:rFonts w:eastAsiaTheme="minorEastAsia"/>
              </w:rPr>
            </w:pPr>
          </w:p>
        </w:tc>
      </w:tr>
      <w:tr w:rsidR="003A71DE" w:rsidRPr="00EA3B97" w14:paraId="0836043E"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40FD8F99" w14:textId="77777777" w:rsidR="003A71DE" w:rsidRPr="00EA3B97" w:rsidRDefault="003A71DE" w:rsidP="007835E8">
            <w:pPr>
              <w:pStyle w:val="TAL"/>
              <w:rPr>
                <w:rFonts w:eastAsiaTheme="minorEastAsia"/>
              </w:rPr>
            </w:pPr>
            <w:r w:rsidRPr="00EA3B97">
              <w:rPr>
                <w:rFonts w:eastAsiaTheme="minorEastAsia"/>
              </w:rPr>
              <w:t>Duration of RMSI CORESET</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hideMark/>
          </w:tcPr>
          <w:p w14:paraId="5A7ABE2B" w14:textId="77777777" w:rsidR="003A71DE" w:rsidRPr="00EA3B97" w:rsidRDefault="003A71DE" w:rsidP="007835E8">
            <w:pPr>
              <w:pStyle w:val="TAC"/>
              <w:rPr>
                <w:rFonts w:eastAsiaTheme="minorEastAsia"/>
              </w:rPr>
            </w:pPr>
            <w:r w:rsidRPr="00EA3B97">
              <w:rPr>
                <w:rFonts w:eastAsiaTheme="minorEastAsia"/>
              </w:rPr>
              <w:t>symbols</w:t>
            </w:r>
          </w:p>
        </w:tc>
        <w:tc>
          <w:tcPr>
            <w:tcW w:w="576" w:type="pct"/>
            <w:tcBorders>
              <w:top w:val="single" w:sz="4" w:space="0" w:color="auto"/>
              <w:left w:val="single" w:sz="4" w:space="0" w:color="auto"/>
              <w:bottom w:val="single" w:sz="4" w:space="0" w:color="auto"/>
              <w:right w:val="single" w:sz="4" w:space="0" w:color="auto"/>
            </w:tcBorders>
            <w:hideMark/>
          </w:tcPr>
          <w:p w14:paraId="31DE4C71" w14:textId="77777777" w:rsidR="003A71DE" w:rsidRPr="00EA3B97" w:rsidRDefault="003A71DE" w:rsidP="007835E8">
            <w:pPr>
              <w:pStyle w:val="TAC"/>
              <w:rPr>
                <w:rFonts w:eastAsiaTheme="minorEastAsia"/>
              </w:rPr>
            </w:pPr>
            <w:r w:rsidRPr="00EA3B97">
              <w:rPr>
                <w:rFonts w:eastAsiaTheme="minorEastAsia"/>
              </w:rPr>
              <w:t>2</w:t>
            </w:r>
          </w:p>
        </w:tc>
        <w:tc>
          <w:tcPr>
            <w:tcW w:w="456" w:type="pct"/>
            <w:tcBorders>
              <w:top w:val="single" w:sz="4" w:space="0" w:color="auto"/>
              <w:left w:val="single" w:sz="4" w:space="0" w:color="auto"/>
              <w:bottom w:val="single" w:sz="4" w:space="0" w:color="auto"/>
              <w:right w:val="single" w:sz="4" w:space="0" w:color="auto"/>
            </w:tcBorders>
          </w:tcPr>
          <w:p w14:paraId="3827563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822E9D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E72055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742EC51"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D708484"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5098926B" w14:textId="77777777" w:rsidR="003A71DE" w:rsidRPr="00EA3B97" w:rsidRDefault="003A71DE" w:rsidP="007835E8">
            <w:pPr>
              <w:pStyle w:val="TAC"/>
              <w:rPr>
                <w:rFonts w:eastAsiaTheme="minorEastAsia"/>
              </w:rPr>
            </w:pPr>
          </w:p>
        </w:tc>
      </w:tr>
      <w:tr w:rsidR="003A71DE" w:rsidRPr="00EA3B97" w14:paraId="28C99F9E"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1B4D6B2F" w14:textId="77777777" w:rsidR="003A71DE" w:rsidRPr="00EA3B97" w:rsidRDefault="003A71DE" w:rsidP="007835E8">
            <w:pPr>
              <w:pStyle w:val="TAL"/>
              <w:rPr>
                <w:rFonts w:eastAsiaTheme="minorEastAsia"/>
              </w:rPr>
            </w:pPr>
            <w:r w:rsidRPr="00EA3B97">
              <w:rPr>
                <w:rFonts w:eastAsiaTheme="minorEastAsia"/>
              </w:rPr>
              <w:t xml:space="preserve">DCI Format </w:t>
            </w:r>
            <w:r w:rsidRPr="00EA3B97">
              <w:rPr>
                <w:rFonts w:eastAsiaTheme="minorEastAsia"/>
                <w:vertAlign w:val="superscript"/>
              </w:rPr>
              <w:t>Note 1</w:t>
            </w:r>
          </w:p>
        </w:tc>
        <w:tc>
          <w:tcPr>
            <w:tcW w:w="469" w:type="pct"/>
            <w:tcBorders>
              <w:top w:val="single" w:sz="4" w:space="0" w:color="auto"/>
              <w:left w:val="single" w:sz="4" w:space="0" w:color="auto"/>
              <w:bottom w:val="single" w:sz="4" w:space="0" w:color="auto"/>
              <w:right w:val="single" w:sz="4" w:space="0" w:color="auto"/>
            </w:tcBorders>
          </w:tcPr>
          <w:p w14:paraId="0415A772"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4DC56AD3" w14:textId="77777777" w:rsidR="003A71DE" w:rsidRPr="00EA3B97" w:rsidRDefault="003A71DE" w:rsidP="007835E8">
            <w:pPr>
              <w:pStyle w:val="TAC"/>
              <w:rPr>
                <w:rFonts w:eastAsiaTheme="minorEastAsia"/>
              </w:rPr>
            </w:pPr>
            <w:r w:rsidRPr="00EA3B97">
              <w:rPr>
                <w:rFonts w:eastAsiaTheme="minorEastAsia"/>
              </w:rPr>
              <w:t>Note 2</w:t>
            </w:r>
          </w:p>
        </w:tc>
        <w:tc>
          <w:tcPr>
            <w:tcW w:w="456" w:type="pct"/>
            <w:tcBorders>
              <w:top w:val="single" w:sz="4" w:space="0" w:color="auto"/>
              <w:left w:val="single" w:sz="4" w:space="0" w:color="auto"/>
              <w:bottom w:val="single" w:sz="4" w:space="0" w:color="auto"/>
              <w:right w:val="single" w:sz="4" w:space="0" w:color="auto"/>
            </w:tcBorders>
          </w:tcPr>
          <w:p w14:paraId="299FF32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83FD21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36CB68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CA2DC44"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EE8EF46"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593030B6" w14:textId="77777777" w:rsidR="003A71DE" w:rsidRPr="00EA3B97" w:rsidRDefault="003A71DE" w:rsidP="007835E8">
            <w:pPr>
              <w:pStyle w:val="TAC"/>
              <w:rPr>
                <w:rFonts w:eastAsiaTheme="minorEastAsia"/>
              </w:rPr>
            </w:pPr>
          </w:p>
        </w:tc>
      </w:tr>
      <w:tr w:rsidR="003A71DE" w:rsidRPr="00EA3B97" w14:paraId="769EF97F"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59FD40A5" w14:textId="77777777" w:rsidR="003A71DE" w:rsidRPr="00EA3B97" w:rsidRDefault="003A71DE" w:rsidP="007835E8">
            <w:pPr>
              <w:pStyle w:val="TAL"/>
              <w:rPr>
                <w:rFonts w:eastAsiaTheme="minorEastAsia"/>
              </w:rPr>
            </w:pPr>
            <w:r w:rsidRPr="00EA3B97">
              <w:rPr>
                <w:rFonts w:eastAsiaTheme="minorEastAsia"/>
              </w:rPr>
              <w:t>Aggregation level</w:t>
            </w:r>
          </w:p>
        </w:tc>
        <w:tc>
          <w:tcPr>
            <w:tcW w:w="469" w:type="pct"/>
            <w:tcBorders>
              <w:top w:val="single" w:sz="4" w:space="0" w:color="auto"/>
              <w:left w:val="single" w:sz="4" w:space="0" w:color="auto"/>
              <w:bottom w:val="single" w:sz="4" w:space="0" w:color="auto"/>
              <w:right w:val="single" w:sz="4" w:space="0" w:color="auto"/>
            </w:tcBorders>
            <w:hideMark/>
          </w:tcPr>
          <w:p w14:paraId="63A5E862" w14:textId="77777777" w:rsidR="003A71DE" w:rsidRPr="00EA3B97" w:rsidRDefault="003A71DE" w:rsidP="007835E8">
            <w:pPr>
              <w:pStyle w:val="TAC"/>
              <w:rPr>
                <w:rFonts w:eastAsiaTheme="minorEastAsia"/>
              </w:rPr>
            </w:pPr>
            <w:r w:rsidRPr="00EA3B97">
              <w:rPr>
                <w:rFonts w:eastAsiaTheme="minorEastAsia"/>
              </w:rPr>
              <w:t>CCE</w:t>
            </w:r>
          </w:p>
        </w:tc>
        <w:tc>
          <w:tcPr>
            <w:tcW w:w="576" w:type="pct"/>
            <w:tcBorders>
              <w:top w:val="single" w:sz="4" w:space="0" w:color="auto"/>
              <w:left w:val="single" w:sz="4" w:space="0" w:color="auto"/>
              <w:bottom w:val="single" w:sz="4" w:space="0" w:color="auto"/>
              <w:right w:val="single" w:sz="4" w:space="0" w:color="auto"/>
            </w:tcBorders>
            <w:hideMark/>
          </w:tcPr>
          <w:p w14:paraId="6ED0EDC3" w14:textId="77777777" w:rsidR="003A71DE" w:rsidRPr="00EA3B97" w:rsidRDefault="003A71DE" w:rsidP="007835E8">
            <w:pPr>
              <w:pStyle w:val="TAC"/>
              <w:rPr>
                <w:rFonts w:eastAsiaTheme="minorEastAsia"/>
              </w:rPr>
            </w:pPr>
            <w:r w:rsidRPr="00EA3B97">
              <w:rPr>
                <w:rFonts w:eastAsiaTheme="minorEastAsia"/>
              </w:rPr>
              <w:t>8</w:t>
            </w:r>
          </w:p>
        </w:tc>
        <w:tc>
          <w:tcPr>
            <w:tcW w:w="456" w:type="pct"/>
            <w:tcBorders>
              <w:top w:val="single" w:sz="4" w:space="0" w:color="auto"/>
              <w:left w:val="single" w:sz="4" w:space="0" w:color="auto"/>
              <w:bottom w:val="single" w:sz="4" w:space="0" w:color="auto"/>
              <w:right w:val="single" w:sz="4" w:space="0" w:color="auto"/>
            </w:tcBorders>
          </w:tcPr>
          <w:p w14:paraId="603E3CD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EB0C64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EB30773"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531C46E"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149A154"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40BEE689" w14:textId="77777777" w:rsidR="003A71DE" w:rsidRPr="00EA3B97" w:rsidRDefault="003A71DE" w:rsidP="007835E8">
            <w:pPr>
              <w:pStyle w:val="TAC"/>
              <w:rPr>
                <w:rFonts w:eastAsiaTheme="minorEastAsia"/>
              </w:rPr>
            </w:pPr>
          </w:p>
        </w:tc>
      </w:tr>
      <w:tr w:rsidR="003A71DE" w:rsidRPr="00EA3B97" w14:paraId="0741D68A"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4BD67446" w14:textId="77777777" w:rsidR="003A71DE" w:rsidRPr="00EA3B97" w:rsidRDefault="003A71DE" w:rsidP="007835E8">
            <w:pPr>
              <w:pStyle w:val="TAL"/>
              <w:rPr>
                <w:rFonts w:eastAsiaTheme="minorEastAsia"/>
              </w:rPr>
            </w:pPr>
            <w:r w:rsidRPr="00EA3B97">
              <w:rPr>
                <w:rFonts w:eastAsiaTheme="minorEastAsia"/>
              </w:rPr>
              <w:t>DMRS precoder granularity</w:t>
            </w:r>
          </w:p>
        </w:tc>
        <w:tc>
          <w:tcPr>
            <w:tcW w:w="469" w:type="pct"/>
            <w:tcBorders>
              <w:top w:val="single" w:sz="4" w:space="0" w:color="auto"/>
              <w:left w:val="single" w:sz="4" w:space="0" w:color="auto"/>
              <w:bottom w:val="single" w:sz="4" w:space="0" w:color="auto"/>
              <w:right w:val="single" w:sz="4" w:space="0" w:color="auto"/>
            </w:tcBorders>
          </w:tcPr>
          <w:p w14:paraId="7D377412"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536CE427"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6" w:type="pct"/>
            <w:tcBorders>
              <w:top w:val="single" w:sz="4" w:space="0" w:color="auto"/>
              <w:left w:val="single" w:sz="4" w:space="0" w:color="auto"/>
              <w:bottom w:val="single" w:sz="4" w:space="0" w:color="auto"/>
              <w:right w:val="single" w:sz="4" w:space="0" w:color="auto"/>
            </w:tcBorders>
          </w:tcPr>
          <w:p w14:paraId="137991B3"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39D7383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094C56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6654946"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66B8C1E4"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58F34242" w14:textId="77777777" w:rsidR="003A71DE" w:rsidRPr="00EA3B97" w:rsidRDefault="003A71DE" w:rsidP="007835E8">
            <w:pPr>
              <w:pStyle w:val="TAC"/>
              <w:rPr>
                <w:rFonts w:eastAsiaTheme="minorEastAsia"/>
              </w:rPr>
            </w:pPr>
          </w:p>
        </w:tc>
      </w:tr>
      <w:tr w:rsidR="003A71DE" w:rsidRPr="00EA3B97" w14:paraId="67F472DB"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03D02994" w14:textId="77777777" w:rsidR="003A71DE" w:rsidRPr="00EA3B97" w:rsidRDefault="003A71DE" w:rsidP="007835E8">
            <w:pPr>
              <w:pStyle w:val="TAL"/>
              <w:rPr>
                <w:rFonts w:eastAsiaTheme="minorEastAsia"/>
              </w:rPr>
            </w:pPr>
            <w:r w:rsidRPr="00EA3B97">
              <w:rPr>
                <w:rFonts w:eastAsiaTheme="minorEastAsia"/>
              </w:rPr>
              <w:t>REG bundle size</w:t>
            </w:r>
          </w:p>
        </w:tc>
        <w:tc>
          <w:tcPr>
            <w:tcW w:w="469" w:type="pct"/>
            <w:tcBorders>
              <w:top w:val="single" w:sz="4" w:space="0" w:color="auto"/>
              <w:left w:val="single" w:sz="4" w:space="0" w:color="auto"/>
              <w:bottom w:val="single" w:sz="4" w:space="0" w:color="auto"/>
              <w:right w:val="single" w:sz="4" w:space="0" w:color="auto"/>
            </w:tcBorders>
          </w:tcPr>
          <w:p w14:paraId="63D7C424"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678C8DD0"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6" w:type="pct"/>
            <w:tcBorders>
              <w:top w:val="single" w:sz="4" w:space="0" w:color="auto"/>
              <w:left w:val="single" w:sz="4" w:space="0" w:color="auto"/>
              <w:bottom w:val="single" w:sz="4" w:space="0" w:color="auto"/>
              <w:right w:val="single" w:sz="4" w:space="0" w:color="auto"/>
            </w:tcBorders>
          </w:tcPr>
          <w:p w14:paraId="1629649E"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4D05C52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1688AFB"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2A8B306"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CE8C020"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781F6862" w14:textId="77777777" w:rsidR="003A71DE" w:rsidRPr="00EA3B97" w:rsidRDefault="003A71DE" w:rsidP="007835E8">
            <w:pPr>
              <w:pStyle w:val="TAC"/>
              <w:rPr>
                <w:rFonts w:eastAsiaTheme="minorEastAsia"/>
              </w:rPr>
            </w:pPr>
          </w:p>
        </w:tc>
      </w:tr>
      <w:tr w:rsidR="003A71DE" w:rsidRPr="00EA3B97" w14:paraId="75A4928D"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27E7341F" w14:textId="77777777" w:rsidR="003A71DE" w:rsidRPr="00EA3B97" w:rsidRDefault="003A71DE" w:rsidP="007835E8">
            <w:pPr>
              <w:pStyle w:val="TAL"/>
              <w:rPr>
                <w:rFonts w:eastAsiaTheme="minorEastAsia"/>
              </w:rPr>
            </w:pPr>
            <w:r w:rsidRPr="00EA3B97">
              <w:rPr>
                <w:rFonts w:eastAsiaTheme="minorEastAsia"/>
              </w:rPr>
              <w:t>Mapping from REG to CCE</w:t>
            </w:r>
          </w:p>
        </w:tc>
        <w:tc>
          <w:tcPr>
            <w:tcW w:w="469" w:type="pct"/>
            <w:tcBorders>
              <w:top w:val="single" w:sz="4" w:space="0" w:color="auto"/>
              <w:left w:val="single" w:sz="4" w:space="0" w:color="auto"/>
              <w:bottom w:val="single" w:sz="4" w:space="0" w:color="auto"/>
              <w:right w:val="single" w:sz="4" w:space="0" w:color="auto"/>
            </w:tcBorders>
          </w:tcPr>
          <w:p w14:paraId="6BC746B3"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56F03F21" w14:textId="77777777" w:rsidR="003A71DE" w:rsidRPr="00EA3B97" w:rsidRDefault="003A71DE" w:rsidP="007835E8">
            <w:pPr>
              <w:pStyle w:val="TAC"/>
              <w:rPr>
                <w:rFonts w:eastAsiaTheme="minorEastAsia"/>
              </w:rPr>
            </w:pPr>
            <w:r w:rsidRPr="00EA3B97">
              <w:rPr>
                <w:rFonts w:eastAsiaTheme="minorEastAsia"/>
              </w:rPr>
              <w:t>Distributed</w:t>
            </w:r>
          </w:p>
        </w:tc>
        <w:tc>
          <w:tcPr>
            <w:tcW w:w="456" w:type="pct"/>
            <w:tcBorders>
              <w:top w:val="single" w:sz="4" w:space="0" w:color="auto"/>
              <w:left w:val="single" w:sz="4" w:space="0" w:color="auto"/>
              <w:bottom w:val="single" w:sz="4" w:space="0" w:color="auto"/>
              <w:right w:val="single" w:sz="4" w:space="0" w:color="auto"/>
            </w:tcBorders>
          </w:tcPr>
          <w:p w14:paraId="59B2C9C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AF49E2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5633DF7"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B4D0EBC"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363B329E"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8119597" w14:textId="77777777" w:rsidR="003A71DE" w:rsidRPr="00EA3B97" w:rsidRDefault="003A71DE" w:rsidP="007835E8">
            <w:pPr>
              <w:pStyle w:val="TAC"/>
              <w:rPr>
                <w:rFonts w:eastAsiaTheme="minorEastAsia"/>
              </w:rPr>
            </w:pPr>
          </w:p>
        </w:tc>
      </w:tr>
      <w:tr w:rsidR="003A71DE" w:rsidRPr="00EA3B97" w14:paraId="3AB585E1"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45971D1D" w14:textId="77777777" w:rsidR="003A71DE" w:rsidRPr="00EA3B97" w:rsidRDefault="003A71DE" w:rsidP="007835E8">
            <w:pPr>
              <w:pStyle w:val="TAL"/>
              <w:rPr>
                <w:rFonts w:eastAsiaTheme="minorEastAsia"/>
              </w:rPr>
            </w:pPr>
            <w:r w:rsidRPr="00EA3B97">
              <w:rPr>
                <w:rFonts w:eastAsiaTheme="minorEastAsia"/>
              </w:rPr>
              <w:t>Cell ID</w:t>
            </w:r>
          </w:p>
        </w:tc>
        <w:tc>
          <w:tcPr>
            <w:tcW w:w="469" w:type="pct"/>
            <w:tcBorders>
              <w:top w:val="single" w:sz="4" w:space="0" w:color="auto"/>
              <w:left w:val="single" w:sz="4" w:space="0" w:color="auto"/>
              <w:bottom w:val="single" w:sz="4" w:space="0" w:color="auto"/>
              <w:right w:val="single" w:sz="4" w:space="0" w:color="auto"/>
            </w:tcBorders>
          </w:tcPr>
          <w:p w14:paraId="5144BEF8"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555F1D57" w14:textId="77777777" w:rsidR="003A71DE" w:rsidRPr="00EA3B97" w:rsidRDefault="003A71DE" w:rsidP="007835E8">
            <w:pPr>
              <w:pStyle w:val="TAC"/>
              <w:rPr>
                <w:rFonts w:eastAsiaTheme="minorEastAsia"/>
              </w:rPr>
            </w:pPr>
            <w:r w:rsidRPr="00EA3B97">
              <w:rPr>
                <w:rFonts w:eastAsiaTheme="minorEastAsia"/>
              </w:rPr>
              <w:t>Note 5</w:t>
            </w:r>
          </w:p>
        </w:tc>
        <w:tc>
          <w:tcPr>
            <w:tcW w:w="456" w:type="pct"/>
            <w:tcBorders>
              <w:top w:val="single" w:sz="4" w:space="0" w:color="auto"/>
              <w:left w:val="single" w:sz="4" w:space="0" w:color="auto"/>
              <w:bottom w:val="single" w:sz="4" w:space="0" w:color="auto"/>
              <w:right w:val="single" w:sz="4" w:space="0" w:color="auto"/>
            </w:tcBorders>
          </w:tcPr>
          <w:p w14:paraId="3CF5660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D56EE3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AFD49C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2047863"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608B5C2F"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5D5C5854" w14:textId="77777777" w:rsidR="003A71DE" w:rsidRPr="00EA3B97" w:rsidRDefault="003A71DE" w:rsidP="007835E8">
            <w:pPr>
              <w:pStyle w:val="TAC"/>
              <w:rPr>
                <w:rFonts w:eastAsiaTheme="minorEastAsia"/>
              </w:rPr>
            </w:pPr>
          </w:p>
        </w:tc>
      </w:tr>
      <w:tr w:rsidR="003A71DE" w:rsidRPr="00EA3B97" w14:paraId="57B8293B"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0DDC9C6" w14:textId="77777777" w:rsidR="003A71DE" w:rsidRPr="00EA3B97" w:rsidRDefault="003A71DE" w:rsidP="007835E8">
            <w:pPr>
              <w:pStyle w:val="TAL"/>
              <w:rPr>
                <w:rFonts w:eastAsiaTheme="minorEastAsia"/>
              </w:rPr>
            </w:pPr>
            <w:r w:rsidRPr="00EA3B97">
              <w:rPr>
                <w:rFonts w:eastAsiaTheme="minorEastAsia"/>
              </w:rPr>
              <w:t>Payload (without CRC)</w:t>
            </w:r>
          </w:p>
        </w:tc>
        <w:tc>
          <w:tcPr>
            <w:tcW w:w="469" w:type="pct"/>
            <w:tcBorders>
              <w:top w:val="single" w:sz="4" w:space="0" w:color="auto"/>
              <w:left w:val="single" w:sz="4" w:space="0" w:color="auto"/>
              <w:bottom w:val="single" w:sz="4" w:space="0" w:color="auto"/>
              <w:right w:val="single" w:sz="4" w:space="0" w:color="auto"/>
            </w:tcBorders>
            <w:hideMark/>
          </w:tcPr>
          <w:p w14:paraId="3792A43F" w14:textId="77777777" w:rsidR="003A71DE" w:rsidRPr="00EA3B97" w:rsidRDefault="003A71DE" w:rsidP="003A71DE">
            <w:pPr>
              <w:keepNext/>
              <w:keepLines/>
              <w:spacing w:after="0"/>
              <w:jc w:val="center"/>
              <w:rPr>
                <w:rFonts w:ascii="Arial" w:eastAsiaTheme="minorEastAsia" w:hAnsi="Arial" w:cs="Arial"/>
                <w:sz w:val="18"/>
              </w:rPr>
            </w:pPr>
            <w:r w:rsidRPr="00EA3B97">
              <w:rPr>
                <w:rFonts w:ascii="Arial" w:eastAsiaTheme="minorEastAsia" w:hAnsi="Arial" w:cs="Arial"/>
                <w:sz w:val="18"/>
              </w:rPr>
              <w:t>bits</w:t>
            </w:r>
          </w:p>
        </w:tc>
        <w:tc>
          <w:tcPr>
            <w:tcW w:w="576" w:type="pct"/>
            <w:tcBorders>
              <w:top w:val="single" w:sz="4" w:space="0" w:color="auto"/>
              <w:left w:val="single" w:sz="4" w:space="0" w:color="auto"/>
              <w:bottom w:val="single" w:sz="4" w:space="0" w:color="auto"/>
              <w:right w:val="single" w:sz="4" w:space="0" w:color="auto"/>
            </w:tcBorders>
            <w:hideMark/>
          </w:tcPr>
          <w:p w14:paraId="0FB3CD45" w14:textId="77777777" w:rsidR="003A71DE" w:rsidRPr="00EA3B97" w:rsidRDefault="003A71DE" w:rsidP="003A71DE">
            <w:pPr>
              <w:keepNext/>
              <w:keepLines/>
              <w:spacing w:after="0"/>
              <w:jc w:val="center"/>
              <w:rPr>
                <w:rFonts w:ascii="Arial" w:eastAsiaTheme="minorEastAsia" w:hAnsi="Arial" w:cs="Arial"/>
                <w:sz w:val="18"/>
              </w:rPr>
            </w:pPr>
            <w:r w:rsidRPr="00EA3B97">
              <w:rPr>
                <w:rFonts w:ascii="Arial" w:eastAsiaTheme="minorEastAsia" w:hAnsi="Arial" w:cs="Arial"/>
                <w:sz w:val="18"/>
              </w:rPr>
              <w:t>Note 6</w:t>
            </w:r>
          </w:p>
        </w:tc>
        <w:tc>
          <w:tcPr>
            <w:tcW w:w="456" w:type="pct"/>
            <w:tcBorders>
              <w:top w:val="single" w:sz="4" w:space="0" w:color="auto"/>
              <w:left w:val="single" w:sz="4" w:space="0" w:color="auto"/>
              <w:bottom w:val="single" w:sz="4" w:space="0" w:color="auto"/>
              <w:right w:val="single" w:sz="4" w:space="0" w:color="auto"/>
            </w:tcBorders>
          </w:tcPr>
          <w:p w14:paraId="7FD6955F" w14:textId="77777777" w:rsidR="003A71DE" w:rsidRPr="00EA3B97" w:rsidRDefault="003A71DE" w:rsidP="003A71DE">
            <w:pPr>
              <w:keepNext/>
              <w:keepLines/>
              <w:spacing w:after="0"/>
              <w:jc w:val="center"/>
              <w:rPr>
                <w:rFonts w:ascii="Arial" w:eastAsiaTheme="minorEastAsia" w:hAnsi="Arial" w:cs="Arial"/>
                <w:sz w:val="18"/>
              </w:rPr>
            </w:pPr>
          </w:p>
        </w:tc>
        <w:tc>
          <w:tcPr>
            <w:tcW w:w="456" w:type="pct"/>
            <w:tcBorders>
              <w:top w:val="single" w:sz="4" w:space="0" w:color="auto"/>
              <w:left w:val="single" w:sz="4" w:space="0" w:color="auto"/>
              <w:bottom w:val="single" w:sz="4" w:space="0" w:color="auto"/>
              <w:right w:val="single" w:sz="4" w:space="0" w:color="auto"/>
            </w:tcBorders>
          </w:tcPr>
          <w:p w14:paraId="662D5E63" w14:textId="77777777" w:rsidR="003A71DE" w:rsidRPr="00EA3B97" w:rsidRDefault="003A71DE" w:rsidP="003A71DE">
            <w:pPr>
              <w:keepNext/>
              <w:keepLines/>
              <w:spacing w:after="0"/>
              <w:jc w:val="center"/>
              <w:rPr>
                <w:rFonts w:ascii="Arial" w:eastAsiaTheme="minorEastAsia" w:hAnsi="Arial" w:cs="Arial"/>
                <w:sz w:val="18"/>
              </w:rPr>
            </w:pPr>
          </w:p>
        </w:tc>
        <w:tc>
          <w:tcPr>
            <w:tcW w:w="456" w:type="pct"/>
            <w:tcBorders>
              <w:top w:val="single" w:sz="4" w:space="0" w:color="auto"/>
              <w:left w:val="single" w:sz="4" w:space="0" w:color="auto"/>
              <w:bottom w:val="single" w:sz="4" w:space="0" w:color="auto"/>
              <w:right w:val="single" w:sz="4" w:space="0" w:color="auto"/>
            </w:tcBorders>
          </w:tcPr>
          <w:p w14:paraId="758AE5FC" w14:textId="77777777" w:rsidR="003A71DE" w:rsidRPr="00EA3B97" w:rsidRDefault="003A71DE" w:rsidP="003A71DE">
            <w:pPr>
              <w:keepNext/>
              <w:keepLines/>
              <w:spacing w:after="0"/>
              <w:jc w:val="center"/>
              <w:rPr>
                <w:rFonts w:ascii="Arial" w:eastAsiaTheme="minorEastAsia" w:hAnsi="Arial" w:cs="Arial"/>
                <w:sz w:val="18"/>
              </w:rPr>
            </w:pPr>
          </w:p>
        </w:tc>
        <w:tc>
          <w:tcPr>
            <w:tcW w:w="456" w:type="pct"/>
            <w:tcBorders>
              <w:top w:val="single" w:sz="4" w:space="0" w:color="auto"/>
              <w:left w:val="single" w:sz="4" w:space="0" w:color="auto"/>
              <w:bottom w:val="single" w:sz="4" w:space="0" w:color="auto"/>
              <w:right w:val="single" w:sz="4" w:space="0" w:color="auto"/>
            </w:tcBorders>
          </w:tcPr>
          <w:p w14:paraId="6CA5F592" w14:textId="77777777" w:rsidR="003A71DE" w:rsidRPr="00EA3B97" w:rsidRDefault="003A71DE" w:rsidP="003A71DE">
            <w:pPr>
              <w:keepNext/>
              <w:keepLines/>
              <w:spacing w:after="0"/>
              <w:jc w:val="center"/>
              <w:rPr>
                <w:rFonts w:ascii="Arial" w:eastAsiaTheme="minorEastAsia" w:hAnsi="Arial" w:cs="Arial"/>
                <w:sz w:val="18"/>
              </w:rPr>
            </w:pPr>
          </w:p>
        </w:tc>
        <w:tc>
          <w:tcPr>
            <w:tcW w:w="457" w:type="pct"/>
            <w:tcBorders>
              <w:top w:val="single" w:sz="4" w:space="0" w:color="auto"/>
              <w:left w:val="single" w:sz="4" w:space="0" w:color="auto"/>
              <w:bottom w:val="single" w:sz="4" w:space="0" w:color="auto"/>
              <w:right w:val="single" w:sz="4" w:space="0" w:color="auto"/>
            </w:tcBorders>
          </w:tcPr>
          <w:p w14:paraId="35CADA26" w14:textId="77777777" w:rsidR="003A71DE" w:rsidRPr="00EA3B97" w:rsidRDefault="003A71DE" w:rsidP="003A71DE">
            <w:pPr>
              <w:keepNext/>
              <w:keepLines/>
              <w:spacing w:after="0"/>
              <w:jc w:val="center"/>
              <w:rPr>
                <w:rFonts w:ascii="Arial" w:eastAsiaTheme="minorEastAsia" w:hAnsi="Arial" w:cs="Arial"/>
                <w:sz w:val="18"/>
              </w:rPr>
            </w:pPr>
          </w:p>
        </w:tc>
        <w:tc>
          <w:tcPr>
            <w:tcW w:w="455" w:type="pct"/>
            <w:tcBorders>
              <w:top w:val="single" w:sz="4" w:space="0" w:color="auto"/>
              <w:left w:val="single" w:sz="4" w:space="0" w:color="auto"/>
              <w:bottom w:val="single" w:sz="4" w:space="0" w:color="auto"/>
              <w:right w:val="single" w:sz="4" w:space="0" w:color="auto"/>
            </w:tcBorders>
          </w:tcPr>
          <w:p w14:paraId="421FC43D" w14:textId="77777777" w:rsidR="003A71DE" w:rsidRPr="00EA3B97" w:rsidRDefault="003A71DE" w:rsidP="003A71DE">
            <w:pPr>
              <w:keepNext/>
              <w:keepLines/>
              <w:spacing w:after="0"/>
              <w:jc w:val="center"/>
              <w:rPr>
                <w:rFonts w:ascii="Arial" w:eastAsiaTheme="minorEastAsia" w:hAnsi="Arial" w:cs="Arial"/>
                <w:sz w:val="18"/>
              </w:rPr>
            </w:pPr>
          </w:p>
        </w:tc>
      </w:tr>
      <w:tr w:rsidR="003A71DE" w:rsidRPr="00EA3B97" w14:paraId="234A4B0E"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hideMark/>
          </w:tcPr>
          <w:p w14:paraId="4F12AACD"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DCI formats are defined in TS 38.212.</w:t>
            </w:r>
          </w:p>
          <w:p w14:paraId="1A2F69AB"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DCI format shall depend upon the test configuration.</w:t>
            </w:r>
          </w:p>
          <w:p w14:paraId="27F58DE1" w14:textId="77777777" w:rsidR="003A71DE" w:rsidRPr="00EA3B97" w:rsidRDefault="003A71DE" w:rsidP="007835E8">
            <w:pPr>
              <w:pStyle w:val="TAN"/>
              <w:rPr>
                <w:rFonts w:eastAsiaTheme="minorEastAsia"/>
                <w:lang w:val="en-US"/>
              </w:rPr>
            </w:pPr>
            <w:r w:rsidRPr="00EA3B97">
              <w:rPr>
                <w:rFonts w:eastAsiaTheme="minorEastAsia"/>
              </w:rPr>
              <w:t>Note 3:</w:t>
            </w:r>
            <w:r w:rsidRPr="00EA3B97">
              <w:rPr>
                <w:rFonts w:eastAsiaTheme="minorEastAsia"/>
              </w:rPr>
              <w:tab/>
            </w:r>
            <w:r w:rsidRPr="00EA3B97">
              <w:rPr>
                <w:rFonts w:eastAsiaTheme="minorEastAsia"/>
                <w:lang w:val="en-US"/>
              </w:rPr>
              <w:t>The offset is defined with respect to the subcarrier spacing of the CORESET from the smallest RB index of RMSI CORESET to the smallest RB index of the common RB overlapping with the first RB of the SS/PBCH block.</w:t>
            </w:r>
          </w:p>
          <w:p w14:paraId="1250B287" w14:textId="77777777" w:rsidR="003A71DE" w:rsidRPr="00EA3B97" w:rsidRDefault="003A71DE" w:rsidP="007835E8">
            <w:pPr>
              <w:pStyle w:val="TAN"/>
              <w:rPr>
                <w:rFonts w:eastAsiaTheme="minorEastAsia"/>
              </w:rPr>
            </w:pPr>
            <w:r w:rsidRPr="00EA3B97">
              <w:rPr>
                <w:rFonts w:eastAsiaTheme="minorEastAsia"/>
              </w:rPr>
              <w:t>Note 4:</w:t>
            </w:r>
            <w:r w:rsidRPr="00EA3B97">
              <w:rPr>
                <w:rFonts w:eastAsiaTheme="minorEastAsia"/>
              </w:rPr>
              <w:tab/>
              <w:t xml:space="preserve">The configuration of PDCCH monitoring occasions for </w:t>
            </w:r>
            <w:r w:rsidRPr="00EA3B97">
              <w:rPr>
                <w:rFonts w:eastAsiaTheme="minorEastAsia"/>
                <w:lang w:eastAsia="zh-CN"/>
              </w:rPr>
              <w:t>RMSI CORESET</w:t>
            </w:r>
            <w:r w:rsidRPr="00EA3B97">
              <w:rPr>
                <w:rFonts w:eastAsiaTheme="minorEastAsia"/>
              </w:rPr>
              <w:t xml:space="preserve"> is defined in Table 13-11 in TS 38.213 [3].</w:t>
            </w:r>
          </w:p>
          <w:p w14:paraId="3CDDAAF4" w14:textId="77777777" w:rsidR="003A71DE" w:rsidRPr="00EA3B97" w:rsidRDefault="003A71DE" w:rsidP="007835E8">
            <w:pPr>
              <w:pStyle w:val="TAN"/>
              <w:rPr>
                <w:rFonts w:eastAsiaTheme="minorEastAsia"/>
              </w:rPr>
            </w:pPr>
            <w:r w:rsidRPr="00EA3B97">
              <w:rPr>
                <w:rFonts w:eastAsiaTheme="minorEastAsia"/>
              </w:rPr>
              <w:t>Note 5:</w:t>
            </w:r>
            <w:r w:rsidRPr="00EA3B97">
              <w:rPr>
                <w:rFonts w:eastAsiaTheme="minorEastAsia"/>
              </w:rPr>
              <w:tab/>
              <w:t>Cell ID shall depend upon the test configuration.</w:t>
            </w:r>
          </w:p>
          <w:p w14:paraId="1EF4182D" w14:textId="77777777" w:rsidR="003A71DE" w:rsidRPr="00EA3B97" w:rsidRDefault="003A71DE" w:rsidP="007835E8">
            <w:pPr>
              <w:pStyle w:val="TAN"/>
              <w:rPr>
                <w:rFonts w:eastAsiaTheme="minorEastAsia"/>
              </w:rPr>
            </w:pPr>
            <w:r w:rsidRPr="00EA3B97">
              <w:rPr>
                <w:rFonts w:eastAsiaTheme="minorEastAsia"/>
              </w:rPr>
              <w:t>Note 6:</w:t>
            </w:r>
            <w:r w:rsidRPr="00EA3B97">
              <w:rPr>
                <w:rFonts w:eastAsiaTheme="minorEastAsia"/>
              </w:rPr>
              <w:tab/>
              <w:t>Payload size shall depend upon the test configuration.</w:t>
            </w:r>
          </w:p>
          <w:p w14:paraId="15503F68" w14:textId="2242E9BE" w:rsidR="003A71DE" w:rsidRPr="00EA3B97" w:rsidRDefault="003A71DE" w:rsidP="007835E8">
            <w:pPr>
              <w:pStyle w:val="TAN"/>
              <w:rPr>
                <w:rFonts w:eastAsiaTheme="minorEastAsia"/>
                <w:lang w:eastAsia="ja-JP"/>
              </w:rPr>
            </w:pPr>
            <w:r w:rsidRPr="00EA3B97">
              <w:rPr>
                <w:rFonts w:eastAsiaTheme="minorEastAsia"/>
              </w:rPr>
              <w:t xml:space="preserve">Note 7: </w:t>
            </w:r>
            <w:r w:rsidRPr="00EA3B97">
              <w:rPr>
                <w:rFonts w:eastAsiaTheme="minorEastAsia"/>
              </w:rPr>
              <w:tab/>
            </w:r>
            <w:r w:rsidRPr="00EA3B97">
              <w:rPr>
                <w:rFonts w:eastAsiaTheme="minorEastAsia"/>
                <w:lang w:eastAsia="ja-JP"/>
              </w:rPr>
              <w:t>The configuration of set of resource blocks and slot symbols of control resource set for Type0-PDCCH search space corresponds to index 0 in Table 13-6 in TS 38.213</w:t>
            </w:r>
            <w:r w:rsidR="00ED70DB">
              <w:rPr>
                <w:rFonts w:eastAsiaTheme="minorEastAsia"/>
                <w:lang w:eastAsia="ja-JP"/>
              </w:rPr>
              <w:t xml:space="preserve"> [</w:t>
            </w:r>
            <w:r w:rsidRPr="00EA3B97">
              <w:rPr>
                <w:rFonts w:eastAsiaTheme="minorEastAsia"/>
                <w:lang w:eastAsia="ja-JP"/>
              </w:rPr>
              <w:t>3].</w:t>
            </w:r>
          </w:p>
          <w:p w14:paraId="429D3014" w14:textId="77777777" w:rsidR="003A71DE" w:rsidRPr="00EA3B97" w:rsidRDefault="003A71DE" w:rsidP="007835E8">
            <w:pPr>
              <w:pStyle w:val="TAN"/>
              <w:rPr>
                <w:rFonts w:eastAsiaTheme="minorEastAsia"/>
              </w:rPr>
            </w:pPr>
            <w:r w:rsidRPr="00EA3B97">
              <w:rPr>
                <w:rFonts w:eastAsiaTheme="minorEastAsia"/>
              </w:rPr>
              <w:t>Note 8:</w:t>
            </w:r>
            <w:r w:rsidRPr="00EA3B97">
              <w:rPr>
                <w:rFonts w:eastAsiaTheme="minorEastAsia"/>
              </w:rPr>
              <w:tab/>
              <w:t>Other values can be used to align with GSCN [13] as long as SSB does not overlap the RMC.</w:t>
            </w:r>
          </w:p>
        </w:tc>
      </w:tr>
    </w:tbl>
    <w:p w14:paraId="742E1F1D" w14:textId="77777777" w:rsidR="003A71DE" w:rsidRPr="00EA3B97" w:rsidRDefault="003A71DE" w:rsidP="003A71DE">
      <w:pPr>
        <w:rPr>
          <w:rFonts w:eastAsia="MS Mincho"/>
          <w:noProof/>
        </w:rPr>
      </w:pPr>
    </w:p>
    <w:p w14:paraId="286CA33B" w14:textId="77777777" w:rsidR="003A71DE" w:rsidRPr="00EA3B97" w:rsidRDefault="003A71DE" w:rsidP="006578B5">
      <w:pPr>
        <w:pStyle w:val="TH"/>
        <w:rPr>
          <w:rFonts w:eastAsiaTheme="minorEastAsia"/>
        </w:rPr>
      </w:pPr>
      <w:r w:rsidRPr="00EA3B97">
        <w:rPr>
          <w:rFonts w:eastAsiaTheme="minorEastAsia"/>
        </w:rPr>
        <w:lastRenderedPageBreak/>
        <w:t>Table G.1.1.2.</w:t>
      </w:r>
      <w:r>
        <w:rPr>
          <w:rFonts w:eastAsiaTheme="minorEastAsia"/>
        </w:rPr>
        <w:t>1</w:t>
      </w:r>
      <w:r w:rsidRPr="00EA3B97">
        <w:rPr>
          <w:rFonts w:eastAsiaTheme="minorEastAsia"/>
        </w:rPr>
        <w:t>-3: RMSI CORESET Reference Channel for TDD with SCS=120KHz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9"/>
        <w:gridCol w:w="904"/>
        <w:gridCol w:w="1110"/>
        <w:gridCol w:w="878"/>
        <w:gridCol w:w="878"/>
        <w:gridCol w:w="878"/>
        <w:gridCol w:w="878"/>
        <w:gridCol w:w="880"/>
        <w:gridCol w:w="876"/>
      </w:tblGrid>
      <w:tr w:rsidR="003A71DE" w:rsidRPr="00EA3B97" w14:paraId="7BE8F019"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ABEE679" w14:textId="77777777" w:rsidR="003A71DE" w:rsidRPr="00EA3B97" w:rsidRDefault="003A71DE" w:rsidP="007835E8">
            <w:pPr>
              <w:pStyle w:val="TAH"/>
              <w:rPr>
                <w:rFonts w:eastAsiaTheme="minorEastAsia"/>
              </w:rPr>
            </w:pPr>
            <w:r w:rsidRPr="00EA3B97">
              <w:rPr>
                <w:rFonts w:eastAsiaTheme="minorEastAsia"/>
              </w:rPr>
              <w:t>Parameter</w:t>
            </w:r>
          </w:p>
        </w:tc>
        <w:tc>
          <w:tcPr>
            <w:tcW w:w="469" w:type="pct"/>
            <w:tcBorders>
              <w:top w:val="single" w:sz="4" w:space="0" w:color="auto"/>
              <w:left w:val="single" w:sz="4" w:space="0" w:color="auto"/>
              <w:bottom w:val="single" w:sz="4" w:space="0" w:color="auto"/>
              <w:right w:val="single" w:sz="4" w:space="0" w:color="auto"/>
            </w:tcBorders>
            <w:hideMark/>
          </w:tcPr>
          <w:p w14:paraId="389C9A35" w14:textId="77777777" w:rsidR="003A71DE" w:rsidRPr="00EA3B97" w:rsidRDefault="003A71DE" w:rsidP="007835E8">
            <w:pPr>
              <w:pStyle w:val="TAH"/>
              <w:rPr>
                <w:rFonts w:eastAsiaTheme="minorEastAsia"/>
              </w:rPr>
            </w:pPr>
            <w:r w:rsidRPr="00EA3B97">
              <w:rPr>
                <w:rFonts w:eastAsiaTheme="minorEastAsia"/>
              </w:rPr>
              <w:t>Unit</w:t>
            </w:r>
          </w:p>
        </w:tc>
        <w:tc>
          <w:tcPr>
            <w:tcW w:w="3312" w:type="pct"/>
            <w:gridSpan w:val="7"/>
            <w:tcBorders>
              <w:top w:val="single" w:sz="4" w:space="0" w:color="auto"/>
              <w:left w:val="single" w:sz="4" w:space="0" w:color="auto"/>
              <w:bottom w:val="single" w:sz="4" w:space="0" w:color="auto"/>
              <w:right w:val="single" w:sz="4" w:space="0" w:color="auto"/>
            </w:tcBorders>
            <w:hideMark/>
          </w:tcPr>
          <w:p w14:paraId="6AD4AC75" w14:textId="77777777" w:rsidR="003A71DE" w:rsidRPr="00EA3B97" w:rsidRDefault="003A71DE" w:rsidP="007835E8">
            <w:pPr>
              <w:pStyle w:val="TAH"/>
              <w:rPr>
                <w:rFonts w:eastAsiaTheme="minorEastAsia"/>
              </w:rPr>
            </w:pPr>
            <w:r w:rsidRPr="00EA3B97">
              <w:rPr>
                <w:rFonts w:eastAsiaTheme="minorEastAsia"/>
              </w:rPr>
              <w:t>Value</w:t>
            </w:r>
          </w:p>
        </w:tc>
      </w:tr>
      <w:tr w:rsidR="003A71DE" w:rsidRPr="00EA3B97" w14:paraId="095A5130"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324FE8FE" w14:textId="77777777" w:rsidR="003A71DE" w:rsidRPr="00EA3B97" w:rsidRDefault="003A71DE" w:rsidP="007835E8">
            <w:pPr>
              <w:pStyle w:val="TAL"/>
              <w:rPr>
                <w:rFonts w:eastAsiaTheme="minorEastAsia"/>
              </w:rPr>
            </w:pPr>
            <w:r w:rsidRPr="00EA3B97">
              <w:rPr>
                <w:rFonts w:eastAsiaTheme="minorEastAsia"/>
              </w:rPr>
              <w:t>Reference channel</w:t>
            </w:r>
          </w:p>
        </w:tc>
        <w:tc>
          <w:tcPr>
            <w:tcW w:w="469" w:type="pct"/>
            <w:tcBorders>
              <w:top w:val="single" w:sz="4" w:space="0" w:color="auto"/>
              <w:left w:val="single" w:sz="4" w:space="0" w:color="auto"/>
              <w:bottom w:val="single" w:sz="4" w:space="0" w:color="auto"/>
              <w:right w:val="single" w:sz="4" w:space="0" w:color="auto"/>
            </w:tcBorders>
          </w:tcPr>
          <w:p w14:paraId="3EAA2021"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1F9F733F" w14:textId="77777777" w:rsidR="003A71DE" w:rsidRPr="00EA3B97" w:rsidRDefault="003A71DE" w:rsidP="007835E8">
            <w:pPr>
              <w:pStyle w:val="TAC"/>
              <w:rPr>
                <w:rFonts w:eastAsiaTheme="minorEastAsia"/>
              </w:rPr>
            </w:pPr>
            <w:r w:rsidRPr="00EA3B97">
              <w:rPr>
                <w:rFonts w:eastAsiaTheme="minorEastAsia"/>
              </w:rPr>
              <w:t>CR.3.1 TDD</w:t>
            </w:r>
          </w:p>
        </w:tc>
        <w:tc>
          <w:tcPr>
            <w:tcW w:w="456" w:type="pct"/>
            <w:tcBorders>
              <w:top w:val="single" w:sz="4" w:space="0" w:color="auto"/>
              <w:left w:val="single" w:sz="4" w:space="0" w:color="auto"/>
              <w:bottom w:val="single" w:sz="4" w:space="0" w:color="auto"/>
              <w:right w:val="single" w:sz="4" w:space="0" w:color="auto"/>
            </w:tcBorders>
          </w:tcPr>
          <w:p w14:paraId="431508E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902AD8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6C6FAD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A90EC4E"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54C6580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582B1F3D" w14:textId="77777777" w:rsidR="003A71DE" w:rsidRPr="00EA3B97" w:rsidRDefault="003A71DE" w:rsidP="007835E8">
            <w:pPr>
              <w:pStyle w:val="TAC"/>
              <w:rPr>
                <w:rFonts w:eastAsiaTheme="minorEastAsia"/>
              </w:rPr>
            </w:pPr>
          </w:p>
        </w:tc>
      </w:tr>
      <w:tr w:rsidR="003A71DE" w:rsidRPr="00EA3B97" w14:paraId="09AE0D2B"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8E952BC" w14:textId="77777777" w:rsidR="003A71DE" w:rsidRPr="00EA3B97" w:rsidRDefault="003A71DE" w:rsidP="007835E8">
            <w:pPr>
              <w:pStyle w:val="TAL"/>
              <w:rPr>
                <w:rFonts w:eastAsiaTheme="minorEastAsia"/>
              </w:rPr>
            </w:pPr>
            <w:r w:rsidRPr="00EA3B97">
              <w:rPr>
                <w:rFonts w:eastAsiaTheme="minorEastAsia"/>
              </w:rPr>
              <w:t>Channel bandwidth</w:t>
            </w:r>
          </w:p>
        </w:tc>
        <w:tc>
          <w:tcPr>
            <w:tcW w:w="469" w:type="pct"/>
            <w:tcBorders>
              <w:top w:val="single" w:sz="4" w:space="0" w:color="auto"/>
              <w:left w:val="single" w:sz="4" w:space="0" w:color="auto"/>
              <w:bottom w:val="single" w:sz="4" w:space="0" w:color="auto"/>
              <w:right w:val="single" w:sz="4" w:space="0" w:color="auto"/>
            </w:tcBorders>
            <w:hideMark/>
          </w:tcPr>
          <w:p w14:paraId="5A17EE41" w14:textId="77777777" w:rsidR="003A71DE" w:rsidRPr="00EA3B97" w:rsidRDefault="003A71DE" w:rsidP="007835E8">
            <w:pPr>
              <w:pStyle w:val="TAC"/>
              <w:rPr>
                <w:rFonts w:eastAsiaTheme="minorEastAsia"/>
              </w:rPr>
            </w:pPr>
            <w:r w:rsidRPr="00EA3B97">
              <w:rPr>
                <w:rFonts w:eastAsiaTheme="minorEastAsia"/>
              </w:rPr>
              <w:t>MHz</w:t>
            </w:r>
          </w:p>
        </w:tc>
        <w:tc>
          <w:tcPr>
            <w:tcW w:w="576" w:type="pct"/>
            <w:tcBorders>
              <w:top w:val="single" w:sz="4" w:space="0" w:color="auto"/>
              <w:left w:val="single" w:sz="4" w:space="0" w:color="auto"/>
              <w:bottom w:val="single" w:sz="4" w:space="0" w:color="auto"/>
              <w:right w:val="single" w:sz="4" w:space="0" w:color="auto"/>
            </w:tcBorders>
            <w:hideMark/>
          </w:tcPr>
          <w:p w14:paraId="631C2C65" w14:textId="77777777" w:rsidR="003A71DE" w:rsidRPr="00EA3B97" w:rsidRDefault="003A71DE" w:rsidP="007835E8">
            <w:pPr>
              <w:pStyle w:val="TAC"/>
              <w:rPr>
                <w:rFonts w:eastAsiaTheme="minorEastAsia"/>
              </w:rPr>
            </w:pPr>
            <w:r w:rsidRPr="00EA3B97">
              <w:rPr>
                <w:rFonts w:eastAsiaTheme="minorEastAsia"/>
              </w:rPr>
              <w:t>100</w:t>
            </w:r>
          </w:p>
        </w:tc>
        <w:tc>
          <w:tcPr>
            <w:tcW w:w="456" w:type="pct"/>
            <w:tcBorders>
              <w:top w:val="single" w:sz="4" w:space="0" w:color="auto"/>
              <w:left w:val="single" w:sz="4" w:space="0" w:color="auto"/>
              <w:bottom w:val="single" w:sz="4" w:space="0" w:color="auto"/>
              <w:right w:val="single" w:sz="4" w:space="0" w:color="auto"/>
            </w:tcBorders>
          </w:tcPr>
          <w:p w14:paraId="4AE01767"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11EE95C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8F5829D"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DA069CC"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E0789C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23C985E" w14:textId="77777777" w:rsidR="003A71DE" w:rsidRPr="00EA3B97" w:rsidRDefault="003A71DE" w:rsidP="007835E8">
            <w:pPr>
              <w:pStyle w:val="TAC"/>
              <w:rPr>
                <w:rFonts w:eastAsiaTheme="minorEastAsia"/>
              </w:rPr>
            </w:pPr>
          </w:p>
        </w:tc>
      </w:tr>
      <w:tr w:rsidR="003A71DE" w:rsidRPr="00EA3B97" w14:paraId="3785CD13"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53BD4E1" w14:textId="77777777" w:rsidR="003A71DE" w:rsidRPr="00EA3B97" w:rsidRDefault="003A71DE" w:rsidP="007835E8">
            <w:pPr>
              <w:pStyle w:val="TAL"/>
              <w:rPr>
                <w:rFonts w:eastAsiaTheme="minorEastAsia"/>
                <w:lang w:eastAsia="zh-CN"/>
              </w:rPr>
            </w:pPr>
            <w:r w:rsidRPr="00EA3B97">
              <w:rPr>
                <w:rFonts w:eastAsiaTheme="minorEastAsia"/>
                <w:lang w:eastAsia="zh-CN"/>
              </w:rPr>
              <w:t>Subcarrier spacing</w:t>
            </w:r>
          </w:p>
        </w:tc>
        <w:tc>
          <w:tcPr>
            <w:tcW w:w="469" w:type="pct"/>
            <w:tcBorders>
              <w:top w:val="single" w:sz="4" w:space="0" w:color="auto"/>
              <w:left w:val="single" w:sz="4" w:space="0" w:color="auto"/>
              <w:bottom w:val="single" w:sz="4" w:space="0" w:color="auto"/>
              <w:right w:val="single" w:sz="4" w:space="0" w:color="auto"/>
            </w:tcBorders>
            <w:hideMark/>
          </w:tcPr>
          <w:p w14:paraId="1362A6AA" w14:textId="77777777" w:rsidR="003A71DE" w:rsidRPr="00EA3B97" w:rsidRDefault="003A71DE" w:rsidP="007835E8">
            <w:pPr>
              <w:pStyle w:val="TAC"/>
              <w:rPr>
                <w:rFonts w:eastAsiaTheme="minorEastAsia"/>
                <w:lang w:eastAsia="zh-CN"/>
              </w:rPr>
            </w:pPr>
            <w:r w:rsidRPr="00EA3B97">
              <w:rPr>
                <w:rFonts w:eastAsiaTheme="minorEastAsia"/>
                <w:lang w:eastAsia="zh-CN"/>
              </w:rPr>
              <w:t>kHz</w:t>
            </w:r>
          </w:p>
        </w:tc>
        <w:tc>
          <w:tcPr>
            <w:tcW w:w="576" w:type="pct"/>
            <w:tcBorders>
              <w:top w:val="single" w:sz="4" w:space="0" w:color="auto"/>
              <w:left w:val="single" w:sz="4" w:space="0" w:color="auto"/>
              <w:bottom w:val="single" w:sz="4" w:space="0" w:color="auto"/>
              <w:right w:val="single" w:sz="4" w:space="0" w:color="auto"/>
            </w:tcBorders>
            <w:hideMark/>
          </w:tcPr>
          <w:p w14:paraId="4AA08307" w14:textId="77777777" w:rsidR="003A71DE" w:rsidRPr="00EA3B97" w:rsidRDefault="003A71DE" w:rsidP="007835E8">
            <w:pPr>
              <w:pStyle w:val="TAC"/>
              <w:rPr>
                <w:rFonts w:eastAsiaTheme="minorEastAsia"/>
                <w:lang w:eastAsia="zh-CN"/>
              </w:rPr>
            </w:pPr>
            <w:r w:rsidRPr="00EA3B97">
              <w:rPr>
                <w:rFonts w:eastAsiaTheme="minorEastAsia"/>
                <w:lang w:eastAsia="zh-CN"/>
              </w:rPr>
              <w:t>120</w:t>
            </w:r>
          </w:p>
        </w:tc>
        <w:tc>
          <w:tcPr>
            <w:tcW w:w="456" w:type="pct"/>
            <w:tcBorders>
              <w:top w:val="single" w:sz="4" w:space="0" w:color="auto"/>
              <w:left w:val="single" w:sz="4" w:space="0" w:color="auto"/>
              <w:bottom w:val="single" w:sz="4" w:space="0" w:color="auto"/>
              <w:right w:val="single" w:sz="4" w:space="0" w:color="auto"/>
            </w:tcBorders>
          </w:tcPr>
          <w:p w14:paraId="0ACF7106"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532F9F9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50B18D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5C58D0E"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36C149D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3039E152" w14:textId="77777777" w:rsidR="003A71DE" w:rsidRPr="00EA3B97" w:rsidRDefault="003A71DE" w:rsidP="007835E8">
            <w:pPr>
              <w:pStyle w:val="TAC"/>
              <w:rPr>
                <w:rFonts w:eastAsiaTheme="minorEastAsia"/>
              </w:rPr>
            </w:pPr>
          </w:p>
        </w:tc>
      </w:tr>
      <w:tr w:rsidR="003A71DE" w:rsidRPr="00EA3B97" w14:paraId="36038145"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231913EB" w14:textId="77777777" w:rsidR="003A71DE" w:rsidRPr="00EA3B97" w:rsidRDefault="003A71DE" w:rsidP="007835E8">
            <w:pPr>
              <w:pStyle w:val="TAL"/>
              <w:rPr>
                <w:rFonts w:eastAsiaTheme="minorEastAsia"/>
                <w:lang w:eastAsia="zh-CN"/>
              </w:rPr>
            </w:pPr>
            <w:r w:rsidRPr="00EA3B97">
              <w:rPr>
                <w:rFonts w:eastAsiaTheme="minorEastAsia"/>
                <w:lang w:eastAsia="zh-CN"/>
              </w:rPr>
              <w:t xml:space="preserve">Allocated </w:t>
            </w:r>
            <w:r w:rsidRPr="00EA3B97">
              <w:rPr>
                <w:rFonts w:eastAsiaTheme="minorEastAsia"/>
              </w:rPr>
              <w:t xml:space="preserve">resource blocks </w:t>
            </w:r>
            <w:r w:rsidRPr="00EA3B97">
              <w:rPr>
                <w:rFonts w:eastAsiaTheme="minorEastAsia"/>
                <w:lang w:eastAsia="zh-CN"/>
              </w:rPr>
              <w:t>for RMSI CORESET</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tcPr>
          <w:p w14:paraId="141DD2D3"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572DA1D2"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456" w:type="pct"/>
            <w:tcBorders>
              <w:top w:val="single" w:sz="4" w:space="0" w:color="auto"/>
              <w:left w:val="single" w:sz="4" w:space="0" w:color="auto"/>
              <w:bottom w:val="single" w:sz="4" w:space="0" w:color="auto"/>
              <w:right w:val="single" w:sz="4" w:space="0" w:color="auto"/>
            </w:tcBorders>
          </w:tcPr>
          <w:p w14:paraId="0CA5E5D6"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536EEF7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1E5DFA7"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AC1FCAF"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0F079873"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31702335" w14:textId="77777777" w:rsidR="003A71DE" w:rsidRPr="00EA3B97" w:rsidRDefault="003A71DE" w:rsidP="007835E8">
            <w:pPr>
              <w:pStyle w:val="TAC"/>
              <w:rPr>
                <w:rFonts w:eastAsiaTheme="minorEastAsia"/>
              </w:rPr>
            </w:pPr>
          </w:p>
        </w:tc>
      </w:tr>
      <w:tr w:rsidR="003A71DE" w:rsidRPr="00EA3B97" w14:paraId="0F9B9BB1"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3F8305D0" w14:textId="77777777" w:rsidR="003A71DE" w:rsidRPr="00EA3B97" w:rsidRDefault="003A71DE" w:rsidP="007835E8">
            <w:pPr>
              <w:pStyle w:val="TAL"/>
              <w:rPr>
                <w:rFonts w:eastAsiaTheme="minorEastAsia"/>
                <w:lang w:eastAsia="zh-CN"/>
              </w:rPr>
            </w:pPr>
          </w:p>
        </w:tc>
        <w:tc>
          <w:tcPr>
            <w:tcW w:w="469" w:type="pct"/>
            <w:tcBorders>
              <w:top w:val="single" w:sz="4" w:space="0" w:color="auto"/>
              <w:left w:val="single" w:sz="4" w:space="0" w:color="auto"/>
              <w:bottom w:val="single" w:sz="4" w:space="0" w:color="auto"/>
              <w:right w:val="single" w:sz="4" w:space="0" w:color="auto"/>
            </w:tcBorders>
            <w:hideMark/>
          </w:tcPr>
          <w:p w14:paraId="2082DCEC"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576213D6"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89FEB3B"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5A10254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871FAE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7B2D339"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25DF5BD"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9A9512B" w14:textId="77777777" w:rsidR="003A71DE" w:rsidRPr="00EA3B97" w:rsidRDefault="003A71DE" w:rsidP="007835E8">
            <w:pPr>
              <w:pStyle w:val="TAC"/>
              <w:rPr>
                <w:rFonts w:eastAsiaTheme="minorEastAsia"/>
              </w:rPr>
            </w:pPr>
          </w:p>
        </w:tc>
      </w:tr>
      <w:tr w:rsidR="003A71DE" w:rsidRPr="00EA3B97" w14:paraId="52386115"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5FB08A33" w14:textId="77777777" w:rsidR="003A71DE" w:rsidRPr="00EA3B97" w:rsidRDefault="003A71DE" w:rsidP="007835E8">
            <w:pPr>
              <w:pStyle w:val="TAL"/>
              <w:rPr>
                <w:rFonts w:eastAsiaTheme="minorEastAsia"/>
                <w:lang w:eastAsia="zh-CN"/>
              </w:rPr>
            </w:pPr>
            <w:r w:rsidRPr="00EA3B97">
              <w:rPr>
                <w:rFonts w:eastAsiaTheme="minorEastAsia"/>
                <w:lang w:eastAsia="zh-CN"/>
              </w:rPr>
              <w:t>SSB and RMSI CORESET multiplexing configuration</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tcPr>
          <w:p w14:paraId="12B2A983"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6B1DB80A" w14:textId="77777777" w:rsidR="003A71DE" w:rsidRPr="00EA3B97" w:rsidRDefault="003A71DE" w:rsidP="007835E8">
            <w:pPr>
              <w:pStyle w:val="TAC"/>
              <w:rPr>
                <w:rFonts w:eastAsiaTheme="minorEastAsia"/>
                <w:lang w:eastAsia="zh-CN"/>
              </w:rPr>
            </w:pPr>
            <w:r w:rsidRPr="00EA3B97">
              <w:rPr>
                <w:rFonts w:eastAsiaTheme="minorEastAsia"/>
                <w:lang w:eastAsia="zh-CN"/>
              </w:rPr>
              <w:t>Pattern 1</w:t>
            </w:r>
          </w:p>
        </w:tc>
        <w:tc>
          <w:tcPr>
            <w:tcW w:w="456" w:type="pct"/>
            <w:tcBorders>
              <w:top w:val="single" w:sz="4" w:space="0" w:color="auto"/>
              <w:left w:val="single" w:sz="4" w:space="0" w:color="auto"/>
              <w:bottom w:val="single" w:sz="4" w:space="0" w:color="auto"/>
              <w:right w:val="single" w:sz="4" w:space="0" w:color="auto"/>
            </w:tcBorders>
          </w:tcPr>
          <w:p w14:paraId="6E2A5356"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8CC063F"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618906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768A061"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3DD5E8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0E7FA70D" w14:textId="77777777" w:rsidR="003A71DE" w:rsidRPr="00EA3B97" w:rsidRDefault="003A71DE" w:rsidP="007835E8">
            <w:pPr>
              <w:pStyle w:val="TAC"/>
              <w:rPr>
                <w:rFonts w:eastAsiaTheme="minorEastAsia"/>
              </w:rPr>
            </w:pPr>
          </w:p>
        </w:tc>
      </w:tr>
      <w:tr w:rsidR="003A71DE" w:rsidRPr="00EA3B97" w14:paraId="7EF12188"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57F147C8" w14:textId="77777777" w:rsidR="003A71DE" w:rsidRPr="00EA3B97" w:rsidRDefault="003A71DE" w:rsidP="007835E8">
            <w:pPr>
              <w:pStyle w:val="TAL"/>
              <w:rPr>
                <w:rFonts w:eastAsiaTheme="minorEastAsia"/>
                <w:lang w:eastAsia="zh-CN"/>
              </w:rPr>
            </w:pPr>
            <w:r w:rsidRPr="00EA3B97">
              <w:rPr>
                <w:rFonts w:eastAsiaTheme="minorEastAsia"/>
                <w:lang w:eastAsia="zh-CN"/>
              </w:rPr>
              <w:t>Offset between SSB and RMSI CORESET</w:t>
            </w:r>
            <w:r w:rsidRPr="00EA3B97">
              <w:rPr>
                <w:rFonts w:eastAsiaTheme="minorEastAsia"/>
                <w:vertAlign w:val="superscript"/>
              </w:rPr>
              <w:t xml:space="preserve"> Note 3, 7</w:t>
            </w:r>
          </w:p>
        </w:tc>
        <w:tc>
          <w:tcPr>
            <w:tcW w:w="469" w:type="pct"/>
            <w:tcBorders>
              <w:top w:val="single" w:sz="4" w:space="0" w:color="auto"/>
              <w:left w:val="single" w:sz="4" w:space="0" w:color="auto"/>
              <w:bottom w:val="single" w:sz="4" w:space="0" w:color="auto"/>
              <w:right w:val="single" w:sz="4" w:space="0" w:color="auto"/>
            </w:tcBorders>
            <w:hideMark/>
          </w:tcPr>
          <w:p w14:paraId="5E5BA5BC"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576" w:type="pct"/>
            <w:tcBorders>
              <w:top w:val="single" w:sz="4" w:space="0" w:color="auto"/>
              <w:left w:val="single" w:sz="4" w:space="0" w:color="auto"/>
              <w:bottom w:val="single" w:sz="4" w:space="0" w:color="auto"/>
              <w:right w:val="single" w:sz="4" w:space="0" w:color="auto"/>
            </w:tcBorders>
            <w:hideMark/>
          </w:tcPr>
          <w:p w14:paraId="7CF21494" w14:textId="77777777" w:rsidR="003A71DE" w:rsidRPr="00EA3B97" w:rsidRDefault="003A71DE" w:rsidP="007835E8">
            <w:pPr>
              <w:pStyle w:val="TAC"/>
              <w:rPr>
                <w:rFonts w:eastAsiaTheme="minorEastAsia"/>
                <w:lang w:eastAsia="zh-CN"/>
              </w:rPr>
            </w:pPr>
            <w:r w:rsidRPr="00EA3B97">
              <w:rPr>
                <w:rFonts w:eastAsiaTheme="minorEastAsia"/>
                <w:lang w:eastAsia="zh-CN"/>
              </w:rPr>
              <w:t>0 (Note 8)</w:t>
            </w:r>
          </w:p>
        </w:tc>
        <w:tc>
          <w:tcPr>
            <w:tcW w:w="456" w:type="pct"/>
            <w:tcBorders>
              <w:top w:val="single" w:sz="4" w:space="0" w:color="auto"/>
              <w:left w:val="single" w:sz="4" w:space="0" w:color="auto"/>
              <w:bottom w:val="single" w:sz="4" w:space="0" w:color="auto"/>
              <w:right w:val="single" w:sz="4" w:space="0" w:color="auto"/>
            </w:tcBorders>
          </w:tcPr>
          <w:p w14:paraId="6E0C788F"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F79FD7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5FD66EB"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562111F"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E37C49B"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C7E28D4" w14:textId="77777777" w:rsidR="003A71DE" w:rsidRPr="00EA3B97" w:rsidRDefault="003A71DE" w:rsidP="007835E8">
            <w:pPr>
              <w:pStyle w:val="TAC"/>
              <w:rPr>
                <w:rFonts w:eastAsiaTheme="minorEastAsia"/>
              </w:rPr>
            </w:pPr>
          </w:p>
        </w:tc>
      </w:tr>
      <w:tr w:rsidR="003A71DE" w:rsidRPr="00EA3B97" w14:paraId="30E1A24D"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03A05A6B" w14:textId="77777777" w:rsidR="003A71DE" w:rsidRPr="00EA3B97" w:rsidRDefault="003A71DE" w:rsidP="007835E8">
            <w:pPr>
              <w:pStyle w:val="TAL"/>
              <w:rPr>
                <w:rFonts w:eastAsiaTheme="minorEastAsia"/>
                <w:lang w:eastAsia="zh-CN"/>
              </w:rPr>
            </w:pPr>
            <w:r w:rsidRPr="00EA3B97">
              <w:rPr>
                <w:rFonts w:eastAsiaTheme="minorEastAsia"/>
              </w:rPr>
              <w:t xml:space="preserve">Configuration of PDCCH monitoring occasions for </w:t>
            </w:r>
            <w:r w:rsidRPr="00EA3B97">
              <w:rPr>
                <w:rFonts w:eastAsiaTheme="minorEastAsia"/>
                <w:lang w:eastAsia="zh-CN"/>
              </w:rPr>
              <w:t>RMSI CORESET</w:t>
            </w:r>
            <w:r w:rsidRPr="00EA3B97">
              <w:rPr>
                <w:rFonts w:eastAsiaTheme="minorEastAsia"/>
                <w:vertAlign w:val="superscript"/>
              </w:rPr>
              <w:t xml:space="preserve"> Note 4</w:t>
            </w:r>
          </w:p>
        </w:tc>
        <w:tc>
          <w:tcPr>
            <w:tcW w:w="469" w:type="pct"/>
            <w:tcBorders>
              <w:top w:val="single" w:sz="4" w:space="0" w:color="auto"/>
              <w:left w:val="single" w:sz="4" w:space="0" w:color="auto"/>
              <w:bottom w:val="single" w:sz="4" w:space="0" w:color="auto"/>
              <w:right w:val="single" w:sz="4" w:space="0" w:color="auto"/>
            </w:tcBorders>
          </w:tcPr>
          <w:p w14:paraId="39B95FA9" w14:textId="77777777" w:rsidR="003A71DE" w:rsidRPr="00EA3B97" w:rsidRDefault="003A71DE" w:rsidP="007835E8">
            <w:pPr>
              <w:pStyle w:val="TAC"/>
              <w:rPr>
                <w:rFonts w:eastAsiaTheme="minorEastAsia"/>
                <w:lang w:eastAsia="zh-CN"/>
              </w:rPr>
            </w:pPr>
          </w:p>
        </w:tc>
        <w:tc>
          <w:tcPr>
            <w:tcW w:w="576" w:type="pct"/>
            <w:tcBorders>
              <w:top w:val="single" w:sz="4" w:space="0" w:color="auto"/>
              <w:left w:val="single" w:sz="4" w:space="0" w:color="auto"/>
              <w:bottom w:val="single" w:sz="4" w:space="0" w:color="auto"/>
              <w:right w:val="single" w:sz="4" w:space="0" w:color="auto"/>
            </w:tcBorders>
            <w:hideMark/>
          </w:tcPr>
          <w:p w14:paraId="1797B75B" w14:textId="77777777" w:rsidR="003A71DE" w:rsidRPr="00EA3B97" w:rsidRDefault="003A71DE" w:rsidP="007835E8">
            <w:pPr>
              <w:pStyle w:val="TAC"/>
              <w:rPr>
                <w:rFonts w:eastAsiaTheme="minorEastAsia"/>
                <w:lang w:eastAsia="zh-CN"/>
              </w:rPr>
            </w:pPr>
            <w:r w:rsidRPr="00EA3B97">
              <w:rPr>
                <w:rFonts w:eastAsiaTheme="minorEastAsia"/>
                <w:lang w:eastAsia="zh-CN"/>
              </w:rPr>
              <w:t>Index 4</w:t>
            </w:r>
          </w:p>
        </w:tc>
        <w:tc>
          <w:tcPr>
            <w:tcW w:w="456" w:type="pct"/>
            <w:tcBorders>
              <w:top w:val="single" w:sz="4" w:space="0" w:color="auto"/>
              <w:left w:val="single" w:sz="4" w:space="0" w:color="auto"/>
              <w:bottom w:val="single" w:sz="4" w:space="0" w:color="auto"/>
              <w:right w:val="single" w:sz="4" w:space="0" w:color="auto"/>
            </w:tcBorders>
          </w:tcPr>
          <w:p w14:paraId="3261D32F"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6DEF8398"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898500A"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6433FD0"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7CF3E088"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32F9B6AC" w14:textId="77777777" w:rsidR="003A71DE" w:rsidRPr="00EA3B97" w:rsidRDefault="003A71DE" w:rsidP="007835E8">
            <w:pPr>
              <w:pStyle w:val="TAC"/>
              <w:rPr>
                <w:rFonts w:eastAsiaTheme="minorEastAsia"/>
              </w:rPr>
            </w:pPr>
          </w:p>
        </w:tc>
      </w:tr>
      <w:tr w:rsidR="003A71DE" w:rsidRPr="00EA3B97" w14:paraId="42271B95"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5B1C3831" w14:textId="77777777" w:rsidR="003A71DE" w:rsidRPr="00EA3B97" w:rsidRDefault="003A71DE" w:rsidP="007835E8">
            <w:pPr>
              <w:pStyle w:val="TAL"/>
              <w:rPr>
                <w:rFonts w:eastAsiaTheme="minorEastAsia"/>
              </w:rPr>
            </w:pPr>
            <w:r w:rsidRPr="00EA3B97">
              <w:rPr>
                <w:rFonts w:eastAsiaTheme="minorEastAsia"/>
              </w:rPr>
              <w:t>Number of transmitter antennas</w:t>
            </w:r>
          </w:p>
        </w:tc>
        <w:tc>
          <w:tcPr>
            <w:tcW w:w="469" w:type="pct"/>
            <w:tcBorders>
              <w:top w:val="single" w:sz="4" w:space="0" w:color="auto"/>
              <w:left w:val="single" w:sz="4" w:space="0" w:color="auto"/>
              <w:bottom w:val="single" w:sz="4" w:space="0" w:color="auto"/>
              <w:right w:val="single" w:sz="4" w:space="0" w:color="auto"/>
            </w:tcBorders>
          </w:tcPr>
          <w:p w14:paraId="64A48FEF"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18329F64" w14:textId="77777777" w:rsidR="003A71DE" w:rsidRPr="00EA3B97" w:rsidRDefault="003A71DE" w:rsidP="007835E8">
            <w:pPr>
              <w:pStyle w:val="TAC"/>
              <w:rPr>
                <w:rFonts w:eastAsiaTheme="minorEastAsia"/>
              </w:rPr>
            </w:pPr>
            <w:r w:rsidRPr="00EA3B97">
              <w:rPr>
                <w:rFonts w:eastAsiaTheme="minorEastAsia"/>
              </w:rPr>
              <w:t>1</w:t>
            </w:r>
          </w:p>
        </w:tc>
        <w:tc>
          <w:tcPr>
            <w:tcW w:w="456" w:type="pct"/>
            <w:tcBorders>
              <w:top w:val="single" w:sz="4" w:space="0" w:color="auto"/>
              <w:left w:val="single" w:sz="4" w:space="0" w:color="auto"/>
              <w:bottom w:val="single" w:sz="4" w:space="0" w:color="auto"/>
              <w:right w:val="single" w:sz="4" w:space="0" w:color="auto"/>
            </w:tcBorders>
          </w:tcPr>
          <w:p w14:paraId="6919717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0225CD7"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150549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1C9C5F9"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4BCC63C"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90DD167" w14:textId="77777777" w:rsidR="003A71DE" w:rsidRPr="00EA3B97" w:rsidRDefault="003A71DE" w:rsidP="007835E8">
            <w:pPr>
              <w:pStyle w:val="TAC"/>
              <w:rPr>
                <w:rFonts w:eastAsiaTheme="minorEastAsia"/>
              </w:rPr>
            </w:pPr>
          </w:p>
        </w:tc>
      </w:tr>
      <w:tr w:rsidR="003A71DE" w:rsidRPr="00EA3B97" w14:paraId="641118A4"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15A01B0" w14:textId="77777777" w:rsidR="003A71DE" w:rsidRPr="00EA3B97" w:rsidRDefault="003A71DE" w:rsidP="007835E8">
            <w:pPr>
              <w:pStyle w:val="TAL"/>
              <w:rPr>
                <w:rFonts w:eastAsiaTheme="minorEastAsia"/>
              </w:rPr>
            </w:pPr>
            <w:r w:rsidRPr="00EA3B97">
              <w:rPr>
                <w:rFonts w:eastAsiaTheme="minorEastAsia"/>
              </w:rPr>
              <w:t>Duration of RMSI CORESET</w:t>
            </w:r>
            <w:r w:rsidRPr="00EA3B97">
              <w:rPr>
                <w:rFonts w:eastAsiaTheme="minorEastAsia"/>
                <w:vertAlign w:val="superscript"/>
                <w:lang w:eastAsia="zh-CN"/>
              </w:rPr>
              <w:t xml:space="preserve"> Note 7</w:t>
            </w:r>
          </w:p>
        </w:tc>
        <w:tc>
          <w:tcPr>
            <w:tcW w:w="469" w:type="pct"/>
            <w:tcBorders>
              <w:top w:val="single" w:sz="4" w:space="0" w:color="auto"/>
              <w:left w:val="single" w:sz="4" w:space="0" w:color="auto"/>
              <w:bottom w:val="single" w:sz="4" w:space="0" w:color="auto"/>
              <w:right w:val="single" w:sz="4" w:space="0" w:color="auto"/>
            </w:tcBorders>
            <w:hideMark/>
          </w:tcPr>
          <w:p w14:paraId="24FF9F9F" w14:textId="77777777" w:rsidR="003A71DE" w:rsidRPr="00EA3B97" w:rsidRDefault="003A71DE" w:rsidP="007835E8">
            <w:pPr>
              <w:pStyle w:val="TAC"/>
              <w:rPr>
                <w:rFonts w:eastAsiaTheme="minorEastAsia"/>
              </w:rPr>
            </w:pPr>
            <w:r w:rsidRPr="00EA3B97">
              <w:rPr>
                <w:rFonts w:eastAsiaTheme="minorEastAsia"/>
              </w:rPr>
              <w:t>symbols</w:t>
            </w:r>
          </w:p>
        </w:tc>
        <w:tc>
          <w:tcPr>
            <w:tcW w:w="576" w:type="pct"/>
            <w:tcBorders>
              <w:top w:val="single" w:sz="4" w:space="0" w:color="auto"/>
              <w:left w:val="single" w:sz="4" w:space="0" w:color="auto"/>
              <w:bottom w:val="single" w:sz="4" w:space="0" w:color="auto"/>
              <w:right w:val="single" w:sz="4" w:space="0" w:color="auto"/>
            </w:tcBorders>
            <w:hideMark/>
          </w:tcPr>
          <w:p w14:paraId="7D9B52C7" w14:textId="77777777" w:rsidR="003A71DE" w:rsidRPr="00EA3B97" w:rsidRDefault="003A71DE" w:rsidP="007835E8">
            <w:pPr>
              <w:pStyle w:val="TAC"/>
              <w:rPr>
                <w:rFonts w:eastAsiaTheme="minorEastAsia"/>
              </w:rPr>
            </w:pPr>
            <w:r w:rsidRPr="00EA3B97">
              <w:rPr>
                <w:rFonts w:eastAsiaTheme="minorEastAsia"/>
              </w:rPr>
              <w:t>2</w:t>
            </w:r>
          </w:p>
        </w:tc>
        <w:tc>
          <w:tcPr>
            <w:tcW w:w="456" w:type="pct"/>
            <w:tcBorders>
              <w:top w:val="single" w:sz="4" w:space="0" w:color="auto"/>
              <w:left w:val="single" w:sz="4" w:space="0" w:color="auto"/>
              <w:bottom w:val="single" w:sz="4" w:space="0" w:color="auto"/>
              <w:right w:val="single" w:sz="4" w:space="0" w:color="auto"/>
            </w:tcBorders>
          </w:tcPr>
          <w:p w14:paraId="4AC38917"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A6F074E"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0780DE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8BA5D91"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60A446CF"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93D69D0" w14:textId="77777777" w:rsidR="003A71DE" w:rsidRPr="00EA3B97" w:rsidRDefault="003A71DE" w:rsidP="007835E8">
            <w:pPr>
              <w:pStyle w:val="TAC"/>
              <w:rPr>
                <w:rFonts w:eastAsiaTheme="minorEastAsia"/>
              </w:rPr>
            </w:pPr>
          </w:p>
        </w:tc>
      </w:tr>
      <w:tr w:rsidR="003A71DE" w:rsidRPr="00EA3B97" w14:paraId="47589371"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7EEB41BD" w14:textId="77777777" w:rsidR="003A71DE" w:rsidRPr="00EA3B97" w:rsidRDefault="003A71DE" w:rsidP="007835E8">
            <w:pPr>
              <w:pStyle w:val="TAL"/>
              <w:rPr>
                <w:rFonts w:eastAsiaTheme="minorEastAsia"/>
              </w:rPr>
            </w:pPr>
            <w:r w:rsidRPr="00EA3B97">
              <w:rPr>
                <w:rFonts w:eastAsiaTheme="minorEastAsia"/>
              </w:rPr>
              <w:t xml:space="preserve">DCI Format </w:t>
            </w:r>
            <w:r w:rsidRPr="00EA3B97">
              <w:rPr>
                <w:rFonts w:eastAsiaTheme="minorEastAsia"/>
                <w:vertAlign w:val="superscript"/>
              </w:rPr>
              <w:t>Note 1</w:t>
            </w:r>
          </w:p>
        </w:tc>
        <w:tc>
          <w:tcPr>
            <w:tcW w:w="469" w:type="pct"/>
            <w:tcBorders>
              <w:top w:val="single" w:sz="4" w:space="0" w:color="auto"/>
              <w:left w:val="single" w:sz="4" w:space="0" w:color="auto"/>
              <w:bottom w:val="single" w:sz="4" w:space="0" w:color="auto"/>
              <w:right w:val="single" w:sz="4" w:space="0" w:color="auto"/>
            </w:tcBorders>
          </w:tcPr>
          <w:p w14:paraId="2245DAA9"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6CE2478E" w14:textId="77777777" w:rsidR="003A71DE" w:rsidRPr="00EA3B97" w:rsidRDefault="003A71DE" w:rsidP="007835E8">
            <w:pPr>
              <w:pStyle w:val="TAC"/>
              <w:rPr>
                <w:rFonts w:eastAsiaTheme="minorEastAsia"/>
              </w:rPr>
            </w:pPr>
            <w:r w:rsidRPr="00EA3B97">
              <w:rPr>
                <w:rFonts w:eastAsiaTheme="minorEastAsia"/>
              </w:rPr>
              <w:t>Note 2</w:t>
            </w:r>
          </w:p>
        </w:tc>
        <w:tc>
          <w:tcPr>
            <w:tcW w:w="456" w:type="pct"/>
            <w:tcBorders>
              <w:top w:val="single" w:sz="4" w:space="0" w:color="auto"/>
              <w:left w:val="single" w:sz="4" w:space="0" w:color="auto"/>
              <w:bottom w:val="single" w:sz="4" w:space="0" w:color="auto"/>
              <w:right w:val="single" w:sz="4" w:space="0" w:color="auto"/>
            </w:tcBorders>
          </w:tcPr>
          <w:p w14:paraId="3FDFFB5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EB9E9B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D46B77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CF82DDC"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08043987"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51F9309" w14:textId="77777777" w:rsidR="003A71DE" w:rsidRPr="00EA3B97" w:rsidRDefault="003A71DE" w:rsidP="007835E8">
            <w:pPr>
              <w:pStyle w:val="TAC"/>
              <w:rPr>
                <w:rFonts w:eastAsiaTheme="minorEastAsia"/>
              </w:rPr>
            </w:pPr>
          </w:p>
        </w:tc>
      </w:tr>
      <w:tr w:rsidR="003A71DE" w:rsidRPr="00EA3B97" w14:paraId="191DEE6F"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2C1D215B" w14:textId="77777777" w:rsidR="003A71DE" w:rsidRPr="00EA3B97" w:rsidRDefault="003A71DE" w:rsidP="007835E8">
            <w:pPr>
              <w:pStyle w:val="TAL"/>
              <w:rPr>
                <w:rFonts w:eastAsiaTheme="minorEastAsia"/>
              </w:rPr>
            </w:pPr>
            <w:r w:rsidRPr="00EA3B97">
              <w:rPr>
                <w:rFonts w:eastAsiaTheme="minorEastAsia"/>
              </w:rPr>
              <w:t>Aggregation level</w:t>
            </w:r>
          </w:p>
        </w:tc>
        <w:tc>
          <w:tcPr>
            <w:tcW w:w="469" w:type="pct"/>
            <w:tcBorders>
              <w:top w:val="single" w:sz="4" w:space="0" w:color="auto"/>
              <w:left w:val="single" w:sz="4" w:space="0" w:color="auto"/>
              <w:bottom w:val="single" w:sz="4" w:space="0" w:color="auto"/>
              <w:right w:val="single" w:sz="4" w:space="0" w:color="auto"/>
            </w:tcBorders>
            <w:hideMark/>
          </w:tcPr>
          <w:p w14:paraId="74956896" w14:textId="77777777" w:rsidR="003A71DE" w:rsidRPr="00EA3B97" w:rsidRDefault="003A71DE" w:rsidP="007835E8">
            <w:pPr>
              <w:pStyle w:val="TAC"/>
              <w:rPr>
                <w:rFonts w:eastAsiaTheme="minorEastAsia"/>
              </w:rPr>
            </w:pPr>
            <w:r w:rsidRPr="00EA3B97">
              <w:rPr>
                <w:rFonts w:eastAsiaTheme="minorEastAsia"/>
              </w:rPr>
              <w:t>CCE</w:t>
            </w:r>
          </w:p>
        </w:tc>
        <w:tc>
          <w:tcPr>
            <w:tcW w:w="576" w:type="pct"/>
            <w:tcBorders>
              <w:top w:val="single" w:sz="4" w:space="0" w:color="auto"/>
              <w:left w:val="single" w:sz="4" w:space="0" w:color="auto"/>
              <w:bottom w:val="single" w:sz="4" w:space="0" w:color="auto"/>
              <w:right w:val="single" w:sz="4" w:space="0" w:color="auto"/>
            </w:tcBorders>
            <w:hideMark/>
          </w:tcPr>
          <w:p w14:paraId="22DA3C1A" w14:textId="77777777" w:rsidR="003A71DE" w:rsidRPr="00EA3B97" w:rsidRDefault="003A71DE" w:rsidP="007835E8">
            <w:pPr>
              <w:pStyle w:val="TAC"/>
              <w:rPr>
                <w:rFonts w:eastAsiaTheme="minorEastAsia"/>
              </w:rPr>
            </w:pPr>
            <w:r w:rsidRPr="00EA3B97">
              <w:rPr>
                <w:rFonts w:eastAsiaTheme="minorEastAsia"/>
              </w:rPr>
              <w:t>8</w:t>
            </w:r>
          </w:p>
        </w:tc>
        <w:tc>
          <w:tcPr>
            <w:tcW w:w="456" w:type="pct"/>
            <w:tcBorders>
              <w:top w:val="single" w:sz="4" w:space="0" w:color="auto"/>
              <w:left w:val="single" w:sz="4" w:space="0" w:color="auto"/>
              <w:bottom w:val="single" w:sz="4" w:space="0" w:color="auto"/>
              <w:right w:val="single" w:sz="4" w:space="0" w:color="auto"/>
            </w:tcBorders>
          </w:tcPr>
          <w:p w14:paraId="294083CB"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B0CCE2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54C712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09CA7C1"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14DC4366"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611260F1" w14:textId="77777777" w:rsidR="003A71DE" w:rsidRPr="00EA3B97" w:rsidRDefault="003A71DE" w:rsidP="007835E8">
            <w:pPr>
              <w:pStyle w:val="TAC"/>
              <w:rPr>
                <w:rFonts w:eastAsiaTheme="minorEastAsia"/>
              </w:rPr>
            </w:pPr>
          </w:p>
        </w:tc>
      </w:tr>
      <w:tr w:rsidR="003A71DE" w:rsidRPr="00EA3B97" w14:paraId="215F9222"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2C50D145" w14:textId="77777777" w:rsidR="003A71DE" w:rsidRPr="00EA3B97" w:rsidRDefault="003A71DE" w:rsidP="007835E8">
            <w:pPr>
              <w:pStyle w:val="TAL"/>
              <w:rPr>
                <w:rFonts w:eastAsiaTheme="minorEastAsia"/>
              </w:rPr>
            </w:pPr>
            <w:r w:rsidRPr="00EA3B97">
              <w:rPr>
                <w:rFonts w:eastAsiaTheme="minorEastAsia"/>
              </w:rPr>
              <w:t>DMRS precoder granularity</w:t>
            </w:r>
          </w:p>
        </w:tc>
        <w:tc>
          <w:tcPr>
            <w:tcW w:w="469" w:type="pct"/>
            <w:tcBorders>
              <w:top w:val="single" w:sz="4" w:space="0" w:color="auto"/>
              <w:left w:val="single" w:sz="4" w:space="0" w:color="auto"/>
              <w:bottom w:val="single" w:sz="4" w:space="0" w:color="auto"/>
              <w:right w:val="single" w:sz="4" w:space="0" w:color="auto"/>
            </w:tcBorders>
          </w:tcPr>
          <w:p w14:paraId="33791FB4"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48C21BD9"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6" w:type="pct"/>
            <w:tcBorders>
              <w:top w:val="single" w:sz="4" w:space="0" w:color="auto"/>
              <w:left w:val="single" w:sz="4" w:space="0" w:color="auto"/>
              <w:bottom w:val="single" w:sz="4" w:space="0" w:color="auto"/>
              <w:right w:val="single" w:sz="4" w:space="0" w:color="auto"/>
            </w:tcBorders>
          </w:tcPr>
          <w:p w14:paraId="59B33D68"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4C4795FF"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15241F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BB94A8A"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0E6D77C3"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18982F69" w14:textId="77777777" w:rsidR="003A71DE" w:rsidRPr="00EA3B97" w:rsidRDefault="003A71DE" w:rsidP="007835E8">
            <w:pPr>
              <w:pStyle w:val="TAC"/>
              <w:rPr>
                <w:rFonts w:eastAsiaTheme="minorEastAsia"/>
              </w:rPr>
            </w:pPr>
          </w:p>
        </w:tc>
      </w:tr>
      <w:tr w:rsidR="003A71DE" w:rsidRPr="00EA3B97" w14:paraId="1FB9C353"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6A75E4A9" w14:textId="77777777" w:rsidR="003A71DE" w:rsidRPr="00EA3B97" w:rsidRDefault="003A71DE" w:rsidP="007835E8">
            <w:pPr>
              <w:pStyle w:val="TAL"/>
              <w:rPr>
                <w:rFonts w:eastAsiaTheme="minorEastAsia"/>
              </w:rPr>
            </w:pPr>
            <w:r w:rsidRPr="00EA3B97">
              <w:rPr>
                <w:rFonts w:eastAsiaTheme="minorEastAsia"/>
              </w:rPr>
              <w:t>REG bundle size</w:t>
            </w:r>
          </w:p>
        </w:tc>
        <w:tc>
          <w:tcPr>
            <w:tcW w:w="469" w:type="pct"/>
            <w:tcBorders>
              <w:top w:val="single" w:sz="4" w:space="0" w:color="auto"/>
              <w:left w:val="single" w:sz="4" w:space="0" w:color="auto"/>
              <w:bottom w:val="single" w:sz="4" w:space="0" w:color="auto"/>
              <w:right w:val="single" w:sz="4" w:space="0" w:color="auto"/>
            </w:tcBorders>
          </w:tcPr>
          <w:p w14:paraId="47D21E15"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62D8DAAD"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6" w:type="pct"/>
            <w:tcBorders>
              <w:top w:val="single" w:sz="4" w:space="0" w:color="auto"/>
              <w:left w:val="single" w:sz="4" w:space="0" w:color="auto"/>
              <w:bottom w:val="single" w:sz="4" w:space="0" w:color="auto"/>
              <w:right w:val="single" w:sz="4" w:space="0" w:color="auto"/>
            </w:tcBorders>
          </w:tcPr>
          <w:p w14:paraId="344A10E4" w14:textId="77777777" w:rsidR="003A71DE" w:rsidRPr="00EA3B97" w:rsidRDefault="003A71DE" w:rsidP="007835E8">
            <w:pPr>
              <w:pStyle w:val="TAC"/>
              <w:rPr>
                <w:rFonts w:eastAsiaTheme="minorEastAsia"/>
                <w:lang w:eastAsia="zh-CN"/>
              </w:rPr>
            </w:pPr>
          </w:p>
        </w:tc>
        <w:tc>
          <w:tcPr>
            <w:tcW w:w="456" w:type="pct"/>
            <w:tcBorders>
              <w:top w:val="single" w:sz="4" w:space="0" w:color="auto"/>
              <w:left w:val="single" w:sz="4" w:space="0" w:color="auto"/>
              <w:bottom w:val="single" w:sz="4" w:space="0" w:color="auto"/>
              <w:right w:val="single" w:sz="4" w:space="0" w:color="auto"/>
            </w:tcBorders>
          </w:tcPr>
          <w:p w14:paraId="1876BFD7"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EAA59BF"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841C889"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5EB6E292"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91EDAB9" w14:textId="77777777" w:rsidR="003A71DE" w:rsidRPr="00EA3B97" w:rsidRDefault="003A71DE" w:rsidP="007835E8">
            <w:pPr>
              <w:pStyle w:val="TAC"/>
              <w:rPr>
                <w:rFonts w:eastAsiaTheme="minorEastAsia"/>
              </w:rPr>
            </w:pPr>
          </w:p>
        </w:tc>
      </w:tr>
      <w:tr w:rsidR="003A71DE" w:rsidRPr="00EA3B97" w14:paraId="4A0638DB"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vAlign w:val="center"/>
            <w:hideMark/>
          </w:tcPr>
          <w:p w14:paraId="34871202" w14:textId="77777777" w:rsidR="003A71DE" w:rsidRPr="00EA3B97" w:rsidRDefault="003A71DE" w:rsidP="007835E8">
            <w:pPr>
              <w:pStyle w:val="TAL"/>
              <w:rPr>
                <w:rFonts w:eastAsiaTheme="minorEastAsia"/>
              </w:rPr>
            </w:pPr>
            <w:r w:rsidRPr="00EA3B97">
              <w:rPr>
                <w:rFonts w:eastAsiaTheme="minorEastAsia"/>
              </w:rPr>
              <w:t>Mapping from REG to CCE</w:t>
            </w:r>
          </w:p>
        </w:tc>
        <w:tc>
          <w:tcPr>
            <w:tcW w:w="469" w:type="pct"/>
            <w:tcBorders>
              <w:top w:val="single" w:sz="4" w:space="0" w:color="auto"/>
              <w:left w:val="single" w:sz="4" w:space="0" w:color="auto"/>
              <w:bottom w:val="single" w:sz="4" w:space="0" w:color="auto"/>
              <w:right w:val="single" w:sz="4" w:space="0" w:color="auto"/>
            </w:tcBorders>
          </w:tcPr>
          <w:p w14:paraId="3CCA9BD0"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43C8402C" w14:textId="77777777" w:rsidR="003A71DE" w:rsidRPr="00EA3B97" w:rsidRDefault="003A71DE" w:rsidP="007835E8">
            <w:pPr>
              <w:pStyle w:val="TAC"/>
              <w:rPr>
                <w:rFonts w:eastAsiaTheme="minorEastAsia"/>
              </w:rPr>
            </w:pPr>
            <w:r w:rsidRPr="00EA3B97">
              <w:rPr>
                <w:rFonts w:eastAsiaTheme="minorEastAsia"/>
              </w:rPr>
              <w:t>Distributed</w:t>
            </w:r>
          </w:p>
        </w:tc>
        <w:tc>
          <w:tcPr>
            <w:tcW w:w="456" w:type="pct"/>
            <w:tcBorders>
              <w:top w:val="single" w:sz="4" w:space="0" w:color="auto"/>
              <w:left w:val="single" w:sz="4" w:space="0" w:color="auto"/>
              <w:bottom w:val="single" w:sz="4" w:space="0" w:color="auto"/>
              <w:right w:val="single" w:sz="4" w:space="0" w:color="auto"/>
            </w:tcBorders>
          </w:tcPr>
          <w:p w14:paraId="7452A80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2042E4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56FC2F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B966207"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533B9583"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2FE39CE1" w14:textId="77777777" w:rsidR="003A71DE" w:rsidRPr="00EA3B97" w:rsidRDefault="003A71DE" w:rsidP="007835E8">
            <w:pPr>
              <w:pStyle w:val="TAC"/>
              <w:rPr>
                <w:rFonts w:eastAsiaTheme="minorEastAsia"/>
              </w:rPr>
            </w:pPr>
          </w:p>
        </w:tc>
      </w:tr>
      <w:tr w:rsidR="003A71DE" w:rsidRPr="00EA3B97" w14:paraId="72083ABD"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6BC01095" w14:textId="77777777" w:rsidR="003A71DE" w:rsidRPr="00EA3B97" w:rsidRDefault="003A71DE" w:rsidP="007835E8">
            <w:pPr>
              <w:pStyle w:val="TAL"/>
              <w:rPr>
                <w:rFonts w:eastAsiaTheme="minorEastAsia"/>
              </w:rPr>
            </w:pPr>
            <w:r w:rsidRPr="00EA3B97">
              <w:rPr>
                <w:rFonts w:eastAsiaTheme="minorEastAsia"/>
              </w:rPr>
              <w:t>Cell ID</w:t>
            </w:r>
          </w:p>
        </w:tc>
        <w:tc>
          <w:tcPr>
            <w:tcW w:w="469" w:type="pct"/>
            <w:tcBorders>
              <w:top w:val="single" w:sz="4" w:space="0" w:color="auto"/>
              <w:left w:val="single" w:sz="4" w:space="0" w:color="auto"/>
              <w:bottom w:val="single" w:sz="4" w:space="0" w:color="auto"/>
              <w:right w:val="single" w:sz="4" w:space="0" w:color="auto"/>
            </w:tcBorders>
          </w:tcPr>
          <w:p w14:paraId="42491AF7" w14:textId="77777777" w:rsidR="003A71DE" w:rsidRPr="00EA3B97" w:rsidRDefault="003A71DE" w:rsidP="007835E8">
            <w:pPr>
              <w:pStyle w:val="TAC"/>
              <w:rPr>
                <w:rFonts w:eastAsiaTheme="minorEastAsia"/>
              </w:rPr>
            </w:pPr>
          </w:p>
        </w:tc>
        <w:tc>
          <w:tcPr>
            <w:tcW w:w="576" w:type="pct"/>
            <w:tcBorders>
              <w:top w:val="single" w:sz="4" w:space="0" w:color="auto"/>
              <w:left w:val="single" w:sz="4" w:space="0" w:color="auto"/>
              <w:bottom w:val="single" w:sz="4" w:space="0" w:color="auto"/>
              <w:right w:val="single" w:sz="4" w:space="0" w:color="auto"/>
            </w:tcBorders>
            <w:hideMark/>
          </w:tcPr>
          <w:p w14:paraId="099C52DF" w14:textId="77777777" w:rsidR="003A71DE" w:rsidRPr="00EA3B97" w:rsidRDefault="003A71DE" w:rsidP="007835E8">
            <w:pPr>
              <w:pStyle w:val="TAC"/>
              <w:rPr>
                <w:rFonts w:eastAsiaTheme="minorEastAsia"/>
              </w:rPr>
            </w:pPr>
            <w:r w:rsidRPr="00EA3B97">
              <w:rPr>
                <w:rFonts w:eastAsiaTheme="minorEastAsia"/>
              </w:rPr>
              <w:t>Note 5</w:t>
            </w:r>
          </w:p>
        </w:tc>
        <w:tc>
          <w:tcPr>
            <w:tcW w:w="456" w:type="pct"/>
            <w:tcBorders>
              <w:top w:val="single" w:sz="4" w:space="0" w:color="auto"/>
              <w:left w:val="single" w:sz="4" w:space="0" w:color="auto"/>
              <w:bottom w:val="single" w:sz="4" w:space="0" w:color="auto"/>
              <w:right w:val="single" w:sz="4" w:space="0" w:color="auto"/>
            </w:tcBorders>
          </w:tcPr>
          <w:p w14:paraId="4D23E005"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45603B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2D8A26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6BDA0720"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2650570E"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73287472" w14:textId="77777777" w:rsidR="003A71DE" w:rsidRPr="00EA3B97" w:rsidRDefault="003A71DE" w:rsidP="007835E8">
            <w:pPr>
              <w:pStyle w:val="TAC"/>
              <w:rPr>
                <w:rFonts w:eastAsiaTheme="minorEastAsia"/>
              </w:rPr>
            </w:pPr>
          </w:p>
        </w:tc>
      </w:tr>
      <w:tr w:rsidR="003A71DE" w:rsidRPr="00EA3B97" w14:paraId="7173A975" w14:textId="77777777" w:rsidTr="003A71DE">
        <w:trPr>
          <w:jc w:val="center"/>
        </w:trPr>
        <w:tc>
          <w:tcPr>
            <w:tcW w:w="1219" w:type="pct"/>
            <w:tcBorders>
              <w:top w:val="single" w:sz="4" w:space="0" w:color="auto"/>
              <w:left w:val="single" w:sz="4" w:space="0" w:color="auto"/>
              <w:bottom w:val="single" w:sz="4" w:space="0" w:color="auto"/>
              <w:right w:val="single" w:sz="4" w:space="0" w:color="auto"/>
            </w:tcBorders>
            <w:hideMark/>
          </w:tcPr>
          <w:p w14:paraId="40C25248" w14:textId="77777777" w:rsidR="003A71DE" w:rsidRPr="00EA3B97" w:rsidRDefault="003A71DE" w:rsidP="007835E8">
            <w:pPr>
              <w:pStyle w:val="TAL"/>
              <w:rPr>
                <w:rFonts w:eastAsiaTheme="minorEastAsia"/>
              </w:rPr>
            </w:pPr>
            <w:r w:rsidRPr="00EA3B97">
              <w:rPr>
                <w:rFonts w:eastAsiaTheme="minorEastAsia"/>
              </w:rPr>
              <w:t>Payload (without CRC)</w:t>
            </w:r>
          </w:p>
        </w:tc>
        <w:tc>
          <w:tcPr>
            <w:tcW w:w="469" w:type="pct"/>
            <w:tcBorders>
              <w:top w:val="single" w:sz="4" w:space="0" w:color="auto"/>
              <w:left w:val="single" w:sz="4" w:space="0" w:color="auto"/>
              <w:bottom w:val="single" w:sz="4" w:space="0" w:color="auto"/>
              <w:right w:val="single" w:sz="4" w:space="0" w:color="auto"/>
            </w:tcBorders>
            <w:hideMark/>
          </w:tcPr>
          <w:p w14:paraId="79DB641A" w14:textId="77777777" w:rsidR="003A71DE" w:rsidRPr="00EA3B97" w:rsidRDefault="003A71DE" w:rsidP="007835E8">
            <w:pPr>
              <w:pStyle w:val="TAC"/>
              <w:rPr>
                <w:rFonts w:eastAsiaTheme="minorEastAsia"/>
              </w:rPr>
            </w:pPr>
            <w:r w:rsidRPr="00EA3B97">
              <w:rPr>
                <w:rFonts w:eastAsiaTheme="minorEastAsia"/>
              </w:rPr>
              <w:t>bits</w:t>
            </w:r>
          </w:p>
        </w:tc>
        <w:tc>
          <w:tcPr>
            <w:tcW w:w="576" w:type="pct"/>
            <w:tcBorders>
              <w:top w:val="single" w:sz="4" w:space="0" w:color="auto"/>
              <w:left w:val="single" w:sz="4" w:space="0" w:color="auto"/>
              <w:bottom w:val="single" w:sz="4" w:space="0" w:color="auto"/>
              <w:right w:val="single" w:sz="4" w:space="0" w:color="auto"/>
            </w:tcBorders>
            <w:hideMark/>
          </w:tcPr>
          <w:p w14:paraId="709C3260" w14:textId="77777777" w:rsidR="003A71DE" w:rsidRPr="00EA3B97" w:rsidRDefault="003A71DE" w:rsidP="007835E8">
            <w:pPr>
              <w:pStyle w:val="TAC"/>
              <w:rPr>
                <w:rFonts w:eastAsiaTheme="minorEastAsia"/>
              </w:rPr>
            </w:pPr>
            <w:r w:rsidRPr="00EA3B97">
              <w:rPr>
                <w:rFonts w:eastAsiaTheme="minorEastAsia"/>
              </w:rPr>
              <w:t>Note 6</w:t>
            </w:r>
          </w:p>
        </w:tc>
        <w:tc>
          <w:tcPr>
            <w:tcW w:w="456" w:type="pct"/>
            <w:tcBorders>
              <w:top w:val="single" w:sz="4" w:space="0" w:color="auto"/>
              <w:left w:val="single" w:sz="4" w:space="0" w:color="auto"/>
              <w:bottom w:val="single" w:sz="4" w:space="0" w:color="auto"/>
              <w:right w:val="single" w:sz="4" w:space="0" w:color="auto"/>
            </w:tcBorders>
          </w:tcPr>
          <w:p w14:paraId="334593A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F3EFEA3"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EBB5BD3"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4BE98B9" w14:textId="77777777" w:rsidR="003A71DE" w:rsidRPr="00EA3B97" w:rsidRDefault="003A71DE" w:rsidP="007835E8">
            <w:pPr>
              <w:pStyle w:val="TAC"/>
              <w:rPr>
                <w:rFonts w:eastAsiaTheme="minorEastAsia"/>
              </w:rPr>
            </w:pPr>
          </w:p>
        </w:tc>
        <w:tc>
          <w:tcPr>
            <w:tcW w:w="457" w:type="pct"/>
            <w:tcBorders>
              <w:top w:val="single" w:sz="4" w:space="0" w:color="auto"/>
              <w:left w:val="single" w:sz="4" w:space="0" w:color="auto"/>
              <w:bottom w:val="single" w:sz="4" w:space="0" w:color="auto"/>
              <w:right w:val="single" w:sz="4" w:space="0" w:color="auto"/>
            </w:tcBorders>
          </w:tcPr>
          <w:p w14:paraId="4EF5E0C6" w14:textId="77777777" w:rsidR="003A71DE" w:rsidRPr="00EA3B97" w:rsidRDefault="003A71DE" w:rsidP="007835E8">
            <w:pPr>
              <w:pStyle w:val="TAC"/>
              <w:rPr>
                <w:rFonts w:eastAsiaTheme="minorEastAsia"/>
              </w:rPr>
            </w:pPr>
          </w:p>
        </w:tc>
        <w:tc>
          <w:tcPr>
            <w:tcW w:w="455" w:type="pct"/>
            <w:tcBorders>
              <w:top w:val="single" w:sz="4" w:space="0" w:color="auto"/>
              <w:left w:val="single" w:sz="4" w:space="0" w:color="auto"/>
              <w:bottom w:val="single" w:sz="4" w:space="0" w:color="auto"/>
              <w:right w:val="single" w:sz="4" w:space="0" w:color="auto"/>
            </w:tcBorders>
          </w:tcPr>
          <w:p w14:paraId="49BCF79A" w14:textId="77777777" w:rsidR="003A71DE" w:rsidRPr="00EA3B97" w:rsidRDefault="003A71DE" w:rsidP="007835E8">
            <w:pPr>
              <w:pStyle w:val="TAC"/>
              <w:rPr>
                <w:rFonts w:eastAsiaTheme="minorEastAsia"/>
              </w:rPr>
            </w:pPr>
          </w:p>
        </w:tc>
      </w:tr>
      <w:tr w:rsidR="003A71DE" w:rsidRPr="00EA3B97" w14:paraId="6113940C"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hideMark/>
          </w:tcPr>
          <w:p w14:paraId="7D38D786"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DCI formats are defined in TS 38.212.</w:t>
            </w:r>
          </w:p>
          <w:p w14:paraId="08B130C9"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DCI format shall depend upon the test configuration.</w:t>
            </w:r>
          </w:p>
          <w:p w14:paraId="10A9414D" w14:textId="77777777" w:rsidR="003A71DE" w:rsidRPr="00EA3B97" w:rsidRDefault="003A71DE" w:rsidP="007835E8">
            <w:pPr>
              <w:pStyle w:val="TAN"/>
              <w:rPr>
                <w:rFonts w:eastAsiaTheme="minorEastAsia"/>
                <w:lang w:val="en-US"/>
              </w:rPr>
            </w:pPr>
            <w:r w:rsidRPr="00EA3B97">
              <w:rPr>
                <w:rFonts w:eastAsiaTheme="minorEastAsia"/>
              </w:rPr>
              <w:t>Note 3:</w:t>
            </w:r>
            <w:r w:rsidRPr="00EA3B97">
              <w:rPr>
                <w:rFonts w:eastAsiaTheme="minorEastAsia"/>
              </w:rPr>
              <w:tab/>
            </w:r>
            <w:r w:rsidRPr="00EA3B97">
              <w:rPr>
                <w:rFonts w:eastAsiaTheme="minorEastAsia"/>
                <w:lang w:val="en-US"/>
              </w:rPr>
              <w:t>The offset is defined with respect to the subcarrier spacing of the CORESET from the smallest RB index of RMSI CORESET to the smallest RB index of the common RB overlapping with the first RB of the SS/PBCH block.</w:t>
            </w:r>
          </w:p>
          <w:p w14:paraId="483AD5E1" w14:textId="77777777" w:rsidR="003A71DE" w:rsidRPr="00EA3B97" w:rsidRDefault="003A71DE" w:rsidP="007835E8">
            <w:pPr>
              <w:pStyle w:val="TAN"/>
              <w:rPr>
                <w:rFonts w:eastAsiaTheme="minorEastAsia"/>
              </w:rPr>
            </w:pPr>
            <w:r w:rsidRPr="00EA3B97">
              <w:rPr>
                <w:rFonts w:eastAsiaTheme="minorEastAsia"/>
              </w:rPr>
              <w:t>Note 4:</w:t>
            </w:r>
            <w:r w:rsidRPr="00EA3B97">
              <w:rPr>
                <w:rFonts w:eastAsiaTheme="minorEastAsia"/>
              </w:rPr>
              <w:tab/>
              <w:t xml:space="preserve">The configuration of PDCCH monitoring occasions for </w:t>
            </w:r>
            <w:r w:rsidRPr="00EA3B97">
              <w:rPr>
                <w:rFonts w:eastAsiaTheme="minorEastAsia"/>
                <w:lang w:eastAsia="zh-CN"/>
              </w:rPr>
              <w:t>RMSI CORESET</w:t>
            </w:r>
            <w:r w:rsidRPr="00EA3B97">
              <w:rPr>
                <w:rFonts w:eastAsiaTheme="minorEastAsia"/>
              </w:rPr>
              <w:t xml:space="preserve"> is defined in Table 13-12 in TS 38.213 [3].</w:t>
            </w:r>
          </w:p>
          <w:p w14:paraId="142BE757" w14:textId="77777777" w:rsidR="003A71DE" w:rsidRPr="00EA3B97" w:rsidRDefault="003A71DE" w:rsidP="007835E8">
            <w:pPr>
              <w:pStyle w:val="TAN"/>
              <w:rPr>
                <w:rFonts w:eastAsiaTheme="minorEastAsia"/>
              </w:rPr>
            </w:pPr>
            <w:r w:rsidRPr="00EA3B97">
              <w:rPr>
                <w:rFonts w:eastAsiaTheme="minorEastAsia"/>
              </w:rPr>
              <w:t>Note 5:</w:t>
            </w:r>
            <w:r w:rsidRPr="00EA3B97">
              <w:rPr>
                <w:rFonts w:eastAsiaTheme="minorEastAsia"/>
              </w:rPr>
              <w:tab/>
              <w:t>Cell ID shall depend upon the test configuration.</w:t>
            </w:r>
          </w:p>
          <w:p w14:paraId="7356BCD5" w14:textId="77777777" w:rsidR="003A71DE" w:rsidRPr="00EA3B97" w:rsidRDefault="003A71DE" w:rsidP="007835E8">
            <w:pPr>
              <w:pStyle w:val="TAN"/>
              <w:rPr>
                <w:rFonts w:eastAsiaTheme="minorEastAsia"/>
              </w:rPr>
            </w:pPr>
            <w:r w:rsidRPr="00EA3B97">
              <w:rPr>
                <w:rFonts w:eastAsiaTheme="minorEastAsia"/>
              </w:rPr>
              <w:t>Note 6:</w:t>
            </w:r>
            <w:r w:rsidRPr="00EA3B97">
              <w:rPr>
                <w:rFonts w:eastAsiaTheme="minorEastAsia"/>
              </w:rPr>
              <w:tab/>
              <w:t>Payload size shall depend upon the test configuration.</w:t>
            </w:r>
          </w:p>
          <w:p w14:paraId="61973B7A" w14:textId="1FF1F760" w:rsidR="003A71DE" w:rsidRPr="00EA3B97" w:rsidRDefault="003A71DE" w:rsidP="007835E8">
            <w:pPr>
              <w:pStyle w:val="TAN"/>
              <w:rPr>
                <w:rFonts w:eastAsiaTheme="minorEastAsia"/>
                <w:lang w:eastAsia="ja-JP"/>
              </w:rPr>
            </w:pPr>
            <w:r w:rsidRPr="00EA3B97">
              <w:rPr>
                <w:rFonts w:eastAsiaTheme="minorEastAsia"/>
              </w:rPr>
              <w:t xml:space="preserve">Note 7: </w:t>
            </w:r>
            <w:r w:rsidRPr="00EA3B97">
              <w:rPr>
                <w:rFonts w:eastAsiaTheme="minorEastAsia"/>
              </w:rPr>
              <w:tab/>
            </w:r>
            <w:r w:rsidRPr="00EA3B97">
              <w:rPr>
                <w:rFonts w:eastAsiaTheme="minorEastAsia"/>
                <w:lang w:eastAsia="ja-JP"/>
              </w:rPr>
              <w:t>The configuration of set of resource blocks and slot symbols of control resource set for Type0-PDCCH search space corresponds to index 0 in Table 13-8 in TS 38.213</w:t>
            </w:r>
            <w:r w:rsidR="00ED70DB">
              <w:rPr>
                <w:rFonts w:eastAsiaTheme="minorEastAsia"/>
                <w:lang w:eastAsia="ja-JP"/>
              </w:rPr>
              <w:t xml:space="preserve"> </w:t>
            </w:r>
            <w:r w:rsidRPr="00EA3B97">
              <w:rPr>
                <w:rFonts w:eastAsiaTheme="minorEastAsia"/>
                <w:lang w:eastAsia="ja-JP"/>
              </w:rPr>
              <w:t>[3].</w:t>
            </w:r>
          </w:p>
          <w:p w14:paraId="01D19A28" w14:textId="77777777" w:rsidR="003A71DE" w:rsidRPr="00EA3B97" w:rsidRDefault="003A71DE" w:rsidP="007835E8">
            <w:pPr>
              <w:pStyle w:val="TAN"/>
              <w:rPr>
                <w:rFonts w:eastAsiaTheme="minorEastAsia"/>
              </w:rPr>
            </w:pPr>
            <w:r w:rsidRPr="00EA3B97">
              <w:rPr>
                <w:rFonts w:eastAsiaTheme="minorEastAsia"/>
              </w:rPr>
              <w:t>Note 8:</w:t>
            </w:r>
            <w:r w:rsidRPr="00EA3B97">
              <w:rPr>
                <w:rFonts w:eastAsiaTheme="minorEastAsia"/>
              </w:rPr>
              <w:tab/>
              <w:t>Other values can be used to align with GSCN [13] as long as SSB does not overlap the RMC.</w:t>
            </w:r>
          </w:p>
        </w:tc>
      </w:tr>
    </w:tbl>
    <w:p w14:paraId="47236DF2" w14:textId="77777777" w:rsidR="003A71DE" w:rsidRPr="00EA3B97" w:rsidRDefault="003A71DE" w:rsidP="005437E4">
      <w:pPr>
        <w:rPr>
          <w:rFonts w:eastAsia="MS Mincho"/>
          <w:snapToGrid w:val="0"/>
        </w:rPr>
      </w:pPr>
    </w:p>
    <w:p w14:paraId="353DC8BD" w14:textId="77777777" w:rsidR="003A71DE" w:rsidRPr="00EA3B97" w:rsidRDefault="003A71DE" w:rsidP="00A153AF">
      <w:pPr>
        <w:pStyle w:val="Heading4"/>
        <w:rPr>
          <w:rFonts w:eastAsiaTheme="minorEastAsia"/>
          <w:snapToGrid w:val="0"/>
        </w:rPr>
      </w:pPr>
      <w:bookmarkStart w:id="9718" w:name="_Toc74583615"/>
      <w:bookmarkStart w:id="9719" w:name="_Toc76542428"/>
      <w:bookmarkStart w:id="9720" w:name="_Toc82450410"/>
      <w:bookmarkStart w:id="9721" w:name="_Toc82451058"/>
      <w:bookmarkStart w:id="9722" w:name="_Toc89949447"/>
      <w:bookmarkStart w:id="9723" w:name="_Toc98755836"/>
      <w:bookmarkStart w:id="9724" w:name="_Toc98763428"/>
      <w:bookmarkStart w:id="9725" w:name="_Toc106184357"/>
      <w:r w:rsidRPr="00EA3B97">
        <w:rPr>
          <w:rFonts w:eastAsiaTheme="minorEastAsia"/>
          <w:snapToGrid w:val="0"/>
        </w:rPr>
        <w:lastRenderedPageBreak/>
        <w:t>G.1.1.3</w:t>
      </w:r>
      <w:r w:rsidRPr="00EA3B97">
        <w:rPr>
          <w:rFonts w:eastAsiaTheme="minorEastAsia"/>
          <w:snapToGrid w:val="0"/>
        </w:rPr>
        <w:tab/>
        <w:t>CORESET for RMC scheduling</w:t>
      </w:r>
      <w:bookmarkEnd w:id="9718"/>
      <w:bookmarkEnd w:id="9719"/>
      <w:bookmarkEnd w:id="9720"/>
      <w:bookmarkEnd w:id="9721"/>
      <w:bookmarkEnd w:id="9722"/>
      <w:bookmarkEnd w:id="9723"/>
      <w:bookmarkEnd w:id="9724"/>
      <w:bookmarkEnd w:id="9725"/>
    </w:p>
    <w:p w14:paraId="1E4ABCC0" w14:textId="77777777" w:rsidR="003A71DE" w:rsidRPr="00EA3B97" w:rsidRDefault="003A71DE" w:rsidP="00A153AF">
      <w:pPr>
        <w:pStyle w:val="Heading5"/>
        <w:rPr>
          <w:rFonts w:eastAsiaTheme="minorEastAsia"/>
          <w:snapToGrid w:val="0"/>
        </w:rPr>
      </w:pPr>
      <w:bookmarkStart w:id="9726" w:name="_Toc74583616"/>
      <w:bookmarkStart w:id="9727" w:name="_Toc76542429"/>
      <w:bookmarkStart w:id="9728" w:name="_Toc82450411"/>
      <w:bookmarkStart w:id="9729" w:name="_Toc82451059"/>
      <w:bookmarkStart w:id="9730" w:name="_Toc89949448"/>
      <w:bookmarkStart w:id="9731" w:name="_Toc98755837"/>
      <w:bookmarkStart w:id="9732" w:name="_Toc98763429"/>
      <w:bookmarkStart w:id="9733" w:name="_Toc106184358"/>
      <w:r w:rsidRPr="00EA3B97">
        <w:rPr>
          <w:rFonts w:eastAsiaTheme="minorEastAsia"/>
          <w:snapToGrid w:val="0"/>
        </w:rPr>
        <w:t>G.1.1.3.1</w:t>
      </w:r>
      <w:r w:rsidRPr="00EA3B97">
        <w:rPr>
          <w:rFonts w:eastAsiaTheme="minorEastAsia"/>
          <w:snapToGrid w:val="0"/>
        </w:rPr>
        <w:tab/>
        <w:t>TDD</w:t>
      </w:r>
      <w:bookmarkEnd w:id="9726"/>
      <w:bookmarkEnd w:id="9727"/>
      <w:bookmarkEnd w:id="9728"/>
      <w:bookmarkEnd w:id="9729"/>
      <w:bookmarkEnd w:id="9730"/>
      <w:bookmarkEnd w:id="9731"/>
      <w:bookmarkEnd w:id="9732"/>
      <w:bookmarkEnd w:id="9733"/>
    </w:p>
    <w:p w14:paraId="3437CD2B" w14:textId="77777777" w:rsidR="003A71DE" w:rsidRPr="00EA3B97" w:rsidRDefault="003A71DE" w:rsidP="006578B5">
      <w:pPr>
        <w:pStyle w:val="TH"/>
        <w:rPr>
          <w:rFonts w:eastAsiaTheme="minorEastAsia"/>
        </w:rPr>
      </w:pPr>
      <w:r w:rsidRPr="00EA3B97">
        <w:rPr>
          <w:rFonts w:eastAsiaTheme="minorEastAsia"/>
        </w:rPr>
        <w:t>Table G.1.1.3.1-1: Control Channel RMC for TDD with SCS=15KHz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4"/>
        <w:gridCol w:w="877"/>
        <w:gridCol w:w="1107"/>
        <w:gridCol w:w="1107"/>
        <w:gridCol w:w="846"/>
        <w:gridCol w:w="846"/>
        <w:gridCol w:w="846"/>
        <w:gridCol w:w="846"/>
        <w:gridCol w:w="842"/>
      </w:tblGrid>
      <w:tr w:rsidR="003A71DE" w:rsidRPr="00EA3B97" w14:paraId="250FD651"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hideMark/>
          </w:tcPr>
          <w:p w14:paraId="5BC6C608" w14:textId="77777777" w:rsidR="003A71DE" w:rsidRPr="00EA3B97" w:rsidRDefault="003A71DE" w:rsidP="007835E8">
            <w:pPr>
              <w:pStyle w:val="TAH"/>
              <w:rPr>
                <w:rFonts w:eastAsiaTheme="minorEastAsia"/>
              </w:rPr>
            </w:pPr>
            <w:r w:rsidRPr="00EA3B97">
              <w:rPr>
                <w:rFonts w:eastAsiaTheme="minorEastAsia"/>
              </w:rPr>
              <w:t>Parameter</w:t>
            </w:r>
          </w:p>
        </w:tc>
        <w:tc>
          <w:tcPr>
            <w:tcW w:w="455" w:type="pct"/>
            <w:tcBorders>
              <w:top w:val="single" w:sz="4" w:space="0" w:color="auto"/>
              <w:left w:val="single" w:sz="4" w:space="0" w:color="auto"/>
              <w:bottom w:val="single" w:sz="4" w:space="0" w:color="auto"/>
              <w:right w:val="single" w:sz="4" w:space="0" w:color="auto"/>
            </w:tcBorders>
            <w:hideMark/>
          </w:tcPr>
          <w:p w14:paraId="73A811D2" w14:textId="77777777" w:rsidR="003A71DE" w:rsidRPr="00EA3B97" w:rsidRDefault="003A71DE" w:rsidP="007835E8">
            <w:pPr>
              <w:pStyle w:val="TAH"/>
              <w:rPr>
                <w:rFonts w:eastAsiaTheme="minorEastAsia"/>
              </w:rPr>
            </w:pPr>
            <w:r w:rsidRPr="00EA3B97">
              <w:rPr>
                <w:rFonts w:eastAsiaTheme="minorEastAsia"/>
              </w:rPr>
              <w:t>Unit</w:t>
            </w:r>
          </w:p>
        </w:tc>
        <w:tc>
          <w:tcPr>
            <w:tcW w:w="3343" w:type="pct"/>
            <w:gridSpan w:val="7"/>
            <w:tcBorders>
              <w:top w:val="single" w:sz="4" w:space="0" w:color="auto"/>
              <w:left w:val="single" w:sz="4" w:space="0" w:color="auto"/>
              <w:bottom w:val="single" w:sz="4" w:space="0" w:color="auto"/>
              <w:right w:val="single" w:sz="4" w:space="0" w:color="auto"/>
            </w:tcBorders>
            <w:hideMark/>
          </w:tcPr>
          <w:p w14:paraId="11C09B3B" w14:textId="77777777" w:rsidR="003A71DE" w:rsidRPr="00EA3B97" w:rsidRDefault="003A71DE" w:rsidP="007835E8">
            <w:pPr>
              <w:pStyle w:val="TAH"/>
              <w:rPr>
                <w:rFonts w:eastAsiaTheme="minorEastAsia"/>
              </w:rPr>
            </w:pPr>
            <w:r w:rsidRPr="00EA3B97">
              <w:rPr>
                <w:rFonts w:eastAsiaTheme="minorEastAsia"/>
              </w:rPr>
              <w:t>Value</w:t>
            </w:r>
          </w:p>
        </w:tc>
      </w:tr>
      <w:tr w:rsidR="003A71DE" w:rsidRPr="00EA3B97" w14:paraId="73A1F454"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hideMark/>
          </w:tcPr>
          <w:p w14:paraId="6B9D9786" w14:textId="77777777" w:rsidR="003A71DE" w:rsidRPr="00EA3B97" w:rsidRDefault="003A71DE" w:rsidP="007835E8">
            <w:pPr>
              <w:pStyle w:val="TAL"/>
              <w:rPr>
                <w:rFonts w:eastAsiaTheme="minorEastAsia"/>
              </w:rPr>
            </w:pPr>
            <w:r w:rsidRPr="00EA3B97">
              <w:rPr>
                <w:rFonts w:eastAsiaTheme="minorEastAsia"/>
              </w:rPr>
              <w:t>Reference channel</w:t>
            </w:r>
          </w:p>
        </w:tc>
        <w:tc>
          <w:tcPr>
            <w:tcW w:w="455" w:type="pct"/>
            <w:tcBorders>
              <w:top w:val="single" w:sz="4" w:space="0" w:color="auto"/>
              <w:left w:val="single" w:sz="4" w:space="0" w:color="auto"/>
              <w:bottom w:val="single" w:sz="4" w:space="0" w:color="auto"/>
              <w:right w:val="single" w:sz="4" w:space="0" w:color="auto"/>
            </w:tcBorders>
          </w:tcPr>
          <w:p w14:paraId="17CACF11"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A767B7E" w14:textId="77777777" w:rsidR="003A71DE" w:rsidRPr="00EA3B97" w:rsidRDefault="003A71DE" w:rsidP="007835E8">
            <w:pPr>
              <w:pStyle w:val="TAC"/>
              <w:rPr>
                <w:rFonts w:eastAsiaTheme="minorEastAsia"/>
              </w:rPr>
            </w:pPr>
            <w:r w:rsidRPr="00EA3B97">
              <w:rPr>
                <w:rFonts w:eastAsiaTheme="minorEastAsia"/>
              </w:rPr>
              <w:t>CCR.1.1 TDD</w:t>
            </w:r>
          </w:p>
        </w:tc>
        <w:tc>
          <w:tcPr>
            <w:tcW w:w="575" w:type="pct"/>
            <w:tcBorders>
              <w:top w:val="single" w:sz="4" w:space="0" w:color="auto"/>
              <w:left w:val="single" w:sz="4" w:space="0" w:color="auto"/>
              <w:bottom w:val="single" w:sz="4" w:space="0" w:color="auto"/>
              <w:right w:val="single" w:sz="4" w:space="0" w:color="auto"/>
            </w:tcBorders>
          </w:tcPr>
          <w:p w14:paraId="0E6C7315" w14:textId="77777777" w:rsidR="003A71DE" w:rsidRPr="00EA3B97" w:rsidRDefault="003A71DE" w:rsidP="007835E8">
            <w:pPr>
              <w:pStyle w:val="TAC"/>
              <w:rPr>
                <w:rFonts w:eastAsiaTheme="minorEastAsia"/>
              </w:rPr>
            </w:pPr>
            <w:r w:rsidRPr="00EA3B97">
              <w:rPr>
                <w:rFonts w:eastAsiaTheme="minorEastAsia" w:hint="eastAsia"/>
                <w:lang w:eastAsia="zh-CN"/>
              </w:rPr>
              <w:t>C</w:t>
            </w:r>
            <w:r w:rsidRPr="00EA3B97">
              <w:rPr>
                <w:rFonts w:eastAsiaTheme="minorEastAsia"/>
                <w:lang w:eastAsia="zh-CN"/>
              </w:rPr>
              <w:t>CR.1.2 TDD</w:t>
            </w:r>
          </w:p>
        </w:tc>
        <w:tc>
          <w:tcPr>
            <w:tcW w:w="439" w:type="pct"/>
            <w:tcBorders>
              <w:top w:val="single" w:sz="4" w:space="0" w:color="auto"/>
              <w:left w:val="single" w:sz="4" w:space="0" w:color="auto"/>
              <w:bottom w:val="single" w:sz="4" w:space="0" w:color="auto"/>
              <w:right w:val="single" w:sz="4" w:space="0" w:color="auto"/>
            </w:tcBorders>
          </w:tcPr>
          <w:p w14:paraId="7187AC17"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7CE1E8C9"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01AC5FBC"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4CE15463"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7B6F306E" w14:textId="77777777" w:rsidR="003A71DE" w:rsidRPr="00EA3B97" w:rsidRDefault="003A71DE" w:rsidP="007835E8">
            <w:pPr>
              <w:pStyle w:val="TAC"/>
              <w:rPr>
                <w:rFonts w:eastAsiaTheme="minorEastAsia"/>
              </w:rPr>
            </w:pPr>
          </w:p>
        </w:tc>
      </w:tr>
      <w:tr w:rsidR="003A71DE" w:rsidRPr="00EA3B97" w14:paraId="0562D189"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hideMark/>
          </w:tcPr>
          <w:p w14:paraId="27272AD6" w14:textId="77777777" w:rsidR="003A71DE" w:rsidRPr="00EA3B97" w:rsidRDefault="003A71DE" w:rsidP="007835E8">
            <w:pPr>
              <w:pStyle w:val="TAL"/>
              <w:rPr>
                <w:rFonts w:eastAsiaTheme="minorEastAsia"/>
                <w:lang w:eastAsia="zh-CN"/>
              </w:rPr>
            </w:pPr>
            <w:r w:rsidRPr="00EA3B97">
              <w:rPr>
                <w:rFonts w:eastAsiaTheme="minorEastAsia"/>
                <w:lang w:eastAsia="zh-CN"/>
              </w:rPr>
              <w:t>Subcarrier spacing</w:t>
            </w:r>
          </w:p>
        </w:tc>
        <w:tc>
          <w:tcPr>
            <w:tcW w:w="455" w:type="pct"/>
            <w:tcBorders>
              <w:top w:val="single" w:sz="4" w:space="0" w:color="auto"/>
              <w:left w:val="single" w:sz="4" w:space="0" w:color="auto"/>
              <w:bottom w:val="single" w:sz="4" w:space="0" w:color="auto"/>
              <w:right w:val="single" w:sz="4" w:space="0" w:color="auto"/>
            </w:tcBorders>
            <w:hideMark/>
          </w:tcPr>
          <w:p w14:paraId="24A31202" w14:textId="77777777" w:rsidR="003A71DE" w:rsidRPr="00EA3B97" w:rsidRDefault="003A71DE" w:rsidP="007835E8">
            <w:pPr>
              <w:pStyle w:val="TAC"/>
              <w:rPr>
                <w:rFonts w:eastAsiaTheme="minorEastAsia"/>
                <w:lang w:eastAsia="zh-CN"/>
              </w:rPr>
            </w:pPr>
            <w:r w:rsidRPr="00EA3B97">
              <w:rPr>
                <w:rFonts w:eastAsiaTheme="minorEastAsia"/>
                <w:lang w:eastAsia="zh-CN"/>
              </w:rPr>
              <w:t>kHz</w:t>
            </w:r>
          </w:p>
        </w:tc>
        <w:tc>
          <w:tcPr>
            <w:tcW w:w="575" w:type="pct"/>
            <w:tcBorders>
              <w:top w:val="single" w:sz="4" w:space="0" w:color="auto"/>
              <w:left w:val="single" w:sz="4" w:space="0" w:color="auto"/>
              <w:bottom w:val="single" w:sz="4" w:space="0" w:color="auto"/>
              <w:right w:val="single" w:sz="4" w:space="0" w:color="auto"/>
            </w:tcBorders>
            <w:hideMark/>
          </w:tcPr>
          <w:p w14:paraId="1EF6AE65" w14:textId="77777777" w:rsidR="003A71DE" w:rsidRPr="00EA3B97" w:rsidRDefault="003A71DE" w:rsidP="007835E8">
            <w:pPr>
              <w:pStyle w:val="TAC"/>
              <w:rPr>
                <w:rFonts w:eastAsiaTheme="minorEastAsia"/>
                <w:lang w:eastAsia="zh-CN"/>
              </w:rPr>
            </w:pPr>
            <w:r w:rsidRPr="00EA3B97">
              <w:rPr>
                <w:rFonts w:eastAsiaTheme="minorEastAsia"/>
                <w:lang w:eastAsia="zh-CN"/>
              </w:rPr>
              <w:t>15</w:t>
            </w:r>
          </w:p>
        </w:tc>
        <w:tc>
          <w:tcPr>
            <w:tcW w:w="575" w:type="pct"/>
            <w:tcBorders>
              <w:top w:val="single" w:sz="4" w:space="0" w:color="auto"/>
              <w:left w:val="single" w:sz="4" w:space="0" w:color="auto"/>
              <w:bottom w:val="single" w:sz="4" w:space="0" w:color="auto"/>
              <w:right w:val="single" w:sz="4" w:space="0" w:color="auto"/>
            </w:tcBorders>
          </w:tcPr>
          <w:p w14:paraId="788D2018" w14:textId="77777777" w:rsidR="003A71DE" w:rsidRPr="00EA3B97" w:rsidRDefault="003A71DE" w:rsidP="007835E8">
            <w:pPr>
              <w:pStyle w:val="TAC"/>
              <w:rPr>
                <w:rFonts w:eastAsiaTheme="minorEastAsia"/>
                <w:lang w:eastAsia="zh-CN"/>
              </w:rPr>
            </w:pPr>
            <w:r w:rsidRPr="00EA3B97">
              <w:rPr>
                <w:rFonts w:eastAsiaTheme="minorEastAsia" w:hint="eastAsia"/>
                <w:lang w:eastAsia="zh-CN"/>
              </w:rPr>
              <w:t>1</w:t>
            </w:r>
            <w:r w:rsidRPr="00EA3B97">
              <w:rPr>
                <w:rFonts w:eastAsiaTheme="minorEastAsia"/>
                <w:lang w:eastAsia="zh-CN"/>
              </w:rPr>
              <w:t>5</w:t>
            </w:r>
          </w:p>
        </w:tc>
        <w:tc>
          <w:tcPr>
            <w:tcW w:w="439" w:type="pct"/>
            <w:tcBorders>
              <w:top w:val="single" w:sz="4" w:space="0" w:color="auto"/>
              <w:left w:val="single" w:sz="4" w:space="0" w:color="auto"/>
              <w:bottom w:val="single" w:sz="4" w:space="0" w:color="auto"/>
              <w:right w:val="single" w:sz="4" w:space="0" w:color="auto"/>
            </w:tcBorders>
          </w:tcPr>
          <w:p w14:paraId="59153CE4"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ECDE08E"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B2C6660"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16052F5"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775B51EC" w14:textId="77777777" w:rsidR="003A71DE" w:rsidRPr="00EA3B97" w:rsidRDefault="003A71DE" w:rsidP="007835E8">
            <w:pPr>
              <w:pStyle w:val="TAC"/>
              <w:rPr>
                <w:rFonts w:eastAsiaTheme="minorEastAsia"/>
              </w:rPr>
            </w:pPr>
          </w:p>
        </w:tc>
      </w:tr>
      <w:tr w:rsidR="003A71DE" w:rsidRPr="00EA3B97" w14:paraId="716E461C"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hideMark/>
          </w:tcPr>
          <w:p w14:paraId="3B0D1F8E" w14:textId="77777777" w:rsidR="003A71DE" w:rsidRPr="00EA3B97" w:rsidRDefault="003A71DE" w:rsidP="007835E8">
            <w:pPr>
              <w:pStyle w:val="TAL"/>
              <w:rPr>
                <w:rFonts w:eastAsiaTheme="minorEastAsia"/>
                <w:lang w:eastAsia="zh-CN"/>
              </w:rPr>
            </w:pPr>
            <w:r w:rsidRPr="00EA3B97">
              <w:rPr>
                <w:rFonts w:eastAsiaTheme="minorEastAsia"/>
                <w:lang w:eastAsia="zh-CN"/>
              </w:rPr>
              <w:t xml:space="preserve">Allocated </w:t>
            </w:r>
            <w:r w:rsidRPr="00EA3B97">
              <w:rPr>
                <w:rFonts w:eastAsiaTheme="minorEastAsia"/>
              </w:rPr>
              <w:t xml:space="preserve">resource blocks </w:t>
            </w:r>
            <w:r w:rsidRPr="00EA3B97">
              <w:rPr>
                <w:rFonts w:eastAsiaTheme="minorEastAsia"/>
                <w:lang w:eastAsia="zh-CN"/>
              </w:rPr>
              <w:t>for CORESET</w:t>
            </w:r>
            <w:r w:rsidRPr="00EA3B97">
              <w:rPr>
                <w:rFonts w:eastAsiaTheme="minorEastAsia"/>
                <w:vertAlign w:val="superscript"/>
                <w:lang w:eastAsia="zh-CN"/>
              </w:rPr>
              <w:t xml:space="preserve"> Note 3</w:t>
            </w:r>
          </w:p>
        </w:tc>
        <w:tc>
          <w:tcPr>
            <w:tcW w:w="455" w:type="pct"/>
            <w:tcBorders>
              <w:top w:val="single" w:sz="4" w:space="0" w:color="auto"/>
              <w:left w:val="single" w:sz="4" w:space="0" w:color="auto"/>
              <w:bottom w:val="single" w:sz="4" w:space="0" w:color="auto"/>
              <w:right w:val="single" w:sz="4" w:space="0" w:color="auto"/>
            </w:tcBorders>
          </w:tcPr>
          <w:p w14:paraId="01805991" w14:textId="77777777" w:rsidR="003A71DE" w:rsidRPr="00EA3B97" w:rsidRDefault="003A71DE" w:rsidP="007835E8">
            <w:pPr>
              <w:pStyle w:val="TAC"/>
              <w:rPr>
                <w:rFonts w:eastAsiaTheme="minorEastAsia"/>
                <w:lang w:eastAsia="zh-CN"/>
              </w:rPr>
            </w:pPr>
          </w:p>
        </w:tc>
        <w:tc>
          <w:tcPr>
            <w:tcW w:w="575" w:type="pct"/>
            <w:tcBorders>
              <w:top w:val="single" w:sz="4" w:space="0" w:color="auto"/>
              <w:left w:val="single" w:sz="4" w:space="0" w:color="auto"/>
              <w:bottom w:val="single" w:sz="4" w:space="0" w:color="auto"/>
              <w:right w:val="single" w:sz="4" w:space="0" w:color="auto"/>
            </w:tcBorders>
            <w:hideMark/>
          </w:tcPr>
          <w:p w14:paraId="33F8AE06"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575" w:type="pct"/>
            <w:tcBorders>
              <w:top w:val="single" w:sz="4" w:space="0" w:color="auto"/>
              <w:left w:val="single" w:sz="4" w:space="0" w:color="auto"/>
              <w:bottom w:val="single" w:sz="4" w:space="0" w:color="auto"/>
              <w:right w:val="single" w:sz="4" w:space="0" w:color="auto"/>
            </w:tcBorders>
          </w:tcPr>
          <w:p w14:paraId="6638E54F" w14:textId="77777777" w:rsidR="003A71DE" w:rsidRPr="00EA3B97" w:rsidRDefault="003A71DE" w:rsidP="007835E8">
            <w:pPr>
              <w:pStyle w:val="TAC"/>
              <w:rPr>
                <w:rFonts w:eastAsiaTheme="minorEastAsia"/>
                <w:lang w:eastAsia="zh-CN"/>
              </w:rPr>
            </w:pPr>
            <w:r w:rsidRPr="00EA3B97">
              <w:rPr>
                <w:rFonts w:eastAsiaTheme="minorEastAsia"/>
                <w:lang w:eastAsia="zh-CN"/>
              </w:rPr>
              <w:t>18</w:t>
            </w:r>
          </w:p>
        </w:tc>
        <w:tc>
          <w:tcPr>
            <w:tcW w:w="439" w:type="pct"/>
            <w:tcBorders>
              <w:top w:val="single" w:sz="4" w:space="0" w:color="auto"/>
              <w:left w:val="single" w:sz="4" w:space="0" w:color="auto"/>
              <w:bottom w:val="single" w:sz="4" w:space="0" w:color="auto"/>
              <w:right w:val="single" w:sz="4" w:space="0" w:color="auto"/>
            </w:tcBorders>
          </w:tcPr>
          <w:p w14:paraId="2FC1F7D5"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3F4D665E"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75D02A3"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663ADC90"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7B2C66BC" w14:textId="77777777" w:rsidR="003A71DE" w:rsidRPr="00EA3B97" w:rsidRDefault="003A71DE" w:rsidP="007835E8">
            <w:pPr>
              <w:pStyle w:val="TAC"/>
              <w:rPr>
                <w:rFonts w:eastAsiaTheme="minorEastAsia"/>
              </w:rPr>
            </w:pPr>
          </w:p>
        </w:tc>
      </w:tr>
      <w:tr w:rsidR="003A71DE" w:rsidRPr="00EA3B97" w14:paraId="5FD87C50"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hideMark/>
          </w:tcPr>
          <w:p w14:paraId="2E849E47" w14:textId="77777777" w:rsidR="003A71DE" w:rsidRPr="00EA3B97" w:rsidRDefault="003A71DE" w:rsidP="007835E8">
            <w:pPr>
              <w:pStyle w:val="TAL"/>
              <w:rPr>
                <w:rFonts w:eastAsiaTheme="minorEastAsia"/>
              </w:rPr>
            </w:pPr>
            <w:r w:rsidRPr="00EA3B97">
              <w:rPr>
                <w:rFonts w:eastAsiaTheme="minorEastAsia"/>
              </w:rPr>
              <w:t>Number of transmitter antennas</w:t>
            </w:r>
          </w:p>
        </w:tc>
        <w:tc>
          <w:tcPr>
            <w:tcW w:w="455" w:type="pct"/>
            <w:tcBorders>
              <w:top w:val="single" w:sz="4" w:space="0" w:color="auto"/>
              <w:left w:val="single" w:sz="4" w:space="0" w:color="auto"/>
              <w:bottom w:val="single" w:sz="4" w:space="0" w:color="auto"/>
              <w:right w:val="single" w:sz="4" w:space="0" w:color="auto"/>
            </w:tcBorders>
          </w:tcPr>
          <w:p w14:paraId="30B8D83F"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3E4CA32E" w14:textId="77777777" w:rsidR="003A71DE" w:rsidRPr="00EA3B97" w:rsidRDefault="003A71DE" w:rsidP="007835E8">
            <w:pPr>
              <w:pStyle w:val="TAC"/>
              <w:rPr>
                <w:rFonts w:eastAsiaTheme="minorEastAsia"/>
              </w:rPr>
            </w:pPr>
            <w:r w:rsidRPr="00EA3B97">
              <w:rPr>
                <w:rFonts w:eastAsiaTheme="minorEastAsia"/>
              </w:rPr>
              <w:t>1</w:t>
            </w:r>
          </w:p>
        </w:tc>
        <w:tc>
          <w:tcPr>
            <w:tcW w:w="575" w:type="pct"/>
            <w:tcBorders>
              <w:top w:val="single" w:sz="4" w:space="0" w:color="auto"/>
              <w:left w:val="single" w:sz="4" w:space="0" w:color="auto"/>
              <w:bottom w:val="single" w:sz="4" w:space="0" w:color="auto"/>
              <w:right w:val="single" w:sz="4" w:space="0" w:color="auto"/>
            </w:tcBorders>
          </w:tcPr>
          <w:p w14:paraId="1D1D01B1" w14:textId="77777777" w:rsidR="003A71DE" w:rsidRPr="00EA3B97" w:rsidRDefault="003A71DE" w:rsidP="007835E8">
            <w:pPr>
              <w:pStyle w:val="TAC"/>
              <w:rPr>
                <w:rFonts w:eastAsiaTheme="minorEastAsia"/>
              </w:rPr>
            </w:pPr>
            <w:r w:rsidRPr="00EA3B97">
              <w:rPr>
                <w:rFonts w:eastAsiaTheme="minorEastAsia" w:hint="eastAsia"/>
                <w:lang w:eastAsia="zh-CN"/>
              </w:rPr>
              <w:t>1</w:t>
            </w:r>
          </w:p>
        </w:tc>
        <w:tc>
          <w:tcPr>
            <w:tcW w:w="439" w:type="pct"/>
            <w:tcBorders>
              <w:top w:val="single" w:sz="4" w:space="0" w:color="auto"/>
              <w:left w:val="single" w:sz="4" w:space="0" w:color="auto"/>
              <w:bottom w:val="single" w:sz="4" w:space="0" w:color="auto"/>
              <w:right w:val="single" w:sz="4" w:space="0" w:color="auto"/>
            </w:tcBorders>
          </w:tcPr>
          <w:p w14:paraId="7CD69EF1"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09C73DE"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D15F048"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6DAFAB75"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07519547" w14:textId="77777777" w:rsidR="003A71DE" w:rsidRPr="00EA3B97" w:rsidRDefault="003A71DE" w:rsidP="007835E8">
            <w:pPr>
              <w:pStyle w:val="TAC"/>
              <w:rPr>
                <w:rFonts w:eastAsiaTheme="minorEastAsia"/>
              </w:rPr>
            </w:pPr>
          </w:p>
        </w:tc>
      </w:tr>
      <w:tr w:rsidR="003A71DE" w:rsidRPr="00EA3B97" w14:paraId="2A81C6A6"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hideMark/>
          </w:tcPr>
          <w:p w14:paraId="0F25F9C2" w14:textId="77777777" w:rsidR="003A71DE" w:rsidRPr="00EA3B97" w:rsidRDefault="003A71DE" w:rsidP="007835E8">
            <w:pPr>
              <w:pStyle w:val="TAL"/>
              <w:rPr>
                <w:rFonts w:eastAsiaTheme="minorEastAsia"/>
              </w:rPr>
            </w:pPr>
            <w:r w:rsidRPr="00EA3B97">
              <w:rPr>
                <w:rFonts w:eastAsiaTheme="minorEastAsia"/>
              </w:rPr>
              <w:t>Duration of CORESET</w:t>
            </w:r>
          </w:p>
        </w:tc>
        <w:tc>
          <w:tcPr>
            <w:tcW w:w="455" w:type="pct"/>
            <w:tcBorders>
              <w:top w:val="single" w:sz="4" w:space="0" w:color="auto"/>
              <w:left w:val="single" w:sz="4" w:space="0" w:color="auto"/>
              <w:bottom w:val="single" w:sz="4" w:space="0" w:color="auto"/>
              <w:right w:val="single" w:sz="4" w:space="0" w:color="auto"/>
            </w:tcBorders>
            <w:hideMark/>
          </w:tcPr>
          <w:p w14:paraId="3EEB4225" w14:textId="77777777" w:rsidR="003A71DE" w:rsidRPr="00EA3B97" w:rsidRDefault="003A71DE" w:rsidP="007835E8">
            <w:pPr>
              <w:pStyle w:val="TAC"/>
              <w:rPr>
                <w:rFonts w:eastAsiaTheme="minorEastAsia"/>
              </w:rPr>
            </w:pPr>
            <w:r w:rsidRPr="00EA3B97">
              <w:rPr>
                <w:rFonts w:eastAsiaTheme="minorEastAsia"/>
              </w:rPr>
              <w:t>symbols</w:t>
            </w:r>
          </w:p>
        </w:tc>
        <w:tc>
          <w:tcPr>
            <w:tcW w:w="575" w:type="pct"/>
            <w:tcBorders>
              <w:top w:val="single" w:sz="4" w:space="0" w:color="auto"/>
              <w:left w:val="single" w:sz="4" w:space="0" w:color="auto"/>
              <w:bottom w:val="single" w:sz="4" w:space="0" w:color="auto"/>
              <w:right w:val="single" w:sz="4" w:space="0" w:color="auto"/>
            </w:tcBorders>
            <w:hideMark/>
          </w:tcPr>
          <w:p w14:paraId="625567E5" w14:textId="77777777" w:rsidR="003A71DE" w:rsidRPr="00EA3B97" w:rsidRDefault="003A71DE" w:rsidP="007835E8">
            <w:pPr>
              <w:pStyle w:val="TAC"/>
              <w:rPr>
                <w:rFonts w:eastAsiaTheme="minorEastAsia"/>
              </w:rPr>
            </w:pPr>
            <w:r w:rsidRPr="00EA3B97">
              <w:rPr>
                <w:rFonts w:eastAsiaTheme="minorEastAsia"/>
              </w:rPr>
              <w:t>2</w:t>
            </w:r>
          </w:p>
        </w:tc>
        <w:tc>
          <w:tcPr>
            <w:tcW w:w="575" w:type="pct"/>
            <w:tcBorders>
              <w:top w:val="single" w:sz="4" w:space="0" w:color="auto"/>
              <w:left w:val="single" w:sz="4" w:space="0" w:color="auto"/>
              <w:bottom w:val="single" w:sz="4" w:space="0" w:color="auto"/>
              <w:right w:val="single" w:sz="4" w:space="0" w:color="auto"/>
            </w:tcBorders>
          </w:tcPr>
          <w:p w14:paraId="017FAFF6" w14:textId="77777777" w:rsidR="003A71DE" w:rsidRPr="00EA3B97" w:rsidRDefault="003A71DE" w:rsidP="007835E8">
            <w:pPr>
              <w:pStyle w:val="TAC"/>
              <w:rPr>
                <w:rFonts w:eastAsiaTheme="minorEastAsia"/>
              </w:rPr>
            </w:pPr>
            <w:r w:rsidRPr="00EA3B97">
              <w:rPr>
                <w:rFonts w:eastAsiaTheme="minorEastAsia" w:hint="eastAsia"/>
                <w:lang w:eastAsia="zh-CN"/>
              </w:rPr>
              <w:t>2</w:t>
            </w:r>
          </w:p>
        </w:tc>
        <w:tc>
          <w:tcPr>
            <w:tcW w:w="439" w:type="pct"/>
            <w:tcBorders>
              <w:top w:val="single" w:sz="4" w:space="0" w:color="auto"/>
              <w:left w:val="single" w:sz="4" w:space="0" w:color="auto"/>
              <w:bottom w:val="single" w:sz="4" w:space="0" w:color="auto"/>
              <w:right w:val="single" w:sz="4" w:space="0" w:color="auto"/>
            </w:tcBorders>
          </w:tcPr>
          <w:p w14:paraId="1A8E15D5"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7E85F53"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089DDB6B"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2AF75504"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6D853652" w14:textId="77777777" w:rsidR="003A71DE" w:rsidRPr="00EA3B97" w:rsidRDefault="003A71DE" w:rsidP="007835E8">
            <w:pPr>
              <w:pStyle w:val="TAC"/>
              <w:rPr>
                <w:rFonts w:eastAsiaTheme="minorEastAsia"/>
              </w:rPr>
            </w:pPr>
          </w:p>
        </w:tc>
      </w:tr>
      <w:tr w:rsidR="003A71DE" w:rsidRPr="00EA3B97" w14:paraId="0DC87DAB"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4FAEA6A5" w14:textId="77777777" w:rsidR="003A71DE" w:rsidRPr="00EA3B97" w:rsidRDefault="003A71DE" w:rsidP="007835E8">
            <w:pPr>
              <w:pStyle w:val="TAL"/>
              <w:rPr>
                <w:rFonts w:eastAsiaTheme="minorEastAsia"/>
              </w:rPr>
            </w:pPr>
            <w:r w:rsidRPr="00EA3B97">
              <w:rPr>
                <w:rFonts w:eastAsiaTheme="minorEastAsia"/>
              </w:rPr>
              <w:t>REG bundle size</w:t>
            </w:r>
          </w:p>
        </w:tc>
        <w:tc>
          <w:tcPr>
            <w:tcW w:w="455" w:type="pct"/>
            <w:tcBorders>
              <w:top w:val="single" w:sz="4" w:space="0" w:color="auto"/>
              <w:left w:val="single" w:sz="4" w:space="0" w:color="auto"/>
              <w:bottom w:val="single" w:sz="4" w:space="0" w:color="auto"/>
              <w:right w:val="single" w:sz="4" w:space="0" w:color="auto"/>
            </w:tcBorders>
          </w:tcPr>
          <w:p w14:paraId="7A3BE7B2"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67349D1C"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575" w:type="pct"/>
            <w:tcBorders>
              <w:top w:val="single" w:sz="4" w:space="0" w:color="auto"/>
              <w:left w:val="single" w:sz="4" w:space="0" w:color="auto"/>
              <w:bottom w:val="single" w:sz="4" w:space="0" w:color="auto"/>
              <w:right w:val="single" w:sz="4" w:space="0" w:color="auto"/>
            </w:tcBorders>
          </w:tcPr>
          <w:p w14:paraId="687C2857" w14:textId="77777777" w:rsidR="003A71DE" w:rsidRPr="00EA3B97" w:rsidRDefault="003A71DE" w:rsidP="007835E8">
            <w:pPr>
              <w:pStyle w:val="TAC"/>
              <w:rPr>
                <w:rFonts w:eastAsiaTheme="minorEastAsia"/>
                <w:lang w:eastAsia="zh-CN"/>
              </w:rPr>
            </w:pPr>
            <w:r w:rsidRPr="00EA3B97">
              <w:rPr>
                <w:rFonts w:eastAsiaTheme="minorEastAsia" w:hint="eastAsia"/>
                <w:lang w:eastAsia="zh-CN"/>
              </w:rPr>
              <w:t>6</w:t>
            </w:r>
          </w:p>
        </w:tc>
        <w:tc>
          <w:tcPr>
            <w:tcW w:w="439" w:type="pct"/>
            <w:tcBorders>
              <w:top w:val="single" w:sz="4" w:space="0" w:color="auto"/>
              <w:left w:val="single" w:sz="4" w:space="0" w:color="auto"/>
              <w:bottom w:val="single" w:sz="4" w:space="0" w:color="auto"/>
              <w:right w:val="single" w:sz="4" w:space="0" w:color="auto"/>
            </w:tcBorders>
          </w:tcPr>
          <w:p w14:paraId="7E248464"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9F7FB05"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965D10D"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72119837"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28097489" w14:textId="77777777" w:rsidR="003A71DE" w:rsidRPr="00EA3B97" w:rsidRDefault="003A71DE" w:rsidP="007835E8">
            <w:pPr>
              <w:pStyle w:val="TAC"/>
              <w:rPr>
                <w:rFonts w:eastAsiaTheme="minorEastAsia"/>
              </w:rPr>
            </w:pPr>
          </w:p>
        </w:tc>
      </w:tr>
      <w:tr w:rsidR="003A71DE" w:rsidRPr="00EA3B97" w14:paraId="7812512B"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5F89D10D" w14:textId="77777777" w:rsidR="003A71DE" w:rsidRPr="00EA3B97" w:rsidRDefault="003A71DE" w:rsidP="007835E8">
            <w:pPr>
              <w:pStyle w:val="TAL"/>
              <w:rPr>
                <w:rFonts w:eastAsiaTheme="minorEastAsia"/>
              </w:rPr>
            </w:pPr>
            <w:r w:rsidRPr="00EA3B97">
              <w:rPr>
                <w:rFonts w:eastAsiaTheme="minorEastAsia"/>
              </w:rPr>
              <w:t>DMRS precoder granularity</w:t>
            </w:r>
          </w:p>
        </w:tc>
        <w:tc>
          <w:tcPr>
            <w:tcW w:w="455" w:type="pct"/>
            <w:tcBorders>
              <w:top w:val="single" w:sz="4" w:space="0" w:color="auto"/>
              <w:left w:val="single" w:sz="4" w:space="0" w:color="auto"/>
              <w:bottom w:val="single" w:sz="4" w:space="0" w:color="auto"/>
              <w:right w:val="single" w:sz="4" w:space="0" w:color="auto"/>
            </w:tcBorders>
          </w:tcPr>
          <w:p w14:paraId="4525C7F3"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5748227" w14:textId="77777777" w:rsidR="003A71DE" w:rsidRPr="00EA3B97" w:rsidRDefault="003A71DE" w:rsidP="007835E8">
            <w:pPr>
              <w:pStyle w:val="TAC"/>
              <w:rPr>
                <w:rFonts w:eastAsiaTheme="minorEastAsia"/>
                <w:lang w:eastAsia="zh-CN"/>
              </w:rPr>
            </w:pPr>
            <w:r w:rsidRPr="00EA3B97">
              <w:rPr>
                <w:rFonts w:eastAsiaTheme="minorEastAsia"/>
                <w:lang w:eastAsia="zh-CN"/>
              </w:rPr>
              <w:t>Same as REG bundle size</w:t>
            </w:r>
          </w:p>
        </w:tc>
        <w:tc>
          <w:tcPr>
            <w:tcW w:w="575" w:type="pct"/>
            <w:tcBorders>
              <w:top w:val="single" w:sz="4" w:space="0" w:color="auto"/>
              <w:left w:val="single" w:sz="4" w:space="0" w:color="auto"/>
              <w:bottom w:val="single" w:sz="4" w:space="0" w:color="auto"/>
              <w:right w:val="single" w:sz="4" w:space="0" w:color="auto"/>
            </w:tcBorders>
          </w:tcPr>
          <w:p w14:paraId="71B1F9F1" w14:textId="77777777" w:rsidR="003A71DE" w:rsidRPr="00EA3B97" w:rsidRDefault="003A71DE" w:rsidP="007835E8">
            <w:pPr>
              <w:pStyle w:val="TAC"/>
              <w:rPr>
                <w:rFonts w:eastAsiaTheme="minorEastAsia"/>
                <w:lang w:eastAsia="zh-CN"/>
              </w:rPr>
            </w:pPr>
            <w:r w:rsidRPr="00EA3B97">
              <w:rPr>
                <w:rFonts w:eastAsiaTheme="minorEastAsia"/>
                <w:lang w:eastAsia="zh-CN"/>
              </w:rPr>
              <w:t>Same as REG bundle size</w:t>
            </w:r>
          </w:p>
        </w:tc>
        <w:tc>
          <w:tcPr>
            <w:tcW w:w="439" w:type="pct"/>
            <w:tcBorders>
              <w:top w:val="single" w:sz="4" w:space="0" w:color="auto"/>
              <w:left w:val="single" w:sz="4" w:space="0" w:color="auto"/>
              <w:bottom w:val="single" w:sz="4" w:space="0" w:color="auto"/>
              <w:right w:val="single" w:sz="4" w:space="0" w:color="auto"/>
            </w:tcBorders>
          </w:tcPr>
          <w:p w14:paraId="53CE8258"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346B441C"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220AD5B"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0AA744F8"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4E0D8774" w14:textId="77777777" w:rsidR="003A71DE" w:rsidRPr="00EA3B97" w:rsidRDefault="003A71DE" w:rsidP="007835E8">
            <w:pPr>
              <w:pStyle w:val="TAC"/>
              <w:rPr>
                <w:rFonts w:eastAsiaTheme="minorEastAsia"/>
              </w:rPr>
            </w:pPr>
          </w:p>
        </w:tc>
      </w:tr>
      <w:tr w:rsidR="003A71DE" w:rsidRPr="00EA3B97" w14:paraId="6767EFF3"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71C0CB44" w14:textId="77777777" w:rsidR="003A71DE" w:rsidRPr="00EA3B97" w:rsidRDefault="003A71DE" w:rsidP="007835E8">
            <w:pPr>
              <w:pStyle w:val="TAL"/>
              <w:rPr>
                <w:rFonts w:eastAsiaTheme="minorEastAsia"/>
              </w:rPr>
            </w:pPr>
            <w:r w:rsidRPr="00EA3B97">
              <w:rPr>
                <w:rFonts w:eastAsiaTheme="minorEastAsia"/>
              </w:rPr>
              <w:t>CCE to REG mapping</w:t>
            </w:r>
          </w:p>
        </w:tc>
        <w:tc>
          <w:tcPr>
            <w:tcW w:w="455" w:type="pct"/>
            <w:tcBorders>
              <w:top w:val="single" w:sz="4" w:space="0" w:color="auto"/>
              <w:left w:val="single" w:sz="4" w:space="0" w:color="auto"/>
              <w:bottom w:val="single" w:sz="4" w:space="0" w:color="auto"/>
              <w:right w:val="single" w:sz="4" w:space="0" w:color="auto"/>
            </w:tcBorders>
          </w:tcPr>
          <w:p w14:paraId="0C42D83B"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7B6E11E4" w14:textId="77777777" w:rsidR="003A71DE" w:rsidRPr="00EA3B97" w:rsidRDefault="003A71DE" w:rsidP="007835E8">
            <w:pPr>
              <w:pStyle w:val="TAC"/>
              <w:rPr>
                <w:rFonts w:eastAsiaTheme="minorEastAsia"/>
              </w:rPr>
            </w:pPr>
            <w:r w:rsidRPr="00EA3B97">
              <w:rPr>
                <w:rFonts w:eastAsiaTheme="minorEastAsia"/>
              </w:rPr>
              <w:t>Interleaved</w:t>
            </w:r>
          </w:p>
        </w:tc>
        <w:tc>
          <w:tcPr>
            <w:tcW w:w="575" w:type="pct"/>
            <w:tcBorders>
              <w:top w:val="single" w:sz="4" w:space="0" w:color="auto"/>
              <w:left w:val="single" w:sz="4" w:space="0" w:color="auto"/>
              <w:bottom w:val="single" w:sz="4" w:space="0" w:color="auto"/>
              <w:right w:val="single" w:sz="4" w:space="0" w:color="auto"/>
            </w:tcBorders>
          </w:tcPr>
          <w:p w14:paraId="48B15C73" w14:textId="77777777" w:rsidR="003A71DE" w:rsidRPr="00EA3B97" w:rsidRDefault="003A71DE" w:rsidP="007835E8">
            <w:pPr>
              <w:pStyle w:val="TAC"/>
              <w:rPr>
                <w:rFonts w:eastAsiaTheme="minorEastAsia"/>
              </w:rPr>
            </w:pPr>
            <w:r w:rsidRPr="00EA3B97">
              <w:rPr>
                <w:rFonts w:eastAsiaTheme="minorEastAsia"/>
              </w:rPr>
              <w:t>Interleaved</w:t>
            </w:r>
          </w:p>
        </w:tc>
        <w:tc>
          <w:tcPr>
            <w:tcW w:w="439" w:type="pct"/>
            <w:tcBorders>
              <w:top w:val="single" w:sz="4" w:space="0" w:color="auto"/>
              <w:left w:val="single" w:sz="4" w:space="0" w:color="auto"/>
              <w:bottom w:val="single" w:sz="4" w:space="0" w:color="auto"/>
              <w:right w:val="single" w:sz="4" w:space="0" w:color="auto"/>
            </w:tcBorders>
          </w:tcPr>
          <w:p w14:paraId="57349519"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748BA73"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C258380"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2632A868"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00736EA2" w14:textId="77777777" w:rsidR="003A71DE" w:rsidRPr="00EA3B97" w:rsidRDefault="003A71DE" w:rsidP="007835E8">
            <w:pPr>
              <w:pStyle w:val="TAC"/>
              <w:rPr>
                <w:rFonts w:eastAsiaTheme="minorEastAsia"/>
              </w:rPr>
            </w:pPr>
          </w:p>
        </w:tc>
      </w:tr>
      <w:tr w:rsidR="003A71DE" w:rsidRPr="00EA3B97" w14:paraId="78C93379"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196D38D7" w14:textId="77777777" w:rsidR="003A71DE" w:rsidRPr="00EA3B97" w:rsidRDefault="003A71DE" w:rsidP="007835E8">
            <w:pPr>
              <w:pStyle w:val="TAL"/>
              <w:rPr>
                <w:rFonts w:eastAsiaTheme="minorEastAsia"/>
              </w:rPr>
            </w:pPr>
            <w:r w:rsidRPr="00EA3B97">
              <w:rPr>
                <w:rFonts w:eastAsiaTheme="minorEastAsia"/>
              </w:rPr>
              <w:t>Interleave n_shift</w:t>
            </w:r>
          </w:p>
        </w:tc>
        <w:tc>
          <w:tcPr>
            <w:tcW w:w="455" w:type="pct"/>
            <w:tcBorders>
              <w:top w:val="single" w:sz="4" w:space="0" w:color="auto"/>
              <w:left w:val="single" w:sz="4" w:space="0" w:color="auto"/>
              <w:bottom w:val="single" w:sz="4" w:space="0" w:color="auto"/>
              <w:right w:val="single" w:sz="4" w:space="0" w:color="auto"/>
            </w:tcBorders>
          </w:tcPr>
          <w:p w14:paraId="0E2A3CD7"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056CC872" w14:textId="77777777" w:rsidR="003A71DE" w:rsidRPr="00EA3B97" w:rsidRDefault="003A71DE" w:rsidP="007835E8">
            <w:pPr>
              <w:pStyle w:val="TAC"/>
              <w:rPr>
                <w:rFonts w:eastAsiaTheme="minorEastAsia"/>
              </w:rPr>
            </w:pPr>
            <w:r w:rsidRPr="00EA3B97">
              <w:rPr>
                <w:rFonts w:eastAsiaTheme="minorEastAsia"/>
              </w:rPr>
              <w:t>0</w:t>
            </w:r>
          </w:p>
        </w:tc>
        <w:tc>
          <w:tcPr>
            <w:tcW w:w="575" w:type="pct"/>
            <w:tcBorders>
              <w:top w:val="single" w:sz="4" w:space="0" w:color="auto"/>
              <w:left w:val="single" w:sz="4" w:space="0" w:color="auto"/>
              <w:bottom w:val="single" w:sz="4" w:space="0" w:color="auto"/>
              <w:right w:val="single" w:sz="4" w:space="0" w:color="auto"/>
            </w:tcBorders>
          </w:tcPr>
          <w:p w14:paraId="395263B4" w14:textId="77777777" w:rsidR="003A71DE" w:rsidRPr="00EA3B97" w:rsidRDefault="003A71DE" w:rsidP="007835E8">
            <w:pPr>
              <w:pStyle w:val="TAC"/>
              <w:rPr>
                <w:rFonts w:eastAsiaTheme="minorEastAsia"/>
              </w:rPr>
            </w:pPr>
            <w:r w:rsidRPr="00EA3B97">
              <w:rPr>
                <w:rFonts w:eastAsiaTheme="minorEastAsia" w:hint="eastAsia"/>
                <w:lang w:eastAsia="zh-CN"/>
              </w:rPr>
              <w:t>0</w:t>
            </w:r>
          </w:p>
        </w:tc>
        <w:tc>
          <w:tcPr>
            <w:tcW w:w="439" w:type="pct"/>
            <w:tcBorders>
              <w:top w:val="single" w:sz="4" w:space="0" w:color="auto"/>
              <w:left w:val="single" w:sz="4" w:space="0" w:color="auto"/>
              <w:bottom w:val="single" w:sz="4" w:space="0" w:color="auto"/>
              <w:right w:val="single" w:sz="4" w:space="0" w:color="auto"/>
            </w:tcBorders>
          </w:tcPr>
          <w:p w14:paraId="28C7C343"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29AB723"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4706C5E"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77FA23E4"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523FE88C" w14:textId="77777777" w:rsidR="003A71DE" w:rsidRPr="00EA3B97" w:rsidRDefault="003A71DE" w:rsidP="007835E8">
            <w:pPr>
              <w:pStyle w:val="TAC"/>
              <w:rPr>
                <w:rFonts w:eastAsiaTheme="minorEastAsia"/>
              </w:rPr>
            </w:pPr>
          </w:p>
        </w:tc>
      </w:tr>
      <w:tr w:rsidR="003A71DE" w:rsidRPr="00EA3B97" w14:paraId="5CFBB2FE"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59C8A962" w14:textId="77777777" w:rsidR="003A71DE" w:rsidRPr="00EA3B97" w:rsidRDefault="003A71DE" w:rsidP="007835E8">
            <w:pPr>
              <w:pStyle w:val="TAL"/>
              <w:rPr>
                <w:rFonts w:eastAsiaTheme="minorEastAsia"/>
              </w:rPr>
            </w:pPr>
            <w:r w:rsidRPr="00EA3B97">
              <w:rPr>
                <w:rFonts w:eastAsiaTheme="minorEastAsia"/>
              </w:rPr>
              <w:t>Interleave size</w:t>
            </w:r>
          </w:p>
        </w:tc>
        <w:tc>
          <w:tcPr>
            <w:tcW w:w="455" w:type="pct"/>
            <w:tcBorders>
              <w:top w:val="single" w:sz="4" w:space="0" w:color="auto"/>
              <w:left w:val="single" w:sz="4" w:space="0" w:color="auto"/>
              <w:bottom w:val="single" w:sz="4" w:space="0" w:color="auto"/>
              <w:right w:val="single" w:sz="4" w:space="0" w:color="auto"/>
            </w:tcBorders>
          </w:tcPr>
          <w:p w14:paraId="0216FB55"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46B4A07A" w14:textId="77777777" w:rsidR="003A71DE" w:rsidRPr="00EA3B97" w:rsidRDefault="003A71DE" w:rsidP="007835E8">
            <w:pPr>
              <w:pStyle w:val="TAC"/>
              <w:rPr>
                <w:rFonts w:eastAsiaTheme="minorEastAsia"/>
              </w:rPr>
            </w:pPr>
            <w:r w:rsidRPr="00EA3B97">
              <w:rPr>
                <w:rFonts w:eastAsiaTheme="minorEastAsia"/>
              </w:rPr>
              <w:t>2</w:t>
            </w:r>
          </w:p>
        </w:tc>
        <w:tc>
          <w:tcPr>
            <w:tcW w:w="575" w:type="pct"/>
            <w:tcBorders>
              <w:top w:val="single" w:sz="4" w:space="0" w:color="auto"/>
              <w:left w:val="single" w:sz="4" w:space="0" w:color="auto"/>
              <w:bottom w:val="single" w:sz="4" w:space="0" w:color="auto"/>
              <w:right w:val="single" w:sz="4" w:space="0" w:color="auto"/>
            </w:tcBorders>
          </w:tcPr>
          <w:p w14:paraId="1A7D55CC" w14:textId="77777777" w:rsidR="003A71DE" w:rsidRPr="00EA3B97" w:rsidRDefault="003A71DE" w:rsidP="007835E8">
            <w:pPr>
              <w:pStyle w:val="TAC"/>
              <w:rPr>
                <w:rFonts w:eastAsiaTheme="minorEastAsia"/>
              </w:rPr>
            </w:pPr>
            <w:r w:rsidRPr="00EA3B97">
              <w:rPr>
                <w:rFonts w:eastAsiaTheme="minorEastAsia"/>
              </w:rPr>
              <w:t>2</w:t>
            </w:r>
          </w:p>
        </w:tc>
        <w:tc>
          <w:tcPr>
            <w:tcW w:w="439" w:type="pct"/>
            <w:tcBorders>
              <w:top w:val="single" w:sz="4" w:space="0" w:color="auto"/>
              <w:left w:val="single" w:sz="4" w:space="0" w:color="auto"/>
              <w:bottom w:val="single" w:sz="4" w:space="0" w:color="auto"/>
              <w:right w:val="single" w:sz="4" w:space="0" w:color="auto"/>
            </w:tcBorders>
          </w:tcPr>
          <w:p w14:paraId="555125AF"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251F9BB8"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48A59FF6"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4F66A19"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4C5110BB" w14:textId="77777777" w:rsidR="003A71DE" w:rsidRPr="00EA3B97" w:rsidRDefault="003A71DE" w:rsidP="007835E8">
            <w:pPr>
              <w:pStyle w:val="TAC"/>
              <w:rPr>
                <w:rFonts w:eastAsiaTheme="minorEastAsia"/>
              </w:rPr>
            </w:pPr>
          </w:p>
        </w:tc>
      </w:tr>
      <w:tr w:rsidR="003A71DE" w:rsidRPr="00EA3B97" w14:paraId="75B3CE32"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3F0EAB0A" w14:textId="77777777" w:rsidR="003A71DE" w:rsidRPr="00EA3B97" w:rsidRDefault="003A71DE" w:rsidP="007835E8">
            <w:pPr>
              <w:pStyle w:val="TAL"/>
              <w:rPr>
                <w:rFonts w:eastAsiaTheme="minorEastAsia"/>
              </w:rPr>
            </w:pPr>
            <w:r w:rsidRPr="00EA3B97">
              <w:rPr>
                <w:rFonts w:eastAsiaTheme="minorEastAsia"/>
              </w:rPr>
              <w:t>Beamforming Pre-Coder</w:t>
            </w:r>
          </w:p>
        </w:tc>
        <w:tc>
          <w:tcPr>
            <w:tcW w:w="455" w:type="pct"/>
            <w:tcBorders>
              <w:top w:val="single" w:sz="4" w:space="0" w:color="auto"/>
              <w:left w:val="single" w:sz="4" w:space="0" w:color="auto"/>
              <w:bottom w:val="single" w:sz="4" w:space="0" w:color="auto"/>
              <w:right w:val="single" w:sz="4" w:space="0" w:color="auto"/>
            </w:tcBorders>
          </w:tcPr>
          <w:p w14:paraId="30C486A2"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7E6DD32F" w14:textId="77777777" w:rsidR="003A71DE" w:rsidRPr="00EA3B97" w:rsidRDefault="003A71DE" w:rsidP="007835E8">
            <w:pPr>
              <w:pStyle w:val="TAC"/>
              <w:rPr>
                <w:rFonts w:eastAsiaTheme="minorEastAsia"/>
              </w:rPr>
            </w:pPr>
            <w:r w:rsidRPr="00EA3B97">
              <w:rPr>
                <w:rFonts w:eastAsiaTheme="minorEastAsia"/>
              </w:rPr>
              <w:t>N/A</w:t>
            </w:r>
          </w:p>
        </w:tc>
        <w:tc>
          <w:tcPr>
            <w:tcW w:w="575" w:type="pct"/>
            <w:tcBorders>
              <w:top w:val="single" w:sz="4" w:space="0" w:color="auto"/>
              <w:left w:val="single" w:sz="4" w:space="0" w:color="auto"/>
              <w:bottom w:val="single" w:sz="4" w:space="0" w:color="auto"/>
              <w:right w:val="single" w:sz="4" w:space="0" w:color="auto"/>
            </w:tcBorders>
          </w:tcPr>
          <w:p w14:paraId="564BA636" w14:textId="77777777" w:rsidR="003A71DE" w:rsidRPr="00EA3B97" w:rsidRDefault="003A71DE" w:rsidP="007835E8">
            <w:pPr>
              <w:pStyle w:val="TAC"/>
              <w:rPr>
                <w:rFonts w:eastAsiaTheme="minorEastAsia"/>
              </w:rPr>
            </w:pPr>
            <w:r w:rsidRPr="00EA3B97">
              <w:rPr>
                <w:rFonts w:eastAsiaTheme="minorEastAsia"/>
              </w:rPr>
              <w:t>N/A</w:t>
            </w:r>
          </w:p>
        </w:tc>
        <w:tc>
          <w:tcPr>
            <w:tcW w:w="439" w:type="pct"/>
            <w:tcBorders>
              <w:top w:val="single" w:sz="4" w:space="0" w:color="auto"/>
              <w:left w:val="single" w:sz="4" w:space="0" w:color="auto"/>
              <w:bottom w:val="single" w:sz="4" w:space="0" w:color="auto"/>
              <w:right w:val="single" w:sz="4" w:space="0" w:color="auto"/>
            </w:tcBorders>
          </w:tcPr>
          <w:p w14:paraId="2F345470"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059818F8"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37029220"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78AC99A8"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108FBF8A" w14:textId="77777777" w:rsidR="003A71DE" w:rsidRPr="00EA3B97" w:rsidRDefault="003A71DE" w:rsidP="007835E8">
            <w:pPr>
              <w:pStyle w:val="TAC"/>
              <w:rPr>
                <w:rFonts w:eastAsiaTheme="minorEastAsia"/>
              </w:rPr>
            </w:pPr>
          </w:p>
        </w:tc>
      </w:tr>
      <w:tr w:rsidR="003A71DE" w:rsidRPr="00EA3B97" w14:paraId="52054F34"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0DFA55CB" w14:textId="77777777" w:rsidR="003A71DE" w:rsidRPr="00EA3B97" w:rsidRDefault="003A71DE" w:rsidP="007835E8">
            <w:pPr>
              <w:pStyle w:val="TAL"/>
              <w:rPr>
                <w:rFonts w:eastAsiaTheme="minorEastAsia"/>
              </w:rPr>
            </w:pPr>
            <w:r w:rsidRPr="00EA3B97">
              <w:rPr>
                <w:rFonts w:eastAsiaTheme="minorEastAsia"/>
              </w:rPr>
              <w:t>Aggregation level</w:t>
            </w:r>
          </w:p>
        </w:tc>
        <w:tc>
          <w:tcPr>
            <w:tcW w:w="455" w:type="pct"/>
            <w:tcBorders>
              <w:top w:val="single" w:sz="4" w:space="0" w:color="auto"/>
              <w:left w:val="single" w:sz="4" w:space="0" w:color="auto"/>
              <w:bottom w:val="single" w:sz="4" w:space="0" w:color="auto"/>
              <w:right w:val="single" w:sz="4" w:space="0" w:color="auto"/>
            </w:tcBorders>
            <w:hideMark/>
          </w:tcPr>
          <w:p w14:paraId="57BA0983" w14:textId="77777777" w:rsidR="003A71DE" w:rsidRPr="00EA3B97" w:rsidRDefault="003A71DE" w:rsidP="007835E8">
            <w:pPr>
              <w:pStyle w:val="TAC"/>
              <w:rPr>
                <w:rFonts w:eastAsiaTheme="minorEastAsia"/>
              </w:rPr>
            </w:pPr>
            <w:r w:rsidRPr="00EA3B97">
              <w:rPr>
                <w:rFonts w:eastAsiaTheme="minorEastAsia"/>
              </w:rPr>
              <w:t>CCE</w:t>
            </w:r>
          </w:p>
        </w:tc>
        <w:tc>
          <w:tcPr>
            <w:tcW w:w="575" w:type="pct"/>
            <w:tcBorders>
              <w:top w:val="single" w:sz="4" w:space="0" w:color="auto"/>
              <w:left w:val="single" w:sz="4" w:space="0" w:color="auto"/>
              <w:bottom w:val="single" w:sz="4" w:space="0" w:color="auto"/>
              <w:right w:val="single" w:sz="4" w:space="0" w:color="auto"/>
            </w:tcBorders>
            <w:hideMark/>
          </w:tcPr>
          <w:p w14:paraId="170BCC58" w14:textId="77777777" w:rsidR="003A71DE" w:rsidRPr="00EA3B97" w:rsidRDefault="003A71DE" w:rsidP="007835E8">
            <w:pPr>
              <w:pStyle w:val="TAC"/>
              <w:rPr>
                <w:rFonts w:eastAsiaTheme="minorEastAsia"/>
              </w:rPr>
            </w:pPr>
            <w:r w:rsidRPr="00EA3B97">
              <w:rPr>
                <w:rFonts w:eastAsiaTheme="minorEastAsia"/>
              </w:rPr>
              <w:t>8</w:t>
            </w:r>
          </w:p>
        </w:tc>
        <w:tc>
          <w:tcPr>
            <w:tcW w:w="575" w:type="pct"/>
            <w:tcBorders>
              <w:top w:val="single" w:sz="4" w:space="0" w:color="auto"/>
              <w:left w:val="single" w:sz="4" w:space="0" w:color="auto"/>
              <w:bottom w:val="single" w:sz="4" w:space="0" w:color="auto"/>
              <w:right w:val="single" w:sz="4" w:space="0" w:color="auto"/>
            </w:tcBorders>
          </w:tcPr>
          <w:p w14:paraId="3AAB1912" w14:textId="77777777" w:rsidR="003A71DE" w:rsidRPr="00EA3B97" w:rsidRDefault="003A71DE" w:rsidP="007835E8">
            <w:pPr>
              <w:pStyle w:val="TAC"/>
              <w:rPr>
                <w:rFonts w:eastAsiaTheme="minorEastAsia"/>
              </w:rPr>
            </w:pPr>
            <w:r w:rsidRPr="00EA3B97">
              <w:rPr>
                <w:rFonts w:eastAsiaTheme="minorEastAsia"/>
              </w:rPr>
              <w:t>4</w:t>
            </w:r>
          </w:p>
        </w:tc>
        <w:tc>
          <w:tcPr>
            <w:tcW w:w="439" w:type="pct"/>
            <w:tcBorders>
              <w:top w:val="single" w:sz="4" w:space="0" w:color="auto"/>
              <w:left w:val="single" w:sz="4" w:space="0" w:color="auto"/>
              <w:bottom w:val="single" w:sz="4" w:space="0" w:color="auto"/>
              <w:right w:val="single" w:sz="4" w:space="0" w:color="auto"/>
            </w:tcBorders>
          </w:tcPr>
          <w:p w14:paraId="50ED9DDB"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46CDBDFD"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DFE6E2C"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04D570F8"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0B5B8B8D" w14:textId="77777777" w:rsidR="003A71DE" w:rsidRPr="00EA3B97" w:rsidRDefault="003A71DE" w:rsidP="007835E8">
            <w:pPr>
              <w:pStyle w:val="TAC"/>
              <w:rPr>
                <w:rFonts w:eastAsiaTheme="minorEastAsia"/>
              </w:rPr>
            </w:pPr>
          </w:p>
        </w:tc>
      </w:tr>
      <w:tr w:rsidR="003A71DE" w:rsidRPr="00EA3B97" w14:paraId="0684ABE4"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30BC5376" w14:textId="77777777" w:rsidR="003A71DE" w:rsidRPr="00EA3B97" w:rsidRDefault="003A71DE" w:rsidP="007835E8">
            <w:pPr>
              <w:pStyle w:val="TAL"/>
              <w:rPr>
                <w:rFonts w:eastAsiaTheme="minorEastAsia"/>
              </w:rPr>
            </w:pPr>
            <w:r w:rsidRPr="00EA3B97">
              <w:rPr>
                <w:rFonts w:eastAsiaTheme="minorEastAsia"/>
              </w:rPr>
              <w:t>DCI formats</w:t>
            </w:r>
          </w:p>
        </w:tc>
        <w:tc>
          <w:tcPr>
            <w:tcW w:w="455" w:type="pct"/>
            <w:tcBorders>
              <w:top w:val="single" w:sz="4" w:space="0" w:color="auto"/>
              <w:left w:val="single" w:sz="4" w:space="0" w:color="auto"/>
              <w:bottom w:val="single" w:sz="4" w:space="0" w:color="auto"/>
              <w:right w:val="single" w:sz="4" w:space="0" w:color="auto"/>
            </w:tcBorders>
          </w:tcPr>
          <w:p w14:paraId="43DA99FA"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3451E9EE" w14:textId="77777777" w:rsidR="003A71DE" w:rsidRPr="00EA3B97" w:rsidRDefault="003A71DE" w:rsidP="007835E8">
            <w:pPr>
              <w:pStyle w:val="TAC"/>
              <w:rPr>
                <w:rFonts w:eastAsiaTheme="minorEastAsia"/>
              </w:rPr>
            </w:pPr>
            <w:r w:rsidRPr="00EA3B97">
              <w:rPr>
                <w:rFonts w:eastAsiaTheme="minorEastAsia"/>
              </w:rPr>
              <w:t xml:space="preserve">Note 1 </w:t>
            </w:r>
          </w:p>
        </w:tc>
        <w:tc>
          <w:tcPr>
            <w:tcW w:w="575" w:type="pct"/>
            <w:tcBorders>
              <w:top w:val="single" w:sz="4" w:space="0" w:color="auto"/>
              <w:left w:val="single" w:sz="4" w:space="0" w:color="auto"/>
              <w:bottom w:val="single" w:sz="4" w:space="0" w:color="auto"/>
              <w:right w:val="single" w:sz="4" w:space="0" w:color="auto"/>
            </w:tcBorders>
          </w:tcPr>
          <w:p w14:paraId="45882EB2" w14:textId="77777777" w:rsidR="003A71DE" w:rsidRPr="00EA3B97" w:rsidRDefault="003A71DE" w:rsidP="007835E8">
            <w:pPr>
              <w:pStyle w:val="TAC"/>
              <w:rPr>
                <w:rFonts w:eastAsiaTheme="minorEastAsia"/>
              </w:rPr>
            </w:pPr>
            <w:r w:rsidRPr="00EA3B97">
              <w:rPr>
                <w:rFonts w:eastAsiaTheme="minorEastAsia"/>
              </w:rPr>
              <w:t>Note 1</w:t>
            </w:r>
          </w:p>
        </w:tc>
        <w:tc>
          <w:tcPr>
            <w:tcW w:w="439" w:type="pct"/>
            <w:tcBorders>
              <w:top w:val="single" w:sz="4" w:space="0" w:color="auto"/>
              <w:left w:val="single" w:sz="4" w:space="0" w:color="auto"/>
              <w:bottom w:val="single" w:sz="4" w:space="0" w:color="auto"/>
              <w:right w:val="single" w:sz="4" w:space="0" w:color="auto"/>
            </w:tcBorders>
          </w:tcPr>
          <w:p w14:paraId="14743756"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497B9B75"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2607C0B5"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12789422"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36D78E8E" w14:textId="77777777" w:rsidR="003A71DE" w:rsidRPr="00EA3B97" w:rsidRDefault="003A71DE" w:rsidP="007835E8">
            <w:pPr>
              <w:pStyle w:val="TAC"/>
              <w:rPr>
                <w:rFonts w:eastAsiaTheme="minorEastAsia"/>
              </w:rPr>
            </w:pPr>
          </w:p>
        </w:tc>
      </w:tr>
      <w:tr w:rsidR="003A71DE" w:rsidRPr="00EA3B97" w14:paraId="0A69B582" w14:textId="77777777" w:rsidTr="003A71DE">
        <w:trPr>
          <w:jc w:val="center"/>
        </w:trPr>
        <w:tc>
          <w:tcPr>
            <w:tcW w:w="1202" w:type="pct"/>
            <w:tcBorders>
              <w:top w:val="single" w:sz="4" w:space="0" w:color="auto"/>
              <w:left w:val="single" w:sz="4" w:space="0" w:color="auto"/>
              <w:bottom w:val="single" w:sz="4" w:space="0" w:color="auto"/>
              <w:right w:val="single" w:sz="4" w:space="0" w:color="auto"/>
            </w:tcBorders>
            <w:vAlign w:val="center"/>
            <w:hideMark/>
          </w:tcPr>
          <w:p w14:paraId="2AC2F630" w14:textId="77777777" w:rsidR="003A71DE" w:rsidRPr="00EA3B97" w:rsidRDefault="003A71DE" w:rsidP="007835E8">
            <w:pPr>
              <w:pStyle w:val="TAL"/>
              <w:rPr>
                <w:rFonts w:eastAsiaTheme="minorEastAsia"/>
              </w:rPr>
            </w:pPr>
            <w:r w:rsidRPr="00EA3B97">
              <w:rPr>
                <w:rFonts w:eastAsiaTheme="minorEastAsia"/>
              </w:rPr>
              <w:t>Payload size (without CRC)</w:t>
            </w:r>
          </w:p>
        </w:tc>
        <w:tc>
          <w:tcPr>
            <w:tcW w:w="455" w:type="pct"/>
            <w:tcBorders>
              <w:top w:val="single" w:sz="4" w:space="0" w:color="auto"/>
              <w:left w:val="single" w:sz="4" w:space="0" w:color="auto"/>
              <w:bottom w:val="single" w:sz="4" w:space="0" w:color="auto"/>
              <w:right w:val="single" w:sz="4" w:space="0" w:color="auto"/>
            </w:tcBorders>
            <w:hideMark/>
          </w:tcPr>
          <w:p w14:paraId="146B574C" w14:textId="77777777" w:rsidR="003A71DE" w:rsidRPr="00EA3B97" w:rsidRDefault="003A71DE" w:rsidP="007835E8">
            <w:pPr>
              <w:pStyle w:val="TAC"/>
              <w:rPr>
                <w:rFonts w:eastAsiaTheme="minorEastAsia"/>
              </w:rPr>
            </w:pPr>
            <w:r w:rsidRPr="00EA3B97">
              <w:rPr>
                <w:rFonts w:eastAsiaTheme="minorEastAsia"/>
              </w:rPr>
              <w:t>bits</w:t>
            </w:r>
          </w:p>
        </w:tc>
        <w:tc>
          <w:tcPr>
            <w:tcW w:w="575" w:type="pct"/>
            <w:tcBorders>
              <w:top w:val="single" w:sz="4" w:space="0" w:color="auto"/>
              <w:left w:val="single" w:sz="4" w:space="0" w:color="auto"/>
              <w:bottom w:val="single" w:sz="4" w:space="0" w:color="auto"/>
              <w:right w:val="single" w:sz="4" w:space="0" w:color="auto"/>
            </w:tcBorders>
            <w:hideMark/>
          </w:tcPr>
          <w:p w14:paraId="7500B980" w14:textId="77777777" w:rsidR="003A71DE" w:rsidRPr="00EA3B97" w:rsidRDefault="003A71DE" w:rsidP="007835E8">
            <w:pPr>
              <w:pStyle w:val="TAC"/>
              <w:rPr>
                <w:rFonts w:eastAsiaTheme="minorEastAsia"/>
              </w:rPr>
            </w:pPr>
            <w:r w:rsidRPr="00EA3B97">
              <w:rPr>
                <w:rFonts w:eastAsiaTheme="minorEastAsia"/>
              </w:rPr>
              <w:t>Note 2</w:t>
            </w:r>
          </w:p>
        </w:tc>
        <w:tc>
          <w:tcPr>
            <w:tcW w:w="575" w:type="pct"/>
            <w:tcBorders>
              <w:top w:val="single" w:sz="4" w:space="0" w:color="auto"/>
              <w:left w:val="single" w:sz="4" w:space="0" w:color="auto"/>
              <w:bottom w:val="single" w:sz="4" w:space="0" w:color="auto"/>
              <w:right w:val="single" w:sz="4" w:space="0" w:color="auto"/>
            </w:tcBorders>
          </w:tcPr>
          <w:p w14:paraId="37D95ADD" w14:textId="77777777" w:rsidR="003A71DE" w:rsidRPr="00EA3B97" w:rsidRDefault="003A71DE" w:rsidP="007835E8">
            <w:pPr>
              <w:pStyle w:val="TAC"/>
              <w:rPr>
                <w:rFonts w:eastAsiaTheme="minorEastAsia"/>
              </w:rPr>
            </w:pPr>
            <w:r w:rsidRPr="00EA3B97">
              <w:rPr>
                <w:rFonts w:eastAsiaTheme="minorEastAsia"/>
              </w:rPr>
              <w:t>Note 2</w:t>
            </w:r>
          </w:p>
        </w:tc>
        <w:tc>
          <w:tcPr>
            <w:tcW w:w="439" w:type="pct"/>
            <w:tcBorders>
              <w:top w:val="single" w:sz="4" w:space="0" w:color="auto"/>
              <w:left w:val="single" w:sz="4" w:space="0" w:color="auto"/>
              <w:bottom w:val="single" w:sz="4" w:space="0" w:color="auto"/>
              <w:right w:val="single" w:sz="4" w:space="0" w:color="auto"/>
            </w:tcBorders>
          </w:tcPr>
          <w:p w14:paraId="287F9166"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40F9C9FA"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49C64014" w14:textId="77777777" w:rsidR="003A71DE" w:rsidRPr="00EA3B97" w:rsidRDefault="003A71DE" w:rsidP="007835E8">
            <w:pPr>
              <w:pStyle w:val="TAC"/>
              <w:rPr>
                <w:rFonts w:eastAsiaTheme="minorEastAsia"/>
              </w:rPr>
            </w:pPr>
          </w:p>
        </w:tc>
        <w:tc>
          <w:tcPr>
            <w:tcW w:w="439" w:type="pct"/>
            <w:tcBorders>
              <w:top w:val="single" w:sz="4" w:space="0" w:color="auto"/>
              <w:left w:val="single" w:sz="4" w:space="0" w:color="auto"/>
              <w:bottom w:val="single" w:sz="4" w:space="0" w:color="auto"/>
              <w:right w:val="single" w:sz="4" w:space="0" w:color="auto"/>
            </w:tcBorders>
          </w:tcPr>
          <w:p w14:paraId="55952B50" w14:textId="77777777" w:rsidR="003A71DE" w:rsidRPr="00EA3B97" w:rsidRDefault="003A71DE" w:rsidP="007835E8">
            <w:pPr>
              <w:pStyle w:val="TAC"/>
              <w:rPr>
                <w:rFonts w:eastAsiaTheme="minorEastAsia"/>
              </w:rPr>
            </w:pPr>
          </w:p>
        </w:tc>
        <w:tc>
          <w:tcPr>
            <w:tcW w:w="437" w:type="pct"/>
            <w:tcBorders>
              <w:top w:val="single" w:sz="4" w:space="0" w:color="auto"/>
              <w:left w:val="single" w:sz="4" w:space="0" w:color="auto"/>
              <w:bottom w:val="single" w:sz="4" w:space="0" w:color="auto"/>
              <w:right w:val="single" w:sz="4" w:space="0" w:color="auto"/>
            </w:tcBorders>
          </w:tcPr>
          <w:p w14:paraId="56AB730E" w14:textId="77777777" w:rsidR="003A71DE" w:rsidRPr="00EA3B97" w:rsidRDefault="003A71DE" w:rsidP="007835E8">
            <w:pPr>
              <w:pStyle w:val="TAC"/>
              <w:rPr>
                <w:rFonts w:eastAsiaTheme="minorEastAsia"/>
              </w:rPr>
            </w:pPr>
          </w:p>
        </w:tc>
      </w:tr>
      <w:tr w:rsidR="003A71DE" w:rsidRPr="00EA3B97" w14:paraId="0F81D17E"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1464F267"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DCI format shall depend upon the test configuration.</w:t>
            </w:r>
          </w:p>
          <w:p w14:paraId="7FB41967"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Payload size shall depend upon the test configuration</w:t>
            </w:r>
          </w:p>
          <w:p w14:paraId="3B3F8944" w14:textId="77777777" w:rsidR="003A71DE" w:rsidRPr="00EA3B97" w:rsidRDefault="003A71DE" w:rsidP="007835E8">
            <w:pPr>
              <w:pStyle w:val="TAN"/>
              <w:rPr>
                <w:rFonts w:eastAsiaTheme="minorEastAsia"/>
              </w:rPr>
            </w:pPr>
            <w:r w:rsidRPr="00EA3B97">
              <w:rPr>
                <w:rFonts w:eastAsiaTheme="minorEastAsia"/>
              </w:rPr>
              <w:t>Note 3:</w:t>
            </w:r>
            <w:r w:rsidRPr="00EA3B97">
              <w:rPr>
                <w:rFonts w:eastAsiaTheme="minorEastAsia"/>
              </w:rPr>
              <w:tab/>
              <w:t>Allocated in the resource blocks where the associated RMC is scheduled.</w:t>
            </w:r>
          </w:p>
        </w:tc>
      </w:tr>
    </w:tbl>
    <w:p w14:paraId="024E95CF" w14:textId="77777777" w:rsidR="003A71DE" w:rsidRPr="00EA3B97" w:rsidRDefault="003A71DE" w:rsidP="003A71DE">
      <w:pPr>
        <w:rPr>
          <w:rFonts w:eastAsia="MS Mincho"/>
        </w:rPr>
      </w:pPr>
    </w:p>
    <w:p w14:paraId="1BD5E12C" w14:textId="77777777" w:rsidR="003A71DE" w:rsidRPr="00EA3B97" w:rsidRDefault="003A71DE" w:rsidP="006578B5">
      <w:pPr>
        <w:pStyle w:val="TH"/>
        <w:rPr>
          <w:rFonts w:eastAsiaTheme="minorEastAsia"/>
        </w:rPr>
      </w:pPr>
      <w:r w:rsidRPr="00EA3B97">
        <w:rPr>
          <w:rFonts w:eastAsiaTheme="minorEastAsia"/>
        </w:rPr>
        <w:t>Table G.1.1.3.1-2: Control Channel RMC for TDD with SCS=30KHz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2"/>
        <w:gridCol w:w="877"/>
        <w:gridCol w:w="1108"/>
        <w:gridCol w:w="882"/>
        <w:gridCol w:w="884"/>
        <w:gridCol w:w="884"/>
        <w:gridCol w:w="884"/>
        <w:gridCol w:w="884"/>
        <w:gridCol w:w="876"/>
      </w:tblGrid>
      <w:tr w:rsidR="003A71DE" w:rsidRPr="00EA3B97" w14:paraId="7DE4BD57"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hideMark/>
          </w:tcPr>
          <w:p w14:paraId="772C0696" w14:textId="77777777" w:rsidR="003A71DE" w:rsidRPr="00EA3B97" w:rsidRDefault="003A71DE" w:rsidP="007835E8">
            <w:pPr>
              <w:pStyle w:val="TAH"/>
              <w:rPr>
                <w:rFonts w:eastAsiaTheme="minorEastAsia"/>
              </w:rPr>
            </w:pPr>
            <w:r w:rsidRPr="00EA3B97">
              <w:rPr>
                <w:rFonts w:eastAsiaTheme="minorEastAsia"/>
              </w:rPr>
              <w:t>Parameter</w:t>
            </w:r>
          </w:p>
        </w:tc>
        <w:tc>
          <w:tcPr>
            <w:tcW w:w="455" w:type="pct"/>
            <w:tcBorders>
              <w:top w:val="single" w:sz="4" w:space="0" w:color="auto"/>
              <w:left w:val="single" w:sz="4" w:space="0" w:color="auto"/>
              <w:bottom w:val="single" w:sz="4" w:space="0" w:color="auto"/>
              <w:right w:val="single" w:sz="4" w:space="0" w:color="auto"/>
            </w:tcBorders>
            <w:hideMark/>
          </w:tcPr>
          <w:p w14:paraId="6F05A2C6" w14:textId="77777777" w:rsidR="003A71DE" w:rsidRPr="00EA3B97" w:rsidRDefault="003A71DE" w:rsidP="007835E8">
            <w:pPr>
              <w:pStyle w:val="TAH"/>
              <w:rPr>
                <w:rFonts w:eastAsiaTheme="minorEastAsia"/>
              </w:rPr>
            </w:pPr>
            <w:r w:rsidRPr="00EA3B97">
              <w:rPr>
                <w:rFonts w:eastAsiaTheme="minorEastAsia"/>
              </w:rPr>
              <w:t>Unit</w:t>
            </w:r>
          </w:p>
        </w:tc>
        <w:tc>
          <w:tcPr>
            <w:tcW w:w="3323" w:type="pct"/>
            <w:gridSpan w:val="7"/>
            <w:tcBorders>
              <w:top w:val="single" w:sz="4" w:space="0" w:color="auto"/>
              <w:left w:val="single" w:sz="4" w:space="0" w:color="auto"/>
              <w:bottom w:val="single" w:sz="4" w:space="0" w:color="auto"/>
              <w:right w:val="single" w:sz="4" w:space="0" w:color="auto"/>
            </w:tcBorders>
            <w:hideMark/>
          </w:tcPr>
          <w:p w14:paraId="4642708D" w14:textId="77777777" w:rsidR="003A71DE" w:rsidRPr="00EA3B97" w:rsidRDefault="003A71DE" w:rsidP="007835E8">
            <w:pPr>
              <w:pStyle w:val="TAH"/>
              <w:rPr>
                <w:rFonts w:eastAsiaTheme="minorEastAsia"/>
              </w:rPr>
            </w:pPr>
            <w:r w:rsidRPr="00EA3B97">
              <w:rPr>
                <w:rFonts w:eastAsiaTheme="minorEastAsia"/>
              </w:rPr>
              <w:t>Value</w:t>
            </w:r>
          </w:p>
        </w:tc>
      </w:tr>
      <w:tr w:rsidR="003A71DE" w:rsidRPr="00EA3B97" w14:paraId="201727AD"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hideMark/>
          </w:tcPr>
          <w:p w14:paraId="4B40B6EE" w14:textId="77777777" w:rsidR="003A71DE" w:rsidRPr="00EA3B97" w:rsidRDefault="003A71DE" w:rsidP="007835E8">
            <w:pPr>
              <w:pStyle w:val="TAL"/>
              <w:rPr>
                <w:rFonts w:eastAsiaTheme="minorEastAsia"/>
              </w:rPr>
            </w:pPr>
            <w:r w:rsidRPr="00EA3B97">
              <w:rPr>
                <w:rFonts w:eastAsiaTheme="minorEastAsia"/>
              </w:rPr>
              <w:t>Reference channel</w:t>
            </w:r>
          </w:p>
        </w:tc>
        <w:tc>
          <w:tcPr>
            <w:tcW w:w="455" w:type="pct"/>
            <w:tcBorders>
              <w:top w:val="single" w:sz="4" w:space="0" w:color="auto"/>
              <w:left w:val="single" w:sz="4" w:space="0" w:color="auto"/>
              <w:bottom w:val="single" w:sz="4" w:space="0" w:color="auto"/>
              <w:right w:val="single" w:sz="4" w:space="0" w:color="auto"/>
            </w:tcBorders>
          </w:tcPr>
          <w:p w14:paraId="0CB699E9"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43B4421" w14:textId="77777777" w:rsidR="003A71DE" w:rsidRPr="00EA3B97" w:rsidRDefault="003A71DE" w:rsidP="007835E8">
            <w:pPr>
              <w:pStyle w:val="TAC"/>
              <w:rPr>
                <w:rFonts w:eastAsiaTheme="minorEastAsia"/>
              </w:rPr>
            </w:pPr>
            <w:r w:rsidRPr="00EA3B97">
              <w:rPr>
                <w:rFonts w:eastAsiaTheme="minorEastAsia"/>
              </w:rPr>
              <w:t>CCR.2.1 TDD</w:t>
            </w:r>
          </w:p>
        </w:tc>
        <w:tc>
          <w:tcPr>
            <w:tcW w:w="458" w:type="pct"/>
            <w:tcBorders>
              <w:top w:val="single" w:sz="4" w:space="0" w:color="auto"/>
              <w:left w:val="single" w:sz="4" w:space="0" w:color="auto"/>
              <w:bottom w:val="single" w:sz="4" w:space="0" w:color="auto"/>
              <w:right w:val="single" w:sz="4" w:space="0" w:color="auto"/>
            </w:tcBorders>
          </w:tcPr>
          <w:p w14:paraId="00B18095"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49E7865"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E7D913C"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2398844"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242D9C9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04DCA79F" w14:textId="77777777" w:rsidR="003A71DE" w:rsidRPr="00EA3B97" w:rsidRDefault="003A71DE" w:rsidP="007835E8">
            <w:pPr>
              <w:pStyle w:val="TAC"/>
              <w:rPr>
                <w:rFonts w:eastAsiaTheme="minorEastAsia"/>
              </w:rPr>
            </w:pPr>
          </w:p>
        </w:tc>
      </w:tr>
      <w:tr w:rsidR="003A71DE" w:rsidRPr="00EA3B97" w14:paraId="62C6C6FD"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hideMark/>
          </w:tcPr>
          <w:p w14:paraId="3359D211" w14:textId="77777777" w:rsidR="003A71DE" w:rsidRPr="00EA3B97" w:rsidRDefault="003A71DE" w:rsidP="007835E8">
            <w:pPr>
              <w:pStyle w:val="TAL"/>
              <w:rPr>
                <w:rFonts w:eastAsiaTheme="minorEastAsia"/>
                <w:lang w:eastAsia="zh-CN"/>
              </w:rPr>
            </w:pPr>
            <w:r w:rsidRPr="00EA3B97">
              <w:rPr>
                <w:rFonts w:eastAsiaTheme="minorEastAsia"/>
                <w:lang w:eastAsia="zh-CN"/>
              </w:rPr>
              <w:t>Subcarrier spacing</w:t>
            </w:r>
          </w:p>
        </w:tc>
        <w:tc>
          <w:tcPr>
            <w:tcW w:w="455" w:type="pct"/>
            <w:tcBorders>
              <w:top w:val="single" w:sz="4" w:space="0" w:color="auto"/>
              <w:left w:val="single" w:sz="4" w:space="0" w:color="auto"/>
              <w:bottom w:val="single" w:sz="4" w:space="0" w:color="auto"/>
              <w:right w:val="single" w:sz="4" w:space="0" w:color="auto"/>
            </w:tcBorders>
            <w:hideMark/>
          </w:tcPr>
          <w:p w14:paraId="17DCB530" w14:textId="77777777" w:rsidR="003A71DE" w:rsidRPr="00EA3B97" w:rsidRDefault="003A71DE" w:rsidP="007835E8">
            <w:pPr>
              <w:pStyle w:val="TAC"/>
              <w:rPr>
                <w:rFonts w:eastAsiaTheme="minorEastAsia"/>
                <w:lang w:eastAsia="zh-CN"/>
              </w:rPr>
            </w:pPr>
            <w:r w:rsidRPr="00EA3B97">
              <w:rPr>
                <w:rFonts w:eastAsiaTheme="minorEastAsia"/>
                <w:lang w:eastAsia="zh-CN"/>
              </w:rPr>
              <w:t>kHz</w:t>
            </w:r>
          </w:p>
        </w:tc>
        <w:tc>
          <w:tcPr>
            <w:tcW w:w="575" w:type="pct"/>
            <w:tcBorders>
              <w:top w:val="single" w:sz="4" w:space="0" w:color="auto"/>
              <w:left w:val="single" w:sz="4" w:space="0" w:color="auto"/>
              <w:bottom w:val="single" w:sz="4" w:space="0" w:color="auto"/>
              <w:right w:val="single" w:sz="4" w:space="0" w:color="auto"/>
            </w:tcBorders>
            <w:hideMark/>
          </w:tcPr>
          <w:p w14:paraId="091FB235" w14:textId="77777777" w:rsidR="003A71DE" w:rsidRPr="00EA3B97" w:rsidRDefault="003A71DE" w:rsidP="007835E8">
            <w:pPr>
              <w:pStyle w:val="TAC"/>
              <w:rPr>
                <w:rFonts w:eastAsiaTheme="minorEastAsia"/>
                <w:lang w:eastAsia="zh-CN"/>
              </w:rPr>
            </w:pPr>
            <w:r w:rsidRPr="00EA3B97">
              <w:rPr>
                <w:rFonts w:eastAsiaTheme="minorEastAsia"/>
                <w:lang w:eastAsia="zh-CN"/>
              </w:rPr>
              <w:t>30</w:t>
            </w:r>
          </w:p>
        </w:tc>
        <w:tc>
          <w:tcPr>
            <w:tcW w:w="458" w:type="pct"/>
            <w:tcBorders>
              <w:top w:val="single" w:sz="4" w:space="0" w:color="auto"/>
              <w:left w:val="single" w:sz="4" w:space="0" w:color="auto"/>
              <w:bottom w:val="single" w:sz="4" w:space="0" w:color="auto"/>
              <w:right w:val="single" w:sz="4" w:space="0" w:color="auto"/>
            </w:tcBorders>
          </w:tcPr>
          <w:p w14:paraId="20043E79" w14:textId="77777777" w:rsidR="003A71DE" w:rsidRPr="00EA3B97" w:rsidRDefault="003A71DE" w:rsidP="007835E8">
            <w:pPr>
              <w:pStyle w:val="TAC"/>
              <w:rPr>
                <w:rFonts w:eastAsiaTheme="minorEastAsia"/>
                <w:lang w:eastAsia="zh-CN"/>
              </w:rPr>
            </w:pPr>
          </w:p>
        </w:tc>
        <w:tc>
          <w:tcPr>
            <w:tcW w:w="459" w:type="pct"/>
            <w:tcBorders>
              <w:top w:val="single" w:sz="4" w:space="0" w:color="auto"/>
              <w:left w:val="single" w:sz="4" w:space="0" w:color="auto"/>
              <w:bottom w:val="single" w:sz="4" w:space="0" w:color="auto"/>
              <w:right w:val="single" w:sz="4" w:space="0" w:color="auto"/>
            </w:tcBorders>
          </w:tcPr>
          <w:p w14:paraId="5DDD69AB"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22BAA6D"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035E141"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E0F434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A95756E" w14:textId="77777777" w:rsidR="003A71DE" w:rsidRPr="00EA3B97" w:rsidRDefault="003A71DE" w:rsidP="007835E8">
            <w:pPr>
              <w:pStyle w:val="TAC"/>
              <w:rPr>
                <w:rFonts w:eastAsiaTheme="minorEastAsia"/>
              </w:rPr>
            </w:pPr>
          </w:p>
        </w:tc>
      </w:tr>
      <w:tr w:rsidR="003A71DE" w:rsidRPr="00EA3B97" w14:paraId="799AF977"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hideMark/>
          </w:tcPr>
          <w:p w14:paraId="7ECCC36E" w14:textId="77777777" w:rsidR="003A71DE" w:rsidRPr="00EA3B97" w:rsidRDefault="003A71DE" w:rsidP="007835E8">
            <w:pPr>
              <w:pStyle w:val="TAL"/>
              <w:rPr>
                <w:rFonts w:eastAsiaTheme="minorEastAsia"/>
                <w:lang w:eastAsia="zh-CN"/>
              </w:rPr>
            </w:pPr>
            <w:r w:rsidRPr="00EA3B97">
              <w:rPr>
                <w:rFonts w:eastAsiaTheme="minorEastAsia"/>
                <w:lang w:eastAsia="zh-CN"/>
              </w:rPr>
              <w:t xml:space="preserve">Allocated </w:t>
            </w:r>
            <w:r w:rsidRPr="00EA3B97">
              <w:rPr>
                <w:rFonts w:eastAsiaTheme="minorEastAsia"/>
              </w:rPr>
              <w:t xml:space="preserve">resource blocks </w:t>
            </w:r>
            <w:r w:rsidRPr="00EA3B97">
              <w:rPr>
                <w:rFonts w:eastAsiaTheme="minorEastAsia"/>
                <w:lang w:eastAsia="zh-CN"/>
              </w:rPr>
              <w:t>for CORESET</w:t>
            </w:r>
            <w:r w:rsidRPr="00EA3B97">
              <w:rPr>
                <w:rFonts w:eastAsiaTheme="minorEastAsia"/>
                <w:vertAlign w:val="superscript"/>
                <w:lang w:eastAsia="zh-CN"/>
              </w:rPr>
              <w:t xml:space="preserve"> Note 3</w:t>
            </w:r>
          </w:p>
        </w:tc>
        <w:tc>
          <w:tcPr>
            <w:tcW w:w="455" w:type="pct"/>
            <w:tcBorders>
              <w:top w:val="single" w:sz="4" w:space="0" w:color="auto"/>
              <w:left w:val="single" w:sz="4" w:space="0" w:color="auto"/>
              <w:bottom w:val="single" w:sz="4" w:space="0" w:color="auto"/>
              <w:right w:val="single" w:sz="4" w:space="0" w:color="auto"/>
            </w:tcBorders>
          </w:tcPr>
          <w:p w14:paraId="107245E7" w14:textId="77777777" w:rsidR="003A71DE" w:rsidRPr="00EA3B97" w:rsidRDefault="003A71DE" w:rsidP="007835E8">
            <w:pPr>
              <w:pStyle w:val="TAC"/>
              <w:rPr>
                <w:rFonts w:eastAsiaTheme="minorEastAsia"/>
                <w:lang w:eastAsia="zh-CN"/>
              </w:rPr>
            </w:pPr>
          </w:p>
        </w:tc>
        <w:tc>
          <w:tcPr>
            <w:tcW w:w="575" w:type="pct"/>
            <w:tcBorders>
              <w:top w:val="single" w:sz="4" w:space="0" w:color="auto"/>
              <w:left w:val="single" w:sz="4" w:space="0" w:color="auto"/>
              <w:bottom w:val="single" w:sz="4" w:space="0" w:color="auto"/>
              <w:right w:val="single" w:sz="4" w:space="0" w:color="auto"/>
            </w:tcBorders>
            <w:hideMark/>
          </w:tcPr>
          <w:p w14:paraId="0AF07AF9"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458" w:type="pct"/>
            <w:tcBorders>
              <w:top w:val="single" w:sz="4" w:space="0" w:color="auto"/>
              <w:left w:val="single" w:sz="4" w:space="0" w:color="auto"/>
              <w:bottom w:val="single" w:sz="4" w:space="0" w:color="auto"/>
              <w:right w:val="single" w:sz="4" w:space="0" w:color="auto"/>
            </w:tcBorders>
          </w:tcPr>
          <w:p w14:paraId="46AA63F2" w14:textId="77777777" w:rsidR="003A71DE" w:rsidRPr="00EA3B97" w:rsidRDefault="003A71DE" w:rsidP="007835E8">
            <w:pPr>
              <w:pStyle w:val="TAC"/>
              <w:rPr>
                <w:rFonts w:eastAsiaTheme="minorEastAsia"/>
                <w:lang w:eastAsia="zh-CN"/>
              </w:rPr>
            </w:pPr>
          </w:p>
        </w:tc>
        <w:tc>
          <w:tcPr>
            <w:tcW w:w="459" w:type="pct"/>
            <w:tcBorders>
              <w:top w:val="single" w:sz="4" w:space="0" w:color="auto"/>
              <w:left w:val="single" w:sz="4" w:space="0" w:color="auto"/>
              <w:bottom w:val="single" w:sz="4" w:space="0" w:color="auto"/>
              <w:right w:val="single" w:sz="4" w:space="0" w:color="auto"/>
            </w:tcBorders>
          </w:tcPr>
          <w:p w14:paraId="11C90B51"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68C3D214"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B5F3730"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4ED4F1D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A4DE6C5" w14:textId="77777777" w:rsidR="003A71DE" w:rsidRPr="00EA3B97" w:rsidRDefault="003A71DE" w:rsidP="007835E8">
            <w:pPr>
              <w:pStyle w:val="TAC"/>
              <w:rPr>
                <w:rFonts w:eastAsiaTheme="minorEastAsia"/>
              </w:rPr>
            </w:pPr>
          </w:p>
        </w:tc>
      </w:tr>
      <w:tr w:rsidR="003A71DE" w:rsidRPr="00EA3B97" w14:paraId="59F32226"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hideMark/>
          </w:tcPr>
          <w:p w14:paraId="49614BA2" w14:textId="77777777" w:rsidR="003A71DE" w:rsidRPr="00EA3B97" w:rsidRDefault="003A71DE" w:rsidP="007835E8">
            <w:pPr>
              <w:pStyle w:val="TAL"/>
              <w:rPr>
                <w:rFonts w:eastAsiaTheme="minorEastAsia"/>
              </w:rPr>
            </w:pPr>
            <w:r w:rsidRPr="00EA3B97">
              <w:rPr>
                <w:rFonts w:eastAsiaTheme="minorEastAsia"/>
              </w:rPr>
              <w:t>Number of transmitter antennas</w:t>
            </w:r>
          </w:p>
        </w:tc>
        <w:tc>
          <w:tcPr>
            <w:tcW w:w="455" w:type="pct"/>
            <w:tcBorders>
              <w:top w:val="single" w:sz="4" w:space="0" w:color="auto"/>
              <w:left w:val="single" w:sz="4" w:space="0" w:color="auto"/>
              <w:bottom w:val="single" w:sz="4" w:space="0" w:color="auto"/>
              <w:right w:val="single" w:sz="4" w:space="0" w:color="auto"/>
            </w:tcBorders>
          </w:tcPr>
          <w:p w14:paraId="349F5401"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F666F25" w14:textId="77777777" w:rsidR="003A71DE" w:rsidRPr="00EA3B97" w:rsidRDefault="003A71DE" w:rsidP="007835E8">
            <w:pPr>
              <w:pStyle w:val="TAC"/>
              <w:rPr>
                <w:rFonts w:eastAsiaTheme="minorEastAsia"/>
              </w:rPr>
            </w:pPr>
            <w:r w:rsidRPr="00EA3B97">
              <w:rPr>
                <w:rFonts w:eastAsiaTheme="minorEastAsia"/>
              </w:rPr>
              <w:t>1</w:t>
            </w:r>
          </w:p>
        </w:tc>
        <w:tc>
          <w:tcPr>
            <w:tcW w:w="458" w:type="pct"/>
            <w:tcBorders>
              <w:top w:val="single" w:sz="4" w:space="0" w:color="auto"/>
              <w:left w:val="single" w:sz="4" w:space="0" w:color="auto"/>
              <w:bottom w:val="single" w:sz="4" w:space="0" w:color="auto"/>
              <w:right w:val="single" w:sz="4" w:space="0" w:color="auto"/>
            </w:tcBorders>
          </w:tcPr>
          <w:p w14:paraId="77C2D4E6"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086E826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28E67A4"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C2AC276"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0F731870"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D7D45FF" w14:textId="77777777" w:rsidR="003A71DE" w:rsidRPr="00EA3B97" w:rsidRDefault="003A71DE" w:rsidP="007835E8">
            <w:pPr>
              <w:pStyle w:val="TAC"/>
              <w:rPr>
                <w:rFonts w:eastAsiaTheme="minorEastAsia"/>
              </w:rPr>
            </w:pPr>
          </w:p>
        </w:tc>
      </w:tr>
      <w:tr w:rsidR="003A71DE" w:rsidRPr="00EA3B97" w14:paraId="79948664"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hideMark/>
          </w:tcPr>
          <w:p w14:paraId="5F71F5D4" w14:textId="77777777" w:rsidR="003A71DE" w:rsidRPr="00EA3B97" w:rsidRDefault="003A71DE" w:rsidP="007835E8">
            <w:pPr>
              <w:pStyle w:val="TAL"/>
              <w:rPr>
                <w:rFonts w:eastAsiaTheme="minorEastAsia"/>
              </w:rPr>
            </w:pPr>
            <w:r w:rsidRPr="00EA3B97">
              <w:rPr>
                <w:rFonts w:eastAsiaTheme="minorEastAsia"/>
              </w:rPr>
              <w:t>Duration of CORESET</w:t>
            </w:r>
          </w:p>
        </w:tc>
        <w:tc>
          <w:tcPr>
            <w:tcW w:w="455" w:type="pct"/>
            <w:tcBorders>
              <w:top w:val="single" w:sz="4" w:space="0" w:color="auto"/>
              <w:left w:val="single" w:sz="4" w:space="0" w:color="auto"/>
              <w:bottom w:val="single" w:sz="4" w:space="0" w:color="auto"/>
              <w:right w:val="single" w:sz="4" w:space="0" w:color="auto"/>
            </w:tcBorders>
            <w:hideMark/>
          </w:tcPr>
          <w:p w14:paraId="31F0A0AE" w14:textId="77777777" w:rsidR="003A71DE" w:rsidRPr="00EA3B97" w:rsidRDefault="003A71DE" w:rsidP="007835E8">
            <w:pPr>
              <w:pStyle w:val="TAC"/>
              <w:rPr>
                <w:rFonts w:eastAsiaTheme="minorEastAsia"/>
              </w:rPr>
            </w:pPr>
            <w:r w:rsidRPr="00EA3B97">
              <w:rPr>
                <w:rFonts w:eastAsiaTheme="minorEastAsia"/>
              </w:rPr>
              <w:t>symbols</w:t>
            </w:r>
          </w:p>
        </w:tc>
        <w:tc>
          <w:tcPr>
            <w:tcW w:w="575" w:type="pct"/>
            <w:tcBorders>
              <w:top w:val="single" w:sz="4" w:space="0" w:color="auto"/>
              <w:left w:val="single" w:sz="4" w:space="0" w:color="auto"/>
              <w:bottom w:val="single" w:sz="4" w:space="0" w:color="auto"/>
              <w:right w:val="single" w:sz="4" w:space="0" w:color="auto"/>
            </w:tcBorders>
            <w:hideMark/>
          </w:tcPr>
          <w:p w14:paraId="775104CE" w14:textId="77777777" w:rsidR="003A71DE" w:rsidRPr="00EA3B97" w:rsidRDefault="003A71DE" w:rsidP="007835E8">
            <w:pPr>
              <w:pStyle w:val="TAC"/>
              <w:rPr>
                <w:rFonts w:eastAsiaTheme="minorEastAsia"/>
              </w:rPr>
            </w:pPr>
            <w:r w:rsidRPr="00EA3B97">
              <w:rPr>
                <w:rFonts w:eastAsiaTheme="minorEastAsia"/>
              </w:rPr>
              <w:t>2</w:t>
            </w:r>
          </w:p>
        </w:tc>
        <w:tc>
          <w:tcPr>
            <w:tcW w:w="458" w:type="pct"/>
            <w:tcBorders>
              <w:top w:val="single" w:sz="4" w:space="0" w:color="auto"/>
              <w:left w:val="single" w:sz="4" w:space="0" w:color="auto"/>
              <w:bottom w:val="single" w:sz="4" w:space="0" w:color="auto"/>
              <w:right w:val="single" w:sz="4" w:space="0" w:color="auto"/>
            </w:tcBorders>
          </w:tcPr>
          <w:p w14:paraId="7A324B9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68BE51B"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6FE12E9F"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2CC686AB"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5729202B"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FC3E77D" w14:textId="77777777" w:rsidR="003A71DE" w:rsidRPr="00EA3B97" w:rsidRDefault="003A71DE" w:rsidP="007835E8">
            <w:pPr>
              <w:pStyle w:val="TAC"/>
              <w:rPr>
                <w:rFonts w:eastAsiaTheme="minorEastAsia"/>
              </w:rPr>
            </w:pPr>
          </w:p>
        </w:tc>
      </w:tr>
      <w:tr w:rsidR="003A71DE" w:rsidRPr="00EA3B97" w14:paraId="6D272A3C"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51F49E51" w14:textId="77777777" w:rsidR="003A71DE" w:rsidRPr="00EA3B97" w:rsidRDefault="003A71DE" w:rsidP="007835E8">
            <w:pPr>
              <w:pStyle w:val="TAL"/>
              <w:rPr>
                <w:rFonts w:eastAsiaTheme="minorEastAsia"/>
              </w:rPr>
            </w:pPr>
            <w:r w:rsidRPr="00EA3B97">
              <w:rPr>
                <w:rFonts w:eastAsiaTheme="minorEastAsia"/>
              </w:rPr>
              <w:t>REG bundle size</w:t>
            </w:r>
          </w:p>
        </w:tc>
        <w:tc>
          <w:tcPr>
            <w:tcW w:w="455" w:type="pct"/>
            <w:tcBorders>
              <w:top w:val="single" w:sz="4" w:space="0" w:color="auto"/>
              <w:left w:val="single" w:sz="4" w:space="0" w:color="auto"/>
              <w:bottom w:val="single" w:sz="4" w:space="0" w:color="auto"/>
              <w:right w:val="single" w:sz="4" w:space="0" w:color="auto"/>
            </w:tcBorders>
          </w:tcPr>
          <w:p w14:paraId="306A6A29"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7D776D79"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458" w:type="pct"/>
            <w:tcBorders>
              <w:top w:val="single" w:sz="4" w:space="0" w:color="auto"/>
              <w:left w:val="single" w:sz="4" w:space="0" w:color="auto"/>
              <w:bottom w:val="single" w:sz="4" w:space="0" w:color="auto"/>
              <w:right w:val="single" w:sz="4" w:space="0" w:color="auto"/>
            </w:tcBorders>
          </w:tcPr>
          <w:p w14:paraId="69AFBF34" w14:textId="77777777" w:rsidR="003A71DE" w:rsidRPr="00EA3B97" w:rsidRDefault="003A71DE" w:rsidP="007835E8">
            <w:pPr>
              <w:pStyle w:val="TAC"/>
              <w:rPr>
                <w:rFonts w:eastAsiaTheme="minorEastAsia"/>
                <w:lang w:eastAsia="zh-CN"/>
              </w:rPr>
            </w:pPr>
          </w:p>
        </w:tc>
        <w:tc>
          <w:tcPr>
            <w:tcW w:w="459" w:type="pct"/>
            <w:tcBorders>
              <w:top w:val="single" w:sz="4" w:space="0" w:color="auto"/>
              <w:left w:val="single" w:sz="4" w:space="0" w:color="auto"/>
              <w:bottom w:val="single" w:sz="4" w:space="0" w:color="auto"/>
              <w:right w:val="single" w:sz="4" w:space="0" w:color="auto"/>
            </w:tcBorders>
          </w:tcPr>
          <w:p w14:paraId="16471EA9"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416FFB08"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FFE403D"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57F3584C"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D8F4A6E" w14:textId="77777777" w:rsidR="003A71DE" w:rsidRPr="00EA3B97" w:rsidRDefault="003A71DE" w:rsidP="007835E8">
            <w:pPr>
              <w:pStyle w:val="TAC"/>
              <w:rPr>
                <w:rFonts w:eastAsiaTheme="minorEastAsia"/>
              </w:rPr>
            </w:pPr>
          </w:p>
        </w:tc>
      </w:tr>
      <w:tr w:rsidR="003A71DE" w:rsidRPr="00EA3B97" w14:paraId="6977BC9A"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128C3C8E" w14:textId="77777777" w:rsidR="003A71DE" w:rsidRPr="00EA3B97" w:rsidRDefault="003A71DE" w:rsidP="007835E8">
            <w:pPr>
              <w:pStyle w:val="TAL"/>
              <w:rPr>
                <w:rFonts w:eastAsiaTheme="minorEastAsia"/>
              </w:rPr>
            </w:pPr>
            <w:r w:rsidRPr="00EA3B97">
              <w:rPr>
                <w:rFonts w:eastAsiaTheme="minorEastAsia"/>
              </w:rPr>
              <w:t>DMRS precoder granularity</w:t>
            </w:r>
          </w:p>
        </w:tc>
        <w:tc>
          <w:tcPr>
            <w:tcW w:w="455" w:type="pct"/>
            <w:tcBorders>
              <w:top w:val="single" w:sz="4" w:space="0" w:color="auto"/>
              <w:left w:val="single" w:sz="4" w:space="0" w:color="auto"/>
              <w:bottom w:val="single" w:sz="4" w:space="0" w:color="auto"/>
              <w:right w:val="single" w:sz="4" w:space="0" w:color="auto"/>
            </w:tcBorders>
          </w:tcPr>
          <w:p w14:paraId="28FBD7B3"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608EA5C6" w14:textId="77777777" w:rsidR="003A71DE" w:rsidRPr="00EA3B97" w:rsidRDefault="003A71DE" w:rsidP="007835E8">
            <w:pPr>
              <w:pStyle w:val="TAC"/>
              <w:rPr>
                <w:rFonts w:eastAsiaTheme="minorEastAsia"/>
                <w:lang w:eastAsia="zh-CN"/>
              </w:rPr>
            </w:pPr>
            <w:r w:rsidRPr="00EA3B97">
              <w:rPr>
                <w:rFonts w:eastAsiaTheme="minorEastAsia"/>
                <w:lang w:eastAsia="zh-CN"/>
              </w:rPr>
              <w:t>Same as REG bundle size</w:t>
            </w:r>
          </w:p>
        </w:tc>
        <w:tc>
          <w:tcPr>
            <w:tcW w:w="458" w:type="pct"/>
            <w:tcBorders>
              <w:top w:val="single" w:sz="4" w:space="0" w:color="auto"/>
              <w:left w:val="single" w:sz="4" w:space="0" w:color="auto"/>
              <w:bottom w:val="single" w:sz="4" w:space="0" w:color="auto"/>
              <w:right w:val="single" w:sz="4" w:space="0" w:color="auto"/>
            </w:tcBorders>
          </w:tcPr>
          <w:p w14:paraId="5B7A7C2A" w14:textId="77777777" w:rsidR="003A71DE" w:rsidRPr="00EA3B97" w:rsidRDefault="003A71DE" w:rsidP="007835E8">
            <w:pPr>
              <w:pStyle w:val="TAC"/>
              <w:rPr>
                <w:rFonts w:eastAsiaTheme="minorEastAsia"/>
                <w:lang w:eastAsia="zh-CN"/>
              </w:rPr>
            </w:pPr>
          </w:p>
        </w:tc>
        <w:tc>
          <w:tcPr>
            <w:tcW w:w="459" w:type="pct"/>
            <w:tcBorders>
              <w:top w:val="single" w:sz="4" w:space="0" w:color="auto"/>
              <w:left w:val="single" w:sz="4" w:space="0" w:color="auto"/>
              <w:bottom w:val="single" w:sz="4" w:space="0" w:color="auto"/>
              <w:right w:val="single" w:sz="4" w:space="0" w:color="auto"/>
            </w:tcBorders>
          </w:tcPr>
          <w:p w14:paraId="04FA2BE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0C7406A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5A31040C"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25751B19"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189D66A6" w14:textId="77777777" w:rsidR="003A71DE" w:rsidRPr="00EA3B97" w:rsidRDefault="003A71DE" w:rsidP="007835E8">
            <w:pPr>
              <w:pStyle w:val="TAC"/>
              <w:rPr>
                <w:rFonts w:eastAsiaTheme="minorEastAsia"/>
              </w:rPr>
            </w:pPr>
          </w:p>
        </w:tc>
      </w:tr>
      <w:tr w:rsidR="003A71DE" w:rsidRPr="00EA3B97" w14:paraId="05D3F612"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318B5908" w14:textId="77777777" w:rsidR="003A71DE" w:rsidRPr="00EA3B97" w:rsidRDefault="003A71DE" w:rsidP="007835E8">
            <w:pPr>
              <w:pStyle w:val="TAL"/>
              <w:rPr>
                <w:rFonts w:eastAsiaTheme="minorEastAsia"/>
              </w:rPr>
            </w:pPr>
            <w:r w:rsidRPr="00EA3B97">
              <w:rPr>
                <w:rFonts w:eastAsiaTheme="minorEastAsia"/>
              </w:rPr>
              <w:t>CCE to REG mapping</w:t>
            </w:r>
          </w:p>
        </w:tc>
        <w:tc>
          <w:tcPr>
            <w:tcW w:w="455" w:type="pct"/>
            <w:tcBorders>
              <w:top w:val="single" w:sz="4" w:space="0" w:color="auto"/>
              <w:left w:val="single" w:sz="4" w:space="0" w:color="auto"/>
              <w:bottom w:val="single" w:sz="4" w:space="0" w:color="auto"/>
              <w:right w:val="single" w:sz="4" w:space="0" w:color="auto"/>
            </w:tcBorders>
          </w:tcPr>
          <w:p w14:paraId="49E34FC3"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3077CD19" w14:textId="77777777" w:rsidR="003A71DE" w:rsidRPr="00EA3B97" w:rsidRDefault="003A71DE" w:rsidP="007835E8">
            <w:pPr>
              <w:pStyle w:val="TAC"/>
              <w:rPr>
                <w:rFonts w:eastAsiaTheme="minorEastAsia"/>
              </w:rPr>
            </w:pPr>
            <w:r w:rsidRPr="00EA3B97">
              <w:rPr>
                <w:rFonts w:eastAsiaTheme="minorEastAsia"/>
              </w:rPr>
              <w:t>Interleaved</w:t>
            </w:r>
          </w:p>
        </w:tc>
        <w:tc>
          <w:tcPr>
            <w:tcW w:w="458" w:type="pct"/>
            <w:tcBorders>
              <w:top w:val="single" w:sz="4" w:space="0" w:color="auto"/>
              <w:left w:val="single" w:sz="4" w:space="0" w:color="auto"/>
              <w:bottom w:val="single" w:sz="4" w:space="0" w:color="auto"/>
              <w:right w:val="single" w:sz="4" w:space="0" w:color="auto"/>
            </w:tcBorders>
          </w:tcPr>
          <w:p w14:paraId="7F040913"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58DD2BAA"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7E10C13"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4F98FD48"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B399ED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2C8F0588" w14:textId="77777777" w:rsidR="003A71DE" w:rsidRPr="00EA3B97" w:rsidRDefault="003A71DE" w:rsidP="007835E8">
            <w:pPr>
              <w:pStyle w:val="TAC"/>
              <w:rPr>
                <w:rFonts w:eastAsiaTheme="minorEastAsia"/>
              </w:rPr>
            </w:pPr>
          </w:p>
        </w:tc>
      </w:tr>
      <w:tr w:rsidR="003A71DE" w:rsidRPr="00EA3B97" w14:paraId="034533DD"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2F93C4D7" w14:textId="77777777" w:rsidR="003A71DE" w:rsidRPr="00EA3B97" w:rsidRDefault="003A71DE" w:rsidP="007835E8">
            <w:pPr>
              <w:pStyle w:val="TAL"/>
              <w:rPr>
                <w:rFonts w:eastAsiaTheme="minorEastAsia"/>
              </w:rPr>
            </w:pPr>
            <w:r w:rsidRPr="00EA3B97">
              <w:rPr>
                <w:rFonts w:eastAsiaTheme="minorEastAsia"/>
              </w:rPr>
              <w:t>Interleave n_shift</w:t>
            </w:r>
          </w:p>
        </w:tc>
        <w:tc>
          <w:tcPr>
            <w:tcW w:w="455" w:type="pct"/>
            <w:tcBorders>
              <w:top w:val="single" w:sz="4" w:space="0" w:color="auto"/>
              <w:left w:val="single" w:sz="4" w:space="0" w:color="auto"/>
              <w:bottom w:val="single" w:sz="4" w:space="0" w:color="auto"/>
              <w:right w:val="single" w:sz="4" w:space="0" w:color="auto"/>
            </w:tcBorders>
          </w:tcPr>
          <w:p w14:paraId="52F33DB4"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892F4D0" w14:textId="77777777" w:rsidR="003A71DE" w:rsidRPr="00EA3B97" w:rsidRDefault="003A71DE" w:rsidP="007835E8">
            <w:pPr>
              <w:pStyle w:val="TAC"/>
              <w:rPr>
                <w:rFonts w:eastAsiaTheme="minorEastAsia"/>
              </w:rPr>
            </w:pPr>
            <w:r w:rsidRPr="00EA3B97">
              <w:rPr>
                <w:rFonts w:eastAsiaTheme="minorEastAsia"/>
              </w:rPr>
              <w:t>0</w:t>
            </w:r>
          </w:p>
        </w:tc>
        <w:tc>
          <w:tcPr>
            <w:tcW w:w="458" w:type="pct"/>
            <w:tcBorders>
              <w:top w:val="single" w:sz="4" w:space="0" w:color="auto"/>
              <w:left w:val="single" w:sz="4" w:space="0" w:color="auto"/>
              <w:bottom w:val="single" w:sz="4" w:space="0" w:color="auto"/>
              <w:right w:val="single" w:sz="4" w:space="0" w:color="auto"/>
            </w:tcBorders>
          </w:tcPr>
          <w:p w14:paraId="18C6A1E9"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73E3306"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48383CA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07CAE56"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A38EBE4"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34BE4AB8" w14:textId="77777777" w:rsidR="003A71DE" w:rsidRPr="00EA3B97" w:rsidRDefault="003A71DE" w:rsidP="007835E8">
            <w:pPr>
              <w:pStyle w:val="TAC"/>
              <w:rPr>
                <w:rFonts w:eastAsiaTheme="minorEastAsia"/>
              </w:rPr>
            </w:pPr>
          </w:p>
        </w:tc>
      </w:tr>
      <w:tr w:rsidR="003A71DE" w:rsidRPr="00EA3B97" w14:paraId="38A5C61E"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10E34F8C" w14:textId="77777777" w:rsidR="003A71DE" w:rsidRPr="00EA3B97" w:rsidRDefault="003A71DE" w:rsidP="007835E8">
            <w:pPr>
              <w:pStyle w:val="TAL"/>
              <w:rPr>
                <w:rFonts w:eastAsiaTheme="minorEastAsia"/>
              </w:rPr>
            </w:pPr>
            <w:r w:rsidRPr="00EA3B97">
              <w:rPr>
                <w:rFonts w:eastAsiaTheme="minorEastAsia"/>
              </w:rPr>
              <w:t>Interleave size</w:t>
            </w:r>
          </w:p>
        </w:tc>
        <w:tc>
          <w:tcPr>
            <w:tcW w:w="455" w:type="pct"/>
            <w:tcBorders>
              <w:top w:val="single" w:sz="4" w:space="0" w:color="auto"/>
              <w:left w:val="single" w:sz="4" w:space="0" w:color="auto"/>
              <w:bottom w:val="single" w:sz="4" w:space="0" w:color="auto"/>
              <w:right w:val="single" w:sz="4" w:space="0" w:color="auto"/>
            </w:tcBorders>
          </w:tcPr>
          <w:p w14:paraId="7B6F726B"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7D856B6D" w14:textId="77777777" w:rsidR="003A71DE" w:rsidRPr="00EA3B97" w:rsidRDefault="003A71DE" w:rsidP="007835E8">
            <w:pPr>
              <w:pStyle w:val="TAC"/>
              <w:rPr>
                <w:rFonts w:eastAsiaTheme="minorEastAsia"/>
              </w:rPr>
            </w:pPr>
            <w:r w:rsidRPr="00EA3B97">
              <w:rPr>
                <w:rFonts w:eastAsiaTheme="minorEastAsia"/>
              </w:rPr>
              <w:t>2</w:t>
            </w:r>
          </w:p>
        </w:tc>
        <w:tc>
          <w:tcPr>
            <w:tcW w:w="458" w:type="pct"/>
            <w:tcBorders>
              <w:top w:val="single" w:sz="4" w:space="0" w:color="auto"/>
              <w:left w:val="single" w:sz="4" w:space="0" w:color="auto"/>
              <w:bottom w:val="single" w:sz="4" w:space="0" w:color="auto"/>
              <w:right w:val="single" w:sz="4" w:space="0" w:color="auto"/>
            </w:tcBorders>
          </w:tcPr>
          <w:p w14:paraId="02773ED8"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3B29CE4"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6639A80D"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4CF0E7AB"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50F46901"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B6D3C0E" w14:textId="77777777" w:rsidR="003A71DE" w:rsidRPr="00EA3B97" w:rsidRDefault="003A71DE" w:rsidP="007835E8">
            <w:pPr>
              <w:pStyle w:val="TAC"/>
              <w:rPr>
                <w:rFonts w:eastAsiaTheme="minorEastAsia"/>
              </w:rPr>
            </w:pPr>
          </w:p>
        </w:tc>
      </w:tr>
      <w:tr w:rsidR="003A71DE" w:rsidRPr="00EA3B97" w14:paraId="67D2F1A2"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4AAE4F5B" w14:textId="77777777" w:rsidR="003A71DE" w:rsidRPr="00EA3B97" w:rsidRDefault="003A71DE" w:rsidP="007835E8">
            <w:pPr>
              <w:pStyle w:val="TAL"/>
              <w:rPr>
                <w:rFonts w:eastAsiaTheme="minorEastAsia"/>
              </w:rPr>
            </w:pPr>
            <w:r w:rsidRPr="00EA3B97">
              <w:rPr>
                <w:rFonts w:eastAsiaTheme="minorEastAsia"/>
              </w:rPr>
              <w:t>Beamforming Pre-Coder</w:t>
            </w:r>
          </w:p>
        </w:tc>
        <w:tc>
          <w:tcPr>
            <w:tcW w:w="455" w:type="pct"/>
            <w:tcBorders>
              <w:top w:val="single" w:sz="4" w:space="0" w:color="auto"/>
              <w:left w:val="single" w:sz="4" w:space="0" w:color="auto"/>
              <w:bottom w:val="single" w:sz="4" w:space="0" w:color="auto"/>
              <w:right w:val="single" w:sz="4" w:space="0" w:color="auto"/>
            </w:tcBorders>
          </w:tcPr>
          <w:p w14:paraId="1C272376"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248831B2" w14:textId="77777777" w:rsidR="003A71DE" w:rsidRPr="00EA3B97" w:rsidRDefault="003A71DE" w:rsidP="007835E8">
            <w:pPr>
              <w:pStyle w:val="TAC"/>
              <w:rPr>
                <w:rFonts w:eastAsiaTheme="minorEastAsia"/>
              </w:rPr>
            </w:pPr>
            <w:r w:rsidRPr="00EA3B97">
              <w:rPr>
                <w:rFonts w:eastAsiaTheme="minorEastAsia"/>
              </w:rPr>
              <w:t>N/A</w:t>
            </w:r>
          </w:p>
        </w:tc>
        <w:tc>
          <w:tcPr>
            <w:tcW w:w="458" w:type="pct"/>
            <w:tcBorders>
              <w:top w:val="single" w:sz="4" w:space="0" w:color="auto"/>
              <w:left w:val="single" w:sz="4" w:space="0" w:color="auto"/>
              <w:bottom w:val="single" w:sz="4" w:space="0" w:color="auto"/>
              <w:right w:val="single" w:sz="4" w:space="0" w:color="auto"/>
            </w:tcBorders>
          </w:tcPr>
          <w:p w14:paraId="17E74C9D"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F72D96F"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40C4C39"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6D4D277"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1D9AFC1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5DC4F409" w14:textId="77777777" w:rsidR="003A71DE" w:rsidRPr="00EA3B97" w:rsidRDefault="003A71DE" w:rsidP="007835E8">
            <w:pPr>
              <w:pStyle w:val="TAC"/>
              <w:rPr>
                <w:rFonts w:eastAsiaTheme="minorEastAsia"/>
              </w:rPr>
            </w:pPr>
          </w:p>
        </w:tc>
      </w:tr>
      <w:tr w:rsidR="003A71DE" w:rsidRPr="00EA3B97" w14:paraId="05EE2D80"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228CB111" w14:textId="77777777" w:rsidR="003A71DE" w:rsidRPr="00EA3B97" w:rsidRDefault="003A71DE" w:rsidP="007835E8">
            <w:pPr>
              <w:pStyle w:val="TAL"/>
              <w:rPr>
                <w:rFonts w:eastAsiaTheme="minorEastAsia"/>
              </w:rPr>
            </w:pPr>
            <w:r w:rsidRPr="00EA3B97">
              <w:rPr>
                <w:rFonts w:eastAsiaTheme="minorEastAsia"/>
              </w:rPr>
              <w:t>Aggregation level</w:t>
            </w:r>
          </w:p>
        </w:tc>
        <w:tc>
          <w:tcPr>
            <w:tcW w:w="455" w:type="pct"/>
            <w:tcBorders>
              <w:top w:val="single" w:sz="4" w:space="0" w:color="auto"/>
              <w:left w:val="single" w:sz="4" w:space="0" w:color="auto"/>
              <w:bottom w:val="single" w:sz="4" w:space="0" w:color="auto"/>
              <w:right w:val="single" w:sz="4" w:space="0" w:color="auto"/>
            </w:tcBorders>
            <w:hideMark/>
          </w:tcPr>
          <w:p w14:paraId="0A718B28" w14:textId="77777777" w:rsidR="003A71DE" w:rsidRPr="00EA3B97" w:rsidRDefault="003A71DE" w:rsidP="007835E8">
            <w:pPr>
              <w:pStyle w:val="TAC"/>
              <w:rPr>
                <w:rFonts w:eastAsiaTheme="minorEastAsia"/>
              </w:rPr>
            </w:pPr>
            <w:r w:rsidRPr="00EA3B97">
              <w:rPr>
                <w:rFonts w:eastAsiaTheme="minorEastAsia"/>
              </w:rPr>
              <w:t>CCE</w:t>
            </w:r>
          </w:p>
        </w:tc>
        <w:tc>
          <w:tcPr>
            <w:tcW w:w="575" w:type="pct"/>
            <w:tcBorders>
              <w:top w:val="single" w:sz="4" w:space="0" w:color="auto"/>
              <w:left w:val="single" w:sz="4" w:space="0" w:color="auto"/>
              <w:bottom w:val="single" w:sz="4" w:space="0" w:color="auto"/>
              <w:right w:val="single" w:sz="4" w:space="0" w:color="auto"/>
            </w:tcBorders>
            <w:hideMark/>
          </w:tcPr>
          <w:p w14:paraId="40F436ED" w14:textId="77777777" w:rsidR="003A71DE" w:rsidRPr="00EA3B97" w:rsidRDefault="003A71DE" w:rsidP="007835E8">
            <w:pPr>
              <w:pStyle w:val="TAC"/>
              <w:rPr>
                <w:rFonts w:eastAsiaTheme="minorEastAsia"/>
              </w:rPr>
            </w:pPr>
            <w:r w:rsidRPr="00EA3B97">
              <w:rPr>
                <w:rFonts w:eastAsiaTheme="minorEastAsia"/>
              </w:rPr>
              <w:t>8</w:t>
            </w:r>
          </w:p>
        </w:tc>
        <w:tc>
          <w:tcPr>
            <w:tcW w:w="458" w:type="pct"/>
            <w:tcBorders>
              <w:top w:val="single" w:sz="4" w:space="0" w:color="auto"/>
              <w:left w:val="single" w:sz="4" w:space="0" w:color="auto"/>
              <w:bottom w:val="single" w:sz="4" w:space="0" w:color="auto"/>
              <w:right w:val="single" w:sz="4" w:space="0" w:color="auto"/>
            </w:tcBorders>
          </w:tcPr>
          <w:p w14:paraId="73EC012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FF62ECF"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626E80A8"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444A957B"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C557176"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4EEBDA4" w14:textId="77777777" w:rsidR="003A71DE" w:rsidRPr="00EA3B97" w:rsidRDefault="003A71DE" w:rsidP="007835E8">
            <w:pPr>
              <w:pStyle w:val="TAC"/>
              <w:rPr>
                <w:rFonts w:eastAsiaTheme="minorEastAsia"/>
              </w:rPr>
            </w:pPr>
          </w:p>
        </w:tc>
      </w:tr>
      <w:tr w:rsidR="003A71DE" w:rsidRPr="00EA3B97" w14:paraId="530639DA"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1D5430CA" w14:textId="77777777" w:rsidR="003A71DE" w:rsidRPr="00EA3B97" w:rsidRDefault="003A71DE" w:rsidP="007835E8">
            <w:pPr>
              <w:pStyle w:val="TAL"/>
              <w:rPr>
                <w:rFonts w:eastAsiaTheme="minorEastAsia"/>
              </w:rPr>
            </w:pPr>
            <w:r w:rsidRPr="00EA3B97">
              <w:rPr>
                <w:rFonts w:eastAsiaTheme="minorEastAsia"/>
              </w:rPr>
              <w:t>DCI formats</w:t>
            </w:r>
          </w:p>
        </w:tc>
        <w:tc>
          <w:tcPr>
            <w:tcW w:w="455" w:type="pct"/>
            <w:tcBorders>
              <w:top w:val="single" w:sz="4" w:space="0" w:color="auto"/>
              <w:left w:val="single" w:sz="4" w:space="0" w:color="auto"/>
              <w:bottom w:val="single" w:sz="4" w:space="0" w:color="auto"/>
              <w:right w:val="single" w:sz="4" w:space="0" w:color="auto"/>
            </w:tcBorders>
          </w:tcPr>
          <w:p w14:paraId="41E06C15"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99F2C08" w14:textId="77777777" w:rsidR="003A71DE" w:rsidRPr="00EA3B97" w:rsidRDefault="003A71DE" w:rsidP="007835E8">
            <w:pPr>
              <w:pStyle w:val="TAC"/>
              <w:rPr>
                <w:rFonts w:eastAsiaTheme="minorEastAsia"/>
              </w:rPr>
            </w:pPr>
            <w:r w:rsidRPr="00EA3B97">
              <w:rPr>
                <w:rFonts w:eastAsiaTheme="minorEastAsia"/>
              </w:rPr>
              <w:t xml:space="preserve">Note 1 </w:t>
            </w:r>
          </w:p>
        </w:tc>
        <w:tc>
          <w:tcPr>
            <w:tcW w:w="458" w:type="pct"/>
            <w:tcBorders>
              <w:top w:val="single" w:sz="4" w:space="0" w:color="auto"/>
              <w:left w:val="single" w:sz="4" w:space="0" w:color="auto"/>
              <w:bottom w:val="single" w:sz="4" w:space="0" w:color="auto"/>
              <w:right w:val="single" w:sz="4" w:space="0" w:color="auto"/>
            </w:tcBorders>
          </w:tcPr>
          <w:p w14:paraId="4A6916E8"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CA0A09E"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93E9B2C"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71D3D5A7"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66B84C72"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47599717" w14:textId="77777777" w:rsidR="003A71DE" w:rsidRPr="00EA3B97" w:rsidRDefault="003A71DE" w:rsidP="007835E8">
            <w:pPr>
              <w:pStyle w:val="TAC"/>
              <w:rPr>
                <w:rFonts w:eastAsiaTheme="minorEastAsia"/>
              </w:rPr>
            </w:pPr>
          </w:p>
        </w:tc>
      </w:tr>
      <w:tr w:rsidR="003A71DE" w:rsidRPr="00EA3B97" w14:paraId="1ACED1E2" w14:textId="77777777" w:rsidTr="003A71DE">
        <w:trPr>
          <w:jc w:val="center"/>
        </w:trPr>
        <w:tc>
          <w:tcPr>
            <w:tcW w:w="1221" w:type="pct"/>
            <w:tcBorders>
              <w:top w:val="single" w:sz="4" w:space="0" w:color="auto"/>
              <w:left w:val="single" w:sz="4" w:space="0" w:color="auto"/>
              <w:bottom w:val="single" w:sz="4" w:space="0" w:color="auto"/>
              <w:right w:val="single" w:sz="4" w:space="0" w:color="auto"/>
            </w:tcBorders>
            <w:vAlign w:val="center"/>
            <w:hideMark/>
          </w:tcPr>
          <w:p w14:paraId="30E63AA3" w14:textId="77777777" w:rsidR="003A71DE" w:rsidRPr="00EA3B97" w:rsidRDefault="003A71DE" w:rsidP="007835E8">
            <w:pPr>
              <w:pStyle w:val="TAL"/>
              <w:rPr>
                <w:rFonts w:eastAsiaTheme="minorEastAsia"/>
              </w:rPr>
            </w:pPr>
            <w:r w:rsidRPr="00EA3B97">
              <w:rPr>
                <w:rFonts w:eastAsiaTheme="minorEastAsia"/>
              </w:rPr>
              <w:t>Payload size (without CRC)</w:t>
            </w:r>
          </w:p>
        </w:tc>
        <w:tc>
          <w:tcPr>
            <w:tcW w:w="455" w:type="pct"/>
            <w:tcBorders>
              <w:top w:val="single" w:sz="4" w:space="0" w:color="auto"/>
              <w:left w:val="single" w:sz="4" w:space="0" w:color="auto"/>
              <w:bottom w:val="single" w:sz="4" w:space="0" w:color="auto"/>
              <w:right w:val="single" w:sz="4" w:space="0" w:color="auto"/>
            </w:tcBorders>
            <w:hideMark/>
          </w:tcPr>
          <w:p w14:paraId="0B643BE9" w14:textId="77777777" w:rsidR="003A71DE" w:rsidRPr="00EA3B97" w:rsidRDefault="003A71DE" w:rsidP="007835E8">
            <w:pPr>
              <w:pStyle w:val="TAC"/>
              <w:rPr>
                <w:rFonts w:eastAsiaTheme="minorEastAsia"/>
              </w:rPr>
            </w:pPr>
            <w:r w:rsidRPr="00EA3B97">
              <w:rPr>
                <w:rFonts w:eastAsiaTheme="minorEastAsia"/>
              </w:rPr>
              <w:t>bits</w:t>
            </w:r>
          </w:p>
        </w:tc>
        <w:tc>
          <w:tcPr>
            <w:tcW w:w="575" w:type="pct"/>
            <w:tcBorders>
              <w:top w:val="single" w:sz="4" w:space="0" w:color="auto"/>
              <w:left w:val="single" w:sz="4" w:space="0" w:color="auto"/>
              <w:bottom w:val="single" w:sz="4" w:space="0" w:color="auto"/>
              <w:right w:val="single" w:sz="4" w:space="0" w:color="auto"/>
            </w:tcBorders>
            <w:hideMark/>
          </w:tcPr>
          <w:p w14:paraId="1F5B1211" w14:textId="77777777" w:rsidR="003A71DE" w:rsidRPr="00EA3B97" w:rsidRDefault="003A71DE" w:rsidP="007835E8">
            <w:pPr>
              <w:pStyle w:val="TAC"/>
              <w:rPr>
                <w:rFonts w:eastAsiaTheme="minorEastAsia"/>
              </w:rPr>
            </w:pPr>
            <w:r w:rsidRPr="00EA3B97">
              <w:rPr>
                <w:rFonts w:eastAsiaTheme="minorEastAsia"/>
              </w:rPr>
              <w:t>Note 2</w:t>
            </w:r>
          </w:p>
        </w:tc>
        <w:tc>
          <w:tcPr>
            <w:tcW w:w="458" w:type="pct"/>
            <w:tcBorders>
              <w:top w:val="single" w:sz="4" w:space="0" w:color="auto"/>
              <w:left w:val="single" w:sz="4" w:space="0" w:color="auto"/>
              <w:bottom w:val="single" w:sz="4" w:space="0" w:color="auto"/>
              <w:right w:val="single" w:sz="4" w:space="0" w:color="auto"/>
            </w:tcBorders>
          </w:tcPr>
          <w:p w14:paraId="03D0E767"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004A0A00"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36E6297"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2CC9045D" w14:textId="77777777" w:rsidR="003A71DE" w:rsidRPr="00EA3B97" w:rsidRDefault="003A71DE" w:rsidP="007835E8">
            <w:pPr>
              <w:pStyle w:val="TAC"/>
              <w:rPr>
                <w:rFonts w:eastAsiaTheme="minorEastAsia"/>
              </w:rPr>
            </w:pPr>
          </w:p>
        </w:tc>
        <w:tc>
          <w:tcPr>
            <w:tcW w:w="459" w:type="pct"/>
            <w:tcBorders>
              <w:top w:val="single" w:sz="4" w:space="0" w:color="auto"/>
              <w:left w:val="single" w:sz="4" w:space="0" w:color="auto"/>
              <w:bottom w:val="single" w:sz="4" w:space="0" w:color="auto"/>
              <w:right w:val="single" w:sz="4" w:space="0" w:color="auto"/>
            </w:tcBorders>
          </w:tcPr>
          <w:p w14:paraId="36B92CEB" w14:textId="77777777" w:rsidR="003A71DE" w:rsidRPr="00EA3B97" w:rsidRDefault="003A71DE" w:rsidP="007835E8">
            <w:pPr>
              <w:pStyle w:val="TAC"/>
              <w:rPr>
                <w:rFonts w:eastAsiaTheme="minorEastAsia"/>
              </w:rPr>
            </w:pPr>
          </w:p>
        </w:tc>
        <w:tc>
          <w:tcPr>
            <w:tcW w:w="456" w:type="pct"/>
            <w:tcBorders>
              <w:top w:val="single" w:sz="4" w:space="0" w:color="auto"/>
              <w:left w:val="single" w:sz="4" w:space="0" w:color="auto"/>
              <w:bottom w:val="single" w:sz="4" w:space="0" w:color="auto"/>
              <w:right w:val="single" w:sz="4" w:space="0" w:color="auto"/>
            </w:tcBorders>
          </w:tcPr>
          <w:p w14:paraId="78FCF1A2" w14:textId="77777777" w:rsidR="003A71DE" w:rsidRPr="00EA3B97" w:rsidRDefault="003A71DE" w:rsidP="007835E8">
            <w:pPr>
              <w:pStyle w:val="TAC"/>
              <w:rPr>
                <w:rFonts w:eastAsiaTheme="minorEastAsia"/>
              </w:rPr>
            </w:pPr>
          </w:p>
        </w:tc>
      </w:tr>
      <w:tr w:rsidR="003A71DE" w:rsidRPr="00EA3B97" w14:paraId="59A14AD5"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0B5692A9"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DCI format shall depend upon the test configuration.</w:t>
            </w:r>
          </w:p>
          <w:p w14:paraId="134522C8"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Payload size shall depend upon the test configuration.</w:t>
            </w:r>
          </w:p>
          <w:p w14:paraId="5E540DC6" w14:textId="77777777" w:rsidR="003A71DE" w:rsidRPr="00EA3B97" w:rsidRDefault="003A71DE" w:rsidP="007835E8">
            <w:pPr>
              <w:pStyle w:val="TAN"/>
              <w:rPr>
                <w:rFonts w:eastAsiaTheme="minorEastAsia"/>
              </w:rPr>
            </w:pPr>
            <w:r w:rsidRPr="00EA3B97">
              <w:rPr>
                <w:rFonts w:eastAsiaTheme="minorEastAsia"/>
              </w:rPr>
              <w:t>Note 3:</w:t>
            </w:r>
            <w:r w:rsidRPr="00EA3B97">
              <w:rPr>
                <w:rFonts w:eastAsiaTheme="minorEastAsia"/>
              </w:rPr>
              <w:tab/>
              <w:t>Allocated in the same resource blocks where the associated RMC is scheduled.</w:t>
            </w:r>
          </w:p>
        </w:tc>
      </w:tr>
    </w:tbl>
    <w:p w14:paraId="1BC0A86B" w14:textId="77777777" w:rsidR="003A71DE" w:rsidRPr="00EA3B97" w:rsidRDefault="003A71DE" w:rsidP="003A71DE">
      <w:pPr>
        <w:rPr>
          <w:rFonts w:eastAsia="MS Mincho"/>
          <w:noProof/>
        </w:rPr>
      </w:pPr>
    </w:p>
    <w:p w14:paraId="4909DEF2" w14:textId="77777777" w:rsidR="003A71DE" w:rsidRPr="00EA3B97" w:rsidRDefault="003A71DE" w:rsidP="00BA0D24">
      <w:pPr>
        <w:pStyle w:val="TH"/>
        <w:rPr>
          <w:rFonts w:eastAsiaTheme="minorEastAsia"/>
        </w:rPr>
      </w:pPr>
      <w:r w:rsidRPr="00EA3B97">
        <w:rPr>
          <w:rFonts w:eastAsiaTheme="minorEastAsia"/>
        </w:rPr>
        <w:lastRenderedPageBreak/>
        <w:t>Table G.1.1.3.1-3: Control Channel RMC for TDD with SCS=120KHz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14"/>
        <w:gridCol w:w="980"/>
        <w:gridCol w:w="1108"/>
        <w:gridCol w:w="1108"/>
        <w:gridCol w:w="1108"/>
        <w:gridCol w:w="518"/>
        <w:gridCol w:w="599"/>
        <w:gridCol w:w="601"/>
        <w:gridCol w:w="595"/>
      </w:tblGrid>
      <w:tr w:rsidR="003A71DE" w:rsidRPr="00EA3B97" w14:paraId="6FF81259"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1ABACE19" w14:textId="77777777" w:rsidR="003A71DE" w:rsidRPr="00EA3B97" w:rsidRDefault="003A71DE" w:rsidP="007835E8">
            <w:pPr>
              <w:pStyle w:val="TAH"/>
              <w:rPr>
                <w:rFonts w:eastAsiaTheme="minorEastAsia"/>
              </w:rPr>
            </w:pPr>
            <w:r w:rsidRPr="00EA3B97">
              <w:rPr>
                <w:rFonts w:eastAsiaTheme="minorEastAsia"/>
              </w:rPr>
              <w:t>Parameter</w:t>
            </w:r>
          </w:p>
        </w:tc>
        <w:tc>
          <w:tcPr>
            <w:tcW w:w="509" w:type="pct"/>
            <w:tcBorders>
              <w:top w:val="single" w:sz="4" w:space="0" w:color="auto"/>
              <w:left w:val="single" w:sz="4" w:space="0" w:color="auto"/>
              <w:bottom w:val="single" w:sz="4" w:space="0" w:color="auto"/>
              <w:right w:val="single" w:sz="4" w:space="0" w:color="auto"/>
            </w:tcBorders>
            <w:hideMark/>
          </w:tcPr>
          <w:p w14:paraId="0B8142F1" w14:textId="77777777" w:rsidR="003A71DE" w:rsidRPr="00EA3B97" w:rsidRDefault="003A71DE" w:rsidP="007835E8">
            <w:pPr>
              <w:pStyle w:val="TAH"/>
              <w:rPr>
                <w:rFonts w:eastAsiaTheme="minorEastAsia"/>
              </w:rPr>
            </w:pPr>
            <w:r w:rsidRPr="00EA3B97">
              <w:rPr>
                <w:rFonts w:eastAsiaTheme="minorEastAsia"/>
              </w:rPr>
              <w:t>Unit</w:t>
            </w:r>
          </w:p>
        </w:tc>
        <w:tc>
          <w:tcPr>
            <w:tcW w:w="2926" w:type="pct"/>
            <w:gridSpan w:val="7"/>
            <w:tcBorders>
              <w:top w:val="single" w:sz="4" w:space="0" w:color="auto"/>
              <w:left w:val="single" w:sz="4" w:space="0" w:color="auto"/>
              <w:bottom w:val="single" w:sz="4" w:space="0" w:color="auto"/>
              <w:right w:val="single" w:sz="4" w:space="0" w:color="auto"/>
            </w:tcBorders>
            <w:hideMark/>
          </w:tcPr>
          <w:p w14:paraId="78F1D151" w14:textId="77777777" w:rsidR="003A71DE" w:rsidRPr="00EA3B97" w:rsidRDefault="003A71DE" w:rsidP="007835E8">
            <w:pPr>
              <w:pStyle w:val="TAH"/>
              <w:rPr>
                <w:rFonts w:eastAsiaTheme="minorEastAsia"/>
              </w:rPr>
            </w:pPr>
            <w:r w:rsidRPr="00EA3B97">
              <w:rPr>
                <w:rFonts w:eastAsiaTheme="minorEastAsia"/>
              </w:rPr>
              <w:t>Value</w:t>
            </w:r>
          </w:p>
        </w:tc>
      </w:tr>
      <w:tr w:rsidR="003A71DE" w:rsidRPr="00EA3B97" w14:paraId="20C0BDF7"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1AE4DF57" w14:textId="77777777" w:rsidR="003A71DE" w:rsidRPr="00EA3B97" w:rsidRDefault="003A71DE" w:rsidP="007835E8">
            <w:pPr>
              <w:pStyle w:val="TAL"/>
              <w:rPr>
                <w:rFonts w:eastAsiaTheme="minorEastAsia"/>
              </w:rPr>
            </w:pPr>
            <w:r w:rsidRPr="00EA3B97">
              <w:rPr>
                <w:rFonts w:eastAsiaTheme="minorEastAsia"/>
              </w:rPr>
              <w:t>Reference channel</w:t>
            </w:r>
          </w:p>
        </w:tc>
        <w:tc>
          <w:tcPr>
            <w:tcW w:w="509" w:type="pct"/>
            <w:tcBorders>
              <w:top w:val="single" w:sz="4" w:space="0" w:color="auto"/>
              <w:left w:val="single" w:sz="4" w:space="0" w:color="auto"/>
              <w:bottom w:val="single" w:sz="4" w:space="0" w:color="auto"/>
              <w:right w:val="single" w:sz="4" w:space="0" w:color="auto"/>
            </w:tcBorders>
          </w:tcPr>
          <w:p w14:paraId="5958BB96"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3C213F10" w14:textId="77777777" w:rsidR="003A71DE" w:rsidRPr="00EA3B97" w:rsidRDefault="003A71DE" w:rsidP="007835E8">
            <w:pPr>
              <w:pStyle w:val="TAC"/>
              <w:rPr>
                <w:rFonts w:eastAsiaTheme="minorEastAsia"/>
              </w:rPr>
            </w:pPr>
            <w:r w:rsidRPr="00EA3B97">
              <w:rPr>
                <w:rFonts w:eastAsiaTheme="minorEastAsia"/>
              </w:rPr>
              <w:t>CCR.3.1 TDD</w:t>
            </w:r>
          </w:p>
        </w:tc>
        <w:tc>
          <w:tcPr>
            <w:tcW w:w="575" w:type="pct"/>
            <w:tcBorders>
              <w:top w:val="single" w:sz="4" w:space="0" w:color="auto"/>
              <w:left w:val="single" w:sz="4" w:space="0" w:color="auto"/>
              <w:bottom w:val="single" w:sz="4" w:space="0" w:color="auto"/>
              <w:right w:val="single" w:sz="4" w:space="0" w:color="auto"/>
            </w:tcBorders>
            <w:hideMark/>
          </w:tcPr>
          <w:p w14:paraId="627D0CEC" w14:textId="77777777" w:rsidR="003A71DE" w:rsidRPr="00EA3B97" w:rsidRDefault="003A71DE" w:rsidP="007835E8">
            <w:pPr>
              <w:pStyle w:val="TAC"/>
              <w:rPr>
                <w:rFonts w:eastAsiaTheme="minorEastAsia"/>
                <w:lang w:eastAsia="zh-CN"/>
              </w:rPr>
            </w:pPr>
            <w:r w:rsidRPr="00EA3B97">
              <w:rPr>
                <w:rFonts w:eastAsiaTheme="minorEastAsia"/>
                <w:lang w:eastAsia="zh-CN"/>
              </w:rPr>
              <w:t>CCR.3.2 TDD</w:t>
            </w:r>
          </w:p>
        </w:tc>
        <w:tc>
          <w:tcPr>
            <w:tcW w:w="575" w:type="pct"/>
            <w:tcBorders>
              <w:top w:val="single" w:sz="4" w:space="0" w:color="auto"/>
              <w:left w:val="single" w:sz="4" w:space="0" w:color="auto"/>
              <w:bottom w:val="single" w:sz="4" w:space="0" w:color="auto"/>
              <w:right w:val="single" w:sz="4" w:space="0" w:color="auto"/>
            </w:tcBorders>
          </w:tcPr>
          <w:p w14:paraId="726597D7" w14:textId="77777777" w:rsidR="003A71DE" w:rsidRPr="00EA3B97" w:rsidRDefault="003A71DE" w:rsidP="007835E8">
            <w:pPr>
              <w:pStyle w:val="TAC"/>
              <w:rPr>
                <w:rFonts w:eastAsiaTheme="minorEastAsia"/>
              </w:rPr>
            </w:pPr>
            <w:r w:rsidRPr="00EA3B97">
              <w:rPr>
                <w:rFonts w:eastAsiaTheme="minorEastAsia"/>
              </w:rPr>
              <w:t>CCR.3.3 TDD</w:t>
            </w:r>
          </w:p>
        </w:tc>
        <w:tc>
          <w:tcPr>
            <w:tcW w:w="269" w:type="pct"/>
            <w:tcBorders>
              <w:top w:val="single" w:sz="4" w:space="0" w:color="auto"/>
              <w:left w:val="single" w:sz="4" w:space="0" w:color="auto"/>
              <w:bottom w:val="single" w:sz="4" w:space="0" w:color="auto"/>
              <w:right w:val="single" w:sz="4" w:space="0" w:color="auto"/>
            </w:tcBorders>
          </w:tcPr>
          <w:p w14:paraId="3E7F18B4"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2CE38623"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2F9DB0E7"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4F984CA2" w14:textId="77777777" w:rsidR="003A71DE" w:rsidRPr="00EA3B97" w:rsidRDefault="003A71DE" w:rsidP="007835E8">
            <w:pPr>
              <w:pStyle w:val="TAC"/>
              <w:rPr>
                <w:rFonts w:eastAsiaTheme="minorEastAsia"/>
              </w:rPr>
            </w:pPr>
          </w:p>
        </w:tc>
      </w:tr>
      <w:tr w:rsidR="003A71DE" w:rsidRPr="00EA3B97" w14:paraId="694D9B89"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1D4481C7" w14:textId="77777777" w:rsidR="003A71DE" w:rsidRPr="00EA3B97" w:rsidRDefault="003A71DE" w:rsidP="007835E8">
            <w:pPr>
              <w:pStyle w:val="TAL"/>
              <w:rPr>
                <w:rFonts w:eastAsiaTheme="minorEastAsia"/>
                <w:lang w:eastAsia="zh-CN"/>
              </w:rPr>
            </w:pPr>
            <w:r w:rsidRPr="00EA3B97">
              <w:rPr>
                <w:rFonts w:eastAsiaTheme="minorEastAsia"/>
                <w:lang w:eastAsia="zh-CN"/>
              </w:rPr>
              <w:t>Subcarrier spacing</w:t>
            </w:r>
          </w:p>
        </w:tc>
        <w:tc>
          <w:tcPr>
            <w:tcW w:w="509" w:type="pct"/>
            <w:tcBorders>
              <w:top w:val="single" w:sz="4" w:space="0" w:color="auto"/>
              <w:left w:val="single" w:sz="4" w:space="0" w:color="auto"/>
              <w:bottom w:val="single" w:sz="4" w:space="0" w:color="auto"/>
              <w:right w:val="single" w:sz="4" w:space="0" w:color="auto"/>
            </w:tcBorders>
            <w:hideMark/>
          </w:tcPr>
          <w:p w14:paraId="683368FC" w14:textId="77777777" w:rsidR="003A71DE" w:rsidRPr="00EA3B97" w:rsidRDefault="003A71DE" w:rsidP="007835E8">
            <w:pPr>
              <w:pStyle w:val="TAC"/>
              <w:rPr>
                <w:rFonts w:eastAsiaTheme="minorEastAsia"/>
                <w:lang w:eastAsia="zh-CN"/>
              </w:rPr>
            </w:pPr>
            <w:r w:rsidRPr="00EA3B97">
              <w:rPr>
                <w:rFonts w:eastAsiaTheme="minorEastAsia"/>
                <w:lang w:eastAsia="zh-CN"/>
              </w:rPr>
              <w:t>kHz</w:t>
            </w:r>
          </w:p>
        </w:tc>
        <w:tc>
          <w:tcPr>
            <w:tcW w:w="575" w:type="pct"/>
            <w:tcBorders>
              <w:top w:val="single" w:sz="4" w:space="0" w:color="auto"/>
              <w:left w:val="single" w:sz="4" w:space="0" w:color="auto"/>
              <w:bottom w:val="single" w:sz="4" w:space="0" w:color="auto"/>
              <w:right w:val="single" w:sz="4" w:space="0" w:color="auto"/>
            </w:tcBorders>
            <w:hideMark/>
          </w:tcPr>
          <w:p w14:paraId="174F8682" w14:textId="77777777" w:rsidR="003A71DE" w:rsidRPr="00EA3B97" w:rsidRDefault="003A71DE" w:rsidP="007835E8">
            <w:pPr>
              <w:pStyle w:val="TAC"/>
              <w:rPr>
                <w:rFonts w:eastAsiaTheme="minorEastAsia"/>
                <w:lang w:eastAsia="zh-CN"/>
              </w:rPr>
            </w:pPr>
            <w:r w:rsidRPr="00EA3B97">
              <w:rPr>
                <w:rFonts w:eastAsiaTheme="minorEastAsia"/>
                <w:lang w:eastAsia="zh-CN"/>
              </w:rPr>
              <w:t>120</w:t>
            </w:r>
          </w:p>
        </w:tc>
        <w:tc>
          <w:tcPr>
            <w:tcW w:w="575" w:type="pct"/>
            <w:tcBorders>
              <w:top w:val="single" w:sz="4" w:space="0" w:color="auto"/>
              <w:left w:val="single" w:sz="4" w:space="0" w:color="auto"/>
              <w:bottom w:val="single" w:sz="4" w:space="0" w:color="auto"/>
              <w:right w:val="single" w:sz="4" w:space="0" w:color="auto"/>
            </w:tcBorders>
            <w:hideMark/>
          </w:tcPr>
          <w:p w14:paraId="60E7DF79" w14:textId="77777777" w:rsidR="003A71DE" w:rsidRPr="00EA3B97" w:rsidRDefault="003A71DE" w:rsidP="007835E8">
            <w:pPr>
              <w:pStyle w:val="TAC"/>
              <w:rPr>
                <w:rFonts w:eastAsiaTheme="minorEastAsia"/>
                <w:lang w:eastAsia="zh-CN"/>
              </w:rPr>
            </w:pPr>
            <w:r w:rsidRPr="00EA3B97">
              <w:rPr>
                <w:rFonts w:eastAsiaTheme="minorEastAsia"/>
                <w:lang w:eastAsia="zh-CN"/>
              </w:rPr>
              <w:t>120</w:t>
            </w:r>
          </w:p>
        </w:tc>
        <w:tc>
          <w:tcPr>
            <w:tcW w:w="575" w:type="pct"/>
            <w:tcBorders>
              <w:top w:val="single" w:sz="4" w:space="0" w:color="auto"/>
              <w:left w:val="single" w:sz="4" w:space="0" w:color="auto"/>
              <w:bottom w:val="single" w:sz="4" w:space="0" w:color="auto"/>
              <w:right w:val="single" w:sz="4" w:space="0" w:color="auto"/>
            </w:tcBorders>
          </w:tcPr>
          <w:p w14:paraId="3A751247" w14:textId="77777777" w:rsidR="003A71DE" w:rsidRPr="00EA3B97" w:rsidRDefault="003A71DE" w:rsidP="007835E8">
            <w:pPr>
              <w:pStyle w:val="TAC"/>
              <w:rPr>
                <w:rFonts w:eastAsiaTheme="minorEastAsia"/>
              </w:rPr>
            </w:pPr>
            <w:r w:rsidRPr="00EA3B97">
              <w:rPr>
                <w:rFonts w:eastAsiaTheme="minorEastAsia"/>
                <w:lang w:eastAsia="zh-CN"/>
              </w:rPr>
              <w:t>120</w:t>
            </w:r>
          </w:p>
        </w:tc>
        <w:tc>
          <w:tcPr>
            <w:tcW w:w="269" w:type="pct"/>
            <w:tcBorders>
              <w:top w:val="single" w:sz="4" w:space="0" w:color="auto"/>
              <w:left w:val="single" w:sz="4" w:space="0" w:color="auto"/>
              <w:bottom w:val="single" w:sz="4" w:space="0" w:color="auto"/>
              <w:right w:val="single" w:sz="4" w:space="0" w:color="auto"/>
            </w:tcBorders>
          </w:tcPr>
          <w:p w14:paraId="384B0828"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3184C29F"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4D2B0A4E"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07372330" w14:textId="77777777" w:rsidR="003A71DE" w:rsidRPr="00EA3B97" w:rsidRDefault="003A71DE" w:rsidP="007835E8">
            <w:pPr>
              <w:pStyle w:val="TAC"/>
              <w:rPr>
                <w:rFonts w:eastAsiaTheme="minorEastAsia"/>
              </w:rPr>
            </w:pPr>
          </w:p>
        </w:tc>
      </w:tr>
      <w:tr w:rsidR="003A71DE" w:rsidRPr="00EA3B97" w14:paraId="5E332498"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6154D253" w14:textId="77777777" w:rsidR="003A71DE" w:rsidRPr="00EA3B97" w:rsidRDefault="003A71DE" w:rsidP="007835E8">
            <w:pPr>
              <w:pStyle w:val="TAL"/>
              <w:rPr>
                <w:rFonts w:eastAsiaTheme="minorEastAsia"/>
                <w:lang w:eastAsia="zh-CN"/>
              </w:rPr>
            </w:pPr>
            <w:r w:rsidRPr="00EA3B97">
              <w:rPr>
                <w:rFonts w:eastAsiaTheme="minorEastAsia"/>
                <w:lang w:eastAsia="zh-CN"/>
              </w:rPr>
              <w:t xml:space="preserve">Allocated </w:t>
            </w:r>
            <w:r w:rsidRPr="00EA3B97">
              <w:rPr>
                <w:rFonts w:eastAsiaTheme="minorEastAsia"/>
              </w:rPr>
              <w:t xml:space="preserve">resource blocks </w:t>
            </w:r>
            <w:r w:rsidRPr="00EA3B97">
              <w:rPr>
                <w:rFonts w:eastAsiaTheme="minorEastAsia"/>
                <w:lang w:eastAsia="zh-CN"/>
              </w:rPr>
              <w:t>for CORESET</w:t>
            </w:r>
            <w:r w:rsidRPr="00EA3B97">
              <w:rPr>
                <w:rFonts w:eastAsiaTheme="minorEastAsia"/>
                <w:vertAlign w:val="superscript"/>
                <w:lang w:eastAsia="zh-CN"/>
              </w:rPr>
              <w:t xml:space="preserve"> Note 3</w:t>
            </w:r>
          </w:p>
        </w:tc>
        <w:tc>
          <w:tcPr>
            <w:tcW w:w="509" w:type="pct"/>
            <w:tcBorders>
              <w:top w:val="single" w:sz="4" w:space="0" w:color="auto"/>
              <w:left w:val="single" w:sz="4" w:space="0" w:color="auto"/>
              <w:bottom w:val="single" w:sz="4" w:space="0" w:color="auto"/>
              <w:right w:val="single" w:sz="4" w:space="0" w:color="auto"/>
            </w:tcBorders>
          </w:tcPr>
          <w:p w14:paraId="0E15A827" w14:textId="77777777" w:rsidR="003A71DE" w:rsidRPr="00EA3B97" w:rsidRDefault="003A71DE" w:rsidP="007835E8">
            <w:pPr>
              <w:pStyle w:val="TAC"/>
              <w:rPr>
                <w:rFonts w:eastAsiaTheme="minorEastAsia"/>
                <w:lang w:eastAsia="zh-CN"/>
              </w:rPr>
            </w:pPr>
          </w:p>
        </w:tc>
        <w:tc>
          <w:tcPr>
            <w:tcW w:w="575" w:type="pct"/>
            <w:tcBorders>
              <w:top w:val="single" w:sz="4" w:space="0" w:color="auto"/>
              <w:left w:val="single" w:sz="4" w:space="0" w:color="auto"/>
              <w:bottom w:val="single" w:sz="4" w:space="0" w:color="auto"/>
              <w:right w:val="single" w:sz="4" w:space="0" w:color="auto"/>
            </w:tcBorders>
            <w:hideMark/>
          </w:tcPr>
          <w:p w14:paraId="6FE08627"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575" w:type="pct"/>
            <w:tcBorders>
              <w:top w:val="single" w:sz="4" w:space="0" w:color="auto"/>
              <w:left w:val="single" w:sz="4" w:space="0" w:color="auto"/>
              <w:bottom w:val="single" w:sz="4" w:space="0" w:color="auto"/>
              <w:right w:val="single" w:sz="4" w:space="0" w:color="auto"/>
            </w:tcBorders>
            <w:hideMark/>
          </w:tcPr>
          <w:p w14:paraId="138789E5" w14:textId="77777777" w:rsidR="003A71DE" w:rsidRPr="00EA3B97" w:rsidRDefault="003A71DE" w:rsidP="007835E8">
            <w:pPr>
              <w:pStyle w:val="TAC"/>
              <w:rPr>
                <w:rFonts w:eastAsiaTheme="minorEastAsia"/>
                <w:lang w:eastAsia="zh-CN"/>
              </w:rPr>
            </w:pPr>
            <w:r w:rsidRPr="00EA3B97">
              <w:rPr>
                <w:rFonts w:eastAsiaTheme="minorEastAsia"/>
                <w:lang w:eastAsia="zh-CN"/>
              </w:rPr>
              <w:t>24</w:t>
            </w:r>
          </w:p>
        </w:tc>
        <w:tc>
          <w:tcPr>
            <w:tcW w:w="575" w:type="pct"/>
            <w:tcBorders>
              <w:top w:val="single" w:sz="4" w:space="0" w:color="auto"/>
              <w:left w:val="single" w:sz="4" w:space="0" w:color="auto"/>
              <w:bottom w:val="single" w:sz="4" w:space="0" w:color="auto"/>
              <w:right w:val="single" w:sz="4" w:space="0" w:color="auto"/>
            </w:tcBorders>
          </w:tcPr>
          <w:p w14:paraId="51C1D641" w14:textId="77777777" w:rsidR="003A71DE" w:rsidRPr="00EA3B97" w:rsidRDefault="003A71DE" w:rsidP="007835E8">
            <w:pPr>
              <w:pStyle w:val="TAC"/>
              <w:rPr>
                <w:rFonts w:eastAsiaTheme="minorEastAsia"/>
              </w:rPr>
            </w:pPr>
            <w:r w:rsidRPr="00EA3B97">
              <w:rPr>
                <w:rFonts w:eastAsiaTheme="minorEastAsia"/>
                <w:lang w:eastAsia="zh-CN"/>
              </w:rPr>
              <w:t>24</w:t>
            </w:r>
          </w:p>
        </w:tc>
        <w:tc>
          <w:tcPr>
            <w:tcW w:w="269" w:type="pct"/>
            <w:tcBorders>
              <w:top w:val="single" w:sz="4" w:space="0" w:color="auto"/>
              <w:left w:val="single" w:sz="4" w:space="0" w:color="auto"/>
              <w:bottom w:val="single" w:sz="4" w:space="0" w:color="auto"/>
              <w:right w:val="single" w:sz="4" w:space="0" w:color="auto"/>
            </w:tcBorders>
          </w:tcPr>
          <w:p w14:paraId="14456112"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44A9A0C4"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3A896601"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441B164B" w14:textId="77777777" w:rsidR="003A71DE" w:rsidRPr="00EA3B97" w:rsidRDefault="003A71DE" w:rsidP="007835E8">
            <w:pPr>
              <w:pStyle w:val="TAC"/>
              <w:rPr>
                <w:rFonts w:eastAsiaTheme="minorEastAsia"/>
              </w:rPr>
            </w:pPr>
          </w:p>
        </w:tc>
      </w:tr>
      <w:tr w:rsidR="003A71DE" w:rsidRPr="00EA3B97" w14:paraId="6E2FCB34"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6B0FC3E4" w14:textId="77777777" w:rsidR="003A71DE" w:rsidRPr="00EA3B97" w:rsidRDefault="003A71DE" w:rsidP="007835E8">
            <w:pPr>
              <w:pStyle w:val="TAL"/>
              <w:rPr>
                <w:rFonts w:eastAsiaTheme="minorEastAsia"/>
              </w:rPr>
            </w:pPr>
            <w:r w:rsidRPr="00EA3B97">
              <w:rPr>
                <w:rFonts w:eastAsiaTheme="minorEastAsia"/>
              </w:rPr>
              <w:t>Number of transmitter antennas</w:t>
            </w:r>
          </w:p>
        </w:tc>
        <w:tc>
          <w:tcPr>
            <w:tcW w:w="509" w:type="pct"/>
            <w:tcBorders>
              <w:top w:val="single" w:sz="4" w:space="0" w:color="auto"/>
              <w:left w:val="single" w:sz="4" w:space="0" w:color="auto"/>
              <w:bottom w:val="single" w:sz="4" w:space="0" w:color="auto"/>
              <w:right w:val="single" w:sz="4" w:space="0" w:color="auto"/>
            </w:tcBorders>
          </w:tcPr>
          <w:p w14:paraId="56DAF883"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297CAF01" w14:textId="77777777" w:rsidR="003A71DE" w:rsidRPr="00EA3B97" w:rsidRDefault="003A71DE" w:rsidP="007835E8">
            <w:pPr>
              <w:pStyle w:val="TAC"/>
              <w:rPr>
                <w:rFonts w:eastAsiaTheme="minorEastAsia"/>
              </w:rPr>
            </w:pPr>
            <w:r w:rsidRPr="00EA3B97">
              <w:rPr>
                <w:rFonts w:eastAsiaTheme="minorEastAsia"/>
              </w:rPr>
              <w:t>1</w:t>
            </w:r>
          </w:p>
        </w:tc>
        <w:tc>
          <w:tcPr>
            <w:tcW w:w="575" w:type="pct"/>
            <w:tcBorders>
              <w:top w:val="single" w:sz="4" w:space="0" w:color="auto"/>
              <w:left w:val="single" w:sz="4" w:space="0" w:color="auto"/>
              <w:bottom w:val="single" w:sz="4" w:space="0" w:color="auto"/>
              <w:right w:val="single" w:sz="4" w:space="0" w:color="auto"/>
            </w:tcBorders>
            <w:hideMark/>
          </w:tcPr>
          <w:p w14:paraId="2F52850B" w14:textId="77777777" w:rsidR="003A71DE" w:rsidRPr="00EA3B97" w:rsidRDefault="003A71DE" w:rsidP="007835E8">
            <w:pPr>
              <w:pStyle w:val="TAC"/>
              <w:rPr>
                <w:rFonts w:eastAsiaTheme="minorEastAsia"/>
                <w:lang w:eastAsia="zh-CN"/>
              </w:rPr>
            </w:pPr>
            <w:r w:rsidRPr="00EA3B97">
              <w:rPr>
                <w:rFonts w:eastAsiaTheme="minorEastAsia"/>
                <w:lang w:eastAsia="zh-CN"/>
              </w:rPr>
              <w:t>1</w:t>
            </w:r>
          </w:p>
        </w:tc>
        <w:tc>
          <w:tcPr>
            <w:tcW w:w="575" w:type="pct"/>
            <w:tcBorders>
              <w:top w:val="single" w:sz="4" w:space="0" w:color="auto"/>
              <w:left w:val="single" w:sz="4" w:space="0" w:color="auto"/>
              <w:bottom w:val="single" w:sz="4" w:space="0" w:color="auto"/>
              <w:right w:val="single" w:sz="4" w:space="0" w:color="auto"/>
            </w:tcBorders>
          </w:tcPr>
          <w:p w14:paraId="0BC6BC02" w14:textId="77777777" w:rsidR="003A71DE" w:rsidRPr="00EA3B97" w:rsidRDefault="003A71DE" w:rsidP="007835E8">
            <w:pPr>
              <w:pStyle w:val="TAC"/>
              <w:rPr>
                <w:rFonts w:eastAsiaTheme="minorEastAsia"/>
              </w:rPr>
            </w:pPr>
            <w:r w:rsidRPr="00EA3B97">
              <w:rPr>
                <w:rFonts w:eastAsiaTheme="minorEastAsia"/>
              </w:rPr>
              <w:t>1</w:t>
            </w:r>
          </w:p>
        </w:tc>
        <w:tc>
          <w:tcPr>
            <w:tcW w:w="269" w:type="pct"/>
            <w:tcBorders>
              <w:top w:val="single" w:sz="4" w:space="0" w:color="auto"/>
              <w:left w:val="single" w:sz="4" w:space="0" w:color="auto"/>
              <w:bottom w:val="single" w:sz="4" w:space="0" w:color="auto"/>
              <w:right w:val="single" w:sz="4" w:space="0" w:color="auto"/>
            </w:tcBorders>
          </w:tcPr>
          <w:p w14:paraId="6227575D"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1A4F854C"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77B96768"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1EC106D5" w14:textId="77777777" w:rsidR="003A71DE" w:rsidRPr="00EA3B97" w:rsidRDefault="003A71DE" w:rsidP="007835E8">
            <w:pPr>
              <w:pStyle w:val="TAC"/>
              <w:rPr>
                <w:rFonts w:eastAsiaTheme="minorEastAsia"/>
              </w:rPr>
            </w:pPr>
          </w:p>
        </w:tc>
      </w:tr>
      <w:tr w:rsidR="003A71DE" w:rsidRPr="00EA3B97" w14:paraId="4564DBD0"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3A938214" w14:textId="77777777" w:rsidR="003A71DE" w:rsidRPr="00EA3B97" w:rsidRDefault="003A71DE" w:rsidP="007835E8">
            <w:pPr>
              <w:pStyle w:val="TAL"/>
              <w:rPr>
                <w:rFonts w:eastAsiaTheme="minorEastAsia"/>
                <w:lang w:eastAsia="zh-CN"/>
              </w:rPr>
            </w:pPr>
            <w:r w:rsidRPr="00EA3B97">
              <w:rPr>
                <w:rFonts w:eastAsiaTheme="minorEastAsia"/>
                <w:lang w:eastAsia="zh-CN"/>
              </w:rPr>
              <w:t>monitoringSlotPeriodicityAndOffset</w:t>
            </w:r>
          </w:p>
        </w:tc>
        <w:tc>
          <w:tcPr>
            <w:tcW w:w="509" w:type="pct"/>
            <w:tcBorders>
              <w:top w:val="single" w:sz="4" w:space="0" w:color="auto"/>
              <w:left w:val="single" w:sz="4" w:space="0" w:color="auto"/>
              <w:bottom w:val="single" w:sz="4" w:space="0" w:color="auto"/>
              <w:right w:val="single" w:sz="4" w:space="0" w:color="auto"/>
            </w:tcBorders>
          </w:tcPr>
          <w:p w14:paraId="47F1FA3A"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29196F6B" w14:textId="77777777" w:rsidR="003A71DE" w:rsidRPr="00EA3B97" w:rsidRDefault="003A71DE" w:rsidP="007835E8">
            <w:pPr>
              <w:pStyle w:val="TAC"/>
              <w:rPr>
                <w:rFonts w:eastAsiaTheme="minorEastAsia"/>
                <w:lang w:eastAsia="zh-CN"/>
              </w:rPr>
            </w:pPr>
            <w:r w:rsidRPr="00EA3B97">
              <w:rPr>
                <w:rFonts w:eastAsiaTheme="minorEastAsia"/>
                <w:lang w:eastAsia="zh-CN"/>
              </w:rPr>
              <w:t>sl160</w:t>
            </w:r>
          </w:p>
          <w:p w14:paraId="4FD4285F" w14:textId="77777777" w:rsidR="003A71DE" w:rsidRPr="00EA3B97" w:rsidRDefault="003A71DE" w:rsidP="007835E8">
            <w:pPr>
              <w:pStyle w:val="TAC"/>
              <w:rPr>
                <w:rFonts w:eastAsiaTheme="minorEastAsia"/>
                <w:lang w:eastAsia="zh-CN"/>
              </w:rPr>
            </w:pPr>
            <w:r w:rsidRPr="00EA3B97">
              <w:rPr>
                <w:rFonts w:eastAsiaTheme="minorEastAsia"/>
                <w:lang w:eastAsia="zh-CN"/>
              </w:rPr>
              <w:t>0</w:t>
            </w:r>
          </w:p>
        </w:tc>
        <w:tc>
          <w:tcPr>
            <w:tcW w:w="575" w:type="pct"/>
            <w:tcBorders>
              <w:top w:val="single" w:sz="4" w:space="0" w:color="auto"/>
              <w:left w:val="single" w:sz="4" w:space="0" w:color="auto"/>
              <w:bottom w:val="single" w:sz="4" w:space="0" w:color="auto"/>
              <w:right w:val="single" w:sz="4" w:space="0" w:color="auto"/>
            </w:tcBorders>
            <w:hideMark/>
          </w:tcPr>
          <w:p w14:paraId="191DAFD0" w14:textId="77777777" w:rsidR="003A71DE" w:rsidRPr="00EA3B97" w:rsidRDefault="003A71DE" w:rsidP="007835E8">
            <w:pPr>
              <w:pStyle w:val="TAC"/>
              <w:rPr>
                <w:rFonts w:eastAsiaTheme="minorEastAsia"/>
                <w:lang w:eastAsia="zh-CN"/>
              </w:rPr>
            </w:pPr>
            <w:r w:rsidRPr="00EA3B97">
              <w:rPr>
                <w:rFonts w:eastAsiaTheme="minorEastAsia"/>
                <w:lang w:eastAsia="zh-CN"/>
              </w:rPr>
              <w:t>sl160</w:t>
            </w:r>
          </w:p>
          <w:p w14:paraId="22EE763C" w14:textId="77777777" w:rsidR="003A71DE" w:rsidRPr="00EA3B97" w:rsidRDefault="003A71DE" w:rsidP="007835E8">
            <w:pPr>
              <w:pStyle w:val="TAC"/>
              <w:rPr>
                <w:rFonts w:eastAsiaTheme="minorEastAsia"/>
                <w:lang w:eastAsia="zh-CN"/>
              </w:rPr>
            </w:pPr>
            <w:r w:rsidRPr="00EA3B97">
              <w:rPr>
                <w:rFonts w:eastAsiaTheme="minorEastAsia"/>
                <w:lang w:eastAsia="zh-CN"/>
              </w:rPr>
              <w:t>0</w:t>
            </w:r>
          </w:p>
        </w:tc>
        <w:tc>
          <w:tcPr>
            <w:tcW w:w="575" w:type="pct"/>
            <w:tcBorders>
              <w:top w:val="single" w:sz="4" w:space="0" w:color="auto"/>
              <w:left w:val="single" w:sz="4" w:space="0" w:color="auto"/>
              <w:bottom w:val="single" w:sz="4" w:space="0" w:color="auto"/>
              <w:right w:val="single" w:sz="4" w:space="0" w:color="auto"/>
            </w:tcBorders>
          </w:tcPr>
          <w:p w14:paraId="313AB410" w14:textId="77777777" w:rsidR="003A71DE" w:rsidRPr="00EA3B97" w:rsidRDefault="003A71DE" w:rsidP="007835E8">
            <w:pPr>
              <w:pStyle w:val="TAC"/>
              <w:rPr>
                <w:rFonts w:eastAsiaTheme="minorEastAsia"/>
                <w:lang w:eastAsia="zh-CN"/>
              </w:rPr>
            </w:pPr>
            <w:r w:rsidRPr="00EA3B97">
              <w:rPr>
                <w:rFonts w:eastAsiaTheme="minorEastAsia"/>
                <w:lang w:eastAsia="zh-CN"/>
              </w:rPr>
              <w:t>sl160</w:t>
            </w:r>
          </w:p>
          <w:p w14:paraId="341AA29B" w14:textId="77777777" w:rsidR="003A71DE" w:rsidRPr="00EA3B97" w:rsidRDefault="003A71DE" w:rsidP="007835E8">
            <w:pPr>
              <w:pStyle w:val="TAC"/>
              <w:rPr>
                <w:rFonts w:eastAsiaTheme="minorEastAsia"/>
              </w:rPr>
            </w:pPr>
            <w:r w:rsidRPr="00EA3B97">
              <w:rPr>
                <w:rFonts w:eastAsiaTheme="minorEastAsia"/>
                <w:lang w:eastAsia="zh-CN"/>
              </w:rPr>
              <w:t>80</w:t>
            </w:r>
          </w:p>
        </w:tc>
        <w:tc>
          <w:tcPr>
            <w:tcW w:w="269" w:type="pct"/>
            <w:tcBorders>
              <w:top w:val="single" w:sz="4" w:space="0" w:color="auto"/>
              <w:left w:val="single" w:sz="4" w:space="0" w:color="auto"/>
              <w:bottom w:val="single" w:sz="4" w:space="0" w:color="auto"/>
              <w:right w:val="single" w:sz="4" w:space="0" w:color="auto"/>
            </w:tcBorders>
          </w:tcPr>
          <w:p w14:paraId="7CDCD126"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3E508B87"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33058319"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758333BD" w14:textId="77777777" w:rsidR="003A71DE" w:rsidRPr="00EA3B97" w:rsidRDefault="003A71DE" w:rsidP="007835E8">
            <w:pPr>
              <w:pStyle w:val="TAC"/>
              <w:rPr>
                <w:rFonts w:eastAsiaTheme="minorEastAsia"/>
              </w:rPr>
            </w:pPr>
          </w:p>
        </w:tc>
      </w:tr>
      <w:tr w:rsidR="003A71DE" w:rsidRPr="00EA3B97" w14:paraId="113A8211"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495181AB" w14:textId="77777777" w:rsidR="003A71DE" w:rsidRPr="00EA3B97" w:rsidRDefault="003A71DE" w:rsidP="007835E8">
            <w:pPr>
              <w:pStyle w:val="TAL"/>
              <w:rPr>
                <w:rFonts w:eastAsiaTheme="minorEastAsia"/>
                <w:lang w:eastAsia="zh-CN"/>
              </w:rPr>
            </w:pPr>
            <w:r w:rsidRPr="00EA3B97">
              <w:rPr>
                <w:rFonts w:eastAsiaTheme="minorEastAsia"/>
                <w:lang w:eastAsia="zh-CN"/>
              </w:rPr>
              <w:t>monitoringSymbolsWithinSlot</w:t>
            </w:r>
          </w:p>
        </w:tc>
        <w:tc>
          <w:tcPr>
            <w:tcW w:w="509" w:type="pct"/>
            <w:tcBorders>
              <w:top w:val="single" w:sz="4" w:space="0" w:color="auto"/>
              <w:left w:val="single" w:sz="4" w:space="0" w:color="auto"/>
              <w:bottom w:val="single" w:sz="4" w:space="0" w:color="auto"/>
              <w:right w:val="single" w:sz="4" w:space="0" w:color="auto"/>
            </w:tcBorders>
          </w:tcPr>
          <w:p w14:paraId="56E8656C"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2C87B415" w14:textId="77777777" w:rsidR="003A71DE" w:rsidRPr="00EA3B97" w:rsidRDefault="003A71DE" w:rsidP="007835E8">
            <w:pPr>
              <w:pStyle w:val="TAC"/>
              <w:rPr>
                <w:rFonts w:eastAsiaTheme="minorEastAsia"/>
                <w:lang w:eastAsia="zh-CN"/>
              </w:rPr>
            </w:pPr>
            <w:r w:rsidRPr="00EA3B97">
              <w:rPr>
                <w:rFonts w:eastAsiaTheme="minorEastAsia"/>
                <w:lang w:eastAsia="zh-CN"/>
              </w:rPr>
              <w:t>1100000</w:t>
            </w:r>
          </w:p>
          <w:p w14:paraId="6D1446EB" w14:textId="77777777" w:rsidR="003A71DE" w:rsidRPr="00EA3B97" w:rsidRDefault="003A71DE" w:rsidP="007835E8">
            <w:pPr>
              <w:pStyle w:val="TAC"/>
              <w:rPr>
                <w:rFonts w:eastAsiaTheme="minorEastAsia"/>
                <w:lang w:eastAsia="zh-CN"/>
              </w:rPr>
            </w:pPr>
            <w:r w:rsidRPr="00EA3B97">
              <w:rPr>
                <w:rFonts w:eastAsiaTheme="minorEastAsia"/>
                <w:lang w:eastAsia="zh-CN"/>
              </w:rPr>
              <w:t>0000000</w:t>
            </w:r>
          </w:p>
        </w:tc>
        <w:tc>
          <w:tcPr>
            <w:tcW w:w="575" w:type="pct"/>
            <w:tcBorders>
              <w:top w:val="single" w:sz="4" w:space="0" w:color="auto"/>
              <w:left w:val="single" w:sz="4" w:space="0" w:color="auto"/>
              <w:bottom w:val="single" w:sz="4" w:space="0" w:color="auto"/>
              <w:right w:val="single" w:sz="4" w:space="0" w:color="auto"/>
            </w:tcBorders>
            <w:hideMark/>
          </w:tcPr>
          <w:p w14:paraId="3DF1958A" w14:textId="77777777" w:rsidR="003A71DE" w:rsidRPr="00EA3B97" w:rsidRDefault="003A71DE" w:rsidP="007835E8">
            <w:pPr>
              <w:pStyle w:val="TAC"/>
              <w:rPr>
                <w:rFonts w:eastAsiaTheme="minorEastAsia"/>
                <w:lang w:eastAsia="zh-CN"/>
              </w:rPr>
            </w:pPr>
            <w:r w:rsidRPr="00EA3B97">
              <w:rPr>
                <w:rFonts w:eastAsiaTheme="minorEastAsia"/>
                <w:lang w:eastAsia="zh-CN"/>
              </w:rPr>
              <w:t>0011000</w:t>
            </w:r>
          </w:p>
          <w:p w14:paraId="7802A5D2" w14:textId="77777777" w:rsidR="003A71DE" w:rsidRPr="00EA3B97" w:rsidRDefault="003A71DE" w:rsidP="007835E8">
            <w:pPr>
              <w:pStyle w:val="TAC"/>
              <w:rPr>
                <w:rFonts w:eastAsiaTheme="minorEastAsia"/>
                <w:lang w:eastAsia="zh-CN"/>
              </w:rPr>
            </w:pPr>
            <w:r w:rsidRPr="00EA3B97">
              <w:rPr>
                <w:rFonts w:eastAsiaTheme="minorEastAsia"/>
                <w:lang w:eastAsia="zh-CN"/>
              </w:rPr>
              <w:t>0000000</w:t>
            </w:r>
          </w:p>
        </w:tc>
        <w:tc>
          <w:tcPr>
            <w:tcW w:w="575" w:type="pct"/>
            <w:tcBorders>
              <w:top w:val="single" w:sz="4" w:space="0" w:color="auto"/>
              <w:left w:val="single" w:sz="4" w:space="0" w:color="auto"/>
              <w:bottom w:val="single" w:sz="4" w:space="0" w:color="auto"/>
              <w:right w:val="single" w:sz="4" w:space="0" w:color="auto"/>
            </w:tcBorders>
          </w:tcPr>
          <w:p w14:paraId="18A06F90" w14:textId="77777777" w:rsidR="003A71DE" w:rsidRPr="00EA3B97" w:rsidRDefault="003A71DE" w:rsidP="007835E8">
            <w:pPr>
              <w:pStyle w:val="TAC"/>
              <w:rPr>
                <w:rFonts w:eastAsiaTheme="minorEastAsia"/>
                <w:lang w:eastAsia="zh-CN"/>
              </w:rPr>
            </w:pPr>
            <w:r w:rsidRPr="00EA3B97">
              <w:rPr>
                <w:rFonts w:eastAsiaTheme="minorEastAsia"/>
                <w:lang w:eastAsia="zh-CN"/>
              </w:rPr>
              <w:t>1100000</w:t>
            </w:r>
          </w:p>
          <w:p w14:paraId="5DE4ADF8" w14:textId="77777777" w:rsidR="003A71DE" w:rsidRPr="00EA3B97" w:rsidRDefault="003A71DE" w:rsidP="007835E8">
            <w:pPr>
              <w:pStyle w:val="TAC"/>
              <w:rPr>
                <w:rFonts w:eastAsiaTheme="minorEastAsia"/>
              </w:rPr>
            </w:pPr>
            <w:r w:rsidRPr="00EA3B97">
              <w:rPr>
                <w:rFonts w:eastAsiaTheme="minorEastAsia"/>
                <w:lang w:eastAsia="zh-CN"/>
              </w:rPr>
              <w:t>0000000</w:t>
            </w:r>
          </w:p>
        </w:tc>
        <w:tc>
          <w:tcPr>
            <w:tcW w:w="269" w:type="pct"/>
            <w:tcBorders>
              <w:top w:val="single" w:sz="4" w:space="0" w:color="auto"/>
              <w:left w:val="single" w:sz="4" w:space="0" w:color="auto"/>
              <w:bottom w:val="single" w:sz="4" w:space="0" w:color="auto"/>
              <w:right w:val="single" w:sz="4" w:space="0" w:color="auto"/>
            </w:tcBorders>
          </w:tcPr>
          <w:p w14:paraId="28F2E7F3"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09B91B7D"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1D604575"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11555214" w14:textId="77777777" w:rsidR="003A71DE" w:rsidRPr="00EA3B97" w:rsidRDefault="003A71DE" w:rsidP="007835E8">
            <w:pPr>
              <w:pStyle w:val="TAC"/>
              <w:rPr>
                <w:rFonts w:eastAsiaTheme="minorEastAsia"/>
              </w:rPr>
            </w:pPr>
          </w:p>
        </w:tc>
      </w:tr>
      <w:tr w:rsidR="003A71DE" w:rsidRPr="00EA3B97" w14:paraId="2A3A1588"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hideMark/>
          </w:tcPr>
          <w:p w14:paraId="0C9C6D84" w14:textId="77777777" w:rsidR="003A71DE" w:rsidRPr="00EA3B97" w:rsidRDefault="003A71DE" w:rsidP="007835E8">
            <w:pPr>
              <w:pStyle w:val="TAL"/>
              <w:rPr>
                <w:rFonts w:eastAsiaTheme="minorEastAsia"/>
              </w:rPr>
            </w:pPr>
            <w:r w:rsidRPr="00EA3B97">
              <w:rPr>
                <w:rFonts w:eastAsiaTheme="minorEastAsia"/>
              </w:rPr>
              <w:t>Duration of CORESET</w:t>
            </w:r>
          </w:p>
        </w:tc>
        <w:tc>
          <w:tcPr>
            <w:tcW w:w="509" w:type="pct"/>
            <w:tcBorders>
              <w:top w:val="single" w:sz="4" w:space="0" w:color="auto"/>
              <w:left w:val="single" w:sz="4" w:space="0" w:color="auto"/>
              <w:bottom w:val="single" w:sz="4" w:space="0" w:color="auto"/>
              <w:right w:val="single" w:sz="4" w:space="0" w:color="auto"/>
            </w:tcBorders>
            <w:hideMark/>
          </w:tcPr>
          <w:p w14:paraId="6822224A" w14:textId="77777777" w:rsidR="003A71DE" w:rsidRPr="00EA3B97" w:rsidRDefault="003A71DE" w:rsidP="007835E8">
            <w:pPr>
              <w:pStyle w:val="TAC"/>
              <w:rPr>
                <w:rFonts w:eastAsiaTheme="minorEastAsia"/>
              </w:rPr>
            </w:pPr>
            <w:r w:rsidRPr="00EA3B97">
              <w:rPr>
                <w:rFonts w:eastAsiaTheme="minorEastAsia"/>
              </w:rPr>
              <w:t>slot</w:t>
            </w:r>
          </w:p>
        </w:tc>
        <w:tc>
          <w:tcPr>
            <w:tcW w:w="575" w:type="pct"/>
            <w:tcBorders>
              <w:top w:val="single" w:sz="4" w:space="0" w:color="auto"/>
              <w:left w:val="single" w:sz="4" w:space="0" w:color="auto"/>
              <w:bottom w:val="single" w:sz="4" w:space="0" w:color="auto"/>
              <w:right w:val="single" w:sz="4" w:space="0" w:color="auto"/>
            </w:tcBorders>
            <w:hideMark/>
          </w:tcPr>
          <w:p w14:paraId="008A59B6" w14:textId="77777777" w:rsidR="003A71DE" w:rsidRPr="00EA3B97" w:rsidRDefault="003A71DE" w:rsidP="007835E8">
            <w:pPr>
              <w:pStyle w:val="TAC"/>
              <w:rPr>
                <w:rFonts w:eastAsiaTheme="minorEastAsia"/>
              </w:rPr>
            </w:pPr>
            <w:r w:rsidRPr="00EA3B97">
              <w:rPr>
                <w:rFonts w:eastAsiaTheme="minorEastAsia"/>
              </w:rPr>
              <w:t>1</w:t>
            </w:r>
          </w:p>
        </w:tc>
        <w:tc>
          <w:tcPr>
            <w:tcW w:w="575" w:type="pct"/>
            <w:tcBorders>
              <w:top w:val="single" w:sz="4" w:space="0" w:color="auto"/>
              <w:left w:val="single" w:sz="4" w:space="0" w:color="auto"/>
              <w:bottom w:val="single" w:sz="4" w:space="0" w:color="auto"/>
              <w:right w:val="single" w:sz="4" w:space="0" w:color="auto"/>
            </w:tcBorders>
            <w:hideMark/>
          </w:tcPr>
          <w:p w14:paraId="56A05303" w14:textId="77777777" w:rsidR="003A71DE" w:rsidRPr="00EA3B97" w:rsidRDefault="003A71DE" w:rsidP="007835E8">
            <w:pPr>
              <w:pStyle w:val="TAC"/>
              <w:rPr>
                <w:rFonts w:eastAsiaTheme="minorEastAsia"/>
                <w:lang w:eastAsia="zh-CN"/>
              </w:rPr>
            </w:pPr>
            <w:r w:rsidRPr="00EA3B97">
              <w:rPr>
                <w:rFonts w:eastAsiaTheme="minorEastAsia"/>
                <w:lang w:eastAsia="zh-CN"/>
              </w:rPr>
              <w:t>1</w:t>
            </w:r>
          </w:p>
        </w:tc>
        <w:tc>
          <w:tcPr>
            <w:tcW w:w="575" w:type="pct"/>
            <w:tcBorders>
              <w:top w:val="single" w:sz="4" w:space="0" w:color="auto"/>
              <w:left w:val="single" w:sz="4" w:space="0" w:color="auto"/>
              <w:bottom w:val="single" w:sz="4" w:space="0" w:color="auto"/>
              <w:right w:val="single" w:sz="4" w:space="0" w:color="auto"/>
            </w:tcBorders>
          </w:tcPr>
          <w:p w14:paraId="5F9D8743" w14:textId="77777777" w:rsidR="003A71DE" w:rsidRPr="00EA3B97" w:rsidRDefault="003A71DE" w:rsidP="007835E8">
            <w:pPr>
              <w:pStyle w:val="TAC"/>
              <w:rPr>
                <w:rFonts w:eastAsiaTheme="minorEastAsia"/>
              </w:rPr>
            </w:pPr>
            <w:r w:rsidRPr="00EA3B97">
              <w:rPr>
                <w:rFonts w:eastAsiaTheme="minorEastAsia"/>
              </w:rPr>
              <w:t>1</w:t>
            </w:r>
          </w:p>
        </w:tc>
        <w:tc>
          <w:tcPr>
            <w:tcW w:w="269" w:type="pct"/>
            <w:tcBorders>
              <w:top w:val="single" w:sz="4" w:space="0" w:color="auto"/>
              <w:left w:val="single" w:sz="4" w:space="0" w:color="auto"/>
              <w:bottom w:val="single" w:sz="4" w:space="0" w:color="auto"/>
              <w:right w:val="single" w:sz="4" w:space="0" w:color="auto"/>
            </w:tcBorders>
          </w:tcPr>
          <w:p w14:paraId="395AED3B"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704BCCBE"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26FA8CD6"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74F9B24C" w14:textId="77777777" w:rsidR="003A71DE" w:rsidRPr="00EA3B97" w:rsidRDefault="003A71DE" w:rsidP="007835E8">
            <w:pPr>
              <w:pStyle w:val="TAC"/>
              <w:rPr>
                <w:rFonts w:eastAsiaTheme="minorEastAsia"/>
              </w:rPr>
            </w:pPr>
          </w:p>
        </w:tc>
      </w:tr>
      <w:tr w:rsidR="003A71DE" w:rsidRPr="00EA3B97" w14:paraId="2F4ED808"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1158C911" w14:textId="77777777" w:rsidR="003A71DE" w:rsidRPr="00EA3B97" w:rsidRDefault="003A71DE" w:rsidP="007835E8">
            <w:pPr>
              <w:pStyle w:val="TAL"/>
              <w:rPr>
                <w:rFonts w:eastAsiaTheme="minorEastAsia"/>
              </w:rPr>
            </w:pPr>
            <w:r w:rsidRPr="00EA3B97">
              <w:rPr>
                <w:rFonts w:eastAsiaTheme="minorEastAsia"/>
              </w:rPr>
              <w:t>REG bundle size</w:t>
            </w:r>
          </w:p>
        </w:tc>
        <w:tc>
          <w:tcPr>
            <w:tcW w:w="509" w:type="pct"/>
            <w:tcBorders>
              <w:top w:val="single" w:sz="4" w:space="0" w:color="auto"/>
              <w:left w:val="single" w:sz="4" w:space="0" w:color="auto"/>
              <w:bottom w:val="single" w:sz="4" w:space="0" w:color="auto"/>
              <w:right w:val="single" w:sz="4" w:space="0" w:color="auto"/>
            </w:tcBorders>
          </w:tcPr>
          <w:p w14:paraId="16264FAB"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6CB1954"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575" w:type="pct"/>
            <w:tcBorders>
              <w:top w:val="single" w:sz="4" w:space="0" w:color="auto"/>
              <w:left w:val="single" w:sz="4" w:space="0" w:color="auto"/>
              <w:bottom w:val="single" w:sz="4" w:space="0" w:color="auto"/>
              <w:right w:val="single" w:sz="4" w:space="0" w:color="auto"/>
            </w:tcBorders>
            <w:hideMark/>
          </w:tcPr>
          <w:p w14:paraId="48978CEC" w14:textId="77777777" w:rsidR="003A71DE" w:rsidRPr="00EA3B97" w:rsidRDefault="003A71DE" w:rsidP="007835E8">
            <w:pPr>
              <w:pStyle w:val="TAC"/>
              <w:rPr>
                <w:rFonts w:eastAsiaTheme="minorEastAsia"/>
                <w:lang w:eastAsia="zh-CN"/>
              </w:rPr>
            </w:pPr>
            <w:r w:rsidRPr="00EA3B97">
              <w:rPr>
                <w:rFonts w:eastAsiaTheme="minorEastAsia"/>
                <w:lang w:eastAsia="zh-CN"/>
              </w:rPr>
              <w:t>6</w:t>
            </w:r>
          </w:p>
        </w:tc>
        <w:tc>
          <w:tcPr>
            <w:tcW w:w="575" w:type="pct"/>
            <w:tcBorders>
              <w:top w:val="single" w:sz="4" w:space="0" w:color="auto"/>
              <w:left w:val="single" w:sz="4" w:space="0" w:color="auto"/>
              <w:bottom w:val="single" w:sz="4" w:space="0" w:color="auto"/>
              <w:right w:val="single" w:sz="4" w:space="0" w:color="auto"/>
            </w:tcBorders>
          </w:tcPr>
          <w:p w14:paraId="790618AA" w14:textId="77777777" w:rsidR="003A71DE" w:rsidRPr="00EA3B97" w:rsidRDefault="003A71DE" w:rsidP="007835E8">
            <w:pPr>
              <w:pStyle w:val="TAC"/>
              <w:rPr>
                <w:rFonts w:eastAsiaTheme="minorEastAsia"/>
              </w:rPr>
            </w:pPr>
            <w:r w:rsidRPr="00EA3B97">
              <w:rPr>
                <w:rFonts w:eastAsiaTheme="minorEastAsia"/>
                <w:lang w:eastAsia="zh-CN"/>
              </w:rPr>
              <w:t>6</w:t>
            </w:r>
          </w:p>
        </w:tc>
        <w:tc>
          <w:tcPr>
            <w:tcW w:w="269" w:type="pct"/>
            <w:tcBorders>
              <w:top w:val="single" w:sz="4" w:space="0" w:color="auto"/>
              <w:left w:val="single" w:sz="4" w:space="0" w:color="auto"/>
              <w:bottom w:val="single" w:sz="4" w:space="0" w:color="auto"/>
              <w:right w:val="single" w:sz="4" w:space="0" w:color="auto"/>
            </w:tcBorders>
          </w:tcPr>
          <w:p w14:paraId="79ED3747"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1C6E9302"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590A8313"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03535775" w14:textId="77777777" w:rsidR="003A71DE" w:rsidRPr="00EA3B97" w:rsidRDefault="003A71DE" w:rsidP="007835E8">
            <w:pPr>
              <w:pStyle w:val="TAC"/>
              <w:rPr>
                <w:rFonts w:eastAsiaTheme="minorEastAsia"/>
              </w:rPr>
            </w:pPr>
          </w:p>
        </w:tc>
      </w:tr>
      <w:tr w:rsidR="003A71DE" w:rsidRPr="00EA3B97" w14:paraId="21C9EAD9"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7EC26B0B" w14:textId="77777777" w:rsidR="003A71DE" w:rsidRPr="00EA3B97" w:rsidRDefault="003A71DE" w:rsidP="007835E8">
            <w:pPr>
              <w:pStyle w:val="TAL"/>
              <w:rPr>
                <w:rFonts w:eastAsiaTheme="minorEastAsia"/>
              </w:rPr>
            </w:pPr>
            <w:r w:rsidRPr="00EA3B97">
              <w:rPr>
                <w:rFonts w:eastAsiaTheme="minorEastAsia"/>
              </w:rPr>
              <w:t>DMRS precoder granularity</w:t>
            </w:r>
          </w:p>
        </w:tc>
        <w:tc>
          <w:tcPr>
            <w:tcW w:w="509" w:type="pct"/>
            <w:tcBorders>
              <w:top w:val="single" w:sz="4" w:space="0" w:color="auto"/>
              <w:left w:val="single" w:sz="4" w:space="0" w:color="auto"/>
              <w:bottom w:val="single" w:sz="4" w:space="0" w:color="auto"/>
              <w:right w:val="single" w:sz="4" w:space="0" w:color="auto"/>
            </w:tcBorders>
          </w:tcPr>
          <w:p w14:paraId="0391886D"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012B61CB" w14:textId="77777777" w:rsidR="003A71DE" w:rsidRPr="00EA3B97" w:rsidRDefault="003A71DE" w:rsidP="007835E8">
            <w:pPr>
              <w:pStyle w:val="TAC"/>
              <w:rPr>
                <w:rFonts w:eastAsiaTheme="minorEastAsia"/>
                <w:lang w:eastAsia="zh-CN"/>
              </w:rPr>
            </w:pPr>
            <w:r w:rsidRPr="00EA3B97">
              <w:rPr>
                <w:rFonts w:eastAsiaTheme="minorEastAsia"/>
                <w:lang w:eastAsia="zh-CN"/>
              </w:rPr>
              <w:t>Same as REG bundle size</w:t>
            </w:r>
          </w:p>
        </w:tc>
        <w:tc>
          <w:tcPr>
            <w:tcW w:w="575" w:type="pct"/>
            <w:tcBorders>
              <w:top w:val="single" w:sz="4" w:space="0" w:color="auto"/>
              <w:left w:val="single" w:sz="4" w:space="0" w:color="auto"/>
              <w:bottom w:val="single" w:sz="4" w:space="0" w:color="auto"/>
              <w:right w:val="single" w:sz="4" w:space="0" w:color="auto"/>
            </w:tcBorders>
            <w:hideMark/>
          </w:tcPr>
          <w:p w14:paraId="785351F4" w14:textId="77777777" w:rsidR="003A71DE" w:rsidRPr="00EA3B97" w:rsidRDefault="003A71DE" w:rsidP="007835E8">
            <w:pPr>
              <w:pStyle w:val="TAC"/>
              <w:rPr>
                <w:rFonts w:eastAsiaTheme="minorEastAsia"/>
                <w:lang w:eastAsia="zh-CN"/>
              </w:rPr>
            </w:pPr>
            <w:r w:rsidRPr="00EA3B97">
              <w:rPr>
                <w:rFonts w:eastAsiaTheme="minorEastAsia"/>
                <w:lang w:eastAsia="zh-CN"/>
              </w:rPr>
              <w:t>Same as REG bundle size</w:t>
            </w:r>
          </w:p>
        </w:tc>
        <w:tc>
          <w:tcPr>
            <w:tcW w:w="575" w:type="pct"/>
            <w:tcBorders>
              <w:top w:val="single" w:sz="4" w:space="0" w:color="auto"/>
              <w:left w:val="single" w:sz="4" w:space="0" w:color="auto"/>
              <w:bottom w:val="single" w:sz="4" w:space="0" w:color="auto"/>
              <w:right w:val="single" w:sz="4" w:space="0" w:color="auto"/>
            </w:tcBorders>
          </w:tcPr>
          <w:p w14:paraId="2F7BFA19" w14:textId="77777777" w:rsidR="003A71DE" w:rsidRPr="00EA3B97" w:rsidRDefault="003A71DE" w:rsidP="007835E8">
            <w:pPr>
              <w:pStyle w:val="TAC"/>
              <w:rPr>
                <w:rFonts w:eastAsiaTheme="minorEastAsia"/>
              </w:rPr>
            </w:pPr>
            <w:r w:rsidRPr="00EA3B97">
              <w:rPr>
                <w:rFonts w:eastAsiaTheme="minorEastAsia"/>
                <w:lang w:eastAsia="zh-CN"/>
              </w:rPr>
              <w:t>Same as REG bundle size</w:t>
            </w:r>
          </w:p>
        </w:tc>
        <w:tc>
          <w:tcPr>
            <w:tcW w:w="269" w:type="pct"/>
            <w:tcBorders>
              <w:top w:val="single" w:sz="4" w:space="0" w:color="auto"/>
              <w:left w:val="single" w:sz="4" w:space="0" w:color="auto"/>
              <w:bottom w:val="single" w:sz="4" w:space="0" w:color="auto"/>
              <w:right w:val="single" w:sz="4" w:space="0" w:color="auto"/>
            </w:tcBorders>
          </w:tcPr>
          <w:p w14:paraId="42366B39"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3CBC30E4"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1AAC63BC"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627AF305" w14:textId="77777777" w:rsidR="003A71DE" w:rsidRPr="00EA3B97" w:rsidRDefault="003A71DE" w:rsidP="007835E8">
            <w:pPr>
              <w:pStyle w:val="TAC"/>
              <w:rPr>
                <w:rFonts w:eastAsiaTheme="minorEastAsia"/>
              </w:rPr>
            </w:pPr>
          </w:p>
        </w:tc>
      </w:tr>
      <w:tr w:rsidR="003A71DE" w:rsidRPr="00EA3B97" w14:paraId="62CE7BD2"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5A434D1D" w14:textId="77777777" w:rsidR="003A71DE" w:rsidRPr="00EA3B97" w:rsidRDefault="003A71DE" w:rsidP="007835E8">
            <w:pPr>
              <w:pStyle w:val="TAL"/>
              <w:rPr>
                <w:rFonts w:eastAsiaTheme="minorEastAsia"/>
              </w:rPr>
            </w:pPr>
            <w:r w:rsidRPr="00EA3B97">
              <w:rPr>
                <w:rFonts w:eastAsiaTheme="minorEastAsia"/>
              </w:rPr>
              <w:t>CCE to REG mapping</w:t>
            </w:r>
          </w:p>
        </w:tc>
        <w:tc>
          <w:tcPr>
            <w:tcW w:w="509" w:type="pct"/>
            <w:tcBorders>
              <w:top w:val="single" w:sz="4" w:space="0" w:color="auto"/>
              <w:left w:val="single" w:sz="4" w:space="0" w:color="auto"/>
              <w:bottom w:val="single" w:sz="4" w:space="0" w:color="auto"/>
              <w:right w:val="single" w:sz="4" w:space="0" w:color="auto"/>
            </w:tcBorders>
          </w:tcPr>
          <w:p w14:paraId="62F239E9"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01A47A76" w14:textId="77777777" w:rsidR="003A71DE" w:rsidRPr="00EA3B97" w:rsidRDefault="003A71DE" w:rsidP="007835E8">
            <w:pPr>
              <w:pStyle w:val="TAC"/>
              <w:rPr>
                <w:rFonts w:eastAsiaTheme="minorEastAsia"/>
              </w:rPr>
            </w:pPr>
            <w:r w:rsidRPr="00EA3B97">
              <w:rPr>
                <w:rFonts w:eastAsiaTheme="minorEastAsia"/>
              </w:rPr>
              <w:t>Interleaved</w:t>
            </w:r>
          </w:p>
        </w:tc>
        <w:tc>
          <w:tcPr>
            <w:tcW w:w="575" w:type="pct"/>
            <w:tcBorders>
              <w:top w:val="single" w:sz="4" w:space="0" w:color="auto"/>
              <w:left w:val="single" w:sz="4" w:space="0" w:color="auto"/>
              <w:bottom w:val="single" w:sz="4" w:space="0" w:color="auto"/>
              <w:right w:val="single" w:sz="4" w:space="0" w:color="auto"/>
            </w:tcBorders>
            <w:hideMark/>
          </w:tcPr>
          <w:p w14:paraId="1DFABA0A" w14:textId="77777777" w:rsidR="003A71DE" w:rsidRPr="00EA3B97" w:rsidRDefault="003A71DE" w:rsidP="007835E8">
            <w:pPr>
              <w:pStyle w:val="TAC"/>
              <w:rPr>
                <w:rFonts w:eastAsiaTheme="minorEastAsia"/>
              </w:rPr>
            </w:pPr>
            <w:r w:rsidRPr="00EA3B97">
              <w:rPr>
                <w:rFonts w:eastAsiaTheme="minorEastAsia"/>
              </w:rPr>
              <w:t>Interleaved</w:t>
            </w:r>
          </w:p>
        </w:tc>
        <w:tc>
          <w:tcPr>
            <w:tcW w:w="575" w:type="pct"/>
            <w:tcBorders>
              <w:top w:val="single" w:sz="4" w:space="0" w:color="auto"/>
              <w:left w:val="single" w:sz="4" w:space="0" w:color="auto"/>
              <w:bottom w:val="single" w:sz="4" w:space="0" w:color="auto"/>
              <w:right w:val="single" w:sz="4" w:space="0" w:color="auto"/>
            </w:tcBorders>
          </w:tcPr>
          <w:p w14:paraId="36BFDBD0" w14:textId="77777777" w:rsidR="003A71DE" w:rsidRPr="00EA3B97" w:rsidRDefault="003A71DE" w:rsidP="007835E8">
            <w:pPr>
              <w:pStyle w:val="TAC"/>
              <w:rPr>
                <w:rFonts w:eastAsiaTheme="minorEastAsia"/>
              </w:rPr>
            </w:pPr>
            <w:r w:rsidRPr="00EA3B97">
              <w:rPr>
                <w:rFonts w:eastAsiaTheme="minorEastAsia"/>
              </w:rPr>
              <w:t>Interleaved</w:t>
            </w:r>
          </w:p>
        </w:tc>
        <w:tc>
          <w:tcPr>
            <w:tcW w:w="269" w:type="pct"/>
            <w:tcBorders>
              <w:top w:val="single" w:sz="4" w:space="0" w:color="auto"/>
              <w:left w:val="single" w:sz="4" w:space="0" w:color="auto"/>
              <w:bottom w:val="single" w:sz="4" w:space="0" w:color="auto"/>
              <w:right w:val="single" w:sz="4" w:space="0" w:color="auto"/>
            </w:tcBorders>
          </w:tcPr>
          <w:p w14:paraId="79609928"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09E08CEB"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068AD0BE"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1676B370" w14:textId="77777777" w:rsidR="003A71DE" w:rsidRPr="00EA3B97" w:rsidRDefault="003A71DE" w:rsidP="007835E8">
            <w:pPr>
              <w:pStyle w:val="TAC"/>
              <w:rPr>
                <w:rFonts w:eastAsiaTheme="minorEastAsia"/>
              </w:rPr>
            </w:pPr>
          </w:p>
        </w:tc>
      </w:tr>
      <w:tr w:rsidR="003A71DE" w:rsidRPr="00EA3B97" w14:paraId="1786255F"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2671009B" w14:textId="77777777" w:rsidR="003A71DE" w:rsidRPr="00EA3B97" w:rsidRDefault="003A71DE" w:rsidP="007835E8">
            <w:pPr>
              <w:pStyle w:val="TAL"/>
              <w:rPr>
                <w:rFonts w:eastAsiaTheme="minorEastAsia"/>
              </w:rPr>
            </w:pPr>
            <w:r w:rsidRPr="00EA3B97">
              <w:rPr>
                <w:rFonts w:eastAsiaTheme="minorEastAsia"/>
              </w:rPr>
              <w:t>Interleave n_shift</w:t>
            </w:r>
          </w:p>
        </w:tc>
        <w:tc>
          <w:tcPr>
            <w:tcW w:w="509" w:type="pct"/>
            <w:tcBorders>
              <w:top w:val="single" w:sz="4" w:space="0" w:color="auto"/>
              <w:left w:val="single" w:sz="4" w:space="0" w:color="auto"/>
              <w:bottom w:val="single" w:sz="4" w:space="0" w:color="auto"/>
              <w:right w:val="single" w:sz="4" w:space="0" w:color="auto"/>
            </w:tcBorders>
          </w:tcPr>
          <w:p w14:paraId="58310190"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6B15E78C" w14:textId="77777777" w:rsidR="003A71DE" w:rsidRPr="00EA3B97" w:rsidRDefault="003A71DE" w:rsidP="007835E8">
            <w:pPr>
              <w:pStyle w:val="TAC"/>
              <w:rPr>
                <w:rFonts w:eastAsiaTheme="minorEastAsia"/>
              </w:rPr>
            </w:pPr>
            <w:r w:rsidRPr="00EA3B97">
              <w:rPr>
                <w:rFonts w:eastAsiaTheme="minorEastAsia"/>
              </w:rPr>
              <w:t>0</w:t>
            </w:r>
          </w:p>
        </w:tc>
        <w:tc>
          <w:tcPr>
            <w:tcW w:w="575" w:type="pct"/>
            <w:tcBorders>
              <w:top w:val="single" w:sz="4" w:space="0" w:color="auto"/>
              <w:left w:val="single" w:sz="4" w:space="0" w:color="auto"/>
              <w:bottom w:val="single" w:sz="4" w:space="0" w:color="auto"/>
              <w:right w:val="single" w:sz="4" w:space="0" w:color="auto"/>
            </w:tcBorders>
            <w:hideMark/>
          </w:tcPr>
          <w:p w14:paraId="4260D7D3" w14:textId="77777777" w:rsidR="003A71DE" w:rsidRPr="00EA3B97" w:rsidRDefault="003A71DE" w:rsidP="007835E8">
            <w:pPr>
              <w:pStyle w:val="TAC"/>
              <w:rPr>
                <w:rFonts w:eastAsiaTheme="minorEastAsia"/>
              </w:rPr>
            </w:pPr>
            <w:r w:rsidRPr="00EA3B97">
              <w:rPr>
                <w:rFonts w:eastAsiaTheme="minorEastAsia"/>
              </w:rPr>
              <w:t>0</w:t>
            </w:r>
          </w:p>
        </w:tc>
        <w:tc>
          <w:tcPr>
            <w:tcW w:w="575" w:type="pct"/>
            <w:tcBorders>
              <w:top w:val="single" w:sz="4" w:space="0" w:color="auto"/>
              <w:left w:val="single" w:sz="4" w:space="0" w:color="auto"/>
              <w:bottom w:val="single" w:sz="4" w:space="0" w:color="auto"/>
              <w:right w:val="single" w:sz="4" w:space="0" w:color="auto"/>
            </w:tcBorders>
          </w:tcPr>
          <w:p w14:paraId="18449E22" w14:textId="77777777" w:rsidR="003A71DE" w:rsidRPr="00EA3B97" w:rsidRDefault="003A71DE" w:rsidP="007835E8">
            <w:pPr>
              <w:pStyle w:val="TAC"/>
              <w:rPr>
                <w:rFonts w:eastAsiaTheme="minorEastAsia"/>
              </w:rPr>
            </w:pPr>
            <w:r w:rsidRPr="00EA3B97">
              <w:rPr>
                <w:rFonts w:eastAsiaTheme="minorEastAsia"/>
              </w:rPr>
              <w:t>0</w:t>
            </w:r>
          </w:p>
        </w:tc>
        <w:tc>
          <w:tcPr>
            <w:tcW w:w="269" w:type="pct"/>
            <w:tcBorders>
              <w:top w:val="single" w:sz="4" w:space="0" w:color="auto"/>
              <w:left w:val="single" w:sz="4" w:space="0" w:color="auto"/>
              <w:bottom w:val="single" w:sz="4" w:space="0" w:color="auto"/>
              <w:right w:val="single" w:sz="4" w:space="0" w:color="auto"/>
            </w:tcBorders>
          </w:tcPr>
          <w:p w14:paraId="1B734815"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30A11D47"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2FED09DB"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339FE0F7" w14:textId="77777777" w:rsidR="003A71DE" w:rsidRPr="00EA3B97" w:rsidRDefault="003A71DE" w:rsidP="007835E8">
            <w:pPr>
              <w:pStyle w:val="TAC"/>
              <w:rPr>
                <w:rFonts w:eastAsiaTheme="minorEastAsia"/>
              </w:rPr>
            </w:pPr>
          </w:p>
        </w:tc>
      </w:tr>
      <w:tr w:rsidR="003A71DE" w:rsidRPr="00EA3B97" w14:paraId="660AD4BC"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1054657D" w14:textId="77777777" w:rsidR="003A71DE" w:rsidRPr="00EA3B97" w:rsidRDefault="003A71DE" w:rsidP="007835E8">
            <w:pPr>
              <w:pStyle w:val="TAL"/>
              <w:rPr>
                <w:rFonts w:eastAsiaTheme="minorEastAsia"/>
              </w:rPr>
            </w:pPr>
            <w:r w:rsidRPr="00EA3B97">
              <w:rPr>
                <w:rFonts w:eastAsiaTheme="minorEastAsia"/>
              </w:rPr>
              <w:t>Interleave size</w:t>
            </w:r>
          </w:p>
        </w:tc>
        <w:tc>
          <w:tcPr>
            <w:tcW w:w="509" w:type="pct"/>
            <w:tcBorders>
              <w:top w:val="single" w:sz="4" w:space="0" w:color="auto"/>
              <w:left w:val="single" w:sz="4" w:space="0" w:color="auto"/>
              <w:bottom w:val="single" w:sz="4" w:space="0" w:color="auto"/>
              <w:right w:val="single" w:sz="4" w:space="0" w:color="auto"/>
            </w:tcBorders>
          </w:tcPr>
          <w:p w14:paraId="10C613D3"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19F34DF6" w14:textId="77777777" w:rsidR="003A71DE" w:rsidRPr="00EA3B97" w:rsidRDefault="003A71DE" w:rsidP="007835E8">
            <w:pPr>
              <w:pStyle w:val="TAC"/>
              <w:rPr>
                <w:rFonts w:eastAsiaTheme="minorEastAsia"/>
              </w:rPr>
            </w:pPr>
            <w:r w:rsidRPr="00EA3B97">
              <w:rPr>
                <w:rFonts w:eastAsiaTheme="minorEastAsia"/>
              </w:rPr>
              <w:t>2</w:t>
            </w:r>
          </w:p>
        </w:tc>
        <w:tc>
          <w:tcPr>
            <w:tcW w:w="575" w:type="pct"/>
            <w:tcBorders>
              <w:top w:val="single" w:sz="4" w:space="0" w:color="auto"/>
              <w:left w:val="single" w:sz="4" w:space="0" w:color="auto"/>
              <w:bottom w:val="single" w:sz="4" w:space="0" w:color="auto"/>
              <w:right w:val="single" w:sz="4" w:space="0" w:color="auto"/>
            </w:tcBorders>
            <w:hideMark/>
          </w:tcPr>
          <w:p w14:paraId="260294B6" w14:textId="77777777" w:rsidR="003A71DE" w:rsidRPr="00EA3B97" w:rsidRDefault="003A71DE" w:rsidP="007835E8">
            <w:pPr>
              <w:pStyle w:val="TAC"/>
              <w:rPr>
                <w:rFonts w:eastAsiaTheme="minorEastAsia"/>
              </w:rPr>
            </w:pPr>
            <w:r w:rsidRPr="00EA3B97">
              <w:rPr>
                <w:rFonts w:eastAsiaTheme="minorEastAsia"/>
              </w:rPr>
              <w:t>2</w:t>
            </w:r>
          </w:p>
        </w:tc>
        <w:tc>
          <w:tcPr>
            <w:tcW w:w="575" w:type="pct"/>
            <w:tcBorders>
              <w:top w:val="single" w:sz="4" w:space="0" w:color="auto"/>
              <w:left w:val="single" w:sz="4" w:space="0" w:color="auto"/>
              <w:bottom w:val="single" w:sz="4" w:space="0" w:color="auto"/>
              <w:right w:val="single" w:sz="4" w:space="0" w:color="auto"/>
            </w:tcBorders>
          </w:tcPr>
          <w:p w14:paraId="4C0FC263" w14:textId="77777777" w:rsidR="003A71DE" w:rsidRPr="00EA3B97" w:rsidRDefault="003A71DE" w:rsidP="007835E8">
            <w:pPr>
              <w:pStyle w:val="TAC"/>
              <w:rPr>
                <w:rFonts w:eastAsiaTheme="minorEastAsia"/>
              </w:rPr>
            </w:pPr>
            <w:r w:rsidRPr="00EA3B97">
              <w:rPr>
                <w:rFonts w:eastAsiaTheme="minorEastAsia"/>
              </w:rPr>
              <w:t>2</w:t>
            </w:r>
          </w:p>
        </w:tc>
        <w:tc>
          <w:tcPr>
            <w:tcW w:w="269" w:type="pct"/>
            <w:tcBorders>
              <w:top w:val="single" w:sz="4" w:space="0" w:color="auto"/>
              <w:left w:val="single" w:sz="4" w:space="0" w:color="auto"/>
              <w:bottom w:val="single" w:sz="4" w:space="0" w:color="auto"/>
              <w:right w:val="single" w:sz="4" w:space="0" w:color="auto"/>
            </w:tcBorders>
          </w:tcPr>
          <w:p w14:paraId="13A1399E"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2B2C1A39"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55F6BC8C"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75AC1768" w14:textId="77777777" w:rsidR="003A71DE" w:rsidRPr="00EA3B97" w:rsidRDefault="003A71DE" w:rsidP="007835E8">
            <w:pPr>
              <w:pStyle w:val="TAC"/>
              <w:rPr>
                <w:rFonts w:eastAsiaTheme="minorEastAsia"/>
              </w:rPr>
            </w:pPr>
          </w:p>
        </w:tc>
      </w:tr>
      <w:tr w:rsidR="003A71DE" w:rsidRPr="00EA3B97" w14:paraId="6098DBD4"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48901620" w14:textId="77777777" w:rsidR="003A71DE" w:rsidRPr="00EA3B97" w:rsidRDefault="003A71DE" w:rsidP="007835E8">
            <w:pPr>
              <w:pStyle w:val="TAL"/>
              <w:rPr>
                <w:rFonts w:eastAsiaTheme="minorEastAsia"/>
              </w:rPr>
            </w:pPr>
            <w:r w:rsidRPr="00EA3B97">
              <w:rPr>
                <w:rFonts w:eastAsiaTheme="minorEastAsia"/>
              </w:rPr>
              <w:t>Beamforming Pre-Coder</w:t>
            </w:r>
          </w:p>
        </w:tc>
        <w:tc>
          <w:tcPr>
            <w:tcW w:w="509" w:type="pct"/>
            <w:tcBorders>
              <w:top w:val="single" w:sz="4" w:space="0" w:color="auto"/>
              <w:left w:val="single" w:sz="4" w:space="0" w:color="auto"/>
              <w:bottom w:val="single" w:sz="4" w:space="0" w:color="auto"/>
              <w:right w:val="single" w:sz="4" w:space="0" w:color="auto"/>
            </w:tcBorders>
          </w:tcPr>
          <w:p w14:paraId="5AAD9DB1"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518787DC" w14:textId="77777777" w:rsidR="003A71DE" w:rsidRPr="00EA3B97" w:rsidRDefault="003A71DE" w:rsidP="007835E8">
            <w:pPr>
              <w:pStyle w:val="TAC"/>
              <w:rPr>
                <w:rFonts w:eastAsiaTheme="minorEastAsia"/>
              </w:rPr>
            </w:pPr>
            <w:r w:rsidRPr="00EA3B97">
              <w:rPr>
                <w:rFonts w:eastAsiaTheme="minorEastAsia"/>
              </w:rPr>
              <w:t>N/A</w:t>
            </w:r>
          </w:p>
        </w:tc>
        <w:tc>
          <w:tcPr>
            <w:tcW w:w="575" w:type="pct"/>
            <w:tcBorders>
              <w:top w:val="single" w:sz="4" w:space="0" w:color="auto"/>
              <w:left w:val="single" w:sz="4" w:space="0" w:color="auto"/>
              <w:bottom w:val="single" w:sz="4" w:space="0" w:color="auto"/>
              <w:right w:val="single" w:sz="4" w:space="0" w:color="auto"/>
            </w:tcBorders>
            <w:hideMark/>
          </w:tcPr>
          <w:p w14:paraId="5773E6BA" w14:textId="77777777" w:rsidR="003A71DE" w:rsidRPr="00EA3B97" w:rsidRDefault="003A71DE" w:rsidP="007835E8">
            <w:pPr>
              <w:pStyle w:val="TAC"/>
              <w:rPr>
                <w:rFonts w:eastAsiaTheme="minorEastAsia"/>
              </w:rPr>
            </w:pPr>
            <w:r w:rsidRPr="00EA3B97">
              <w:rPr>
                <w:rFonts w:eastAsiaTheme="minorEastAsia"/>
              </w:rPr>
              <w:t>N/A</w:t>
            </w:r>
          </w:p>
        </w:tc>
        <w:tc>
          <w:tcPr>
            <w:tcW w:w="575" w:type="pct"/>
            <w:tcBorders>
              <w:top w:val="single" w:sz="4" w:space="0" w:color="auto"/>
              <w:left w:val="single" w:sz="4" w:space="0" w:color="auto"/>
              <w:bottom w:val="single" w:sz="4" w:space="0" w:color="auto"/>
              <w:right w:val="single" w:sz="4" w:space="0" w:color="auto"/>
            </w:tcBorders>
          </w:tcPr>
          <w:p w14:paraId="14674550" w14:textId="77777777" w:rsidR="003A71DE" w:rsidRPr="00EA3B97" w:rsidRDefault="003A71DE" w:rsidP="007835E8">
            <w:pPr>
              <w:pStyle w:val="TAC"/>
              <w:rPr>
                <w:rFonts w:eastAsiaTheme="minorEastAsia"/>
              </w:rPr>
            </w:pPr>
            <w:r w:rsidRPr="00EA3B97">
              <w:rPr>
                <w:rFonts w:eastAsiaTheme="minorEastAsia"/>
              </w:rPr>
              <w:t>N/A</w:t>
            </w:r>
          </w:p>
        </w:tc>
        <w:tc>
          <w:tcPr>
            <w:tcW w:w="269" w:type="pct"/>
            <w:tcBorders>
              <w:top w:val="single" w:sz="4" w:space="0" w:color="auto"/>
              <w:left w:val="single" w:sz="4" w:space="0" w:color="auto"/>
              <w:bottom w:val="single" w:sz="4" w:space="0" w:color="auto"/>
              <w:right w:val="single" w:sz="4" w:space="0" w:color="auto"/>
            </w:tcBorders>
          </w:tcPr>
          <w:p w14:paraId="58DADC70"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5F478E60"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572DE2F9"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16694C17" w14:textId="77777777" w:rsidR="003A71DE" w:rsidRPr="00EA3B97" w:rsidRDefault="003A71DE" w:rsidP="007835E8">
            <w:pPr>
              <w:pStyle w:val="TAC"/>
              <w:rPr>
                <w:rFonts w:eastAsiaTheme="minorEastAsia"/>
              </w:rPr>
            </w:pPr>
          </w:p>
        </w:tc>
      </w:tr>
      <w:tr w:rsidR="003A71DE" w:rsidRPr="00EA3B97" w14:paraId="65A00938"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63364D2C" w14:textId="77777777" w:rsidR="003A71DE" w:rsidRPr="00EA3B97" w:rsidRDefault="003A71DE" w:rsidP="007835E8">
            <w:pPr>
              <w:pStyle w:val="TAL"/>
              <w:rPr>
                <w:rFonts w:eastAsiaTheme="minorEastAsia"/>
              </w:rPr>
            </w:pPr>
            <w:r w:rsidRPr="00EA3B97">
              <w:rPr>
                <w:rFonts w:eastAsiaTheme="minorEastAsia"/>
              </w:rPr>
              <w:t>Aggregation level</w:t>
            </w:r>
          </w:p>
        </w:tc>
        <w:tc>
          <w:tcPr>
            <w:tcW w:w="509" w:type="pct"/>
            <w:tcBorders>
              <w:top w:val="single" w:sz="4" w:space="0" w:color="auto"/>
              <w:left w:val="single" w:sz="4" w:space="0" w:color="auto"/>
              <w:bottom w:val="single" w:sz="4" w:space="0" w:color="auto"/>
              <w:right w:val="single" w:sz="4" w:space="0" w:color="auto"/>
            </w:tcBorders>
            <w:hideMark/>
          </w:tcPr>
          <w:p w14:paraId="353B862C" w14:textId="77777777" w:rsidR="003A71DE" w:rsidRPr="00EA3B97" w:rsidRDefault="003A71DE" w:rsidP="007835E8">
            <w:pPr>
              <w:pStyle w:val="TAC"/>
              <w:rPr>
                <w:rFonts w:eastAsiaTheme="minorEastAsia"/>
              </w:rPr>
            </w:pPr>
            <w:r w:rsidRPr="00EA3B97">
              <w:rPr>
                <w:rFonts w:eastAsiaTheme="minorEastAsia"/>
              </w:rPr>
              <w:t>CCE</w:t>
            </w:r>
          </w:p>
        </w:tc>
        <w:tc>
          <w:tcPr>
            <w:tcW w:w="575" w:type="pct"/>
            <w:tcBorders>
              <w:top w:val="single" w:sz="4" w:space="0" w:color="auto"/>
              <w:left w:val="single" w:sz="4" w:space="0" w:color="auto"/>
              <w:bottom w:val="single" w:sz="4" w:space="0" w:color="auto"/>
              <w:right w:val="single" w:sz="4" w:space="0" w:color="auto"/>
            </w:tcBorders>
            <w:hideMark/>
          </w:tcPr>
          <w:p w14:paraId="4797231F" w14:textId="77777777" w:rsidR="003A71DE" w:rsidRPr="00EA3B97" w:rsidRDefault="003A71DE" w:rsidP="007835E8">
            <w:pPr>
              <w:pStyle w:val="TAC"/>
              <w:rPr>
                <w:rFonts w:eastAsiaTheme="minorEastAsia"/>
              </w:rPr>
            </w:pPr>
            <w:r w:rsidRPr="00EA3B97">
              <w:rPr>
                <w:rFonts w:eastAsiaTheme="minorEastAsia"/>
              </w:rPr>
              <w:t>8</w:t>
            </w:r>
          </w:p>
        </w:tc>
        <w:tc>
          <w:tcPr>
            <w:tcW w:w="575" w:type="pct"/>
            <w:tcBorders>
              <w:top w:val="single" w:sz="4" w:space="0" w:color="auto"/>
              <w:left w:val="single" w:sz="4" w:space="0" w:color="auto"/>
              <w:bottom w:val="single" w:sz="4" w:space="0" w:color="auto"/>
              <w:right w:val="single" w:sz="4" w:space="0" w:color="auto"/>
            </w:tcBorders>
            <w:hideMark/>
          </w:tcPr>
          <w:p w14:paraId="0C2B2DA3" w14:textId="77777777" w:rsidR="003A71DE" w:rsidRPr="00EA3B97" w:rsidRDefault="003A71DE" w:rsidP="007835E8">
            <w:pPr>
              <w:pStyle w:val="TAC"/>
              <w:rPr>
                <w:rFonts w:eastAsiaTheme="minorEastAsia"/>
              </w:rPr>
            </w:pPr>
            <w:r w:rsidRPr="00EA3B97">
              <w:rPr>
                <w:rFonts w:eastAsiaTheme="minorEastAsia"/>
              </w:rPr>
              <w:t>8</w:t>
            </w:r>
          </w:p>
        </w:tc>
        <w:tc>
          <w:tcPr>
            <w:tcW w:w="575" w:type="pct"/>
            <w:tcBorders>
              <w:top w:val="single" w:sz="4" w:space="0" w:color="auto"/>
              <w:left w:val="single" w:sz="4" w:space="0" w:color="auto"/>
              <w:bottom w:val="single" w:sz="4" w:space="0" w:color="auto"/>
              <w:right w:val="single" w:sz="4" w:space="0" w:color="auto"/>
            </w:tcBorders>
          </w:tcPr>
          <w:p w14:paraId="6F8283BA" w14:textId="77777777" w:rsidR="003A71DE" w:rsidRPr="00EA3B97" w:rsidRDefault="003A71DE" w:rsidP="007835E8">
            <w:pPr>
              <w:pStyle w:val="TAC"/>
              <w:rPr>
                <w:rFonts w:eastAsiaTheme="minorEastAsia"/>
              </w:rPr>
            </w:pPr>
            <w:r w:rsidRPr="00EA3B97">
              <w:rPr>
                <w:rFonts w:eastAsiaTheme="minorEastAsia"/>
              </w:rPr>
              <w:t>8</w:t>
            </w:r>
          </w:p>
        </w:tc>
        <w:tc>
          <w:tcPr>
            <w:tcW w:w="269" w:type="pct"/>
            <w:tcBorders>
              <w:top w:val="single" w:sz="4" w:space="0" w:color="auto"/>
              <w:left w:val="single" w:sz="4" w:space="0" w:color="auto"/>
              <w:bottom w:val="single" w:sz="4" w:space="0" w:color="auto"/>
              <w:right w:val="single" w:sz="4" w:space="0" w:color="auto"/>
            </w:tcBorders>
          </w:tcPr>
          <w:p w14:paraId="7D047BA4"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30083332"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45A0DF4E"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47A37A85" w14:textId="77777777" w:rsidR="003A71DE" w:rsidRPr="00EA3B97" w:rsidRDefault="003A71DE" w:rsidP="007835E8">
            <w:pPr>
              <w:pStyle w:val="TAC"/>
              <w:rPr>
                <w:rFonts w:eastAsiaTheme="minorEastAsia"/>
              </w:rPr>
            </w:pPr>
          </w:p>
        </w:tc>
      </w:tr>
      <w:tr w:rsidR="003A71DE" w:rsidRPr="00EA3B97" w14:paraId="3F3A16A7"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478E9F6E" w14:textId="77777777" w:rsidR="003A71DE" w:rsidRPr="00EA3B97" w:rsidRDefault="003A71DE" w:rsidP="007835E8">
            <w:pPr>
              <w:pStyle w:val="TAL"/>
              <w:rPr>
                <w:rFonts w:eastAsiaTheme="minorEastAsia"/>
              </w:rPr>
            </w:pPr>
            <w:r w:rsidRPr="00EA3B97">
              <w:rPr>
                <w:rFonts w:eastAsiaTheme="minorEastAsia"/>
              </w:rPr>
              <w:t>DCI formats</w:t>
            </w:r>
          </w:p>
        </w:tc>
        <w:tc>
          <w:tcPr>
            <w:tcW w:w="509" w:type="pct"/>
            <w:tcBorders>
              <w:top w:val="single" w:sz="4" w:space="0" w:color="auto"/>
              <w:left w:val="single" w:sz="4" w:space="0" w:color="auto"/>
              <w:bottom w:val="single" w:sz="4" w:space="0" w:color="auto"/>
              <w:right w:val="single" w:sz="4" w:space="0" w:color="auto"/>
            </w:tcBorders>
          </w:tcPr>
          <w:p w14:paraId="458722FD" w14:textId="77777777" w:rsidR="003A71DE" w:rsidRPr="00EA3B97" w:rsidRDefault="003A71DE" w:rsidP="007835E8">
            <w:pPr>
              <w:pStyle w:val="TAC"/>
              <w:rPr>
                <w:rFonts w:eastAsiaTheme="minorEastAsia"/>
              </w:rPr>
            </w:pPr>
          </w:p>
        </w:tc>
        <w:tc>
          <w:tcPr>
            <w:tcW w:w="575" w:type="pct"/>
            <w:tcBorders>
              <w:top w:val="single" w:sz="4" w:space="0" w:color="auto"/>
              <w:left w:val="single" w:sz="4" w:space="0" w:color="auto"/>
              <w:bottom w:val="single" w:sz="4" w:space="0" w:color="auto"/>
              <w:right w:val="single" w:sz="4" w:space="0" w:color="auto"/>
            </w:tcBorders>
            <w:hideMark/>
          </w:tcPr>
          <w:p w14:paraId="6C56308E" w14:textId="77777777" w:rsidR="003A71DE" w:rsidRPr="00EA3B97" w:rsidRDefault="003A71DE" w:rsidP="007835E8">
            <w:pPr>
              <w:pStyle w:val="TAC"/>
              <w:rPr>
                <w:rFonts w:eastAsiaTheme="minorEastAsia"/>
              </w:rPr>
            </w:pPr>
            <w:r w:rsidRPr="00EA3B97">
              <w:rPr>
                <w:rFonts w:eastAsiaTheme="minorEastAsia"/>
              </w:rPr>
              <w:t xml:space="preserve">Note 1 </w:t>
            </w:r>
          </w:p>
        </w:tc>
        <w:tc>
          <w:tcPr>
            <w:tcW w:w="575" w:type="pct"/>
            <w:tcBorders>
              <w:top w:val="single" w:sz="4" w:space="0" w:color="auto"/>
              <w:left w:val="single" w:sz="4" w:space="0" w:color="auto"/>
              <w:bottom w:val="single" w:sz="4" w:space="0" w:color="auto"/>
              <w:right w:val="single" w:sz="4" w:space="0" w:color="auto"/>
            </w:tcBorders>
            <w:hideMark/>
          </w:tcPr>
          <w:p w14:paraId="41919FF6" w14:textId="77777777" w:rsidR="003A71DE" w:rsidRPr="00EA3B97" w:rsidRDefault="003A71DE" w:rsidP="007835E8">
            <w:pPr>
              <w:pStyle w:val="TAC"/>
              <w:rPr>
                <w:rFonts w:eastAsiaTheme="minorEastAsia"/>
              </w:rPr>
            </w:pPr>
            <w:r w:rsidRPr="00EA3B97">
              <w:rPr>
                <w:rFonts w:eastAsiaTheme="minorEastAsia"/>
              </w:rPr>
              <w:t>Note 1</w:t>
            </w:r>
          </w:p>
        </w:tc>
        <w:tc>
          <w:tcPr>
            <w:tcW w:w="575" w:type="pct"/>
            <w:tcBorders>
              <w:top w:val="single" w:sz="4" w:space="0" w:color="auto"/>
              <w:left w:val="single" w:sz="4" w:space="0" w:color="auto"/>
              <w:bottom w:val="single" w:sz="4" w:space="0" w:color="auto"/>
              <w:right w:val="single" w:sz="4" w:space="0" w:color="auto"/>
            </w:tcBorders>
          </w:tcPr>
          <w:p w14:paraId="0AB27B42" w14:textId="77777777" w:rsidR="003A71DE" w:rsidRPr="00EA3B97" w:rsidRDefault="003A71DE" w:rsidP="007835E8">
            <w:pPr>
              <w:pStyle w:val="TAC"/>
              <w:rPr>
                <w:rFonts w:eastAsiaTheme="minorEastAsia"/>
              </w:rPr>
            </w:pPr>
            <w:r w:rsidRPr="00EA3B97">
              <w:rPr>
                <w:rFonts w:eastAsiaTheme="minorEastAsia"/>
              </w:rPr>
              <w:t xml:space="preserve">Note 1 </w:t>
            </w:r>
          </w:p>
        </w:tc>
        <w:tc>
          <w:tcPr>
            <w:tcW w:w="269" w:type="pct"/>
            <w:tcBorders>
              <w:top w:val="single" w:sz="4" w:space="0" w:color="auto"/>
              <w:left w:val="single" w:sz="4" w:space="0" w:color="auto"/>
              <w:bottom w:val="single" w:sz="4" w:space="0" w:color="auto"/>
              <w:right w:val="single" w:sz="4" w:space="0" w:color="auto"/>
            </w:tcBorders>
          </w:tcPr>
          <w:p w14:paraId="7C2F531D"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3E946BF5"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5EFE698C"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61240E01" w14:textId="77777777" w:rsidR="003A71DE" w:rsidRPr="00EA3B97" w:rsidRDefault="003A71DE" w:rsidP="007835E8">
            <w:pPr>
              <w:pStyle w:val="TAC"/>
              <w:rPr>
                <w:rFonts w:eastAsiaTheme="minorEastAsia"/>
              </w:rPr>
            </w:pPr>
          </w:p>
        </w:tc>
      </w:tr>
      <w:tr w:rsidR="003A71DE" w:rsidRPr="00EA3B97" w14:paraId="349DD834" w14:textId="77777777" w:rsidTr="003A71DE">
        <w:trPr>
          <w:jc w:val="center"/>
        </w:trPr>
        <w:tc>
          <w:tcPr>
            <w:tcW w:w="1565" w:type="pct"/>
            <w:tcBorders>
              <w:top w:val="single" w:sz="4" w:space="0" w:color="auto"/>
              <w:left w:val="single" w:sz="4" w:space="0" w:color="auto"/>
              <w:bottom w:val="single" w:sz="4" w:space="0" w:color="auto"/>
              <w:right w:val="single" w:sz="4" w:space="0" w:color="auto"/>
            </w:tcBorders>
            <w:vAlign w:val="center"/>
            <w:hideMark/>
          </w:tcPr>
          <w:p w14:paraId="3283D9CA" w14:textId="77777777" w:rsidR="003A71DE" w:rsidRPr="00EA3B97" w:rsidRDefault="003A71DE" w:rsidP="007835E8">
            <w:pPr>
              <w:pStyle w:val="TAL"/>
              <w:rPr>
                <w:rFonts w:eastAsiaTheme="minorEastAsia"/>
              </w:rPr>
            </w:pPr>
            <w:r w:rsidRPr="00EA3B97">
              <w:rPr>
                <w:rFonts w:eastAsiaTheme="minorEastAsia"/>
              </w:rPr>
              <w:t>Payload size (without CRC)</w:t>
            </w:r>
          </w:p>
        </w:tc>
        <w:tc>
          <w:tcPr>
            <w:tcW w:w="509" w:type="pct"/>
            <w:tcBorders>
              <w:top w:val="single" w:sz="4" w:space="0" w:color="auto"/>
              <w:left w:val="single" w:sz="4" w:space="0" w:color="auto"/>
              <w:bottom w:val="single" w:sz="4" w:space="0" w:color="auto"/>
              <w:right w:val="single" w:sz="4" w:space="0" w:color="auto"/>
            </w:tcBorders>
            <w:hideMark/>
          </w:tcPr>
          <w:p w14:paraId="0746DB0D" w14:textId="77777777" w:rsidR="003A71DE" w:rsidRPr="00EA3B97" w:rsidRDefault="003A71DE" w:rsidP="007835E8">
            <w:pPr>
              <w:pStyle w:val="TAC"/>
              <w:rPr>
                <w:rFonts w:eastAsiaTheme="minorEastAsia"/>
              </w:rPr>
            </w:pPr>
            <w:r w:rsidRPr="00EA3B97">
              <w:rPr>
                <w:rFonts w:eastAsiaTheme="minorEastAsia"/>
              </w:rPr>
              <w:t>bits</w:t>
            </w:r>
          </w:p>
        </w:tc>
        <w:tc>
          <w:tcPr>
            <w:tcW w:w="575" w:type="pct"/>
            <w:tcBorders>
              <w:top w:val="single" w:sz="4" w:space="0" w:color="auto"/>
              <w:left w:val="single" w:sz="4" w:space="0" w:color="auto"/>
              <w:bottom w:val="single" w:sz="4" w:space="0" w:color="auto"/>
              <w:right w:val="single" w:sz="4" w:space="0" w:color="auto"/>
            </w:tcBorders>
            <w:hideMark/>
          </w:tcPr>
          <w:p w14:paraId="444E2BD5" w14:textId="77777777" w:rsidR="003A71DE" w:rsidRPr="00EA3B97" w:rsidRDefault="003A71DE" w:rsidP="007835E8">
            <w:pPr>
              <w:pStyle w:val="TAC"/>
              <w:rPr>
                <w:rFonts w:eastAsiaTheme="minorEastAsia"/>
              </w:rPr>
            </w:pPr>
            <w:r w:rsidRPr="00EA3B97">
              <w:rPr>
                <w:rFonts w:eastAsiaTheme="minorEastAsia"/>
              </w:rPr>
              <w:t>Note 2</w:t>
            </w:r>
          </w:p>
        </w:tc>
        <w:tc>
          <w:tcPr>
            <w:tcW w:w="575" w:type="pct"/>
            <w:tcBorders>
              <w:top w:val="single" w:sz="4" w:space="0" w:color="auto"/>
              <w:left w:val="single" w:sz="4" w:space="0" w:color="auto"/>
              <w:bottom w:val="single" w:sz="4" w:space="0" w:color="auto"/>
              <w:right w:val="single" w:sz="4" w:space="0" w:color="auto"/>
            </w:tcBorders>
            <w:hideMark/>
          </w:tcPr>
          <w:p w14:paraId="05F4675E" w14:textId="77777777" w:rsidR="003A71DE" w:rsidRPr="00EA3B97" w:rsidRDefault="003A71DE" w:rsidP="007835E8">
            <w:pPr>
              <w:pStyle w:val="TAC"/>
              <w:rPr>
                <w:rFonts w:eastAsiaTheme="minorEastAsia"/>
              </w:rPr>
            </w:pPr>
            <w:r w:rsidRPr="00EA3B97">
              <w:rPr>
                <w:rFonts w:eastAsiaTheme="minorEastAsia"/>
              </w:rPr>
              <w:t>Note 2</w:t>
            </w:r>
          </w:p>
        </w:tc>
        <w:tc>
          <w:tcPr>
            <w:tcW w:w="575" w:type="pct"/>
            <w:tcBorders>
              <w:top w:val="single" w:sz="4" w:space="0" w:color="auto"/>
              <w:left w:val="single" w:sz="4" w:space="0" w:color="auto"/>
              <w:bottom w:val="single" w:sz="4" w:space="0" w:color="auto"/>
              <w:right w:val="single" w:sz="4" w:space="0" w:color="auto"/>
            </w:tcBorders>
          </w:tcPr>
          <w:p w14:paraId="0C2E4496" w14:textId="77777777" w:rsidR="003A71DE" w:rsidRPr="00EA3B97" w:rsidRDefault="003A71DE" w:rsidP="007835E8">
            <w:pPr>
              <w:pStyle w:val="TAC"/>
              <w:rPr>
                <w:rFonts w:eastAsiaTheme="minorEastAsia"/>
              </w:rPr>
            </w:pPr>
            <w:r w:rsidRPr="00EA3B97">
              <w:rPr>
                <w:rFonts w:eastAsiaTheme="minorEastAsia"/>
              </w:rPr>
              <w:t>Note 2</w:t>
            </w:r>
          </w:p>
        </w:tc>
        <w:tc>
          <w:tcPr>
            <w:tcW w:w="269" w:type="pct"/>
            <w:tcBorders>
              <w:top w:val="single" w:sz="4" w:space="0" w:color="auto"/>
              <w:left w:val="single" w:sz="4" w:space="0" w:color="auto"/>
              <w:bottom w:val="single" w:sz="4" w:space="0" w:color="auto"/>
              <w:right w:val="single" w:sz="4" w:space="0" w:color="auto"/>
            </w:tcBorders>
          </w:tcPr>
          <w:p w14:paraId="6609F440" w14:textId="77777777" w:rsidR="003A71DE" w:rsidRPr="00EA3B97" w:rsidRDefault="003A71DE" w:rsidP="007835E8">
            <w:pPr>
              <w:pStyle w:val="TAC"/>
              <w:rPr>
                <w:rFonts w:eastAsiaTheme="minorEastAsia"/>
              </w:rPr>
            </w:pPr>
          </w:p>
        </w:tc>
        <w:tc>
          <w:tcPr>
            <w:tcW w:w="311" w:type="pct"/>
            <w:tcBorders>
              <w:top w:val="single" w:sz="4" w:space="0" w:color="auto"/>
              <w:left w:val="single" w:sz="4" w:space="0" w:color="auto"/>
              <w:bottom w:val="single" w:sz="4" w:space="0" w:color="auto"/>
              <w:right w:val="single" w:sz="4" w:space="0" w:color="auto"/>
            </w:tcBorders>
          </w:tcPr>
          <w:p w14:paraId="26EC1936" w14:textId="77777777" w:rsidR="003A71DE" w:rsidRPr="00EA3B97" w:rsidRDefault="003A71DE" w:rsidP="007835E8">
            <w:pPr>
              <w:pStyle w:val="TAC"/>
              <w:rPr>
                <w:rFonts w:eastAsiaTheme="minorEastAsia"/>
              </w:rPr>
            </w:pPr>
          </w:p>
        </w:tc>
        <w:tc>
          <w:tcPr>
            <w:tcW w:w="312" w:type="pct"/>
            <w:tcBorders>
              <w:top w:val="single" w:sz="4" w:space="0" w:color="auto"/>
              <w:left w:val="single" w:sz="4" w:space="0" w:color="auto"/>
              <w:bottom w:val="single" w:sz="4" w:space="0" w:color="auto"/>
              <w:right w:val="single" w:sz="4" w:space="0" w:color="auto"/>
            </w:tcBorders>
          </w:tcPr>
          <w:p w14:paraId="4A8FFDEA" w14:textId="77777777" w:rsidR="003A71DE" w:rsidRPr="00EA3B97" w:rsidRDefault="003A71DE" w:rsidP="007835E8">
            <w:pPr>
              <w:pStyle w:val="TAC"/>
              <w:rPr>
                <w:rFonts w:eastAsiaTheme="minorEastAsia"/>
              </w:rPr>
            </w:pPr>
          </w:p>
        </w:tc>
        <w:tc>
          <w:tcPr>
            <w:tcW w:w="309" w:type="pct"/>
            <w:tcBorders>
              <w:top w:val="single" w:sz="4" w:space="0" w:color="auto"/>
              <w:left w:val="single" w:sz="4" w:space="0" w:color="auto"/>
              <w:bottom w:val="single" w:sz="4" w:space="0" w:color="auto"/>
              <w:right w:val="single" w:sz="4" w:space="0" w:color="auto"/>
            </w:tcBorders>
          </w:tcPr>
          <w:p w14:paraId="110CD6EC" w14:textId="77777777" w:rsidR="003A71DE" w:rsidRPr="00EA3B97" w:rsidRDefault="003A71DE" w:rsidP="007835E8">
            <w:pPr>
              <w:pStyle w:val="TAC"/>
              <w:rPr>
                <w:rFonts w:eastAsiaTheme="minorEastAsia"/>
              </w:rPr>
            </w:pPr>
          </w:p>
        </w:tc>
      </w:tr>
      <w:tr w:rsidR="003A71DE" w:rsidRPr="00EA3B97" w14:paraId="40AE2811" w14:textId="77777777" w:rsidTr="003A71DE">
        <w:trPr>
          <w:jc w:val="cent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267C0CC6"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DCI format shall depend upon the test configuration.</w:t>
            </w:r>
          </w:p>
          <w:p w14:paraId="0002BF28"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Payload size shall depend upon the test configuration.</w:t>
            </w:r>
          </w:p>
          <w:p w14:paraId="046C0FFE" w14:textId="77777777" w:rsidR="003A71DE" w:rsidRPr="00EA3B97" w:rsidRDefault="003A71DE" w:rsidP="007835E8">
            <w:pPr>
              <w:pStyle w:val="TAN"/>
              <w:rPr>
                <w:rFonts w:eastAsiaTheme="minorEastAsia"/>
              </w:rPr>
            </w:pPr>
            <w:r w:rsidRPr="00EA3B97">
              <w:rPr>
                <w:rFonts w:eastAsiaTheme="minorEastAsia"/>
              </w:rPr>
              <w:t>Note 3:</w:t>
            </w:r>
            <w:r w:rsidRPr="00EA3B97">
              <w:rPr>
                <w:rFonts w:eastAsiaTheme="minorEastAsia"/>
              </w:rPr>
              <w:tab/>
              <w:t>Allocated in the same resource blocks where the associated PDSCH RMC is scheduled.</w:t>
            </w:r>
          </w:p>
        </w:tc>
      </w:tr>
    </w:tbl>
    <w:p w14:paraId="7443DC9A" w14:textId="77777777" w:rsidR="003A71DE" w:rsidRPr="00EA3B97" w:rsidRDefault="003A71DE" w:rsidP="003A71DE">
      <w:pPr>
        <w:rPr>
          <w:rFonts w:eastAsiaTheme="minorEastAsia"/>
          <w:noProof/>
          <w:lang w:val="en-US"/>
        </w:rPr>
      </w:pPr>
    </w:p>
    <w:p w14:paraId="6A72EB2A" w14:textId="77777777" w:rsidR="003A71DE" w:rsidRPr="00EA3B97" w:rsidRDefault="003A71DE" w:rsidP="00A153AF">
      <w:pPr>
        <w:pStyle w:val="Heading3"/>
        <w:rPr>
          <w:rFonts w:eastAsiaTheme="minorEastAsia"/>
        </w:rPr>
      </w:pPr>
      <w:bookmarkStart w:id="9734" w:name="_Toc74583617"/>
      <w:bookmarkStart w:id="9735" w:name="_Toc76542430"/>
      <w:bookmarkStart w:id="9736" w:name="_Toc82450412"/>
      <w:bookmarkStart w:id="9737" w:name="_Toc82451060"/>
      <w:bookmarkStart w:id="9738" w:name="_Toc89949449"/>
      <w:bookmarkStart w:id="9739" w:name="_Toc98755838"/>
      <w:bookmarkStart w:id="9740" w:name="_Toc98763430"/>
      <w:bookmarkStart w:id="9741" w:name="_Toc106184359"/>
      <w:r w:rsidRPr="00EA3B97">
        <w:rPr>
          <w:rFonts w:eastAsiaTheme="minorEastAsia"/>
        </w:rPr>
        <w:t>G.1.2</w:t>
      </w:r>
      <w:r w:rsidRPr="00EA3B97">
        <w:rPr>
          <w:rFonts w:eastAsiaTheme="minorEastAsia"/>
        </w:rPr>
        <w:tab/>
        <w:t>OFDMA channel noise generator (OCNG)</w:t>
      </w:r>
      <w:bookmarkEnd w:id="9734"/>
      <w:bookmarkEnd w:id="9735"/>
      <w:bookmarkEnd w:id="9736"/>
      <w:bookmarkEnd w:id="9737"/>
      <w:bookmarkEnd w:id="9738"/>
      <w:bookmarkEnd w:id="9739"/>
      <w:bookmarkEnd w:id="9740"/>
      <w:bookmarkEnd w:id="9741"/>
    </w:p>
    <w:p w14:paraId="55B4A7C3" w14:textId="77777777" w:rsidR="003A71DE" w:rsidRPr="00EA3B97" w:rsidRDefault="003A71DE" w:rsidP="00A153AF">
      <w:pPr>
        <w:pStyle w:val="Heading4"/>
        <w:rPr>
          <w:rFonts w:eastAsiaTheme="minorEastAsia"/>
        </w:rPr>
      </w:pPr>
      <w:bookmarkStart w:id="9742" w:name="_Toc74583618"/>
      <w:bookmarkStart w:id="9743" w:name="_Toc76542431"/>
      <w:bookmarkStart w:id="9744" w:name="_Toc82450413"/>
      <w:bookmarkStart w:id="9745" w:name="_Toc82451061"/>
      <w:bookmarkStart w:id="9746" w:name="_Toc89949450"/>
      <w:bookmarkStart w:id="9747" w:name="_Toc98755839"/>
      <w:bookmarkStart w:id="9748" w:name="_Toc98763431"/>
      <w:bookmarkStart w:id="9749" w:name="_Toc106184360"/>
      <w:r w:rsidRPr="00EA3B97">
        <w:rPr>
          <w:rFonts w:eastAsiaTheme="minorEastAsia"/>
        </w:rPr>
        <w:t>G.1.2.1</w:t>
      </w:r>
      <w:r w:rsidRPr="00EA3B97">
        <w:rPr>
          <w:rFonts w:eastAsiaTheme="minorEastAsia"/>
        </w:rPr>
        <w:tab/>
        <w:t>Generic OFDMA Channel Noise Generator (OCNG)</w:t>
      </w:r>
      <w:bookmarkEnd w:id="9742"/>
      <w:bookmarkEnd w:id="9743"/>
      <w:bookmarkEnd w:id="9744"/>
      <w:bookmarkEnd w:id="9745"/>
      <w:bookmarkEnd w:id="9746"/>
      <w:bookmarkEnd w:id="9747"/>
      <w:bookmarkEnd w:id="9748"/>
      <w:bookmarkEnd w:id="9749"/>
    </w:p>
    <w:p w14:paraId="0E94C733" w14:textId="77777777" w:rsidR="003A71DE" w:rsidRPr="00EA3B97" w:rsidRDefault="003A71DE" w:rsidP="003A71DE">
      <w:pPr>
        <w:rPr>
          <w:rFonts w:eastAsiaTheme="minorEastAsia"/>
        </w:rPr>
      </w:pPr>
      <w:r w:rsidRPr="00EA3B97">
        <w:rPr>
          <w:rFonts w:eastAsiaTheme="minorEastAsia"/>
        </w:rPr>
        <w:t>The OCNG pattern is used in a test for modelling allocations of unused resources in the channel bandwidth to virtual IAB-MTs (which are not under test). The OCNG pattern comprises PDCCH and PDSCH transmissions to the virtual IAB-MTs.</w:t>
      </w:r>
    </w:p>
    <w:p w14:paraId="7CAA9D74" w14:textId="77777777" w:rsidR="003A71DE" w:rsidRPr="00EA3B97" w:rsidRDefault="003A71DE" w:rsidP="00A153AF">
      <w:pPr>
        <w:pStyle w:val="Heading5"/>
        <w:rPr>
          <w:rFonts w:eastAsiaTheme="minorEastAsia"/>
          <w:snapToGrid w:val="0"/>
        </w:rPr>
      </w:pPr>
      <w:bookmarkStart w:id="9750" w:name="_Toc74583619"/>
      <w:bookmarkStart w:id="9751" w:name="_Toc76542432"/>
      <w:bookmarkStart w:id="9752" w:name="_Toc82450414"/>
      <w:bookmarkStart w:id="9753" w:name="_Toc82451062"/>
      <w:bookmarkStart w:id="9754" w:name="_Toc89949451"/>
      <w:bookmarkStart w:id="9755" w:name="_Toc98755840"/>
      <w:bookmarkStart w:id="9756" w:name="_Toc98763432"/>
      <w:bookmarkStart w:id="9757" w:name="_Toc106184361"/>
      <w:r w:rsidRPr="00EA3B97">
        <w:rPr>
          <w:rFonts w:eastAsiaTheme="minorEastAsia"/>
          <w:snapToGrid w:val="0"/>
        </w:rPr>
        <w:t>G.1.2.1.1</w:t>
      </w:r>
      <w:r w:rsidRPr="00EA3B97">
        <w:rPr>
          <w:rFonts w:eastAsiaTheme="minorEastAsia"/>
          <w:snapToGrid w:val="0"/>
        </w:rPr>
        <w:tab/>
        <w:t>OCNG pattern 1: Generic OCNG pattern for all unused REs</w:t>
      </w:r>
      <w:bookmarkEnd w:id="9750"/>
      <w:bookmarkEnd w:id="9751"/>
      <w:bookmarkEnd w:id="9752"/>
      <w:bookmarkEnd w:id="9753"/>
      <w:bookmarkEnd w:id="9754"/>
      <w:bookmarkEnd w:id="9755"/>
      <w:bookmarkEnd w:id="9756"/>
      <w:bookmarkEnd w:id="9757"/>
    </w:p>
    <w:p w14:paraId="3867789B" w14:textId="77777777" w:rsidR="003A71DE" w:rsidRPr="00EA3B97" w:rsidRDefault="003A71DE" w:rsidP="00BA0D24">
      <w:pPr>
        <w:pStyle w:val="TH"/>
        <w:rPr>
          <w:rFonts w:eastAsiaTheme="minorEastAsia"/>
        </w:rPr>
      </w:pPr>
      <w:r w:rsidRPr="00EA3B97">
        <w:rPr>
          <w:rFonts w:eastAsiaTheme="minorEastAsia"/>
        </w:rPr>
        <w:t>Table G.1.2.1.1-1: OP.1: Generic OCNG pattern for all unused REs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8"/>
        <w:gridCol w:w="3205"/>
        <w:gridCol w:w="3938"/>
      </w:tblGrid>
      <w:tr w:rsidR="003A71DE" w:rsidRPr="00EA3B97" w14:paraId="352E0199"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748AA9BF" w14:textId="77777777" w:rsidR="003A71DE" w:rsidRPr="00EA3B97" w:rsidRDefault="003A71DE" w:rsidP="007835E8">
            <w:pPr>
              <w:pStyle w:val="TAH"/>
              <w:rPr>
                <w:rFonts w:eastAsiaTheme="minorEastAsia"/>
              </w:rPr>
            </w:pPr>
            <w:r w:rsidRPr="00EA3B97">
              <w:rPr>
                <w:rFonts w:eastAsiaTheme="minorEastAsia"/>
                <w:lang w:val="en-US"/>
              </w:rPr>
              <w:t>OCNG Parameters</w:t>
            </w:r>
          </w:p>
        </w:tc>
        <w:tc>
          <w:tcPr>
            <w:tcW w:w="3260" w:type="dxa"/>
            <w:tcBorders>
              <w:top w:val="single" w:sz="4" w:space="0" w:color="auto"/>
              <w:left w:val="single" w:sz="4" w:space="0" w:color="auto"/>
              <w:bottom w:val="single" w:sz="4" w:space="0" w:color="auto"/>
              <w:right w:val="single" w:sz="4" w:space="0" w:color="auto"/>
            </w:tcBorders>
            <w:hideMark/>
          </w:tcPr>
          <w:p w14:paraId="069F039E" w14:textId="77777777" w:rsidR="003A71DE" w:rsidRPr="00EA3B97" w:rsidRDefault="003A71DE" w:rsidP="007835E8">
            <w:pPr>
              <w:pStyle w:val="TAH"/>
              <w:rPr>
                <w:rFonts w:eastAsiaTheme="minorEastAsia"/>
              </w:rPr>
            </w:pPr>
            <w:r w:rsidRPr="00EA3B97">
              <w:rPr>
                <w:rFonts w:eastAsiaTheme="minorEastAsia"/>
              </w:rPr>
              <w:t>Control Region</w:t>
            </w:r>
          </w:p>
        </w:tc>
        <w:tc>
          <w:tcPr>
            <w:tcW w:w="4001" w:type="dxa"/>
            <w:tcBorders>
              <w:top w:val="single" w:sz="4" w:space="0" w:color="auto"/>
              <w:left w:val="single" w:sz="4" w:space="0" w:color="auto"/>
              <w:bottom w:val="single" w:sz="4" w:space="0" w:color="auto"/>
              <w:right w:val="single" w:sz="4" w:space="0" w:color="auto"/>
            </w:tcBorders>
            <w:hideMark/>
          </w:tcPr>
          <w:p w14:paraId="1D5A885C" w14:textId="77777777" w:rsidR="003A71DE" w:rsidRPr="00EA3B97" w:rsidRDefault="003A71DE" w:rsidP="007835E8">
            <w:pPr>
              <w:pStyle w:val="TAH"/>
              <w:rPr>
                <w:rFonts w:eastAsiaTheme="minorEastAsia"/>
              </w:rPr>
            </w:pPr>
            <w:r w:rsidRPr="00EA3B97">
              <w:rPr>
                <w:rFonts w:eastAsiaTheme="minorEastAsia"/>
              </w:rPr>
              <w:t>Data Region</w:t>
            </w:r>
          </w:p>
        </w:tc>
      </w:tr>
      <w:tr w:rsidR="003A71DE" w:rsidRPr="00EA3B97" w14:paraId="0C46EECD"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1000BB2" w14:textId="77777777" w:rsidR="003A71DE" w:rsidRPr="00EA3B97" w:rsidRDefault="003A71DE" w:rsidP="007835E8">
            <w:pPr>
              <w:pStyle w:val="TAL"/>
              <w:rPr>
                <w:rFonts w:eastAsiaTheme="minorEastAsia"/>
              </w:rPr>
            </w:pPr>
            <w:r w:rsidRPr="00EA3B97">
              <w:rPr>
                <w:rFonts w:eastAsiaTheme="minorEastAsia"/>
              </w:rPr>
              <w:t>Resource allocation</w:t>
            </w:r>
          </w:p>
        </w:tc>
        <w:tc>
          <w:tcPr>
            <w:tcW w:w="3260" w:type="dxa"/>
            <w:tcBorders>
              <w:top w:val="nil"/>
              <w:left w:val="nil"/>
              <w:bottom w:val="single" w:sz="8" w:space="0" w:color="auto"/>
              <w:right w:val="single" w:sz="8" w:space="0" w:color="auto"/>
            </w:tcBorders>
            <w:hideMark/>
          </w:tcPr>
          <w:p w14:paraId="39CD7F96" w14:textId="77777777" w:rsidR="003A71DE" w:rsidRPr="00EA3B97" w:rsidRDefault="003A71DE" w:rsidP="007835E8">
            <w:pPr>
              <w:pStyle w:val="TAL"/>
              <w:rPr>
                <w:rFonts w:eastAsiaTheme="minorEastAsia" w:cs="Arial"/>
              </w:rPr>
            </w:pPr>
            <w:r w:rsidRPr="00EA3B97">
              <w:rPr>
                <w:rFonts w:eastAsiaTheme="minorEastAsia" w:cs="Arial"/>
              </w:rPr>
              <w:t>Unused REs (Note 1)</w:t>
            </w:r>
          </w:p>
        </w:tc>
        <w:tc>
          <w:tcPr>
            <w:tcW w:w="4001" w:type="dxa"/>
            <w:tcBorders>
              <w:top w:val="nil"/>
              <w:left w:val="nil"/>
              <w:bottom w:val="single" w:sz="8" w:space="0" w:color="auto"/>
              <w:right w:val="single" w:sz="8" w:space="0" w:color="auto"/>
            </w:tcBorders>
            <w:hideMark/>
          </w:tcPr>
          <w:p w14:paraId="1BA461C1" w14:textId="77777777" w:rsidR="003A71DE" w:rsidRPr="00EA3B97" w:rsidRDefault="003A71DE" w:rsidP="007835E8">
            <w:pPr>
              <w:pStyle w:val="TAL"/>
              <w:rPr>
                <w:rFonts w:eastAsiaTheme="minorEastAsia" w:cs="Arial"/>
              </w:rPr>
            </w:pPr>
            <w:r w:rsidRPr="00EA3B97">
              <w:rPr>
                <w:rFonts w:eastAsiaTheme="minorEastAsia" w:cs="Arial"/>
              </w:rPr>
              <w:t>Unused REs (Note 2)</w:t>
            </w:r>
          </w:p>
        </w:tc>
      </w:tr>
      <w:tr w:rsidR="003A71DE" w:rsidRPr="00EA3B97" w14:paraId="79FB95B6"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1843DF1B" w14:textId="77777777" w:rsidR="003A71DE" w:rsidRPr="00EA3B97" w:rsidRDefault="003A71DE" w:rsidP="007835E8">
            <w:pPr>
              <w:pStyle w:val="TAL"/>
              <w:rPr>
                <w:rFonts w:eastAsiaTheme="minorEastAsia"/>
              </w:rPr>
            </w:pPr>
            <w:r w:rsidRPr="00EA3B97">
              <w:rPr>
                <w:rFonts w:eastAsiaTheme="minorEastAsia"/>
              </w:rPr>
              <w:t>Channel</w:t>
            </w:r>
          </w:p>
        </w:tc>
        <w:tc>
          <w:tcPr>
            <w:tcW w:w="3260" w:type="dxa"/>
            <w:tcBorders>
              <w:top w:val="single" w:sz="4" w:space="0" w:color="auto"/>
              <w:left w:val="single" w:sz="4" w:space="0" w:color="auto"/>
              <w:bottom w:val="single" w:sz="4" w:space="0" w:color="auto"/>
              <w:right w:val="single" w:sz="4" w:space="0" w:color="auto"/>
            </w:tcBorders>
            <w:hideMark/>
          </w:tcPr>
          <w:p w14:paraId="7ED2BDDC" w14:textId="77777777" w:rsidR="003A71DE" w:rsidRPr="00EA3B97" w:rsidRDefault="003A71DE" w:rsidP="007835E8">
            <w:pPr>
              <w:pStyle w:val="TAL"/>
              <w:rPr>
                <w:rFonts w:eastAsiaTheme="minorEastAsia"/>
              </w:rPr>
            </w:pPr>
            <w:r w:rsidRPr="00EA3B97">
              <w:rPr>
                <w:rFonts w:eastAsiaTheme="minorEastAsia"/>
              </w:rPr>
              <w:t>PDCCH</w:t>
            </w:r>
          </w:p>
        </w:tc>
        <w:tc>
          <w:tcPr>
            <w:tcW w:w="4001" w:type="dxa"/>
            <w:tcBorders>
              <w:top w:val="single" w:sz="4" w:space="0" w:color="auto"/>
              <w:left w:val="single" w:sz="4" w:space="0" w:color="auto"/>
              <w:bottom w:val="single" w:sz="4" w:space="0" w:color="auto"/>
              <w:right w:val="single" w:sz="4" w:space="0" w:color="auto"/>
            </w:tcBorders>
            <w:hideMark/>
          </w:tcPr>
          <w:p w14:paraId="75CAA3D2" w14:textId="77777777" w:rsidR="003A71DE" w:rsidRPr="00EA3B97" w:rsidRDefault="003A71DE" w:rsidP="007835E8">
            <w:pPr>
              <w:pStyle w:val="TAL"/>
              <w:rPr>
                <w:rFonts w:eastAsiaTheme="minorEastAsia"/>
              </w:rPr>
            </w:pPr>
            <w:r w:rsidRPr="00EA3B97">
              <w:rPr>
                <w:rFonts w:eastAsiaTheme="minorEastAsia"/>
              </w:rPr>
              <w:t>PDSCH</w:t>
            </w:r>
          </w:p>
        </w:tc>
      </w:tr>
      <w:tr w:rsidR="003A71DE" w:rsidRPr="00EA3B97" w14:paraId="029B99BA"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3AB7302" w14:textId="77777777" w:rsidR="003A71DE" w:rsidRPr="00EA3B97" w:rsidRDefault="003A71DE" w:rsidP="007835E8">
            <w:pPr>
              <w:pStyle w:val="TAL"/>
              <w:rPr>
                <w:rFonts w:eastAsiaTheme="minorEastAsia"/>
              </w:rPr>
            </w:pPr>
            <w:r w:rsidRPr="00EA3B97">
              <w:rPr>
                <w:rFonts w:eastAsiaTheme="minorEastAsia"/>
              </w:rPr>
              <w:t>Contents</w:t>
            </w:r>
          </w:p>
        </w:tc>
        <w:tc>
          <w:tcPr>
            <w:tcW w:w="3260" w:type="dxa"/>
            <w:tcBorders>
              <w:top w:val="single" w:sz="4" w:space="0" w:color="auto"/>
              <w:left w:val="single" w:sz="4" w:space="0" w:color="auto"/>
              <w:bottom w:val="single" w:sz="4" w:space="0" w:color="auto"/>
              <w:right w:val="single" w:sz="4" w:space="0" w:color="auto"/>
            </w:tcBorders>
            <w:hideMark/>
          </w:tcPr>
          <w:p w14:paraId="2367F25D" w14:textId="77777777" w:rsidR="003A71DE" w:rsidRPr="00EA3B97" w:rsidRDefault="003A71DE" w:rsidP="007835E8">
            <w:pPr>
              <w:pStyle w:val="TAL"/>
              <w:rPr>
                <w:rFonts w:eastAsiaTheme="minorEastAsia"/>
              </w:rPr>
            </w:pPr>
            <w:r w:rsidRPr="00EA3B97">
              <w:rPr>
                <w:rFonts w:eastAsiaTheme="minorEastAsia"/>
              </w:rPr>
              <w:t>Virtual IAB-MT IDs</w:t>
            </w:r>
          </w:p>
        </w:tc>
        <w:tc>
          <w:tcPr>
            <w:tcW w:w="4001" w:type="dxa"/>
            <w:tcBorders>
              <w:top w:val="single" w:sz="4" w:space="0" w:color="auto"/>
              <w:left w:val="single" w:sz="4" w:space="0" w:color="auto"/>
              <w:bottom w:val="single" w:sz="4" w:space="0" w:color="auto"/>
              <w:right w:val="single" w:sz="4" w:space="0" w:color="auto"/>
            </w:tcBorders>
            <w:hideMark/>
          </w:tcPr>
          <w:p w14:paraId="65C99D12" w14:textId="77777777" w:rsidR="003A71DE" w:rsidRPr="00EA3B97" w:rsidRDefault="003A71DE" w:rsidP="007835E8">
            <w:pPr>
              <w:pStyle w:val="TAL"/>
              <w:rPr>
                <w:rFonts w:eastAsiaTheme="minorEastAsia"/>
              </w:rPr>
            </w:pPr>
            <w:r w:rsidRPr="00EA3B97">
              <w:rPr>
                <w:rFonts w:eastAsiaTheme="minorEastAsia"/>
              </w:rPr>
              <w:t>Uncorrelated pseudo random QPSK modulated data</w:t>
            </w:r>
          </w:p>
        </w:tc>
      </w:tr>
      <w:tr w:rsidR="003A71DE" w:rsidRPr="00EA3B97" w14:paraId="52F68D96"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6653469" w14:textId="77777777" w:rsidR="003A71DE" w:rsidRPr="00EA3B97" w:rsidRDefault="003A71DE" w:rsidP="007835E8">
            <w:pPr>
              <w:pStyle w:val="TAL"/>
              <w:rPr>
                <w:rFonts w:eastAsiaTheme="minorEastAsia"/>
              </w:rPr>
            </w:pPr>
            <w:r w:rsidRPr="00EA3B97">
              <w:rPr>
                <w:rFonts w:eastAsiaTheme="minorEastAsia"/>
              </w:rPr>
              <w:t>Antenna transmission scheme</w:t>
            </w:r>
          </w:p>
        </w:tc>
        <w:tc>
          <w:tcPr>
            <w:tcW w:w="3260" w:type="dxa"/>
            <w:tcBorders>
              <w:top w:val="single" w:sz="4" w:space="0" w:color="auto"/>
              <w:left w:val="single" w:sz="4" w:space="0" w:color="auto"/>
              <w:bottom w:val="single" w:sz="4" w:space="0" w:color="auto"/>
              <w:right w:val="single" w:sz="4" w:space="0" w:color="auto"/>
            </w:tcBorders>
            <w:hideMark/>
          </w:tcPr>
          <w:p w14:paraId="139870B3"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5A283142"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5D54DAFA"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57A2A0D0" w14:textId="77777777" w:rsidR="003A71DE" w:rsidRPr="00EA3B97" w:rsidRDefault="003A71DE" w:rsidP="007835E8">
            <w:pPr>
              <w:pStyle w:val="TAL"/>
              <w:rPr>
                <w:rFonts w:eastAsiaTheme="minorEastAsia"/>
              </w:rPr>
            </w:pPr>
            <w:r w:rsidRPr="00EA3B97">
              <w:rPr>
                <w:rFonts w:eastAsiaTheme="minorEastAsia"/>
              </w:rPr>
              <w:t>Subcarrier spacing</w:t>
            </w:r>
          </w:p>
        </w:tc>
        <w:tc>
          <w:tcPr>
            <w:tcW w:w="3260" w:type="dxa"/>
            <w:tcBorders>
              <w:top w:val="single" w:sz="4" w:space="0" w:color="auto"/>
              <w:left w:val="single" w:sz="4" w:space="0" w:color="auto"/>
              <w:bottom w:val="single" w:sz="4" w:space="0" w:color="auto"/>
              <w:right w:val="single" w:sz="4" w:space="0" w:color="auto"/>
            </w:tcBorders>
            <w:hideMark/>
          </w:tcPr>
          <w:p w14:paraId="150025EE"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41BBD12F"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374EA063"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1B61A009" w14:textId="77777777" w:rsidR="003A71DE" w:rsidRPr="00EA3B97" w:rsidRDefault="003A71DE" w:rsidP="007835E8">
            <w:pPr>
              <w:pStyle w:val="TAL"/>
              <w:rPr>
                <w:rFonts w:eastAsiaTheme="minorEastAsia"/>
              </w:rPr>
            </w:pPr>
            <w:r w:rsidRPr="00EA3B97">
              <w:rPr>
                <w:rFonts w:eastAsiaTheme="minorEastAsia"/>
              </w:rPr>
              <w:t>Aggregation level</w:t>
            </w:r>
          </w:p>
        </w:tc>
        <w:tc>
          <w:tcPr>
            <w:tcW w:w="3260" w:type="dxa"/>
            <w:tcBorders>
              <w:top w:val="single" w:sz="4" w:space="0" w:color="auto"/>
              <w:left w:val="single" w:sz="4" w:space="0" w:color="auto"/>
              <w:bottom w:val="single" w:sz="4" w:space="0" w:color="auto"/>
              <w:right w:val="single" w:sz="4" w:space="0" w:color="auto"/>
            </w:tcBorders>
            <w:hideMark/>
          </w:tcPr>
          <w:p w14:paraId="0B452C60"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77C40DB4" w14:textId="77777777" w:rsidR="003A71DE" w:rsidRPr="00EA3B97" w:rsidRDefault="003A71DE" w:rsidP="007835E8">
            <w:pPr>
              <w:pStyle w:val="TAL"/>
              <w:rPr>
                <w:rFonts w:eastAsiaTheme="minorEastAsia" w:cs="Arial"/>
              </w:rPr>
            </w:pPr>
            <w:r w:rsidRPr="00EA3B97">
              <w:rPr>
                <w:rFonts w:eastAsiaTheme="minorEastAsia" w:cs="Arial"/>
              </w:rPr>
              <w:t>N/A</w:t>
            </w:r>
          </w:p>
        </w:tc>
      </w:tr>
      <w:tr w:rsidR="003A71DE" w:rsidRPr="00EA3B97" w14:paraId="05C2D621"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5E6BC251" w14:textId="77777777" w:rsidR="003A71DE" w:rsidRPr="00EA3B97" w:rsidRDefault="003A71DE" w:rsidP="007835E8">
            <w:pPr>
              <w:pStyle w:val="TAL"/>
              <w:rPr>
                <w:rFonts w:eastAsiaTheme="minorEastAsia"/>
              </w:rPr>
            </w:pPr>
            <w:r w:rsidRPr="00EA3B97">
              <w:rPr>
                <w:rFonts w:eastAsiaTheme="minorEastAsia"/>
              </w:rPr>
              <w:t>Code rate</w:t>
            </w:r>
          </w:p>
        </w:tc>
        <w:tc>
          <w:tcPr>
            <w:tcW w:w="3260" w:type="dxa"/>
            <w:tcBorders>
              <w:top w:val="single" w:sz="4" w:space="0" w:color="auto"/>
              <w:left w:val="single" w:sz="4" w:space="0" w:color="auto"/>
              <w:bottom w:val="single" w:sz="4" w:space="0" w:color="auto"/>
              <w:right w:val="single" w:sz="4" w:space="0" w:color="auto"/>
            </w:tcBorders>
            <w:hideMark/>
          </w:tcPr>
          <w:p w14:paraId="670A7AC9"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1815574D"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7BE33524"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1E9D6976" w14:textId="77777777" w:rsidR="003A71DE" w:rsidRPr="00EA3B97" w:rsidRDefault="003A71DE" w:rsidP="007835E8">
            <w:pPr>
              <w:pStyle w:val="TAL"/>
              <w:rPr>
                <w:rFonts w:eastAsiaTheme="minorEastAsia"/>
              </w:rPr>
            </w:pPr>
            <w:r w:rsidRPr="00EA3B97">
              <w:rPr>
                <w:rFonts w:eastAsiaTheme="minorEastAsia"/>
              </w:rPr>
              <w:t>Transmit Power</w:t>
            </w:r>
          </w:p>
        </w:tc>
        <w:tc>
          <w:tcPr>
            <w:tcW w:w="3260" w:type="dxa"/>
            <w:tcBorders>
              <w:top w:val="single" w:sz="4" w:space="0" w:color="auto"/>
              <w:left w:val="single" w:sz="4" w:space="0" w:color="auto"/>
              <w:bottom w:val="single" w:sz="4" w:space="0" w:color="auto"/>
              <w:right w:val="single" w:sz="4" w:space="0" w:color="auto"/>
            </w:tcBorders>
            <w:hideMark/>
          </w:tcPr>
          <w:p w14:paraId="17E3938F"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10A09790"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1C3782E9"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567AB15E" w14:textId="77777777" w:rsidR="003A71DE" w:rsidRPr="00EA3B97" w:rsidRDefault="003A71DE" w:rsidP="007835E8">
            <w:pPr>
              <w:pStyle w:val="TAL"/>
              <w:rPr>
                <w:rFonts w:eastAsiaTheme="minorEastAsia"/>
              </w:rPr>
            </w:pPr>
            <w:r w:rsidRPr="00EA3B97">
              <w:rPr>
                <w:rFonts w:eastAsiaTheme="minorEastAsia"/>
              </w:rPr>
              <w:t>CP length</w:t>
            </w:r>
          </w:p>
        </w:tc>
        <w:tc>
          <w:tcPr>
            <w:tcW w:w="3260" w:type="dxa"/>
            <w:tcBorders>
              <w:top w:val="single" w:sz="4" w:space="0" w:color="auto"/>
              <w:left w:val="single" w:sz="4" w:space="0" w:color="auto"/>
              <w:bottom w:val="single" w:sz="4" w:space="0" w:color="auto"/>
              <w:right w:val="single" w:sz="4" w:space="0" w:color="auto"/>
            </w:tcBorders>
            <w:hideMark/>
          </w:tcPr>
          <w:p w14:paraId="3BF356C3"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01545B19"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7A6E5B30" w14:textId="77777777" w:rsidTr="003A71DE">
        <w:tc>
          <w:tcPr>
            <w:tcW w:w="9779" w:type="dxa"/>
            <w:gridSpan w:val="3"/>
            <w:tcBorders>
              <w:top w:val="single" w:sz="4" w:space="0" w:color="auto"/>
              <w:left w:val="single" w:sz="4" w:space="0" w:color="auto"/>
              <w:bottom w:val="single" w:sz="4" w:space="0" w:color="auto"/>
              <w:right w:val="single" w:sz="4" w:space="0" w:color="auto"/>
            </w:tcBorders>
            <w:hideMark/>
          </w:tcPr>
          <w:p w14:paraId="18A5DA4C"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REs not used in the active CORESETs where PDCCH is scheduled for the IAB-MT under test.</w:t>
            </w:r>
          </w:p>
          <w:p w14:paraId="2DB456B0" w14:textId="77777777" w:rsidR="003A71DE" w:rsidRPr="00EA3B97" w:rsidRDefault="003A71DE" w:rsidP="007835E8">
            <w:pPr>
              <w:pStyle w:val="TAN"/>
              <w:rPr>
                <w:rFonts w:eastAsiaTheme="minorEastAsia" w:cs="Arial"/>
              </w:rPr>
            </w:pPr>
            <w:r w:rsidRPr="00EA3B97">
              <w:rPr>
                <w:rFonts w:eastAsiaTheme="minorEastAsia"/>
              </w:rPr>
              <w:t>Note 2:</w:t>
            </w:r>
            <w:r w:rsidRPr="00EA3B97">
              <w:rPr>
                <w:rFonts w:eastAsiaTheme="minorEastAsia"/>
              </w:rPr>
              <w:tab/>
              <w:t>REs not allocated to any physical channels, CORESET, SSB or any other reference signal within the channel bandwidth of the cell.</w:t>
            </w:r>
          </w:p>
        </w:tc>
      </w:tr>
    </w:tbl>
    <w:p w14:paraId="76AD404D" w14:textId="77777777" w:rsidR="003A71DE" w:rsidRPr="00EA3B97" w:rsidRDefault="003A71DE" w:rsidP="003A71DE">
      <w:pPr>
        <w:rPr>
          <w:rFonts w:eastAsiaTheme="minorEastAsia"/>
        </w:rPr>
      </w:pPr>
    </w:p>
    <w:p w14:paraId="6F88B5F1" w14:textId="77777777" w:rsidR="003A71DE" w:rsidRPr="00EA3B97" w:rsidRDefault="003A71DE" w:rsidP="00A153AF">
      <w:pPr>
        <w:pStyle w:val="Heading5"/>
        <w:rPr>
          <w:rFonts w:eastAsiaTheme="minorEastAsia"/>
          <w:snapToGrid w:val="0"/>
        </w:rPr>
      </w:pPr>
      <w:bookmarkStart w:id="9758" w:name="_Toc74583620"/>
      <w:bookmarkStart w:id="9759" w:name="_Toc76542433"/>
      <w:bookmarkStart w:id="9760" w:name="_Toc82450415"/>
      <w:bookmarkStart w:id="9761" w:name="_Toc82451063"/>
      <w:bookmarkStart w:id="9762" w:name="_Toc89949452"/>
      <w:bookmarkStart w:id="9763" w:name="_Toc98755841"/>
      <w:bookmarkStart w:id="9764" w:name="_Toc98763433"/>
      <w:bookmarkStart w:id="9765" w:name="_Toc106184362"/>
      <w:r w:rsidRPr="00EA3B97">
        <w:rPr>
          <w:rFonts w:eastAsiaTheme="minorEastAsia"/>
          <w:snapToGrid w:val="0"/>
        </w:rPr>
        <w:lastRenderedPageBreak/>
        <w:t>G.1.2.1.2</w:t>
      </w:r>
      <w:r w:rsidRPr="00EA3B97">
        <w:rPr>
          <w:rFonts w:eastAsiaTheme="minorEastAsia"/>
          <w:snapToGrid w:val="0"/>
        </w:rPr>
        <w:tab/>
        <w:t>OCNG pattern 2: Generic OCNG pattern for all unused REs for 2AoA setup</w:t>
      </w:r>
      <w:bookmarkEnd w:id="9758"/>
      <w:bookmarkEnd w:id="9759"/>
      <w:bookmarkEnd w:id="9760"/>
      <w:bookmarkEnd w:id="9761"/>
      <w:bookmarkEnd w:id="9762"/>
      <w:bookmarkEnd w:id="9763"/>
      <w:bookmarkEnd w:id="9764"/>
      <w:bookmarkEnd w:id="9765"/>
    </w:p>
    <w:p w14:paraId="6AB8D503" w14:textId="77777777" w:rsidR="003A71DE" w:rsidRPr="00EA3B97" w:rsidRDefault="003A71DE" w:rsidP="00BA0D24">
      <w:pPr>
        <w:pStyle w:val="TH"/>
        <w:rPr>
          <w:rFonts w:eastAsiaTheme="minorEastAsia"/>
        </w:rPr>
      </w:pPr>
      <w:r w:rsidRPr="00EA3B97">
        <w:rPr>
          <w:rFonts w:eastAsiaTheme="minorEastAsia"/>
        </w:rPr>
        <w:t>Table G.1.2.1.2-</w:t>
      </w:r>
      <w:r>
        <w:rPr>
          <w:rFonts w:eastAsiaTheme="minorEastAsia"/>
        </w:rPr>
        <w:t>1</w:t>
      </w:r>
      <w:r w:rsidRPr="00EA3B97">
        <w:rPr>
          <w:rFonts w:eastAsiaTheme="minorEastAsia"/>
        </w:rPr>
        <w:t>: OP.2: Generic OCNG pattern for all unused REs for 2AoA setup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7"/>
        <w:gridCol w:w="3209"/>
        <w:gridCol w:w="3935"/>
      </w:tblGrid>
      <w:tr w:rsidR="003A71DE" w:rsidRPr="00EA3B97" w14:paraId="1920C380"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FD0B4AC" w14:textId="77777777" w:rsidR="003A71DE" w:rsidRPr="00EA3B97" w:rsidRDefault="003A71DE" w:rsidP="007835E8">
            <w:pPr>
              <w:pStyle w:val="TAH"/>
              <w:rPr>
                <w:rFonts w:eastAsiaTheme="minorEastAsia"/>
              </w:rPr>
            </w:pPr>
            <w:r w:rsidRPr="00EA3B97">
              <w:rPr>
                <w:rFonts w:eastAsiaTheme="minorEastAsia"/>
                <w:lang w:val="en-US"/>
              </w:rPr>
              <w:t>OCNG Parameters</w:t>
            </w:r>
          </w:p>
        </w:tc>
        <w:tc>
          <w:tcPr>
            <w:tcW w:w="3260" w:type="dxa"/>
            <w:tcBorders>
              <w:top w:val="single" w:sz="4" w:space="0" w:color="auto"/>
              <w:left w:val="single" w:sz="4" w:space="0" w:color="auto"/>
              <w:bottom w:val="single" w:sz="4" w:space="0" w:color="auto"/>
              <w:right w:val="single" w:sz="4" w:space="0" w:color="auto"/>
            </w:tcBorders>
            <w:hideMark/>
          </w:tcPr>
          <w:p w14:paraId="14B0097F" w14:textId="77777777" w:rsidR="003A71DE" w:rsidRPr="00EA3B97" w:rsidRDefault="003A71DE" w:rsidP="007835E8">
            <w:pPr>
              <w:pStyle w:val="TAH"/>
              <w:rPr>
                <w:rFonts w:eastAsiaTheme="minorEastAsia"/>
              </w:rPr>
            </w:pPr>
            <w:r w:rsidRPr="00EA3B97">
              <w:rPr>
                <w:rFonts w:eastAsiaTheme="minorEastAsia"/>
              </w:rPr>
              <w:t>Control Region</w:t>
            </w:r>
          </w:p>
        </w:tc>
        <w:tc>
          <w:tcPr>
            <w:tcW w:w="4001" w:type="dxa"/>
            <w:tcBorders>
              <w:top w:val="single" w:sz="4" w:space="0" w:color="auto"/>
              <w:left w:val="single" w:sz="4" w:space="0" w:color="auto"/>
              <w:bottom w:val="single" w:sz="4" w:space="0" w:color="auto"/>
              <w:right w:val="single" w:sz="4" w:space="0" w:color="auto"/>
            </w:tcBorders>
            <w:hideMark/>
          </w:tcPr>
          <w:p w14:paraId="40690CE7" w14:textId="77777777" w:rsidR="003A71DE" w:rsidRPr="00EA3B97" w:rsidRDefault="003A71DE" w:rsidP="007835E8">
            <w:pPr>
              <w:pStyle w:val="TAH"/>
              <w:rPr>
                <w:rFonts w:eastAsiaTheme="minorEastAsia"/>
              </w:rPr>
            </w:pPr>
            <w:r w:rsidRPr="00EA3B97">
              <w:rPr>
                <w:rFonts w:eastAsiaTheme="minorEastAsia"/>
              </w:rPr>
              <w:t>Data Region</w:t>
            </w:r>
          </w:p>
        </w:tc>
      </w:tr>
      <w:tr w:rsidR="003A71DE" w:rsidRPr="00EA3B97" w14:paraId="4E76F263"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18F8C737" w14:textId="77777777" w:rsidR="003A71DE" w:rsidRPr="00EA3B97" w:rsidRDefault="003A71DE" w:rsidP="007835E8">
            <w:pPr>
              <w:pStyle w:val="TAL"/>
              <w:rPr>
                <w:rFonts w:eastAsiaTheme="minorEastAsia"/>
              </w:rPr>
            </w:pPr>
            <w:r w:rsidRPr="00EA3B97">
              <w:rPr>
                <w:rFonts w:eastAsiaTheme="minorEastAsia"/>
              </w:rPr>
              <w:t>Probe</w:t>
            </w:r>
          </w:p>
        </w:tc>
        <w:tc>
          <w:tcPr>
            <w:tcW w:w="7261" w:type="dxa"/>
            <w:gridSpan w:val="2"/>
            <w:tcBorders>
              <w:top w:val="single" w:sz="4" w:space="0" w:color="auto"/>
              <w:left w:val="single" w:sz="4" w:space="0" w:color="auto"/>
              <w:bottom w:val="single" w:sz="4" w:space="0" w:color="auto"/>
              <w:right w:val="single" w:sz="4" w:space="0" w:color="auto"/>
            </w:tcBorders>
            <w:hideMark/>
          </w:tcPr>
          <w:p w14:paraId="1AFF47EC" w14:textId="77777777" w:rsidR="003A71DE" w:rsidRPr="00EA3B97" w:rsidRDefault="003A71DE" w:rsidP="007835E8">
            <w:pPr>
              <w:pStyle w:val="TAL"/>
              <w:rPr>
                <w:rFonts w:eastAsiaTheme="minorEastAsia" w:cs="Arial"/>
              </w:rPr>
            </w:pPr>
            <w:r w:rsidRPr="00EA3B97">
              <w:rPr>
                <w:rFonts w:eastAsiaTheme="minorEastAsia" w:cs="Arial"/>
              </w:rPr>
              <w:t>Transmitting the serving beam</w:t>
            </w:r>
          </w:p>
        </w:tc>
      </w:tr>
      <w:tr w:rsidR="003A71DE" w:rsidRPr="00EA3B97" w14:paraId="5DB0D601"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43DAF02" w14:textId="77777777" w:rsidR="003A71DE" w:rsidRPr="00EA3B97" w:rsidRDefault="003A71DE" w:rsidP="007835E8">
            <w:pPr>
              <w:pStyle w:val="TAL"/>
              <w:rPr>
                <w:rFonts w:eastAsiaTheme="minorEastAsia"/>
              </w:rPr>
            </w:pPr>
            <w:r w:rsidRPr="00EA3B97">
              <w:rPr>
                <w:rFonts w:eastAsiaTheme="minorEastAsia"/>
              </w:rPr>
              <w:t>Resource allocation</w:t>
            </w:r>
          </w:p>
        </w:tc>
        <w:tc>
          <w:tcPr>
            <w:tcW w:w="3260" w:type="dxa"/>
            <w:tcBorders>
              <w:top w:val="single" w:sz="4" w:space="0" w:color="auto"/>
              <w:left w:val="single" w:sz="4" w:space="0" w:color="auto"/>
              <w:bottom w:val="single" w:sz="4" w:space="0" w:color="auto"/>
              <w:right w:val="single" w:sz="4" w:space="0" w:color="auto"/>
            </w:tcBorders>
            <w:hideMark/>
          </w:tcPr>
          <w:p w14:paraId="0D6FC0E9" w14:textId="77777777" w:rsidR="003A71DE" w:rsidRPr="00EA3B97" w:rsidRDefault="003A71DE" w:rsidP="007835E8">
            <w:pPr>
              <w:pStyle w:val="TAL"/>
              <w:rPr>
                <w:rFonts w:eastAsiaTheme="minorEastAsia" w:cs="Arial"/>
              </w:rPr>
            </w:pPr>
            <w:r w:rsidRPr="00EA3B97">
              <w:rPr>
                <w:rFonts w:eastAsiaTheme="minorEastAsia" w:cs="Arial"/>
              </w:rPr>
              <w:t>Unused REs (Note 1) in the symbols where SSB/CSI-RS are not transmitted from both the serving beam probe and non-serving beam probe.</w:t>
            </w:r>
          </w:p>
        </w:tc>
        <w:tc>
          <w:tcPr>
            <w:tcW w:w="4001" w:type="dxa"/>
            <w:tcBorders>
              <w:top w:val="single" w:sz="4" w:space="0" w:color="auto"/>
              <w:left w:val="single" w:sz="4" w:space="0" w:color="auto"/>
              <w:bottom w:val="single" w:sz="4" w:space="0" w:color="auto"/>
              <w:right w:val="single" w:sz="4" w:space="0" w:color="auto"/>
            </w:tcBorders>
            <w:hideMark/>
          </w:tcPr>
          <w:p w14:paraId="134874AD" w14:textId="77777777" w:rsidR="003A71DE" w:rsidRPr="00EA3B97" w:rsidRDefault="003A71DE" w:rsidP="007835E8">
            <w:pPr>
              <w:pStyle w:val="TAL"/>
              <w:rPr>
                <w:rFonts w:eastAsiaTheme="minorEastAsia" w:cs="Arial"/>
              </w:rPr>
            </w:pPr>
            <w:r w:rsidRPr="00EA3B97">
              <w:rPr>
                <w:rFonts w:eastAsiaTheme="minorEastAsia" w:cs="Arial"/>
              </w:rPr>
              <w:t>Unused REs (Note 2) in the symbols where SSB/CSI-RS are not transmitted from both the serving beam probe and non-serving beam probe.</w:t>
            </w:r>
          </w:p>
        </w:tc>
      </w:tr>
      <w:tr w:rsidR="003A71DE" w:rsidRPr="00EA3B97" w14:paraId="54C8868B"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40ED74D" w14:textId="77777777" w:rsidR="003A71DE" w:rsidRPr="00EA3B97" w:rsidRDefault="003A71DE" w:rsidP="007835E8">
            <w:pPr>
              <w:pStyle w:val="TAL"/>
              <w:rPr>
                <w:rFonts w:eastAsiaTheme="minorEastAsia"/>
              </w:rPr>
            </w:pPr>
            <w:r w:rsidRPr="00EA3B97">
              <w:rPr>
                <w:rFonts w:eastAsiaTheme="minorEastAsia"/>
              </w:rPr>
              <w:t>Channel</w:t>
            </w:r>
          </w:p>
        </w:tc>
        <w:tc>
          <w:tcPr>
            <w:tcW w:w="3260" w:type="dxa"/>
            <w:tcBorders>
              <w:top w:val="single" w:sz="4" w:space="0" w:color="auto"/>
              <w:left w:val="single" w:sz="4" w:space="0" w:color="auto"/>
              <w:bottom w:val="single" w:sz="4" w:space="0" w:color="auto"/>
              <w:right w:val="single" w:sz="4" w:space="0" w:color="auto"/>
            </w:tcBorders>
            <w:hideMark/>
          </w:tcPr>
          <w:p w14:paraId="2866973D" w14:textId="77777777" w:rsidR="003A71DE" w:rsidRPr="00EA3B97" w:rsidRDefault="003A71DE" w:rsidP="007835E8">
            <w:pPr>
              <w:pStyle w:val="TAL"/>
              <w:rPr>
                <w:rFonts w:eastAsiaTheme="minorEastAsia"/>
              </w:rPr>
            </w:pPr>
            <w:r w:rsidRPr="00EA3B97">
              <w:rPr>
                <w:rFonts w:eastAsiaTheme="minorEastAsia"/>
              </w:rPr>
              <w:t>PDCCH</w:t>
            </w:r>
          </w:p>
        </w:tc>
        <w:tc>
          <w:tcPr>
            <w:tcW w:w="4001" w:type="dxa"/>
            <w:tcBorders>
              <w:top w:val="single" w:sz="4" w:space="0" w:color="auto"/>
              <w:left w:val="single" w:sz="4" w:space="0" w:color="auto"/>
              <w:bottom w:val="single" w:sz="4" w:space="0" w:color="auto"/>
              <w:right w:val="single" w:sz="4" w:space="0" w:color="auto"/>
            </w:tcBorders>
            <w:hideMark/>
          </w:tcPr>
          <w:p w14:paraId="02C4D914" w14:textId="77777777" w:rsidR="003A71DE" w:rsidRPr="00EA3B97" w:rsidRDefault="003A71DE" w:rsidP="007835E8">
            <w:pPr>
              <w:pStyle w:val="TAL"/>
              <w:rPr>
                <w:rFonts w:eastAsiaTheme="minorEastAsia"/>
              </w:rPr>
            </w:pPr>
            <w:r w:rsidRPr="00EA3B97">
              <w:rPr>
                <w:rFonts w:eastAsiaTheme="minorEastAsia"/>
              </w:rPr>
              <w:t>PDSCH</w:t>
            </w:r>
          </w:p>
        </w:tc>
      </w:tr>
      <w:tr w:rsidR="003A71DE" w:rsidRPr="00EA3B97" w14:paraId="01CC1959"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BDE57C5" w14:textId="77777777" w:rsidR="003A71DE" w:rsidRPr="00EA3B97" w:rsidRDefault="003A71DE" w:rsidP="007835E8">
            <w:pPr>
              <w:pStyle w:val="TAL"/>
              <w:rPr>
                <w:rFonts w:eastAsiaTheme="minorEastAsia"/>
              </w:rPr>
            </w:pPr>
            <w:r w:rsidRPr="00EA3B97">
              <w:rPr>
                <w:rFonts w:eastAsiaTheme="minorEastAsia"/>
              </w:rPr>
              <w:t>Contents</w:t>
            </w:r>
          </w:p>
        </w:tc>
        <w:tc>
          <w:tcPr>
            <w:tcW w:w="3260" w:type="dxa"/>
            <w:tcBorders>
              <w:top w:val="single" w:sz="4" w:space="0" w:color="auto"/>
              <w:left w:val="single" w:sz="4" w:space="0" w:color="auto"/>
              <w:bottom w:val="single" w:sz="4" w:space="0" w:color="auto"/>
              <w:right w:val="single" w:sz="4" w:space="0" w:color="auto"/>
            </w:tcBorders>
            <w:hideMark/>
          </w:tcPr>
          <w:p w14:paraId="0BD9DFCF" w14:textId="77777777" w:rsidR="003A71DE" w:rsidRPr="00EA3B97" w:rsidRDefault="003A71DE" w:rsidP="007835E8">
            <w:pPr>
              <w:pStyle w:val="TAL"/>
              <w:rPr>
                <w:rFonts w:eastAsiaTheme="minorEastAsia"/>
              </w:rPr>
            </w:pPr>
            <w:r w:rsidRPr="00EA3B97">
              <w:rPr>
                <w:rFonts w:eastAsiaTheme="minorEastAsia"/>
              </w:rPr>
              <w:t>Virtual IAB-MT IDs</w:t>
            </w:r>
          </w:p>
        </w:tc>
        <w:tc>
          <w:tcPr>
            <w:tcW w:w="4001" w:type="dxa"/>
            <w:tcBorders>
              <w:top w:val="single" w:sz="4" w:space="0" w:color="auto"/>
              <w:left w:val="single" w:sz="4" w:space="0" w:color="auto"/>
              <w:bottom w:val="single" w:sz="4" w:space="0" w:color="auto"/>
              <w:right w:val="single" w:sz="4" w:space="0" w:color="auto"/>
            </w:tcBorders>
            <w:hideMark/>
          </w:tcPr>
          <w:p w14:paraId="406BC75D" w14:textId="77777777" w:rsidR="003A71DE" w:rsidRPr="00EA3B97" w:rsidRDefault="003A71DE" w:rsidP="007835E8">
            <w:pPr>
              <w:pStyle w:val="TAL"/>
              <w:rPr>
                <w:rFonts w:eastAsiaTheme="minorEastAsia"/>
              </w:rPr>
            </w:pPr>
            <w:r w:rsidRPr="00EA3B97">
              <w:rPr>
                <w:rFonts w:eastAsiaTheme="minorEastAsia"/>
              </w:rPr>
              <w:t>Uncorrelated pseudo random QPSK modulated data</w:t>
            </w:r>
          </w:p>
        </w:tc>
      </w:tr>
      <w:tr w:rsidR="003A71DE" w:rsidRPr="00EA3B97" w14:paraId="3D44FDDE"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0DF527A7" w14:textId="77777777" w:rsidR="003A71DE" w:rsidRPr="00EA3B97" w:rsidRDefault="003A71DE" w:rsidP="007835E8">
            <w:pPr>
              <w:pStyle w:val="TAL"/>
              <w:rPr>
                <w:rFonts w:eastAsiaTheme="minorEastAsia"/>
              </w:rPr>
            </w:pPr>
            <w:r w:rsidRPr="00EA3B97">
              <w:rPr>
                <w:rFonts w:eastAsiaTheme="minorEastAsia"/>
              </w:rPr>
              <w:t>Antenna transmission scheme</w:t>
            </w:r>
          </w:p>
        </w:tc>
        <w:tc>
          <w:tcPr>
            <w:tcW w:w="3260" w:type="dxa"/>
            <w:tcBorders>
              <w:top w:val="single" w:sz="4" w:space="0" w:color="auto"/>
              <w:left w:val="single" w:sz="4" w:space="0" w:color="auto"/>
              <w:bottom w:val="single" w:sz="4" w:space="0" w:color="auto"/>
              <w:right w:val="single" w:sz="4" w:space="0" w:color="auto"/>
            </w:tcBorders>
            <w:hideMark/>
          </w:tcPr>
          <w:p w14:paraId="10FEED9E"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1EEE7681"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1DE98698"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1ACC00AC" w14:textId="77777777" w:rsidR="003A71DE" w:rsidRPr="00EA3B97" w:rsidRDefault="003A71DE" w:rsidP="007835E8">
            <w:pPr>
              <w:pStyle w:val="TAL"/>
              <w:rPr>
                <w:rFonts w:eastAsiaTheme="minorEastAsia"/>
              </w:rPr>
            </w:pPr>
            <w:r w:rsidRPr="00EA3B97">
              <w:rPr>
                <w:rFonts w:eastAsiaTheme="minorEastAsia"/>
              </w:rPr>
              <w:t>Subcarrier spacing</w:t>
            </w:r>
          </w:p>
        </w:tc>
        <w:tc>
          <w:tcPr>
            <w:tcW w:w="3260" w:type="dxa"/>
            <w:tcBorders>
              <w:top w:val="single" w:sz="4" w:space="0" w:color="auto"/>
              <w:left w:val="single" w:sz="4" w:space="0" w:color="auto"/>
              <w:bottom w:val="single" w:sz="4" w:space="0" w:color="auto"/>
              <w:right w:val="single" w:sz="4" w:space="0" w:color="auto"/>
            </w:tcBorders>
            <w:hideMark/>
          </w:tcPr>
          <w:p w14:paraId="1F4283DA"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55C912F8"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17E9E5A9"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2DD282C" w14:textId="77777777" w:rsidR="003A71DE" w:rsidRPr="00EA3B97" w:rsidRDefault="003A71DE" w:rsidP="007835E8">
            <w:pPr>
              <w:pStyle w:val="TAL"/>
              <w:rPr>
                <w:rFonts w:eastAsiaTheme="minorEastAsia"/>
              </w:rPr>
            </w:pPr>
            <w:r w:rsidRPr="00EA3B97">
              <w:rPr>
                <w:rFonts w:eastAsiaTheme="minorEastAsia"/>
              </w:rPr>
              <w:t>Aggregation level</w:t>
            </w:r>
          </w:p>
        </w:tc>
        <w:tc>
          <w:tcPr>
            <w:tcW w:w="3260" w:type="dxa"/>
            <w:tcBorders>
              <w:top w:val="single" w:sz="4" w:space="0" w:color="auto"/>
              <w:left w:val="single" w:sz="4" w:space="0" w:color="auto"/>
              <w:bottom w:val="single" w:sz="4" w:space="0" w:color="auto"/>
              <w:right w:val="single" w:sz="4" w:space="0" w:color="auto"/>
            </w:tcBorders>
            <w:hideMark/>
          </w:tcPr>
          <w:p w14:paraId="195AE73E"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4F660565" w14:textId="77777777" w:rsidR="003A71DE" w:rsidRPr="00EA3B97" w:rsidRDefault="003A71DE" w:rsidP="007835E8">
            <w:pPr>
              <w:pStyle w:val="TAL"/>
              <w:rPr>
                <w:rFonts w:eastAsiaTheme="minorEastAsia" w:cs="Arial"/>
              </w:rPr>
            </w:pPr>
            <w:r w:rsidRPr="00EA3B97">
              <w:rPr>
                <w:rFonts w:eastAsiaTheme="minorEastAsia" w:cs="Arial"/>
              </w:rPr>
              <w:t>N/A</w:t>
            </w:r>
          </w:p>
        </w:tc>
      </w:tr>
      <w:tr w:rsidR="003A71DE" w:rsidRPr="00EA3B97" w14:paraId="4335CEA0"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031C4270" w14:textId="77777777" w:rsidR="003A71DE" w:rsidRPr="00EA3B97" w:rsidRDefault="003A71DE" w:rsidP="007835E8">
            <w:pPr>
              <w:pStyle w:val="TAL"/>
              <w:rPr>
                <w:rFonts w:eastAsiaTheme="minorEastAsia"/>
              </w:rPr>
            </w:pPr>
            <w:r w:rsidRPr="00EA3B97">
              <w:rPr>
                <w:rFonts w:eastAsiaTheme="minorEastAsia"/>
              </w:rPr>
              <w:t>Code rate</w:t>
            </w:r>
          </w:p>
        </w:tc>
        <w:tc>
          <w:tcPr>
            <w:tcW w:w="3260" w:type="dxa"/>
            <w:tcBorders>
              <w:top w:val="single" w:sz="4" w:space="0" w:color="auto"/>
              <w:left w:val="single" w:sz="4" w:space="0" w:color="auto"/>
              <w:bottom w:val="single" w:sz="4" w:space="0" w:color="auto"/>
              <w:right w:val="single" w:sz="4" w:space="0" w:color="auto"/>
            </w:tcBorders>
            <w:hideMark/>
          </w:tcPr>
          <w:p w14:paraId="6E2D8572"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6365608C"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48240683"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02449BF5" w14:textId="77777777" w:rsidR="003A71DE" w:rsidRPr="00EA3B97" w:rsidRDefault="003A71DE" w:rsidP="007835E8">
            <w:pPr>
              <w:pStyle w:val="TAL"/>
              <w:rPr>
                <w:rFonts w:eastAsiaTheme="minorEastAsia"/>
              </w:rPr>
            </w:pPr>
            <w:r w:rsidRPr="00EA3B97">
              <w:rPr>
                <w:rFonts w:eastAsiaTheme="minorEastAsia"/>
              </w:rPr>
              <w:t>Transmit Power</w:t>
            </w:r>
          </w:p>
        </w:tc>
        <w:tc>
          <w:tcPr>
            <w:tcW w:w="3260" w:type="dxa"/>
            <w:tcBorders>
              <w:top w:val="single" w:sz="4" w:space="0" w:color="auto"/>
              <w:left w:val="single" w:sz="4" w:space="0" w:color="auto"/>
              <w:bottom w:val="single" w:sz="4" w:space="0" w:color="auto"/>
              <w:right w:val="single" w:sz="4" w:space="0" w:color="auto"/>
            </w:tcBorders>
            <w:hideMark/>
          </w:tcPr>
          <w:p w14:paraId="1D1FB297"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64130141"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62F44D67"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91A98A6" w14:textId="77777777" w:rsidR="003A71DE" w:rsidRPr="00EA3B97" w:rsidRDefault="003A71DE" w:rsidP="007835E8">
            <w:pPr>
              <w:pStyle w:val="TAL"/>
              <w:rPr>
                <w:rFonts w:eastAsiaTheme="minorEastAsia"/>
              </w:rPr>
            </w:pPr>
            <w:r w:rsidRPr="00EA3B97">
              <w:rPr>
                <w:rFonts w:eastAsiaTheme="minorEastAsia"/>
              </w:rPr>
              <w:t>CP length</w:t>
            </w:r>
          </w:p>
        </w:tc>
        <w:tc>
          <w:tcPr>
            <w:tcW w:w="3260" w:type="dxa"/>
            <w:tcBorders>
              <w:top w:val="single" w:sz="4" w:space="0" w:color="auto"/>
              <w:left w:val="single" w:sz="4" w:space="0" w:color="auto"/>
              <w:bottom w:val="single" w:sz="4" w:space="0" w:color="auto"/>
              <w:right w:val="single" w:sz="4" w:space="0" w:color="auto"/>
            </w:tcBorders>
            <w:hideMark/>
          </w:tcPr>
          <w:p w14:paraId="7C5ECF99"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5C4F22BB"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21528E06" w14:textId="77777777" w:rsidTr="003A71DE">
        <w:tc>
          <w:tcPr>
            <w:tcW w:w="9779" w:type="dxa"/>
            <w:gridSpan w:val="3"/>
            <w:tcBorders>
              <w:top w:val="single" w:sz="4" w:space="0" w:color="auto"/>
              <w:left w:val="single" w:sz="4" w:space="0" w:color="auto"/>
              <w:bottom w:val="single" w:sz="4" w:space="0" w:color="auto"/>
              <w:right w:val="single" w:sz="4" w:space="0" w:color="auto"/>
            </w:tcBorders>
            <w:hideMark/>
          </w:tcPr>
          <w:p w14:paraId="514A50B8"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REs not used in the active CORESETs where PDCCH is scheduled for the IAB-MT under test.</w:t>
            </w:r>
          </w:p>
          <w:p w14:paraId="2B0776B1" w14:textId="77777777" w:rsidR="003A71DE" w:rsidRPr="00EA3B97" w:rsidRDefault="003A71DE" w:rsidP="007835E8">
            <w:pPr>
              <w:pStyle w:val="TAN"/>
              <w:rPr>
                <w:rFonts w:eastAsiaTheme="minorEastAsia"/>
              </w:rPr>
            </w:pPr>
            <w:r w:rsidRPr="00EA3B97">
              <w:rPr>
                <w:rFonts w:eastAsiaTheme="minorEastAsia"/>
              </w:rPr>
              <w:t>Note 2:</w:t>
            </w:r>
            <w:r w:rsidRPr="00EA3B97">
              <w:rPr>
                <w:rFonts w:eastAsiaTheme="minorEastAsia"/>
              </w:rPr>
              <w:tab/>
              <w:t>REs not allocated to any physical channels, CORESET, SSB or any other reference signal within the channel bandwidth of the cell.</w:t>
            </w:r>
          </w:p>
          <w:p w14:paraId="58612197" w14:textId="77777777" w:rsidR="003A71DE" w:rsidRPr="00EA3B97" w:rsidRDefault="003A71DE" w:rsidP="007835E8">
            <w:pPr>
              <w:pStyle w:val="TAN"/>
              <w:rPr>
                <w:rFonts w:eastAsiaTheme="minorEastAsia"/>
              </w:rPr>
            </w:pPr>
            <w:r w:rsidRPr="00EA3B97">
              <w:rPr>
                <w:rFonts w:eastAsiaTheme="minorEastAsia"/>
              </w:rPr>
              <w:t>Note 3:</w:t>
            </w:r>
            <w:r w:rsidRPr="00EA3B97">
              <w:rPr>
                <w:rFonts w:eastAsiaTheme="minorEastAsia"/>
              </w:rPr>
              <w:tab/>
              <w:t>No OCNG is transmitted from the probe transmitting non-serving beam.</w:t>
            </w:r>
          </w:p>
        </w:tc>
      </w:tr>
    </w:tbl>
    <w:p w14:paraId="771F52CB" w14:textId="77777777" w:rsidR="003A71DE" w:rsidRPr="00EA3B97" w:rsidRDefault="003A71DE" w:rsidP="003A71DE">
      <w:pPr>
        <w:rPr>
          <w:rFonts w:eastAsiaTheme="minorEastAsia"/>
          <w:noProof/>
        </w:rPr>
      </w:pPr>
    </w:p>
    <w:p w14:paraId="07B8350E" w14:textId="77777777" w:rsidR="003A71DE" w:rsidRPr="00EA3B97" w:rsidRDefault="003A71DE" w:rsidP="00A153AF">
      <w:pPr>
        <w:pStyle w:val="Heading5"/>
        <w:rPr>
          <w:rFonts w:eastAsiaTheme="minorEastAsia"/>
          <w:snapToGrid w:val="0"/>
        </w:rPr>
      </w:pPr>
      <w:bookmarkStart w:id="9766" w:name="_Toc74583621"/>
      <w:bookmarkStart w:id="9767" w:name="_Toc76542434"/>
      <w:bookmarkStart w:id="9768" w:name="_Toc82450416"/>
      <w:bookmarkStart w:id="9769" w:name="_Toc82451064"/>
      <w:bookmarkStart w:id="9770" w:name="_Toc89949453"/>
      <w:bookmarkStart w:id="9771" w:name="_Toc98755842"/>
      <w:bookmarkStart w:id="9772" w:name="_Toc98763434"/>
      <w:bookmarkStart w:id="9773" w:name="_Toc106184363"/>
      <w:r w:rsidRPr="00EA3B97">
        <w:rPr>
          <w:rFonts w:eastAsiaTheme="minorEastAsia"/>
          <w:snapToGrid w:val="0"/>
        </w:rPr>
        <w:t>G.1.2.1.3</w:t>
      </w:r>
      <w:r w:rsidRPr="00EA3B97">
        <w:rPr>
          <w:rFonts w:eastAsiaTheme="minorEastAsia"/>
          <w:snapToGrid w:val="0"/>
        </w:rPr>
        <w:tab/>
        <w:t>OCNG pattern 3: Generic OCNG pattern for unused REs in the same bandwidth as PDSCH RMC</w:t>
      </w:r>
      <w:bookmarkEnd w:id="9766"/>
      <w:bookmarkEnd w:id="9767"/>
      <w:bookmarkEnd w:id="9768"/>
      <w:bookmarkEnd w:id="9769"/>
      <w:bookmarkEnd w:id="9770"/>
      <w:bookmarkEnd w:id="9771"/>
      <w:bookmarkEnd w:id="9772"/>
      <w:bookmarkEnd w:id="9773"/>
    </w:p>
    <w:p w14:paraId="40D7FE94" w14:textId="77777777" w:rsidR="003A71DE" w:rsidRPr="00EA3B97" w:rsidRDefault="003A71DE" w:rsidP="00BA0D24">
      <w:pPr>
        <w:pStyle w:val="TH"/>
        <w:rPr>
          <w:rFonts w:eastAsiaTheme="minorEastAsia"/>
        </w:rPr>
      </w:pPr>
      <w:r w:rsidRPr="00EA3B97">
        <w:rPr>
          <w:rFonts w:eastAsiaTheme="minorEastAsia"/>
        </w:rPr>
        <w:t>Table G.1.2.1.3-1: OP.3: Generic OCNG pattern for unused REs in the same BW as RMC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8"/>
        <w:gridCol w:w="3205"/>
        <w:gridCol w:w="3938"/>
      </w:tblGrid>
      <w:tr w:rsidR="003A71DE" w:rsidRPr="00EA3B97" w14:paraId="4A840F76"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394E38DA" w14:textId="77777777" w:rsidR="003A71DE" w:rsidRPr="00EA3B97" w:rsidRDefault="003A71DE" w:rsidP="007835E8">
            <w:pPr>
              <w:pStyle w:val="TAH"/>
              <w:rPr>
                <w:rFonts w:eastAsiaTheme="minorEastAsia"/>
              </w:rPr>
            </w:pPr>
            <w:r w:rsidRPr="00EA3B97">
              <w:rPr>
                <w:rFonts w:eastAsiaTheme="minorEastAsia"/>
                <w:lang w:val="en-US"/>
              </w:rPr>
              <w:t>OCNG Parameters</w:t>
            </w:r>
          </w:p>
        </w:tc>
        <w:tc>
          <w:tcPr>
            <w:tcW w:w="3260" w:type="dxa"/>
            <w:tcBorders>
              <w:top w:val="single" w:sz="4" w:space="0" w:color="auto"/>
              <w:left w:val="single" w:sz="4" w:space="0" w:color="auto"/>
              <w:bottom w:val="single" w:sz="4" w:space="0" w:color="auto"/>
              <w:right w:val="single" w:sz="4" w:space="0" w:color="auto"/>
            </w:tcBorders>
            <w:hideMark/>
          </w:tcPr>
          <w:p w14:paraId="08E7C8CF" w14:textId="77777777" w:rsidR="003A71DE" w:rsidRPr="00EA3B97" w:rsidRDefault="003A71DE" w:rsidP="007835E8">
            <w:pPr>
              <w:pStyle w:val="TAH"/>
              <w:rPr>
                <w:rFonts w:eastAsiaTheme="minorEastAsia"/>
              </w:rPr>
            </w:pPr>
            <w:r w:rsidRPr="00EA3B97">
              <w:rPr>
                <w:rFonts w:eastAsiaTheme="minorEastAsia"/>
              </w:rPr>
              <w:t>Control Region</w:t>
            </w:r>
          </w:p>
        </w:tc>
        <w:tc>
          <w:tcPr>
            <w:tcW w:w="4001" w:type="dxa"/>
            <w:tcBorders>
              <w:top w:val="single" w:sz="4" w:space="0" w:color="auto"/>
              <w:left w:val="single" w:sz="4" w:space="0" w:color="auto"/>
              <w:bottom w:val="single" w:sz="4" w:space="0" w:color="auto"/>
              <w:right w:val="single" w:sz="4" w:space="0" w:color="auto"/>
            </w:tcBorders>
            <w:hideMark/>
          </w:tcPr>
          <w:p w14:paraId="3F0F56DC" w14:textId="77777777" w:rsidR="003A71DE" w:rsidRPr="00EA3B97" w:rsidRDefault="003A71DE" w:rsidP="007835E8">
            <w:pPr>
              <w:pStyle w:val="TAH"/>
              <w:rPr>
                <w:rFonts w:eastAsiaTheme="minorEastAsia"/>
              </w:rPr>
            </w:pPr>
            <w:r w:rsidRPr="00EA3B97">
              <w:rPr>
                <w:rFonts w:eastAsiaTheme="minorEastAsia"/>
              </w:rPr>
              <w:t>Data Region</w:t>
            </w:r>
          </w:p>
        </w:tc>
      </w:tr>
      <w:tr w:rsidR="003A71DE" w:rsidRPr="00EA3B97" w14:paraId="1FD9446C"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751FE07" w14:textId="77777777" w:rsidR="003A71DE" w:rsidRPr="00EA3B97" w:rsidRDefault="003A71DE" w:rsidP="007835E8">
            <w:pPr>
              <w:pStyle w:val="TAL"/>
              <w:rPr>
                <w:rFonts w:eastAsiaTheme="minorEastAsia"/>
              </w:rPr>
            </w:pPr>
            <w:r w:rsidRPr="00EA3B97">
              <w:rPr>
                <w:rFonts w:eastAsiaTheme="minorEastAsia"/>
              </w:rPr>
              <w:t>Resource allocation</w:t>
            </w:r>
          </w:p>
        </w:tc>
        <w:tc>
          <w:tcPr>
            <w:tcW w:w="3260" w:type="dxa"/>
            <w:tcBorders>
              <w:top w:val="nil"/>
              <w:left w:val="nil"/>
              <w:bottom w:val="single" w:sz="8" w:space="0" w:color="auto"/>
              <w:right w:val="single" w:sz="8" w:space="0" w:color="auto"/>
            </w:tcBorders>
            <w:hideMark/>
          </w:tcPr>
          <w:p w14:paraId="2F8B3C6B" w14:textId="77777777" w:rsidR="003A71DE" w:rsidRPr="00EA3B97" w:rsidRDefault="003A71DE" w:rsidP="007835E8">
            <w:pPr>
              <w:pStyle w:val="TAL"/>
              <w:rPr>
                <w:rFonts w:eastAsiaTheme="minorEastAsia" w:cs="Arial"/>
              </w:rPr>
            </w:pPr>
            <w:r w:rsidRPr="00EA3B97">
              <w:rPr>
                <w:rFonts w:eastAsiaTheme="minorEastAsia" w:cs="Arial"/>
              </w:rPr>
              <w:t>Unused REs (Note 1)</w:t>
            </w:r>
          </w:p>
        </w:tc>
        <w:tc>
          <w:tcPr>
            <w:tcW w:w="4001" w:type="dxa"/>
            <w:tcBorders>
              <w:top w:val="nil"/>
              <w:left w:val="nil"/>
              <w:bottom w:val="single" w:sz="8" w:space="0" w:color="auto"/>
              <w:right w:val="single" w:sz="8" w:space="0" w:color="auto"/>
            </w:tcBorders>
            <w:hideMark/>
          </w:tcPr>
          <w:p w14:paraId="0B99A19A" w14:textId="77777777" w:rsidR="003A71DE" w:rsidRPr="00EA3B97" w:rsidRDefault="003A71DE" w:rsidP="007835E8">
            <w:pPr>
              <w:pStyle w:val="TAL"/>
              <w:rPr>
                <w:rFonts w:eastAsiaTheme="minorEastAsia" w:cs="Arial"/>
              </w:rPr>
            </w:pPr>
            <w:r w:rsidRPr="00EA3B97">
              <w:rPr>
                <w:rFonts w:eastAsiaTheme="minorEastAsia" w:cs="Arial"/>
              </w:rPr>
              <w:t>Unused REs (Note 2)</w:t>
            </w:r>
          </w:p>
        </w:tc>
      </w:tr>
      <w:tr w:rsidR="003A71DE" w:rsidRPr="00EA3B97" w14:paraId="6EBF7EBD"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D22B4E7" w14:textId="77777777" w:rsidR="003A71DE" w:rsidRPr="00EA3B97" w:rsidRDefault="003A71DE" w:rsidP="007835E8">
            <w:pPr>
              <w:pStyle w:val="TAL"/>
              <w:rPr>
                <w:rFonts w:eastAsiaTheme="minorEastAsia"/>
              </w:rPr>
            </w:pPr>
            <w:r w:rsidRPr="00EA3B97">
              <w:rPr>
                <w:rFonts w:eastAsiaTheme="minorEastAsia"/>
              </w:rPr>
              <w:t>Channel</w:t>
            </w:r>
          </w:p>
        </w:tc>
        <w:tc>
          <w:tcPr>
            <w:tcW w:w="3260" w:type="dxa"/>
            <w:tcBorders>
              <w:top w:val="single" w:sz="4" w:space="0" w:color="auto"/>
              <w:left w:val="single" w:sz="4" w:space="0" w:color="auto"/>
              <w:bottom w:val="single" w:sz="4" w:space="0" w:color="auto"/>
              <w:right w:val="single" w:sz="4" w:space="0" w:color="auto"/>
            </w:tcBorders>
            <w:hideMark/>
          </w:tcPr>
          <w:p w14:paraId="678301AB" w14:textId="77777777" w:rsidR="003A71DE" w:rsidRPr="00EA3B97" w:rsidRDefault="003A71DE" w:rsidP="007835E8">
            <w:pPr>
              <w:pStyle w:val="TAL"/>
              <w:rPr>
                <w:rFonts w:eastAsiaTheme="minorEastAsia"/>
              </w:rPr>
            </w:pPr>
            <w:r w:rsidRPr="00EA3B97">
              <w:rPr>
                <w:rFonts w:eastAsiaTheme="minorEastAsia"/>
              </w:rPr>
              <w:t>PDCCH</w:t>
            </w:r>
          </w:p>
        </w:tc>
        <w:tc>
          <w:tcPr>
            <w:tcW w:w="4001" w:type="dxa"/>
            <w:tcBorders>
              <w:top w:val="single" w:sz="4" w:space="0" w:color="auto"/>
              <w:left w:val="single" w:sz="4" w:space="0" w:color="auto"/>
              <w:bottom w:val="single" w:sz="4" w:space="0" w:color="auto"/>
              <w:right w:val="single" w:sz="4" w:space="0" w:color="auto"/>
            </w:tcBorders>
            <w:hideMark/>
          </w:tcPr>
          <w:p w14:paraId="27E3F1C9" w14:textId="77777777" w:rsidR="003A71DE" w:rsidRPr="00EA3B97" w:rsidRDefault="003A71DE" w:rsidP="007835E8">
            <w:pPr>
              <w:pStyle w:val="TAL"/>
              <w:rPr>
                <w:rFonts w:eastAsiaTheme="minorEastAsia"/>
              </w:rPr>
            </w:pPr>
            <w:r w:rsidRPr="00EA3B97">
              <w:rPr>
                <w:rFonts w:eastAsiaTheme="minorEastAsia"/>
              </w:rPr>
              <w:t>PDSCH</w:t>
            </w:r>
          </w:p>
        </w:tc>
      </w:tr>
      <w:tr w:rsidR="003A71DE" w:rsidRPr="00EA3B97" w14:paraId="5BA2994B"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36E06E1" w14:textId="77777777" w:rsidR="003A71DE" w:rsidRPr="00EA3B97" w:rsidRDefault="003A71DE" w:rsidP="007835E8">
            <w:pPr>
              <w:pStyle w:val="TAL"/>
              <w:rPr>
                <w:rFonts w:eastAsiaTheme="minorEastAsia"/>
              </w:rPr>
            </w:pPr>
            <w:r w:rsidRPr="00EA3B97">
              <w:rPr>
                <w:rFonts w:eastAsiaTheme="minorEastAsia"/>
              </w:rPr>
              <w:t>Contents</w:t>
            </w:r>
          </w:p>
        </w:tc>
        <w:tc>
          <w:tcPr>
            <w:tcW w:w="3260" w:type="dxa"/>
            <w:tcBorders>
              <w:top w:val="single" w:sz="4" w:space="0" w:color="auto"/>
              <w:left w:val="single" w:sz="4" w:space="0" w:color="auto"/>
              <w:bottom w:val="single" w:sz="4" w:space="0" w:color="auto"/>
              <w:right w:val="single" w:sz="4" w:space="0" w:color="auto"/>
            </w:tcBorders>
            <w:hideMark/>
          </w:tcPr>
          <w:p w14:paraId="6F0AC711" w14:textId="77777777" w:rsidR="003A71DE" w:rsidRPr="00EA3B97" w:rsidRDefault="003A71DE" w:rsidP="007835E8">
            <w:pPr>
              <w:pStyle w:val="TAL"/>
              <w:rPr>
                <w:rFonts w:eastAsiaTheme="minorEastAsia"/>
              </w:rPr>
            </w:pPr>
            <w:r w:rsidRPr="00EA3B97">
              <w:rPr>
                <w:rFonts w:eastAsiaTheme="minorEastAsia"/>
              </w:rPr>
              <w:t>Virtual IAB-MT IDs</w:t>
            </w:r>
          </w:p>
        </w:tc>
        <w:tc>
          <w:tcPr>
            <w:tcW w:w="4001" w:type="dxa"/>
            <w:tcBorders>
              <w:top w:val="single" w:sz="4" w:space="0" w:color="auto"/>
              <w:left w:val="single" w:sz="4" w:space="0" w:color="auto"/>
              <w:bottom w:val="single" w:sz="4" w:space="0" w:color="auto"/>
              <w:right w:val="single" w:sz="4" w:space="0" w:color="auto"/>
            </w:tcBorders>
            <w:hideMark/>
          </w:tcPr>
          <w:p w14:paraId="0B83D582" w14:textId="77777777" w:rsidR="003A71DE" w:rsidRPr="00EA3B97" w:rsidRDefault="003A71DE" w:rsidP="007835E8">
            <w:pPr>
              <w:pStyle w:val="TAL"/>
              <w:rPr>
                <w:rFonts w:eastAsiaTheme="minorEastAsia"/>
              </w:rPr>
            </w:pPr>
            <w:r w:rsidRPr="00EA3B97">
              <w:rPr>
                <w:rFonts w:eastAsiaTheme="minorEastAsia"/>
              </w:rPr>
              <w:t>Uncorrelated pseudo random QPSK modulated data</w:t>
            </w:r>
          </w:p>
        </w:tc>
      </w:tr>
      <w:tr w:rsidR="003A71DE" w:rsidRPr="00EA3B97" w14:paraId="58C8BBE2"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07DFAD83" w14:textId="77777777" w:rsidR="003A71DE" w:rsidRPr="00EA3B97" w:rsidRDefault="003A71DE" w:rsidP="007835E8">
            <w:pPr>
              <w:pStyle w:val="TAL"/>
              <w:rPr>
                <w:rFonts w:eastAsiaTheme="minorEastAsia"/>
              </w:rPr>
            </w:pPr>
            <w:r w:rsidRPr="00EA3B97">
              <w:rPr>
                <w:rFonts w:eastAsiaTheme="minorEastAsia"/>
              </w:rPr>
              <w:t>Antenna transmission scheme</w:t>
            </w:r>
          </w:p>
        </w:tc>
        <w:tc>
          <w:tcPr>
            <w:tcW w:w="3260" w:type="dxa"/>
            <w:tcBorders>
              <w:top w:val="single" w:sz="4" w:space="0" w:color="auto"/>
              <w:left w:val="single" w:sz="4" w:space="0" w:color="auto"/>
              <w:bottom w:val="single" w:sz="4" w:space="0" w:color="auto"/>
              <w:right w:val="single" w:sz="4" w:space="0" w:color="auto"/>
            </w:tcBorders>
            <w:hideMark/>
          </w:tcPr>
          <w:p w14:paraId="2B103735"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2822C412"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288DEAC0"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7DCA2AC" w14:textId="77777777" w:rsidR="003A71DE" w:rsidRPr="00EA3B97" w:rsidRDefault="003A71DE" w:rsidP="007835E8">
            <w:pPr>
              <w:pStyle w:val="TAL"/>
              <w:rPr>
                <w:rFonts w:eastAsiaTheme="minorEastAsia"/>
              </w:rPr>
            </w:pPr>
            <w:r w:rsidRPr="00EA3B97">
              <w:rPr>
                <w:rFonts w:eastAsiaTheme="minorEastAsia"/>
              </w:rPr>
              <w:t>Subcarrier spacing</w:t>
            </w:r>
          </w:p>
        </w:tc>
        <w:tc>
          <w:tcPr>
            <w:tcW w:w="3260" w:type="dxa"/>
            <w:tcBorders>
              <w:top w:val="single" w:sz="4" w:space="0" w:color="auto"/>
              <w:left w:val="single" w:sz="4" w:space="0" w:color="auto"/>
              <w:bottom w:val="single" w:sz="4" w:space="0" w:color="auto"/>
              <w:right w:val="single" w:sz="4" w:space="0" w:color="auto"/>
            </w:tcBorders>
            <w:hideMark/>
          </w:tcPr>
          <w:p w14:paraId="56596498"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3E74F954"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1190BD90"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7739C6B" w14:textId="77777777" w:rsidR="003A71DE" w:rsidRPr="00EA3B97" w:rsidRDefault="003A71DE" w:rsidP="007835E8">
            <w:pPr>
              <w:pStyle w:val="TAL"/>
              <w:rPr>
                <w:rFonts w:eastAsiaTheme="minorEastAsia"/>
              </w:rPr>
            </w:pPr>
            <w:r w:rsidRPr="00EA3B97">
              <w:rPr>
                <w:rFonts w:eastAsiaTheme="minorEastAsia"/>
              </w:rPr>
              <w:t>Aggregation level</w:t>
            </w:r>
          </w:p>
        </w:tc>
        <w:tc>
          <w:tcPr>
            <w:tcW w:w="3260" w:type="dxa"/>
            <w:tcBorders>
              <w:top w:val="single" w:sz="4" w:space="0" w:color="auto"/>
              <w:left w:val="single" w:sz="4" w:space="0" w:color="auto"/>
              <w:bottom w:val="single" w:sz="4" w:space="0" w:color="auto"/>
              <w:right w:val="single" w:sz="4" w:space="0" w:color="auto"/>
            </w:tcBorders>
            <w:hideMark/>
          </w:tcPr>
          <w:p w14:paraId="59449873"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37995CFA" w14:textId="77777777" w:rsidR="003A71DE" w:rsidRPr="00EA3B97" w:rsidRDefault="003A71DE" w:rsidP="007835E8">
            <w:pPr>
              <w:pStyle w:val="TAL"/>
              <w:rPr>
                <w:rFonts w:eastAsiaTheme="minorEastAsia" w:cs="Arial"/>
              </w:rPr>
            </w:pPr>
            <w:r w:rsidRPr="00EA3B97">
              <w:rPr>
                <w:rFonts w:eastAsiaTheme="minorEastAsia" w:cs="Arial"/>
              </w:rPr>
              <w:t>N/A</w:t>
            </w:r>
          </w:p>
        </w:tc>
      </w:tr>
      <w:tr w:rsidR="003A71DE" w:rsidRPr="00EA3B97" w14:paraId="44934BF8"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78C4EF83" w14:textId="77777777" w:rsidR="003A71DE" w:rsidRPr="00EA3B97" w:rsidRDefault="003A71DE" w:rsidP="007835E8">
            <w:pPr>
              <w:pStyle w:val="TAL"/>
              <w:rPr>
                <w:rFonts w:eastAsiaTheme="minorEastAsia"/>
              </w:rPr>
            </w:pPr>
            <w:r w:rsidRPr="00EA3B97">
              <w:rPr>
                <w:rFonts w:eastAsiaTheme="minorEastAsia"/>
              </w:rPr>
              <w:t>Code rate</w:t>
            </w:r>
          </w:p>
        </w:tc>
        <w:tc>
          <w:tcPr>
            <w:tcW w:w="3260" w:type="dxa"/>
            <w:tcBorders>
              <w:top w:val="single" w:sz="4" w:space="0" w:color="auto"/>
              <w:left w:val="single" w:sz="4" w:space="0" w:color="auto"/>
              <w:bottom w:val="single" w:sz="4" w:space="0" w:color="auto"/>
              <w:right w:val="single" w:sz="4" w:space="0" w:color="auto"/>
            </w:tcBorders>
            <w:hideMark/>
          </w:tcPr>
          <w:p w14:paraId="36256941"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5443B568"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13C20B45"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1D6463A" w14:textId="77777777" w:rsidR="003A71DE" w:rsidRPr="00EA3B97" w:rsidRDefault="003A71DE" w:rsidP="007835E8">
            <w:pPr>
              <w:pStyle w:val="TAL"/>
              <w:rPr>
                <w:rFonts w:eastAsiaTheme="minorEastAsia"/>
              </w:rPr>
            </w:pPr>
            <w:r w:rsidRPr="00EA3B97">
              <w:rPr>
                <w:rFonts w:eastAsiaTheme="minorEastAsia"/>
              </w:rPr>
              <w:t>Transmit Power</w:t>
            </w:r>
          </w:p>
        </w:tc>
        <w:tc>
          <w:tcPr>
            <w:tcW w:w="3260" w:type="dxa"/>
            <w:tcBorders>
              <w:top w:val="single" w:sz="4" w:space="0" w:color="auto"/>
              <w:left w:val="single" w:sz="4" w:space="0" w:color="auto"/>
              <w:bottom w:val="single" w:sz="4" w:space="0" w:color="auto"/>
              <w:right w:val="single" w:sz="4" w:space="0" w:color="auto"/>
            </w:tcBorders>
            <w:hideMark/>
          </w:tcPr>
          <w:p w14:paraId="745116CE"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65E4C0B7"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2AFDFC00"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163700EE" w14:textId="77777777" w:rsidR="003A71DE" w:rsidRPr="00EA3B97" w:rsidRDefault="003A71DE" w:rsidP="007835E8">
            <w:pPr>
              <w:pStyle w:val="TAL"/>
              <w:rPr>
                <w:rFonts w:eastAsiaTheme="minorEastAsia"/>
              </w:rPr>
            </w:pPr>
            <w:r w:rsidRPr="00EA3B97">
              <w:rPr>
                <w:rFonts w:eastAsiaTheme="minorEastAsia"/>
              </w:rPr>
              <w:t>CP length</w:t>
            </w:r>
          </w:p>
        </w:tc>
        <w:tc>
          <w:tcPr>
            <w:tcW w:w="3260" w:type="dxa"/>
            <w:tcBorders>
              <w:top w:val="single" w:sz="4" w:space="0" w:color="auto"/>
              <w:left w:val="single" w:sz="4" w:space="0" w:color="auto"/>
              <w:bottom w:val="single" w:sz="4" w:space="0" w:color="auto"/>
              <w:right w:val="single" w:sz="4" w:space="0" w:color="auto"/>
            </w:tcBorders>
            <w:hideMark/>
          </w:tcPr>
          <w:p w14:paraId="572B5A0A"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352A1896"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7DD89521" w14:textId="77777777" w:rsidTr="003A71DE">
        <w:tc>
          <w:tcPr>
            <w:tcW w:w="9779" w:type="dxa"/>
            <w:gridSpan w:val="3"/>
            <w:tcBorders>
              <w:top w:val="single" w:sz="4" w:space="0" w:color="auto"/>
              <w:left w:val="single" w:sz="4" w:space="0" w:color="auto"/>
              <w:bottom w:val="single" w:sz="4" w:space="0" w:color="auto"/>
              <w:right w:val="single" w:sz="4" w:space="0" w:color="auto"/>
            </w:tcBorders>
            <w:hideMark/>
          </w:tcPr>
          <w:p w14:paraId="6CB946BE"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REs not used in the active CORESETs where PDCCH is scheduled for the IAB-MT under test. REs for OCNG shall not be allocated outside the allocated bandwidth of the PDSCH RMC of the serving cell.</w:t>
            </w:r>
          </w:p>
          <w:p w14:paraId="1ADBD073" w14:textId="77777777" w:rsidR="003A71DE" w:rsidRPr="00EA3B97" w:rsidRDefault="003A71DE" w:rsidP="007835E8">
            <w:pPr>
              <w:pStyle w:val="TAN"/>
              <w:rPr>
                <w:rFonts w:eastAsiaTheme="minorEastAsia" w:cs="Arial"/>
              </w:rPr>
            </w:pPr>
            <w:r w:rsidRPr="00EA3B97">
              <w:rPr>
                <w:rFonts w:eastAsiaTheme="minorEastAsia"/>
              </w:rPr>
              <w:t>Note 2:</w:t>
            </w:r>
            <w:r w:rsidRPr="00EA3B97">
              <w:rPr>
                <w:rFonts w:eastAsiaTheme="minorEastAsia"/>
              </w:rPr>
              <w:tab/>
              <w:t>REs not allocated to any physical channels, CORESET, SSB or any other reference signal within the allocated bandwidth of the PDSCH RMC of the serving cell. REs for OCNG shall not be allocated outside the allocated bandwidth of the PDSCH RMC of the serving cell.</w:t>
            </w:r>
          </w:p>
        </w:tc>
      </w:tr>
    </w:tbl>
    <w:p w14:paraId="78DE0C85" w14:textId="77777777" w:rsidR="003A71DE" w:rsidRPr="00EA3B97" w:rsidRDefault="003A71DE" w:rsidP="003A71DE">
      <w:pPr>
        <w:rPr>
          <w:rFonts w:eastAsiaTheme="minorEastAsia"/>
        </w:rPr>
      </w:pPr>
    </w:p>
    <w:p w14:paraId="79933C21" w14:textId="77777777" w:rsidR="003A71DE" w:rsidRPr="00EA3B97" w:rsidRDefault="003A71DE" w:rsidP="00A153AF">
      <w:pPr>
        <w:pStyle w:val="Heading5"/>
        <w:rPr>
          <w:rFonts w:eastAsiaTheme="minorEastAsia"/>
          <w:snapToGrid w:val="0"/>
        </w:rPr>
      </w:pPr>
      <w:bookmarkStart w:id="9774" w:name="_Toc74583622"/>
      <w:bookmarkStart w:id="9775" w:name="_Toc76542435"/>
      <w:bookmarkStart w:id="9776" w:name="_Toc82450417"/>
      <w:bookmarkStart w:id="9777" w:name="_Toc82451065"/>
      <w:bookmarkStart w:id="9778" w:name="_Toc89949454"/>
      <w:bookmarkStart w:id="9779" w:name="_Toc98755843"/>
      <w:bookmarkStart w:id="9780" w:name="_Toc98763435"/>
      <w:bookmarkStart w:id="9781" w:name="_Toc106184364"/>
      <w:r w:rsidRPr="00EA3B97">
        <w:rPr>
          <w:rFonts w:eastAsiaTheme="minorEastAsia"/>
          <w:snapToGrid w:val="0"/>
        </w:rPr>
        <w:lastRenderedPageBreak/>
        <w:t>G.1.2.1.4</w:t>
      </w:r>
      <w:r w:rsidRPr="00EA3B97">
        <w:rPr>
          <w:rFonts w:eastAsiaTheme="minorEastAsia"/>
          <w:snapToGrid w:val="0"/>
        </w:rPr>
        <w:tab/>
        <w:t>OCNG pattern 4: Generic OCNG pattern for all unused REs outside SSB slot(s)</w:t>
      </w:r>
      <w:bookmarkEnd w:id="9774"/>
      <w:bookmarkEnd w:id="9775"/>
      <w:bookmarkEnd w:id="9776"/>
      <w:bookmarkEnd w:id="9777"/>
      <w:bookmarkEnd w:id="9778"/>
      <w:bookmarkEnd w:id="9779"/>
      <w:bookmarkEnd w:id="9780"/>
      <w:bookmarkEnd w:id="9781"/>
    </w:p>
    <w:p w14:paraId="2076BAE5" w14:textId="77777777" w:rsidR="003A71DE" w:rsidRPr="00EA3B97" w:rsidRDefault="003A71DE" w:rsidP="00BA0D24">
      <w:pPr>
        <w:pStyle w:val="TH"/>
        <w:rPr>
          <w:rFonts w:eastAsiaTheme="minorEastAsia"/>
        </w:rPr>
      </w:pPr>
      <w:r w:rsidRPr="00EA3B97">
        <w:rPr>
          <w:rFonts w:eastAsiaTheme="minorEastAsia"/>
        </w:rPr>
        <w:t>Table G.1.2.1.4-1: OP.4: Generic OCNG pattern for all unused REs</w:t>
      </w:r>
      <w:r w:rsidRPr="00EA3B97">
        <w:rPr>
          <w:rFonts w:eastAsiaTheme="minorEastAsia"/>
          <w:snapToGrid w:val="0"/>
        </w:rPr>
        <w:t xml:space="preserve"> </w:t>
      </w:r>
      <w:r w:rsidRPr="00EA3B97">
        <w:rPr>
          <w:rFonts w:eastAsiaTheme="minorEastAsia"/>
        </w:rPr>
        <w:t>outside SSB slot(s)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8"/>
        <w:gridCol w:w="3205"/>
        <w:gridCol w:w="3938"/>
      </w:tblGrid>
      <w:tr w:rsidR="003A71DE" w:rsidRPr="00EA3B97" w14:paraId="3E1297AB"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05ECB53E" w14:textId="77777777" w:rsidR="003A71DE" w:rsidRPr="00EA3B97" w:rsidRDefault="003A71DE" w:rsidP="007835E8">
            <w:pPr>
              <w:pStyle w:val="TAH"/>
              <w:rPr>
                <w:rFonts w:eastAsiaTheme="minorEastAsia"/>
              </w:rPr>
            </w:pPr>
            <w:r w:rsidRPr="00EA3B97">
              <w:rPr>
                <w:rFonts w:eastAsiaTheme="minorEastAsia"/>
                <w:lang w:val="en-US"/>
              </w:rPr>
              <w:t>OCNG Parameters</w:t>
            </w:r>
          </w:p>
        </w:tc>
        <w:tc>
          <w:tcPr>
            <w:tcW w:w="3260" w:type="dxa"/>
            <w:tcBorders>
              <w:top w:val="single" w:sz="4" w:space="0" w:color="auto"/>
              <w:left w:val="single" w:sz="4" w:space="0" w:color="auto"/>
              <w:bottom w:val="single" w:sz="4" w:space="0" w:color="auto"/>
              <w:right w:val="single" w:sz="4" w:space="0" w:color="auto"/>
            </w:tcBorders>
            <w:hideMark/>
          </w:tcPr>
          <w:p w14:paraId="64F1BB07" w14:textId="77777777" w:rsidR="003A71DE" w:rsidRPr="00EA3B97" w:rsidRDefault="003A71DE" w:rsidP="007835E8">
            <w:pPr>
              <w:pStyle w:val="TAH"/>
              <w:rPr>
                <w:rFonts w:eastAsiaTheme="minorEastAsia"/>
              </w:rPr>
            </w:pPr>
            <w:r w:rsidRPr="00EA3B97">
              <w:rPr>
                <w:rFonts w:eastAsiaTheme="minorEastAsia"/>
              </w:rPr>
              <w:t>Control Region</w:t>
            </w:r>
          </w:p>
        </w:tc>
        <w:tc>
          <w:tcPr>
            <w:tcW w:w="4001" w:type="dxa"/>
            <w:tcBorders>
              <w:top w:val="single" w:sz="4" w:space="0" w:color="auto"/>
              <w:left w:val="single" w:sz="4" w:space="0" w:color="auto"/>
              <w:bottom w:val="single" w:sz="4" w:space="0" w:color="auto"/>
              <w:right w:val="single" w:sz="4" w:space="0" w:color="auto"/>
            </w:tcBorders>
            <w:hideMark/>
          </w:tcPr>
          <w:p w14:paraId="28A0DB87" w14:textId="77777777" w:rsidR="003A71DE" w:rsidRPr="00EA3B97" w:rsidRDefault="003A71DE" w:rsidP="007835E8">
            <w:pPr>
              <w:pStyle w:val="TAH"/>
              <w:rPr>
                <w:rFonts w:eastAsiaTheme="minorEastAsia"/>
              </w:rPr>
            </w:pPr>
            <w:r w:rsidRPr="00EA3B97">
              <w:rPr>
                <w:rFonts w:eastAsiaTheme="minorEastAsia"/>
              </w:rPr>
              <w:t>Data Region</w:t>
            </w:r>
          </w:p>
        </w:tc>
      </w:tr>
      <w:tr w:rsidR="003A71DE" w:rsidRPr="00EA3B97" w14:paraId="3252E70F"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A515BDA" w14:textId="77777777" w:rsidR="003A71DE" w:rsidRPr="00EA3B97" w:rsidRDefault="003A71DE" w:rsidP="007835E8">
            <w:pPr>
              <w:pStyle w:val="TAL"/>
              <w:rPr>
                <w:rFonts w:eastAsiaTheme="minorEastAsia"/>
              </w:rPr>
            </w:pPr>
            <w:r w:rsidRPr="00EA3B97">
              <w:rPr>
                <w:rFonts w:eastAsiaTheme="minorEastAsia"/>
              </w:rPr>
              <w:t>Resource allocation</w:t>
            </w:r>
          </w:p>
        </w:tc>
        <w:tc>
          <w:tcPr>
            <w:tcW w:w="3260" w:type="dxa"/>
            <w:tcBorders>
              <w:top w:val="nil"/>
              <w:left w:val="nil"/>
              <w:bottom w:val="single" w:sz="8" w:space="0" w:color="auto"/>
              <w:right w:val="single" w:sz="8" w:space="0" w:color="auto"/>
            </w:tcBorders>
            <w:hideMark/>
          </w:tcPr>
          <w:p w14:paraId="4E3DA724" w14:textId="77777777" w:rsidR="003A71DE" w:rsidRPr="00EA3B97" w:rsidRDefault="003A71DE" w:rsidP="007835E8">
            <w:pPr>
              <w:pStyle w:val="TAL"/>
              <w:rPr>
                <w:rFonts w:eastAsiaTheme="minorEastAsia" w:cs="Arial"/>
              </w:rPr>
            </w:pPr>
            <w:r w:rsidRPr="00EA3B97">
              <w:rPr>
                <w:rFonts w:eastAsiaTheme="minorEastAsia" w:cs="Arial"/>
              </w:rPr>
              <w:t>Unused REs (Note 1)</w:t>
            </w:r>
          </w:p>
        </w:tc>
        <w:tc>
          <w:tcPr>
            <w:tcW w:w="4001" w:type="dxa"/>
            <w:tcBorders>
              <w:top w:val="nil"/>
              <w:left w:val="nil"/>
              <w:bottom w:val="single" w:sz="8" w:space="0" w:color="auto"/>
              <w:right w:val="single" w:sz="8" w:space="0" w:color="auto"/>
            </w:tcBorders>
            <w:hideMark/>
          </w:tcPr>
          <w:p w14:paraId="2E41EDF7" w14:textId="77777777" w:rsidR="003A71DE" w:rsidRPr="00EA3B97" w:rsidRDefault="003A71DE" w:rsidP="007835E8">
            <w:pPr>
              <w:pStyle w:val="TAL"/>
              <w:rPr>
                <w:rFonts w:eastAsiaTheme="minorEastAsia" w:cs="Arial"/>
              </w:rPr>
            </w:pPr>
            <w:r w:rsidRPr="00EA3B97">
              <w:rPr>
                <w:rFonts w:eastAsiaTheme="minorEastAsia" w:cs="Arial"/>
              </w:rPr>
              <w:t>Unused REs (Note 2)</w:t>
            </w:r>
          </w:p>
        </w:tc>
      </w:tr>
      <w:tr w:rsidR="003A71DE" w:rsidRPr="00EA3B97" w14:paraId="06763484"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31770B7C" w14:textId="77777777" w:rsidR="003A71DE" w:rsidRPr="00EA3B97" w:rsidRDefault="003A71DE" w:rsidP="007835E8">
            <w:pPr>
              <w:pStyle w:val="TAL"/>
              <w:rPr>
                <w:rFonts w:eastAsiaTheme="minorEastAsia"/>
              </w:rPr>
            </w:pPr>
            <w:r w:rsidRPr="00EA3B97">
              <w:rPr>
                <w:rFonts w:eastAsiaTheme="minorEastAsia"/>
              </w:rPr>
              <w:t>Channel</w:t>
            </w:r>
          </w:p>
        </w:tc>
        <w:tc>
          <w:tcPr>
            <w:tcW w:w="3260" w:type="dxa"/>
            <w:tcBorders>
              <w:top w:val="single" w:sz="4" w:space="0" w:color="auto"/>
              <w:left w:val="single" w:sz="4" w:space="0" w:color="auto"/>
              <w:bottom w:val="single" w:sz="4" w:space="0" w:color="auto"/>
              <w:right w:val="single" w:sz="4" w:space="0" w:color="auto"/>
            </w:tcBorders>
            <w:hideMark/>
          </w:tcPr>
          <w:p w14:paraId="3F005024" w14:textId="77777777" w:rsidR="003A71DE" w:rsidRPr="00EA3B97" w:rsidRDefault="003A71DE" w:rsidP="007835E8">
            <w:pPr>
              <w:pStyle w:val="TAL"/>
              <w:rPr>
                <w:rFonts w:eastAsiaTheme="minorEastAsia"/>
              </w:rPr>
            </w:pPr>
            <w:r w:rsidRPr="00EA3B97">
              <w:rPr>
                <w:rFonts w:eastAsiaTheme="minorEastAsia"/>
              </w:rPr>
              <w:t>PDCCH</w:t>
            </w:r>
          </w:p>
        </w:tc>
        <w:tc>
          <w:tcPr>
            <w:tcW w:w="4001" w:type="dxa"/>
            <w:tcBorders>
              <w:top w:val="single" w:sz="4" w:space="0" w:color="auto"/>
              <w:left w:val="single" w:sz="4" w:space="0" w:color="auto"/>
              <w:bottom w:val="single" w:sz="4" w:space="0" w:color="auto"/>
              <w:right w:val="single" w:sz="4" w:space="0" w:color="auto"/>
            </w:tcBorders>
            <w:hideMark/>
          </w:tcPr>
          <w:p w14:paraId="0A0F427C" w14:textId="77777777" w:rsidR="003A71DE" w:rsidRPr="00EA3B97" w:rsidRDefault="003A71DE" w:rsidP="007835E8">
            <w:pPr>
              <w:pStyle w:val="TAL"/>
              <w:rPr>
                <w:rFonts w:eastAsiaTheme="minorEastAsia"/>
              </w:rPr>
            </w:pPr>
            <w:r w:rsidRPr="00EA3B97">
              <w:rPr>
                <w:rFonts w:eastAsiaTheme="minorEastAsia"/>
              </w:rPr>
              <w:t>PDSCH</w:t>
            </w:r>
          </w:p>
        </w:tc>
      </w:tr>
      <w:tr w:rsidR="003A71DE" w:rsidRPr="00EA3B97" w14:paraId="47ECF5D6"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7FC95888" w14:textId="77777777" w:rsidR="003A71DE" w:rsidRPr="00EA3B97" w:rsidRDefault="003A71DE" w:rsidP="007835E8">
            <w:pPr>
              <w:pStyle w:val="TAL"/>
              <w:rPr>
                <w:rFonts w:eastAsiaTheme="minorEastAsia"/>
              </w:rPr>
            </w:pPr>
            <w:r w:rsidRPr="00EA3B97">
              <w:rPr>
                <w:rFonts w:eastAsiaTheme="minorEastAsia"/>
              </w:rPr>
              <w:t>Contents</w:t>
            </w:r>
          </w:p>
        </w:tc>
        <w:tc>
          <w:tcPr>
            <w:tcW w:w="3260" w:type="dxa"/>
            <w:tcBorders>
              <w:top w:val="single" w:sz="4" w:space="0" w:color="auto"/>
              <w:left w:val="single" w:sz="4" w:space="0" w:color="auto"/>
              <w:bottom w:val="single" w:sz="4" w:space="0" w:color="auto"/>
              <w:right w:val="single" w:sz="4" w:space="0" w:color="auto"/>
            </w:tcBorders>
            <w:hideMark/>
          </w:tcPr>
          <w:p w14:paraId="6A565C87" w14:textId="77777777" w:rsidR="003A71DE" w:rsidRPr="00EA3B97" w:rsidRDefault="003A71DE" w:rsidP="007835E8">
            <w:pPr>
              <w:pStyle w:val="TAL"/>
              <w:rPr>
                <w:rFonts w:eastAsiaTheme="minorEastAsia"/>
              </w:rPr>
            </w:pPr>
            <w:r w:rsidRPr="00EA3B97">
              <w:rPr>
                <w:rFonts w:eastAsiaTheme="minorEastAsia"/>
              </w:rPr>
              <w:t>Virtual IAB-MT IDs</w:t>
            </w:r>
          </w:p>
        </w:tc>
        <w:tc>
          <w:tcPr>
            <w:tcW w:w="4001" w:type="dxa"/>
            <w:tcBorders>
              <w:top w:val="single" w:sz="4" w:space="0" w:color="auto"/>
              <w:left w:val="single" w:sz="4" w:space="0" w:color="auto"/>
              <w:bottom w:val="single" w:sz="4" w:space="0" w:color="auto"/>
              <w:right w:val="single" w:sz="4" w:space="0" w:color="auto"/>
            </w:tcBorders>
            <w:hideMark/>
          </w:tcPr>
          <w:p w14:paraId="0E28A274" w14:textId="77777777" w:rsidR="003A71DE" w:rsidRPr="00EA3B97" w:rsidRDefault="003A71DE" w:rsidP="007835E8">
            <w:pPr>
              <w:pStyle w:val="TAL"/>
              <w:rPr>
                <w:rFonts w:eastAsiaTheme="minorEastAsia"/>
              </w:rPr>
            </w:pPr>
            <w:r w:rsidRPr="00EA3B97">
              <w:rPr>
                <w:rFonts w:eastAsiaTheme="minorEastAsia"/>
              </w:rPr>
              <w:t>Uncorrelated pseudo random QPSK modulated data</w:t>
            </w:r>
          </w:p>
        </w:tc>
      </w:tr>
      <w:tr w:rsidR="003A71DE" w:rsidRPr="00EA3B97" w14:paraId="66125451"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89FE756" w14:textId="77777777" w:rsidR="003A71DE" w:rsidRPr="00EA3B97" w:rsidRDefault="003A71DE" w:rsidP="007835E8">
            <w:pPr>
              <w:pStyle w:val="TAL"/>
              <w:rPr>
                <w:rFonts w:eastAsiaTheme="minorEastAsia"/>
              </w:rPr>
            </w:pPr>
            <w:r w:rsidRPr="00EA3B97">
              <w:rPr>
                <w:rFonts w:eastAsiaTheme="minorEastAsia"/>
              </w:rPr>
              <w:t>Antenna transmission scheme</w:t>
            </w:r>
          </w:p>
        </w:tc>
        <w:tc>
          <w:tcPr>
            <w:tcW w:w="3260" w:type="dxa"/>
            <w:tcBorders>
              <w:top w:val="single" w:sz="4" w:space="0" w:color="auto"/>
              <w:left w:val="single" w:sz="4" w:space="0" w:color="auto"/>
              <w:bottom w:val="single" w:sz="4" w:space="0" w:color="auto"/>
              <w:right w:val="single" w:sz="4" w:space="0" w:color="auto"/>
            </w:tcBorders>
            <w:hideMark/>
          </w:tcPr>
          <w:p w14:paraId="597AAADA"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51F95A84"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6A474803"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68398383" w14:textId="77777777" w:rsidR="003A71DE" w:rsidRPr="00EA3B97" w:rsidRDefault="003A71DE" w:rsidP="007835E8">
            <w:pPr>
              <w:pStyle w:val="TAL"/>
              <w:rPr>
                <w:rFonts w:eastAsiaTheme="minorEastAsia"/>
              </w:rPr>
            </w:pPr>
            <w:r w:rsidRPr="00EA3B97">
              <w:rPr>
                <w:rFonts w:eastAsiaTheme="minorEastAsia"/>
              </w:rPr>
              <w:t>Subcarrier spacing</w:t>
            </w:r>
          </w:p>
        </w:tc>
        <w:tc>
          <w:tcPr>
            <w:tcW w:w="3260" w:type="dxa"/>
            <w:tcBorders>
              <w:top w:val="single" w:sz="4" w:space="0" w:color="auto"/>
              <w:left w:val="single" w:sz="4" w:space="0" w:color="auto"/>
              <w:bottom w:val="single" w:sz="4" w:space="0" w:color="auto"/>
              <w:right w:val="single" w:sz="4" w:space="0" w:color="auto"/>
            </w:tcBorders>
            <w:hideMark/>
          </w:tcPr>
          <w:p w14:paraId="01771B80"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5166A7FC"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6FFDF6B3"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4BA27BBF" w14:textId="77777777" w:rsidR="003A71DE" w:rsidRPr="00EA3B97" w:rsidRDefault="003A71DE" w:rsidP="007835E8">
            <w:pPr>
              <w:pStyle w:val="TAL"/>
              <w:rPr>
                <w:rFonts w:eastAsiaTheme="minorEastAsia"/>
              </w:rPr>
            </w:pPr>
            <w:r w:rsidRPr="00EA3B97">
              <w:rPr>
                <w:rFonts w:eastAsiaTheme="minorEastAsia"/>
              </w:rPr>
              <w:t>Aggregation level</w:t>
            </w:r>
          </w:p>
        </w:tc>
        <w:tc>
          <w:tcPr>
            <w:tcW w:w="3260" w:type="dxa"/>
            <w:tcBorders>
              <w:top w:val="single" w:sz="4" w:space="0" w:color="auto"/>
              <w:left w:val="single" w:sz="4" w:space="0" w:color="auto"/>
              <w:bottom w:val="single" w:sz="4" w:space="0" w:color="auto"/>
              <w:right w:val="single" w:sz="4" w:space="0" w:color="auto"/>
            </w:tcBorders>
            <w:hideMark/>
          </w:tcPr>
          <w:p w14:paraId="3372345D"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3F4FB5CB" w14:textId="77777777" w:rsidR="003A71DE" w:rsidRPr="00EA3B97" w:rsidRDefault="003A71DE" w:rsidP="007835E8">
            <w:pPr>
              <w:pStyle w:val="TAL"/>
              <w:rPr>
                <w:rFonts w:eastAsiaTheme="minorEastAsia" w:cs="Arial"/>
              </w:rPr>
            </w:pPr>
            <w:r w:rsidRPr="00EA3B97">
              <w:rPr>
                <w:rFonts w:eastAsiaTheme="minorEastAsia" w:cs="Arial"/>
              </w:rPr>
              <w:t>N/A</w:t>
            </w:r>
          </w:p>
        </w:tc>
      </w:tr>
      <w:tr w:rsidR="003A71DE" w:rsidRPr="00EA3B97" w14:paraId="507B6295"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7CEE1594" w14:textId="77777777" w:rsidR="003A71DE" w:rsidRPr="00EA3B97" w:rsidRDefault="003A71DE" w:rsidP="007835E8">
            <w:pPr>
              <w:pStyle w:val="TAL"/>
              <w:rPr>
                <w:rFonts w:eastAsiaTheme="minorEastAsia"/>
              </w:rPr>
            </w:pPr>
            <w:r w:rsidRPr="00EA3B97">
              <w:rPr>
                <w:rFonts w:eastAsiaTheme="minorEastAsia"/>
              </w:rPr>
              <w:t>Code rate</w:t>
            </w:r>
          </w:p>
        </w:tc>
        <w:tc>
          <w:tcPr>
            <w:tcW w:w="3260" w:type="dxa"/>
            <w:tcBorders>
              <w:top w:val="single" w:sz="4" w:space="0" w:color="auto"/>
              <w:left w:val="single" w:sz="4" w:space="0" w:color="auto"/>
              <w:bottom w:val="single" w:sz="4" w:space="0" w:color="auto"/>
              <w:right w:val="single" w:sz="4" w:space="0" w:color="auto"/>
            </w:tcBorders>
            <w:hideMark/>
          </w:tcPr>
          <w:p w14:paraId="54BEC5FA" w14:textId="77777777" w:rsidR="003A71DE" w:rsidRPr="00EA3B97" w:rsidRDefault="003A71DE" w:rsidP="007835E8">
            <w:pPr>
              <w:pStyle w:val="TAL"/>
              <w:rPr>
                <w:rFonts w:eastAsiaTheme="minorEastAsia" w:cs="Arial"/>
              </w:rPr>
            </w:pPr>
            <w:r w:rsidRPr="00EA3B97">
              <w:rPr>
                <w:rFonts w:eastAsiaTheme="minorEastAsia" w:cs="Arial"/>
              </w:rPr>
              <w:t>Same as used in PDCCH RMC</w:t>
            </w:r>
          </w:p>
        </w:tc>
        <w:tc>
          <w:tcPr>
            <w:tcW w:w="4001" w:type="dxa"/>
            <w:tcBorders>
              <w:top w:val="single" w:sz="4" w:space="0" w:color="auto"/>
              <w:left w:val="single" w:sz="4" w:space="0" w:color="auto"/>
              <w:bottom w:val="single" w:sz="4" w:space="0" w:color="auto"/>
              <w:right w:val="single" w:sz="4" w:space="0" w:color="auto"/>
            </w:tcBorders>
            <w:hideMark/>
          </w:tcPr>
          <w:p w14:paraId="35BDE15C"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3822EED6"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881D801" w14:textId="77777777" w:rsidR="003A71DE" w:rsidRPr="00EA3B97" w:rsidRDefault="003A71DE" w:rsidP="007835E8">
            <w:pPr>
              <w:pStyle w:val="TAL"/>
              <w:rPr>
                <w:rFonts w:eastAsiaTheme="minorEastAsia"/>
              </w:rPr>
            </w:pPr>
            <w:r w:rsidRPr="00EA3B97">
              <w:rPr>
                <w:rFonts w:eastAsiaTheme="minorEastAsia"/>
              </w:rPr>
              <w:t>Transmit Power</w:t>
            </w:r>
          </w:p>
        </w:tc>
        <w:tc>
          <w:tcPr>
            <w:tcW w:w="3260" w:type="dxa"/>
            <w:tcBorders>
              <w:top w:val="single" w:sz="4" w:space="0" w:color="auto"/>
              <w:left w:val="single" w:sz="4" w:space="0" w:color="auto"/>
              <w:bottom w:val="single" w:sz="4" w:space="0" w:color="auto"/>
              <w:right w:val="single" w:sz="4" w:space="0" w:color="auto"/>
            </w:tcBorders>
            <w:hideMark/>
          </w:tcPr>
          <w:p w14:paraId="18486B18"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2D412B32"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2C65AA4C" w14:textId="77777777" w:rsidTr="003A71DE">
        <w:tc>
          <w:tcPr>
            <w:tcW w:w="2518" w:type="dxa"/>
            <w:tcBorders>
              <w:top w:val="single" w:sz="4" w:space="0" w:color="auto"/>
              <w:left w:val="single" w:sz="4" w:space="0" w:color="auto"/>
              <w:bottom w:val="single" w:sz="4" w:space="0" w:color="auto"/>
              <w:right w:val="single" w:sz="4" w:space="0" w:color="auto"/>
            </w:tcBorders>
            <w:hideMark/>
          </w:tcPr>
          <w:p w14:paraId="2F316122" w14:textId="77777777" w:rsidR="003A71DE" w:rsidRPr="00EA3B97" w:rsidRDefault="003A71DE" w:rsidP="007835E8">
            <w:pPr>
              <w:pStyle w:val="TAL"/>
              <w:rPr>
                <w:rFonts w:eastAsiaTheme="minorEastAsia"/>
              </w:rPr>
            </w:pPr>
            <w:r w:rsidRPr="00EA3B97">
              <w:rPr>
                <w:rFonts w:eastAsiaTheme="minorEastAsia"/>
              </w:rPr>
              <w:t>CP length</w:t>
            </w:r>
          </w:p>
        </w:tc>
        <w:tc>
          <w:tcPr>
            <w:tcW w:w="3260" w:type="dxa"/>
            <w:tcBorders>
              <w:top w:val="single" w:sz="4" w:space="0" w:color="auto"/>
              <w:left w:val="single" w:sz="4" w:space="0" w:color="auto"/>
              <w:bottom w:val="single" w:sz="4" w:space="0" w:color="auto"/>
              <w:right w:val="single" w:sz="4" w:space="0" w:color="auto"/>
            </w:tcBorders>
            <w:hideMark/>
          </w:tcPr>
          <w:p w14:paraId="14682394" w14:textId="77777777" w:rsidR="003A71DE" w:rsidRPr="00EA3B97" w:rsidRDefault="003A71DE" w:rsidP="007835E8">
            <w:pPr>
              <w:pStyle w:val="TAL"/>
              <w:rPr>
                <w:rFonts w:eastAsiaTheme="minorEastAsia"/>
              </w:rPr>
            </w:pPr>
            <w:r w:rsidRPr="00EA3B97">
              <w:rPr>
                <w:rFonts w:eastAsiaTheme="minorEastAsia" w:cs="Arial"/>
              </w:rPr>
              <w:t xml:space="preserve">Same as used in PDCCH RMC </w:t>
            </w:r>
          </w:p>
        </w:tc>
        <w:tc>
          <w:tcPr>
            <w:tcW w:w="4001" w:type="dxa"/>
            <w:tcBorders>
              <w:top w:val="single" w:sz="4" w:space="0" w:color="auto"/>
              <w:left w:val="single" w:sz="4" w:space="0" w:color="auto"/>
              <w:bottom w:val="single" w:sz="4" w:space="0" w:color="auto"/>
              <w:right w:val="single" w:sz="4" w:space="0" w:color="auto"/>
            </w:tcBorders>
            <w:hideMark/>
          </w:tcPr>
          <w:p w14:paraId="7A29B084" w14:textId="77777777" w:rsidR="003A71DE" w:rsidRPr="00EA3B97" w:rsidRDefault="003A71DE" w:rsidP="007835E8">
            <w:pPr>
              <w:pStyle w:val="TAL"/>
              <w:rPr>
                <w:rFonts w:eastAsiaTheme="minorEastAsia"/>
              </w:rPr>
            </w:pPr>
            <w:r w:rsidRPr="00EA3B97">
              <w:rPr>
                <w:rFonts w:eastAsiaTheme="minorEastAsia" w:cs="Arial"/>
              </w:rPr>
              <w:t xml:space="preserve">Same as used in PDSCH RMC </w:t>
            </w:r>
          </w:p>
        </w:tc>
      </w:tr>
      <w:tr w:rsidR="003A71DE" w:rsidRPr="00EA3B97" w14:paraId="4F67F2A6" w14:textId="77777777" w:rsidTr="003A71DE">
        <w:tc>
          <w:tcPr>
            <w:tcW w:w="9779" w:type="dxa"/>
            <w:gridSpan w:val="3"/>
            <w:tcBorders>
              <w:top w:val="single" w:sz="4" w:space="0" w:color="auto"/>
              <w:left w:val="single" w:sz="4" w:space="0" w:color="auto"/>
              <w:bottom w:val="single" w:sz="4" w:space="0" w:color="auto"/>
              <w:right w:val="single" w:sz="4" w:space="0" w:color="auto"/>
            </w:tcBorders>
            <w:hideMark/>
          </w:tcPr>
          <w:p w14:paraId="5342E047" w14:textId="77777777" w:rsidR="003A71DE" w:rsidRPr="00EA3B97" w:rsidRDefault="003A71DE" w:rsidP="007835E8">
            <w:pPr>
              <w:pStyle w:val="TAN"/>
              <w:rPr>
                <w:rFonts w:eastAsiaTheme="minorEastAsia"/>
              </w:rPr>
            </w:pPr>
            <w:r w:rsidRPr="00EA3B97">
              <w:rPr>
                <w:rFonts w:eastAsiaTheme="minorEastAsia"/>
              </w:rPr>
              <w:t>Note 1:</w:t>
            </w:r>
            <w:r w:rsidRPr="00EA3B97">
              <w:rPr>
                <w:rFonts w:eastAsiaTheme="minorEastAsia"/>
              </w:rPr>
              <w:tab/>
              <w:t>REs not used in the active CORESETs where PDCCH is scheduled for the IAB-MT under test. REs for OCNG shall not be allocated in the slot(s) containing SSB of the respective cell.</w:t>
            </w:r>
          </w:p>
          <w:p w14:paraId="47A2E640" w14:textId="77777777" w:rsidR="003A71DE" w:rsidRPr="00EA3B97" w:rsidRDefault="003A71DE" w:rsidP="007835E8">
            <w:pPr>
              <w:pStyle w:val="TAN"/>
              <w:rPr>
                <w:rFonts w:eastAsiaTheme="minorEastAsia" w:cs="Arial"/>
              </w:rPr>
            </w:pPr>
            <w:r w:rsidRPr="00EA3B97">
              <w:rPr>
                <w:rFonts w:eastAsiaTheme="minorEastAsia"/>
              </w:rPr>
              <w:t>Note 2:</w:t>
            </w:r>
            <w:r w:rsidRPr="00EA3B97">
              <w:rPr>
                <w:rFonts w:eastAsiaTheme="minorEastAsia"/>
              </w:rPr>
              <w:tab/>
              <w:t>REs not allocated to any physical channels, CORESET, SSB or any other reference signal within the channel bandwidth of the cell. REs for OCNG shall not be allocated in the slot(s) containing SSB of the respective cell.</w:t>
            </w:r>
          </w:p>
        </w:tc>
      </w:tr>
    </w:tbl>
    <w:p w14:paraId="61D4BC7E" w14:textId="77777777" w:rsidR="003A71DE" w:rsidRPr="00EA3B97" w:rsidRDefault="003A71DE" w:rsidP="003A71DE">
      <w:pPr>
        <w:rPr>
          <w:rFonts w:eastAsiaTheme="minorEastAsia"/>
          <w:noProof/>
          <w:lang w:eastAsia="zh-CN"/>
        </w:rPr>
      </w:pPr>
    </w:p>
    <w:p w14:paraId="52F82D64" w14:textId="77777777" w:rsidR="003A71DE" w:rsidRPr="00EA3B97" w:rsidRDefault="003A71DE" w:rsidP="00A153AF">
      <w:pPr>
        <w:pStyle w:val="Heading3"/>
        <w:rPr>
          <w:rFonts w:eastAsiaTheme="minorEastAsia"/>
        </w:rPr>
      </w:pPr>
      <w:bookmarkStart w:id="9782" w:name="_Toc74583623"/>
      <w:bookmarkStart w:id="9783" w:name="_Toc76542436"/>
      <w:bookmarkStart w:id="9784" w:name="_Toc82450418"/>
      <w:bookmarkStart w:id="9785" w:name="_Toc82451066"/>
      <w:bookmarkStart w:id="9786" w:name="_Toc89949455"/>
      <w:bookmarkStart w:id="9787" w:name="_Toc98755844"/>
      <w:bookmarkStart w:id="9788" w:name="_Toc98763436"/>
      <w:bookmarkStart w:id="9789" w:name="_Toc106184365"/>
      <w:r w:rsidRPr="00EA3B97">
        <w:rPr>
          <w:rFonts w:eastAsiaTheme="minorEastAsia"/>
        </w:rPr>
        <w:t>G.1.3</w:t>
      </w:r>
      <w:r w:rsidRPr="00EA3B97">
        <w:rPr>
          <w:rFonts w:eastAsiaTheme="minorEastAsia"/>
        </w:rPr>
        <w:tab/>
        <w:t>Antenna configurations</w:t>
      </w:r>
      <w:bookmarkEnd w:id="9782"/>
      <w:bookmarkEnd w:id="9783"/>
      <w:bookmarkEnd w:id="9784"/>
      <w:bookmarkEnd w:id="9785"/>
      <w:bookmarkEnd w:id="9786"/>
      <w:bookmarkEnd w:id="9787"/>
      <w:bookmarkEnd w:id="9788"/>
      <w:bookmarkEnd w:id="9789"/>
    </w:p>
    <w:p w14:paraId="15F22A3A" w14:textId="77777777" w:rsidR="003A71DE" w:rsidRPr="00EA3B97" w:rsidRDefault="003A71DE" w:rsidP="00A153AF">
      <w:pPr>
        <w:pStyle w:val="Heading4"/>
        <w:rPr>
          <w:rFonts w:eastAsiaTheme="minorEastAsia"/>
          <w:snapToGrid w:val="0"/>
        </w:rPr>
      </w:pPr>
      <w:bookmarkStart w:id="9790" w:name="_Toc74583624"/>
      <w:bookmarkStart w:id="9791" w:name="_Toc76542437"/>
      <w:bookmarkStart w:id="9792" w:name="_Toc82450419"/>
      <w:bookmarkStart w:id="9793" w:name="_Toc82451067"/>
      <w:bookmarkStart w:id="9794" w:name="_Toc89949456"/>
      <w:bookmarkStart w:id="9795" w:name="_Toc98755845"/>
      <w:bookmarkStart w:id="9796" w:name="_Toc98763437"/>
      <w:bookmarkStart w:id="9797" w:name="_Toc106184366"/>
      <w:r w:rsidRPr="00EA3B97">
        <w:rPr>
          <w:rFonts w:eastAsiaTheme="minorEastAsia"/>
          <w:snapToGrid w:val="0"/>
        </w:rPr>
        <w:t>G.1.3.1</w:t>
      </w:r>
      <w:r w:rsidRPr="00EA3B97">
        <w:rPr>
          <w:rFonts w:eastAsiaTheme="minorEastAsia"/>
          <w:snapToGrid w:val="0"/>
        </w:rPr>
        <w:tab/>
        <w:t>Antenna configurations for FR1</w:t>
      </w:r>
      <w:bookmarkEnd w:id="9790"/>
      <w:bookmarkEnd w:id="9791"/>
      <w:bookmarkEnd w:id="9792"/>
      <w:bookmarkEnd w:id="9793"/>
      <w:bookmarkEnd w:id="9794"/>
      <w:bookmarkEnd w:id="9795"/>
      <w:bookmarkEnd w:id="9796"/>
      <w:bookmarkEnd w:id="9797"/>
    </w:p>
    <w:p w14:paraId="064A9ED5" w14:textId="77777777" w:rsidR="003A71DE" w:rsidRPr="00B57A37" w:rsidRDefault="003A71DE" w:rsidP="003A71DE">
      <w:pPr>
        <w:rPr>
          <w:rFonts w:eastAsiaTheme="minorEastAsia"/>
          <w:lang w:eastAsia="zh-CN"/>
        </w:rPr>
      </w:pPr>
      <w:r w:rsidRPr="00B57A37">
        <w:rPr>
          <w:rFonts w:eastAsiaTheme="minorEastAsia"/>
        </w:rPr>
        <w:t xml:space="preserve">Unless otherwise specified, NR TDD cells in all RRM Test cases in AWGN propagation condition are configured with </w:t>
      </w:r>
      <w:r w:rsidRPr="00B57A37">
        <w:rPr>
          <w:rFonts w:eastAsiaTheme="minorEastAsia"/>
          <w:bCs/>
        </w:rPr>
        <w:t>Antenna Configuration [1x2]</w:t>
      </w:r>
      <w:r w:rsidRPr="00B57A37">
        <w:rPr>
          <w:rFonts w:eastAsiaTheme="minorEastAsia"/>
        </w:rPr>
        <w:t>.</w:t>
      </w:r>
    </w:p>
    <w:p w14:paraId="77BC07D9" w14:textId="77777777" w:rsidR="003A71DE" w:rsidRPr="00B57A37" w:rsidRDefault="003A71DE" w:rsidP="00A153AF">
      <w:pPr>
        <w:pStyle w:val="Heading5"/>
        <w:rPr>
          <w:rFonts w:eastAsiaTheme="minorEastAsia"/>
          <w:snapToGrid w:val="0"/>
          <w:lang w:eastAsia="zh-CN"/>
        </w:rPr>
      </w:pPr>
      <w:bookmarkStart w:id="9798" w:name="_Toc74583625"/>
      <w:bookmarkStart w:id="9799" w:name="_Toc76542438"/>
      <w:bookmarkStart w:id="9800" w:name="_Toc82450420"/>
      <w:bookmarkStart w:id="9801" w:name="_Toc82451068"/>
      <w:bookmarkStart w:id="9802" w:name="_Toc89949457"/>
      <w:bookmarkStart w:id="9803" w:name="_Toc98755846"/>
      <w:bookmarkStart w:id="9804" w:name="_Toc98763438"/>
      <w:bookmarkStart w:id="9805" w:name="_Toc106184367"/>
      <w:r w:rsidRPr="00B57A37">
        <w:rPr>
          <w:rFonts w:eastAsiaTheme="minorEastAsia"/>
          <w:snapToGrid w:val="0"/>
        </w:rPr>
        <w:t>G.1.3.1.1</w:t>
      </w:r>
      <w:r w:rsidRPr="00B57A37">
        <w:rPr>
          <w:rFonts w:eastAsiaTheme="minorEastAsia"/>
          <w:snapToGrid w:val="0"/>
        </w:rPr>
        <w:tab/>
        <w:t>Antenna connection</w:t>
      </w:r>
      <w:r w:rsidRPr="00B57A37">
        <w:rPr>
          <w:rFonts w:eastAsiaTheme="minorEastAsia"/>
          <w:snapToGrid w:val="0"/>
          <w:lang w:eastAsia="zh-CN"/>
        </w:rPr>
        <w:t xml:space="preserve"> for 4 Rx capable IAB-MT</w:t>
      </w:r>
      <w:bookmarkEnd w:id="9798"/>
      <w:bookmarkEnd w:id="9799"/>
      <w:bookmarkEnd w:id="9800"/>
      <w:bookmarkEnd w:id="9801"/>
      <w:bookmarkEnd w:id="9802"/>
      <w:bookmarkEnd w:id="9803"/>
      <w:bookmarkEnd w:id="9804"/>
      <w:bookmarkEnd w:id="9805"/>
    </w:p>
    <w:p w14:paraId="03861210" w14:textId="77777777" w:rsidR="003A71DE" w:rsidRPr="00B57A37" w:rsidRDefault="003A71DE" w:rsidP="00A153AF">
      <w:pPr>
        <w:pStyle w:val="H6"/>
        <w:rPr>
          <w:rFonts w:eastAsiaTheme="minorEastAsia"/>
        </w:rPr>
      </w:pPr>
      <w:r w:rsidRPr="00B57A37">
        <w:rPr>
          <w:rFonts w:eastAsiaTheme="minorEastAsia"/>
        </w:rPr>
        <w:t>G.1.3.1.1.1</w:t>
      </w:r>
      <w:r w:rsidRPr="00B57A37">
        <w:rPr>
          <w:rFonts w:eastAsiaTheme="minorEastAsia"/>
          <w:lang w:eastAsia="zh-CN"/>
        </w:rPr>
        <w:tab/>
      </w:r>
      <w:r w:rsidRPr="00B57A37">
        <w:rPr>
          <w:rFonts w:eastAsiaTheme="minorEastAsia"/>
        </w:rPr>
        <w:t>Introduction</w:t>
      </w:r>
    </w:p>
    <w:p w14:paraId="496F9799" w14:textId="77777777" w:rsidR="003A71DE" w:rsidRPr="00B57A37" w:rsidRDefault="003A71DE" w:rsidP="003A71DE">
      <w:pPr>
        <w:rPr>
          <w:rFonts w:eastAsiaTheme="minorEastAsia"/>
          <w:lang w:eastAsia="zh-CN"/>
        </w:rPr>
      </w:pPr>
      <w:r w:rsidRPr="00B57A37">
        <w:rPr>
          <w:rFonts w:eastAsiaTheme="minorEastAsia"/>
          <w:lang w:eastAsia="zh-CN"/>
        </w:rPr>
        <w:t>All tests for FR1 are specified for IAB-MTs supporting 2RX. In this clause, the antenna connection method for applying 2RX tests to IAB-MTs supporting 4RX antenna ports is specified. No tests are currently specified for FR1 which are applicable only to 4RX antenna ports, so 4RX capable IAB-MTs are always tested by reusing tests which were originally specified for 2RX IAB-MTs.</w:t>
      </w:r>
    </w:p>
    <w:p w14:paraId="5917B3BA" w14:textId="77777777" w:rsidR="003A71DE" w:rsidRPr="00B57A37" w:rsidRDefault="003A71DE" w:rsidP="00A153AF">
      <w:pPr>
        <w:pStyle w:val="H6"/>
        <w:rPr>
          <w:rFonts w:eastAsiaTheme="minorEastAsia"/>
        </w:rPr>
      </w:pPr>
      <w:r w:rsidRPr="00B57A37">
        <w:rPr>
          <w:rFonts w:eastAsiaTheme="minorEastAsia"/>
        </w:rPr>
        <w:t>G.1.3.1.1.2</w:t>
      </w:r>
      <w:r w:rsidRPr="00B57A37">
        <w:rPr>
          <w:rFonts w:eastAsiaTheme="minorEastAsia"/>
          <w:lang w:eastAsia="zh-CN"/>
        </w:rPr>
        <w:tab/>
      </w:r>
      <w:r w:rsidRPr="00B57A37">
        <w:rPr>
          <w:rFonts w:eastAsiaTheme="minorEastAsia"/>
        </w:rPr>
        <w:t>Principle of testing</w:t>
      </w:r>
    </w:p>
    <w:p w14:paraId="7D56DD07" w14:textId="77777777" w:rsidR="003A71DE" w:rsidRPr="00B57A37" w:rsidRDefault="003A71DE" w:rsidP="00A153AF">
      <w:pPr>
        <w:pStyle w:val="H6"/>
        <w:rPr>
          <w:rFonts w:eastAsiaTheme="minorEastAsia"/>
          <w:lang w:eastAsia="zh-CN"/>
        </w:rPr>
      </w:pPr>
      <w:r w:rsidRPr="00B57A37">
        <w:rPr>
          <w:rFonts w:eastAsiaTheme="minorEastAsia"/>
          <w:lang w:eastAsia="zh-CN"/>
        </w:rPr>
        <w:t>G.1.3.1.1.2.1</w:t>
      </w:r>
      <w:r w:rsidRPr="00B57A37">
        <w:rPr>
          <w:rFonts w:eastAsiaTheme="minorEastAsia"/>
          <w:lang w:eastAsia="zh-CN"/>
        </w:rPr>
        <w:tab/>
        <w:t>Single carrier tests</w:t>
      </w:r>
    </w:p>
    <w:p w14:paraId="086A5C6B" w14:textId="77777777" w:rsidR="003A71DE" w:rsidRPr="00B57A37" w:rsidRDefault="003A71DE" w:rsidP="003A71DE">
      <w:pPr>
        <w:rPr>
          <w:rFonts w:eastAsiaTheme="minorEastAsia"/>
        </w:rPr>
      </w:pPr>
      <w:r w:rsidRPr="00B57A37">
        <w:rPr>
          <w:rFonts w:eastAsiaTheme="minorEastAsia"/>
        </w:rPr>
        <w:t xml:space="preserve">For 4RX capable </w:t>
      </w:r>
      <w:r w:rsidRPr="00B57A37">
        <w:rPr>
          <w:rFonts w:eastAsiaTheme="minorEastAsia"/>
          <w:lang w:eastAsia="zh-CN"/>
        </w:rPr>
        <w:t>IAB-MTs</w:t>
      </w:r>
      <w:r w:rsidRPr="00B57A37">
        <w:rPr>
          <w:rFonts w:eastAsiaTheme="minorEastAsia"/>
        </w:rPr>
        <w:t xml:space="preserve"> supporting at least one 2RX band, the, all single carrier tests specified for FR1 except those in G.2.3 shall be tested on any band where 2RX is supported with the antenna connection specified in clause G.1.3.1.1.2.2.</w:t>
      </w:r>
    </w:p>
    <w:p w14:paraId="7368268C" w14:textId="77777777" w:rsidR="003A71DE" w:rsidRPr="00B57A37" w:rsidRDefault="003A71DE" w:rsidP="003A71DE">
      <w:pPr>
        <w:rPr>
          <w:rFonts w:eastAsiaTheme="minorEastAsia"/>
        </w:rPr>
      </w:pPr>
      <w:r w:rsidRPr="00B57A37">
        <w:rPr>
          <w:rFonts w:eastAsiaTheme="minorEastAsia"/>
        </w:rPr>
        <w:t>For 4RX capable IAB-MT which do not support any 2RX band, all tests specified for FR1 shall be tested using the antenna connection specified in clause G.1.3.1.1.2.3. For radio link monitoring tests, the SNR levels are modified according to table G.1.3.1.1.2.1-1 and table G.1.3.1.1.2.1-2. For beam failure detection and link recovery tests, the SNR levels are modified according to table G.1.3.1.1.2.1-3.</w:t>
      </w:r>
    </w:p>
    <w:p w14:paraId="7D9BB31B" w14:textId="77777777" w:rsidR="003A71DE" w:rsidRPr="00B57A37" w:rsidRDefault="003A71DE" w:rsidP="00BA0D24">
      <w:pPr>
        <w:pStyle w:val="TH"/>
        <w:rPr>
          <w:rFonts w:eastAsiaTheme="minorEastAsia"/>
        </w:rPr>
      </w:pPr>
      <w:r w:rsidRPr="00B57A37">
        <w:rPr>
          <w:rFonts w:eastAsiaTheme="minorEastAsia"/>
        </w:rPr>
        <w:t>Table G.1.3.1.1.2.1-1: Modified parameters for RLM out of sync testing with 4 RX antenna connection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85"/>
        <w:gridCol w:w="1503"/>
        <w:gridCol w:w="1503"/>
        <w:gridCol w:w="1503"/>
        <w:gridCol w:w="1503"/>
      </w:tblGrid>
      <w:tr w:rsidR="003A71DE" w:rsidRPr="00B57A37" w14:paraId="0DB49128" w14:textId="77777777" w:rsidTr="003A71DE">
        <w:trPr>
          <w:jc w:val="center"/>
        </w:trPr>
        <w:tc>
          <w:tcPr>
            <w:tcW w:w="3285" w:type="dxa"/>
            <w:tcBorders>
              <w:top w:val="single" w:sz="4" w:space="0" w:color="auto"/>
              <w:left w:val="single" w:sz="4" w:space="0" w:color="auto"/>
              <w:bottom w:val="nil"/>
              <w:right w:val="single" w:sz="4" w:space="0" w:color="auto"/>
            </w:tcBorders>
            <w:hideMark/>
          </w:tcPr>
          <w:p w14:paraId="59330287" w14:textId="77777777" w:rsidR="003A71DE" w:rsidRPr="00B57A37" w:rsidRDefault="003A71DE" w:rsidP="007835E8">
            <w:pPr>
              <w:pStyle w:val="TAH"/>
              <w:rPr>
                <w:rFonts w:eastAsiaTheme="minorEastAsia"/>
                <w:lang w:eastAsia="zh-CN"/>
              </w:rPr>
            </w:pPr>
            <w:r w:rsidRPr="00B57A37">
              <w:rPr>
                <w:rFonts w:eastAsiaTheme="minorEastAsia"/>
                <w:lang w:eastAsia="zh-CN"/>
              </w:rPr>
              <w:t>Test case</w:t>
            </w:r>
          </w:p>
        </w:tc>
        <w:tc>
          <w:tcPr>
            <w:tcW w:w="6012" w:type="dxa"/>
            <w:gridSpan w:val="4"/>
            <w:tcBorders>
              <w:top w:val="single" w:sz="4" w:space="0" w:color="auto"/>
              <w:left w:val="single" w:sz="4" w:space="0" w:color="auto"/>
              <w:bottom w:val="single" w:sz="4" w:space="0" w:color="auto"/>
              <w:right w:val="single" w:sz="4" w:space="0" w:color="auto"/>
            </w:tcBorders>
            <w:hideMark/>
          </w:tcPr>
          <w:p w14:paraId="14F4C84B" w14:textId="77777777" w:rsidR="003A71DE" w:rsidRPr="00B57A37" w:rsidRDefault="003A71DE" w:rsidP="007835E8">
            <w:pPr>
              <w:pStyle w:val="TAH"/>
              <w:rPr>
                <w:rFonts w:eastAsiaTheme="minorEastAsia"/>
              </w:rPr>
            </w:pPr>
            <w:r w:rsidRPr="00B57A37">
              <w:rPr>
                <w:rFonts w:eastAsiaTheme="minorEastAsia"/>
              </w:rPr>
              <w:t>SNR during T3 (dB)</w:t>
            </w:r>
          </w:p>
        </w:tc>
      </w:tr>
      <w:tr w:rsidR="003A71DE" w:rsidRPr="00B57A37" w14:paraId="61C2BC79" w14:textId="77777777" w:rsidTr="003A71DE">
        <w:trPr>
          <w:jc w:val="center"/>
        </w:trPr>
        <w:tc>
          <w:tcPr>
            <w:tcW w:w="3285" w:type="dxa"/>
            <w:tcBorders>
              <w:top w:val="nil"/>
              <w:left w:val="single" w:sz="4" w:space="0" w:color="auto"/>
              <w:bottom w:val="single" w:sz="4" w:space="0" w:color="auto"/>
              <w:right w:val="single" w:sz="4" w:space="0" w:color="auto"/>
            </w:tcBorders>
            <w:vAlign w:val="center"/>
            <w:hideMark/>
          </w:tcPr>
          <w:p w14:paraId="63316FF0" w14:textId="77777777" w:rsidR="003A71DE" w:rsidRPr="00B57A37" w:rsidRDefault="003A71DE" w:rsidP="003A71DE">
            <w:pPr>
              <w:keepNext/>
              <w:keepLines/>
              <w:spacing w:after="0"/>
              <w:jc w:val="center"/>
              <w:rPr>
                <w:rFonts w:ascii="Arial" w:eastAsiaTheme="minorEastAsia" w:hAnsi="Arial"/>
                <w:b/>
                <w:sz w:val="18"/>
                <w:lang w:eastAsia="zh-CN"/>
              </w:rPr>
            </w:pPr>
          </w:p>
        </w:tc>
        <w:tc>
          <w:tcPr>
            <w:tcW w:w="1503" w:type="dxa"/>
            <w:tcBorders>
              <w:top w:val="single" w:sz="4" w:space="0" w:color="auto"/>
              <w:left w:val="single" w:sz="4" w:space="0" w:color="auto"/>
              <w:bottom w:val="single" w:sz="4" w:space="0" w:color="auto"/>
              <w:right w:val="single" w:sz="4" w:space="0" w:color="auto"/>
            </w:tcBorders>
            <w:hideMark/>
          </w:tcPr>
          <w:p w14:paraId="7AA0442B" w14:textId="77777777" w:rsidR="003A71DE" w:rsidRPr="00B57A37" w:rsidRDefault="003A71DE" w:rsidP="007835E8">
            <w:pPr>
              <w:pStyle w:val="TAH"/>
              <w:rPr>
                <w:rFonts w:eastAsiaTheme="minorEastAsia"/>
              </w:rPr>
            </w:pPr>
            <w:r w:rsidRPr="00B57A37">
              <w:rPr>
                <w:rFonts w:eastAsiaTheme="minorEastAsia"/>
              </w:rPr>
              <w:t>Test 1</w:t>
            </w:r>
          </w:p>
        </w:tc>
        <w:tc>
          <w:tcPr>
            <w:tcW w:w="1503" w:type="dxa"/>
            <w:tcBorders>
              <w:top w:val="single" w:sz="4" w:space="0" w:color="auto"/>
              <w:left w:val="single" w:sz="4" w:space="0" w:color="auto"/>
              <w:bottom w:val="single" w:sz="4" w:space="0" w:color="auto"/>
              <w:right w:val="single" w:sz="4" w:space="0" w:color="auto"/>
            </w:tcBorders>
            <w:hideMark/>
          </w:tcPr>
          <w:p w14:paraId="71641ABB" w14:textId="77777777" w:rsidR="003A71DE" w:rsidRPr="00B57A37" w:rsidRDefault="003A71DE" w:rsidP="007835E8">
            <w:pPr>
              <w:pStyle w:val="TAH"/>
              <w:rPr>
                <w:rFonts w:eastAsiaTheme="minorEastAsia"/>
              </w:rPr>
            </w:pPr>
            <w:r w:rsidRPr="00B57A37">
              <w:rPr>
                <w:rFonts w:eastAsiaTheme="minorEastAsia"/>
              </w:rPr>
              <w:t>Test 2</w:t>
            </w:r>
          </w:p>
        </w:tc>
        <w:tc>
          <w:tcPr>
            <w:tcW w:w="1503" w:type="dxa"/>
            <w:tcBorders>
              <w:top w:val="single" w:sz="4" w:space="0" w:color="auto"/>
              <w:left w:val="single" w:sz="4" w:space="0" w:color="auto"/>
              <w:bottom w:val="single" w:sz="4" w:space="0" w:color="auto"/>
              <w:right w:val="single" w:sz="4" w:space="0" w:color="auto"/>
            </w:tcBorders>
            <w:hideMark/>
          </w:tcPr>
          <w:p w14:paraId="2862748B" w14:textId="77777777" w:rsidR="003A71DE" w:rsidRPr="00B57A37" w:rsidRDefault="003A71DE" w:rsidP="007835E8">
            <w:pPr>
              <w:pStyle w:val="TAH"/>
              <w:rPr>
                <w:rFonts w:eastAsiaTheme="minorEastAsia"/>
              </w:rPr>
            </w:pPr>
            <w:r w:rsidRPr="00B57A37">
              <w:rPr>
                <w:rFonts w:eastAsiaTheme="minorEastAsia"/>
              </w:rPr>
              <w:t>Test 3</w:t>
            </w:r>
          </w:p>
        </w:tc>
        <w:tc>
          <w:tcPr>
            <w:tcW w:w="1503" w:type="dxa"/>
            <w:tcBorders>
              <w:top w:val="single" w:sz="4" w:space="0" w:color="auto"/>
              <w:left w:val="single" w:sz="4" w:space="0" w:color="auto"/>
              <w:bottom w:val="single" w:sz="4" w:space="0" w:color="auto"/>
              <w:right w:val="single" w:sz="4" w:space="0" w:color="auto"/>
            </w:tcBorders>
            <w:hideMark/>
          </w:tcPr>
          <w:p w14:paraId="641DAEAB" w14:textId="77777777" w:rsidR="003A71DE" w:rsidRPr="00B57A37" w:rsidRDefault="003A71DE" w:rsidP="007835E8">
            <w:pPr>
              <w:pStyle w:val="TAH"/>
              <w:rPr>
                <w:rFonts w:eastAsiaTheme="minorEastAsia"/>
              </w:rPr>
            </w:pPr>
            <w:r w:rsidRPr="00B57A37">
              <w:rPr>
                <w:rFonts w:eastAsiaTheme="minorEastAsia"/>
              </w:rPr>
              <w:t>Test 4</w:t>
            </w:r>
          </w:p>
        </w:tc>
      </w:tr>
      <w:tr w:rsidR="003A71DE" w:rsidRPr="00B57A37" w14:paraId="24257111"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06C54C72" w14:textId="77777777" w:rsidR="003A71DE" w:rsidRPr="00B57A37" w:rsidRDefault="003A71DE" w:rsidP="007835E8">
            <w:pPr>
              <w:pStyle w:val="TAL"/>
              <w:rPr>
                <w:rFonts w:eastAsiaTheme="minorEastAsia"/>
                <w:lang w:eastAsia="zh-CN"/>
              </w:rPr>
            </w:pPr>
            <w:r w:rsidRPr="00B57A37">
              <w:rPr>
                <w:rFonts w:eastAsiaTheme="minorEastAsia"/>
                <w:lang w:eastAsia="zh-CN"/>
              </w:rPr>
              <w:t>G.2.3.1.1</w:t>
            </w:r>
          </w:p>
        </w:tc>
        <w:tc>
          <w:tcPr>
            <w:tcW w:w="1503" w:type="dxa"/>
            <w:tcBorders>
              <w:top w:val="single" w:sz="4" w:space="0" w:color="auto"/>
              <w:left w:val="single" w:sz="4" w:space="0" w:color="auto"/>
              <w:bottom w:val="single" w:sz="4" w:space="0" w:color="auto"/>
              <w:right w:val="single" w:sz="4" w:space="0" w:color="auto"/>
            </w:tcBorders>
            <w:vAlign w:val="bottom"/>
            <w:hideMark/>
          </w:tcPr>
          <w:p w14:paraId="5A1266C3" w14:textId="77777777" w:rsidR="003A71DE" w:rsidRPr="00B57A37" w:rsidRDefault="003A71DE" w:rsidP="007835E8">
            <w:pPr>
              <w:pStyle w:val="TAC"/>
              <w:rPr>
                <w:rFonts w:eastAsiaTheme="minorEastAsia"/>
                <w:lang w:eastAsia="zh-CN"/>
              </w:rPr>
            </w:pPr>
            <w:r w:rsidRPr="00B57A37">
              <w:rPr>
                <w:rFonts w:eastAsiaTheme="minorEastAsia"/>
                <w:lang w:eastAsia="zh-CN"/>
              </w:rPr>
              <w:t>-18</w:t>
            </w:r>
          </w:p>
        </w:tc>
        <w:tc>
          <w:tcPr>
            <w:tcW w:w="1503" w:type="dxa"/>
            <w:tcBorders>
              <w:top w:val="single" w:sz="4" w:space="0" w:color="auto"/>
              <w:left w:val="single" w:sz="4" w:space="0" w:color="auto"/>
              <w:bottom w:val="single" w:sz="4" w:space="0" w:color="auto"/>
              <w:right w:val="single" w:sz="4" w:space="0" w:color="auto"/>
            </w:tcBorders>
            <w:vAlign w:val="bottom"/>
            <w:hideMark/>
          </w:tcPr>
          <w:p w14:paraId="0EFD2D45" w14:textId="77777777" w:rsidR="003A71DE" w:rsidRPr="00B57A37" w:rsidRDefault="003A71DE" w:rsidP="007835E8">
            <w:pPr>
              <w:pStyle w:val="TAC"/>
              <w:rPr>
                <w:rFonts w:eastAsiaTheme="minorEastAsia"/>
                <w:lang w:eastAsia="zh-CN"/>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21BE6F29" w14:textId="77777777" w:rsidR="003A71DE" w:rsidRPr="00B57A37" w:rsidRDefault="003A71DE" w:rsidP="007835E8">
            <w:pPr>
              <w:pStyle w:val="TAC"/>
              <w:rPr>
                <w:rFonts w:eastAsiaTheme="minorEastAsia"/>
                <w:lang w:eastAsia="zh-CN"/>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21BB2920" w14:textId="77777777" w:rsidR="003A71DE" w:rsidRPr="00B57A37" w:rsidRDefault="003A71DE" w:rsidP="007835E8">
            <w:pPr>
              <w:pStyle w:val="TAC"/>
              <w:rPr>
                <w:rFonts w:eastAsiaTheme="minorEastAsia"/>
              </w:rPr>
            </w:pPr>
            <w:r w:rsidRPr="00B57A37">
              <w:rPr>
                <w:rFonts w:eastAsiaTheme="minorEastAsia"/>
                <w:lang w:eastAsia="zh-CN"/>
              </w:rPr>
              <w:t>N/A</w:t>
            </w:r>
          </w:p>
        </w:tc>
      </w:tr>
      <w:tr w:rsidR="003A71DE" w:rsidRPr="00B57A37" w14:paraId="7B56C981"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4B6F54BE" w14:textId="77777777" w:rsidR="003A71DE" w:rsidRPr="00B57A37" w:rsidRDefault="003A71DE" w:rsidP="007835E8">
            <w:pPr>
              <w:pStyle w:val="TAL"/>
              <w:rPr>
                <w:rFonts w:eastAsia="MS Mincho"/>
                <w:lang w:eastAsia="zh-CN"/>
              </w:rPr>
            </w:pPr>
            <w:r w:rsidRPr="00B57A37">
              <w:rPr>
                <w:rFonts w:eastAsiaTheme="minorEastAsia"/>
                <w:lang w:eastAsia="zh-CN"/>
              </w:rPr>
              <w:t>G.2.3.1.3</w:t>
            </w:r>
          </w:p>
        </w:tc>
        <w:tc>
          <w:tcPr>
            <w:tcW w:w="1503" w:type="dxa"/>
            <w:tcBorders>
              <w:top w:val="single" w:sz="4" w:space="0" w:color="auto"/>
              <w:left w:val="single" w:sz="4" w:space="0" w:color="auto"/>
              <w:bottom w:val="single" w:sz="4" w:space="0" w:color="auto"/>
              <w:right w:val="single" w:sz="4" w:space="0" w:color="auto"/>
            </w:tcBorders>
            <w:vAlign w:val="bottom"/>
            <w:hideMark/>
          </w:tcPr>
          <w:p w14:paraId="0912E660" w14:textId="77777777" w:rsidR="003A71DE" w:rsidRPr="00B57A37" w:rsidRDefault="003A71DE" w:rsidP="007835E8">
            <w:pPr>
              <w:pStyle w:val="TAC"/>
              <w:rPr>
                <w:rFonts w:eastAsiaTheme="minorEastAsia"/>
              </w:rPr>
            </w:pPr>
            <w:r w:rsidRPr="00B57A37">
              <w:rPr>
                <w:rFonts w:eastAsiaTheme="minorEastAsia"/>
                <w:lang w:eastAsia="zh-CN"/>
              </w:rPr>
              <w:t>-18</w:t>
            </w:r>
          </w:p>
        </w:tc>
        <w:tc>
          <w:tcPr>
            <w:tcW w:w="1503" w:type="dxa"/>
            <w:tcBorders>
              <w:top w:val="single" w:sz="4" w:space="0" w:color="auto"/>
              <w:left w:val="single" w:sz="4" w:space="0" w:color="auto"/>
              <w:bottom w:val="single" w:sz="4" w:space="0" w:color="auto"/>
              <w:right w:val="single" w:sz="4" w:space="0" w:color="auto"/>
            </w:tcBorders>
            <w:vAlign w:val="bottom"/>
            <w:hideMark/>
          </w:tcPr>
          <w:p w14:paraId="351CB330"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291308C3"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5A43EFE3" w14:textId="77777777" w:rsidR="003A71DE" w:rsidRPr="00B57A37" w:rsidRDefault="003A71DE" w:rsidP="007835E8">
            <w:pPr>
              <w:pStyle w:val="TAC"/>
              <w:rPr>
                <w:rFonts w:eastAsiaTheme="minorEastAsia"/>
              </w:rPr>
            </w:pPr>
            <w:r w:rsidRPr="00B57A37">
              <w:rPr>
                <w:rFonts w:eastAsiaTheme="minorEastAsia"/>
                <w:lang w:eastAsia="zh-CN"/>
              </w:rPr>
              <w:t>N/A</w:t>
            </w:r>
          </w:p>
        </w:tc>
      </w:tr>
      <w:tr w:rsidR="003A71DE" w:rsidRPr="00B57A37" w14:paraId="3EB1E1FE"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4B7D453C" w14:textId="77777777" w:rsidR="003A71DE" w:rsidRPr="00B57A37" w:rsidRDefault="003A71DE" w:rsidP="007835E8">
            <w:pPr>
              <w:pStyle w:val="TAL"/>
              <w:rPr>
                <w:rFonts w:eastAsia="MS Mincho"/>
                <w:lang w:eastAsia="zh-CN"/>
              </w:rPr>
            </w:pPr>
            <w:r w:rsidRPr="00B57A37">
              <w:rPr>
                <w:rFonts w:eastAsiaTheme="minorEastAsia"/>
                <w:lang w:eastAsia="zh-CN"/>
              </w:rPr>
              <w:t>G.2.3.1.5</w:t>
            </w:r>
          </w:p>
        </w:tc>
        <w:tc>
          <w:tcPr>
            <w:tcW w:w="1503" w:type="dxa"/>
            <w:tcBorders>
              <w:top w:val="single" w:sz="4" w:space="0" w:color="auto"/>
              <w:left w:val="single" w:sz="4" w:space="0" w:color="auto"/>
              <w:bottom w:val="single" w:sz="4" w:space="0" w:color="auto"/>
              <w:right w:val="single" w:sz="4" w:space="0" w:color="auto"/>
            </w:tcBorders>
            <w:vAlign w:val="bottom"/>
            <w:hideMark/>
          </w:tcPr>
          <w:p w14:paraId="1FD5F3E1" w14:textId="77777777" w:rsidR="003A71DE" w:rsidRPr="00B57A37" w:rsidRDefault="003A71DE" w:rsidP="007835E8">
            <w:pPr>
              <w:pStyle w:val="TAC"/>
              <w:rPr>
                <w:rFonts w:eastAsiaTheme="minorEastAsia"/>
                <w:lang w:eastAsia="zh-CN"/>
              </w:rPr>
            </w:pPr>
            <w:r w:rsidRPr="00B57A37">
              <w:rPr>
                <w:rFonts w:eastAsiaTheme="minorEastAsia"/>
                <w:lang w:eastAsia="zh-CN"/>
              </w:rPr>
              <w:t>-18</w:t>
            </w:r>
          </w:p>
        </w:tc>
        <w:tc>
          <w:tcPr>
            <w:tcW w:w="1503" w:type="dxa"/>
            <w:tcBorders>
              <w:top w:val="single" w:sz="4" w:space="0" w:color="auto"/>
              <w:left w:val="single" w:sz="4" w:space="0" w:color="auto"/>
              <w:bottom w:val="single" w:sz="4" w:space="0" w:color="auto"/>
              <w:right w:val="single" w:sz="4" w:space="0" w:color="auto"/>
            </w:tcBorders>
            <w:vAlign w:val="bottom"/>
            <w:hideMark/>
          </w:tcPr>
          <w:p w14:paraId="6DF9B37C" w14:textId="77777777" w:rsidR="003A71DE" w:rsidRPr="00B57A37" w:rsidRDefault="003A71DE" w:rsidP="007835E8">
            <w:pPr>
              <w:pStyle w:val="TAC"/>
              <w:rPr>
                <w:rFonts w:eastAsiaTheme="minorEastAsia"/>
                <w:lang w:eastAsia="zh-CN"/>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1F679775"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642A1D46" w14:textId="77777777" w:rsidR="003A71DE" w:rsidRPr="00B57A37" w:rsidRDefault="003A71DE" w:rsidP="007835E8">
            <w:pPr>
              <w:pStyle w:val="TAC"/>
              <w:rPr>
                <w:rFonts w:eastAsiaTheme="minorEastAsia"/>
              </w:rPr>
            </w:pPr>
            <w:r w:rsidRPr="00B57A37">
              <w:rPr>
                <w:rFonts w:eastAsiaTheme="minorEastAsia"/>
                <w:lang w:eastAsia="zh-CN"/>
              </w:rPr>
              <w:t>N/A</w:t>
            </w:r>
          </w:p>
        </w:tc>
      </w:tr>
      <w:tr w:rsidR="003A71DE" w:rsidRPr="00B57A37" w14:paraId="4E66AC6D"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4937A5C3" w14:textId="77777777" w:rsidR="003A71DE" w:rsidRPr="00B57A37" w:rsidRDefault="003A71DE" w:rsidP="007835E8">
            <w:pPr>
              <w:pStyle w:val="TAL"/>
              <w:rPr>
                <w:rFonts w:eastAsia="MS Mincho"/>
                <w:lang w:eastAsia="zh-CN"/>
              </w:rPr>
            </w:pPr>
            <w:r w:rsidRPr="00B57A37">
              <w:rPr>
                <w:rFonts w:eastAsiaTheme="minorEastAsia"/>
                <w:lang w:eastAsia="zh-CN"/>
              </w:rPr>
              <w:t>G.2.3.1.7</w:t>
            </w:r>
          </w:p>
        </w:tc>
        <w:tc>
          <w:tcPr>
            <w:tcW w:w="1503" w:type="dxa"/>
            <w:tcBorders>
              <w:top w:val="single" w:sz="4" w:space="0" w:color="auto"/>
              <w:left w:val="single" w:sz="4" w:space="0" w:color="auto"/>
              <w:bottom w:val="single" w:sz="4" w:space="0" w:color="auto"/>
              <w:right w:val="single" w:sz="4" w:space="0" w:color="auto"/>
            </w:tcBorders>
            <w:vAlign w:val="bottom"/>
            <w:hideMark/>
          </w:tcPr>
          <w:p w14:paraId="76DF1788" w14:textId="77777777" w:rsidR="003A71DE" w:rsidRPr="00B57A37" w:rsidRDefault="003A71DE" w:rsidP="007835E8">
            <w:pPr>
              <w:pStyle w:val="TAC"/>
              <w:rPr>
                <w:rFonts w:eastAsiaTheme="minorEastAsia"/>
              </w:rPr>
            </w:pPr>
            <w:r w:rsidRPr="00B57A37">
              <w:rPr>
                <w:rFonts w:eastAsiaTheme="minorEastAsia"/>
                <w:lang w:eastAsia="zh-CN"/>
              </w:rPr>
              <w:t>-18</w:t>
            </w:r>
          </w:p>
        </w:tc>
        <w:tc>
          <w:tcPr>
            <w:tcW w:w="1503" w:type="dxa"/>
            <w:tcBorders>
              <w:top w:val="single" w:sz="4" w:space="0" w:color="auto"/>
              <w:left w:val="single" w:sz="4" w:space="0" w:color="auto"/>
              <w:bottom w:val="single" w:sz="4" w:space="0" w:color="auto"/>
              <w:right w:val="single" w:sz="4" w:space="0" w:color="auto"/>
            </w:tcBorders>
            <w:vAlign w:val="bottom"/>
            <w:hideMark/>
          </w:tcPr>
          <w:p w14:paraId="6796B99C"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1C5B8398"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03" w:type="dxa"/>
            <w:tcBorders>
              <w:top w:val="single" w:sz="4" w:space="0" w:color="auto"/>
              <w:left w:val="single" w:sz="4" w:space="0" w:color="auto"/>
              <w:bottom w:val="single" w:sz="4" w:space="0" w:color="auto"/>
              <w:right w:val="single" w:sz="4" w:space="0" w:color="auto"/>
            </w:tcBorders>
            <w:vAlign w:val="bottom"/>
            <w:hideMark/>
          </w:tcPr>
          <w:p w14:paraId="7DD42399" w14:textId="77777777" w:rsidR="003A71DE" w:rsidRPr="00B57A37" w:rsidRDefault="003A71DE" w:rsidP="007835E8">
            <w:pPr>
              <w:pStyle w:val="TAC"/>
              <w:rPr>
                <w:rFonts w:eastAsiaTheme="minorEastAsia"/>
              </w:rPr>
            </w:pPr>
            <w:r w:rsidRPr="00B57A37">
              <w:rPr>
                <w:rFonts w:eastAsiaTheme="minorEastAsia"/>
                <w:lang w:eastAsia="zh-CN"/>
              </w:rPr>
              <w:t>N/A</w:t>
            </w:r>
          </w:p>
        </w:tc>
      </w:tr>
    </w:tbl>
    <w:p w14:paraId="53F1B793" w14:textId="77777777" w:rsidR="003A71DE" w:rsidRPr="00B57A37" w:rsidRDefault="003A71DE" w:rsidP="003A71DE">
      <w:pPr>
        <w:rPr>
          <w:rFonts w:eastAsiaTheme="minorEastAsia"/>
        </w:rPr>
      </w:pPr>
    </w:p>
    <w:p w14:paraId="7B1C6468" w14:textId="77777777" w:rsidR="003A71DE" w:rsidRPr="00B57A37" w:rsidRDefault="003A71DE" w:rsidP="00BA0D24">
      <w:pPr>
        <w:pStyle w:val="TH"/>
        <w:rPr>
          <w:rFonts w:eastAsiaTheme="minorEastAsia"/>
          <w:lang w:val="en-US"/>
        </w:rPr>
      </w:pPr>
      <w:r w:rsidRPr="00B57A37">
        <w:rPr>
          <w:rFonts w:eastAsiaTheme="minorEastAsia"/>
        </w:rPr>
        <w:lastRenderedPageBreak/>
        <w:t>Table G.1.3.1.1.2.1-2: Modified parameters for RLM in sync single carrier testing with 4 RX antenna connection</w:t>
      </w:r>
    </w:p>
    <w:tbl>
      <w:tblPr>
        <w:tblW w:w="8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85"/>
        <w:gridCol w:w="1076"/>
        <w:gridCol w:w="1276"/>
        <w:gridCol w:w="1559"/>
        <w:gridCol w:w="1417"/>
      </w:tblGrid>
      <w:tr w:rsidR="003A71DE" w:rsidRPr="00B57A37" w14:paraId="431AAC94" w14:textId="77777777" w:rsidTr="003A71DE">
        <w:trPr>
          <w:jc w:val="center"/>
        </w:trPr>
        <w:tc>
          <w:tcPr>
            <w:tcW w:w="3285" w:type="dxa"/>
            <w:tcBorders>
              <w:top w:val="single" w:sz="4" w:space="0" w:color="auto"/>
              <w:left w:val="single" w:sz="4" w:space="0" w:color="auto"/>
              <w:bottom w:val="nil"/>
              <w:right w:val="single" w:sz="4" w:space="0" w:color="auto"/>
            </w:tcBorders>
            <w:hideMark/>
          </w:tcPr>
          <w:p w14:paraId="0B44DA1A" w14:textId="77777777" w:rsidR="003A71DE" w:rsidRPr="00B57A37" w:rsidRDefault="003A71DE" w:rsidP="007835E8">
            <w:pPr>
              <w:pStyle w:val="TAH"/>
              <w:rPr>
                <w:rFonts w:eastAsiaTheme="minorEastAsia"/>
                <w:lang w:eastAsia="zh-CN"/>
              </w:rPr>
            </w:pPr>
            <w:r w:rsidRPr="00B57A37">
              <w:rPr>
                <w:rFonts w:eastAsiaTheme="minorEastAsia"/>
                <w:lang w:eastAsia="zh-CN"/>
              </w:rPr>
              <w:t>Test case</w:t>
            </w:r>
          </w:p>
        </w:tc>
        <w:tc>
          <w:tcPr>
            <w:tcW w:w="2352" w:type="dxa"/>
            <w:gridSpan w:val="2"/>
            <w:tcBorders>
              <w:top w:val="single" w:sz="4" w:space="0" w:color="auto"/>
              <w:left w:val="single" w:sz="4" w:space="0" w:color="auto"/>
              <w:bottom w:val="single" w:sz="4" w:space="0" w:color="auto"/>
              <w:right w:val="single" w:sz="4" w:space="0" w:color="auto"/>
            </w:tcBorders>
            <w:hideMark/>
          </w:tcPr>
          <w:p w14:paraId="6B6FD5B5" w14:textId="77777777" w:rsidR="003A71DE" w:rsidRPr="00B57A37" w:rsidRDefault="003A71DE" w:rsidP="007835E8">
            <w:pPr>
              <w:pStyle w:val="TAH"/>
              <w:rPr>
                <w:rFonts w:eastAsiaTheme="minorEastAsia"/>
              </w:rPr>
            </w:pPr>
            <w:r w:rsidRPr="00B57A37">
              <w:rPr>
                <w:rFonts w:eastAsiaTheme="minorEastAsia"/>
              </w:rPr>
              <w:t>SNR during T3 (dB)</w:t>
            </w:r>
          </w:p>
        </w:tc>
        <w:tc>
          <w:tcPr>
            <w:tcW w:w="2976" w:type="dxa"/>
            <w:gridSpan w:val="2"/>
            <w:tcBorders>
              <w:top w:val="single" w:sz="4" w:space="0" w:color="auto"/>
              <w:left w:val="single" w:sz="4" w:space="0" w:color="auto"/>
              <w:bottom w:val="single" w:sz="4" w:space="0" w:color="auto"/>
              <w:right w:val="single" w:sz="4" w:space="0" w:color="auto"/>
            </w:tcBorders>
            <w:hideMark/>
          </w:tcPr>
          <w:p w14:paraId="3C667EC9" w14:textId="77777777" w:rsidR="003A71DE" w:rsidRPr="00B57A37" w:rsidRDefault="003A71DE" w:rsidP="007835E8">
            <w:pPr>
              <w:pStyle w:val="TAH"/>
              <w:rPr>
                <w:rFonts w:eastAsiaTheme="minorEastAsia"/>
              </w:rPr>
            </w:pPr>
            <w:r w:rsidRPr="00B57A37">
              <w:rPr>
                <w:rFonts w:eastAsiaTheme="minorEastAsia"/>
              </w:rPr>
              <w:t>SNR during T4 (dB)</w:t>
            </w:r>
          </w:p>
        </w:tc>
      </w:tr>
      <w:tr w:rsidR="003A71DE" w:rsidRPr="00B57A37" w14:paraId="2053963F" w14:textId="77777777" w:rsidTr="003A71DE">
        <w:trPr>
          <w:jc w:val="center"/>
        </w:trPr>
        <w:tc>
          <w:tcPr>
            <w:tcW w:w="3285" w:type="dxa"/>
            <w:tcBorders>
              <w:top w:val="nil"/>
              <w:left w:val="single" w:sz="4" w:space="0" w:color="auto"/>
              <w:bottom w:val="single" w:sz="4" w:space="0" w:color="auto"/>
              <w:right w:val="single" w:sz="4" w:space="0" w:color="auto"/>
            </w:tcBorders>
            <w:vAlign w:val="center"/>
            <w:hideMark/>
          </w:tcPr>
          <w:p w14:paraId="715B6F26" w14:textId="77777777" w:rsidR="003A71DE" w:rsidRPr="00B57A37" w:rsidRDefault="003A71DE" w:rsidP="007835E8">
            <w:pPr>
              <w:pStyle w:val="TAH"/>
              <w:rPr>
                <w:rFonts w:eastAsiaTheme="minorEastAsia"/>
                <w:lang w:eastAsia="zh-CN"/>
              </w:rPr>
            </w:pPr>
          </w:p>
        </w:tc>
        <w:tc>
          <w:tcPr>
            <w:tcW w:w="1076" w:type="dxa"/>
            <w:tcBorders>
              <w:top w:val="single" w:sz="4" w:space="0" w:color="auto"/>
              <w:left w:val="single" w:sz="4" w:space="0" w:color="auto"/>
              <w:bottom w:val="single" w:sz="4" w:space="0" w:color="auto"/>
              <w:right w:val="single" w:sz="4" w:space="0" w:color="auto"/>
            </w:tcBorders>
            <w:hideMark/>
          </w:tcPr>
          <w:p w14:paraId="5BC3E649" w14:textId="77777777" w:rsidR="003A71DE" w:rsidRPr="00B57A37" w:rsidRDefault="003A71DE" w:rsidP="007835E8">
            <w:pPr>
              <w:pStyle w:val="TAH"/>
              <w:rPr>
                <w:rFonts w:eastAsiaTheme="minorEastAsia"/>
              </w:rPr>
            </w:pPr>
            <w:r w:rsidRPr="00B57A37">
              <w:rPr>
                <w:rFonts w:eastAsiaTheme="minorEastAsia"/>
              </w:rPr>
              <w:t>Test 1</w:t>
            </w:r>
          </w:p>
        </w:tc>
        <w:tc>
          <w:tcPr>
            <w:tcW w:w="1276" w:type="dxa"/>
            <w:tcBorders>
              <w:top w:val="single" w:sz="4" w:space="0" w:color="auto"/>
              <w:left w:val="single" w:sz="4" w:space="0" w:color="auto"/>
              <w:bottom w:val="single" w:sz="4" w:space="0" w:color="auto"/>
              <w:right w:val="single" w:sz="4" w:space="0" w:color="auto"/>
            </w:tcBorders>
            <w:hideMark/>
          </w:tcPr>
          <w:p w14:paraId="05666480" w14:textId="77777777" w:rsidR="003A71DE" w:rsidRPr="00B57A37" w:rsidRDefault="003A71DE" w:rsidP="007835E8">
            <w:pPr>
              <w:pStyle w:val="TAH"/>
              <w:rPr>
                <w:rFonts w:eastAsiaTheme="minorEastAsia"/>
              </w:rPr>
            </w:pPr>
            <w:r w:rsidRPr="00B57A37">
              <w:rPr>
                <w:rFonts w:eastAsiaTheme="minorEastAsia"/>
              </w:rPr>
              <w:t>Test 2</w:t>
            </w:r>
          </w:p>
        </w:tc>
        <w:tc>
          <w:tcPr>
            <w:tcW w:w="1559" w:type="dxa"/>
            <w:tcBorders>
              <w:top w:val="single" w:sz="4" w:space="0" w:color="auto"/>
              <w:left w:val="single" w:sz="4" w:space="0" w:color="auto"/>
              <w:bottom w:val="single" w:sz="4" w:space="0" w:color="auto"/>
              <w:right w:val="single" w:sz="4" w:space="0" w:color="auto"/>
            </w:tcBorders>
            <w:hideMark/>
          </w:tcPr>
          <w:p w14:paraId="442A3E25" w14:textId="77777777" w:rsidR="003A71DE" w:rsidRPr="00B57A37" w:rsidRDefault="003A71DE" w:rsidP="007835E8">
            <w:pPr>
              <w:pStyle w:val="TAH"/>
              <w:rPr>
                <w:rFonts w:eastAsiaTheme="minorEastAsia"/>
              </w:rPr>
            </w:pPr>
            <w:r w:rsidRPr="00B57A37">
              <w:rPr>
                <w:rFonts w:eastAsiaTheme="minorEastAsia"/>
              </w:rPr>
              <w:t>Test 1</w:t>
            </w:r>
          </w:p>
        </w:tc>
        <w:tc>
          <w:tcPr>
            <w:tcW w:w="1417" w:type="dxa"/>
            <w:tcBorders>
              <w:top w:val="single" w:sz="4" w:space="0" w:color="auto"/>
              <w:left w:val="single" w:sz="4" w:space="0" w:color="auto"/>
              <w:bottom w:val="single" w:sz="4" w:space="0" w:color="auto"/>
              <w:right w:val="single" w:sz="4" w:space="0" w:color="auto"/>
            </w:tcBorders>
            <w:hideMark/>
          </w:tcPr>
          <w:p w14:paraId="239EDB66" w14:textId="77777777" w:rsidR="003A71DE" w:rsidRPr="00B57A37" w:rsidRDefault="003A71DE" w:rsidP="007835E8">
            <w:pPr>
              <w:pStyle w:val="TAH"/>
              <w:rPr>
                <w:rFonts w:eastAsiaTheme="minorEastAsia"/>
              </w:rPr>
            </w:pPr>
            <w:r w:rsidRPr="00B57A37">
              <w:rPr>
                <w:rFonts w:eastAsiaTheme="minorEastAsia"/>
              </w:rPr>
              <w:t>Test 2</w:t>
            </w:r>
          </w:p>
        </w:tc>
      </w:tr>
      <w:tr w:rsidR="003A71DE" w:rsidRPr="00B57A37" w14:paraId="539F3E5B"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41B7BF96" w14:textId="77777777" w:rsidR="003A71DE" w:rsidRPr="00B57A37" w:rsidRDefault="003A71DE" w:rsidP="007835E8">
            <w:pPr>
              <w:pStyle w:val="TAL"/>
              <w:rPr>
                <w:rFonts w:eastAsia="MS Mincho"/>
                <w:lang w:eastAsia="zh-CN"/>
              </w:rPr>
            </w:pPr>
            <w:r w:rsidRPr="00B57A37">
              <w:rPr>
                <w:rFonts w:eastAsiaTheme="minorEastAsia"/>
                <w:lang w:eastAsia="zh-CN"/>
              </w:rPr>
              <w:t>G.2.3.1.2</w:t>
            </w:r>
          </w:p>
        </w:tc>
        <w:tc>
          <w:tcPr>
            <w:tcW w:w="1076" w:type="dxa"/>
            <w:tcBorders>
              <w:top w:val="single" w:sz="4" w:space="0" w:color="auto"/>
              <w:left w:val="single" w:sz="4" w:space="0" w:color="auto"/>
              <w:bottom w:val="single" w:sz="4" w:space="0" w:color="auto"/>
              <w:right w:val="single" w:sz="4" w:space="0" w:color="auto"/>
            </w:tcBorders>
            <w:vAlign w:val="bottom"/>
            <w:hideMark/>
          </w:tcPr>
          <w:p w14:paraId="413DA905" w14:textId="77777777" w:rsidR="003A71DE" w:rsidRPr="00B57A37" w:rsidRDefault="003A71DE" w:rsidP="007835E8">
            <w:pPr>
              <w:pStyle w:val="TAC"/>
              <w:rPr>
                <w:rFonts w:eastAsiaTheme="minorEastAsia"/>
                <w:lang w:eastAsia="zh-CN"/>
              </w:rPr>
            </w:pPr>
            <w:r w:rsidRPr="00B57A37">
              <w:rPr>
                <w:rFonts w:eastAsiaTheme="minorEastAsia"/>
                <w:lang w:eastAsia="zh-CN"/>
              </w:rPr>
              <w:t>-18</w:t>
            </w:r>
          </w:p>
        </w:tc>
        <w:tc>
          <w:tcPr>
            <w:tcW w:w="1276" w:type="dxa"/>
            <w:tcBorders>
              <w:top w:val="single" w:sz="4" w:space="0" w:color="auto"/>
              <w:left w:val="single" w:sz="4" w:space="0" w:color="auto"/>
              <w:bottom w:val="single" w:sz="4" w:space="0" w:color="auto"/>
              <w:right w:val="single" w:sz="4" w:space="0" w:color="auto"/>
            </w:tcBorders>
            <w:vAlign w:val="bottom"/>
            <w:hideMark/>
          </w:tcPr>
          <w:p w14:paraId="758A0240" w14:textId="77777777" w:rsidR="003A71DE" w:rsidRPr="00B57A37" w:rsidRDefault="003A71DE" w:rsidP="007835E8">
            <w:pPr>
              <w:pStyle w:val="TAC"/>
              <w:rPr>
                <w:rFonts w:eastAsiaTheme="minorEastAsia"/>
                <w:lang w:eastAsia="zh-CN"/>
              </w:rPr>
            </w:pPr>
            <w:r w:rsidRPr="00B57A37">
              <w:rPr>
                <w:rFonts w:eastAsiaTheme="minorEastAsia"/>
                <w:lang w:eastAsia="zh-CN"/>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A853E7F" w14:textId="77777777" w:rsidR="003A71DE" w:rsidRPr="00B57A37" w:rsidRDefault="003A71DE" w:rsidP="007835E8">
            <w:pPr>
              <w:pStyle w:val="TAC"/>
              <w:rPr>
                <w:rFonts w:eastAsiaTheme="minorEastAsia"/>
                <w:lang w:eastAsia="zh-CN"/>
              </w:rPr>
            </w:pPr>
            <w:r w:rsidRPr="00B57A37">
              <w:rPr>
                <w:rFonts w:eastAsiaTheme="minorEastAsia"/>
                <w:lang w:eastAsia="zh-CN"/>
              </w:rPr>
              <w:t>-8</w:t>
            </w:r>
          </w:p>
        </w:tc>
        <w:tc>
          <w:tcPr>
            <w:tcW w:w="1417" w:type="dxa"/>
            <w:tcBorders>
              <w:top w:val="single" w:sz="4" w:space="0" w:color="auto"/>
              <w:left w:val="single" w:sz="4" w:space="0" w:color="auto"/>
              <w:bottom w:val="single" w:sz="4" w:space="0" w:color="auto"/>
              <w:right w:val="single" w:sz="4" w:space="0" w:color="auto"/>
            </w:tcBorders>
            <w:hideMark/>
          </w:tcPr>
          <w:p w14:paraId="74BB61AE" w14:textId="77777777" w:rsidR="003A71DE" w:rsidRPr="00B57A37" w:rsidRDefault="003A71DE" w:rsidP="007835E8">
            <w:pPr>
              <w:pStyle w:val="TAC"/>
              <w:rPr>
                <w:rFonts w:eastAsiaTheme="minorEastAsia"/>
                <w:lang w:eastAsia="zh-CN"/>
              </w:rPr>
            </w:pPr>
            <w:r w:rsidRPr="00B57A37">
              <w:rPr>
                <w:rFonts w:eastAsiaTheme="minorEastAsia"/>
                <w:lang w:eastAsia="zh-CN"/>
              </w:rPr>
              <w:t>N/A</w:t>
            </w:r>
          </w:p>
        </w:tc>
      </w:tr>
      <w:tr w:rsidR="003A71DE" w:rsidRPr="00B57A37" w14:paraId="390DA343"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1F280380" w14:textId="77777777" w:rsidR="003A71DE" w:rsidRPr="00B57A37" w:rsidRDefault="003A71DE" w:rsidP="007835E8">
            <w:pPr>
              <w:pStyle w:val="TAL"/>
              <w:rPr>
                <w:rFonts w:eastAsia="MS Mincho"/>
                <w:lang w:eastAsia="zh-CN"/>
              </w:rPr>
            </w:pPr>
            <w:r w:rsidRPr="00B57A37">
              <w:rPr>
                <w:rFonts w:eastAsiaTheme="minorEastAsia"/>
                <w:lang w:eastAsia="zh-CN"/>
              </w:rPr>
              <w:t>G.2.3.1.4</w:t>
            </w:r>
          </w:p>
        </w:tc>
        <w:tc>
          <w:tcPr>
            <w:tcW w:w="1076" w:type="dxa"/>
            <w:tcBorders>
              <w:top w:val="single" w:sz="4" w:space="0" w:color="auto"/>
              <w:left w:val="single" w:sz="4" w:space="0" w:color="auto"/>
              <w:bottom w:val="single" w:sz="4" w:space="0" w:color="auto"/>
              <w:right w:val="single" w:sz="4" w:space="0" w:color="auto"/>
            </w:tcBorders>
            <w:vAlign w:val="bottom"/>
            <w:hideMark/>
          </w:tcPr>
          <w:p w14:paraId="5D1B0231" w14:textId="77777777" w:rsidR="003A71DE" w:rsidRPr="00B57A37" w:rsidRDefault="003A71DE" w:rsidP="007835E8">
            <w:pPr>
              <w:pStyle w:val="TAC"/>
              <w:rPr>
                <w:rFonts w:eastAsiaTheme="minorEastAsia"/>
              </w:rPr>
            </w:pPr>
            <w:r w:rsidRPr="00B57A37">
              <w:rPr>
                <w:rFonts w:eastAsiaTheme="minorEastAsia"/>
                <w:lang w:eastAsia="zh-CN"/>
              </w:rPr>
              <w:t>-18</w:t>
            </w:r>
          </w:p>
        </w:tc>
        <w:tc>
          <w:tcPr>
            <w:tcW w:w="1276" w:type="dxa"/>
            <w:tcBorders>
              <w:top w:val="single" w:sz="4" w:space="0" w:color="auto"/>
              <w:left w:val="single" w:sz="4" w:space="0" w:color="auto"/>
              <w:bottom w:val="single" w:sz="4" w:space="0" w:color="auto"/>
              <w:right w:val="single" w:sz="4" w:space="0" w:color="auto"/>
            </w:tcBorders>
            <w:hideMark/>
          </w:tcPr>
          <w:p w14:paraId="702FF095"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A2D7BB6" w14:textId="77777777" w:rsidR="003A71DE" w:rsidRPr="00B57A37" w:rsidRDefault="003A71DE" w:rsidP="007835E8">
            <w:pPr>
              <w:pStyle w:val="TAC"/>
              <w:rPr>
                <w:rFonts w:eastAsiaTheme="minorEastAsia"/>
              </w:rPr>
            </w:pPr>
            <w:r w:rsidRPr="00B57A37">
              <w:rPr>
                <w:rFonts w:eastAsiaTheme="minorEastAsia"/>
                <w:lang w:eastAsia="zh-CN"/>
              </w:rPr>
              <w:t>-8</w:t>
            </w:r>
          </w:p>
        </w:tc>
        <w:tc>
          <w:tcPr>
            <w:tcW w:w="1417" w:type="dxa"/>
            <w:tcBorders>
              <w:top w:val="single" w:sz="4" w:space="0" w:color="auto"/>
              <w:left w:val="single" w:sz="4" w:space="0" w:color="auto"/>
              <w:bottom w:val="single" w:sz="4" w:space="0" w:color="auto"/>
              <w:right w:val="single" w:sz="4" w:space="0" w:color="auto"/>
            </w:tcBorders>
            <w:hideMark/>
          </w:tcPr>
          <w:p w14:paraId="3DEFF16C" w14:textId="77777777" w:rsidR="003A71DE" w:rsidRPr="00B57A37" w:rsidRDefault="003A71DE" w:rsidP="007835E8">
            <w:pPr>
              <w:pStyle w:val="TAC"/>
              <w:rPr>
                <w:rFonts w:eastAsiaTheme="minorEastAsia"/>
              </w:rPr>
            </w:pPr>
            <w:r w:rsidRPr="00B57A37">
              <w:rPr>
                <w:rFonts w:eastAsiaTheme="minorEastAsia"/>
                <w:lang w:eastAsia="zh-CN"/>
              </w:rPr>
              <w:t>N/A</w:t>
            </w:r>
          </w:p>
        </w:tc>
      </w:tr>
      <w:tr w:rsidR="003A71DE" w:rsidRPr="00B57A37" w14:paraId="023C1B29"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5B3D11D0" w14:textId="77777777" w:rsidR="003A71DE" w:rsidRPr="00B57A37" w:rsidRDefault="003A71DE" w:rsidP="007835E8">
            <w:pPr>
              <w:pStyle w:val="TAL"/>
              <w:rPr>
                <w:rFonts w:eastAsia="MS Mincho"/>
                <w:lang w:eastAsia="zh-CN"/>
              </w:rPr>
            </w:pPr>
            <w:r w:rsidRPr="00B57A37">
              <w:rPr>
                <w:rFonts w:eastAsiaTheme="minorEastAsia"/>
                <w:lang w:eastAsia="zh-CN"/>
              </w:rPr>
              <w:t>G.2.3.1.6</w:t>
            </w:r>
          </w:p>
        </w:tc>
        <w:tc>
          <w:tcPr>
            <w:tcW w:w="1076" w:type="dxa"/>
            <w:tcBorders>
              <w:top w:val="single" w:sz="4" w:space="0" w:color="auto"/>
              <w:left w:val="single" w:sz="4" w:space="0" w:color="auto"/>
              <w:bottom w:val="single" w:sz="4" w:space="0" w:color="auto"/>
              <w:right w:val="single" w:sz="4" w:space="0" w:color="auto"/>
            </w:tcBorders>
            <w:vAlign w:val="bottom"/>
            <w:hideMark/>
          </w:tcPr>
          <w:p w14:paraId="50E1358C" w14:textId="77777777" w:rsidR="003A71DE" w:rsidRPr="00B57A37" w:rsidRDefault="003A71DE" w:rsidP="007835E8">
            <w:pPr>
              <w:pStyle w:val="TAC"/>
              <w:rPr>
                <w:rFonts w:eastAsiaTheme="minorEastAsia"/>
                <w:lang w:eastAsia="zh-CN"/>
              </w:rPr>
            </w:pPr>
            <w:r w:rsidRPr="00B57A37">
              <w:rPr>
                <w:rFonts w:eastAsiaTheme="minorEastAsia"/>
                <w:lang w:eastAsia="zh-CN"/>
              </w:rPr>
              <w:t>-18</w:t>
            </w:r>
          </w:p>
        </w:tc>
        <w:tc>
          <w:tcPr>
            <w:tcW w:w="1276" w:type="dxa"/>
            <w:tcBorders>
              <w:top w:val="single" w:sz="4" w:space="0" w:color="auto"/>
              <w:left w:val="single" w:sz="4" w:space="0" w:color="auto"/>
              <w:bottom w:val="single" w:sz="4" w:space="0" w:color="auto"/>
              <w:right w:val="single" w:sz="4" w:space="0" w:color="auto"/>
            </w:tcBorders>
            <w:hideMark/>
          </w:tcPr>
          <w:p w14:paraId="6AD025A8"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59" w:type="dxa"/>
            <w:tcBorders>
              <w:top w:val="single" w:sz="4" w:space="0" w:color="auto"/>
              <w:left w:val="single" w:sz="4" w:space="0" w:color="auto"/>
              <w:bottom w:val="single" w:sz="4" w:space="0" w:color="auto"/>
              <w:right w:val="single" w:sz="4" w:space="0" w:color="auto"/>
            </w:tcBorders>
            <w:vAlign w:val="bottom"/>
            <w:hideMark/>
          </w:tcPr>
          <w:p w14:paraId="4E418A27" w14:textId="77777777" w:rsidR="003A71DE" w:rsidRPr="00B57A37" w:rsidRDefault="003A71DE" w:rsidP="007835E8">
            <w:pPr>
              <w:pStyle w:val="TAC"/>
              <w:rPr>
                <w:rFonts w:eastAsiaTheme="minorEastAsia"/>
              </w:rPr>
            </w:pPr>
            <w:r w:rsidRPr="00B57A37">
              <w:rPr>
                <w:rFonts w:eastAsiaTheme="minorEastAsia"/>
                <w:lang w:eastAsia="zh-CN"/>
              </w:rPr>
              <w:t>-8</w:t>
            </w:r>
          </w:p>
        </w:tc>
        <w:tc>
          <w:tcPr>
            <w:tcW w:w="1417" w:type="dxa"/>
            <w:tcBorders>
              <w:top w:val="single" w:sz="4" w:space="0" w:color="auto"/>
              <w:left w:val="single" w:sz="4" w:space="0" w:color="auto"/>
              <w:bottom w:val="single" w:sz="4" w:space="0" w:color="auto"/>
              <w:right w:val="single" w:sz="4" w:space="0" w:color="auto"/>
            </w:tcBorders>
            <w:hideMark/>
          </w:tcPr>
          <w:p w14:paraId="435DD834" w14:textId="77777777" w:rsidR="003A71DE" w:rsidRPr="00B57A37" w:rsidRDefault="003A71DE" w:rsidP="007835E8">
            <w:pPr>
              <w:pStyle w:val="TAC"/>
              <w:rPr>
                <w:rFonts w:eastAsiaTheme="minorEastAsia"/>
              </w:rPr>
            </w:pPr>
            <w:r w:rsidRPr="00B57A37">
              <w:rPr>
                <w:rFonts w:eastAsiaTheme="minorEastAsia"/>
                <w:lang w:eastAsia="zh-CN"/>
              </w:rPr>
              <w:t>N/A</w:t>
            </w:r>
          </w:p>
        </w:tc>
      </w:tr>
      <w:tr w:rsidR="003A71DE" w:rsidRPr="00B57A37" w14:paraId="0B734DD7"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56EAA652" w14:textId="77777777" w:rsidR="003A71DE" w:rsidRPr="00B57A37" w:rsidRDefault="003A71DE" w:rsidP="007835E8">
            <w:pPr>
              <w:pStyle w:val="TAL"/>
              <w:rPr>
                <w:rFonts w:eastAsia="MS Mincho"/>
                <w:lang w:eastAsia="zh-CN"/>
              </w:rPr>
            </w:pPr>
            <w:r w:rsidRPr="00B57A37">
              <w:rPr>
                <w:rFonts w:eastAsiaTheme="minorEastAsia"/>
                <w:lang w:eastAsia="zh-CN"/>
              </w:rPr>
              <w:t>G.2.3.1.8</w:t>
            </w:r>
          </w:p>
        </w:tc>
        <w:tc>
          <w:tcPr>
            <w:tcW w:w="1076" w:type="dxa"/>
            <w:tcBorders>
              <w:top w:val="single" w:sz="4" w:space="0" w:color="auto"/>
              <w:left w:val="single" w:sz="4" w:space="0" w:color="auto"/>
              <w:bottom w:val="single" w:sz="4" w:space="0" w:color="auto"/>
              <w:right w:val="single" w:sz="4" w:space="0" w:color="auto"/>
            </w:tcBorders>
            <w:vAlign w:val="bottom"/>
            <w:hideMark/>
          </w:tcPr>
          <w:p w14:paraId="02FB7B00" w14:textId="77777777" w:rsidR="003A71DE" w:rsidRPr="00B57A37" w:rsidRDefault="003A71DE" w:rsidP="007835E8">
            <w:pPr>
              <w:pStyle w:val="TAC"/>
              <w:rPr>
                <w:rFonts w:eastAsiaTheme="minorEastAsia"/>
              </w:rPr>
            </w:pPr>
            <w:r w:rsidRPr="00B57A37">
              <w:rPr>
                <w:rFonts w:eastAsiaTheme="minorEastAsia"/>
                <w:lang w:eastAsia="zh-CN"/>
              </w:rPr>
              <w:t>-18</w:t>
            </w:r>
          </w:p>
        </w:tc>
        <w:tc>
          <w:tcPr>
            <w:tcW w:w="1276" w:type="dxa"/>
            <w:tcBorders>
              <w:top w:val="single" w:sz="4" w:space="0" w:color="auto"/>
              <w:left w:val="single" w:sz="4" w:space="0" w:color="auto"/>
              <w:bottom w:val="single" w:sz="4" w:space="0" w:color="auto"/>
              <w:right w:val="single" w:sz="4" w:space="0" w:color="auto"/>
            </w:tcBorders>
            <w:hideMark/>
          </w:tcPr>
          <w:p w14:paraId="04AA6600" w14:textId="77777777" w:rsidR="003A71DE" w:rsidRPr="00B57A37" w:rsidRDefault="003A71DE" w:rsidP="007835E8">
            <w:pPr>
              <w:pStyle w:val="TAC"/>
              <w:rPr>
                <w:rFonts w:eastAsiaTheme="minorEastAsia"/>
              </w:rPr>
            </w:pPr>
            <w:r w:rsidRPr="00B57A37">
              <w:rPr>
                <w:rFonts w:eastAsiaTheme="minorEastAsia"/>
                <w:lang w:eastAsia="zh-CN"/>
              </w:rPr>
              <w:t>N/A</w:t>
            </w:r>
          </w:p>
        </w:tc>
        <w:tc>
          <w:tcPr>
            <w:tcW w:w="1559" w:type="dxa"/>
            <w:tcBorders>
              <w:top w:val="single" w:sz="4" w:space="0" w:color="auto"/>
              <w:left w:val="single" w:sz="4" w:space="0" w:color="auto"/>
              <w:bottom w:val="single" w:sz="4" w:space="0" w:color="auto"/>
              <w:right w:val="single" w:sz="4" w:space="0" w:color="auto"/>
            </w:tcBorders>
            <w:vAlign w:val="bottom"/>
            <w:hideMark/>
          </w:tcPr>
          <w:p w14:paraId="1817CDEB" w14:textId="77777777" w:rsidR="003A71DE" w:rsidRPr="00B57A37" w:rsidRDefault="003A71DE" w:rsidP="007835E8">
            <w:pPr>
              <w:pStyle w:val="TAC"/>
              <w:rPr>
                <w:rFonts w:eastAsiaTheme="minorEastAsia"/>
              </w:rPr>
            </w:pPr>
            <w:r w:rsidRPr="00B57A37">
              <w:rPr>
                <w:rFonts w:eastAsiaTheme="minorEastAsia"/>
                <w:lang w:eastAsia="zh-CN"/>
              </w:rPr>
              <w:t>-8</w:t>
            </w:r>
          </w:p>
        </w:tc>
        <w:tc>
          <w:tcPr>
            <w:tcW w:w="1417" w:type="dxa"/>
            <w:tcBorders>
              <w:top w:val="single" w:sz="4" w:space="0" w:color="auto"/>
              <w:left w:val="single" w:sz="4" w:space="0" w:color="auto"/>
              <w:bottom w:val="single" w:sz="4" w:space="0" w:color="auto"/>
              <w:right w:val="single" w:sz="4" w:space="0" w:color="auto"/>
            </w:tcBorders>
            <w:hideMark/>
          </w:tcPr>
          <w:p w14:paraId="64437884" w14:textId="77777777" w:rsidR="003A71DE" w:rsidRPr="00B57A37" w:rsidRDefault="003A71DE" w:rsidP="007835E8">
            <w:pPr>
              <w:pStyle w:val="TAC"/>
              <w:rPr>
                <w:rFonts w:eastAsiaTheme="minorEastAsia"/>
              </w:rPr>
            </w:pPr>
            <w:r w:rsidRPr="00B57A37">
              <w:rPr>
                <w:rFonts w:eastAsiaTheme="minorEastAsia"/>
                <w:lang w:eastAsia="zh-CN"/>
              </w:rPr>
              <w:t>N/A</w:t>
            </w:r>
          </w:p>
        </w:tc>
      </w:tr>
    </w:tbl>
    <w:p w14:paraId="617DDFDC" w14:textId="77777777" w:rsidR="003A71DE" w:rsidRPr="00B57A37" w:rsidRDefault="003A71DE" w:rsidP="005437E4">
      <w:pPr>
        <w:rPr>
          <w:rFonts w:eastAsiaTheme="minorEastAsia"/>
        </w:rPr>
      </w:pPr>
    </w:p>
    <w:p w14:paraId="3501E1F3" w14:textId="77777777" w:rsidR="003A71DE" w:rsidRPr="00B57A37" w:rsidRDefault="003A71DE" w:rsidP="00BA0D24">
      <w:pPr>
        <w:pStyle w:val="TH"/>
        <w:rPr>
          <w:rFonts w:eastAsiaTheme="minorEastAsia"/>
          <w:lang w:val="en-US"/>
        </w:rPr>
      </w:pPr>
      <w:r w:rsidRPr="00B57A37">
        <w:rPr>
          <w:rFonts w:eastAsiaTheme="minorEastAsia"/>
        </w:rPr>
        <w:t>Table G.1.3.1.1.2.1-3: Modified parameters for Beam Failure Detection and Link Recovery testing with 4 RX antenna connection</w:t>
      </w:r>
    </w:p>
    <w:tbl>
      <w:tblPr>
        <w:tblW w:w="6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85"/>
        <w:gridCol w:w="3359"/>
      </w:tblGrid>
      <w:tr w:rsidR="003A71DE" w:rsidRPr="00B57A37" w14:paraId="129EDF19" w14:textId="77777777" w:rsidTr="003A71DE">
        <w:trPr>
          <w:jc w:val="center"/>
        </w:trPr>
        <w:tc>
          <w:tcPr>
            <w:tcW w:w="3285" w:type="dxa"/>
            <w:tcBorders>
              <w:top w:val="single" w:sz="4" w:space="0" w:color="auto"/>
              <w:left w:val="single" w:sz="4" w:space="0" w:color="auto"/>
              <w:bottom w:val="nil"/>
              <w:right w:val="single" w:sz="4" w:space="0" w:color="auto"/>
            </w:tcBorders>
          </w:tcPr>
          <w:p w14:paraId="2445F7C1" w14:textId="77777777" w:rsidR="003A71DE" w:rsidRPr="00B57A37" w:rsidRDefault="003A71DE" w:rsidP="007835E8">
            <w:pPr>
              <w:pStyle w:val="TAH"/>
              <w:rPr>
                <w:rFonts w:eastAsiaTheme="minorEastAsia"/>
                <w:lang w:eastAsia="zh-CN"/>
              </w:rPr>
            </w:pPr>
            <w:r w:rsidRPr="00B57A37">
              <w:rPr>
                <w:rFonts w:eastAsiaTheme="minorEastAsia"/>
                <w:lang w:eastAsia="zh-CN"/>
              </w:rPr>
              <w:t>Test case</w:t>
            </w:r>
          </w:p>
        </w:tc>
        <w:tc>
          <w:tcPr>
            <w:tcW w:w="3359" w:type="dxa"/>
            <w:tcBorders>
              <w:top w:val="single" w:sz="4" w:space="0" w:color="auto"/>
              <w:left w:val="single" w:sz="4" w:space="0" w:color="auto"/>
              <w:bottom w:val="single" w:sz="4" w:space="0" w:color="auto"/>
              <w:right w:val="single" w:sz="4" w:space="0" w:color="auto"/>
            </w:tcBorders>
          </w:tcPr>
          <w:p w14:paraId="2B3E5DBD" w14:textId="77777777" w:rsidR="003A71DE" w:rsidRPr="00B57A37" w:rsidRDefault="003A71DE" w:rsidP="007835E8">
            <w:pPr>
              <w:pStyle w:val="TAH"/>
              <w:rPr>
                <w:rFonts w:eastAsiaTheme="minorEastAsia"/>
                <w:lang w:eastAsia="zh-CN"/>
              </w:rPr>
            </w:pPr>
            <w:r w:rsidRPr="00B57A37">
              <w:rPr>
                <w:rFonts w:eastAsiaTheme="minorEastAsia" w:cs="Arial"/>
              </w:rPr>
              <w:t>SNR for RS in set q</w:t>
            </w:r>
            <w:r w:rsidRPr="00B57A37">
              <w:rPr>
                <w:rFonts w:eastAsiaTheme="minorEastAsia" w:cs="Arial"/>
                <w:vertAlign w:val="subscript"/>
              </w:rPr>
              <w:t>0</w:t>
            </w:r>
            <w:r w:rsidRPr="00B57A37">
              <w:rPr>
                <w:rFonts w:eastAsiaTheme="minorEastAsia" w:cs="Arial"/>
              </w:rPr>
              <w:t xml:space="preserve"> during T3, T4 and T5 (dB)</w:t>
            </w:r>
          </w:p>
        </w:tc>
      </w:tr>
      <w:tr w:rsidR="003A71DE" w:rsidRPr="00B57A37" w14:paraId="61725A9F" w14:textId="77777777" w:rsidTr="003A71DE">
        <w:trPr>
          <w:jc w:val="center"/>
        </w:trPr>
        <w:tc>
          <w:tcPr>
            <w:tcW w:w="3285" w:type="dxa"/>
            <w:tcBorders>
              <w:top w:val="nil"/>
              <w:left w:val="single" w:sz="4" w:space="0" w:color="auto"/>
              <w:bottom w:val="single" w:sz="4" w:space="0" w:color="auto"/>
              <w:right w:val="single" w:sz="4" w:space="0" w:color="auto"/>
            </w:tcBorders>
          </w:tcPr>
          <w:p w14:paraId="73E187D6" w14:textId="77777777" w:rsidR="003A71DE" w:rsidRPr="00B57A37" w:rsidRDefault="003A71DE" w:rsidP="007835E8">
            <w:pPr>
              <w:pStyle w:val="TAH"/>
              <w:rPr>
                <w:rFonts w:eastAsiaTheme="minorEastAsia"/>
                <w:lang w:eastAsia="zh-CN"/>
              </w:rPr>
            </w:pPr>
          </w:p>
        </w:tc>
        <w:tc>
          <w:tcPr>
            <w:tcW w:w="3359" w:type="dxa"/>
            <w:tcBorders>
              <w:top w:val="single" w:sz="4" w:space="0" w:color="auto"/>
              <w:left w:val="single" w:sz="4" w:space="0" w:color="auto"/>
              <w:bottom w:val="single" w:sz="4" w:space="0" w:color="auto"/>
              <w:right w:val="single" w:sz="4" w:space="0" w:color="auto"/>
            </w:tcBorders>
          </w:tcPr>
          <w:p w14:paraId="2E252111" w14:textId="77777777" w:rsidR="003A71DE" w:rsidRPr="00B57A37" w:rsidRDefault="003A71DE" w:rsidP="007835E8">
            <w:pPr>
              <w:pStyle w:val="TAH"/>
              <w:rPr>
                <w:rFonts w:eastAsiaTheme="minorEastAsia"/>
                <w:lang w:eastAsia="zh-CN"/>
              </w:rPr>
            </w:pPr>
            <w:r w:rsidRPr="00B57A37">
              <w:rPr>
                <w:rFonts w:eastAsiaTheme="minorEastAsia"/>
              </w:rPr>
              <w:t>Test 1</w:t>
            </w:r>
          </w:p>
        </w:tc>
      </w:tr>
      <w:tr w:rsidR="003A71DE" w:rsidRPr="00B57A37" w14:paraId="75AD340A"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7B0B709B" w14:textId="77777777" w:rsidR="003A71DE" w:rsidRPr="00B57A37" w:rsidRDefault="003A71DE" w:rsidP="007835E8">
            <w:pPr>
              <w:pStyle w:val="TAL"/>
              <w:rPr>
                <w:rFonts w:eastAsia="MS Mincho"/>
                <w:lang w:eastAsia="zh-CN"/>
              </w:rPr>
            </w:pPr>
            <w:r w:rsidRPr="00B57A37">
              <w:rPr>
                <w:rFonts w:eastAsiaTheme="minorEastAsia"/>
                <w:lang w:eastAsia="zh-CN"/>
              </w:rPr>
              <w:t>G.2.3.2.1</w:t>
            </w:r>
          </w:p>
        </w:tc>
        <w:tc>
          <w:tcPr>
            <w:tcW w:w="3359" w:type="dxa"/>
            <w:tcBorders>
              <w:top w:val="single" w:sz="4" w:space="0" w:color="auto"/>
              <w:left w:val="single" w:sz="4" w:space="0" w:color="auto"/>
              <w:bottom w:val="single" w:sz="4" w:space="0" w:color="auto"/>
              <w:right w:val="single" w:sz="4" w:space="0" w:color="auto"/>
            </w:tcBorders>
            <w:vAlign w:val="bottom"/>
            <w:hideMark/>
          </w:tcPr>
          <w:p w14:paraId="00EBEB44" w14:textId="77777777" w:rsidR="003A71DE" w:rsidRPr="00B57A37" w:rsidRDefault="003A71DE" w:rsidP="007835E8">
            <w:pPr>
              <w:pStyle w:val="TAC"/>
              <w:rPr>
                <w:rFonts w:eastAsiaTheme="minorEastAsia"/>
                <w:lang w:eastAsia="zh-CN"/>
              </w:rPr>
            </w:pPr>
            <w:r w:rsidRPr="00B57A37">
              <w:rPr>
                <w:rFonts w:eastAsiaTheme="minorEastAsia"/>
                <w:lang w:eastAsia="zh-CN"/>
              </w:rPr>
              <w:t>-15</w:t>
            </w:r>
          </w:p>
        </w:tc>
      </w:tr>
      <w:tr w:rsidR="003A71DE" w:rsidRPr="00B57A37" w14:paraId="6D78DE9F"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10B26783" w14:textId="77777777" w:rsidR="003A71DE" w:rsidRPr="00B57A37" w:rsidRDefault="003A71DE" w:rsidP="007835E8">
            <w:pPr>
              <w:pStyle w:val="TAL"/>
              <w:rPr>
                <w:rFonts w:eastAsia="MS Mincho"/>
                <w:lang w:eastAsia="zh-CN"/>
              </w:rPr>
            </w:pPr>
            <w:r w:rsidRPr="00B57A37">
              <w:rPr>
                <w:rFonts w:eastAsiaTheme="minorEastAsia"/>
                <w:lang w:eastAsia="zh-CN"/>
              </w:rPr>
              <w:t>G.2.3.2.2</w:t>
            </w:r>
          </w:p>
        </w:tc>
        <w:tc>
          <w:tcPr>
            <w:tcW w:w="3359" w:type="dxa"/>
            <w:tcBorders>
              <w:top w:val="single" w:sz="4" w:space="0" w:color="auto"/>
              <w:left w:val="single" w:sz="4" w:space="0" w:color="auto"/>
              <w:bottom w:val="single" w:sz="4" w:space="0" w:color="auto"/>
              <w:right w:val="single" w:sz="4" w:space="0" w:color="auto"/>
            </w:tcBorders>
            <w:vAlign w:val="bottom"/>
            <w:hideMark/>
          </w:tcPr>
          <w:p w14:paraId="2739BF9E" w14:textId="77777777" w:rsidR="003A71DE" w:rsidRPr="00B57A37" w:rsidRDefault="003A71DE" w:rsidP="007835E8">
            <w:pPr>
              <w:pStyle w:val="TAC"/>
              <w:rPr>
                <w:rFonts w:eastAsiaTheme="minorEastAsia"/>
              </w:rPr>
            </w:pPr>
            <w:r w:rsidRPr="00B57A37">
              <w:rPr>
                <w:rFonts w:eastAsiaTheme="minorEastAsia"/>
                <w:lang w:eastAsia="zh-CN"/>
              </w:rPr>
              <w:t>-15</w:t>
            </w:r>
          </w:p>
        </w:tc>
      </w:tr>
      <w:tr w:rsidR="003A71DE" w:rsidRPr="00B57A37" w14:paraId="5D9EC73B" w14:textId="77777777" w:rsidTr="003A71DE">
        <w:trPr>
          <w:trHeight w:val="121"/>
          <w:jc w:val="center"/>
        </w:trPr>
        <w:tc>
          <w:tcPr>
            <w:tcW w:w="3285" w:type="dxa"/>
            <w:tcBorders>
              <w:top w:val="single" w:sz="4" w:space="0" w:color="auto"/>
              <w:left w:val="single" w:sz="4" w:space="0" w:color="auto"/>
              <w:bottom w:val="single" w:sz="4" w:space="0" w:color="auto"/>
              <w:right w:val="single" w:sz="4" w:space="0" w:color="auto"/>
            </w:tcBorders>
            <w:hideMark/>
          </w:tcPr>
          <w:p w14:paraId="51016BE0" w14:textId="77777777" w:rsidR="003A71DE" w:rsidRPr="00B57A37" w:rsidRDefault="003A71DE" w:rsidP="007835E8">
            <w:pPr>
              <w:pStyle w:val="TAL"/>
              <w:rPr>
                <w:rFonts w:eastAsia="MS Mincho"/>
                <w:lang w:eastAsia="zh-CN"/>
              </w:rPr>
            </w:pPr>
            <w:r w:rsidRPr="00B57A37">
              <w:rPr>
                <w:rFonts w:eastAsiaTheme="minorEastAsia"/>
                <w:lang w:eastAsia="zh-CN"/>
              </w:rPr>
              <w:t>G.2.3.2.3</w:t>
            </w:r>
          </w:p>
        </w:tc>
        <w:tc>
          <w:tcPr>
            <w:tcW w:w="3359" w:type="dxa"/>
            <w:tcBorders>
              <w:top w:val="single" w:sz="4" w:space="0" w:color="auto"/>
              <w:left w:val="single" w:sz="4" w:space="0" w:color="auto"/>
              <w:bottom w:val="single" w:sz="4" w:space="0" w:color="auto"/>
              <w:right w:val="single" w:sz="4" w:space="0" w:color="auto"/>
            </w:tcBorders>
            <w:vAlign w:val="bottom"/>
            <w:hideMark/>
          </w:tcPr>
          <w:p w14:paraId="3E9462CA" w14:textId="77777777" w:rsidR="003A71DE" w:rsidRPr="00B57A37" w:rsidRDefault="003A71DE" w:rsidP="007835E8">
            <w:pPr>
              <w:pStyle w:val="TAC"/>
              <w:rPr>
                <w:rFonts w:eastAsiaTheme="minorEastAsia"/>
              </w:rPr>
            </w:pPr>
            <w:r w:rsidRPr="00B57A37">
              <w:rPr>
                <w:rFonts w:eastAsiaTheme="minorEastAsia"/>
                <w:lang w:eastAsia="zh-CN"/>
              </w:rPr>
              <w:t>-15</w:t>
            </w:r>
          </w:p>
        </w:tc>
      </w:tr>
      <w:tr w:rsidR="003A71DE" w:rsidRPr="00B57A37" w14:paraId="69B4F7A1" w14:textId="77777777" w:rsidTr="003A71DE">
        <w:trPr>
          <w:jc w:val="center"/>
        </w:trPr>
        <w:tc>
          <w:tcPr>
            <w:tcW w:w="3285" w:type="dxa"/>
            <w:tcBorders>
              <w:top w:val="single" w:sz="4" w:space="0" w:color="auto"/>
              <w:left w:val="single" w:sz="4" w:space="0" w:color="auto"/>
              <w:bottom w:val="single" w:sz="4" w:space="0" w:color="auto"/>
              <w:right w:val="single" w:sz="4" w:space="0" w:color="auto"/>
            </w:tcBorders>
            <w:hideMark/>
          </w:tcPr>
          <w:p w14:paraId="2F4E1932" w14:textId="77777777" w:rsidR="003A71DE" w:rsidRPr="00B57A37" w:rsidRDefault="003A71DE" w:rsidP="007835E8">
            <w:pPr>
              <w:pStyle w:val="TAL"/>
              <w:rPr>
                <w:rFonts w:eastAsia="MS Mincho"/>
                <w:lang w:eastAsia="zh-CN"/>
              </w:rPr>
            </w:pPr>
            <w:r w:rsidRPr="00B57A37">
              <w:rPr>
                <w:rFonts w:eastAsiaTheme="minorEastAsia"/>
                <w:lang w:eastAsia="zh-CN"/>
              </w:rPr>
              <w:t>G.2.3.2.4</w:t>
            </w:r>
          </w:p>
        </w:tc>
        <w:tc>
          <w:tcPr>
            <w:tcW w:w="3359" w:type="dxa"/>
            <w:tcBorders>
              <w:top w:val="single" w:sz="4" w:space="0" w:color="auto"/>
              <w:left w:val="single" w:sz="4" w:space="0" w:color="auto"/>
              <w:bottom w:val="single" w:sz="4" w:space="0" w:color="auto"/>
              <w:right w:val="single" w:sz="4" w:space="0" w:color="auto"/>
            </w:tcBorders>
            <w:vAlign w:val="bottom"/>
            <w:hideMark/>
          </w:tcPr>
          <w:p w14:paraId="6229692E" w14:textId="77777777" w:rsidR="003A71DE" w:rsidRPr="00B57A37" w:rsidRDefault="003A71DE" w:rsidP="007835E8">
            <w:pPr>
              <w:pStyle w:val="TAC"/>
              <w:rPr>
                <w:rFonts w:eastAsiaTheme="minorEastAsia"/>
              </w:rPr>
            </w:pPr>
            <w:r w:rsidRPr="00B57A37">
              <w:rPr>
                <w:rFonts w:eastAsiaTheme="minorEastAsia"/>
                <w:lang w:eastAsia="zh-CN"/>
              </w:rPr>
              <w:t>-15</w:t>
            </w:r>
          </w:p>
        </w:tc>
      </w:tr>
    </w:tbl>
    <w:p w14:paraId="55312D0B" w14:textId="77777777" w:rsidR="005437E4" w:rsidRDefault="005437E4" w:rsidP="005437E4">
      <w:pPr>
        <w:rPr>
          <w:rFonts w:eastAsiaTheme="minorEastAsia"/>
          <w:lang w:eastAsia="zh-CN"/>
        </w:rPr>
      </w:pPr>
    </w:p>
    <w:p w14:paraId="5E8CC73C" w14:textId="47C7C083" w:rsidR="003A71DE" w:rsidRPr="00EA3B97" w:rsidRDefault="003A71DE" w:rsidP="00A153AF">
      <w:pPr>
        <w:pStyle w:val="H6"/>
        <w:rPr>
          <w:rFonts w:eastAsiaTheme="minorEastAsia"/>
          <w:lang w:eastAsia="zh-CN"/>
        </w:rPr>
      </w:pPr>
      <w:r w:rsidRPr="00EA3B97">
        <w:rPr>
          <w:rFonts w:eastAsiaTheme="minorEastAsia"/>
          <w:lang w:eastAsia="zh-CN"/>
        </w:rPr>
        <w:t>G.1.3.1.1.2.2</w:t>
      </w:r>
      <w:r w:rsidRPr="00EA3B97">
        <w:rPr>
          <w:rFonts w:eastAsiaTheme="minorEastAsia"/>
          <w:lang w:eastAsia="zh-CN"/>
        </w:rPr>
        <w:tab/>
        <w:t>Antenna connection for bands where 2RX is supported</w:t>
      </w:r>
    </w:p>
    <w:p w14:paraId="59C42A47" w14:textId="77777777" w:rsidR="003A71DE" w:rsidRPr="00EA3B97" w:rsidRDefault="003A71DE" w:rsidP="003A71DE">
      <w:pPr>
        <w:rPr>
          <w:rFonts w:eastAsiaTheme="minorEastAsia"/>
          <w:b/>
        </w:rPr>
      </w:pPr>
      <w:r w:rsidRPr="00EA3B97">
        <w:rPr>
          <w:rFonts w:eastAsiaTheme="minorEastAsia"/>
        </w:rPr>
        <w:t xml:space="preserve">For bands where 2RX is supported, it is left to declaration and AP configuration to decide which 2 of the 4 Rx ports are connected </w:t>
      </w:r>
      <w:r w:rsidRPr="00EA3B97">
        <w:rPr>
          <w:rFonts w:eastAsiaTheme="minorEastAsia"/>
          <w:szCs w:val="21"/>
        </w:rPr>
        <w:t>with data source from tester</w:t>
      </w:r>
      <w:r w:rsidRPr="00EA3B97">
        <w:rPr>
          <w:rFonts w:eastAsiaTheme="minorEastAsia"/>
        </w:rPr>
        <w:t>. The remaining 2 Rx ports shall be connected with zero input</w:t>
      </w:r>
      <w:r w:rsidRPr="00EA3B97">
        <w:rPr>
          <w:rFonts w:eastAsiaTheme="minorEastAsia"/>
          <w:b/>
        </w:rPr>
        <w:t>.</w:t>
      </w:r>
      <w:r w:rsidRPr="00EA3B97">
        <w:rPr>
          <w:rFonts w:eastAsiaTheme="minorEastAsia"/>
        </w:rPr>
        <w:t xml:space="preserve"> No test parameters or requirements are modified.</w:t>
      </w:r>
    </w:p>
    <w:p w14:paraId="5596CBB2" w14:textId="77777777" w:rsidR="003A71DE" w:rsidRPr="00EA3B97" w:rsidRDefault="003A71DE" w:rsidP="00A153AF">
      <w:pPr>
        <w:pStyle w:val="H6"/>
        <w:rPr>
          <w:rFonts w:eastAsiaTheme="minorEastAsia"/>
          <w:lang w:eastAsia="zh-CN"/>
        </w:rPr>
      </w:pPr>
      <w:r w:rsidRPr="00EA3B97">
        <w:rPr>
          <w:rFonts w:eastAsiaTheme="minorEastAsia"/>
          <w:lang w:eastAsia="zh-CN"/>
        </w:rPr>
        <w:t>G.1.3.1.1.2.3</w:t>
      </w:r>
      <w:r w:rsidRPr="00EA3B97">
        <w:rPr>
          <w:rFonts w:eastAsiaTheme="minorEastAsia"/>
          <w:lang w:eastAsia="zh-CN"/>
        </w:rPr>
        <w:tab/>
        <w:t>Antenna connection for bands where 4RX is supported</w:t>
      </w:r>
    </w:p>
    <w:p w14:paraId="151146B4" w14:textId="77777777" w:rsidR="003A71DE" w:rsidRPr="00EA3B97" w:rsidRDefault="003A71DE" w:rsidP="003A71DE">
      <w:pPr>
        <w:rPr>
          <w:rFonts w:eastAsiaTheme="minorEastAsia"/>
          <w:b/>
        </w:rPr>
      </w:pPr>
      <w:r w:rsidRPr="00EA3B97">
        <w:rPr>
          <w:rFonts w:eastAsiaTheme="minorEastAsia"/>
        </w:rPr>
        <w:t xml:space="preserve">For bands where 4RX is supported, all 4 RX antennas are connected </w:t>
      </w:r>
      <w:r w:rsidRPr="00EA3B97">
        <w:rPr>
          <w:rFonts w:eastAsiaTheme="minorEastAsia"/>
          <w:szCs w:val="21"/>
        </w:rPr>
        <w:t>with data source from tester</w:t>
      </w:r>
      <w:r w:rsidRPr="00EA3B97">
        <w:rPr>
          <w:rFonts w:eastAsiaTheme="minorEastAsia"/>
          <w:b/>
        </w:rPr>
        <w:t xml:space="preserve">. </w:t>
      </w:r>
      <w:r w:rsidRPr="00EA3B97">
        <w:rPr>
          <w:rFonts w:eastAsiaTheme="minorEastAsia"/>
        </w:rPr>
        <w:t>The Tester provide independent noise and fading (low correlation) for each antenna port. Except for the modifications to radio link monitoring thresholds described in clauses G.1.3</w:t>
      </w:r>
      <w:r w:rsidRPr="00EA3B97">
        <w:rPr>
          <w:rFonts w:eastAsiaTheme="minorEastAsia"/>
          <w:lang w:eastAsia="zh-CN"/>
        </w:rPr>
        <w:t>.1.1.2.1</w:t>
      </w:r>
      <w:r w:rsidRPr="00EA3B97">
        <w:rPr>
          <w:rFonts w:eastAsiaTheme="minorEastAsia"/>
        </w:rPr>
        <w:t xml:space="preserve"> and G.1.3</w:t>
      </w:r>
      <w:r w:rsidRPr="00EA3B97">
        <w:rPr>
          <w:rFonts w:eastAsiaTheme="minorEastAsia"/>
          <w:lang w:eastAsia="zh-CN"/>
        </w:rPr>
        <w:t>.1.1.2.2</w:t>
      </w:r>
      <w:r w:rsidRPr="00EA3B97">
        <w:rPr>
          <w:rFonts w:eastAsiaTheme="minorEastAsia"/>
        </w:rPr>
        <w:t>, no test parameters or requirements are modified.</w:t>
      </w:r>
    </w:p>
    <w:p w14:paraId="52D23577" w14:textId="77777777" w:rsidR="003A71DE" w:rsidRPr="00EA3B97" w:rsidRDefault="003A71DE" w:rsidP="00A153AF">
      <w:pPr>
        <w:pStyle w:val="Heading4"/>
        <w:rPr>
          <w:rFonts w:eastAsiaTheme="minorEastAsia"/>
          <w:snapToGrid w:val="0"/>
        </w:rPr>
      </w:pPr>
      <w:bookmarkStart w:id="9806" w:name="_Toc74583626"/>
      <w:bookmarkStart w:id="9807" w:name="_Toc76542439"/>
      <w:bookmarkStart w:id="9808" w:name="_Toc82450421"/>
      <w:bookmarkStart w:id="9809" w:name="_Toc82451069"/>
      <w:bookmarkStart w:id="9810" w:name="_Toc89949458"/>
      <w:bookmarkStart w:id="9811" w:name="_Toc98755847"/>
      <w:bookmarkStart w:id="9812" w:name="_Toc98763439"/>
      <w:bookmarkStart w:id="9813" w:name="_Toc106184368"/>
      <w:r w:rsidRPr="00EA3B97">
        <w:rPr>
          <w:rFonts w:eastAsiaTheme="minorEastAsia"/>
          <w:snapToGrid w:val="0"/>
        </w:rPr>
        <w:t>G.1.3.2</w:t>
      </w:r>
      <w:r w:rsidRPr="00EA3B97">
        <w:rPr>
          <w:rFonts w:eastAsiaTheme="minorEastAsia"/>
          <w:snapToGrid w:val="0"/>
        </w:rPr>
        <w:tab/>
        <w:t>Antenna configurations for FR2</w:t>
      </w:r>
      <w:bookmarkEnd w:id="9806"/>
      <w:bookmarkEnd w:id="9807"/>
      <w:bookmarkEnd w:id="9808"/>
      <w:bookmarkEnd w:id="9809"/>
      <w:bookmarkEnd w:id="9810"/>
      <w:bookmarkEnd w:id="9811"/>
      <w:bookmarkEnd w:id="9812"/>
      <w:bookmarkEnd w:id="9813"/>
    </w:p>
    <w:p w14:paraId="6559FA68" w14:textId="77777777" w:rsidR="003A71DE" w:rsidRPr="00EA3B97" w:rsidRDefault="003A71DE" w:rsidP="003A71DE">
      <w:pPr>
        <w:rPr>
          <w:rFonts w:eastAsiaTheme="minorEastAsia"/>
          <w:bCs/>
        </w:rPr>
      </w:pPr>
      <w:r w:rsidRPr="00EA3B97">
        <w:rPr>
          <w:rFonts w:eastAsiaTheme="minorEastAsia"/>
        </w:rPr>
        <w:t xml:space="preserve">Unless otherwise specified, the default Downlink </w:t>
      </w:r>
      <w:r w:rsidRPr="00EA3B97">
        <w:rPr>
          <w:rFonts w:eastAsiaTheme="minorEastAsia"/>
          <w:bCs/>
        </w:rPr>
        <w:t>Antenna Configuration for NR FR2 cells is 1x2.</w:t>
      </w:r>
    </w:p>
    <w:p w14:paraId="47E8625D" w14:textId="77777777" w:rsidR="003A71DE" w:rsidRPr="00EA3B97" w:rsidRDefault="003A71DE" w:rsidP="003A71DE">
      <w:pPr>
        <w:rPr>
          <w:rFonts w:eastAsiaTheme="minorEastAsia"/>
        </w:rPr>
      </w:pPr>
      <w:r w:rsidRPr="00EA3B97">
        <w:rPr>
          <w:rFonts w:eastAsiaTheme="minorEastAsia"/>
        </w:rPr>
        <w:t xml:space="preserve">In case of Downlink </w:t>
      </w:r>
      <w:r w:rsidRPr="00EA3B97">
        <w:rPr>
          <w:rFonts w:eastAsiaTheme="minorEastAsia"/>
          <w:bCs/>
        </w:rPr>
        <w:t xml:space="preserve">Antenna Configuration 2x2 for NR FR2 cells, unless otherwise specified, </w:t>
      </w:r>
      <w:r w:rsidRPr="00EA3B97">
        <w:rPr>
          <w:rFonts w:eastAsiaTheme="minorEastAsia"/>
        </w:rPr>
        <w:t>the downlink signal is transmitted over the two polarizations (V and H) of the dual polarized antenna of the test equipment.</w:t>
      </w:r>
    </w:p>
    <w:p w14:paraId="391269EB" w14:textId="77777777" w:rsidR="003A71DE" w:rsidRPr="00EA3B97" w:rsidRDefault="003A71DE" w:rsidP="003A71DE">
      <w:pPr>
        <w:rPr>
          <w:rFonts w:eastAsiaTheme="minorEastAsia"/>
        </w:rPr>
      </w:pPr>
    </w:p>
    <w:p w14:paraId="127637F0" w14:textId="77777777" w:rsidR="003A71DE" w:rsidRPr="00EA3B97" w:rsidRDefault="003A71DE" w:rsidP="00A153AF">
      <w:pPr>
        <w:pStyle w:val="Heading3"/>
        <w:rPr>
          <w:rFonts w:eastAsiaTheme="minorEastAsia"/>
        </w:rPr>
      </w:pPr>
      <w:bookmarkStart w:id="9814" w:name="_Toc74583627"/>
      <w:bookmarkStart w:id="9815" w:name="_Toc76542440"/>
      <w:bookmarkStart w:id="9816" w:name="_Toc82450422"/>
      <w:bookmarkStart w:id="9817" w:name="_Toc82451070"/>
      <w:bookmarkStart w:id="9818" w:name="_Toc89949459"/>
      <w:bookmarkStart w:id="9819" w:name="_Toc98755848"/>
      <w:bookmarkStart w:id="9820" w:name="_Toc98763440"/>
      <w:bookmarkStart w:id="9821" w:name="_Toc106184369"/>
      <w:r w:rsidRPr="00EA3B97">
        <w:rPr>
          <w:rFonts w:eastAsiaTheme="minorEastAsia"/>
        </w:rPr>
        <w:t>G.1.4</w:t>
      </w:r>
      <w:r w:rsidRPr="00EA3B97">
        <w:rPr>
          <w:rFonts w:eastAsiaTheme="minorEastAsia"/>
        </w:rPr>
        <w:tab/>
        <w:t>BWP configurations</w:t>
      </w:r>
      <w:bookmarkEnd w:id="9814"/>
      <w:bookmarkEnd w:id="9815"/>
      <w:bookmarkEnd w:id="9816"/>
      <w:bookmarkEnd w:id="9817"/>
      <w:bookmarkEnd w:id="9818"/>
      <w:bookmarkEnd w:id="9819"/>
      <w:bookmarkEnd w:id="9820"/>
      <w:bookmarkEnd w:id="9821"/>
    </w:p>
    <w:p w14:paraId="5C4CA450" w14:textId="77777777" w:rsidR="003A71DE" w:rsidRPr="00EA3B97" w:rsidRDefault="003A71DE" w:rsidP="00A153AF">
      <w:pPr>
        <w:pStyle w:val="Heading4"/>
        <w:rPr>
          <w:rFonts w:eastAsiaTheme="minorEastAsia"/>
          <w:snapToGrid w:val="0"/>
        </w:rPr>
      </w:pPr>
      <w:bookmarkStart w:id="9822" w:name="_Toc74583628"/>
      <w:bookmarkStart w:id="9823" w:name="_Toc76542441"/>
      <w:bookmarkStart w:id="9824" w:name="_Toc82450423"/>
      <w:bookmarkStart w:id="9825" w:name="_Toc82451071"/>
      <w:bookmarkStart w:id="9826" w:name="_Toc89949460"/>
      <w:bookmarkStart w:id="9827" w:name="_Toc98755849"/>
      <w:bookmarkStart w:id="9828" w:name="_Toc98763441"/>
      <w:bookmarkStart w:id="9829" w:name="_Toc106184370"/>
      <w:r w:rsidRPr="00EA3B97">
        <w:rPr>
          <w:rFonts w:eastAsiaTheme="minorEastAsia"/>
          <w:snapToGrid w:val="0"/>
        </w:rPr>
        <w:t>G.1.4.1</w:t>
      </w:r>
      <w:r w:rsidRPr="00EA3B97">
        <w:rPr>
          <w:rFonts w:eastAsiaTheme="minorEastAsia"/>
          <w:snapToGrid w:val="0"/>
        </w:rPr>
        <w:tab/>
        <w:t>Introduction</w:t>
      </w:r>
      <w:bookmarkEnd w:id="9822"/>
      <w:bookmarkEnd w:id="9823"/>
      <w:bookmarkEnd w:id="9824"/>
      <w:bookmarkEnd w:id="9825"/>
      <w:bookmarkEnd w:id="9826"/>
      <w:bookmarkEnd w:id="9827"/>
      <w:bookmarkEnd w:id="9828"/>
      <w:bookmarkEnd w:id="9829"/>
    </w:p>
    <w:p w14:paraId="03487EC3" w14:textId="77777777" w:rsidR="003A71DE" w:rsidRPr="00EA3B97" w:rsidRDefault="003A71DE" w:rsidP="003A71DE">
      <w:pPr>
        <w:rPr>
          <w:rFonts w:eastAsiaTheme="minorEastAsia"/>
          <w:lang w:eastAsia="zh-CN"/>
        </w:rPr>
      </w:pPr>
      <w:r w:rsidRPr="00EA3B97">
        <w:rPr>
          <w:rFonts w:eastAsiaTheme="minorEastAsia"/>
          <w:lang w:eastAsia="zh-CN"/>
        </w:rPr>
        <w:t xml:space="preserve">This clause provides the typical BWP configurations used for RRM test cases defined in Annex G. For downlink BWP, both initial BWP and dedicated BWP configurations are specified in clause G.1.4.2 and for uplink BWP, both initial BWP and dedicated BWP configurations are specified in clause G.1.4.3. </w:t>
      </w:r>
    </w:p>
    <w:p w14:paraId="0F33AF52" w14:textId="77777777" w:rsidR="003A71DE" w:rsidRPr="00EA3B97" w:rsidRDefault="003A71DE" w:rsidP="00A153AF">
      <w:pPr>
        <w:pStyle w:val="Heading4"/>
        <w:rPr>
          <w:rFonts w:eastAsiaTheme="minorEastAsia"/>
          <w:snapToGrid w:val="0"/>
        </w:rPr>
      </w:pPr>
      <w:bookmarkStart w:id="9830" w:name="_Toc74583629"/>
      <w:bookmarkStart w:id="9831" w:name="_Toc76542442"/>
      <w:bookmarkStart w:id="9832" w:name="_Toc82450424"/>
      <w:bookmarkStart w:id="9833" w:name="_Toc82451072"/>
      <w:bookmarkStart w:id="9834" w:name="_Toc89949461"/>
      <w:bookmarkStart w:id="9835" w:name="_Toc98755850"/>
      <w:bookmarkStart w:id="9836" w:name="_Toc98763442"/>
      <w:bookmarkStart w:id="9837" w:name="_Toc106184371"/>
      <w:r w:rsidRPr="00EA3B97">
        <w:rPr>
          <w:rFonts w:eastAsiaTheme="minorEastAsia"/>
          <w:snapToGrid w:val="0"/>
        </w:rPr>
        <w:lastRenderedPageBreak/>
        <w:t>G.1.4.2</w:t>
      </w:r>
      <w:r w:rsidRPr="00EA3B97">
        <w:rPr>
          <w:rFonts w:eastAsiaTheme="minorEastAsia"/>
          <w:snapToGrid w:val="0"/>
        </w:rPr>
        <w:tab/>
        <w:t>Downlink BWP configurations</w:t>
      </w:r>
      <w:bookmarkEnd w:id="9830"/>
      <w:bookmarkEnd w:id="9831"/>
      <w:bookmarkEnd w:id="9832"/>
      <w:bookmarkEnd w:id="9833"/>
      <w:bookmarkEnd w:id="9834"/>
      <w:bookmarkEnd w:id="9835"/>
      <w:bookmarkEnd w:id="9836"/>
      <w:bookmarkEnd w:id="9837"/>
    </w:p>
    <w:p w14:paraId="4CD9A446" w14:textId="77777777" w:rsidR="003A71DE" w:rsidRPr="00EA3B97" w:rsidRDefault="003A71DE" w:rsidP="00A153AF">
      <w:pPr>
        <w:pStyle w:val="Heading5"/>
        <w:rPr>
          <w:rFonts w:eastAsiaTheme="minorEastAsia"/>
          <w:snapToGrid w:val="0"/>
        </w:rPr>
      </w:pPr>
      <w:bookmarkStart w:id="9838" w:name="_Toc74583630"/>
      <w:bookmarkStart w:id="9839" w:name="_Toc76542443"/>
      <w:bookmarkStart w:id="9840" w:name="_Toc82450425"/>
      <w:bookmarkStart w:id="9841" w:name="_Toc82451073"/>
      <w:bookmarkStart w:id="9842" w:name="_Toc89949462"/>
      <w:bookmarkStart w:id="9843" w:name="_Toc98755851"/>
      <w:bookmarkStart w:id="9844" w:name="_Toc98763443"/>
      <w:bookmarkStart w:id="9845" w:name="_Toc106184372"/>
      <w:r w:rsidRPr="00EA3B97">
        <w:rPr>
          <w:rFonts w:eastAsiaTheme="minorEastAsia"/>
          <w:snapToGrid w:val="0"/>
        </w:rPr>
        <w:t>G.1.4.2.1</w:t>
      </w:r>
      <w:r w:rsidRPr="00EA3B97">
        <w:rPr>
          <w:rFonts w:eastAsiaTheme="minorEastAsia"/>
          <w:snapToGrid w:val="0"/>
        </w:rPr>
        <w:tab/>
        <w:t>Initial BWP</w:t>
      </w:r>
      <w:bookmarkEnd w:id="9838"/>
      <w:bookmarkEnd w:id="9839"/>
      <w:bookmarkEnd w:id="9840"/>
      <w:bookmarkEnd w:id="9841"/>
      <w:bookmarkEnd w:id="9842"/>
      <w:bookmarkEnd w:id="9843"/>
      <w:bookmarkEnd w:id="9844"/>
      <w:bookmarkEnd w:id="9845"/>
    </w:p>
    <w:p w14:paraId="547FE6D9" w14:textId="77777777" w:rsidR="003A71DE" w:rsidRPr="00EA3B97" w:rsidRDefault="003A71DE" w:rsidP="00BA0D24">
      <w:pPr>
        <w:pStyle w:val="TH"/>
        <w:rPr>
          <w:rFonts w:eastAsiaTheme="minorEastAsia"/>
        </w:rPr>
      </w:pPr>
      <w:r w:rsidRPr="00EA3B97">
        <w:rPr>
          <w:rFonts w:eastAsiaTheme="minorEastAsia"/>
        </w:rPr>
        <w:t>Table G.1.4.2.1-1: Downlink BWP patterns for initial BWP configuration</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567"/>
        <w:gridCol w:w="1701"/>
        <w:gridCol w:w="1701"/>
        <w:gridCol w:w="1760"/>
      </w:tblGrid>
      <w:tr w:rsidR="003A71DE" w:rsidRPr="00EA3B97" w14:paraId="107A8243" w14:textId="77777777" w:rsidTr="003A71DE">
        <w:trPr>
          <w:jc w:val="center"/>
        </w:trPr>
        <w:tc>
          <w:tcPr>
            <w:tcW w:w="1838" w:type="dxa"/>
            <w:tcBorders>
              <w:top w:val="single" w:sz="4" w:space="0" w:color="auto"/>
              <w:left w:val="single" w:sz="4" w:space="0" w:color="auto"/>
              <w:bottom w:val="single" w:sz="4" w:space="0" w:color="auto"/>
              <w:right w:val="single" w:sz="4" w:space="0" w:color="auto"/>
            </w:tcBorders>
            <w:hideMark/>
          </w:tcPr>
          <w:p w14:paraId="49C7EF5E" w14:textId="77777777" w:rsidR="003A71DE" w:rsidRPr="00EA3B97" w:rsidRDefault="003A71DE" w:rsidP="007835E8">
            <w:pPr>
              <w:pStyle w:val="TAH"/>
              <w:rPr>
                <w:rFonts w:eastAsiaTheme="minorEastAsia"/>
              </w:rPr>
            </w:pPr>
            <w:r w:rsidRPr="00EA3B97">
              <w:rPr>
                <w:rFonts w:eastAsiaTheme="minorEastAsia"/>
              </w:rPr>
              <w:t>BWP Parameters</w:t>
            </w:r>
          </w:p>
        </w:tc>
        <w:tc>
          <w:tcPr>
            <w:tcW w:w="567" w:type="dxa"/>
            <w:tcBorders>
              <w:top w:val="single" w:sz="4" w:space="0" w:color="auto"/>
              <w:left w:val="single" w:sz="4" w:space="0" w:color="auto"/>
              <w:bottom w:val="single" w:sz="4" w:space="0" w:color="auto"/>
              <w:right w:val="single" w:sz="4" w:space="0" w:color="auto"/>
            </w:tcBorders>
            <w:hideMark/>
          </w:tcPr>
          <w:p w14:paraId="1636CF81" w14:textId="77777777" w:rsidR="003A71DE" w:rsidRPr="00EA3B97" w:rsidRDefault="003A71DE" w:rsidP="007835E8">
            <w:pPr>
              <w:pStyle w:val="TAH"/>
              <w:rPr>
                <w:rFonts w:eastAsiaTheme="minorEastAsia"/>
              </w:rPr>
            </w:pPr>
            <w:r w:rsidRPr="00EA3B97">
              <w:rPr>
                <w:rFonts w:eastAsiaTheme="minorEastAsia"/>
              </w:rPr>
              <w:t>Unit</w:t>
            </w:r>
          </w:p>
        </w:tc>
        <w:tc>
          <w:tcPr>
            <w:tcW w:w="5162" w:type="dxa"/>
            <w:gridSpan w:val="3"/>
            <w:tcBorders>
              <w:top w:val="single" w:sz="4" w:space="0" w:color="auto"/>
              <w:left w:val="single" w:sz="4" w:space="0" w:color="auto"/>
              <w:bottom w:val="single" w:sz="4" w:space="0" w:color="auto"/>
              <w:right w:val="single" w:sz="4" w:space="0" w:color="auto"/>
            </w:tcBorders>
            <w:hideMark/>
          </w:tcPr>
          <w:p w14:paraId="4FC33FFC" w14:textId="77777777" w:rsidR="003A71DE" w:rsidRPr="00EA3B97" w:rsidRDefault="003A71DE" w:rsidP="007835E8">
            <w:pPr>
              <w:pStyle w:val="TAH"/>
              <w:rPr>
                <w:rFonts w:eastAsiaTheme="minorEastAsia"/>
              </w:rPr>
            </w:pPr>
            <w:r w:rsidRPr="00EA3B97">
              <w:rPr>
                <w:rFonts w:eastAsiaTheme="minorEastAsia"/>
              </w:rPr>
              <w:t>Values</w:t>
            </w:r>
          </w:p>
        </w:tc>
      </w:tr>
      <w:tr w:rsidR="003A71DE" w:rsidRPr="00EA3B97" w14:paraId="6C8FC5C6" w14:textId="77777777" w:rsidTr="003A71DE">
        <w:trPr>
          <w:jc w:val="center"/>
        </w:trPr>
        <w:tc>
          <w:tcPr>
            <w:tcW w:w="1838" w:type="dxa"/>
            <w:tcBorders>
              <w:top w:val="single" w:sz="4" w:space="0" w:color="auto"/>
              <w:left w:val="single" w:sz="4" w:space="0" w:color="auto"/>
              <w:bottom w:val="single" w:sz="4" w:space="0" w:color="auto"/>
              <w:right w:val="single" w:sz="4" w:space="0" w:color="auto"/>
            </w:tcBorders>
            <w:hideMark/>
          </w:tcPr>
          <w:p w14:paraId="46E40467" w14:textId="77777777" w:rsidR="003A71DE" w:rsidRPr="00EA3B97" w:rsidRDefault="003A71DE" w:rsidP="007835E8">
            <w:pPr>
              <w:pStyle w:val="TAL"/>
              <w:rPr>
                <w:rFonts w:eastAsiaTheme="minorEastAsia"/>
              </w:rPr>
            </w:pPr>
            <w:r w:rsidRPr="00EA3B97">
              <w:rPr>
                <w:rFonts w:eastAsiaTheme="minorEastAsia"/>
                <w:lang w:eastAsia="zh-CN"/>
              </w:rPr>
              <w:t>Reference BWP</w:t>
            </w:r>
          </w:p>
        </w:tc>
        <w:tc>
          <w:tcPr>
            <w:tcW w:w="567" w:type="dxa"/>
            <w:tcBorders>
              <w:top w:val="single" w:sz="4" w:space="0" w:color="auto"/>
              <w:left w:val="single" w:sz="4" w:space="0" w:color="auto"/>
              <w:bottom w:val="single" w:sz="4" w:space="0" w:color="auto"/>
              <w:right w:val="single" w:sz="4" w:space="0" w:color="auto"/>
            </w:tcBorders>
          </w:tcPr>
          <w:p w14:paraId="3489C8DF" w14:textId="77777777" w:rsidR="003A71DE" w:rsidRPr="00EA3B97" w:rsidRDefault="003A71DE" w:rsidP="007835E8">
            <w:pPr>
              <w:pStyle w:val="TAC"/>
              <w:rPr>
                <w:rFonts w:eastAsiaTheme="minorEastAsia"/>
                <w:lang w:eastAsia="zh-CN"/>
              </w:rPr>
            </w:pPr>
          </w:p>
        </w:tc>
        <w:tc>
          <w:tcPr>
            <w:tcW w:w="1701" w:type="dxa"/>
            <w:tcBorders>
              <w:top w:val="single" w:sz="4" w:space="0" w:color="auto"/>
              <w:left w:val="single" w:sz="4" w:space="0" w:color="auto"/>
              <w:bottom w:val="single" w:sz="4" w:space="0" w:color="auto"/>
              <w:right w:val="single" w:sz="4" w:space="0" w:color="auto"/>
            </w:tcBorders>
            <w:hideMark/>
          </w:tcPr>
          <w:p w14:paraId="24EBEA9B" w14:textId="77777777" w:rsidR="003A71DE" w:rsidRPr="00EA3B97" w:rsidRDefault="003A71DE" w:rsidP="007835E8">
            <w:pPr>
              <w:pStyle w:val="TAC"/>
              <w:rPr>
                <w:rFonts w:eastAsiaTheme="minorEastAsia"/>
                <w:lang w:eastAsia="zh-CN"/>
              </w:rPr>
            </w:pPr>
            <w:r w:rsidRPr="00EA3B97">
              <w:rPr>
                <w:rFonts w:eastAsiaTheme="minorEastAsia"/>
                <w:lang w:eastAsia="zh-CN"/>
              </w:rPr>
              <w:t>DLBWP.0.1</w:t>
            </w:r>
          </w:p>
        </w:tc>
        <w:tc>
          <w:tcPr>
            <w:tcW w:w="1701" w:type="dxa"/>
            <w:tcBorders>
              <w:top w:val="single" w:sz="4" w:space="0" w:color="auto"/>
              <w:left w:val="single" w:sz="4" w:space="0" w:color="auto"/>
              <w:bottom w:val="single" w:sz="4" w:space="0" w:color="auto"/>
              <w:right w:val="single" w:sz="4" w:space="0" w:color="auto"/>
            </w:tcBorders>
            <w:hideMark/>
          </w:tcPr>
          <w:p w14:paraId="0993FCC0" w14:textId="77777777" w:rsidR="003A71DE" w:rsidRPr="00EA3B97" w:rsidRDefault="003A71DE" w:rsidP="007835E8">
            <w:pPr>
              <w:pStyle w:val="TAC"/>
              <w:rPr>
                <w:rFonts w:eastAsiaTheme="minorEastAsia"/>
                <w:lang w:eastAsia="zh-CN"/>
              </w:rPr>
            </w:pPr>
            <w:r w:rsidRPr="00EA3B97">
              <w:rPr>
                <w:rFonts w:eastAsiaTheme="minorEastAsia"/>
                <w:lang w:eastAsia="zh-CN"/>
              </w:rPr>
              <w:t>DLBWP.0.2</w:t>
            </w:r>
          </w:p>
        </w:tc>
        <w:tc>
          <w:tcPr>
            <w:tcW w:w="1760" w:type="dxa"/>
            <w:tcBorders>
              <w:top w:val="single" w:sz="4" w:space="0" w:color="auto"/>
              <w:left w:val="single" w:sz="4" w:space="0" w:color="auto"/>
              <w:bottom w:val="single" w:sz="4" w:space="0" w:color="auto"/>
              <w:right w:val="single" w:sz="4" w:space="0" w:color="auto"/>
            </w:tcBorders>
          </w:tcPr>
          <w:p w14:paraId="0D540D52" w14:textId="77777777" w:rsidR="003A71DE" w:rsidRPr="00EA3B97" w:rsidRDefault="003A71DE" w:rsidP="007835E8">
            <w:pPr>
              <w:pStyle w:val="TAC"/>
              <w:rPr>
                <w:rFonts w:eastAsiaTheme="minorEastAsia"/>
                <w:lang w:eastAsia="zh-CN"/>
              </w:rPr>
            </w:pPr>
          </w:p>
        </w:tc>
      </w:tr>
      <w:tr w:rsidR="003A71DE" w:rsidRPr="00EA3B97" w14:paraId="77AF4C3A" w14:textId="77777777" w:rsidTr="003A71DE">
        <w:trPr>
          <w:jc w:val="center"/>
        </w:trPr>
        <w:tc>
          <w:tcPr>
            <w:tcW w:w="1838" w:type="dxa"/>
            <w:tcBorders>
              <w:top w:val="single" w:sz="4" w:space="0" w:color="auto"/>
              <w:left w:val="single" w:sz="4" w:space="0" w:color="auto"/>
              <w:bottom w:val="single" w:sz="4" w:space="0" w:color="auto"/>
              <w:right w:val="single" w:sz="4" w:space="0" w:color="auto"/>
            </w:tcBorders>
            <w:hideMark/>
          </w:tcPr>
          <w:p w14:paraId="62A3259A" w14:textId="77777777" w:rsidR="003A71DE" w:rsidRPr="00EA3B97" w:rsidRDefault="003A71DE" w:rsidP="007835E8">
            <w:pPr>
              <w:pStyle w:val="TAL"/>
              <w:rPr>
                <w:rFonts w:eastAsiaTheme="minorEastAsia"/>
              </w:rPr>
            </w:pPr>
            <w:r w:rsidRPr="00EA3B97">
              <w:rPr>
                <w:rFonts w:eastAsiaTheme="minorEastAsia"/>
              </w:rPr>
              <w:t>Starting PRB index</w:t>
            </w:r>
          </w:p>
        </w:tc>
        <w:tc>
          <w:tcPr>
            <w:tcW w:w="567" w:type="dxa"/>
            <w:tcBorders>
              <w:top w:val="single" w:sz="4" w:space="0" w:color="auto"/>
              <w:left w:val="single" w:sz="4" w:space="0" w:color="auto"/>
              <w:bottom w:val="single" w:sz="4" w:space="0" w:color="auto"/>
              <w:right w:val="single" w:sz="4" w:space="0" w:color="auto"/>
            </w:tcBorders>
          </w:tcPr>
          <w:p w14:paraId="27E67BB5" w14:textId="77777777" w:rsidR="003A71DE" w:rsidRPr="00EA3B97" w:rsidRDefault="003A71DE" w:rsidP="007835E8">
            <w:pPr>
              <w:pStyle w:val="TAC"/>
              <w:rPr>
                <w:rFonts w:eastAsiaTheme="minorEastAsia"/>
                <w:lang w:eastAsia="zh-CN"/>
              </w:rPr>
            </w:pPr>
          </w:p>
        </w:tc>
        <w:tc>
          <w:tcPr>
            <w:tcW w:w="1701" w:type="dxa"/>
            <w:tcBorders>
              <w:top w:val="single" w:sz="4" w:space="0" w:color="auto"/>
              <w:left w:val="single" w:sz="4" w:space="0" w:color="auto"/>
              <w:bottom w:val="single" w:sz="4" w:space="0" w:color="auto"/>
              <w:right w:val="single" w:sz="4" w:space="0" w:color="auto"/>
            </w:tcBorders>
            <w:hideMark/>
          </w:tcPr>
          <w:p w14:paraId="5024A4C5" w14:textId="77777777" w:rsidR="003A71DE" w:rsidRPr="00EA3B97" w:rsidRDefault="003A71DE" w:rsidP="007835E8">
            <w:pPr>
              <w:pStyle w:val="TAC"/>
              <w:rPr>
                <w:rFonts w:eastAsiaTheme="minorEastAsia"/>
                <w:lang w:eastAsia="zh-CN"/>
              </w:rPr>
            </w:pPr>
            <w:r w:rsidRPr="00EA3B97">
              <w:rPr>
                <w:rFonts w:eastAsiaTheme="minorEastAsia"/>
                <w:lang w:eastAsia="zh-CN"/>
              </w:rPr>
              <w:t>0</w:t>
            </w:r>
          </w:p>
        </w:tc>
        <w:tc>
          <w:tcPr>
            <w:tcW w:w="1701" w:type="dxa"/>
            <w:tcBorders>
              <w:top w:val="single" w:sz="4" w:space="0" w:color="auto"/>
              <w:left w:val="single" w:sz="4" w:space="0" w:color="auto"/>
              <w:bottom w:val="single" w:sz="4" w:space="0" w:color="auto"/>
              <w:right w:val="single" w:sz="4" w:space="0" w:color="auto"/>
            </w:tcBorders>
            <w:hideMark/>
          </w:tcPr>
          <w:p w14:paraId="28D2077D" w14:textId="77777777" w:rsidR="003A71DE" w:rsidRPr="00EA3B97" w:rsidRDefault="003A71DE" w:rsidP="007835E8">
            <w:pPr>
              <w:pStyle w:val="TAC"/>
              <w:rPr>
                <w:rFonts w:eastAsiaTheme="minorEastAsia"/>
                <w:lang w:eastAsia="zh-CN"/>
              </w:rPr>
            </w:pPr>
            <w:r w:rsidRPr="00EA3B97">
              <w:rPr>
                <w:rFonts w:eastAsiaTheme="minorEastAsia"/>
              </w:rPr>
              <w:t>RB</w:t>
            </w:r>
            <w:r w:rsidRPr="00EA3B97">
              <w:rPr>
                <w:rFonts w:eastAsiaTheme="minorEastAsia"/>
                <w:vertAlign w:val="subscript"/>
              </w:rPr>
              <w:t xml:space="preserve">a </w:t>
            </w:r>
            <w:r w:rsidRPr="00EA3B97">
              <w:rPr>
                <w:rFonts w:eastAsiaTheme="minorEastAsia"/>
                <w:vertAlign w:val="superscript"/>
              </w:rPr>
              <w:t>Note 1</w:t>
            </w:r>
          </w:p>
        </w:tc>
        <w:tc>
          <w:tcPr>
            <w:tcW w:w="1760" w:type="dxa"/>
            <w:tcBorders>
              <w:top w:val="single" w:sz="4" w:space="0" w:color="auto"/>
              <w:left w:val="single" w:sz="4" w:space="0" w:color="auto"/>
              <w:bottom w:val="single" w:sz="4" w:space="0" w:color="auto"/>
              <w:right w:val="single" w:sz="4" w:space="0" w:color="auto"/>
            </w:tcBorders>
          </w:tcPr>
          <w:p w14:paraId="1C760BCC" w14:textId="77777777" w:rsidR="003A71DE" w:rsidRPr="00EA3B97" w:rsidRDefault="003A71DE" w:rsidP="007835E8">
            <w:pPr>
              <w:pStyle w:val="TAC"/>
              <w:rPr>
                <w:rFonts w:eastAsiaTheme="minorEastAsia"/>
                <w:lang w:eastAsia="zh-CN"/>
              </w:rPr>
            </w:pPr>
          </w:p>
        </w:tc>
      </w:tr>
      <w:tr w:rsidR="003A71DE" w:rsidRPr="00EA3B97" w14:paraId="77E00A97" w14:textId="77777777" w:rsidTr="003A71DE">
        <w:trPr>
          <w:jc w:val="center"/>
        </w:trPr>
        <w:tc>
          <w:tcPr>
            <w:tcW w:w="1838" w:type="dxa"/>
            <w:tcBorders>
              <w:top w:val="single" w:sz="4" w:space="0" w:color="auto"/>
              <w:left w:val="single" w:sz="4" w:space="0" w:color="auto"/>
              <w:bottom w:val="single" w:sz="4" w:space="0" w:color="auto"/>
              <w:right w:val="single" w:sz="4" w:space="0" w:color="auto"/>
            </w:tcBorders>
            <w:hideMark/>
          </w:tcPr>
          <w:p w14:paraId="1B0C32FA" w14:textId="77777777" w:rsidR="003A71DE" w:rsidRPr="00EA3B97" w:rsidRDefault="003A71DE" w:rsidP="007835E8">
            <w:pPr>
              <w:pStyle w:val="TAL"/>
              <w:rPr>
                <w:rFonts w:eastAsiaTheme="minorEastAsia"/>
              </w:rPr>
            </w:pPr>
            <w:r w:rsidRPr="00EA3B97">
              <w:rPr>
                <w:rFonts w:eastAsiaTheme="minorEastAsia"/>
              </w:rPr>
              <w:t>Bandwidth</w:t>
            </w:r>
          </w:p>
        </w:tc>
        <w:tc>
          <w:tcPr>
            <w:tcW w:w="567" w:type="dxa"/>
            <w:tcBorders>
              <w:top w:val="single" w:sz="4" w:space="0" w:color="auto"/>
              <w:left w:val="single" w:sz="4" w:space="0" w:color="auto"/>
              <w:bottom w:val="single" w:sz="4" w:space="0" w:color="auto"/>
              <w:right w:val="single" w:sz="4" w:space="0" w:color="auto"/>
            </w:tcBorders>
            <w:hideMark/>
          </w:tcPr>
          <w:p w14:paraId="3E0C557F"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1701" w:type="dxa"/>
            <w:tcBorders>
              <w:top w:val="single" w:sz="4" w:space="0" w:color="auto"/>
              <w:left w:val="single" w:sz="4" w:space="0" w:color="auto"/>
              <w:bottom w:val="single" w:sz="4" w:space="0" w:color="auto"/>
              <w:right w:val="single" w:sz="4" w:space="0" w:color="auto"/>
            </w:tcBorders>
            <w:hideMark/>
          </w:tcPr>
          <w:p w14:paraId="7A38B735" w14:textId="77777777" w:rsidR="003A71DE" w:rsidRPr="00EA3B97" w:rsidRDefault="003A71DE" w:rsidP="007835E8">
            <w:pPr>
              <w:pStyle w:val="TAC"/>
              <w:rPr>
                <w:rFonts w:eastAsiaTheme="minorEastAsia"/>
                <w:lang w:eastAsia="zh-CN"/>
              </w:rPr>
            </w:pPr>
            <w:r w:rsidRPr="00EA3B97">
              <w:rPr>
                <w:rFonts w:eastAsiaTheme="minorEastAsia"/>
                <w:lang w:eastAsia="zh-CN"/>
              </w:rPr>
              <w:t>Same as RF channel defined in each test</w:t>
            </w:r>
          </w:p>
        </w:tc>
        <w:tc>
          <w:tcPr>
            <w:tcW w:w="1701" w:type="dxa"/>
            <w:tcBorders>
              <w:top w:val="single" w:sz="4" w:space="0" w:color="auto"/>
              <w:left w:val="single" w:sz="4" w:space="0" w:color="auto"/>
              <w:bottom w:val="single" w:sz="4" w:space="0" w:color="auto"/>
              <w:right w:val="single" w:sz="4" w:space="0" w:color="auto"/>
            </w:tcBorders>
            <w:hideMark/>
          </w:tcPr>
          <w:p w14:paraId="6CD976CB" w14:textId="77777777" w:rsidR="003A71DE" w:rsidRPr="00EA3B97" w:rsidRDefault="003A71DE" w:rsidP="007835E8">
            <w:pPr>
              <w:pStyle w:val="TAC"/>
              <w:rPr>
                <w:rFonts w:eastAsiaTheme="minorEastAsia"/>
                <w:lang w:eastAsia="zh-CN"/>
              </w:rPr>
            </w:pPr>
            <w:r w:rsidRPr="00EA3B97">
              <w:rPr>
                <w:rFonts w:eastAsiaTheme="minorEastAsia"/>
                <w:lang w:eastAsia="zh-CN"/>
              </w:rPr>
              <w:t>same as RMSI CORESET (CORESET #0) defined in each test</w:t>
            </w:r>
          </w:p>
        </w:tc>
        <w:tc>
          <w:tcPr>
            <w:tcW w:w="1760" w:type="dxa"/>
            <w:tcBorders>
              <w:top w:val="single" w:sz="4" w:space="0" w:color="auto"/>
              <w:left w:val="single" w:sz="4" w:space="0" w:color="auto"/>
              <w:bottom w:val="single" w:sz="4" w:space="0" w:color="auto"/>
              <w:right w:val="single" w:sz="4" w:space="0" w:color="auto"/>
            </w:tcBorders>
          </w:tcPr>
          <w:p w14:paraId="6DAF4467" w14:textId="77777777" w:rsidR="003A71DE" w:rsidRPr="00EA3B97" w:rsidRDefault="003A71DE" w:rsidP="007835E8">
            <w:pPr>
              <w:pStyle w:val="TAC"/>
              <w:rPr>
                <w:rFonts w:eastAsiaTheme="minorEastAsia"/>
                <w:lang w:eastAsia="zh-CN"/>
              </w:rPr>
            </w:pPr>
          </w:p>
        </w:tc>
      </w:tr>
      <w:tr w:rsidR="003A71DE" w:rsidRPr="00EA3B97" w14:paraId="3DE2A02E" w14:textId="77777777" w:rsidTr="003A71DE">
        <w:trPr>
          <w:jc w:val="center"/>
        </w:trPr>
        <w:tc>
          <w:tcPr>
            <w:tcW w:w="7567" w:type="dxa"/>
            <w:gridSpan w:val="5"/>
            <w:tcBorders>
              <w:top w:val="single" w:sz="4" w:space="0" w:color="auto"/>
              <w:left w:val="single" w:sz="4" w:space="0" w:color="auto"/>
              <w:bottom w:val="single" w:sz="4" w:space="0" w:color="auto"/>
              <w:right w:val="single" w:sz="4" w:space="0" w:color="auto"/>
            </w:tcBorders>
            <w:hideMark/>
          </w:tcPr>
          <w:p w14:paraId="690347B3" w14:textId="77777777" w:rsidR="003A71DE" w:rsidRPr="00EA3B97" w:rsidRDefault="003A71DE" w:rsidP="003A71DE">
            <w:pPr>
              <w:keepNext/>
              <w:keepLines/>
              <w:spacing w:after="0"/>
              <w:ind w:left="851" w:hanging="851"/>
              <w:rPr>
                <w:rFonts w:ascii="Arial" w:eastAsiaTheme="minorEastAsia" w:hAnsi="Arial"/>
                <w:sz w:val="18"/>
                <w:lang w:eastAsia="zh-CN"/>
              </w:rPr>
            </w:pPr>
            <w:r w:rsidRPr="00EA3B97">
              <w:rPr>
                <w:rFonts w:ascii="Arial" w:eastAsiaTheme="minorEastAsia" w:hAnsi="Arial"/>
                <w:sz w:val="18"/>
                <w:lang w:eastAsia="zh-CN"/>
              </w:rPr>
              <w:t>Note 1:</w:t>
            </w:r>
            <w:r w:rsidRPr="007835E8">
              <w:rPr>
                <w:rFonts w:ascii="Arial" w:hAnsi="Arial"/>
                <w:sz w:val="18"/>
                <w:lang w:eastAsia="zh-CN"/>
              </w:rPr>
              <w:tab/>
            </w:r>
            <w:r w:rsidRPr="007835E8">
              <w:rPr>
                <w:rFonts w:ascii="Arial" w:hAnsi="Arial"/>
                <w:sz w:val="18"/>
              </w:rPr>
              <w:t>RB</w:t>
            </w:r>
            <w:r w:rsidRPr="007835E8">
              <w:rPr>
                <w:rFonts w:ascii="Arial" w:hAnsi="Arial"/>
                <w:sz w:val="18"/>
                <w:vertAlign w:val="subscript"/>
              </w:rPr>
              <w:t xml:space="preserve">a </w:t>
            </w:r>
            <w:r w:rsidRPr="007835E8">
              <w:rPr>
                <w:rFonts w:ascii="Arial" w:hAnsi="Arial"/>
                <w:sz w:val="18"/>
              </w:rPr>
              <w:t>is the lowest PRB index to guarantee the BWP including SSB PRB index (RB</w:t>
            </w:r>
            <w:r w:rsidRPr="00EA3B97">
              <w:rPr>
                <w:rFonts w:ascii="Arial" w:eastAsiaTheme="minorEastAsia" w:hAnsi="Arial"/>
                <w:sz w:val="18"/>
                <w:vertAlign w:val="subscript"/>
              </w:rPr>
              <w:t>J</w:t>
            </w:r>
            <w:r w:rsidRPr="00EA3B97">
              <w:rPr>
                <w:rFonts w:ascii="Arial" w:eastAsiaTheme="minorEastAsia" w:hAnsi="Arial"/>
                <w:sz w:val="18"/>
              </w:rPr>
              <w:t>, RB</w:t>
            </w:r>
            <w:r w:rsidRPr="00EA3B97">
              <w:rPr>
                <w:rFonts w:ascii="Arial" w:eastAsiaTheme="minorEastAsia" w:hAnsi="Arial"/>
                <w:sz w:val="18"/>
                <w:vertAlign w:val="subscript"/>
              </w:rPr>
              <w:t>J+1</w:t>
            </w:r>
            <w:r w:rsidRPr="00EA3B97">
              <w:rPr>
                <w:rFonts w:ascii="Arial" w:eastAsiaTheme="minorEastAsia" w:hAnsi="Arial"/>
                <w:sz w:val="18"/>
              </w:rPr>
              <w:t>,.…, RB</w:t>
            </w:r>
            <w:r w:rsidRPr="00EA3B97">
              <w:rPr>
                <w:rFonts w:ascii="Arial" w:eastAsiaTheme="minorEastAsia" w:hAnsi="Arial"/>
                <w:sz w:val="18"/>
                <w:vertAlign w:val="subscript"/>
              </w:rPr>
              <w:t>J+19</w:t>
            </w:r>
            <w:r w:rsidRPr="00EA3B97">
              <w:rPr>
                <w:rFonts w:ascii="Arial" w:eastAsiaTheme="minorEastAsia" w:hAnsi="Arial"/>
                <w:sz w:val="18"/>
              </w:rPr>
              <w:t>) which is defined in Clause G.1.5.</w:t>
            </w:r>
          </w:p>
        </w:tc>
      </w:tr>
    </w:tbl>
    <w:p w14:paraId="3A27CBBE" w14:textId="77777777" w:rsidR="003A71DE" w:rsidRPr="00EA3B97" w:rsidRDefault="003A71DE" w:rsidP="003A71DE">
      <w:pPr>
        <w:rPr>
          <w:rFonts w:eastAsia="MS Mincho"/>
          <w:snapToGrid w:val="0"/>
        </w:rPr>
      </w:pPr>
    </w:p>
    <w:p w14:paraId="23C0195B" w14:textId="77777777" w:rsidR="003A71DE" w:rsidRPr="00EA3B97" w:rsidRDefault="003A71DE" w:rsidP="00A153AF">
      <w:pPr>
        <w:pStyle w:val="Heading5"/>
        <w:rPr>
          <w:rFonts w:eastAsiaTheme="minorEastAsia"/>
          <w:snapToGrid w:val="0"/>
        </w:rPr>
      </w:pPr>
      <w:bookmarkStart w:id="9846" w:name="_Toc74583631"/>
      <w:bookmarkStart w:id="9847" w:name="_Toc76542444"/>
      <w:bookmarkStart w:id="9848" w:name="_Toc82450426"/>
      <w:bookmarkStart w:id="9849" w:name="_Toc82451074"/>
      <w:bookmarkStart w:id="9850" w:name="_Toc89949463"/>
      <w:bookmarkStart w:id="9851" w:name="_Toc98755852"/>
      <w:bookmarkStart w:id="9852" w:name="_Toc98763444"/>
      <w:bookmarkStart w:id="9853" w:name="_Toc106184373"/>
      <w:r w:rsidRPr="00EA3B97">
        <w:rPr>
          <w:rFonts w:eastAsiaTheme="minorEastAsia"/>
          <w:snapToGrid w:val="0"/>
        </w:rPr>
        <w:t>G.1.4.2.2</w:t>
      </w:r>
      <w:r w:rsidRPr="00EA3B97">
        <w:rPr>
          <w:rFonts w:eastAsiaTheme="minorEastAsia"/>
          <w:snapToGrid w:val="0"/>
        </w:rPr>
        <w:tab/>
        <w:t>Dedicated BWP</w:t>
      </w:r>
      <w:bookmarkEnd w:id="9846"/>
      <w:bookmarkEnd w:id="9847"/>
      <w:bookmarkEnd w:id="9848"/>
      <w:bookmarkEnd w:id="9849"/>
      <w:bookmarkEnd w:id="9850"/>
      <w:bookmarkEnd w:id="9851"/>
      <w:bookmarkEnd w:id="9852"/>
      <w:bookmarkEnd w:id="9853"/>
    </w:p>
    <w:p w14:paraId="1B999007" w14:textId="77777777" w:rsidR="003A71DE" w:rsidRPr="00EA3B97" w:rsidRDefault="003A71DE" w:rsidP="00BA0D24">
      <w:pPr>
        <w:pStyle w:val="TH"/>
        <w:rPr>
          <w:rFonts w:eastAsiaTheme="minorEastAsia"/>
          <w:noProof/>
        </w:rPr>
      </w:pPr>
      <w:r w:rsidRPr="00EA3B97">
        <w:rPr>
          <w:rFonts w:eastAsiaTheme="minorEastAsia"/>
        </w:rPr>
        <w:t>Table G.1.4.2.2-1: Downlink BWP patterns for dedicated BWP configuration</w:t>
      </w:r>
    </w:p>
    <w:tbl>
      <w:tblPr>
        <w:tblW w:w="75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9"/>
        <w:gridCol w:w="640"/>
        <w:gridCol w:w="1665"/>
        <w:gridCol w:w="1686"/>
        <w:gridCol w:w="1777"/>
      </w:tblGrid>
      <w:tr w:rsidR="003A71DE" w:rsidRPr="00EA3B97" w14:paraId="0C72ED53"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6D371975" w14:textId="77777777" w:rsidR="003A71DE" w:rsidRPr="00EA3B97" w:rsidRDefault="003A71DE" w:rsidP="007835E8">
            <w:pPr>
              <w:pStyle w:val="TAH"/>
              <w:rPr>
                <w:rFonts w:eastAsiaTheme="minorEastAsia"/>
              </w:rPr>
            </w:pPr>
            <w:r w:rsidRPr="00EA3B97">
              <w:rPr>
                <w:rFonts w:eastAsiaTheme="minorEastAsia"/>
              </w:rPr>
              <w:t>BWP Parameters</w:t>
            </w:r>
          </w:p>
        </w:tc>
        <w:tc>
          <w:tcPr>
            <w:tcW w:w="640" w:type="dxa"/>
            <w:tcBorders>
              <w:top w:val="single" w:sz="4" w:space="0" w:color="auto"/>
              <w:left w:val="single" w:sz="4" w:space="0" w:color="auto"/>
              <w:bottom w:val="single" w:sz="4" w:space="0" w:color="auto"/>
              <w:right w:val="single" w:sz="4" w:space="0" w:color="auto"/>
            </w:tcBorders>
            <w:hideMark/>
          </w:tcPr>
          <w:p w14:paraId="75D89131" w14:textId="77777777" w:rsidR="003A71DE" w:rsidRPr="00EA3B97" w:rsidRDefault="003A71DE" w:rsidP="007835E8">
            <w:pPr>
              <w:pStyle w:val="TAH"/>
              <w:rPr>
                <w:rFonts w:eastAsiaTheme="minorEastAsia"/>
              </w:rPr>
            </w:pPr>
            <w:r w:rsidRPr="00EA3B97">
              <w:rPr>
                <w:rFonts w:eastAsiaTheme="minorEastAsia"/>
              </w:rPr>
              <w:t>Unit</w:t>
            </w:r>
          </w:p>
        </w:tc>
        <w:tc>
          <w:tcPr>
            <w:tcW w:w="5128" w:type="dxa"/>
            <w:gridSpan w:val="3"/>
            <w:tcBorders>
              <w:top w:val="single" w:sz="4" w:space="0" w:color="auto"/>
              <w:left w:val="single" w:sz="4" w:space="0" w:color="auto"/>
              <w:bottom w:val="single" w:sz="4" w:space="0" w:color="auto"/>
              <w:right w:val="single" w:sz="4" w:space="0" w:color="auto"/>
            </w:tcBorders>
            <w:hideMark/>
          </w:tcPr>
          <w:p w14:paraId="1046F007" w14:textId="77777777" w:rsidR="003A71DE" w:rsidRPr="00EA3B97" w:rsidRDefault="003A71DE" w:rsidP="007835E8">
            <w:pPr>
              <w:pStyle w:val="TAH"/>
              <w:rPr>
                <w:rFonts w:eastAsiaTheme="minorEastAsia"/>
              </w:rPr>
            </w:pPr>
            <w:r w:rsidRPr="00EA3B97">
              <w:rPr>
                <w:rFonts w:eastAsiaTheme="minorEastAsia"/>
              </w:rPr>
              <w:t>Values</w:t>
            </w:r>
          </w:p>
        </w:tc>
      </w:tr>
      <w:tr w:rsidR="003A71DE" w:rsidRPr="00EA3B97" w14:paraId="25C1630C"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30074625" w14:textId="77777777" w:rsidR="003A71DE" w:rsidRPr="00EA3B97" w:rsidRDefault="003A71DE" w:rsidP="007835E8">
            <w:pPr>
              <w:pStyle w:val="TAL"/>
              <w:rPr>
                <w:rFonts w:eastAsiaTheme="minorEastAsia"/>
              </w:rPr>
            </w:pPr>
            <w:r w:rsidRPr="00EA3B97">
              <w:rPr>
                <w:rFonts w:eastAsiaTheme="minorEastAsia"/>
                <w:lang w:eastAsia="zh-CN"/>
              </w:rPr>
              <w:t>Reference BWP</w:t>
            </w:r>
          </w:p>
        </w:tc>
        <w:tc>
          <w:tcPr>
            <w:tcW w:w="640" w:type="dxa"/>
            <w:tcBorders>
              <w:top w:val="single" w:sz="4" w:space="0" w:color="auto"/>
              <w:left w:val="single" w:sz="4" w:space="0" w:color="auto"/>
              <w:bottom w:val="single" w:sz="4" w:space="0" w:color="auto"/>
              <w:right w:val="single" w:sz="4" w:space="0" w:color="auto"/>
            </w:tcBorders>
          </w:tcPr>
          <w:p w14:paraId="221ACDBD" w14:textId="77777777" w:rsidR="003A71DE" w:rsidRPr="00EA3B97" w:rsidRDefault="003A71DE" w:rsidP="007835E8">
            <w:pPr>
              <w:pStyle w:val="TAC"/>
              <w:rPr>
                <w:rFonts w:eastAsiaTheme="minorEastAsia"/>
                <w:lang w:eastAsia="zh-CN"/>
              </w:rPr>
            </w:pPr>
          </w:p>
        </w:tc>
        <w:tc>
          <w:tcPr>
            <w:tcW w:w="1665" w:type="dxa"/>
            <w:tcBorders>
              <w:top w:val="single" w:sz="4" w:space="0" w:color="auto"/>
              <w:left w:val="single" w:sz="4" w:space="0" w:color="auto"/>
              <w:bottom w:val="single" w:sz="4" w:space="0" w:color="auto"/>
              <w:right w:val="single" w:sz="4" w:space="0" w:color="auto"/>
            </w:tcBorders>
            <w:hideMark/>
          </w:tcPr>
          <w:p w14:paraId="79538C65" w14:textId="77777777" w:rsidR="003A71DE" w:rsidRPr="00EA3B97" w:rsidRDefault="003A71DE" w:rsidP="007835E8">
            <w:pPr>
              <w:pStyle w:val="TAC"/>
              <w:rPr>
                <w:rFonts w:eastAsiaTheme="minorEastAsia"/>
                <w:lang w:eastAsia="zh-CN"/>
              </w:rPr>
            </w:pPr>
            <w:r w:rsidRPr="00EA3B97">
              <w:rPr>
                <w:rFonts w:eastAsiaTheme="minorEastAsia"/>
                <w:lang w:eastAsia="zh-CN"/>
              </w:rPr>
              <w:t>DLBWP.1.1</w:t>
            </w:r>
          </w:p>
        </w:tc>
        <w:tc>
          <w:tcPr>
            <w:tcW w:w="1686" w:type="dxa"/>
            <w:tcBorders>
              <w:top w:val="single" w:sz="4" w:space="0" w:color="auto"/>
              <w:left w:val="single" w:sz="4" w:space="0" w:color="auto"/>
              <w:bottom w:val="single" w:sz="4" w:space="0" w:color="auto"/>
              <w:right w:val="single" w:sz="4" w:space="0" w:color="auto"/>
            </w:tcBorders>
            <w:hideMark/>
          </w:tcPr>
          <w:p w14:paraId="153DFC80" w14:textId="77777777" w:rsidR="003A71DE" w:rsidRPr="00EA3B97" w:rsidRDefault="003A71DE" w:rsidP="007835E8">
            <w:pPr>
              <w:pStyle w:val="TAC"/>
              <w:rPr>
                <w:rFonts w:eastAsiaTheme="minorEastAsia"/>
                <w:lang w:eastAsia="zh-CN"/>
              </w:rPr>
            </w:pPr>
            <w:r w:rsidRPr="00EA3B97">
              <w:rPr>
                <w:rFonts w:eastAsiaTheme="minorEastAsia"/>
                <w:lang w:eastAsia="zh-CN"/>
              </w:rPr>
              <w:t>DLBWP.1.2</w:t>
            </w:r>
          </w:p>
        </w:tc>
        <w:tc>
          <w:tcPr>
            <w:tcW w:w="1777" w:type="dxa"/>
            <w:tcBorders>
              <w:top w:val="single" w:sz="4" w:space="0" w:color="auto"/>
              <w:left w:val="single" w:sz="4" w:space="0" w:color="auto"/>
              <w:bottom w:val="single" w:sz="4" w:space="0" w:color="auto"/>
              <w:right w:val="single" w:sz="4" w:space="0" w:color="auto"/>
            </w:tcBorders>
            <w:hideMark/>
          </w:tcPr>
          <w:p w14:paraId="060C6D15" w14:textId="77777777" w:rsidR="003A71DE" w:rsidRPr="00EA3B97" w:rsidRDefault="003A71DE" w:rsidP="007835E8">
            <w:pPr>
              <w:pStyle w:val="TAC"/>
              <w:rPr>
                <w:rFonts w:eastAsiaTheme="minorEastAsia"/>
                <w:lang w:eastAsia="zh-CN"/>
              </w:rPr>
            </w:pPr>
            <w:r w:rsidRPr="00EA3B97">
              <w:rPr>
                <w:rFonts w:eastAsiaTheme="minorEastAsia"/>
                <w:lang w:eastAsia="zh-CN"/>
              </w:rPr>
              <w:t>DLBWP.1.3</w:t>
            </w:r>
          </w:p>
        </w:tc>
      </w:tr>
      <w:tr w:rsidR="003A71DE" w:rsidRPr="00EA3B97" w14:paraId="312EFDA7"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0701817B" w14:textId="77777777" w:rsidR="003A71DE" w:rsidRPr="00EA3B97" w:rsidRDefault="003A71DE" w:rsidP="007835E8">
            <w:pPr>
              <w:pStyle w:val="TAL"/>
              <w:rPr>
                <w:rFonts w:eastAsiaTheme="minorEastAsia"/>
              </w:rPr>
            </w:pPr>
            <w:r w:rsidRPr="00EA3B97">
              <w:rPr>
                <w:rFonts w:eastAsiaTheme="minorEastAsia"/>
              </w:rPr>
              <w:t>Starting PRB index</w:t>
            </w:r>
          </w:p>
        </w:tc>
        <w:tc>
          <w:tcPr>
            <w:tcW w:w="640" w:type="dxa"/>
            <w:tcBorders>
              <w:top w:val="single" w:sz="4" w:space="0" w:color="auto"/>
              <w:left w:val="single" w:sz="4" w:space="0" w:color="auto"/>
              <w:bottom w:val="single" w:sz="4" w:space="0" w:color="auto"/>
              <w:right w:val="single" w:sz="4" w:space="0" w:color="auto"/>
            </w:tcBorders>
          </w:tcPr>
          <w:p w14:paraId="5FD0EF0C" w14:textId="77777777" w:rsidR="003A71DE" w:rsidRPr="00EA3B97" w:rsidRDefault="003A71DE" w:rsidP="007835E8">
            <w:pPr>
              <w:pStyle w:val="TAC"/>
              <w:rPr>
                <w:rFonts w:eastAsiaTheme="minorEastAsia"/>
                <w:lang w:eastAsia="zh-CN"/>
              </w:rPr>
            </w:pPr>
          </w:p>
        </w:tc>
        <w:tc>
          <w:tcPr>
            <w:tcW w:w="1665" w:type="dxa"/>
            <w:tcBorders>
              <w:top w:val="single" w:sz="4" w:space="0" w:color="auto"/>
              <w:left w:val="single" w:sz="4" w:space="0" w:color="auto"/>
              <w:bottom w:val="single" w:sz="4" w:space="0" w:color="auto"/>
              <w:right w:val="single" w:sz="4" w:space="0" w:color="auto"/>
            </w:tcBorders>
            <w:hideMark/>
          </w:tcPr>
          <w:p w14:paraId="6D6F955E" w14:textId="77777777" w:rsidR="003A71DE" w:rsidRPr="00EA3B97" w:rsidRDefault="003A71DE" w:rsidP="007835E8">
            <w:pPr>
              <w:pStyle w:val="TAC"/>
              <w:rPr>
                <w:rFonts w:eastAsiaTheme="minorEastAsia"/>
                <w:lang w:eastAsia="zh-CN"/>
              </w:rPr>
            </w:pPr>
            <w:r w:rsidRPr="00EA3B97">
              <w:rPr>
                <w:rFonts w:eastAsiaTheme="minorEastAsia"/>
                <w:lang w:eastAsia="zh-CN"/>
              </w:rPr>
              <w:t>0</w:t>
            </w:r>
          </w:p>
        </w:tc>
        <w:tc>
          <w:tcPr>
            <w:tcW w:w="1686" w:type="dxa"/>
            <w:tcBorders>
              <w:top w:val="single" w:sz="4" w:space="0" w:color="auto"/>
              <w:left w:val="single" w:sz="4" w:space="0" w:color="auto"/>
              <w:bottom w:val="single" w:sz="4" w:space="0" w:color="auto"/>
              <w:right w:val="single" w:sz="4" w:space="0" w:color="auto"/>
            </w:tcBorders>
            <w:hideMark/>
          </w:tcPr>
          <w:p w14:paraId="6CC23A92" w14:textId="77777777" w:rsidR="003A71DE" w:rsidRPr="00EA3B97" w:rsidRDefault="003A71DE" w:rsidP="007835E8">
            <w:pPr>
              <w:pStyle w:val="TAC"/>
              <w:rPr>
                <w:rFonts w:eastAsiaTheme="minorEastAsia"/>
                <w:lang w:eastAsia="zh-CN"/>
              </w:rPr>
            </w:pPr>
            <w:r w:rsidRPr="00EA3B97">
              <w:rPr>
                <w:rFonts w:eastAsiaTheme="minorEastAsia"/>
              </w:rPr>
              <w:t>RB</w:t>
            </w:r>
            <w:r w:rsidRPr="00EA3B97">
              <w:rPr>
                <w:rFonts w:eastAsiaTheme="minorEastAsia"/>
                <w:vertAlign w:val="subscript"/>
              </w:rPr>
              <w:t>b</w:t>
            </w:r>
            <w:r w:rsidRPr="00EA3B97">
              <w:rPr>
                <w:rFonts w:eastAsiaTheme="minorEastAsia"/>
              </w:rPr>
              <w:t xml:space="preserve"> </w:t>
            </w:r>
            <w:r w:rsidRPr="00EA3B97">
              <w:rPr>
                <w:rFonts w:eastAsiaTheme="minorEastAsia"/>
                <w:vertAlign w:val="superscript"/>
              </w:rPr>
              <w:t>Note 1</w:t>
            </w:r>
          </w:p>
        </w:tc>
        <w:tc>
          <w:tcPr>
            <w:tcW w:w="1777" w:type="dxa"/>
            <w:tcBorders>
              <w:top w:val="single" w:sz="4" w:space="0" w:color="auto"/>
              <w:left w:val="single" w:sz="4" w:space="0" w:color="auto"/>
              <w:bottom w:val="single" w:sz="4" w:space="0" w:color="auto"/>
              <w:right w:val="single" w:sz="4" w:space="0" w:color="auto"/>
            </w:tcBorders>
            <w:hideMark/>
          </w:tcPr>
          <w:p w14:paraId="724DE3F4" w14:textId="77777777" w:rsidR="003A71DE" w:rsidRPr="00EA3B97" w:rsidRDefault="003A71DE" w:rsidP="007835E8">
            <w:pPr>
              <w:pStyle w:val="TAC"/>
              <w:rPr>
                <w:rFonts w:eastAsiaTheme="minorEastAsia"/>
                <w:lang w:eastAsia="zh-CN"/>
              </w:rPr>
            </w:pPr>
            <w:r w:rsidRPr="00EA3B97">
              <w:rPr>
                <w:rFonts w:eastAsiaTheme="minorEastAsia"/>
              </w:rPr>
              <w:t>RB</w:t>
            </w:r>
            <w:r w:rsidRPr="00EA3B97">
              <w:rPr>
                <w:rFonts w:eastAsiaTheme="minorEastAsia"/>
                <w:vertAlign w:val="subscript"/>
              </w:rPr>
              <w:t xml:space="preserve">a </w:t>
            </w:r>
            <w:r w:rsidRPr="00EA3B97">
              <w:rPr>
                <w:rFonts w:eastAsiaTheme="minorEastAsia"/>
                <w:vertAlign w:val="superscript"/>
              </w:rPr>
              <w:t>Note 2</w:t>
            </w:r>
          </w:p>
        </w:tc>
      </w:tr>
      <w:tr w:rsidR="003A71DE" w:rsidRPr="00EA3B97" w14:paraId="245367EB"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72C5CCCD" w14:textId="77777777" w:rsidR="003A71DE" w:rsidRPr="00EA3B97" w:rsidRDefault="003A71DE" w:rsidP="007835E8">
            <w:pPr>
              <w:pStyle w:val="TAL"/>
              <w:rPr>
                <w:rFonts w:eastAsiaTheme="minorEastAsia"/>
              </w:rPr>
            </w:pPr>
            <w:r w:rsidRPr="00EA3B97">
              <w:rPr>
                <w:rFonts w:eastAsiaTheme="minorEastAsia"/>
              </w:rPr>
              <w:t>Bandwidth</w:t>
            </w:r>
          </w:p>
        </w:tc>
        <w:tc>
          <w:tcPr>
            <w:tcW w:w="640" w:type="dxa"/>
            <w:tcBorders>
              <w:top w:val="single" w:sz="4" w:space="0" w:color="auto"/>
              <w:left w:val="single" w:sz="4" w:space="0" w:color="auto"/>
              <w:bottom w:val="single" w:sz="4" w:space="0" w:color="auto"/>
              <w:right w:val="single" w:sz="4" w:space="0" w:color="auto"/>
            </w:tcBorders>
            <w:hideMark/>
          </w:tcPr>
          <w:p w14:paraId="294ECC36"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1665" w:type="dxa"/>
            <w:tcBorders>
              <w:top w:val="single" w:sz="4" w:space="0" w:color="auto"/>
              <w:left w:val="single" w:sz="4" w:space="0" w:color="auto"/>
              <w:bottom w:val="single" w:sz="4" w:space="0" w:color="auto"/>
              <w:right w:val="single" w:sz="4" w:space="0" w:color="auto"/>
            </w:tcBorders>
            <w:hideMark/>
          </w:tcPr>
          <w:p w14:paraId="4EFCF148" w14:textId="77777777" w:rsidR="003A71DE" w:rsidRPr="00EA3B97" w:rsidRDefault="003A71DE" w:rsidP="007835E8">
            <w:pPr>
              <w:pStyle w:val="TAC"/>
              <w:rPr>
                <w:rFonts w:eastAsiaTheme="minorEastAsia"/>
                <w:lang w:eastAsia="zh-CN"/>
              </w:rPr>
            </w:pPr>
            <w:r w:rsidRPr="00EA3B97">
              <w:rPr>
                <w:rFonts w:eastAsiaTheme="minorEastAsia"/>
                <w:lang w:eastAsia="zh-CN"/>
              </w:rPr>
              <w:t>Same as RF channel defined in each test</w:t>
            </w:r>
          </w:p>
        </w:tc>
        <w:tc>
          <w:tcPr>
            <w:tcW w:w="1686" w:type="dxa"/>
            <w:tcBorders>
              <w:top w:val="single" w:sz="4" w:space="0" w:color="auto"/>
              <w:left w:val="single" w:sz="4" w:space="0" w:color="auto"/>
              <w:bottom w:val="single" w:sz="4" w:space="0" w:color="auto"/>
              <w:right w:val="single" w:sz="4" w:space="0" w:color="auto"/>
            </w:tcBorders>
            <w:hideMark/>
          </w:tcPr>
          <w:p w14:paraId="58C143CD" w14:textId="77777777" w:rsidR="003A71DE" w:rsidRPr="00EA3B97" w:rsidRDefault="003A71DE" w:rsidP="007835E8">
            <w:pPr>
              <w:pStyle w:val="TAC"/>
              <w:rPr>
                <w:rFonts w:eastAsiaTheme="minorEastAsia"/>
                <w:lang w:eastAsia="zh-CN"/>
              </w:rPr>
            </w:pPr>
            <w:r w:rsidRPr="00EA3B97">
              <w:rPr>
                <w:rFonts w:eastAsiaTheme="minorEastAsia"/>
                <w:lang w:eastAsia="zh-CN"/>
              </w:rPr>
              <w:t>25 for SCS = 15KHz,</w:t>
            </w:r>
          </w:p>
          <w:p w14:paraId="0952F7DA" w14:textId="77777777" w:rsidR="003A71DE" w:rsidRPr="00EA3B97" w:rsidRDefault="003A71DE" w:rsidP="007835E8">
            <w:pPr>
              <w:pStyle w:val="TAC"/>
              <w:rPr>
                <w:rFonts w:eastAsiaTheme="minorEastAsia"/>
                <w:lang w:eastAsia="zh-CN"/>
              </w:rPr>
            </w:pPr>
            <w:r w:rsidRPr="00EA3B97">
              <w:rPr>
                <w:rFonts w:eastAsiaTheme="minorEastAsia"/>
                <w:lang w:eastAsia="zh-CN"/>
              </w:rPr>
              <w:t>51 for SCS = 30KHz,</w:t>
            </w:r>
          </w:p>
          <w:p w14:paraId="4EFB1AA5" w14:textId="77777777" w:rsidR="003A71DE" w:rsidRPr="00EA3B97" w:rsidRDefault="003A71DE" w:rsidP="007835E8">
            <w:pPr>
              <w:pStyle w:val="TAC"/>
              <w:rPr>
                <w:rFonts w:eastAsiaTheme="minorEastAsia"/>
                <w:lang w:eastAsia="zh-CN"/>
              </w:rPr>
            </w:pPr>
            <w:r w:rsidRPr="00EA3B97">
              <w:rPr>
                <w:rFonts w:eastAsiaTheme="minorEastAsia"/>
                <w:lang w:eastAsia="zh-CN"/>
              </w:rPr>
              <w:t>32 for SCS = 120KHz</w:t>
            </w:r>
          </w:p>
        </w:tc>
        <w:tc>
          <w:tcPr>
            <w:tcW w:w="1777" w:type="dxa"/>
            <w:tcBorders>
              <w:top w:val="single" w:sz="4" w:space="0" w:color="auto"/>
              <w:left w:val="single" w:sz="4" w:space="0" w:color="auto"/>
              <w:bottom w:val="single" w:sz="4" w:space="0" w:color="auto"/>
              <w:right w:val="single" w:sz="4" w:space="0" w:color="auto"/>
            </w:tcBorders>
            <w:hideMark/>
          </w:tcPr>
          <w:p w14:paraId="123A0B7A" w14:textId="77777777" w:rsidR="003A71DE" w:rsidRPr="00EA3B97" w:rsidRDefault="003A71DE" w:rsidP="007835E8">
            <w:pPr>
              <w:pStyle w:val="TAC"/>
              <w:rPr>
                <w:rFonts w:eastAsiaTheme="minorEastAsia"/>
                <w:lang w:eastAsia="zh-CN"/>
              </w:rPr>
            </w:pPr>
            <w:r w:rsidRPr="00EA3B97">
              <w:rPr>
                <w:rFonts w:eastAsiaTheme="minorEastAsia"/>
                <w:lang w:eastAsia="zh-CN"/>
              </w:rPr>
              <w:t>25 for SCS = 15KHz,</w:t>
            </w:r>
          </w:p>
          <w:p w14:paraId="57D71180" w14:textId="77777777" w:rsidR="003A71DE" w:rsidRPr="00EA3B97" w:rsidRDefault="003A71DE" w:rsidP="007835E8">
            <w:pPr>
              <w:pStyle w:val="TAC"/>
              <w:rPr>
                <w:rFonts w:eastAsiaTheme="minorEastAsia"/>
                <w:lang w:eastAsia="zh-CN"/>
              </w:rPr>
            </w:pPr>
            <w:r w:rsidRPr="00EA3B97">
              <w:rPr>
                <w:rFonts w:eastAsiaTheme="minorEastAsia"/>
                <w:lang w:eastAsia="zh-CN"/>
              </w:rPr>
              <w:t>51 for SCS = 30KHz,</w:t>
            </w:r>
          </w:p>
          <w:p w14:paraId="70C72E98" w14:textId="77777777" w:rsidR="003A71DE" w:rsidRPr="00EA3B97" w:rsidRDefault="003A71DE" w:rsidP="007835E8">
            <w:pPr>
              <w:pStyle w:val="TAC"/>
              <w:rPr>
                <w:rFonts w:eastAsiaTheme="minorEastAsia"/>
                <w:lang w:eastAsia="zh-CN"/>
              </w:rPr>
            </w:pPr>
            <w:r w:rsidRPr="00EA3B97">
              <w:rPr>
                <w:rFonts w:eastAsiaTheme="minorEastAsia"/>
                <w:lang w:eastAsia="zh-CN"/>
              </w:rPr>
              <w:t>32 for SCS = 120KHz</w:t>
            </w:r>
          </w:p>
        </w:tc>
      </w:tr>
      <w:tr w:rsidR="003A71DE" w:rsidRPr="00EA3B97" w14:paraId="03412485" w14:textId="77777777" w:rsidTr="003A71DE">
        <w:trPr>
          <w:jc w:val="center"/>
        </w:trPr>
        <w:tc>
          <w:tcPr>
            <w:tcW w:w="7567" w:type="dxa"/>
            <w:gridSpan w:val="5"/>
            <w:tcBorders>
              <w:top w:val="single" w:sz="4" w:space="0" w:color="auto"/>
              <w:left w:val="single" w:sz="4" w:space="0" w:color="auto"/>
              <w:bottom w:val="single" w:sz="4" w:space="0" w:color="auto"/>
              <w:right w:val="single" w:sz="4" w:space="0" w:color="auto"/>
            </w:tcBorders>
            <w:hideMark/>
          </w:tcPr>
          <w:p w14:paraId="2EC66F06" w14:textId="77777777" w:rsidR="003A71DE" w:rsidRPr="00EA3B97" w:rsidRDefault="003A71DE" w:rsidP="007835E8">
            <w:pPr>
              <w:pStyle w:val="TAN"/>
              <w:rPr>
                <w:rFonts w:eastAsiaTheme="minorEastAsia"/>
              </w:rPr>
            </w:pPr>
            <w:r w:rsidRPr="00EA3B97">
              <w:rPr>
                <w:rFonts w:eastAsiaTheme="minorEastAsia"/>
                <w:lang w:eastAsia="zh-CN"/>
              </w:rPr>
              <w:t>Note 1:</w:t>
            </w:r>
            <w:r w:rsidRPr="00EA3B97">
              <w:rPr>
                <w:rFonts w:eastAsiaTheme="minorEastAsia"/>
                <w:lang w:eastAsia="zh-CN"/>
              </w:rPr>
              <w:tab/>
            </w:r>
            <w:r w:rsidRPr="00EA3B97">
              <w:rPr>
                <w:rFonts w:eastAsiaTheme="minorEastAsia"/>
              </w:rPr>
              <w:t>RB</w:t>
            </w:r>
            <w:r w:rsidRPr="00EA3B97">
              <w:rPr>
                <w:rFonts w:eastAsiaTheme="minorEastAsia"/>
                <w:vertAlign w:val="subscript"/>
              </w:rPr>
              <w:t xml:space="preserve">b </w:t>
            </w:r>
            <w:r w:rsidRPr="00EA3B97">
              <w:rPr>
                <w:rFonts w:eastAsiaTheme="minorEastAsia"/>
              </w:rPr>
              <w:t>is the lowest PRB index to guarantee the BWP not fully overlapped with SSB PRB index (RB</w:t>
            </w:r>
            <w:r w:rsidRPr="00EA3B97">
              <w:rPr>
                <w:rFonts w:eastAsiaTheme="minorEastAsia"/>
                <w:vertAlign w:val="subscript"/>
              </w:rPr>
              <w:t>J</w:t>
            </w:r>
            <w:r w:rsidRPr="00EA3B97">
              <w:rPr>
                <w:rFonts w:eastAsiaTheme="minorEastAsia"/>
              </w:rPr>
              <w:t>, RB</w:t>
            </w:r>
            <w:r w:rsidRPr="00EA3B97">
              <w:rPr>
                <w:rFonts w:eastAsiaTheme="minorEastAsia"/>
                <w:vertAlign w:val="subscript"/>
              </w:rPr>
              <w:t>J+1</w:t>
            </w:r>
            <w:r w:rsidRPr="00EA3B97">
              <w:rPr>
                <w:rFonts w:eastAsiaTheme="minorEastAsia"/>
              </w:rPr>
              <w:t>,.…, RB</w:t>
            </w:r>
            <w:r w:rsidRPr="00EA3B97">
              <w:rPr>
                <w:rFonts w:eastAsiaTheme="minorEastAsia"/>
                <w:vertAlign w:val="subscript"/>
              </w:rPr>
              <w:t>J+19</w:t>
            </w:r>
            <w:r w:rsidRPr="00EA3B97">
              <w:rPr>
                <w:rFonts w:eastAsiaTheme="minorEastAsia"/>
              </w:rPr>
              <w:t>) which is defined in Clause G.1.5.</w:t>
            </w:r>
          </w:p>
          <w:p w14:paraId="0D9E0C0E" w14:textId="77777777" w:rsidR="003A71DE" w:rsidRPr="00EA3B97" w:rsidRDefault="003A71DE" w:rsidP="007835E8">
            <w:pPr>
              <w:pStyle w:val="TAN"/>
              <w:rPr>
                <w:rFonts w:eastAsiaTheme="minorEastAsia"/>
                <w:lang w:eastAsia="zh-CN"/>
              </w:rPr>
            </w:pPr>
            <w:r w:rsidRPr="00EA3B97">
              <w:rPr>
                <w:rFonts w:eastAsiaTheme="minorEastAsia"/>
                <w:lang w:eastAsia="zh-CN"/>
              </w:rPr>
              <w:t>Note 2:</w:t>
            </w:r>
            <w:r w:rsidRPr="00EA3B97">
              <w:rPr>
                <w:rFonts w:eastAsiaTheme="minorEastAsia"/>
                <w:lang w:eastAsia="zh-CN"/>
              </w:rPr>
              <w:tab/>
            </w:r>
            <w:r w:rsidRPr="00EA3B97">
              <w:rPr>
                <w:rFonts w:eastAsiaTheme="minorEastAsia"/>
              </w:rPr>
              <w:t>RB</w:t>
            </w:r>
            <w:r w:rsidRPr="00EA3B97">
              <w:rPr>
                <w:rFonts w:eastAsiaTheme="minorEastAsia"/>
                <w:vertAlign w:val="subscript"/>
              </w:rPr>
              <w:t xml:space="preserve">a </w:t>
            </w:r>
            <w:r w:rsidRPr="00EA3B97">
              <w:rPr>
                <w:rFonts w:eastAsiaTheme="minorEastAsia"/>
              </w:rPr>
              <w:t>is the lowest PRB index to guarantee the BWP including SSB PRB index (RB</w:t>
            </w:r>
            <w:r w:rsidRPr="00EA3B97">
              <w:rPr>
                <w:rFonts w:eastAsiaTheme="minorEastAsia"/>
                <w:vertAlign w:val="subscript"/>
              </w:rPr>
              <w:t>J</w:t>
            </w:r>
            <w:r w:rsidRPr="00EA3B97">
              <w:rPr>
                <w:rFonts w:eastAsiaTheme="minorEastAsia"/>
              </w:rPr>
              <w:t>, RB</w:t>
            </w:r>
            <w:r w:rsidRPr="00EA3B97">
              <w:rPr>
                <w:rFonts w:eastAsiaTheme="minorEastAsia"/>
                <w:vertAlign w:val="subscript"/>
              </w:rPr>
              <w:t>J+1</w:t>
            </w:r>
            <w:r w:rsidRPr="00EA3B97">
              <w:rPr>
                <w:rFonts w:eastAsiaTheme="minorEastAsia"/>
              </w:rPr>
              <w:t>,.…, RB</w:t>
            </w:r>
            <w:r w:rsidRPr="00EA3B97">
              <w:rPr>
                <w:rFonts w:eastAsiaTheme="minorEastAsia"/>
                <w:vertAlign w:val="subscript"/>
              </w:rPr>
              <w:t>J+19</w:t>
            </w:r>
            <w:r w:rsidRPr="00EA3B97">
              <w:rPr>
                <w:rFonts w:eastAsiaTheme="minorEastAsia"/>
              </w:rPr>
              <w:t>) which is defined in Clause G.1.5.</w:t>
            </w:r>
          </w:p>
        </w:tc>
      </w:tr>
    </w:tbl>
    <w:p w14:paraId="7522B4F7" w14:textId="77777777" w:rsidR="003A71DE" w:rsidRPr="00EA3B97" w:rsidRDefault="003A71DE" w:rsidP="003A71DE">
      <w:pPr>
        <w:rPr>
          <w:rFonts w:eastAsiaTheme="minorEastAsia"/>
          <w:snapToGrid w:val="0"/>
        </w:rPr>
      </w:pPr>
    </w:p>
    <w:p w14:paraId="4F855FD8" w14:textId="77777777" w:rsidR="003A71DE" w:rsidRPr="00EA3B97" w:rsidRDefault="003A71DE" w:rsidP="00A153AF">
      <w:pPr>
        <w:pStyle w:val="Heading4"/>
        <w:rPr>
          <w:rFonts w:eastAsiaTheme="minorEastAsia"/>
          <w:snapToGrid w:val="0"/>
        </w:rPr>
      </w:pPr>
      <w:bookmarkStart w:id="9854" w:name="_Toc74583632"/>
      <w:bookmarkStart w:id="9855" w:name="_Toc76542445"/>
      <w:bookmarkStart w:id="9856" w:name="_Toc82450427"/>
      <w:bookmarkStart w:id="9857" w:name="_Toc82451075"/>
      <w:bookmarkStart w:id="9858" w:name="_Toc89949464"/>
      <w:bookmarkStart w:id="9859" w:name="_Toc98755853"/>
      <w:bookmarkStart w:id="9860" w:name="_Toc98763445"/>
      <w:bookmarkStart w:id="9861" w:name="_Toc106184374"/>
      <w:r w:rsidRPr="00EA3B97">
        <w:rPr>
          <w:rFonts w:eastAsiaTheme="minorEastAsia"/>
          <w:snapToGrid w:val="0"/>
        </w:rPr>
        <w:t>G.1.4.3</w:t>
      </w:r>
      <w:r w:rsidRPr="00EA3B97">
        <w:rPr>
          <w:rFonts w:eastAsiaTheme="minorEastAsia"/>
          <w:snapToGrid w:val="0"/>
        </w:rPr>
        <w:tab/>
        <w:t>Uplink BWP configurations</w:t>
      </w:r>
      <w:bookmarkEnd w:id="9854"/>
      <w:bookmarkEnd w:id="9855"/>
      <w:bookmarkEnd w:id="9856"/>
      <w:bookmarkEnd w:id="9857"/>
      <w:bookmarkEnd w:id="9858"/>
      <w:bookmarkEnd w:id="9859"/>
      <w:bookmarkEnd w:id="9860"/>
      <w:bookmarkEnd w:id="9861"/>
    </w:p>
    <w:p w14:paraId="4ABAB277" w14:textId="77777777" w:rsidR="003A71DE" w:rsidRPr="00EA3B97" w:rsidRDefault="003A71DE" w:rsidP="00A153AF">
      <w:pPr>
        <w:pStyle w:val="Heading5"/>
        <w:rPr>
          <w:rFonts w:eastAsiaTheme="minorEastAsia"/>
          <w:snapToGrid w:val="0"/>
        </w:rPr>
      </w:pPr>
      <w:bookmarkStart w:id="9862" w:name="_Toc74583633"/>
      <w:bookmarkStart w:id="9863" w:name="_Toc76542446"/>
      <w:bookmarkStart w:id="9864" w:name="_Toc82450428"/>
      <w:bookmarkStart w:id="9865" w:name="_Toc82451076"/>
      <w:bookmarkStart w:id="9866" w:name="_Toc89949465"/>
      <w:bookmarkStart w:id="9867" w:name="_Toc98755854"/>
      <w:bookmarkStart w:id="9868" w:name="_Toc98763446"/>
      <w:bookmarkStart w:id="9869" w:name="_Toc106184375"/>
      <w:r w:rsidRPr="00EA3B97">
        <w:rPr>
          <w:rFonts w:eastAsiaTheme="minorEastAsia"/>
          <w:snapToGrid w:val="0"/>
        </w:rPr>
        <w:t>G.1.4.3.1</w:t>
      </w:r>
      <w:r w:rsidRPr="00EA3B97">
        <w:rPr>
          <w:rFonts w:eastAsiaTheme="minorEastAsia"/>
          <w:snapToGrid w:val="0"/>
        </w:rPr>
        <w:tab/>
        <w:t>Initial BWP</w:t>
      </w:r>
      <w:bookmarkEnd w:id="9862"/>
      <w:bookmarkEnd w:id="9863"/>
      <w:bookmarkEnd w:id="9864"/>
      <w:bookmarkEnd w:id="9865"/>
      <w:bookmarkEnd w:id="9866"/>
      <w:bookmarkEnd w:id="9867"/>
      <w:bookmarkEnd w:id="9868"/>
      <w:bookmarkEnd w:id="9869"/>
    </w:p>
    <w:p w14:paraId="775D66A1" w14:textId="77777777" w:rsidR="003A71DE" w:rsidRPr="00EA3B97" w:rsidRDefault="003A71DE" w:rsidP="00BA0D24">
      <w:pPr>
        <w:pStyle w:val="TH"/>
        <w:rPr>
          <w:rFonts w:eastAsiaTheme="minorEastAsia"/>
        </w:rPr>
      </w:pPr>
      <w:r w:rsidRPr="00EA3B97">
        <w:rPr>
          <w:rFonts w:eastAsiaTheme="minorEastAsia"/>
        </w:rPr>
        <w:t>Table G.1.4.3.1-1: Uplink BWP patterns for initial BWP configuration</w:t>
      </w:r>
    </w:p>
    <w:tbl>
      <w:tblPr>
        <w:tblW w:w="75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8"/>
        <w:gridCol w:w="637"/>
        <w:gridCol w:w="1646"/>
        <w:gridCol w:w="1777"/>
        <w:gridCol w:w="1719"/>
      </w:tblGrid>
      <w:tr w:rsidR="003A71DE" w:rsidRPr="00EA3B97" w14:paraId="1B9EF413" w14:textId="77777777" w:rsidTr="003A71DE">
        <w:trPr>
          <w:jc w:val="center"/>
        </w:trPr>
        <w:tc>
          <w:tcPr>
            <w:tcW w:w="1788" w:type="dxa"/>
            <w:tcBorders>
              <w:top w:val="single" w:sz="4" w:space="0" w:color="auto"/>
              <w:left w:val="single" w:sz="4" w:space="0" w:color="auto"/>
              <w:bottom w:val="single" w:sz="4" w:space="0" w:color="auto"/>
              <w:right w:val="single" w:sz="4" w:space="0" w:color="auto"/>
            </w:tcBorders>
            <w:hideMark/>
          </w:tcPr>
          <w:p w14:paraId="553721CD" w14:textId="77777777" w:rsidR="003A71DE" w:rsidRPr="00EA3B97" w:rsidRDefault="003A71DE" w:rsidP="007835E8">
            <w:pPr>
              <w:pStyle w:val="TAH"/>
              <w:rPr>
                <w:rFonts w:eastAsiaTheme="minorEastAsia"/>
              </w:rPr>
            </w:pPr>
            <w:r w:rsidRPr="00EA3B97">
              <w:rPr>
                <w:rFonts w:eastAsiaTheme="minorEastAsia"/>
              </w:rPr>
              <w:t>BWP Parameters</w:t>
            </w:r>
          </w:p>
        </w:tc>
        <w:tc>
          <w:tcPr>
            <w:tcW w:w="637" w:type="dxa"/>
            <w:tcBorders>
              <w:top w:val="single" w:sz="4" w:space="0" w:color="auto"/>
              <w:left w:val="single" w:sz="4" w:space="0" w:color="auto"/>
              <w:bottom w:val="single" w:sz="4" w:space="0" w:color="auto"/>
              <w:right w:val="single" w:sz="4" w:space="0" w:color="auto"/>
            </w:tcBorders>
            <w:hideMark/>
          </w:tcPr>
          <w:p w14:paraId="3F18A44B" w14:textId="77777777" w:rsidR="003A71DE" w:rsidRPr="00EA3B97" w:rsidRDefault="003A71DE" w:rsidP="007835E8">
            <w:pPr>
              <w:pStyle w:val="TAH"/>
              <w:rPr>
                <w:rFonts w:eastAsiaTheme="minorEastAsia"/>
              </w:rPr>
            </w:pPr>
            <w:r w:rsidRPr="00EA3B97">
              <w:rPr>
                <w:rFonts w:eastAsiaTheme="minorEastAsia"/>
              </w:rPr>
              <w:t>Unit</w:t>
            </w:r>
          </w:p>
        </w:tc>
        <w:tc>
          <w:tcPr>
            <w:tcW w:w="5142" w:type="dxa"/>
            <w:gridSpan w:val="3"/>
            <w:tcBorders>
              <w:top w:val="single" w:sz="4" w:space="0" w:color="auto"/>
              <w:left w:val="single" w:sz="4" w:space="0" w:color="auto"/>
              <w:bottom w:val="single" w:sz="4" w:space="0" w:color="auto"/>
              <w:right w:val="single" w:sz="4" w:space="0" w:color="auto"/>
            </w:tcBorders>
            <w:hideMark/>
          </w:tcPr>
          <w:p w14:paraId="2F639D86" w14:textId="77777777" w:rsidR="003A71DE" w:rsidRPr="00EA3B97" w:rsidRDefault="003A71DE" w:rsidP="007835E8">
            <w:pPr>
              <w:pStyle w:val="TAH"/>
              <w:rPr>
                <w:rFonts w:eastAsiaTheme="minorEastAsia"/>
              </w:rPr>
            </w:pPr>
            <w:r w:rsidRPr="00EA3B97">
              <w:rPr>
                <w:rFonts w:eastAsiaTheme="minorEastAsia"/>
              </w:rPr>
              <w:t>Values</w:t>
            </w:r>
          </w:p>
        </w:tc>
      </w:tr>
      <w:tr w:rsidR="003A71DE" w:rsidRPr="00EA3B97" w14:paraId="7DD3BD20" w14:textId="77777777" w:rsidTr="003A71DE">
        <w:trPr>
          <w:jc w:val="center"/>
        </w:trPr>
        <w:tc>
          <w:tcPr>
            <w:tcW w:w="1788" w:type="dxa"/>
            <w:tcBorders>
              <w:top w:val="single" w:sz="4" w:space="0" w:color="auto"/>
              <w:left w:val="single" w:sz="4" w:space="0" w:color="auto"/>
              <w:bottom w:val="single" w:sz="4" w:space="0" w:color="auto"/>
              <w:right w:val="single" w:sz="4" w:space="0" w:color="auto"/>
            </w:tcBorders>
            <w:hideMark/>
          </w:tcPr>
          <w:p w14:paraId="3C0640F0" w14:textId="77777777" w:rsidR="003A71DE" w:rsidRPr="00EA3B97" w:rsidRDefault="003A71DE" w:rsidP="007835E8">
            <w:pPr>
              <w:pStyle w:val="TAL"/>
              <w:rPr>
                <w:rFonts w:eastAsiaTheme="minorEastAsia"/>
              </w:rPr>
            </w:pPr>
            <w:r w:rsidRPr="00EA3B97">
              <w:rPr>
                <w:rFonts w:eastAsiaTheme="minorEastAsia"/>
                <w:lang w:eastAsia="zh-CN"/>
              </w:rPr>
              <w:t>Reference BWP</w:t>
            </w:r>
          </w:p>
        </w:tc>
        <w:tc>
          <w:tcPr>
            <w:tcW w:w="637" w:type="dxa"/>
            <w:tcBorders>
              <w:top w:val="single" w:sz="4" w:space="0" w:color="auto"/>
              <w:left w:val="single" w:sz="4" w:space="0" w:color="auto"/>
              <w:bottom w:val="single" w:sz="4" w:space="0" w:color="auto"/>
              <w:right w:val="single" w:sz="4" w:space="0" w:color="auto"/>
            </w:tcBorders>
          </w:tcPr>
          <w:p w14:paraId="56F60E54" w14:textId="77777777" w:rsidR="003A71DE" w:rsidRPr="00EA3B97" w:rsidRDefault="003A71DE" w:rsidP="007835E8">
            <w:pPr>
              <w:pStyle w:val="TAC"/>
              <w:rPr>
                <w:rFonts w:eastAsiaTheme="minorEastAsia"/>
                <w:lang w:eastAsia="zh-CN"/>
              </w:rPr>
            </w:pPr>
          </w:p>
        </w:tc>
        <w:tc>
          <w:tcPr>
            <w:tcW w:w="1646" w:type="dxa"/>
            <w:tcBorders>
              <w:top w:val="single" w:sz="4" w:space="0" w:color="auto"/>
              <w:left w:val="single" w:sz="4" w:space="0" w:color="auto"/>
              <w:bottom w:val="single" w:sz="4" w:space="0" w:color="auto"/>
              <w:right w:val="single" w:sz="4" w:space="0" w:color="auto"/>
            </w:tcBorders>
            <w:hideMark/>
          </w:tcPr>
          <w:p w14:paraId="38908FDF" w14:textId="77777777" w:rsidR="003A71DE" w:rsidRPr="00EA3B97" w:rsidRDefault="003A71DE" w:rsidP="007835E8">
            <w:pPr>
              <w:pStyle w:val="TAC"/>
              <w:rPr>
                <w:rFonts w:eastAsiaTheme="minorEastAsia"/>
                <w:lang w:eastAsia="zh-CN"/>
              </w:rPr>
            </w:pPr>
            <w:r w:rsidRPr="00EA3B97">
              <w:rPr>
                <w:rFonts w:eastAsiaTheme="minorEastAsia"/>
                <w:lang w:eastAsia="zh-CN"/>
              </w:rPr>
              <w:t>ULBWP.0.1</w:t>
            </w:r>
          </w:p>
        </w:tc>
        <w:tc>
          <w:tcPr>
            <w:tcW w:w="1777" w:type="dxa"/>
            <w:tcBorders>
              <w:top w:val="single" w:sz="4" w:space="0" w:color="auto"/>
              <w:left w:val="single" w:sz="4" w:space="0" w:color="auto"/>
              <w:bottom w:val="single" w:sz="4" w:space="0" w:color="auto"/>
              <w:right w:val="single" w:sz="4" w:space="0" w:color="auto"/>
            </w:tcBorders>
            <w:hideMark/>
          </w:tcPr>
          <w:p w14:paraId="1CEC324F" w14:textId="77777777" w:rsidR="003A71DE" w:rsidRPr="00EA3B97" w:rsidRDefault="003A71DE" w:rsidP="007835E8">
            <w:pPr>
              <w:pStyle w:val="TAC"/>
              <w:rPr>
                <w:rFonts w:eastAsiaTheme="minorEastAsia"/>
                <w:lang w:eastAsia="zh-CN"/>
              </w:rPr>
            </w:pPr>
            <w:r w:rsidRPr="00EA3B97">
              <w:rPr>
                <w:rFonts w:eastAsiaTheme="minorEastAsia"/>
                <w:lang w:eastAsia="zh-CN"/>
              </w:rPr>
              <w:t>ULBWP.0.2</w:t>
            </w:r>
          </w:p>
        </w:tc>
        <w:tc>
          <w:tcPr>
            <w:tcW w:w="1719" w:type="dxa"/>
            <w:tcBorders>
              <w:top w:val="single" w:sz="4" w:space="0" w:color="auto"/>
              <w:left w:val="single" w:sz="4" w:space="0" w:color="auto"/>
              <w:bottom w:val="single" w:sz="4" w:space="0" w:color="auto"/>
              <w:right w:val="single" w:sz="4" w:space="0" w:color="auto"/>
            </w:tcBorders>
          </w:tcPr>
          <w:p w14:paraId="2C52C170" w14:textId="77777777" w:rsidR="003A71DE" w:rsidRPr="00EA3B97" w:rsidRDefault="003A71DE" w:rsidP="007835E8">
            <w:pPr>
              <w:pStyle w:val="TAC"/>
              <w:rPr>
                <w:rFonts w:eastAsiaTheme="minorEastAsia"/>
                <w:lang w:eastAsia="zh-CN"/>
              </w:rPr>
            </w:pPr>
          </w:p>
        </w:tc>
      </w:tr>
      <w:tr w:rsidR="003A71DE" w:rsidRPr="00EA3B97" w14:paraId="40EDF62C" w14:textId="77777777" w:rsidTr="003A71DE">
        <w:trPr>
          <w:jc w:val="center"/>
        </w:trPr>
        <w:tc>
          <w:tcPr>
            <w:tcW w:w="1788" w:type="dxa"/>
            <w:tcBorders>
              <w:top w:val="single" w:sz="4" w:space="0" w:color="auto"/>
              <w:left w:val="single" w:sz="4" w:space="0" w:color="auto"/>
              <w:bottom w:val="single" w:sz="4" w:space="0" w:color="auto"/>
              <w:right w:val="single" w:sz="4" w:space="0" w:color="auto"/>
            </w:tcBorders>
            <w:hideMark/>
          </w:tcPr>
          <w:p w14:paraId="3F0B73DB" w14:textId="77777777" w:rsidR="003A71DE" w:rsidRPr="00EA3B97" w:rsidRDefault="003A71DE" w:rsidP="007835E8">
            <w:pPr>
              <w:pStyle w:val="TAL"/>
              <w:rPr>
                <w:rFonts w:eastAsiaTheme="minorEastAsia"/>
              </w:rPr>
            </w:pPr>
            <w:r w:rsidRPr="00EA3B97">
              <w:rPr>
                <w:rFonts w:eastAsiaTheme="minorEastAsia"/>
              </w:rPr>
              <w:t>Starting PRB index</w:t>
            </w:r>
          </w:p>
        </w:tc>
        <w:tc>
          <w:tcPr>
            <w:tcW w:w="637" w:type="dxa"/>
            <w:tcBorders>
              <w:top w:val="single" w:sz="4" w:space="0" w:color="auto"/>
              <w:left w:val="single" w:sz="4" w:space="0" w:color="auto"/>
              <w:bottom w:val="single" w:sz="4" w:space="0" w:color="auto"/>
              <w:right w:val="single" w:sz="4" w:space="0" w:color="auto"/>
            </w:tcBorders>
          </w:tcPr>
          <w:p w14:paraId="35685C85" w14:textId="77777777" w:rsidR="003A71DE" w:rsidRPr="00EA3B97" w:rsidRDefault="003A71DE" w:rsidP="007835E8">
            <w:pPr>
              <w:pStyle w:val="TAC"/>
              <w:rPr>
                <w:rFonts w:eastAsiaTheme="minorEastAsia"/>
                <w:lang w:eastAsia="zh-CN"/>
              </w:rPr>
            </w:pPr>
          </w:p>
        </w:tc>
        <w:tc>
          <w:tcPr>
            <w:tcW w:w="1646" w:type="dxa"/>
            <w:tcBorders>
              <w:top w:val="single" w:sz="4" w:space="0" w:color="auto"/>
              <w:left w:val="single" w:sz="4" w:space="0" w:color="auto"/>
              <w:bottom w:val="single" w:sz="4" w:space="0" w:color="auto"/>
              <w:right w:val="single" w:sz="4" w:space="0" w:color="auto"/>
            </w:tcBorders>
            <w:hideMark/>
          </w:tcPr>
          <w:p w14:paraId="7FB22A7C" w14:textId="77777777" w:rsidR="003A71DE" w:rsidRPr="00EA3B97" w:rsidRDefault="003A71DE" w:rsidP="007835E8">
            <w:pPr>
              <w:pStyle w:val="TAC"/>
              <w:rPr>
                <w:rFonts w:eastAsiaTheme="minorEastAsia"/>
                <w:lang w:eastAsia="zh-CN"/>
              </w:rPr>
            </w:pPr>
            <w:r w:rsidRPr="00EA3B97">
              <w:rPr>
                <w:rFonts w:eastAsiaTheme="minorEastAsia"/>
                <w:lang w:eastAsia="zh-CN"/>
              </w:rPr>
              <w:t>0</w:t>
            </w:r>
          </w:p>
        </w:tc>
        <w:tc>
          <w:tcPr>
            <w:tcW w:w="1777" w:type="dxa"/>
            <w:tcBorders>
              <w:top w:val="single" w:sz="4" w:space="0" w:color="auto"/>
              <w:left w:val="single" w:sz="4" w:space="0" w:color="auto"/>
              <w:bottom w:val="single" w:sz="4" w:space="0" w:color="auto"/>
              <w:right w:val="single" w:sz="4" w:space="0" w:color="auto"/>
            </w:tcBorders>
            <w:hideMark/>
          </w:tcPr>
          <w:p w14:paraId="7114E4E2" w14:textId="77777777" w:rsidR="003A71DE" w:rsidRPr="00EA3B97" w:rsidRDefault="003A71DE" w:rsidP="007835E8">
            <w:pPr>
              <w:pStyle w:val="TAC"/>
              <w:rPr>
                <w:rFonts w:eastAsiaTheme="minorEastAsia"/>
                <w:lang w:eastAsia="zh-CN"/>
              </w:rPr>
            </w:pPr>
            <w:r w:rsidRPr="00EA3B97">
              <w:rPr>
                <w:rFonts w:eastAsiaTheme="minorEastAsia"/>
              </w:rPr>
              <w:t>RB</w:t>
            </w:r>
            <w:r w:rsidRPr="00EA3B97">
              <w:rPr>
                <w:rFonts w:eastAsiaTheme="minorEastAsia"/>
                <w:vertAlign w:val="subscript"/>
              </w:rPr>
              <w:t xml:space="preserve">a </w:t>
            </w:r>
            <w:r w:rsidRPr="00EA3B97">
              <w:rPr>
                <w:rFonts w:eastAsiaTheme="minorEastAsia"/>
                <w:vertAlign w:val="superscript"/>
              </w:rPr>
              <w:t>Note 1</w:t>
            </w:r>
          </w:p>
        </w:tc>
        <w:tc>
          <w:tcPr>
            <w:tcW w:w="1719" w:type="dxa"/>
            <w:tcBorders>
              <w:top w:val="single" w:sz="4" w:space="0" w:color="auto"/>
              <w:left w:val="single" w:sz="4" w:space="0" w:color="auto"/>
              <w:bottom w:val="single" w:sz="4" w:space="0" w:color="auto"/>
              <w:right w:val="single" w:sz="4" w:space="0" w:color="auto"/>
            </w:tcBorders>
          </w:tcPr>
          <w:p w14:paraId="499DAC76" w14:textId="77777777" w:rsidR="003A71DE" w:rsidRPr="00EA3B97" w:rsidRDefault="003A71DE" w:rsidP="007835E8">
            <w:pPr>
              <w:pStyle w:val="TAC"/>
              <w:rPr>
                <w:rFonts w:eastAsiaTheme="minorEastAsia"/>
                <w:lang w:eastAsia="zh-CN"/>
              </w:rPr>
            </w:pPr>
          </w:p>
        </w:tc>
      </w:tr>
      <w:tr w:rsidR="003A71DE" w:rsidRPr="00EA3B97" w14:paraId="4F36CFD4" w14:textId="77777777" w:rsidTr="003A71DE">
        <w:trPr>
          <w:jc w:val="center"/>
        </w:trPr>
        <w:tc>
          <w:tcPr>
            <w:tcW w:w="1788" w:type="dxa"/>
            <w:tcBorders>
              <w:top w:val="single" w:sz="4" w:space="0" w:color="auto"/>
              <w:left w:val="single" w:sz="4" w:space="0" w:color="auto"/>
              <w:bottom w:val="single" w:sz="4" w:space="0" w:color="auto"/>
              <w:right w:val="single" w:sz="4" w:space="0" w:color="auto"/>
            </w:tcBorders>
            <w:hideMark/>
          </w:tcPr>
          <w:p w14:paraId="0409BE85" w14:textId="77777777" w:rsidR="003A71DE" w:rsidRPr="00EA3B97" w:rsidRDefault="003A71DE" w:rsidP="007835E8">
            <w:pPr>
              <w:pStyle w:val="TAL"/>
              <w:rPr>
                <w:rFonts w:eastAsiaTheme="minorEastAsia"/>
              </w:rPr>
            </w:pPr>
            <w:r w:rsidRPr="00EA3B97">
              <w:rPr>
                <w:rFonts w:eastAsiaTheme="minorEastAsia"/>
              </w:rPr>
              <w:t>Bandwidth</w:t>
            </w:r>
          </w:p>
        </w:tc>
        <w:tc>
          <w:tcPr>
            <w:tcW w:w="637" w:type="dxa"/>
            <w:tcBorders>
              <w:top w:val="single" w:sz="4" w:space="0" w:color="auto"/>
              <w:left w:val="single" w:sz="4" w:space="0" w:color="auto"/>
              <w:bottom w:val="single" w:sz="4" w:space="0" w:color="auto"/>
              <w:right w:val="single" w:sz="4" w:space="0" w:color="auto"/>
            </w:tcBorders>
            <w:hideMark/>
          </w:tcPr>
          <w:p w14:paraId="04DEA134"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1646" w:type="dxa"/>
            <w:tcBorders>
              <w:top w:val="single" w:sz="4" w:space="0" w:color="auto"/>
              <w:left w:val="single" w:sz="4" w:space="0" w:color="auto"/>
              <w:bottom w:val="single" w:sz="4" w:space="0" w:color="auto"/>
              <w:right w:val="single" w:sz="4" w:space="0" w:color="auto"/>
            </w:tcBorders>
            <w:hideMark/>
          </w:tcPr>
          <w:p w14:paraId="6BDAF3CC" w14:textId="77777777" w:rsidR="003A71DE" w:rsidRPr="00EA3B97" w:rsidRDefault="003A71DE" w:rsidP="007835E8">
            <w:pPr>
              <w:pStyle w:val="TAC"/>
              <w:rPr>
                <w:rFonts w:eastAsiaTheme="minorEastAsia"/>
                <w:lang w:eastAsia="zh-CN"/>
              </w:rPr>
            </w:pPr>
            <w:r w:rsidRPr="00EA3B97">
              <w:rPr>
                <w:rFonts w:eastAsiaTheme="minorEastAsia"/>
                <w:lang w:eastAsia="zh-CN"/>
              </w:rPr>
              <w:t>Same as RF channel defined in each test</w:t>
            </w:r>
          </w:p>
        </w:tc>
        <w:tc>
          <w:tcPr>
            <w:tcW w:w="1777" w:type="dxa"/>
            <w:tcBorders>
              <w:top w:val="single" w:sz="4" w:space="0" w:color="auto"/>
              <w:left w:val="single" w:sz="4" w:space="0" w:color="auto"/>
              <w:bottom w:val="single" w:sz="4" w:space="0" w:color="auto"/>
              <w:right w:val="single" w:sz="4" w:space="0" w:color="auto"/>
            </w:tcBorders>
            <w:hideMark/>
          </w:tcPr>
          <w:p w14:paraId="49C7C3E2" w14:textId="77777777" w:rsidR="003A71DE" w:rsidRPr="00EA3B97" w:rsidRDefault="003A71DE" w:rsidP="007835E8">
            <w:pPr>
              <w:pStyle w:val="TAC"/>
              <w:rPr>
                <w:rFonts w:eastAsiaTheme="minorEastAsia"/>
                <w:lang w:eastAsia="zh-CN"/>
              </w:rPr>
            </w:pPr>
            <w:r w:rsidRPr="00EA3B97">
              <w:rPr>
                <w:rFonts w:eastAsiaTheme="minorEastAsia"/>
                <w:lang w:eastAsia="zh-CN"/>
              </w:rPr>
              <w:t>same as RMSI CORESET (CORESET #0) defined in each test</w:t>
            </w:r>
          </w:p>
        </w:tc>
        <w:tc>
          <w:tcPr>
            <w:tcW w:w="1719" w:type="dxa"/>
            <w:tcBorders>
              <w:top w:val="single" w:sz="4" w:space="0" w:color="auto"/>
              <w:left w:val="single" w:sz="4" w:space="0" w:color="auto"/>
              <w:bottom w:val="single" w:sz="4" w:space="0" w:color="auto"/>
              <w:right w:val="single" w:sz="4" w:space="0" w:color="auto"/>
            </w:tcBorders>
          </w:tcPr>
          <w:p w14:paraId="0FB288CD" w14:textId="77777777" w:rsidR="003A71DE" w:rsidRPr="00EA3B97" w:rsidRDefault="003A71DE" w:rsidP="007835E8">
            <w:pPr>
              <w:pStyle w:val="TAC"/>
              <w:rPr>
                <w:rFonts w:eastAsiaTheme="minorEastAsia"/>
                <w:lang w:eastAsia="zh-CN"/>
              </w:rPr>
            </w:pPr>
          </w:p>
        </w:tc>
      </w:tr>
      <w:tr w:rsidR="003A71DE" w:rsidRPr="00EA3B97" w14:paraId="32879DAE" w14:textId="77777777" w:rsidTr="003A71DE">
        <w:trPr>
          <w:jc w:val="center"/>
        </w:trPr>
        <w:tc>
          <w:tcPr>
            <w:tcW w:w="7567" w:type="dxa"/>
            <w:gridSpan w:val="5"/>
            <w:tcBorders>
              <w:top w:val="single" w:sz="4" w:space="0" w:color="auto"/>
              <w:left w:val="single" w:sz="4" w:space="0" w:color="auto"/>
              <w:bottom w:val="single" w:sz="4" w:space="0" w:color="auto"/>
              <w:right w:val="single" w:sz="4" w:space="0" w:color="auto"/>
            </w:tcBorders>
            <w:hideMark/>
          </w:tcPr>
          <w:p w14:paraId="04CFCA11" w14:textId="77777777" w:rsidR="003A71DE" w:rsidRPr="00EA3B97" w:rsidRDefault="003A71DE" w:rsidP="007835E8">
            <w:pPr>
              <w:pStyle w:val="TAN"/>
              <w:rPr>
                <w:rFonts w:eastAsiaTheme="minorEastAsia"/>
                <w:lang w:eastAsia="zh-CN"/>
              </w:rPr>
            </w:pPr>
            <w:r w:rsidRPr="007835E8">
              <w:t>Note 1:</w:t>
            </w:r>
            <w:r w:rsidRPr="007835E8">
              <w:tab/>
              <w:t>RB</w:t>
            </w:r>
            <w:r w:rsidRPr="007835E8">
              <w:rPr>
                <w:vertAlign w:val="subscript"/>
              </w:rPr>
              <w:t xml:space="preserve">a </w:t>
            </w:r>
            <w:r w:rsidRPr="007835E8">
              <w:t>is</w:t>
            </w:r>
            <w:r w:rsidRPr="00EA3B97">
              <w:rPr>
                <w:rFonts w:eastAsiaTheme="minorEastAsia"/>
              </w:rPr>
              <w:t xml:space="preserve"> same as RB</w:t>
            </w:r>
            <w:r w:rsidRPr="00EA3B97">
              <w:rPr>
                <w:rFonts w:eastAsiaTheme="minorEastAsia"/>
                <w:vertAlign w:val="subscript"/>
              </w:rPr>
              <w:t>a</w:t>
            </w:r>
            <w:r w:rsidRPr="00EA3B97">
              <w:rPr>
                <w:rFonts w:eastAsiaTheme="minorEastAsia"/>
              </w:rPr>
              <w:t xml:space="preserve"> for </w:t>
            </w:r>
            <w:r w:rsidRPr="00EA3B97">
              <w:rPr>
                <w:rFonts w:eastAsiaTheme="minorEastAsia"/>
                <w:lang w:eastAsia="zh-CN"/>
              </w:rPr>
              <w:t>DLBWP.0.2 as defined in Table G.1.4.2.1-1</w:t>
            </w:r>
            <w:r w:rsidRPr="00EA3B97">
              <w:rPr>
                <w:rFonts w:eastAsiaTheme="minorEastAsia"/>
              </w:rPr>
              <w:t>.</w:t>
            </w:r>
          </w:p>
        </w:tc>
      </w:tr>
    </w:tbl>
    <w:p w14:paraId="17B8FC32" w14:textId="77777777" w:rsidR="003A71DE" w:rsidRPr="00EA3B97" w:rsidRDefault="003A71DE" w:rsidP="003A71DE">
      <w:pPr>
        <w:rPr>
          <w:rFonts w:eastAsia="MS Mincho"/>
          <w:snapToGrid w:val="0"/>
        </w:rPr>
      </w:pPr>
    </w:p>
    <w:p w14:paraId="2EAFD7CB" w14:textId="77777777" w:rsidR="003A71DE" w:rsidRPr="00EA3B97" w:rsidRDefault="003A71DE" w:rsidP="00A153AF">
      <w:pPr>
        <w:pStyle w:val="Heading5"/>
        <w:rPr>
          <w:rFonts w:eastAsiaTheme="minorEastAsia"/>
          <w:snapToGrid w:val="0"/>
        </w:rPr>
      </w:pPr>
      <w:bookmarkStart w:id="9870" w:name="_Toc74583634"/>
      <w:bookmarkStart w:id="9871" w:name="_Toc76542447"/>
      <w:bookmarkStart w:id="9872" w:name="_Toc82450429"/>
      <w:bookmarkStart w:id="9873" w:name="_Toc82451077"/>
      <w:bookmarkStart w:id="9874" w:name="_Toc89949466"/>
      <w:bookmarkStart w:id="9875" w:name="_Toc98755855"/>
      <w:bookmarkStart w:id="9876" w:name="_Toc98763447"/>
      <w:bookmarkStart w:id="9877" w:name="_Toc106184376"/>
      <w:r w:rsidRPr="00EA3B97">
        <w:rPr>
          <w:rFonts w:eastAsiaTheme="minorEastAsia"/>
          <w:snapToGrid w:val="0"/>
        </w:rPr>
        <w:lastRenderedPageBreak/>
        <w:t>G.1.4.3.2</w:t>
      </w:r>
      <w:r w:rsidRPr="00EA3B97">
        <w:rPr>
          <w:rFonts w:eastAsiaTheme="minorEastAsia"/>
          <w:snapToGrid w:val="0"/>
        </w:rPr>
        <w:tab/>
        <w:t>Dedicated BWP</w:t>
      </w:r>
      <w:bookmarkEnd w:id="9870"/>
      <w:bookmarkEnd w:id="9871"/>
      <w:bookmarkEnd w:id="9872"/>
      <w:bookmarkEnd w:id="9873"/>
      <w:bookmarkEnd w:id="9874"/>
      <w:bookmarkEnd w:id="9875"/>
      <w:bookmarkEnd w:id="9876"/>
      <w:bookmarkEnd w:id="9877"/>
    </w:p>
    <w:p w14:paraId="2AF6411E" w14:textId="77777777" w:rsidR="003A71DE" w:rsidRPr="00EA3B97" w:rsidRDefault="003A71DE" w:rsidP="00BA0D24">
      <w:pPr>
        <w:pStyle w:val="TH"/>
        <w:rPr>
          <w:rFonts w:eastAsiaTheme="minorEastAsia"/>
        </w:rPr>
      </w:pPr>
      <w:r w:rsidRPr="00EA3B97">
        <w:rPr>
          <w:rFonts w:eastAsiaTheme="minorEastAsia"/>
        </w:rPr>
        <w:t>Table G.1.4.3.2-1: Uplink BWP patterns for dedicated BWP configuration</w:t>
      </w:r>
    </w:p>
    <w:tbl>
      <w:tblPr>
        <w:tblW w:w="75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9"/>
        <w:gridCol w:w="640"/>
        <w:gridCol w:w="1665"/>
        <w:gridCol w:w="1686"/>
        <w:gridCol w:w="1777"/>
      </w:tblGrid>
      <w:tr w:rsidR="003A71DE" w:rsidRPr="00EA3B97" w14:paraId="62342C2E"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442CE27B" w14:textId="77777777" w:rsidR="003A71DE" w:rsidRPr="00EA3B97" w:rsidRDefault="003A71DE" w:rsidP="007835E8">
            <w:pPr>
              <w:pStyle w:val="TAH"/>
              <w:rPr>
                <w:rFonts w:eastAsiaTheme="minorEastAsia"/>
              </w:rPr>
            </w:pPr>
            <w:r w:rsidRPr="00EA3B97">
              <w:rPr>
                <w:rFonts w:eastAsiaTheme="minorEastAsia"/>
              </w:rPr>
              <w:t>BWP Parameters</w:t>
            </w:r>
          </w:p>
        </w:tc>
        <w:tc>
          <w:tcPr>
            <w:tcW w:w="640" w:type="dxa"/>
            <w:tcBorders>
              <w:top w:val="single" w:sz="4" w:space="0" w:color="auto"/>
              <w:left w:val="single" w:sz="4" w:space="0" w:color="auto"/>
              <w:bottom w:val="single" w:sz="4" w:space="0" w:color="auto"/>
              <w:right w:val="single" w:sz="4" w:space="0" w:color="auto"/>
            </w:tcBorders>
            <w:hideMark/>
          </w:tcPr>
          <w:p w14:paraId="08F96693" w14:textId="77777777" w:rsidR="003A71DE" w:rsidRPr="00EA3B97" w:rsidRDefault="003A71DE" w:rsidP="007835E8">
            <w:pPr>
              <w:pStyle w:val="TAH"/>
              <w:rPr>
                <w:rFonts w:eastAsiaTheme="minorEastAsia"/>
              </w:rPr>
            </w:pPr>
            <w:r w:rsidRPr="00EA3B97">
              <w:rPr>
                <w:rFonts w:eastAsiaTheme="minorEastAsia"/>
              </w:rPr>
              <w:t>Unit</w:t>
            </w:r>
          </w:p>
        </w:tc>
        <w:tc>
          <w:tcPr>
            <w:tcW w:w="5128" w:type="dxa"/>
            <w:gridSpan w:val="3"/>
            <w:tcBorders>
              <w:top w:val="single" w:sz="4" w:space="0" w:color="auto"/>
              <w:left w:val="single" w:sz="4" w:space="0" w:color="auto"/>
              <w:bottom w:val="single" w:sz="4" w:space="0" w:color="auto"/>
              <w:right w:val="single" w:sz="4" w:space="0" w:color="auto"/>
            </w:tcBorders>
            <w:hideMark/>
          </w:tcPr>
          <w:p w14:paraId="62E0B95E" w14:textId="77777777" w:rsidR="003A71DE" w:rsidRPr="00EA3B97" w:rsidRDefault="003A71DE" w:rsidP="007835E8">
            <w:pPr>
              <w:pStyle w:val="TAH"/>
              <w:rPr>
                <w:rFonts w:eastAsiaTheme="minorEastAsia"/>
              </w:rPr>
            </w:pPr>
            <w:r w:rsidRPr="00EA3B97">
              <w:rPr>
                <w:rFonts w:eastAsiaTheme="minorEastAsia"/>
              </w:rPr>
              <w:t>Values</w:t>
            </w:r>
          </w:p>
        </w:tc>
      </w:tr>
      <w:tr w:rsidR="003A71DE" w:rsidRPr="00EA3B97" w14:paraId="1C3143C8"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068FC32C" w14:textId="77777777" w:rsidR="003A71DE" w:rsidRPr="00EA3B97" w:rsidRDefault="003A71DE" w:rsidP="007835E8">
            <w:pPr>
              <w:pStyle w:val="TAL"/>
              <w:rPr>
                <w:rFonts w:eastAsiaTheme="minorEastAsia"/>
              </w:rPr>
            </w:pPr>
            <w:r w:rsidRPr="00EA3B97">
              <w:rPr>
                <w:rFonts w:eastAsiaTheme="minorEastAsia"/>
                <w:lang w:eastAsia="zh-CN"/>
              </w:rPr>
              <w:t>Reference BWP</w:t>
            </w:r>
          </w:p>
        </w:tc>
        <w:tc>
          <w:tcPr>
            <w:tcW w:w="640" w:type="dxa"/>
            <w:tcBorders>
              <w:top w:val="single" w:sz="4" w:space="0" w:color="auto"/>
              <w:left w:val="single" w:sz="4" w:space="0" w:color="auto"/>
              <w:bottom w:val="single" w:sz="4" w:space="0" w:color="auto"/>
              <w:right w:val="single" w:sz="4" w:space="0" w:color="auto"/>
            </w:tcBorders>
          </w:tcPr>
          <w:p w14:paraId="543F1605" w14:textId="77777777" w:rsidR="003A71DE" w:rsidRPr="00EA3B97" w:rsidRDefault="003A71DE" w:rsidP="007835E8">
            <w:pPr>
              <w:pStyle w:val="TAC"/>
              <w:rPr>
                <w:rFonts w:eastAsiaTheme="minorEastAsia"/>
                <w:lang w:eastAsia="zh-CN"/>
              </w:rPr>
            </w:pPr>
          </w:p>
        </w:tc>
        <w:tc>
          <w:tcPr>
            <w:tcW w:w="1665" w:type="dxa"/>
            <w:tcBorders>
              <w:top w:val="single" w:sz="4" w:space="0" w:color="auto"/>
              <w:left w:val="single" w:sz="4" w:space="0" w:color="auto"/>
              <w:bottom w:val="single" w:sz="4" w:space="0" w:color="auto"/>
              <w:right w:val="single" w:sz="4" w:space="0" w:color="auto"/>
            </w:tcBorders>
            <w:hideMark/>
          </w:tcPr>
          <w:p w14:paraId="133CB003" w14:textId="77777777" w:rsidR="003A71DE" w:rsidRPr="00EA3B97" w:rsidRDefault="003A71DE" w:rsidP="007835E8">
            <w:pPr>
              <w:pStyle w:val="TAC"/>
              <w:rPr>
                <w:rFonts w:eastAsiaTheme="minorEastAsia"/>
                <w:lang w:eastAsia="zh-CN"/>
              </w:rPr>
            </w:pPr>
            <w:r w:rsidRPr="00EA3B97">
              <w:rPr>
                <w:rFonts w:eastAsiaTheme="minorEastAsia"/>
                <w:lang w:eastAsia="zh-CN"/>
              </w:rPr>
              <w:t>ULBWP.1.1</w:t>
            </w:r>
          </w:p>
        </w:tc>
        <w:tc>
          <w:tcPr>
            <w:tcW w:w="1686" w:type="dxa"/>
            <w:tcBorders>
              <w:top w:val="single" w:sz="4" w:space="0" w:color="auto"/>
              <w:left w:val="single" w:sz="4" w:space="0" w:color="auto"/>
              <w:bottom w:val="single" w:sz="4" w:space="0" w:color="auto"/>
              <w:right w:val="single" w:sz="4" w:space="0" w:color="auto"/>
            </w:tcBorders>
            <w:hideMark/>
          </w:tcPr>
          <w:p w14:paraId="1A390FAD" w14:textId="77777777" w:rsidR="003A71DE" w:rsidRPr="00EA3B97" w:rsidRDefault="003A71DE" w:rsidP="007835E8">
            <w:pPr>
              <w:pStyle w:val="TAC"/>
              <w:rPr>
                <w:rFonts w:eastAsiaTheme="minorEastAsia"/>
                <w:lang w:eastAsia="zh-CN"/>
              </w:rPr>
            </w:pPr>
            <w:r w:rsidRPr="00EA3B97">
              <w:rPr>
                <w:rFonts w:eastAsiaTheme="minorEastAsia"/>
                <w:lang w:eastAsia="zh-CN"/>
              </w:rPr>
              <w:t>ULBWP.1.2</w:t>
            </w:r>
          </w:p>
        </w:tc>
        <w:tc>
          <w:tcPr>
            <w:tcW w:w="1777" w:type="dxa"/>
            <w:tcBorders>
              <w:top w:val="single" w:sz="4" w:space="0" w:color="auto"/>
              <w:left w:val="single" w:sz="4" w:space="0" w:color="auto"/>
              <w:bottom w:val="single" w:sz="4" w:space="0" w:color="auto"/>
              <w:right w:val="single" w:sz="4" w:space="0" w:color="auto"/>
            </w:tcBorders>
            <w:hideMark/>
          </w:tcPr>
          <w:p w14:paraId="1A1B1640" w14:textId="77777777" w:rsidR="003A71DE" w:rsidRPr="00EA3B97" w:rsidRDefault="003A71DE" w:rsidP="007835E8">
            <w:pPr>
              <w:pStyle w:val="TAC"/>
              <w:rPr>
                <w:rFonts w:eastAsiaTheme="minorEastAsia"/>
                <w:lang w:eastAsia="zh-CN"/>
              </w:rPr>
            </w:pPr>
            <w:r w:rsidRPr="00EA3B97">
              <w:rPr>
                <w:rFonts w:eastAsiaTheme="minorEastAsia"/>
                <w:lang w:eastAsia="zh-CN"/>
              </w:rPr>
              <w:t>ULBWP.1.3</w:t>
            </w:r>
          </w:p>
        </w:tc>
      </w:tr>
      <w:tr w:rsidR="003A71DE" w:rsidRPr="00EA3B97" w14:paraId="3D02B837"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290221C8" w14:textId="77777777" w:rsidR="003A71DE" w:rsidRPr="00EA3B97" w:rsidRDefault="003A71DE" w:rsidP="007835E8">
            <w:pPr>
              <w:pStyle w:val="TAL"/>
              <w:rPr>
                <w:rFonts w:eastAsiaTheme="minorEastAsia"/>
              </w:rPr>
            </w:pPr>
            <w:r w:rsidRPr="00EA3B97">
              <w:rPr>
                <w:rFonts w:eastAsiaTheme="minorEastAsia"/>
              </w:rPr>
              <w:t>Starting PRB index</w:t>
            </w:r>
          </w:p>
        </w:tc>
        <w:tc>
          <w:tcPr>
            <w:tcW w:w="640" w:type="dxa"/>
            <w:tcBorders>
              <w:top w:val="single" w:sz="4" w:space="0" w:color="auto"/>
              <w:left w:val="single" w:sz="4" w:space="0" w:color="auto"/>
              <w:bottom w:val="single" w:sz="4" w:space="0" w:color="auto"/>
              <w:right w:val="single" w:sz="4" w:space="0" w:color="auto"/>
            </w:tcBorders>
          </w:tcPr>
          <w:p w14:paraId="51D6AC21" w14:textId="77777777" w:rsidR="003A71DE" w:rsidRPr="00EA3B97" w:rsidRDefault="003A71DE" w:rsidP="007835E8">
            <w:pPr>
              <w:pStyle w:val="TAC"/>
              <w:rPr>
                <w:rFonts w:eastAsiaTheme="minorEastAsia"/>
                <w:lang w:eastAsia="zh-CN"/>
              </w:rPr>
            </w:pPr>
          </w:p>
        </w:tc>
        <w:tc>
          <w:tcPr>
            <w:tcW w:w="1665" w:type="dxa"/>
            <w:tcBorders>
              <w:top w:val="single" w:sz="4" w:space="0" w:color="auto"/>
              <w:left w:val="single" w:sz="4" w:space="0" w:color="auto"/>
              <w:bottom w:val="single" w:sz="4" w:space="0" w:color="auto"/>
              <w:right w:val="single" w:sz="4" w:space="0" w:color="auto"/>
            </w:tcBorders>
            <w:hideMark/>
          </w:tcPr>
          <w:p w14:paraId="339649DA" w14:textId="77777777" w:rsidR="003A71DE" w:rsidRPr="00EA3B97" w:rsidRDefault="003A71DE" w:rsidP="007835E8">
            <w:pPr>
              <w:pStyle w:val="TAC"/>
              <w:rPr>
                <w:rFonts w:eastAsiaTheme="minorEastAsia"/>
                <w:lang w:eastAsia="zh-CN"/>
              </w:rPr>
            </w:pPr>
            <w:r w:rsidRPr="00EA3B97">
              <w:rPr>
                <w:rFonts w:eastAsiaTheme="minorEastAsia"/>
                <w:lang w:eastAsia="zh-CN"/>
              </w:rPr>
              <w:t>0</w:t>
            </w:r>
          </w:p>
        </w:tc>
        <w:tc>
          <w:tcPr>
            <w:tcW w:w="1686" w:type="dxa"/>
            <w:tcBorders>
              <w:top w:val="single" w:sz="4" w:space="0" w:color="auto"/>
              <w:left w:val="single" w:sz="4" w:space="0" w:color="auto"/>
              <w:bottom w:val="single" w:sz="4" w:space="0" w:color="auto"/>
              <w:right w:val="single" w:sz="4" w:space="0" w:color="auto"/>
            </w:tcBorders>
            <w:hideMark/>
          </w:tcPr>
          <w:p w14:paraId="279BFE33" w14:textId="77777777" w:rsidR="003A71DE" w:rsidRPr="00EA3B97" w:rsidRDefault="003A71DE" w:rsidP="007835E8">
            <w:pPr>
              <w:pStyle w:val="TAC"/>
              <w:rPr>
                <w:rFonts w:eastAsiaTheme="minorEastAsia"/>
                <w:lang w:eastAsia="zh-CN"/>
              </w:rPr>
            </w:pPr>
            <w:r w:rsidRPr="00EA3B97">
              <w:rPr>
                <w:rFonts w:eastAsiaTheme="minorEastAsia"/>
              </w:rPr>
              <w:t>RB</w:t>
            </w:r>
            <w:r w:rsidRPr="00EA3B97">
              <w:rPr>
                <w:rFonts w:eastAsiaTheme="minorEastAsia"/>
                <w:vertAlign w:val="subscript"/>
              </w:rPr>
              <w:t>b</w:t>
            </w:r>
            <w:r w:rsidRPr="00EA3B97">
              <w:rPr>
                <w:rFonts w:eastAsiaTheme="minorEastAsia"/>
              </w:rPr>
              <w:t xml:space="preserve"> </w:t>
            </w:r>
            <w:r w:rsidRPr="00EA3B97">
              <w:rPr>
                <w:rFonts w:eastAsiaTheme="minorEastAsia"/>
                <w:vertAlign w:val="superscript"/>
              </w:rPr>
              <w:t>Note 1</w:t>
            </w:r>
          </w:p>
        </w:tc>
        <w:tc>
          <w:tcPr>
            <w:tcW w:w="1777" w:type="dxa"/>
            <w:tcBorders>
              <w:top w:val="single" w:sz="4" w:space="0" w:color="auto"/>
              <w:left w:val="single" w:sz="4" w:space="0" w:color="auto"/>
              <w:bottom w:val="single" w:sz="4" w:space="0" w:color="auto"/>
              <w:right w:val="single" w:sz="4" w:space="0" w:color="auto"/>
            </w:tcBorders>
            <w:hideMark/>
          </w:tcPr>
          <w:p w14:paraId="2673A160" w14:textId="77777777" w:rsidR="003A71DE" w:rsidRPr="00EA3B97" w:rsidRDefault="003A71DE" w:rsidP="007835E8">
            <w:pPr>
              <w:pStyle w:val="TAC"/>
              <w:rPr>
                <w:rFonts w:eastAsiaTheme="minorEastAsia"/>
                <w:lang w:eastAsia="zh-CN"/>
              </w:rPr>
            </w:pPr>
            <w:r w:rsidRPr="00EA3B97">
              <w:rPr>
                <w:rFonts w:eastAsiaTheme="minorEastAsia"/>
              </w:rPr>
              <w:t>RB</w:t>
            </w:r>
            <w:r w:rsidRPr="00EA3B97">
              <w:rPr>
                <w:rFonts w:eastAsiaTheme="minorEastAsia"/>
                <w:vertAlign w:val="subscript"/>
              </w:rPr>
              <w:t xml:space="preserve">a </w:t>
            </w:r>
            <w:r w:rsidRPr="00EA3B97">
              <w:rPr>
                <w:rFonts w:eastAsiaTheme="minorEastAsia"/>
                <w:vertAlign w:val="superscript"/>
              </w:rPr>
              <w:t>Note 2</w:t>
            </w:r>
          </w:p>
        </w:tc>
      </w:tr>
      <w:tr w:rsidR="003A71DE" w:rsidRPr="00EA3B97" w14:paraId="7EB217B7" w14:textId="77777777" w:rsidTr="003A71DE">
        <w:trPr>
          <w:jc w:val="center"/>
        </w:trPr>
        <w:tc>
          <w:tcPr>
            <w:tcW w:w="1799" w:type="dxa"/>
            <w:tcBorders>
              <w:top w:val="single" w:sz="4" w:space="0" w:color="auto"/>
              <w:left w:val="single" w:sz="4" w:space="0" w:color="auto"/>
              <w:bottom w:val="single" w:sz="4" w:space="0" w:color="auto"/>
              <w:right w:val="single" w:sz="4" w:space="0" w:color="auto"/>
            </w:tcBorders>
            <w:hideMark/>
          </w:tcPr>
          <w:p w14:paraId="2C61F5BE" w14:textId="77777777" w:rsidR="003A71DE" w:rsidRPr="00EA3B97" w:rsidRDefault="003A71DE" w:rsidP="007835E8">
            <w:pPr>
              <w:pStyle w:val="TAL"/>
              <w:rPr>
                <w:rFonts w:eastAsiaTheme="minorEastAsia"/>
              </w:rPr>
            </w:pPr>
            <w:r w:rsidRPr="00EA3B97">
              <w:rPr>
                <w:rFonts w:eastAsiaTheme="minorEastAsia"/>
              </w:rPr>
              <w:t>Bandwidth</w:t>
            </w:r>
          </w:p>
        </w:tc>
        <w:tc>
          <w:tcPr>
            <w:tcW w:w="640" w:type="dxa"/>
            <w:tcBorders>
              <w:top w:val="single" w:sz="4" w:space="0" w:color="auto"/>
              <w:left w:val="single" w:sz="4" w:space="0" w:color="auto"/>
              <w:bottom w:val="single" w:sz="4" w:space="0" w:color="auto"/>
              <w:right w:val="single" w:sz="4" w:space="0" w:color="auto"/>
            </w:tcBorders>
            <w:hideMark/>
          </w:tcPr>
          <w:p w14:paraId="451D32BF" w14:textId="77777777" w:rsidR="003A71DE" w:rsidRPr="00EA3B97" w:rsidRDefault="003A71DE" w:rsidP="007835E8">
            <w:pPr>
              <w:pStyle w:val="TAC"/>
              <w:rPr>
                <w:rFonts w:eastAsiaTheme="minorEastAsia"/>
                <w:lang w:eastAsia="zh-CN"/>
              </w:rPr>
            </w:pPr>
            <w:r w:rsidRPr="00EA3B97">
              <w:rPr>
                <w:rFonts w:eastAsiaTheme="minorEastAsia"/>
                <w:lang w:eastAsia="zh-CN"/>
              </w:rPr>
              <w:t>RB</w:t>
            </w:r>
          </w:p>
        </w:tc>
        <w:tc>
          <w:tcPr>
            <w:tcW w:w="1665" w:type="dxa"/>
            <w:tcBorders>
              <w:top w:val="single" w:sz="4" w:space="0" w:color="auto"/>
              <w:left w:val="single" w:sz="4" w:space="0" w:color="auto"/>
              <w:bottom w:val="single" w:sz="4" w:space="0" w:color="auto"/>
              <w:right w:val="single" w:sz="4" w:space="0" w:color="auto"/>
            </w:tcBorders>
            <w:hideMark/>
          </w:tcPr>
          <w:p w14:paraId="0C30901F" w14:textId="77777777" w:rsidR="003A71DE" w:rsidRPr="00EA3B97" w:rsidRDefault="003A71DE" w:rsidP="007835E8">
            <w:pPr>
              <w:pStyle w:val="TAC"/>
              <w:rPr>
                <w:rFonts w:eastAsiaTheme="minorEastAsia"/>
                <w:lang w:eastAsia="zh-CN"/>
              </w:rPr>
            </w:pPr>
            <w:r w:rsidRPr="00EA3B97">
              <w:rPr>
                <w:rFonts w:eastAsiaTheme="minorEastAsia"/>
                <w:lang w:eastAsia="zh-CN"/>
              </w:rPr>
              <w:t>Same as RF channel defined in each test</w:t>
            </w:r>
          </w:p>
        </w:tc>
        <w:tc>
          <w:tcPr>
            <w:tcW w:w="1686" w:type="dxa"/>
            <w:tcBorders>
              <w:top w:val="single" w:sz="4" w:space="0" w:color="auto"/>
              <w:left w:val="single" w:sz="4" w:space="0" w:color="auto"/>
              <w:bottom w:val="single" w:sz="4" w:space="0" w:color="auto"/>
              <w:right w:val="single" w:sz="4" w:space="0" w:color="auto"/>
            </w:tcBorders>
            <w:hideMark/>
          </w:tcPr>
          <w:p w14:paraId="3E15BAB8" w14:textId="77777777" w:rsidR="003A71DE" w:rsidRPr="00EA3B97" w:rsidRDefault="003A71DE" w:rsidP="007835E8">
            <w:pPr>
              <w:pStyle w:val="TAC"/>
              <w:rPr>
                <w:rFonts w:eastAsiaTheme="minorEastAsia"/>
                <w:lang w:eastAsia="zh-CN"/>
              </w:rPr>
            </w:pPr>
            <w:r w:rsidRPr="00EA3B97">
              <w:rPr>
                <w:rFonts w:eastAsiaTheme="minorEastAsia"/>
                <w:lang w:eastAsia="zh-CN"/>
              </w:rPr>
              <w:t>25 for SCS = 15KHz,</w:t>
            </w:r>
          </w:p>
          <w:p w14:paraId="62A90D4B" w14:textId="77777777" w:rsidR="003A71DE" w:rsidRPr="00EA3B97" w:rsidRDefault="003A71DE" w:rsidP="007835E8">
            <w:pPr>
              <w:pStyle w:val="TAC"/>
              <w:rPr>
                <w:rFonts w:eastAsiaTheme="minorEastAsia"/>
                <w:lang w:eastAsia="zh-CN"/>
              </w:rPr>
            </w:pPr>
            <w:r w:rsidRPr="00EA3B97">
              <w:rPr>
                <w:rFonts w:eastAsiaTheme="minorEastAsia"/>
                <w:lang w:eastAsia="zh-CN"/>
              </w:rPr>
              <w:t>51 for SCS = 30KHz,</w:t>
            </w:r>
          </w:p>
          <w:p w14:paraId="0A6FD808" w14:textId="77777777" w:rsidR="003A71DE" w:rsidRPr="00EA3B97" w:rsidRDefault="003A71DE" w:rsidP="007835E8">
            <w:pPr>
              <w:pStyle w:val="TAC"/>
              <w:rPr>
                <w:rFonts w:eastAsiaTheme="minorEastAsia"/>
                <w:lang w:eastAsia="zh-CN"/>
              </w:rPr>
            </w:pPr>
            <w:r w:rsidRPr="00EA3B97">
              <w:rPr>
                <w:rFonts w:eastAsiaTheme="minorEastAsia"/>
                <w:lang w:eastAsia="zh-CN"/>
              </w:rPr>
              <w:t>32 for SCS = 120KHz</w:t>
            </w:r>
          </w:p>
        </w:tc>
        <w:tc>
          <w:tcPr>
            <w:tcW w:w="1777" w:type="dxa"/>
            <w:tcBorders>
              <w:top w:val="single" w:sz="4" w:space="0" w:color="auto"/>
              <w:left w:val="single" w:sz="4" w:space="0" w:color="auto"/>
              <w:bottom w:val="single" w:sz="4" w:space="0" w:color="auto"/>
              <w:right w:val="single" w:sz="4" w:space="0" w:color="auto"/>
            </w:tcBorders>
            <w:hideMark/>
          </w:tcPr>
          <w:p w14:paraId="7FBF5FF4" w14:textId="77777777" w:rsidR="003A71DE" w:rsidRPr="00EA3B97" w:rsidRDefault="003A71DE" w:rsidP="007835E8">
            <w:pPr>
              <w:pStyle w:val="TAC"/>
              <w:rPr>
                <w:rFonts w:eastAsiaTheme="minorEastAsia"/>
                <w:lang w:eastAsia="zh-CN"/>
              </w:rPr>
            </w:pPr>
            <w:r w:rsidRPr="00EA3B97">
              <w:rPr>
                <w:rFonts w:eastAsiaTheme="minorEastAsia"/>
                <w:lang w:eastAsia="zh-CN"/>
              </w:rPr>
              <w:t>25 for SCS = 15KHz,</w:t>
            </w:r>
          </w:p>
          <w:p w14:paraId="6BD1048E" w14:textId="77777777" w:rsidR="003A71DE" w:rsidRPr="00EA3B97" w:rsidRDefault="003A71DE" w:rsidP="007835E8">
            <w:pPr>
              <w:pStyle w:val="TAC"/>
              <w:rPr>
                <w:rFonts w:eastAsiaTheme="minorEastAsia"/>
                <w:lang w:eastAsia="zh-CN"/>
              </w:rPr>
            </w:pPr>
            <w:r w:rsidRPr="00EA3B97">
              <w:rPr>
                <w:rFonts w:eastAsiaTheme="minorEastAsia"/>
                <w:lang w:eastAsia="zh-CN"/>
              </w:rPr>
              <w:t>51 for SCS = 30KHz,</w:t>
            </w:r>
          </w:p>
          <w:p w14:paraId="4CA8B199" w14:textId="77777777" w:rsidR="003A71DE" w:rsidRPr="00EA3B97" w:rsidRDefault="003A71DE" w:rsidP="007835E8">
            <w:pPr>
              <w:pStyle w:val="TAC"/>
              <w:rPr>
                <w:rFonts w:eastAsiaTheme="minorEastAsia"/>
                <w:lang w:eastAsia="zh-CN"/>
              </w:rPr>
            </w:pPr>
            <w:r w:rsidRPr="00EA3B97">
              <w:rPr>
                <w:rFonts w:eastAsiaTheme="minorEastAsia"/>
                <w:lang w:eastAsia="zh-CN"/>
              </w:rPr>
              <w:t>32 for SCS = 120KHz</w:t>
            </w:r>
          </w:p>
        </w:tc>
      </w:tr>
      <w:tr w:rsidR="003A71DE" w:rsidRPr="00EA3B97" w14:paraId="65C38A5F" w14:textId="77777777" w:rsidTr="003A71DE">
        <w:trPr>
          <w:jc w:val="center"/>
        </w:trPr>
        <w:tc>
          <w:tcPr>
            <w:tcW w:w="7567" w:type="dxa"/>
            <w:gridSpan w:val="5"/>
            <w:tcBorders>
              <w:top w:val="single" w:sz="4" w:space="0" w:color="auto"/>
              <w:left w:val="single" w:sz="4" w:space="0" w:color="auto"/>
              <w:bottom w:val="single" w:sz="4" w:space="0" w:color="auto"/>
              <w:right w:val="single" w:sz="4" w:space="0" w:color="auto"/>
            </w:tcBorders>
            <w:hideMark/>
          </w:tcPr>
          <w:p w14:paraId="1144BF38" w14:textId="77777777" w:rsidR="003A71DE" w:rsidRPr="00EA3B97" w:rsidRDefault="003A71DE" w:rsidP="007835E8">
            <w:pPr>
              <w:pStyle w:val="TAN"/>
              <w:rPr>
                <w:rFonts w:eastAsiaTheme="minorEastAsia"/>
              </w:rPr>
            </w:pPr>
            <w:r w:rsidRPr="00EA3B97">
              <w:rPr>
                <w:rFonts w:eastAsiaTheme="minorEastAsia"/>
                <w:lang w:eastAsia="zh-CN"/>
              </w:rPr>
              <w:t>Note 1:</w:t>
            </w:r>
            <w:r w:rsidRPr="00EA3B97">
              <w:rPr>
                <w:rFonts w:eastAsiaTheme="minorEastAsia"/>
                <w:lang w:eastAsia="zh-CN"/>
              </w:rPr>
              <w:tab/>
            </w:r>
            <w:r w:rsidRPr="00EA3B97">
              <w:rPr>
                <w:rFonts w:eastAsiaTheme="minorEastAsia"/>
              </w:rPr>
              <w:t>RB</w:t>
            </w:r>
            <w:r w:rsidRPr="00EA3B97">
              <w:rPr>
                <w:rFonts w:eastAsiaTheme="minorEastAsia"/>
                <w:vertAlign w:val="subscript"/>
              </w:rPr>
              <w:t xml:space="preserve">b </w:t>
            </w:r>
            <w:r w:rsidRPr="00EA3B97">
              <w:rPr>
                <w:rFonts w:eastAsiaTheme="minorEastAsia"/>
              </w:rPr>
              <w:t>is same as RB</w:t>
            </w:r>
            <w:r w:rsidRPr="00EA3B97">
              <w:rPr>
                <w:rFonts w:eastAsiaTheme="minorEastAsia"/>
                <w:vertAlign w:val="subscript"/>
              </w:rPr>
              <w:t>b</w:t>
            </w:r>
            <w:r w:rsidRPr="00EA3B97">
              <w:rPr>
                <w:rFonts w:eastAsiaTheme="minorEastAsia"/>
              </w:rPr>
              <w:t xml:space="preserve"> for </w:t>
            </w:r>
            <w:r w:rsidRPr="00EA3B97">
              <w:rPr>
                <w:rFonts w:eastAsiaTheme="minorEastAsia"/>
                <w:lang w:eastAsia="zh-CN"/>
              </w:rPr>
              <w:t>DLBWP.1.2 as defined in Table G.1.4.2.2-1</w:t>
            </w:r>
            <w:r w:rsidRPr="00EA3B97">
              <w:rPr>
                <w:rFonts w:eastAsiaTheme="minorEastAsia"/>
              </w:rPr>
              <w:t>.</w:t>
            </w:r>
          </w:p>
          <w:p w14:paraId="15688503" w14:textId="77777777" w:rsidR="003A71DE" w:rsidRPr="00EA3B97" w:rsidRDefault="003A71DE" w:rsidP="007835E8">
            <w:pPr>
              <w:pStyle w:val="TAN"/>
              <w:rPr>
                <w:rFonts w:eastAsiaTheme="minorEastAsia"/>
                <w:lang w:eastAsia="zh-CN"/>
              </w:rPr>
            </w:pPr>
            <w:r w:rsidRPr="00EA3B97">
              <w:rPr>
                <w:rFonts w:eastAsiaTheme="minorEastAsia"/>
                <w:lang w:eastAsia="zh-CN"/>
              </w:rPr>
              <w:t>Note 2:</w:t>
            </w:r>
            <w:r w:rsidRPr="00EA3B97">
              <w:rPr>
                <w:rFonts w:eastAsiaTheme="minorEastAsia"/>
                <w:lang w:eastAsia="zh-CN"/>
              </w:rPr>
              <w:tab/>
            </w:r>
            <w:r w:rsidRPr="00EA3B97">
              <w:rPr>
                <w:rFonts w:eastAsiaTheme="minorEastAsia"/>
              </w:rPr>
              <w:t>RB</w:t>
            </w:r>
            <w:r w:rsidRPr="00EA3B97">
              <w:rPr>
                <w:rFonts w:eastAsiaTheme="minorEastAsia"/>
                <w:vertAlign w:val="subscript"/>
              </w:rPr>
              <w:t xml:space="preserve">a </w:t>
            </w:r>
            <w:r w:rsidRPr="00EA3B97">
              <w:rPr>
                <w:rFonts w:eastAsiaTheme="minorEastAsia"/>
              </w:rPr>
              <w:t>is same as RB</w:t>
            </w:r>
            <w:r w:rsidRPr="00EA3B97">
              <w:rPr>
                <w:rFonts w:eastAsiaTheme="minorEastAsia"/>
                <w:vertAlign w:val="subscript"/>
              </w:rPr>
              <w:t>a</w:t>
            </w:r>
            <w:r w:rsidRPr="00EA3B97">
              <w:rPr>
                <w:rFonts w:eastAsiaTheme="minorEastAsia"/>
              </w:rPr>
              <w:t xml:space="preserve"> for </w:t>
            </w:r>
            <w:r w:rsidRPr="00EA3B97">
              <w:rPr>
                <w:rFonts w:eastAsiaTheme="minorEastAsia"/>
                <w:lang w:eastAsia="zh-CN"/>
              </w:rPr>
              <w:t>DLBWP.1.3 as defined in Table G.1.4.2.2-1</w:t>
            </w:r>
            <w:r w:rsidRPr="00EA3B97">
              <w:rPr>
                <w:rFonts w:eastAsiaTheme="minorEastAsia"/>
              </w:rPr>
              <w:t>.</w:t>
            </w:r>
          </w:p>
        </w:tc>
      </w:tr>
    </w:tbl>
    <w:p w14:paraId="19A046E4" w14:textId="77777777" w:rsidR="003A71DE" w:rsidRDefault="003A71DE" w:rsidP="003A71DE">
      <w:pPr>
        <w:rPr>
          <w:rFonts w:eastAsiaTheme="minorEastAsia"/>
        </w:rPr>
      </w:pPr>
    </w:p>
    <w:p w14:paraId="34CC4D47" w14:textId="77777777" w:rsidR="003A71DE" w:rsidRPr="00EA3B97" w:rsidRDefault="003A71DE" w:rsidP="00A153AF">
      <w:pPr>
        <w:pStyle w:val="Heading3"/>
        <w:rPr>
          <w:rFonts w:eastAsiaTheme="minorEastAsia"/>
        </w:rPr>
      </w:pPr>
      <w:bookmarkStart w:id="9878" w:name="_Toc74583635"/>
      <w:bookmarkStart w:id="9879" w:name="_Toc76542448"/>
      <w:bookmarkStart w:id="9880" w:name="_Toc82450430"/>
      <w:bookmarkStart w:id="9881" w:name="_Toc82451078"/>
      <w:bookmarkStart w:id="9882" w:name="_Toc89949467"/>
      <w:bookmarkStart w:id="9883" w:name="_Toc98755856"/>
      <w:bookmarkStart w:id="9884" w:name="_Toc98763448"/>
      <w:bookmarkStart w:id="9885" w:name="_Toc106184377"/>
      <w:r w:rsidRPr="00EA3B97">
        <w:rPr>
          <w:rFonts w:eastAsiaTheme="minorEastAsia"/>
        </w:rPr>
        <w:t>G.1.5</w:t>
      </w:r>
      <w:r w:rsidRPr="00EA3B97">
        <w:rPr>
          <w:rFonts w:eastAsiaTheme="minorEastAsia"/>
        </w:rPr>
        <w:tab/>
        <w:t>SSB Configurations</w:t>
      </w:r>
      <w:bookmarkEnd w:id="9878"/>
      <w:bookmarkEnd w:id="9879"/>
      <w:bookmarkEnd w:id="9880"/>
      <w:bookmarkEnd w:id="9881"/>
      <w:bookmarkEnd w:id="9882"/>
      <w:bookmarkEnd w:id="9883"/>
      <w:bookmarkEnd w:id="9884"/>
      <w:bookmarkEnd w:id="9885"/>
    </w:p>
    <w:p w14:paraId="1CBD7C54" w14:textId="77777777" w:rsidR="003A71DE" w:rsidRPr="00EA3B97" w:rsidRDefault="003A71DE" w:rsidP="00A153AF">
      <w:pPr>
        <w:pStyle w:val="Heading4"/>
        <w:rPr>
          <w:rFonts w:eastAsiaTheme="minorEastAsia"/>
        </w:rPr>
      </w:pPr>
      <w:bookmarkStart w:id="9886" w:name="_Toc74583636"/>
      <w:bookmarkStart w:id="9887" w:name="_Toc76542449"/>
      <w:bookmarkStart w:id="9888" w:name="_Toc82450431"/>
      <w:bookmarkStart w:id="9889" w:name="_Toc82451079"/>
      <w:bookmarkStart w:id="9890" w:name="_Toc89949468"/>
      <w:bookmarkStart w:id="9891" w:name="_Toc98755857"/>
      <w:bookmarkStart w:id="9892" w:name="_Toc98763449"/>
      <w:bookmarkStart w:id="9893" w:name="_Toc106184378"/>
      <w:r w:rsidRPr="00EA3B97">
        <w:rPr>
          <w:rFonts w:eastAsiaTheme="minorEastAsia"/>
        </w:rPr>
        <w:t>G.1.5.1</w:t>
      </w:r>
      <w:r w:rsidRPr="00EA3B97">
        <w:rPr>
          <w:rFonts w:eastAsiaTheme="minorEastAsia"/>
        </w:rPr>
        <w:tab/>
        <w:t>SSB Configurations for FR1</w:t>
      </w:r>
      <w:bookmarkEnd w:id="9886"/>
      <w:bookmarkEnd w:id="9887"/>
      <w:bookmarkEnd w:id="9888"/>
      <w:bookmarkEnd w:id="9889"/>
      <w:bookmarkEnd w:id="9890"/>
      <w:bookmarkEnd w:id="9891"/>
      <w:bookmarkEnd w:id="9892"/>
      <w:bookmarkEnd w:id="9893"/>
    </w:p>
    <w:p w14:paraId="2C576CB2" w14:textId="4E916007" w:rsidR="003A71DE" w:rsidRDefault="003A71DE" w:rsidP="00A153AF">
      <w:pPr>
        <w:pStyle w:val="Heading5"/>
        <w:rPr>
          <w:rFonts w:eastAsiaTheme="minorEastAsia"/>
        </w:rPr>
      </w:pPr>
      <w:bookmarkStart w:id="9894" w:name="_Toc74583637"/>
      <w:bookmarkStart w:id="9895" w:name="_Toc76542450"/>
      <w:bookmarkStart w:id="9896" w:name="_Toc82450432"/>
      <w:bookmarkStart w:id="9897" w:name="_Toc82451080"/>
      <w:bookmarkStart w:id="9898" w:name="_Toc89949469"/>
      <w:bookmarkStart w:id="9899" w:name="_Toc98755858"/>
      <w:bookmarkStart w:id="9900" w:name="_Toc98763450"/>
      <w:bookmarkStart w:id="9901" w:name="_Toc106184379"/>
      <w:r w:rsidRPr="00EA3B97">
        <w:rPr>
          <w:rFonts w:eastAsiaTheme="minorEastAsia"/>
        </w:rPr>
        <w:t>G.1.5.1.1</w:t>
      </w:r>
      <w:r w:rsidRPr="00EA3B97">
        <w:rPr>
          <w:rFonts w:eastAsiaTheme="minorEastAsia"/>
        </w:rPr>
        <w:tab/>
        <w:t>SSB pattern 1 in FR1: SSB allocation for SSB SCS=15 kHz</w:t>
      </w:r>
      <w:bookmarkEnd w:id="9894"/>
      <w:bookmarkEnd w:id="9895"/>
      <w:bookmarkEnd w:id="9896"/>
      <w:bookmarkEnd w:id="9897"/>
      <w:bookmarkEnd w:id="9898"/>
      <w:bookmarkEnd w:id="9899"/>
      <w:bookmarkEnd w:id="9900"/>
      <w:bookmarkEnd w:id="9901"/>
    </w:p>
    <w:p w14:paraId="30F1BBC3" w14:textId="77777777" w:rsidR="003A71DE" w:rsidRDefault="003A71DE" w:rsidP="003A71DE">
      <w:pPr>
        <w:keepNext/>
        <w:keepLines/>
        <w:spacing w:before="60"/>
        <w:jc w:val="center"/>
        <w:rPr>
          <w:rFonts w:ascii="Arial" w:eastAsiaTheme="minorEastAsia" w:hAnsi="Arial"/>
          <w:b/>
          <w:noProof/>
        </w:rPr>
      </w:pPr>
      <w:r>
        <w:rPr>
          <w:rFonts w:ascii="Arial" w:eastAsiaTheme="minorEastAsia" w:hAnsi="Arial"/>
          <w:b/>
        </w:rPr>
        <w:t xml:space="preserve">Table G.1.5.1.1-1: SSB.1 FR1: SSB </w:t>
      </w:r>
      <w:r>
        <w:rPr>
          <w:rFonts w:ascii="Arial" w:eastAsiaTheme="minorEastAsia" w:hAnsi="Arial"/>
          <w:b/>
          <w:noProof/>
        </w:rPr>
        <w:t>Pattern 1 for SSB SCS=15 kHz in 10 MHz channel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2693"/>
      </w:tblGrid>
      <w:tr w:rsidR="003A71DE" w14:paraId="5E599DDF"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44BCEC2D" w14:textId="77777777" w:rsidR="003A71DE" w:rsidRDefault="003A71DE" w:rsidP="007835E8">
            <w:pPr>
              <w:pStyle w:val="TAH"/>
              <w:rPr>
                <w:rFonts w:eastAsiaTheme="minorEastAsia"/>
              </w:rPr>
            </w:pPr>
            <w:r>
              <w:rPr>
                <w:rFonts w:eastAsiaTheme="minorEastAsia"/>
              </w:rPr>
              <w:t>SSB Parameters</w:t>
            </w:r>
          </w:p>
        </w:tc>
        <w:tc>
          <w:tcPr>
            <w:tcW w:w="2693" w:type="dxa"/>
            <w:tcBorders>
              <w:top w:val="single" w:sz="4" w:space="0" w:color="auto"/>
              <w:left w:val="single" w:sz="4" w:space="0" w:color="auto"/>
              <w:bottom w:val="single" w:sz="4" w:space="0" w:color="auto"/>
              <w:right w:val="single" w:sz="4" w:space="0" w:color="auto"/>
            </w:tcBorders>
            <w:hideMark/>
          </w:tcPr>
          <w:p w14:paraId="1EBD4700" w14:textId="77777777" w:rsidR="003A71DE" w:rsidRDefault="003A71DE" w:rsidP="007835E8">
            <w:pPr>
              <w:pStyle w:val="TAH"/>
              <w:rPr>
                <w:rFonts w:eastAsiaTheme="minorEastAsia"/>
              </w:rPr>
            </w:pPr>
            <w:r>
              <w:rPr>
                <w:rFonts w:eastAsiaTheme="minorEastAsia"/>
              </w:rPr>
              <w:t>Values</w:t>
            </w:r>
          </w:p>
        </w:tc>
      </w:tr>
      <w:tr w:rsidR="003A71DE" w14:paraId="753148F0"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2F0A49CE" w14:textId="77777777" w:rsidR="003A71DE" w:rsidRDefault="003A71DE" w:rsidP="007835E8">
            <w:pPr>
              <w:pStyle w:val="TAL"/>
              <w:rPr>
                <w:rFonts w:eastAsiaTheme="minorEastAsia"/>
              </w:rPr>
            </w:pPr>
            <w:r>
              <w:rPr>
                <w:rFonts w:eastAsiaTheme="minorEastAsia"/>
              </w:rPr>
              <w:t>SSB SCS</w:t>
            </w:r>
          </w:p>
        </w:tc>
        <w:tc>
          <w:tcPr>
            <w:tcW w:w="2693" w:type="dxa"/>
            <w:tcBorders>
              <w:top w:val="single" w:sz="4" w:space="0" w:color="auto"/>
              <w:left w:val="single" w:sz="4" w:space="0" w:color="auto"/>
              <w:bottom w:val="single" w:sz="4" w:space="0" w:color="auto"/>
              <w:right w:val="single" w:sz="4" w:space="0" w:color="auto"/>
            </w:tcBorders>
            <w:hideMark/>
          </w:tcPr>
          <w:p w14:paraId="38BE3CDA" w14:textId="77777777" w:rsidR="003A71DE" w:rsidRDefault="003A71DE" w:rsidP="007835E8">
            <w:pPr>
              <w:pStyle w:val="TAL"/>
              <w:rPr>
                <w:rFonts w:eastAsiaTheme="minorEastAsia"/>
              </w:rPr>
            </w:pPr>
            <w:r>
              <w:rPr>
                <w:rFonts w:eastAsiaTheme="minorEastAsia"/>
              </w:rPr>
              <w:t>15 kHz</w:t>
            </w:r>
          </w:p>
        </w:tc>
      </w:tr>
      <w:tr w:rsidR="003A71DE" w14:paraId="79B1C2B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7EC825E8"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693" w:type="dxa"/>
            <w:tcBorders>
              <w:top w:val="single" w:sz="4" w:space="0" w:color="auto"/>
              <w:left w:val="single" w:sz="4" w:space="0" w:color="auto"/>
              <w:bottom w:val="single" w:sz="4" w:space="0" w:color="auto"/>
              <w:right w:val="single" w:sz="4" w:space="0" w:color="auto"/>
            </w:tcBorders>
            <w:hideMark/>
          </w:tcPr>
          <w:p w14:paraId="5F6325E6" w14:textId="77777777" w:rsidR="003A71DE" w:rsidRDefault="003A71DE" w:rsidP="007835E8">
            <w:pPr>
              <w:pStyle w:val="TAL"/>
              <w:rPr>
                <w:rFonts w:eastAsiaTheme="minorEastAsia"/>
              </w:rPr>
            </w:pPr>
            <w:r>
              <w:rPr>
                <w:rFonts w:eastAsiaTheme="minorEastAsia"/>
              </w:rPr>
              <w:t>20 ms</w:t>
            </w:r>
          </w:p>
        </w:tc>
      </w:tr>
      <w:tr w:rsidR="003A71DE" w14:paraId="18FAF02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3386EDD9" w14:textId="77777777" w:rsidR="003A71DE" w:rsidRDefault="003A71DE" w:rsidP="007835E8">
            <w:pPr>
              <w:pStyle w:val="TAL"/>
              <w:rPr>
                <w:rFonts w:eastAsiaTheme="minorEastAsia"/>
              </w:rPr>
            </w:pPr>
            <w:r>
              <w:rPr>
                <w:rFonts w:eastAsiaTheme="minorEastAsia"/>
              </w:rPr>
              <w:t>Number of SSBs per SS-burst</w:t>
            </w:r>
          </w:p>
        </w:tc>
        <w:tc>
          <w:tcPr>
            <w:tcW w:w="2693" w:type="dxa"/>
            <w:tcBorders>
              <w:top w:val="single" w:sz="4" w:space="0" w:color="auto"/>
              <w:left w:val="single" w:sz="4" w:space="0" w:color="auto"/>
              <w:bottom w:val="single" w:sz="4" w:space="0" w:color="auto"/>
              <w:right w:val="single" w:sz="4" w:space="0" w:color="auto"/>
            </w:tcBorders>
            <w:hideMark/>
          </w:tcPr>
          <w:p w14:paraId="5A5F66E3" w14:textId="77777777" w:rsidR="003A71DE" w:rsidRDefault="003A71DE" w:rsidP="007835E8">
            <w:pPr>
              <w:pStyle w:val="TAL"/>
              <w:rPr>
                <w:rFonts w:eastAsiaTheme="minorEastAsia"/>
              </w:rPr>
            </w:pPr>
            <w:r>
              <w:rPr>
                <w:rFonts w:eastAsiaTheme="minorEastAsia"/>
              </w:rPr>
              <w:t>1</w:t>
            </w:r>
          </w:p>
        </w:tc>
      </w:tr>
      <w:tr w:rsidR="003A71DE" w14:paraId="702EC376"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DDAD769" w14:textId="77777777" w:rsidR="003A71DE" w:rsidRDefault="003A71DE" w:rsidP="007835E8">
            <w:pPr>
              <w:pStyle w:val="TAL"/>
              <w:rPr>
                <w:rFonts w:eastAsiaTheme="minorEastAsia"/>
              </w:rPr>
            </w:pPr>
            <w:r>
              <w:rPr>
                <w:rFonts w:eastAsiaTheme="minorEastAsia"/>
              </w:rPr>
              <w:t>SS/PBCH block index</w:t>
            </w:r>
          </w:p>
        </w:tc>
        <w:tc>
          <w:tcPr>
            <w:tcW w:w="2693" w:type="dxa"/>
            <w:tcBorders>
              <w:top w:val="single" w:sz="4" w:space="0" w:color="auto"/>
              <w:left w:val="single" w:sz="4" w:space="0" w:color="auto"/>
              <w:bottom w:val="single" w:sz="4" w:space="0" w:color="auto"/>
              <w:right w:val="single" w:sz="4" w:space="0" w:color="auto"/>
            </w:tcBorders>
            <w:hideMark/>
          </w:tcPr>
          <w:p w14:paraId="7F86C489" w14:textId="77777777" w:rsidR="003A71DE" w:rsidRDefault="003A71DE" w:rsidP="007835E8">
            <w:pPr>
              <w:pStyle w:val="TAL"/>
              <w:rPr>
                <w:rFonts w:eastAsiaTheme="minorEastAsia"/>
              </w:rPr>
            </w:pPr>
            <w:r>
              <w:rPr>
                <w:rFonts w:eastAsiaTheme="minorEastAsia"/>
              </w:rPr>
              <w:t>0</w:t>
            </w:r>
          </w:p>
        </w:tc>
      </w:tr>
      <w:tr w:rsidR="003A71DE" w14:paraId="5C450D80"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4D0D8445" w14:textId="77777777" w:rsidR="003A71DE" w:rsidRDefault="003A71DE" w:rsidP="007835E8">
            <w:pPr>
              <w:pStyle w:val="TAL"/>
              <w:rPr>
                <w:rFonts w:eastAsiaTheme="minorEastAsia"/>
              </w:rPr>
            </w:pPr>
            <w:r>
              <w:rPr>
                <w:rFonts w:eastAsiaTheme="minorEastAsia"/>
              </w:rPr>
              <w:t>Symbol numbers containing SSB</w:t>
            </w:r>
            <w:r>
              <w:rPr>
                <w:rFonts w:eastAsiaTheme="minorEastAsia"/>
                <w:vertAlign w:val="superscript"/>
              </w:rPr>
              <w:t xml:space="preserve"> Note 2</w:t>
            </w:r>
          </w:p>
        </w:tc>
        <w:tc>
          <w:tcPr>
            <w:tcW w:w="2693" w:type="dxa"/>
            <w:tcBorders>
              <w:top w:val="single" w:sz="4" w:space="0" w:color="auto"/>
              <w:left w:val="single" w:sz="4" w:space="0" w:color="auto"/>
              <w:bottom w:val="single" w:sz="4" w:space="0" w:color="auto"/>
              <w:right w:val="single" w:sz="4" w:space="0" w:color="auto"/>
            </w:tcBorders>
            <w:hideMark/>
          </w:tcPr>
          <w:p w14:paraId="1A983564" w14:textId="77777777" w:rsidR="003A71DE" w:rsidRDefault="003A71DE" w:rsidP="007835E8">
            <w:pPr>
              <w:pStyle w:val="TAL"/>
              <w:rPr>
                <w:rFonts w:eastAsiaTheme="minorEastAsia"/>
              </w:rPr>
            </w:pPr>
            <w:r>
              <w:rPr>
                <w:rFonts w:eastAsiaTheme="minorEastAsia"/>
              </w:rPr>
              <w:t>2-5</w:t>
            </w:r>
          </w:p>
        </w:tc>
      </w:tr>
      <w:tr w:rsidR="003A71DE" w14:paraId="109CDD49"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023CEF9"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2693" w:type="dxa"/>
            <w:tcBorders>
              <w:top w:val="single" w:sz="4" w:space="0" w:color="auto"/>
              <w:left w:val="single" w:sz="4" w:space="0" w:color="auto"/>
              <w:bottom w:val="single" w:sz="4" w:space="0" w:color="auto"/>
              <w:right w:val="single" w:sz="4" w:space="0" w:color="auto"/>
            </w:tcBorders>
            <w:hideMark/>
          </w:tcPr>
          <w:p w14:paraId="58C820BD" w14:textId="77777777" w:rsidR="003A71DE" w:rsidRDefault="003A71DE" w:rsidP="007835E8">
            <w:pPr>
              <w:pStyle w:val="TAL"/>
              <w:rPr>
                <w:rFonts w:eastAsiaTheme="minorEastAsia"/>
              </w:rPr>
            </w:pPr>
            <w:r>
              <w:rPr>
                <w:rFonts w:eastAsiaTheme="minorEastAsia"/>
              </w:rPr>
              <w:t>0</w:t>
            </w:r>
          </w:p>
        </w:tc>
      </w:tr>
      <w:tr w:rsidR="003A71DE" w14:paraId="19476799"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CE1FF33"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693" w:type="dxa"/>
            <w:tcBorders>
              <w:top w:val="single" w:sz="4" w:space="0" w:color="auto"/>
              <w:left w:val="single" w:sz="4" w:space="0" w:color="auto"/>
              <w:bottom w:val="single" w:sz="4" w:space="0" w:color="auto"/>
              <w:right w:val="single" w:sz="4" w:space="0" w:color="auto"/>
            </w:tcBorders>
            <w:hideMark/>
          </w:tcPr>
          <w:p w14:paraId="350844E2"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253F738C"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35E15B9" w14:textId="77777777" w:rsidR="003A71DE" w:rsidRDefault="003A71DE" w:rsidP="007835E8">
            <w:pPr>
              <w:pStyle w:val="TAL"/>
              <w:rPr>
                <w:rFonts w:eastAsiaTheme="minorEastAsia"/>
              </w:rPr>
            </w:pPr>
            <w:r>
              <w:rPr>
                <w:rFonts w:eastAsiaTheme="minorEastAsia"/>
              </w:rPr>
              <w:t>RB numbers containing SSB within channel BW</w:t>
            </w:r>
          </w:p>
        </w:tc>
        <w:tc>
          <w:tcPr>
            <w:tcW w:w="2693" w:type="dxa"/>
            <w:tcBorders>
              <w:top w:val="single" w:sz="4" w:space="0" w:color="auto"/>
              <w:left w:val="single" w:sz="4" w:space="0" w:color="auto"/>
              <w:bottom w:val="single" w:sz="4" w:space="0" w:color="auto"/>
              <w:right w:val="single" w:sz="4" w:space="0" w:color="auto"/>
            </w:tcBorders>
            <w:hideMark/>
          </w:tcPr>
          <w:p w14:paraId="2B743C71"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6901D9D2" w14:textId="77777777" w:rsidTr="003A71DE">
        <w:trPr>
          <w:jc w:val="center"/>
        </w:trPr>
        <w:tc>
          <w:tcPr>
            <w:tcW w:w="7372" w:type="dxa"/>
            <w:gridSpan w:val="2"/>
            <w:tcBorders>
              <w:top w:val="single" w:sz="4" w:space="0" w:color="auto"/>
              <w:left w:val="single" w:sz="4" w:space="0" w:color="auto"/>
              <w:bottom w:val="single" w:sz="4" w:space="0" w:color="auto"/>
              <w:right w:val="single" w:sz="4" w:space="0" w:color="auto"/>
            </w:tcBorders>
            <w:hideMark/>
          </w:tcPr>
          <w:p w14:paraId="0E409A0E" w14:textId="77777777" w:rsidR="003A71DE" w:rsidRDefault="003A71DE" w:rsidP="007835E8">
            <w:pPr>
              <w:pStyle w:val="TAN"/>
              <w:rPr>
                <w:rFonts w:eastAsiaTheme="minorEastAsia"/>
              </w:rPr>
            </w:pPr>
            <w:r>
              <w:rPr>
                <w:rFonts w:eastAsiaTheme="minorEastAsia"/>
              </w:rPr>
              <w:t>Note 1:</w:t>
            </w:r>
            <w:r>
              <w:rPr>
                <w:rFonts w:eastAsiaTheme="minorEastAsia"/>
                <w:lang w:eastAsia="zh-CN"/>
              </w:rPr>
              <w:tab/>
            </w:r>
            <w:r>
              <w:rPr>
                <w:rFonts w:eastAsiaTheme="minorEastAsia"/>
              </w:rPr>
              <w:t>RBs containing SSB can be configured in any frequency location within the cell bandwidth according to the allowed synchronization raster defined in clause 5.4.3</w:t>
            </w:r>
          </w:p>
          <w:p w14:paraId="5F62B68B" w14:textId="2FFB251F"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w:t>
            </w:r>
            <w:r w:rsidR="00ED70DB">
              <w:rPr>
                <w:rFonts w:eastAsiaTheme="minorEastAsia"/>
              </w:rPr>
              <w:t>])</w:t>
            </w:r>
            <w:r>
              <w:rPr>
                <w:rFonts w:eastAsiaTheme="minorEastAsia"/>
              </w:rPr>
              <w:t>. They are not settable parameters themselves.</w:t>
            </w:r>
          </w:p>
        </w:tc>
      </w:tr>
    </w:tbl>
    <w:p w14:paraId="070E39A4" w14:textId="77777777" w:rsidR="003A71DE" w:rsidRDefault="003A71DE" w:rsidP="003A71DE">
      <w:pPr>
        <w:rPr>
          <w:rFonts w:eastAsia="MS Mincho"/>
        </w:rPr>
      </w:pPr>
    </w:p>
    <w:p w14:paraId="47C5EEB7" w14:textId="56B0919C" w:rsidR="003A71DE" w:rsidRDefault="003A71DE" w:rsidP="00A153AF">
      <w:pPr>
        <w:pStyle w:val="Heading5"/>
        <w:rPr>
          <w:rFonts w:eastAsiaTheme="minorEastAsia"/>
        </w:rPr>
      </w:pPr>
      <w:bookmarkStart w:id="9902" w:name="_Toc74583638"/>
      <w:bookmarkStart w:id="9903" w:name="_Toc76542451"/>
      <w:bookmarkStart w:id="9904" w:name="_Toc82450433"/>
      <w:bookmarkStart w:id="9905" w:name="_Toc82451081"/>
      <w:bookmarkStart w:id="9906" w:name="_Toc89949470"/>
      <w:bookmarkStart w:id="9907" w:name="_Toc98755859"/>
      <w:bookmarkStart w:id="9908" w:name="_Toc98763451"/>
      <w:bookmarkStart w:id="9909" w:name="_Toc106184380"/>
      <w:r>
        <w:rPr>
          <w:rFonts w:eastAsiaTheme="minorEastAsia"/>
        </w:rPr>
        <w:t>G.1.5.1.2</w:t>
      </w:r>
      <w:r>
        <w:rPr>
          <w:rFonts w:eastAsiaTheme="minorEastAsia"/>
        </w:rPr>
        <w:tab/>
        <w:t>SSB pattern 2 in FR1: SSB allocation for SSB SCS=30 kHz</w:t>
      </w:r>
      <w:bookmarkEnd w:id="9902"/>
      <w:bookmarkEnd w:id="9903"/>
      <w:bookmarkEnd w:id="9904"/>
      <w:bookmarkEnd w:id="9905"/>
      <w:bookmarkEnd w:id="9906"/>
      <w:bookmarkEnd w:id="9907"/>
      <w:bookmarkEnd w:id="9908"/>
      <w:bookmarkEnd w:id="9909"/>
    </w:p>
    <w:p w14:paraId="0F63CDC8" w14:textId="58A1F514" w:rsidR="003A71DE" w:rsidRDefault="003A71DE" w:rsidP="00BA0D24">
      <w:pPr>
        <w:pStyle w:val="TH"/>
        <w:rPr>
          <w:rFonts w:eastAsiaTheme="minorEastAsia"/>
          <w:noProof/>
        </w:rPr>
      </w:pPr>
      <w:r>
        <w:rPr>
          <w:rFonts w:eastAsiaTheme="minorEastAsia"/>
        </w:rPr>
        <w:t xml:space="preserve">Table G.1.5.1.2-1: SSB.2 FR1: SSB </w:t>
      </w:r>
      <w:r>
        <w:rPr>
          <w:rFonts w:eastAsiaTheme="minorEastAsia"/>
          <w:noProof/>
        </w:rPr>
        <w:t>Pattern 2 for SSB SCS=30 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2"/>
        <w:gridCol w:w="2833"/>
      </w:tblGrid>
      <w:tr w:rsidR="003A71DE" w14:paraId="1E4AF873"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02DA2955" w14:textId="77777777" w:rsidR="003A71DE" w:rsidRDefault="003A71DE" w:rsidP="007835E8">
            <w:pPr>
              <w:pStyle w:val="TAH"/>
              <w:rPr>
                <w:rFonts w:eastAsiaTheme="minorEastAsia"/>
              </w:rPr>
            </w:pPr>
            <w:r>
              <w:rPr>
                <w:rFonts w:eastAsiaTheme="minorEastAsia"/>
              </w:rPr>
              <w:t>SSB Parameters</w:t>
            </w:r>
          </w:p>
        </w:tc>
        <w:tc>
          <w:tcPr>
            <w:tcW w:w="2833" w:type="dxa"/>
            <w:tcBorders>
              <w:top w:val="single" w:sz="4" w:space="0" w:color="auto"/>
              <w:left w:val="single" w:sz="4" w:space="0" w:color="auto"/>
              <w:bottom w:val="single" w:sz="4" w:space="0" w:color="auto"/>
              <w:right w:val="single" w:sz="4" w:space="0" w:color="auto"/>
            </w:tcBorders>
            <w:hideMark/>
          </w:tcPr>
          <w:p w14:paraId="067053C9" w14:textId="77777777" w:rsidR="003A71DE" w:rsidRDefault="003A71DE" w:rsidP="007835E8">
            <w:pPr>
              <w:pStyle w:val="TAH"/>
              <w:rPr>
                <w:rFonts w:eastAsiaTheme="minorEastAsia"/>
              </w:rPr>
            </w:pPr>
            <w:r>
              <w:rPr>
                <w:rFonts w:eastAsiaTheme="minorEastAsia"/>
              </w:rPr>
              <w:t>Values</w:t>
            </w:r>
          </w:p>
        </w:tc>
      </w:tr>
      <w:tr w:rsidR="003A71DE" w14:paraId="1AB87B77"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3D2A279D" w14:textId="77777777" w:rsidR="003A71DE" w:rsidRDefault="003A71DE" w:rsidP="007835E8">
            <w:pPr>
              <w:pStyle w:val="TAL"/>
              <w:rPr>
                <w:rFonts w:eastAsiaTheme="minorEastAsia"/>
              </w:rPr>
            </w:pPr>
            <w:r>
              <w:rPr>
                <w:rFonts w:eastAsiaTheme="minorEastAsia"/>
              </w:rPr>
              <w:t>SSB SCS</w:t>
            </w:r>
          </w:p>
        </w:tc>
        <w:tc>
          <w:tcPr>
            <w:tcW w:w="2833" w:type="dxa"/>
            <w:tcBorders>
              <w:top w:val="single" w:sz="4" w:space="0" w:color="auto"/>
              <w:left w:val="single" w:sz="4" w:space="0" w:color="auto"/>
              <w:bottom w:val="single" w:sz="4" w:space="0" w:color="auto"/>
              <w:right w:val="single" w:sz="4" w:space="0" w:color="auto"/>
            </w:tcBorders>
            <w:hideMark/>
          </w:tcPr>
          <w:p w14:paraId="153E8672" w14:textId="77777777" w:rsidR="003A71DE" w:rsidRDefault="003A71DE" w:rsidP="007835E8">
            <w:pPr>
              <w:pStyle w:val="TAL"/>
              <w:rPr>
                <w:rFonts w:eastAsiaTheme="minorEastAsia"/>
              </w:rPr>
            </w:pPr>
            <w:r>
              <w:rPr>
                <w:rFonts w:eastAsiaTheme="minorEastAsia"/>
              </w:rPr>
              <w:t>30 kHz</w:t>
            </w:r>
          </w:p>
        </w:tc>
      </w:tr>
      <w:tr w:rsidR="003A71DE" w14:paraId="6FC4CA6B"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3265329D"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833" w:type="dxa"/>
            <w:tcBorders>
              <w:top w:val="single" w:sz="4" w:space="0" w:color="auto"/>
              <w:left w:val="single" w:sz="4" w:space="0" w:color="auto"/>
              <w:bottom w:val="single" w:sz="4" w:space="0" w:color="auto"/>
              <w:right w:val="single" w:sz="4" w:space="0" w:color="auto"/>
            </w:tcBorders>
            <w:hideMark/>
          </w:tcPr>
          <w:p w14:paraId="6F537538" w14:textId="77777777" w:rsidR="003A71DE" w:rsidRDefault="003A71DE" w:rsidP="007835E8">
            <w:pPr>
              <w:pStyle w:val="TAL"/>
              <w:rPr>
                <w:rFonts w:eastAsiaTheme="minorEastAsia"/>
              </w:rPr>
            </w:pPr>
            <w:r>
              <w:rPr>
                <w:rFonts w:eastAsiaTheme="minorEastAsia"/>
              </w:rPr>
              <w:t>20 ms</w:t>
            </w:r>
          </w:p>
        </w:tc>
      </w:tr>
      <w:tr w:rsidR="003A71DE" w14:paraId="5F1EF7C5"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6B966C6B" w14:textId="77777777" w:rsidR="003A71DE" w:rsidRDefault="003A71DE" w:rsidP="007835E8">
            <w:pPr>
              <w:pStyle w:val="TAL"/>
              <w:rPr>
                <w:rFonts w:eastAsiaTheme="minorEastAsia"/>
              </w:rPr>
            </w:pPr>
            <w:r>
              <w:rPr>
                <w:rFonts w:eastAsiaTheme="minorEastAsia"/>
              </w:rPr>
              <w:t>Number of SSBs per SS-burst</w:t>
            </w:r>
          </w:p>
        </w:tc>
        <w:tc>
          <w:tcPr>
            <w:tcW w:w="2833" w:type="dxa"/>
            <w:tcBorders>
              <w:top w:val="single" w:sz="4" w:space="0" w:color="auto"/>
              <w:left w:val="single" w:sz="4" w:space="0" w:color="auto"/>
              <w:bottom w:val="single" w:sz="4" w:space="0" w:color="auto"/>
              <w:right w:val="single" w:sz="4" w:space="0" w:color="auto"/>
            </w:tcBorders>
            <w:hideMark/>
          </w:tcPr>
          <w:p w14:paraId="04CA4753" w14:textId="77777777" w:rsidR="003A71DE" w:rsidRDefault="003A71DE" w:rsidP="007835E8">
            <w:pPr>
              <w:pStyle w:val="TAL"/>
              <w:rPr>
                <w:rFonts w:eastAsiaTheme="minorEastAsia"/>
              </w:rPr>
            </w:pPr>
            <w:r>
              <w:rPr>
                <w:rFonts w:eastAsiaTheme="minorEastAsia"/>
              </w:rPr>
              <w:t>1</w:t>
            </w:r>
          </w:p>
        </w:tc>
      </w:tr>
      <w:tr w:rsidR="003A71DE" w14:paraId="2946E57C"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42141862" w14:textId="77777777" w:rsidR="003A71DE" w:rsidRDefault="003A71DE" w:rsidP="007835E8">
            <w:pPr>
              <w:pStyle w:val="TAL"/>
              <w:rPr>
                <w:rFonts w:eastAsiaTheme="minorEastAsia"/>
              </w:rPr>
            </w:pPr>
            <w:r>
              <w:rPr>
                <w:rFonts w:eastAsiaTheme="minorEastAsia"/>
              </w:rPr>
              <w:t>SS/PBCH block index</w:t>
            </w:r>
          </w:p>
        </w:tc>
        <w:tc>
          <w:tcPr>
            <w:tcW w:w="2833" w:type="dxa"/>
            <w:tcBorders>
              <w:top w:val="single" w:sz="4" w:space="0" w:color="auto"/>
              <w:left w:val="single" w:sz="4" w:space="0" w:color="auto"/>
              <w:bottom w:val="single" w:sz="4" w:space="0" w:color="auto"/>
              <w:right w:val="single" w:sz="4" w:space="0" w:color="auto"/>
            </w:tcBorders>
            <w:hideMark/>
          </w:tcPr>
          <w:p w14:paraId="17F83CF3" w14:textId="77777777" w:rsidR="003A71DE" w:rsidRDefault="003A71DE" w:rsidP="007835E8">
            <w:pPr>
              <w:pStyle w:val="TAL"/>
              <w:rPr>
                <w:rFonts w:eastAsiaTheme="minorEastAsia"/>
              </w:rPr>
            </w:pPr>
            <w:r>
              <w:rPr>
                <w:rFonts w:eastAsiaTheme="minorEastAsia"/>
              </w:rPr>
              <w:t>0</w:t>
            </w:r>
          </w:p>
        </w:tc>
      </w:tr>
      <w:tr w:rsidR="003A71DE" w14:paraId="0543B8D1"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1FDE8A29" w14:textId="77777777" w:rsidR="003A71DE" w:rsidRDefault="003A71DE" w:rsidP="007835E8">
            <w:pPr>
              <w:pStyle w:val="TAL"/>
              <w:rPr>
                <w:rFonts w:eastAsiaTheme="minorEastAsia"/>
              </w:rPr>
            </w:pPr>
            <w:r>
              <w:rPr>
                <w:rFonts w:eastAsiaTheme="minorEastAsia"/>
              </w:rPr>
              <w:t>Symbol numbers containing SSB</w:t>
            </w:r>
            <w:r>
              <w:rPr>
                <w:rFonts w:eastAsiaTheme="minorEastAsia"/>
                <w:vertAlign w:val="superscript"/>
              </w:rPr>
              <w:t xml:space="preserve"> Note 3</w:t>
            </w:r>
          </w:p>
        </w:tc>
        <w:tc>
          <w:tcPr>
            <w:tcW w:w="2833" w:type="dxa"/>
            <w:tcBorders>
              <w:top w:val="single" w:sz="4" w:space="0" w:color="auto"/>
              <w:left w:val="single" w:sz="4" w:space="0" w:color="auto"/>
              <w:bottom w:val="single" w:sz="4" w:space="0" w:color="auto"/>
              <w:right w:val="single" w:sz="4" w:space="0" w:color="auto"/>
            </w:tcBorders>
            <w:hideMark/>
          </w:tcPr>
          <w:p w14:paraId="3766FEA4" w14:textId="77777777" w:rsidR="003A71DE" w:rsidRDefault="003A71DE" w:rsidP="007835E8">
            <w:pPr>
              <w:pStyle w:val="TAL"/>
              <w:rPr>
                <w:rFonts w:eastAsiaTheme="minorEastAsia"/>
              </w:rPr>
            </w:pPr>
            <w:r>
              <w:rPr>
                <w:rFonts w:eastAsiaTheme="minorEastAsia"/>
              </w:rPr>
              <w:t>4-7 or 2-5</w:t>
            </w:r>
            <w:r>
              <w:rPr>
                <w:rFonts w:eastAsiaTheme="minorEastAsia"/>
                <w:vertAlign w:val="superscript"/>
              </w:rPr>
              <w:t xml:space="preserve"> Note 2</w:t>
            </w:r>
          </w:p>
        </w:tc>
      </w:tr>
      <w:tr w:rsidR="003A71DE" w14:paraId="2752E34A"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1215D83C"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3</w:t>
            </w:r>
          </w:p>
        </w:tc>
        <w:tc>
          <w:tcPr>
            <w:tcW w:w="2833" w:type="dxa"/>
            <w:tcBorders>
              <w:top w:val="single" w:sz="4" w:space="0" w:color="auto"/>
              <w:left w:val="single" w:sz="4" w:space="0" w:color="auto"/>
              <w:bottom w:val="single" w:sz="4" w:space="0" w:color="auto"/>
              <w:right w:val="single" w:sz="4" w:space="0" w:color="auto"/>
            </w:tcBorders>
            <w:hideMark/>
          </w:tcPr>
          <w:p w14:paraId="6B153303" w14:textId="77777777" w:rsidR="003A71DE" w:rsidRDefault="003A71DE" w:rsidP="007835E8">
            <w:pPr>
              <w:pStyle w:val="TAL"/>
              <w:rPr>
                <w:rFonts w:eastAsiaTheme="minorEastAsia"/>
              </w:rPr>
            </w:pPr>
            <w:r>
              <w:rPr>
                <w:rFonts w:eastAsiaTheme="minorEastAsia"/>
              </w:rPr>
              <w:t>0</w:t>
            </w:r>
          </w:p>
        </w:tc>
      </w:tr>
      <w:tr w:rsidR="003A71DE" w14:paraId="49A388D1"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31E6689F"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833" w:type="dxa"/>
            <w:tcBorders>
              <w:top w:val="single" w:sz="4" w:space="0" w:color="auto"/>
              <w:left w:val="single" w:sz="4" w:space="0" w:color="auto"/>
              <w:bottom w:val="single" w:sz="4" w:space="0" w:color="auto"/>
              <w:right w:val="single" w:sz="4" w:space="0" w:color="auto"/>
            </w:tcBorders>
            <w:hideMark/>
          </w:tcPr>
          <w:p w14:paraId="6F487453"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0FA5640C"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21C48CB9" w14:textId="77777777" w:rsidR="003A71DE" w:rsidRDefault="003A71DE" w:rsidP="007835E8">
            <w:pPr>
              <w:pStyle w:val="TAL"/>
              <w:rPr>
                <w:rFonts w:eastAsiaTheme="minorEastAsia"/>
              </w:rPr>
            </w:pPr>
            <w:r>
              <w:rPr>
                <w:rFonts w:eastAsiaTheme="minorEastAsia"/>
              </w:rPr>
              <w:t>RB numbers containing SSB within channel BW</w:t>
            </w:r>
          </w:p>
        </w:tc>
        <w:tc>
          <w:tcPr>
            <w:tcW w:w="2833" w:type="dxa"/>
            <w:tcBorders>
              <w:top w:val="single" w:sz="4" w:space="0" w:color="auto"/>
              <w:left w:val="single" w:sz="4" w:space="0" w:color="auto"/>
              <w:bottom w:val="single" w:sz="4" w:space="0" w:color="auto"/>
              <w:right w:val="single" w:sz="4" w:space="0" w:color="auto"/>
            </w:tcBorders>
            <w:hideMark/>
          </w:tcPr>
          <w:p w14:paraId="0C576409"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734A27DD" w14:textId="77777777" w:rsidTr="003A71DE">
        <w:trPr>
          <w:jc w:val="center"/>
        </w:trPr>
        <w:tc>
          <w:tcPr>
            <w:tcW w:w="7515" w:type="dxa"/>
            <w:gridSpan w:val="2"/>
            <w:tcBorders>
              <w:top w:val="single" w:sz="4" w:space="0" w:color="auto"/>
              <w:left w:val="single" w:sz="4" w:space="0" w:color="auto"/>
              <w:bottom w:val="single" w:sz="4" w:space="0" w:color="auto"/>
              <w:right w:val="single" w:sz="4" w:space="0" w:color="auto"/>
            </w:tcBorders>
            <w:hideMark/>
          </w:tcPr>
          <w:p w14:paraId="56FBCB5E" w14:textId="77777777" w:rsidR="003A71DE" w:rsidRDefault="003A71DE" w:rsidP="007835E8">
            <w:pPr>
              <w:pStyle w:val="TAN"/>
              <w:rPr>
                <w:rFonts w:eastAsiaTheme="minorEastAsia"/>
              </w:rPr>
            </w:pPr>
            <w:r>
              <w:rPr>
                <w:rFonts w:eastAsiaTheme="minorEastAsia"/>
              </w:rPr>
              <w:t>Note 1:</w:t>
            </w:r>
            <w:r>
              <w:rPr>
                <w:rFonts w:eastAsiaTheme="minorEastAsia"/>
                <w:lang w:eastAsia="zh-CN"/>
              </w:rPr>
              <w:tab/>
            </w:r>
            <w:r>
              <w:rPr>
                <w:rFonts w:eastAsiaTheme="minorEastAsia"/>
              </w:rPr>
              <w:t>RBs containing SSB can be configured in any frequency location within the cell bandwidth according to the allowed synchronization raster defined in clause 5.4.3</w:t>
            </w:r>
          </w:p>
          <w:p w14:paraId="14B5B908" w14:textId="77777777" w:rsidR="003A71DE" w:rsidRDefault="003A71DE" w:rsidP="007835E8">
            <w:pPr>
              <w:pStyle w:val="TAN"/>
              <w:rPr>
                <w:rFonts w:eastAsiaTheme="minorEastAsia"/>
              </w:rPr>
            </w:pPr>
            <w:r>
              <w:rPr>
                <w:rFonts w:eastAsiaTheme="minorEastAsia"/>
              </w:rPr>
              <w:t>Note 2:</w:t>
            </w:r>
            <w:r>
              <w:rPr>
                <w:rFonts w:eastAsiaTheme="minorEastAsia"/>
                <w:lang w:eastAsia="zh-CN"/>
              </w:rPr>
              <w:tab/>
            </w:r>
            <w:r>
              <w:rPr>
                <w:rFonts w:eastAsiaTheme="minorEastAsia"/>
              </w:rPr>
              <w:t>Symbols 4-7 is chosen, if the SSB pattern Case B should be used for the current band as define in clause 5.4.3]; Otherwise, symbol 2-5 is chosen.</w:t>
            </w:r>
          </w:p>
          <w:p w14:paraId="1A882041" w14:textId="77777777" w:rsidR="003A71DE" w:rsidRDefault="003A71DE" w:rsidP="007835E8">
            <w:pPr>
              <w:pStyle w:val="TAN"/>
              <w:rPr>
                <w:rFonts w:eastAsiaTheme="minorEastAsia"/>
              </w:rPr>
            </w:pPr>
            <w:r>
              <w:rPr>
                <w:rFonts w:eastAsiaTheme="minorEastAsia"/>
              </w:rPr>
              <w:t>Note 3:</w:t>
            </w:r>
            <w:r>
              <w:rPr>
                <w:rFonts w:eastAsiaTheme="minorEastAsia"/>
              </w:rPr>
              <w:tab/>
              <w:t>These values have been derived from other parameters for information purposes (as per TS 38.213 [3]). They are not settable parameters themselves</w:t>
            </w:r>
          </w:p>
        </w:tc>
      </w:tr>
    </w:tbl>
    <w:p w14:paraId="7EE849B5" w14:textId="77777777" w:rsidR="003A71DE" w:rsidRDefault="003A71DE" w:rsidP="003A71DE">
      <w:pPr>
        <w:rPr>
          <w:rFonts w:eastAsia="MS Mincho"/>
        </w:rPr>
      </w:pPr>
    </w:p>
    <w:p w14:paraId="3060B1D8" w14:textId="77AB371A" w:rsidR="003A71DE" w:rsidRDefault="003A71DE" w:rsidP="00FD7203">
      <w:pPr>
        <w:pStyle w:val="Heading5"/>
        <w:rPr>
          <w:rFonts w:eastAsiaTheme="minorEastAsia"/>
        </w:rPr>
      </w:pPr>
      <w:bookmarkStart w:id="9910" w:name="_Toc74583639"/>
      <w:bookmarkStart w:id="9911" w:name="_Toc76542452"/>
      <w:bookmarkStart w:id="9912" w:name="_Toc82450434"/>
      <w:bookmarkStart w:id="9913" w:name="_Toc82451082"/>
      <w:bookmarkStart w:id="9914" w:name="_Toc89949471"/>
      <w:bookmarkStart w:id="9915" w:name="_Toc98755860"/>
      <w:bookmarkStart w:id="9916" w:name="_Toc98763452"/>
      <w:bookmarkStart w:id="9917" w:name="_Toc106184381"/>
      <w:r>
        <w:rPr>
          <w:rFonts w:eastAsiaTheme="minorEastAsia"/>
        </w:rPr>
        <w:lastRenderedPageBreak/>
        <w:t>G.1.5.1.3</w:t>
      </w:r>
      <w:r>
        <w:rPr>
          <w:rFonts w:eastAsiaTheme="minorEastAsia"/>
        </w:rPr>
        <w:tab/>
        <w:t>SSB pattern 3 in FR1: SSB allocation for SSB SCS=15 kHz</w:t>
      </w:r>
      <w:bookmarkEnd w:id="9910"/>
      <w:bookmarkEnd w:id="9911"/>
      <w:bookmarkEnd w:id="9912"/>
      <w:bookmarkEnd w:id="9913"/>
      <w:bookmarkEnd w:id="9914"/>
      <w:bookmarkEnd w:id="9915"/>
      <w:bookmarkEnd w:id="9916"/>
      <w:bookmarkEnd w:id="9917"/>
    </w:p>
    <w:p w14:paraId="08938683" w14:textId="77777777" w:rsidR="003A71DE" w:rsidRDefault="003A71DE" w:rsidP="00BA0D24">
      <w:pPr>
        <w:pStyle w:val="TH"/>
        <w:rPr>
          <w:rFonts w:eastAsiaTheme="minorEastAsia"/>
          <w:noProof/>
        </w:rPr>
      </w:pPr>
      <w:r>
        <w:rPr>
          <w:rFonts w:eastAsiaTheme="minorEastAsia"/>
        </w:rPr>
        <w:t xml:space="preserve">Table G.1.5.1.3-1: SSB.3 FR1: SSB </w:t>
      </w:r>
      <w:r>
        <w:rPr>
          <w:rFonts w:eastAsiaTheme="minorEastAsia"/>
          <w:noProof/>
        </w:rPr>
        <w:t xml:space="preserve">Pattern 3 for SSB SCS=15 kHz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1346"/>
        <w:gridCol w:w="1347"/>
      </w:tblGrid>
      <w:tr w:rsidR="003A71DE" w14:paraId="0A169164"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1E9BF74E" w14:textId="77777777" w:rsidR="003A71DE" w:rsidRDefault="003A71DE" w:rsidP="007835E8">
            <w:pPr>
              <w:pStyle w:val="TAH"/>
              <w:rPr>
                <w:rFonts w:eastAsiaTheme="minorEastAsia"/>
              </w:rPr>
            </w:pPr>
            <w:r>
              <w:rPr>
                <w:rFonts w:eastAsiaTheme="minorEastAsia"/>
              </w:rPr>
              <w:t>SSB Parameters</w:t>
            </w:r>
          </w:p>
        </w:tc>
        <w:tc>
          <w:tcPr>
            <w:tcW w:w="2693" w:type="dxa"/>
            <w:gridSpan w:val="2"/>
            <w:tcBorders>
              <w:top w:val="single" w:sz="4" w:space="0" w:color="auto"/>
              <w:left w:val="single" w:sz="4" w:space="0" w:color="auto"/>
              <w:bottom w:val="single" w:sz="4" w:space="0" w:color="auto"/>
              <w:right w:val="single" w:sz="4" w:space="0" w:color="auto"/>
            </w:tcBorders>
            <w:hideMark/>
          </w:tcPr>
          <w:p w14:paraId="606B2926" w14:textId="77777777" w:rsidR="003A71DE" w:rsidRDefault="003A71DE" w:rsidP="007835E8">
            <w:pPr>
              <w:pStyle w:val="TAH"/>
              <w:rPr>
                <w:rFonts w:eastAsiaTheme="minorEastAsia"/>
              </w:rPr>
            </w:pPr>
            <w:r>
              <w:rPr>
                <w:rFonts w:eastAsiaTheme="minorEastAsia"/>
              </w:rPr>
              <w:t>Values</w:t>
            </w:r>
          </w:p>
        </w:tc>
      </w:tr>
      <w:tr w:rsidR="003A71DE" w14:paraId="45E23F6F"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1ED4631A" w14:textId="77777777" w:rsidR="003A71DE" w:rsidRDefault="003A71DE" w:rsidP="007835E8">
            <w:pPr>
              <w:pStyle w:val="TAL"/>
              <w:rPr>
                <w:rFonts w:eastAsiaTheme="minorEastAsia"/>
              </w:rPr>
            </w:pPr>
            <w:r>
              <w:rPr>
                <w:rFonts w:eastAsiaTheme="minorEastAsia"/>
              </w:rPr>
              <w:t>SSB SCS</w:t>
            </w:r>
          </w:p>
        </w:tc>
        <w:tc>
          <w:tcPr>
            <w:tcW w:w="2693" w:type="dxa"/>
            <w:gridSpan w:val="2"/>
            <w:tcBorders>
              <w:top w:val="single" w:sz="4" w:space="0" w:color="auto"/>
              <w:left w:val="single" w:sz="4" w:space="0" w:color="auto"/>
              <w:bottom w:val="single" w:sz="4" w:space="0" w:color="auto"/>
              <w:right w:val="single" w:sz="4" w:space="0" w:color="auto"/>
            </w:tcBorders>
            <w:hideMark/>
          </w:tcPr>
          <w:p w14:paraId="54EA91A5" w14:textId="77777777" w:rsidR="003A71DE" w:rsidRDefault="003A71DE" w:rsidP="007835E8">
            <w:pPr>
              <w:pStyle w:val="TAL"/>
              <w:rPr>
                <w:rFonts w:eastAsiaTheme="minorEastAsia"/>
              </w:rPr>
            </w:pPr>
            <w:r>
              <w:rPr>
                <w:rFonts w:eastAsiaTheme="minorEastAsia"/>
              </w:rPr>
              <w:t>15 kHz</w:t>
            </w:r>
          </w:p>
        </w:tc>
      </w:tr>
      <w:tr w:rsidR="003A71DE" w14:paraId="7FAF1BDA"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13A84CA9"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693" w:type="dxa"/>
            <w:gridSpan w:val="2"/>
            <w:tcBorders>
              <w:top w:val="single" w:sz="4" w:space="0" w:color="auto"/>
              <w:left w:val="single" w:sz="4" w:space="0" w:color="auto"/>
              <w:bottom w:val="single" w:sz="4" w:space="0" w:color="auto"/>
              <w:right w:val="single" w:sz="4" w:space="0" w:color="auto"/>
            </w:tcBorders>
            <w:hideMark/>
          </w:tcPr>
          <w:p w14:paraId="3A919FE0" w14:textId="77777777" w:rsidR="003A71DE" w:rsidRDefault="003A71DE" w:rsidP="007835E8">
            <w:pPr>
              <w:pStyle w:val="TAL"/>
              <w:rPr>
                <w:rFonts w:eastAsiaTheme="minorEastAsia"/>
              </w:rPr>
            </w:pPr>
            <w:r>
              <w:rPr>
                <w:rFonts w:eastAsiaTheme="minorEastAsia"/>
              </w:rPr>
              <w:t>20 ms</w:t>
            </w:r>
          </w:p>
        </w:tc>
      </w:tr>
      <w:tr w:rsidR="003A71DE" w14:paraId="340338F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7BCC8555" w14:textId="77777777" w:rsidR="003A71DE" w:rsidRDefault="003A71DE" w:rsidP="007835E8">
            <w:pPr>
              <w:pStyle w:val="TAL"/>
              <w:rPr>
                <w:rFonts w:eastAsiaTheme="minorEastAsia"/>
              </w:rPr>
            </w:pPr>
            <w:r>
              <w:rPr>
                <w:rFonts w:eastAsiaTheme="minorEastAsia"/>
              </w:rPr>
              <w:t>Number of SSBs per SS-burst</w:t>
            </w:r>
          </w:p>
        </w:tc>
        <w:tc>
          <w:tcPr>
            <w:tcW w:w="2693" w:type="dxa"/>
            <w:gridSpan w:val="2"/>
            <w:tcBorders>
              <w:top w:val="single" w:sz="4" w:space="0" w:color="auto"/>
              <w:left w:val="single" w:sz="4" w:space="0" w:color="auto"/>
              <w:bottom w:val="single" w:sz="4" w:space="0" w:color="auto"/>
              <w:right w:val="single" w:sz="4" w:space="0" w:color="auto"/>
            </w:tcBorders>
            <w:hideMark/>
          </w:tcPr>
          <w:p w14:paraId="702419EB" w14:textId="77777777" w:rsidR="003A71DE" w:rsidRDefault="003A71DE" w:rsidP="007835E8">
            <w:pPr>
              <w:pStyle w:val="TAL"/>
              <w:rPr>
                <w:rFonts w:eastAsiaTheme="minorEastAsia"/>
              </w:rPr>
            </w:pPr>
            <w:r>
              <w:rPr>
                <w:rFonts w:eastAsiaTheme="minorEastAsia"/>
              </w:rPr>
              <w:t>2</w:t>
            </w:r>
          </w:p>
        </w:tc>
      </w:tr>
      <w:tr w:rsidR="003A71DE" w14:paraId="4964DD3C"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7AAC5707" w14:textId="77777777" w:rsidR="003A71DE" w:rsidRDefault="003A71DE" w:rsidP="007835E8">
            <w:pPr>
              <w:pStyle w:val="TAL"/>
              <w:rPr>
                <w:rFonts w:eastAsiaTheme="minorEastAsia"/>
              </w:rPr>
            </w:pPr>
            <w:r>
              <w:rPr>
                <w:rFonts w:eastAsiaTheme="minorEastAsia"/>
              </w:rPr>
              <w:t>SS/PBCH block index</w:t>
            </w:r>
          </w:p>
        </w:tc>
        <w:tc>
          <w:tcPr>
            <w:tcW w:w="1346" w:type="dxa"/>
            <w:tcBorders>
              <w:top w:val="single" w:sz="4" w:space="0" w:color="auto"/>
              <w:left w:val="single" w:sz="4" w:space="0" w:color="auto"/>
              <w:bottom w:val="single" w:sz="4" w:space="0" w:color="auto"/>
              <w:right w:val="single" w:sz="4" w:space="0" w:color="auto"/>
            </w:tcBorders>
            <w:hideMark/>
          </w:tcPr>
          <w:p w14:paraId="4093B3CF" w14:textId="77777777" w:rsidR="003A71DE" w:rsidRDefault="003A71DE" w:rsidP="007835E8">
            <w:pPr>
              <w:pStyle w:val="TAL"/>
              <w:rPr>
                <w:rFonts w:eastAsiaTheme="minorEastAsia"/>
              </w:rPr>
            </w:pPr>
            <w:r>
              <w:rPr>
                <w:rFonts w:eastAsiaTheme="minorEastAsia"/>
              </w:rPr>
              <w:t>0</w:t>
            </w:r>
          </w:p>
        </w:tc>
        <w:tc>
          <w:tcPr>
            <w:tcW w:w="1347" w:type="dxa"/>
            <w:tcBorders>
              <w:top w:val="single" w:sz="4" w:space="0" w:color="auto"/>
              <w:left w:val="single" w:sz="4" w:space="0" w:color="auto"/>
              <w:bottom w:val="single" w:sz="4" w:space="0" w:color="auto"/>
              <w:right w:val="single" w:sz="4" w:space="0" w:color="auto"/>
            </w:tcBorders>
            <w:hideMark/>
          </w:tcPr>
          <w:p w14:paraId="7D65E73C" w14:textId="77777777" w:rsidR="003A71DE" w:rsidRDefault="003A71DE" w:rsidP="007835E8">
            <w:pPr>
              <w:pStyle w:val="TAL"/>
              <w:rPr>
                <w:rFonts w:eastAsiaTheme="minorEastAsia"/>
              </w:rPr>
            </w:pPr>
            <w:r>
              <w:rPr>
                <w:rFonts w:eastAsiaTheme="minorEastAsia"/>
              </w:rPr>
              <w:t>1</w:t>
            </w:r>
          </w:p>
        </w:tc>
      </w:tr>
      <w:tr w:rsidR="003A71DE" w14:paraId="3B6A132C"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3D882B20" w14:textId="77777777" w:rsidR="003A71DE" w:rsidRDefault="003A71DE" w:rsidP="007835E8">
            <w:pPr>
              <w:pStyle w:val="TAL"/>
              <w:rPr>
                <w:rFonts w:eastAsiaTheme="minorEastAsia"/>
              </w:rPr>
            </w:pPr>
            <w:r>
              <w:rPr>
                <w:rFonts w:eastAsiaTheme="minorEastAsia"/>
              </w:rPr>
              <w:t>Symbol numbers containing SSB</w:t>
            </w:r>
            <w:r>
              <w:rPr>
                <w:rFonts w:eastAsiaTheme="minorEastAsia"/>
                <w:vertAlign w:val="superscript"/>
              </w:rPr>
              <w:t xml:space="preserve"> Note 2</w:t>
            </w:r>
          </w:p>
        </w:tc>
        <w:tc>
          <w:tcPr>
            <w:tcW w:w="1346" w:type="dxa"/>
            <w:tcBorders>
              <w:top w:val="single" w:sz="4" w:space="0" w:color="auto"/>
              <w:left w:val="single" w:sz="4" w:space="0" w:color="auto"/>
              <w:bottom w:val="single" w:sz="4" w:space="0" w:color="auto"/>
              <w:right w:val="single" w:sz="4" w:space="0" w:color="auto"/>
            </w:tcBorders>
            <w:hideMark/>
          </w:tcPr>
          <w:p w14:paraId="2BEB4CC8" w14:textId="77777777" w:rsidR="003A71DE" w:rsidRDefault="003A71DE" w:rsidP="007835E8">
            <w:pPr>
              <w:pStyle w:val="TAL"/>
              <w:rPr>
                <w:rFonts w:eastAsiaTheme="minorEastAsia"/>
              </w:rPr>
            </w:pPr>
            <w:r>
              <w:rPr>
                <w:rFonts w:eastAsiaTheme="minorEastAsia"/>
              </w:rPr>
              <w:t>2-5</w:t>
            </w:r>
          </w:p>
        </w:tc>
        <w:tc>
          <w:tcPr>
            <w:tcW w:w="1347" w:type="dxa"/>
            <w:tcBorders>
              <w:top w:val="single" w:sz="4" w:space="0" w:color="auto"/>
              <w:left w:val="single" w:sz="4" w:space="0" w:color="auto"/>
              <w:bottom w:val="single" w:sz="4" w:space="0" w:color="auto"/>
              <w:right w:val="single" w:sz="4" w:space="0" w:color="auto"/>
            </w:tcBorders>
            <w:hideMark/>
          </w:tcPr>
          <w:p w14:paraId="7CED6C8B" w14:textId="77777777" w:rsidR="003A71DE" w:rsidRDefault="003A71DE" w:rsidP="007835E8">
            <w:pPr>
              <w:pStyle w:val="TAL"/>
              <w:rPr>
                <w:rFonts w:eastAsiaTheme="minorEastAsia"/>
              </w:rPr>
            </w:pPr>
            <w:r>
              <w:rPr>
                <w:rFonts w:eastAsiaTheme="minorEastAsia"/>
              </w:rPr>
              <w:t>8-11</w:t>
            </w:r>
          </w:p>
        </w:tc>
      </w:tr>
      <w:tr w:rsidR="003A71DE" w14:paraId="614578D3"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F6E506E"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1346" w:type="dxa"/>
            <w:tcBorders>
              <w:top w:val="single" w:sz="4" w:space="0" w:color="auto"/>
              <w:left w:val="single" w:sz="4" w:space="0" w:color="auto"/>
              <w:bottom w:val="single" w:sz="4" w:space="0" w:color="auto"/>
              <w:right w:val="single" w:sz="4" w:space="0" w:color="auto"/>
            </w:tcBorders>
            <w:hideMark/>
          </w:tcPr>
          <w:p w14:paraId="761076CE" w14:textId="77777777" w:rsidR="003A71DE" w:rsidRDefault="003A71DE" w:rsidP="007835E8">
            <w:pPr>
              <w:pStyle w:val="TAL"/>
              <w:rPr>
                <w:rFonts w:eastAsiaTheme="minorEastAsia"/>
              </w:rPr>
            </w:pPr>
            <w:r>
              <w:rPr>
                <w:rFonts w:eastAsiaTheme="minorEastAsia"/>
                <w:lang w:eastAsia="zh-TW"/>
              </w:rPr>
              <w:t>0</w:t>
            </w:r>
          </w:p>
        </w:tc>
        <w:tc>
          <w:tcPr>
            <w:tcW w:w="1347" w:type="dxa"/>
            <w:tcBorders>
              <w:top w:val="single" w:sz="4" w:space="0" w:color="auto"/>
              <w:left w:val="single" w:sz="4" w:space="0" w:color="auto"/>
              <w:bottom w:val="single" w:sz="4" w:space="0" w:color="auto"/>
              <w:right w:val="single" w:sz="4" w:space="0" w:color="auto"/>
            </w:tcBorders>
            <w:hideMark/>
          </w:tcPr>
          <w:p w14:paraId="70AABDEF" w14:textId="77777777" w:rsidR="003A71DE" w:rsidRDefault="003A71DE" w:rsidP="007835E8">
            <w:pPr>
              <w:pStyle w:val="TAL"/>
              <w:rPr>
                <w:rFonts w:eastAsiaTheme="minorEastAsia"/>
              </w:rPr>
            </w:pPr>
            <w:r>
              <w:rPr>
                <w:rFonts w:eastAsiaTheme="minorEastAsia"/>
                <w:lang w:eastAsia="zh-TW"/>
              </w:rPr>
              <w:t>0</w:t>
            </w:r>
          </w:p>
        </w:tc>
      </w:tr>
      <w:tr w:rsidR="003A71DE" w14:paraId="25247C63"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4139325C"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693" w:type="dxa"/>
            <w:gridSpan w:val="2"/>
            <w:tcBorders>
              <w:top w:val="single" w:sz="4" w:space="0" w:color="auto"/>
              <w:left w:val="single" w:sz="4" w:space="0" w:color="auto"/>
              <w:bottom w:val="single" w:sz="4" w:space="0" w:color="auto"/>
              <w:right w:val="single" w:sz="4" w:space="0" w:color="auto"/>
            </w:tcBorders>
            <w:hideMark/>
          </w:tcPr>
          <w:p w14:paraId="4A4DC8FD"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2F7EE35E"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03C499B7" w14:textId="77777777" w:rsidR="003A71DE" w:rsidRDefault="003A71DE" w:rsidP="007835E8">
            <w:pPr>
              <w:pStyle w:val="TAL"/>
              <w:rPr>
                <w:rFonts w:eastAsiaTheme="minorEastAsia"/>
              </w:rPr>
            </w:pPr>
            <w:r>
              <w:rPr>
                <w:rFonts w:eastAsiaTheme="minorEastAsia"/>
              </w:rPr>
              <w:t>RB numbers containing SSB within channel BW</w:t>
            </w:r>
          </w:p>
        </w:tc>
        <w:tc>
          <w:tcPr>
            <w:tcW w:w="2693" w:type="dxa"/>
            <w:gridSpan w:val="2"/>
            <w:tcBorders>
              <w:top w:val="single" w:sz="4" w:space="0" w:color="auto"/>
              <w:left w:val="single" w:sz="4" w:space="0" w:color="auto"/>
              <w:bottom w:val="single" w:sz="4" w:space="0" w:color="auto"/>
              <w:right w:val="single" w:sz="4" w:space="0" w:color="auto"/>
            </w:tcBorders>
            <w:hideMark/>
          </w:tcPr>
          <w:p w14:paraId="2849BA5A"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1AAC304A" w14:textId="77777777" w:rsidTr="003A71DE">
        <w:trPr>
          <w:jc w:val="center"/>
        </w:trPr>
        <w:tc>
          <w:tcPr>
            <w:tcW w:w="7372" w:type="dxa"/>
            <w:gridSpan w:val="3"/>
            <w:tcBorders>
              <w:top w:val="single" w:sz="4" w:space="0" w:color="auto"/>
              <w:left w:val="single" w:sz="4" w:space="0" w:color="auto"/>
              <w:bottom w:val="single" w:sz="4" w:space="0" w:color="auto"/>
              <w:right w:val="single" w:sz="4" w:space="0" w:color="auto"/>
            </w:tcBorders>
            <w:hideMark/>
          </w:tcPr>
          <w:p w14:paraId="31E54A5E" w14:textId="77777777" w:rsidR="003A71DE" w:rsidRDefault="003A71DE" w:rsidP="007835E8">
            <w:pPr>
              <w:pStyle w:val="TAN"/>
              <w:rPr>
                <w:rFonts w:eastAsiaTheme="minorEastAsia"/>
              </w:rPr>
            </w:pPr>
            <w:r>
              <w:rPr>
                <w:rFonts w:eastAsiaTheme="minorEastAsia"/>
              </w:rPr>
              <w:t>Note 1:</w:t>
            </w:r>
            <w:r>
              <w:rPr>
                <w:rFonts w:eastAsiaTheme="minorEastAsia"/>
                <w:lang w:eastAsia="zh-CN"/>
              </w:rPr>
              <w:tab/>
            </w:r>
            <w:r>
              <w:rPr>
                <w:rFonts w:eastAsiaTheme="minorEastAsia"/>
              </w:rPr>
              <w:t>RBs containing SSB can be configured in any frequency location within the cell bandwidth according to the allowed synchronization raster defined in clause 5.4.3</w:t>
            </w:r>
          </w:p>
          <w:p w14:paraId="4462BAFC"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5AC53915" w14:textId="77777777" w:rsidR="003A71DE" w:rsidRDefault="003A71DE" w:rsidP="003A71DE">
      <w:pPr>
        <w:rPr>
          <w:rFonts w:eastAsia="MS Mincho"/>
        </w:rPr>
      </w:pPr>
    </w:p>
    <w:p w14:paraId="5B2BCF4A" w14:textId="3EAB05F2" w:rsidR="003A71DE" w:rsidRDefault="003A71DE" w:rsidP="00FD7203">
      <w:pPr>
        <w:pStyle w:val="Heading5"/>
        <w:rPr>
          <w:rFonts w:eastAsiaTheme="minorEastAsia"/>
        </w:rPr>
      </w:pPr>
      <w:bookmarkStart w:id="9918" w:name="_Toc74583640"/>
      <w:bookmarkStart w:id="9919" w:name="_Toc76542453"/>
      <w:bookmarkStart w:id="9920" w:name="_Toc82450435"/>
      <w:bookmarkStart w:id="9921" w:name="_Toc82451083"/>
      <w:bookmarkStart w:id="9922" w:name="_Toc89949472"/>
      <w:bookmarkStart w:id="9923" w:name="_Toc98755861"/>
      <w:bookmarkStart w:id="9924" w:name="_Toc98763453"/>
      <w:bookmarkStart w:id="9925" w:name="_Toc106184382"/>
      <w:r>
        <w:rPr>
          <w:rFonts w:eastAsiaTheme="minorEastAsia"/>
        </w:rPr>
        <w:t>G.1.5.1.4</w:t>
      </w:r>
      <w:r>
        <w:rPr>
          <w:rFonts w:eastAsiaTheme="minorEastAsia"/>
        </w:rPr>
        <w:tab/>
        <w:t>SSB pattern 4 in FR1: SSB allocation for SSB SCS=30 kHz</w:t>
      </w:r>
      <w:bookmarkEnd w:id="9918"/>
      <w:bookmarkEnd w:id="9919"/>
      <w:bookmarkEnd w:id="9920"/>
      <w:bookmarkEnd w:id="9921"/>
      <w:bookmarkEnd w:id="9922"/>
      <w:bookmarkEnd w:id="9923"/>
      <w:bookmarkEnd w:id="9924"/>
      <w:bookmarkEnd w:id="9925"/>
    </w:p>
    <w:p w14:paraId="3ABC42F8" w14:textId="77777777" w:rsidR="003A71DE" w:rsidRDefault="003A71DE" w:rsidP="00BA0D24">
      <w:pPr>
        <w:pStyle w:val="TH"/>
        <w:rPr>
          <w:rFonts w:eastAsiaTheme="minorEastAsia"/>
          <w:noProof/>
        </w:rPr>
      </w:pPr>
      <w:r>
        <w:rPr>
          <w:rFonts w:eastAsiaTheme="minorEastAsia"/>
        </w:rPr>
        <w:t xml:space="preserve">Table G.1.5.1.4-1: SSB.4 FR1: SSB </w:t>
      </w:r>
      <w:r>
        <w:rPr>
          <w:rFonts w:eastAsiaTheme="minorEastAsia"/>
          <w:noProof/>
        </w:rPr>
        <w:t xml:space="preserve">Pattern 4 for SSB SCS=30 kHz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2"/>
        <w:gridCol w:w="1415"/>
        <w:gridCol w:w="1415"/>
      </w:tblGrid>
      <w:tr w:rsidR="003A71DE" w14:paraId="748C1AC4"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6361EBF3" w14:textId="77777777" w:rsidR="003A71DE" w:rsidRDefault="003A71DE" w:rsidP="007835E8">
            <w:pPr>
              <w:pStyle w:val="TAH"/>
              <w:rPr>
                <w:rFonts w:eastAsiaTheme="minorEastAsia"/>
              </w:rPr>
            </w:pPr>
            <w:r>
              <w:rPr>
                <w:rFonts w:eastAsiaTheme="minorEastAsia"/>
              </w:rPr>
              <w:t>SSB Parameters</w:t>
            </w:r>
          </w:p>
        </w:tc>
        <w:tc>
          <w:tcPr>
            <w:tcW w:w="2830" w:type="dxa"/>
            <w:gridSpan w:val="2"/>
            <w:tcBorders>
              <w:top w:val="single" w:sz="4" w:space="0" w:color="auto"/>
              <w:left w:val="single" w:sz="4" w:space="0" w:color="auto"/>
              <w:bottom w:val="single" w:sz="4" w:space="0" w:color="auto"/>
              <w:right w:val="single" w:sz="4" w:space="0" w:color="auto"/>
            </w:tcBorders>
            <w:hideMark/>
          </w:tcPr>
          <w:p w14:paraId="3EA5AA89" w14:textId="77777777" w:rsidR="003A71DE" w:rsidRDefault="003A71DE" w:rsidP="007835E8">
            <w:pPr>
              <w:pStyle w:val="TAH"/>
              <w:rPr>
                <w:rFonts w:eastAsiaTheme="minorEastAsia"/>
              </w:rPr>
            </w:pPr>
            <w:r>
              <w:rPr>
                <w:rFonts w:eastAsiaTheme="minorEastAsia"/>
              </w:rPr>
              <w:t>Values</w:t>
            </w:r>
          </w:p>
        </w:tc>
      </w:tr>
      <w:tr w:rsidR="003A71DE" w14:paraId="3D22D5B9"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3DEBB89B" w14:textId="77777777" w:rsidR="003A71DE" w:rsidRDefault="003A71DE" w:rsidP="007835E8">
            <w:pPr>
              <w:pStyle w:val="TAL"/>
              <w:rPr>
                <w:rFonts w:eastAsiaTheme="minorEastAsia"/>
              </w:rPr>
            </w:pPr>
            <w:r>
              <w:rPr>
                <w:rFonts w:eastAsiaTheme="minorEastAsia"/>
              </w:rPr>
              <w:t>SSB SCS</w:t>
            </w:r>
          </w:p>
        </w:tc>
        <w:tc>
          <w:tcPr>
            <w:tcW w:w="2830" w:type="dxa"/>
            <w:gridSpan w:val="2"/>
            <w:tcBorders>
              <w:top w:val="single" w:sz="4" w:space="0" w:color="auto"/>
              <w:left w:val="single" w:sz="4" w:space="0" w:color="auto"/>
              <w:bottom w:val="single" w:sz="4" w:space="0" w:color="auto"/>
              <w:right w:val="single" w:sz="4" w:space="0" w:color="auto"/>
            </w:tcBorders>
            <w:hideMark/>
          </w:tcPr>
          <w:p w14:paraId="1715DF43" w14:textId="77777777" w:rsidR="003A71DE" w:rsidRDefault="003A71DE" w:rsidP="007835E8">
            <w:pPr>
              <w:pStyle w:val="TAL"/>
              <w:rPr>
                <w:rFonts w:eastAsiaTheme="minorEastAsia"/>
              </w:rPr>
            </w:pPr>
            <w:r>
              <w:rPr>
                <w:rFonts w:eastAsiaTheme="minorEastAsia"/>
              </w:rPr>
              <w:t>30 kHz</w:t>
            </w:r>
          </w:p>
        </w:tc>
      </w:tr>
      <w:tr w:rsidR="003A71DE" w14:paraId="7EECB040"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7C6DDF83"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830" w:type="dxa"/>
            <w:gridSpan w:val="2"/>
            <w:tcBorders>
              <w:top w:val="single" w:sz="4" w:space="0" w:color="auto"/>
              <w:left w:val="single" w:sz="4" w:space="0" w:color="auto"/>
              <w:bottom w:val="single" w:sz="4" w:space="0" w:color="auto"/>
              <w:right w:val="single" w:sz="4" w:space="0" w:color="auto"/>
            </w:tcBorders>
            <w:hideMark/>
          </w:tcPr>
          <w:p w14:paraId="1E24A578" w14:textId="77777777" w:rsidR="003A71DE" w:rsidRDefault="003A71DE" w:rsidP="007835E8">
            <w:pPr>
              <w:pStyle w:val="TAL"/>
              <w:rPr>
                <w:rFonts w:eastAsiaTheme="minorEastAsia"/>
              </w:rPr>
            </w:pPr>
            <w:r>
              <w:rPr>
                <w:rFonts w:eastAsiaTheme="minorEastAsia"/>
              </w:rPr>
              <w:t>20 ms</w:t>
            </w:r>
          </w:p>
        </w:tc>
      </w:tr>
      <w:tr w:rsidR="003A71DE" w14:paraId="3D19D77E"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59328846" w14:textId="77777777" w:rsidR="003A71DE" w:rsidRDefault="003A71DE" w:rsidP="007835E8">
            <w:pPr>
              <w:pStyle w:val="TAL"/>
              <w:rPr>
                <w:rFonts w:eastAsiaTheme="minorEastAsia"/>
              </w:rPr>
            </w:pPr>
            <w:r>
              <w:rPr>
                <w:rFonts w:eastAsiaTheme="minorEastAsia"/>
              </w:rPr>
              <w:t>Number of SSBs per SS-burst</w:t>
            </w:r>
          </w:p>
        </w:tc>
        <w:tc>
          <w:tcPr>
            <w:tcW w:w="2830" w:type="dxa"/>
            <w:gridSpan w:val="2"/>
            <w:tcBorders>
              <w:top w:val="single" w:sz="4" w:space="0" w:color="auto"/>
              <w:left w:val="single" w:sz="4" w:space="0" w:color="auto"/>
              <w:bottom w:val="single" w:sz="4" w:space="0" w:color="auto"/>
              <w:right w:val="single" w:sz="4" w:space="0" w:color="auto"/>
            </w:tcBorders>
            <w:hideMark/>
          </w:tcPr>
          <w:p w14:paraId="02A2DD8B" w14:textId="77777777" w:rsidR="003A71DE" w:rsidRDefault="003A71DE" w:rsidP="007835E8">
            <w:pPr>
              <w:pStyle w:val="TAL"/>
              <w:rPr>
                <w:rFonts w:eastAsiaTheme="minorEastAsia"/>
              </w:rPr>
            </w:pPr>
            <w:r>
              <w:rPr>
                <w:rFonts w:eastAsiaTheme="minorEastAsia"/>
              </w:rPr>
              <w:t>2</w:t>
            </w:r>
          </w:p>
        </w:tc>
      </w:tr>
      <w:tr w:rsidR="003A71DE" w14:paraId="58364685"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236CC6E2" w14:textId="77777777" w:rsidR="003A71DE" w:rsidRDefault="003A71DE" w:rsidP="007835E8">
            <w:pPr>
              <w:pStyle w:val="TAL"/>
              <w:rPr>
                <w:rFonts w:eastAsiaTheme="minorEastAsia"/>
              </w:rPr>
            </w:pPr>
            <w:r>
              <w:rPr>
                <w:rFonts w:eastAsiaTheme="minorEastAsia"/>
              </w:rPr>
              <w:t>SS/PBCH block index</w:t>
            </w:r>
          </w:p>
        </w:tc>
        <w:tc>
          <w:tcPr>
            <w:tcW w:w="1415" w:type="dxa"/>
            <w:tcBorders>
              <w:top w:val="single" w:sz="4" w:space="0" w:color="auto"/>
              <w:left w:val="single" w:sz="4" w:space="0" w:color="auto"/>
              <w:bottom w:val="single" w:sz="4" w:space="0" w:color="auto"/>
              <w:right w:val="single" w:sz="4" w:space="0" w:color="auto"/>
            </w:tcBorders>
            <w:hideMark/>
          </w:tcPr>
          <w:p w14:paraId="1F1688DF" w14:textId="77777777" w:rsidR="003A71DE" w:rsidRDefault="003A71DE" w:rsidP="007835E8">
            <w:pPr>
              <w:pStyle w:val="TAL"/>
              <w:rPr>
                <w:rFonts w:eastAsiaTheme="minorEastAsia"/>
              </w:rPr>
            </w:pPr>
            <w:r>
              <w:rPr>
                <w:rFonts w:eastAsiaTheme="minorEastAsia"/>
              </w:rPr>
              <w:t>0</w:t>
            </w:r>
          </w:p>
        </w:tc>
        <w:tc>
          <w:tcPr>
            <w:tcW w:w="1415" w:type="dxa"/>
            <w:tcBorders>
              <w:top w:val="single" w:sz="4" w:space="0" w:color="auto"/>
              <w:left w:val="single" w:sz="4" w:space="0" w:color="auto"/>
              <w:bottom w:val="single" w:sz="4" w:space="0" w:color="auto"/>
              <w:right w:val="single" w:sz="4" w:space="0" w:color="auto"/>
            </w:tcBorders>
            <w:hideMark/>
          </w:tcPr>
          <w:p w14:paraId="3E8D9267" w14:textId="77777777" w:rsidR="003A71DE" w:rsidRDefault="003A71DE" w:rsidP="007835E8">
            <w:pPr>
              <w:pStyle w:val="TAL"/>
              <w:rPr>
                <w:rFonts w:eastAsiaTheme="minorEastAsia"/>
              </w:rPr>
            </w:pPr>
            <w:r>
              <w:rPr>
                <w:rFonts w:eastAsiaTheme="minorEastAsia"/>
              </w:rPr>
              <w:t>1</w:t>
            </w:r>
          </w:p>
        </w:tc>
      </w:tr>
      <w:tr w:rsidR="003A71DE" w14:paraId="529ED0DA"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353C32A3" w14:textId="77777777" w:rsidR="003A71DE" w:rsidRDefault="003A71DE" w:rsidP="007835E8">
            <w:pPr>
              <w:pStyle w:val="TAL"/>
              <w:rPr>
                <w:rFonts w:eastAsiaTheme="minorEastAsia"/>
              </w:rPr>
            </w:pPr>
            <w:r>
              <w:rPr>
                <w:rFonts w:eastAsiaTheme="minorEastAsia"/>
              </w:rPr>
              <w:t>Symbol numbers containing SSB</w:t>
            </w:r>
            <w:r>
              <w:rPr>
                <w:rFonts w:eastAsiaTheme="minorEastAsia"/>
                <w:vertAlign w:val="superscript"/>
              </w:rPr>
              <w:t xml:space="preserve"> Note 3</w:t>
            </w:r>
          </w:p>
        </w:tc>
        <w:tc>
          <w:tcPr>
            <w:tcW w:w="1415" w:type="dxa"/>
            <w:tcBorders>
              <w:top w:val="single" w:sz="4" w:space="0" w:color="auto"/>
              <w:left w:val="single" w:sz="4" w:space="0" w:color="auto"/>
              <w:bottom w:val="single" w:sz="4" w:space="0" w:color="auto"/>
              <w:right w:val="single" w:sz="4" w:space="0" w:color="auto"/>
            </w:tcBorders>
            <w:hideMark/>
          </w:tcPr>
          <w:p w14:paraId="616F5448" w14:textId="77777777" w:rsidR="003A71DE" w:rsidRDefault="003A71DE" w:rsidP="007835E8">
            <w:pPr>
              <w:pStyle w:val="TAL"/>
              <w:rPr>
                <w:rFonts w:eastAsiaTheme="minorEastAsia"/>
              </w:rPr>
            </w:pPr>
            <w:r>
              <w:rPr>
                <w:rFonts w:eastAsiaTheme="minorEastAsia"/>
              </w:rPr>
              <w:t xml:space="preserve">4-7 or 2-5 </w:t>
            </w:r>
            <w:r>
              <w:rPr>
                <w:rFonts w:eastAsiaTheme="minorEastAsia"/>
                <w:vertAlign w:val="superscript"/>
              </w:rPr>
              <w:t>Note 2</w:t>
            </w:r>
          </w:p>
        </w:tc>
        <w:tc>
          <w:tcPr>
            <w:tcW w:w="1415" w:type="dxa"/>
            <w:tcBorders>
              <w:top w:val="single" w:sz="4" w:space="0" w:color="auto"/>
              <w:left w:val="single" w:sz="4" w:space="0" w:color="auto"/>
              <w:bottom w:val="single" w:sz="4" w:space="0" w:color="auto"/>
              <w:right w:val="single" w:sz="4" w:space="0" w:color="auto"/>
            </w:tcBorders>
            <w:hideMark/>
          </w:tcPr>
          <w:p w14:paraId="0701296C" w14:textId="77777777" w:rsidR="003A71DE" w:rsidRDefault="003A71DE" w:rsidP="007835E8">
            <w:pPr>
              <w:pStyle w:val="TAL"/>
              <w:rPr>
                <w:rFonts w:eastAsiaTheme="minorEastAsia"/>
              </w:rPr>
            </w:pPr>
            <w:r>
              <w:rPr>
                <w:rFonts w:eastAsiaTheme="minorEastAsia"/>
              </w:rPr>
              <w:t>8-11</w:t>
            </w:r>
          </w:p>
        </w:tc>
      </w:tr>
      <w:tr w:rsidR="003A71DE" w14:paraId="00B6374E"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31BF1303"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3</w:t>
            </w:r>
          </w:p>
        </w:tc>
        <w:tc>
          <w:tcPr>
            <w:tcW w:w="1415" w:type="dxa"/>
            <w:tcBorders>
              <w:top w:val="single" w:sz="4" w:space="0" w:color="auto"/>
              <w:left w:val="single" w:sz="4" w:space="0" w:color="auto"/>
              <w:bottom w:val="single" w:sz="4" w:space="0" w:color="auto"/>
              <w:right w:val="single" w:sz="4" w:space="0" w:color="auto"/>
            </w:tcBorders>
            <w:hideMark/>
          </w:tcPr>
          <w:p w14:paraId="0A492F70" w14:textId="77777777" w:rsidR="003A71DE" w:rsidRDefault="003A71DE" w:rsidP="007835E8">
            <w:pPr>
              <w:pStyle w:val="TAL"/>
              <w:rPr>
                <w:rFonts w:eastAsiaTheme="minorEastAsia"/>
              </w:rPr>
            </w:pPr>
            <w:r>
              <w:rPr>
                <w:rFonts w:eastAsiaTheme="minorEastAsia"/>
                <w:lang w:eastAsia="zh-TW"/>
              </w:rPr>
              <w:t>0</w:t>
            </w:r>
          </w:p>
        </w:tc>
        <w:tc>
          <w:tcPr>
            <w:tcW w:w="1415" w:type="dxa"/>
            <w:tcBorders>
              <w:top w:val="single" w:sz="4" w:space="0" w:color="auto"/>
              <w:left w:val="single" w:sz="4" w:space="0" w:color="auto"/>
              <w:bottom w:val="single" w:sz="4" w:space="0" w:color="auto"/>
              <w:right w:val="single" w:sz="4" w:space="0" w:color="auto"/>
            </w:tcBorders>
            <w:hideMark/>
          </w:tcPr>
          <w:p w14:paraId="34AD8AE5" w14:textId="77777777" w:rsidR="003A71DE" w:rsidRDefault="003A71DE" w:rsidP="007835E8">
            <w:pPr>
              <w:pStyle w:val="TAL"/>
              <w:rPr>
                <w:rFonts w:eastAsiaTheme="minorEastAsia"/>
              </w:rPr>
            </w:pPr>
            <w:r>
              <w:rPr>
                <w:rFonts w:eastAsiaTheme="minorEastAsia"/>
                <w:lang w:eastAsia="zh-TW"/>
              </w:rPr>
              <w:t>0</w:t>
            </w:r>
          </w:p>
        </w:tc>
      </w:tr>
      <w:tr w:rsidR="003A71DE" w14:paraId="67102D6B"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69746315"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830" w:type="dxa"/>
            <w:gridSpan w:val="2"/>
            <w:tcBorders>
              <w:top w:val="single" w:sz="4" w:space="0" w:color="auto"/>
              <w:left w:val="single" w:sz="4" w:space="0" w:color="auto"/>
              <w:bottom w:val="single" w:sz="4" w:space="0" w:color="auto"/>
              <w:right w:val="single" w:sz="4" w:space="0" w:color="auto"/>
            </w:tcBorders>
            <w:hideMark/>
          </w:tcPr>
          <w:p w14:paraId="3109FBDD"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4C795055" w14:textId="77777777" w:rsidTr="003A71DE">
        <w:trPr>
          <w:jc w:val="center"/>
        </w:trPr>
        <w:tc>
          <w:tcPr>
            <w:tcW w:w="4682" w:type="dxa"/>
            <w:tcBorders>
              <w:top w:val="single" w:sz="4" w:space="0" w:color="auto"/>
              <w:left w:val="single" w:sz="4" w:space="0" w:color="auto"/>
              <w:bottom w:val="single" w:sz="4" w:space="0" w:color="auto"/>
              <w:right w:val="single" w:sz="4" w:space="0" w:color="auto"/>
            </w:tcBorders>
            <w:hideMark/>
          </w:tcPr>
          <w:p w14:paraId="72AB3D6E" w14:textId="77777777" w:rsidR="003A71DE" w:rsidRDefault="003A71DE" w:rsidP="007835E8">
            <w:pPr>
              <w:pStyle w:val="TAL"/>
              <w:rPr>
                <w:rFonts w:eastAsiaTheme="minorEastAsia"/>
              </w:rPr>
            </w:pPr>
            <w:r>
              <w:rPr>
                <w:rFonts w:eastAsiaTheme="minorEastAsia"/>
              </w:rPr>
              <w:t>RB numbers containing SSB within channel BW</w:t>
            </w:r>
          </w:p>
        </w:tc>
        <w:tc>
          <w:tcPr>
            <w:tcW w:w="2830" w:type="dxa"/>
            <w:gridSpan w:val="2"/>
            <w:tcBorders>
              <w:top w:val="single" w:sz="4" w:space="0" w:color="auto"/>
              <w:left w:val="single" w:sz="4" w:space="0" w:color="auto"/>
              <w:bottom w:val="single" w:sz="4" w:space="0" w:color="auto"/>
              <w:right w:val="single" w:sz="4" w:space="0" w:color="auto"/>
            </w:tcBorders>
            <w:hideMark/>
          </w:tcPr>
          <w:p w14:paraId="2E60A3D1"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221BD7F1" w14:textId="77777777" w:rsidTr="003A71DE">
        <w:trPr>
          <w:jc w:val="center"/>
        </w:trPr>
        <w:tc>
          <w:tcPr>
            <w:tcW w:w="7512" w:type="dxa"/>
            <w:gridSpan w:val="3"/>
            <w:tcBorders>
              <w:top w:val="single" w:sz="4" w:space="0" w:color="auto"/>
              <w:left w:val="single" w:sz="4" w:space="0" w:color="auto"/>
              <w:bottom w:val="single" w:sz="4" w:space="0" w:color="auto"/>
              <w:right w:val="single" w:sz="4" w:space="0" w:color="auto"/>
            </w:tcBorders>
            <w:hideMark/>
          </w:tcPr>
          <w:p w14:paraId="650BAAB0" w14:textId="77777777" w:rsidR="003A71DE" w:rsidRDefault="003A71DE" w:rsidP="007835E8">
            <w:pPr>
              <w:pStyle w:val="TAN"/>
              <w:rPr>
                <w:rFonts w:eastAsiaTheme="minorEastAsia"/>
              </w:rPr>
            </w:pPr>
            <w:r>
              <w:rPr>
                <w:rFonts w:eastAsiaTheme="minorEastAsia"/>
              </w:rPr>
              <w:t>Note 1:</w:t>
            </w:r>
            <w:r>
              <w:rPr>
                <w:rFonts w:eastAsiaTheme="minorEastAsia"/>
                <w:lang w:eastAsia="zh-CN"/>
              </w:rPr>
              <w:tab/>
            </w:r>
            <w:r>
              <w:rPr>
                <w:rFonts w:eastAsiaTheme="minorEastAsia"/>
              </w:rPr>
              <w:t>RBs containing SSB can be configured in any frequency location within the cell bandwidth according to the allowed synchronization raster defined in clause 5.4.3.</w:t>
            </w:r>
          </w:p>
          <w:p w14:paraId="0BA00BAA" w14:textId="77777777" w:rsidR="003A71DE" w:rsidRDefault="003A71DE" w:rsidP="007835E8">
            <w:pPr>
              <w:pStyle w:val="TAN"/>
              <w:rPr>
                <w:rFonts w:eastAsiaTheme="minorEastAsia"/>
              </w:rPr>
            </w:pPr>
            <w:r>
              <w:rPr>
                <w:rFonts w:eastAsiaTheme="minorEastAsia"/>
              </w:rPr>
              <w:t>Note 2:</w:t>
            </w:r>
            <w:r>
              <w:rPr>
                <w:rFonts w:eastAsiaTheme="minorEastAsia"/>
                <w:lang w:eastAsia="zh-CN"/>
              </w:rPr>
              <w:tab/>
            </w:r>
            <w:r>
              <w:rPr>
                <w:rFonts w:eastAsiaTheme="minorEastAsia"/>
              </w:rPr>
              <w:t>Symbols 4-7 is chosen, if the SSB pattern Case B should be used for the current band as defined in clause 5.4.3; Otherwise, symbol 2-5 is chosen.</w:t>
            </w:r>
          </w:p>
          <w:p w14:paraId="15EC378D" w14:textId="77777777" w:rsidR="003A71DE" w:rsidRDefault="003A71DE" w:rsidP="007835E8">
            <w:pPr>
              <w:pStyle w:val="TAN"/>
              <w:rPr>
                <w:rFonts w:eastAsiaTheme="minorEastAsia"/>
              </w:rPr>
            </w:pPr>
            <w:r>
              <w:rPr>
                <w:rFonts w:eastAsiaTheme="minorEastAsia"/>
              </w:rPr>
              <w:t>Note 3:</w:t>
            </w:r>
            <w:r>
              <w:rPr>
                <w:rFonts w:eastAsiaTheme="minorEastAsia"/>
              </w:rPr>
              <w:tab/>
              <w:t>These values have been derived from other parameters for information purposes (as per TS 38.213 [3]). They are not settable parameters themselves.</w:t>
            </w:r>
          </w:p>
        </w:tc>
      </w:tr>
    </w:tbl>
    <w:p w14:paraId="2138097A" w14:textId="77777777" w:rsidR="003A71DE" w:rsidRDefault="003A71DE" w:rsidP="003A71DE">
      <w:pPr>
        <w:rPr>
          <w:rFonts w:eastAsia="MS Mincho"/>
        </w:rPr>
      </w:pPr>
    </w:p>
    <w:p w14:paraId="7DD04763" w14:textId="2CD9A803" w:rsidR="003A71DE" w:rsidRDefault="003A71DE" w:rsidP="00FD7203">
      <w:pPr>
        <w:pStyle w:val="Heading5"/>
        <w:rPr>
          <w:rFonts w:eastAsiaTheme="minorEastAsia"/>
        </w:rPr>
      </w:pPr>
      <w:bookmarkStart w:id="9926" w:name="_Toc74583641"/>
      <w:bookmarkStart w:id="9927" w:name="_Toc76542454"/>
      <w:bookmarkStart w:id="9928" w:name="_Toc82450436"/>
      <w:bookmarkStart w:id="9929" w:name="_Toc82451084"/>
      <w:bookmarkStart w:id="9930" w:name="_Toc89949473"/>
      <w:bookmarkStart w:id="9931" w:name="_Toc98755862"/>
      <w:bookmarkStart w:id="9932" w:name="_Toc98763454"/>
      <w:bookmarkStart w:id="9933" w:name="_Toc106184383"/>
      <w:r>
        <w:rPr>
          <w:rFonts w:eastAsiaTheme="minorEastAsia"/>
        </w:rPr>
        <w:t>G.1.5.1.5</w:t>
      </w:r>
      <w:r>
        <w:rPr>
          <w:rFonts w:eastAsiaTheme="minorEastAsia"/>
        </w:rPr>
        <w:tab/>
        <w:t xml:space="preserve">SSB pattern 5 in FR1: </w:t>
      </w:r>
      <w:r>
        <w:rPr>
          <w:rFonts w:eastAsiaTheme="minorEastAsia"/>
          <w:lang w:eastAsia="ja-JP"/>
        </w:rPr>
        <w:t xml:space="preserve">SSB </w:t>
      </w:r>
      <w:r>
        <w:rPr>
          <w:rFonts w:eastAsiaTheme="minorEastAsia"/>
        </w:rPr>
        <w:t>allocation</w:t>
      </w:r>
      <w:r>
        <w:rPr>
          <w:rFonts w:eastAsiaTheme="minorEastAsia"/>
          <w:lang w:eastAsia="ja-JP"/>
        </w:rPr>
        <w:t xml:space="preserve"> for SSB SCS=15 kHz starting from odd SFN</w:t>
      </w:r>
      <w:bookmarkEnd w:id="9926"/>
      <w:bookmarkEnd w:id="9927"/>
      <w:bookmarkEnd w:id="9928"/>
      <w:bookmarkEnd w:id="9929"/>
      <w:bookmarkEnd w:id="9930"/>
      <w:bookmarkEnd w:id="9931"/>
      <w:bookmarkEnd w:id="9932"/>
      <w:bookmarkEnd w:id="9933"/>
    </w:p>
    <w:p w14:paraId="3A4F9867" w14:textId="732D5C01" w:rsidR="003A71DE" w:rsidRDefault="003A71DE" w:rsidP="00BA0D24">
      <w:pPr>
        <w:pStyle w:val="TH"/>
        <w:rPr>
          <w:rFonts w:eastAsiaTheme="minorEastAsia"/>
          <w:noProof/>
        </w:rPr>
      </w:pPr>
      <w:r>
        <w:rPr>
          <w:rFonts w:eastAsiaTheme="minorEastAsia"/>
        </w:rPr>
        <w:t xml:space="preserve">Table G.1.5.1.5-1: SSB.5 FR1: SSB </w:t>
      </w:r>
      <w:r>
        <w:rPr>
          <w:rFonts w:eastAsiaTheme="minorEastAsia"/>
          <w:noProof/>
        </w:rPr>
        <w:t>Pattern 5 for SSB SCS=15 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3266"/>
      </w:tblGrid>
      <w:tr w:rsidR="003A71DE" w14:paraId="64C2257F"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1A966F94" w14:textId="77777777" w:rsidR="003A71DE" w:rsidRDefault="003A71DE" w:rsidP="007835E8">
            <w:pPr>
              <w:pStyle w:val="TAH"/>
              <w:rPr>
                <w:rFonts w:eastAsiaTheme="minorEastAsia"/>
              </w:rPr>
            </w:pPr>
            <w:r>
              <w:rPr>
                <w:rFonts w:eastAsiaTheme="minorEastAsia"/>
              </w:rPr>
              <w:t>SSB Parameters</w:t>
            </w:r>
          </w:p>
        </w:tc>
        <w:tc>
          <w:tcPr>
            <w:tcW w:w="3266" w:type="dxa"/>
            <w:tcBorders>
              <w:top w:val="single" w:sz="4" w:space="0" w:color="auto"/>
              <w:left w:val="single" w:sz="4" w:space="0" w:color="auto"/>
              <w:bottom w:val="single" w:sz="4" w:space="0" w:color="auto"/>
              <w:right w:val="single" w:sz="4" w:space="0" w:color="auto"/>
            </w:tcBorders>
            <w:hideMark/>
          </w:tcPr>
          <w:p w14:paraId="1843312C" w14:textId="77777777" w:rsidR="003A71DE" w:rsidRDefault="003A71DE" w:rsidP="007835E8">
            <w:pPr>
              <w:pStyle w:val="TAH"/>
              <w:rPr>
                <w:rFonts w:eastAsiaTheme="minorEastAsia"/>
              </w:rPr>
            </w:pPr>
            <w:r>
              <w:rPr>
                <w:rFonts w:eastAsiaTheme="minorEastAsia"/>
              </w:rPr>
              <w:t>Values</w:t>
            </w:r>
          </w:p>
        </w:tc>
      </w:tr>
      <w:tr w:rsidR="003A71DE" w14:paraId="6034692F"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0725620A" w14:textId="77777777" w:rsidR="003A71DE" w:rsidRDefault="003A71DE" w:rsidP="007835E8">
            <w:pPr>
              <w:pStyle w:val="TAL"/>
              <w:rPr>
                <w:rFonts w:eastAsiaTheme="minorEastAsia"/>
              </w:rPr>
            </w:pPr>
            <w:r>
              <w:rPr>
                <w:rFonts w:eastAsiaTheme="minorEastAsia"/>
              </w:rPr>
              <w:t>SSB SCS</w:t>
            </w:r>
          </w:p>
        </w:tc>
        <w:tc>
          <w:tcPr>
            <w:tcW w:w="3266" w:type="dxa"/>
            <w:tcBorders>
              <w:top w:val="single" w:sz="4" w:space="0" w:color="auto"/>
              <w:left w:val="single" w:sz="4" w:space="0" w:color="auto"/>
              <w:bottom w:val="single" w:sz="4" w:space="0" w:color="auto"/>
              <w:right w:val="single" w:sz="4" w:space="0" w:color="auto"/>
            </w:tcBorders>
            <w:hideMark/>
          </w:tcPr>
          <w:p w14:paraId="402ED87F" w14:textId="77777777" w:rsidR="003A71DE" w:rsidRDefault="003A71DE" w:rsidP="007835E8">
            <w:pPr>
              <w:pStyle w:val="TAL"/>
              <w:rPr>
                <w:rFonts w:eastAsiaTheme="minorEastAsia"/>
              </w:rPr>
            </w:pPr>
            <w:r>
              <w:rPr>
                <w:rFonts w:eastAsiaTheme="minorEastAsia"/>
              </w:rPr>
              <w:t>15 kHz</w:t>
            </w:r>
          </w:p>
        </w:tc>
      </w:tr>
      <w:tr w:rsidR="003A71DE" w14:paraId="1C0FE6A6"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55B4233D"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3266" w:type="dxa"/>
            <w:tcBorders>
              <w:top w:val="single" w:sz="4" w:space="0" w:color="auto"/>
              <w:left w:val="single" w:sz="4" w:space="0" w:color="auto"/>
              <w:bottom w:val="single" w:sz="4" w:space="0" w:color="auto"/>
              <w:right w:val="single" w:sz="4" w:space="0" w:color="auto"/>
            </w:tcBorders>
            <w:hideMark/>
          </w:tcPr>
          <w:p w14:paraId="7AB8BBF7" w14:textId="77777777" w:rsidR="003A71DE" w:rsidRDefault="003A71DE" w:rsidP="007835E8">
            <w:pPr>
              <w:pStyle w:val="TAL"/>
              <w:rPr>
                <w:rFonts w:eastAsiaTheme="minorEastAsia"/>
              </w:rPr>
            </w:pPr>
            <w:r>
              <w:rPr>
                <w:rFonts w:eastAsiaTheme="minorEastAsia"/>
              </w:rPr>
              <w:t>20 ms</w:t>
            </w:r>
          </w:p>
        </w:tc>
      </w:tr>
      <w:tr w:rsidR="003A71DE" w14:paraId="18A7BAE8"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291021C8" w14:textId="77777777" w:rsidR="003A71DE" w:rsidRDefault="003A71DE" w:rsidP="007835E8">
            <w:pPr>
              <w:pStyle w:val="TAL"/>
              <w:rPr>
                <w:rFonts w:eastAsiaTheme="minorEastAsia"/>
              </w:rPr>
            </w:pPr>
            <w:r>
              <w:rPr>
                <w:rFonts w:eastAsiaTheme="minorEastAsia"/>
              </w:rPr>
              <w:t>Number of SSBs per SS-burst</w:t>
            </w:r>
          </w:p>
        </w:tc>
        <w:tc>
          <w:tcPr>
            <w:tcW w:w="3266" w:type="dxa"/>
            <w:tcBorders>
              <w:top w:val="single" w:sz="4" w:space="0" w:color="auto"/>
              <w:left w:val="single" w:sz="4" w:space="0" w:color="auto"/>
              <w:bottom w:val="single" w:sz="4" w:space="0" w:color="auto"/>
              <w:right w:val="single" w:sz="4" w:space="0" w:color="auto"/>
            </w:tcBorders>
            <w:hideMark/>
          </w:tcPr>
          <w:p w14:paraId="6AECC753" w14:textId="77777777" w:rsidR="003A71DE" w:rsidRDefault="003A71DE" w:rsidP="007835E8">
            <w:pPr>
              <w:pStyle w:val="TAL"/>
              <w:rPr>
                <w:rFonts w:eastAsiaTheme="minorEastAsia"/>
              </w:rPr>
            </w:pPr>
            <w:r>
              <w:rPr>
                <w:rFonts w:eastAsiaTheme="minorEastAsia"/>
              </w:rPr>
              <w:t>1</w:t>
            </w:r>
          </w:p>
        </w:tc>
      </w:tr>
      <w:tr w:rsidR="003A71DE" w14:paraId="6650850D"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75BA2494" w14:textId="77777777" w:rsidR="003A71DE" w:rsidRDefault="003A71DE" w:rsidP="007835E8">
            <w:pPr>
              <w:pStyle w:val="TAL"/>
              <w:rPr>
                <w:rFonts w:eastAsiaTheme="minorEastAsia"/>
              </w:rPr>
            </w:pPr>
            <w:r>
              <w:rPr>
                <w:rFonts w:eastAsiaTheme="minorEastAsia"/>
              </w:rPr>
              <w:t>SS/PBCH block index</w:t>
            </w:r>
          </w:p>
        </w:tc>
        <w:tc>
          <w:tcPr>
            <w:tcW w:w="3266" w:type="dxa"/>
            <w:tcBorders>
              <w:top w:val="single" w:sz="4" w:space="0" w:color="auto"/>
              <w:left w:val="single" w:sz="4" w:space="0" w:color="auto"/>
              <w:bottom w:val="single" w:sz="4" w:space="0" w:color="auto"/>
              <w:right w:val="single" w:sz="4" w:space="0" w:color="auto"/>
            </w:tcBorders>
            <w:hideMark/>
          </w:tcPr>
          <w:p w14:paraId="011A3ADB" w14:textId="77777777" w:rsidR="003A71DE" w:rsidRDefault="003A71DE" w:rsidP="007835E8">
            <w:pPr>
              <w:pStyle w:val="TAL"/>
              <w:rPr>
                <w:rFonts w:eastAsiaTheme="minorEastAsia"/>
              </w:rPr>
            </w:pPr>
            <w:r>
              <w:rPr>
                <w:rFonts w:eastAsiaTheme="minorEastAsia"/>
              </w:rPr>
              <w:t>0</w:t>
            </w:r>
          </w:p>
        </w:tc>
      </w:tr>
      <w:tr w:rsidR="003A71DE" w14:paraId="1E56D254"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3A0D24FB" w14:textId="77777777" w:rsidR="003A71DE" w:rsidRDefault="003A71DE" w:rsidP="007835E8">
            <w:pPr>
              <w:pStyle w:val="TAL"/>
              <w:rPr>
                <w:rFonts w:eastAsiaTheme="minorEastAsia"/>
              </w:rPr>
            </w:pPr>
            <w:r>
              <w:rPr>
                <w:rFonts w:eastAsiaTheme="minorEastAsia"/>
              </w:rPr>
              <w:t>Symbol numbers containing SSB</w:t>
            </w:r>
            <w:r>
              <w:rPr>
                <w:rFonts w:eastAsiaTheme="minorEastAsia"/>
                <w:vertAlign w:val="superscript"/>
              </w:rPr>
              <w:t xml:space="preserve"> Note 2</w:t>
            </w:r>
          </w:p>
        </w:tc>
        <w:tc>
          <w:tcPr>
            <w:tcW w:w="3266" w:type="dxa"/>
            <w:tcBorders>
              <w:top w:val="single" w:sz="4" w:space="0" w:color="auto"/>
              <w:left w:val="single" w:sz="4" w:space="0" w:color="auto"/>
              <w:bottom w:val="single" w:sz="4" w:space="0" w:color="auto"/>
              <w:right w:val="single" w:sz="4" w:space="0" w:color="auto"/>
            </w:tcBorders>
            <w:hideMark/>
          </w:tcPr>
          <w:p w14:paraId="25508DA6" w14:textId="77777777" w:rsidR="003A71DE" w:rsidRDefault="003A71DE" w:rsidP="007835E8">
            <w:pPr>
              <w:pStyle w:val="TAL"/>
              <w:rPr>
                <w:rFonts w:eastAsiaTheme="minorEastAsia"/>
              </w:rPr>
            </w:pPr>
            <w:r>
              <w:rPr>
                <w:rFonts w:eastAsiaTheme="minorEastAsia"/>
              </w:rPr>
              <w:t>2-5</w:t>
            </w:r>
          </w:p>
        </w:tc>
      </w:tr>
      <w:tr w:rsidR="003A71DE" w14:paraId="5AC2AA83"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03CF9CC3"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3266" w:type="dxa"/>
            <w:tcBorders>
              <w:top w:val="single" w:sz="4" w:space="0" w:color="auto"/>
              <w:left w:val="single" w:sz="4" w:space="0" w:color="auto"/>
              <w:bottom w:val="single" w:sz="4" w:space="0" w:color="auto"/>
              <w:right w:val="single" w:sz="4" w:space="0" w:color="auto"/>
            </w:tcBorders>
            <w:hideMark/>
          </w:tcPr>
          <w:p w14:paraId="4EBD99D0" w14:textId="77777777" w:rsidR="003A71DE" w:rsidRDefault="003A71DE" w:rsidP="007835E8">
            <w:pPr>
              <w:pStyle w:val="TAL"/>
              <w:rPr>
                <w:rFonts w:eastAsiaTheme="minorEastAsia"/>
              </w:rPr>
            </w:pPr>
            <w:r>
              <w:rPr>
                <w:rFonts w:eastAsiaTheme="minorEastAsia"/>
              </w:rPr>
              <w:t>0</w:t>
            </w:r>
          </w:p>
        </w:tc>
      </w:tr>
      <w:tr w:rsidR="003A71DE" w14:paraId="00971336"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79143748"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3266" w:type="dxa"/>
            <w:tcBorders>
              <w:top w:val="single" w:sz="4" w:space="0" w:color="auto"/>
              <w:left w:val="single" w:sz="4" w:space="0" w:color="auto"/>
              <w:bottom w:val="single" w:sz="4" w:space="0" w:color="auto"/>
              <w:right w:val="single" w:sz="4" w:space="0" w:color="auto"/>
            </w:tcBorders>
            <w:hideMark/>
          </w:tcPr>
          <w:p w14:paraId="1799C13E"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1</w:t>
            </w:r>
          </w:p>
        </w:tc>
      </w:tr>
      <w:tr w:rsidR="003A71DE" w14:paraId="503838FA"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3EC8AE1F" w14:textId="77777777" w:rsidR="003A71DE" w:rsidRDefault="003A71DE" w:rsidP="007835E8">
            <w:pPr>
              <w:pStyle w:val="TAL"/>
              <w:rPr>
                <w:rFonts w:eastAsiaTheme="minorEastAsia"/>
              </w:rPr>
            </w:pPr>
            <w:r>
              <w:rPr>
                <w:rFonts w:eastAsiaTheme="minorEastAsia"/>
              </w:rPr>
              <w:t>RB numbers containing SSB within channel BW</w:t>
            </w:r>
          </w:p>
        </w:tc>
        <w:tc>
          <w:tcPr>
            <w:tcW w:w="3266" w:type="dxa"/>
            <w:tcBorders>
              <w:top w:val="single" w:sz="4" w:space="0" w:color="auto"/>
              <w:left w:val="single" w:sz="4" w:space="0" w:color="auto"/>
              <w:bottom w:val="single" w:sz="4" w:space="0" w:color="auto"/>
              <w:right w:val="single" w:sz="4" w:space="0" w:color="auto"/>
            </w:tcBorders>
            <w:hideMark/>
          </w:tcPr>
          <w:p w14:paraId="33CCBB3F"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7FB28A34" w14:textId="77777777" w:rsidTr="003A71DE">
        <w:trPr>
          <w:jc w:val="center"/>
        </w:trPr>
        <w:tc>
          <w:tcPr>
            <w:tcW w:w="7372" w:type="dxa"/>
            <w:gridSpan w:val="2"/>
            <w:tcBorders>
              <w:top w:val="single" w:sz="4" w:space="0" w:color="auto"/>
              <w:left w:val="single" w:sz="4" w:space="0" w:color="auto"/>
              <w:bottom w:val="single" w:sz="4" w:space="0" w:color="auto"/>
              <w:right w:val="single" w:sz="4" w:space="0" w:color="auto"/>
            </w:tcBorders>
            <w:hideMark/>
          </w:tcPr>
          <w:p w14:paraId="17EEA78A" w14:textId="77777777" w:rsidR="003A71DE" w:rsidRDefault="003A71DE" w:rsidP="007835E8">
            <w:pPr>
              <w:pStyle w:val="TAN"/>
              <w:rPr>
                <w:rFonts w:eastAsiaTheme="minorEastAsia"/>
              </w:rPr>
            </w:pPr>
            <w:r>
              <w:rPr>
                <w:rFonts w:eastAsiaTheme="minorEastAsia"/>
              </w:rPr>
              <w:t>Note 1:</w:t>
            </w:r>
            <w:r>
              <w:rPr>
                <w:rFonts w:eastAsiaTheme="minorEastAsia"/>
                <w:lang w:eastAsia="zh-CN"/>
              </w:rPr>
              <w:tab/>
            </w:r>
            <w:r>
              <w:rPr>
                <w:rFonts w:eastAsiaTheme="minorEastAsia"/>
              </w:rPr>
              <w:t>RBs containing SSB can be configured in any frequency location within the cell bandwidth according to the allowed synchronization raster defined in clause 5.4.3.</w:t>
            </w:r>
          </w:p>
          <w:p w14:paraId="399E0F02"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7F6CDBDB" w14:textId="77777777" w:rsidR="003A71DE" w:rsidRDefault="003A71DE" w:rsidP="003A71DE">
      <w:pPr>
        <w:rPr>
          <w:rFonts w:eastAsiaTheme="minorEastAsia"/>
        </w:rPr>
      </w:pPr>
    </w:p>
    <w:p w14:paraId="0E3B6137" w14:textId="76CF4A57" w:rsidR="003A71DE" w:rsidRDefault="003A71DE" w:rsidP="00FD7203">
      <w:pPr>
        <w:pStyle w:val="Heading5"/>
        <w:rPr>
          <w:rFonts w:eastAsiaTheme="minorEastAsia"/>
        </w:rPr>
      </w:pPr>
      <w:bookmarkStart w:id="9934" w:name="_Toc74583642"/>
      <w:bookmarkStart w:id="9935" w:name="_Toc76542455"/>
      <w:bookmarkStart w:id="9936" w:name="_Toc82450437"/>
      <w:bookmarkStart w:id="9937" w:name="_Toc82451085"/>
      <w:bookmarkStart w:id="9938" w:name="_Toc89949474"/>
      <w:bookmarkStart w:id="9939" w:name="_Toc98755863"/>
      <w:bookmarkStart w:id="9940" w:name="_Toc98763455"/>
      <w:bookmarkStart w:id="9941" w:name="_Toc106184384"/>
      <w:r>
        <w:rPr>
          <w:rFonts w:eastAsiaTheme="minorEastAsia"/>
        </w:rPr>
        <w:lastRenderedPageBreak/>
        <w:t>G.1.5.1.6</w:t>
      </w:r>
      <w:r>
        <w:rPr>
          <w:rFonts w:eastAsiaTheme="minorEastAsia"/>
        </w:rPr>
        <w:tab/>
        <w:t>SSB pattern 6 in FR1: SSB allocation for SSB SCS=30 kHz starting from odd SFN</w:t>
      </w:r>
      <w:bookmarkEnd w:id="9934"/>
      <w:bookmarkEnd w:id="9935"/>
      <w:bookmarkEnd w:id="9936"/>
      <w:bookmarkEnd w:id="9937"/>
      <w:bookmarkEnd w:id="9938"/>
      <w:bookmarkEnd w:id="9939"/>
      <w:bookmarkEnd w:id="9940"/>
      <w:bookmarkEnd w:id="9941"/>
    </w:p>
    <w:p w14:paraId="170D29D0" w14:textId="77777777" w:rsidR="003A71DE" w:rsidRDefault="003A71DE" w:rsidP="00BA0D24">
      <w:pPr>
        <w:pStyle w:val="TH"/>
        <w:rPr>
          <w:rFonts w:eastAsiaTheme="minorEastAsia"/>
          <w:noProof/>
        </w:rPr>
      </w:pPr>
      <w:r>
        <w:rPr>
          <w:rFonts w:eastAsiaTheme="minorEastAsia"/>
        </w:rPr>
        <w:t xml:space="preserve">Table G.1.5.1.6-1: SSB.6 FR1: SSB </w:t>
      </w:r>
      <w:r>
        <w:rPr>
          <w:rFonts w:eastAsiaTheme="minorEastAsia"/>
          <w:noProof/>
        </w:rPr>
        <w:t xml:space="preserve">Pattern 6 for SSB SCS=30 kHz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3409"/>
      </w:tblGrid>
      <w:tr w:rsidR="003A71DE" w14:paraId="0FAE1F64"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6F09D831" w14:textId="77777777" w:rsidR="003A71DE" w:rsidRDefault="003A71DE" w:rsidP="007835E8">
            <w:pPr>
              <w:pStyle w:val="TAH"/>
              <w:rPr>
                <w:rFonts w:eastAsiaTheme="minorEastAsia"/>
              </w:rPr>
            </w:pPr>
            <w:r>
              <w:rPr>
                <w:rFonts w:eastAsiaTheme="minorEastAsia"/>
              </w:rPr>
              <w:t>SSB Parameters</w:t>
            </w:r>
          </w:p>
        </w:tc>
        <w:tc>
          <w:tcPr>
            <w:tcW w:w="3409" w:type="dxa"/>
            <w:tcBorders>
              <w:top w:val="single" w:sz="4" w:space="0" w:color="auto"/>
              <w:left w:val="single" w:sz="4" w:space="0" w:color="auto"/>
              <w:bottom w:val="single" w:sz="4" w:space="0" w:color="auto"/>
              <w:right w:val="single" w:sz="4" w:space="0" w:color="auto"/>
            </w:tcBorders>
            <w:hideMark/>
          </w:tcPr>
          <w:p w14:paraId="67B7C284" w14:textId="77777777" w:rsidR="003A71DE" w:rsidRDefault="003A71DE" w:rsidP="007835E8">
            <w:pPr>
              <w:pStyle w:val="TAH"/>
              <w:rPr>
                <w:rFonts w:eastAsiaTheme="minorEastAsia"/>
              </w:rPr>
            </w:pPr>
            <w:r>
              <w:rPr>
                <w:rFonts w:eastAsiaTheme="minorEastAsia"/>
              </w:rPr>
              <w:t>Values</w:t>
            </w:r>
          </w:p>
        </w:tc>
      </w:tr>
      <w:tr w:rsidR="003A71DE" w14:paraId="34EA684C"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25F70636" w14:textId="77777777" w:rsidR="003A71DE" w:rsidRDefault="003A71DE" w:rsidP="007835E8">
            <w:pPr>
              <w:pStyle w:val="TAL"/>
              <w:rPr>
                <w:rFonts w:eastAsiaTheme="minorEastAsia"/>
              </w:rPr>
            </w:pPr>
            <w:r>
              <w:rPr>
                <w:rFonts w:eastAsiaTheme="minorEastAsia"/>
              </w:rPr>
              <w:t>SSB SCS</w:t>
            </w:r>
          </w:p>
        </w:tc>
        <w:tc>
          <w:tcPr>
            <w:tcW w:w="3409" w:type="dxa"/>
            <w:tcBorders>
              <w:top w:val="single" w:sz="4" w:space="0" w:color="auto"/>
              <w:left w:val="single" w:sz="4" w:space="0" w:color="auto"/>
              <w:bottom w:val="single" w:sz="4" w:space="0" w:color="auto"/>
              <w:right w:val="single" w:sz="4" w:space="0" w:color="auto"/>
            </w:tcBorders>
            <w:hideMark/>
          </w:tcPr>
          <w:p w14:paraId="10B61904" w14:textId="77777777" w:rsidR="003A71DE" w:rsidRDefault="003A71DE" w:rsidP="007835E8">
            <w:pPr>
              <w:pStyle w:val="TAL"/>
              <w:rPr>
                <w:rFonts w:eastAsiaTheme="minorEastAsia"/>
              </w:rPr>
            </w:pPr>
            <w:r>
              <w:rPr>
                <w:rFonts w:eastAsiaTheme="minorEastAsia"/>
              </w:rPr>
              <w:t>30 kHz</w:t>
            </w:r>
          </w:p>
        </w:tc>
      </w:tr>
      <w:tr w:rsidR="003A71DE" w14:paraId="72C3B67B"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1FB00E24"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3409" w:type="dxa"/>
            <w:tcBorders>
              <w:top w:val="single" w:sz="4" w:space="0" w:color="auto"/>
              <w:left w:val="single" w:sz="4" w:space="0" w:color="auto"/>
              <w:bottom w:val="single" w:sz="4" w:space="0" w:color="auto"/>
              <w:right w:val="single" w:sz="4" w:space="0" w:color="auto"/>
            </w:tcBorders>
            <w:hideMark/>
          </w:tcPr>
          <w:p w14:paraId="401B4F73" w14:textId="77777777" w:rsidR="003A71DE" w:rsidRDefault="003A71DE" w:rsidP="007835E8">
            <w:pPr>
              <w:pStyle w:val="TAL"/>
              <w:rPr>
                <w:rFonts w:eastAsiaTheme="minorEastAsia"/>
              </w:rPr>
            </w:pPr>
            <w:r>
              <w:rPr>
                <w:rFonts w:eastAsiaTheme="minorEastAsia"/>
              </w:rPr>
              <w:t>20 ms</w:t>
            </w:r>
          </w:p>
        </w:tc>
      </w:tr>
      <w:tr w:rsidR="003A71DE" w14:paraId="2CD1C59E"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593C865E" w14:textId="77777777" w:rsidR="003A71DE" w:rsidRDefault="003A71DE" w:rsidP="007835E8">
            <w:pPr>
              <w:pStyle w:val="TAL"/>
              <w:rPr>
                <w:rFonts w:eastAsiaTheme="minorEastAsia"/>
              </w:rPr>
            </w:pPr>
            <w:r>
              <w:rPr>
                <w:rFonts w:eastAsiaTheme="minorEastAsia"/>
              </w:rPr>
              <w:t>Number of SSBs per SS-burst</w:t>
            </w:r>
          </w:p>
        </w:tc>
        <w:tc>
          <w:tcPr>
            <w:tcW w:w="3409" w:type="dxa"/>
            <w:tcBorders>
              <w:top w:val="single" w:sz="4" w:space="0" w:color="auto"/>
              <w:left w:val="single" w:sz="4" w:space="0" w:color="auto"/>
              <w:bottom w:val="single" w:sz="4" w:space="0" w:color="auto"/>
              <w:right w:val="single" w:sz="4" w:space="0" w:color="auto"/>
            </w:tcBorders>
            <w:hideMark/>
          </w:tcPr>
          <w:p w14:paraId="01FB9D64" w14:textId="77777777" w:rsidR="003A71DE" w:rsidRDefault="003A71DE" w:rsidP="007835E8">
            <w:pPr>
              <w:pStyle w:val="TAL"/>
              <w:rPr>
                <w:rFonts w:eastAsiaTheme="minorEastAsia"/>
              </w:rPr>
            </w:pPr>
            <w:r>
              <w:rPr>
                <w:rFonts w:eastAsiaTheme="minorEastAsia"/>
              </w:rPr>
              <w:t>1</w:t>
            </w:r>
          </w:p>
        </w:tc>
      </w:tr>
      <w:tr w:rsidR="003A71DE" w14:paraId="3FDCD298"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06971266" w14:textId="77777777" w:rsidR="003A71DE" w:rsidRDefault="003A71DE" w:rsidP="007835E8">
            <w:pPr>
              <w:pStyle w:val="TAL"/>
              <w:rPr>
                <w:rFonts w:eastAsiaTheme="minorEastAsia"/>
              </w:rPr>
            </w:pPr>
            <w:r>
              <w:rPr>
                <w:rFonts w:eastAsiaTheme="minorEastAsia"/>
              </w:rPr>
              <w:t>SS/PBCH block index</w:t>
            </w:r>
          </w:p>
        </w:tc>
        <w:tc>
          <w:tcPr>
            <w:tcW w:w="3409" w:type="dxa"/>
            <w:tcBorders>
              <w:top w:val="single" w:sz="4" w:space="0" w:color="auto"/>
              <w:left w:val="single" w:sz="4" w:space="0" w:color="auto"/>
              <w:bottom w:val="single" w:sz="4" w:space="0" w:color="auto"/>
              <w:right w:val="single" w:sz="4" w:space="0" w:color="auto"/>
            </w:tcBorders>
            <w:hideMark/>
          </w:tcPr>
          <w:p w14:paraId="6CA98EEC" w14:textId="77777777" w:rsidR="003A71DE" w:rsidRDefault="003A71DE" w:rsidP="007835E8">
            <w:pPr>
              <w:pStyle w:val="TAL"/>
              <w:rPr>
                <w:rFonts w:eastAsiaTheme="minorEastAsia"/>
              </w:rPr>
            </w:pPr>
            <w:r>
              <w:rPr>
                <w:rFonts w:eastAsiaTheme="minorEastAsia"/>
              </w:rPr>
              <w:t>0</w:t>
            </w:r>
          </w:p>
        </w:tc>
      </w:tr>
      <w:tr w:rsidR="003A71DE" w14:paraId="23C6E8D7"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1587E990" w14:textId="77777777" w:rsidR="003A71DE" w:rsidRDefault="003A71DE" w:rsidP="007835E8">
            <w:pPr>
              <w:pStyle w:val="TAL"/>
              <w:rPr>
                <w:rFonts w:eastAsiaTheme="minorEastAsia"/>
              </w:rPr>
            </w:pPr>
            <w:r>
              <w:rPr>
                <w:rFonts w:eastAsiaTheme="minorEastAsia"/>
              </w:rPr>
              <w:t>Symbol numbers containing SSB</w:t>
            </w:r>
            <w:r>
              <w:rPr>
                <w:rFonts w:eastAsiaTheme="minorEastAsia"/>
                <w:vertAlign w:val="superscript"/>
              </w:rPr>
              <w:t xml:space="preserve"> Note 3</w:t>
            </w:r>
          </w:p>
        </w:tc>
        <w:tc>
          <w:tcPr>
            <w:tcW w:w="3409" w:type="dxa"/>
            <w:tcBorders>
              <w:top w:val="single" w:sz="4" w:space="0" w:color="auto"/>
              <w:left w:val="single" w:sz="4" w:space="0" w:color="auto"/>
              <w:bottom w:val="single" w:sz="4" w:space="0" w:color="auto"/>
              <w:right w:val="single" w:sz="4" w:space="0" w:color="auto"/>
            </w:tcBorders>
            <w:hideMark/>
          </w:tcPr>
          <w:p w14:paraId="1A17F2B6" w14:textId="77777777" w:rsidR="003A71DE" w:rsidRDefault="003A71DE" w:rsidP="007835E8">
            <w:pPr>
              <w:pStyle w:val="TAL"/>
              <w:rPr>
                <w:rFonts w:eastAsiaTheme="minorEastAsia"/>
              </w:rPr>
            </w:pPr>
            <w:r>
              <w:rPr>
                <w:rFonts w:eastAsiaTheme="minorEastAsia"/>
              </w:rPr>
              <w:t>4-7 or 2-5</w:t>
            </w:r>
            <w:r>
              <w:rPr>
                <w:rFonts w:eastAsiaTheme="minorEastAsia"/>
                <w:vertAlign w:val="superscript"/>
              </w:rPr>
              <w:t xml:space="preserve"> Note 2</w:t>
            </w:r>
          </w:p>
        </w:tc>
      </w:tr>
      <w:tr w:rsidR="003A71DE" w14:paraId="08045BC4"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20DF46D7"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3</w:t>
            </w:r>
          </w:p>
        </w:tc>
        <w:tc>
          <w:tcPr>
            <w:tcW w:w="3409" w:type="dxa"/>
            <w:tcBorders>
              <w:top w:val="single" w:sz="4" w:space="0" w:color="auto"/>
              <w:left w:val="single" w:sz="4" w:space="0" w:color="auto"/>
              <w:bottom w:val="single" w:sz="4" w:space="0" w:color="auto"/>
              <w:right w:val="single" w:sz="4" w:space="0" w:color="auto"/>
            </w:tcBorders>
            <w:hideMark/>
          </w:tcPr>
          <w:p w14:paraId="30AD6B91" w14:textId="77777777" w:rsidR="003A71DE" w:rsidRDefault="003A71DE" w:rsidP="007835E8">
            <w:pPr>
              <w:pStyle w:val="TAL"/>
              <w:rPr>
                <w:rFonts w:eastAsiaTheme="minorEastAsia"/>
              </w:rPr>
            </w:pPr>
            <w:r>
              <w:rPr>
                <w:rFonts w:eastAsiaTheme="minorEastAsia"/>
              </w:rPr>
              <w:t>0</w:t>
            </w:r>
          </w:p>
        </w:tc>
      </w:tr>
      <w:tr w:rsidR="003A71DE" w14:paraId="48CF4CE7"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2A41299F"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3409" w:type="dxa"/>
            <w:tcBorders>
              <w:top w:val="single" w:sz="4" w:space="0" w:color="auto"/>
              <w:left w:val="single" w:sz="4" w:space="0" w:color="auto"/>
              <w:bottom w:val="single" w:sz="4" w:space="0" w:color="auto"/>
              <w:right w:val="single" w:sz="4" w:space="0" w:color="auto"/>
            </w:tcBorders>
            <w:hideMark/>
          </w:tcPr>
          <w:p w14:paraId="20E6942D"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1</w:t>
            </w:r>
          </w:p>
        </w:tc>
      </w:tr>
      <w:tr w:rsidR="003A71DE" w14:paraId="5CFF9F2C" w14:textId="77777777" w:rsidTr="003A71DE">
        <w:trPr>
          <w:jc w:val="center"/>
        </w:trPr>
        <w:tc>
          <w:tcPr>
            <w:tcW w:w="4106" w:type="dxa"/>
            <w:tcBorders>
              <w:top w:val="single" w:sz="4" w:space="0" w:color="auto"/>
              <w:left w:val="single" w:sz="4" w:space="0" w:color="auto"/>
              <w:bottom w:val="single" w:sz="4" w:space="0" w:color="auto"/>
              <w:right w:val="single" w:sz="4" w:space="0" w:color="auto"/>
            </w:tcBorders>
            <w:hideMark/>
          </w:tcPr>
          <w:p w14:paraId="53C6097E" w14:textId="77777777" w:rsidR="003A71DE" w:rsidRDefault="003A71DE" w:rsidP="007835E8">
            <w:pPr>
              <w:pStyle w:val="TAL"/>
              <w:rPr>
                <w:rFonts w:eastAsiaTheme="minorEastAsia"/>
              </w:rPr>
            </w:pPr>
            <w:r>
              <w:rPr>
                <w:rFonts w:eastAsiaTheme="minorEastAsia"/>
              </w:rPr>
              <w:t>RB numbers containing SSB within channel BW</w:t>
            </w:r>
          </w:p>
        </w:tc>
        <w:tc>
          <w:tcPr>
            <w:tcW w:w="3409" w:type="dxa"/>
            <w:tcBorders>
              <w:top w:val="single" w:sz="4" w:space="0" w:color="auto"/>
              <w:left w:val="single" w:sz="4" w:space="0" w:color="auto"/>
              <w:bottom w:val="single" w:sz="4" w:space="0" w:color="auto"/>
              <w:right w:val="single" w:sz="4" w:space="0" w:color="auto"/>
            </w:tcBorders>
            <w:hideMark/>
          </w:tcPr>
          <w:p w14:paraId="6F66FCDD"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47E7C108" w14:textId="77777777" w:rsidTr="003A71DE">
        <w:trPr>
          <w:jc w:val="center"/>
        </w:trPr>
        <w:tc>
          <w:tcPr>
            <w:tcW w:w="7515" w:type="dxa"/>
            <w:gridSpan w:val="2"/>
            <w:tcBorders>
              <w:top w:val="single" w:sz="4" w:space="0" w:color="auto"/>
              <w:left w:val="single" w:sz="4" w:space="0" w:color="auto"/>
              <w:bottom w:val="single" w:sz="4" w:space="0" w:color="auto"/>
              <w:right w:val="single" w:sz="4" w:space="0" w:color="auto"/>
            </w:tcBorders>
            <w:hideMark/>
          </w:tcPr>
          <w:p w14:paraId="558A429C" w14:textId="77777777" w:rsidR="003A71DE" w:rsidRDefault="003A71DE" w:rsidP="007835E8">
            <w:pPr>
              <w:pStyle w:val="TAN"/>
              <w:rPr>
                <w:rFonts w:eastAsiaTheme="minorEastAsia"/>
              </w:rPr>
            </w:pPr>
            <w:r>
              <w:rPr>
                <w:rFonts w:eastAsiaTheme="minorEastAsia"/>
              </w:rPr>
              <w:t>Note 1:</w:t>
            </w:r>
            <w:r>
              <w:rPr>
                <w:rFonts w:eastAsiaTheme="minorEastAsia"/>
                <w:lang w:eastAsia="zh-CN"/>
              </w:rPr>
              <w:tab/>
            </w:r>
            <w:r>
              <w:rPr>
                <w:rFonts w:eastAsiaTheme="minorEastAsia"/>
              </w:rPr>
              <w:t>RBs containing SSB can be configured in any frequency location within the cell bandwidth according to the allowed synchronization raster defined in clause 5.4.3</w:t>
            </w:r>
          </w:p>
          <w:p w14:paraId="342A3C87" w14:textId="77777777" w:rsidR="003A71DE" w:rsidRDefault="003A71DE" w:rsidP="007835E8">
            <w:pPr>
              <w:pStyle w:val="TAN"/>
              <w:rPr>
                <w:rFonts w:eastAsiaTheme="minorEastAsia"/>
              </w:rPr>
            </w:pPr>
            <w:r>
              <w:rPr>
                <w:rFonts w:eastAsiaTheme="minorEastAsia"/>
              </w:rPr>
              <w:t>Note 2:</w:t>
            </w:r>
            <w:r>
              <w:rPr>
                <w:rFonts w:eastAsiaTheme="minorEastAsia"/>
                <w:lang w:eastAsia="zh-CN"/>
              </w:rPr>
              <w:tab/>
            </w:r>
            <w:r>
              <w:rPr>
                <w:rFonts w:eastAsiaTheme="minorEastAsia"/>
              </w:rPr>
              <w:t>Symbols 4-7 is chosen, if the SSB pattern Case B should be used for the current band as defined in clause 5.4.3; Otherwise, symbol 2-5 is chosen.</w:t>
            </w:r>
          </w:p>
          <w:p w14:paraId="5360E96C" w14:textId="77777777" w:rsidR="003A71DE" w:rsidRDefault="003A71DE" w:rsidP="007835E8">
            <w:pPr>
              <w:pStyle w:val="TAN"/>
              <w:rPr>
                <w:rFonts w:eastAsiaTheme="minorEastAsia"/>
              </w:rPr>
            </w:pPr>
            <w:r>
              <w:rPr>
                <w:rFonts w:eastAsiaTheme="minorEastAsia"/>
              </w:rPr>
              <w:t>Note 3:</w:t>
            </w:r>
            <w:r>
              <w:rPr>
                <w:rFonts w:eastAsiaTheme="minorEastAsia"/>
              </w:rPr>
              <w:tab/>
              <w:t>These values have been derived from other parameters for information purposes (as per TS 38.213 [3]). They are not settable parameters themselves.</w:t>
            </w:r>
          </w:p>
        </w:tc>
      </w:tr>
    </w:tbl>
    <w:p w14:paraId="20E51FDB" w14:textId="77777777" w:rsidR="003A71DE" w:rsidRDefault="003A71DE" w:rsidP="003A71DE">
      <w:pPr>
        <w:rPr>
          <w:rFonts w:eastAsia="MS Mincho"/>
        </w:rPr>
      </w:pPr>
    </w:p>
    <w:p w14:paraId="1103E722" w14:textId="77777777" w:rsidR="003A71DE" w:rsidRDefault="003A71DE" w:rsidP="00FD7203">
      <w:pPr>
        <w:pStyle w:val="Heading4"/>
        <w:rPr>
          <w:rFonts w:eastAsiaTheme="minorEastAsia"/>
        </w:rPr>
      </w:pPr>
      <w:bookmarkStart w:id="9942" w:name="_Toc74583643"/>
      <w:bookmarkStart w:id="9943" w:name="_Toc76542456"/>
      <w:bookmarkStart w:id="9944" w:name="_Toc82450438"/>
      <w:bookmarkStart w:id="9945" w:name="_Toc82451086"/>
      <w:bookmarkStart w:id="9946" w:name="_Toc89949475"/>
      <w:bookmarkStart w:id="9947" w:name="_Toc98755864"/>
      <w:bookmarkStart w:id="9948" w:name="_Toc98763456"/>
      <w:bookmarkStart w:id="9949" w:name="_Toc106184385"/>
      <w:r>
        <w:rPr>
          <w:rFonts w:eastAsiaTheme="minorEastAsia"/>
        </w:rPr>
        <w:t>G.1.5.2</w:t>
      </w:r>
      <w:r>
        <w:rPr>
          <w:rFonts w:eastAsiaTheme="minorEastAsia"/>
        </w:rPr>
        <w:tab/>
        <w:t>SSB Configurations for FR2</w:t>
      </w:r>
      <w:bookmarkEnd w:id="9942"/>
      <w:bookmarkEnd w:id="9943"/>
      <w:bookmarkEnd w:id="9944"/>
      <w:bookmarkEnd w:id="9945"/>
      <w:bookmarkEnd w:id="9946"/>
      <w:bookmarkEnd w:id="9947"/>
      <w:bookmarkEnd w:id="9948"/>
      <w:bookmarkEnd w:id="9949"/>
    </w:p>
    <w:p w14:paraId="5DC6BD45" w14:textId="38B4EC4C" w:rsidR="003A71DE" w:rsidRDefault="003A71DE" w:rsidP="00FD7203">
      <w:pPr>
        <w:pStyle w:val="Heading5"/>
        <w:rPr>
          <w:rFonts w:eastAsiaTheme="minorEastAsia"/>
        </w:rPr>
      </w:pPr>
      <w:bookmarkStart w:id="9950" w:name="_Toc74583644"/>
      <w:bookmarkStart w:id="9951" w:name="_Toc76542457"/>
      <w:bookmarkStart w:id="9952" w:name="_Toc82450439"/>
      <w:bookmarkStart w:id="9953" w:name="_Toc82451087"/>
      <w:bookmarkStart w:id="9954" w:name="_Toc89949476"/>
      <w:bookmarkStart w:id="9955" w:name="_Toc98755865"/>
      <w:bookmarkStart w:id="9956" w:name="_Toc98763457"/>
      <w:bookmarkStart w:id="9957" w:name="_Toc106184386"/>
      <w:r>
        <w:rPr>
          <w:rFonts w:eastAsiaTheme="minorEastAsia"/>
        </w:rPr>
        <w:t>G.1.5.2.1</w:t>
      </w:r>
      <w:r>
        <w:rPr>
          <w:rFonts w:eastAsiaTheme="minorEastAsia"/>
        </w:rPr>
        <w:tab/>
        <w:t>SSB pattern 1 in FR2: SSB allocation for SSB SCS=120 kHz</w:t>
      </w:r>
      <w:bookmarkEnd w:id="9950"/>
      <w:bookmarkEnd w:id="9951"/>
      <w:bookmarkEnd w:id="9952"/>
      <w:bookmarkEnd w:id="9953"/>
      <w:bookmarkEnd w:id="9954"/>
      <w:bookmarkEnd w:id="9955"/>
      <w:bookmarkEnd w:id="9956"/>
      <w:bookmarkEnd w:id="9957"/>
    </w:p>
    <w:p w14:paraId="2C57E991" w14:textId="77777777" w:rsidR="003A71DE" w:rsidRDefault="003A71DE" w:rsidP="00BA0D24">
      <w:pPr>
        <w:pStyle w:val="TH"/>
        <w:rPr>
          <w:rFonts w:eastAsiaTheme="minorEastAsia"/>
          <w:noProof/>
        </w:rPr>
      </w:pPr>
      <w:r>
        <w:rPr>
          <w:rFonts w:eastAsiaTheme="minorEastAsia"/>
        </w:rPr>
        <w:t xml:space="preserve">Table G.1.5.2.1-1: SSB.1 FR2: SSB </w:t>
      </w:r>
      <w:r>
        <w:rPr>
          <w:rFonts w:eastAsiaTheme="minorEastAsia"/>
          <w:noProof/>
        </w:rPr>
        <w:t>Pattern 1 for SSB SCS = 120 kHz  with 2 SSBs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7"/>
        <w:gridCol w:w="992"/>
        <w:gridCol w:w="1785"/>
      </w:tblGrid>
      <w:tr w:rsidR="003A71DE" w14:paraId="01A73784"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43A82FED" w14:textId="77777777" w:rsidR="003A71DE" w:rsidRDefault="003A71DE" w:rsidP="007835E8">
            <w:pPr>
              <w:pStyle w:val="TAH"/>
              <w:rPr>
                <w:rFonts w:eastAsiaTheme="minorEastAsia"/>
              </w:rPr>
            </w:pPr>
            <w:r>
              <w:rPr>
                <w:rFonts w:eastAsiaTheme="minorEastAsia"/>
              </w:rPr>
              <w:t>SSB Parameters</w:t>
            </w:r>
          </w:p>
        </w:tc>
        <w:tc>
          <w:tcPr>
            <w:tcW w:w="2777" w:type="dxa"/>
            <w:gridSpan w:val="2"/>
            <w:tcBorders>
              <w:top w:val="single" w:sz="4" w:space="0" w:color="auto"/>
              <w:left w:val="single" w:sz="4" w:space="0" w:color="auto"/>
              <w:bottom w:val="single" w:sz="4" w:space="0" w:color="auto"/>
              <w:right w:val="single" w:sz="4" w:space="0" w:color="auto"/>
            </w:tcBorders>
            <w:hideMark/>
          </w:tcPr>
          <w:p w14:paraId="26435F2E" w14:textId="77777777" w:rsidR="003A71DE" w:rsidRDefault="003A71DE" w:rsidP="007835E8">
            <w:pPr>
              <w:pStyle w:val="TAH"/>
              <w:rPr>
                <w:rFonts w:eastAsiaTheme="minorEastAsia"/>
              </w:rPr>
            </w:pPr>
            <w:r>
              <w:rPr>
                <w:rFonts w:eastAsiaTheme="minorEastAsia"/>
              </w:rPr>
              <w:t>Values</w:t>
            </w:r>
          </w:p>
        </w:tc>
      </w:tr>
      <w:tr w:rsidR="003A71DE" w14:paraId="72ECBBAF"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0709613A" w14:textId="77777777" w:rsidR="003A71DE" w:rsidRDefault="003A71DE" w:rsidP="007835E8">
            <w:pPr>
              <w:pStyle w:val="TAL"/>
              <w:rPr>
                <w:rFonts w:eastAsiaTheme="minorEastAsia"/>
              </w:rPr>
            </w:pPr>
            <w:r>
              <w:rPr>
                <w:rFonts w:eastAsiaTheme="minorEastAsia"/>
              </w:rPr>
              <w:t>SSB SCS</w:t>
            </w:r>
          </w:p>
        </w:tc>
        <w:tc>
          <w:tcPr>
            <w:tcW w:w="2777" w:type="dxa"/>
            <w:gridSpan w:val="2"/>
            <w:tcBorders>
              <w:top w:val="single" w:sz="4" w:space="0" w:color="auto"/>
              <w:left w:val="single" w:sz="4" w:space="0" w:color="auto"/>
              <w:bottom w:val="single" w:sz="4" w:space="0" w:color="auto"/>
              <w:right w:val="single" w:sz="4" w:space="0" w:color="auto"/>
            </w:tcBorders>
            <w:hideMark/>
          </w:tcPr>
          <w:p w14:paraId="0DE3B03D" w14:textId="77777777" w:rsidR="003A71DE" w:rsidRDefault="003A71DE" w:rsidP="007835E8">
            <w:pPr>
              <w:pStyle w:val="TAL"/>
              <w:rPr>
                <w:rFonts w:eastAsiaTheme="minorEastAsia"/>
              </w:rPr>
            </w:pPr>
            <w:r>
              <w:rPr>
                <w:rFonts w:eastAsiaTheme="minorEastAsia"/>
              </w:rPr>
              <w:t>120 kHz</w:t>
            </w:r>
          </w:p>
        </w:tc>
      </w:tr>
      <w:tr w:rsidR="003A71DE" w14:paraId="7215D152"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EE90E83"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77" w:type="dxa"/>
            <w:gridSpan w:val="2"/>
            <w:tcBorders>
              <w:top w:val="single" w:sz="4" w:space="0" w:color="auto"/>
              <w:left w:val="single" w:sz="4" w:space="0" w:color="auto"/>
              <w:bottom w:val="single" w:sz="4" w:space="0" w:color="auto"/>
              <w:right w:val="single" w:sz="4" w:space="0" w:color="auto"/>
            </w:tcBorders>
            <w:hideMark/>
          </w:tcPr>
          <w:p w14:paraId="4DDEA968" w14:textId="77777777" w:rsidR="003A71DE" w:rsidRDefault="003A71DE" w:rsidP="007835E8">
            <w:pPr>
              <w:pStyle w:val="TAL"/>
              <w:rPr>
                <w:rFonts w:eastAsiaTheme="minorEastAsia"/>
              </w:rPr>
            </w:pPr>
            <w:r>
              <w:rPr>
                <w:rFonts w:eastAsiaTheme="minorEastAsia"/>
              </w:rPr>
              <w:t>20 ms</w:t>
            </w:r>
          </w:p>
        </w:tc>
      </w:tr>
      <w:tr w:rsidR="003A71DE" w14:paraId="40AB9187"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4A0C2F20" w14:textId="77777777" w:rsidR="003A71DE" w:rsidRDefault="003A71DE" w:rsidP="007835E8">
            <w:pPr>
              <w:pStyle w:val="TAL"/>
              <w:rPr>
                <w:rFonts w:eastAsiaTheme="minorEastAsia"/>
              </w:rPr>
            </w:pPr>
            <w:r>
              <w:rPr>
                <w:rFonts w:eastAsiaTheme="minorEastAsia"/>
              </w:rPr>
              <w:t>Number of SSBs per SS-burst</w:t>
            </w:r>
          </w:p>
        </w:tc>
        <w:tc>
          <w:tcPr>
            <w:tcW w:w="2777" w:type="dxa"/>
            <w:gridSpan w:val="2"/>
            <w:tcBorders>
              <w:top w:val="single" w:sz="4" w:space="0" w:color="auto"/>
              <w:left w:val="single" w:sz="4" w:space="0" w:color="auto"/>
              <w:bottom w:val="single" w:sz="4" w:space="0" w:color="auto"/>
              <w:right w:val="single" w:sz="4" w:space="0" w:color="auto"/>
            </w:tcBorders>
            <w:hideMark/>
          </w:tcPr>
          <w:p w14:paraId="5078ADAC" w14:textId="77777777" w:rsidR="003A71DE" w:rsidRDefault="003A71DE" w:rsidP="007835E8">
            <w:pPr>
              <w:pStyle w:val="TAL"/>
              <w:rPr>
                <w:rFonts w:eastAsiaTheme="minorEastAsia"/>
              </w:rPr>
            </w:pPr>
            <w:r>
              <w:rPr>
                <w:rFonts w:eastAsiaTheme="minorEastAsia"/>
              </w:rPr>
              <w:t>2</w:t>
            </w:r>
          </w:p>
        </w:tc>
      </w:tr>
      <w:tr w:rsidR="003A71DE" w14:paraId="62F27CB8"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10FAAD0E" w14:textId="77777777" w:rsidR="003A71DE" w:rsidRDefault="003A71DE" w:rsidP="007835E8">
            <w:pPr>
              <w:pStyle w:val="TAL"/>
              <w:rPr>
                <w:rFonts w:eastAsiaTheme="minorEastAsia"/>
              </w:rPr>
            </w:pPr>
            <w:r>
              <w:rPr>
                <w:rFonts w:eastAsiaTheme="minorEastAsia"/>
              </w:rPr>
              <w:t>SS/PBCH block index</w:t>
            </w:r>
          </w:p>
        </w:tc>
        <w:tc>
          <w:tcPr>
            <w:tcW w:w="992" w:type="dxa"/>
            <w:tcBorders>
              <w:top w:val="single" w:sz="4" w:space="0" w:color="auto"/>
              <w:left w:val="single" w:sz="4" w:space="0" w:color="auto"/>
              <w:bottom w:val="single" w:sz="4" w:space="0" w:color="auto"/>
              <w:right w:val="single" w:sz="4" w:space="0" w:color="auto"/>
            </w:tcBorders>
            <w:hideMark/>
          </w:tcPr>
          <w:p w14:paraId="7BCDB0B9" w14:textId="77777777" w:rsidR="003A71DE" w:rsidRDefault="003A71DE" w:rsidP="007835E8">
            <w:pPr>
              <w:pStyle w:val="TAL"/>
              <w:rPr>
                <w:rFonts w:eastAsiaTheme="minorEastAsia"/>
              </w:rPr>
            </w:pPr>
            <w:r>
              <w:rPr>
                <w:rFonts w:eastAsiaTheme="minorEastAsia"/>
              </w:rPr>
              <w:t>0</w:t>
            </w:r>
          </w:p>
        </w:tc>
        <w:tc>
          <w:tcPr>
            <w:tcW w:w="1785" w:type="dxa"/>
            <w:tcBorders>
              <w:top w:val="single" w:sz="4" w:space="0" w:color="auto"/>
              <w:left w:val="single" w:sz="4" w:space="0" w:color="auto"/>
              <w:bottom w:val="single" w:sz="4" w:space="0" w:color="auto"/>
              <w:right w:val="single" w:sz="4" w:space="0" w:color="auto"/>
            </w:tcBorders>
            <w:hideMark/>
          </w:tcPr>
          <w:p w14:paraId="1D01A3B8" w14:textId="77777777" w:rsidR="003A71DE" w:rsidRDefault="003A71DE" w:rsidP="007835E8">
            <w:pPr>
              <w:pStyle w:val="TAL"/>
              <w:rPr>
                <w:rFonts w:eastAsiaTheme="minorEastAsia"/>
              </w:rPr>
            </w:pPr>
            <w:r>
              <w:rPr>
                <w:rFonts w:eastAsiaTheme="minorEastAsia"/>
              </w:rPr>
              <w:t>1</w:t>
            </w:r>
          </w:p>
        </w:tc>
      </w:tr>
      <w:tr w:rsidR="003A71DE" w14:paraId="46F1E1B1"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0BA78580"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992" w:type="dxa"/>
            <w:tcBorders>
              <w:top w:val="single" w:sz="4" w:space="0" w:color="auto"/>
              <w:left w:val="single" w:sz="4" w:space="0" w:color="auto"/>
              <w:bottom w:val="single" w:sz="4" w:space="0" w:color="auto"/>
              <w:right w:val="single" w:sz="4" w:space="0" w:color="auto"/>
            </w:tcBorders>
            <w:hideMark/>
          </w:tcPr>
          <w:p w14:paraId="34B92D22" w14:textId="77777777" w:rsidR="003A71DE" w:rsidRDefault="003A71DE" w:rsidP="007835E8">
            <w:pPr>
              <w:pStyle w:val="TAL"/>
              <w:rPr>
                <w:rFonts w:eastAsiaTheme="minorEastAsia"/>
              </w:rPr>
            </w:pPr>
            <w:r>
              <w:rPr>
                <w:rFonts w:eastAsiaTheme="minorEastAsia"/>
              </w:rPr>
              <w:t>4-7</w:t>
            </w:r>
          </w:p>
        </w:tc>
        <w:tc>
          <w:tcPr>
            <w:tcW w:w="1785" w:type="dxa"/>
            <w:tcBorders>
              <w:top w:val="single" w:sz="4" w:space="0" w:color="auto"/>
              <w:left w:val="single" w:sz="4" w:space="0" w:color="auto"/>
              <w:bottom w:val="single" w:sz="4" w:space="0" w:color="auto"/>
              <w:right w:val="single" w:sz="4" w:space="0" w:color="auto"/>
            </w:tcBorders>
            <w:hideMark/>
          </w:tcPr>
          <w:p w14:paraId="3F053C94" w14:textId="77777777" w:rsidR="003A71DE" w:rsidRDefault="003A71DE" w:rsidP="007835E8">
            <w:pPr>
              <w:pStyle w:val="TAL"/>
              <w:rPr>
                <w:rFonts w:eastAsiaTheme="minorEastAsia"/>
              </w:rPr>
            </w:pPr>
            <w:r>
              <w:rPr>
                <w:rFonts w:eastAsiaTheme="minorEastAsia"/>
              </w:rPr>
              <w:t>8-11</w:t>
            </w:r>
          </w:p>
        </w:tc>
      </w:tr>
      <w:tr w:rsidR="003A71DE" w14:paraId="7EE3969C"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486C1AAB"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992" w:type="dxa"/>
            <w:tcBorders>
              <w:top w:val="single" w:sz="4" w:space="0" w:color="auto"/>
              <w:left w:val="single" w:sz="4" w:space="0" w:color="auto"/>
              <w:bottom w:val="single" w:sz="4" w:space="0" w:color="auto"/>
              <w:right w:val="single" w:sz="4" w:space="0" w:color="auto"/>
            </w:tcBorders>
            <w:hideMark/>
          </w:tcPr>
          <w:p w14:paraId="7647E404" w14:textId="77777777" w:rsidR="003A71DE" w:rsidRDefault="003A71DE" w:rsidP="007835E8">
            <w:pPr>
              <w:pStyle w:val="TAL"/>
              <w:rPr>
                <w:rFonts w:eastAsiaTheme="minorEastAsia"/>
              </w:rPr>
            </w:pPr>
            <w:r>
              <w:rPr>
                <w:rFonts w:eastAsiaTheme="minorEastAsia"/>
              </w:rPr>
              <w:t>0</w:t>
            </w:r>
          </w:p>
        </w:tc>
        <w:tc>
          <w:tcPr>
            <w:tcW w:w="1785" w:type="dxa"/>
            <w:tcBorders>
              <w:top w:val="single" w:sz="4" w:space="0" w:color="auto"/>
              <w:left w:val="single" w:sz="4" w:space="0" w:color="auto"/>
              <w:bottom w:val="single" w:sz="4" w:space="0" w:color="auto"/>
              <w:right w:val="single" w:sz="4" w:space="0" w:color="auto"/>
            </w:tcBorders>
            <w:hideMark/>
          </w:tcPr>
          <w:p w14:paraId="3F035BBF" w14:textId="77777777" w:rsidR="003A71DE" w:rsidRDefault="003A71DE" w:rsidP="007835E8">
            <w:pPr>
              <w:pStyle w:val="TAL"/>
              <w:rPr>
                <w:rFonts w:eastAsiaTheme="minorEastAsia"/>
              </w:rPr>
            </w:pPr>
            <w:r>
              <w:rPr>
                <w:rFonts w:eastAsiaTheme="minorEastAsia"/>
              </w:rPr>
              <w:t>0</w:t>
            </w:r>
          </w:p>
        </w:tc>
      </w:tr>
      <w:tr w:rsidR="003A71DE" w14:paraId="0C1C1B7C"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C15D1E9"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77" w:type="dxa"/>
            <w:gridSpan w:val="2"/>
            <w:tcBorders>
              <w:top w:val="single" w:sz="4" w:space="0" w:color="auto"/>
              <w:left w:val="single" w:sz="4" w:space="0" w:color="auto"/>
              <w:bottom w:val="single" w:sz="4" w:space="0" w:color="auto"/>
              <w:right w:val="single" w:sz="4" w:space="0" w:color="auto"/>
            </w:tcBorders>
            <w:hideMark/>
          </w:tcPr>
          <w:p w14:paraId="6C22BF91"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3B40FC66"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2D5716A0" w14:textId="77777777" w:rsidR="003A71DE" w:rsidRDefault="003A71DE" w:rsidP="007835E8">
            <w:pPr>
              <w:pStyle w:val="TAL"/>
              <w:rPr>
                <w:rFonts w:eastAsiaTheme="minorEastAsia"/>
              </w:rPr>
            </w:pPr>
            <w:r>
              <w:rPr>
                <w:rFonts w:eastAsiaTheme="minorEastAsia"/>
              </w:rPr>
              <w:t>RB numbers containing SSBs within channel BW</w:t>
            </w:r>
          </w:p>
        </w:tc>
        <w:tc>
          <w:tcPr>
            <w:tcW w:w="2777" w:type="dxa"/>
            <w:gridSpan w:val="2"/>
            <w:tcBorders>
              <w:top w:val="single" w:sz="4" w:space="0" w:color="auto"/>
              <w:left w:val="single" w:sz="4" w:space="0" w:color="auto"/>
              <w:bottom w:val="single" w:sz="4" w:space="0" w:color="auto"/>
              <w:right w:val="single" w:sz="4" w:space="0" w:color="auto"/>
            </w:tcBorders>
            <w:hideMark/>
          </w:tcPr>
          <w:p w14:paraId="010BC2E8"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6C43CD65" w14:textId="77777777" w:rsidTr="003A71DE">
        <w:trPr>
          <w:jc w:val="center"/>
        </w:trPr>
        <w:tc>
          <w:tcPr>
            <w:tcW w:w="7824" w:type="dxa"/>
            <w:gridSpan w:val="3"/>
            <w:tcBorders>
              <w:top w:val="single" w:sz="4" w:space="0" w:color="auto"/>
              <w:left w:val="single" w:sz="4" w:space="0" w:color="auto"/>
              <w:bottom w:val="single" w:sz="4" w:space="0" w:color="auto"/>
              <w:right w:val="single" w:sz="4" w:space="0" w:color="auto"/>
            </w:tcBorders>
            <w:hideMark/>
          </w:tcPr>
          <w:p w14:paraId="471F9EC9"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231B6022"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002B7BC1" w14:textId="77777777" w:rsidR="003A71DE" w:rsidRDefault="003A71DE" w:rsidP="003A71DE">
      <w:pPr>
        <w:rPr>
          <w:rFonts w:eastAsia="MS Mincho"/>
        </w:rPr>
      </w:pPr>
    </w:p>
    <w:p w14:paraId="1F37497F" w14:textId="2170BC77" w:rsidR="003A71DE" w:rsidRDefault="003A71DE" w:rsidP="00FD7203">
      <w:pPr>
        <w:pStyle w:val="Heading5"/>
        <w:rPr>
          <w:rFonts w:eastAsiaTheme="minorEastAsia"/>
        </w:rPr>
      </w:pPr>
      <w:bookmarkStart w:id="9958" w:name="_Toc74583645"/>
      <w:bookmarkStart w:id="9959" w:name="_Toc76542458"/>
      <w:bookmarkStart w:id="9960" w:name="_Toc82450440"/>
      <w:bookmarkStart w:id="9961" w:name="_Toc82451088"/>
      <w:bookmarkStart w:id="9962" w:name="_Toc89949477"/>
      <w:bookmarkStart w:id="9963" w:name="_Toc98755866"/>
      <w:bookmarkStart w:id="9964" w:name="_Toc98763458"/>
      <w:bookmarkStart w:id="9965" w:name="_Toc106184387"/>
      <w:r>
        <w:rPr>
          <w:rFonts w:eastAsiaTheme="minorEastAsia"/>
        </w:rPr>
        <w:t>G.1.5.2.2</w:t>
      </w:r>
      <w:r>
        <w:rPr>
          <w:rFonts w:eastAsiaTheme="minorEastAsia"/>
        </w:rPr>
        <w:tab/>
        <w:t>SSB pattern 2 in FR2: SSB allocation for SSB SCS=240 kHz</w:t>
      </w:r>
      <w:bookmarkEnd w:id="9958"/>
      <w:bookmarkEnd w:id="9959"/>
      <w:bookmarkEnd w:id="9960"/>
      <w:bookmarkEnd w:id="9961"/>
      <w:bookmarkEnd w:id="9962"/>
      <w:bookmarkEnd w:id="9963"/>
      <w:bookmarkEnd w:id="9964"/>
      <w:bookmarkEnd w:id="9965"/>
    </w:p>
    <w:p w14:paraId="270B5153" w14:textId="77777777" w:rsidR="003A71DE" w:rsidRDefault="003A71DE" w:rsidP="00BA0D24">
      <w:pPr>
        <w:pStyle w:val="TH"/>
        <w:rPr>
          <w:rFonts w:eastAsiaTheme="minorEastAsia"/>
          <w:noProof/>
        </w:rPr>
      </w:pPr>
      <w:r>
        <w:rPr>
          <w:rFonts w:eastAsiaTheme="minorEastAsia"/>
        </w:rPr>
        <w:t xml:space="preserve">Table G.1.5.2.2-1: SSB.2 FR2: SSB </w:t>
      </w:r>
      <w:r>
        <w:rPr>
          <w:rFonts w:eastAsiaTheme="minorEastAsia"/>
          <w:noProof/>
        </w:rPr>
        <w:t>Pattern 2 for SSB SCS = 240 kHz with 2 SSBs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5"/>
        <w:gridCol w:w="1276"/>
        <w:gridCol w:w="1519"/>
      </w:tblGrid>
      <w:tr w:rsidR="003A71DE" w14:paraId="15906EE5"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83BAA40" w14:textId="77777777" w:rsidR="003A71DE" w:rsidRDefault="003A71DE" w:rsidP="007835E8">
            <w:pPr>
              <w:pStyle w:val="TAH"/>
              <w:rPr>
                <w:rFonts w:eastAsiaTheme="minorEastAsia"/>
              </w:rPr>
            </w:pPr>
            <w:r>
              <w:rPr>
                <w:rFonts w:eastAsiaTheme="minorEastAsia"/>
              </w:rPr>
              <w:t>SSB Parameters</w:t>
            </w:r>
          </w:p>
        </w:tc>
        <w:tc>
          <w:tcPr>
            <w:tcW w:w="2795" w:type="dxa"/>
            <w:gridSpan w:val="2"/>
            <w:tcBorders>
              <w:top w:val="single" w:sz="4" w:space="0" w:color="auto"/>
              <w:left w:val="single" w:sz="4" w:space="0" w:color="auto"/>
              <w:bottom w:val="single" w:sz="4" w:space="0" w:color="auto"/>
              <w:right w:val="single" w:sz="4" w:space="0" w:color="auto"/>
            </w:tcBorders>
            <w:hideMark/>
          </w:tcPr>
          <w:p w14:paraId="23FF55EF" w14:textId="77777777" w:rsidR="003A71DE" w:rsidRDefault="003A71DE" w:rsidP="007835E8">
            <w:pPr>
              <w:pStyle w:val="TAH"/>
              <w:rPr>
                <w:rFonts w:eastAsiaTheme="minorEastAsia"/>
              </w:rPr>
            </w:pPr>
            <w:r>
              <w:rPr>
                <w:rFonts w:eastAsiaTheme="minorEastAsia"/>
              </w:rPr>
              <w:t>Values</w:t>
            </w:r>
          </w:p>
        </w:tc>
      </w:tr>
      <w:tr w:rsidR="003A71DE" w14:paraId="51C2780F"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60FAFC17" w14:textId="77777777" w:rsidR="003A71DE" w:rsidRDefault="003A71DE" w:rsidP="007835E8">
            <w:pPr>
              <w:pStyle w:val="TAL"/>
              <w:rPr>
                <w:rFonts w:eastAsiaTheme="minorEastAsia"/>
              </w:rPr>
            </w:pPr>
            <w:r>
              <w:rPr>
                <w:rFonts w:eastAsiaTheme="minorEastAsia"/>
              </w:rPr>
              <w:t>SSB SCS</w:t>
            </w:r>
          </w:p>
        </w:tc>
        <w:tc>
          <w:tcPr>
            <w:tcW w:w="2795" w:type="dxa"/>
            <w:gridSpan w:val="2"/>
            <w:tcBorders>
              <w:top w:val="single" w:sz="4" w:space="0" w:color="auto"/>
              <w:left w:val="single" w:sz="4" w:space="0" w:color="auto"/>
              <w:bottom w:val="single" w:sz="4" w:space="0" w:color="auto"/>
              <w:right w:val="single" w:sz="4" w:space="0" w:color="auto"/>
            </w:tcBorders>
            <w:hideMark/>
          </w:tcPr>
          <w:p w14:paraId="17A5E157" w14:textId="77777777" w:rsidR="003A71DE" w:rsidRDefault="003A71DE" w:rsidP="007835E8">
            <w:pPr>
              <w:pStyle w:val="TAL"/>
              <w:rPr>
                <w:rFonts w:eastAsiaTheme="minorEastAsia"/>
              </w:rPr>
            </w:pPr>
            <w:r>
              <w:rPr>
                <w:rFonts w:eastAsiaTheme="minorEastAsia"/>
              </w:rPr>
              <w:t>240 kHz</w:t>
            </w:r>
          </w:p>
        </w:tc>
      </w:tr>
      <w:tr w:rsidR="003A71DE" w14:paraId="209C908A"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2C84ACCB"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95" w:type="dxa"/>
            <w:gridSpan w:val="2"/>
            <w:tcBorders>
              <w:top w:val="single" w:sz="4" w:space="0" w:color="auto"/>
              <w:left w:val="single" w:sz="4" w:space="0" w:color="auto"/>
              <w:bottom w:val="single" w:sz="4" w:space="0" w:color="auto"/>
              <w:right w:val="single" w:sz="4" w:space="0" w:color="auto"/>
            </w:tcBorders>
            <w:hideMark/>
          </w:tcPr>
          <w:p w14:paraId="78E5BD50" w14:textId="77777777" w:rsidR="003A71DE" w:rsidRDefault="003A71DE" w:rsidP="007835E8">
            <w:pPr>
              <w:pStyle w:val="TAL"/>
              <w:rPr>
                <w:rFonts w:eastAsiaTheme="minorEastAsia"/>
              </w:rPr>
            </w:pPr>
            <w:r>
              <w:rPr>
                <w:rFonts w:eastAsiaTheme="minorEastAsia"/>
              </w:rPr>
              <w:t>20 ms</w:t>
            </w:r>
          </w:p>
        </w:tc>
      </w:tr>
      <w:tr w:rsidR="003A71DE" w14:paraId="47012A04"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3161B5F5" w14:textId="77777777" w:rsidR="003A71DE" w:rsidRDefault="003A71DE" w:rsidP="007835E8">
            <w:pPr>
              <w:pStyle w:val="TAL"/>
              <w:rPr>
                <w:rFonts w:eastAsiaTheme="minorEastAsia"/>
              </w:rPr>
            </w:pPr>
            <w:r>
              <w:rPr>
                <w:rFonts w:eastAsiaTheme="minorEastAsia"/>
              </w:rPr>
              <w:t>Number of SSBs per SS-burst</w:t>
            </w:r>
          </w:p>
        </w:tc>
        <w:tc>
          <w:tcPr>
            <w:tcW w:w="2795" w:type="dxa"/>
            <w:gridSpan w:val="2"/>
            <w:tcBorders>
              <w:top w:val="single" w:sz="4" w:space="0" w:color="auto"/>
              <w:left w:val="single" w:sz="4" w:space="0" w:color="auto"/>
              <w:bottom w:val="single" w:sz="4" w:space="0" w:color="auto"/>
              <w:right w:val="single" w:sz="4" w:space="0" w:color="auto"/>
            </w:tcBorders>
            <w:hideMark/>
          </w:tcPr>
          <w:p w14:paraId="0C8E37D9" w14:textId="77777777" w:rsidR="003A71DE" w:rsidRDefault="003A71DE" w:rsidP="007835E8">
            <w:pPr>
              <w:pStyle w:val="TAL"/>
              <w:rPr>
                <w:rFonts w:eastAsiaTheme="minorEastAsia"/>
              </w:rPr>
            </w:pPr>
            <w:r>
              <w:rPr>
                <w:rFonts w:eastAsiaTheme="minorEastAsia"/>
              </w:rPr>
              <w:t>2</w:t>
            </w:r>
          </w:p>
        </w:tc>
      </w:tr>
      <w:tr w:rsidR="003A71DE" w14:paraId="576BA970"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12B5BF69" w14:textId="77777777" w:rsidR="003A71DE" w:rsidRDefault="003A71DE" w:rsidP="007835E8">
            <w:pPr>
              <w:pStyle w:val="TAL"/>
              <w:rPr>
                <w:rFonts w:eastAsiaTheme="minorEastAsia"/>
              </w:rPr>
            </w:pPr>
            <w:r>
              <w:rPr>
                <w:rFonts w:eastAsiaTheme="minorEastAsia"/>
              </w:rPr>
              <w:t>SS/PBCH block index</w:t>
            </w:r>
          </w:p>
        </w:tc>
        <w:tc>
          <w:tcPr>
            <w:tcW w:w="1276" w:type="dxa"/>
            <w:tcBorders>
              <w:top w:val="single" w:sz="4" w:space="0" w:color="auto"/>
              <w:left w:val="single" w:sz="4" w:space="0" w:color="auto"/>
              <w:bottom w:val="single" w:sz="4" w:space="0" w:color="auto"/>
              <w:right w:val="single" w:sz="4" w:space="0" w:color="auto"/>
            </w:tcBorders>
            <w:hideMark/>
          </w:tcPr>
          <w:p w14:paraId="617CDE75" w14:textId="77777777" w:rsidR="003A71DE" w:rsidRDefault="003A71DE" w:rsidP="007835E8">
            <w:pPr>
              <w:pStyle w:val="TAL"/>
              <w:rPr>
                <w:rFonts w:eastAsiaTheme="minorEastAsia"/>
              </w:rPr>
            </w:pPr>
            <w:r>
              <w:rPr>
                <w:rFonts w:eastAsiaTheme="minorEastAsia"/>
              </w:rPr>
              <w:t>0</w:t>
            </w:r>
          </w:p>
        </w:tc>
        <w:tc>
          <w:tcPr>
            <w:tcW w:w="1519" w:type="dxa"/>
            <w:tcBorders>
              <w:top w:val="single" w:sz="4" w:space="0" w:color="auto"/>
              <w:left w:val="single" w:sz="4" w:space="0" w:color="auto"/>
              <w:bottom w:val="single" w:sz="4" w:space="0" w:color="auto"/>
              <w:right w:val="single" w:sz="4" w:space="0" w:color="auto"/>
            </w:tcBorders>
            <w:hideMark/>
          </w:tcPr>
          <w:p w14:paraId="0E6F1B01" w14:textId="77777777" w:rsidR="003A71DE" w:rsidRDefault="003A71DE" w:rsidP="007835E8">
            <w:pPr>
              <w:pStyle w:val="TAL"/>
              <w:rPr>
                <w:rFonts w:eastAsiaTheme="minorEastAsia"/>
              </w:rPr>
            </w:pPr>
            <w:r>
              <w:rPr>
                <w:rFonts w:eastAsiaTheme="minorEastAsia"/>
              </w:rPr>
              <w:t>1</w:t>
            </w:r>
          </w:p>
        </w:tc>
      </w:tr>
      <w:tr w:rsidR="003A71DE" w14:paraId="338E622E"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585010BE"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1276" w:type="dxa"/>
            <w:tcBorders>
              <w:top w:val="single" w:sz="4" w:space="0" w:color="auto"/>
              <w:left w:val="single" w:sz="4" w:space="0" w:color="auto"/>
              <w:bottom w:val="single" w:sz="4" w:space="0" w:color="auto"/>
              <w:right w:val="single" w:sz="4" w:space="0" w:color="auto"/>
            </w:tcBorders>
            <w:hideMark/>
          </w:tcPr>
          <w:p w14:paraId="129F27D0" w14:textId="77777777" w:rsidR="003A71DE" w:rsidRDefault="003A71DE" w:rsidP="007835E8">
            <w:pPr>
              <w:pStyle w:val="TAL"/>
              <w:rPr>
                <w:rFonts w:eastAsiaTheme="minorEastAsia"/>
              </w:rPr>
            </w:pPr>
            <w:r>
              <w:rPr>
                <w:rFonts w:eastAsiaTheme="minorEastAsia"/>
              </w:rPr>
              <w:t>8-11</w:t>
            </w:r>
          </w:p>
        </w:tc>
        <w:tc>
          <w:tcPr>
            <w:tcW w:w="1519" w:type="dxa"/>
            <w:tcBorders>
              <w:top w:val="single" w:sz="4" w:space="0" w:color="auto"/>
              <w:left w:val="single" w:sz="4" w:space="0" w:color="auto"/>
              <w:bottom w:val="single" w:sz="4" w:space="0" w:color="auto"/>
              <w:right w:val="single" w:sz="4" w:space="0" w:color="auto"/>
            </w:tcBorders>
            <w:hideMark/>
          </w:tcPr>
          <w:p w14:paraId="7EC7016B" w14:textId="77777777" w:rsidR="003A71DE" w:rsidRDefault="003A71DE" w:rsidP="007835E8">
            <w:pPr>
              <w:pStyle w:val="TAL"/>
              <w:rPr>
                <w:rFonts w:eastAsiaTheme="minorEastAsia"/>
              </w:rPr>
            </w:pPr>
            <w:r>
              <w:rPr>
                <w:rFonts w:eastAsiaTheme="minorEastAsia"/>
              </w:rPr>
              <w:t>12-13, 0-1</w:t>
            </w:r>
          </w:p>
        </w:tc>
      </w:tr>
      <w:tr w:rsidR="003A71DE" w14:paraId="412D99F7"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8593F5F"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1276" w:type="dxa"/>
            <w:tcBorders>
              <w:top w:val="single" w:sz="4" w:space="0" w:color="auto"/>
              <w:left w:val="single" w:sz="4" w:space="0" w:color="auto"/>
              <w:bottom w:val="single" w:sz="4" w:space="0" w:color="auto"/>
              <w:right w:val="single" w:sz="4" w:space="0" w:color="auto"/>
            </w:tcBorders>
            <w:hideMark/>
          </w:tcPr>
          <w:p w14:paraId="12E1165A" w14:textId="77777777" w:rsidR="003A71DE" w:rsidRDefault="003A71DE" w:rsidP="007835E8">
            <w:pPr>
              <w:pStyle w:val="TAL"/>
              <w:rPr>
                <w:rFonts w:eastAsiaTheme="minorEastAsia"/>
              </w:rPr>
            </w:pPr>
            <w:r>
              <w:rPr>
                <w:rFonts w:eastAsiaTheme="minorEastAsia"/>
              </w:rPr>
              <w:t>0</w:t>
            </w:r>
          </w:p>
        </w:tc>
        <w:tc>
          <w:tcPr>
            <w:tcW w:w="1519" w:type="dxa"/>
            <w:tcBorders>
              <w:top w:val="single" w:sz="4" w:space="0" w:color="auto"/>
              <w:left w:val="single" w:sz="4" w:space="0" w:color="auto"/>
              <w:bottom w:val="single" w:sz="4" w:space="0" w:color="auto"/>
              <w:right w:val="single" w:sz="4" w:space="0" w:color="auto"/>
            </w:tcBorders>
            <w:hideMark/>
          </w:tcPr>
          <w:p w14:paraId="60233177" w14:textId="77777777" w:rsidR="003A71DE" w:rsidRDefault="003A71DE" w:rsidP="007835E8">
            <w:pPr>
              <w:pStyle w:val="TAL"/>
              <w:rPr>
                <w:rFonts w:eastAsiaTheme="minorEastAsia"/>
              </w:rPr>
            </w:pPr>
            <w:r>
              <w:rPr>
                <w:rFonts w:eastAsiaTheme="minorEastAsia"/>
              </w:rPr>
              <w:t>0, 1</w:t>
            </w:r>
          </w:p>
        </w:tc>
      </w:tr>
      <w:tr w:rsidR="003A71DE" w14:paraId="63C5B8DB"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0D787C9D"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95" w:type="dxa"/>
            <w:gridSpan w:val="2"/>
            <w:tcBorders>
              <w:top w:val="single" w:sz="4" w:space="0" w:color="auto"/>
              <w:left w:val="single" w:sz="4" w:space="0" w:color="auto"/>
              <w:bottom w:val="single" w:sz="4" w:space="0" w:color="auto"/>
              <w:right w:val="single" w:sz="4" w:space="0" w:color="auto"/>
            </w:tcBorders>
            <w:hideMark/>
          </w:tcPr>
          <w:p w14:paraId="62514B61"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20C443A2"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335183A0" w14:textId="77777777" w:rsidR="003A71DE" w:rsidRDefault="003A71DE" w:rsidP="007835E8">
            <w:pPr>
              <w:pStyle w:val="TAL"/>
              <w:rPr>
                <w:rFonts w:eastAsiaTheme="minorEastAsia"/>
              </w:rPr>
            </w:pPr>
            <w:r>
              <w:rPr>
                <w:rFonts w:eastAsiaTheme="minorEastAsia"/>
              </w:rPr>
              <w:t>RB numbers containing SSBs within channel BW</w:t>
            </w:r>
          </w:p>
        </w:tc>
        <w:tc>
          <w:tcPr>
            <w:tcW w:w="2795" w:type="dxa"/>
            <w:gridSpan w:val="2"/>
            <w:tcBorders>
              <w:top w:val="single" w:sz="4" w:space="0" w:color="auto"/>
              <w:left w:val="single" w:sz="4" w:space="0" w:color="auto"/>
              <w:bottom w:val="single" w:sz="4" w:space="0" w:color="auto"/>
              <w:right w:val="single" w:sz="4" w:space="0" w:color="auto"/>
            </w:tcBorders>
            <w:hideMark/>
          </w:tcPr>
          <w:p w14:paraId="59335156"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J+39</w:t>
            </w:r>
            <w:r>
              <w:rPr>
                <w:rFonts w:eastAsiaTheme="minorEastAsia"/>
              </w:rPr>
              <w:t>)</w:t>
            </w:r>
            <w:r>
              <w:rPr>
                <w:rFonts w:eastAsiaTheme="minorEastAsia"/>
                <w:vertAlign w:val="superscript"/>
              </w:rPr>
              <w:t>Note 1</w:t>
            </w:r>
          </w:p>
        </w:tc>
      </w:tr>
      <w:tr w:rsidR="003A71DE" w14:paraId="4AD84B27" w14:textId="77777777" w:rsidTr="003A71DE">
        <w:trPr>
          <w:jc w:val="center"/>
        </w:trPr>
        <w:tc>
          <w:tcPr>
            <w:tcW w:w="7860" w:type="dxa"/>
            <w:gridSpan w:val="3"/>
            <w:tcBorders>
              <w:top w:val="single" w:sz="4" w:space="0" w:color="auto"/>
              <w:left w:val="single" w:sz="4" w:space="0" w:color="auto"/>
              <w:bottom w:val="single" w:sz="4" w:space="0" w:color="auto"/>
              <w:right w:val="single" w:sz="4" w:space="0" w:color="auto"/>
            </w:tcBorders>
            <w:hideMark/>
          </w:tcPr>
          <w:p w14:paraId="24636D34"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RBs containing SSB can be configured in any frequency location within the cell bandwidth according to the allowed synchronization raster defined in clause 5.4.3.</w:t>
            </w:r>
          </w:p>
          <w:p w14:paraId="15612515"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66C7FDAB" w14:textId="77777777" w:rsidR="003A71DE" w:rsidRDefault="003A71DE" w:rsidP="003A71DE">
      <w:pPr>
        <w:rPr>
          <w:rFonts w:eastAsia="MS Mincho"/>
        </w:rPr>
      </w:pPr>
    </w:p>
    <w:p w14:paraId="215B758B" w14:textId="03203F36" w:rsidR="003A71DE" w:rsidRDefault="003A71DE" w:rsidP="00FD7203">
      <w:pPr>
        <w:pStyle w:val="Heading5"/>
        <w:rPr>
          <w:rFonts w:eastAsiaTheme="minorEastAsia"/>
        </w:rPr>
      </w:pPr>
      <w:bookmarkStart w:id="9966" w:name="_Toc74583646"/>
      <w:bookmarkStart w:id="9967" w:name="_Toc76542459"/>
      <w:bookmarkStart w:id="9968" w:name="_Toc82450441"/>
      <w:bookmarkStart w:id="9969" w:name="_Toc82451089"/>
      <w:bookmarkStart w:id="9970" w:name="_Toc89949478"/>
      <w:bookmarkStart w:id="9971" w:name="_Toc98755867"/>
      <w:bookmarkStart w:id="9972" w:name="_Toc98763459"/>
      <w:bookmarkStart w:id="9973" w:name="_Toc106184388"/>
      <w:r>
        <w:rPr>
          <w:rFonts w:eastAsiaTheme="minorEastAsia"/>
        </w:rPr>
        <w:lastRenderedPageBreak/>
        <w:t>G.1.5.2.3</w:t>
      </w:r>
      <w:r>
        <w:rPr>
          <w:rFonts w:eastAsiaTheme="minorEastAsia"/>
        </w:rPr>
        <w:tab/>
        <w:t>SSB pattern 3 in FR2: SSB allocation for SSB SCS=120 kHz</w:t>
      </w:r>
      <w:bookmarkEnd w:id="9966"/>
      <w:bookmarkEnd w:id="9967"/>
      <w:bookmarkEnd w:id="9968"/>
      <w:bookmarkEnd w:id="9969"/>
      <w:bookmarkEnd w:id="9970"/>
      <w:bookmarkEnd w:id="9971"/>
      <w:bookmarkEnd w:id="9972"/>
      <w:bookmarkEnd w:id="9973"/>
    </w:p>
    <w:p w14:paraId="4CB928F7" w14:textId="77777777" w:rsidR="003A71DE" w:rsidRDefault="003A71DE" w:rsidP="00BA0D24">
      <w:pPr>
        <w:pStyle w:val="TH"/>
        <w:rPr>
          <w:rFonts w:eastAsiaTheme="minorEastAsia"/>
          <w:noProof/>
        </w:rPr>
      </w:pPr>
      <w:r>
        <w:rPr>
          <w:rFonts w:eastAsiaTheme="minorEastAsia"/>
        </w:rPr>
        <w:t xml:space="preserve">Table G.1.5.2.3-1: SSB.3 FR2: SSB </w:t>
      </w:r>
      <w:r>
        <w:rPr>
          <w:rFonts w:eastAsiaTheme="minorEastAsia"/>
          <w:noProof/>
        </w:rPr>
        <w:t>Pattern 3 for SSB SCS = 120 kHz with 1 SSB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7"/>
        <w:gridCol w:w="2777"/>
      </w:tblGrid>
      <w:tr w:rsidR="003A71DE" w14:paraId="7651B70B"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66572E7" w14:textId="77777777" w:rsidR="003A71DE" w:rsidRDefault="003A71DE" w:rsidP="007835E8">
            <w:pPr>
              <w:pStyle w:val="TAH"/>
              <w:rPr>
                <w:rFonts w:eastAsiaTheme="minorEastAsia"/>
              </w:rPr>
            </w:pPr>
            <w:r>
              <w:rPr>
                <w:rFonts w:eastAsiaTheme="minorEastAsia"/>
              </w:rPr>
              <w:t>SSB Parameters</w:t>
            </w:r>
          </w:p>
        </w:tc>
        <w:tc>
          <w:tcPr>
            <w:tcW w:w="2777" w:type="dxa"/>
            <w:tcBorders>
              <w:top w:val="single" w:sz="4" w:space="0" w:color="auto"/>
              <w:left w:val="single" w:sz="4" w:space="0" w:color="auto"/>
              <w:bottom w:val="single" w:sz="4" w:space="0" w:color="auto"/>
              <w:right w:val="single" w:sz="4" w:space="0" w:color="auto"/>
            </w:tcBorders>
            <w:hideMark/>
          </w:tcPr>
          <w:p w14:paraId="2CF60CB1" w14:textId="77777777" w:rsidR="003A71DE" w:rsidRDefault="003A71DE" w:rsidP="007835E8">
            <w:pPr>
              <w:pStyle w:val="TAH"/>
              <w:rPr>
                <w:rFonts w:eastAsiaTheme="minorEastAsia"/>
              </w:rPr>
            </w:pPr>
            <w:r>
              <w:rPr>
                <w:rFonts w:eastAsiaTheme="minorEastAsia"/>
              </w:rPr>
              <w:t>Values</w:t>
            </w:r>
          </w:p>
        </w:tc>
      </w:tr>
      <w:tr w:rsidR="003A71DE" w14:paraId="622E7A41"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37E80B8C" w14:textId="77777777" w:rsidR="003A71DE" w:rsidRDefault="003A71DE" w:rsidP="007835E8">
            <w:pPr>
              <w:pStyle w:val="TAL"/>
              <w:rPr>
                <w:rFonts w:eastAsiaTheme="minorEastAsia"/>
              </w:rPr>
            </w:pPr>
            <w:r>
              <w:rPr>
                <w:rFonts w:eastAsiaTheme="minorEastAsia"/>
              </w:rPr>
              <w:t>SSB SCS</w:t>
            </w:r>
          </w:p>
        </w:tc>
        <w:tc>
          <w:tcPr>
            <w:tcW w:w="2777" w:type="dxa"/>
            <w:tcBorders>
              <w:top w:val="single" w:sz="4" w:space="0" w:color="auto"/>
              <w:left w:val="single" w:sz="4" w:space="0" w:color="auto"/>
              <w:bottom w:val="single" w:sz="4" w:space="0" w:color="auto"/>
              <w:right w:val="single" w:sz="4" w:space="0" w:color="auto"/>
            </w:tcBorders>
            <w:hideMark/>
          </w:tcPr>
          <w:p w14:paraId="5C0FB8B9" w14:textId="77777777" w:rsidR="003A71DE" w:rsidRDefault="003A71DE" w:rsidP="007835E8">
            <w:pPr>
              <w:pStyle w:val="TAL"/>
              <w:rPr>
                <w:rFonts w:eastAsiaTheme="minorEastAsia"/>
              </w:rPr>
            </w:pPr>
            <w:r>
              <w:rPr>
                <w:rFonts w:eastAsiaTheme="minorEastAsia"/>
              </w:rPr>
              <w:t>120 kHz</w:t>
            </w:r>
          </w:p>
        </w:tc>
      </w:tr>
      <w:tr w:rsidR="003A71DE" w14:paraId="6D1E4BFE"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2C1502C8"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77" w:type="dxa"/>
            <w:tcBorders>
              <w:top w:val="single" w:sz="4" w:space="0" w:color="auto"/>
              <w:left w:val="single" w:sz="4" w:space="0" w:color="auto"/>
              <w:bottom w:val="single" w:sz="4" w:space="0" w:color="auto"/>
              <w:right w:val="single" w:sz="4" w:space="0" w:color="auto"/>
            </w:tcBorders>
            <w:hideMark/>
          </w:tcPr>
          <w:p w14:paraId="3D186D1A" w14:textId="77777777" w:rsidR="003A71DE" w:rsidRDefault="003A71DE" w:rsidP="007835E8">
            <w:pPr>
              <w:pStyle w:val="TAL"/>
              <w:rPr>
                <w:rFonts w:eastAsiaTheme="minorEastAsia"/>
              </w:rPr>
            </w:pPr>
            <w:r>
              <w:rPr>
                <w:rFonts w:eastAsiaTheme="minorEastAsia"/>
              </w:rPr>
              <w:t>20 ms</w:t>
            </w:r>
          </w:p>
        </w:tc>
      </w:tr>
      <w:tr w:rsidR="003A71DE" w14:paraId="400B5B84"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3E564F67" w14:textId="77777777" w:rsidR="003A71DE" w:rsidRDefault="003A71DE" w:rsidP="007835E8">
            <w:pPr>
              <w:pStyle w:val="TAL"/>
              <w:rPr>
                <w:rFonts w:eastAsiaTheme="minorEastAsia"/>
              </w:rPr>
            </w:pPr>
            <w:r>
              <w:rPr>
                <w:rFonts w:eastAsiaTheme="minorEastAsia"/>
              </w:rPr>
              <w:t>Number of SSBs per SS-burst</w:t>
            </w:r>
          </w:p>
        </w:tc>
        <w:tc>
          <w:tcPr>
            <w:tcW w:w="2777" w:type="dxa"/>
            <w:tcBorders>
              <w:top w:val="single" w:sz="4" w:space="0" w:color="auto"/>
              <w:left w:val="single" w:sz="4" w:space="0" w:color="auto"/>
              <w:bottom w:val="single" w:sz="4" w:space="0" w:color="auto"/>
              <w:right w:val="single" w:sz="4" w:space="0" w:color="auto"/>
            </w:tcBorders>
            <w:hideMark/>
          </w:tcPr>
          <w:p w14:paraId="1030ED46" w14:textId="77777777" w:rsidR="003A71DE" w:rsidRDefault="003A71DE" w:rsidP="007835E8">
            <w:pPr>
              <w:pStyle w:val="TAL"/>
              <w:rPr>
                <w:rFonts w:eastAsiaTheme="minorEastAsia"/>
              </w:rPr>
            </w:pPr>
            <w:r>
              <w:rPr>
                <w:rFonts w:eastAsiaTheme="minorEastAsia"/>
              </w:rPr>
              <w:t>1</w:t>
            </w:r>
          </w:p>
        </w:tc>
      </w:tr>
      <w:tr w:rsidR="003A71DE" w14:paraId="39688CC8"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0EC29C91" w14:textId="77777777" w:rsidR="003A71DE" w:rsidRDefault="003A71DE" w:rsidP="007835E8">
            <w:pPr>
              <w:pStyle w:val="TAL"/>
              <w:rPr>
                <w:rFonts w:eastAsiaTheme="minorEastAsia"/>
              </w:rPr>
            </w:pPr>
            <w:r>
              <w:rPr>
                <w:rFonts w:eastAsiaTheme="minorEastAsia"/>
              </w:rPr>
              <w:t>SS/PBCH block index</w:t>
            </w:r>
          </w:p>
        </w:tc>
        <w:tc>
          <w:tcPr>
            <w:tcW w:w="2777" w:type="dxa"/>
            <w:tcBorders>
              <w:top w:val="single" w:sz="4" w:space="0" w:color="auto"/>
              <w:left w:val="single" w:sz="4" w:space="0" w:color="auto"/>
              <w:bottom w:val="single" w:sz="4" w:space="0" w:color="auto"/>
              <w:right w:val="single" w:sz="4" w:space="0" w:color="auto"/>
            </w:tcBorders>
            <w:hideMark/>
          </w:tcPr>
          <w:p w14:paraId="5AFD1056" w14:textId="77777777" w:rsidR="003A71DE" w:rsidRDefault="003A71DE" w:rsidP="007835E8">
            <w:pPr>
              <w:pStyle w:val="TAL"/>
              <w:rPr>
                <w:rFonts w:eastAsiaTheme="minorEastAsia"/>
              </w:rPr>
            </w:pPr>
            <w:r>
              <w:rPr>
                <w:rFonts w:eastAsiaTheme="minorEastAsia"/>
              </w:rPr>
              <w:t>0</w:t>
            </w:r>
          </w:p>
        </w:tc>
      </w:tr>
      <w:tr w:rsidR="003A71DE" w14:paraId="5A8E2446"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AEDB0D1"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2777" w:type="dxa"/>
            <w:tcBorders>
              <w:top w:val="single" w:sz="4" w:space="0" w:color="auto"/>
              <w:left w:val="single" w:sz="4" w:space="0" w:color="auto"/>
              <w:bottom w:val="single" w:sz="4" w:space="0" w:color="auto"/>
              <w:right w:val="single" w:sz="4" w:space="0" w:color="auto"/>
            </w:tcBorders>
            <w:hideMark/>
          </w:tcPr>
          <w:p w14:paraId="0BA52BCE" w14:textId="77777777" w:rsidR="003A71DE" w:rsidRDefault="003A71DE" w:rsidP="007835E8">
            <w:pPr>
              <w:pStyle w:val="TAL"/>
              <w:rPr>
                <w:rFonts w:eastAsiaTheme="minorEastAsia"/>
              </w:rPr>
            </w:pPr>
            <w:r>
              <w:rPr>
                <w:rFonts w:eastAsiaTheme="minorEastAsia"/>
              </w:rPr>
              <w:t>4-7</w:t>
            </w:r>
          </w:p>
        </w:tc>
      </w:tr>
      <w:tr w:rsidR="003A71DE" w14:paraId="588C2EE1"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1A12723D"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2777" w:type="dxa"/>
            <w:tcBorders>
              <w:top w:val="single" w:sz="4" w:space="0" w:color="auto"/>
              <w:left w:val="single" w:sz="4" w:space="0" w:color="auto"/>
              <w:bottom w:val="single" w:sz="4" w:space="0" w:color="auto"/>
              <w:right w:val="single" w:sz="4" w:space="0" w:color="auto"/>
            </w:tcBorders>
            <w:hideMark/>
          </w:tcPr>
          <w:p w14:paraId="50B55BB6" w14:textId="77777777" w:rsidR="003A71DE" w:rsidRDefault="003A71DE" w:rsidP="007835E8">
            <w:pPr>
              <w:pStyle w:val="TAL"/>
              <w:rPr>
                <w:rFonts w:eastAsiaTheme="minorEastAsia"/>
              </w:rPr>
            </w:pPr>
            <w:r>
              <w:rPr>
                <w:rFonts w:eastAsiaTheme="minorEastAsia"/>
              </w:rPr>
              <w:t>0</w:t>
            </w:r>
          </w:p>
        </w:tc>
      </w:tr>
      <w:tr w:rsidR="003A71DE" w14:paraId="423C3E2F"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14EF5ECF"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77" w:type="dxa"/>
            <w:tcBorders>
              <w:top w:val="single" w:sz="4" w:space="0" w:color="auto"/>
              <w:left w:val="single" w:sz="4" w:space="0" w:color="auto"/>
              <w:bottom w:val="single" w:sz="4" w:space="0" w:color="auto"/>
              <w:right w:val="single" w:sz="4" w:space="0" w:color="auto"/>
            </w:tcBorders>
            <w:hideMark/>
          </w:tcPr>
          <w:p w14:paraId="3E14E259"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5DDEEE04"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1C2A605A" w14:textId="77777777" w:rsidR="003A71DE" w:rsidRDefault="003A71DE" w:rsidP="007835E8">
            <w:pPr>
              <w:pStyle w:val="TAL"/>
              <w:rPr>
                <w:rFonts w:eastAsiaTheme="minorEastAsia"/>
              </w:rPr>
            </w:pPr>
            <w:r>
              <w:rPr>
                <w:rFonts w:eastAsiaTheme="minorEastAsia"/>
              </w:rPr>
              <w:t>RB numbers containing SSBs within channel BW</w:t>
            </w:r>
          </w:p>
        </w:tc>
        <w:tc>
          <w:tcPr>
            <w:tcW w:w="2777" w:type="dxa"/>
            <w:tcBorders>
              <w:top w:val="single" w:sz="4" w:space="0" w:color="auto"/>
              <w:left w:val="single" w:sz="4" w:space="0" w:color="auto"/>
              <w:bottom w:val="single" w:sz="4" w:space="0" w:color="auto"/>
              <w:right w:val="single" w:sz="4" w:space="0" w:color="auto"/>
            </w:tcBorders>
            <w:hideMark/>
          </w:tcPr>
          <w:p w14:paraId="20BF16EB"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4BDDEDD4" w14:textId="77777777" w:rsidTr="003A71DE">
        <w:trPr>
          <w:jc w:val="center"/>
        </w:trPr>
        <w:tc>
          <w:tcPr>
            <w:tcW w:w="7824" w:type="dxa"/>
            <w:gridSpan w:val="2"/>
            <w:tcBorders>
              <w:top w:val="single" w:sz="4" w:space="0" w:color="auto"/>
              <w:left w:val="single" w:sz="4" w:space="0" w:color="auto"/>
              <w:bottom w:val="single" w:sz="4" w:space="0" w:color="auto"/>
              <w:right w:val="single" w:sz="4" w:space="0" w:color="auto"/>
            </w:tcBorders>
            <w:hideMark/>
          </w:tcPr>
          <w:p w14:paraId="4C5DF594"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4BA31EB5"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1BF9C352" w14:textId="77777777" w:rsidR="003A71DE" w:rsidRDefault="003A71DE" w:rsidP="003A71DE">
      <w:pPr>
        <w:rPr>
          <w:rFonts w:eastAsia="MS Mincho"/>
        </w:rPr>
      </w:pPr>
    </w:p>
    <w:p w14:paraId="57C6EA71" w14:textId="0C352131" w:rsidR="003A71DE" w:rsidRDefault="003A71DE" w:rsidP="00FD7203">
      <w:pPr>
        <w:pStyle w:val="Heading5"/>
        <w:rPr>
          <w:rFonts w:eastAsiaTheme="minorEastAsia"/>
        </w:rPr>
      </w:pPr>
      <w:bookmarkStart w:id="9974" w:name="_Toc74583647"/>
      <w:bookmarkStart w:id="9975" w:name="_Toc76542460"/>
      <w:bookmarkStart w:id="9976" w:name="_Toc82450442"/>
      <w:bookmarkStart w:id="9977" w:name="_Toc82451090"/>
      <w:bookmarkStart w:id="9978" w:name="_Toc89949479"/>
      <w:bookmarkStart w:id="9979" w:name="_Toc98755868"/>
      <w:bookmarkStart w:id="9980" w:name="_Toc98763460"/>
      <w:bookmarkStart w:id="9981" w:name="_Toc106184389"/>
      <w:r>
        <w:rPr>
          <w:rFonts w:eastAsiaTheme="minorEastAsia"/>
        </w:rPr>
        <w:t>G.1.5.2.4</w:t>
      </w:r>
      <w:r>
        <w:rPr>
          <w:rFonts w:eastAsiaTheme="minorEastAsia"/>
        </w:rPr>
        <w:tab/>
        <w:t>SSB pattern 4 in FR2: SSB allocation for SSB SCS=240 kHz</w:t>
      </w:r>
      <w:bookmarkEnd w:id="9974"/>
      <w:bookmarkEnd w:id="9975"/>
      <w:bookmarkEnd w:id="9976"/>
      <w:bookmarkEnd w:id="9977"/>
      <w:bookmarkEnd w:id="9978"/>
      <w:bookmarkEnd w:id="9979"/>
      <w:bookmarkEnd w:id="9980"/>
      <w:bookmarkEnd w:id="9981"/>
    </w:p>
    <w:p w14:paraId="051CE019" w14:textId="77777777" w:rsidR="003A71DE" w:rsidRDefault="003A71DE" w:rsidP="00BA0D24">
      <w:pPr>
        <w:pStyle w:val="TH"/>
        <w:rPr>
          <w:rFonts w:eastAsiaTheme="minorEastAsia"/>
          <w:noProof/>
        </w:rPr>
      </w:pPr>
      <w:r>
        <w:rPr>
          <w:rFonts w:eastAsiaTheme="minorEastAsia"/>
        </w:rPr>
        <w:t xml:space="preserve">Table G.1.5.2.4-1: SSB.4 FR2: SSB </w:t>
      </w:r>
      <w:r>
        <w:rPr>
          <w:rFonts w:eastAsiaTheme="minorEastAsia"/>
          <w:noProof/>
        </w:rPr>
        <w:t>Pattern 4 for SSB SCS = 240 kHz with 1 SSB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5"/>
        <w:gridCol w:w="2795"/>
      </w:tblGrid>
      <w:tr w:rsidR="003A71DE" w14:paraId="7D87FB6F"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3FCDD9E7" w14:textId="77777777" w:rsidR="003A71DE" w:rsidRDefault="003A71DE" w:rsidP="007835E8">
            <w:pPr>
              <w:pStyle w:val="TAH"/>
              <w:rPr>
                <w:rFonts w:eastAsiaTheme="minorEastAsia"/>
              </w:rPr>
            </w:pPr>
            <w:r>
              <w:rPr>
                <w:rFonts w:eastAsiaTheme="minorEastAsia"/>
              </w:rPr>
              <w:t>SSB Parameters</w:t>
            </w:r>
          </w:p>
        </w:tc>
        <w:tc>
          <w:tcPr>
            <w:tcW w:w="2795" w:type="dxa"/>
            <w:tcBorders>
              <w:top w:val="single" w:sz="4" w:space="0" w:color="auto"/>
              <w:left w:val="single" w:sz="4" w:space="0" w:color="auto"/>
              <w:bottom w:val="single" w:sz="4" w:space="0" w:color="auto"/>
              <w:right w:val="single" w:sz="4" w:space="0" w:color="auto"/>
            </w:tcBorders>
            <w:hideMark/>
          </w:tcPr>
          <w:p w14:paraId="572D3CF2" w14:textId="77777777" w:rsidR="003A71DE" w:rsidRDefault="003A71DE" w:rsidP="007835E8">
            <w:pPr>
              <w:pStyle w:val="TAH"/>
              <w:rPr>
                <w:rFonts w:eastAsiaTheme="minorEastAsia"/>
              </w:rPr>
            </w:pPr>
            <w:r>
              <w:rPr>
                <w:rFonts w:eastAsiaTheme="minorEastAsia"/>
              </w:rPr>
              <w:t>Values</w:t>
            </w:r>
          </w:p>
        </w:tc>
      </w:tr>
      <w:tr w:rsidR="003A71DE" w14:paraId="38E643F7"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64C5C443" w14:textId="77777777" w:rsidR="003A71DE" w:rsidRDefault="003A71DE" w:rsidP="007835E8">
            <w:pPr>
              <w:pStyle w:val="TAL"/>
              <w:rPr>
                <w:rFonts w:eastAsiaTheme="minorEastAsia"/>
              </w:rPr>
            </w:pPr>
            <w:r>
              <w:rPr>
                <w:rFonts w:eastAsiaTheme="minorEastAsia"/>
              </w:rPr>
              <w:t>SSB SCS</w:t>
            </w:r>
          </w:p>
        </w:tc>
        <w:tc>
          <w:tcPr>
            <w:tcW w:w="2795" w:type="dxa"/>
            <w:tcBorders>
              <w:top w:val="single" w:sz="4" w:space="0" w:color="auto"/>
              <w:left w:val="single" w:sz="4" w:space="0" w:color="auto"/>
              <w:bottom w:val="single" w:sz="4" w:space="0" w:color="auto"/>
              <w:right w:val="single" w:sz="4" w:space="0" w:color="auto"/>
            </w:tcBorders>
            <w:hideMark/>
          </w:tcPr>
          <w:p w14:paraId="120730C2" w14:textId="77777777" w:rsidR="003A71DE" w:rsidRDefault="003A71DE" w:rsidP="007835E8">
            <w:pPr>
              <w:pStyle w:val="TAL"/>
              <w:rPr>
                <w:rFonts w:eastAsiaTheme="minorEastAsia"/>
              </w:rPr>
            </w:pPr>
            <w:r>
              <w:rPr>
                <w:rFonts w:eastAsiaTheme="minorEastAsia"/>
              </w:rPr>
              <w:t>240 kHz</w:t>
            </w:r>
          </w:p>
        </w:tc>
      </w:tr>
      <w:tr w:rsidR="003A71DE" w14:paraId="1DAD7F49"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4CA2B20"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95" w:type="dxa"/>
            <w:tcBorders>
              <w:top w:val="single" w:sz="4" w:space="0" w:color="auto"/>
              <w:left w:val="single" w:sz="4" w:space="0" w:color="auto"/>
              <w:bottom w:val="single" w:sz="4" w:space="0" w:color="auto"/>
              <w:right w:val="single" w:sz="4" w:space="0" w:color="auto"/>
            </w:tcBorders>
            <w:hideMark/>
          </w:tcPr>
          <w:p w14:paraId="0AE56702" w14:textId="77777777" w:rsidR="003A71DE" w:rsidRDefault="003A71DE" w:rsidP="007835E8">
            <w:pPr>
              <w:pStyle w:val="TAL"/>
              <w:rPr>
                <w:rFonts w:eastAsiaTheme="minorEastAsia"/>
              </w:rPr>
            </w:pPr>
            <w:r>
              <w:rPr>
                <w:rFonts w:eastAsiaTheme="minorEastAsia"/>
              </w:rPr>
              <w:t>20 ms</w:t>
            </w:r>
          </w:p>
        </w:tc>
      </w:tr>
      <w:tr w:rsidR="003A71DE" w14:paraId="2610E9F6"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23F8D8E8" w14:textId="77777777" w:rsidR="003A71DE" w:rsidRDefault="003A71DE" w:rsidP="007835E8">
            <w:pPr>
              <w:pStyle w:val="TAL"/>
              <w:rPr>
                <w:rFonts w:eastAsiaTheme="minorEastAsia"/>
              </w:rPr>
            </w:pPr>
            <w:r>
              <w:rPr>
                <w:rFonts w:eastAsiaTheme="minorEastAsia"/>
              </w:rPr>
              <w:t>Number of SSBs per SS-burst</w:t>
            </w:r>
          </w:p>
        </w:tc>
        <w:tc>
          <w:tcPr>
            <w:tcW w:w="2795" w:type="dxa"/>
            <w:tcBorders>
              <w:top w:val="single" w:sz="4" w:space="0" w:color="auto"/>
              <w:left w:val="single" w:sz="4" w:space="0" w:color="auto"/>
              <w:bottom w:val="single" w:sz="4" w:space="0" w:color="auto"/>
              <w:right w:val="single" w:sz="4" w:space="0" w:color="auto"/>
            </w:tcBorders>
            <w:hideMark/>
          </w:tcPr>
          <w:p w14:paraId="1CA5F767" w14:textId="77777777" w:rsidR="003A71DE" w:rsidRDefault="003A71DE" w:rsidP="007835E8">
            <w:pPr>
              <w:pStyle w:val="TAL"/>
              <w:rPr>
                <w:rFonts w:eastAsiaTheme="minorEastAsia"/>
              </w:rPr>
            </w:pPr>
            <w:r>
              <w:rPr>
                <w:rFonts w:eastAsiaTheme="minorEastAsia"/>
              </w:rPr>
              <w:t>1</w:t>
            </w:r>
          </w:p>
        </w:tc>
      </w:tr>
      <w:tr w:rsidR="003A71DE" w14:paraId="7499E9DD"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1EC370A" w14:textId="77777777" w:rsidR="003A71DE" w:rsidRDefault="003A71DE" w:rsidP="007835E8">
            <w:pPr>
              <w:pStyle w:val="TAL"/>
              <w:rPr>
                <w:rFonts w:eastAsiaTheme="minorEastAsia"/>
              </w:rPr>
            </w:pPr>
            <w:r>
              <w:rPr>
                <w:rFonts w:eastAsiaTheme="minorEastAsia"/>
              </w:rPr>
              <w:t>SS/PBCH block index</w:t>
            </w:r>
          </w:p>
        </w:tc>
        <w:tc>
          <w:tcPr>
            <w:tcW w:w="2795" w:type="dxa"/>
            <w:tcBorders>
              <w:top w:val="single" w:sz="4" w:space="0" w:color="auto"/>
              <w:left w:val="single" w:sz="4" w:space="0" w:color="auto"/>
              <w:bottom w:val="single" w:sz="4" w:space="0" w:color="auto"/>
              <w:right w:val="single" w:sz="4" w:space="0" w:color="auto"/>
            </w:tcBorders>
            <w:hideMark/>
          </w:tcPr>
          <w:p w14:paraId="0E086F13" w14:textId="77777777" w:rsidR="003A71DE" w:rsidRDefault="003A71DE" w:rsidP="007835E8">
            <w:pPr>
              <w:pStyle w:val="TAL"/>
              <w:rPr>
                <w:rFonts w:eastAsiaTheme="minorEastAsia"/>
              </w:rPr>
            </w:pPr>
            <w:r>
              <w:rPr>
                <w:rFonts w:eastAsiaTheme="minorEastAsia"/>
              </w:rPr>
              <w:t>0</w:t>
            </w:r>
          </w:p>
        </w:tc>
      </w:tr>
      <w:tr w:rsidR="003A71DE" w14:paraId="4A66FC9F"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4FADCBCE"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2795" w:type="dxa"/>
            <w:tcBorders>
              <w:top w:val="single" w:sz="4" w:space="0" w:color="auto"/>
              <w:left w:val="single" w:sz="4" w:space="0" w:color="auto"/>
              <w:bottom w:val="single" w:sz="4" w:space="0" w:color="auto"/>
              <w:right w:val="single" w:sz="4" w:space="0" w:color="auto"/>
            </w:tcBorders>
            <w:hideMark/>
          </w:tcPr>
          <w:p w14:paraId="597075E0" w14:textId="77777777" w:rsidR="003A71DE" w:rsidRDefault="003A71DE" w:rsidP="007835E8">
            <w:pPr>
              <w:pStyle w:val="TAL"/>
              <w:rPr>
                <w:rFonts w:eastAsiaTheme="minorEastAsia"/>
              </w:rPr>
            </w:pPr>
            <w:r>
              <w:rPr>
                <w:rFonts w:eastAsiaTheme="minorEastAsia"/>
              </w:rPr>
              <w:t>8-11</w:t>
            </w:r>
          </w:p>
        </w:tc>
      </w:tr>
      <w:tr w:rsidR="003A71DE" w14:paraId="4A586D14"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6BF64F54"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2795" w:type="dxa"/>
            <w:tcBorders>
              <w:top w:val="single" w:sz="4" w:space="0" w:color="auto"/>
              <w:left w:val="single" w:sz="4" w:space="0" w:color="auto"/>
              <w:bottom w:val="single" w:sz="4" w:space="0" w:color="auto"/>
              <w:right w:val="single" w:sz="4" w:space="0" w:color="auto"/>
            </w:tcBorders>
            <w:hideMark/>
          </w:tcPr>
          <w:p w14:paraId="634E351C" w14:textId="77777777" w:rsidR="003A71DE" w:rsidRDefault="003A71DE" w:rsidP="007835E8">
            <w:pPr>
              <w:pStyle w:val="TAL"/>
              <w:rPr>
                <w:rFonts w:eastAsiaTheme="minorEastAsia"/>
              </w:rPr>
            </w:pPr>
            <w:r>
              <w:rPr>
                <w:rFonts w:eastAsiaTheme="minorEastAsia"/>
              </w:rPr>
              <w:t>0</w:t>
            </w:r>
          </w:p>
        </w:tc>
      </w:tr>
      <w:tr w:rsidR="003A71DE" w14:paraId="67202B71"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3D5D8669"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95" w:type="dxa"/>
            <w:tcBorders>
              <w:top w:val="single" w:sz="4" w:space="0" w:color="auto"/>
              <w:left w:val="single" w:sz="4" w:space="0" w:color="auto"/>
              <w:bottom w:val="single" w:sz="4" w:space="0" w:color="auto"/>
              <w:right w:val="single" w:sz="4" w:space="0" w:color="auto"/>
            </w:tcBorders>
            <w:hideMark/>
          </w:tcPr>
          <w:p w14:paraId="47FA446F"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5A453FA5"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582F7513" w14:textId="77777777" w:rsidR="003A71DE" w:rsidRDefault="003A71DE" w:rsidP="007835E8">
            <w:pPr>
              <w:pStyle w:val="TAL"/>
              <w:rPr>
                <w:rFonts w:eastAsiaTheme="minorEastAsia"/>
              </w:rPr>
            </w:pPr>
            <w:r>
              <w:rPr>
                <w:rFonts w:eastAsiaTheme="minorEastAsia"/>
              </w:rPr>
              <w:t>RB numbers containing SSBs within channel BW</w:t>
            </w:r>
          </w:p>
        </w:tc>
        <w:tc>
          <w:tcPr>
            <w:tcW w:w="2795" w:type="dxa"/>
            <w:tcBorders>
              <w:top w:val="single" w:sz="4" w:space="0" w:color="auto"/>
              <w:left w:val="single" w:sz="4" w:space="0" w:color="auto"/>
              <w:bottom w:val="single" w:sz="4" w:space="0" w:color="auto"/>
              <w:right w:val="single" w:sz="4" w:space="0" w:color="auto"/>
            </w:tcBorders>
            <w:hideMark/>
          </w:tcPr>
          <w:p w14:paraId="2FAB50BD"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J+39</w:t>
            </w:r>
            <w:r>
              <w:rPr>
                <w:rFonts w:eastAsiaTheme="minorEastAsia"/>
              </w:rPr>
              <w:t>)</w:t>
            </w:r>
            <w:r>
              <w:rPr>
                <w:rFonts w:eastAsiaTheme="minorEastAsia"/>
                <w:vertAlign w:val="superscript"/>
              </w:rPr>
              <w:t>Note 1</w:t>
            </w:r>
          </w:p>
        </w:tc>
      </w:tr>
      <w:tr w:rsidR="003A71DE" w14:paraId="18D0929E" w14:textId="77777777" w:rsidTr="003A71DE">
        <w:trPr>
          <w:jc w:val="center"/>
        </w:trPr>
        <w:tc>
          <w:tcPr>
            <w:tcW w:w="7860" w:type="dxa"/>
            <w:gridSpan w:val="2"/>
            <w:tcBorders>
              <w:top w:val="single" w:sz="4" w:space="0" w:color="auto"/>
              <w:left w:val="single" w:sz="4" w:space="0" w:color="auto"/>
              <w:bottom w:val="single" w:sz="4" w:space="0" w:color="auto"/>
              <w:right w:val="single" w:sz="4" w:space="0" w:color="auto"/>
            </w:tcBorders>
            <w:hideMark/>
          </w:tcPr>
          <w:p w14:paraId="2DA786BE"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0EE8ECC9"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149588B3" w14:textId="77777777" w:rsidR="003A71DE" w:rsidRDefault="003A71DE" w:rsidP="005437E4">
      <w:pPr>
        <w:rPr>
          <w:rFonts w:eastAsia="MS Mincho"/>
        </w:rPr>
      </w:pPr>
    </w:p>
    <w:p w14:paraId="47A9F193" w14:textId="5D3623E2" w:rsidR="003A71DE" w:rsidRDefault="003A71DE" w:rsidP="00FD7203">
      <w:pPr>
        <w:pStyle w:val="Heading5"/>
        <w:rPr>
          <w:rFonts w:eastAsiaTheme="minorEastAsia"/>
        </w:rPr>
      </w:pPr>
      <w:bookmarkStart w:id="9982" w:name="_Toc74583648"/>
      <w:bookmarkStart w:id="9983" w:name="_Toc76542461"/>
      <w:bookmarkStart w:id="9984" w:name="_Toc82450443"/>
      <w:bookmarkStart w:id="9985" w:name="_Toc82451091"/>
      <w:bookmarkStart w:id="9986" w:name="_Toc89949480"/>
      <w:bookmarkStart w:id="9987" w:name="_Toc98755869"/>
      <w:bookmarkStart w:id="9988" w:name="_Toc98763461"/>
      <w:bookmarkStart w:id="9989" w:name="_Toc106184390"/>
      <w:r>
        <w:rPr>
          <w:rFonts w:eastAsiaTheme="minorEastAsia"/>
        </w:rPr>
        <w:t>G.1.5.2.5</w:t>
      </w:r>
      <w:r>
        <w:rPr>
          <w:rFonts w:eastAsiaTheme="minorEastAsia"/>
        </w:rPr>
        <w:tab/>
        <w:t>SSB pattern 5 in FR2: SSB allocation for SSB SCS=120 kHz</w:t>
      </w:r>
      <w:bookmarkEnd w:id="9982"/>
      <w:bookmarkEnd w:id="9983"/>
      <w:bookmarkEnd w:id="9984"/>
      <w:bookmarkEnd w:id="9985"/>
      <w:bookmarkEnd w:id="9986"/>
      <w:bookmarkEnd w:id="9987"/>
      <w:bookmarkEnd w:id="9988"/>
      <w:bookmarkEnd w:id="9989"/>
    </w:p>
    <w:p w14:paraId="5DA5773B" w14:textId="77777777" w:rsidR="003A71DE" w:rsidRDefault="003A71DE" w:rsidP="00BA0D24">
      <w:pPr>
        <w:pStyle w:val="TH"/>
        <w:rPr>
          <w:rFonts w:eastAsiaTheme="minorEastAsia"/>
          <w:noProof/>
        </w:rPr>
      </w:pPr>
      <w:r>
        <w:rPr>
          <w:rFonts w:eastAsiaTheme="minorEastAsia"/>
        </w:rPr>
        <w:t xml:space="preserve">Table G.1.5.2.5-1: SSB.5 FR2: SSB </w:t>
      </w:r>
      <w:r>
        <w:rPr>
          <w:rFonts w:eastAsiaTheme="minorEastAsia"/>
          <w:noProof/>
        </w:rPr>
        <w:t>Pattern 5 for SSB SCS = 120 kHz with 2 SSBs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7"/>
        <w:gridCol w:w="992"/>
        <w:gridCol w:w="1785"/>
      </w:tblGrid>
      <w:tr w:rsidR="003A71DE" w14:paraId="39686B25"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2FDC02AD" w14:textId="77777777" w:rsidR="003A71DE" w:rsidRDefault="003A71DE" w:rsidP="007835E8">
            <w:pPr>
              <w:pStyle w:val="TAH"/>
              <w:rPr>
                <w:rFonts w:eastAsiaTheme="minorEastAsia"/>
              </w:rPr>
            </w:pPr>
            <w:r>
              <w:rPr>
                <w:rFonts w:eastAsiaTheme="minorEastAsia"/>
              </w:rPr>
              <w:t>SSB Parameters</w:t>
            </w:r>
          </w:p>
        </w:tc>
        <w:tc>
          <w:tcPr>
            <w:tcW w:w="2777" w:type="dxa"/>
            <w:gridSpan w:val="2"/>
            <w:tcBorders>
              <w:top w:val="single" w:sz="4" w:space="0" w:color="auto"/>
              <w:left w:val="single" w:sz="4" w:space="0" w:color="auto"/>
              <w:bottom w:val="single" w:sz="4" w:space="0" w:color="auto"/>
              <w:right w:val="single" w:sz="4" w:space="0" w:color="auto"/>
            </w:tcBorders>
            <w:hideMark/>
          </w:tcPr>
          <w:p w14:paraId="265F846F" w14:textId="77777777" w:rsidR="003A71DE" w:rsidRDefault="003A71DE" w:rsidP="007835E8">
            <w:pPr>
              <w:pStyle w:val="TAH"/>
              <w:rPr>
                <w:rFonts w:eastAsiaTheme="minorEastAsia"/>
              </w:rPr>
            </w:pPr>
            <w:r>
              <w:rPr>
                <w:rFonts w:eastAsiaTheme="minorEastAsia"/>
              </w:rPr>
              <w:t>Values</w:t>
            </w:r>
          </w:p>
        </w:tc>
      </w:tr>
      <w:tr w:rsidR="003A71DE" w14:paraId="1A7D3EFD"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5E33597" w14:textId="77777777" w:rsidR="003A71DE" w:rsidRDefault="003A71DE" w:rsidP="007835E8">
            <w:pPr>
              <w:pStyle w:val="TAL"/>
              <w:rPr>
                <w:rFonts w:eastAsiaTheme="minorEastAsia"/>
              </w:rPr>
            </w:pPr>
            <w:r>
              <w:rPr>
                <w:rFonts w:eastAsiaTheme="minorEastAsia"/>
              </w:rPr>
              <w:t>SSB SCS</w:t>
            </w:r>
          </w:p>
        </w:tc>
        <w:tc>
          <w:tcPr>
            <w:tcW w:w="2777" w:type="dxa"/>
            <w:gridSpan w:val="2"/>
            <w:tcBorders>
              <w:top w:val="single" w:sz="4" w:space="0" w:color="auto"/>
              <w:left w:val="single" w:sz="4" w:space="0" w:color="auto"/>
              <w:bottom w:val="single" w:sz="4" w:space="0" w:color="auto"/>
              <w:right w:val="single" w:sz="4" w:space="0" w:color="auto"/>
            </w:tcBorders>
            <w:hideMark/>
          </w:tcPr>
          <w:p w14:paraId="288BE92D" w14:textId="77777777" w:rsidR="003A71DE" w:rsidRDefault="003A71DE" w:rsidP="007835E8">
            <w:pPr>
              <w:pStyle w:val="TAL"/>
              <w:rPr>
                <w:rFonts w:eastAsiaTheme="minorEastAsia"/>
              </w:rPr>
            </w:pPr>
            <w:r>
              <w:rPr>
                <w:rFonts w:eastAsiaTheme="minorEastAsia"/>
              </w:rPr>
              <w:t>120 kHz</w:t>
            </w:r>
          </w:p>
        </w:tc>
      </w:tr>
      <w:tr w:rsidR="003A71DE" w14:paraId="30247268"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51E62901"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77" w:type="dxa"/>
            <w:gridSpan w:val="2"/>
            <w:tcBorders>
              <w:top w:val="single" w:sz="4" w:space="0" w:color="auto"/>
              <w:left w:val="single" w:sz="4" w:space="0" w:color="auto"/>
              <w:bottom w:val="single" w:sz="4" w:space="0" w:color="auto"/>
              <w:right w:val="single" w:sz="4" w:space="0" w:color="auto"/>
            </w:tcBorders>
            <w:hideMark/>
          </w:tcPr>
          <w:p w14:paraId="05BFF4F1" w14:textId="77777777" w:rsidR="003A71DE" w:rsidRDefault="003A71DE" w:rsidP="007835E8">
            <w:pPr>
              <w:pStyle w:val="TAL"/>
              <w:rPr>
                <w:rFonts w:eastAsiaTheme="minorEastAsia"/>
              </w:rPr>
            </w:pPr>
            <w:r>
              <w:rPr>
                <w:rFonts w:eastAsiaTheme="minorEastAsia"/>
              </w:rPr>
              <w:t>20 ms</w:t>
            </w:r>
          </w:p>
        </w:tc>
      </w:tr>
      <w:tr w:rsidR="003A71DE" w14:paraId="17A705A5"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0145C3BF" w14:textId="77777777" w:rsidR="003A71DE" w:rsidRDefault="003A71DE" w:rsidP="007835E8">
            <w:pPr>
              <w:pStyle w:val="TAL"/>
              <w:rPr>
                <w:rFonts w:eastAsiaTheme="minorEastAsia"/>
              </w:rPr>
            </w:pPr>
            <w:r>
              <w:rPr>
                <w:rFonts w:eastAsiaTheme="minorEastAsia"/>
              </w:rPr>
              <w:t>Number of SSBs per SS-burst</w:t>
            </w:r>
          </w:p>
        </w:tc>
        <w:tc>
          <w:tcPr>
            <w:tcW w:w="2777" w:type="dxa"/>
            <w:gridSpan w:val="2"/>
            <w:tcBorders>
              <w:top w:val="single" w:sz="4" w:space="0" w:color="auto"/>
              <w:left w:val="single" w:sz="4" w:space="0" w:color="auto"/>
              <w:bottom w:val="single" w:sz="4" w:space="0" w:color="auto"/>
              <w:right w:val="single" w:sz="4" w:space="0" w:color="auto"/>
            </w:tcBorders>
            <w:hideMark/>
          </w:tcPr>
          <w:p w14:paraId="6C732032" w14:textId="77777777" w:rsidR="003A71DE" w:rsidRDefault="003A71DE" w:rsidP="007835E8">
            <w:pPr>
              <w:pStyle w:val="TAL"/>
              <w:rPr>
                <w:rFonts w:eastAsiaTheme="minorEastAsia"/>
              </w:rPr>
            </w:pPr>
            <w:r>
              <w:rPr>
                <w:rFonts w:eastAsiaTheme="minorEastAsia"/>
              </w:rPr>
              <w:t>2</w:t>
            </w:r>
          </w:p>
        </w:tc>
      </w:tr>
      <w:tr w:rsidR="003A71DE" w14:paraId="6BA09AD7"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D90441C" w14:textId="77777777" w:rsidR="003A71DE" w:rsidRDefault="003A71DE" w:rsidP="007835E8">
            <w:pPr>
              <w:pStyle w:val="TAL"/>
              <w:rPr>
                <w:rFonts w:eastAsiaTheme="minorEastAsia"/>
              </w:rPr>
            </w:pPr>
            <w:r>
              <w:rPr>
                <w:rFonts w:eastAsiaTheme="minorEastAsia"/>
              </w:rPr>
              <w:t>SS/PBCH block index</w:t>
            </w:r>
          </w:p>
        </w:tc>
        <w:tc>
          <w:tcPr>
            <w:tcW w:w="992" w:type="dxa"/>
            <w:tcBorders>
              <w:top w:val="single" w:sz="4" w:space="0" w:color="auto"/>
              <w:left w:val="single" w:sz="4" w:space="0" w:color="auto"/>
              <w:bottom w:val="single" w:sz="4" w:space="0" w:color="auto"/>
              <w:right w:val="single" w:sz="4" w:space="0" w:color="auto"/>
            </w:tcBorders>
            <w:hideMark/>
          </w:tcPr>
          <w:p w14:paraId="2291D6B7" w14:textId="77777777" w:rsidR="003A71DE" w:rsidRDefault="003A71DE" w:rsidP="007835E8">
            <w:pPr>
              <w:pStyle w:val="TAL"/>
              <w:rPr>
                <w:rFonts w:eastAsiaTheme="minorEastAsia"/>
              </w:rPr>
            </w:pPr>
            <w:r>
              <w:rPr>
                <w:rFonts w:eastAsiaTheme="minorEastAsia"/>
              </w:rPr>
              <w:t>2</w:t>
            </w:r>
          </w:p>
        </w:tc>
        <w:tc>
          <w:tcPr>
            <w:tcW w:w="1785" w:type="dxa"/>
            <w:tcBorders>
              <w:top w:val="single" w:sz="4" w:space="0" w:color="auto"/>
              <w:left w:val="single" w:sz="4" w:space="0" w:color="auto"/>
              <w:bottom w:val="single" w:sz="4" w:space="0" w:color="auto"/>
              <w:right w:val="single" w:sz="4" w:space="0" w:color="auto"/>
            </w:tcBorders>
            <w:hideMark/>
          </w:tcPr>
          <w:p w14:paraId="4FE6FDBA" w14:textId="77777777" w:rsidR="003A71DE" w:rsidRDefault="003A71DE" w:rsidP="007835E8">
            <w:pPr>
              <w:pStyle w:val="TAL"/>
              <w:rPr>
                <w:rFonts w:eastAsiaTheme="minorEastAsia"/>
              </w:rPr>
            </w:pPr>
            <w:r>
              <w:rPr>
                <w:rFonts w:eastAsiaTheme="minorEastAsia"/>
              </w:rPr>
              <w:t>3</w:t>
            </w:r>
          </w:p>
        </w:tc>
      </w:tr>
      <w:tr w:rsidR="003A71DE" w14:paraId="4A42970B"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0B6114E2"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992" w:type="dxa"/>
            <w:tcBorders>
              <w:top w:val="single" w:sz="4" w:space="0" w:color="auto"/>
              <w:left w:val="single" w:sz="4" w:space="0" w:color="auto"/>
              <w:bottom w:val="single" w:sz="4" w:space="0" w:color="auto"/>
              <w:right w:val="single" w:sz="4" w:space="0" w:color="auto"/>
            </w:tcBorders>
            <w:hideMark/>
          </w:tcPr>
          <w:p w14:paraId="266ACF6F" w14:textId="77777777" w:rsidR="003A71DE" w:rsidRDefault="003A71DE" w:rsidP="007835E8">
            <w:pPr>
              <w:pStyle w:val="TAL"/>
              <w:rPr>
                <w:rFonts w:eastAsiaTheme="minorEastAsia"/>
              </w:rPr>
            </w:pPr>
            <w:r>
              <w:rPr>
                <w:rFonts w:eastAsiaTheme="minorEastAsia"/>
              </w:rPr>
              <w:t>2-5</w:t>
            </w:r>
          </w:p>
        </w:tc>
        <w:tc>
          <w:tcPr>
            <w:tcW w:w="1785" w:type="dxa"/>
            <w:tcBorders>
              <w:top w:val="single" w:sz="4" w:space="0" w:color="auto"/>
              <w:left w:val="single" w:sz="4" w:space="0" w:color="auto"/>
              <w:bottom w:val="single" w:sz="4" w:space="0" w:color="auto"/>
              <w:right w:val="single" w:sz="4" w:space="0" w:color="auto"/>
            </w:tcBorders>
            <w:hideMark/>
          </w:tcPr>
          <w:p w14:paraId="6AA4AB0A" w14:textId="77777777" w:rsidR="003A71DE" w:rsidRDefault="003A71DE" w:rsidP="007835E8">
            <w:pPr>
              <w:pStyle w:val="TAL"/>
              <w:rPr>
                <w:rFonts w:eastAsiaTheme="minorEastAsia"/>
              </w:rPr>
            </w:pPr>
            <w:r>
              <w:rPr>
                <w:rFonts w:eastAsiaTheme="minorEastAsia"/>
              </w:rPr>
              <w:t>6-9</w:t>
            </w:r>
          </w:p>
        </w:tc>
      </w:tr>
      <w:tr w:rsidR="003A71DE" w14:paraId="330B76E8"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77A956DC"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992" w:type="dxa"/>
            <w:tcBorders>
              <w:top w:val="single" w:sz="4" w:space="0" w:color="auto"/>
              <w:left w:val="single" w:sz="4" w:space="0" w:color="auto"/>
              <w:bottom w:val="single" w:sz="4" w:space="0" w:color="auto"/>
              <w:right w:val="single" w:sz="4" w:space="0" w:color="auto"/>
            </w:tcBorders>
            <w:hideMark/>
          </w:tcPr>
          <w:p w14:paraId="36763C45" w14:textId="77777777" w:rsidR="003A71DE" w:rsidRDefault="003A71DE" w:rsidP="007835E8">
            <w:pPr>
              <w:pStyle w:val="TAL"/>
              <w:rPr>
                <w:rFonts w:eastAsiaTheme="minorEastAsia"/>
              </w:rPr>
            </w:pPr>
            <w:r>
              <w:rPr>
                <w:rFonts w:eastAsiaTheme="minorEastAsia"/>
              </w:rPr>
              <w:t>1</w:t>
            </w:r>
          </w:p>
        </w:tc>
        <w:tc>
          <w:tcPr>
            <w:tcW w:w="1785" w:type="dxa"/>
            <w:tcBorders>
              <w:top w:val="single" w:sz="4" w:space="0" w:color="auto"/>
              <w:left w:val="single" w:sz="4" w:space="0" w:color="auto"/>
              <w:bottom w:val="single" w:sz="4" w:space="0" w:color="auto"/>
              <w:right w:val="single" w:sz="4" w:space="0" w:color="auto"/>
            </w:tcBorders>
            <w:hideMark/>
          </w:tcPr>
          <w:p w14:paraId="70F2F0C4" w14:textId="77777777" w:rsidR="003A71DE" w:rsidRDefault="003A71DE" w:rsidP="007835E8">
            <w:pPr>
              <w:pStyle w:val="TAL"/>
              <w:rPr>
                <w:rFonts w:eastAsiaTheme="minorEastAsia"/>
              </w:rPr>
            </w:pPr>
            <w:r>
              <w:rPr>
                <w:rFonts w:eastAsiaTheme="minorEastAsia"/>
              </w:rPr>
              <w:t>1</w:t>
            </w:r>
          </w:p>
        </w:tc>
      </w:tr>
      <w:tr w:rsidR="003A71DE" w14:paraId="39ADD654"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59DD64BE"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77" w:type="dxa"/>
            <w:gridSpan w:val="2"/>
            <w:tcBorders>
              <w:top w:val="single" w:sz="4" w:space="0" w:color="auto"/>
              <w:left w:val="single" w:sz="4" w:space="0" w:color="auto"/>
              <w:bottom w:val="single" w:sz="4" w:space="0" w:color="auto"/>
              <w:right w:val="single" w:sz="4" w:space="0" w:color="auto"/>
            </w:tcBorders>
            <w:hideMark/>
          </w:tcPr>
          <w:p w14:paraId="1D6EAB49"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35FF16E5"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5D0420F1" w14:textId="77777777" w:rsidR="003A71DE" w:rsidRDefault="003A71DE" w:rsidP="007835E8">
            <w:pPr>
              <w:pStyle w:val="TAL"/>
              <w:rPr>
                <w:rFonts w:eastAsiaTheme="minorEastAsia"/>
              </w:rPr>
            </w:pPr>
            <w:r>
              <w:rPr>
                <w:rFonts w:eastAsiaTheme="minorEastAsia"/>
              </w:rPr>
              <w:t>RB numbers containing SSBs within channel BW</w:t>
            </w:r>
          </w:p>
        </w:tc>
        <w:tc>
          <w:tcPr>
            <w:tcW w:w="2777" w:type="dxa"/>
            <w:gridSpan w:val="2"/>
            <w:tcBorders>
              <w:top w:val="single" w:sz="4" w:space="0" w:color="auto"/>
              <w:left w:val="single" w:sz="4" w:space="0" w:color="auto"/>
              <w:bottom w:val="single" w:sz="4" w:space="0" w:color="auto"/>
              <w:right w:val="single" w:sz="4" w:space="0" w:color="auto"/>
            </w:tcBorders>
            <w:hideMark/>
          </w:tcPr>
          <w:p w14:paraId="0270A1E2"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0D11634C" w14:textId="77777777" w:rsidTr="003A71DE">
        <w:trPr>
          <w:jc w:val="center"/>
        </w:trPr>
        <w:tc>
          <w:tcPr>
            <w:tcW w:w="7824" w:type="dxa"/>
            <w:gridSpan w:val="3"/>
            <w:tcBorders>
              <w:top w:val="single" w:sz="4" w:space="0" w:color="auto"/>
              <w:left w:val="single" w:sz="4" w:space="0" w:color="auto"/>
              <w:bottom w:val="single" w:sz="4" w:space="0" w:color="auto"/>
              <w:right w:val="single" w:sz="4" w:space="0" w:color="auto"/>
            </w:tcBorders>
            <w:hideMark/>
          </w:tcPr>
          <w:p w14:paraId="161E2716"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1DCE43F2"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6F1B1FEA" w14:textId="77777777" w:rsidR="003A71DE" w:rsidRDefault="003A71DE" w:rsidP="003A71DE">
      <w:pPr>
        <w:rPr>
          <w:rFonts w:eastAsia="MS Mincho"/>
        </w:rPr>
      </w:pPr>
    </w:p>
    <w:p w14:paraId="7EA454E2" w14:textId="2ED1D63F" w:rsidR="003A71DE" w:rsidRDefault="003A71DE" w:rsidP="00FD7203">
      <w:pPr>
        <w:pStyle w:val="Heading5"/>
        <w:rPr>
          <w:rFonts w:eastAsiaTheme="minorEastAsia"/>
        </w:rPr>
      </w:pPr>
      <w:bookmarkStart w:id="9990" w:name="_Toc74583649"/>
      <w:bookmarkStart w:id="9991" w:name="_Toc76542462"/>
      <w:bookmarkStart w:id="9992" w:name="_Toc82450444"/>
      <w:bookmarkStart w:id="9993" w:name="_Toc82451092"/>
      <w:bookmarkStart w:id="9994" w:name="_Toc89949481"/>
      <w:bookmarkStart w:id="9995" w:name="_Toc98755870"/>
      <w:bookmarkStart w:id="9996" w:name="_Toc98763462"/>
      <w:bookmarkStart w:id="9997" w:name="_Toc106184391"/>
      <w:r>
        <w:rPr>
          <w:rFonts w:eastAsiaTheme="minorEastAsia"/>
        </w:rPr>
        <w:lastRenderedPageBreak/>
        <w:t>G.1.5.2.6</w:t>
      </w:r>
      <w:r>
        <w:rPr>
          <w:rFonts w:eastAsiaTheme="minorEastAsia"/>
        </w:rPr>
        <w:tab/>
        <w:t>SSB pattern 6 in FR2: SSB allocation for SSB SCS=240 kHz</w:t>
      </w:r>
      <w:bookmarkEnd w:id="9990"/>
      <w:bookmarkEnd w:id="9991"/>
      <w:bookmarkEnd w:id="9992"/>
      <w:bookmarkEnd w:id="9993"/>
      <w:bookmarkEnd w:id="9994"/>
      <w:bookmarkEnd w:id="9995"/>
      <w:bookmarkEnd w:id="9996"/>
      <w:bookmarkEnd w:id="9997"/>
    </w:p>
    <w:p w14:paraId="01594C21" w14:textId="77777777" w:rsidR="003A71DE" w:rsidRDefault="003A71DE" w:rsidP="00BA0D24">
      <w:pPr>
        <w:pStyle w:val="TH"/>
        <w:rPr>
          <w:rFonts w:eastAsiaTheme="minorEastAsia"/>
          <w:noProof/>
        </w:rPr>
      </w:pPr>
      <w:r>
        <w:rPr>
          <w:rFonts w:eastAsiaTheme="minorEastAsia"/>
        </w:rPr>
        <w:t xml:space="preserve">Table G.1.5.2.6-1: SSB.6 FR2: SSB </w:t>
      </w:r>
      <w:r>
        <w:rPr>
          <w:rFonts w:eastAsiaTheme="minorEastAsia"/>
          <w:noProof/>
        </w:rPr>
        <w:t>Pattern 6 for SSB SCS = 240 kHz with 2 SSBs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5"/>
        <w:gridCol w:w="1276"/>
        <w:gridCol w:w="1519"/>
      </w:tblGrid>
      <w:tr w:rsidR="003A71DE" w14:paraId="7E0CD075"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59CA425D" w14:textId="77777777" w:rsidR="003A71DE" w:rsidRDefault="003A71DE" w:rsidP="007835E8">
            <w:pPr>
              <w:pStyle w:val="TAH"/>
              <w:rPr>
                <w:rFonts w:eastAsiaTheme="minorEastAsia"/>
              </w:rPr>
            </w:pPr>
            <w:r>
              <w:rPr>
                <w:rFonts w:eastAsiaTheme="minorEastAsia"/>
              </w:rPr>
              <w:t>SSB Parameters</w:t>
            </w:r>
          </w:p>
        </w:tc>
        <w:tc>
          <w:tcPr>
            <w:tcW w:w="2795" w:type="dxa"/>
            <w:gridSpan w:val="2"/>
            <w:tcBorders>
              <w:top w:val="single" w:sz="4" w:space="0" w:color="auto"/>
              <w:left w:val="single" w:sz="4" w:space="0" w:color="auto"/>
              <w:bottom w:val="single" w:sz="4" w:space="0" w:color="auto"/>
              <w:right w:val="single" w:sz="4" w:space="0" w:color="auto"/>
            </w:tcBorders>
            <w:hideMark/>
          </w:tcPr>
          <w:p w14:paraId="3F60C25A" w14:textId="77777777" w:rsidR="003A71DE" w:rsidRDefault="003A71DE" w:rsidP="007835E8">
            <w:pPr>
              <w:pStyle w:val="TAH"/>
              <w:rPr>
                <w:rFonts w:eastAsiaTheme="minorEastAsia"/>
              </w:rPr>
            </w:pPr>
            <w:r>
              <w:rPr>
                <w:rFonts w:eastAsiaTheme="minorEastAsia"/>
              </w:rPr>
              <w:t>Values</w:t>
            </w:r>
          </w:p>
        </w:tc>
      </w:tr>
      <w:tr w:rsidR="003A71DE" w14:paraId="18F9E5F2"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4CA60992" w14:textId="77777777" w:rsidR="003A71DE" w:rsidRDefault="003A71DE" w:rsidP="007835E8">
            <w:pPr>
              <w:pStyle w:val="TAL"/>
              <w:rPr>
                <w:rFonts w:eastAsiaTheme="minorEastAsia"/>
              </w:rPr>
            </w:pPr>
            <w:r>
              <w:rPr>
                <w:rFonts w:eastAsiaTheme="minorEastAsia"/>
              </w:rPr>
              <w:t>SSB SCS</w:t>
            </w:r>
          </w:p>
        </w:tc>
        <w:tc>
          <w:tcPr>
            <w:tcW w:w="2795" w:type="dxa"/>
            <w:gridSpan w:val="2"/>
            <w:tcBorders>
              <w:top w:val="single" w:sz="4" w:space="0" w:color="auto"/>
              <w:left w:val="single" w:sz="4" w:space="0" w:color="auto"/>
              <w:bottom w:val="single" w:sz="4" w:space="0" w:color="auto"/>
              <w:right w:val="single" w:sz="4" w:space="0" w:color="auto"/>
            </w:tcBorders>
            <w:hideMark/>
          </w:tcPr>
          <w:p w14:paraId="18CA03A1" w14:textId="77777777" w:rsidR="003A71DE" w:rsidRDefault="003A71DE" w:rsidP="007835E8">
            <w:pPr>
              <w:pStyle w:val="TAL"/>
              <w:rPr>
                <w:rFonts w:eastAsiaTheme="minorEastAsia"/>
              </w:rPr>
            </w:pPr>
            <w:r>
              <w:rPr>
                <w:rFonts w:eastAsiaTheme="minorEastAsia"/>
              </w:rPr>
              <w:t>240 kHz</w:t>
            </w:r>
          </w:p>
        </w:tc>
      </w:tr>
      <w:tr w:rsidR="003A71DE" w14:paraId="733BCCD6"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45F74011"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95" w:type="dxa"/>
            <w:gridSpan w:val="2"/>
            <w:tcBorders>
              <w:top w:val="single" w:sz="4" w:space="0" w:color="auto"/>
              <w:left w:val="single" w:sz="4" w:space="0" w:color="auto"/>
              <w:bottom w:val="single" w:sz="4" w:space="0" w:color="auto"/>
              <w:right w:val="single" w:sz="4" w:space="0" w:color="auto"/>
            </w:tcBorders>
            <w:hideMark/>
          </w:tcPr>
          <w:p w14:paraId="3961AD22" w14:textId="77777777" w:rsidR="003A71DE" w:rsidRDefault="003A71DE" w:rsidP="007835E8">
            <w:pPr>
              <w:pStyle w:val="TAL"/>
              <w:rPr>
                <w:rFonts w:eastAsiaTheme="minorEastAsia"/>
              </w:rPr>
            </w:pPr>
            <w:r>
              <w:rPr>
                <w:rFonts w:eastAsiaTheme="minorEastAsia"/>
              </w:rPr>
              <w:t>20 ms</w:t>
            </w:r>
          </w:p>
        </w:tc>
      </w:tr>
      <w:tr w:rsidR="003A71DE" w14:paraId="5B086004"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582E25A0" w14:textId="77777777" w:rsidR="003A71DE" w:rsidRDefault="003A71DE" w:rsidP="007835E8">
            <w:pPr>
              <w:pStyle w:val="TAL"/>
              <w:rPr>
                <w:rFonts w:eastAsiaTheme="minorEastAsia"/>
              </w:rPr>
            </w:pPr>
            <w:r>
              <w:rPr>
                <w:rFonts w:eastAsiaTheme="minorEastAsia"/>
              </w:rPr>
              <w:t>Number of SSBs per SS-burst</w:t>
            </w:r>
          </w:p>
        </w:tc>
        <w:tc>
          <w:tcPr>
            <w:tcW w:w="2795" w:type="dxa"/>
            <w:gridSpan w:val="2"/>
            <w:tcBorders>
              <w:top w:val="single" w:sz="4" w:space="0" w:color="auto"/>
              <w:left w:val="single" w:sz="4" w:space="0" w:color="auto"/>
              <w:bottom w:val="single" w:sz="4" w:space="0" w:color="auto"/>
              <w:right w:val="single" w:sz="4" w:space="0" w:color="auto"/>
            </w:tcBorders>
            <w:hideMark/>
          </w:tcPr>
          <w:p w14:paraId="7D665CF0" w14:textId="77777777" w:rsidR="003A71DE" w:rsidRDefault="003A71DE" w:rsidP="007835E8">
            <w:pPr>
              <w:pStyle w:val="TAL"/>
              <w:rPr>
                <w:rFonts w:eastAsiaTheme="minorEastAsia"/>
              </w:rPr>
            </w:pPr>
            <w:r>
              <w:rPr>
                <w:rFonts w:eastAsiaTheme="minorEastAsia"/>
              </w:rPr>
              <w:t>2</w:t>
            </w:r>
          </w:p>
        </w:tc>
      </w:tr>
      <w:tr w:rsidR="003A71DE" w14:paraId="2D0333E2"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6B586AF8" w14:textId="77777777" w:rsidR="003A71DE" w:rsidRDefault="003A71DE" w:rsidP="007835E8">
            <w:pPr>
              <w:pStyle w:val="TAL"/>
              <w:rPr>
                <w:rFonts w:eastAsiaTheme="minorEastAsia"/>
              </w:rPr>
            </w:pPr>
            <w:r>
              <w:rPr>
                <w:rFonts w:eastAsiaTheme="minorEastAsia"/>
              </w:rPr>
              <w:t>SS/PBCH block index</w:t>
            </w:r>
          </w:p>
        </w:tc>
        <w:tc>
          <w:tcPr>
            <w:tcW w:w="1276" w:type="dxa"/>
            <w:tcBorders>
              <w:top w:val="single" w:sz="4" w:space="0" w:color="auto"/>
              <w:left w:val="single" w:sz="4" w:space="0" w:color="auto"/>
              <w:bottom w:val="single" w:sz="4" w:space="0" w:color="auto"/>
              <w:right w:val="single" w:sz="4" w:space="0" w:color="auto"/>
            </w:tcBorders>
            <w:hideMark/>
          </w:tcPr>
          <w:p w14:paraId="3A0C8D0D" w14:textId="77777777" w:rsidR="003A71DE" w:rsidRDefault="003A71DE" w:rsidP="007835E8">
            <w:pPr>
              <w:pStyle w:val="TAL"/>
              <w:rPr>
                <w:rFonts w:eastAsiaTheme="minorEastAsia"/>
              </w:rPr>
            </w:pPr>
            <w:r>
              <w:rPr>
                <w:rFonts w:eastAsiaTheme="minorEastAsia"/>
              </w:rPr>
              <w:t>2</w:t>
            </w:r>
          </w:p>
        </w:tc>
        <w:tc>
          <w:tcPr>
            <w:tcW w:w="1519" w:type="dxa"/>
            <w:tcBorders>
              <w:top w:val="single" w:sz="4" w:space="0" w:color="auto"/>
              <w:left w:val="single" w:sz="4" w:space="0" w:color="auto"/>
              <w:bottom w:val="single" w:sz="4" w:space="0" w:color="auto"/>
              <w:right w:val="single" w:sz="4" w:space="0" w:color="auto"/>
            </w:tcBorders>
            <w:hideMark/>
          </w:tcPr>
          <w:p w14:paraId="0E8C075D" w14:textId="77777777" w:rsidR="003A71DE" w:rsidRDefault="003A71DE" w:rsidP="007835E8">
            <w:pPr>
              <w:pStyle w:val="TAL"/>
              <w:rPr>
                <w:rFonts w:eastAsiaTheme="minorEastAsia"/>
              </w:rPr>
            </w:pPr>
            <w:r>
              <w:rPr>
                <w:rFonts w:eastAsiaTheme="minorEastAsia"/>
              </w:rPr>
              <w:t>3</w:t>
            </w:r>
          </w:p>
        </w:tc>
      </w:tr>
      <w:tr w:rsidR="003A71DE" w14:paraId="4A892112"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6EEA284F"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1276" w:type="dxa"/>
            <w:tcBorders>
              <w:top w:val="single" w:sz="4" w:space="0" w:color="auto"/>
              <w:left w:val="single" w:sz="4" w:space="0" w:color="auto"/>
              <w:bottom w:val="single" w:sz="4" w:space="0" w:color="auto"/>
              <w:right w:val="single" w:sz="4" w:space="0" w:color="auto"/>
            </w:tcBorders>
            <w:hideMark/>
          </w:tcPr>
          <w:p w14:paraId="28195C48" w14:textId="77777777" w:rsidR="003A71DE" w:rsidRDefault="003A71DE" w:rsidP="007835E8">
            <w:pPr>
              <w:pStyle w:val="TAL"/>
              <w:rPr>
                <w:rFonts w:eastAsiaTheme="minorEastAsia"/>
              </w:rPr>
            </w:pPr>
            <w:r>
              <w:rPr>
                <w:rFonts w:eastAsiaTheme="minorEastAsia"/>
              </w:rPr>
              <w:t>2-5</w:t>
            </w:r>
          </w:p>
        </w:tc>
        <w:tc>
          <w:tcPr>
            <w:tcW w:w="1519" w:type="dxa"/>
            <w:tcBorders>
              <w:top w:val="single" w:sz="4" w:space="0" w:color="auto"/>
              <w:left w:val="single" w:sz="4" w:space="0" w:color="auto"/>
              <w:bottom w:val="single" w:sz="4" w:space="0" w:color="auto"/>
              <w:right w:val="single" w:sz="4" w:space="0" w:color="auto"/>
            </w:tcBorders>
            <w:hideMark/>
          </w:tcPr>
          <w:p w14:paraId="6FF5FA1D" w14:textId="77777777" w:rsidR="003A71DE" w:rsidRDefault="003A71DE" w:rsidP="007835E8">
            <w:pPr>
              <w:pStyle w:val="TAL"/>
              <w:rPr>
                <w:rFonts w:eastAsiaTheme="minorEastAsia"/>
              </w:rPr>
            </w:pPr>
            <w:r>
              <w:rPr>
                <w:rFonts w:eastAsiaTheme="minorEastAsia"/>
              </w:rPr>
              <w:t>6-9</w:t>
            </w:r>
          </w:p>
        </w:tc>
      </w:tr>
      <w:tr w:rsidR="003A71DE" w14:paraId="482E57CE"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09C6972B"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1276" w:type="dxa"/>
            <w:tcBorders>
              <w:top w:val="single" w:sz="4" w:space="0" w:color="auto"/>
              <w:left w:val="single" w:sz="4" w:space="0" w:color="auto"/>
              <w:bottom w:val="single" w:sz="4" w:space="0" w:color="auto"/>
              <w:right w:val="single" w:sz="4" w:space="0" w:color="auto"/>
            </w:tcBorders>
            <w:hideMark/>
          </w:tcPr>
          <w:p w14:paraId="22A2081E" w14:textId="77777777" w:rsidR="003A71DE" w:rsidRDefault="003A71DE" w:rsidP="007835E8">
            <w:pPr>
              <w:pStyle w:val="TAL"/>
              <w:rPr>
                <w:rFonts w:eastAsiaTheme="minorEastAsia"/>
              </w:rPr>
            </w:pPr>
            <w:r>
              <w:rPr>
                <w:rFonts w:eastAsiaTheme="minorEastAsia"/>
              </w:rPr>
              <w:t>1</w:t>
            </w:r>
          </w:p>
        </w:tc>
        <w:tc>
          <w:tcPr>
            <w:tcW w:w="1519" w:type="dxa"/>
            <w:tcBorders>
              <w:top w:val="single" w:sz="4" w:space="0" w:color="auto"/>
              <w:left w:val="single" w:sz="4" w:space="0" w:color="auto"/>
              <w:bottom w:val="single" w:sz="4" w:space="0" w:color="auto"/>
              <w:right w:val="single" w:sz="4" w:space="0" w:color="auto"/>
            </w:tcBorders>
            <w:hideMark/>
          </w:tcPr>
          <w:p w14:paraId="3D1E22EB" w14:textId="77777777" w:rsidR="003A71DE" w:rsidRDefault="003A71DE" w:rsidP="007835E8">
            <w:pPr>
              <w:pStyle w:val="TAL"/>
              <w:rPr>
                <w:rFonts w:eastAsiaTheme="minorEastAsia"/>
              </w:rPr>
            </w:pPr>
            <w:r>
              <w:rPr>
                <w:rFonts w:eastAsiaTheme="minorEastAsia"/>
              </w:rPr>
              <w:t>1</w:t>
            </w:r>
          </w:p>
        </w:tc>
      </w:tr>
      <w:tr w:rsidR="003A71DE" w14:paraId="12245F24"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34EB49C9"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95" w:type="dxa"/>
            <w:gridSpan w:val="2"/>
            <w:tcBorders>
              <w:top w:val="single" w:sz="4" w:space="0" w:color="auto"/>
              <w:left w:val="single" w:sz="4" w:space="0" w:color="auto"/>
              <w:bottom w:val="single" w:sz="4" w:space="0" w:color="auto"/>
              <w:right w:val="single" w:sz="4" w:space="0" w:color="auto"/>
            </w:tcBorders>
            <w:hideMark/>
          </w:tcPr>
          <w:p w14:paraId="417A7697"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2486F884"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1862AB37" w14:textId="77777777" w:rsidR="003A71DE" w:rsidRDefault="003A71DE" w:rsidP="007835E8">
            <w:pPr>
              <w:pStyle w:val="TAL"/>
              <w:rPr>
                <w:rFonts w:eastAsiaTheme="minorEastAsia"/>
              </w:rPr>
            </w:pPr>
            <w:r>
              <w:rPr>
                <w:rFonts w:eastAsiaTheme="minorEastAsia"/>
              </w:rPr>
              <w:t>RB numbers containing SSBs within channel BW</w:t>
            </w:r>
          </w:p>
        </w:tc>
        <w:tc>
          <w:tcPr>
            <w:tcW w:w="2795" w:type="dxa"/>
            <w:gridSpan w:val="2"/>
            <w:tcBorders>
              <w:top w:val="single" w:sz="4" w:space="0" w:color="auto"/>
              <w:left w:val="single" w:sz="4" w:space="0" w:color="auto"/>
              <w:bottom w:val="single" w:sz="4" w:space="0" w:color="auto"/>
              <w:right w:val="single" w:sz="4" w:space="0" w:color="auto"/>
            </w:tcBorders>
            <w:hideMark/>
          </w:tcPr>
          <w:p w14:paraId="1C4F2D3B"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J+39</w:t>
            </w:r>
            <w:r>
              <w:rPr>
                <w:rFonts w:eastAsiaTheme="minorEastAsia"/>
              </w:rPr>
              <w:t>)</w:t>
            </w:r>
            <w:r>
              <w:rPr>
                <w:rFonts w:eastAsiaTheme="minorEastAsia"/>
                <w:vertAlign w:val="superscript"/>
              </w:rPr>
              <w:t>Note 1</w:t>
            </w:r>
          </w:p>
        </w:tc>
      </w:tr>
      <w:tr w:rsidR="003A71DE" w14:paraId="3EE2DEE9" w14:textId="77777777" w:rsidTr="003A71DE">
        <w:trPr>
          <w:jc w:val="center"/>
        </w:trPr>
        <w:tc>
          <w:tcPr>
            <w:tcW w:w="7860" w:type="dxa"/>
            <w:gridSpan w:val="3"/>
            <w:tcBorders>
              <w:top w:val="single" w:sz="4" w:space="0" w:color="auto"/>
              <w:left w:val="single" w:sz="4" w:space="0" w:color="auto"/>
              <w:bottom w:val="single" w:sz="4" w:space="0" w:color="auto"/>
              <w:right w:val="single" w:sz="4" w:space="0" w:color="auto"/>
            </w:tcBorders>
            <w:hideMark/>
          </w:tcPr>
          <w:p w14:paraId="68F8AFC0"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277B43C0"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208E7966" w14:textId="77777777" w:rsidR="003A71DE" w:rsidRDefault="003A71DE" w:rsidP="003A71DE">
      <w:pPr>
        <w:rPr>
          <w:rFonts w:eastAsia="MS Mincho"/>
        </w:rPr>
      </w:pPr>
    </w:p>
    <w:p w14:paraId="14D3EEFC" w14:textId="64937956" w:rsidR="003A71DE" w:rsidRDefault="003A71DE" w:rsidP="00FD7203">
      <w:pPr>
        <w:pStyle w:val="Heading5"/>
        <w:rPr>
          <w:rFonts w:eastAsiaTheme="minorEastAsia"/>
        </w:rPr>
      </w:pPr>
      <w:bookmarkStart w:id="9998" w:name="_Toc74583650"/>
      <w:bookmarkStart w:id="9999" w:name="_Toc76542463"/>
      <w:bookmarkStart w:id="10000" w:name="_Toc82450445"/>
      <w:bookmarkStart w:id="10001" w:name="_Toc82451093"/>
      <w:bookmarkStart w:id="10002" w:name="_Toc89949482"/>
      <w:bookmarkStart w:id="10003" w:name="_Toc98755871"/>
      <w:bookmarkStart w:id="10004" w:name="_Toc98763463"/>
      <w:bookmarkStart w:id="10005" w:name="_Toc106184392"/>
      <w:r>
        <w:rPr>
          <w:rFonts w:eastAsiaTheme="minorEastAsia"/>
        </w:rPr>
        <w:t>G.1.5.2.7</w:t>
      </w:r>
      <w:r>
        <w:rPr>
          <w:rFonts w:eastAsiaTheme="minorEastAsia"/>
        </w:rPr>
        <w:tab/>
        <w:t>SSB pattern 7 in FR2: SSB allocation for SSB SCS=120 kHz</w:t>
      </w:r>
      <w:bookmarkEnd w:id="9998"/>
      <w:bookmarkEnd w:id="9999"/>
      <w:bookmarkEnd w:id="10000"/>
      <w:bookmarkEnd w:id="10001"/>
      <w:bookmarkEnd w:id="10002"/>
      <w:bookmarkEnd w:id="10003"/>
      <w:bookmarkEnd w:id="10004"/>
      <w:bookmarkEnd w:id="10005"/>
    </w:p>
    <w:p w14:paraId="2184047A" w14:textId="77777777" w:rsidR="003A71DE" w:rsidRDefault="003A71DE" w:rsidP="00BA0D24">
      <w:pPr>
        <w:pStyle w:val="TH"/>
        <w:rPr>
          <w:rFonts w:eastAsiaTheme="minorEastAsia"/>
          <w:noProof/>
        </w:rPr>
      </w:pPr>
      <w:r>
        <w:rPr>
          <w:rFonts w:eastAsiaTheme="minorEastAsia"/>
        </w:rPr>
        <w:t xml:space="preserve">Table G.1.5.2.7-1: SSB.7 FR2: SSB </w:t>
      </w:r>
      <w:r>
        <w:rPr>
          <w:rFonts w:eastAsiaTheme="minorEastAsia"/>
          <w:noProof/>
        </w:rPr>
        <w:t>Pattern 7 for SSB SCS = 120 kHz with 1 SSB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7"/>
        <w:gridCol w:w="2777"/>
      </w:tblGrid>
      <w:tr w:rsidR="003A71DE" w14:paraId="3B2D9C2F"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60AC885F" w14:textId="77777777" w:rsidR="003A71DE" w:rsidRDefault="003A71DE" w:rsidP="007835E8">
            <w:pPr>
              <w:pStyle w:val="TAH"/>
              <w:rPr>
                <w:rFonts w:eastAsiaTheme="minorEastAsia"/>
              </w:rPr>
            </w:pPr>
            <w:r>
              <w:rPr>
                <w:rFonts w:eastAsiaTheme="minorEastAsia"/>
              </w:rPr>
              <w:t>SSB Parameters</w:t>
            </w:r>
          </w:p>
        </w:tc>
        <w:tc>
          <w:tcPr>
            <w:tcW w:w="2777" w:type="dxa"/>
            <w:tcBorders>
              <w:top w:val="single" w:sz="4" w:space="0" w:color="auto"/>
              <w:left w:val="single" w:sz="4" w:space="0" w:color="auto"/>
              <w:bottom w:val="single" w:sz="4" w:space="0" w:color="auto"/>
              <w:right w:val="single" w:sz="4" w:space="0" w:color="auto"/>
            </w:tcBorders>
            <w:hideMark/>
          </w:tcPr>
          <w:p w14:paraId="55F88C5C" w14:textId="77777777" w:rsidR="003A71DE" w:rsidRDefault="003A71DE" w:rsidP="007835E8">
            <w:pPr>
              <w:pStyle w:val="TAH"/>
              <w:rPr>
                <w:rFonts w:eastAsiaTheme="minorEastAsia"/>
              </w:rPr>
            </w:pPr>
            <w:r>
              <w:rPr>
                <w:rFonts w:eastAsiaTheme="minorEastAsia"/>
              </w:rPr>
              <w:t>Values</w:t>
            </w:r>
          </w:p>
        </w:tc>
      </w:tr>
      <w:tr w:rsidR="003A71DE" w14:paraId="0AC6FE2E"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5FCD8D17" w14:textId="77777777" w:rsidR="003A71DE" w:rsidRDefault="003A71DE" w:rsidP="007835E8">
            <w:pPr>
              <w:pStyle w:val="TAL"/>
              <w:rPr>
                <w:rFonts w:eastAsiaTheme="minorEastAsia"/>
              </w:rPr>
            </w:pPr>
            <w:r>
              <w:rPr>
                <w:rFonts w:eastAsiaTheme="minorEastAsia"/>
              </w:rPr>
              <w:t>SSB SCS</w:t>
            </w:r>
          </w:p>
        </w:tc>
        <w:tc>
          <w:tcPr>
            <w:tcW w:w="2777" w:type="dxa"/>
            <w:tcBorders>
              <w:top w:val="single" w:sz="4" w:space="0" w:color="auto"/>
              <w:left w:val="single" w:sz="4" w:space="0" w:color="auto"/>
              <w:bottom w:val="single" w:sz="4" w:space="0" w:color="auto"/>
              <w:right w:val="single" w:sz="4" w:space="0" w:color="auto"/>
            </w:tcBorders>
            <w:hideMark/>
          </w:tcPr>
          <w:p w14:paraId="6BAA9946" w14:textId="77777777" w:rsidR="003A71DE" w:rsidRDefault="003A71DE" w:rsidP="007835E8">
            <w:pPr>
              <w:pStyle w:val="TAL"/>
              <w:rPr>
                <w:rFonts w:eastAsiaTheme="minorEastAsia"/>
              </w:rPr>
            </w:pPr>
            <w:r>
              <w:rPr>
                <w:rFonts w:eastAsiaTheme="minorEastAsia"/>
              </w:rPr>
              <w:t>120 kHz</w:t>
            </w:r>
          </w:p>
        </w:tc>
      </w:tr>
      <w:tr w:rsidR="003A71DE" w14:paraId="5E507530"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0F11E5FC"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77" w:type="dxa"/>
            <w:tcBorders>
              <w:top w:val="single" w:sz="4" w:space="0" w:color="auto"/>
              <w:left w:val="single" w:sz="4" w:space="0" w:color="auto"/>
              <w:bottom w:val="single" w:sz="4" w:space="0" w:color="auto"/>
              <w:right w:val="single" w:sz="4" w:space="0" w:color="auto"/>
            </w:tcBorders>
            <w:hideMark/>
          </w:tcPr>
          <w:p w14:paraId="3CB09BA9" w14:textId="77777777" w:rsidR="003A71DE" w:rsidRDefault="003A71DE" w:rsidP="007835E8">
            <w:pPr>
              <w:pStyle w:val="TAL"/>
              <w:rPr>
                <w:rFonts w:eastAsiaTheme="minorEastAsia"/>
              </w:rPr>
            </w:pPr>
            <w:r>
              <w:rPr>
                <w:rFonts w:eastAsiaTheme="minorEastAsia"/>
              </w:rPr>
              <w:t>20 ms</w:t>
            </w:r>
          </w:p>
        </w:tc>
      </w:tr>
      <w:tr w:rsidR="003A71DE" w14:paraId="0E3D15B7"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4FACA7A0" w14:textId="77777777" w:rsidR="003A71DE" w:rsidRDefault="003A71DE" w:rsidP="007835E8">
            <w:pPr>
              <w:pStyle w:val="TAL"/>
              <w:rPr>
                <w:rFonts w:eastAsiaTheme="minorEastAsia"/>
              </w:rPr>
            </w:pPr>
            <w:r>
              <w:rPr>
                <w:rFonts w:eastAsiaTheme="minorEastAsia"/>
              </w:rPr>
              <w:t>Number of SSBs per SS-burst</w:t>
            </w:r>
          </w:p>
        </w:tc>
        <w:tc>
          <w:tcPr>
            <w:tcW w:w="2777" w:type="dxa"/>
            <w:tcBorders>
              <w:top w:val="single" w:sz="4" w:space="0" w:color="auto"/>
              <w:left w:val="single" w:sz="4" w:space="0" w:color="auto"/>
              <w:bottom w:val="single" w:sz="4" w:space="0" w:color="auto"/>
              <w:right w:val="single" w:sz="4" w:space="0" w:color="auto"/>
            </w:tcBorders>
            <w:hideMark/>
          </w:tcPr>
          <w:p w14:paraId="2DA78243" w14:textId="77777777" w:rsidR="003A71DE" w:rsidRDefault="003A71DE" w:rsidP="007835E8">
            <w:pPr>
              <w:pStyle w:val="TAL"/>
              <w:rPr>
                <w:rFonts w:eastAsiaTheme="minorEastAsia"/>
              </w:rPr>
            </w:pPr>
            <w:r>
              <w:rPr>
                <w:rFonts w:eastAsiaTheme="minorEastAsia"/>
              </w:rPr>
              <w:t>1</w:t>
            </w:r>
          </w:p>
        </w:tc>
      </w:tr>
      <w:tr w:rsidR="003A71DE" w14:paraId="702D5B95"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5876CAFF" w14:textId="77777777" w:rsidR="003A71DE" w:rsidRDefault="003A71DE" w:rsidP="007835E8">
            <w:pPr>
              <w:pStyle w:val="TAL"/>
              <w:rPr>
                <w:rFonts w:eastAsiaTheme="minorEastAsia"/>
              </w:rPr>
            </w:pPr>
            <w:r>
              <w:rPr>
                <w:rFonts w:eastAsiaTheme="minorEastAsia"/>
              </w:rPr>
              <w:t>SS/PBCH block index</w:t>
            </w:r>
          </w:p>
        </w:tc>
        <w:tc>
          <w:tcPr>
            <w:tcW w:w="2777" w:type="dxa"/>
            <w:tcBorders>
              <w:top w:val="single" w:sz="4" w:space="0" w:color="auto"/>
              <w:left w:val="single" w:sz="4" w:space="0" w:color="auto"/>
              <w:bottom w:val="single" w:sz="4" w:space="0" w:color="auto"/>
              <w:right w:val="single" w:sz="4" w:space="0" w:color="auto"/>
            </w:tcBorders>
            <w:hideMark/>
          </w:tcPr>
          <w:p w14:paraId="60567758" w14:textId="77777777" w:rsidR="003A71DE" w:rsidRDefault="003A71DE" w:rsidP="007835E8">
            <w:pPr>
              <w:pStyle w:val="TAL"/>
              <w:rPr>
                <w:rFonts w:eastAsiaTheme="minorEastAsia"/>
              </w:rPr>
            </w:pPr>
            <w:r>
              <w:rPr>
                <w:rFonts w:eastAsiaTheme="minorEastAsia"/>
              </w:rPr>
              <w:t>1</w:t>
            </w:r>
          </w:p>
        </w:tc>
      </w:tr>
      <w:tr w:rsidR="003A71DE" w14:paraId="3A134907"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171F638F"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2777" w:type="dxa"/>
            <w:tcBorders>
              <w:top w:val="single" w:sz="4" w:space="0" w:color="auto"/>
              <w:left w:val="single" w:sz="4" w:space="0" w:color="auto"/>
              <w:bottom w:val="single" w:sz="4" w:space="0" w:color="auto"/>
              <w:right w:val="single" w:sz="4" w:space="0" w:color="auto"/>
            </w:tcBorders>
            <w:hideMark/>
          </w:tcPr>
          <w:p w14:paraId="2A3B2550" w14:textId="77777777" w:rsidR="003A71DE" w:rsidRDefault="003A71DE" w:rsidP="007835E8">
            <w:pPr>
              <w:pStyle w:val="TAL"/>
              <w:rPr>
                <w:rFonts w:eastAsiaTheme="minorEastAsia"/>
              </w:rPr>
            </w:pPr>
            <w:r>
              <w:rPr>
                <w:rFonts w:eastAsiaTheme="minorEastAsia"/>
              </w:rPr>
              <w:t>8-11</w:t>
            </w:r>
          </w:p>
        </w:tc>
      </w:tr>
      <w:tr w:rsidR="003A71DE" w14:paraId="5197CE27"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10E558A7"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2777" w:type="dxa"/>
            <w:tcBorders>
              <w:top w:val="single" w:sz="4" w:space="0" w:color="auto"/>
              <w:left w:val="single" w:sz="4" w:space="0" w:color="auto"/>
              <w:bottom w:val="single" w:sz="4" w:space="0" w:color="auto"/>
              <w:right w:val="single" w:sz="4" w:space="0" w:color="auto"/>
            </w:tcBorders>
            <w:hideMark/>
          </w:tcPr>
          <w:p w14:paraId="4986C09B" w14:textId="77777777" w:rsidR="003A71DE" w:rsidRDefault="003A71DE" w:rsidP="007835E8">
            <w:pPr>
              <w:pStyle w:val="TAL"/>
              <w:rPr>
                <w:rFonts w:eastAsiaTheme="minorEastAsia"/>
              </w:rPr>
            </w:pPr>
            <w:r>
              <w:rPr>
                <w:rFonts w:eastAsiaTheme="minorEastAsia"/>
              </w:rPr>
              <w:t>0</w:t>
            </w:r>
          </w:p>
        </w:tc>
      </w:tr>
      <w:tr w:rsidR="003A71DE" w14:paraId="275B001F"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47CC91D3"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77" w:type="dxa"/>
            <w:tcBorders>
              <w:top w:val="single" w:sz="4" w:space="0" w:color="auto"/>
              <w:left w:val="single" w:sz="4" w:space="0" w:color="auto"/>
              <w:bottom w:val="single" w:sz="4" w:space="0" w:color="auto"/>
              <w:right w:val="single" w:sz="4" w:space="0" w:color="auto"/>
            </w:tcBorders>
            <w:hideMark/>
          </w:tcPr>
          <w:p w14:paraId="0E031576"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0947939B" w14:textId="77777777" w:rsidTr="003A71DE">
        <w:trPr>
          <w:jc w:val="center"/>
        </w:trPr>
        <w:tc>
          <w:tcPr>
            <w:tcW w:w="5047" w:type="dxa"/>
            <w:tcBorders>
              <w:top w:val="single" w:sz="4" w:space="0" w:color="auto"/>
              <w:left w:val="single" w:sz="4" w:space="0" w:color="auto"/>
              <w:bottom w:val="single" w:sz="4" w:space="0" w:color="auto"/>
              <w:right w:val="single" w:sz="4" w:space="0" w:color="auto"/>
            </w:tcBorders>
            <w:hideMark/>
          </w:tcPr>
          <w:p w14:paraId="69207E33" w14:textId="77777777" w:rsidR="003A71DE" w:rsidRDefault="003A71DE" w:rsidP="007835E8">
            <w:pPr>
              <w:pStyle w:val="TAL"/>
              <w:rPr>
                <w:rFonts w:eastAsiaTheme="minorEastAsia"/>
              </w:rPr>
            </w:pPr>
            <w:r>
              <w:rPr>
                <w:rFonts w:eastAsiaTheme="minorEastAsia"/>
              </w:rPr>
              <w:t>RB numbers containing SSBs within channel BW</w:t>
            </w:r>
          </w:p>
        </w:tc>
        <w:tc>
          <w:tcPr>
            <w:tcW w:w="2777" w:type="dxa"/>
            <w:tcBorders>
              <w:top w:val="single" w:sz="4" w:space="0" w:color="auto"/>
              <w:left w:val="single" w:sz="4" w:space="0" w:color="auto"/>
              <w:bottom w:val="single" w:sz="4" w:space="0" w:color="auto"/>
              <w:right w:val="single" w:sz="4" w:space="0" w:color="auto"/>
            </w:tcBorders>
            <w:hideMark/>
          </w:tcPr>
          <w:p w14:paraId="1E965BAC"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J+19</w:t>
            </w:r>
            <w:r>
              <w:rPr>
                <w:rFonts w:eastAsiaTheme="minorEastAsia"/>
              </w:rPr>
              <w:t>)</w:t>
            </w:r>
            <w:r>
              <w:rPr>
                <w:rFonts w:eastAsiaTheme="minorEastAsia"/>
                <w:vertAlign w:val="superscript"/>
              </w:rPr>
              <w:t>Note 1</w:t>
            </w:r>
          </w:p>
        </w:tc>
      </w:tr>
      <w:tr w:rsidR="003A71DE" w14:paraId="26A99533" w14:textId="77777777" w:rsidTr="003A71DE">
        <w:trPr>
          <w:jc w:val="center"/>
        </w:trPr>
        <w:tc>
          <w:tcPr>
            <w:tcW w:w="7824" w:type="dxa"/>
            <w:gridSpan w:val="2"/>
            <w:tcBorders>
              <w:top w:val="single" w:sz="4" w:space="0" w:color="auto"/>
              <w:left w:val="single" w:sz="4" w:space="0" w:color="auto"/>
              <w:bottom w:val="single" w:sz="4" w:space="0" w:color="auto"/>
              <w:right w:val="single" w:sz="4" w:space="0" w:color="auto"/>
            </w:tcBorders>
            <w:hideMark/>
          </w:tcPr>
          <w:p w14:paraId="19F644AD"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17B57080"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52CD8FEE" w14:textId="77777777" w:rsidR="003A71DE" w:rsidRDefault="003A71DE" w:rsidP="003A71DE">
      <w:pPr>
        <w:rPr>
          <w:rFonts w:eastAsia="MS Mincho"/>
        </w:rPr>
      </w:pPr>
    </w:p>
    <w:p w14:paraId="33178576" w14:textId="0FC26DCC" w:rsidR="003A71DE" w:rsidRDefault="003A71DE" w:rsidP="00FD7203">
      <w:pPr>
        <w:pStyle w:val="Heading5"/>
        <w:rPr>
          <w:rFonts w:eastAsiaTheme="minorEastAsia"/>
        </w:rPr>
      </w:pPr>
      <w:bookmarkStart w:id="10006" w:name="_Toc74583651"/>
      <w:bookmarkStart w:id="10007" w:name="_Toc76542464"/>
      <w:bookmarkStart w:id="10008" w:name="_Toc82450446"/>
      <w:bookmarkStart w:id="10009" w:name="_Toc82451094"/>
      <w:bookmarkStart w:id="10010" w:name="_Toc89949483"/>
      <w:bookmarkStart w:id="10011" w:name="_Toc98755872"/>
      <w:bookmarkStart w:id="10012" w:name="_Toc98763464"/>
      <w:bookmarkStart w:id="10013" w:name="_Toc106184393"/>
      <w:r>
        <w:rPr>
          <w:rFonts w:eastAsiaTheme="minorEastAsia"/>
        </w:rPr>
        <w:t>G.1.5.2.8</w:t>
      </w:r>
      <w:r>
        <w:rPr>
          <w:rFonts w:eastAsiaTheme="minorEastAsia"/>
        </w:rPr>
        <w:tab/>
        <w:t>SSB pattern 8 in FR2: SSB allocation for SSB SCS=240 kHz</w:t>
      </w:r>
      <w:bookmarkEnd w:id="10006"/>
      <w:bookmarkEnd w:id="10007"/>
      <w:bookmarkEnd w:id="10008"/>
      <w:bookmarkEnd w:id="10009"/>
      <w:bookmarkEnd w:id="10010"/>
      <w:bookmarkEnd w:id="10011"/>
      <w:bookmarkEnd w:id="10012"/>
      <w:bookmarkEnd w:id="10013"/>
    </w:p>
    <w:p w14:paraId="2867DE34" w14:textId="77777777" w:rsidR="003A71DE" w:rsidRDefault="003A71DE" w:rsidP="00BA0D24">
      <w:pPr>
        <w:pStyle w:val="TH"/>
        <w:rPr>
          <w:rFonts w:eastAsiaTheme="minorEastAsia"/>
          <w:noProof/>
        </w:rPr>
      </w:pPr>
      <w:r>
        <w:rPr>
          <w:rFonts w:eastAsiaTheme="minorEastAsia"/>
        </w:rPr>
        <w:t xml:space="preserve">Table G.1.5.2.8-1: SSB.8 FR2: SSB </w:t>
      </w:r>
      <w:r>
        <w:rPr>
          <w:rFonts w:eastAsiaTheme="minorEastAsia"/>
          <w:noProof/>
        </w:rPr>
        <w:t>Pattern 8 for SSB SCS = 240 kHz with 1 SSB per SS-burst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5"/>
        <w:gridCol w:w="1397"/>
        <w:gridCol w:w="1398"/>
      </w:tblGrid>
      <w:tr w:rsidR="003A71DE" w14:paraId="745BB04C"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33C43EAB" w14:textId="77777777" w:rsidR="003A71DE" w:rsidRDefault="003A71DE" w:rsidP="007835E8">
            <w:pPr>
              <w:pStyle w:val="TAH"/>
              <w:rPr>
                <w:rFonts w:eastAsiaTheme="minorEastAsia"/>
              </w:rPr>
            </w:pPr>
            <w:r>
              <w:rPr>
                <w:rFonts w:eastAsiaTheme="minorEastAsia"/>
              </w:rPr>
              <w:t>SSB Parameters</w:t>
            </w:r>
          </w:p>
        </w:tc>
        <w:tc>
          <w:tcPr>
            <w:tcW w:w="2795" w:type="dxa"/>
            <w:gridSpan w:val="2"/>
            <w:tcBorders>
              <w:top w:val="single" w:sz="4" w:space="0" w:color="auto"/>
              <w:left w:val="single" w:sz="4" w:space="0" w:color="auto"/>
              <w:bottom w:val="single" w:sz="4" w:space="0" w:color="auto"/>
              <w:right w:val="single" w:sz="4" w:space="0" w:color="auto"/>
            </w:tcBorders>
            <w:hideMark/>
          </w:tcPr>
          <w:p w14:paraId="0AA4EE6E" w14:textId="77777777" w:rsidR="003A71DE" w:rsidRDefault="003A71DE" w:rsidP="007835E8">
            <w:pPr>
              <w:pStyle w:val="TAH"/>
              <w:rPr>
                <w:rFonts w:eastAsiaTheme="minorEastAsia"/>
              </w:rPr>
            </w:pPr>
            <w:r>
              <w:rPr>
                <w:rFonts w:eastAsiaTheme="minorEastAsia"/>
              </w:rPr>
              <w:t>Values</w:t>
            </w:r>
          </w:p>
        </w:tc>
      </w:tr>
      <w:tr w:rsidR="003A71DE" w14:paraId="2EC34423"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C87589B" w14:textId="77777777" w:rsidR="003A71DE" w:rsidRDefault="003A71DE" w:rsidP="007835E8">
            <w:pPr>
              <w:pStyle w:val="TAL"/>
              <w:rPr>
                <w:rFonts w:eastAsiaTheme="minorEastAsia"/>
              </w:rPr>
            </w:pPr>
            <w:r>
              <w:rPr>
                <w:rFonts w:eastAsiaTheme="minorEastAsia"/>
              </w:rPr>
              <w:t>SSB SCS</w:t>
            </w:r>
          </w:p>
        </w:tc>
        <w:tc>
          <w:tcPr>
            <w:tcW w:w="2795" w:type="dxa"/>
            <w:gridSpan w:val="2"/>
            <w:tcBorders>
              <w:top w:val="single" w:sz="4" w:space="0" w:color="auto"/>
              <w:left w:val="single" w:sz="4" w:space="0" w:color="auto"/>
              <w:bottom w:val="single" w:sz="4" w:space="0" w:color="auto"/>
              <w:right w:val="single" w:sz="4" w:space="0" w:color="auto"/>
            </w:tcBorders>
            <w:hideMark/>
          </w:tcPr>
          <w:p w14:paraId="6F5F1C08" w14:textId="77777777" w:rsidR="003A71DE" w:rsidRDefault="003A71DE" w:rsidP="007835E8">
            <w:pPr>
              <w:pStyle w:val="TAL"/>
              <w:rPr>
                <w:rFonts w:eastAsiaTheme="minorEastAsia"/>
              </w:rPr>
            </w:pPr>
            <w:r>
              <w:rPr>
                <w:rFonts w:eastAsiaTheme="minorEastAsia"/>
              </w:rPr>
              <w:t>240 kHz</w:t>
            </w:r>
          </w:p>
        </w:tc>
      </w:tr>
      <w:tr w:rsidR="003A71DE" w14:paraId="6155980A"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1419B57B" w14:textId="77777777" w:rsidR="003A71DE" w:rsidRDefault="003A71DE" w:rsidP="007835E8">
            <w:pPr>
              <w:pStyle w:val="TAL"/>
              <w:rPr>
                <w:rFonts w:eastAsiaTheme="minorEastAsia"/>
              </w:rPr>
            </w:pPr>
            <w:r>
              <w:rPr>
                <w:rFonts w:eastAsiaTheme="minorEastAsia"/>
              </w:rPr>
              <w:t>SSB periodicity</w:t>
            </w:r>
            <w:r>
              <w:rPr>
                <w:rFonts w:eastAsiaTheme="minorEastAsia"/>
                <w:lang w:eastAsia="zh-TW"/>
              </w:rPr>
              <w:t xml:space="preserve"> (T</w:t>
            </w:r>
            <w:r>
              <w:rPr>
                <w:rFonts w:eastAsiaTheme="minorEastAsia"/>
                <w:vertAlign w:val="subscript"/>
                <w:lang w:eastAsia="zh-TW"/>
              </w:rPr>
              <w:t>SSB</w:t>
            </w:r>
            <w:r>
              <w:rPr>
                <w:rFonts w:eastAsiaTheme="minorEastAsia"/>
                <w:lang w:eastAsia="zh-TW"/>
              </w:rPr>
              <w:t>)</w:t>
            </w:r>
          </w:p>
        </w:tc>
        <w:tc>
          <w:tcPr>
            <w:tcW w:w="2795" w:type="dxa"/>
            <w:gridSpan w:val="2"/>
            <w:tcBorders>
              <w:top w:val="single" w:sz="4" w:space="0" w:color="auto"/>
              <w:left w:val="single" w:sz="4" w:space="0" w:color="auto"/>
              <w:bottom w:val="single" w:sz="4" w:space="0" w:color="auto"/>
              <w:right w:val="single" w:sz="4" w:space="0" w:color="auto"/>
            </w:tcBorders>
            <w:hideMark/>
          </w:tcPr>
          <w:p w14:paraId="3953DD17" w14:textId="77777777" w:rsidR="003A71DE" w:rsidRDefault="003A71DE" w:rsidP="007835E8">
            <w:pPr>
              <w:pStyle w:val="TAL"/>
              <w:rPr>
                <w:rFonts w:eastAsiaTheme="minorEastAsia"/>
              </w:rPr>
            </w:pPr>
            <w:r>
              <w:rPr>
                <w:rFonts w:eastAsiaTheme="minorEastAsia"/>
              </w:rPr>
              <w:t>20 ms</w:t>
            </w:r>
          </w:p>
        </w:tc>
      </w:tr>
      <w:tr w:rsidR="003A71DE" w14:paraId="66F21D48"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2BB6ABEC" w14:textId="77777777" w:rsidR="003A71DE" w:rsidRDefault="003A71DE" w:rsidP="007835E8">
            <w:pPr>
              <w:pStyle w:val="TAL"/>
              <w:rPr>
                <w:rFonts w:eastAsiaTheme="minorEastAsia"/>
              </w:rPr>
            </w:pPr>
            <w:r>
              <w:rPr>
                <w:rFonts w:eastAsiaTheme="minorEastAsia"/>
              </w:rPr>
              <w:t>Number of SSBs per SS-burst</w:t>
            </w:r>
          </w:p>
        </w:tc>
        <w:tc>
          <w:tcPr>
            <w:tcW w:w="2795" w:type="dxa"/>
            <w:gridSpan w:val="2"/>
            <w:tcBorders>
              <w:top w:val="single" w:sz="4" w:space="0" w:color="auto"/>
              <w:left w:val="single" w:sz="4" w:space="0" w:color="auto"/>
              <w:bottom w:val="single" w:sz="4" w:space="0" w:color="auto"/>
              <w:right w:val="single" w:sz="4" w:space="0" w:color="auto"/>
            </w:tcBorders>
            <w:hideMark/>
          </w:tcPr>
          <w:p w14:paraId="19EE52FB" w14:textId="77777777" w:rsidR="003A71DE" w:rsidRDefault="003A71DE" w:rsidP="007835E8">
            <w:pPr>
              <w:pStyle w:val="TAL"/>
              <w:rPr>
                <w:rFonts w:eastAsiaTheme="minorEastAsia"/>
              </w:rPr>
            </w:pPr>
            <w:r>
              <w:rPr>
                <w:rFonts w:eastAsiaTheme="minorEastAsia"/>
              </w:rPr>
              <w:t>1</w:t>
            </w:r>
          </w:p>
        </w:tc>
      </w:tr>
      <w:tr w:rsidR="003A71DE" w14:paraId="5675BFFF"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15A328A" w14:textId="77777777" w:rsidR="003A71DE" w:rsidRDefault="003A71DE" w:rsidP="007835E8">
            <w:pPr>
              <w:pStyle w:val="TAL"/>
              <w:rPr>
                <w:rFonts w:eastAsiaTheme="minorEastAsia"/>
              </w:rPr>
            </w:pPr>
            <w:r>
              <w:rPr>
                <w:rFonts w:eastAsiaTheme="minorEastAsia"/>
              </w:rPr>
              <w:t>SS/PBCH block index</w:t>
            </w:r>
          </w:p>
        </w:tc>
        <w:tc>
          <w:tcPr>
            <w:tcW w:w="2795" w:type="dxa"/>
            <w:gridSpan w:val="2"/>
            <w:tcBorders>
              <w:top w:val="single" w:sz="4" w:space="0" w:color="auto"/>
              <w:left w:val="single" w:sz="4" w:space="0" w:color="auto"/>
              <w:bottom w:val="single" w:sz="4" w:space="0" w:color="auto"/>
              <w:right w:val="single" w:sz="4" w:space="0" w:color="auto"/>
            </w:tcBorders>
            <w:hideMark/>
          </w:tcPr>
          <w:p w14:paraId="2C51BABD" w14:textId="77777777" w:rsidR="003A71DE" w:rsidRDefault="003A71DE" w:rsidP="007835E8">
            <w:pPr>
              <w:pStyle w:val="TAL"/>
              <w:rPr>
                <w:rFonts w:eastAsiaTheme="minorEastAsia"/>
              </w:rPr>
            </w:pPr>
            <w:r>
              <w:rPr>
                <w:rFonts w:eastAsiaTheme="minorEastAsia"/>
              </w:rPr>
              <w:t>1</w:t>
            </w:r>
          </w:p>
        </w:tc>
      </w:tr>
      <w:tr w:rsidR="003A71DE" w14:paraId="2AAE0873"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E538395" w14:textId="77777777" w:rsidR="003A71DE" w:rsidRDefault="003A71DE" w:rsidP="007835E8">
            <w:pPr>
              <w:pStyle w:val="TAL"/>
              <w:rPr>
                <w:rFonts w:eastAsiaTheme="minorEastAsia"/>
              </w:rPr>
            </w:pPr>
            <w:r>
              <w:rPr>
                <w:rFonts w:eastAsiaTheme="minorEastAsia"/>
              </w:rPr>
              <w:t>Symbol numbers containing SSBs</w:t>
            </w:r>
            <w:r>
              <w:rPr>
                <w:rFonts w:eastAsiaTheme="minorEastAsia"/>
                <w:vertAlign w:val="superscript"/>
              </w:rPr>
              <w:t xml:space="preserve"> Note 2</w:t>
            </w:r>
          </w:p>
        </w:tc>
        <w:tc>
          <w:tcPr>
            <w:tcW w:w="1397" w:type="dxa"/>
            <w:tcBorders>
              <w:top w:val="single" w:sz="4" w:space="0" w:color="auto"/>
              <w:left w:val="single" w:sz="4" w:space="0" w:color="auto"/>
              <w:bottom w:val="single" w:sz="4" w:space="0" w:color="auto"/>
              <w:right w:val="single" w:sz="4" w:space="0" w:color="auto"/>
            </w:tcBorders>
            <w:hideMark/>
          </w:tcPr>
          <w:p w14:paraId="64EBE52F" w14:textId="77777777" w:rsidR="003A71DE" w:rsidRDefault="003A71DE" w:rsidP="007835E8">
            <w:pPr>
              <w:pStyle w:val="TAL"/>
              <w:rPr>
                <w:rFonts w:eastAsiaTheme="minorEastAsia"/>
              </w:rPr>
            </w:pPr>
            <w:r>
              <w:rPr>
                <w:rFonts w:eastAsiaTheme="minorEastAsia"/>
              </w:rPr>
              <w:t>12-13</w:t>
            </w:r>
          </w:p>
        </w:tc>
        <w:tc>
          <w:tcPr>
            <w:tcW w:w="1398" w:type="dxa"/>
            <w:tcBorders>
              <w:top w:val="single" w:sz="4" w:space="0" w:color="auto"/>
              <w:left w:val="single" w:sz="4" w:space="0" w:color="auto"/>
              <w:bottom w:val="single" w:sz="4" w:space="0" w:color="auto"/>
              <w:right w:val="single" w:sz="4" w:space="0" w:color="auto"/>
            </w:tcBorders>
            <w:hideMark/>
          </w:tcPr>
          <w:p w14:paraId="48C4383B" w14:textId="77777777" w:rsidR="003A71DE" w:rsidRDefault="003A71DE" w:rsidP="007835E8">
            <w:pPr>
              <w:pStyle w:val="TAL"/>
              <w:rPr>
                <w:rFonts w:eastAsiaTheme="minorEastAsia"/>
              </w:rPr>
            </w:pPr>
            <w:r>
              <w:rPr>
                <w:rFonts w:eastAsiaTheme="minorEastAsia"/>
              </w:rPr>
              <w:t>0-1</w:t>
            </w:r>
          </w:p>
        </w:tc>
      </w:tr>
      <w:tr w:rsidR="003A71DE" w14:paraId="11018988"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7186F585" w14:textId="77777777" w:rsidR="003A71DE" w:rsidRDefault="003A71DE" w:rsidP="007835E8">
            <w:pPr>
              <w:pStyle w:val="TAL"/>
              <w:rPr>
                <w:rFonts w:eastAsiaTheme="minorEastAsia"/>
              </w:rPr>
            </w:pPr>
            <w:r>
              <w:rPr>
                <w:rFonts w:eastAsiaTheme="minorEastAsia"/>
              </w:rPr>
              <w:t>Slot numbers containing SSB</w:t>
            </w:r>
            <w:r>
              <w:rPr>
                <w:rFonts w:eastAsiaTheme="minorEastAsia"/>
                <w:vertAlign w:val="superscript"/>
              </w:rPr>
              <w:t xml:space="preserve"> Note 2</w:t>
            </w:r>
          </w:p>
        </w:tc>
        <w:tc>
          <w:tcPr>
            <w:tcW w:w="1397" w:type="dxa"/>
            <w:tcBorders>
              <w:top w:val="single" w:sz="4" w:space="0" w:color="auto"/>
              <w:left w:val="single" w:sz="4" w:space="0" w:color="auto"/>
              <w:bottom w:val="single" w:sz="4" w:space="0" w:color="auto"/>
              <w:right w:val="single" w:sz="4" w:space="0" w:color="auto"/>
            </w:tcBorders>
            <w:hideMark/>
          </w:tcPr>
          <w:p w14:paraId="6185F609" w14:textId="77777777" w:rsidR="003A71DE" w:rsidRDefault="003A71DE" w:rsidP="007835E8">
            <w:pPr>
              <w:pStyle w:val="TAL"/>
              <w:rPr>
                <w:rFonts w:eastAsiaTheme="minorEastAsia"/>
              </w:rPr>
            </w:pPr>
            <w:r>
              <w:rPr>
                <w:rFonts w:eastAsiaTheme="minorEastAsia"/>
              </w:rPr>
              <w:t>0</w:t>
            </w:r>
          </w:p>
        </w:tc>
        <w:tc>
          <w:tcPr>
            <w:tcW w:w="1398" w:type="dxa"/>
            <w:tcBorders>
              <w:top w:val="single" w:sz="4" w:space="0" w:color="auto"/>
              <w:left w:val="single" w:sz="4" w:space="0" w:color="auto"/>
              <w:bottom w:val="single" w:sz="4" w:space="0" w:color="auto"/>
              <w:right w:val="single" w:sz="4" w:space="0" w:color="auto"/>
            </w:tcBorders>
            <w:hideMark/>
          </w:tcPr>
          <w:p w14:paraId="6B3CA7E2" w14:textId="77777777" w:rsidR="003A71DE" w:rsidRDefault="003A71DE" w:rsidP="007835E8">
            <w:pPr>
              <w:pStyle w:val="TAL"/>
              <w:rPr>
                <w:rFonts w:eastAsiaTheme="minorEastAsia"/>
              </w:rPr>
            </w:pPr>
            <w:r>
              <w:rPr>
                <w:rFonts w:eastAsiaTheme="minorEastAsia"/>
              </w:rPr>
              <w:t>1</w:t>
            </w:r>
          </w:p>
        </w:tc>
      </w:tr>
      <w:tr w:rsidR="003A71DE" w14:paraId="18359E85"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0305E6C6" w14:textId="77777777" w:rsidR="003A71DE" w:rsidRDefault="003A71DE" w:rsidP="007835E8">
            <w:pPr>
              <w:pStyle w:val="TAL"/>
              <w:rPr>
                <w:rFonts w:eastAsiaTheme="minorEastAsia"/>
              </w:rPr>
            </w:pPr>
            <w:r>
              <w:rPr>
                <w:rFonts w:eastAsiaTheme="minorEastAsia"/>
              </w:rPr>
              <w:t xml:space="preserve">SFN containing </w:t>
            </w:r>
            <w:r>
              <w:rPr>
                <w:rFonts w:eastAsiaTheme="minorEastAsia"/>
                <w:lang w:eastAsia="zh-TW"/>
              </w:rPr>
              <w:t>SSB</w:t>
            </w:r>
          </w:p>
        </w:tc>
        <w:tc>
          <w:tcPr>
            <w:tcW w:w="2795" w:type="dxa"/>
            <w:gridSpan w:val="2"/>
            <w:tcBorders>
              <w:top w:val="single" w:sz="4" w:space="0" w:color="auto"/>
              <w:left w:val="single" w:sz="4" w:space="0" w:color="auto"/>
              <w:bottom w:val="single" w:sz="4" w:space="0" w:color="auto"/>
              <w:right w:val="single" w:sz="4" w:space="0" w:color="auto"/>
            </w:tcBorders>
            <w:hideMark/>
          </w:tcPr>
          <w:p w14:paraId="1472EE88" w14:textId="77777777" w:rsidR="003A71DE" w:rsidRDefault="003A71DE" w:rsidP="007835E8">
            <w:pPr>
              <w:pStyle w:val="TAL"/>
              <w:rPr>
                <w:rFonts w:eastAsiaTheme="minorEastAsia"/>
              </w:rPr>
            </w:pPr>
            <w:r>
              <w:rPr>
                <w:rFonts w:eastAsiaTheme="minorEastAsia"/>
                <w:lang w:eastAsia="zh-TW"/>
              </w:rPr>
              <w:t>SFN mod (max(T</w:t>
            </w:r>
            <w:r>
              <w:rPr>
                <w:rFonts w:eastAsiaTheme="minorEastAsia"/>
                <w:vertAlign w:val="subscript"/>
                <w:lang w:eastAsia="zh-TW"/>
              </w:rPr>
              <w:t>SSB</w:t>
            </w:r>
            <w:r>
              <w:rPr>
                <w:rFonts w:eastAsiaTheme="minorEastAsia"/>
                <w:lang w:eastAsia="zh-TW"/>
              </w:rPr>
              <w:t>,10ms)/10ms) = 0</w:t>
            </w:r>
          </w:p>
        </w:tc>
      </w:tr>
      <w:tr w:rsidR="003A71DE" w14:paraId="528A9392" w14:textId="77777777" w:rsidTr="003A71DE">
        <w:trPr>
          <w:jc w:val="center"/>
        </w:trPr>
        <w:tc>
          <w:tcPr>
            <w:tcW w:w="5065" w:type="dxa"/>
            <w:tcBorders>
              <w:top w:val="single" w:sz="4" w:space="0" w:color="auto"/>
              <w:left w:val="single" w:sz="4" w:space="0" w:color="auto"/>
              <w:bottom w:val="single" w:sz="4" w:space="0" w:color="auto"/>
              <w:right w:val="single" w:sz="4" w:space="0" w:color="auto"/>
            </w:tcBorders>
            <w:hideMark/>
          </w:tcPr>
          <w:p w14:paraId="5C0F06E4" w14:textId="77777777" w:rsidR="003A71DE" w:rsidRDefault="003A71DE" w:rsidP="007835E8">
            <w:pPr>
              <w:pStyle w:val="TAL"/>
              <w:rPr>
                <w:rFonts w:eastAsiaTheme="minorEastAsia"/>
              </w:rPr>
            </w:pPr>
            <w:r>
              <w:rPr>
                <w:rFonts w:eastAsiaTheme="minorEastAsia"/>
              </w:rPr>
              <w:t>RB numbers containing SSBs within channel BW</w:t>
            </w:r>
          </w:p>
        </w:tc>
        <w:tc>
          <w:tcPr>
            <w:tcW w:w="2795" w:type="dxa"/>
            <w:gridSpan w:val="2"/>
            <w:tcBorders>
              <w:top w:val="single" w:sz="4" w:space="0" w:color="auto"/>
              <w:left w:val="single" w:sz="4" w:space="0" w:color="auto"/>
              <w:bottom w:val="single" w:sz="4" w:space="0" w:color="auto"/>
              <w:right w:val="single" w:sz="4" w:space="0" w:color="auto"/>
            </w:tcBorders>
            <w:hideMark/>
          </w:tcPr>
          <w:p w14:paraId="478849F8" w14:textId="77777777" w:rsidR="003A71DE" w:rsidRDefault="003A71DE" w:rsidP="007835E8">
            <w:pPr>
              <w:pStyle w:val="TAL"/>
              <w:rPr>
                <w:rFonts w:eastAsiaTheme="minorEastAsia"/>
              </w:rPr>
            </w:pPr>
            <w:r>
              <w:rPr>
                <w:rFonts w:eastAsiaTheme="minorEastAsia"/>
              </w:rPr>
              <w:t>(RB</w:t>
            </w:r>
            <w:r>
              <w:rPr>
                <w:rFonts w:eastAsiaTheme="minorEastAsia"/>
                <w:vertAlign w:val="subscript"/>
              </w:rPr>
              <w:t>J</w:t>
            </w:r>
            <w:r>
              <w:rPr>
                <w:rFonts w:eastAsiaTheme="minorEastAsia"/>
              </w:rPr>
              <w:t>, RB</w:t>
            </w:r>
            <w:r>
              <w:rPr>
                <w:rFonts w:eastAsiaTheme="minorEastAsia"/>
                <w:vertAlign w:val="subscript"/>
              </w:rPr>
              <w:t>J+1</w:t>
            </w:r>
            <w:r>
              <w:rPr>
                <w:rFonts w:eastAsiaTheme="minorEastAsia"/>
              </w:rPr>
              <w:t>,.…, RB</w:t>
            </w:r>
            <w:r>
              <w:rPr>
                <w:rFonts w:eastAsiaTheme="minorEastAsia"/>
                <w:vertAlign w:val="subscript"/>
              </w:rPr>
              <w:t>J+39</w:t>
            </w:r>
            <w:r>
              <w:rPr>
                <w:rFonts w:eastAsiaTheme="minorEastAsia"/>
              </w:rPr>
              <w:t>)</w:t>
            </w:r>
            <w:r>
              <w:rPr>
                <w:rFonts w:eastAsiaTheme="minorEastAsia"/>
                <w:vertAlign w:val="superscript"/>
              </w:rPr>
              <w:t>Note 1</w:t>
            </w:r>
          </w:p>
        </w:tc>
      </w:tr>
      <w:tr w:rsidR="003A71DE" w14:paraId="132E1D10" w14:textId="77777777" w:rsidTr="003A71DE">
        <w:trPr>
          <w:jc w:val="center"/>
        </w:trPr>
        <w:tc>
          <w:tcPr>
            <w:tcW w:w="7860" w:type="dxa"/>
            <w:gridSpan w:val="3"/>
            <w:tcBorders>
              <w:top w:val="single" w:sz="4" w:space="0" w:color="auto"/>
              <w:left w:val="single" w:sz="4" w:space="0" w:color="auto"/>
              <w:bottom w:val="single" w:sz="4" w:space="0" w:color="auto"/>
              <w:right w:val="single" w:sz="4" w:space="0" w:color="auto"/>
            </w:tcBorders>
            <w:hideMark/>
          </w:tcPr>
          <w:p w14:paraId="294C3822" w14:textId="77777777" w:rsidR="003A71DE" w:rsidRDefault="003A71DE" w:rsidP="007835E8">
            <w:pPr>
              <w:pStyle w:val="TAN"/>
              <w:rPr>
                <w:rFonts w:eastAsiaTheme="minorEastAsia"/>
              </w:rPr>
            </w:pPr>
            <w:r>
              <w:rPr>
                <w:rFonts w:eastAsiaTheme="minorEastAsia"/>
              </w:rPr>
              <w:t>Note 1:</w:t>
            </w:r>
            <w:r>
              <w:rPr>
                <w:rFonts w:eastAsiaTheme="minorEastAsia"/>
                <w:sz w:val="24"/>
              </w:rPr>
              <w:tab/>
            </w:r>
            <w:r>
              <w:rPr>
                <w:rFonts w:eastAsiaTheme="minorEastAsia"/>
              </w:rPr>
              <w:t xml:space="preserve">RBs containing SSB can be configured in any frequency location within the cell bandwidth according to the allowed synchronization raster defined in clause 5.4.3. </w:t>
            </w:r>
          </w:p>
          <w:p w14:paraId="6C123FFF" w14:textId="77777777" w:rsidR="003A71DE" w:rsidRDefault="003A71DE" w:rsidP="007835E8">
            <w:pPr>
              <w:pStyle w:val="TAN"/>
              <w:rPr>
                <w:rFonts w:eastAsiaTheme="minorEastAsia"/>
              </w:rPr>
            </w:pPr>
            <w:r>
              <w:rPr>
                <w:rFonts w:eastAsiaTheme="minorEastAsia"/>
              </w:rPr>
              <w:t>Note 2:</w:t>
            </w:r>
            <w:r>
              <w:rPr>
                <w:rFonts w:eastAsiaTheme="minorEastAsia"/>
              </w:rPr>
              <w:tab/>
              <w:t>These values have been derived from other parameters for information purposes (as per TS 38.213 [3]). They are not settable parameters themselves.</w:t>
            </w:r>
          </w:p>
        </w:tc>
      </w:tr>
    </w:tbl>
    <w:p w14:paraId="6B1DB95D" w14:textId="77777777" w:rsidR="003A71DE" w:rsidRPr="00EA3B97" w:rsidRDefault="003A71DE" w:rsidP="003A71DE">
      <w:pPr>
        <w:rPr>
          <w:rFonts w:eastAsiaTheme="minorEastAsia"/>
        </w:rPr>
      </w:pPr>
    </w:p>
    <w:p w14:paraId="6E5D1AB8" w14:textId="77777777" w:rsidR="003A71DE" w:rsidRPr="00EA3B97" w:rsidRDefault="003A71DE" w:rsidP="00FD7203">
      <w:pPr>
        <w:pStyle w:val="Heading3"/>
        <w:rPr>
          <w:rFonts w:eastAsiaTheme="minorEastAsia"/>
        </w:rPr>
      </w:pPr>
      <w:bookmarkStart w:id="10014" w:name="_Toc74583652"/>
      <w:bookmarkStart w:id="10015" w:name="_Toc76542465"/>
      <w:bookmarkStart w:id="10016" w:name="_Toc82450447"/>
      <w:bookmarkStart w:id="10017" w:name="_Toc82451095"/>
      <w:bookmarkStart w:id="10018" w:name="_Toc89949484"/>
      <w:bookmarkStart w:id="10019" w:name="_Toc98755873"/>
      <w:bookmarkStart w:id="10020" w:name="_Toc98763465"/>
      <w:bookmarkStart w:id="10021" w:name="_Toc106184394"/>
      <w:r w:rsidRPr="00EA3B97">
        <w:rPr>
          <w:rFonts w:eastAsiaTheme="minorEastAsia"/>
        </w:rPr>
        <w:lastRenderedPageBreak/>
        <w:t>G.1.6</w:t>
      </w:r>
      <w:r w:rsidRPr="00EA3B97">
        <w:rPr>
          <w:rFonts w:eastAsiaTheme="minorEastAsia"/>
        </w:rPr>
        <w:tab/>
        <w:t>SMTC Configurations</w:t>
      </w:r>
      <w:bookmarkEnd w:id="10014"/>
      <w:bookmarkEnd w:id="10015"/>
      <w:bookmarkEnd w:id="10016"/>
      <w:bookmarkEnd w:id="10017"/>
      <w:bookmarkEnd w:id="10018"/>
      <w:bookmarkEnd w:id="10019"/>
      <w:bookmarkEnd w:id="10020"/>
      <w:bookmarkEnd w:id="10021"/>
    </w:p>
    <w:p w14:paraId="04D70174" w14:textId="77777777" w:rsidR="003A71DE" w:rsidRPr="00EA3B97" w:rsidRDefault="003A71DE" w:rsidP="00BA0D24">
      <w:pPr>
        <w:pStyle w:val="TH"/>
        <w:rPr>
          <w:rFonts w:eastAsiaTheme="minorEastAsia"/>
          <w:lang w:val="en-US"/>
        </w:rPr>
      </w:pPr>
      <w:r w:rsidRPr="00EA3B97">
        <w:rPr>
          <w:rFonts w:eastAsiaTheme="minorEastAsia"/>
          <w:lang w:val="en-US"/>
        </w:rPr>
        <w:t>G.1.6.1</w:t>
      </w:r>
      <w:r w:rsidRPr="00EA3B97">
        <w:rPr>
          <w:rFonts w:eastAsiaTheme="minorEastAsia"/>
          <w:lang w:val="en-US"/>
        </w:rPr>
        <w:tab/>
        <w:t>SMTC pattern 1: SMTC period = 20 ms with SMTC duration = 1 ms</w:t>
      </w:r>
    </w:p>
    <w:p w14:paraId="475F7550" w14:textId="77777777" w:rsidR="003A71DE" w:rsidRPr="00EA3B97" w:rsidRDefault="003A71DE" w:rsidP="00BA0D24">
      <w:pPr>
        <w:pStyle w:val="TH"/>
        <w:rPr>
          <w:rFonts w:eastAsiaTheme="minorEastAsia"/>
          <w:noProof/>
        </w:rPr>
      </w:pPr>
      <w:r w:rsidRPr="00EA3B97">
        <w:rPr>
          <w:rFonts w:eastAsiaTheme="minorEastAsia"/>
        </w:rPr>
        <w:t xml:space="preserve">Table G.1.6.1-1: SMTC.1: SMTC </w:t>
      </w:r>
      <w:r w:rsidRPr="00EA3B97">
        <w:rPr>
          <w:rFonts w:eastAsiaTheme="minorEastAsia"/>
          <w:noProof/>
        </w:rPr>
        <w:t>Pattern 1 for SMTC period = 20 ms and duration = 1 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2693"/>
      </w:tblGrid>
      <w:tr w:rsidR="003A71DE" w:rsidRPr="00EA3B97" w14:paraId="238B2FFD"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3424646A" w14:textId="77777777" w:rsidR="003A71DE" w:rsidRPr="00EA3B97" w:rsidRDefault="003A71DE" w:rsidP="001A5D47">
            <w:pPr>
              <w:pStyle w:val="TAH"/>
              <w:rPr>
                <w:rFonts w:eastAsiaTheme="minorEastAsia"/>
              </w:rPr>
            </w:pPr>
            <w:r w:rsidRPr="00EA3B97">
              <w:rPr>
                <w:rFonts w:eastAsiaTheme="minorEastAsia"/>
              </w:rPr>
              <w:t>SMTC Parameters</w:t>
            </w:r>
          </w:p>
        </w:tc>
        <w:tc>
          <w:tcPr>
            <w:tcW w:w="2693" w:type="dxa"/>
            <w:tcBorders>
              <w:top w:val="single" w:sz="4" w:space="0" w:color="auto"/>
              <w:left w:val="single" w:sz="4" w:space="0" w:color="auto"/>
              <w:bottom w:val="single" w:sz="4" w:space="0" w:color="auto"/>
              <w:right w:val="single" w:sz="4" w:space="0" w:color="auto"/>
            </w:tcBorders>
            <w:hideMark/>
          </w:tcPr>
          <w:p w14:paraId="732D14FD" w14:textId="77777777" w:rsidR="003A71DE" w:rsidRPr="00EA3B97" w:rsidRDefault="003A71DE" w:rsidP="001A5D47">
            <w:pPr>
              <w:pStyle w:val="TAH"/>
              <w:rPr>
                <w:rFonts w:eastAsiaTheme="minorEastAsia"/>
              </w:rPr>
            </w:pPr>
            <w:r w:rsidRPr="00EA3B97">
              <w:rPr>
                <w:rFonts w:eastAsiaTheme="minorEastAsia"/>
              </w:rPr>
              <w:t>Values</w:t>
            </w:r>
          </w:p>
        </w:tc>
      </w:tr>
      <w:tr w:rsidR="003A71DE" w:rsidRPr="00EA3B97" w14:paraId="74469F3C"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2DBCBCFA" w14:textId="77777777" w:rsidR="003A71DE" w:rsidRPr="00EA3B97" w:rsidRDefault="003A71DE" w:rsidP="001A5D47">
            <w:pPr>
              <w:pStyle w:val="TAL"/>
              <w:rPr>
                <w:rFonts w:eastAsiaTheme="minorEastAsia"/>
              </w:rPr>
            </w:pPr>
            <w:r w:rsidRPr="00EA3B97">
              <w:rPr>
                <w:rFonts w:eastAsiaTheme="minorEastAsia"/>
              </w:rPr>
              <w:t>SMTC periodicity</w:t>
            </w:r>
          </w:p>
        </w:tc>
        <w:tc>
          <w:tcPr>
            <w:tcW w:w="2693" w:type="dxa"/>
            <w:tcBorders>
              <w:top w:val="single" w:sz="4" w:space="0" w:color="auto"/>
              <w:left w:val="single" w:sz="4" w:space="0" w:color="auto"/>
              <w:bottom w:val="single" w:sz="4" w:space="0" w:color="auto"/>
              <w:right w:val="single" w:sz="4" w:space="0" w:color="auto"/>
            </w:tcBorders>
            <w:hideMark/>
          </w:tcPr>
          <w:p w14:paraId="3CAA81E9" w14:textId="77777777" w:rsidR="003A71DE" w:rsidRPr="00EA3B97" w:rsidRDefault="003A71DE" w:rsidP="001A5D47">
            <w:pPr>
              <w:pStyle w:val="TAL"/>
              <w:rPr>
                <w:rFonts w:eastAsiaTheme="minorEastAsia"/>
              </w:rPr>
            </w:pPr>
            <w:r w:rsidRPr="00EA3B97">
              <w:rPr>
                <w:rFonts w:eastAsiaTheme="minorEastAsia"/>
              </w:rPr>
              <w:t>20 ms</w:t>
            </w:r>
          </w:p>
        </w:tc>
      </w:tr>
      <w:tr w:rsidR="003A71DE" w:rsidRPr="00EA3B97" w14:paraId="4FF9DCF0"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5457A799" w14:textId="77777777" w:rsidR="003A71DE" w:rsidRPr="00EA3B97" w:rsidRDefault="003A71DE" w:rsidP="001A5D47">
            <w:pPr>
              <w:pStyle w:val="TAL"/>
              <w:rPr>
                <w:rFonts w:eastAsiaTheme="minorEastAsia"/>
              </w:rPr>
            </w:pPr>
            <w:r w:rsidRPr="00EA3B97">
              <w:rPr>
                <w:rFonts w:eastAsiaTheme="minorEastAsia"/>
              </w:rPr>
              <w:t>SMTC offset</w:t>
            </w:r>
          </w:p>
        </w:tc>
        <w:tc>
          <w:tcPr>
            <w:tcW w:w="2693" w:type="dxa"/>
            <w:tcBorders>
              <w:top w:val="single" w:sz="4" w:space="0" w:color="auto"/>
              <w:left w:val="single" w:sz="4" w:space="0" w:color="auto"/>
              <w:bottom w:val="single" w:sz="4" w:space="0" w:color="auto"/>
              <w:right w:val="single" w:sz="4" w:space="0" w:color="auto"/>
            </w:tcBorders>
            <w:hideMark/>
          </w:tcPr>
          <w:p w14:paraId="41C57A83" w14:textId="77777777" w:rsidR="003A71DE" w:rsidRPr="00EA3B97" w:rsidRDefault="003A71DE" w:rsidP="001A5D47">
            <w:pPr>
              <w:pStyle w:val="TAL"/>
              <w:rPr>
                <w:rFonts w:eastAsiaTheme="minorEastAsia"/>
              </w:rPr>
            </w:pPr>
            <w:r w:rsidRPr="00EA3B97">
              <w:rPr>
                <w:rFonts w:eastAsiaTheme="minorEastAsia"/>
              </w:rPr>
              <w:t>0 ms</w:t>
            </w:r>
          </w:p>
        </w:tc>
      </w:tr>
      <w:tr w:rsidR="003A71DE" w:rsidRPr="00EA3B97" w14:paraId="32EB08B9"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3F9DCBDD" w14:textId="77777777" w:rsidR="003A71DE" w:rsidRPr="00EA3B97" w:rsidRDefault="003A71DE" w:rsidP="001A5D47">
            <w:pPr>
              <w:pStyle w:val="TAL"/>
              <w:rPr>
                <w:rFonts w:eastAsiaTheme="minorEastAsia"/>
              </w:rPr>
            </w:pPr>
            <w:r w:rsidRPr="00EA3B97">
              <w:rPr>
                <w:rFonts w:eastAsiaTheme="minorEastAsia"/>
              </w:rPr>
              <w:t>SMTC duration</w:t>
            </w:r>
          </w:p>
        </w:tc>
        <w:tc>
          <w:tcPr>
            <w:tcW w:w="2693" w:type="dxa"/>
            <w:tcBorders>
              <w:top w:val="single" w:sz="4" w:space="0" w:color="auto"/>
              <w:left w:val="single" w:sz="4" w:space="0" w:color="auto"/>
              <w:bottom w:val="single" w:sz="4" w:space="0" w:color="auto"/>
              <w:right w:val="single" w:sz="4" w:space="0" w:color="auto"/>
            </w:tcBorders>
            <w:hideMark/>
          </w:tcPr>
          <w:p w14:paraId="23A2AD9C" w14:textId="77777777" w:rsidR="003A71DE" w:rsidRPr="00EA3B97" w:rsidRDefault="003A71DE" w:rsidP="001A5D47">
            <w:pPr>
              <w:pStyle w:val="TAL"/>
              <w:rPr>
                <w:rFonts w:eastAsiaTheme="minorEastAsia"/>
              </w:rPr>
            </w:pPr>
            <w:r w:rsidRPr="00EA3B97">
              <w:rPr>
                <w:rFonts w:eastAsiaTheme="minorEastAsia"/>
              </w:rPr>
              <w:t>1 ms</w:t>
            </w:r>
          </w:p>
        </w:tc>
      </w:tr>
    </w:tbl>
    <w:p w14:paraId="7DBA6CE2" w14:textId="77777777" w:rsidR="003A71DE" w:rsidRPr="00EA3B97" w:rsidRDefault="003A71DE" w:rsidP="003A71DE">
      <w:pPr>
        <w:rPr>
          <w:rFonts w:eastAsiaTheme="minorEastAsia"/>
        </w:rPr>
      </w:pPr>
    </w:p>
    <w:p w14:paraId="73F00579" w14:textId="77777777" w:rsidR="003A71DE" w:rsidRPr="00EA3B97" w:rsidRDefault="003A71DE" w:rsidP="00FD7203">
      <w:pPr>
        <w:pStyle w:val="Heading4"/>
        <w:rPr>
          <w:rFonts w:eastAsiaTheme="minorEastAsia"/>
          <w:lang w:val="en-US"/>
        </w:rPr>
      </w:pPr>
      <w:bookmarkStart w:id="10022" w:name="_Toc74583653"/>
      <w:bookmarkStart w:id="10023" w:name="_Toc76542466"/>
      <w:bookmarkStart w:id="10024" w:name="_Toc82450448"/>
      <w:bookmarkStart w:id="10025" w:name="_Toc82451096"/>
      <w:bookmarkStart w:id="10026" w:name="_Toc89949485"/>
      <w:bookmarkStart w:id="10027" w:name="_Toc98755874"/>
      <w:bookmarkStart w:id="10028" w:name="_Toc98763466"/>
      <w:bookmarkStart w:id="10029" w:name="_Toc106184395"/>
      <w:r w:rsidRPr="00EA3B97">
        <w:rPr>
          <w:rFonts w:eastAsiaTheme="minorEastAsia"/>
          <w:lang w:val="en-US"/>
        </w:rPr>
        <w:t>G.1.6.2</w:t>
      </w:r>
      <w:r w:rsidRPr="00EA3B97">
        <w:rPr>
          <w:rFonts w:eastAsiaTheme="minorEastAsia"/>
          <w:lang w:val="en-US"/>
        </w:rPr>
        <w:tab/>
        <w:t>SMTC pattern 2: SMTC period = 20 ms with SMTC duration = 5 ms</w:t>
      </w:r>
      <w:bookmarkEnd w:id="10022"/>
      <w:bookmarkEnd w:id="10023"/>
      <w:bookmarkEnd w:id="10024"/>
      <w:bookmarkEnd w:id="10025"/>
      <w:bookmarkEnd w:id="10026"/>
      <w:bookmarkEnd w:id="10027"/>
      <w:bookmarkEnd w:id="10028"/>
      <w:bookmarkEnd w:id="10029"/>
    </w:p>
    <w:p w14:paraId="5A0ED809" w14:textId="77777777" w:rsidR="003A71DE" w:rsidRPr="00EA3B97" w:rsidRDefault="003A71DE" w:rsidP="00BA0D24">
      <w:pPr>
        <w:pStyle w:val="TH"/>
        <w:rPr>
          <w:rFonts w:eastAsiaTheme="minorEastAsia"/>
          <w:noProof/>
        </w:rPr>
      </w:pPr>
      <w:r w:rsidRPr="00EA3B97">
        <w:rPr>
          <w:rFonts w:eastAsiaTheme="minorEastAsia"/>
        </w:rPr>
        <w:t xml:space="preserve">Table G.1.6.2-1: SMTC.2: SMTC </w:t>
      </w:r>
      <w:r w:rsidRPr="00EA3B97">
        <w:rPr>
          <w:rFonts w:eastAsiaTheme="minorEastAsia"/>
          <w:noProof/>
        </w:rPr>
        <w:t>Pattern 2 for SMTC period = 20 ms and duration = 5 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2693"/>
      </w:tblGrid>
      <w:tr w:rsidR="003A71DE" w:rsidRPr="00EA3B97" w14:paraId="619803E3"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0682AC76" w14:textId="77777777" w:rsidR="003A71DE" w:rsidRPr="00EA3B97" w:rsidRDefault="003A71DE" w:rsidP="001A5D47">
            <w:pPr>
              <w:pStyle w:val="TAH"/>
              <w:rPr>
                <w:rFonts w:eastAsiaTheme="minorEastAsia"/>
              </w:rPr>
            </w:pPr>
            <w:r w:rsidRPr="00EA3B97">
              <w:rPr>
                <w:rFonts w:eastAsiaTheme="minorEastAsia"/>
              </w:rPr>
              <w:t>SMTC Parameters</w:t>
            </w:r>
          </w:p>
        </w:tc>
        <w:tc>
          <w:tcPr>
            <w:tcW w:w="2693" w:type="dxa"/>
            <w:tcBorders>
              <w:top w:val="single" w:sz="4" w:space="0" w:color="auto"/>
              <w:left w:val="single" w:sz="4" w:space="0" w:color="auto"/>
              <w:bottom w:val="single" w:sz="4" w:space="0" w:color="auto"/>
              <w:right w:val="single" w:sz="4" w:space="0" w:color="auto"/>
            </w:tcBorders>
            <w:hideMark/>
          </w:tcPr>
          <w:p w14:paraId="5E1EE084" w14:textId="77777777" w:rsidR="003A71DE" w:rsidRPr="00EA3B97" w:rsidRDefault="003A71DE" w:rsidP="001A5D47">
            <w:pPr>
              <w:pStyle w:val="TAH"/>
              <w:rPr>
                <w:rFonts w:eastAsiaTheme="minorEastAsia"/>
              </w:rPr>
            </w:pPr>
            <w:r w:rsidRPr="00EA3B97">
              <w:rPr>
                <w:rFonts w:eastAsiaTheme="minorEastAsia"/>
              </w:rPr>
              <w:t>Values</w:t>
            </w:r>
          </w:p>
        </w:tc>
      </w:tr>
      <w:tr w:rsidR="003A71DE" w:rsidRPr="00EA3B97" w14:paraId="5A35A23E"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1FDA16CD" w14:textId="77777777" w:rsidR="003A71DE" w:rsidRPr="00EA3B97" w:rsidRDefault="003A71DE" w:rsidP="001A5D47">
            <w:pPr>
              <w:pStyle w:val="TAL"/>
              <w:rPr>
                <w:rFonts w:eastAsiaTheme="minorEastAsia"/>
              </w:rPr>
            </w:pPr>
            <w:r w:rsidRPr="00EA3B97">
              <w:rPr>
                <w:rFonts w:eastAsiaTheme="minorEastAsia"/>
              </w:rPr>
              <w:t>SMTC periodicity</w:t>
            </w:r>
          </w:p>
        </w:tc>
        <w:tc>
          <w:tcPr>
            <w:tcW w:w="2693" w:type="dxa"/>
            <w:tcBorders>
              <w:top w:val="single" w:sz="4" w:space="0" w:color="auto"/>
              <w:left w:val="single" w:sz="4" w:space="0" w:color="auto"/>
              <w:bottom w:val="single" w:sz="4" w:space="0" w:color="auto"/>
              <w:right w:val="single" w:sz="4" w:space="0" w:color="auto"/>
            </w:tcBorders>
            <w:hideMark/>
          </w:tcPr>
          <w:p w14:paraId="0CA96934" w14:textId="77777777" w:rsidR="003A71DE" w:rsidRPr="00EA3B97" w:rsidRDefault="003A71DE" w:rsidP="001A5D47">
            <w:pPr>
              <w:pStyle w:val="TAL"/>
              <w:rPr>
                <w:rFonts w:eastAsiaTheme="minorEastAsia"/>
              </w:rPr>
            </w:pPr>
            <w:r w:rsidRPr="00EA3B97">
              <w:rPr>
                <w:rFonts w:eastAsiaTheme="minorEastAsia"/>
              </w:rPr>
              <w:t>20 ms</w:t>
            </w:r>
          </w:p>
        </w:tc>
      </w:tr>
      <w:tr w:rsidR="003A71DE" w:rsidRPr="00EA3B97" w14:paraId="5DDC2965"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569E00C2" w14:textId="77777777" w:rsidR="003A71DE" w:rsidRPr="00EA3B97" w:rsidRDefault="003A71DE" w:rsidP="001A5D47">
            <w:pPr>
              <w:pStyle w:val="TAL"/>
              <w:rPr>
                <w:rFonts w:eastAsiaTheme="minorEastAsia"/>
              </w:rPr>
            </w:pPr>
            <w:r w:rsidRPr="00EA3B97">
              <w:rPr>
                <w:rFonts w:eastAsiaTheme="minorEastAsia"/>
              </w:rPr>
              <w:t>SMTC offset</w:t>
            </w:r>
          </w:p>
        </w:tc>
        <w:tc>
          <w:tcPr>
            <w:tcW w:w="2693" w:type="dxa"/>
            <w:tcBorders>
              <w:top w:val="single" w:sz="4" w:space="0" w:color="auto"/>
              <w:left w:val="single" w:sz="4" w:space="0" w:color="auto"/>
              <w:bottom w:val="single" w:sz="4" w:space="0" w:color="auto"/>
              <w:right w:val="single" w:sz="4" w:space="0" w:color="auto"/>
            </w:tcBorders>
            <w:hideMark/>
          </w:tcPr>
          <w:p w14:paraId="06900353" w14:textId="77777777" w:rsidR="003A71DE" w:rsidRPr="00EA3B97" w:rsidRDefault="003A71DE" w:rsidP="001A5D47">
            <w:pPr>
              <w:pStyle w:val="TAL"/>
              <w:rPr>
                <w:rFonts w:eastAsiaTheme="minorEastAsia"/>
              </w:rPr>
            </w:pPr>
            <w:r w:rsidRPr="00EA3B97">
              <w:rPr>
                <w:rFonts w:eastAsiaTheme="minorEastAsia"/>
              </w:rPr>
              <w:t>0 ms</w:t>
            </w:r>
          </w:p>
        </w:tc>
      </w:tr>
      <w:tr w:rsidR="003A71DE" w:rsidRPr="00EA3B97" w14:paraId="216B1A1C"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22CE1E7" w14:textId="77777777" w:rsidR="003A71DE" w:rsidRPr="00EA3B97" w:rsidRDefault="003A71DE" w:rsidP="001A5D47">
            <w:pPr>
              <w:pStyle w:val="TAL"/>
              <w:rPr>
                <w:rFonts w:eastAsiaTheme="minorEastAsia"/>
              </w:rPr>
            </w:pPr>
            <w:r w:rsidRPr="00EA3B97">
              <w:rPr>
                <w:rFonts w:eastAsiaTheme="minorEastAsia"/>
              </w:rPr>
              <w:t>SMTC duration</w:t>
            </w:r>
          </w:p>
        </w:tc>
        <w:tc>
          <w:tcPr>
            <w:tcW w:w="2693" w:type="dxa"/>
            <w:tcBorders>
              <w:top w:val="single" w:sz="4" w:space="0" w:color="auto"/>
              <w:left w:val="single" w:sz="4" w:space="0" w:color="auto"/>
              <w:bottom w:val="single" w:sz="4" w:space="0" w:color="auto"/>
              <w:right w:val="single" w:sz="4" w:space="0" w:color="auto"/>
            </w:tcBorders>
            <w:hideMark/>
          </w:tcPr>
          <w:p w14:paraId="6EE34F6E" w14:textId="77777777" w:rsidR="003A71DE" w:rsidRPr="00EA3B97" w:rsidRDefault="003A71DE" w:rsidP="001A5D47">
            <w:pPr>
              <w:pStyle w:val="TAL"/>
              <w:rPr>
                <w:rFonts w:eastAsiaTheme="minorEastAsia"/>
              </w:rPr>
            </w:pPr>
            <w:r w:rsidRPr="00EA3B97">
              <w:rPr>
                <w:rFonts w:eastAsiaTheme="minorEastAsia"/>
              </w:rPr>
              <w:t>5 ms</w:t>
            </w:r>
          </w:p>
        </w:tc>
      </w:tr>
    </w:tbl>
    <w:p w14:paraId="24D5746C" w14:textId="77777777" w:rsidR="003A71DE" w:rsidRPr="00EA3B97" w:rsidRDefault="003A71DE" w:rsidP="003A71DE">
      <w:pPr>
        <w:rPr>
          <w:rFonts w:eastAsiaTheme="minorEastAsia"/>
        </w:rPr>
      </w:pPr>
    </w:p>
    <w:p w14:paraId="2BE01B51" w14:textId="77777777" w:rsidR="003A71DE" w:rsidRPr="00EA3B97" w:rsidRDefault="003A71DE" w:rsidP="0090095F">
      <w:pPr>
        <w:pStyle w:val="Heading4"/>
        <w:rPr>
          <w:rFonts w:eastAsiaTheme="minorEastAsia"/>
          <w:lang w:val="en-US"/>
        </w:rPr>
      </w:pPr>
      <w:bookmarkStart w:id="10030" w:name="_Toc74583654"/>
      <w:bookmarkStart w:id="10031" w:name="_Toc76542467"/>
      <w:bookmarkStart w:id="10032" w:name="_Toc82450449"/>
      <w:bookmarkStart w:id="10033" w:name="_Toc82451097"/>
      <w:bookmarkStart w:id="10034" w:name="_Toc89949486"/>
      <w:bookmarkStart w:id="10035" w:name="_Toc98755875"/>
      <w:bookmarkStart w:id="10036" w:name="_Toc98763467"/>
      <w:bookmarkStart w:id="10037" w:name="_Toc106184396"/>
      <w:r w:rsidRPr="00EA3B97">
        <w:rPr>
          <w:rFonts w:eastAsiaTheme="minorEastAsia"/>
          <w:lang w:val="en-US"/>
        </w:rPr>
        <w:t>G.1.6.3</w:t>
      </w:r>
      <w:r w:rsidRPr="00EA3B97">
        <w:rPr>
          <w:rFonts w:eastAsiaTheme="minorEastAsia"/>
          <w:lang w:val="en-US"/>
        </w:rPr>
        <w:tab/>
        <w:t>SMTC pattern 3: SMTC period = 160 ms with SMTC duration = 1 ms</w:t>
      </w:r>
      <w:bookmarkEnd w:id="10030"/>
      <w:bookmarkEnd w:id="10031"/>
      <w:bookmarkEnd w:id="10032"/>
      <w:bookmarkEnd w:id="10033"/>
      <w:bookmarkEnd w:id="10034"/>
      <w:bookmarkEnd w:id="10035"/>
      <w:bookmarkEnd w:id="10036"/>
      <w:bookmarkEnd w:id="10037"/>
    </w:p>
    <w:p w14:paraId="4F84C239" w14:textId="77777777" w:rsidR="003A71DE" w:rsidRPr="00EA3B97" w:rsidRDefault="003A71DE" w:rsidP="00BA0D24">
      <w:pPr>
        <w:pStyle w:val="TH"/>
        <w:rPr>
          <w:rFonts w:eastAsiaTheme="minorEastAsia"/>
          <w:noProof/>
        </w:rPr>
      </w:pPr>
      <w:r w:rsidRPr="00EA3B97">
        <w:rPr>
          <w:rFonts w:eastAsiaTheme="minorEastAsia"/>
        </w:rPr>
        <w:t xml:space="preserve">Table G.1.6.3-1: SMTC.3: SMTC </w:t>
      </w:r>
      <w:r w:rsidRPr="00EA3B97">
        <w:rPr>
          <w:rFonts w:eastAsiaTheme="minorEastAsia"/>
          <w:noProof/>
        </w:rPr>
        <w:t>Pattern 3 for SMTC period = 20 ms and duration = 5 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2693"/>
      </w:tblGrid>
      <w:tr w:rsidR="003A71DE" w:rsidRPr="00EA3B97" w14:paraId="75745DC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331BEFB5" w14:textId="77777777" w:rsidR="003A71DE" w:rsidRPr="00EA3B97" w:rsidRDefault="003A71DE" w:rsidP="001A5D47">
            <w:pPr>
              <w:pStyle w:val="TAH"/>
              <w:rPr>
                <w:rFonts w:eastAsiaTheme="minorEastAsia"/>
              </w:rPr>
            </w:pPr>
            <w:r w:rsidRPr="00EA3B97">
              <w:rPr>
                <w:rFonts w:eastAsiaTheme="minorEastAsia"/>
              </w:rPr>
              <w:t>SMTC Parameters</w:t>
            </w:r>
          </w:p>
        </w:tc>
        <w:tc>
          <w:tcPr>
            <w:tcW w:w="2693" w:type="dxa"/>
            <w:tcBorders>
              <w:top w:val="single" w:sz="4" w:space="0" w:color="auto"/>
              <w:left w:val="single" w:sz="4" w:space="0" w:color="auto"/>
              <w:bottom w:val="single" w:sz="4" w:space="0" w:color="auto"/>
              <w:right w:val="single" w:sz="4" w:space="0" w:color="auto"/>
            </w:tcBorders>
            <w:hideMark/>
          </w:tcPr>
          <w:p w14:paraId="51C7B4EA" w14:textId="77777777" w:rsidR="003A71DE" w:rsidRPr="00EA3B97" w:rsidRDefault="003A71DE" w:rsidP="001A5D47">
            <w:pPr>
              <w:pStyle w:val="TAH"/>
              <w:rPr>
                <w:rFonts w:eastAsiaTheme="minorEastAsia"/>
              </w:rPr>
            </w:pPr>
            <w:r w:rsidRPr="00EA3B97">
              <w:rPr>
                <w:rFonts w:eastAsiaTheme="minorEastAsia"/>
              </w:rPr>
              <w:t>Values</w:t>
            </w:r>
          </w:p>
        </w:tc>
      </w:tr>
      <w:tr w:rsidR="003A71DE" w:rsidRPr="00EA3B97" w14:paraId="383C860F"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0C3DB2C6" w14:textId="77777777" w:rsidR="003A71DE" w:rsidRPr="00EA3B97" w:rsidRDefault="003A71DE" w:rsidP="001A5D47">
            <w:pPr>
              <w:pStyle w:val="TAL"/>
              <w:rPr>
                <w:rFonts w:eastAsiaTheme="minorEastAsia"/>
              </w:rPr>
            </w:pPr>
            <w:r w:rsidRPr="00EA3B97">
              <w:rPr>
                <w:rFonts w:eastAsiaTheme="minorEastAsia"/>
              </w:rPr>
              <w:t>SMTC periodicity</w:t>
            </w:r>
          </w:p>
        </w:tc>
        <w:tc>
          <w:tcPr>
            <w:tcW w:w="2693" w:type="dxa"/>
            <w:tcBorders>
              <w:top w:val="single" w:sz="4" w:space="0" w:color="auto"/>
              <w:left w:val="single" w:sz="4" w:space="0" w:color="auto"/>
              <w:bottom w:val="single" w:sz="4" w:space="0" w:color="auto"/>
              <w:right w:val="single" w:sz="4" w:space="0" w:color="auto"/>
            </w:tcBorders>
            <w:hideMark/>
          </w:tcPr>
          <w:p w14:paraId="35FFFA92" w14:textId="77777777" w:rsidR="003A71DE" w:rsidRPr="00EA3B97" w:rsidRDefault="003A71DE" w:rsidP="001A5D47">
            <w:pPr>
              <w:pStyle w:val="TAL"/>
              <w:rPr>
                <w:rFonts w:eastAsiaTheme="minorEastAsia"/>
              </w:rPr>
            </w:pPr>
            <w:r w:rsidRPr="00EA3B97">
              <w:rPr>
                <w:rFonts w:eastAsiaTheme="minorEastAsia"/>
              </w:rPr>
              <w:t>160 ms</w:t>
            </w:r>
          </w:p>
        </w:tc>
      </w:tr>
      <w:tr w:rsidR="003A71DE" w:rsidRPr="00EA3B97" w14:paraId="3ABE418B"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04EFD12F" w14:textId="77777777" w:rsidR="003A71DE" w:rsidRPr="00EA3B97" w:rsidRDefault="003A71DE" w:rsidP="001A5D47">
            <w:pPr>
              <w:pStyle w:val="TAL"/>
              <w:rPr>
                <w:rFonts w:eastAsiaTheme="minorEastAsia"/>
              </w:rPr>
            </w:pPr>
            <w:r w:rsidRPr="00EA3B97">
              <w:rPr>
                <w:rFonts w:eastAsiaTheme="minorEastAsia"/>
              </w:rPr>
              <w:t>SMTC offset</w:t>
            </w:r>
          </w:p>
        </w:tc>
        <w:tc>
          <w:tcPr>
            <w:tcW w:w="2693" w:type="dxa"/>
            <w:tcBorders>
              <w:top w:val="single" w:sz="4" w:space="0" w:color="auto"/>
              <w:left w:val="single" w:sz="4" w:space="0" w:color="auto"/>
              <w:bottom w:val="single" w:sz="4" w:space="0" w:color="auto"/>
              <w:right w:val="single" w:sz="4" w:space="0" w:color="auto"/>
            </w:tcBorders>
            <w:hideMark/>
          </w:tcPr>
          <w:p w14:paraId="7F38A27B" w14:textId="77777777" w:rsidR="003A71DE" w:rsidRPr="00EA3B97" w:rsidRDefault="003A71DE" w:rsidP="001A5D47">
            <w:pPr>
              <w:pStyle w:val="TAL"/>
              <w:rPr>
                <w:rFonts w:eastAsiaTheme="minorEastAsia"/>
              </w:rPr>
            </w:pPr>
            <w:r w:rsidRPr="00EA3B97">
              <w:rPr>
                <w:rFonts w:eastAsiaTheme="minorEastAsia"/>
              </w:rPr>
              <w:t>0 ms</w:t>
            </w:r>
          </w:p>
        </w:tc>
      </w:tr>
      <w:tr w:rsidR="003A71DE" w:rsidRPr="00EA3B97" w14:paraId="06FEB60F"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2FE54AE3" w14:textId="77777777" w:rsidR="003A71DE" w:rsidRPr="00EA3B97" w:rsidRDefault="003A71DE" w:rsidP="001A5D47">
            <w:pPr>
              <w:pStyle w:val="TAL"/>
              <w:rPr>
                <w:rFonts w:eastAsiaTheme="minorEastAsia"/>
              </w:rPr>
            </w:pPr>
            <w:r w:rsidRPr="00EA3B97">
              <w:rPr>
                <w:rFonts w:eastAsiaTheme="minorEastAsia"/>
              </w:rPr>
              <w:t>SMTC duration</w:t>
            </w:r>
          </w:p>
        </w:tc>
        <w:tc>
          <w:tcPr>
            <w:tcW w:w="2693" w:type="dxa"/>
            <w:tcBorders>
              <w:top w:val="single" w:sz="4" w:space="0" w:color="auto"/>
              <w:left w:val="single" w:sz="4" w:space="0" w:color="auto"/>
              <w:bottom w:val="single" w:sz="4" w:space="0" w:color="auto"/>
              <w:right w:val="single" w:sz="4" w:space="0" w:color="auto"/>
            </w:tcBorders>
            <w:hideMark/>
          </w:tcPr>
          <w:p w14:paraId="0A76B4B2" w14:textId="77777777" w:rsidR="003A71DE" w:rsidRPr="00EA3B97" w:rsidRDefault="003A71DE" w:rsidP="001A5D47">
            <w:pPr>
              <w:pStyle w:val="TAL"/>
              <w:rPr>
                <w:rFonts w:eastAsiaTheme="minorEastAsia"/>
              </w:rPr>
            </w:pPr>
            <w:r w:rsidRPr="00EA3B97">
              <w:rPr>
                <w:rFonts w:eastAsiaTheme="minorEastAsia"/>
              </w:rPr>
              <w:t>1 ms</w:t>
            </w:r>
          </w:p>
        </w:tc>
      </w:tr>
    </w:tbl>
    <w:p w14:paraId="749B030F" w14:textId="77777777" w:rsidR="003A71DE" w:rsidRPr="00EA3B97" w:rsidRDefault="003A71DE" w:rsidP="0090095F">
      <w:pPr>
        <w:pStyle w:val="Heading4"/>
        <w:rPr>
          <w:rFonts w:eastAsiaTheme="minorEastAsia"/>
          <w:lang w:val="en-US"/>
        </w:rPr>
      </w:pPr>
      <w:bookmarkStart w:id="10038" w:name="_Toc74583655"/>
      <w:bookmarkStart w:id="10039" w:name="_Toc76542468"/>
      <w:bookmarkStart w:id="10040" w:name="_Toc82450450"/>
      <w:bookmarkStart w:id="10041" w:name="_Toc82451098"/>
      <w:bookmarkStart w:id="10042" w:name="_Toc89949487"/>
      <w:bookmarkStart w:id="10043" w:name="_Toc98755876"/>
      <w:bookmarkStart w:id="10044" w:name="_Toc98763468"/>
      <w:bookmarkStart w:id="10045" w:name="_Toc106184397"/>
      <w:r w:rsidRPr="00EA3B97">
        <w:rPr>
          <w:rFonts w:eastAsiaTheme="minorEastAsia"/>
          <w:lang w:val="en-US"/>
        </w:rPr>
        <w:t>G.1.6.4</w:t>
      </w:r>
      <w:r w:rsidRPr="00EA3B97">
        <w:rPr>
          <w:rFonts w:eastAsiaTheme="minorEastAsia"/>
          <w:lang w:val="en-US"/>
        </w:rPr>
        <w:tab/>
        <w:t>SMTC pattern 4: SMTC period = 20 ms with SMTC duration = 1 ms</w:t>
      </w:r>
      <w:bookmarkEnd w:id="10038"/>
      <w:bookmarkEnd w:id="10039"/>
      <w:bookmarkEnd w:id="10040"/>
      <w:bookmarkEnd w:id="10041"/>
      <w:bookmarkEnd w:id="10042"/>
      <w:bookmarkEnd w:id="10043"/>
      <w:bookmarkEnd w:id="10044"/>
      <w:bookmarkEnd w:id="10045"/>
    </w:p>
    <w:p w14:paraId="79D15DB1" w14:textId="77777777" w:rsidR="003A71DE" w:rsidRPr="00EA3B97" w:rsidRDefault="003A71DE" w:rsidP="00BA0D24">
      <w:pPr>
        <w:pStyle w:val="TH"/>
        <w:rPr>
          <w:rFonts w:eastAsiaTheme="minorEastAsia"/>
          <w:noProof/>
        </w:rPr>
      </w:pPr>
      <w:r w:rsidRPr="00EA3B97">
        <w:rPr>
          <w:rFonts w:eastAsiaTheme="minorEastAsia"/>
        </w:rPr>
        <w:t xml:space="preserve">Table G.1.6.4-1: SMTC.4: SMTC </w:t>
      </w:r>
      <w:r w:rsidRPr="00EA3B97">
        <w:rPr>
          <w:rFonts w:eastAsiaTheme="minorEastAsia"/>
          <w:noProof/>
        </w:rPr>
        <w:t>Pattern 4 for SMTC period = 20 ms and duration = 1 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2693"/>
      </w:tblGrid>
      <w:tr w:rsidR="003A71DE" w:rsidRPr="00EA3B97" w14:paraId="26EA21C3"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70044A41" w14:textId="77777777" w:rsidR="003A71DE" w:rsidRPr="00EA3B97" w:rsidRDefault="003A71DE" w:rsidP="001A5D47">
            <w:pPr>
              <w:pStyle w:val="TAH"/>
              <w:rPr>
                <w:rFonts w:eastAsiaTheme="minorEastAsia"/>
              </w:rPr>
            </w:pPr>
            <w:r w:rsidRPr="00EA3B97">
              <w:rPr>
                <w:rFonts w:eastAsiaTheme="minorEastAsia"/>
              </w:rPr>
              <w:t>SMTC Parameters</w:t>
            </w:r>
          </w:p>
        </w:tc>
        <w:tc>
          <w:tcPr>
            <w:tcW w:w="2693" w:type="dxa"/>
            <w:tcBorders>
              <w:top w:val="single" w:sz="4" w:space="0" w:color="auto"/>
              <w:left w:val="single" w:sz="4" w:space="0" w:color="auto"/>
              <w:bottom w:val="single" w:sz="4" w:space="0" w:color="auto"/>
              <w:right w:val="single" w:sz="4" w:space="0" w:color="auto"/>
            </w:tcBorders>
            <w:hideMark/>
          </w:tcPr>
          <w:p w14:paraId="6FA1A2A9" w14:textId="77777777" w:rsidR="003A71DE" w:rsidRPr="00EA3B97" w:rsidRDefault="003A71DE" w:rsidP="001A5D47">
            <w:pPr>
              <w:pStyle w:val="TAH"/>
              <w:rPr>
                <w:rFonts w:eastAsiaTheme="minorEastAsia"/>
              </w:rPr>
            </w:pPr>
            <w:r w:rsidRPr="00EA3B97">
              <w:rPr>
                <w:rFonts w:eastAsiaTheme="minorEastAsia"/>
              </w:rPr>
              <w:t>Values</w:t>
            </w:r>
          </w:p>
        </w:tc>
      </w:tr>
      <w:tr w:rsidR="003A71DE" w:rsidRPr="00EA3B97" w14:paraId="32A7917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7F1DECC2" w14:textId="77777777" w:rsidR="003A71DE" w:rsidRPr="00EA3B97" w:rsidRDefault="003A71DE" w:rsidP="001A5D47">
            <w:pPr>
              <w:pStyle w:val="TAL"/>
              <w:rPr>
                <w:rFonts w:eastAsiaTheme="minorEastAsia"/>
              </w:rPr>
            </w:pPr>
            <w:r w:rsidRPr="00EA3B97">
              <w:rPr>
                <w:rFonts w:eastAsiaTheme="minorEastAsia"/>
              </w:rPr>
              <w:t>SMTC periodicity</w:t>
            </w:r>
          </w:p>
        </w:tc>
        <w:tc>
          <w:tcPr>
            <w:tcW w:w="2693" w:type="dxa"/>
            <w:tcBorders>
              <w:top w:val="single" w:sz="4" w:space="0" w:color="auto"/>
              <w:left w:val="single" w:sz="4" w:space="0" w:color="auto"/>
              <w:bottom w:val="single" w:sz="4" w:space="0" w:color="auto"/>
              <w:right w:val="single" w:sz="4" w:space="0" w:color="auto"/>
            </w:tcBorders>
            <w:hideMark/>
          </w:tcPr>
          <w:p w14:paraId="3A10D426" w14:textId="77777777" w:rsidR="003A71DE" w:rsidRPr="00EA3B97" w:rsidRDefault="003A71DE" w:rsidP="001A5D47">
            <w:pPr>
              <w:pStyle w:val="TAL"/>
              <w:rPr>
                <w:rFonts w:eastAsiaTheme="minorEastAsia"/>
              </w:rPr>
            </w:pPr>
            <w:r w:rsidRPr="00EA3B97">
              <w:rPr>
                <w:rFonts w:eastAsiaTheme="minorEastAsia"/>
              </w:rPr>
              <w:t>20 ms</w:t>
            </w:r>
          </w:p>
        </w:tc>
      </w:tr>
      <w:tr w:rsidR="003A71DE" w:rsidRPr="00EA3B97" w14:paraId="2BD276B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1837B82" w14:textId="77777777" w:rsidR="003A71DE" w:rsidRPr="00EA3B97" w:rsidRDefault="003A71DE" w:rsidP="001A5D47">
            <w:pPr>
              <w:pStyle w:val="TAL"/>
              <w:rPr>
                <w:rFonts w:eastAsiaTheme="minorEastAsia"/>
              </w:rPr>
            </w:pPr>
            <w:r w:rsidRPr="00EA3B97">
              <w:rPr>
                <w:rFonts w:eastAsiaTheme="minorEastAsia"/>
              </w:rPr>
              <w:t>SMTC offset</w:t>
            </w:r>
          </w:p>
        </w:tc>
        <w:tc>
          <w:tcPr>
            <w:tcW w:w="2693" w:type="dxa"/>
            <w:tcBorders>
              <w:top w:val="single" w:sz="4" w:space="0" w:color="auto"/>
              <w:left w:val="single" w:sz="4" w:space="0" w:color="auto"/>
              <w:bottom w:val="single" w:sz="4" w:space="0" w:color="auto"/>
              <w:right w:val="single" w:sz="4" w:space="0" w:color="auto"/>
            </w:tcBorders>
            <w:hideMark/>
          </w:tcPr>
          <w:p w14:paraId="0C2613CE" w14:textId="77777777" w:rsidR="003A71DE" w:rsidRPr="00EA3B97" w:rsidRDefault="003A71DE" w:rsidP="001A5D47">
            <w:pPr>
              <w:pStyle w:val="TAL"/>
              <w:rPr>
                <w:rFonts w:eastAsiaTheme="minorEastAsia"/>
              </w:rPr>
            </w:pPr>
            <w:r w:rsidRPr="00EA3B97">
              <w:rPr>
                <w:rFonts w:eastAsiaTheme="minorEastAsia"/>
              </w:rPr>
              <w:t>10 ms</w:t>
            </w:r>
          </w:p>
        </w:tc>
      </w:tr>
      <w:tr w:rsidR="003A71DE" w:rsidRPr="00EA3B97" w14:paraId="69912310"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44202843" w14:textId="77777777" w:rsidR="003A71DE" w:rsidRPr="00EA3B97" w:rsidRDefault="003A71DE" w:rsidP="001A5D47">
            <w:pPr>
              <w:pStyle w:val="TAL"/>
              <w:rPr>
                <w:rFonts w:eastAsiaTheme="minorEastAsia"/>
              </w:rPr>
            </w:pPr>
            <w:r w:rsidRPr="00EA3B97">
              <w:rPr>
                <w:rFonts w:eastAsiaTheme="minorEastAsia"/>
              </w:rPr>
              <w:t>SMTC duration</w:t>
            </w:r>
          </w:p>
        </w:tc>
        <w:tc>
          <w:tcPr>
            <w:tcW w:w="2693" w:type="dxa"/>
            <w:tcBorders>
              <w:top w:val="single" w:sz="4" w:space="0" w:color="auto"/>
              <w:left w:val="single" w:sz="4" w:space="0" w:color="auto"/>
              <w:bottom w:val="single" w:sz="4" w:space="0" w:color="auto"/>
              <w:right w:val="single" w:sz="4" w:space="0" w:color="auto"/>
            </w:tcBorders>
            <w:hideMark/>
          </w:tcPr>
          <w:p w14:paraId="20B56284" w14:textId="77777777" w:rsidR="003A71DE" w:rsidRPr="00EA3B97" w:rsidRDefault="003A71DE" w:rsidP="001A5D47">
            <w:pPr>
              <w:pStyle w:val="TAL"/>
              <w:rPr>
                <w:rFonts w:eastAsiaTheme="minorEastAsia"/>
              </w:rPr>
            </w:pPr>
            <w:r w:rsidRPr="00EA3B97">
              <w:rPr>
                <w:rFonts w:eastAsiaTheme="minorEastAsia"/>
              </w:rPr>
              <w:t>1 ms</w:t>
            </w:r>
          </w:p>
        </w:tc>
      </w:tr>
    </w:tbl>
    <w:p w14:paraId="7FFB1718" w14:textId="77777777" w:rsidR="003A71DE" w:rsidRPr="00EA3B97" w:rsidRDefault="003A71DE" w:rsidP="003A71DE">
      <w:pPr>
        <w:rPr>
          <w:rFonts w:eastAsiaTheme="minorEastAsia"/>
        </w:rPr>
      </w:pPr>
    </w:p>
    <w:p w14:paraId="5EB1DE57" w14:textId="77777777" w:rsidR="003A71DE" w:rsidRPr="00EA3B97" w:rsidRDefault="003A71DE" w:rsidP="0090095F">
      <w:pPr>
        <w:pStyle w:val="Heading4"/>
        <w:rPr>
          <w:rFonts w:eastAsiaTheme="minorEastAsia"/>
          <w:lang w:val="en-US"/>
        </w:rPr>
      </w:pPr>
      <w:bookmarkStart w:id="10046" w:name="_Toc74583656"/>
      <w:bookmarkStart w:id="10047" w:name="_Toc76542469"/>
      <w:bookmarkStart w:id="10048" w:name="_Toc82450451"/>
      <w:bookmarkStart w:id="10049" w:name="_Toc82451099"/>
      <w:bookmarkStart w:id="10050" w:name="_Toc89949488"/>
      <w:bookmarkStart w:id="10051" w:name="_Toc98755877"/>
      <w:bookmarkStart w:id="10052" w:name="_Toc98763469"/>
      <w:bookmarkStart w:id="10053" w:name="_Toc106184398"/>
      <w:r w:rsidRPr="00EA3B97">
        <w:rPr>
          <w:rFonts w:eastAsiaTheme="minorEastAsia"/>
          <w:lang w:val="en-US"/>
        </w:rPr>
        <w:t>G.1.6.5</w:t>
      </w:r>
      <w:r w:rsidRPr="00EA3B97">
        <w:rPr>
          <w:rFonts w:eastAsiaTheme="minorEastAsia"/>
          <w:lang w:val="en-US"/>
        </w:rPr>
        <w:tab/>
        <w:t>SMTC pattern 5: SMTC period = 20 ms with SMTC duration = 5 ms</w:t>
      </w:r>
      <w:bookmarkEnd w:id="10046"/>
      <w:bookmarkEnd w:id="10047"/>
      <w:bookmarkEnd w:id="10048"/>
      <w:bookmarkEnd w:id="10049"/>
      <w:bookmarkEnd w:id="10050"/>
      <w:bookmarkEnd w:id="10051"/>
      <w:bookmarkEnd w:id="10052"/>
      <w:bookmarkEnd w:id="10053"/>
    </w:p>
    <w:p w14:paraId="68AB9BBA" w14:textId="77777777" w:rsidR="003A71DE" w:rsidRPr="00EA3B97" w:rsidRDefault="003A71DE" w:rsidP="00BA0D24">
      <w:pPr>
        <w:pStyle w:val="TH"/>
        <w:rPr>
          <w:rFonts w:eastAsiaTheme="minorEastAsia"/>
          <w:noProof/>
        </w:rPr>
      </w:pPr>
      <w:r w:rsidRPr="00EA3B97">
        <w:rPr>
          <w:rFonts w:eastAsiaTheme="minorEastAsia"/>
        </w:rPr>
        <w:t xml:space="preserve">Table G.1.6.4-1: SMTC.5: SMTC </w:t>
      </w:r>
      <w:r w:rsidRPr="00EA3B97">
        <w:rPr>
          <w:rFonts w:eastAsiaTheme="minorEastAsia"/>
          <w:noProof/>
        </w:rPr>
        <w:t>Pattern 5 for SMTC period = 20 ms and duration = 5 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2693"/>
      </w:tblGrid>
      <w:tr w:rsidR="003A71DE" w:rsidRPr="00EA3B97" w14:paraId="2A9A6C4E"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1A820C88" w14:textId="77777777" w:rsidR="003A71DE" w:rsidRPr="00EA3B97" w:rsidRDefault="003A71DE" w:rsidP="001A5D47">
            <w:pPr>
              <w:pStyle w:val="TAH"/>
              <w:rPr>
                <w:rFonts w:eastAsiaTheme="minorEastAsia"/>
              </w:rPr>
            </w:pPr>
            <w:r w:rsidRPr="00EA3B97">
              <w:rPr>
                <w:rFonts w:eastAsiaTheme="minorEastAsia"/>
              </w:rPr>
              <w:t>SMTC Parameters</w:t>
            </w:r>
          </w:p>
        </w:tc>
        <w:tc>
          <w:tcPr>
            <w:tcW w:w="2693" w:type="dxa"/>
            <w:tcBorders>
              <w:top w:val="single" w:sz="4" w:space="0" w:color="auto"/>
              <w:left w:val="single" w:sz="4" w:space="0" w:color="auto"/>
              <w:bottom w:val="single" w:sz="4" w:space="0" w:color="auto"/>
              <w:right w:val="single" w:sz="4" w:space="0" w:color="auto"/>
            </w:tcBorders>
            <w:hideMark/>
          </w:tcPr>
          <w:p w14:paraId="0A278EB5" w14:textId="77777777" w:rsidR="003A71DE" w:rsidRPr="00EA3B97" w:rsidRDefault="003A71DE" w:rsidP="001A5D47">
            <w:pPr>
              <w:pStyle w:val="TAH"/>
              <w:rPr>
                <w:rFonts w:eastAsiaTheme="minorEastAsia"/>
              </w:rPr>
            </w:pPr>
            <w:r w:rsidRPr="00EA3B97">
              <w:rPr>
                <w:rFonts w:eastAsiaTheme="minorEastAsia"/>
              </w:rPr>
              <w:t>Values</w:t>
            </w:r>
          </w:p>
        </w:tc>
      </w:tr>
      <w:tr w:rsidR="003A71DE" w:rsidRPr="00EA3B97" w14:paraId="54413A11"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0139A8CF" w14:textId="77777777" w:rsidR="003A71DE" w:rsidRPr="00EA3B97" w:rsidRDefault="003A71DE" w:rsidP="001A5D47">
            <w:pPr>
              <w:pStyle w:val="TAL"/>
              <w:rPr>
                <w:rFonts w:eastAsiaTheme="minorEastAsia"/>
              </w:rPr>
            </w:pPr>
            <w:r w:rsidRPr="00EA3B97">
              <w:rPr>
                <w:rFonts w:eastAsiaTheme="minorEastAsia"/>
              </w:rPr>
              <w:t>SMTC periodicity</w:t>
            </w:r>
          </w:p>
        </w:tc>
        <w:tc>
          <w:tcPr>
            <w:tcW w:w="2693" w:type="dxa"/>
            <w:tcBorders>
              <w:top w:val="single" w:sz="4" w:space="0" w:color="auto"/>
              <w:left w:val="single" w:sz="4" w:space="0" w:color="auto"/>
              <w:bottom w:val="single" w:sz="4" w:space="0" w:color="auto"/>
              <w:right w:val="single" w:sz="4" w:space="0" w:color="auto"/>
            </w:tcBorders>
            <w:hideMark/>
          </w:tcPr>
          <w:p w14:paraId="1C0DB0B8" w14:textId="77777777" w:rsidR="003A71DE" w:rsidRPr="00EA3B97" w:rsidRDefault="003A71DE" w:rsidP="001A5D47">
            <w:pPr>
              <w:pStyle w:val="TAL"/>
              <w:rPr>
                <w:rFonts w:eastAsiaTheme="minorEastAsia"/>
              </w:rPr>
            </w:pPr>
            <w:r w:rsidRPr="00EA3B97">
              <w:rPr>
                <w:rFonts w:eastAsiaTheme="minorEastAsia"/>
              </w:rPr>
              <w:t>20 ms</w:t>
            </w:r>
          </w:p>
        </w:tc>
      </w:tr>
      <w:tr w:rsidR="003A71DE" w:rsidRPr="00EA3B97" w14:paraId="4F98139F"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655D7E7F" w14:textId="77777777" w:rsidR="003A71DE" w:rsidRPr="00EA3B97" w:rsidRDefault="003A71DE" w:rsidP="001A5D47">
            <w:pPr>
              <w:pStyle w:val="TAL"/>
              <w:rPr>
                <w:rFonts w:eastAsiaTheme="minorEastAsia"/>
              </w:rPr>
            </w:pPr>
            <w:r w:rsidRPr="00EA3B97">
              <w:rPr>
                <w:rFonts w:eastAsiaTheme="minorEastAsia"/>
              </w:rPr>
              <w:t>SMTC offset</w:t>
            </w:r>
          </w:p>
        </w:tc>
        <w:tc>
          <w:tcPr>
            <w:tcW w:w="2693" w:type="dxa"/>
            <w:tcBorders>
              <w:top w:val="single" w:sz="4" w:space="0" w:color="auto"/>
              <w:left w:val="single" w:sz="4" w:space="0" w:color="auto"/>
              <w:bottom w:val="single" w:sz="4" w:space="0" w:color="auto"/>
              <w:right w:val="single" w:sz="4" w:space="0" w:color="auto"/>
            </w:tcBorders>
            <w:hideMark/>
          </w:tcPr>
          <w:p w14:paraId="4ECAA7E6" w14:textId="77777777" w:rsidR="003A71DE" w:rsidRPr="00EA3B97" w:rsidRDefault="003A71DE" w:rsidP="001A5D47">
            <w:pPr>
              <w:pStyle w:val="TAL"/>
              <w:rPr>
                <w:rFonts w:eastAsiaTheme="minorEastAsia"/>
              </w:rPr>
            </w:pPr>
            <w:r w:rsidRPr="00EA3B97">
              <w:rPr>
                <w:rFonts w:eastAsiaTheme="minorEastAsia"/>
              </w:rPr>
              <w:t>10 ms</w:t>
            </w:r>
          </w:p>
        </w:tc>
      </w:tr>
      <w:tr w:rsidR="003A71DE" w:rsidRPr="00EA3B97" w14:paraId="62FC306E" w14:textId="77777777" w:rsidTr="003A71DE">
        <w:trPr>
          <w:jc w:val="center"/>
        </w:trPr>
        <w:tc>
          <w:tcPr>
            <w:tcW w:w="4679" w:type="dxa"/>
            <w:tcBorders>
              <w:top w:val="single" w:sz="4" w:space="0" w:color="auto"/>
              <w:left w:val="single" w:sz="4" w:space="0" w:color="auto"/>
              <w:bottom w:val="single" w:sz="4" w:space="0" w:color="auto"/>
              <w:right w:val="single" w:sz="4" w:space="0" w:color="auto"/>
            </w:tcBorders>
            <w:hideMark/>
          </w:tcPr>
          <w:p w14:paraId="18359846" w14:textId="77777777" w:rsidR="003A71DE" w:rsidRPr="00EA3B97" w:rsidRDefault="003A71DE" w:rsidP="001A5D47">
            <w:pPr>
              <w:pStyle w:val="TAL"/>
              <w:rPr>
                <w:rFonts w:eastAsiaTheme="minorEastAsia"/>
              </w:rPr>
            </w:pPr>
            <w:r w:rsidRPr="00EA3B97">
              <w:rPr>
                <w:rFonts w:eastAsiaTheme="minorEastAsia"/>
              </w:rPr>
              <w:t>SMTC duration</w:t>
            </w:r>
          </w:p>
        </w:tc>
        <w:tc>
          <w:tcPr>
            <w:tcW w:w="2693" w:type="dxa"/>
            <w:tcBorders>
              <w:top w:val="single" w:sz="4" w:space="0" w:color="auto"/>
              <w:left w:val="single" w:sz="4" w:space="0" w:color="auto"/>
              <w:bottom w:val="single" w:sz="4" w:space="0" w:color="auto"/>
              <w:right w:val="single" w:sz="4" w:space="0" w:color="auto"/>
            </w:tcBorders>
            <w:hideMark/>
          </w:tcPr>
          <w:p w14:paraId="5B1F8347" w14:textId="77777777" w:rsidR="003A71DE" w:rsidRPr="00EA3B97" w:rsidRDefault="003A71DE" w:rsidP="001A5D47">
            <w:pPr>
              <w:pStyle w:val="TAL"/>
              <w:rPr>
                <w:rFonts w:eastAsiaTheme="minorEastAsia"/>
              </w:rPr>
            </w:pPr>
            <w:r w:rsidRPr="00EA3B97">
              <w:rPr>
                <w:rFonts w:eastAsiaTheme="minorEastAsia"/>
              </w:rPr>
              <w:t>5 ms</w:t>
            </w:r>
          </w:p>
        </w:tc>
      </w:tr>
    </w:tbl>
    <w:p w14:paraId="7FDACC8A" w14:textId="77777777" w:rsidR="003A71DE" w:rsidRPr="00EA3B97" w:rsidRDefault="003A71DE" w:rsidP="003A71DE">
      <w:pPr>
        <w:rPr>
          <w:rFonts w:eastAsiaTheme="minorEastAsia"/>
        </w:rPr>
      </w:pPr>
    </w:p>
    <w:p w14:paraId="07E5CF82" w14:textId="77777777" w:rsidR="003A71DE" w:rsidRPr="00EA3B97" w:rsidRDefault="003A71DE" w:rsidP="0090095F">
      <w:pPr>
        <w:pStyle w:val="Heading3"/>
        <w:rPr>
          <w:rFonts w:eastAsiaTheme="minorEastAsia"/>
        </w:rPr>
      </w:pPr>
      <w:bookmarkStart w:id="10054" w:name="_Toc74583657"/>
      <w:bookmarkStart w:id="10055" w:name="_Toc76542470"/>
      <w:bookmarkStart w:id="10056" w:name="_Toc82450452"/>
      <w:bookmarkStart w:id="10057" w:name="_Toc82451100"/>
      <w:bookmarkStart w:id="10058" w:name="_Toc89949489"/>
      <w:bookmarkStart w:id="10059" w:name="_Toc98755878"/>
      <w:bookmarkStart w:id="10060" w:name="_Toc98763470"/>
      <w:bookmarkStart w:id="10061" w:name="_Toc106184399"/>
      <w:r w:rsidRPr="00EA3B97">
        <w:rPr>
          <w:rFonts w:eastAsiaTheme="minorEastAsia"/>
        </w:rPr>
        <w:lastRenderedPageBreak/>
        <w:t>G.1.7</w:t>
      </w:r>
      <w:r w:rsidRPr="00EA3B97">
        <w:rPr>
          <w:rFonts w:eastAsiaTheme="minorEastAsia"/>
        </w:rPr>
        <w:tab/>
        <w:t>CSI-RS configurations</w:t>
      </w:r>
      <w:bookmarkEnd w:id="10054"/>
      <w:bookmarkEnd w:id="10055"/>
      <w:bookmarkEnd w:id="10056"/>
      <w:bookmarkEnd w:id="10057"/>
      <w:bookmarkEnd w:id="10058"/>
      <w:bookmarkEnd w:id="10059"/>
      <w:bookmarkEnd w:id="10060"/>
      <w:bookmarkEnd w:id="10061"/>
    </w:p>
    <w:p w14:paraId="16566DFE" w14:textId="77777777" w:rsidR="003A71DE" w:rsidRPr="00EA3B97" w:rsidRDefault="003A71DE" w:rsidP="0090095F">
      <w:pPr>
        <w:pStyle w:val="Heading4"/>
        <w:rPr>
          <w:rFonts w:eastAsiaTheme="minorEastAsia"/>
        </w:rPr>
      </w:pPr>
      <w:bookmarkStart w:id="10062" w:name="_Toc74583658"/>
      <w:bookmarkStart w:id="10063" w:name="_Toc76542471"/>
      <w:bookmarkStart w:id="10064" w:name="_Toc82450453"/>
      <w:bookmarkStart w:id="10065" w:name="_Toc82451101"/>
      <w:bookmarkStart w:id="10066" w:name="_Toc89949490"/>
      <w:bookmarkStart w:id="10067" w:name="_Toc98755879"/>
      <w:bookmarkStart w:id="10068" w:name="_Toc98763471"/>
      <w:bookmarkStart w:id="10069" w:name="_Toc106184400"/>
      <w:r w:rsidRPr="00EA3B97">
        <w:rPr>
          <w:rFonts w:eastAsiaTheme="minorEastAsia"/>
        </w:rPr>
        <w:t>G.1.7.1</w:t>
      </w:r>
      <w:r w:rsidRPr="00EA3B97">
        <w:rPr>
          <w:rFonts w:eastAsiaTheme="minorEastAsia"/>
        </w:rPr>
        <w:tab/>
        <w:t>TDD</w:t>
      </w:r>
      <w:bookmarkEnd w:id="10062"/>
      <w:bookmarkEnd w:id="10063"/>
      <w:bookmarkEnd w:id="10064"/>
      <w:bookmarkEnd w:id="10065"/>
      <w:bookmarkEnd w:id="10066"/>
      <w:bookmarkEnd w:id="10067"/>
      <w:bookmarkEnd w:id="10068"/>
      <w:bookmarkEnd w:id="10069"/>
    </w:p>
    <w:p w14:paraId="0CC672DB" w14:textId="77777777" w:rsidR="003A71DE" w:rsidRPr="00EA3B97" w:rsidRDefault="003A71DE" w:rsidP="00BA0D24">
      <w:pPr>
        <w:pStyle w:val="TH"/>
        <w:rPr>
          <w:rFonts w:eastAsiaTheme="minorEastAsia"/>
        </w:rPr>
      </w:pPr>
      <w:r w:rsidRPr="00EA3B97">
        <w:rPr>
          <w:rFonts w:eastAsiaTheme="minorEastAsia"/>
        </w:rPr>
        <w:t>Table G.1.7.1-1: CSI-RS Reference Measurement Channels for SCS=15kHz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9"/>
        <w:gridCol w:w="1701"/>
        <w:gridCol w:w="1559"/>
        <w:gridCol w:w="1559"/>
        <w:gridCol w:w="1842"/>
      </w:tblGrid>
      <w:tr w:rsidR="003A71DE" w:rsidRPr="00EA3B97" w14:paraId="1B3784A3"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tcPr>
          <w:p w14:paraId="3430FD46" w14:textId="77777777" w:rsidR="003A71DE" w:rsidRPr="00EA3B97" w:rsidRDefault="003A71DE" w:rsidP="001A5D47">
            <w:pPr>
              <w:pStyle w:val="TAH"/>
              <w:rPr>
                <w:rFonts w:eastAsiaTheme="minorEastAsia"/>
                <w:lang w:eastAsia="ja-JP"/>
              </w:rPr>
            </w:pPr>
          </w:p>
        </w:tc>
        <w:tc>
          <w:tcPr>
            <w:tcW w:w="1701" w:type="dxa"/>
            <w:tcBorders>
              <w:top w:val="single" w:sz="4" w:space="0" w:color="auto"/>
              <w:left w:val="single" w:sz="4" w:space="0" w:color="auto"/>
              <w:bottom w:val="single" w:sz="4" w:space="0" w:color="auto"/>
              <w:right w:val="single" w:sz="4" w:space="0" w:color="auto"/>
            </w:tcBorders>
            <w:vAlign w:val="center"/>
            <w:hideMark/>
          </w:tcPr>
          <w:p w14:paraId="5671255E" w14:textId="77777777" w:rsidR="003A71DE" w:rsidRPr="00EA3B97" w:rsidRDefault="003A71DE" w:rsidP="001A5D47">
            <w:pPr>
              <w:pStyle w:val="TAH"/>
              <w:rPr>
                <w:rFonts w:eastAsiaTheme="minorEastAsia"/>
                <w:lang w:eastAsia="ja-JP"/>
              </w:rPr>
            </w:pPr>
            <w:r w:rsidRPr="00EA3B97">
              <w:rPr>
                <w:rFonts w:eastAsiaTheme="minorEastAsia"/>
                <w:lang w:eastAsia="ja-JP"/>
              </w:rPr>
              <w:t>CSI-RS.1.1 TDD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DB3772A" w14:textId="77777777" w:rsidR="003A71DE" w:rsidRPr="00EA3B97" w:rsidRDefault="003A71DE" w:rsidP="001A5D47">
            <w:pPr>
              <w:pStyle w:val="TAH"/>
              <w:rPr>
                <w:rFonts w:eastAsiaTheme="minorEastAsia"/>
                <w:lang w:eastAsia="ja-JP"/>
              </w:rPr>
            </w:pPr>
            <w:r w:rsidRPr="00EA3B97">
              <w:rPr>
                <w:rFonts w:eastAsiaTheme="minorEastAsia"/>
                <w:lang w:eastAsia="ja-JP"/>
              </w:rPr>
              <w:t>CSI-RS.1.2 TDD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8EF754C" w14:textId="77777777" w:rsidR="003A71DE" w:rsidRPr="00EA3B97" w:rsidRDefault="003A71DE" w:rsidP="001A5D47">
            <w:pPr>
              <w:pStyle w:val="TAH"/>
              <w:rPr>
                <w:rFonts w:eastAsiaTheme="minorEastAsia"/>
                <w:lang w:eastAsia="ja-JP"/>
              </w:rPr>
            </w:pPr>
            <w:r w:rsidRPr="00EA3B97">
              <w:rPr>
                <w:rFonts w:eastAsiaTheme="minorEastAsia"/>
                <w:lang w:eastAsia="ja-JP"/>
              </w:rPr>
              <w:t>CSI-RS.1.3 TDD</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573EC28" w14:textId="77777777" w:rsidR="003A71DE" w:rsidRPr="00EA3B97" w:rsidRDefault="003A71DE" w:rsidP="001A5D47">
            <w:pPr>
              <w:pStyle w:val="TAH"/>
              <w:rPr>
                <w:rFonts w:eastAsiaTheme="minorEastAsia"/>
                <w:lang w:eastAsia="ja-JP"/>
              </w:rPr>
            </w:pPr>
            <w:r w:rsidRPr="00EA3B97">
              <w:rPr>
                <w:rFonts w:eastAsiaTheme="minorEastAsia"/>
                <w:lang w:eastAsia="ja-JP"/>
              </w:rPr>
              <w:t>CSI-RS.1.4 TDD</w:t>
            </w:r>
          </w:p>
        </w:tc>
      </w:tr>
      <w:tr w:rsidR="003A71DE" w:rsidRPr="00EA3B97" w14:paraId="4F231516"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3BE82D58" w14:textId="77777777" w:rsidR="003A71DE" w:rsidRPr="00EA3B97" w:rsidRDefault="003A71DE" w:rsidP="001A5D47">
            <w:pPr>
              <w:pStyle w:val="TAC"/>
              <w:rPr>
                <w:rFonts w:eastAsiaTheme="minorEastAsia"/>
                <w:lang w:eastAsia="ja-JP"/>
              </w:rPr>
            </w:pPr>
            <w:r w:rsidRPr="00EA3B97">
              <w:rPr>
                <w:rFonts w:eastAsiaTheme="minorEastAsia"/>
                <w:lang w:eastAsia="ja-JP"/>
              </w:rPr>
              <w:t>Resource Type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520516C" w14:textId="77777777" w:rsidR="003A71DE" w:rsidRPr="00EA3B97" w:rsidRDefault="003A71DE" w:rsidP="001A5D47">
            <w:pPr>
              <w:pStyle w:val="TAC"/>
              <w:rPr>
                <w:rFonts w:eastAsiaTheme="minorEastAsia"/>
                <w:lang w:eastAsia="ja-JP"/>
              </w:rPr>
            </w:pPr>
            <w:r w:rsidRPr="00EA3B97">
              <w:rPr>
                <w:rFonts w:eastAsiaTheme="minorEastAsia"/>
                <w:lang w:eastAsia="ja-JP"/>
              </w:rPr>
              <w:t>periodic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E08EE0" w14:textId="77777777" w:rsidR="003A71DE" w:rsidRPr="00EA3B97" w:rsidRDefault="003A71DE" w:rsidP="001A5D47">
            <w:pPr>
              <w:pStyle w:val="TAC"/>
              <w:rPr>
                <w:rFonts w:eastAsiaTheme="minorEastAsia"/>
                <w:lang w:eastAsia="ja-JP"/>
              </w:rPr>
            </w:pPr>
            <w:r w:rsidRPr="00EA3B97">
              <w:rPr>
                <w:rFonts w:eastAsiaTheme="minorEastAsia"/>
                <w:lang w:eastAsia="ja-JP"/>
              </w:rPr>
              <w:t>periodic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8D5FDC4" w14:textId="77777777" w:rsidR="003A71DE" w:rsidRPr="00EA3B97" w:rsidRDefault="003A71DE" w:rsidP="001A5D47">
            <w:pPr>
              <w:pStyle w:val="TAC"/>
              <w:rPr>
                <w:rFonts w:eastAsiaTheme="minorEastAsia"/>
                <w:lang w:eastAsia="ja-JP"/>
              </w:rPr>
            </w:pPr>
            <w:r w:rsidRPr="00EA3B97">
              <w:rPr>
                <w:rFonts w:eastAsiaTheme="minorEastAsia"/>
                <w:lang w:eastAsia="ja-JP"/>
              </w:rPr>
              <w:t>aperiodic</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4753299" w14:textId="77777777" w:rsidR="003A71DE" w:rsidRPr="00EA3B97" w:rsidRDefault="003A71DE" w:rsidP="001A5D47">
            <w:pPr>
              <w:pStyle w:val="TAC"/>
              <w:rPr>
                <w:rFonts w:eastAsiaTheme="minorEastAsia"/>
                <w:lang w:eastAsia="ja-JP"/>
              </w:rPr>
            </w:pPr>
            <w:r w:rsidRPr="00EA3B97">
              <w:rPr>
                <w:rFonts w:eastAsiaTheme="minorEastAsia"/>
                <w:lang w:eastAsia="ja-JP"/>
              </w:rPr>
              <w:t>aperiodic</w:t>
            </w:r>
          </w:p>
        </w:tc>
      </w:tr>
      <w:tr w:rsidR="003A71DE" w:rsidRPr="00EA3B97" w14:paraId="6A7BE838"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0FECD06D" w14:textId="77777777" w:rsidR="003A71DE" w:rsidRPr="00EA3B97" w:rsidRDefault="003A71DE" w:rsidP="003A71DE">
            <w:pPr>
              <w:keepNext/>
              <w:keepLines/>
              <w:spacing w:after="0"/>
              <w:jc w:val="center"/>
              <w:rPr>
                <w:rFonts w:ascii="Arial" w:eastAsiaTheme="minorEastAsia" w:hAnsi="Arial" w:cs="Arial"/>
                <w:b/>
                <w:sz w:val="18"/>
                <w:lang w:eastAsia="ja-JP"/>
              </w:rPr>
            </w:pPr>
            <w:r w:rsidRPr="00EA3B97">
              <w:rPr>
                <w:rFonts w:ascii="Arial" w:eastAsiaTheme="minorEastAsia" w:hAnsi="Arial" w:cs="Arial"/>
                <w:b/>
                <w:sz w:val="18"/>
                <w:lang w:eastAsia="ja-JP"/>
              </w:rPr>
              <w:t>Resource Set Config</w:t>
            </w:r>
          </w:p>
        </w:tc>
        <w:tc>
          <w:tcPr>
            <w:tcW w:w="1701" w:type="dxa"/>
            <w:tcBorders>
              <w:top w:val="single" w:sz="4" w:space="0" w:color="auto"/>
              <w:left w:val="single" w:sz="4" w:space="0" w:color="auto"/>
              <w:bottom w:val="single" w:sz="4" w:space="0" w:color="auto"/>
              <w:right w:val="single" w:sz="4" w:space="0" w:color="auto"/>
            </w:tcBorders>
            <w:vAlign w:val="center"/>
          </w:tcPr>
          <w:p w14:paraId="0B049A80"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4AA7DD1E"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24DA9FB7"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842" w:type="dxa"/>
            <w:tcBorders>
              <w:top w:val="single" w:sz="4" w:space="0" w:color="auto"/>
              <w:left w:val="single" w:sz="4" w:space="0" w:color="auto"/>
              <w:bottom w:val="single" w:sz="4" w:space="0" w:color="auto"/>
              <w:right w:val="single" w:sz="4" w:space="0" w:color="auto"/>
            </w:tcBorders>
            <w:vAlign w:val="center"/>
          </w:tcPr>
          <w:p w14:paraId="722E04D2" w14:textId="77777777" w:rsidR="003A71DE" w:rsidRPr="00EA3B97" w:rsidRDefault="003A71DE" w:rsidP="003A71DE">
            <w:pPr>
              <w:keepNext/>
              <w:keepLines/>
              <w:spacing w:after="0"/>
              <w:jc w:val="center"/>
              <w:rPr>
                <w:rFonts w:ascii="Arial" w:eastAsiaTheme="minorEastAsia" w:hAnsi="Arial" w:cs="Arial"/>
                <w:b/>
                <w:sz w:val="18"/>
                <w:lang w:eastAsia="ja-JP"/>
              </w:rPr>
            </w:pPr>
          </w:p>
        </w:tc>
      </w:tr>
      <w:tr w:rsidR="003A71DE" w:rsidRPr="00EA3B97" w14:paraId="30B73D8F"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2E8896F8" w14:textId="77777777" w:rsidR="003A71DE" w:rsidRPr="00EA3B97" w:rsidRDefault="003A71DE" w:rsidP="001A5D47">
            <w:pPr>
              <w:pStyle w:val="TAL"/>
              <w:rPr>
                <w:rFonts w:eastAsiaTheme="minorEastAsia" w:cs="Arial"/>
                <w:i/>
                <w:lang w:eastAsia="ja-JP"/>
              </w:rPr>
            </w:pPr>
            <w:r w:rsidRPr="00EA3B97">
              <w:rPr>
                <w:rFonts w:eastAsiaTheme="minorEastAsia"/>
              </w:rPr>
              <w:t>nzp-CSI-ResourceSetId</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9146DC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FC4424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72FBFF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DE336B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3A8E6A6E"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00C17570" w14:textId="77777777" w:rsidR="003A71DE" w:rsidRPr="00EA3B97" w:rsidRDefault="003A71DE" w:rsidP="001A5D47">
            <w:pPr>
              <w:pStyle w:val="TAL"/>
              <w:rPr>
                <w:rFonts w:eastAsiaTheme="minorEastAsia" w:cs="Arial"/>
                <w:i/>
                <w:lang w:eastAsia="ja-JP"/>
              </w:rPr>
            </w:pPr>
            <w:r w:rsidRPr="00EA3B97">
              <w:rPr>
                <w:rFonts w:eastAsiaTheme="minorEastAsia"/>
              </w:rPr>
              <w:t>repetition</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8C2FF0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BBEE2B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off</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50BB79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off</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D900EA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on</w:t>
            </w:r>
          </w:p>
        </w:tc>
      </w:tr>
      <w:tr w:rsidR="003A71DE" w:rsidRPr="00EA3B97" w14:paraId="68565E2A"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0495CCAD" w14:textId="77777777" w:rsidR="003A71DE" w:rsidRPr="00EA3B97" w:rsidRDefault="003A71DE" w:rsidP="001A5D47">
            <w:pPr>
              <w:pStyle w:val="TAL"/>
              <w:rPr>
                <w:rFonts w:eastAsiaTheme="minorEastAsia" w:cs="Arial"/>
                <w:i/>
                <w:lang w:eastAsia="ja-JP"/>
              </w:rPr>
            </w:pPr>
            <w:r w:rsidRPr="00EA3B97">
              <w:rPr>
                <w:rFonts w:eastAsiaTheme="minorEastAsia"/>
              </w:rPr>
              <w:t>aperiodicTriggeringOffset</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1D9C86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AE9590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508497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w:t>
            </w:r>
          </w:p>
        </w:tc>
        <w:tc>
          <w:tcPr>
            <w:tcW w:w="1842" w:type="dxa"/>
            <w:tcBorders>
              <w:top w:val="single" w:sz="4" w:space="0" w:color="auto"/>
              <w:left w:val="single" w:sz="4" w:space="0" w:color="auto"/>
              <w:bottom w:val="single" w:sz="4" w:space="0" w:color="auto"/>
              <w:right w:val="single" w:sz="4" w:space="0" w:color="auto"/>
            </w:tcBorders>
            <w:vAlign w:val="center"/>
            <w:hideMark/>
          </w:tcPr>
          <w:p w14:paraId="29F648D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w:t>
            </w:r>
          </w:p>
        </w:tc>
      </w:tr>
      <w:tr w:rsidR="003A71DE" w:rsidRPr="00EA3B97" w14:paraId="1E13AB6A"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54675237" w14:textId="77777777" w:rsidR="003A71DE" w:rsidRPr="00EA3B97" w:rsidRDefault="003A71DE" w:rsidP="001A5D47">
            <w:pPr>
              <w:pStyle w:val="TAL"/>
              <w:rPr>
                <w:rFonts w:eastAsiaTheme="minorEastAsia" w:cs="Arial"/>
                <w:i/>
                <w:lang w:eastAsia="ja-JP"/>
              </w:rPr>
            </w:pPr>
            <w:r w:rsidRPr="00EA3B97">
              <w:rPr>
                <w:rFonts w:eastAsiaTheme="minorEastAsia"/>
              </w:rPr>
              <w:t>trs-Info</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AC9E37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E28441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9C9FE5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52F992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73A12081"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73A3BC19" w14:textId="77777777" w:rsidR="003A71DE" w:rsidRPr="00EA3B97" w:rsidRDefault="003A71DE" w:rsidP="003A71DE">
            <w:pPr>
              <w:keepNext/>
              <w:keepLines/>
              <w:spacing w:after="0"/>
              <w:jc w:val="center"/>
              <w:rPr>
                <w:rFonts w:ascii="Arial" w:eastAsiaTheme="minorEastAsia" w:hAnsi="Arial"/>
                <w:b/>
                <w:sz w:val="18"/>
              </w:rPr>
            </w:pPr>
            <w:r w:rsidRPr="00EA3B97">
              <w:rPr>
                <w:rFonts w:ascii="Arial" w:eastAsiaTheme="minorEastAsia" w:hAnsi="Arial"/>
                <w:b/>
                <w:sz w:val="18"/>
              </w:rPr>
              <w:t>Resource Config</w:t>
            </w:r>
          </w:p>
        </w:tc>
        <w:tc>
          <w:tcPr>
            <w:tcW w:w="1701" w:type="dxa"/>
            <w:tcBorders>
              <w:top w:val="single" w:sz="4" w:space="0" w:color="auto"/>
              <w:left w:val="single" w:sz="4" w:space="0" w:color="auto"/>
              <w:bottom w:val="single" w:sz="4" w:space="0" w:color="auto"/>
              <w:right w:val="single" w:sz="4" w:space="0" w:color="auto"/>
            </w:tcBorders>
            <w:vAlign w:val="center"/>
          </w:tcPr>
          <w:p w14:paraId="6B740CEE" w14:textId="77777777" w:rsidR="003A71DE" w:rsidRPr="00EA3B97" w:rsidRDefault="003A71DE" w:rsidP="003A71DE">
            <w:pPr>
              <w:keepNext/>
              <w:keepLines/>
              <w:spacing w:after="0"/>
              <w:rPr>
                <w:rFonts w:ascii="Arial" w:eastAsiaTheme="minorEastAsia" w:hAnsi="Arial" w:cs="Arial"/>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5E20FE6B" w14:textId="77777777" w:rsidR="003A71DE" w:rsidRPr="00EA3B97" w:rsidRDefault="003A71DE" w:rsidP="003A71DE">
            <w:pPr>
              <w:keepNext/>
              <w:keepLines/>
              <w:spacing w:after="0"/>
              <w:rPr>
                <w:rFonts w:ascii="Arial" w:eastAsiaTheme="minorEastAsia" w:hAnsi="Arial" w:cs="Arial"/>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32CD47BB" w14:textId="77777777" w:rsidR="003A71DE" w:rsidRPr="00EA3B97" w:rsidRDefault="003A71DE" w:rsidP="003A71DE">
            <w:pPr>
              <w:keepNext/>
              <w:keepLines/>
              <w:spacing w:after="0"/>
              <w:rPr>
                <w:rFonts w:ascii="Arial" w:eastAsiaTheme="minorEastAsia" w:hAnsi="Arial" w:cs="Arial"/>
                <w:sz w:val="18"/>
                <w:lang w:eastAsia="ja-JP"/>
              </w:rPr>
            </w:pPr>
          </w:p>
        </w:tc>
        <w:tc>
          <w:tcPr>
            <w:tcW w:w="1842" w:type="dxa"/>
            <w:tcBorders>
              <w:top w:val="single" w:sz="4" w:space="0" w:color="auto"/>
              <w:left w:val="single" w:sz="4" w:space="0" w:color="auto"/>
              <w:bottom w:val="single" w:sz="4" w:space="0" w:color="auto"/>
              <w:right w:val="single" w:sz="4" w:space="0" w:color="auto"/>
            </w:tcBorders>
            <w:vAlign w:val="center"/>
          </w:tcPr>
          <w:p w14:paraId="0845AA40" w14:textId="77777777" w:rsidR="003A71DE" w:rsidRPr="00EA3B97" w:rsidRDefault="003A71DE" w:rsidP="003A71DE">
            <w:pPr>
              <w:keepNext/>
              <w:keepLines/>
              <w:spacing w:after="0"/>
              <w:rPr>
                <w:rFonts w:ascii="Arial" w:eastAsiaTheme="minorEastAsia" w:hAnsi="Arial" w:cs="Arial"/>
                <w:sz w:val="18"/>
                <w:lang w:eastAsia="ja-JP"/>
              </w:rPr>
            </w:pPr>
          </w:p>
        </w:tc>
      </w:tr>
      <w:tr w:rsidR="003A71DE" w:rsidRPr="00EA3B97" w14:paraId="202E3DED" w14:textId="77777777" w:rsidTr="003A71DE">
        <w:trPr>
          <w:trHeight w:val="33"/>
          <w:jc w:val="center"/>
        </w:trPr>
        <w:tc>
          <w:tcPr>
            <w:tcW w:w="2689" w:type="dxa"/>
            <w:tcBorders>
              <w:top w:val="single" w:sz="4" w:space="0" w:color="auto"/>
              <w:left w:val="single" w:sz="4" w:space="0" w:color="auto"/>
              <w:bottom w:val="nil"/>
              <w:right w:val="single" w:sz="4" w:space="0" w:color="auto"/>
            </w:tcBorders>
            <w:hideMark/>
          </w:tcPr>
          <w:p w14:paraId="0768EB1B" w14:textId="77777777" w:rsidR="003A71DE" w:rsidRPr="00EA3B97" w:rsidRDefault="003A71DE" w:rsidP="001A5D47">
            <w:pPr>
              <w:pStyle w:val="TAL"/>
              <w:rPr>
                <w:rFonts w:eastAsiaTheme="minorEastAsia"/>
              </w:rPr>
            </w:pPr>
          </w:p>
        </w:tc>
        <w:tc>
          <w:tcPr>
            <w:tcW w:w="1701" w:type="dxa"/>
            <w:tcBorders>
              <w:top w:val="single" w:sz="4" w:space="0" w:color="auto"/>
              <w:left w:val="single" w:sz="4" w:space="0" w:color="auto"/>
              <w:bottom w:val="nil"/>
              <w:right w:val="single" w:sz="4" w:space="0" w:color="auto"/>
            </w:tcBorders>
            <w:hideMark/>
          </w:tcPr>
          <w:p w14:paraId="5F101032" w14:textId="77777777" w:rsidR="003A71DE" w:rsidRPr="00EA3B97" w:rsidRDefault="003A71DE" w:rsidP="001A5D47">
            <w:pPr>
              <w:pStyle w:val="TAL"/>
              <w:rPr>
                <w:rFonts w:eastAsiaTheme="minorEastAsia"/>
                <w:lang w:eastAsia="ja-JP"/>
              </w:rPr>
            </w:pPr>
          </w:p>
        </w:tc>
        <w:tc>
          <w:tcPr>
            <w:tcW w:w="1559" w:type="dxa"/>
            <w:tcBorders>
              <w:top w:val="single" w:sz="4" w:space="0" w:color="auto"/>
              <w:left w:val="single" w:sz="4" w:space="0" w:color="auto"/>
              <w:bottom w:val="nil"/>
              <w:right w:val="single" w:sz="4" w:space="0" w:color="auto"/>
            </w:tcBorders>
            <w:vAlign w:val="center"/>
            <w:hideMark/>
          </w:tcPr>
          <w:p w14:paraId="064A408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#0</w:t>
            </w:r>
          </w:p>
        </w:tc>
        <w:tc>
          <w:tcPr>
            <w:tcW w:w="1559" w:type="dxa"/>
            <w:tcBorders>
              <w:top w:val="single" w:sz="4" w:space="0" w:color="auto"/>
              <w:left w:val="single" w:sz="4" w:space="0" w:color="auto"/>
              <w:bottom w:val="nil"/>
              <w:right w:val="single" w:sz="4" w:space="0" w:color="auto"/>
            </w:tcBorders>
            <w:vAlign w:val="center"/>
            <w:hideMark/>
          </w:tcPr>
          <w:p w14:paraId="699975B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20 for resource #0</w:t>
            </w:r>
          </w:p>
        </w:tc>
        <w:tc>
          <w:tcPr>
            <w:tcW w:w="1842" w:type="dxa"/>
            <w:tcBorders>
              <w:top w:val="single" w:sz="4" w:space="0" w:color="auto"/>
              <w:left w:val="single" w:sz="4" w:space="0" w:color="auto"/>
              <w:bottom w:val="single" w:sz="4" w:space="0" w:color="auto"/>
              <w:right w:val="single" w:sz="4" w:space="0" w:color="auto"/>
            </w:tcBorders>
            <w:hideMark/>
          </w:tcPr>
          <w:p w14:paraId="3F46F4E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r>
      <w:tr w:rsidR="003A71DE" w:rsidRPr="00EA3B97" w14:paraId="07A1A4A1"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290A782D" w14:textId="77777777" w:rsidR="003A71DE" w:rsidRPr="00EA3B97" w:rsidRDefault="003A71DE" w:rsidP="001A5D47">
            <w:pPr>
              <w:pStyle w:val="TAL"/>
              <w:rPr>
                <w:rFonts w:eastAsiaTheme="minorEastAsia"/>
              </w:rPr>
            </w:pPr>
          </w:p>
        </w:tc>
        <w:tc>
          <w:tcPr>
            <w:tcW w:w="1701" w:type="dxa"/>
            <w:tcBorders>
              <w:top w:val="nil"/>
              <w:left w:val="single" w:sz="4" w:space="0" w:color="auto"/>
              <w:bottom w:val="nil"/>
              <w:right w:val="single" w:sz="4" w:space="0" w:color="auto"/>
            </w:tcBorders>
            <w:hideMark/>
          </w:tcPr>
          <w:p w14:paraId="11B13057"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vAlign w:val="center"/>
            <w:hideMark/>
          </w:tcPr>
          <w:p w14:paraId="559832DA"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4AE3A658"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1A714CF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 for resource #1</w:t>
            </w:r>
          </w:p>
        </w:tc>
      </w:tr>
      <w:tr w:rsidR="003A71DE" w:rsidRPr="00EA3B97" w14:paraId="09F4508A"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5F355741" w14:textId="77777777" w:rsidR="003A71DE" w:rsidRPr="00EA3B97" w:rsidRDefault="003A71DE" w:rsidP="001A5D47">
            <w:pPr>
              <w:pStyle w:val="TAL"/>
              <w:rPr>
                <w:rFonts w:eastAsiaTheme="minorEastAsia"/>
              </w:rPr>
            </w:pPr>
          </w:p>
        </w:tc>
        <w:tc>
          <w:tcPr>
            <w:tcW w:w="1701" w:type="dxa"/>
            <w:tcBorders>
              <w:top w:val="nil"/>
              <w:left w:val="single" w:sz="4" w:space="0" w:color="auto"/>
              <w:bottom w:val="nil"/>
              <w:right w:val="single" w:sz="4" w:space="0" w:color="auto"/>
            </w:tcBorders>
            <w:hideMark/>
          </w:tcPr>
          <w:p w14:paraId="1C613D3F"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vAlign w:val="center"/>
            <w:hideMark/>
          </w:tcPr>
          <w:p w14:paraId="59774B30"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508C5E35"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3406F51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 for resource #2</w:t>
            </w:r>
          </w:p>
        </w:tc>
      </w:tr>
      <w:tr w:rsidR="003A71DE" w:rsidRPr="00EA3B97" w14:paraId="34737981"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7CC27CEB" w14:textId="77777777" w:rsidR="003A71DE" w:rsidRPr="00EA3B97" w:rsidRDefault="003A71DE" w:rsidP="001A5D47">
            <w:pPr>
              <w:pStyle w:val="TAL"/>
              <w:rPr>
                <w:rFonts w:eastAsiaTheme="minorEastAsia"/>
              </w:rPr>
            </w:pPr>
          </w:p>
        </w:tc>
        <w:tc>
          <w:tcPr>
            <w:tcW w:w="1701" w:type="dxa"/>
            <w:tcBorders>
              <w:top w:val="nil"/>
              <w:left w:val="single" w:sz="4" w:space="0" w:color="auto"/>
              <w:bottom w:val="nil"/>
              <w:right w:val="single" w:sz="4" w:space="0" w:color="auto"/>
            </w:tcBorders>
            <w:hideMark/>
          </w:tcPr>
          <w:p w14:paraId="4C3F4BD1"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single" w:sz="4" w:space="0" w:color="auto"/>
              <w:right w:val="single" w:sz="4" w:space="0" w:color="auto"/>
            </w:tcBorders>
            <w:vAlign w:val="center"/>
            <w:hideMark/>
          </w:tcPr>
          <w:p w14:paraId="334C61ED"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14558223"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2F6E45A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 for resource #3</w:t>
            </w:r>
          </w:p>
        </w:tc>
      </w:tr>
      <w:tr w:rsidR="003A71DE" w:rsidRPr="00EA3B97" w14:paraId="4E35002C" w14:textId="77777777" w:rsidTr="003A71DE">
        <w:trPr>
          <w:trHeight w:val="33"/>
          <w:jc w:val="center"/>
        </w:trPr>
        <w:tc>
          <w:tcPr>
            <w:tcW w:w="2689" w:type="dxa"/>
            <w:tcBorders>
              <w:top w:val="nil"/>
              <w:left w:val="single" w:sz="4" w:space="0" w:color="auto"/>
              <w:bottom w:val="nil"/>
              <w:right w:val="single" w:sz="4" w:space="0" w:color="auto"/>
            </w:tcBorders>
            <w:hideMark/>
          </w:tcPr>
          <w:p w14:paraId="4D090F2C" w14:textId="77777777" w:rsidR="003A71DE" w:rsidRPr="00EA3B97" w:rsidRDefault="003A71DE" w:rsidP="001A5D47">
            <w:pPr>
              <w:pStyle w:val="TAL"/>
              <w:rPr>
                <w:rFonts w:eastAsiaTheme="minorEastAsia"/>
              </w:rPr>
            </w:pPr>
            <w:r w:rsidRPr="00EA3B97">
              <w:rPr>
                <w:rFonts w:eastAsiaTheme="minorEastAsia"/>
              </w:rPr>
              <w:t>nzp-CSI-RS-ResourceId</w:t>
            </w:r>
          </w:p>
        </w:tc>
        <w:tc>
          <w:tcPr>
            <w:tcW w:w="1701" w:type="dxa"/>
            <w:tcBorders>
              <w:top w:val="nil"/>
              <w:left w:val="single" w:sz="4" w:space="0" w:color="auto"/>
              <w:bottom w:val="nil"/>
              <w:right w:val="single" w:sz="4" w:space="0" w:color="auto"/>
            </w:tcBorders>
            <w:hideMark/>
          </w:tcPr>
          <w:p w14:paraId="6F97E57F" w14:textId="77777777" w:rsidR="003A71DE" w:rsidRPr="00EA3B97" w:rsidRDefault="003A71DE" w:rsidP="001A5D47">
            <w:pPr>
              <w:pStyle w:val="TAL"/>
              <w:rPr>
                <w:rFonts w:eastAsiaTheme="minorEastAsia"/>
                <w:lang w:eastAsia="ja-JP"/>
              </w:rPr>
            </w:pPr>
            <w:r w:rsidRPr="00EA3B97">
              <w:rPr>
                <w:rFonts w:eastAsiaTheme="minorEastAsia"/>
                <w:lang w:eastAsia="ja-JP"/>
              </w:rPr>
              <w:t>0 for resource #0</w:t>
            </w:r>
          </w:p>
        </w:tc>
        <w:tc>
          <w:tcPr>
            <w:tcW w:w="1559" w:type="dxa"/>
            <w:tcBorders>
              <w:top w:val="single" w:sz="4" w:space="0" w:color="auto"/>
              <w:left w:val="single" w:sz="4" w:space="0" w:color="auto"/>
              <w:bottom w:val="nil"/>
              <w:right w:val="single" w:sz="4" w:space="0" w:color="auto"/>
            </w:tcBorders>
            <w:vAlign w:val="center"/>
            <w:hideMark/>
          </w:tcPr>
          <w:p w14:paraId="314C232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11 for resource #1</w:t>
            </w:r>
          </w:p>
        </w:tc>
        <w:tc>
          <w:tcPr>
            <w:tcW w:w="1559" w:type="dxa"/>
            <w:tcBorders>
              <w:top w:val="single" w:sz="4" w:space="0" w:color="auto"/>
              <w:left w:val="single" w:sz="4" w:space="0" w:color="auto"/>
              <w:bottom w:val="nil"/>
              <w:right w:val="single" w:sz="4" w:space="0" w:color="auto"/>
            </w:tcBorders>
            <w:vAlign w:val="center"/>
            <w:hideMark/>
          </w:tcPr>
          <w:p w14:paraId="50EDB6A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21 for resource #1</w:t>
            </w:r>
          </w:p>
        </w:tc>
        <w:tc>
          <w:tcPr>
            <w:tcW w:w="1842" w:type="dxa"/>
            <w:tcBorders>
              <w:top w:val="single" w:sz="4" w:space="0" w:color="auto"/>
              <w:left w:val="single" w:sz="4" w:space="0" w:color="auto"/>
              <w:bottom w:val="single" w:sz="4" w:space="0" w:color="auto"/>
              <w:right w:val="single" w:sz="4" w:space="0" w:color="auto"/>
            </w:tcBorders>
            <w:hideMark/>
          </w:tcPr>
          <w:p w14:paraId="4A843D6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4 for resource #4</w:t>
            </w:r>
          </w:p>
        </w:tc>
      </w:tr>
      <w:tr w:rsidR="003A71DE" w:rsidRPr="00EA3B97" w14:paraId="7B9780B1"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62546AB4" w14:textId="77777777" w:rsidR="003A71DE" w:rsidRPr="00EA3B97" w:rsidRDefault="003A71DE" w:rsidP="001A5D47">
            <w:pPr>
              <w:pStyle w:val="TAL"/>
              <w:rPr>
                <w:rFonts w:eastAsiaTheme="minorEastAsia"/>
              </w:rPr>
            </w:pPr>
          </w:p>
        </w:tc>
        <w:tc>
          <w:tcPr>
            <w:tcW w:w="1701" w:type="dxa"/>
            <w:tcBorders>
              <w:top w:val="nil"/>
              <w:left w:val="single" w:sz="4" w:space="0" w:color="auto"/>
              <w:bottom w:val="nil"/>
              <w:right w:val="single" w:sz="4" w:space="0" w:color="auto"/>
            </w:tcBorders>
            <w:hideMark/>
          </w:tcPr>
          <w:p w14:paraId="5B8E699C"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vAlign w:val="center"/>
            <w:hideMark/>
          </w:tcPr>
          <w:p w14:paraId="017666EF"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36578976"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574134E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#5</w:t>
            </w:r>
          </w:p>
        </w:tc>
      </w:tr>
      <w:tr w:rsidR="003A71DE" w:rsidRPr="00EA3B97" w14:paraId="0CD5D1EA"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7E311363" w14:textId="77777777" w:rsidR="003A71DE" w:rsidRPr="00EA3B97" w:rsidRDefault="003A71DE" w:rsidP="001A5D47">
            <w:pPr>
              <w:pStyle w:val="TAL"/>
              <w:rPr>
                <w:rFonts w:eastAsiaTheme="minorEastAsia"/>
              </w:rPr>
            </w:pPr>
          </w:p>
        </w:tc>
        <w:tc>
          <w:tcPr>
            <w:tcW w:w="1701" w:type="dxa"/>
            <w:tcBorders>
              <w:top w:val="nil"/>
              <w:left w:val="single" w:sz="4" w:space="0" w:color="auto"/>
              <w:bottom w:val="nil"/>
              <w:right w:val="single" w:sz="4" w:space="0" w:color="auto"/>
            </w:tcBorders>
            <w:hideMark/>
          </w:tcPr>
          <w:p w14:paraId="3BC1BE5E"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vAlign w:val="center"/>
            <w:hideMark/>
          </w:tcPr>
          <w:p w14:paraId="12B0EA4D"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281950C2"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6E3BF29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#6</w:t>
            </w:r>
          </w:p>
        </w:tc>
      </w:tr>
      <w:tr w:rsidR="003A71DE" w:rsidRPr="00EA3B97" w14:paraId="29B40B7B" w14:textId="77777777" w:rsidTr="003A71DE">
        <w:trPr>
          <w:trHeight w:val="31"/>
          <w:jc w:val="center"/>
        </w:trPr>
        <w:tc>
          <w:tcPr>
            <w:tcW w:w="2689" w:type="dxa"/>
            <w:tcBorders>
              <w:top w:val="nil"/>
              <w:left w:val="single" w:sz="4" w:space="0" w:color="auto"/>
              <w:bottom w:val="single" w:sz="4" w:space="0" w:color="auto"/>
              <w:right w:val="single" w:sz="4" w:space="0" w:color="auto"/>
            </w:tcBorders>
            <w:vAlign w:val="center"/>
            <w:hideMark/>
          </w:tcPr>
          <w:p w14:paraId="01E2AFB0" w14:textId="77777777" w:rsidR="003A71DE" w:rsidRPr="00EA3B97" w:rsidRDefault="003A71DE" w:rsidP="001A5D47">
            <w:pPr>
              <w:pStyle w:val="TAL"/>
              <w:rPr>
                <w:rFonts w:eastAsiaTheme="minorEastAsia"/>
              </w:rPr>
            </w:pPr>
          </w:p>
        </w:tc>
        <w:tc>
          <w:tcPr>
            <w:tcW w:w="1701" w:type="dxa"/>
            <w:tcBorders>
              <w:top w:val="nil"/>
              <w:left w:val="single" w:sz="4" w:space="0" w:color="auto"/>
              <w:bottom w:val="single" w:sz="4" w:space="0" w:color="auto"/>
              <w:right w:val="single" w:sz="4" w:space="0" w:color="auto"/>
            </w:tcBorders>
            <w:hideMark/>
          </w:tcPr>
          <w:p w14:paraId="707AB6D2"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single" w:sz="4" w:space="0" w:color="auto"/>
              <w:right w:val="single" w:sz="4" w:space="0" w:color="auto"/>
            </w:tcBorders>
            <w:vAlign w:val="center"/>
            <w:hideMark/>
          </w:tcPr>
          <w:p w14:paraId="2EC485DC"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44502529"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51AE605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7 for resource #7</w:t>
            </w:r>
          </w:p>
        </w:tc>
      </w:tr>
      <w:tr w:rsidR="003A71DE" w:rsidRPr="00EA3B97" w14:paraId="31BF9CB0"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7B2947E5" w14:textId="77777777" w:rsidR="003A71DE" w:rsidRPr="00EA3B97" w:rsidRDefault="003A71DE" w:rsidP="001A5D47">
            <w:pPr>
              <w:pStyle w:val="TAL"/>
              <w:rPr>
                <w:rFonts w:eastAsiaTheme="minorEastAsia" w:cs="Arial"/>
                <w:i/>
                <w:lang w:eastAsia="ja-JP"/>
              </w:rPr>
            </w:pPr>
            <w:r w:rsidRPr="00EA3B97">
              <w:rPr>
                <w:rFonts w:eastAsiaTheme="minorEastAsia"/>
              </w:rPr>
              <w:t>powerControlOffset</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9B810B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565B49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9CEC22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BFC1BB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74014493"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1EEACCAE" w14:textId="77777777" w:rsidR="003A71DE" w:rsidRPr="00EA3B97" w:rsidRDefault="003A71DE" w:rsidP="001A5D47">
            <w:pPr>
              <w:pStyle w:val="TAL"/>
              <w:rPr>
                <w:rFonts w:eastAsiaTheme="minorEastAsia" w:cs="Arial"/>
                <w:i/>
                <w:lang w:eastAsia="ja-JP"/>
              </w:rPr>
            </w:pPr>
            <w:r w:rsidRPr="00EA3B97">
              <w:rPr>
                <w:rFonts w:eastAsiaTheme="minorEastAsia"/>
              </w:rPr>
              <w:t>powerControlOffsetSS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0BAE04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C3B4FC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A6F3C8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873228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r>
      <w:tr w:rsidR="003A71DE" w:rsidRPr="00EA3B97" w14:paraId="12DF9F4F"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6FB0B502" w14:textId="77777777" w:rsidR="003A71DE" w:rsidRPr="00EA3B97" w:rsidRDefault="003A71DE" w:rsidP="001A5D47">
            <w:pPr>
              <w:pStyle w:val="TAL"/>
              <w:rPr>
                <w:rFonts w:eastAsiaTheme="minorEastAsia" w:cs="Arial"/>
                <w:i/>
                <w:lang w:eastAsia="ja-JP"/>
              </w:rPr>
            </w:pPr>
            <w:r w:rsidRPr="00EA3B97">
              <w:rPr>
                <w:rFonts w:eastAsiaTheme="minorEastAsia"/>
              </w:rPr>
              <w:t>scramblingID</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91D066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98CC22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800B58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E4186D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48E3F364" w14:textId="77777777" w:rsidTr="003A71DE">
        <w:trPr>
          <w:trHeight w:val="271"/>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27EF5711" w14:textId="77777777" w:rsidR="003A71DE" w:rsidRPr="00EA3B97" w:rsidRDefault="003A71DE" w:rsidP="001A5D47">
            <w:pPr>
              <w:pStyle w:val="TAL"/>
              <w:rPr>
                <w:rFonts w:eastAsiaTheme="minorEastAsia" w:cs="Arial"/>
                <w:i/>
                <w:lang w:eastAsia="ja-JP"/>
              </w:rPr>
            </w:pPr>
            <w:r w:rsidRPr="00EA3B97">
              <w:rPr>
                <w:rFonts w:eastAsiaTheme="minorEastAsia"/>
              </w:rPr>
              <w:t>Period (slots)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3EBF7F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slot5</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E93F7C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slot10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D95403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1CE782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0AE2802B" w14:textId="77777777" w:rsidTr="003A71DE">
        <w:trPr>
          <w:trHeight w:val="126"/>
          <w:jc w:val="center"/>
        </w:trPr>
        <w:tc>
          <w:tcPr>
            <w:tcW w:w="2689" w:type="dxa"/>
            <w:tcBorders>
              <w:top w:val="single" w:sz="4" w:space="0" w:color="auto"/>
              <w:left w:val="single" w:sz="4" w:space="0" w:color="auto"/>
              <w:bottom w:val="nil"/>
              <w:right w:val="single" w:sz="4" w:space="0" w:color="auto"/>
            </w:tcBorders>
            <w:vAlign w:val="center"/>
            <w:hideMark/>
          </w:tcPr>
          <w:p w14:paraId="6BFD15E6" w14:textId="77777777" w:rsidR="003A71DE" w:rsidRPr="00EA3B97" w:rsidRDefault="003A71DE" w:rsidP="001A5D47">
            <w:pPr>
              <w:pStyle w:val="TAL"/>
              <w:rPr>
                <w:rFonts w:eastAsiaTheme="minorEastAsia" w:cs="Arial"/>
                <w:i/>
                <w:lang w:eastAsia="ja-JP"/>
              </w:rPr>
            </w:pPr>
            <w:r w:rsidRPr="00EA3B97">
              <w:rPr>
                <w:rFonts w:eastAsiaTheme="minorEastAsia"/>
              </w:rPr>
              <w:t>qcl-InfoPeriodicCSI-RS</w:t>
            </w:r>
          </w:p>
        </w:tc>
        <w:tc>
          <w:tcPr>
            <w:tcW w:w="1701" w:type="dxa"/>
            <w:tcBorders>
              <w:top w:val="single" w:sz="4" w:space="0" w:color="auto"/>
              <w:left w:val="single" w:sz="4" w:space="0" w:color="auto"/>
              <w:bottom w:val="nil"/>
              <w:right w:val="single" w:sz="4" w:space="0" w:color="auto"/>
            </w:tcBorders>
            <w:vAlign w:val="center"/>
            <w:hideMark/>
          </w:tcPr>
          <w:p w14:paraId="673DF8D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F80135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TCI.State.0</w:t>
            </w:r>
          </w:p>
        </w:tc>
        <w:tc>
          <w:tcPr>
            <w:tcW w:w="1559" w:type="dxa"/>
            <w:tcBorders>
              <w:top w:val="single" w:sz="4" w:space="0" w:color="auto"/>
              <w:left w:val="single" w:sz="4" w:space="0" w:color="auto"/>
              <w:bottom w:val="nil"/>
              <w:right w:val="single" w:sz="4" w:space="0" w:color="auto"/>
            </w:tcBorders>
            <w:vAlign w:val="center"/>
            <w:hideMark/>
          </w:tcPr>
          <w:p w14:paraId="7F71E1A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nil"/>
              <w:right w:val="single" w:sz="4" w:space="0" w:color="auto"/>
            </w:tcBorders>
            <w:vAlign w:val="center"/>
            <w:hideMark/>
          </w:tcPr>
          <w:p w14:paraId="4EEA3AE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6B4A086B" w14:textId="77777777" w:rsidTr="003A71DE">
        <w:trPr>
          <w:trHeight w:val="126"/>
          <w:jc w:val="center"/>
        </w:trPr>
        <w:tc>
          <w:tcPr>
            <w:tcW w:w="2689" w:type="dxa"/>
            <w:tcBorders>
              <w:top w:val="nil"/>
              <w:left w:val="single" w:sz="4" w:space="0" w:color="auto"/>
              <w:bottom w:val="single" w:sz="4" w:space="0" w:color="auto"/>
              <w:right w:val="single" w:sz="4" w:space="0" w:color="auto"/>
            </w:tcBorders>
            <w:vAlign w:val="center"/>
            <w:hideMark/>
          </w:tcPr>
          <w:p w14:paraId="2E5BB9B4"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single" w:sz="4" w:space="0" w:color="auto"/>
              <w:right w:val="single" w:sz="4" w:space="0" w:color="auto"/>
            </w:tcBorders>
            <w:vAlign w:val="center"/>
            <w:hideMark/>
          </w:tcPr>
          <w:p w14:paraId="0FEFFE31"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04F7627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TCI.State.1</w:t>
            </w:r>
          </w:p>
        </w:tc>
        <w:tc>
          <w:tcPr>
            <w:tcW w:w="1559" w:type="dxa"/>
            <w:tcBorders>
              <w:top w:val="nil"/>
              <w:left w:val="single" w:sz="4" w:space="0" w:color="auto"/>
              <w:bottom w:val="single" w:sz="4" w:space="0" w:color="auto"/>
              <w:right w:val="single" w:sz="4" w:space="0" w:color="auto"/>
            </w:tcBorders>
            <w:vAlign w:val="center"/>
            <w:hideMark/>
          </w:tcPr>
          <w:p w14:paraId="218824DA" w14:textId="77777777" w:rsidR="003A71DE" w:rsidRPr="00EA3B97" w:rsidRDefault="003A71DE" w:rsidP="001A5D47">
            <w:pPr>
              <w:pStyle w:val="TAL"/>
              <w:rPr>
                <w:rFonts w:eastAsiaTheme="minorEastAsia" w:cs="Arial"/>
                <w:lang w:eastAsia="ja-JP"/>
              </w:rPr>
            </w:pPr>
          </w:p>
        </w:tc>
        <w:tc>
          <w:tcPr>
            <w:tcW w:w="1842" w:type="dxa"/>
            <w:tcBorders>
              <w:top w:val="nil"/>
              <w:left w:val="single" w:sz="4" w:space="0" w:color="auto"/>
              <w:bottom w:val="single" w:sz="4" w:space="0" w:color="auto"/>
              <w:right w:val="single" w:sz="4" w:space="0" w:color="auto"/>
            </w:tcBorders>
            <w:vAlign w:val="center"/>
            <w:hideMark/>
          </w:tcPr>
          <w:p w14:paraId="7EFA8194" w14:textId="77777777" w:rsidR="003A71DE" w:rsidRPr="00EA3B97" w:rsidRDefault="003A71DE" w:rsidP="001A5D47">
            <w:pPr>
              <w:pStyle w:val="TAL"/>
              <w:rPr>
                <w:rFonts w:eastAsiaTheme="minorEastAsia" w:cs="Arial"/>
                <w:lang w:eastAsia="ja-JP"/>
              </w:rPr>
            </w:pPr>
          </w:p>
        </w:tc>
      </w:tr>
      <w:tr w:rsidR="003A71DE" w:rsidRPr="00EA3B97" w14:paraId="18180F5D"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1231E23E" w14:textId="77777777" w:rsidR="003A71DE" w:rsidRPr="00EA3B97" w:rsidRDefault="003A71DE" w:rsidP="001A5D47">
            <w:pPr>
              <w:pStyle w:val="TAL"/>
              <w:rPr>
                <w:rFonts w:eastAsiaTheme="minorEastAsia" w:cs="Arial"/>
                <w:i/>
                <w:lang w:eastAsia="ja-JP"/>
              </w:rPr>
            </w:pPr>
            <w:r w:rsidRPr="00EA3B97">
              <w:rPr>
                <w:rFonts w:eastAsiaTheme="minorEastAsia"/>
              </w:rPr>
              <w:t>frequencyDomainAllocation</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EC11142"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FBFD54F"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D672AB7"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9DE816D"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r>
      <w:tr w:rsidR="003A71DE" w:rsidRPr="00EA3B97" w14:paraId="06A08536"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6E121150" w14:textId="77777777" w:rsidR="003A71DE" w:rsidRPr="00EA3B97" w:rsidRDefault="003A71DE" w:rsidP="001A5D47">
            <w:pPr>
              <w:pStyle w:val="TAL"/>
              <w:rPr>
                <w:rFonts w:eastAsiaTheme="minorEastAsia" w:cs="Arial"/>
                <w:i/>
                <w:lang w:eastAsia="ja-JP"/>
              </w:rPr>
            </w:pPr>
            <w:r w:rsidRPr="00EA3B97">
              <w:rPr>
                <w:rFonts w:eastAsiaTheme="minorEastAsia"/>
              </w:rPr>
              <w:t>nrofPorts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62F228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94D31B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178558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075EA0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r>
      <w:tr w:rsidR="003A71DE" w:rsidRPr="00EA3B97" w14:paraId="481AA6EE" w14:textId="77777777" w:rsidTr="003A71DE">
        <w:trPr>
          <w:trHeight w:val="33"/>
          <w:jc w:val="center"/>
        </w:trPr>
        <w:tc>
          <w:tcPr>
            <w:tcW w:w="2689" w:type="dxa"/>
            <w:tcBorders>
              <w:top w:val="single" w:sz="4" w:space="0" w:color="auto"/>
              <w:left w:val="single" w:sz="4" w:space="0" w:color="auto"/>
              <w:bottom w:val="nil"/>
              <w:right w:val="single" w:sz="4" w:space="0" w:color="auto"/>
            </w:tcBorders>
          </w:tcPr>
          <w:p w14:paraId="57231A98" w14:textId="77777777" w:rsidR="003A71DE" w:rsidRPr="00EA3B97" w:rsidRDefault="003A71DE" w:rsidP="001A5D47">
            <w:pPr>
              <w:pStyle w:val="TAL"/>
              <w:rPr>
                <w:rFonts w:eastAsiaTheme="minorEastAsia" w:cs="Arial"/>
                <w:i/>
                <w:lang w:eastAsia="ja-JP"/>
              </w:rPr>
            </w:pPr>
          </w:p>
        </w:tc>
        <w:tc>
          <w:tcPr>
            <w:tcW w:w="1701" w:type="dxa"/>
            <w:tcBorders>
              <w:top w:val="single" w:sz="4" w:space="0" w:color="auto"/>
              <w:left w:val="single" w:sz="4" w:space="0" w:color="auto"/>
              <w:bottom w:val="nil"/>
              <w:right w:val="single" w:sz="4" w:space="0" w:color="auto"/>
            </w:tcBorders>
          </w:tcPr>
          <w:p w14:paraId="78C018F9"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nil"/>
              <w:right w:val="single" w:sz="4" w:space="0" w:color="auto"/>
            </w:tcBorders>
            <w:hideMark/>
          </w:tcPr>
          <w:p w14:paraId="7C8B0DE7" w14:textId="77777777" w:rsidR="003A71DE" w:rsidRPr="00EA3B97" w:rsidRDefault="003A71DE" w:rsidP="001A5D47">
            <w:pPr>
              <w:pStyle w:val="TAL"/>
              <w:rPr>
                <w:rFonts w:eastAsiaTheme="minorEastAsia" w:cs="Arial"/>
                <w:lang w:val="en-US" w:eastAsia="ja-JP"/>
              </w:rPr>
            </w:pPr>
            <w:r w:rsidRPr="00EA3B97">
              <w:rPr>
                <w:rFonts w:eastAsiaTheme="minorEastAsia" w:cs="Arial"/>
                <w:lang w:eastAsia="ja-JP"/>
              </w:rPr>
              <w:t>6 for resource #0</w:t>
            </w:r>
          </w:p>
        </w:tc>
        <w:tc>
          <w:tcPr>
            <w:tcW w:w="1559" w:type="dxa"/>
            <w:tcBorders>
              <w:top w:val="single" w:sz="4" w:space="0" w:color="auto"/>
              <w:left w:val="single" w:sz="4" w:space="0" w:color="auto"/>
              <w:bottom w:val="nil"/>
              <w:right w:val="single" w:sz="4" w:space="0" w:color="auto"/>
            </w:tcBorders>
            <w:hideMark/>
          </w:tcPr>
          <w:p w14:paraId="7DA1441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#0</w:t>
            </w:r>
          </w:p>
        </w:tc>
        <w:tc>
          <w:tcPr>
            <w:tcW w:w="1842" w:type="dxa"/>
            <w:tcBorders>
              <w:top w:val="single" w:sz="4" w:space="0" w:color="auto"/>
              <w:left w:val="single" w:sz="4" w:space="0" w:color="auto"/>
              <w:bottom w:val="single" w:sz="4" w:space="0" w:color="auto"/>
              <w:right w:val="single" w:sz="4" w:space="0" w:color="auto"/>
            </w:tcBorders>
            <w:hideMark/>
          </w:tcPr>
          <w:p w14:paraId="2EBDF2D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r>
      <w:tr w:rsidR="003A71DE" w:rsidRPr="00EA3B97" w14:paraId="36C70339"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4182DD77"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nil"/>
              <w:right w:val="single" w:sz="4" w:space="0" w:color="auto"/>
            </w:tcBorders>
            <w:vAlign w:val="center"/>
            <w:hideMark/>
          </w:tcPr>
          <w:p w14:paraId="5476F260"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723D2609" w14:textId="77777777" w:rsidR="003A71DE" w:rsidRPr="00EA3B97" w:rsidRDefault="003A71DE" w:rsidP="001A5D47">
            <w:pPr>
              <w:pStyle w:val="TAL"/>
              <w:rPr>
                <w:rFonts w:eastAsiaTheme="minorEastAsia" w:cs="Arial"/>
                <w:lang w:val="en-US" w:eastAsia="ja-JP"/>
              </w:rPr>
            </w:pPr>
          </w:p>
        </w:tc>
        <w:tc>
          <w:tcPr>
            <w:tcW w:w="1559" w:type="dxa"/>
            <w:tcBorders>
              <w:top w:val="nil"/>
              <w:left w:val="single" w:sz="4" w:space="0" w:color="auto"/>
              <w:bottom w:val="nil"/>
              <w:right w:val="single" w:sz="4" w:space="0" w:color="auto"/>
            </w:tcBorders>
            <w:vAlign w:val="center"/>
            <w:hideMark/>
          </w:tcPr>
          <w:p w14:paraId="2EE92D51"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427C549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 for resource #1</w:t>
            </w:r>
          </w:p>
        </w:tc>
      </w:tr>
      <w:tr w:rsidR="003A71DE" w:rsidRPr="00EA3B97" w14:paraId="3F6960AD"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0BD362AC"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nil"/>
              <w:right w:val="single" w:sz="4" w:space="0" w:color="auto"/>
            </w:tcBorders>
            <w:vAlign w:val="center"/>
            <w:hideMark/>
          </w:tcPr>
          <w:p w14:paraId="477D2678"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27399619" w14:textId="77777777" w:rsidR="003A71DE" w:rsidRPr="00EA3B97" w:rsidRDefault="003A71DE" w:rsidP="001A5D47">
            <w:pPr>
              <w:pStyle w:val="TAL"/>
              <w:rPr>
                <w:rFonts w:eastAsiaTheme="minorEastAsia" w:cs="Arial"/>
                <w:lang w:val="en-US" w:eastAsia="ja-JP"/>
              </w:rPr>
            </w:pPr>
          </w:p>
        </w:tc>
        <w:tc>
          <w:tcPr>
            <w:tcW w:w="1559" w:type="dxa"/>
            <w:tcBorders>
              <w:top w:val="nil"/>
              <w:left w:val="single" w:sz="4" w:space="0" w:color="auto"/>
              <w:bottom w:val="nil"/>
              <w:right w:val="single" w:sz="4" w:space="0" w:color="auto"/>
            </w:tcBorders>
            <w:vAlign w:val="center"/>
            <w:hideMark/>
          </w:tcPr>
          <w:p w14:paraId="67400204"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1D9A317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 for resource #2</w:t>
            </w:r>
          </w:p>
        </w:tc>
      </w:tr>
      <w:tr w:rsidR="003A71DE" w:rsidRPr="00EA3B97" w14:paraId="5DC44724"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48AEA5A3"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nil"/>
              <w:right w:val="single" w:sz="4" w:space="0" w:color="auto"/>
            </w:tcBorders>
            <w:vAlign w:val="center"/>
            <w:hideMark/>
          </w:tcPr>
          <w:p w14:paraId="6F15416B"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1D7B9298" w14:textId="77777777" w:rsidR="003A71DE" w:rsidRPr="00EA3B97" w:rsidRDefault="003A71DE" w:rsidP="001A5D47">
            <w:pPr>
              <w:pStyle w:val="TAL"/>
              <w:rPr>
                <w:rFonts w:eastAsiaTheme="minorEastAsia" w:cs="Arial"/>
                <w:lang w:val="en-US" w:eastAsia="ja-JP"/>
              </w:rPr>
            </w:pPr>
          </w:p>
        </w:tc>
        <w:tc>
          <w:tcPr>
            <w:tcW w:w="1559" w:type="dxa"/>
            <w:tcBorders>
              <w:top w:val="nil"/>
              <w:left w:val="single" w:sz="4" w:space="0" w:color="auto"/>
              <w:bottom w:val="single" w:sz="4" w:space="0" w:color="auto"/>
              <w:right w:val="single" w:sz="4" w:space="0" w:color="auto"/>
            </w:tcBorders>
            <w:vAlign w:val="center"/>
            <w:hideMark/>
          </w:tcPr>
          <w:p w14:paraId="28B39A47"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0D324D1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 for resource #3</w:t>
            </w:r>
          </w:p>
        </w:tc>
      </w:tr>
      <w:tr w:rsidR="003A71DE" w:rsidRPr="00EA3B97" w14:paraId="174BEE26" w14:textId="77777777" w:rsidTr="003A71DE">
        <w:trPr>
          <w:trHeight w:val="33"/>
          <w:jc w:val="center"/>
        </w:trPr>
        <w:tc>
          <w:tcPr>
            <w:tcW w:w="2689" w:type="dxa"/>
            <w:tcBorders>
              <w:top w:val="nil"/>
              <w:left w:val="single" w:sz="4" w:space="0" w:color="auto"/>
              <w:bottom w:val="nil"/>
              <w:right w:val="single" w:sz="4" w:space="0" w:color="auto"/>
            </w:tcBorders>
            <w:hideMark/>
          </w:tcPr>
          <w:p w14:paraId="4DEA1D79" w14:textId="77777777" w:rsidR="003A71DE" w:rsidRPr="00EA3B97" w:rsidRDefault="003A71DE" w:rsidP="001A5D47">
            <w:pPr>
              <w:pStyle w:val="TAL"/>
              <w:rPr>
                <w:rFonts w:eastAsiaTheme="minorEastAsia" w:cs="Arial"/>
                <w:i/>
                <w:lang w:eastAsia="ja-JP"/>
              </w:rPr>
            </w:pPr>
            <w:r w:rsidRPr="00EA3B97">
              <w:rPr>
                <w:rFonts w:eastAsiaTheme="minorEastAsia"/>
              </w:rPr>
              <w:t>firstOFDMSymbolInTimeDomain</w:t>
            </w:r>
          </w:p>
        </w:tc>
        <w:tc>
          <w:tcPr>
            <w:tcW w:w="1701" w:type="dxa"/>
            <w:tcBorders>
              <w:top w:val="nil"/>
              <w:left w:val="single" w:sz="4" w:space="0" w:color="auto"/>
              <w:bottom w:val="nil"/>
              <w:right w:val="single" w:sz="4" w:space="0" w:color="auto"/>
            </w:tcBorders>
            <w:hideMark/>
          </w:tcPr>
          <w:p w14:paraId="29798C4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#0</w:t>
            </w:r>
          </w:p>
        </w:tc>
        <w:tc>
          <w:tcPr>
            <w:tcW w:w="1559" w:type="dxa"/>
            <w:tcBorders>
              <w:top w:val="single" w:sz="4" w:space="0" w:color="auto"/>
              <w:left w:val="single" w:sz="4" w:space="0" w:color="auto"/>
              <w:bottom w:val="nil"/>
              <w:right w:val="single" w:sz="4" w:space="0" w:color="auto"/>
            </w:tcBorders>
            <w:vAlign w:val="center"/>
            <w:hideMark/>
          </w:tcPr>
          <w:p w14:paraId="3707CAD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#1</w:t>
            </w:r>
          </w:p>
        </w:tc>
        <w:tc>
          <w:tcPr>
            <w:tcW w:w="1559" w:type="dxa"/>
            <w:tcBorders>
              <w:top w:val="single" w:sz="4" w:space="0" w:color="auto"/>
              <w:left w:val="single" w:sz="4" w:space="0" w:color="auto"/>
              <w:bottom w:val="nil"/>
              <w:right w:val="single" w:sz="4" w:space="0" w:color="auto"/>
            </w:tcBorders>
            <w:vAlign w:val="center"/>
            <w:hideMark/>
          </w:tcPr>
          <w:p w14:paraId="40FDCA1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#1</w:t>
            </w:r>
          </w:p>
        </w:tc>
        <w:tc>
          <w:tcPr>
            <w:tcW w:w="1842" w:type="dxa"/>
            <w:tcBorders>
              <w:top w:val="single" w:sz="4" w:space="0" w:color="auto"/>
              <w:left w:val="single" w:sz="4" w:space="0" w:color="auto"/>
              <w:bottom w:val="single" w:sz="4" w:space="0" w:color="auto"/>
              <w:right w:val="single" w:sz="4" w:space="0" w:color="auto"/>
            </w:tcBorders>
            <w:hideMark/>
          </w:tcPr>
          <w:p w14:paraId="633F87D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4 for resource #4</w:t>
            </w:r>
          </w:p>
        </w:tc>
      </w:tr>
      <w:tr w:rsidR="003A71DE" w:rsidRPr="00EA3B97" w14:paraId="35B72B46"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56FBD882"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nil"/>
              <w:right w:val="single" w:sz="4" w:space="0" w:color="auto"/>
            </w:tcBorders>
            <w:vAlign w:val="center"/>
            <w:hideMark/>
          </w:tcPr>
          <w:p w14:paraId="16ADCF9E"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25029274"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6EB92C80"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50ED2BD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#5</w:t>
            </w:r>
          </w:p>
        </w:tc>
      </w:tr>
      <w:tr w:rsidR="003A71DE" w:rsidRPr="00EA3B97" w14:paraId="37A6DC7A" w14:textId="77777777" w:rsidTr="003A71DE">
        <w:trPr>
          <w:trHeight w:val="31"/>
          <w:jc w:val="center"/>
        </w:trPr>
        <w:tc>
          <w:tcPr>
            <w:tcW w:w="2689" w:type="dxa"/>
            <w:tcBorders>
              <w:top w:val="nil"/>
              <w:left w:val="single" w:sz="4" w:space="0" w:color="auto"/>
              <w:bottom w:val="nil"/>
              <w:right w:val="single" w:sz="4" w:space="0" w:color="auto"/>
            </w:tcBorders>
            <w:vAlign w:val="center"/>
            <w:hideMark/>
          </w:tcPr>
          <w:p w14:paraId="4F03EC4D"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nil"/>
              <w:right w:val="single" w:sz="4" w:space="0" w:color="auto"/>
            </w:tcBorders>
            <w:vAlign w:val="center"/>
            <w:hideMark/>
          </w:tcPr>
          <w:p w14:paraId="648D37F0"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8A7D698"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79E047FA"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2C363BF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#6</w:t>
            </w:r>
          </w:p>
        </w:tc>
      </w:tr>
      <w:tr w:rsidR="003A71DE" w:rsidRPr="00EA3B97" w14:paraId="67F73B6F" w14:textId="77777777" w:rsidTr="003A71DE">
        <w:trPr>
          <w:trHeight w:val="31"/>
          <w:jc w:val="center"/>
        </w:trPr>
        <w:tc>
          <w:tcPr>
            <w:tcW w:w="2689" w:type="dxa"/>
            <w:tcBorders>
              <w:top w:val="nil"/>
              <w:left w:val="single" w:sz="4" w:space="0" w:color="auto"/>
              <w:bottom w:val="single" w:sz="4" w:space="0" w:color="auto"/>
              <w:right w:val="single" w:sz="4" w:space="0" w:color="auto"/>
            </w:tcBorders>
            <w:vAlign w:val="center"/>
            <w:hideMark/>
          </w:tcPr>
          <w:p w14:paraId="1765102F" w14:textId="77777777" w:rsidR="003A71DE" w:rsidRPr="00EA3B97" w:rsidRDefault="003A71DE" w:rsidP="001A5D47">
            <w:pPr>
              <w:pStyle w:val="TAL"/>
              <w:rPr>
                <w:rFonts w:eastAsiaTheme="minorEastAsia" w:cs="Arial"/>
                <w:i/>
                <w:lang w:eastAsia="ja-JP"/>
              </w:rPr>
            </w:pPr>
          </w:p>
        </w:tc>
        <w:tc>
          <w:tcPr>
            <w:tcW w:w="1701" w:type="dxa"/>
            <w:tcBorders>
              <w:top w:val="nil"/>
              <w:left w:val="single" w:sz="4" w:space="0" w:color="auto"/>
              <w:bottom w:val="single" w:sz="4" w:space="0" w:color="auto"/>
              <w:right w:val="single" w:sz="4" w:space="0" w:color="auto"/>
            </w:tcBorders>
            <w:vAlign w:val="center"/>
            <w:hideMark/>
          </w:tcPr>
          <w:p w14:paraId="1B2AA914"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4EA51B1D"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2F0DFFE1"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471E142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7 for resource #7</w:t>
            </w:r>
          </w:p>
        </w:tc>
      </w:tr>
      <w:tr w:rsidR="003A71DE" w:rsidRPr="00EA3B97" w14:paraId="0A20ADD9"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12AFFE6C" w14:textId="77777777" w:rsidR="003A71DE" w:rsidRPr="00EA3B97" w:rsidRDefault="003A71DE" w:rsidP="001A5D47">
            <w:pPr>
              <w:pStyle w:val="TAL"/>
              <w:rPr>
                <w:rFonts w:eastAsiaTheme="minorEastAsia" w:cs="Arial"/>
                <w:i/>
                <w:lang w:eastAsia="ja-JP"/>
              </w:rPr>
            </w:pPr>
            <w:r w:rsidRPr="00EA3B97">
              <w:rPr>
                <w:rFonts w:eastAsiaTheme="minorEastAsia"/>
              </w:rPr>
              <w:t>cdm-Type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4C03AB2" w14:textId="77777777" w:rsidR="003A71DE" w:rsidRPr="00EA3B97" w:rsidRDefault="003A71DE" w:rsidP="001A5D47">
            <w:pPr>
              <w:pStyle w:val="TAL"/>
              <w:rPr>
                <w:rFonts w:eastAsiaTheme="minorEastAsia" w:cs="Arial"/>
                <w:lang w:eastAsia="ja-JP"/>
              </w:rPr>
            </w:pPr>
            <w:r w:rsidRPr="00EA3B97">
              <w:rPr>
                <w:rFonts w:eastAsiaTheme="minorEastAsia"/>
                <w:szCs w:val="18"/>
              </w:rPr>
              <w:t>FD-CDM2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D9880C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E90278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B4967D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r>
      <w:tr w:rsidR="003A71DE" w:rsidRPr="00EA3B97" w14:paraId="3C4C30F6"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22BA070B" w14:textId="77777777" w:rsidR="003A71DE" w:rsidRPr="00EA3B97" w:rsidRDefault="003A71DE" w:rsidP="001A5D47">
            <w:pPr>
              <w:pStyle w:val="TAL"/>
              <w:rPr>
                <w:rFonts w:eastAsiaTheme="minorEastAsia" w:cs="Arial"/>
                <w:i/>
                <w:lang w:eastAsia="ja-JP"/>
              </w:rPr>
            </w:pPr>
            <w:r w:rsidRPr="00EA3B97">
              <w:rPr>
                <w:rFonts w:eastAsiaTheme="minorEastAsia"/>
              </w:rPr>
              <w:t>density</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5AD071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9F5CBE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59B5E5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c>
          <w:tcPr>
            <w:tcW w:w="1842" w:type="dxa"/>
            <w:tcBorders>
              <w:top w:val="single" w:sz="4" w:space="0" w:color="auto"/>
              <w:left w:val="single" w:sz="4" w:space="0" w:color="auto"/>
              <w:bottom w:val="single" w:sz="4" w:space="0" w:color="auto"/>
              <w:right w:val="single" w:sz="4" w:space="0" w:color="auto"/>
            </w:tcBorders>
            <w:vAlign w:val="center"/>
            <w:hideMark/>
          </w:tcPr>
          <w:p w14:paraId="047FF7A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r>
      <w:tr w:rsidR="003A71DE" w:rsidRPr="00EA3B97" w14:paraId="02EE7C4F"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51FF13CD" w14:textId="77777777" w:rsidR="003A71DE" w:rsidRPr="00EA3B97" w:rsidRDefault="003A71DE" w:rsidP="001A5D47">
            <w:pPr>
              <w:pStyle w:val="TAL"/>
              <w:rPr>
                <w:rFonts w:eastAsiaTheme="minorEastAsia" w:cs="Arial"/>
                <w:i/>
                <w:lang w:eastAsia="ja-JP"/>
              </w:rPr>
            </w:pPr>
            <w:r w:rsidRPr="00EA3B97">
              <w:rPr>
                <w:rFonts w:eastAsiaTheme="minorEastAsia"/>
              </w:rPr>
              <w:t>startingRB</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1A76F6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F6A54C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D44431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ECFBF6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006B8900" w14:textId="77777777" w:rsidTr="003A71DE">
        <w:trP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14:paraId="1223847F" w14:textId="77777777" w:rsidR="003A71DE" w:rsidRPr="00EA3B97" w:rsidRDefault="003A71DE" w:rsidP="001A5D47">
            <w:pPr>
              <w:pStyle w:val="TAL"/>
              <w:rPr>
                <w:rFonts w:eastAsiaTheme="minorEastAsia" w:cs="Arial"/>
                <w:i/>
                <w:lang w:eastAsia="ja-JP"/>
              </w:rPr>
            </w:pPr>
            <w:r w:rsidRPr="00EA3B97">
              <w:rPr>
                <w:rFonts w:eastAsiaTheme="minorEastAsia"/>
              </w:rPr>
              <w:t>nrofRBs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79EAC8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D4E280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A61DAE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71875C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r>
      <w:tr w:rsidR="003A71DE" w:rsidRPr="00EA3B97" w14:paraId="3DE51465" w14:textId="77777777" w:rsidTr="003A71DE">
        <w:trPr>
          <w:jc w:val="center"/>
        </w:trPr>
        <w:tc>
          <w:tcPr>
            <w:tcW w:w="9350" w:type="dxa"/>
            <w:gridSpan w:val="5"/>
            <w:tcBorders>
              <w:top w:val="single" w:sz="4" w:space="0" w:color="auto"/>
              <w:left w:val="single" w:sz="4" w:space="0" w:color="auto"/>
              <w:bottom w:val="single" w:sz="4" w:space="0" w:color="auto"/>
              <w:right w:val="single" w:sz="4" w:space="0" w:color="auto"/>
            </w:tcBorders>
            <w:vAlign w:val="center"/>
          </w:tcPr>
          <w:p w14:paraId="3873648C" w14:textId="77777777" w:rsidR="003A71DE" w:rsidRPr="00EA3B97" w:rsidRDefault="003A71DE" w:rsidP="003A71DE">
            <w:pPr>
              <w:keepNext/>
              <w:keepLines/>
              <w:spacing w:after="0"/>
              <w:ind w:left="851" w:hanging="851"/>
              <w:rPr>
                <w:rFonts w:ascii="Arial" w:eastAsiaTheme="minorEastAsia" w:hAnsi="Arial"/>
                <w:sz w:val="18"/>
                <w:lang w:eastAsia="ja-JP"/>
              </w:rPr>
            </w:pPr>
            <w:r w:rsidRPr="00EA3B97">
              <w:rPr>
                <w:rFonts w:ascii="Arial" w:eastAsiaTheme="minorEastAsia" w:hAnsi="Arial"/>
                <w:sz w:val="18"/>
                <w:lang w:eastAsia="ja-JP"/>
              </w:rPr>
              <w:t xml:space="preserve">Note </w:t>
            </w:r>
            <w:r w:rsidRPr="001A5D47">
              <w:rPr>
                <w:rFonts w:ascii="Arial" w:hAnsi="Arial"/>
                <w:sz w:val="18"/>
              </w:rPr>
              <w:t>1:</w:t>
            </w:r>
            <w:r w:rsidRPr="001A5D47">
              <w:rPr>
                <w:rFonts w:ascii="Arial" w:hAnsi="Arial"/>
                <w:sz w:val="18"/>
              </w:rPr>
              <w:tab/>
              <w:t>If the configured value of PRBs is larger than the width of the corresponding BWP relevant for the test case, t</w:t>
            </w:r>
            <w:r w:rsidRPr="00EA3B97">
              <w:rPr>
                <w:rFonts w:ascii="Arial" w:eastAsiaTheme="minorEastAsia" w:hAnsi="Arial"/>
                <w:sz w:val="18"/>
                <w:lang w:eastAsia="ja-JP"/>
              </w:rPr>
              <w:t>he Test Equipment shall implement CSI-RS only in the width of that BWP.</w:t>
            </w:r>
          </w:p>
        </w:tc>
      </w:tr>
    </w:tbl>
    <w:p w14:paraId="184C3B37" w14:textId="77777777" w:rsidR="003A71DE" w:rsidRPr="00EA3B97" w:rsidRDefault="003A71DE" w:rsidP="003A71DE">
      <w:pPr>
        <w:rPr>
          <w:rFonts w:eastAsia="MS Mincho"/>
        </w:rPr>
      </w:pPr>
    </w:p>
    <w:p w14:paraId="3F885C43" w14:textId="77777777" w:rsidR="003A71DE" w:rsidRPr="00EA3B97" w:rsidRDefault="003A71DE" w:rsidP="00BA0D24">
      <w:pPr>
        <w:pStyle w:val="TH"/>
        <w:rPr>
          <w:rFonts w:eastAsiaTheme="minorEastAsia"/>
        </w:rPr>
      </w:pPr>
      <w:r w:rsidRPr="00EA3B97">
        <w:rPr>
          <w:rFonts w:eastAsiaTheme="minorEastAsia"/>
        </w:rPr>
        <w:lastRenderedPageBreak/>
        <w:t>Table G.1.7.1-2: CSI-RS Reference Measurement Channels for SCS=30kHz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7"/>
        <w:gridCol w:w="1583"/>
        <w:gridCol w:w="1559"/>
        <w:gridCol w:w="1559"/>
        <w:gridCol w:w="1842"/>
      </w:tblGrid>
      <w:tr w:rsidR="003A71DE" w:rsidRPr="00EA3B97" w14:paraId="1E0ECB3A"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tcPr>
          <w:p w14:paraId="6D48416A" w14:textId="77777777" w:rsidR="003A71DE" w:rsidRPr="00EA3B97" w:rsidRDefault="003A71DE" w:rsidP="001A5D47">
            <w:pPr>
              <w:pStyle w:val="TAH"/>
              <w:rPr>
                <w:rFonts w:eastAsiaTheme="minorEastAsia"/>
                <w:lang w:eastAsia="ja-JP"/>
              </w:rPr>
            </w:pPr>
          </w:p>
        </w:tc>
        <w:tc>
          <w:tcPr>
            <w:tcW w:w="1583" w:type="dxa"/>
            <w:tcBorders>
              <w:top w:val="single" w:sz="4" w:space="0" w:color="auto"/>
              <w:left w:val="single" w:sz="4" w:space="0" w:color="auto"/>
              <w:bottom w:val="single" w:sz="4" w:space="0" w:color="auto"/>
              <w:right w:val="single" w:sz="4" w:space="0" w:color="auto"/>
            </w:tcBorders>
            <w:vAlign w:val="center"/>
            <w:hideMark/>
          </w:tcPr>
          <w:p w14:paraId="08027FDD" w14:textId="77777777" w:rsidR="003A71DE" w:rsidRPr="00EA3B97" w:rsidRDefault="003A71DE" w:rsidP="001A5D47">
            <w:pPr>
              <w:pStyle w:val="TAH"/>
              <w:rPr>
                <w:rFonts w:eastAsiaTheme="minorEastAsia"/>
                <w:lang w:eastAsia="ja-JP"/>
              </w:rPr>
            </w:pPr>
            <w:r w:rsidRPr="00EA3B97">
              <w:rPr>
                <w:rFonts w:eastAsiaTheme="minorEastAsia"/>
                <w:lang w:eastAsia="ja-JP"/>
              </w:rPr>
              <w:t>CSI-RS.2.1 TDD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2EFFA9A" w14:textId="77777777" w:rsidR="003A71DE" w:rsidRPr="00EA3B97" w:rsidRDefault="003A71DE" w:rsidP="001A5D47">
            <w:pPr>
              <w:pStyle w:val="TAH"/>
              <w:rPr>
                <w:rFonts w:eastAsiaTheme="minorEastAsia"/>
                <w:lang w:eastAsia="ja-JP"/>
              </w:rPr>
            </w:pPr>
            <w:r w:rsidRPr="00EA3B97">
              <w:rPr>
                <w:rFonts w:eastAsiaTheme="minorEastAsia"/>
                <w:lang w:eastAsia="ja-JP"/>
              </w:rPr>
              <w:t>CSI-RS.2.2 TDD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B6DE46D" w14:textId="77777777" w:rsidR="003A71DE" w:rsidRPr="00EA3B97" w:rsidRDefault="003A71DE" w:rsidP="001A5D47">
            <w:pPr>
              <w:pStyle w:val="TAH"/>
              <w:rPr>
                <w:rFonts w:eastAsiaTheme="minorEastAsia"/>
                <w:lang w:eastAsia="ja-JP"/>
              </w:rPr>
            </w:pPr>
            <w:r w:rsidRPr="00EA3B97">
              <w:rPr>
                <w:rFonts w:eastAsiaTheme="minorEastAsia"/>
                <w:lang w:eastAsia="ja-JP"/>
              </w:rPr>
              <w:t>CSI-RS.2.3 TDD</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1E0F474" w14:textId="77777777" w:rsidR="003A71DE" w:rsidRPr="00EA3B97" w:rsidRDefault="003A71DE" w:rsidP="001A5D47">
            <w:pPr>
              <w:pStyle w:val="TAH"/>
              <w:rPr>
                <w:rFonts w:eastAsiaTheme="minorEastAsia"/>
                <w:lang w:eastAsia="ja-JP"/>
              </w:rPr>
            </w:pPr>
            <w:r w:rsidRPr="00EA3B97">
              <w:rPr>
                <w:rFonts w:eastAsiaTheme="minorEastAsia"/>
                <w:lang w:eastAsia="ja-JP"/>
              </w:rPr>
              <w:t>CSI-RS.2.4 TDD</w:t>
            </w:r>
          </w:p>
        </w:tc>
      </w:tr>
      <w:tr w:rsidR="003A71DE" w:rsidRPr="00EA3B97" w14:paraId="6535ED0C"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89735AE" w14:textId="77777777" w:rsidR="003A71DE" w:rsidRPr="00EA3B97" w:rsidRDefault="003A71DE" w:rsidP="001A5D47">
            <w:pPr>
              <w:pStyle w:val="TAC"/>
              <w:rPr>
                <w:rFonts w:eastAsiaTheme="minorEastAsia"/>
                <w:b/>
                <w:lang w:eastAsia="ja-JP"/>
              </w:rPr>
            </w:pPr>
            <w:r w:rsidRPr="00EA3B97">
              <w:rPr>
                <w:rFonts w:eastAsiaTheme="minorEastAsia"/>
                <w:lang w:eastAsia="ja-JP"/>
              </w:rPr>
              <w:t>Resource Type</w:t>
            </w:r>
          </w:p>
        </w:tc>
        <w:tc>
          <w:tcPr>
            <w:tcW w:w="1583" w:type="dxa"/>
            <w:tcBorders>
              <w:top w:val="single" w:sz="4" w:space="0" w:color="auto"/>
              <w:left w:val="single" w:sz="4" w:space="0" w:color="auto"/>
              <w:bottom w:val="single" w:sz="4" w:space="0" w:color="auto"/>
              <w:right w:val="single" w:sz="4" w:space="0" w:color="auto"/>
            </w:tcBorders>
            <w:vAlign w:val="center"/>
            <w:hideMark/>
          </w:tcPr>
          <w:p w14:paraId="1BF3243D" w14:textId="77777777" w:rsidR="003A71DE" w:rsidRPr="00EA3B97" w:rsidRDefault="003A71DE" w:rsidP="001A5D47">
            <w:pPr>
              <w:pStyle w:val="TAC"/>
              <w:rPr>
                <w:rFonts w:eastAsiaTheme="minorEastAsia"/>
                <w:b/>
                <w:lang w:eastAsia="ja-JP"/>
              </w:rPr>
            </w:pPr>
            <w:r w:rsidRPr="00EA3B97">
              <w:rPr>
                <w:rFonts w:eastAsiaTheme="minorEastAsia"/>
                <w:lang w:eastAsia="ja-JP"/>
              </w:rPr>
              <w:t>periodic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9C1EB56" w14:textId="77777777" w:rsidR="003A71DE" w:rsidRPr="00EA3B97" w:rsidRDefault="003A71DE" w:rsidP="001A5D47">
            <w:pPr>
              <w:pStyle w:val="TAC"/>
              <w:rPr>
                <w:rFonts w:eastAsiaTheme="minorEastAsia"/>
                <w:b/>
                <w:lang w:eastAsia="ja-JP"/>
              </w:rPr>
            </w:pPr>
            <w:r w:rsidRPr="00EA3B97">
              <w:rPr>
                <w:rFonts w:eastAsiaTheme="minorEastAsia"/>
                <w:lang w:eastAsia="ja-JP"/>
              </w:rPr>
              <w:t>periodic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F6E1E67" w14:textId="77777777" w:rsidR="003A71DE" w:rsidRPr="00EA3B97" w:rsidRDefault="003A71DE" w:rsidP="001A5D47">
            <w:pPr>
              <w:pStyle w:val="TAC"/>
              <w:rPr>
                <w:rFonts w:eastAsiaTheme="minorEastAsia"/>
                <w:b/>
                <w:lang w:eastAsia="ja-JP"/>
              </w:rPr>
            </w:pPr>
            <w:r w:rsidRPr="00EA3B97">
              <w:rPr>
                <w:rFonts w:eastAsiaTheme="minorEastAsia"/>
                <w:lang w:eastAsia="ja-JP"/>
              </w:rPr>
              <w:t>aperiodic</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E913F4B" w14:textId="77777777" w:rsidR="003A71DE" w:rsidRPr="00EA3B97" w:rsidRDefault="003A71DE" w:rsidP="001A5D47">
            <w:pPr>
              <w:pStyle w:val="TAC"/>
              <w:rPr>
                <w:rFonts w:eastAsiaTheme="minorEastAsia"/>
                <w:b/>
                <w:lang w:eastAsia="ja-JP"/>
              </w:rPr>
            </w:pPr>
            <w:r w:rsidRPr="00EA3B97">
              <w:rPr>
                <w:rFonts w:eastAsiaTheme="minorEastAsia"/>
                <w:lang w:eastAsia="ja-JP"/>
              </w:rPr>
              <w:t>aperiodic</w:t>
            </w:r>
          </w:p>
        </w:tc>
      </w:tr>
      <w:tr w:rsidR="003A71DE" w:rsidRPr="00EA3B97" w14:paraId="369DB985"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60D3C62A" w14:textId="77777777" w:rsidR="003A71DE" w:rsidRPr="00EA3B97" w:rsidRDefault="003A71DE" w:rsidP="003A71DE">
            <w:pPr>
              <w:keepNext/>
              <w:keepLines/>
              <w:spacing w:after="0"/>
              <w:jc w:val="center"/>
              <w:rPr>
                <w:rFonts w:ascii="Arial" w:eastAsiaTheme="minorEastAsia" w:hAnsi="Arial"/>
                <w:b/>
                <w:sz w:val="18"/>
                <w:lang w:eastAsia="ja-JP"/>
              </w:rPr>
            </w:pPr>
            <w:r w:rsidRPr="00EA3B97">
              <w:rPr>
                <w:rFonts w:ascii="Arial" w:eastAsiaTheme="minorEastAsia" w:hAnsi="Arial"/>
                <w:b/>
                <w:sz w:val="18"/>
                <w:lang w:eastAsia="ja-JP"/>
              </w:rPr>
              <w:t>Resource Set Config</w:t>
            </w:r>
          </w:p>
        </w:tc>
        <w:tc>
          <w:tcPr>
            <w:tcW w:w="1583" w:type="dxa"/>
            <w:tcBorders>
              <w:top w:val="single" w:sz="4" w:space="0" w:color="auto"/>
              <w:left w:val="single" w:sz="4" w:space="0" w:color="auto"/>
              <w:bottom w:val="single" w:sz="4" w:space="0" w:color="auto"/>
              <w:right w:val="single" w:sz="4" w:space="0" w:color="auto"/>
            </w:tcBorders>
            <w:vAlign w:val="center"/>
          </w:tcPr>
          <w:p w14:paraId="37662D2C"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65DFCABF"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5571F274"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842" w:type="dxa"/>
            <w:tcBorders>
              <w:top w:val="single" w:sz="4" w:space="0" w:color="auto"/>
              <w:left w:val="single" w:sz="4" w:space="0" w:color="auto"/>
              <w:bottom w:val="single" w:sz="4" w:space="0" w:color="auto"/>
              <w:right w:val="single" w:sz="4" w:space="0" w:color="auto"/>
            </w:tcBorders>
            <w:vAlign w:val="center"/>
          </w:tcPr>
          <w:p w14:paraId="0F6F29A8" w14:textId="77777777" w:rsidR="003A71DE" w:rsidRPr="00EA3B97" w:rsidRDefault="003A71DE" w:rsidP="003A71DE">
            <w:pPr>
              <w:keepNext/>
              <w:keepLines/>
              <w:spacing w:after="0"/>
              <w:jc w:val="center"/>
              <w:rPr>
                <w:rFonts w:ascii="Arial" w:eastAsiaTheme="minorEastAsia" w:hAnsi="Arial" w:cs="Arial"/>
                <w:b/>
                <w:sz w:val="18"/>
                <w:lang w:eastAsia="ja-JP"/>
              </w:rPr>
            </w:pPr>
          </w:p>
        </w:tc>
      </w:tr>
      <w:tr w:rsidR="003A71DE" w:rsidRPr="00EA3B97" w14:paraId="7949B918"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BE2F297" w14:textId="77777777" w:rsidR="003A71DE" w:rsidRPr="00EA3B97" w:rsidRDefault="003A71DE" w:rsidP="001A5D47">
            <w:pPr>
              <w:pStyle w:val="TAL"/>
              <w:rPr>
                <w:rFonts w:eastAsiaTheme="minorEastAsia" w:cs="Arial"/>
                <w:i/>
                <w:lang w:eastAsia="ja-JP"/>
              </w:rPr>
            </w:pPr>
            <w:r w:rsidRPr="00EA3B97">
              <w:rPr>
                <w:rFonts w:eastAsiaTheme="minorEastAsia"/>
              </w:rPr>
              <w:t>nzp-CSI-ResourceSetId</w:t>
            </w:r>
          </w:p>
        </w:tc>
        <w:tc>
          <w:tcPr>
            <w:tcW w:w="1583" w:type="dxa"/>
            <w:tcBorders>
              <w:top w:val="single" w:sz="4" w:space="0" w:color="auto"/>
              <w:left w:val="single" w:sz="4" w:space="0" w:color="auto"/>
              <w:bottom w:val="single" w:sz="4" w:space="0" w:color="auto"/>
              <w:right w:val="single" w:sz="4" w:space="0" w:color="auto"/>
            </w:tcBorders>
            <w:vAlign w:val="center"/>
            <w:hideMark/>
          </w:tcPr>
          <w:p w14:paraId="2C816B7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C0386B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E5340C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AE9756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11B85CD8"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1C4ED544" w14:textId="77777777" w:rsidR="003A71DE" w:rsidRPr="00EA3B97" w:rsidRDefault="003A71DE" w:rsidP="001A5D47">
            <w:pPr>
              <w:pStyle w:val="TAL"/>
              <w:rPr>
                <w:rFonts w:eastAsiaTheme="minorEastAsia" w:cs="Arial"/>
                <w:i/>
                <w:lang w:eastAsia="ja-JP"/>
              </w:rPr>
            </w:pPr>
            <w:r w:rsidRPr="00EA3B97">
              <w:rPr>
                <w:rFonts w:eastAsiaTheme="minorEastAsia"/>
              </w:rPr>
              <w:t>repetition</w:t>
            </w:r>
          </w:p>
        </w:tc>
        <w:tc>
          <w:tcPr>
            <w:tcW w:w="1583" w:type="dxa"/>
            <w:tcBorders>
              <w:top w:val="single" w:sz="4" w:space="0" w:color="auto"/>
              <w:left w:val="single" w:sz="4" w:space="0" w:color="auto"/>
              <w:bottom w:val="single" w:sz="4" w:space="0" w:color="auto"/>
              <w:right w:val="single" w:sz="4" w:space="0" w:color="auto"/>
            </w:tcBorders>
            <w:vAlign w:val="center"/>
            <w:hideMark/>
          </w:tcPr>
          <w:p w14:paraId="17585BC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3C6E05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off</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F98BEF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off</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1E322B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on</w:t>
            </w:r>
          </w:p>
        </w:tc>
      </w:tr>
      <w:tr w:rsidR="003A71DE" w:rsidRPr="00EA3B97" w14:paraId="638ED4DE"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68CE7613" w14:textId="77777777" w:rsidR="003A71DE" w:rsidRPr="00EA3B97" w:rsidRDefault="003A71DE" w:rsidP="001A5D47">
            <w:pPr>
              <w:pStyle w:val="TAL"/>
              <w:rPr>
                <w:rFonts w:eastAsiaTheme="minorEastAsia" w:cs="Arial"/>
                <w:i/>
                <w:lang w:eastAsia="ja-JP"/>
              </w:rPr>
            </w:pPr>
            <w:r w:rsidRPr="00EA3B97">
              <w:rPr>
                <w:rFonts w:eastAsiaTheme="minorEastAsia"/>
              </w:rPr>
              <w:t>aperiodicTriggeringOffset</w:t>
            </w:r>
          </w:p>
        </w:tc>
        <w:tc>
          <w:tcPr>
            <w:tcW w:w="1583" w:type="dxa"/>
            <w:tcBorders>
              <w:top w:val="single" w:sz="4" w:space="0" w:color="auto"/>
              <w:left w:val="single" w:sz="4" w:space="0" w:color="auto"/>
              <w:bottom w:val="single" w:sz="4" w:space="0" w:color="auto"/>
              <w:right w:val="single" w:sz="4" w:space="0" w:color="auto"/>
            </w:tcBorders>
            <w:vAlign w:val="center"/>
            <w:hideMark/>
          </w:tcPr>
          <w:p w14:paraId="5394AC2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99DAB5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0C3DC0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4DD298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w:t>
            </w:r>
          </w:p>
        </w:tc>
      </w:tr>
      <w:tr w:rsidR="003A71DE" w:rsidRPr="00EA3B97" w14:paraId="54B925A9"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79893045" w14:textId="77777777" w:rsidR="003A71DE" w:rsidRPr="00EA3B97" w:rsidRDefault="003A71DE" w:rsidP="001A5D47">
            <w:pPr>
              <w:pStyle w:val="TAL"/>
              <w:rPr>
                <w:rFonts w:eastAsiaTheme="minorEastAsia" w:cs="Arial"/>
                <w:i/>
                <w:lang w:eastAsia="ja-JP"/>
              </w:rPr>
            </w:pPr>
            <w:r w:rsidRPr="00EA3B97">
              <w:rPr>
                <w:rFonts w:eastAsiaTheme="minorEastAsia"/>
              </w:rPr>
              <w:t>trs-Info</w:t>
            </w:r>
          </w:p>
        </w:tc>
        <w:tc>
          <w:tcPr>
            <w:tcW w:w="1583" w:type="dxa"/>
            <w:tcBorders>
              <w:top w:val="single" w:sz="4" w:space="0" w:color="auto"/>
              <w:left w:val="single" w:sz="4" w:space="0" w:color="auto"/>
              <w:bottom w:val="single" w:sz="4" w:space="0" w:color="auto"/>
              <w:right w:val="single" w:sz="4" w:space="0" w:color="auto"/>
            </w:tcBorders>
            <w:vAlign w:val="center"/>
            <w:hideMark/>
          </w:tcPr>
          <w:p w14:paraId="1F0DCF4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FD6060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0B2F51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C71619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0D805514"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DE6A0EE" w14:textId="77777777" w:rsidR="003A71DE" w:rsidRPr="00EA3B97" w:rsidRDefault="003A71DE" w:rsidP="003A71DE">
            <w:pPr>
              <w:keepNext/>
              <w:keepLines/>
              <w:spacing w:after="0"/>
              <w:jc w:val="center"/>
              <w:rPr>
                <w:rFonts w:ascii="Arial" w:eastAsiaTheme="minorEastAsia" w:hAnsi="Arial"/>
                <w:b/>
                <w:sz w:val="18"/>
              </w:rPr>
            </w:pPr>
            <w:r w:rsidRPr="00EA3B97">
              <w:rPr>
                <w:rFonts w:ascii="Arial" w:eastAsiaTheme="minorEastAsia" w:hAnsi="Arial"/>
                <w:b/>
                <w:sz w:val="18"/>
              </w:rPr>
              <w:t>Resource Config</w:t>
            </w:r>
          </w:p>
        </w:tc>
        <w:tc>
          <w:tcPr>
            <w:tcW w:w="1583" w:type="dxa"/>
            <w:tcBorders>
              <w:top w:val="single" w:sz="4" w:space="0" w:color="auto"/>
              <w:left w:val="single" w:sz="4" w:space="0" w:color="auto"/>
              <w:bottom w:val="single" w:sz="4" w:space="0" w:color="auto"/>
              <w:right w:val="single" w:sz="4" w:space="0" w:color="auto"/>
            </w:tcBorders>
            <w:vAlign w:val="center"/>
          </w:tcPr>
          <w:p w14:paraId="73B8B0CF" w14:textId="77777777" w:rsidR="003A71DE" w:rsidRPr="00EA3B97" w:rsidRDefault="003A71DE" w:rsidP="003A71DE">
            <w:pPr>
              <w:keepNext/>
              <w:keepLines/>
              <w:spacing w:after="0"/>
              <w:rPr>
                <w:rFonts w:ascii="Arial" w:eastAsiaTheme="minorEastAsia" w:hAnsi="Arial" w:cs="Arial"/>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0F63FA0D" w14:textId="77777777" w:rsidR="003A71DE" w:rsidRPr="00EA3B97" w:rsidRDefault="003A71DE" w:rsidP="003A71DE">
            <w:pPr>
              <w:keepNext/>
              <w:keepLines/>
              <w:spacing w:after="0"/>
              <w:rPr>
                <w:rFonts w:ascii="Arial" w:eastAsiaTheme="minorEastAsia" w:hAnsi="Arial" w:cs="Arial"/>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097C7A26" w14:textId="77777777" w:rsidR="003A71DE" w:rsidRPr="00EA3B97" w:rsidRDefault="003A71DE" w:rsidP="003A71DE">
            <w:pPr>
              <w:keepNext/>
              <w:keepLines/>
              <w:spacing w:after="0"/>
              <w:rPr>
                <w:rFonts w:ascii="Arial" w:eastAsiaTheme="minorEastAsia" w:hAnsi="Arial" w:cs="Arial"/>
                <w:sz w:val="18"/>
                <w:lang w:eastAsia="ja-JP"/>
              </w:rPr>
            </w:pPr>
          </w:p>
        </w:tc>
        <w:tc>
          <w:tcPr>
            <w:tcW w:w="1842" w:type="dxa"/>
            <w:tcBorders>
              <w:top w:val="single" w:sz="4" w:space="0" w:color="auto"/>
              <w:left w:val="single" w:sz="4" w:space="0" w:color="auto"/>
              <w:bottom w:val="single" w:sz="4" w:space="0" w:color="auto"/>
              <w:right w:val="single" w:sz="4" w:space="0" w:color="auto"/>
            </w:tcBorders>
            <w:vAlign w:val="center"/>
          </w:tcPr>
          <w:p w14:paraId="0766CAD7" w14:textId="77777777" w:rsidR="003A71DE" w:rsidRPr="00EA3B97" w:rsidRDefault="003A71DE" w:rsidP="003A71DE">
            <w:pPr>
              <w:keepNext/>
              <w:keepLines/>
              <w:spacing w:after="0"/>
              <w:rPr>
                <w:rFonts w:ascii="Arial" w:eastAsiaTheme="minorEastAsia" w:hAnsi="Arial" w:cs="Arial"/>
                <w:sz w:val="18"/>
                <w:lang w:eastAsia="ja-JP"/>
              </w:rPr>
            </w:pPr>
          </w:p>
        </w:tc>
      </w:tr>
      <w:tr w:rsidR="003A71DE" w:rsidRPr="00EA3B97" w14:paraId="5AE7BB3E" w14:textId="77777777" w:rsidTr="003A71DE">
        <w:trPr>
          <w:trHeight w:val="33"/>
          <w:jc w:val="center"/>
        </w:trPr>
        <w:tc>
          <w:tcPr>
            <w:tcW w:w="2807" w:type="dxa"/>
            <w:tcBorders>
              <w:top w:val="single" w:sz="4" w:space="0" w:color="auto"/>
              <w:left w:val="single" w:sz="4" w:space="0" w:color="auto"/>
              <w:bottom w:val="nil"/>
              <w:right w:val="single" w:sz="4" w:space="0" w:color="auto"/>
            </w:tcBorders>
          </w:tcPr>
          <w:p w14:paraId="0F4C91DF" w14:textId="77777777" w:rsidR="003A71DE" w:rsidRPr="00EA3B97" w:rsidRDefault="003A71DE" w:rsidP="001A5D47">
            <w:pPr>
              <w:pStyle w:val="TAL"/>
              <w:rPr>
                <w:rFonts w:eastAsiaTheme="minorEastAsia"/>
              </w:rPr>
            </w:pPr>
          </w:p>
        </w:tc>
        <w:tc>
          <w:tcPr>
            <w:tcW w:w="1583" w:type="dxa"/>
            <w:tcBorders>
              <w:top w:val="single" w:sz="4" w:space="0" w:color="auto"/>
              <w:left w:val="single" w:sz="4" w:space="0" w:color="auto"/>
              <w:bottom w:val="nil"/>
              <w:right w:val="single" w:sz="4" w:space="0" w:color="auto"/>
            </w:tcBorders>
          </w:tcPr>
          <w:p w14:paraId="0784D4EF"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nil"/>
              <w:right w:val="single" w:sz="4" w:space="0" w:color="auto"/>
            </w:tcBorders>
            <w:vAlign w:val="center"/>
            <w:hideMark/>
          </w:tcPr>
          <w:p w14:paraId="0DE97BC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#0</w:t>
            </w:r>
          </w:p>
        </w:tc>
        <w:tc>
          <w:tcPr>
            <w:tcW w:w="1559" w:type="dxa"/>
            <w:tcBorders>
              <w:top w:val="single" w:sz="4" w:space="0" w:color="auto"/>
              <w:left w:val="single" w:sz="4" w:space="0" w:color="auto"/>
              <w:bottom w:val="nil"/>
              <w:right w:val="single" w:sz="4" w:space="0" w:color="auto"/>
            </w:tcBorders>
            <w:vAlign w:val="center"/>
            <w:hideMark/>
          </w:tcPr>
          <w:p w14:paraId="513EB93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20 for resource #0</w:t>
            </w:r>
          </w:p>
        </w:tc>
        <w:tc>
          <w:tcPr>
            <w:tcW w:w="1842" w:type="dxa"/>
            <w:tcBorders>
              <w:top w:val="single" w:sz="4" w:space="0" w:color="auto"/>
              <w:left w:val="single" w:sz="4" w:space="0" w:color="auto"/>
              <w:bottom w:val="single" w:sz="4" w:space="0" w:color="auto"/>
              <w:right w:val="single" w:sz="4" w:space="0" w:color="auto"/>
            </w:tcBorders>
            <w:hideMark/>
          </w:tcPr>
          <w:p w14:paraId="6E55569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r>
      <w:tr w:rsidR="003A71DE" w:rsidRPr="00EA3B97" w14:paraId="402679C9" w14:textId="77777777" w:rsidTr="003A71DE">
        <w:trPr>
          <w:trHeight w:val="31"/>
          <w:jc w:val="center"/>
        </w:trPr>
        <w:tc>
          <w:tcPr>
            <w:tcW w:w="2807" w:type="dxa"/>
            <w:tcBorders>
              <w:top w:val="nil"/>
              <w:left w:val="single" w:sz="4" w:space="0" w:color="auto"/>
              <w:bottom w:val="nil"/>
              <w:right w:val="single" w:sz="4" w:space="0" w:color="auto"/>
            </w:tcBorders>
            <w:hideMark/>
          </w:tcPr>
          <w:p w14:paraId="07071204"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354AEAC9"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61DF7DD"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6BAA0C5"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10B663F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 for resource #1</w:t>
            </w:r>
          </w:p>
        </w:tc>
      </w:tr>
      <w:tr w:rsidR="003A71DE" w:rsidRPr="00EA3B97" w14:paraId="15D07F16" w14:textId="77777777" w:rsidTr="003A71DE">
        <w:trPr>
          <w:trHeight w:val="31"/>
          <w:jc w:val="center"/>
        </w:trPr>
        <w:tc>
          <w:tcPr>
            <w:tcW w:w="2807" w:type="dxa"/>
            <w:tcBorders>
              <w:top w:val="nil"/>
              <w:left w:val="single" w:sz="4" w:space="0" w:color="auto"/>
              <w:bottom w:val="nil"/>
              <w:right w:val="single" w:sz="4" w:space="0" w:color="auto"/>
            </w:tcBorders>
            <w:hideMark/>
          </w:tcPr>
          <w:p w14:paraId="1F1AF98D"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68E44E6B"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9A1418E"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5A5CA087"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2E8740D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 for resource #2</w:t>
            </w:r>
          </w:p>
        </w:tc>
      </w:tr>
      <w:tr w:rsidR="003A71DE" w:rsidRPr="00EA3B97" w14:paraId="712555A4" w14:textId="77777777" w:rsidTr="003A71DE">
        <w:trPr>
          <w:trHeight w:val="31"/>
          <w:jc w:val="center"/>
        </w:trPr>
        <w:tc>
          <w:tcPr>
            <w:tcW w:w="2807" w:type="dxa"/>
            <w:tcBorders>
              <w:top w:val="nil"/>
              <w:left w:val="single" w:sz="4" w:space="0" w:color="auto"/>
              <w:bottom w:val="nil"/>
              <w:right w:val="single" w:sz="4" w:space="0" w:color="auto"/>
            </w:tcBorders>
            <w:hideMark/>
          </w:tcPr>
          <w:p w14:paraId="7AA81AD2"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1E19F476"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64C4043E"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4EE3B343"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1060EB0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 for resource #3</w:t>
            </w:r>
          </w:p>
        </w:tc>
      </w:tr>
      <w:tr w:rsidR="003A71DE" w:rsidRPr="00EA3B97" w14:paraId="7FF827B3" w14:textId="77777777" w:rsidTr="003A71DE">
        <w:trPr>
          <w:trHeight w:val="33"/>
          <w:jc w:val="center"/>
        </w:trPr>
        <w:tc>
          <w:tcPr>
            <w:tcW w:w="2807" w:type="dxa"/>
            <w:tcBorders>
              <w:top w:val="nil"/>
              <w:left w:val="single" w:sz="4" w:space="0" w:color="auto"/>
              <w:bottom w:val="nil"/>
              <w:right w:val="single" w:sz="4" w:space="0" w:color="auto"/>
            </w:tcBorders>
            <w:hideMark/>
          </w:tcPr>
          <w:p w14:paraId="40535636" w14:textId="77777777" w:rsidR="003A71DE" w:rsidRPr="00EA3B97" w:rsidRDefault="003A71DE" w:rsidP="001A5D47">
            <w:pPr>
              <w:pStyle w:val="TAL"/>
              <w:rPr>
                <w:rFonts w:eastAsiaTheme="minorEastAsia"/>
              </w:rPr>
            </w:pPr>
            <w:r w:rsidRPr="00EA3B97">
              <w:rPr>
                <w:rFonts w:eastAsiaTheme="minorEastAsia"/>
              </w:rPr>
              <w:t>nzp-CSI-RS-ResourceId</w:t>
            </w:r>
          </w:p>
        </w:tc>
        <w:tc>
          <w:tcPr>
            <w:tcW w:w="1583" w:type="dxa"/>
            <w:tcBorders>
              <w:top w:val="nil"/>
              <w:left w:val="single" w:sz="4" w:space="0" w:color="auto"/>
              <w:bottom w:val="nil"/>
              <w:right w:val="single" w:sz="4" w:space="0" w:color="auto"/>
            </w:tcBorders>
            <w:hideMark/>
          </w:tcPr>
          <w:p w14:paraId="581F232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c>
          <w:tcPr>
            <w:tcW w:w="1559" w:type="dxa"/>
            <w:tcBorders>
              <w:top w:val="single" w:sz="4" w:space="0" w:color="auto"/>
              <w:left w:val="single" w:sz="4" w:space="0" w:color="auto"/>
              <w:bottom w:val="nil"/>
              <w:right w:val="single" w:sz="4" w:space="0" w:color="auto"/>
            </w:tcBorders>
            <w:vAlign w:val="center"/>
            <w:hideMark/>
          </w:tcPr>
          <w:p w14:paraId="3D95026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11 for resource #1</w:t>
            </w:r>
          </w:p>
        </w:tc>
        <w:tc>
          <w:tcPr>
            <w:tcW w:w="1559" w:type="dxa"/>
            <w:tcBorders>
              <w:top w:val="single" w:sz="4" w:space="0" w:color="auto"/>
              <w:left w:val="single" w:sz="4" w:space="0" w:color="auto"/>
              <w:bottom w:val="nil"/>
              <w:right w:val="single" w:sz="4" w:space="0" w:color="auto"/>
            </w:tcBorders>
            <w:vAlign w:val="center"/>
            <w:hideMark/>
          </w:tcPr>
          <w:p w14:paraId="18895AA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21 for resource #1</w:t>
            </w:r>
          </w:p>
        </w:tc>
        <w:tc>
          <w:tcPr>
            <w:tcW w:w="1842" w:type="dxa"/>
            <w:tcBorders>
              <w:top w:val="single" w:sz="4" w:space="0" w:color="auto"/>
              <w:left w:val="single" w:sz="4" w:space="0" w:color="auto"/>
              <w:bottom w:val="single" w:sz="4" w:space="0" w:color="auto"/>
              <w:right w:val="single" w:sz="4" w:space="0" w:color="auto"/>
            </w:tcBorders>
            <w:hideMark/>
          </w:tcPr>
          <w:p w14:paraId="68682FA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4 for resource #4</w:t>
            </w:r>
          </w:p>
        </w:tc>
      </w:tr>
      <w:tr w:rsidR="003A71DE" w:rsidRPr="00EA3B97" w14:paraId="5F9ACAC2" w14:textId="77777777" w:rsidTr="003A71DE">
        <w:trPr>
          <w:trHeight w:val="31"/>
          <w:jc w:val="center"/>
        </w:trPr>
        <w:tc>
          <w:tcPr>
            <w:tcW w:w="2807" w:type="dxa"/>
            <w:tcBorders>
              <w:top w:val="nil"/>
              <w:left w:val="single" w:sz="4" w:space="0" w:color="auto"/>
              <w:bottom w:val="nil"/>
              <w:right w:val="single" w:sz="4" w:space="0" w:color="auto"/>
            </w:tcBorders>
            <w:hideMark/>
          </w:tcPr>
          <w:p w14:paraId="6E17F3AA"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27EBA17E"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59F256F"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56BD1D1"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645D052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#5</w:t>
            </w:r>
          </w:p>
        </w:tc>
      </w:tr>
      <w:tr w:rsidR="003A71DE" w:rsidRPr="00EA3B97" w14:paraId="442CB7A2" w14:textId="77777777" w:rsidTr="003A71DE">
        <w:trPr>
          <w:trHeight w:val="31"/>
          <w:jc w:val="center"/>
        </w:trPr>
        <w:tc>
          <w:tcPr>
            <w:tcW w:w="2807" w:type="dxa"/>
            <w:tcBorders>
              <w:top w:val="nil"/>
              <w:left w:val="single" w:sz="4" w:space="0" w:color="auto"/>
              <w:bottom w:val="nil"/>
              <w:right w:val="single" w:sz="4" w:space="0" w:color="auto"/>
            </w:tcBorders>
            <w:hideMark/>
          </w:tcPr>
          <w:p w14:paraId="50615369"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40C9C24E"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172FF80A"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264B58F9"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33A10AE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#6</w:t>
            </w:r>
          </w:p>
        </w:tc>
      </w:tr>
      <w:tr w:rsidR="003A71DE" w:rsidRPr="00EA3B97" w14:paraId="574B3CD9" w14:textId="77777777" w:rsidTr="003A71DE">
        <w:trPr>
          <w:trHeight w:val="31"/>
          <w:jc w:val="center"/>
        </w:trPr>
        <w:tc>
          <w:tcPr>
            <w:tcW w:w="2807" w:type="dxa"/>
            <w:tcBorders>
              <w:top w:val="nil"/>
              <w:left w:val="single" w:sz="4" w:space="0" w:color="auto"/>
              <w:bottom w:val="single" w:sz="4" w:space="0" w:color="auto"/>
              <w:right w:val="single" w:sz="4" w:space="0" w:color="auto"/>
            </w:tcBorders>
            <w:vAlign w:val="center"/>
            <w:hideMark/>
          </w:tcPr>
          <w:p w14:paraId="028D88AA" w14:textId="77777777" w:rsidR="003A71DE" w:rsidRPr="00EA3B97" w:rsidRDefault="003A71DE" w:rsidP="001A5D47">
            <w:pPr>
              <w:pStyle w:val="TAL"/>
              <w:rPr>
                <w:rFonts w:eastAsiaTheme="minorEastAsia"/>
              </w:rPr>
            </w:pPr>
          </w:p>
        </w:tc>
        <w:tc>
          <w:tcPr>
            <w:tcW w:w="1583" w:type="dxa"/>
            <w:tcBorders>
              <w:top w:val="nil"/>
              <w:left w:val="single" w:sz="4" w:space="0" w:color="auto"/>
              <w:bottom w:val="single" w:sz="4" w:space="0" w:color="auto"/>
              <w:right w:val="single" w:sz="4" w:space="0" w:color="auto"/>
            </w:tcBorders>
            <w:vAlign w:val="center"/>
            <w:hideMark/>
          </w:tcPr>
          <w:p w14:paraId="0AC087D3"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172767A0"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5DBF118C"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06110DC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7 for resource #7</w:t>
            </w:r>
          </w:p>
        </w:tc>
      </w:tr>
      <w:tr w:rsidR="003A71DE" w:rsidRPr="00EA3B97" w14:paraId="7549853F"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7C6A46B1" w14:textId="77777777" w:rsidR="003A71DE" w:rsidRPr="00EA3B97" w:rsidRDefault="003A71DE" w:rsidP="001A5D47">
            <w:pPr>
              <w:pStyle w:val="TAL"/>
              <w:rPr>
                <w:rFonts w:eastAsiaTheme="minorEastAsia" w:cs="Arial"/>
                <w:i/>
                <w:lang w:eastAsia="ja-JP"/>
              </w:rPr>
            </w:pPr>
            <w:r w:rsidRPr="00EA3B97">
              <w:rPr>
                <w:rFonts w:eastAsiaTheme="minorEastAsia"/>
              </w:rPr>
              <w:t>powerControlOffset</w:t>
            </w:r>
          </w:p>
        </w:tc>
        <w:tc>
          <w:tcPr>
            <w:tcW w:w="1583" w:type="dxa"/>
            <w:tcBorders>
              <w:top w:val="single" w:sz="4" w:space="0" w:color="auto"/>
              <w:left w:val="single" w:sz="4" w:space="0" w:color="auto"/>
              <w:bottom w:val="single" w:sz="4" w:space="0" w:color="auto"/>
              <w:right w:val="single" w:sz="4" w:space="0" w:color="auto"/>
            </w:tcBorders>
            <w:vAlign w:val="center"/>
            <w:hideMark/>
          </w:tcPr>
          <w:p w14:paraId="1426E9C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3E3BD0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2D79CC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4A6FD1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1F3E3D51"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2089ACD0" w14:textId="77777777" w:rsidR="003A71DE" w:rsidRPr="00EA3B97" w:rsidRDefault="003A71DE" w:rsidP="001A5D47">
            <w:pPr>
              <w:pStyle w:val="TAL"/>
              <w:rPr>
                <w:rFonts w:eastAsiaTheme="minorEastAsia" w:cs="Arial"/>
                <w:i/>
                <w:lang w:eastAsia="ja-JP"/>
              </w:rPr>
            </w:pPr>
            <w:r w:rsidRPr="00EA3B97">
              <w:rPr>
                <w:rFonts w:eastAsiaTheme="minorEastAsia"/>
              </w:rPr>
              <w:t>powerControlOffsetSS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5CB762D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25752D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126E5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D2067E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r>
      <w:tr w:rsidR="003A71DE" w:rsidRPr="00EA3B97" w14:paraId="25057827"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1C31BB3" w14:textId="77777777" w:rsidR="003A71DE" w:rsidRPr="00EA3B97" w:rsidRDefault="003A71DE" w:rsidP="001A5D47">
            <w:pPr>
              <w:pStyle w:val="TAL"/>
              <w:rPr>
                <w:rFonts w:eastAsiaTheme="minorEastAsia" w:cs="Arial"/>
                <w:i/>
                <w:lang w:eastAsia="ja-JP"/>
              </w:rPr>
            </w:pPr>
            <w:r w:rsidRPr="00EA3B97">
              <w:rPr>
                <w:rFonts w:eastAsiaTheme="minorEastAsia"/>
              </w:rPr>
              <w:t>scramblingID</w:t>
            </w:r>
          </w:p>
        </w:tc>
        <w:tc>
          <w:tcPr>
            <w:tcW w:w="1583" w:type="dxa"/>
            <w:tcBorders>
              <w:top w:val="single" w:sz="4" w:space="0" w:color="auto"/>
              <w:left w:val="single" w:sz="4" w:space="0" w:color="auto"/>
              <w:bottom w:val="single" w:sz="4" w:space="0" w:color="auto"/>
              <w:right w:val="single" w:sz="4" w:space="0" w:color="auto"/>
            </w:tcBorders>
            <w:vAlign w:val="center"/>
            <w:hideMark/>
          </w:tcPr>
          <w:p w14:paraId="250A829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F4179A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DE5EE5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8F5492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076128F3" w14:textId="77777777" w:rsidTr="003A71DE">
        <w:trPr>
          <w:trHeight w:val="271"/>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DDF2F1B" w14:textId="77777777" w:rsidR="003A71DE" w:rsidRPr="00EA3B97" w:rsidRDefault="003A71DE" w:rsidP="001A5D47">
            <w:pPr>
              <w:pStyle w:val="TAL"/>
              <w:rPr>
                <w:rFonts w:eastAsiaTheme="minorEastAsia" w:cs="Arial"/>
                <w:i/>
                <w:lang w:eastAsia="ja-JP"/>
              </w:rPr>
            </w:pPr>
            <w:r w:rsidRPr="00EA3B97">
              <w:rPr>
                <w:rFonts w:eastAsiaTheme="minorEastAsia"/>
              </w:rPr>
              <w:t>Period (slots)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561F0ED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slot10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088A3B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slot20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4FCC4D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01882D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26701BE8" w14:textId="77777777" w:rsidTr="003A71DE">
        <w:trPr>
          <w:trHeight w:val="126"/>
          <w:jc w:val="center"/>
        </w:trPr>
        <w:tc>
          <w:tcPr>
            <w:tcW w:w="2807" w:type="dxa"/>
            <w:tcBorders>
              <w:top w:val="single" w:sz="4" w:space="0" w:color="auto"/>
              <w:left w:val="single" w:sz="4" w:space="0" w:color="auto"/>
              <w:bottom w:val="nil"/>
              <w:right w:val="single" w:sz="4" w:space="0" w:color="auto"/>
            </w:tcBorders>
            <w:vAlign w:val="center"/>
            <w:hideMark/>
          </w:tcPr>
          <w:p w14:paraId="356CA72D" w14:textId="77777777" w:rsidR="003A71DE" w:rsidRPr="00EA3B97" w:rsidRDefault="003A71DE" w:rsidP="001A5D47">
            <w:pPr>
              <w:pStyle w:val="TAL"/>
              <w:rPr>
                <w:rFonts w:eastAsiaTheme="minorEastAsia" w:cs="Arial"/>
                <w:i/>
                <w:lang w:eastAsia="ja-JP"/>
              </w:rPr>
            </w:pPr>
            <w:r w:rsidRPr="00EA3B97">
              <w:rPr>
                <w:rFonts w:eastAsiaTheme="minorEastAsia"/>
              </w:rPr>
              <w:t>qcl-InfoPeriodicCSI-RS</w:t>
            </w:r>
          </w:p>
        </w:tc>
        <w:tc>
          <w:tcPr>
            <w:tcW w:w="1583" w:type="dxa"/>
            <w:tcBorders>
              <w:top w:val="single" w:sz="4" w:space="0" w:color="auto"/>
              <w:left w:val="single" w:sz="4" w:space="0" w:color="auto"/>
              <w:bottom w:val="nil"/>
              <w:right w:val="single" w:sz="4" w:space="0" w:color="auto"/>
            </w:tcBorders>
            <w:vAlign w:val="center"/>
            <w:hideMark/>
          </w:tcPr>
          <w:p w14:paraId="24564C5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DBB0A5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TCI.State.0</w:t>
            </w:r>
          </w:p>
        </w:tc>
        <w:tc>
          <w:tcPr>
            <w:tcW w:w="1559" w:type="dxa"/>
            <w:tcBorders>
              <w:top w:val="single" w:sz="4" w:space="0" w:color="auto"/>
              <w:left w:val="single" w:sz="4" w:space="0" w:color="auto"/>
              <w:bottom w:val="nil"/>
              <w:right w:val="single" w:sz="4" w:space="0" w:color="auto"/>
            </w:tcBorders>
            <w:vAlign w:val="center"/>
            <w:hideMark/>
          </w:tcPr>
          <w:p w14:paraId="2B88343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nil"/>
              <w:right w:val="single" w:sz="4" w:space="0" w:color="auto"/>
            </w:tcBorders>
            <w:vAlign w:val="center"/>
            <w:hideMark/>
          </w:tcPr>
          <w:p w14:paraId="2348444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08C3DFBE" w14:textId="77777777" w:rsidTr="003A71DE">
        <w:trPr>
          <w:trHeight w:val="126"/>
          <w:jc w:val="center"/>
        </w:trPr>
        <w:tc>
          <w:tcPr>
            <w:tcW w:w="2807" w:type="dxa"/>
            <w:tcBorders>
              <w:top w:val="nil"/>
              <w:left w:val="single" w:sz="4" w:space="0" w:color="auto"/>
              <w:bottom w:val="single" w:sz="4" w:space="0" w:color="auto"/>
              <w:right w:val="single" w:sz="4" w:space="0" w:color="auto"/>
            </w:tcBorders>
            <w:vAlign w:val="center"/>
            <w:hideMark/>
          </w:tcPr>
          <w:p w14:paraId="35EB4B07"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single" w:sz="4" w:space="0" w:color="auto"/>
              <w:right w:val="single" w:sz="4" w:space="0" w:color="auto"/>
            </w:tcBorders>
            <w:vAlign w:val="center"/>
            <w:hideMark/>
          </w:tcPr>
          <w:p w14:paraId="1EAA2AC7"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0137E8F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TCI.State.1</w:t>
            </w:r>
          </w:p>
        </w:tc>
        <w:tc>
          <w:tcPr>
            <w:tcW w:w="1559" w:type="dxa"/>
            <w:tcBorders>
              <w:top w:val="nil"/>
              <w:left w:val="single" w:sz="4" w:space="0" w:color="auto"/>
              <w:bottom w:val="single" w:sz="4" w:space="0" w:color="auto"/>
              <w:right w:val="single" w:sz="4" w:space="0" w:color="auto"/>
            </w:tcBorders>
            <w:vAlign w:val="center"/>
            <w:hideMark/>
          </w:tcPr>
          <w:p w14:paraId="58F108F2" w14:textId="77777777" w:rsidR="003A71DE" w:rsidRPr="00EA3B97" w:rsidRDefault="003A71DE" w:rsidP="001A5D47">
            <w:pPr>
              <w:pStyle w:val="TAL"/>
              <w:rPr>
                <w:rFonts w:eastAsiaTheme="minorEastAsia" w:cs="Arial"/>
                <w:lang w:eastAsia="ja-JP"/>
              </w:rPr>
            </w:pPr>
          </w:p>
        </w:tc>
        <w:tc>
          <w:tcPr>
            <w:tcW w:w="1842" w:type="dxa"/>
            <w:tcBorders>
              <w:top w:val="nil"/>
              <w:left w:val="single" w:sz="4" w:space="0" w:color="auto"/>
              <w:bottom w:val="single" w:sz="4" w:space="0" w:color="auto"/>
              <w:right w:val="single" w:sz="4" w:space="0" w:color="auto"/>
            </w:tcBorders>
            <w:vAlign w:val="center"/>
            <w:hideMark/>
          </w:tcPr>
          <w:p w14:paraId="31F1151E" w14:textId="77777777" w:rsidR="003A71DE" w:rsidRPr="00EA3B97" w:rsidRDefault="003A71DE" w:rsidP="001A5D47">
            <w:pPr>
              <w:pStyle w:val="TAL"/>
              <w:rPr>
                <w:rFonts w:eastAsiaTheme="minorEastAsia" w:cs="Arial"/>
                <w:lang w:eastAsia="ja-JP"/>
              </w:rPr>
            </w:pPr>
          </w:p>
        </w:tc>
      </w:tr>
      <w:tr w:rsidR="003A71DE" w:rsidRPr="00EA3B97" w14:paraId="3636EFFF"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D6B2635" w14:textId="77777777" w:rsidR="003A71DE" w:rsidRPr="00EA3B97" w:rsidRDefault="003A71DE" w:rsidP="001A5D47">
            <w:pPr>
              <w:pStyle w:val="TAL"/>
              <w:rPr>
                <w:rFonts w:eastAsiaTheme="minorEastAsia" w:cs="Arial"/>
                <w:i/>
                <w:lang w:eastAsia="ja-JP"/>
              </w:rPr>
            </w:pPr>
            <w:r w:rsidRPr="00EA3B97">
              <w:rPr>
                <w:rFonts w:eastAsiaTheme="minorEastAsia"/>
              </w:rPr>
              <w:t>frequencyDomainAllocation</w:t>
            </w:r>
          </w:p>
        </w:tc>
        <w:tc>
          <w:tcPr>
            <w:tcW w:w="1583" w:type="dxa"/>
            <w:tcBorders>
              <w:top w:val="single" w:sz="4" w:space="0" w:color="auto"/>
              <w:left w:val="single" w:sz="4" w:space="0" w:color="auto"/>
              <w:bottom w:val="single" w:sz="4" w:space="0" w:color="auto"/>
              <w:right w:val="single" w:sz="4" w:space="0" w:color="auto"/>
            </w:tcBorders>
            <w:vAlign w:val="center"/>
            <w:hideMark/>
          </w:tcPr>
          <w:p w14:paraId="72A5A335"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7730DEE"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3EA5007"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F0D244F"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r>
      <w:tr w:rsidR="003A71DE" w:rsidRPr="00EA3B97" w14:paraId="3802B2E8"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74A1E8DE" w14:textId="77777777" w:rsidR="003A71DE" w:rsidRPr="00EA3B97" w:rsidRDefault="003A71DE" w:rsidP="001A5D47">
            <w:pPr>
              <w:pStyle w:val="TAL"/>
              <w:rPr>
                <w:rFonts w:eastAsiaTheme="minorEastAsia" w:cs="Arial"/>
                <w:i/>
                <w:lang w:eastAsia="ja-JP"/>
              </w:rPr>
            </w:pPr>
            <w:r w:rsidRPr="00EA3B97">
              <w:rPr>
                <w:rFonts w:eastAsiaTheme="minorEastAsia"/>
              </w:rPr>
              <w:t>nrofPorts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026F87A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BB501F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A184B5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10E98A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r>
      <w:tr w:rsidR="003A71DE" w:rsidRPr="00EA3B97" w14:paraId="09AA3BA7" w14:textId="77777777" w:rsidTr="003A71DE">
        <w:trPr>
          <w:trHeight w:val="33"/>
          <w:jc w:val="center"/>
        </w:trPr>
        <w:tc>
          <w:tcPr>
            <w:tcW w:w="2807" w:type="dxa"/>
            <w:tcBorders>
              <w:top w:val="single" w:sz="4" w:space="0" w:color="auto"/>
              <w:left w:val="single" w:sz="4" w:space="0" w:color="auto"/>
              <w:bottom w:val="nil"/>
              <w:right w:val="single" w:sz="4" w:space="0" w:color="auto"/>
            </w:tcBorders>
            <w:vAlign w:val="center"/>
          </w:tcPr>
          <w:p w14:paraId="5A963443" w14:textId="77777777" w:rsidR="003A71DE" w:rsidRPr="00EA3B97" w:rsidRDefault="003A71DE" w:rsidP="001A5D47">
            <w:pPr>
              <w:pStyle w:val="TAL"/>
              <w:rPr>
                <w:rFonts w:eastAsiaTheme="minorEastAsia" w:cs="Arial"/>
                <w:i/>
                <w:lang w:eastAsia="ja-JP"/>
              </w:rPr>
            </w:pPr>
          </w:p>
        </w:tc>
        <w:tc>
          <w:tcPr>
            <w:tcW w:w="1583" w:type="dxa"/>
            <w:tcBorders>
              <w:top w:val="single" w:sz="4" w:space="0" w:color="auto"/>
              <w:left w:val="single" w:sz="4" w:space="0" w:color="auto"/>
              <w:bottom w:val="nil"/>
              <w:right w:val="single" w:sz="4" w:space="0" w:color="auto"/>
            </w:tcBorders>
            <w:vAlign w:val="center"/>
          </w:tcPr>
          <w:p w14:paraId="4F5FE134"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nil"/>
              <w:right w:val="single" w:sz="4" w:space="0" w:color="auto"/>
            </w:tcBorders>
            <w:vAlign w:val="center"/>
            <w:hideMark/>
          </w:tcPr>
          <w:p w14:paraId="2C4F7331" w14:textId="77777777" w:rsidR="003A71DE" w:rsidRPr="00EA3B97" w:rsidRDefault="003A71DE" w:rsidP="001A5D47">
            <w:pPr>
              <w:pStyle w:val="TAL"/>
              <w:rPr>
                <w:rFonts w:eastAsiaTheme="minorEastAsia" w:cs="Arial"/>
                <w:lang w:val="en-US" w:eastAsia="ja-JP"/>
              </w:rPr>
            </w:pPr>
            <w:r w:rsidRPr="00EA3B97">
              <w:rPr>
                <w:rFonts w:eastAsiaTheme="minorEastAsia" w:cs="Arial"/>
                <w:lang w:eastAsia="ja-JP"/>
              </w:rPr>
              <w:t>6 for resource #0</w:t>
            </w:r>
          </w:p>
        </w:tc>
        <w:tc>
          <w:tcPr>
            <w:tcW w:w="1559" w:type="dxa"/>
            <w:tcBorders>
              <w:top w:val="single" w:sz="4" w:space="0" w:color="auto"/>
              <w:left w:val="single" w:sz="4" w:space="0" w:color="auto"/>
              <w:bottom w:val="nil"/>
              <w:right w:val="single" w:sz="4" w:space="0" w:color="auto"/>
            </w:tcBorders>
            <w:vAlign w:val="center"/>
            <w:hideMark/>
          </w:tcPr>
          <w:p w14:paraId="7F02D67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#0</w:t>
            </w:r>
          </w:p>
        </w:tc>
        <w:tc>
          <w:tcPr>
            <w:tcW w:w="1842" w:type="dxa"/>
            <w:tcBorders>
              <w:top w:val="single" w:sz="4" w:space="0" w:color="auto"/>
              <w:left w:val="single" w:sz="4" w:space="0" w:color="auto"/>
              <w:bottom w:val="single" w:sz="4" w:space="0" w:color="auto"/>
              <w:right w:val="single" w:sz="4" w:space="0" w:color="auto"/>
            </w:tcBorders>
            <w:hideMark/>
          </w:tcPr>
          <w:p w14:paraId="2AEAB83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r>
      <w:tr w:rsidR="003A71DE" w:rsidRPr="00EA3B97" w14:paraId="2E67B011" w14:textId="77777777" w:rsidTr="003A71DE">
        <w:trPr>
          <w:trHeight w:val="31"/>
          <w:jc w:val="center"/>
        </w:trPr>
        <w:tc>
          <w:tcPr>
            <w:tcW w:w="2807" w:type="dxa"/>
            <w:tcBorders>
              <w:top w:val="nil"/>
              <w:left w:val="single" w:sz="4" w:space="0" w:color="auto"/>
              <w:bottom w:val="nil"/>
              <w:right w:val="single" w:sz="4" w:space="0" w:color="auto"/>
            </w:tcBorders>
            <w:vAlign w:val="center"/>
            <w:hideMark/>
          </w:tcPr>
          <w:p w14:paraId="62BF1A15"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nil"/>
              <w:right w:val="single" w:sz="4" w:space="0" w:color="auto"/>
            </w:tcBorders>
            <w:vAlign w:val="center"/>
            <w:hideMark/>
          </w:tcPr>
          <w:p w14:paraId="58587C1B"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559E07E6" w14:textId="77777777" w:rsidR="003A71DE" w:rsidRPr="00EA3B97" w:rsidRDefault="003A71DE" w:rsidP="001A5D47">
            <w:pPr>
              <w:pStyle w:val="TAL"/>
              <w:rPr>
                <w:rFonts w:eastAsiaTheme="minorEastAsia" w:cs="Arial"/>
                <w:lang w:val="en-US" w:eastAsia="ja-JP"/>
              </w:rPr>
            </w:pPr>
          </w:p>
        </w:tc>
        <w:tc>
          <w:tcPr>
            <w:tcW w:w="1559" w:type="dxa"/>
            <w:tcBorders>
              <w:top w:val="nil"/>
              <w:left w:val="single" w:sz="4" w:space="0" w:color="auto"/>
              <w:bottom w:val="nil"/>
              <w:right w:val="single" w:sz="4" w:space="0" w:color="auto"/>
            </w:tcBorders>
            <w:vAlign w:val="center"/>
            <w:hideMark/>
          </w:tcPr>
          <w:p w14:paraId="2AA1F892"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2C9AFB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 for resource #1</w:t>
            </w:r>
          </w:p>
        </w:tc>
      </w:tr>
      <w:tr w:rsidR="003A71DE" w:rsidRPr="00EA3B97" w14:paraId="7417A7E1" w14:textId="77777777" w:rsidTr="003A71DE">
        <w:trPr>
          <w:trHeight w:val="31"/>
          <w:jc w:val="center"/>
        </w:trPr>
        <w:tc>
          <w:tcPr>
            <w:tcW w:w="2807" w:type="dxa"/>
            <w:tcBorders>
              <w:top w:val="nil"/>
              <w:left w:val="single" w:sz="4" w:space="0" w:color="auto"/>
              <w:bottom w:val="nil"/>
              <w:right w:val="single" w:sz="4" w:space="0" w:color="auto"/>
            </w:tcBorders>
            <w:vAlign w:val="center"/>
            <w:hideMark/>
          </w:tcPr>
          <w:p w14:paraId="5ADA3DD0"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nil"/>
              <w:right w:val="single" w:sz="4" w:space="0" w:color="auto"/>
            </w:tcBorders>
            <w:vAlign w:val="center"/>
            <w:hideMark/>
          </w:tcPr>
          <w:p w14:paraId="018232E7"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7AE76F54" w14:textId="77777777" w:rsidR="003A71DE" w:rsidRPr="00EA3B97" w:rsidRDefault="003A71DE" w:rsidP="001A5D47">
            <w:pPr>
              <w:pStyle w:val="TAL"/>
              <w:rPr>
                <w:rFonts w:eastAsiaTheme="minorEastAsia" w:cs="Arial"/>
                <w:lang w:val="en-US" w:eastAsia="ja-JP"/>
              </w:rPr>
            </w:pPr>
          </w:p>
        </w:tc>
        <w:tc>
          <w:tcPr>
            <w:tcW w:w="1559" w:type="dxa"/>
            <w:tcBorders>
              <w:top w:val="nil"/>
              <w:left w:val="single" w:sz="4" w:space="0" w:color="auto"/>
              <w:bottom w:val="nil"/>
              <w:right w:val="single" w:sz="4" w:space="0" w:color="auto"/>
            </w:tcBorders>
            <w:vAlign w:val="center"/>
            <w:hideMark/>
          </w:tcPr>
          <w:p w14:paraId="1BA6D830"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AC0736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 for resource #2</w:t>
            </w:r>
          </w:p>
        </w:tc>
      </w:tr>
      <w:tr w:rsidR="003A71DE" w:rsidRPr="00EA3B97" w14:paraId="64665EC5" w14:textId="77777777" w:rsidTr="003A71DE">
        <w:trPr>
          <w:trHeight w:val="31"/>
          <w:jc w:val="center"/>
        </w:trPr>
        <w:tc>
          <w:tcPr>
            <w:tcW w:w="2807" w:type="dxa"/>
            <w:tcBorders>
              <w:top w:val="nil"/>
              <w:left w:val="single" w:sz="4" w:space="0" w:color="auto"/>
              <w:bottom w:val="nil"/>
              <w:right w:val="single" w:sz="4" w:space="0" w:color="auto"/>
            </w:tcBorders>
            <w:vAlign w:val="center"/>
            <w:hideMark/>
          </w:tcPr>
          <w:p w14:paraId="4A9059CD"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nil"/>
              <w:right w:val="single" w:sz="4" w:space="0" w:color="auto"/>
            </w:tcBorders>
            <w:vAlign w:val="center"/>
            <w:hideMark/>
          </w:tcPr>
          <w:p w14:paraId="1ED1D914"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7381924E" w14:textId="77777777" w:rsidR="003A71DE" w:rsidRPr="00EA3B97" w:rsidRDefault="003A71DE" w:rsidP="001A5D47">
            <w:pPr>
              <w:pStyle w:val="TAL"/>
              <w:rPr>
                <w:rFonts w:eastAsiaTheme="minorEastAsia" w:cs="Arial"/>
                <w:lang w:val="en-US" w:eastAsia="ja-JP"/>
              </w:rPr>
            </w:pPr>
          </w:p>
        </w:tc>
        <w:tc>
          <w:tcPr>
            <w:tcW w:w="1559" w:type="dxa"/>
            <w:tcBorders>
              <w:top w:val="nil"/>
              <w:left w:val="single" w:sz="4" w:space="0" w:color="auto"/>
              <w:bottom w:val="single" w:sz="4" w:space="0" w:color="auto"/>
              <w:right w:val="single" w:sz="4" w:space="0" w:color="auto"/>
            </w:tcBorders>
            <w:vAlign w:val="center"/>
            <w:hideMark/>
          </w:tcPr>
          <w:p w14:paraId="4CD6A376"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149B9B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 for resource #3</w:t>
            </w:r>
          </w:p>
        </w:tc>
      </w:tr>
      <w:tr w:rsidR="003A71DE" w:rsidRPr="00EA3B97" w14:paraId="79C57825" w14:textId="77777777" w:rsidTr="003A71DE">
        <w:trPr>
          <w:trHeight w:val="33"/>
          <w:jc w:val="center"/>
        </w:trPr>
        <w:tc>
          <w:tcPr>
            <w:tcW w:w="2807" w:type="dxa"/>
            <w:tcBorders>
              <w:top w:val="nil"/>
              <w:left w:val="single" w:sz="4" w:space="0" w:color="auto"/>
              <w:bottom w:val="nil"/>
              <w:right w:val="single" w:sz="4" w:space="0" w:color="auto"/>
            </w:tcBorders>
            <w:hideMark/>
          </w:tcPr>
          <w:p w14:paraId="464E9BBC" w14:textId="77777777" w:rsidR="003A71DE" w:rsidRPr="00EA3B97" w:rsidRDefault="003A71DE" w:rsidP="001A5D47">
            <w:pPr>
              <w:pStyle w:val="TAL"/>
              <w:rPr>
                <w:rFonts w:eastAsiaTheme="minorEastAsia" w:cs="Arial"/>
                <w:i/>
                <w:lang w:eastAsia="ja-JP"/>
              </w:rPr>
            </w:pPr>
            <w:r w:rsidRPr="00EA3B97">
              <w:rPr>
                <w:rFonts w:eastAsiaTheme="minorEastAsia"/>
              </w:rPr>
              <w:t>firstOFDMSymbolInTimeDomain</w:t>
            </w:r>
          </w:p>
        </w:tc>
        <w:tc>
          <w:tcPr>
            <w:tcW w:w="1583" w:type="dxa"/>
            <w:tcBorders>
              <w:top w:val="nil"/>
              <w:left w:val="single" w:sz="4" w:space="0" w:color="auto"/>
              <w:bottom w:val="nil"/>
              <w:right w:val="single" w:sz="4" w:space="0" w:color="auto"/>
            </w:tcBorders>
            <w:hideMark/>
          </w:tcPr>
          <w:p w14:paraId="50B951E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#0</w:t>
            </w:r>
          </w:p>
        </w:tc>
        <w:tc>
          <w:tcPr>
            <w:tcW w:w="1559" w:type="dxa"/>
            <w:tcBorders>
              <w:top w:val="single" w:sz="4" w:space="0" w:color="auto"/>
              <w:left w:val="single" w:sz="4" w:space="0" w:color="auto"/>
              <w:bottom w:val="nil"/>
              <w:right w:val="single" w:sz="4" w:space="0" w:color="auto"/>
            </w:tcBorders>
            <w:hideMark/>
          </w:tcPr>
          <w:p w14:paraId="708856F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#1</w:t>
            </w:r>
          </w:p>
        </w:tc>
        <w:tc>
          <w:tcPr>
            <w:tcW w:w="1559" w:type="dxa"/>
            <w:tcBorders>
              <w:top w:val="single" w:sz="4" w:space="0" w:color="auto"/>
              <w:left w:val="single" w:sz="4" w:space="0" w:color="auto"/>
              <w:bottom w:val="nil"/>
              <w:right w:val="single" w:sz="4" w:space="0" w:color="auto"/>
            </w:tcBorders>
            <w:hideMark/>
          </w:tcPr>
          <w:p w14:paraId="397C730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#1</w:t>
            </w:r>
          </w:p>
        </w:tc>
        <w:tc>
          <w:tcPr>
            <w:tcW w:w="1842" w:type="dxa"/>
            <w:tcBorders>
              <w:top w:val="single" w:sz="4" w:space="0" w:color="auto"/>
              <w:left w:val="single" w:sz="4" w:space="0" w:color="auto"/>
              <w:bottom w:val="single" w:sz="4" w:space="0" w:color="auto"/>
              <w:right w:val="single" w:sz="4" w:space="0" w:color="auto"/>
            </w:tcBorders>
            <w:hideMark/>
          </w:tcPr>
          <w:p w14:paraId="7656C4B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4 for resource #4</w:t>
            </w:r>
          </w:p>
        </w:tc>
      </w:tr>
      <w:tr w:rsidR="003A71DE" w:rsidRPr="00EA3B97" w14:paraId="0E2C32F6" w14:textId="77777777" w:rsidTr="003A71DE">
        <w:trPr>
          <w:trHeight w:val="31"/>
          <w:jc w:val="center"/>
        </w:trPr>
        <w:tc>
          <w:tcPr>
            <w:tcW w:w="2807" w:type="dxa"/>
            <w:tcBorders>
              <w:top w:val="nil"/>
              <w:left w:val="single" w:sz="4" w:space="0" w:color="auto"/>
              <w:bottom w:val="nil"/>
              <w:right w:val="single" w:sz="4" w:space="0" w:color="auto"/>
            </w:tcBorders>
            <w:vAlign w:val="center"/>
            <w:hideMark/>
          </w:tcPr>
          <w:p w14:paraId="279F115D"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nil"/>
              <w:right w:val="single" w:sz="4" w:space="0" w:color="auto"/>
            </w:tcBorders>
            <w:vAlign w:val="center"/>
            <w:hideMark/>
          </w:tcPr>
          <w:p w14:paraId="1C69E23F"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25194CFA"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56AACE3D"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71B6D59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#5</w:t>
            </w:r>
          </w:p>
        </w:tc>
      </w:tr>
      <w:tr w:rsidR="003A71DE" w:rsidRPr="00EA3B97" w14:paraId="0A0B03C7" w14:textId="77777777" w:rsidTr="003A71DE">
        <w:trPr>
          <w:trHeight w:val="31"/>
          <w:jc w:val="center"/>
        </w:trPr>
        <w:tc>
          <w:tcPr>
            <w:tcW w:w="2807" w:type="dxa"/>
            <w:tcBorders>
              <w:top w:val="nil"/>
              <w:left w:val="single" w:sz="4" w:space="0" w:color="auto"/>
              <w:bottom w:val="nil"/>
              <w:right w:val="single" w:sz="4" w:space="0" w:color="auto"/>
            </w:tcBorders>
            <w:vAlign w:val="center"/>
            <w:hideMark/>
          </w:tcPr>
          <w:p w14:paraId="50ABB0A7"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nil"/>
              <w:right w:val="single" w:sz="4" w:space="0" w:color="auto"/>
            </w:tcBorders>
            <w:vAlign w:val="center"/>
            <w:hideMark/>
          </w:tcPr>
          <w:p w14:paraId="65A4D3BA"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7F5B7755"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vAlign w:val="center"/>
            <w:hideMark/>
          </w:tcPr>
          <w:p w14:paraId="72FE063D"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164256D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#6</w:t>
            </w:r>
          </w:p>
        </w:tc>
      </w:tr>
      <w:tr w:rsidR="003A71DE" w:rsidRPr="00EA3B97" w14:paraId="4B0CE993" w14:textId="77777777" w:rsidTr="003A71DE">
        <w:trPr>
          <w:trHeight w:val="31"/>
          <w:jc w:val="center"/>
        </w:trPr>
        <w:tc>
          <w:tcPr>
            <w:tcW w:w="2807" w:type="dxa"/>
            <w:tcBorders>
              <w:top w:val="nil"/>
              <w:left w:val="single" w:sz="4" w:space="0" w:color="auto"/>
              <w:bottom w:val="single" w:sz="4" w:space="0" w:color="auto"/>
              <w:right w:val="single" w:sz="4" w:space="0" w:color="auto"/>
            </w:tcBorders>
            <w:vAlign w:val="center"/>
            <w:hideMark/>
          </w:tcPr>
          <w:p w14:paraId="639C9234"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single" w:sz="4" w:space="0" w:color="auto"/>
              <w:right w:val="single" w:sz="4" w:space="0" w:color="auto"/>
            </w:tcBorders>
            <w:vAlign w:val="center"/>
            <w:hideMark/>
          </w:tcPr>
          <w:p w14:paraId="08A1B57A"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3EBBC1F7"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vAlign w:val="center"/>
            <w:hideMark/>
          </w:tcPr>
          <w:p w14:paraId="440D06DC"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42CCEF8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7 for resource #7</w:t>
            </w:r>
          </w:p>
        </w:tc>
      </w:tr>
      <w:tr w:rsidR="003A71DE" w:rsidRPr="00EA3B97" w14:paraId="707194DE"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496991B5" w14:textId="77777777" w:rsidR="003A71DE" w:rsidRPr="00EA3B97" w:rsidRDefault="003A71DE" w:rsidP="001A5D47">
            <w:pPr>
              <w:pStyle w:val="TAL"/>
              <w:rPr>
                <w:rFonts w:eastAsiaTheme="minorEastAsia" w:cs="Arial"/>
                <w:i/>
                <w:lang w:eastAsia="ja-JP"/>
              </w:rPr>
            </w:pPr>
            <w:r w:rsidRPr="00EA3B97">
              <w:rPr>
                <w:rFonts w:eastAsiaTheme="minorEastAsia"/>
              </w:rPr>
              <w:t>cdm-Type</w:t>
            </w:r>
          </w:p>
        </w:tc>
        <w:tc>
          <w:tcPr>
            <w:tcW w:w="1583" w:type="dxa"/>
            <w:tcBorders>
              <w:top w:val="single" w:sz="4" w:space="0" w:color="auto"/>
              <w:left w:val="single" w:sz="4" w:space="0" w:color="auto"/>
              <w:bottom w:val="single" w:sz="4" w:space="0" w:color="auto"/>
              <w:right w:val="single" w:sz="4" w:space="0" w:color="auto"/>
            </w:tcBorders>
            <w:vAlign w:val="center"/>
            <w:hideMark/>
          </w:tcPr>
          <w:p w14:paraId="72079668" w14:textId="77777777" w:rsidR="003A71DE" w:rsidRPr="00EA3B97" w:rsidRDefault="003A71DE" w:rsidP="001A5D47">
            <w:pPr>
              <w:pStyle w:val="TAL"/>
              <w:rPr>
                <w:rFonts w:eastAsiaTheme="minorEastAsia" w:cs="Arial"/>
                <w:lang w:eastAsia="ja-JP"/>
              </w:rPr>
            </w:pPr>
            <w:r w:rsidRPr="00EA3B97">
              <w:rPr>
                <w:rFonts w:eastAsiaTheme="minorEastAsia"/>
                <w:szCs w:val="18"/>
              </w:rPr>
              <w:t>FD-CDM2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82202D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BD339F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164508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r>
      <w:tr w:rsidR="003A71DE" w:rsidRPr="00EA3B97" w14:paraId="14927953"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068FC56" w14:textId="77777777" w:rsidR="003A71DE" w:rsidRPr="00EA3B97" w:rsidRDefault="003A71DE" w:rsidP="001A5D47">
            <w:pPr>
              <w:pStyle w:val="TAL"/>
              <w:rPr>
                <w:rFonts w:eastAsiaTheme="minorEastAsia" w:cs="Arial"/>
                <w:i/>
                <w:lang w:eastAsia="ja-JP"/>
              </w:rPr>
            </w:pPr>
            <w:r w:rsidRPr="00EA3B97">
              <w:rPr>
                <w:rFonts w:eastAsiaTheme="minorEastAsia"/>
              </w:rPr>
              <w:t>density</w:t>
            </w:r>
          </w:p>
        </w:tc>
        <w:tc>
          <w:tcPr>
            <w:tcW w:w="1583" w:type="dxa"/>
            <w:tcBorders>
              <w:top w:val="single" w:sz="4" w:space="0" w:color="auto"/>
              <w:left w:val="single" w:sz="4" w:space="0" w:color="auto"/>
              <w:bottom w:val="single" w:sz="4" w:space="0" w:color="auto"/>
              <w:right w:val="single" w:sz="4" w:space="0" w:color="auto"/>
            </w:tcBorders>
            <w:vAlign w:val="center"/>
            <w:hideMark/>
          </w:tcPr>
          <w:p w14:paraId="66A55A7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08C5E4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40A65F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c>
          <w:tcPr>
            <w:tcW w:w="1842" w:type="dxa"/>
            <w:tcBorders>
              <w:top w:val="single" w:sz="4" w:space="0" w:color="auto"/>
              <w:left w:val="single" w:sz="4" w:space="0" w:color="auto"/>
              <w:bottom w:val="single" w:sz="4" w:space="0" w:color="auto"/>
              <w:right w:val="single" w:sz="4" w:space="0" w:color="auto"/>
            </w:tcBorders>
            <w:vAlign w:val="center"/>
            <w:hideMark/>
          </w:tcPr>
          <w:p w14:paraId="2DF7C02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r>
      <w:tr w:rsidR="003A71DE" w:rsidRPr="00EA3B97" w14:paraId="13DD89CD"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24515A1" w14:textId="77777777" w:rsidR="003A71DE" w:rsidRPr="00EA3B97" w:rsidRDefault="003A71DE" w:rsidP="001A5D47">
            <w:pPr>
              <w:pStyle w:val="TAL"/>
              <w:rPr>
                <w:rFonts w:eastAsiaTheme="minorEastAsia" w:cs="Arial"/>
                <w:i/>
                <w:lang w:eastAsia="ja-JP"/>
              </w:rPr>
            </w:pPr>
            <w:r w:rsidRPr="00EA3B97">
              <w:rPr>
                <w:rFonts w:eastAsiaTheme="minorEastAsia"/>
              </w:rPr>
              <w:t>startingRB</w:t>
            </w:r>
          </w:p>
        </w:tc>
        <w:tc>
          <w:tcPr>
            <w:tcW w:w="1583" w:type="dxa"/>
            <w:tcBorders>
              <w:top w:val="single" w:sz="4" w:space="0" w:color="auto"/>
              <w:left w:val="single" w:sz="4" w:space="0" w:color="auto"/>
              <w:bottom w:val="single" w:sz="4" w:space="0" w:color="auto"/>
              <w:right w:val="single" w:sz="4" w:space="0" w:color="auto"/>
            </w:tcBorders>
            <w:vAlign w:val="center"/>
            <w:hideMark/>
          </w:tcPr>
          <w:p w14:paraId="3F5BAF5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B6234A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18AF6A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0B248A6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761490ED"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4FC39CA" w14:textId="77777777" w:rsidR="003A71DE" w:rsidRPr="00EA3B97" w:rsidRDefault="003A71DE" w:rsidP="001A5D47">
            <w:pPr>
              <w:pStyle w:val="TAL"/>
              <w:rPr>
                <w:rFonts w:eastAsiaTheme="minorEastAsia" w:cs="Arial"/>
                <w:i/>
                <w:lang w:eastAsia="ja-JP"/>
              </w:rPr>
            </w:pPr>
            <w:r w:rsidRPr="00EA3B97">
              <w:rPr>
                <w:rFonts w:eastAsiaTheme="minorEastAsia"/>
              </w:rPr>
              <w:t>nrofRBs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4B41DCB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8BC31C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6CE004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7ED4FA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r>
      <w:tr w:rsidR="003A71DE" w:rsidRPr="00EA3B97" w14:paraId="0374E358" w14:textId="77777777" w:rsidTr="003A71DE">
        <w:trPr>
          <w:jc w:val="center"/>
        </w:trPr>
        <w:tc>
          <w:tcPr>
            <w:tcW w:w="9350" w:type="dxa"/>
            <w:gridSpan w:val="5"/>
            <w:tcBorders>
              <w:top w:val="single" w:sz="4" w:space="0" w:color="auto"/>
              <w:left w:val="single" w:sz="4" w:space="0" w:color="auto"/>
              <w:bottom w:val="single" w:sz="4" w:space="0" w:color="auto"/>
              <w:right w:val="single" w:sz="4" w:space="0" w:color="auto"/>
            </w:tcBorders>
            <w:vAlign w:val="center"/>
          </w:tcPr>
          <w:p w14:paraId="0E08D235" w14:textId="77777777" w:rsidR="003A71DE" w:rsidRPr="00EA3B97" w:rsidRDefault="003A71DE" w:rsidP="003A71DE">
            <w:pPr>
              <w:keepNext/>
              <w:keepLines/>
              <w:spacing w:after="0"/>
              <w:ind w:left="851" w:hanging="851"/>
              <w:rPr>
                <w:rFonts w:ascii="Arial" w:eastAsiaTheme="minorEastAsia" w:hAnsi="Arial"/>
                <w:sz w:val="18"/>
                <w:lang w:eastAsia="ja-JP"/>
              </w:rPr>
            </w:pPr>
            <w:r w:rsidRPr="00EA3B97">
              <w:rPr>
                <w:rFonts w:ascii="Arial" w:eastAsiaTheme="minorEastAsia" w:hAnsi="Arial"/>
                <w:sz w:val="18"/>
                <w:lang w:eastAsia="ja-JP"/>
              </w:rPr>
              <w:t>No</w:t>
            </w:r>
            <w:r w:rsidRPr="001A5D47">
              <w:rPr>
                <w:rFonts w:ascii="Arial" w:hAnsi="Arial"/>
                <w:sz w:val="18"/>
              </w:rPr>
              <w:t>te 1:</w:t>
            </w:r>
            <w:r w:rsidRPr="001A5D47">
              <w:rPr>
                <w:rFonts w:ascii="Arial" w:hAnsi="Arial"/>
                <w:snapToGrid w:val="0"/>
                <w:sz w:val="18"/>
              </w:rPr>
              <w:tab/>
            </w:r>
            <w:r w:rsidRPr="001A5D47">
              <w:rPr>
                <w:rFonts w:ascii="Arial" w:hAnsi="Arial"/>
                <w:sz w:val="18"/>
              </w:rPr>
              <w:t>If the configured value of PRBs is larger than the width of the corresponding BWP relevant for the test cas</w:t>
            </w:r>
            <w:r w:rsidRPr="00EA3B97">
              <w:rPr>
                <w:rFonts w:ascii="Arial" w:eastAsiaTheme="minorEastAsia" w:hAnsi="Arial"/>
                <w:sz w:val="18"/>
                <w:lang w:eastAsia="ja-JP"/>
              </w:rPr>
              <w:t>e, the Test Equipment shall implement CSI-RS only in the width of that BWP.</w:t>
            </w:r>
          </w:p>
        </w:tc>
      </w:tr>
    </w:tbl>
    <w:p w14:paraId="36426144" w14:textId="77777777" w:rsidR="003A71DE" w:rsidRPr="00EA3B97" w:rsidRDefault="003A71DE" w:rsidP="003A71DE">
      <w:pPr>
        <w:rPr>
          <w:rFonts w:eastAsia="MS Mincho"/>
        </w:rPr>
      </w:pPr>
    </w:p>
    <w:p w14:paraId="2B9A2D52" w14:textId="77777777" w:rsidR="003A71DE" w:rsidRPr="00EA3B97" w:rsidRDefault="003A71DE" w:rsidP="00BA0D24">
      <w:pPr>
        <w:pStyle w:val="TH"/>
        <w:rPr>
          <w:rFonts w:eastAsiaTheme="minorEastAsia"/>
        </w:rPr>
      </w:pPr>
      <w:r w:rsidRPr="00EA3B97">
        <w:rPr>
          <w:rFonts w:eastAsiaTheme="minorEastAsia"/>
        </w:rPr>
        <w:lastRenderedPageBreak/>
        <w:t>Table G.1.7.1-3: CSI-RS Reference Measurement Channels for SCS=120kHz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7"/>
        <w:gridCol w:w="1583"/>
        <w:gridCol w:w="1559"/>
        <w:gridCol w:w="1559"/>
        <w:gridCol w:w="1842"/>
      </w:tblGrid>
      <w:tr w:rsidR="003A71DE" w:rsidRPr="00EA3B97" w14:paraId="70DD3EC2"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tcPr>
          <w:p w14:paraId="54C95E6E" w14:textId="77777777" w:rsidR="003A71DE" w:rsidRPr="00EA3B97" w:rsidRDefault="003A71DE" w:rsidP="001A5D47">
            <w:pPr>
              <w:pStyle w:val="TAH"/>
              <w:rPr>
                <w:rFonts w:eastAsiaTheme="minorEastAsia"/>
                <w:lang w:eastAsia="ja-JP"/>
              </w:rPr>
            </w:pPr>
          </w:p>
        </w:tc>
        <w:tc>
          <w:tcPr>
            <w:tcW w:w="1583" w:type="dxa"/>
            <w:tcBorders>
              <w:top w:val="single" w:sz="4" w:space="0" w:color="auto"/>
              <w:left w:val="single" w:sz="4" w:space="0" w:color="auto"/>
              <w:bottom w:val="single" w:sz="4" w:space="0" w:color="auto"/>
              <w:right w:val="single" w:sz="4" w:space="0" w:color="auto"/>
            </w:tcBorders>
            <w:vAlign w:val="center"/>
            <w:hideMark/>
          </w:tcPr>
          <w:p w14:paraId="4C389247" w14:textId="77777777" w:rsidR="003A71DE" w:rsidRPr="00EA3B97" w:rsidRDefault="003A71DE" w:rsidP="001A5D47">
            <w:pPr>
              <w:pStyle w:val="TAH"/>
              <w:rPr>
                <w:rFonts w:eastAsiaTheme="minorEastAsia"/>
                <w:lang w:eastAsia="ja-JP"/>
              </w:rPr>
            </w:pPr>
            <w:r w:rsidRPr="00EA3B97">
              <w:rPr>
                <w:rFonts w:eastAsiaTheme="minorEastAsia"/>
                <w:lang w:eastAsia="ja-JP"/>
              </w:rPr>
              <w:t>CSI-RS.3.1 TDD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1509259" w14:textId="77777777" w:rsidR="003A71DE" w:rsidRPr="00EA3B97" w:rsidRDefault="003A71DE" w:rsidP="001A5D47">
            <w:pPr>
              <w:pStyle w:val="TAH"/>
              <w:rPr>
                <w:rFonts w:eastAsiaTheme="minorEastAsia"/>
                <w:lang w:eastAsia="ja-JP"/>
              </w:rPr>
            </w:pPr>
            <w:r w:rsidRPr="00EA3B97">
              <w:rPr>
                <w:rFonts w:eastAsiaTheme="minorEastAsia"/>
                <w:lang w:eastAsia="ja-JP"/>
              </w:rPr>
              <w:t>CSI-RS.3.2 TDD</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B0B3107" w14:textId="77777777" w:rsidR="003A71DE" w:rsidRPr="00EA3B97" w:rsidRDefault="003A71DE" w:rsidP="001A5D47">
            <w:pPr>
              <w:pStyle w:val="TAH"/>
              <w:rPr>
                <w:rFonts w:eastAsiaTheme="minorEastAsia"/>
                <w:lang w:eastAsia="ja-JP"/>
              </w:rPr>
            </w:pPr>
            <w:r w:rsidRPr="00EA3B97">
              <w:rPr>
                <w:rFonts w:eastAsiaTheme="minorEastAsia"/>
                <w:lang w:eastAsia="ja-JP"/>
              </w:rPr>
              <w:t>CSI-RS.3.3 TDD</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764CB6E" w14:textId="77777777" w:rsidR="003A71DE" w:rsidRPr="00EA3B97" w:rsidRDefault="003A71DE" w:rsidP="001A5D47">
            <w:pPr>
              <w:pStyle w:val="TAH"/>
              <w:rPr>
                <w:rFonts w:eastAsiaTheme="minorEastAsia"/>
                <w:lang w:eastAsia="ja-JP"/>
              </w:rPr>
            </w:pPr>
            <w:r w:rsidRPr="00EA3B97">
              <w:rPr>
                <w:rFonts w:eastAsiaTheme="minorEastAsia"/>
                <w:lang w:eastAsia="ja-JP"/>
              </w:rPr>
              <w:t>CSI-RS.3.4 TDD</w:t>
            </w:r>
          </w:p>
        </w:tc>
      </w:tr>
      <w:tr w:rsidR="003A71DE" w:rsidRPr="00EA3B97" w14:paraId="7ACFCB20"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72BD85CB" w14:textId="77777777" w:rsidR="003A71DE" w:rsidRPr="00EA3B97" w:rsidRDefault="003A71DE" w:rsidP="001A5D47">
            <w:pPr>
              <w:pStyle w:val="TAC"/>
              <w:rPr>
                <w:rFonts w:eastAsiaTheme="minorEastAsia"/>
                <w:lang w:eastAsia="ja-JP"/>
              </w:rPr>
            </w:pPr>
            <w:r w:rsidRPr="00EA3B97">
              <w:rPr>
                <w:rFonts w:eastAsiaTheme="minorEastAsia"/>
                <w:lang w:eastAsia="ja-JP"/>
              </w:rPr>
              <w:t>Resource Type</w:t>
            </w:r>
          </w:p>
        </w:tc>
        <w:tc>
          <w:tcPr>
            <w:tcW w:w="1583" w:type="dxa"/>
            <w:tcBorders>
              <w:top w:val="single" w:sz="4" w:space="0" w:color="auto"/>
              <w:left w:val="single" w:sz="4" w:space="0" w:color="auto"/>
              <w:bottom w:val="single" w:sz="4" w:space="0" w:color="auto"/>
              <w:right w:val="single" w:sz="4" w:space="0" w:color="auto"/>
            </w:tcBorders>
            <w:vAlign w:val="center"/>
            <w:hideMark/>
          </w:tcPr>
          <w:p w14:paraId="6BC2BD8C" w14:textId="77777777" w:rsidR="003A71DE" w:rsidRPr="00EA3B97" w:rsidRDefault="003A71DE" w:rsidP="001A5D47">
            <w:pPr>
              <w:pStyle w:val="TAC"/>
              <w:rPr>
                <w:rFonts w:eastAsiaTheme="minorEastAsia"/>
                <w:lang w:eastAsia="ja-JP"/>
              </w:rPr>
            </w:pPr>
            <w:r w:rsidRPr="00EA3B97">
              <w:rPr>
                <w:rFonts w:eastAsiaTheme="minorEastAsia"/>
                <w:lang w:eastAsia="ja-JP"/>
              </w:rPr>
              <w:t>periodic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8EE86FE" w14:textId="77777777" w:rsidR="003A71DE" w:rsidRPr="00EA3B97" w:rsidRDefault="003A71DE" w:rsidP="001A5D47">
            <w:pPr>
              <w:pStyle w:val="TAC"/>
              <w:rPr>
                <w:rFonts w:eastAsiaTheme="minorEastAsia"/>
                <w:lang w:eastAsia="ja-JP"/>
              </w:rPr>
            </w:pPr>
            <w:r w:rsidRPr="00EA3B97">
              <w:rPr>
                <w:rFonts w:eastAsiaTheme="minorEastAsia"/>
                <w:lang w:eastAsia="ja-JP"/>
              </w:rPr>
              <w:t>periodic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1BD7DBC" w14:textId="77777777" w:rsidR="003A71DE" w:rsidRPr="00EA3B97" w:rsidRDefault="003A71DE" w:rsidP="001A5D47">
            <w:pPr>
              <w:pStyle w:val="TAC"/>
              <w:rPr>
                <w:rFonts w:eastAsiaTheme="minorEastAsia"/>
                <w:lang w:eastAsia="ja-JP"/>
              </w:rPr>
            </w:pPr>
            <w:r w:rsidRPr="00EA3B97">
              <w:rPr>
                <w:rFonts w:eastAsiaTheme="minorEastAsia"/>
                <w:lang w:eastAsia="ja-JP"/>
              </w:rPr>
              <w:t>aperiodic</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D8D8FBB" w14:textId="77777777" w:rsidR="003A71DE" w:rsidRPr="00EA3B97" w:rsidRDefault="003A71DE" w:rsidP="001A5D47">
            <w:pPr>
              <w:pStyle w:val="TAC"/>
              <w:rPr>
                <w:rFonts w:eastAsiaTheme="minorEastAsia"/>
                <w:lang w:eastAsia="ja-JP"/>
              </w:rPr>
            </w:pPr>
            <w:r w:rsidRPr="00EA3B97">
              <w:rPr>
                <w:rFonts w:eastAsiaTheme="minorEastAsia"/>
                <w:lang w:eastAsia="ja-JP"/>
              </w:rPr>
              <w:t>aperiodic</w:t>
            </w:r>
          </w:p>
        </w:tc>
      </w:tr>
      <w:tr w:rsidR="003A71DE" w:rsidRPr="00EA3B97" w14:paraId="43F8EDD4"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10B094CC" w14:textId="77777777" w:rsidR="003A71DE" w:rsidRPr="00EA3B97" w:rsidRDefault="003A71DE" w:rsidP="003A71DE">
            <w:pPr>
              <w:keepNext/>
              <w:keepLines/>
              <w:spacing w:after="0"/>
              <w:jc w:val="center"/>
              <w:rPr>
                <w:rFonts w:ascii="Arial" w:eastAsiaTheme="minorEastAsia" w:hAnsi="Arial" w:cs="Arial"/>
                <w:b/>
                <w:sz w:val="18"/>
                <w:lang w:eastAsia="ja-JP"/>
              </w:rPr>
            </w:pPr>
            <w:r w:rsidRPr="00EA3B97">
              <w:rPr>
                <w:rFonts w:ascii="Arial" w:eastAsiaTheme="minorEastAsia" w:hAnsi="Arial" w:cs="Arial"/>
                <w:b/>
                <w:sz w:val="18"/>
                <w:lang w:eastAsia="ja-JP"/>
              </w:rPr>
              <w:t>Resource Set Config</w:t>
            </w:r>
          </w:p>
        </w:tc>
        <w:tc>
          <w:tcPr>
            <w:tcW w:w="1583" w:type="dxa"/>
            <w:tcBorders>
              <w:top w:val="single" w:sz="4" w:space="0" w:color="auto"/>
              <w:left w:val="single" w:sz="4" w:space="0" w:color="auto"/>
              <w:bottom w:val="single" w:sz="4" w:space="0" w:color="auto"/>
              <w:right w:val="single" w:sz="4" w:space="0" w:color="auto"/>
            </w:tcBorders>
            <w:vAlign w:val="center"/>
          </w:tcPr>
          <w:p w14:paraId="6149077C"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49B114C9"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29773CB6" w14:textId="77777777" w:rsidR="003A71DE" w:rsidRPr="00EA3B97" w:rsidRDefault="003A71DE" w:rsidP="003A71DE">
            <w:pPr>
              <w:keepNext/>
              <w:keepLines/>
              <w:spacing w:after="0"/>
              <w:jc w:val="center"/>
              <w:rPr>
                <w:rFonts w:ascii="Arial" w:eastAsiaTheme="minorEastAsia" w:hAnsi="Arial" w:cs="Arial"/>
                <w:b/>
                <w:sz w:val="18"/>
                <w:lang w:eastAsia="ja-JP"/>
              </w:rPr>
            </w:pPr>
          </w:p>
        </w:tc>
        <w:tc>
          <w:tcPr>
            <w:tcW w:w="1842" w:type="dxa"/>
            <w:tcBorders>
              <w:top w:val="single" w:sz="4" w:space="0" w:color="auto"/>
              <w:left w:val="single" w:sz="4" w:space="0" w:color="auto"/>
              <w:bottom w:val="single" w:sz="4" w:space="0" w:color="auto"/>
              <w:right w:val="single" w:sz="4" w:space="0" w:color="auto"/>
            </w:tcBorders>
            <w:vAlign w:val="center"/>
          </w:tcPr>
          <w:p w14:paraId="5E60D5DA" w14:textId="77777777" w:rsidR="003A71DE" w:rsidRPr="00EA3B97" w:rsidRDefault="003A71DE" w:rsidP="003A71DE">
            <w:pPr>
              <w:keepNext/>
              <w:keepLines/>
              <w:spacing w:after="0"/>
              <w:jc w:val="center"/>
              <w:rPr>
                <w:rFonts w:ascii="Arial" w:eastAsiaTheme="minorEastAsia" w:hAnsi="Arial" w:cs="Arial"/>
                <w:b/>
                <w:sz w:val="18"/>
                <w:lang w:eastAsia="ja-JP"/>
              </w:rPr>
            </w:pPr>
          </w:p>
        </w:tc>
      </w:tr>
      <w:tr w:rsidR="003A71DE" w:rsidRPr="00EA3B97" w14:paraId="3926BF0F"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FC8AB7E" w14:textId="77777777" w:rsidR="003A71DE" w:rsidRPr="00EA3B97" w:rsidRDefault="003A71DE" w:rsidP="001A5D47">
            <w:pPr>
              <w:pStyle w:val="TAL"/>
              <w:rPr>
                <w:rFonts w:eastAsiaTheme="minorEastAsia" w:cs="Arial"/>
                <w:i/>
                <w:lang w:eastAsia="ja-JP"/>
              </w:rPr>
            </w:pPr>
            <w:r w:rsidRPr="00EA3B97">
              <w:rPr>
                <w:rFonts w:eastAsiaTheme="minorEastAsia"/>
              </w:rPr>
              <w:t>nzp-CSI-ResourceSetId</w:t>
            </w:r>
          </w:p>
        </w:tc>
        <w:tc>
          <w:tcPr>
            <w:tcW w:w="1583" w:type="dxa"/>
            <w:tcBorders>
              <w:top w:val="single" w:sz="4" w:space="0" w:color="auto"/>
              <w:left w:val="single" w:sz="4" w:space="0" w:color="auto"/>
              <w:bottom w:val="single" w:sz="4" w:space="0" w:color="auto"/>
              <w:right w:val="single" w:sz="4" w:space="0" w:color="auto"/>
            </w:tcBorders>
            <w:vAlign w:val="center"/>
            <w:hideMark/>
          </w:tcPr>
          <w:p w14:paraId="1067D39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A2C56D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20D396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2060B5A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1A2BFA94"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1E7C7D0A" w14:textId="77777777" w:rsidR="003A71DE" w:rsidRPr="00EA3B97" w:rsidRDefault="003A71DE" w:rsidP="001A5D47">
            <w:pPr>
              <w:pStyle w:val="TAL"/>
              <w:rPr>
                <w:rFonts w:eastAsiaTheme="minorEastAsia" w:cs="Arial"/>
                <w:i/>
                <w:lang w:eastAsia="ja-JP"/>
              </w:rPr>
            </w:pPr>
            <w:r w:rsidRPr="00EA3B97">
              <w:rPr>
                <w:rFonts w:eastAsiaTheme="minorEastAsia"/>
              </w:rPr>
              <w:t>repetition</w:t>
            </w:r>
          </w:p>
        </w:tc>
        <w:tc>
          <w:tcPr>
            <w:tcW w:w="1583" w:type="dxa"/>
            <w:tcBorders>
              <w:top w:val="single" w:sz="4" w:space="0" w:color="auto"/>
              <w:left w:val="single" w:sz="4" w:space="0" w:color="auto"/>
              <w:bottom w:val="single" w:sz="4" w:space="0" w:color="auto"/>
              <w:right w:val="single" w:sz="4" w:space="0" w:color="auto"/>
            </w:tcBorders>
            <w:vAlign w:val="center"/>
            <w:hideMark/>
          </w:tcPr>
          <w:p w14:paraId="28D5B34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94AE7E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off</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9AE9B1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off</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A7FF6C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on</w:t>
            </w:r>
          </w:p>
        </w:tc>
      </w:tr>
      <w:tr w:rsidR="003A71DE" w:rsidRPr="00EA3B97" w14:paraId="65095537"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2438CD05" w14:textId="77777777" w:rsidR="003A71DE" w:rsidRPr="00EA3B97" w:rsidRDefault="003A71DE" w:rsidP="001A5D47">
            <w:pPr>
              <w:pStyle w:val="TAL"/>
              <w:rPr>
                <w:rFonts w:eastAsiaTheme="minorEastAsia" w:cs="Arial"/>
                <w:i/>
                <w:lang w:eastAsia="ja-JP"/>
              </w:rPr>
            </w:pPr>
            <w:r w:rsidRPr="00EA3B97">
              <w:rPr>
                <w:rFonts w:eastAsiaTheme="minorEastAsia"/>
              </w:rPr>
              <w:t>aperiodicTriggeringOffset</w:t>
            </w:r>
          </w:p>
        </w:tc>
        <w:tc>
          <w:tcPr>
            <w:tcW w:w="1583" w:type="dxa"/>
            <w:tcBorders>
              <w:top w:val="single" w:sz="4" w:space="0" w:color="auto"/>
              <w:left w:val="single" w:sz="4" w:space="0" w:color="auto"/>
              <w:bottom w:val="single" w:sz="4" w:space="0" w:color="auto"/>
              <w:right w:val="single" w:sz="4" w:space="0" w:color="auto"/>
            </w:tcBorders>
            <w:vAlign w:val="center"/>
            <w:hideMark/>
          </w:tcPr>
          <w:p w14:paraId="321DF6B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28E58F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9F6F18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19DFD4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w:t>
            </w:r>
          </w:p>
        </w:tc>
      </w:tr>
      <w:tr w:rsidR="003A71DE" w:rsidRPr="00EA3B97" w14:paraId="049DBA75"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2171E6F" w14:textId="77777777" w:rsidR="003A71DE" w:rsidRPr="00EA3B97" w:rsidRDefault="003A71DE" w:rsidP="001A5D47">
            <w:pPr>
              <w:pStyle w:val="TAL"/>
              <w:rPr>
                <w:rFonts w:eastAsiaTheme="minorEastAsia" w:cs="Arial"/>
                <w:i/>
                <w:lang w:eastAsia="ja-JP"/>
              </w:rPr>
            </w:pPr>
            <w:r w:rsidRPr="00EA3B97">
              <w:rPr>
                <w:rFonts w:eastAsiaTheme="minorEastAsia"/>
              </w:rPr>
              <w:t>trs-Info</w:t>
            </w:r>
          </w:p>
        </w:tc>
        <w:tc>
          <w:tcPr>
            <w:tcW w:w="1583" w:type="dxa"/>
            <w:tcBorders>
              <w:top w:val="single" w:sz="4" w:space="0" w:color="auto"/>
              <w:left w:val="single" w:sz="4" w:space="0" w:color="auto"/>
              <w:bottom w:val="single" w:sz="4" w:space="0" w:color="auto"/>
              <w:right w:val="single" w:sz="4" w:space="0" w:color="auto"/>
            </w:tcBorders>
            <w:vAlign w:val="center"/>
            <w:hideMark/>
          </w:tcPr>
          <w:p w14:paraId="3BF7610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C5298D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7BF6D7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5D8436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4A3634F8"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206C24B" w14:textId="77777777" w:rsidR="003A71DE" w:rsidRPr="00EA3B97" w:rsidRDefault="003A71DE" w:rsidP="003A71DE">
            <w:pPr>
              <w:keepNext/>
              <w:keepLines/>
              <w:spacing w:after="0"/>
              <w:jc w:val="center"/>
              <w:rPr>
                <w:rFonts w:ascii="Arial" w:eastAsiaTheme="minorEastAsia" w:hAnsi="Arial"/>
                <w:b/>
                <w:sz w:val="18"/>
              </w:rPr>
            </w:pPr>
            <w:r w:rsidRPr="00EA3B97">
              <w:rPr>
                <w:rFonts w:ascii="Arial" w:eastAsiaTheme="minorEastAsia" w:hAnsi="Arial"/>
                <w:b/>
                <w:sz w:val="18"/>
              </w:rPr>
              <w:t>Resource Config</w:t>
            </w:r>
          </w:p>
        </w:tc>
        <w:tc>
          <w:tcPr>
            <w:tcW w:w="1583" w:type="dxa"/>
            <w:tcBorders>
              <w:top w:val="single" w:sz="4" w:space="0" w:color="auto"/>
              <w:left w:val="single" w:sz="4" w:space="0" w:color="auto"/>
              <w:bottom w:val="single" w:sz="4" w:space="0" w:color="auto"/>
              <w:right w:val="single" w:sz="4" w:space="0" w:color="auto"/>
            </w:tcBorders>
            <w:vAlign w:val="center"/>
          </w:tcPr>
          <w:p w14:paraId="48587C08" w14:textId="77777777" w:rsidR="003A71DE" w:rsidRPr="00EA3B97" w:rsidRDefault="003A71DE" w:rsidP="003A71DE">
            <w:pPr>
              <w:keepNext/>
              <w:keepLines/>
              <w:spacing w:after="0"/>
              <w:rPr>
                <w:rFonts w:ascii="Arial" w:eastAsiaTheme="minorEastAsia" w:hAnsi="Arial" w:cs="Arial"/>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059B0F02" w14:textId="77777777" w:rsidR="003A71DE" w:rsidRPr="00EA3B97" w:rsidRDefault="003A71DE" w:rsidP="003A71DE">
            <w:pPr>
              <w:keepNext/>
              <w:keepLines/>
              <w:spacing w:after="0"/>
              <w:rPr>
                <w:rFonts w:ascii="Arial" w:eastAsiaTheme="minorEastAsia" w:hAnsi="Arial" w:cs="Arial"/>
                <w:sz w:val="18"/>
                <w:lang w:eastAsia="ja-JP"/>
              </w:rPr>
            </w:pPr>
          </w:p>
        </w:tc>
        <w:tc>
          <w:tcPr>
            <w:tcW w:w="1559" w:type="dxa"/>
            <w:tcBorders>
              <w:top w:val="single" w:sz="4" w:space="0" w:color="auto"/>
              <w:left w:val="single" w:sz="4" w:space="0" w:color="auto"/>
              <w:bottom w:val="single" w:sz="4" w:space="0" w:color="auto"/>
              <w:right w:val="single" w:sz="4" w:space="0" w:color="auto"/>
            </w:tcBorders>
            <w:vAlign w:val="center"/>
          </w:tcPr>
          <w:p w14:paraId="289B79DF" w14:textId="77777777" w:rsidR="003A71DE" w:rsidRPr="00EA3B97" w:rsidRDefault="003A71DE" w:rsidP="003A71DE">
            <w:pPr>
              <w:keepNext/>
              <w:keepLines/>
              <w:spacing w:after="0"/>
              <w:rPr>
                <w:rFonts w:ascii="Arial" w:eastAsiaTheme="minorEastAsia" w:hAnsi="Arial" w:cs="Arial"/>
                <w:sz w:val="18"/>
                <w:lang w:eastAsia="ja-JP"/>
              </w:rPr>
            </w:pPr>
          </w:p>
        </w:tc>
        <w:tc>
          <w:tcPr>
            <w:tcW w:w="1842" w:type="dxa"/>
            <w:tcBorders>
              <w:top w:val="single" w:sz="4" w:space="0" w:color="auto"/>
              <w:left w:val="single" w:sz="4" w:space="0" w:color="auto"/>
              <w:bottom w:val="single" w:sz="4" w:space="0" w:color="auto"/>
              <w:right w:val="single" w:sz="4" w:space="0" w:color="auto"/>
            </w:tcBorders>
            <w:vAlign w:val="center"/>
          </w:tcPr>
          <w:p w14:paraId="6F9F380D" w14:textId="77777777" w:rsidR="003A71DE" w:rsidRPr="00EA3B97" w:rsidRDefault="003A71DE" w:rsidP="003A71DE">
            <w:pPr>
              <w:keepNext/>
              <w:keepLines/>
              <w:spacing w:after="0"/>
              <w:rPr>
                <w:rFonts w:ascii="Arial" w:eastAsiaTheme="minorEastAsia" w:hAnsi="Arial" w:cs="Arial"/>
                <w:sz w:val="18"/>
                <w:lang w:eastAsia="ja-JP"/>
              </w:rPr>
            </w:pPr>
          </w:p>
        </w:tc>
      </w:tr>
      <w:tr w:rsidR="003A71DE" w:rsidRPr="00EA3B97" w14:paraId="04E7BE19" w14:textId="77777777" w:rsidTr="003A71DE">
        <w:trPr>
          <w:trHeight w:val="33"/>
          <w:jc w:val="center"/>
        </w:trPr>
        <w:tc>
          <w:tcPr>
            <w:tcW w:w="2807" w:type="dxa"/>
            <w:tcBorders>
              <w:top w:val="single" w:sz="4" w:space="0" w:color="auto"/>
              <w:left w:val="single" w:sz="4" w:space="0" w:color="auto"/>
              <w:bottom w:val="nil"/>
              <w:right w:val="single" w:sz="4" w:space="0" w:color="auto"/>
            </w:tcBorders>
          </w:tcPr>
          <w:p w14:paraId="1C9AFDD0" w14:textId="77777777" w:rsidR="003A71DE" w:rsidRPr="00EA3B97" w:rsidRDefault="003A71DE" w:rsidP="001A5D47">
            <w:pPr>
              <w:pStyle w:val="TAL"/>
              <w:rPr>
                <w:rFonts w:eastAsiaTheme="minorEastAsia"/>
              </w:rPr>
            </w:pPr>
          </w:p>
        </w:tc>
        <w:tc>
          <w:tcPr>
            <w:tcW w:w="1583" w:type="dxa"/>
            <w:tcBorders>
              <w:top w:val="single" w:sz="4" w:space="0" w:color="auto"/>
              <w:left w:val="single" w:sz="4" w:space="0" w:color="auto"/>
              <w:bottom w:val="nil"/>
              <w:right w:val="single" w:sz="4" w:space="0" w:color="auto"/>
            </w:tcBorders>
          </w:tcPr>
          <w:p w14:paraId="0107E7BD"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nil"/>
              <w:right w:val="single" w:sz="4" w:space="0" w:color="auto"/>
            </w:tcBorders>
            <w:hideMark/>
          </w:tcPr>
          <w:p w14:paraId="2751E29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10 for resource #0</w:t>
            </w:r>
          </w:p>
        </w:tc>
        <w:tc>
          <w:tcPr>
            <w:tcW w:w="1559" w:type="dxa"/>
            <w:tcBorders>
              <w:top w:val="single" w:sz="4" w:space="0" w:color="auto"/>
              <w:left w:val="single" w:sz="4" w:space="0" w:color="auto"/>
              <w:bottom w:val="nil"/>
              <w:right w:val="single" w:sz="4" w:space="0" w:color="auto"/>
            </w:tcBorders>
            <w:hideMark/>
          </w:tcPr>
          <w:p w14:paraId="0B6EF67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20 for resource #0</w:t>
            </w:r>
          </w:p>
        </w:tc>
        <w:tc>
          <w:tcPr>
            <w:tcW w:w="1842" w:type="dxa"/>
            <w:tcBorders>
              <w:top w:val="single" w:sz="4" w:space="0" w:color="auto"/>
              <w:left w:val="single" w:sz="4" w:space="0" w:color="auto"/>
              <w:bottom w:val="single" w:sz="4" w:space="0" w:color="auto"/>
              <w:right w:val="single" w:sz="4" w:space="0" w:color="auto"/>
            </w:tcBorders>
            <w:hideMark/>
          </w:tcPr>
          <w:p w14:paraId="3AF2851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r>
      <w:tr w:rsidR="003A71DE" w:rsidRPr="00EA3B97" w14:paraId="7B30F4C7" w14:textId="77777777" w:rsidTr="003A71DE">
        <w:trPr>
          <w:trHeight w:val="31"/>
          <w:jc w:val="center"/>
        </w:trPr>
        <w:tc>
          <w:tcPr>
            <w:tcW w:w="2807" w:type="dxa"/>
            <w:tcBorders>
              <w:top w:val="nil"/>
              <w:left w:val="single" w:sz="4" w:space="0" w:color="auto"/>
              <w:bottom w:val="nil"/>
              <w:right w:val="single" w:sz="4" w:space="0" w:color="auto"/>
            </w:tcBorders>
            <w:hideMark/>
          </w:tcPr>
          <w:p w14:paraId="497489DE"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16D9D9C0"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3E8354E5"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4F5CAD3B"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316E9AA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 for resource #1</w:t>
            </w:r>
          </w:p>
        </w:tc>
      </w:tr>
      <w:tr w:rsidR="003A71DE" w:rsidRPr="00EA3B97" w14:paraId="14160D50" w14:textId="77777777" w:rsidTr="003A71DE">
        <w:trPr>
          <w:trHeight w:val="31"/>
          <w:jc w:val="center"/>
        </w:trPr>
        <w:tc>
          <w:tcPr>
            <w:tcW w:w="2807" w:type="dxa"/>
            <w:tcBorders>
              <w:top w:val="nil"/>
              <w:left w:val="single" w:sz="4" w:space="0" w:color="auto"/>
              <w:bottom w:val="nil"/>
              <w:right w:val="single" w:sz="4" w:space="0" w:color="auto"/>
            </w:tcBorders>
            <w:hideMark/>
          </w:tcPr>
          <w:p w14:paraId="202B61E4"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3B573B60"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1C8D99A9"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7F4C9C51"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3915CAE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 for resource #2</w:t>
            </w:r>
          </w:p>
        </w:tc>
      </w:tr>
      <w:tr w:rsidR="003A71DE" w:rsidRPr="00EA3B97" w14:paraId="64715675" w14:textId="77777777" w:rsidTr="003A71DE">
        <w:trPr>
          <w:trHeight w:val="31"/>
          <w:jc w:val="center"/>
        </w:trPr>
        <w:tc>
          <w:tcPr>
            <w:tcW w:w="2807" w:type="dxa"/>
            <w:tcBorders>
              <w:top w:val="nil"/>
              <w:left w:val="single" w:sz="4" w:space="0" w:color="auto"/>
              <w:bottom w:val="nil"/>
              <w:right w:val="single" w:sz="4" w:space="0" w:color="auto"/>
            </w:tcBorders>
            <w:hideMark/>
          </w:tcPr>
          <w:p w14:paraId="2D09602C"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5BBB54F8"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hideMark/>
          </w:tcPr>
          <w:p w14:paraId="3CB797E5"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hideMark/>
          </w:tcPr>
          <w:p w14:paraId="6A4AF1F3"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5830D53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 for resource #3</w:t>
            </w:r>
          </w:p>
        </w:tc>
      </w:tr>
      <w:tr w:rsidR="003A71DE" w:rsidRPr="00EA3B97" w14:paraId="27240DD8" w14:textId="77777777" w:rsidTr="003A71DE">
        <w:trPr>
          <w:trHeight w:val="33"/>
          <w:jc w:val="center"/>
        </w:trPr>
        <w:tc>
          <w:tcPr>
            <w:tcW w:w="2807" w:type="dxa"/>
            <w:tcBorders>
              <w:top w:val="nil"/>
              <w:left w:val="single" w:sz="4" w:space="0" w:color="auto"/>
              <w:bottom w:val="nil"/>
              <w:right w:val="single" w:sz="4" w:space="0" w:color="auto"/>
            </w:tcBorders>
            <w:hideMark/>
          </w:tcPr>
          <w:p w14:paraId="6B0EA36A" w14:textId="77777777" w:rsidR="003A71DE" w:rsidRPr="00EA3B97" w:rsidRDefault="003A71DE" w:rsidP="001A5D47">
            <w:pPr>
              <w:pStyle w:val="TAL"/>
              <w:rPr>
                <w:rFonts w:eastAsiaTheme="minorEastAsia"/>
              </w:rPr>
            </w:pPr>
            <w:r w:rsidRPr="00EA3B97">
              <w:rPr>
                <w:rFonts w:eastAsiaTheme="minorEastAsia"/>
              </w:rPr>
              <w:t>nzp-CSI-RS-ResourceId</w:t>
            </w:r>
          </w:p>
        </w:tc>
        <w:tc>
          <w:tcPr>
            <w:tcW w:w="1583" w:type="dxa"/>
            <w:tcBorders>
              <w:top w:val="nil"/>
              <w:left w:val="single" w:sz="4" w:space="0" w:color="auto"/>
              <w:bottom w:val="nil"/>
              <w:right w:val="single" w:sz="4" w:space="0" w:color="auto"/>
            </w:tcBorders>
            <w:hideMark/>
          </w:tcPr>
          <w:p w14:paraId="2B9FFC5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 for resource #0</w:t>
            </w:r>
          </w:p>
        </w:tc>
        <w:tc>
          <w:tcPr>
            <w:tcW w:w="1559" w:type="dxa"/>
            <w:tcBorders>
              <w:top w:val="single" w:sz="4" w:space="0" w:color="auto"/>
              <w:left w:val="single" w:sz="4" w:space="0" w:color="auto"/>
              <w:bottom w:val="nil"/>
              <w:right w:val="single" w:sz="4" w:space="0" w:color="auto"/>
            </w:tcBorders>
            <w:hideMark/>
          </w:tcPr>
          <w:p w14:paraId="33A05F9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11 for resource #1</w:t>
            </w:r>
          </w:p>
        </w:tc>
        <w:tc>
          <w:tcPr>
            <w:tcW w:w="1559" w:type="dxa"/>
            <w:tcBorders>
              <w:top w:val="single" w:sz="4" w:space="0" w:color="auto"/>
              <w:left w:val="single" w:sz="4" w:space="0" w:color="auto"/>
              <w:bottom w:val="nil"/>
              <w:right w:val="single" w:sz="4" w:space="0" w:color="auto"/>
            </w:tcBorders>
            <w:hideMark/>
          </w:tcPr>
          <w:p w14:paraId="2A7ED58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21 for resource #1</w:t>
            </w:r>
          </w:p>
        </w:tc>
        <w:tc>
          <w:tcPr>
            <w:tcW w:w="1842" w:type="dxa"/>
            <w:tcBorders>
              <w:top w:val="single" w:sz="4" w:space="0" w:color="auto"/>
              <w:left w:val="single" w:sz="4" w:space="0" w:color="auto"/>
              <w:bottom w:val="single" w:sz="4" w:space="0" w:color="auto"/>
              <w:right w:val="single" w:sz="4" w:space="0" w:color="auto"/>
            </w:tcBorders>
            <w:hideMark/>
          </w:tcPr>
          <w:p w14:paraId="5ED1868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4 for resource #4</w:t>
            </w:r>
          </w:p>
        </w:tc>
      </w:tr>
      <w:tr w:rsidR="003A71DE" w:rsidRPr="00EA3B97" w14:paraId="35011A8E" w14:textId="77777777" w:rsidTr="003A71DE">
        <w:trPr>
          <w:trHeight w:val="31"/>
          <w:jc w:val="center"/>
        </w:trPr>
        <w:tc>
          <w:tcPr>
            <w:tcW w:w="2807" w:type="dxa"/>
            <w:tcBorders>
              <w:top w:val="nil"/>
              <w:left w:val="single" w:sz="4" w:space="0" w:color="auto"/>
              <w:bottom w:val="nil"/>
              <w:right w:val="single" w:sz="4" w:space="0" w:color="auto"/>
            </w:tcBorders>
            <w:hideMark/>
          </w:tcPr>
          <w:p w14:paraId="2D33CE8B"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37877161"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621569A2"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6A824C0F"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3ACBDF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5 for resource #5</w:t>
            </w:r>
          </w:p>
        </w:tc>
      </w:tr>
      <w:tr w:rsidR="003A71DE" w:rsidRPr="00EA3B97" w14:paraId="152CFD4D" w14:textId="77777777" w:rsidTr="003A71DE">
        <w:trPr>
          <w:trHeight w:val="31"/>
          <w:jc w:val="center"/>
        </w:trPr>
        <w:tc>
          <w:tcPr>
            <w:tcW w:w="2807" w:type="dxa"/>
            <w:tcBorders>
              <w:top w:val="nil"/>
              <w:left w:val="single" w:sz="4" w:space="0" w:color="auto"/>
              <w:bottom w:val="nil"/>
              <w:right w:val="single" w:sz="4" w:space="0" w:color="auto"/>
            </w:tcBorders>
            <w:hideMark/>
          </w:tcPr>
          <w:p w14:paraId="0664814C" w14:textId="77777777" w:rsidR="003A71DE" w:rsidRPr="00EA3B97" w:rsidRDefault="003A71DE" w:rsidP="001A5D47">
            <w:pPr>
              <w:pStyle w:val="TAL"/>
              <w:rPr>
                <w:rFonts w:eastAsiaTheme="minorEastAsia"/>
              </w:rPr>
            </w:pPr>
          </w:p>
        </w:tc>
        <w:tc>
          <w:tcPr>
            <w:tcW w:w="1583" w:type="dxa"/>
            <w:tcBorders>
              <w:top w:val="nil"/>
              <w:left w:val="single" w:sz="4" w:space="0" w:color="auto"/>
              <w:bottom w:val="nil"/>
              <w:right w:val="single" w:sz="4" w:space="0" w:color="auto"/>
            </w:tcBorders>
            <w:hideMark/>
          </w:tcPr>
          <w:p w14:paraId="58C0ED91"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7C66ACE9"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nil"/>
              <w:right w:val="single" w:sz="4" w:space="0" w:color="auto"/>
            </w:tcBorders>
            <w:hideMark/>
          </w:tcPr>
          <w:p w14:paraId="0A0473AA"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7D5EE8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6 for resource #6</w:t>
            </w:r>
          </w:p>
        </w:tc>
      </w:tr>
      <w:tr w:rsidR="003A71DE" w:rsidRPr="00EA3B97" w14:paraId="5634642C" w14:textId="77777777" w:rsidTr="003A71DE">
        <w:trPr>
          <w:trHeight w:val="31"/>
          <w:jc w:val="center"/>
        </w:trPr>
        <w:tc>
          <w:tcPr>
            <w:tcW w:w="2807" w:type="dxa"/>
            <w:tcBorders>
              <w:top w:val="nil"/>
              <w:left w:val="single" w:sz="4" w:space="0" w:color="auto"/>
              <w:bottom w:val="single" w:sz="4" w:space="0" w:color="auto"/>
              <w:right w:val="single" w:sz="4" w:space="0" w:color="auto"/>
            </w:tcBorders>
            <w:hideMark/>
          </w:tcPr>
          <w:p w14:paraId="79FE2C4A" w14:textId="77777777" w:rsidR="003A71DE" w:rsidRPr="00EA3B97" w:rsidRDefault="003A71DE" w:rsidP="001A5D47">
            <w:pPr>
              <w:pStyle w:val="TAL"/>
              <w:rPr>
                <w:rFonts w:eastAsiaTheme="minorEastAsia"/>
              </w:rPr>
            </w:pPr>
          </w:p>
        </w:tc>
        <w:tc>
          <w:tcPr>
            <w:tcW w:w="1583" w:type="dxa"/>
            <w:tcBorders>
              <w:top w:val="nil"/>
              <w:left w:val="single" w:sz="4" w:space="0" w:color="auto"/>
              <w:bottom w:val="single" w:sz="4" w:space="0" w:color="auto"/>
              <w:right w:val="single" w:sz="4" w:space="0" w:color="auto"/>
            </w:tcBorders>
            <w:hideMark/>
          </w:tcPr>
          <w:p w14:paraId="26F6115D"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hideMark/>
          </w:tcPr>
          <w:p w14:paraId="4904E7A3" w14:textId="77777777" w:rsidR="003A71DE" w:rsidRPr="00EA3B97" w:rsidRDefault="003A71DE" w:rsidP="001A5D47">
            <w:pPr>
              <w:pStyle w:val="TAL"/>
              <w:rPr>
                <w:rFonts w:eastAsiaTheme="minorEastAsia" w:cs="Arial"/>
                <w:lang w:eastAsia="ja-JP"/>
              </w:rPr>
            </w:pPr>
          </w:p>
        </w:tc>
        <w:tc>
          <w:tcPr>
            <w:tcW w:w="1559" w:type="dxa"/>
            <w:tcBorders>
              <w:top w:val="nil"/>
              <w:left w:val="single" w:sz="4" w:space="0" w:color="auto"/>
              <w:bottom w:val="single" w:sz="4" w:space="0" w:color="auto"/>
              <w:right w:val="single" w:sz="4" w:space="0" w:color="auto"/>
            </w:tcBorders>
            <w:hideMark/>
          </w:tcPr>
          <w:p w14:paraId="5C3743A9" w14:textId="77777777" w:rsidR="003A71DE" w:rsidRPr="00EA3B97" w:rsidRDefault="003A71DE" w:rsidP="001A5D47">
            <w:pPr>
              <w:pStyle w:val="TAL"/>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4F2B965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7 for resource #7</w:t>
            </w:r>
          </w:p>
        </w:tc>
      </w:tr>
      <w:tr w:rsidR="003A71DE" w:rsidRPr="00EA3B97" w14:paraId="752201B7"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2F3C586" w14:textId="77777777" w:rsidR="003A71DE" w:rsidRPr="00EA3B97" w:rsidRDefault="003A71DE" w:rsidP="001A5D47">
            <w:pPr>
              <w:pStyle w:val="TAL"/>
              <w:rPr>
                <w:rFonts w:eastAsiaTheme="minorEastAsia" w:cs="Arial"/>
                <w:i/>
                <w:lang w:eastAsia="ja-JP"/>
              </w:rPr>
            </w:pPr>
            <w:r w:rsidRPr="00EA3B97">
              <w:rPr>
                <w:rFonts w:eastAsiaTheme="minorEastAsia"/>
              </w:rPr>
              <w:t>powerControlOffset</w:t>
            </w:r>
          </w:p>
        </w:tc>
        <w:tc>
          <w:tcPr>
            <w:tcW w:w="1583" w:type="dxa"/>
            <w:tcBorders>
              <w:top w:val="single" w:sz="4" w:space="0" w:color="auto"/>
              <w:left w:val="single" w:sz="4" w:space="0" w:color="auto"/>
              <w:bottom w:val="single" w:sz="4" w:space="0" w:color="auto"/>
              <w:right w:val="single" w:sz="4" w:space="0" w:color="auto"/>
            </w:tcBorders>
            <w:vAlign w:val="center"/>
            <w:hideMark/>
          </w:tcPr>
          <w:p w14:paraId="4CED81D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E9AFEF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B34AFE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F4D577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69E875F2"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4A8C93C" w14:textId="77777777" w:rsidR="003A71DE" w:rsidRPr="00EA3B97" w:rsidRDefault="003A71DE" w:rsidP="001A5D47">
            <w:pPr>
              <w:pStyle w:val="TAL"/>
              <w:rPr>
                <w:rFonts w:eastAsiaTheme="minorEastAsia" w:cs="Arial"/>
                <w:i/>
                <w:lang w:eastAsia="ja-JP"/>
              </w:rPr>
            </w:pPr>
            <w:r w:rsidRPr="00EA3B97">
              <w:rPr>
                <w:rFonts w:eastAsiaTheme="minorEastAsia"/>
              </w:rPr>
              <w:t>powerControlOffsetSS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4A3CD11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A2E7EC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4C36CB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82DA38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db0</w:t>
            </w:r>
          </w:p>
        </w:tc>
      </w:tr>
      <w:tr w:rsidR="003A71DE" w:rsidRPr="00EA3B97" w14:paraId="05EFD79F"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1601AC51" w14:textId="77777777" w:rsidR="003A71DE" w:rsidRPr="00EA3B97" w:rsidRDefault="003A71DE" w:rsidP="001A5D47">
            <w:pPr>
              <w:pStyle w:val="TAL"/>
              <w:rPr>
                <w:rFonts w:eastAsiaTheme="minorEastAsia" w:cs="Arial"/>
                <w:i/>
                <w:lang w:eastAsia="ja-JP"/>
              </w:rPr>
            </w:pPr>
            <w:r w:rsidRPr="00EA3B97">
              <w:rPr>
                <w:rFonts w:eastAsiaTheme="minorEastAsia"/>
              </w:rPr>
              <w:t>scramblingID</w:t>
            </w:r>
          </w:p>
        </w:tc>
        <w:tc>
          <w:tcPr>
            <w:tcW w:w="1583" w:type="dxa"/>
            <w:tcBorders>
              <w:top w:val="single" w:sz="4" w:space="0" w:color="auto"/>
              <w:left w:val="single" w:sz="4" w:space="0" w:color="auto"/>
              <w:bottom w:val="single" w:sz="4" w:space="0" w:color="auto"/>
              <w:right w:val="single" w:sz="4" w:space="0" w:color="auto"/>
            </w:tcBorders>
            <w:vAlign w:val="center"/>
            <w:hideMark/>
          </w:tcPr>
          <w:p w14:paraId="593C6C60"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E168D9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243D21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EDED721"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6E7C7397" w14:textId="77777777" w:rsidTr="003A71DE">
        <w:trPr>
          <w:trHeight w:val="271"/>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D2F9EF0" w14:textId="77777777" w:rsidR="003A71DE" w:rsidRPr="00EA3B97" w:rsidRDefault="003A71DE" w:rsidP="001A5D47">
            <w:pPr>
              <w:pStyle w:val="TAL"/>
              <w:rPr>
                <w:rFonts w:eastAsiaTheme="minorEastAsia" w:cs="Arial"/>
                <w:i/>
                <w:lang w:eastAsia="ja-JP"/>
              </w:rPr>
            </w:pPr>
            <w:r w:rsidRPr="00EA3B97">
              <w:rPr>
                <w:rFonts w:eastAsiaTheme="minorEastAsia"/>
              </w:rPr>
              <w:t>Period (slots)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06F1558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slot40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36AC494"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slot80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20445D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8F9494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3339DABA" w14:textId="77777777" w:rsidTr="003A71DE">
        <w:trPr>
          <w:trHeight w:val="126"/>
          <w:jc w:val="center"/>
        </w:trPr>
        <w:tc>
          <w:tcPr>
            <w:tcW w:w="2807" w:type="dxa"/>
            <w:tcBorders>
              <w:top w:val="single" w:sz="4" w:space="0" w:color="auto"/>
              <w:left w:val="single" w:sz="4" w:space="0" w:color="auto"/>
              <w:bottom w:val="nil"/>
              <w:right w:val="single" w:sz="4" w:space="0" w:color="auto"/>
            </w:tcBorders>
            <w:vAlign w:val="center"/>
            <w:hideMark/>
          </w:tcPr>
          <w:p w14:paraId="376B6968" w14:textId="77777777" w:rsidR="003A71DE" w:rsidRPr="00EA3B97" w:rsidRDefault="003A71DE" w:rsidP="001A5D47">
            <w:pPr>
              <w:pStyle w:val="TAL"/>
              <w:rPr>
                <w:rFonts w:eastAsiaTheme="minorEastAsia" w:cs="Arial"/>
                <w:i/>
                <w:lang w:eastAsia="ja-JP"/>
              </w:rPr>
            </w:pPr>
            <w:r w:rsidRPr="00EA3B97">
              <w:rPr>
                <w:rFonts w:eastAsiaTheme="minorEastAsia"/>
              </w:rPr>
              <w:t>qcl-InfoPeriodicCSI-RS</w:t>
            </w:r>
          </w:p>
        </w:tc>
        <w:tc>
          <w:tcPr>
            <w:tcW w:w="1583" w:type="dxa"/>
            <w:tcBorders>
              <w:top w:val="single" w:sz="4" w:space="0" w:color="auto"/>
              <w:left w:val="single" w:sz="4" w:space="0" w:color="auto"/>
              <w:bottom w:val="nil"/>
              <w:right w:val="single" w:sz="4" w:space="0" w:color="auto"/>
            </w:tcBorders>
            <w:vAlign w:val="center"/>
            <w:hideMark/>
          </w:tcPr>
          <w:p w14:paraId="2EB796DF"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423A58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TCI.State.0</w:t>
            </w:r>
          </w:p>
        </w:tc>
        <w:tc>
          <w:tcPr>
            <w:tcW w:w="1559" w:type="dxa"/>
            <w:tcBorders>
              <w:top w:val="single" w:sz="4" w:space="0" w:color="auto"/>
              <w:left w:val="single" w:sz="4" w:space="0" w:color="auto"/>
              <w:bottom w:val="nil"/>
              <w:right w:val="single" w:sz="4" w:space="0" w:color="auto"/>
            </w:tcBorders>
            <w:vAlign w:val="center"/>
            <w:hideMark/>
          </w:tcPr>
          <w:p w14:paraId="7693096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c>
          <w:tcPr>
            <w:tcW w:w="1842" w:type="dxa"/>
            <w:tcBorders>
              <w:top w:val="single" w:sz="4" w:space="0" w:color="auto"/>
              <w:left w:val="single" w:sz="4" w:space="0" w:color="auto"/>
              <w:bottom w:val="nil"/>
              <w:right w:val="single" w:sz="4" w:space="0" w:color="auto"/>
            </w:tcBorders>
            <w:vAlign w:val="center"/>
            <w:hideMark/>
          </w:tcPr>
          <w:p w14:paraId="01DDC0C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n.a.</w:t>
            </w:r>
          </w:p>
        </w:tc>
      </w:tr>
      <w:tr w:rsidR="003A71DE" w:rsidRPr="00EA3B97" w14:paraId="30802192" w14:textId="77777777" w:rsidTr="003A71DE">
        <w:trPr>
          <w:trHeight w:val="126"/>
          <w:jc w:val="center"/>
        </w:trPr>
        <w:tc>
          <w:tcPr>
            <w:tcW w:w="2807" w:type="dxa"/>
            <w:tcBorders>
              <w:top w:val="nil"/>
              <w:left w:val="single" w:sz="4" w:space="0" w:color="auto"/>
              <w:bottom w:val="single" w:sz="4" w:space="0" w:color="auto"/>
              <w:right w:val="single" w:sz="4" w:space="0" w:color="auto"/>
            </w:tcBorders>
            <w:vAlign w:val="center"/>
            <w:hideMark/>
          </w:tcPr>
          <w:p w14:paraId="4D88E724" w14:textId="77777777" w:rsidR="003A71DE" w:rsidRPr="00EA3B97" w:rsidRDefault="003A71DE" w:rsidP="001A5D47">
            <w:pPr>
              <w:pStyle w:val="TAL"/>
              <w:rPr>
                <w:rFonts w:eastAsiaTheme="minorEastAsia" w:cs="Arial"/>
                <w:i/>
                <w:lang w:eastAsia="ja-JP"/>
              </w:rPr>
            </w:pPr>
          </w:p>
        </w:tc>
        <w:tc>
          <w:tcPr>
            <w:tcW w:w="1583" w:type="dxa"/>
            <w:tcBorders>
              <w:top w:val="nil"/>
              <w:left w:val="single" w:sz="4" w:space="0" w:color="auto"/>
              <w:bottom w:val="single" w:sz="4" w:space="0" w:color="auto"/>
              <w:right w:val="single" w:sz="4" w:space="0" w:color="auto"/>
            </w:tcBorders>
            <w:vAlign w:val="center"/>
            <w:hideMark/>
          </w:tcPr>
          <w:p w14:paraId="18182B32" w14:textId="77777777" w:rsidR="003A71DE" w:rsidRPr="00EA3B97" w:rsidRDefault="003A71DE" w:rsidP="001A5D47">
            <w:pPr>
              <w:pStyle w:val="TAL"/>
              <w:rPr>
                <w:rFonts w:eastAsiaTheme="minorEastAsia" w:cs="Arial"/>
                <w:lang w:eastAsia="ja-JP"/>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723DCBD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TCI.State.1</w:t>
            </w:r>
          </w:p>
        </w:tc>
        <w:tc>
          <w:tcPr>
            <w:tcW w:w="1559" w:type="dxa"/>
            <w:tcBorders>
              <w:top w:val="nil"/>
              <w:left w:val="single" w:sz="4" w:space="0" w:color="auto"/>
              <w:bottom w:val="single" w:sz="4" w:space="0" w:color="auto"/>
              <w:right w:val="single" w:sz="4" w:space="0" w:color="auto"/>
            </w:tcBorders>
            <w:vAlign w:val="center"/>
            <w:hideMark/>
          </w:tcPr>
          <w:p w14:paraId="47C1FD87" w14:textId="77777777" w:rsidR="003A71DE" w:rsidRPr="00EA3B97" w:rsidRDefault="003A71DE" w:rsidP="001A5D47">
            <w:pPr>
              <w:pStyle w:val="TAL"/>
              <w:rPr>
                <w:rFonts w:eastAsiaTheme="minorEastAsia" w:cs="Arial"/>
                <w:lang w:eastAsia="ja-JP"/>
              </w:rPr>
            </w:pPr>
          </w:p>
        </w:tc>
        <w:tc>
          <w:tcPr>
            <w:tcW w:w="1842" w:type="dxa"/>
            <w:tcBorders>
              <w:top w:val="nil"/>
              <w:left w:val="single" w:sz="4" w:space="0" w:color="auto"/>
              <w:bottom w:val="single" w:sz="4" w:space="0" w:color="auto"/>
              <w:right w:val="single" w:sz="4" w:space="0" w:color="auto"/>
            </w:tcBorders>
            <w:vAlign w:val="center"/>
            <w:hideMark/>
          </w:tcPr>
          <w:p w14:paraId="7827F8C9" w14:textId="77777777" w:rsidR="003A71DE" w:rsidRPr="00EA3B97" w:rsidRDefault="003A71DE" w:rsidP="001A5D47">
            <w:pPr>
              <w:pStyle w:val="TAL"/>
              <w:rPr>
                <w:rFonts w:eastAsiaTheme="minorEastAsia" w:cs="Arial"/>
                <w:lang w:eastAsia="ja-JP"/>
              </w:rPr>
            </w:pPr>
          </w:p>
        </w:tc>
      </w:tr>
      <w:tr w:rsidR="003A71DE" w:rsidRPr="00EA3B97" w14:paraId="503355FC"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E949CE8" w14:textId="77777777" w:rsidR="003A71DE" w:rsidRPr="00EA3B97" w:rsidRDefault="003A71DE" w:rsidP="001A5D47">
            <w:pPr>
              <w:pStyle w:val="TAL"/>
              <w:rPr>
                <w:rFonts w:eastAsiaTheme="minorEastAsia" w:cs="Arial"/>
                <w:i/>
                <w:lang w:eastAsia="ja-JP"/>
              </w:rPr>
            </w:pPr>
            <w:r w:rsidRPr="00EA3B97">
              <w:rPr>
                <w:rFonts w:eastAsiaTheme="minorEastAsia"/>
              </w:rPr>
              <w:t>frequencyDomainAllocation</w:t>
            </w:r>
          </w:p>
        </w:tc>
        <w:tc>
          <w:tcPr>
            <w:tcW w:w="1583" w:type="dxa"/>
            <w:tcBorders>
              <w:top w:val="single" w:sz="4" w:space="0" w:color="auto"/>
              <w:left w:val="single" w:sz="4" w:space="0" w:color="auto"/>
              <w:bottom w:val="single" w:sz="4" w:space="0" w:color="auto"/>
              <w:right w:val="single" w:sz="4" w:space="0" w:color="auto"/>
            </w:tcBorders>
            <w:vAlign w:val="center"/>
            <w:hideMark/>
          </w:tcPr>
          <w:p w14:paraId="665432F7"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73420E5"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5DED200"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02B178D" w14:textId="77777777" w:rsidR="003A71DE" w:rsidRPr="00EA3B97" w:rsidRDefault="003A71DE" w:rsidP="001A5D47">
            <w:pPr>
              <w:pStyle w:val="TAL"/>
              <w:rPr>
                <w:rFonts w:eastAsiaTheme="minorEastAsia" w:cs="Arial"/>
                <w:lang w:eastAsia="ja-JP"/>
              </w:rPr>
            </w:pPr>
            <w:r w:rsidRPr="00EA3B97">
              <w:rPr>
                <w:rFonts w:eastAsiaTheme="minorEastAsia"/>
                <w:szCs w:val="18"/>
              </w:rPr>
              <w:t>000001</w:t>
            </w:r>
          </w:p>
        </w:tc>
      </w:tr>
      <w:tr w:rsidR="003A71DE" w:rsidRPr="00EA3B97" w14:paraId="31FEAFA8"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5C76959D" w14:textId="77777777" w:rsidR="003A71DE" w:rsidRPr="00EA3B97" w:rsidRDefault="003A71DE" w:rsidP="001A5D47">
            <w:pPr>
              <w:pStyle w:val="TAL"/>
              <w:rPr>
                <w:rFonts w:eastAsiaTheme="minorEastAsia" w:cs="Arial"/>
                <w:i/>
                <w:lang w:eastAsia="ja-JP"/>
              </w:rPr>
            </w:pPr>
            <w:r w:rsidRPr="00EA3B97">
              <w:rPr>
                <w:rFonts w:eastAsiaTheme="minorEastAsia"/>
              </w:rPr>
              <w:t>nrofPorts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4C56858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E4E19B6"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53D2A6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6901EE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r>
      <w:tr w:rsidR="003A71DE" w:rsidRPr="00EA3B97" w14:paraId="758382C5" w14:textId="77777777" w:rsidTr="003A71DE">
        <w:trPr>
          <w:trHeight w:val="33"/>
          <w:jc w:val="center"/>
        </w:trPr>
        <w:tc>
          <w:tcPr>
            <w:tcW w:w="2807" w:type="dxa"/>
            <w:tcBorders>
              <w:top w:val="single" w:sz="4" w:space="0" w:color="auto"/>
              <w:left w:val="single" w:sz="4" w:space="0" w:color="auto"/>
              <w:bottom w:val="nil"/>
              <w:right w:val="single" w:sz="4" w:space="0" w:color="auto"/>
            </w:tcBorders>
          </w:tcPr>
          <w:p w14:paraId="12A57FCC" w14:textId="77777777" w:rsidR="003A71DE" w:rsidRPr="00EA3B97" w:rsidRDefault="003A71DE" w:rsidP="001A5D47">
            <w:pPr>
              <w:pStyle w:val="TAL"/>
              <w:rPr>
                <w:rFonts w:eastAsiaTheme="minorEastAsia"/>
                <w:lang w:eastAsia="ja-JP"/>
              </w:rPr>
            </w:pPr>
          </w:p>
        </w:tc>
        <w:tc>
          <w:tcPr>
            <w:tcW w:w="1583" w:type="dxa"/>
            <w:tcBorders>
              <w:top w:val="single" w:sz="4" w:space="0" w:color="auto"/>
              <w:left w:val="single" w:sz="4" w:space="0" w:color="auto"/>
              <w:bottom w:val="nil"/>
              <w:right w:val="single" w:sz="4" w:space="0" w:color="auto"/>
            </w:tcBorders>
          </w:tcPr>
          <w:p w14:paraId="72247EB0" w14:textId="77777777" w:rsidR="003A71DE" w:rsidRPr="00EA3B97" w:rsidRDefault="003A71DE" w:rsidP="001A5D47">
            <w:pPr>
              <w:pStyle w:val="TAL"/>
              <w:rPr>
                <w:rFonts w:eastAsiaTheme="minorEastAsia"/>
                <w:lang w:eastAsia="ja-JP"/>
              </w:rPr>
            </w:pPr>
          </w:p>
        </w:tc>
        <w:tc>
          <w:tcPr>
            <w:tcW w:w="1559" w:type="dxa"/>
            <w:tcBorders>
              <w:top w:val="single" w:sz="4" w:space="0" w:color="auto"/>
              <w:left w:val="single" w:sz="4" w:space="0" w:color="auto"/>
              <w:bottom w:val="nil"/>
              <w:right w:val="single" w:sz="4" w:space="0" w:color="auto"/>
            </w:tcBorders>
            <w:hideMark/>
          </w:tcPr>
          <w:p w14:paraId="7D1D0E02" w14:textId="77777777" w:rsidR="003A71DE" w:rsidRPr="00EA3B97" w:rsidRDefault="003A71DE" w:rsidP="001A5D47">
            <w:pPr>
              <w:pStyle w:val="TAL"/>
              <w:rPr>
                <w:rFonts w:eastAsiaTheme="minorEastAsia"/>
                <w:lang w:val="en-US" w:eastAsia="ja-JP"/>
              </w:rPr>
            </w:pPr>
            <w:r w:rsidRPr="00EA3B97">
              <w:rPr>
                <w:rFonts w:eastAsiaTheme="minorEastAsia"/>
                <w:lang w:eastAsia="ja-JP"/>
              </w:rPr>
              <w:t>6 for resource #0</w:t>
            </w:r>
          </w:p>
        </w:tc>
        <w:tc>
          <w:tcPr>
            <w:tcW w:w="1559" w:type="dxa"/>
            <w:tcBorders>
              <w:top w:val="single" w:sz="4" w:space="0" w:color="auto"/>
              <w:left w:val="single" w:sz="4" w:space="0" w:color="auto"/>
              <w:bottom w:val="nil"/>
              <w:right w:val="single" w:sz="4" w:space="0" w:color="auto"/>
            </w:tcBorders>
            <w:hideMark/>
          </w:tcPr>
          <w:p w14:paraId="5EAF6E77" w14:textId="77777777" w:rsidR="003A71DE" w:rsidRPr="00EA3B97" w:rsidRDefault="003A71DE" w:rsidP="001A5D47">
            <w:pPr>
              <w:pStyle w:val="TAL"/>
              <w:rPr>
                <w:rFonts w:eastAsiaTheme="minorEastAsia"/>
                <w:lang w:eastAsia="ja-JP"/>
              </w:rPr>
            </w:pPr>
            <w:r w:rsidRPr="00EA3B97">
              <w:rPr>
                <w:rFonts w:eastAsiaTheme="minorEastAsia"/>
                <w:lang w:eastAsia="ja-JP"/>
              </w:rPr>
              <w:t>6 for resource #0</w:t>
            </w:r>
          </w:p>
        </w:tc>
        <w:tc>
          <w:tcPr>
            <w:tcW w:w="1842" w:type="dxa"/>
            <w:tcBorders>
              <w:top w:val="single" w:sz="4" w:space="0" w:color="auto"/>
              <w:left w:val="single" w:sz="4" w:space="0" w:color="auto"/>
              <w:bottom w:val="single" w:sz="4" w:space="0" w:color="auto"/>
              <w:right w:val="single" w:sz="4" w:space="0" w:color="auto"/>
            </w:tcBorders>
            <w:hideMark/>
          </w:tcPr>
          <w:p w14:paraId="0B2DC24C" w14:textId="77777777" w:rsidR="003A71DE" w:rsidRPr="00EA3B97" w:rsidRDefault="003A71DE" w:rsidP="001A5D47">
            <w:pPr>
              <w:pStyle w:val="TAL"/>
              <w:rPr>
                <w:rFonts w:eastAsiaTheme="minorEastAsia"/>
                <w:lang w:eastAsia="ja-JP"/>
              </w:rPr>
            </w:pPr>
            <w:r w:rsidRPr="00EA3B97">
              <w:rPr>
                <w:rFonts w:eastAsiaTheme="minorEastAsia"/>
                <w:lang w:eastAsia="ja-JP"/>
              </w:rPr>
              <w:t>0 for resource #0</w:t>
            </w:r>
          </w:p>
        </w:tc>
      </w:tr>
      <w:tr w:rsidR="003A71DE" w:rsidRPr="00EA3B97" w14:paraId="26218D43" w14:textId="77777777" w:rsidTr="003A71DE">
        <w:trPr>
          <w:trHeight w:val="31"/>
          <w:jc w:val="center"/>
        </w:trPr>
        <w:tc>
          <w:tcPr>
            <w:tcW w:w="2807" w:type="dxa"/>
            <w:tcBorders>
              <w:top w:val="nil"/>
              <w:left w:val="single" w:sz="4" w:space="0" w:color="auto"/>
              <w:bottom w:val="nil"/>
              <w:right w:val="single" w:sz="4" w:space="0" w:color="auto"/>
            </w:tcBorders>
            <w:hideMark/>
          </w:tcPr>
          <w:p w14:paraId="513CC35D" w14:textId="77777777" w:rsidR="003A71DE" w:rsidRPr="00EA3B97" w:rsidRDefault="003A71DE" w:rsidP="001A5D47">
            <w:pPr>
              <w:pStyle w:val="TAL"/>
              <w:rPr>
                <w:rFonts w:eastAsiaTheme="minorEastAsia"/>
                <w:lang w:eastAsia="ja-JP"/>
              </w:rPr>
            </w:pPr>
          </w:p>
        </w:tc>
        <w:tc>
          <w:tcPr>
            <w:tcW w:w="1583" w:type="dxa"/>
            <w:tcBorders>
              <w:top w:val="nil"/>
              <w:left w:val="single" w:sz="4" w:space="0" w:color="auto"/>
              <w:bottom w:val="nil"/>
              <w:right w:val="single" w:sz="4" w:space="0" w:color="auto"/>
            </w:tcBorders>
            <w:hideMark/>
          </w:tcPr>
          <w:p w14:paraId="231FB41C"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hideMark/>
          </w:tcPr>
          <w:p w14:paraId="124D4A2D" w14:textId="77777777" w:rsidR="003A71DE" w:rsidRPr="00EA3B97" w:rsidRDefault="003A71DE" w:rsidP="001A5D47">
            <w:pPr>
              <w:pStyle w:val="TAL"/>
              <w:rPr>
                <w:rFonts w:eastAsiaTheme="minorEastAsia"/>
                <w:lang w:val="en-US" w:eastAsia="ja-JP"/>
              </w:rPr>
            </w:pPr>
          </w:p>
        </w:tc>
        <w:tc>
          <w:tcPr>
            <w:tcW w:w="1559" w:type="dxa"/>
            <w:tcBorders>
              <w:top w:val="nil"/>
              <w:left w:val="single" w:sz="4" w:space="0" w:color="auto"/>
              <w:bottom w:val="nil"/>
              <w:right w:val="single" w:sz="4" w:space="0" w:color="auto"/>
            </w:tcBorders>
            <w:hideMark/>
          </w:tcPr>
          <w:p w14:paraId="3A235612" w14:textId="77777777" w:rsidR="003A71DE" w:rsidRPr="00EA3B97" w:rsidRDefault="003A71DE" w:rsidP="001A5D47">
            <w:pPr>
              <w:pStyle w:val="TAL"/>
              <w:rPr>
                <w:rFonts w:eastAsiaTheme="minorEastAsia"/>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78A9D371" w14:textId="77777777" w:rsidR="003A71DE" w:rsidRPr="00EA3B97" w:rsidRDefault="003A71DE" w:rsidP="001A5D47">
            <w:pPr>
              <w:pStyle w:val="TAL"/>
              <w:rPr>
                <w:rFonts w:eastAsiaTheme="minorEastAsia"/>
                <w:lang w:eastAsia="ja-JP"/>
              </w:rPr>
            </w:pPr>
            <w:r w:rsidRPr="00EA3B97">
              <w:rPr>
                <w:rFonts w:eastAsiaTheme="minorEastAsia"/>
                <w:lang w:eastAsia="ja-JP"/>
              </w:rPr>
              <w:t>1 for resource #1</w:t>
            </w:r>
          </w:p>
        </w:tc>
      </w:tr>
      <w:tr w:rsidR="003A71DE" w:rsidRPr="00EA3B97" w14:paraId="2839555F" w14:textId="77777777" w:rsidTr="003A71DE">
        <w:trPr>
          <w:trHeight w:val="31"/>
          <w:jc w:val="center"/>
        </w:trPr>
        <w:tc>
          <w:tcPr>
            <w:tcW w:w="2807" w:type="dxa"/>
            <w:tcBorders>
              <w:top w:val="nil"/>
              <w:left w:val="single" w:sz="4" w:space="0" w:color="auto"/>
              <w:bottom w:val="nil"/>
              <w:right w:val="single" w:sz="4" w:space="0" w:color="auto"/>
            </w:tcBorders>
            <w:hideMark/>
          </w:tcPr>
          <w:p w14:paraId="70351CE0" w14:textId="77777777" w:rsidR="003A71DE" w:rsidRPr="00EA3B97" w:rsidRDefault="003A71DE" w:rsidP="001A5D47">
            <w:pPr>
              <w:pStyle w:val="TAL"/>
              <w:rPr>
                <w:rFonts w:eastAsiaTheme="minorEastAsia"/>
                <w:lang w:eastAsia="ja-JP"/>
              </w:rPr>
            </w:pPr>
          </w:p>
        </w:tc>
        <w:tc>
          <w:tcPr>
            <w:tcW w:w="1583" w:type="dxa"/>
            <w:tcBorders>
              <w:top w:val="nil"/>
              <w:left w:val="single" w:sz="4" w:space="0" w:color="auto"/>
              <w:bottom w:val="nil"/>
              <w:right w:val="single" w:sz="4" w:space="0" w:color="auto"/>
            </w:tcBorders>
            <w:hideMark/>
          </w:tcPr>
          <w:p w14:paraId="40A1BFE6"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hideMark/>
          </w:tcPr>
          <w:p w14:paraId="184BC495" w14:textId="77777777" w:rsidR="003A71DE" w:rsidRPr="00EA3B97" w:rsidRDefault="003A71DE" w:rsidP="001A5D47">
            <w:pPr>
              <w:pStyle w:val="TAL"/>
              <w:rPr>
                <w:rFonts w:eastAsiaTheme="minorEastAsia"/>
                <w:lang w:val="en-US" w:eastAsia="ja-JP"/>
              </w:rPr>
            </w:pPr>
          </w:p>
        </w:tc>
        <w:tc>
          <w:tcPr>
            <w:tcW w:w="1559" w:type="dxa"/>
            <w:tcBorders>
              <w:top w:val="nil"/>
              <w:left w:val="single" w:sz="4" w:space="0" w:color="auto"/>
              <w:bottom w:val="nil"/>
              <w:right w:val="single" w:sz="4" w:space="0" w:color="auto"/>
            </w:tcBorders>
            <w:hideMark/>
          </w:tcPr>
          <w:p w14:paraId="2DC13C6E" w14:textId="77777777" w:rsidR="003A71DE" w:rsidRPr="00EA3B97" w:rsidRDefault="003A71DE" w:rsidP="001A5D47">
            <w:pPr>
              <w:pStyle w:val="TAL"/>
              <w:rPr>
                <w:rFonts w:eastAsiaTheme="minorEastAsia"/>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938198E" w14:textId="77777777" w:rsidR="003A71DE" w:rsidRPr="00EA3B97" w:rsidRDefault="003A71DE" w:rsidP="001A5D47">
            <w:pPr>
              <w:pStyle w:val="TAL"/>
              <w:rPr>
                <w:rFonts w:eastAsiaTheme="minorEastAsia"/>
                <w:lang w:eastAsia="ja-JP"/>
              </w:rPr>
            </w:pPr>
            <w:r w:rsidRPr="00EA3B97">
              <w:rPr>
                <w:rFonts w:eastAsiaTheme="minorEastAsia"/>
                <w:lang w:eastAsia="ja-JP"/>
              </w:rPr>
              <w:t>2 for resource #2</w:t>
            </w:r>
          </w:p>
        </w:tc>
      </w:tr>
      <w:tr w:rsidR="003A71DE" w:rsidRPr="00EA3B97" w14:paraId="48BCE8AE" w14:textId="77777777" w:rsidTr="003A71DE">
        <w:trPr>
          <w:trHeight w:val="31"/>
          <w:jc w:val="center"/>
        </w:trPr>
        <w:tc>
          <w:tcPr>
            <w:tcW w:w="2807" w:type="dxa"/>
            <w:tcBorders>
              <w:top w:val="nil"/>
              <w:left w:val="single" w:sz="4" w:space="0" w:color="auto"/>
              <w:bottom w:val="nil"/>
              <w:right w:val="single" w:sz="4" w:space="0" w:color="auto"/>
            </w:tcBorders>
            <w:hideMark/>
          </w:tcPr>
          <w:p w14:paraId="3A8CEFDC" w14:textId="77777777" w:rsidR="003A71DE" w:rsidRPr="00EA3B97" w:rsidRDefault="003A71DE" w:rsidP="001A5D47">
            <w:pPr>
              <w:pStyle w:val="TAL"/>
              <w:rPr>
                <w:rFonts w:eastAsiaTheme="minorEastAsia"/>
                <w:lang w:eastAsia="ja-JP"/>
              </w:rPr>
            </w:pPr>
          </w:p>
        </w:tc>
        <w:tc>
          <w:tcPr>
            <w:tcW w:w="1583" w:type="dxa"/>
            <w:tcBorders>
              <w:top w:val="nil"/>
              <w:left w:val="single" w:sz="4" w:space="0" w:color="auto"/>
              <w:bottom w:val="nil"/>
              <w:right w:val="single" w:sz="4" w:space="0" w:color="auto"/>
            </w:tcBorders>
            <w:hideMark/>
          </w:tcPr>
          <w:p w14:paraId="4BDA964D"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single" w:sz="4" w:space="0" w:color="auto"/>
              <w:right w:val="single" w:sz="4" w:space="0" w:color="auto"/>
            </w:tcBorders>
            <w:hideMark/>
          </w:tcPr>
          <w:p w14:paraId="1BC4D779" w14:textId="77777777" w:rsidR="003A71DE" w:rsidRPr="00EA3B97" w:rsidRDefault="003A71DE" w:rsidP="001A5D47">
            <w:pPr>
              <w:pStyle w:val="TAL"/>
              <w:rPr>
                <w:rFonts w:eastAsiaTheme="minorEastAsia"/>
                <w:lang w:val="en-US" w:eastAsia="ja-JP"/>
              </w:rPr>
            </w:pPr>
          </w:p>
        </w:tc>
        <w:tc>
          <w:tcPr>
            <w:tcW w:w="1559" w:type="dxa"/>
            <w:tcBorders>
              <w:top w:val="nil"/>
              <w:left w:val="single" w:sz="4" w:space="0" w:color="auto"/>
              <w:bottom w:val="single" w:sz="4" w:space="0" w:color="auto"/>
              <w:right w:val="single" w:sz="4" w:space="0" w:color="auto"/>
            </w:tcBorders>
            <w:hideMark/>
          </w:tcPr>
          <w:p w14:paraId="698B0C14" w14:textId="77777777" w:rsidR="003A71DE" w:rsidRPr="00EA3B97" w:rsidRDefault="003A71DE" w:rsidP="001A5D47">
            <w:pPr>
              <w:pStyle w:val="TAL"/>
              <w:rPr>
                <w:rFonts w:eastAsiaTheme="minorEastAsia"/>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165B5447" w14:textId="77777777" w:rsidR="003A71DE" w:rsidRPr="00EA3B97" w:rsidRDefault="003A71DE" w:rsidP="001A5D47">
            <w:pPr>
              <w:pStyle w:val="TAL"/>
              <w:rPr>
                <w:rFonts w:eastAsiaTheme="minorEastAsia"/>
                <w:lang w:eastAsia="ja-JP"/>
              </w:rPr>
            </w:pPr>
            <w:r w:rsidRPr="00EA3B97">
              <w:rPr>
                <w:rFonts w:eastAsiaTheme="minorEastAsia"/>
                <w:lang w:eastAsia="ja-JP"/>
              </w:rPr>
              <w:t>3 for resource #3</w:t>
            </w:r>
          </w:p>
        </w:tc>
      </w:tr>
      <w:tr w:rsidR="003A71DE" w:rsidRPr="00EA3B97" w14:paraId="1D0E4786" w14:textId="77777777" w:rsidTr="003A71DE">
        <w:trPr>
          <w:trHeight w:val="33"/>
          <w:jc w:val="center"/>
        </w:trPr>
        <w:tc>
          <w:tcPr>
            <w:tcW w:w="2807" w:type="dxa"/>
            <w:tcBorders>
              <w:top w:val="nil"/>
              <w:left w:val="single" w:sz="4" w:space="0" w:color="auto"/>
              <w:bottom w:val="nil"/>
              <w:right w:val="single" w:sz="4" w:space="0" w:color="auto"/>
            </w:tcBorders>
            <w:hideMark/>
          </w:tcPr>
          <w:p w14:paraId="12374098" w14:textId="77777777" w:rsidR="003A71DE" w:rsidRPr="00EA3B97" w:rsidRDefault="003A71DE" w:rsidP="001A5D47">
            <w:pPr>
              <w:pStyle w:val="TAL"/>
              <w:rPr>
                <w:rFonts w:eastAsiaTheme="minorEastAsia"/>
                <w:lang w:eastAsia="ja-JP"/>
              </w:rPr>
            </w:pPr>
            <w:r w:rsidRPr="00EA3B97">
              <w:rPr>
                <w:rFonts w:eastAsiaTheme="minorEastAsia"/>
              </w:rPr>
              <w:t>firstOFDMSymbolInTimeDomain</w:t>
            </w:r>
          </w:p>
        </w:tc>
        <w:tc>
          <w:tcPr>
            <w:tcW w:w="1583" w:type="dxa"/>
            <w:tcBorders>
              <w:top w:val="nil"/>
              <w:left w:val="single" w:sz="4" w:space="0" w:color="auto"/>
              <w:bottom w:val="nil"/>
              <w:right w:val="single" w:sz="4" w:space="0" w:color="auto"/>
            </w:tcBorders>
            <w:hideMark/>
          </w:tcPr>
          <w:p w14:paraId="6CB5B17A" w14:textId="77777777" w:rsidR="003A71DE" w:rsidRPr="00EA3B97" w:rsidRDefault="003A71DE" w:rsidP="001A5D47">
            <w:pPr>
              <w:pStyle w:val="TAL"/>
              <w:rPr>
                <w:rFonts w:eastAsiaTheme="minorEastAsia"/>
                <w:lang w:eastAsia="ja-JP"/>
              </w:rPr>
            </w:pPr>
            <w:r w:rsidRPr="00EA3B97">
              <w:rPr>
                <w:rFonts w:eastAsiaTheme="minorEastAsia"/>
                <w:lang w:eastAsia="ja-JP"/>
              </w:rPr>
              <w:t>5 for resource #0</w:t>
            </w:r>
          </w:p>
        </w:tc>
        <w:tc>
          <w:tcPr>
            <w:tcW w:w="1559" w:type="dxa"/>
            <w:tcBorders>
              <w:top w:val="single" w:sz="4" w:space="0" w:color="auto"/>
              <w:left w:val="single" w:sz="4" w:space="0" w:color="auto"/>
              <w:bottom w:val="nil"/>
              <w:right w:val="single" w:sz="4" w:space="0" w:color="auto"/>
            </w:tcBorders>
            <w:hideMark/>
          </w:tcPr>
          <w:p w14:paraId="1166803F" w14:textId="77777777" w:rsidR="003A71DE" w:rsidRPr="00EA3B97" w:rsidRDefault="003A71DE" w:rsidP="001A5D47">
            <w:pPr>
              <w:pStyle w:val="TAL"/>
              <w:rPr>
                <w:rFonts w:eastAsiaTheme="minorEastAsia"/>
                <w:lang w:eastAsia="ja-JP"/>
              </w:rPr>
            </w:pPr>
            <w:r w:rsidRPr="00EA3B97">
              <w:rPr>
                <w:rFonts w:eastAsiaTheme="minorEastAsia"/>
                <w:lang w:eastAsia="ja-JP"/>
              </w:rPr>
              <w:t>10 for resource #1</w:t>
            </w:r>
          </w:p>
        </w:tc>
        <w:tc>
          <w:tcPr>
            <w:tcW w:w="1559" w:type="dxa"/>
            <w:tcBorders>
              <w:top w:val="single" w:sz="4" w:space="0" w:color="auto"/>
              <w:left w:val="single" w:sz="4" w:space="0" w:color="auto"/>
              <w:bottom w:val="nil"/>
              <w:right w:val="single" w:sz="4" w:space="0" w:color="auto"/>
            </w:tcBorders>
            <w:hideMark/>
          </w:tcPr>
          <w:p w14:paraId="2452AC28" w14:textId="77777777" w:rsidR="003A71DE" w:rsidRPr="00EA3B97" w:rsidRDefault="003A71DE" w:rsidP="001A5D47">
            <w:pPr>
              <w:pStyle w:val="TAL"/>
              <w:rPr>
                <w:rFonts w:eastAsiaTheme="minorEastAsia"/>
                <w:lang w:eastAsia="ja-JP"/>
              </w:rPr>
            </w:pPr>
            <w:r w:rsidRPr="00EA3B97">
              <w:rPr>
                <w:rFonts w:eastAsiaTheme="minorEastAsia"/>
                <w:lang w:eastAsia="ja-JP"/>
              </w:rPr>
              <w:t>10 for resource #1</w:t>
            </w:r>
          </w:p>
        </w:tc>
        <w:tc>
          <w:tcPr>
            <w:tcW w:w="1842" w:type="dxa"/>
            <w:tcBorders>
              <w:top w:val="single" w:sz="4" w:space="0" w:color="auto"/>
              <w:left w:val="single" w:sz="4" w:space="0" w:color="auto"/>
              <w:bottom w:val="single" w:sz="4" w:space="0" w:color="auto"/>
              <w:right w:val="single" w:sz="4" w:space="0" w:color="auto"/>
            </w:tcBorders>
            <w:hideMark/>
          </w:tcPr>
          <w:p w14:paraId="12A34803" w14:textId="77777777" w:rsidR="003A71DE" w:rsidRPr="00EA3B97" w:rsidRDefault="003A71DE" w:rsidP="001A5D47">
            <w:pPr>
              <w:pStyle w:val="TAL"/>
              <w:rPr>
                <w:rFonts w:eastAsiaTheme="minorEastAsia"/>
                <w:lang w:eastAsia="ja-JP"/>
              </w:rPr>
            </w:pPr>
            <w:r w:rsidRPr="00EA3B97">
              <w:rPr>
                <w:rFonts w:eastAsiaTheme="minorEastAsia"/>
                <w:lang w:eastAsia="ja-JP"/>
              </w:rPr>
              <w:t>4 for resource #4</w:t>
            </w:r>
          </w:p>
        </w:tc>
      </w:tr>
      <w:tr w:rsidR="003A71DE" w:rsidRPr="00EA3B97" w14:paraId="4DC7D5C2" w14:textId="77777777" w:rsidTr="003A71DE">
        <w:trPr>
          <w:trHeight w:val="31"/>
          <w:jc w:val="center"/>
        </w:trPr>
        <w:tc>
          <w:tcPr>
            <w:tcW w:w="2807" w:type="dxa"/>
            <w:tcBorders>
              <w:top w:val="nil"/>
              <w:left w:val="single" w:sz="4" w:space="0" w:color="auto"/>
              <w:bottom w:val="nil"/>
              <w:right w:val="single" w:sz="4" w:space="0" w:color="auto"/>
            </w:tcBorders>
            <w:hideMark/>
          </w:tcPr>
          <w:p w14:paraId="47DAAE81" w14:textId="77777777" w:rsidR="003A71DE" w:rsidRPr="00EA3B97" w:rsidRDefault="003A71DE" w:rsidP="001A5D47">
            <w:pPr>
              <w:pStyle w:val="TAL"/>
              <w:rPr>
                <w:rFonts w:eastAsiaTheme="minorEastAsia"/>
                <w:lang w:eastAsia="ja-JP"/>
              </w:rPr>
            </w:pPr>
          </w:p>
        </w:tc>
        <w:tc>
          <w:tcPr>
            <w:tcW w:w="1583" w:type="dxa"/>
            <w:tcBorders>
              <w:top w:val="nil"/>
              <w:left w:val="single" w:sz="4" w:space="0" w:color="auto"/>
              <w:bottom w:val="nil"/>
              <w:right w:val="single" w:sz="4" w:space="0" w:color="auto"/>
            </w:tcBorders>
            <w:hideMark/>
          </w:tcPr>
          <w:p w14:paraId="2B656800"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hideMark/>
          </w:tcPr>
          <w:p w14:paraId="6C53995F"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hideMark/>
          </w:tcPr>
          <w:p w14:paraId="5E2FB564" w14:textId="77777777" w:rsidR="003A71DE" w:rsidRPr="00EA3B97" w:rsidRDefault="003A71DE" w:rsidP="001A5D47">
            <w:pPr>
              <w:pStyle w:val="TAL"/>
              <w:rPr>
                <w:rFonts w:eastAsiaTheme="minorEastAsia"/>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74E9C1C" w14:textId="77777777" w:rsidR="003A71DE" w:rsidRPr="00EA3B97" w:rsidRDefault="003A71DE" w:rsidP="001A5D47">
            <w:pPr>
              <w:pStyle w:val="TAL"/>
              <w:rPr>
                <w:rFonts w:eastAsiaTheme="minorEastAsia"/>
                <w:lang w:eastAsia="ja-JP"/>
              </w:rPr>
            </w:pPr>
            <w:r w:rsidRPr="00EA3B97">
              <w:rPr>
                <w:rFonts w:eastAsiaTheme="minorEastAsia"/>
                <w:lang w:eastAsia="ja-JP"/>
              </w:rPr>
              <w:t>5 for resource #5</w:t>
            </w:r>
          </w:p>
        </w:tc>
      </w:tr>
      <w:tr w:rsidR="003A71DE" w:rsidRPr="00EA3B97" w14:paraId="66936DDB" w14:textId="77777777" w:rsidTr="003A71DE">
        <w:trPr>
          <w:trHeight w:val="31"/>
          <w:jc w:val="center"/>
        </w:trPr>
        <w:tc>
          <w:tcPr>
            <w:tcW w:w="2807" w:type="dxa"/>
            <w:tcBorders>
              <w:top w:val="nil"/>
              <w:left w:val="single" w:sz="4" w:space="0" w:color="auto"/>
              <w:bottom w:val="nil"/>
              <w:right w:val="single" w:sz="4" w:space="0" w:color="auto"/>
            </w:tcBorders>
            <w:hideMark/>
          </w:tcPr>
          <w:p w14:paraId="0660496C" w14:textId="77777777" w:rsidR="003A71DE" w:rsidRPr="00EA3B97" w:rsidRDefault="003A71DE" w:rsidP="001A5D47">
            <w:pPr>
              <w:pStyle w:val="TAL"/>
              <w:rPr>
                <w:rFonts w:eastAsiaTheme="minorEastAsia"/>
                <w:lang w:eastAsia="ja-JP"/>
              </w:rPr>
            </w:pPr>
          </w:p>
        </w:tc>
        <w:tc>
          <w:tcPr>
            <w:tcW w:w="1583" w:type="dxa"/>
            <w:tcBorders>
              <w:top w:val="nil"/>
              <w:left w:val="single" w:sz="4" w:space="0" w:color="auto"/>
              <w:bottom w:val="nil"/>
              <w:right w:val="single" w:sz="4" w:space="0" w:color="auto"/>
            </w:tcBorders>
            <w:hideMark/>
          </w:tcPr>
          <w:p w14:paraId="36ED74D3"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hideMark/>
          </w:tcPr>
          <w:p w14:paraId="4EA78C28"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nil"/>
              <w:right w:val="single" w:sz="4" w:space="0" w:color="auto"/>
            </w:tcBorders>
            <w:hideMark/>
          </w:tcPr>
          <w:p w14:paraId="0CB8BBA4" w14:textId="77777777" w:rsidR="003A71DE" w:rsidRPr="00EA3B97" w:rsidRDefault="003A71DE" w:rsidP="001A5D47">
            <w:pPr>
              <w:pStyle w:val="TAL"/>
              <w:rPr>
                <w:rFonts w:eastAsiaTheme="minorEastAsia"/>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60345A4" w14:textId="77777777" w:rsidR="003A71DE" w:rsidRPr="00EA3B97" w:rsidRDefault="003A71DE" w:rsidP="001A5D47">
            <w:pPr>
              <w:pStyle w:val="TAL"/>
              <w:rPr>
                <w:rFonts w:eastAsiaTheme="minorEastAsia"/>
                <w:lang w:eastAsia="ja-JP"/>
              </w:rPr>
            </w:pPr>
            <w:r w:rsidRPr="00EA3B97">
              <w:rPr>
                <w:rFonts w:eastAsiaTheme="minorEastAsia"/>
                <w:lang w:eastAsia="ja-JP"/>
              </w:rPr>
              <w:t>6 for resource #6</w:t>
            </w:r>
          </w:p>
        </w:tc>
      </w:tr>
      <w:tr w:rsidR="003A71DE" w:rsidRPr="00EA3B97" w14:paraId="25E7B853" w14:textId="77777777" w:rsidTr="003A71DE">
        <w:trPr>
          <w:trHeight w:val="31"/>
          <w:jc w:val="center"/>
        </w:trPr>
        <w:tc>
          <w:tcPr>
            <w:tcW w:w="2807" w:type="dxa"/>
            <w:tcBorders>
              <w:top w:val="nil"/>
              <w:left w:val="single" w:sz="4" w:space="0" w:color="auto"/>
              <w:bottom w:val="single" w:sz="4" w:space="0" w:color="auto"/>
              <w:right w:val="single" w:sz="4" w:space="0" w:color="auto"/>
            </w:tcBorders>
            <w:hideMark/>
          </w:tcPr>
          <w:p w14:paraId="40EA5D20" w14:textId="77777777" w:rsidR="003A71DE" w:rsidRPr="00EA3B97" w:rsidRDefault="003A71DE" w:rsidP="001A5D47">
            <w:pPr>
              <w:pStyle w:val="TAL"/>
              <w:rPr>
                <w:rFonts w:eastAsiaTheme="minorEastAsia"/>
                <w:lang w:eastAsia="ja-JP"/>
              </w:rPr>
            </w:pPr>
          </w:p>
        </w:tc>
        <w:tc>
          <w:tcPr>
            <w:tcW w:w="1583" w:type="dxa"/>
            <w:tcBorders>
              <w:top w:val="nil"/>
              <w:left w:val="single" w:sz="4" w:space="0" w:color="auto"/>
              <w:bottom w:val="single" w:sz="4" w:space="0" w:color="auto"/>
              <w:right w:val="single" w:sz="4" w:space="0" w:color="auto"/>
            </w:tcBorders>
            <w:hideMark/>
          </w:tcPr>
          <w:p w14:paraId="7A03640C"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single" w:sz="4" w:space="0" w:color="auto"/>
              <w:right w:val="single" w:sz="4" w:space="0" w:color="auto"/>
            </w:tcBorders>
            <w:hideMark/>
          </w:tcPr>
          <w:p w14:paraId="6F220EE0" w14:textId="77777777" w:rsidR="003A71DE" w:rsidRPr="00EA3B97" w:rsidRDefault="003A71DE" w:rsidP="001A5D47">
            <w:pPr>
              <w:pStyle w:val="TAL"/>
              <w:rPr>
                <w:rFonts w:eastAsiaTheme="minorEastAsia"/>
                <w:lang w:eastAsia="ja-JP"/>
              </w:rPr>
            </w:pPr>
          </w:p>
        </w:tc>
        <w:tc>
          <w:tcPr>
            <w:tcW w:w="1559" w:type="dxa"/>
            <w:tcBorders>
              <w:top w:val="nil"/>
              <w:left w:val="single" w:sz="4" w:space="0" w:color="auto"/>
              <w:bottom w:val="single" w:sz="4" w:space="0" w:color="auto"/>
              <w:right w:val="single" w:sz="4" w:space="0" w:color="auto"/>
            </w:tcBorders>
            <w:hideMark/>
          </w:tcPr>
          <w:p w14:paraId="08A1A495" w14:textId="77777777" w:rsidR="003A71DE" w:rsidRPr="00EA3B97" w:rsidRDefault="003A71DE" w:rsidP="001A5D47">
            <w:pPr>
              <w:pStyle w:val="TAL"/>
              <w:rPr>
                <w:rFonts w:eastAsiaTheme="minorEastAsia"/>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3C33AFB0" w14:textId="77777777" w:rsidR="003A71DE" w:rsidRPr="00EA3B97" w:rsidRDefault="003A71DE" w:rsidP="001A5D47">
            <w:pPr>
              <w:pStyle w:val="TAL"/>
              <w:rPr>
                <w:rFonts w:eastAsiaTheme="minorEastAsia"/>
                <w:lang w:eastAsia="ja-JP"/>
              </w:rPr>
            </w:pPr>
            <w:r w:rsidRPr="00EA3B97">
              <w:rPr>
                <w:rFonts w:eastAsiaTheme="minorEastAsia"/>
                <w:lang w:eastAsia="ja-JP"/>
              </w:rPr>
              <w:t>7 for resource #7</w:t>
            </w:r>
          </w:p>
        </w:tc>
      </w:tr>
      <w:tr w:rsidR="003A71DE" w:rsidRPr="00EA3B97" w14:paraId="6C19CD83"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45970345" w14:textId="77777777" w:rsidR="003A71DE" w:rsidRPr="00EA3B97" w:rsidRDefault="003A71DE" w:rsidP="001A5D47">
            <w:pPr>
              <w:pStyle w:val="TAL"/>
              <w:rPr>
                <w:rFonts w:eastAsiaTheme="minorEastAsia" w:cs="Arial"/>
                <w:i/>
                <w:lang w:eastAsia="ja-JP"/>
              </w:rPr>
            </w:pPr>
            <w:r w:rsidRPr="00EA3B97">
              <w:rPr>
                <w:rFonts w:eastAsiaTheme="minorEastAsia"/>
              </w:rPr>
              <w:t>cdm-Type</w:t>
            </w:r>
          </w:p>
        </w:tc>
        <w:tc>
          <w:tcPr>
            <w:tcW w:w="1583" w:type="dxa"/>
            <w:tcBorders>
              <w:top w:val="single" w:sz="4" w:space="0" w:color="auto"/>
              <w:left w:val="single" w:sz="4" w:space="0" w:color="auto"/>
              <w:bottom w:val="single" w:sz="4" w:space="0" w:color="auto"/>
              <w:right w:val="single" w:sz="4" w:space="0" w:color="auto"/>
            </w:tcBorders>
            <w:vAlign w:val="center"/>
            <w:hideMark/>
          </w:tcPr>
          <w:p w14:paraId="4D6553F8" w14:textId="77777777" w:rsidR="003A71DE" w:rsidRPr="00EA3B97" w:rsidRDefault="003A71DE" w:rsidP="001A5D47">
            <w:pPr>
              <w:pStyle w:val="TAL"/>
              <w:rPr>
                <w:rFonts w:eastAsiaTheme="minorEastAsia" w:cs="Arial"/>
                <w:lang w:eastAsia="ja-JP"/>
              </w:rPr>
            </w:pPr>
            <w:r w:rsidRPr="00EA3B97">
              <w:rPr>
                <w:rFonts w:eastAsiaTheme="minorEastAsia"/>
                <w:szCs w:val="18"/>
              </w:rPr>
              <w:t>FD-CDM2</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3532C22"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8D0E26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08B53C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noCDM</w:t>
            </w:r>
          </w:p>
        </w:tc>
      </w:tr>
      <w:tr w:rsidR="003A71DE" w:rsidRPr="00EA3B97" w14:paraId="761AD259"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34EDFAB9" w14:textId="77777777" w:rsidR="003A71DE" w:rsidRPr="00EA3B97" w:rsidRDefault="003A71DE" w:rsidP="001A5D47">
            <w:pPr>
              <w:pStyle w:val="TAL"/>
              <w:rPr>
                <w:rFonts w:eastAsiaTheme="minorEastAsia" w:cs="Arial"/>
                <w:i/>
                <w:lang w:eastAsia="ja-JP"/>
              </w:rPr>
            </w:pPr>
            <w:r w:rsidRPr="00EA3B97">
              <w:rPr>
                <w:rFonts w:eastAsiaTheme="minorEastAsia"/>
              </w:rPr>
              <w:t>density</w:t>
            </w:r>
          </w:p>
        </w:tc>
        <w:tc>
          <w:tcPr>
            <w:tcW w:w="1583" w:type="dxa"/>
            <w:tcBorders>
              <w:top w:val="single" w:sz="4" w:space="0" w:color="auto"/>
              <w:left w:val="single" w:sz="4" w:space="0" w:color="auto"/>
              <w:bottom w:val="single" w:sz="4" w:space="0" w:color="auto"/>
              <w:right w:val="single" w:sz="4" w:space="0" w:color="auto"/>
            </w:tcBorders>
            <w:vAlign w:val="center"/>
            <w:hideMark/>
          </w:tcPr>
          <w:p w14:paraId="28B866D9"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54E4BE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7C3ACAB"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8C419B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3</w:t>
            </w:r>
          </w:p>
        </w:tc>
      </w:tr>
      <w:tr w:rsidR="003A71DE" w:rsidRPr="00EA3B97" w14:paraId="68AD77D8"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7E0496DD" w14:textId="77777777" w:rsidR="003A71DE" w:rsidRPr="00EA3B97" w:rsidRDefault="003A71DE" w:rsidP="001A5D47">
            <w:pPr>
              <w:pStyle w:val="TAL"/>
              <w:rPr>
                <w:rFonts w:eastAsiaTheme="minorEastAsia" w:cs="Arial"/>
                <w:i/>
                <w:lang w:eastAsia="ja-JP"/>
              </w:rPr>
            </w:pPr>
            <w:r w:rsidRPr="00EA3B97">
              <w:rPr>
                <w:rFonts w:eastAsiaTheme="minorEastAsia"/>
              </w:rPr>
              <w:t>startingRB</w:t>
            </w:r>
          </w:p>
        </w:tc>
        <w:tc>
          <w:tcPr>
            <w:tcW w:w="1583" w:type="dxa"/>
            <w:tcBorders>
              <w:top w:val="single" w:sz="4" w:space="0" w:color="auto"/>
              <w:left w:val="single" w:sz="4" w:space="0" w:color="auto"/>
              <w:bottom w:val="single" w:sz="4" w:space="0" w:color="auto"/>
              <w:right w:val="single" w:sz="4" w:space="0" w:color="auto"/>
            </w:tcBorders>
            <w:vAlign w:val="center"/>
            <w:hideMark/>
          </w:tcPr>
          <w:p w14:paraId="111CAA47"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3BD215D"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9B5AFC5"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c>
          <w:tcPr>
            <w:tcW w:w="1842" w:type="dxa"/>
            <w:tcBorders>
              <w:top w:val="single" w:sz="4" w:space="0" w:color="auto"/>
              <w:left w:val="single" w:sz="4" w:space="0" w:color="auto"/>
              <w:bottom w:val="single" w:sz="4" w:space="0" w:color="auto"/>
              <w:right w:val="single" w:sz="4" w:space="0" w:color="auto"/>
            </w:tcBorders>
            <w:vAlign w:val="center"/>
            <w:hideMark/>
          </w:tcPr>
          <w:p w14:paraId="2A25013E"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0</w:t>
            </w:r>
          </w:p>
        </w:tc>
      </w:tr>
      <w:tr w:rsidR="003A71DE" w:rsidRPr="00EA3B97" w14:paraId="1FE5E6B7" w14:textId="77777777" w:rsidTr="003A71DE">
        <w:trPr>
          <w:jc w:val="center"/>
        </w:trPr>
        <w:tc>
          <w:tcPr>
            <w:tcW w:w="2807" w:type="dxa"/>
            <w:tcBorders>
              <w:top w:val="single" w:sz="4" w:space="0" w:color="auto"/>
              <w:left w:val="single" w:sz="4" w:space="0" w:color="auto"/>
              <w:bottom w:val="single" w:sz="4" w:space="0" w:color="auto"/>
              <w:right w:val="single" w:sz="4" w:space="0" w:color="auto"/>
            </w:tcBorders>
            <w:vAlign w:val="center"/>
            <w:hideMark/>
          </w:tcPr>
          <w:p w14:paraId="61DB8EE1" w14:textId="77777777" w:rsidR="003A71DE" w:rsidRPr="00EA3B97" w:rsidRDefault="003A71DE" w:rsidP="001A5D47">
            <w:pPr>
              <w:pStyle w:val="TAL"/>
              <w:rPr>
                <w:rFonts w:eastAsiaTheme="minorEastAsia" w:cs="Arial"/>
                <w:i/>
                <w:lang w:eastAsia="ja-JP"/>
              </w:rPr>
            </w:pPr>
            <w:r w:rsidRPr="00EA3B97">
              <w:rPr>
                <w:rFonts w:eastAsiaTheme="minorEastAsia"/>
              </w:rPr>
              <w:t>nrofRBs</w:t>
            </w:r>
          </w:p>
        </w:tc>
        <w:tc>
          <w:tcPr>
            <w:tcW w:w="1583" w:type="dxa"/>
            <w:tcBorders>
              <w:top w:val="single" w:sz="4" w:space="0" w:color="auto"/>
              <w:left w:val="single" w:sz="4" w:space="0" w:color="auto"/>
              <w:bottom w:val="single" w:sz="4" w:space="0" w:color="auto"/>
              <w:right w:val="single" w:sz="4" w:space="0" w:color="auto"/>
            </w:tcBorders>
            <w:vAlign w:val="center"/>
            <w:hideMark/>
          </w:tcPr>
          <w:p w14:paraId="3F053FC8"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76CA0AA"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D5C7EC3"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077D2FC" w14:textId="77777777" w:rsidR="003A71DE" w:rsidRPr="00EA3B97" w:rsidRDefault="003A71DE" w:rsidP="001A5D47">
            <w:pPr>
              <w:pStyle w:val="TAL"/>
              <w:rPr>
                <w:rFonts w:eastAsiaTheme="minorEastAsia" w:cs="Arial"/>
                <w:lang w:eastAsia="ja-JP"/>
              </w:rPr>
            </w:pPr>
            <w:r w:rsidRPr="00EA3B97">
              <w:rPr>
                <w:rFonts w:eastAsiaTheme="minorEastAsia" w:cs="Arial"/>
                <w:lang w:eastAsia="ja-JP"/>
              </w:rPr>
              <w:t>276 (Note 1)</w:t>
            </w:r>
          </w:p>
        </w:tc>
      </w:tr>
      <w:tr w:rsidR="003A71DE" w:rsidRPr="00EA3B97" w14:paraId="4E8E9796" w14:textId="77777777" w:rsidTr="003A71DE">
        <w:trPr>
          <w:jc w:val="center"/>
        </w:trPr>
        <w:tc>
          <w:tcPr>
            <w:tcW w:w="9350" w:type="dxa"/>
            <w:gridSpan w:val="5"/>
            <w:tcBorders>
              <w:top w:val="single" w:sz="4" w:space="0" w:color="auto"/>
              <w:left w:val="single" w:sz="4" w:space="0" w:color="auto"/>
              <w:bottom w:val="single" w:sz="4" w:space="0" w:color="auto"/>
              <w:right w:val="single" w:sz="4" w:space="0" w:color="auto"/>
            </w:tcBorders>
            <w:vAlign w:val="center"/>
          </w:tcPr>
          <w:p w14:paraId="51D0B3CD" w14:textId="77777777" w:rsidR="003A71DE" w:rsidRPr="00EA3B97" w:rsidRDefault="003A71DE" w:rsidP="003A71DE">
            <w:pPr>
              <w:keepNext/>
              <w:keepLines/>
              <w:spacing w:after="0"/>
              <w:ind w:left="851" w:hanging="851"/>
              <w:rPr>
                <w:rFonts w:ascii="Arial" w:eastAsiaTheme="minorEastAsia" w:hAnsi="Arial"/>
                <w:sz w:val="18"/>
                <w:lang w:eastAsia="ja-JP"/>
              </w:rPr>
            </w:pPr>
            <w:r w:rsidRPr="00EA3B97">
              <w:rPr>
                <w:rFonts w:ascii="Arial" w:eastAsiaTheme="minorEastAsia" w:hAnsi="Arial"/>
                <w:sz w:val="18"/>
                <w:lang w:eastAsia="ja-JP"/>
              </w:rPr>
              <w:t>Note 1</w:t>
            </w:r>
            <w:r w:rsidRPr="001A5D47">
              <w:rPr>
                <w:rFonts w:ascii="Arial" w:hAnsi="Arial"/>
                <w:sz w:val="18"/>
              </w:rPr>
              <w:t>:</w:t>
            </w:r>
            <w:r w:rsidRPr="001A5D47">
              <w:rPr>
                <w:rFonts w:ascii="Arial" w:hAnsi="Arial"/>
                <w:snapToGrid w:val="0"/>
                <w:sz w:val="18"/>
              </w:rPr>
              <w:tab/>
            </w:r>
            <w:r w:rsidRPr="001A5D47">
              <w:rPr>
                <w:rFonts w:ascii="Arial" w:hAnsi="Arial"/>
                <w:sz w:val="18"/>
              </w:rPr>
              <w:t>If the configured value of PRBs is larger than the width of the corresponding BWP relevant for the test case</w:t>
            </w:r>
            <w:r w:rsidRPr="00EA3B97">
              <w:rPr>
                <w:rFonts w:ascii="Arial" w:eastAsiaTheme="minorEastAsia" w:hAnsi="Arial"/>
                <w:sz w:val="18"/>
                <w:lang w:eastAsia="ja-JP"/>
              </w:rPr>
              <w:t>, the Test Equipment shall implement CSI-RS only in the width of that BWP.</w:t>
            </w:r>
          </w:p>
        </w:tc>
      </w:tr>
    </w:tbl>
    <w:p w14:paraId="4F5A46B5" w14:textId="77777777" w:rsidR="003A71DE" w:rsidRPr="00EA3B97" w:rsidRDefault="003A71DE" w:rsidP="003A71DE">
      <w:pPr>
        <w:rPr>
          <w:rFonts w:eastAsia="MS Mincho"/>
          <w:noProof/>
          <w:lang w:eastAsia="zh-CN"/>
        </w:rPr>
      </w:pPr>
    </w:p>
    <w:p w14:paraId="55577933" w14:textId="77777777" w:rsidR="003A71DE" w:rsidRPr="00EA3B97" w:rsidRDefault="003A71DE" w:rsidP="0090095F">
      <w:pPr>
        <w:pStyle w:val="Heading3"/>
        <w:rPr>
          <w:rFonts w:eastAsiaTheme="minorEastAsia"/>
          <w:snapToGrid w:val="0"/>
        </w:rPr>
      </w:pPr>
      <w:bookmarkStart w:id="10070" w:name="_Toc74583659"/>
      <w:bookmarkStart w:id="10071" w:name="_Toc76542472"/>
      <w:bookmarkStart w:id="10072" w:name="_Toc82450454"/>
      <w:bookmarkStart w:id="10073" w:name="_Toc82451102"/>
      <w:bookmarkStart w:id="10074" w:name="_Toc89949491"/>
      <w:bookmarkStart w:id="10075" w:name="_Toc98755880"/>
      <w:bookmarkStart w:id="10076" w:name="_Toc98763472"/>
      <w:bookmarkStart w:id="10077" w:name="_Toc106184401"/>
      <w:r w:rsidRPr="00EA3B97">
        <w:rPr>
          <w:rFonts w:eastAsiaTheme="minorEastAsia"/>
          <w:snapToGrid w:val="0"/>
        </w:rPr>
        <w:t>G.1.8</w:t>
      </w:r>
      <w:r w:rsidRPr="00EA3B97">
        <w:rPr>
          <w:rFonts w:eastAsiaTheme="minorEastAsia"/>
          <w:snapToGrid w:val="0"/>
        </w:rPr>
        <w:tab/>
        <w:t>Angle of Arrival (AoA) for FR2 RRM test cases</w:t>
      </w:r>
      <w:bookmarkEnd w:id="10070"/>
      <w:bookmarkEnd w:id="10071"/>
      <w:bookmarkEnd w:id="10072"/>
      <w:bookmarkEnd w:id="10073"/>
      <w:bookmarkEnd w:id="10074"/>
      <w:bookmarkEnd w:id="10075"/>
      <w:bookmarkEnd w:id="10076"/>
      <w:bookmarkEnd w:id="10077"/>
    </w:p>
    <w:p w14:paraId="17D18580" w14:textId="77777777" w:rsidR="003A71DE" w:rsidRPr="00EA3B97" w:rsidRDefault="003A71DE" w:rsidP="003A71DE">
      <w:pPr>
        <w:rPr>
          <w:rFonts w:eastAsiaTheme="minorEastAsia" w:cs="v4.2.0"/>
          <w:lang w:val="en-US"/>
        </w:rPr>
      </w:pPr>
      <w:r w:rsidRPr="00EA3B97">
        <w:rPr>
          <w:rFonts w:eastAsiaTheme="minorEastAsia" w:cs="v4.2.0"/>
        </w:rPr>
        <w:t>This clause specifies the AoA setups for FR2 RRM test cases. The applicable AoA setup is defined in each test case.</w:t>
      </w:r>
    </w:p>
    <w:p w14:paraId="5BFB4F86" w14:textId="77777777" w:rsidR="003A71DE" w:rsidRPr="00EA3B97" w:rsidRDefault="003A71DE" w:rsidP="0090095F">
      <w:pPr>
        <w:pStyle w:val="Heading4"/>
        <w:rPr>
          <w:rFonts w:eastAsiaTheme="minorEastAsia"/>
          <w:snapToGrid w:val="0"/>
        </w:rPr>
      </w:pPr>
      <w:bookmarkStart w:id="10078" w:name="_Toc74583660"/>
      <w:bookmarkStart w:id="10079" w:name="_Toc76542473"/>
      <w:bookmarkStart w:id="10080" w:name="_Toc82450455"/>
      <w:bookmarkStart w:id="10081" w:name="_Toc82451103"/>
      <w:bookmarkStart w:id="10082" w:name="_Toc89949492"/>
      <w:bookmarkStart w:id="10083" w:name="_Toc98755881"/>
      <w:bookmarkStart w:id="10084" w:name="_Toc98763473"/>
      <w:bookmarkStart w:id="10085" w:name="_Toc106184402"/>
      <w:r w:rsidRPr="00EA3B97">
        <w:rPr>
          <w:rFonts w:eastAsiaTheme="minorEastAsia"/>
          <w:snapToGrid w:val="0"/>
        </w:rPr>
        <w:t>G.1.8.1</w:t>
      </w:r>
      <w:r w:rsidRPr="00EA3B97">
        <w:rPr>
          <w:rFonts w:eastAsiaTheme="minorEastAsia"/>
          <w:snapToGrid w:val="0"/>
        </w:rPr>
        <w:tab/>
        <w:t>Setup 1: Single AoA</w:t>
      </w:r>
      <w:bookmarkEnd w:id="10078"/>
      <w:bookmarkEnd w:id="10079"/>
      <w:bookmarkEnd w:id="10080"/>
      <w:bookmarkEnd w:id="10081"/>
      <w:bookmarkEnd w:id="10082"/>
      <w:bookmarkEnd w:id="10083"/>
      <w:bookmarkEnd w:id="10084"/>
      <w:bookmarkEnd w:id="10085"/>
      <w:r w:rsidRPr="00EA3B97">
        <w:rPr>
          <w:rFonts w:eastAsiaTheme="minorEastAsia"/>
          <w:snapToGrid w:val="0"/>
        </w:rPr>
        <w:t xml:space="preserve"> </w:t>
      </w:r>
    </w:p>
    <w:p w14:paraId="5326A138" w14:textId="77777777" w:rsidR="003A71DE" w:rsidRPr="00EA3B97" w:rsidRDefault="003A71DE" w:rsidP="003A71DE">
      <w:pPr>
        <w:rPr>
          <w:rFonts w:eastAsiaTheme="minorEastAsia"/>
        </w:rPr>
      </w:pPr>
      <w:r w:rsidRPr="00EA3B97">
        <w:rPr>
          <w:rFonts w:eastAsiaTheme="minorEastAsia"/>
        </w:rPr>
        <w:t>There is only one active probe in the test. The DL signals, and noise if applicable, transmitted from the probe, are aligned to AoA based upon the declaration.</w:t>
      </w:r>
    </w:p>
    <w:p w14:paraId="0C03BD82" w14:textId="77777777" w:rsidR="003A71DE" w:rsidRPr="00EA3B97" w:rsidRDefault="003A71DE" w:rsidP="0090095F">
      <w:pPr>
        <w:pStyle w:val="Heading4"/>
        <w:rPr>
          <w:rFonts w:eastAsiaTheme="minorEastAsia"/>
          <w:snapToGrid w:val="0"/>
        </w:rPr>
      </w:pPr>
      <w:bookmarkStart w:id="10086" w:name="_Toc74583661"/>
      <w:bookmarkStart w:id="10087" w:name="_Toc76542474"/>
      <w:bookmarkStart w:id="10088" w:name="_Toc82450456"/>
      <w:bookmarkStart w:id="10089" w:name="_Toc82451104"/>
      <w:bookmarkStart w:id="10090" w:name="_Toc89949493"/>
      <w:bookmarkStart w:id="10091" w:name="_Toc98755882"/>
      <w:bookmarkStart w:id="10092" w:name="_Toc98763474"/>
      <w:bookmarkStart w:id="10093" w:name="_Toc106184403"/>
      <w:r w:rsidRPr="00EA3B97">
        <w:rPr>
          <w:rFonts w:eastAsiaTheme="minorEastAsia"/>
          <w:snapToGrid w:val="0"/>
        </w:rPr>
        <w:t>G.1.8.2</w:t>
      </w:r>
      <w:r w:rsidRPr="00EA3B97">
        <w:rPr>
          <w:rFonts w:eastAsiaTheme="minorEastAsia"/>
          <w:snapToGrid w:val="0"/>
        </w:rPr>
        <w:tab/>
        <w:t>Setup 2: 2 AoAs</w:t>
      </w:r>
      <w:bookmarkEnd w:id="10086"/>
      <w:bookmarkEnd w:id="10087"/>
      <w:bookmarkEnd w:id="10088"/>
      <w:bookmarkEnd w:id="10089"/>
      <w:bookmarkEnd w:id="10090"/>
      <w:bookmarkEnd w:id="10091"/>
      <w:bookmarkEnd w:id="10092"/>
      <w:bookmarkEnd w:id="10093"/>
    </w:p>
    <w:p w14:paraId="0689E7BE" w14:textId="77777777" w:rsidR="003A71DE" w:rsidRPr="00EA3B97" w:rsidRDefault="003A71DE" w:rsidP="003A71DE">
      <w:pPr>
        <w:rPr>
          <w:rFonts w:eastAsia="MS Mincho"/>
        </w:rPr>
      </w:pPr>
      <w:r w:rsidRPr="00EA3B97">
        <w:rPr>
          <w:rFonts w:eastAsiaTheme="minorEastAsia"/>
        </w:rPr>
        <w:t xml:space="preserve">There are 2 active probes in the test. The DL signals, and noise if applicable, transmitted from the two active probes, align to </w:t>
      </w:r>
      <w:r w:rsidRPr="00EA3B97">
        <w:rPr>
          <w:rFonts w:eastAsiaTheme="minorEastAsia"/>
          <w:lang w:eastAsia="ja-JP"/>
        </w:rPr>
        <w:t xml:space="preserve">AoAs based upon the declaration. </w:t>
      </w:r>
      <w:r w:rsidRPr="00EA3B97">
        <w:rPr>
          <w:rFonts w:eastAsiaTheme="minorEastAsia"/>
        </w:rPr>
        <w:t xml:space="preserve"> </w:t>
      </w:r>
    </w:p>
    <w:p w14:paraId="5E7751CD" w14:textId="77777777" w:rsidR="003A71DE" w:rsidRPr="00EA3B97" w:rsidRDefault="003A71DE" w:rsidP="003A71DE">
      <w:pPr>
        <w:rPr>
          <w:rFonts w:eastAsiaTheme="minorEastAsia"/>
          <w:noProof/>
          <w:lang w:eastAsia="zh-CN"/>
        </w:rPr>
      </w:pPr>
    </w:p>
    <w:p w14:paraId="228A1D96" w14:textId="77777777" w:rsidR="003A71DE" w:rsidRPr="00EA3B97" w:rsidRDefault="003A71DE" w:rsidP="0090095F">
      <w:pPr>
        <w:pStyle w:val="Heading3"/>
        <w:rPr>
          <w:rFonts w:eastAsiaTheme="minorEastAsia"/>
        </w:rPr>
      </w:pPr>
      <w:bookmarkStart w:id="10094" w:name="_Toc74583662"/>
      <w:bookmarkStart w:id="10095" w:name="_Toc76542475"/>
      <w:bookmarkStart w:id="10096" w:name="_Toc82450457"/>
      <w:bookmarkStart w:id="10097" w:name="_Toc82451105"/>
      <w:bookmarkStart w:id="10098" w:name="_Toc89949494"/>
      <w:bookmarkStart w:id="10099" w:name="_Toc98755883"/>
      <w:bookmarkStart w:id="10100" w:name="_Toc98763475"/>
      <w:bookmarkStart w:id="10101" w:name="_Toc106184404"/>
      <w:r w:rsidRPr="00EA3B97">
        <w:rPr>
          <w:rFonts w:eastAsiaTheme="minorEastAsia"/>
        </w:rPr>
        <w:lastRenderedPageBreak/>
        <w:t>G.1.9</w:t>
      </w:r>
      <w:r w:rsidRPr="00EA3B97">
        <w:rPr>
          <w:rFonts w:eastAsiaTheme="minorEastAsia"/>
        </w:rPr>
        <w:tab/>
        <w:t>TCI State Configuration</w:t>
      </w:r>
      <w:bookmarkEnd w:id="10094"/>
      <w:bookmarkEnd w:id="10095"/>
      <w:bookmarkEnd w:id="10096"/>
      <w:bookmarkEnd w:id="10097"/>
      <w:bookmarkEnd w:id="10098"/>
      <w:bookmarkEnd w:id="10099"/>
      <w:bookmarkEnd w:id="10100"/>
      <w:bookmarkEnd w:id="10101"/>
    </w:p>
    <w:p w14:paraId="279DBD7D" w14:textId="77777777" w:rsidR="003A71DE" w:rsidRPr="00EA3B97" w:rsidRDefault="003A71DE" w:rsidP="0090095F">
      <w:pPr>
        <w:pStyle w:val="Heading4"/>
        <w:rPr>
          <w:rFonts w:eastAsiaTheme="minorEastAsia"/>
        </w:rPr>
      </w:pPr>
      <w:bookmarkStart w:id="10102" w:name="_Toc74583663"/>
      <w:bookmarkStart w:id="10103" w:name="_Toc76542476"/>
      <w:bookmarkStart w:id="10104" w:name="_Toc82450458"/>
      <w:bookmarkStart w:id="10105" w:name="_Toc82451106"/>
      <w:bookmarkStart w:id="10106" w:name="_Toc89949495"/>
      <w:bookmarkStart w:id="10107" w:name="_Toc98755884"/>
      <w:bookmarkStart w:id="10108" w:name="_Toc98763476"/>
      <w:bookmarkStart w:id="10109" w:name="_Toc106184405"/>
      <w:r w:rsidRPr="00EA3B97">
        <w:rPr>
          <w:rFonts w:eastAsiaTheme="minorEastAsia"/>
        </w:rPr>
        <w:t>G.1.9.1</w:t>
      </w:r>
      <w:r w:rsidRPr="00EA3B97">
        <w:rPr>
          <w:rFonts w:eastAsiaTheme="minorEastAsia"/>
        </w:rPr>
        <w:tab/>
        <w:t>Introduction</w:t>
      </w:r>
      <w:bookmarkEnd w:id="10102"/>
      <w:bookmarkEnd w:id="10103"/>
      <w:bookmarkEnd w:id="10104"/>
      <w:bookmarkEnd w:id="10105"/>
      <w:bookmarkEnd w:id="10106"/>
      <w:bookmarkEnd w:id="10107"/>
      <w:bookmarkEnd w:id="10108"/>
      <w:bookmarkEnd w:id="10109"/>
    </w:p>
    <w:p w14:paraId="697B2E83" w14:textId="77777777" w:rsidR="003A71DE" w:rsidRPr="00EA3B97" w:rsidRDefault="003A71DE" w:rsidP="003A71DE">
      <w:pPr>
        <w:rPr>
          <w:rFonts w:eastAsiaTheme="minorEastAsia"/>
        </w:rPr>
      </w:pPr>
      <w:r w:rsidRPr="00EA3B97">
        <w:rPr>
          <w:rFonts w:eastAsiaTheme="minorEastAsia"/>
        </w:rPr>
        <w:t>This clause provides the configurations for TCI states towards either SSB or CSI-RS. The TCI states defined in this clause are configured in each test when applicable to indicate that certain DL signals are QCL’ed with the referenceSignal configured in the TCI states.</w:t>
      </w:r>
    </w:p>
    <w:p w14:paraId="35B44A15" w14:textId="77777777" w:rsidR="003A71DE" w:rsidRPr="00EA3B97" w:rsidRDefault="003A71DE" w:rsidP="0090095F">
      <w:pPr>
        <w:pStyle w:val="Heading4"/>
        <w:rPr>
          <w:rFonts w:eastAsiaTheme="minorEastAsia"/>
        </w:rPr>
      </w:pPr>
      <w:bookmarkStart w:id="10110" w:name="_Toc74583664"/>
      <w:bookmarkStart w:id="10111" w:name="_Toc76542477"/>
      <w:bookmarkStart w:id="10112" w:name="_Toc82450459"/>
      <w:bookmarkStart w:id="10113" w:name="_Toc82451107"/>
      <w:bookmarkStart w:id="10114" w:name="_Toc89949496"/>
      <w:bookmarkStart w:id="10115" w:name="_Toc98755885"/>
      <w:bookmarkStart w:id="10116" w:name="_Toc98763477"/>
      <w:bookmarkStart w:id="10117" w:name="_Toc106184406"/>
      <w:r w:rsidRPr="00EA3B97">
        <w:rPr>
          <w:rFonts w:eastAsiaTheme="minorEastAsia"/>
        </w:rPr>
        <w:t>G.1.9.2</w:t>
      </w:r>
      <w:r w:rsidRPr="00EA3B97">
        <w:rPr>
          <w:rFonts w:eastAsiaTheme="minorEastAsia"/>
        </w:rPr>
        <w:tab/>
        <w:t>TCI states</w:t>
      </w:r>
      <w:bookmarkEnd w:id="10110"/>
      <w:bookmarkEnd w:id="10111"/>
      <w:bookmarkEnd w:id="10112"/>
      <w:bookmarkEnd w:id="10113"/>
      <w:bookmarkEnd w:id="10114"/>
      <w:bookmarkEnd w:id="10115"/>
      <w:bookmarkEnd w:id="10116"/>
      <w:bookmarkEnd w:id="10117"/>
    </w:p>
    <w:p w14:paraId="608AD015" w14:textId="77777777" w:rsidR="003A71DE" w:rsidRPr="00EA3B97" w:rsidRDefault="003A71DE" w:rsidP="00BA0D24">
      <w:pPr>
        <w:pStyle w:val="TH"/>
        <w:rPr>
          <w:rFonts w:eastAsiaTheme="minorEastAsia"/>
        </w:rPr>
      </w:pPr>
      <w:r w:rsidRPr="00EA3B97">
        <w:rPr>
          <w:rFonts w:eastAsiaTheme="minorEastAsia"/>
        </w:rPr>
        <w:t>Table G.1.9.2-1: TCI States</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0"/>
        <w:gridCol w:w="1870"/>
        <w:gridCol w:w="1870"/>
        <w:gridCol w:w="1870"/>
        <w:gridCol w:w="1870"/>
      </w:tblGrid>
      <w:tr w:rsidR="003A71DE" w:rsidRPr="00EA3B97" w14:paraId="291E6948" w14:textId="77777777" w:rsidTr="003A71DE">
        <w:tc>
          <w:tcPr>
            <w:tcW w:w="1870" w:type="dxa"/>
            <w:tcBorders>
              <w:top w:val="single" w:sz="4" w:space="0" w:color="auto"/>
              <w:left w:val="single" w:sz="4" w:space="0" w:color="auto"/>
              <w:bottom w:val="single" w:sz="4" w:space="0" w:color="auto"/>
              <w:right w:val="single" w:sz="4" w:space="0" w:color="auto"/>
            </w:tcBorders>
            <w:hideMark/>
          </w:tcPr>
          <w:p w14:paraId="485DA845" w14:textId="77777777" w:rsidR="003A71DE" w:rsidRPr="00EA3B97" w:rsidRDefault="003A71DE" w:rsidP="001A5D47">
            <w:pPr>
              <w:pStyle w:val="TAH"/>
              <w:rPr>
                <w:rFonts w:eastAsiaTheme="minorEastAsia"/>
              </w:rPr>
            </w:pPr>
            <w:r w:rsidRPr="00EA3B97">
              <w:rPr>
                <w:rFonts w:eastAsiaTheme="minorEastAsia"/>
              </w:rPr>
              <w:t>Parameter</w:t>
            </w:r>
          </w:p>
        </w:tc>
        <w:tc>
          <w:tcPr>
            <w:tcW w:w="1870" w:type="dxa"/>
            <w:tcBorders>
              <w:top w:val="single" w:sz="4" w:space="0" w:color="auto"/>
              <w:left w:val="single" w:sz="4" w:space="0" w:color="auto"/>
              <w:bottom w:val="single" w:sz="4" w:space="0" w:color="auto"/>
              <w:right w:val="single" w:sz="4" w:space="0" w:color="auto"/>
            </w:tcBorders>
            <w:hideMark/>
          </w:tcPr>
          <w:p w14:paraId="4C0D3575" w14:textId="77777777" w:rsidR="003A71DE" w:rsidRPr="00EA3B97" w:rsidRDefault="003A71DE" w:rsidP="001A5D47">
            <w:pPr>
              <w:pStyle w:val="TAH"/>
              <w:rPr>
                <w:rFonts w:eastAsiaTheme="minorEastAsia"/>
              </w:rPr>
            </w:pPr>
            <w:r w:rsidRPr="00EA3B97">
              <w:rPr>
                <w:rFonts w:eastAsiaTheme="minorEastAsia"/>
              </w:rPr>
              <w:t>TCI.State.0</w:t>
            </w:r>
          </w:p>
        </w:tc>
        <w:tc>
          <w:tcPr>
            <w:tcW w:w="1870" w:type="dxa"/>
            <w:tcBorders>
              <w:top w:val="single" w:sz="4" w:space="0" w:color="auto"/>
              <w:left w:val="single" w:sz="4" w:space="0" w:color="auto"/>
              <w:bottom w:val="single" w:sz="4" w:space="0" w:color="auto"/>
              <w:right w:val="single" w:sz="4" w:space="0" w:color="auto"/>
            </w:tcBorders>
            <w:hideMark/>
          </w:tcPr>
          <w:p w14:paraId="31C8B3E7" w14:textId="77777777" w:rsidR="003A71DE" w:rsidRPr="00EA3B97" w:rsidRDefault="003A71DE" w:rsidP="001A5D47">
            <w:pPr>
              <w:pStyle w:val="TAH"/>
              <w:rPr>
                <w:rFonts w:eastAsiaTheme="minorEastAsia"/>
              </w:rPr>
            </w:pPr>
            <w:r w:rsidRPr="00EA3B97">
              <w:rPr>
                <w:rFonts w:eastAsiaTheme="minorEastAsia"/>
              </w:rPr>
              <w:t>TCI.State.1</w:t>
            </w:r>
          </w:p>
        </w:tc>
        <w:tc>
          <w:tcPr>
            <w:tcW w:w="1870" w:type="dxa"/>
            <w:tcBorders>
              <w:top w:val="single" w:sz="4" w:space="0" w:color="auto"/>
              <w:left w:val="single" w:sz="4" w:space="0" w:color="auto"/>
              <w:bottom w:val="single" w:sz="4" w:space="0" w:color="auto"/>
              <w:right w:val="single" w:sz="4" w:space="0" w:color="auto"/>
            </w:tcBorders>
            <w:hideMark/>
          </w:tcPr>
          <w:p w14:paraId="7BAA7C0E" w14:textId="77777777" w:rsidR="003A71DE" w:rsidRPr="00EA3B97" w:rsidRDefault="003A71DE" w:rsidP="001A5D47">
            <w:pPr>
              <w:pStyle w:val="TAH"/>
              <w:rPr>
                <w:rFonts w:eastAsiaTheme="minorEastAsia"/>
              </w:rPr>
            </w:pPr>
            <w:r w:rsidRPr="00EA3B97">
              <w:rPr>
                <w:rFonts w:eastAsiaTheme="minorEastAsia"/>
              </w:rPr>
              <w:t>TCI.State.2</w:t>
            </w:r>
          </w:p>
        </w:tc>
        <w:tc>
          <w:tcPr>
            <w:tcW w:w="1870" w:type="dxa"/>
            <w:tcBorders>
              <w:top w:val="single" w:sz="4" w:space="0" w:color="auto"/>
              <w:left w:val="single" w:sz="4" w:space="0" w:color="auto"/>
              <w:bottom w:val="single" w:sz="4" w:space="0" w:color="auto"/>
              <w:right w:val="single" w:sz="4" w:space="0" w:color="auto"/>
            </w:tcBorders>
            <w:hideMark/>
          </w:tcPr>
          <w:p w14:paraId="56662ECE" w14:textId="77777777" w:rsidR="003A71DE" w:rsidRPr="00EA3B97" w:rsidRDefault="003A71DE" w:rsidP="001A5D47">
            <w:pPr>
              <w:pStyle w:val="TAH"/>
              <w:rPr>
                <w:rFonts w:eastAsiaTheme="minorEastAsia"/>
              </w:rPr>
            </w:pPr>
            <w:r w:rsidRPr="00EA3B97">
              <w:rPr>
                <w:rFonts w:eastAsiaTheme="minorEastAsia"/>
              </w:rPr>
              <w:t>TCI.State.3</w:t>
            </w:r>
          </w:p>
        </w:tc>
      </w:tr>
      <w:tr w:rsidR="003A71DE" w:rsidRPr="00EA3B97" w14:paraId="27C35C2C" w14:textId="77777777" w:rsidTr="003A71DE">
        <w:tc>
          <w:tcPr>
            <w:tcW w:w="1870" w:type="dxa"/>
            <w:tcBorders>
              <w:top w:val="single" w:sz="4" w:space="0" w:color="auto"/>
              <w:left w:val="single" w:sz="4" w:space="0" w:color="auto"/>
              <w:bottom w:val="single" w:sz="4" w:space="0" w:color="auto"/>
              <w:right w:val="single" w:sz="4" w:space="0" w:color="auto"/>
            </w:tcBorders>
            <w:hideMark/>
          </w:tcPr>
          <w:p w14:paraId="0EB9BDD6" w14:textId="77777777" w:rsidR="003A71DE" w:rsidRPr="00EA3B97" w:rsidRDefault="003A71DE" w:rsidP="001A5D47">
            <w:pPr>
              <w:pStyle w:val="TAC"/>
              <w:rPr>
                <w:rFonts w:eastAsiaTheme="minorEastAsia"/>
              </w:rPr>
            </w:pPr>
            <w:r w:rsidRPr="00EA3B97">
              <w:rPr>
                <w:rFonts w:eastAsiaTheme="minorEastAsia"/>
              </w:rPr>
              <w:t>tci-StateId</w:t>
            </w:r>
          </w:p>
        </w:tc>
        <w:tc>
          <w:tcPr>
            <w:tcW w:w="1870" w:type="dxa"/>
            <w:tcBorders>
              <w:top w:val="single" w:sz="4" w:space="0" w:color="auto"/>
              <w:left w:val="single" w:sz="4" w:space="0" w:color="auto"/>
              <w:bottom w:val="single" w:sz="4" w:space="0" w:color="auto"/>
              <w:right w:val="single" w:sz="4" w:space="0" w:color="auto"/>
            </w:tcBorders>
            <w:hideMark/>
          </w:tcPr>
          <w:p w14:paraId="06B46395" w14:textId="77777777" w:rsidR="003A71DE" w:rsidRPr="00EA3B97" w:rsidRDefault="003A71DE" w:rsidP="001A5D47">
            <w:pPr>
              <w:pStyle w:val="TAC"/>
              <w:rPr>
                <w:rFonts w:eastAsiaTheme="minorEastAsia"/>
              </w:rPr>
            </w:pPr>
            <w:r w:rsidRPr="00EA3B97">
              <w:rPr>
                <w:rFonts w:eastAsiaTheme="minorEastAsia"/>
              </w:rPr>
              <w:t>Id0</w:t>
            </w:r>
          </w:p>
        </w:tc>
        <w:tc>
          <w:tcPr>
            <w:tcW w:w="1870" w:type="dxa"/>
            <w:tcBorders>
              <w:top w:val="single" w:sz="4" w:space="0" w:color="auto"/>
              <w:left w:val="single" w:sz="4" w:space="0" w:color="auto"/>
              <w:bottom w:val="single" w:sz="4" w:space="0" w:color="auto"/>
              <w:right w:val="single" w:sz="4" w:space="0" w:color="auto"/>
            </w:tcBorders>
            <w:hideMark/>
          </w:tcPr>
          <w:p w14:paraId="515CFE61" w14:textId="77777777" w:rsidR="003A71DE" w:rsidRPr="00EA3B97" w:rsidRDefault="003A71DE" w:rsidP="001A5D47">
            <w:pPr>
              <w:pStyle w:val="TAC"/>
              <w:rPr>
                <w:rFonts w:eastAsiaTheme="minorEastAsia"/>
              </w:rPr>
            </w:pPr>
            <w:r w:rsidRPr="00EA3B97">
              <w:rPr>
                <w:rFonts w:eastAsiaTheme="minorEastAsia"/>
              </w:rPr>
              <w:t>Id1</w:t>
            </w:r>
          </w:p>
        </w:tc>
        <w:tc>
          <w:tcPr>
            <w:tcW w:w="1870" w:type="dxa"/>
            <w:tcBorders>
              <w:top w:val="single" w:sz="4" w:space="0" w:color="auto"/>
              <w:left w:val="single" w:sz="4" w:space="0" w:color="auto"/>
              <w:bottom w:val="single" w:sz="4" w:space="0" w:color="auto"/>
              <w:right w:val="single" w:sz="4" w:space="0" w:color="auto"/>
            </w:tcBorders>
            <w:hideMark/>
          </w:tcPr>
          <w:p w14:paraId="7797B25E" w14:textId="77777777" w:rsidR="003A71DE" w:rsidRPr="00EA3B97" w:rsidRDefault="003A71DE" w:rsidP="001A5D47">
            <w:pPr>
              <w:pStyle w:val="TAC"/>
              <w:rPr>
                <w:rFonts w:eastAsiaTheme="minorEastAsia"/>
              </w:rPr>
            </w:pPr>
            <w:r w:rsidRPr="00EA3B97">
              <w:rPr>
                <w:rFonts w:eastAsiaTheme="minorEastAsia"/>
              </w:rPr>
              <w:t>Id2</w:t>
            </w:r>
          </w:p>
        </w:tc>
        <w:tc>
          <w:tcPr>
            <w:tcW w:w="1870" w:type="dxa"/>
            <w:tcBorders>
              <w:top w:val="single" w:sz="4" w:space="0" w:color="auto"/>
              <w:left w:val="single" w:sz="4" w:space="0" w:color="auto"/>
              <w:bottom w:val="single" w:sz="4" w:space="0" w:color="auto"/>
              <w:right w:val="single" w:sz="4" w:space="0" w:color="auto"/>
            </w:tcBorders>
            <w:hideMark/>
          </w:tcPr>
          <w:p w14:paraId="11A2A5E7" w14:textId="77777777" w:rsidR="003A71DE" w:rsidRPr="00EA3B97" w:rsidRDefault="003A71DE" w:rsidP="001A5D47">
            <w:pPr>
              <w:pStyle w:val="TAC"/>
              <w:rPr>
                <w:rFonts w:eastAsiaTheme="minorEastAsia"/>
              </w:rPr>
            </w:pPr>
            <w:r w:rsidRPr="00EA3B97">
              <w:rPr>
                <w:rFonts w:eastAsiaTheme="minorEastAsia"/>
              </w:rPr>
              <w:t>Id3</w:t>
            </w:r>
          </w:p>
        </w:tc>
      </w:tr>
      <w:tr w:rsidR="003A71DE" w:rsidRPr="00EA3B97" w14:paraId="1231C93F" w14:textId="77777777" w:rsidTr="003A71DE">
        <w:tc>
          <w:tcPr>
            <w:tcW w:w="1870" w:type="dxa"/>
            <w:tcBorders>
              <w:top w:val="single" w:sz="4" w:space="0" w:color="auto"/>
              <w:left w:val="single" w:sz="4" w:space="0" w:color="auto"/>
              <w:bottom w:val="single" w:sz="4" w:space="0" w:color="auto"/>
              <w:right w:val="single" w:sz="4" w:space="0" w:color="auto"/>
            </w:tcBorders>
            <w:hideMark/>
          </w:tcPr>
          <w:p w14:paraId="0CB3C1E1" w14:textId="77777777" w:rsidR="003A71DE" w:rsidRPr="00EA3B97" w:rsidRDefault="003A71DE" w:rsidP="001A5D47">
            <w:pPr>
              <w:pStyle w:val="TAC"/>
              <w:rPr>
                <w:rFonts w:eastAsiaTheme="minorEastAsia"/>
              </w:rPr>
            </w:pPr>
            <w:r w:rsidRPr="00EA3B97">
              <w:rPr>
                <w:rFonts w:eastAsiaTheme="minorEastAsia"/>
              </w:rPr>
              <w:t>qcl-Type1</w:t>
            </w:r>
          </w:p>
        </w:tc>
        <w:tc>
          <w:tcPr>
            <w:tcW w:w="1870" w:type="dxa"/>
            <w:tcBorders>
              <w:top w:val="single" w:sz="4" w:space="0" w:color="auto"/>
              <w:left w:val="single" w:sz="4" w:space="0" w:color="auto"/>
              <w:bottom w:val="single" w:sz="4" w:space="0" w:color="auto"/>
              <w:right w:val="single" w:sz="4" w:space="0" w:color="auto"/>
            </w:tcBorders>
            <w:hideMark/>
          </w:tcPr>
          <w:p w14:paraId="67218990" w14:textId="77777777" w:rsidR="003A71DE" w:rsidRPr="00EA3B97" w:rsidRDefault="003A71DE" w:rsidP="001A5D47">
            <w:pPr>
              <w:pStyle w:val="TAC"/>
              <w:rPr>
                <w:rFonts w:eastAsiaTheme="minorEastAsia"/>
              </w:rPr>
            </w:pPr>
            <w:r w:rsidRPr="00EA3B97">
              <w:rPr>
                <w:rFonts w:eastAsiaTheme="minorEastAsia"/>
              </w:rPr>
              <w:t>typeC</w:t>
            </w:r>
          </w:p>
        </w:tc>
        <w:tc>
          <w:tcPr>
            <w:tcW w:w="1870" w:type="dxa"/>
            <w:tcBorders>
              <w:top w:val="single" w:sz="4" w:space="0" w:color="auto"/>
              <w:left w:val="single" w:sz="4" w:space="0" w:color="auto"/>
              <w:bottom w:val="single" w:sz="4" w:space="0" w:color="auto"/>
              <w:right w:val="single" w:sz="4" w:space="0" w:color="auto"/>
            </w:tcBorders>
            <w:hideMark/>
          </w:tcPr>
          <w:p w14:paraId="0CA73554" w14:textId="77777777" w:rsidR="003A71DE" w:rsidRPr="00EA3B97" w:rsidRDefault="003A71DE" w:rsidP="001A5D47">
            <w:pPr>
              <w:pStyle w:val="TAC"/>
              <w:rPr>
                <w:rFonts w:eastAsiaTheme="minorEastAsia"/>
              </w:rPr>
            </w:pPr>
            <w:r w:rsidRPr="00EA3B97">
              <w:rPr>
                <w:rFonts w:eastAsiaTheme="minorEastAsia"/>
              </w:rPr>
              <w:t>typeC</w:t>
            </w:r>
          </w:p>
        </w:tc>
        <w:tc>
          <w:tcPr>
            <w:tcW w:w="1870" w:type="dxa"/>
            <w:tcBorders>
              <w:top w:val="single" w:sz="4" w:space="0" w:color="auto"/>
              <w:left w:val="single" w:sz="4" w:space="0" w:color="auto"/>
              <w:bottom w:val="single" w:sz="4" w:space="0" w:color="auto"/>
              <w:right w:val="single" w:sz="4" w:space="0" w:color="auto"/>
            </w:tcBorders>
            <w:hideMark/>
          </w:tcPr>
          <w:p w14:paraId="05B58D18" w14:textId="77777777" w:rsidR="003A71DE" w:rsidRPr="00EA3B97" w:rsidRDefault="003A71DE" w:rsidP="001A5D47">
            <w:pPr>
              <w:pStyle w:val="TAC"/>
              <w:rPr>
                <w:rFonts w:eastAsiaTheme="minorEastAsia"/>
              </w:rPr>
            </w:pPr>
            <w:r w:rsidRPr="00EA3B97">
              <w:rPr>
                <w:rFonts w:eastAsiaTheme="minorEastAsia"/>
              </w:rPr>
              <w:t>typeA</w:t>
            </w:r>
          </w:p>
        </w:tc>
        <w:tc>
          <w:tcPr>
            <w:tcW w:w="1870" w:type="dxa"/>
            <w:tcBorders>
              <w:top w:val="single" w:sz="4" w:space="0" w:color="auto"/>
              <w:left w:val="single" w:sz="4" w:space="0" w:color="auto"/>
              <w:bottom w:val="single" w:sz="4" w:space="0" w:color="auto"/>
              <w:right w:val="single" w:sz="4" w:space="0" w:color="auto"/>
            </w:tcBorders>
            <w:hideMark/>
          </w:tcPr>
          <w:p w14:paraId="20F28054" w14:textId="77777777" w:rsidR="003A71DE" w:rsidRPr="00EA3B97" w:rsidRDefault="003A71DE" w:rsidP="001A5D47">
            <w:pPr>
              <w:pStyle w:val="TAC"/>
              <w:rPr>
                <w:rFonts w:eastAsiaTheme="minorEastAsia"/>
              </w:rPr>
            </w:pPr>
            <w:r w:rsidRPr="00EA3B97">
              <w:rPr>
                <w:rFonts w:eastAsiaTheme="minorEastAsia"/>
              </w:rPr>
              <w:t>typeA</w:t>
            </w:r>
          </w:p>
        </w:tc>
      </w:tr>
      <w:tr w:rsidR="003A71DE" w:rsidRPr="00EA3B97" w14:paraId="70F4A081" w14:textId="77777777" w:rsidTr="003A71DE">
        <w:tc>
          <w:tcPr>
            <w:tcW w:w="1870" w:type="dxa"/>
            <w:tcBorders>
              <w:top w:val="single" w:sz="4" w:space="0" w:color="auto"/>
              <w:left w:val="single" w:sz="4" w:space="0" w:color="auto"/>
              <w:bottom w:val="single" w:sz="4" w:space="0" w:color="auto"/>
              <w:right w:val="single" w:sz="4" w:space="0" w:color="auto"/>
            </w:tcBorders>
            <w:hideMark/>
          </w:tcPr>
          <w:p w14:paraId="1B02283E" w14:textId="77777777" w:rsidR="003A71DE" w:rsidRPr="00EA3B97" w:rsidRDefault="003A71DE" w:rsidP="001A5D47">
            <w:pPr>
              <w:pStyle w:val="TAC"/>
              <w:rPr>
                <w:rFonts w:eastAsiaTheme="minorEastAsia"/>
              </w:rPr>
            </w:pPr>
            <w:r w:rsidRPr="00EA3B97">
              <w:rPr>
                <w:rFonts w:eastAsiaTheme="minorEastAsia"/>
              </w:rPr>
              <w:t>qcl-Type2</w:t>
            </w:r>
            <w:r w:rsidRPr="00EA3B97">
              <w:rPr>
                <w:rFonts w:eastAsiaTheme="minorEastAsia"/>
                <w:vertAlign w:val="superscript"/>
              </w:rPr>
              <w:t>Note1</w:t>
            </w:r>
          </w:p>
        </w:tc>
        <w:tc>
          <w:tcPr>
            <w:tcW w:w="1870" w:type="dxa"/>
            <w:tcBorders>
              <w:top w:val="single" w:sz="4" w:space="0" w:color="auto"/>
              <w:left w:val="single" w:sz="4" w:space="0" w:color="auto"/>
              <w:bottom w:val="single" w:sz="4" w:space="0" w:color="auto"/>
              <w:right w:val="single" w:sz="4" w:space="0" w:color="auto"/>
            </w:tcBorders>
            <w:hideMark/>
          </w:tcPr>
          <w:p w14:paraId="3CCE8866" w14:textId="77777777" w:rsidR="003A71DE" w:rsidRPr="00EA3B97" w:rsidRDefault="003A71DE" w:rsidP="001A5D47">
            <w:pPr>
              <w:pStyle w:val="TAC"/>
              <w:rPr>
                <w:rFonts w:eastAsiaTheme="minorEastAsia"/>
              </w:rPr>
            </w:pPr>
            <w:r w:rsidRPr="00EA3B97">
              <w:rPr>
                <w:rFonts w:eastAsiaTheme="minorEastAsia"/>
              </w:rPr>
              <w:t>typeD</w:t>
            </w:r>
          </w:p>
        </w:tc>
        <w:tc>
          <w:tcPr>
            <w:tcW w:w="1870" w:type="dxa"/>
            <w:tcBorders>
              <w:top w:val="single" w:sz="4" w:space="0" w:color="auto"/>
              <w:left w:val="single" w:sz="4" w:space="0" w:color="auto"/>
              <w:bottom w:val="single" w:sz="4" w:space="0" w:color="auto"/>
              <w:right w:val="single" w:sz="4" w:space="0" w:color="auto"/>
            </w:tcBorders>
            <w:hideMark/>
          </w:tcPr>
          <w:p w14:paraId="5A537B88" w14:textId="77777777" w:rsidR="003A71DE" w:rsidRPr="00EA3B97" w:rsidRDefault="003A71DE" w:rsidP="001A5D47">
            <w:pPr>
              <w:pStyle w:val="TAC"/>
              <w:rPr>
                <w:rFonts w:eastAsiaTheme="minorEastAsia"/>
              </w:rPr>
            </w:pPr>
            <w:r w:rsidRPr="00EA3B97">
              <w:rPr>
                <w:rFonts w:eastAsiaTheme="minorEastAsia"/>
              </w:rPr>
              <w:t>typeD</w:t>
            </w:r>
          </w:p>
        </w:tc>
        <w:tc>
          <w:tcPr>
            <w:tcW w:w="1870" w:type="dxa"/>
            <w:tcBorders>
              <w:top w:val="single" w:sz="4" w:space="0" w:color="auto"/>
              <w:left w:val="single" w:sz="4" w:space="0" w:color="auto"/>
              <w:bottom w:val="single" w:sz="4" w:space="0" w:color="auto"/>
              <w:right w:val="single" w:sz="4" w:space="0" w:color="auto"/>
            </w:tcBorders>
            <w:hideMark/>
          </w:tcPr>
          <w:p w14:paraId="4FB6FF60" w14:textId="77777777" w:rsidR="003A71DE" w:rsidRPr="00EA3B97" w:rsidRDefault="003A71DE" w:rsidP="001A5D47">
            <w:pPr>
              <w:pStyle w:val="TAC"/>
              <w:rPr>
                <w:rFonts w:eastAsiaTheme="minorEastAsia"/>
              </w:rPr>
            </w:pPr>
            <w:r w:rsidRPr="00EA3B97">
              <w:rPr>
                <w:rFonts w:eastAsiaTheme="minorEastAsia"/>
              </w:rPr>
              <w:t>typeD</w:t>
            </w:r>
          </w:p>
        </w:tc>
        <w:tc>
          <w:tcPr>
            <w:tcW w:w="1870" w:type="dxa"/>
            <w:tcBorders>
              <w:top w:val="single" w:sz="4" w:space="0" w:color="auto"/>
              <w:left w:val="single" w:sz="4" w:space="0" w:color="auto"/>
              <w:bottom w:val="single" w:sz="4" w:space="0" w:color="auto"/>
              <w:right w:val="single" w:sz="4" w:space="0" w:color="auto"/>
            </w:tcBorders>
            <w:hideMark/>
          </w:tcPr>
          <w:p w14:paraId="3A6FE017" w14:textId="77777777" w:rsidR="003A71DE" w:rsidRPr="00EA3B97" w:rsidRDefault="003A71DE" w:rsidP="001A5D47">
            <w:pPr>
              <w:pStyle w:val="TAC"/>
              <w:rPr>
                <w:rFonts w:eastAsiaTheme="minorEastAsia"/>
              </w:rPr>
            </w:pPr>
            <w:r w:rsidRPr="00EA3B97">
              <w:rPr>
                <w:rFonts w:eastAsiaTheme="minorEastAsia"/>
              </w:rPr>
              <w:t>typeD</w:t>
            </w:r>
          </w:p>
        </w:tc>
      </w:tr>
      <w:tr w:rsidR="003A71DE" w:rsidRPr="00EA3B97" w14:paraId="5D891FCA" w14:textId="77777777" w:rsidTr="003A71DE">
        <w:tc>
          <w:tcPr>
            <w:tcW w:w="1870" w:type="dxa"/>
            <w:tcBorders>
              <w:top w:val="single" w:sz="4" w:space="0" w:color="auto"/>
              <w:left w:val="single" w:sz="4" w:space="0" w:color="auto"/>
              <w:bottom w:val="single" w:sz="4" w:space="0" w:color="auto"/>
              <w:right w:val="single" w:sz="4" w:space="0" w:color="auto"/>
            </w:tcBorders>
            <w:hideMark/>
          </w:tcPr>
          <w:p w14:paraId="73BE6002" w14:textId="77777777" w:rsidR="003A71DE" w:rsidRPr="00EA3B97" w:rsidRDefault="003A71DE" w:rsidP="001A5D47">
            <w:pPr>
              <w:pStyle w:val="TAC"/>
              <w:rPr>
                <w:rFonts w:eastAsiaTheme="minorEastAsia"/>
              </w:rPr>
            </w:pPr>
            <w:r w:rsidRPr="00EA3B97">
              <w:rPr>
                <w:rFonts w:eastAsiaTheme="minorEastAsia"/>
              </w:rPr>
              <w:t>referenceSignal</w:t>
            </w:r>
          </w:p>
        </w:tc>
        <w:tc>
          <w:tcPr>
            <w:tcW w:w="1870" w:type="dxa"/>
            <w:tcBorders>
              <w:top w:val="single" w:sz="4" w:space="0" w:color="auto"/>
              <w:left w:val="single" w:sz="4" w:space="0" w:color="auto"/>
              <w:bottom w:val="single" w:sz="4" w:space="0" w:color="auto"/>
              <w:right w:val="single" w:sz="4" w:space="0" w:color="auto"/>
            </w:tcBorders>
            <w:hideMark/>
          </w:tcPr>
          <w:p w14:paraId="69762356" w14:textId="77777777" w:rsidR="003A71DE" w:rsidRPr="00EA3B97" w:rsidRDefault="003A71DE" w:rsidP="001A5D47">
            <w:pPr>
              <w:pStyle w:val="TAC"/>
              <w:rPr>
                <w:rFonts w:eastAsiaTheme="minorEastAsia"/>
              </w:rPr>
            </w:pPr>
            <w:r w:rsidRPr="00EA3B97">
              <w:rPr>
                <w:rFonts w:eastAsiaTheme="minorEastAsia"/>
              </w:rPr>
              <w:t>SSB0</w:t>
            </w:r>
          </w:p>
        </w:tc>
        <w:tc>
          <w:tcPr>
            <w:tcW w:w="1870" w:type="dxa"/>
            <w:tcBorders>
              <w:top w:val="single" w:sz="4" w:space="0" w:color="auto"/>
              <w:left w:val="single" w:sz="4" w:space="0" w:color="auto"/>
              <w:bottom w:val="single" w:sz="4" w:space="0" w:color="auto"/>
              <w:right w:val="single" w:sz="4" w:space="0" w:color="auto"/>
            </w:tcBorders>
            <w:hideMark/>
          </w:tcPr>
          <w:p w14:paraId="743688C2" w14:textId="77777777" w:rsidR="003A71DE" w:rsidRPr="00EA3B97" w:rsidRDefault="003A71DE" w:rsidP="001A5D47">
            <w:pPr>
              <w:pStyle w:val="TAC"/>
              <w:rPr>
                <w:rFonts w:eastAsiaTheme="minorEastAsia"/>
              </w:rPr>
            </w:pPr>
            <w:r w:rsidRPr="00EA3B97">
              <w:rPr>
                <w:rFonts w:eastAsiaTheme="minorEastAsia"/>
              </w:rPr>
              <w:t>SSB1</w:t>
            </w:r>
          </w:p>
        </w:tc>
        <w:tc>
          <w:tcPr>
            <w:tcW w:w="1870" w:type="dxa"/>
            <w:tcBorders>
              <w:top w:val="single" w:sz="4" w:space="0" w:color="auto"/>
              <w:left w:val="single" w:sz="4" w:space="0" w:color="auto"/>
              <w:bottom w:val="single" w:sz="4" w:space="0" w:color="auto"/>
              <w:right w:val="single" w:sz="4" w:space="0" w:color="auto"/>
            </w:tcBorders>
            <w:hideMark/>
          </w:tcPr>
          <w:p w14:paraId="6B29779B" w14:textId="77777777" w:rsidR="003A71DE" w:rsidRPr="00EA3B97" w:rsidRDefault="003A71DE" w:rsidP="001A5D47">
            <w:pPr>
              <w:pStyle w:val="TAC"/>
              <w:rPr>
                <w:rFonts w:eastAsiaTheme="minorEastAsia"/>
              </w:rPr>
            </w:pPr>
            <w:r w:rsidRPr="00EA3B97">
              <w:rPr>
                <w:rFonts w:eastAsiaTheme="minorEastAsia"/>
              </w:rPr>
              <w:t>Resource #4 in TRS resource set 1</w:t>
            </w:r>
            <w:r w:rsidRPr="00EA3B97">
              <w:rPr>
                <w:rFonts w:eastAsiaTheme="minorEastAsia"/>
                <w:vertAlign w:val="superscript"/>
              </w:rPr>
              <w:t xml:space="preserve"> Note3</w:t>
            </w:r>
          </w:p>
        </w:tc>
        <w:tc>
          <w:tcPr>
            <w:tcW w:w="1870" w:type="dxa"/>
            <w:tcBorders>
              <w:top w:val="single" w:sz="4" w:space="0" w:color="auto"/>
              <w:left w:val="single" w:sz="4" w:space="0" w:color="auto"/>
              <w:bottom w:val="single" w:sz="4" w:space="0" w:color="auto"/>
              <w:right w:val="single" w:sz="4" w:space="0" w:color="auto"/>
            </w:tcBorders>
            <w:hideMark/>
          </w:tcPr>
          <w:p w14:paraId="30DE5C56" w14:textId="77777777" w:rsidR="003A71DE" w:rsidRPr="00EA3B97" w:rsidRDefault="003A71DE" w:rsidP="001A5D47">
            <w:pPr>
              <w:pStyle w:val="TAC"/>
              <w:rPr>
                <w:rFonts w:eastAsiaTheme="minorEastAsia"/>
              </w:rPr>
            </w:pPr>
            <w:r w:rsidRPr="00EA3B97">
              <w:rPr>
                <w:rFonts w:eastAsiaTheme="minorEastAsia"/>
              </w:rPr>
              <w:t>Resource #4 in TRS resource set 2</w:t>
            </w:r>
            <w:r w:rsidRPr="00EA3B97">
              <w:rPr>
                <w:rFonts w:eastAsiaTheme="minorEastAsia"/>
                <w:vertAlign w:val="superscript"/>
              </w:rPr>
              <w:t xml:space="preserve"> Note3</w:t>
            </w:r>
          </w:p>
        </w:tc>
      </w:tr>
      <w:tr w:rsidR="003A71DE" w:rsidRPr="00EA3B97" w14:paraId="1C10D9F6" w14:textId="77777777" w:rsidTr="003A71DE">
        <w:tc>
          <w:tcPr>
            <w:tcW w:w="9350" w:type="dxa"/>
            <w:gridSpan w:val="5"/>
            <w:tcBorders>
              <w:top w:val="single" w:sz="4" w:space="0" w:color="auto"/>
              <w:left w:val="single" w:sz="4" w:space="0" w:color="auto"/>
              <w:bottom w:val="single" w:sz="4" w:space="0" w:color="auto"/>
              <w:right w:val="single" w:sz="4" w:space="0" w:color="auto"/>
            </w:tcBorders>
            <w:hideMark/>
          </w:tcPr>
          <w:p w14:paraId="70956C56" w14:textId="77777777" w:rsidR="003A71DE" w:rsidRPr="00EA3B97" w:rsidRDefault="003A71DE" w:rsidP="001A5D47">
            <w:pPr>
              <w:pStyle w:val="TAN"/>
              <w:rPr>
                <w:rFonts w:eastAsiaTheme="minorEastAsia"/>
              </w:rPr>
            </w:pPr>
            <w:r w:rsidRPr="00EA3B97">
              <w:rPr>
                <w:rFonts w:eastAsiaTheme="minorEastAsia"/>
              </w:rPr>
              <w:t>Note 1:</w:t>
            </w:r>
            <w:r w:rsidRPr="00EA3B97">
              <w:rPr>
                <w:rFonts w:eastAsiaTheme="minorEastAsia"/>
              </w:rPr>
              <w:tab/>
              <w:t>qcl-Type2 of typeD only where applicable. For RRM test cases, this will be only in FR2</w:t>
            </w:r>
          </w:p>
          <w:p w14:paraId="2F6A04EC" w14:textId="77777777" w:rsidR="003A71DE" w:rsidRPr="00EA3B97" w:rsidRDefault="003A71DE" w:rsidP="001A5D47">
            <w:pPr>
              <w:pStyle w:val="TAN"/>
              <w:rPr>
                <w:rFonts w:eastAsiaTheme="minorEastAsia"/>
              </w:rPr>
            </w:pPr>
            <w:r w:rsidRPr="00EA3B97">
              <w:rPr>
                <w:rFonts w:eastAsiaTheme="minorEastAsia"/>
              </w:rPr>
              <w:t>Note 2:</w:t>
            </w:r>
            <w:r w:rsidRPr="00EA3B97">
              <w:rPr>
                <w:rFonts w:eastAsiaTheme="minorEastAsia"/>
              </w:rPr>
              <w:tab/>
              <w:t>referenceSignal configurations towards which the TCI states are configured are defined in a test-specific manner.</w:t>
            </w:r>
          </w:p>
          <w:p w14:paraId="114B97F2" w14:textId="77777777" w:rsidR="003A71DE" w:rsidRPr="00EA3B97" w:rsidRDefault="003A71DE" w:rsidP="001A5D47">
            <w:pPr>
              <w:pStyle w:val="TAN"/>
              <w:rPr>
                <w:rFonts w:eastAsiaTheme="minorEastAsia"/>
              </w:rPr>
            </w:pPr>
            <w:r w:rsidRPr="00EA3B97">
              <w:rPr>
                <w:rFonts w:eastAsiaTheme="minorEastAsia"/>
              </w:rPr>
              <w:t>Note 3:</w:t>
            </w:r>
            <w:r w:rsidRPr="00EA3B97">
              <w:rPr>
                <w:rFonts w:eastAsiaTheme="minorEastAsia"/>
              </w:rPr>
              <w:tab/>
              <w:t>Reference TRS resource sets are defined in G.1.10, and the applicable TRS resource set(s) are specified in each test case. When a single TRS resource set is configured in a test case, it is considered as resource set 1.</w:t>
            </w:r>
          </w:p>
        </w:tc>
      </w:tr>
    </w:tbl>
    <w:p w14:paraId="4D866AF0" w14:textId="77777777" w:rsidR="003A71DE" w:rsidRPr="00EA3B97" w:rsidRDefault="003A71DE" w:rsidP="003A71DE">
      <w:pPr>
        <w:rPr>
          <w:rFonts w:eastAsiaTheme="minorEastAsia"/>
        </w:rPr>
      </w:pPr>
    </w:p>
    <w:p w14:paraId="38C15859" w14:textId="77777777" w:rsidR="003A71DE" w:rsidRDefault="003A71DE" w:rsidP="0090095F">
      <w:pPr>
        <w:pStyle w:val="Heading3"/>
        <w:rPr>
          <w:rFonts w:eastAsiaTheme="minorEastAsia"/>
        </w:rPr>
      </w:pPr>
      <w:bookmarkStart w:id="10118" w:name="_Toc74583665"/>
      <w:bookmarkStart w:id="10119" w:name="_Toc76542478"/>
      <w:bookmarkStart w:id="10120" w:name="_Toc82450460"/>
      <w:bookmarkStart w:id="10121" w:name="_Toc82451108"/>
      <w:bookmarkStart w:id="10122" w:name="_Toc89949497"/>
      <w:bookmarkStart w:id="10123" w:name="_Toc98755886"/>
      <w:bookmarkStart w:id="10124" w:name="_Toc98763478"/>
      <w:bookmarkStart w:id="10125" w:name="_Toc106184407"/>
      <w:r w:rsidRPr="00EA3B97">
        <w:rPr>
          <w:rFonts w:eastAsiaTheme="minorEastAsia"/>
        </w:rPr>
        <w:t>G.1.10</w:t>
      </w:r>
      <w:r w:rsidRPr="00EA3B97">
        <w:rPr>
          <w:rFonts w:eastAsiaTheme="minorEastAsia"/>
        </w:rPr>
        <w:tab/>
        <w:t>Configurations of CSI-RS for tracking</w:t>
      </w:r>
      <w:bookmarkEnd w:id="10118"/>
      <w:bookmarkEnd w:id="10119"/>
      <w:bookmarkEnd w:id="10120"/>
      <w:bookmarkEnd w:id="10121"/>
      <w:bookmarkEnd w:id="10122"/>
      <w:bookmarkEnd w:id="10123"/>
      <w:bookmarkEnd w:id="10124"/>
      <w:bookmarkEnd w:id="10125"/>
      <w:r w:rsidRPr="00EA3B97">
        <w:rPr>
          <w:rFonts w:eastAsiaTheme="minorEastAsia"/>
        </w:rPr>
        <w:t xml:space="preserve"> </w:t>
      </w:r>
    </w:p>
    <w:p w14:paraId="6C671C08" w14:textId="77777777" w:rsidR="003A71DE" w:rsidRPr="008C114F" w:rsidRDefault="003A71DE" w:rsidP="0090095F">
      <w:pPr>
        <w:pStyle w:val="Heading4"/>
        <w:rPr>
          <w:rFonts w:eastAsiaTheme="minorEastAsia"/>
        </w:rPr>
      </w:pPr>
      <w:bookmarkStart w:id="10126" w:name="_Toc74583666"/>
      <w:bookmarkStart w:id="10127" w:name="_Toc76542479"/>
      <w:bookmarkStart w:id="10128" w:name="_Toc82450461"/>
      <w:bookmarkStart w:id="10129" w:name="_Toc82451109"/>
      <w:bookmarkStart w:id="10130" w:name="_Toc89949498"/>
      <w:bookmarkStart w:id="10131" w:name="_Toc98755887"/>
      <w:bookmarkStart w:id="10132" w:name="_Toc98763479"/>
      <w:bookmarkStart w:id="10133" w:name="_Toc106184408"/>
      <w:r w:rsidRPr="00EA3B97">
        <w:rPr>
          <w:rFonts w:eastAsiaTheme="minorEastAsia"/>
        </w:rPr>
        <w:t>G.1.10.1</w:t>
      </w:r>
      <w:r w:rsidRPr="00EA3B97">
        <w:rPr>
          <w:rFonts w:eastAsiaTheme="minorEastAsia"/>
        </w:rPr>
        <w:tab/>
        <w:t>Configuration of CSI-RS for tracking for FR1</w:t>
      </w:r>
      <w:bookmarkEnd w:id="10126"/>
      <w:bookmarkEnd w:id="10127"/>
      <w:bookmarkEnd w:id="10128"/>
      <w:bookmarkEnd w:id="10129"/>
      <w:bookmarkEnd w:id="10130"/>
      <w:bookmarkEnd w:id="10131"/>
      <w:bookmarkEnd w:id="10132"/>
      <w:bookmarkEnd w:id="10133"/>
    </w:p>
    <w:p w14:paraId="4AAB469B" w14:textId="77777777" w:rsidR="003A71DE" w:rsidRPr="00EA3B97" w:rsidRDefault="003A71DE" w:rsidP="0090095F">
      <w:pPr>
        <w:pStyle w:val="Heading5"/>
        <w:rPr>
          <w:rFonts w:eastAsiaTheme="minorEastAsia"/>
          <w:lang w:val="en-US"/>
        </w:rPr>
      </w:pPr>
      <w:bookmarkStart w:id="10134" w:name="_Toc74583667"/>
      <w:bookmarkStart w:id="10135" w:name="_Toc76542480"/>
      <w:bookmarkStart w:id="10136" w:name="_Toc82450462"/>
      <w:bookmarkStart w:id="10137" w:name="_Toc82451110"/>
      <w:bookmarkStart w:id="10138" w:name="_Toc89949499"/>
      <w:bookmarkStart w:id="10139" w:name="_Toc98755888"/>
      <w:bookmarkStart w:id="10140" w:name="_Toc98763480"/>
      <w:bookmarkStart w:id="10141" w:name="_Toc106184409"/>
      <w:r w:rsidRPr="00EA3B97">
        <w:rPr>
          <w:rFonts w:eastAsiaTheme="minorEastAsia"/>
        </w:rPr>
        <w:t>G.1.10.1.2</w:t>
      </w:r>
      <w:r w:rsidRPr="00EA3B97">
        <w:rPr>
          <w:rFonts w:eastAsiaTheme="minorEastAsia"/>
        </w:rPr>
        <w:tab/>
      </w:r>
      <w:r w:rsidRPr="00EA3B97">
        <w:rPr>
          <w:rFonts w:eastAsiaTheme="minorEastAsia"/>
          <w:lang w:eastAsia="zh-CN"/>
        </w:rPr>
        <w:t>TDD</w:t>
      </w:r>
      <w:bookmarkEnd w:id="10134"/>
      <w:bookmarkEnd w:id="10135"/>
      <w:bookmarkEnd w:id="10136"/>
      <w:bookmarkEnd w:id="10137"/>
      <w:bookmarkEnd w:id="10138"/>
      <w:bookmarkEnd w:id="10139"/>
      <w:bookmarkEnd w:id="10140"/>
      <w:bookmarkEnd w:id="10141"/>
    </w:p>
    <w:p w14:paraId="27C09123" w14:textId="77777777" w:rsidR="003A71DE" w:rsidRPr="00EA3B97" w:rsidRDefault="003A71DE" w:rsidP="00BA0D24">
      <w:pPr>
        <w:pStyle w:val="TH"/>
        <w:rPr>
          <w:rFonts w:eastAsiaTheme="minorEastAsia"/>
        </w:rPr>
      </w:pPr>
      <w:r w:rsidRPr="00EA3B97">
        <w:rPr>
          <w:rFonts w:eastAsiaTheme="minorEastAsia"/>
        </w:rPr>
        <w:t>Table G.1.10.1.2-1: CSI-RS for tracking for SCS=15kHz</w:t>
      </w:r>
    </w:p>
    <w:tbl>
      <w:tblPr>
        <w:tblW w:w="9204" w:type="dxa"/>
        <w:tblInd w:w="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3"/>
        <w:gridCol w:w="630"/>
        <w:gridCol w:w="5181"/>
      </w:tblGrid>
      <w:tr w:rsidR="003A71DE" w:rsidRPr="00EA3B97" w14:paraId="1E441B86"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218CA39D" w14:textId="77777777" w:rsidR="003A71DE" w:rsidRPr="00EA3B97" w:rsidRDefault="003A71DE" w:rsidP="001A5D47">
            <w:pPr>
              <w:pStyle w:val="TAH"/>
              <w:rPr>
                <w:rFonts w:eastAsiaTheme="minorEastAsia"/>
              </w:rPr>
            </w:pPr>
            <w:r w:rsidRPr="00EA3B97">
              <w:rPr>
                <w:rFonts w:eastAsiaTheme="minorEastAsia"/>
              </w:rPr>
              <w:t>Parameter</w:t>
            </w:r>
          </w:p>
        </w:tc>
        <w:tc>
          <w:tcPr>
            <w:tcW w:w="630" w:type="dxa"/>
            <w:tcBorders>
              <w:top w:val="single" w:sz="4" w:space="0" w:color="auto"/>
              <w:left w:val="single" w:sz="4" w:space="0" w:color="auto"/>
              <w:bottom w:val="single" w:sz="4" w:space="0" w:color="auto"/>
              <w:right w:val="single" w:sz="4" w:space="0" w:color="auto"/>
            </w:tcBorders>
            <w:vAlign w:val="center"/>
            <w:hideMark/>
          </w:tcPr>
          <w:p w14:paraId="2B6D84D8" w14:textId="77777777" w:rsidR="003A71DE" w:rsidRPr="00EA3B97" w:rsidRDefault="003A71DE" w:rsidP="001A5D47">
            <w:pPr>
              <w:pStyle w:val="TAH"/>
              <w:rPr>
                <w:rFonts w:eastAsiaTheme="minorEastAsia"/>
              </w:rPr>
            </w:pPr>
            <w:r w:rsidRPr="00EA3B97">
              <w:rPr>
                <w:rFonts w:eastAsiaTheme="minorEastAsia"/>
              </w:rPr>
              <w:t>Unit</w:t>
            </w:r>
          </w:p>
        </w:tc>
        <w:tc>
          <w:tcPr>
            <w:tcW w:w="5181" w:type="dxa"/>
            <w:tcBorders>
              <w:top w:val="single" w:sz="4" w:space="0" w:color="auto"/>
              <w:left w:val="single" w:sz="4" w:space="0" w:color="auto"/>
              <w:bottom w:val="single" w:sz="4" w:space="0" w:color="auto"/>
              <w:right w:val="single" w:sz="4" w:space="0" w:color="auto"/>
            </w:tcBorders>
            <w:vAlign w:val="center"/>
            <w:hideMark/>
          </w:tcPr>
          <w:p w14:paraId="238E1EE6" w14:textId="77777777" w:rsidR="003A71DE" w:rsidRPr="00EA3B97" w:rsidRDefault="003A71DE" w:rsidP="001A5D47">
            <w:pPr>
              <w:pStyle w:val="TAH"/>
              <w:rPr>
                <w:rFonts w:eastAsiaTheme="minorEastAsia"/>
              </w:rPr>
            </w:pPr>
            <w:r w:rsidRPr="00EA3B97">
              <w:rPr>
                <w:rFonts w:eastAsiaTheme="minorEastAsia"/>
              </w:rPr>
              <w:t>Value</w:t>
            </w:r>
          </w:p>
        </w:tc>
      </w:tr>
      <w:tr w:rsidR="003A71DE" w:rsidRPr="00EA3B97" w14:paraId="3DB635E4"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5E09F79" w14:textId="77777777" w:rsidR="003A71DE" w:rsidRPr="00EA3B97" w:rsidRDefault="003A71DE" w:rsidP="001A5D47">
            <w:pPr>
              <w:pStyle w:val="TAL"/>
              <w:rPr>
                <w:rFonts w:eastAsiaTheme="minorEastAsia"/>
              </w:rPr>
            </w:pPr>
            <w:r w:rsidRPr="00EA3B97">
              <w:rPr>
                <w:rFonts w:eastAsiaTheme="minorEastAsia"/>
              </w:rPr>
              <w:t>Reference channel</w:t>
            </w:r>
          </w:p>
        </w:tc>
        <w:tc>
          <w:tcPr>
            <w:tcW w:w="630" w:type="dxa"/>
            <w:tcBorders>
              <w:top w:val="single" w:sz="4" w:space="0" w:color="auto"/>
              <w:left w:val="single" w:sz="4" w:space="0" w:color="auto"/>
              <w:bottom w:val="single" w:sz="4" w:space="0" w:color="auto"/>
              <w:right w:val="single" w:sz="4" w:space="0" w:color="auto"/>
            </w:tcBorders>
            <w:vAlign w:val="center"/>
          </w:tcPr>
          <w:p w14:paraId="0552BCDA"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223AD25" w14:textId="77777777" w:rsidR="003A71DE" w:rsidRPr="00EA3B97" w:rsidRDefault="003A71DE" w:rsidP="001A5D47">
            <w:pPr>
              <w:pStyle w:val="TAL"/>
              <w:rPr>
                <w:rFonts w:eastAsiaTheme="minorEastAsia"/>
              </w:rPr>
            </w:pPr>
            <w:r w:rsidRPr="00EA3B97">
              <w:rPr>
                <w:rFonts w:eastAsiaTheme="minorEastAsia"/>
              </w:rPr>
              <w:t>TRS.1.1 TDD</w:t>
            </w:r>
          </w:p>
        </w:tc>
      </w:tr>
      <w:tr w:rsidR="003A71DE" w:rsidRPr="00EA3B97" w14:paraId="1BCDE627"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23E3051" w14:textId="77777777" w:rsidR="003A71DE" w:rsidRPr="00EA3B97" w:rsidRDefault="003A71DE" w:rsidP="001A5D47">
            <w:pPr>
              <w:pStyle w:val="TAL"/>
              <w:rPr>
                <w:rFonts w:eastAsiaTheme="minorEastAsia"/>
              </w:rPr>
            </w:pPr>
            <w:r w:rsidRPr="00EA3B97">
              <w:rPr>
                <w:rFonts w:eastAsiaTheme="minorEastAsia"/>
              </w:rPr>
              <w:t>Bandwidth</w:t>
            </w:r>
          </w:p>
        </w:tc>
        <w:tc>
          <w:tcPr>
            <w:tcW w:w="630" w:type="dxa"/>
            <w:tcBorders>
              <w:top w:val="single" w:sz="4" w:space="0" w:color="auto"/>
              <w:left w:val="single" w:sz="4" w:space="0" w:color="auto"/>
              <w:bottom w:val="single" w:sz="4" w:space="0" w:color="auto"/>
              <w:right w:val="single" w:sz="4" w:space="0" w:color="auto"/>
            </w:tcBorders>
            <w:vAlign w:val="center"/>
            <w:hideMark/>
          </w:tcPr>
          <w:p w14:paraId="76D047A6"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2F599C4C" w14:textId="77777777" w:rsidR="003A71DE" w:rsidRPr="00EA3B97" w:rsidRDefault="003A71DE" w:rsidP="001A5D47">
            <w:pPr>
              <w:pStyle w:val="TAL"/>
              <w:rPr>
                <w:rFonts w:eastAsiaTheme="minorEastAsia"/>
                <w:vertAlign w:val="superscript"/>
              </w:rPr>
            </w:pPr>
            <w:r w:rsidRPr="00EA3B97">
              <w:rPr>
                <w:rFonts w:eastAsiaTheme="minorEastAsia"/>
              </w:rPr>
              <w:t>BW of Active BWP</w:t>
            </w:r>
            <w:r w:rsidRPr="00EA3B97">
              <w:rPr>
                <w:rFonts w:eastAsiaTheme="minorEastAsia"/>
                <w:vertAlign w:val="superscript"/>
              </w:rPr>
              <w:t>Note</w:t>
            </w:r>
            <w:r w:rsidRPr="00EA3B97">
              <w:rPr>
                <w:rFonts w:eastAsiaTheme="minorEastAsia" w:hint="eastAsia"/>
                <w:vertAlign w:val="superscript"/>
                <w:lang w:eastAsia="zh-CN"/>
              </w:rPr>
              <w:t xml:space="preserve"> 1</w:t>
            </w:r>
          </w:p>
        </w:tc>
      </w:tr>
      <w:tr w:rsidR="003A71DE" w:rsidRPr="00EA3B97" w14:paraId="38982659"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5033824" w14:textId="77777777" w:rsidR="003A71DE" w:rsidRPr="00EA3B97" w:rsidRDefault="003A71DE" w:rsidP="001A5D47">
            <w:pPr>
              <w:pStyle w:val="TAL"/>
              <w:rPr>
                <w:rFonts w:eastAsiaTheme="minorEastAsia"/>
              </w:rPr>
            </w:pPr>
            <w:r w:rsidRPr="00EA3B97">
              <w:rPr>
                <w:rFonts w:eastAsiaTheme="minorEastAsia"/>
              </w:rPr>
              <w:t>SCS</w:t>
            </w:r>
          </w:p>
        </w:tc>
        <w:tc>
          <w:tcPr>
            <w:tcW w:w="630" w:type="dxa"/>
            <w:tcBorders>
              <w:top w:val="single" w:sz="4" w:space="0" w:color="auto"/>
              <w:left w:val="single" w:sz="4" w:space="0" w:color="auto"/>
              <w:bottom w:val="single" w:sz="4" w:space="0" w:color="auto"/>
              <w:right w:val="single" w:sz="4" w:space="0" w:color="auto"/>
            </w:tcBorders>
            <w:vAlign w:val="center"/>
            <w:hideMark/>
          </w:tcPr>
          <w:p w14:paraId="278D8BFB" w14:textId="77777777" w:rsidR="003A71DE" w:rsidRPr="00EA3B97" w:rsidRDefault="003A71DE" w:rsidP="001A5D47">
            <w:pPr>
              <w:pStyle w:val="TAL"/>
              <w:rPr>
                <w:rFonts w:eastAsiaTheme="minorEastAsia"/>
              </w:rPr>
            </w:pPr>
            <w:r w:rsidRPr="00EA3B97">
              <w:rPr>
                <w:rFonts w:eastAsiaTheme="minorEastAsia"/>
              </w:rPr>
              <w:t>kHz</w:t>
            </w:r>
          </w:p>
        </w:tc>
        <w:tc>
          <w:tcPr>
            <w:tcW w:w="5181" w:type="dxa"/>
            <w:tcBorders>
              <w:top w:val="single" w:sz="4" w:space="0" w:color="auto"/>
              <w:left w:val="single" w:sz="4" w:space="0" w:color="auto"/>
              <w:bottom w:val="single" w:sz="4" w:space="0" w:color="auto"/>
              <w:right w:val="single" w:sz="4" w:space="0" w:color="auto"/>
            </w:tcBorders>
            <w:vAlign w:val="center"/>
            <w:hideMark/>
          </w:tcPr>
          <w:p w14:paraId="7C3FD9EC" w14:textId="77777777" w:rsidR="003A71DE" w:rsidRPr="00EA3B97" w:rsidRDefault="003A71DE" w:rsidP="001A5D47">
            <w:pPr>
              <w:pStyle w:val="TAL"/>
              <w:rPr>
                <w:rFonts w:eastAsiaTheme="minorEastAsia"/>
              </w:rPr>
            </w:pPr>
            <w:r w:rsidRPr="00EA3B97">
              <w:rPr>
                <w:rFonts w:eastAsiaTheme="minorEastAsia"/>
              </w:rPr>
              <w:t>15</w:t>
            </w:r>
          </w:p>
        </w:tc>
      </w:tr>
      <w:tr w:rsidR="003A71DE" w:rsidRPr="00EA3B97" w14:paraId="10D36EED"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00408A9" w14:textId="77777777" w:rsidR="003A71DE" w:rsidRPr="00EA3B97" w:rsidRDefault="003A71DE" w:rsidP="001A5D47">
            <w:pPr>
              <w:pStyle w:val="TAL"/>
              <w:rPr>
                <w:rFonts w:eastAsiaTheme="minorEastAsia"/>
              </w:rPr>
            </w:pPr>
            <w:r w:rsidRPr="00EA3B97">
              <w:rPr>
                <w:rFonts w:eastAsiaTheme="minorEastAsia"/>
              </w:rPr>
              <w:t xml:space="preserve">First subcarrier index in the PRB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75CD1D8C"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8F3821D" w14:textId="77777777" w:rsidR="003A71DE" w:rsidRPr="00EA3B97" w:rsidRDefault="003A71DE" w:rsidP="001A5D47">
            <w:pPr>
              <w:pStyle w:val="TAL"/>
              <w:rPr>
                <w:rFonts w:eastAsiaTheme="minorEastAsia"/>
              </w:rPr>
            </w:pPr>
            <w:r w:rsidRPr="00EA3B97">
              <w:rPr>
                <w:rFonts w:eastAsiaTheme="minorEastAsia"/>
              </w:rPr>
              <w:t>k</w:t>
            </w:r>
            <w:r w:rsidRPr="00EA3B97">
              <w:rPr>
                <w:rFonts w:eastAsiaTheme="minorEastAsia"/>
                <w:vertAlign w:val="subscript"/>
              </w:rPr>
              <w:t>0</w:t>
            </w:r>
            <w:r w:rsidRPr="00EA3B97">
              <w:rPr>
                <w:rFonts w:eastAsiaTheme="minorEastAsia"/>
              </w:rPr>
              <w:t>=0 for CSI-RS resource 1,2,3,4</w:t>
            </w:r>
          </w:p>
        </w:tc>
      </w:tr>
      <w:tr w:rsidR="003A71DE" w:rsidRPr="00EA3B97" w14:paraId="5B82ACB2"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A532C27" w14:textId="77777777" w:rsidR="003A71DE" w:rsidRPr="00EA3B97" w:rsidRDefault="003A71DE" w:rsidP="001A5D47">
            <w:pPr>
              <w:pStyle w:val="TAL"/>
              <w:rPr>
                <w:rFonts w:eastAsiaTheme="minorEastAsia"/>
              </w:rPr>
            </w:pPr>
            <w:r w:rsidRPr="00EA3B97">
              <w:rPr>
                <w:rFonts w:eastAsiaTheme="minorEastAsia"/>
              </w:rPr>
              <w:t xml:space="preserve">First OFDM symbol in the slot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03D19489"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1A3C005F"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5 for CSI-RS resource 1 and 3</w:t>
            </w:r>
          </w:p>
          <w:p w14:paraId="0AE7039F"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9 for CSI-RS resource 2 and 4</w:t>
            </w:r>
          </w:p>
        </w:tc>
      </w:tr>
      <w:tr w:rsidR="003A71DE" w:rsidRPr="00EA3B97" w14:paraId="010467B9"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F2822DF" w14:textId="77777777" w:rsidR="003A71DE" w:rsidRPr="00EA3B97" w:rsidRDefault="003A71DE" w:rsidP="001A5D47">
            <w:pPr>
              <w:pStyle w:val="TAL"/>
              <w:rPr>
                <w:rFonts w:eastAsiaTheme="minorEastAsia"/>
              </w:rPr>
            </w:pPr>
            <w:r w:rsidRPr="00EA3B97">
              <w:rPr>
                <w:rFonts w:eastAsiaTheme="minorEastAsia"/>
              </w:rPr>
              <w:t>Number of CSI-RS ports (X)</w:t>
            </w:r>
          </w:p>
        </w:tc>
        <w:tc>
          <w:tcPr>
            <w:tcW w:w="630" w:type="dxa"/>
            <w:tcBorders>
              <w:top w:val="single" w:sz="4" w:space="0" w:color="auto"/>
              <w:left w:val="single" w:sz="4" w:space="0" w:color="auto"/>
              <w:bottom w:val="single" w:sz="4" w:space="0" w:color="auto"/>
              <w:right w:val="single" w:sz="4" w:space="0" w:color="auto"/>
            </w:tcBorders>
            <w:vAlign w:val="center"/>
          </w:tcPr>
          <w:p w14:paraId="01CEA8AC"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702971EC" w14:textId="77777777" w:rsidR="003A71DE" w:rsidRPr="00EA3B97" w:rsidRDefault="003A71DE" w:rsidP="001A5D47">
            <w:pPr>
              <w:pStyle w:val="TAL"/>
              <w:rPr>
                <w:rFonts w:eastAsiaTheme="minorEastAsia"/>
              </w:rPr>
            </w:pPr>
            <w:r w:rsidRPr="00EA3B97">
              <w:rPr>
                <w:rFonts w:eastAsiaTheme="minorEastAsia"/>
              </w:rPr>
              <w:t>1 for CSI-RS resource 1,2,3,4</w:t>
            </w:r>
          </w:p>
        </w:tc>
      </w:tr>
      <w:tr w:rsidR="003A71DE" w:rsidRPr="00EA3B97" w14:paraId="6E7BBA67"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210BC780" w14:textId="77777777" w:rsidR="003A71DE" w:rsidRPr="00EA3B97" w:rsidRDefault="003A71DE" w:rsidP="001A5D47">
            <w:pPr>
              <w:pStyle w:val="TAL"/>
              <w:rPr>
                <w:rFonts w:eastAsiaTheme="minorEastAsia"/>
              </w:rPr>
            </w:pPr>
            <w:r w:rsidRPr="00EA3B97">
              <w:rPr>
                <w:rFonts w:eastAsiaTheme="minorEastAsia"/>
              </w:rPr>
              <w:t>CDM Type</w:t>
            </w:r>
          </w:p>
        </w:tc>
        <w:tc>
          <w:tcPr>
            <w:tcW w:w="630" w:type="dxa"/>
            <w:tcBorders>
              <w:top w:val="single" w:sz="4" w:space="0" w:color="auto"/>
              <w:left w:val="single" w:sz="4" w:space="0" w:color="auto"/>
              <w:bottom w:val="single" w:sz="4" w:space="0" w:color="auto"/>
              <w:right w:val="single" w:sz="4" w:space="0" w:color="auto"/>
            </w:tcBorders>
            <w:vAlign w:val="center"/>
          </w:tcPr>
          <w:p w14:paraId="5BF1422E"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184CB65" w14:textId="77777777" w:rsidR="003A71DE" w:rsidRPr="00EA3B97" w:rsidRDefault="003A71DE" w:rsidP="001A5D47">
            <w:pPr>
              <w:pStyle w:val="TAL"/>
              <w:rPr>
                <w:rFonts w:eastAsiaTheme="minorEastAsia"/>
              </w:rPr>
            </w:pPr>
            <w:r w:rsidRPr="00EA3B97">
              <w:rPr>
                <w:rFonts w:eastAsiaTheme="minorEastAsia"/>
              </w:rPr>
              <w:t>‘No CDM’ for CSI-RS resource 1,2,3,4</w:t>
            </w:r>
          </w:p>
        </w:tc>
      </w:tr>
      <w:tr w:rsidR="003A71DE" w:rsidRPr="00EA3B97" w14:paraId="1BA5EC16"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BAB0405" w14:textId="77777777" w:rsidR="003A71DE" w:rsidRPr="00EA3B97" w:rsidRDefault="003A71DE" w:rsidP="001A5D47">
            <w:pPr>
              <w:pStyle w:val="TAL"/>
              <w:rPr>
                <w:rFonts w:eastAsiaTheme="minorEastAsia"/>
              </w:rPr>
            </w:pPr>
            <w:r w:rsidRPr="00EA3B97">
              <w:rPr>
                <w:rFonts w:eastAsiaTheme="minorEastAsia"/>
              </w:rPr>
              <w:t>Density (ρ)</w:t>
            </w:r>
          </w:p>
        </w:tc>
        <w:tc>
          <w:tcPr>
            <w:tcW w:w="630" w:type="dxa"/>
            <w:tcBorders>
              <w:top w:val="single" w:sz="4" w:space="0" w:color="auto"/>
              <w:left w:val="single" w:sz="4" w:space="0" w:color="auto"/>
              <w:bottom w:val="single" w:sz="4" w:space="0" w:color="auto"/>
              <w:right w:val="single" w:sz="4" w:space="0" w:color="auto"/>
            </w:tcBorders>
            <w:vAlign w:val="center"/>
          </w:tcPr>
          <w:p w14:paraId="0AC5FE60"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68BC5215" w14:textId="77777777" w:rsidR="003A71DE" w:rsidRPr="00EA3B97" w:rsidRDefault="003A71DE" w:rsidP="001A5D47">
            <w:pPr>
              <w:pStyle w:val="TAL"/>
              <w:rPr>
                <w:rFonts w:eastAsiaTheme="minorEastAsia"/>
              </w:rPr>
            </w:pPr>
            <w:r w:rsidRPr="00EA3B97">
              <w:rPr>
                <w:rFonts w:eastAsiaTheme="minorEastAsia"/>
              </w:rPr>
              <w:t>3 for CSI-RS resource 1,2,3,4</w:t>
            </w:r>
          </w:p>
        </w:tc>
      </w:tr>
      <w:tr w:rsidR="003A71DE" w:rsidRPr="00EA3B97" w14:paraId="0801BE25"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75ED684" w14:textId="77777777" w:rsidR="003A71DE" w:rsidRPr="00EA3B97" w:rsidRDefault="003A71DE" w:rsidP="001A5D47">
            <w:pPr>
              <w:pStyle w:val="TAL"/>
              <w:rPr>
                <w:rFonts w:eastAsiaTheme="minorEastAsia"/>
              </w:rPr>
            </w:pPr>
            <w:r w:rsidRPr="00EA3B97">
              <w:rPr>
                <w:rFonts w:eastAsiaTheme="minorEastAsia"/>
              </w:rPr>
              <w:t>CSI-RS periodicity</w:t>
            </w:r>
          </w:p>
        </w:tc>
        <w:tc>
          <w:tcPr>
            <w:tcW w:w="630" w:type="dxa"/>
            <w:tcBorders>
              <w:top w:val="single" w:sz="4" w:space="0" w:color="auto"/>
              <w:left w:val="single" w:sz="4" w:space="0" w:color="auto"/>
              <w:bottom w:val="single" w:sz="4" w:space="0" w:color="auto"/>
              <w:right w:val="single" w:sz="4" w:space="0" w:color="auto"/>
            </w:tcBorders>
            <w:vAlign w:val="center"/>
            <w:hideMark/>
          </w:tcPr>
          <w:p w14:paraId="1C586D95" w14:textId="77777777" w:rsidR="003A71DE" w:rsidRPr="00EA3B97" w:rsidRDefault="003A71DE" w:rsidP="001A5D47">
            <w:pPr>
              <w:pStyle w:val="TAL"/>
              <w:rPr>
                <w:rFonts w:eastAsiaTheme="minorEastAsia"/>
              </w:rPr>
            </w:pPr>
            <w:r w:rsidRPr="00EA3B97">
              <w:rPr>
                <w:rFonts w:eastAsiaTheme="minorEastAsia"/>
              </w:rPr>
              <w:t>slots</w:t>
            </w:r>
          </w:p>
        </w:tc>
        <w:tc>
          <w:tcPr>
            <w:tcW w:w="5181" w:type="dxa"/>
            <w:tcBorders>
              <w:top w:val="single" w:sz="4" w:space="0" w:color="auto"/>
              <w:left w:val="single" w:sz="4" w:space="0" w:color="auto"/>
              <w:bottom w:val="single" w:sz="4" w:space="0" w:color="auto"/>
              <w:right w:val="single" w:sz="4" w:space="0" w:color="auto"/>
            </w:tcBorders>
            <w:vAlign w:val="center"/>
            <w:hideMark/>
          </w:tcPr>
          <w:p w14:paraId="0770A8A0" w14:textId="77777777" w:rsidR="003A71DE" w:rsidRPr="00EA3B97" w:rsidRDefault="003A71DE" w:rsidP="001A5D47">
            <w:pPr>
              <w:pStyle w:val="TAL"/>
              <w:rPr>
                <w:rFonts w:eastAsiaTheme="minorEastAsia"/>
              </w:rPr>
            </w:pPr>
            <w:r w:rsidRPr="00EA3B97">
              <w:rPr>
                <w:rFonts w:eastAsiaTheme="minorEastAsia"/>
              </w:rPr>
              <w:t>20 for CSI-RS resource 1,2,3,4</w:t>
            </w:r>
          </w:p>
        </w:tc>
      </w:tr>
      <w:tr w:rsidR="003A71DE" w:rsidRPr="00EA3B97" w14:paraId="3DAA6FA4"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5E857E0" w14:textId="77777777" w:rsidR="003A71DE" w:rsidRPr="00EA3B97" w:rsidRDefault="003A71DE" w:rsidP="001A5D47">
            <w:pPr>
              <w:pStyle w:val="TAL"/>
              <w:rPr>
                <w:rFonts w:eastAsiaTheme="minorEastAsia"/>
                <w:szCs w:val="22"/>
                <w:lang w:eastAsia="ja-JP"/>
              </w:rPr>
            </w:pPr>
            <w:r w:rsidRPr="00EA3B97">
              <w:rPr>
                <w:rFonts w:eastAsiaTheme="minorEastAsia"/>
              </w:rPr>
              <w:t>EPRE ratio to SSS</w:t>
            </w:r>
          </w:p>
        </w:tc>
        <w:tc>
          <w:tcPr>
            <w:tcW w:w="630" w:type="dxa"/>
            <w:tcBorders>
              <w:top w:val="single" w:sz="4" w:space="0" w:color="auto"/>
              <w:left w:val="single" w:sz="4" w:space="0" w:color="auto"/>
              <w:bottom w:val="single" w:sz="4" w:space="0" w:color="auto"/>
              <w:right w:val="single" w:sz="4" w:space="0" w:color="auto"/>
            </w:tcBorders>
            <w:vAlign w:val="center"/>
            <w:hideMark/>
          </w:tcPr>
          <w:p w14:paraId="7D7FFC52" w14:textId="77777777" w:rsidR="003A71DE" w:rsidRPr="00EA3B97" w:rsidRDefault="003A71DE" w:rsidP="001A5D47">
            <w:pPr>
              <w:pStyle w:val="TAL"/>
              <w:rPr>
                <w:rFonts w:eastAsiaTheme="minorEastAsia"/>
              </w:rPr>
            </w:pPr>
            <w:r w:rsidRPr="00EA3B97">
              <w:rPr>
                <w:rFonts w:eastAsiaTheme="minorEastAsia"/>
              </w:rPr>
              <w:t>dB</w:t>
            </w:r>
          </w:p>
        </w:tc>
        <w:tc>
          <w:tcPr>
            <w:tcW w:w="5181" w:type="dxa"/>
            <w:tcBorders>
              <w:top w:val="single" w:sz="4" w:space="0" w:color="auto"/>
              <w:left w:val="single" w:sz="4" w:space="0" w:color="auto"/>
              <w:bottom w:val="single" w:sz="4" w:space="0" w:color="auto"/>
              <w:right w:val="single" w:sz="4" w:space="0" w:color="auto"/>
            </w:tcBorders>
            <w:vAlign w:val="center"/>
            <w:hideMark/>
          </w:tcPr>
          <w:p w14:paraId="31FFCEB9" w14:textId="77777777" w:rsidR="003A71DE" w:rsidRPr="00EA3B97" w:rsidRDefault="003A71DE" w:rsidP="001A5D47">
            <w:pPr>
              <w:pStyle w:val="TAL"/>
              <w:rPr>
                <w:rFonts w:eastAsiaTheme="minorEastAsia"/>
              </w:rPr>
            </w:pPr>
            <w:r w:rsidRPr="00EA3B97">
              <w:rPr>
                <w:rFonts w:eastAsiaTheme="minorEastAsia"/>
              </w:rPr>
              <w:t>-3</w:t>
            </w:r>
            <w:r w:rsidRPr="00EA3B97">
              <w:rPr>
                <w:rFonts w:eastAsiaTheme="minorEastAsia"/>
                <w:vertAlign w:val="superscript"/>
              </w:rPr>
              <w:t>Note</w:t>
            </w:r>
            <w:r w:rsidRPr="00EA3B97">
              <w:rPr>
                <w:rFonts w:eastAsiaTheme="minorEastAsia" w:hint="eastAsia"/>
                <w:vertAlign w:val="superscript"/>
                <w:lang w:eastAsia="zh-CN"/>
              </w:rPr>
              <w:t xml:space="preserve"> 2</w:t>
            </w:r>
          </w:p>
        </w:tc>
      </w:tr>
      <w:tr w:rsidR="003A71DE" w:rsidRPr="00EA3B97" w14:paraId="1781EDF8" w14:textId="77777777" w:rsidTr="003A71DE">
        <w:trPr>
          <w:trHeight w:val="219"/>
        </w:trPr>
        <w:tc>
          <w:tcPr>
            <w:tcW w:w="3393" w:type="dxa"/>
            <w:tcBorders>
              <w:top w:val="single" w:sz="4" w:space="0" w:color="auto"/>
              <w:left w:val="single" w:sz="4" w:space="0" w:color="auto"/>
              <w:bottom w:val="single" w:sz="4" w:space="0" w:color="auto"/>
              <w:right w:val="single" w:sz="4" w:space="0" w:color="auto"/>
            </w:tcBorders>
            <w:vAlign w:val="center"/>
          </w:tcPr>
          <w:p w14:paraId="4E89B7A6" w14:textId="77777777" w:rsidR="003A71DE" w:rsidRPr="00EA3B97" w:rsidRDefault="003A71DE" w:rsidP="001A5D47">
            <w:pPr>
              <w:pStyle w:val="TAL"/>
              <w:rPr>
                <w:rFonts w:eastAsiaTheme="minorEastAsia"/>
              </w:rPr>
            </w:pPr>
            <w:r w:rsidRPr="00EA3B97">
              <w:rPr>
                <w:rFonts w:eastAsiaTheme="minorEastAsia"/>
                <w:lang w:eastAsia="zh-CN"/>
              </w:rPr>
              <w:t>TCI state</w:t>
            </w:r>
          </w:p>
        </w:tc>
        <w:tc>
          <w:tcPr>
            <w:tcW w:w="630" w:type="dxa"/>
            <w:tcBorders>
              <w:top w:val="single" w:sz="4" w:space="0" w:color="auto"/>
              <w:left w:val="single" w:sz="4" w:space="0" w:color="auto"/>
              <w:bottom w:val="single" w:sz="4" w:space="0" w:color="auto"/>
              <w:right w:val="single" w:sz="4" w:space="0" w:color="auto"/>
            </w:tcBorders>
            <w:vAlign w:val="center"/>
          </w:tcPr>
          <w:p w14:paraId="145749AD"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tcPr>
          <w:p w14:paraId="73B23AAD" w14:textId="77777777" w:rsidR="003A71DE" w:rsidRPr="00EA3B97" w:rsidRDefault="003A71DE" w:rsidP="001A5D47">
            <w:pPr>
              <w:pStyle w:val="TAL"/>
              <w:rPr>
                <w:rFonts w:eastAsiaTheme="minorEastAsia"/>
              </w:rPr>
            </w:pPr>
            <w:r w:rsidRPr="00EA3B97">
              <w:rPr>
                <w:rFonts w:eastAsia="MS Mincho"/>
              </w:rPr>
              <w:t>TCI.State.0</w:t>
            </w:r>
          </w:p>
        </w:tc>
      </w:tr>
      <w:tr w:rsidR="003A71DE" w:rsidRPr="00EA3B97" w14:paraId="1931F7E2" w14:textId="77777777" w:rsidTr="003A71DE">
        <w:trPr>
          <w:trHeight w:val="44"/>
        </w:trPr>
        <w:tc>
          <w:tcPr>
            <w:tcW w:w="9204" w:type="dxa"/>
            <w:gridSpan w:val="3"/>
            <w:tcBorders>
              <w:top w:val="single" w:sz="4" w:space="0" w:color="auto"/>
              <w:left w:val="single" w:sz="4" w:space="0" w:color="auto"/>
              <w:bottom w:val="single" w:sz="4" w:space="0" w:color="auto"/>
              <w:right w:val="single" w:sz="4" w:space="0" w:color="auto"/>
            </w:tcBorders>
            <w:vAlign w:val="center"/>
            <w:hideMark/>
          </w:tcPr>
          <w:p w14:paraId="6E9304F4" w14:textId="77777777" w:rsidR="003A71DE" w:rsidRPr="00EA3B97" w:rsidRDefault="003A71DE" w:rsidP="001A5D47">
            <w:pPr>
              <w:pStyle w:val="TAN"/>
              <w:rPr>
                <w:rFonts w:eastAsiaTheme="minorEastAsia"/>
              </w:rPr>
            </w:pPr>
            <w:r w:rsidRPr="00EA3B97">
              <w:rPr>
                <w:rFonts w:eastAsiaTheme="minorEastAsia"/>
              </w:rPr>
              <w:t>N</w:t>
            </w:r>
            <w:r w:rsidRPr="001A5D47">
              <w:t xml:space="preserve">ote: </w:t>
            </w:r>
            <w:r w:rsidRPr="001A5D47">
              <w:tab/>
              <w:t>BW of TRS is configure</w:t>
            </w:r>
            <w:r w:rsidRPr="00EA3B97">
              <w:rPr>
                <w:rFonts w:eastAsiaTheme="minorEastAsia"/>
              </w:rPr>
              <w:t>d same as the BW size of IAB-MT active BWP in the RRM test cases</w:t>
            </w:r>
          </w:p>
        </w:tc>
      </w:tr>
    </w:tbl>
    <w:p w14:paraId="2CFF5AAA" w14:textId="77777777" w:rsidR="003A71DE" w:rsidRPr="00EA3B97" w:rsidRDefault="003A71DE" w:rsidP="003A71DE">
      <w:pPr>
        <w:rPr>
          <w:rFonts w:eastAsiaTheme="minorEastAsia"/>
        </w:rPr>
      </w:pPr>
    </w:p>
    <w:p w14:paraId="5B46031F" w14:textId="77777777" w:rsidR="003A71DE" w:rsidRPr="00EA3B97" w:rsidRDefault="003A71DE" w:rsidP="00BA0D24">
      <w:pPr>
        <w:pStyle w:val="TH"/>
        <w:rPr>
          <w:rFonts w:eastAsiaTheme="minorEastAsia"/>
        </w:rPr>
      </w:pPr>
      <w:r w:rsidRPr="00EA3B97">
        <w:rPr>
          <w:rFonts w:eastAsiaTheme="minorEastAsia"/>
        </w:rPr>
        <w:lastRenderedPageBreak/>
        <w:t>Table G.1.10.1.2-2: CSI-RS for tracking for SCS=30kHz</w:t>
      </w:r>
    </w:p>
    <w:tbl>
      <w:tblPr>
        <w:tblW w:w="9204" w:type="dxa"/>
        <w:tblInd w:w="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3"/>
        <w:gridCol w:w="630"/>
        <w:gridCol w:w="5181"/>
      </w:tblGrid>
      <w:tr w:rsidR="003A71DE" w:rsidRPr="00EA3B97" w14:paraId="4DA3AC6E"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27F2B486" w14:textId="77777777" w:rsidR="003A71DE" w:rsidRPr="00EA3B97" w:rsidRDefault="003A71DE" w:rsidP="001A5D47">
            <w:pPr>
              <w:pStyle w:val="TAH"/>
              <w:rPr>
                <w:rFonts w:eastAsiaTheme="minorEastAsia"/>
              </w:rPr>
            </w:pPr>
            <w:r w:rsidRPr="00EA3B97">
              <w:rPr>
                <w:rFonts w:eastAsiaTheme="minorEastAsia"/>
              </w:rPr>
              <w:t>Parameter</w:t>
            </w:r>
          </w:p>
        </w:tc>
        <w:tc>
          <w:tcPr>
            <w:tcW w:w="630" w:type="dxa"/>
            <w:tcBorders>
              <w:top w:val="single" w:sz="4" w:space="0" w:color="auto"/>
              <w:left w:val="single" w:sz="4" w:space="0" w:color="auto"/>
              <w:bottom w:val="single" w:sz="4" w:space="0" w:color="auto"/>
              <w:right w:val="single" w:sz="4" w:space="0" w:color="auto"/>
            </w:tcBorders>
            <w:vAlign w:val="center"/>
            <w:hideMark/>
          </w:tcPr>
          <w:p w14:paraId="2504409D" w14:textId="77777777" w:rsidR="003A71DE" w:rsidRPr="00EA3B97" w:rsidRDefault="003A71DE" w:rsidP="001A5D47">
            <w:pPr>
              <w:pStyle w:val="TAH"/>
              <w:rPr>
                <w:rFonts w:eastAsiaTheme="minorEastAsia"/>
              </w:rPr>
            </w:pPr>
            <w:r w:rsidRPr="00EA3B97">
              <w:rPr>
                <w:rFonts w:eastAsiaTheme="minorEastAsia"/>
              </w:rPr>
              <w:t>Unit</w:t>
            </w:r>
          </w:p>
        </w:tc>
        <w:tc>
          <w:tcPr>
            <w:tcW w:w="5181" w:type="dxa"/>
            <w:tcBorders>
              <w:top w:val="single" w:sz="4" w:space="0" w:color="auto"/>
              <w:left w:val="single" w:sz="4" w:space="0" w:color="auto"/>
              <w:bottom w:val="single" w:sz="4" w:space="0" w:color="auto"/>
              <w:right w:val="single" w:sz="4" w:space="0" w:color="auto"/>
            </w:tcBorders>
            <w:vAlign w:val="center"/>
            <w:hideMark/>
          </w:tcPr>
          <w:p w14:paraId="2F2F88E6" w14:textId="77777777" w:rsidR="003A71DE" w:rsidRPr="00EA3B97" w:rsidRDefault="003A71DE" w:rsidP="001A5D47">
            <w:pPr>
              <w:pStyle w:val="TAH"/>
              <w:rPr>
                <w:rFonts w:eastAsiaTheme="minorEastAsia"/>
              </w:rPr>
            </w:pPr>
            <w:r w:rsidRPr="00EA3B97">
              <w:rPr>
                <w:rFonts w:eastAsiaTheme="minorEastAsia"/>
              </w:rPr>
              <w:t>Value</w:t>
            </w:r>
          </w:p>
        </w:tc>
      </w:tr>
      <w:tr w:rsidR="003A71DE" w:rsidRPr="00EA3B97" w14:paraId="3F04C265"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B1ADFBD" w14:textId="77777777" w:rsidR="003A71DE" w:rsidRPr="00EA3B97" w:rsidRDefault="003A71DE" w:rsidP="001A5D47">
            <w:pPr>
              <w:pStyle w:val="TAL"/>
              <w:rPr>
                <w:rFonts w:eastAsiaTheme="minorEastAsia"/>
              </w:rPr>
            </w:pPr>
            <w:r w:rsidRPr="00EA3B97">
              <w:rPr>
                <w:rFonts w:eastAsiaTheme="minorEastAsia"/>
              </w:rPr>
              <w:t>Reference channel</w:t>
            </w:r>
          </w:p>
        </w:tc>
        <w:tc>
          <w:tcPr>
            <w:tcW w:w="630" w:type="dxa"/>
            <w:tcBorders>
              <w:top w:val="single" w:sz="4" w:space="0" w:color="auto"/>
              <w:left w:val="single" w:sz="4" w:space="0" w:color="auto"/>
              <w:bottom w:val="single" w:sz="4" w:space="0" w:color="auto"/>
              <w:right w:val="single" w:sz="4" w:space="0" w:color="auto"/>
            </w:tcBorders>
            <w:vAlign w:val="center"/>
          </w:tcPr>
          <w:p w14:paraId="71061F16"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12E38F7F" w14:textId="77777777" w:rsidR="003A71DE" w:rsidRPr="00EA3B97" w:rsidRDefault="003A71DE" w:rsidP="001A5D47">
            <w:pPr>
              <w:pStyle w:val="TAL"/>
              <w:rPr>
                <w:rFonts w:eastAsiaTheme="minorEastAsia"/>
              </w:rPr>
            </w:pPr>
            <w:r w:rsidRPr="00EA3B97">
              <w:rPr>
                <w:rFonts w:eastAsiaTheme="minorEastAsia"/>
              </w:rPr>
              <w:t>TRS.1.2 TDD</w:t>
            </w:r>
          </w:p>
        </w:tc>
      </w:tr>
      <w:tr w:rsidR="003A71DE" w:rsidRPr="00EA3B97" w14:paraId="2566214A"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4A26C91" w14:textId="77777777" w:rsidR="003A71DE" w:rsidRPr="00EA3B97" w:rsidRDefault="003A71DE" w:rsidP="001A5D47">
            <w:pPr>
              <w:pStyle w:val="TAL"/>
              <w:rPr>
                <w:rFonts w:eastAsiaTheme="minorEastAsia"/>
              </w:rPr>
            </w:pPr>
            <w:r w:rsidRPr="00EA3B97">
              <w:rPr>
                <w:rFonts w:eastAsiaTheme="minorEastAsia"/>
              </w:rPr>
              <w:t>Bandwidth</w:t>
            </w:r>
          </w:p>
        </w:tc>
        <w:tc>
          <w:tcPr>
            <w:tcW w:w="630" w:type="dxa"/>
            <w:tcBorders>
              <w:top w:val="single" w:sz="4" w:space="0" w:color="auto"/>
              <w:left w:val="single" w:sz="4" w:space="0" w:color="auto"/>
              <w:bottom w:val="single" w:sz="4" w:space="0" w:color="auto"/>
              <w:right w:val="single" w:sz="4" w:space="0" w:color="auto"/>
            </w:tcBorders>
            <w:vAlign w:val="center"/>
            <w:hideMark/>
          </w:tcPr>
          <w:p w14:paraId="562BC247"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67C90232" w14:textId="77777777" w:rsidR="003A71DE" w:rsidRPr="00EA3B97" w:rsidRDefault="003A71DE" w:rsidP="001A5D47">
            <w:pPr>
              <w:pStyle w:val="TAL"/>
              <w:rPr>
                <w:rFonts w:eastAsiaTheme="minorEastAsia"/>
                <w:vertAlign w:val="superscript"/>
              </w:rPr>
            </w:pPr>
            <w:r w:rsidRPr="00EA3B97">
              <w:rPr>
                <w:rFonts w:eastAsiaTheme="minorEastAsia"/>
              </w:rPr>
              <w:t>BW of Active BWP</w:t>
            </w:r>
            <w:r w:rsidRPr="00EA3B97">
              <w:rPr>
                <w:rFonts w:eastAsiaTheme="minorEastAsia"/>
                <w:vertAlign w:val="superscript"/>
              </w:rPr>
              <w:t>Note 1</w:t>
            </w:r>
          </w:p>
        </w:tc>
      </w:tr>
      <w:tr w:rsidR="003A71DE" w:rsidRPr="00EA3B97" w14:paraId="5AB307CA"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5A17E7A7" w14:textId="77777777" w:rsidR="003A71DE" w:rsidRPr="00EA3B97" w:rsidRDefault="003A71DE" w:rsidP="001A5D47">
            <w:pPr>
              <w:pStyle w:val="TAL"/>
              <w:rPr>
                <w:rFonts w:eastAsiaTheme="minorEastAsia"/>
              </w:rPr>
            </w:pPr>
            <w:r w:rsidRPr="00EA3B97">
              <w:rPr>
                <w:rFonts w:eastAsiaTheme="minorEastAsia"/>
              </w:rPr>
              <w:t>SCS</w:t>
            </w:r>
          </w:p>
        </w:tc>
        <w:tc>
          <w:tcPr>
            <w:tcW w:w="630" w:type="dxa"/>
            <w:tcBorders>
              <w:top w:val="single" w:sz="4" w:space="0" w:color="auto"/>
              <w:left w:val="single" w:sz="4" w:space="0" w:color="auto"/>
              <w:bottom w:val="single" w:sz="4" w:space="0" w:color="auto"/>
              <w:right w:val="single" w:sz="4" w:space="0" w:color="auto"/>
            </w:tcBorders>
            <w:vAlign w:val="center"/>
            <w:hideMark/>
          </w:tcPr>
          <w:p w14:paraId="621ECE5A" w14:textId="77777777" w:rsidR="003A71DE" w:rsidRPr="00EA3B97" w:rsidRDefault="003A71DE" w:rsidP="001A5D47">
            <w:pPr>
              <w:pStyle w:val="TAL"/>
              <w:rPr>
                <w:rFonts w:eastAsiaTheme="minorEastAsia"/>
              </w:rPr>
            </w:pPr>
            <w:r w:rsidRPr="00EA3B97">
              <w:rPr>
                <w:rFonts w:eastAsiaTheme="minorEastAsia"/>
              </w:rPr>
              <w:t>kHz</w:t>
            </w:r>
          </w:p>
        </w:tc>
        <w:tc>
          <w:tcPr>
            <w:tcW w:w="5181" w:type="dxa"/>
            <w:tcBorders>
              <w:top w:val="single" w:sz="4" w:space="0" w:color="auto"/>
              <w:left w:val="single" w:sz="4" w:space="0" w:color="auto"/>
              <w:bottom w:val="single" w:sz="4" w:space="0" w:color="auto"/>
              <w:right w:val="single" w:sz="4" w:space="0" w:color="auto"/>
            </w:tcBorders>
            <w:vAlign w:val="center"/>
            <w:hideMark/>
          </w:tcPr>
          <w:p w14:paraId="52DF46FC" w14:textId="77777777" w:rsidR="003A71DE" w:rsidRPr="00EA3B97" w:rsidRDefault="003A71DE" w:rsidP="001A5D47">
            <w:pPr>
              <w:pStyle w:val="TAL"/>
              <w:rPr>
                <w:rFonts w:eastAsiaTheme="minorEastAsia"/>
              </w:rPr>
            </w:pPr>
            <w:r w:rsidRPr="00EA3B97">
              <w:rPr>
                <w:rFonts w:eastAsiaTheme="minorEastAsia"/>
              </w:rPr>
              <w:t>30</w:t>
            </w:r>
          </w:p>
        </w:tc>
      </w:tr>
      <w:tr w:rsidR="003A71DE" w:rsidRPr="00EA3B97" w14:paraId="5DCD0DCF"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213EACD9" w14:textId="77777777" w:rsidR="003A71DE" w:rsidRPr="00EA3B97" w:rsidRDefault="003A71DE" w:rsidP="001A5D47">
            <w:pPr>
              <w:pStyle w:val="TAL"/>
              <w:rPr>
                <w:rFonts w:eastAsiaTheme="minorEastAsia"/>
              </w:rPr>
            </w:pPr>
            <w:r w:rsidRPr="00EA3B97">
              <w:rPr>
                <w:rFonts w:eastAsiaTheme="minorEastAsia"/>
              </w:rPr>
              <w:t xml:space="preserve">First subcarrier index in the PRB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7C79B9D9"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64DBC2CD" w14:textId="77777777" w:rsidR="003A71DE" w:rsidRPr="00EA3B97" w:rsidRDefault="003A71DE" w:rsidP="001A5D47">
            <w:pPr>
              <w:pStyle w:val="TAL"/>
              <w:rPr>
                <w:rFonts w:eastAsiaTheme="minorEastAsia"/>
              </w:rPr>
            </w:pPr>
            <w:r w:rsidRPr="00EA3B97">
              <w:rPr>
                <w:rFonts w:eastAsiaTheme="minorEastAsia"/>
              </w:rPr>
              <w:t>k</w:t>
            </w:r>
            <w:r w:rsidRPr="00EA3B97">
              <w:rPr>
                <w:rFonts w:eastAsiaTheme="minorEastAsia"/>
                <w:vertAlign w:val="subscript"/>
              </w:rPr>
              <w:t>0</w:t>
            </w:r>
            <w:r w:rsidRPr="00EA3B97">
              <w:rPr>
                <w:rFonts w:eastAsiaTheme="minorEastAsia"/>
              </w:rPr>
              <w:t>=0 for CSI-RS resource 1,2,3,4</w:t>
            </w:r>
          </w:p>
        </w:tc>
      </w:tr>
      <w:tr w:rsidR="003A71DE" w:rsidRPr="00EA3B97" w14:paraId="1F985533"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E97A826" w14:textId="77777777" w:rsidR="003A71DE" w:rsidRPr="00EA3B97" w:rsidRDefault="003A71DE" w:rsidP="001A5D47">
            <w:pPr>
              <w:pStyle w:val="TAL"/>
              <w:rPr>
                <w:rFonts w:eastAsiaTheme="minorEastAsia"/>
              </w:rPr>
            </w:pPr>
            <w:r w:rsidRPr="00EA3B97">
              <w:rPr>
                <w:rFonts w:eastAsiaTheme="minorEastAsia"/>
              </w:rPr>
              <w:t xml:space="preserve">First OFDM symbol in the slot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3B1A8D80"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04B33D39"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5 for CSI-RS resource 1 and 3</w:t>
            </w:r>
          </w:p>
          <w:p w14:paraId="6B405F63"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9 for CSI-RS resource 2 and 4</w:t>
            </w:r>
          </w:p>
        </w:tc>
      </w:tr>
      <w:tr w:rsidR="003A71DE" w:rsidRPr="00EA3B97" w14:paraId="21C171A7"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2093F4C" w14:textId="77777777" w:rsidR="003A71DE" w:rsidRPr="00EA3B97" w:rsidRDefault="003A71DE" w:rsidP="001A5D47">
            <w:pPr>
              <w:pStyle w:val="TAL"/>
              <w:rPr>
                <w:rFonts w:eastAsiaTheme="minorEastAsia"/>
              </w:rPr>
            </w:pPr>
            <w:r w:rsidRPr="00EA3B97">
              <w:rPr>
                <w:rFonts w:eastAsiaTheme="minorEastAsia"/>
              </w:rPr>
              <w:t>Number of CSI-RS ports (X)</w:t>
            </w:r>
          </w:p>
        </w:tc>
        <w:tc>
          <w:tcPr>
            <w:tcW w:w="630" w:type="dxa"/>
            <w:tcBorders>
              <w:top w:val="single" w:sz="4" w:space="0" w:color="auto"/>
              <w:left w:val="single" w:sz="4" w:space="0" w:color="auto"/>
              <w:bottom w:val="single" w:sz="4" w:space="0" w:color="auto"/>
              <w:right w:val="single" w:sz="4" w:space="0" w:color="auto"/>
            </w:tcBorders>
            <w:vAlign w:val="center"/>
          </w:tcPr>
          <w:p w14:paraId="27CE222C"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2A01CA7A" w14:textId="77777777" w:rsidR="003A71DE" w:rsidRPr="00EA3B97" w:rsidRDefault="003A71DE" w:rsidP="001A5D47">
            <w:pPr>
              <w:pStyle w:val="TAL"/>
              <w:rPr>
                <w:rFonts w:eastAsiaTheme="minorEastAsia"/>
              </w:rPr>
            </w:pPr>
            <w:r w:rsidRPr="00EA3B97">
              <w:rPr>
                <w:rFonts w:eastAsiaTheme="minorEastAsia"/>
              </w:rPr>
              <w:t>1 for CSI-RS resource 1,2,3,4</w:t>
            </w:r>
          </w:p>
        </w:tc>
      </w:tr>
      <w:tr w:rsidR="003A71DE" w:rsidRPr="00EA3B97" w14:paraId="17EDE708"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531EA83" w14:textId="77777777" w:rsidR="003A71DE" w:rsidRPr="00EA3B97" w:rsidRDefault="003A71DE" w:rsidP="001A5D47">
            <w:pPr>
              <w:pStyle w:val="TAL"/>
              <w:rPr>
                <w:rFonts w:eastAsiaTheme="minorEastAsia"/>
              </w:rPr>
            </w:pPr>
            <w:r w:rsidRPr="00EA3B97">
              <w:rPr>
                <w:rFonts w:eastAsiaTheme="minorEastAsia"/>
              </w:rPr>
              <w:t>CDM Type</w:t>
            </w:r>
          </w:p>
        </w:tc>
        <w:tc>
          <w:tcPr>
            <w:tcW w:w="630" w:type="dxa"/>
            <w:tcBorders>
              <w:top w:val="single" w:sz="4" w:space="0" w:color="auto"/>
              <w:left w:val="single" w:sz="4" w:space="0" w:color="auto"/>
              <w:bottom w:val="single" w:sz="4" w:space="0" w:color="auto"/>
              <w:right w:val="single" w:sz="4" w:space="0" w:color="auto"/>
            </w:tcBorders>
            <w:vAlign w:val="center"/>
          </w:tcPr>
          <w:p w14:paraId="36FE6B13"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95E7651" w14:textId="77777777" w:rsidR="003A71DE" w:rsidRPr="00EA3B97" w:rsidRDefault="003A71DE" w:rsidP="001A5D47">
            <w:pPr>
              <w:pStyle w:val="TAL"/>
              <w:rPr>
                <w:rFonts w:eastAsiaTheme="minorEastAsia"/>
              </w:rPr>
            </w:pPr>
            <w:r w:rsidRPr="00EA3B97">
              <w:rPr>
                <w:rFonts w:eastAsiaTheme="minorEastAsia"/>
              </w:rPr>
              <w:t>‘No CDM’ for CSI-RS resource 1,2,3,4</w:t>
            </w:r>
          </w:p>
        </w:tc>
      </w:tr>
      <w:tr w:rsidR="003A71DE" w:rsidRPr="00EA3B97" w14:paraId="57E0C225"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CC4DD13" w14:textId="77777777" w:rsidR="003A71DE" w:rsidRPr="00EA3B97" w:rsidRDefault="003A71DE" w:rsidP="001A5D47">
            <w:pPr>
              <w:pStyle w:val="TAL"/>
              <w:rPr>
                <w:rFonts w:eastAsiaTheme="minorEastAsia"/>
              </w:rPr>
            </w:pPr>
            <w:r w:rsidRPr="00EA3B97">
              <w:rPr>
                <w:rFonts w:eastAsiaTheme="minorEastAsia"/>
              </w:rPr>
              <w:t>Density (ρ)</w:t>
            </w:r>
          </w:p>
        </w:tc>
        <w:tc>
          <w:tcPr>
            <w:tcW w:w="630" w:type="dxa"/>
            <w:tcBorders>
              <w:top w:val="single" w:sz="4" w:space="0" w:color="auto"/>
              <w:left w:val="single" w:sz="4" w:space="0" w:color="auto"/>
              <w:bottom w:val="single" w:sz="4" w:space="0" w:color="auto"/>
              <w:right w:val="single" w:sz="4" w:space="0" w:color="auto"/>
            </w:tcBorders>
            <w:vAlign w:val="center"/>
          </w:tcPr>
          <w:p w14:paraId="4761DA19"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0FF8D3C4" w14:textId="77777777" w:rsidR="003A71DE" w:rsidRPr="00EA3B97" w:rsidRDefault="003A71DE" w:rsidP="001A5D47">
            <w:pPr>
              <w:pStyle w:val="TAL"/>
              <w:rPr>
                <w:rFonts w:eastAsiaTheme="minorEastAsia"/>
              </w:rPr>
            </w:pPr>
            <w:r w:rsidRPr="00EA3B97">
              <w:rPr>
                <w:rFonts w:eastAsiaTheme="minorEastAsia"/>
              </w:rPr>
              <w:t>3 for CSI-RS resource 1,2,3,4</w:t>
            </w:r>
          </w:p>
        </w:tc>
      </w:tr>
      <w:tr w:rsidR="003A71DE" w:rsidRPr="00EA3B97" w14:paraId="133FF874"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6484EB44" w14:textId="77777777" w:rsidR="003A71DE" w:rsidRPr="00EA3B97" w:rsidRDefault="003A71DE" w:rsidP="001A5D47">
            <w:pPr>
              <w:pStyle w:val="TAL"/>
              <w:rPr>
                <w:rFonts w:eastAsiaTheme="minorEastAsia"/>
              </w:rPr>
            </w:pPr>
            <w:r w:rsidRPr="00EA3B97">
              <w:rPr>
                <w:rFonts w:eastAsiaTheme="minorEastAsia"/>
              </w:rPr>
              <w:t>CSI-RS periodicity</w:t>
            </w:r>
          </w:p>
        </w:tc>
        <w:tc>
          <w:tcPr>
            <w:tcW w:w="630" w:type="dxa"/>
            <w:tcBorders>
              <w:top w:val="single" w:sz="4" w:space="0" w:color="auto"/>
              <w:left w:val="single" w:sz="4" w:space="0" w:color="auto"/>
              <w:bottom w:val="single" w:sz="4" w:space="0" w:color="auto"/>
              <w:right w:val="single" w:sz="4" w:space="0" w:color="auto"/>
            </w:tcBorders>
            <w:vAlign w:val="center"/>
            <w:hideMark/>
          </w:tcPr>
          <w:p w14:paraId="5A428A22" w14:textId="77777777" w:rsidR="003A71DE" w:rsidRPr="00EA3B97" w:rsidRDefault="003A71DE" w:rsidP="001A5D47">
            <w:pPr>
              <w:pStyle w:val="TAL"/>
              <w:rPr>
                <w:rFonts w:eastAsiaTheme="minorEastAsia"/>
              </w:rPr>
            </w:pPr>
            <w:r w:rsidRPr="00EA3B97">
              <w:rPr>
                <w:rFonts w:eastAsiaTheme="minorEastAsia"/>
              </w:rPr>
              <w:t>slots</w:t>
            </w:r>
          </w:p>
        </w:tc>
        <w:tc>
          <w:tcPr>
            <w:tcW w:w="5181" w:type="dxa"/>
            <w:tcBorders>
              <w:top w:val="single" w:sz="4" w:space="0" w:color="auto"/>
              <w:left w:val="single" w:sz="4" w:space="0" w:color="auto"/>
              <w:bottom w:val="single" w:sz="4" w:space="0" w:color="auto"/>
              <w:right w:val="single" w:sz="4" w:space="0" w:color="auto"/>
            </w:tcBorders>
            <w:vAlign w:val="center"/>
            <w:hideMark/>
          </w:tcPr>
          <w:p w14:paraId="45BA32E9" w14:textId="77777777" w:rsidR="003A71DE" w:rsidRPr="00EA3B97" w:rsidRDefault="003A71DE" w:rsidP="001A5D47">
            <w:pPr>
              <w:pStyle w:val="TAL"/>
              <w:rPr>
                <w:rFonts w:eastAsiaTheme="minorEastAsia"/>
              </w:rPr>
            </w:pPr>
            <w:r w:rsidRPr="00EA3B97">
              <w:rPr>
                <w:rFonts w:eastAsiaTheme="minorEastAsia"/>
              </w:rPr>
              <w:t>40 for CSI-RS resource 1,2,3,4</w:t>
            </w:r>
          </w:p>
        </w:tc>
      </w:tr>
      <w:tr w:rsidR="003A71DE" w:rsidRPr="00EA3B97" w14:paraId="2F89CA03"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82B2B85" w14:textId="77777777" w:rsidR="003A71DE" w:rsidRPr="00EA3B97" w:rsidRDefault="003A71DE" w:rsidP="001A5D47">
            <w:pPr>
              <w:pStyle w:val="TAL"/>
              <w:rPr>
                <w:rFonts w:eastAsiaTheme="minorEastAsia"/>
                <w:szCs w:val="22"/>
                <w:lang w:eastAsia="ja-JP"/>
              </w:rPr>
            </w:pPr>
            <w:r w:rsidRPr="00EA3B97">
              <w:rPr>
                <w:rFonts w:eastAsiaTheme="minorEastAsia"/>
              </w:rPr>
              <w:t>EPRE ratio to SSS</w:t>
            </w:r>
          </w:p>
        </w:tc>
        <w:tc>
          <w:tcPr>
            <w:tcW w:w="630" w:type="dxa"/>
            <w:tcBorders>
              <w:top w:val="single" w:sz="4" w:space="0" w:color="auto"/>
              <w:left w:val="single" w:sz="4" w:space="0" w:color="auto"/>
              <w:bottom w:val="single" w:sz="4" w:space="0" w:color="auto"/>
              <w:right w:val="single" w:sz="4" w:space="0" w:color="auto"/>
            </w:tcBorders>
            <w:vAlign w:val="center"/>
            <w:hideMark/>
          </w:tcPr>
          <w:p w14:paraId="4B315BB1" w14:textId="77777777" w:rsidR="003A71DE" w:rsidRPr="00EA3B97" w:rsidRDefault="003A71DE" w:rsidP="001A5D47">
            <w:pPr>
              <w:pStyle w:val="TAL"/>
              <w:rPr>
                <w:rFonts w:eastAsiaTheme="minorEastAsia"/>
              </w:rPr>
            </w:pPr>
            <w:r w:rsidRPr="00EA3B97">
              <w:rPr>
                <w:rFonts w:eastAsiaTheme="minorEastAsia"/>
              </w:rPr>
              <w:t>dB</w:t>
            </w:r>
          </w:p>
        </w:tc>
        <w:tc>
          <w:tcPr>
            <w:tcW w:w="5181" w:type="dxa"/>
            <w:tcBorders>
              <w:top w:val="single" w:sz="4" w:space="0" w:color="auto"/>
              <w:left w:val="single" w:sz="4" w:space="0" w:color="auto"/>
              <w:bottom w:val="single" w:sz="4" w:space="0" w:color="auto"/>
              <w:right w:val="single" w:sz="4" w:space="0" w:color="auto"/>
            </w:tcBorders>
            <w:vAlign w:val="center"/>
            <w:hideMark/>
          </w:tcPr>
          <w:p w14:paraId="3F976EFE" w14:textId="77777777" w:rsidR="003A71DE" w:rsidRPr="00EA3B97" w:rsidRDefault="003A71DE" w:rsidP="001A5D47">
            <w:pPr>
              <w:pStyle w:val="TAL"/>
              <w:rPr>
                <w:rFonts w:eastAsiaTheme="minorEastAsia"/>
              </w:rPr>
            </w:pPr>
            <w:r w:rsidRPr="00EA3B97">
              <w:rPr>
                <w:rFonts w:eastAsiaTheme="minorEastAsia"/>
              </w:rPr>
              <w:t>-3</w:t>
            </w:r>
            <w:r w:rsidRPr="00EA3B97">
              <w:rPr>
                <w:rFonts w:eastAsiaTheme="minorEastAsia"/>
                <w:vertAlign w:val="superscript"/>
              </w:rPr>
              <w:t>Note</w:t>
            </w:r>
            <w:r w:rsidRPr="00EA3B97">
              <w:rPr>
                <w:rFonts w:eastAsiaTheme="minorEastAsia" w:hint="eastAsia"/>
                <w:vertAlign w:val="superscript"/>
                <w:lang w:eastAsia="zh-CN"/>
              </w:rPr>
              <w:t xml:space="preserve"> 2</w:t>
            </w:r>
          </w:p>
        </w:tc>
      </w:tr>
      <w:tr w:rsidR="003A71DE" w:rsidRPr="00EA3B97" w14:paraId="0FD7C386"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tcPr>
          <w:p w14:paraId="5417905B" w14:textId="77777777" w:rsidR="003A71DE" w:rsidRPr="00EA3B97" w:rsidRDefault="003A71DE" w:rsidP="001A5D47">
            <w:pPr>
              <w:pStyle w:val="TAL"/>
              <w:rPr>
                <w:rFonts w:eastAsiaTheme="minorEastAsia"/>
              </w:rPr>
            </w:pPr>
            <w:r w:rsidRPr="00EA3B97">
              <w:rPr>
                <w:rFonts w:eastAsiaTheme="minorEastAsia"/>
                <w:lang w:eastAsia="zh-CN"/>
              </w:rPr>
              <w:t>TCI state</w:t>
            </w:r>
          </w:p>
        </w:tc>
        <w:tc>
          <w:tcPr>
            <w:tcW w:w="630" w:type="dxa"/>
            <w:tcBorders>
              <w:top w:val="single" w:sz="4" w:space="0" w:color="auto"/>
              <w:left w:val="single" w:sz="4" w:space="0" w:color="auto"/>
              <w:bottom w:val="single" w:sz="4" w:space="0" w:color="auto"/>
              <w:right w:val="single" w:sz="4" w:space="0" w:color="auto"/>
            </w:tcBorders>
            <w:vAlign w:val="center"/>
          </w:tcPr>
          <w:p w14:paraId="2709E6E6"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tcPr>
          <w:p w14:paraId="41EBD85A" w14:textId="77777777" w:rsidR="003A71DE" w:rsidRPr="00EA3B97" w:rsidRDefault="003A71DE" w:rsidP="001A5D47">
            <w:pPr>
              <w:pStyle w:val="TAL"/>
              <w:rPr>
                <w:rFonts w:eastAsiaTheme="minorEastAsia"/>
              </w:rPr>
            </w:pPr>
            <w:r w:rsidRPr="00EA3B97">
              <w:rPr>
                <w:rFonts w:eastAsia="MS Mincho"/>
              </w:rPr>
              <w:t>TCI.State.0</w:t>
            </w:r>
          </w:p>
        </w:tc>
      </w:tr>
      <w:tr w:rsidR="003A71DE" w:rsidRPr="00EA3B97" w14:paraId="00D83E79" w14:textId="77777777" w:rsidTr="003A71DE">
        <w:trPr>
          <w:trHeight w:val="44"/>
        </w:trPr>
        <w:tc>
          <w:tcPr>
            <w:tcW w:w="9204" w:type="dxa"/>
            <w:gridSpan w:val="3"/>
            <w:tcBorders>
              <w:top w:val="single" w:sz="4" w:space="0" w:color="auto"/>
              <w:left w:val="single" w:sz="4" w:space="0" w:color="auto"/>
              <w:bottom w:val="single" w:sz="4" w:space="0" w:color="auto"/>
              <w:right w:val="single" w:sz="4" w:space="0" w:color="auto"/>
            </w:tcBorders>
            <w:vAlign w:val="center"/>
            <w:hideMark/>
          </w:tcPr>
          <w:p w14:paraId="6374A273" w14:textId="77777777" w:rsidR="003A71DE" w:rsidRPr="00EA3B97" w:rsidRDefault="003A71DE" w:rsidP="001A5D47">
            <w:pPr>
              <w:pStyle w:val="TAN"/>
              <w:rPr>
                <w:rFonts w:eastAsiaTheme="minorEastAsia"/>
              </w:rPr>
            </w:pPr>
            <w:r w:rsidRPr="00EA3B97">
              <w:rPr>
                <w:rFonts w:eastAsiaTheme="minorEastAsia"/>
              </w:rPr>
              <w:t xml:space="preserve">Note 1: </w:t>
            </w:r>
            <w:r w:rsidRPr="00EA3B97">
              <w:rPr>
                <w:rFonts w:eastAsiaTheme="minorEastAsia"/>
              </w:rPr>
              <w:tab/>
              <w:t>BW of TRS is configured same as the BW size of IAB-MT active BWP in the RRM test cases</w:t>
            </w:r>
          </w:p>
          <w:p w14:paraId="0C890D84" w14:textId="77777777" w:rsidR="003A71DE" w:rsidRPr="00EA3B97" w:rsidRDefault="003A71DE" w:rsidP="001A5D47">
            <w:pPr>
              <w:pStyle w:val="TAN"/>
              <w:rPr>
                <w:rFonts w:eastAsiaTheme="minorEastAsia"/>
              </w:rPr>
            </w:pPr>
            <w:r w:rsidRPr="00EA3B97">
              <w:rPr>
                <w:rFonts w:eastAsiaTheme="minorEastAsia"/>
              </w:rPr>
              <w:t xml:space="preserve">Note </w:t>
            </w:r>
            <w:r w:rsidRPr="00EA3B97">
              <w:rPr>
                <w:rFonts w:eastAsiaTheme="minorEastAsia" w:hint="eastAsia"/>
                <w:lang w:eastAsia="zh-CN"/>
              </w:rPr>
              <w:t>2</w:t>
            </w:r>
            <w:r w:rsidRPr="00EA3B97">
              <w:rPr>
                <w:rFonts w:eastAsiaTheme="minorEastAsia"/>
              </w:rPr>
              <w:t xml:space="preserve">: </w:t>
            </w:r>
            <w:r w:rsidRPr="00EA3B97">
              <w:rPr>
                <w:rFonts w:eastAsiaTheme="minorEastAsia"/>
              </w:rPr>
              <w:tab/>
            </w:r>
            <w:r w:rsidRPr="00EA3B97">
              <w:rPr>
                <w:rFonts w:eastAsiaTheme="minorEastAsia"/>
                <w:lang w:eastAsia="zh-CN"/>
              </w:rPr>
              <w:t>U</w:t>
            </w:r>
            <w:r w:rsidRPr="00EA3B97">
              <w:rPr>
                <w:rFonts w:eastAsiaTheme="minorEastAsia" w:hint="eastAsia"/>
                <w:lang w:eastAsia="zh-CN"/>
              </w:rPr>
              <w:t>nless</w:t>
            </w:r>
            <w:r w:rsidRPr="00EA3B97">
              <w:rPr>
                <w:rFonts w:eastAsiaTheme="minorEastAsia"/>
                <w:lang w:eastAsia="zh-CN"/>
              </w:rPr>
              <w:t xml:space="preserve"> otherwise specified in the test case</w:t>
            </w:r>
          </w:p>
        </w:tc>
      </w:tr>
    </w:tbl>
    <w:p w14:paraId="02E1604F" w14:textId="77777777" w:rsidR="003A71DE" w:rsidRPr="00EA3B97" w:rsidRDefault="003A71DE" w:rsidP="003A71DE">
      <w:pPr>
        <w:rPr>
          <w:rFonts w:eastAsiaTheme="minorEastAsia"/>
        </w:rPr>
      </w:pPr>
    </w:p>
    <w:p w14:paraId="1B385A98" w14:textId="77777777" w:rsidR="003A71DE" w:rsidRPr="00EA3B97" w:rsidRDefault="003A71DE" w:rsidP="00BA0D24">
      <w:pPr>
        <w:pStyle w:val="Heading4"/>
        <w:rPr>
          <w:rFonts w:eastAsiaTheme="minorEastAsia"/>
        </w:rPr>
      </w:pPr>
      <w:bookmarkStart w:id="10142" w:name="_Toc74583668"/>
      <w:bookmarkStart w:id="10143" w:name="_Toc76542481"/>
      <w:bookmarkStart w:id="10144" w:name="_Toc82450463"/>
      <w:bookmarkStart w:id="10145" w:name="_Toc82451111"/>
      <w:bookmarkStart w:id="10146" w:name="_Toc89949500"/>
      <w:bookmarkStart w:id="10147" w:name="_Toc98755889"/>
      <w:bookmarkStart w:id="10148" w:name="_Toc98763481"/>
      <w:bookmarkStart w:id="10149" w:name="_Toc106184410"/>
      <w:r w:rsidRPr="00EA3B97">
        <w:rPr>
          <w:rFonts w:eastAsiaTheme="minorEastAsia"/>
        </w:rPr>
        <w:t>G.1.10.2</w:t>
      </w:r>
      <w:r w:rsidRPr="00EA3B97">
        <w:rPr>
          <w:rFonts w:eastAsiaTheme="minorEastAsia"/>
        </w:rPr>
        <w:tab/>
        <w:t>Configuration of CSI-RS for tracking for FR2</w:t>
      </w:r>
      <w:bookmarkEnd w:id="10142"/>
      <w:bookmarkEnd w:id="10143"/>
      <w:bookmarkEnd w:id="10144"/>
      <w:bookmarkEnd w:id="10145"/>
      <w:bookmarkEnd w:id="10146"/>
      <w:bookmarkEnd w:id="10147"/>
      <w:bookmarkEnd w:id="10148"/>
      <w:bookmarkEnd w:id="10149"/>
    </w:p>
    <w:p w14:paraId="5BF8386B" w14:textId="77777777" w:rsidR="003A71DE" w:rsidRPr="00EA3B97" w:rsidRDefault="003A71DE" w:rsidP="00BA0D24">
      <w:pPr>
        <w:pStyle w:val="Heading5"/>
        <w:rPr>
          <w:rFonts w:eastAsiaTheme="minorEastAsia"/>
          <w:lang w:val="en-US"/>
        </w:rPr>
      </w:pPr>
      <w:bookmarkStart w:id="10150" w:name="_Toc74583669"/>
      <w:bookmarkStart w:id="10151" w:name="_Toc76542482"/>
      <w:bookmarkStart w:id="10152" w:name="_Toc82450464"/>
      <w:bookmarkStart w:id="10153" w:name="_Toc82451112"/>
      <w:bookmarkStart w:id="10154" w:name="_Toc89949501"/>
      <w:bookmarkStart w:id="10155" w:name="_Toc98755890"/>
      <w:bookmarkStart w:id="10156" w:name="_Toc98763482"/>
      <w:bookmarkStart w:id="10157" w:name="_Toc106184411"/>
      <w:r w:rsidRPr="00EA3B97">
        <w:rPr>
          <w:rFonts w:eastAsiaTheme="minorEastAsia"/>
        </w:rPr>
        <w:t>G.1.10.2.1</w:t>
      </w:r>
      <w:r w:rsidRPr="00EA3B97">
        <w:rPr>
          <w:rFonts w:eastAsiaTheme="minorEastAsia"/>
        </w:rPr>
        <w:tab/>
      </w:r>
      <w:r w:rsidRPr="00EA3B97">
        <w:rPr>
          <w:rFonts w:eastAsiaTheme="minorEastAsia"/>
          <w:lang w:eastAsia="zh-CN"/>
        </w:rPr>
        <w:t>TDD</w:t>
      </w:r>
      <w:bookmarkEnd w:id="10150"/>
      <w:bookmarkEnd w:id="10151"/>
      <w:bookmarkEnd w:id="10152"/>
      <w:bookmarkEnd w:id="10153"/>
      <w:bookmarkEnd w:id="10154"/>
      <w:bookmarkEnd w:id="10155"/>
      <w:bookmarkEnd w:id="10156"/>
      <w:bookmarkEnd w:id="10157"/>
    </w:p>
    <w:p w14:paraId="5C993F18" w14:textId="77777777" w:rsidR="003A71DE" w:rsidRPr="00EA3B97" w:rsidRDefault="003A71DE" w:rsidP="00BA0D24">
      <w:pPr>
        <w:pStyle w:val="TH"/>
        <w:rPr>
          <w:rFonts w:eastAsiaTheme="minorEastAsia"/>
        </w:rPr>
      </w:pPr>
      <w:r w:rsidRPr="00EA3B97">
        <w:rPr>
          <w:rFonts w:eastAsiaTheme="minorEastAsia"/>
        </w:rPr>
        <w:t>Table G.1.10.2.1-1: CSI-RS for tracking for SCS=120kHz Set 1</w:t>
      </w:r>
    </w:p>
    <w:tbl>
      <w:tblPr>
        <w:tblW w:w="9204" w:type="dxa"/>
        <w:tblInd w:w="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3"/>
        <w:gridCol w:w="630"/>
        <w:gridCol w:w="5181"/>
      </w:tblGrid>
      <w:tr w:rsidR="003A71DE" w:rsidRPr="00EA3B97" w14:paraId="63EA6623"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7E16522F" w14:textId="77777777" w:rsidR="003A71DE" w:rsidRPr="00EA3B97" w:rsidRDefault="003A71DE" w:rsidP="001A5D47">
            <w:pPr>
              <w:pStyle w:val="TAH"/>
              <w:rPr>
                <w:rFonts w:eastAsiaTheme="minorEastAsia"/>
              </w:rPr>
            </w:pPr>
            <w:r w:rsidRPr="00EA3B97">
              <w:rPr>
                <w:rFonts w:eastAsiaTheme="minorEastAsia"/>
              </w:rPr>
              <w:t>Parameter</w:t>
            </w:r>
          </w:p>
        </w:tc>
        <w:tc>
          <w:tcPr>
            <w:tcW w:w="630" w:type="dxa"/>
            <w:tcBorders>
              <w:top w:val="single" w:sz="4" w:space="0" w:color="auto"/>
              <w:left w:val="single" w:sz="4" w:space="0" w:color="auto"/>
              <w:bottom w:val="single" w:sz="4" w:space="0" w:color="auto"/>
              <w:right w:val="single" w:sz="4" w:space="0" w:color="auto"/>
            </w:tcBorders>
            <w:vAlign w:val="center"/>
            <w:hideMark/>
          </w:tcPr>
          <w:p w14:paraId="395BC671" w14:textId="77777777" w:rsidR="003A71DE" w:rsidRPr="00EA3B97" w:rsidRDefault="003A71DE" w:rsidP="001A5D47">
            <w:pPr>
              <w:pStyle w:val="TAH"/>
              <w:rPr>
                <w:rFonts w:eastAsiaTheme="minorEastAsia"/>
              </w:rPr>
            </w:pPr>
            <w:r w:rsidRPr="00EA3B97">
              <w:rPr>
                <w:rFonts w:eastAsiaTheme="minorEastAsia"/>
              </w:rPr>
              <w:t>Unit</w:t>
            </w:r>
          </w:p>
        </w:tc>
        <w:tc>
          <w:tcPr>
            <w:tcW w:w="5181" w:type="dxa"/>
            <w:tcBorders>
              <w:top w:val="single" w:sz="4" w:space="0" w:color="auto"/>
              <w:left w:val="single" w:sz="4" w:space="0" w:color="auto"/>
              <w:bottom w:val="single" w:sz="4" w:space="0" w:color="auto"/>
              <w:right w:val="single" w:sz="4" w:space="0" w:color="auto"/>
            </w:tcBorders>
            <w:vAlign w:val="center"/>
            <w:hideMark/>
          </w:tcPr>
          <w:p w14:paraId="10D8B026" w14:textId="77777777" w:rsidR="003A71DE" w:rsidRPr="00EA3B97" w:rsidRDefault="003A71DE" w:rsidP="001A5D47">
            <w:pPr>
              <w:pStyle w:val="TAH"/>
              <w:rPr>
                <w:rFonts w:eastAsiaTheme="minorEastAsia"/>
              </w:rPr>
            </w:pPr>
            <w:r w:rsidRPr="00EA3B97">
              <w:rPr>
                <w:rFonts w:eastAsiaTheme="minorEastAsia"/>
              </w:rPr>
              <w:t>Value</w:t>
            </w:r>
          </w:p>
        </w:tc>
      </w:tr>
      <w:tr w:rsidR="003A71DE" w:rsidRPr="00EA3B97" w14:paraId="5B513080"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25D3FBB" w14:textId="77777777" w:rsidR="003A71DE" w:rsidRPr="00EA3B97" w:rsidRDefault="003A71DE" w:rsidP="001A5D47">
            <w:pPr>
              <w:pStyle w:val="TAL"/>
              <w:rPr>
                <w:rFonts w:eastAsiaTheme="minorEastAsia"/>
              </w:rPr>
            </w:pPr>
            <w:r w:rsidRPr="00EA3B97">
              <w:rPr>
                <w:rFonts w:eastAsiaTheme="minorEastAsia"/>
              </w:rPr>
              <w:t>Reference channel</w:t>
            </w:r>
          </w:p>
        </w:tc>
        <w:tc>
          <w:tcPr>
            <w:tcW w:w="630" w:type="dxa"/>
            <w:tcBorders>
              <w:top w:val="single" w:sz="4" w:space="0" w:color="auto"/>
              <w:left w:val="single" w:sz="4" w:space="0" w:color="auto"/>
              <w:bottom w:val="single" w:sz="4" w:space="0" w:color="auto"/>
              <w:right w:val="single" w:sz="4" w:space="0" w:color="auto"/>
            </w:tcBorders>
            <w:vAlign w:val="center"/>
          </w:tcPr>
          <w:p w14:paraId="3E62BBCE"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6CCBA3A0" w14:textId="77777777" w:rsidR="003A71DE" w:rsidRPr="00EA3B97" w:rsidRDefault="003A71DE" w:rsidP="001A5D47">
            <w:pPr>
              <w:pStyle w:val="TAL"/>
              <w:rPr>
                <w:rFonts w:eastAsiaTheme="minorEastAsia"/>
              </w:rPr>
            </w:pPr>
            <w:r w:rsidRPr="00EA3B97">
              <w:rPr>
                <w:rFonts w:eastAsiaTheme="minorEastAsia"/>
              </w:rPr>
              <w:t>TRS.2.1 TDD</w:t>
            </w:r>
          </w:p>
        </w:tc>
      </w:tr>
      <w:tr w:rsidR="003A71DE" w:rsidRPr="00EA3B97" w14:paraId="440D1F38"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54BE969C" w14:textId="77777777" w:rsidR="003A71DE" w:rsidRPr="00EA3B97" w:rsidRDefault="003A71DE" w:rsidP="001A5D47">
            <w:pPr>
              <w:pStyle w:val="TAL"/>
              <w:rPr>
                <w:rFonts w:eastAsiaTheme="minorEastAsia"/>
              </w:rPr>
            </w:pPr>
            <w:r w:rsidRPr="00EA3B97">
              <w:rPr>
                <w:rFonts w:eastAsiaTheme="minorEastAsia"/>
              </w:rPr>
              <w:t>Bandwidth</w:t>
            </w:r>
          </w:p>
        </w:tc>
        <w:tc>
          <w:tcPr>
            <w:tcW w:w="630" w:type="dxa"/>
            <w:tcBorders>
              <w:top w:val="single" w:sz="4" w:space="0" w:color="auto"/>
              <w:left w:val="single" w:sz="4" w:space="0" w:color="auto"/>
              <w:bottom w:val="single" w:sz="4" w:space="0" w:color="auto"/>
              <w:right w:val="single" w:sz="4" w:space="0" w:color="auto"/>
            </w:tcBorders>
            <w:vAlign w:val="center"/>
            <w:hideMark/>
          </w:tcPr>
          <w:p w14:paraId="2EA4BF08"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01416004" w14:textId="77777777" w:rsidR="003A71DE" w:rsidRPr="00EA3B97" w:rsidRDefault="003A71DE" w:rsidP="001A5D47">
            <w:pPr>
              <w:pStyle w:val="TAL"/>
              <w:rPr>
                <w:rFonts w:eastAsiaTheme="minorEastAsia"/>
                <w:vertAlign w:val="superscript"/>
              </w:rPr>
            </w:pPr>
            <w:r w:rsidRPr="00EA3B97">
              <w:rPr>
                <w:rFonts w:eastAsiaTheme="minorEastAsia"/>
              </w:rPr>
              <w:t>BW of Active BWP</w:t>
            </w:r>
            <w:r w:rsidRPr="00EA3B97">
              <w:rPr>
                <w:rFonts w:eastAsiaTheme="minorEastAsia"/>
                <w:vertAlign w:val="superscript"/>
              </w:rPr>
              <w:t>Note 1</w:t>
            </w:r>
            <w:r w:rsidRPr="00EA3B97">
              <w:rPr>
                <w:rFonts w:eastAsiaTheme="minorEastAsia" w:hint="eastAsia"/>
                <w:vertAlign w:val="superscript"/>
                <w:lang w:eastAsia="ja-JP"/>
              </w:rPr>
              <w:t>,3</w:t>
            </w:r>
          </w:p>
        </w:tc>
      </w:tr>
      <w:tr w:rsidR="003A71DE" w:rsidRPr="00EA3B97" w14:paraId="0C0513C0"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6736FCD" w14:textId="77777777" w:rsidR="003A71DE" w:rsidRPr="00EA3B97" w:rsidRDefault="003A71DE" w:rsidP="001A5D47">
            <w:pPr>
              <w:pStyle w:val="TAL"/>
              <w:rPr>
                <w:rFonts w:eastAsiaTheme="minorEastAsia"/>
              </w:rPr>
            </w:pPr>
            <w:r w:rsidRPr="00EA3B97">
              <w:rPr>
                <w:rFonts w:eastAsiaTheme="minorEastAsia"/>
              </w:rPr>
              <w:t>SCS</w:t>
            </w:r>
          </w:p>
        </w:tc>
        <w:tc>
          <w:tcPr>
            <w:tcW w:w="630" w:type="dxa"/>
            <w:tcBorders>
              <w:top w:val="single" w:sz="4" w:space="0" w:color="auto"/>
              <w:left w:val="single" w:sz="4" w:space="0" w:color="auto"/>
              <w:bottom w:val="single" w:sz="4" w:space="0" w:color="auto"/>
              <w:right w:val="single" w:sz="4" w:space="0" w:color="auto"/>
            </w:tcBorders>
            <w:vAlign w:val="center"/>
            <w:hideMark/>
          </w:tcPr>
          <w:p w14:paraId="5594E336" w14:textId="77777777" w:rsidR="003A71DE" w:rsidRPr="00EA3B97" w:rsidRDefault="003A71DE" w:rsidP="001A5D47">
            <w:pPr>
              <w:pStyle w:val="TAL"/>
              <w:rPr>
                <w:rFonts w:eastAsiaTheme="minorEastAsia"/>
              </w:rPr>
            </w:pPr>
            <w:r w:rsidRPr="00EA3B97">
              <w:rPr>
                <w:rFonts w:eastAsiaTheme="minorEastAsia"/>
              </w:rPr>
              <w:t>kHz</w:t>
            </w:r>
          </w:p>
        </w:tc>
        <w:tc>
          <w:tcPr>
            <w:tcW w:w="5181" w:type="dxa"/>
            <w:tcBorders>
              <w:top w:val="single" w:sz="4" w:space="0" w:color="auto"/>
              <w:left w:val="single" w:sz="4" w:space="0" w:color="auto"/>
              <w:bottom w:val="single" w:sz="4" w:space="0" w:color="auto"/>
              <w:right w:val="single" w:sz="4" w:space="0" w:color="auto"/>
            </w:tcBorders>
            <w:vAlign w:val="center"/>
            <w:hideMark/>
          </w:tcPr>
          <w:p w14:paraId="4BDD835B" w14:textId="77777777" w:rsidR="003A71DE" w:rsidRPr="00EA3B97" w:rsidRDefault="003A71DE" w:rsidP="001A5D47">
            <w:pPr>
              <w:pStyle w:val="TAL"/>
              <w:rPr>
                <w:rFonts w:eastAsiaTheme="minorEastAsia"/>
              </w:rPr>
            </w:pPr>
            <w:r w:rsidRPr="00EA3B97">
              <w:rPr>
                <w:rFonts w:eastAsiaTheme="minorEastAsia"/>
              </w:rPr>
              <w:t>120</w:t>
            </w:r>
          </w:p>
        </w:tc>
      </w:tr>
      <w:tr w:rsidR="003A71DE" w:rsidRPr="00EA3B97" w14:paraId="6DF968E1"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9D3707C" w14:textId="77777777" w:rsidR="003A71DE" w:rsidRPr="00EA3B97" w:rsidRDefault="003A71DE" w:rsidP="001A5D47">
            <w:pPr>
              <w:pStyle w:val="TAL"/>
              <w:rPr>
                <w:rFonts w:eastAsiaTheme="minorEastAsia"/>
              </w:rPr>
            </w:pPr>
            <w:r w:rsidRPr="00EA3B97">
              <w:rPr>
                <w:rFonts w:eastAsiaTheme="minorEastAsia"/>
              </w:rPr>
              <w:t xml:space="preserve">First subcarrier index in the PRB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7F8F26AD"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31CBAEB0" w14:textId="77777777" w:rsidR="003A71DE" w:rsidRPr="00EA3B97" w:rsidRDefault="003A71DE" w:rsidP="001A5D47">
            <w:pPr>
              <w:pStyle w:val="TAL"/>
              <w:rPr>
                <w:rFonts w:eastAsiaTheme="minorEastAsia"/>
              </w:rPr>
            </w:pPr>
            <w:r w:rsidRPr="00EA3B97">
              <w:rPr>
                <w:rFonts w:eastAsiaTheme="minorEastAsia"/>
              </w:rPr>
              <w:t>k</w:t>
            </w:r>
            <w:r w:rsidRPr="00EA3B97">
              <w:rPr>
                <w:rFonts w:eastAsiaTheme="minorEastAsia"/>
                <w:vertAlign w:val="subscript"/>
              </w:rPr>
              <w:t>0</w:t>
            </w:r>
            <w:r w:rsidRPr="00EA3B97">
              <w:rPr>
                <w:rFonts w:eastAsiaTheme="minorEastAsia"/>
              </w:rPr>
              <w:t>=0 for CSI-RS resource 1,2,3,4</w:t>
            </w:r>
          </w:p>
        </w:tc>
      </w:tr>
      <w:tr w:rsidR="003A71DE" w:rsidRPr="00EA3B97" w14:paraId="5D7EE8FD"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43982DE" w14:textId="77777777" w:rsidR="003A71DE" w:rsidRPr="00EA3B97" w:rsidRDefault="003A71DE" w:rsidP="001A5D47">
            <w:pPr>
              <w:pStyle w:val="TAL"/>
              <w:rPr>
                <w:rFonts w:eastAsiaTheme="minorEastAsia"/>
              </w:rPr>
            </w:pPr>
            <w:r w:rsidRPr="00EA3B97">
              <w:rPr>
                <w:rFonts w:eastAsiaTheme="minorEastAsia"/>
              </w:rPr>
              <w:t xml:space="preserve">First OFDM symbol in the slot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7D5E2D53"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20FDCF93"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1 for CSI-RS resource 1 and 3</w:t>
            </w:r>
          </w:p>
          <w:p w14:paraId="44110F25"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5 for CSI-RS resource 2 and 4</w:t>
            </w:r>
          </w:p>
        </w:tc>
      </w:tr>
      <w:tr w:rsidR="003A71DE" w:rsidRPr="00EA3B97" w14:paraId="310374C4"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68BD16FC" w14:textId="77777777" w:rsidR="003A71DE" w:rsidRPr="00EA3B97" w:rsidRDefault="003A71DE" w:rsidP="001A5D47">
            <w:pPr>
              <w:pStyle w:val="TAL"/>
              <w:rPr>
                <w:rFonts w:eastAsiaTheme="minorEastAsia"/>
              </w:rPr>
            </w:pPr>
            <w:r w:rsidRPr="00EA3B97">
              <w:rPr>
                <w:rFonts w:eastAsiaTheme="minorEastAsia"/>
              </w:rPr>
              <w:t>Number of CSI-RS ports (X)</w:t>
            </w:r>
          </w:p>
        </w:tc>
        <w:tc>
          <w:tcPr>
            <w:tcW w:w="630" w:type="dxa"/>
            <w:tcBorders>
              <w:top w:val="single" w:sz="4" w:space="0" w:color="auto"/>
              <w:left w:val="single" w:sz="4" w:space="0" w:color="auto"/>
              <w:bottom w:val="single" w:sz="4" w:space="0" w:color="auto"/>
              <w:right w:val="single" w:sz="4" w:space="0" w:color="auto"/>
            </w:tcBorders>
            <w:vAlign w:val="center"/>
          </w:tcPr>
          <w:p w14:paraId="3927C306"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45719239" w14:textId="77777777" w:rsidR="003A71DE" w:rsidRPr="00EA3B97" w:rsidRDefault="003A71DE" w:rsidP="001A5D47">
            <w:pPr>
              <w:pStyle w:val="TAL"/>
              <w:rPr>
                <w:rFonts w:eastAsiaTheme="minorEastAsia"/>
              </w:rPr>
            </w:pPr>
            <w:r w:rsidRPr="00EA3B97">
              <w:rPr>
                <w:rFonts w:eastAsiaTheme="minorEastAsia"/>
              </w:rPr>
              <w:t>1 for CSI-RS resource 1,2,3,4</w:t>
            </w:r>
          </w:p>
        </w:tc>
      </w:tr>
      <w:tr w:rsidR="003A71DE" w:rsidRPr="00EA3B97" w14:paraId="6341B69F"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6CA357CB" w14:textId="77777777" w:rsidR="003A71DE" w:rsidRPr="00EA3B97" w:rsidRDefault="003A71DE" w:rsidP="001A5D47">
            <w:pPr>
              <w:pStyle w:val="TAL"/>
              <w:rPr>
                <w:rFonts w:eastAsiaTheme="minorEastAsia"/>
              </w:rPr>
            </w:pPr>
            <w:r w:rsidRPr="00EA3B97">
              <w:rPr>
                <w:rFonts w:eastAsiaTheme="minorEastAsia"/>
              </w:rPr>
              <w:t>CDM Type</w:t>
            </w:r>
          </w:p>
        </w:tc>
        <w:tc>
          <w:tcPr>
            <w:tcW w:w="630" w:type="dxa"/>
            <w:tcBorders>
              <w:top w:val="single" w:sz="4" w:space="0" w:color="auto"/>
              <w:left w:val="single" w:sz="4" w:space="0" w:color="auto"/>
              <w:bottom w:val="single" w:sz="4" w:space="0" w:color="auto"/>
              <w:right w:val="single" w:sz="4" w:space="0" w:color="auto"/>
            </w:tcBorders>
            <w:vAlign w:val="center"/>
          </w:tcPr>
          <w:p w14:paraId="516C09B8"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38BDC52A" w14:textId="77777777" w:rsidR="003A71DE" w:rsidRPr="00EA3B97" w:rsidRDefault="003A71DE" w:rsidP="001A5D47">
            <w:pPr>
              <w:pStyle w:val="TAL"/>
              <w:rPr>
                <w:rFonts w:eastAsiaTheme="minorEastAsia"/>
              </w:rPr>
            </w:pPr>
            <w:r w:rsidRPr="00EA3B97">
              <w:rPr>
                <w:rFonts w:eastAsiaTheme="minorEastAsia"/>
              </w:rPr>
              <w:t>‘No CDM’ for CSI-RS resource 1,2,3,4</w:t>
            </w:r>
          </w:p>
        </w:tc>
      </w:tr>
      <w:tr w:rsidR="003A71DE" w:rsidRPr="00EA3B97" w14:paraId="6F43EBB0"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6B07CDD9" w14:textId="77777777" w:rsidR="003A71DE" w:rsidRPr="00EA3B97" w:rsidRDefault="003A71DE" w:rsidP="001A5D47">
            <w:pPr>
              <w:pStyle w:val="TAL"/>
              <w:rPr>
                <w:rFonts w:eastAsiaTheme="minorEastAsia"/>
              </w:rPr>
            </w:pPr>
            <w:r w:rsidRPr="00EA3B97">
              <w:rPr>
                <w:rFonts w:eastAsiaTheme="minorEastAsia"/>
              </w:rPr>
              <w:t>Density (ρ)</w:t>
            </w:r>
          </w:p>
        </w:tc>
        <w:tc>
          <w:tcPr>
            <w:tcW w:w="630" w:type="dxa"/>
            <w:tcBorders>
              <w:top w:val="single" w:sz="4" w:space="0" w:color="auto"/>
              <w:left w:val="single" w:sz="4" w:space="0" w:color="auto"/>
              <w:bottom w:val="single" w:sz="4" w:space="0" w:color="auto"/>
              <w:right w:val="single" w:sz="4" w:space="0" w:color="auto"/>
            </w:tcBorders>
            <w:vAlign w:val="center"/>
          </w:tcPr>
          <w:p w14:paraId="2570E0BD"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766A8381" w14:textId="77777777" w:rsidR="003A71DE" w:rsidRPr="00EA3B97" w:rsidRDefault="003A71DE" w:rsidP="001A5D47">
            <w:pPr>
              <w:pStyle w:val="TAL"/>
              <w:rPr>
                <w:rFonts w:eastAsiaTheme="minorEastAsia"/>
              </w:rPr>
            </w:pPr>
            <w:r w:rsidRPr="00EA3B97">
              <w:rPr>
                <w:rFonts w:eastAsiaTheme="minorEastAsia"/>
              </w:rPr>
              <w:t>3 for CSI-RS resource 1,2,3,4</w:t>
            </w:r>
          </w:p>
        </w:tc>
      </w:tr>
      <w:tr w:rsidR="003A71DE" w:rsidRPr="00EA3B97" w14:paraId="411DB507"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BB5BAA6" w14:textId="77777777" w:rsidR="003A71DE" w:rsidRPr="00EA3B97" w:rsidRDefault="003A71DE" w:rsidP="001A5D47">
            <w:pPr>
              <w:pStyle w:val="TAL"/>
              <w:rPr>
                <w:rFonts w:eastAsiaTheme="minorEastAsia"/>
              </w:rPr>
            </w:pPr>
            <w:r w:rsidRPr="00EA3B97">
              <w:rPr>
                <w:rFonts w:eastAsiaTheme="minorEastAsia"/>
              </w:rPr>
              <w:t>CSI-RS periodicity</w:t>
            </w:r>
          </w:p>
        </w:tc>
        <w:tc>
          <w:tcPr>
            <w:tcW w:w="630" w:type="dxa"/>
            <w:tcBorders>
              <w:top w:val="single" w:sz="4" w:space="0" w:color="auto"/>
              <w:left w:val="single" w:sz="4" w:space="0" w:color="auto"/>
              <w:bottom w:val="single" w:sz="4" w:space="0" w:color="auto"/>
              <w:right w:val="single" w:sz="4" w:space="0" w:color="auto"/>
            </w:tcBorders>
            <w:vAlign w:val="center"/>
            <w:hideMark/>
          </w:tcPr>
          <w:p w14:paraId="25C62196" w14:textId="77777777" w:rsidR="003A71DE" w:rsidRPr="00EA3B97" w:rsidRDefault="003A71DE" w:rsidP="001A5D47">
            <w:pPr>
              <w:pStyle w:val="TAL"/>
              <w:rPr>
                <w:rFonts w:eastAsiaTheme="minorEastAsia"/>
              </w:rPr>
            </w:pPr>
            <w:r w:rsidRPr="00EA3B97">
              <w:rPr>
                <w:rFonts w:eastAsiaTheme="minorEastAsia"/>
              </w:rPr>
              <w:t>slots</w:t>
            </w:r>
          </w:p>
        </w:tc>
        <w:tc>
          <w:tcPr>
            <w:tcW w:w="5181" w:type="dxa"/>
            <w:tcBorders>
              <w:top w:val="single" w:sz="4" w:space="0" w:color="auto"/>
              <w:left w:val="single" w:sz="4" w:space="0" w:color="auto"/>
              <w:bottom w:val="single" w:sz="4" w:space="0" w:color="auto"/>
              <w:right w:val="single" w:sz="4" w:space="0" w:color="auto"/>
            </w:tcBorders>
            <w:vAlign w:val="center"/>
            <w:hideMark/>
          </w:tcPr>
          <w:p w14:paraId="3D034292" w14:textId="77777777" w:rsidR="003A71DE" w:rsidRPr="00EA3B97" w:rsidRDefault="003A71DE" w:rsidP="001A5D47">
            <w:pPr>
              <w:pStyle w:val="TAL"/>
              <w:rPr>
                <w:rFonts w:eastAsiaTheme="minorEastAsia"/>
              </w:rPr>
            </w:pPr>
            <w:r w:rsidRPr="00EA3B97">
              <w:rPr>
                <w:rFonts w:eastAsiaTheme="minorEastAsia"/>
              </w:rPr>
              <w:t>80 for CSI-RS resource 1,2,3,4</w:t>
            </w:r>
          </w:p>
        </w:tc>
      </w:tr>
      <w:tr w:rsidR="003A71DE" w:rsidRPr="00EA3B97" w14:paraId="6F3D3020"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2BB6AD27" w14:textId="77777777" w:rsidR="003A71DE" w:rsidRPr="00EA3B97" w:rsidRDefault="003A71DE" w:rsidP="001A5D47">
            <w:pPr>
              <w:pStyle w:val="TAL"/>
              <w:rPr>
                <w:rFonts w:eastAsiaTheme="minorEastAsia"/>
                <w:szCs w:val="22"/>
                <w:lang w:eastAsia="ja-JP"/>
              </w:rPr>
            </w:pPr>
            <w:r w:rsidRPr="00EA3B97">
              <w:rPr>
                <w:rFonts w:eastAsiaTheme="minorEastAsia"/>
              </w:rPr>
              <w:t>EPRE ratio to SSS</w:t>
            </w:r>
          </w:p>
        </w:tc>
        <w:tc>
          <w:tcPr>
            <w:tcW w:w="630" w:type="dxa"/>
            <w:tcBorders>
              <w:top w:val="single" w:sz="4" w:space="0" w:color="auto"/>
              <w:left w:val="single" w:sz="4" w:space="0" w:color="auto"/>
              <w:bottom w:val="single" w:sz="4" w:space="0" w:color="auto"/>
              <w:right w:val="single" w:sz="4" w:space="0" w:color="auto"/>
            </w:tcBorders>
            <w:vAlign w:val="center"/>
            <w:hideMark/>
          </w:tcPr>
          <w:p w14:paraId="1A1D8251" w14:textId="77777777" w:rsidR="003A71DE" w:rsidRPr="00EA3B97" w:rsidRDefault="003A71DE" w:rsidP="001A5D47">
            <w:pPr>
              <w:pStyle w:val="TAL"/>
              <w:rPr>
                <w:rFonts w:eastAsiaTheme="minorEastAsia"/>
              </w:rPr>
            </w:pPr>
            <w:r w:rsidRPr="00EA3B97">
              <w:rPr>
                <w:rFonts w:eastAsiaTheme="minorEastAsia"/>
              </w:rPr>
              <w:t>dB</w:t>
            </w:r>
          </w:p>
        </w:tc>
        <w:tc>
          <w:tcPr>
            <w:tcW w:w="5181" w:type="dxa"/>
            <w:tcBorders>
              <w:top w:val="single" w:sz="4" w:space="0" w:color="auto"/>
              <w:left w:val="single" w:sz="4" w:space="0" w:color="auto"/>
              <w:bottom w:val="single" w:sz="4" w:space="0" w:color="auto"/>
              <w:right w:val="single" w:sz="4" w:space="0" w:color="auto"/>
            </w:tcBorders>
            <w:vAlign w:val="center"/>
            <w:hideMark/>
          </w:tcPr>
          <w:p w14:paraId="791D2C66" w14:textId="77777777" w:rsidR="003A71DE" w:rsidRPr="00EA3B97" w:rsidRDefault="003A71DE" w:rsidP="001A5D47">
            <w:pPr>
              <w:pStyle w:val="TAL"/>
              <w:rPr>
                <w:rFonts w:eastAsiaTheme="minorEastAsia"/>
              </w:rPr>
            </w:pPr>
            <w:r w:rsidRPr="00EA3B97">
              <w:rPr>
                <w:rFonts w:eastAsiaTheme="minorEastAsia"/>
              </w:rPr>
              <w:t>-3</w:t>
            </w:r>
            <w:r w:rsidRPr="00EA3B97">
              <w:rPr>
                <w:rFonts w:eastAsiaTheme="minorEastAsia"/>
                <w:vertAlign w:val="superscript"/>
              </w:rPr>
              <w:t>Note</w:t>
            </w:r>
            <w:r w:rsidRPr="00EA3B97">
              <w:rPr>
                <w:rFonts w:eastAsiaTheme="minorEastAsia" w:hint="eastAsia"/>
                <w:vertAlign w:val="superscript"/>
                <w:lang w:eastAsia="zh-CN"/>
              </w:rPr>
              <w:t xml:space="preserve"> 2</w:t>
            </w:r>
          </w:p>
        </w:tc>
      </w:tr>
      <w:tr w:rsidR="003A71DE" w:rsidRPr="00EA3B97" w14:paraId="35DCE39E"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96C2B32" w14:textId="77777777" w:rsidR="003A71DE" w:rsidRPr="00EA3B97" w:rsidRDefault="003A71DE" w:rsidP="001A5D47">
            <w:pPr>
              <w:pStyle w:val="TAL"/>
              <w:rPr>
                <w:rFonts w:eastAsiaTheme="minorEastAsia"/>
                <w:lang w:eastAsia="zh-CN"/>
              </w:rPr>
            </w:pPr>
            <w:r w:rsidRPr="00EA3B97">
              <w:rPr>
                <w:rFonts w:eastAsiaTheme="minorEastAsia"/>
                <w:lang w:eastAsia="zh-CN"/>
              </w:rPr>
              <w:t>TCI state</w:t>
            </w:r>
          </w:p>
        </w:tc>
        <w:tc>
          <w:tcPr>
            <w:tcW w:w="630" w:type="dxa"/>
            <w:tcBorders>
              <w:top w:val="single" w:sz="4" w:space="0" w:color="auto"/>
              <w:left w:val="single" w:sz="4" w:space="0" w:color="auto"/>
              <w:bottom w:val="single" w:sz="4" w:space="0" w:color="auto"/>
              <w:right w:val="single" w:sz="4" w:space="0" w:color="auto"/>
            </w:tcBorders>
            <w:vAlign w:val="center"/>
          </w:tcPr>
          <w:p w14:paraId="65C1E279"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A1A1678" w14:textId="77777777" w:rsidR="003A71DE" w:rsidRPr="00EA3B97" w:rsidRDefault="003A71DE" w:rsidP="001A5D47">
            <w:pPr>
              <w:pStyle w:val="TAL"/>
              <w:rPr>
                <w:rFonts w:eastAsiaTheme="minorEastAsia"/>
              </w:rPr>
            </w:pPr>
            <w:r w:rsidRPr="00EA3B97">
              <w:rPr>
                <w:rFonts w:eastAsia="MS Mincho"/>
              </w:rPr>
              <w:t>TCI.State.0</w:t>
            </w:r>
          </w:p>
        </w:tc>
      </w:tr>
      <w:tr w:rsidR="003A71DE" w:rsidRPr="00EA3B97" w14:paraId="17C72CE5" w14:textId="77777777" w:rsidTr="003A71DE">
        <w:trPr>
          <w:trHeight w:val="53"/>
        </w:trPr>
        <w:tc>
          <w:tcPr>
            <w:tcW w:w="9204" w:type="dxa"/>
            <w:gridSpan w:val="3"/>
            <w:tcBorders>
              <w:top w:val="single" w:sz="4" w:space="0" w:color="auto"/>
              <w:left w:val="single" w:sz="4" w:space="0" w:color="auto"/>
              <w:bottom w:val="single" w:sz="4" w:space="0" w:color="auto"/>
              <w:right w:val="single" w:sz="4" w:space="0" w:color="auto"/>
            </w:tcBorders>
            <w:vAlign w:val="center"/>
            <w:hideMark/>
          </w:tcPr>
          <w:p w14:paraId="7614FF0F" w14:textId="77777777" w:rsidR="003A71DE" w:rsidRPr="00EA3B97" w:rsidRDefault="003A71DE" w:rsidP="001A5D47">
            <w:pPr>
              <w:pStyle w:val="TAN"/>
              <w:rPr>
                <w:rFonts w:eastAsiaTheme="minorEastAsia"/>
              </w:rPr>
            </w:pPr>
            <w:r w:rsidRPr="00EA3B97">
              <w:rPr>
                <w:rFonts w:eastAsiaTheme="minorEastAsia"/>
              </w:rPr>
              <w:t>Note 1:</w:t>
            </w:r>
            <w:r w:rsidRPr="00EA3B97">
              <w:rPr>
                <w:rFonts w:eastAsiaTheme="minorEastAsia"/>
              </w:rPr>
              <w:tab/>
              <w:t>BW of TRS is configured same as the BW size of IAB-MT active BWP in the RRM test cases</w:t>
            </w:r>
          </w:p>
          <w:p w14:paraId="1E89DA69" w14:textId="77777777" w:rsidR="003A71DE" w:rsidRPr="00EA3B97" w:rsidRDefault="003A71DE" w:rsidP="001A5D47">
            <w:pPr>
              <w:pStyle w:val="TAN"/>
              <w:rPr>
                <w:rFonts w:eastAsiaTheme="minorEastAsia"/>
                <w:lang w:eastAsia="ja-JP"/>
              </w:rPr>
            </w:pPr>
            <w:r w:rsidRPr="00EA3B97">
              <w:rPr>
                <w:rFonts w:eastAsiaTheme="minorEastAsia"/>
              </w:rPr>
              <w:t xml:space="preserve">Note </w:t>
            </w:r>
            <w:r w:rsidRPr="00EA3B97">
              <w:rPr>
                <w:rFonts w:eastAsiaTheme="minorEastAsia" w:hint="eastAsia"/>
                <w:lang w:eastAsia="zh-CN"/>
              </w:rPr>
              <w:t>2</w:t>
            </w:r>
            <w:r w:rsidRPr="00EA3B97">
              <w:rPr>
                <w:rFonts w:eastAsiaTheme="minorEastAsia"/>
              </w:rPr>
              <w:t>:</w:t>
            </w:r>
            <w:r w:rsidRPr="00EA3B97">
              <w:rPr>
                <w:rFonts w:eastAsiaTheme="minorEastAsia"/>
              </w:rPr>
              <w:tab/>
            </w:r>
            <w:r w:rsidRPr="00EA3B97">
              <w:rPr>
                <w:rFonts w:eastAsiaTheme="minorEastAsia"/>
                <w:lang w:eastAsia="zh-CN"/>
              </w:rPr>
              <w:t>U</w:t>
            </w:r>
            <w:r w:rsidRPr="00EA3B97">
              <w:rPr>
                <w:rFonts w:eastAsiaTheme="minorEastAsia" w:hint="eastAsia"/>
                <w:lang w:eastAsia="zh-CN"/>
              </w:rPr>
              <w:t>nless</w:t>
            </w:r>
            <w:r w:rsidRPr="00EA3B97">
              <w:rPr>
                <w:rFonts w:eastAsiaTheme="minorEastAsia"/>
                <w:lang w:eastAsia="zh-CN"/>
              </w:rPr>
              <w:t xml:space="preserve"> otherwise specified in the test case</w:t>
            </w:r>
          </w:p>
          <w:p w14:paraId="298CC0A4" w14:textId="77777777" w:rsidR="003A71DE" w:rsidRPr="00EA3B97" w:rsidRDefault="003A71DE" w:rsidP="001A5D47">
            <w:pPr>
              <w:pStyle w:val="TAN"/>
              <w:rPr>
                <w:rFonts w:eastAsiaTheme="minorEastAsia"/>
              </w:rPr>
            </w:pPr>
            <w:r w:rsidRPr="00EA3B97">
              <w:rPr>
                <w:rFonts w:eastAsiaTheme="minorEastAsia" w:cs="Arial"/>
              </w:rPr>
              <w:t xml:space="preserve">Note </w:t>
            </w:r>
            <w:r w:rsidRPr="00EA3B97">
              <w:rPr>
                <w:rFonts w:eastAsiaTheme="minorEastAsia" w:cs="Arial"/>
                <w:lang w:eastAsia="ja-JP"/>
              </w:rPr>
              <w:t>3</w:t>
            </w:r>
            <w:r w:rsidRPr="00EA3B97">
              <w:rPr>
                <w:rFonts w:eastAsiaTheme="minorEastAsia" w:cs="Arial"/>
              </w:rPr>
              <w:t>:</w:t>
            </w:r>
            <w:r w:rsidRPr="00EA3B97">
              <w:rPr>
                <w:rFonts w:eastAsiaTheme="minorEastAsia" w:cs="Arial"/>
              </w:rPr>
              <w:tab/>
            </w:r>
            <w:r w:rsidRPr="00EA3B97">
              <w:rPr>
                <w:rFonts w:eastAsiaTheme="minorEastAsia" w:cs="Arial" w:hint="eastAsia"/>
                <w:lang w:eastAsia="ja-JP"/>
              </w:rPr>
              <w:t>If active BWP is larger than 52RBs, BW of TRS is configured as 52RBs. Otherwise, same as active BWP size.</w:t>
            </w:r>
          </w:p>
        </w:tc>
      </w:tr>
    </w:tbl>
    <w:p w14:paraId="4F121473" w14:textId="77777777" w:rsidR="003A71DE" w:rsidRPr="00EA3B97" w:rsidRDefault="003A71DE" w:rsidP="003A71DE">
      <w:pPr>
        <w:rPr>
          <w:rFonts w:eastAsiaTheme="minorEastAsia"/>
        </w:rPr>
      </w:pPr>
    </w:p>
    <w:p w14:paraId="03A74FA8" w14:textId="77777777" w:rsidR="003A71DE" w:rsidRPr="00EA3B97" w:rsidRDefault="003A71DE" w:rsidP="00BA0D24">
      <w:pPr>
        <w:pStyle w:val="TH"/>
        <w:rPr>
          <w:rFonts w:eastAsiaTheme="minorEastAsia"/>
        </w:rPr>
      </w:pPr>
      <w:r w:rsidRPr="00EA3B97">
        <w:rPr>
          <w:rFonts w:eastAsiaTheme="minorEastAsia"/>
        </w:rPr>
        <w:lastRenderedPageBreak/>
        <w:t>Table G.1.10.2.1-2: CSI-RS for tracking for SCS=120kHz Set 2</w:t>
      </w:r>
    </w:p>
    <w:tbl>
      <w:tblPr>
        <w:tblW w:w="9204" w:type="dxa"/>
        <w:tblInd w:w="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3"/>
        <w:gridCol w:w="630"/>
        <w:gridCol w:w="5181"/>
      </w:tblGrid>
      <w:tr w:rsidR="003A71DE" w:rsidRPr="00EA3B97" w14:paraId="5233269D"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4A78545" w14:textId="77777777" w:rsidR="003A71DE" w:rsidRPr="00EA3B97" w:rsidRDefault="003A71DE" w:rsidP="001A5D47">
            <w:pPr>
              <w:pStyle w:val="TAH"/>
              <w:rPr>
                <w:rFonts w:eastAsiaTheme="minorEastAsia"/>
              </w:rPr>
            </w:pPr>
            <w:r w:rsidRPr="00EA3B97">
              <w:rPr>
                <w:rFonts w:eastAsiaTheme="minorEastAsia"/>
              </w:rPr>
              <w:t>Parameter</w:t>
            </w:r>
          </w:p>
        </w:tc>
        <w:tc>
          <w:tcPr>
            <w:tcW w:w="630" w:type="dxa"/>
            <w:tcBorders>
              <w:top w:val="single" w:sz="4" w:space="0" w:color="auto"/>
              <w:left w:val="single" w:sz="4" w:space="0" w:color="auto"/>
              <w:bottom w:val="single" w:sz="4" w:space="0" w:color="auto"/>
              <w:right w:val="single" w:sz="4" w:space="0" w:color="auto"/>
            </w:tcBorders>
            <w:vAlign w:val="center"/>
            <w:hideMark/>
          </w:tcPr>
          <w:p w14:paraId="69B08C78" w14:textId="77777777" w:rsidR="003A71DE" w:rsidRPr="00EA3B97" w:rsidRDefault="003A71DE" w:rsidP="001A5D47">
            <w:pPr>
              <w:pStyle w:val="TAH"/>
              <w:rPr>
                <w:rFonts w:eastAsiaTheme="minorEastAsia"/>
              </w:rPr>
            </w:pPr>
            <w:r w:rsidRPr="00EA3B97">
              <w:rPr>
                <w:rFonts w:eastAsiaTheme="minorEastAsia"/>
              </w:rPr>
              <w:t>Unit</w:t>
            </w:r>
          </w:p>
        </w:tc>
        <w:tc>
          <w:tcPr>
            <w:tcW w:w="5181" w:type="dxa"/>
            <w:tcBorders>
              <w:top w:val="single" w:sz="4" w:space="0" w:color="auto"/>
              <w:left w:val="single" w:sz="4" w:space="0" w:color="auto"/>
              <w:bottom w:val="single" w:sz="4" w:space="0" w:color="auto"/>
              <w:right w:val="single" w:sz="4" w:space="0" w:color="auto"/>
            </w:tcBorders>
            <w:vAlign w:val="center"/>
            <w:hideMark/>
          </w:tcPr>
          <w:p w14:paraId="3509C0B8" w14:textId="77777777" w:rsidR="003A71DE" w:rsidRPr="00EA3B97" w:rsidRDefault="003A71DE" w:rsidP="001A5D47">
            <w:pPr>
              <w:pStyle w:val="TAH"/>
              <w:rPr>
                <w:rFonts w:eastAsiaTheme="minorEastAsia"/>
              </w:rPr>
            </w:pPr>
            <w:r w:rsidRPr="00EA3B97">
              <w:rPr>
                <w:rFonts w:eastAsiaTheme="minorEastAsia"/>
              </w:rPr>
              <w:t>Value</w:t>
            </w:r>
          </w:p>
        </w:tc>
      </w:tr>
      <w:tr w:rsidR="003A71DE" w:rsidRPr="00EA3B97" w14:paraId="0F920DAF"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0F5D31BA" w14:textId="77777777" w:rsidR="003A71DE" w:rsidRPr="00EA3B97" w:rsidRDefault="003A71DE" w:rsidP="001A5D47">
            <w:pPr>
              <w:pStyle w:val="TAL"/>
              <w:rPr>
                <w:rFonts w:eastAsiaTheme="minorEastAsia"/>
              </w:rPr>
            </w:pPr>
            <w:r w:rsidRPr="00EA3B97">
              <w:rPr>
                <w:rFonts w:eastAsiaTheme="minorEastAsia"/>
              </w:rPr>
              <w:t>Reference channel</w:t>
            </w:r>
          </w:p>
        </w:tc>
        <w:tc>
          <w:tcPr>
            <w:tcW w:w="630" w:type="dxa"/>
            <w:tcBorders>
              <w:top w:val="single" w:sz="4" w:space="0" w:color="auto"/>
              <w:left w:val="single" w:sz="4" w:space="0" w:color="auto"/>
              <w:bottom w:val="single" w:sz="4" w:space="0" w:color="auto"/>
              <w:right w:val="single" w:sz="4" w:space="0" w:color="auto"/>
            </w:tcBorders>
            <w:vAlign w:val="center"/>
          </w:tcPr>
          <w:p w14:paraId="05495423"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692D7298" w14:textId="77777777" w:rsidR="003A71DE" w:rsidRPr="00EA3B97" w:rsidRDefault="003A71DE" w:rsidP="001A5D47">
            <w:pPr>
              <w:pStyle w:val="TAL"/>
              <w:rPr>
                <w:rFonts w:eastAsiaTheme="minorEastAsia"/>
              </w:rPr>
            </w:pPr>
            <w:r w:rsidRPr="00EA3B97">
              <w:rPr>
                <w:rFonts w:eastAsiaTheme="minorEastAsia"/>
              </w:rPr>
              <w:t>TRS.2.2 TDD</w:t>
            </w:r>
          </w:p>
        </w:tc>
      </w:tr>
      <w:tr w:rsidR="003A71DE" w:rsidRPr="00EA3B97" w14:paraId="525FD0DC"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7123AB98" w14:textId="77777777" w:rsidR="003A71DE" w:rsidRPr="00EA3B97" w:rsidRDefault="003A71DE" w:rsidP="001A5D47">
            <w:pPr>
              <w:pStyle w:val="TAL"/>
              <w:rPr>
                <w:rFonts w:eastAsiaTheme="minorEastAsia"/>
              </w:rPr>
            </w:pPr>
            <w:r w:rsidRPr="00EA3B97">
              <w:rPr>
                <w:rFonts w:eastAsiaTheme="minorEastAsia"/>
              </w:rPr>
              <w:t>Bandwidth</w:t>
            </w:r>
          </w:p>
        </w:tc>
        <w:tc>
          <w:tcPr>
            <w:tcW w:w="630" w:type="dxa"/>
            <w:tcBorders>
              <w:top w:val="single" w:sz="4" w:space="0" w:color="auto"/>
              <w:left w:val="single" w:sz="4" w:space="0" w:color="auto"/>
              <w:bottom w:val="single" w:sz="4" w:space="0" w:color="auto"/>
              <w:right w:val="single" w:sz="4" w:space="0" w:color="auto"/>
            </w:tcBorders>
            <w:vAlign w:val="center"/>
            <w:hideMark/>
          </w:tcPr>
          <w:p w14:paraId="007AC8D4"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017721FE" w14:textId="77777777" w:rsidR="003A71DE" w:rsidRPr="00EA3B97" w:rsidRDefault="003A71DE" w:rsidP="001A5D47">
            <w:pPr>
              <w:pStyle w:val="TAL"/>
              <w:rPr>
                <w:rFonts w:eastAsiaTheme="minorEastAsia"/>
                <w:vertAlign w:val="superscript"/>
              </w:rPr>
            </w:pPr>
            <w:r w:rsidRPr="00EA3B97">
              <w:rPr>
                <w:rFonts w:eastAsiaTheme="minorEastAsia"/>
              </w:rPr>
              <w:t>BW of Active BWP</w:t>
            </w:r>
            <w:r w:rsidRPr="00EA3B97">
              <w:rPr>
                <w:rFonts w:eastAsiaTheme="minorEastAsia"/>
                <w:vertAlign w:val="superscript"/>
              </w:rPr>
              <w:t>Note 1</w:t>
            </w:r>
            <w:r w:rsidRPr="00EA3B97">
              <w:rPr>
                <w:rFonts w:eastAsiaTheme="minorEastAsia" w:hint="eastAsia"/>
                <w:vertAlign w:val="superscript"/>
                <w:lang w:eastAsia="ja-JP"/>
              </w:rPr>
              <w:t>,3</w:t>
            </w:r>
          </w:p>
        </w:tc>
      </w:tr>
      <w:tr w:rsidR="003A71DE" w:rsidRPr="00EA3B97" w14:paraId="23171B6C"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0DC671E" w14:textId="77777777" w:rsidR="003A71DE" w:rsidRPr="00EA3B97" w:rsidRDefault="003A71DE" w:rsidP="001A5D47">
            <w:pPr>
              <w:pStyle w:val="TAL"/>
              <w:rPr>
                <w:rFonts w:eastAsiaTheme="minorEastAsia"/>
              </w:rPr>
            </w:pPr>
            <w:r w:rsidRPr="00EA3B97">
              <w:rPr>
                <w:rFonts w:eastAsiaTheme="minorEastAsia"/>
              </w:rPr>
              <w:t>SCS</w:t>
            </w:r>
          </w:p>
        </w:tc>
        <w:tc>
          <w:tcPr>
            <w:tcW w:w="630" w:type="dxa"/>
            <w:tcBorders>
              <w:top w:val="single" w:sz="4" w:space="0" w:color="auto"/>
              <w:left w:val="single" w:sz="4" w:space="0" w:color="auto"/>
              <w:bottom w:val="single" w:sz="4" w:space="0" w:color="auto"/>
              <w:right w:val="single" w:sz="4" w:space="0" w:color="auto"/>
            </w:tcBorders>
            <w:vAlign w:val="center"/>
            <w:hideMark/>
          </w:tcPr>
          <w:p w14:paraId="626CB74C" w14:textId="77777777" w:rsidR="003A71DE" w:rsidRPr="00EA3B97" w:rsidRDefault="003A71DE" w:rsidP="001A5D47">
            <w:pPr>
              <w:pStyle w:val="TAL"/>
              <w:rPr>
                <w:rFonts w:eastAsiaTheme="minorEastAsia"/>
              </w:rPr>
            </w:pPr>
            <w:r w:rsidRPr="00EA3B97">
              <w:rPr>
                <w:rFonts w:eastAsiaTheme="minorEastAsia"/>
              </w:rPr>
              <w:t>kHz</w:t>
            </w:r>
          </w:p>
        </w:tc>
        <w:tc>
          <w:tcPr>
            <w:tcW w:w="5181" w:type="dxa"/>
            <w:tcBorders>
              <w:top w:val="single" w:sz="4" w:space="0" w:color="auto"/>
              <w:left w:val="single" w:sz="4" w:space="0" w:color="auto"/>
              <w:bottom w:val="single" w:sz="4" w:space="0" w:color="auto"/>
              <w:right w:val="single" w:sz="4" w:space="0" w:color="auto"/>
            </w:tcBorders>
            <w:vAlign w:val="center"/>
            <w:hideMark/>
          </w:tcPr>
          <w:p w14:paraId="7FC0D0CC" w14:textId="77777777" w:rsidR="003A71DE" w:rsidRPr="00EA3B97" w:rsidRDefault="003A71DE" w:rsidP="001A5D47">
            <w:pPr>
              <w:pStyle w:val="TAL"/>
              <w:rPr>
                <w:rFonts w:eastAsiaTheme="minorEastAsia"/>
              </w:rPr>
            </w:pPr>
            <w:r w:rsidRPr="00EA3B97">
              <w:rPr>
                <w:rFonts w:eastAsiaTheme="minorEastAsia"/>
              </w:rPr>
              <w:t>120</w:t>
            </w:r>
          </w:p>
        </w:tc>
      </w:tr>
      <w:tr w:rsidR="003A71DE" w:rsidRPr="00EA3B97" w14:paraId="28846C58"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883B4B5" w14:textId="77777777" w:rsidR="003A71DE" w:rsidRPr="00EA3B97" w:rsidRDefault="003A71DE" w:rsidP="001A5D47">
            <w:pPr>
              <w:pStyle w:val="TAL"/>
              <w:rPr>
                <w:rFonts w:eastAsiaTheme="minorEastAsia"/>
              </w:rPr>
            </w:pPr>
            <w:r w:rsidRPr="00EA3B97">
              <w:rPr>
                <w:rFonts w:eastAsiaTheme="minorEastAsia"/>
              </w:rPr>
              <w:t xml:space="preserve">First subcarrier index in the PRB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7FB85F9D"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F38FE66" w14:textId="77777777" w:rsidR="003A71DE" w:rsidRPr="00EA3B97" w:rsidRDefault="003A71DE" w:rsidP="001A5D47">
            <w:pPr>
              <w:pStyle w:val="TAL"/>
              <w:rPr>
                <w:rFonts w:eastAsiaTheme="minorEastAsia"/>
              </w:rPr>
            </w:pPr>
            <w:r w:rsidRPr="00EA3B97">
              <w:rPr>
                <w:rFonts w:eastAsiaTheme="minorEastAsia"/>
              </w:rPr>
              <w:t>k</w:t>
            </w:r>
            <w:r w:rsidRPr="00EA3B97">
              <w:rPr>
                <w:rFonts w:eastAsiaTheme="minorEastAsia"/>
                <w:vertAlign w:val="subscript"/>
              </w:rPr>
              <w:t>0</w:t>
            </w:r>
            <w:r w:rsidRPr="00EA3B97">
              <w:rPr>
                <w:rFonts w:eastAsiaTheme="minorEastAsia"/>
              </w:rPr>
              <w:t>=0 for CSI-RS resource 1,2,3,4</w:t>
            </w:r>
          </w:p>
        </w:tc>
      </w:tr>
      <w:tr w:rsidR="003A71DE" w:rsidRPr="00EA3B97" w14:paraId="7E488C76"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7B3D24E9" w14:textId="77777777" w:rsidR="003A71DE" w:rsidRPr="00EA3B97" w:rsidRDefault="003A71DE" w:rsidP="001A5D47">
            <w:pPr>
              <w:pStyle w:val="TAL"/>
              <w:rPr>
                <w:rFonts w:eastAsiaTheme="minorEastAsia"/>
              </w:rPr>
            </w:pPr>
            <w:r w:rsidRPr="00EA3B97">
              <w:rPr>
                <w:rFonts w:eastAsiaTheme="minorEastAsia"/>
              </w:rPr>
              <w:t xml:space="preserve">First OFDM symbol in the slot used for CSI-RS </w:t>
            </w:r>
          </w:p>
        </w:tc>
        <w:tc>
          <w:tcPr>
            <w:tcW w:w="630" w:type="dxa"/>
            <w:tcBorders>
              <w:top w:val="single" w:sz="4" w:space="0" w:color="auto"/>
              <w:left w:val="single" w:sz="4" w:space="0" w:color="auto"/>
              <w:bottom w:val="single" w:sz="4" w:space="0" w:color="auto"/>
              <w:right w:val="single" w:sz="4" w:space="0" w:color="auto"/>
            </w:tcBorders>
            <w:vAlign w:val="center"/>
          </w:tcPr>
          <w:p w14:paraId="73BE00A4"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5B2B9979"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2 for CSI-RS resource 1 and 3</w:t>
            </w:r>
          </w:p>
          <w:p w14:paraId="32ABA793" w14:textId="77777777" w:rsidR="003A71DE" w:rsidRPr="00EA3B97" w:rsidRDefault="003A71DE" w:rsidP="001A5D47">
            <w:pPr>
              <w:pStyle w:val="TAL"/>
              <w:rPr>
                <w:rFonts w:eastAsiaTheme="minorEastAsia"/>
              </w:rPr>
            </w:pPr>
            <w:r w:rsidRPr="00EA3B97">
              <w:rPr>
                <w:rFonts w:eastAsiaTheme="minorEastAsia"/>
              </w:rPr>
              <w:t>l</w:t>
            </w:r>
            <w:r w:rsidRPr="00EA3B97">
              <w:rPr>
                <w:rFonts w:eastAsiaTheme="minorEastAsia"/>
                <w:vertAlign w:val="subscript"/>
              </w:rPr>
              <w:t>0</w:t>
            </w:r>
            <w:r w:rsidRPr="00EA3B97">
              <w:rPr>
                <w:rFonts w:eastAsiaTheme="minorEastAsia"/>
              </w:rPr>
              <w:t xml:space="preserve"> = 6 for CSI-RS resource 2 and 4</w:t>
            </w:r>
          </w:p>
        </w:tc>
      </w:tr>
      <w:tr w:rsidR="003A71DE" w:rsidRPr="00EA3B97" w14:paraId="62E4AF50"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404197CF" w14:textId="77777777" w:rsidR="003A71DE" w:rsidRPr="00EA3B97" w:rsidRDefault="003A71DE" w:rsidP="001A5D47">
            <w:pPr>
              <w:pStyle w:val="TAL"/>
              <w:rPr>
                <w:rFonts w:eastAsiaTheme="minorEastAsia"/>
              </w:rPr>
            </w:pPr>
            <w:r w:rsidRPr="00EA3B97">
              <w:rPr>
                <w:rFonts w:eastAsiaTheme="minorEastAsia"/>
              </w:rPr>
              <w:t>Number of CSI-RS ports (X)</w:t>
            </w:r>
          </w:p>
        </w:tc>
        <w:tc>
          <w:tcPr>
            <w:tcW w:w="630" w:type="dxa"/>
            <w:tcBorders>
              <w:top w:val="single" w:sz="4" w:space="0" w:color="auto"/>
              <w:left w:val="single" w:sz="4" w:space="0" w:color="auto"/>
              <w:bottom w:val="single" w:sz="4" w:space="0" w:color="auto"/>
              <w:right w:val="single" w:sz="4" w:space="0" w:color="auto"/>
            </w:tcBorders>
            <w:vAlign w:val="center"/>
          </w:tcPr>
          <w:p w14:paraId="2F69AD4D"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042A394B" w14:textId="77777777" w:rsidR="003A71DE" w:rsidRPr="00EA3B97" w:rsidRDefault="003A71DE" w:rsidP="001A5D47">
            <w:pPr>
              <w:pStyle w:val="TAL"/>
              <w:rPr>
                <w:rFonts w:eastAsiaTheme="minorEastAsia"/>
              </w:rPr>
            </w:pPr>
            <w:r w:rsidRPr="00EA3B97">
              <w:rPr>
                <w:rFonts w:eastAsiaTheme="minorEastAsia"/>
              </w:rPr>
              <w:t>1 for CSI-RS resource 1,2,3,4</w:t>
            </w:r>
          </w:p>
        </w:tc>
      </w:tr>
      <w:tr w:rsidR="003A71DE" w:rsidRPr="00EA3B97" w14:paraId="17BB98D6"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7A266B52" w14:textId="77777777" w:rsidR="003A71DE" w:rsidRPr="00EA3B97" w:rsidRDefault="003A71DE" w:rsidP="001A5D47">
            <w:pPr>
              <w:pStyle w:val="TAL"/>
              <w:rPr>
                <w:rFonts w:eastAsiaTheme="minorEastAsia"/>
              </w:rPr>
            </w:pPr>
            <w:r w:rsidRPr="00EA3B97">
              <w:rPr>
                <w:rFonts w:eastAsiaTheme="minorEastAsia"/>
              </w:rPr>
              <w:t>CDM Type</w:t>
            </w:r>
          </w:p>
        </w:tc>
        <w:tc>
          <w:tcPr>
            <w:tcW w:w="630" w:type="dxa"/>
            <w:tcBorders>
              <w:top w:val="single" w:sz="4" w:space="0" w:color="auto"/>
              <w:left w:val="single" w:sz="4" w:space="0" w:color="auto"/>
              <w:bottom w:val="single" w:sz="4" w:space="0" w:color="auto"/>
              <w:right w:val="single" w:sz="4" w:space="0" w:color="auto"/>
            </w:tcBorders>
            <w:vAlign w:val="center"/>
          </w:tcPr>
          <w:p w14:paraId="2EF03222"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4FC01A3E" w14:textId="77777777" w:rsidR="003A71DE" w:rsidRPr="00EA3B97" w:rsidRDefault="003A71DE" w:rsidP="001A5D47">
            <w:pPr>
              <w:pStyle w:val="TAL"/>
              <w:rPr>
                <w:rFonts w:eastAsiaTheme="minorEastAsia"/>
              </w:rPr>
            </w:pPr>
            <w:r w:rsidRPr="00EA3B97">
              <w:rPr>
                <w:rFonts w:eastAsiaTheme="minorEastAsia"/>
              </w:rPr>
              <w:t>‘No CDM’ for CSI-RS resource 1,2,3,4</w:t>
            </w:r>
          </w:p>
        </w:tc>
      </w:tr>
      <w:tr w:rsidR="003A71DE" w:rsidRPr="00EA3B97" w14:paraId="06D53ECE"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2E31B31" w14:textId="77777777" w:rsidR="003A71DE" w:rsidRPr="00EA3B97" w:rsidRDefault="003A71DE" w:rsidP="001A5D47">
            <w:pPr>
              <w:pStyle w:val="TAL"/>
              <w:rPr>
                <w:rFonts w:eastAsiaTheme="minorEastAsia"/>
              </w:rPr>
            </w:pPr>
            <w:r w:rsidRPr="00EA3B97">
              <w:rPr>
                <w:rFonts w:eastAsiaTheme="minorEastAsia"/>
              </w:rPr>
              <w:t>Density (ρ)</w:t>
            </w:r>
          </w:p>
        </w:tc>
        <w:tc>
          <w:tcPr>
            <w:tcW w:w="630" w:type="dxa"/>
            <w:tcBorders>
              <w:top w:val="single" w:sz="4" w:space="0" w:color="auto"/>
              <w:left w:val="single" w:sz="4" w:space="0" w:color="auto"/>
              <w:bottom w:val="single" w:sz="4" w:space="0" w:color="auto"/>
              <w:right w:val="single" w:sz="4" w:space="0" w:color="auto"/>
            </w:tcBorders>
            <w:vAlign w:val="center"/>
          </w:tcPr>
          <w:p w14:paraId="2D96EB49"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11CD2A1C" w14:textId="77777777" w:rsidR="003A71DE" w:rsidRPr="00EA3B97" w:rsidRDefault="003A71DE" w:rsidP="001A5D47">
            <w:pPr>
              <w:pStyle w:val="TAL"/>
              <w:rPr>
                <w:rFonts w:eastAsiaTheme="minorEastAsia"/>
              </w:rPr>
            </w:pPr>
            <w:r w:rsidRPr="00EA3B97">
              <w:rPr>
                <w:rFonts w:eastAsiaTheme="minorEastAsia"/>
              </w:rPr>
              <w:t>3 for CSI-RS resource 1,2,3,4</w:t>
            </w:r>
          </w:p>
        </w:tc>
      </w:tr>
      <w:tr w:rsidR="003A71DE" w:rsidRPr="00EA3B97" w14:paraId="4F316C51"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DD71504" w14:textId="77777777" w:rsidR="003A71DE" w:rsidRPr="00EA3B97" w:rsidRDefault="003A71DE" w:rsidP="001A5D47">
            <w:pPr>
              <w:pStyle w:val="TAL"/>
              <w:rPr>
                <w:rFonts w:eastAsiaTheme="minorEastAsia"/>
              </w:rPr>
            </w:pPr>
            <w:r w:rsidRPr="00EA3B97">
              <w:rPr>
                <w:rFonts w:eastAsiaTheme="minorEastAsia"/>
              </w:rPr>
              <w:t>CSI-RS periodicity</w:t>
            </w:r>
          </w:p>
        </w:tc>
        <w:tc>
          <w:tcPr>
            <w:tcW w:w="630" w:type="dxa"/>
            <w:tcBorders>
              <w:top w:val="single" w:sz="4" w:space="0" w:color="auto"/>
              <w:left w:val="single" w:sz="4" w:space="0" w:color="auto"/>
              <w:bottom w:val="single" w:sz="4" w:space="0" w:color="auto"/>
              <w:right w:val="single" w:sz="4" w:space="0" w:color="auto"/>
            </w:tcBorders>
            <w:vAlign w:val="center"/>
            <w:hideMark/>
          </w:tcPr>
          <w:p w14:paraId="7F4E0C6C" w14:textId="77777777" w:rsidR="003A71DE" w:rsidRPr="00EA3B97" w:rsidRDefault="003A71DE" w:rsidP="001A5D47">
            <w:pPr>
              <w:pStyle w:val="TAL"/>
              <w:rPr>
                <w:rFonts w:eastAsiaTheme="minorEastAsia"/>
              </w:rPr>
            </w:pPr>
            <w:r w:rsidRPr="00EA3B97">
              <w:rPr>
                <w:rFonts w:eastAsiaTheme="minorEastAsia"/>
              </w:rPr>
              <w:t>slots</w:t>
            </w:r>
          </w:p>
        </w:tc>
        <w:tc>
          <w:tcPr>
            <w:tcW w:w="5181" w:type="dxa"/>
            <w:tcBorders>
              <w:top w:val="single" w:sz="4" w:space="0" w:color="auto"/>
              <w:left w:val="single" w:sz="4" w:space="0" w:color="auto"/>
              <w:bottom w:val="single" w:sz="4" w:space="0" w:color="auto"/>
              <w:right w:val="single" w:sz="4" w:space="0" w:color="auto"/>
            </w:tcBorders>
            <w:vAlign w:val="center"/>
            <w:hideMark/>
          </w:tcPr>
          <w:p w14:paraId="703F807F" w14:textId="77777777" w:rsidR="003A71DE" w:rsidRPr="00EA3B97" w:rsidRDefault="003A71DE" w:rsidP="001A5D47">
            <w:pPr>
              <w:pStyle w:val="TAL"/>
              <w:rPr>
                <w:rFonts w:eastAsiaTheme="minorEastAsia"/>
              </w:rPr>
            </w:pPr>
            <w:r w:rsidRPr="00EA3B97">
              <w:rPr>
                <w:rFonts w:eastAsiaTheme="minorEastAsia"/>
              </w:rPr>
              <w:t>80 for CSI-RS resource 1,2,3,4</w:t>
            </w:r>
          </w:p>
        </w:tc>
      </w:tr>
      <w:tr w:rsidR="003A71DE" w:rsidRPr="00EA3B97" w14:paraId="68514AEC"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361533B9" w14:textId="77777777" w:rsidR="003A71DE" w:rsidRPr="00EA3B97" w:rsidRDefault="003A71DE" w:rsidP="001A5D47">
            <w:pPr>
              <w:pStyle w:val="TAL"/>
              <w:rPr>
                <w:rFonts w:eastAsiaTheme="minorEastAsia"/>
                <w:szCs w:val="22"/>
                <w:lang w:eastAsia="ja-JP"/>
              </w:rPr>
            </w:pPr>
            <w:r w:rsidRPr="00EA3B97">
              <w:rPr>
                <w:rFonts w:eastAsiaTheme="minorEastAsia"/>
              </w:rPr>
              <w:t>EPRE ratio to SSS</w:t>
            </w:r>
          </w:p>
        </w:tc>
        <w:tc>
          <w:tcPr>
            <w:tcW w:w="630" w:type="dxa"/>
            <w:tcBorders>
              <w:top w:val="single" w:sz="4" w:space="0" w:color="auto"/>
              <w:left w:val="single" w:sz="4" w:space="0" w:color="auto"/>
              <w:bottom w:val="single" w:sz="4" w:space="0" w:color="auto"/>
              <w:right w:val="single" w:sz="4" w:space="0" w:color="auto"/>
            </w:tcBorders>
            <w:vAlign w:val="center"/>
            <w:hideMark/>
          </w:tcPr>
          <w:p w14:paraId="666E00F1" w14:textId="77777777" w:rsidR="003A71DE" w:rsidRPr="00EA3B97" w:rsidRDefault="003A71DE" w:rsidP="001A5D47">
            <w:pPr>
              <w:pStyle w:val="TAL"/>
              <w:rPr>
                <w:rFonts w:eastAsiaTheme="minorEastAsia"/>
              </w:rPr>
            </w:pPr>
            <w:r w:rsidRPr="00EA3B97">
              <w:rPr>
                <w:rFonts w:eastAsiaTheme="minorEastAsia"/>
              </w:rPr>
              <w:t>dB</w:t>
            </w:r>
          </w:p>
        </w:tc>
        <w:tc>
          <w:tcPr>
            <w:tcW w:w="5181" w:type="dxa"/>
            <w:tcBorders>
              <w:top w:val="single" w:sz="4" w:space="0" w:color="auto"/>
              <w:left w:val="single" w:sz="4" w:space="0" w:color="auto"/>
              <w:bottom w:val="single" w:sz="4" w:space="0" w:color="auto"/>
              <w:right w:val="single" w:sz="4" w:space="0" w:color="auto"/>
            </w:tcBorders>
            <w:vAlign w:val="center"/>
            <w:hideMark/>
          </w:tcPr>
          <w:p w14:paraId="25271B5B" w14:textId="77777777" w:rsidR="003A71DE" w:rsidRPr="00EA3B97" w:rsidRDefault="003A71DE" w:rsidP="001A5D47">
            <w:pPr>
              <w:pStyle w:val="TAL"/>
              <w:rPr>
                <w:rFonts w:eastAsiaTheme="minorEastAsia"/>
              </w:rPr>
            </w:pPr>
            <w:r w:rsidRPr="00EA3B97">
              <w:rPr>
                <w:rFonts w:eastAsiaTheme="minorEastAsia"/>
              </w:rPr>
              <w:t>-3</w:t>
            </w:r>
            <w:r w:rsidRPr="00EA3B97">
              <w:rPr>
                <w:rFonts w:eastAsiaTheme="minorEastAsia"/>
                <w:vertAlign w:val="superscript"/>
              </w:rPr>
              <w:t>Note</w:t>
            </w:r>
            <w:r w:rsidRPr="00EA3B97">
              <w:rPr>
                <w:rFonts w:eastAsiaTheme="minorEastAsia" w:hint="eastAsia"/>
                <w:vertAlign w:val="superscript"/>
                <w:lang w:eastAsia="zh-CN"/>
              </w:rPr>
              <w:t xml:space="preserve"> 2</w:t>
            </w:r>
          </w:p>
        </w:tc>
      </w:tr>
      <w:tr w:rsidR="003A71DE" w:rsidRPr="00EA3B97" w14:paraId="29D1DFAD" w14:textId="77777777" w:rsidTr="003A71DE">
        <w:trPr>
          <w:trHeight w:val="44"/>
        </w:trPr>
        <w:tc>
          <w:tcPr>
            <w:tcW w:w="3393" w:type="dxa"/>
            <w:tcBorders>
              <w:top w:val="single" w:sz="4" w:space="0" w:color="auto"/>
              <w:left w:val="single" w:sz="4" w:space="0" w:color="auto"/>
              <w:bottom w:val="single" w:sz="4" w:space="0" w:color="auto"/>
              <w:right w:val="single" w:sz="4" w:space="0" w:color="auto"/>
            </w:tcBorders>
            <w:vAlign w:val="center"/>
            <w:hideMark/>
          </w:tcPr>
          <w:p w14:paraId="11B429E9" w14:textId="77777777" w:rsidR="003A71DE" w:rsidRPr="00EA3B97" w:rsidRDefault="003A71DE" w:rsidP="001A5D47">
            <w:pPr>
              <w:pStyle w:val="TAL"/>
              <w:rPr>
                <w:rFonts w:eastAsiaTheme="minorEastAsia"/>
                <w:lang w:eastAsia="zh-CN"/>
              </w:rPr>
            </w:pPr>
            <w:r w:rsidRPr="00EA3B97">
              <w:rPr>
                <w:rFonts w:eastAsiaTheme="minorEastAsia"/>
                <w:lang w:eastAsia="zh-CN"/>
              </w:rPr>
              <w:t>TCI state</w:t>
            </w:r>
          </w:p>
        </w:tc>
        <w:tc>
          <w:tcPr>
            <w:tcW w:w="630" w:type="dxa"/>
            <w:tcBorders>
              <w:top w:val="single" w:sz="4" w:space="0" w:color="auto"/>
              <w:left w:val="single" w:sz="4" w:space="0" w:color="auto"/>
              <w:bottom w:val="single" w:sz="4" w:space="0" w:color="auto"/>
              <w:right w:val="single" w:sz="4" w:space="0" w:color="auto"/>
            </w:tcBorders>
            <w:vAlign w:val="center"/>
          </w:tcPr>
          <w:p w14:paraId="47B891E2" w14:textId="77777777" w:rsidR="003A71DE" w:rsidRPr="00EA3B97" w:rsidRDefault="003A71DE" w:rsidP="001A5D47">
            <w:pPr>
              <w:pStyle w:val="TAL"/>
              <w:rPr>
                <w:rFonts w:eastAsiaTheme="minorEastAsia"/>
              </w:rPr>
            </w:pPr>
          </w:p>
        </w:tc>
        <w:tc>
          <w:tcPr>
            <w:tcW w:w="5181" w:type="dxa"/>
            <w:tcBorders>
              <w:top w:val="single" w:sz="4" w:space="0" w:color="auto"/>
              <w:left w:val="single" w:sz="4" w:space="0" w:color="auto"/>
              <w:bottom w:val="single" w:sz="4" w:space="0" w:color="auto"/>
              <w:right w:val="single" w:sz="4" w:space="0" w:color="auto"/>
            </w:tcBorders>
            <w:vAlign w:val="center"/>
            <w:hideMark/>
          </w:tcPr>
          <w:p w14:paraId="0EC15476" w14:textId="77777777" w:rsidR="003A71DE" w:rsidRPr="00EA3B97" w:rsidRDefault="003A71DE" w:rsidP="001A5D47">
            <w:pPr>
              <w:pStyle w:val="TAL"/>
              <w:rPr>
                <w:rFonts w:eastAsiaTheme="minorEastAsia"/>
              </w:rPr>
            </w:pPr>
            <w:r w:rsidRPr="00EA3B97">
              <w:rPr>
                <w:rFonts w:eastAsia="MS Mincho"/>
              </w:rPr>
              <w:t>TCI.State.1</w:t>
            </w:r>
          </w:p>
        </w:tc>
      </w:tr>
      <w:tr w:rsidR="003A71DE" w:rsidRPr="00EA3B97" w14:paraId="2173E4B4" w14:textId="77777777" w:rsidTr="003A71DE">
        <w:trPr>
          <w:trHeight w:val="53"/>
        </w:trPr>
        <w:tc>
          <w:tcPr>
            <w:tcW w:w="9204" w:type="dxa"/>
            <w:gridSpan w:val="3"/>
            <w:tcBorders>
              <w:top w:val="single" w:sz="4" w:space="0" w:color="auto"/>
              <w:left w:val="single" w:sz="4" w:space="0" w:color="auto"/>
              <w:bottom w:val="single" w:sz="4" w:space="0" w:color="auto"/>
              <w:right w:val="single" w:sz="4" w:space="0" w:color="auto"/>
            </w:tcBorders>
            <w:vAlign w:val="center"/>
            <w:hideMark/>
          </w:tcPr>
          <w:p w14:paraId="737EBB26" w14:textId="77777777" w:rsidR="003A71DE" w:rsidRPr="00EA3B97" w:rsidRDefault="003A71DE" w:rsidP="001A5D47">
            <w:pPr>
              <w:pStyle w:val="TAN"/>
              <w:rPr>
                <w:rFonts w:eastAsiaTheme="minorEastAsia"/>
              </w:rPr>
            </w:pPr>
            <w:r w:rsidRPr="00EA3B97">
              <w:rPr>
                <w:rFonts w:eastAsiaTheme="minorEastAsia"/>
              </w:rPr>
              <w:t>Note 1:</w:t>
            </w:r>
            <w:r w:rsidRPr="00EA3B97">
              <w:rPr>
                <w:rFonts w:eastAsiaTheme="minorEastAsia"/>
              </w:rPr>
              <w:tab/>
              <w:t>BW of TRS is configured same as the BW size of IAB-MT active BWP in the RRM test cases</w:t>
            </w:r>
          </w:p>
          <w:p w14:paraId="5FDE8FB2" w14:textId="77777777" w:rsidR="003A71DE" w:rsidRPr="00EA3B97" w:rsidRDefault="003A71DE" w:rsidP="001A5D47">
            <w:pPr>
              <w:pStyle w:val="TAN"/>
              <w:rPr>
                <w:rFonts w:eastAsiaTheme="minorEastAsia"/>
                <w:lang w:eastAsia="ja-JP"/>
              </w:rPr>
            </w:pPr>
            <w:r w:rsidRPr="00EA3B97">
              <w:rPr>
                <w:rFonts w:eastAsiaTheme="minorEastAsia"/>
              </w:rPr>
              <w:t xml:space="preserve">Note </w:t>
            </w:r>
            <w:r w:rsidRPr="00EA3B97">
              <w:rPr>
                <w:rFonts w:eastAsiaTheme="minorEastAsia" w:hint="eastAsia"/>
                <w:lang w:eastAsia="zh-CN"/>
              </w:rPr>
              <w:t>2</w:t>
            </w:r>
            <w:r w:rsidRPr="00EA3B97">
              <w:rPr>
                <w:rFonts w:eastAsiaTheme="minorEastAsia"/>
              </w:rPr>
              <w:t>:</w:t>
            </w:r>
            <w:r w:rsidRPr="00EA3B97">
              <w:rPr>
                <w:rFonts w:eastAsiaTheme="minorEastAsia"/>
              </w:rPr>
              <w:tab/>
            </w:r>
            <w:r w:rsidRPr="00EA3B97">
              <w:rPr>
                <w:rFonts w:eastAsiaTheme="minorEastAsia"/>
                <w:lang w:eastAsia="zh-CN"/>
              </w:rPr>
              <w:t>U</w:t>
            </w:r>
            <w:r w:rsidRPr="00EA3B97">
              <w:rPr>
                <w:rFonts w:eastAsiaTheme="minorEastAsia" w:hint="eastAsia"/>
                <w:lang w:eastAsia="zh-CN"/>
              </w:rPr>
              <w:t>nless</w:t>
            </w:r>
            <w:r w:rsidRPr="00EA3B97">
              <w:rPr>
                <w:rFonts w:eastAsiaTheme="minorEastAsia"/>
                <w:lang w:eastAsia="zh-CN"/>
              </w:rPr>
              <w:t xml:space="preserve"> otherwise specified in the test case</w:t>
            </w:r>
          </w:p>
          <w:p w14:paraId="783B9945" w14:textId="77777777" w:rsidR="003A71DE" w:rsidRPr="00EA3B97" w:rsidRDefault="003A71DE" w:rsidP="001A5D47">
            <w:pPr>
              <w:pStyle w:val="TAN"/>
              <w:rPr>
                <w:rFonts w:eastAsiaTheme="minorEastAsia"/>
              </w:rPr>
            </w:pPr>
            <w:r w:rsidRPr="00EA3B97">
              <w:rPr>
                <w:rFonts w:eastAsiaTheme="minorEastAsia" w:cs="Arial"/>
              </w:rPr>
              <w:t xml:space="preserve">Note </w:t>
            </w:r>
            <w:r w:rsidRPr="00EA3B97">
              <w:rPr>
                <w:rFonts w:eastAsiaTheme="minorEastAsia" w:cs="Arial"/>
                <w:lang w:eastAsia="ja-JP"/>
              </w:rPr>
              <w:t>3</w:t>
            </w:r>
            <w:r w:rsidRPr="00EA3B97">
              <w:rPr>
                <w:rFonts w:eastAsiaTheme="minorEastAsia" w:cs="Arial"/>
              </w:rPr>
              <w:t>:</w:t>
            </w:r>
            <w:r w:rsidRPr="00EA3B97">
              <w:rPr>
                <w:rFonts w:eastAsiaTheme="minorEastAsia" w:cs="Arial"/>
              </w:rPr>
              <w:tab/>
            </w:r>
            <w:r w:rsidRPr="00EA3B97">
              <w:rPr>
                <w:rFonts w:eastAsiaTheme="minorEastAsia" w:cs="Arial" w:hint="eastAsia"/>
                <w:lang w:eastAsia="ja-JP"/>
              </w:rPr>
              <w:t>If active BWP is larger than 52RBs, BW of TRS is configured as 52RBs. Otherwise, same as active BWP size.</w:t>
            </w:r>
          </w:p>
        </w:tc>
      </w:tr>
    </w:tbl>
    <w:p w14:paraId="761991F2" w14:textId="77777777" w:rsidR="003A71DE" w:rsidRDefault="003A71DE" w:rsidP="003A71DE">
      <w:pPr>
        <w:pStyle w:val="BodyText"/>
        <w:rPr>
          <w:rFonts w:eastAsia="SimSun"/>
        </w:rPr>
      </w:pPr>
    </w:p>
    <w:p w14:paraId="4E00F8D5" w14:textId="77777777" w:rsidR="003A71DE" w:rsidRDefault="003A71DE" w:rsidP="00BA0D24">
      <w:pPr>
        <w:pStyle w:val="Heading2"/>
        <w:rPr>
          <w:rFonts w:eastAsia="SimSun"/>
        </w:rPr>
      </w:pPr>
      <w:bookmarkStart w:id="10158" w:name="_Toc74583670"/>
      <w:bookmarkStart w:id="10159" w:name="_Toc76542483"/>
      <w:bookmarkStart w:id="10160" w:name="_Toc82450465"/>
      <w:bookmarkStart w:id="10161" w:name="_Toc82451113"/>
      <w:bookmarkStart w:id="10162" w:name="_Toc89949502"/>
      <w:bookmarkStart w:id="10163" w:name="_Toc98755891"/>
      <w:bookmarkStart w:id="10164" w:name="_Toc98763483"/>
      <w:bookmarkStart w:id="10165" w:name="_Toc106184412"/>
      <w:r>
        <w:rPr>
          <w:rFonts w:eastAsia="SimSun"/>
        </w:rPr>
        <w:t>G</w:t>
      </w:r>
      <w:r w:rsidRPr="00585633">
        <w:rPr>
          <w:rFonts w:eastAsia="SimSun"/>
        </w:rPr>
        <w:t>.</w:t>
      </w:r>
      <w:r>
        <w:rPr>
          <w:rFonts w:eastAsia="SimSun"/>
        </w:rPr>
        <w:t>2</w:t>
      </w:r>
      <w:r w:rsidRPr="00585633">
        <w:rPr>
          <w:rFonts w:eastAsia="SimSun"/>
        </w:rPr>
        <w:tab/>
      </w:r>
      <w:r>
        <w:rPr>
          <w:rFonts w:eastAsia="SimSun"/>
        </w:rPr>
        <w:t xml:space="preserve">IAB-MT </w:t>
      </w:r>
      <w:r w:rsidRPr="00585633">
        <w:rPr>
          <w:rFonts w:eastAsia="SimSun"/>
        </w:rPr>
        <w:t xml:space="preserve">RRM test </w:t>
      </w:r>
      <w:r>
        <w:rPr>
          <w:rFonts w:eastAsia="SimSun"/>
        </w:rPr>
        <w:t>cases</w:t>
      </w:r>
      <w:bookmarkEnd w:id="10158"/>
      <w:bookmarkEnd w:id="10159"/>
      <w:bookmarkEnd w:id="10160"/>
      <w:bookmarkEnd w:id="10161"/>
      <w:bookmarkEnd w:id="10162"/>
      <w:bookmarkEnd w:id="10163"/>
      <w:bookmarkEnd w:id="10164"/>
      <w:bookmarkEnd w:id="10165"/>
    </w:p>
    <w:p w14:paraId="1656F067" w14:textId="77777777" w:rsidR="003A71DE" w:rsidRDefault="003A71DE" w:rsidP="00BA0D24">
      <w:pPr>
        <w:pStyle w:val="Heading3"/>
      </w:pPr>
      <w:bookmarkStart w:id="10166" w:name="_Toc74583671"/>
      <w:bookmarkStart w:id="10167" w:name="_Toc76542484"/>
      <w:bookmarkStart w:id="10168" w:name="_Toc82450466"/>
      <w:bookmarkStart w:id="10169" w:name="_Toc82451114"/>
      <w:bookmarkStart w:id="10170" w:name="_Toc89949503"/>
      <w:bookmarkStart w:id="10171" w:name="_Toc98755892"/>
      <w:bookmarkStart w:id="10172" w:name="_Toc98763484"/>
      <w:bookmarkStart w:id="10173" w:name="_Toc106184413"/>
      <w:r>
        <w:t>G</w:t>
      </w:r>
      <w:r w:rsidRPr="004E396D">
        <w:t>.</w:t>
      </w:r>
      <w:r>
        <w:t>2</w:t>
      </w:r>
      <w:r w:rsidRPr="004E396D">
        <w:t>.1</w:t>
      </w:r>
      <w:r w:rsidRPr="004E396D">
        <w:tab/>
      </w:r>
      <w:r>
        <w:t>RRC_CONNECTED state mobility for IAB-MTs</w:t>
      </w:r>
      <w:bookmarkEnd w:id="10166"/>
      <w:bookmarkEnd w:id="10167"/>
      <w:bookmarkEnd w:id="10168"/>
      <w:bookmarkEnd w:id="10169"/>
      <w:bookmarkEnd w:id="10170"/>
      <w:bookmarkEnd w:id="10171"/>
      <w:bookmarkEnd w:id="10172"/>
      <w:bookmarkEnd w:id="10173"/>
    </w:p>
    <w:p w14:paraId="20515DE9" w14:textId="77777777" w:rsidR="003A71DE" w:rsidRDefault="003A71DE" w:rsidP="00BA0D24">
      <w:pPr>
        <w:pStyle w:val="Heading4"/>
      </w:pPr>
      <w:bookmarkStart w:id="10174" w:name="_Toc74583672"/>
      <w:bookmarkStart w:id="10175" w:name="_Toc76542485"/>
      <w:bookmarkStart w:id="10176" w:name="_Toc82450467"/>
      <w:bookmarkStart w:id="10177" w:name="_Toc82451115"/>
      <w:bookmarkStart w:id="10178" w:name="_Toc89949504"/>
      <w:bookmarkStart w:id="10179" w:name="_Toc98755893"/>
      <w:bookmarkStart w:id="10180" w:name="_Toc98763485"/>
      <w:bookmarkStart w:id="10181" w:name="_Toc106184414"/>
      <w:r>
        <w:t>G</w:t>
      </w:r>
      <w:r w:rsidRPr="004E396D">
        <w:t>.</w:t>
      </w:r>
      <w:r>
        <w:t>2</w:t>
      </w:r>
      <w:r w:rsidRPr="004E396D">
        <w:t>.</w:t>
      </w:r>
      <w:r>
        <w:t>1</w:t>
      </w:r>
      <w:r w:rsidRPr="004E396D">
        <w:t>.</w:t>
      </w:r>
      <w:r>
        <w:t>1</w:t>
      </w:r>
      <w:r w:rsidRPr="004E396D">
        <w:tab/>
        <w:t>RRC Connection Mobility Control</w:t>
      </w:r>
      <w:bookmarkEnd w:id="10174"/>
      <w:bookmarkEnd w:id="10175"/>
      <w:bookmarkEnd w:id="10176"/>
      <w:bookmarkEnd w:id="10177"/>
      <w:bookmarkEnd w:id="10178"/>
      <w:bookmarkEnd w:id="10179"/>
      <w:bookmarkEnd w:id="10180"/>
      <w:bookmarkEnd w:id="10181"/>
    </w:p>
    <w:p w14:paraId="6C8C79DA" w14:textId="77777777" w:rsidR="003A71DE" w:rsidRDefault="003A71DE" w:rsidP="00BA0D24">
      <w:pPr>
        <w:pStyle w:val="Heading5"/>
        <w:rPr>
          <w:snapToGrid w:val="0"/>
        </w:rPr>
      </w:pPr>
      <w:bookmarkStart w:id="10182" w:name="_Toc535476509"/>
      <w:bookmarkStart w:id="10183" w:name="_Toc74583673"/>
      <w:bookmarkStart w:id="10184" w:name="_Toc76542486"/>
      <w:bookmarkStart w:id="10185" w:name="_Toc82450468"/>
      <w:bookmarkStart w:id="10186" w:name="_Toc82451116"/>
      <w:bookmarkStart w:id="10187" w:name="_Toc89949505"/>
      <w:bookmarkStart w:id="10188" w:name="_Toc98755894"/>
      <w:bookmarkStart w:id="10189" w:name="_Toc98763486"/>
      <w:bookmarkStart w:id="10190" w:name="_Toc106184415"/>
      <w:r>
        <w:rPr>
          <w:snapToGrid w:val="0"/>
        </w:rPr>
        <w:t>G</w:t>
      </w:r>
      <w:r w:rsidRPr="004E396D">
        <w:rPr>
          <w:snapToGrid w:val="0"/>
        </w:rPr>
        <w:t>.</w:t>
      </w:r>
      <w:r>
        <w:rPr>
          <w:snapToGrid w:val="0"/>
        </w:rPr>
        <w:t>2</w:t>
      </w:r>
      <w:r w:rsidRPr="004E396D">
        <w:rPr>
          <w:snapToGrid w:val="0"/>
        </w:rPr>
        <w:t>.</w:t>
      </w:r>
      <w:r>
        <w:rPr>
          <w:snapToGrid w:val="0"/>
        </w:rPr>
        <w:t>1</w:t>
      </w:r>
      <w:r w:rsidRPr="004E396D">
        <w:rPr>
          <w:snapToGrid w:val="0"/>
        </w:rPr>
        <w:t>.</w:t>
      </w:r>
      <w:r>
        <w:rPr>
          <w:snapToGrid w:val="0"/>
        </w:rPr>
        <w:t>1</w:t>
      </w:r>
      <w:r w:rsidRPr="004E396D">
        <w:rPr>
          <w:snapToGrid w:val="0"/>
        </w:rPr>
        <w:t>.1</w:t>
      </w:r>
      <w:r w:rsidRPr="004E396D">
        <w:rPr>
          <w:snapToGrid w:val="0"/>
        </w:rPr>
        <w:tab/>
        <w:t>RRC Re-establishment</w:t>
      </w:r>
      <w:bookmarkEnd w:id="10182"/>
      <w:bookmarkEnd w:id="10183"/>
      <w:bookmarkEnd w:id="10184"/>
      <w:bookmarkEnd w:id="10185"/>
      <w:bookmarkEnd w:id="10186"/>
      <w:bookmarkEnd w:id="10187"/>
      <w:bookmarkEnd w:id="10188"/>
      <w:bookmarkEnd w:id="10189"/>
      <w:bookmarkEnd w:id="10190"/>
    </w:p>
    <w:p w14:paraId="642B819A" w14:textId="77777777" w:rsidR="003A71DE" w:rsidRPr="00CE0F04" w:rsidRDefault="003A71DE" w:rsidP="00BA0D24">
      <w:pPr>
        <w:pStyle w:val="H6"/>
        <w:rPr>
          <w:snapToGrid w:val="0"/>
        </w:rPr>
      </w:pPr>
      <w:r w:rsidRPr="00CE0F04">
        <w:rPr>
          <w:snapToGrid w:val="0"/>
        </w:rPr>
        <w:t>G.2.1.1.1.1</w:t>
      </w:r>
      <w:r w:rsidRPr="00CE0F04">
        <w:rPr>
          <w:snapToGrid w:val="0"/>
        </w:rPr>
        <w:tab/>
        <w:t>Inter-frequency RRC Re-establishment in FR1 for LA IAB-MT</w:t>
      </w:r>
    </w:p>
    <w:p w14:paraId="7417CFE0" w14:textId="77777777" w:rsidR="003A71DE" w:rsidRPr="00CE0F04" w:rsidRDefault="003A71DE" w:rsidP="00BA0D24">
      <w:pPr>
        <w:pStyle w:val="H6"/>
      </w:pPr>
      <w:r w:rsidRPr="00CE0F04">
        <w:t>G.2.1.1.1.1.1</w:t>
      </w:r>
      <w:r w:rsidRPr="00CE0F04">
        <w:tab/>
      </w:r>
      <w:r w:rsidRPr="00CE0F04">
        <w:rPr>
          <w:snapToGrid w:val="0"/>
        </w:rPr>
        <w:t>Test Purpose and Environment</w:t>
      </w:r>
    </w:p>
    <w:p w14:paraId="508EC9E6" w14:textId="77777777" w:rsidR="003A71DE" w:rsidRPr="00CE0F04" w:rsidRDefault="003A71DE" w:rsidP="003A71DE">
      <w:pPr>
        <w:rPr>
          <w:rFonts w:cs="v4.2.0"/>
        </w:rPr>
      </w:pPr>
      <w:r w:rsidRPr="00CE0F04">
        <w:rPr>
          <w:rFonts w:cs="v4.2.0"/>
        </w:rPr>
        <w:t>The purpose is to verify that the NR inter-frequency RRC re-establishment delay in FR1 to an unknown target cell is within the specified limits. These tests will verify the requirements in clause 12.1.1.1. This test case is applicable only for local area IAB-MT and for IAB type 1-H.</w:t>
      </w:r>
    </w:p>
    <w:p w14:paraId="10E44A69" w14:textId="77777777" w:rsidR="003A71DE" w:rsidRPr="00CE0F04" w:rsidRDefault="003A71DE" w:rsidP="003A71DE">
      <w:pPr>
        <w:rPr>
          <w:rFonts w:cs="v4.2.0"/>
        </w:rPr>
      </w:pPr>
      <w:r w:rsidRPr="00CE0F04">
        <w:rPr>
          <w:rFonts w:cs="v4.2.0"/>
        </w:rPr>
        <w:t>The test parameters are given in table G.2.1.1.1.1.1-1, table G.2.1.1.1.1.1-2 and table G.2.1.1.1.1.1-3 below. The test consists of 3 successive time periods, with time duration of T1, T2 and T3 respectively. At the start of time period T2, cell 1, which is the active cell, becomes inactive. The time period T3 starts after the occurrence of the radio link failure. During T1, the IAB-MT shall be configured with the carrier frequency of cell 2 (with RF Channel Number #2) to ensure that the IAB-MT has the context of the carrier frequency of cell 2 by the end of T1.</w:t>
      </w:r>
    </w:p>
    <w:p w14:paraId="2107470F" w14:textId="77777777" w:rsidR="003A71DE" w:rsidRPr="00CE0F04" w:rsidRDefault="003A71DE" w:rsidP="00BA0D24">
      <w:pPr>
        <w:pStyle w:val="TH"/>
      </w:pPr>
      <w:r w:rsidRPr="00CE0F04">
        <w:t>Table G.2.1.1.1.1.1-1: Supported test configurations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7"/>
        <w:gridCol w:w="4097"/>
        <w:gridCol w:w="4252"/>
      </w:tblGrid>
      <w:tr w:rsidR="003A71DE" w:rsidRPr="00CE0F04" w14:paraId="4DEE4B8D" w14:textId="77777777" w:rsidTr="003A71DE">
        <w:tc>
          <w:tcPr>
            <w:tcW w:w="1427" w:type="dxa"/>
            <w:shd w:val="clear" w:color="auto" w:fill="auto"/>
          </w:tcPr>
          <w:p w14:paraId="2F3DC4AB" w14:textId="77777777" w:rsidR="003A71DE" w:rsidRPr="00CE0F04" w:rsidRDefault="003A71DE" w:rsidP="001A5D47">
            <w:pPr>
              <w:pStyle w:val="TAH"/>
            </w:pPr>
            <w:r w:rsidRPr="00CE0F04">
              <w:t>Configuration</w:t>
            </w:r>
          </w:p>
        </w:tc>
        <w:tc>
          <w:tcPr>
            <w:tcW w:w="4097" w:type="dxa"/>
            <w:shd w:val="clear" w:color="auto" w:fill="auto"/>
          </w:tcPr>
          <w:p w14:paraId="6FAEB321" w14:textId="77777777" w:rsidR="003A71DE" w:rsidRPr="00CE0F04" w:rsidRDefault="003A71DE" w:rsidP="001A5D47">
            <w:pPr>
              <w:pStyle w:val="TAH"/>
            </w:pPr>
            <w:r w:rsidRPr="00CE0F04">
              <w:t>Description of serving cell</w:t>
            </w:r>
          </w:p>
        </w:tc>
        <w:tc>
          <w:tcPr>
            <w:tcW w:w="4252" w:type="dxa"/>
          </w:tcPr>
          <w:p w14:paraId="1C1ADF1E" w14:textId="77777777" w:rsidR="003A71DE" w:rsidRPr="00CE0F04" w:rsidRDefault="003A71DE" w:rsidP="001A5D47">
            <w:pPr>
              <w:pStyle w:val="TAH"/>
              <w:rPr>
                <w:lang w:eastAsia="zh-CN"/>
              </w:rPr>
            </w:pPr>
            <w:r w:rsidRPr="00CE0F04">
              <w:rPr>
                <w:lang w:eastAsia="zh-CN"/>
              </w:rPr>
              <w:t>Description of target cell</w:t>
            </w:r>
          </w:p>
        </w:tc>
      </w:tr>
      <w:tr w:rsidR="003A71DE" w:rsidRPr="00CE0F04" w14:paraId="1D40874C" w14:textId="77777777" w:rsidTr="003A71DE">
        <w:tc>
          <w:tcPr>
            <w:tcW w:w="1427" w:type="dxa"/>
            <w:shd w:val="clear" w:color="auto" w:fill="auto"/>
          </w:tcPr>
          <w:p w14:paraId="49D54F44" w14:textId="77777777" w:rsidR="003A71DE" w:rsidRPr="00CE0F04" w:rsidRDefault="003A71DE" w:rsidP="001A5D47">
            <w:pPr>
              <w:pStyle w:val="TAL"/>
              <w:rPr>
                <w:rFonts w:eastAsia="Malgun Gothic"/>
              </w:rPr>
            </w:pPr>
            <w:r w:rsidRPr="00CE0F04">
              <w:rPr>
                <w:rFonts w:eastAsia="Malgun Gothic"/>
              </w:rPr>
              <w:t>1</w:t>
            </w:r>
          </w:p>
        </w:tc>
        <w:tc>
          <w:tcPr>
            <w:tcW w:w="4097" w:type="dxa"/>
            <w:shd w:val="clear" w:color="auto" w:fill="auto"/>
          </w:tcPr>
          <w:p w14:paraId="174EC4E3" w14:textId="77777777" w:rsidR="003A71DE" w:rsidRPr="00CE0F04" w:rsidRDefault="003A71DE" w:rsidP="001A5D47">
            <w:pPr>
              <w:pStyle w:val="TAL"/>
              <w:rPr>
                <w:rFonts w:eastAsia="Malgun Gothic"/>
              </w:rPr>
            </w:pPr>
            <w:r w:rsidRPr="00CE0F04">
              <w:rPr>
                <w:rFonts w:eastAsia="Malgun Gothic"/>
              </w:rPr>
              <w:t>15 kHz SSB SCS, 10 MHz bandwidth, TDD duplex mode</w:t>
            </w:r>
          </w:p>
        </w:tc>
        <w:tc>
          <w:tcPr>
            <w:tcW w:w="4252" w:type="dxa"/>
          </w:tcPr>
          <w:p w14:paraId="43E4027E" w14:textId="77777777" w:rsidR="003A71DE" w:rsidRPr="00CE0F04" w:rsidRDefault="003A71DE" w:rsidP="001A5D47">
            <w:pPr>
              <w:pStyle w:val="TAL"/>
              <w:rPr>
                <w:rFonts w:eastAsia="Malgun Gothic"/>
              </w:rPr>
            </w:pPr>
            <w:r w:rsidRPr="00CE0F04">
              <w:rPr>
                <w:rFonts w:eastAsia="Malgun Gothic"/>
              </w:rPr>
              <w:t>15 kHz SSB SCS, 10 MHz bandwidth, TDD duplex mode</w:t>
            </w:r>
          </w:p>
        </w:tc>
      </w:tr>
      <w:tr w:rsidR="003A71DE" w:rsidRPr="00CE0F04" w14:paraId="47AD09F5" w14:textId="77777777" w:rsidTr="003A71DE">
        <w:tc>
          <w:tcPr>
            <w:tcW w:w="1427" w:type="dxa"/>
            <w:shd w:val="clear" w:color="auto" w:fill="auto"/>
          </w:tcPr>
          <w:p w14:paraId="4F933B2F" w14:textId="77777777" w:rsidR="003A71DE" w:rsidRPr="00CE0F04" w:rsidRDefault="003A71DE" w:rsidP="001A5D47">
            <w:pPr>
              <w:pStyle w:val="TAL"/>
              <w:rPr>
                <w:rFonts w:eastAsia="Malgun Gothic"/>
              </w:rPr>
            </w:pPr>
            <w:r w:rsidRPr="00CE0F04">
              <w:rPr>
                <w:rFonts w:eastAsia="Malgun Gothic"/>
              </w:rPr>
              <w:t>2</w:t>
            </w:r>
          </w:p>
        </w:tc>
        <w:tc>
          <w:tcPr>
            <w:tcW w:w="4097" w:type="dxa"/>
            <w:shd w:val="clear" w:color="auto" w:fill="auto"/>
          </w:tcPr>
          <w:p w14:paraId="5E526C57" w14:textId="77777777" w:rsidR="003A71DE" w:rsidRPr="00CE0F04" w:rsidRDefault="003A71DE" w:rsidP="001A5D47">
            <w:pPr>
              <w:pStyle w:val="TAL"/>
              <w:rPr>
                <w:rFonts w:eastAsia="Malgun Gothic"/>
              </w:rPr>
            </w:pPr>
            <w:r w:rsidRPr="00CE0F04">
              <w:rPr>
                <w:rFonts w:eastAsia="Malgun Gothic"/>
              </w:rPr>
              <w:t>30 kHz SSB SCS, 40 MHz bandwidth, TDD duplex mode</w:t>
            </w:r>
          </w:p>
        </w:tc>
        <w:tc>
          <w:tcPr>
            <w:tcW w:w="4252" w:type="dxa"/>
          </w:tcPr>
          <w:p w14:paraId="1B131F86" w14:textId="77777777" w:rsidR="003A71DE" w:rsidRPr="00CE0F04" w:rsidRDefault="003A71DE" w:rsidP="001A5D47">
            <w:pPr>
              <w:pStyle w:val="TAL"/>
              <w:rPr>
                <w:rFonts w:eastAsia="Malgun Gothic"/>
              </w:rPr>
            </w:pPr>
            <w:r w:rsidRPr="00CE0F04">
              <w:rPr>
                <w:rFonts w:eastAsia="Malgun Gothic"/>
              </w:rPr>
              <w:t>30 kHz SSB SCS, 40 MHz bandwidth, TDD duplex mode</w:t>
            </w:r>
          </w:p>
        </w:tc>
      </w:tr>
      <w:tr w:rsidR="003A71DE" w:rsidRPr="00CE0F04" w14:paraId="14603908" w14:textId="77777777" w:rsidTr="003A71DE">
        <w:tc>
          <w:tcPr>
            <w:tcW w:w="9776" w:type="dxa"/>
            <w:gridSpan w:val="3"/>
            <w:shd w:val="clear" w:color="auto" w:fill="auto"/>
          </w:tcPr>
          <w:p w14:paraId="5463D145" w14:textId="77777777" w:rsidR="003A71DE" w:rsidRPr="00CE0F04" w:rsidRDefault="003A71DE" w:rsidP="003A71DE">
            <w:pPr>
              <w:keepNext/>
              <w:keepLines/>
              <w:spacing w:after="0"/>
              <w:ind w:left="851" w:hanging="851"/>
              <w:rPr>
                <w:rFonts w:ascii="Arial" w:hAnsi="Arial"/>
                <w:sz w:val="18"/>
                <w:szCs w:val="18"/>
              </w:rPr>
            </w:pPr>
            <w:r w:rsidRPr="001A5D47">
              <w:rPr>
                <w:rFonts w:ascii="Arial" w:hAnsi="Arial"/>
                <w:sz w:val="18"/>
              </w:rPr>
              <w:t>Note:</w:t>
            </w:r>
            <w:r w:rsidRPr="001A5D47">
              <w:rPr>
                <w:rFonts w:ascii="Arial" w:hAnsi="Arial"/>
                <w:sz w:val="18"/>
              </w:rPr>
              <w:tab/>
              <w:t>The IAB-MT is only required to be tested in one of the supported test configurations</w:t>
            </w:r>
            <w:r w:rsidRPr="00CE0F04">
              <w:rPr>
                <w:rFonts w:ascii="Arial" w:hAnsi="Arial"/>
                <w:sz w:val="18"/>
                <w:szCs w:val="18"/>
              </w:rPr>
              <w:t>.</w:t>
            </w:r>
          </w:p>
        </w:tc>
      </w:tr>
    </w:tbl>
    <w:p w14:paraId="4A78B023" w14:textId="77777777" w:rsidR="003A71DE" w:rsidRPr="00CE0F04" w:rsidRDefault="003A71DE" w:rsidP="003A71DE"/>
    <w:p w14:paraId="130A0C74" w14:textId="77777777" w:rsidR="003A71DE" w:rsidRPr="00CE0F04" w:rsidRDefault="003A71DE" w:rsidP="00BA0D24">
      <w:pPr>
        <w:pStyle w:val="TH"/>
      </w:pPr>
      <w:r w:rsidRPr="00CE0F04">
        <w:lastRenderedPageBreak/>
        <w:t>Table G.2.1.1.1.1.1-2: General test parameters for NR inter-frequency RRC Re-establishment test case in FR1</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794"/>
        <w:gridCol w:w="708"/>
        <w:gridCol w:w="1418"/>
        <w:gridCol w:w="1446"/>
        <w:gridCol w:w="3232"/>
      </w:tblGrid>
      <w:tr w:rsidR="003A71DE" w:rsidRPr="00CE0F04" w14:paraId="48C12604" w14:textId="77777777" w:rsidTr="003A71DE">
        <w:trPr>
          <w:cantSplit/>
        </w:trPr>
        <w:tc>
          <w:tcPr>
            <w:tcW w:w="2802" w:type="dxa"/>
            <w:gridSpan w:val="2"/>
          </w:tcPr>
          <w:p w14:paraId="038C7A89" w14:textId="77777777" w:rsidR="003A71DE" w:rsidRPr="00CE0F04" w:rsidRDefault="003A71DE" w:rsidP="001A5D47">
            <w:pPr>
              <w:pStyle w:val="TAH"/>
            </w:pPr>
            <w:r w:rsidRPr="00CE0F04">
              <w:t>Parameter</w:t>
            </w:r>
          </w:p>
        </w:tc>
        <w:tc>
          <w:tcPr>
            <w:tcW w:w="708" w:type="dxa"/>
          </w:tcPr>
          <w:p w14:paraId="3F459CAE" w14:textId="77777777" w:rsidR="003A71DE" w:rsidRPr="00CE0F04" w:rsidRDefault="003A71DE" w:rsidP="001A5D47">
            <w:pPr>
              <w:pStyle w:val="TAH"/>
            </w:pPr>
            <w:r w:rsidRPr="00CE0F04">
              <w:t>Unit</w:t>
            </w:r>
          </w:p>
        </w:tc>
        <w:tc>
          <w:tcPr>
            <w:tcW w:w="1418" w:type="dxa"/>
          </w:tcPr>
          <w:p w14:paraId="6C98A0EA" w14:textId="77777777" w:rsidR="003A71DE" w:rsidRPr="00CE0F04" w:rsidRDefault="003A71DE" w:rsidP="001A5D47">
            <w:pPr>
              <w:pStyle w:val="TAH"/>
              <w:rPr>
                <w:lang w:eastAsia="zh-CN"/>
              </w:rPr>
            </w:pPr>
            <w:r w:rsidRPr="00CE0F04">
              <w:rPr>
                <w:lang w:eastAsia="zh-CN"/>
              </w:rPr>
              <w:t>Test configuration</w:t>
            </w:r>
          </w:p>
        </w:tc>
        <w:tc>
          <w:tcPr>
            <w:tcW w:w="1446" w:type="dxa"/>
          </w:tcPr>
          <w:p w14:paraId="36622BD1" w14:textId="77777777" w:rsidR="003A71DE" w:rsidRPr="00CE0F04" w:rsidRDefault="003A71DE" w:rsidP="001A5D47">
            <w:pPr>
              <w:pStyle w:val="TAH"/>
            </w:pPr>
            <w:r w:rsidRPr="00CE0F04">
              <w:t>Value</w:t>
            </w:r>
          </w:p>
        </w:tc>
        <w:tc>
          <w:tcPr>
            <w:tcW w:w="3232" w:type="dxa"/>
          </w:tcPr>
          <w:p w14:paraId="6F37BFAC" w14:textId="77777777" w:rsidR="003A71DE" w:rsidRPr="00CE0F04" w:rsidRDefault="003A71DE" w:rsidP="001A5D47">
            <w:pPr>
              <w:pStyle w:val="TAH"/>
            </w:pPr>
            <w:r w:rsidRPr="00CE0F04">
              <w:t>Comment</w:t>
            </w:r>
          </w:p>
        </w:tc>
      </w:tr>
      <w:tr w:rsidR="003A71DE" w:rsidRPr="00CE0F04" w14:paraId="2FAA953B" w14:textId="77777777" w:rsidTr="003A71DE">
        <w:trPr>
          <w:cantSplit/>
        </w:trPr>
        <w:tc>
          <w:tcPr>
            <w:tcW w:w="1008" w:type="dxa"/>
            <w:tcBorders>
              <w:bottom w:val="nil"/>
            </w:tcBorders>
            <w:shd w:val="clear" w:color="auto" w:fill="auto"/>
          </w:tcPr>
          <w:p w14:paraId="34DC3D19" w14:textId="77777777" w:rsidR="003A71DE" w:rsidRPr="00CE0F04" w:rsidRDefault="003A71DE" w:rsidP="001A5D47">
            <w:pPr>
              <w:pStyle w:val="TAL"/>
            </w:pPr>
            <w:r w:rsidRPr="00CE0F04">
              <w:t>Initial condition</w:t>
            </w:r>
          </w:p>
        </w:tc>
        <w:tc>
          <w:tcPr>
            <w:tcW w:w="1794" w:type="dxa"/>
          </w:tcPr>
          <w:p w14:paraId="0020B32A" w14:textId="77777777" w:rsidR="003A71DE" w:rsidRPr="00CE0F04" w:rsidRDefault="003A71DE" w:rsidP="001A5D47">
            <w:pPr>
              <w:pStyle w:val="TAL"/>
            </w:pPr>
            <w:r w:rsidRPr="00CE0F04">
              <w:t>Active cell</w:t>
            </w:r>
          </w:p>
        </w:tc>
        <w:tc>
          <w:tcPr>
            <w:tcW w:w="708" w:type="dxa"/>
          </w:tcPr>
          <w:p w14:paraId="018605E3" w14:textId="77777777" w:rsidR="003A71DE" w:rsidRPr="00CE0F04" w:rsidRDefault="003A71DE" w:rsidP="001A5D47">
            <w:pPr>
              <w:pStyle w:val="TAC"/>
            </w:pPr>
          </w:p>
        </w:tc>
        <w:tc>
          <w:tcPr>
            <w:tcW w:w="1418" w:type="dxa"/>
          </w:tcPr>
          <w:p w14:paraId="0D9C8EB7" w14:textId="77777777" w:rsidR="003A71DE" w:rsidRPr="00CE0F04" w:rsidRDefault="003A71DE" w:rsidP="001A5D47">
            <w:pPr>
              <w:pStyle w:val="TAC"/>
              <w:rPr>
                <w:lang w:eastAsia="zh-CN"/>
              </w:rPr>
            </w:pPr>
            <w:r w:rsidRPr="00CE0F04">
              <w:rPr>
                <w:lang w:eastAsia="zh-CN"/>
              </w:rPr>
              <w:t>1, 2</w:t>
            </w:r>
          </w:p>
        </w:tc>
        <w:tc>
          <w:tcPr>
            <w:tcW w:w="1446" w:type="dxa"/>
          </w:tcPr>
          <w:p w14:paraId="4A1BBBA3" w14:textId="77777777" w:rsidR="003A71DE" w:rsidRPr="00CE0F04" w:rsidRDefault="003A71DE" w:rsidP="001A5D47">
            <w:pPr>
              <w:pStyle w:val="TAC"/>
            </w:pPr>
            <w:r w:rsidRPr="00CE0F04">
              <w:t>Cell1</w:t>
            </w:r>
          </w:p>
        </w:tc>
        <w:tc>
          <w:tcPr>
            <w:tcW w:w="3232" w:type="dxa"/>
          </w:tcPr>
          <w:p w14:paraId="24FA415F" w14:textId="77777777" w:rsidR="003A71DE" w:rsidRPr="00CE0F04" w:rsidRDefault="003A71DE" w:rsidP="001A5D47">
            <w:pPr>
              <w:pStyle w:val="TAC"/>
            </w:pPr>
          </w:p>
        </w:tc>
      </w:tr>
      <w:tr w:rsidR="003A71DE" w:rsidRPr="00CE0F04" w14:paraId="16F28898" w14:textId="77777777" w:rsidTr="003A71DE">
        <w:trPr>
          <w:cantSplit/>
          <w:trHeight w:val="463"/>
        </w:trPr>
        <w:tc>
          <w:tcPr>
            <w:tcW w:w="1008" w:type="dxa"/>
            <w:tcBorders>
              <w:top w:val="nil"/>
            </w:tcBorders>
            <w:shd w:val="clear" w:color="auto" w:fill="auto"/>
          </w:tcPr>
          <w:p w14:paraId="3E2BC95B" w14:textId="77777777" w:rsidR="003A71DE" w:rsidRPr="00CE0F04" w:rsidRDefault="003A71DE" w:rsidP="001A5D47">
            <w:pPr>
              <w:pStyle w:val="TAL"/>
            </w:pPr>
          </w:p>
        </w:tc>
        <w:tc>
          <w:tcPr>
            <w:tcW w:w="1794" w:type="dxa"/>
          </w:tcPr>
          <w:p w14:paraId="30D8887E" w14:textId="77777777" w:rsidR="003A71DE" w:rsidRPr="00CE0F04" w:rsidRDefault="003A71DE" w:rsidP="001A5D47">
            <w:pPr>
              <w:pStyle w:val="TAL"/>
            </w:pPr>
            <w:r w:rsidRPr="00CE0F04">
              <w:t>Neighbour cells</w:t>
            </w:r>
          </w:p>
        </w:tc>
        <w:tc>
          <w:tcPr>
            <w:tcW w:w="708" w:type="dxa"/>
          </w:tcPr>
          <w:p w14:paraId="7DF91AD8" w14:textId="77777777" w:rsidR="003A71DE" w:rsidRPr="00CE0F04" w:rsidRDefault="003A71DE" w:rsidP="001A5D47">
            <w:pPr>
              <w:pStyle w:val="TAC"/>
            </w:pPr>
          </w:p>
        </w:tc>
        <w:tc>
          <w:tcPr>
            <w:tcW w:w="1418" w:type="dxa"/>
          </w:tcPr>
          <w:p w14:paraId="5887BED6" w14:textId="77777777" w:rsidR="003A71DE" w:rsidRPr="00CE0F04" w:rsidRDefault="003A71DE" w:rsidP="001A5D47">
            <w:pPr>
              <w:pStyle w:val="TAC"/>
            </w:pPr>
            <w:r w:rsidRPr="00CE0F04">
              <w:rPr>
                <w:lang w:eastAsia="zh-CN"/>
              </w:rPr>
              <w:t>1, 2</w:t>
            </w:r>
          </w:p>
        </w:tc>
        <w:tc>
          <w:tcPr>
            <w:tcW w:w="1446" w:type="dxa"/>
          </w:tcPr>
          <w:p w14:paraId="6AB10702" w14:textId="77777777" w:rsidR="003A71DE" w:rsidRPr="00CE0F04" w:rsidRDefault="003A71DE" w:rsidP="001A5D47">
            <w:pPr>
              <w:pStyle w:val="TAC"/>
            </w:pPr>
            <w:r w:rsidRPr="00CE0F04">
              <w:t xml:space="preserve">Cell2 </w:t>
            </w:r>
          </w:p>
        </w:tc>
        <w:tc>
          <w:tcPr>
            <w:tcW w:w="3232" w:type="dxa"/>
            <w:tcBorders>
              <w:bottom w:val="single" w:sz="4" w:space="0" w:color="auto"/>
            </w:tcBorders>
          </w:tcPr>
          <w:p w14:paraId="2466CDD1" w14:textId="77777777" w:rsidR="003A71DE" w:rsidRPr="00CE0F04" w:rsidRDefault="003A71DE" w:rsidP="001A5D47">
            <w:pPr>
              <w:pStyle w:val="TAC"/>
            </w:pPr>
          </w:p>
        </w:tc>
      </w:tr>
      <w:tr w:rsidR="003A71DE" w:rsidRPr="00CE0F04" w14:paraId="2A4B09C5" w14:textId="77777777" w:rsidTr="003A71DE">
        <w:trPr>
          <w:cantSplit/>
        </w:trPr>
        <w:tc>
          <w:tcPr>
            <w:tcW w:w="1008" w:type="dxa"/>
          </w:tcPr>
          <w:p w14:paraId="716EF580" w14:textId="77777777" w:rsidR="003A71DE" w:rsidRPr="00CE0F04" w:rsidRDefault="003A71DE" w:rsidP="001A5D47">
            <w:pPr>
              <w:pStyle w:val="TAL"/>
            </w:pPr>
            <w:r w:rsidRPr="00CE0F04">
              <w:t>Final condition</w:t>
            </w:r>
          </w:p>
        </w:tc>
        <w:tc>
          <w:tcPr>
            <w:tcW w:w="1794" w:type="dxa"/>
          </w:tcPr>
          <w:p w14:paraId="48CD17E0" w14:textId="77777777" w:rsidR="003A71DE" w:rsidRPr="00CE0F04" w:rsidRDefault="003A71DE" w:rsidP="001A5D47">
            <w:pPr>
              <w:pStyle w:val="TAL"/>
            </w:pPr>
            <w:r w:rsidRPr="00CE0F04">
              <w:t>Active cell</w:t>
            </w:r>
          </w:p>
        </w:tc>
        <w:tc>
          <w:tcPr>
            <w:tcW w:w="708" w:type="dxa"/>
          </w:tcPr>
          <w:p w14:paraId="7F19C742" w14:textId="77777777" w:rsidR="003A71DE" w:rsidRPr="00CE0F04" w:rsidRDefault="003A71DE" w:rsidP="001A5D47">
            <w:pPr>
              <w:pStyle w:val="TAC"/>
            </w:pPr>
          </w:p>
        </w:tc>
        <w:tc>
          <w:tcPr>
            <w:tcW w:w="1418" w:type="dxa"/>
          </w:tcPr>
          <w:p w14:paraId="1AFE3BD8" w14:textId="77777777" w:rsidR="003A71DE" w:rsidRPr="00CE0F04" w:rsidRDefault="003A71DE" w:rsidP="001A5D47">
            <w:pPr>
              <w:pStyle w:val="TAC"/>
            </w:pPr>
            <w:r w:rsidRPr="00CE0F04">
              <w:rPr>
                <w:lang w:eastAsia="zh-CN"/>
              </w:rPr>
              <w:t>1, 2</w:t>
            </w:r>
          </w:p>
        </w:tc>
        <w:tc>
          <w:tcPr>
            <w:tcW w:w="1446" w:type="dxa"/>
          </w:tcPr>
          <w:p w14:paraId="264A9387" w14:textId="77777777" w:rsidR="003A71DE" w:rsidRPr="00CE0F04" w:rsidRDefault="003A71DE" w:rsidP="001A5D47">
            <w:pPr>
              <w:pStyle w:val="TAC"/>
            </w:pPr>
            <w:r w:rsidRPr="00CE0F04">
              <w:t>Cell2</w:t>
            </w:r>
          </w:p>
        </w:tc>
        <w:tc>
          <w:tcPr>
            <w:tcW w:w="3232" w:type="dxa"/>
          </w:tcPr>
          <w:p w14:paraId="160A7584" w14:textId="77777777" w:rsidR="003A71DE" w:rsidRPr="00CE0F04" w:rsidRDefault="003A71DE" w:rsidP="001A5D47">
            <w:pPr>
              <w:pStyle w:val="TAC"/>
            </w:pPr>
          </w:p>
        </w:tc>
      </w:tr>
      <w:tr w:rsidR="003A71DE" w:rsidRPr="00CE0F04" w14:paraId="1BD2AA7C" w14:textId="77777777" w:rsidTr="003A71DE">
        <w:trPr>
          <w:cantSplit/>
        </w:trPr>
        <w:tc>
          <w:tcPr>
            <w:tcW w:w="2802" w:type="dxa"/>
            <w:gridSpan w:val="2"/>
            <w:tcBorders>
              <w:bottom w:val="single" w:sz="4" w:space="0" w:color="auto"/>
            </w:tcBorders>
          </w:tcPr>
          <w:p w14:paraId="1BC2829E" w14:textId="77777777" w:rsidR="003A71DE" w:rsidRPr="00CE0F04" w:rsidRDefault="003A71DE" w:rsidP="001A5D47">
            <w:pPr>
              <w:pStyle w:val="TAL"/>
            </w:pPr>
            <w:r w:rsidRPr="00CE0F04">
              <w:rPr>
                <w:bCs/>
              </w:rPr>
              <w:t>RF Channel Number</w:t>
            </w:r>
          </w:p>
        </w:tc>
        <w:tc>
          <w:tcPr>
            <w:tcW w:w="708" w:type="dxa"/>
          </w:tcPr>
          <w:p w14:paraId="101995C8" w14:textId="77777777" w:rsidR="003A71DE" w:rsidRPr="00CE0F04" w:rsidRDefault="003A71DE" w:rsidP="001A5D47">
            <w:pPr>
              <w:pStyle w:val="TAC"/>
            </w:pPr>
          </w:p>
        </w:tc>
        <w:tc>
          <w:tcPr>
            <w:tcW w:w="1418" w:type="dxa"/>
          </w:tcPr>
          <w:p w14:paraId="4093DDD7" w14:textId="77777777" w:rsidR="003A71DE" w:rsidRPr="00CE0F04" w:rsidRDefault="003A71DE" w:rsidP="001A5D47">
            <w:pPr>
              <w:pStyle w:val="TAC"/>
              <w:rPr>
                <w:bCs/>
              </w:rPr>
            </w:pPr>
            <w:r w:rsidRPr="00CE0F04">
              <w:rPr>
                <w:lang w:eastAsia="zh-CN"/>
              </w:rPr>
              <w:t>1, 2</w:t>
            </w:r>
          </w:p>
        </w:tc>
        <w:tc>
          <w:tcPr>
            <w:tcW w:w="1446" w:type="dxa"/>
          </w:tcPr>
          <w:p w14:paraId="03B26630" w14:textId="77777777" w:rsidR="003A71DE" w:rsidRPr="00CE0F04" w:rsidRDefault="003A71DE" w:rsidP="001A5D47">
            <w:pPr>
              <w:pStyle w:val="TAC"/>
            </w:pPr>
            <w:r w:rsidRPr="00CE0F04">
              <w:rPr>
                <w:bCs/>
              </w:rPr>
              <w:t>1, 2</w:t>
            </w:r>
          </w:p>
        </w:tc>
        <w:tc>
          <w:tcPr>
            <w:tcW w:w="3232" w:type="dxa"/>
          </w:tcPr>
          <w:p w14:paraId="6E06F42F" w14:textId="77777777" w:rsidR="003A71DE" w:rsidRPr="00CE0F04" w:rsidRDefault="003A71DE" w:rsidP="001A5D47">
            <w:pPr>
              <w:pStyle w:val="TAC"/>
            </w:pPr>
          </w:p>
        </w:tc>
      </w:tr>
      <w:tr w:rsidR="003A71DE" w:rsidRPr="00CE0F04" w14:paraId="3F81AF9B" w14:textId="77777777" w:rsidTr="003A71DE">
        <w:trPr>
          <w:cantSplit/>
        </w:trPr>
        <w:tc>
          <w:tcPr>
            <w:tcW w:w="2802" w:type="dxa"/>
            <w:gridSpan w:val="2"/>
            <w:tcBorders>
              <w:bottom w:val="nil"/>
            </w:tcBorders>
            <w:shd w:val="clear" w:color="auto" w:fill="auto"/>
          </w:tcPr>
          <w:p w14:paraId="7BE310D0" w14:textId="77777777" w:rsidR="003A71DE" w:rsidRPr="00CE0F04" w:rsidRDefault="003A71DE" w:rsidP="001A5D47">
            <w:pPr>
              <w:pStyle w:val="TAL"/>
            </w:pPr>
            <w:r w:rsidRPr="00CE0F04">
              <w:t>Time offset between cells</w:t>
            </w:r>
          </w:p>
        </w:tc>
        <w:tc>
          <w:tcPr>
            <w:tcW w:w="708" w:type="dxa"/>
          </w:tcPr>
          <w:p w14:paraId="5108FD7D" w14:textId="77777777" w:rsidR="003A71DE" w:rsidRPr="00CE0F04" w:rsidRDefault="003A71DE" w:rsidP="001A5D47">
            <w:pPr>
              <w:pStyle w:val="TAC"/>
            </w:pPr>
          </w:p>
        </w:tc>
        <w:tc>
          <w:tcPr>
            <w:tcW w:w="1418" w:type="dxa"/>
          </w:tcPr>
          <w:p w14:paraId="60F17D0C" w14:textId="77777777" w:rsidR="003A71DE" w:rsidRPr="00CE0F04" w:rsidRDefault="003A71DE" w:rsidP="001A5D47">
            <w:pPr>
              <w:pStyle w:val="TAC"/>
            </w:pPr>
            <w:r w:rsidRPr="00CE0F04">
              <w:rPr>
                <w:lang w:eastAsia="zh-CN"/>
              </w:rPr>
              <w:t>1, 2</w:t>
            </w:r>
          </w:p>
        </w:tc>
        <w:tc>
          <w:tcPr>
            <w:tcW w:w="1446" w:type="dxa"/>
          </w:tcPr>
          <w:p w14:paraId="2B5730FE" w14:textId="77777777" w:rsidR="003A71DE" w:rsidRPr="00CE0F04" w:rsidRDefault="003A71DE" w:rsidP="001A5D47">
            <w:pPr>
              <w:pStyle w:val="TAC"/>
            </w:pPr>
            <w:r w:rsidRPr="00CE0F04">
              <w:t xml:space="preserve">3 </w:t>
            </w:r>
            <w:r w:rsidRPr="00CE0F04">
              <w:sym w:font="Symbol" w:char="F06D"/>
            </w:r>
            <w:r w:rsidRPr="00CE0F04">
              <w:t>s</w:t>
            </w:r>
          </w:p>
        </w:tc>
        <w:tc>
          <w:tcPr>
            <w:tcW w:w="3232" w:type="dxa"/>
          </w:tcPr>
          <w:p w14:paraId="4AFF4EDF" w14:textId="77777777" w:rsidR="003A71DE" w:rsidRPr="00CE0F04" w:rsidRDefault="003A71DE" w:rsidP="001A5D47">
            <w:pPr>
              <w:pStyle w:val="TAC"/>
            </w:pPr>
            <w:r w:rsidRPr="00CE0F04">
              <w:t>Synchronous cells</w:t>
            </w:r>
          </w:p>
        </w:tc>
      </w:tr>
      <w:tr w:rsidR="003A71DE" w:rsidRPr="00CE0F04" w14:paraId="7AE13C9D" w14:textId="77777777" w:rsidTr="003A71DE">
        <w:trPr>
          <w:cantSplit/>
        </w:trPr>
        <w:tc>
          <w:tcPr>
            <w:tcW w:w="2802" w:type="dxa"/>
            <w:gridSpan w:val="2"/>
          </w:tcPr>
          <w:p w14:paraId="6D3AAB0B" w14:textId="77777777" w:rsidR="003A71DE" w:rsidRPr="00CE0F04" w:rsidRDefault="003A71DE" w:rsidP="001A5D47">
            <w:pPr>
              <w:pStyle w:val="TAL"/>
            </w:pPr>
            <w:r w:rsidRPr="00CE0F04">
              <w:t>N310</w:t>
            </w:r>
          </w:p>
        </w:tc>
        <w:tc>
          <w:tcPr>
            <w:tcW w:w="708" w:type="dxa"/>
          </w:tcPr>
          <w:p w14:paraId="7EC0A7C0" w14:textId="77777777" w:rsidR="003A71DE" w:rsidRPr="00CE0F04" w:rsidRDefault="003A71DE" w:rsidP="001A5D47">
            <w:pPr>
              <w:pStyle w:val="TAC"/>
            </w:pPr>
            <w:r w:rsidRPr="00CE0F04">
              <w:t>-</w:t>
            </w:r>
          </w:p>
        </w:tc>
        <w:tc>
          <w:tcPr>
            <w:tcW w:w="1418" w:type="dxa"/>
          </w:tcPr>
          <w:p w14:paraId="3FF05A2D" w14:textId="77777777" w:rsidR="003A71DE" w:rsidRPr="00CE0F04" w:rsidRDefault="003A71DE" w:rsidP="001A5D47">
            <w:pPr>
              <w:pStyle w:val="TAC"/>
            </w:pPr>
            <w:r w:rsidRPr="00CE0F04">
              <w:rPr>
                <w:lang w:eastAsia="zh-CN"/>
              </w:rPr>
              <w:t>1, 2</w:t>
            </w:r>
          </w:p>
        </w:tc>
        <w:tc>
          <w:tcPr>
            <w:tcW w:w="1446" w:type="dxa"/>
          </w:tcPr>
          <w:p w14:paraId="02C039B5" w14:textId="77777777" w:rsidR="003A71DE" w:rsidRPr="00CE0F04" w:rsidRDefault="003A71DE" w:rsidP="001A5D47">
            <w:pPr>
              <w:pStyle w:val="TAC"/>
            </w:pPr>
            <w:r w:rsidRPr="00CE0F04">
              <w:t>1</w:t>
            </w:r>
          </w:p>
        </w:tc>
        <w:tc>
          <w:tcPr>
            <w:tcW w:w="3232" w:type="dxa"/>
          </w:tcPr>
          <w:p w14:paraId="23728190" w14:textId="77777777" w:rsidR="003A71DE" w:rsidRPr="00CE0F04" w:rsidRDefault="003A71DE" w:rsidP="001A5D47">
            <w:pPr>
              <w:pStyle w:val="TAC"/>
            </w:pPr>
            <w:r w:rsidRPr="00CE0F04">
              <w:t>Maximum consecutive out-of-sync indications from lower layers</w:t>
            </w:r>
          </w:p>
        </w:tc>
      </w:tr>
      <w:tr w:rsidR="003A71DE" w:rsidRPr="00CE0F04" w14:paraId="483C5884" w14:textId="77777777" w:rsidTr="003A71DE">
        <w:trPr>
          <w:cantSplit/>
        </w:trPr>
        <w:tc>
          <w:tcPr>
            <w:tcW w:w="2802" w:type="dxa"/>
            <w:gridSpan w:val="2"/>
          </w:tcPr>
          <w:p w14:paraId="2DDF58EF" w14:textId="77777777" w:rsidR="003A71DE" w:rsidRPr="00CE0F04" w:rsidRDefault="003A71DE" w:rsidP="001A5D47">
            <w:pPr>
              <w:pStyle w:val="TAL"/>
            </w:pPr>
            <w:r w:rsidRPr="00CE0F04">
              <w:t>N311</w:t>
            </w:r>
          </w:p>
        </w:tc>
        <w:tc>
          <w:tcPr>
            <w:tcW w:w="708" w:type="dxa"/>
          </w:tcPr>
          <w:p w14:paraId="6C639313" w14:textId="77777777" w:rsidR="003A71DE" w:rsidRPr="00CE0F04" w:rsidRDefault="003A71DE" w:rsidP="001A5D47">
            <w:pPr>
              <w:pStyle w:val="TAC"/>
            </w:pPr>
            <w:r w:rsidRPr="00CE0F04">
              <w:t>-</w:t>
            </w:r>
          </w:p>
        </w:tc>
        <w:tc>
          <w:tcPr>
            <w:tcW w:w="1418" w:type="dxa"/>
          </w:tcPr>
          <w:p w14:paraId="430E4054" w14:textId="77777777" w:rsidR="003A71DE" w:rsidRPr="00CE0F04" w:rsidRDefault="003A71DE" w:rsidP="001A5D47">
            <w:pPr>
              <w:pStyle w:val="TAC"/>
            </w:pPr>
            <w:r w:rsidRPr="00CE0F04">
              <w:rPr>
                <w:lang w:eastAsia="zh-CN"/>
              </w:rPr>
              <w:t>1, 2</w:t>
            </w:r>
          </w:p>
        </w:tc>
        <w:tc>
          <w:tcPr>
            <w:tcW w:w="1446" w:type="dxa"/>
          </w:tcPr>
          <w:p w14:paraId="14C6BD3F" w14:textId="77777777" w:rsidR="003A71DE" w:rsidRPr="00CE0F04" w:rsidRDefault="003A71DE" w:rsidP="001A5D47">
            <w:pPr>
              <w:pStyle w:val="TAC"/>
            </w:pPr>
            <w:r w:rsidRPr="00CE0F04">
              <w:t>1</w:t>
            </w:r>
          </w:p>
        </w:tc>
        <w:tc>
          <w:tcPr>
            <w:tcW w:w="3232" w:type="dxa"/>
          </w:tcPr>
          <w:p w14:paraId="2756CE7D" w14:textId="77777777" w:rsidR="003A71DE" w:rsidRPr="00CE0F04" w:rsidRDefault="003A71DE" w:rsidP="001A5D47">
            <w:pPr>
              <w:pStyle w:val="TAC"/>
            </w:pPr>
            <w:r w:rsidRPr="00CE0F04">
              <w:t>Minimum consecutive in-sync indications from lower layers</w:t>
            </w:r>
          </w:p>
        </w:tc>
      </w:tr>
      <w:tr w:rsidR="003A71DE" w:rsidRPr="00CE0F04" w14:paraId="56D9DAE1" w14:textId="77777777" w:rsidTr="003A71DE">
        <w:trPr>
          <w:cantSplit/>
        </w:trPr>
        <w:tc>
          <w:tcPr>
            <w:tcW w:w="2802" w:type="dxa"/>
            <w:gridSpan w:val="2"/>
          </w:tcPr>
          <w:p w14:paraId="4E1CA841" w14:textId="77777777" w:rsidR="003A71DE" w:rsidRPr="00CE0F04" w:rsidRDefault="003A71DE" w:rsidP="001A5D47">
            <w:pPr>
              <w:pStyle w:val="TAL"/>
            </w:pPr>
            <w:r w:rsidRPr="00CE0F04">
              <w:t>T310</w:t>
            </w:r>
          </w:p>
        </w:tc>
        <w:tc>
          <w:tcPr>
            <w:tcW w:w="708" w:type="dxa"/>
          </w:tcPr>
          <w:p w14:paraId="3C6F9975" w14:textId="77777777" w:rsidR="003A71DE" w:rsidRPr="00CE0F04" w:rsidRDefault="003A71DE" w:rsidP="001A5D47">
            <w:pPr>
              <w:pStyle w:val="TAC"/>
            </w:pPr>
            <w:r w:rsidRPr="00CE0F04">
              <w:t>ms</w:t>
            </w:r>
          </w:p>
        </w:tc>
        <w:tc>
          <w:tcPr>
            <w:tcW w:w="1418" w:type="dxa"/>
          </w:tcPr>
          <w:p w14:paraId="205F0129" w14:textId="77777777" w:rsidR="003A71DE" w:rsidRPr="00CE0F04" w:rsidRDefault="003A71DE" w:rsidP="001A5D47">
            <w:pPr>
              <w:pStyle w:val="TAC"/>
            </w:pPr>
            <w:r w:rsidRPr="00CE0F04">
              <w:rPr>
                <w:lang w:eastAsia="zh-CN"/>
              </w:rPr>
              <w:t>1, 2</w:t>
            </w:r>
          </w:p>
        </w:tc>
        <w:tc>
          <w:tcPr>
            <w:tcW w:w="1446" w:type="dxa"/>
          </w:tcPr>
          <w:p w14:paraId="77BC4BB2" w14:textId="77777777" w:rsidR="003A71DE" w:rsidRPr="00CE0F04" w:rsidRDefault="003A71DE" w:rsidP="001A5D47">
            <w:pPr>
              <w:pStyle w:val="TAC"/>
            </w:pPr>
            <w:r w:rsidRPr="00CE0F04">
              <w:t>0</w:t>
            </w:r>
          </w:p>
        </w:tc>
        <w:tc>
          <w:tcPr>
            <w:tcW w:w="3232" w:type="dxa"/>
          </w:tcPr>
          <w:p w14:paraId="0DB0E8A6" w14:textId="77777777" w:rsidR="003A71DE" w:rsidRPr="00CE0F04" w:rsidRDefault="003A71DE" w:rsidP="001A5D47">
            <w:pPr>
              <w:pStyle w:val="TAC"/>
            </w:pPr>
            <w:r w:rsidRPr="00CE0F04">
              <w:t>Radio link failure timer; T310 is disabled</w:t>
            </w:r>
          </w:p>
        </w:tc>
      </w:tr>
      <w:tr w:rsidR="003A71DE" w:rsidRPr="00CE0F04" w14:paraId="76E74D33" w14:textId="77777777" w:rsidTr="003A71DE">
        <w:trPr>
          <w:cantSplit/>
        </w:trPr>
        <w:tc>
          <w:tcPr>
            <w:tcW w:w="2802" w:type="dxa"/>
            <w:gridSpan w:val="2"/>
          </w:tcPr>
          <w:p w14:paraId="7EAEDAE0" w14:textId="77777777" w:rsidR="003A71DE" w:rsidRPr="00CE0F04" w:rsidRDefault="003A71DE" w:rsidP="001A5D47">
            <w:pPr>
              <w:pStyle w:val="TAL"/>
            </w:pPr>
            <w:r w:rsidRPr="00CE0F04">
              <w:t>T311</w:t>
            </w:r>
          </w:p>
        </w:tc>
        <w:tc>
          <w:tcPr>
            <w:tcW w:w="708" w:type="dxa"/>
          </w:tcPr>
          <w:p w14:paraId="150FCE38" w14:textId="77777777" w:rsidR="003A71DE" w:rsidRPr="00CE0F04" w:rsidRDefault="003A71DE" w:rsidP="001A5D47">
            <w:pPr>
              <w:pStyle w:val="TAC"/>
            </w:pPr>
            <w:r w:rsidRPr="00CE0F04">
              <w:t>ms</w:t>
            </w:r>
          </w:p>
        </w:tc>
        <w:tc>
          <w:tcPr>
            <w:tcW w:w="1418" w:type="dxa"/>
          </w:tcPr>
          <w:p w14:paraId="1A670427" w14:textId="77777777" w:rsidR="003A71DE" w:rsidRPr="00CE0F04" w:rsidRDefault="003A71DE" w:rsidP="001A5D47">
            <w:pPr>
              <w:pStyle w:val="TAC"/>
            </w:pPr>
            <w:r w:rsidRPr="00CE0F04">
              <w:rPr>
                <w:lang w:eastAsia="zh-CN"/>
              </w:rPr>
              <w:t>1, 2</w:t>
            </w:r>
          </w:p>
        </w:tc>
        <w:tc>
          <w:tcPr>
            <w:tcW w:w="1446" w:type="dxa"/>
          </w:tcPr>
          <w:p w14:paraId="7D16FC6B" w14:textId="77777777" w:rsidR="003A71DE" w:rsidRPr="00CE0F04" w:rsidRDefault="003A71DE" w:rsidP="001A5D47">
            <w:pPr>
              <w:pStyle w:val="TAC"/>
            </w:pPr>
            <w:r w:rsidRPr="00CE0F04">
              <w:t>30000</w:t>
            </w:r>
          </w:p>
        </w:tc>
        <w:tc>
          <w:tcPr>
            <w:tcW w:w="3232" w:type="dxa"/>
          </w:tcPr>
          <w:p w14:paraId="75DE942C" w14:textId="77777777" w:rsidR="003A71DE" w:rsidRPr="00CE0F04" w:rsidRDefault="003A71DE" w:rsidP="001A5D47">
            <w:pPr>
              <w:pStyle w:val="TAC"/>
            </w:pPr>
            <w:r w:rsidRPr="00CE0F04">
              <w:t>RRC re-establishment timer</w:t>
            </w:r>
          </w:p>
        </w:tc>
      </w:tr>
      <w:tr w:rsidR="003A71DE" w:rsidRPr="00CE0F04" w14:paraId="0F15E431" w14:textId="77777777" w:rsidTr="003A71DE">
        <w:trPr>
          <w:cantSplit/>
        </w:trPr>
        <w:tc>
          <w:tcPr>
            <w:tcW w:w="2802" w:type="dxa"/>
            <w:gridSpan w:val="2"/>
            <w:tcBorders>
              <w:bottom w:val="single" w:sz="4" w:space="0" w:color="auto"/>
            </w:tcBorders>
          </w:tcPr>
          <w:p w14:paraId="2289890D" w14:textId="77777777" w:rsidR="003A71DE" w:rsidRPr="00CE0F04" w:rsidRDefault="003A71DE" w:rsidP="001A5D47">
            <w:pPr>
              <w:pStyle w:val="TAL"/>
              <w:rPr>
                <w:lang w:eastAsia="zh-CN"/>
              </w:rPr>
            </w:pPr>
            <w:r w:rsidRPr="00CE0F04">
              <w:rPr>
                <w:lang w:eastAsia="zh-CN"/>
              </w:rPr>
              <w:t>Access Barring Information</w:t>
            </w:r>
          </w:p>
        </w:tc>
        <w:tc>
          <w:tcPr>
            <w:tcW w:w="708" w:type="dxa"/>
          </w:tcPr>
          <w:p w14:paraId="115B8461" w14:textId="77777777" w:rsidR="003A71DE" w:rsidRPr="00CE0F04" w:rsidRDefault="003A71DE" w:rsidP="001A5D47">
            <w:pPr>
              <w:pStyle w:val="TAC"/>
              <w:rPr>
                <w:lang w:eastAsia="zh-CN"/>
              </w:rPr>
            </w:pPr>
            <w:r w:rsidRPr="00CE0F04">
              <w:rPr>
                <w:lang w:eastAsia="zh-CN"/>
              </w:rPr>
              <w:t>-</w:t>
            </w:r>
          </w:p>
        </w:tc>
        <w:tc>
          <w:tcPr>
            <w:tcW w:w="1418" w:type="dxa"/>
          </w:tcPr>
          <w:p w14:paraId="7EF229BE" w14:textId="77777777" w:rsidR="003A71DE" w:rsidRPr="00CE0F04" w:rsidRDefault="003A71DE" w:rsidP="001A5D47">
            <w:pPr>
              <w:pStyle w:val="TAC"/>
              <w:rPr>
                <w:lang w:eastAsia="zh-CN"/>
              </w:rPr>
            </w:pPr>
            <w:r w:rsidRPr="00CE0F04">
              <w:rPr>
                <w:lang w:eastAsia="zh-CN"/>
              </w:rPr>
              <w:t>1, 2</w:t>
            </w:r>
          </w:p>
        </w:tc>
        <w:tc>
          <w:tcPr>
            <w:tcW w:w="1446" w:type="dxa"/>
          </w:tcPr>
          <w:p w14:paraId="2B385A2E" w14:textId="77777777" w:rsidR="003A71DE" w:rsidRPr="00CE0F04" w:rsidRDefault="003A71DE" w:rsidP="001A5D47">
            <w:pPr>
              <w:pStyle w:val="TAC"/>
              <w:rPr>
                <w:lang w:eastAsia="zh-CN"/>
              </w:rPr>
            </w:pPr>
            <w:r w:rsidRPr="00CE0F04">
              <w:rPr>
                <w:lang w:eastAsia="zh-CN"/>
              </w:rPr>
              <w:t>Not Sent</w:t>
            </w:r>
          </w:p>
        </w:tc>
        <w:tc>
          <w:tcPr>
            <w:tcW w:w="3232" w:type="dxa"/>
          </w:tcPr>
          <w:p w14:paraId="2BE86FCD" w14:textId="77777777" w:rsidR="003A71DE" w:rsidRPr="00CE0F04" w:rsidRDefault="003A71DE" w:rsidP="001A5D47">
            <w:pPr>
              <w:pStyle w:val="TAC"/>
            </w:pPr>
            <w:r w:rsidRPr="00CE0F04">
              <w:t>No additional delays in random access procedure.</w:t>
            </w:r>
          </w:p>
        </w:tc>
      </w:tr>
      <w:tr w:rsidR="003A71DE" w:rsidRPr="00CE0F04" w14:paraId="1BA02ABE" w14:textId="77777777" w:rsidTr="003A71DE">
        <w:trPr>
          <w:cantSplit/>
        </w:trPr>
        <w:tc>
          <w:tcPr>
            <w:tcW w:w="2802" w:type="dxa"/>
            <w:gridSpan w:val="2"/>
            <w:tcBorders>
              <w:bottom w:val="nil"/>
            </w:tcBorders>
            <w:shd w:val="clear" w:color="auto" w:fill="auto"/>
          </w:tcPr>
          <w:p w14:paraId="55DFE1AC" w14:textId="77777777" w:rsidR="003A71DE" w:rsidRPr="00CE0F04" w:rsidRDefault="003A71DE" w:rsidP="001A5D47">
            <w:pPr>
              <w:pStyle w:val="TAL"/>
              <w:rPr>
                <w:lang w:eastAsia="zh-CN"/>
              </w:rPr>
            </w:pPr>
            <w:r w:rsidRPr="00CE0F04">
              <w:rPr>
                <w:lang w:eastAsia="zh-CN"/>
              </w:rPr>
              <w:t>SSB configuration</w:t>
            </w:r>
          </w:p>
        </w:tc>
        <w:tc>
          <w:tcPr>
            <w:tcW w:w="708" w:type="dxa"/>
            <w:vMerge w:val="restart"/>
          </w:tcPr>
          <w:p w14:paraId="08E17454" w14:textId="77777777" w:rsidR="003A71DE" w:rsidRPr="00CE0F04" w:rsidRDefault="003A71DE" w:rsidP="001A5D47">
            <w:pPr>
              <w:pStyle w:val="TAC"/>
            </w:pPr>
          </w:p>
        </w:tc>
        <w:tc>
          <w:tcPr>
            <w:tcW w:w="1418" w:type="dxa"/>
          </w:tcPr>
          <w:p w14:paraId="4C38831F" w14:textId="77777777" w:rsidR="003A71DE" w:rsidRPr="00CE0F04" w:rsidRDefault="003A71DE" w:rsidP="001A5D47">
            <w:pPr>
              <w:pStyle w:val="TAC"/>
              <w:rPr>
                <w:lang w:eastAsia="zh-CN"/>
              </w:rPr>
            </w:pPr>
            <w:r w:rsidRPr="00CE0F04">
              <w:rPr>
                <w:lang w:eastAsia="zh-CN"/>
              </w:rPr>
              <w:t>1</w:t>
            </w:r>
          </w:p>
        </w:tc>
        <w:tc>
          <w:tcPr>
            <w:tcW w:w="1446" w:type="dxa"/>
          </w:tcPr>
          <w:p w14:paraId="2F0B167A" w14:textId="77777777" w:rsidR="003A71DE" w:rsidRPr="00CE0F04" w:rsidRDefault="003A71DE" w:rsidP="001A5D47">
            <w:pPr>
              <w:pStyle w:val="TAC"/>
            </w:pPr>
            <w:r w:rsidRPr="00CE0F04">
              <w:rPr>
                <w:bCs/>
                <w:lang w:eastAsia="zh-CN"/>
              </w:rPr>
              <w:t>SSB.1 FR1</w:t>
            </w:r>
          </w:p>
        </w:tc>
        <w:tc>
          <w:tcPr>
            <w:tcW w:w="3232" w:type="dxa"/>
          </w:tcPr>
          <w:p w14:paraId="576A1478" w14:textId="77777777" w:rsidR="003A71DE" w:rsidRPr="00CE0F04" w:rsidRDefault="003A71DE" w:rsidP="001A5D47">
            <w:pPr>
              <w:pStyle w:val="TAC"/>
            </w:pPr>
          </w:p>
        </w:tc>
      </w:tr>
      <w:tr w:rsidR="003A71DE" w:rsidRPr="00CE0F04" w14:paraId="2D8417C4" w14:textId="77777777" w:rsidTr="003A71DE">
        <w:trPr>
          <w:cantSplit/>
        </w:trPr>
        <w:tc>
          <w:tcPr>
            <w:tcW w:w="2802" w:type="dxa"/>
            <w:gridSpan w:val="2"/>
            <w:tcBorders>
              <w:top w:val="nil"/>
              <w:bottom w:val="nil"/>
            </w:tcBorders>
            <w:shd w:val="clear" w:color="auto" w:fill="auto"/>
          </w:tcPr>
          <w:p w14:paraId="6A948B1F" w14:textId="77777777" w:rsidR="003A71DE" w:rsidRPr="00CE0F04" w:rsidRDefault="003A71DE" w:rsidP="001A5D47">
            <w:pPr>
              <w:pStyle w:val="TAL"/>
              <w:rPr>
                <w:rFonts w:cs="Arial"/>
                <w:szCs w:val="18"/>
                <w:lang w:eastAsia="zh-CN"/>
              </w:rPr>
            </w:pPr>
          </w:p>
        </w:tc>
        <w:tc>
          <w:tcPr>
            <w:tcW w:w="708" w:type="dxa"/>
            <w:vMerge/>
          </w:tcPr>
          <w:p w14:paraId="5FAA04C5" w14:textId="77777777" w:rsidR="003A71DE" w:rsidRPr="00CE0F04" w:rsidRDefault="003A71DE" w:rsidP="001A5D47">
            <w:pPr>
              <w:pStyle w:val="TAC"/>
            </w:pPr>
          </w:p>
        </w:tc>
        <w:tc>
          <w:tcPr>
            <w:tcW w:w="1418" w:type="dxa"/>
          </w:tcPr>
          <w:p w14:paraId="1885D19C" w14:textId="77777777" w:rsidR="003A71DE" w:rsidRPr="00CE0F04" w:rsidRDefault="003A71DE" w:rsidP="001A5D47">
            <w:pPr>
              <w:pStyle w:val="TAC"/>
              <w:rPr>
                <w:lang w:eastAsia="zh-CN"/>
              </w:rPr>
            </w:pPr>
            <w:r w:rsidRPr="00CE0F04">
              <w:rPr>
                <w:lang w:eastAsia="zh-CN"/>
              </w:rPr>
              <w:t>2</w:t>
            </w:r>
          </w:p>
        </w:tc>
        <w:tc>
          <w:tcPr>
            <w:tcW w:w="1446" w:type="dxa"/>
          </w:tcPr>
          <w:p w14:paraId="60C7118E" w14:textId="77777777" w:rsidR="003A71DE" w:rsidRPr="00CE0F04" w:rsidRDefault="003A71DE" w:rsidP="001A5D47">
            <w:pPr>
              <w:pStyle w:val="TAC"/>
            </w:pPr>
            <w:r w:rsidRPr="00CE0F04">
              <w:rPr>
                <w:bCs/>
                <w:lang w:eastAsia="zh-CN"/>
              </w:rPr>
              <w:t>SSB.2 FR1</w:t>
            </w:r>
          </w:p>
        </w:tc>
        <w:tc>
          <w:tcPr>
            <w:tcW w:w="3232" w:type="dxa"/>
          </w:tcPr>
          <w:p w14:paraId="4FF96427" w14:textId="77777777" w:rsidR="003A71DE" w:rsidRPr="00CE0F04" w:rsidRDefault="003A71DE" w:rsidP="001A5D47">
            <w:pPr>
              <w:pStyle w:val="TAC"/>
            </w:pPr>
          </w:p>
        </w:tc>
      </w:tr>
      <w:tr w:rsidR="003A71DE" w:rsidRPr="00CE0F04" w14:paraId="0BD92320" w14:textId="77777777" w:rsidTr="003A71DE">
        <w:trPr>
          <w:cantSplit/>
        </w:trPr>
        <w:tc>
          <w:tcPr>
            <w:tcW w:w="2802" w:type="dxa"/>
            <w:gridSpan w:val="2"/>
            <w:tcBorders>
              <w:bottom w:val="nil"/>
            </w:tcBorders>
            <w:shd w:val="clear" w:color="auto" w:fill="auto"/>
          </w:tcPr>
          <w:p w14:paraId="3F908DC0" w14:textId="77777777" w:rsidR="003A71DE" w:rsidRPr="00CE0F04" w:rsidRDefault="003A71DE" w:rsidP="001A5D47">
            <w:pPr>
              <w:pStyle w:val="TAL"/>
              <w:rPr>
                <w:rFonts w:cs="Arial"/>
                <w:szCs w:val="18"/>
                <w:lang w:eastAsia="zh-CN"/>
              </w:rPr>
            </w:pPr>
            <w:r w:rsidRPr="00CE0F04">
              <w:rPr>
                <w:rFonts w:cs="Arial"/>
                <w:szCs w:val="18"/>
                <w:lang w:eastAsia="zh-CN"/>
              </w:rPr>
              <w:t>SMTC configuration</w:t>
            </w:r>
          </w:p>
        </w:tc>
        <w:tc>
          <w:tcPr>
            <w:tcW w:w="708" w:type="dxa"/>
            <w:vMerge w:val="restart"/>
          </w:tcPr>
          <w:p w14:paraId="279AC688" w14:textId="77777777" w:rsidR="003A71DE" w:rsidRPr="00CE0F04" w:rsidRDefault="003A71DE" w:rsidP="001A5D47">
            <w:pPr>
              <w:pStyle w:val="TAC"/>
              <w:rPr>
                <w:lang w:eastAsia="zh-CN"/>
              </w:rPr>
            </w:pPr>
          </w:p>
        </w:tc>
        <w:tc>
          <w:tcPr>
            <w:tcW w:w="1418" w:type="dxa"/>
          </w:tcPr>
          <w:p w14:paraId="77BF29B1" w14:textId="77777777" w:rsidR="003A71DE" w:rsidRPr="00CE0F04" w:rsidRDefault="003A71DE" w:rsidP="001A5D47">
            <w:pPr>
              <w:pStyle w:val="TAC"/>
              <w:rPr>
                <w:bCs/>
                <w:lang w:eastAsia="zh-CN"/>
              </w:rPr>
            </w:pPr>
            <w:r w:rsidRPr="00CE0F04">
              <w:rPr>
                <w:bCs/>
                <w:lang w:eastAsia="zh-CN"/>
              </w:rPr>
              <w:t>1</w:t>
            </w:r>
          </w:p>
        </w:tc>
        <w:tc>
          <w:tcPr>
            <w:tcW w:w="1446" w:type="dxa"/>
          </w:tcPr>
          <w:p w14:paraId="7BAF66C7" w14:textId="77777777" w:rsidR="003A71DE" w:rsidRPr="00CE0F04" w:rsidRDefault="003A71DE" w:rsidP="001A5D47">
            <w:pPr>
              <w:pStyle w:val="TAC"/>
              <w:rPr>
                <w:bCs/>
                <w:lang w:eastAsia="zh-CN"/>
              </w:rPr>
            </w:pPr>
            <w:r w:rsidRPr="00CE0F04">
              <w:rPr>
                <w:bCs/>
                <w:lang w:eastAsia="zh-CN"/>
              </w:rPr>
              <w:t>SMTC pattern 1</w:t>
            </w:r>
          </w:p>
        </w:tc>
        <w:tc>
          <w:tcPr>
            <w:tcW w:w="3232" w:type="dxa"/>
          </w:tcPr>
          <w:p w14:paraId="1306EDB0" w14:textId="77777777" w:rsidR="003A71DE" w:rsidRPr="00CE0F04" w:rsidRDefault="003A71DE" w:rsidP="001A5D47">
            <w:pPr>
              <w:pStyle w:val="TAC"/>
              <w:rPr>
                <w:bCs/>
                <w:lang w:eastAsia="zh-CN"/>
              </w:rPr>
            </w:pPr>
          </w:p>
        </w:tc>
      </w:tr>
      <w:tr w:rsidR="003A71DE" w:rsidRPr="00CE0F04" w14:paraId="35236B72" w14:textId="77777777" w:rsidTr="003A71DE">
        <w:trPr>
          <w:cantSplit/>
        </w:trPr>
        <w:tc>
          <w:tcPr>
            <w:tcW w:w="2802" w:type="dxa"/>
            <w:gridSpan w:val="2"/>
            <w:tcBorders>
              <w:top w:val="nil"/>
              <w:bottom w:val="nil"/>
            </w:tcBorders>
            <w:shd w:val="clear" w:color="auto" w:fill="auto"/>
          </w:tcPr>
          <w:p w14:paraId="24254038" w14:textId="77777777" w:rsidR="003A71DE" w:rsidRPr="00CE0F04" w:rsidRDefault="003A71DE" w:rsidP="001A5D47">
            <w:pPr>
              <w:pStyle w:val="TAL"/>
              <w:rPr>
                <w:rFonts w:cs="Arial"/>
                <w:szCs w:val="18"/>
                <w:lang w:eastAsia="zh-CN"/>
              </w:rPr>
            </w:pPr>
          </w:p>
        </w:tc>
        <w:tc>
          <w:tcPr>
            <w:tcW w:w="708" w:type="dxa"/>
            <w:vMerge/>
          </w:tcPr>
          <w:p w14:paraId="441D63A9" w14:textId="77777777" w:rsidR="003A71DE" w:rsidRPr="00CE0F04" w:rsidRDefault="003A71DE" w:rsidP="001A5D47">
            <w:pPr>
              <w:pStyle w:val="TAC"/>
              <w:rPr>
                <w:lang w:eastAsia="zh-CN"/>
              </w:rPr>
            </w:pPr>
          </w:p>
        </w:tc>
        <w:tc>
          <w:tcPr>
            <w:tcW w:w="1418" w:type="dxa"/>
          </w:tcPr>
          <w:p w14:paraId="36851087" w14:textId="77777777" w:rsidR="003A71DE" w:rsidRPr="00CE0F04" w:rsidRDefault="003A71DE" w:rsidP="001A5D47">
            <w:pPr>
              <w:pStyle w:val="TAC"/>
              <w:rPr>
                <w:bCs/>
                <w:lang w:eastAsia="zh-CN"/>
              </w:rPr>
            </w:pPr>
            <w:r w:rsidRPr="00CE0F04">
              <w:rPr>
                <w:bCs/>
                <w:lang w:eastAsia="zh-CN"/>
              </w:rPr>
              <w:t>2</w:t>
            </w:r>
          </w:p>
        </w:tc>
        <w:tc>
          <w:tcPr>
            <w:tcW w:w="1446" w:type="dxa"/>
          </w:tcPr>
          <w:p w14:paraId="29D7E57C" w14:textId="77777777" w:rsidR="003A71DE" w:rsidRPr="00CE0F04" w:rsidRDefault="003A71DE" w:rsidP="001A5D47">
            <w:pPr>
              <w:pStyle w:val="TAC"/>
              <w:rPr>
                <w:bCs/>
                <w:lang w:eastAsia="zh-CN"/>
              </w:rPr>
            </w:pPr>
            <w:r w:rsidRPr="00CE0F04">
              <w:rPr>
                <w:bCs/>
                <w:lang w:eastAsia="zh-CN"/>
              </w:rPr>
              <w:t>SMTC pattern 1</w:t>
            </w:r>
          </w:p>
        </w:tc>
        <w:tc>
          <w:tcPr>
            <w:tcW w:w="3232" w:type="dxa"/>
          </w:tcPr>
          <w:p w14:paraId="5A8B82BD" w14:textId="77777777" w:rsidR="003A71DE" w:rsidRPr="00CE0F04" w:rsidRDefault="003A71DE" w:rsidP="001A5D47">
            <w:pPr>
              <w:pStyle w:val="TAC"/>
              <w:rPr>
                <w:bCs/>
                <w:lang w:eastAsia="zh-CN"/>
              </w:rPr>
            </w:pPr>
          </w:p>
        </w:tc>
      </w:tr>
      <w:tr w:rsidR="003A71DE" w:rsidRPr="00CE0F04" w14:paraId="1B6994F1" w14:textId="77777777" w:rsidTr="003A71DE">
        <w:trPr>
          <w:cantSplit/>
        </w:trPr>
        <w:tc>
          <w:tcPr>
            <w:tcW w:w="2802" w:type="dxa"/>
            <w:gridSpan w:val="2"/>
          </w:tcPr>
          <w:p w14:paraId="2ADDC5A3" w14:textId="77777777" w:rsidR="003A71DE" w:rsidRPr="00CE0F04" w:rsidRDefault="003A71DE" w:rsidP="001A5D47">
            <w:pPr>
              <w:pStyle w:val="TAL"/>
              <w:rPr>
                <w:rFonts w:cs="Arial"/>
                <w:szCs w:val="18"/>
              </w:rPr>
            </w:pPr>
            <w:r w:rsidRPr="00CE0F04">
              <w:rPr>
                <w:rFonts w:cs="Arial"/>
                <w:szCs w:val="18"/>
              </w:rPr>
              <w:t>DRX cycle length</w:t>
            </w:r>
          </w:p>
        </w:tc>
        <w:tc>
          <w:tcPr>
            <w:tcW w:w="708" w:type="dxa"/>
          </w:tcPr>
          <w:p w14:paraId="18F3D429" w14:textId="77777777" w:rsidR="003A71DE" w:rsidRPr="00CE0F04" w:rsidRDefault="003A71DE" w:rsidP="001A5D47">
            <w:pPr>
              <w:pStyle w:val="TAC"/>
            </w:pPr>
            <w:r w:rsidRPr="00CE0F04">
              <w:t>s</w:t>
            </w:r>
          </w:p>
        </w:tc>
        <w:tc>
          <w:tcPr>
            <w:tcW w:w="1418" w:type="dxa"/>
          </w:tcPr>
          <w:p w14:paraId="5D1EE97B" w14:textId="77777777" w:rsidR="003A71DE" w:rsidRPr="00CE0F04" w:rsidRDefault="003A71DE" w:rsidP="001A5D47">
            <w:pPr>
              <w:pStyle w:val="TAC"/>
            </w:pPr>
            <w:r w:rsidRPr="00CE0F04">
              <w:rPr>
                <w:lang w:eastAsia="zh-CN"/>
              </w:rPr>
              <w:t>1, 2</w:t>
            </w:r>
          </w:p>
        </w:tc>
        <w:tc>
          <w:tcPr>
            <w:tcW w:w="1446" w:type="dxa"/>
          </w:tcPr>
          <w:p w14:paraId="05F0038E" w14:textId="77777777" w:rsidR="003A71DE" w:rsidRPr="00CE0F04" w:rsidRDefault="003A71DE" w:rsidP="001A5D47">
            <w:pPr>
              <w:pStyle w:val="TAC"/>
            </w:pPr>
            <w:r w:rsidRPr="00CE0F04">
              <w:t>OFF</w:t>
            </w:r>
          </w:p>
        </w:tc>
        <w:tc>
          <w:tcPr>
            <w:tcW w:w="3232" w:type="dxa"/>
          </w:tcPr>
          <w:p w14:paraId="63C51954" w14:textId="77777777" w:rsidR="003A71DE" w:rsidRPr="00CE0F04" w:rsidRDefault="003A71DE" w:rsidP="001A5D47">
            <w:pPr>
              <w:pStyle w:val="TAC"/>
            </w:pPr>
          </w:p>
        </w:tc>
      </w:tr>
      <w:tr w:rsidR="003A71DE" w:rsidRPr="00CE0F04" w14:paraId="629E1E42" w14:textId="77777777" w:rsidTr="003A71DE">
        <w:trPr>
          <w:cantSplit/>
        </w:trPr>
        <w:tc>
          <w:tcPr>
            <w:tcW w:w="2802" w:type="dxa"/>
            <w:gridSpan w:val="2"/>
          </w:tcPr>
          <w:p w14:paraId="3C83AAD5" w14:textId="77777777" w:rsidR="003A71DE" w:rsidRPr="00CE0F04" w:rsidRDefault="003A71DE" w:rsidP="001A5D47">
            <w:pPr>
              <w:pStyle w:val="TAL"/>
              <w:rPr>
                <w:rFonts w:cs="Arial"/>
                <w:szCs w:val="18"/>
                <w:lang w:eastAsia="zh-CN"/>
              </w:rPr>
            </w:pPr>
            <w:r w:rsidRPr="00CE0F04">
              <w:rPr>
                <w:rFonts w:cs="Arial"/>
                <w:szCs w:val="18"/>
                <w:lang w:eastAsia="zh-CN"/>
              </w:rPr>
              <w:t>PRACH configuration</w:t>
            </w:r>
          </w:p>
        </w:tc>
        <w:tc>
          <w:tcPr>
            <w:tcW w:w="708" w:type="dxa"/>
          </w:tcPr>
          <w:p w14:paraId="223D7995" w14:textId="77777777" w:rsidR="003A71DE" w:rsidRPr="00CE0F04" w:rsidRDefault="003A71DE" w:rsidP="001A5D47">
            <w:pPr>
              <w:pStyle w:val="TAC"/>
            </w:pPr>
          </w:p>
        </w:tc>
        <w:tc>
          <w:tcPr>
            <w:tcW w:w="1418" w:type="dxa"/>
          </w:tcPr>
          <w:p w14:paraId="2B6E188E" w14:textId="77777777" w:rsidR="003A71DE" w:rsidRPr="00CE0F04" w:rsidRDefault="003A71DE" w:rsidP="001A5D47">
            <w:pPr>
              <w:pStyle w:val="TAC"/>
              <w:rPr>
                <w:lang w:eastAsia="zh-CN"/>
              </w:rPr>
            </w:pPr>
            <w:r w:rsidRPr="00CE0F04">
              <w:rPr>
                <w:lang w:eastAsia="zh-CN"/>
              </w:rPr>
              <w:t>1, 2</w:t>
            </w:r>
          </w:p>
        </w:tc>
        <w:tc>
          <w:tcPr>
            <w:tcW w:w="1446" w:type="dxa"/>
          </w:tcPr>
          <w:p w14:paraId="39B0C7BE" w14:textId="77777777" w:rsidR="003A71DE" w:rsidRPr="00CE0F04" w:rsidRDefault="003A71DE" w:rsidP="001A5D47">
            <w:pPr>
              <w:pStyle w:val="TAC"/>
              <w:rPr>
                <w:lang w:eastAsia="zh-CN"/>
              </w:rPr>
            </w:pPr>
            <w:r w:rsidRPr="00CE0F04">
              <w:rPr>
                <w:lang w:eastAsia="zh-CN"/>
              </w:rPr>
              <w:t>FR1 PRACH configuration 1</w:t>
            </w:r>
          </w:p>
        </w:tc>
        <w:tc>
          <w:tcPr>
            <w:tcW w:w="3232" w:type="dxa"/>
          </w:tcPr>
          <w:p w14:paraId="4DEB9ACA" w14:textId="77777777" w:rsidR="003A71DE" w:rsidRPr="00CE0F04" w:rsidRDefault="003A71DE" w:rsidP="001A5D47">
            <w:pPr>
              <w:pStyle w:val="TAC"/>
              <w:rPr>
                <w:lang w:eastAsia="zh-CN"/>
              </w:rPr>
            </w:pPr>
            <w:r w:rsidRPr="00CE0F04">
              <w:rPr>
                <w:lang w:eastAsia="zh-CN"/>
              </w:rPr>
              <w:t>TBD</w:t>
            </w:r>
          </w:p>
        </w:tc>
      </w:tr>
      <w:tr w:rsidR="003A71DE" w:rsidRPr="00CE0F04" w14:paraId="41F8A1B0" w14:textId="77777777" w:rsidTr="003A71DE">
        <w:trPr>
          <w:cantSplit/>
        </w:trPr>
        <w:tc>
          <w:tcPr>
            <w:tcW w:w="2802" w:type="dxa"/>
            <w:gridSpan w:val="2"/>
          </w:tcPr>
          <w:p w14:paraId="66FBB2E0" w14:textId="77777777" w:rsidR="003A71DE" w:rsidRPr="00CE0F04" w:rsidRDefault="003A71DE" w:rsidP="001A5D47">
            <w:pPr>
              <w:pStyle w:val="TAL"/>
              <w:rPr>
                <w:rFonts w:cs="Arial"/>
                <w:szCs w:val="18"/>
              </w:rPr>
            </w:pPr>
            <w:r w:rsidRPr="00CE0F04">
              <w:rPr>
                <w:rFonts w:cs="Arial"/>
                <w:szCs w:val="18"/>
                <w:lang w:eastAsia="zh-CN"/>
              </w:rPr>
              <w:t>T1</w:t>
            </w:r>
          </w:p>
        </w:tc>
        <w:tc>
          <w:tcPr>
            <w:tcW w:w="708" w:type="dxa"/>
          </w:tcPr>
          <w:p w14:paraId="610A209A" w14:textId="77777777" w:rsidR="003A71DE" w:rsidRPr="00CE0F04" w:rsidRDefault="003A71DE" w:rsidP="001A5D47">
            <w:pPr>
              <w:pStyle w:val="TAC"/>
            </w:pPr>
            <w:r w:rsidRPr="00CE0F04">
              <w:rPr>
                <w:lang w:eastAsia="zh-CN"/>
              </w:rPr>
              <w:t>s</w:t>
            </w:r>
          </w:p>
        </w:tc>
        <w:tc>
          <w:tcPr>
            <w:tcW w:w="1418" w:type="dxa"/>
          </w:tcPr>
          <w:p w14:paraId="5C919CFE" w14:textId="77777777" w:rsidR="003A71DE" w:rsidRPr="00CE0F04" w:rsidRDefault="003A71DE" w:rsidP="001A5D47">
            <w:pPr>
              <w:pStyle w:val="TAC"/>
              <w:rPr>
                <w:lang w:eastAsia="zh-CN"/>
              </w:rPr>
            </w:pPr>
            <w:r w:rsidRPr="00CE0F04">
              <w:rPr>
                <w:lang w:eastAsia="zh-CN"/>
              </w:rPr>
              <w:t>1, 2</w:t>
            </w:r>
          </w:p>
        </w:tc>
        <w:tc>
          <w:tcPr>
            <w:tcW w:w="1446" w:type="dxa"/>
          </w:tcPr>
          <w:p w14:paraId="5940AF70" w14:textId="77777777" w:rsidR="003A71DE" w:rsidRPr="00CE0F04" w:rsidRDefault="003A71DE" w:rsidP="001A5D47">
            <w:pPr>
              <w:pStyle w:val="TAC"/>
            </w:pPr>
            <w:r w:rsidRPr="00CE0F04">
              <w:rPr>
                <w:lang w:eastAsia="zh-CN"/>
              </w:rPr>
              <w:t>20</w:t>
            </w:r>
          </w:p>
        </w:tc>
        <w:tc>
          <w:tcPr>
            <w:tcW w:w="3232" w:type="dxa"/>
          </w:tcPr>
          <w:p w14:paraId="21973C7F" w14:textId="77777777" w:rsidR="003A71DE" w:rsidRPr="00CE0F04" w:rsidRDefault="003A71DE" w:rsidP="001A5D47">
            <w:pPr>
              <w:pStyle w:val="TAC"/>
            </w:pPr>
          </w:p>
        </w:tc>
      </w:tr>
      <w:tr w:rsidR="003A71DE" w:rsidRPr="00CE0F04" w14:paraId="6F5A5C9B" w14:textId="77777777" w:rsidTr="003A71DE">
        <w:trPr>
          <w:cantSplit/>
        </w:trPr>
        <w:tc>
          <w:tcPr>
            <w:tcW w:w="2802" w:type="dxa"/>
            <w:gridSpan w:val="2"/>
          </w:tcPr>
          <w:p w14:paraId="7A5FB6B3" w14:textId="77777777" w:rsidR="003A71DE" w:rsidRPr="00CE0F04" w:rsidRDefault="003A71DE" w:rsidP="001A5D47">
            <w:pPr>
              <w:pStyle w:val="TAL"/>
              <w:rPr>
                <w:rFonts w:cs="Arial"/>
                <w:szCs w:val="18"/>
              </w:rPr>
            </w:pPr>
            <w:r w:rsidRPr="00CE0F04">
              <w:rPr>
                <w:rFonts w:cs="Arial"/>
                <w:szCs w:val="18"/>
              </w:rPr>
              <w:t>T</w:t>
            </w:r>
            <w:r w:rsidRPr="00CE0F04">
              <w:rPr>
                <w:rFonts w:cs="Arial"/>
                <w:szCs w:val="18"/>
                <w:lang w:eastAsia="zh-CN"/>
              </w:rPr>
              <w:t>2</w:t>
            </w:r>
          </w:p>
        </w:tc>
        <w:tc>
          <w:tcPr>
            <w:tcW w:w="708" w:type="dxa"/>
          </w:tcPr>
          <w:p w14:paraId="44F0E218" w14:textId="77777777" w:rsidR="003A71DE" w:rsidRPr="00CE0F04" w:rsidRDefault="003A71DE" w:rsidP="001A5D47">
            <w:pPr>
              <w:pStyle w:val="TAC"/>
            </w:pPr>
            <w:r w:rsidRPr="00CE0F04">
              <w:t>ms</w:t>
            </w:r>
          </w:p>
        </w:tc>
        <w:tc>
          <w:tcPr>
            <w:tcW w:w="1418" w:type="dxa"/>
          </w:tcPr>
          <w:p w14:paraId="681E904D" w14:textId="77777777" w:rsidR="003A71DE" w:rsidRPr="00CE0F04" w:rsidRDefault="003A71DE" w:rsidP="001A5D47">
            <w:pPr>
              <w:pStyle w:val="TAC"/>
              <w:rPr>
                <w:lang w:eastAsia="zh-CN"/>
              </w:rPr>
            </w:pPr>
            <w:r w:rsidRPr="00CE0F04">
              <w:rPr>
                <w:lang w:eastAsia="zh-CN"/>
              </w:rPr>
              <w:t>1, 2</w:t>
            </w:r>
          </w:p>
        </w:tc>
        <w:tc>
          <w:tcPr>
            <w:tcW w:w="1446" w:type="dxa"/>
          </w:tcPr>
          <w:p w14:paraId="7792D527" w14:textId="77777777" w:rsidR="003A71DE" w:rsidRPr="00CE0F04" w:rsidRDefault="003A71DE" w:rsidP="001A5D47">
            <w:pPr>
              <w:pStyle w:val="TAC"/>
            </w:pPr>
            <w:r w:rsidRPr="00CE0F04">
              <w:rPr>
                <w:lang w:eastAsia="zh-CN"/>
              </w:rPr>
              <w:t>1000</w:t>
            </w:r>
          </w:p>
        </w:tc>
        <w:tc>
          <w:tcPr>
            <w:tcW w:w="3232" w:type="dxa"/>
          </w:tcPr>
          <w:p w14:paraId="57082AAF" w14:textId="77777777" w:rsidR="003A71DE" w:rsidRPr="00CE0F04" w:rsidRDefault="003A71DE" w:rsidP="001A5D47">
            <w:pPr>
              <w:pStyle w:val="TAC"/>
              <w:rPr>
                <w:lang w:eastAsia="zh-CN"/>
              </w:rPr>
            </w:pPr>
            <w:r w:rsidRPr="00CE0F04">
              <w:rPr>
                <w:lang w:eastAsia="zh-CN"/>
              </w:rPr>
              <w:t>Time for the IAB-MT to detect RLF</w:t>
            </w:r>
          </w:p>
        </w:tc>
      </w:tr>
      <w:tr w:rsidR="003A71DE" w:rsidRPr="00CE0F04" w14:paraId="01738D5F" w14:textId="77777777" w:rsidTr="003A71DE">
        <w:trPr>
          <w:cantSplit/>
        </w:trPr>
        <w:tc>
          <w:tcPr>
            <w:tcW w:w="2802" w:type="dxa"/>
            <w:gridSpan w:val="2"/>
          </w:tcPr>
          <w:p w14:paraId="789F88C3" w14:textId="77777777" w:rsidR="003A71DE" w:rsidRPr="00CE0F04" w:rsidRDefault="003A71DE" w:rsidP="001A5D47">
            <w:pPr>
              <w:pStyle w:val="TAL"/>
              <w:rPr>
                <w:rFonts w:cs="Arial"/>
                <w:szCs w:val="18"/>
              </w:rPr>
            </w:pPr>
            <w:r w:rsidRPr="00CE0F04">
              <w:rPr>
                <w:rFonts w:cs="Arial"/>
                <w:szCs w:val="18"/>
              </w:rPr>
              <w:t>T</w:t>
            </w:r>
            <w:r w:rsidRPr="00CE0F04">
              <w:rPr>
                <w:rFonts w:cs="Arial"/>
                <w:szCs w:val="18"/>
                <w:lang w:eastAsia="zh-CN"/>
              </w:rPr>
              <w:t>3</w:t>
            </w:r>
          </w:p>
        </w:tc>
        <w:tc>
          <w:tcPr>
            <w:tcW w:w="708" w:type="dxa"/>
          </w:tcPr>
          <w:p w14:paraId="1B4E94C2" w14:textId="77777777" w:rsidR="003A71DE" w:rsidRPr="00CE0F04" w:rsidRDefault="003A71DE" w:rsidP="001A5D47">
            <w:pPr>
              <w:pStyle w:val="TAC"/>
            </w:pPr>
            <w:r w:rsidRPr="00CE0F04">
              <w:t>s</w:t>
            </w:r>
          </w:p>
        </w:tc>
        <w:tc>
          <w:tcPr>
            <w:tcW w:w="1418" w:type="dxa"/>
          </w:tcPr>
          <w:p w14:paraId="30AD89F4" w14:textId="77777777" w:rsidR="003A71DE" w:rsidRPr="00CE0F04" w:rsidRDefault="003A71DE" w:rsidP="001A5D47">
            <w:pPr>
              <w:pStyle w:val="TAC"/>
            </w:pPr>
            <w:r w:rsidRPr="00CE0F04">
              <w:rPr>
                <w:lang w:eastAsia="zh-CN"/>
              </w:rPr>
              <w:t>1, 2</w:t>
            </w:r>
          </w:p>
        </w:tc>
        <w:tc>
          <w:tcPr>
            <w:tcW w:w="1446" w:type="dxa"/>
          </w:tcPr>
          <w:p w14:paraId="0C922751" w14:textId="77777777" w:rsidR="003A71DE" w:rsidRPr="00CE0F04" w:rsidRDefault="003A71DE" w:rsidP="001A5D47">
            <w:pPr>
              <w:pStyle w:val="TAC"/>
            </w:pPr>
            <w:r w:rsidRPr="00CE0F04">
              <w:t>20</w:t>
            </w:r>
          </w:p>
        </w:tc>
        <w:tc>
          <w:tcPr>
            <w:tcW w:w="3232" w:type="dxa"/>
          </w:tcPr>
          <w:p w14:paraId="5DFB0173" w14:textId="77777777" w:rsidR="003A71DE" w:rsidRPr="00CE0F04" w:rsidRDefault="003A71DE" w:rsidP="001A5D47">
            <w:pPr>
              <w:pStyle w:val="TAC"/>
            </w:pPr>
          </w:p>
        </w:tc>
      </w:tr>
    </w:tbl>
    <w:p w14:paraId="49031AE7" w14:textId="77777777" w:rsidR="003A71DE" w:rsidRPr="00CE0F04" w:rsidRDefault="003A71DE" w:rsidP="003A71DE"/>
    <w:p w14:paraId="172BDBE6" w14:textId="77777777" w:rsidR="003A71DE" w:rsidRPr="00CE0F04" w:rsidRDefault="003A71DE" w:rsidP="00BA0D24">
      <w:pPr>
        <w:pStyle w:val="TH"/>
      </w:pPr>
      <w:r w:rsidRPr="00CE0F04">
        <w:lastRenderedPageBreak/>
        <w:t>Table G.2.1.1.1.1.1-3: Cell specific test parameters for NR inter-frequency RRC Re-establishment test case in FR1</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0"/>
        <w:gridCol w:w="1793"/>
        <w:gridCol w:w="1418"/>
        <w:gridCol w:w="960"/>
        <w:gridCol w:w="32"/>
        <w:gridCol w:w="853"/>
        <w:gridCol w:w="899"/>
        <w:gridCol w:w="802"/>
        <w:gridCol w:w="8"/>
        <w:gridCol w:w="825"/>
        <w:gridCol w:w="17"/>
        <w:gridCol w:w="767"/>
      </w:tblGrid>
      <w:tr w:rsidR="003A71DE" w:rsidRPr="00CE0F04" w14:paraId="79F39C4C" w14:textId="77777777" w:rsidTr="003A71DE">
        <w:trPr>
          <w:cantSplit/>
          <w:jc w:val="center"/>
        </w:trPr>
        <w:tc>
          <w:tcPr>
            <w:tcW w:w="1950" w:type="dxa"/>
            <w:tcBorders>
              <w:top w:val="single" w:sz="4" w:space="0" w:color="auto"/>
              <w:left w:val="single" w:sz="4" w:space="0" w:color="auto"/>
              <w:bottom w:val="nil"/>
            </w:tcBorders>
            <w:shd w:val="clear" w:color="auto" w:fill="auto"/>
          </w:tcPr>
          <w:p w14:paraId="089FCC8B" w14:textId="77777777" w:rsidR="003A71DE" w:rsidRPr="00CE0F04" w:rsidRDefault="003A71DE" w:rsidP="001A5D47">
            <w:pPr>
              <w:pStyle w:val="TAH"/>
            </w:pPr>
            <w:r w:rsidRPr="00CE0F04">
              <w:t>Parameter</w:t>
            </w:r>
          </w:p>
        </w:tc>
        <w:tc>
          <w:tcPr>
            <w:tcW w:w="1793" w:type="dxa"/>
            <w:tcBorders>
              <w:top w:val="single" w:sz="4" w:space="0" w:color="auto"/>
              <w:bottom w:val="nil"/>
            </w:tcBorders>
            <w:shd w:val="clear" w:color="auto" w:fill="auto"/>
          </w:tcPr>
          <w:p w14:paraId="757696A2" w14:textId="77777777" w:rsidR="003A71DE" w:rsidRPr="00CE0F04" w:rsidRDefault="003A71DE" w:rsidP="001A5D47">
            <w:pPr>
              <w:pStyle w:val="TAH"/>
            </w:pPr>
            <w:r w:rsidRPr="00CE0F04">
              <w:t>Unit</w:t>
            </w:r>
          </w:p>
        </w:tc>
        <w:tc>
          <w:tcPr>
            <w:tcW w:w="1418" w:type="dxa"/>
            <w:tcBorders>
              <w:top w:val="single" w:sz="4" w:space="0" w:color="auto"/>
              <w:bottom w:val="nil"/>
            </w:tcBorders>
            <w:shd w:val="clear" w:color="auto" w:fill="auto"/>
          </w:tcPr>
          <w:p w14:paraId="617DB026" w14:textId="77777777" w:rsidR="003A71DE" w:rsidRPr="00CE0F04" w:rsidRDefault="003A71DE" w:rsidP="001A5D47">
            <w:pPr>
              <w:pStyle w:val="TAH"/>
              <w:rPr>
                <w:lang w:eastAsia="zh-CN"/>
              </w:rPr>
            </w:pPr>
            <w:r w:rsidRPr="00CE0F04">
              <w:rPr>
                <w:lang w:eastAsia="zh-CN"/>
              </w:rPr>
              <w:t>Test configuration</w:t>
            </w:r>
          </w:p>
        </w:tc>
        <w:tc>
          <w:tcPr>
            <w:tcW w:w="2744" w:type="dxa"/>
            <w:gridSpan w:val="4"/>
            <w:tcBorders>
              <w:top w:val="single" w:sz="4" w:space="0" w:color="auto"/>
            </w:tcBorders>
          </w:tcPr>
          <w:p w14:paraId="2DDB7FD7" w14:textId="77777777" w:rsidR="003A71DE" w:rsidRPr="00CE0F04" w:rsidRDefault="003A71DE" w:rsidP="001A5D47">
            <w:pPr>
              <w:pStyle w:val="TAH"/>
            </w:pPr>
            <w:r w:rsidRPr="00CE0F04">
              <w:t>Cell 1</w:t>
            </w:r>
          </w:p>
        </w:tc>
        <w:tc>
          <w:tcPr>
            <w:tcW w:w="2419" w:type="dxa"/>
            <w:gridSpan w:val="5"/>
            <w:tcBorders>
              <w:top w:val="single" w:sz="4" w:space="0" w:color="auto"/>
              <w:right w:val="single" w:sz="4" w:space="0" w:color="auto"/>
            </w:tcBorders>
          </w:tcPr>
          <w:p w14:paraId="58C4335F" w14:textId="77777777" w:rsidR="003A71DE" w:rsidRPr="00CE0F04" w:rsidRDefault="003A71DE" w:rsidP="001A5D47">
            <w:pPr>
              <w:pStyle w:val="TAH"/>
            </w:pPr>
            <w:r w:rsidRPr="00CE0F04">
              <w:t>Cell 2</w:t>
            </w:r>
          </w:p>
        </w:tc>
      </w:tr>
      <w:tr w:rsidR="003A71DE" w:rsidRPr="00CE0F04" w14:paraId="7CFD612B" w14:textId="77777777" w:rsidTr="003A71DE">
        <w:trPr>
          <w:cantSplit/>
          <w:jc w:val="center"/>
        </w:trPr>
        <w:tc>
          <w:tcPr>
            <w:tcW w:w="1950" w:type="dxa"/>
            <w:tcBorders>
              <w:top w:val="nil"/>
              <w:left w:val="single" w:sz="4" w:space="0" w:color="auto"/>
              <w:bottom w:val="single" w:sz="4" w:space="0" w:color="auto"/>
            </w:tcBorders>
            <w:shd w:val="clear" w:color="auto" w:fill="auto"/>
          </w:tcPr>
          <w:p w14:paraId="11C0192E" w14:textId="77777777" w:rsidR="003A71DE" w:rsidRPr="00CE0F04" w:rsidRDefault="003A71DE" w:rsidP="001A5D47">
            <w:pPr>
              <w:pStyle w:val="TAH"/>
            </w:pPr>
          </w:p>
        </w:tc>
        <w:tc>
          <w:tcPr>
            <w:tcW w:w="1793" w:type="dxa"/>
            <w:tcBorders>
              <w:top w:val="nil"/>
              <w:bottom w:val="single" w:sz="4" w:space="0" w:color="auto"/>
            </w:tcBorders>
            <w:shd w:val="clear" w:color="auto" w:fill="auto"/>
          </w:tcPr>
          <w:p w14:paraId="1192C012" w14:textId="77777777" w:rsidR="003A71DE" w:rsidRPr="00CE0F04" w:rsidRDefault="003A71DE" w:rsidP="001A5D47">
            <w:pPr>
              <w:pStyle w:val="TAH"/>
            </w:pPr>
          </w:p>
        </w:tc>
        <w:tc>
          <w:tcPr>
            <w:tcW w:w="1418" w:type="dxa"/>
            <w:tcBorders>
              <w:top w:val="nil"/>
              <w:bottom w:val="single" w:sz="4" w:space="0" w:color="auto"/>
            </w:tcBorders>
            <w:shd w:val="clear" w:color="auto" w:fill="auto"/>
          </w:tcPr>
          <w:p w14:paraId="45DF3B85" w14:textId="77777777" w:rsidR="003A71DE" w:rsidRPr="00CE0F04" w:rsidRDefault="003A71DE" w:rsidP="001A5D47">
            <w:pPr>
              <w:pStyle w:val="TAH"/>
            </w:pPr>
          </w:p>
        </w:tc>
        <w:tc>
          <w:tcPr>
            <w:tcW w:w="992" w:type="dxa"/>
            <w:gridSpan w:val="2"/>
            <w:tcBorders>
              <w:bottom w:val="single" w:sz="4" w:space="0" w:color="auto"/>
            </w:tcBorders>
          </w:tcPr>
          <w:p w14:paraId="1FFB3403" w14:textId="77777777" w:rsidR="003A71DE" w:rsidRPr="00CE0F04" w:rsidRDefault="003A71DE" w:rsidP="001A5D47">
            <w:pPr>
              <w:pStyle w:val="TAH"/>
            </w:pPr>
            <w:r w:rsidRPr="00CE0F04">
              <w:t>T1</w:t>
            </w:r>
          </w:p>
        </w:tc>
        <w:tc>
          <w:tcPr>
            <w:tcW w:w="853" w:type="dxa"/>
            <w:tcBorders>
              <w:bottom w:val="single" w:sz="4" w:space="0" w:color="auto"/>
            </w:tcBorders>
          </w:tcPr>
          <w:p w14:paraId="030710A4" w14:textId="77777777" w:rsidR="003A71DE" w:rsidRPr="00CE0F04" w:rsidRDefault="003A71DE" w:rsidP="001A5D47">
            <w:pPr>
              <w:pStyle w:val="TAH"/>
            </w:pPr>
            <w:r w:rsidRPr="00CE0F04">
              <w:t>T2</w:t>
            </w:r>
          </w:p>
        </w:tc>
        <w:tc>
          <w:tcPr>
            <w:tcW w:w="899" w:type="dxa"/>
            <w:tcBorders>
              <w:bottom w:val="single" w:sz="4" w:space="0" w:color="auto"/>
            </w:tcBorders>
          </w:tcPr>
          <w:p w14:paraId="411603DF" w14:textId="77777777" w:rsidR="003A71DE" w:rsidRPr="00CE0F04" w:rsidRDefault="003A71DE" w:rsidP="001A5D47">
            <w:pPr>
              <w:pStyle w:val="TAH"/>
            </w:pPr>
            <w:r w:rsidRPr="00CE0F04">
              <w:t>T3</w:t>
            </w:r>
          </w:p>
        </w:tc>
        <w:tc>
          <w:tcPr>
            <w:tcW w:w="802" w:type="dxa"/>
            <w:tcBorders>
              <w:bottom w:val="single" w:sz="4" w:space="0" w:color="auto"/>
            </w:tcBorders>
          </w:tcPr>
          <w:p w14:paraId="049F66DF" w14:textId="77777777" w:rsidR="003A71DE" w:rsidRPr="00CE0F04" w:rsidRDefault="003A71DE" w:rsidP="001A5D47">
            <w:pPr>
              <w:pStyle w:val="TAH"/>
            </w:pPr>
            <w:r w:rsidRPr="00CE0F04">
              <w:t>T1</w:t>
            </w:r>
          </w:p>
        </w:tc>
        <w:tc>
          <w:tcPr>
            <w:tcW w:w="850" w:type="dxa"/>
            <w:gridSpan w:val="3"/>
            <w:tcBorders>
              <w:bottom w:val="single" w:sz="4" w:space="0" w:color="auto"/>
            </w:tcBorders>
          </w:tcPr>
          <w:p w14:paraId="723A2FDB" w14:textId="77777777" w:rsidR="003A71DE" w:rsidRPr="00CE0F04" w:rsidRDefault="003A71DE" w:rsidP="001A5D47">
            <w:pPr>
              <w:pStyle w:val="TAH"/>
            </w:pPr>
            <w:r w:rsidRPr="00CE0F04">
              <w:t>T2</w:t>
            </w:r>
          </w:p>
        </w:tc>
        <w:tc>
          <w:tcPr>
            <w:tcW w:w="767" w:type="dxa"/>
            <w:tcBorders>
              <w:bottom w:val="single" w:sz="4" w:space="0" w:color="auto"/>
            </w:tcBorders>
          </w:tcPr>
          <w:p w14:paraId="3D4AE343" w14:textId="77777777" w:rsidR="003A71DE" w:rsidRPr="00CE0F04" w:rsidRDefault="003A71DE" w:rsidP="001A5D47">
            <w:pPr>
              <w:pStyle w:val="TAH"/>
            </w:pPr>
            <w:r w:rsidRPr="00CE0F04">
              <w:t>T3</w:t>
            </w:r>
          </w:p>
        </w:tc>
      </w:tr>
      <w:tr w:rsidR="003A71DE" w:rsidRPr="00CE0F04" w14:paraId="454A0AD5" w14:textId="77777777" w:rsidTr="003A71DE">
        <w:trPr>
          <w:cantSplit/>
          <w:jc w:val="center"/>
        </w:trPr>
        <w:tc>
          <w:tcPr>
            <w:tcW w:w="1950" w:type="dxa"/>
            <w:tcBorders>
              <w:left w:val="single" w:sz="4" w:space="0" w:color="auto"/>
              <w:bottom w:val="single" w:sz="4" w:space="0" w:color="auto"/>
            </w:tcBorders>
          </w:tcPr>
          <w:p w14:paraId="1F85BB0A" w14:textId="77777777" w:rsidR="003A71DE" w:rsidRPr="00CE0F04" w:rsidRDefault="003A71DE" w:rsidP="001A5D47">
            <w:pPr>
              <w:pStyle w:val="TAL"/>
              <w:rPr>
                <w:lang w:eastAsia="zh-CN"/>
              </w:rPr>
            </w:pPr>
            <w:r w:rsidRPr="00CE0F04">
              <w:rPr>
                <w:lang w:eastAsia="zh-CN"/>
              </w:rPr>
              <w:t>RF Channel Number</w:t>
            </w:r>
          </w:p>
        </w:tc>
        <w:tc>
          <w:tcPr>
            <w:tcW w:w="1793" w:type="dxa"/>
            <w:tcBorders>
              <w:bottom w:val="single" w:sz="4" w:space="0" w:color="auto"/>
            </w:tcBorders>
          </w:tcPr>
          <w:p w14:paraId="68653164" w14:textId="77777777" w:rsidR="003A71DE" w:rsidRPr="00CE0F04" w:rsidRDefault="003A71DE" w:rsidP="001A5D47">
            <w:pPr>
              <w:pStyle w:val="TAC"/>
            </w:pPr>
          </w:p>
        </w:tc>
        <w:tc>
          <w:tcPr>
            <w:tcW w:w="1418" w:type="dxa"/>
            <w:tcBorders>
              <w:bottom w:val="single" w:sz="4" w:space="0" w:color="auto"/>
            </w:tcBorders>
          </w:tcPr>
          <w:p w14:paraId="0D24C377" w14:textId="77777777" w:rsidR="003A71DE" w:rsidRPr="00CE0F04" w:rsidRDefault="003A71DE" w:rsidP="001A5D47">
            <w:pPr>
              <w:pStyle w:val="TAC"/>
              <w:rPr>
                <w:lang w:eastAsia="zh-CN"/>
              </w:rPr>
            </w:pPr>
            <w:r w:rsidRPr="00CE0F04">
              <w:rPr>
                <w:lang w:eastAsia="zh-CN"/>
              </w:rPr>
              <w:t>1, 2</w:t>
            </w:r>
          </w:p>
        </w:tc>
        <w:tc>
          <w:tcPr>
            <w:tcW w:w="2744" w:type="dxa"/>
            <w:gridSpan w:val="4"/>
            <w:tcBorders>
              <w:bottom w:val="single" w:sz="4" w:space="0" w:color="auto"/>
            </w:tcBorders>
          </w:tcPr>
          <w:p w14:paraId="566B628D" w14:textId="77777777" w:rsidR="003A71DE" w:rsidRPr="00CE0F04" w:rsidRDefault="003A71DE" w:rsidP="001A5D47">
            <w:pPr>
              <w:pStyle w:val="TAC"/>
              <w:rPr>
                <w:lang w:eastAsia="zh-CN"/>
              </w:rPr>
            </w:pPr>
            <w:r w:rsidRPr="00CE0F04">
              <w:rPr>
                <w:lang w:eastAsia="zh-CN"/>
              </w:rPr>
              <w:t>1</w:t>
            </w:r>
          </w:p>
        </w:tc>
        <w:tc>
          <w:tcPr>
            <w:tcW w:w="2419" w:type="dxa"/>
            <w:gridSpan w:val="5"/>
            <w:tcBorders>
              <w:bottom w:val="single" w:sz="4" w:space="0" w:color="auto"/>
            </w:tcBorders>
          </w:tcPr>
          <w:p w14:paraId="70B0AF82" w14:textId="77777777" w:rsidR="003A71DE" w:rsidRPr="00CE0F04" w:rsidRDefault="003A71DE" w:rsidP="001A5D47">
            <w:pPr>
              <w:pStyle w:val="TAC"/>
              <w:rPr>
                <w:lang w:eastAsia="zh-CN"/>
              </w:rPr>
            </w:pPr>
            <w:r w:rsidRPr="00CE0F04">
              <w:rPr>
                <w:lang w:eastAsia="zh-CN"/>
              </w:rPr>
              <w:t>2</w:t>
            </w:r>
          </w:p>
        </w:tc>
      </w:tr>
      <w:tr w:rsidR="003A71DE" w:rsidRPr="00CE0F04" w14:paraId="77700C7A" w14:textId="77777777" w:rsidTr="003A71DE">
        <w:trPr>
          <w:cantSplit/>
          <w:jc w:val="center"/>
        </w:trPr>
        <w:tc>
          <w:tcPr>
            <w:tcW w:w="1950" w:type="dxa"/>
            <w:tcBorders>
              <w:left w:val="single" w:sz="4" w:space="0" w:color="auto"/>
              <w:bottom w:val="nil"/>
            </w:tcBorders>
            <w:shd w:val="clear" w:color="auto" w:fill="auto"/>
          </w:tcPr>
          <w:p w14:paraId="448E69EA" w14:textId="77777777" w:rsidR="003A71DE" w:rsidRPr="00CE0F04" w:rsidRDefault="003A71DE" w:rsidP="001A5D47">
            <w:pPr>
              <w:pStyle w:val="TAL"/>
              <w:rPr>
                <w:lang w:eastAsia="zh-CN"/>
              </w:rPr>
            </w:pPr>
            <w:r w:rsidRPr="00CE0F04">
              <w:rPr>
                <w:lang w:eastAsia="zh-CN"/>
              </w:rPr>
              <w:t>TDD configuration</w:t>
            </w:r>
          </w:p>
        </w:tc>
        <w:tc>
          <w:tcPr>
            <w:tcW w:w="1793" w:type="dxa"/>
            <w:tcBorders>
              <w:bottom w:val="nil"/>
            </w:tcBorders>
            <w:shd w:val="clear" w:color="auto" w:fill="auto"/>
          </w:tcPr>
          <w:p w14:paraId="26821C5D" w14:textId="77777777" w:rsidR="003A71DE" w:rsidRPr="00CE0F04" w:rsidRDefault="003A71DE" w:rsidP="001A5D47">
            <w:pPr>
              <w:pStyle w:val="TAC"/>
            </w:pPr>
          </w:p>
        </w:tc>
        <w:tc>
          <w:tcPr>
            <w:tcW w:w="1418" w:type="dxa"/>
            <w:tcBorders>
              <w:bottom w:val="single" w:sz="4" w:space="0" w:color="auto"/>
            </w:tcBorders>
          </w:tcPr>
          <w:p w14:paraId="6886D3E8" w14:textId="77777777" w:rsidR="003A71DE" w:rsidRPr="00CE0F04" w:rsidRDefault="003A71DE" w:rsidP="001A5D47">
            <w:pPr>
              <w:pStyle w:val="TAC"/>
              <w:rPr>
                <w:lang w:eastAsia="zh-CN"/>
              </w:rPr>
            </w:pPr>
            <w:r w:rsidRPr="00CE0F04">
              <w:rPr>
                <w:lang w:eastAsia="zh-CN"/>
              </w:rPr>
              <w:t>1</w:t>
            </w:r>
          </w:p>
        </w:tc>
        <w:tc>
          <w:tcPr>
            <w:tcW w:w="2744" w:type="dxa"/>
            <w:gridSpan w:val="4"/>
            <w:tcBorders>
              <w:bottom w:val="single" w:sz="4" w:space="0" w:color="auto"/>
            </w:tcBorders>
          </w:tcPr>
          <w:p w14:paraId="177C46FF" w14:textId="77777777" w:rsidR="003A71DE" w:rsidRPr="00CE0F04" w:rsidRDefault="003A71DE" w:rsidP="001A5D47">
            <w:pPr>
              <w:pStyle w:val="TAC"/>
              <w:rPr>
                <w:lang w:eastAsia="zh-CN"/>
              </w:rPr>
            </w:pPr>
            <w:r w:rsidRPr="00CE0F04">
              <w:rPr>
                <w:lang w:eastAsia="ja-JP"/>
              </w:rPr>
              <w:t>TDDConf.1.1</w:t>
            </w:r>
          </w:p>
        </w:tc>
        <w:tc>
          <w:tcPr>
            <w:tcW w:w="2419" w:type="dxa"/>
            <w:gridSpan w:val="5"/>
            <w:tcBorders>
              <w:bottom w:val="single" w:sz="4" w:space="0" w:color="auto"/>
            </w:tcBorders>
          </w:tcPr>
          <w:p w14:paraId="15BC64B4" w14:textId="77777777" w:rsidR="003A71DE" w:rsidRPr="00CE0F04" w:rsidRDefault="003A71DE" w:rsidP="001A5D47">
            <w:pPr>
              <w:pStyle w:val="TAC"/>
              <w:rPr>
                <w:lang w:eastAsia="zh-CN"/>
              </w:rPr>
            </w:pPr>
            <w:r w:rsidRPr="00CE0F04">
              <w:rPr>
                <w:lang w:eastAsia="ja-JP"/>
              </w:rPr>
              <w:t>TDDConf.1.1</w:t>
            </w:r>
          </w:p>
        </w:tc>
      </w:tr>
      <w:tr w:rsidR="003A71DE" w:rsidRPr="00CE0F04" w14:paraId="3DFEAD63" w14:textId="77777777" w:rsidTr="003A71DE">
        <w:trPr>
          <w:cantSplit/>
          <w:jc w:val="center"/>
        </w:trPr>
        <w:tc>
          <w:tcPr>
            <w:tcW w:w="1950" w:type="dxa"/>
            <w:tcBorders>
              <w:top w:val="nil"/>
              <w:left w:val="single" w:sz="4" w:space="0" w:color="auto"/>
              <w:bottom w:val="nil"/>
            </w:tcBorders>
            <w:shd w:val="clear" w:color="auto" w:fill="auto"/>
          </w:tcPr>
          <w:p w14:paraId="209BA247" w14:textId="77777777" w:rsidR="003A71DE" w:rsidRPr="00CE0F04" w:rsidRDefault="003A71DE" w:rsidP="001A5D47">
            <w:pPr>
              <w:pStyle w:val="TAL"/>
              <w:rPr>
                <w:lang w:eastAsia="zh-CN"/>
              </w:rPr>
            </w:pPr>
          </w:p>
        </w:tc>
        <w:tc>
          <w:tcPr>
            <w:tcW w:w="1793" w:type="dxa"/>
            <w:tcBorders>
              <w:top w:val="nil"/>
              <w:bottom w:val="nil"/>
            </w:tcBorders>
            <w:shd w:val="clear" w:color="auto" w:fill="auto"/>
          </w:tcPr>
          <w:p w14:paraId="0DAD3E4F" w14:textId="77777777" w:rsidR="003A71DE" w:rsidRPr="00CE0F04" w:rsidRDefault="003A71DE" w:rsidP="001A5D47">
            <w:pPr>
              <w:pStyle w:val="TAC"/>
            </w:pPr>
          </w:p>
        </w:tc>
        <w:tc>
          <w:tcPr>
            <w:tcW w:w="1418" w:type="dxa"/>
            <w:tcBorders>
              <w:bottom w:val="single" w:sz="4" w:space="0" w:color="auto"/>
            </w:tcBorders>
          </w:tcPr>
          <w:p w14:paraId="4A3C1F3C" w14:textId="77777777" w:rsidR="003A71DE" w:rsidRPr="00CE0F04" w:rsidRDefault="003A71DE" w:rsidP="001A5D47">
            <w:pPr>
              <w:pStyle w:val="TAC"/>
              <w:rPr>
                <w:lang w:eastAsia="zh-CN"/>
              </w:rPr>
            </w:pPr>
            <w:r w:rsidRPr="00CE0F04">
              <w:rPr>
                <w:lang w:eastAsia="zh-CN"/>
              </w:rPr>
              <w:t>2</w:t>
            </w:r>
          </w:p>
        </w:tc>
        <w:tc>
          <w:tcPr>
            <w:tcW w:w="2744" w:type="dxa"/>
            <w:gridSpan w:val="4"/>
            <w:tcBorders>
              <w:bottom w:val="single" w:sz="4" w:space="0" w:color="auto"/>
            </w:tcBorders>
          </w:tcPr>
          <w:p w14:paraId="7F872605" w14:textId="77777777" w:rsidR="003A71DE" w:rsidRPr="00CE0F04" w:rsidRDefault="003A71DE" w:rsidP="001A5D47">
            <w:pPr>
              <w:pStyle w:val="TAC"/>
              <w:rPr>
                <w:lang w:eastAsia="zh-CN"/>
              </w:rPr>
            </w:pPr>
            <w:r w:rsidRPr="00CE0F04">
              <w:rPr>
                <w:lang w:eastAsia="ja-JP"/>
              </w:rPr>
              <w:t>TDDConf.2.1</w:t>
            </w:r>
          </w:p>
        </w:tc>
        <w:tc>
          <w:tcPr>
            <w:tcW w:w="2419" w:type="dxa"/>
            <w:gridSpan w:val="5"/>
            <w:tcBorders>
              <w:bottom w:val="single" w:sz="4" w:space="0" w:color="auto"/>
            </w:tcBorders>
          </w:tcPr>
          <w:p w14:paraId="7ECA9D3A" w14:textId="77777777" w:rsidR="003A71DE" w:rsidRPr="00CE0F04" w:rsidRDefault="003A71DE" w:rsidP="001A5D47">
            <w:pPr>
              <w:pStyle w:val="TAC"/>
              <w:rPr>
                <w:lang w:eastAsia="zh-CN"/>
              </w:rPr>
            </w:pPr>
            <w:r w:rsidRPr="00CE0F04">
              <w:rPr>
                <w:lang w:eastAsia="ja-JP"/>
              </w:rPr>
              <w:t>TDDConf.2.1</w:t>
            </w:r>
          </w:p>
        </w:tc>
      </w:tr>
      <w:tr w:rsidR="003A71DE" w:rsidRPr="00CE0F04" w14:paraId="5C77E1D3" w14:textId="77777777" w:rsidTr="003A71DE">
        <w:trPr>
          <w:cantSplit/>
          <w:jc w:val="center"/>
        </w:trPr>
        <w:tc>
          <w:tcPr>
            <w:tcW w:w="1950" w:type="dxa"/>
            <w:tcBorders>
              <w:left w:val="single" w:sz="4" w:space="0" w:color="auto"/>
              <w:bottom w:val="nil"/>
            </w:tcBorders>
            <w:shd w:val="clear" w:color="auto" w:fill="auto"/>
          </w:tcPr>
          <w:p w14:paraId="6E4E776B" w14:textId="77777777" w:rsidR="003A71DE" w:rsidRPr="00CE0F04" w:rsidRDefault="003A71DE" w:rsidP="001A5D47">
            <w:pPr>
              <w:pStyle w:val="TAL"/>
              <w:rPr>
                <w:lang w:eastAsia="zh-CN"/>
              </w:rPr>
            </w:pPr>
            <w:r w:rsidRPr="00CE0F04">
              <w:rPr>
                <w:lang w:eastAsia="zh-CN"/>
              </w:rPr>
              <w:t>PDSCH RMC configuration</w:t>
            </w:r>
          </w:p>
        </w:tc>
        <w:tc>
          <w:tcPr>
            <w:tcW w:w="1793" w:type="dxa"/>
            <w:tcBorders>
              <w:bottom w:val="nil"/>
            </w:tcBorders>
            <w:shd w:val="clear" w:color="auto" w:fill="auto"/>
          </w:tcPr>
          <w:p w14:paraId="53483683" w14:textId="77777777" w:rsidR="003A71DE" w:rsidRPr="00CE0F04" w:rsidRDefault="003A71DE" w:rsidP="001A5D47">
            <w:pPr>
              <w:pStyle w:val="TAC"/>
            </w:pPr>
          </w:p>
        </w:tc>
        <w:tc>
          <w:tcPr>
            <w:tcW w:w="1418" w:type="dxa"/>
            <w:tcBorders>
              <w:bottom w:val="single" w:sz="4" w:space="0" w:color="auto"/>
            </w:tcBorders>
          </w:tcPr>
          <w:p w14:paraId="14601623" w14:textId="77777777" w:rsidR="003A71DE" w:rsidRPr="00CE0F04" w:rsidRDefault="003A71DE" w:rsidP="001A5D47">
            <w:pPr>
              <w:pStyle w:val="TAC"/>
              <w:rPr>
                <w:lang w:eastAsia="zh-CN"/>
              </w:rPr>
            </w:pPr>
            <w:r w:rsidRPr="00CE0F04">
              <w:rPr>
                <w:lang w:eastAsia="zh-CN"/>
              </w:rPr>
              <w:t>1</w:t>
            </w:r>
          </w:p>
        </w:tc>
        <w:tc>
          <w:tcPr>
            <w:tcW w:w="2744" w:type="dxa"/>
            <w:gridSpan w:val="4"/>
            <w:tcBorders>
              <w:bottom w:val="single" w:sz="4" w:space="0" w:color="auto"/>
            </w:tcBorders>
          </w:tcPr>
          <w:p w14:paraId="453DE853" w14:textId="77777777" w:rsidR="003A71DE" w:rsidRPr="00CE0F04" w:rsidRDefault="003A71DE" w:rsidP="001A5D47">
            <w:pPr>
              <w:pStyle w:val="TAC"/>
              <w:rPr>
                <w:lang w:eastAsia="zh-CN"/>
              </w:rPr>
            </w:pPr>
            <w:r w:rsidRPr="00CE0F04">
              <w:rPr>
                <w:lang w:eastAsia="zh-CN"/>
              </w:rPr>
              <w:t>SR.1.1 FDD</w:t>
            </w:r>
          </w:p>
        </w:tc>
        <w:tc>
          <w:tcPr>
            <w:tcW w:w="2419" w:type="dxa"/>
            <w:gridSpan w:val="5"/>
            <w:tcBorders>
              <w:bottom w:val="nil"/>
            </w:tcBorders>
            <w:shd w:val="clear" w:color="auto" w:fill="auto"/>
          </w:tcPr>
          <w:p w14:paraId="7306870D" w14:textId="77777777" w:rsidR="003A71DE" w:rsidRPr="00CE0F04" w:rsidRDefault="003A71DE" w:rsidP="001A5D47">
            <w:pPr>
              <w:pStyle w:val="TAC"/>
              <w:rPr>
                <w:lang w:eastAsia="zh-CN"/>
              </w:rPr>
            </w:pPr>
            <w:r w:rsidRPr="00CE0F04">
              <w:rPr>
                <w:lang w:eastAsia="zh-CN"/>
              </w:rPr>
              <w:t>N/A</w:t>
            </w:r>
          </w:p>
        </w:tc>
      </w:tr>
      <w:tr w:rsidR="003A71DE" w:rsidRPr="00CE0F04" w14:paraId="35354A9E" w14:textId="77777777" w:rsidTr="003A71DE">
        <w:trPr>
          <w:cantSplit/>
          <w:jc w:val="center"/>
        </w:trPr>
        <w:tc>
          <w:tcPr>
            <w:tcW w:w="1950" w:type="dxa"/>
            <w:tcBorders>
              <w:top w:val="nil"/>
              <w:left w:val="single" w:sz="4" w:space="0" w:color="auto"/>
              <w:bottom w:val="nil"/>
            </w:tcBorders>
            <w:shd w:val="clear" w:color="auto" w:fill="auto"/>
          </w:tcPr>
          <w:p w14:paraId="7E1F4F43" w14:textId="77777777" w:rsidR="003A71DE" w:rsidRPr="00CE0F04" w:rsidRDefault="003A71DE" w:rsidP="001A5D47">
            <w:pPr>
              <w:pStyle w:val="TAL"/>
              <w:rPr>
                <w:lang w:eastAsia="zh-CN"/>
              </w:rPr>
            </w:pPr>
          </w:p>
        </w:tc>
        <w:tc>
          <w:tcPr>
            <w:tcW w:w="1793" w:type="dxa"/>
            <w:tcBorders>
              <w:top w:val="nil"/>
              <w:bottom w:val="nil"/>
            </w:tcBorders>
            <w:shd w:val="clear" w:color="auto" w:fill="auto"/>
          </w:tcPr>
          <w:p w14:paraId="1230C7F6" w14:textId="77777777" w:rsidR="003A71DE" w:rsidRPr="00CE0F04" w:rsidRDefault="003A71DE" w:rsidP="001A5D47">
            <w:pPr>
              <w:pStyle w:val="TAC"/>
            </w:pPr>
          </w:p>
        </w:tc>
        <w:tc>
          <w:tcPr>
            <w:tcW w:w="1418" w:type="dxa"/>
            <w:tcBorders>
              <w:bottom w:val="single" w:sz="4" w:space="0" w:color="auto"/>
            </w:tcBorders>
          </w:tcPr>
          <w:p w14:paraId="7473DD57" w14:textId="77777777" w:rsidR="003A71DE" w:rsidRPr="00CE0F04" w:rsidRDefault="003A71DE" w:rsidP="001A5D47">
            <w:pPr>
              <w:pStyle w:val="TAC"/>
              <w:rPr>
                <w:lang w:eastAsia="zh-CN"/>
              </w:rPr>
            </w:pPr>
            <w:r w:rsidRPr="00CE0F04">
              <w:rPr>
                <w:lang w:eastAsia="zh-CN"/>
              </w:rPr>
              <w:t>2</w:t>
            </w:r>
          </w:p>
        </w:tc>
        <w:tc>
          <w:tcPr>
            <w:tcW w:w="2744" w:type="dxa"/>
            <w:gridSpan w:val="4"/>
            <w:tcBorders>
              <w:bottom w:val="single" w:sz="4" w:space="0" w:color="auto"/>
            </w:tcBorders>
          </w:tcPr>
          <w:p w14:paraId="1BFF3C8E" w14:textId="77777777" w:rsidR="003A71DE" w:rsidRPr="00CE0F04" w:rsidRDefault="003A71DE" w:rsidP="001A5D47">
            <w:pPr>
              <w:pStyle w:val="TAC"/>
              <w:rPr>
                <w:lang w:eastAsia="zh-CN"/>
              </w:rPr>
            </w:pPr>
            <w:r w:rsidRPr="00CE0F04">
              <w:rPr>
                <w:lang w:eastAsia="zh-CN"/>
              </w:rPr>
              <w:t>SR.1.1 TDD</w:t>
            </w:r>
          </w:p>
        </w:tc>
        <w:tc>
          <w:tcPr>
            <w:tcW w:w="2419" w:type="dxa"/>
            <w:gridSpan w:val="5"/>
            <w:tcBorders>
              <w:top w:val="nil"/>
              <w:bottom w:val="nil"/>
            </w:tcBorders>
            <w:shd w:val="clear" w:color="auto" w:fill="auto"/>
          </w:tcPr>
          <w:p w14:paraId="29C2E76F" w14:textId="77777777" w:rsidR="003A71DE" w:rsidRPr="00CE0F04" w:rsidRDefault="003A71DE" w:rsidP="001A5D47">
            <w:pPr>
              <w:pStyle w:val="TAC"/>
              <w:rPr>
                <w:lang w:eastAsia="zh-CN"/>
              </w:rPr>
            </w:pPr>
          </w:p>
        </w:tc>
      </w:tr>
      <w:tr w:rsidR="003A71DE" w:rsidRPr="00CE0F04" w14:paraId="24CC4080" w14:textId="77777777" w:rsidTr="003A71DE">
        <w:trPr>
          <w:cantSplit/>
          <w:jc w:val="center"/>
        </w:trPr>
        <w:tc>
          <w:tcPr>
            <w:tcW w:w="1950" w:type="dxa"/>
            <w:tcBorders>
              <w:left w:val="single" w:sz="4" w:space="0" w:color="auto"/>
              <w:bottom w:val="nil"/>
            </w:tcBorders>
            <w:shd w:val="clear" w:color="auto" w:fill="auto"/>
          </w:tcPr>
          <w:p w14:paraId="587C5934" w14:textId="77777777" w:rsidR="003A71DE" w:rsidRPr="00CE0F04" w:rsidRDefault="003A71DE" w:rsidP="001A5D47">
            <w:pPr>
              <w:pStyle w:val="TAL"/>
              <w:rPr>
                <w:lang w:eastAsia="zh-CN"/>
              </w:rPr>
            </w:pPr>
            <w:r w:rsidRPr="00CE0F04">
              <w:rPr>
                <w:lang w:eastAsia="zh-CN"/>
              </w:rPr>
              <w:t>RMSI CORESET RMC configuration</w:t>
            </w:r>
          </w:p>
        </w:tc>
        <w:tc>
          <w:tcPr>
            <w:tcW w:w="1793" w:type="dxa"/>
            <w:tcBorders>
              <w:bottom w:val="nil"/>
            </w:tcBorders>
            <w:shd w:val="clear" w:color="auto" w:fill="auto"/>
          </w:tcPr>
          <w:p w14:paraId="3576F682" w14:textId="77777777" w:rsidR="003A71DE" w:rsidRPr="00CE0F04" w:rsidRDefault="003A71DE" w:rsidP="001A5D47">
            <w:pPr>
              <w:pStyle w:val="TAC"/>
            </w:pPr>
          </w:p>
        </w:tc>
        <w:tc>
          <w:tcPr>
            <w:tcW w:w="1418" w:type="dxa"/>
            <w:tcBorders>
              <w:bottom w:val="single" w:sz="4" w:space="0" w:color="auto"/>
            </w:tcBorders>
          </w:tcPr>
          <w:p w14:paraId="2FDBB22B" w14:textId="77777777" w:rsidR="003A71DE" w:rsidRPr="00CE0F04" w:rsidRDefault="003A71DE" w:rsidP="001A5D47">
            <w:pPr>
              <w:pStyle w:val="TAC"/>
              <w:rPr>
                <w:lang w:eastAsia="zh-CN"/>
              </w:rPr>
            </w:pPr>
            <w:r w:rsidRPr="00CE0F04">
              <w:rPr>
                <w:lang w:eastAsia="zh-CN"/>
              </w:rPr>
              <w:t>1</w:t>
            </w:r>
          </w:p>
        </w:tc>
        <w:tc>
          <w:tcPr>
            <w:tcW w:w="2744" w:type="dxa"/>
            <w:gridSpan w:val="4"/>
            <w:tcBorders>
              <w:bottom w:val="single" w:sz="4" w:space="0" w:color="auto"/>
            </w:tcBorders>
          </w:tcPr>
          <w:p w14:paraId="1A4EE667" w14:textId="77777777" w:rsidR="003A71DE" w:rsidRPr="00CE0F04" w:rsidRDefault="003A71DE" w:rsidP="001A5D47">
            <w:pPr>
              <w:pStyle w:val="TAC"/>
              <w:rPr>
                <w:lang w:eastAsia="zh-CN"/>
              </w:rPr>
            </w:pPr>
            <w:r w:rsidRPr="00CE0F04">
              <w:rPr>
                <w:lang w:eastAsia="zh-CN"/>
              </w:rPr>
              <w:t>CR.1.1 TDD</w:t>
            </w:r>
          </w:p>
        </w:tc>
        <w:tc>
          <w:tcPr>
            <w:tcW w:w="2419" w:type="dxa"/>
            <w:gridSpan w:val="5"/>
            <w:tcBorders>
              <w:bottom w:val="single" w:sz="4" w:space="0" w:color="auto"/>
            </w:tcBorders>
          </w:tcPr>
          <w:p w14:paraId="5FE9BB88" w14:textId="77777777" w:rsidR="003A71DE" w:rsidRPr="00CE0F04" w:rsidRDefault="003A71DE" w:rsidP="001A5D47">
            <w:pPr>
              <w:pStyle w:val="TAC"/>
              <w:rPr>
                <w:lang w:eastAsia="zh-CN"/>
              </w:rPr>
            </w:pPr>
            <w:r w:rsidRPr="00CE0F04">
              <w:rPr>
                <w:lang w:eastAsia="zh-CN"/>
              </w:rPr>
              <w:t>CR.1.1 TDD</w:t>
            </w:r>
          </w:p>
        </w:tc>
      </w:tr>
      <w:tr w:rsidR="003A71DE" w:rsidRPr="00CE0F04" w14:paraId="17E44646" w14:textId="77777777" w:rsidTr="003A71DE">
        <w:trPr>
          <w:cantSplit/>
          <w:jc w:val="center"/>
        </w:trPr>
        <w:tc>
          <w:tcPr>
            <w:tcW w:w="1950" w:type="dxa"/>
            <w:tcBorders>
              <w:top w:val="nil"/>
              <w:left w:val="single" w:sz="4" w:space="0" w:color="auto"/>
              <w:bottom w:val="nil"/>
            </w:tcBorders>
            <w:shd w:val="clear" w:color="auto" w:fill="auto"/>
          </w:tcPr>
          <w:p w14:paraId="4AD33E26" w14:textId="77777777" w:rsidR="003A71DE" w:rsidRPr="00CE0F04" w:rsidRDefault="003A71DE" w:rsidP="001A5D47">
            <w:pPr>
              <w:pStyle w:val="TAL"/>
              <w:rPr>
                <w:lang w:eastAsia="zh-CN"/>
              </w:rPr>
            </w:pPr>
          </w:p>
        </w:tc>
        <w:tc>
          <w:tcPr>
            <w:tcW w:w="1793" w:type="dxa"/>
            <w:tcBorders>
              <w:top w:val="nil"/>
              <w:bottom w:val="nil"/>
            </w:tcBorders>
            <w:shd w:val="clear" w:color="auto" w:fill="auto"/>
          </w:tcPr>
          <w:p w14:paraId="250414DE" w14:textId="77777777" w:rsidR="003A71DE" w:rsidRPr="00CE0F04" w:rsidRDefault="003A71DE" w:rsidP="001A5D47">
            <w:pPr>
              <w:pStyle w:val="TAC"/>
            </w:pPr>
          </w:p>
        </w:tc>
        <w:tc>
          <w:tcPr>
            <w:tcW w:w="1418" w:type="dxa"/>
            <w:tcBorders>
              <w:bottom w:val="single" w:sz="4" w:space="0" w:color="auto"/>
            </w:tcBorders>
          </w:tcPr>
          <w:p w14:paraId="28A1530E" w14:textId="77777777" w:rsidR="003A71DE" w:rsidRPr="00CE0F04" w:rsidRDefault="003A71DE" w:rsidP="001A5D47">
            <w:pPr>
              <w:pStyle w:val="TAC"/>
              <w:rPr>
                <w:lang w:eastAsia="zh-CN"/>
              </w:rPr>
            </w:pPr>
            <w:r w:rsidRPr="00CE0F04">
              <w:rPr>
                <w:lang w:eastAsia="zh-CN"/>
              </w:rPr>
              <w:t>2</w:t>
            </w:r>
          </w:p>
        </w:tc>
        <w:tc>
          <w:tcPr>
            <w:tcW w:w="2744" w:type="dxa"/>
            <w:gridSpan w:val="4"/>
            <w:tcBorders>
              <w:bottom w:val="single" w:sz="4" w:space="0" w:color="auto"/>
            </w:tcBorders>
          </w:tcPr>
          <w:p w14:paraId="4FFC01B9" w14:textId="77777777" w:rsidR="003A71DE" w:rsidRPr="00CE0F04" w:rsidRDefault="003A71DE" w:rsidP="001A5D47">
            <w:pPr>
              <w:pStyle w:val="TAC"/>
              <w:rPr>
                <w:lang w:eastAsia="zh-CN"/>
              </w:rPr>
            </w:pPr>
            <w:r w:rsidRPr="00CE0F04">
              <w:rPr>
                <w:lang w:eastAsia="zh-CN"/>
              </w:rPr>
              <w:t>CR.2.1 TDD</w:t>
            </w:r>
          </w:p>
        </w:tc>
        <w:tc>
          <w:tcPr>
            <w:tcW w:w="2419" w:type="dxa"/>
            <w:gridSpan w:val="5"/>
            <w:tcBorders>
              <w:bottom w:val="single" w:sz="4" w:space="0" w:color="auto"/>
            </w:tcBorders>
          </w:tcPr>
          <w:p w14:paraId="11DAF48B" w14:textId="77777777" w:rsidR="003A71DE" w:rsidRPr="00CE0F04" w:rsidRDefault="003A71DE" w:rsidP="001A5D47">
            <w:pPr>
              <w:pStyle w:val="TAC"/>
              <w:rPr>
                <w:lang w:eastAsia="zh-CN"/>
              </w:rPr>
            </w:pPr>
            <w:r w:rsidRPr="00CE0F04">
              <w:rPr>
                <w:lang w:eastAsia="zh-CN"/>
              </w:rPr>
              <w:t>CR.2.1 TDD</w:t>
            </w:r>
          </w:p>
        </w:tc>
      </w:tr>
      <w:tr w:rsidR="003A71DE" w:rsidRPr="00CE0F04" w14:paraId="6AABD984" w14:textId="77777777" w:rsidTr="003A71DE">
        <w:trPr>
          <w:cantSplit/>
          <w:jc w:val="center"/>
        </w:trPr>
        <w:tc>
          <w:tcPr>
            <w:tcW w:w="1950" w:type="dxa"/>
            <w:tcBorders>
              <w:left w:val="single" w:sz="4" w:space="0" w:color="auto"/>
              <w:bottom w:val="nil"/>
            </w:tcBorders>
            <w:shd w:val="clear" w:color="auto" w:fill="auto"/>
          </w:tcPr>
          <w:p w14:paraId="2B68B3BD" w14:textId="77777777" w:rsidR="003A71DE" w:rsidRPr="00CE0F04" w:rsidRDefault="003A71DE" w:rsidP="001A5D47">
            <w:pPr>
              <w:pStyle w:val="TAL"/>
              <w:rPr>
                <w:lang w:eastAsia="zh-CN"/>
              </w:rPr>
            </w:pPr>
            <w:r w:rsidRPr="00CE0F04">
              <w:rPr>
                <w:lang w:eastAsia="zh-CN"/>
              </w:rPr>
              <w:t>Dedicated CORESET RMC configuration</w:t>
            </w:r>
          </w:p>
        </w:tc>
        <w:tc>
          <w:tcPr>
            <w:tcW w:w="1793" w:type="dxa"/>
            <w:tcBorders>
              <w:bottom w:val="nil"/>
            </w:tcBorders>
            <w:shd w:val="clear" w:color="auto" w:fill="auto"/>
          </w:tcPr>
          <w:p w14:paraId="6AC41800" w14:textId="77777777" w:rsidR="003A71DE" w:rsidRPr="00CE0F04" w:rsidRDefault="003A71DE" w:rsidP="001A5D47">
            <w:pPr>
              <w:pStyle w:val="TAC"/>
            </w:pPr>
          </w:p>
        </w:tc>
        <w:tc>
          <w:tcPr>
            <w:tcW w:w="1418" w:type="dxa"/>
            <w:tcBorders>
              <w:bottom w:val="single" w:sz="4" w:space="0" w:color="auto"/>
            </w:tcBorders>
          </w:tcPr>
          <w:p w14:paraId="7FD996A2" w14:textId="77777777" w:rsidR="003A71DE" w:rsidRPr="00CE0F04" w:rsidRDefault="003A71DE" w:rsidP="001A5D47">
            <w:pPr>
              <w:pStyle w:val="TAC"/>
              <w:rPr>
                <w:lang w:eastAsia="zh-CN"/>
              </w:rPr>
            </w:pPr>
            <w:r w:rsidRPr="00CE0F04">
              <w:rPr>
                <w:lang w:eastAsia="zh-CN"/>
              </w:rPr>
              <w:t>1</w:t>
            </w:r>
          </w:p>
        </w:tc>
        <w:tc>
          <w:tcPr>
            <w:tcW w:w="2744" w:type="dxa"/>
            <w:gridSpan w:val="4"/>
            <w:tcBorders>
              <w:bottom w:val="single" w:sz="4" w:space="0" w:color="auto"/>
            </w:tcBorders>
          </w:tcPr>
          <w:p w14:paraId="5974AE80" w14:textId="77777777" w:rsidR="003A71DE" w:rsidRPr="00CE0F04" w:rsidRDefault="003A71DE" w:rsidP="001A5D47">
            <w:pPr>
              <w:pStyle w:val="TAC"/>
              <w:rPr>
                <w:lang w:eastAsia="zh-CN"/>
              </w:rPr>
            </w:pPr>
            <w:r w:rsidRPr="00CE0F04">
              <w:rPr>
                <w:lang w:eastAsia="zh-CN"/>
              </w:rPr>
              <w:t>CCR.1.1 TDD</w:t>
            </w:r>
          </w:p>
        </w:tc>
        <w:tc>
          <w:tcPr>
            <w:tcW w:w="2419" w:type="dxa"/>
            <w:gridSpan w:val="5"/>
            <w:tcBorders>
              <w:bottom w:val="single" w:sz="4" w:space="0" w:color="auto"/>
            </w:tcBorders>
          </w:tcPr>
          <w:p w14:paraId="6C5742D5" w14:textId="77777777" w:rsidR="003A71DE" w:rsidRPr="00CE0F04" w:rsidRDefault="003A71DE" w:rsidP="001A5D47">
            <w:pPr>
              <w:pStyle w:val="TAC"/>
              <w:rPr>
                <w:lang w:eastAsia="zh-CN"/>
              </w:rPr>
            </w:pPr>
            <w:r w:rsidRPr="00CE0F04">
              <w:rPr>
                <w:lang w:eastAsia="zh-CN"/>
              </w:rPr>
              <w:t>CCR.1.1 TDD</w:t>
            </w:r>
          </w:p>
        </w:tc>
      </w:tr>
      <w:tr w:rsidR="003A71DE" w:rsidRPr="00CE0F04" w14:paraId="6C4E30BD" w14:textId="77777777" w:rsidTr="003A71DE">
        <w:trPr>
          <w:cantSplit/>
          <w:jc w:val="center"/>
        </w:trPr>
        <w:tc>
          <w:tcPr>
            <w:tcW w:w="1950" w:type="dxa"/>
            <w:tcBorders>
              <w:top w:val="nil"/>
              <w:left w:val="single" w:sz="4" w:space="0" w:color="auto"/>
              <w:bottom w:val="nil"/>
            </w:tcBorders>
            <w:shd w:val="clear" w:color="auto" w:fill="auto"/>
          </w:tcPr>
          <w:p w14:paraId="5DC48BC5" w14:textId="77777777" w:rsidR="003A71DE" w:rsidRPr="00CE0F04" w:rsidRDefault="003A71DE" w:rsidP="001A5D47">
            <w:pPr>
              <w:pStyle w:val="TAL"/>
              <w:rPr>
                <w:lang w:eastAsia="zh-CN"/>
              </w:rPr>
            </w:pPr>
          </w:p>
        </w:tc>
        <w:tc>
          <w:tcPr>
            <w:tcW w:w="1793" w:type="dxa"/>
            <w:tcBorders>
              <w:top w:val="nil"/>
              <w:bottom w:val="nil"/>
            </w:tcBorders>
            <w:shd w:val="clear" w:color="auto" w:fill="auto"/>
          </w:tcPr>
          <w:p w14:paraId="5832F735" w14:textId="77777777" w:rsidR="003A71DE" w:rsidRPr="00CE0F04" w:rsidRDefault="003A71DE" w:rsidP="001A5D47">
            <w:pPr>
              <w:pStyle w:val="TAC"/>
            </w:pPr>
          </w:p>
        </w:tc>
        <w:tc>
          <w:tcPr>
            <w:tcW w:w="1418" w:type="dxa"/>
            <w:tcBorders>
              <w:bottom w:val="single" w:sz="4" w:space="0" w:color="auto"/>
            </w:tcBorders>
          </w:tcPr>
          <w:p w14:paraId="364282A6" w14:textId="77777777" w:rsidR="003A71DE" w:rsidRPr="00CE0F04" w:rsidRDefault="003A71DE" w:rsidP="001A5D47">
            <w:pPr>
              <w:pStyle w:val="TAC"/>
              <w:rPr>
                <w:lang w:eastAsia="zh-CN"/>
              </w:rPr>
            </w:pPr>
            <w:r w:rsidRPr="00CE0F04">
              <w:rPr>
                <w:lang w:eastAsia="zh-CN"/>
              </w:rPr>
              <w:t>2</w:t>
            </w:r>
          </w:p>
        </w:tc>
        <w:tc>
          <w:tcPr>
            <w:tcW w:w="2744" w:type="dxa"/>
            <w:gridSpan w:val="4"/>
            <w:tcBorders>
              <w:bottom w:val="single" w:sz="4" w:space="0" w:color="auto"/>
            </w:tcBorders>
          </w:tcPr>
          <w:p w14:paraId="309ADE57" w14:textId="77777777" w:rsidR="003A71DE" w:rsidRPr="00CE0F04" w:rsidRDefault="003A71DE" w:rsidP="001A5D47">
            <w:pPr>
              <w:pStyle w:val="TAC"/>
              <w:rPr>
                <w:lang w:eastAsia="zh-CN"/>
              </w:rPr>
            </w:pPr>
            <w:r w:rsidRPr="00CE0F04">
              <w:rPr>
                <w:lang w:eastAsia="zh-CN"/>
              </w:rPr>
              <w:t>CCR.2.1 TDD</w:t>
            </w:r>
          </w:p>
        </w:tc>
        <w:tc>
          <w:tcPr>
            <w:tcW w:w="2419" w:type="dxa"/>
            <w:gridSpan w:val="5"/>
            <w:tcBorders>
              <w:bottom w:val="single" w:sz="4" w:space="0" w:color="auto"/>
            </w:tcBorders>
          </w:tcPr>
          <w:p w14:paraId="405086BF" w14:textId="77777777" w:rsidR="003A71DE" w:rsidRPr="00CE0F04" w:rsidRDefault="003A71DE" w:rsidP="001A5D47">
            <w:pPr>
              <w:pStyle w:val="TAC"/>
              <w:rPr>
                <w:lang w:eastAsia="zh-CN"/>
              </w:rPr>
            </w:pPr>
            <w:r w:rsidRPr="00CE0F04">
              <w:rPr>
                <w:lang w:eastAsia="zh-CN"/>
              </w:rPr>
              <w:t>CCR.2.1 TDD</w:t>
            </w:r>
          </w:p>
        </w:tc>
      </w:tr>
      <w:tr w:rsidR="003A71DE" w:rsidRPr="00CE0F04" w14:paraId="6E6227E4" w14:textId="77777777" w:rsidTr="003A71DE">
        <w:trPr>
          <w:cantSplit/>
          <w:jc w:val="center"/>
        </w:trPr>
        <w:tc>
          <w:tcPr>
            <w:tcW w:w="1950" w:type="dxa"/>
            <w:tcBorders>
              <w:left w:val="single" w:sz="4" w:space="0" w:color="auto"/>
              <w:bottom w:val="single" w:sz="4" w:space="0" w:color="auto"/>
            </w:tcBorders>
          </w:tcPr>
          <w:p w14:paraId="0EB0BD52" w14:textId="77777777" w:rsidR="003A71DE" w:rsidRPr="00CE0F04" w:rsidRDefault="003A71DE" w:rsidP="001A5D47">
            <w:pPr>
              <w:pStyle w:val="TAL"/>
            </w:pPr>
            <w:r w:rsidRPr="00CE0F04">
              <w:t>OCNG Pattern</w:t>
            </w:r>
          </w:p>
        </w:tc>
        <w:tc>
          <w:tcPr>
            <w:tcW w:w="1793" w:type="dxa"/>
            <w:tcBorders>
              <w:bottom w:val="single" w:sz="4" w:space="0" w:color="auto"/>
            </w:tcBorders>
          </w:tcPr>
          <w:p w14:paraId="2D5BB39A" w14:textId="77777777" w:rsidR="003A71DE" w:rsidRPr="00CE0F04" w:rsidRDefault="003A71DE" w:rsidP="001A5D47">
            <w:pPr>
              <w:pStyle w:val="TAC"/>
            </w:pPr>
          </w:p>
        </w:tc>
        <w:tc>
          <w:tcPr>
            <w:tcW w:w="1418" w:type="dxa"/>
            <w:tcBorders>
              <w:bottom w:val="single" w:sz="4" w:space="0" w:color="auto"/>
            </w:tcBorders>
          </w:tcPr>
          <w:p w14:paraId="3205F95B" w14:textId="77777777" w:rsidR="003A71DE" w:rsidRPr="00CE0F04" w:rsidRDefault="003A71DE" w:rsidP="001A5D47">
            <w:pPr>
              <w:pStyle w:val="TAC"/>
              <w:rPr>
                <w:lang w:eastAsia="zh-CN"/>
              </w:rPr>
            </w:pPr>
            <w:r w:rsidRPr="00CE0F04">
              <w:rPr>
                <w:lang w:eastAsia="zh-CN"/>
              </w:rPr>
              <w:t>1, 2</w:t>
            </w:r>
          </w:p>
        </w:tc>
        <w:tc>
          <w:tcPr>
            <w:tcW w:w="2744" w:type="dxa"/>
            <w:gridSpan w:val="4"/>
            <w:tcBorders>
              <w:bottom w:val="single" w:sz="4" w:space="0" w:color="auto"/>
            </w:tcBorders>
          </w:tcPr>
          <w:p w14:paraId="2A3BECCE" w14:textId="77777777" w:rsidR="003A71DE" w:rsidRPr="00CE0F04" w:rsidRDefault="003A71DE" w:rsidP="001A5D47">
            <w:pPr>
              <w:pStyle w:val="TAC"/>
            </w:pPr>
            <w:r w:rsidRPr="00CE0F04">
              <w:t>OP.1 defined in TBD</w:t>
            </w:r>
          </w:p>
        </w:tc>
        <w:tc>
          <w:tcPr>
            <w:tcW w:w="2419" w:type="dxa"/>
            <w:gridSpan w:val="5"/>
            <w:tcBorders>
              <w:bottom w:val="single" w:sz="4" w:space="0" w:color="auto"/>
            </w:tcBorders>
          </w:tcPr>
          <w:p w14:paraId="57F85F05" w14:textId="77777777" w:rsidR="003A71DE" w:rsidRPr="00CE0F04" w:rsidRDefault="003A71DE" w:rsidP="001A5D47">
            <w:pPr>
              <w:pStyle w:val="TAC"/>
            </w:pPr>
            <w:r w:rsidRPr="00CE0F04">
              <w:t>OP.1 defined in TBD</w:t>
            </w:r>
          </w:p>
        </w:tc>
      </w:tr>
      <w:tr w:rsidR="003A71DE" w:rsidRPr="00CE0F04" w14:paraId="0C20EBD3" w14:textId="77777777" w:rsidTr="003A71DE">
        <w:trPr>
          <w:cantSplit/>
          <w:jc w:val="center"/>
        </w:trPr>
        <w:tc>
          <w:tcPr>
            <w:tcW w:w="1950" w:type="dxa"/>
            <w:tcBorders>
              <w:left w:val="single" w:sz="4" w:space="0" w:color="auto"/>
              <w:bottom w:val="nil"/>
            </w:tcBorders>
            <w:shd w:val="clear" w:color="auto" w:fill="auto"/>
          </w:tcPr>
          <w:p w14:paraId="46A1574E" w14:textId="77777777" w:rsidR="003A71DE" w:rsidRPr="00CE0F04" w:rsidRDefault="003A71DE" w:rsidP="001A5D47">
            <w:pPr>
              <w:pStyle w:val="TAL"/>
            </w:pPr>
            <w:r w:rsidRPr="00CE0F04">
              <w:rPr>
                <w:lang w:eastAsia="zh-CN"/>
              </w:rPr>
              <w:t>TRS configuration</w:t>
            </w:r>
          </w:p>
        </w:tc>
        <w:tc>
          <w:tcPr>
            <w:tcW w:w="1793" w:type="dxa"/>
            <w:tcBorders>
              <w:bottom w:val="nil"/>
            </w:tcBorders>
            <w:shd w:val="clear" w:color="auto" w:fill="auto"/>
          </w:tcPr>
          <w:p w14:paraId="369F2061" w14:textId="77777777" w:rsidR="003A71DE" w:rsidRPr="00CE0F04" w:rsidRDefault="003A71DE" w:rsidP="001A5D47">
            <w:pPr>
              <w:pStyle w:val="TAC"/>
            </w:pPr>
          </w:p>
        </w:tc>
        <w:tc>
          <w:tcPr>
            <w:tcW w:w="1418" w:type="dxa"/>
            <w:tcBorders>
              <w:bottom w:val="single" w:sz="4" w:space="0" w:color="auto"/>
            </w:tcBorders>
          </w:tcPr>
          <w:p w14:paraId="11AA094D" w14:textId="77777777" w:rsidR="003A71DE" w:rsidRPr="00CE0F04" w:rsidRDefault="003A71DE" w:rsidP="001A5D47">
            <w:pPr>
              <w:pStyle w:val="TAC"/>
              <w:rPr>
                <w:lang w:eastAsia="zh-CN"/>
              </w:rPr>
            </w:pPr>
            <w:r w:rsidRPr="00CE0F04">
              <w:rPr>
                <w:lang w:eastAsia="zh-CN"/>
              </w:rPr>
              <w:t>1</w:t>
            </w:r>
          </w:p>
        </w:tc>
        <w:tc>
          <w:tcPr>
            <w:tcW w:w="2744" w:type="dxa"/>
            <w:gridSpan w:val="4"/>
            <w:tcBorders>
              <w:bottom w:val="single" w:sz="4" w:space="0" w:color="auto"/>
            </w:tcBorders>
          </w:tcPr>
          <w:p w14:paraId="43337D34" w14:textId="77777777" w:rsidR="003A71DE" w:rsidRPr="00CE0F04" w:rsidRDefault="003A71DE" w:rsidP="001A5D47">
            <w:pPr>
              <w:pStyle w:val="TAC"/>
            </w:pPr>
            <w:r w:rsidRPr="00CE0F04">
              <w:rPr>
                <w:lang w:eastAsia="zh-CN"/>
              </w:rPr>
              <w:t>TRS.1.1 TDD</w:t>
            </w:r>
          </w:p>
        </w:tc>
        <w:tc>
          <w:tcPr>
            <w:tcW w:w="2419" w:type="dxa"/>
            <w:gridSpan w:val="5"/>
            <w:tcBorders>
              <w:bottom w:val="nil"/>
            </w:tcBorders>
            <w:shd w:val="clear" w:color="auto" w:fill="auto"/>
          </w:tcPr>
          <w:p w14:paraId="29571081" w14:textId="77777777" w:rsidR="003A71DE" w:rsidRPr="00CE0F04" w:rsidRDefault="003A71DE" w:rsidP="001A5D47">
            <w:pPr>
              <w:pStyle w:val="TAC"/>
            </w:pPr>
            <w:r w:rsidRPr="00CE0F04">
              <w:t>N/A</w:t>
            </w:r>
          </w:p>
        </w:tc>
      </w:tr>
      <w:tr w:rsidR="003A71DE" w:rsidRPr="00CE0F04" w14:paraId="4517E0C5" w14:textId="77777777" w:rsidTr="003A71DE">
        <w:trPr>
          <w:cantSplit/>
          <w:jc w:val="center"/>
        </w:trPr>
        <w:tc>
          <w:tcPr>
            <w:tcW w:w="1950" w:type="dxa"/>
            <w:tcBorders>
              <w:top w:val="nil"/>
              <w:left w:val="single" w:sz="4" w:space="0" w:color="auto"/>
              <w:bottom w:val="nil"/>
            </w:tcBorders>
            <w:shd w:val="clear" w:color="auto" w:fill="auto"/>
          </w:tcPr>
          <w:p w14:paraId="6603B1A7" w14:textId="77777777" w:rsidR="003A71DE" w:rsidRPr="00CE0F04" w:rsidRDefault="003A71DE" w:rsidP="001A5D47">
            <w:pPr>
              <w:pStyle w:val="TAL"/>
            </w:pPr>
          </w:p>
        </w:tc>
        <w:tc>
          <w:tcPr>
            <w:tcW w:w="1793" w:type="dxa"/>
            <w:tcBorders>
              <w:top w:val="nil"/>
              <w:bottom w:val="nil"/>
            </w:tcBorders>
            <w:shd w:val="clear" w:color="auto" w:fill="auto"/>
          </w:tcPr>
          <w:p w14:paraId="36C32FC1" w14:textId="77777777" w:rsidR="003A71DE" w:rsidRPr="00CE0F04" w:rsidRDefault="003A71DE" w:rsidP="001A5D47">
            <w:pPr>
              <w:pStyle w:val="TAC"/>
            </w:pPr>
          </w:p>
        </w:tc>
        <w:tc>
          <w:tcPr>
            <w:tcW w:w="1418" w:type="dxa"/>
            <w:tcBorders>
              <w:bottom w:val="single" w:sz="4" w:space="0" w:color="auto"/>
            </w:tcBorders>
          </w:tcPr>
          <w:p w14:paraId="790BE204" w14:textId="77777777" w:rsidR="003A71DE" w:rsidRPr="00CE0F04" w:rsidRDefault="003A71DE" w:rsidP="001A5D47">
            <w:pPr>
              <w:pStyle w:val="TAC"/>
              <w:rPr>
                <w:lang w:eastAsia="zh-CN"/>
              </w:rPr>
            </w:pPr>
            <w:r w:rsidRPr="00CE0F04">
              <w:rPr>
                <w:lang w:eastAsia="zh-CN"/>
              </w:rPr>
              <w:t>2</w:t>
            </w:r>
          </w:p>
        </w:tc>
        <w:tc>
          <w:tcPr>
            <w:tcW w:w="2744" w:type="dxa"/>
            <w:gridSpan w:val="4"/>
            <w:tcBorders>
              <w:bottom w:val="single" w:sz="4" w:space="0" w:color="auto"/>
            </w:tcBorders>
          </w:tcPr>
          <w:p w14:paraId="57EAAAAA" w14:textId="77777777" w:rsidR="003A71DE" w:rsidRPr="00CE0F04" w:rsidRDefault="003A71DE" w:rsidP="001A5D47">
            <w:pPr>
              <w:pStyle w:val="TAC"/>
            </w:pPr>
            <w:r w:rsidRPr="00CE0F04">
              <w:rPr>
                <w:lang w:eastAsia="zh-CN"/>
              </w:rPr>
              <w:t>TRS.1.2 TDD</w:t>
            </w:r>
          </w:p>
        </w:tc>
        <w:tc>
          <w:tcPr>
            <w:tcW w:w="2419" w:type="dxa"/>
            <w:gridSpan w:val="5"/>
            <w:tcBorders>
              <w:top w:val="nil"/>
              <w:bottom w:val="nil"/>
            </w:tcBorders>
            <w:shd w:val="clear" w:color="auto" w:fill="auto"/>
          </w:tcPr>
          <w:p w14:paraId="60A2154C" w14:textId="77777777" w:rsidR="003A71DE" w:rsidRPr="00CE0F04" w:rsidRDefault="003A71DE" w:rsidP="001A5D47">
            <w:pPr>
              <w:pStyle w:val="TAC"/>
            </w:pPr>
          </w:p>
        </w:tc>
      </w:tr>
      <w:tr w:rsidR="003A71DE" w:rsidRPr="00CE0F04" w14:paraId="6D2D3601" w14:textId="77777777" w:rsidTr="003A71DE">
        <w:trPr>
          <w:cantSplit/>
          <w:jc w:val="center"/>
        </w:trPr>
        <w:tc>
          <w:tcPr>
            <w:tcW w:w="1950" w:type="dxa"/>
            <w:tcBorders>
              <w:left w:val="single" w:sz="4" w:space="0" w:color="auto"/>
              <w:bottom w:val="single" w:sz="4" w:space="0" w:color="auto"/>
            </w:tcBorders>
          </w:tcPr>
          <w:p w14:paraId="4016CF71" w14:textId="77777777" w:rsidR="003A71DE" w:rsidRPr="00CE0F04" w:rsidRDefault="003A71DE" w:rsidP="001A5D47">
            <w:pPr>
              <w:pStyle w:val="TAL"/>
              <w:rPr>
                <w:lang w:eastAsia="zh-CN"/>
              </w:rPr>
            </w:pPr>
            <w:r w:rsidRPr="00CE0F04">
              <w:rPr>
                <w:lang w:eastAsia="zh-CN"/>
              </w:rPr>
              <w:t>Initial DL BWP configuration</w:t>
            </w:r>
          </w:p>
        </w:tc>
        <w:tc>
          <w:tcPr>
            <w:tcW w:w="1793" w:type="dxa"/>
            <w:tcBorders>
              <w:bottom w:val="single" w:sz="4" w:space="0" w:color="auto"/>
            </w:tcBorders>
          </w:tcPr>
          <w:p w14:paraId="4620EEC7" w14:textId="77777777" w:rsidR="003A71DE" w:rsidRPr="00CE0F04" w:rsidRDefault="003A71DE" w:rsidP="001A5D47">
            <w:pPr>
              <w:pStyle w:val="TAC"/>
            </w:pPr>
          </w:p>
        </w:tc>
        <w:tc>
          <w:tcPr>
            <w:tcW w:w="1418" w:type="dxa"/>
            <w:tcBorders>
              <w:bottom w:val="single" w:sz="4" w:space="0" w:color="auto"/>
            </w:tcBorders>
          </w:tcPr>
          <w:p w14:paraId="78752221" w14:textId="77777777" w:rsidR="003A71DE" w:rsidRPr="00CE0F04" w:rsidRDefault="003A71DE" w:rsidP="001A5D47">
            <w:pPr>
              <w:pStyle w:val="TAC"/>
              <w:rPr>
                <w:lang w:eastAsia="zh-CN"/>
              </w:rPr>
            </w:pPr>
            <w:r w:rsidRPr="00CE0F04">
              <w:rPr>
                <w:lang w:eastAsia="zh-CN"/>
              </w:rPr>
              <w:t>1, 2</w:t>
            </w:r>
          </w:p>
        </w:tc>
        <w:tc>
          <w:tcPr>
            <w:tcW w:w="2744" w:type="dxa"/>
            <w:gridSpan w:val="4"/>
            <w:tcBorders>
              <w:bottom w:val="single" w:sz="4" w:space="0" w:color="auto"/>
            </w:tcBorders>
          </w:tcPr>
          <w:p w14:paraId="40AB4406" w14:textId="77777777" w:rsidR="003A71DE" w:rsidRPr="00CE0F04" w:rsidRDefault="003A71DE" w:rsidP="001A5D47">
            <w:pPr>
              <w:pStyle w:val="TAC"/>
              <w:rPr>
                <w:lang w:eastAsia="zh-CN"/>
              </w:rPr>
            </w:pPr>
            <w:r w:rsidRPr="00CE0F04">
              <w:rPr>
                <w:lang w:eastAsia="zh-CN"/>
              </w:rPr>
              <w:t>DLBWP.0</w:t>
            </w:r>
          </w:p>
        </w:tc>
        <w:tc>
          <w:tcPr>
            <w:tcW w:w="2419" w:type="dxa"/>
            <w:gridSpan w:val="5"/>
            <w:tcBorders>
              <w:bottom w:val="single" w:sz="4" w:space="0" w:color="auto"/>
            </w:tcBorders>
          </w:tcPr>
          <w:p w14:paraId="055D73B9" w14:textId="77777777" w:rsidR="003A71DE" w:rsidRPr="00CE0F04" w:rsidRDefault="003A71DE" w:rsidP="001A5D47">
            <w:pPr>
              <w:pStyle w:val="TAC"/>
            </w:pPr>
            <w:r w:rsidRPr="00CE0F04">
              <w:rPr>
                <w:lang w:eastAsia="zh-CN"/>
              </w:rPr>
              <w:t>DLBWP.0</w:t>
            </w:r>
          </w:p>
        </w:tc>
      </w:tr>
      <w:tr w:rsidR="003A71DE" w:rsidRPr="00CE0F04" w14:paraId="4E96B0B2" w14:textId="77777777" w:rsidTr="003A71DE">
        <w:trPr>
          <w:cantSplit/>
          <w:jc w:val="center"/>
        </w:trPr>
        <w:tc>
          <w:tcPr>
            <w:tcW w:w="1950" w:type="dxa"/>
            <w:tcBorders>
              <w:left w:val="single" w:sz="4" w:space="0" w:color="auto"/>
              <w:bottom w:val="single" w:sz="4" w:space="0" w:color="auto"/>
            </w:tcBorders>
          </w:tcPr>
          <w:p w14:paraId="7A7DAE3C" w14:textId="77777777" w:rsidR="003A71DE" w:rsidRPr="00CE0F04" w:rsidRDefault="003A71DE" w:rsidP="001A5D47">
            <w:pPr>
              <w:pStyle w:val="TAL"/>
              <w:rPr>
                <w:lang w:eastAsia="zh-CN"/>
              </w:rPr>
            </w:pPr>
            <w:r w:rsidRPr="00CE0F04">
              <w:rPr>
                <w:lang w:eastAsia="zh-CN"/>
              </w:rPr>
              <w:t>Initial UL BWP configuration</w:t>
            </w:r>
          </w:p>
        </w:tc>
        <w:tc>
          <w:tcPr>
            <w:tcW w:w="1793" w:type="dxa"/>
            <w:tcBorders>
              <w:bottom w:val="single" w:sz="4" w:space="0" w:color="auto"/>
            </w:tcBorders>
          </w:tcPr>
          <w:p w14:paraId="429226F6" w14:textId="77777777" w:rsidR="003A71DE" w:rsidRPr="00CE0F04" w:rsidRDefault="003A71DE" w:rsidP="001A5D47">
            <w:pPr>
              <w:pStyle w:val="TAC"/>
            </w:pPr>
          </w:p>
        </w:tc>
        <w:tc>
          <w:tcPr>
            <w:tcW w:w="1418" w:type="dxa"/>
            <w:tcBorders>
              <w:bottom w:val="single" w:sz="4" w:space="0" w:color="auto"/>
            </w:tcBorders>
          </w:tcPr>
          <w:p w14:paraId="7BED8C3F" w14:textId="77777777" w:rsidR="003A71DE" w:rsidRPr="00CE0F04" w:rsidRDefault="003A71DE" w:rsidP="001A5D47">
            <w:pPr>
              <w:pStyle w:val="TAC"/>
              <w:rPr>
                <w:lang w:eastAsia="zh-CN"/>
              </w:rPr>
            </w:pPr>
            <w:r w:rsidRPr="00CE0F04">
              <w:rPr>
                <w:lang w:eastAsia="zh-CN"/>
              </w:rPr>
              <w:t>1, 2</w:t>
            </w:r>
          </w:p>
        </w:tc>
        <w:tc>
          <w:tcPr>
            <w:tcW w:w="2744" w:type="dxa"/>
            <w:gridSpan w:val="4"/>
            <w:tcBorders>
              <w:bottom w:val="single" w:sz="4" w:space="0" w:color="auto"/>
            </w:tcBorders>
          </w:tcPr>
          <w:p w14:paraId="632A47C4" w14:textId="77777777" w:rsidR="003A71DE" w:rsidRPr="00CE0F04" w:rsidRDefault="003A71DE" w:rsidP="001A5D47">
            <w:pPr>
              <w:pStyle w:val="TAC"/>
              <w:rPr>
                <w:lang w:eastAsia="zh-CN"/>
              </w:rPr>
            </w:pPr>
            <w:r w:rsidRPr="00CE0F04">
              <w:rPr>
                <w:lang w:eastAsia="zh-CN"/>
              </w:rPr>
              <w:t>ULBWP.0</w:t>
            </w:r>
          </w:p>
        </w:tc>
        <w:tc>
          <w:tcPr>
            <w:tcW w:w="2419" w:type="dxa"/>
            <w:gridSpan w:val="5"/>
            <w:tcBorders>
              <w:bottom w:val="single" w:sz="4" w:space="0" w:color="auto"/>
            </w:tcBorders>
          </w:tcPr>
          <w:p w14:paraId="68102635" w14:textId="77777777" w:rsidR="003A71DE" w:rsidRPr="00CE0F04" w:rsidRDefault="003A71DE" w:rsidP="001A5D47">
            <w:pPr>
              <w:pStyle w:val="TAC"/>
              <w:rPr>
                <w:lang w:eastAsia="zh-CN"/>
              </w:rPr>
            </w:pPr>
            <w:r w:rsidRPr="00CE0F04">
              <w:rPr>
                <w:lang w:eastAsia="zh-CN"/>
              </w:rPr>
              <w:t>ULBWP.0</w:t>
            </w:r>
          </w:p>
        </w:tc>
      </w:tr>
      <w:tr w:rsidR="003A71DE" w:rsidRPr="00CE0F04" w14:paraId="60158A43" w14:textId="77777777" w:rsidTr="003A71DE">
        <w:trPr>
          <w:cantSplit/>
          <w:jc w:val="center"/>
        </w:trPr>
        <w:tc>
          <w:tcPr>
            <w:tcW w:w="1950" w:type="dxa"/>
            <w:tcBorders>
              <w:left w:val="single" w:sz="4" w:space="0" w:color="auto"/>
              <w:bottom w:val="single" w:sz="4" w:space="0" w:color="auto"/>
            </w:tcBorders>
          </w:tcPr>
          <w:p w14:paraId="060576A8" w14:textId="77777777" w:rsidR="003A71DE" w:rsidRPr="00CE0F04" w:rsidRDefault="003A71DE" w:rsidP="001A5D47">
            <w:pPr>
              <w:pStyle w:val="TAL"/>
              <w:rPr>
                <w:lang w:eastAsia="zh-CN"/>
              </w:rPr>
            </w:pPr>
            <w:r w:rsidRPr="00CE0F04">
              <w:rPr>
                <w:lang w:eastAsia="zh-CN"/>
              </w:rPr>
              <w:t>Active DL BWP confgiuration</w:t>
            </w:r>
          </w:p>
        </w:tc>
        <w:tc>
          <w:tcPr>
            <w:tcW w:w="1793" w:type="dxa"/>
            <w:tcBorders>
              <w:bottom w:val="single" w:sz="4" w:space="0" w:color="auto"/>
            </w:tcBorders>
          </w:tcPr>
          <w:p w14:paraId="1AA5C447" w14:textId="77777777" w:rsidR="003A71DE" w:rsidRPr="00CE0F04" w:rsidRDefault="003A71DE" w:rsidP="001A5D47">
            <w:pPr>
              <w:pStyle w:val="TAC"/>
            </w:pPr>
          </w:p>
        </w:tc>
        <w:tc>
          <w:tcPr>
            <w:tcW w:w="1418" w:type="dxa"/>
            <w:tcBorders>
              <w:bottom w:val="single" w:sz="4" w:space="0" w:color="auto"/>
            </w:tcBorders>
          </w:tcPr>
          <w:p w14:paraId="6467A8F0" w14:textId="77777777" w:rsidR="003A71DE" w:rsidRPr="00CE0F04" w:rsidRDefault="003A71DE" w:rsidP="001A5D47">
            <w:pPr>
              <w:pStyle w:val="TAC"/>
              <w:rPr>
                <w:lang w:eastAsia="zh-CN"/>
              </w:rPr>
            </w:pPr>
            <w:r w:rsidRPr="00CE0F04">
              <w:rPr>
                <w:lang w:eastAsia="zh-CN"/>
              </w:rPr>
              <w:t>1, 2</w:t>
            </w:r>
          </w:p>
        </w:tc>
        <w:tc>
          <w:tcPr>
            <w:tcW w:w="960" w:type="dxa"/>
            <w:tcBorders>
              <w:bottom w:val="single" w:sz="4" w:space="0" w:color="auto"/>
            </w:tcBorders>
          </w:tcPr>
          <w:p w14:paraId="77C8F486" w14:textId="77777777" w:rsidR="003A71DE" w:rsidRPr="00CE0F04" w:rsidRDefault="003A71DE" w:rsidP="001A5D47">
            <w:pPr>
              <w:pStyle w:val="TAC"/>
              <w:rPr>
                <w:lang w:eastAsia="zh-CN"/>
              </w:rPr>
            </w:pPr>
            <w:r w:rsidRPr="00CE0F04">
              <w:rPr>
                <w:lang w:eastAsia="zh-CN"/>
              </w:rPr>
              <w:t>DLBWP.1.1</w:t>
            </w:r>
          </w:p>
        </w:tc>
        <w:tc>
          <w:tcPr>
            <w:tcW w:w="885" w:type="dxa"/>
            <w:gridSpan w:val="2"/>
            <w:tcBorders>
              <w:bottom w:val="single" w:sz="4" w:space="0" w:color="auto"/>
            </w:tcBorders>
          </w:tcPr>
          <w:p w14:paraId="7359A3C0" w14:textId="77777777" w:rsidR="003A71DE" w:rsidRPr="00CE0F04" w:rsidRDefault="003A71DE" w:rsidP="001A5D47">
            <w:pPr>
              <w:pStyle w:val="TAC"/>
              <w:rPr>
                <w:lang w:eastAsia="zh-CN"/>
              </w:rPr>
            </w:pPr>
            <w:r w:rsidRPr="00CE0F04">
              <w:rPr>
                <w:lang w:eastAsia="zh-CN"/>
              </w:rPr>
              <w:t>N/A</w:t>
            </w:r>
          </w:p>
        </w:tc>
        <w:tc>
          <w:tcPr>
            <w:tcW w:w="899" w:type="dxa"/>
            <w:tcBorders>
              <w:bottom w:val="single" w:sz="4" w:space="0" w:color="auto"/>
            </w:tcBorders>
          </w:tcPr>
          <w:p w14:paraId="50EBEC51" w14:textId="77777777" w:rsidR="003A71DE" w:rsidRPr="00CE0F04" w:rsidRDefault="003A71DE" w:rsidP="001A5D47">
            <w:pPr>
              <w:pStyle w:val="TAC"/>
              <w:rPr>
                <w:lang w:eastAsia="zh-CN"/>
              </w:rPr>
            </w:pPr>
            <w:r w:rsidRPr="00CE0F04">
              <w:rPr>
                <w:lang w:eastAsia="zh-CN"/>
              </w:rPr>
              <w:t>N/A</w:t>
            </w:r>
          </w:p>
        </w:tc>
        <w:tc>
          <w:tcPr>
            <w:tcW w:w="810" w:type="dxa"/>
            <w:gridSpan w:val="2"/>
            <w:tcBorders>
              <w:bottom w:val="single" w:sz="4" w:space="0" w:color="auto"/>
            </w:tcBorders>
          </w:tcPr>
          <w:p w14:paraId="05D5CB1A" w14:textId="77777777" w:rsidR="003A71DE" w:rsidRPr="00CE0F04" w:rsidRDefault="003A71DE" w:rsidP="001A5D47">
            <w:pPr>
              <w:pStyle w:val="TAC"/>
              <w:rPr>
                <w:lang w:eastAsia="zh-CN"/>
              </w:rPr>
            </w:pPr>
            <w:r w:rsidRPr="00CE0F04">
              <w:rPr>
                <w:lang w:eastAsia="zh-CN"/>
              </w:rPr>
              <w:t>N/A</w:t>
            </w:r>
          </w:p>
        </w:tc>
        <w:tc>
          <w:tcPr>
            <w:tcW w:w="825" w:type="dxa"/>
            <w:tcBorders>
              <w:bottom w:val="single" w:sz="4" w:space="0" w:color="auto"/>
            </w:tcBorders>
          </w:tcPr>
          <w:p w14:paraId="75DD5898" w14:textId="77777777" w:rsidR="003A71DE" w:rsidRPr="00CE0F04" w:rsidRDefault="003A71DE" w:rsidP="001A5D47">
            <w:pPr>
              <w:pStyle w:val="TAC"/>
              <w:rPr>
                <w:lang w:eastAsia="zh-CN"/>
              </w:rPr>
            </w:pPr>
            <w:r w:rsidRPr="00CE0F04">
              <w:rPr>
                <w:lang w:eastAsia="zh-CN"/>
              </w:rPr>
              <w:t>N/A</w:t>
            </w:r>
          </w:p>
        </w:tc>
        <w:tc>
          <w:tcPr>
            <w:tcW w:w="784" w:type="dxa"/>
            <w:gridSpan w:val="2"/>
            <w:tcBorders>
              <w:bottom w:val="single" w:sz="4" w:space="0" w:color="auto"/>
            </w:tcBorders>
          </w:tcPr>
          <w:p w14:paraId="479CA93E" w14:textId="77777777" w:rsidR="003A71DE" w:rsidRPr="00CE0F04" w:rsidRDefault="003A71DE" w:rsidP="001A5D47">
            <w:pPr>
              <w:pStyle w:val="TAC"/>
              <w:rPr>
                <w:lang w:eastAsia="zh-CN"/>
              </w:rPr>
            </w:pPr>
            <w:r w:rsidRPr="00CE0F04">
              <w:rPr>
                <w:lang w:eastAsia="zh-CN"/>
              </w:rPr>
              <w:t>DLBWP.1.1</w:t>
            </w:r>
          </w:p>
        </w:tc>
      </w:tr>
      <w:tr w:rsidR="003A71DE" w:rsidRPr="00CE0F04" w14:paraId="7F915E53" w14:textId="77777777" w:rsidTr="003A71DE">
        <w:trPr>
          <w:cantSplit/>
          <w:jc w:val="center"/>
        </w:trPr>
        <w:tc>
          <w:tcPr>
            <w:tcW w:w="1950" w:type="dxa"/>
            <w:tcBorders>
              <w:left w:val="single" w:sz="4" w:space="0" w:color="auto"/>
              <w:bottom w:val="single" w:sz="4" w:space="0" w:color="auto"/>
            </w:tcBorders>
          </w:tcPr>
          <w:p w14:paraId="356604E8" w14:textId="77777777" w:rsidR="003A71DE" w:rsidRPr="00CE0F04" w:rsidRDefault="003A71DE" w:rsidP="001A5D47">
            <w:pPr>
              <w:pStyle w:val="TAL"/>
              <w:rPr>
                <w:lang w:eastAsia="zh-CN"/>
              </w:rPr>
            </w:pPr>
            <w:r w:rsidRPr="00CE0F04">
              <w:rPr>
                <w:lang w:eastAsia="zh-CN"/>
              </w:rPr>
              <w:t>Active UL BWP configuration</w:t>
            </w:r>
          </w:p>
        </w:tc>
        <w:tc>
          <w:tcPr>
            <w:tcW w:w="1793" w:type="dxa"/>
            <w:tcBorders>
              <w:bottom w:val="single" w:sz="4" w:space="0" w:color="auto"/>
            </w:tcBorders>
          </w:tcPr>
          <w:p w14:paraId="25D70695" w14:textId="77777777" w:rsidR="003A71DE" w:rsidRPr="00CE0F04" w:rsidRDefault="003A71DE" w:rsidP="001A5D47">
            <w:pPr>
              <w:pStyle w:val="TAC"/>
            </w:pPr>
          </w:p>
        </w:tc>
        <w:tc>
          <w:tcPr>
            <w:tcW w:w="1418" w:type="dxa"/>
            <w:tcBorders>
              <w:bottom w:val="single" w:sz="4" w:space="0" w:color="auto"/>
            </w:tcBorders>
          </w:tcPr>
          <w:p w14:paraId="452454DA" w14:textId="77777777" w:rsidR="003A71DE" w:rsidRPr="00CE0F04" w:rsidRDefault="003A71DE" w:rsidP="001A5D47">
            <w:pPr>
              <w:pStyle w:val="TAC"/>
              <w:rPr>
                <w:lang w:eastAsia="zh-CN"/>
              </w:rPr>
            </w:pPr>
            <w:r w:rsidRPr="00CE0F04">
              <w:rPr>
                <w:lang w:eastAsia="zh-CN"/>
              </w:rPr>
              <w:t>1, 2</w:t>
            </w:r>
          </w:p>
        </w:tc>
        <w:tc>
          <w:tcPr>
            <w:tcW w:w="960" w:type="dxa"/>
            <w:tcBorders>
              <w:bottom w:val="single" w:sz="4" w:space="0" w:color="auto"/>
            </w:tcBorders>
          </w:tcPr>
          <w:p w14:paraId="1DD7F70E" w14:textId="77777777" w:rsidR="003A71DE" w:rsidRPr="00CE0F04" w:rsidRDefault="003A71DE" w:rsidP="001A5D47">
            <w:pPr>
              <w:pStyle w:val="TAC"/>
              <w:rPr>
                <w:lang w:eastAsia="zh-CN"/>
              </w:rPr>
            </w:pPr>
            <w:r w:rsidRPr="00CE0F04">
              <w:rPr>
                <w:lang w:eastAsia="zh-CN"/>
              </w:rPr>
              <w:t>ULBWP.1.1</w:t>
            </w:r>
          </w:p>
        </w:tc>
        <w:tc>
          <w:tcPr>
            <w:tcW w:w="885" w:type="dxa"/>
            <w:gridSpan w:val="2"/>
            <w:tcBorders>
              <w:bottom w:val="single" w:sz="4" w:space="0" w:color="auto"/>
            </w:tcBorders>
          </w:tcPr>
          <w:p w14:paraId="012D8EFC" w14:textId="77777777" w:rsidR="003A71DE" w:rsidRPr="00CE0F04" w:rsidRDefault="003A71DE" w:rsidP="001A5D47">
            <w:pPr>
              <w:pStyle w:val="TAC"/>
              <w:rPr>
                <w:lang w:eastAsia="zh-CN"/>
              </w:rPr>
            </w:pPr>
            <w:r w:rsidRPr="00CE0F04">
              <w:rPr>
                <w:lang w:eastAsia="zh-CN"/>
              </w:rPr>
              <w:t>N/A</w:t>
            </w:r>
          </w:p>
        </w:tc>
        <w:tc>
          <w:tcPr>
            <w:tcW w:w="899" w:type="dxa"/>
            <w:tcBorders>
              <w:bottom w:val="single" w:sz="4" w:space="0" w:color="auto"/>
            </w:tcBorders>
          </w:tcPr>
          <w:p w14:paraId="4BD3042E" w14:textId="77777777" w:rsidR="003A71DE" w:rsidRPr="00CE0F04" w:rsidRDefault="003A71DE" w:rsidP="001A5D47">
            <w:pPr>
              <w:pStyle w:val="TAC"/>
              <w:rPr>
                <w:lang w:eastAsia="zh-CN"/>
              </w:rPr>
            </w:pPr>
            <w:r w:rsidRPr="00CE0F04">
              <w:rPr>
                <w:lang w:eastAsia="zh-CN"/>
              </w:rPr>
              <w:t>N/A</w:t>
            </w:r>
          </w:p>
        </w:tc>
        <w:tc>
          <w:tcPr>
            <w:tcW w:w="810" w:type="dxa"/>
            <w:gridSpan w:val="2"/>
            <w:tcBorders>
              <w:bottom w:val="single" w:sz="4" w:space="0" w:color="auto"/>
            </w:tcBorders>
          </w:tcPr>
          <w:p w14:paraId="7954401C" w14:textId="77777777" w:rsidR="003A71DE" w:rsidRPr="00CE0F04" w:rsidRDefault="003A71DE" w:rsidP="001A5D47">
            <w:pPr>
              <w:pStyle w:val="TAC"/>
              <w:rPr>
                <w:lang w:eastAsia="zh-CN"/>
              </w:rPr>
            </w:pPr>
            <w:r w:rsidRPr="00CE0F04">
              <w:rPr>
                <w:lang w:eastAsia="zh-CN"/>
              </w:rPr>
              <w:t>N/A</w:t>
            </w:r>
          </w:p>
        </w:tc>
        <w:tc>
          <w:tcPr>
            <w:tcW w:w="825" w:type="dxa"/>
            <w:tcBorders>
              <w:bottom w:val="single" w:sz="4" w:space="0" w:color="auto"/>
            </w:tcBorders>
          </w:tcPr>
          <w:p w14:paraId="302C70F4" w14:textId="77777777" w:rsidR="003A71DE" w:rsidRPr="00CE0F04" w:rsidRDefault="003A71DE" w:rsidP="001A5D47">
            <w:pPr>
              <w:pStyle w:val="TAC"/>
              <w:rPr>
                <w:lang w:eastAsia="zh-CN"/>
              </w:rPr>
            </w:pPr>
            <w:r w:rsidRPr="00CE0F04">
              <w:rPr>
                <w:lang w:eastAsia="zh-CN"/>
              </w:rPr>
              <w:t>N/A</w:t>
            </w:r>
          </w:p>
        </w:tc>
        <w:tc>
          <w:tcPr>
            <w:tcW w:w="784" w:type="dxa"/>
            <w:gridSpan w:val="2"/>
            <w:tcBorders>
              <w:bottom w:val="single" w:sz="4" w:space="0" w:color="auto"/>
            </w:tcBorders>
          </w:tcPr>
          <w:p w14:paraId="33F60101" w14:textId="77777777" w:rsidR="003A71DE" w:rsidRPr="00CE0F04" w:rsidRDefault="003A71DE" w:rsidP="001A5D47">
            <w:pPr>
              <w:pStyle w:val="TAC"/>
              <w:rPr>
                <w:lang w:eastAsia="zh-CN"/>
              </w:rPr>
            </w:pPr>
            <w:r w:rsidRPr="00CE0F04">
              <w:rPr>
                <w:lang w:eastAsia="zh-CN"/>
              </w:rPr>
              <w:t>ULBWP.1.1</w:t>
            </w:r>
          </w:p>
        </w:tc>
      </w:tr>
      <w:tr w:rsidR="003A71DE" w:rsidRPr="00CE0F04" w14:paraId="559B7C02" w14:textId="77777777" w:rsidTr="003A71DE">
        <w:trPr>
          <w:cantSplit/>
          <w:jc w:val="center"/>
        </w:trPr>
        <w:tc>
          <w:tcPr>
            <w:tcW w:w="1950" w:type="dxa"/>
            <w:tcBorders>
              <w:left w:val="single" w:sz="4" w:space="0" w:color="auto"/>
              <w:bottom w:val="single" w:sz="4" w:space="0" w:color="auto"/>
            </w:tcBorders>
          </w:tcPr>
          <w:p w14:paraId="06DC83A0" w14:textId="77777777" w:rsidR="003A71DE" w:rsidRPr="00CE0F04" w:rsidRDefault="003A71DE" w:rsidP="001A5D47">
            <w:pPr>
              <w:pStyle w:val="TAL"/>
              <w:rPr>
                <w:lang w:eastAsia="zh-CN"/>
              </w:rPr>
            </w:pPr>
            <w:r w:rsidRPr="00CE0F04">
              <w:rPr>
                <w:lang w:eastAsia="zh-CN"/>
              </w:rPr>
              <w:t>RLM-RS</w:t>
            </w:r>
          </w:p>
        </w:tc>
        <w:tc>
          <w:tcPr>
            <w:tcW w:w="1793" w:type="dxa"/>
            <w:tcBorders>
              <w:bottom w:val="single" w:sz="4" w:space="0" w:color="auto"/>
            </w:tcBorders>
          </w:tcPr>
          <w:p w14:paraId="54B25323" w14:textId="77777777" w:rsidR="003A71DE" w:rsidRPr="00CE0F04" w:rsidRDefault="003A71DE" w:rsidP="001A5D47">
            <w:pPr>
              <w:pStyle w:val="TAC"/>
            </w:pPr>
          </w:p>
        </w:tc>
        <w:tc>
          <w:tcPr>
            <w:tcW w:w="1418" w:type="dxa"/>
            <w:tcBorders>
              <w:bottom w:val="single" w:sz="4" w:space="0" w:color="auto"/>
            </w:tcBorders>
          </w:tcPr>
          <w:p w14:paraId="582C4087" w14:textId="77777777" w:rsidR="003A71DE" w:rsidRPr="00CE0F04" w:rsidRDefault="003A71DE" w:rsidP="001A5D47">
            <w:pPr>
              <w:pStyle w:val="TAC"/>
              <w:rPr>
                <w:lang w:eastAsia="zh-CN"/>
              </w:rPr>
            </w:pPr>
            <w:r w:rsidRPr="00CE0F04">
              <w:rPr>
                <w:lang w:eastAsia="zh-CN"/>
              </w:rPr>
              <w:t>1, 2</w:t>
            </w:r>
          </w:p>
        </w:tc>
        <w:tc>
          <w:tcPr>
            <w:tcW w:w="2744" w:type="dxa"/>
            <w:gridSpan w:val="4"/>
            <w:tcBorders>
              <w:bottom w:val="single" w:sz="4" w:space="0" w:color="auto"/>
            </w:tcBorders>
          </w:tcPr>
          <w:p w14:paraId="34B45A94" w14:textId="77777777" w:rsidR="003A71DE" w:rsidRPr="00CE0F04" w:rsidRDefault="003A71DE" w:rsidP="001A5D47">
            <w:pPr>
              <w:pStyle w:val="TAC"/>
              <w:rPr>
                <w:lang w:eastAsia="zh-CN"/>
              </w:rPr>
            </w:pPr>
            <w:r w:rsidRPr="00CE0F04">
              <w:rPr>
                <w:lang w:eastAsia="zh-CN"/>
              </w:rPr>
              <w:t>SSB</w:t>
            </w:r>
          </w:p>
        </w:tc>
        <w:tc>
          <w:tcPr>
            <w:tcW w:w="2419" w:type="dxa"/>
            <w:gridSpan w:val="5"/>
            <w:tcBorders>
              <w:bottom w:val="single" w:sz="4" w:space="0" w:color="auto"/>
            </w:tcBorders>
          </w:tcPr>
          <w:p w14:paraId="0603A9F3" w14:textId="77777777" w:rsidR="003A71DE" w:rsidRPr="00CE0F04" w:rsidRDefault="003A71DE" w:rsidP="001A5D47">
            <w:pPr>
              <w:pStyle w:val="TAC"/>
              <w:rPr>
                <w:lang w:eastAsia="zh-CN"/>
              </w:rPr>
            </w:pPr>
            <w:r w:rsidRPr="00CE0F04">
              <w:rPr>
                <w:lang w:eastAsia="zh-CN"/>
              </w:rPr>
              <w:t>SSB</w:t>
            </w:r>
          </w:p>
        </w:tc>
      </w:tr>
      <w:tr w:rsidR="003A71DE" w:rsidRPr="00CE0F04" w14:paraId="6813D471" w14:textId="77777777" w:rsidTr="003A71DE">
        <w:trPr>
          <w:cantSplit/>
          <w:trHeight w:val="141"/>
          <w:jc w:val="center"/>
        </w:trPr>
        <w:tc>
          <w:tcPr>
            <w:tcW w:w="1950" w:type="dxa"/>
            <w:tcBorders>
              <w:bottom w:val="nil"/>
            </w:tcBorders>
            <w:shd w:val="clear" w:color="auto" w:fill="auto"/>
          </w:tcPr>
          <w:p w14:paraId="48F1436D" w14:textId="77777777" w:rsidR="003A71DE" w:rsidRPr="00CE0F04" w:rsidRDefault="003A71DE" w:rsidP="001A5D47">
            <w:pPr>
              <w:pStyle w:val="TAL"/>
            </w:pPr>
            <w:r w:rsidRPr="00CE0F04">
              <w:rPr>
                <w:position w:val="-12"/>
              </w:rPr>
              <w:object w:dxaOrig="620" w:dyaOrig="380" w14:anchorId="5AD47D93">
                <v:shape id="_x0000_i1050" type="#_x0000_t75" style="width:29.35pt;height:14.4pt" o:ole="" fillcolor="window">
                  <v:imagedata r:id="rId69" o:title=""/>
                </v:shape>
                <o:OLEObject Type="Embed" ProgID="Equation.3" ShapeID="_x0000_i1050" DrawAspect="Content" ObjectID="_1734764430" r:id="rId70"/>
              </w:object>
            </w:r>
          </w:p>
        </w:tc>
        <w:tc>
          <w:tcPr>
            <w:tcW w:w="1793" w:type="dxa"/>
            <w:tcBorders>
              <w:bottom w:val="nil"/>
            </w:tcBorders>
            <w:shd w:val="clear" w:color="auto" w:fill="auto"/>
          </w:tcPr>
          <w:p w14:paraId="6AB4793F" w14:textId="77777777" w:rsidR="003A71DE" w:rsidRPr="00CE0F04" w:rsidRDefault="003A71DE" w:rsidP="001A5D47">
            <w:pPr>
              <w:pStyle w:val="TAC"/>
            </w:pPr>
            <w:r w:rsidRPr="00CE0F04">
              <w:t>dB</w:t>
            </w:r>
          </w:p>
        </w:tc>
        <w:tc>
          <w:tcPr>
            <w:tcW w:w="1418" w:type="dxa"/>
          </w:tcPr>
          <w:p w14:paraId="289C5F1F" w14:textId="77777777" w:rsidR="003A71DE" w:rsidRPr="00CE0F04" w:rsidRDefault="003A71DE" w:rsidP="001A5D47">
            <w:pPr>
              <w:pStyle w:val="TAC"/>
              <w:rPr>
                <w:lang w:eastAsia="zh-CN"/>
              </w:rPr>
            </w:pPr>
            <w:r w:rsidRPr="00CE0F04">
              <w:rPr>
                <w:lang w:eastAsia="zh-CN"/>
              </w:rPr>
              <w:t>1, 2</w:t>
            </w:r>
          </w:p>
        </w:tc>
        <w:tc>
          <w:tcPr>
            <w:tcW w:w="992" w:type="dxa"/>
            <w:gridSpan w:val="2"/>
          </w:tcPr>
          <w:p w14:paraId="11F9FE0F" w14:textId="77777777" w:rsidR="003A71DE" w:rsidRPr="00CE0F04" w:rsidDel="004B51DC" w:rsidRDefault="003A71DE" w:rsidP="001A5D47">
            <w:pPr>
              <w:pStyle w:val="TAC"/>
            </w:pPr>
            <w:r w:rsidRPr="00CE0F04">
              <w:t>4</w:t>
            </w:r>
          </w:p>
        </w:tc>
        <w:tc>
          <w:tcPr>
            <w:tcW w:w="853" w:type="dxa"/>
          </w:tcPr>
          <w:p w14:paraId="3E94381A" w14:textId="77777777" w:rsidR="003A71DE" w:rsidRPr="00CE0F04" w:rsidDel="004B51DC" w:rsidRDefault="003A71DE" w:rsidP="001A5D47">
            <w:pPr>
              <w:pStyle w:val="TAC"/>
            </w:pPr>
            <w:r w:rsidRPr="00CE0F04">
              <w:t>-infinity</w:t>
            </w:r>
          </w:p>
        </w:tc>
        <w:tc>
          <w:tcPr>
            <w:tcW w:w="899" w:type="dxa"/>
          </w:tcPr>
          <w:p w14:paraId="57390F31" w14:textId="77777777" w:rsidR="003A71DE" w:rsidRPr="00CE0F04" w:rsidDel="004B51DC" w:rsidRDefault="003A71DE" w:rsidP="001A5D47">
            <w:pPr>
              <w:pStyle w:val="TAC"/>
              <w:rPr>
                <w:lang w:eastAsia="zh-CN"/>
              </w:rPr>
            </w:pPr>
            <w:r w:rsidRPr="00CE0F04">
              <w:t>-infinity</w:t>
            </w:r>
          </w:p>
        </w:tc>
        <w:tc>
          <w:tcPr>
            <w:tcW w:w="802" w:type="dxa"/>
          </w:tcPr>
          <w:p w14:paraId="4308AB29" w14:textId="77777777" w:rsidR="003A71DE" w:rsidRPr="00CE0F04" w:rsidDel="00B36E6D" w:rsidRDefault="003A71DE" w:rsidP="001A5D47">
            <w:pPr>
              <w:pStyle w:val="TAC"/>
            </w:pPr>
            <w:r w:rsidRPr="00CE0F04">
              <w:t>-infinity</w:t>
            </w:r>
          </w:p>
        </w:tc>
        <w:tc>
          <w:tcPr>
            <w:tcW w:w="850" w:type="dxa"/>
            <w:gridSpan w:val="3"/>
          </w:tcPr>
          <w:p w14:paraId="3E9B0E00" w14:textId="77777777" w:rsidR="003A71DE" w:rsidRPr="00CE0F04" w:rsidDel="004B51DC" w:rsidRDefault="003A71DE" w:rsidP="001A5D47">
            <w:pPr>
              <w:pStyle w:val="TAC"/>
              <w:rPr>
                <w:lang w:eastAsia="zh-CN"/>
              </w:rPr>
            </w:pPr>
            <w:r w:rsidRPr="00CE0F04">
              <w:t>-infinity</w:t>
            </w:r>
          </w:p>
        </w:tc>
        <w:tc>
          <w:tcPr>
            <w:tcW w:w="767" w:type="dxa"/>
          </w:tcPr>
          <w:p w14:paraId="5D74E220" w14:textId="77777777" w:rsidR="003A71DE" w:rsidRPr="00CE0F04" w:rsidDel="004B51DC" w:rsidRDefault="003A71DE" w:rsidP="001A5D47">
            <w:pPr>
              <w:pStyle w:val="TAC"/>
            </w:pPr>
            <w:r w:rsidRPr="00CE0F04">
              <w:t>7</w:t>
            </w:r>
          </w:p>
        </w:tc>
      </w:tr>
      <w:tr w:rsidR="003A71DE" w:rsidRPr="00CE0F04" w14:paraId="41FAC7FA" w14:textId="77777777" w:rsidTr="003A71DE">
        <w:trPr>
          <w:cantSplit/>
          <w:trHeight w:val="175"/>
          <w:jc w:val="center"/>
        </w:trPr>
        <w:tc>
          <w:tcPr>
            <w:tcW w:w="1950" w:type="dxa"/>
            <w:tcBorders>
              <w:bottom w:val="nil"/>
            </w:tcBorders>
            <w:shd w:val="clear" w:color="auto" w:fill="auto"/>
          </w:tcPr>
          <w:p w14:paraId="5BC9E5B1" w14:textId="77777777" w:rsidR="003A71DE" w:rsidRPr="00CE0F04" w:rsidRDefault="003A71DE" w:rsidP="001A5D47">
            <w:pPr>
              <w:pStyle w:val="TAL"/>
            </w:pPr>
            <w:r w:rsidRPr="00CE0F04">
              <w:rPr>
                <w:position w:val="-12"/>
              </w:rPr>
              <w:object w:dxaOrig="400" w:dyaOrig="360" w14:anchorId="24E25ACD">
                <v:shape id="_x0000_i1051" type="#_x0000_t75" style="width:22.15pt;height:22.15pt" o:ole="" fillcolor="window">
                  <v:imagedata r:id="rId71" o:title=""/>
                </v:shape>
                <o:OLEObject Type="Embed" ProgID="Equation.3" ShapeID="_x0000_i1051" DrawAspect="Content" ObjectID="_1734764431" r:id="rId72"/>
              </w:object>
            </w:r>
            <w:r w:rsidRPr="00CE0F04">
              <w:t xml:space="preserve"> </w:t>
            </w:r>
            <w:r w:rsidRPr="00CE0F04">
              <w:rPr>
                <w:vertAlign w:val="superscript"/>
              </w:rPr>
              <w:t>Note2</w:t>
            </w:r>
          </w:p>
        </w:tc>
        <w:tc>
          <w:tcPr>
            <w:tcW w:w="1793" w:type="dxa"/>
            <w:tcBorders>
              <w:bottom w:val="nil"/>
            </w:tcBorders>
            <w:shd w:val="clear" w:color="auto" w:fill="auto"/>
          </w:tcPr>
          <w:p w14:paraId="6B7D8DB1" w14:textId="77777777" w:rsidR="003A71DE" w:rsidRPr="00CE0F04" w:rsidRDefault="003A71DE" w:rsidP="001A5D47">
            <w:pPr>
              <w:pStyle w:val="TAC"/>
            </w:pPr>
            <w:r w:rsidRPr="00CE0F04">
              <w:t>dBm/SCS</w:t>
            </w:r>
          </w:p>
        </w:tc>
        <w:tc>
          <w:tcPr>
            <w:tcW w:w="1418" w:type="dxa"/>
          </w:tcPr>
          <w:p w14:paraId="4AB1A9B3" w14:textId="77777777" w:rsidR="003A71DE" w:rsidRPr="00CE0F04" w:rsidRDefault="003A71DE" w:rsidP="001A5D47">
            <w:pPr>
              <w:pStyle w:val="TAC"/>
              <w:rPr>
                <w:lang w:eastAsia="zh-CN"/>
              </w:rPr>
            </w:pPr>
            <w:r w:rsidRPr="00CE0F04">
              <w:rPr>
                <w:lang w:eastAsia="zh-CN"/>
              </w:rPr>
              <w:t>1</w:t>
            </w:r>
          </w:p>
        </w:tc>
        <w:tc>
          <w:tcPr>
            <w:tcW w:w="5163" w:type="dxa"/>
            <w:gridSpan w:val="9"/>
          </w:tcPr>
          <w:p w14:paraId="1CC80F2C" w14:textId="77777777" w:rsidR="003A71DE" w:rsidRPr="00CE0F04" w:rsidRDefault="003A71DE" w:rsidP="001A5D47">
            <w:pPr>
              <w:pStyle w:val="TAC"/>
            </w:pPr>
            <w:r w:rsidRPr="00CE0F04">
              <w:rPr>
                <w:lang w:eastAsia="zh-CN"/>
              </w:rPr>
              <w:t>-98</w:t>
            </w:r>
          </w:p>
        </w:tc>
      </w:tr>
      <w:tr w:rsidR="003A71DE" w:rsidRPr="00CE0F04" w14:paraId="6B4C215D" w14:textId="77777777" w:rsidTr="003A71DE">
        <w:trPr>
          <w:cantSplit/>
          <w:jc w:val="center"/>
        </w:trPr>
        <w:tc>
          <w:tcPr>
            <w:tcW w:w="1950" w:type="dxa"/>
            <w:tcBorders>
              <w:top w:val="nil"/>
              <w:bottom w:val="nil"/>
            </w:tcBorders>
            <w:shd w:val="clear" w:color="auto" w:fill="auto"/>
          </w:tcPr>
          <w:p w14:paraId="4CD6961D" w14:textId="77777777" w:rsidR="003A71DE" w:rsidRPr="00CE0F04" w:rsidRDefault="003A71DE" w:rsidP="001A5D47">
            <w:pPr>
              <w:pStyle w:val="TAL"/>
            </w:pPr>
          </w:p>
        </w:tc>
        <w:tc>
          <w:tcPr>
            <w:tcW w:w="1793" w:type="dxa"/>
            <w:tcBorders>
              <w:top w:val="nil"/>
              <w:bottom w:val="nil"/>
            </w:tcBorders>
            <w:shd w:val="clear" w:color="auto" w:fill="auto"/>
          </w:tcPr>
          <w:p w14:paraId="5F49BDA3" w14:textId="77777777" w:rsidR="003A71DE" w:rsidRPr="00CE0F04" w:rsidRDefault="003A71DE" w:rsidP="001A5D47">
            <w:pPr>
              <w:pStyle w:val="TAC"/>
            </w:pPr>
          </w:p>
        </w:tc>
        <w:tc>
          <w:tcPr>
            <w:tcW w:w="1418" w:type="dxa"/>
          </w:tcPr>
          <w:p w14:paraId="2AFCEDA8" w14:textId="77777777" w:rsidR="003A71DE" w:rsidRPr="00CE0F04" w:rsidRDefault="003A71DE" w:rsidP="001A5D47">
            <w:pPr>
              <w:pStyle w:val="TAC"/>
              <w:rPr>
                <w:lang w:eastAsia="zh-CN"/>
              </w:rPr>
            </w:pPr>
            <w:r w:rsidRPr="00CE0F04">
              <w:rPr>
                <w:lang w:eastAsia="zh-CN"/>
              </w:rPr>
              <w:t>2</w:t>
            </w:r>
          </w:p>
        </w:tc>
        <w:tc>
          <w:tcPr>
            <w:tcW w:w="5163" w:type="dxa"/>
            <w:gridSpan w:val="9"/>
          </w:tcPr>
          <w:p w14:paraId="44361EE5" w14:textId="77777777" w:rsidR="003A71DE" w:rsidRPr="00CE0F04" w:rsidRDefault="003A71DE" w:rsidP="001A5D47">
            <w:pPr>
              <w:pStyle w:val="TAC"/>
              <w:rPr>
                <w:lang w:eastAsia="zh-CN"/>
              </w:rPr>
            </w:pPr>
            <w:r w:rsidRPr="00CE0F04">
              <w:rPr>
                <w:lang w:eastAsia="zh-CN"/>
              </w:rPr>
              <w:t>-95</w:t>
            </w:r>
          </w:p>
        </w:tc>
      </w:tr>
      <w:tr w:rsidR="003A71DE" w:rsidRPr="00CE0F04" w14:paraId="51CEAA04" w14:textId="77777777" w:rsidTr="003A71DE">
        <w:trPr>
          <w:cantSplit/>
          <w:jc w:val="center"/>
        </w:trPr>
        <w:tc>
          <w:tcPr>
            <w:tcW w:w="1950" w:type="dxa"/>
            <w:tcBorders>
              <w:bottom w:val="nil"/>
            </w:tcBorders>
            <w:shd w:val="clear" w:color="auto" w:fill="auto"/>
          </w:tcPr>
          <w:p w14:paraId="62A8D562" w14:textId="77777777" w:rsidR="003A71DE" w:rsidRPr="00CE0F04" w:rsidRDefault="003A71DE" w:rsidP="001A5D47">
            <w:pPr>
              <w:pStyle w:val="TAL"/>
            </w:pPr>
            <w:r w:rsidRPr="00CE0F04">
              <w:rPr>
                <w:position w:val="-12"/>
              </w:rPr>
              <w:object w:dxaOrig="400" w:dyaOrig="360" w14:anchorId="1AC2419E">
                <v:shape id="_x0000_i1052" type="#_x0000_t75" style="width:22.15pt;height:22.15pt" o:ole="" fillcolor="window">
                  <v:imagedata r:id="rId71" o:title=""/>
                </v:shape>
                <o:OLEObject Type="Embed" ProgID="Equation.3" ShapeID="_x0000_i1052" DrawAspect="Content" ObjectID="_1734764432" r:id="rId73"/>
              </w:object>
            </w:r>
            <w:r w:rsidRPr="00CE0F04">
              <w:t xml:space="preserve"> </w:t>
            </w:r>
            <w:r w:rsidRPr="00CE0F04">
              <w:rPr>
                <w:vertAlign w:val="superscript"/>
              </w:rPr>
              <w:t>Note2</w:t>
            </w:r>
          </w:p>
        </w:tc>
        <w:tc>
          <w:tcPr>
            <w:tcW w:w="1793" w:type="dxa"/>
            <w:tcBorders>
              <w:bottom w:val="nil"/>
            </w:tcBorders>
            <w:shd w:val="clear" w:color="auto" w:fill="auto"/>
          </w:tcPr>
          <w:p w14:paraId="020F0053" w14:textId="77777777" w:rsidR="003A71DE" w:rsidRPr="00CE0F04" w:rsidRDefault="003A71DE" w:rsidP="001A5D47">
            <w:pPr>
              <w:pStyle w:val="TAC"/>
            </w:pPr>
            <w:r w:rsidRPr="00CE0F04">
              <w:t>dBm/15 kHz</w:t>
            </w:r>
          </w:p>
        </w:tc>
        <w:tc>
          <w:tcPr>
            <w:tcW w:w="1418" w:type="dxa"/>
          </w:tcPr>
          <w:p w14:paraId="148C1CF6" w14:textId="77777777" w:rsidR="003A71DE" w:rsidRPr="00CE0F04" w:rsidRDefault="003A71DE" w:rsidP="001A5D47">
            <w:pPr>
              <w:pStyle w:val="TAC"/>
              <w:rPr>
                <w:lang w:eastAsia="zh-CN"/>
              </w:rPr>
            </w:pPr>
            <w:r w:rsidRPr="00CE0F04">
              <w:rPr>
                <w:lang w:eastAsia="zh-CN"/>
              </w:rPr>
              <w:t>1, 2</w:t>
            </w:r>
          </w:p>
        </w:tc>
        <w:tc>
          <w:tcPr>
            <w:tcW w:w="5163" w:type="dxa"/>
            <w:gridSpan w:val="9"/>
            <w:tcBorders>
              <w:bottom w:val="nil"/>
            </w:tcBorders>
            <w:shd w:val="clear" w:color="auto" w:fill="auto"/>
          </w:tcPr>
          <w:p w14:paraId="5E3FD4AC" w14:textId="77777777" w:rsidR="003A71DE" w:rsidRPr="00CE0F04" w:rsidRDefault="003A71DE" w:rsidP="001A5D47">
            <w:pPr>
              <w:pStyle w:val="TAC"/>
            </w:pPr>
            <w:r w:rsidRPr="00CE0F04">
              <w:t>-98</w:t>
            </w:r>
          </w:p>
        </w:tc>
      </w:tr>
      <w:tr w:rsidR="003A71DE" w:rsidRPr="00CE0F04" w14:paraId="114E92F2" w14:textId="77777777" w:rsidTr="003A71DE">
        <w:trPr>
          <w:cantSplit/>
          <w:jc w:val="center"/>
        </w:trPr>
        <w:tc>
          <w:tcPr>
            <w:tcW w:w="1950" w:type="dxa"/>
            <w:tcBorders>
              <w:bottom w:val="nil"/>
            </w:tcBorders>
            <w:shd w:val="clear" w:color="auto" w:fill="auto"/>
          </w:tcPr>
          <w:p w14:paraId="005D4C00" w14:textId="77777777" w:rsidR="003A71DE" w:rsidRPr="00CE0F04" w:rsidRDefault="003A71DE" w:rsidP="001A5D47">
            <w:pPr>
              <w:pStyle w:val="TAL"/>
            </w:pPr>
            <w:r w:rsidRPr="00CE0F04">
              <w:rPr>
                <w:position w:val="-12"/>
              </w:rPr>
              <w:object w:dxaOrig="800" w:dyaOrig="380" w14:anchorId="295C0764">
                <v:shape id="_x0000_i1053" type="#_x0000_t75" style="width:44.85pt;height:14.4pt" o:ole="" fillcolor="window">
                  <v:imagedata r:id="rId74" o:title=""/>
                </v:shape>
                <o:OLEObject Type="Embed" ProgID="Equation.3" ShapeID="_x0000_i1053" DrawAspect="Content" ObjectID="_1734764433" r:id="rId75"/>
              </w:object>
            </w:r>
          </w:p>
        </w:tc>
        <w:tc>
          <w:tcPr>
            <w:tcW w:w="1793" w:type="dxa"/>
            <w:tcBorders>
              <w:bottom w:val="nil"/>
            </w:tcBorders>
            <w:shd w:val="clear" w:color="auto" w:fill="auto"/>
          </w:tcPr>
          <w:p w14:paraId="163948BC" w14:textId="77777777" w:rsidR="003A71DE" w:rsidRPr="00CE0F04" w:rsidRDefault="003A71DE" w:rsidP="001A5D47">
            <w:pPr>
              <w:pStyle w:val="TAC"/>
            </w:pPr>
            <w:r w:rsidRPr="00CE0F04">
              <w:t>dB</w:t>
            </w:r>
          </w:p>
        </w:tc>
        <w:tc>
          <w:tcPr>
            <w:tcW w:w="1418" w:type="dxa"/>
          </w:tcPr>
          <w:p w14:paraId="2EA818A2" w14:textId="77777777" w:rsidR="003A71DE" w:rsidRPr="00CE0F04" w:rsidRDefault="003A71DE" w:rsidP="001A5D47">
            <w:pPr>
              <w:pStyle w:val="TAC"/>
              <w:rPr>
                <w:lang w:eastAsia="zh-CN"/>
              </w:rPr>
            </w:pPr>
            <w:r w:rsidRPr="00CE0F04">
              <w:rPr>
                <w:lang w:eastAsia="zh-CN"/>
              </w:rPr>
              <w:t>1, 2</w:t>
            </w:r>
          </w:p>
        </w:tc>
        <w:tc>
          <w:tcPr>
            <w:tcW w:w="992" w:type="dxa"/>
            <w:gridSpan w:val="2"/>
            <w:tcBorders>
              <w:bottom w:val="nil"/>
            </w:tcBorders>
            <w:shd w:val="clear" w:color="auto" w:fill="auto"/>
          </w:tcPr>
          <w:p w14:paraId="01C5D9E0" w14:textId="77777777" w:rsidR="003A71DE" w:rsidRPr="00CE0F04" w:rsidRDefault="003A71DE" w:rsidP="001A5D47">
            <w:pPr>
              <w:pStyle w:val="TAC"/>
            </w:pPr>
            <w:r w:rsidRPr="00CE0F04">
              <w:t>4</w:t>
            </w:r>
          </w:p>
        </w:tc>
        <w:tc>
          <w:tcPr>
            <w:tcW w:w="853" w:type="dxa"/>
            <w:tcBorders>
              <w:bottom w:val="nil"/>
            </w:tcBorders>
            <w:shd w:val="clear" w:color="auto" w:fill="auto"/>
          </w:tcPr>
          <w:p w14:paraId="1E4415F5" w14:textId="77777777" w:rsidR="003A71DE" w:rsidRPr="00CE0F04" w:rsidRDefault="003A71DE" w:rsidP="001A5D47">
            <w:pPr>
              <w:pStyle w:val="TAC"/>
            </w:pPr>
            <w:r w:rsidRPr="00CE0F04">
              <w:t>-infinity</w:t>
            </w:r>
          </w:p>
        </w:tc>
        <w:tc>
          <w:tcPr>
            <w:tcW w:w="899" w:type="dxa"/>
            <w:tcBorders>
              <w:bottom w:val="nil"/>
            </w:tcBorders>
            <w:shd w:val="clear" w:color="auto" w:fill="auto"/>
          </w:tcPr>
          <w:p w14:paraId="350B1898" w14:textId="77777777" w:rsidR="003A71DE" w:rsidRPr="00CE0F04" w:rsidRDefault="003A71DE" w:rsidP="001A5D47">
            <w:pPr>
              <w:pStyle w:val="TAC"/>
            </w:pPr>
            <w:r w:rsidRPr="00CE0F04">
              <w:t>-infinity</w:t>
            </w:r>
          </w:p>
        </w:tc>
        <w:tc>
          <w:tcPr>
            <w:tcW w:w="802" w:type="dxa"/>
            <w:tcBorders>
              <w:bottom w:val="nil"/>
            </w:tcBorders>
            <w:shd w:val="clear" w:color="auto" w:fill="auto"/>
          </w:tcPr>
          <w:p w14:paraId="05BB5FBB" w14:textId="77777777" w:rsidR="003A71DE" w:rsidRPr="00CE0F04" w:rsidRDefault="003A71DE" w:rsidP="001A5D47">
            <w:pPr>
              <w:pStyle w:val="TAC"/>
            </w:pPr>
            <w:r w:rsidRPr="00CE0F04">
              <w:t>-infinity</w:t>
            </w:r>
          </w:p>
        </w:tc>
        <w:tc>
          <w:tcPr>
            <w:tcW w:w="850" w:type="dxa"/>
            <w:gridSpan w:val="3"/>
            <w:tcBorders>
              <w:bottom w:val="nil"/>
            </w:tcBorders>
            <w:shd w:val="clear" w:color="auto" w:fill="auto"/>
          </w:tcPr>
          <w:p w14:paraId="00543A9E" w14:textId="77777777" w:rsidR="003A71DE" w:rsidRPr="00CE0F04" w:rsidRDefault="003A71DE" w:rsidP="001A5D47">
            <w:pPr>
              <w:pStyle w:val="TAC"/>
            </w:pPr>
            <w:r w:rsidRPr="00CE0F04">
              <w:t>-infinity</w:t>
            </w:r>
          </w:p>
        </w:tc>
        <w:tc>
          <w:tcPr>
            <w:tcW w:w="767" w:type="dxa"/>
            <w:tcBorders>
              <w:bottom w:val="nil"/>
            </w:tcBorders>
            <w:shd w:val="clear" w:color="auto" w:fill="auto"/>
          </w:tcPr>
          <w:p w14:paraId="3A595CEC" w14:textId="77777777" w:rsidR="003A71DE" w:rsidRPr="00CE0F04" w:rsidRDefault="003A71DE" w:rsidP="001A5D47">
            <w:pPr>
              <w:pStyle w:val="TAC"/>
            </w:pPr>
            <w:r w:rsidRPr="00CE0F04">
              <w:t>7</w:t>
            </w:r>
          </w:p>
        </w:tc>
      </w:tr>
      <w:tr w:rsidR="003A71DE" w:rsidRPr="00CE0F04" w14:paraId="124FEAD5" w14:textId="77777777" w:rsidTr="003A71DE">
        <w:trPr>
          <w:cantSplit/>
          <w:jc w:val="center"/>
        </w:trPr>
        <w:tc>
          <w:tcPr>
            <w:tcW w:w="1950" w:type="dxa"/>
            <w:tcBorders>
              <w:bottom w:val="nil"/>
            </w:tcBorders>
            <w:shd w:val="clear" w:color="auto" w:fill="auto"/>
          </w:tcPr>
          <w:p w14:paraId="0E67FB2D" w14:textId="77777777" w:rsidR="003A71DE" w:rsidRPr="00CE0F04" w:rsidRDefault="003A71DE" w:rsidP="001A5D47">
            <w:pPr>
              <w:pStyle w:val="TAL"/>
            </w:pPr>
            <w:r w:rsidRPr="00CE0F04">
              <w:t xml:space="preserve">SS-RSRP </w:t>
            </w:r>
            <w:r w:rsidRPr="00CE0F04">
              <w:rPr>
                <w:vertAlign w:val="superscript"/>
              </w:rPr>
              <w:t>Note3</w:t>
            </w:r>
          </w:p>
        </w:tc>
        <w:tc>
          <w:tcPr>
            <w:tcW w:w="1793" w:type="dxa"/>
            <w:tcBorders>
              <w:bottom w:val="nil"/>
            </w:tcBorders>
            <w:shd w:val="clear" w:color="auto" w:fill="auto"/>
          </w:tcPr>
          <w:p w14:paraId="461B95BC" w14:textId="77777777" w:rsidR="003A71DE" w:rsidRPr="00CE0F04" w:rsidRDefault="003A71DE" w:rsidP="001A5D47">
            <w:pPr>
              <w:pStyle w:val="TAC"/>
            </w:pPr>
            <w:r w:rsidRPr="00CE0F04">
              <w:t>dBm/SCS</w:t>
            </w:r>
          </w:p>
        </w:tc>
        <w:tc>
          <w:tcPr>
            <w:tcW w:w="1418" w:type="dxa"/>
          </w:tcPr>
          <w:p w14:paraId="2B4C2377" w14:textId="77777777" w:rsidR="003A71DE" w:rsidRPr="00CE0F04" w:rsidRDefault="003A71DE" w:rsidP="001A5D47">
            <w:pPr>
              <w:pStyle w:val="TAC"/>
              <w:rPr>
                <w:lang w:eastAsia="zh-CN"/>
              </w:rPr>
            </w:pPr>
            <w:r w:rsidRPr="00CE0F04">
              <w:rPr>
                <w:lang w:eastAsia="zh-CN"/>
              </w:rPr>
              <w:t>1</w:t>
            </w:r>
          </w:p>
        </w:tc>
        <w:tc>
          <w:tcPr>
            <w:tcW w:w="992" w:type="dxa"/>
            <w:gridSpan w:val="2"/>
          </w:tcPr>
          <w:p w14:paraId="22F961BA" w14:textId="77777777" w:rsidR="003A71DE" w:rsidRPr="00CE0F04" w:rsidRDefault="003A71DE" w:rsidP="001A5D47">
            <w:pPr>
              <w:pStyle w:val="TAC"/>
            </w:pPr>
            <w:r w:rsidRPr="00CE0F04">
              <w:rPr>
                <w:lang w:eastAsia="zh-CN"/>
              </w:rPr>
              <w:t>-94</w:t>
            </w:r>
          </w:p>
        </w:tc>
        <w:tc>
          <w:tcPr>
            <w:tcW w:w="853" w:type="dxa"/>
          </w:tcPr>
          <w:p w14:paraId="5426D9B6" w14:textId="77777777" w:rsidR="003A71DE" w:rsidRPr="00CE0F04" w:rsidRDefault="003A71DE" w:rsidP="001A5D47">
            <w:pPr>
              <w:pStyle w:val="TAC"/>
            </w:pPr>
            <w:r w:rsidRPr="00CE0F04">
              <w:t>-infinity</w:t>
            </w:r>
          </w:p>
        </w:tc>
        <w:tc>
          <w:tcPr>
            <w:tcW w:w="899" w:type="dxa"/>
          </w:tcPr>
          <w:p w14:paraId="717AFD58" w14:textId="77777777" w:rsidR="003A71DE" w:rsidRPr="00CE0F04" w:rsidRDefault="003A71DE" w:rsidP="001A5D47">
            <w:pPr>
              <w:pStyle w:val="TAC"/>
            </w:pPr>
            <w:r w:rsidRPr="00CE0F04">
              <w:t>-infinity</w:t>
            </w:r>
          </w:p>
        </w:tc>
        <w:tc>
          <w:tcPr>
            <w:tcW w:w="802" w:type="dxa"/>
          </w:tcPr>
          <w:p w14:paraId="16561E32" w14:textId="77777777" w:rsidR="003A71DE" w:rsidRPr="00CE0F04" w:rsidRDefault="003A71DE" w:rsidP="001A5D47">
            <w:pPr>
              <w:pStyle w:val="TAC"/>
              <w:rPr>
                <w:lang w:eastAsia="zh-CN"/>
              </w:rPr>
            </w:pPr>
            <w:r w:rsidRPr="00CE0F04">
              <w:t>-infinity</w:t>
            </w:r>
          </w:p>
        </w:tc>
        <w:tc>
          <w:tcPr>
            <w:tcW w:w="850" w:type="dxa"/>
            <w:gridSpan w:val="3"/>
          </w:tcPr>
          <w:p w14:paraId="00D11625" w14:textId="77777777" w:rsidR="003A71DE" w:rsidRPr="00CE0F04" w:rsidRDefault="003A71DE" w:rsidP="001A5D47">
            <w:pPr>
              <w:pStyle w:val="TAC"/>
              <w:rPr>
                <w:lang w:eastAsia="zh-CN"/>
              </w:rPr>
            </w:pPr>
            <w:r w:rsidRPr="00CE0F04">
              <w:t>-infinity</w:t>
            </w:r>
          </w:p>
        </w:tc>
        <w:tc>
          <w:tcPr>
            <w:tcW w:w="767" w:type="dxa"/>
          </w:tcPr>
          <w:p w14:paraId="704B42D5" w14:textId="77777777" w:rsidR="003A71DE" w:rsidRPr="00CE0F04" w:rsidRDefault="003A71DE" w:rsidP="001A5D47">
            <w:pPr>
              <w:pStyle w:val="TAC"/>
              <w:rPr>
                <w:lang w:eastAsia="zh-CN"/>
              </w:rPr>
            </w:pPr>
            <w:r w:rsidRPr="00CE0F04">
              <w:t>-91</w:t>
            </w:r>
          </w:p>
        </w:tc>
      </w:tr>
      <w:tr w:rsidR="003A71DE" w:rsidRPr="00CE0F04" w14:paraId="7E8CDF6F" w14:textId="77777777" w:rsidTr="003A71DE">
        <w:trPr>
          <w:cantSplit/>
          <w:jc w:val="center"/>
        </w:trPr>
        <w:tc>
          <w:tcPr>
            <w:tcW w:w="1950" w:type="dxa"/>
            <w:tcBorders>
              <w:top w:val="nil"/>
              <w:bottom w:val="nil"/>
            </w:tcBorders>
            <w:shd w:val="clear" w:color="auto" w:fill="auto"/>
          </w:tcPr>
          <w:p w14:paraId="1EF0995D" w14:textId="77777777" w:rsidR="003A71DE" w:rsidRPr="00CE0F04" w:rsidRDefault="003A71DE" w:rsidP="001A5D47">
            <w:pPr>
              <w:pStyle w:val="TAL"/>
            </w:pPr>
          </w:p>
        </w:tc>
        <w:tc>
          <w:tcPr>
            <w:tcW w:w="1793" w:type="dxa"/>
            <w:tcBorders>
              <w:top w:val="nil"/>
              <w:bottom w:val="nil"/>
            </w:tcBorders>
            <w:shd w:val="clear" w:color="auto" w:fill="auto"/>
          </w:tcPr>
          <w:p w14:paraId="0F38502B" w14:textId="77777777" w:rsidR="003A71DE" w:rsidRPr="00CE0F04" w:rsidRDefault="003A71DE" w:rsidP="001A5D47">
            <w:pPr>
              <w:pStyle w:val="TAC"/>
            </w:pPr>
          </w:p>
        </w:tc>
        <w:tc>
          <w:tcPr>
            <w:tcW w:w="1418" w:type="dxa"/>
          </w:tcPr>
          <w:p w14:paraId="7E682AC1" w14:textId="77777777" w:rsidR="003A71DE" w:rsidRPr="00CE0F04" w:rsidRDefault="003A71DE" w:rsidP="001A5D47">
            <w:pPr>
              <w:pStyle w:val="TAC"/>
              <w:rPr>
                <w:lang w:eastAsia="zh-CN"/>
              </w:rPr>
            </w:pPr>
            <w:r w:rsidRPr="00CE0F04">
              <w:rPr>
                <w:lang w:eastAsia="zh-CN"/>
              </w:rPr>
              <w:t>2</w:t>
            </w:r>
          </w:p>
        </w:tc>
        <w:tc>
          <w:tcPr>
            <w:tcW w:w="992" w:type="dxa"/>
            <w:gridSpan w:val="2"/>
          </w:tcPr>
          <w:p w14:paraId="7D3D2399" w14:textId="77777777" w:rsidR="003A71DE" w:rsidRPr="00CE0F04" w:rsidRDefault="003A71DE" w:rsidP="001A5D47">
            <w:pPr>
              <w:pStyle w:val="TAC"/>
            </w:pPr>
            <w:r w:rsidRPr="00CE0F04">
              <w:rPr>
                <w:lang w:eastAsia="zh-CN"/>
              </w:rPr>
              <w:t>-91</w:t>
            </w:r>
          </w:p>
        </w:tc>
        <w:tc>
          <w:tcPr>
            <w:tcW w:w="853" w:type="dxa"/>
          </w:tcPr>
          <w:p w14:paraId="2D8B9D98" w14:textId="77777777" w:rsidR="003A71DE" w:rsidRPr="00CE0F04" w:rsidRDefault="003A71DE" w:rsidP="001A5D47">
            <w:pPr>
              <w:pStyle w:val="TAC"/>
            </w:pPr>
            <w:r w:rsidRPr="00CE0F04">
              <w:t>-infinity</w:t>
            </w:r>
          </w:p>
        </w:tc>
        <w:tc>
          <w:tcPr>
            <w:tcW w:w="899" w:type="dxa"/>
          </w:tcPr>
          <w:p w14:paraId="6029912E" w14:textId="77777777" w:rsidR="003A71DE" w:rsidRPr="00CE0F04" w:rsidRDefault="003A71DE" w:rsidP="001A5D47">
            <w:pPr>
              <w:pStyle w:val="TAC"/>
            </w:pPr>
            <w:r w:rsidRPr="00CE0F04">
              <w:t>-infinity</w:t>
            </w:r>
          </w:p>
        </w:tc>
        <w:tc>
          <w:tcPr>
            <w:tcW w:w="802" w:type="dxa"/>
          </w:tcPr>
          <w:p w14:paraId="35B37E0F" w14:textId="77777777" w:rsidR="003A71DE" w:rsidRPr="00CE0F04" w:rsidRDefault="003A71DE" w:rsidP="001A5D47">
            <w:pPr>
              <w:pStyle w:val="TAC"/>
            </w:pPr>
            <w:r w:rsidRPr="00CE0F04">
              <w:t>-infinity</w:t>
            </w:r>
          </w:p>
        </w:tc>
        <w:tc>
          <w:tcPr>
            <w:tcW w:w="850" w:type="dxa"/>
            <w:gridSpan w:val="3"/>
          </w:tcPr>
          <w:p w14:paraId="41F7D1F4" w14:textId="77777777" w:rsidR="003A71DE" w:rsidRPr="00CE0F04" w:rsidRDefault="003A71DE" w:rsidP="001A5D47">
            <w:pPr>
              <w:pStyle w:val="TAC"/>
            </w:pPr>
            <w:r w:rsidRPr="00CE0F04">
              <w:t>-infinity</w:t>
            </w:r>
          </w:p>
        </w:tc>
        <w:tc>
          <w:tcPr>
            <w:tcW w:w="767" w:type="dxa"/>
          </w:tcPr>
          <w:p w14:paraId="5B3E4293" w14:textId="77777777" w:rsidR="003A71DE" w:rsidRPr="00CE0F04" w:rsidRDefault="003A71DE" w:rsidP="001A5D47">
            <w:pPr>
              <w:pStyle w:val="TAC"/>
            </w:pPr>
            <w:r w:rsidRPr="00CE0F04">
              <w:rPr>
                <w:lang w:eastAsia="zh-CN"/>
              </w:rPr>
              <w:t>-88</w:t>
            </w:r>
          </w:p>
        </w:tc>
      </w:tr>
      <w:tr w:rsidR="003A71DE" w:rsidRPr="00CE0F04" w14:paraId="065A0222" w14:textId="77777777" w:rsidTr="003A71DE">
        <w:trPr>
          <w:cantSplit/>
          <w:jc w:val="center"/>
        </w:trPr>
        <w:tc>
          <w:tcPr>
            <w:tcW w:w="1950" w:type="dxa"/>
            <w:vMerge w:val="restart"/>
          </w:tcPr>
          <w:p w14:paraId="7D64A3F3" w14:textId="77777777" w:rsidR="003A71DE" w:rsidRPr="00CE0F04" w:rsidRDefault="003A71DE" w:rsidP="001A5D47">
            <w:pPr>
              <w:pStyle w:val="TAL"/>
            </w:pPr>
            <w:r w:rsidRPr="00CE0F04">
              <w:t>Io</w:t>
            </w:r>
          </w:p>
        </w:tc>
        <w:tc>
          <w:tcPr>
            <w:tcW w:w="1793" w:type="dxa"/>
          </w:tcPr>
          <w:p w14:paraId="18F2A095" w14:textId="77777777" w:rsidR="003A71DE" w:rsidRPr="00CE0F04" w:rsidRDefault="003A71DE" w:rsidP="001A5D47">
            <w:pPr>
              <w:pStyle w:val="TAC"/>
            </w:pPr>
            <w:r w:rsidRPr="00CE0F04">
              <w:rPr>
                <w:lang w:eastAsia="zh-CN"/>
              </w:rPr>
              <w:t>dBm/9.36 MHz</w:t>
            </w:r>
          </w:p>
        </w:tc>
        <w:tc>
          <w:tcPr>
            <w:tcW w:w="1418" w:type="dxa"/>
          </w:tcPr>
          <w:p w14:paraId="2F073EFC" w14:textId="77777777" w:rsidR="003A71DE" w:rsidRPr="00CE0F04" w:rsidRDefault="003A71DE" w:rsidP="001A5D47">
            <w:pPr>
              <w:pStyle w:val="TAC"/>
              <w:rPr>
                <w:lang w:eastAsia="zh-CN"/>
              </w:rPr>
            </w:pPr>
            <w:r w:rsidRPr="00CE0F04">
              <w:rPr>
                <w:lang w:eastAsia="zh-CN"/>
              </w:rPr>
              <w:t>1</w:t>
            </w:r>
          </w:p>
        </w:tc>
        <w:tc>
          <w:tcPr>
            <w:tcW w:w="992" w:type="dxa"/>
            <w:gridSpan w:val="2"/>
          </w:tcPr>
          <w:p w14:paraId="44080EA1" w14:textId="77777777" w:rsidR="003A71DE" w:rsidRPr="00CE0F04" w:rsidRDefault="003A71DE" w:rsidP="001A5D47">
            <w:pPr>
              <w:pStyle w:val="TAC"/>
              <w:rPr>
                <w:lang w:eastAsia="zh-CN"/>
              </w:rPr>
            </w:pPr>
            <w:r w:rsidRPr="00CE0F04">
              <w:rPr>
                <w:lang w:eastAsia="zh-CN"/>
              </w:rPr>
              <w:t>-64.59</w:t>
            </w:r>
          </w:p>
        </w:tc>
        <w:tc>
          <w:tcPr>
            <w:tcW w:w="853" w:type="dxa"/>
          </w:tcPr>
          <w:p w14:paraId="04262277" w14:textId="77777777" w:rsidR="003A71DE" w:rsidRPr="00CE0F04" w:rsidRDefault="003A71DE" w:rsidP="001A5D47">
            <w:pPr>
              <w:pStyle w:val="TAC"/>
              <w:rPr>
                <w:lang w:eastAsia="zh-CN"/>
              </w:rPr>
            </w:pPr>
            <w:r w:rsidRPr="00CE0F04">
              <w:t>-70. 05</w:t>
            </w:r>
          </w:p>
        </w:tc>
        <w:tc>
          <w:tcPr>
            <w:tcW w:w="899" w:type="dxa"/>
          </w:tcPr>
          <w:p w14:paraId="4604D8E4" w14:textId="77777777" w:rsidR="003A71DE" w:rsidRPr="00CE0F04" w:rsidRDefault="003A71DE" w:rsidP="001A5D47">
            <w:pPr>
              <w:pStyle w:val="TAC"/>
              <w:rPr>
                <w:lang w:eastAsia="zh-CN"/>
              </w:rPr>
            </w:pPr>
            <w:r w:rsidRPr="00CE0F04">
              <w:t>-70. 05</w:t>
            </w:r>
          </w:p>
        </w:tc>
        <w:tc>
          <w:tcPr>
            <w:tcW w:w="802" w:type="dxa"/>
          </w:tcPr>
          <w:p w14:paraId="43017C5E" w14:textId="77777777" w:rsidR="003A71DE" w:rsidRPr="00CE0F04" w:rsidRDefault="003A71DE" w:rsidP="001A5D47">
            <w:pPr>
              <w:pStyle w:val="TAC"/>
              <w:rPr>
                <w:lang w:eastAsia="zh-CN"/>
              </w:rPr>
            </w:pPr>
            <w:r w:rsidRPr="00CE0F04">
              <w:t>-70. 05</w:t>
            </w:r>
          </w:p>
        </w:tc>
        <w:tc>
          <w:tcPr>
            <w:tcW w:w="850" w:type="dxa"/>
            <w:gridSpan w:val="3"/>
          </w:tcPr>
          <w:p w14:paraId="2B0CFE50" w14:textId="77777777" w:rsidR="003A71DE" w:rsidRPr="00CE0F04" w:rsidRDefault="003A71DE" w:rsidP="001A5D47">
            <w:pPr>
              <w:pStyle w:val="TAC"/>
              <w:rPr>
                <w:lang w:eastAsia="zh-CN"/>
              </w:rPr>
            </w:pPr>
            <w:r w:rsidRPr="00CE0F04">
              <w:t>-70. 05</w:t>
            </w:r>
          </w:p>
        </w:tc>
        <w:tc>
          <w:tcPr>
            <w:tcW w:w="767" w:type="dxa"/>
          </w:tcPr>
          <w:p w14:paraId="2C850693" w14:textId="77777777" w:rsidR="003A71DE" w:rsidRPr="00CE0F04" w:rsidRDefault="003A71DE" w:rsidP="001A5D47">
            <w:pPr>
              <w:pStyle w:val="TAC"/>
              <w:rPr>
                <w:lang w:eastAsia="zh-CN"/>
              </w:rPr>
            </w:pPr>
            <w:r w:rsidRPr="00CE0F04">
              <w:rPr>
                <w:lang w:eastAsia="zh-CN"/>
              </w:rPr>
              <w:t>-62.26</w:t>
            </w:r>
          </w:p>
        </w:tc>
      </w:tr>
      <w:tr w:rsidR="003A71DE" w:rsidRPr="00CE0F04" w14:paraId="1127008C" w14:textId="77777777" w:rsidTr="003A71DE">
        <w:trPr>
          <w:cantSplit/>
          <w:jc w:val="center"/>
        </w:trPr>
        <w:tc>
          <w:tcPr>
            <w:tcW w:w="1950" w:type="dxa"/>
            <w:vMerge/>
          </w:tcPr>
          <w:p w14:paraId="461085D4" w14:textId="77777777" w:rsidR="003A71DE" w:rsidRPr="00CE0F04" w:rsidRDefault="003A71DE" w:rsidP="001A5D47">
            <w:pPr>
              <w:pStyle w:val="TAL"/>
            </w:pPr>
          </w:p>
        </w:tc>
        <w:tc>
          <w:tcPr>
            <w:tcW w:w="1793" w:type="dxa"/>
          </w:tcPr>
          <w:p w14:paraId="02EAE7B1" w14:textId="77777777" w:rsidR="003A71DE" w:rsidRPr="00CE0F04" w:rsidRDefault="003A71DE" w:rsidP="001A5D47">
            <w:pPr>
              <w:pStyle w:val="TAC"/>
            </w:pPr>
            <w:r w:rsidRPr="00CE0F04">
              <w:rPr>
                <w:lang w:eastAsia="zh-CN"/>
              </w:rPr>
              <w:t>dBm/38.16 MHz</w:t>
            </w:r>
          </w:p>
        </w:tc>
        <w:tc>
          <w:tcPr>
            <w:tcW w:w="1418" w:type="dxa"/>
          </w:tcPr>
          <w:p w14:paraId="08C72455" w14:textId="77777777" w:rsidR="003A71DE" w:rsidRPr="00CE0F04" w:rsidRDefault="003A71DE" w:rsidP="001A5D47">
            <w:pPr>
              <w:pStyle w:val="TAC"/>
              <w:rPr>
                <w:lang w:eastAsia="zh-CN"/>
              </w:rPr>
            </w:pPr>
            <w:r w:rsidRPr="00CE0F04">
              <w:rPr>
                <w:lang w:eastAsia="zh-CN"/>
              </w:rPr>
              <w:t>2</w:t>
            </w:r>
          </w:p>
        </w:tc>
        <w:tc>
          <w:tcPr>
            <w:tcW w:w="992" w:type="dxa"/>
            <w:gridSpan w:val="2"/>
          </w:tcPr>
          <w:p w14:paraId="5AC978BE" w14:textId="77777777" w:rsidR="003A71DE" w:rsidRPr="00CE0F04" w:rsidRDefault="003A71DE" w:rsidP="001A5D47">
            <w:pPr>
              <w:pStyle w:val="TAC"/>
              <w:rPr>
                <w:lang w:eastAsia="zh-CN"/>
              </w:rPr>
            </w:pPr>
            <w:r w:rsidRPr="00CE0F04">
              <w:rPr>
                <w:lang w:eastAsia="zh-CN"/>
              </w:rPr>
              <w:t>-58.50</w:t>
            </w:r>
          </w:p>
        </w:tc>
        <w:tc>
          <w:tcPr>
            <w:tcW w:w="853" w:type="dxa"/>
          </w:tcPr>
          <w:p w14:paraId="7E29F3C4" w14:textId="77777777" w:rsidR="003A71DE" w:rsidRPr="00CE0F04" w:rsidRDefault="003A71DE" w:rsidP="001A5D47">
            <w:pPr>
              <w:pStyle w:val="TAC"/>
            </w:pPr>
            <w:r w:rsidRPr="00CE0F04">
              <w:t>-63.94</w:t>
            </w:r>
          </w:p>
        </w:tc>
        <w:tc>
          <w:tcPr>
            <w:tcW w:w="899" w:type="dxa"/>
          </w:tcPr>
          <w:p w14:paraId="2A79A68F" w14:textId="77777777" w:rsidR="003A71DE" w:rsidRPr="00CE0F04" w:rsidRDefault="003A71DE" w:rsidP="001A5D47">
            <w:pPr>
              <w:pStyle w:val="TAC"/>
            </w:pPr>
            <w:r w:rsidRPr="00CE0F04">
              <w:t>-63.94</w:t>
            </w:r>
          </w:p>
        </w:tc>
        <w:tc>
          <w:tcPr>
            <w:tcW w:w="802" w:type="dxa"/>
          </w:tcPr>
          <w:p w14:paraId="17F77546" w14:textId="77777777" w:rsidR="003A71DE" w:rsidRPr="00CE0F04" w:rsidRDefault="003A71DE" w:rsidP="001A5D47">
            <w:pPr>
              <w:pStyle w:val="TAC"/>
            </w:pPr>
            <w:r w:rsidRPr="00CE0F04">
              <w:t>-63.94</w:t>
            </w:r>
          </w:p>
        </w:tc>
        <w:tc>
          <w:tcPr>
            <w:tcW w:w="850" w:type="dxa"/>
            <w:gridSpan w:val="3"/>
          </w:tcPr>
          <w:p w14:paraId="0B5AB030" w14:textId="77777777" w:rsidR="003A71DE" w:rsidRPr="00CE0F04" w:rsidRDefault="003A71DE" w:rsidP="001A5D47">
            <w:pPr>
              <w:pStyle w:val="TAC"/>
            </w:pPr>
            <w:r w:rsidRPr="00CE0F04">
              <w:t>-63.94</w:t>
            </w:r>
          </w:p>
        </w:tc>
        <w:tc>
          <w:tcPr>
            <w:tcW w:w="767" w:type="dxa"/>
          </w:tcPr>
          <w:p w14:paraId="3125C5EE" w14:textId="77777777" w:rsidR="003A71DE" w:rsidRPr="00CE0F04" w:rsidRDefault="003A71DE" w:rsidP="001A5D47">
            <w:pPr>
              <w:pStyle w:val="TAC"/>
            </w:pPr>
            <w:r w:rsidRPr="00CE0F04">
              <w:rPr>
                <w:lang w:eastAsia="zh-CN"/>
              </w:rPr>
              <w:t>-56.15</w:t>
            </w:r>
          </w:p>
        </w:tc>
      </w:tr>
      <w:tr w:rsidR="003A71DE" w:rsidRPr="00CE0F04" w14:paraId="22DED435" w14:textId="77777777" w:rsidTr="003A71DE">
        <w:trPr>
          <w:cantSplit/>
          <w:jc w:val="center"/>
        </w:trPr>
        <w:tc>
          <w:tcPr>
            <w:tcW w:w="1950" w:type="dxa"/>
          </w:tcPr>
          <w:p w14:paraId="204CC078" w14:textId="77777777" w:rsidR="003A71DE" w:rsidRPr="00CE0F04" w:rsidRDefault="003A71DE" w:rsidP="001A5D47">
            <w:pPr>
              <w:pStyle w:val="TAL"/>
            </w:pPr>
            <w:r w:rsidRPr="00CE0F04">
              <w:t xml:space="preserve">Propagation Condition </w:t>
            </w:r>
          </w:p>
        </w:tc>
        <w:tc>
          <w:tcPr>
            <w:tcW w:w="1793" w:type="dxa"/>
          </w:tcPr>
          <w:p w14:paraId="3B808B9E" w14:textId="77777777" w:rsidR="003A71DE" w:rsidRPr="00CE0F04" w:rsidRDefault="003A71DE" w:rsidP="001A5D47">
            <w:pPr>
              <w:pStyle w:val="TAC"/>
            </w:pPr>
          </w:p>
        </w:tc>
        <w:tc>
          <w:tcPr>
            <w:tcW w:w="1418" w:type="dxa"/>
          </w:tcPr>
          <w:p w14:paraId="4D7905F0" w14:textId="77777777" w:rsidR="003A71DE" w:rsidRPr="00CE0F04" w:rsidRDefault="003A71DE" w:rsidP="001A5D47">
            <w:pPr>
              <w:pStyle w:val="TAC"/>
              <w:rPr>
                <w:lang w:eastAsia="zh-CN"/>
              </w:rPr>
            </w:pPr>
            <w:r w:rsidRPr="00CE0F04">
              <w:rPr>
                <w:lang w:eastAsia="zh-CN"/>
              </w:rPr>
              <w:t>1, 2</w:t>
            </w:r>
          </w:p>
        </w:tc>
        <w:tc>
          <w:tcPr>
            <w:tcW w:w="5163" w:type="dxa"/>
            <w:gridSpan w:val="9"/>
          </w:tcPr>
          <w:p w14:paraId="36E5A45A" w14:textId="77777777" w:rsidR="003A71DE" w:rsidRPr="00CE0F04" w:rsidRDefault="003A71DE" w:rsidP="001A5D47">
            <w:pPr>
              <w:pStyle w:val="TAC"/>
            </w:pPr>
            <w:r w:rsidRPr="00CE0F04">
              <w:t>AWGN</w:t>
            </w:r>
          </w:p>
        </w:tc>
      </w:tr>
      <w:tr w:rsidR="003A71DE" w:rsidRPr="00CE0F04" w14:paraId="7F143395" w14:textId="77777777" w:rsidTr="003A71DE">
        <w:trPr>
          <w:cantSplit/>
          <w:jc w:val="center"/>
        </w:trPr>
        <w:tc>
          <w:tcPr>
            <w:tcW w:w="10324" w:type="dxa"/>
            <w:gridSpan w:val="12"/>
          </w:tcPr>
          <w:p w14:paraId="597FC1FB" w14:textId="77777777" w:rsidR="003A71DE" w:rsidRPr="00CE0F04" w:rsidRDefault="003A71DE" w:rsidP="001A5D47">
            <w:pPr>
              <w:pStyle w:val="TAN"/>
            </w:pPr>
            <w:r w:rsidRPr="00CE0F04">
              <w:t>Note 1:</w:t>
            </w:r>
            <w:r w:rsidRPr="00CE0F04">
              <w:tab/>
              <w:t>OCNG shall be used such that both cells are fully allocated and a constant total transmitted power spectral density is achieved for all OFDM symbols.</w:t>
            </w:r>
          </w:p>
          <w:p w14:paraId="15419407" w14:textId="77777777" w:rsidR="003A71DE" w:rsidRPr="00CE0F04" w:rsidRDefault="003A71DE" w:rsidP="001A5D47">
            <w:pPr>
              <w:pStyle w:val="TAN"/>
            </w:pPr>
            <w:r w:rsidRPr="00CE0F04">
              <w:t>Note 2:</w:t>
            </w:r>
            <w:r w:rsidRPr="00CE0F04">
              <w:tab/>
              <w:t xml:space="preserve">Interference from other cells and noise sources not specified in the test is assumed to be constant over subcarriers and time and shall be modelled as AWGN of appropriate power for </w:t>
            </w:r>
            <w:r w:rsidRPr="00CE0F04">
              <w:object w:dxaOrig="400" w:dyaOrig="360" w14:anchorId="4A945B9F">
                <v:shape id="_x0000_i1054" type="#_x0000_t75" style="width:22.15pt;height:22.15pt" o:ole="" fillcolor="window">
                  <v:imagedata r:id="rId71" o:title=""/>
                </v:shape>
                <o:OLEObject Type="Embed" ProgID="Equation.3" ShapeID="_x0000_i1054" DrawAspect="Content" ObjectID="_1734764434" r:id="rId76"/>
              </w:object>
            </w:r>
            <w:r w:rsidRPr="00CE0F04">
              <w:t xml:space="preserve"> to be fulfilled.</w:t>
            </w:r>
          </w:p>
          <w:p w14:paraId="0FD87BDB" w14:textId="77777777" w:rsidR="003A71DE" w:rsidRPr="00CE0F04" w:rsidRDefault="003A71DE" w:rsidP="001A5D47">
            <w:pPr>
              <w:pStyle w:val="TAN"/>
            </w:pPr>
            <w:r w:rsidRPr="00CE0F04">
              <w:t>Note 3:</w:t>
            </w:r>
            <w:r w:rsidRPr="00CE0F04">
              <w:tab/>
              <w:t>SS-RSRP levels have been derived from other parameters for information purposes. They are not settable parameters themselves.</w:t>
            </w:r>
          </w:p>
        </w:tc>
      </w:tr>
    </w:tbl>
    <w:p w14:paraId="450BCFB8" w14:textId="77777777" w:rsidR="003A71DE" w:rsidRPr="00CE0F04" w:rsidRDefault="003A71DE" w:rsidP="003A71DE"/>
    <w:p w14:paraId="712C9198" w14:textId="77777777" w:rsidR="003A71DE" w:rsidRPr="00CE0F04" w:rsidRDefault="003A71DE" w:rsidP="00BA0D24">
      <w:pPr>
        <w:pStyle w:val="H6"/>
      </w:pPr>
      <w:r w:rsidRPr="00CE0F04">
        <w:t>G.2.1.1.1.1.2</w:t>
      </w:r>
      <w:r w:rsidRPr="00CE0F04">
        <w:tab/>
        <w:t>Test Requirements</w:t>
      </w:r>
    </w:p>
    <w:p w14:paraId="55DA668F" w14:textId="77777777" w:rsidR="003A71DE" w:rsidRPr="00CE0F04" w:rsidRDefault="003A71DE" w:rsidP="003A71DE">
      <w:pPr>
        <w:rPr>
          <w:rFonts w:cs="v4.2.0"/>
        </w:rPr>
      </w:pPr>
      <w:r w:rsidRPr="00CE0F04">
        <w:rPr>
          <w:rFonts w:cs="v4.2.0"/>
        </w:rPr>
        <w:t xml:space="preserve">The RRC re-establishment delay is defined as the time from the start of time period T3, to the moment when the IAB-MT starts to send PRACH preambles to cell 2 for sending the </w:t>
      </w:r>
      <w:r w:rsidRPr="00CE0F04">
        <w:rPr>
          <w:i/>
        </w:rPr>
        <w:t>RRCReestablishmentRequest</w:t>
      </w:r>
      <w:r w:rsidRPr="00CE0F04">
        <w:t xml:space="preserve"> </w:t>
      </w:r>
      <w:r w:rsidRPr="00CE0F04">
        <w:rPr>
          <w:rFonts w:cs="v4.2.0"/>
        </w:rPr>
        <w:t>message to cell 2.</w:t>
      </w:r>
    </w:p>
    <w:p w14:paraId="369D5CFB" w14:textId="77777777" w:rsidR="003A71DE" w:rsidRPr="00CE0F04" w:rsidRDefault="003A71DE" w:rsidP="003A71DE">
      <w:pPr>
        <w:rPr>
          <w:rFonts w:cs="v4.2.0"/>
        </w:rPr>
      </w:pPr>
      <w:r w:rsidRPr="00CE0F04">
        <w:rPr>
          <w:rFonts w:cs="v4.2.0"/>
        </w:rPr>
        <w:t xml:space="preserve">The RRC re-establishment delay </w:t>
      </w:r>
      <w:r w:rsidRPr="00CE0F04">
        <w:t>to an unknown NR inter frequency cell</w:t>
      </w:r>
      <w:r w:rsidRPr="00CE0F04">
        <w:rPr>
          <w:rFonts w:cs="v4.2.0"/>
        </w:rPr>
        <w:t xml:space="preserve"> shall be less than 14.5 s.</w:t>
      </w:r>
    </w:p>
    <w:p w14:paraId="4E04EBA4" w14:textId="77777777" w:rsidR="003A71DE" w:rsidRPr="00CE0F04" w:rsidRDefault="003A71DE" w:rsidP="003A71DE">
      <w:pPr>
        <w:rPr>
          <w:rFonts w:cs="v4.2.0"/>
        </w:rPr>
      </w:pPr>
      <w:r w:rsidRPr="00CE0F04">
        <w:rPr>
          <w:rFonts w:cs="v4.2.0"/>
        </w:rPr>
        <w:t>The rate of correct RRC re-establishments observed during repeated tests shall be at least 90%.</w:t>
      </w:r>
    </w:p>
    <w:p w14:paraId="2DD0BFFB" w14:textId="77777777" w:rsidR="003A71DE" w:rsidRPr="00CE0F04" w:rsidRDefault="003A71DE" w:rsidP="003A71DE">
      <w:pPr>
        <w:keepLines/>
        <w:ind w:left="1135" w:hanging="851"/>
      </w:pPr>
      <w:r w:rsidRPr="00CE0F04">
        <w:t>NOTE:</w:t>
      </w:r>
      <w:r w:rsidRPr="00CE0F04">
        <w:tab/>
        <w:t>The RRC re-establishment delay in the test is derived from the following expression:</w:t>
      </w:r>
    </w:p>
    <w:p w14:paraId="3C61CC03" w14:textId="77777777" w:rsidR="003A71DE" w:rsidRPr="00CE0F04" w:rsidRDefault="00000000" w:rsidP="003A71DE">
      <w:pPr>
        <w:keepLines/>
        <w:tabs>
          <w:tab w:val="center" w:pos="4536"/>
          <w:tab w:val="right" w:pos="9072"/>
        </w:tabs>
        <w:spacing w:before="240" w:after="240"/>
        <w:jc w:val="center"/>
        <w:rPr>
          <w:i/>
          <w:noProof/>
          <w:vertAlign w:val="subscript"/>
        </w:rPr>
      </w:pPr>
      <m:oMathPara>
        <m:oMath>
          <m:sSub>
            <m:sSubPr>
              <m:ctrlPr>
                <w:rPr>
                  <w:rFonts w:ascii="Cambria Math" w:hAnsi="Cambria Math"/>
                </w:rPr>
              </m:ctrlPr>
            </m:sSubPr>
            <m:e>
              <m:r>
                <w:rPr>
                  <w:rFonts w:ascii="Cambria Math" w:hAnsi="Cambria Math"/>
                </w:rPr>
                <m:t>T</m:t>
              </m:r>
            </m:e>
            <m:sub>
              <m:r>
                <w:rPr>
                  <w:rFonts w:ascii="Cambria Math" w:hAnsi="Cambria Math"/>
                </w:rPr>
                <m:t>re-establish_delay</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IAB-MT_re-establish_delay</m:t>
              </m:r>
            </m:sub>
          </m:sSub>
          <m:r>
            <m:rPr>
              <m:sty m:val="p"/>
            </m:rPr>
            <w:rPr>
              <w:rFonts w:ascii="Cambria Math" w:hAnsi="Cambria Math"/>
              <w:noProof/>
            </w:rPr>
            <m:t>+</m:t>
          </m:r>
          <m:sSub>
            <m:sSubPr>
              <m:ctrlPr>
                <w:rPr>
                  <w:rFonts w:ascii="Cambria Math" w:hAnsi="Cambria Math"/>
                  <w:i/>
                </w:rPr>
              </m:ctrlPr>
            </m:sSubPr>
            <m:e>
              <m:r>
                <w:rPr>
                  <w:rFonts w:ascii="Cambria Math" w:hAnsi="Cambria Math"/>
                </w:rPr>
                <m:t>T</m:t>
              </m:r>
            </m:e>
            <m:sub>
              <m:r>
                <w:rPr>
                  <w:rFonts w:ascii="Cambria Math" w:hAnsi="Cambria Math"/>
                </w:rPr>
                <m:t>UL_grant</m:t>
              </m:r>
            </m:sub>
          </m:sSub>
        </m:oMath>
      </m:oMathPara>
    </w:p>
    <w:p w14:paraId="0EDC620A" w14:textId="77777777" w:rsidR="003A71DE" w:rsidRPr="00CE0F04" w:rsidRDefault="003A71DE" w:rsidP="003A71DE">
      <w:pPr>
        <w:ind w:left="568" w:hanging="284"/>
      </w:pPr>
      <w:r w:rsidRPr="00CE0F04">
        <w:lastRenderedPageBreak/>
        <w:t>Where:</w:t>
      </w:r>
    </w:p>
    <w:p w14:paraId="37A9D008" w14:textId="77777777" w:rsidR="003A71DE" w:rsidRPr="00CE0F04" w:rsidRDefault="003A71DE" w:rsidP="003A71DE">
      <w:pPr>
        <w:ind w:left="568" w:hanging="284"/>
      </w:pPr>
      <w:r w:rsidRPr="00CE0F04">
        <w:tab/>
        <w:t>T</w:t>
      </w:r>
      <w:r w:rsidRPr="00CE0F04">
        <w:rPr>
          <w:vertAlign w:val="subscript"/>
        </w:rPr>
        <w:t>UL_grant</w:t>
      </w:r>
      <w:r w:rsidRPr="00CE0F04">
        <w:t xml:space="preserve"> = It is the time required to acquire and process uplink grant from the target cell.</w:t>
      </w:r>
      <w:r w:rsidRPr="00CE0F04">
        <w:rPr>
          <w:rFonts w:cs="v4.2.0"/>
        </w:rPr>
        <w:t xml:space="preserve"> The PRACH reception is used as a trigger for the completion of the test; hence </w:t>
      </w:r>
      <w:r w:rsidRPr="00CE0F04">
        <w:t>T</w:t>
      </w:r>
      <w:r w:rsidRPr="00CE0F04">
        <w:rPr>
          <w:vertAlign w:val="subscript"/>
        </w:rPr>
        <w:t xml:space="preserve">UL_grant </w:t>
      </w:r>
      <w:r w:rsidRPr="00CE0F04">
        <w:t>is not used.</w:t>
      </w:r>
    </w:p>
    <w:p w14:paraId="089E97CE" w14:textId="77777777" w:rsidR="003A71DE" w:rsidRPr="00CE0F04" w:rsidRDefault="00000000" w:rsidP="003A71DE">
      <w:pPr>
        <w:keepLines/>
        <w:tabs>
          <w:tab w:val="center" w:pos="4536"/>
          <w:tab w:val="right" w:pos="9072"/>
        </w:tabs>
        <w:spacing w:before="240" w:after="240"/>
        <w:jc w:val="center"/>
        <w:rPr>
          <w:noProof/>
        </w:rPr>
      </w:pPr>
      <m:oMathPara>
        <m:oMath>
          <m:sSub>
            <m:sSubPr>
              <m:ctrlPr>
                <w:rPr>
                  <w:rFonts w:ascii="Cambria Math" w:hAnsi="Cambria Math"/>
                </w:rPr>
              </m:ctrlPr>
            </m:sSubPr>
            <m:e>
              <m:r>
                <w:rPr>
                  <w:rFonts w:ascii="Cambria Math" w:hAnsi="Cambria Math"/>
                </w:rPr>
                <m:t>T</m:t>
              </m:r>
            </m:e>
            <m:sub>
              <m:r>
                <w:rPr>
                  <w:rFonts w:ascii="Cambria Math" w:hAnsi="Cambria Math"/>
                </w:rPr>
                <m:t>IAB-MT_re-establish_delay</m:t>
              </m:r>
            </m:sub>
          </m:sSub>
          <m:r>
            <w:rPr>
              <w:rFonts w:ascii="Cambria Math" w:hAnsi="Cambria Math"/>
            </w:rPr>
            <m:t xml:space="preserve">=400 </m:t>
          </m:r>
          <m:r>
            <m:rPr>
              <m:sty m:val="p"/>
            </m:rPr>
            <w:rPr>
              <w:rFonts w:ascii="Cambria Math" w:hAnsi="Cambria Math"/>
            </w:rPr>
            <m:t>ms</m:t>
          </m:r>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identify_intra_NR</m:t>
              </m:r>
            </m:sub>
          </m:sSub>
          <m:r>
            <w:rPr>
              <w:rFonts w:ascii="Cambria Math" w:hAnsi="Cambria Math"/>
            </w:rPr>
            <m:t>+</m:t>
          </m:r>
          <m:nary>
            <m:naryPr>
              <m:chr m:val="∑"/>
              <m:limLoc m:val="subSup"/>
              <m:ctrlPr>
                <w:rPr>
                  <w:rFonts w:ascii="Cambria Math" w:hAnsi="Cambria Math"/>
                  <w:noProof/>
                </w:rPr>
              </m:ctrlPr>
            </m:naryPr>
            <m:sub>
              <m:r>
                <w:rPr>
                  <w:rFonts w:ascii="Cambria Math" w:hAnsi="Cambria Math"/>
                  <w:noProof/>
                </w:rPr>
                <m:t>i=1</m:t>
              </m:r>
            </m:sub>
            <m:sup>
              <m:sSub>
                <m:sSubPr>
                  <m:ctrlPr>
                    <w:rPr>
                      <w:rFonts w:ascii="Cambria Math" w:hAnsi="Cambria Math"/>
                      <w:i/>
                      <w:noProof/>
                    </w:rPr>
                  </m:ctrlPr>
                </m:sSubPr>
                <m:e>
                  <m:r>
                    <w:rPr>
                      <w:rFonts w:ascii="Cambria Math" w:hAnsi="Cambria Math"/>
                      <w:noProof/>
                    </w:rPr>
                    <m:t>N</m:t>
                  </m:r>
                </m:e>
                <m:sub>
                  <m:r>
                    <w:rPr>
                      <w:rFonts w:ascii="Cambria Math" w:hAnsi="Cambria Math"/>
                      <w:noProof/>
                    </w:rPr>
                    <m:t>freq</m:t>
                  </m:r>
                </m:sub>
              </m:sSub>
              <m:r>
                <w:rPr>
                  <w:rFonts w:ascii="Cambria Math" w:hAnsi="Cambria Math"/>
                  <w:noProof/>
                </w:rPr>
                <m:t>-1</m:t>
              </m:r>
            </m:sup>
            <m:e>
              <m:sSub>
                <m:sSubPr>
                  <m:ctrlPr>
                    <w:rPr>
                      <w:rFonts w:ascii="Cambria Math" w:hAnsi="Cambria Math"/>
                      <w:i/>
                      <w:noProof/>
                    </w:rPr>
                  </m:ctrlPr>
                </m:sSubPr>
                <m:e>
                  <m:r>
                    <w:rPr>
                      <w:rFonts w:ascii="Cambria Math" w:hAnsi="Cambria Math"/>
                      <w:noProof/>
                    </w:rPr>
                    <m:t>T</m:t>
                  </m:r>
                </m:e>
                <m:sub>
                  <m:r>
                    <w:rPr>
                      <w:rFonts w:ascii="Cambria Math" w:hAnsi="Cambria Math"/>
                      <w:noProof/>
                    </w:rPr>
                    <m:t>identify_inter_NR,i</m:t>
                  </m:r>
                </m:sub>
              </m:sSub>
            </m:e>
          </m:nary>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SI-NR</m:t>
              </m:r>
            </m:sub>
          </m:sSub>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PRACH</m:t>
              </m:r>
            </m:sub>
          </m:sSub>
        </m:oMath>
      </m:oMathPara>
    </w:p>
    <w:p w14:paraId="47326598" w14:textId="77777777" w:rsidR="003A71DE" w:rsidRPr="00CE0F04" w:rsidRDefault="003A71DE" w:rsidP="003A71DE">
      <w:pPr>
        <w:ind w:left="568" w:hanging="284"/>
      </w:pPr>
      <w:r w:rsidRPr="00CE0F04">
        <w:rPr>
          <w:rFonts w:cs="v4.2.0"/>
        </w:rPr>
        <w:tab/>
        <w:t>N</w:t>
      </w:r>
      <w:r w:rsidRPr="00CE0F04">
        <w:rPr>
          <w:rFonts w:cs="v4.2.0"/>
          <w:vertAlign w:val="subscript"/>
        </w:rPr>
        <w:t>freq</w:t>
      </w:r>
      <w:r w:rsidRPr="00CE0F04">
        <w:t xml:space="preserve"> = 2</w:t>
      </w:r>
    </w:p>
    <w:p w14:paraId="7370550D" w14:textId="77777777" w:rsidR="003A71DE" w:rsidRPr="00CE0F04" w:rsidRDefault="003A71DE" w:rsidP="003A71DE">
      <w:pPr>
        <w:ind w:left="568" w:hanging="284"/>
      </w:pPr>
      <w:r w:rsidRPr="00CE0F04">
        <w:rPr>
          <w:rFonts w:cs="v4.2.0"/>
          <w:iCs/>
        </w:rPr>
        <w:tab/>
        <w:t>T</w:t>
      </w:r>
      <w:r w:rsidRPr="00CE0F04">
        <w:rPr>
          <w:rFonts w:cs="v4.2.0"/>
          <w:iCs/>
          <w:vertAlign w:val="subscript"/>
        </w:rPr>
        <w:t>identify_intra_NR</w:t>
      </w:r>
      <w:r w:rsidRPr="00CE0F04">
        <w:t xml:space="preserve"> = 6400 ms</w:t>
      </w:r>
    </w:p>
    <w:p w14:paraId="377BD5F3" w14:textId="77777777" w:rsidR="003A71DE" w:rsidRPr="00CE0F04" w:rsidRDefault="003A71DE" w:rsidP="003A71DE">
      <w:pPr>
        <w:ind w:left="568" w:hanging="284"/>
      </w:pPr>
      <w:r w:rsidRPr="00CE0F04">
        <w:rPr>
          <w:rFonts w:cs="v4.2.0"/>
          <w:iCs/>
        </w:rPr>
        <w:tab/>
        <w:t>T</w:t>
      </w:r>
      <w:r w:rsidRPr="00CE0F04">
        <w:rPr>
          <w:rFonts w:cs="v4.2.0"/>
          <w:iCs/>
          <w:vertAlign w:val="subscript"/>
        </w:rPr>
        <w:t>identify_inter_NR</w:t>
      </w:r>
      <w:r w:rsidRPr="00CE0F04">
        <w:t xml:space="preserve"> = 6400 ms</w:t>
      </w:r>
    </w:p>
    <w:p w14:paraId="24CB996E" w14:textId="77777777" w:rsidR="003A71DE" w:rsidRPr="00CE0F04" w:rsidRDefault="003A71DE" w:rsidP="003A71DE">
      <w:pPr>
        <w:ind w:left="568" w:hanging="284"/>
      </w:pPr>
      <w:r w:rsidRPr="00CE0F04">
        <w:tab/>
        <w:t>T</w:t>
      </w:r>
      <w:r w:rsidRPr="00CE0F04">
        <w:rPr>
          <w:vertAlign w:val="subscript"/>
        </w:rPr>
        <w:t>SI</w:t>
      </w:r>
      <w:r w:rsidRPr="00CE0F04">
        <w:t xml:space="preserve"> </w:t>
      </w:r>
      <w:r w:rsidRPr="00CE0F04">
        <w:rPr>
          <w:iCs/>
        </w:rPr>
        <w:t xml:space="preserve">= 1280 ms; it is the </w:t>
      </w:r>
      <w:r w:rsidRPr="00CE0F04">
        <w:rPr>
          <w:rFonts w:cs="v4.2.0"/>
        </w:rPr>
        <w:t xml:space="preserve">time required for receiving all the relevant system information as </w:t>
      </w:r>
      <w:r w:rsidRPr="00CE0F04">
        <w:t xml:space="preserve">defined in TS 38.331 </w:t>
      </w:r>
      <w:r w:rsidRPr="00CE0F04">
        <w:rPr>
          <w:rFonts w:cs="v4.2.0"/>
        </w:rPr>
        <w:t>for the target inter-frequency NR cell.</w:t>
      </w:r>
    </w:p>
    <w:p w14:paraId="31C9D5BF" w14:textId="77777777" w:rsidR="003A71DE" w:rsidRPr="00CE0F04" w:rsidRDefault="003A71DE" w:rsidP="003A71DE">
      <w:pPr>
        <w:ind w:left="568" w:hanging="284"/>
      </w:pPr>
      <w:r w:rsidRPr="00CE0F04">
        <w:rPr>
          <w:rFonts w:cs="v4.2.0"/>
        </w:rPr>
        <w:tab/>
        <w:t>T</w:t>
      </w:r>
      <w:r w:rsidRPr="00CE0F04">
        <w:rPr>
          <w:rFonts w:cs="v4.2.0"/>
          <w:vertAlign w:val="subscript"/>
        </w:rPr>
        <w:t>PRACH</w:t>
      </w:r>
      <w:r w:rsidRPr="00CE0F04">
        <w:rPr>
          <w:vertAlign w:val="subscript"/>
        </w:rPr>
        <w:t xml:space="preserve"> </w:t>
      </w:r>
      <w:r w:rsidRPr="00CE0F04">
        <w:t>= 15 ms; it is the additional delay caused by the random access procedure.</w:t>
      </w:r>
    </w:p>
    <w:p w14:paraId="2719D07D" w14:textId="77777777" w:rsidR="003A71DE" w:rsidRPr="00CE0F04" w:rsidRDefault="003A71DE" w:rsidP="003A71DE">
      <w:pPr>
        <w:ind w:left="568" w:hanging="284"/>
      </w:pPr>
      <w:r w:rsidRPr="00CE0F04">
        <w:t>This gives a total of 14495 ms, allow 14.5 s in the test case.</w:t>
      </w:r>
    </w:p>
    <w:p w14:paraId="2460058E" w14:textId="77777777" w:rsidR="003A71DE" w:rsidRPr="00CE0F04" w:rsidRDefault="003A71DE" w:rsidP="00BA0D24">
      <w:pPr>
        <w:pStyle w:val="H6"/>
        <w:rPr>
          <w:snapToGrid w:val="0"/>
        </w:rPr>
      </w:pPr>
      <w:r w:rsidRPr="00CE0F04">
        <w:rPr>
          <w:snapToGrid w:val="0"/>
        </w:rPr>
        <w:t>G.2.1.1.1.2</w:t>
      </w:r>
      <w:r w:rsidRPr="00CE0F04">
        <w:rPr>
          <w:snapToGrid w:val="0"/>
        </w:rPr>
        <w:tab/>
        <w:t>Intra-frequency RRC Re-establishment in FR1 without serving cell timing for LA IAB-MT</w:t>
      </w:r>
    </w:p>
    <w:p w14:paraId="12C1F0A1" w14:textId="77777777" w:rsidR="003A71DE" w:rsidRPr="00CE0F04" w:rsidRDefault="003A71DE" w:rsidP="00BA0D24">
      <w:pPr>
        <w:pStyle w:val="H6"/>
      </w:pPr>
      <w:r w:rsidRPr="00CE0F04">
        <w:t>G.2.1.1.1.2.1</w:t>
      </w:r>
      <w:r w:rsidRPr="00CE0F04">
        <w:tab/>
      </w:r>
      <w:r w:rsidRPr="00CE0F04">
        <w:rPr>
          <w:snapToGrid w:val="0"/>
        </w:rPr>
        <w:t>Test Purpose and Environment</w:t>
      </w:r>
    </w:p>
    <w:p w14:paraId="35391460" w14:textId="77777777" w:rsidR="003A71DE" w:rsidRPr="00CE0F04" w:rsidRDefault="003A71DE" w:rsidP="003A71DE">
      <w:pPr>
        <w:rPr>
          <w:rFonts w:cs="v4.2.0"/>
        </w:rPr>
      </w:pPr>
      <w:r w:rsidRPr="00CE0F04">
        <w:rPr>
          <w:rFonts w:cs="v4.2.0"/>
        </w:rPr>
        <w:t>The purpose is to verify that the NR intra-frequency RRC re-establishment delay in FR1 without serving cell timing is within the specified limits. These tests will verify the requirements in clause 12.1.1.1. This test case is applicable only for local area IAB-MT and for IAB type 1-H.</w:t>
      </w:r>
    </w:p>
    <w:p w14:paraId="69CF7014" w14:textId="77777777" w:rsidR="003A71DE" w:rsidRPr="00CE0F04" w:rsidRDefault="003A71DE" w:rsidP="003A71DE">
      <w:pPr>
        <w:rPr>
          <w:rFonts w:cs="v4.2.0"/>
        </w:rPr>
      </w:pPr>
      <w:r w:rsidRPr="00CE0F04">
        <w:rPr>
          <w:rFonts w:cs="v4.2.0"/>
        </w:rPr>
        <w:t>The test parameters are given in table G.2.1.1.1.2.1-1, table G.2.1.1.1.2.1-2 and table G.2.1.1.1.2.1-3 below. The test consists of 3 successive time periods, with time duration of T1, T2 and T3 respectively. At the start of time period T2, cell 1, which is the active cell, is deactivated. The time period T3 starts after the occurrence of the radio link failure.</w:t>
      </w:r>
    </w:p>
    <w:p w14:paraId="560B9ADD" w14:textId="77777777" w:rsidR="003A71DE" w:rsidRPr="00CE0F04" w:rsidRDefault="003A71DE" w:rsidP="00BA0D24">
      <w:pPr>
        <w:pStyle w:val="TH"/>
      </w:pPr>
      <w:r w:rsidRPr="00CE0F04">
        <w:t>Table G.2.1.1.1.2.1-1: Supported test configurations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230"/>
      </w:tblGrid>
      <w:tr w:rsidR="003A71DE" w:rsidRPr="00CE0F04" w14:paraId="5A6B412F" w14:textId="77777777" w:rsidTr="003A71DE">
        <w:tc>
          <w:tcPr>
            <w:tcW w:w="2376" w:type="dxa"/>
            <w:shd w:val="clear" w:color="auto" w:fill="auto"/>
          </w:tcPr>
          <w:p w14:paraId="1640E3D5" w14:textId="77777777" w:rsidR="003A71DE" w:rsidRPr="00CE0F04" w:rsidRDefault="003A71DE" w:rsidP="001A5D47">
            <w:pPr>
              <w:pStyle w:val="TAH"/>
            </w:pPr>
            <w:r w:rsidRPr="00CE0F04">
              <w:t>Configuration</w:t>
            </w:r>
          </w:p>
        </w:tc>
        <w:tc>
          <w:tcPr>
            <w:tcW w:w="7230" w:type="dxa"/>
            <w:shd w:val="clear" w:color="auto" w:fill="auto"/>
          </w:tcPr>
          <w:p w14:paraId="52712A29" w14:textId="77777777" w:rsidR="003A71DE" w:rsidRPr="00CE0F04" w:rsidRDefault="003A71DE" w:rsidP="001A5D47">
            <w:pPr>
              <w:pStyle w:val="TAH"/>
            </w:pPr>
            <w:r w:rsidRPr="00CE0F04">
              <w:t>Description</w:t>
            </w:r>
          </w:p>
        </w:tc>
      </w:tr>
      <w:tr w:rsidR="003A71DE" w:rsidRPr="00CE0F04" w14:paraId="2396407E" w14:textId="77777777" w:rsidTr="003A71DE">
        <w:tc>
          <w:tcPr>
            <w:tcW w:w="2376" w:type="dxa"/>
            <w:shd w:val="clear" w:color="auto" w:fill="auto"/>
          </w:tcPr>
          <w:p w14:paraId="5FB07D31" w14:textId="77777777" w:rsidR="003A71DE" w:rsidRPr="00CE0F04" w:rsidRDefault="003A71DE" w:rsidP="001A5D47">
            <w:pPr>
              <w:pStyle w:val="TAL"/>
              <w:rPr>
                <w:rFonts w:eastAsia="Malgun Gothic"/>
              </w:rPr>
            </w:pPr>
            <w:r w:rsidRPr="00CE0F04">
              <w:rPr>
                <w:rFonts w:eastAsia="Malgun Gothic"/>
              </w:rPr>
              <w:t>1</w:t>
            </w:r>
          </w:p>
        </w:tc>
        <w:tc>
          <w:tcPr>
            <w:tcW w:w="7230" w:type="dxa"/>
            <w:shd w:val="clear" w:color="auto" w:fill="auto"/>
          </w:tcPr>
          <w:p w14:paraId="10BFA7D5" w14:textId="77777777" w:rsidR="003A71DE" w:rsidRPr="00CE0F04" w:rsidRDefault="003A71DE" w:rsidP="001A5D47">
            <w:pPr>
              <w:pStyle w:val="TAL"/>
              <w:rPr>
                <w:rFonts w:eastAsia="Malgun Gothic"/>
              </w:rPr>
            </w:pPr>
            <w:r w:rsidRPr="00CE0F04">
              <w:rPr>
                <w:rFonts w:eastAsia="Malgun Gothic"/>
              </w:rPr>
              <w:t>15 kHz SSB SCS, 10 MHz bandwidth, TDD duplex mode</w:t>
            </w:r>
          </w:p>
        </w:tc>
      </w:tr>
      <w:tr w:rsidR="003A71DE" w:rsidRPr="00CE0F04" w14:paraId="790D9B87" w14:textId="77777777" w:rsidTr="003A71DE">
        <w:tc>
          <w:tcPr>
            <w:tcW w:w="2376" w:type="dxa"/>
            <w:shd w:val="clear" w:color="auto" w:fill="auto"/>
          </w:tcPr>
          <w:p w14:paraId="5634D865" w14:textId="77777777" w:rsidR="003A71DE" w:rsidRPr="00CE0F04" w:rsidRDefault="003A71DE" w:rsidP="001A5D47">
            <w:pPr>
              <w:pStyle w:val="TAL"/>
              <w:rPr>
                <w:rFonts w:eastAsia="Malgun Gothic"/>
              </w:rPr>
            </w:pPr>
            <w:r w:rsidRPr="00CE0F04">
              <w:rPr>
                <w:rFonts w:eastAsia="Malgun Gothic"/>
              </w:rPr>
              <w:t>2</w:t>
            </w:r>
          </w:p>
        </w:tc>
        <w:tc>
          <w:tcPr>
            <w:tcW w:w="7230" w:type="dxa"/>
            <w:shd w:val="clear" w:color="auto" w:fill="auto"/>
          </w:tcPr>
          <w:p w14:paraId="445E847D" w14:textId="77777777" w:rsidR="003A71DE" w:rsidRPr="00CE0F04" w:rsidRDefault="003A71DE" w:rsidP="001A5D47">
            <w:pPr>
              <w:pStyle w:val="TAL"/>
              <w:rPr>
                <w:rFonts w:eastAsia="Malgun Gothic"/>
              </w:rPr>
            </w:pPr>
            <w:r w:rsidRPr="00CE0F04">
              <w:rPr>
                <w:rFonts w:eastAsia="Malgun Gothic"/>
              </w:rPr>
              <w:t>30 kHz SSB SCS, 40 MHz bandwidth, TDD duplex mode</w:t>
            </w:r>
          </w:p>
        </w:tc>
      </w:tr>
      <w:tr w:rsidR="003A71DE" w:rsidRPr="00CE0F04" w14:paraId="21A67D99" w14:textId="77777777" w:rsidTr="003A71DE">
        <w:tc>
          <w:tcPr>
            <w:tcW w:w="9606" w:type="dxa"/>
            <w:gridSpan w:val="2"/>
            <w:shd w:val="clear" w:color="auto" w:fill="auto"/>
          </w:tcPr>
          <w:p w14:paraId="1A148E5E" w14:textId="77777777" w:rsidR="003A71DE" w:rsidRPr="00CE0F04" w:rsidRDefault="003A71DE" w:rsidP="001A5D47">
            <w:pPr>
              <w:pStyle w:val="TAN"/>
              <w:rPr>
                <w:lang w:eastAsia="zh-CN"/>
              </w:rPr>
            </w:pPr>
            <w:r w:rsidRPr="00CE0F04">
              <w:rPr>
                <w:lang w:eastAsia="zh-CN"/>
              </w:rPr>
              <w:t>Note:</w:t>
            </w:r>
            <w:r w:rsidRPr="00CE0F04">
              <w:rPr>
                <w:lang w:eastAsia="zh-CN"/>
              </w:rPr>
              <w:tab/>
            </w:r>
            <w:r w:rsidRPr="00CE0F04">
              <w:t>The IAB-MT is only required to be tested in one of the supported test configurations.</w:t>
            </w:r>
          </w:p>
        </w:tc>
      </w:tr>
    </w:tbl>
    <w:p w14:paraId="0B2D1B12" w14:textId="77777777" w:rsidR="003A71DE" w:rsidRPr="00CE0F04" w:rsidRDefault="003A71DE" w:rsidP="003A71DE"/>
    <w:p w14:paraId="5C7435C3" w14:textId="77777777" w:rsidR="003A71DE" w:rsidRPr="00CE0F04" w:rsidRDefault="003A71DE" w:rsidP="00BA0D24">
      <w:pPr>
        <w:pStyle w:val="TH"/>
      </w:pPr>
      <w:r w:rsidRPr="00CE0F04">
        <w:lastRenderedPageBreak/>
        <w:t>Table G.2.1.1.1.2.1-2: General test parameters for NR intra-frequency RRC Re-establishment test case in FR1</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794"/>
        <w:gridCol w:w="708"/>
        <w:gridCol w:w="1418"/>
        <w:gridCol w:w="1588"/>
        <w:gridCol w:w="3090"/>
      </w:tblGrid>
      <w:tr w:rsidR="003A71DE" w:rsidRPr="00CE0F04" w14:paraId="2B750720" w14:textId="77777777" w:rsidTr="003A71DE">
        <w:trPr>
          <w:cantSplit/>
        </w:trPr>
        <w:tc>
          <w:tcPr>
            <w:tcW w:w="2802" w:type="dxa"/>
            <w:gridSpan w:val="2"/>
          </w:tcPr>
          <w:p w14:paraId="713F6AD4" w14:textId="77777777" w:rsidR="003A71DE" w:rsidRPr="00CE0F04" w:rsidRDefault="003A71DE" w:rsidP="001A5D47">
            <w:pPr>
              <w:pStyle w:val="TAH"/>
            </w:pPr>
            <w:r w:rsidRPr="00CE0F04">
              <w:t>Parameter</w:t>
            </w:r>
          </w:p>
        </w:tc>
        <w:tc>
          <w:tcPr>
            <w:tcW w:w="708" w:type="dxa"/>
          </w:tcPr>
          <w:p w14:paraId="28F243EC" w14:textId="77777777" w:rsidR="003A71DE" w:rsidRPr="00CE0F04" w:rsidRDefault="003A71DE" w:rsidP="001A5D47">
            <w:pPr>
              <w:pStyle w:val="TAH"/>
            </w:pPr>
            <w:r w:rsidRPr="00CE0F04">
              <w:t>Unit</w:t>
            </w:r>
          </w:p>
        </w:tc>
        <w:tc>
          <w:tcPr>
            <w:tcW w:w="1418" w:type="dxa"/>
          </w:tcPr>
          <w:p w14:paraId="712486C7" w14:textId="77777777" w:rsidR="003A71DE" w:rsidRPr="00CE0F04" w:rsidRDefault="003A71DE" w:rsidP="001A5D47">
            <w:pPr>
              <w:pStyle w:val="TAH"/>
              <w:rPr>
                <w:lang w:eastAsia="zh-CN"/>
              </w:rPr>
            </w:pPr>
            <w:r w:rsidRPr="00CE0F04">
              <w:rPr>
                <w:lang w:eastAsia="zh-CN"/>
              </w:rPr>
              <w:t>Test configuration</w:t>
            </w:r>
          </w:p>
        </w:tc>
        <w:tc>
          <w:tcPr>
            <w:tcW w:w="1588" w:type="dxa"/>
          </w:tcPr>
          <w:p w14:paraId="21537C87" w14:textId="77777777" w:rsidR="003A71DE" w:rsidRPr="00CE0F04" w:rsidRDefault="003A71DE" w:rsidP="001A5D47">
            <w:pPr>
              <w:pStyle w:val="TAH"/>
            </w:pPr>
            <w:r w:rsidRPr="00CE0F04">
              <w:t>Value</w:t>
            </w:r>
          </w:p>
        </w:tc>
        <w:tc>
          <w:tcPr>
            <w:tcW w:w="3090" w:type="dxa"/>
          </w:tcPr>
          <w:p w14:paraId="1ADD00D1" w14:textId="77777777" w:rsidR="003A71DE" w:rsidRPr="00CE0F04" w:rsidRDefault="003A71DE" w:rsidP="001A5D47">
            <w:pPr>
              <w:pStyle w:val="TAH"/>
            </w:pPr>
            <w:r w:rsidRPr="00CE0F04">
              <w:t>Comment</w:t>
            </w:r>
          </w:p>
        </w:tc>
      </w:tr>
      <w:tr w:rsidR="003A71DE" w:rsidRPr="00CE0F04" w14:paraId="781CF115" w14:textId="77777777" w:rsidTr="003A71DE">
        <w:trPr>
          <w:cantSplit/>
        </w:trPr>
        <w:tc>
          <w:tcPr>
            <w:tcW w:w="1008" w:type="dxa"/>
            <w:tcBorders>
              <w:bottom w:val="nil"/>
            </w:tcBorders>
            <w:shd w:val="clear" w:color="auto" w:fill="auto"/>
          </w:tcPr>
          <w:p w14:paraId="439F2F1E" w14:textId="77777777" w:rsidR="003A71DE" w:rsidRPr="00CE0F04" w:rsidRDefault="003A71DE" w:rsidP="001A5D47">
            <w:pPr>
              <w:pStyle w:val="TAL"/>
            </w:pPr>
            <w:r w:rsidRPr="00CE0F04">
              <w:t>Initial condition</w:t>
            </w:r>
          </w:p>
        </w:tc>
        <w:tc>
          <w:tcPr>
            <w:tcW w:w="1794" w:type="dxa"/>
          </w:tcPr>
          <w:p w14:paraId="4CDF593B" w14:textId="77777777" w:rsidR="003A71DE" w:rsidRPr="00CE0F04" w:rsidRDefault="003A71DE" w:rsidP="001A5D47">
            <w:pPr>
              <w:pStyle w:val="TAL"/>
            </w:pPr>
            <w:r w:rsidRPr="00CE0F04">
              <w:t>Active cell</w:t>
            </w:r>
          </w:p>
        </w:tc>
        <w:tc>
          <w:tcPr>
            <w:tcW w:w="708" w:type="dxa"/>
          </w:tcPr>
          <w:p w14:paraId="2F6F0347" w14:textId="77777777" w:rsidR="003A71DE" w:rsidRPr="00CE0F04" w:rsidRDefault="003A71DE" w:rsidP="001A5D47">
            <w:pPr>
              <w:pStyle w:val="TAC"/>
            </w:pPr>
          </w:p>
        </w:tc>
        <w:tc>
          <w:tcPr>
            <w:tcW w:w="1418" w:type="dxa"/>
          </w:tcPr>
          <w:p w14:paraId="50DD8246" w14:textId="77777777" w:rsidR="003A71DE" w:rsidRPr="00CE0F04" w:rsidRDefault="003A71DE" w:rsidP="001A5D47">
            <w:pPr>
              <w:pStyle w:val="TAC"/>
              <w:rPr>
                <w:lang w:eastAsia="zh-CN"/>
              </w:rPr>
            </w:pPr>
            <w:r w:rsidRPr="00CE0F04">
              <w:rPr>
                <w:lang w:eastAsia="zh-CN"/>
              </w:rPr>
              <w:t>1, 2</w:t>
            </w:r>
          </w:p>
        </w:tc>
        <w:tc>
          <w:tcPr>
            <w:tcW w:w="1588" w:type="dxa"/>
          </w:tcPr>
          <w:p w14:paraId="5CDB9C35" w14:textId="77777777" w:rsidR="003A71DE" w:rsidRPr="00CE0F04" w:rsidRDefault="003A71DE" w:rsidP="001A5D47">
            <w:pPr>
              <w:pStyle w:val="TAC"/>
            </w:pPr>
            <w:r w:rsidRPr="00CE0F04">
              <w:t>Cell1</w:t>
            </w:r>
          </w:p>
        </w:tc>
        <w:tc>
          <w:tcPr>
            <w:tcW w:w="3090" w:type="dxa"/>
          </w:tcPr>
          <w:p w14:paraId="700482DB" w14:textId="77777777" w:rsidR="003A71DE" w:rsidRPr="00CE0F04" w:rsidRDefault="003A71DE" w:rsidP="001A5D47">
            <w:pPr>
              <w:pStyle w:val="TAC"/>
            </w:pPr>
          </w:p>
        </w:tc>
      </w:tr>
      <w:tr w:rsidR="003A71DE" w:rsidRPr="00CE0F04" w14:paraId="2921DBD7" w14:textId="77777777" w:rsidTr="003A71DE">
        <w:trPr>
          <w:cantSplit/>
          <w:trHeight w:val="463"/>
        </w:trPr>
        <w:tc>
          <w:tcPr>
            <w:tcW w:w="1008" w:type="dxa"/>
            <w:tcBorders>
              <w:top w:val="nil"/>
            </w:tcBorders>
            <w:shd w:val="clear" w:color="auto" w:fill="auto"/>
          </w:tcPr>
          <w:p w14:paraId="0959B7A1" w14:textId="77777777" w:rsidR="003A71DE" w:rsidRPr="00CE0F04" w:rsidRDefault="003A71DE" w:rsidP="001A5D47">
            <w:pPr>
              <w:pStyle w:val="TAL"/>
            </w:pPr>
          </w:p>
        </w:tc>
        <w:tc>
          <w:tcPr>
            <w:tcW w:w="1794" w:type="dxa"/>
          </w:tcPr>
          <w:p w14:paraId="51E65ED9" w14:textId="77777777" w:rsidR="003A71DE" w:rsidRPr="00CE0F04" w:rsidRDefault="003A71DE" w:rsidP="001A5D47">
            <w:pPr>
              <w:pStyle w:val="TAL"/>
            </w:pPr>
            <w:r w:rsidRPr="00CE0F04">
              <w:t>Neighbour cells</w:t>
            </w:r>
          </w:p>
        </w:tc>
        <w:tc>
          <w:tcPr>
            <w:tcW w:w="708" w:type="dxa"/>
          </w:tcPr>
          <w:p w14:paraId="0DD18FFD" w14:textId="77777777" w:rsidR="003A71DE" w:rsidRPr="00CE0F04" w:rsidRDefault="003A71DE" w:rsidP="001A5D47">
            <w:pPr>
              <w:pStyle w:val="TAC"/>
            </w:pPr>
          </w:p>
        </w:tc>
        <w:tc>
          <w:tcPr>
            <w:tcW w:w="1418" w:type="dxa"/>
          </w:tcPr>
          <w:p w14:paraId="3B8D98A1" w14:textId="77777777" w:rsidR="003A71DE" w:rsidRPr="00CE0F04" w:rsidRDefault="003A71DE" w:rsidP="001A5D47">
            <w:pPr>
              <w:pStyle w:val="TAC"/>
            </w:pPr>
            <w:r w:rsidRPr="00CE0F04">
              <w:rPr>
                <w:lang w:eastAsia="zh-CN"/>
              </w:rPr>
              <w:t>1, 2</w:t>
            </w:r>
          </w:p>
        </w:tc>
        <w:tc>
          <w:tcPr>
            <w:tcW w:w="1588" w:type="dxa"/>
          </w:tcPr>
          <w:p w14:paraId="42252969" w14:textId="77777777" w:rsidR="003A71DE" w:rsidRPr="00CE0F04" w:rsidRDefault="003A71DE" w:rsidP="001A5D47">
            <w:pPr>
              <w:pStyle w:val="TAC"/>
            </w:pPr>
            <w:r w:rsidRPr="00CE0F04">
              <w:t xml:space="preserve">Cell2 </w:t>
            </w:r>
          </w:p>
        </w:tc>
        <w:tc>
          <w:tcPr>
            <w:tcW w:w="3090" w:type="dxa"/>
            <w:tcBorders>
              <w:bottom w:val="single" w:sz="4" w:space="0" w:color="auto"/>
            </w:tcBorders>
          </w:tcPr>
          <w:p w14:paraId="26B28194" w14:textId="77777777" w:rsidR="003A71DE" w:rsidRPr="00CE0F04" w:rsidRDefault="003A71DE" w:rsidP="001A5D47">
            <w:pPr>
              <w:pStyle w:val="TAC"/>
            </w:pPr>
          </w:p>
        </w:tc>
      </w:tr>
      <w:tr w:rsidR="003A71DE" w:rsidRPr="00CE0F04" w14:paraId="0199BB1F" w14:textId="77777777" w:rsidTr="003A71DE">
        <w:trPr>
          <w:cantSplit/>
        </w:trPr>
        <w:tc>
          <w:tcPr>
            <w:tcW w:w="1008" w:type="dxa"/>
          </w:tcPr>
          <w:p w14:paraId="12FB8F1D" w14:textId="77777777" w:rsidR="003A71DE" w:rsidRPr="00CE0F04" w:rsidRDefault="003A71DE" w:rsidP="001A5D47">
            <w:pPr>
              <w:pStyle w:val="TAL"/>
            </w:pPr>
            <w:r w:rsidRPr="00CE0F04">
              <w:t>Final condition</w:t>
            </w:r>
          </w:p>
        </w:tc>
        <w:tc>
          <w:tcPr>
            <w:tcW w:w="1794" w:type="dxa"/>
          </w:tcPr>
          <w:p w14:paraId="57AE145D" w14:textId="77777777" w:rsidR="003A71DE" w:rsidRPr="00CE0F04" w:rsidRDefault="003A71DE" w:rsidP="001A5D47">
            <w:pPr>
              <w:pStyle w:val="TAL"/>
            </w:pPr>
            <w:r w:rsidRPr="00CE0F04">
              <w:t>Active cell</w:t>
            </w:r>
          </w:p>
        </w:tc>
        <w:tc>
          <w:tcPr>
            <w:tcW w:w="708" w:type="dxa"/>
          </w:tcPr>
          <w:p w14:paraId="4C5022E7" w14:textId="77777777" w:rsidR="003A71DE" w:rsidRPr="00CE0F04" w:rsidRDefault="003A71DE" w:rsidP="001A5D47">
            <w:pPr>
              <w:pStyle w:val="TAC"/>
            </w:pPr>
          </w:p>
        </w:tc>
        <w:tc>
          <w:tcPr>
            <w:tcW w:w="1418" w:type="dxa"/>
          </w:tcPr>
          <w:p w14:paraId="3957E012" w14:textId="77777777" w:rsidR="003A71DE" w:rsidRPr="00CE0F04" w:rsidRDefault="003A71DE" w:rsidP="001A5D47">
            <w:pPr>
              <w:pStyle w:val="TAC"/>
            </w:pPr>
            <w:r w:rsidRPr="00CE0F04">
              <w:rPr>
                <w:lang w:eastAsia="zh-CN"/>
              </w:rPr>
              <w:t>1, 2</w:t>
            </w:r>
          </w:p>
        </w:tc>
        <w:tc>
          <w:tcPr>
            <w:tcW w:w="1588" w:type="dxa"/>
          </w:tcPr>
          <w:p w14:paraId="7B3BD872" w14:textId="77777777" w:rsidR="003A71DE" w:rsidRPr="00CE0F04" w:rsidRDefault="003A71DE" w:rsidP="001A5D47">
            <w:pPr>
              <w:pStyle w:val="TAC"/>
            </w:pPr>
            <w:r w:rsidRPr="00CE0F04">
              <w:t>Cell2</w:t>
            </w:r>
          </w:p>
        </w:tc>
        <w:tc>
          <w:tcPr>
            <w:tcW w:w="3090" w:type="dxa"/>
          </w:tcPr>
          <w:p w14:paraId="41EB7950" w14:textId="77777777" w:rsidR="003A71DE" w:rsidRPr="00CE0F04" w:rsidRDefault="003A71DE" w:rsidP="001A5D47">
            <w:pPr>
              <w:pStyle w:val="TAC"/>
            </w:pPr>
          </w:p>
        </w:tc>
      </w:tr>
      <w:tr w:rsidR="003A71DE" w:rsidRPr="00CE0F04" w14:paraId="4D52CED7" w14:textId="77777777" w:rsidTr="003A71DE">
        <w:trPr>
          <w:cantSplit/>
        </w:trPr>
        <w:tc>
          <w:tcPr>
            <w:tcW w:w="2802" w:type="dxa"/>
            <w:gridSpan w:val="2"/>
            <w:tcBorders>
              <w:bottom w:val="single" w:sz="4" w:space="0" w:color="auto"/>
            </w:tcBorders>
          </w:tcPr>
          <w:p w14:paraId="01AC4B90" w14:textId="77777777" w:rsidR="003A71DE" w:rsidRPr="00CE0F04" w:rsidRDefault="003A71DE" w:rsidP="001A5D47">
            <w:pPr>
              <w:pStyle w:val="TAL"/>
            </w:pPr>
            <w:r w:rsidRPr="00CE0F04">
              <w:rPr>
                <w:rFonts w:cs="v4.2.0"/>
                <w:bCs/>
              </w:rPr>
              <w:t>RF Channel Number</w:t>
            </w:r>
          </w:p>
        </w:tc>
        <w:tc>
          <w:tcPr>
            <w:tcW w:w="708" w:type="dxa"/>
          </w:tcPr>
          <w:p w14:paraId="49DB88BD" w14:textId="77777777" w:rsidR="003A71DE" w:rsidRPr="00CE0F04" w:rsidRDefault="003A71DE" w:rsidP="001A5D47">
            <w:pPr>
              <w:pStyle w:val="TAC"/>
            </w:pPr>
          </w:p>
        </w:tc>
        <w:tc>
          <w:tcPr>
            <w:tcW w:w="1418" w:type="dxa"/>
          </w:tcPr>
          <w:p w14:paraId="06198D32" w14:textId="77777777" w:rsidR="003A71DE" w:rsidRPr="00CE0F04" w:rsidRDefault="003A71DE" w:rsidP="001A5D47">
            <w:pPr>
              <w:pStyle w:val="TAC"/>
              <w:rPr>
                <w:rFonts w:cs="v4.2.0"/>
                <w:bCs/>
              </w:rPr>
            </w:pPr>
            <w:r w:rsidRPr="00CE0F04">
              <w:rPr>
                <w:lang w:eastAsia="zh-CN"/>
              </w:rPr>
              <w:t>1, 2</w:t>
            </w:r>
          </w:p>
        </w:tc>
        <w:tc>
          <w:tcPr>
            <w:tcW w:w="1588" w:type="dxa"/>
          </w:tcPr>
          <w:p w14:paraId="1D4A69D1" w14:textId="77777777" w:rsidR="003A71DE" w:rsidRPr="00CE0F04" w:rsidRDefault="003A71DE" w:rsidP="001A5D47">
            <w:pPr>
              <w:pStyle w:val="TAC"/>
            </w:pPr>
            <w:r w:rsidRPr="00CE0F04">
              <w:rPr>
                <w:lang w:eastAsia="zh-CN"/>
              </w:rPr>
              <w:t>1, 2</w:t>
            </w:r>
          </w:p>
        </w:tc>
        <w:tc>
          <w:tcPr>
            <w:tcW w:w="3090" w:type="dxa"/>
          </w:tcPr>
          <w:p w14:paraId="4ACA48AC" w14:textId="77777777" w:rsidR="003A71DE" w:rsidRPr="00CE0F04" w:rsidRDefault="003A71DE" w:rsidP="001A5D47">
            <w:pPr>
              <w:pStyle w:val="TAC"/>
            </w:pPr>
          </w:p>
        </w:tc>
      </w:tr>
      <w:tr w:rsidR="003A71DE" w:rsidRPr="00CE0F04" w14:paraId="06D855CB" w14:textId="77777777" w:rsidTr="003A71DE">
        <w:trPr>
          <w:cantSplit/>
        </w:trPr>
        <w:tc>
          <w:tcPr>
            <w:tcW w:w="2802" w:type="dxa"/>
            <w:gridSpan w:val="2"/>
            <w:tcBorders>
              <w:bottom w:val="nil"/>
            </w:tcBorders>
            <w:shd w:val="clear" w:color="auto" w:fill="auto"/>
          </w:tcPr>
          <w:p w14:paraId="7CD5FE92" w14:textId="77777777" w:rsidR="003A71DE" w:rsidRPr="00CE0F04" w:rsidRDefault="003A71DE" w:rsidP="001A5D47">
            <w:pPr>
              <w:pStyle w:val="TAL"/>
            </w:pPr>
            <w:r w:rsidRPr="00CE0F04">
              <w:t>Time offset between cells</w:t>
            </w:r>
          </w:p>
        </w:tc>
        <w:tc>
          <w:tcPr>
            <w:tcW w:w="708" w:type="dxa"/>
          </w:tcPr>
          <w:p w14:paraId="38941988" w14:textId="77777777" w:rsidR="003A71DE" w:rsidRPr="00CE0F04" w:rsidRDefault="003A71DE" w:rsidP="001A5D47">
            <w:pPr>
              <w:pStyle w:val="TAC"/>
            </w:pPr>
          </w:p>
        </w:tc>
        <w:tc>
          <w:tcPr>
            <w:tcW w:w="1418" w:type="dxa"/>
          </w:tcPr>
          <w:p w14:paraId="24A43EDD" w14:textId="77777777" w:rsidR="003A71DE" w:rsidRPr="00CE0F04" w:rsidRDefault="003A71DE" w:rsidP="001A5D47">
            <w:pPr>
              <w:pStyle w:val="TAC"/>
              <w:rPr>
                <w:rFonts w:cs="v4.2.0"/>
              </w:rPr>
            </w:pPr>
            <w:r w:rsidRPr="00CE0F04">
              <w:rPr>
                <w:lang w:eastAsia="zh-CN"/>
              </w:rPr>
              <w:t>1, 2</w:t>
            </w:r>
          </w:p>
        </w:tc>
        <w:tc>
          <w:tcPr>
            <w:tcW w:w="1588" w:type="dxa"/>
          </w:tcPr>
          <w:p w14:paraId="4C0C7090" w14:textId="77777777" w:rsidR="003A71DE" w:rsidRPr="00CE0F04" w:rsidRDefault="003A71DE" w:rsidP="001A5D47">
            <w:pPr>
              <w:pStyle w:val="TAC"/>
            </w:pPr>
            <w:r w:rsidRPr="00CE0F04">
              <w:rPr>
                <w:rFonts w:cs="v4.2.0"/>
              </w:rPr>
              <w:t xml:space="preserve">3 </w:t>
            </w:r>
            <w:r w:rsidRPr="00CE0F04">
              <w:rPr>
                <w:rFonts w:cs="v4.2.0"/>
              </w:rPr>
              <w:sym w:font="Symbol" w:char="F06D"/>
            </w:r>
            <w:r w:rsidRPr="00CE0F04">
              <w:rPr>
                <w:rFonts w:cs="v4.2.0"/>
              </w:rPr>
              <w:t>s</w:t>
            </w:r>
          </w:p>
        </w:tc>
        <w:tc>
          <w:tcPr>
            <w:tcW w:w="3090" w:type="dxa"/>
          </w:tcPr>
          <w:p w14:paraId="14471AB5" w14:textId="77777777" w:rsidR="003A71DE" w:rsidRPr="00CE0F04" w:rsidRDefault="003A71DE" w:rsidP="001A5D47">
            <w:pPr>
              <w:pStyle w:val="TAC"/>
            </w:pPr>
            <w:r w:rsidRPr="00CE0F04">
              <w:rPr>
                <w:rFonts w:cs="v4.2.0"/>
              </w:rPr>
              <w:t>Synchronous cells</w:t>
            </w:r>
          </w:p>
        </w:tc>
      </w:tr>
      <w:tr w:rsidR="003A71DE" w:rsidRPr="00CE0F04" w14:paraId="4BC29D24" w14:textId="77777777" w:rsidTr="003A71DE">
        <w:trPr>
          <w:cantSplit/>
        </w:trPr>
        <w:tc>
          <w:tcPr>
            <w:tcW w:w="2802" w:type="dxa"/>
            <w:gridSpan w:val="2"/>
          </w:tcPr>
          <w:p w14:paraId="345FFD87" w14:textId="77777777" w:rsidR="003A71DE" w:rsidRPr="00CE0F04" w:rsidRDefault="003A71DE" w:rsidP="001A5D47">
            <w:pPr>
              <w:pStyle w:val="TAL"/>
            </w:pPr>
            <w:r w:rsidRPr="00CE0F04">
              <w:t>N310</w:t>
            </w:r>
          </w:p>
        </w:tc>
        <w:tc>
          <w:tcPr>
            <w:tcW w:w="708" w:type="dxa"/>
          </w:tcPr>
          <w:p w14:paraId="618DE108" w14:textId="77777777" w:rsidR="003A71DE" w:rsidRPr="00CE0F04" w:rsidRDefault="003A71DE" w:rsidP="001A5D47">
            <w:pPr>
              <w:pStyle w:val="TAC"/>
            </w:pPr>
            <w:r w:rsidRPr="00CE0F04">
              <w:rPr>
                <w:rFonts w:cs="v4.2.0"/>
              </w:rPr>
              <w:t>-</w:t>
            </w:r>
          </w:p>
        </w:tc>
        <w:tc>
          <w:tcPr>
            <w:tcW w:w="1418" w:type="dxa"/>
          </w:tcPr>
          <w:p w14:paraId="1AFEEA91" w14:textId="77777777" w:rsidR="003A71DE" w:rsidRPr="00CE0F04" w:rsidRDefault="003A71DE" w:rsidP="001A5D47">
            <w:pPr>
              <w:pStyle w:val="TAC"/>
              <w:rPr>
                <w:rFonts w:cs="v4.2.0"/>
              </w:rPr>
            </w:pPr>
            <w:r w:rsidRPr="00CE0F04">
              <w:rPr>
                <w:lang w:eastAsia="zh-CN"/>
              </w:rPr>
              <w:t>1, 2</w:t>
            </w:r>
          </w:p>
        </w:tc>
        <w:tc>
          <w:tcPr>
            <w:tcW w:w="1588" w:type="dxa"/>
          </w:tcPr>
          <w:p w14:paraId="40797D6A" w14:textId="77777777" w:rsidR="003A71DE" w:rsidRPr="00CE0F04" w:rsidRDefault="003A71DE" w:rsidP="001A5D47">
            <w:pPr>
              <w:pStyle w:val="TAC"/>
            </w:pPr>
            <w:r w:rsidRPr="00CE0F04">
              <w:rPr>
                <w:rFonts w:cs="v4.2.0"/>
              </w:rPr>
              <w:t>1</w:t>
            </w:r>
          </w:p>
        </w:tc>
        <w:tc>
          <w:tcPr>
            <w:tcW w:w="3090" w:type="dxa"/>
          </w:tcPr>
          <w:p w14:paraId="0FCD22F4" w14:textId="77777777" w:rsidR="003A71DE" w:rsidRPr="00CE0F04" w:rsidRDefault="003A71DE" w:rsidP="001A5D47">
            <w:pPr>
              <w:pStyle w:val="TAC"/>
            </w:pPr>
            <w:r w:rsidRPr="00CE0F04">
              <w:t>Maximum consecutive out-of-sync indications from lower layers</w:t>
            </w:r>
          </w:p>
        </w:tc>
      </w:tr>
      <w:tr w:rsidR="003A71DE" w:rsidRPr="00CE0F04" w14:paraId="6E1E60ED" w14:textId="77777777" w:rsidTr="003A71DE">
        <w:trPr>
          <w:cantSplit/>
        </w:trPr>
        <w:tc>
          <w:tcPr>
            <w:tcW w:w="2802" w:type="dxa"/>
            <w:gridSpan w:val="2"/>
          </w:tcPr>
          <w:p w14:paraId="04135841" w14:textId="77777777" w:rsidR="003A71DE" w:rsidRPr="00CE0F04" w:rsidRDefault="003A71DE" w:rsidP="001A5D47">
            <w:pPr>
              <w:pStyle w:val="TAL"/>
            </w:pPr>
            <w:r w:rsidRPr="00CE0F04">
              <w:t>N311</w:t>
            </w:r>
          </w:p>
        </w:tc>
        <w:tc>
          <w:tcPr>
            <w:tcW w:w="708" w:type="dxa"/>
          </w:tcPr>
          <w:p w14:paraId="752D77D9" w14:textId="77777777" w:rsidR="003A71DE" w:rsidRPr="00CE0F04" w:rsidRDefault="003A71DE" w:rsidP="001A5D47">
            <w:pPr>
              <w:pStyle w:val="TAC"/>
            </w:pPr>
            <w:r w:rsidRPr="00CE0F04">
              <w:rPr>
                <w:rFonts w:cs="v4.2.0"/>
              </w:rPr>
              <w:t>-</w:t>
            </w:r>
          </w:p>
        </w:tc>
        <w:tc>
          <w:tcPr>
            <w:tcW w:w="1418" w:type="dxa"/>
          </w:tcPr>
          <w:p w14:paraId="6C5BAF8C" w14:textId="77777777" w:rsidR="003A71DE" w:rsidRPr="00CE0F04" w:rsidRDefault="003A71DE" w:rsidP="001A5D47">
            <w:pPr>
              <w:pStyle w:val="TAC"/>
              <w:rPr>
                <w:rFonts w:cs="v4.2.0"/>
              </w:rPr>
            </w:pPr>
            <w:r w:rsidRPr="00CE0F04">
              <w:rPr>
                <w:lang w:eastAsia="zh-CN"/>
              </w:rPr>
              <w:t>1, 2</w:t>
            </w:r>
          </w:p>
        </w:tc>
        <w:tc>
          <w:tcPr>
            <w:tcW w:w="1588" w:type="dxa"/>
          </w:tcPr>
          <w:p w14:paraId="146A8779" w14:textId="77777777" w:rsidR="003A71DE" w:rsidRPr="00CE0F04" w:rsidRDefault="003A71DE" w:rsidP="001A5D47">
            <w:pPr>
              <w:pStyle w:val="TAC"/>
            </w:pPr>
            <w:r w:rsidRPr="00CE0F04">
              <w:rPr>
                <w:rFonts w:cs="v4.2.0"/>
              </w:rPr>
              <w:t>1</w:t>
            </w:r>
          </w:p>
        </w:tc>
        <w:tc>
          <w:tcPr>
            <w:tcW w:w="3090" w:type="dxa"/>
          </w:tcPr>
          <w:p w14:paraId="55DBD8F0" w14:textId="77777777" w:rsidR="003A71DE" w:rsidRPr="00CE0F04" w:rsidRDefault="003A71DE" w:rsidP="001A5D47">
            <w:pPr>
              <w:pStyle w:val="TAC"/>
            </w:pPr>
            <w:r w:rsidRPr="00CE0F04">
              <w:t>Minimum consecutive in-sync indications from lower layers</w:t>
            </w:r>
          </w:p>
        </w:tc>
      </w:tr>
      <w:tr w:rsidR="003A71DE" w:rsidRPr="00CE0F04" w14:paraId="723D2291" w14:textId="77777777" w:rsidTr="003A71DE">
        <w:trPr>
          <w:cantSplit/>
        </w:trPr>
        <w:tc>
          <w:tcPr>
            <w:tcW w:w="2802" w:type="dxa"/>
            <w:gridSpan w:val="2"/>
          </w:tcPr>
          <w:p w14:paraId="1E7959F6" w14:textId="77777777" w:rsidR="003A71DE" w:rsidRPr="00CE0F04" w:rsidRDefault="003A71DE" w:rsidP="001A5D47">
            <w:pPr>
              <w:pStyle w:val="TAL"/>
            </w:pPr>
            <w:r w:rsidRPr="00CE0F04">
              <w:t>T310</w:t>
            </w:r>
          </w:p>
        </w:tc>
        <w:tc>
          <w:tcPr>
            <w:tcW w:w="708" w:type="dxa"/>
          </w:tcPr>
          <w:p w14:paraId="307D0191" w14:textId="77777777" w:rsidR="003A71DE" w:rsidRPr="00CE0F04" w:rsidRDefault="003A71DE" w:rsidP="001A5D47">
            <w:pPr>
              <w:pStyle w:val="TAC"/>
            </w:pPr>
            <w:r w:rsidRPr="00CE0F04">
              <w:rPr>
                <w:rFonts w:cs="v4.2.0"/>
              </w:rPr>
              <w:t>ms</w:t>
            </w:r>
          </w:p>
        </w:tc>
        <w:tc>
          <w:tcPr>
            <w:tcW w:w="1418" w:type="dxa"/>
          </w:tcPr>
          <w:p w14:paraId="46B1F14A" w14:textId="77777777" w:rsidR="003A71DE" w:rsidRPr="00CE0F04" w:rsidRDefault="003A71DE" w:rsidP="001A5D47">
            <w:pPr>
              <w:pStyle w:val="TAC"/>
              <w:rPr>
                <w:rFonts w:cs="v4.2.0"/>
              </w:rPr>
            </w:pPr>
            <w:r w:rsidRPr="00CE0F04">
              <w:rPr>
                <w:lang w:eastAsia="zh-CN"/>
              </w:rPr>
              <w:t>1, 2</w:t>
            </w:r>
          </w:p>
        </w:tc>
        <w:tc>
          <w:tcPr>
            <w:tcW w:w="1588" w:type="dxa"/>
          </w:tcPr>
          <w:p w14:paraId="33828704" w14:textId="77777777" w:rsidR="003A71DE" w:rsidRPr="00CE0F04" w:rsidRDefault="003A71DE" w:rsidP="001A5D47">
            <w:pPr>
              <w:pStyle w:val="TAC"/>
            </w:pPr>
            <w:r w:rsidRPr="00CE0F04">
              <w:rPr>
                <w:rFonts w:cs="v4.2.0"/>
              </w:rPr>
              <w:t>6000</w:t>
            </w:r>
          </w:p>
        </w:tc>
        <w:tc>
          <w:tcPr>
            <w:tcW w:w="3090" w:type="dxa"/>
          </w:tcPr>
          <w:p w14:paraId="318263D8" w14:textId="77777777" w:rsidR="003A71DE" w:rsidRPr="00CE0F04" w:rsidRDefault="003A71DE" w:rsidP="001A5D47">
            <w:pPr>
              <w:pStyle w:val="TAC"/>
            </w:pPr>
            <w:r w:rsidRPr="00CE0F04">
              <w:rPr>
                <w:rFonts w:cs="v4.2.0"/>
              </w:rPr>
              <w:t xml:space="preserve">Radio link failure timer configured by </w:t>
            </w:r>
            <w:r w:rsidRPr="00CE0F04">
              <w:rPr>
                <w:i/>
              </w:rPr>
              <w:t>RLF-TimersAndConstants</w:t>
            </w:r>
          </w:p>
        </w:tc>
      </w:tr>
      <w:tr w:rsidR="003A71DE" w:rsidRPr="00CE0F04" w14:paraId="56803CB4" w14:textId="77777777" w:rsidTr="003A71DE">
        <w:trPr>
          <w:cantSplit/>
        </w:trPr>
        <w:tc>
          <w:tcPr>
            <w:tcW w:w="2802" w:type="dxa"/>
            <w:gridSpan w:val="2"/>
          </w:tcPr>
          <w:p w14:paraId="2E64115C" w14:textId="77777777" w:rsidR="003A71DE" w:rsidRPr="00CE0F04" w:rsidRDefault="003A71DE" w:rsidP="001A5D47">
            <w:pPr>
              <w:pStyle w:val="TAL"/>
            </w:pPr>
            <w:r w:rsidRPr="00CE0F04">
              <w:t>T311</w:t>
            </w:r>
          </w:p>
        </w:tc>
        <w:tc>
          <w:tcPr>
            <w:tcW w:w="708" w:type="dxa"/>
          </w:tcPr>
          <w:p w14:paraId="4FFAB37D" w14:textId="77777777" w:rsidR="003A71DE" w:rsidRPr="00CE0F04" w:rsidRDefault="003A71DE" w:rsidP="001A5D47">
            <w:pPr>
              <w:pStyle w:val="TAC"/>
            </w:pPr>
            <w:r w:rsidRPr="00CE0F04">
              <w:rPr>
                <w:rFonts w:cs="v4.2.0"/>
              </w:rPr>
              <w:t>ms</w:t>
            </w:r>
          </w:p>
        </w:tc>
        <w:tc>
          <w:tcPr>
            <w:tcW w:w="1418" w:type="dxa"/>
          </w:tcPr>
          <w:p w14:paraId="5FC49DAC" w14:textId="77777777" w:rsidR="003A71DE" w:rsidRPr="00CE0F04" w:rsidRDefault="003A71DE" w:rsidP="001A5D47">
            <w:pPr>
              <w:pStyle w:val="TAC"/>
              <w:rPr>
                <w:rFonts w:cs="v4.2.0"/>
              </w:rPr>
            </w:pPr>
            <w:r w:rsidRPr="00CE0F04">
              <w:rPr>
                <w:lang w:eastAsia="zh-CN"/>
              </w:rPr>
              <w:t>1, 2</w:t>
            </w:r>
          </w:p>
        </w:tc>
        <w:tc>
          <w:tcPr>
            <w:tcW w:w="1588" w:type="dxa"/>
          </w:tcPr>
          <w:p w14:paraId="14E1B278" w14:textId="77777777" w:rsidR="003A71DE" w:rsidRPr="00CE0F04" w:rsidRDefault="003A71DE" w:rsidP="001A5D47">
            <w:pPr>
              <w:pStyle w:val="TAC"/>
            </w:pPr>
            <w:r w:rsidRPr="00CE0F04">
              <w:rPr>
                <w:rFonts w:cs="v4.2.0"/>
              </w:rPr>
              <w:t>15000</w:t>
            </w:r>
          </w:p>
        </w:tc>
        <w:tc>
          <w:tcPr>
            <w:tcW w:w="3090" w:type="dxa"/>
          </w:tcPr>
          <w:p w14:paraId="3188570C" w14:textId="77777777" w:rsidR="003A71DE" w:rsidRPr="00CE0F04" w:rsidRDefault="003A71DE" w:rsidP="001A5D47">
            <w:pPr>
              <w:pStyle w:val="TAC"/>
            </w:pPr>
            <w:r w:rsidRPr="00CE0F04">
              <w:rPr>
                <w:rFonts w:cs="v4.2.0"/>
              </w:rPr>
              <w:t>RRC re-establishment timer</w:t>
            </w:r>
          </w:p>
        </w:tc>
      </w:tr>
      <w:tr w:rsidR="003A71DE" w:rsidRPr="00CE0F04" w14:paraId="7DF4CCF5" w14:textId="77777777" w:rsidTr="003A71DE">
        <w:trPr>
          <w:cantSplit/>
        </w:trPr>
        <w:tc>
          <w:tcPr>
            <w:tcW w:w="2802" w:type="dxa"/>
            <w:gridSpan w:val="2"/>
            <w:tcBorders>
              <w:bottom w:val="single" w:sz="4" w:space="0" w:color="auto"/>
            </w:tcBorders>
          </w:tcPr>
          <w:p w14:paraId="10A59AF6" w14:textId="77777777" w:rsidR="003A71DE" w:rsidRPr="00CE0F04" w:rsidRDefault="003A71DE" w:rsidP="001A5D47">
            <w:pPr>
              <w:pStyle w:val="TAL"/>
              <w:rPr>
                <w:lang w:eastAsia="zh-CN"/>
              </w:rPr>
            </w:pPr>
            <w:r w:rsidRPr="00CE0F04">
              <w:rPr>
                <w:lang w:eastAsia="zh-CN"/>
              </w:rPr>
              <w:t>Access Barring Information</w:t>
            </w:r>
          </w:p>
        </w:tc>
        <w:tc>
          <w:tcPr>
            <w:tcW w:w="708" w:type="dxa"/>
          </w:tcPr>
          <w:p w14:paraId="3C36937A" w14:textId="77777777" w:rsidR="003A71DE" w:rsidRPr="00CE0F04" w:rsidRDefault="003A71DE" w:rsidP="001A5D47">
            <w:pPr>
              <w:pStyle w:val="TAC"/>
              <w:rPr>
                <w:rFonts w:cs="v4.2.0"/>
                <w:lang w:eastAsia="zh-CN"/>
              </w:rPr>
            </w:pPr>
            <w:r w:rsidRPr="00CE0F04">
              <w:rPr>
                <w:rFonts w:cs="v4.2.0"/>
                <w:lang w:eastAsia="zh-CN"/>
              </w:rPr>
              <w:t>-</w:t>
            </w:r>
          </w:p>
        </w:tc>
        <w:tc>
          <w:tcPr>
            <w:tcW w:w="1418" w:type="dxa"/>
          </w:tcPr>
          <w:p w14:paraId="14C48D6F" w14:textId="77777777" w:rsidR="003A71DE" w:rsidRPr="00CE0F04" w:rsidRDefault="003A71DE" w:rsidP="001A5D47">
            <w:pPr>
              <w:pStyle w:val="TAC"/>
              <w:rPr>
                <w:lang w:eastAsia="zh-CN"/>
              </w:rPr>
            </w:pPr>
            <w:r w:rsidRPr="00CE0F04">
              <w:rPr>
                <w:lang w:eastAsia="zh-CN"/>
              </w:rPr>
              <w:t>1, 2</w:t>
            </w:r>
          </w:p>
        </w:tc>
        <w:tc>
          <w:tcPr>
            <w:tcW w:w="1588" w:type="dxa"/>
          </w:tcPr>
          <w:p w14:paraId="53729432" w14:textId="77777777" w:rsidR="003A71DE" w:rsidRPr="00CE0F04" w:rsidRDefault="003A71DE" w:rsidP="001A5D47">
            <w:pPr>
              <w:pStyle w:val="TAC"/>
              <w:rPr>
                <w:rFonts w:cs="v4.2.0"/>
                <w:lang w:eastAsia="zh-CN"/>
              </w:rPr>
            </w:pPr>
            <w:r w:rsidRPr="00CE0F04">
              <w:rPr>
                <w:rFonts w:cs="v4.2.0"/>
                <w:lang w:eastAsia="zh-CN"/>
              </w:rPr>
              <w:t>Not Sent</w:t>
            </w:r>
          </w:p>
        </w:tc>
        <w:tc>
          <w:tcPr>
            <w:tcW w:w="3090" w:type="dxa"/>
          </w:tcPr>
          <w:p w14:paraId="6DAC16D5" w14:textId="77777777" w:rsidR="003A71DE" w:rsidRPr="00CE0F04" w:rsidRDefault="003A71DE" w:rsidP="001A5D47">
            <w:pPr>
              <w:pStyle w:val="TAC"/>
              <w:rPr>
                <w:rFonts w:cs="v4.2.0"/>
              </w:rPr>
            </w:pPr>
            <w:r w:rsidRPr="00CE0F04">
              <w:rPr>
                <w:rFonts w:cs="v4.2.0"/>
              </w:rPr>
              <w:t>No additional delays in random access procedure.</w:t>
            </w:r>
          </w:p>
        </w:tc>
      </w:tr>
      <w:tr w:rsidR="003A71DE" w:rsidRPr="00CE0F04" w14:paraId="33004713" w14:textId="77777777" w:rsidTr="003A71DE">
        <w:trPr>
          <w:cantSplit/>
        </w:trPr>
        <w:tc>
          <w:tcPr>
            <w:tcW w:w="2802" w:type="dxa"/>
            <w:gridSpan w:val="2"/>
            <w:tcBorders>
              <w:bottom w:val="nil"/>
            </w:tcBorders>
            <w:shd w:val="clear" w:color="auto" w:fill="auto"/>
          </w:tcPr>
          <w:p w14:paraId="3367BC47" w14:textId="77777777" w:rsidR="003A71DE" w:rsidRPr="00CE0F04" w:rsidRDefault="003A71DE" w:rsidP="001A5D47">
            <w:pPr>
              <w:pStyle w:val="TAL"/>
              <w:rPr>
                <w:lang w:eastAsia="zh-CN"/>
              </w:rPr>
            </w:pPr>
            <w:r w:rsidRPr="00CE0F04">
              <w:rPr>
                <w:lang w:eastAsia="zh-CN"/>
              </w:rPr>
              <w:t>SSB configuration</w:t>
            </w:r>
          </w:p>
        </w:tc>
        <w:tc>
          <w:tcPr>
            <w:tcW w:w="708" w:type="dxa"/>
            <w:vMerge w:val="restart"/>
          </w:tcPr>
          <w:p w14:paraId="2DAED193" w14:textId="77777777" w:rsidR="003A71DE" w:rsidRPr="00CE0F04" w:rsidRDefault="003A71DE" w:rsidP="001A5D47">
            <w:pPr>
              <w:pStyle w:val="TAC"/>
              <w:rPr>
                <w:rFonts w:cs="v4.2.0"/>
              </w:rPr>
            </w:pPr>
          </w:p>
        </w:tc>
        <w:tc>
          <w:tcPr>
            <w:tcW w:w="1418" w:type="dxa"/>
          </w:tcPr>
          <w:p w14:paraId="26AACFD1" w14:textId="77777777" w:rsidR="003A71DE" w:rsidRPr="00CE0F04" w:rsidRDefault="003A71DE" w:rsidP="001A5D47">
            <w:pPr>
              <w:pStyle w:val="TAC"/>
              <w:rPr>
                <w:rFonts w:cs="v4.2.0"/>
                <w:lang w:eastAsia="zh-CN"/>
              </w:rPr>
            </w:pPr>
            <w:r w:rsidRPr="00CE0F04">
              <w:rPr>
                <w:rFonts w:cs="v4.2.0"/>
                <w:lang w:eastAsia="zh-CN"/>
              </w:rPr>
              <w:t>1</w:t>
            </w:r>
          </w:p>
        </w:tc>
        <w:tc>
          <w:tcPr>
            <w:tcW w:w="1588" w:type="dxa"/>
          </w:tcPr>
          <w:p w14:paraId="01F34F7C" w14:textId="77777777" w:rsidR="003A71DE" w:rsidRPr="00CE0F04" w:rsidRDefault="003A71DE" w:rsidP="001A5D47">
            <w:pPr>
              <w:pStyle w:val="TAC"/>
              <w:rPr>
                <w:rFonts w:cs="v4.2.0"/>
              </w:rPr>
            </w:pPr>
            <w:r w:rsidRPr="00CE0F04">
              <w:rPr>
                <w:rFonts w:cs="v4.2.0"/>
                <w:bCs/>
                <w:lang w:eastAsia="zh-CN"/>
              </w:rPr>
              <w:t>SSB.1 FR1</w:t>
            </w:r>
          </w:p>
        </w:tc>
        <w:tc>
          <w:tcPr>
            <w:tcW w:w="3090" w:type="dxa"/>
          </w:tcPr>
          <w:p w14:paraId="6E3CF141" w14:textId="77777777" w:rsidR="003A71DE" w:rsidRPr="00CE0F04" w:rsidRDefault="003A71DE" w:rsidP="001A5D47">
            <w:pPr>
              <w:pStyle w:val="TAC"/>
              <w:rPr>
                <w:rFonts w:cs="v4.2.0"/>
              </w:rPr>
            </w:pPr>
          </w:p>
        </w:tc>
      </w:tr>
      <w:tr w:rsidR="003A71DE" w:rsidRPr="00CE0F04" w14:paraId="0514451B" w14:textId="77777777" w:rsidTr="003A71DE">
        <w:trPr>
          <w:cantSplit/>
        </w:trPr>
        <w:tc>
          <w:tcPr>
            <w:tcW w:w="2802" w:type="dxa"/>
            <w:gridSpan w:val="2"/>
            <w:tcBorders>
              <w:top w:val="nil"/>
              <w:bottom w:val="nil"/>
            </w:tcBorders>
            <w:shd w:val="clear" w:color="auto" w:fill="auto"/>
          </w:tcPr>
          <w:p w14:paraId="2CB36312" w14:textId="77777777" w:rsidR="003A71DE" w:rsidRPr="00CE0F04" w:rsidRDefault="003A71DE" w:rsidP="001A5D47">
            <w:pPr>
              <w:pStyle w:val="TAL"/>
              <w:rPr>
                <w:lang w:eastAsia="zh-CN"/>
              </w:rPr>
            </w:pPr>
          </w:p>
        </w:tc>
        <w:tc>
          <w:tcPr>
            <w:tcW w:w="708" w:type="dxa"/>
            <w:vMerge/>
          </w:tcPr>
          <w:p w14:paraId="78EC61BB" w14:textId="77777777" w:rsidR="003A71DE" w:rsidRPr="00CE0F04" w:rsidRDefault="003A71DE" w:rsidP="001A5D47">
            <w:pPr>
              <w:pStyle w:val="TAC"/>
              <w:rPr>
                <w:rFonts w:cs="v4.2.0"/>
              </w:rPr>
            </w:pPr>
          </w:p>
        </w:tc>
        <w:tc>
          <w:tcPr>
            <w:tcW w:w="1418" w:type="dxa"/>
          </w:tcPr>
          <w:p w14:paraId="1F6E4BFB" w14:textId="77777777" w:rsidR="003A71DE" w:rsidRPr="00CE0F04" w:rsidRDefault="003A71DE" w:rsidP="001A5D47">
            <w:pPr>
              <w:pStyle w:val="TAC"/>
              <w:rPr>
                <w:rFonts w:cs="v4.2.0"/>
                <w:lang w:eastAsia="zh-CN"/>
              </w:rPr>
            </w:pPr>
            <w:r w:rsidRPr="00CE0F04">
              <w:rPr>
                <w:rFonts w:cs="v4.2.0"/>
                <w:lang w:eastAsia="zh-CN"/>
              </w:rPr>
              <w:t>2</w:t>
            </w:r>
          </w:p>
        </w:tc>
        <w:tc>
          <w:tcPr>
            <w:tcW w:w="1588" w:type="dxa"/>
          </w:tcPr>
          <w:p w14:paraId="65659833" w14:textId="77777777" w:rsidR="003A71DE" w:rsidRPr="00CE0F04" w:rsidRDefault="003A71DE" w:rsidP="001A5D47">
            <w:pPr>
              <w:pStyle w:val="TAC"/>
              <w:rPr>
                <w:rFonts w:cs="v4.2.0"/>
              </w:rPr>
            </w:pPr>
            <w:r w:rsidRPr="00CE0F04">
              <w:rPr>
                <w:rFonts w:cs="v4.2.0"/>
                <w:bCs/>
                <w:lang w:eastAsia="zh-CN"/>
              </w:rPr>
              <w:t>SSB.2 FR1</w:t>
            </w:r>
          </w:p>
        </w:tc>
        <w:tc>
          <w:tcPr>
            <w:tcW w:w="3090" w:type="dxa"/>
          </w:tcPr>
          <w:p w14:paraId="058CC954" w14:textId="77777777" w:rsidR="003A71DE" w:rsidRPr="00CE0F04" w:rsidRDefault="003A71DE" w:rsidP="001A5D47">
            <w:pPr>
              <w:pStyle w:val="TAC"/>
              <w:rPr>
                <w:rFonts w:cs="v4.2.0"/>
              </w:rPr>
            </w:pPr>
          </w:p>
        </w:tc>
      </w:tr>
      <w:tr w:rsidR="003A71DE" w:rsidRPr="00CE0F04" w14:paraId="298C5ADE" w14:textId="77777777" w:rsidTr="003A71DE">
        <w:trPr>
          <w:cantSplit/>
        </w:trPr>
        <w:tc>
          <w:tcPr>
            <w:tcW w:w="2802" w:type="dxa"/>
            <w:gridSpan w:val="2"/>
            <w:tcBorders>
              <w:bottom w:val="nil"/>
            </w:tcBorders>
            <w:shd w:val="clear" w:color="auto" w:fill="auto"/>
          </w:tcPr>
          <w:p w14:paraId="75ABC903" w14:textId="77777777" w:rsidR="003A71DE" w:rsidRPr="00CE0F04" w:rsidRDefault="003A71DE" w:rsidP="001A5D47">
            <w:pPr>
              <w:pStyle w:val="TAL"/>
              <w:rPr>
                <w:rFonts w:cs="v4.2.0"/>
                <w:lang w:eastAsia="zh-CN"/>
              </w:rPr>
            </w:pPr>
            <w:r w:rsidRPr="00CE0F04">
              <w:rPr>
                <w:rFonts w:cs="v4.2.0"/>
                <w:lang w:eastAsia="zh-CN"/>
              </w:rPr>
              <w:t>SMTC configuration</w:t>
            </w:r>
          </w:p>
        </w:tc>
        <w:tc>
          <w:tcPr>
            <w:tcW w:w="708" w:type="dxa"/>
            <w:vMerge w:val="restart"/>
          </w:tcPr>
          <w:p w14:paraId="5A4B7EBC" w14:textId="77777777" w:rsidR="003A71DE" w:rsidRPr="00CE0F04" w:rsidRDefault="003A71DE" w:rsidP="001A5D47">
            <w:pPr>
              <w:pStyle w:val="TAC"/>
              <w:rPr>
                <w:lang w:eastAsia="zh-CN"/>
              </w:rPr>
            </w:pPr>
          </w:p>
        </w:tc>
        <w:tc>
          <w:tcPr>
            <w:tcW w:w="1418" w:type="dxa"/>
          </w:tcPr>
          <w:p w14:paraId="1D49DBE0" w14:textId="77777777" w:rsidR="003A71DE" w:rsidRPr="00CE0F04" w:rsidRDefault="003A71DE" w:rsidP="001A5D47">
            <w:pPr>
              <w:pStyle w:val="TAC"/>
              <w:rPr>
                <w:rFonts w:cs="v4.2.0"/>
                <w:bCs/>
                <w:lang w:eastAsia="zh-CN"/>
              </w:rPr>
            </w:pPr>
            <w:r w:rsidRPr="00CE0F04">
              <w:rPr>
                <w:rFonts w:cs="v4.2.0"/>
                <w:bCs/>
                <w:lang w:eastAsia="zh-CN"/>
              </w:rPr>
              <w:t>1</w:t>
            </w:r>
          </w:p>
        </w:tc>
        <w:tc>
          <w:tcPr>
            <w:tcW w:w="1588" w:type="dxa"/>
          </w:tcPr>
          <w:p w14:paraId="3584D13B" w14:textId="77777777" w:rsidR="003A71DE" w:rsidRPr="00CE0F04" w:rsidRDefault="003A71DE" w:rsidP="001A5D47">
            <w:pPr>
              <w:pStyle w:val="TAC"/>
              <w:rPr>
                <w:rFonts w:cs="v4.2.0"/>
                <w:bCs/>
                <w:lang w:eastAsia="zh-CN"/>
              </w:rPr>
            </w:pPr>
            <w:r w:rsidRPr="00CE0F04">
              <w:rPr>
                <w:rFonts w:cs="v4.2.0"/>
                <w:bCs/>
                <w:lang w:eastAsia="zh-CN"/>
              </w:rPr>
              <w:t>SMTC pattern 1</w:t>
            </w:r>
          </w:p>
        </w:tc>
        <w:tc>
          <w:tcPr>
            <w:tcW w:w="3090" w:type="dxa"/>
          </w:tcPr>
          <w:p w14:paraId="435B8865" w14:textId="77777777" w:rsidR="003A71DE" w:rsidRPr="00CE0F04" w:rsidRDefault="003A71DE" w:rsidP="001A5D47">
            <w:pPr>
              <w:pStyle w:val="TAC"/>
              <w:rPr>
                <w:rFonts w:cs="v4.2.0"/>
                <w:bCs/>
                <w:lang w:eastAsia="zh-CN"/>
              </w:rPr>
            </w:pPr>
          </w:p>
        </w:tc>
      </w:tr>
      <w:tr w:rsidR="003A71DE" w:rsidRPr="00CE0F04" w14:paraId="616A859A" w14:textId="77777777" w:rsidTr="003A71DE">
        <w:trPr>
          <w:cantSplit/>
        </w:trPr>
        <w:tc>
          <w:tcPr>
            <w:tcW w:w="2802" w:type="dxa"/>
            <w:gridSpan w:val="2"/>
            <w:tcBorders>
              <w:top w:val="nil"/>
              <w:bottom w:val="nil"/>
            </w:tcBorders>
            <w:shd w:val="clear" w:color="auto" w:fill="auto"/>
          </w:tcPr>
          <w:p w14:paraId="0886B7C4" w14:textId="77777777" w:rsidR="003A71DE" w:rsidRPr="00CE0F04" w:rsidRDefault="003A71DE" w:rsidP="001A5D47">
            <w:pPr>
              <w:pStyle w:val="TAL"/>
              <w:rPr>
                <w:rFonts w:cs="v4.2.0"/>
                <w:lang w:eastAsia="zh-CN"/>
              </w:rPr>
            </w:pPr>
          </w:p>
        </w:tc>
        <w:tc>
          <w:tcPr>
            <w:tcW w:w="708" w:type="dxa"/>
            <w:vMerge/>
          </w:tcPr>
          <w:p w14:paraId="334487C3" w14:textId="77777777" w:rsidR="003A71DE" w:rsidRPr="00CE0F04" w:rsidRDefault="003A71DE" w:rsidP="001A5D47">
            <w:pPr>
              <w:pStyle w:val="TAC"/>
              <w:rPr>
                <w:lang w:eastAsia="zh-CN"/>
              </w:rPr>
            </w:pPr>
          </w:p>
        </w:tc>
        <w:tc>
          <w:tcPr>
            <w:tcW w:w="1418" w:type="dxa"/>
          </w:tcPr>
          <w:p w14:paraId="67190819" w14:textId="77777777" w:rsidR="003A71DE" w:rsidRPr="00CE0F04" w:rsidRDefault="003A71DE" w:rsidP="001A5D47">
            <w:pPr>
              <w:pStyle w:val="TAC"/>
              <w:rPr>
                <w:rFonts w:cs="v4.2.0"/>
                <w:bCs/>
                <w:lang w:eastAsia="zh-CN"/>
              </w:rPr>
            </w:pPr>
            <w:r w:rsidRPr="00CE0F04">
              <w:rPr>
                <w:rFonts w:cs="v4.2.0"/>
                <w:bCs/>
                <w:lang w:eastAsia="zh-CN"/>
              </w:rPr>
              <w:t>2</w:t>
            </w:r>
          </w:p>
        </w:tc>
        <w:tc>
          <w:tcPr>
            <w:tcW w:w="1588" w:type="dxa"/>
          </w:tcPr>
          <w:p w14:paraId="46589321" w14:textId="77777777" w:rsidR="003A71DE" w:rsidRPr="00CE0F04" w:rsidRDefault="003A71DE" w:rsidP="001A5D47">
            <w:pPr>
              <w:pStyle w:val="TAC"/>
              <w:rPr>
                <w:rFonts w:cs="v4.2.0"/>
                <w:bCs/>
                <w:lang w:eastAsia="zh-CN"/>
              </w:rPr>
            </w:pPr>
            <w:r w:rsidRPr="00CE0F04">
              <w:rPr>
                <w:rFonts w:cs="v4.2.0"/>
                <w:bCs/>
                <w:lang w:eastAsia="zh-CN"/>
              </w:rPr>
              <w:t>SMTC pattern 1</w:t>
            </w:r>
          </w:p>
        </w:tc>
        <w:tc>
          <w:tcPr>
            <w:tcW w:w="3090" w:type="dxa"/>
          </w:tcPr>
          <w:p w14:paraId="4F112FFB" w14:textId="77777777" w:rsidR="003A71DE" w:rsidRPr="00CE0F04" w:rsidRDefault="003A71DE" w:rsidP="001A5D47">
            <w:pPr>
              <w:pStyle w:val="TAC"/>
              <w:rPr>
                <w:rFonts w:cs="v4.2.0"/>
                <w:bCs/>
                <w:lang w:eastAsia="zh-CN"/>
              </w:rPr>
            </w:pPr>
          </w:p>
        </w:tc>
      </w:tr>
      <w:tr w:rsidR="003A71DE" w:rsidRPr="00CE0F04" w14:paraId="5EB519B8" w14:textId="77777777" w:rsidTr="003A71DE">
        <w:trPr>
          <w:cantSplit/>
        </w:trPr>
        <w:tc>
          <w:tcPr>
            <w:tcW w:w="2802" w:type="dxa"/>
            <w:gridSpan w:val="2"/>
          </w:tcPr>
          <w:p w14:paraId="4E94417B" w14:textId="77777777" w:rsidR="003A71DE" w:rsidRPr="00CE0F04" w:rsidRDefault="003A71DE" w:rsidP="001A5D47">
            <w:pPr>
              <w:pStyle w:val="TAL"/>
            </w:pPr>
            <w:r w:rsidRPr="00CE0F04">
              <w:t>DRX cycle length</w:t>
            </w:r>
          </w:p>
        </w:tc>
        <w:tc>
          <w:tcPr>
            <w:tcW w:w="708" w:type="dxa"/>
          </w:tcPr>
          <w:p w14:paraId="28A0F20A" w14:textId="77777777" w:rsidR="003A71DE" w:rsidRPr="00CE0F04" w:rsidRDefault="003A71DE" w:rsidP="001A5D47">
            <w:pPr>
              <w:pStyle w:val="TAC"/>
            </w:pPr>
            <w:r w:rsidRPr="00CE0F04">
              <w:t>s</w:t>
            </w:r>
          </w:p>
        </w:tc>
        <w:tc>
          <w:tcPr>
            <w:tcW w:w="1418" w:type="dxa"/>
          </w:tcPr>
          <w:p w14:paraId="417221C1" w14:textId="77777777" w:rsidR="003A71DE" w:rsidRPr="00CE0F04" w:rsidRDefault="003A71DE" w:rsidP="001A5D47">
            <w:pPr>
              <w:pStyle w:val="TAC"/>
            </w:pPr>
            <w:r w:rsidRPr="00CE0F04">
              <w:rPr>
                <w:lang w:eastAsia="zh-CN"/>
              </w:rPr>
              <w:t>1, 2</w:t>
            </w:r>
          </w:p>
        </w:tc>
        <w:tc>
          <w:tcPr>
            <w:tcW w:w="1588" w:type="dxa"/>
          </w:tcPr>
          <w:p w14:paraId="5285C4D3" w14:textId="77777777" w:rsidR="003A71DE" w:rsidRPr="00CE0F04" w:rsidRDefault="003A71DE" w:rsidP="001A5D47">
            <w:pPr>
              <w:pStyle w:val="TAC"/>
            </w:pPr>
            <w:r w:rsidRPr="00CE0F04">
              <w:t>OFF</w:t>
            </w:r>
          </w:p>
        </w:tc>
        <w:tc>
          <w:tcPr>
            <w:tcW w:w="3090" w:type="dxa"/>
          </w:tcPr>
          <w:p w14:paraId="70DCB914" w14:textId="77777777" w:rsidR="003A71DE" w:rsidRPr="00CE0F04" w:rsidRDefault="003A71DE" w:rsidP="001A5D47">
            <w:pPr>
              <w:pStyle w:val="TAC"/>
            </w:pPr>
          </w:p>
        </w:tc>
      </w:tr>
      <w:tr w:rsidR="003A71DE" w:rsidRPr="00CE0F04" w14:paraId="755B36A2" w14:textId="77777777" w:rsidTr="003A71DE">
        <w:trPr>
          <w:cantSplit/>
        </w:trPr>
        <w:tc>
          <w:tcPr>
            <w:tcW w:w="2802" w:type="dxa"/>
            <w:gridSpan w:val="2"/>
          </w:tcPr>
          <w:p w14:paraId="64A87F95" w14:textId="77777777" w:rsidR="003A71DE" w:rsidRPr="00CE0F04" w:rsidRDefault="003A71DE" w:rsidP="001A5D47">
            <w:pPr>
              <w:pStyle w:val="TAL"/>
              <w:rPr>
                <w:lang w:eastAsia="zh-CN"/>
              </w:rPr>
            </w:pPr>
            <w:r w:rsidRPr="00CE0F04">
              <w:rPr>
                <w:rFonts w:cs="Arial"/>
                <w:lang w:eastAsia="zh-CN"/>
              </w:rPr>
              <w:t>PRACH configuration</w:t>
            </w:r>
          </w:p>
        </w:tc>
        <w:tc>
          <w:tcPr>
            <w:tcW w:w="708" w:type="dxa"/>
          </w:tcPr>
          <w:p w14:paraId="2F336BDE" w14:textId="77777777" w:rsidR="003A71DE" w:rsidRPr="00CE0F04" w:rsidRDefault="003A71DE" w:rsidP="001A5D47">
            <w:pPr>
              <w:pStyle w:val="TAC"/>
            </w:pPr>
          </w:p>
        </w:tc>
        <w:tc>
          <w:tcPr>
            <w:tcW w:w="1418" w:type="dxa"/>
          </w:tcPr>
          <w:p w14:paraId="62BDFD56" w14:textId="77777777" w:rsidR="003A71DE" w:rsidRPr="00CE0F04" w:rsidRDefault="003A71DE" w:rsidP="001A5D47">
            <w:pPr>
              <w:pStyle w:val="TAC"/>
              <w:rPr>
                <w:lang w:eastAsia="zh-CN"/>
              </w:rPr>
            </w:pPr>
            <w:r w:rsidRPr="00CE0F04">
              <w:rPr>
                <w:lang w:eastAsia="zh-CN"/>
              </w:rPr>
              <w:t>1, 2</w:t>
            </w:r>
          </w:p>
        </w:tc>
        <w:tc>
          <w:tcPr>
            <w:tcW w:w="1588" w:type="dxa"/>
          </w:tcPr>
          <w:p w14:paraId="2DACB658" w14:textId="77777777" w:rsidR="003A71DE" w:rsidRPr="00CE0F04" w:rsidRDefault="003A71DE" w:rsidP="001A5D47">
            <w:pPr>
              <w:pStyle w:val="TAC"/>
              <w:rPr>
                <w:lang w:eastAsia="zh-CN"/>
              </w:rPr>
            </w:pPr>
            <w:r w:rsidRPr="00CE0F04">
              <w:rPr>
                <w:rFonts w:cs="Arial"/>
                <w:lang w:eastAsia="zh-CN"/>
              </w:rPr>
              <w:t>FR1 PRACH configuration 1</w:t>
            </w:r>
          </w:p>
        </w:tc>
        <w:tc>
          <w:tcPr>
            <w:tcW w:w="3090" w:type="dxa"/>
          </w:tcPr>
          <w:p w14:paraId="55DC093C" w14:textId="77777777" w:rsidR="003A71DE" w:rsidRPr="00CE0F04" w:rsidRDefault="003A71DE" w:rsidP="001A5D47">
            <w:pPr>
              <w:pStyle w:val="TAC"/>
              <w:rPr>
                <w:lang w:eastAsia="zh-CN"/>
              </w:rPr>
            </w:pPr>
            <w:r w:rsidRPr="00CE0F04">
              <w:rPr>
                <w:rFonts w:cs="Arial"/>
                <w:lang w:eastAsia="zh-CN"/>
              </w:rPr>
              <w:t>TBD</w:t>
            </w:r>
          </w:p>
        </w:tc>
      </w:tr>
      <w:tr w:rsidR="003A71DE" w:rsidRPr="00CE0F04" w14:paraId="496D9121" w14:textId="77777777" w:rsidTr="003A71DE">
        <w:trPr>
          <w:cantSplit/>
        </w:trPr>
        <w:tc>
          <w:tcPr>
            <w:tcW w:w="2802" w:type="dxa"/>
            <w:gridSpan w:val="2"/>
          </w:tcPr>
          <w:p w14:paraId="474BDE03" w14:textId="77777777" w:rsidR="003A71DE" w:rsidRPr="00CE0F04" w:rsidRDefault="003A71DE" w:rsidP="001A5D47">
            <w:pPr>
              <w:pStyle w:val="TAL"/>
            </w:pPr>
            <w:r w:rsidRPr="00CE0F04">
              <w:rPr>
                <w:lang w:eastAsia="zh-CN"/>
              </w:rPr>
              <w:t>T1</w:t>
            </w:r>
          </w:p>
        </w:tc>
        <w:tc>
          <w:tcPr>
            <w:tcW w:w="708" w:type="dxa"/>
          </w:tcPr>
          <w:p w14:paraId="4490E7FD" w14:textId="77777777" w:rsidR="003A71DE" w:rsidRPr="00CE0F04" w:rsidRDefault="003A71DE" w:rsidP="001A5D47">
            <w:pPr>
              <w:pStyle w:val="TAC"/>
            </w:pPr>
            <w:r w:rsidRPr="00CE0F04">
              <w:rPr>
                <w:lang w:eastAsia="zh-CN"/>
              </w:rPr>
              <w:t>s</w:t>
            </w:r>
          </w:p>
        </w:tc>
        <w:tc>
          <w:tcPr>
            <w:tcW w:w="1418" w:type="dxa"/>
          </w:tcPr>
          <w:p w14:paraId="0620B905" w14:textId="77777777" w:rsidR="003A71DE" w:rsidRPr="00CE0F04" w:rsidRDefault="003A71DE" w:rsidP="001A5D47">
            <w:pPr>
              <w:pStyle w:val="TAC"/>
              <w:rPr>
                <w:lang w:eastAsia="zh-CN"/>
              </w:rPr>
            </w:pPr>
            <w:r w:rsidRPr="00CE0F04">
              <w:rPr>
                <w:lang w:eastAsia="zh-CN"/>
              </w:rPr>
              <w:t>1, 2</w:t>
            </w:r>
          </w:p>
        </w:tc>
        <w:tc>
          <w:tcPr>
            <w:tcW w:w="1588" w:type="dxa"/>
          </w:tcPr>
          <w:p w14:paraId="30669BB5" w14:textId="77777777" w:rsidR="003A71DE" w:rsidRPr="00CE0F04" w:rsidRDefault="003A71DE" w:rsidP="001A5D47">
            <w:pPr>
              <w:pStyle w:val="TAC"/>
            </w:pPr>
            <w:r w:rsidRPr="00CE0F04">
              <w:rPr>
                <w:lang w:eastAsia="zh-CN"/>
              </w:rPr>
              <w:t>10</w:t>
            </w:r>
          </w:p>
        </w:tc>
        <w:tc>
          <w:tcPr>
            <w:tcW w:w="3090" w:type="dxa"/>
          </w:tcPr>
          <w:p w14:paraId="6B702CA4" w14:textId="77777777" w:rsidR="003A71DE" w:rsidRPr="00CE0F04" w:rsidRDefault="003A71DE" w:rsidP="001A5D47">
            <w:pPr>
              <w:pStyle w:val="TAC"/>
            </w:pPr>
          </w:p>
        </w:tc>
      </w:tr>
      <w:tr w:rsidR="003A71DE" w:rsidRPr="00CE0F04" w14:paraId="5F1C5876" w14:textId="77777777" w:rsidTr="003A71DE">
        <w:trPr>
          <w:cantSplit/>
        </w:trPr>
        <w:tc>
          <w:tcPr>
            <w:tcW w:w="2802" w:type="dxa"/>
            <w:gridSpan w:val="2"/>
          </w:tcPr>
          <w:p w14:paraId="0B657B14" w14:textId="77777777" w:rsidR="003A71DE" w:rsidRPr="00CE0F04" w:rsidRDefault="003A71DE" w:rsidP="001A5D47">
            <w:pPr>
              <w:pStyle w:val="TAL"/>
            </w:pPr>
            <w:r w:rsidRPr="00CE0F04">
              <w:t>T</w:t>
            </w:r>
            <w:r w:rsidRPr="00CE0F04">
              <w:rPr>
                <w:lang w:eastAsia="zh-CN"/>
              </w:rPr>
              <w:t>2</w:t>
            </w:r>
          </w:p>
        </w:tc>
        <w:tc>
          <w:tcPr>
            <w:tcW w:w="708" w:type="dxa"/>
          </w:tcPr>
          <w:p w14:paraId="4F2F6ACF" w14:textId="77777777" w:rsidR="003A71DE" w:rsidRPr="00CE0F04" w:rsidRDefault="003A71DE" w:rsidP="001A5D47">
            <w:pPr>
              <w:pStyle w:val="TAC"/>
            </w:pPr>
            <w:r w:rsidRPr="00CE0F04">
              <w:t>s</w:t>
            </w:r>
          </w:p>
        </w:tc>
        <w:tc>
          <w:tcPr>
            <w:tcW w:w="1418" w:type="dxa"/>
          </w:tcPr>
          <w:p w14:paraId="6921580B" w14:textId="77777777" w:rsidR="003A71DE" w:rsidRPr="00CE0F04" w:rsidRDefault="003A71DE" w:rsidP="001A5D47">
            <w:pPr>
              <w:pStyle w:val="TAC"/>
              <w:rPr>
                <w:lang w:eastAsia="zh-CN"/>
              </w:rPr>
            </w:pPr>
            <w:r w:rsidRPr="00CE0F04">
              <w:rPr>
                <w:lang w:eastAsia="zh-CN"/>
              </w:rPr>
              <w:t>1, 2</w:t>
            </w:r>
          </w:p>
        </w:tc>
        <w:tc>
          <w:tcPr>
            <w:tcW w:w="1588" w:type="dxa"/>
          </w:tcPr>
          <w:p w14:paraId="3F3B9DD3" w14:textId="77777777" w:rsidR="003A71DE" w:rsidRPr="00CE0F04" w:rsidRDefault="003A71DE" w:rsidP="001A5D47">
            <w:pPr>
              <w:pStyle w:val="TAC"/>
            </w:pPr>
            <w:r w:rsidRPr="00CE0F04">
              <w:rPr>
                <w:lang w:eastAsia="zh-CN"/>
              </w:rPr>
              <w:t>7</w:t>
            </w:r>
          </w:p>
        </w:tc>
        <w:tc>
          <w:tcPr>
            <w:tcW w:w="3090" w:type="dxa"/>
          </w:tcPr>
          <w:p w14:paraId="6D227CD8" w14:textId="77777777" w:rsidR="003A71DE" w:rsidRPr="00CE0F04" w:rsidRDefault="003A71DE" w:rsidP="001A5D47">
            <w:pPr>
              <w:pStyle w:val="TAC"/>
              <w:rPr>
                <w:lang w:eastAsia="zh-CN"/>
              </w:rPr>
            </w:pPr>
            <w:r w:rsidRPr="00CE0F04">
              <w:rPr>
                <w:lang w:eastAsia="zh-CN"/>
              </w:rPr>
              <w:t>Time for the IAB-MT to detect RLF</w:t>
            </w:r>
          </w:p>
        </w:tc>
      </w:tr>
      <w:tr w:rsidR="003A71DE" w:rsidRPr="00CE0F04" w14:paraId="32EECD83" w14:textId="77777777" w:rsidTr="003A71DE">
        <w:trPr>
          <w:cantSplit/>
        </w:trPr>
        <w:tc>
          <w:tcPr>
            <w:tcW w:w="2802" w:type="dxa"/>
            <w:gridSpan w:val="2"/>
          </w:tcPr>
          <w:p w14:paraId="5D7A9995" w14:textId="77777777" w:rsidR="003A71DE" w:rsidRPr="00CE0F04" w:rsidRDefault="003A71DE" w:rsidP="001A5D47">
            <w:pPr>
              <w:pStyle w:val="TAL"/>
            </w:pPr>
            <w:r w:rsidRPr="00CE0F04">
              <w:t>T</w:t>
            </w:r>
            <w:r w:rsidRPr="00CE0F04">
              <w:rPr>
                <w:lang w:eastAsia="zh-CN"/>
              </w:rPr>
              <w:t>3</w:t>
            </w:r>
          </w:p>
        </w:tc>
        <w:tc>
          <w:tcPr>
            <w:tcW w:w="708" w:type="dxa"/>
          </w:tcPr>
          <w:p w14:paraId="4362C67D" w14:textId="77777777" w:rsidR="003A71DE" w:rsidRPr="00CE0F04" w:rsidRDefault="003A71DE" w:rsidP="001A5D47">
            <w:pPr>
              <w:pStyle w:val="TAC"/>
            </w:pPr>
            <w:r w:rsidRPr="00CE0F04">
              <w:t>s</w:t>
            </w:r>
          </w:p>
        </w:tc>
        <w:tc>
          <w:tcPr>
            <w:tcW w:w="1418" w:type="dxa"/>
          </w:tcPr>
          <w:p w14:paraId="3F658FB0" w14:textId="77777777" w:rsidR="003A71DE" w:rsidRPr="00CE0F04" w:rsidRDefault="003A71DE" w:rsidP="001A5D47">
            <w:pPr>
              <w:pStyle w:val="TAC"/>
            </w:pPr>
            <w:r w:rsidRPr="00CE0F04">
              <w:rPr>
                <w:lang w:eastAsia="zh-CN"/>
              </w:rPr>
              <w:t>1, 2</w:t>
            </w:r>
          </w:p>
        </w:tc>
        <w:tc>
          <w:tcPr>
            <w:tcW w:w="1588" w:type="dxa"/>
          </w:tcPr>
          <w:p w14:paraId="36462A74" w14:textId="77777777" w:rsidR="003A71DE" w:rsidRPr="00CE0F04" w:rsidRDefault="003A71DE" w:rsidP="001A5D47">
            <w:pPr>
              <w:pStyle w:val="TAC"/>
            </w:pPr>
            <w:r w:rsidRPr="00CE0F04">
              <w:t>10</w:t>
            </w:r>
          </w:p>
        </w:tc>
        <w:tc>
          <w:tcPr>
            <w:tcW w:w="3090" w:type="dxa"/>
          </w:tcPr>
          <w:p w14:paraId="3CD783F9" w14:textId="77777777" w:rsidR="003A71DE" w:rsidRPr="00CE0F04" w:rsidRDefault="003A71DE" w:rsidP="001A5D47">
            <w:pPr>
              <w:pStyle w:val="TAC"/>
            </w:pPr>
          </w:p>
        </w:tc>
      </w:tr>
    </w:tbl>
    <w:p w14:paraId="0E4EDD34" w14:textId="77777777" w:rsidR="003A71DE" w:rsidRPr="00CE0F04" w:rsidRDefault="003A71DE" w:rsidP="003A71DE"/>
    <w:p w14:paraId="0288D9BA" w14:textId="77777777" w:rsidR="003A71DE" w:rsidRPr="00CE0F04" w:rsidRDefault="003A71DE" w:rsidP="00BA0D24">
      <w:pPr>
        <w:pStyle w:val="TH"/>
      </w:pPr>
      <w:r w:rsidRPr="00CE0F04">
        <w:lastRenderedPageBreak/>
        <w:t>Table G.2.1.1.1.2.1-3: Cell specific test parameters for NR intra-frequency RRC Re-establishment test case in FR1</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1"/>
        <w:gridCol w:w="1588"/>
        <w:gridCol w:w="1624"/>
        <w:gridCol w:w="992"/>
        <w:gridCol w:w="851"/>
        <w:gridCol w:w="899"/>
        <w:gridCol w:w="802"/>
        <w:gridCol w:w="850"/>
        <w:gridCol w:w="767"/>
      </w:tblGrid>
      <w:tr w:rsidR="003A71DE" w:rsidRPr="00CE0F04" w14:paraId="4860F485" w14:textId="77777777" w:rsidTr="003A71DE">
        <w:trPr>
          <w:cantSplit/>
          <w:jc w:val="center"/>
        </w:trPr>
        <w:tc>
          <w:tcPr>
            <w:tcW w:w="1951" w:type="dxa"/>
            <w:tcBorders>
              <w:top w:val="single" w:sz="4" w:space="0" w:color="auto"/>
              <w:left w:val="single" w:sz="4" w:space="0" w:color="auto"/>
              <w:bottom w:val="nil"/>
            </w:tcBorders>
            <w:shd w:val="clear" w:color="auto" w:fill="auto"/>
          </w:tcPr>
          <w:p w14:paraId="57157322" w14:textId="77777777" w:rsidR="003A71DE" w:rsidRPr="00CE0F04" w:rsidRDefault="003A71DE" w:rsidP="001A5D47">
            <w:pPr>
              <w:pStyle w:val="TAH"/>
            </w:pPr>
            <w:r w:rsidRPr="00CE0F04">
              <w:t>Parameter</w:t>
            </w:r>
          </w:p>
        </w:tc>
        <w:tc>
          <w:tcPr>
            <w:tcW w:w="1588" w:type="dxa"/>
            <w:tcBorders>
              <w:top w:val="single" w:sz="4" w:space="0" w:color="auto"/>
              <w:bottom w:val="nil"/>
            </w:tcBorders>
            <w:shd w:val="clear" w:color="auto" w:fill="auto"/>
          </w:tcPr>
          <w:p w14:paraId="6CEED2E4" w14:textId="77777777" w:rsidR="003A71DE" w:rsidRPr="00CE0F04" w:rsidRDefault="003A71DE" w:rsidP="001A5D47">
            <w:pPr>
              <w:pStyle w:val="TAH"/>
            </w:pPr>
            <w:r w:rsidRPr="00CE0F04">
              <w:t>Unit</w:t>
            </w:r>
          </w:p>
        </w:tc>
        <w:tc>
          <w:tcPr>
            <w:tcW w:w="1624" w:type="dxa"/>
            <w:tcBorders>
              <w:top w:val="single" w:sz="4" w:space="0" w:color="auto"/>
              <w:bottom w:val="nil"/>
            </w:tcBorders>
            <w:shd w:val="clear" w:color="auto" w:fill="auto"/>
          </w:tcPr>
          <w:p w14:paraId="211D691E" w14:textId="77777777" w:rsidR="003A71DE" w:rsidRPr="00CE0F04" w:rsidRDefault="003A71DE" w:rsidP="001A5D47">
            <w:pPr>
              <w:pStyle w:val="TAH"/>
              <w:rPr>
                <w:lang w:eastAsia="zh-CN"/>
              </w:rPr>
            </w:pPr>
            <w:r w:rsidRPr="00CE0F04">
              <w:rPr>
                <w:lang w:eastAsia="zh-CN"/>
              </w:rPr>
              <w:t>Test configuration</w:t>
            </w:r>
          </w:p>
        </w:tc>
        <w:tc>
          <w:tcPr>
            <w:tcW w:w="2742" w:type="dxa"/>
            <w:gridSpan w:val="3"/>
            <w:tcBorders>
              <w:top w:val="single" w:sz="4" w:space="0" w:color="auto"/>
            </w:tcBorders>
          </w:tcPr>
          <w:p w14:paraId="00567A25" w14:textId="77777777" w:rsidR="003A71DE" w:rsidRPr="00CE0F04" w:rsidRDefault="003A71DE" w:rsidP="001A5D47">
            <w:pPr>
              <w:pStyle w:val="TAH"/>
            </w:pPr>
            <w:r w:rsidRPr="00CE0F04">
              <w:t>Cell 1</w:t>
            </w:r>
          </w:p>
        </w:tc>
        <w:tc>
          <w:tcPr>
            <w:tcW w:w="2419" w:type="dxa"/>
            <w:gridSpan w:val="3"/>
            <w:tcBorders>
              <w:top w:val="single" w:sz="4" w:space="0" w:color="auto"/>
              <w:right w:val="single" w:sz="4" w:space="0" w:color="auto"/>
            </w:tcBorders>
          </w:tcPr>
          <w:p w14:paraId="1098938B" w14:textId="77777777" w:rsidR="003A71DE" w:rsidRPr="00CE0F04" w:rsidRDefault="003A71DE" w:rsidP="001A5D47">
            <w:pPr>
              <w:pStyle w:val="TAH"/>
            </w:pPr>
            <w:r w:rsidRPr="00CE0F04">
              <w:t>Cell 2</w:t>
            </w:r>
          </w:p>
        </w:tc>
      </w:tr>
      <w:tr w:rsidR="003A71DE" w:rsidRPr="00CE0F04" w14:paraId="08E5061C" w14:textId="77777777" w:rsidTr="003A71DE">
        <w:trPr>
          <w:cantSplit/>
          <w:jc w:val="center"/>
        </w:trPr>
        <w:tc>
          <w:tcPr>
            <w:tcW w:w="1951" w:type="dxa"/>
            <w:tcBorders>
              <w:top w:val="nil"/>
              <w:left w:val="single" w:sz="4" w:space="0" w:color="auto"/>
              <w:bottom w:val="single" w:sz="4" w:space="0" w:color="auto"/>
            </w:tcBorders>
            <w:shd w:val="clear" w:color="auto" w:fill="auto"/>
          </w:tcPr>
          <w:p w14:paraId="4A915CED" w14:textId="77777777" w:rsidR="003A71DE" w:rsidRPr="00CE0F04" w:rsidRDefault="003A71DE" w:rsidP="001A5D47">
            <w:pPr>
              <w:pStyle w:val="TAH"/>
            </w:pPr>
          </w:p>
        </w:tc>
        <w:tc>
          <w:tcPr>
            <w:tcW w:w="1588" w:type="dxa"/>
            <w:tcBorders>
              <w:top w:val="nil"/>
              <w:bottom w:val="single" w:sz="4" w:space="0" w:color="auto"/>
            </w:tcBorders>
            <w:shd w:val="clear" w:color="auto" w:fill="auto"/>
          </w:tcPr>
          <w:p w14:paraId="45A6CE82" w14:textId="77777777" w:rsidR="003A71DE" w:rsidRPr="00CE0F04" w:rsidRDefault="003A71DE" w:rsidP="001A5D47">
            <w:pPr>
              <w:pStyle w:val="TAH"/>
            </w:pPr>
          </w:p>
        </w:tc>
        <w:tc>
          <w:tcPr>
            <w:tcW w:w="1624" w:type="dxa"/>
            <w:tcBorders>
              <w:top w:val="nil"/>
              <w:bottom w:val="single" w:sz="4" w:space="0" w:color="auto"/>
            </w:tcBorders>
            <w:shd w:val="clear" w:color="auto" w:fill="auto"/>
          </w:tcPr>
          <w:p w14:paraId="2B4D25F9" w14:textId="77777777" w:rsidR="003A71DE" w:rsidRPr="00CE0F04" w:rsidRDefault="003A71DE" w:rsidP="001A5D47">
            <w:pPr>
              <w:pStyle w:val="TAH"/>
            </w:pPr>
          </w:p>
        </w:tc>
        <w:tc>
          <w:tcPr>
            <w:tcW w:w="992" w:type="dxa"/>
            <w:tcBorders>
              <w:bottom w:val="single" w:sz="4" w:space="0" w:color="auto"/>
            </w:tcBorders>
          </w:tcPr>
          <w:p w14:paraId="49B685A4" w14:textId="77777777" w:rsidR="003A71DE" w:rsidRPr="00CE0F04" w:rsidRDefault="003A71DE" w:rsidP="001A5D47">
            <w:pPr>
              <w:pStyle w:val="TAH"/>
            </w:pPr>
            <w:r w:rsidRPr="00CE0F04">
              <w:t>T1</w:t>
            </w:r>
          </w:p>
        </w:tc>
        <w:tc>
          <w:tcPr>
            <w:tcW w:w="851" w:type="dxa"/>
            <w:tcBorders>
              <w:bottom w:val="single" w:sz="4" w:space="0" w:color="auto"/>
            </w:tcBorders>
          </w:tcPr>
          <w:p w14:paraId="7A31C9A7" w14:textId="77777777" w:rsidR="003A71DE" w:rsidRPr="00CE0F04" w:rsidRDefault="003A71DE" w:rsidP="001A5D47">
            <w:pPr>
              <w:pStyle w:val="TAH"/>
            </w:pPr>
            <w:r w:rsidRPr="00CE0F04">
              <w:t>T2</w:t>
            </w:r>
          </w:p>
        </w:tc>
        <w:tc>
          <w:tcPr>
            <w:tcW w:w="899" w:type="dxa"/>
            <w:tcBorders>
              <w:bottom w:val="single" w:sz="4" w:space="0" w:color="auto"/>
            </w:tcBorders>
          </w:tcPr>
          <w:p w14:paraId="63120D24" w14:textId="77777777" w:rsidR="003A71DE" w:rsidRPr="00CE0F04" w:rsidRDefault="003A71DE" w:rsidP="001A5D47">
            <w:pPr>
              <w:pStyle w:val="TAH"/>
            </w:pPr>
            <w:r w:rsidRPr="00CE0F04">
              <w:t>T3</w:t>
            </w:r>
          </w:p>
        </w:tc>
        <w:tc>
          <w:tcPr>
            <w:tcW w:w="802" w:type="dxa"/>
            <w:tcBorders>
              <w:bottom w:val="single" w:sz="4" w:space="0" w:color="auto"/>
            </w:tcBorders>
          </w:tcPr>
          <w:p w14:paraId="468F197C" w14:textId="77777777" w:rsidR="003A71DE" w:rsidRPr="00CE0F04" w:rsidRDefault="003A71DE" w:rsidP="001A5D47">
            <w:pPr>
              <w:pStyle w:val="TAH"/>
            </w:pPr>
            <w:r w:rsidRPr="00CE0F04">
              <w:t>T1</w:t>
            </w:r>
          </w:p>
        </w:tc>
        <w:tc>
          <w:tcPr>
            <w:tcW w:w="850" w:type="dxa"/>
            <w:tcBorders>
              <w:bottom w:val="single" w:sz="4" w:space="0" w:color="auto"/>
            </w:tcBorders>
          </w:tcPr>
          <w:p w14:paraId="7AD18A1A" w14:textId="77777777" w:rsidR="003A71DE" w:rsidRPr="00CE0F04" w:rsidRDefault="003A71DE" w:rsidP="001A5D47">
            <w:pPr>
              <w:pStyle w:val="TAH"/>
            </w:pPr>
            <w:r w:rsidRPr="00CE0F04">
              <w:t>T2</w:t>
            </w:r>
          </w:p>
        </w:tc>
        <w:tc>
          <w:tcPr>
            <w:tcW w:w="767" w:type="dxa"/>
            <w:tcBorders>
              <w:bottom w:val="single" w:sz="4" w:space="0" w:color="auto"/>
            </w:tcBorders>
          </w:tcPr>
          <w:p w14:paraId="53AC0267" w14:textId="77777777" w:rsidR="003A71DE" w:rsidRPr="00CE0F04" w:rsidRDefault="003A71DE" w:rsidP="001A5D47">
            <w:pPr>
              <w:pStyle w:val="TAH"/>
            </w:pPr>
            <w:r w:rsidRPr="00CE0F04">
              <w:t>T3</w:t>
            </w:r>
          </w:p>
        </w:tc>
      </w:tr>
      <w:tr w:rsidR="003A71DE" w:rsidRPr="00CE0F04" w14:paraId="07C15358" w14:textId="77777777" w:rsidTr="003A71DE">
        <w:trPr>
          <w:cantSplit/>
          <w:jc w:val="center"/>
        </w:trPr>
        <w:tc>
          <w:tcPr>
            <w:tcW w:w="1951" w:type="dxa"/>
            <w:tcBorders>
              <w:left w:val="single" w:sz="4" w:space="0" w:color="auto"/>
              <w:bottom w:val="nil"/>
            </w:tcBorders>
            <w:shd w:val="clear" w:color="auto" w:fill="auto"/>
          </w:tcPr>
          <w:p w14:paraId="552807BC" w14:textId="77777777" w:rsidR="003A71DE" w:rsidRPr="00CE0F04" w:rsidRDefault="003A71DE" w:rsidP="001A5D47">
            <w:pPr>
              <w:pStyle w:val="TAL"/>
              <w:rPr>
                <w:lang w:eastAsia="zh-CN"/>
              </w:rPr>
            </w:pPr>
            <w:r w:rsidRPr="00CE0F04">
              <w:rPr>
                <w:lang w:eastAsia="zh-CN"/>
              </w:rPr>
              <w:t>TDD configuration</w:t>
            </w:r>
          </w:p>
        </w:tc>
        <w:tc>
          <w:tcPr>
            <w:tcW w:w="1588" w:type="dxa"/>
            <w:tcBorders>
              <w:bottom w:val="nil"/>
            </w:tcBorders>
            <w:shd w:val="clear" w:color="auto" w:fill="auto"/>
          </w:tcPr>
          <w:p w14:paraId="7BBD8D89" w14:textId="77777777" w:rsidR="003A71DE" w:rsidRPr="00CE0F04" w:rsidRDefault="003A71DE" w:rsidP="001A5D47">
            <w:pPr>
              <w:pStyle w:val="TAC"/>
            </w:pPr>
          </w:p>
        </w:tc>
        <w:tc>
          <w:tcPr>
            <w:tcW w:w="1624" w:type="dxa"/>
            <w:tcBorders>
              <w:bottom w:val="single" w:sz="4" w:space="0" w:color="auto"/>
            </w:tcBorders>
          </w:tcPr>
          <w:p w14:paraId="31EBC398" w14:textId="77777777" w:rsidR="003A71DE" w:rsidRPr="00CE0F04" w:rsidRDefault="003A71DE" w:rsidP="001A5D47">
            <w:pPr>
              <w:pStyle w:val="TAC"/>
              <w:rPr>
                <w:lang w:eastAsia="zh-CN"/>
              </w:rPr>
            </w:pPr>
            <w:r w:rsidRPr="00CE0F04">
              <w:rPr>
                <w:lang w:eastAsia="zh-CN"/>
              </w:rPr>
              <w:t>1</w:t>
            </w:r>
          </w:p>
        </w:tc>
        <w:tc>
          <w:tcPr>
            <w:tcW w:w="2742" w:type="dxa"/>
            <w:gridSpan w:val="3"/>
            <w:tcBorders>
              <w:bottom w:val="single" w:sz="4" w:space="0" w:color="auto"/>
            </w:tcBorders>
          </w:tcPr>
          <w:p w14:paraId="3CBB7DC1" w14:textId="77777777" w:rsidR="003A71DE" w:rsidRPr="00CE0F04" w:rsidRDefault="003A71DE" w:rsidP="001A5D47">
            <w:pPr>
              <w:pStyle w:val="TAC"/>
              <w:rPr>
                <w:lang w:eastAsia="zh-CN"/>
              </w:rPr>
            </w:pPr>
            <w:r w:rsidRPr="00CE0F04">
              <w:rPr>
                <w:lang w:eastAsia="ja-JP"/>
              </w:rPr>
              <w:t>TDDConf.1.1</w:t>
            </w:r>
          </w:p>
        </w:tc>
        <w:tc>
          <w:tcPr>
            <w:tcW w:w="2419" w:type="dxa"/>
            <w:gridSpan w:val="3"/>
            <w:tcBorders>
              <w:bottom w:val="single" w:sz="4" w:space="0" w:color="auto"/>
            </w:tcBorders>
          </w:tcPr>
          <w:p w14:paraId="7FD41F4A" w14:textId="77777777" w:rsidR="003A71DE" w:rsidRPr="00CE0F04" w:rsidRDefault="003A71DE" w:rsidP="001A5D47">
            <w:pPr>
              <w:pStyle w:val="TAC"/>
              <w:rPr>
                <w:lang w:eastAsia="zh-CN"/>
              </w:rPr>
            </w:pPr>
            <w:r w:rsidRPr="00CE0F04">
              <w:rPr>
                <w:lang w:eastAsia="ja-JP"/>
              </w:rPr>
              <w:t>TDDConf.1.1</w:t>
            </w:r>
          </w:p>
        </w:tc>
      </w:tr>
      <w:tr w:rsidR="003A71DE" w:rsidRPr="00CE0F04" w14:paraId="5F6F6966" w14:textId="77777777" w:rsidTr="003A71DE">
        <w:trPr>
          <w:cantSplit/>
          <w:jc w:val="center"/>
        </w:trPr>
        <w:tc>
          <w:tcPr>
            <w:tcW w:w="1951" w:type="dxa"/>
            <w:tcBorders>
              <w:top w:val="nil"/>
              <w:left w:val="single" w:sz="4" w:space="0" w:color="auto"/>
              <w:bottom w:val="nil"/>
            </w:tcBorders>
            <w:shd w:val="clear" w:color="auto" w:fill="auto"/>
          </w:tcPr>
          <w:p w14:paraId="1EA71B61" w14:textId="77777777" w:rsidR="003A71DE" w:rsidRPr="00CE0F04" w:rsidRDefault="003A71DE" w:rsidP="001A5D47">
            <w:pPr>
              <w:pStyle w:val="TAL"/>
              <w:rPr>
                <w:lang w:eastAsia="zh-CN"/>
              </w:rPr>
            </w:pPr>
          </w:p>
        </w:tc>
        <w:tc>
          <w:tcPr>
            <w:tcW w:w="1588" w:type="dxa"/>
            <w:tcBorders>
              <w:top w:val="nil"/>
              <w:bottom w:val="nil"/>
            </w:tcBorders>
            <w:shd w:val="clear" w:color="auto" w:fill="auto"/>
          </w:tcPr>
          <w:p w14:paraId="0BD22BDD" w14:textId="77777777" w:rsidR="003A71DE" w:rsidRPr="00CE0F04" w:rsidRDefault="003A71DE" w:rsidP="001A5D47">
            <w:pPr>
              <w:pStyle w:val="TAC"/>
            </w:pPr>
          </w:p>
        </w:tc>
        <w:tc>
          <w:tcPr>
            <w:tcW w:w="1624" w:type="dxa"/>
            <w:tcBorders>
              <w:bottom w:val="single" w:sz="4" w:space="0" w:color="auto"/>
            </w:tcBorders>
          </w:tcPr>
          <w:p w14:paraId="18E965AD" w14:textId="77777777" w:rsidR="003A71DE" w:rsidRPr="00CE0F04" w:rsidRDefault="003A71DE" w:rsidP="001A5D47">
            <w:pPr>
              <w:pStyle w:val="TAC"/>
              <w:rPr>
                <w:lang w:eastAsia="zh-CN"/>
              </w:rPr>
            </w:pPr>
            <w:r w:rsidRPr="00CE0F04">
              <w:rPr>
                <w:lang w:eastAsia="zh-CN"/>
              </w:rPr>
              <w:t>2</w:t>
            </w:r>
          </w:p>
        </w:tc>
        <w:tc>
          <w:tcPr>
            <w:tcW w:w="2742" w:type="dxa"/>
            <w:gridSpan w:val="3"/>
            <w:tcBorders>
              <w:bottom w:val="single" w:sz="4" w:space="0" w:color="auto"/>
            </w:tcBorders>
          </w:tcPr>
          <w:p w14:paraId="4CEE4DA7" w14:textId="77777777" w:rsidR="003A71DE" w:rsidRPr="00CE0F04" w:rsidRDefault="003A71DE" w:rsidP="001A5D47">
            <w:pPr>
              <w:pStyle w:val="TAC"/>
              <w:rPr>
                <w:lang w:eastAsia="zh-CN"/>
              </w:rPr>
            </w:pPr>
            <w:r w:rsidRPr="00CE0F04">
              <w:rPr>
                <w:lang w:eastAsia="ja-JP"/>
              </w:rPr>
              <w:t>TDDConf.2.1</w:t>
            </w:r>
          </w:p>
        </w:tc>
        <w:tc>
          <w:tcPr>
            <w:tcW w:w="2419" w:type="dxa"/>
            <w:gridSpan w:val="3"/>
            <w:tcBorders>
              <w:bottom w:val="single" w:sz="4" w:space="0" w:color="auto"/>
            </w:tcBorders>
          </w:tcPr>
          <w:p w14:paraId="6D25D529" w14:textId="77777777" w:rsidR="003A71DE" w:rsidRPr="00CE0F04" w:rsidRDefault="003A71DE" w:rsidP="001A5D47">
            <w:pPr>
              <w:pStyle w:val="TAC"/>
              <w:rPr>
                <w:lang w:eastAsia="zh-CN"/>
              </w:rPr>
            </w:pPr>
            <w:r w:rsidRPr="00CE0F04">
              <w:rPr>
                <w:lang w:eastAsia="ja-JP"/>
              </w:rPr>
              <w:t>TDDConf.2.1</w:t>
            </w:r>
          </w:p>
        </w:tc>
      </w:tr>
      <w:tr w:rsidR="003A71DE" w:rsidRPr="00CE0F04" w14:paraId="0D9CF589" w14:textId="77777777" w:rsidTr="003A71DE">
        <w:trPr>
          <w:cantSplit/>
          <w:jc w:val="center"/>
        </w:trPr>
        <w:tc>
          <w:tcPr>
            <w:tcW w:w="1951" w:type="dxa"/>
            <w:tcBorders>
              <w:left w:val="single" w:sz="4" w:space="0" w:color="auto"/>
              <w:bottom w:val="nil"/>
            </w:tcBorders>
            <w:shd w:val="clear" w:color="auto" w:fill="auto"/>
          </w:tcPr>
          <w:p w14:paraId="502B5049" w14:textId="77777777" w:rsidR="003A71DE" w:rsidRPr="00CE0F04" w:rsidRDefault="003A71DE" w:rsidP="001A5D47">
            <w:pPr>
              <w:pStyle w:val="TAL"/>
              <w:rPr>
                <w:lang w:eastAsia="zh-CN"/>
              </w:rPr>
            </w:pPr>
            <w:r w:rsidRPr="00CE0F04">
              <w:rPr>
                <w:lang w:eastAsia="zh-CN"/>
              </w:rPr>
              <w:t>PDSCH RMC configuration</w:t>
            </w:r>
          </w:p>
        </w:tc>
        <w:tc>
          <w:tcPr>
            <w:tcW w:w="1588" w:type="dxa"/>
            <w:tcBorders>
              <w:bottom w:val="nil"/>
            </w:tcBorders>
            <w:shd w:val="clear" w:color="auto" w:fill="auto"/>
          </w:tcPr>
          <w:p w14:paraId="28B3DF61" w14:textId="77777777" w:rsidR="003A71DE" w:rsidRPr="00CE0F04" w:rsidRDefault="003A71DE" w:rsidP="001A5D47">
            <w:pPr>
              <w:pStyle w:val="TAC"/>
            </w:pPr>
          </w:p>
        </w:tc>
        <w:tc>
          <w:tcPr>
            <w:tcW w:w="1624" w:type="dxa"/>
            <w:tcBorders>
              <w:bottom w:val="single" w:sz="4" w:space="0" w:color="auto"/>
            </w:tcBorders>
          </w:tcPr>
          <w:p w14:paraId="178D646F" w14:textId="77777777" w:rsidR="003A71DE" w:rsidRPr="00CE0F04" w:rsidRDefault="003A71DE" w:rsidP="001A5D47">
            <w:pPr>
              <w:pStyle w:val="TAC"/>
              <w:rPr>
                <w:lang w:eastAsia="zh-CN"/>
              </w:rPr>
            </w:pPr>
            <w:r w:rsidRPr="00CE0F04">
              <w:rPr>
                <w:lang w:eastAsia="zh-CN"/>
              </w:rPr>
              <w:t>1</w:t>
            </w:r>
          </w:p>
        </w:tc>
        <w:tc>
          <w:tcPr>
            <w:tcW w:w="2742" w:type="dxa"/>
            <w:gridSpan w:val="3"/>
            <w:tcBorders>
              <w:bottom w:val="single" w:sz="4" w:space="0" w:color="auto"/>
            </w:tcBorders>
          </w:tcPr>
          <w:p w14:paraId="2652A1C9" w14:textId="77777777" w:rsidR="003A71DE" w:rsidRPr="00CE0F04" w:rsidRDefault="003A71DE" w:rsidP="001A5D47">
            <w:pPr>
              <w:pStyle w:val="TAC"/>
              <w:rPr>
                <w:lang w:eastAsia="zh-CN"/>
              </w:rPr>
            </w:pPr>
            <w:r w:rsidRPr="00CE0F04">
              <w:rPr>
                <w:lang w:eastAsia="zh-CN"/>
              </w:rPr>
              <w:t>SR.1.1 TDD</w:t>
            </w:r>
          </w:p>
        </w:tc>
        <w:tc>
          <w:tcPr>
            <w:tcW w:w="2419" w:type="dxa"/>
            <w:gridSpan w:val="3"/>
            <w:tcBorders>
              <w:bottom w:val="nil"/>
            </w:tcBorders>
            <w:shd w:val="clear" w:color="auto" w:fill="auto"/>
          </w:tcPr>
          <w:p w14:paraId="4B155CFB" w14:textId="77777777" w:rsidR="003A71DE" w:rsidRPr="00CE0F04" w:rsidRDefault="003A71DE" w:rsidP="001A5D47">
            <w:pPr>
              <w:pStyle w:val="TAC"/>
              <w:rPr>
                <w:lang w:eastAsia="zh-CN"/>
              </w:rPr>
            </w:pPr>
            <w:r w:rsidRPr="00CE0F04">
              <w:rPr>
                <w:lang w:eastAsia="zh-CN"/>
              </w:rPr>
              <w:t>N/A</w:t>
            </w:r>
          </w:p>
        </w:tc>
      </w:tr>
      <w:tr w:rsidR="003A71DE" w:rsidRPr="00CE0F04" w14:paraId="73BD79FB" w14:textId="77777777" w:rsidTr="003A71DE">
        <w:trPr>
          <w:cantSplit/>
          <w:jc w:val="center"/>
        </w:trPr>
        <w:tc>
          <w:tcPr>
            <w:tcW w:w="1951" w:type="dxa"/>
            <w:tcBorders>
              <w:top w:val="nil"/>
              <w:left w:val="single" w:sz="4" w:space="0" w:color="auto"/>
              <w:bottom w:val="nil"/>
            </w:tcBorders>
            <w:shd w:val="clear" w:color="auto" w:fill="auto"/>
          </w:tcPr>
          <w:p w14:paraId="59842EE8" w14:textId="77777777" w:rsidR="003A71DE" w:rsidRPr="00CE0F04" w:rsidRDefault="003A71DE" w:rsidP="001A5D47">
            <w:pPr>
              <w:pStyle w:val="TAL"/>
              <w:rPr>
                <w:lang w:eastAsia="zh-CN"/>
              </w:rPr>
            </w:pPr>
          </w:p>
        </w:tc>
        <w:tc>
          <w:tcPr>
            <w:tcW w:w="1588" w:type="dxa"/>
            <w:tcBorders>
              <w:top w:val="nil"/>
              <w:bottom w:val="nil"/>
            </w:tcBorders>
            <w:shd w:val="clear" w:color="auto" w:fill="auto"/>
          </w:tcPr>
          <w:p w14:paraId="3F086594" w14:textId="77777777" w:rsidR="003A71DE" w:rsidRPr="00CE0F04" w:rsidRDefault="003A71DE" w:rsidP="001A5D47">
            <w:pPr>
              <w:pStyle w:val="TAC"/>
            </w:pPr>
          </w:p>
        </w:tc>
        <w:tc>
          <w:tcPr>
            <w:tcW w:w="1624" w:type="dxa"/>
            <w:tcBorders>
              <w:bottom w:val="single" w:sz="4" w:space="0" w:color="auto"/>
            </w:tcBorders>
          </w:tcPr>
          <w:p w14:paraId="402DBCCD" w14:textId="77777777" w:rsidR="003A71DE" w:rsidRPr="00CE0F04" w:rsidRDefault="003A71DE" w:rsidP="001A5D47">
            <w:pPr>
              <w:pStyle w:val="TAC"/>
              <w:rPr>
                <w:lang w:eastAsia="zh-CN"/>
              </w:rPr>
            </w:pPr>
            <w:r w:rsidRPr="00CE0F04">
              <w:rPr>
                <w:lang w:eastAsia="zh-CN"/>
              </w:rPr>
              <w:t>2</w:t>
            </w:r>
          </w:p>
        </w:tc>
        <w:tc>
          <w:tcPr>
            <w:tcW w:w="2742" w:type="dxa"/>
            <w:gridSpan w:val="3"/>
            <w:tcBorders>
              <w:bottom w:val="single" w:sz="4" w:space="0" w:color="auto"/>
            </w:tcBorders>
          </w:tcPr>
          <w:p w14:paraId="35B0DCBD" w14:textId="77777777" w:rsidR="003A71DE" w:rsidRPr="00CE0F04" w:rsidRDefault="003A71DE" w:rsidP="001A5D47">
            <w:pPr>
              <w:pStyle w:val="TAC"/>
              <w:rPr>
                <w:lang w:eastAsia="zh-CN"/>
              </w:rPr>
            </w:pPr>
            <w:r w:rsidRPr="00CE0F04">
              <w:rPr>
                <w:lang w:eastAsia="zh-CN"/>
              </w:rPr>
              <w:t>SR.2.1 TDD</w:t>
            </w:r>
          </w:p>
        </w:tc>
        <w:tc>
          <w:tcPr>
            <w:tcW w:w="2419" w:type="dxa"/>
            <w:gridSpan w:val="3"/>
            <w:tcBorders>
              <w:top w:val="nil"/>
              <w:bottom w:val="nil"/>
            </w:tcBorders>
            <w:shd w:val="clear" w:color="auto" w:fill="auto"/>
          </w:tcPr>
          <w:p w14:paraId="5D111773" w14:textId="77777777" w:rsidR="003A71DE" w:rsidRPr="00CE0F04" w:rsidRDefault="003A71DE" w:rsidP="001A5D47">
            <w:pPr>
              <w:pStyle w:val="TAC"/>
              <w:rPr>
                <w:lang w:eastAsia="zh-CN"/>
              </w:rPr>
            </w:pPr>
          </w:p>
        </w:tc>
      </w:tr>
      <w:tr w:rsidR="003A71DE" w:rsidRPr="00CE0F04" w14:paraId="6EAEF238" w14:textId="77777777" w:rsidTr="003A71DE">
        <w:trPr>
          <w:cantSplit/>
          <w:jc w:val="center"/>
        </w:trPr>
        <w:tc>
          <w:tcPr>
            <w:tcW w:w="1951" w:type="dxa"/>
            <w:tcBorders>
              <w:left w:val="single" w:sz="4" w:space="0" w:color="auto"/>
              <w:bottom w:val="nil"/>
            </w:tcBorders>
            <w:shd w:val="clear" w:color="auto" w:fill="auto"/>
          </w:tcPr>
          <w:p w14:paraId="46FD7EE8" w14:textId="77777777" w:rsidR="003A71DE" w:rsidRPr="00CE0F04" w:rsidRDefault="003A71DE" w:rsidP="001A5D47">
            <w:pPr>
              <w:pStyle w:val="TAL"/>
              <w:rPr>
                <w:lang w:eastAsia="zh-CN"/>
              </w:rPr>
            </w:pPr>
            <w:r w:rsidRPr="00CE0F04">
              <w:rPr>
                <w:lang w:eastAsia="zh-CN"/>
              </w:rPr>
              <w:t>RMSI CORESET RMC configuration</w:t>
            </w:r>
          </w:p>
        </w:tc>
        <w:tc>
          <w:tcPr>
            <w:tcW w:w="1588" w:type="dxa"/>
            <w:tcBorders>
              <w:bottom w:val="nil"/>
            </w:tcBorders>
            <w:shd w:val="clear" w:color="auto" w:fill="auto"/>
          </w:tcPr>
          <w:p w14:paraId="05FA5357" w14:textId="77777777" w:rsidR="003A71DE" w:rsidRPr="00CE0F04" w:rsidRDefault="003A71DE" w:rsidP="001A5D47">
            <w:pPr>
              <w:pStyle w:val="TAC"/>
            </w:pPr>
          </w:p>
        </w:tc>
        <w:tc>
          <w:tcPr>
            <w:tcW w:w="1624" w:type="dxa"/>
            <w:tcBorders>
              <w:bottom w:val="single" w:sz="4" w:space="0" w:color="auto"/>
            </w:tcBorders>
          </w:tcPr>
          <w:p w14:paraId="6F5BE7E6" w14:textId="77777777" w:rsidR="003A71DE" w:rsidRPr="00CE0F04" w:rsidRDefault="003A71DE" w:rsidP="001A5D47">
            <w:pPr>
              <w:pStyle w:val="TAC"/>
              <w:rPr>
                <w:lang w:eastAsia="zh-CN"/>
              </w:rPr>
            </w:pPr>
            <w:r w:rsidRPr="00CE0F04">
              <w:rPr>
                <w:lang w:eastAsia="zh-CN"/>
              </w:rPr>
              <w:t>1</w:t>
            </w:r>
          </w:p>
        </w:tc>
        <w:tc>
          <w:tcPr>
            <w:tcW w:w="2742" w:type="dxa"/>
            <w:gridSpan w:val="3"/>
            <w:tcBorders>
              <w:bottom w:val="single" w:sz="4" w:space="0" w:color="auto"/>
            </w:tcBorders>
          </w:tcPr>
          <w:p w14:paraId="33DC64B5" w14:textId="77777777" w:rsidR="003A71DE" w:rsidRPr="00CE0F04" w:rsidRDefault="003A71DE" w:rsidP="001A5D47">
            <w:pPr>
              <w:pStyle w:val="TAC"/>
              <w:rPr>
                <w:lang w:eastAsia="zh-CN"/>
              </w:rPr>
            </w:pPr>
            <w:r w:rsidRPr="00CE0F04">
              <w:rPr>
                <w:lang w:eastAsia="zh-CN"/>
              </w:rPr>
              <w:t>CR.1.1 TDD</w:t>
            </w:r>
          </w:p>
        </w:tc>
        <w:tc>
          <w:tcPr>
            <w:tcW w:w="2419" w:type="dxa"/>
            <w:gridSpan w:val="3"/>
            <w:tcBorders>
              <w:bottom w:val="single" w:sz="4" w:space="0" w:color="auto"/>
            </w:tcBorders>
          </w:tcPr>
          <w:p w14:paraId="29103ADD" w14:textId="77777777" w:rsidR="003A71DE" w:rsidRPr="00CE0F04" w:rsidRDefault="003A71DE" w:rsidP="001A5D47">
            <w:pPr>
              <w:pStyle w:val="TAC"/>
              <w:rPr>
                <w:lang w:eastAsia="zh-CN"/>
              </w:rPr>
            </w:pPr>
            <w:r w:rsidRPr="00CE0F04">
              <w:rPr>
                <w:lang w:eastAsia="zh-CN"/>
              </w:rPr>
              <w:t>CR.1.1 TDD</w:t>
            </w:r>
          </w:p>
        </w:tc>
      </w:tr>
      <w:tr w:rsidR="003A71DE" w:rsidRPr="00CE0F04" w14:paraId="1D8D4B57" w14:textId="77777777" w:rsidTr="003A71DE">
        <w:trPr>
          <w:cantSplit/>
          <w:jc w:val="center"/>
        </w:trPr>
        <w:tc>
          <w:tcPr>
            <w:tcW w:w="1951" w:type="dxa"/>
            <w:tcBorders>
              <w:top w:val="nil"/>
              <w:left w:val="single" w:sz="4" w:space="0" w:color="auto"/>
              <w:bottom w:val="nil"/>
            </w:tcBorders>
            <w:shd w:val="clear" w:color="auto" w:fill="auto"/>
          </w:tcPr>
          <w:p w14:paraId="488F488D" w14:textId="77777777" w:rsidR="003A71DE" w:rsidRPr="00CE0F04" w:rsidRDefault="003A71DE" w:rsidP="001A5D47">
            <w:pPr>
              <w:pStyle w:val="TAL"/>
              <w:rPr>
                <w:lang w:eastAsia="zh-CN"/>
              </w:rPr>
            </w:pPr>
          </w:p>
        </w:tc>
        <w:tc>
          <w:tcPr>
            <w:tcW w:w="1588" w:type="dxa"/>
            <w:tcBorders>
              <w:top w:val="nil"/>
              <w:bottom w:val="nil"/>
            </w:tcBorders>
            <w:shd w:val="clear" w:color="auto" w:fill="auto"/>
          </w:tcPr>
          <w:p w14:paraId="3BDF2CF4" w14:textId="77777777" w:rsidR="003A71DE" w:rsidRPr="00CE0F04" w:rsidRDefault="003A71DE" w:rsidP="001A5D47">
            <w:pPr>
              <w:pStyle w:val="TAC"/>
            </w:pPr>
          </w:p>
        </w:tc>
        <w:tc>
          <w:tcPr>
            <w:tcW w:w="1624" w:type="dxa"/>
            <w:tcBorders>
              <w:bottom w:val="single" w:sz="4" w:space="0" w:color="auto"/>
            </w:tcBorders>
          </w:tcPr>
          <w:p w14:paraId="7BCC5D69" w14:textId="77777777" w:rsidR="003A71DE" w:rsidRPr="00CE0F04" w:rsidRDefault="003A71DE" w:rsidP="001A5D47">
            <w:pPr>
              <w:pStyle w:val="TAC"/>
              <w:rPr>
                <w:lang w:eastAsia="zh-CN"/>
              </w:rPr>
            </w:pPr>
            <w:r w:rsidRPr="00CE0F04">
              <w:rPr>
                <w:lang w:eastAsia="zh-CN"/>
              </w:rPr>
              <w:t>2</w:t>
            </w:r>
          </w:p>
        </w:tc>
        <w:tc>
          <w:tcPr>
            <w:tcW w:w="2742" w:type="dxa"/>
            <w:gridSpan w:val="3"/>
            <w:tcBorders>
              <w:bottom w:val="single" w:sz="4" w:space="0" w:color="auto"/>
            </w:tcBorders>
          </w:tcPr>
          <w:p w14:paraId="6A287E00" w14:textId="77777777" w:rsidR="003A71DE" w:rsidRPr="00CE0F04" w:rsidRDefault="003A71DE" w:rsidP="001A5D47">
            <w:pPr>
              <w:pStyle w:val="TAC"/>
              <w:rPr>
                <w:lang w:eastAsia="zh-CN"/>
              </w:rPr>
            </w:pPr>
            <w:r w:rsidRPr="00CE0F04">
              <w:rPr>
                <w:lang w:eastAsia="zh-CN"/>
              </w:rPr>
              <w:t>CR.2.1 TDD</w:t>
            </w:r>
          </w:p>
        </w:tc>
        <w:tc>
          <w:tcPr>
            <w:tcW w:w="2419" w:type="dxa"/>
            <w:gridSpan w:val="3"/>
            <w:tcBorders>
              <w:bottom w:val="single" w:sz="4" w:space="0" w:color="auto"/>
            </w:tcBorders>
          </w:tcPr>
          <w:p w14:paraId="2E76C5C1" w14:textId="77777777" w:rsidR="003A71DE" w:rsidRPr="00CE0F04" w:rsidRDefault="003A71DE" w:rsidP="001A5D47">
            <w:pPr>
              <w:pStyle w:val="TAC"/>
              <w:rPr>
                <w:lang w:eastAsia="zh-CN"/>
              </w:rPr>
            </w:pPr>
            <w:r w:rsidRPr="00CE0F04">
              <w:rPr>
                <w:lang w:eastAsia="zh-CN"/>
              </w:rPr>
              <w:t>CR.2.1 TDD</w:t>
            </w:r>
          </w:p>
        </w:tc>
      </w:tr>
      <w:tr w:rsidR="003A71DE" w:rsidRPr="00CE0F04" w14:paraId="7C7A6E21" w14:textId="77777777" w:rsidTr="003A71DE">
        <w:trPr>
          <w:cantSplit/>
          <w:jc w:val="center"/>
        </w:trPr>
        <w:tc>
          <w:tcPr>
            <w:tcW w:w="1951" w:type="dxa"/>
            <w:tcBorders>
              <w:left w:val="single" w:sz="4" w:space="0" w:color="auto"/>
              <w:bottom w:val="nil"/>
            </w:tcBorders>
            <w:shd w:val="clear" w:color="auto" w:fill="auto"/>
          </w:tcPr>
          <w:p w14:paraId="5090145B" w14:textId="77777777" w:rsidR="003A71DE" w:rsidRPr="00CE0F04" w:rsidRDefault="003A71DE" w:rsidP="001A5D47">
            <w:pPr>
              <w:pStyle w:val="TAL"/>
              <w:rPr>
                <w:lang w:eastAsia="zh-CN"/>
              </w:rPr>
            </w:pPr>
            <w:r w:rsidRPr="00CE0F04">
              <w:rPr>
                <w:lang w:eastAsia="zh-CN"/>
              </w:rPr>
              <w:t>Dedicated CORESET RMC configuration</w:t>
            </w:r>
          </w:p>
        </w:tc>
        <w:tc>
          <w:tcPr>
            <w:tcW w:w="1588" w:type="dxa"/>
            <w:tcBorders>
              <w:bottom w:val="nil"/>
            </w:tcBorders>
            <w:shd w:val="clear" w:color="auto" w:fill="auto"/>
          </w:tcPr>
          <w:p w14:paraId="4269D966" w14:textId="77777777" w:rsidR="003A71DE" w:rsidRPr="00CE0F04" w:rsidRDefault="003A71DE" w:rsidP="001A5D47">
            <w:pPr>
              <w:pStyle w:val="TAC"/>
            </w:pPr>
          </w:p>
        </w:tc>
        <w:tc>
          <w:tcPr>
            <w:tcW w:w="1624" w:type="dxa"/>
            <w:tcBorders>
              <w:bottom w:val="single" w:sz="4" w:space="0" w:color="auto"/>
            </w:tcBorders>
          </w:tcPr>
          <w:p w14:paraId="71C5FEEF" w14:textId="77777777" w:rsidR="003A71DE" w:rsidRPr="00CE0F04" w:rsidRDefault="003A71DE" w:rsidP="001A5D47">
            <w:pPr>
              <w:pStyle w:val="TAC"/>
              <w:rPr>
                <w:lang w:eastAsia="zh-CN"/>
              </w:rPr>
            </w:pPr>
            <w:r w:rsidRPr="00CE0F04">
              <w:rPr>
                <w:lang w:eastAsia="zh-CN"/>
              </w:rPr>
              <w:t>1</w:t>
            </w:r>
          </w:p>
        </w:tc>
        <w:tc>
          <w:tcPr>
            <w:tcW w:w="2742" w:type="dxa"/>
            <w:gridSpan w:val="3"/>
            <w:tcBorders>
              <w:bottom w:val="single" w:sz="4" w:space="0" w:color="auto"/>
            </w:tcBorders>
          </w:tcPr>
          <w:p w14:paraId="53D211B5" w14:textId="77777777" w:rsidR="003A71DE" w:rsidRPr="00CE0F04" w:rsidRDefault="003A71DE" w:rsidP="001A5D47">
            <w:pPr>
              <w:pStyle w:val="TAC"/>
              <w:rPr>
                <w:lang w:eastAsia="zh-CN"/>
              </w:rPr>
            </w:pPr>
            <w:r w:rsidRPr="00CE0F04">
              <w:rPr>
                <w:lang w:eastAsia="zh-CN"/>
              </w:rPr>
              <w:t>CCR.1.1 TDD</w:t>
            </w:r>
          </w:p>
        </w:tc>
        <w:tc>
          <w:tcPr>
            <w:tcW w:w="2419" w:type="dxa"/>
            <w:gridSpan w:val="3"/>
            <w:tcBorders>
              <w:bottom w:val="single" w:sz="4" w:space="0" w:color="auto"/>
            </w:tcBorders>
          </w:tcPr>
          <w:p w14:paraId="3CFE2266" w14:textId="77777777" w:rsidR="003A71DE" w:rsidRPr="00CE0F04" w:rsidRDefault="003A71DE" w:rsidP="001A5D47">
            <w:pPr>
              <w:pStyle w:val="TAC"/>
              <w:rPr>
                <w:lang w:eastAsia="zh-CN"/>
              </w:rPr>
            </w:pPr>
            <w:r w:rsidRPr="00CE0F04">
              <w:rPr>
                <w:lang w:eastAsia="zh-CN"/>
              </w:rPr>
              <w:t>CCR.1.1 TDD</w:t>
            </w:r>
          </w:p>
        </w:tc>
      </w:tr>
      <w:tr w:rsidR="003A71DE" w:rsidRPr="00CE0F04" w14:paraId="0B3193C2" w14:textId="77777777" w:rsidTr="003A71DE">
        <w:trPr>
          <w:cantSplit/>
          <w:jc w:val="center"/>
        </w:trPr>
        <w:tc>
          <w:tcPr>
            <w:tcW w:w="1951" w:type="dxa"/>
            <w:tcBorders>
              <w:top w:val="nil"/>
              <w:left w:val="single" w:sz="4" w:space="0" w:color="auto"/>
              <w:bottom w:val="nil"/>
            </w:tcBorders>
            <w:shd w:val="clear" w:color="auto" w:fill="auto"/>
          </w:tcPr>
          <w:p w14:paraId="7FDFE856" w14:textId="77777777" w:rsidR="003A71DE" w:rsidRPr="00CE0F04" w:rsidRDefault="003A71DE" w:rsidP="001A5D47">
            <w:pPr>
              <w:pStyle w:val="TAL"/>
              <w:rPr>
                <w:lang w:eastAsia="zh-CN"/>
              </w:rPr>
            </w:pPr>
          </w:p>
        </w:tc>
        <w:tc>
          <w:tcPr>
            <w:tcW w:w="1588" w:type="dxa"/>
            <w:tcBorders>
              <w:top w:val="nil"/>
              <w:bottom w:val="nil"/>
            </w:tcBorders>
            <w:shd w:val="clear" w:color="auto" w:fill="auto"/>
          </w:tcPr>
          <w:p w14:paraId="4BE1314A" w14:textId="77777777" w:rsidR="003A71DE" w:rsidRPr="00CE0F04" w:rsidRDefault="003A71DE" w:rsidP="001A5D47">
            <w:pPr>
              <w:pStyle w:val="TAC"/>
            </w:pPr>
          </w:p>
        </w:tc>
        <w:tc>
          <w:tcPr>
            <w:tcW w:w="1624" w:type="dxa"/>
            <w:tcBorders>
              <w:bottom w:val="single" w:sz="4" w:space="0" w:color="auto"/>
            </w:tcBorders>
          </w:tcPr>
          <w:p w14:paraId="192CBC13" w14:textId="77777777" w:rsidR="003A71DE" w:rsidRPr="00CE0F04" w:rsidRDefault="003A71DE" w:rsidP="001A5D47">
            <w:pPr>
              <w:pStyle w:val="TAC"/>
              <w:rPr>
                <w:lang w:eastAsia="zh-CN"/>
              </w:rPr>
            </w:pPr>
            <w:r w:rsidRPr="00CE0F04">
              <w:rPr>
                <w:lang w:eastAsia="zh-CN"/>
              </w:rPr>
              <w:t>2</w:t>
            </w:r>
          </w:p>
        </w:tc>
        <w:tc>
          <w:tcPr>
            <w:tcW w:w="2742" w:type="dxa"/>
            <w:gridSpan w:val="3"/>
            <w:tcBorders>
              <w:bottom w:val="single" w:sz="4" w:space="0" w:color="auto"/>
            </w:tcBorders>
          </w:tcPr>
          <w:p w14:paraId="6437F6B9" w14:textId="77777777" w:rsidR="003A71DE" w:rsidRPr="00CE0F04" w:rsidRDefault="003A71DE" w:rsidP="001A5D47">
            <w:pPr>
              <w:pStyle w:val="TAC"/>
              <w:rPr>
                <w:lang w:eastAsia="zh-CN"/>
              </w:rPr>
            </w:pPr>
            <w:r w:rsidRPr="00CE0F04">
              <w:rPr>
                <w:lang w:eastAsia="zh-CN"/>
              </w:rPr>
              <w:t>CCR.2.1 TDD</w:t>
            </w:r>
          </w:p>
        </w:tc>
        <w:tc>
          <w:tcPr>
            <w:tcW w:w="2419" w:type="dxa"/>
            <w:gridSpan w:val="3"/>
            <w:tcBorders>
              <w:bottom w:val="single" w:sz="4" w:space="0" w:color="auto"/>
            </w:tcBorders>
          </w:tcPr>
          <w:p w14:paraId="5200FE88" w14:textId="77777777" w:rsidR="003A71DE" w:rsidRPr="00CE0F04" w:rsidRDefault="003A71DE" w:rsidP="001A5D47">
            <w:pPr>
              <w:pStyle w:val="TAC"/>
              <w:rPr>
                <w:lang w:eastAsia="zh-CN"/>
              </w:rPr>
            </w:pPr>
            <w:r w:rsidRPr="00CE0F04">
              <w:rPr>
                <w:lang w:eastAsia="zh-CN"/>
              </w:rPr>
              <w:t>CCR.2.1 TDD</w:t>
            </w:r>
          </w:p>
        </w:tc>
      </w:tr>
      <w:tr w:rsidR="003A71DE" w:rsidRPr="00CE0F04" w14:paraId="176C3D8D" w14:textId="77777777" w:rsidTr="003A71DE">
        <w:trPr>
          <w:cantSplit/>
          <w:jc w:val="center"/>
        </w:trPr>
        <w:tc>
          <w:tcPr>
            <w:tcW w:w="1951" w:type="dxa"/>
            <w:tcBorders>
              <w:left w:val="single" w:sz="4" w:space="0" w:color="auto"/>
              <w:bottom w:val="single" w:sz="4" w:space="0" w:color="auto"/>
            </w:tcBorders>
          </w:tcPr>
          <w:p w14:paraId="07FE1F9E" w14:textId="77777777" w:rsidR="003A71DE" w:rsidRPr="00CE0F04" w:rsidRDefault="003A71DE" w:rsidP="001A5D47">
            <w:pPr>
              <w:pStyle w:val="TAL"/>
            </w:pPr>
            <w:r w:rsidRPr="00CE0F04">
              <w:t>OCNG Pattern</w:t>
            </w:r>
          </w:p>
        </w:tc>
        <w:tc>
          <w:tcPr>
            <w:tcW w:w="1588" w:type="dxa"/>
            <w:tcBorders>
              <w:bottom w:val="single" w:sz="4" w:space="0" w:color="auto"/>
            </w:tcBorders>
          </w:tcPr>
          <w:p w14:paraId="3B0FB555" w14:textId="77777777" w:rsidR="003A71DE" w:rsidRPr="00CE0F04" w:rsidRDefault="003A71DE" w:rsidP="001A5D47">
            <w:pPr>
              <w:pStyle w:val="TAC"/>
            </w:pPr>
          </w:p>
        </w:tc>
        <w:tc>
          <w:tcPr>
            <w:tcW w:w="1624" w:type="dxa"/>
            <w:tcBorders>
              <w:bottom w:val="single" w:sz="4" w:space="0" w:color="auto"/>
            </w:tcBorders>
          </w:tcPr>
          <w:p w14:paraId="64AC5BE9" w14:textId="77777777" w:rsidR="003A71DE" w:rsidRPr="00CE0F04" w:rsidRDefault="003A71DE" w:rsidP="001A5D47">
            <w:pPr>
              <w:pStyle w:val="TAC"/>
              <w:rPr>
                <w:lang w:eastAsia="zh-CN"/>
              </w:rPr>
            </w:pPr>
            <w:r w:rsidRPr="00CE0F04">
              <w:rPr>
                <w:lang w:eastAsia="zh-CN"/>
              </w:rPr>
              <w:t>1, 2</w:t>
            </w:r>
          </w:p>
        </w:tc>
        <w:tc>
          <w:tcPr>
            <w:tcW w:w="2742" w:type="dxa"/>
            <w:gridSpan w:val="3"/>
            <w:tcBorders>
              <w:bottom w:val="single" w:sz="4" w:space="0" w:color="auto"/>
            </w:tcBorders>
          </w:tcPr>
          <w:p w14:paraId="434EF846" w14:textId="77777777" w:rsidR="003A71DE" w:rsidRPr="00CE0F04" w:rsidRDefault="003A71DE" w:rsidP="001A5D47">
            <w:pPr>
              <w:pStyle w:val="TAC"/>
            </w:pPr>
            <w:r w:rsidRPr="00CE0F04">
              <w:t>OP.1 defined in TBD</w:t>
            </w:r>
          </w:p>
        </w:tc>
        <w:tc>
          <w:tcPr>
            <w:tcW w:w="2419" w:type="dxa"/>
            <w:gridSpan w:val="3"/>
            <w:tcBorders>
              <w:bottom w:val="single" w:sz="4" w:space="0" w:color="auto"/>
            </w:tcBorders>
          </w:tcPr>
          <w:p w14:paraId="47976E38" w14:textId="77777777" w:rsidR="003A71DE" w:rsidRPr="00CE0F04" w:rsidRDefault="003A71DE" w:rsidP="001A5D47">
            <w:pPr>
              <w:pStyle w:val="TAC"/>
            </w:pPr>
            <w:r w:rsidRPr="00CE0F04">
              <w:t>OP.1 defined in TBD</w:t>
            </w:r>
          </w:p>
        </w:tc>
      </w:tr>
      <w:tr w:rsidR="003A71DE" w:rsidRPr="00CE0F04" w14:paraId="09572425" w14:textId="77777777" w:rsidTr="003A71DE">
        <w:trPr>
          <w:cantSplit/>
          <w:jc w:val="center"/>
        </w:trPr>
        <w:tc>
          <w:tcPr>
            <w:tcW w:w="1951" w:type="dxa"/>
            <w:tcBorders>
              <w:left w:val="single" w:sz="4" w:space="0" w:color="auto"/>
              <w:bottom w:val="single" w:sz="4" w:space="0" w:color="auto"/>
            </w:tcBorders>
          </w:tcPr>
          <w:p w14:paraId="2E821095" w14:textId="77777777" w:rsidR="003A71DE" w:rsidRPr="00CE0F04" w:rsidRDefault="003A71DE" w:rsidP="001A5D47">
            <w:pPr>
              <w:pStyle w:val="TAL"/>
              <w:rPr>
                <w:lang w:eastAsia="zh-CN"/>
              </w:rPr>
            </w:pPr>
            <w:r w:rsidRPr="00CE0F04">
              <w:rPr>
                <w:lang w:eastAsia="zh-CN"/>
              </w:rPr>
              <w:t>Initial DL BWP configuration</w:t>
            </w:r>
          </w:p>
        </w:tc>
        <w:tc>
          <w:tcPr>
            <w:tcW w:w="1588" w:type="dxa"/>
            <w:tcBorders>
              <w:bottom w:val="single" w:sz="4" w:space="0" w:color="auto"/>
            </w:tcBorders>
          </w:tcPr>
          <w:p w14:paraId="4EC2ED1C" w14:textId="77777777" w:rsidR="003A71DE" w:rsidRPr="00CE0F04" w:rsidRDefault="003A71DE" w:rsidP="001A5D47">
            <w:pPr>
              <w:pStyle w:val="TAC"/>
            </w:pPr>
          </w:p>
        </w:tc>
        <w:tc>
          <w:tcPr>
            <w:tcW w:w="1624" w:type="dxa"/>
            <w:tcBorders>
              <w:bottom w:val="single" w:sz="4" w:space="0" w:color="auto"/>
            </w:tcBorders>
          </w:tcPr>
          <w:p w14:paraId="270F21DE" w14:textId="77777777" w:rsidR="003A71DE" w:rsidRPr="00CE0F04" w:rsidRDefault="003A71DE" w:rsidP="001A5D47">
            <w:pPr>
              <w:pStyle w:val="TAC"/>
              <w:rPr>
                <w:lang w:eastAsia="zh-CN"/>
              </w:rPr>
            </w:pPr>
            <w:r w:rsidRPr="00CE0F04">
              <w:rPr>
                <w:lang w:eastAsia="zh-CN"/>
              </w:rPr>
              <w:t>1, 2</w:t>
            </w:r>
          </w:p>
        </w:tc>
        <w:tc>
          <w:tcPr>
            <w:tcW w:w="2742" w:type="dxa"/>
            <w:gridSpan w:val="3"/>
            <w:tcBorders>
              <w:bottom w:val="single" w:sz="4" w:space="0" w:color="auto"/>
            </w:tcBorders>
          </w:tcPr>
          <w:p w14:paraId="0A92FB32" w14:textId="77777777" w:rsidR="003A71DE" w:rsidRPr="00CE0F04" w:rsidRDefault="003A71DE" w:rsidP="001A5D47">
            <w:pPr>
              <w:pStyle w:val="TAC"/>
              <w:rPr>
                <w:lang w:eastAsia="zh-CN"/>
              </w:rPr>
            </w:pPr>
            <w:r w:rsidRPr="00CE0F04">
              <w:rPr>
                <w:lang w:eastAsia="zh-CN"/>
              </w:rPr>
              <w:t>DLBWP.0.1</w:t>
            </w:r>
          </w:p>
        </w:tc>
        <w:tc>
          <w:tcPr>
            <w:tcW w:w="2419" w:type="dxa"/>
            <w:gridSpan w:val="3"/>
            <w:tcBorders>
              <w:bottom w:val="single" w:sz="4" w:space="0" w:color="auto"/>
            </w:tcBorders>
          </w:tcPr>
          <w:p w14:paraId="43BB73D2" w14:textId="77777777" w:rsidR="003A71DE" w:rsidRPr="00CE0F04" w:rsidRDefault="003A71DE" w:rsidP="001A5D47">
            <w:pPr>
              <w:pStyle w:val="TAC"/>
            </w:pPr>
            <w:r w:rsidRPr="00CE0F04">
              <w:rPr>
                <w:lang w:eastAsia="zh-CN"/>
              </w:rPr>
              <w:t>DLBWP.0.1</w:t>
            </w:r>
          </w:p>
        </w:tc>
      </w:tr>
      <w:tr w:rsidR="003A71DE" w:rsidRPr="00CE0F04" w14:paraId="60CEA32C" w14:textId="77777777" w:rsidTr="003A71DE">
        <w:trPr>
          <w:cantSplit/>
          <w:jc w:val="center"/>
        </w:trPr>
        <w:tc>
          <w:tcPr>
            <w:tcW w:w="1951" w:type="dxa"/>
            <w:tcBorders>
              <w:left w:val="single" w:sz="4" w:space="0" w:color="auto"/>
              <w:bottom w:val="single" w:sz="4" w:space="0" w:color="auto"/>
            </w:tcBorders>
          </w:tcPr>
          <w:p w14:paraId="6F1265A6" w14:textId="77777777" w:rsidR="003A71DE" w:rsidRPr="00CE0F04" w:rsidRDefault="003A71DE" w:rsidP="001A5D47">
            <w:pPr>
              <w:pStyle w:val="TAL"/>
              <w:rPr>
                <w:lang w:eastAsia="zh-CN"/>
              </w:rPr>
            </w:pPr>
            <w:r w:rsidRPr="00CE0F04">
              <w:rPr>
                <w:lang w:eastAsia="zh-CN"/>
              </w:rPr>
              <w:t>Initial UL BWP configuration</w:t>
            </w:r>
          </w:p>
        </w:tc>
        <w:tc>
          <w:tcPr>
            <w:tcW w:w="1588" w:type="dxa"/>
            <w:tcBorders>
              <w:bottom w:val="single" w:sz="4" w:space="0" w:color="auto"/>
            </w:tcBorders>
          </w:tcPr>
          <w:p w14:paraId="2FD272B6" w14:textId="77777777" w:rsidR="003A71DE" w:rsidRPr="00CE0F04" w:rsidRDefault="003A71DE" w:rsidP="001A5D47">
            <w:pPr>
              <w:pStyle w:val="TAC"/>
            </w:pPr>
          </w:p>
        </w:tc>
        <w:tc>
          <w:tcPr>
            <w:tcW w:w="1624" w:type="dxa"/>
            <w:tcBorders>
              <w:bottom w:val="single" w:sz="4" w:space="0" w:color="auto"/>
            </w:tcBorders>
          </w:tcPr>
          <w:p w14:paraId="37878F0D" w14:textId="77777777" w:rsidR="003A71DE" w:rsidRPr="00CE0F04" w:rsidRDefault="003A71DE" w:rsidP="001A5D47">
            <w:pPr>
              <w:pStyle w:val="TAC"/>
              <w:rPr>
                <w:lang w:eastAsia="zh-CN"/>
              </w:rPr>
            </w:pPr>
            <w:r w:rsidRPr="00CE0F04">
              <w:rPr>
                <w:lang w:eastAsia="zh-CN"/>
              </w:rPr>
              <w:t>1, 2</w:t>
            </w:r>
          </w:p>
        </w:tc>
        <w:tc>
          <w:tcPr>
            <w:tcW w:w="2742" w:type="dxa"/>
            <w:gridSpan w:val="3"/>
            <w:tcBorders>
              <w:bottom w:val="single" w:sz="4" w:space="0" w:color="auto"/>
            </w:tcBorders>
          </w:tcPr>
          <w:p w14:paraId="6687C4E1" w14:textId="77777777" w:rsidR="003A71DE" w:rsidRPr="00CE0F04" w:rsidRDefault="003A71DE" w:rsidP="001A5D47">
            <w:pPr>
              <w:pStyle w:val="TAC"/>
              <w:rPr>
                <w:lang w:eastAsia="zh-CN"/>
              </w:rPr>
            </w:pPr>
            <w:r w:rsidRPr="00CE0F04">
              <w:rPr>
                <w:lang w:eastAsia="zh-CN"/>
              </w:rPr>
              <w:t>ULBWP.0.1</w:t>
            </w:r>
          </w:p>
        </w:tc>
        <w:tc>
          <w:tcPr>
            <w:tcW w:w="2419" w:type="dxa"/>
            <w:gridSpan w:val="3"/>
            <w:tcBorders>
              <w:bottom w:val="single" w:sz="4" w:space="0" w:color="auto"/>
            </w:tcBorders>
          </w:tcPr>
          <w:p w14:paraId="0198DFCE" w14:textId="77777777" w:rsidR="003A71DE" w:rsidRPr="00CE0F04" w:rsidRDefault="003A71DE" w:rsidP="001A5D47">
            <w:pPr>
              <w:pStyle w:val="TAC"/>
              <w:rPr>
                <w:lang w:eastAsia="zh-CN"/>
              </w:rPr>
            </w:pPr>
            <w:r w:rsidRPr="00CE0F04">
              <w:rPr>
                <w:lang w:eastAsia="zh-CN"/>
              </w:rPr>
              <w:t>ULBWP.0.1</w:t>
            </w:r>
          </w:p>
        </w:tc>
      </w:tr>
      <w:tr w:rsidR="003A71DE" w:rsidRPr="00CE0F04" w14:paraId="374C814B" w14:textId="77777777" w:rsidTr="003A71DE">
        <w:trPr>
          <w:cantSplit/>
          <w:jc w:val="center"/>
        </w:trPr>
        <w:tc>
          <w:tcPr>
            <w:tcW w:w="1951" w:type="dxa"/>
            <w:tcBorders>
              <w:left w:val="single" w:sz="4" w:space="0" w:color="auto"/>
              <w:bottom w:val="single" w:sz="4" w:space="0" w:color="auto"/>
            </w:tcBorders>
          </w:tcPr>
          <w:p w14:paraId="7256B7CF" w14:textId="77777777" w:rsidR="003A71DE" w:rsidRPr="00CE0F04" w:rsidRDefault="003A71DE" w:rsidP="001A5D47">
            <w:pPr>
              <w:pStyle w:val="TAL"/>
              <w:rPr>
                <w:lang w:eastAsia="zh-CN"/>
              </w:rPr>
            </w:pPr>
            <w:r w:rsidRPr="00CE0F04">
              <w:rPr>
                <w:lang w:eastAsia="zh-CN"/>
              </w:rPr>
              <w:t>RLM-RS</w:t>
            </w:r>
          </w:p>
        </w:tc>
        <w:tc>
          <w:tcPr>
            <w:tcW w:w="1588" w:type="dxa"/>
            <w:tcBorders>
              <w:bottom w:val="single" w:sz="4" w:space="0" w:color="auto"/>
            </w:tcBorders>
          </w:tcPr>
          <w:p w14:paraId="03D669ED" w14:textId="77777777" w:rsidR="003A71DE" w:rsidRPr="00CE0F04" w:rsidRDefault="003A71DE" w:rsidP="001A5D47">
            <w:pPr>
              <w:pStyle w:val="TAC"/>
            </w:pPr>
          </w:p>
        </w:tc>
        <w:tc>
          <w:tcPr>
            <w:tcW w:w="1624" w:type="dxa"/>
            <w:tcBorders>
              <w:bottom w:val="single" w:sz="4" w:space="0" w:color="auto"/>
            </w:tcBorders>
          </w:tcPr>
          <w:p w14:paraId="53AA67F6" w14:textId="77777777" w:rsidR="003A71DE" w:rsidRPr="00CE0F04" w:rsidRDefault="003A71DE" w:rsidP="001A5D47">
            <w:pPr>
              <w:pStyle w:val="TAC"/>
              <w:rPr>
                <w:lang w:eastAsia="zh-CN"/>
              </w:rPr>
            </w:pPr>
            <w:r w:rsidRPr="00CE0F04">
              <w:rPr>
                <w:lang w:eastAsia="zh-CN"/>
              </w:rPr>
              <w:t>1, 2</w:t>
            </w:r>
          </w:p>
        </w:tc>
        <w:tc>
          <w:tcPr>
            <w:tcW w:w="2742" w:type="dxa"/>
            <w:gridSpan w:val="3"/>
            <w:tcBorders>
              <w:bottom w:val="single" w:sz="4" w:space="0" w:color="auto"/>
            </w:tcBorders>
          </w:tcPr>
          <w:p w14:paraId="4B63316B" w14:textId="77777777" w:rsidR="003A71DE" w:rsidRPr="00CE0F04" w:rsidRDefault="003A71DE" w:rsidP="001A5D47">
            <w:pPr>
              <w:pStyle w:val="TAC"/>
              <w:rPr>
                <w:lang w:eastAsia="zh-CN"/>
              </w:rPr>
            </w:pPr>
            <w:r w:rsidRPr="00CE0F04">
              <w:rPr>
                <w:lang w:eastAsia="zh-CN"/>
              </w:rPr>
              <w:t>SSB</w:t>
            </w:r>
          </w:p>
        </w:tc>
        <w:tc>
          <w:tcPr>
            <w:tcW w:w="2419" w:type="dxa"/>
            <w:gridSpan w:val="3"/>
            <w:tcBorders>
              <w:bottom w:val="single" w:sz="4" w:space="0" w:color="auto"/>
            </w:tcBorders>
          </w:tcPr>
          <w:p w14:paraId="376BA2AC" w14:textId="77777777" w:rsidR="003A71DE" w:rsidRPr="00CE0F04" w:rsidRDefault="003A71DE" w:rsidP="001A5D47">
            <w:pPr>
              <w:pStyle w:val="TAC"/>
              <w:rPr>
                <w:lang w:eastAsia="zh-CN"/>
              </w:rPr>
            </w:pPr>
            <w:r w:rsidRPr="00CE0F04">
              <w:rPr>
                <w:lang w:eastAsia="zh-CN"/>
              </w:rPr>
              <w:t>SSB</w:t>
            </w:r>
          </w:p>
        </w:tc>
      </w:tr>
      <w:tr w:rsidR="003A71DE" w:rsidRPr="00CE0F04" w14:paraId="570D9573" w14:textId="77777777" w:rsidTr="003A71DE">
        <w:trPr>
          <w:cantSplit/>
          <w:trHeight w:val="141"/>
          <w:jc w:val="center"/>
        </w:trPr>
        <w:tc>
          <w:tcPr>
            <w:tcW w:w="1951" w:type="dxa"/>
            <w:tcBorders>
              <w:bottom w:val="nil"/>
            </w:tcBorders>
            <w:shd w:val="clear" w:color="auto" w:fill="auto"/>
          </w:tcPr>
          <w:p w14:paraId="0D08E7CD" w14:textId="77777777" w:rsidR="003A71DE" w:rsidRPr="00CE0F04" w:rsidRDefault="003A71DE" w:rsidP="001A5D47">
            <w:pPr>
              <w:pStyle w:val="TAL"/>
            </w:pPr>
            <w:r w:rsidRPr="00CE0F04">
              <w:rPr>
                <w:position w:val="-12"/>
              </w:rPr>
              <w:object w:dxaOrig="620" w:dyaOrig="380" w14:anchorId="388BC9DD">
                <v:shape id="_x0000_i1055" type="#_x0000_t75" style="width:29.35pt;height:14.4pt" o:ole="" fillcolor="window">
                  <v:imagedata r:id="rId69" o:title=""/>
                </v:shape>
                <o:OLEObject Type="Embed" ProgID="Equation.3" ShapeID="_x0000_i1055" DrawAspect="Content" ObjectID="_1734764435" r:id="rId77"/>
              </w:object>
            </w:r>
          </w:p>
        </w:tc>
        <w:tc>
          <w:tcPr>
            <w:tcW w:w="1588" w:type="dxa"/>
            <w:tcBorders>
              <w:bottom w:val="nil"/>
            </w:tcBorders>
            <w:shd w:val="clear" w:color="auto" w:fill="auto"/>
          </w:tcPr>
          <w:p w14:paraId="29B156E0" w14:textId="77777777" w:rsidR="003A71DE" w:rsidRPr="00CE0F04" w:rsidRDefault="003A71DE" w:rsidP="001A5D47">
            <w:pPr>
              <w:pStyle w:val="TAC"/>
            </w:pPr>
            <w:r w:rsidRPr="00CE0F04">
              <w:t>dB</w:t>
            </w:r>
          </w:p>
        </w:tc>
        <w:tc>
          <w:tcPr>
            <w:tcW w:w="1624" w:type="dxa"/>
          </w:tcPr>
          <w:p w14:paraId="135E9A15" w14:textId="77777777" w:rsidR="003A71DE" w:rsidRPr="00CE0F04" w:rsidRDefault="003A71DE" w:rsidP="001A5D47">
            <w:pPr>
              <w:pStyle w:val="TAC"/>
              <w:rPr>
                <w:lang w:eastAsia="zh-CN"/>
              </w:rPr>
            </w:pPr>
            <w:r w:rsidRPr="00CE0F04">
              <w:rPr>
                <w:lang w:eastAsia="zh-CN"/>
              </w:rPr>
              <w:t>1, 2</w:t>
            </w:r>
          </w:p>
        </w:tc>
        <w:tc>
          <w:tcPr>
            <w:tcW w:w="992" w:type="dxa"/>
            <w:tcBorders>
              <w:bottom w:val="nil"/>
            </w:tcBorders>
            <w:shd w:val="clear" w:color="auto" w:fill="auto"/>
          </w:tcPr>
          <w:p w14:paraId="2F49CEC7" w14:textId="77777777" w:rsidR="003A71DE" w:rsidRPr="00CE0F04" w:rsidDel="004B51DC" w:rsidRDefault="003A71DE" w:rsidP="001A5D47">
            <w:pPr>
              <w:pStyle w:val="TAC"/>
            </w:pPr>
            <w:r w:rsidRPr="00CE0F04">
              <w:t>4</w:t>
            </w:r>
          </w:p>
        </w:tc>
        <w:tc>
          <w:tcPr>
            <w:tcW w:w="851" w:type="dxa"/>
            <w:tcBorders>
              <w:bottom w:val="nil"/>
            </w:tcBorders>
            <w:shd w:val="clear" w:color="auto" w:fill="auto"/>
          </w:tcPr>
          <w:p w14:paraId="3D8E7625" w14:textId="77777777" w:rsidR="003A71DE" w:rsidRPr="00CE0F04" w:rsidDel="004B51DC" w:rsidRDefault="003A71DE" w:rsidP="001A5D47">
            <w:pPr>
              <w:pStyle w:val="TAC"/>
            </w:pPr>
            <w:r w:rsidRPr="00CE0F04">
              <w:t>-infinity</w:t>
            </w:r>
          </w:p>
        </w:tc>
        <w:tc>
          <w:tcPr>
            <w:tcW w:w="899" w:type="dxa"/>
            <w:tcBorders>
              <w:bottom w:val="nil"/>
            </w:tcBorders>
            <w:shd w:val="clear" w:color="auto" w:fill="auto"/>
          </w:tcPr>
          <w:p w14:paraId="1D5738B8" w14:textId="77777777" w:rsidR="003A71DE" w:rsidRPr="00CE0F04" w:rsidDel="004B51DC" w:rsidRDefault="003A71DE" w:rsidP="001A5D47">
            <w:pPr>
              <w:pStyle w:val="TAC"/>
              <w:rPr>
                <w:lang w:eastAsia="zh-CN"/>
              </w:rPr>
            </w:pPr>
            <w:r w:rsidRPr="00CE0F04">
              <w:t>-infinity</w:t>
            </w:r>
          </w:p>
        </w:tc>
        <w:tc>
          <w:tcPr>
            <w:tcW w:w="802" w:type="dxa"/>
            <w:tcBorders>
              <w:bottom w:val="nil"/>
            </w:tcBorders>
            <w:shd w:val="clear" w:color="auto" w:fill="auto"/>
          </w:tcPr>
          <w:p w14:paraId="3627A510" w14:textId="77777777" w:rsidR="003A71DE" w:rsidRPr="00CE0F04" w:rsidDel="004B51DC" w:rsidRDefault="003A71DE" w:rsidP="001A5D47">
            <w:pPr>
              <w:pStyle w:val="TAC"/>
            </w:pPr>
            <w:r w:rsidRPr="00CE0F04">
              <w:t>-infinity</w:t>
            </w:r>
          </w:p>
        </w:tc>
        <w:tc>
          <w:tcPr>
            <w:tcW w:w="850" w:type="dxa"/>
            <w:tcBorders>
              <w:bottom w:val="nil"/>
            </w:tcBorders>
            <w:shd w:val="clear" w:color="auto" w:fill="auto"/>
          </w:tcPr>
          <w:p w14:paraId="29F435D3" w14:textId="77777777" w:rsidR="003A71DE" w:rsidRPr="00CE0F04" w:rsidDel="004B51DC" w:rsidRDefault="003A71DE" w:rsidP="001A5D47">
            <w:pPr>
              <w:pStyle w:val="TAC"/>
            </w:pPr>
            <w:r w:rsidRPr="00CE0F04">
              <w:t>-infinity</w:t>
            </w:r>
          </w:p>
        </w:tc>
        <w:tc>
          <w:tcPr>
            <w:tcW w:w="767" w:type="dxa"/>
            <w:tcBorders>
              <w:bottom w:val="nil"/>
            </w:tcBorders>
            <w:shd w:val="clear" w:color="auto" w:fill="auto"/>
          </w:tcPr>
          <w:p w14:paraId="18C19F6B" w14:textId="77777777" w:rsidR="003A71DE" w:rsidRPr="00CE0F04" w:rsidDel="004B51DC" w:rsidRDefault="003A71DE" w:rsidP="001A5D47">
            <w:pPr>
              <w:pStyle w:val="TAC"/>
            </w:pPr>
            <w:r w:rsidRPr="00CE0F04">
              <w:t>4</w:t>
            </w:r>
          </w:p>
        </w:tc>
      </w:tr>
      <w:tr w:rsidR="003A71DE" w:rsidRPr="00CE0F04" w14:paraId="73B82FAB" w14:textId="77777777" w:rsidTr="003A71DE">
        <w:trPr>
          <w:cantSplit/>
          <w:jc w:val="center"/>
        </w:trPr>
        <w:tc>
          <w:tcPr>
            <w:tcW w:w="1951" w:type="dxa"/>
            <w:tcBorders>
              <w:bottom w:val="nil"/>
            </w:tcBorders>
            <w:shd w:val="clear" w:color="auto" w:fill="auto"/>
          </w:tcPr>
          <w:p w14:paraId="3F2B44DA" w14:textId="77777777" w:rsidR="003A71DE" w:rsidRPr="00CE0F04" w:rsidRDefault="003A71DE" w:rsidP="001A5D47">
            <w:pPr>
              <w:pStyle w:val="TAL"/>
            </w:pPr>
            <w:r w:rsidRPr="00CE0F04">
              <w:rPr>
                <w:position w:val="-12"/>
              </w:rPr>
              <w:object w:dxaOrig="400" w:dyaOrig="360" w14:anchorId="65CBFAB9">
                <v:shape id="_x0000_i1056" type="#_x0000_t75" style="width:22.15pt;height:22.15pt" o:ole="" fillcolor="window">
                  <v:imagedata r:id="rId71" o:title=""/>
                </v:shape>
                <o:OLEObject Type="Embed" ProgID="Equation.3" ShapeID="_x0000_i1056" DrawAspect="Content" ObjectID="_1734764436" r:id="rId78"/>
              </w:object>
            </w:r>
            <w:r w:rsidRPr="00CE0F04">
              <w:t xml:space="preserve"> </w:t>
            </w:r>
            <w:r w:rsidRPr="00CE0F04">
              <w:rPr>
                <w:vertAlign w:val="superscript"/>
              </w:rPr>
              <w:t>Note2</w:t>
            </w:r>
          </w:p>
        </w:tc>
        <w:tc>
          <w:tcPr>
            <w:tcW w:w="1588" w:type="dxa"/>
            <w:tcBorders>
              <w:bottom w:val="nil"/>
            </w:tcBorders>
            <w:shd w:val="clear" w:color="auto" w:fill="auto"/>
          </w:tcPr>
          <w:p w14:paraId="79FD447F" w14:textId="77777777" w:rsidR="003A71DE" w:rsidRPr="00CE0F04" w:rsidRDefault="003A71DE" w:rsidP="001A5D47">
            <w:pPr>
              <w:pStyle w:val="TAC"/>
            </w:pPr>
            <w:r w:rsidRPr="00CE0F04">
              <w:t>dBm/SCS</w:t>
            </w:r>
          </w:p>
        </w:tc>
        <w:tc>
          <w:tcPr>
            <w:tcW w:w="1624" w:type="dxa"/>
          </w:tcPr>
          <w:p w14:paraId="0439AC29" w14:textId="77777777" w:rsidR="003A71DE" w:rsidRPr="00CE0F04" w:rsidRDefault="003A71DE" w:rsidP="001A5D47">
            <w:pPr>
              <w:pStyle w:val="TAC"/>
              <w:rPr>
                <w:lang w:eastAsia="zh-CN"/>
              </w:rPr>
            </w:pPr>
            <w:r w:rsidRPr="00CE0F04">
              <w:rPr>
                <w:lang w:eastAsia="zh-CN"/>
              </w:rPr>
              <w:t>1</w:t>
            </w:r>
          </w:p>
        </w:tc>
        <w:tc>
          <w:tcPr>
            <w:tcW w:w="5161" w:type="dxa"/>
            <w:gridSpan w:val="6"/>
          </w:tcPr>
          <w:p w14:paraId="338E434A" w14:textId="77777777" w:rsidR="003A71DE" w:rsidRPr="00CE0F04" w:rsidRDefault="003A71DE" w:rsidP="001A5D47">
            <w:pPr>
              <w:pStyle w:val="TAC"/>
            </w:pPr>
            <w:r w:rsidRPr="00CE0F04">
              <w:t>-98</w:t>
            </w:r>
          </w:p>
        </w:tc>
      </w:tr>
      <w:tr w:rsidR="003A71DE" w:rsidRPr="00CE0F04" w14:paraId="35B90C67" w14:textId="77777777" w:rsidTr="003A71DE">
        <w:trPr>
          <w:cantSplit/>
          <w:jc w:val="center"/>
        </w:trPr>
        <w:tc>
          <w:tcPr>
            <w:tcW w:w="1951" w:type="dxa"/>
            <w:tcBorders>
              <w:top w:val="nil"/>
              <w:bottom w:val="nil"/>
            </w:tcBorders>
            <w:shd w:val="clear" w:color="auto" w:fill="auto"/>
          </w:tcPr>
          <w:p w14:paraId="7C099F64" w14:textId="77777777" w:rsidR="003A71DE" w:rsidRPr="00CE0F04" w:rsidRDefault="003A71DE" w:rsidP="001A5D47">
            <w:pPr>
              <w:pStyle w:val="TAL"/>
            </w:pPr>
          </w:p>
        </w:tc>
        <w:tc>
          <w:tcPr>
            <w:tcW w:w="1588" w:type="dxa"/>
            <w:tcBorders>
              <w:top w:val="nil"/>
              <w:bottom w:val="nil"/>
            </w:tcBorders>
            <w:shd w:val="clear" w:color="auto" w:fill="auto"/>
          </w:tcPr>
          <w:p w14:paraId="1834AB4D" w14:textId="77777777" w:rsidR="003A71DE" w:rsidRPr="00CE0F04" w:rsidRDefault="003A71DE" w:rsidP="001A5D47">
            <w:pPr>
              <w:pStyle w:val="TAC"/>
            </w:pPr>
          </w:p>
        </w:tc>
        <w:tc>
          <w:tcPr>
            <w:tcW w:w="1624" w:type="dxa"/>
          </w:tcPr>
          <w:p w14:paraId="379C7912" w14:textId="77777777" w:rsidR="003A71DE" w:rsidRPr="00CE0F04" w:rsidRDefault="003A71DE" w:rsidP="001A5D47">
            <w:pPr>
              <w:pStyle w:val="TAC"/>
              <w:rPr>
                <w:lang w:eastAsia="zh-CN"/>
              </w:rPr>
            </w:pPr>
            <w:r w:rsidRPr="00CE0F04">
              <w:rPr>
                <w:lang w:eastAsia="zh-CN"/>
              </w:rPr>
              <w:t>2</w:t>
            </w:r>
          </w:p>
        </w:tc>
        <w:tc>
          <w:tcPr>
            <w:tcW w:w="5161" w:type="dxa"/>
            <w:gridSpan w:val="6"/>
          </w:tcPr>
          <w:p w14:paraId="08DD880D" w14:textId="77777777" w:rsidR="003A71DE" w:rsidRPr="00CE0F04" w:rsidRDefault="003A71DE" w:rsidP="001A5D47">
            <w:pPr>
              <w:pStyle w:val="TAC"/>
              <w:rPr>
                <w:lang w:eastAsia="zh-CN"/>
              </w:rPr>
            </w:pPr>
            <w:r w:rsidRPr="00CE0F04">
              <w:rPr>
                <w:lang w:eastAsia="zh-CN"/>
              </w:rPr>
              <w:t>-95</w:t>
            </w:r>
          </w:p>
        </w:tc>
      </w:tr>
      <w:tr w:rsidR="003A71DE" w:rsidRPr="00CE0F04" w14:paraId="502F4877" w14:textId="77777777" w:rsidTr="003A71DE">
        <w:trPr>
          <w:cantSplit/>
          <w:jc w:val="center"/>
        </w:trPr>
        <w:tc>
          <w:tcPr>
            <w:tcW w:w="1951" w:type="dxa"/>
            <w:tcBorders>
              <w:bottom w:val="nil"/>
            </w:tcBorders>
            <w:shd w:val="clear" w:color="auto" w:fill="auto"/>
          </w:tcPr>
          <w:p w14:paraId="171D8F4E" w14:textId="77777777" w:rsidR="003A71DE" w:rsidRPr="00CE0F04" w:rsidRDefault="003A71DE" w:rsidP="001A5D47">
            <w:pPr>
              <w:pStyle w:val="TAL"/>
            </w:pPr>
            <w:r w:rsidRPr="00CE0F04">
              <w:rPr>
                <w:position w:val="-12"/>
              </w:rPr>
              <w:object w:dxaOrig="400" w:dyaOrig="360" w14:anchorId="5D5E8A6F">
                <v:shape id="_x0000_i1057" type="#_x0000_t75" style="width:22.15pt;height:22.15pt" o:ole="" fillcolor="window">
                  <v:imagedata r:id="rId71" o:title=""/>
                </v:shape>
                <o:OLEObject Type="Embed" ProgID="Equation.3" ShapeID="_x0000_i1057" DrawAspect="Content" ObjectID="_1734764437" r:id="rId79"/>
              </w:object>
            </w:r>
            <w:r w:rsidRPr="00CE0F04">
              <w:t xml:space="preserve"> </w:t>
            </w:r>
            <w:r w:rsidRPr="00CE0F04">
              <w:rPr>
                <w:vertAlign w:val="superscript"/>
              </w:rPr>
              <w:t>Note2</w:t>
            </w:r>
          </w:p>
        </w:tc>
        <w:tc>
          <w:tcPr>
            <w:tcW w:w="1588" w:type="dxa"/>
            <w:tcBorders>
              <w:bottom w:val="nil"/>
            </w:tcBorders>
            <w:shd w:val="clear" w:color="auto" w:fill="auto"/>
          </w:tcPr>
          <w:p w14:paraId="640F6C8A" w14:textId="77777777" w:rsidR="003A71DE" w:rsidRPr="00CE0F04" w:rsidRDefault="003A71DE" w:rsidP="001A5D47">
            <w:pPr>
              <w:pStyle w:val="TAC"/>
            </w:pPr>
            <w:r w:rsidRPr="00CE0F04">
              <w:t>dBm/15 kHz</w:t>
            </w:r>
          </w:p>
        </w:tc>
        <w:tc>
          <w:tcPr>
            <w:tcW w:w="1624" w:type="dxa"/>
          </w:tcPr>
          <w:p w14:paraId="3EC3D5BB" w14:textId="77777777" w:rsidR="003A71DE" w:rsidRPr="00CE0F04" w:rsidRDefault="003A71DE" w:rsidP="001A5D47">
            <w:pPr>
              <w:pStyle w:val="TAC"/>
              <w:rPr>
                <w:lang w:eastAsia="zh-CN"/>
              </w:rPr>
            </w:pPr>
            <w:r w:rsidRPr="00CE0F04">
              <w:rPr>
                <w:lang w:eastAsia="zh-CN"/>
              </w:rPr>
              <w:t>1, 2</w:t>
            </w:r>
          </w:p>
        </w:tc>
        <w:tc>
          <w:tcPr>
            <w:tcW w:w="5161" w:type="dxa"/>
            <w:gridSpan w:val="6"/>
            <w:tcBorders>
              <w:bottom w:val="nil"/>
            </w:tcBorders>
            <w:shd w:val="clear" w:color="auto" w:fill="auto"/>
          </w:tcPr>
          <w:p w14:paraId="79EB3A7A" w14:textId="77777777" w:rsidR="003A71DE" w:rsidRPr="00CE0F04" w:rsidRDefault="003A71DE" w:rsidP="001A5D47">
            <w:pPr>
              <w:pStyle w:val="TAC"/>
            </w:pPr>
            <w:r w:rsidRPr="00CE0F04">
              <w:t>-98</w:t>
            </w:r>
          </w:p>
        </w:tc>
      </w:tr>
      <w:tr w:rsidR="003A71DE" w:rsidRPr="00CE0F04" w14:paraId="0B33D62A" w14:textId="77777777" w:rsidTr="003A71DE">
        <w:trPr>
          <w:cantSplit/>
          <w:jc w:val="center"/>
        </w:trPr>
        <w:tc>
          <w:tcPr>
            <w:tcW w:w="1951" w:type="dxa"/>
            <w:tcBorders>
              <w:bottom w:val="nil"/>
            </w:tcBorders>
            <w:shd w:val="clear" w:color="auto" w:fill="auto"/>
          </w:tcPr>
          <w:p w14:paraId="40FBD7AB" w14:textId="77777777" w:rsidR="003A71DE" w:rsidRPr="00CE0F04" w:rsidRDefault="003A71DE" w:rsidP="001A5D47">
            <w:pPr>
              <w:pStyle w:val="TAL"/>
            </w:pPr>
            <w:r w:rsidRPr="00CE0F04">
              <w:rPr>
                <w:position w:val="-12"/>
              </w:rPr>
              <w:object w:dxaOrig="800" w:dyaOrig="380" w14:anchorId="0EF1AE80">
                <v:shape id="_x0000_i1058" type="#_x0000_t75" style="width:44.85pt;height:14.4pt" o:ole="" fillcolor="window">
                  <v:imagedata r:id="rId74" o:title=""/>
                </v:shape>
                <o:OLEObject Type="Embed" ProgID="Equation.3" ShapeID="_x0000_i1058" DrawAspect="Content" ObjectID="_1734764438" r:id="rId80"/>
              </w:object>
            </w:r>
          </w:p>
        </w:tc>
        <w:tc>
          <w:tcPr>
            <w:tcW w:w="1588" w:type="dxa"/>
            <w:tcBorders>
              <w:bottom w:val="nil"/>
            </w:tcBorders>
            <w:shd w:val="clear" w:color="auto" w:fill="auto"/>
          </w:tcPr>
          <w:p w14:paraId="188D9E2E" w14:textId="77777777" w:rsidR="003A71DE" w:rsidRPr="00CE0F04" w:rsidRDefault="003A71DE" w:rsidP="001A5D47">
            <w:pPr>
              <w:pStyle w:val="TAC"/>
            </w:pPr>
            <w:r w:rsidRPr="00CE0F04">
              <w:t>dB</w:t>
            </w:r>
          </w:p>
        </w:tc>
        <w:tc>
          <w:tcPr>
            <w:tcW w:w="1624" w:type="dxa"/>
          </w:tcPr>
          <w:p w14:paraId="0BFA0323" w14:textId="77777777" w:rsidR="003A71DE" w:rsidRPr="00CE0F04" w:rsidRDefault="003A71DE" w:rsidP="001A5D47">
            <w:pPr>
              <w:pStyle w:val="TAC"/>
              <w:rPr>
                <w:lang w:eastAsia="zh-CN"/>
              </w:rPr>
            </w:pPr>
            <w:r w:rsidRPr="00CE0F04">
              <w:rPr>
                <w:lang w:eastAsia="zh-CN"/>
              </w:rPr>
              <w:t>1, 2</w:t>
            </w:r>
          </w:p>
        </w:tc>
        <w:tc>
          <w:tcPr>
            <w:tcW w:w="992" w:type="dxa"/>
            <w:tcBorders>
              <w:bottom w:val="nil"/>
            </w:tcBorders>
            <w:shd w:val="clear" w:color="auto" w:fill="auto"/>
          </w:tcPr>
          <w:p w14:paraId="11570094" w14:textId="77777777" w:rsidR="003A71DE" w:rsidRPr="00CE0F04" w:rsidRDefault="003A71DE" w:rsidP="001A5D47">
            <w:pPr>
              <w:pStyle w:val="TAC"/>
            </w:pPr>
            <w:r w:rsidRPr="00CE0F04">
              <w:t>4</w:t>
            </w:r>
          </w:p>
        </w:tc>
        <w:tc>
          <w:tcPr>
            <w:tcW w:w="851" w:type="dxa"/>
            <w:tcBorders>
              <w:bottom w:val="nil"/>
            </w:tcBorders>
            <w:shd w:val="clear" w:color="auto" w:fill="auto"/>
          </w:tcPr>
          <w:p w14:paraId="51BDDD58" w14:textId="77777777" w:rsidR="003A71DE" w:rsidRPr="00CE0F04" w:rsidRDefault="003A71DE" w:rsidP="001A5D47">
            <w:pPr>
              <w:pStyle w:val="TAC"/>
            </w:pPr>
            <w:r w:rsidRPr="00CE0F04">
              <w:t>-infinity</w:t>
            </w:r>
          </w:p>
        </w:tc>
        <w:tc>
          <w:tcPr>
            <w:tcW w:w="899" w:type="dxa"/>
            <w:tcBorders>
              <w:bottom w:val="nil"/>
            </w:tcBorders>
            <w:shd w:val="clear" w:color="auto" w:fill="auto"/>
          </w:tcPr>
          <w:p w14:paraId="7BE15FEB" w14:textId="77777777" w:rsidR="003A71DE" w:rsidRPr="00CE0F04" w:rsidRDefault="003A71DE" w:rsidP="001A5D47">
            <w:pPr>
              <w:pStyle w:val="TAC"/>
            </w:pPr>
            <w:r w:rsidRPr="00CE0F04">
              <w:t>-infinity</w:t>
            </w:r>
          </w:p>
        </w:tc>
        <w:tc>
          <w:tcPr>
            <w:tcW w:w="802" w:type="dxa"/>
            <w:tcBorders>
              <w:bottom w:val="nil"/>
            </w:tcBorders>
            <w:shd w:val="clear" w:color="auto" w:fill="auto"/>
          </w:tcPr>
          <w:p w14:paraId="1029AA3E" w14:textId="77777777" w:rsidR="003A71DE" w:rsidRPr="00CE0F04" w:rsidDel="004B51DC" w:rsidRDefault="003A71DE" w:rsidP="001A5D47">
            <w:pPr>
              <w:pStyle w:val="TAC"/>
            </w:pPr>
            <w:r w:rsidRPr="00CE0F04">
              <w:t>-infinity</w:t>
            </w:r>
          </w:p>
        </w:tc>
        <w:tc>
          <w:tcPr>
            <w:tcW w:w="850" w:type="dxa"/>
            <w:tcBorders>
              <w:bottom w:val="nil"/>
            </w:tcBorders>
            <w:shd w:val="clear" w:color="auto" w:fill="auto"/>
          </w:tcPr>
          <w:p w14:paraId="2974C758" w14:textId="77777777" w:rsidR="003A71DE" w:rsidRPr="00CE0F04" w:rsidDel="004B51DC" w:rsidRDefault="003A71DE" w:rsidP="001A5D47">
            <w:pPr>
              <w:pStyle w:val="TAC"/>
            </w:pPr>
            <w:r w:rsidRPr="00CE0F04">
              <w:t>-infinity</w:t>
            </w:r>
          </w:p>
        </w:tc>
        <w:tc>
          <w:tcPr>
            <w:tcW w:w="767" w:type="dxa"/>
            <w:tcBorders>
              <w:bottom w:val="nil"/>
            </w:tcBorders>
            <w:shd w:val="clear" w:color="auto" w:fill="auto"/>
          </w:tcPr>
          <w:p w14:paraId="00104501" w14:textId="77777777" w:rsidR="003A71DE" w:rsidRPr="00CE0F04" w:rsidRDefault="003A71DE" w:rsidP="001A5D47">
            <w:pPr>
              <w:pStyle w:val="TAC"/>
            </w:pPr>
            <w:r w:rsidRPr="00CE0F04">
              <w:t>4</w:t>
            </w:r>
          </w:p>
        </w:tc>
      </w:tr>
      <w:tr w:rsidR="003A71DE" w:rsidRPr="00CE0F04" w14:paraId="3A9829E7" w14:textId="77777777" w:rsidTr="003A71DE">
        <w:trPr>
          <w:cantSplit/>
          <w:jc w:val="center"/>
        </w:trPr>
        <w:tc>
          <w:tcPr>
            <w:tcW w:w="1951" w:type="dxa"/>
            <w:tcBorders>
              <w:bottom w:val="nil"/>
            </w:tcBorders>
            <w:shd w:val="clear" w:color="auto" w:fill="auto"/>
          </w:tcPr>
          <w:p w14:paraId="5EABAF79" w14:textId="77777777" w:rsidR="003A71DE" w:rsidRPr="00CE0F04" w:rsidRDefault="003A71DE" w:rsidP="001A5D47">
            <w:pPr>
              <w:pStyle w:val="TAL"/>
            </w:pPr>
            <w:r w:rsidRPr="00CE0F04">
              <w:t xml:space="preserve">SS-RSRP </w:t>
            </w:r>
            <w:r w:rsidRPr="00CE0F04">
              <w:rPr>
                <w:vertAlign w:val="superscript"/>
              </w:rPr>
              <w:t>Note3</w:t>
            </w:r>
          </w:p>
        </w:tc>
        <w:tc>
          <w:tcPr>
            <w:tcW w:w="1588" w:type="dxa"/>
            <w:tcBorders>
              <w:bottom w:val="nil"/>
            </w:tcBorders>
            <w:shd w:val="clear" w:color="auto" w:fill="auto"/>
          </w:tcPr>
          <w:p w14:paraId="7B778E83" w14:textId="77777777" w:rsidR="003A71DE" w:rsidRPr="00CE0F04" w:rsidRDefault="003A71DE" w:rsidP="001A5D47">
            <w:pPr>
              <w:pStyle w:val="TAC"/>
            </w:pPr>
            <w:r w:rsidRPr="00CE0F04">
              <w:t>dBm/SCS</w:t>
            </w:r>
          </w:p>
        </w:tc>
        <w:tc>
          <w:tcPr>
            <w:tcW w:w="1624" w:type="dxa"/>
          </w:tcPr>
          <w:p w14:paraId="34A33240" w14:textId="77777777" w:rsidR="003A71DE" w:rsidRPr="00CE0F04" w:rsidRDefault="003A71DE" w:rsidP="001A5D47">
            <w:pPr>
              <w:pStyle w:val="TAC"/>
              <w:rPr>
                <w:lang w:eastAsia="zh-CN"/>
              </w:rPr>
            </w:pPr>
            <w:r w:rsidRPr="00CE0F04">
              <w:rPr>
                <w:lang w:eastAsia="zh-CN"/>
              </w:rPr>
              <w:t>1</w:t>
            </w:r>
          </w:p>
        </w:tc>
        <w:tc>
          <w:tcPr>
            <w:tcW w:w="992" w:type="dxa"/>
          </w:tcPr>
          <w:p w14:paraId="73CB820F" w14:textId="77777777" w:rsidR="003A71DE" w:rsidRPr="00CE0F04" w:rsidRDefault="003A71DE" w:rsidP="001A5D47">
            <w:pPr>
              <w:pStyle w:val="TAC"/>
            </w:pPr>
            <w:r w:rsidRPr="00CE0F04">
              <w:t>-94</w:t>
            </w:r>
          </w:p>
        </w:tc>
        <w:tc>
          <w:tcPr>
            <w:tcW w:w="851" w:type="dxa"/>
          </w:tcPr>
          <w:p w14:paraId="61497E38" w14:textId="77777777" w:rsidR="003A71DE" w:rsidRPr="00CE0F04" w:rsidRDefault="003A71DE" w:rsidP="001A5D47">
            <w:pPr>
              <w:pStyle w:val="TAC"/>
            </w:pPr>
            <w:r w:rsidRPr="00CE0F04">
              <w:t>-infinity</w:t>
            </w:r>
          </w:p>
        </w:tc>
        <w:tc>
          <w:tcPr>
            <w:tcW w:w="899" w:type="dxa"/>
          </w:tcPr>
          <w:p w14:paraId="5B7C2573" w14:textId="77777777" w:rsidR="003A71DE" w:rsidRPr="00CE0F04" w:rsidRDefault="003A71DE" w:rsidP="001A5D47">
            <w:pPr>
              <w:pStyle w:val="TAC"/>
            </w:pPr>
            <w:r w:rsidRPr="00CE0F04">
              <w:t>-infinity</w:t>
            </w:r>
          </w:p>
        </w:tc>
        <w:tc>
          <w:tcPr>
            <w:tcW w:w="802" w:type="dxa"/>
          </w:tcPr>
          <w:p w14:paraId="44B59753" w14:textId="77777777" w:rsidR="003A71DE" w:rsidRPr="00CE0F04" w:rsidDel="004B51DC" w:rsidRDefault="003A71DE" w:rsidP="001A5D47">
            <w:pPr>
              <w:pStyle w:val="TAC"/>
            </w:pPr>
            <w:r w:rsidRPr="00CE0F04">
              <w:t>-infinity</w:t>
            </w:r>
          </w:p>
        </w:tc>
        <w:tc>
          <w:tcPr>
            <w:tcW w:w="850" w:type="dxa"/>
          </w:tcPr>
          <w:p w14:paraId="057B303C" w14:textId="77777777" w:rsidR="003A71DE" w:rsidRPr="00CE0F04" w:rsidDel="004B51DC" w:rsidRDefault="003A71DE" w:rsidP="001A5D47">
            <w:pPr>
              <w:pStyle w:val="TAC"/>
            </w:pPr>
            <w:r w:rsidRPr="00CE0F04">
              <w:t>-infinity</w:t>
            </w:r>
          </w:p>
        </w:tc>
        <w:tc>
          <w:tcPr>
            <w:tcW w:w="767" w:type="dxa"/>
          </w:tcPr>
          <w:p w14:paraId="61F6228B" w14:textId="77777777" w:rsidR="003A71DE" w:rsidRPr="00CE0F04" w:rsidRDefault="003A71DE" w:rsidP="001A5D47">
            <w:pPr>
              <w:pStyle w:val="TAC"/>
              <w:rPr>
                <w:lang w:eastAsia="zh-CN"/>
              </w:rPr>
            </w:pPr>
            <w:r w:rsidRPr="00CE0F04">
              <w:rPr>
                <w:lang w:eastAsia="zh-CN"/>
              </w:rPr>
              <w:t>-94</w:t>
            </w:r>
          </w:p>
        </w:tc>
      </w:tr>
      <w:tr w:rsidR="003A71DE" w:rsidRPr="00CE0F04" w14:paraId="42FAB9DE" w14:textId="77777777" w:rsidTr="003A71DE">
        <w:trPr>
          <w:cantSplit/>
          <w:jc w:val="center"/>
        </w:trPr>
        <w:tc>
          <w:tcPr>
            <w:tcW w:w="1951" w:type="dxa"/>
            <w:tcBorders>
              <w:top w:val="nil"/>
              <w:bottom w:val="nil"/>
            </w:tcBorders>
            <w:shd w:val="clear" w:color="auto" w:fill="auto"/>
          </w:tcPr>
          <w:p w14:paraId="7A8C62F9" w14:textId="77777777" w:rsidR="003A71DE" w:rsidRPr="00CE0F04" w:rsidRDefault="003A71DE" w:rsidP="001A5D47">
            <w:pPr>
              <w:pStyle w:val="TAL"/>
            </w:pPr>
          </w:p>
        </w:tc>
        <w:tc>
          <w:tcPr>
            <w:tcW w:w="1588" w:type="dxa"/>
            <w:tcBorders>
              <w:top w:val="nil"/>
              <w:bottom w:val="nil"/>
            </w:tcBorders>
            <w:shd w:val="clear" w:color="auto" w:fill="auto"/>
          </w:tcPr>
          <w:p w14:paraId="76BDE569" w14:textId="77777777" w:rsidR="003A71DE" w:rsidRPr="00CE0F04" w:rsidRDefault="003A71DE" w:rsidP="001A5D47">
            <w:pPr>
              <w:pStyle w:val="TAC"/>
            </w:pPr>
          </w:p>
        </w:tc>
        <w:tc>
          <w:tcPr>
            <w:tcW w:w="1624" w:type="dxa"/>
          </w:tcPr>
          <w:p w14:paraId="6E16F031" w14:textId="77777777" w:rsidR="003A71DE" w:rsidRPr="00CE0F04" w:rsidRDefault="003A71DE" w:rsidP="001A5D47">
            <w:pPr>
              <w:pStyle w:val="TAC"/>
              <w:rPr>
                <w:lang w:eastAsia="zh-CN"/>
              </w:rPr>
            </w:pPr>
            <w:r w:rsidRPr="00CE0F04">
              <w:rPr>
                <w:lang w:eastAsia="zh-CN"/>
              </w:rPr>
              <w:t>2</w:t>
            </w:r>
          </w:p>
        </w:tc>
        <w:tc>
          <w:tcPr>
            <w:tcW w:w="992" w:type="dxa"/>
          </w:tcPr>
          <w:p w14:paraId="01097C2B" w14:textId="77777777" w:rsidR="003A71DE" w:rsidRPr="00CE0F04" w:rsidRDefault="003A71DE" w:rsidP="001A5D47">
            <w:pPr>
              <w:pStyle w:val="TAC"/>
            </w:pPr>
            <w:r w:rsidRPr="00CE0F04">
              <w:rPr>
                <w:lang w:eastAsia="zh-CN"/>
              </w:rPr>
              <w:t>-91</w:t>
            </w:r>
          </w:p>
        </w:tc>
        <w:tc>
          <w:tcPr>
            <w:tcW w:w="851" w:type="dxa"/>
          </w:tcPr>
          <w:p w14:paraId="63ED348B" w14:textId="77777777" w:rsidR="003A71DE" w:rsidRPr="00CE0F04" w:rsidRDefault="003A71DE" w:rsidP="001A5D47">
            <w:pPr>
              <w:pStyle w:val="TAC"/>
            </w:pPr>
            <w:r w:rsidRPr="00CE0F04">
              <w:t>-infinity</w:t>
            </w:r>
          </w:p>
        </w:tc>
        <w:tc>
          <w:tcPr>
            <w:tcW w:w="899" w:type="dxa"/>
          </w:tcPr>
          <w:p w14:paraId="1E0597CF" w14:textId="77777777" w:rsidR="003A71DE" w:rsidRPr="00CE0F04" w:rsidRDefault="003A71DE" w:rsidP="001A5D47">
            <w:pPr>
              <w:pStyle w:val="TAC"/>
            </w:pPr>
            <w:r w:rsidRPr="00CE0F04">
              <w:t>-infinity</w:t>
            </w:r>
          </w:p>
        </w:tc>
        <w:tc>
          <w:tcPr>
            <w:tcW w:w="802" w:type="dxa"/>
          </w:tcPr>
          <w:p w14:paraId="579DA0F0" w14:textId="77777777" w:rsidR="003A71DE" w:rsidRPr="00CE0F04" w:rsidDel="004B51DC" w:rsidRDefault="003A71DE" w:rsidP="001A5D47">
            <w:pPr>
              <w:pStyle w:val="TAC"/>
            </w:pPr>
            <w:r w:rsidRPr="00CE0F04">
              <w:t>-infinity</w:t>
            </w:r>
          </w:p>
        </w:tc>
        <w:tc>
          <w:tcPr>
            <w:tcW w:w="850" w:type="dxa"/>
          </w:tcPr>
          <w:p w14:paraId="5533EEA1" w14:textId="77777777" w:rsidR="003A71DE" w:rsidRPr="00CE0F04" w:rsidDel="004B51DC" w:rsidRDefault="003A71DE" w:rsidP="001A5D47">
            <w:pPr>
              <w:pStyle w:val="TAC"/>
            </w:pPr>
            <w:r w:rsidRPr="00CE0F04">
              <w:t>-infinity</w:t>
            </w:r>
          </w:p>
        </w:tc>
        <w:tc>
          <w:tcPr>
            <w:tcW w:w="767" w:type="dxa"/>
          </w:tcPr>
          <w:p w14:paraId="44566F5A" w14:textId="77777777" w:rsidR="003A71DE" w:rsidRPr="00CE0F04" w:rsidRDefault="003A71DE" w:rsidP="001A5D47">
            <w:pPr>
              <w:pStyle w:val="TAC"/>
            </w:pPr>
            <w:r w:rsidRPr="00CE0F04">
              <w:rPr>
                <w:lang w:eastAsia="zh-CN"/>
              </w:rPr>
              <w:t>-91</w:t>
            </w:r>
          </w:p>
        </w:tc>
      </w:tr>
      <w:tr w:rsidR="003A71DE" w:rsidRPr="00CE0F04" w14:paraId="751E5729" w14:textId="77777777" w:rsidTr="003A71DE">
        <w:trPr>
          <w:cantSplit/>
          <w:jc w:val="center"/>
        </w:trPr>
        <w:tc>
          <w:tcPr>
            <w:tcW w:w="1951" w:type="dxa"/>
            <w:tcBorders>
              <w:bottom w:val="nil"/>
            </w:tcBorders>
            <w:shd w:val="clear" w:color="auto" w:fill="auto"/>
          </w:tcPr>
          <w:p w14:paraId="27B96240" w14:textId="77777777" w:rsidR="003A71DE" w:rsidRPr="00CE0F04" w:rsidRDefault="003A71DE" w:rsidP="001A5D47">
            <w:pPr>
              <w:pStyle w:val="TAL"/>
            </w:pPr>
            <w:r w:rsidRPr="00CE0F04">
              <w:t>Io</w:t>
            </w:r>
          </w:p>
        </w:tc>
        <w:tc>
          <w:tcPr>
            <w:tcW w:w="1588" w:type="dxa"/>
          </w:tcPr>
          <w:p w14:paraId="0DFAFA9C" w14:textId="77777777" w:rsidR="003A71DE" w:rsidRPr="00CE0F04" w:rsidRDefault="003A71DE" w:rsidP="001A5D47">
            <w:pPr>
              <w:pStyle w:val="TAC"/>
            </w:pPr>
            <w:r w:rsidRPr="00CE0F04">
              <w:rPr>
                <w:lang w:eastAsia="zh-CN"/>
              </w:rPr>
              <w:t>dBm/9.36 MHz</w:t>
            </w:r>
          </w:p>
        </w:tc>
        <w:tc>
          <w:tcPr>
            <w:tcW w:w="1624" w:type="dxa"/>
          </w:tcPr>
          <w:p w14:paraId="706CDF7A" w14:textId="77777777" w:rsidR="003A71DE" w:rsidRPr="00CE0F04" w:rsidRDefault="003A71DE" w:rsidP="001A5D47">
            <w:pPr>
              <w:pStyle w:val="TAC"/>
              <w:rPr>
                <w:lang w:eastAsia="zh-CN"/>
              </w:rPr>
            </w:pPr>
            <w:r w:rsidRPr="00CE0F04">
              <w:rPr>
                <w:lang w:eastAsia="zh-CN"/>
              </w:rPr>
              <w:t>1</w:t>
            </w:r>
          </w:p>
        </w:tc>
        <w:tc>
          <w:tcPr>
            <w:tcW w:w="992" w:type="dxa"/>
          </w:tcPr>
          <w:p w14:paraId="1BC63CFD" w14:textId="77777777" w:rsidR="003A71DE" w:rsidRPr="00CE0F04" w:rsidRDefault="003A71DE" w:rsidP="001A5D47">
            <w:pPr>
              <w:pStyle w:val="TAC"/>
              <w:rPr>
                <w:lang w:eastAsia="zh-CN"/>
              </w:rPr>
            </w:pPr>
            <w:r w:rsidRPr="00CE0F04">
              <w:rPr>
                <w:lang w:eastAsia="zh-CN"/>
              </w:rPr>
              <w:t>-64.59</w:t>
            </w:r>
          </w:p>
        </w:tc>
        <w:tc>
          <w:tcPr>
            <w:tcW w:w="851" w:type="dxa"/>
          </w:tcPr>
          <w:p w14:paraId="1F1E7E85" w14:textId="77777777" w:rsidR="003A71DE" w:rsidRPr="00CE0F04" w:rsidRDefault="003A71DE" w:rsidP="001A5D47">
            <w:pPr>
              <w:pStyle w:val="TAC"/>
              <w:rPr>
                <w:lang w:eastAsia="zh-CN"/>
              </w:rPr>
            </w:pPr>
            <w:r w:rsidRPr="00CE0F04">
              <w:t>-infinity</w:t>
            </w:r>
          </w:p>
        </w:tc>
        <w:tc>
          <w:tcPr>
            <w:tcW w:w="899" w:type="dxa"/>
          </w:tcPr>
          <w:p w14:paraId="6FE8682A" w14:textId="77777777" w:rsidR="003A71DE" w:rsidRPr="00CE0F04" w:rsidRDefault="003A71DE" w:rsidP="001A5D47">
            <w:pPr>
              <w:pStyle w:val="TAC"/>
              <w:rPr>
                <w:lang w:eastAsia="zh-CN"/>
              </w:rPr>
            </w:pPr>
            <w:r w:rsidRPr="00CE0F04">
              <w:t>-infinity</w:t>
            </w:r>
          </w:p>
        </w:tc>
        <w:tc>
          <w:tcPr>
            <w:tcW w:w="802" w:type="dxa"/>
          </w:tcPr>
          <w:p w14:paraId="41F107C6" w14:textId="77777777" w:rsidR="003A71DE" w:rsidRPr="00CE0F04" w:rsidDel="004B51DC" w:rsidRDefault="003A71DE" w:rsidP="001A5D47">
            <w:pPr>
              <w:pStyle w:val="TAC"/>
            </w:pPr>
            <w:r w:rsidRPr="00CE0F04">
              <w:t>-infinity</w:t>
            </w:r>
          </w:p>
        </w:tc>
        <w:tc>
          <w:tcPr>
            <w:tcW w:w="850" w:type="dxa"/>
          </w:tcPr>
          <w:p w14:paraId="56C3FBCA" w14:textId="77777777" w:rsidR="003A71DE" w:rsidRPr="00CE0F04" w:rsidDel="004B51DC" w:rsidRDefault="003A71DE" w:rsidP="001A5D47">
            <w:pPr>
              <w:pStyle w:val="TAC"/>
            </w:pPr>
            <w:r w:rsidRPr="00CE0F04">
              <w:t>-infinity</w:t>
            </w:r>
          </w:p>
        </w:tc>
        <w:tc>
          <w:tcPr>
            <w:tcW w:w="767" w:type="dxa"/>
          </w:tcPr>
          <w:p w14:paraId="379F4B73" w14:textId="77777777" w:rsidR="003A71DE" w:rsidRPr="00CE0F04" w:rsidRDefault="003A71DE" w:rsidP="001A5D47">
            <w:pPr>
              <w:pStyle w:val="TAC"/>
              <w:rPr>
                <w:lang w:eastAsia="zh-CN"/>
              </w:rPr>
            </w:pPr>
            <w:r w:rsidRPr="00CE0F04">
              <w:rPr>
                <w:lang w:eastAsia="zh-CN"/>
              </w:rPr>
              <w:t>-64.59</w:t>
            </w:r>
          </w:p>
        </w:tc>
      </w:tr>
      <w:tr w:rsidR="003A71DE" w:rsidRPr="00CE0F04" w14:paraId="71949FC7" w14:textId="77777777" w:rsidTr="003A71DE">
        <w:trPr>
          <w:cantSplit/>
          <w:jc w:val="center"/>
        </w:trPr>
        <w:tc>
          <w:tcPr>
            <w:tcW w:w="1951" w:type="dxa"/>
            <w:tcBorders>
              <w:top w:val="nil"/>
              <w:bottom w:val="nil"/>
            </w:tcBorders>
            <w:shd w:val="clear" w:color="auto" w:fill="auto"/>
          </w:tcPr>
          <w:p w14:paraId="2802BEAD" w14:textId="77777777" w:rsidR="003A71DE" w:rsidRPr="00CE0F04" w:rsidRDefault="003A71DE" w:rsidP="001A5D47">
            <w:pPr>
              <w:pStyle w:val="TAL"/>
            </w:pPr>
          </w:p>
        </w:tc>
        <w:tc>
          <w:tcPr>
            <w:tcW w:w="1588" w:type="dxa"/>
          </w:tcPr>
          <w:p w14:paraId="0C59B337" w14:textId="77777777" w:rsidR="003A71DE" w:rsidRPr="00CE0F04" w:rsidRDefault="003A71DE" w:rsidP="001A5D47">
            <w:pPr>
              <w:pStyle w:val="TAC"/>
            </w:pPr>
            <w:r w:rsidRPr="00CE0F04">
              <w:rPr>
                <w:lang w:eastAsia="zh-CN"/>
              </w:rPr>
              <w:t>dBm/9.36 MHz</w:t>
            </w:r>
          </w:p>
        </w:tc>
        <w:tc>
          <w:tcPr>
            <w:tcW w:w="1624" w:type="dxa"/>
          </w:tcPr>
          <w:p w14:paraId="683CF994" w14:textId="77777777" w:rsidR="003A71DE" w:rsidRPr="00CE0F04" w:rsidRDefault="003A71DE" w:rsidP="001A5D47">
            <w:pPr>
              <w:pStyle w:val="TAC"/>
              <w:rPr>
                <w:lang w:eastAsia="zh-CN"/>
              </w:rPr>
            </w:pPr>
            <w:r w:rsidRPr="00CE0F04">
              <w:rPr>
                <w:lang w:eastAsia="zh-CN"/>
              </w:rPr>
              <w:t>2</w:t>
            </w:r>
          </w:p>
        </w:tc>
        <w:tc>
          <w:tcPr>
            <w:tcW w:w="992" w:type="dxa"/>
          </w:tcPr>
          <w:p w14:paraId="063F903D" w14:textId="77777777" w:rsidR="003A71DE" w:rsidRPr="00CE0F04" w:rsidRDefault="003A71DE" w:rsidP="001A5D47">
            <w:pPr>
              <w:pStyle w:val="TAC"/>
              <w:rPr>
                <w:lang w:eastAsia="zh-CN"/>
              </w:rPr>
            </w:pPr>
            <w:r w:rsidRPr="00CE0F04">
              <w:rPr>
                <w:lang w:eastAsia="zh-CN"/>
              </w:rPr>
              <w:t>-58.50</w:t>
            </w:r>
          </w:p>
        </w:tc>
        <w:tc>
          <w:tcPr>
            <w:tcW w:w="851" w:type="dxa"/>
          </w:tcPr>
          <w:p w14:paraId="4F8D3619" w14:textId="77777777" w:rsidR="003A71DE" w:rsidRPr="00CE0F04" w:rsidRDefault="003A71DE" w:rsidP="001A5D47">
            <w:pPr>
              <w:pStyle w:val="TAC"/>
            </w:pPr>
            <w:r w:rsidRPr="00CE0F04">
              <w:t>-infinity</w:t>
            </w:r>
          </w:p>
        </w:tc>
        <w:tc>
          <w:tcPr>
            <w:tcW w:w="899" w:type="dxa"/>
          </w:tcPr>
          <w:p w14:paraId="776130EC" w14:textId="77777777" w:rsidR="003A71DE" w:rsidRPr="00CE0F04" w:rsidRDefault="003A71DE" w:rsidP="001A5D47">
            <w:pPr>
              <w:pStyle w:val="TAC"/>
            </w:pPr>
            <w:r w:rsidRPr="00CE0F04">
              <w:t>-infinity</w:t>
            </w:r>
          </w:p>
        </w:tc>
        <w:tc>
          <w:tcPr>
            <w:tcW w:w="802" w:type="dxa"/>
          </w:tcPr>
          <w:p w14:paraId="669ED7C0" w14:textId="77777777" w:rsidR="003A71DE" w:rsidRPr="00CE0F04" w:rsidDel="004B51DC" w:rsidRDefault="003A71DE" w:rsidP="001A5D47">
            <w:pPr>
              <w:pStyle w:val="TAC"/>
            </w:pPr>
            <w:r w:rsidRPr="00CE0F04">
              <w:t>-infinity</w:t>
            </w:r>
          </w:p>
        </w:tc>
        <w:tc>
          <w:tcPr>
            <w:tcW w:w="850" w:type="dxa"/>
          </w:tcPr>
          <w:p w14:paraId="76C7D111" w14:textId="77777777" w:rsidR="003A71DE" w:rsidRPr="00CE0F04" w:rsidDel="004B51DC" w:rsidRDefault="003A71DE" w:rsidP="001A5D47">
            <w:pPr>
              <w:pStyle w:val="TAC"/>
            </w:pPr>
            <w:r w:rsidRPr="00CE0F04">
              <w:t>-infinity</w:t>
            </w:r>
          </w:p>
        </w:tc>
        <w:tc>
          <w:tcPr>
            <w:tcW w:w="767" w:type="dxa"/>
          </w:tcPr>
          <w:p w14:paraId="6AAC5DBA" w14:textId="77777777" w:rsidR="003A71DE" w:rsidRPr="00CE0F04" w:rsidRDefault="003A71DE" w:rsidP="001A5D47">
            <w:pPr>
              <w:pStyle w:val="TAC"/>
            </w:pPr>
            <w:r w:rsidRPr="00CE0F04">
              <w:rPr>
                <w:lang w:eastAsia="zh-CN"/>
              </w:rPr>
              <w:t>-58.50</w:t>
            </w:r>
          </w:p>
        </w:tc>
      </w:tr>
      <w:tr w:rsidR="003A71DE" w:rsidRPr="00CE0F04" w14:paraId="317149D5" w14:textId="77777777" w:rsidTr="003A71DE">
        <w:trPr>
          <w:cantSplit/>
          <w:jc w:val="center"/>
        </w:trPr>
        <w:tc>
          <w:tcPr>
            <w:tcW w:w="1951" w:type="dxa"/>
          </w:tcPr>
          <w:p w14:paraId="6DC2951E" w14:textId="77777777" w:rsidR="003A71DE" w:rsidRPr="00CE0F04" w:rsidRDefault="003A71DE" w:rsidP="001A5D47">
            <w:pPr>
              <w:pStyle w:val="TAL"/>
            </w:pPr>
            <w:r w:rsidRPr="00CE0F04">
              <w:t xml:space="preserve">Propagation Condition </w:t>
            </w:r>
          </w:p>
        </w:tc>
        <w:tc>
          <w:tcPr>
            <w:tcW w:w="1588" w:type="dxa"/>
          </w:tcPr>
          <w:p w14:paraId="5CDF9B9B" w14:textId="77777777" w:rsidR="003A71DE" w:rsidRPr="00CE0F04" w:rsidRDefault="003A71DE" w:rsidP="001A5D47">
            <w:pPr>
              <w:pStyle w:val="TAC"/>
            </w:pPr>
          </w:p>
        </w:tc>
        <w:tc>
          <w:tcPr>
            <w:tcW w:w="1624" w:type="dxa"/>
          </w:tcPr>
          <w:p w14:paraId="09615EF5" w14:textId="77777777" w:rsidR="003A71DE" w:rsidRPr="00CE0F04" w:rsidRDefault="003A71DE" w:rsidP="001A5D47">
            <w:pPr>
              <w:pStyle w:val="TAC"/>
              <w:rPr>
                <w:lang w:eastAsia="zh-CN"/>
              </w:rPr>
            </w:pPr>
            <w:r w:rsidRPr="00CE0F04">
              <w:rPr>
                <w:lang w:eastAsia="zh-CN"/>
              </w:rPr>
              <w:t>1, 2</w:t>
            </w:r>
          </w:p>
        </w:tc>
        <w:tc>
          <w:tcPr>
            <w:tcW w:w="5161" w:type="dxa"/>
            <w:gridSpan w:val="6"/>
          </w:tcPr>
          <w:p w14:paraId="778481B7" w14:textId="77777777" w:rsidR="003A71DE" w:rsidRPr="00CE0F04" w:rsidRDefault="003A71DE" w:rsidP="001A5D47">
            <w:pPr>
              <w:pStyle w:val="TAC"/>
            </w:pPr>
            <w:r w:rsidRPr="00CE0F04">
              <w:t>AWGN</w:t>
            </w:r>
          </w:p>
        </w:tc>
      </w:tr>
      <w:tr w:rsidR="003A71DE" w:rsidRPr="00CE0F04" w14:paraId="1864DE83" w14:textId="77777777" w:rsidTr="003A71DE">
        <w:trPr>
          <w:cantSplit/>
          <w:jc w:val="center"/>
        </w:trPr>
        <w:tc>
          <w:tcPr>
            <w:tcW w:w="10324" w:type="dxa"/>
            <w:gridSpan w:val="9"/>
          </w:tcPr>
          <w:p w14:paraId="622A5010" w14:textId="77777777" w:rsidR="003A71DE" w:rsidRPr="00CE0F04" w:rsidRDefault="003A71DE" w:rsidP="001A5D47">
            <w:pPr>
              <w:pStyle w:val="TAN"/>
            </w:pPr>
            <w:r w:rsidRPr="00CE0F04">
              <w:t>Note 1:</w:t>
            </w:r>
            <w:r w:rsidRPr="00CE0F04">
              <w:tab/>
              <w:t>OCNG shall be used such that both cells are fully allocated and a constant total transmitted power spectral density is achieved for all OFDM symbols.</w:t>
            </w:r>
          </w:p>
          <w:p w14:paraId="0C4E4DEF" w14:textId="77777777" w:rsidR="003A71DE" w:rsidRPr="00CE0F04" w:rsidRDefault="003A71DE" w:rsidP="001A5D47">
            <w:pPr>
              <w:pStyle w:val="TAN"/>
            </w:pPr>
            <w:r w:rsidRPr="00CE0F04">
              <w:t>Note 2:</w:t>
            </w:r>
            <w:r w:rsidRPr="00CE0F04">
              <w:tab/>
              <w:t xml:space="preserve">Interference from other cells and noise sources not specified in the test is assumed to be constant over subcarriers and time and shall be modelled as AWGN of appropriate power for </w:t>
            </w:r>
            <w:r w:rsidRPr="00CE0F04">
              <w:object w:dxaOrig="400" w:dyaOrig="360" w14:anchorId="68C026BC">
                <v:shape id="_x0000_i1059" type="#_x0000_t75" style="width:22.15pt;height:22.15pt" o:ole="" fillcolor="window">
                  <v:imagedata r:id="rId71" o:title=""/>
                </v:shape>
                <o:OLEObject Type="Embed" ProgID="Equation.3" ShapeID="_x0000_i1059" DrawAspect="Content" ObjectID="_1734764439" r:id="rId81"/>
              </w:object>
            </w:r>
            <w:r w:rsidRPr="00CE0F04">
              <w:t xml:space="preserve"> to be fulfilled.</w:t>
            </w:r>
          </w:p>
          <w:p w14:paraId="33106E51" w14:textId="77777777" w:rsidR="003A71DE" w:rsidRPr="00CE0F04" w:rsidRDefault="003A71DE" w:rsidP="001A5D47">
            <w:pPr>
              <w:pStyle w:val="TAN"/>
            </w:pPr>
            <w:r w:rsidRPr="00CE0F04">
              <w:t>Note 3:</w:t>
            </w:r>
            <w:r w:rsidRPr="00CE0F04">
              <w:tab/>
              <w:t>SS-RSRP levels have been derived from other parameters for information purposes. They are not settable parameters themselves.</w:t>
            </w:r>
          </w:p>
        </w:tc>
      </w:tr>
    </w:tbl>
    <w:p w14:paraId="70B90D32" w14:textId="77777777" w:rsidR="003A71DE" w:rsidRPr="00CE0F04" w:rsidRDefault="003A71DE" w:rsidP="003A71DE"/>
    <w:p w14:paraId="063C2D8E" w14:textId="77777777" w:rsidR="003A71DE" w:rsidRPr="00CE0F04" w:rsidRDefault="003A71DE" w:rsidP="00BA0D24">
      <w:pPr>
        <w:pStyle w:val="H6"/>
      </w:pPr>
      <w:r w:rsidRPr="00CE0F04">
        <w:t>G.2.1.1.1.2.2</w:t>
      </w:r>
      <w:r w:rsidRPr="00CE0F04">
        <w:tab/>
        <w:t>Test Requirements</w:t>
      </w:r>
    </w:p>
    <w:p w14:paraId="4DAC53C3" w14:textId="77777777" w:rsidR="003A71DE" w:rsidRPr="00CE0F04" w:rsidRDefault="003A71DE" w:rsidP="003A71DE">
      <w:pPr>
        <w:rPr>
          <w:rFonts w:cs="v4.2.0"/>
        </w:rPr>
      </w:pPr>
      <w:r w:rsidRPr="00CE0F04">
        <w:rPr>
          <w:rFonts w:cs="v4.2.0"/>
        </w:rPr>
        <w:t xml:space="preserve">The RRC re-establishment delay is defined as the time from the start of time period T3, to the moment when the IAB-MT starts to send PRACH preambles to cell 2 for sending the </w:t>
      </w:r>
      <w:r w:rsidRPr="00CE0F04">
        <w:rPr>
          <w:i/>
        </w:rPr>
        <w:t>RRCReestablishmentRequest</w:t>
      </w:r>
      <w:r w:rsidRPr="00CE0F04">
        <w:t xml:space="preserve"> </w:t>
      </w:r>
      <w:r w:rsidRPr="00CE0F04">
        <w:rPr>
          <w:rFonts w:cs="v4.2.0"/>
        </w:rPr>
        <w:t>message to cell 2.</w:t>
      </w:r>
    </w:p>
    <w:p w14:paraId="67163C00" w14:textId="77777777" w:rsidR="003A71DE" w:rsidRPr="00CE0F04" w:rsidRDefault="003A71DE" w:rsidP="003A71DE">
      <w:pPr>
        <w:rPr>
          <w:rFonts w:cs="v4.2.0"/>
        </w:rPr>
      </w:pPr>
      <w:r w:rsidRPr="00CE0F04">
        <w:rPr>
          <w:rFonts w:cs="v4.2.0"/>
        </w:rPr>
        <w:t xml:space="preserve">The RRC re-establishment delay </w:t>
      </w:r>
      <w:r w:rsidRPr="00CE0F04">
        <w:t>to an unknown NR intra frequency cell</w:t>
      </w:r>
      <w:r w:rsidRPr="00CE0F04">
        <w:rPr>
          <w:rFonts w:cs="v4.2.0"/>
        </w:rPr>
        <w:t xml:space="preserve"> without serving cell timing shall be less than 8.1 s.</w:t>
      </w:r>
    </w:p>
    <w:p w14:paraId="5B08B5DF" w14:textId="77777777" w:rsidR="003A71DE" w:rsidRPr="00CE0F04" w:rsidRDefault="003A71DE" w:rsidP="003A71DE">
      <w:pPr>
        <w:ind w:left="568" w:hanging="284"/>
      </w:pPr>
      <w:r w:rsidRPr="00CE0F04">
        <w:t>The rate of correct RRC re-establishments observed during repeated tests shall be at least 90%.</w:t>
      </w:r>
    </w:p>
    <w:p w14:paraId="78361F19" w14:textId="77777777" w:rsidR="003A71DE" w:rsidRPr="00CE0F04" w:rsidRDefault="003A71DE" w:rsidP="003A71DE">
      <w:pPr>
        <w:keepLines/>
        <w:ind w:left="1135" w:hanging="851"/>
      </w:pPr>
      <w:r w:rsidRPr="00CE0F04">
        <w:t>NOTE:</w:t>
      </w:r>
      <w:r w:rsidRPr="00CE0F04">
        <w:tab/>
        <w:t>The RRC re-establishment delay in the test is derived from the following expression:</w:t>
      </w:r>
    </w:p>
    <w:p w14:paraId="4F540249" w14:textId="77777777" w:rsidR="003A71DE" w:rsidRPr="00CE0F04" w:rsidRDefault="00000000" w:rsidP="003A71DE">
      <w:pPr>
        <w:keepLines/>
        <w:tabs>
          <w:tab w:val="center" w:pos="4536"/>
          <w:tab w:val="right" w:pos="9072"/>
        </w:tabs>
        <w:spacing w:before="240" w:after="240"/>
        <w:jc w:val="center"/>
        <w:rPr>
          <w:i/>
          <w:noProof/>
          <w:vertAlign w:val="subscript"/>
        </w:rPr>
      </w:pPr>
      <m:oMathPara>
        <m:oMath>
          <m:sSub>
            <m:sSubPr>
              <m:ctrlPr>
                <w:rPr>
                  <w:rFonts w:ascii="Cambria Math" w:hAnsi="Cambria Math"/>
                </w:rPr>
              </m:ctrlPr>
            </m:sSubPr>
            <m:e>
              <m:r>
                <w:rPr>
                  <w:rFonts w:ascii="Cambria Math" w:hAnsi="Cambria Math"/>
                </w:rPr>
                <m:t>T</m:t>
              </m:r>
            </m:e>
            <m:sub>
              <m:r>
                <w:rPr>
                  <w:rFonts w:ascii="Cambria Math" w:hAnsi="Cambria Math"/>
                </w:rPr>
                <m:t>re-establish_delay</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IAB-MT_re-establish_delay</m:t>
              </m:r>
            </m:sub>
          </m:sSub>
          <m:r>
            <m:rPr>
              <m:sty m:val="p"/>
            </m:rPr>
            <w:rPr>
              <w:rFonts w:ascii="Cambria Math" w:hAnsi="Cambria Math"/>
              <w:noProof/>
            </w:rPr>
            <m:t>+</m:t>
          </m:r>
          <m:sSub>
            <m:sSubPr>
              <m:ctrlPr>
                <w:rPr>
                  <w:rFonts w:ascii="Cambria Math" w:hAnsi="Cambria Math"/>
                  <w:i/>
                </w:rPr>
              </m:ctrlPr>
            </m:sSubPr>
            <m:e>
              <m:r>
                <w:rPr>
                  <w:rFonts w:ascii="Cambria Math" w:hAnsi="Cambria Math"/>
                </w:rPr>
                <m:t>T</m:t>
              </m:r>
            </m:e>
            <m:sub>
              <m:r>
                <w:rPr>
                  <w:rFonts w:ascii="Cambria Math" w:hAnsi="Cambria Math"/>
                </w:rPr>
                <m:t>UL_grant</m:t>
              </m:r>
            </m:sub>
          </m:sSub>
        </m:oMath>
      </m:oMathPara>
    </w:p>
    <w:p w14:paraId="64E87C44" w14:textId="77777777" w:rsidR="003A71DE" w:rsidRPr="00CE0F04" w:rsidRDefault="003A71DE" w:rsidP="003A71DE">
      <w:pPr>
        <w:ind w:left="568" w:hanging="284"/>
      </w:pPr>
      <w:r w:rsidRPr="00CE0F04">
        <w:t>Where:</w:t>
      </w:r>
    </w:p>
    <w:p w14:paraId="45F41D10" w14:textId="77777777" w:rsidR="003A71DE" w:rsidRPr="00CE0F04" w:rsidRDefault="003A71DE" w:rsidP="003A71DE">
      <w:pPr>
        <w:ind w:left="568" w:hanging="284"/>
      </w:pPr>
      <w:r w:rsidRPr="00CE0F04">
        <w:tab/>
        <w:t>T</w:t>
      </w:r>
      <w:r w:rsidRPr="00CE0F04">
        <w:rPr>
          <w:vertAlign w:val="subscript"/>
        </w:rPr>
        <w:t>UL_grant</w:t>
      </w:r>
      <w:r w:rsidRPr="00CE0F04">
        <w:t xml:space="preserve"> = It is the time required to acquire and process uplink grant from the target cell.</w:t>
      </w:r>
      <w:r w:rsidRPr="00CE0F04">
        <w:rPr>
          <w:rFonts w:cs="v4.2.0"/>
        </w:rPr>
        <w:t xml:space="preserve"> The PRACH reception is used as a trigger for the completion of the test; hence </w:t>
      </w:r>
      <w:r w:rsidRPr="00CE0F04">
        <w:t>T</w:t>
      </w:r>
      <w:r w:rsidRPr="00CE0F04">
        <w:rPr>
          <w:vertAlign w:val="subscript"/>
        </w:rPr>
        <w:t xml:space="preserve">UL_grant </w:t>
      </w:r>
      <w:r w:rsidRPr="00CE0F04">
        <w:t>is not used.</w:t>
      </w:r>
    </w:p>
    <w:p w14:paraId="410BB8EB" w14:textId="77777777" w:rsidR="003A71DE" w:rsidRPr="00CE0F04" w:rsidRDefault="00000000" w:rsidP="003A71DE">
      <w:pPr>
        <w:keepLines/>
        <w:tabs>
          <w:tab w:val="center" w:pos="4536"/>
          <w:tab w:val="right" w:pos="9072"/>
        </w:tabs>
        <w:spacing w:before="240" w:after="240"/>
        <w:jc w:val="center"/>
        <w:rPr>
          <w:noProof/>
        </w:rPr>
      </w:pPr>
      <m:oMathPara>
        <m:oMath>
          <m:sSub>
            <m:sSubPr>
              <m:ctrlPr>
                <w:rPr>
                  <w:rFonts w:ascii="Cambria Math" w:hAnsi="Cambria Math"/>
                </w:rPr>
              </m:ctrlPr>
            </m:sSubPr>
            <m:e>
              <m:r>
                <w:rPr>
                  <w:rFonts w:ascii="Cambria Math" w:hAnsi="Cambria Math"/>
                </w:rPr>
                <m:t>T</m:t>
              </m:r>
            </m:e>
            <m:sub>
              <m:r>
                <w:rPr>
                  <w:rFonts w:ascii="Cambria Math" w:hAnsi="Cambria Math"/>
                </w:rPr>
                <m:t>IAB-MT_re-establish_delay</m:t>
              </m:r>
            </m:sub>
          </m:sSub>
          <m:r>
            <w:rPr>
              <w:rFonts w:ascii="Cambria Math" w:hAnsi="Cambria Math"/>
            </w:rPr>
            <m:t xml:space="preserve">=400 </m:t>
          </m:r>
          <m:r>
            <m:rPr>
              <m:sty m:val="p"/>
            </m:rPr>
            <w:rPr>
              <w:rFonts w:ascii="Cambria Math" w:hAnsi="Cambria Math"/>
            </w:rPr>
            <m:t>ms</m:t>
          </m:r>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identify_intra_NR</m:t>
              </m:r>
            </m:sub>
          </m:sSub>
          <m:r>
            <w:rPr>
              <w:rFonts w:ascii="Cambria Math" w:hAnsi="Cambria Math"/>
            </w:rPr>
            <m:t>+</m:t>
          </m:r>
          <m:nary>
            <m:naryPr>
              <m:chr m:val="∑"/>
              <m:limLoc m:val="subSup"/>
              <m:ctrlPr>
                <w:rPr>
                  <w:rFonts w:ascii="Cambria Math" w:hAnsi="Cambria Math"/>
                  <w:noProof/>
                </w:rPr>
              </m:ctrlPr>
            </m:naryPr>
            <m:sub>
              <m:r>
                <w:rPr>
                  <w:rFonts w:ascii="Cambria Math" w:hAnsi="Cambria Math"/>
                  <w:noProof/>
                </w:rPr>
                <m:t>i=1</m:t>
              </m:r>
            </m:sub>
            <m:sup>
              <m:sSub>
                <m:sSubPr>
                  <m:ctrlPr>
                    <w:rPr>
                      <w:rFonts w:ascii="Cambria Math" w:hAnsi="Cambria Math"/>
                      <w:i/>
                      <w:noProof/>
                    </w:rPr>
                  </m:ctrlPr>
                </m:sSubPr>
                <m:e>
                  <m:r>
                    <w:rPr>
                      <w:rFonts w:ascii="Cambria Math" w:hAnsi="Cambria Math"/>
                      <w:noProof/>
                    </w:rPr>
                    <m:t>N</m:t>
                  </m:r>
                </m:e>
                <m:sub>
                  <m:r>
                    <w:rPr>
                      <w:rFonts w:ascii="Cambria Math" w:hAnsi="Cambria Math"/>
                      <w:noProof/>
                    </w:rPr>
                    <m:t>freq</m:t>
                  </m:r>
                </m:sub>
              </m:sSub>
              <m:r>
                <w:rPr>
                  <w:rFonts w:ascii="Cambria Math" w:hAnsi="Cambria Math"/>
                  <w:noProof/>
                </w:rPr>
                <m:t>-1</m:t>
              </m:r>
            </m:sup>
            <m:e>
              <m:sSub>
                <m:sSubPr>
                  <m:ctrlPr>
                    <w:rPr>
                      <w:rFonts w:ascii="Cambria Math" w:hAnsi="Cambria Math"/>
                      <w:i/>
                      <w:noProof/>
                    </w:rPr>
                  </m:ctrlPr>
                </m:sSubPr>
                <m:e>
                  <m:r>
                    <w:rPr>
                      <w:rFonts w:ascii="Cambria Math" w:hAnsi="Cambria Math"/>
                      <w:noProof/>
                    </w:rPr>
                    <m:t>T</m:t>
                  </m:r>
                </m:e>
                <m:sub>
                  <m:r>
                    <w:rPr>
                      <w:rFonts w:ascii="Cambria Math" w:hAnsi="Cambria Math"/>
                      <w:noProof/>
                    </w:rPr>
                    <m:t>identify_inter_NR,i</m:t>
                  </m:r>
                </m:sub>
              </m:sSub>
            </m:e>
          </m:nary>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SI-NR</m:t>
              </m:r>
            </m:sub>
          </m:sSub>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PRACH</m:t>
              </m:r>
            </m:sub>
          </m:sSub>
        </m:oMath>
      </m:oMathPara>
    </w:p>
    <w:p w14:paraId="79C1DB7F" w14:textId="77777777" w:rsidR="003A71DE" w:rsidRPr="00CE0F04" w:rsidRDefault="003A71DE" w:rsidP="003A71DE">
      <w:pPr>
        <w:ind w:left="568" w:hanging="284"/>
      </w:pPr>
      <w:r w:rsidRPr="00CE0F04">
        <w:rPr>
          <w:rFonts w:cs="v4.2.0"/>
        </w:rPr>
        <w:tab/>
        <w:t>N</w:t>
      </w:r>
      <w:r w:rsidRPr="00CE0F04">
        <w:rPr>
          <w:rFonts w:cs="v4.2.0"/>
          <w:vertAlign w:val="subscript"/>
        </w:rPr>
        <w:t>freq</w:t>
      </w:r>
      <w:r w:rsidRPr="00CE0F04">
        <w:t xml:space="preserve"> = 1</w:t>
      </w:r>
    </w:p>
    <w:p w14:paraId="1D0E85F5" w14:textId="77777777" w:rsidR="003A71DE" w:rsidRPr="00CE0F04" w:rsidRDefault="003A71DE" w:rsidP="003A71DE">
      <w:pPr>
        <w:ind w:left="568" w:hanging="284"/>
      </w:pPr>
      <w:r w:rsidRPr="00CE0F04">
        <w:rPr>
          <w:rFonts w:cs="v4.2.0"/>
          <w:iCs/>
        </w:rPr>
        <w:tab/>
        <w:t>T</w:t>
      </w:r>
      <w:r w:rsidRPr="00CE0F04">
        <w:rPr>
          <w:rFonts w:cs="v4.2.0"/>
          <w:iCs/>
          <w:vertAlign w:val="subscript"/>
        </w:rPr>
        <w:t>identify_intra_NR</w:t>
      </w:r>
      <w:r w:rsidRPr="00CE0F04">
        <w:t xml:space="preserve"> = 6400 ms</w:t>
      </w:r>
    </w:p>
    <w:p w14:paraId="5135D45B" w14:textId="77777777" w:rsidR="003A71DE" w:rsidRPr="00CE0F04" w:rsidRDefault="003A71DE" w:rsidP="003A71DE">
      <w:pPr>
        <w:ind w:left="568" w:hanging="284"/>
      </w:pPr>
      <w:r w:rsidRPr="00CE0F04">
        <w:tab/>
        <w:t>T</w:t>
      </w:r>
      <w:r w:rsidRPr="00CE0F04">
        <w:rPr>
          <w:vertAlign w:val="subscript"/>
        </w:rPr>
        <w:t>SI</w:t>
      </w:r>
      <w:r w:rsidRPr="00CE0F04">
        <w:t xml:space="preserve"> </w:t>
      </w:r>
      <w:r w:rsidRPr="00CE0F04">
        <w:rPr>
          <w:iCs/>
        </w:rPr>
        <w:t xml:space="preserve">= 1280 ms; it is the </w:t>
      </w:r>
      <w:r w:rsidRPr="00CE0F04">
        <w:rPr>
          <w:rFonts w:cs="v4.2.0"/>
        </w:rPr>
        <w:t xml:space="preserve">time required for receiving all the relevant system information as </w:t>
      </w:r>
      <w:r w:rsidRPr="00CE0F04">
        <w:t xml:space="preserve">defined in TS 38.331 [2] </w:t>
      </w:r>
      <w:r w:rsidRPr="00CE0F04">
        <w:rPr>
          <w:rFonts w:cs="v4.2.0"/>
        </w:rPr>
        <w:t>for the target intra-frequency NR cell.</w:t>
      </w:r>
    </w:p>
    <w:p w14:paraId="1920846C" w14:textId="77777777" w:rsidR="003A71DE" w:rsidRPr="00CE0F04" w:rsidRDefault="003A71DE" w:rsidP="003A71DE">
      <w:pPr>
        <w:ind w:left="568" w:hanging="284"/>
      </w:pPr>
      <w:r w:rsidRPr="00CE0F04">
        <w:rPr>
          <w:rFonts w:cs="v4.2.0"/>
        </w:rPr>
        <w:tab/>
        <w:t>T</w:t>
      </w:r>
      <w:r w:rsidRPr="00CE0F04">
        <w:rPr>
          <w:rFonts w:cs="v4.2.0"/>
          <w:vertAlign w:val="subscript"/>
        </w:rPr>
        <w:t>PRACH</w:t>
      </w:r>
      <w:r w:rsidRPr="00CE0F04">
        <w:rPr>
          <w:vertAlign w:val="subscript"/>
        </w:rPr>
        <w:t xml:space="preserve"> </w:t>
      </w:r>
      <w:r w:rsidRPr="00CE0F04">
        <w:t>= 15 ms; it is the additional delay caused by the random access procedure.</w:t>
      </w:r>
    </w:p>
    <w:p w14:paraId="0F84E327" w14:textId="77777777" w:rsidR="003A71DE" w:rsidRPr="00CE0F04" w:rsidRDefault="003A71DE" w:rsidP="003A71DE">
      <w:pPr>
        <w:ind w:left="568" w:hanging="284"/>
      </w:pPr>
      <w:r w:rsidRPr="00CE0F04">
        <w:t>This gives a total of 8095 ms, allow 8.1 s in the test case.</w:t>
      </w:r>
    </w:p>
    <w:p w14:paraId="780B0051" w14:textId="77777777" w:rsidR="003A71DE" w:rsidRPr="00CE0F04" w:rsidRDefault="003A71DE" w:rsidP="00BA0D24">
      <w:pPr>
        <w:pStyle w:val="H6"/>
        <w:rPr>
          <w:snapToGrid w:val="0"/>
        </w:rPr>
      </w:pPr>
      <w:r w:rsidRPr="00CE0F04">
        <w:rPr>
          <w:snapToGrid w:val="0"/>
        </w:rPr>
        <w:t>G.2.1.1.1.3</w:t>
      </w:r>
      <w:r w:rsidRPr="00CE0F04">
        <w:rPr>
          <w:snapToGrid w:val="0"/>
        </w:rPr>
        <w:tab/>
        <w:t>Inter-frequency RRC Re-establishment in FR2 for LA IAB-MT</w:t>
      </w:r>
    </w:p>
    <w:p w14:paraId="5918299F" w14:textId="77777777" w:rsidR="003A71DE" w:rsidRPr="00CE0F04" w:rsidRDefault="003A71DE" w:rsidP="00BA0D24">
      <w:pPr>
        <w:pStyle w:val="H6"/>
      </w:pPr>
      <w:r w:rsidRPr="00CE0F04">
        <w:t>G.2.1.1.1.3.1</w:t>
      </w:r>
      <w:r w:rsidRPr="00CE0F04">
        <w:tab/>
      </w:r>
      <w:r w:rsidRPr="00CE0F04">
        <w:rPr>
          <w:snapToGrid w:val="0"/>
        </w:rPr>
        <w:t>Test Purpose and Environment</w:t>
      </w:r>
    </w:p>
    <w:p w14:paraId="0F019EE4" w14:textId="77777777" w:rsidR="003A71DE" w:rsidRPr="00CE0F04" w:rsidRDefault="003A71DE" w:rsidP="003A71DE">
      <w:r w:rsidRPr="00CE0F04">
        <w:t>The purpose is to verify that the NR inter-frequency RRC re-establishment delay in FR2 without known target cell is within the specified limits. These tests will verify the requirements in clause </w:t>
      </w:r>
      <w:r w:rsidRPr="00CE0F04">
        <w:rPr>
          <w:rFonts w:cs="v4.2.0"/>
        </w:rPr>
        <w:t>12.1.1.1. This test case is applicable only for local area IAB-MT and for IAB type 2-O.</w:t>
      </w:r>
    </w:p>
    <w:p w14:paraId="4C395A68" w14:textId="77777777" w:rsidR="003A71DE" w:rsidRPr="00CE0F04" w:rsidRDefault="003A71DE" w:rsidP="003A71DE">
      <w:r w:rsidRPr="00CE0F04">
        <w:t>The test parameters are given in table G.2.1.1.1.3.1-1, table G.2.1.1.1.3.1-2 and table G.2.1.1.1.3.1-3 below. The test consists of 3 successive time periods, with time duration of T1, T2 and T3 respectively. At the start of time period T2, cell 1, which is the active cell, becomes inactive. The time period T3 starts after the occurrence of the radio link failure. During T1, the IAB-MT shall be configured with the carrier frequency of cell 2 (with RF Channel Number #2) to ensure that the IAB-MT has the context of the carrier frequency of cell 2 by the end of T1.</w:t>
      </w:r>
    </w:p>
    <w:p w14:paraId="4F4E2FDB" w14:textId="77777777" w:rsidR="003A71DE" w:rsidRPr="00CE0F04" w:rsidRDefault="003A71DE" w:rsidP="003A71DE">
      <w:pPr>
        <w:keepNext/>
        <w:keepLines/>
        <w:spacing w:before="60"/>
        <w:jc w:val="center"/>
        <w:rPr>
          <w:rFonts w:ascii="Arial" w:hAnsi="Arial"/>
          <w:b/>
        </w:rPr>
      </w:pPr>
      <w:r w:rsidRPr="00CE0F04">
        <w:rPr>
          <w:rFonts w:ascii="Arial" w:hAnsi="Arial"/>
          <w:b/>
        </w:rPr>
        <w:t>Table G.2.1.1.1.3.1-1: Supported test configurations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6"/>
        <w:gridCol w:w="7285"/>
      </w:tblGrid>
      <w:tr w:rsidR="003A71DE" w:rsidRPr="00CE0F04" w14:paraId="09A8A23C" w14:textId="77777777" w:rsidTr="003A71DE">
        <w:tc>
          <w:tcPr>
            <w:tcW w:w="2376" w:type="dxa"/>
            <w:shd w:val="clear" w:color="auto" w:fill="auto"/>
            <w:vAlign w:val="center"/>
          </w:tcPr>
          <w:p w14:paraId="058EC9DE" w14:textId="77777777" w:rsidR="003A71DE" w:rsidRPr="00CE0F04" w:rsidRDefault="003A71DE" w:rsidP="001A5D47">
            <w:pPr>
              <w:pStyle w:val="TAH"/>
            </w:pPr>
            <w:r w:rsidRPr="00CE0F04">
              <w:t>Configuration</w:t>
            </w:r>
          </w:p>
        </w:tc>
        <w:tc>
          <w:tcPr>
            <w:tcW w:w="7479" w:type="dxa"/>
            <w:shd w:val="clear" w:color="auto" w:fill="auto"/>
            <w:vAlign w:val="center"/>
          </w:tcPr>
          <w:p w14:paraId="51E2ECF0" w14:textId="77777777" w:rsidR="003A71DE" w:rsidRPr="00CE0F04" w:rsidRDefault="003A71DE" w:rsidP="001A5D47">
            <w:pPr>
              <w:pStyle w:val="TAH"/>
            </w:pPr>
            <w:r w:rsidRPr="00CE0F04">
              <w:t>Description</w:t>
            </w:r>
          </w:p>
        </w:tc>
      </w:tr>
      <w:tr w:rsidR="003A71DE" w:rsidRPr="00CE0F04" w14:paraId="6AC71E1E" w14:textId="77777777" w:rsidTr="003A71DE">
        <w:tc>
          <w:tcPr>
            <w:tcW w:w="2376" w:type="dxa"/>
            <w:shd w:val="clear" w:color="auto" w:fill="auto"/>
            <w:vAlign w:val="center"/>
          </w:tcPr>
          <w:p w14:paraId="2564929E" w14:textId="77777777" w:rsidR="003A71DE" w:rsidRPr="00CE0F04" w:rsidRDefault="003A71DE" w:rsidP="001A5D47">
            <w:pPr>
              <w:pStyle w:val="TAL"/>
            </w:pPr>
            <w:r w:rsidRPr="00CE0F04">
              <w:t>1</w:t>
            </w:r>
          </w:p>
        </w:tc>
        <w:tc>
          <w:tcPr>
            <w:tcW w:w="7479" w:type="dxa"/>
            <w:shd w:val="clear" w:color="auto" w:fill="auto"/>
            <w:vAlign w:val="center"/>
          </w:tcPr>
          <w:p w14:paraId="1E59816E" w14:textId="77777777" w:rsidR="003A71DE" w:rsidRPr="00CE0F04" w:rsidRDefault="003A71DE" w:rsidP="001A5D47">
            <w:pPr>
              <w:pStyle w:val="TAL"/>
            </w:pPr>
            <w:r w:rsidRPr="00CE0F04">
              <w:t>NR</w:t>
            </w:r>
            <w:r w:rsidRPr="00CE0F04">
              <w:rPr>
                <w:lang w:eastAsia="zh-CN"/>
              </w:rPr>
              <w:t xml:space="preserve"> 120</w:t>
            </w:r>
            <w:r w:rsidRPr="00CE0F04">
              <w:t xml:space="preserve"> kHz SSB SCS, 100 MHz bandwidth, </w:t>
            </w:r>
            <w:r w:rsidRPr="00CE0F04">
              <w:rPr>
                <w:lang w:eastAsia="zh-CN"/>
              </w:rPr>
              <w:t>TDD</w:t>
            </w:r>
            <w:r w:rsidRPr="00CE0F04">
              <w:t xml:space="preserve"> duplex mode</w:t>
            </w:r>
          </w:p>
        </w:tc>
      </w:tr>
    </w:tbl>
    <w:p w14:paraId="73DB57D6" w14:textId="77777777" w:rsidR="003A71DE" w:rsidRPr="00CE0F04" w:rsidRDefault="003A71DE" w:rsidP="003A71DE"/>
    <w:p w14:paraId="40C59F28" w14:textId="77777777" w:rsidR="003A71DE" w:rsidRPr="00CE0F04" w:rsidRDefault="003A71DE" w:rsidP="003A71DE">
      <w:pPr>
        <w:keepNext/>
        <w:keepLines/>
        <w:spacing w:before="60"/>
        <w:jc w:val="center"/>
        <w:rPr>
          <w:rFonts w:ascii="Arial" w:hAnsi="Arial"/>
          <w:b/>
        </w:rPr>
      </w:pPr>
      <w:r w:rsidRPr="00CE0F04">
        <w:rPr>
          <w:rFonts w:ascii="Arial" w:hAnsi="Arial"/>
          <w:b/>
        </w:rPr>
        <w:lastRenderedPageBreak/>
        <w:t>Table G.2.1.1.1.3.1-2: General test parameters for NR inter-frequency RRC Re-establishment test case in FR2</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794"/>
        <w:gridCol w:w="708"/>
        <w:gridCol w:w="1418"/>
        <w:gridCol w:w="1446"/>
        <w:gridCol w:w="3232"/>
      </w:tblGrid>
      <w:tr w:rsidR="003A71DE" w:rsidRPr="00CE0F04" w14:paraId="257A1283" w14:textId="77777777" w:rsidTr="003A71DE">
        <w:trPr>
          <w:cantSplit/>
        </w:trPr>
        <w:tc>
          <w:tcPr>
            <w:tcW w:w="2802" w:type="dxa"/>
            <w:gridSpan w:val="2"/>
          </w:tcPr>
          <w:p w14:paraId="7877A974" w14:textId="77777777" w:rsidR="003A71DE" w:rsidRPr="00CE0F04" w:rsidRDefault="003A71DE" w:rsidP="001A5D47">
            <w:pPr>
              <w:pStyle w:val="TAH"/>
            </w:pPr>
            <w:r w:rsidRPr="00CE0F04">
              <w:t>Parameter</w:t>
            </w:r>
          </w:p>
        </w:tc>
        <w:tc>
          <w:tcPr>
            <w:tcW w:w="708" w:type="dxa"/>
          </w:tcPr>
          <w:p w14:paraId="21ACC4DF" w14:textId="77777777" w:rsidR="003A71DE" w:rsidRPr="00CE0F04" w:rsidRDefault="003A71DE" w:rsidP="001A5D47">
            <w:pPr>
              <w:pStyle w:val="TAH"/>
            </w:pPr>
            <w:r w:rsidRPr="00CE0F04">
              <w:t>Unit</w:t>
            </w:r>
          </w:p>
        </w:tc>
        <w:tc>
          <w:tcPr>
            <w:tcW w:w="1418" w:type="dxa"/>
          </w:tcPr>
          <w:p w14:paraId="7C09710E" w14:textId="77777777" w:rsidR="003A71DE" w:rsidRPr="00CE0F04" w:rsidRDefault="003A71DE" w:rsidP="001A5D47">
            <w:pPr>
              <w:pStyle w:val="TAH"/>
              <w:rPr>
                <w:lang w:eastAsia="zh-CN"/>
              </w:rPr>
            </w:pPr>
            <w:r w:rsidRPr="00CE0F04">
              <w:rPr>
                <w:lang w:eastAsia="zh-CN"/>
              </w:rPr>
              <w:t>Test configuration</w:t>
            </w:r>
          </w:p>
        </w:tc>
        <w:tc>
          <w:tcPr>
            <w:tcW w:w="1446" w:type="dxa"/>
          </w:tcPr>
          <w:p w14:paraId="11432252" w14:textId="77777777" w:rsidR="003A71DE" w:rsidRPr="00CE0F04" w:rsidRDefault="003A71DE" w:rsidP="001A5D47">
            <w:pPr>
              <w:pStyle w:val="TAH"/>
            </w:pPr>
            <w:r w:rsidRPr="00CE0F04">
              <w:t>Value</w:t>
            </w:r>
          </w:p>
        </w:tc>
        <w:tc>
          <w:tcPr>
            <w:tcW w:w="3232" w:type="dxa"/>
          </w:tcPr>
          <w:p w14:paraId="57885D8F" w14:textId="77777777" w:rsidR="003A71DE" w:rsidRPr="00CE0F04" w:rsidRDefault="003A71DE" w:rsidP="001A5D47">
            <w:pPr>
              <w:pStyle w:val="TAH"/>
            </w:pPr>
            <w:r w:rsidRPr="00CE0F04">
              <w:t>Comment</w:t>
            </w:r>
          </w:p>
        </w:tc>
      </w:tr>
      <w:tr w:rsidR="003A71DE" w:rsidRPr="00CE0F04" w14:paraId="158A6D36" w14:textId="77777777" w:rsidTr="003A71DE">
        <w:trPr>
          <w:cantSplit/>
        </w:trPr>
        <w:tc>
          <w:tcPr>
            <w:tcW w:w="1008" w:type="dxa"/>
            <w:tcBorders>
              <w:bottom w:val="nil"/>
            </w:tcBorders>
            <w:shd w:val="clear" w:color="auto" w:fill="auto"/>
          </w:tcPr>
          <w:p w14:paraId="57250414" w14:textId="77777777" w:rsidR="003A71DE" w:rsidRPr="00CE0F04" w:rsidRDefault="003A71DE" w:rsidP="001A5D47">
            <w:pPr>
              <w:pStyle w:val="TAL"/>
            </w:pPr>
            <w:r w:rsidRPr="00CE0F04">
              <w:t>Initial condition</w:t>
            </w:r>
          </w:p>
        </w:tc>
        <w:tc>
          <w:tcPr>
            <w:tcW w:w="1794" w:type="dxa"/>
          </w:tcPr>
          <w:p w14:paraId="421A60F6" w14:textId="77777777" w:rsidR="003A71DE" w:rsidRPr="00CE0F04" w:rsidRDefault="003A71DE" w:rsidP="001A5D47">
            <w:pPr>
              <w:pStyle w:val="TAL"/>
            </w:pPr>
            <w:r w:rsidRPr="00CE0F04">
              <w:t>Active cell</w:t>
            </w:r>
          </w:p>
        </w:tc>
        <w:tc>
          <w:tcPr>
            <w:tcW w:w="708" w:type="dxa"/>
          </w:tcPr>
          <w:p w14:paraId="09069436" w14:textId="77777777" w:rsidR="003A71DE" w:rsidRPr="00CE0F04" w:rsidRDefault="003A71DE" w:rsidP="001A5D47">
            <w:pPr>
              <w:pStyle w:val="TAC"/>
            </w:pPr>
          </w:p>
        </w:tc>
        <w:tc>
          <w:tcPr>
            <w:tcW w:w="1418" w:type="dxa"/>
          </w:tcPr>
          <w:p w14:paraId="5C70A319" w14:textId="77777777" w:rsidR="003A71DE" w:rsidRPr="00CE0F04" w:rsidRDefault="003A71DE" w:rsidP="001A5D47">
            <w:pPr>
              <w:pStyle w:val="TAC"/>
              <w:rPr>
                <w:lang w:eastAsia="zh-CN"/>
              </w:rPr>
            </w:pPr>
            <w:r w:rsidRPr="00CE0F04">
              <w:rPr>
                <w:lang w:eastAsia="zh-CN"/>
              </w:rPr>
              <w:t>1</w:t>
            </w:r>
          </w:p>
        </w:tc>
        <w:tc>
          <w:tcPr>
            <w:tcW w:w="1446" w:type="dxa"/>
          </w:tcPr>
          <w:p w14:paraId="682DDADC" w14:textId="77777777" w:rsidR="003A71DE" w:rsidRPr="00CE0F04" w:rsidRDefault="003A71DE" w:rsidP="001A5D47">
            <w:pPr>
              <w:pStyle w:val="TAC"/>
            </w:pPr>
            <w:r w:rsidRPr="00CE0F04">
              <w:t>Cell1</w:t>
            </w:r>
          </w:p>
        </w:tc>
        <w:tc>
          <w:tcPr>
            <w:tcW w:w="3232" w:type="dxa"/>
          </w:tcPr>
          <w:p w14:paraId="42320F86" w14:textId="77777777" w:rsidR="003A71DE" w:rsidRPr="00CE0F04" w:rsidRDefault="003A71DE" w:rsidP="001A5D47">
            <w:pPr>
              <w:pStyle w:val="TAC"/>
            </w:pPr>
          </w:p>
        </w:tc>
      </w:tr>
      <w:tr w:rsidR="003A71DE" w:rsidRPr="00CE0F04" w14:paraId="17A329C9" w14:textId="77777777" w:rsidTr="003A71DE">
        <w:trPr>
          <w:cantSplit/>
          <w:trHeight w:val="463"/>
        </w:trPr>
        <w:tc>
          <w:tcPr>
            <w:tcW w:w="1008" w:type="dxa"/>
            <w:tcBorders>
              <w:top w:val="nil"/>
            </w:tcBorders>
            <w:shd w:val="clear" w:color="auto" w:fill="auto"/>
          </w:tcPr>
          <w:p w14:paraId="7A8C68CF" w14:textId="77777777" w:rsidR="003A71DE" w:rsidRPr="00CE0F04" w:rsidRDefault="003A71DE" w:rsidP="001A5D47">
            <w:pPr>
              <w:pStyle w:val="TAL"/>
            </w:pPr>
          </w:p>
        </w:tc>
        <w:tc>
          <w:tcPr>
            <w:tcW w:w="1794" w:type="dxa"/>
          </w:tcPr>
          <w:p w14:paraId="779DD63D" w14:textId="77777777" w:rsidR="003A71DE" w:rsidRPr="00CE0F04" w:rsidRDefault="003A71DE" w:rsidP="001A5D47">
            <w:pPr>
              <w:pStyle w:val="TAL"/>
            </w:pPr>
            <w:r w:rsidRPr="00CE0F04">
              <w:t>Neighbour cells</w:t>
            </w:r>
          </w:p>
        </w:tc>
        <w:tc>
          <w:tcPr>
            <w:tcW w:w="708" w:type="dxa"/>
          </w:tcPr>
          <w:p w14:paraId="7D30EAE7" w14:textId="77777777" w:rsidR="003A71DE" w:rsidRPr="00CE0F04" w:rsidRDefault="003A71DE" w:rsidP="001A5D47">
            <w:pPr>
              <w:pStyle w:val="TAC"/>
            </w:pPr>
          </w:p>
        </w:tc>
        <w:tc>
          <w:tcPr>
            <w:tcW w:w="1418" w:type="dxa"/>
          </w:tcPr>
          <w:p w14:paraId="58B08CCA" w14:textId="77777777" w:rsidR="003A71DE" w:rsidRPr="00CE0F04" w:rsidRDefault="003A71DE" w:rsidP="001A5D47">
            <w:pPr>
              <w:pStyle w:val="TAC"/>
            </w:pPr>
            <w:r w:rsidRPr="00CE0F04">
              <w:rPr>
                <w:lang w:eastAsia="zh-CN"/>
              </w:rPr>
              <w:t>1</w:t>
            </w:r>
          </w:p>
        </w:tc>
        <w:tc>
          <w:tcPr>
            <w:tcW w:w="1446" w:type="dxa"/>
          </w:tcPr>
          <w:p w14:paraId="0815F861" w14:textId="77777777" w:rsidR="003A71DE" w:rsidRPr="00CE0F04" w:rsidRDefault="003A71DE" w:rsidP="001A5D47">
            <w:pPr>
              <w:pStyle w:val="TAC"/>
            </w:pPr>
            <w:r w:rsidRPr="00CE0F04">
              <w:t xml:space="preserve">Cell2 </w:t>
            </w:r>
          </w:p>
        </w:tc>
        <w:tc>
          <w:tcPr>
            <w:tcW w:w="3232" w:type="dxa"/>
            <w:tcBorders>
              <w:bottom w:val="single" w:sz="4" w:space="0" w:color="auto"/>
            </w:tcBorders>
          </w:tcPr>
          <w:p w14:paraId="4DE6504B" w14:textId="77777777" w:rsidR="003A71DE" w:rsidRPr="00CE0F04" w:rsidRDefault="003A71DE" w:rsidP="001A5D47">
            <w:pPr>
              <w:pStyle w:val="TAC"/>
            </w:pPr>
          </w:p>
        </w:tc>
      </w:tr>
      <w:tr w:rsidR="003A71DE" w:rsidRPr="00CE0F04" w14:paraId="30DFC734" w14:textId="77777777" w:rsidTr="003A71DE">
        <w:trPr>
          <w:cantSplit/>
        </w:trPr>
        <w:tc>
          <w:tcPr>
            <w:tcW w:w="1008" w:type="dxa"/>
          </w:tcPr>
          <w:p w14:paraId="6986C402" w14:textId="77777777" w:rsidR="003A71DE" w:rsidRPr="00CE0F04" w:rsidRDefault="003A71DE" w:rsidP="001A5D47">
            <w:pPr>
              <w:pStyle w:val="TAL"/>
            </w:pPr>
            <w:r w:rsidRPr="00CE0F04">
              <w:t>Final condition</w:t>
            </w:r>
          </w:p>
        </w:tc>
        <w:tc>
          <w:tcPr>
            <w:tcW w:w="1794" w:type="dxa"/>
          </w:tcPr>
          <w:p w14:paraId="721A5F35" w14:textId="77777777" w:rsidR="003A71DE" w:rsidRPr="00CE0F04" w:rsidRDefault="003A71DE" w:rsidP="001A5D47">
            <w:pPr>
              <w:pStyle w:val="TAL"/>
            </w:pPr>
            <w:r w:rsidRPr="00CE0F04">
              <w:t>Active cell</w:t>
            </w:r>
          </w:p>
        </w:tc>
        <w:tc>
          <w:tcPr>
            <w:tcW w:w="708" w:type="dxa"/>
          </w:tcPr>
          <w:p w14:paraId="78C37654" w14:textId="77777777" w:rsidR="003A71DE" w:rsidRPr="00CE0F04" w:rsidRDefault="003A71DE" w:rsidP="001A5D47">
            <w:pPr>
              <w:pStyle w:val="TAC"/>
            </w:pPr>
          </w:p>
        </w:tc>
        <w:tc>
          <w:tcPr>
            <w:tcW w:w="1418" w:type="dxa"/>
          </w:tcPr>
          <w:p w14:paraId="7D9F5AF0" w14:textId="77777777" w:rsidR="003A71DE" w:rsidRPr="00CE0F04" w:rsidRDefault="003A71DE" w:rsidP="001A5D47">
            <w:pPr>
              <w:pStyle w:val="TAC"/>
            </w:pPr>
            <w:r w:rsidRPr="00CE0F04">
              <w:rPr>
                <w:lang w:eastAsia="zh-CN"/>
              </w:rPr>
              <w:t>1</w:t>
            </w:r>
          </w:p>
        </w:tc>
        <w:tc>
          <w:tcPr>
            <w:tcW w:w="1446" w:type="dxa"/>
          </w:tcPr>
          <w:p w14:paraId="6570B514" w14:textId="77777777" w:rsidR="003A71DE" w:rsidRPr="00CE0F04" w:rsidRDefault="003A71DE" w:rsidP="001A5D47">
            <w:pPr>
              <w:pStyle w:val="TAC"/>
            </w:pPr>
            <w:r w:rsidRPr="00CE0F04">
              <w:t>Cell2</w:t>
            </w:r>
          </w:p>
        </w:tc>
        <w:tc>
          <w:tcPr>
            <w:tcW w:w="3232" w:type="dxa"/>
          </w:tcPr>
          <w:p w14:paraId="2FDF9EE7" w14:textId="77777777" w:rsidR="003A71DE" w:rsidRPr="00CE0F04" w:rsidRDefault="003A71DE" w:rsidP="001A5D47">
            <w:pPr>
              <w:pStyle w:val="TAC"/>
            </w:pPr>
          </w:p>
        </w:tc>
      </w:tr>
      <w:tr w:rsidR="003A71DE" w:rsidRPr="00CE0F04" w14:paraId="6C4161B2" w14:textId="77777777" w:rsidTr="003A71DE">
        <w:trPr>
          <w:cantSplit/>
        </w:trPr>
        <w:tc>
          <w:tcPr>
            <w:tcW w:w="2802" w:type="dxa"/>
            <w:gridSpan w:val="2"/>
          </w:tcPr>
          <w:p w14:paraId="13E9F414" w14:textId="77777777" w:rsidR="003A71DE" w:rsidRPr="00CE0F04" w:rsidRDefault="003A71DE" w:rsidP="001A5D47">
            <w:pPr>
              <w:pStyle w:val="TAL"/>
            </w:pPr>
            <w:r w:rsidRPr="00CE0F04">
              <w:rPr>
                <w:bCs/>
              </w:rPr>
              <w:t>RF Channel Number</w:t>
            </w:r>
          </w:p>
        </w:tc>
        <w:tc>
          <w:tcPr>
            <w:tcW w:w="708" w:type="dxa"/>
          </w:tcPr>
          <w:p w14:paraId="1145631C" w14:textId="77777777" w:rsidR="003A71DE" w:rsidRPr="00CE0F04" w:rsidRDefault="003A71DE" w:rsidP="001A5D47">
            <w:pPr>
              <w:pStyle w:val="TAC"/>
            </w:pPr>
          </w:p>
        </w:tc>
        <w:tc>
          <w:tcPr>
            <w:tcW w:w="1418" w:type="dxa"/>
          </w:tcPr>
          <w:p w14:paraId="2DF7D35C" w14:textId="77777777" w:rsidR="003A71DE" w:rsidRPr="00CE0F04" w:rsidRDefault="003A71DE" w:rsidP="001A5D47">
            <w:pPr>
              <w:pStyle w:val="TAC"/>
              <w:rPr>
                <w:bCs/>
              </w:rPr>
            </w:pPr>
            <w:r w:rsidRPr="00CE0F04">
              <w:rPr>
                <w:lang w:eastAsia="zh-CN"/>
              </w:rPr>
              <w:t>1</w:t>
            </w:r>
          </w:p>
        </w:tc>
        <w:tc>
          <w:tcPr>
            <w:tcW w:w="1446" w:type="dxa"/>
          </w:tcPr>
          <w:p w14:paraId="17742E04" w14:textId="77777777" w:rsidR="003A71DE" w:rsidRPr="00CE0F04" w:rsidRDefault="003A71DE" w:rsidP="001A5D47">
            <w:pPr>
              <w:pStyle w:val="TAC"/>
            </w:pPr>
            <w:r w:rsidRPr="00CE0F04">
              <w:rPr>
                <w:bCs/>
              </w:rPr>
              <w:t>1, 2</w:t>
            </w:r>
          </w:p>
        </w:tc>
        <w:tc>
          <w:tcPr>
            <w:tcW w:w="3232" w:type="dxa"/>
          </w:tcPr>
          <w:p w14:paraId="5F160EC4" w14:textId="77777777" w:rsidR="003A71DE" w:rsidRPr="00CE0F04" w:rsidRDefault="003A71DE" w:rsidP="001A5D47">
            <w:pPr>
              <w:pStyle w:val="TAC"/>
            </w:pPr>
          </w:p>
        </w:tc>
      </w:tr>
      <w:tr w:rsidR="003A71DE" w:rsidRPr="00CE0F04" w14:paraId="3D8041EE" w14:textId="77777777" w:rsidTr="003A71DE">
        <w:trPr>
          <w:cantSplit/>
        </w:trPr>
        <w:tc>
          <w:tcPr>
            <w:tcW w:w="2802" w:type="dxa"/>
            <w:gridSpan w:val="2"/>
          </w:tcPr>
          <w:p w14:paraId="234DEA78" w14:textId="77777777" w:rsidR="003A71DE" w:rsidRPr="00CE0F04" w:rsidRDefault="003A71DE" w:rsidP="001A5D47">
            <w:pPr>
              <w:pStyle w:val="TAL"/>
              <w:rPr>
                <w:lang w:eastAsia="zh-CN"/>
              </w:rPr>
            </w:pPr>
            <w:r w:rsidRPr="00CE0F04">
              <w:rPr>
                <w:lang w:eastAsia="zh-CN"/>
              </w:rPr>
              <w:t>Time offset between cells</w:t>
            </w:r>
          </w:p>
        </w:tc>
        <w:tc>
          <w:tcPr>
            <w:tcW w:w="708" w:type="dxa"/>
          </w:tcPr>
          <w:p w14:paraId="7F28BA5B" w14:textId="77777777" w:rsidR="003A71DE" w:rsidRPr="00CE0F04" w:rsidRDefault="003A71DE" w:rsidP="001A5D47">
            <w:pPr>
              <w:pStyle w:val="TAC"/>
            </w:pPr>
          </w:p>
        </w:tc>
        <w:tc>
          <w:tcPr>
            <w:tcW w:w="1418" w:type="dxa"/>
          </w:tcPr>
          <w:p w14:paraId="5882412C" w14:textId="77777777" w:rsidR="003A71DE" w:rsidRPr="00CE0F04" w:rsidRDefault="003A71DE" w:rsidP="001A5D47">
            <w:pPr>
              <w:pStyle w:val="TAC"/>
              <w:rPr>
                <w:lang w:eastAsia="zh-CN"/>
              </w:rPr>
            </w:pPr>
            <w:r w:rsidRPr="00CE0F04">
              <w:rPr>
                <w:lang w:eastAsia="zh-CN"/>
              </w:rPr>
              <w:t>1</w:t>
            </w:r>
          </w:p>
        </w:tc>
        <w:tc>
          <w:tcPr>
            <w:tcW w:w="1446" w:type="dxa"/>
          </w:tcPr>
          <w:p w14:paraId="180B289A" w14:textId="77777777" w:rsidR="003A71DE" w:rsidRPr="00CE0F04" w:rsidRDefault="003A71DE" w:rsidP="001A5D47">
            <w:pPr>
              <w:pStyle w:val="TAC"/>
            </w:pPr>
            <w:r w:rsidRPr="00CE0F04">
              <w:t xml:space="preserve">3 </w:t>
            </w:r>
            <w:r w:rsidRPr="00CE0F04">
              <w:sym w:font="Symbol" w:char="F06D"/>
            </w:r>
            <w:r w:rsidRPr="00CE0F04">
              <w:t>s</w:t>
            </w:r>
          </w:p>
        </w:tc>
        <w:tc>
          <w:tcPr>
            <w:tcW w:w="3232" w:type="dxa"/>
          </w:tcPr>
          <w:p w14:paraId="7F2159D5" w14:textId="77777777" w:rsidR="003A71DE" w:rsidRPr="00CE0F04" w:rsidRDefault="003A71DE" w:rsidP="001A5D47">
            <w:pPr>
              <w:pStyle w:val="TAC"/>
            </w:pPr>
            <w:r w:rsidRPr="00CE0F04">
              <w:t>Synchronous cells</w:t>
            </w:r>
          </w:p>
        </w:tc>
      </w:tr>
      <w:tr w:rsidR="003A71DE" w:rsidRPr="00CE0F04" w14:paraId="1B172C7C" w14:textId="77777777" w:rsidTr="003A71DE">
        <w:trPr>
          <w:cantSplit/>
        </w:trPr>
        <w:tc>
          <w:tcPr>
            <w:tcW w:w="2802" w:type="dxa"/>
            <w:gridSpan w:val="2"/>
          </w:tcPr>
          <w:p w14:paraId="7C6E238B" w14:textId="77777777" w:rsidR="003A71DE" w:rsidRPr="00CE0F04" w:rsidRDefault="003A71DE" w:rsidP="001A5D47">
            <w:pPr>
              <w:pStyle w:val="TAL"/>
            </w:pPr>
            <w:r w:rsidRPr="00CE0F04">
              <w:t>N310</w:t>
            </w:r>
          </w:p>
        </w:tc>
        <w:tc>
          <w:tcPr>
            <w:tcW w:w="708" w:type="dxa"/>
          </w:tcPr>
          <w:p w14:paraId="285694C4" w14:textId="77777777" w:rsidR="003A71DE" w:rsidRPr="00CE0F04" w:rsidRDefault="003A71DE" w:rsidP="001A5D47">
            <w:pPr>
              <w:pStyle w:val="TAC"/>
            </w:pPr>
            <w:r w:rsidRPr="00CE0F04">
              <w:t>-</w:t>
            </w:r>
          </w:p>
        </w:tc>
        <w:tc>
          <w:tcPr>
            <w:tcW w:w="1418" w:type="dxa"/>
          </w:tcPr>
          <w:p w14:paraId="1C95F40E" w14:textId="77777777" w:rsidR="003A71DE" w:rsidRPr="00CE0F04" w:rsidRDefault="003A71DE" w:rsidP="001A5D47">
            <w:pPr>
              <w:pStyle w:val="TAC"/>
            </w:pPr>
            <w:r w:rsidRPr="00CE0F04">
              <w:rPr>
                <w:lang w:eastAsia="zh-CN"/>
              </w:rPr>
              <w:t>1</w:t>
            </w:r>
          </w:p>
        </w:tc>
        <w:tc>
          <w:tcPr>
            <w:tcW w:w="1446" w:type="dxa"/>
          </w:tcPr>
          <w:p w14:paraId="3FC07030" w14:textId="77777777" w:rsidR="003A71DE" w:rsidRPr="00CE0F04" w:rsidRDefault="003A71DE" w:rsidP="001A5D47">
            <w:pPr>
              <w:pStyle w:val="TAC"/>
            </w:pPr>
            <w:r w:rsidRPr="00CE0F04">
              <w:t>1</w:t>
            </w:r>
          </w:p>
        </w:tc>
        <w:tc>
          <w:tcPr>
            <w:tcW w:w="3232" w:type="dxa"/>
          </w:tcPr>
          <w:p w14:paraId="549CB6A1" w14:textId="77777777" w:rsidR="003A71DE" w:rsidRPr="00CE0F04" w:rsidRDefault="003A71DE" w:rsidP="001A5D47">
            <w:pPr>
              <w:pStyle w:val="TAC"/>
            </w:pPr>
            <w:r w:rsidRPr="00CE0F04">
              <w:t>Maximum consecutive out-of-sync indications from lower layers</w:t>
            </w:r>
          </w:p>
        </w:tc>
      </w:tr>
      <w:tr w:rsidR="003A71DE" w:rsidRPr="00CE0F04" w14:paraId="7D4A91FF" w14:textId="77777777" w:rsidTr="003A71DE">
        <w:trPr>
          <w:cantSplit/>
        </w:trPr>
        <w:tc>
          <w:tcPr>
            <w:tcW w:w="2802" w:type="dxa"/>
            <w:gridSpan w:val="2"/>
          </w:tcPr>
          <w:p w14:paraId="63125D66" w14:textId="77777777" w:rsidR="003A71DE" w:rsidRPr="00CE0F04" w:rsidRDefault="003A71DE" w:rsidP="001A5D47">
            <w:pPr>
              <w:pStyle w:val="TAL"/>
            </w:pPr>
            <w:r w:rsidRPr="00CE0F04">
              <w:t>N311</w:t>
            </w:r>
          </w:p>
        </w:tc>
        <w:tc>
          <w:tcPr>
            <w:tcW w:w="708" w:type="dxa"/>
          </w:tcPr>
          <w:p w14:paraId="5295EF6A" w14:textId="77777777" w:rsidR="003A71DE" w:rsidRPr="00CE0F04" w:rsidRDefault="003A71DE" w:rsidP="001A5D47">
            <w:pPr>
              <w:pStyle w:val="TAC"/>
            </w:pPr>
            <w:r w:rsidRPr="00CE0F04">
              <w:t>-</w:t>
            </w:r>
          </w:p>
        </w:tc>
        <w:tc>
          <w:tcPr>
            <w:tcW w:w="1418" w:type="dxa"/>
          </w:tcPr>
          <w:p w14:paraId="5D0E9BC9" w14:textId="77777777" w:rsidR="003A71DE" w:rsidRPr="00CE0F04" w:rsidRDefault="003A71DE" w:rsidP="001A5D47">
            <w:pPr>
              <w:pStyle w:val="TAC"/>
            </w:pPr>
            <w:r w:rsidRPr="00CE0F04">
              <w:rPr>
                <w:lang w:eastAsia="zh-CN"/>
              </w:rPr>
              <w:t>1</w:t>
            </w:r>
          </w:p>
        </w:tc>
        <w:tc>
          <w:tcPr>
            <w:tcW w:w="1446" w:type="dxa"/>
          </w:tcPr>
          <w:p w14:paraId="147B458A" w14:textId="77777777" w:rsidR="003A71DE" w:rsidRPr="00CE0F04" w:rsidRDefault="003A71DE" w:rsidP="001A5D47">
            <w:pPr>
              <w:pStyle w:val="TAC"/>
            </w:pPr>
            <w:r w:rsidRPr="00CE0F04">
              <w:t>1</w:t>
            </w:r>
          </w:p>
        </w:tc>
        <w:tc>
          <w:tcPr>
            <w:tcW w:w="3232" w:type="dxa"/>
          </w:tcPr>
          <w:p w14:paraId="5827789A" w14:textId="77777777" w:rsidR="003A71DE" w:rsidRPr="00CE0F04" w:rsidRDefault="003A71DE" w:rsidP="001A5D47">
            <w:pPr>
              <w:pStyle w:val="TAC"/>
            </w:pPr>
            <w:r w:rsidRPr="00CE0F04">
              <w:t>Minimum consecutive in-sync indications from lower layers</w:t>
            </w:r>
          </w:p>
        </w:tc>
      </w:tr>
      <w:tr w:rsidR="003A71DE" w:rsidRPr="00CE0F04" w14:paraId="0711996D" w14:textId="77777777" w:rsidTr="003A71DE">
        <w:trPr>
          <w:cantSplit/>
        </w:trPr>
        <w:tc>
          <w:tcPr>
            <w:tcW w:w="2802" w:type="dxa"/>
            <w:gridSpan w:val="2"/>
          </w:tcPr>
          <w:p w14:paraId="30CFCC9D" w14:textId="77777777" w:rsidR="003A71DE" w:rsidRPr="00CE0F04" w:rsidRDefault="003A71DE" w:rsidP="001A5D47">
            <w:pPr>
              <w:pStyle w:val="TAL"/>
            </w:pPr>
            <w:r w:rsidRPr="00CE0F04">
              <w:t>T310</w:t>
            </w:r>
          </w:p>
        </w:tc>
        <w:tc>
          <w:tcPr>
            <w:tcW w:w="708" w:type="dxa"/>
          </w:tcPr>
          <w:p w14:paraId="2EE968F2" w14:textId="77777777" w:rsidR="003A71DE" w:rsidRPr="00CE0F04" w:rsidRDefault="003A71DE" w:rsidP="001A5D47">
            <w:pPr>
              <w:pStyle w:val="TAC"/>
            </w:pPr>
            <w:r w:rsidRPr="00CE0F04">
              <w:t>ms</w:t>
            </w:r>
          </w:p>
        </w:tc>
        <w:tc>
          <w:tcPr>
            <w:tcW w:w="1418" w:type="dxa"/>
          </w:tcPr>
          <w:p w14:paraId="4B6BD172" w14:textId="77777777" w:rsidR="003A71DE" w:rsidRPr="00CE0F04" w:rsidRDefault="003A71DE" w:rsidP="001A5D47">
            <w:pPr>
              <w:pStyle w:val="TAC"/>
            </w:pPr>
            <w:r w:rsidRPr="00CE0F04">
              <w:rPr>
                <w:lang w:eastAsia="zh-CN"/>
              </w:rPr>
              <w:t>1</w:t>
            </w:r>
          </w:p>
        </w:tc>
        <w:tc>
          <w:tcPr>
            <w:tcW w:w="1446" w:type="dxa"/>
          </w:tcPr>
          <w:p w14:paraId="024EF1D6" w14:textId="77777777" w:rsidR="003A71DE" w:rsidRPr="00CE0F04" w:rsidRDefault="003A71DE" w:rsidP="001A5D47">
            <w:pPr>
              <w:pStyle w:val="TAC"/>
            </w:pPr>
            <w:r w:rsidRPr="00CE0F04">
              <w:t>0</w:t>
            </w:r>
          </w:p>
        </w:tc>
        <w:tc>
          <w:tcPr>
            <w:tcW w:w="3232" w:type="dxa"/>
          </w:tcPr>
          <w:p w14:paraId="29A0560A" w14:textId="77777777" w:rsidR="003A71DE" w:rsidRPr="00CE0F04" w:rsidRDefault="003A71DE" w:rsidP="001A5D47">
            <w:pPr>
              <w:pStyle w:val="TAC"/>
            </w:pPr>
            <w:r w:rsidRPr="00CE0F04">
              <w:t>Radio link failure timer; T310 is disabled</w:t>
            </w:r>
          </w:p>
        </w:tc>
      </w:tr>
      <w:tr w:rsidR="003A71DE" w:rsidRPr="00CE0F04" w14:paraId="067E4D40" w14:textId="77777777" w:rsidTr="003A71DE">
        <w:trPr>
          <w:cantSplit/>
        </w:trPr>
        <w:tc>
          <w:tcPr>
            <w:tcW w:w="2802" w:type="dxa"/>
            <w:gridSpan w:val="2"/>
          </w:tcPr>
          <w:p w14:paraId="4937A245" w14:textId="77777777" w:rsidR="003A71DE" w:rsidRPr="00CE0F04" w:rsidRDefault="003A71DE" w:rsidP="001A5D47">
            <w:pPr>
              <w:pStyle w:val="TAL"/>
            </w:pPr>
            <w:r w:rsidRPr="00CE0F04">
              <w:t>T311</w:t>
            </w:r>
          </w:p>
        </w:tc>
        <w:tc>
          <w:tcPr>
            <w:tcW w:w="708" w:type="dxa"/>
          </w:tcPr>
          <w:p w14:paraId="76590954" w14:textId="77777777" w:rsidR="003A71DE" w:rsidRPr="00CE0F04" w:rsidRDefault="003A71DE" w:rsidP="001A5D47">
            <w:pPr>
              <w:pStyle w:val="TAC"/>
            </w:pPr>
            <w:r w:rsidRPr="00CE0F04">
              <w:t>ms</w:t>
            </w:r>
          </w:p>
        </w:tc>
        <w:tc>
          <w:tcPr>
            <w:tcW w:w="1418" w:type="dxa"/>
          </w:tcPr>
          <w:p w14:paraId="50C7DAAB" w14:textId="77777777" w:rsidR="003A71DE" w:rsidRPr="00CE0F04" w:rsidRDefault="003A71DE" w:rsidP="001A5D47">
            <w:pPr>
              <w:pStyle w:val="TAC"/>
            </w:pPr>
            <w:r w:rsidRPr="00CE0F04">
              <w:rPr>
                <w:lang w:eastAsia="zh-CN"/>
              </w:rPr>
              <w:t>1</w:t>
            </w:r>
          </w:p>
        </w:tc>
        <w:tc>
          <w:tcPr>
            <w:tcW w:w="1446" w:type="dxa"/>
          </w:tcPr>
          <w:p w14:paraId="1E1CB567" w14:textId="77777777" w:rsidR="003A71DE" w:rsidRPr="00CE0F04" w:rsidRDefault="003A71DE" w:rsidP="001A5D47">
            <w:pPr>
              <w:pStyle w:val="TAC"/>
            </w:pPr>
            <w:r w:rsidRPr="00CE0F04">
              <w:t>30000</w:t>
            </w:r>
          </w:p>
        </w:tc>
        <w:tc>
          <w:tcPr>
            <w:tcW w:w="3232" w:type="dxa"/>
          </w:tcPr>
          <w:p w14:paraId="4E67FDBE" w14:textId="77777777" w:rsidR="003A71DE" w:rsidRPr="00CE0F04" w:rsidRDefault="003A71DE" w:rsidP="001A5D47">
            <w:pPr>
              <w:pStyle w:val="TAC"/>
            </w:pPr>
            <w:r w:rsidRPr="00CE0F04">
              <w:t>RRC re-establishment timer</w:t>
            </w:r>
          </w:p>
        </w:tc>
      </w:tr>
      <w:tr w:rsidR="003A71DE" w:rsidRPr="00CE0F04" w14:paraId="1F6994AA" w14:textId="77777777" w:rsidTr="003A71DE">
        <w:trPr>
          <w:cantSplit/>
        </w:trPr>
        <w:tc>
          <w:tcPr>
            <w:tcW w:w="2802" w:type="dxa"/>
            <w:gridSpan w:val="2"/>
          </w:tcPr>
          <w:p w14:paraId="366640F4" w14:textId="77777777" w:rsidR="003A71DE" w:rsidRPr="00CE0F04" w:rsidRDefault="003A71DE" w:rsidP="001A5D47">
            <w:pPr>
              <w:pStyle w:val="TAL"/>
              <w:rPr>
                <w:lang w:eastAsia="zh-CN"/>
              </w:rPr>
            </w:pPr>
            <w:r w:rsidRPr="00CE0F04">
              <w:rPr>
                <w:lang w:eastAsia="zh-CN"/>
              </w:rPr>
              <w:t>Access Barring Information</w:t>
            </w:r>
          </w:p>
        </w:tc>
        <w:tc>
          <w:tcPr>
            <w:tcW w:w="708" w:type="dxa"/>
          </w:tcPr>
          <w:p w14:paraId="0BD6AD08" w14:textId="77777777" w:rsidR="003A71DE" w:rsidRPr="00CE0F04" w:rsidRDefault="003A71DE" w:rsidP="001A5D47">
            <w:pPr>
              <w:pStyle w:val="TAC"/>
              <w:rPr>
                <w:lang w:eastAsia="zh-CN"/>
              </w:rPr>
            </w:pPr>
            <w:r w:rsidRPr="00CE0F04">
              <w:rPr>
                <w:lang w:eastAsia="zh-CN"/>
              </w:rPr>
              <w:t>-</w:t>
            </w:r>
          </w:p>
        </w:tc>
        <w:tc>
          <w:tcPr>
            <w:tcW w:w="1418" w:type="dxa"/>
          </w:tcPr>
          <w:p w14:paraId="45B8BDF5" w14:textId="77777777" w:rsidR="003A71DE" w:rsidRPr="00CE0F04" w:rsidRDefault="003A71DE" w:rsidP="001A5D47">
            <w:pPr>
              <w:pStyle w:val="TAC"/>
              <w:rPr>
                <w:lang w:eastAsia="zh-CN"/>
              </w:rPr>
            </w:pPr>
            <w:r w:rsidRPr="00CE0F04">
              <w:rPr>
                <w:lang w:eastAsia="zh-CN"/>
              </w:rPr>
              <w:t>1</w:t>
            </w:r>
          </w:p>
        </w:tc>
        <w:tc>
          <w:tcPr>
            <w:tcW w:w="1446" w:type="dxa"/>
          </w:tcPr>
          <w:p w14:paraId="5B5C46BB" w14:textId="77777777" w:rsidR="003A71DE" w:rsidRPr="00CE0F04" w:rsidRDefault="003A71DE" w:rsidP="001A5D47">
            <w:pPr>
              <w:pStyle w:val="TAC"/>
              <w:rPr>
                <w:lang w:eastAsia="zh-CN"/>
              </w:rPr>
            </w:pPr>
            <w:r w:rsidRPr="00CE0F04">
              <w:rPr>
                <w:lang w:eastAsia="zh-CN"/>
              </w:rPr>
              <w:t>Not Sent</w:t>
            </w:r>
          </w:p>
        </w:tc>
        <w:tc>
          <w:tcPr>
            <w:tcW w:w="3232" w:type="dxa"/>
          </w:tcPr>
          <w:p w14:paraId="7E124EE5" w14:textId="77777777" w:rsidR="003A71DE" w:rsidRPr="00CE0F04" w:rsidRDefault="003A71DE" w:rsidP="001A5D47">
            <w:pPr>
              <w:pStyle w:val="TAC"/>
            </w:pPr>
            <w:r w:rsidRPr="00CE0F04">
              <w:t>No additional delays in random access procedure.</w:t>
            </w:r>
          </w:p>
        </w:tc>
      </w:tr>
      <w:tr w:rsidR="003A71DE" w:rsidRPr="00CE0F04" w14:paraId="1EC20D67" w14:textId="77777777" w:rsidTr="003A71DE">
        <w:trPr>
          <w:cantSplit/>
        </w:trPr>
        <w:tc>
          <w:tcPr>
            <w:tcW w:w="2802" w:type="dxa"/>
            <w:gridSpan w:val="2"/>
          </w:tcPr>
          <w:p w14:paraId="3078FFC5" w14:textId="77777777" w:rsidR="003A71DE" w:rsidRPr="00CE0F04" w:rsidRDefault="003A71DE" w:rsidP="001A5D47">
            <w:pPr>
              <w:pStyle w:val="TAL"/>
              <w:rPr>
                <w:lang w:eastAsia="zh-CN"/>
              </w:rPr>
            </w:pPr>
            <w:r w:rsidRPr="00CE0F04">
              <w:rPr>
                <w:lang w:eastAsia="zh-CN"/>
              </w:rPr>
              <w:t>SSB configuration</w:t>
            </w:r>
          </w:p>
        </w:tc>
        <w:tc>
          <w:tcPr>
            <w:tcW w:w="708" w:type="dxa"/>
          </w:tcPr>
          <w:p w14:paraId="2CF90362" w14:textId="77777777" w:rsidR="003A71DE" w:rsidRPr="00CE0F04" w:rsidRDefault="003A71DE" w:rsidP="001A5D47">
            <w:pPr>
              <w:pStyle w:val="TAC"/>
            </w:pPr>
          </w:p>
        </w:tc>
        <w:tc>
          <w:tcPr>
            <w:tcW w:w="1418" w:type="dxa"/>
          </w:tcPr>
          <w:p w14:paraId="68037FC5" w14:textId="77777777" w:rsidR="003A71DE" w:rsidRPr="00CE0F04" w:rsidRDefault="003A71DE" w:rsidP="001A5D47">
            <w:pPr>
              <w:pStyle w:val="TAC"/>
              <w:rPr>
                <w:lang w:eastAsia="zh-CN"/>
              </w:rPr>
            </w:pPr>
            <w:r w:rsidRPr="00CE0F04">
              <w:rPr>
                <w:lang w:eastAsia="zh-CN"/>
              </w:rPr>
              <w:t>1</w:t>
            </w:r>
          </w:p>
        </w:tc>
        <w:tc>
          <w:tcPr>
            <w:tcW w:w="1446" w:type="dxa"/>
          </w:tcPr>
          <w:p w14:paraId="6949991B" w14:textId="77777777" w:rsidR="003A71DE" w:rsidRPr="00CE0F04" w:rsidRDefault="003A71DE" w:rsidP="001A5D47">
            <w:pPr>
              <w:pStyle w:val="TAC"/>
            </w:pPr>
            <w:r w:rsidRPr="00CE0F04">
              <w:rPr>
                <w:bCs/>
                <w:lang w:eastAsia="zh-CN"/>
              </w:rPr>
              <w:t>SSB.1 FR2</w:t>
            </w:r>
          </w:p>
        </w:tc>
        <w:tc>
          <w:tcPr>
            <w:tcW w:w="3232" w:type="dxa"/>
          </w:tcPr>
          <w:p w14:paraId="47839A44" w14:textId="77777777" w:rsidR="003A71DE" w:rsidRPr="00CE0F04" w:rsidRDefault="003A71DE" w:rsidP="001A5D47">
            <w:pPr>
              <w:pStyle w:val="TAC"/>
            </w:pPr>
          </w:p>
        </w:tc>
      </w:tr>
      <w:tr w:rsidR="003A71DE" w:rsidRPr="00CE0F04" w14:paraId="6F6984A5" w14:textId="77777777" w:rsidTr="003A71DE">
        <w:trPr>
          <w:cantSplit/>
        </w:trPr>
        <w:tc>
          <w:tcPr>
            <w:tcW w:w="2802" w:type="dxa"/>
            <w:gridSpan w:val="2"/>
          </w:tcPr>
          <w:p w14:paraId="1588F513" w14:textId="77777777" w:rsidR="003A71DE" w:rsidRPr="00CE0F04" w:rsidRDefault="003A71DE" w:rsidP="001A5D47">
            <w:pPr>
              <w:pStyle w:val="TAL"/>
              <w:rPr>
                <w:lang w:eastAsia="zh-CN"/>
              </w:rPr>
            </w:pPr>
          </w:p>
        </w:tc>
        <w:tc>
          <w:tcPr>
            <w:tcW w:w="708" w:type="dxa"/>
          </w:tcPr>
          <w:p w14:paraId="422E8669" w14:textId="77777777" w:rsidR="003A71DE" w:rsidRPr="00CE0F04" w:rsidRDefault="003A71DE" w:rsidP="001A5D47">
            <w:pPr>
              <w:pStyle w:val="TAC"/>
              <w:rPr>
                <w:lang w:eastAsia="zh-CN"/>
              </w:rPr>
            </w:pPr>
          </w:p>
        </w:tc>
        <w:tc>
          <w:tcPr>
            <w:tcW w:w="1418" w:type="dxa"/>
          </w:tcPr>
          <w:p w14:paraId="0DE73FF1" w14:textId="77777777" w:rsidR="003A71DE" w:rsidRPr="00CE0F04" w:rsidRDefault="003A71DE" w:rsidP="001A5D47">
            <w:pPr>
              <w:pStyle w:val="TAC"/>
              <w:rPr>
                <w:bCs/>
                <w:lang w:eastAsia="zh-CN"/>
              </w:rPr>
            </w:pPr>
            <w:r w:rsidRPr="00CE0F04">
              <w:rPr>
                <w:bCs/>
                <w:lang w:eastAsia="zh-CN"/>
              </w:rPr>
              <w:t>1</w:t>
            </w:r>
          </w:p>
        </w:tc>
        <w:tc>
          <w:tcPr>
            <w:tcW w:w="1446" w:type="dxa"/>
          </w:tcPr>
          <w:p w14:paraId="7B8CB333" w14:textId="77777777" w:rsidR="003A71DE" w:rsidRPr="00CE0F04" w:rsidRDefault="003A71DE" w:rsidP="001A5D47">
            <w:pPr>
              <w:pStyle w:val="TAC"/>
              <w:rPr>
                <w:bCs/>
                <w:lang w:eastAsia="zh-CN"/>
              </w:rPr>
            </w:pPr>
            <w:r w:rsidRPr="00CE0F04">
              <w:rPr>
                <w:bCs/>
                <w:lang w:eastAsia="zh-CN"/>
              </w:rPr>
              <w:t>SMTC pattern 1</w:t>
            </w:r>
          </w:p>
        </w:tc>
        <w:tc>
          <w:tcPr>
            <w:tcW w:w="3232" w:type="dxa"/>
          </w:tcPr>
          <w:p w14:paraId="5FC3A3A3" w14:textId="77777777" w:rsidR="003A71DE" w:rsidRPr="00CE0F04" w:rsidRDefault="003A71DE" w:rsidP="001A5D47">
            <w:pPr>
              <w:pStyle w:val="TAC"/>
              <w:rPr>
                <w:bCs/>
                <w:lang w:eastAsia="zh-CN"/>
              </w:rPr>
            </w:pPr>
          </w:p>
        </w:tc>
      </w:tr>
      <w:tr w:rsidR="003A71DE" w:rsidRPr="00CE0F04" w14:paraId="21C247BA" w14:textId="77777777" w:rsidTr="003A71DE">
        <w:trPr>
          <w:cantSplit/>
        </w:trPr>
        <w:tc>
          <w:tcPr>
            <w:tcW w:w="2802" w:type="dxa"/>
            <w:gridSpan w:val="2"/>
          </w:tcPr>
          <w:p w14:paraId="3E12A561" w14:textId="77777777" w:rsidR="003A71DE" w:rsidRPr="00CE0F04" w:rsidRDefault="003A71DE" w:rsidP="001A5D47">
            <w:pPr>
              <w:pStyle w:val="TAL"/>
            </w:pPr>
            <w:r w:rsidRPr="00CE0F04">
              <w:t>DRX cycle length</w:t>
            </w:r>
          </w:p>
        </w:tc>
        <w:tc>
          <w:tcPr>
            <w:tcW w:w="708" w:type="dxa"/>
          </w:tcPr>
          <w:p w14:paraId="6C5F4264" w14:textId="77777777" w:rsidR="003A71DE" w:rsidRPr="00CE0F04" w:rsidRDefault="003A71DE" w:rsidP="001A5D47">
            <w:pPr>
              <w:pStyle w:val="TAC"/>
            </w:pPr>
            <w:r w:rsidRPr="00CE0F04">
              <w:t>s</w:t>
            </w:r>
          </w:p>
        </w:tc>
        <w:tc>
          <w:tcPr>
            <w:tcW w:w="1418" w:type="dxa"/>
          </w:tcPr>
          <w:p w14:paraId="1D82F376" w14:textId="77777777" w:rsidR="003A71DE" w:rsidRPr="00CE0F04" w:rsidRDefault="003A71DE" w:rsidP="001A5D47">
            <w:pPr>
              <w:pStyle w:val="TAC"/>
            </w:pPr>
            <w:r w:rsidRPr="00CE0F04">
              <w:rPr>
                <w:lang w:eastAsia="zh-CN"/>
              </w:rPr>
              <w:t>1</w:t>
            </w:r>
          </w:p>
        </w:tc>
        <w:tc>
          <w:tcPr>
            <w:tcW w:w="1446" w:type="dxa"/>
          </w:tcPr>
          <w:p w14:paraId="43C2B688" w14:textId="77777777" w:rsidR="003A71DE" w:rsidRPr="00CE0F04" w:rsidRDefault="003A71DE" w:rsidP="001A5D47">
            <w:pPr>
              <w:pStyle w:val="TAC"/>
            </w:pPr>
            <w:r w:rsidRPr="00CE0F04">
              <w:t>OFF</w:t>
            </w:r>
          </w:p>
        </w:tc>
        <w:tc>
          <w:tcPr>
            <w:tcW w:w="3232" w:type="dxa"/>
          </w:tcPr>
          <w:p w14:paraId="1FE14FE2" w14:textId="77777777" w:rsidR="003A71DE" w:rsidRPr="00CE0F04" w:rsidRDefault="003A71DE" w:rsidP="001A5D47">
            <w:pPr>
              <w:pStyle w:val="TAC"/>
            </w:pPr>
          </w:p>
        </w:tc>
      </w:tr>
      <w:tr w:rsidR="003A71DE" w:rsidRPr="00CE0F04" w14:paraId="11CF8130" w14:textId="77777777" w:rsidTr="003A71DE">
        <w:trPr>
          <w:cantSplit/>
        </w:trPr>
        <w:tc>
          <w:tcPr>
            <w:tcW w:w="2802" w:type="dxa"/>
            <w:gridSpan w:val="2"/>
          </w:tcPr>
          <w:p w14:paraId="35466E02" w14:textId="77777777" w:rsidR="003A71DE" w:rsidRPr="00CE0F04" w:rsidRDefault="003A71DE" w:rsidP="001A5D47">
            <w:pPr>
              <w:pStyle w:val="TAL"/>
              <w:rPr>
                <w:lang w:eastAsia="zh-CN"/>
              </w:rPr>
            </w:pPr>
            <w:r w:rsidRPr="00CE0F04">
              <w:rPr>
                <w:lang w:eastAsia="zh-CN"/>
              </w:rPr>
              <w:t>PRACH configuration</w:t>
            </w:r>
          </w:p>
        </w:tc>
        <w:tc>
          <w:tcPr>
            <w:tcW w:w="708" w:type="dxa"/>
          </w:tcPr>
          <w:p w14:paraId="69F7087C" w14:textId="77777777" w:rsidR="003A71DE" w:rsidRPr="00CE0F04" w:rsidRDefault="003A71DE" w:rsidP="001A5D47">
            <w:pPr>
              <w:pStyle w:val="TAC"/>
            </w:pPr>
          </w:p>
        </w:tc>
        <w:tc>
          <w:tcPr>
            <w:tcW w:w="1418" w:type="dxa"/>
          </w:tcPr>
          <w:p w14:paraId="450D5B02" w14:textId="77777777" w:rsidR="003A71DE" w:rsidRPr="00CE0F04" w:rsidRDefault="003A71DE" w:rsidP="001A5D47">
            <w:pPr>
              <w:pStyle w:val="TAC"/>
              <w:rPr>
                <w:lang w:eastAsia="zh-CN"/>
              </w:rPr>
            </w:pPr>
            <w:r w:rsidRPr="00CE0F04">
              <w:rPr>
                <w:lang w:eastAsia="zh-CN"/>
              </w:rPr>
              <w:t>1</w:t>
            </w:r>
          </w:p>
        </w:tc>
        <w:tc>
          <w:tcPr>
            <w:tcW w:w="1446" w:type="dxa"/>
          </w:tcPr>
          <w:p w14:paraId="2C692D06" w14:textId="77777777" w:rsidR="003A71DE" w:rsidRPr="00CE0F04" w:rsidRDefault="003A71DE" w:rsidP="001A5D47">
            <w:pPr>
              <w:pStyle w:val="TAC"/>
              <w:rPr>
                <w:lang w:eastAsia="zh-CN"/>
              </w:rPr>
            </w:pPr>
            <w:r w:rsidRPr="00CE0F04">
              <w:rPr>
                <w:lang w:eastAsia="zh-CN"/>
              </w:rPr>
              <w:t>FR2 PRACH configuration 1</w:t>
            </w:r>
          </w:p>
        </w:tc>
        <w:tc>
          <w:tcPr>
            <w:tcW w:w="3232" w:type="dxa"/>
          </w:tcPr>
          <w:p w14:paraId="59F11C17" w14:textId="77777777" w:rsidR="003A71DE" w:rsidRPr="00CE0F04" w:rsidRDefault="003A71DE" w:rsidP="001A5D47">
            <w:pPr>
              <w:pStyle w:val="TAC"/>
              <w:rPr>
                <w:lang w:eastAsia="zh-CN"/>
              </w:rPr>
            </w:pPr>
            <w:r w:rsidRPr="00CE0F04">
              <w:rPr>
                <w:lang w:eastAsia="zh-CN"/>
              </w:rPr>
              <w:t>Table TBD</w:t>
            </w:r>
          </w:p>
        </w:tc>
      </w:tr>
      <w:tr w:rsidR="003A71DE" w:rsidRPr="00CE0F04" w14:paraId="767277A9" w14:textId="77777777" w:rsidTr="003A71DE">
        <w:trPr>
          <w:cantSplit/>
        </w:trPr>
        <w:tc>
          <w:tcPr>
            <w:tcW w:w="2802" w:type="dxa"/>
            <w:gridSpan w:val="2"/>
          </w:tcPr>
          <w:p w14:paraId="609BD851" w14:textId="77777777" w:rsidR="003A71DE" w:rsidRPr="00CE0F04" w:rsidRDefault="003A71DE" w:rsidP="001A5D47">
            <w:pPr>
              <w:pStyle w:val="TAL"/>
            </w:pPr>
            <w:r w:rsidRPr="00CE0F04">
              <w:rPr>
                <w:lang w:eastAsia="zh-CN"/>
              </w:rPr>
              <w:t>T1</w:t>
            </w:r>
          </w:p>
        </w:tc>
        <w:tc>
          <w:tcPr>
            <w:tcW w:w="708" w:type="dxa"/>
          </w:tcPr>
          <w:p w14:paraId="55C67903" w14:textId="77777777" w:rsidR="003A71DE" w:rsidRPr="00CE0F04" w:rsidRDefault="003A71DE" w:rsidP="001A5D47">
            <w:pPr>
              <w:pStyle w:val="TAC"/>
            </w:pPr>
            <w:r w:rsidRPr="00CE0F04">
              <w:rPr>
                <w:lang w:eastAsia="zh-CN"/>
              </w:rPr>
              <w:t>s</w:t>
            </w:r>
          </w:p>
        </w:tc>
        <w:tc>
          <w:tcPr>
            <w:tcW w:w="1418" w:type="dxa"/>
          </w:tcPr>
          <w:p w14:paraId="3A1D3CE9" w14:textId="77777777" w:rsidR="003A71DE" w:rsidRPr="00CE0F04" w:rsidRDefault="003A71DE" w:rsidP="001A5D47">
            <w:pPr>
              <w:pStyle w:val="TAC"/>
              <w:rPr>
                <w:lang w:eastAsia="zh-CN"/>
              </w:rPr>
            </w:pPr>
            <w:r w:rsidRPr="00CE0F04">
              <w:rPr>
                <w:lang w:eastAsia="zh-CN"/>
              </w:rPr>
              <w:t>1</w:t>
            </w:r>
          </w:p>
        </w:tc>
        <w:tc>
          <w:tcPr>
            <w:tcW w:w="1446" w:type="dxa"/>
          </w:tcPr>
          <w:p w14:paraId="0EB681CD" w14:textId="77777777" w:rsidR="003A71DE" w:rsidRPr="00CE0F04" w:rsidRDefault="003A71DE" w:rsidP="001A5D47">
            <w:pPr>
              <w:pStyle w:val="TAC"/>
            </w:pPr>
            <w:r w:rsidRPr="00CE0F04">
              <w:rPr>
                <w:lang w:eastAsia="zh-CN"/>
              </w:rPr>
              <w:t>10</w:t>
            </w:r>
          </w:p>
        </w:tc>
        <w:tc>
          <w:tcPr>
            <w:tcW w:w="3232" w:type="dxa"/>
          </w:tcPr>
          <w:p w14:paraId="0A9E5012" w14:textId="77777777" w:rsidR="003A71DE" w:rsidRPr="00CE0F04" w:rsidRDefault="003A71DE" w:rsidP="001A5D47">
            <w:pPr>
              <w:pStyle w:val="TAC"/>
            </w:pPr>
          </w:p>
        </w:tc>
      </w:tr>
      <w:tr w:rsidR="003A71DE" w:rsidRPr="00CE0F04" w14:paraId="2D4D25D1" w14:textId="77777777" w:rsidTr="003A71DE">
        <w:trPr>
          <w:cantSplit/>
        </w:trPr>
        <w:tc>
          <w:tcPr>
            <w:tcW w:w="2802" w:type="dxa"/>
            <w:gridSpan w:val="2"/>
          </w:tcPr>
          <w:p w14:paraId="20658648" w14:textId="77777777" w:rsidR="003A71DE" w:rsidRPr="00CE0F04" w:rsidRDefault="003A71DE" w:rsidP="001A5D47">
            <w:pPr>
              <w:pStyle w:val="TAL"/>
            </w:pPr>
            <w:r w:rsidRPr="00CE0F04">
              <w:t>T</w:t>
            </w:r>
            <w:r w:rsidRPr="00CE0F04">
              <w:rPr>
                <w:lang w:eastAsia="zh-CN"/>
              </w:rPr>
              <w:t>2</w:t>
            </w:r>
          </w:p>
        </w:tc>
        <w:tc>
          <w:tcPr>
            <w:tcW w:w="708" w:type="dxa"/>
          </w:tcPr>
          <w:p w14:paraId="71DD439B" w14:textId="77777777" w:rsidR="003A71DE" w:rsidRPr="00CE0F04" w:rsidRDefault="003A71DE" w:rsidP="001A5D47">
            <w:pPr>
              <w:pStyle w:val="TAC"/>
            </w:pPr>
            <w:r w:rsidRPr="00CE0F04">
              <w:t>ms</w:t>
            </w:r>
          </w:p>
        </w:tc>
        <w:tc>
          <w:tcPr>
            <w:tcW w:w="1418" w:type="dxa"/>
          </w:tcPr>
          <w:p w14:paraId="50778E23" w14:textId="77777777" w:rsidR="003A71DE" w:rsidRPr="00CE0F04" w:rsidRDefault="003A71DE" w:rsidP="001A5D47">
            <w:pPr>
              <w:pStyle w:val="TAC"/>
              <w:rPr>
                <w:lang w:eastAsia="zh-CN"/>
              </w:rPr>
            </w:pPr>
            <w:r w:rsidRPr="00CE0F04">
              <w:rPr>
                <w:lang w:eastAsia="zh-CN"/>
              </w:rPr>
              <w:t>1</w:t>
            </w:r>
          </w:p>
        </w:tc>
        <w:tc>
          <w:tcPr>
            <w:tcW w:w="1446" w:type="dxa"/>
          </w:tcPr>
          <w:p w14:paraId="1594C63C" w14:textId="77777777" w:rsidR="003A71DE" w:rsidRPr="00CE0F04" w:rsidRDefault="003A71DE" w:rsidP="001A5D47">
            <w:pPr>
              <w:pStyle w:val="TAC"/>
            </w:pPr>
            <w:r w:rsidRPr="00CE0F04">
              <w:rPr>
                <w:lang w:eastAsia="zh-CN"/>
              </w:rPr>
              <w:t>4800</w:t>
            </w:r>
          </w:p>
        </w:tc>
        <w:tc>
          <w:tcPr>
            <w:tcW w:w="3232" w:type="dxa"/>
          </w:tcPr>
          <w:p w14:paraId="0785A665" w14:textId="77777777" w:rsidR="003A71DE" w:rsidRPr="00CE0F04" w:rsidRDefault="003A71DE" w:rsidP="001A5D47">
            <w:pPr>
              <w:pStyle w:val="TAC"/>
              <w:rPr>
                <w:lang w:eastAsia="zh-CN"/>
              </w:rPr>
            </w:pPr>
            <w:r w:rsidRPr="00CE0F04">
              <w:rPr>
                <w:lang w:eastAsia="zh-CN"/>
              </w:rPr>
              <w:t>Time for the IAB-MT to detect RLF</w:t>
            </w:r>
          </w:p>
        </w:tc>
      </w:tr>
      <w:tr w:rsidR="003A71DE" w:rsidRPr="00CE0F04" w14:paraId="67DE03D7" w14:textId="77777777" w:rsidTr="003A71DE">
        <w:trPr>
          <w:cantSplit/>
        </w:trPr>
        <w:tc>
          <w:tcPr>
            <w:tcW w:w="2802" w:type="dxa"/>
            <w:gridSpan w:val="2"/>
          </w:tcPr>
          <w:p w14:paraId="03B09474" w14:textId="77777777" w:rsidR="003A71DE" w:rsidRPr="00CE0F04" w:rsidRDefault="003A71DE" w:rsidP="001A5D47">
            <w:pPr>
              <w:pStyle w:val="TAL"/>
            </w:pPr>
            <w:r w:rsidRPr="00CE0F04">
              <w:t>T</w:t>
            </w:r>
            <w:r w:rsidRPr="00CE0F04">
              <w:rPr>
                <w:lang w:eastAsia="zh-CN"/>
              </w:rPr>
              <w:t>3</w:t>
            </w:r>
          </w:p>
        </w:tc>
        <w:tc>
          <w:tcPr>
            <w:tcW w:w="708" w:type="dxa"/>
          </w:tcPr>
          <w:p w14:paraId="283BCB3B" w14:textId="77777777" w:rsidR="003A71DE" w:rsidRPr="00CE0F04" w:rsidRDefault="003A71DE" w:rsidP="001A5D47">
            <w:pPr>
              <w:pStyle w:val="TAC"/>
            </w:pPr>
            <w:r w:rsidRPr="00CE0F04">
              <w:t>s</w:t>
            </w:r>
          </w:p>
        </w:tc>
        <w:tc>
          <w:tcPr>
            <w:tcW w:w="1418" w:type="dxa"/>
          </w:tcPr>
          <w:p w14:paraId="18F06CE7" w14:textId="77777777" w:rsidR="003A71DE" w:rsidRPr="00CE0F04" w:rsidRDefault="003A71DE" w:rsidP="001A5D47">
            <w:pPr>
              <w:pStyle w:val="TAC"/>
            </w:pPr>
            <w:r w:rsidRPr="00CE0F04">
              <w:rPr>
                <w:lang w:eastAsia="zh-CN"/>
              </w:rPr>
              <w:t>1</w:t>
            </w:r>
          </w:p>
        </w:tc>
        <w:tc>
          <w:tcPr>
            <w:tcW w:w="1446" w:type="dxa"/>
          </w:tcPr>
          <w:p w14:paraId="5A8EA4EB" w14:textId="77777777" w:rsidR="003A71DE" w:rsidRPr="00CE0F04" w:rsidRDefault="003A71DE" w:rsidP="001A5D47">
            <w:pPr>
              <w:pStyle w:val="TAC"/>
            </w:pPr>
            <w:r w:rsidRPr="00CE0F04">
              <w:t>20</w:t>
            </w:r>
          </w:p>
        </w:tc>
        <w:tc>
          <w:tcPr>
            <w:tcW w:w="3232" w:type="dxa"/>
          </w:tcPr>
          <w:p w14:paraId="2D59C4C2" w14:textId="77777777" w:rsidR="003A71DE" w:rsidRPr="00CE0F04" w:rsidRDefault="003A71DE" w:rsidP="001A5D47">
            <w:pPr>
              <w:pStyle w:val="TAC"/>
            </w:pPr>
          </w:p>
        </w:tc>
      </w:tr>
    </w:tbl>
    <w:p w14:paraId="4B46463E" w14:textId="77777777" w:rsidR="003A71DE" w:rsidRPr="00CE0F04" w:rsidRDefault="003A71DE" w:rsidP="003A71DE"/>
    <w:p w14:paraId="62018B05" w14:textId="77777777" w:rsidR="003A71DE" w:rsidRDefault="003A71DE" w:rsidP="003A71DE">
      <w:pPr>
        <w:keepNext/>
        <w:keepLines/>
        <w:spacing w:before="60"/>
        <w:jc w:val="center"/>
        <w:rPr>
          <w:rFonts w:ascii="Arial" w:hAnsi="Arial"/>
          <w:b/>
        </w:rPr>
      </w:pPr>
      <w:r w:rsidRPr="00CE0F04">
        <w:rPr>
          <w:rFonts w:ascii="Arial" w:hAnsi="Arial"/>
          <w:b/>
        </w:rPr>
        <w:lastRenderedPageBreak/>
        <w:t>Table G.2.1.1.1.3.1-3: Cell specific test parameters for NR inter-frequency RRC Re-establishment test case in FR2</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1794"/>
        <w:gridCol w:w="1418"/>
        <w:gridCol w:w="992"/>
        <w:gridCol w:w="851"/>
        <w:gridCol w:w="899"/>
        <w:gridCol w:w="802"/>
        <w:gridCol w:w="850"/>
        <w:gridCol w:w="767"/>
      </w:tblGrid>
      <w:tr w:rsidR="003A71DE" w:rsidRPr="00381A33" w14:paraId="1091A479" w14:textId="77777777" w:rsidTr="003A71DE">
        <w:trPr>
          <w:cantSplit/>
          <w:jc w:val="center"/>
        </w:trPr>
        <w:tc>
          <w:tcPr>
            <w:tcW w:w="1951" w:type="dxa"/>
            <w:tcBorders>
              <w:top w:val="single" w:sz="4" w:space="0" w:color="auto"/>
              <w:left w:val="single" w:sz="4" w:space="0" w:color="auto"/>
              <w:bottom w:val="nil"/>
              <w:right w:val="single" w:sz="4" w:space="0" w:color="auto"/>
            </w:tcBorders>
            <w:hideMark/>
          </w:tcPr>
          <w:p w14:paraId="703F1821" w14:textId="77777777" w:rsidR="003A71DE" w:rsidRPr="00381A33" w:rsidRDefault="003A71DE" w:rsidP="001A5D47">
            <w:pPr>
              <w:pStyle w:val="TAH"/>
              <w:rPr>
                <w:rFonts w:eastAsia="SimSun"/>
              </w:rPr>
            </w:pPr>
            <w:r w:rsidRPr="00381A33">
              <w:rPr>
                <w:rFonts w:eastAsia="SimSun"/>
              </w:rPr>
              <w:t>Parameter</w:t>
            </w:r>
          </w:p>
        </w:tc>
        <w:tc>
          <w:tcPr>
            <w:tcW w:w="1794" w:type="dxa"/>
            <w:tcBorders>
              <w:top w:val="single" w:sz="4" w:space="0" w:color="auto"/>
              <w:left w:val="single" w:sz="4" w:space="0" w:color="auto"/>
              <w:bottom w:val="nil"/>
              <w:right w:val="single" w:sz="4" w:space="0" w:color="auto"/>
            </w:tcBorders>
            <w:hideMark/>
          </w:tcPr>
          <w:p w14:paraId="3F8D979C" w14:textId="77777777" w:rsidR="003A71DE" w:rsidRPr="00381A33" w:rsidRDefault="003A71DE" w:rsidP="001A5D47">
            <w:pPr>
              <w:pStyle w:val="TAH"/>
              <w:rPr>
                <w:rFonts w:eastAsia="SimSun"/>
              </w:rPr>
            </w:pPr>
            <w:r w:rsidRPr="00381A33">
              <w:rPr>
                <w:rFonts w:eastAsia="SimSun"/>
              </w:rPr>
              <w:t>Unit</w:t>
            </w:r>
          </w:p>
        </w:tc>
        <w:tc>
          <w:tcPr>
            <w:tcW w:w="1418" w:type="dxa"/>
            <w:tcBorders>
              <w:top w:val="single" w:sz="4" w:space="0" w:color="auto"/>
              <w:left w:val="single" w:sz="4" w:space="0" w:color="auto"/>
              <w:bottom w:val="nil"/>
              <w:right w:val="single" w:sz="4" w:space="0" w:color="auto"/>
            </w:tcBorders>
            <w:hideMark/>
          </w:tcPr>
          <w:p w14:paraId="35FE0B9F" w14:textId="77777777" w:rsidR="003A71DE" w:rsidRPr="00381A33" w:rsidRDefault="003A71DE" w:rsidP="001A5D47">
            <w:pPr>
              <w:pStyle w:val="TAH"/>
              <w:rPr>
                <w:rFonts w:eastAsia="SimSun"/>
                <w:lang w:eastAsia="zh-CN"/>
              </w:rPr>
            </w:pPr>
            <w:r w:rsidRPr="00381A33">
              <w:rPr>
                <w:rFonts w:eastAsia="SimSun"/>
                <w:lang w:eastAsia="zh-CN"/>
              </w:rPr>
              <w:t>Test configuration</w:t>
            </w:r>
          </w:p>
        </w:tc>
        <w:tc>
          <w:tcPr>
            <w:tcW w:w="2742" w:type="dxa"/>
            <w:gridSpan w:val="3"/>
            <w:tcBorders>
              <w:top w:val="single" w:sz="4" w:space="0" w:color="auto"/>
              <w:left w:val="single" w:sz="4" w:space="0" w:color="auto"/>
              <w:bottom w:val="single" w:sz="4" w:space="0" w:color="auto"/>
              <w:right w:val="single" w:sz="4" w:space="0" w:color="auto"/>
            </w:tcBorders>
            <w:hideMark/>
          </w:tcPr>
          <w:p w14:paraId="6E10A555" w14:textId="77777777" w:rsidR="003A71DE" w:rsidRPr="00381A33" w:rsidRDefault="003A71DE" w:rsidP="001A5D47">
            <w:pPr>
              <w:pStyle w:val="TAH"/>
              <w:rPr>
                <w:rFonts w:eastAsia="SimSun"/>
              </w:rPr>
            </w:pPr>
            <w:r w:rsidRPr="00381A33">
              <w:rPr>
                <w:rFonts w:eastAsia="SimSun"/>
              </w:rPr>
              <w:t>Cell 1</w:t>
            </w:r>
          </w:p>
        </w:tc>
        <w:tc>
          <w:tcPr>
            <w:tcW w:w="2419" w:type="dxa"/>
            <w:gridSpan w:val="3"/>
            <w:tcBorders>
              <w:top w:val="single" w:sz="4" w:space="0" w:color="auto"/>
              <w:left w:val="single" w:sz="4" w:space="0" w:color="auto"/>
              <w:bottom w:val="single" w:sz="4" w:space="0" w:color="auto"/>
              <w:right w:val="single" w:sz="4" w:space="0" w:color="auto"/>
            </w:tcBorders>
            <w:hideMark/>
          </w:tcPr>
          <w:p w14:paraId="0FA38E2A" w14:textId="77777777" w:rsidR="003A71DE" w:rsidRPr="00381A33" w:rsidRDefault="003A71DE" w:rsidP="001A5D47">
            <w:pPr>
              <w:pStyle w:val="TAH"/>
              <w:rPr>
                <w:rFonts w:eastAsia="SimSun"/>
              </w:rPr>
            </w:pPr>
            <w:r w:rsidRPr="00381A33">
              <w:rPr>
                <w:rFonts w:eastAsia="SimSun"/>
              </w:rPr>
              <w:t>Cell 2</w:t>
            </w:r>
          </w:p>
        </w:tc>
      </w:tr>
      <w:tr w:rsidR="003A71DE" w:rsidRPr="00381A33" w14:paraId="0ED764E5" w14:textId="77777777" w:rsidTr="003A71DE">
        <w:trPr>
          <w:cantSplit/>
          <w:jc w:val="center"/>
        </w:trPr>
        <w:tc>
          <w:tcPr>
            <w:tcW w:w="1951" w:type="dxa"/>
            <w:tcBorders>
              <w:top w:val="nil"/>
              <w:left w:val="single" w:sz="4" w:space="0" w:color="auto"/>
              <w:bottom w:val="single" w:sz="4" w:space="0" w:color="auto"/>
              <w:right w:val="single" w:sz="4" w:space="0" w:color="auto"/>
            </w:tcBorders>
          </w:tcPr>
          <w:p w14:paraId="3E5F66D0" w14:textId="77777777" w:rsidR="003A71DE" w:rsidRPr="00381A33" w:rsidRDefault="003A71DE" w:rsidP="001A5D47">
            <w:pPr>
              <w:pStyle w:val="TAH"/>
              <w:rPr>
                <w:rFonts w:eastAsia="SimSun"/>
              </w:rPr>
            </w:pPr>
          </w:p>
        </w:tc>
        <w:tc>
          <w:tcPr>
            <w:tcW w:w="1794" w:type="dxa"/>
            <w:tcBorders>
              <w:top w:val="nil"/>
              <w:left w:val="single" w:sz="4" w:space="0" w:color="auto"/>
              <w:bottom w:val="single" w:sz="4" w:space="0" w:color="auto"/>
              <w:right w:val="single" w:sz="4" w:space="0" w:color="auto"/>
            </w:tcBorders>
          </w:tcPr>
          <w:p w14:paraId="6CF7FD85" w14:textId="77777777" w:rsidR="003A71DE" w:rsidRPr="00381A33" w:rsidRDefault="003A71DE" w:rsidP="001A5D47">
            <w:pPr>
              <w:pStyle w:val="TAH"/>
              <w:rPr>
                <w:rFonts w:eastAsia="SimSun"/>
              </w:rPr>
            </w:pPr>
          </w:p>
        </w:tc>
        <w:tc>
          <w:tcPr>
            <w:tcW w:w="1418" w:type="dxa"/>
            <w:tcBorders>
              <w:top w:val="nil"/>
              <w:left w:val="single" w:sz="4" w:space="0" w:color="auto"/>
              <w:bottom w:val="single" w:sz="4" w:space="0" w:color="auto"/>
              <w:right w:val="single" w:sz="4" w:space="0" w:color="auto"/>
            </w:tcBorders>
          </w:tcPr>
          <w:p w14:paraId="00C5CDDB" w14:textId="77777777" w:rsidR="003A71DE" w:rsidRPr="00381A33" w:rsidRDefault="003A71DE" w:rsidP="001A5D47">
            <w:pPr>
              <w:pStyle w:val="TAH"/>
              <w:rPr>
                <w:rFonts w:eastAsia="SimSun"/>
              </w:rPr>
            </w:pPr>
          </w:p>
        </w:tc>
        <w:tc>
          <w:tcPr>
            <w:tcW w:w="992" w:type="dxa"/>
            <w:tcBorders>
              <w:top w:val="single" w:sz="4" w:space="0" w:color="auto"/>
              <w:left w:val="single" w:sz="4" w:space="0" w:color="auto"/>
              <w:bottom w:val="single" w:sz="4" w:space="0" w:color="auto"/>
              <w:right w:val="single" w:sz="4" w:space="0" w:color="auto"/>
            </w:tcBorders>
            <w:hideMark/>
          </w:tcPr>
          <w:p w14:paraId="3F770BD2" w14:textId="77777777" w:rsidR="003A71DE" w:rsidRPr="00381A33" w:rsidRDefault="003A71DE" w:rsidP="001A5D47">
            <w:pPr>
              <w:pStyle w:val="TAH"/>
              <w:rPr>
                <w:rFonts w:eastAsia="SimSun"/>
              </w:rPr>
            </w:pPr>
            <w:r w:rsidRPr="00381A33">
              <w:rPr>
                <w:rFonts w:eastAsia="SimSun"/>
              </w:rPr>
              <w:t>T1</w:t>
            </w:r>
          </w:p>
        </w:tc>
        <w:tc>
          <w:tcPr>
            <w:tcW w:w="851" w:type="dxa"/>
            <w:tcBorders>
              <w:top w:val="single" w:sz="4" w:space="0" w:color="auto"/>
              <w:left w:val="single" w:sz="4" w:space="0" w:color="auto"/>
              <w:bottom w:val="single" w:sz="4" w:space="0" w:color="auto"/>
              <w:right w:val="single" w:sz="4" w:space="0" w:color="auto"/>
            </w:tcBorders>
            <w:hideMark/>
          </w:tcPr>
          <w:p w14:paraId="550D5925" w14:textId="77777777" w:rsidR="003A71DE" w:rsidRPr="00381A33" w:rsidRDefault="003A71DE" w:rsidP="001A5D47">
            <w:pPr>
              <w:pStyle w:val="TAH"/>
              <w:rPr>
                <w:rFonts w:eastAsia="SimSun"/>
              </w:rPr>
            </w:pPr>
            <w:r w:rsidRPr="00381A33">
              <w:rPr>
                <w:rFonts w:eastAsia="SimSun"/>
              </w:rPr>
              <w:t>T2</w:t>
            </w:r>
          </w:p>
        </w:tc>
        <w:tc>
          <w:tcPr>
            <w:tcW w:w="899" w:type="dxa"/>
            <w:tcBorders>
              <w:top w:val="single" w:sz="4" w:space="0" w:color="auto"/>
              <w:left w:val="single" w:sz="4" w:space="0" w:color="auto"/>
              <w:bottom w:val="single" w:sz="4" w:space="0" w:color="auto"/>
              <w:right w:val="single" w:sz="4" w:space="0" w:color="auto"/>
            </w:tcBorders>
            <w:hideMark/>
          </w:tcPr>
          <w:p w14:paraId="7C21CE48" w14:textId="77777777" w:rsidR="003A71DE" w:rsidRPr="00381A33" w:rsidRDefault="003A71DE" w:rsidP="001A5D47">
            <w:pPr>
              <w:pStyle w:val="TAH"/>
              <w:rPr>
                <w:rFonts w:eastAsia="SimSun"/>
              </w:rPr>
            </w:pPr>
            <w:r w:rsidRPr="00381A33">
              <w:rPr>
                <w:rFonts w:eastAsia="SimSun"/>
              </w:rPr>
              <w:t>T3</w:t>
            </w:r>
          </w:p>
        </w:tc>
        <w:tc>
          <w:tcPr>
            <w:tcW w:w="802" w:type="dxa"/>
            <w:tcBorders>
              <w:top w:val="single" w:sz="4" w:space="0" w:color="auto"/>
              <w:left w:val="single" w:sz="4" w:space="0" w:color="auto"/>
              <w:bottom w:val="single" w:sz="4" w:space="0" w:color="auto"/>
              <w:right w:val="single" w:sz="4" w:space="0" w:color="auto"/>
            </w:tcBorders>
            <w:hideMark/>
          </w:tcPr>
          <w:p w14:paraId="37F3AB4D" w14:textId="77777777" w:rsidR="003A71DE" w:rsidRPr="00381A33" w:rsidRDefault="003A71DE" w:rsidP="001A5D47">
            <w:pPr>
              <w:pStyle w:val="TAH"/>
              <w:rPr>
                <w:rFonts w:eastAsia="SimSun"/>
              </w:rPr>
            </w:pPr>
            <w:r w:rsidRPr="00381A33">
              <w:rPr>
                <w:rFonts w:eastAsia="SimSun"/>
              </w:rPr>
              <w:t>T1</w:t>
            </w:r>
          </w:p>
        </w:tc>
        <w:tc>
          <w:tcPr>
            <w:tcW w:w="850" w:type="dxa"/>
            <w:tcBorders>
              <w:top w:val="single" w:sz="4" w:space="0" w:color="auto"/>
              <w:left w:val="single" w:sz="4" w:space="0" w:color="auto"/>
              <w:bottom w:val="single" w:sz="4" w:space="0" w:color="auto"/>
              <w:right w:val="single" w:sz="4" w:space="0" w:color="auto"/>
            </w:tcBorders>
            <w:hideMark/>
          </w:tcPr>
          <w:p w14:paraId="19FF684A" w14:textId="77777777" w:rsidR="003A71DE" w:rsidRPr="00381A33" w:rsidRDefault="003A71DE" w:rsidP="001A5D47">
            <w:pPr>
              <w:pStyle w:val="TAH"/>
              <w:rPr>
                <w:rFonts w:eastAsia="SimSun"/>
              </w:rPr>
            </w:pPr>
            <w:r w:rsidRPr="00381A33">
              <w:rPr>
                <w:rFonts w:eastAsia="SimSun"/>
              </w:rPr>
              <w:t>T2</w:t>
            </w:r>
          </w:p>
        </w:tc>
        <w:tc>
          <w:tcPr>
            <w:tcW w:w="767" w:type="dxa"/>
            <w:tcBorders>
              <w:top w:val="single" w:sz="4" w:space="0" w:color="auto"/>
              <w:left w:val="single" w:sz="4" w:space="0" w:color="auto"/>
              <w:bottom w:val="single" w:sz="4" w:space="0" w:color="auto"/>
              <w:right w:val="single" w:sz="4" w:space="0" w:color="auto"/>
            </w:tcBorders>
            <w:hideMark/>
          </w:tcPr>
          <w:p w14:paraId="7650A503" w14:textId="77777777" w:rsidR="003A71DE" w:rsidRPr="00381A33" w:rsidRDefault="003A71DE" w:rsidP="001A5D47">
            <w:pPr>
              <w:pStyle w:val="TAH"/>
              <w:rPr>
                <w:rFonts w:eastAsia="SimSun"/>
              </w:rPr>
            </w:pPr>
            <w:r w:rsidRPr="00381A33">
              <w:rPr>
                <w:rFonts w:eastAsia="SimSun"/>
              </w:rPr>
              <w:t>T3</w:t>
            </w:r>
          </w:p>
        </w:tc>
      </w:tr>
      <w:tr w:rsidR="003A71DE" w:rsidRPr="00381A33" w14:paraId="24C4A4D8" w14:textId="77777777" w:rsidTr="003A71DE">
        <w:trPr>
          <w:cantSplit/>
          <w:jc w:val="center"/>
        </w:trPr>
        <w:tc>
          <w:tcPr>
            <w:tcW w:w="1951" w:type="dxa"/>
            <w:tcBorders>
              <w:top w:val="single" w:sz="4" w:space="0" w:color="auto"/>
              <w:left w:val="single" w:sz="4" w:space="0" w:color="auto"/>
              <w:bottom w:val="nil"/>
              <w:right w:val="single" w:sz="4" w:space="0" w:color="auto"/>
            </w:tcBorders>
            <w:hideMark/>
          </w:tcPr>
          <w:p w14:paraId="784661F5" w14:textId="77777777" w:rsidR="003A71DE" w:rsidRPr="00381A33" w:rsidRDefault="003A71DE" w:rsidP="001A5D47">
            <w:pPr>
              <w:pStyle w:val="TAL"/>
              <w:rPr>
                <w:rFonts w:eastAsia="SimSun"/>
                <w:lang w:eastAsia="zh-CN"/>
              </w:rPr>
            </w:pPr>
            <w:r w:rsidRPr="00381A33">
              <w:rPr>
                <w:rFonts w:eastAsia="SimSun"/>
                <w:lang w:eastAsia="zh-CN"/>
              </w:rPr>
              <w:t>AoA setup</w:t>
            </w:r>
          </w:p>
        </w:tc>
        <w:tc>
          <w:tcPr>
            <w:tcW w:w="1794" w:type="dxa"/>
            <w:tcBorders>
              <w:top w:val="single" w:sz="4" w:space="0" w:color="auto"/>
              <w:left w:val="single" w:sz="4" w:space="0" w:color="auto"/>
              <w:bottom w:val="nil"/>
              <w:right w:val="single" w:sz="4" w:space="0" w:color="auto"/>
            </w:tcBorders>
          </w:tcPr>
          <w:p w14:paraId="3F28D9C2"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nil"/>
              <w:right w:val="single" w:sz="4" w:space="0" w:color="auto"/>
            </w:tcBorders>
            <w:hideMark/>
          </w:tcPr>
          <w:p w14:paraId="1D36B4BB" w14:textId="77777777" w:rsidR="003A71DE" w:rsidRPr="00381A33" w:rsidRDefault="003A71DE" w:rsidP="001A5D47">
            <w:pPr>
              <w:pStyle w:val="TAC"/>
              <w:rPr>
                <w:rFonts w:eastAsia="SimSun"/>
                <w:lang w:eastAsia="zh-CN"/>
              </w:rPr>
            </w:pPr>
            <w:r w:rsidRPr="00381A33">
              <w:rPr>
                <w:rFonts w:eastAsia="SimSun"/>
                <w:lang w:eastAsia="zh-CN"/>
              </w:rPr>
              <w:t>1</w:t>
            </w:r>
          </w:p>
        </w:tc>
        <w:tc>
          <w:tcPr>
            <w:tcW w:w="5161" w:type="dxa"/>
            <w:gridSpan w:val="6"/>
            <w:tcBorders>
              <w:top w:val="single" w:sz="4" w:space="0" w:color="auto"/>
              <w:left w:val="single" w:sz="4" w:space="0" w:color="auto"/>
              <w:bottom w:val="single" w:sz="4" w:space="0" w:color="auto"/>
              <w:right w:val="single" w:sz="4" w:space="0" w:color="auto"/>
            </w:tcBorders>
            <w:hideMark/>
          </w:tcPr>
          <w:p w14:paraId="56C027D3" w14:textId="77777777" w:rsidR="003A71DE" w:rsidRPr="00381A33" w:rsidRDefault="003A71DE" w:rsidP="001A5D47">
            <w:pPr>
              <w:pStyle w:val="TAC"/>
              <w:rPr>
                <w:rFonts w:eastAsia="SimSun"/>
                <w:lang w:eastAsia="zh-CN"/>
              </w:rPr>
            </w:pPr>
            <w:r w:rsidRPr="00381A33">
              <w:rPr>
                <w:rFonts w:eastAsia="SimSun"/>
                <w:lang w:eastAsia="ja-JP"/>
              </w:rPr>
              <w:t>Setup 2 as specified in clause G.1.8.2</w:t>
            </w:r>
          </w:p>
        </w:tc>
      </w:tr>
      <w:tr w:rsidR="003A71DE" w:rsidRPr="00381A33" w14:paraId="07C8E256"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26F4A81F" w14:textId="77777777" w:rsidR="003A71DE" w:rsidRPr="00381A33" w:rsidRDefault="003A71DE" w:rsidP="001A5D47">
            <w:pPr>
              <w:pStyle w:val="TAL"/>
              <w:rPr>
                <w:rFonts w:eastAsia="SimSun"/>
                <w:lang w:eastAsia="zh-CN"/>
              </w:rPr>
            </w:pPr>
            <w:r w:rsidRPr="00381A33">
              <w:rPr>
                <w:rFonts w:eastAsia="SimSun"/>
                <w:lang w:eastAsia="zh-CN"/>
              </w:rPr>
              <w:t>TDD configuration</w:t>
            </w:r>
          </w:p>
        </w:tc>
        <w:tc>
          <w:tcPr>
            <w:tcW w:w="1794" w:type="dxa"/>
            <w:tcBorders>
              <w:top w:val="single" w:sz="4" w:space="0" w:color="auto"/>
              <w:left w:val="single" w:sz="4" w:space="0" w:color="auto"/>
              <w:bottom w:val="single" w:sz="4" w:space="0" w:color="auto"/>
              <w:right w:val="single" w:sz="4" w:space="0" w:color="auto"/>
            </w:tcBorders>
          </w:tcPr>
          <w:p w14:paraId="12E262D7"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11F680B7"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38B49F35" w14:textId="77777777" w:rsidR="003A71DE" w:rsidRPr="00381A33" w:rsidRDefault="003A71DE" w:rsidP="001A5D47">
            <w:pPr>
              <w:pStyle w:val="TAC"/>
              <w:rPr>
                <w:rFonts w:eastAsia="SimSun"/>
                <w:lang w:eastAsia="zh-CN"/>
              </w:rPr>
            </w:pPr>
            <w:r w:rsidRPr="00381A33">
              <w:rPr>
                <w:rFonts w:eastAsia="SimSun"/>
                <w:lang w:eastAsia="ja-JP"/>
              </w:rPr>
              <w:t>TDDConf.3.1</w:t>
            </w:r>
          </w:p>
        </w:tc>
        <w:tc>
          <w:tcPr>
            <w:tcW w:w="2419" w:type="dxa"/>
            <w:gridSpan w:val="3"/>
            <w:tcBorders>
              <w:top w:val="single" w:sz="4" w:space="0" w:color="auto"/>
              <w:left w:val="single" w:sz="4" w:space="0" w:color="auto"/>
              <w:bottom w:val="single" w:sz="4" w:space="0" w:color="auto"/>
              <w:right w:val="single" w:sz="4" w:space="0" w:color="auto"/>
            </w:tcBorders>
            <w:hideMark/>
          </w:tcPr>
          <w:p w14:paraId="044C8CF9" w14:textId="77777777" w:rsidR="003A71DE" w:rsidRPr="00381A33" w:rsidRDefault="003A71DE" w:rsidP="001A5D47">
            <w:pPr>
              <w:pStyle w:val="TAC"/>
              <w:rPr>
                <w:rFonts w:eastAsia="SimSun"/>
                <w:lang w:eastAsia="zh-CN"/>
              </w:rPr>
            </w:pPr>
            <w:r w:rsidRPr="00381A33">
              <w:rPr>
                <w:rFonts w:eastAsia="SimSun"/>
                <w:lang w:eastAsia="ja-JP"/>
              </w:rPr>
              <w:t>TDDConf.3.1</w:t>
            </w:r>
          </w:p>
        </w:tc>
      </w:tr>
      <w:tr w:rsidR="003A71DE" w:rsidRPr="00381A33" w14:paraId="52261BAD"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409FA15C" w14:textId="77777777" w:rsidR="003A71DE" w:rsidRPr="00381A33" w:rsidRDefault="003A71DE" w:rsidP="001A5D47">
            <w:pPr>
              <w:pStyle w:val="TAL"/>
              <w:rPr>
                <w:rFonts w:eastAsia="SimSun"/>
                <w:lang w:eastAsia="zh-CN"/>
              </w:rPr>
            </w:pPr>
            <w:r w:rsidRPr="00381A33">
              <w:rPr>
                <w:rFonts w:eastAsia="SimSun"/>
                <w:lang w:eastAsia="zh-CN"/>
              </w:rPr>
              <w:t>PDSCH RMC configuration</w:t>
            </w:r>
          </w:p>
        </w:tc>
        <w:tc>
          <w:tcPr>
            <w:tcW w:w="1794" w:type="dxa"/>
            <w:tcBorders>
              <w:top w:val="single" w:sz="4" w:space="0" w:color="auto"/>
              <w:left w:val="single" w:sz="4" w:space="0" w:color="auto"/>
              <w:bottom w:val="single" w:sz="4" w:space="0" w:color="auto"/>
              <w:right w:val="single" w:sz="4" w:space="0" w:color="auto"/>
            </w:tcBorders>
          </w:tcPr>
          <w:p w14:paraId="46FE0F07"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1B9359C2"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7EE735A0" w14:textId="77777777" w:rsidR="003A71DE" w:rsidRPr="00381A33" w:rsidRDefault="003A71DE" w:rsidP="001A5D47">
            <w:pPr>
              <w:pStyle w:val="TAC"/>
              <w:rPr>
                <w:rFonts w:eastAsia="SimSun"/>
                <w:lang w:eastAsia="zh-CN"/>
              </w:rPr>
            </w:pPr>
            <w:r w:rsidRPr="00381A33">
              <w:rPr>
                <w:rFonts w:eastAsia="SimSun"/>
                <w:lang w:eastAsia="zh-CN"/>
              </w:rPr>
              <w:t>SR.3.1 TDD</w:t>
            </w:r>
          </w:p>
        </w:tc>
        <w:tc>
          <w:tcPr>
            <w:tcW w:w="2419" w:type="dxa"/>
            <w:gridSpan w:val="3"/>
            <w:tcBorders>
              <w:top w:val="single" w:sz="4" w:space="0" w:color="auto"/>
              <w:left w:val="single" w:sz="4" w:space="0" w:color="auto"/>
              <w:bottom w:val="single" w:sz="4" w:space="0" w:color="auto"/>
              <w:right w:val="single" w:sz="4" w:space="0" w:color="auto"/>
            </w:tcBorders>
            <w:hideMark/>
          </w:tcPr>
          <w:p w14:paraId="07012647" w14:textId="77777777" w:rsidR="003A71DE" w:rsidRPr="00381A33" w:rsidRDefault="003A71DE" w:rsidP="001A5D47">
            <w:pPr>
              <w:pStyle w:val="TAC"/>
              <w:rPr>
                <w:rFonts w:eastAsia="SimSun"/>
                <w:lang w:eastAsia="zh-CN"/>
              </w:rPr>
            </w:pPr>
            <w:r w:rsidRPr="00381A33">
              <w:rPr>
                <w:rFonts w:eastAsia="SimSun"/>
                <w:lang w:eastAsia="zh-CN"/>
              </w:rPr>
              <w:t>N/A</w:t>
            </w:r>
          </w:p>
        </w:tc>
      </w:tr>
      <w:tr w:rsidR="003A71DE" w:rsidRPr="00381A33" w14:paraId="7E4DA85C"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1B00AA4B" w14:textId="77777777" w:rsidR="003A71DE" w:rsidRPr="00381A33" w:rsidRDefault="003A71DE" w:rsidP="001A5D47">
            <w:pPr>
              <w:pStyle w:val="TAL"/>
              <w:rPr>
                <w:rFonts w:eastAsia="SimSun"/>
                <w:lang w:eastAsia="zh-CN"/>
              </w:rPr>
            </w:pPr>
            <w:r w:rsidRPr="00381A33">
              <w:rPr>
                <w:rFonts w:eastAsia="SimSun"/>
                <w:lang w:eastAsia="zh-CN"/>
              </w:rPr>
              <w:t>RMSI CORESET RMC configuration</w:t>
            </w:r>
          </w:p>
        </w:tc>
        <w:tc>
          <w:tcPr>
            <w:tcW w:w="1794" w:type="dxa"/>
            <w:tcBorders>
              <w:top w:val="single" w:sz="4" w:space="0" w:color="auto"/>
              <w:left w:val="single" w:sz="4" w:space="0" w:color="auto"/>
              <w:bottom w:val="single" w:sz="4" w:space="0" w:color="auto"/>
              <w:right w:val="single" w:sz="4" w:space="0" w:color="auto"/>
            </w:tcBorders>
          </w:tcPr>
          <w:p w14:paraId="0391CF0C"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0BC0C3FF"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7D2BCFCC" w14:textId="77777777" w:rsidR="003A71DE" w:rsidRPr="00381A33" w:rsidRDefault="003A71DE" w:rsidP="001A5D47">
            <w:pPr>
              <w:pStyle w:val="TAC"/>
              <w:rPr>
                <w:rFonts w:eastAsia="SimSun"/>
                <w:lang w:eastAsia="zh-CN"/>
              </w:rPr>
            </w:pPr>
            <w:r w:rsidRPr="00381A33">
              <w:rPr>
                <w:rFonts w:eastAsia="SimSun"/>
                <w:lang w:eastAsia="zh-CN"/>
              </w:rPr>
              <w:t>CR.3.1 TDD</w:t>
            </w:r>
          </w:p>
        </w:tc>
        <w:tc>
          <w:tcPr>
            <w:tcW w:w="2419" w:type="dxa"/>
            <w:gridSpan w:val="3"/>
            <w:tcBorders>
              <w:top w:val="single" w:sz="4" w:space="0" w:color="auto"/>
              <w:left w:val="single" w:sz="4" w:space="0" w:color="auto"/>
              <w:bottom w:val="single" w:sz="4" w:space="0" w:color="auto"/>
              <w:right w:val="single" w:sz="4" w:space="0" w:color="auto"/>
            </w:tcBorders>
            <w:hideMark/>
          </w:tcPr>
          <w:p w14:paraId="14CFADDD" w14:textId="77777777" w:rsidR="003A71DE" w:rsidRPr="00381A33" w:rsidRDefault="003A71DE" w:rsidP="001A5D47">
            <w:pPr>
              <w:pStyle w:val="TAC"/>
              <w:rPr>
                <w:rFonts w:eastAsia="SimSun"/>
                <w:lang w:eastAsia="zh-CN"/>
              </w:rPr>
            </w:pPr>
            <w:r w:rsidRPr="00381A33">
              <w:rPr>
                <w:rFonts w:eastAsia="SimSun"/>
                <w:lang w:eastAsia="zh-CN"/>
              </w:rPr>
              <w:t>CR.3.1 TDD</w:t>
            </w:r>
          </w:p>
        </w:tc>
      </w:tr>
      <w:tr w:rsidR="003A71DE" w:rsidRPr="00381A33" w14:paraId="6222AEF4"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0440D0A7" w14:textId="77777777" w:rsidR="003A71DE" w:rsidRPr="00381A33" w:rsidRDefault="003A71DE" w:rsidP="001A5D47">
            <w:pPr>
              <w:pStyle w:val="TAL"/>
              <w:rPr>
                <w:rFonts w:eastAsia="SimSun"/>
                <w:lang w:eastAsia="zh-CN"/>
              </w:rPr>
            </w:pPr>
            <w:r w:rsidRPr="00381A33">
              <w:rPr>
                <w:rFonts w:eastAsia="SimSun"/>
                <w:lang w:eastAsia="zh-CN"/>
              </w:rPr>
              <w:t>Dedicated CORESET RMC configuration</w:t>
            </w:r>
          </w:p>
        </w:tc>
        <w:tc>
          <w:tcPr>
            <w:tcW w:w="1794" w:type="dxa"/>
            <w:tcBorders>
              <w:top w:val="single" w:sz="4" w:space="0" w:color="auto"/>
              <w:left w:val="single" w:sz="4" w:space="0" w:color="auto"/>
              <w:bottom w:val="single" w:sz="4" w:space="0" w:color="auto"/>
              <w:right w:val="single" w:sz="4" w:space="0" w:color="auto"/>
            </w:tcBorders>
          </w:tcPr>
          <w:p w14:paraId="45915AA1"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744EA2A9"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07C314E0" w14:textId="77777777" w:rsidR="003A71DE" w:rsidRPr="00381A33" w:rsidRDefault="003A71DE" w:rsidP="001A5D47">
            <w:pPr>
              <w:pStyle w:val="TAC"/>
              <w:rPr>
                <w:rFonts w:eastAsia="SimSun"/>
                <w:lang w:eastAsia="zh-CN"/>
              </w:rPr>
            </w:pPr>
            <w:r w:rsidRPr="00381A33">
              <w:rPr>
                <w:rFonts w:eastAsia="SimSun"/>
                <w:lang w:eastAsia="zh-CN"/>
              </w:rPr>
              <w:t>CCR.3.1 TDD</w:t>
            </w:r>
          </w:p>
        </w:tc>
        <w:tc>
          <w:tcPr>
            <w:tcW w:w="2419" w:type="dxa"/>
            <w:gridSpan w:val="3"/>
            <w:tcBorders>
              <w:top w:val="single" w:sz="4" w:space="0" w:color="auto"/>
              <w:left w:val="single" w:sz="4" w:space="0" w:color="auto"/>
              <w:bottom w:val="single" w:sz="4" w:space="0" w:color="auto"/>
              <w:right w:val="single" w:sz="4" w:space="0" w:color="auto"/>
            </w:tcBorders>
            <w:hideMark/>
          </w:tcPr>
          <w:p w14:paraId="62048301" w14:textId="77777777" w:rsidR="003A71DE" w:rsidRPr="00381A33" w:rsidRDefault="003A71DE" w:rsidP="001A5D47">
            <w:pPr>
              <w:pStyle w:val="TAC"/>
              <w:rPr>
                <w:rFonts w:eastAsia="SimSun"/>
                <w:lang w:eastAsia="zh-CN"/>
              </w:rPr>
            </w:pPr>
            <w:r w:rsidRPr="00381A33">
              <w:rPr>
                <w:rFonts w:eastAsia="SimSun"/>
                <w:lang w:eastAsia="zh-CN"/>
              </w:rPr>
              <w:t>CCR.3.1 TDD</w:t>
            </w:r>
          </w:p>
        </w:tc>
      </w:tr>
      <w:tr w:rsidR="003A71DE" w:rsidRPr="00381A33" w14:paraId="42C3FD49"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79EAE90" w14:textId="77777777" w:rsidR="003A71DE" w:rsidRPr="00381A33" w:rsidRDefault="003A71DE" w:rsidP="001A5D47">
            <w:pPr>
              <w:pStyle w:val="TAL"/>
              <w:rPr>
                <w:rFonts w:eastAsia="SimSun"/>
                <w:lang w:eastAsia="zh-CN"/>
              </w:rPr>
            </w:pPr>
            <w:r w:rsidRPr="00381A33">
              <w:rPr>
                <w:rFonts w:eastAsia="SimSun"/>
                <w:lang w:eastAsia="zh-CN"/>
              </w:rPr>
              <w:t>TRS configuration</w:t>
            </w:r>
          </w:p>
        </w:tc>
        <w:tc>
          <w:tcPr>
            <w:tcW w:w="1794" w:type="dxa"/>
            <w:tcBorders>
              <w:top w:val="single" w:sz="4" w:space="0" w:color="auto"/>
              <w:left w:val="single" w:sz="4" w:space="0" w:color="auto"/>
              <w:bottom w:val="single" w:sz="4" w:space="0" w:color="auto"/>
              <w:right w:val="single" w:sz="4" w:space="0" w:color="auto"/>
            </w:tcBorders>
          </w:tcPr>
          <w:p w14:paraId="4D9BC80B"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6C561FE4"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3F125C1F" w14:textId="77777777" w:rsidR="003A71DE" w:rsidRPr="00381A33" w:rsidRDefault="003A71DE" w:rsidP="001A5D47">
            <w:pPr>
              <w:pStyle w:val="TAC"/>
              <w:rPr>
                <w:rFonts w:eastAsia="SimSun"/>
              </w:rPr>
            </w:pPr>
            <w:r w:rsidRPr="00381A33">
              <w:rPr>
                <w:rFonts w:eastAsia="SimSun"/>
                <w:lang w:eastAsia="zh-CN"/>
              </w:rPr>
              <w:t>TRS.2.1 TDD</w:t>
            </w:r>
          </w:p>
        </w:tc>
        <w:tc>
          <w:tcPr>
            <w:tcW w:w="2419" w:type="dxa"/>
            <w:gridSpan w:val="3"/>
            <w:tcBorders>
              <w:top w:val="single" w:sz="4" w:space="0" w:color="auto"/>
              <w:left w:val="single" w:sz="4" w:space="0" w:color="auto"/>
              <w:bottom w:val="single" w:sz="4" w:space="0" w:color="auto"/>
              <w:right w:val="single" w:sz="4" w:space="0" w:color="auto"/>
            </w:tcBorders>
            <w:hideMark/>
          </w:tcPr>
          <w:p w14:paraId="3E64F97D" w14:textId="77777777" w:rsidR="003A71DE" w:rsidRPr="00381A33" w:rsidRDefault="003A71DE" w:rsidP="001A5D47">
            <w:pPr>
              <w:pStyle w:val="TAC"/>
              <w:rPr>
                <w:rFonts w:eastAsia="SimSun"/>
              </w:rPr>
            </w:pPr>
            <w:r w:rsidRPr="00381A33">
              <w:rPr>
                <w:rFonts w:eastAsia="SimSun"/>
                <w:lang w:eastAsia="zh-CN"/>
              </w:rPr>
              <w:t>N/A</w:t>
            </w:r>
          </w:p>
        </w:tc>
      </w:tr>
      <w:tr w:rsidR="003A71DE" w:rsidRPr="00381A33" w14:paraId="1F862DDA"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73D8C14B" w14:textId="77777777" w:rsidR="003A71DE" w:rsidRPr="00381A33" w:rsidRDefault="003A71DE" w:rsidP="001A5D47">
            <w:pPr>
              <w:pStyle w:val="TAL"/>
              <w:rPr>
                <w:rFonts w:eastAsia="SimSun"/>
                <w:lang w:eastAsia="zh-CN"/>
              </w:rPr>
            </w:pPr>
            <w:r w:rsidRPr="00381A33">
              <w:rPr>
                <w:rFonts w:eastAsia="SimSun"/>
                <w:lang w:eastAsia="zh-CN"/>
              </w:rPr>
              <w:t>PDSCH/PDCCH TCI state</w:t>
            </w:r>
          </w:p>
        </w:tc>
        <w:tc>
          <w:tcPr>
            <w:tcW w:w="1794" w:type="dxa"/>
            <w:tcBorders>
              <w:top w:val="single" w:sz="4" w:space="0" w:color="auto"/>
              <w:left w:val="single" w:sz="4" w:space="0" w:color="auto"/>
              <w:bottom w:val="single" w:sz="4" w:space="0" w:color="auto"/>
              <w:right w:val="single" w:sz="4" w:space="0" w:color="auto"/>
            </w:tcBorders>
          </w:tcPr>
          <w:p w14:paraId="5D7C4A0A"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04313BC7"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6FCEE21C" w14:textId="77777777" w:rsidR="003A71DE" w:rsidRPr="00381A33" w:rsidRDefault="003A71DE" w:rsidP="001A5D47">
            <w:pPr>
              <w:pStyle w:val="TAC"/>
              <w:rPr>
                <w:rFonts w:eastAsia="SimSun"/>
              </w:rPr>
            </w:pPr>
            <w:r w:rsidRPr="00381A33">
              <w:rPr>
                <w:rFonts w:eastAsia="SimSun"/>
                <w:lang w:eastAsia="zh-CN"/>
              </w:rPr>
              <w:t>TCI.State.2</w:t>
            </w:r>
          </w:p>
        </w:tc>
        <w:tc>
          <w:tcPr>
            <w:tcW w:w="2419" w:type="dxa"/>
            <w:gridSpan w:val="3"/>
            <w:tcBorders>
              <w:top w:val="single" w:sz="4" w:space="0" w:color="auto"/>
              <w:left w:val="single" w:sz="4" w:space="0" w:color="auto"/>
              <w:bottom w:val="single" w:sz="4" w:space="0" w:color="auto"/>
              <w:right w:val="single" w:sz="4" w:space="0" w:color="auto"/>
            </w:tcBorders>
            <w:hideMark/>
          </w:tcPr>
          <w:p w14:paraId="6EC53B70" w14:textId="77777777" w:rsidR="003A71DE" w:rsidRPr="00381A33" w:rsidRDefault="003A71DE" w:rsidP="001A5D47">
            <w:pPr>
              <w:pStyle w:val="TAC"/>
              <w:rPr>
                <w:rFonts w:eastAsia="SimSun"/>
              </w:rPr>
            </w:pPr>
            <w:r w:rsidRPr="00381A33">
              <w:rPr>
                <w:rFonts w:eastAsia="SimSun"/>
                <w:lang w:eastAsia="zh-CN"/>
              </w:rPr>
              <w:t>N/A</w:t>
            </w:r>
          </w:p>
        </w:tc>
      </w:tr>
      <w:tr w:rsidR="003A71DE" w:rsidRPr="00381A33" w14:paraId="62556BB8"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7999C8E7" w14:textId="77777777" w:rsidR="003A71DE" w:rsidRPr="00381A33" w:rsidRDefault="003A71DE" w:rsidP="001A5D47">
            <w:pPr>
              <w:pStyle w:val="TAL"/>
              <w:rPr>
                <w:rFonts w:eastAsia="SimSun"/>
              </w:rPr>
            </w:pPr>
            <w:r w:rsidRPr="00381A33">
              <w:rPr>
                <w:rFonts w:eastAsia="SimSun"/>
              </w:rPr>
              <w:t>OCNG Pattern</w:t>
            </w:r>
          </w:p>
        </w:tc>
        <w:tc>
          <w:tcPr>
            <w:tcW w:w="1794" w:type="dxa"/>
            <w:tcBorders>
              <w:top w:val="single" w:sz="4" w:space="0" w:color="auto"/>
              <w:left w:val="single" w:sz="4" w:space="0" w:color="auto"/>
              <w:bottom w:val="single" w:sz="4" w:space="0" w:color="auto"/>
              <w:right w:val="single" w:sz="4" w:space="0" w:color="auto"/>
            </w:tcBorders>
          </w:tcPr>
          <w:p w14:paraId="1BBD356A"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44B6E1C6"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37004099" w14:textId="77777777" w:rsidR="003A71DE" w:rsidRPr="00381A33" w:rsidRDefault="003A71DE" w:rsidP="001A5D47">
            <w:pPr>
              <w:pStyle w:val="TAC"/>
              <w:rPr>
                <w:rFonts w:eastAsia="SimSun"/>
              </w:rPr>
            </w:pPr>
            <w:r w:rsidRPr="00381A33">
              <w:rPr>
                <w:rFonts w:eastAsia="SimSun"/>
              </w:rPr>
              <w:t>OP.1 defined in TBD</w:t>
            </w:r>
          </w:p>
        </w:tc>
        <w:tc>
          <w:tcPr>
            <w:tcW w:w="2419" w:type="dxa"/>
            <w:gridSpan w:val="3"/>
            <w:tcBorders>
              <w:top w:val="single" w:sz="4" w:space="0" w:color="auto"/>
              <w:left w:val="single" w:sz="4" w:space="0" w:color="auto"/>
              <w:bottom w:val="single" w:sz="4" w:space="0" w:color="auto"/>
              <w:right w:val="single" w:sz="4" w:space="0" w:color="auto"/>
            </w:tcBorders>
            <w:hideMark/>
          </w:tcPr>
          <w:p w14:paraId="1FBAF4FE" w14:textId="77777777" w:rsidR="003A71DE" w:rsidRPr="00381A33" w:rsidRDefault="003A71DE" w:rsidP="001A5D47">
            <w:pPr>
              <w:pStyle w:val="TAC"/>
              <w:rPr>
                <w:rFonts w:eastAsia="SimSun"/>
              </w:rPr>
            </w:pPr>
            <w:r w:rsidRPr="00381A33">
              <w:rPr>
                <w:rFonts w:eastAsia="SimSun"/>
              </w:rPr>
              <w:t>OP.1 defined in TBD</w:t>
            </w:r>
          </w:p>
        </w:tc>
      </w:tr>
      <w:tr w:rsidR="003A71DE" w:rsidRPr="00381A33" w14:paraId="4AF2EEC4"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02125B92" w14:textId="77777777" w:rsidR="003A71DE" w:rsidRPr="00381A33" w:rsidRDefault="003A71DE" w:rsidP="001A5D47">
            <w:pPr>
              <w:pStyle w:val="TAL"/>
              <w:rPr>
                <w:rFonts w:eastAsia="SimSun"/>
                <w:lang w:eastAsia="zh-CN"/>
              </w:rPr>
            </w:pPr>
            <w:r w:rsidRPr="00381A33">
              <w:rPr>
                <w:rFonts w:eastAsia="SimSun"/>
                <w:lang w:eastAsia="zh-CN"/>
              </w:rPr>
              <w:t>Initial DL BWP configuration</w:t>
            </w:r>
          </w:p>
        </w:tc>
        <w:tc>
          <w:tcPr>
            <w:tcW w:w="1794" w:type="dxa"/>
            <w:tcBorders>
              <w:top w:val="single" w:sz="4" w:space="0" w:color="auto"/>
              <w:left w:val="single" w:sz="4" w:space="0" w:color="auto"/>
              <w:bottom w:val="single" w:sz="4" w:space="0" w:color="auto"/>
              <w:right w:val="single" w:sz="4" w:space="0" w:color="auto"/>
            </w:tcBorders>
          </w:tcPr>
          <w:p w14:paraId="154FAED5"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2CF2DD1A"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7C18F001" w14:textId="77777777" w:rsidR="003A71DE" w:rsidRPr="00381A33" w:rsidRDefault="003A71DE" w:rsidP="001A5D47">
            <w:pPr>
              <w:pStyle w:val="TAC"/>
              <w:rPr>
                <w:rFonts w:eastAsia="SimSun"/>
                <w:lang w:eastAsia="zh-CN"/>
              </w:rPr>
            </w:pPr>
            <w:r w:rsidRPr="00381A33">
              <w:rPr>
                <w:rFonts w:eastAsia="SimSun"/>
                <w:lang w:eastAsia="zh-CN"/>
              </w:rPr>
              <w:t>DLBWP.0.1</w:t>
            </w:r>
          </w:p>
        </w:tc>
        <w:tc>
          <w:tcPr>
            <w:tcW w:w="2419" w:type="dxa"/>
            <w:gridSpan w:val="3"/>
            <w:tcBorders>
              <w:top w:val="single" w:sz="4" w:space="0" w:color="auto"/>
              <w:left w:val="single" w:sz="4" w:space="0" w:color="auto"/>
              <w:bottom w:val="single" w:sz="4" w:space="0" w:color="auto"/>
              <w:right w:val="single" w:sz="4" w:space="0" w:color="auto"/>
            </w:tcBorders>
            <w:hideMark/>
          </w:tcPr>
          <w:p w14:paraId="63BC5417" w14:textId="77777777" w:rsidR="003A71DE" w:rsidRPr="00381A33" w:rsidRDefault="003A71DE" w:rsidP="001A5D47">
            <w:pPr>
              <w:pStyle w:val="TAC"/>
              <w:rPr>
                <w:rFonts w:eastAsia="SimSun"/>
              </w:rPr>
            </w:pPr>
            <w:r w:rsidRPr="00381A33">
              <w:rPr>
                <w:rFonts w:eastAsia="SimSun"/>
                <w:lang w:eastAsia="zh-CN"/>
              </w:rPr>
              <w:t>DLBWP.0.1</w:t>
            </w:r>
          </w:p>
        </w:tc>
      </w:tr>
      <w:tr w:rsidR="003A71DE" w:rsidRPr="00381A33" w14:paraId="7530B471"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4BEAB12" w14:textId="77777777" w:rsidR="003A71DE" w:rsidRPr="00381A33" w:rsidRDefault="003A71DE" w:rsidP="001A5D47">
            <w:pPr>
              <w:pStyle w:val="TAL"/>
              <w:rPr>
                <w:rFonts w:eastAsia="SimSun"/>
                <w:lang w:eastAsia="zh-CN"/>
              </w:rPr>
            </w:pPr>
            <w:r w:rsidRPr="00381A33">
              <w:rPr>
                <w:rFonts w:eastAsia="SimSun"/>
                <w:lang w:eastAsia="zh-CN"/>
              </w:rPr>
              <w:t>Initial UL BWP configuration</w:t>
            </w:r>
          </w:p>
        </w:tc>
        <w:tc>
          <w:tcPr>
            <w:tcW w:w="1794" w:type="dxa"/>
            <w:tcBorders>
              <w:top w:val="single" w:sz="4" w:space="0" w:color="auto"/>
              <w:left w:val="single" w:sz="4" w:space="0" w:color="auto"/>
              <w:bottom w:val="single" w:sz="4" w:space="0" w:color="auto"/>
              <w:right w:val="single" w:sz="4" w:space="0" w:color="auto"/>
            </w:tcBorders>
          </w:tcPr>
          <w:p w14:paraId="01B5B187"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32682F4E"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61EBA412" w14:textId="77777777" w:rsidR="003A71DE" w:rsidRPr="00381A33" w:rsidRDefault="003A71DE" w:rsidP="001A5D47">
            <w:pPr>
              <w:pStyle w:val="TAC"/>
              <w:rPr>
                <w:rFonts w:eastAsia="SimSun"/>
                <w:lang w:eastAsia="zh-CN"/>
              </w:rPr>
            </w:pPr>
            <w:r w:rsidRPr="00381A33">
              <w:rPr>
                <w:rFonts w:eastAsia="SimSun"/>
                <w:lang w:eastAsia="zh-CN"/>
              </w:rPr>
              <w:t>ULBWP.0.1</w:t>
            </w:r>
          </w:p>
        </w:tc>
        <w:tc>
          <w:tcPr>
            <w:tcW w:w="2419" w:type="dxa"/>
            <w:gridSpan w:val="3"/>
            <w:tcBorders>
              <w:top w:val="single" w:sz="4" w:space="0" w:color="auto"/>
              <w:left w:val="single" w:sz="4" w:space="0" w:color="auto"/>
              <w:bottom w:val="single" w:sz="4" w:space="0" w:color="auto"/>
              <w:right w:val="single" w:sz="4" w:space="0" w:color="auto"/>
            </w:tcBorders>
            <w:hideMark/>
          </w:tcPr>
          <w:p w14:paraId="28022420" w14:textId="77777777" w:rsidR="003A71DE" w:rsidRPr="00381A33" w:rsidRDefault="003A71DE" w:rsidP="001A5D47">
            <w:pPr>
              <w:pStyle w:val="TAC"/>
              <w:rPr>
                <w:rFonts w:eastAsia="SimSun"/>
                <w:lang w:eastAsia="zh-CN"/>
              </w:rPr>
            </w:pPr>
            <w:r w:rsidRPr="00381A33">
              <w:rPr>
                <w:rFonts w:eastAsia="SimSun"/>
                <w:lang w:eastAsia="zh-CN"/>
              </w:rPr>
              <w:t>ULBWP.0.1</w:t>
            </w:r>
          </w:p>
        </w:tc>
      </w:tr>
      <w:tr w:rsidR="003A71DE" w:rsidRPr="00381A33" w14:paraId="334B61E3"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8874491" w14:textId="77777777" w:rsidR="003A71DE" w:rsidRPr="00381A33" w:rsidRDefault="003A71DE" w:rsidP="001A5D47">
            <w:pPr>
              <w:pStyle w:val="TAL"/>
              <w:rPr>
                <w:rFonts w:eastAsia="SimSun"/>
                <w:lang w:eastAsia="zh-CN"/>
              </w:rPr>
            </w:pPr>
            <w:r w:rsidRPr="00381A33">
              <w:rPr>
                <w:rFonts w:eastAsia="SimSun"/>
                <w:lang w:eastAsia="zh-CN"/>
              </w:rPr>
              <w:t>RLM-RS</w:t>
            </w:r>
          </w:p>
        </w:tc>
        <w:tc>
          <w:tcPr>
            <w:tcW w:w="1794" w:type="dxa"/>
            <w:tcBorders>
              <w:top w:val="single" w:sz="4" w:space="0" w:color="auto"/>
              <w:left w:val="single" w:sz="4" w:space="0" w:color="auto"/>
              <w:bottom w:val="single" w:sz="4" w:space="0" w:color="auto"/>
              <w:right w:val="single" w:sz="4" w:space="0" w:color="auto"/>
            </w:tcBorders>
          </w:tcPr>
          <w:p w14:paraId="285E4FB6"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4524B536" w14:textId="77777777" w:rsidR="003A71DE" w:rsidRPr="00381A33" w:rsidRDefault="003A71DE" w:rsidP="001A5D47">
            <w:pPr>
              <w:pStyle w:val="TAC"/>
              <w:rPr>
                <w:rFonts w:eastAsia="SimSun"/>
                <w:lang w:eastAsia="zh-CN"/>
              </w:rPr>
            </w:pPr>
            <w:r w:rsidRPr="00381A33">
              <w:rPr>
                <w:rFonts w:eastAsia="SimSun"/>
                <w:lang w:eastAsia="zh-CN"/>
              </w:rPr>
              <w:t>1</w:t>
            </w:r>
          </w:p>
        </w:tc>
        <w:tc>
          <w:tcPr>
            <w:tcW w:w="2742" w:type="dxa"/>
            <w:gridSpan w:val="3"/>
            <w:tcBorders>
              <w:top w:val="single" w:sz="4" w:space="0" w:color="auto"/>
              <w:left w:val="single" w:sz="4" w:space="0" w:color="auto"/>
              <w:bottom w:val="single" w:sz="4" w:space="0" w:color="auto"/>
              <w:right w:val="single" w:sz="4" w:space="0" w:color="auto"/>
            </w:tcBorders>
            <w:hideMark/>
          </w:tcPr>
          <w:p w14:paraId="2C48A605" w14:textId="77777777" w:rsidR="003A71DE" w:rsidRPr="00381A33" w:rsidRDefault="003A71DE" w:rsidP="001A5D47">
            <w:pPr>
              <w:pStyle w:val="TAC"/>
              <w:rPr>
                <w:rFonts w:eastAsia="SimSun"/>
                <w:lang w:eastAsia="zh-CN"/>
              </w:rPr>
            </w:pPr>
            <w:r w:rsidRPr="00381A33">
              <w:rPr>
                <w:rFonts w:eastAsia="SimSun"/>
                <w:lang w:eastAsia="zh-CN"/>
              </w:rPr>
              <w:t>SSB</w:t>
            </w:r>
          </w:p>
        </w:tc>
        <w:tc>
          <w:tcPr>
            <w:tcW w:w="2419" w:type="dxa"/>
            <w:gridSpan w:val="3"/>
            <w:tcBorders>
              <w:top w:val="single" w:sz="4" w:space="0" w:color="auto"/>
              <w:left w:val="single" w:sz="4" w:space="0" w:color="auto"/>
              <w:bottom w:val="single" w:sz="4" w:space="0" w:color="auto"/>
              <w:right w:val="single" w:sz="4" w:space="0" w:color="auto"/>
            </w:tcBorders>
            <w:hideMark/>
          </w:tcPr>
          <w:p w14:paraId="7A15D9A4" w14:textId="77777777" w:rsidR="003A71DE" w:rsidRPr="00381A33" w:rsidRDefault="003A71DE" w:rsidP="001A5D47">
            <w:pPr>
              <w:pStyle w:val="TAC"/>
              <w:rPr>
                <w:rFonts w:eastAsia="SimSun"/>
                <w:lang w:eastAsia="zh-CN"/>
              </w:rPr>
            </w:pPr>
            <w:r w:rsidRPr="00381A33">
              <w:rPr>
                <w:rFonts w:eastAsia="SimSun"/>
                <w:lang w:eastAsia="zh-CN"/>
              </w:rPr>
              <w:t>SSB</w:t>
            </w:r>
          </w:p>
        </w:tc>
      </w:tr>
      <w:tr w:rsidR="003A71DE" w:rsidRPr="00381A33" w14:paraId="4D4E46A0" w14:textId="77777777" w:rsidTr="003A71DE">
        <w:trPr>
          <w:cantSplit/>
          <w:trHeight w:val="141"/>
          <w:jc w:val="center"/>
        </w:trPr>
        <w:tc>
          <w:tcPr>
            <w:tcW w:w="1951" w:type="dxa"/>
            <w:tcBorders>
              <w:top w:val="single" w:sz="4" w:space="0" w:color="auto"/>
              <w:left w:val="single" w:sz="4" w:space="0" w:color="auto"/>
              <w:bottom w:val="single" w:sz="4" w:space="0" w:color="auto"/>
              <w:right w:val="single" w:sz="4" w:space="0" w:color="auto"/>
            </w:tcBorders>
            <w:hideMark/>
          </w:tcPr>
          <w:p w14:paraId="6DF71E4C" w14:textId="77777777" w:rsidR="003A71DE" w:rsidRPr="00381A33" w:rsidRDefault="003A71DE" w:rsidP="001A5D47">
            <w:pPr>
              <w:pStyle w:val="TAL"/>
              <w:rPr>
                <w:rFonts w:eastAsia="SimSun"/>
              </w:rPr>
            </w:pPr>
            <w:r w:rsidRPr="00381A33">
              <w:rPr>
                <w:position w:val="-12"/>
              </w:rPr>
              <w:object w:dxaOrig="585" w:dyaOrig="285" w14:anchorId="2E9AEA04">
                <v:shape id="_x0000_i1060" type="#_x0000_t75" style="width:29.35pt;height:14.4pt" o:ole="" fillcolor="window">
                  <v:imagedata r:id="rId69" o:title=""/>
                </v:shape>
                <o:OLEObject Type="Embed" ProgID="Equation.3" ShapeID="_x0000_i1060" DrawAspect="Content" ObjectID="_1734764440" r:id="rId82"/>
              </w:object>
            </w:r>
          </w:p>
        </w:tc>
        <w:tc>
          <w:tcPr>
            <w:tcW w:w="1794" w:type="dxa"/>
            <w:tcBorders>
              <w:top w:val="single" w:sz="4" w:space="0" w:color="auto"/>
              <w:left w:val="single" w:sz="4" w:space="0" w:color="auto"/>
              <w:bottom w:val="single" w:sz="4" w:space="0" w:color="auto"/>
              <w:right w:val="single" w:sz="4" w:space="0" w:color="auto"/>
            </w:tcBorders>
            <w:hideMark/>
          </w:tcPr>
          <w:p w14:paraId="3C524BD6" w14:textId="77777777" w:rsidR="003A71DE" w:rsidRPr="00381A33" w:rsidRDefault="003A71DE" w:rsidP="001A5D47">
            <w:pPr>
              <w:pStyle w:val="TAC"/>
              <w:rPr>
                <w:rFonts w:eastAsia="SimSun"/>
              </w:rPr>
            </w:pPr>
            <w:r w:rsidRPr="00381A33">
              <w:rPr>
                <w:rFonts w:eastAsia="SimSun"/>
              </w:rPr>
              <w:t>dB</w:t>
            </w:r>
          </w:p>
        </w:tc>
        <w:tc>
          <w:tcPr>
            <w:tcW w:w="1418" w:type="dxa"/>
            <w:tcBorders>
              <w:top w:val="single" w:sz="4" w:space="0" w:color="auto"/>
              <w:left w:val="single" w:sz="4" w:space="0" w:color="auto"/>
              <w:bottom w:val="single" w:sz="4" w:space="0" w:color="auto"/>
              <w:right w:val="single" w:sz="4" w:space="0" w:color="auto"/>
            </w:tcBorders>
            <w:hideMark/>
          </w:tcPr>
          <w:p w14:paraId="3C341EE5" w14:textId="77777777" w:rsidR="003A71DE" w:rsidRPr="00381A33" w:rsidRDefault="003A71DE" w:rsidP="001A5D47">
            <w:pPr>
              <w:pStyle w:val="TAC"/>
              <w:rPr>
                <w:rFonts w:eastAsia="SimSun"/>
                <w:lang w:eastAsia="zh-CN"/>
              </w:rPr>
            </w:pPr>
            <w:r w:rsidRPr="00381A33">
              <w:rPr>
                <w:rFonts w:eastAsia="SimSun"/>
                <w:lang w:eastAsia="zh-CN"/>
              </w:rPr>
              <w:t>1</w:t>
            </w:r>
          </w:p>
        </w:tc>
        <w:tc>
          <w:tcPr>
            <w:tcW w:w="992" w:type="dxa"/>
            <w:tcBorders>
              <w:top w:val="single" w:sz="4" w:space="0" w:color="auto"/>
              <w:left w:val="single" w:sz="4" w:space="0" w:color="auto"/>
              <w:bottom w:val="single" w:sz="4" w:space="0" w:color="auto"/>
              <w:right w:val="single" w:sz="4" w:space="0" w:color="auto"/>
            </w:tcBorders>
            <w:hideMark/>
          </w:tcPr>
          <w:p w14:paraId="3691FBFA" w14:textId="77777777" w:rsidR="003A71DE" w:rsidRPr="00381A33" w:rsidRDefault="003A71DE" w:rsidP="001A5D47">
            <w:pPr>
              <w:pStyle w:val="TAC"/>
              <w:rPr>
                <w:rFonts w:eastAsia="SimSun"/>
              </w:rPr>
            </w:pPr>
            <w:r w:rsidRPr="00381A33">
              <w:rPr>
                <w:rFonts w:eastAsia="SimSun"/>
              </w:rPr>
              <w:t>5</w:t>
            </w:r>
          </w:p>
        </w:tc>
        <w:tc>
          <w:tcPr>
            <w:tcW w:w="851" w:type="dxa"/>
            <w:tcBorders>
              <w:top w:val="single" w:sz="4" w:space="0" w:color="auto"/>
              <w:left w:val="single" w:sz="4" w:space="0" w:color="auto"/>
              <w:bottom w:val="single" w:sz="4" w:space="0" w:color="auto"/>
              <w:right w:val="single" w:sz="4" w:space="0" w:color="auto"/>
            </w:tcBorders>
            <w:hideMark/>
          </w:tcPr>
          <w:p w14:paraId="197C75EC" w14:textId="77777777" w:rsidR="003A71DE" w:rsidRPr="00381A33" w:rsidRDefault="003A71DE" w:rsidP="001A5D47">
            <w:pPr>
              <w:pStyle w:val="TAC"/>
              <w:rPr>
                <w:rFonts w:eastAsia="SimSun"/>
              </w:rPr>
            </w:pPr>
            <w:r w:rsidRPr="00381A33">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56C498E1" w14:textId="77777777" w:rsidR="003A71DE" w:rsidRPr="00381A33" w:rsidRDefault="003A71DE" w:rsidP="001A5D47">
            <w:pPr>
              <w:pStyle w:val="TAC"/>
              <w:rPr>
                <w:rFonts w:eastAsia="SimSun"/>
                <w:lang w:eastAsia="zh-CN"/>
              </w:rPr>
            </w:pPr>
            <w:r w:rsidRPr="00381A33">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4F29C7C7" w14:textId="77777777" w:rsidR="003A71DE" w:rsidRPr="00381A33" w:rsidRDefault="003A71DE" w:rsidP="001A5D47">
            <w:pPr>
              <w:pStyle w:val="TAC"/>
              <w:rPr>
                <w:rFonts w:eastAsia="SimSun"/>
              </w:rPr>
            </w:pPr>
            <w:r w:rsidRPr="00381A33">
              <w:rPr>
                <w:rFonts w:eastAsia="SimSun"/>
              </w:rPr>
              <w:t>-infinity</w:t>
            </w:r>
          </w:p>
        </w:tc>
        <w:tc>
          <w:tcPr>
            <w:tcW w:w="850" w:type="dxa"/>
            <w:tcBorders>
              <w:top w:val="single" w:sz="4" w:space="0" w:color="auto"/>
              <w:left w:val="single" w:sz="4" w:space="0" w:color="auto"/>
              <w:bottom w:val="single" w:sz="4" w:space="0" w:color="auto"/>
              <w:right w:val="single" w:sz="4" w:space="0" w:color="auto"/>
            </w:tcBorders>
            <w:hideMark/>
          </w:tcPr>
          <w:p w14:paraId="10E2078B" w14:textId="77777777" w:rsidR="003A71DE" w:rsidRPr="00381A33" w:rsidRDefault="003A71DE" w:rsidP="001A5D47">
            <w:pPr>
              <w:pStyle w:val="TAC"/>
              <w:rPr>
                <w:rFonts w:eastAsia="SimSun"/>
                <w:lang w:eastAsia="zh-CN"/>
              </w:rPr>
            </w:pPr>
            <w:r w:rsidRPr="00381A33">
              <w:rPr>
                <w:rFonts w:eastAsia="SimSun"/>
              </w:rPr>
              <w:t>-infinity</w:t>
            </w:r>
          </w:p>
        </w:tc>
        <w:tc>
          <w:tcPr>
            <w:tcW w:w="767" w:type="dxa"/>
            <w:tcBorders>
              <w:top w:val="single" w:sz="4" w:space="0" w:color="auto"/>
              <w:left w:val="single" w:sz="4" w:space="0" w:color="auto"/>
              <w:bottom w:val="single" w:sz="4" w:space="0" w:color="auto"/>
              <w:right w:val="single" w:sz="4" w:space="0" w:color="auto"/>
            </w:tcBorders>
            <w:hideMark/>
          </w:tcPr>
          <w:p w14:paraId="4A4828B3" w14:textId="77777777" w:rsidR="003A71DE" w:rsidRPr="00381A33" w:rsidRDefault="003A71DE" w:rsidP="001A5D47">
            <w:pPr>
              <w:pStyle w:val="TAC"/>
              <w:rPr>
                <w:rFonts w:eastAsia="SimSun"/>
              </w:rPr>
            </w:pPr>
            <w:r w:rsidRPr="00381A33">
              <w:rPr>
                <w:rFonts w:eastAsia="SimSun"/>
              </w:rPr>
              <w:t>8</w:t>
            </w:r>
          </w:p>
        </w:tc>
      </w:tr>
      <w:tr w:rsidR="003A71DE" w:rsidRPr="00381A33" w14:paraId="3125DF5B"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4EF83BAB" w14:textId="77777777" w:rsidR="003A71DE" w:rsidRPr="00381A33" w:rsidRDefault="003A71DE" w:rsidP="001A5D47">
            <w:pPr>
              <w:pStyle w:val="TAL"/>
              <w:rPr>
                <w:rFonts w:eastAsia="SimSun"/>
              </w:rPr>
            </w:pPr>
            <w:r w:rsidRPr="00381A33">
              <w:rPr>
                <w:position w:val="-12"/>
              </w:rPr>
              <w:object w:dxaOrig="435" w:dyaOrig="435" w14:anchorId="08106EA1">
                <v:shape id="_x0000_i1061" type="#_x0000_t75" style="width:21.6pt;height:21.6pt" o:ole="" fillcolor="window">
                  <v:imagedata r:id="rId71" o:title=""/>
                </v:shape>
                <o:OLEObject Type="Embed" ProgID="Equation.3" ShapeID="_x0000_i1061" DrawAspect="Content" ObjectID="_1734764441" r:id="rId83"/>
              </w:object>
            </w:r>
            <w:r w:rsidRPr="00381A33">
              <w:rPr>
                <w:rFonts w:eastAsia="SimSun"/>
              </w:rPr>
              <w:t xml:space="preserve"> </w:t>
            </w:r>
            <w:r w:rsidRPr="00381A33">
              <w:rPr>
                <w:rFonts w:eastAsia="SimSun"/>
                <w:vertAlign w:val="superscript"/>
              </w:rPr>
              <w:t>Note2</w:t>
            </w:r>
          </w:p>
        </w:tc>
        <w:tc>
          <w:tcPr>
            <w:tcW w:w="1794" w:type="dxa"/>
            <w:tcBorders>
              <w:top w:val="single" w:sz="4" w:space="0" w:color="auto"/>
              <w:left w:val="single" w:sz="4" w:space="0" w:color="auto"/>
              <w:bottom w:val="single" w:sz="4" w:space="0" w:color="auto"/>
              <w:right w:val="single" w:sz="4" w:space="0" w:color="auto"/>
            </w:tcBorders>
            <w:hideMark/>
          </w:tcPr>
          <w:p w14:paraId="2415FD45" w14:textId="77777777" w:rsidR="003A71DE" w:rsidRPr="00381A33" w:rsidRDefault="003A71DE" w:rsidP="001A5D47">
            <w:pPr>
              <w:pStyle w:val="TAC"/>
              <w:rPr>
                <w:rFonts w:eastAsia="SimSun"/>
              </w:rPr>
            </w:pPr>
            <w:r w:rsidRPr="00381A33">
              <w:rPr>
                <w:rFonts w:eastAsia="SimSun"/>
              </w:rPr>
              <w:t>dBm/15 kHz</w:t>
            </w:r>
          </w:p>
        </w:tc>
        <w:tc>
          <w:tcPr>
            <w:tcW w:w="1418" w:type="dxa"/>
            <w:tcBorders>
              <w:top w:val="single" w:sz="4" w:space="0" w:color="auto"/>
              <w:left w:val="single" w:sz="4" w:space="0" w:color="auto"/>
              <w:bottom w:val="single" w:sz="4" w:space="0" w:color="auto"/>
              <w:right w:val="single" w:sz="4" w:space="0" w:color="auto"/>
            </w:tcBorders>
            <w:hideMark/>
          </w:tcPr>
          <w:p w14:paraId="7AA1F3FD" w14:textId="77777777" w:rsidR="003A71DE" w:rsidRPr="00381A33" w:rsidRDefault="003A71DE" w:rsidP="001A5D47">
            <w:pPr>
              <w:pStyle w:val="TAC"/>
              <w:rPr>
                <w:rFonts w:eastAsia="SimSun"/>
                <w:lang w:eastAsia="zh-CN"/>
              </w:rPr>
            </w:pPr>
            <w:r w:rsidRPr="00381A33">
              <w:rPr>
                <w:rFonts w:eastAsia="SimSun"/>
                <w:lang w:eastAsia="zh-CN"/>
              </w:rPr>
              <w:t>1</w:t>
            </w:r>
          </w:p>
        </w:tc>
        <w:tc>
          <w:tcPr>
            <w:tcW w:w="5161" w:type="dxa"/>
            <w:gridSpan w:val="6"/>
            <w:tcBorders>
              <w:top w:val="single" w:sz="4" w:space="0" w:color="auto"/>
              <w:left w:val="single" w:sz="4" w:space="0" w:color="auto"/>
              <w:bottom w:val="single" w:sz="4" w:space="0" w:color="auto"/>
              <w:right w:val="single" w:sz="4" w:space="0" w:color="auto"/>
            </w:tcBorders>
            <w:hideMark/>
          </w:tcPr>
          <w:p w14:paraId="321A2C65" w14:textId="77777777" w:rsidR="003A71DE" w:rsidRPr="00381A33" w:rsidRDefault="003A71DE" w:rsidP="001A5D47">
            <w:pPr>
              <w:pStyle w:val="TAC"/>
              <w:rPr>
                <w:rFonts w:eastAsia="SimSun"/>
              </w:rPr>
            </w:pPr>
            <w:r w:rsidRPr="00381A33">
              <w:rPr>
                <w:rFonts w:eastAsia="SimSun"/>
              </w:rPr>
              <w:t>-98</w:t>
            </w:r>
          </w:p>
        </w:tc>
      </w:tr>
      <w:tr w:rsidR="003A71DE" w:rsidRPr="00381A33" w14:paraId="2E3F1A59"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14F67689" w14:textId="77777777" w:rsidR="003A71DE" w:rsidRPr="00381A33" w:rsidRDefault="003A71DE" w:rsidP="001A5D47">
            <w:pPr>
              <w:pStyle w:val="TAL"/>
              <w:rPr>
                <w:rFonts w:eastAsia="SimSun"/>
              </w:rPr>
            </w:pPr>
            <w:r w:rsidRPr="00381A33">
              <w:rPr>
                <w:position w:val="-12"/>
              </w:rPr>
              <w:object w:dxaOrig="435" w:dyaOrig="435" w14:anchorId="7970BB6D">
                <v:shape id="_x0000_i1062" type="#_x0000_t75" style="width:21.6pt;height:21.6pt" o:ole="" fillcolor="window">
                  <v:imagedata r:id="rId71" o:title=""/>
                </v:shape>
                <o:OLEObject Type="Embed" ProgID="Equation.3" ShapeID="_x0000_i1062" DrawAspect="Content" ObjectID="_1734764442" r:id="rId84"/>
              </w:object>
            </w:r>
            <w:r w:rsidRPr="00381A33">
              <w:rPr>
                <w:rFonts w:eastAsia="SimSun"/>
              </w:rPr>
              <w:t xml:space="preserve"> </w:t>
            </w:r>
            <w:r w:rsidRPr="00381A33">
              <w:rPr>
                <w:rFonts w:eastAsia="SimSun"/>
                <w:vertAlign w:val="superscript"/>
              </w:rPr>
              <w:t>Note2</w:t>
            </w:r>
          </w:p>
        </w:tc>
        <w:tc>
          <w:tcPr>
            <w:tcW w:w="1794" w:type="dxa"/>
            <w:tcBorders>
              <w:top w:val="single" w:sz="4" w:space="0" w:color="auto"/>
              <w:left w:val="single" w:sz="4" w:space="0" w:color="auto"/>
              <w:bottom w:val="single" w:sz="4" w:space="0" w:color="auto"/>
              <w:right w:val="single" w:sz="4" w:space="0" w:color="auto"/>
            </w:tcBorders>
            <w:hideMark/>
          </w:tcPr>
          <w:p w14:paraId="4E2E1C64" w14:textId="77777777" w:rsidR="003A71DE" w:rsidRPr="00381A33" w:rsidRDefault="003A71DE" w:rsidP="001A5D47">
            <w:pPr>
              <w:pStyle w:val="TAC"/>
              <w:rPr>
                <w:rFonts w:eastAsia="SimSun"/>
              </w:rPr>
            </w:pPr>
            <w:r w:rsidRPr="00381A33">
              <w:rPr>
                <w:rFonts w:eastAsia="SimSun"/>
              </w:rPr>
              <w:t>dBm/SCS</w:t>
            </w:r>
          </w:p>
        </w:tc>
        <w:tc>
          <w:tcPr>
            <w:tcW w:w="1418" w:type="dxa"/>
            <w:tcBorders>
              <w:top w:val="single" w:sz="4" w:space="0" w:color="auto"/>
              <w:left w:val="single" w:sz="4" w:space="0" w:color="auto"/>
              <w:bottom w:val="single" w:sz="4" w:space="0" w:color="auto"/>
              <w:right w:val="single" w:sz="4" w:space="0" w:color="auto"/>
            </w:tcBorders>
            <w:hideMark/>
          </w:tcPr>
          <w:p w14:paraId="5A041220" w14:textId="77777777" w:rsidR="003A71DE" w:rsidRPr="00381A33" w:rsidRDefault="003A71DE" w:rsidP="001A5D47">
            <w:pPr>
              <w:pStyle w:val="TAC"/>
              <w:rPr>
                <w:rFonts w:eastAsia="SimSun"/>
                <w:lang w:eastAsia="zh-CN"/>
              </w:rPr>
            </w:pPr>
            <w:r w:rsidRPr="00381A33">
              <w:rPr>
                <w:rFonts w:eastAsia="SimSun"/>
                <w:lang w:eastAsia="zh-CN"/>
              </w:rPr>
              <w:t>1</w:t>
            </w:r>
          </w:p>
        </w:tc>
        <w:tc>
          <w:tcPr>
            <w:tcW w:w="5161" w:type="dxa"/>
            <w:gridSpan w:val="6"/>
            <w:tcBorders>
              <w:top w:val="single" w:sz="4" w:space="0" w:color="auto"/>
              <w:left w:val="single" w:sz="4" w:space="0" w:color="auto"/>
              <w:bottom w:val="single" w:sz="4" w:space="0" w:color="auto"/>
              <w:right w:val="single" w:sz="4" w:space="0" w:color="auto"/>
            </w:tcBorders>
            <w:hideMark/>
          </w:tcPr>
          <w:p w14:paraId="693841BF" w14:textId="77777777" w:rsidR="003A71DE" w:rsidRPr="00381A33" w:rsidRDefault="003A71DE" w:rsidP="001A5D47">
            <w:pPr>
              <w:pStyle w:val="TAC"/>
              <w:rPr>
                <w:rFonts w:eastAsia="SimSun"/>
              </w:rPr>
            </w:pPr>
            <w:r w:rsidRPr="00381A33">
              <w:rPr>
                <w:rFonts w:eastAsia="SimSun"/>
              </w:rPr>
              <w:t>-89</w:t>
            </w:r>
          </w:p>
        </w:tc>
      </w:tr>
      <w:tr w:rsidR="003A71DE" w:rsidRPr="00381A33" w14:paraId="4B1495F7"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45E299A1" w14:textId="77777777" w:rsidR="003A71DE" w:rsidRPr="00381A33" w:rsidRDefault="003A71DE" w:rsidP="001A5D47">
            <w:pPr>
              <w:pStyle w:val="TAL"/>
              <w:rPr>
                <w:rFonts w:eastAsia="SimSun"/>
              </w:rPr>
            </w:pPr>
            <w:r w:rsidRPr="00381A33">
              <w:rPr>
                <w:position w:val="-12"/>
              </w:rPr>
              <w:object w:dxaOrig="855" w:dyaOrig="285" w14:anchorId="74D3337D">
                <v:shape id="_x0000_i1063" type="#_x0000_t75" style="width:42.65pt;height:14.4pt" o:ole="" fillcolor="window">
                  <v:imagedata r:id="rId74" o:title=""/>
                </v:shape>
                <o:OLEObject Type="Embed" ProgID="Equation.3" ShapeID="_x0000_i1063" DrawAspect="Content" ObjectID="_1734764443" r:id="rId85"/>
              </w:object>
            </w:r>
          </w:p>
        </w:tc>
        <w:tc>
          <w:tcPr>
            <w:tcW w:w="1794" w:type="dxa"/>
            <w:tcBorders>
              <w:top w:val="single" w:sz="4" w:space="0" w:color="auto"/>
              <w:left w:val="single" w:sz="4" w:space="0" w:color="auto"/>
              <w:bottom w:val="single" w:sz="4" w:space="0" w:color="auto"/>
              <w:right w:val="single" w:sz="4" w:space="0" w:color="auto"/>
            </w:tcBorders>
            <w:hideMark/>
          </w:tcPr>
          <w:p w14:paraId="212C9267" w14:textId="77777777" w:rsidR="003A71DE" w:rsidRPr="00381A33" w:rsidRDefault="003A71DE" w:rsidP="001A5D47">
            <w:pPr>
              <w:pStyle w:val="TAC"/>
              <w:rPr>
                <w:rFonts w:eastAsia="SimSun"/>
              </w:rPr>
            </w:pPr>
            <w:r w:rsidRPr="00381A33">
              <w:rPr>
                <w:rFonts w:eastAsia="SimSun"/>
              </w:rPr>
              <w:t>dB</w:t>
            </w:r>
          </w:p>
        </w:tc>
        <w:tc>
          <w:tcPr>
            <w:tcW w:w="1418" w:type="dxa"/>
            <w:tcBorders>
              <w:top w:val="single" w:sz="4" w:space="0" w:color="auto"/>
              <w:left w:val="single" w:sz="4" w:space="0" w:color="auto"/>
              <w:bottom w:val="single" w:sz="4" w:space="0" w:color="auto"/>
              <w:right w:val="single" w:sz="4" w:space="0" w:color="auto"/>
            </w:tcBorders>
            <w:hideMark/>
          </w:tcPr>
          <w:p w14:paraId="45F935E3" w14:textId="77777777" w:rsidR="003A71DE" w:rsidRPr="00381A33" w:rsidRDefault="003A71DE" w:rsidP="001A5D47">
            <w:pPr>
              <w:pStyle w:val="TAC"/>
              <w:rPr>
                <w:rFonts w:eastAsia="SimSun"/>
                <w:lang w:eastAsia="zh-CN"/>
              </w:rPr>
            </w:pPr>
            <w:r w:rsidRPr="00381A33">
              <w:rPr>
                <w:rFonts w:eastAsia="SimSun"/>
                <w:lang w:eastAsia="zh-CN"/>
              </w:rPr>
              <w:t>1</w:t>
            </w:r>
          </w:p>
        </w:tc>
        <w:tc>
          <w:tcPr>
            <w:tcW w:w="992" w:type="dxa"/>
            <w:tcBorders>
              <w:top w:val="single" w:sz="4" w:space="0" w:color="auto"/>
              <w:left w:val="single" w:sz="4" w:space="0" w:color="auto"/>
              <w:bottom w:val="single" w:sz="4" w:space="0" w:color="auto"/>
              <w:right w:val="single" w:sz="4" w:space="0" w:color="auto"/>
            </w:tcBorders>
            <w:hideMark/>
          </w:tcPr>
          <w:p w14:paraId="04950F59" w14:textId="77777777" w:rsidR="003A71DE" w:rsidRPr="00381A33" w:rsidRDefault="003A71DE" w:rsidP="001A5D47">
            <w:pPr>
              <w:pStyle w:val="TAC"/>
              <w:rPr>
                <w:rFonts w:eastAsia="SimSun"/>
              </w:rPr>
            </w:pPr>
            <w:r w:rsidRPr="00381A33">
              <w:rPr>
                <w:rFonts w:eastAsia="SimSun"/>
              </w:rPr>
              <w:t>5</w:t>
            </w:r>
          </w:p>
        </w:tc>
        <w:tc>
          <w:tcPr>
            <w:tcW w:w="851" w:type="dxa"/>
            <w:tcBorders>
              <w:top w:val="single" w:sz="4" w:space="0" w:color="auto"/>
              <w:left w:val="single" w:sz="4" w:space="0" w:color="auto"/>
              <w:bottom w:val="single" w:sz="4" w:space="0" w:color="auto"/>
              <w:right w:val="single" w:sz="4" w:space="0" w:color="auto"/>
            </w:tcBorders>
            <w:hideMark/>
          </w:tcPr>
          <w:p w14:paraId="657A808D" w14:textId="77777777" w:rsidR="003A71DE" w:rsidRPr="00381A33" w:rsidRDefault="003A71DE" w:rsidP="001A5D47">
            <w:pPr>
              <w:pStyle w:val="TAC"/>
              <w:rPr>
                <w:rFonts w:eastAsia="SimSun"/>
              </w:rPr>
            </w:pPr>
            <w:r w:rsidRPr="00381A33">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27A29C68" w14:textId="77777777" w:rsidR="003A71DE" w:rsidRPr="00381A33" w:rsidRDefault="003A71DE" w:rsidP="001A5D47">
            <w:pPr>
              <w:pStyle w:val="TAC"/>
              <w:rPr>
                <w:rFonts w:eastAsia="SimSun"/>
              </w:rPr>
            </w:pPr>
            <w:r w:rsidRPr="00381A33">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24570CF0" w14:textId="77777777" w:rsidR="003A71DE" w:rsidRPr="00381A33" w:rsidRDefault="003A71DE" w:rsidP="003A71DE">
            <w:pPr>
              <w:keepNext/>
              <w:keepLines/>
              <w:spacing w:after="0"/>
              <w:jc w:val="center"/>
              <w:rPr>
                <w:rFonts w:ascii="Arial" w:eastAsia="SimSun" w:hAnsi="Arial" w:cs="Arial"/>
                <w:sz w:val="18"/>
                <w:szCs w:val="18"/>
              </w:rPr>
            </w:pPr>
            <w:r w:rsidRPr="00381A33">
              <w:rPr>
                <w:rFonts w:ascii="Arial" w:eastAsia="SimSun" w:hAnsi="Arial" w:cs="Arial"/>
                <w:sz w:val="18"/>
                <w:szCs w:val="18"/>
              </w:rPr>
              <w:t>-infinity</w:t>
            </w:r>
          </w:p>
        </w:tc>
        <w:tc>
          <w:tcPr>
            <w:tcW w:w="850" w:type="dxa"/>
            <w:tcBorders>
              <w:top w:val="single" w:sz="4" w:space="0" w:color="auto"/>
              <w:left w:val="single" w:sz="4" w:space="0" w:color="auto"/>
              <w:bottom w:val="single" w:sz="4" w:space="0" w:color="auto"/>
              <w:right w:val="single" w:sz="4" w:space="0" w:color="auto"/>
            </w:tcBorders>
            <w:hideMark/>
          </w:tcPr>
          <w:p w14:paraId="3A980DC8" w14:textId="77777777" w:rsidR="003A71DE" w:rsidRPr="00381A33" w:rsidRDefault="003A71DE" w:rsidP="003A71DE">
            <w:pPr>
              <w:keepNext/>
              <w:keepLines/>
              <w:spacing w:after="0"/>
              <w:jc w:val="center"/>
              <w:rPr>
                <w:rFonts w:ascii="Arial" w:eastAsia="SimSun" w:hAnsi="Arial" w:cs="Arial"/>
                <w:sz w:val="18"/>
                <w:szCs w:val="18"/>
              </w:rPr>
            </w:pPr>
            <w:r w:rsidRPr="00381A33">
              <w:rPr>
                <w:rFonts w:ascii="Arial" w:eastAsia="SimSun" w:hAnsi="Arial" w:cs="Arial"/>
                <w:sz w:val="18"/>
                <w:szCs w:val="18"/>
              </w:rPr>
              <w:t>-infinity</w:t>
            </w:r>
          </w:p>
        </w:tc>
        <w:tc>
          <w:tcPr>
            <w:tcW w:w="767" w:type="dxa"/>
            <w:tcBorders>
              <w:top w:val="single" w:sz="4" w:space="0" w:color="auto"/>
              <w:left w:val="single" w:sz="4" w:space="0" w:color="auto"/>
              <w:bottom w:val="single" w:sz="4" w:space="0" w:color="auto"/>
              <w:right w:val="single" w:sz="4" w:space="0" w:color="auto"/>
            </w:tcBorders>
            <w:hideMark/>
          </w:tcPr>
          <w:p w14:paraId="76558D24" w14:textId="77777777" w:rsidR="003A71DE" w:rsidRPr="00381A33" w:rsidRDefault="003A71DE" w:rsidP="003A71DE">
            <w:pPr>
              <w:keepNext/>
              <w:keepLines/>
              <w:spacing w:after="0"/>
              <w:jc w:val="center"/>
              <w:rPr>
                <w:rFonts w:ascii="Arial" w:eastAsia="SimSun" w:hAnsi="Arial" w:cs="Arial"/>
                <w:sz w:val="18"/>
                <w:szCs w:val="18"/>
              </w:rPr>
            </w:pPr>
            <w:r w:rsidRPr="00381A33">
              <w:rPr>
                <w:rFonts w:ascii="Arial" w:eastAsia="SimSun" w:hAnsi="Arial" w:cs="Arial"/>
                <w:sz w:val="18"/>
                <w:szCs w:val="18"/>
              </w:rPr>
              <w:t>8</w:t>
            </w:r>
          </w:p>
        </w:tc>
      </w:tr>
      <w:tr w:rsidR="003A71DE" w:rsidRPr="00381A33" w14:paraId="43F25088"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FC9F02E" w14:textId="77777777" w:rsidR="003A71DE" w:rsidRPr="00381A33" w:rsidRDefault="003A71DE" w:rsidP="001A5D47">
            <w:pPr>
              <w:pStyle w:val="TAL"/>
              <w:rPr>
                <w:rFonts w:eastAsia="SimSun"/>
              </w:rPr>
            </w:pPr>
            <w:r w:rsidRPr="00381A33">
              <w:rPr>
                <w:rFonts w:eastAsia="SimSun"/>
              </w:rPr>
              <w:t xml:space="preserve">SS-RSRP </w:t>
            </w:r>
            <w:r w:rsidRPr="00381A33">
              <w:rPr>
                <w:rFonts w:eastAsia="SimSun"/>
                <w:vertAlign w:val="superscript"/>
              </w:rPr>
              <w:t>Note3</w:t>
            </w:r>
          </w:p>
        </w:tc>
        <w:tc>
          <w:tcPr>
            <w:tcW w:w="1794" w:type="dxa"/>
            <w:tcBorders>
              <w:top w:val="single" w:sz="4" w:space="0" w:color="auto"/>
              <w:left w:val="single" w:sz="4" w:space="0" w:color="auto"/>
              <w:bottom w:val="single" w:sz="4" w:space="0" w:color="auto"/>
              <w:right w:val="single" w:sz="4" w:space="0" w:color="auto"/>
            </w:tcBorders>
            <w:hideMark/>
          </w:tcPr>
          <w:p w14:paraId="3110118B" w14:textId="77777777" w:rsidR="003A71DE" w:rsidRPr="00381A33" w:rsidRDefault="003A71DE" w:rsidP="001A5D47">
            <w:pPr>
              <w:pStyle w:val="TAC"/>
              <w:rPr>
                <w:rFonts w:eastAsia="SimSun"/>
              </w:rPr>
            </w:pPr>
            <w:r w:rsidRPr="00381A33">
              <w:rPr>
                <w:rFonts w:eastAsia="SimSun"/>
              </w:rPr>
              <w:t>dBm/SCS</w:t>
            </w:r>
          </w:p>
        </w:tc>
        <w:tc>
          <w:tcPr>
            <w:tcW w:w="1418" w:type="dxa"/>
            <w:tcBorders>
              <w:top w:val="single" w:sz="4" w:space="0" w:color="auto"/>
              <w:left w:val="single" w:sz="4" w:space="0" w:color="auto"/>
              <w:bottom w:val="single" w:sz="4" w:space="0" w:color="auto"/>
              <w:right w:val="single" w:sz="4" w:space="0" w:color="auto"/>
            </w:tcBorders>
            <w:hideMark/>
          </w:tcPr>
          <w:p w14:paraId="507DCCA6" w14:textId="77777777" w:rsidR="003A71DE" w:rsidRPr="00381A33" w:rsidRDefault="003A71DE" w:rsidP="001A5D47">
            <w:pPr>
              <w:pStyle w:val="TAC"/>
              <w:rPr>
                <w:rFonts w:eastAsia="SimSun"/>
                <w:lang w:eastAsia="zh-CN"/>
              </w:rPr>
            </w:pPr>
            <w:r w:rsidRPr="00381A33">
              <w:rPr>
                <w:rFonts w:eastAsia="SimSun"/>
                <w:lang w:eastAsia="zh-CN"/>
              </w:rPr>
              <w:t>1</w:t>
            </w:r>
          </w:p>
        </w:tc>
        <w:tc>
          <w:tcPr>
            <w:tcW w:w="992" w:type="dxa"/>
            <w:tcBorders>
              <w:top w:val="single" w:sz="4" w:space="0" w:color="auto"/>
              <w:left w:val="single" w:sz="4" w:space="0" w:color="auto"/>
              <w:bottom w:val="single" w:sz="4" w:space="0" w:color="auto"/>
              <w:right w:val="single" w:sz="4" w:space="0" w:color="auto"/>
            </w:tcBorders>
            <w:hideMark/>
          </w:tcPr>
          <w:p w14:paraId="0520DD44" w14:textId="77777777" w:rsidR="003A71DE" w:rsidRPr="00381A33" w:rsidRDefault="003A71DE" w:rsidP="001A5D47">
            <w:pPr>
              <w:pStyle w:val="TAC"/>
              <w:rPr>
                <w:rFonts w:eastAsia="SimSun"/>
              </w:rPr>
            </w:pPr>
            <w:r w:rsidRPr="00381A33">
              <w:rPr>
                <w:rFonts w:eastAsia="SimSun"/>
                <w:lang w:eastAsia="zh-CN"/>
              </w:rPr>
              <w:t>-84</w:t>
            </w:r>
          </w:p>
        </w:tc>
        <w:tc>
          <w:tcPr>
            <w:tcW w:w="851" w:type="dxa"/>
            <w:tcBorders>
              <w:top w:val="single" w:sz="4" w:space="0" w:color="auto"/>
              <w:left w:val="single" w:sz="4" w:space="0" w:color="auto"/>
              <w:bottom w:val="single" w:sz="4" w:space="0" w:color="auto"/>
              <w:right w:val="single" w:sz="4" w:space="0" w:color="auto"/>
            </w:tcBorders>
            <w:hideMark/>
          </w:tcPr>
          <w:p w14:paraId="58D52ED3" w14:textId="77777777" w:rsidR="003A71DE" w:rsidRPr="00381A33" w:rsidRDefault="003A71DE" w:rsidP="001A5D47">
            <w:pPr>
              <w:pStyle w:val="TAC"/>
              <w:rPr>
                <w:rFonts w:eastAsia="SimSun"/>
              </w:rPr>
            </w:pPr>
            <w:r w:rsidRPr="00381A33">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05724C8B" w14:textId="77777777" w:rsidR="003A71DE" w:rsidRPr="00381A33" w:rsidRDefault="003A71DE" w:rsidP="001A5D47">
            <w:pPr>
              <w:pStyle w:val="TAC"/>
              <w:rPr>
                <w:rFonts w:eastAsia="SimSun"/>
              </w:rPr>
            </w:pPr>
            <w:r w:rsidRPr="00381A33">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0CEF1597" w14:textId="77777777" w:rsidR="003A71DE" w:rsidRPr="00381A33" w:rsidRDefault="003A71DE" w:rsidP="003A71DE">
            <w:pPr>
              <w:keepNext/>
              <w:keepLines/>
              <w:spacing w:after="0"/>
              <w:jc w:val="center"/>
              <w:rPr>
                <w:rFonts w:ascii="Arial" w:eastAsia="SimSun" w:hAnsi="Arial" w:cs="Arial"/>
                <w:sz w:val="18"/>
                <w:szCs w:val="18"/>
                <w:lang w:eastAsia="zh-CN"/>
              </w:rPr>
            </w:pPr>
            <w:r w:rsidRPr="00381A33">
              <w:rPr>
                <w:rFonts w:ascii="Arial" w:eastAsia="SimSun" w:hAnsi="Arial" w:cs="Arial"/>
                <w:sz w:val="18"/>
                <w:szCs w:val="18"/>
              </w:rPr>
              <w:t>-infinity</w:t>
            </w:r>
          </w:p>
        </w:tc>
        <w:tc>
          <w:tcPr>
            <w:tcW w:w="850" w:type="dxa"/>
            <w:tcBorders>
              <w:top w:val="single" w:sz="4" w:space="0" w:color="auto"/>
              <w:left w:val="single" w:sz="4" w:space="0" w:color="auto"/>
              <w:bottom w:val="single" w:sz="4" w:space="0" w:color="auto"/>
              <w:right w:val="single" w:sz="4" w:space="0" w:color="auto"/>
            </w:tcBorders>
            <w:hideMark/>
          </w:tcPr>
          <w:p w14:paraId="4B1BF1F6" w14:textId="77777777" w:rsidR="003A71DE" w:rsidRPr="00381A33" w:rsidRDefault="003A71DE" w:rsidP="003A71DE">
            <w:pPr>
              <w:keepNext/>
              <w:keepLines/>
              <w:spacing w:after="0"/>
              <w:jc w:val="center"/>
              <w:rPr>
                <w:rFonts w:ascii="Arial" w:eastAsia="SimSun" w:hAnsi="Arial" w:cs="Arial"/>
                <w:sz w:val="18"/>
                <w:szCs w:val="18"/>
                <w:lang w:eastAsia="zh-CN"/>
              </w:rPr>
            </w:pPr>
            <w:r w:rsidRPr="00381A33">
              <w:rPr>
                <w:rFonts w:ascii="Arial" w:eastAsia="SimSun" w:hAnsi="Arial" w:cs="Arial"/>
                <w:sz w:val="18"/>
                <w:szCs w:val="18"/>
              </w:rPr>
              <w:t>-infinity</w:t>
            </w:r>
          </w:p>
        </w:tc>
        <w:tc>
          <w:tcPr>
            <w:tcW w:w="767" w:type="dxa"/>
            <w:tcBorders>
              <w:top w:val="single" w:sz="4" w:space="0" w:color="auto"/>
              <w:left w:val="single" w:sz="4" w:space="0" w:color="auto"/>
              <w:bottom w:val="single" w:sz="4" w:space="0" w:color="auto"/>
              <w:right w:val="single" w:sz="4" w:space="0" w:color="auto"/>
            </w:tcBorders>
            <w:hideMark/>
          </w:tcPr>
          <w:p w14:paraId="0A1E3560" w14:textId="77777777" w:rsidR="003A71DE" w:rsidRPr="00381A33" w:rsidRDefault="003A71DE" w:rsidP="003A71DE">
            <w:pPr>
              <w:keepNext/>
              <w:keepLines/>
              <w:spacing w:after="0"/>
              <w:jc w:val="center"/>
              <w:rPr>
                <w:rFonts w:ascii="Arial" w:eastAsia="SimSun" w:hAnsi="Arial" w:cs="Arial"/>
                <w:sz w:val="18"/>
                <w:szCs w:val="18"/>
                <w:lang w:eastAsia="zh-CN"/>
              </w:rPr>
            </w:pPr>
            <w:r w:rsidRPr="00381A33">
              <w:rPr>
                <w:rFonts w:ascii="Arial" w:eastAsia="SimSun" w:hAnsi="Arial" w:cs="Arial"/>
                <w:sz w:val="18"/>
                <w:szCs w:val="18"/>
              </w:rPr>
              <w:t>-81</w:t>
            </w:r>
          </w:p>
        </w:tc>
      </w:tr>
      <w:tr w:rsidR="003A71DE" w:rsidRPr="00381A33" w14:paraId="0822E932"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42085523" w14:textId="77777777" w:rsidR="003A71DE" w:rsidRPr="00381A33" w:rsidRDefault="003A71DE" w:rsidP="001A5D47">
            <w:pPr>
              <w:pStyle w:val="TAL"/>
              <w:rPr>
                <w:rFonts w:eastAsia="SimSun"/>
              </w:rPr>
            </w:pPr>
            <w:r w:rsidRPr="00381A33">
              <w:rPr>
                <w:rFonts w:eastAsia="SimSun"/>
              </w:rPr>
              <w:t>Io</w:t>
            </w:r>
          </w:p>
        </w:tc>
        <w:tc>
          <w:tcPr>
            <w:tcW w:w="1794" w:type="dxa"/>
            <w:tcBorders>
              <w:top w:val="single" w:sz="4" w:space="0" w:color="auto"/>
              <w:left w:val="single" w:sz="4" w:space="0" w:color="auto"/>
              <w:bottom w:val="single" w:sz="4" w:space="0" w:color="auto"/>
              <w:right w:val="single" w:sz="4" w:space="0" w:color="auto"/>
            </w:tcBorders>
            <w:hideMark/>
          </w:tcPr>
          <w:p w14:paraId="54B6F07D" w14:textId="77777777" w:rsidR="003A71DE" w:rsidRPr="00381A33" w:rsidRDefault="003A71DE" w:rsidP="001A5D47">
            <w:pPr>
              <w:pStyle w:val="TAC"/>
              <w:rPr>
                <w:rFonts w:eastAsia="SimSun"/>
              </w:rPr>
            </w:pPr>
            <w:r w:rsidRPr="00381A33">
              <w:rPr>
                <w:rFonts w:eastAsia="SimSun"/>
                <w:lang w:eastAsia="zh-CN"/>
              </w:rPr>
              <w:t>dBm/95.04 MHz</w:t>
            </w:r>
          </w:p>
        </w:tc>
        <w:tc>
          <w:tcPr>
            <w:tcW w:w="1418" w:type="dxa"/>
            <w:tcBorders>
              <w:top w:val="single" w:sz="4" w:space="0" w:color="auto"/>
              <w:left w:val="single" w:sz="4" w:space="0" w:color="auto"/>
              <w:bottom w:val="single" w:sz="4" w:space="0" w:color="auto"/>
              <w:right w:val="single" w:sz="4" w:space="0" w:color="auto"/>
            </w:tcBorders>
            <w:hideMark/>
          </w:tcPr>
          <w:p w14:paraId="0934BDE9" w14:textId="77777777" w:rsidR="003A71DE" w:rsidRPr="00381A33" w:rsidRDefault="003A71DE" w:rsidP="001A5D47">
            <w:pPr>
              <w:pStyle w:val="TAC"/>
              <w:rPr>
                <w:rFonts w:eastAsia="SimSun"/>
                <w:lang w:eastAsia="zh-CN"/>
              </w:rPr>
            </w:pPr>
            <w:r w:rsidRPr="00381A33">
              <w:rPr>
                <w:rFonts w:eastAsia="SimSun"/>
                <w:lang w:eastAsia="zh-CN"/>
              </w:rPr>
              <w:t>1</w:t>
            </w:r>
          </w:p>
        </w:tc>
        <w:tc>
          <w:tcPr>
            <w:tcW w:w="992" w:type="dxa"/>
            <w:tcBorders>
              <w:top w:val="single" w:sz="4" w:space="0" w:color="auto"/>
              <w:left w:val="single" w:sz="4" w:space="0" w:color="auto"/>
              <w:bottom w:val="single" w:sz="4" w:space="0" w:color="auto"/>
              <w:right w:val="single" w:sz="4" w:space="0" w:color="auto"/>
            </w:tcBorders>
            <w:hideMark/>
          </w:tcPr>
          <w:p w14:paraId="47664698" w14:textId="77777777" w:rsidR="003A71DE" w:rsidRPr="00381A33" w:rsidRDefault="003A71DE" w:rsidP="001A5D47">
            <w:pPr>
              <w:pStyle w:val="TAC"/>
              <w:rPr>
                <w:rFonts w:eastAsia="SimSun"/>
                <w:lang w:eastAsia="zh-CN"/>
              </w:rPr>
            </w:pPr>
            <w:r w:rsidRPr="00381A33">
              <w:rPr>
                <w:rFonts w:eastAsia="SimSun"/>
                <w:lang w:eastAsia="zh-CN"/>
              </w:rPr>
              <w:t>-53.82</w:t>
            </w:r>
          </w:p>
        </w:tc>
        <w:tc>
          <w:tcPr>
            <w:tcW w:w="851" w:type="dxa"/>
            <w:tcBorders>
              <w:top w:val="single" w:sz="4" w:space="0" w:color="auto"/>
              <w:left w:val="single" w:sz="4" w:space="0" w:color="auto"/>
              <w:bottom w:val="single" w:sz="4" w:space="0" w:color="auto"/>
              <w:right w:val="single" w:sz="4" w:space="0" w:color="auto"/>
            </w:tcBorders>
            <w:hideMark/>
          </w:tcPr>
          <w:p w14:paraId="39AF22D7" w14:textId="77777777" w:rsidR="003A71DE" w:rsidRPr="00381A33" w:rsidRDefault="003A71DE" w:rsidP="001A5D47">
            <w:pPr>
              <w:pStyle w:val="TAC"/>
              <w:rPr>
                <w:rFonts w:eastAsia="SimSun"/>
                <w:lang w:eastAsia="zh-CN"/>
              </w:rPr>
            </w:pPr>
            <w:r w:rsidRPr="00381A33">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0ED861FB" w14:textId="77777777" w:rsidR="003A71DE" w:rsidRPr="00381A33" w:rsidRDefault="003A71DE" w:rsidP="001A5D47">
            <w:pPr>
              <w:pStyle w:val="TAC"/>
              <w:rPr>
                <w:rFonts w:eastAsia="SimSun"/>
                <w:lang w:eastAsia="zh-CN"/>
              </w:rPr>
            </w:pPr>
            <w:r w:rsidRPr="00381A33">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1E33A5CA" w14:textId="77777777" w:rsidR="003A71DE" w:rsidRPr="00381A33" w:rsidRDefault="003A71DE" w:rsidP="003A71DE">
            <w:pPr>
              <w:keepNext/>
              <w:keepLines/>
              <w:spacing w:after="0"/>
              <w:jc w:val="center"/>
              <w:rPr>
                <w:rFonts w:ascii="Arial" w:eastAsia="SimSun" w:hAnsi="Arial" w:cs="Arial"/>
                <w:sz w:val="18"/>
                <w:szCs w:val="18"/>
                <w:lang w:eastAsia="zh-CN"/>
              </w:rPr>
            </w:pPr>
            <w:r w:rsidRPr="00381A33">
              <w:rPr>
                <w:rFonts w:ascii="Arial" w:eastAsia="SimSun" w:hAnsi="Arial" w:cs="Arial"/>
                <w:sz w:val="18"/>
                <w:szCs w:val="18"/>
              </w:rPr>
              <w:t>-infinity</w:t>
            </w:r>
          </w:p>
        </w:tc>
        <w:tc>
          <w:tcPr>
            <w:tcW w:w="850" w:type="dxa"/>
            <w:tcBorders>
              <w:top w:val="single" w:sz="4" w:space="0" w:color="auto"/>
              <w:left w:val="single" w:sz="4" w:space="0" w:color="auto"/>
              <w:bottom w:val="single" w:sz="4" w:space="0" w:color="auto"/>
              <w:right w:val="single" w:sz="4" w:space="0" w:color="auto"/>
            </w:tcBorders>
            <w:hideMark/>
          </w:tcPr>
          <w:p w14:paraId="3E6BF46D" w14:textId="77777777" w:rsidR="003A71DE" w:rsidRPr="00381A33" w:rsidRDefault="003A71DE" w:rsidP="003A71DE">
            <w:pPr>
              <w:keepNext/>
              <w:keepLines/>
              <w:spacing w:after="0"/>
              <w:jc w:val="center"/>
              <w:rPr>
                <w:rFonts w:ascii="Arial" w:eastAsia="SimSun" w:hAnsi="Arial" w:cs="Arial"/>
                <w:sz w:val="18"/>
                <w:szCs w:val="18"/>
                <w:lang w:eastAsia="zh-CN"/>
              </w:rPr>
            </w:pPr>
            <w:r w:rsidRPr="00381A33">
              <w:rPr>
                <w:rFonts w:ascii="Arial" w:eastAsia="SimSun" w:hAnsi="Arial" w:cs="Arial"/>
                <w:sz w:val="18"/>
                <w:szCs w:val="18"/>
              </w:rPr>
              <w:t>-infinity</w:t>
            </w:r>
          </w:p>
        </w:tc>
        <w:tc>
          <w:tcPr>
            <w:tcW w:w="767" w:type="dxa"/>
            <w:tcBorders>
              <w:top w:val="single" w:sz="4" w:space="0" w:color="auto"/>
              <w:left w:val="single" w:sz="4" w:space="0" w:color="auto"/>
              <w:bottom w:val="single" w:sz="4" w:space="0" w:color="auto"/>
              <w:right w:val="single" w:sz="4" w:space="0" w:color="auto"/>
            </w:tcBorders>
            <w:hideMark/>
          </w:tcPr>
          <w:p w14:paraId="4E8CBC5C" w14:textId="77777777" w:rsidR="003A71DE" w:rsidRPr="00381A33" w:rsidRDefault="003A71DE" w:rsidP="003A71DE">
            <w:pPr>
              <w:keepNext/>
              <w:keepLines/>
              <w:spacing w:after="0"/>
              <w:jc w:val="center"/>
              <w:rPr>
                <w:rFonts w:ascii="Arial" w:eastAsia="SimSun" w:hAnsi="Arial" w:cs="Arial"/>
                <w:sz w:val="18"/>
                <w:szCs w:val="18"/>
                <w:lang w:eastAsia="zh-CN"/>
              </w:rPr>
            </w:pPr>
            <w:r w:rsidRPr="00381A33">
              <w:rPr>
                <w:rFonts w:ascii="Arial" w:eastAsia="SimSun" w:hAnsi="Arial" w:cs="Arial"/>
                <w:sz w:val="18"/>
                <w:szCs w:val="18"/>
                <w:lang w:eastAsia="zh-CN"/>
              </w:rPr>
              <w:t>-51.37</w:t>
            </w:r>
          </w:p>
        </w:tc>
      </w:tr>
      <w:tr w:rsidR="003A71DE" w:rsidRPr="00381A33" w14:paraId="479A5E7B"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3E58D97D" w14:textId="77777777" w:rsidR="003A71DE" w:rsidRPr="00381A33" w:rsidRDefault="003A71DE" w:rsidP="001A5D47">
            <w:pPr>
              <w:pStyle w:val="TAL"/>
              <w:rPr>
                <w:rFonts w:eastAsia="SimSun"/>
              </w:rPr>
            </w:pPr>
            <w:r w:rsidRPr="00381A33">
              <w:rPr>
                <w:rFonts w:eastAsia="SimSun"/>
              </w:rPr>
              <w:t xml:space="preserve">Propagation Condition </w:t>
            </w:r>
          </w:p>
        </w:tc>
        <w:tc>
          <w:tcPr>
            <w:tcW w:w="1794" w:type="dxa"/>
            <w:tcBorders>
              <w:top w:val="single" w:sz="4" w:space="0" w:color="auto"/>
              <w:left w:val="single" w:sz="4" w:space="0" w:color="auto"/>
              <w:bottom w:val="single" w:sz="4" w:space="0" w:color="auto"/>
              <w:right w:val="single" w:sz="4" w:space="0" w:color="auto"/>
            </w:tcBorders>
          </w:tcPr>
          <w:p w14:paraId="719C5E55" w14:textId="77777777" w:rsidR="003A71DE" w:rsidRPr="00381A33"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16DBDF7D" w14:textId="77777777" w:rsidR="003A71DE" w:rsidRPr="00381A33" w:rsidRDefault="003A71DE" w:rsidP="001A5D47">
            <w:pPr>
              <w:pStyle w:val="TAC"/>
              <w:rPr>
                <w:rFonts w:eastAsia="SimSun"/>
                <w:lang w:eastAsia="zh-CN"/>
              </w:rPr>
            </w:pPr>
            <w:r w:rsidRPr="00381A33">
              <w:rPr>
                <w:rFonts w:eastAsia="SimSun"/>
                <w:lang w:eastAsia="zh-CN"/>
              </w:rPr>
              <w:t>1</w:t>
            </w:r>
          </w:p>
        </w:tc>
        <w:tc>
          <w:tcPr>
            <w:tcW w:w="5161" w:type="dxa"/>
            <w:gridSpan w:val="6"/>
            <w:tcBorders>
              <w:top w:val="single" w:sz="4" w:space="0" w:color="auto"/>
              <w:left w:val="single" w:sz="4" w:space="0" w:color="auto"/>
              <w:bottom w:val="single" w:sz="4" w:space="0" w:color="auto"/>
              <w:right w:val="single" w:sz="4" w:space="0" w:color="auto"/>
            </w:tcBorders>
            <w:hideMark/>
          </w:tcPr>
          <w:p w14:paraId="0C197496" w14:textId="77777777" w:rsidR="003A71DE" w:rsidRPr="00381A33" w:rsidRDefault="003A71DE" w:rsidP="001A5D47">
            <w:pPr>
              <w:pStyle w:val="TAC"/>
              <w:rPr>
                <w:rFonts w:eastAsia="SimSun"/>
              </w:rPr>
            </w:pPr>
            <w:r w:rsidRPr="00381A33">
              <w:rPr>
                <w:rFonts w:eastAsia="SimSun"/>
              </w:rPr>
              <w:t>AWGN</w:t>
            </w:r>
          </w:p>
        </w:tc>
      </w:tr>
      <w:tr w:rsidR="003A71DE" w:rsidRPr="00381A33" w14:paraId="64B47CD8" w14:textId="77777777" w:rsidTr="003A71DE">
        <w:trPr>
          <w:cantSplit/>
          <w:jc w:val="center"/>
        </w:trPr>
        <w:tc>
          <w:tcPr>
            <w:tcW w:w="10324" w:type="dxa"/>
            <w:gridSpan w:val="9"/>
            <w:tcBorders>
              <w:top w:val="single" w:sz="4" w:space="0" w:color="auto"/>
              <w:left w:val="single" w:sz="4" w:space="0" w:color="auto"/>
              <w:bottom w:val="single" w:sz="4" w:space="0" w:color="auto"/>
              <w:right w:val="single" w:sz="4" w:space="0" w:color="auto"/>
            </w:tcBorders>
            <w:hideMark/>
          </w:tcPr>
          <w:p w14:paraId="0827732C" w14:textId="77777777" w:rsidR="003A71DE" w:rsidRPr="00381A33" w:rsidRDefault="003A71DE" w:rsidP="001A5D47">
            <w:pPr>
              <w:pStyle w:val="TAN"/>
              <w:rPr>
                <w:rFonts w:eastAsia="SimSun"/>
              </w:rPr>
            </w:pPr>
            <w:r w:rsidRPr="00381A33">
              <w:rPr>
                <w:rFonts w:eastAsia="SimSun"/>
              </w:rPr>
              <w:t>Note 1:</w:t>
            </w:r>
            <w:r w:rsidRPr="00381A33">
              <w:rPr>
                <w:rFonts w:eastAsia="SimSun"/>
              </w:rPr>
              <w:tab/>
              <w:t>OCNG shall be used such that both cells are fully allocated and a constant total transmitted power spectral density is achieved for all OFDM symbols.</w:t>
            </w:r>
          </w:p>
          <w:p w14:paraId="6C7A1455" w14:textId="77777777" w:rsidR="003A71DE" w:rsidRPr="00381A33" w:rsidRDefault="003A71DE" w:rsidP="001A5D47">
            <w:pPr>
              <w:pStyle w:val="TAN"/>
              <w:rPr>
                <w:rFonts w:eastAsia="SimSun"/>
              </w:rPr>
            </w:pPr>
            <w:r w:rsidRPr="00381A33">
              <w:rPr>
                <w:rFonts w:eastAsia="SimSun"/>
              </w:rPr>
              <w:t>Note 2:</w:t>
            </w:r>
            <w:r w:rsidRPr="00381A33">
              <w:rPr>
                <w:rFonts w:eastAsia="SimSun"/>
              </w:rPr>
              <w:tab/>
              <w:t xml:space="preserve">Interference from other cells and noise sources not specified in the test is assumed to be constant over subcarriers and time and shall be modelled as AWGN of appropriate power for </w:t>
            </w:r>
            <w:r w:rsidRPr="00381A33">
              <w:object w:dxaOrig="435" w:dyaOrig="435" w14:anchorId="656B3C04">
                <v:shape id="_x0000_i1064" type="#_x0000_t75" style="width:21.6pt;height:21.6pt" o:ole="" fillcolor="window">
                  <v:imagedata r:id="rId71" o:title=""/>
                </v:shape>
                <o:OLEObject Type="Embed" ProgID="Equation.3" ShapeID="_x0000_i1064" DrawAspect="Content" ObjectID="_1734764444" r:id="rId86"/>
              </w:object>
            </w:r>
            <w:r w:rsidRPr="00381A33">
              <w:rPr>
                <w:rFonts w:eastAsia="SimSun"/>
              </w:rPr>
              <w:t xml:space="preserve"> to be fulfilled.</w:t>
            </w:r>
          </w:p>
          <w:p w14:paraId="226AE74F" w14:textId="77777777" w:rsidR="003A71DE" w:rsidRPr="00381A33" w:rsidRDefault="003A71DE" w:rsidP="001A5D47">
            <w:pPr>
              <w:pStyle w:val="TAN"/>
              <w:rPr>
                <w:rFonts w:eastAsia="SimSun"/>
              </w:rPr>
            </w:pPr>
            <w:r w:rsidRPr="00381A33">
              <w:rPr>
                <w:rFonts w:eastAsia="SimSun"/>
              </w:rPr>
              <w:t>Note 3:</w:t>
            </w:r>
            <w:r w:rsidRPr="00381A33">
              <w:rPr>
                <w:rFonts w:eastAsia="SimSun"/>
              </w:rPr>
              <w:tab/>
              <w:t>SS-RSRP levels have been derived from other parameters for information purposes. They are not settable parameters themselves.</w:t>
            </w:r>
          </w:p>
          <w:p w14:paraId="7A3880DC" w14:textId="77777777" w:rsidR="003A71DE" w:rsidRPr="00381A33" w:rsidRDefault="003A71DE" w:rsidP="001A5D47">
            <w:pPr>
              <w:pStyle w:val="TAN"/>
              <w:rPr>
                <w:rFonts w:eastAsia="SimSun"/>
              </w:rPr>
            </w:pPr>
            <w:r w:rsidRPr="00381A33">
              <w:rPr>
                <w:rFonts w:eastAsia="SimSun"/>
              </w:rPr>
              <w:t>Note 4:</w:t>
            </w:r>
            <w:r w:rsidRPr="00381A33">
              <w:rPr>
                <w:rFonts w:eastAsia="SimSun"/>
              </w:rPr>
              <w:tab/>
              <w:t>Void</w:t>
            </w:r>
          </w:p>
        </w:tc>
      </w:tr>
    </w:tbl>
    <w:p w14:paraId="7B264D4C" w14:textId="77777777" w:rsidR="003A71DE" w:rsidRPr="00CE0F04" w:rsidRDefault="003A71DE" w:rsidP="003A71DE">
      <w:pPr>
        <w:pStyle w:val="BodyText"/>
      </w:pPr>
    </w:p>
    <w:p w14:paraId="7A4124ED" w14:textId="77777777" w:rsidR="003A71DE" w:rsidRPr="00CE0F04" w:rsidRDefault="003A71DE" w:rsidP="001A5D47">
      <w:pPr>
        <w:pStyle w:val="H6"/>
      </w:pPr>
      <w:r w:rsidRPr="00CE0F04">
        <w:t>G.2.1.1.1.3.2</w:t>
      </w:r>
      <w:r w:rsidRPr="00CE0F04">
        <w:tab/>
        <w:t>Test Requirements</w:t>
      </w:r>
    </w:p>
    <w:p w14:paraId="3032A138" w14:textId="77777777" w:rsidR="003A71DE" w:rsidRPr="00CE0F04" w:rsidRDefault="003A71DE" w:rsidP="003A71DE">
      <w:pPr>
        <w:rPr>
          <w:rFonts w:cs="v4.2.0"/>
        </w:rPr>
      </w:pPr>
      <w:r w:rsidRPr="00CE0F04">
        <w:rPr>
          <w:rFonts w:cs="v4.2.0"/>
        </w:rPr>
        <w:t xml:space="preserve">The RRC re-establishment delay is defined as the time from the start of time period T3, to the moment when the IAB-MT starts to send PRACH preambles to cell 2 for sending the </w:t>
      </w:r>
      <w:r w:rsidRPr="00CE0F04">
        <w:rPr>
          <w:i/>
        </w:rPr>
        <w:t>RRCReestablishmentRequest</w:t>
      </w:r>
      <w:r w:rsidRPr="00CE0F04">
        <w:t xml:space="preserve"> </w:t>
      </w:r>
      <w:r w:rsidRPr="00CE0F04">
        <w:rPr>
          <w:rFonts w:cs="v4.2.0"/>
        </w:rPr>
        <w:t>message to cell 2.</w:t>
      </w:r>
    </w:p>
    <w:p w14:paraId="215FA468" w14:textId="77777777" w:rsidR="003A71DE" w:rsidRPr="00CE0F04" w:rsidRDefault="003A71DE" w:rsidP="003A71DE">
      <w:pPr>
        <w:rPr>
          <w:rFonts w:cs="v4.2.0"/>
        </w:rPr>
      </w:pPr>
      <w:r w:rsidRPr="00CE0F04">
        <w:rPr>
          <w:rFonts w:cs="v4.2.0"/>
        </w:rPr>
        <w:t xml:space="preserve">The RRC re-establishment delay </w:t>
      </w:r>
      <w:r w:rsidRPr="00CE0F04">
        <w:t>to an unknown NR inter frequency cell</w:t>
      </w:r>
      <w:r w:rsidRPr="00CE0F04">
        <w:rPr>
          <w:rFonts w:cs="v4.2.0"/>
        </w:rPr>
        <w:t xml:space="preserve"> shall be less than 18 s.</w:t>
      </w:r>
    </w:p>
    <w:p w14:paraId="6D32F30F" w14:textId="77777777" w:rsidR="003A71DE" w:rsidRPr="00CE0F04" w:rsidRDefault="003A71DE" w:rsidP="003A71DE">
      <w:pPr>
        <w:rPr>
          <w:rFonts w:cs="v4.2.0"/>
        </w:rPr>
      </w:pPr>
      <w:r w:rsidRPr="00CE0F04">
        <w:rPr>
          <w:rFonts w:cs="v4.2.0"/>
        </w:rPr>
        <w:t>The rate of correct RRC re-establishments observed during repeated tests shall be at least 90%.</w:t>
      </w:r>
    </w:p>
    <w:p w14:paraId="56A37903" w14:textId="77777777" w:rsidR="003A71DE" w:rsidRPr="00CE0F04" w:rsidRDefault="003A71DE" w:rsidP="003A71DE">
      <w:pPr>
        <w:keepLines/>
        <w:ind w:left="1135" w:hanging="851"/>
      </w:pPr>
      <w:r w:rsidRPr="00CE0F04">
        <w:t>NOTE:</w:t>
      </w:r>
      <w:r w:rsidRPr="00CE0F04">
        <w:tab/>
        <w:t>The RRC re-establishment delay in the test is derived from the following expression:</w:t>
      </w:r>
    </w:p>
    <w:p w14:paraId="58665DF3" w14:textId="77777777" w:rsidR="003A71DE" w:rsidRPr="00CE0F04" w:rsidRDefault="00000000" w:rsidP="003A71DE">
      <w:pPr>
        <w:keepLines/>
        <w:tabs>
          <w:tab w:val="center" w:pos="4536"/>
          <w:tab w:val="right" w:pos="9072"/>
        </w:tabs>
        <w:spacing w:before="240" w:after="240"/>
        <w:jc w:val="center"/>
        <w:rPr>
          <w:i/>
          <w:noProof/>
          <w:vertAlign w:val="subscript"/>
        </w:rPr>
      </w:pPr>
      <m:oMathPara>
        <m:oMath>
          <m:sSub>
            <m:sSubPr>
              <m:ctrlPr>
                <w:rPr>
                  <w:rFonts w:ascii="Cambria Math" w:hAnsi="Cambria Math"/>
                </w:rPr>
              </m:ctrlPr>
            </m:sSubPr>
            <m:e>
              <m:r>
                <w:rPr>
                  <w:rFonts w:ascii="Cambria Math" w:hAnsi="Cambria Math"/>
                </w:rPr>
                <m:t>T</m:t>
              </m:r>
            </m:e>
            <m:sub>
              <m:r>
                <w:rPr>
                  <w:rFonts w:ascii="Cambria Math" w:hAnsi="Cambria Math"/>
                </w:rPr>
                <m:t>re-establish_delay</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IAB-MT_re-establish_delay</m:t>
              </m:r>
            </m:sub>
          </m:sSub>
          <m:r>
            <m:rPr>
              <m:sty m:val="p"/>
            </m:rPr>
            <w:rPr>
              <w:rFonts w:ascii="Cambria Math" w:hAnsi="Cambria Math"/>
              <w:noProof/>
            </w:rPr>
            <m:t>+</m:t>
          </m:r>
          <m:sSub>
            <m:sSubPr>
              <m:ctrlPr>
                <w:rPr>
                  <w:rFonts w:ascii="Cambria Math" w:hAnsi="Cambria Math"/>
                  <w:i/>
                </w:rPr>
              </m:ctrlPr>
            </m:sSubPr>
            <m:e>
              <m:r>
                <w:rPr>
                  <w:rFonts w:ascii="Cambria Math" w:hAnsi="Cambria Math"/>
                </w:rPr>
                <m:t>T</m:t>
              </m:r>
            </m:e>
            <m:sub>
              <m:r>
                <w:rPr>
                  <w:rFonts w:ascii="Cambria Math" w:hAnsi="Cambria Math"/>
                </w:rPr>
                <m:t>UL_grant</m:t>
              </m:r>
            </m:sub>
          </m:sSub>
        </m:oMath>
      </m:oMathPara>
    </w:p>
    <w:p w14:paraId="6A2F28C3" w14:textId="77777777" w:rsidR="003A71DE" w:rsidRPr="00CE0F04" w:rsidRDefault="003A71DE" w:rsidP="003A71DE">
      <w:pPr>
        <w:ind w:left="568" w:hanging="284"/>
      </w:pPr>
      <w:r w:rsidRPr="00CE0F04">
        <w:t>Where:</w:t>
      </w:r>
    </w:p>
    <w:p w14:paraId="2E3BB9DA" w14:textId="77777777" w:rsidR="003A71DE" w:rsidRPr="00CE0F04" w:rsidRDefault="003A71DE" w:rsidP="003A71DE">
      <w:pPr>
        <w:ind w:left="851" w:hanging="284"/>
      </w:pPr>
      <w:r w:rsidRPr="00CE0F04">
        <w:tab/>
        <w:t>T</w:t>
      </w:r>
      <w:r w:rsidRPr="00CE0F04">
        <w:rPr>
          <w:vertAlign w:val="subscript"/>
        </w:rPr>
        <w:t>UL_grant</w:t>
      </w:r>
      <w:r w:rsidRPr="00CE0F04">
        <w:t xml:space="preserve"> = It is the time required to acquire and process uplink grant from the target cell.</w:t>
      </w:r>
      <w:r w:rsidRPr="00CE0F04">
        <w:rPr>
          <w:rFonts w:cs="v4.2.0"/>
        </w:rPr>
        <w:t xml:space="preserve"> The PRACH reception is used as a trigger for the completion of the test; hence </w:t>
      </w:r>
      <w:r w:rsidRPr="00CE0F04">
        <w:t>T</w:t>
      </w:r>
      <w:r w:rsidRPr="00CE0F04">
        <w:rPr>
          <w:vertAlign w:val="subscript"/>
        </w:rPr>
        <w:t xml:space="preserve">UL_grant </w:t>
      </w:r>
      <w:r w:rsidRPr="00CE0F04">
        <w:t>is not used.</w:t>
      </w:r>
    </w:p>
    <w:p w14:paraId="4455A115" w14:textId="77777777" w:rsidR="003A71DE" w:rsidRPr="00CE0F04" w:rsidRDefault="00000000" w:rsidP="003A71DE">
      <w:pPr>
        <w:keepLines/>
        <w:tabs>
          <w:tab w:val="center" w:pos="4536"/>
          <w:tab w:val="right" w:pos="9072"/>
        </w:tabs>
        <w:spacing w:before="240" w:after="240"/>
        <w:jc w:val="center"/>
        <w:rPr>
          <w:noProof/>
        </w:rPr>
      </w:pPr>
      <m:oMathPara>
        <m:oMathParaPr>
          <m:jc m:val="center"/>
        </m:oMathParaPr>
        <m:oMath>
          <m:sSub>
            <m:sSubPr>
              <m:ctrlPr>
                <w:rPr>
                  <w:rFonts w:ascii="Cambria Math" w:hAnsi="Cambria Math"/>
                </w:rPr>
              </m:ctrlPr>
            </m:sSubPr>
            <m:e>
              <m:r>
                <w:rPr>
                  <w:rFonts w:ascii="Cambria Math" w:hAnsi="Cambria Math"/>
                </w:rPr>
                <m:t>T</m:t>
              </m:r>
            </m:e>
            <m:sub>
              <m:r>
                <w:rPr>
                  <w:rFonts w:ascii="Cambria Math" w:hAnsi="Cambria Math"/>
                </w:rPr>
                <m:t>IAB-MT_re-establish_delay</m:t>
              </m:r>
            </m:sub>
          </m:sSub>
          <m:r>
            <w:rPr>
              <w:rFonts w:ascii="Cambria Math" w:hAnsi="Cambria Math"/>
            </w:rPr>
            <m:t xml:space="preserve">=400 </m:t>
          </m:r>
          <m:r>
            <m:rPr>
              <m:sty m:val="p"/>
            </m:rPr>
            <w:rPr>
              <w:rFonts w:ascii="Cambria Math" w:hAnsi="Cambria Math"/>
            </w:rPr>
            <m:t>ms</m:t>
          </m:r>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identify_intra_NR</m:t>
              </m:r>
            </m:sub>
          </m:sSub>
          <m:r>
            <w:rPr>
              <w:rFonts w:ascii="Cambria Math" w:hAnsi="Cambria Math"/>
            </w:rPr>
            <m:t>+</m:t>
          </m:r>
          <m:nary>
            <m:naryPr>
              <m:chr m:val="∑"/>
              <m:limLoc m:val="subSup"/>
              <m:ctrlPr>
                <w:rPr>
                  <w:rFonts w:ascii="Cambria Math" w:hAnsi="Cambria Math"/>
                  <w:noProof/>
                </w:rPr>
              </m:ctrlPr>
            </m:naryPr>
            <m:sub>
              <m:r>
                <w:rPr>
                  <w:rFonts w:ascii="Cambria Math" w:hAnsi="Cambria Math"/>
                  <w:noProof/>
                </w:rPr>
                <m:t>i=1</m:t>
              </m:r>
            </m:sub>
            <m:sup>
              <m:sSub>
                <m:sSubPr>
                  <m:ctrlPr>
                    <w:rPr>
                      <w:rFonts w:ascii="Cambria Math" w:hAnsi="Cambria Math"/>
                      <w:i/>
                      <w:noProof/>
                    </w:rPr>
                  </m:ctrlPr>
                </m:sSubPr>
                <m:e>
                  <m:r>
                    <w:rPr>
                      <w:rFonts w:ascii="Cambria Math" w:hAnsi="Cambria Math"/>
                      <w:noProof/>
                    </w:rPr>
                    <m:t>N</m:t>
                  </m:r>
                </m:e>
                <m:sub>
                  <m:r>
                    <w:rPr>
                      <w:rFonts w:ascii="Cambria Math" w:hAnsi="Cambria Math"/>
                      <w:noProof/>
                    </w:rPr>
                    <m:t>freq</m:t>
                  </m:r>
                </m:sub>
              </m:sSub>
              <m:r>
                <w:rPr>
                  <w:rFonts w:ascii="Cambria Math" w:hAnsi="Cambria Math"/>
                  <w:noProof/>
                </w:rPr>
                <m:t>-1</m:t>
              </m:r>
            </m:sup>
            <m:e>
              <m:sSub>
                <m:sSubPr>
                  <m:ctrlPr>
                    <w:rPr>
                      <w:rFonts w:ascii="Cambria Math" w:hAnsi="Cambria Math"/>
                      <w:i/>
                      <w:noProof/>
                    </w:rPr>
                  </m:ctrlPr>
                </m:sSubPr>
                <m:e>
                  <m:r>
                    <w:rPr>
                      <w:rFonts w:ascii="Cambria Math" w:hAnsi="Cambria Math"/>
                      <w:noProof/>
                    </w:rPr>
                    <m:t>T</m:t>
                  </m:r>
                </m:e>
                <m:sub>
                  <m:r>
                    <w:rPr>
                      <w:rFonts w:ascii="Cambria Math" w:hAnsi="Cambria Math"/>
                      <w:noProof/>
                    </w:rPr>
                    <m:t>identify_inter_NR,i</m:t>
                  </m:r>
                </m:sub>
              </m:sSub>
            </m:e>
          </m:nary>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SI-NR</m:t>
              </m:r>
            </m:sub>
          </m:sSub>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PRACH</m:t>
              </m:r>
            </m:sub>
          </m:sSub>
        </m:oMath>
      </m:oMathPara>
    </w:p>
    <w:p w14:paraId="24118802" w14:textId="77777777" w:rsidR="003A71DE" w:rsidRPr="00CE0F04" w:rsidRDefault="003A71DE" w:rsidP="003A71DE">
      <w:pPr>
        <w:ind w:left="851" w:hanging="284"/>
      </w:pPr>
      <w:r w:rsidRPr="00CE0F04">
        <w:tab/>
        <w:t>N</w:t>
      </w:r>
      <w:r w:rsidRPr="00CE0F04">
        <w:rPr>
          <w:vertAlign w:val="subscript"/>
        </w:rPr>
        <w:t>freq</w:t>
      </w:r>
      <w:r w:rsidRPr="00CE0F04">
        <w:t xml:space="preserve"> = 2</w:t>
      </w:r>
    </w:p>
    <w:p w14:paraId="4F9B8559" w14:textId="77777777" w:rsidR="003A71DE" w:rsidRPr="00CE0F04" w:rsidRDefault="003A71DE" w:rsidP="003A71DE">
      <w:pPr>
        <w:ind w:left="851" w:hanging="284"/>
      </w:pPr>
      <w:r w:rsidRPr="00CE0F04">
        <w:rPr>
          <w:iCs/>
        </w:rPr>
        <w:lastRenderedPageBreak/>
        <w:tab/>
        <w:t>T</w:t>
      </w:r>
      <w:r w:rsidRPr="00CE0F04">
        <w:rPr>
          <w:iCs/>
          <w:vertAlign w:val="subscript"/>
        </w:rPr>
        <w:t>identify_intra_NR</w:t>
      </w:r>
      <w:r w:rsidRPr="00CE0F04">
        <w:t xml:space="preserve"> = 8000 ms</w:t>
      </w:r>
    </w:p>
    <w:p w14:paraId="1C579242" w14:textId="77777777" w:rsidR="003A71DE" w:rsidRPr="00CE0F04" w:rsidRDefault="003A71DE" w:rsidP="003A71DE">
      <w:pPr>
        <w:ind w:left="851" w:hanging="284"/>
      </w:pPr>
      <w:r w:rsidRPr="00CE0F04">
        <w:rPr>
          <w:iCs/>
        </w:rPr>
        <w:tab/>
        <w:t>T</w:t>
      </w:r>
      <w:r w:rsidRPr="00CE0F04">
        <w:rPr>
          <w:iCs/>
          <w:vertAlign w:val="subscript"/>
        </w:rPr>
        <w:t>identify_inter_NR</w:t>
      </w:r>
      <w:r w:rsidRPr="00CE0F04">
        <w:t xml:space="preserve"> = 8000 ms</w:t>
      </w:r>
    </w:p>
    <w:p w14:paraId="6692A92B" w14:textId="77777777" w:rsidR="003A71DE" w:rsidRPr="00CE0F04" w:rsidRDefault="003A71DE" w:rsidP="003A71DE">
      <w:pPr>
        <w:ind w:left="851" w:hanging="284"/>
      </w:pPr>
      <w:r w:rsidRPr="00CE0F04">
        <w:tab/>
        <w:t>T</w:t>
      </w:r>
      <w:r w:rsidRPr="00CE0F04">
        <w:rPr>
          <w:vertAlign w:val="subscript"/>
        </w:rPr>
        <w:t>SI</w:t>
      </w:r>
      <w:r w:rsidRPr="00CE0F04">
        <w:t xml:space="preserve"> </w:t>
      </w:r>
      <w:r w:rsidRPr="00CE0F04">
        <w:rPr>
          <w:iCs/>
        </w:rPr>
        <w:t xml:space="preserve">= 1280 ms; it is the </w:t>
      </w:r>
      <w:r w:rsidRPr="00CE0F04">
        <w:t>time required for receiving all the relevant system information as defined in TS 38.331 for the target inter-frequency NR cell.</w:t>
      </w:r>
    </w:p>
    <w:p w14:paraId="2370C37E" w14:textId="77777777" w:rsidR="003A71DE" w:rsidRPr="00CE0F04" w:rsidRDefault="003A71DE" w:rsidP="003A71DE">
      <w:pPr>
        <w:ind w:left="851" w:hanging="284"/>
      </w:pPr>
      <w:r w:rsidRPr="00CE0F04">
        <w:tab/>
        <w:t>T</w:t>
      </w:r>
      <w:r w:rsidRPr="00CE0F04">
        <w:rPr>
          <w:vertAlign w:val="subscript"/>
        </w:rPr>
        <w:t xml:space="preserve">PRACH </w:t>
      </w:r>
      <w:r w:rsidRPr="00CE0F04">
        <w:t>= 15 ms; it is the additional delay caused by the random access procedure.</w:t>
      </w:r>
    </w:p>
    <w:p w14:paraId="38088FB1" w14:textId="77777777" w:rsidR="003A71DE" w:rsidRPr="00CE0F04" w:rsidRDefault="003A71DE" w:rsidP="003A71DE">
      <w:pPr>
        <w:keepLines/>
        <w:ind w:left="1135" w:hanging="851"/>
      </w:pPr>
      <w:r w:rsidRPr="00CE0F04">
        <w:t>This gives a total of 17695 ms, allow 18 s in the test case.</w:t>
      </w:r>
    </w:p>
    <w:p w14:paraId="3B7D47C0" w14:textId="77777777" w:rsidR="003A71DE" w:rsidRPr="00CE0F04" w:rsidRDefault="003A71DE" w:rsidP="00BA0D24">
      <w:pPr>
        <w:pStyle w:val="H6"/>
        <w:rPr>
          <w:snapToGrid w:val="0"/>
        </w:rPr>
      </w:pPr>
      <w:r w:rsidRPr="00CE0F04">
        <w:rPr>
          <w:snapToGrid w:val="0"/>
        </w:rPr>
        <w:t>G.2.1.1.1.4</w:t>
      </w:r>
      <w:r w:rsidRPr="00CE0F04">
        <w:rPr>
          <w:snapToGrid w:val="0"/>
        </w:rPr>
        <w:tab/>
        <w:t>Intra-frequency RRC Re-establishment in FR2 without serving cell timing for LA IAB-MT</w:t>
      </w:r>
    </w:p>
    <w:p w14:paraId="50367168" w14:textId="77777777" w:rsidR="003A71DE" w:rsidRPr="00CE0F04" w:rsidRDefault="003A71DE" w:rsidP="00BA0D24">
      <w:pPr>
        <w:pStyle w:val="H6"/>
      </w:pPr>
      <w:r w:rsidRPr="00CE0F04">
        <w:t>G.2.1.1.1.4.1</w:t>
      </w:r>
      <w:r w:rsidRPr="00CE0F04">
        <w:tab/>
      </w:r>
      <w:r w:rsidRPr="00CE0F04">
        <w:rPr>
          <w:snapToGrid w:val="0"/>
        </w:rPr>
        <w:t>Test Purpose and Environment</w:t>
      </w:r>
    </w:p>
    <w:p w14:paraId="53A988C2" w14:textId="77777777" w:rsidR="003A71DE" w:rsidRPr="00CE0F04" w:rsidRDefault="003A71DE" w:rsidP="003A71DE">
      <w:pPr>
        <w:rPr>
          <w:rFonts w:cs="v4.2.0"/>
        </w:rPr>
      </w:pPr>
      <w:r w:rsidRPr="00CE0F04">
        <w:rPr>
          <w:rFonts w:cs="v4.2.0"/>
        </w:rPr>
        <w:t>The purpose is to verify that the NR intra-frequency RRC re-establishment delay in FR2 without serving cell timing is within the specified limits. These tests will verify the requirements in clause 12.1.1.1. This test case is applicable only for local area IAB-MT and for IAB type 2-O.</w:t>
      </w:r>
    </w:p>
    <w:p w14:paraId="29F05C7C" w14:textId="77777777" w:rsidR="003A71DE" w:rsidRPr="00CE0F04" w:rsidRDefault="003A71DE" w:rsidP="003A71DE">
      <w:pPr>
        <w:rPr>
          <w:rFonts w:cs="v4.2.0"/>
        </w:rPr>
      </w:pPr>
      <w:r w:rsidRPr="00CE0F04">
        <w:rPr>
          <w:rFonts w:cs="v4.2.0"/>
        </w:rPr>
        <w:t>The test parameters are given in table G.2.1.1.1.4.1-1, table G.2.1.1.1.4.1-2 and table G.2.1.1.1.4.1-3 below. The test consists of 3 successive time periods, with time duration of T1, T2 and T3 respectively. At the start of time period T2, cell 1, which is the active cell, is deactivated. The time period T3 starts after the occurrence of the radio link failure.</w:t>
      </w:r>
    </w:p>
    <w:p w14:paraId="0518CB01" w14:textId="77777777" w:rsidR="003A71DE" w:rsidRPr="00CE0F04" w:rsidRDefault="003A71DE" w:rsidP="003A71DE">
      <w:pPr>
        <w:keepNext/>
        <w:keepLines/>
        <w:spacing w:before="60"/>
        <w:jc w:val="center"/>
        <w:rPr>
          <w:rFonts w:ascii="Arial" w:hAnsi="Arial"/>
          <w:b/>
        </w:rPr>
      </w:pPr>
      <w:r w:rsidRPr="00CE0F04">
        <w:rPr>
          <w:rFonts w:ascii="Arial" w:hAnsi="Arial"/>
          <w:b/>
        </w:rPr>
        <w:t>Table G.2.1.1.1.4.1-1: Supported test configurations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230"/>
      </w:tblGrid>
      <w:tr w:rsidR="003A71DE" w:rsidRPr="00CE0F04" w14:paraId="2C916F0C" w14:textId="77777777" w:rsidTr="003A71DE">
        <w:tc>
          <w:tcPr>
            <w:tcW w:w="2376" w:type="dxa"/>
            <w:shd w:val="clear" w:color="auto" w:fill="auto"/>
          </w:tcPr>
          <w:p w14:paraId="2330A38E" w14:textId="77777777" w:rsidR="003A71DE" w:rsidRPr="00CE0F04" w:rsidRDefault="003A71DE" w:rsidP="001A5D47">
            <w:pPr>
              <w:pStyle w:val="TAH"/>
            </w:pPr>
            <w:r w:rsidRPr="00CE0F04">
              <w:t>Configuration</w:t>
            </w:r>
          </w:p>
        </w:tc>
        <w:tc>
          <w:tcPr>
            <w:tcW w:w="7230" w:type="dxa"/>
            <w:shd w:val="clear" w:color="auto" w:fill="auto"/>
          </w:tcPr>
          <w:p w14:paraId="1BFF4F49" w14:textId="77777777" w:rsidR="003A71DE" w:rsidRPr="00CE0F04" w:rsidRDefault="003A71DE" w:rsidP="001A5D47">
            <w:pPr>
              <w:pStyle w:val="TAH"/>
            </w:pPr>
            <w:r w:rsidRPr="00CE0F04">
              <w:t>Description</w:t>
            </w:r>
          </w:p>
        </w:tc>
      </w:tr>
      <w:tr w:rsidR="003A71DE" w:rsidRPr="00CE0F04" w14:paraId="0BD8B7AC" w14:textId="77777777" w:rsidTr="003A71DE">
        <w:tc>
          <w:tcPr>
            <w:tcW w:w="2376" w:type="dxa"/>
            <w:shd w:val="clear" w:color="auto" w:fill="auto"/>
          </w:tcPr>
          <w:p w14:paraId="625DFCCB" w14:textId="77777777" w:rsidR="003A71DE" w:rsidRPr="00CE0F04" w:rsidRDefault="003A71DE" w:rsidP="001A5D47">
            <w:pPr>
              <w:pStyle w:val="TAL"/>
              <w:rPr>
                <w:lang w:eastAsia="zh-CN"/>
              </w:rPr>
            </w:pPr>
            <w:r w:rsidRPr="00CE0F04">
              <w:rPr>
                <w:lang w:eastAsia="zh-CN"/>
              </w:rPr>
              <w:t>1</w:t>
            </w:r>
          </w:p>
        </w:tc>
        <w:tc>
          <w:tcPr>
            <w:tcW w:w="7230" w:type="dxa"/>
            <w:shd w:val="clear" w:color="auto" w:fill="auto"/>
          </w:tcPr>
          <w:p w14:paraId="4AB7E4FE" w14:textId="77777777" w:rsidR="003A71DE" w:rsidRPr="00CE0F04" w:rsidRDefault="003A71DE" w:rsidP="001A5D47">
            <w:pPr>
              <w:pStyle w:val="TAL"/>
              <w:rPr>
                <w:rFonts w:eastAsia="Malgun Gothic"/>
              </w:rPr>
            </w:pPr>
            <w:r w:rsidRPr="00CE0F04">
              <w:rPr>
                <w:rFonts w:eastAsia="Malgun Gothic"/>
              </w:rPr>
              <w:t>120 kHz SSB SCS, 100 MHz bandwidth, TDD duplex mode</w:t>
            </w:r>
          </w:p>
        </w:tc>
      </w:tr>
    </w:tbl>
    <w:p w14:paraId="140AFB55" w14:textId="77777777" w:rsidR="003A71DE" w:rsidRPr="00CE0F04" w:rsidRDefault="003A71DE" w:rsidP="003A71DE"/>
    <w:p w14:paraId="0458A80D" w14:textId="77777777" w:rsidR="003A71DE" w:rsidRPr="00CE0F04" w:rsidRDefault="003A71DE" w:rsidP="003A71DE">
      <w:pPr>
        <w:keepNext/>
        <w:keepLines/>
        <w:spacing w:before="60"/>
        <w:jc w:val="center"/>
        <w:rPr>
          <w:rFonts w:ascii="Arial" w:hAnsi="Arial"/>
          <w:b/>
        </w:rPr>
      </w:pPr>
      <w:r w:rsidRPr="00CE0F04">
        <w:rPr>
          <w:rFonts w:ascii="Arial" w:hAnsi="Arial"/>
          <w:b/>
        </w:rPr>
        <w:t>Table G.2.1.1.1.4.1-2: General test parameters for NR intra-frequency RRC Re-establishment test case in FR2</w:t>
      </w:r>
    </w:p>
    <w:tbl>
      <w:tblPr>
        <w:tblW w:w="960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794"/>
        <w:gridCol w:w="708"/>
        <w:gridCol w:w="1418"/>
        <w:gridCol w:w="1475"/>
        <w:gridCol w:w="3203"/>
      </w:tblGrid>
      <w:tr w:rsidR="003A71DE" w:rsidRPr="00CE0F04" w14:paraId="2DA29A33" w14:textId="77777777" w:rsidTr="003A71DE">
        <w:trPr>
          <w:cantSplit/>
        </w:trPr>
        <w:tc>
          <w:tcPr>
            <w:tcW w:w="2802" w:type="dxa"/>
            <w:gridSpan w:val="2"/>
          </w:tcPr>
          <w:p w14:paraId="5833A8BA" w14:textId="77777777" w:rsidR="003A71DE" w:rsidRPr="00CE0F04" w:rsidRDefault="003A71DE" w:rsidP="001A5D47">
            <w:pPr>
              <w:pStyle w:val="TAH"/>
            </w:pPr>
            <w:r w:rsidRPr="00CE0F04">
              <w:t>Parameter</w:t>
            </w:r>
          </w:p>
        </w:tc>
        <w:tc>
          <w:tcPr>
            <w:tcW w:w="708" w:type="dxa"/>
          </w:tcPr>
          <w:p w14:paraId="50DCD5A4" w14:textId="77777777" w:rsidR="003A71DE" w:rsidRPr="00CE0F04" w:rsidRDefault="003A71DE" w:rsidP="001A5D47">
            <w:pPr>
              <w:pStyle w:val="TAH"/>
            </w:pPr>
            <w:r w:rsidRPr="00CE0F04">
              <w:t>Unit</w:t>
            </w:r>
          </w:p>
        </w:tc>
        <w:tc>
          <w:tcPr>
            <w:tcW w:w="1418" w:type="dxa"/>
          </w:tcPr>
          <w:p w14:paraId="42FCC7E6" w14:textId="77777777" w:rsidR="003A71DE" w:rsidRPr="00CE0F04" w:rsidRDefault="003A71DE" w:rsidP="001A5D47">
            <w:pPr>
              <w:pStyle w:val="TAH"/>
              <w:rPr>
                <w:lang w:eastAsia="zh-CN"/>
              </w:rPr>
            </w:pPr>
            <w:r w:rsidRPr="00CE0F04">
              <w:rPr>
                <w:lang w:eastAsia="zh-CN"/>
              </w:rPr>
              <w:t>Test configuration</w:t>
            </w:r>
          </w:p>
        </w:tc>
        <w:tc>
          <w:tcPr>
            <w:tcW w:w="1475" w:type="dxa"/>
          </w:tcPr>
          <w:p w14:paraId="768D9BCB" w14:textId="77777777" w:rsidR="003A71DE" w:rsidRPr="00CE0F04" w:rsidRDefault="003A71DE" w:rsidP="001A5D47">
            <w:pPr>
              <w:pStyle w:val="TAH"/>
            </w:pPr>
            <w:r w:rsidRPr="00CE0F04">
              <w:t>Value</w:t>
            </w:r>
          </w:p>
        </w:tc>
        <w:tc>
          <w:tcPr>
            <w:tcW w:w="3203" w:type="dxa"/>
          </w:tcPr>
          <w:p w14:paraId="319EA166" w14:textId="77777777" w:rsidR="003A71DE" w:rsidRPr="00CE0F04" w:rsidRDefault="003A71DE" w:rsidP="001A5D47">
            <w:pPr>
              <w:pStyle w:val="TAH"/>
            </w:pPr>
            <w:r w:rsidRPr="00CE0F04">
              <w:t>Comment</w:t>
            </w:r>
          </w:p>
        </w:tc>
      </w:tr>
      <w:tr w:rsidR="003A71DE" w:rsidRPr="00CE0F04" w14:paraId="1E77A00A" w14:textId="77777777" w:rsidTr="003A71DE">
        <w:trPr>
          <w:cantSplit/>
        </w:trPr>
        <w:tc>
          <w:tcPr>
            <w:tcW w:w="1008" w:type="dxa"/>
            <w:tcBorders>
              <w:bottom w:val="nil"/>
            </w:tcBorders>
            <w:shd w:val="clear" w:color="auto" w:fill="auto"/>
          </w:tcPr>
          <w:p w14:paraId="52026FB1" w14:textId="77777777" w:rsidR="003A71DE" w:rsidRPr="00CE0F04" w:rsidRDefault="003A71DE" w:rsidP="001A5D47">
            <w:pPr>
              <w:pStyle w:val="TAL"/>
            </w:pPr>
            <w:r w:rsidRPr="00CE0F04">
              <w:t>Initial condition</w:t>
            </w:r>
          </w:p>
        </w:tc>
        <w:tc>
          <w:tcPr>
            <w:tcW w:w="1794" w:type="dxa"/>
          </w:tcPr>
          <w:p w14:paraId="4283B8FC" w14:textId="77777777" w:rsidR="003A71DE" w:rsidRPr="00CE0F04" w:rsidRDefault="003A71DE" w:rsidP="001A5D47">
            <w:pPr>
              <w:pStyle w:val="TAL"/>
            </w:pPr>
            <w:r w:rsidRPr="00CE0F04">
              <w:t>Active cell</w:t>
            </w:r>
          </w:p>
        </w:tc>
        <w:tc>
          <w:tcPr>
            <w:tcW w:w="708" w:type="dxa"/>
          </w:tcPr>
          <w:p w14:paraId="525C73A9" w14:textId="77777777" w:rsidR="003A71DE" w:rsidRPr="00CE0F04" w:rsidRDefault="003A71DE" w:rsidP="001A5D47">
            <w:pPr>
              <w:pStyle w:val="TAC"/>
            </w:pPr>
          </w:p>
        </w:tc>
        <w:tc>
          <w:tcPr>
            <w:tcW w:w="1418" w:type="dxa"/>
          </w:tcPr>
          <w:p w14:paraId="3FCE0B9D" w14:textId="77777777" w:rsidR="003A71DE" w:rsidRPr="00CE0F04" w:rsidRDefault="003A71DE" w:rsidP="001A5D47">
            <w:pPr>
              <w:pStyle w:val="TAC"/>
              <w:rPr>
                <w:lang w:eastAsia="zh-CN"/>
              </w:rPr>
            </w:pPr>
            <w:r w:rsidRPr="00CE0F04">
              <w:rPr>
                <w:lang w:eastAsia="zh-CN"/>
              </w:rPr>
              <w:t>1</w:t>
            </w:r>
          </w:p>
        </w:tc>
        <w:tc>
          <w:tcPr>
            <w:tcW w:w="1475" w:type="dxa"/>
          </w:tcPr>
          <w:p w14:paraId="5EA04B1E" w14:textId="77777777" w:rsidR="003A71DE" w:rsidRPr="00CE0F04" w:rsidRDefault="003A71DE" w:rsidP="001A5D47">
            <w:pPr>
              <w:pStyle w:val="TAC"/>
            </w:pPr>
            <w:r w:rsidRPr="00CE0F04">
              <w:t>Cell1</w:t>
            </w:r>
          </w:p>
        </w:tc>
        <w:tc>
          <w:tcPr>
            <w:tcW w:w="3203" w:type="dxa"/>
          </w:tcPr>
          <w:p w14:paraId="466EA9DF" w14:textId="77777777" w:rsidR="003A71DE" w:rsidRPr="00CE0F04" w:rsidRDefault="003A71DE" w:rsidP="001A5D47">
            <w:pPr>
              <w:pStyle w:val="TAC"/>
            </w:pPr>
          </w:p>
        </w:tc>
      </w:tr>
      <w:tr w:rsidR="003A71DE" w:rsidRPr="00CE0F04" w14:paraId="1EF467E2" w14:textId="77777777" w:rsidTr="003A71DE">
        <w:trPr>
          <w:cantSplit/>
          <w:trHeight w:val="463"/>
        </w:trPr>
        <w:tc>
          <w:tcPr>
            <w:tcW w:w="1008" w:type="dxa"/>
            <w:tcBorders>
              <w:top w:val="nil"/>
            </w:tcBorders>
            <w:shd w:val="clear" w:color="auto" w:fill="auto"/>
          </w:tcPr>
          <w:p w14:paraId="6E4352CE" w14:textId="77777777" w:rsidR="003A71DE" w:rsidRPr="00CE0F04" w:rsidRDefault="003A71DE" w:rsidP="001A5D47">
            <w:pPr>
              <w:pStyle w:val="TAL"/>
            </w:pPr>
          </w:p>
        </w:tc>
        <w:tc>
          <w:tcPr>
            <w:tcW w:w="1794" w:type="dxa"/>
          </w:tcPr>
          <w:p w14:paraId="27CCAB5D" w14:textId="77777777" w:rsidR="003A71DE" w:rsidRPr="00CE0F04" w:rsidRDefault="003A71DE" w:rsidP="001A5D47">
            <w:pPr>
              <w:pStyle w:val="TAL"/>
            </w:pPr>
            <w:r w:rsidRPr="00CE0F04">
              <w:t>Neighbour cells</w:t>
            </w:r>
          </w:p>
        </w:tc>
        <w:tc>
          <w:tcPr>
            <w:tcW w:w="708" w:type="dxa"/>
          </w:tcPr>
          <w:p w14:paraId="71D6D271" w14:textId="77777777" w:rsidR="003A71DE" w:rsidRPr="00CE0F04" w:rsidRDefault="003A71DE" w:rsidP="001A5D47">
            <w:pPr>
              <w:pStyle w:val="TAC"/>
            </w:pPr>
          </w:p>
        </w:tc>
        <w:tc>
          <w:tcPr>
            <w:tcW w:w="1418" w:type="dxa"/>
          </w:tcPr>
          <w:p w14:paraId="59543A13" w14:textId="77777777" w:rsidR="003A71DE" w:rsidRPr="00CE0F04" w:rsidRDefault="003A71DE" w:rsidP="001A5D47">
            <w:pPr>
              <w:pStyle w:val="TAC"/>
            </w:pPr>
            <w:r w:rsidRPr="00CE0F04">
              <w:rPr>
                <w:lang w:eastAsia="zh-CN"/>
              </w:rPr>
              <w:t>1</w:t>
            </w:r>
          </w:p>
        </w:tc>
        <w:tc>
          <w:tcPr>
            <w:tcW w:w="1475" w:type="dxa"/>
          </w:tcPr>
          <w:p w14:paraId="0F44E304" w14:textId="77777777" w:rsidR="003A71DE" w:rsidRPr="00CE0F04" w:rsidRDefault="003A71DE" w:rsidP="001A5D47">
            <w:pPr>
              <w:pStyle w:val="TAC"/>
            </w:pPr>
            <w:r w:rsidRPr="00CE0F04">
              <w:t xml:space="preserve">Cell2 </w:t>
            </w:r>
          </w:p>
        </w:tc>
        <w:tc>
          <w:tcPr>
            <w:tcW w:w="3203" w:type="dxa"/>
            <w:tcBorders>
              <w:bottom w:val="single" w:sz="4" w:space="0" w:color="auto"/>
            </w:tcBorders>
          </w:tcPr>
          <w:p w14:paraId="60C5CA72" w14:textId="77777777" w:rsidR="003A71DE" w:rsidRPr="00CE0F04" w:rsidRDefault="003A71DE" w:rsidP="001A5D47">
            <w:pPr>
              <w:pStyle w:val="TAC"/>
            </w:pPr>
          </w:p>
        </w:tc>
      </w:tr>
      <w:tr w:rsidR="003A71DE" w:rsidRPr="00CE0F04" w14:paraId="65A485EB" w14:textId="77777777" w:rsidTr="003A71DE">
        <w:trPr>
          <w:cantSplit/>
        </w:trPr>
        <w:tc>
          <w:tcPr>
            <w:tcW w:w="1008" w:type="dxa"/>
          </w:tcPr>
          <w:p w14:paraId="2142153B" w14:textId="77777777" w:rsidR="003A71DE" w:rsidRPr="00CE0F04" w:rsidRDefault="003A71DE" w:rsidP="001A5D47">
            <w:pPr>
              <w:pStyle w:val="TAL"/>
            </w:pPr>
            <w:r w:rsidRPr="00CE0F04">
              <w:t>Final condition</w:t>
            </w:r>
          </w:p>
        </w:tc>
        <w:tc>
          <w:tcPr>
            <w:tcW w:w="1794" w:type="dxa"/>
          </w:tcPr>
          <w:p w14:paraId="7F3540E3" w14:textId="77777777" w:rsidR="003A71DE" w:rsidRPr="00CE0F04" w:rsidRDefault="003A71DE" w:rsidP="001A5D47">
            <w:pPr>
              <w:pStyle w:val="TAL"/>
            </w:pPr>
            <w:r w:rsidRPr="00CE0F04">
              <w:t>Active cell</w:t>
            </w:r>
          </w:p>
        </w:tc>
        <w:tc>
          <w:tcPr>
            <w:tcW w:w="708" w:type="dxa"/>
          </w:tcPr>
          <w:p w14:paraId="3907371B" w14:textId="77777777" w:rsidR="003A71DE" w:rsidRPr="00CE0F04" w:rsidRDefault="003A71DE" w:rsidP="001A5D47">
            <w:pPr>
              <w:pStyle w:val="TAC"/>
            </w:pPr>
          </w:p>
        </w:tc>
        <w:tc>
          <w:tcPr>
            <w:tcW w:w="1418" w:type="dxa"/>
          </w:tcPr>
          <w:p w14:paraId="64D9DD59" w14:textId="77777777" w:rsidR="003A71DE" w:rsidRPr="00CE0F04" w:rsidRDefault="003A71DE" w:rsidP="001A5D47">
            <w:pPr>
              <w:pStyle w:val="TAC"/>
            </w:pPr>
            <w:r w:rsidRPr="00CE0F04">
              <w:rPr>
                <w:lang w:eastAsia="zh-CN"/>
              </w:rPr>
              <w:t>1</w:t>
            </w:r>
          </w:p>
        </w:tc>
        <w:tc>
          <w:tcPr>
            <w:tcW w:w="1475" w:type="dxa"/>
          </w:tcPr>
          <w:p w14:paraId="150D97AB" w14:textId="77777777" w:rsidR="003A71DE" w:rsidRPr="00CE0F04" w:rsidRDefault="003A71DE" w:rsidP="001A5D47">
            <w:pPr>
              <w:pStyle w:val="TAC"/>
            </w:pPr>
            <w:r w:rsidRPr="00CE0F04">
              <w:t>Cell2</w:t>
            </w:r>
          </w:p>
        </w:tc>
        <w:tc>
          <w:tcPr>
            <w:tcW w:w="3203" w:type="dxa"/>
          </w:tcPr>
          <w:p w14:paraId="45804A05" w14:textId="77777777" w:rsidR="003A71DE" w:rsidRPr="00CE0F04" w:rsidRDefault="003A71DE" w:rsidP="001A5D47">
            <w:pPr>
              <w:pStyle w:val="TAC"/>
            </w:pPr>
          </w:p>
        </w:tc>
      </w:tr>
      <w:tr w:rsidR="003A71DE" w:rsidRPr="00CE0F04" w14:paraId="40571138" w14:textId="77777777" w:rsidTr="003A71DE">
        <w:trPr>
          <w:cantSplit/>
        </w:trPr>
        <w:tc>
          <w:tcPr>
            <w:tcW w:w="2802" w:type="dxa"/>
            <w:gridSpan w:val="2"/>
          </w:tcPr>
          <w:p w14:paraId="73B27BFC" w14:textId="77777777" w:rsidR="003A71DE" w:rsidRPr="00CE0F04" w:rsidRDefault="003A71DE" w:rsidP="001A5D47">
            <w:pPr>
              <w:pStyle w:val="TAL"/>
            </w:pPr>
            <w:r w:rsidRPr="00CE0F04">
              <w:rPr>
                <w:bCs/>
              </w:rPr>
              <w:t>RF Channel Number</w:t>
            </w:r>
          </w:p>
        </w:tc>
        <w:tc>
          <w:tcPr>
            <w:tcW w:w="708" w:type="dxa"/>
          </w:tcPr>
          <w:p w14:paraId="214B56CE" w14:textId="77777777" w:rsidR="003A71DE" w:rsidRPr="00CE0F04" w:rsidRDefault="003A71DE" w:rsidP="001A5D47">
            <w:pPr>
              <w:pStyle w:val="TAC"/>
            </w:pPr>
          </w:p>
        </w:tc>
        <w:tc>
          <w:tcPr>
            <w:tcW w:w="1418" w:type="dxa"/>
          </w:tcPr>
          <w:p w14:paraId="624DD1CF" w14:textId="77777777" w:rsidR="003A71DE" w:rsidRPr="00CE0F04" w:rsidRDefault="003A71DE" w:rsidP="001A5D47">
            <w:pPr>
              <w:pStyle w:val="TAC"/>
              <w:rPr>
                <w:bCs/>
              </w:rPr>
            </w:pPr>
            <w:r w:rsidRPr="00CE0F04">
              <w:rPr>
                <w:lang w:eastAsia="zh-CN"/>
              </w:rPr>
              <w:t>1</w:t>
            </w:r>
          </w:p>
        </w:tc>
        <w:tc>
          <w:tcPr>
            <w:tcW w:w="1475" w:type="dxa"/>
          </w:tcPr>
          <w:p w14:paraId="5E76DC25" w14:textId="77777777" w:rsidR="003A71DE" w:rsidRPr="00CE0F04" w:rsidRDefault="003A71DE" w:rsidP="001A5D47">
            <w:pPr>
              <w:pStyle w:val="TAC"/>
            </w:pPr>
            <w:r w:rsidRPr="00CE0F04">
              <w:rPr>
                <w:bCs/>
              </w:rPr>
              <w:t>1</w:t>
            </w:r>
          </w:p>
        </w:tc>
        <w:tc>
          <w:tcPr>
            <w:tcW w:w="3203" w:type="dxa"/>
          </w:tcPr>
          <w:p w14:paraId="10E87181" w14:textId="77777777" w:rsidR="003A71DE" w:rsidRPr="00CE0F04" w:rsidRDefault="003A71DE" w:rsidP="001A5D47">
            <w:pPr>
              <w:pStyle w:val="TAC"/>
            </w:pPr>
          </w:p>
        </w:tc>
      </w:tr>
      <w:tr w:rsidR="003A71DE" w:rsidRPr="00CE0F04" w14:paraId="2E68853F" w14:textId="77777777" w:rsidTr="003A71DE">
        <w:trPr>
          <w:cantSplit/>
        </w:trPr>
        <w:tc>
          <w:tcPr>
            <w:tcW w:w="2802" w:type="dxa"/>
            <w:gridSpan w:val="2"/>
          </w:tcPr>
          <w:p w14:paraId="673C6363" w14:textId="77777777" w:rsidR="003A71DE" w:rsidRPr="00CE0F04" w:rsidRDefault="003A71DE" w:rsidP="001A5D47">
            <w:pPr>
              <w:pStyle w:val="TAL"/>
              <w:rPr>
                <w:lang w:eastAsia="zh-CN"/>
              </w:rPr>
            </w:pPr>
            <w:r w:rsidRPr="00CE0F04">
              <w:rPr>
                <w:lang w:eastAsia="zh-CN"/>
              </w:rPr>
              <w:t>Time offset between cells</w:t>
            </w:r>
          </w:p>
        </w:tc>
        <w:tc>
          <w:tcPr>
            <w:tcW w:w="708" w:type="dxa"/>
          </w:tcPr>
          <w:p w14:paraId="12BDC933" w14:textId="77777777" w:rsidR="003A71DE" w:rsidRPr="00CE0F04" w:rsidRDefault="003A71DE" w:rsidP="001A5D47">
            <w:pPr>
              <w:pStyle w:val="TAC"/>
            </w:pPr>
          </w:p>
        </w:tc>
        <w:tc>
          <w:tcPr>
            <w:tcW w:w="1418" w:type="dxa"/>
          </w:tcPr>
          <w:p w14:paraId="15DC6326" w14:textId="77777777" w:rsidR="003A71DE" w:rsidRPr="00CE0F04" w:rsidRDefault="003A71DE" w:rsidP="001A5D47">
            <w:pPr>
              <w:pStyle w:val="TAC"/>
              <w:rPr>
                <w:lang w:eastAsia="zh-CN"/>
              </w:rPr>
            </w:pPr>
            <w:r w:rsidRPr="00CE0F04">
              <w:rPr>
                <w:lang w:eastAsia="zh-CN"/>
              </w:rPr>
              <w:t>1</w:t>
            </w:r>
          </w:p>
        </w:tc>
        <w:tc>
          <w:tcPr>
            <w:tcW w:w="1475" w:type="dxa"/>
          </w:tcPr>
          <w:p w14:paraId="42D4766E" w14:textId="77777777" w:rsidR="003A71DE" w:rsidRPr="00CE0F04" w:rsidRDefault="003A71DE" w:rsidP="001A5D47">
            <w:pPr>
              <w:pStyle w:val="TAC"/>
            </w:pPr>
            <w:r w:rsidRPr="00CE0F04">
              <w:t xml:space="preserve">3 </w:t>
            </w:r>
            <w:r w:rsidRPr="00CE0F04">
              <w:sym w:font="Symbol" w:char="F06D"/>
            </w:r>
            <w:r w:rsidRPr="00CE0F04">
              <w:t>s</w:t>
            </w:r>
          </w:p>
        </w:tc>
        <w:tc>
          <w:tcPr>
            <w:tcW w:w="3203" w:type="dxa"/>
          </w:tcPr>
          <w:p w14:paraId="6BD03AB1" w14:textId="77777777" w:rsidR="003A71DE" w:rsidRPr="00CE0F04" w:rsidRDefault="003A71DE" w:rsidP="001A5D47">
            <w:pPr>
              <w:pStyle w:val="TAC"/>
            </w:pPr>
            <w:r w:rsidRPr="00CE0F04">
              <w:t>Synchronous cells</w:t>
            </w:r>
          </w:p>
        </w:tc>
      </w:tr>
      <w:tr w:rsidR="003A71DE" w:rsidRPr="00CE0F04" w14:paraId="3E87FB5E" w14:textId="77777777" w:rsidTr="003A71DE">
        <w:trPr>
          <w:cantSplit/>
        </w:trPr>
        <w:tc>
          <w:tcPr>
            <w:tcW w:w="2802" w:type="dxa"/>
            <w:gridSpan w:val="2"/>
          </w:tcPr>
          <w:p w14:paraId="7ACC9FEB" w14:textId="77777777" w:rsidR="003A71DE" w:rsidRPr="00CE0F04" w:rsidRDefault="003A71DE" w:rsidP="001A5D47">
            <w:pPr>
              <w:pStyle w:val="TAL"/>
            </w:pPr>
            <w:r w:rsidRPr="00CE0F04">
              <w:t>N310</w:t>
            </w:r>
          </w:p>
        </w:tc>
        <w:tc>
          <w:tcPr>
            <w:tcW w:w="708" w:type="dxa"/>
          </w:tcPr>
          <w:p w14:paraId="171FF901" w14:textId="77777777" w:rsidR="003A71DE" w:rsidRPr="00CE0F04" w:rsidRDefault="003A71DE" w:rsidP="001A5D47">
            <w:pPr>
              <w:pStyle w:val="TAC"/>
            </w:pPr>
            <w:r w:rsidRPr="00CE0F04">
              <w:t>-</w:t>
            </w:r>
          </w:p>
        </w:tc>
        <w:tc>
          <w:tcPr>
            <w:tcW w:w="1418" w:type="dxa"/>
          </w:tcPr>
          <w:p w14:paraId="40A04DF1" w14:textId="77777777" w:rsidR="003A71DE" w:rsidRPr="00CE0F04" w:rsidRDefault="003A71DE" w:rsidP="001A5D47">
            <w:pPr>
              <w:pStyle w:val="TAC"/>
            </w:pPr>
            <w:r w:rsidRPr="00CE0F04">
              <w:rPr>
                <w:lang w:eastAsia="zh-CN"/>
              </w:rPr>
              <w:t>1</w:t>
            </w:r>
          </w:p>
        </w:tc>
        <w:tc>
          <w:tcPr>
            <w:tcW w:w="1475" w:type="dxa"/>
          </w:tcPr>
          <w:p w14:paraId="60DAE154" w14:textId="77777777" w:rsidR="003A71DE" w:rsidRPr="00CE0F04" w:rsidRDefault="003A71DE" w:rsidP="001A5D47">
            <w:pPr>
              <w:pStyle w:val="TAC"/>
            </w:pPr>
            <w:r w:rsidRPr="00CE0F04">
              <w:t>1</w:t>
            </w:r>
          </w:p>
        </w:tc>
        <w:tc>
          <w:tcPr>
            <w:tcW w:w="3203" w:type="dxa"/>
          </w:tcPr>
          <w:p w14:paraId="480337FF" w14:textId="77777777" w:rsidR="003A71DE" w:rsidRPr="00CE0F04" w:rsidRDefault="003A71DE" w:rsidP="001A5D47">
            <w:pPr>
              <w:pStyle w:val="TAC"/>
            </w:pPr>
            <w:r w:rsidRPr="00CE0F04">
              <w:t>Maximum consecutive out-of-sync indications from lower layers</w:t>
            </w:r>
          </w:p>
        </w:tc>
      </w:tr>
      <w:tr w:rsidR="003A71DE" w:rsidRPr="00CE0F04" w14:paraId="5ED4E289" w14:textId="77777777" w:rsidTr="003A71DE">
        <w:trPr>
          <w:cantSplit/>
        </w:trPr>
        <w:tc>
          <w:tcPr>
            <w:tcW w:w="2802" w:type="dxa"/>
            <w:gridSpan w:val="2"/>
          </w:tcPr>
          <w:p w14:paraId="01C314CD" w14:textId="77777777" w:rsidR="003A71DE" w:rsidRPr="00CE0F04" w:rsidRDefault="003A71DE" w:rsidP="001A5D47">
            <w:pPr>
              <w:pStyle w:val="TAL"/>
            </w:pPr>
            <w:r w:rsidRPr="00CE0F04">
              <w:t>N311</w:t>
            </w:r>
          </w:p>
        </w:tc>
        <w:tc>
          <w:tcPr>
            <w:tcW w:w="708" w:type="dxa"/>
          </w:tcPr>
          <w:p w14:paraId="3401B32C" w14:textId="77777777" w:rsidR="003A71DE" w:rsidRPr="00CE0F04" w:rsidRDefault="003A71DE" w:rsidP="001A5D47">
            <w:pPr>
              <w:pStyle w:val="TAC"/>
            </w:pPr>
            <w:r w:rsidRPr="00CE0F04">
              <w:t>-</w:t>
            </w:r>
          </w:p>
        </w:tc>
        <w:tc>
          <w:tcPr>
            <w:tcW w:w="1418" w:type="dxa"/>
          </w:tcPr>
          <w:p w14:paraId="40436964" w14:textId="77777777" w:rsidR="003A71DE" w:rsidRPr="00CE0F04" w:rsidRDefault="003A71DE" w:rsidP="001A5D47">
            <w:pPr>
              <w:pStyle w:val="TAC"/>
            </w:pPr>
            <w:r w:rsidRPr="00CE0F04">
              <w:rPr>
                <w:lang w:eastAsia="zh-CN"/>
              </w:rPr>
              <w:t>1</w:t>
            </w:r>
          </w:p>
        </w:tc>
        <w:tc>
          <w:tcPr>
            <w:tcW w:w="1475" w:type="dxa"/>
          </w:tcPr>
          <w:p w14:paraId="752EF9F7" w14:textId="77777777" w:rsidR="003A71DE" w:rsidRPr="00CE0F04" w:rsidRDefault="003A71DE" w:rsidP="001A5D47">
            <w:pPr>
              <w:pStyle w:val="TAC"/>
            </w:pPr>
            <w:r w:rsidRPr="00CE0F04">
              <w:t>1</w:t>
            </w:r>
          </w:p>
        </w:tc>
        <w:tc>
          <w:tcPr>
            <w:tcW w:w="3203" w:type="dxa"/>
          </w:tcPr>
          <w:p w14:paraId="2638745D" w14:textId="77777777" w:rsidR="003A71DE" w:rsidRPr="00CE0F04" w:rsidRDefault="003A71DE" w:rsidP="001A5D47">
            <w:pPr>
              <w:pStyle w:val="TAC"/>
            </w:pPr>
            <w:r w:rsidRPr="00CE0F04">
              <w:t>Minimum consecutive in-sync indications from lower layers</w:t>
            </w:r>
          </w:p>
        </w:tc>
      </w:tr>
      <w:tr w:rsidR="003A71DE" w:rsidRPr="00CE0F04" w14:paraId="3BD405E2" w14:textId="77777777" w:rsidTr="003A71DE">
        <w:trPr>
          <w:cantSplit/>
        </w:trPr>
        <w:tc>
          <w:tcPr>
            <w:tcW w:w="2802" w:type="dxa"/>
            <w:gridSpan w:val="2"/>
          </w:tcPr>
          <w:p w14:paraId="280377F0" w14:textId="77777777" w:rsidR="003A71DE" w:rsidRPr="00CE0F04" w:rsidRDefault="003A71DE" w:rsidP="001A5D47">
            <w:pPr>
              <w:pStyle w:val="TAL"/>
            </w:pPr>
            <w:r w:rsidRPr="00CE0F04">
              <w:t>T310</w:t>
            </w:r>
          </w:p>
        </w:tc>
        <w:tc>
          <w:tcPr>
            <w:tcW w:w="708" w:type="dxa"/>
          </w:tcPr>
          <w:p w14:paraId="281D07AF" w14:textId="77777777" w:rsidR="003A71DE" w:rsidRPr="00CE0F04" w:rsidRDefault="003A71DE" w:rsidP="001A5D47">
            <w:pPr>
              <w:pStyle w:val="TAC"/>
            </w:pPr>
            <w:r w:rsidRPr="00CE0F04">
              <w:t>ms</w:t>
            </w:r>
          </w:p>
        </w:tc>
        <w:tc>
          <w:tcPr>
            <w:tcW w:w="1418" w:type="dxa"/>
          </w:tcPr>
          <w:p w14:paraId="7CBC81B6" w14:textId="77777777" w:rsidR="003A71DE" w:rsidRPr="00CE0F04" w:rsidRDefault="003A71DE" w:rsidP="001A5D47">
            <w:pPr>
              <w:pStyle w:val="TAC"/>
            </w:pPr>
            <w:r w:rsidRPr="00CE0F04">
              <w:rPr>
                <w:lang w:eastAsia="zh-CN"/>
              </w:rPr>
              <w:t>1</w:t>
            </w:r>
          </w:p>
        </w:tc>
        <w:tc>
          <w:tcPr>
            <w:tcW w:w="1475" w:type="dxa"/>
          </w:tcPr>
          <w:p w14:paraId="66C92BB6" w14:textId="77777777" w:rsidR="003A71DE" w:rsidRPr="00CE0F04" w:rsidRDefault="003A71DE" w:rsidP="001A5D47">
            <w:pPr>
              <w:pStyle w:val="TAC"/>
            </w:pPr>
            <w:r w:rsidRPr="00CE0F04">
              <w:t>6000</w:t>
            </w:r>
          </w:p>
        </w:tc>
        <w:tc>
          <w:tcPr>
            <w:tcW w:w="3203" w:type="dxa"/>
          </w:tcPr>
          <w:p w14:paraId="4E9EC40D" w14:textId="77777777" w:rsidR="003A71DE" w:rsidRPr="00CE0F04" w:rsidRDefault="003A71DE" w:rsidP="001A5D47">
            <w:pPr>
              <w:pStyle w:val="TAC"/>
            </w:pPr>
            <w:r w:rsidRPr="00CE0F04">
              <w:t xml:space="preserve">Radio link failure timer configured by </w:t>
            </w:r>
            <w:r w:rsidRPr="00CE0F04">
              <w:rPr>
                <w:i/>
              </w:rPr>
              <w:t>RLF-TimersAndConstants</w:t>
            </w:r>
          </w:p>
        </w:tc>
      </w:tr>
      <w:tr w:rsidR="003A71DE" w:rsidRPr="00CE0F04" w14:paraId="718D6159" w14:textId="77777777" w:rsidTr="003A71DE">
        <w:trPr>
          <w:cantSplit/>
        </w:trPr>
        <w:tc>
          <w:tcPr>
            <w:tcW w:w="2802" w:type="dxa"/>
            <w:gridSpan w:val="2"/>
          </w:tcPr>
          <w:p w14:paraId="4FF27CCD" w14:textId="77777777" w:rsidR="003A71DE" w:rsidRPr="00CE0F04" w:rsidRDefault="003A71DE" w:rsidP="001A5D47">
            <w:pPr>
              <w:pStyle w:val="TAL"/>
            </w:pPr>
            <w:r w:rsidRPr="00CE0F04">
              <w:t>T311</w:t>
            </w:r>
          </w:p>
        </w:tc>
        <w:tc>
          <w:tcPr>
            <w:tcW w:w="708" w:type="dxa"/>
          </w:tcPr>
          <w:p w14:paraId="24AAAC2D" w14:textId="77777777" w:rsidR="003A71DE" w:rsidRPr="00CE0F04" w:rsidRDefault="003A71DE" w:rsidP="001A5D47">
            <w:pPr>
              <w:pStyle w:val="TAC"/>
            </w:pPr>
            <w:r w:rsidRPr="00CE0F04">
              <w:t>ms</w:t>
            </w:r>
          </w:p>
        </w:tc>
        <w:tc>
          <w:tcPr>
            <w:tcW w:w="1418" w:type="dxa"/>
          </w:tcPr>
          <w:p w14:paraId="429BFCCF" w14:textId="77777777" w:rsidR="003A71DE" w:rsidRPr="00CE0F04" w:rsidRDefault="003A71DE" w:rsidP="001A5D47">
            <w:pPr>
              <w:pStyle w:val="TAC"/>
            </w:pPr>
            <w:r w:rsidRPr="00CE0F04">
              <w:rPr>
                <w:lang w:eastAsia="zh-CN"/>
              </w:rPr>
              <w:t>1</w:t>
            </w:r>
          </w:p>
        </w:tc>
        <w:tc>
          <w:tcPr>
            <w:tcW w:w="1475" w:type="dxa"/>
          </w:tcPr>
          <w:p w14:paraId="753E6F75" w14:textId="77777777" w:rsidR="003A71DE" w:rsidRPr="00CE0F04" w:rsidRDefault="003A71DE" w:rsidP="001A5D47">
            <w:pPr>
              <w:pStyle w:val="TAC"/>
            </w:pPr>
            <w:r w:rsidRPr="00CE0F04">
              <w:t>30000</w:t>
            </w:r>
          </w:p>
        </w:tc>
        <w:tc>
          <w:tcPr>
            <w:tcW w:w="3203" w:type="dxa"/>
          </w:tcPr>
          <w:p w14:paraId="7746C8AC" w14:textId="77777777" w:rsidR="003A71DE" w:rsidRPr="00CE0F04" w:rsidRDefault="003A71DE" w:rsidP="001A5D47">
            <w:pPr>
              <w:pStyle w:val="TAC"/>
            </w:pPr>
            <w:r w:rsidRPr="00CE0F04">
              <w:t>RRC re-establishment timer</w:t>
            </w:r>
          </w:p>
        </w:tc>
      </w:tr>
      <w:tr w:rsidR="003A71DE" w:rsidRPr="00CE0F04" w14:paraId="289B5638" w14:textId="77777777" w:rsidTr="003A71DE">
        <w:trPr>
          <w:cantSplit/>
        </w:trPr>
        <w:tc>
          <w:tcPr>
            <w:tcW w:w="2802" w:type="dxa"/>
            <w:gridSpan w:val="2"/>
          </w:tcPr>
          <w:p w14:paraId="57DC7EB4" w14:textId="77777777" w:rsidR="003A71DE" w:rsidRPr="00CE0F04" w:rsidRDefault="003A71DE" w:rsidP="001A5D47">
            <w:pPr>
              <w:pStyle w:val="TAL"/>
              <w:rPr>
                <w:lang w:eastAsia="zh-CN"/>
              </w:rPr>
            </w:pPr>
            <w:r w:rsidRPr="00CE0F04">
              <w:rPr>
                <w:lang w:eastAsia="zh-CN"/>
              </w:rPr>
              <w:t>Access Barring Information</w:t>
            </w:r>
          </w:p>
        </w:tc>
        <w:tc>
          <w:tcPr>
            <w:tcW w:w="708" w:type="dxa"/>
          </w:tcPr>
          <w:p w14:paraId="40F5A478" w14:textId="77777777" w:rsidR="003A71DE" w:rsidRPr="00CE0F04" w:rsidRDefault="003A71DE" w:rsidP="001A5D47">
            <w:pPr>
              <w:pStyle w:val="TAC"/>
              <w:rPr>
                <w:lang w:eastAsia="zh-CN"/>
              </w:rPr>
            </w:pPr>
            <w:r w:rsidRPr="00CE0F04">
              <w:rPr>
                <w:lang w:eastAsia="zh-CN"/>
              </w:rPr>
              <w:t>-</w:t>
            </w:r>
          </w:p>
        </w:tc>
        <w:tc>
          <w:tcPr>
            <w:tcW w:w="1418" w:type="dxa"/>
          </w:tcPr>
          <w:p w14:paraId="2AB36AB5" w14:textId="77777777" w:rsidR="003A71DE" w:rsidRPr="00CE0F04" w:rsidRDefault="003A71DE" w:rsidP="001A5D47">
            <w:pPr>
              <w:pStyle w:val="TAC"/>
              <w:rPr>
                <w:lang w:eastAsia="zh-CN"/>
              </w:rPr>
            </w:pPr>
            <w:r w:rsidRPr="00CE0F04">
              <w:rPr>
                <w:lang w:eastAsia="zh-CN"/>
              </w:rPr>
              <w:t>1</w:t>
            </w:r>
          </w:p>
        </w:tc>
        <w:tc>
          <w:tcPr>
            <w:tcW w:w="1475" w:type="dxa"/>
          </w:tcPr>
          <w:p w14:paraId="401176CC" w14:textId="77777777" w:rsidR="003A71DE" w:rsidRPr="00CE0F04" w:rsidRDefault="003A71DE" w:rsidP="001A5D47">
            <w:pPr>
              <w:pStyle w:val="TAC"/>
              <w:rPr>
                <w:lang w:eastAsia="zh-CN"/>
              </w:rPr>
            </w:pPr>
            <w:r w:rsidRPr="00CE0F04">
              <w:rPr>
                <w:lang w:eastAsia="zh-CN"/>
              </w:rPr>
              <w:t>Not Sent</w:t>
            </w:r>
          </w:p>
        </w:tc>
        <w:tc>
          <w:tcPr>
            <w:tcW w:w="3203" w:type="dxa"/>
          </w:tcPr>
          <w:p w14:paraId="7907502A" w14:textId="77777777" w:rsidR="003A71DE" w:rsidRPr="00CE0F04" w:rsidRDefault="003A71DE" w:rsidP="001A5D47">
            <w:pPr>
              <w:pStyle w:val="TAC"/>
            </w:pPr>
            <w:r w:rsidRPr="00CE0F04">
              <w:t>No additional delays in random access procedure.</w:t>
            </w:r>
          </w:p>
        </w:tc>
      </w:tr>
      <w:tr w:rsidR="003A71DE" w:rsidRPr="00CE0F04" w14:paraId="0A5C4E9C" w14:textId="77777777" w:rsidTr="003A71DE">
        <w:trPr>
          <w:cantSplit/>
        </w:trPr>
        <w:tc>
          <w:tcPr>
            <w:tcW w:w="2802" w:type="dxa"/>
            <w:gridSpan w:val="2"/>
          </w:tcPr>
          <w:p w14:paraId="6A4758AA" w14:textId="77777777" w:rsidR="003A71DE" w:rsidRPr="00CE0F04" w:rsidRDefault="003A71DE" w:rsidP="001A5D47">
            <w:pPr>
              <w:pStyle w:val="TAL"/>
              <w:rPr>
                <w:lang w:eastAsia="zh-CN"/>
              </w:rPr>
            </w:pPr>
            <w:r w:rsidRPr="00CE0F04">
              <w:rPr>
                <w:lang w:eastAsia="zh-CN"/>
              </w:rPr>
              <w:t>SSB configuration</w:t>
            </w:r>
          </w:p>
        </w:tc>
        <w:tc>
          <w:tcPr>
            <w:tcW w:w="708" w:type="dxa"/>
          </w:tcPr>
          <w:p w14:paraId="4E21660C" w14:textId="77777777" w:rsidR="003A71DE" w:rsidRPr="00CE0F04" w:rsidRDefault="003A71DE" w:rsidP="001A5D47">
            <w:pPr>
              <w:pStyle w:val="TAC"/>
            </w:pPr>
          </w:p>
        </w:tc>
        <w:tc>
          <w:tcPr>
            <w:tcW w:w="1418" w:type="dxa"/>
          </w:tcPr>
          <w:p w14:paraId="7254B099" w14:textId="77777777" w:rsidR="003A71DE" w:rsidRPr="00CE0F04" w:rsidRDefault="003A71DE" w:rsidP="001A5D47">
            <w:pPr>
              <w:pStyle w:val="TAC"/>
              <w:rPr>
                <w:lang w:eastAsia="zh-CN"/>
              </w:rPr>
            </w:pPr>
            <w:r w:rsidRPr="00CE0F04">
              <w:rPr>
                <w:lang w:eastAsia="zh-CN"/>
              </w:rPr>
              <w:t>1</w:t>
            </w:r>
          </w:p>
        </w:tc>
        <w:tc>
          <w:tcPr>
            <w:tcW w:w="1475" w:type="dxa"/>
          </w:tcPr>
          <w:p w14:paraId="3607E068" w14:textId="77777777" w:rsidR="003A71DE" w:rsidRPr="00CE0F04" w:rsidRDefault="003A71DE" w:rsidP="001A5D47">
            <w:pPr>
              <w:pStyle w:val="TAC"/>
            </w:pPr>
            <w:r w:rsidRPr="00CE0F04">
              <w:rPr>
                <w:bCs/>
                <w:lang w:eastAsia="zh-CN"/>
              </w:rPr>
              <w:t>SSB.1 FR2</w:t>
            </w:r>
          </w:p>
        </w:tc>
        <w:tc>
          <w:tcPr>
            <w:tcW w:w="3203" w:type="dxa"/>
          </w:tcPr>
          <w:p w14:paraId="6738D550" w14:textId="77777777" w:rsidR="003A71DE" w:rsidRPr="00CE0F04" w:rsidRDefault="003A71DE" w:rsidP="001A5D47">
            <w:pPr>
              <w:pStyle w:val="TAC"/>
            </w:pPr>
          </w:p>
        </w:tc>
      </w:tr>
      <w:tr w:rsidR="003A71DE" w:rsidRPr="00CE0F04" w14:paraId="68D29C9A" w14:textId="77777777" w:rsidTr="003A71DE">
        <w:trPr>
          <w:cantSplit/>
        </w:trPr>
        <w:tc>
          <w:tcPr>
            <w:tcW w:w="2802" w:type="dxa"/>
            <w:gridSpan w:val="2"/>
          </w:tcPr>
          <w:p w14:paraId="12406368" w14:textId="77777777" w:rsidR="003A71DE" w:rsidRPr="00CE0F04" w:rsidRDefault="003A71DE" w:rsidP="001A5D47">
            <w:pPr>
              <w:pStyle w:val="TAL"/>
              <w:rPr>
                <w:lang w:eastAsia="zh-CN"/>
              </w:rPr>
            </w:pPr>
            <w:r w:rsidRPr="00CE0F04">
              <w:rPr>
                <w:lang w:eastAsia="zh-CN"/>
              </w:rPr>
              <w:t>SMTC configuration</w:t>
            </w:r>
          </w:p>
        </w:tc>
        <w:tc>
          <w:tcPr>
            <w:tcW w:w="708" w:type="dxa"/>
          </w:tcPr>
          <w:p w14:paraId="4B32511E" w14:textId="77777777" w:rsidR="003A71DE" w:rsidRPr="00CE0F04" w:rsidRDefault="003A71DE" w:rsidP="001A5D47">
            <w:pPr>
              <w:pStyle w:val="TAC"/>
              <w:rPr>
                <w:lang w:eastAsia="zh-CN"/>
              </w:rPr>
            </w:pPr>
          </w:p>
        </w:tc>
        <w:tc>
          <w:tcPr>
            <w:tcW w:w="1418" w:type="dxa"/>
          </w:tcPr>
          <w:p w14:paraId="645EB88C" w14:textId="77777777" w:rsidR="003A71DE" w:rsidRPr="00CE0F04" w:rsidRDefault="003A71DE" w:rsidP="001A5D47">
            <w:pPr>
              <w:pStyle w:val="TAC"/>
              <w:rPr>
                <w:bCs/>
                <w:lang w:eastAsia="zh-CN"/>
              </w:rPr>
            </w:pPr>
            <w:r w:rsidRPr="00CE0F04">
              <w:rPr>
                <w:bCs/>
                <w:lang w:eastAsia="zh-CN"/>
              </w:rPr>
              <w:t>1</w:t>
            </w:r>
          </w:p>
        </w:tc>
        <w:tc>
          <w:tcPr>
            <w:tcW w:w="1475" w:type="dxa"/>
          </w:tcPr>
          <w:p w14:paraId="20DACC18" w14:textId="77777777" w:rsidR="003A71DE" w:rsidRPr="00CE0F04" w:rsidRDefault="003A71DE" w:rsidP="001A5D47">
            <w:pPr>
              <w:pStyle w:val="TAC"/>
              <w:rPr>
                <w:bCs/>
                <w:lang w:eastAsia="zh-CN"/>
              </w:rPr>
            </w:pPr>
            <w:r w:rsidRPr="00CE0F04">
              <w:rPr>
                <w:bCs/>
                <w:lang w:eastAsia="zh-CN"/>
              </w:rPr>
              <w:t>SMTC pattern 1</w:t>
            </w:r>
          </w:p>
        </w:tc>
        <w:tc>
          <w:tcPr>
            <w:tcW w:w="3203" w:type="dxa"/>
          </w:tcPr>
          <w:p w14:paraId="04D48A84" w14:textId="77777777" w:rsidR="003A71DE" w:rsidRPr="00CE0F04" w:rsidRDefault="003A71DE" w:rsidP="001A5D47">
            <w:pPr>
              <w:pStyle w:val="TAC"/>
              <w:rPr>
                <w:bCs/>
                <w:lang w:eastAsia="zh-CN"/>
              </w:rPr>
            </w:pPr>
          </w:p>
        </w:tc>
      </w:tr>
      <w:tr w:rsidR="003A71DE" w:rsidRPr="00CE0F04" w14:paraId="256E9096" w14:textId="77777777" w:rsidTr="003A71DE">
        <w:trPr>
          <w:cantSplit/>
        </w:trPr>
        <w:tc>
          <w:tcPr>
            <w:tcW w:w="2802" w:type="dxa"/>
            <w:gridSpan w:val="2"/>
          </w:tcPr>
          <w:p w14:paraId="72CEB80D" w14:textId="77777777" w:rsidR="003A71DE" w:rsidRPr="00CE0F04" w:rsidRDefault="003A71DE" w:rsidP="001A5D47">
            <w:pPr>
              <w:pStyle w:val="TAL"/>
            </w:pPr>
            <w:r w:rsidRPr="00CE0F04">
              <w:t>DRX cycle length</w:t>
            </w:r>
          </w:p>
        </w:tc>
        <w:tc>
          <w:tcPr>
            <w:tcW w:w="708" w:type="dxa"/>
          </w:tcPr>
          <w:p w14:paraId="7F77D171" w14:textId="77777777" w:rsidR="003A71DE" w:rsidRPr="00CE0F04" w:rsidRDefault="003A71DE" w:rsidP="001A5D47">
            <w:pPr>
              <w:pStyle w:val="TAC"/>
            </w:pPr>
            <w:r w:rsidRPr="00CE0F04">
              <w:t>s</w:t>
            </w:r>
          </w:p>
        </w:tc>
        <w:tc>
          <w:tcPr>
            <w:tcW w:w="1418" w:type="dxa"/>
          </w:tcPr>
          <w:p w14:paraId="32AACCAB" w14:textId="77777777" w:rsidR="003A71DE" w:rsidRPr="00CE0F04" w:rsidRDefault="003A71DE" w:rsidP="001A5D47">
            <w:pPr>
              <w:pStyle w:val="TAC"/>
            </w:pPr>
            <w:r w:rsidRPr="00CE0F04">
              <w:rPr>
                <w:lang w:eastAsia="zh-CN"/>
              </w:rPr>
              <w:t>1</w:t>
            </w:r>
          </w:p>
        </w:tc>
        <w:tc>
          <w:tcPr>
            <w:tcW w:w="1475" w:type="dxa"/>
          </w:tcPr>
          <w:p w14:paraId="5D7A9642" w14:textId="77777777" w:rsidR="003A71DE" w:rsidRPr="00CE0F04" w:rsidRDefault="003A71DE" w:rsidP="001A5D47">
            <w:pPr>
              <w:pStyle w:val="TAC"/>
            </w:pPr>
            <w:r w:rsidRPr="00CE0F04">
              <w:t>OFF</w:t>
            </w:r>
          </w:p>
        </w:tc>
        <w:tc>
          <w:tcPr>
            <w:tcW w:w="3203" w:type="dxa"/>
          </w:tcPr>
          <w:p w14:paraId="42E34F86" w14:textId="77777777" w:rsidR="003A71DE" w:rsidRPr="00CE0F04" w:rsidRDefault="003A71DE" w:rsidP="001A5D47">
            <w:pPr>
              <w:pStyle w:val="TAC"/>
            </w:pPr>
          </w:p>
        </w:tc>
      </w:tr>
      <w:tr w:rsidR="003A71DE" w:rsidRPr="00CE0F04" w14:paraId="74A71B32" w14:textId="77777777" w:rsidTr="003A71DE">
        <w:trPr>
          <w:cantSplit/>
        </w:trPr>
        <w:tc>
          <w:tcPr>
            <w:tcW w:w="2802" w:type="dxa"/>
            <w:gridSpan w:val="2"/>
          </w:tcPr>
          <w:p w14:paraId="1DAD9A38" w14:textId="77777777" w:rsidR="003A71DE" w:rsidRPr="00CE0F04" w:rsidRDefault="003A71DE" w:rsidP="001A5D47">
            <w:pPr>
              <w:pStyle w:val="TAL"/>
              <w:rPr>
                <w:lang w:eastAsia="zh-CN"/>
              </w:rPr>
            </w:pPr>
            <w:r w:rsidRPr="00CE0F04">
              <w:rPr>
                <w:lang w:eastAsia="zh-CN"/>
              </w:rPr>
              <w:t>PRACH configuration</w:t>
            </w:r>
          </w:p>
        </w:tc>
        <w:tc>
          <w:tcPr>
            <w:tcW w:w="708" w:type="dxa"/>
          </w:tcPr>
          <w:p w14:paraId="28021403" w14:textId="77777777" w:rsidR="003A71DE" w:rsidRPr="00CE0F04" w:rsidRDefault="003A71DE" w:rsidP="001A5D47">
            <w:pPr>
              <w:pStyle w:val="TAC"/>
            </w:pPr>
          </w:p>
        </w:tc>
        <w:tc>
          <w:tcPr>
            <w:tcW w:w="1418" w:type="dxa"/>
          </w:tcPr>
          <w:p w14:paraId="72C67D5F" w14:textId="77777777" w:rsidR="003A71DE" w:rsidRPr="00CE0F04" w:rsidRDefault="003A71DE" w:rsidP="001A5D47">
            <w:pPr>
              <w:pStyle w:val="TAC"/>
              <w:rPr>
                <w:lang w:eastAsia="zh-CN"/>
              </w:rPr>
            </w:pPr>
            <w:r w:rsidRPr="00CE0F04">
              <w:rPr>
                <w:lang w:eastAsia="zh-CN"/>
              </w:rPr>
              <w:t>1</w:t>
            </w:r>
          </w:p>
        </w:tc>
        <w:tc>
          <w:tcPr>
            <w:tcW w:w="1475" w:type="dxa"/>
          </w:tcPr>
          <w:p w14:paraId="43C48DE3" w14:textId="77777777" w:rsidR="003A71DE" w:rsidRPr="00CE0F04" w:rsidRDefault="003A71DE" w:rsidP="001A5D47">
            <w:pPr>
              <w:pStyle w:val="TAC"/>
              <w:rPr>
                <w:lang w:eastAsia="zh-CN"/>
              </w:rPr>
            </w:pPr>
            <w:r w:rsidRPr="00CE0F04">
              <w:rPr>
                <w:lang w:eastAsia="zh-CN"/>
              </w:rPr>
              <w:t>FR2 PRACH configuration 1</w:t>
            </w:r>
          </w:p>
        </w:tc>
        <w:tc>
          <w:tcPr>
            <w:tcW w:w="3203" w:type="dxa"/>
          </w:tcPr>
          <w:p w14:paraId="6684185A" w14:textId="77777777" w:rsidR="003A71DE" w:rsidRPr="00CE0F04" w:rsidRDefault="003A71DE" w:rsidP="001A5D47">
            <w:pPr>
              <w:pStyle w:val="TAC"/>
              <w:rPr>
                <w:lang w:eastAsia="zh-CN"/>
              </w:rPr>
            </w:pPr>
            <w:r w:rsidRPr="00CE0F04">
              <w:rPr>
                <w:lang w:eastAsia="zh-CN"/>
              </w:rPr>
              <w:t>Table TBD</w:t>
            </w:r>
          </w:p>
        </w:tc>
      </w:tr>
      <w:tr w:rsidR="003A71DE" w:rsidRPr="00CE0F04" w14:paraId="4C737519" w14:textId="77777777" w:rsidTr="003A71DE">
        <w:trPr>
          <w:cantSplit/>
        </w:trPr>
        <w:tc>
          <w:tcPr>
            <w:tcW w:w="2802" w:type="dxa"/>
            <w:gridSpan w:val="2"/>
          </w:tcPr>
          <w:p w14:paraId="49CB3996" w14:textId="77777777" w:rsidR="003A71DE" w:rsidRPr="00CE0F04" w:rsidRDefault="003A71DE" w:rsidP="001A5D47">
            <w:pPr>
              <w:pStyle w:val="TAL"/>
            </w:pPr>
            <w:r w:rsidRPr="00CE0F04">
              <w:rPr>
                <w:lang w:eastAsia="zh-CN"/>
              </w:rPr>
              <w:t>T1</w:t>
            </w:r>
          </w:p>
        </w:tc>
        <w:tc>
          <w:tcPr>
            <w:tcW w:w="708" w:type="dxa"/>
          </w:tcPr>
          <w:p w14:paraId="146D030A" w14:textId="77777777" w:rsidR="003A71DE" w:rsidRPr="00CE0F04" w:rsidRDefault="003A71DE" w:rsidP="001A5D47">
            <w:pPr>
              <w:pStyle w:val="TAC"/>
            </w:pPr>
            <w:r w:rsidRPr="00CE0F04">
              <w:rPr>
                <w:lang w:eastAsia="zh-CN"/>
              </w:rPr>
              <w:t>s</w:t>
            </w:r>
          </w:p>
        </w:tc>
        <w:tc>
          <w:tcPr>
            <w:tcW w:w="1418" w:type="dxa"/>
          </w:tcPr>
          <w:p w14:paraId="351A5E6A" w14:textId="77777777" w:rsidR="003A71DE" w:rsidRPr="00CE0F04" w:rsidRDefault="003A71DE" w:rsidP="001A5D47">
            <w:pPr>
              <w:pStyle w:val="TAC"/>
              <w:rPr>
                <w:lang w:eastAsia="zh-CN"/>
              </w:rPr>
            </w:pPr>
            <w:r w:rsidRPr="00CE0F04">
              <w:rPr>
                <w:lang w:eastAsia="zh-CN"/>
              </w:rPr>
              <w:t>1</w:t>
            </w:r>
          </w:p>
        </w:tc>
        <w:tc>
          <w:tcPr>
            <w:tcW w:w="1475" w:type="dxa"/>
          </w:tcPr>
          <w:p w14:paraId="4FA4E2CC" w14:textId="77777777" w:rsidR="003A71DE" w:rsidRPr="00CE0F04" w:rsidRDefault="003A71DE" w:rsidP="001A5D47">
            <w:pPr>
              <w:pStyle w:val="TAC"/>
            </w:pPr>
            <w:r w:rsidRPr="00CE0F04">
              <w:rPr>
                <w:lang w:eastAsia="zh-CN"/>
              </w:rPr>
              <w:t>10</w:t>
            </w:r>
          </w:p>
        </w:tc>
        <w:tc>
          <w:tcPr>
            <w:tcW w:w="3203" w:type="dxa"/>
          </w:tcPr>
          <w:p w14:paraId="039D813B" w14:textId="77777777" w:rsidR="003A71DE" w:rsidRPr="00CE0F04" w:rsidRDefault="003A71DE" w:rsidP="001A5D47">
            <w:pPr>
              <w:pStyle w:val="TAC"/>
            </w:pPr>
          </w:p>
        </w:tc>
      </w:tr>
      <w:tr w:rsidR="003A71DE" w:rsidRPr="00CE0F04" w14:paraId="2DD6992F" w14:textId="77777777" w:rsidTr="003A71DE">
        <w:trPr>
          <w:cantSplit/>
        </w:trPr>
        <w:tc>
          <w:tcPr>
            <w:tcW w:w="2802" w:type="dxa"/>
            <w:gridSpan w:val="2"/>
          </w:tcPr>
          <w:p w14:paraId="0460108F" w14:textId="77777777" w:rsidR="003A71DE" w:rsidRPr="00CE0F04" w:rsidRDefault="003A71DE" w:rsidP="001A5D47">
            <w:pPr>
              <w:pStyle w:val="TAL"/>
            </w:pPr>
            <w:r w:rsidRPr="00CE0F04">
              <w:t>T</w:t>
            </w:r>
            <w:r w:rsidRPr="00CE0F04">
              <w:rPr>
                <w:lang w:eastAsia="zh-CN"/>
              </w:rPr>
              <w:t>2</w:t>
            </w:r>
          </w:p>
        </w:tc>
        <w:tc>
          <w:tcPr>
            <w:tcW w:w="708" w:type="dxa"/>
          </w:tcPr>
          <w:p w14:paraId="7467F492" w14:textId="77777777" w:rsidR="003A71DE" w:rsidRPr="00CE0F04" w:rsidRDefault="003A71DE" w:rsidP="001A5D47">
            <w:pPr>
              <w:pStyle w:val="TAC"/>
            </w:pPr>
            <w:r w:rsidRPr="00CE0F04">
              <w:t>s</w:t>
            </w:r>
          </w:p>
        </w:tc>
        <w:tc>
          <w:tcPr>
            <w:tcW w:w="1418" w:type="dxa"/>
          </w:tcPr>
          <w:p w14:paraId="531E6ED6" w14:textId="77777777" w:rsidR="003A71DE" w:rsidRPr="00CE0F04" w:rsidRDefault="003A71DE" w:rsidP="001A5D47">
            <w:pPr>
              <w:pStyle w:val="TAC"/>
              <w:rPr>
                <w:lang w:eastAsia="zh-CN"/>
              </w:rPr>
            </w:pPr>
            <w:r w:rsidRPr="00CE0F04">
              <w:rPr>
                <w:lang w:eastAsia="zh-CN"/>
              </w:rPr>
              <w:t>1</w:t>
            </w:r>
          </w:p>
        </w:tc>
        <w:tc>
          <w:tcPr>
            <w:tcW w:w="1475" w:type="dxa"/>
          </w:tcPr>
          <w:p w14:paraId="518EF3DD" w14:textId="77777777" w:rsidR="003A71DE" w:rsidRPr="00CE0F04" w:rsidRDefault="003A71DE" w:rsidP="001A5D47">
            <w:pPr>
              <w:pStyle w:val="TAC"/>
            </w:pPr>
            <w:r w:rsidRPr="00CE0F04">
              <w:rPr>
                <w:lang w:eastAsia="zh-CN"/>
              </w:rPr>
              <w:t>10800</w:t>
            </w:r>
          </w:p>
        </w:tc>
        <w:tc>
          <w:tcPr>
            <w:tcW w:w="3203" w:type="dxa"/>
          </w:tcPr>
          <w:p w14:paraId="742E433E" w14:textId="77777777" w:rsidR="003A71DE" w:rsidRPr="00CE0F04" w:rsidRDefault="003A71DE" w:rsidP="001A5D47">
            <w:pPr>
              <w:pStyle w:val="TAC"/>
              <w:rPr>
                <w:lang w:eastAsia="zh-CN"/>
              </w:rPr>
            </w:pPr>
            <w:r w:rsidRPr="00CE0F04">
              <w:rPr>
                <w:lang w:eastAsia="zh-CN"/>
              </w:rPr>
              <w:t>Time for the IAB-MT to detect RLF</w:t>
            </w:r>
          </w:p>
        </w:tc>
      </w:tr>
      <w:tr w:rsidR="003A71DE" w:rsidRPr="00CE0F04" w14:paraId="2E410EC0" w14:textId="77777777" w:rsidTr="003A71DE">
        <w:trPr>
          <w:cantSplit/>
        </w:trPr>
        <w:tc>
          <w:tcPr>
            <w:tcW w:w="2802" w:type="dxa"/>
            <w:gridSpan w:val="2"/>
          </w:tcPr>
          <w:p w14:paraId="1CBF7D10" w14:textId="77777777" w:rsidR="003A71DE" w:rsidRPr="00CE0F04" w:rsidRDefault="003A71DE" w:rsidP="001A5D47">
            <w:pPr>
              <w:pStyle w:val="TAL"/>
            </w:pPr>
            <w:r w:rsidRPr="00CE0F04">
              <w:t>T</w:t>
            </w:r>
            <w:r w:rsidRPr="00CE0F04">
              <w:rPr>
                <w:lang w:eastAsia="zh-CN"/>
              </w:rPr>
              <w:t>3</w:t>
            </w:r>
          </w:p>
        </w:tc>
        <w:tc>
          <w:tcPr>
            <w:tcW w:w="708" w:type="dxa"/>
          </w:tcPr>
          <w:p w14:paraId="792D923F" w14:textId="77777777" w:rsidR="003A71DE" w:rsidRPr="00CE0F04" w:rsidRDefault="003A71DE" w:rsidP="001A5D47">
            <w:pPr>
              <w:pStyle w:val="TAC"/>
            </w:pPr>
            <w:r w:rsidRPr="00CE0F04">
              <w:t>s</w:t>
            </w:r>
          </w:p>
        </w:tc>
        <w:tc>
          <w:tcPr>
            <w:tcW w:w="1418" w:type="dxa"/>
          </w:tcPr>
          <w:p w14:paraId="64506702" w14:textId="77777777" w:rsidR="003A71DE" w:rsidRPr="00CE0F04" w:rsidRDefault="003A71DE" w:rsidP="001A5D47">
            <w:pPr>
              <w:pStyle w:val="TAC"/>
            </w:pPr>
            <w:r w:rsidRPr="00CE0F04">
              <w:rPr>
                <w:lang w:eastAsia="zh-CN"/>
              </w:rPr>
              <w:t>1</w:t>
            </w:r>
          </w:p>
        </w:tc>
        <w:tc>
          <w:tcPr>
            <w:tcW w:w="1475" w:type="dxa"/>
          </w:tcPr>
          <w:p w14:paraId="7B8C95C2" w14:textId="77777777" w:rsidR="003A71DE" w:rsidRPr="00CE0F04" w:rsidRDefault="003A71DE" w:rsidP="001A5D47">
            <w:pPr>
              <w:pStyle w:val="TAC"/>
            </w:pPr>
            <w:r w:rsidRPr="00CE0F04">
              <w:t>30</w:t>
            </w:r>
          </w:p>
        </w:tc>
        <w:tc>
          <w:tcPr>
            <w:tcW w:w="3203" w:type="dxa"/>
          </w:tcPr>
          <w:p w14:paraId="5B5A321B" w14:textId="77777777" w:rsidR="003A71DE" w:rsidRPr="00CE0F04" w:rsidRDefault="003A71DE" w:rsidP="001A5D47">
            <w:pPr>
              <w:pStyle w:val="TAC"/>
            </w:pPr>
          </w:p>
        </w:tc>
      </w:tr>
    </w:tbl>
    <w:p w14:paraId="10DFA688" w14:textId="77777777" w:rsidR="003A71DE" w:rsidRPr="00CE0F04" w:rsidRDefault="003A71DE" w:rsidP="003A71DE"/>
    <w:p w14:paraId="6F046D85" w14:textId="77777777" w:rsidR="003A71DE" w:rsidRPr="00CE0F04" w:rsidRDefault="003A71DE" w:rsidP="003A71DE">
      <w:pPr>
        <w:keepNext/>
        <w:keepLines/>
        <w:spacing w:before="60"/>
        <w:jc w:val="center"/>
        <w:rPr>
          <w:rFonts w:ascii="Arial" w:hAnsi="Arial"/>
          <w:b/>
        </w:rPr>
      </w:pPr>
      <w:r w:rsidRPr="00CE0F04">
        <w:rPr>
          <w:rFonts w:ascii="Arial" w:hAnsi="Arial" w:cs="v4.2.0"/>
          <w:b/>
        </w:rPr>
        <w:lastRenderedPageBreak/>
        <w:t>Table G.2.1.1.1.4.1-3: Cell specific test parameters for NR intra-frequency RRC Re-establishment test case in FR2</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1588"/>
        <w:gridCol w:w="1418"/>
        <w:gridCol w:w="1198"/>
        <w:gridCol w:w="851"/>
        <w:gridCol w:w="899"/>
        <w:gridCol w:w="802"/>
        <w:gridCol w:w="850"/>
        <w:gridCol w:w="767"/>
      </w:tblGrid>
      <w:tr w:rsidR="003A71DE" w:rsidRPr="004722E6" w14:paraId="5084E640" w14:textId="77777777" w:rsidTr="003A71DE">
        <w:trPr>
          <w:cantSplit/>
          <w:jc w:val="center"/>
        </w:trPr>
        <w:tc>
          <w:tcPr>
            <w:tcW w:w="1951" w:type="dxa"/>
            <w:tcBorders>
              <w:top w:val="single" w:sz="4" w:space="0" w:color="auto"/>
              <w:left w:val="single" w:sz="4" w:space="0" w:color="auto"/>
              <w:bottom w:val="nil"/>
              <w:right w:val="single" w:sz="4" w:space="0" w:color="auto"/>
            </w:tcBorders>
            <w:hideMark/>
          </w:tcPr>
          <w:p w14:paraId="17EA7769" w14:textId="77777777" w:rsidR="003A71DE" w:rsidRPr="004722E6" w:rsidRDefault="003A71DE" w:rsidP="001A5D47">
            <w:pPr>
              <w:pStyle w:val="TAH"/>
              <w:rPr>
                <w:rFonts w:eastAsia="SimSun"/>
              </w:rPr>
            </w:pPr>
            <w:r w:rsidRPr="004722E6">
              <w:rPr>
                <w:rFonts w:eastAsia="SimSun"/>
              </w:rPr>
              <w:t>Parameter</w:t>
            </w:r>
          </w:p>
        </w:tc>
        <w:tc>
          <w:tcPr>
            <w:tcW w:w="1588" w:type="dxa"/>
            <w:tcBorders>
              <w:top w:val="single" w:sz="4" w:space="0" w:color="auto"/>
              <w:left w:val="single" w:sz="4" w:space="0" w:color="auto"/>
              <w:bottom w:val="nil"/>
              <w:right w:val="single" w:sz="4" w:space="0" w:color="auto"/>
            </w:tcBorders>
            <w:hideMark/>
          </w:tcPr>
          <w:p w14:paraId="18F3C6CC" w14:textId="77777777" w:rsidR="003A71DE" w:rsidRPr="004722E6" w:rsidRDefault="003A71DE" w:rsidP="001A5D47">
            <w:pPr>
              <w:pStyle w:val="TAH"/>
              <w:rPr>
                <w:rFonts w:eastAsia="SimSun"/>
              </w:rPr>
            </w:pPr>
            <w:r w:rsidRPr="004722E6">
              <w:rPr>
                <w:rFonts w:eastAsia="SimSun"/>
              </w:rPr>
              <w:t>Unit</w:t>
            </w:r>
          </w:p>
        </w:tc>
        <w:tc>
          <w:tcPr>
            <w:tcW w:w="1418" w:type="dxa"/>
            <w:tcBorders>
              <w:top w:val="single" w:sz="4" w:space="0" w:color="auto"/>
              <w:left w:val="single" w:sz="4" w:space="0" w:color="auto"/>
              <w:bottom w:val="nil"/>
              <w:right w:val="single" w:sz="4" w:space="0" w:color="auto"/>
            </w:tcBorders>
            <w:hideMark/>
          </w:tcPr>
          <w:p w14:paraId="5B1E36CE" w14:textId="77777777" w:rsidR="003A71DE" w:rsidRPr="004722E6" w:rsidRDefault="003A71DE" w:rsidP="001A5D47">
            <w:pPr>
              <w:pStyle w:val="TAH"/>
              <w:rPr>
                <w:rFonts w:eastAsia="SimSun"/>
                <w:lang w:eastAsia="zh-CN"/>
              </w:rPr>
            </w:pPr>
            <w:r w:rsidRPr="004722E6">
              <w:rPr>
                <w:rFonts w:eastAsia="SimSun"/>
                <w:lang w:eastAsia="zh-CN"/>
              </w:rPr>
              <w:t>Test configuration</w:t>
            </w:r>
          </w:p>
        </w:tc>
        <w:tc>
          <w:tcPr>
            <w:tcW w:w="2948" w:type="dxa"/>
            <w:gridSpan w:val="3"/>
            <w:tcBorders>
              <w:top w:val="single" w:sz="4" w:space="0" w:color="auto"/>
              <w:left w:val="single" w:sz="4" w:space="0" w:color="auto"/>
              <w:bottom w:val="single" w:sz="4" w:space="0" w:color="auto"/>
              <w:right w:val="single" w:sz="4" w:space="0" w:color="auto"/>
            </w:tcBorders>
            <w:hideMark/>
          </w:tcPr>
          <w:p w14:paraId="31296D9B" w14:textId="77777777" w:rsidR="003A71DE" w:rsidRPr="004722E6" w:rsidRDefault="003A71DE" w:rsidP="001A5D47">
            <w:pPr>
              <w:pStyle w:val="TAH"/>
              <w:rPr>
                <w:rFonts w:eastAsia="SimSun"/>
              </w:rPr>
            </w:pPr>
            <w:r w:rsidRPr="004722E6">
              <w:rPr>
                <w:rFonts w:eastAsia="SimSun"/>
              </w:rPr>
              <w:t>Cell 1</w:t>
            </w:r>
          </w:p>
        </w:tc>
        <w:tc>
          <w:tcPr>
            <w:tcW w:w="2419" w:type="dxa"/>
            <w:gridSpan w:val="3"/>
            <w:tcBorders>
              <w:top w:val="single" w:sz="4" w:space="0" w:color="auto"/>
              <w:left w:val="single" w:sz="4" w:space="0" w:color="auto"/>
              <w:bottom w:val="single" w:sz="4" w:space="0" w:color="auto"/>
              <w:right w:val="single" w:sz="4" w:space="0" w:color="auto"/>
            </w:tcBorders>
            <w:hideMark/>
          </w:tcPr>
          <w:p w14:paraId="1D5E94F3" w14:textId="77777777" w:rsidR="003A71DE" w:rsidRPr="004722E6" w:rsidRDefault="003A71DE" w:rsidP="001A5D47">
            <w:pPr>
              <w:pStyle w:val="TAH"/>
              <w:rPr>
                <w:rFonts w:eastAsia="SimSun"/>
              </w:rPr>
            </w:pPr>
            <w:r w:rsidRPr="004722E6">
              <w:rPr>
                <w:rFonts w:eastAsia="SimSun"/>
              </w:rPr>
              <w:t>Cell 2</w:t>
            </w:r>
          </w:p>
        </w:tc>
      </w:tr>
      <w:tr w:rsidR="003A71DE" w:rsidRPr="004722E6" w14:paraId="370EF25E" w14:textId="77777777" w:rsidTr="003A71DE">
        <w:trPr>
          <w:cantSplit/>
          <w:jc w:val="center"/>
        </w:trPr>
        <w:tc>
          <w:tcPr>
            <w:tcW w:w="1951" w:type="dxa"/>
            <w:tcBorders>
              <w:top w:val="nil"/>
              <w:left w:val="single" w:sz="4" w:space="0" w:color="auto"/>
              <w:bottom w:val="single" w:sz="4" w:space="0" w:color="auto"/>
              <w:right w:val="single" w:sz="4" w:space="0" w:color="auto"/>
            </w:tcBorders>
          </w:tcPr>
          <w:p w14:paraId="1581F307" w14:textId="77777777" w:rsidR="003A71DE" w:rsidRPr="004722E6" w:rsidRDefault="003A71DE" w:rsidP="001A5D47">
            <w:pPr>
              <w:pStyle w:val="TAH"/>
              <w:rPr>
                <w:rFonts w:eastAsia="SimSun"/>
              </w:rPr>
            </w:pPr>
          </w:p>
        </w:tc>
        <w:tc>
          <w:tcPr>
            <w:tcW w:w="1588" w:type="dxa"/>
            <w:tcBorders>
              <w:top w:val="nil"/>
              <w:left w:val="single" w:sz="4" w:space="0" w:color="auto"/>
              <w:bottom w:val="single" w:sz="4" w:space="0" w:color="auto"/>
              <w:right w:val="single" w:sz="4" w:space="0" w:color="auto"/>
            </w:tcBorders>
          </w:tcPr>
          <w:p w14:paraId="35551BDA" w14:textId="77777777" w:rsidR="003A71DE" w:rsidRPr="004722E6" w:rsidRDefault="003A71DE" w:rsidP="001A5D47">
            <w:pPr>
              <w:pStyle w:val="TAH"/>
              <w:rPr>
                <w:rFonts w:eastAsia="SimSun"/>
              </w:rPr>
            </w:pPr>
          </w:p>
        </w:tc>
        <w:tc>
          <w:tcPr>
            <w:tcW w:w="1418" w:type="dxa"/>
            <w:tcBorders>
              <w:top w:val="nil"/>
              <w:left w:val="single" w:sz="4" w:space="0" w:color="auto"/>
              <w:bottom w:val="single" w:sz="4" w:space="0" w:color="auto"/>
              <w:right w:val="single" w:sz="4" w:space="0" w:color="auto"/>
            </w:tcBorders>
          </w:tcPr>
          <w:p w14:paraId="1D1A388A" w14:textId="77777777" w:rsidR="003A71DE" w:rsidRPr="004722E6" w:rsidRDefault="003A71DE" w:rsidP="001A5D47">
            <w:pPr>
              <w:pStyle w:val="TAH"/>
              <w:rPr>
                <w:rFonts w:eastAsia="SimSun"/>
              </w:rPr>
            </w:pPr>
          </w:p>
        </w:tc>
        <w:tc>
          <w:tcPr>
            <w:tcW w:w="1198" w:type="dxa"/>
            <w:tcBorders>
              <w:top w:val="single" w:sz="4" w:space="0" w:color="auto"/>
              <w:left w:val="single" w:sz="4" w:space="0" w:color="auto"/>
              <w:bottom w:val="single" w:sz="4" w:space="0" w:color="auto"/>
              <w:right w:val="single" w:sz="4" w:space="0" w:color="auto"/>
            </w:tcBorders>
            <w:hideMark/>
          </w:tcPr>
          <w:p w14:paraId="11F7BE68" w14:textId="77777777" w:rsidR="003A71DE" w:rsidRPr="004722E6" w:rsidRDefault="003A71DE" w:rsidP="001A5D47">
            <w:pPr>
              <w:pStyle w:val="TAH"/>
              <w:rPr>
                <w:rFonts w:eastAsia="SimSun"/>
              </w:rPr>
            </w:pPr>
            <w:r w:rsidRPr="004722E6">
              <w:rPr>
                <w:rFonts w:eastAsia="SimSun"/>
              </w:rPr>
              <w:t>T1</w:t>
            </w:r>
          </w:p>
        </w:tc>
        <w:tc>
          <w:tcPr>
            <w:tcW w:w="851" w:type="dxa"/>
            <w:tcBorders>
              <w:top w:val="single" w:sz="4" w:space="0" w:color="auto"/>
              <w:left w:val="single" w:sz="4" w:space="0" w:color="auto"/>
              <w:bottom w:val="single" w:sz="4" w:space="0" w:color="auto"/>
              <w:right w:val="single" w:sz="4" w:space="0" w:color="auto"/>
            </w:tcBorders>
            <w:hideMark/>
          </w:tcPr>
          <w:p w14:paraId="68505F11" w14:textId="77777777" w:rsidR="003A71DE" w:rsidRPr="004722E6" w:rsidRDefault="003A71DE" w:rsidP="001A5D47">
            <w:pPr>
              <w:pStyle w:val="TAH"/>
              <w:rPr>
                <w:rFonts w:eastAsia="SimSun"/>
              </w:rPr>
            </w:pPr>
            <w:r w:rsidRPr="004722E6">
              <w:rPr>
                <w:rFonts w:eastAsia="SimSun"/>
              </w:rPr>
              <w:t>T2</w:t>
            </w:r>
          </w:p>
        </w:tc>
        <w:tc>
          <w:tcPr>
            <w:tcW w:w="899" w:type="dxa"/>
            <w:tcBorders>
              <w:top w:val="single" w:sz="4" w:space="0" w:color="auto"/>
              <w:left w:val="single" w:sz="4" w:space="0" w:color="auto"/>
              <w:bottom w:val="single" w:sz="4" w:space="0" w:color="auto"/>
              <w:right w:val="single" w:sz="4" w:space="0" w:color="auto"/>
            </w:tcBorders>
            <w:hideMark/>
          </w:tcPr>
          <w:p w14:paraId="6E5BED5C" w14:textId="77777777" w:rsidR="003A71DE" w:rsidRPr="004722E6" w:rsidRDefault="003A71DE" w:rsidP="001A5D47">
            <w:pPr>
              <w:pStyle w:val="TAH"/>
              <w:rPr>
                <w:rFonts w:eastAsia="SimSun"/>
              </w:rPr>
            </w:pPr>
            <w:r w:rsidRPr="004722E6">
              <w:rPr>
                <w:rFonts w:eastAsia="SimSun"/>
              </w:rPr>
              <w:t>T3</w:t>
            </w:r>
          </w:p>
        </w:tc>
        <w:tc>
          <w:tcPr>
            <w:tcW w:w="802" w:type="dxa"/>
            <w:tcBorders>
              <w:top w:val="single" w:sz="4" w:space="0" w:color="auto"/>
              <w:left w:val="single" w:sz="4" w:space="0" w:color="auto"/>
              <w:bottom w:val="single" w:sz="4" w:space="0" w:color="auto"/>
              <w:right w:val="single" w:sz="4" w:space="0" w:color="auto"/>
            </w:tcBorders>
            <w:hideMark/>
          </w:tcPr>
          <w:p w14:paraId="57ADC89F" w14:textId="77777777" w:rsidR="003A71DE" w:rsidRPr="004722E6" w:rsidRDefault="003A71DE" w:rsidP="001A5D47">
            <w:pPr>
              <w:pStyle w:val="TAH"/>
              <w:rPr>
                <w:rFonts w:eastAsia="SimSun"/>
              </w:rPr>
            </w:pPr>
            <w:r w:rsidRPr="004722E6">
              <w:rPr>
                <w:rFonts w:eastAsia="SimSun"/>
              </w:rPr>
              <w:t>T1</w:t>
            </w:r>
          </w:p>
        </w:tc>
        <w:tc>
          <w:tcPr>
            <w:tcW w:w="850" w:type="dxa"/>
            <w:tcBorders>
              <w:top w:val="single" w:sz="4" w:space="0" w:color="auto"/>
              <w:left w:val="single" w:sz="4" w:space="0" w:color="auto"/>
              <w:bottom w:val="single" w:sz="4" w:space="0" w:color="auto"/>
              <w:right w:val="single" w:sz="4" w:space="0" w:color="auto"/>
            </w:tcBorders>
            <w:hideMark/>
          </w:tcPr>
          <w:p w14:paraId="40F672AC" w14:textId="77777777" w:rsidR="003A71DE" w:rsidRPr="004722E6" w:rsidRDefault="003A71DE" w:rsidP="001A5D47">
            <w:pPr>
              <w:pStyle w:val="TAH"/>
              <w:rPr>
                <w:rFonts w:eastAsia="SimSun"/>
              </w:rPr>
            </w:pPr>
            <w:r w:rsidRPr="004722E6">
              <w:rPr>
                <w:rFonts w:eastAsia="SimSun"/>
              </w:rPr>
              <w:t>T2</w:t>
            </w:r>
          </w:p>
        </w:tc>
        <w:tc>
          <w:tcPr>
            <w:tcW w:w="767" w:type="dxa"/>
            <w:tcBorders>
              <w:top w:val="single" w:sz="4" w:space="0" w:color="auto"/>
              <w:left w:val="single" w:sz="4" w:space="0" w:color="auto"/>
              <w:bottom w:val="single" w:sz="4" w:space="0" w:color="auto"/>
              <w:right w:val="single" w:sz="4" w:space="0" w:color="auto"/>
            </w:tcBorders>
            <w:hideMark/>
          </w:tcPr>
          <w:p w14:paraId="499A1470" w14:textId="77777777" w:rsidR="003A71DE" w:rsidRPr="004722E6" w:rsidRDefault="003A71DE" w:rsidP="001A5D47">
            <w:pPr>
              <w:pStyle w:val="TAH"/>
              <w:rPr>
                <w:rFonts w:eastAsia="SimSun"/>
              </w:rPr>
            </w:pPr>
            <w:r w:rsidRPr="004722E6">
              <w:rPr>
                <w:rFonts w:eastAsia="SimSun"/>
              </w:rPr>
              <w:t>T3</w:t>
            </w:r>
          </w:p>
        </w:tc>
      </w:tr>
      <w:tr w:rsidR="003A71DE" w:rsidRPr="004722E6" w14:paraId="6D51CF46" w14:textId="77777777" w:rsidTr="003A71DE">
        <w:trPr>
          <w:cantSplit/>
          <w:jc w:val="center"/>
        </w:trPr>
        <w:tc>
          <w:tcPr>
            <w:tcW w:w="1951" w:type="dxa"/>
            <w:tcBorders>
              <w:top w:val="single" w:sz="4" w:space="0" w:color="auto"/>
              <w:left w:val="single" w:sz="4" w:space="0" w:color="auto"/>
              <w:bottom w:val="nil"/>
              <w:right w:val="single" w:sz="4" w:space="0" w:color="auto"/>
            </w:tcBorders>
            <w:hideMark/>
          </w:tcPr>
          <w:p w14:paraId="5374C648" w14:textId="77777777" w:rsidR="003A71DE" w:rsidRPr="004722E6" w:rsidRDefault="003A71DE" w:rsidP="001A5D47">
            <w:pPr>
              <w:pStyle w:val="TAL"/>
              <w:rPr>
                <w:rFonts w:eastAsia="SimSun"/>
                <w:lang w:eastAsia="zh-CN"/>
              </w:rPr>
            </w:pPr>
            <w:r w:rsidRPr="004722E6">
              <w:rPr>
                <w:rFonts w:eastAsia="SimSun"/>
                <w:lang w:eastAsia="zh-CN"/>
              </w:rPr>
              <w:t>AoA setup</w:t>
            </w:r>
          </w:p>
        </w:tc>
        <w:tc>
          <w:tcPr>
            <w:tcW w:w="1588" w:type="dxa"/>
            <w:tcBorders>
              <w:top w:val="single" w:sz="4" w:space="0" w:color="auto"/>
              <w:left w:val="single" w:sz="4" w:space="0" w:color="auto"/>
              <w:bottom w:val="nil"/>
              <w:right w:val="single" w:sz="4" w:space="0" w:color="auto"/>
            </w:tcBorders>
          </w:tcPr>
          <w:p w14:paraId="41E79298"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nil"/>
              <w:right w:val="single" w:sz="4" w:space="0" w:color="auto"/>
            </w:tcBorders>
            <w:hideMark/>
          </w:tcPr>
          <w:p w14:paraId="6BEFB446" w14:textId="77777777" w:rsidR="003A71DE" w:rsidRPr="004722E6" w:rsidRDefault="003A71DE" w:rsidP="001A5D47">
            <w:pPr>
              <w:pStyle w:val="TAC"/>
              <w:rPr>
                <w:rFonts w:eastAsia="SimSun"/>
                <w:lang w:eastAsia="zh-CN"/>
              </w:rPr>
            </w:pPr>
            <w:r w:rsidRPr="004722E6">
              <w:rPr>
                <w:rFonts w:eastAsia="SimSun"/>
                <w:lang w:eastAsia="zh-CN"/>
              </w:rPr>
              <w:t>1</w:t>
            </w:r>
          </w:p>
        </w:tc>
        <w:tc>
          <w:tcPr>
            <w:tcW w:w="5367" w:type="dxa"/>
            <w:gridSpan w:val="6"/>
            <w:tcBorders>
              <w:top w:val="single" w:sz="4" w:space="0" w:color="auto"/>
              <w:left w:val="single" w:sz="4" w:space="0" w:color="auto"/>
              <w:bottom w:val="single" w:sz="4" w:space="0" w:color="auto"/>
              <w:right w:val="single" w:sz="4" w:space="0" w:color="auto"/>
            </w:tcBorders>
            <w:hideMark/>
          </w:tcPr>
          <w:p w14:paraId="65E3C036" w14:textId="77777777" w:rsidR="003A71DE" w:rsidRPr="004722E6" w:rsidRDefault="003A71DE" w:rsidP="001A5D47">
            <w:pPr>
              <w:pStyle w:val="TAC"/>
              <w:rPr>
                <w:rFonts w:eastAsia="SimSun"/>
                <w:lang w:eastAsia="zh-CN"/>
              </w:rPr>
            </w:pPr>
            <w:r w:rsidRPr="004722E6">
              <w:rPr>
                <w:rFonts w:eastAsia="SimSun"/>
                <w:lang w:eastAsia="ja-JP"/>
              </w:rPr>
              <w:t>Setup 2 as specified in clause G.1.8.2</w:t>
            </w:r>
          </w:p>
        </w:tc>
      </w:tr>
      <w:tr w:rsidR="003A71DE" w:rsidRPr="004722E6" w14:paraId="04547A6D"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7689B3B3" w14:textId="77777777" w:rsidR="003A71DE" w:rsidRPr="004722E6" w:rsidRDefault="003A71DE" w:rsidP="001A5D47">
            <w:pPr>
              <w:pStyle w:val="TAL"/>
              <w:rPr>
                <w:rFonts w:eastAsia="SimSun"/>
                <w:lang w:eastAsia="zh-CN"/>
              </w:rPr>
            </w:pPr>
            <w:r w:rsidRPr="004722E6">
              <w:rPr>
                <w:rFonts w:eastAsia="SimSun"/>
                <w:lang w:eastAsia="zh-CN"/>
              </w:rPr>
              <w:t>TDD configuration</w:t>
            </w:r>
          </w:p>
        </w:tc>
        <w:tc>
          <w:tcPr>
            <w:tcW w:w="1588" w:type="dxa"/>
            <w:tcBorders>
              <w:top w:val="single" w:sz="4" w:space="0" w:color="auto"/>
              <w:left w:val="single" w:sz="4" w:space="0" w:color="auto"/>
              <w:bottom w:val="single" w:sz="4" w:space="0" w:color="auto"/>
              <w:right w:val="single" w:sz="4" w:space="0" w:color="auto"/>
            </w:tcBorders>
          </w:tcPr>
          <w:p w14:paraId="1BBFE339"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2B7CCBAA"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6D9DF6F2" w14:textId="77777777" w:rsidR="003A71DE" w:rsidRPr="004722E6" w:rsidRDefault="003A71DE" w:rsidP="001A5D47">
            <w:pPr>
              <w:pStyle w:val="TAC"/>
              <w:rPr>
                <w:rFonts w:eastAsia="SimSun"/>
                <w:lang w:eastAsia="zh-CN"/>
              </w:rPr>
            </w:pPr>
            <w:r w:rsidRPr="004722E6">
              <w:rPr>
                <w:rFonts w:eastAsia="SimSun"/>
                <w:lang w:eastAsia="ja-JP"/>
              </w:rPr>
              <w:t>TDDConf.3.1</w:t>
            </w:r>
          </w:p>
        </w:tc>
        <w:tc>
          <w:tcPr>
            <w:tcW w:w="2419" w:type="dxa"/>
            <w:gridSpan w:val="3"/>
            <w:tcBorders>
              <w:top w:val="single" w:sz="4" w:space="0" w:color="auto"/>
              <w:left w:val="single" w:sz="4" w:space="0" w:color="auto"/>
              <w:bottom w:val="single" w:sz="4" w:space="0" w:color="auto"/>
              <w:right w:val="single" w:sz="4" w:space="0" w:color="auto"/>
            </w:tcBorders>
            <w:hideMark/>
          </w:tcPr>
          <w:p w14:paraId="601798F9" w14:textId="77777777" w:rsidR="003A71DE" w:rsidRPr="004722E6" w:rsidRDefault="003A71DE" w:rsidP="001A5D47">
            <w:pPr>
              <w:pStyle w:val="TAC"/>
              <w:rPr>
                <w:rFonts w:eastAsia="SimSun"/>
                <w:lang w:eastAsia="zh-CN"/>
              </w:rPr>
            </w:pPr>
            <w:r w:rsidRPr="004722E6">
              <w:rPr>
                <w:rFonts w:eastAsia="SimSun"/>
                <w:lang w:eastAsia="ja-JP"/>
              </w:rPr>
              <w:t>TDDConf.3.1</w:t>
            </w:r>
          </w:p>
        </w:tc>
      </w:tr>
      <w:tr w:rsidR="003A71DE" w:rsidRPr="004722E6" w14:paraId="19841368"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tcPr>
          <w:p w14:paraId="37E965A4" w14:textId="77777777" w:rsidR="003A71DE" w:rsidRPr="004722E6" w:rsidRDefault="003A71DE" w:rsidP="001A5D47">
            <w:pPr>
              <w:pStyle w:val="TAL"/>
              <w:rPr>
                <w:rFonts w:eastAsia="SimSun"/>
                <w:lang w:eastAsia="zh-CN"/>
              </w:rPr>
            </w:pPr>
          </w:p>
        </w:tc>
        <w:tc>
          <w:tcPr>
            <w:tcW w:w="1588" w:type="dxa"/>
            <w:tcBorders>
              <w:top w:val="single" w:sz="4" w:space="0" w:color="auto"/>
              <w:left w:val="single" w:sz="4" w:space="0" w:color="auto"/>
              <w:bottom w:val="single" w:sz="4" w:space="0" w:color="auto"/>
              <w:right w:val="single" w:sz="4" w:space="0" w:color="auto"/>
            </w:tcBorders>
          </w:tcPr>
          <w:p w14:paraId="0FED0758"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133F6861"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02940791" w14:textId="77777777" w:rsidR="003A71DE" w:rsidRPr="004722E6" w:rsidRDefault="003A71DE" w:rsidP="001A5D47">
            <w:pPr>
              <w:pStyle w:val="TAC"/>
              <w:rPr>
                <w:rFonts w:eastAsia="SimSun"/>
                <w:lang w:eastAsia="zh-CN"/>
              </w:rPr>
            </w:pPr>
            <w:r w:rsidRPr="004722E6">
              <w:rPr>
                <w:rFonts w:eastAsia="SimSun"/>
                <w:lang w:eastAsia="zh-CN"/>
              </w:rPr>
              <w:t>SR.3.1 TDD</w:t>
            </w:r>
          </w:p>
        </w:tc>
        <w:tc>
          <w:tcPr>
            <w:tcW w:w="2419" w:type="dxa"/>
            <w:gridSpan w:val="3"/>
            <w:tcBorders>
              <w:top w:val="single" w:sz="4" w:space="0" w:color="auto"/>
              <w:left w:val="single" w:sz="4" w:space="0" w:color="auto"/>
              <w:bottom w:val="single" w:sz="4" w:space="0" w:color="auto"/>
              <w:right w:val="single" w:sz="4" w:space="0" w:color="auto"/>
            </w:tcBorders>
            <w:hideMark/>
          </w:tcPr>
          <w:p w14:paraId="03F2ED3E" w14:textId="77777777" w:rsidR="003A71DE" w:rsidRPr="004722E6" w:rsidRDefault="003A71DE" w:rsidP="001A5D47">
            <w:pPr>
              <w:pStyle w:val="TAC"/>
              <w:rPr>
                <w:rFonts w:eastAsia="SimSun"/>
                <w:lang w:eastAsia="zh-CN"/>
              </w:rPr>
            </w:pPr>
            <w:r w:rsidRPr="004722E6">
              <w:rPr>
                <w:rFonts w:eastAsia="SimSun"/>
                <w:lang w:eastAsia="zh-CN"/>
              </w:rPr>
              <w:t>N/A</w:t>
            </w:r>
          </w:p>
        </w:tc>
      </w:tr>
      <w:tr w:rsidR="003A71DE" w:rsidRPr="004722E6" w14:paraId="2AE1470C"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7AE949DF" w14:textId="77777777" w:rsidR="003A71DE" w:rsidRPr="004722E6" w:rsidRDefault="003A71DE" w:rsidP="001A5D47">
            <w:pPr>
              <w:pStyle w:val="TAL"/>
              <w:rPr>
                <w:rFonts w:eastAsia="SimSun"/>
                <w:lang w:eastAsia="zh-CN"/>
              </w:rPr>
            </w:pPr>
            <w:r w:rsidRPr="004722E6">
              <w:rPr>
                <w:rFonts w:eastAsia="SimSun"/>
                <w:lang w:eastAsia="zh-CN"/>
              </w:rPr>
              <w:t>RMSI CORESET RMC configuration</w:t>
            </w:r>
          </w:p>
        </w:tc>
        <w:tc>
          <w:tcPr>
            <w:tcW w:w="1588" w:type="dxa"/>
            <w:tcBorders>
              <w:top w:val="single" w:sz="4" w:space="0" w:color="auto"/>
              <w:left w:val="single" w:sz="4" w:space="0" w:color="auto"/>
              <w:bottom w:val="single" w:sz="4" w:space="0" w:color="auto"/>
              <w:right w:val="single" w:sz="4" w:space="0" w:color="auto"/>
            </w:tcBorders>
          </w:tcPr>
          <w:p w14:paraId="62C3DD71"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0F13302A"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6E2B7540" w14:textId="77777777" w:rsidR="003A71DE" w:rsidRPr="004722E6" w:rsidRDefault="003A71DE" w:rsidP="001A5D47">
            <w:pPr>
              <w:pStyle w:val="TAC"/>
              <w:rPr>
                <w:rFonts w:eastAsia="SimSun"/>
                <w:lang w:eastAsia="zh-CN"/>
              </w:rPr>
            </w:pPr>
            <w:r w:rsidRPr="004722E6">
              <w:rPr>
                <w:rFonts w:eastAsia="SimSun"/>
                <w:lang w:eastAsia="zh-CN"/>
              </w:rPr>
              <w:t>CR.3.1 FDD</w:t>
            </w:r>
          </w:p>
        </w:tc>
        <w:tc>
          <w:tcPr>
            <w:tcW w:w="2419" w:type="dxa"/>
            <w:gridSpan w:val="3"/>
            <w:tcBorders>
              <w:top w:val="single" w:sz="4" w:space="0" w:color="auto"/>
              <w:left w:val="single" w:sz="4" w:space="0" w:color="auto"/>
              <w:bottom w:val="single" w:sz="4" w:space="0" w:color="auto"/>
              <w:right w:val="single" w:sz="4" w:space="0" w:color="auto"/>
            </w:tcBorders>
            <w:hideMark/>
          </w:tcPr>
          <w:p w14:paraId="143E08B8" w14:textId="77777777" w:rsidR="003A71DE" w:rsidRPr="004722E6" w:rsidRDefault="003A71DE" w:rsidP="001A5D47">
            <w:pPr>
              <w:pStyle w:val="TAC"/>
              <w:rPr>
                <w:rFonts w:eastAsia="SimSun"/>
                <w:lang w:eastAsia="zh-CN"/>
              </w:rPr>
            </w:pPr>
            <w:r w:rsidRPr="004722E6">
              <w:rPr>
                <w:rFonts w:eastAsia="SimSun"/>
                <w:lang w:eastAsia="zh-CN"/>
              </w:rPr>
              <w:t>CR.3.1 FDD</w:t>
            </w:r>
          </w:p>
        </w:tc>
      </w:tr>
      <w:tr w:rsidR="003A71DE" w:rsidRPr="004722E6" w14:paraId="62CCE139"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1F6F66C9" w14:textId="77777777" w:rsidR="003A71DE" w:rsidRPr="004722E6" w:rsidRDefault="003A71DE" w:rsidP="001A5D47">
            <w:pPr>
              <w:pStyle w:val="TAL"/>
              <w:rPr>
                <w:rFonts w:eastAsia="SimSun"/>
                <w:lang w:eastAsia="zh-CN"/>
              </w:rPr>
            </w:pPr>
            <w:r w:rsidRPr="004722E6">
              <w:rPr>
                <w:rFonts w:eastAsia="SimSun"/>
                <w:lang w:eastAsia="zh-CN"/>
              </w:rPr>
              <w:t>Dedicated CORESET RMC configuration</w:t>
            </w:r>
          </w:p>
        </w:tc>
        <w:tc>
          <w:tcPr>
            <w:tcW w:w="1588" w:type="dxa"/>
            <w:tcBorders>
              <w:top w:val="single" w:sz="4" w:space="0" w:color="auto"/>
              <w:left w:val="single" w:sz="4" w:space="0" w:color="auto"/>
              <w:bottom w:val="single" w:sz="4" w:space="0" w:color="auto"/>
              <w:right w:val="single" w:sz="4" w:space="0" w:color="auto"/>
            </w:tcBorders>
          </w:tcPr>
          <w:p w14:paraId="0FC6F52E"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5EB8961D"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6A63BD69" w14:textId="77777777" w:rsidR="003A71DE" w:rsidRPr="004722E6" w:rsidRDefault="003A71DE" w:rsidP="001A5D47">
            <w:pPr>
              <w:pStyle w:val="TAC"/>
              <w:rPr>
                <w:rFonts w:eastAsia="SimSun"/>
                <w:lang w:eastAsia="zh-CN"/>
              </w:rPr>
            </w:pPr>
            <w:r w:rsidRPr="004722E6">
              <w:rPr>
                <w:rFonts w:eastAsia="SimSun"/>
                <w:lang w:eastAsia="zh-CN"/>
              </w:rPr>
              <w:t>CCR.3.1 FDD</w:t>
            </w:r>
          </w:p>
        </w:tc>
        <w:tc>
          <w:tcPr>
            <w:tcW w:w="2419" w:type="dxa"/>
            <w:gridSpan w:val="3"/>
            <w:tcBorders>
              <w:top w:val="single" w:sz="4" w:space="0" w:color="auto"/>
              <w:left w:val="single" w:sz="4" w:space="0" w:color="auto"/>
              <w:bottom w:val="single" w:sz="4" w:space="0" w:color="auto"/>
              <w:right w:val="single" w:sz="4" w:space="0" w:color="auto"/>
            </w:tcBorders>
            <w:hideMark/>
          </w:tcPr>
          <w:p w14:paraId="0F664E0C" w14:textId="77777777" w:rsidR="003A71DE" w:rsidRPr="004722E6" w:rsidRDefault="003A71DE" w:rsidP="001A5D47">
            <w:pPr>
              <w:pStyle w:val="TAC"/>
              <w:rPr>
                <w:rFonts w:eastAsia="SimSun"/>
                <w:lang w:eastAsia="zh-CN"/>
              </w:rPr>
            </w:pPr>
            <w:r w:rsidRPr="004722E6">
              <w:rPr>
                <w:rFonts w:eastAsia="SimSun"/>
                <w:lang w:eastAsia="zh-CN"/>
              </w:rPr>
              <w:t>CCR.3.1 FDD</w:t>
            </w:r>
          </w:p>
        </w:tc>
      </w:tr>
      <w:tr w:rsidR="003A71DE" w:rsidRPr="004722E6" w14:paraId="7411E19E"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8E930C1" w14:textId="77777777" w:rsidR="003A71DE" w:rsidRPr="004722E6" w:rsidRDefault="003A71DE" w:rsidP="001A5D47">
            <w:pPr>
              <w:pStyle w:val="TAL"/>
              <w:rPr>
                <w:rFonts w:eastAsia="SimSun"/>
                <w:lang w:eastAsia="zh-CN"/>
              </w:rPr>
            </w:pPr>
            <w:r w:rsidRPr="004722E6">
              <w:rPr>
                <w:rFonts w:eastAsia="SimSun"/>
                <w:lang w:eastAsia="zh-CN"/>
              </w:rPr>
              <w:t>TRS configuration</w:t>
            </w:r>
          </w:p>
        </w:tc>
        <w:tc>
          <w:tcPr>
            <w:tcW w:w="1588" w:type="dxa"/>
            <w:tcBorders>
              <w:top w:val="single" w:sz="4" w:space="0" w:color="auto"/>
              <w:left w:val="single" w:sz="4" w:space="0" w:color="auto"/>
              <w:bottom w:val="single" w:sz="4" w:space="0" w:color="auto"/>
              <w:right w:val="single" w:sz="4" w:space="0" w:color="auto"/>
            </w:tcBorders>
          </w:tcPr>
          <w:p w14:paraId="55004F47"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07EE379B"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58D7DC7F" w14:textId="77777777" w:rsidR="003A71DE" w:rsidRPr="004722E6" w:rsidRDefault="003A71DE" w:rsidP="001A5D47">
            <w:pPr>
              <w:pStyle w:val="TAC"/>
              <w:rPr>
                <w:rFonts w:eastAsia="SimSun"/>
              </w:rPr>
            </w:pPr>
            <w:r w:rsidRPr="004722E6">
              <w:rPr>
                <w:rFonts w:eastAsia="SimSun"/>
                <w:lang w:eastAsia="zh-CN"/>
              </w:rPr>
              <w:t>TRS.2.1 TDD</w:t>
            </w:r>
          </w:p>
        </w:tc>
        <w:tc>
          <w:tcPr>
            <w:tcW w:w="2419" w:type="dxa"/>
            <w:gridSpan w:val="3"/>
            <w:tcBorders>
              <w:top w:val="single" w:sz="4" w:space="0" w:color="auto"/>
              <w:left w:val="single" w:sz="4" w:space="0" w:color="auto"/>
              <w:bottom w:val="single" w:sz="4" w:space="0" w:color="auto"/>
              <w:right w:val="single" w:sz="4" w:space="0" w:color="auto"/>
            </w:tcBorders>
            <w:hideMark/>
          </w:tcPr>
          <w:p w14:paraId="6C32CDE6" w14:textId="77777777" w:rsidR="003A71DE" w:rsidRPr="004722E6" w:rsidRDefault="003A71DE" w:rsidP="001A5D47">
            <w:pPr>
              <w:pStyle w:val="TAC"/>
              <w:rPr>
                <w:rFonts w:eastAsia="SimSun"/>
              </w:rPr>
            </w:pPr>
            <w:r w:rsidRPr="004722E6">
              <w:rPr>
                <w:rFonts w:eastAsia="SimSun"/>
                <w:lang w:eastAsia="zh-CN"/>
              </w:rPr>
              <w:t>N/A</w:t>
            </w:r>
          </w:p>
        </w:tc>
      </w:tr>
      <w:tr w:rsidR="003A71DE" w:rsidRPr="004722E6" w14:paraId="75EEF68A"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D096E58" w14:textId="77777777" w:rsidR="003A71DE" w:rsidRPr="004722E6" w:rsidRDefault="003A71DE" w:rsidP="001A5D47">
            <w:pPr>
              <w:pStyle w:val="TAL"/>
              <w:rPr>
                <w:rFonts w:eastAsia="SimSun"/>
                <w:lang w:eastAsia="zh-CN"/>
              </w:rPr>
            </w:pPr>
            <w:r w:rsidRPr="004722E6">
              <w:rPr>
                <w:rFonts w:eastAsia="SimSun"/>
                <w:lang w:eastAsia="zh-CN"/>
              </w:rPr>
              <w:t>TCI state</w:t>
            </w:r>
          </w:p>
        </w:tc>
        <w:tc>
          <w:tcPr>
            <w:tcW w:w="1588" w:type="dxa"/>
            <w:tcBorders>
              <w:top w:val="single" w:sz="4" w:space="0" w:color="auto"/>
              <w:left w:val="single" w:sz="4" w:space="0" w:color="auto"/>
              <w:bottom w:val="single" w:sz="4" w:space="0" w:color="auto"/>
              <w:right w:val="single" w:sz="4" w:space="0" w:color="auto"/>
            </w:tcBorders>
          </w:tcPr>
          <w:p w14:paraId="1DDB213A"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7A968043"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7AC39481" w14:textId="77777777" w:rsidR="003A71DE" w:rsidRPr="004722E6" w:rsidRDefault="003A71DE" w:rsidP="001A5D47">
            <w:pPr>
              <w:pStyle w:val="TAC"/>
              <w:rPr>
                <w:rFonts w:eastAsia="SimSun"/>
              </w:rPr>
            </w:pPr>
            <w:r w:rsidRPr="004722E6">
              <w:rPr>
                <w:rFonts w:eastAsia="SimSun"/>
                <w:lang w:eastAsia="zh-CN"/>
              </w:rPr>
              <w:t>CSI-RS.Config.0</w:t>
            </w:r>
          </w:p>
        </w:tc>
        <w:tc>
          <w:tcPr>
            <w:tcW w:w="2419" w:type="dxa"/>
            <w:gridSpan w:val="3"/>
            <w:tcBorders>
              <w:top w:val="single" w:sz="4" w:space="0" w:color="auto"/>
              <w:left w:val="single" w:sz="4" w:space="0" w:color="auto"/>
              <w:bottom w:val="single" w:sz="4" w:space="0" w:color="auto"/>
              <w:right w:val="single" w:sz="4" w:space="0" w:color="auto"/>
            </w:tcBorders>
            <w:hideMark/>
          </w:tcPr>
          <w:p w14:paraId="3C2516F8" w14:textId="77777777" w:rsidR="003A71DE" w:rsidRPr="004722E6" w:rsidRDefault="003A71DE" w:rsidP="001A5D47">
            <w:pPr>
              <w:pStyle w:val="TAC"/>
              <w:rPr>
                <w:rFonts w:eastAsia="SimSun"/>
              </w:rPr>
            </w:pPr>
            <w:r w:rsidRPr="004722E6">
              <w:rPr>
                <w:rFonts w:eastAsia="SimSun"/>
                <w:lang w:eastAsia="zh-CN"/>
              </w:rPr>
              <w:t>N/A</w:t>
            </w:r>
          </w:p>
        </w:tc>
      </w:tr>
      <w:tr w:rsidR="003A71DE" w:rsidRPr="004722E6" w14:paraId="5323500C"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B751327" w14:textId="77777777" w:rsidR="003A71DE" w:rsidRPr="004722E6" w:rsidRDefault="003A71DE" w:rsidP="001A5D47">
            <w:pPr>
              <w:pStyle w:val="TAL"/>
              <w:rPr>
                <w:rFonts w:eastAsia="SimSun"/>
              </w:rPr>
            </w:pPr>
            <w:r w:rsidRPr="004722E6">
              <w:rPr>
                <w:rFonts w:eastAsia="SimSun"/>
              </w:rPr>
              <w:t>OCNG Pattern</w:t>
            </w:r>
          </w:p>
        </w:tc>
        <w:tc>
          <w:tcPr>
            <w:tcW w:w="1588" w:type="dxa"/>
            <w:tcBorders>
              <w:top w:val="single" w:sz="4" w:space="0" w:color="auto"/>
              <w:left w:val="single" w:sz="4" w:space="0" w:color="auto"/>
              <w:bottom w:val="single" w:sz="4" w:space="0" w:color="auto"/>
              <w:right w:val="single" w:sz="4" w:space="0" w:color="auto"/>
            </w:tcBorders>
          </w:tcPr>
          <w:p w14:paraId="056CA54D"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340E1E44"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1CABDF63" w14:textId="77777777" w:rsidR="003A71DE" w:rsidRPr="004722E6" w:rsidRDefault="003A71DE" w:rsidP="001A5D47">
            <w:pPr>
              <w:pStyle w:val="TAC"/>
              <w:rPr>
                <w:rFonts w:eastAsia="SimSun"/>
              </w:rPr>
            </w:pPr>
            <w:r w:rsidRPr="004722E6">
              <w:rPr>
                <w:rFonts w:eastAsia="SimSun"/>
              </w:rPr>
              <w:t>OP.1 defined in TBD</w:t>
            </w:r>
          </w:p>
        </w:tc>
        <w:tc>
          <w:tcPr>
            <w:tcW w:w="2419" w:type="dxa"/>
            <w:gridSpan w:val="3"/>
            <w:tcBorders>
              <w:top w:val="single" w:sz="4" w:space="0" w:color="auto"/>
              <w:left w:val="single" w:sz="4" w:space="0" w:color="auto"/>
              <w:bottom w:val="single" w:sz="4" w:space="0" w:color="auto"/>
              <w:right w:val="single" w:sz="4" w:space="0" w:color="auto"/>
            </w:tcBorders>
            <w:hideMark/>
          </w:tcPr>
          <w:p w14:paraId="08A593CA" w14:textId="77777777" w:rsidR="003A71DE" w:rsidRPr="004722E6" w:rsidRDefault="003A71DE" w:rsidP="001A5D47">
            <w:pPr>
              <w:pStyle w:val="TAC"/>
              <w:rPr>
                <w:rFonts w:eastAsia="SimSun"/>
              </w:rPr>
            </w:pPr>
            <w:r w:rsidRPr="004722E6">
              <w:rPr>
                <w:rFonts w:eastAsia="SimSun"/>
              </w:rPr>
              <w:t>OP.1 defined in TBD</w:t>
            </w:r>
          </w:p>
        </w:tc>
      </w:tr>
      <w:tr w:rsidR="003A71DE" w:rsidRPr="004722E6" w14:paraId="335BC424"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0CC2C7E3" w14:textId="77777777" w:rsidR="003A71DE" w:rsidRPr="004722E6" w:rsidRDefault="003A71DE" w:rsidP="001A5D47">
            <w:pPr>
              <w:pStyle w:val="TAL"/>
              <w:rPr>
                <w:rFonts w:eastAsia="SimSun"/>
                <w:lang w:eastAsia="zh-CN"/>
              </w:rPr>
            </w:pPr>
            <w:r w:rsidRPr="004722E6">
              <w:rPr>
                <w:rFonts w:eastAsia="SimSun"/>
                <w:lang w:eastAsia="zh-CN"/>
              </w:rPr>
              <w:t>Initial DL BWP configuration</w:t>
            </w:r>
          </w:p>
        </w:tc>
        <w:tc>
          <w:tcPr>
            <w:tcW w:w="1588" w:type="dxa"/>
            <w:tcBorders>
              <w:top w:val="single" w:sz="4" w:space="0" w:color="auto"/>
              <w:left w:val="single" w:sz="4" w:space="0" w:color="auto"/>
              <w:bottom w:val="single" w:sz="4" w:space="0" w:color="auto"/>
              <w:right w:val="single" w:sz="4" w:space="0" w:color="auto"/>
            </w:tcBorders>
          </w:tcPr>
          <w:p w14:paraId="277AF5AE"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332FE01D"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4EB59273" w14:textId="77777777" w:rsidR="003A71DE" w:rsidRPr="004722E6" w:rsidRDefault="003A71DE" w:rsidP="001A5D47">
            <w:pPr>
              <w:pStyle w:val="TAC"/>
              <w:rPr>
                <w:rFonts w:eastAsia="SimSun"/>
                <w:lang w:eastAsia="zh-CN"/>
              </w:rPr>
            </w:pPr>
            <w:r w:rsidRPr="004722E6">
              <w:rPr>
                <w:rFonts w:eastAsia="SimSun"/>
                <w:lang w:eastAsia="zh-CN"/>
              </w:rPr>
              <w:t>DLBWP.0.1</w:t>
            </w:r>
          </w:p>
        </w:tc>
        <w:tc>
          <w:tcPr>
            <w:tcW w:w="2419" w:type="dxa"/>
            <w:gridSpan w:val="3"/>
            <w:tcBorders>
              <w:top w:val="single" w:sz="4" w:space="0" w:color="auto"/>
              <w:left w:val="single" w:sz="4" w:space="0" w:color="auto"/>
              <w:bottom w:val="single" w:sz="4" w:space="0" w:color="auto"/>
              <w:right w:val="single" w:sz="4" w:space="0" w:color="auto"/>
            </w:tcBorders>
            <w:hideMark/>
          </w:tcPr>
          <w:p w14:paraId="26C01E6B" w14:textId="77777777" w:rsidR="003A71DE" w:rsidRPr="004722E6" w:rsidRDefault="003A71DE" w:rsidP="001A5D47">
            <w:pPr>
              <w:pStyle w:val="TAC"/>
              <w:rPr>
                <w:rFonts w:eastAsia="SimSun"/>
              </w:rPr>
            </w:pPr>
            <w:r w:rsidRPr="004722E6">
              <w:rPr>
                <w:rFonts w:eastAsia="SimSun"/>
                <w:lang w:eastAsia="zh-CN"/>
              </w:rPr>
              <w:t>DLBWP.0.1</w:t>
            </w:r>
          </w:p>
        </w:tc>
      </w:tr>
      <w:tr w:rsidR="003A71DE" w:rsidRPr="004722E6" w14:paraId="2BC0227D"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28067AD" w14:textId="77777777" w:rsidR="003A71DE" w:rsidRPr="004722E6" w:rsidRDefault="003A71DE" w:rsidP="001A5D47">
            <w:pPr>
              <w:pStyle w:val="TAL"/>
              <w:rPr>
                <w:rFonts w:eastAsia="SimSun"/>
                <w:lang w:eastAsia="zh-CN"/>
              </w:rPr>
            </w:pPr>
            <w:r w:rsidRPr="004722E6">
              <w:rPr>
                <w:rFonts w:eastAsia="SimSun"/>
                <w:lang w:eastAsia="zh-CN"/>
              </w:rPr>
              <w:t>Initial UL BWP configuration</w:t>
            </w:r>
          </w:p>
        </w:tc>
        <w:tc>
          <w:tcPr>
            <w:tcW w:w="1588" w:type="dxa"/>
            <w:tcBorders>
              <w:top w:val="single" w:sz="4" w:space="0" w:color="auto"/>
              <w:left w:val="single" w:sz="4" w:space="0" w:color="auto"/>
              <w:bottom w:val="single" w:sz="4" w:space="0" w:color="auto"/>
              <w:right w:val="single" w:sz="4" w:space="0" w:color="auto"/>
            </w:tcBorders>
          </w:tcPr>
          <w:p w14:paraId="73164670"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38993AC9"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697113D9" w14:textId="77777777" w:rsidR="003A71DE" w:rsidRPr="004722E6" w:rsidRDefault="003A71DE" w:rsidP="001A5D47">
            <w:pPr>
              <w:pStyle w:val="TAC"/>
              <w:rPr>
                <w:rFonts w:eastAsia="SimSun"/>
                <w:lang w:eastAsia="zh-CN"/>
              </w:rPr>
            </w:pPr>
            <w:r w:rsidRPr="004722E6">
              <w:rPr>
                <w:rFonts w:eastAsia="SimSun"/>
                <w:lang w:eastAsia="zh-CN"/>
              </w:rPr>
              <w:t>ULBWP.0.1</w:t>
            </w:r>
          </w:p>
        </w:tc>
        <w:tc>
          <w:tcPr>
            <w:tcW w:w="2419" w:type="dxa"/>
            <w:gridSpan w:val="3"/>
            <w:tcBorders>
              <w:top w:val="single" w:sz="4" w:space="0" w:color="auto"/>
              <w:left w:val="single" w:sz="4" w:space="0" w:color="auto"/>
              <w:bottom w:val="single" w:sz="4" w:space="0" w:color="auto"/>
              <w:right w:val="single" w:sz="4" w:space="0" w:color="auto"/>
            </w:tcBorders>
            <w:hideMark/>
          </w:tcPr>
          <w:p w14:paraId="32135C13" w14:textId="77777777" w:rsidR="003A71DE" w:rsidRPr="004722E6" w:rsidRDefault="003A71DE" w:rsidP="001A5D47">
            <w:pPr>
              <w:pStyle w:val="TAC"/>
              <w:rPr>
                <w:rFonts w:eastAsia="SimSun"/>
                <w:lang w:eastAsia="zh-CN"/>
              </w:rPr>
            </w:pPr>
            <w:r w:rsidRPr="004722E6">
              <w:rPr>
                <w:rFonts w:eastAsia="SimSun"/>
                <w:lang w:eastAsia="zh-CN"/>
              </w:rPr>
              <w:t>ULBWP.0.1</w:t>
            </w:r>
          </w:p>
        </w:tc>
      </w:tr>
      <w:tr w:rsidR="003A71DE" w:rsidRPr="004722E6" w14:paraId="7553F085"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04F7EA3C" w14:textId="77777777" w:rsidR="003A71DE" w:rsidRPr="004722E6" w:rsidRDefault="003A71DE" w:rsidP="001A5D47">
            <w:pPr>
              <w:pStyle w:val="TAL"/>
              <w:rPr>
                <w:rFonts w:eastAsia="SimSun"/>
                <w:lang w:eastAsia="zh-CN"/>
              </w:rPr>
            </w:pPr>
            <w:r w:rsidRPr="004722E6">
              <w:rPr>
                <w:rFonts w:eastAsia="SimSun"/>
                <w:lang w:eastAsia="zh-CN"/>
              </w:rPr>
              <w:t>RLM-RS</w:t>
            </w:r>
          </w:p>
        </w:tc>
        <w:tc>
          <w:tcPr>
            <w:tcW w:w="1588" w:type="dxa"/>
            <w:tcBorders>
              <w:top w:val="single" w:sz="4" w:space="0" w:color="auto"/>
              <w:left w:val="single" w:sz="4" w:space="0" w:color="auto"/>
              <w:bottom w:val="single" w:sz="4" w:space="0" w:color="auto"/>
              <w:right w:val="single" w:sz="4" w:space="0" w:color="auto"/>
            </w:tcBorders>
          </w:tcPr>
          <w:p w14:paraId="35E1A496"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2C73EF73"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hideMark/>
          </w:tcPr>
          <w:p w14:paraId="76B5EA43" w14:textId="77777777" w:rsidR="003A71DE" w:rsidRPr="004722E6" w:rsidRDefault="003A71DE" w:rsidP="001A5D47">
            <w:pPr>
              <w:pStyle w:val="TAC"/>
              <w:rPr>
                <w:rFonts w:eastAsia="SimSun"/>
                <w:lang w:eastAsia="zh-CN"/>
              </w:rPr>
            </w:pPr>
            <w:r w:rsidRPr="004722E6">
              <w:rPr>
                <w:rFonts w:eastAsia="SimSun"/>
                <w:lang w:eastAsia="zh-CN"/>
              </w:rPr>
              <w:t>SSB</w:t>
            </w:r>
          </w:p>
        </w:tc>
        <w:tc>
          <w:tcPr>
            <w:tcW w:w="2419" w:type="dxa"/>
            <w:gridSpan w:val="3"/>
            <w:tcBorders>
              <w:top w:val="single" w:sz="4" w:space="0" w:color="auto"/>
              <w:left w:val="single" w:sz="4" w:space="0" w:color="auto"/>
              <w:bottom w:val="single" w:sz="4" w:space="0" w:color="auto"/>
              <w:right w:val="single" w:sz="4" w:space="0" w:color="auto"/>
            </w:tcBorders>
            <w:hideMark/>
          </w:tcPr>
          <w:p w14:paraId="3BE9043A" w14:textId="77777777" w:rsidR="003A71DE" w:rsidRPr="004722E6" w:rsidRDefault="003A71DE" w:rsidP="001A5D47">
            <w:pPr>
              <w:pStyle w:val="TAC"/>
              <w:rPr>
                <w:rFonts w:eastAsia="SimSun"/>
                <w:lang w:eastAsia="zh-CN"/>
              </w:rPr>
            </w:pPr>
            <w:r w:rsidRPr="004722E6">
              <w:rPr>
                <w:rFonts w:eastAsia="SimSun"/>
                <w:lang w:eastAsia="zh-CN"/>
              </w:rPr>
              <w:t>SSB</w:t>
            </w:r>
          </w:p>
        </w:tc>
      </w:tr>
      <w:tr w:rsidR="003A71DE" w:rsidRPr="004722E6" w14:paraId="3AF69628"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303F1B26" w14:textId="77777777" w:rsidR="003A71DE" w:rsidRPr="004722E6" w:rsidRDefault="003A71DE" w:rsidP="001A5D47">
            <w:pPr>
              <w:pStyle w:val="TAL"/>
              <w:rPr>
                <w:rFonts w:eastAsia="SimSun"/>
                <w:lang w:eastAsia="zh-CN"/>
              </w:rPr>
            </w:pPr>
            <w:r w:rsidRPr="004722E6">
              <w:rPr>
                <w:rFonts w:eastAsia="SimSun"/>
                <w:lang w:eastAsia="zh-CN"/>
              </w:rPr>
              <w:t>AoA setup</w:t>
            </w:r>
          </w:p>
        </w:tc>
        <w:tc>
          <w:tcPr>
            <w:tcW w:w="1588" w:type="dxa"/>
            <w:tcBorders>
              <w:top w:val="single" w:sz="4" w:space="0" w:color="auto"/>
              <w:left w:val="single" w:sz="4" w:space="0" w:color="auto"/>
              <w:bottom w:val="single" w:sz="4" w:space="0" w:color="auto"/>
              <w:right w:val="single" w:sz="4" w:space="0" w:color="auto"/>
            </w:tcBorders>
          </w:tcPr>
          <w:p w14:paraId="00014BF6"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4CCBD6F6" w14:textId="77777777" w:rsidR="003A71DE" w:rsidRPr="004722E6" w:rsidRDefault="003A71DE" w:rsidP="001A5D47">
            <w:pPr>
              <w:pStyle w:val="TAC"/>
              <w:rPr>
                <w:rFonts w:eastAsia="SimSun"/>
                <w:lang w:eastAsia="zh-CN"/>
              </w:rPr>
            </w:pPr>
            <w:r w:rsidRPr="004722E6">
              <w:rPr>
                <w:rFonts w:eastAsia="SimSun"/>
                <w:lang w:eastAsia="zh-CN"/>
              </w:rPr>
              <w:t>1</w:t>
            </w:r>
          </w:p>
        </w:tc>
        <w:tc>
          <w:tcPr>
            <w:tcW w:w="2948" w:type="dxa"/>
            <w:gridSpan w:val="3"/>
            <w:tcBorders>
              <w:top w:val="single" w:sz="4" w:space="0" w:color="auto"/>
              <w:left w:val="single" w:sz="4" w:space="0" w:color="auto"/>
              <w:bottom w:val="single" w:sz="4" w:space="0" w:color="auto"/>
              <w:right w:val="single" w:sz="4" w:space="0" w:color="auto"/>
            </w:tcBorders>
            <w:vAlign w:val="center"/>
            <w:hideMark/>
          </w:tcPr>
          <w:p w14:paraId="430276DB" w14:textId="77777777" w:rsidR="003A71DE" w:rsidRPr="004722E6" w:rsidRDefault="003A71DE" w:rsidP="001A5D47">
            <w:pPr>
              <w:pStyle w:val="TAC"/>
              <w:rPr>
                <w:rFonts w:eastAsia="SimSun"/>
                <w:lang w:eastAsia="zh-CN"/>
              </w:rPr>
            </w:pPr>
            <w:r w:rsidRPr="004722E6">
              <w:rPr>
                <w:rFonts w:eastAsia="SimSun"/>
                <w:lang w:eastAsia="zh-CN"/>
              </w:rPr>
              <w:t>Setup 1 defined in TBD</w:t>
            </w:r>
          </w:p>
        </w:tc>
        <w:tc>
          <w:tcPr>
            <w:tcW w:w="2419" w:type="dxa"/>
            <w:gridSpan w:val="3"/>
            <w:tcBorders>
              <w:top w:val="single" w:sz="4" w:space="0" w:color="auto"/>
              <w:left w:val="single" w:sz="4" w:space="0" w:color="auto"/>
              <w:bottom w:val="single" w:sz="4" w:space="0" w:color="auto"/>
              <w:right w:val="single" w:sz="4" w:space="0" w:color="auto"/>
            </w:tcBorders>
            <w:vAlign w:val="center"/>
            <w:hideMark/>
          </w:tcPr>
          <w:p w14:paraId="50968EF1" w14:textId="77777777" w:rsidR="003A71DE" w:rsidRPr="004722E6" w:rsidRDefault="003A71DE" w:rsidP="001A5D47">
            <w:pPr>
              <w:pStyle w:val="TAC"/>
              <w:rPr>
                <w:rFonts w:eastAsia="SimSun"/>
                <w:lang w:eastAsia="zh-CN"/>
              </w:rPr>
            </w:pPr>
            <w:r w:rsidRPr="004722E6">
              <w:rPr>
                <w:rFonts w:eastAsia="SimSun"/>
                <w:lang w:eastAsia="zh-CN"/>
              </w:rPr>
              <w:t>Setup 1 defined in TBD</w:t>
            </w:r>
          </w:p>
        </w:tc>
      </w:tr>
      <w:tr w:rsidR="003A71DE" w:rsidRPr="004722E6" w14:paraId="68E5A2B9" w14:textId="77777777" w:rsidTr="003A71DE">
        <w:trPr>
          <w:cantSplit/>
          <w:trHeight w:val="141"/>
          <w:jc w:val="center"/>
        </w:trPr>
        <w:tc>
          <w:tcPr>
            <w:tcW w:w="1951" w:type="dxa"/>
            <w:tcBorders>
              <w:top w:val="single" w:sz="4" w:space="0" w:color="auto"/>
              <w:left w:val="single" w:sz="4" w:space="0" w:color="auto"/>
              <w:bottom w:val="single" w:sz="4" w:space="0" w:color="auto"/>
              <w:right w:val="single" w:sz="4" w:space="0" w:color="auto"/>
            </w:tcBorders>
            <w:hideMark/>
          </w:tcPr>
          <w:p w14:paraId="20EB57DF" w14:textId="77777777" w:rsidR="003A71DE" w:rsidRPr="004722E6" w:rsidRDefault="003A71DE" w:rsidP="001A5D47">
            <w:pPr>
              <w:pStyle w:val="TAL"/>
              <w:rPr>
                <w:rFonts w:eastAsia="SimSun"/>
              </w:rPr>
            </w:pPr>
            <w:r w:rsidRPr="004722E6">
              <w:rPr>
                <w:position w:val="-12"/>
              </w:rPr>
              <w:object w:dxaOrig="585" w:dyaOrig="285" w14:anchorId="5DEA5E29">
                <v:shape id="_x0000_i1065" type="#_x0000_t75" style="width:29.35pt;height:14.4pt" o:ole="" fillcolor="window">
                  <v:imagedata r:id="rId69" o:title=""/>
                </v:shape>
                <o:OLEObject Type="Embed" ProgID="Equation.3" ShapeID="_x0000_i1065" DrawAspect="Content" ObjectID="_1734764445" r:id="rId87"/>
              </w:object>
            </w:r>
          </w:p>
        </w:tc>
        <w:tc>
          <w:tcPr>
            <w:tcW w:w="1588" w:type="dxa"/>
            <w:tcBorders>
              <w:top w:val="single" w:sz="4" w:space="0" w:color="auto"/>
              <w:left w:val="single" w:sz="4" w:space="0" w:color="auto"/>
              <w:bottom w:val="single" w:sz="4" w:space="0" w:color="auto"/>
              <w:right w:val="single" w:sz="4" w:space="0" w:color="auto"/>
            </w:tcBorders>
            <w:hideMark/>
          </w:tcPr>
          <w:p w14:paraId="7F96C998" w14:textId="77777777" w:rsidR="003A71DE" w:rsidRPr="004722E6" w:rsidRDefault="003A71DE" w:rsidP="001A5D47">
            <w:pPr>
              <w:pStyle w:val="TAC"/>
              <w:rPr>
                <w:rFonts w:eastAsia="SimSun"/>
              </w:rPr>
            </w:pPr>
            <w:r w:rsidRPr="004722E6">
              <w:rPr>
                <w:rFonts w:eastAsia="SimSun"/>
              </w:rPr>
              <w:t>dB</w:t>
            </w:r>
          </w:p>
        </w:tc>
        <w:tc>
          <w:tcPr>
            <w:tcW w:w="1418" w:type="dxa"/>
            <w:tcBorders>
              <w:top w:val="single" w:sz="4" w:space="0" w:color="auto"/>
              <w:left w:val="single" w:sz="4" w:space="0" w:color="auto"/>
              <w:bottom w:val="single" w:sz="4" w:space="0" w:color="auto"/>
              <w:right w:val="single" w:sz="4" w:space="0" w:color="auto"/>
            </w:tcBorders>
            <w:hideMark/>
          </w:tcPr>
          <w:p w14:paraId="56C0C647" w14:textId="77777777" w:rsidR="003A71DE" w:rsidRPr="004722E6" w:rsidRDefault="003A71DE" w:rsidP="001A5D47">
            <w:pPr>
              <w:pStyle w:val="TAC"/>
              <w:rPr>
                <w:rFonts w:eastAsia="SimSun"/>
                <w:lang w:eastAsia="zh-CN"/>
              </w:rPr>
            </w:pPr>
            <w:r w:rsidRPr="004722E6">
              <w:rPr>
                <w:rFonts w:eastAsia="SimSun"/>
                <w:lang w:eastAsia="zh-CN"/>
              </w:rPr>
              <w:t>1</w:t>
            </w:r>
          </w:p>
        </w:tc>
        <w:tc>
          <w:tcPr>
            <w:tcW w:w="1198" w:type="dxa"/>
            <w:tcBorders>
              <w:top w:val="single" w:sz="4" w:space="0" w:color="auto"/>
              <w:left w:val="single" w:sz="4" w:space="0" w:color="auto"/>
              <w:bottom w:val="single" w:sz="4" w:space="0" w:color="auto"/>
              <w:right w:val="single" w:sz="4" w:space="0" w:color="auto"/>
            </w:tcBorders>
            <w:hideMark/>
          </w:tcPr>
          <w:p w14:paraId="3C836796" w14:textId="77777777" w:rsidR="003A71DE" w:rsidRPr="004722E6" w:rsidRDefault="003A71DE" w:rsidP="001A5D47">
            <w:pPr>
              <w:pStyle w:val="TAC"/>
              <w:rPr>
                <w:rFonts w:eastAsia="SimSun"/>
                <w:lang w:eastAsia="zh-CN"/>
              </w:rPr>
            </w:pPr>
            <w:r w:rsidRPr="004722E6">
              <w:rPr>
                <w:rFonts w:eastAsia="SimSun"/>
                <w:lang w:eastAsia="zh-CN"/>
              </w:rPr>
              <w:t>5</w:t>
            </w:r>
          </w:p>
        </w:tc>
        <w:tc>
          <w:tcPr>
            <w:tcW w:w="851" w:type="dxa"/>
            <w:tcBorders>
              <w:top w:val="single" w:sz="4" w:space="0" w:color="auto"/>
              <w:left w:val="single" w:sz="4" w:space="0" w:color="auto"/>
              <w:bottom w:val="single" w:sz="4" w:space="0" w:color="auto"/>
              <w:right w:val="single" w:sz="4" w:space="0" w:color="auto"/>
            </w:tcBorders>
            <w:hideMark/>
          </w:tcPr>
          <w:p w14:paraId="1829BE82" w14:textId="77777777" w:rsidR="003A71DE" w:rsidRPr="004722E6" w:rsidRDefault="003A71DE" w:rsidP="001A5D47">
            <w:pPr>
              <w:pStyle w:val="TAC"/>
              <w:rPr>
                <w:rFonts w:eastAsia="SimSun"/>
              </w:rPr>
            </w:pPr>
            <w:r w:rsidRPr="004722E6">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147E52FA" w14:textId="77777777" w:rsidR="003A71DE" w:rsidRPr="004722E6" w:rsidRDefault="003A71DE" w:rsidP="001A5D47">
            <w:pPr>
              <w:pStyle w:val="TAC"/>
              <w:rPr>
                <w:rFonts w:eastAsia="SimSun"/>
                <w:lang w:eastAsia="zh-CN"/>
              </w:rPr>
            </w:pPr>
            <w:r w:rsidRPr="004722E6">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4D41FAD0" w14:textId="77777777" w:rsidR="003A71DE" w:rsidRPr="004722E6" w:rsidRDefault="003A71DE" w:rsidP="001A5D47">
            <w:pPr>
              <w:pStyle w:val="TAC"/>
              <w:rPr>
                <w:rFonts w:eastAsia="SimSun"/>
              </w:rPr>
            </w:pPr>
            <w:r w:rsidRPr="004722E6">
              <w:rPr>
                <w:rFonts w:eastAsia="SimSun"/>
              </w:rPr>
              <w:t>-infinity</w:t>
            </w:r>
          </w:p>
        </w:tc>
        <w:tc>
          <w:tcPr>
            <w:tcW w:w="850" w:type="dxa"/>
            <w:tcBorders>
              <w:top w:val="single" w:sz="4" w:space="0" w:color="auto"/>
              <w:left w:val="single" w:sz="4" w:space="0" w:color="auto"/>
              <w:bottom w:val="single" w:sz="4" w:space="0" w:color="auto"/>
              <w:right w:val="single" w:sz="4" w:space="0" w:color="auto"/>
            </w:tcBorders>
            <w:hideMark/>
          </w:tcPr>
          <w:p w14:paraId="773FEE07" w14:textId="77777777" w:rsidR="003A71DE" w:rsidRPr="004722E6" w:rsidRDefault="003A71DE" w:rsidP="001A5D47">
            <w:pPr>
              <w:pStyle w:val="TAC"/>
              <w:rPr>
                <w:rFonts w:eastAsia="SimSun"/>
              </w:rPr>
            </w:pPr>
            <w:r w:rsidRPr="004722E6">
              <w:rPr>
                <w:rFonts w:eastAsia="SimSun"/>
              </w:rPr>
              <w:t>-infinity</w:t>
            </w:r>
          </w:p>
        </w:tc>
        <w:tc>
          <w:tcPr>
            <w:tcW w:w="767" w:type="dxa"/>
            <w:tcBorders>
              <w:top w:val="single" w:sz="4" w:space="0" w:color="auto"/>
              <w:left w:val="single" w:sz="4" w:space="0" w:color="auto"/>
              <w:bottom w:val="single" w:sz="4" w:space="0" w:color="auto"/>
              <w:right w:val="single" w:sz="4" w:space="0" w:color="auto"/>
            </w:tcBorders>
            <w:hideMark/>
          </w:tcPr>
          <w:p w14:paraId="6A9B7508" w14:textId="77777777" w:rsidR="003A71DE" w:rsidRPr="004722E6" w:rsidRDefault="003A71DE" w:rsidP="001A5D47">
            <w:pPr>
              <w:pStyle w:val="TAC"/>
              <w:rPr>
                <w:rFonts w:eastAsia="SimSun"/>
                <w:lang w:eastAsia="zh-CN"/>
              </w:rPr>
            </w:pPr>
            <w:r w:rsidRPr="004722E6">
              <w:rPr>
                <w:rFonts w:eastAsia="SimSun"/>
                <w:lang w:eastAsia="zh-CN"/>
              </w:rPr>
              <w:t>5</w:t>
            </w:r>
          </w:p>
        </w:tc>
      </w:tr>
      <w:tr w:rsidR="003A71DE" w:rsidRPr="004722E6" w14:paraId="14A3A0A3"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4CA085D9" w14:textId="77777777" w:rsidR="003A71DE" w:rsidRPr="004722E6" w:rsidRDefault="003A71DE" w:rsidP="001A5D47">
            <w:pPr>
              <w:pStyle w:val="TAL"/>
              <w:rPr>
                <w:rFonts w:eastAsia="SimSun"/>
              </w:rPr>
            </w:pPr>
            <w:r w:rsidRPr="004722E6">
              <w:rPr>
                <w:position w:val="-12"/>
              </w:rPr>
              <w:object w:dxaOrig="435" w:dyaOrig="435" w14:anchorId="032B3CA4">
                <v:shape id="_x0000_i1066" type="#_x0000_t75" style="width:21.6pt;height:21.6pt" o:ole="" fillcolor="window">
                  <v:imagedata r:id="rId71" o:title=""/>
                </v:shape>
                <o:OLEObject Type="Embed" ProgID="Equation.3" ShapeID="_x0000_i1066" DrawAspect="Content" ObjectID="_1734764446" r:id="rId88"/>
              </w:object>
            </w:r>
            <w:r w:rsidRPr="004722E6">
              <w:rPr>
                <w:rFonts w:eastAsia="SimSun"/>
              </w:rPr>
              <w:t xml:space="preserve"> </w:t>
            </w:r>
            <w:r w:rsidRPr="004722E6">
              <w:rPr>
                <w:rFonts w:eastAsia="SimSun"/>
                <w:vertAlign w:val="superscript"/>
              </w:rPr>
              <w:t>Note2</w:t>
            </w:r>
          </w:p>
        </w:tc>
        <w:tc>
          <w:tcPr>
            <w:tcW w:w="1588" w:type="dxa"/>
            <w:tcBorders>
              <w:top w:val="single" w:sz="4" w:space="0" w:color="auto"/>
              <w:left w:val="single" w:sz="4" w:space="0" w:color="auto"/>
              <w:bottom w:val="single" w:sz="4" w:space="0" w:color="auto"/>
              <w:right w:val="single" w:sz="4" w:space="0" w:color="auto"/>
            </w:tcBorders>
            <w:hideMark/>
          </w:tcPr>
          <w:p w14:paraId="453BAC39" w14:textId="77777777" w:rsidR="003A71DE" w:rsidRPr="004722E6" w:rsidRDefault="003A71DE" w:rsidP="001A5D47">
            <w:pPr>
              <w:pStyle w:val="TAC"/>
              <w:rPr>
                <w:rFonts w:eastAsia="SimSun"/>
              </w:rPr>
            </w:pPr>
            <w:r w:rsidRPr="004722E6">
              <w:rPr>
                <w:rFonts w:eastAsia="SimSun"/>
              </w:rPr>
              <w:t>dBm/SCS</w:t>
            </w:r>
          </w:p>
        </w:tc>
        <w:tc>
          <w:tcPr>
            <w:tcW w:w="1418" w:type="dxa"/>
            <w:tcBorders>
              <w:top w:val="single" w:sz="4" w:space="0" w:color="auto"/>
              <w:left w:val="single" w:sz="4" w:space="0" w:color="auto"/>
              <w:bottom w:val="single" w:sz="4" w:space="0" w:color="auto"/>
              <w:right w:val="single" w:sz="4" w:space="0" w:color="auto"/>
            </w:tcBorders>
            <w:hideMark/>
          </w:tcPr>
          <w:p w14:paraId="1D4AF11C" w14:textId="77777777" w:rsidR="003A71DE" w:rsidRPr="004722E6" w:rsidRDefault="003A71DE" w:rsidP="001A5D47">
            <w:pPr>
              <w:pStyle w:val="TAC"/>
              <w:rPr>
                <w:rFonts w:eastAsia="SimSun"/>
                <w:lang w:eastAsia="zh-CN"/>
              </w:rPr>
            </w:pPr>
            <w:r w:rsidRPr="004722E6">
              <w:rPr>
                <w:rFonts w:eastAsia="SimSun"/>
                <w:lang w:eastAsia="zh-CN"/>
              </w:rPr>
              <w:t>1</w:t>
            </w:r>
          </w:p>
        </w:tc>
        <w:tc>
          <w:tcPr>
            <w:tcW w:w="5367" w:type="dxa"/>
            <w:gridSpan w:val="6"/>
            <w:tcBorders>
              <w:top w:val="single" w:sz="4" w:space="0" w:color="auto"/>
              <w:left w:val="single" w:sz="4" w:space="0" w:color="auto"/>
              <w:bottom w:val="single" w:sz="4" w:space="0" w:color="auto"/>
              <w:right w:val="single" w:sz="4" w:space="0" w:color="auto"/>
            </w:tcBorders>
            <w:hideMark/>
          </w:tcPr>
          <w:p w14:paraId="5F106FF3" w14:textId="77777777" w:rsidR="003A71DE" w:rsidRPr="004722E6" w:rsidRDefault="003A71DE" w:rsidP="001A5D47">
            <w:pPr>
              <w:pStyle w:val="TAC"/>
              <w:rPr>
                <w:rFonts w:eastAsia="SimSun"/>
              </w:rPr>
            </w:pPr>
            <w:r w:rsidRPr="004722E6">
              <w:rPr>
                <w:rFonts w:eastAsia="SimSun"/>
              </w:rPr>
              <w:t>-98</w:t>
            </w:r>
          </w:p>
        </w:tc>
      </w:tr>
      <w:tr w:rsidR="003A71DE" w:rsidRPr="004722E6" w14:paraId="5AE814E5"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64563B25" w14:textId="77777777" w:rsidR="003A71DE" w:rsidRPr="004722E6" w:rsidRDefault="003A71DE" w:rsidP="001A5D47">
            <w:pPr>
              <w:pStyle w:val="TAL"/>
              <w:rPr>
                <w:rFonts w:eastAsia="SimSun"/>
              </w:rPr>
            </w:pPr>
            <w:r w:rsidRPr="004722E6">
              <w:rPr>
                <w:position w:val="-12"/>
              </w:rPr>
              <w:object w:dxaOrig="435" w:dyaOrig="435" w14:anchorId="2CC208B7">
                <v:shape id="_x0000_i1067" type="#_x0000_t75" style="width:21.6pt;height:21.6pt" o:ole="" fillcolor="window">
                  <v:imagedata r:id="rId71" o:title=""/>
                </v:shape>
                <o:OLEObject Type="Embed" ProgID="Equation.3" ShapeID="_x0000_i1067" DrawAspect="Content" ObjectID="_1734764447" r:id="rId89"/>
              </w:object>
            </w:r>
            <w:r w:rsidRPr="004722E6">
              <w:rPr>
                <w:rFonts w:eastAsia="SimSun"/>
              </w:rPr>
              <w:t xml:space="preserve"> </w:t>
            </w:r>
            <w:r w:rsidRPr="004722E6">
              <w:rPr>
                <w:rFonts w:eastAsia="SimSun"/>
                <w:vertAlign w:val="superscript"/>
              </w:rPr>
              <w:t>Note2</w:t>
            </w:r>
          </w:p>
        </w:tc>
        <w:tc>
          <w:tcPr>
            <w:tcW w:w="1588" w:type="dxa"/>
            <w:tcBorders>
              <w:top w:val="single" w:sz="4" w:space="0" w:color="auto"/>
              <w:left w:val="single" w:sz="4" w:space="0" w:color="auto"/>
              <w:bottom w:val="single" w:sz="4" w:space="0" w:color="auto"/>
              <w:right w:val="single" w:sz="4" w:space="0" w:color="auto"/>
            </w:tcBorders>
            <w:hideMark/>
          </w:tcPr>
          <w:p w14:paraId="5B27E18B" w14:textId="77777777" w:rsidR="003A71DE" w:rsidRPr="004722E6" w:rsidRDefault="003A71DE" w:rsidP="001A5D47">
            <w:pPr>
              <w:pStyle w:val="TAC"/>
              <w:rPr>
                <w:rFonts w:eastAsia="SimSun"/>
              </w:rPr>
            </w:pPr>
            <w:r w:rsidRPr="004722E6">
              <w:rPr>
                <w:rFonts w:eastAsia="SimSun"/>
              </w:rPr>
              <w:t>dBm/15 kHz</w:t>
            </w:r>
          </w:p>
        </w:tc>
        <w:tc>
          <w:tcPr>
            <w:tcW w:w="1418" w:type="dxa"/>
            <w:tcBorders>
              <w:top w:val="single" w:sz="4" w:space="0" w:color="auto"/>
              <w:left w:val="single" w:sz="4" w:space="0" w:color="auto"/>
              <w:bottom w:val="single" w:sz="4" w:space="0" w:color="auto"/>
              <w:right w:val="single" w:sz="4" w:space="0" w:color="auto"/>
            </w:tcBorders>
            <w:hideMark/>
          </w:tcPr>
          <w:p w14:paraId="240468F0" w14:textId="77777777" w:rsidR="003A71DE" w:rsidRPr="004722E6" w:rsidRDefault="003A71DE" w:rsidP="001A5D47">
            <w:pPr>
              <w:pStyle w:val="TAC"/>
              <w:rPr>
                <w:rFonts w:eastAsia="SimSun"/>
                <w:lang w:eastAsia="zh-CN"/>
              </w:rPr>
            </w:pPr>
            <w:r w:rsidRPr="004722E6">
              <w:rPr>
                <w:rFonts w:eastAsia="SimSun"/>
                <w:lang w:eastAsia="zh-CN"/>
              </w:rPr>
              <w:t>1</w:t>
            </w:r>
          </w:p>
        </w:tc>
        <w:tc>
          <w:tcPr>
            <w:tcW w:w="5367" w:type="dxa"/>
            <w:gridSpan w:val="6"/>
            <w:tcBorders>
              <w:top w:val="single" w:sz="4" w:space="0" w:color="auto"/>
              <w:left w:val="single" w:sz="4" w:space="0" w:color="auto"/>
              <w:bottom w:val="single" w:sz="4" w:space="0" w:color="auto"/>
              <w:right w:val="single" w:sz="4" w:space="0" w:color="auto"/>
            </w:tcBorders>
            <w:hideMark/>
          </w:tcPr>
          <w:p w14:paraId="583A980D" w14:textId="77777777" w:rsidR="003A71DE" w:rsidRPr="004722E6" w:rsidRDefault="003A71DE" w:rsidP="001A5D47">
            <w:pPr>
              <w:pStyle w:val="TAC"/>
              <w:rPr>
                <w:rFonts w:eastAsia="SimSun"/>
              </w:rPr>
            </w:pPr>
            <w:r w:rsidRPr="004722E6">
              <w:rPr>
                <w:rFonts w:eastAsia="SimSun"/>
              </w:rPr>
              <w:t>-89</w:t>
            </w:r>
          </w:p>
        </w:tc>
      </w:tr>
      <w:tr w:rsidR="003A71DE" w:rsidRPr="004722E6" w14:paraId="45E87905"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14767DCB" w14:textId="77777777" w:rsidR="003A71DE" w:rsidRPr="004722E6" w:rsidRDefault="003A71DE" w:rsidP="001A5D47">
            <w:pPr>
              <w:pStyle w:val="TAL"/>
              <w:rPr>
                <w:rFonts w:eastAsia="SimSun"/>
              </w:rPr>
            </w:pPr>
            <w:r w:rsidRPr="004722E6">
              <w:rPr>
                <w:position w:val="-12"/>
              </w:rPr>
              <w:object w:dxaOrig="855" w:dyaOrig="285" w14:anchorId="2AD5239C">
                <v:shape id="_x0000_i1068" type="#_x0000_t75" style="width:42.65pt;height:14.4pt" o:ole="" fillcolor="window">
                  <v:imagedata r:id="rId74" o:title=""/>
                </v:shape>
                <o:OLEObject Type="Embed" ProgID="Equation.3" ShapeID="_x0000_i1068" DrawAspect="Content" ObjectID="_1734764448" r:id="rId90"/>
              </w:object>
            </w:r>
          </w:p>
        </w:tc>
        <w:tc>
          <w:tcPr>
            <w:tcW w:w="1588" w:type="dxa"/>
            <w:tcBorders>
              <w:top w:val="single" w:sz="4" w:space="0" w:color="auto"/>
              <w:left w:val="single" w:sz="4" w:space="0" w:color="auto"/>
              <w:bottom w:val="single" w:sz="4" w:space="0" w:color="auto"/>
              <w:right w:val="single" w:sz="4" w:space="0" w:color="auto"/>
            </w:tcBorders>
            <w:hideMark/>
          </w:tcPr>
          <w:p w14:paraId="20C49E1A" w14:textId="77777777" w:rsidR="003A71DE" w:rsidRPr="004722E6" w:rsidRDefault="003A71DE" w:rsidP="001A5D47">
            <w:pPr>
              <w:pStyle w:val="TAC"/>
              <w:rPr>
                <w:rFonts w:eastAsia="SimSun"/>
              </w:rPr>
            </w:pPr>
            <w:r w:rsidRPr="004722E6">
              <w:rPr>
                <w:rFonts w:eastAsia="SimSun"/>
              </w:rPr>
              <w:t>dB</w:t>
            </w:r>
          </w:p>
        </w:tc>
        <w:tc>
          <w:tcPr>
            <w:tcW w:w="1418" w:type="dxa"/>
            <w:tcBorders>
              <w:top w:val="single" w:sz="4" w:space="0" w:color="auto"/>
              <w:left w:val="single" w:sz="4" w:space="0" w:color="auto"/>
              <w:bottom w:val="single" w:sz="4" w:space="0" w:color="auto"/>
              <w:right w:val="single" w:sz="4" w:space="0" w:color="auto"/>
            </w:tcBorders>
            <w:hideMark/>
          </w:tcPr>
          <w:p w14:paraId="31F21E9E" w14:textId="77777777" w:rsidR="003A71DE" w:rsidRPr="004722E6" w:rsidRDefault="003A71DE" w:rsidP="001A5D47">
            <w:pPr>
              <w:pStyle w:val="TAC"/>
              <w:rPr>
                <w:rFonts w:eastAsia="SimSun"/>
                <w:lang w:eastAsia="zh-CN"/>
              </w:rPr>
            </w:pPr>
            <w:r w:rsidRPr="004722E6">
              <w:rPr>
                <w:rFonts w:eastAsia="SimSun"/>
                <w:lang w:eastAsia="zh-CN"/>
              </w:rPr>
              <w:t>1</w:t>
            </w:r>
          </w:p>
        </w:tc>
        <w:tc>
          <w:tcPr>
            <w:tcW w:w="1198" w:type="dxa"/>
            <w:tcBorders>
              <w:top w:val="single" w:sz="4" w:space="0" w:color="auto"/>
              <w:left w:val="single" w:sz="4" w:space="0" w:color="auto"/>
              <w:bottom w:val="single" w:sz="4" w:space="0" w:color="auto"/>
              <w:right w:val="single" w:sz="4" w:space="0" w:color="auto"/>
            </w:tcBorders>
            <w:hideMark/>
          </w:tcPr>
          <w:p w14:paraId="308D5EB4" w14:textId="77777777" w:rsidR="003A71DE" w:rsidRPr="004722E6" w:rsidRDefault="003A71DE" w:rsidP="001A5D47">
            <w:pPr>
              <w:pStyle w:val="TAC"/>
              <w:rPr>
                <w:rFonts w:eastAsia="SimSun"/>
              </w:rPr>
            </w:pPr>
            <w:r w:rsidRPr="004722E6">
              <w:rPr>
                <w:rFonts w:eastAsia="SimSun"/>
              </w:rPr>
              <w:t>5</w:t>
            </w:r>
          </w:p>
        </w:tc>
        <w:tc>
          <w:tcPr>
            <w:tcW w:w="851" w:type="dxa"/>
            <w:tcBorders>
              <w:top w:val="single" w:sz="4" w:space="0" w:color="auto"/>
              <w:left w:val="single" w:sz="4" w:space="0" w:color="auto"/>
              <w:bottom w:val="single" w:sz="4" w:space="0" w:color="auto"/>
              <w:right w:val="single" w:sz="4" w:space="0" w:color="auto"/>
            </w:tcBorders>
            <w:hideMark/>
          </w:tcPr>
          <w:p w14:paraId="3A76E7EC" w14:textId="77777777" w:rsidR="003A71DE" w:rsidRPr="004722E6" w:rsidRDefault="003A71DE" w:rsidP="001A5D47">
            <w:pPr>
              <w:pStyle w:val="TAC"/>
              <w:rPr>
                <w:rFonts w:eastAsia="SimSun"/>
              </w:rPr>
            </w:pPr>
            <w:r w:rsidRPr="004722E6">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7EAC1BFA" w14:textId="77777777" w:rsidR="003A71DE" w:rsidRPr="004722E6" w:rsidRDefault="003A71DE" w:rsidP="001A5D47">
            <w:pPr>
              <w:pStyle w:val="TAC"/>
              <w:rPr>
                <w:rFonts w:eastAsia="SimSun"/>
              </w:rPr>
            </w:pPr>
            <w:r w:rsidRPr="004722E6">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2BBA3E75" w14:textId="77777777" w:rsidR="003A71DE" w:rsidRPr="004722E6" w:rsidRDefault="003A71DE" w:rsidP="001A5D47">
            <w:pPr>
              <w:pStyle w:val="TAC"/>
              <w:rPr>
                <w:rFonts w:eastAsia="SimSun"/>
              </w:rPr>
            </w:pPr>
            <w:r w:rsidRPr="004722E6">
              <w:rPr>
                <w:rFonts w:eastAsia="SimSun"/>
              </w:rPr>
              <w:t>-infinity</w:t>
            </w:r>
          </w:p>
        </w:tc>
        <w:tc>
          <w:tcPr>
            <w:tcW w:w="850" w:type="dxa"/>
            <w:tcBorders>
              <w:top w:val="single" w:sz="4" w:space="0" w:color="auto"/>
              <w:left w:val="single" w:sz="4" w:space="0" w:color="auto"/>
              <w:bottom w:val="single" w:sz="4" w:space="0" w:color="auto"/>
              <w:right w:val="single" w:sz="4" w:space="0" w:color="auto"/>
            </w:tcBorders>
            <w:hideMark/>
          </w:tcPr>
          <w:p w14:paraId="22FAD311" w14:textId="77777777" w:rsidR="003A71DE" w:rsidRPr="004722E6" w:rsidRDefault="003A71DE" w:rsidP="001A5D47">
            <w:pPr>
              <w:pStyle w:val="TAC"/>
              <w:rPr>
                <w:rFonts w:eastAsia="SimSun"/>
              </w:rPr>
            </w:pPr>
            <w:r w:rsidRPr="004722E6">
              <w:rPr>
                <w:rFonts w:eastAsia="SimSun"/>
              </w:rPr>
              <w:t>-infinity</w:t>
            </w:r>
          </w:p>
        </w:tc>
        <w:tc>
          <w:tcPr>
            <w:tcW w:w="767" w:type="dxa"/>
            <w:tcBorders>
              <w:top w:val="single" w:sz="4" w:space="0" w:color="auto"/>
              <w:left w:val="single" w:sz="4" w:space="0" w:color="auto"/>
              <w:bottom w:val="single" w:sz="4" w:space="0" w:color="auto"/>
              <w:right w:val="single" w:sz="4" w:space="0" w:color="auto"/>
            </w:tcBorders>
            <w:hideMark/>
          </w:tcPr>
          <w:p w14:paraId="0B7FEE5F" w14:textId="77777777" w:rsidR="003A71DE" w:rsidRPr="004722E6" w:rsidRDefault="003A71DE" w:rsidP="001A5D47">
            <w:pPr>
              <w:pStyle w:val="TAC"/>
              <w:rPr>
                <w:rFonts w:eastAsia="SimSun"/>
              </w:rPr>
            </w:pPr>
            <w:r w:rsidRPr="004722E6">
              <w:rPr>
                <w:rFonts w:eastAsia="SimSun"/>
              </w:rPr>
              <w:t>5</w:t>
            </w:r>
          </w:p>
        </w:tc>
      </w:tr>
      <w:tr w:rsidR="003A71DE" w:rsidRPr="004722E6" w14:paraId="09D10597"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02778BBD" w14:textId="77777777" w:rsidR="003A71DE" w:rsidRPr="004722E6" w:rsidRDefault="003A71DE" w:rsidP="001A5D47">
            <w:pPr>
              <w:pStyle w:val="TAL"/>
              <w:rPr>
                <w:rFonts w:eastAsia="SimSun"/>
              </w:rPr>
            </w:pPr>
            <w:r w:rsidRPr="004722E6">
              <w:rPr>
                <w:rFonts w:eastAsia="SimSun"/>
              </w:rPr>
              <w:t xml:space="preserve">SS-RSRP </w:t>
            </w:r>
            <w:r w:rsidRPr="004722E6">
              <w:rPr>
                <w:rFonts w:eastAsia="SimSun"/>
                <w:vertAlign w:val="superscript"/>
              </w:rPr>
              <w:t>Note3</w:t>
            </w:r>
          </w:p>
        </w:tc>
        <w:tc>
          <w:tcPr>
            <w:tcW w:w="1588" w:type="dxa"/>
            <w:tcBorders>
              <w:top w:val="single" w:sz="4" w:space="0" w:color="auto"/>
              <w:left w:val="single" w:sz="4" w:space="0" w:color="auto"/>
              <w:bottom w:val="single" w:sz="4" w:space="0" w:color="auto"/>
              <w:right w:val="single" w:sz="4" w:space="0" w:color="auto"/>
            </w:tcBorders>
            <w:hideMark/>
          </w:tcPr>
          <w:p w14:paraId="3F3879BF" w14:textId="77777777" w:rsidR="003A71DE" w:rsidRPr="004722E6" w:rsidRDefault="003A71DE" w:rsidP="001A5D47">
            <w:pPr>
              <w:pStyle w:val="TAC"/>
              <w:rPr>
                <w:rFonts w:eastAsia="SimSun"/>
              </w:rPr>
            </w:pPr>
            <w:r w:rsidRPr="004722E6">
              <w:rPr>
                <w:rFonts w:eastAsia="SimSun"/>
              </w:rPr>
              <w:t>dBm/SCS</w:t>
            </w:r>
          </w:p>
        </w:tc>
        <w:tc>
          <w:tcPr>
            <w:tcW w:w="1418" w:type="dxa"/>
            <w:tcBorders>
              <w:top w:val="single" w:sz="4" w:space="0" w:color="auto"/>
              <w:left w:val="single" w:sz="4" w:space="0" w:color="auto"/>
              <w:bottom w:val="single" w:sz="4" w:space="0" w:color="auto"/>
              <w:right w:val="single" w:sz="4" w:space="0" w:color="auto"/>
            </w:tcBorders>
            <w:hideMark/>
          </w:tcPr>
          <w:p w14:paraId="74A3750B" w14:textId="77777777" w:rsidR="003A71DE" w:rsidRPr="004722E6" w:rsidRDefault="003A71DE" w:rsidP="001A5D47">
            <w:pPr>
              <w:pStyle w:val="TAC"/>
              <w:rPr>
                <w:rFonts w:eastAsia="SimSun"/>
                <w:lang w:eastAsia="zh-CN"/>
              </w:rPr>
            </w:pPr>
            <w:r w:rsidRPr="004722E6">
              <w:rPr>
                <w:rFonts w:eastAsia="SimSun"/>
                <w:lang w:eastAsia="zh-CN"/>
              </w:rPr>
              <w:t>1</w:t>
            </w:r>
          </w:p>
        </w:tc>
        <w:tc>
          <w:tcPr>
            <w:tcW w:w="1198" w:type="dxa"/>
            <w:tcBorders>
              <w:top w:val="single" w:sz="4" w:space="0" w:color="auto"/>
              <w:left w:val="single" w:sz="4" w:space="0" w:color="auto"/>
              <w:bottom w:val="single" w:sz="4" w:space="0" w:color="auto"/>
              <w:right w:val="single" w:sz="4" w:space="0" w:color="auto"/>
            </w:tcBorders>
            <w:hideMark/>
          </w:tcPr>
          <w:p w14:paraId="3DCE23FA" w14:textId="77777777" w:rsidR="003A71DE" w:rsidRPr="004722E6" w:rsidRDefault="003A71DE" w:rsidP="001A5D47">
            <w:pPr>
              <w:pStyle w:val="TAC"/>
              <w:rPr>
                <w:rFonts w:eastAsia="SimSun"/>
              </w:rPr>
            </w:pPr>
            <w:r w:rsidRPr="004722E6">
              <w:rPr>
                <w:rFonts w:eastAsia="SimSun"/>
                <w:lang w:eastAsia="zh-CN"/>
              </w:rPr>
              <w:t>-93</w:t>
            </w:r>
          </w:p>
        </w:tc>
        <w:tc>
          <w:tcPr>
            <w:tcW w:w="851" w:type="dxa"/>
            <w:tcBorders>
              <w:top w:val="single" w:sz="4" w:space="0" w:color="auto"/>
              <w:left w:val="single" w:sz="4" w:space="0" w:color="auto"/>
              <w:bottom w:val="single" w:sz="4" w:space="0" w:color="auto"/>
              <w:right w:val="single" w:sz="4" w:space="0" w:color="auto"/>
            </w:tcBorders>
            <w:hideMark/>
          </w:tcPr>
          <w:p w14:paraId="284706C3" w14:textId="77777777" w:rsidR="003A71DE" w:rsidRPr="004722E6" w:rsidRDefault="003A71DE" w:rsidP="001A5D47">
            <w:pPr>
              <w:pStyle w:val="TAC"/>
              <w:rPr>
                <w:rFonts w:eastAsia="SimSun"/>
              </w:rPr>
            </w:pPr>
            <w:r w:rsidRPr="004722E6">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47DB319E" w14:textId="77777777" w:rsidR="003A71DE" w:rsidRPr="004722E6" w:rsidRDefault="003A71DE" w:rsidP="001A5D47">
            <w:pPr>
              <w:pStyle w:val="TAC"/>
              <w:rPr>
                <w:rFonts w:eastAsia="SimSun"/>
              </w:rPr>
            </w:pPr>
            <w:r w:rsidRPr="004722E6">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3F0B5EE1" w14:textId="77777777" w:rsidR="003A71DE" w:rsidRPr="004722E6" w:rsidRDefault="003A71DE" w:rsidP="001A5D47">
            <w:pPr>
              <w:pStyle w:val="TAC"/>
              <w:rPr>
                <w:rFonts w:eastAsia="SimSun"/>
              </w:rPr>
            </w:pPr>
            <w:r w:rsidRPr="004722E6">
              <w:rPr>
                <w:rFonts w:eastAsia="SimSun"/>
              </w:rPr>
              <w:t>-infinity</w:t>
            </w:r>
          </w:p>
        </w:tc>
        <w:tc>
          <w:tcPr>
            <w:tcW w:w="850" w:type="dxa"/>
            <w:tcBorders>
              <w:top w:val="single" w:sz="4" w:space="0" w:color="auto"/>
              <w:left w:val="single" w:sz="4" w:space="0" w:color="auto"/>
              <w:bottom w:val="single" w:sz="4" w:space="0" w:color="auto"/>
              <w:right w:val="single" w:sz="4" w:space="0" w:color="auto"/>
            </w:tcBorders>
            <w:hideMark/>
          </w:tcPr>
          <w:p w14:paraId="3243A778" w14:textId="77777777" w:rsidR="003A71DE" w:rsidRPr="004722E6" w:rsidRDefault="003A71DE" w:rsidP="001A5D47">
            <w:pPr>
              <w:pStyle w:val="TAC"/>
              <w:rPr>
                <w:rFonts w:eastAsia="SimSun"/>
              </w:rPr>
            </w:pPr>
            <w:r w:rsidRPr="004722E6">
              <w:rPr>
                <w:rFonts w:eastAsia="SimSun"/>
              </w:rPr>
              <w:t>-infinity</w:t>
            </w:r>
          </w:p>
        </w:tc>
        <w:tc>
          <w:tcPr>
            <w:tcW w:w="767" w:type="dxa"/>
            <w:tcBorders>
              <w:top w:val="single" w:sz="4" w:space="0" w:color="auto"/>
              <w:left w:val="single" w:sz="4" w:space="0" w:color="auto"/>
              <w:bottom w:val="single" w:sz="4" w:space="0" w:color="auto"/>
              <w:right w:val="single" w:sz="4" w:space="0" w:color="auto"/>
            </w:tcBorders>
            <w:hideMark/>
          </w:tcPr>
          <w:p w14:paraId="687C763E" w14:textId="77777777" w:rsidR="003A71DE" w:rsidRPr="004722E6" w:rsidRDefault="003A71DE" w:rsidP="001A5D47">
            <w:pPr>
              <w:pStyle w:val="TAC"/>
              <w:rPr>
                <w:rFonts w:eastAsia="SimSun"/>
                <w:lang w:eastAsia="zh-CN"/>
              </w:rPr>
            </w:pPr>
            <w:r w:rsidRPr="004722E6">
              <w:rPr>
                <w:rFonts w:eastAsia="SimSun"/>
              </w:rPr>
              <w:t>-93</w:t>
            </w:r>
          </w:p>
        </w:tc>
      </w:tr>
      <w:tr w:rsidR="003A71DE" w:rsidRPr="004722E6" w14:paraId="3B883D66"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32D015E6" w14:textId="77777777" w:rsidR="003A71DE" w:rsidRPr="004722E6" w:rsidRDefault="003A71DE" w:rsidP="001A5D47">
            <w:pPr>
              <w:pStyle w:val="TAL"/>
              <w:rPr>
                <w:rFonts w:eastAsia="SimSun"/>
              </w:rPr>
            </w:pPr>
            <w:r w:rsidRPr="004722E6">
              <w:rPr>
                <w:rFonts w:eastAsia="SimSun"/>
              </w:rPr>
              <w:t>Io</w:t>
            </w:r>
          </w:p>
        </w:tc>
        <w:tc>
          <w:tcPr>
            <w:tcW w:w="1588" w:type="dxa"/>
            <w:tcBorders>
              <w:top w:val="single" w:sz="4" w:space="0" w:color="auto"/>
              <w:left w:val="single" w:sz="4" w:space="0" w:color="auto"/>
              <w:bottom w:val="single" w:sz="4" w:space="0" w:color="auto"/>
              <w:right w:val="single" w:sz="4" w:space="0" w:color="auto"/>
            </w:tcBorders>
            <w:hideMark/>
          </w:tcPr>
          <w:p w14:paraId="73E4DA30" w14:textId="77777777" w:rsidR="003A71DE" w:rsidRPr="004722E6" w:rsidRDefault="003A71DE" w:rsidP="001A5D47">
            <w:pPr>
              <w:pStyle w:val="TAC"/>
              <w:rPr>
                <w:rFonts w:eastAsia="SimSun"/>
              </w:rPr>
            </w:pPr>
            <w:r w:rsidRPr="004722E6">
              <w:rPr>
                <w:rFonts w:eastAsia="SimSun"/>
                <w:lang w:eastAsia="zh-CN"/>
              </w:rPr>
              <w:t>dBm/95.04 MHz</w:t>
            </w:r>
          </w:p>
        </w:tc>
        <w:tc>
          <w:tcPr>
            <w:tcW w:w="1418" w:type="dxa"/>
            <w:tcBorders>
              <w:top w:val="single" w:sz="4" w:space="0" w:color="auto"/>
              <w:left w:val="single" w:sz="4" w:space="0" w:color="auto"/>
              <w:bottom w:val="single" w:sz="4" w:space="0" w:color="auto"/>
              <w:right w:val="single" w:sz="4" w:space="0" w:color="auto"/>
            </w:tcBorders>
            <w:hideMark/>
          </w:tcPr>
          <w:p w14:paraId="2D936823" w14:textId="77777777" w:rsidR="003A71DE" w:rsidRPr="004722E6" w:rsidRDefault="003A71DE" w:rsidP="001A5D47">
            <w:pPr>
              <w:pStyle w:val="TAC"/>
              <w:rPr>
                <w:rFonts w:eastAsia="SimSun"/>
                <w:lang w:eastAsia="zh-CN"/>
              </w:rPr>
            </w:pPr>
            <w:r w:rsidRPr="004722E6">
              <w:rPr>
                <w:rFonts w:eastAsia="SimSun"/>
                <w:lang w:eastAsia="zh-CN"/>
              </w:rPr>
              <w:t>1</w:t>
            </w:r>
          </w:p>
        </w:tc>
        <w:tc>
          <w:tcPr>
            <w:tcW w:w="1198" w:type="dxa"/>
            <w:tcBorders>
              <w:top w:val="single" w:sz="4" w:space="0" w:color="auto"/>
              <w:left w:val="single" w:sz="4" w:space="0" w:color="auto"/>
              <w:bottom w:val="single" w:sz="4" w:space="0" w:color="auto"/>
              <w:right w:val="single" w:sz="4" w:space="0" w:color="auto"/>
            </w:tcBorders>
            <w:hideMark/>
          </w:tcPr>
          <w:p w14:paraId="0B0ED492" w14:textId="77777777" w:rsidR="003A71DE" w:rsidRPr="004722E6" w:rsidRDefault="003A71DE" w:rsidP="001A5D47">
            <w:pPr>
              <w:pStyle w:val="TAC"/>
              <w:rPr>
                <w:rFonts w:eastAsia="SimSun"/>
                <w:lang w:eastAsia="zh-CN"/>
              </w:rPr>
            </w:pPr>
            <w:r w:rsidRPr="004722E6">
              <w:rPr>
                <w:rFonts w:eastAsia="SimSun"/>
                <w:lang w:eastAsia="zh-CN"/>
              </w:rPr>
              <w:t>-62.82</w:t>
            </w:r>
          </w:p>
        </w:tc>
        <w:tc>
          <w:tcPr>
            <w:tcW w:w="851" w:type="dxa"/>
            <w:tcBorders>
              <w:top w:val="single" w:sz="4" w:space="0" w:color="auto"/>
              <w:left w:val="single" w:sz="4" w:space="0" w:color="auto"/>
              <w:bottom w:val="single" w:sz="4" w:space="0" w:color="auto"/>
              <w:right w:val="single" w:sz="4" w:space="0" w:color="auto"/>
            </w:tcBorders>
            <w:hideMark/>
          </w:tcPr>
          <w:p w14:paraId="52FD8DF3" w14:textId="77777777" w:rsidR="003A71DE" w:rsidRPr="004722E6" w:rsidRDefault="003A71DE" w:rsidP="001A5D47">
            <w:pPr>
              <w:pStyle w:val="TAC"/>
              <w:rPr>
                <w:rFonts w:eastAsia="SimSun"/>
                <w:lang w:eastAsia="zh-CN"/>
              </w:rPr>
            </w:pPr>
            <w:r w:rsidRPr="004722E6">
              <w:rPr>
                <w:rFonts w:eastAsia="SimSun"/>
              </w:rPr>
              <w:t>-infinity</w:t>
            </w:r>
          </w:p>
        </w:tc>
        <w:tc>
          <w:tcPr>
            <w:tcW w:w="899" w:type="dxa"/>
            <w:tcBorders>
              <w:top w:val="single" w:sz="4" w:space="0" w:color="auto"/>
              <w:left w:val="single" w:sz="4" w:space="0" w:color="auto"/>
              <w:bottom w:val="single" w:sz="4" w:space="0" w:color="auto"/>
              <w:right w:val="single" w:sz="4" w:space="0" w:color="auto"/>
            </w:tcBorders>
            <w:hideMark/>
          </w:tcPr>
          <w:p w14:paraId="643B83DC" w14:textId="77777777" w:rsidR="003A71DE" w:rsidRPr="004722E6" w:rsidRDefault="003A71DE" w:rsidP="001A5D47">
            <w:pPr>
              <w:pStyle w:val="TAC"/>
              <w:rPr>
                <w:rFonts w:eastAsia="SimSun"/>
                <w:lang w:eastAsia="zh-CN"/>
              </w:rPr>
            </w:pPr>
            <w:r w:rsidRPr="004722E6">
              <w:rPr>
                <w:rFonts w:eastAsia="SimSun"/>
              </w:rPr>
              <w:t>-infinity</w:t>
            </w:r>
          </w:p>
        </w:tc>
        <w:tc>
          <w:tcPr>
            <w:tcW w:w="802" w:type="dxa"/>
            <w:tcBorders>
              <w:top w:val="single" w:sz="4" w:space="0" w:color="auto"/>
              <w:left w:val="single" w:sz="4" w:space="0" w:color="auto"/>
              <w:bottom w:val="single" w:sz="4" w:space="0" w:color="auto"/>
              <w:right w:val="single" w:sz="4" w:space="0" w:color="auto"/>
            </w:tcBorders>
            <w:hideMark/>
          </w:tcPr>
          <w:p w14:paraId="5A3E6DEE" w14:textId="77777777" w:rsidR="003A71DE" w:rsidRPr="004722E6" w:rsidRDefault="003A71DE" w:rsidP="001A5D47">
            <w:pPr>
              <w:pStyle w:val="TAC"/>
              <w:rPr>
                <w:rFonts w:eastAsia="SimSun"/>
              </w:rPr>
            </w:pPr>
            <w:r w:rsidRPr="004722E6">
              <w:rPr>
                <w:rFonts w:eastAsia="SimSun"/>
              </w:rPr>
              <w:t>-infinity</w:t>
            </w:r>
          </w:p>
        </w:tc>
        <w:tc>
          <w:tcPr>
            <w:tcW w:w="850" w:type="dxa"/>
            <w:tcBorders>
              <w:top w:val="single" w:sz="4" w:space="0" w:color="auto"/>
              <w:left w:val="single" w:sz="4" w:space="0" w:color="auto"/>
              <w:bottom w:val="single" w:sz="4" w:space="0" w:color="auto"/>
              <w:right w:val="single" w:sz="4" w:space="0" w:color="auto"/>
            </w:tcBorders>
            <w:hideMark/>
          </w:tcPr>
          <w:p w14:paraId="280C2997" w14:textId="77777777" w:rsidR="003A71DE" w:rsidRPr="004722E6" w:rsidRDefault="003A71DE" w:rsidP="001A5D47">
            <w:pPr>
              <w:pStyle w:val="TAC"/>
              <w:rPr>
                <w:rFonts w:eastAsia="SimSun"/>
              </w:rPr>
            </w:pPr>
            <w:r w:rsidRPr="004722E6">
              <w:rPr>
                <w:rFonts w:eastAsia="SimSun"/>
              </w:rPr>
              <w:t>-infinity</w:t>
            </w:r>
          </w:p>
        </w:tc>
        <w:tc>
          <w:tcPr>
            <w:tcW w:w="767" w:type="dxa"/>
            <w:tcBorders>
              <w:top w:val="single" w:sz="4" w:space="0" w:color="auto"/>
              <w:left w:val="single" w:sz="4" w:space="0" w:color="auto"/>
              <w:bottom w:val="single" w:sz="4" w:space="0" w:color="auto"/>
              <w:right w:val="single" w:sz="4" w:space="0" w:color="auto"/>
            </w:tcBorders>
            <w:hideMark/>
          </w:tcPr>
          <w:p w14:paraId="75A44F6F" w14:textId="77777777" w:rsidR="003A71DE" w:rsidRPr="004722E6" w:rsidRDefault="003A71DE" w:rsidP="001A5D47">
            <w:pPr>
              <w:pStyle w:val="TAC"/>
              <w:rPr>
                <w:rFonts w:eastAsia="SimSun"/>
                <w:lang w:eastAsia="zh-CN"/>
              </w:rPr>
            </w:pPr>
            <w:r w:rsidRPr="004722E6">
              <w:rPr>
                <w:rFonts w:eastAsia="SimSun"/>
                <w:lang w:eastAsia="zh-CN"/>
              </w:rPr>
              <w:t>-62.82</w:t>
            </w:r>
          </w:p>
        </w:tc>
      </w:tr>
      <w:tr w:rsidR="003A71DE" w:rsidRPr="004722E6" w14:paraId="7827D659" w14:textId="77777777" w:rsidTr="003A71DE">
        <w:trPr>
          <w:cantSplit/>
          <w:jc w:val="center"/>
        </w:trPr>
        <w:tc>
          <w:tcPr>
            <w:tcW w:w="1951" w:type="dxa"/>
            <w:tcBorders>
              <w:top w:val="single" w:sz="4" w:space="0" w:color="auto"/>
              <w:left w:val="single" w:sz="4" w:space="0" w:color="auto"/>
              <w:bottom w:val="single" w:sz="4" w:space="0" w:color="auto"/>
              <w:right w:val="single" w:sz="4" w:space="0" w:color="auto"/>
            </w:tcBorders>
            <w:hideMark/>
          </w:tcPr>
          <w:p w14:paraId="74A8576E" w14:textId="77777777" w:rsidR="003A71DE" w:rsidRPr="004722E6" w:rsidRDefault="003A71DE" w:rsidP="001A5D47">
            <w:pPr>
              <w:pStyle w:val="TAL"/>
              <w:rPr>
                <w:rFonts w:eastAsia="SimSun"/>
              </w:rPr>
            </w:pPr>
            <w:r w:rsidRPr="004722E6">
              <w:rPr>
                <w:rFonts w:eastAsia="SimSun"/>
              </w:rPr>
              <w:t xml:space="preserve">Propagation Condition </w:t>
            </w:r>
          </w:p>
        </w:tc>
        <w:tc>
          <w:tcPr>
            <w:tcW w:w="1588" w:type="dxa"/>
            <w:tcBorders>
              <w:top w:val="single" w:sz="4" w:space="0" w:color="auto"/>
              <w:left w:val="single" w:sz="4" w:space="0" w:color="auto"/>
              <w:bottom w:val="single" w:sz="4" w:space="0" w:color="auto"/>
              <w:right w:val="single" w:sz="4" w:space="0" w:color="auto"/>
            </w:tcBorders>
          </w:tcPr>
          <w:p w14:paraId="792F0DF2" w14:textId="77777777" w:rsidR="003A71DE" w:rsidRPr="004722E6" w:rsidRDefault="003A71DE" w:rsidP="001A5D47">
            <w:pPr>
              <w:pStyle w:val="TAC"/>
              <w:rPr>
                <w:rFonts w:eastAsia="SimSun"/>
              </w:rPr>
            </w:pPr>
          </w:p>
        </w:tc>
        <w:tc>
          <w:tcPr>
            <w:tcW w:w="1418" w:type="dxa"/>
            <w:tcBorders>
              <w:top w:val="single" w:sz="4" w:space="0" w:color="auto"/>
              <w:left w:val="single" w:sz="4" w:space="0" w:color="auto"/>
              <w:bottom w:val="single" w:sz="4" w:space="0" w:color="auto"/>
              <w:right w:val="single" w:sz="4" w:space="0" w:color="auto"/>
            </w:tcBorders>
            <w:hideMark/>
          </w:tcPr>
          <w:p w14:paraId="1D36E7D7" w14:textId="77777777" w:rsidR="003A71DE" w:rsidRPr="004722E6" w:rsidRDefault="003A71DE" w:rsidP="001A5D47">
            <w:pPr>
              <w:pStyle w:val="TAC"/>
              <w:rPr>
                <w:rFonts w:eastAsia="SimSun"/>
                <w:lang w:eastAsia="zh-CN"/>
              </w:rPr>
            </w:pPr>
            <w:r w:rsidRPr="004722E6">
              <w:rPr>
                <w:rFonts w:eastAsia="SimSun"/>
                <w:lang w:eastAsia="zh-CN"/>
              </w:rPr>
              <w:t>1</w:t>
            </w:r>
          </w:p>
        </w:tc>
        <w:tc>
          <w:tcPr>
            <w:tcW w:w="5367" w:type="dxa"/>
            <w:gridSpan w:val="6"/>
            <w:tcBorders>
              <w:top w:val="single" w:sz="4" w:space="0" w:color="auto"/>
              <w:left w:val="single" w:sz="4" w:space="0" w:color="auto"/>
              <w:bottom w:val="single" w:sz="4" w:space="0" w:color="auto"/>
              <w:right w:val="single" w:sz="4" w:space="0" w:color="auto"/>
            </w:tcBorders>
            <w:hideMark/>
          </w:tcPr>
          <w:p w14:paraId="5E68DE5F" w14:textId="77777777" w:rsidR="003A71DE" w:rsidRPr="004722E6" w:rsidRDefault="003A71DE" w:rsidP="001A5D47">
            <w:pPr>
              <w:pStyle w:val="TAC"/>
              <w:rPr>
                <w:rFonts w:eastAsia="SimSun"/>
              </w:rPr>
            </w:pPr>
            <w:r w:rsidRPr="004722E6">
              <w:rPr>
                <w:rFonts w:eastAsia="SimSun"/>
              </w:rPr>
              <w:t>AWGN</w:t>
            </w:r>
          </w:p>
        </w:tc>
      </w:tr>
      <w:tr w:rsidR="003A71DE" w:rsidRPr="004722E6" w14:paraId="4D8C6D10" w14:textId="77777777" w:rsidTr="003A71DE">
        <w:trPr>
          <w:cantSplit/>
          <w:jc w:val="center"/>
        </w:trPr>
        <w:tc>
          <w:tcPr>
            <w:tcW w:w="10324" w:type="dxa"/>
            <w:gridSpan w:val="9"/>
            <w:tcBorders>
              <w:top w:val="single" w:sz="4" w:space="0" w:color="auto"/>
              <w:left w:val="single" w:sz="4" w:space="0" w:color="auto"/>
              <w:bottom w:val="single" w:sz="4" w:space="0" w:color="auto"/>
              <w:right w:val="single" w:sz="4" w:space="0" w:color="auto"/>
            </w:tcBorders>
            <w:hideMark/>
          </w:tcPr>
          <w:p w14:paraId="2B570D7E" w14:textId="77777777" w:rsidR="003A71DE" w:rsidRPr="004722E6" w:rsidRDefault="003A71DE" w:rsidP="001A5D47">
            <w:pPr>
              <w:pStyle w:val="TAN"/>
              <w:rPr>
                <w:rFonts w:eastAsia="SimSun"/>
              </w:rPr>
            </w:pPr>
            <w:r w:rsidRPr="004722E6">
              <w:rPr>
                <w:rFonts w:eastAsia="SimSun"/>
              </w:rPr>
              <w:t>Note 1:</w:t>
            </w:r>
            <w:r w:rsidRPr="004722E6">
              <w:rPr>
                <w:rFonts w:eastAsia="SimSun"/>
              </w:rPr>
              <w:tab/>
              <w:t>OCNG shall be used such that both cells are fully allocated and a constant total transmitted power spectral density is achieved for all OFDM symbols.</w:t>
            </w:r>
          </w:p>
          <w:p w14:paraId="45AD69AC" w14:textId="77777777" w:rsidR="003A71DE" w:rsidRPr="004722E6" w:rsidRDefault="003A71DE" w:rsidP="001A5D47">
            <w:pPr>
              <w:pStyle w:val="TAN"/>
              <w:rPr>
                <w:rFonts w:eastAsia="SimSun"/>
              </w:rPr>
            </w:pPr>
            <w:r w:rsidRPr="004722E6">
              <w:rPr>
                <w:rFonts w:eastAsia="SimSun"/>
              </w:rPr>
              <w:t>Note 2:</w:t>
            </w:r>
            <w:r w:rsidRPr="004722E6">
              <w:rPr>
                <w:rFonts w:eastAsia="SimSun"/>
              </w:rPr>
              <w:tab/>
              <w:t xml:space="preserve">Interference from other cells and noise sources not specified in the test is assumed to be constant over subcarriers and time and shall be modelled as AWGN of appropriate power for </w:t>
            </w:r>
            <w:r w:rsidRPr="004722E6">
              <w:object w:dxaOrig="435" w:dyaOrig="435" w14:anchorId="4DC3DAF5">
                <v:shape id="_x0000_i1069" type="#_x0000_t75" style="width:21.6pt;height:21.6pt" o:ole="" fillcolor="window">
                  <v:imagedata r:id="rId71" o:title=""/>
                </v:shape>
                <o:OLEObject Type="Embed" ProgID="Equation.3" ShapeID="_x0000_i1069" DrawAspect="Content" ObjectID="_1734764449" r:id="rId91"/>
              </w:object>
            </w:r>
            <w:r w:rsidRPr="004722E6">
              <w:rPr>
                <w:rFonts w:eastAsia="SimSun"/>
              </w:rPr>
              <w:t xml:space="preserve"> to be fulfilled.</w:t>
            </w:r>
          </w:p>
          <w:p w14:paraId="28BBCF97" w14:textId="77777777" w:rsidR="003A71DE" w:rsidRPr="004722E6" w:rsidRDefault="003A71DE" w:rsidP="001A5D47">
            <w:pPr>
              <w:pStyle w:val="TAN"/>
              <w:rPr>
                <w:rFonts w:eastAsia="SimSun"/>
              </w:rPr>
            </w:pPr>
            <w:r w:rsidRPr="004722E6">
              <w:rPr>
                <w:rFonts w:eastAsia="SimSun"/>
              </w:rPr>
              <w:t>Note 3:</w:t>
            </w:r>
            <w:r w:rsidRPr="004722E6">
              <w:rPr>
                <w:rFonts w:eastAsia="SimSun"/>
              </w:rPr>
              <w:tab/>
              <w:t xml:space="preserve">SS-RSRP levels have been derived from other parameters for information purposes. They are not settable parameters themselves. </w:t>
            </w:r>
          </w:p>
          <w:p w14:paraId="4817A11B" w14:textId="77777777" w:rsidR="003A71DE" w:rsidRPr="004722E6" w:rsidRDefault="003A71DE" w:rsidP="001A5D47">
            <w:pPr>
              <w:pStyle w:val="TAN"/>
              <w:rPr>
                <w:rFonts w:eastAsia="SimSun"/>
              </w:rPr>
            </w:pPr>
            <w:r w:rsidRPr="004722E6">
              <w:rPr>
                <w:rFonts w:eastAsia="SimSun"/>
              </w:rPr>
              <w:t>Note 4:</w:t>
            </w:r>
            <w:r w:rsidRPr="004722E6">
              <w:rPr>
                <w:rFonts w:eastAsia="SimSun"/>
              </w:rPr>
              <w:tab/>
              <w:t>Void</w:t>
            </w:r>
          </w:p>
        </w:tc>
      </w:tr>
    </w:tbl>
    <w:p w14:paraId="1F40DA01" w14:textId="77777777" w:rsidR="003A71DE" w:rsidRPr="00CE0F04" w:rsidRDefault="003A71DE" w:rsidP="003A71DE"/>
    <w:p w14:paraId="15F80E04" w14:textId="77777777" w:rsidR="003A71DE" w:rsidRPr="00CE0F04" w:rsidRDefault="003A71DE" w:rsidP="001A5D47">
      <w:pPr>
        <w:pStyle w:val="H6"/>
      </w:pPr>
      <w:r w:rsidRPr="00CE0F04">
        <w:t>G.2.1.1.1.4.2</w:t>
      </w:r>
      <w:r w:rsidRPr="00CE0F04">
        <w:tab/>
        <w:t>Test Requirements</w:t>
      </w:r>
    </w:p>
    <w:p w14:paraId="683E6506" w14:textId="77777777" w:rsidR="003A71DE" w:rsidRPr="00CE0F04" w:rsidRDefault="003A71DE" w:rsidP="003A71DE">
      <w:pPr>
        <w:rPr>
          <w:rFonts w:cs="v4.2.0"/>
        </w:rPr>
      </w:pPr>
      <w:r w:rsidRPr="00CE0F04">
        <w:rPr>
          <w:rFonts w:cs="v4.2.0"/>
        </w:rPr>
        <w:t xml:space="preserve">The RRC re-establishment delay is defined as the time from the start of time period T3, to the moment when the IAB-MT starts to send PRACH preambles to cell 2 for sending the </w:t>
      </w:r>
      <w:r w:rsidRPr="00CE0F04">
        <w:rPr>
          <w:i/>
        </w:rPr>
        <w:t>RRCReestablishmentRequest</w:t>
      </w:r>
      <w:r w:rsidRPr="00CE0F04">
        <w:t xml:space="preserve"> </w:t>
      </w:r>
      <w:r w:rsidRPr="00CE0F04">
        <w:rPr>
          <w:rFonts w:cs="v4.2.0"/>
        </w:rPr>
        <w:t>message to cell 2.</w:t>
      </w:r>
    </w:p>
    <w:p w14:paraId="3CB69283" w14:textId="77777777" w:rsidR="003A71DE" w:rsidRPr="00CE0F04" w:rsidRDefault="003A71DE" w:rsidP="003A71DE">
      <w:pPr>
        <w:rPr>
          <w:rFonts w:cs="v4.2.0"/>
        </w:rPr>
      </w:pPr>
      <w:r w:rsidRPr="00CE0F04">
        <w:rPr>
          <w:rFonts w:cs="v4.2.0"/>
        </w:rPr>
        <w:t xml:space="preserve">The RRC re-establishment delay </w:t>
      </w:r>
      <w:r w:rsidRPr="00CE0F04">
        <w:t>to an unknown NR intra frequency cell</w:t>
      </w:r>
      <w:r w:rsidRPr="00CE0F04">
        <w:rPr>
          <w:rFonts w:cs="v4.2.0"/>
        </w:rPr>
        <w:t xml:space="preserve"> without serving cell timing shall be less than 30 s.</w:t>
      </w:r>
    </w:p>
    <w:p w14:paraId="431F84AE" w14:textId="77777777" w:rsidR="003A71DE" w:rsidRPr="00CE0F04" w:rsidRDefault="003A71DE" w:rsidP="003A71DE">
      <w:pPr>
        <w:rPr>
          <w:rFonts w:cs="v4.2.0"/>
        </w:rPr>
      </w:pPr>
      <w:r w:rsidRPr="00CE0F04">
        <w:rPr>
          <w:rFonts w:cs="v4.2.0"/>
        </w:rPr>
        <w:t>The rate of correct RRC re-establishments observed during repeated tests shall be at least 90%.</w:t>
      </w:r>
    </w:p>
    <w:p w14:paraId="2B31DFED" w14:textId="77777777" w:rsidR="003A71DE" w:rsidRPr="00CE0F04" w:rsidRDefault="003A71DE" w:rsidP="003A71DE">
      <w:pPr>
        <w:keepLines/>
        <w:ind w:left="1135" w:hanging="851"/>
      </w:pPr>
      <w:r w:rsidRPr="00CE0F04">
        <w:t>NOTE:</w:t>
      </w:r>
      <w:r w:rsidRPr="00CE0F04">
        <w:tab/>
        <w:t>The RRC re-establishment delay in the test is derived from the following expression:</w:t>
      </w:r>
    </w:p>
    <w:p w14:paraId="33686356" w14:textId="77777777" w:rsidR="003A71DE" w:rsidRPr="00CE0F04" w:rsidRDefault="00000000" w:rsidP="003A71DE">
      <w:pPr>
        <w:keepLines/>
        <w:tabs>
          <w:tab w:val="center" w:pos="4536"/>
          <w:tab w:val="right" w:pos="9072"/>
        </w:tabs>
        <w:spacing w:before="240" w:after="240"/>
        <w:jc w:val="center"/>
        <w:rPr>
          <w:i/>
          <w:noProof/>
          <w:vertAlign w:val="subscript"/>
        </w:rPr>
      </w:pPr>
      <m:oMathPara>
        <m:oMath>
          <m:sSub>
            <m:sSubPr>
              <m:ctrlPr>
                <w:rPr>
                  <w:rFonts w:ascii="Cambria Math" w:hAnsi="Cambria Math"/>
                </w:rPr>
              </m:ctrlPr>
            </m:sSubPr>
            <m:e>
              <m:r>
                <w:rPr>
                  <w:rFonts w:ascii="Cambria Math" w:hAnsi="Cambria Math"/>
                </w:rPr>
                <m:t>T</m:t>
              </m:r>
            </m:e>
            <m:sub>
              <m:r>
                <w:rPr>
                  <w:rFonts w:ascii="Cambria Math" w:hAnsi="Cambria Math"/>
                </w:rPr>
                <m:t>re-establish_delay</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IAB-MT_re-establish_delay</m:t>
              </m:r>
            </m:sub>
          </m:sSub>
          <m:r>
            <m:rPr>
              <m:sty m:val="p"/>
            </m:rPr>
            <w:rPr>
              <w:rFonts w:ascii="Cambria Math" w:hAnsi="Cambria Math"/>
              <w:noProof/>
            </w:rPr>
            <m:t>+</m:t>
          </m:r>
          <m:sSub>
            <m:sSubPr>
              <m:ctrlPr>
                <w:rPr>
                  <w:rFonts w:ascii="Cambria Math" w:hAnsi="Cambria Math"/>
                  <w:i/>
                </w:rPr>
              </m:ctrlPr>
            </m:sSubPr>
            <m:e>
              <m:r>
                <w:rPr>
                  <w:rFonts w:ascii="Cambria Math" w:hAnsi="Cambria Math"/>
                </w:rPr>
                <m:t>T</m:t>
              </m:r>
            </m:e>
            <m:sub>
              <m:r>
                <w:rPr>
                  <w:rFonts w:ascii="Cambria Math" w:hAnsi="Cambria Math"/>
                </w:rPr>
                <m:t>UL_grant</m:t>
              </m:r>
            </m:sub>
          </m:sSub>
        </m:oMath>
      </m:oMathPara>
    </w:p>
    <w:p w14:paraId="46B7A4B9" w14:textId="77777777" w:rsidR="003A71DE" w:rsidRPr="00CE0F04" w:rsidRDefault="003A71DE" w:rsidP="003A71DE">
      <w:pPr>
        <w:keepLines/>
        <w:ind w:left="1135" w:hanging="851"/>
      </w:pPr>
      <w:r w:rsidRPr="00CE0F04">
        <w:t>Where:</w:t>
      </w:r>
    </w:p>
    <w:p w14:paraId="0E3715D1" w14:textId="77777777" w:rsidR="003A71DE" w:rsidRPr="00CE0F04" w:rsidRDefault="003A71DE" w:rsidP="003A71DE">
      <w:pPr>
        <w:ind w:left="851" w:hanging="284"/>
      </w:pPr>
      <w:r w:rsidRPr="00CE0F04">
        <w:tab/>
        <w:t>T</w:t>
      </w:r>
      <w:r w:rsidRPr="00CE0F04">
        <w:rPr>
          <w:vertAlign w:val="subscript"/>
        </w:rPr>
        <w:t>UL_grant</w:t>
      </w:r>
      <w:r w:rsidRPr="00CE0F04">
        <w:t xml:space="preserve"> = It is the time required to acquire and process uplink grant from the target cell.</w:t>
      </w:r>
      <w:r w:rsidRPr="00CE0F04">
        <w:rPr>
          <w:rFonts w:cs="v4.2.0"/>
        </w:rPr>
        <w:t xml:space="preserve"> The PRACH reception is used as a trigger for the completion of the test; hence </w:t>
      </w:r>
      <w:r w:rsidRPr="00CE0F04">
        <w:t>T</w:t>
      </w:r>
      <w:r w:rsidRPr="00CE0F04">
        <w:rPr>
          <w:vertAlign w:val="subscript"/>
        </w:rPr>
        <w:t xml:space="preserve">UL_grant </w:t>
      </w:r>
      <w:r w:rsidRPr="00CE0F04">
        <w:t>is not used.</w:t>
      </w:r>
    </w:p>
    <w:p w14:paraId="724CA6C6" w14:textId="77777777" w:rsidR="003A71DE" w:rsidRPr="00CE0F04" w:rsidRDefault="00000000" w:rsidP="003A71DE">
      <w:pPr>
        <w:keepLines/>
        <w:tabs>
          <w:tab w:val="center" w:pos="4536"/>
          <w:tab w:val="right" w:pos="9072"/>
        </w:tabs>
        <w:spacing w:before="240" w:after="240"/>
        <w:jc w:val="center"/>
        <w:rPr>
          <w:noProof/>
        </w:rPr>
      </w:pPr>
      <m:oMathPara>
        <m:oMath>
          <m:sSub>
            <m:sSubPr>
              <m:ctrlPr>
                <w:rPr>
                  <w:rFonts w:ascii="Cambria Math" w:hAnsi="Cambria Math"/>
                </w:rPr>
              </m:ctrlPr>
            </m:sSubPr>
            <m:e>
              <m:r>
                <w:rPr>
                  <w:rFonts w:ascii="Cambria Math" w:hAnsi="Cambria Math"/>
                </w:rPr>
                <m:t>T</m:t>
              </m:r>
            </m:e>
            <m:sub>
              <m:r>
                <w:rPr>
                  <w:rFonts w:ascii="Cambria Math" w:hAnsi="Cambria Math"/>
                </w:rPr>
                <m:t>IAB-MT_re-establish_delay</m:t>
              </m:r>
            </m:sub>
          </m:sSub>
          <m:r>
            <w:rPr>
              <w:rFonts w:ascii="Cambria Math" w:hAnsi="Cambria Math"/>
            </w:rPr>
            <m:t xml:space="preserve">=400 </m:t>
          </m:r>
          <m:r>
            <m:rPr>
              <m:sty m:val="p"/>
            </m:rPr>
            <w:rPr>
              <w:rFonts w:ascii="Cambria Math" w:hAnsi="Cambria Math"/>
            </w:rPr>
            <m:t>ms</m:t>
          </m:r>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identify_intra_NR</m:t>
              </m:r>
            </m:sub>
          </m:sSub>
          <m:r>
            <w:rPr>
              <w:rFonts w:ascii="Cambria Math" w:hAnsi="Cambria Math"/>
            </w:rPr>
            <m:t>+</m:t>
          </m:r>
          <m:nary>
            <m:naryPr>
              <m:chr m:val="∑"/>
              <m:limLoc m:val="subSup"/>
              <m:ctrlPr>
                <w:rPr>
                  <w:rFonts w:ascii="Cambria Math" w:hAnsi="Cambria Math"/>
                  <w:noProof/>
                </w:rPr>
              </m:ctrlPr>
            </m:naryPr>
            <m:sub>
              <m:r>
                <w:rPr>
                  <w:rFonts w:ascii="Cambria Math" w:hAnsi="Cambria Math"/>
                  <w:noProof/>
                </w:rPr>
                <m:t>i=1</m:t>
              </m:r>
            </m:sub>
            <m:sup>
              <m:sSub>
                <m:sSubPr>
                  <m:ctrlPr>
                    <w:rPr>
                      <w:rFonts w:ascii="Cambria Math" w:hAnsi="Cambria Math"/>
                      <w:i/>
                      <w:noProof/>
                    </w:rPr>
                  </m:ctrlPr>
                </m:sSubPr>
                <m:e>
                  <m:r>
                    <w:rPr>
                      <w:rFonts w:ascii="Cambria Math" w:hAnsi="Cambria Math"/>
                      <w:noProof/>
                    </w:rPr>
                    <m:t>N</m:t>
                  </m:r>
                </m:e>
                <m:sub>
                  <m:r>
                    <w:rPr>
                      <w:rFonts w:ascii="Cambria Math" w:hAnsi="Cambria Math"/>
                      <w:noProof/>
                    </w:rPr>
                    <m:t>freq</m:t>
                  </m:r>
                </m:sub>
              </m:sSub>
              <m:r>
                <w:rPr>
                  <w:rFonts w:ascii="Cambria Math" w:hAnsi="Cambria Math"/>
                  <w:noProof/>
                </w:rPr>
                <m:t>-1</m:t>
              </m:r>
            </m:sup>
            <m:e>
              <m:sSub>
                <m:sSubPr>
                  <m:ctrlPr>
                    <w:rPr>
                      <w:rFonts w:ascii="Cambria Math" w:hAnsi="Cambria Math"/>
                      <w:i/>
                      <w:noProof/>
                    </w:rPr>
                  </m:ctrlPr>
                </m:sSubPr>
                <m:e>
                  <m:r>
                    <w:rPr>
                      <w:rFonts w:ascii="Cambria Math" w:hAnsi="Cambria Math"/>
                      <w:noProof/>
                    </w:rPr>
                    <m:t>T</m:t>
                  </m:r>
                </m:e>
                <m:sub>
                  <m:r>
                    <w:rPr>
                      <w:rFonts w:ascii="Cambria Math" w:hAnsi="Cambria Math"/>
                      <w:noProof/>
                    </w:rPr>
                    <m:t>identify_inter_NR,i</m:t>
                  </m:r>
                </m:sub>
              </m:sSub>
            </m:e>
          </m:nary>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SI-NR</m:t>
              </m:r>
            </m:sub>
          </m:sSub>
          <m:r>
            <m:rPr>
              <m:sty m:val="p"/>
            </m:rPr>
            <w:rPr>
              <w:rFonts w:ascii="Cambria Math" w:hAnsi="Cambria Math"/>
              <w:noProof/>
              <w:vertAlign w:val="subscript"/>
            </w:rPr>
            <m:t>+</m:t>
          </m:r>
          <m:sSub>
            <m:sSubPr>
              <m:ctrlPr>
                <w:rPr>
                  <w:rFonts w:ascii="Cambria Math" w:hAnsi="Cambria Math"/>
                  <w:noProof/>
                  <w:vertAlign w:val="subscript"/>
                </w:rPr>
              </m:ctrlPr>
            </m:sSubPr>
            <m:e>
              <m:r>
                <w:rPr>
                  <w:rFonts w:ascii="Cambria Math" w:hAnsi="Cambria Math"/>
                  <w:noProof/>
                  <w:vertAlign w:val="subscript"/>
                </w:rPr>
                <m:t>T</m:t>
              </m:r>
            </m:e>
            <m:sub>
              <m:r>
                <w:rPr>
                  <w:rFonts w:ascii="Cambria Math" w:hAnsi="Cambria Math"/>
                  <w:noProof/>
                  <w:vertAlign w:val="subscript"/>
                </w:rPr>
                <m:t>PRACH</m:t>
              </m:r>
            </m:sub>
          </m:sSub>
        </m:oMath>
      </m:oMathPara>
    </w:p>
    <w:p w14:paraId="01A6EE73" w14:textId="77777777" w:rsidR="003A71DE" w:rsidRPr="00CE0F04" w:rsidRDefault="003A71DE" w:rsidP="003A71DE">
      <w:pPr>
        <w:ind w:left="851" w:hanging="284"/>
      </w:pPr>
      <w:r w:rsidRPr="00CE0F04">
        <w:rPr>
          <w:rFonts w:cs="v4.2.0"/>
        </w:rPr>
        <w:lastRenderedPageBreak/>
        <w:tab/>
        <w:t>N</w:t>
      </w:r>
      <w:r w:rsidRPr="00CE0F04">
        <w:rPr>
          <w:rFonts w:cs="v4.2.0"/>
          <w:vertAlign w:val="subscript"/>
        </w:rPr>
        <w:t>freq</w:t>
      </w:r>
      <w:r w:rsidRPr="00CE0F04">
        <w:t xml:space="preserve"> = 1</w:t>
      </w:r>
    </w:p>
    <w:p w14:paraId="7C165045" w14:textId="77777777" w:rsidR="003A71DE" w:rsidRPr="00CE0F04" w:rsidRDefault="003A71DE" w:rsidP="003A71DE">
      <w:pPr>
        <w:ind w:left="851" w:hanging="284"/>
      </w:pPr>
      <w:r w:rsidRPr="00CE0F04">
        <w:rPr>
          <w:rFonts w:cs="v4.2.0"/>
          <w:iCs/>
        </w:rPr>
        <w:tab/>
        <w:t>T</w:t>
      </w:r>
      <w:r w:rsidRPr="00CE0F04">
        <w:rPr>
          <w:rFonts w:cs="v4.2.0"/>
          <w:iCs/>
          <w:vertAlign w:val="subscript"/>
        </w:rPr>
        <w:t>identify_intra_NR</w:t>
      </w:r>
      <w:r w:rsidRPr="00CE0F04">
        <w:t xml:space="preserve"> = 28160 ms</w:t>
      </w:r>
    </w:p>
    <w:p w14:paraId="7F12647E" w14:textId="77777777" w:rsidR="003A71DE" w:rsidRPr="00CE0F04" w:rsidRDefault="003A71DE" w:rsidP="003A71DE">
      <w:pPr>
        <w:ind w:left="851" w:hanging="284"/>
      </w:pPr>
      <w:r w:rsidRPr="00CE0F04">
        <w:tab/>
        <w:t>T</w:t>
      </w:r>
      <w:r w:rsidRPr="00CE0F04">
        <w:rPr>
          <w:vertAlign w:val="subscript"/>
        </w:rPr>
        <w:t>SI</w:t>
      </w:r>
      <w:r w:rsidRPr="00CE0F04">
        <w:t xml:space="preserve"> </w:t>
      </w:r>
      <w:r w:rsidRPr="00CE0F04">
        <w:rPr>
          <w:iCs/>
        </w:rPr>
        <w:t xml:space="preserve">= 1280 ms; it is the </w:t>
      </w:r>
      <w:r w:rsidRPr="00CE0F04">
        <w:rPr>
          <w:rFonts w:cs="v4.2.0"/>
        </w:rPr>
        <w:t xml:space="preserve">time required for receiving all the relevant system information as </w:t>
      </w:r>
      <w:r w:rsidRPr="00CE0F04">
        <w:t xml:space="preserve">defined in TS 38.331 [2] </w:t>
      </w:r>
      <w:r w:rsidRPr="00CE0F04">
        <w:rPr>
          <w:rFonts w:cs="v4.2.0"/>
        </w:rPr>
        <w:t>for the target intra-frequency NR cell.</w:t>
      </w:r>
    </w:p>
    <w:p w14:paraId="7FA6440F" w14:textId="77777777" w:rsidR="003A71DE" w:rsidRPr="00CE0F04" w:rsidRDefault="003A71DE" w:rsidP="003A71DE">
      <w:pPr>
        <w:ind w:left="851" w:hanging="284"/>
      </w:pPr>
      <w:r w:rsidRPr="00CE0F04">
        <w:rPr>
          <w:rFonts w:cs="v4.2.0"/>
        </w:rPr>
        <w:tab/>
        <w:t>T</w:t>
      </w:r>
      <w:r w:rsidRPr="00CE0F04">
        <w:rPr>
          <w:rFonts w:cs="v4.2.0"/>
          <w:vertAlign w:val="subscript"/>
        </w:rPr>
        <w:t>PRACH</w:t>
      </w:r>
      <w:r w:rsidRPr="00CE0F04">
        <w:rPr>
          <w:vertAlign w:val="subscript"/>
        </w:rPr>
        <w:t xml:space="preserve"> </w:t>
      </w:r>
      <w:r w:rsidRPr="00CE0F04">
        <w:t>= 15 ms; it is the additional delay caused by the random access procedure.</w:t>
      </w:r>
    </w:p>
    <w:p w14:paraId="288DF141" w14:textId="77777777" w:rsidR="003A71DE" w:rsidRPr="00CE0F04" w:rsidRDefault="003A71DE" w:rsidP="003A71DE">
      <w:r w:rsidRPr="00CE0F04">
        <w:t>This gives a total of 29855 ms, allow 30 s in the test case.</w:t>
      </w:r>
    </w:p>
    <w:p w14:paraId="686D238D" w14:textId="77777777" w:rsidR="003A71DE" w:rsidRDefault="003A71DE" w:rsidP="00BA0D24">
      <w:pPr>
        <w:pStyle w:val="Heading5"/>
        <w:rPr>
          <w:snapToGrid w:val="0"/>
        </w:rPr>
      </w:pPr>
      <w:bookmarkStart w:id="10191" w:name="_Toc74583674"/>
      <w:bookmarkStart w:id="10192" w:name="_Toc76542487"/>
      <w:bookmarkStart w:id="10193" w:name="_Toc82450469"/>
      <w:bookmarkStart w:id="10194" w:name="_Toc82451117"/>
      <w:bookmarkStart w:id="10195" w:name="_Toc89949506"/>
      <w:bookmarkStart w:id="10196" w:name="_Toc98755895"/>
      <w:bookmarkStart w:id="10197" w:name="_Toc98763487"/>
      <w:bookmarkStart w:id="10198" w:name="_Toc106184416"/>
      <w:r>
        <w:rPr>
          <w:snapToGrid w:val="0"/>
        </w:rPr>
        <w:t>G</w:t>
      </w:r>
      <w:r w:rsidRPr="004E396D">
        <w:rPr>
          <w:snapToGrid w:val="0"/>
        </w:rPr>
        <w:t>.</w:t>
      </w:r>
      <w:r>
        <w:rPr>
          <w:snapToGrid w:val="0"/>
        </w:rPr>
        <w:t>2</w:t>
      </w:r>
      <w:r w:rsidRPr="004E396D">
        <w:rPr>
          <w:snapToGrid w:val="0"/>
        </w:rPr>
        <w:t>.</w:t>
      </w:r>
      <w:r>
        <w:rPr>
          <w:snapToGrid w:val="0"/>
        </w:rPr>
        <w:t>1</w:t>
      </w:r>
      <w:r w:rsidRPr="004E396D">
        <w:rPr>
          <w:snapToGrid w:val="0"/>
        </w:rPr>
        <w:t>.</w:t>
      </w:r>
      <w:r>
        <w:rPr>
          <w:snapToGrid w:val="0"/>
        </w:rPr>
        <w:t>1</w:t>
      </w:r>
      <w:r w:rsidRPr="004E396D">
        <w:rPr>
          <w:snapToGrid w:val="0"/>
        </w:rPr>
        <w:t>.</w:t>
      </w:r>
      <w:r>
        <w:rPr>
          <w:snapToGrid w:val="0"/>
        </w:rPr>
        <w:t>2</w:t>
      </w:r>
      <w:r w:rsidRPr="004E396D">
        <w:rPr>
          <w:snapToGrid w:val="0"/>
        </w:rPr>
        <w:tab/>
      </w:r>
      <w:r w:rsidRPr="00BC4DF2">
        <w:rPr>
          <w:snapToGrid w:val="0"/>
        </w:rPr>
        <w:t>RRC Connection Release with Redirection</w:t>
      </w:r>
      <w:bookmarkEnd w:id="10191"/>
      <w:bookmarkEnd w:id="10192"/>
      <w:bookmarkEnd w:id="10193"/>
      <w:bookmarkEnd w:id="10194"/>
      <w:bookmarkEnd w:id="10195"/>
      <w:bookmarkEnd w:id="10196"/>
      <w:bookmarkEnd w:id="10197"/>
      <w:bookmarkEnd w:id="10198"/>
    </w:p>
    <w:p w14:paraId="3DF9C95D" w14:textId="77777777" w:rsidR="003A71DE" w:rsidRPr="007E2F91" w:rsidRDefault="003A71DE" w:rsidP="00BA0D24">
      <w:pPr>
        <w:pStyle w:val="H6"/>
        <w:rPr>
          <w:rFonts w:eastAsiaTheme="minorEastAsia"/>
        </w:rPr>
      </w:pPr>
      <w:r w:rsidRPr="007E2F91">
        <w:rPr>
          <w:rFonts w:eastAsiaTheme="minorEastAsia"/>
        </w:rPr>
        <w:t>G.2.1.1.</w:t>
      </w:r>
      <w:r>
        <w:rPr>
          <w:rFonts w:eastAsiaTheme="minorEastAsia"/>
        </w:rPr>
        <w:t>2</w:t>
      </w:r>
      <w:r w:rsidRPr="007E2F91">
        <w:rPr>
          <w:rFonts w:eastAsiaTheme="minorEastAsia"/>
        </w:rPr>
        <w:t>.1</w:t>
      </w:r>
      <w:r w:rsidRPr="007E2F91">
        <w:rPr>
          <w:rFonts w:eastAsiaTheme="minorEastAsia"/>
        </w:rPr>
        <w:tab/>
        <w:t>Redirection from NR in FR1 to NR in FR1</w:t>
      </w:r>
    </w:p>
    <w:p w14:paraId="32AED944" w14:textId="77777777" w:rsidR="003A71DE" w:rsidRPr="007E2F91" w:rsidRDefault="003A71DE" w:rsidP="00BA0D24">
      <w:pPr>
        <w:pStyle w:val="H6"/>
        <w:rPr>
          <w:rFonts w:eastAsiaTheme="minorEastAsia"/>
          <w:snapToGrid w:val="0"/>
        </w:rPr>
      </w:pPr>
      <w:r w:rsidRPr="00BA0D24">
        <w:t>G.2.1.1.2.1.1</w:t>
      </w:r>
      <w:r w:rsidRPr="00BA0D24">
        <w:tab/>
        <w:t>Test Purpose and Environmen</w:t>
      </w:r>
      <w:r w:rsidRPr="007E2F91">
        <w:rPr>
          <w:rFonts w:eastAsiaTheme="minorEastAsia"/>
          <w:snapToGrid w:val="0"/>
        </w:rPr>
        <w:t>t</w:t>
      </w:r>
    </w:p>
    <w:p w14:paraId="78D1CF6E" w14:textId="77777777" w:rsidR="003A71DE" w:rsidRPr="007E2F91" w:rsidRDefault="003A71DE" w:rsidP="003A71DE">
      <w:pPr>
        <w:rPr>
          <w:rFonts w:eastAsiaTheme="minorEastAsia" w:cs="v4.2.0"/>
        </w:rPr>
      </w:pPr>
      <w:r w:rsidRPr="007E2F91">
        <w:rPr>
          <w:rFonts w:eastAsiaTheme="minorEastAsia" w:cs="v4.2.0"/>
        </w:rPr>
        <w:t>This test is to verify RRC connection release with redirection from NR to NR requirements specified in clause 12.1.1.3.</w:t>
      </w:r>
    </w:p>
    <w:p w14:paraId="240FA4FA" w14:textId="77777777" w:rsidR="003A71DE" w:rsidRPr="007E2F91" w:rsidRDefault="003A71DE" w:rsidP="00BA0D24">
      <w:pPr>
        <w:pStyle w:val="H6"/>
        <w:rPr>
          <w:rFonts w:eastAsiaTheme="minorEastAsia"/>
          <w:snapToGrid w:val="0"/>
        </w:rPr>
      </w:pP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snapToGrid w:val="0"/>
        </w:rPr>
        <w:tab/>
        <w:t>Test Parameters</w:t>
      </w:r>
    </w:p>
    <w:p w14:paraId="0738C199" w14:textId="77777777" w:rsidR="003A71DE" w:rsidRPr="007E2F91" w:rsidRDefault="003A71DE" w:rsidP="003A71DE">
      <w:pPr>
        <w:rPr>
          <w:rFonts w:eastAsiaTheme="minorEastAsia"/>
        </w:rPr>
      </w:pPr>
      <w:r w:rsidRPr="007E2F91">
        <w:rPr>
          <w:rFonts w:eastAsiaTheme="minorEastAsia"/>
        </w:rPr>
        <w:t xml:space="preserve">Supported test configurations are shown in table </w:t>
      </w: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rPr>
        <w:t xml:space="preserve">-1. The time delay is tested by using the parameters in table </w:t>
      </w: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rPr>
        <w:t xml:space="preserve">-2, and </w:t>
      </w: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rPr>
        <w:t xml:space="preserve">-3. </w:t>
      </w:r>
    </w:p>
    <w:p w14:paraId="2767B598" w14:textId="77777777" w:rsidR="003A71DE" w:rsidRPr="007E2F91" w:rsidRDefault="003A71DE" w:rsidP="003A71DE">
      <w:pPr>
        <w:rPr>
          <w:rFonts w:eastAsiaTheme="minorEastAsia"/>
        </w:rPr>
      </w:pPr>
      <w:r w:rsidRPr="007E2F91">
        <w:rPr>
          <w:rFonts w:eastAsiaTheme="minorEastAsia"/>
        </w:rPr>
        <w:t xml:space="preserve">The test consists of two successive time periods, with time duration of T1, and T2 respectively. The </w:t>
      </w:r>
      <w:r w:rsidRPr="007E2F91">
        <w:rPr>
          <w:rFonts w:eastAsiaTheme="minorEastAsia" w:hint="eastAsia"/>
          <w:i/>
          <w:lang w:eastAsia="zh-CN"/>
        </w:rPr>
        <w:t>RRCRelease</w:t>
      </w:r>
      <w:r w:rsidRPr="007E2F91">
        <w:rPr>
          <w:rFonts w:eastAsiaTheme="minorEastAsia"/>
        </w:rPr>
        <w:t xml:space="preserve"> message shall be sent to the IAB-MT during period T1 and the start of T2 is the instant when the last TTI containing the RRC message is sent to the IAB-MT. Prior to time duration T2, the IAB-MT shall not have any timing information of Cell 2. Cell 2 is powered up at the beginning of the T2.</w:t>
      </w:r>
    </w:p>
    <w:p w14:paraId="50AE45BC" w14:textId="77777777" w:rsidR="003A71DE" w:rsidRPr="007E2F91" w:rsidRDefault="003A71DE" w:rsidP="00BA0D24">
      <w:pPr>
        <w:pStyle w:val="TH"/>
        <w:rPr>
          <w:rFonts w:eastAsiaTheme="minorEastAsia"/>
          <w:lang w:eastAsia="zh-CN"/>
        </w:rPr>
      </w:pPr>
      <w:r w:rsidRPr="007E2F91">
        <w:rPr>
          <w:rFonts w:eastAsiaTheme="minorEastAsia"/>
        </w:rPr>
        <w:t xml:space="preserve">Table </w:t>
      </w: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rPr>
        <w:t xml:space="preserve">-1: </w:t>
      </w:r>
      <w:r w:rsidRPr="007E2F91">
        <w:rPr>
          <w:rFonts w:eastAsiaTheme="minorEastAsia"/>
          <w:snapToGrid w:val="0"/>
        </w:rPr>
        <w:t>Redirection</w:t>
      </w:r>
      <w:r w:rsidRPr="007E2F91">
        <w:rPr>
          <w:rFonts w:eastAsiaTheme="minorEastAsia"/>
        </w:rPr>
        <w:t xml:space="preserve"> from NR to NR</w:t>
      </w:r>
      <w:r w:rsidRPr="007E2F91">
        <w:rPr>
          <w:rFonts w:eastAsiaTheme="minorEastAsia"/>
          <w:snapToGrid w:val="0"/>
        </w:rPr>
        <w:t xml:space="preserve"> </w:t>
      </w:r>
      <w:r w:rsidRPr="007E2F91">
        <w:rPr>
          <w:rFonts w:eastAsiaTheme="minorEastAsia"/>
        </w:rPr>
        <w:t xml:space="preserve">test configurations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7299"/>
      </w:tblGrid>
      <w:tr w:rsidR="003A71DE" w:rsidRPr="007E2F91" w14:paraId="4DDF713F" w14:textId="77777777" w:rsidTr="003A71DE">
        <w:tc>
          <w:tcPr>
            <w:tcW w:w="2330" w:type="dxa"/>
            <w:shd w:val="clear" w:color="auto" w:fill="auto"/>
          </w:tcPr>
          <w:p w14:paraId="48B61C02" w14:textId="77777777" w:rsidR="003A71DE" w:rsidRPr="007E2F91" w:rsidRDefault="003A71DE" w:rsidP="001A5D47">
            <w:pPr>
              <w:pStyle w:val="TAH"/>
              <w:rPr>
                <w:rFonts w:eastAsiaTheme="minorEastAsia"/>
              </w:rPr>
            </w:pPr>
            <w:r w:rsidRPr="007E2F91">
              <w:rPr>
                <w:rFonts w:eastAsiaTheme="minorEastAsia"/>
              </w:rPr>
              <w:t>Config</w:t>
            </w:r>
          </w:p>
        </w:tc>
        <w:tc>
          <w:tcPr>
            <w:tcW w:w="7299" w:type="dxa"/>
            <w:shd w:val="clear" w:color="auto" w:fill="auto"/>
          </w:tcPr>
          <w:p w14:paraId="0D5D42FC" w14:textId="77777777" w:rsidR="003A71DE" w:rsidRPr="007E2F91" w:rsidRDefault="003A71DE" w:rsidP="001A5D47">
            <w:pPr>
              <w:pStyle w:val="TAH"/>
              <w:rPr>
                <w:rFonts w:eastAsiaTheme="minorEastAsia"/>
                <w:lang w:val="en-US"/>
              </w:rPr>
            </w:pPr>
            <w:r w:rsidRPr="007E2F91">
              <w:rPr>
                <w:rFonts w:eastAsiaTheme="minorEastAsia"/>
              </w:rPr>
              <w:t>Description</w:t>
            </w:r>
          </w:p>
        </w:tc>
      </w:tr>
      <w:tr w:rsidR="003A71DE" w:rsidRPr="007E2F91" w14:paraId="61DB84B4" w14:textId="77777777" w:rsidTr="003A71DE">
        <w:tc>
          <w:tcPr>
            <w:tcW w:w="2330" w:type="dxa"/>
            <w:shd w:val="clear" w:color="auto" w:fill="auto"/>
          </w:tcPr>
          <w:p w14:paraId="10086478" w14:textId="77777777" w:rsidR="003A71DE" w:rsidRPr="007E2F91" w:rsidRDefault="003A71DE" w:rsidP="001A5D47">
            <w:pPr>
              <w:pStyle w:val="TAL"/>
              <w:rPr>
                <w:rFonts w:eastAsiaTheme="minorEastAsia"/>
              </w:rPr>
            </w:pPr>
            <w:r w:rsidRPr="007E2F91">
              <w:rPr>
                <w:rFonts w:eastAsiaTheme="minorEastAsia"/>
              </w:rPr>
              <w:t>1</w:t>
            </w:r>
          </w:p>
        </w:tc>
        <w:tc>
          <w:tcPr>
            <w:tcW w:w="7299" w:type="dxa"/>
            <w:shd w:val="clear" w:color="auto" w:fill="auto"/>
          </w:tcPr>
          <w:p w14:paraId="2D02F642" w14:textId="77777777" w:rsidR="003A71DE" w:rsidRPr="007E2F91" w:rsidRDefault="003A71DE" w:rsidP="001A5D47">
            <w:pPr>
              <w:pStyle w:val="TAL"/>
              <w:rPr>
                <w:rFonts w:eastAsiaTheme="minorEastAsia"/>
              </w:rPr>
            </w:pPr>
            <w:r w:rsidRPr="007E2F91">
              <w:rPr>
                <w:rFonts w:eastAsiaTheme="minorEastAsia"/>
              </w:rPr>
              <w:t>Source cell: NR 15 kHz SSB SCS, TDD duplex mode</w:t>
            </w:r>
          </w:p>
          <w:p w14:paraId="65AE1153" w14:textId="77777777" w:rsidR="003A71DE" w:rsidRPr="007E2F91" w:rsidRDefault="003A71DE" w:rsidP="001A5D47">
            <w:pPr>
              <w:pStyle w:val="TAL"/>
              <w:rPr>
                <w:rFonts w:eastAsiaTheme="minorEastAsia"/>
              </w:rPr>
            </w:pPr>
            <w:r w:rsidRPr="007E2F91">
              <w:rPr>
                <w:rFonts w:eastAsiaTheme="minorEastAsia"/>
              </w:rPr>
              <w:t>Target cell: NR 15 kHz SSB SCS, TDD duplex mode</w:t>
            </w:r>
          </w:p>
        </w:tc>
      </w:tr>
      <w:tr w:rsidR="003A71DE" w:rsidRPr="007E2F91" w14:paraId="3D1A9A97" w14:textId="77777777" w:rsidTr="003A71DE">
        <w:tc>
          <w:tcPr>
            <w:tcW w:w="2330" w:type="dxa"/>
            <w:shd w:val="clear" w:color="auto" w:fill="auto"/>
          </w:tcPr>
          <w:p w14:paraId="3D7EC847" w14:textId="77777777" w:rsidR="003A71DE" w:rsidRPr="007E2F91" w:rsidRDefault="003A71DE" w:rsidP="001A5D47">
            <w:pPr>
              <w:pStyle w:val="TAL"/>
              <w:rPr>
                <w:rFonts w:eastAsiaTheme="minorEastAsia"/>
              </w:rPr>
            </w:pPr>
            <w:r w:rsidRPr="007E2F91">
              <w:rPr>
                <w:rFonts w:eastAsiaTheme="minorEastAsia"/>
              </w:rPr>
              <w:t>2</w:t>
            </w:r>
          </w:p>
        </w:tc>
        <w:tc>
          <w:tcPr>
            <w:tcW w:w="7299" w:type="dxa"/>
            <w:shd w:val="clear" w:color="auto" w:fill="auto"/>
          </w:tcPr>
          <w:p w14:paraId="43D6324C" w14:textId="77777777" w:rsidR="003A71DE" w:rsidRPr="007E2F91" w:rsidRDefault="003A71DE" w:rsidP="001A5D47">
            <w:pPr>
              <w:pStyle w:val="TAL"/>
              <w:rPr>
                <w:rFonts w:eastAsiaTheme="minorEastAsia"/>
              </w:rPr>
            </w:pPr>
            <w:r w:rsidRPr="007E2F91">
              <w:rPr>
                <w:rFonts w:eastAsiaTheme="minorEastAsia"/>
              </w:rPr>
              <w:t>Source cell: NR 30 kHz SSB SCS, TDD duplex mode</w:t>
            </w:r>
          </w:p>
          <w:p w14:paraId="0B5453AC" w14:textId="77777777" w:rsidR="003A71DE" w:rsidRPr="007E2F91" w:rsidRDefault="003A71DE" w:rsidP="001A5D47">
            <w:pPr>
              <w:pStyle w:val="TAL"/>
              <w:rPr>
                <w:rFonts w:eastAsiaTheme="minorEastAsia"/>
              </w:rPr>
            </w:pPr>
            <w:r w:rsidRPr="007E2F91">
              <w:rPr>
                <w:rFonts w:eastAsiaTheme="minorEastAsia"/>
              </w:rPr>
              <w:t>Target cell: NR 30 kHz SSB SCS, TDD duplex mode</w:t>
            </w:r>
          </w:p>
        </w:tc>
      </w:tr>
      <w:tr w:rsidR="003A71DE" w:rsidRPr="007E2F91" w14:paraId="40BB6351" w14:textId="77777777" w:rsidTr="003A71DE">
        <w:tc>
          <w:tcPr>
            <w:tcW w:w="9629" w:type="dxa"/>
            <w:gridSpan w:val="2"/>
            <w:shd w:val="clear" w:color="auto" w:fill="auto"/>
          </w:tcPr>
          <w:p w14:paraId="40A97A08" w14:textId="77777777" w:rsidR="003A71DE" w:rsidRPr="007E2F91" w:rsidRDefault="003A71DE" w:rsidP="001A5D47">
            <w:pPr>
              <w:pStyle w:val="TAN"/>
              <w:rPr>
                <w:rFonts w:eastAsiaTheme="minorEastAsia"/>
              </w:rPr>
            </w:pPr>
            <w:r w:rsidRPr="007E2F91">
              <w:rPr>
                <w:rFonts w:eastAsiaTheme="minorEastAsia"/>
              </w:rPr>
              <w:t>Note 1:</w:t>
            </w:r>
            <w:r w:rsidRPr="007E2F91">
              <w:rPr>
                <w:rFonts w:eastAsiaTheme="minorEastAsia"/>
              </w:rPr>
              <w:tab/>
              <w:t>The IAB-MT is only required to be tested in one of the supported test configurations</w:t>
            </w:r>
          </w:p>
        </w:tc>
      </w:tr>
    </w:tbl>
    <w:p w14:paraId="6FDDEF2B" w14:textId="77777777" w:rsidR="003A71DE" w:rsidRPr="007E2F91" w:rsidRDefault="003A71DE" w:rsidP="003A71DE">
      <w:pPr>
        <w:rPr>
          <w:rFonts w:eastAsiaTheme="minorEastAsia"/>
        </w:rPr>
      </w:pPr>
    </w:p>
    <w:p w14:paraId="302D2F2C" w14:textId="77777777" w:rsidR="003A71DE" w:rsidRPr="007E2F91" w:rsidRDefault="003A71DE" w:rsidP="00BA0D24">
      <w:pPr>
        <w:pStyle w:val="TH"/>
        <w:rPr>
          <w:rFonts w:eastAsiaTheme="minorEastAsia"/>
        </w:rPr>
      </w:pPr>
      <w:r w:rsidRPr="007E2F91">
        <w:rPr>
          <w:rFonts w:eastAsiaTheme="minorEastAsia"/>
        </w:rPr>
        <w:t xml:space="preserve">Table </w:t>
      </w: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rPr>
        <w:t>-2</w:t>
      </w:r>
      <w:r w:rsidRPr="007E2F91">
        <w:rPr>
          <w:rFonts w:eastAsiaTheme="minorEastAsia" w:cs="v4.2.0"/>
        </w:rPr>
        <w:t xml:space="preserve">: General test parameters for </w:t>
      </w:r>
      <w:r w:rsidRPr="007E2F91">
        <w:rPr>
          <w:rFonts w:eastAsiaTheme="minorEastAsia"/>
          <w:snapToGrid w:val="0"/>
        </w:rPr>
        <w:t>Redirection</w:t>
      </w:r>
      <w:r w:rsidRPr="007E2F91">
        <w:rPr>
          <w:rFonts w:eastAsiaTheme="minorEastAsia"/>
        </w:rPr>
        <w:t xml:space="preserve"> from NR to NR test case</w:t>
      </w:r>
    </w:p>
    <w:tbl>
      <w:tblPr>
        <w:tblW w:w="924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1588"/>
        <w:gridCol w:w="1701"/>
        <w:gridCol w:w="708"/>
        <w:gridCol w:w="2410"/>
        <w:gridCol w:w="2835"/>
      </w:tblGrid>
      <w:tr w:rsidR="003A71DE" w:rsidRPr="007E2F91" w14:paraId="6209C71F" w14:textId="77777777" w:rsidTr="003A71DE">
        <w:trPr>
          <w:cantSplit/>
          <w:trHeight w:val="113"/>
          <w:jc w:val="center"/>
        </w:trPr>
        <w:tc>
          <w:tcPr>
            <w:tcW w:w="3289" w:type="dxa"/>
            <w:gridSpan w:val="2"/>
            <w:shd w:val="clear" w:color="auto" w:fill="auto"/>
          </w:tcPr>
          <w:p w14:paraId="507769D9" w14:textId="77777777" w:rsidR="003A71DE" w:rsidRPr="007E2F91" w:rsidRDefault="003A71DE" w:rsidP="001A5D47">
            <w:pPr>
              <w:pStyle w:val="TAH"/>
              <w:rPr>
                <w:rFonts w:eastAsiaTheme="minorEastAsia"/>
              </w:rPr>
            </w:pPr>
            <w:r w:rsidRPr="007E2F91">
              <w:rPr>
                <w:rFonts w:eastAsiaTheme="minorEastAsia"/>
              </w:rPr>
              <w:t>Parameter</w:t>
            </w:r>
          </w:p>
        </w:tc>
        <w:tc>
          <w:tcPr>
            <w:tcW w:w="708" w:type="dxa"/>
            <w:shd w:val="clear" w:color="auto" w:fill="auto"/>
          </w:tcPr>
          <w:p w14:paraId="102492E2" w14:textId="77777777" w:rsidR="003A71DE" w:rsidRPr="007E2F91" w:rsidRDefault="003A71DE" w:rsidP="001A5D47">
            <w:pPr>
              <w:pStyle w:val="TAH"/>
              <w:rPr>
                <w:rFonts w:eastAsiaTheme="minorEastAsia"/>
              </w:rPr>
            </w:pPr>
            <w:r w:rsidRPr="007E2F91">
              <w:rPr>
                <w:rFonts w:eastAsiaTheme="minorEastAsia"/>
              </w:rPr>
              <w:t>Unit</w:t>
            </w:r>
          </w:p>
        </w:tc>
        <w:tc>
          <w:tcPr>
            <w:tcW w:w="2410" w:type="dxa"/>
            <w:shd w:val="clear" w:color="auto" w:fill="auto"/>
          </w:tcPr>
          <w:p w14:paraId="6623B4E7" w14:textId="77777777" w:rsidR="003A71DE" w:rsidRPr="007E2F91" w:rsidRDefault="003A71DE" w:rsidP="001A5D47">
            <w:pPr>
              <w:pStyle w:val="TAH"/>
              <w:rPr>
                <w:rFonts w:eastAsiaTheme="minorEastAsia"/>
              </w:rPr>
            </w:pPr>
            <w:r w:rsidRPr="007E2F91">
              <w:rPr>
                <w:rFonts w:eastAsiaTheme="minorEastAsia"/>
              </w:rPr>
              <w:t>Value</w:t>
            </w:r>
          </w:p>
        </w:tc>
        <w:tc>
          <w:tcPr>
            <w:tcW w:w="2835" w:type="dxa"/>
            <w:shd w:val="clear" w:color="auto" w:fill="auto"/>
          </w:tcPr>
          <w:p w14:paraId="02DFE2BB" w14:textId="77777777" w:rsidR="003A71DE" w:rsidRPr="007E2F91" w:rsidRDefault="003A71DE" w:rsidP="001A5D47">
            <w:pPr>
              <w:pStyle w:val="TAH"/>
              <w:rPr>
                <w:rFonts w:eastAsiaTheme="minorEastAsia"/>
              </w:rPr>
            </w:pPr>
            <w:r w:rsidRPr="007E2F91">
              <w:rPr>
                <w:rFonts w:eastAsiaTheme="minorEastAsia"/>
              </w:rPr>
              <w:t>Comment</w:t>
            </w:r>
          </w:p>
        </w:tc>
      </w:tr>
      <w:tr w:rsidR="003A71DE" w:rsidRPr="007E2F91" w14:paraId="55B7EA31" w14:textId="77777777" w:rsidTr="003A71DE">
        <w:trPr>
          <w:cantSplit/>
          <w:trHeight w:val="113"/>
          <w:jc w:val="center"/>
        </w:trPr>
        <w:tc>
          <w:tcPr>
            <w:tcW w:w="1588" w:type="dxa"/>
            <w:vMerge w:val="restart"/>
            <w:shd w:val="clear" w:color="auto" w:fill="auto"/>
          </w:tcPr>
          <w:p w14:paraId="2C28CA08" w14:textId="77777777" w:rsidR="003A71DE" w:rsidRPr="007E2F91" w:rsidRDefault="003A71DE" w:rsidP="001A5D47">
            <w:pPr>
              <w:pStyle w:val="TAL"/>
              <w:rPr>
                <w:rFonts w:eastAsiaTheme="minorEastAsia"/>
              </w:rPr>
            </w:pPr>
            <w:r w:rsidRPr="007E2F91">
              <w:rPr>
                <w:rFonts w:eastAsiaTheme="minorEastAsia"/>
              </w:rPr>
              <w:t>Initial conditions</w:t>
            </w:r>
          </w:p>
        </w:tc>
        <w:tc>
          <w:tcPr>
            <w:tcW w:w="1701" w:type="dxa"/>
            <w:shd w:val="clear" w:color="auto" w:fill="auto"/>
          </w:tcPr>
          <w:p w14:paraId="33DB5040" w14:textId="77777777" w:rsidR="003A71DE" w:rsidRPr="007E2F91" w:rsidRDefault="003A71DE" w:rsidP="001A5D47">
            <w:pPr>
              <w:pStyle w:val="TAL"/>
              <w:rPr>
                <w:rFonts w:eastAsiaTheme="minorEastAsia"/>
              </w:rPr>
            </w:pPr>
            <w:r w:rsidRPr="007E2F91">
              <w:rPr>
                <w:rFonts w:eastAsiaTheme="minorEastAsia"/>
              </w:rPr>
              <w:t>Active cell</w:t>
            </w:r>
          </w:p>
        </w:tc>
        <w:tc>
          <w:tcPr>
            <w:tcW w:w="708" w:type="dxa"/>
            <w:shd w:val="clear" w:color="auto" w:fill="auto"/>
          </w:tcPr>
          <w:p w14:paraId="7FA27BB1" w14:textId="77777777" w:rsidR="003A71DE" w:rsidRPr="007E2F91" w:rsidRDefault="003A71DE" w:rsidP="001A5D47">
            <w:pPr>
              <w:pStyle w:val="TAC"/>
              <w:rPr>
                <w:rFonts w:eastAsiaTheme="minorEastAsia"/>
              </w:rPr>
            </w:pPr>
          </w:p>
        </w:tc>
        <w:tc>
          <w:tcPr>
            <w:tcW w:w="2410" w:type="dxa"/>
            <w:shd w:val="clear" w:color="auto" w:fill="auto"/>
          </w:tcPr>
          <w:p w14:paraId="17702A57" w14:textId="77777777" w:rsidR="003A71DE" w:rsidRPr="007E2F91" w:rsidRDefault="003A71DE" w:rsidP="001A5D47">
            <w:pPr>
              <w:pStyle w:val="TAC"/>
              <w:rPr>
                <w:rFonts w:eastAsiaTheme="minorEastAsia"/>
              </w:rPr>
            </w:pPr>
            <w:r w:rsidRPr="007E2F91">
              <w:rPr>
                <w:rFonts w:eastAsiaTheme="minorEastAsia"/>
              </w:rPr>
              <w:t>Cell 1</w:t>
            </w:r>
          </w:p>
        </w:tc>
        <w:tc>
          <w:tcPr>
            <w:tcW w:w="2835" w:type="dxa"/>
            <w:shd w:val="clear" w:color="auto" w:fill="auto"/>
          </w:tcPr>
          <w:p w14:paraId="45151AF4" w14:textId="77777777" w:rsidR="003A71DE" w:rsidRPr="007E2F91" w:rsidRDefault="003A71DE" w:rsidP="001A5D47">
            <w:pPr>
              <w:pStyle w:val="TAC"/>
              <w:rPr>
                <w:rFonts w:eastAsiaTheme="minorEastAsia"/>
              </w:rPr>
            </w:pPr>
          </w:p>
        </w:tc>
      </w:tr>
      <w:tr w:rsidR="003A71DE" w:rsidRPr="007E2F91" w14:paraId="79AD9C43" w14:textId="77777777" w:rsidTr="003A71DE">
        <w:trPr>
          <w:cantSplit/>
          <w:trHeight w:val="113"/>
          <w:jc w:val="center"/>
        </w:trPr>
        <w:tc>
          <w:tcPr>
            <w:tcW w:w="1588" w:type="dxa"/>
            <w:vMerge/>
            <w:shd w:val="clear" w:color="auto" w:fill="auto"/>
          </w:tcPr>
          <w:p w14:paraId="0BA034B1" w14:textId="77777777" w:rsidR="003A71DE" w:rsidRPr="007E2F91" w:rsidRDefault="003A71DE" w:rsidP="001A5D47">
            <w:pPr>
              <w:pStyle w:val="TAL"/>
              <w:rPr>
                <w:rFonts w:eastAsiaTheme="minorEastAsia"/>
              </w:rPr>
            </w:pPr>
          </w:p>
        </w:tc>
        <w:tc>
          <w:tcPr>
            <w:tcW w:w="1701" w:type="dxa"/>
            <w:shd w:val="clear" w:color="auto" w:fill="auto"/>
          </w:tcPr>
          <w:p w14:paraId="1C122A71" w14:textId="77777777" w:rsidR="003A71DE" w:rsidRPr="007E2F91" w:rsidRDefault="003A71DE" w:rsidP="001A5D47">
            <w:pPr>
              <w:pStyle w:val="TAL"/>
              <w:rPr>
                <w:rFonts w:eastAsiaTheme="minorEastAsia"/>
              </w:rPr>
            </w:pPr>
            <w:r w:rsidRPr="007E2F91">
              <w:rPr>
                <w:rFonts w:eastAsiaTheme="minorEastAsia"/>
              </w:rPr>
              <w:t>Neighbouring cell</w:t>
            </w:r>
          </w:p>
        </w:tc>
        <w:tc>
          <w:tcPr>
            <w:tcW w:w="708" w:type="dxa"/>
            <w:shd w:val="clear" w:color="auto" w:fill="auto"/>
          </w:tcPr>
          <w:p w14:paraId="7FF2F71B" w14:textId="77777777" w:rsidR="003A71DE" w:rsidRPr="007E2F91" w:rsidRDefault="003A71DE" w:rsidP="001A5D47">
            <w:pPr>
              <w:pStyle w:val="TAC"/>
              <w:rPr>
                <w:rFonts w:eastAsiaTheme="minorEastAsia"/>
              </w:rPr>
            </w:pPr>
          </w:p>
        </w:tc>
        <w:tc>
          <w:tcPr>
            <w:tcW w:w="2410" w:type="dxa"/>
            <w:shd w:val="clear" w:color="auto" w:fill="auto"/>
          </w:tcPr>
          <w:p w14:paraId="26FEC0A5" w14:textId="77777777" w:rsidR="003A71DE" w:rsidRPr="007E2F91" w:rsidRDefault="003A71DE" w:rsidP="001A5D47">
            <w:pPr>
              <w:pStyle w:val="TAC"/>
              <w:rPr>
                <w:rFonts w:eastAsiaTheme="minorEastAsia"/>
              </w:rPr>
            </w:pPr>
            <w:r w:rsidRPr="007E2F91">
              <w:rPr>
                <w:rFonts w:eastAsiaTheme="minorEastAsia"/>
              </w:rPr>
              <w:t>Cell 2</w:t>
            </w:r>
          </w:p>
        </w:tc>
        <w:tc>
          <w:tcPr>
            <w:tcW w:w="2835" w:type="dxa"/>
            <w:shd w:val="clear" w:color="auto" w:fill="auto"/>
          </w:tcPr>
          <w:p w14:paraId="16313AE8" w14:textId="77777777" w:rsidR="003A71DE" w:rsidRPr="007E2F91" w:rsidRDefault="003A71DE" w:rsidP="001A5D47">
            <w:pPr>
              <w:pStyle w:val="TAC"/>
              <w:rPr>
                <w:rFonts w:eastAsiaTheme="minorEastAsia"/>
              </w:rPr>
            </w:pPr>
          </w:p>
        </w:tc>
      </w:tr>
      <w:tr w:rsidR="003A71DE" w:rsidRPr="007E2F91" w14:paraId="7F2359B5" w14:textId="77777777" w:rsidTr="003A71DE">
        <w:trPr>
          <w:cantSplit/>
          <w:trHeight w:val="113"/>
          <w:jc w:val="center"/>
        </w:trPr>
        <w:tc>
          <w:tcPr>
            <w:tcW w:w="1588" w:type="dxa"/>
            <w:shd w:val="clear" w:color="auto" w:fill="auto"/>
          </w:tcPr>
          <w:p w14:paraId="1450A935" w14:textId="77777777" w:rsidR="003A71DE" w:rsidRPr="007E2F91" w:rsidRDefault="003A71DE" w:rsidP="001A5D47">
            <w:pPr>
              <w:pStyle w:val="TAL"/>
              <w:rPr>
                <w:rFonts w:eastAsiaTheme="minorEastAsia"/>
              </w:rPr>
            </w:pPr>
            <w:r w:rsidRPr="007E2F91">
              <w:rPr>
                <w:rFonts w:eastAsiaTheme="minorEastAsia"/>
              </w:rPr>
              <w:t>Final condition</w:t>
            </w:r>
          </w:p>
        </w:tc>
        <w:tc>
          <w:tcPr>
            <w:tcW w:w="1701" w:type="dxa"/>
            <w:shd w:val="clear" w:color="auto" w:fill="auto"/>
          </w:tcPr>
          <w:p w14:paraId="75781B43" w14:textId="77777777" w:rsidR="003A71DE" w:rsidRPr="007E2F91" w:rsidRDefault="003A71DE" w:rsidP="001A5D47">
            <w:pPr>
              <w:pStyle w:val="TAL"/>
              <w:rPr>
                <w:rFonts w:eastAsiaTheme="minorEastAsia"/>
              </w:rPr>
            </w:pPr>
            <w:r w:rsidRPr="007E2F91">
              <w:rPr>
                <w:rFonts w:eastAsiaTheme="minorEastAsia"/>
              </w:rPr>
              <w:t>Active cell</w:t>
            </w:r>
          </w:p>
        </w:tc>
        <w:tc>
          <w:tcPr>
            <w:tcW w:w="708" w:type="dxa"/>
            <w:shd w:val="clear" w:color="auto" w:fill="auto"/>
          </w:tcPr>
          <w:p w14:paraId="1BBABE59" w14:textId="77777777" w:rsidR="003A71DE" w:rsidRPr="007E2F91" w:rsidRDefault="003A71DE" w:rsidP="001A5D47">
            <w:pPr>
              <w:pStyle w:val="TAC"/>
              <w:rPr>
                <w:rFonts w:eastAsiaTheme="minorEastAsia"/>
              </w:rPr>
            </w:pPr>
          </w:p>
        </w:tc>
        <w:tc>
          <w:tcPr>
            <w:tcW w:w="2410" w:type="dxa"/>
            <w:shd w:val="clear" w:color="auto" w:fill="auto"/>
          </w:tcPr>
          <w:p w14:paraId="66250A1C" w14:textId="77777777" w:rsidR="003A71DE" w:rsidRPr="007E2F91" w:rsidRDefault="003A71DE" w:rsidP="001A5D47">
            <w:pPr>
              <w:pStyle w:val="TAC"/>
              <w:rPr>
                <w:rFonts w:eastAsiaTheme="minorEastAsia"/>
              </w:rPr>
            </w:pPr>
            <w:r w:rsidRPr="007E2F91">
              <w:rPr>
                <w:rFonts w:eastAsiaTheme="minorEastAsia"/>
              </w:rPr>
              <w:t>Cell 2</w:t>
            </w:r>
          </w:p>
        </w:tc>
        <w:tc>
          <w:tcPr>
            <w:tcW w:w="2835" w:type="dxa"/>
            <w:shd w:val="clear" w:color="auto" w:fill="auto"/>
          </w:tcPr>
          <w:p w14:paraId="3601D3B3" w14:textId="77777777" w:rsidR="003A71DE" w:rsidRPr="007E2F91" w:rsidRDefault="003A71DE" w:rsidP="001A5D47">
            <w:pPr>
              <w:pStyle w:val="TAC"/>
              <w:rPr>
                <w:rFonts w:eastAsiaTheme="minorEastAsia"/>
              </w:rPr>
            </w:pPr>
          </w:p>
        </w:tc>
      </w:tr>
      <w:tr w:rsidR="003A71DE" w:rsidRPr="007E2F91" w14:paraId="70B4044D" w14:textId="77777777" w:rsidTr="003A71DE">
        <w:trPr>
          <w:cantSplit/>
          <w:trHeight w:val="113"/>
          <w:jc w:val="center"/>
        </w:trPr>
        <w:tc>
          <w:tcPr>
            <w:tcW w:w="3289" w:type="dxa"/>
            <w:gridSpan w:val="2"/>
            <w:shd w:val="clear" w:color="auto" w:fill="auto"/>
          </w:tcPr>
          <w:p w14:paraId="0A35733D" w14:textId="77777777" w:rsidR="003A71DE" w:rsidRPr="007E2F91" w:rsidRDefault="003A71DE" w:rsidP="001A5D47">
            <w:pPr>
              <w:pStyle w:val="TAL"/>
              <w:rPr>
                <w:rFonts w:eastAsiaTheme="minorEastAsia"/>
              </w:rPr>
            </w:pPr>
            <w:r w:rsidRPr="007E2F91">
              <w:rPr>
                <w:rFonts w:eastAsiaTheme="minorEastAsia"/>
              </w:rPr>
              <w:t>Filter coefficient</w:t>
            </w:r>
          </w:p>
        </w:tc>
        <w:tc>
          <w:tcPr>
            <w:tcW w:w="708" w:type="dxa"/>
            <w:shd w:val="clear" w:color="auto" w:fill="auto"/>
          </w:tcPr>
          <w:p w14:paraId="3F928FA7" w14:textId="77777777" w:rsidR="003A71DE" w:rsidRPr="007E2F91" w:rsidRDefault="003A71DE" w:rsidP="001A5D47">
            <w:pPr>
              <w:pStyle w:val="TAC"/>
              <w:rPr>
                <w:rFonts w:eastAsiaTheme="minorEastAsia"/>
              </w:rPr>
            </w:pPr>
          </w:p>
        </w:tc>
        <w:tc>
          <w:tcPr>
            <w:tcW w:w="2410" w:type="dxa"/>
            <w:shd w:val="clear" w:color="auto" w:fill="auto"/>
          </w:tcPr>
          <w:p w14:paraId="749DBEC0" w14:textId="77777777" w:rsidR="003A71DE" w:rsidRPr="007E2F91" w:rsidRDefault="003A71DE" w:rsidP="001A5D47">
            <w:pPr>
              <w:pStyle w:val="TAC"/>
              <w:rPr>
                <w:rFonts w:eastAsiaTheme="minorEastAsia"/>
              </w:rPr>
            </w:pPr>
            <w:r w:rsidRPr="007E2F91">
              <w:rPr>
                <w:rFonts w:eastAsiaTheme="minorEastAsia"/>
              </w:rPr>
              <w:t>0</w:t>
            </w:r>
          </w:p>
        </w:tc>
        <w:tc>
          <w:tcPr>
            <w:tcW w:w="2835" w:type="dxa"/>
            <w:shd w:val="clear" w:color="auto" w:fill="auto"/>
          </w:tcPr>
          <w:p w14:paraId="62ABB7B8" w14:textId="77777777" w:rsidR="003A71DE" w:rsidRPr="007E2F91" w:rsidRDefault="003A71DE" w:rsidP="001A5D47">
            <w:pPr>
              <w:pStyle w:val="TAC"/>
              <w:rPr>
                <w:rFonts w:eastAsiaTheme="minorEastAsia"/>
              </w:rPr>
            </w:pPr>
            <w:r w:rsidRPr="007E2F91">
              <w:rPr>
                <w:rFonts w:eastAsiaTheme="minorEastAsia"/>
              </w:rPr>
              <w:t>L3 filtering is not used</w:t>
            </w:r>
          </w:p>
        </w:tc>
      </w:tr>
      <w:tr w:rsidR="003A71DE" w:rsidRPr="007E2F91" w14:paraId="429D8C05" w14:textId="77777777" w:rsidTr="003A71DE">
        <w:trPr>
          <w:cantSplit/>
          <w:trHeight w:val="113"/>
          <w:jc w:val="center"/>
        </w:trPr>
        <w:tc>
          <w:tcPr>
            <w:tcW w:w="3289" w:type="dxa"/>
            <w:gridSpan w:val="2"/>
            <w:shd w:val="clear" w:color="auto" w:fill="auto"/>
          </w:tcPr>
          <w:p w14:paraId="451604D8" w14:textId="77777777" w:rsidR="003A71DE" w:rsidRPr="007E2F91" w:rsidRDefault="003A71DE" w:rsidP="001A5D47">
            <w:pPr>
              <w:pStyle w:val="TAL"/>
              <w:rPr>
                <w:rFonts w:eastAsiaTheme="minorEastAsia"/>
              </w:rPr>
            </w:pPr>
            <w:r w:rsidRPr="007E2F91">
              <w:rPr>
                <w:rFonts w:eastAsiaTheme="minorEastAsia"/>
              </w:rPr>
              <w:t>Access Barring Information</w:t>
            </w:r>
          </w:p>
        </w:tc>
        <w:tc>
          <w:tcPr>
            <w:tcW w:w="708" w:type="dxa"/>
            <w:shd w:val="clear" w:color="auto" w:fill="auto"/>
          </w:tcPr>
          <w:p w14:paraId="78C4AA82" w14:textId="77777777" w:rsidR="003A71DE" w:rsidRPr="007E2F91" w:rsidRDefault="003A71DE" w:rsidP="001A5D47">
            <w:pPr>
              <w:pStyle w:val="TAC"/>
              <w:rPr>
                <w:rFonts w:eastAsiaTheme="minorEastAsia"/>
              </w:rPr>
            </w:pPr>
            <w:r w:rsidRPr="007E2F91">
              <w:rPr>
                <w:rFonts w:eastAsiaTheme="minorEastAsia"/>
              </w:rPr>
              <w:t>-</w:t>
            </w:r>
          </w:p>
        </w:tc>
        <w:tc>
          <w:tcPr>
            <w:tcW w:w="2410" w:type="dxa"/>
            <w:shd w:val="clear" w:color="auto" w:fill="auto"/>
          </w:tcPr>
          <w:p w14:paraId="2BCE277A" w14:textId="77777777" w:rsidR="003A71DE" w:rsidRPr="007E2F91" w:rsidRDefault="003A71DE" w:rsidP="001A5D47">
            <w:pPr>
              <w:pStyle w:val="TAC"/>
              <w:rPr>
                <w:rFonts w:eastAsiaTheme="minorEastAsia"/>
              </w:rPr>
            </w:pPr>
            <w:r w:rsidRPr="007E2F91">
              <w:rPr>
                <w:rFonts w:eastAsiaTheme="minorEastAsia"/>
              </w:rPr>
              <w:t>Not Sent</w:t>
            </w:r>
          </w:p>
        </w:tc>
        <w:tc>
          <w:tcPr>
            <w:tcW w:w="2835" w:type="dxa"/>
            <w:shd w:val="clear" w:color="auto" w:fill="auto"/>
          </w:tcPr>
          <w:p w14:paraId="1ECD3CAD" w14:textId="77777777" w:rsidR="003A71DE" w:rsidRPr="007E2F91" w:rsidRDefault="003A71DE" w:rsidP="001A5D47">
            <w:pPr>
              <w:pStyle w:val="TAC"/>
              <w:rPr>
                <w:rFonts w:eastAsiaTheme="minorEastAsia"/>
              </w:rPr>
            </w:pPr>
            <w:r w:rsidRPr="007E2F91">
              <w:rPr>
                <w:rFonts w:eastAsiaTheme="minorEastAsia"/>
              </w:rPr>
              <w:t>No additional delays in random access procedure.</w:t>
            </w:r>
          </w:p>
        </w:tc>
      </w:tr>
      <w:tr w:rsidR="003A71DE" w:rsidRPr="007E2F91" w14:paraId="7908BF44" w14:textId="77777777" w:rsidTr="003A71DE">
        <w:trPr>
          <w:cantSplit/>
          <w:trHeight w:val="113"/>
          <w:jc w:val="center"/>
        </w:trPr>
        <w:tc>
          <w:tcPr>
            <w:tcW w:w="3289" w:type="dxa"/>
            <w:gridSpan w:val="2"/>
            <w:shd w:val="clear" w:color="auto" w:fill="auto"/>
          </w:tcPr>
          <w:p w14:paraId="3111671F" w14:textId="77777777" w:rsidR="003A71DE" w:rsidRPr="007E2F91" w:rsidRDefault="003A71DE" w:rsidP="001A5D47">
            <w:pPr>
              <w:pStyle w:val="TAL"/>
              <w:rPr>
                <w:rFonts w:eastAsiaTheme="minorEastAsia"/>
              </w:rPr>
            </w:pPr>
            <w:r w:rsidRPr="007E2F91">
              <w:rPr>
                <w:rFonts w:eastAsiaTheme="minorEastAsia"/>
              </w:rPr>
              <w:t>Time offset between cells</w:t>
            </w:r>
          </w:p>
        </w:tc>
        <w:tc>
          <w:tcPr>
            <w:tcW w:w="708" w:type="dxa"/>
            <w:shd w:val="clear" w:color="auto" w:fill="auto"/>
          </w:tcPr>
          <w:p w14:paraId="03ADD8CC" w14:textId="77777777" w:rsidR="003A71DE" w:rsidRPr="007E2F91" w:rsidRDefault="003A71DE" w:rsidP="001A5D47">
            <w:pPr>
              <w:pStyle w:val="TAC"/>
              <w:rPr>
                <w:rFonts w:eastAsiaTheme="minorEastAsia"/>
              </w:rPr>
            </w:pPr>
          </w:p>
        </w:tc>
        <w:tc>
          <w:tcPr>
            <w:tcW w:w="2410" w:type="dxa"/>
            <w:shd w:val="clear" w:color="auto" w:fill="auto"/>
          </w:tcPr>
          <w:p w14:paraId="3F62B6FE" w14:textId="77777777" w:rsidR="003A71DE" w:rsidRPr="007E2F91" w:rsidRDefault="003A71DE" w:rsidP="001A5D47">
            <w:pPr>
              <w:pStyle w:val="TAC"/>
              <w:rPr>
                <w:rFonts w:eastAsiaTheme="minorEastAsia"/>
              </w:rPr>
            </w:pPr>
            <w:r w:rsidRPr="007E2F91">
              <w:rPr>
                <w:rFonts w:eastAsiaTheme="minorEastAsia"/>
              </w:rPr>
              <w:t xml:space="preserve">3 </w:t>
            </w:r>
            <w:r w:rsidRPr="007E2F91">
              <w:rPr>
                <w:rFonts w:eastAsiaTheme="minorEastAsia"/>
              </w:rPr>
              <w:sym w:font="Symbol" w:char="F06D"/>
            </w:r>
            <w:r w:rsidRPr="007E2F91">
              <w:rPr>
                <w:rFonts w:eastAsiaTheme="minorEastAsia"/>
              </w:rPr>
              <w:t>s</w:t>
            </w:r>
          </w:p>
        </w:tc>
        <w:tc>
          <w:tcPr>
            <w:tcW w:w="2835" w:type="dxa"/>
            <w:shd w:val="clear" w:color="auto" w:fill="auto"/>
          </w:tcPr>
          <w:p w14:paraId="4913008B" w14:textId="77777777" w:rsidR="003A71DE" w:rsidRPr="007E2F91" w:rsidRDefault="003A71DE" w:rsidP="001A5D47">
            <w:pPr>
              <w:pStyle w:val="TAC"/>
              <w:rPr>
                <w:rFonts w:eastAsiaTheme="minorEastAsia"/>
              </w:rPr>
            </w:pPr>
            <w:r w:rsidRPr="007E2F91">
              <w:rPr>
                <w:rFonts w:eastAsiaTheme="minorEastAsia"/>
              </w:rPr>
              <w:t>Synchronous cells</w:t>
            </w:r>
          </w:p>
        </w:tc>
      </w:tr>
      <w:tr w:rsidR="003A71DE" w:rsidRPr="007E2F91" w14:paraId="0927937B" w14:textId="77777777" w:rsidTr="003A71DE">
        <w:trPr>
          <w:cantSplit/>
          <w:trHeight w:val="113"/>
          <w:jc w:val="center"/>
        </w:trPr>
        <w:tc>
          <w:tcPr>
            <w:tcW w:w="3289" w:type="dxa"/>
            <w:gridSpan w:val="2"/>
            <w:shd w:val="clear" w:color="auto" w:fill="auto"/>
          </w:tcPr>
          <w:p w14:paraId="5F9E8DAF" w14:textId="77777777" w:rsidR="003A71DE" w:rsidRPr="007E2F91" w:rsidRDefault="003A71DE" w:rsidP="001A5D47">
            <w:pPr>
              <w:pStyle w:val="TAL"/>
              <w:rPr>
                <w:rFonts w:eastAsiaTheme="minorEastAsia"/>
              </w:rPr>
            </w:pPr>
            <w:r w:rsidRPr="007E2F91">
              <w:rPr>
                <w:rFonts w:eastAsiaTheme="minorEastAsia"/>
              </w:rPr>
              <w:t>T1</w:t>
            </w:r>
          </w:p>
        </w:tc>
        <w:tc>
          <w:tcPr>
            <w:tcW w:w="708" w:type="dxa"/>
            <w:shd w:val="clear" w:color="auto" w:fill="auto"/>
          </w:tcPr>
          <w:p w14:paraId="60AE67AF" w14:textId="77777777" w:rsidR="003A71DE" w:rsidRPr="007E2F91" w:rsidRDefault="003A71DE" w:rsidP="001A5D47">
            <w:pPr>
              <w:pStyle w:val="TAC"/>
              <w:rPr>
                <w:rFonts w:eastAsiaTheme="minorEastAsia"/>
              </w:rPr>
            </w:pPr>
            <w:r w:rsidRPr="007E2F91">
              <w:rPr>
                <w:rFonts w:eastAsiaTheme="minorEastAsia"/>
              </w:rPr>
              <w:t>s</w:t>
            </w:r>
          </w:p>
        </w:tc>
        <w:tc>
          <w:tcPr>
            <w:tcW w:w="2410" w:type="dxa"/>
            <w:shd w:val="clear" w:color="auto" w:fill="auto"/>
          </w:tcPr>
          <w:p w14:paraId="1DCCA11C" w14:textId="77777777" w:rsidR="003A71DE" w:rsidRPr="007E2F91" w:rsidRDefault="003A71DE" w:rsidP="001A5D47">
            <w:pPr>
              <w:pStyle w:val="TAC"/>
              <w:rPr>
                <w:rFonts w:eastAsiaTheme="minorEastAsia"/>
              </w:rPr>
            </w:pPr>
            <w:r w:rsidRPr="007E2F91">
              <w:rPr>
                <w:rFonts w:eastAsiaTheme="minorEastAsia"/>
              </w:rPr>
              <w:t>5</w:t>
            </w:r>
          </w:p>
        </w:tc>
        <w:tc>
          <w:tcPr>
            <w:tcW w:w="2835" w:type="dxa"/>
            <w:shd w:val="clear" w:color="auto" w:fill="auto"/>
          </w:tcPr>
          <w:p w14:paraId="4E4D5E4D" w14:textId="77777777" w:rsidR="003A71DE" w:rsidRPr="007E2F91" w:rsidRDefault="003A71DE" w:rsidP="001A5D47">
            <w:pPr>
              <w:pStyle w:val="TAC"/>
              <w:rPr>
                <w:rFonts w:eastAsiaTheme="minorEastAsia"/>
              </w:rPr>
            </w:pPr>
          </w:p>
        </w:tc>
      </w:tr>
      <w:tr w:rsidR="003A71DE" w:rsidRPr="007E2F91" w14:paraId="5713017F" w14:textId="77777777" w:rsidTr="003A71DE">
        <w:trPr>
          <w:cantSplit/>
          <w:trHeight w:val="113"/>
          <w:jc w:val="center"/>
        </w:trPr>
        <w:tc>
          <w:tcPr>
            <w:tcW w:w="3289" w:type="dxa"/>
            <w:gridSpan w:val="2"/>
            <w:shd w:val="clear" w:color="auto" w:fill="auto"/>
          </w:tcPr>
          <w:p w14:paraId="4E51918D" w14:textId="77777777" w:rsidR="003A71DE" w:rsidRPr="007E2F91" w:rsidRDefault="003A71DE" w:rsidP="001A5D47">
            <w:pPr>
              <w:pStyle w:val="TAL"/>
              <w:rPr>
                <w:rFonts w:eastAsiaTheme="minorEastAsia"/>
              </w:rPr>
            </w:pPr>
            <w:r w:rsidRPr="007E2F91">
              <w:rPr>
                <w:rFonts w:eastAsiaTheme="minorEastAsia"/>
              </w:rPr>
              <w:t>T2</w:t>
            </w:r>
            <w:r w:rsidRPr="007E2F91">
              <w:rPr>
                <w:rFonts w:eastAsiaTheme="minorEastAsia"/>
                <w:vertAlign w:val="superscript"/>
              </w:rPr>
              <w:t xml:space="preserve"> </w:t>
            </w:r>
          </w:p>
        </w:tc>
        <w:tc>
          <w:tcPr>
            <w:tcW w:w="708" w:type="dxa"/>
            <w:shd w:val="clear" w:color="auto" w:fill="auto"/>
          </w:tcPr>
          <w:p w14:paraId="2A49AD15" w14:textId="77777777" w:rsidR="003A71DE" w:rsidRPr="007E2F91" w:rsidRDefault="003A71DE" w:rsidP="001A5D47">
            <w:pPr>
              <w:pStyle w:val="TAC"/>
              <w:rPr>
                <w:rFonts w:eastAsiaTheme="minorEastAsia"/>
              </w:rPr>
            </w:pPr>
            <w:r w:rsidRPr="007E2F91">
              <w:rPr>
                <w:rFonts w:eastAsiaTheme="minorEastAsia"/>
              </w:rPr>
              <w:t>s</w:t>
            </w:r>
          </w:p>
        </w:tc>
        <w:tc>
          <w:tcPr>
            <w:tcW w:w="2410" w:type="dxa"/>
            <w:shd w:val="clear" w:color="auto" w:fill="auto"/>
          </w:tcPr>
          <w:p w14:paraId="6781D6D1" w14:textId="77777777" w:rsidR="003A71DE" w:rsidRPr="007E2F91" w:rsidRDefault="003A71DE" w:rsidP="001A5D47">
            <w:pPr>
              <w:pStyle w:val="TAC"/>
              <w:rPr>
                <w:rFonts w:eastAsiaTheme="minorEastAsia"/>
              </w:rPr>
            </w:pPr>
            <w:r w:rsidRPr="007E2F91">
              <w:rPr>
                <w:rFonts w:eastAsiaTheme="minorEastAsia"/>
              </w:rPr>
              <w:t>8</w:t>
            </w:r>
          </w:p>
        </w:tc>
        <w:tc>
          <w:tcPr>
            <w:tcW w:w="2835" w:type="dxa"/>
            <w:shd w:val="clear" w:color="auto" w:fill="auto"/>
          </w:tcPr>
          <w:p w14:paraId="7B1B081C" w14:textId="77777777" w:rsidR="003A71DE" w:rsidRPr="007E2F91" w:rsidRDefault="003A71DE" w:rsidP="001A5D47">
            <w:pPr>
              <w:pStyle w:val="TAC"/>
              <w:rPr>
                <w:rFonts w:eastAsiaTheme="minorEastAsia"/>
              </w:rPr>
            </w:pPr>
          </w:p>
        </w:tc>
      </w:tr>
    </w:tbl>
    <w:p w14:paraId="0F2D5190" w14:textId="77777777" w:rsidR="003A71DE" w:rsidRPr="007E2F91" w:rsidRDefault="003A71DE" w:rsidP="003A71DE">
      <w:pPr>
        <w:rPr>
          <w:rFonts w:eastAsiaTheme="minorEastAsia" w:cs="v4.2.0"/>
        </w:rPr>
      </w:pPr>
    </w:p>
    <w:p w14:paraId="589EAE6B" w14:textId="77777777" w:rsidR="003A71DE" w:rsidRPr="007E2F91" w:rsidRDefault="003A71DE" w:rsidP="00BA0D24">
      <w:pPr>
        <w:pStyle w:val="TH"/>
        <w:rPr>
          <w:rFonts w:eastAsiaTheme="minorEastAsia"/>
        </w:rPr>
      </w:pPr>
      <w:r w:rsidRPr="007E2F91">
        <w:rPr>
          <w:rFonts w:eastAsiaTheme="minorEastAsia"/>
        </w:rPr>
        <w:lastRenderedPageBreak/>
        <w:t xml:space="preserve">Table </w:t>
      </w:r>
      <w:r w:rsidRPr="007E2F91">
        <w:rPr>
          <w:rFonts w:eastAsiaTheme="minorEastAsia"/>
          <w:snapToGrid w:val="0"/>
        </w:rPr>
        <w:t>G.2.1.1.</w:t>
      </w:r>
      <w:r>
        <w:rPr>
          <w:rFonts w:eastAsiaTheme="minorEastAsia"/>
          <w:snapToGrid w:val="0"/>
        </w:rPr>
        <w:t>2</w:t>
      </w:r>
      <w:r w:rsidRPr="007E2F91">
        <w:rPr>
          <w:rFonts w:eastAsiaTheme="minorEastAsia"/>
          <w:snapToGrid w:val="0"/>
        </w:rPr>
        <w:t>.1.2</w:t>
      </w:r>
      <w:r w:rsidRPr="007E2F91">
        <w:rPr>
          <w:rFonts w:eastAsiaTheme="minorEastAsia"/>
        </w:rPr>
        <w:t>-3</w:t>
      </w:r>
      <w:r w:rsidRPr="007E2F91">
        <w:rPr>
          <w:rFonts w:eastAsiaTheme="minorEastAsia" w:cs="v4.2.0"/>
        </w:rPr>
        <w:t xml:space="preserve">: Cell specific test parameters for </w:t>
      </w:r>
      <w:r w:rsidRPr="007E2F91">
        <w:rPr>
          <w:rFonts w:eastAsiaTheme="minorEastAsia"/>
          <w:snapToGrid w:val="0"/>
        </w:rPr>
        <w:t>Redirection</w:t>
      </w:r>
      <w:r w:rsidRPr="007E2F91">
        <w:rPr>
          <w:rFonts w:eastAsiaTheme="minorEastAsia"/>
        </w:rPr>
        <w:t xml:space="preserve"> from NR to NR</w:t>
      </w:r>
      <w:r w:rsidRPr="007E2F91">
        <w:rPr>
          <w:rFonts w:eastAsiaTheme="minorEastAsia" w:cs="v4.2.0"/>
        </w:rPr>
        <w:t xml:space="preserve"> test case</w:t>
      </w:r>
    </w:p>
    <w:tbl>
      <w:tblPr>
        <w:tblW w:w="95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0"/>
        <w:gridCol w:w="1095"/>
        <w:gridCol w:w="1740"/>
        <w:gridCol w:w="1134"/>
        <w:gridCol w:w="1163"/>
        <w:gridCol w:w="10"/>
        <w:gridCol w:w="1154"/>
        <w:gridCol w:w="19"/>
        <w:gridCol w:w="1145"/>
        <w:gridCol w:w="9"/>
        <w:gridCol w:w="1155"/>
      </w:tblGrid>
      <w:tr w:rsidR="003A71DE" w:rsidRPr="007E2F91" w14:paraId="1665751E" w14:textId="77777777" w:rsidTr="003A71DE">
        <w:trPr>
          <w:jc w:val="center"/>
        </w:trPr>
        <w:tc>
          <w:tcPr>
            <w:tcW w:w="3805" w:type="dxa"/>
            <w:gridSpan w:val="3"/>
            <w:vMerge w:val="restart"/>
            <w:tcBorders>
              <w:top w:val="single" w:sz="4" w:space="0" w:color="auto"/>
              <w:left w:val="single" w:sz="4" w:space="0" w:color="auto"/>
              <w:bottom w:val="single" w:sz="4" w:space="0" w:color="auto"/>
              <w:right w:val="single" w:sz="4" w:space="0" w:color="auto"/>
            </w:tcBorders>
            <w:vAlign w:val="center"/>
            <w:hideMark/>
          </w:tcPr>
          <w:p w14:paraId="5A96260C" w14:textId="77777777" w:rsidR="003A71DE" w:rsidRPr="007E2F91" w:rsidRDefault="003A71DE" w:rsidP="001A5D47">
            <w:pPr>
              <w:pStyle w:val="TAH"/>
              <w:rPr>
                <w:rFonts w:eastAsiaTheme="minorEastAsia"/>
                <w:lang w:val="en-US"/>
              </w:rPr>
            </w:pPr>
            <w:r w:rsidRPr="007E2F91">
              <w:rPr>
                <w:rFonts w:eastAsiaTheme="minorEastAsia"/>
                <w:lang w:val="en-US"/>
              </w:rPr>
              <w:lastRenderedPageBreak/>
              <w:t>Parameter</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4D3E78C5" w14:textId="77777777" w:rsidR="003A71DE" w:rsidRPr="007E2F91" w:rsidRDefault="003A71DE" w:rsidP="001A5D47">
            <w:pPr>
              <w:pStyle w:val="TAH"/>
              <w:rPr>
                <w:rFonts w:eastAsiaTheme="minorEastAsia"/>
                <w:lang w:val="en-US"/>
              </w:rPr>
            </w:pPr>
            <w:r w:rsidRPr="007E2F91">
              <w:rPr>
                <w:rFonts w:eastAsiaTheme="minorEastAsia"/>
                <w:lang w:val="en-US"/>
              </w:rPr>
              <w:t>Unit</w:t>
            </w:r>
          </w:p>
        </w:tc>
        <w:tc>
          <w:tcPr>
            <w:tcW w:w="2346" w:type="dxa"/>
            <w:gridSpan w:val="4"/>
            <w:tcBorders>
              <w:top w:val="single" w:sz="4" w:space="0" w:color="auto"/>
              <w:left w:val="single" w:sz="4" w:space="0" w:color="auto"/>
              <w:bottom w:val="single" w:sz="4" w:space="0" w:color="auto"/>
              <w:right w:val="single" w:sz="4" w:space="0" w:color="auto"/>
            </w:tcBorders>
            <w:vAlign w:val="center"/>
          </w:tcPr>
          <w:p w14:paraId="70ABF24F" w14:textId="77777777" w:rsidR="003A71DE" w:rsidRPr="007E2F91" w:rsidRDefault="003A71DE" w:rsidP="001A5D47">
            <w:pPr>
              <w:pStyle w:val="TAH"/>
              <w:rPr>
                <w:rFonts w:eastAsiaTheme="minorEastAsia"/>
                <w:lang w:val="en-US"/>
              </w:rPr>
            </w:pPr>
            <w:r w:rsidRPr="007E2F91">
              <w:rPr>
                <w:rFonts w:eastAsiaTheme="minorEastAsia"/>
                <w:lang w:val="en-US"/>
              </w:rPr>
              <w:t>Cell 1</w:t>
            </w:r>
          </w:p>
        </w:tc>
        <w:tc>
          <w:tcPr>
            <w:tcW w:w="2309" w:type="dxa"/>
            <w:gridSpan w:val="3"/>
            <w:tcBorders>
              <w:top w:val="single" w:sz="4" w:space="0" w:color="auto"/>
              <w:left w:val="single" w:sz="4" w:space="0" w:color="auto"/>
              <w:bottom w:val="single" w:sz="4" w:space="0" w:color="auto"/>
              <w:right w:val="single" w:sz="4" w:space="0" w:color="auto"/>
            </w:tcBorders>
            <w:vAlign w:val="center"/>
          </w:tcPr>
          <w:p w14:paraId="0F7BAB40" w14:textId="77777777" w:rsidR="003A71DE" w:rsidRPr="007E2F91" w:rsidRDefault="003A71DE" w:rsidP="001A5D47">
            <w:pPr>
              <w:pStyle w:val="TAH"/>
              <w:rPr>
                <w:rFonts w:eastAsiaTheme="minorEastAsia"/>
                <w:lang w:val="en-US"/>
              </w:rPr>
            </w:pPr>
            <w:r w:rsidRPr="007E2F91">
              <w:rPr>
                <w:rFonts w:eastAsiaTheme="minorEastAsia"/>
                <w:lang w:val="en-US"/>
              </w:rPr>
              <w:t>Cell 2</w:t>
            </w:r>
          </w:p>
        </w:tc>
      </w:tr>
      <w:tr w:rsidR="003A71DE" w:rsidRPr="007E2F91" w14:paraId="3430EBFA" w14:textId="77777777" w:rsidTr="003A71DE">
        <w:trPr>
          <w:jc w:val="center"/>
        </w:trPr>
        <w:tc>
          <w:tcPr>
            <w:tcW w:w="3805" w:type="dxa"/>
            <w:gridSpan w:val="3"/>
            <w:vMerge/>
            <w:tcBorders>
              <w:top w:val="single" w:sz="4" w:space="0" w:color="auto"/>
              <w:left w:val="single" w:sz="4" w:space="0" w:color="auto"/>
              <w:bottom w:val="single" w:sz="4" w:space="0" w:color="auto"/>
              <w:right w:val="single" w:sz="4" w:space="0" w:color="auto"/>
            </w:tcBorders>
            <w:vAlign w:val="center"/>
            <w:hideMark/>
          </w:tcPr>
          <w:p w14:paraId="4D4AC296" w14:textId="77777777" w:rsidR="003A71DE" w:rsidRPr="007E2F91" w:rsidRDefault="003A71DE" w:rsidP="001A5D47">
            <w:pPr>
              <w:pStyle w:val="TAH"/>
              <w:rPr>
                <w:rFonts w:eastAsia="Calibri"/>
                <w:lang w:val="en-US"/>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4817C14B" w14:textId="77777777" w:rsidR="003A71DE" w:rsidRPr="007E2F91" w:rsidRDefault="003A71DE" w:rsidP="001A5D47">
            <w:pPr>
              <w:pStyle w:val="TAH"/>
              <w:rPr>
                <w:rFonts w:eastAsia="Calibri"/>
                <w:lang w:val="en-US"/>
              </w:rPr>
            </w:pPr>
          </w:p>
        </w:tc>
        <w:tc>
          <w:tcPr>
            <w:tcW w:w="1173" w:type="dxa"/>
            <w:gridSpan w:val="2"/>
            <w:tcBorders>
              <w:top w:val="single" w:sz="4" w:space="0" w:color="auto"/>
              <w:left w:val="single" w:sz="4" w:space="0" w:color="auto"/>
              <w:bottom w:val="single" w:sz="4" w:space="0" w:color="auto"/>
              <w:right w:val="single" w:sz="4" w:space="0" w:color="auto"/>
            </w:tcBorders>
            <w:vAlign w:val="center"/>
            <w:hideMark/>
          </w:tcPr>
          <w:p w14:paraId="525F3B0D" w14:textId="77777777" w:rsidR="003A71DE" w:rsidRPr="007E2F91" w:rsidRDefault="003A71DE" w:rsidP="001A5D47">
            <w:pPr>
              <w:pStyle w:val="TAH"/>
              <w:rPr>
                <w:rFonts w:eastAsiaTheme="minorEastAsia"/>
                <w:lang w:val="en-US"/>
              </w:rPr>
            </w:pPr>
            <w:r w:rsidRPr="007E2F91">
              <w:rPr>
                <w:rFonts w:eastAsiaTheme="minorEastAsia"/>
                <w:lang w:val="en-US"/>
              </w:rPr>
              <w:t>T1</w:t>
            </w:r>
          </w:p>
        </w:tc>
        <w:tc>
          <w:tcPr>
            <w:tcW w:w="1173" w:type="dxa"/>
            <w:gridSpan w:val="2"/>
            <w:tcBorders>
              <w:top w:val="single" w:sz="4" w:space="0" w:color="auto"/>
              <w:left w:val="single" w:sz="4" w:space="0" w:color="auto"/>
              <w:bottom w:val="single" w:sz="4" w:space="0" w:color="auto"/>
              <w:right w:val="single" w:sz="4" w:space="0" w:color="auto"/>
            </w:tcBorders>
            <w:vAlign w:val="center"/>
          </w:tcPr>
          <w:p w14:paraId="2A6955A3" w14:textId="77777777" w:rsidR="003A71DE" w:rsidRPr="007E2F91" w:rsidRDefault="003A71DE" w:rsidP="001A5D47">
            <w:pPr>
              <w:pStyle w:val="TAH"/>
              <w:rPr>
                <w:rFonts w:eastAsiaTheme="minorEastAsia"/>
                <w:lang w:val="en-US"/>
              </w:rPr>
            </w:pPr>
            <w:r w:rsidRPr="007E2F91">
              <w:rPr>
                <w:rFonts w:eastAsiaTheme="minorEastAsia"/>
                <w:lang w:val="en-US"/>
              </w:rPr>
              <w:t>T2</w:t>
            </w:r>
          </w:p>
        </w:tc>
        <w:tc>
          <w:tcPr>
            <w:tcW w:w="1154" w:type="dxa"/>
            <w:gridSpan w:val="2"/>
            <w:tcBorders>
              <w:top w:val="single" w:sz="4" w:space="0" w:color="auto"/>
              <w:left w:val="single" w:sz="4" w:space="0" w:color="auto"/>
              <w:bottom w:val="single" w:sz="4" w:space="0" w:color="auto"/>
              <w:right w:val="single" w:sz="4" w:space="0" w:color="auto"/>
            </w:tcBorders>
            <w:vAlign w:val="center"/>
            <w:hideMark/>
          </w:tcPr>
          <w:p w14:paraId="260727FB" w14:textId="77777777" w:rsidR="003A71DE" w:rsidRPr="007E2F91" w:rsidRDefault="003A71DE" w:rsidP="001A5D47">
            <w:pPr>
              <w:pStyle w:val="TAH"/>
              <w:rPr>
                <w:rFonts w:eastAsiaTheme="minorEastAsia"/>
                <w:lang w:val="en-US"/>
              </w:rPr>
            </w:pPr>
            <w:r w:rsidRPr="007E2F91">
              <w:rPr>
                <w:rFonts w:eastAsiaTheme="minorEastAsia"/>
                <w:lang w:val="en-US"/>
              </w:rPr>
              <w:t>T1</w:t>
            </w:r>
          </w:p>
        </w:tc>
        <w:tc>
          <w:tcPr>
            <w:tcW w:w="1155" w:type="dxa"/>
            <w:tcBorders>
              <w:top w:val="single" w:sz="4" w:space="0" w:color="auto"/>
              <w:left w:val="single" w:sz="4" w:space="0" w:color="auto"/>
              <w:bottom w:val="single" w:sz="4" w:space="0" w:color="auto"/>
              <w:right w:val="single" w:sz="4" w:space="0" w:color="auto"/>
            </w:tcBorders>
            <w:vAlign w:val="center"/>
          </w:tcPr>
          <w:p w14:paraId="7B9592E2" w14:textId="77777777" w:rsidR="003A71DE" w:rsidRPr="007E2F91" w:rsidRDefault="003A71DE" w:rsidP="001A5D47">
            <w:pPr>
              <w:pStyle w:val="TAH"/>
              <w:rPr>
                <w:rFonts w:eastAsiaTheme="minorEastAsia"/>
                <w:lang w:val="en-US"/>
              </w:rPr>
            </w:pPr>
            <w:r w:rsidRPr="007E2F91">
              <w:rPr>
                <w:rFonts w:eastAsiaTheme="minorEastAsia"/>
                <w:lang w:val="en-US"/>
              </w:rPr>
              <w:t>T2</w:t>
            </w:r>
          </w:p>
        </w:tc>
      </w:tr>
      <w:tr w:rsidR="003A71DE" w:rsidRPr="007E2F91" w14:paraId="27D31BA2"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vAlign w:val="center"/>
          </w:tcPr>
          <w:p w14:paraId="53D9A3AC" w14:textId="77777777" w:rsidR="003A71DE" w:rsidRPr="007E2F91" w:rsidRDefault="003A71DE" w:rsidP="001A5D47">
            <w:pPr>
              <w:pStyle w:val="TAL"/>
              <w:rPr>
                <w:rFonts w:eastAsia="Calibri"/>
                <w:lang w:val="en-US"/>
              </w:rPr>
            </w:pPr>
            <w:r w:rsidRPr="007E2F91">
              <w:rPr>
                <w:rFonts w:eastAsia="Calibri"/>
                <w:lang w:val="en-US"/>
              </w:rPr>
              <w:t>NR RF Channel Number</w:t>
            </w:r>
          </w:p>
        </w:tc>
        <w:tc>
          <w:tcPr>
            <w:tcW w:w="1134" w:type="dxa"/>
            <w:tcBorders>
              <w:top w:val="single" w:sz="4" w:space="0" w:color="auto"/>
              <w:left w:val="single" w:sz="4" w:space="0" w:color="auto"/>
              <w:bottom w:val="single" w:sz="4" w:space="0" w:color="auto"/>
              <w:right w:val="single" w:sz="4" w:space="0" w:color="auto"/>
            </w:tcBorders>
            <w:vAlign w:val="center"/>
          </w:tcPr>
          <w:p w14:paraId="5F68CCC2" w14:textId="77777777" w:rsidR="003A71DE" w:rsidRPr="007E2F91" w:rsidRDefault="003A71DE" w:rsidP="001A5D47">
            <w:pPr>
              <w:pStyle w:val="TAC"/>
              <w:rPr>
                <w:rFonts w:eastAsia="Calibri"/>
                <w:lang w:val="en-US"/>
              </w:rPr>
            </w:pPr>
          </w:p>
        </w:tc>
        <w:tc>
          <w:tcPr>
            <w:tcW w:w="2346" w:type="dxa"/>
            <w:gridSpan w:val="4"/>
            <w:tcBorders>
              <w:top w:val="single" w:sz="4" w:space="0" w:color="auto"/>
              <w:left w:val="single" w:sz="4" w:space="0" w:color="auto"/>
              <w:bottom w:val="single" w:sz="4" w:space="0" w:color="auto"/>
              <w:right w:val="single" w:sz="4" w:space="0" w:color="auto"/>
            </w:tcBorders>
            <w:vAlign w:val="center"/>
          </w:tcPr>
          <w:p w14:paraId="52840F0F" w14:textId="77777777" w:rsidR="003A71DE" w:rsidRPr="007E2F91" w:rsidRDefault="003A71DE" w:rsidP="001A5D47">
            <w:pPr>
              <w:pStyle w:val="TAC"/>
              <w:rPr>
                <w:rFonts w:eastAsiaTheme="minorEastAsia"/>
                <w:lang w:val="en-US"/>
              </w:rPr>
            </w:pPr>
            <w:r w:rsidRPr="007E2F91">
              <w:rPr>
                <w:rFonts w:eastAsiaTheme="minorEastAsia"/>
                <w:lang w:val="en-US"/>
              </w:rPr>
              <w:t>1</w:t>
            </w:r>
          </w:p>
        </w:tc>
        <w:tc>
          <w:tcPr>
            <w:tcW w:w="2309" w:type="dxa"/>
            <w:gridSpan w:val="3"/>
            <w:tcBorders>
              <w:top w:val="single" w:sz="4" w:space="0" w:color="auto"/>
              <w:left w:val="single" w:sz="4" w:space="0" w:color="auto"/>
              <w:bottom w:val="single" w:sz="4" w:space="0" w:color="auto"/>
              <w:right w:val="single" w:sz="4" w:space="0" w:color="auto"/>
            </w:tcBorders>
            <w:vAlign w:val="center"/>
          </w:tcPr>
          <w:p w14:paraId="2F429176" w14:textId="77777777" w:rsidR="003A71DE" w:rsidRPr="007E2F91" w:rsidRDefault="003A71DE" w:rsidP="001A5D47">
            <w:pPr>
              <w:pStyle w:val="TAC"/>
              <w:rPr>
                <w:rFonts w:eastAsiaTheme="minorEastAsia"/>
                <w:lang w:val="en-US"/>
              </w:rPr>
            </w:pPr>
            <w:r w:rsidRPr="007E2F91">
              <w:rPr>
                <w:rFonts w:eastAsiaTheme="minorEastAsia"/>
                <w:lang w:val="en-US"/>
              </w:rPr>
              <w:t>2</w:t>
            </w:r>
          </w:p>
        </w:tc>
      </w:tr>
      <w:tr w:rsidR="003A71DE" w:rsidRPr="007E2F91" w14:paraId="6258A621" w14:textId="77777777" w:rsidTr="003A71DE">
        <w:trPr>
          <w:trHeight w:val="283"/>
          <w:jc w:val="center"/>
        </w:trPr>
        <w:tc>
          <w:tcPr>
            <w:tcW w:w="2065" w:type="dxa"/>
            <w:gridSpan w:val="2"/>
            <w:vMerge w:val="restart"/>
            <w:tcBorders>
              <w:left w:val="single" w:sz="4" w:space="0" w:color="auto"/>
              <w:right w:val="single" w:sz="4" w:space="0" w:color="auto"/>
            </w:tcBorders>
            <w:vAlign w:val="center"/>
          </w:tcPr>
          <w:p w14:paraId="68D7DF6E" w14:textId="77777777" w:rsidR="003A71DE" w:rsidRPr="007E2F91" w:rsidRDefault="003A71DE" w:rsidP="001A5D47">
            <w:pPr>
              <w:pStyle w:val="TAL"/>
              <w:rPr>
                <w:rFonts w:eastAsiaTheme="minorEastAsia"/>
                <w:lang w:val="en-US"/>
              </w:rPr>
            </w:pPr>
            <w:r w:rsidRPr="007E2F91">
              <w:rPr>
                <w:rFonts w:eastAsiaTheme="minorEastAsia"/>
                <w:lang w:val="en-US"/>
              </w:rPr>
              <w:t>BWP BW</w:t>
            </w:r>
          </w:p>
        </w:tc>
        <w:tc>
          <w:tcPr>
            <w:tcW w:w="1740" w:type="dxa"/>
            <w:tcBorders>
              <w:left w:val="single" w:sz="4" w:space="0" w:color="auto"/>
              <w:bottom w:val="single" w:sz="4" w:space="0" w:color="auto"/>
              <w:right w:val="single" w:sz="4" w:space="0" w:color="auto"/>
            </w:tcBorders>
            <w:vAlign w:val="center"/>
          </w:tcPr>
          <w:p w14:paraId="3CA36709" w14:textId="77777777" w:rsidR="003A71DE" w:rsidRPr="007E2F91" w:rsidRDefault="003A71DE" w:rsidP="001A5D47">
            <w:pPr>
              <w:pStyle w:val="TAL"/>
              <w:rPr>
                <w:rFonts w:eastAsiaTheme="minorEastAsia"/>
              </w:rPr>
            </w:pPr>
            <w:r w:rsidRPr="007E2F91">
              <w:rPr>
                <w:rFonts w:eastAsiaTheme="minorEastAsia"/>
              </w:rPr>
              <w:t>Config 1</w:t>
            </w:r>
          </w:p>
        </w:tc>
        <w:tc>
          <w:tcPr>
            <w:tcW w:w="1134" w:type="dxa"/>
            <w:vMerge w:val="restart"/>
            <w:tcBorders>
              <w:left w:val="single" w:sz="4" w:space="0" w:color="auto"/>
              <w:right w:val="single" w:sz="4" w:space="0" w:color="auto"/>
            </w:tcBorders>
            <w:vAlign w:val="center"/>
          </w:tcPr>
          <w:p w14:paraId="63B4A992" w14:textId="77777777" w:rsidR="003A71DE" w:rsidRPr="007E2F91" w:rsidRDefault="003A71DE" w:rsidP="001A5D47">
            <w:pPr>
              <w:pStyle w:val="TAC"/>
              <w:rPr>
                <w:rFonts w:eastAsiaTheme="minorEastAsia"/>
                <w:lang w:val="en-US"/>
              </w:rPr>
            </w:pPr>
            <w:r w:rsidRPr="007E2F91">
              <w:rPr>
                <w:rFonts w:eastAsiaTheme="minorEastAsia"/>
                <w:lang w:val="en-US"/>
              </w:rPr>
              <w:t>MHz</w:t>
            </w:r>
          </w:p>
        </w:tc>
        <w:tc>
          <w:tcPr>
            <w:tcW w:w="4655" w:type="dxa"/>
            <w:gridSpan w:val="7"/>
            <w:tcBorders>
              <w:left w:val="single" w:sz="4" w:space="0" w:color="auto"/>
              <w:bottom w:val="single" w:sz="4" w:space="0" w:color="auto"/>
              <w:right w:val="single" w:sz="4" w:space="0" w:color="auto"/>
            </w:tcBorders>
            <w:vAlign w:val="center"/>
          </w:tcPr>
          <w:p w14:paraId="24DA360F" w14:textId="77777777" w:rsidR="003A71DE" w:rsidRPr="007E2F91" w:rsidRDefault="003A71DE" w:rsidP="001A5D47">
            <w:pPr>
              <w:pStyle w:val="TAC"/>
              <w:rPr>
                <w:rFonts w:eastAsiaTheme="minorEastAsia"/>
              </w:rPr>
            </w:pPr>
            <w:r w:rsidRPr="007E2F91">
              <w:rPr>
                <w:rFonts w:eastAsiaTheme="minorEastAsia"/>
                <w:lang w:eastAsia="zh-CN"/>
              </w:rPr>
              <w:t>DLBWP.1.1</w:t>
            </w:r>
          </w:p>
        </w:tc>
      </w:tr>
      <w:tr w:rsidR="003A71DE" w:rsidRPr="007E2F91" w14:paraId="2AEA22F0" w14:textId="77777777" w:rsidTr="003A71DE">
        <w:trPr>
          <w:trHeight w:val="283"/>
          <w:jc w:val="center"/>
        </w:trPr>
        <w:tc>
          <w:tcPr>
            <w:tcW w:w="2065" w:type="dxa"/>
            <w:gridSpan w:val="2"/>
            <w:vMerge/>
            <w:tcBorders>
              <w:left w:val="single" w:sz="4" w:space="0" w:color="auto"/>
              <w:right w:val="single" w:sz="4" w:space="0" w:color="auto"/>
            </w:tcBorders>
            <w:vAlign w:val="center"/>
          </w:tcPr>
          <w:p w14:paraId="7DEA212B" w14:textId="77777777" w:rsidR="003A71DE" w:rsidRPr="007E2F91" w:rsidRDefault="003A71DE" w:rsidP="001A5D47">
            <w:pPr>
              <w:pStyle w:val="TAL"/>
              <w:rPr>
                <w:rFonts w:eastAsiaTheme="minorEastAsia"/>
                <w:lang w:val="en-US"/>
              </w:rPr>
            </w:pPr>
          </w:p>
        </w:tc>
        <w:tc>
          <w:tcPr>
            <w:tcW w:w="1740" w:type="dxa"/>
            <w:tcBorders>
              <w:left w:val="single" w:sz="4" w:space="0" w:color="auto"/>
              <w:bottom w:val="single" w:sz="4" w:space="0" w:color="auto"/>
              <w:right w:val="single" w:sz="4" w:space="0" w:color="auto"/>
            </w:tcBorders>
            <w:vAlign w:val="center"/>
          </w:tcPr>
          <w:p w14:paraId="1A075F04" w14:textId="77777777" w:rsidR="003A71DE" w:rsidRPr="007E2F91" w:rsidRDefault="003A71DE" w:rsidP="001A5D47">
            <w:pPr>
              <w:pStyle w:val="TAL"/>
              <w:rPr>
                <w:rFonts w:eastAsiaTheme="minorEastAsia"/>
              </w:rPr>
            </w:pPr>
            <w:r w:rsidRPr="007E2F91">
              <w:rPr>
                <w:rFonts w:eastAsiaTheme="minorEastAsia"/>
              </w:rPr>
              <w:t>Config 2</w:t>
            </w:r>
          </w:p>
        </w:tc>
        <w:tc>
          <w:tcPr>
            <w:tcW w:w="1134" w:type="dxa"/>
            <w:vMerge/>
            <w:tcBorders>
              <w:left w:val="single" w:sz="4" w:space="0" w:color="auto"/>
              <w:right w:val="single" w:sz="4" w:space="0" w:color="auto"/>
            </w:tcBorders>
            <w:vAlign w:val="center"/>
          </w:tcPr>
          <w:p w14:paraId="27D4E19D" w14:textId="77777777" w:rsidR="003A71DE" w:rsidRPr="007E2F91" w:rsidRDefault="003A71DE" w:rsidP="001A5D47">
            <w:pPr>
              <w:pStyle w:val="TAC"/>
              <w:rPr>
                <w:rFonts w:eastAsiaTheme="minorEastAsia"/>
                <w:lang w:val="en-US"/>
              </w:rPr>
            </w:pPr>
          </w:p>
        </w:tc>
        <w:tc>
          <w:tcPr>
            <w:tcW w:w="4655" w:type="dxa"/>
            <w:gridSpan w:val="7"/>
            <w:tcBorders>
              <w:left w:val="single" w:sz="4" w:space="0" w:color="auto"/>
              <w:bottom w:val="single" w:sz="4" w:space="0" w:color="auto"/>
              <w:right w:val="single" w:sz="4" w:space="0" w:color="auto"/>
            </w:tcBorders>
            <w:vAlign w:val="center"/>
          </w:tcPr>
          <w:p w14:paraId="2CE0109D" w14:textId="77777777" w:rsidR="003A71DE" w:rsidRPr="007E2F91" w:rsidRDefault="003A71DE" w:rsidP="001A5D47">
            <w:pPr>
              <w:pStyle w:val="TAC"/>
              <w:rPr>
                <w:rFonts w:eastAsiaTheme="minorEastAsia"/>
              </w:rPr>
            </w:pPr>
            <w:r w:rsidRPr="007E2F91">
              <w:rPr>
                <w:rFonts w:eastAsiaTheme="minorEastAsia"/>
                <w:lang w:eastAsia="zh-CN"/>
              </w:rPr>
              <w:t>DLBWP.1.1</w:t>
            </w:r>
          </w:p>
        </w:tc>
      </w:tr>
      <w:tr w:rsidR="003A71DE" w:rsidRPr="007E2F91" w14:paraId="1E56BAD0" w14:textId="77777777" w:rsidTr="003A71DE">
        <w:trPr>
          <w:trHeight w:val="283"/>
          <w:jc w:val="center"/>
        </w:trPr>
        <w:tc>
          <w:tcPr>
            <w:tcW w:w="3805" w:type="dxa"/>
            <w:gridSpan w:val="3"/>
            <w:tcBorders>
              <w:left w:val="single" w:sz="4" w:space="0" w:color="auto"/>
              <w:bottom w:val="single" w:sz="4" w:space="0" w:color="auto"/>
              <w:right w:val="single" w:sz="4" w:space="0" w:color="auto"/>
            </w:tcBorders>
            <w:vAlign w:val="center"/>
          </w:tcPr>
          <w:p w14:paraId="734B2B19" w14:textId="77777777" w:rsidR="003A71DE" w:rsidRPr="007E2F91" w:rsidRDefault="003A71DE" w:rsidP="001A5D47">
            <w:pPr>
              <w:pStyle w:val="TAL"/>
              <w:rPr>
                <w:rFonts w:eastAsiaTheme="minorEastAsia"/>
              </w:rPr>
            </w:pPr>
            <w:r w:rsidRPr="007E2F91">
              <w:rPr>
                <w:rFonts w:eastAsiaTheme="minorEastAsia"/>
                <w:lang w:val="en-US"/>
              </w:rPr>
              <w:t>DRx Cycle</w:t>
            </w:r>
          </w:p>
        </w:tc>
        <w:tc>
          <w:tcPr>
            <w:tcW w:w="1134" w:type="dxa"/>
            <w:tcBorders>
              <w:left w:val="single" w:sz="4" w:space="0" w:color="auto"/>
              <w:bottom w:val="single" w:sz="4" w:space="0" w:color="auto"/>
              <w:right w:val="single" w:sz="4" w:space="0" w:color="auto"/>
            </w:tcBorders>
            <w:vAlign w:val="center"/>
          </w:tcPr>
          <w:p w14:paraId="25C15D16" w14:textId="77777777" w:rsidR="003A71DE" w:rsidRPr="007E2F91" w:rsidRDefault="003A71DE" w:rsidP="001A5D47">
            <w:pPr>
              <w:pStyle w:val="TAC"/>
              <w:rPr>
                <w:rFonts w:eastAsiaTheme="minorEastAsia"/>
                <w:lang w:val="en-US"/>
              </w:rPr>
            </w:pPr>
            <w:r w:rsidRPr="007E2F91">
              <w:rPr>
                <w:rFonts w:eastAsiaTheme="minorEastAsia"/>
                <w:lang w:val="en-US"/>
              </w:rPr>
              <w:t>ms</w:t>
            </w:r>
          </w:p>
        </w:tc>
        <w:tc>
          <w:tcPr>
            <w:tcW w:w="4655" w:type="dxa"/>
            <w:gridSpan w:val="7"/>
            <w:tcBorders>
              <w:left w:val="single" w:sz="4" w:space="0" w:color="auto"/>
              <w:bottom w:val="single" w:sz="4" w:space="0" w:color="auto"/>
              <w:right w:val="single" w:sz="4" w:space="0" w:color="auto"/>
            </w:tcBorders>
            <w:vAlign w:val="center"/>
          </w:tcPr>
          <w:p w14:paraId="061CEA57" w14:textId="77777777" w:rsidR="003A71DE" w:rsidRPr="007E2F91" w:rsidRDefault="003A71DE" w:rsidP="001A5D47">
            <w:pPr>
              <w:pStyle w:val="TAC"/>
              <w:rPr>
                <w:lang w:val="en-US"/>
              </w:rPr>
            </w:pPr>
            <w:r w:rsidRPr="007E2F91">
              <w:rPr>
                <w:rFonts w:eastAsiaTheme="minorEastAsia"/>
                <w:lang w:val="en-US"/>
              </w:rPr>
              <w:t>Not Applicable</w:t>
            </w:r>
          </w:p>
        </w:tc>
      </w:tr>
      <w:tr w:rsidR="003A71DE" w:rsidRPr="007E2F91" w14:paraId="40A74919" w14:textId="77777777" w:rsidTr="003A71DE">
        <w:trPr>
          <w:trHeight w:val="510"/>
          <w:jc w:val="center"/>
        </w:trPr>
        <w:tc>
          <w:tcPr>
            <w:tcW w:w="2065" w:type="dxa"/>
            <w:gridSpan w:val="2"/>
            <w:vMerge w:val="restart"/>
            <w:tcBorders>
              <w:left w:val="single" w:sz="4" w:space="0" w:color="auto"/>
              <w:right w:val="single" w:sz="4" w:space="0" w:color="auto"/>
            </w:tcBorders>
            <w:vAlign w:val="center"/>
          </w:tcPr>
          <w:p w14:paraId="004981AD" w14:textId="77777777" w:rsidR="003A71DE" w:rsidRPr="007E2F91" w:rsidRDefault="003A71DE" w:rsidP="001A5D47">
            <w:pPr>
              <w:pStyle w:val="TAL"/>
              <w:rPr>
                <w:rFonts w:eastAsiaTheme="minorEastAsia"/>
                <w:lang w:val="en-US"/>
              </w:rPr>
            </w:pPr>
            <w:r w:rsidRPr="007E2F91">
              <w:rPr>
                <w:rFonts w:eastAsiaTheme="minorEastAsia"/>
                <w:lang w:val="en-US"/>
              </w:rPr>
              <w:t>PDSCH Reference measurement channel</w:t>
            </w:r>
          </w:p>
        </w:tc>
        <w:tc>
          <w:tcPr>
            <w:tcW w:w="1740" w:type="dxa"/>
            <w:tcBorders>
              <w:left w:val="single" w:sz="4" w:space="0" w:color="auto"/>
              <w:right w:val="single" w:sz="4" w:space="0" w:color="auto"/>
            </w:tcBorders>
            <w:vAlign w:val="center"/>
          </w:tcPr>
          <w:p w14:paraId="1F008199" w14:textId="77777777" w:rsidR="003A71DE" w:rsidRPr="007E2F91" w:rsidRDefault="003A71DE" w:rsidP="001A5D47">
            <w:pPr>
              <w:pStyle w:val="TAL"/>
              <w:rPr>
                <w:rFonts w:eastAsiaTheme="minorEastAsia"/>
                <w:lang w:val="en-US"/>
              </w:rPr>
            </w:pPr>
            <w:r w:rsidRPr="007E2F91">
              <w:rPr>
                <w:rFonts w:eastAsiaTheme="minorEastAsia"/>
              </w:rPr>
              <w:t>Config 1</w:t>
            </w:r>
          </w:p>
        </w:tc>
        <w:tc>
          <w:tcPr>
            <w:tcW w:w="1134" w:type="dxa"/>
            <w:vMerge w:val="restart"/>
            <w:tcBorders>
              <w:left w:val="single" w:sz="4" w:space="0" w:color="auto"/>
              <w:right w:val="single" w:sz="4" w:space="0" w:color="auto"/>
            </w:tcBorders>
            <w:vAlign w:val="center"/>
          </w:tcPr>
          <w:p w14:paraId="71788374" w14:textId="77777777" w:rsidR="003A71DE" w:rsidRPr="007E2F91" w:rsidRDefault="003A71DE" w:rsidP="001A5D47">
            <w:pPr>
              <w:pStyle w:val="TAC"/>
              <w:rPr>
                <w:rFonts w:eastAsiaTheme="minorEastAsia"/>
                <w:lang w:val="en-US"/>
              </w:rPr>
            </w:pPr>
          </w:p>
        </w:tc>
        <w:tc>
          <w:tcPr>
            <w:tcW w:w="4655" w:type="dxa"/>
            <w:gridSpan w:val="7"/>
            <w:tcBorders>
              <w:left w:val="single" w:sz="4" w:space="0" w:color="auto"/>
              <w:right w:val="single" w:sz="4" w:space="0" w:color="auto"/>
            </w:tcBorders>
            <w:vAlign w:val="center"/>
          </w:tcPr>
          <w:p w14:paraId="3757DC32" w14:textId="77777777" w:rsidR="003A71DE" w:rsidRPr="007E2F91" w:rsidRDefault="003A71DE" w:rsidP="001A5D47">
            <w:pPr>
              <w:pStyle w:val="TAC"/>
              <w:rPr>
                <w:rFonts w:eastAsiaTheme="minorEastAsia"/>
                <w:lang w:val="en-US"/>
              </w:rPr>
            </w:pPr>
            <w:r w:rsidRPr="007E2F91">
              <w:rPr>
                <w:rFonts w:eastAsiaTheme="minorEastAsia"/>
              </w:rPr>
              <w:t>SR.1.1 TDD</w:t>
            </w:r>
          </w:p>
        </w:tc>
      </w:tr>
      <w:tr w:rsidR="003A71DE" w:rsidRPr="007E2F91" w14:paraId="3144D576" w14:textId="77777777" w:rsidTr="003A71DE">
        <w:trPr>
          <w:trHeight w:val="510"/>
          <w:jc w:val="center"/>
        </w:trPr>
        <w:tc>
          <w:tcPr>
            <w:tcW w:w="2065" w:type="dxa"/>
            <w:gridSpan w:val="2"/>
            <w:vMerge/>
            <w:tcBorders>
              <w:left w:val="single" w:sz="4" w:space="0" w:color="auto"/>
              <w:bottom w:val="single" w:sz="4" w:space="0" w:color="auto"/>
              <w:right w:val="single" w:sz="4" w:space="0" w:color="auto"/>
            </w:tcBorders>
            <w:vAlign w:val="center"/>
          </w:tcPr>
          <w:p w14:paraId="6CAC233D" w14:textId="77777777" w:rsidR="003A71DE" w:rsidRPr="007E2F91" w:rsidRDefault="003A71DE" w:rsidP="001A5D47">
            <w:pPr>
              <w:pStyle w:val="TAL"/>
              <w:rPr>
                <w:rFonts w:eastAsiaTheme="minorEastAsia"/>
                <w:lang w:val="en-US"/>
              </w:rPr>
            </w:pPr>
          </w:p>
        </w:tc>
        <w:tc>
          <w:tcPr>
            <w:tcW w:w="1740" w:type="dxa"/>
            <w:tcBorders>
              <w:left w:val="single" w:sz="4" w:space="0" w:color="auto"/>
              <w:bottom w:val="single" w:sz="4" w:space="0" w:color="auto"/>
              <w:right w:val="single" w:sz="4" w:space="0" w:color="auto"/>
            </w:tcBorders>
            <w:vAlign w:val="center"/>
          </w:tcPr>
          <w:p w14:paraId="22D0CF3A" w14:textId="77777777" w:rsidR="003A71DE" w:rsidRPr="007E2F91" w:rsidRDefault="003A71DE" w:rsidP="001A5D47">
            <w:pPr>
              <w:pStyle w:val="TAL"/>
              <w:rPr>
                <w:rFonts w:eastAsiaTheme="minorEastAsia"/>
                <w:lang w:val="en-US"/>
              </w:rPr>
            </w:pPr>
            <w:r w:rsidRPr="007E2F91">
              <w:rPr>
                <w:rFonts w:eastAsiaTheme="minorEastAsia"/>
              </w:rPr>
              <w:t>Config 2</w:t>
            </w:r>
          </w:p>
        </w:tc>
        <w:tc>
          <w:tcPr>
            <w:tcW w:w="1134" w:type="dxa"/>
            <w:vMerge/>
            <w:tcBorders>
              <w:left w:val="single" w:sz="4" w:space="0" w:color="auto"/>
              <w:bottom w:val="single" w:sz="4" w:space="0" w:color="auto"/>
              <w:right w:val="single" w:sz="4" w:space="0" w:color="auto"/>
            </w:tcBorders>
            <w:vAlign w:val="center"/>
          </w:tcPr>
          <w:p w14:paraId="3FAAA57C" w14:textId="77777777" w:rsidR="003A71DE" w:rsidRPr="007E2F91" w:rsidRDefault="003A71DE" w:rsidP="001A5D47">
            <w:pPr>
              <w:pStyle w:val="TAC"/>
              <w:rPr>
                <w:rFonts w:eastAsiaTheme="minorEastAsia"/>
                <w:lang w:val="en-US"/>
              </w:rPr>
            </w:pPr>
          </w:p>
        </w:tc>
        <w:tc>
          <w:tcPr>
            <w:tcW w:w="4655" w:type="dxa"/>
            <w:gridSpan w:val="7"/>
            <w:tcBorders>
              <w:left w:val="single" w:sz="4" w:space="0" w:color="auto"/>
              <w:bottom w:val="single" w:sz="4" w:space="0" w:color="auto"/>
              <w:right w:val="single" w:sz="4" w:space="0" w:color="auto"/>
            </w:tcBorders>
            <w:vAlign w:val="center"/>
          </w:tcPr>
          <w:p w14:paraId="109B4F7B" w14:textId="77777777" w:rsidR="003A71DE" w:rsidRPr="007E2F91" w:rsidRDefault="003A71DE" w:rsidP="001A5D47">
            <w:pPr>
              <w:pStyle w:val="TAC"/>
              <w:rPr>
                <w:rFonts w:eastAsiaTheme="minorEastAsia"/>
                <w:lang w:val="en-US"/>
              </w:rPr>
            </w:pPr>
            <w:r w:rsidRPr="007E2F91">
              <w:rPr>
                <w:rFonts w:eastAsiaTheme="minorEastAsia"/>
              </w:rPr>
              <w:t>SR 2.1 TDD</w:t>
            </w:r>
          </w:p>
        </w:tc>
      </w:tr>
      <w:tr w:rsidR="003A71DE" w:rsidRPr="007E2F91" w14:paraId="73167396" w14:textId="77777777" w:rsidTr="003A71DE">
        <w:trPr>
          <w:trHeight w:val="510"/>
          <w:jc w:val="center"/>
        </w:trPr>
        <w:tc>
          <w:tcPr>
            <w:tcW w:w="2065" w:type="dxa"/>
            <w:gridSpan w:val="2"/>
            <w:vMerge w:val="restart"/>
            <w:tcBorders>
              <w:top w:val="single" w:sz="4" w:space="0" w:color="auto"/>
              <w:left w:val="single" w:sz="4" w:space="0" w:color="auto"/>
              <w:right w:val="single" w:sz="4" w:space="0" w:color="auto"/>
            </w:tcBorders>
            <w:vAlign w:val="center"/>
          </w:tcPr>
          <w:p w14:paraId="38BDD70D" w14:textId="77777777" w:rsidR="003A71DE" w:rsidRPr="007E2F91" w:rsidRDefault="003A71DE" w:rsidP="001A5D47">
            <w:pPr>
              <w:pStyle w:val="TAL"/>
              <w:rPr>
                <w:rFonts w:eastAsiaTheme="minorEastAsia"/>
                <w:lang w:val="en-US"/>
              </w:rPr>
            </w:pPr>
            <w:r w:rsidRPr="007E2F91">
              <w:rPr>
                <w:rFonts w:eastAsiaTheme="minorEastAsia"/>
              </w:rPr>
              <w:t>CORESET Reference Channel</w:t>
            </w:r>
          </w:p>
        </w:tc>
        <w:tc>
          <w:tcPr>
            <w:tcW w:w="1740" w:type="dxa"/>
            <w:tcBorders>
              <w:top w:val="single" w:sz="4" w:space="0" w:color="auto"/>
              <w:left w:val="single" w:sz="4" w:space="0" w:color="auto"/>
              <w:right w:val="single" w:sz="4" w:space="0" w:color="auto"/>
            </w:tcBorders>
            <w:vAlign w:val="center"/>
          </w:tcPr>
          <w:p w14:paraId="65EFD6A0" w14:textId="77777777" w:rsidR="003A71DE" w:rsidRPr="007E2F91" w:rsidRDefault="003A71DE" w:rsidP="001A5D47">
            <w:pPr>
              <w:pStyle w:val="TAL"/>
              <w:rPr>
                <w:rFonts w:eastAsiaTheme="minorEastAsia"/>
                <w:lang w:val="en-US"/>
              </w:rPr>
            </w:pPr>
            <w:r w:rsidRPr="007E2F91">
              <w:rPr>
                <w:rFonts w:eastAsiaTheme="minorEastAsia"/>
              </w:rPr>
              <w:t>Config 1</w:t>
            </w:r>
          </w:p>
        </w:tc>
        <w:tc>
          <w:tcPr>
            <w:tcW w:w="1134" w:type="dxa"/>
            <w:vMerge w:val="restart"/>
            <w:tcBorders>
              <w:top w:val="single" w:sz="4" w:space="0" w:color="auto"/>
              <w:left w:val="single" w:sz="4" w:space="0" w:color="auto"/>
              <w:right w:val="single" w:sz="4" w:space="0" w:color="auto"/>
            </w:tcBorders>
            <w:vAlign w:val="center"/>
          </w:tcPr>
          <w:p w14:paraId="3D09AE36" w14:textId="77777777" w:rsidR="003A71DE" w:rsidRPr="007E2F91" w:rsidRDefault="003A71DE" w:rsidP="001A5D47">
            <w:pPr>
              <w:pStyle w:val="TAC"/>
              <w:rPr>
                <w:rFonts w:eastAsiaTheme="minorEastAsia"/>
                <w:lang w:val="en-US"/>
              </w:rPr>
            </w:pPr>
          </w:p>
        </w:tc>
        <w:tc>
          <w:tcPr>
            <w:tcW w:w="4655" w:type="dxa"/>
            <w:gridSpan w:val="7"/>
            <w:tcBorders>
              <w:top w:val="single" w:sz="4" w:space="0" w:color="auto"/>
              <w:left w:val="single" w:sz="4" w:space="0" w:color="auto"/>
              <w:bottom w:val="single" w:sz="4" w:space="0" w:color="auto"/>
              <w:right w:val="single" w:sz="4" w:space="0" w:color="auto"/>
            </w:tcBorders>
            <w:vAlign w:val="center"/>
          </w:tcPr>
          <w:p w14:paraId="376D31A6" w14:textId="77777777" w:rsidR="003A71DE" w:rsidRPr="007E2F91" w:rsidRDefault="003A71DE" w:rsidP="001A5D47">
            <w:pPr>
              <w:pStyle w:val="TAC"/>
              <w:rPr>
                <w:rFonts w:eastAsiaTheme="minorEastAsia"/>
                <w:lang w:val="en-US"/>
              </w:rPr>
            </w:pPr>
            <w:r w:rsidRPr="007E2F91">
              <w:rPr>
                <w:rFonts w:eastAsiaTheme="minorEastAsia"/>
              </w:rPr>
              <w:t>CR.1.1 TDD</w:t>
            </w:r>
            <w:r w:rsidRPr="007E2F91">
              <w:rPr>
                <w:rFonts w:eastAsiaTheme="minorEastAsia"/>
                <w:lang w:val="en-US"/>
              </w:rPr>
              <w:t xml:space="preserve">  </w:t>
            </w:r>
          </w:p>
        </w:tc>
      </w:tr>
      <w:tr w:rsidR="003A71DE" w:rsidRPr="007E2F91" w14:paraId="67A657F4" w14:textId="77777777" w:rsidTr="003A71DE">
        <w:trPr>
          <w:trHeight w:val="510"/>
          <w:jc w:val="center"/>
        </w:trPr>
        <w:tc>
          <w:tcPr>
            <w:tcW w:w="2065" w:type="dxa"/>
            <w:gridSpan w:val="2"/>
            <w:vMerge/>
            <w:tcBorders>
              <w:left w:val="single" w:sz="4" w:space="0" w:color="auto"/>
              <w:right w:val="single" w:sz="4" w:space="0" w:color="auto"/>
            </w:tcBorders>
            <w:vAlign w:val="center"/>
          </w:tcPr>
          <w:p w14:paraId="3F5D29DE" w14:textId="77777777" w:rsidR="003A71DE" w:rsidRPr="007E2F91" w:rsidRDefault="003A71DE" w:rsidP="001A5D47">
            <w:pPr>
              <w:pStyle w:val="TAL"/>
              <w:rPr>
                <w:rFonts w:eastAsiaTheme="minorEastAsia"/>
              </w:rPr>
            </w:pPr>
          </w:p>
        </w:tc>
        <w:tc>
          <w:tcPr>
            <w:tcW w:w="1740" w:type="dxa"/>
            <w:tcBorders>
              <w:left w:val="single" w:sz="4" w:space="0" w:color="auto"/>
              <w:right w:val="single" w:sz="4" w:space="0" w:color="auto"/>
            </w:tcBorders>
            <w:vAlign w:val="center"/>
          </w:tcPr>
          <w:p w14:paraId="741C0489" w14:textId="77777777" w:rsidR="003A71DE" w:rsidRPr="007E2F91" w:rsidRDefault="003A71DE" w:rsidP="001A5D47">
            <w:pPr>
              <w:pStyle w:val="TAL"/>
              <w:rPr>
                <w:rFonts w:eastAsiaTheme="minorEastAsia"/>
              </w:rPr>
            </w:pPr>
            <w:r w:rsidRPr="007E2F91">
              <w:rPr>
                <w:rFonts w:eastAsiaTheme="minorEastAsia"/>
              </w:rPr>
              <w:t>Config 2</w:t>
            </w:r>
          </w:p>
        </w:tc>
        <w:tc>
          <w:tcPr>
            <w:tcW w:w="1134" w:type="dxa"/>
            <w:vMerge/>
            <w:tcBorders>
              <w:left w:val="single" w:sz="4" w:space="0" w:color="auto"/>
              <w:right w:val="single" w:sz="4" w:space="0" w:color="auto"/>
            </w:tcBorders>
            <w:vAlign w:val="center"/>
          </w:tcPr>
          <w:p w14:paraId="71E6E245" w14:textId="77777777" w:rsidR="003A71DE" w:rsidRPr="007E2F91" w:rsidRDefault="003A71DE" w:rsidP="001A5D47">
            <w:pPr>
              <w:pStyle w:val="TAC"/>
              <w:rPr>
                <w:rFonts w:eastAsiaTheme="minorEastAsia"/>
                <w:lang w:val="en-US"/>
              </w:rPr>
            </w:pPr>
          </w:p>
        </w:tc>
        <w:tc>
          <w:tcPr>
            <w:tcW w:w="4655" w:type="dxa"/>
            <w:gridSpan w:val="7"/>
            <w:tcBorders>
              <w:top w:val="single" w:sz="4" w:space="0" w:color="auto"/>
              <w:left w:val="single" w:sz="4" w:space="0" w:color="auto"/>
              <w:bottom w:val="single" w:sz="4" w:space="0" w:color="auto"/>
              <w:right w:val="single" w:sz="4" w:space="0" w:color="auto"/>
            </w:tcBorders>
            <w:vAlign w:val="center"/>
          </w:tcPr>
          <w:p w14:paraId="41835D7D" w14:textId="77777777" w:rsidR="003A71DE" w:rsidRPr="007E2F91" w:rsidRDefault="003A71DE" w:rsidP="001A5D47">
            <w:pPr>
              <w:pStyle w:val="TAC"/>
              <w:rPr>
                <w:rFonts w:eastAsiaTheme="minorEastAsia"/>
                <w:lang w:val="en-US"/>
              </w:rPr>
            </w:pPr>
            <w:r w:rsidRPr="007E2F91">
              <w:rPr>
                <w:rFonts w:eastAsiaTheme="minorEastAsia"/>
              </w:rPr>
              <w:t>CR 2.1 TDD</w:t>
            </w:r>
          </w:p>
        </w:tc>
      </w:tr>
      <w:tr w:rsidR="003A71DE" w:rsidRPr="007E2F91" w14:paraId="6A4F35E5" w14:textId="77777777" w:rsidTr="003A71DE">
        <w:trPr>
          <w:trHeight w:val="283"/>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738919C8" w14:textId="77777777" w:rsidR="003A71DE" w:rsidRPr="007E2F91" w:rsidRDefault="003A71DE" w:rsidP="001A5D47">
            <w:pPr>
              <w:pStyle w:val="TAL"/>
              <w:rPr>
                <w:rFonts w:eastAsiaTheme="minorEastAsia"/>
                <w:lang w:val="da-DK"/>
              </w:rPr>
            </w:pPr>
            <w:r w:rsidRPr="007E2F91">
              <w:rPr>
                <w:rFonts w:eastAsiaTheme="minorEastAsia"/>
                <w:lang w:val="da-DK"/>
              </w:rPr>
              <w:t>OCNG Patterns</w:t>
            </w:r>
          </w:p>
        </w:tc>
        <w:tc>
          <w:tcPr>
            <w:tcW w:w="1134" w:type="dxa"/>
            <w:tcBorders>
              <w:top w:val="single" w:sz="4" w:space="0" w:color="auto"/>
              <w:left w:val="single" w:sz="4" w:space="0" w:color="auto"/>
              <w:bottom w:val="single" w:sz="4" w:space="0" w:color="auto"/>
              <w:right w:val="single" w:sz="4" w:space="0" w:color="auto"/>
            </w:tcBorders>
            <w:vAlign w:val="center"/>
          </w:tcPr>
          <w:p w14:paraId="6DAF0E4E"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bottom w:val="single" w:sz="4" w:space="0" w:color="auto"/>
              <w:right w:val="single" w:sz="4" w:space="0" w:color="auto"/>
            </w:tcBorders>
            <w:vAlign w:val="center"/>
            <w:hideMark/>
          </w:tcPr>
          <w:p w14:paraId="6FC4C1E4" w14:textId="77777777" w:rsidR="003A71DE" w:rsidRPr="007E2F91" w:rsidRDefault="003A71DE" w:rsidP="001A5D47">
            <w:pPr>
              <w:pStyle w:val="TAC"/>
              <w:rPr>
                <w:rFonts w:eastAsiaTheme="minorEastAsia"/>
                <w:lang w:val="en-US"/>
              </w:rPr>
            </w:pPr>
            <w:r w:rsidRPr="007E2F91">
              <w:rPr>
                <w:rFonts w:eastAsiaTheme="minorEastAsia"/>
                <w:snapToGrid w:val="0"/>
              </w:rPr>
              <w:t>OCNG pattern 1</w:t>
            </w:r>
          </w:p>
        </w:tc>
      </w:tr>
      <w:tr w:rsidR="003A71DE" w:rsidRPr="007E2F91" w14:paraId="150FFC4B" w14:textId="77777777" w:rsidTr="003A71DE">
        <w:trPr>
          <w:trHeight w:val="283"/>
          <w:jc w:val="center"/>
        </w:trPr>
        <w:tc>
          <w:tcPr>
            <w:tcW w:w="2065" w:type="dxa"/>
            <w:gridSpan w:val="2"/>
            <w:vMerge w:val="restart"/>
            <w:tcBorders>
              <w:top w:val="single" w:sz="4" w:space="0" w:color="auto"/>
              <w:left w:val="single" w:sz="4" w:space="0" w:color="auto"/>
              <w:right w:val="single" w:sz="4" w:space="0" w:color="auto"/>
            </w:tcBorders>
            <w:vAlign w:val="center"/>
          </w:tcPr>
          <w:p w14:paraId="7BD38BF2" w14:textId="77777777" w:rsidR="003A71DE" w:rsidRPr="007E2F91" w:rsidRDefault="003A71DE" w:rsidP="001A5D47">
            <w:pPr>
              <w:pStyle w:val="TAL"/>
              <w:rPr>
                <w:rFonts w:eastAsiaTheme="minorEastAsia"/>
                <w:lang w:val="da-DK"/>
              </w:rPr>
            </w:pPr>
            <w:r w:rsidRPr="007E2F91">
              <w:rPr>
                <w:rFonts w:eastAsiaTheme="minorEastAsia"/>
                <w:lang w:val="da-DK"/>
              </w:rPr>
              <w:t>SSB configration</w:t>
            </w:r>
          </w:p>
        </w:tc>
        <w:tc>
          <w:tcPr>
            <w:tcW w:w="1740" w:type="dxa"/>
            <w:tcBorders>
              <w:top w:val="single" w:sz="4" w:space="0" w:color="auto"/>
              <w:left w:val="single" w:sz="4" w:space="0" w:color="auto"/>
              <w:right w:val="single" w:sz="4" w:space="0" w:color="auto"/>
            </w:tcBorders>
            <w:vAlign w:val="center"/>
          </w:tcPr>
          <w:p w14:paraId="7DACC97B" w14:textId="77777777" w:rsidR="003A71DE" w:rsidRPr="007E2F91" w:rsidRDefault="003A71DE" w:rsidP="001A5D47">
            <w:pPr>
              <w:pStyle w:val="TAL"/>
              <w:rPr>
                <w:rFonts w:eastAsiaTheme="minorEastAsia"/>
              </w:rPr>
            </w:pPr>
            <w:r w:rsidRPr="007E2F91">
              <w:rPr>
                <w:rFonts w:eastAsiaTheme="minorEastAsia"/>
              </w:rPr>
              <w:t>Config 1</w:t>
            </w:r>
          </w:p>
        </w:tc>
        <w:tc>
          <w:tcPr>
            <w:tcW w:w="1134" w:type="dxa"/>
            <w:vMerge w:val="restart"/>
            <w:tcBorders>
              <w:top w:val="single" w:sz="4" w:space="0" w:color="auto"/>
              <w:left w:val="single" w:sz="4" w:space="0" w:color="auto"/>
              <w:right w:val="single" w:sz="4" w:space="0" w:color="auto"/>
            </w:tcBorders>
            <w:vAlign w:val="center"/>
          </w:tcPr>
          <w:p w14:paraId="68BA7C93"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vAlign w:val="center"/>
          </w:tcPr>
          <w:p w14:paraId="554A0E35" w14:textId="77777777" w:rsidR="003A71DE" w:rsidRPr="007E2F91" w:rsidRDefault="003A71DE" w:rsidP="001A5D47">
            <w:pPr>
              <w:pStyle w:val="TAC"/>
              <w:rPr>
                <w:rFonts w:eastAsiaTheme="minorEastAsia"/>
              </w:rPr>
            </w:pPr>
            <w:r w:rsidRPr="007E2F91">
              <w:rPr>
                <w:rFonts w:eastAsiaTheme="minorEastAsia"/>
              </w:rPr>
              <w:t>SSB.1 FR1</w:t>
            </w:r>
          </w:p>
        </w:tc>
      </w:tr>
      <w:tr w:rsidR="003A71DE" w:rsidRPr="007E2F91" w14:paraId="45ADD769" w14:textId="77777777" w:rsidTr="003A71DE">
        <w:trPr>
          <w:trHeight w:val="283"/>
          <w:jc w:val="center"/>
        </w:trPr>
        <w:tc>
          <w:tcPr>
            <w:tcW w:w="2065" w:type="dxa"/>
            <w:gridSpan w:val="2"/>
            <w:vMerge/>
            <w:tcBorders>
              <w:left w:val="single" w:sz="4" w:space="0" w:color="auto"/>
              <w:right w:val="single" w:sz="4" w:space="0" w:color="auto"/>
            </w:tcBorders>
            <w:vAlign w:val="center"/>
          </w:tcPr>
          <w:p w14:paraId="214E9873" w14:textId="77777777" w:rsidR="003A71DE" w:rsidRPr="007E2F91" w:rsidRDefault="003A71DE" w:rsidP="001A5D47">
            <w:pPr>
              <w:pStyle w:val="TAL"/>
              <w:rPr>
                <w:rFonts w:eastAsiaTheme="minorEastAsia"/>
                <w:lang w:val="da-DK"/>
              </w:rPr>
            </w:pPr>
          </w:p>
        </w:tc>
        <w:tc>
          <w:tcPr>
            <w:tcW w:w="1740" w:type="dxa"/>
            <w:tcBorders>
              <w:top w:val="single" w:sz="4" w:space="0" w:color="auto"/>
              <w:left w:val="single" w:sz="4" w:space="0" w:color="auto"/>
              <w:right w:val="single" w:sz="4" w:space="0" w:color="auto"/>
            </w:tcBorders>
            <w:vAlign w:val="center"/>
          </w:tcPr>
          <w:p w14:paraId="5F3B2707" w14:textId="77777777" w:rsidR="003A71DE" w:rsidRPr="007E2F91" w:rsidRDefault="003A71DE" w:rsidP="001A5D47">
            <w:pPr>
              <w:pStyle w:val="TAL"/>
              <w:rPr>
                <w:rFonts w:eastAsiaTheme="minorEastAsia"/>
              </w:rPr>
            </w:pPr>
            <w:r w:rsidRPr="007E2F91">
              <w:rPr>
                <w:rFonts w:eastAsiaTheme="minorEastAsia"/>
              </w:rPr>
              <w:t>Config 2</w:t>
            </w:r>
          </w:p>
        </w:tc>
        <w:tc>
          <w:tcPr>
            <w:tcW w:w="1134" w:type="dxa"/>
            <w:vMerge/>
            <w:tcBorders>
              <w:left w:val="single" w:sz="4" w:space="0" w:color="auto"/>
              <w:right w:val="single" w:sz="4" w:space="0" w:color="auto"/>
            </w:tcBorders>
            <w:vAlign w:val="center"/>
          </w:tcPr>
          <w:p w14:paraId="7B551AAB"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vAlign w:val="center"/>
          </w:tcPr>
          <w:p w14:paraId="0AED1E3E" w14:textId="77777777" w:rsidR="003A71DE" w:rsidRPr="007E2F91" w:rsidRDefault="003A71DE" w:rsidP="001A5D47">
            <w:pPr>
              <w:pStyle w:val="TAC"/>
              <w:rPr>
                <w:rFonts w:eastAsiaTheme="minorEastAsia"/>
              </w:rPr>
            </w:pPr>
            <w:r w:rsidRPr="007E2F91">
              <w:rPr>
                <w:rFonts w:eastAsiaTheme="minorEastAsia"/>
              </w:rPr>
              <w:t>SSB.2 FR1</w:t>
            </w:r>
          </w:p>
        </w:tc>
      </w:tr>
      <w:tr w:rsidR="003A71DE" w:rsidRPr="007E2F91" w14:paraId="07AC20BA" w14:textId="77777777" w:rsidTr="003A71DE">
        <w:trPr>
          <w:trHeight w:val="283"/>
          <w:jc w:val="center"/>
        </w:trPr>
        <w:tc>
          <w:tcPr>
            <w:tcW w:w="2065" w:type="dxa"/>
            <w:gridSpan w:val="2"/>
            <w:vMerge w:val="restart"/>
            <w:tcBorders>
              <w:top w:val="single" w:sz="4" w:space="0" w:color="auto"/>
              <w:left w:val="single" w:sz="4" w:space="0" w:color="auto"/>
              <w:right w:val="single" w:sz="4" w:space="0" w:color="auto"/>
            </w:tcBorders>
            <w:vAlign w:val="center"/>
          </w:tcPr>
          <w:p w14:paraId="392DBB66" w14:textId="77777777" w:rsidR="003A71DE" w:rsidRPr="007E2F91" w:rsidRDefault="003A71DE" w:rsidP="001A5D47">
            <w:pPr>
              <w:pStyle w:val="TAL"/>
              <w:rPr>
                <w:rFonts w:eastAsiaTheme="minorEastAsia"/>
                <w:lang w:val="da-DK"/>
              </w:rPr>
            </w:pPr>
            <w:r w:rsidRPr="007E2F91">
              <w:rPr>
                <w:rFonts w:eastAsiaTheme="minorEastAsia"/>
                <w:lang w:val="da-DK"/>
              </w:rPr>
              <w:t>SMTC configuration</w:t>
            </w:r>
          </w:p>
        </w:tc>
        <w:tc>
          <w:tcPr>
            <w:tcW w:w="1740" w:type="dxa"/>
            <w:tcBorders>
              <w:top w:val="single" w:sz="4" w:space="0" w:color="auto"/>
              <w:left w:val="single" w:sz="4" w:space="0" w:color="auto"/>
              <w:right w:val="single" w:sz="4" w:space="0" w:color="auto"/>
            </w:tcBorders>
            <w:vAlign w:val="center"/>
          </w:tcPr>
          <w:p w14:paraId="2A7B133E" w14:textId="77777777" w:rsidR="003A71DE" w:rsidRPr="007E2F91" w:rsidRDefault="003A71DE" w:rsidP="001A5D47">
            <w:pPr>
              <w:pStyle w:val="TAL"/>
              <w:rPr>
                <w:rFonts w:eastAsiaTheme="minorEastAsia"/>
                <w:lang w:val="da-DK"/>
              </w:rPr>
            </w:pPr>
            <w:r w:rsidRPr="007E2F91">
              <w:rPr>
                <w:rFonts w:eastAsiaTheme="minorEastAsia"/>
              </w:rPr>
              <w:t>Config 1</w:t>
            </w:r>
          </w:p>
        </w:tc>
        <w:tc>
          <w:tcPr>
            <w:tcW w:w="1134" w:type="dxa"/>
            <w:vMerge w:val="restart"/>
            <w:tcBorders>
              <w:top w:val="single" w:sz="4" w:space="0" w:color="auto"/>
              <w:left w:val="single" w:sz="4" w:space="0" w:color="auto"/>
              <w:right w:val="single" w:sz="4" w:space="0" w:color="auto"/>
            </w:tcBorders>
            <w:vAlign w:val="center"/>
          </w:tcPr>
          <w:p w14:paraId="4E9E0D89"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vAlign w:val="center"/>
          </w:tcPr>
          <w:p w14:paraId="207A1CB5" w14:textId="77777777" w:rsidR="003A71DE" w:rsidRPr="007E2F91" w:rsidRDefault="003A71DE" w:rsidP="001A5D47">
            <w:pPr>
              <w:pStyle w:val="TAC"/>
              <w:rPr>
                <w:rFonts w:eastAsiaTheme="minorEastAsia"/>
                <w:lang w:val="en-US"/>
              </w:rPr>
            </w:pPr>
            <w:r w:rsidRPr="007E2F91">
              <w:rPr>
                <w:rFonts w:eastAsiaTheme="minorEastAsia"/>
              </w:rPr>
              <w:t>SMTC.1 FR1</w:t>
            </w:r>
          </w:p>
        </w:tc>
      </w:tr>
      <w:tr w:rsidR="003A71DE" w:rsidRPr="007E2F91" w14:paraId="26B245AD" w14:textId="77777777" w:rsidTr="003A71DE">
        <w:trPr>
          <w:trHeight w:val="283"/>
          <w:jc w:val="center"/>
        </w:trPr>
        <w:tc>
          <w:tcPr>
            <w:tcW w:w="2065" w:type="dxa"/>
            <w:gridSpan w:val="2"/>
            <w:vMerge/>
            <w:tcBorders>
              <w:left w:val="single" w:sz="4" w:space="0" w:color="auto"/>
              <w:right w:val="single" w:sz="4" w:space="0" w:color="auto"/>
            </w:tcBorders>
            <w:vAlign w:val="center"/>
          </w:tcPr>
          <w:p w14:paraId="7170324B" w14:textId="77777777" w:rsidR="003A71DE" w:rsidRPr="007E2F91" w:rsidRDefault="003A71DE" w:rsidP="001A5D47">
            <w:pPr>
              <w:pStyle w:val="TAL"/>
              <w:rPr>
                <w:rFonts w:eastAsiaTheme="minorEastAsia"/>
                <w:lang w:val="da-DK"/>
              </w:rPr>
            </w:pPr>
          </w:p>
        </w:tc>
        <w:tc>
          <w:tcPr>
            <w:tcW w:w="1740" w:type="dxa"/>
            <w:tcBorders>
              <w:left w:val="single" w:sz="4" w:space="0" w:color="auto"/>
              <w:right w:val="single" w:sz="4" w:space="0" w:color="auto"/>
            </w:tcBorders>
            <w:vAlign w:val="center"/>
          </w:tcPr>
          <w:p w14:paraId="78466652" w14:textId="77777777" w:rsidR="003A71DE" w:rsidRPr="007E2F91" w:rsidRDefault="003A71DE" w:rsidP="001A5D47">
            <w:pPr>
              <w:pStyle w:val="TAL"/>
              <w:rPr>
                <w:rFonts w:eastAsiaTheme="minorEastAsia"/>
                <w:lang w:val="da-DK"/>
              </w:rPr>
            </w:pPr>
            <w:r w:rsidRPr="007E2F91">
              <w:rPr>
                <w:rFonts w:eastAsiaTheme="minorEastAsia"/>
              </w:rPr>
              <w:t>Config 2</w:t>
            </w:r>
          </w:p>
        </w:tc>
        <w:tc>
          <w:tcPr>
            <w:tcW w:w="1134" w:type="dxa"/>
            <w:vMerge/>
            <w:tcBorders>
              <w:left w:val="single" w:sz="4" w:space="0" w:color="auto"/>
              <w:right w:val="single" w:sz="4" w:space="0" w:color="auto"/>
            </w:tcBorders>
            <w:vAlign w:val="center"/>
          </w:tcPr>
          <w:p w14:paraId="3FD05A64"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vAlign w:val="center"/>
          </w:tcPr>
          <w:p w14:paraId="372878E2" w14:textId="77777777" w:rsidR="003A71DE" w:rsidRPr="007E2F91" w:rsidRDefault="003A71DE" w:rsidP="001A5D47">
            <w:pPr>
              <w:pStyle w:val="TAC"/>
              <w:rPr>
                <w:rFonts w:eastAsiaTheme="minorEastAsia"/>
              </w:rPr>
            </w:pPr>
            <w:r w:rsidRPr="007E2F91">
              <w:rPr>
                <w:rFonts w:eastAsiaTheme="minorEastAsia"/>
              </w:rPr>
              <w:t>SMTC.2 FR1</w:t>
            </w:r>
          </w:p>
        </w:tc>
      </w:tr>
      <w:tr w:rsidR="003A71DE" w:rsidRPr="007E2F91" w14:paraId="6B3924EF" w14:textId="77777777" w:rsidTr="003A71DE">
        <w:trPr>
          <w:trHeight w:val="283"/>
          <w:jc w:val="center"/>
        </w:trPr>
        <w:tc>
          <w:tcPr>
            <w:tcW w:w="2065" w:type="dxa"/>
            <w:gridSpan w:val="2"/>
            <w:vMerge w:val="restart"/>
            <w:tcBorders>
              <w:top w:val="single" w:sz="4" w:space="0" w:color="auto"/>
              <w:left w:val="single" w:sz="4" w:space="0" w:color="auto"/>
              <w:right w:val="single" w:sz="4" w:space="0" w:color="auto"/>
            </w:tcBorders>
            <w:vAlign w:val="center"/>
          </w:tcPr>
          <w:p w14:paraId="2027D3F1" w14:textId="77777777" w:rsidR="003A71DE" w:rsidRPr="007E2F91" w:rsidRDefault="003A71DE" w:rsidP="001A5D47">
            <w:pPr>
              <w:pStyle w:val="TAL"/>
              <w:rPr>
                <w:rFonts w:eastAsiaTheme="minorEastAsia"/>
                <w:lang w:val="da-DK"/>
              </w:rPr>
            </w:pPr>
            <w:r w:rsidRPr="007E2F91">
              <w:rPr>
                <w:rFonts w:eastAsiaTheme="minorEastAsia"/>
                <w:lang w:val="da-DK"/>
              </w:rPr>
              <w:t>PDSCH/PDCCH subcarrier spacing</w:t>
            </w:r>
          </w:p>
        </w:tc>
        <w:tc>
          <w:tcPr>
            <w:tcW w:w="1740" w:type="dxa"/>
            <w:tcBorders>
              <w:top w:val="single" w:sz="4" w:space="0" w:color="auto"/>
              <w:left w:val="single" w:sz="4" w:space="0" w:color="auto"/>
              <w:right w:val="single" w:sz="4" w:space="0" w:color="auto"/>
            </w:tcBorders>
          </w:tcPr>
          <w:p w14:paraId="32FA9314" w14:textId="77777777" w:rsidR="003A71DE" w:rsidRPr="007E2F91" w:rsidRDefault="003A71DE" w:rsidP="001A5D47">
            <w:pPr>
              <w:pStyle w:val="TAL"/>
              <w:rPr>
                <w:rFonts w:eastAsiaTheme="minorEastAsia"/>
                <w:lang w:val="da-DK"/>
              </w:rPr>
            </w:pPr>
            <w:r w:rsidRPr="007E2F91">
              <w:rPr>
                <w:rFonts w:eastAsiaTheme="minorEastAsia"/>
              </w:rPr>
              <w:t>Config 1</w:t>
            </w:r>
          </w:p>
        </w:tc>
        <w:tc>
          <w:tcPr>
            <w:tcW w:w="1134" w:type="dxa"/>
            <w:vMerge w:val="restart"/>
            <w:tcBorders>
              <w:top w:val="single" w:sz="4" w:space="0" w:color="auto"/>
              <w:left w:val="single" w:sz="4" w:space="0" w:color="auto"/>
              <w:right w:val="single" w:sz="4" w:space="0" w:color="auto"/>
            </w:tcBorders>
            <w:vAlign w:val="center"/>
          </w:tcPr>
          <w:p w14:paraId="51E92787" w14:textId="77777777" w:rsidR="003A71DE" w:rsidRPr="007E2F91" w:rsidRDefault="003A71DE" w:rsidP="001A5D47">
            <w:pPr>
              <w:pStyle w:val="TAC"/>
              <w:rPr>
                <w:rFonts w:eastAsiaTheme="minorEastAsia"/>
                <w:lang w:val="da-DK"/>
              </w:rPr>
            </w:pPr>
            <w:r w:rsidRPr="007E2F91">
              <w:rPr>
                <w:rFonts w:eastAsiaTheme="minorEastAsia"/>
                <w:lang w:val="da-DK"/>
              </w:rPr>
              <w:t>kHz</w:t>
            </w:r>
          </w:p>
        </w:tc>
        <w:tc>
          <w:tcPr>
            <w:tcW w:w="4655" w:type="dxa"/>
            <w:gridSpan w:val="7"/>
            <w:tcBorders>
              <w:top w:val="single" w:sz="4" w:space="0" w:color="auto"/>
              <w:left w:val="single" w:sz="4" w:space="0" w:color="auto"/>
              <w:right w:val="single" w:sz="4" w:space="0" w:color="auto"/>
            </w:tcBorders>
            <w:vAlign w:val="center"/>
          </w:tcPr>
          <w:p w14:paraId="789E47E5" w14:textId="77777777" w:rsidR="003A71DE" w:rsidRPr="007E2F91" w:rsidRDefault="003A71DE" w:rsidP="001A5D47">
            <w:pPr>
              <w:pStyle w:val="TAC"/>
              <w:rPr>
                <w:rFonts w:eastAsiaTheme="minorEastAsia"/>
                <w:lang w:val="en-US"/>
              </w:rPr>
            </w:pPr>
            <w:r w:rsidRPr="007E2F91">
              <w:rPr>
                <w:rFonts w:eastAsiaTheme="minorEastAsia"/>
                <w:lang w:val="en-US"/>
              </w:rPr>
              <w:t>15 kHz</w:t>
            </w:r>
          </w:p>
        </w:tc>
      </w:tr>
      <w:tr w:rsidR="003A71DE" w:rsidRPr="007E2F91" w14:paraId="4B325D6A" w14:textId="77777777" w:rsidTr="003A71DE">
        <w:trPr>
          <w:trHeight w:val="283"/>
          <w:jc w:val="center"/>
        </w:trPr>
        <w:tc>
          <w:tcPr>
            <w:tcW w:w="2065" w:type="dxa"/>
            <w:gridSpan w:val="2"/>
            <w:vMerge/>
            <w:tcBorders>
              <w:left w:val="single" w:sz="4" w:space="0" w:color="auto"/>
              <w:right w:val="single" w:sz="4" w:space="0" w:color="auto"/>
            </w:tcBorders>
            <w:vAlign w:val="center"/>
          </w:tcPr>
          <w:p w14:paraId="0A4AD1B3" w14:textId="77777777" w:rsidR="003A71DE" w:rsidRPr="007E2F91" w:rsidRDefault="003A71DE" w:rsidP="001A5D47">
            <w:pPr>
              <w:pStyle w:val="TAL"/>
              <w:rPr>
                <w:rFonts w:eastAsiaTheme="minorEastAsia"/>
                <w:lang w:val="da-DK"/>
              </w:rPr>
            </w:pPr>
          </w:p>
        </w:tc>
        <w:tc>
          <w:tcPr>
            <w:tcW w:w="1740" w:type="dxa"/>
            <w:tcBorders>
              <w:left w:val="single" w:sz="4" w:space="0" w:color="auto"/>
              <w:right w:val="single" w:sz="4" w:space="0" w:color="auto"/>
            </w:tcBorders>
          </w:tcPr>
          <w:p w14:paraId="735B70A7" w14:textId="77777777" w:rsidR="003A71DE" w:rsidRPr="007E2F91" w:rsidRDefault="003A71DE" w:rsidP="001A5D47">
            <w:pPr>
              <w:pStyle w:val="TAL"/>
              <w:rPr>
                <w:rFonts w:eastAsiaTheme="minorEastAsia"/>
                <w:lang w:val="da-DK"/>
              </w:rPr>
            </w:pPr>
            <w:r w:rsidRPr="007E2F91">
              <w:rPr>
                <w:rFonts w:eastAsiaTheme="minorEastAsia"/>
              </w:rPr>
              <w:t>Config 2</w:t>
            </w:r>
          </w:p>
        </w:tc>
        <w:tc>
          <w:tcPr>
            <w:tcW w:w="1134" w:type="dxa"/>
            <w:vMerge/>
            <w:tcBorders>
              <w:left w:val="single" w:sz="4" w:space="0" w:color="auto"/>
              <w:right w:val="single" w:sz="4" w:space="0" w:color="auto"/>
            </w:tcBorders>
            <w:vAlign w:val="center"/>
          </w:tcPr>
          <w:p w14:paraId="15FDB274" w14:textId="77777777" w:rsidR="003A71DE" w:rsidRPr="007E2F91" w:rsidRDefault="003A71DE" w:rsidP="001A5D47">
            <w:pPr>
              <w:pStyle w:val="TAC"/>
              <w:rPr>
                <w:rFonts w:eastAsiaTheme="minorEastAsia"/>
                <w:lang w:val="da-DK"/>
              </w:rPr>
            </w:pPr>
          </w:p>
        </w:tc>
        <w:tc>
          <w:tcPr>
            <w:tcW w:w="4655" w:type="dxa"/>
            <w:gridSpan w:val="7"/>
            <w:tcBorders>
              <w:left w:val="single" w:sz="4" w:space="0" w:color="auto"/>
              <w:right w:val="single" w:sz="4" w:space="0" w:color="auto"/>
            </w:tcBorders>
            <w:vAlign w:val="center"/>
          </w:tcPr>
          <w:p w14:paraId="40B3C250" w14:textId="77777777" w:rsidR="003A71DE" w:rsidRPr="007E2F91" w:rsidRDefault="003A71DE" w:rsidP="001A5D47">
            <w:pPr>
              <w:pStyle w:val="TAC"/>
              <w:rPr>
                <w:rFonts w:eastAsiaTheme="minorEastAsia"/>
                <w:lang w:val="en-US"/>
              </w:rPr>
            </w:pPr>
            <w:r w:rsidRPr="007E2F91">
              <w:rPr>
                <w:rFonts w:eastAsiaTheme="minorEastAsia"/>
                <w:lang w:val="en-US"/>
              </w:rPr>
              <w:t>30 kHz</w:t>
            </w:r>
          </w:p>
        </w:tc>
      </w:tr>
      <w:tr w:rsidR="003A71DE" w:rsidRPr="007E2F91" w14:paraId="4D12243C" w14:textId="77777777" w:rsidTr="003A71DE">
        <w:trPr>
          <w:trHeight w:val="283"/>
          <w:jc w:val="center"/>
        </w:trPr>
        <w:tc>
          <w:tcPr>
            <w:tcW w:w="2065" w:type="dxa"/>
            <w:gridSpan w:val="2"/>
            <w:vMerge w:val="restart"/>
            <w:tcBorders>
              <w:top w:val="single" w:sz="4" w:space="0" w:color="auto"/>
              <w:left w:val="single" w:sz="4" w:space="0" w:color="auto"/>
              <w:right w:val="single" w:sz="4" w:space="0" w:color="auto"/>
            </w:tcBorders>
            <w:vAlign w:val="center"/>
          </w:tcPr>
          <w:p w14:paraId="663689FE" w14:textId="77777777" w:rsidR="003A71DE" w:rsidRPr="007E2F91" w:rsidRDefault="003A71DE" w:rsidP="001A5D47">
            <w:pPr>
              <w:pStyle w:val="TAL"/>
              <w:rPr>
                <w:rFonts w:eastAsiaTheme="minorEastAsia"/>
                <w:lang w:val="da-DK"/>
              </w:rPr>
            </w:pPr>
            <w:r w:rsidRPr="007E2F91">
              <w:rPr>
                <w:rFonts w:eastAsiaTheme="minorEastAsia"/>
                <w:lang w:val="da-DK"/>
              </w:rPr>
              <w:t>PUCCH/PUSCH subcarrier spacing</w:t>
            </w:r>
          </w:p>
        </w:tc>
        <w:tc>
          <w:tcPr>
            <w:tcW w:w="1740" w:type="dxa"/>
            <w:tcBorders>
              <w:top w:val="single" w:sz="4" w:space="0" w:color="auto"/>
              <w:left w:val="single" w:sz="4" w:space="0" w:color="auto"/>
              <w:right w:val="single" w:sz="4" w:space="0" w:color="auto"/>
            </w:tcBorders>
          </w:tcPr>
          <w:p w14:paraId="5558B0FC" w14:textId="77777777" w:rsidR="003A71DE" w:rsidRPr="007E2F91" w:rsidRDefault="003A71DE" w:rsidP="001A5D47">
            <w:pPr>
              <w:pStyle w:val="TAL"/>
              <w:rPr>
                <w:rFonts w:eastAsiaTheme="minorEastAsia"/>
                <w:lang w:val="da-DK"/>
              </w:rPr>
            </w:pPr>
            <w:r w:rsidRPr="007E2F91">
              <w:rPr>
                <w:rFonts w:eastAsiaTheme="minorEastAsia"/>
              </w:rPr>
              <w:t>Config 1</w:t>
            </w:r>
          </w:p>
        </w:tc>
        <w:tc>
          <w:tcPr>
            <w:tcW w:w="1134" w:type="dxa"/>
            <w:vMerge w:val="restart"/>
            <w:tcBorders>
              <w:top w:val="single" w:sz="4" w:space="0" w:color="auto"/>
              <w:left w:val="single" w:sz="4" w:space="0" w:color="auto"/>
              <w:right w:val="single" w:sz="4" w:space="0" w:color="auto"/>
            </w:tcBorders>
            <w:vAlign w:val="center"/>
          </w:tcPr>
          <w:p w14:paraId="468A99F9" w14:textId="77777777" w:rsidR="003A71DE" w:rsidRPr="007E2F91" w:rsidRDefault="003A71DE" w:rsidP="001A5D47">
            <w:pPr>
              <w:pStyle w:val="TAC"/>
              <w:rPr>
                <w:rFonts w:eastAsiaTheme="minorEastAsia"/>
                <w:lang w:val="da-DK"/>
              </w:rPr>
            </w:pPr>
            <w:r w:rsidRPr="007E2F91">
              <w:rPr>
                <w:rFonts w:eastAsiaTheme="minorEastAsia"/>
                <w:lang w:val="da-DK"/>
              </w:rPr>
              <w:t>kHz</w:t>
            </w:r>
          </w:p>
        </w:tc>
        <w:tc>
          <w:tcPr>
            <w:tcW w:w="4655" w:type="dxa"/>
            <w:gridSpan w:val="7"/>
            <w:tcBorders>
              <w:top w:val="single" w:sz="4" w:space="0" w:color="auto"/>
              <w:left w:val="single" w:sz="4" w:space="0" w:color="auto"/>
              <w:right w:val="single" w:sz="4" w:space="0" w:color="auto"/>
            </w:tcBorders>
            <w:vAlign w:val="center"/>
          </w:tcPr>
          <w:p w14:paraId="4E41CAE9" w14:textId="77777777" w:rsidR="003A71DE" w:rsidRPr="007E2F91" w:rsidRDefault="003A71DE" w:rsidP="001A5D47">
            <w:pPr>
              <w:pStyle w:val="TAC"/>
              <w:rPr>
                <w:rFonts w:eastAsiaTheme="minorEastAsia"/>
                <w:lang w:val="en-US"/>
              </w:rPr>
            </w:pPr>
            <w:r w:rsidRPr="007E2F91">
              <w:rPr>
                <w:rFonts w:eastAsiaTheme="minorEastAsia"/>
                <w:lang w:val="en-US"/>
              </w:rPr>
              <w:t>15 kHz</w:t>
            </w:r>
          </w:p>
        </w:tc>
      </w:tr>
      <w:tr w:rsidR="003A71DE" w:rsidRPr="007E2F91" w14:paraId="33BE8E5A" w14:textId="77777777" w:rsidTr="003A71DE">
        <w:trPr>
          <w:trHeight w:val="283"/>
          <w:jc w:val="center"/>
        </w:trPr>
        <w:tc>
          <w:tcPr>
            <w:tcW w:w="2065" w:type="dxa"/>
            <w:gridSpan w:val="2"/>
            <w:vMerge/>
            <w:tcBorders>
              <w:left w:val="single" w:sz="4" w:space="0" w:color="auto"/>
              <w:right w:val="single" w:sz="4" w:space="0" w:color="auto"/>
            </w:tcBorders>
            <w:vAlign w:val="center"/>
          </w:tcPr>
          <w:p w14:paraId="4C04F899" w14:textId="77777777" w:rsidR="003A71DE" w:rsidRPr="007E2F91" w:rsidRDefault="003A71DE" w:rsidP="001A5D47">
            <w:pPr>
              <w:pStyle w:val="TAL"/>
              <w:rPr>
                <w:rFonts w:eastAsiaTheme="minorEastAsia"/>
                <w:lang w:val="da-DK"/>
              </w:rPr>
            </w:pPr>
          </w:p>
        </w:tc>
        <w:tc>
          <w:tcPr>
            <w:tcW w:w="1740" w:type="dxa"/>
            <w:tcBorders>
              <w:left w:val="single" w:sz="4" w:space="0" w:color="auto"/>
              <w:right w:val="single" w:sz="4" w:space="0" w:color="auto"/>
            </w:tcBorders>
          </w:tcPr>
          <w:p w14:paraId="75C1E783" w14:textId="77777777" w:rsidR="003A71DE" w:rsidRPr="007E2F91" w:rsidRDefault="003A71DE" w:rsidP="001A5D47">
            <w:pPr>
              <w:pStyle w:val="TAL"/>
              <w:rPr>
                <w:rFonts w:eastAsiaTheme="minorEastAsia"/>
                <w:lang w:val="da-DK"/>
              </w:rPr>
            </w:pPr>
            <w:r w:rsidRPr="007E2F91">
              <w:rPr>
                <w:rFonts w:eastAsiaTheme="minorEastAsia"/>
              </w:rPr>
              <w:t>Config 2</w:t>
            </w:r>
          </w:p>
        </w:tc>
        <w:tc>
          <w:tcPr>
            <w:tcW w:w="1134" w:type="dxa"/>
            <w:vMerge/>
            <w:tcBorders>
              <w:left w:val="single" w:sz="4" w:space="0" w:color="auto"/>
              <w:right w:val="single" w:sz="4" w:space="0" w:color="auto"/>
            </w:tcBorders>
            <w:vAlign w:val="center"/>
          </w:tcPr>
          <w:p w14:paraId="2ADB75F1" w14:textId="77777777" w:rsidR="003A71DE" w:rsidRPr="007E2F91" w:rsidRDefault="003A71DE" w:rsidP="001A5D47">
            <w:pPr>
              <w:pStyle w:val="TAC"/>
              <w:rPr>
                <w:rFonts w:eastAsiaTheme="minorEastAsia"/>
                <w:lang w:val="da-DK"/>
              </w:rPr>
            </w:pPr>
          </w:p>
        </w:tc>
        <w:tc>
          <w:tcPr>
            <w:tcW w:w="4655" w:type="dxa"/>
            <w:gridSpan w:val="7"/>
            <w:tcBorders>
              <w:left w:val="single" w:sz="4" w:space="0" w:color="auto"/>
              <w:right w:val="single" w:sz="4" w:space="0" w:color="auto"/>
            </w:tcBorders>
            <w:vAlign w:val="center"/>
          </w:tcPr>
          <w:p w14:paraId="40486103" w14:textId="77777777" w:rsidR="003A71DE" w:rsidRPr="007E2F91" w:rsidRDefault="003A71DE" w:rsidP="001A5D47">
            <w:pPr>
              <w:pStyle w:val="TAC"/>
              <w:rPr>
                <w:rFonts w:eastAsiaTheme="minorEastAsia"/>
                <w:lang w:val="en-US"/>
              </w:rPr>
            </w:pPr>
            <w:r w:rsidRPr="007E2F91">
              <w:rPr>
                <w:rFonts w:eastAsiaTheme="minorEastAsia"/>
                <w:lang w:val="en-US"/>
              </w:rPr>
              <w:t>30 kHz</w:t>
            </w:r>
          </w:p>
        </w:tc>
      </w:tr>
      <w:tr w:rsidR="003A71DE" w:rsidRPr="007E2F91" w14:paraId="0F61D9D3" w14:textId="77777777" w:rsidTr="003A71DE">
        <w:trPr>
          <w:trHeight w:val="283"/>
          <w:jc w:val="center"/>
        </w:trPr>
        <w:tc>
          <w:tcPr>
            <w:tcW w:w="2065" w:type="dxa"/>
            <w:gridSpan w:val="2"/>
            <w:vMerge w:val="restart"/>
            <w:tcBorders>
              <w:left w:val="single" w:sz="4" w:space="0" w:color="auto"/>
              <w:right w:val="single" w:sz="4" w:space="0" w:color="auto"/>
            </w:tcBorders>
          </w:tcPr>
          <w:p w14:paraId="3067D981" w14:textId="77777777" w:rsidR="003A71DE" w:rsidRPr="007E2F91" w:rsidRDefault="003A71DE" w:rsidP="001A5D47">
            <w:pPr>
              <w:pStyle w:val="TAL"/>
              <w:rPr>
                <w:rFonts w:eastAsiaTheme="minorEastAsia"/>
              </w:rPr>
            </w:pPr>
            <w:r w:rsidRPr="007E2F91">
              <w:rPr>
                <w:rFonts w:eastAsiaTheme="minorEastAsia"/>
              </w:rPr>
              <w:t>BWP configuraiton</w:t>
            </w:r>
          </w:p>
        </w:tc>
        <w:tc>
          <w:tcPr>
            <w:tcW w:w="1740" w:type="dxa"/>
            <w:tcBorders>
              <w:left w:val="single" w:sz="4" w:space="0" w:color="auto"/>
              <w:right w:val="single" w:sz="4" w:space="0" w:color="auto"/>
            </w:tcBorders>
          </w:tcPr>
          <w:p w14:paraId="1B0FF64B" w14:textId="77777777" w:rsidR="003A71DE" w:rsidRPr="007E2F91" w:rsidRDefault="003A71DE" w:rsidP="001A5D47">
            <w:pPr>
              <w:pStyle w:val="TAL"/>
              <w:rPr>
                <w:rFonts w:eastAsiaTheme="minorEastAsia"/>
              </w:rPr>
            </w:pPr>
            <w:r w:rsidRPr="007E2F91">
              <w:rPr>
                <w:rFonts w:eastAsiaTheme="minorEastAsia"/>
              </w:rPr>
              <w:t>Initial DL BWP</w:t>
            </w:r>
          </w:p>
        </w:tc>
        <w:tc>
          <w:tcPr>
            <w:tcW w:w="1134" w:type="dxa"/>
            <w:tcBorders>
              <w:left w:val="single" w:sz="4" w:space="0" w:color="auto"/>
              <w:right w:val="single" w:sz="4" w:space="0" w:color="auto"/>
            </w:tcBorders>
          </w:tcPr>
          <w:p w14:paraId="4E685936" w14:textId="77777777" w:rsidR="003A71DE" w:rsidRPr="007E2F91" w:rsidRDefault="003A71DE" w:rsidP="001A5D47">
            <w:pPr>
              <w:pStyle w:val="TAC"/>
              <w:rPr>
                <w:rFonts w:eastAsiaTheme="minorEastAsia"/>
                <w:lang w:eastAsia="zh-CN"/>
              </w:rPr>
            </w:pPr>
          </w:p>
        </w:tc>
        <w:tc>
          <w:tcPr>
            <w:tcW w:w="4655" w:type="dxa"/>
            <w:gridSpan w:val="7"/>
            <w:tcBorders>
              <w:left w:val="single" w:sz="4" w:space="0" w:color="auto"/>
              <w:right w:val="single" w:sz="4" w:space="0" w:color="auto"/>
            </w:tcBorders>
          </w:tcPr>
          <w:p w14:paraId="14334EC7" w14:textId="77777777" w:rsidR="003A71DE" w:rsidRPr="007E2F91" w:rsidRDefault="003A71DE" w:rsidP="001A5D47">
            <w:pPr>
              <w:pStyle w:val="TAC"/>
              <w:rPr>
                <w:rFonts w:eastAsiaTheme="minorEastAsia"/>
              </w:rPr>
            </w:pPr>
            <w:r w:rsidRPr="007E2F91">
              <w:rPr>
                <w:rFonts w:eastAsiaTheme="minorEastAsia"/>
              </w:rPr>
              <w:t>DLBWP.0.1</w:t>
            </w:r>
          </w:p>
        </w:tc>
      </w:tr>
      <w:tr w:rsidR="003A71DE" w:rsidRPr="007E2F91" w14:paraId="02DC4AD2" w14:textId="77777777" w:rsidTr="003A71DE">
        <w:trPr>
          <w:trHeight w:val="283"/>
          <w:jc w:val="center"/>
        </w:trPr>
        <w:tc>
          <w:tcPr>
            <w:tcW w:w="2065" w:type="dxa"/>
            <w:gridSpan w:val="2"/>
            <w:vMerge/>
            <w:tcBorders>
              <w:left w:val="single" w:sz="4" w:space="0" w:color="auto"/>
              <w:right w:val="single" w:sz="4" w:space="0" w:color="auto"/>
            </w:tcBorders>
          </w:tcPr>
          <w:p w14:paraId="37EE299A" w14:textId="77777777" w:rsidR="003A71DE" w:rsidRPr="007E2F91" w:rsidRDefault="003A71DE" w:rsidP="001A5D47">
            <w:pPr>
              <w:pStyle w:val="TAL"/>
              <w:rPr>
                <w:rFonts w:eastAsiaTheme="minorEastAsia"/>
              </w:rPr>
            </w:pPr>
          </w:p>
        </w:tc>
        <w:tc>
          <w:tcPr>
            <w:tcW w:w="1740" w:type="dxa"/>
            <w:tcBorders>
              <w:left w:val="single" w:sz="4" w:space="0" w:color="auto"/>
              <w:right w:val="single" w:sz="4" w:space="0" w:color="auto"/>
            </w:tcBorders>
          </w:tcPr>
          <w:p w14:paraId="46BECA64" w14:textId="77777777" w:rsidR="003A71DE" w:rsidRPr="007E2F91" w:rsidRDefault="003A71DE" w:rsidP="001A5D47">
            <w:pPr>
              <w:pStyle w:val="TAL"/>
              <w:rPr>
                <w:rFonts w:eastAsiaTheme="minorEastAsia"/>
              </w:rPr>
            </w:pPr>
            <w:r w:rsidRPr="007E2F91">
              <w:rPr>
                <w:rFonts w:eastAsiaTheme="minorEastAsia"/>
              </w:rPr>
              <w:t>Dedicated DL BWP</w:t>
            </w:r>
          </w:p>
        </w:tc>
        <w:tc>
          <w:tcPr>
            <w:tcW w:w="1134" w:type="dxa"/>
            <w:tcBorders>
              <w:left w:val="single" w:sz="4" w:space="0" w:color="auto"/>
              <w:right w:val="single" w:sz="4" w:space="0" w:color="auto"/>
            </w:tcBorders>
          </w:tcPr>
          <w:p w14:paraId="2067492E" w14:textId="77777777" w:rsidR="003A71DE" w:rsidRPr="007E2F91" w:rsidRDefault="003A71DE" w:rsidP="001A5D47">
            <w:pPr>
              <w:pStyle w:val="TAC"/>
              <w:rPr>
                <w:rFonts w:eastAsiaTheme="minorEastAsia"/>
                <w:lang w:eastAsia="zh-CN"/>
              </w:rPr>
            </w:pPr>
          </w:p>
        </w:tc>
        <w:tc>
          <w:tcPr>
            <w:tcW w:w="4655" w:type="dxa"/>
            <w:gridSpan w:val="7"/>
            <w:tcBorders>
              <w:left w:val="single" w:sz="4" w:space="0" w:color="auto"/>
              <w:right w:val="single" w:sz="4" w:space="0" w:color="auto"/>
            </w:tcBorders>
          </w:tcPr>
          <w:p w14:paraId="356F1DF0" w14:textId="77777777" w:rsidR="003A71DE" w:rsidRPr="007E2F91" w:rsidRDefault="003A71DE" w:rsidP="001A5D47">
            <w:pPr>
              <w:pStyle w:val="TAC"/>
              <w:rPr>
                <w:rFonts w:eastAsiaTheme="minorEastAsia"/>
              </w:rPr>
            </w:pPr>
            <w:r w:rsidRPr="007E2F91">
              <w:rPr>
                <w:rFonts w:eastAsiaTheme="minorEastAsia"/>
              </w:rPr>
              <w:t>DLBWP.1.1</w:t>
            </w:r>
          </w:p>
        </w:tc>
      </w:tr>
      <w:tr w:rsidR="003A71DE" w:rsidRPr="007E2F91" w14:paraId="22945FFD" w14:textId="77777777" w:rsidTr="003A71DE">
        <w:trPr>
          <w:trHeight w:val="283"/>
          <w:jc w:val="center"/>
        </w:trPr>
        <w:tc>
          <w:tcPr>
            <w:tcW w:w="2065" w:type="dxa"/>
            <w:gridSpan w:val="2"/>
            <w:vMerge/>
            <w:tcBorders>
              <w:left w:val="single" w:sz="4" w:space="0" w:color="auto"/>
              <w:right w:val="single" w:sz="4" w:space="0" w:color="auto"/>
            </w:tcBorders>
          </w:tcPr>
          <w:p w14:paraId="582F0A78" w14:textId="77777777" w:rsidR="003A71DE" w:rsidRPr="007E2F91" w:rsidRDefault="003A71DE" w:rsidP="001A5D47">
            <w:pPr>
              <w:pStyle w:val="TAL"/>
              <w:rPr>
                <w:rFonts w:eastAsiaTheme="minorEastAsia"/>
              </w:rPr>
            </w:pPr>
          </w:p>
        </w:tc>
        <w:tc>
          <w:tcPr>
            <w:tcW w:w="1740" w:type="dxa"/>
            <w:tcBorders>
              <w:left w:val="single" w:sz="4" w:space="0" w:color="auto"/>
              <w:right w:val="single" w:sz="4" w:space="0" w:color="auto"/>
            </w:tcBorders>
          </w:tcPr>
          <w:p w14:paraId="1FB16F92" w14:textId="77777777" w:rsidR="003A71DE" w:rsidRPr="007E2F91" w:rsidRDefault="003A71DE" w:rsidP="001A5D47">
            <w:pPr>
              <w:pStyle w:val="TAL"/>
              <w:rPr>
                <w:rFonts w:eastAsiaTheme="minorEastAsia"/>
              </w:rPr>
            </w:pPr>
            <w:r w:rsidRPr="007E2F91">
              <w:rPr>
                <w:rFonts w:eastAsiaTheme="minorEastAsia"/>
              </w:rPr>
              <w:t>Initial UL BWP</w:t>
            </w:r>
          </w:p>
        </w:tc>
        <w:tc>
          <w:tcPr>
            <w:tcW w:w="1134" w:type="dxa"/>
            <w:tcBorders>
              <w:left w:val="single" w:sz="4" w:space="0" w:color="auto"/>
              <w:right w:val="single" w:sz="4" w:space="0" w:color="auto"/>
            </w:tcBorders>
          </w:tcPr>
          <w:p w14:paraId="7511F393" w14:textId="77777777" w:rsidR="003A71DE" w:rsidRPr="007E2F91" w:rsidRDefault="003A71DE" w:rsidP="001A5D47">
            <w:pPr>
              <w:pStyle w:val="TAC"/>
              <w:rPr>
                <w:rFonts w:eastAsiaTheme="minorEastAsia"/>
                <w:lang w:eastAsia="zh-CN"/>
              </w:rPr>
            </w:pPr>
          </w:p>
        </w:tc>
        <w:tc>
          <w:tcPr>
            <w:tcW w:w="4655" w:type="dxa"/>
            <w:gridSpan w:val="7"/>
            <w:tcBorders>
              <w:left w:val="single" w:sz="4" w:space="0" w:color="auto"/>
              <w:right w:val="single" w:sz="4" w:space="0" w:color="auto"/>
            </w:tcBorders>
          </w:tcPr>
          <w:p w14:paraId="4CBA4FCE" w14:textId="77777777" w:rsidR="003A71DE" w:rsidRPr="007E2F91" w:rsidRDefault="003A71DE" w:rsidP="001A5D47">
            <w:pPr>
              <w:pStyle w:val="TAC"/>
              <w:rPr>
                <w:rFonts w:eastAsiaTheme="minorEastAsia"/>
              </w:rPr>
            </w:pPr>
            <w:r w:rsidRPr="007E2F91">
              <w:rPr>
                <w:rFonts w:eastAsiaTheme="minorEastAsia"/>
              </w:rPr>
              <w:t>ULBWP.0.1</w:t>
            </w:r>
          </w:p>
        </w:tc>
      </w:tr>
      <w:tr w:rsidR="003A71DE" w:rsidRPr="007E2F91" w14:paraId="5E1BEAC2" w14:textId="77777777" w:rsidTr="003A71DE">
        <w:trPr>
          <w:trHeight w:val="283"/>
          <w:jc w:val="center"/>
        </w:trPr>
        <w:tc>
          <w:tcPr>
            <w:tcW w:w="2065" w:type="dxa"/>
            <w:gridSpan w:val="2"/>
            <w:vMerge/>
            <w:tcBorders>
              <w:left w:val="single" w:sz="4" w:space="0" w:color="auto"/>
              <w:right w:val="single" w:sz="4" w:space="0" w:color="auto"/>
            </w:tcBorders>
          </w:tcPr>
          <w:p w14:paraId="313331B2" w14:textId="77777777" w:rsidR="003A71DE" w:rsidRPr="007E2F91" w:rsidRDefault="003A71DE" w:rsidP="001A5D47">
            <w:pPr>
              <w:pStyle w:val="TAL"/>
              <w:rPr>
                <w:rFonts w:eastAsiaTheme="minorEastAsia"/>
              </w:rPr>
            </w:pPr>
          </w:p>
        </w:tc>
        <w:tc>
          <w:tcPr>
            <w:tcW w:w="1740" w:type="dxa"/>
            <w:tcBorders>
              <w:left w:val="single" w:sz="4" w:space="0" w:color="auto"/>
              <w:right w:val="single" w:sz="4" w:space="0" w:color="auto"/>
            </w:tcBorders>
          </w:tcPr>
          <w:p w14:paraId="140649C4" w14:textId="77777777" w:rsidR="003A71DE" w:rsidRPr="007E2F91" w:rsidRDefault="003A71DE" w:rsidP="001A5D47">
            <w:pPr>
              <w:pStyle w:val="TAL"/>
              <w:rPr>
                <w:rFonts w:eastAsiaTheme="minorEastAsia"/>
              </w:rPr>
            </w:pPr>
            <w:r w:rsidRPr="007E2F91">
              <w:rPr>
                <w:rFonts w:eastAsiaTheme="minorEastAsia"/>
              </w:rPr>
              <w:t>Dedicated UL BWP</w:t>
            </w:r>
          </w:p>
        </w:tc>
        <w:tc>
          <w:tcPr>
            <w:tcW w:w="1134" w:type="dxa"/>
            <w:tcBorders>
              <w:left w:val="single" w:sz="4" w:space="0" w:color="auto"/>
              <w:right w:val="single" w:sz="4" w:space="0" w:color="auto"/>
            </w:tcBorders>
          </w:tcPr>
          <w:p w14:paraId="50489E59" w14:textId="77777777" w:rsidR="003A71DE" w:rsidRPr="007E2F91" w:rsidRDefault="003A71DE" w:rsidP="001A5D47">
            <w:pPr>
              <w:pStyle w:val="TAC"/>
              <w:rPr>
                <w:rFonts w:eastAsiaTheme="minorEastAsia"/>
                <w:lang w:eastAsia="zh-CN"/>
              </w:rPr>
            </w:pPr>
          </w:p>
        </w:tc>
        <w:tc>
          <w:tcPr>
            <w:tcW w:w="4655" w:type="dxa"/>
            <w:gridSpan w:val="7"/>
            <w:tcBorders>
              <w:left w:val="single" w:sz="4" w:space="0" w:color="auto"/>
              <w:right w:val="single" w:sz="4" w:space="0" w:color="auto"/>
            </w:tcBorders>
          </w:tcPr>
          <w:p w14:paraId="0CEF9460" w14:textId="77777777" w:rsidR="003A71DE" w:rsidRPr="007E2F91" w:rsidRDefault="003A71DE" w:rsidP="001A5D47">
            <w:pPr>
              <w:pStyle w:val="TAC"/>
              <w:rPr>
                <w:rFonts w:eastAsiaTheme="minorEastAsia"/>
              </w:rPr>
            </w:pPr>
            <w:r w:rsidRPr="007E2F91">
              <w:rPr>
                <w:rFonts w:eastAsiaTheme="minorEastAsia"/>
              </w:rPr>
              <w:t>ULBWP.1.1</w:t>
            </w:r>
          </w:p>
        </w:tc>
      </w:tr>
      <w:tr w:rsidR="003A71DE" w:rsidRPr="007E2F91" w14:paraId="3DC405FC"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700A040B" w14:textId="77777777" w:rsidR="003A71DE" w:rsidRPr="007E2F91" w:rsidRDefault="003A71DE" w:rsidP="001A5D47">
            <w:pPr>
              <w:pStyle w:val="TAL"/>
              <w:rPr>
                <w:rFonts w:eastAsiaTheme="minorEastAsia"/>
                <w:lang w:val="en-US"/>
              </w:rPr>
            </w:pPr>
            <w:r w:rsidRPr="007E2F91">
              <w:rPr>
                <w:rFonts w:eastAsiaTheme="minorEastAsia"/>
                <w:lang w:eastAsia="ja-JP"/>
              </w:rPr>
              <w:t>EPRE ratio of PSS to SSS</w:t>
            </w:r>
          </w:p>
        </w:tc>
        <w:tc>
          <w:tcPr>
            <w:tcW w:w="1134" w:type="dxa"/>
            <w:vMerge w:val="restart"/>
            <w:tcBorders>
              <w:top w:val="single" w:sz="4" w:space="0" w:color="auto"/>
              <w:left w:val="single" w:sz="4" w:space="0" w:color="auto"/>
              <w:right w:val="single" w:sz="4" w:space="0" w:color="auto"/>
            </w:tcBorders>
            <w:vAlign w:val="center"/>
          </w:tcPr>
          <w:p w14:paraId="4B4A0598" w14:textId="77777777" w:rsidR="003A71DE" w:rsidRPr="007E2F91" w:rsidRDefault="003A71DE" w:rsidP="001A5D47">
            <w:pPr>
              <w:pStyle w:val="TAC"/>
              <w:rPr>
                <w:rFonts w:eastAsiaTheme="minorEastAsia"/>
                <w:lang w:val="en-US"/>
              </w:rPr>
            </w:pPr>
            <w:r w:rsidRPr="007E2F91">
              <w:rPr>
                <w:rFonts w:eastAsiaTheme="minorEastAsia"/>
                <w:lang w:eastAsia="ja-JP"/>
              </w:rPr>
              <w:t>dB</w:t>
            </w:r>
          </w:p>
        </w:tc>
        <w:tc>
          <w:tcPr>
            <w:tcW w:w="4655" w:type="dxa"/>
            <w:gridSpan w:val="7"/>
            <w:vMerge w:val="restart"/>
            <w:tcBorders>
              <w:top w:val="single" w:sz="4" w:space="0" w:color="auto"/>
              <w:left w:val="single" w:sz="4" w:space="0" w:color="auto"/>
              <w:right w:val="single" w:sz="4" w:space="0" w:color="auto"/>
            </w:tcBorders>
            <w:vAlign w:val="center"/>
          </w:tcPr>
          <w:p w14:paraId="71C56BC3" w14:textId="77777777" w:rsidR="003A71DE" w:rsidRPr="007E2F91" w:rsidRDefault="003A71DE" w:rsidP="001A5D47">
            <w:pPr>
              <w:pStyle w:val="TAC"/>
              <w:rPr>
                <w:rFonts w:eastAsiaTheme="minorEastAsia"/>
                <w:lang w:val="en-US"/>
              </w:rPr>
            </w:pPr>
            <w:r w:rsidRPr="007E2F91">
              <w:rPr>
                <w:rFonts w:eastAsiaTheme="minorEastAsia"/>
                <w:lang w:eastAsia="ja-JP"/>
              </w:rPr>
              <w:t>0</w:t>
            </w:r>
          </w:p>
        </w:tc>
      </w:tr>
      <w:tr w:rsidR="003A71DE" w:rsidRPr="007E2F91" w14:paraId="4B263D3B"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24266EFD" w14:textId="77777777" w:rsidR="003A71DE" w:rsidRPr="007E2F91" w:rsidRDefault="003A71DE" w:rsidP="001A5D47">
            <w:pPr>
              <w:pStyle w:val="TAL"/>
              <w:rPr>
                <w:rFonts w:eastAsiaTheme="minorEastAsia"/>
                <w:lang w:val="en-US"/>
              </w:rPr>
            </w:pPr>
            <w:r w:rsidRPr="007E2F91">
              <w:rPr>
                <w:rFonts w:eastAsiaTheme="minorEastAsia"/>
                <w:lang w:eastAsia="ja-JP"/>
              </w:rPr>
              <w:t>EPRE ratio of PBCH DMRS to SSS</w:t>
            </w:r>
          </w:p>
        </w:tc>
        <w:tc>
          <w:tcPr>
            <w:tcW w:w="1134" w:type="dxa"/>
            <w:vMerge/>
            <w:tcBorders>
              <w:left w:val="single" w:sz="4" w:space="0" w:color="auto"/>
              <w:right w:val="single" w:sz="4" w:space="0" w:color="auto"/>
            </w:tcBorders>
          </w:tcPr>
          <w:p w14:paraId="717C9C99"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54909EBB"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18C60749"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1507DD59" w14:textId="77777777" w:rsidR="003A71DE" w:rsidRPr="007E2F91" w:rsidRDefault="003A71DE" w:rsidP="001A5D47">
            <w:pPr>
              <w:pStyle w:val="TAL"/>
              <w:rPr>
                <w:rFonts w:eastAsiaTheme="minorEastAsia"/>
                <w:lang w:val="en-US"/>
              </w:rPr>
            </w:pPr>
            <w:r w:rsidRPr="007E2F91">
              <w:rPr>
                <w:rFonts w:eastAsiaTheme="minorEastAsia"/>
                <w:lang w:eastAsia="ja-JP"/>
              </w:rPr>
              <w:t>EPRE ratio of PBCH to PBCH DMRS</w:t>
            </w:r>
          </w:p>
        </w:tc>
        <w:tc>
          <w:tcPr>
            <w:tcW w:w="1134" w:type="dxa"/>
            <w:vMerge/>
            <w:tcBorders>
              <w:left w:val="single" w:sz="4" w:space="0" w:color="auto"/>
              <w:right w:val="single" w:sz="4" w:space="0" w:color="auto"/>
            </w:tcBorders>
          </w:tcPr>
          <w:p w14:paraId="69C35BCC"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06A5915B"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5E736EA1"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001229FB" w14:textId="77777777" w:rsidR="003A71DE" w:rsidRPr="007E2F91" w:rsidRDefault="003A71DE" w:rsidP="001A5D47">
            <w:pPr>
              <w:pStyle w:val="TAL"/>
              <w:rPr>
                <w:rFonts w:eastAsiaTheme="minorEastAsia"/>
                <w:lang w:val="en-US"/>
              </w:rPr>
            </w:pPr>
            <w:r w:rsidRPr="007E2F91">
              <w:rPr>
                <w:rFonts w:eastAsiaTheme="minorEastAsia"/>
                <w:lang w:eastAsia="ja-JP"/>
              </w:rPr>
              <w:t>EPRE ratio of PDCCH DMRS to SSS</w:t>
            </w:r>
          </w:p>
        </w:tc>
        <w:tc>
          <w:tcPr>
            <w:tcW w:w="1134" w:type="dxa"/>
            <w:vMerge/>
            <w:tcBorders>
              <w:left w:val="single" w:sz="4" w:space="0" w:color="auto"/>
              <w:right w:val="single" w:sz="4" w:space="0" w:color="auto"/>
            </w:tcBorders>
          </w:tcPr>
          <w:p w14:paraId="53E126F9"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7FA0FF69"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62F9E4E9"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0D6810B3" w14:textId="77777777" w:rsidR="003A71DE" w:rsidRPr="007E2F91" w:rsidRDefault="003A71DE" w:rsidP="001A5D47">
            <w:pPr>
              <w:pStyle w:val="TAL"/>
              <w:rPr>
                <w:rFonts w:eastAsiaTheme="minorEastAsia"/>
                <w:lang w:val="en-US"/>
              </w:rPr>
            </w:pPr>
            <w:r w:rsidRPr="007E2F91">
              <w:rPr>
                <w:rFonts w:eastAsiaTheme="minorEastAsia"/>
                <w:lang w:eastAsia="ja-JP"/>
              </w:rPr>
              <w:t>EPRE ratio of PDCCH to PDCCH DMRS</w:t>
            </w:r>
          </w:p>
        </w:tc>
        <w:tc>
          <w:tcPr>
            <w:tcW w:w="1134" w:type="dxa"/>
            <w:vMerge/>
            <w:tcBorders>
              <w:left w:val="single" w:sz="4" w:space="0" w:color="auto"/>
              <w:right w:val="single" w:sz="4" w:space="0" w:color="auto"/>
            </w:tcBorders>
          </w:tcPr>
          <w:p w14:paraId="6C556051"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225CF398"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55B57672"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27CF9E8E" w14:textId="77777777" w:rsidR="003A71DE" w:rsidRPr="007E2F91" w:rsidRDefault="003A71DE" w:rsidP="001A5D47">
            <w:pPr>
              <w:pStyle w:val="TAL"/>
              <w:rPr>
                <w:rFonts w:eastAsiaTheme="minorEastAsia"/>
                <w:lang w:val="en-US"/>
              </w:rPr>
            </w:pPr>
            <w:r w:rsidRPr="007E2F91">
              <w:rPr>
                <w:rFonts w:eastAsiaTheme="minorEastAsia"/>
                <w:lang w:eastAsia="ja-JP"/>
              </w:rPr>
              <w:t xml:space="preserve">EPRE ratio of PDSCH DMRS to SSS </w:t>
            </w:r>
          </w:p>
        </w:tc>
        <w:tc>
          <w:tcPr>
            <w:tcW w:w="1134" w:type="dxa"/>
            <w:vMerge/>
            <w:tcBorders>
              <w:left w:val="single" w:sz="4" w:space="0" w:color="auto"/>
              <w:right w:val="single" w:sz="4" w:space="0" w:color="auto"/>
            </w:tcBorders>
          </w:tcPr>
          <w:p w14:paraId="6302743E"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70325360"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0B47FA8E"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2D8DD4E6" w14:textId="77777777" w:rsidR="003A71DE" w:rsidRPr="007E2F91" w:rsidRDefault="003A71DE" w:rsidP="001A5D47">
            <w:pPr>
              <w:pStyle w:val="TAL"/>
              <w:rPr>
                <w:rFonts w:eastAsiaTheme="minorEastAsia"/>
                <w:lang w:val="en-US"/>
              </w:rPr>
            </w:pPr>
            <w:r w:rsidRPr="007E2F91">
              <w:rPr>
                <w:rFonts w:eastAsiaTheme="minorEastAsia"/>
                <w:lang w:eastAsia="ja-JP"/>
              </w:rPr>
              <w:t xml:space="preserve">EPRE ratio of PDSCH to PDSCH </w:t>
            </w:r>
          </w:p>
        </w:tc>
        <w:tc>
          <w:tcPr>
            <w:tcW w:w="1134" w:type="dxa"/>
            <w:vMerge/>
            <w:tcBorders>
              <w:left w:val="single" w:sz="4" w:space="0" w:color="auto"/>
              <w:right w:val="single" w:sz="4" w:space="0" w:color="auto"/>
            </w:tcBorders>
          </w:tcPr>
          <w:p w14:paraId="352D3B18"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2340E2C2"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4AA7F8E5"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6363D766" w14:textId="77777777" w:rsidR="003A71DE" w:rsidRPr="007E2F91" w:rsidRDefault="003A71DE" w:rsidP="001A5D47">
            <w:pPr>
              <w:pStyle w:val="TAL"/>
              <w:rPr>
                <w:rFonts w:eastAsiaTheme="minorEastAsia"/>
                <w:lang w:val="en-US"/>
              </w:rPr>
            </w:pPr>
            <w:r w:rsidRPr="007E2F91">
              <w:rPr>
                <w:rFonts w:eastAsiaTheme="minorEastAsia"/>
                <w:lang w:eastAsia="ja-JP"/>
              </w:rPr>
              <w:t>EPRE ratio of OCNG DMRS to SSS(Note 1)</w:t>
            </w:r>
          </w:p>
        </w:tc>
        <w:tc>
          <w:tcPr>
            <w:tcW w:w="1134" w:type="dxa"/>
            <w:vMerge/>
            <w:tcBorders>
              <w:left w:val="single" w:sz="4" w:space="0" w:color="auto"/>
              <w:right w:val="single" w:sz="4" w:space="0" w:color="auto"/>
            </w:tcBorders>
          </w:tcPr>
          <w:p w14:paraId="084B5EA4"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right w:val="single" w:sz="4" w:space="0" w:color="auto"/>
            </w:tcBorders>
          </w:tcPr>
          <w:p w14:paraId="4E7A7359"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5BDB271B"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290441AF" w14:textId="77777777" w:rsidR="003A71DE" w:rsidRPr="007E2F91" w:rsidRDefault="003A71DE" w:rsidP="001A5D47">
            <w:pPr>
              <w:pStyle w:val="TAL"/>
              <w:rPr>
                <w:rFonts w:eastAsiaTheme="minorEastAsia"/>
                <w:lang w:val="en-US"/>
              </w:rPr>
            </w:pPr>
            <w:r w:rsidRPr="007E2F91">
              <w:rPr>
                <w:rFonts w:eastAsiaTheme="minorEastAsia"/>
                <w:lang w:eastAsia="ja-JP"/>
              </w:rPr>
              <w:t>EPRE ratio of OCNG to OCNG DMRS (Note 1)</w:t>
            </w:r>
          </w:p>
        </w:tc>
        <w:tc>
          <w:tcPr>
            <w:tcW w:w="1134" w:type="dxa"/>
            <w:vMerge/>
            <w:tcBorders>
              <w:left w:val="single" w:sz="4" w:space="0" w:color="auto"/>
              <w:bottom w:val="single" w:sz="4" w:space="0" w:color="auto"/>
              <w:right w:val="single" w:sz="4" w:space="0" w:color="auto"/>
            </w:tcBorders>
          </w:tcPr>
          <w:p w14:paraId="23589DE8" w14:textId="77777777" w:rsidR="003A71DE" w:rsidRPr="007E2F91" w:rsidRDefault="003A71DE" w:rsidP="003A71DE">
            <w:pPr>
              <w:keepNext/>
              <w:keepLines/>
              <w:spacing w:after="0"/>
              <w:jc w:val="center"/>
              <w:rPr>
                <w:rFonts w:ascii="Arial" w:eastAsiaTheme="minorEastAsia" w:hAnsi="Arial" w:cs="Arial"/>
                <w:sz w:val="18"/>
                <w:szCs w:val="18"/>
                <w:lang w:val="en-US"/>
              </w:rPr>
            </w:pPr>
          </w:p>
        </w:tc>
        <w:tc>
          <w:tcPr>
            <w:tcW w:w="4655" w:type="dxa"/>
            <w:gridSpan w:val="7"/>
            <w:vMerge/>
            <w:tcBorders>
              <w:left w:val="single" w:sz="4" w:space="0" w:color="auto"/>
              <w:bottom w:val="single" w:sz="4" w:space="0" w:color="auto"/>
              <w:right w:val="single" w:sz="4" w:space="0" w:color="auto"/>
            </w:tcBorders>
          </w:tcPr>
          <w:p w14:paraId="19AEA420" w14:textId="77777777" w:rsidR="003A71DE" w:rsidRPr="007E2F91" w:rsidRDefault="003A71DE" w:rsidP="003A71DE">
            <w:pPr>
              <w:keepNext/>
              <w:keepLines/>
              <w:spacing w:after="0"/>
              <w:jc w:val="center"/>
              <w:rPr>
                <w:rFonts w:ascii="Arial" w:eastAsiaTheme="minorEastAsia" w:hAnsi="Arial" w:cs="Arial"/>
                <w:sz w:val="18"/>
                <w:szCs w:val="18"/>
                <w:lang w:val="en-US"/>
              </w:rPr>
            </w:pPr>
          </w:p>
        </w:tc>
      </w:tr>
      <w:tr w:rsidR="003A71DE" w:rsidRPr="007E2F91" w14:paraId="0CDF0810" w14:textId="77777777" w:rsidTr="003A71DE">
        <w:trPr>
          <w:trHeight w:val="359"/>
          <w:jc w:val="center"/>
        </w:trPr>
        <w:tc>
          <w:tcPr>
            <w:tcW w:w="3805" w:type="dxa"/>
            <w:gridSpan w:val="3"/>
            <w:tcBorders>
              <w:top w:val="single" w:sz="4" w:space="0" w:color="auto"/>
              <w:left w:val="single" w:sz="4" w:space="0" w:color="auto"/>
              <w:right w:val="single" w:sz="4" w:space="0" w:color="auto"/>
            </w:tcBorders>
            <w:vAlign w:val="center"/>
          </w:tcPr>
          <w:p w14:paraId="01781B97" w14:textId="77777777" w:rsidR="003A71DE" w:rsidRPr="007E2F91" w:rsidRDefault="003A71DE" w:rsidP="001A5D47">
            <w:pPr>
              <w:pStyle w:val="TAL"/>
              <w:rPr>
                <w:rFonts w:eastAsiaTheme="minorEastAsia"/>
                <w:lang w:val="en-US"/>
              </w:rPr>
            </w:pPr>
            <w:r w:rsidRPr="007E2F91">
              <w:rPr>
                <w:rFonts w:eastAsia="Calibri"/>
                <w:position w:val="-12"/>
                <w:lang w:val="en-US"/>
              </w:rPr>
              <w:object w:dxaOrig="405" w:dyaOrig="345" w14:anchorId="6DB3C730">
                <v:shape id="_x0000_i1070" type="#_x0000_t75" style="width:22.15pt;height:14.4pt" o:ole="" fillcolor="window">
                  <v:imagedata r:id="rId71" o:title=""/>
                </v:shape>
                <o:OLEObject Type="Embed" ProgID="Equation.3" ShapeID="_x0000_i1070" DrawAspect="Content" ObjectID="_1734764450" r:id="rId92"/>
              </w:object>
            </w:r>
            <w:r w:rsidRPr="007E2F91">
              <w:rPr>
                <w:rFonts w:eastAsiaTheme="minorEastAsia"/>
                <w:vertAlign w:val="superscript"/>
                <w:lang w:val="en-US"/>
              </w:rPr>
              <w:t>Note2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7C72F18" w14:textId="77777777" w:rsidR="003A71DE" w:rsidRPr="007E2F91" w:rsidRDefault="003A71DE" w:rsidP="001A5D47">
            <w:pPr>
              <w:pStyle w:val="TAC"/>
              <w:rPr>
                <w:rFonts w:eastAsiaTheme="minorEastAsia"/>
                <w:lang w:val="en-US"/>
              </w:rPr>
            </w:pPr>
            <w:r w:rsidRPr="007E2F91">
              <w:rPr>
                <w:rFonts w:eastAsiaTheme="minorEastAsia"/>
                <w:lang w:val="en-US"/>
              </w:rPr>
              <w:t>dBm/15kHz</w:t>
            </w:r>
          </w:p>
        </w:tc>
        <w:tc>
          <w:tcPr>
            <w:tcW w:w="4655" w:type="dxa"/>
            <w:gridSpan w:val="7"/>
            <w:tcBorders>
              <w:top w:val="single" w:sz="4" w:space="0" w:color="auto"/>
              <w:left w:val="single" w:sz="4" w:space="0" w:color="auto"/>
              <w:right w:val="single" w:sz="4" w:space="0" w:color="auto"/>
            </w:tcBorders>
            <w:vAlign w:val="center"/>
          </w:tcPr>
          <w:p w14:paraId="2F669140" w14:textId="77777777" w:rsidR="003A71DE" w:rsidRPr="007E2F91" w:rsidRDefault="003A71DE" w:rsidP="001A5D47">
            <w:pPr>
              <w:pStyle w:val="TAC"/>
              <w:rPr>
                <w:rFonts w:eastAsiaTheme="minorEastAsia"/>
                <w:lang w:val="en-US"/>
              </w:rPr>
            </w:pPr>
            <w:r w:rsidRPr="007E2F91">
              <w:rPr>
                <w:rFonts w:eastAsiaTheme="minorEastAsia"/>
                <w:lang w:val="en-US"/>
              </w:rPr>
              <w:t>-98</w:t>
            </w:r>
          </w:p>
        </w:tc>
      </w:tr>
      <w:tr w:rsidR="003A71DE" w:rsidRPr="007E2F91" w14:paraId="2EBDAEBC" w14:textId="77777777" w:rsidTr="003A71DE">
        <w:trPr>
          <w:trHeight w:val="116"/>
          <w:jc w:val="center"/>
        </w:trPr>
        <w:tc>
          <w:tcPr>
            <w:tcW w:w="970" w:type="dxa"/>
            <w:vMerge w:val="restart"/>
            <w:tcBorders>
              <w:top w:val="single" w:sz="4" w:space="0" w:color="auto"/>
              <w:left w:val="single" w:sz="4" w:space="0" w:color="auto"/>
              <w:right w:val="single" w:sz="4" w:space="0" w:color="auto"/>
            </w:tcBorders>
            <w:vAlign w:val="center"/>
          </w:tcPr>
          <w:p w14:paraId="6345100C" w14:textId="77777777" w:rsidR="003A71DE" w:rsidRPr="007E2F91" w:rsidRDefault="003A71DE" w:rsidP="001A5D47">
            <w:pPr>
              <w:pStyle w:val="TAL"/>
              <w:rPr>
                <w:rFonts w:eastAsiaTheme="minorEastAsia"/>
                <w:vertAlign w:val="superscript"/>
                <w:lang w:val="en-US"/>
              </w:rPr>
            </w:pPr>
            <w:r w:rsidRPr="007E2F91">
              <w:rPr>
                <w:rFonts w:eastAsia="Calibri"/>
                <w:position w:val="-12"/>
                <w:lang w:val="en-US"/>
              </w:rPr>
              <w:object w:dxaOrig="405" w:dyaOrig="345" w14:anchorId="24ED62A4">
                <v:shape id="_x0000_i1071" type="#_x0000_t75" style="width:22.15pt;height:14.4pt" o:ole="" fillcolor="window">
                  <v:imagedata r:id="rId71" o:title=""/>
                </v:shape>
                <o:OLEObject Type="Embed" ProgID="Equation.3" ShapeID="_x0000_i1071" DrawAspect="Content" ObjectID="_1734764451" r:id="rId93"/>
              </w:object>
            </w:r>
            <w:r w:rsidRPr="007E2F91">
              <w:rPr>
                <w:rFonts w:eastAsiaTheme="minorEastAsia"/>
                <w:vertAlign w:val="superscript"/>
                <w:lang w:val="en-US"/>
              </w:rPr>
              <w:t>Note2</w:t>
            </w:r>
          </w:p>
        </w:tc>
        <w:tc>
          <w:tcPr>
            <w:tcW w:w="2835" w:type="dxa"/>
            <w:gridSpan w:val="2"/>
            <w:tcBorders>
              <w:top w:val="single" w:sz="4" w:space="0" w:color="auto"/>
              <w:left w:val="single" w:sz="4" w:space="0" w:color="auto"/>
              <w:right w:val="single" w:sz="4" w:space="0" w:color="auto"/>
            </w:tcBorders>
            <w:vAlign w:val="center"/>
          </w:tcPr>
          <w:p w14:paraId="6B858C13" w14:textId="77777777" w:rsidR="003A71DE" w:rsidRPr="007E2F91" w:rsidRDefault="003A71DE" w:rsidP="001A5D47">
            <w:pPr>
              <w:pStyle w:val="TAL"/>
              <w:rPr>
                <w:rFonts w:eastAsia="Calibri"/>
                <w:lang w:val="en-US"/>
              </w:rPr>
            </w:pPr>
            <w:r w:rsidRPr="007E2F91">
              <w:rPr>
                <w:rFonts w:eastAsiaTheme="minorEastAsia"/>
              </w:rPr>
              <w:t xml:space="preserve">Config </w:t>
            </w:r>
            <w:r w:rsidRPr="007E2F91">
              <w:rPr>
                <w:rFonts w:eastAsiaTheme="minorEastAsia"/>
                <w:lang w:val="en-US"/>
              </w:rPr>
              <w:t>1</w:t>
            </w:r>
          </w:p>
        </w:tc>
        <w:tc>
          <w:tcPr>
            <w:tcW w:w="1134" w:type="dxa"/>
            <w:vMerge w:val="restart"/>
            <w:tcBorders>
              <w:top w:val="single" w:sz="4" w:space="0" w:color="auto"/>
              <w:left w:val="single" w:sz="4" w:space="0" w:color="auto"/>
              <w:right w:val="single" w:sz="4" w:space="0" w:color="auto"/>
            </w:tcBorders>
            <w:vAlign w:val="center"/>
          </w:tcPr>
          <w:p w14:paraId="7D5BAE6F" w14:textId="77777777" w:rsidR="003A71DE" w:rsidRPr="007E2F91" w:rsidRDefault="003A71DE" w:rsidP="001A5D47">
            <w:pPr>
              <w:pStyle w:val="TAC"/>
              <w:rPr>
                <w:rFonts w:eastAsiaTheme="minorEastAsia"/>
                <w:lang w:val="en-US"/>
              </w:rPr>
            </w:pPr>
          </w:p>
          <w:p w14:paraId="413FCA24" w14:textId="77777777" w:rsidR="003A71DE" w:rsidRPr="007E2F91" w:rsidRDefault="003A71DE" w:rsidP="001A5D47">
            <w:pPr>
              <w:pStyle w:val="TAC"/>
              <w:rPr>
                <w:rFonts w:eastAsiaTheme="minorEastAsia"/>
                <w:lang w:val="en-US"/>
              </w:rPr>
            </w:pPr>
            <w:r w:rsidRPr="007E2F91">
              <w:rPr>
                <w:rFonts w:eastAsiaTheme="minorEastAsia"/>
                <w:lang w:val="en-US"/>
              </w:rPr>
              <w:t>dBm/SCS</w:t>
            </w:r>
          </w:p>
        </w:tc>
        <w:tc>
          <w:tcPr>
            <w:tcW w:w="4655" w:type="dxa"/>
            <w:gridSpan w:val="7"/>
            <w:tcBorders>
              <w:top w:val="single" w:sz="4" w:space="0" w:color="auto"/>
              <w:left w:val="single" w:sz="4" w:space="0" w:color="auto"/>
              <w:right w:val="single" w:sz="4" w:space="0" w:color="auto"/>
            </w:tcBorders>
            <w:vAlign w:val="center"/>
          </w:tcPr>
          <w:p w14:paraId="473A9D9F" w14:textId="77777777" w:rsidR="003A71DE" w:rsidRPr="007E2F91" w:rsidRDefault="003A71DE" w:rsidP="001A5D47">
            <w:pPr>
              <w:pStyle w:val="TAC"/>
              <w:rPr>
                <w:rFonts w:eastAsiaTheme="minorEastAsia"/>
                <w:lang w:val="en-US"/>
              </w:rPr>
            </w:pPr>
            <w:r w:rsidRPr="007E2F91">
              <w:rPr>
                <w:rFonts w:eastAsiaTheme="minorEastAsia"/>
                <w:lang w:val="en-US"/>
              </w:rPr>
              <w:t>-98</w:t>
            </w:r>
          </w:p>
        </w:tc>
      </w:tr>
      <w:tr w:rsidR="003A71DE" w:rsidRPr="007E2F91" w14:paraId="79D1A865" w14:textId="77777777" w:rsidTr="003A71DE">
        <w:trPr>
          <w:trHeight w:val="42"/>
          <w:jc w:val="center"/>
        </w:trPr>
        <w:tc>
          <w:tcPr>
            <w:tcW w:w="970" w:type="dxa"/>
            <w:vMerge/>
            <w:tcBorders>
              <w:left w:val="single" w:sz="4" w:space="0" w:color="auto"/>
              <w:right w:val="single" w:sz="4" w:space="0" w:color="auto"/>
            </w:tcBorders>
            <w:vAlign w:val="center"/>
          </w:tcPr>
          <w:p w14:paraId="3DE53132" w14:textId="77777777" w:rsidR="003A71DE" w:rsidRPr="007E2F91" w:rsidRDefault="003A71DE" w:rsidP="001A5D47">
            <w:pPr>
              <w:pStyle w:val="TAL"/>
              <w:rPr>
                <w:rFonts w:eastAsia="Calibri"/>
                <w:lang w:val="en-US"/>
              </w:rPr>
            </w:pPr>
          </w:p>
        </w:tc>
        <w:tc>
          <w:tcPr>
            <w:tcW w:w="2835" w:type="dxa"/>
            <w:gridSpan w:val="2"/>
            <w:tcBorders>
              <w:left w:val="single" w:sz="4" w:space="0" w:color="auto"/>
              <w:right w:val="single" w:sz="4" w:space="0" w:color="auto"/>
            </w:tcBorders>
            <w:vAlign w:val="center"/>
          </w:tcPr>
          <w:p w14:paraId="1C9D2F45" w14:textId="77777777" w:rsidR="003A71DE" w:rsidRPr="007E2F91" w:rsidRDefault="003A71DE" w:rsidP="001A5D47">
            <w:pPr>
              <w:pStyle w:val="TAL"/>
              <w:rPr>
                <w:rFonts w:eastAsia="Calibri"/>
                <w:lang w:val="en-US"/>
              </w:rPr>
            </w:pPr>
            <w:r w:rsidRPr="007E2F91">
              <w:rPr>
                <w:rFonts w:eastAsiaTheme="minorEastAsia"/>
              </w:rPr>
              <w:t xml:space="preserve">Config </w:t>
            </w:r>
            <w:r w:rsidRPr="007E2F91">
              <w:rPr>
                <w:rFonts w:eastAsiaTheme="minorEastAsia"/>
                <w:lang w:val="en-US"/>
              </w:rPr>
              <w:t>2</w:t>
            </w:r>
          </w:p>
        </w:tc>
        <w:tc>
          <w:tcPr>
            <w:tcW w:w="1134" w:type="dxa"/>
            <w:vMerge/>
            <w:tcBorders>
              <w:left w:val="single" w:sz="4" w:space="0" w:color="auto"/>
              <w:right w:val="single" w:sz="4" w:space="0" w:color="auto"/>
            </w:tcBorders>
            <w:vAlign w:val="center"/>
          </w:tcPr>
          <w:p w14:paraId="552B3751" w14:textId="77777777" w:rsidR="003A71DE" w:rsidRPr="007E2F91" w:rsidRDefault="003A71DE" w:rsidP="001A5D47">
            <w:pPr>
              <w:pStyle w:val="TAC"/>
              <w:rPr>
                <w:rFonts w:eastAsiaTheme="minorEastAsia"/>
                <w:lang w:val="en-US"/>
              </w:rPr>
            </w:pPr>
          </w:p>
        </w:tc>
        <w:tc>
          <w:tcPr>
            <w:tcW w:w="4655" w:type="dxa"/>
            <w:gridSpan w:val="7"/>
            <w:tcBorders>
              <w:left w:val="single" w:sz="4" w:space="0" w:color="auto"/>
              <w:right w:val="single" w:sz="4" w:space="0" w:color="auto"/>
            </w:tcBorders>
            <w:vAlign w:val="center"/>
          </w:tcPr>
          <w:p w14:paraId="75F602AD" w14:textId="77777777" w:rsidR="003A71DE" w:rsidRPr="007E2F91" w:rsidRDefault="003A71DE" w:rsidP="001A5D47">
            <w:pPr>
              <w:pStyle w:val="TAC"/>
              <w:rPr>
                <w:rFonts w:eastAsiaTheme="minorEastAsia"/>
                <w:lang w:val="en-US"/>
              </w:rPr>
            </w:pPr>
            <w:r w:rsidRPr="007E2F91">
              <w:rPr>
                <w:rFonts w:eastAsiaTheme="minorEastAsia"/>
                <w:lang w:val="en-US"/>
              </w:rPr>
              <w:t>-95</w:t>
            </w:r>
          </w:p>
        </w:tc>
      </w:tr>
      <w:tr w:rsidR="003A71DE" w:rsidRPr="007E2F91" w14:paraId="3768C764" w14:textId="77777777" w:rsidTr="003A71DE">
        <w:trPr>
          <w:trHeight w:val="314"/>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7B362D23" w14:textId="77777777" w:rsidR="003A71DE" w:rsidRPr="007E2F91" w:rsidRDefault="003A71DE" w:rsidP="001A5D47">
            <w:pPr>
              <w:pStyle w:val="TAL"/>
              <w:rPr>
                <w:rFonts w:eastAsiaTheme="minorEastAsia"/>
                <w:i/>
                <w:lang w:val="en-US"/>
              </w:rPr>
            </w:pPr>
            <w:r w:rsidRPr="007E2F91">
              <w:rPr>
                <w:rFonts w:eastAsia="Calibri"/>
                <w:i/>
                <w:position w:val="-12"/>
                <w:lang w:val="en-US"/>
              </w:rPr>
              <w:object w:dxaOrig="615" w:dyaOrig="390" w14:anchorId="41EDFE20">
                <v:shape id="_x0000_i1072" type="#_x0000_t75" style="width:29.35pt;height:22.15pt" o:ole="" fillcolor="window">
                  <v:imagedata r:id="rId69" o:title=""/>
                </v:shape>
                <o:OLEObject Type="Embed" ProgID="Equation.3" ShapeID="_x0000_i1072" DrawAspect="Content" ObjectID="_1734764452" r:id="rId94"/>
              </w:object>
            </w:r>
          </w:p>
        </w:tc>
        <w:tc>
          <w:tcPr>
            <w:tcW w:w="1134" w:type="dxa"/>
            <w:tcBorders>
              <w:top w:val="single" w:sz="4" w:space="0" w:color="auto"/>
              <w:left w:val="single" w:sz="4" w:space="0" w:color="auto"/>
              <w:bottom w:val="single" w:sz="4" w:space="0" w:color="auto"/>
              <w:right w:val="single" w:sz="4" w:space="0" w:color="auto"/>
            </w:tcBorders>
            <w:vAlign w:val="center"/>
            <w:hideMark/>
          </w:tcPr>
          <w:p w14:paraId="686EA10E" w14:textId="77777777" w:rsidR="003A71DE" w:rsidRPr="007E2F91" w:rsidRDefault="003A71DE" w:rsidP="001A5D47">
            <w:pPr>
              <w:pStyle w:val="TAC"/>
              <w:rPr>
                <w:rFonts w:eastAsiaTheme="minorEastAsia"/>
                <w:lang w:val="en-US"/>
              </w:rPr>
            </w:pPr>
            <w:r w:rsidRPr="007E2F91">
              <w:rPr>
                <w:rFonts w:eastAsiaTheme="minorEastAsia"/>
                <w:lang w:val="en-US"/>
              </w:rPr>
              <w:t>dB</w:t>
            </w:r>
          </w:p>
        </w:tc>
        <w:tc>
          <w:tcPr>
            <w:tcW w:w="1163" w:type="dxa"/>
            <w:tcBorders>
              <w:top w:val="single" w:sz="4" w:space="0" w:color="auto"/>
              <w:left w:val="single" w:sz="4" w:space="0" w:color="auto"/>
              <w:right w:val="single" w:sz="4" w:space="0" w:color="auto"/>
            </w:tcBorders>
            <w:vAlign w:val="center"/>
          </w:tcPr>
          <w:p w14:paraId="77259456" w14:textId="77777777" w:rsidR="003A71DE" w:rsidRPr="007E2F91" w:rsidRDefault="003A71DE" w:rsidP="001A5D47">
            <w:pPr>
              <w:pStyle w:val="TAC"/>
              <w:rPr>
                <w:rFonts w:eastAsiaTheme="minorEastAsia"/>
                <w:lang w:val="en-US"/>
              </w:rPr>
            </w:pPr>
            <w:r w:rsidRPr="007E2F91">
              <w:rPr>
                <w:rFonts w:eastAsiaTheme="minorEastAsia"/>
                <w:lang w:val="en-US"/>
              </w:rPr>
              <w:t>4</w:t>
            </w:r>
          </w:p>
        </w:tc>
        <w:tc>
          <w:tcPr>
            <w:tcW w:w="1164" w:type="dxa"/>
            <w:gridSpan w:val="2"/>
            <w:tcBorders>
              <w:top w:val="single" w:sz="4" w:space="0" w:color="auto"/>
              <w:left w:val="single" w:sz="4" w:space="0" w:color="auto"/>
              <w:right w:val="single" w:sz="4" w:space="0" w:color="auto"/>
            </w:tcBorders>
            <w:vAlign w:val="center"/>
          </w:tcPr>
          <w:p w14:paraId="77B8A9EA" w14:textId="77777777" w:rsidR="003A71DE" w:rsidRPr="007E2F91" w:rsidRDefault="003A71DE" w:rsidP="001A5D47">
            <w:pPr>
              <w:pStyle w:val="TAC"/>
              <w:rPr>
                <w:rFonts w:eastAsiaTheme="minorEastAsia"/>
                <w:lang w:val="en-US"/>
              </w:rPr>
            </w:pPr>
            <w:r w:rsidRPr="007E2F91">
              <w:rPr>
                <w:rFonts w:eastAsiaTheme="minorEastAsia"/>
                <w:lang w:val="en-US"/>
              </w:rPr>
              <w:t>4</w:t>
            </w:r>
          </w:p>
        </w:tc>
        <w:tc>
          <w:tcPr>
            <w:tcW w:w="1164" w:type="dxa"/>
            <w:gridSpan w:val="2"/>
            <w:tcBorders>
              <w:top w:val="single" w:sz="4" w:space="0" w:color="auto"/>
              <w:left w:val="single" w:sz="4" w:space="0" w:color="auto"/>
              <w:right w:val="single" w:sz="4" w:space="0" w:color="auto"/>
            </w:tcBorders>
            <w:vAlign w:val="center"/>
          </w:tcPr>
          <w:p w14:paraId="025B6DD2"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-infinity</w:t>
            </w:r>
          </w:p>
        </w:tc>
        <w:tc>
          <w:tcPr>
            <w:tcW w:w="1164" w:type="dxa"/>
            <w:gridSpan w:val="2"/>
            <w:tcBorders>
              <w:top w:val="single" w:sz="4" w:space="0" w:color="auto"/>
              <w:left w:val="single" w:sz="4" w:space="0" w:color="auto"/>
              <w:right w:val="single" w:sz="4" w:space="0" w:color="auto"/>
            </w:tcBorders>
            <w:vAlign w:val="center"/>
          </w:tcPr>
          <w:p w14:paraId="0890D5DA"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4</w:t>
            </w:r>
          </w:p>
        </w:tc>
      </w:tr>
      <w:tr w:rsidR="003A71DE" w:rsidRPr="007E2F91" w14:paraId="23EEAC50"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49B624D4" w14:textId="77777777" w:rsidR="003A71DE" w:rsidRPr="007E2F91" w:rsidRDefault="003A71DE" w:rsidP="001A5D47">
            <w:pPr>
              <w:pStyle w:val="TAL"/>
              <w:rPr>
                <w:rFonts w:eastAsiaTheme="minorEastAsia"/>
                <w:lang w:val="en-US"/>
              </w:rPr>
            </w:pPr>
            <w:r w:rsidRPr="007E2F91">
              <w:rPr>
                <w:rFonts w:eastAsia="Calibri"/>
                <w:position w:val="-12"/>
                <w:lang w:val="en-US"/>
              </w:rPr>
              <w:object w:dxaOrig="810" w:dyaOrig="390" w14:anchorId="623AF594">
                <v:shape id="_x0000_i1073" type="#_x0000_t75" style="width:42.65pt;height:22.15pt" o:ole="" fillcolor="window">
                  <v:imagedata r:id="rId74" o:title=""/>
                </v:shape>
                <o:OLEObject Type="Embed" ProgID="Equation.3" ShapeID="_x0000_i1073" DrawAspect="Content" ObjectID="_1734764453" r:id="rId95"/>
              </w:object>
            </w:r>
          </w:p>
        </w:tc>
        <w:tc>
          <w:tcPr>
            <w:tcW w:w="1134" w:type="dxa"/>
            <w:tcBorders>
              <w:top w:val="single" w:sz="4" w:space="0" w:color="auto"/>
              <w:left w:val="single" w:sz="4" w:space="0" w:color="auto"/>
              <w:bottom w:val="single" w:sz="4" w:space="0" w:color="auto"/>
              <w:right w:val="single" w:sz="4" w:space="0" w:color="auto"/>
            </w:tcBorders>
            <w:vAlign w:val="center"/>
            <w:hideMark/>
          </w:tcPr>
          <w:p w14:paraId="6BAFBDF1" w14:textId="77777777" w:rsidR="003A71DE" w:rsidRPr="007E2F91" w:rsidRDefault="003A71DE" w:rsidP="001A5D47">
            <w:pPr>
              <w:pStyle w:val="TAC"/>
              <w:rPr>
                <w:rFonts w:eastAsiaTheme="minorEastAsia"/>
                <w:lang w:val="en-US"/>
              </w:rPr>
            </w:pPr>
            <w:r w:rsidRPr="007E2F91">
              <w:rPr>
                <w:rFonts w:eastAsiaTheme="minorEastAsia"/>
                <w:lang w:val="en-US"/>
              </w:rPr>
              <w:t>dB</w:t>
            </w:r>
          </w:p>
        </w:tc>
        <w:tc>
          <w:tcPr>
            <w:tcW w:w="1163" w:type="dxa"/>
            <w:tcBorders>
              <w:left w:val="single" w:sz="4" w:space="0" w:color="auto"/>
              <w:bottom w:val="single" w:sz="4" w:space="0" w:color="auto"/>
              <w:right w:val="single" w:sz="4" w:space="0" w:color="auto"/>
            </w:tcBorders>
            <w:vAlign w:val="center"/>
          </w:tcPr>
          <w:p w14:paraId="5016BA17" w14:textId="77777777" w:rsidR="003A71DE" w:rsidRPr="007E2F91" w:rsidRDefault="003A71DE" w:rsidP="001A5D47">
            <w:pPr>
              <w:pStyle w:val="TAC"/>
              <w:rPr>
                <w:rFonts w:eastAsiaTheme="minorEastAsia"/>
                <w:lang w:val="en-US"/>
              </w:rPr>
            </w:pPr>
            <w:r w:rsidRPr="007E2F91">
              <w:rPr>
                <w:rFonts w:eastAsiaTheme="minorEastAsia"/>
                <w:lang w:val="en-US"/>
              </w:rPr>
              <w:t>4</w:t>
            </w:r>
          </w:p>
        </w:tc>
        <w:tc>
          <w:tcPr>
            <w:tcW w:w="1164" w:type="dxa"/>
            <w:gridSpan w:val="2"/>
            <w:tcBorders>
              <w:left w:val="single" w:sz="4" w:space="0" w:color="auto"/>
              <w:bottom w:val="single" w:sz="4" w:space="0" w:color="auto"/>
              <w:right w:val="single" w:sz="4" w:space="0" w:color="auto"/>
            </w:tcBorders>
            <w:vAlign w:val="center"/>
          </w:tcPr>
          <w:p w14:paraId="12EDE1CB" w14:textId="77777777" w:rsidR="003A71DE" w:rsidRPr="007E2F91" w:rsidRDefault="003A71DE" w:rsidP="001A5D47">
            <w:pPr>
              <w:pStyle w:val="TAC"/>
              <w:rPr>
                <w:rFonts w:eastAsiaTheme="minorEastAsia"/>
                <w:lang w:val="en-US"/>
              </w:rPr>
            </w:pPr>
            <w:r w:rsidRPr="007E2F91">
              <w:rPr>
                <w:rFonts w:eastAsiaTheme="minorEastAsia"/>
                <w:lang w:val="en-US"/>
              </w:rPr>
              <w:t>4</w:t>
            </w:r>
          </w:p>
        </w:tc>
        <w:tc>
          <w:tcPr>
            <w:tcW w:w="1164" w:type="dxa"/>
            <w:gridSpan w:val="2"/>
            <w:tcBorders>
              <w:left w:val="single" w:sz="4" w:space="0" w:color="auto"/>
              <w:bottom w:val="single" w:sz="4" w:space="0" w:color="auto"/>
              <w:right w:val="single" w:sz="4" w:space="0" w:color="auto"/>
            </w:tcBorders>
            <w:vAlign w:val="center"/>
          </w:tcPr>
          <w:p w14:paraId="4AFBEFA1"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-infinity</w:t>
            </w:r>
          </w:p>
        </w:tc>
        <w:tc>
          <w:tcPr>
            <w:tcW w:w="1164" w:type="dxa"/>
            <w:gridSpan w:val="2"/>
            <w:tcBorders>
              <w:left w:val="single" w:sz="4" w:space="0" w:color="auto"/>
              <w:bottom w:val="single" w:sz="4" w:space="0" w:color="auto"/>
              <w:right w:val="single" w:sz="4" w:space="0" w:color="auto"/>
            </w:tcBorders>
            <w:vAlign w:val="center"/>
          </w:tcPr>
          <w:p w14:paraId="3E24C6E2"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4</w:t>
            </w:r>
          </w:p>
        </w:tc>
      </w:tr>
      <w:tr w:rsidR="003A71DE" w:rsidRPr="007E2F91" w14:paraId="168EA80B" w14:textId="77777777" w:rsidTr="003A71DE">
        <w:trPr>
          <w:trHeight w:val="210"/>
          <w:jc w:val="center"/>
        </w:trPr>
        <w:tc>
          <w:tcPr>
            <w:tcW w:w="970" w:type="dxa"/>
            <w:vMerge w:val="restart"/>
            <w:tcBorders>
              <w:top w:val="single" w:sz="4" w:space="0" w:color="auto"/>
              <w:left w:val="single" w:sz="4" w:space="0" w:color="auto"/>
              <w:right w:val="single" w:sz="4" w:space="0" w:color="auto"/>
            </w:tcBorders>
            <w:vAlign w:val="center"/>
            <w:hideMark/>
          </w:tcPr>
          <w:p w14:paraId="1655353C" w14:textId="77777777" w:rsidR="003A71DE" w:rsidRPr="007E2F91" w:rsidRDefault="003A71DE" w:rsidP="001A5D47">
            <w:pPr>
              <w:pStyle w:val="TAL"/>
              <w:rPr>
                <w:rFonts w:eastAsiaTheme="minorEastAsia"/>
                <w:lang w:val="en-US"/>
              </w:rPr>
            </w:pPr>
            <w:r w:rsidRPr="007E2F91">
              <w:rPr>
                <w:rFonts w:eastAsiaTheme="minorEastAsia"/>
                <w:lang w:val="en-US"/>
              </w:rPr>
              <w:t>Io</w:t>
            </w:r>
            <w:r w:rsidRPr="007E2F91">
              <w:rPr>
                <w:rFonts w:eastAsiaTheme="minorEastAsia"/>
                <w:vertAlign w:val="superscript"/>
                <w:lang w:val="en-US"/>
              </w:rPr>
              <w:t>Note3</w:t>
            </w:r>
          </w:p>
        </w:tc>
        <w:tc>
          <w:tcPr>
            <w:tcW w:w="2835" w:type="dxa"/>
            <w:gridSpan w:val="2"/>
            <w:tcBorders>
              <w:top w:val="single" w:sz="4" w:space="0" w:color="auto"/>
              <w:left w:val="single" w:sz="4" w:space="0" w:color="auto"/>
              <w:right w:val="single" w:sz="4" w:space="0" w:color="auto"/>
            </w:tcBorders>
            <w:vAlign w:val="center"/>
          </w:tcPr>
          <w:p w14:paraId="5DE7ECCD" w14:textId="77777777" w:rsidR="003A71DE" w:rsidRPr="007E2F91" w:rsidRDefault="003A71DE" w:rsidP="001A5D47">
            <w:pPr>
              <w:pStyle w:val="TAL"/>
              <w:rPr>
                <w:rFonts w:eastAsiaTheme="minorEastAsia"/>
                <w:lang w:val="en-US"/>
              </w:rPr>
            </w:pPr>
            <w:r w:rsidRPr="007E2F91">
              <w:rPr>
                <w:rFonts w:eastAsiaTheme="minorEastAsia"/>
              </w:rPr>
              <w:t xml:space="preserve">Config </w:t>
            </w:r>
            <w:r w:rsidRPr="007E2F91">
              <w:rPr>
                <w:rFonts w:eastAsiaTheme="minorEastAsia"/>
                <w:lang w:val="en-US"/>
              </w:rPr>
              <w:t>1</w:t>
            </w:r>
          </w:p>
        </w:tc>
        <w:tc>
          <w:tcPr>
            <w:tcW w:w="1134" w:type="dxa"/>
            <w:tcBorders>
              <w:top w:val="single" w:sz="4" w:space="0" w:color="auto"/>
              <w:left w:val="single" w:sz="4" w:space="0" w:color="auto"/>
              <w:right w:val="single" w:sz="4" w:space="0" w:color="auto"/>
            </w:tcBorders>
            <w:vAlign w:val="center"/>
            <w:hideMark/>
          </w:tcPr>
          <w:p w14:paraId="2574628B" w14:textId="77777777" w:rsidR="003A71DE" w:rsidRPr="007E2F91" w:rsidRDefault="003A71DE" w:rsidP="001A5D47">
            <w:pPr>
              <w:pStyle w:val="TAC"/>
              <w:rPr>
                <w:rFonts w:eastAsiaTheme="minorEastAsia"/>
                <w:lang w:val="en-US"/>
              </w:rPr>
            </w:pPr>
            <w:r w:rsidRPr="007E2F91">
              <w:rPr>
                <w:rFonts w:eastAsiaTheme="minorEastAsia"/>
                <w:lang w:val="en-US"/>
              </w:rPr>
              <w:t>dBm/</w:t>
            </w:r>
          </w:p>
          <w:p w14:paraId="7CF541D0" w14:textId="77777777" w:rsidR="003A71DE" w:rsidRPr="007E2F91" w:rsidRDefault="003A71DE" w:rsidP="001A5D47">
            <w:pPr>
              <w:pStyle w:val="TAC"/>
              <w:rPr>
                <w:rFonts w:eastAsiaTheme="minorEastAsia"/>
                <w:lang w:val="en-US"/>
              </w:rPr>
            </w:pPr>
            <w:r w:rsidRPr="007E2F91">
              <w:rPr>
                <w:rFonts w:eastAsiaTheme="minorEastAsia"/>
                <w:lang w:val="en-US"/>
              </w:rPr>
              <w:t>BW</w:t>
            </w:r>
          </w:p>
        </w:tc>
        <w:tc>
          <w:tcPr>
            <w:tcW w:w="1163" w:type="dxa"/>
            <w:tcBorders>
              <w:top w:val="single" w:sz="4" w:space="0" w:color="auto"/>
              <w:left w:val="single" w:sz="4" w:space="0" w:color="auto"/>
              <w:right w:val="single" w:sz="4" w:space="0" w:color="auto"/>
            </w:tcBorders>
          </w:tcPr>
          <w:p w14:paraId="67EAC82A"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top w:val="single" w:sz="4" w:space="0" w:color="auto"/>
              <w:left w:val="single" w:sz="4" w:space="0" w:color="auto"/>
              <w:right w:val="single" w:sz="4" w:space="0" w:color="auto"/>
            </w:tcBorders>
          </w:tcPr>
          <w:p w14:paraId="350DD9FC"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top w:val="single" w:sz="4" w:space="0" w:color="auto"/>
              <w:left w:val="single" w:sz="4" w:space="0" w:color="auto"/>
              <w:right w:val="single" w:sz="4" w:space="0" w:color="auto"/>
            </w:tcBorders>
          </w:tcPr>
          <w:p w14:paraId="6F707382"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Note3</w:t>
            </w:r>
          </w:p>
        </w:tc>
        <w:tc>
          <w:tcPr>
            <w:tcW w:w="1164" w:type="dxa"/>
            <w:gridSpan w:val="2"/>
            <w:tcBorders>
              <w:top w:val="single" w:sz="4" w:space="0" w:color="auto"/>
              <w:left w:val="single" w:sz="4" w:space="0" w:color="auto"/>
              <w:right w:val="single" w:sz="4" w:space="0" w:color="auto"/>
            </w:tcBorders>
          </w:tcPr>
          <w:p w14:paraId="480C2FB2"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Note3</w:t>
            </w:r>
          </w:p>
        </w:tc>
      </w:tr>
      <w:tr w:rsidR="003A71DE" w:rsidRPr="007E2F91" w14:paraId="45D9381A" w14:textId="77777777" w:rsidTr="003A71DE">
        <w:trPr>
          <w:trHeight w:val="42"/>
          <w:jc w:val="center"/>
        </w:trPr>
        <w:tc>
          <w:tcPr>
            <w:tcW w:w="970" w:type="dxa"/>
            <w:vMerge/>
            <w:tcBorders>
              <w:left w:val="single" w:sz="4" w:space="0" w:color="auto"/>
              <w:right w:val="single" w:sz="4" w:space="0" w:color="auto"/>
            </w:tcBorders>
            <w:vAlign w:val="center"/>
            <w:hideMark/>
          </w:tcPr>
          <w:p w14:paraId="79D16271" w14:textId="77777777" w:rsidR="003A71DE" w:rsidRPr="007E2F91" w:rsidRDefault="003A71DE" w:rsidP="001A5D47">
            <w:pPr>
              <w:pStyle w:val="TAL"/>
              <w:rPr>
                <w:rFonts w:eastAsiaTheme="minorEastAsia"/>
                <w:lang w:val="en-US"/>
              </w:rPr>
            </w:pPr>
          </w:p>
        </w:tc>
        <w:tc>
          <w:tcPr>
            <w:tcW w:w="2835" w:type="dxa"/>
            <w:gridSpan w:val="2"/>
            <w:tcBorders>
              <w:left w:val="single" w:sz="4" w:space="0" w:color="auto"/>
              <w:right w:val="single" w:sz="4" w:space="0" w:color="auto"/>
            </w:tcBorders>
            <w:vAlign w:val="center"/>
          </w:tcPr>
          <w:p w14:paraId="70BA8EF2" w14:textId="77777777" w:rsidR="003A71DE" w:rsidRPr="007E2F91" w:rsidRDefault="003A71DE" w:rsidP="001A5D47">
            <w:pPr>
              <w:pStyle w:val="TAL"/>
              <w:rPr>
                <w:rFonts w:eastAsiaTheme="minorEastAsia"/>
                <w:lang w:val="en-US"/>
              </w:rPr>
            </w:pPr>
            <w:r w:rsidRPr="007E2F91">
              <w:rPr>
                <w:rFonts w:eastAsiaTheme="minorEastAsia"/>
              </w:rPr>
              <w:t xml:space="preserve">Config </w:t>
            </w:r>
            <w:r w:rsidRPr="007E2F91">
              <w:rPr>
                <w:rFonts w:eastAsia="Calibri"/>
                <w:lang w:val="en-US"/>
              </w:rPr>
              <w:t>2</w:t>
            </w:r>
          </w:p>
        </w:tc>
        <w:tc>
          <w:tcPr>
            <w:tcW w:w="1134" w:type="dxa"/>
            <w:tcBorders>
              <w:left w:val="single" w:sz="4" w:space="0" w:color="auto"/>
              <w:right w:val="single" w:sz="4" w:space="0" w:color="auto"/>
            </w:tcBorders>
            <w:vAlign w:val="center"/>
            <w:hideMark/>
          </w:tcPr>
          <w:p w14:paraId="400ACA88" w14:textId="77777777" w:rsidR="003A71DE" w:rsidRPr="007E2F91" w:rsidRDefault="003A71DE" w:rsidP="001A5D47">
            <w:pPr>
              <w:pStyle w:val="TAC"/>
              <w:rPr>
                <w:rFonts w:eastAsiaTheme="minorEastAsia"/>
                <w:lang w:val="en-US"/>
              </w:rPr>
            </w:pPr>
            <w:r w:rsidRPr="007E2F91">
              <w:rPr>
                <w:rFonts w:eastAsiaTheme="minorEastAsia"/>
                <w:lang w:val="en-US"/>
              </w:rPr>
              <w:t>dBm/</w:t>
            </w:r>
          </w:p>
          <w:p w14:paraId="79089D8B" w14:textId="77777777" w:rsidR="003A71DE" w:rsidRPr="007E2F91" w:rsidRDefault="003A71DE" w:rsidP="001A5D47">
            <w:pPr>
              <w:pStyle w:val="TAC"/>
              <w:rPr>
                <w:lang w:val="en-US"/>
              </w:rPr>
            </w:pPr>
            <w:r w:rsidRPr="007E2F91">
              <w:rPr>
                <w:rFonts w:eastAsiaTheme="minorEastAsia"/>
                <w:lang w:val="en-US"/>
              </w:rPr>
              <w:t>BW</w:t>
            </w:r>
          </w:p>
        </w:tc>
        <w:tc>
          <w:tcPr>
            <w:tcW w:w="1163" w:type="dxa"/>
            <w:tcBorders>
              <w:left w:val="single" w:sz="4" w:space="0" w:color="auto"/>
              <w:right w:val="single" w:sz="4" w:space="0" w:color="auto"/>
            </w:tcBorders>
          </w:tcPr>
          <w:p w14:paraId="5A90CB0A"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left w:val="single" w:sz="4" w:space="0" w:color="auto"/>
              <w:right w:val="single" w:sz="4" w:space="0" w:color="auto"/>
            </w:tcBorders>
          </w:tcPr>
          <w:p w14:paraId="7FCA2E0C"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left w:val="single" w:sz="4" w:space="0" w:color="auto"/>
              <w:right w:val="single" w:sz="4" w:space="0" w:color="auto"/>
            </w:tcBorders>
          </w:tcPr>
          <w:p w14:paraId="0A558663"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Note3</w:t>
            </w:r>
          </w:p>
        </w:tc>
        <w:tc>
          <w:tcPr>
            <w:tcW w:w="1164" w:type="dxa"/>
            <w:gridSpan w:val="2"/>
            <w:tcBorders>
              <w:left w:val="single" w:sz="4" w:space="0" w:color="auto"/>
              <w:right w:val="single" w:sz="4" w:space="0" w:color="auto"/>
            </w:tcBorders>
          </w:tcPr>
          <w:p w14:paraId="0E11398B" w14:textId="77777777" w:rsidR="003A71DE" w:rsidRPr="007E2F91" w:rsidRDefault="003A71DE" w:rsidP="003A71DE">
            <w:pPr>
              <w:keepNext/>
              <w:keepLines/>
              <w:spacing w:after="0"/>
              <w:jc w:val="center"/>
              <w:rPr>
                <w:rFonts w:ascii="Arial" w:eastAsiaTheme="minorEastAsia" w:hAnsi="Arial" w:cs="Arial"/>
                <w:sz w:val="18"/>
                <w:szCs w:val="18"/>
                <w:lang w:val="en-US"/>
              </w:rPr>
            </w:pPr>
            <w:r w:rsidRPr="007E2F91">
              <w:rPr>
                <w:rFonts w:ascii="Arial" w:eastAsiaTheme="minorEastAsia" w:hAnsi="Arial" w:cs="Arial"/>
                <w:sz w:val="18"/>
                <w:szCs w:val="18"/>
                <w:lang w:val="en-US"/>
              </w:rPr>
              <w:t>Note3</w:t>
            </w:r>
          </w:p>
        </w:tc>
      </w:tr>
      <w:tr w:rsidR="003A71DE" w:rsidRPr="007E2F91" w14:paraId="530095FF" w14:textId="77777777" w:rsidTr="003A71DE">
        <w:trPr>
          <w:trHeight w:val="42"/>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394A1689" w14:textId="77777777" w:rsidR="003A71DE" w:rsidRPr="007E2F91" w:rsidRDefault="003A71DE" w:rsidP="001A5D47">
            <w:pPr>
              <w:pStyle w:val="TAL"/>
              <w:rPr>
                <w:rFonts w:eastAsiaTheme="minorEastAsia"/>
                <w:lang w:val="en-US"/>
              </w:rPr>
            </w:pPr>
            <w:r w:rsidRPr="007E2F91">
              <w:rPr>
                <w:rFonts w:eastAsiaTheme="minorEastAsia"/>
                <w:lang w:val="en-US"/>
              </w:rPr>
              <w:t>Propagation condition</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A4F5E7B" w14:textId="77777777" w:rsidR="003A71DE" w:rsidRPr="007E2F91" w:rsidRDefault="003A71DE" w:rsidP="001A5D47">
            <w:pPr>
              <w:pStyle w:val="TAC"/>
              <w:rPr>
                <w:rFonts w:eastAsiaTheme="minorEastAsia"/>
                <w:lang w:val="en-US"/>
              </w:rPr>
            </w:pPr>
            <w:r w:rsidRPr="007E2F91">
              <w:rPr>
                <w:rFonts w:eastAsiaTheme="minorEastAsia"/>
                <w:lang w:val="en-US"/>
              </w:rPr>
              <w:t>-</w:t>
            </w:r>
          </w:p>
        </w:tc>
        <w:tc>
          <w:tcPr>
            <w:tcW w:w="4655" w:type="dxa"/>
            <w:gridSpan w:val="7"/>
            <w:tcBorders>
              <w:top w:val="single" w:sz="4" w:space="0" w:color="auto"/>
              <w:left w:val="single" w:sz="4" w:space="0" w:color="auto"/>
              <w:bottom w:val="single" w:sz="4" w:space="0" w:color="auto"/>
              <w:right w:val="single" w:sz="4" w:space="0" w:color="auto"/>
            </w:tcBorders>
            <w:vAlign w:val="center"/>
            <w:hideMark/>
          </w:tcPr>
          <w:p w14:paraId="01E8974A" w14:textId="77777777" w:rsidR="003A71DE" w:rsidRPr="007E2F91" w:rsidRDefault="003A71DE" w:rsidP="001A5D47">
            <w:pPr>
              <w:pStyle w:val="TAC"/>
              <w:rPr>
                <w:rFonts w:eastAsiaTheme="minorEastAsia"/>
                <w:lang w:val="en-US"/>
              </w:rPr>
            </w:pPr>
            <w:r w:rsidRPr="007E2F91">
              <w:rPr>
                <w:rFonts w:eastAsiaTheme="minorEastAsia"/>
                <w:lang w:val="en-US"/>
              </w:rPr>
              <w:t>AWGN</w:t>
            </w:r>
          </w:p>
        </w:tc>
      </w:tr>
      <w:tr w:rsidR="003A71DE" w:rsidRPr="007E2F91" w14:paraId="698D35AE" w14:textId="77777777" w:rsidTr="003A71DE">
        <w:trPr>
          <w:jc w:val="center"/>
        </w:trPr>
        <w:tc>
          <w:tcPr>
            <w:tcW w:w="9594" w:type="dxa"/>
            <w:gridSpan w:val="11"/>
            <w:tcBorders>
              <w:top w:val="single" w:sz="4" w:space="0" w:color="auto"/>
              <w:left w:val="single" w:sz="4" w:space="0" w:color="auto"/>
              <w:bottom w:val="single" w:sz="4" w:space="0" w:color="auto"/>
              <w:right w:val="single" w:sz="4" w:space="0" w:color="auto"/>
            </w:tcBorders>
            <w:vAlign w:val="center"/>
          </w:tcPr>
          <w:p w14:paraId="5887469B" w14:textId="77777777" w:rsidR="003A71DE" w:rsidRPr="007E2F91" w:rsidRDefault="003A71DE" w:rsidP="001A5D47">
            <w:pPr>
              <w:pStyle w:val="TAN"/>
              <w:rPr>
                <w:rFonts w:eastAsiaTheme="minorEastAsia"/>
                <w:lang w:val="en-US"/>
              </w:rPr>
            </w:pPr>
            <w:r w:rsidRPr="007E2F91">
              <w:rPr>
                <w:rFonts w:eastAsiaTheme="minorEastAsia"/>
                <w:lang w:val="en-US"/>
              </w:rPr>
              <w:t>Note 1:</w:t>
            </w:r>
            <w:r w:rsidRPr="007E2F91">
              <w:rPr>
                <w:rFonts w:eastAsiaTheme="minorEastAsia"/>
                <w:lang w:val="en-US"/>
              </w:rPr>
              <w:tab/>
              <w:t>OCNG shall be used such that both cells are fully allocated and a constant total transmitted power spectral density is achieved for all OFDM symbols.</w:t>
            </w:r>
          </w:p>
          <w:p w14:paraId="58AC9986" w14:textId="77777777" w:rsidR="003A71DE" w:rsidRPr="007E2F91" w:rsidRDefault="003A71DE" w:rsidP="001A5D47">
            <w:pPr>
              <w:pStyle w:val="TAN"/>
              <w:rPr>
                <w:rFonts w:eastAsiaTheme="minorEastAsia"/>
                <w:lang w:val="en-US"/>
              </w:rPr>
            </w:pPr>
            <w:r w:rsidRPr="007E2F91">
              <w:rPr>
                <w:rFonts w:eastAsiaTheme="minorEastAsia"/>
                <w:lang w:val="en-US"/>
              </w:rPr>
              <w:t>Note 2:</w:t>
            </w:r>
            <w:r w:rsidRPr="007E2F91">
              <w:rPr>
                <w:rFonts w:eastAsiaTheme="minorEastAsia"/>
                <w:lang w:val="en-US"/>
              </w:rPr>
              <w:tab/>
              <w:t xml:space="preserve">Interference from other cells and noise sources not specified in the test is assumed to be constant over subcarriers and time and shall be modelled as AWGN of appropriate power for </w:t>
            </w:r>
            <w:r w:rsidRPr="007E2F91">
              <w:rPr>
                <w:rFonts w:eastAsia="Calibri"/>
                <w:position w:val="-12"/>
                <w:lang w:val="en-US"/>
              </w:rPr>
              <w:object w:dxaOrig="405" w:dyaOrig="345" w14:anchorId="0AEC1472">
                <v:shape id="_x0000_i1074" type="#_x0000_t75" style="width:22.15pt;height:14.4pt" o:ole="" fillcolor="window">
                  <v:imagedata r:id="rId71" o:title=""/>
                </v:shape>
                <o:OLEObject Type="Embed" ProgID="Equation.3" ShapeID="_x0000_i1074" DrawAspect="Content" ObjectID="_1734764454" r:id="rId96"/>
              </w:object>
            </w:r>
            <w:r w:rsidRPr="007E2F91">
              <w:rPr>
                <w:rFonts w:eastAsiaTheme="minorEastAsia"/>
                <w:lang w:val="en-US"/>
              </w:rPr>
              <w:t xml:space="preserve"> to be fulfilled.</w:t>
            </w:r>
          </w:p>
          <w:p w14:paraId="0F87D89A" w14:textId="6DFB2F58" w:rsidR="003A71DE" w:rsidRPr="007E2F91" w:rsidRDefault="003A71DE" w:rsidP="001A5D47">
            <w:pPr>
              <w:pStyle w:val="TAN"/>
              <w:rPr>
                <w:rFonts w:eastAsiaTheme="minorEastAsia" w:cs="Arial"/>
                <w:szCs w:val="18"/>
                <w:lang w:val="en-US"/>
              </w:rPr>
            </w:pPr>
            <w:r w:rsidRPr="007E2F91">
              <w:rPr>
                <w:rFonts w:eastAsiaTheme="minorEastAsia"/>
                <w:lang w:val="en-US"/>
              </w:rPr>
              <w:t>Note 3:</w:t>
            </w:r>
            <w:r w:rsidRPr="007E2F91">
              <w:rPr>
                <w:rFonts w:eastAsiaTheme="minorEastAsia"/>
                <w:lang w:val="en-US"/>
              </w:rPr>
              <w:tab/>
              <w:t>Io levels have been derived from other parameters for information purposes. They are not settable parameters themselves.</w:t>
            </w:r>
          </w:p>
        </w:tc>
      </w:tr>
    </w:tbl>
    <w:p w14:paraId="695134B7" w14:textId="77777777" w:rsidR="003A71DE" w:rsidRPr="007E2F91" w:rsidRDefault="003A71DE" w:rsidP="003A71DE">
      <w:pPr>
        <w:rPr>
          <w:rFonts w:eastAsiaTheme="minorEastAsia"/>
        </w:rPr>
      </w:pPr>
    </w:p>
    <w:p w14:paraId="6B604EE2" w14:textId="77777777" w:rsidR="003A71DE" w:rsidRPr="007E2F91" w:rsidRDefault="003A71DE" w:rsidP="00BA0D24">
      <w:pPr>
        <w:pStyle w:val="H6"/>
        <w:rPr>
          <w:rFonts w:eastAsiaTheme="minorEastAsia"/>
          <w:snapToGrid w:val="0"/>
        </w:rPr>
      </w:pPr>
      <w:r w:rsidRPr="007E2F91">
        <w:rPr>
          <w:rFonts w:eastAsiaTheme="minorEastAsia"/>
          <w:snapToGrid w:val="0"/>
        </w:rPr>
        <w:t>G.2.1.1.</w:t>
      </w:r>
      <w:r>
        <w:rPr>
          <w:rFonts w:eastAsiaTheme="minorEastAsia"/>
          <w:snapToGrid w:val="0"/>
        </w:rPr>
        <w:t>2</w:t>
      </w:r>
      <w:r w:rsidRPr="007E2F91">
        <w:rPr>
          <w:rFonts w:eastAsiaTheme="minorEastAsia"/>
          <w:snapToGrid w:val="0"/>
        </w:rPr>
        <w:t>.1.3</w:t>
      </w:r>
      <w:r w:rsidRPr="007E2F91">
        <w:rPr>
          <w:rFonts w:eastAsiaTheme="minorEastAsia"/>
          <w:snapToGrid w:val="0"/>
        </w:rPr>
        <w:tab/>
        <w:t>Test Requirements</w:t>
      </w:r>
    </w:p>
    <w:p w14:paraId="68BF1E59" w14:textId="77777777" w:rsidR="003A71DE" w:rsidRPr="007E2F91" w:rsidRDefault="003A71DE" w:rsidP="003A71DE">
      <w:pPr>
        <w:spacing w:before="120" w:after="0"/>
        <w:rPr>
          <w:rFonts w:eastAsia="MS Mincho" w:cs="v4.2.0"/>
        </w:rPr>
      </w:pPr>
      <w:r w:rsidRPr="007E2F91">
        <w:rPr>
          <w:rFonts w:eastAsia="MS Mincho" w:cs="v4.2.0"/>
        </w:rPr>
        <w:t>The IAB-MT shall start to transmit the PRACH to Cell 2 less than 7480 ms from the beginning of time period T2.</w:t>
      </w:r>
    </w:p>
    <w:p w14:paraId="06FC2C0E" w14:textId="77777777" w:rsidR="003A71DE" w:rsidRPr="007E2F91" w:rsidRDefault="003A71DE" w:rsidP="003A71DE">
      <w:pPr>
        <w:rPr>
          <w:rFonts w:eastAsiaTheme="minorEastAsia" w:cs="v4.2.0"/>
        </w:rPr>
      </w:pPr>
      <w:r w:rsidRPr="007E2F91">
        <w:rPr>
          <w:rFonts w:eastAsiaTheme="minorEastAsia" w:cs="v4.2.0"/>
        </w:rPr>
        <w:t>The rate of correct RRC connection release redirection to NR observed during repeated tests shall be at least 90%.</w:t>
      </w:r>
    </w:p>
    <w:p w14:paraId="1332C1E5" w14:textId="77777777" w:rsidR="003A71DE" w:rsidRPr="007E2F91" w:rsidRDefault="003A71DE" w:rsidP="003A71DE">
      <w:pPr>
        <w:keepLines/>
        <w:ind w:left="1135" w:hanging="851"/>
        <w:rPr>
          <w:rFonts w:eastAsiaTheme="minorEastAsia"/>
        </w:rPr>
      </w:pPr>
      <w:r w:rsidRPr="007E2F91">
        <w:rPr>
          <w:rFonts w:eastAsiaTheme="minorEastAsia"/>
        </w:rPr>
        <w:t>NOTE:</w:t>
      </w:r>
      <w:r w:rsidRPr="007E2F91">
        <w:rPr>
          <w:rFonts w:eastAsiaTheme="minorEastAsia"/>
        </w:rPr>
        <w:tab/>
        <w:t>The redirection delay can be expressed as:</w:t>
      </w:r>
    </w:p>
    <w:p w14:paraId="1D45397F" w14:textId="77777777" w:rsidR="003A71DE" w:rsidRPr="007E2F91" w:rsidRDefault="003A71DE" w:rsidP="003A71DE">
      <w:pPr>
        <w:keepLines/>
        <w:tabs>
          <w:tab w:val="center" w:pos="4536"/>
          <w:tab w:val="right" w:pos="9072"/>
        </w:tabs>
        <w:rPr>
          <w:rFonts w:eastAsiaTheme="minorEastAsia" w:cs="v4.2.0"/>
          <w:noProof/>
        </w:rPr>
      </w:pPr>
      <w:r w:rsidRPr="007E2F91">
        <w:rPr>
          <w:rFonts w:eastAsiaTheme="minorEastAsia"/>
          <w:noProof/>
        </w:rPr>
        <w:tab/>
        <w:t>T</w:t>
      </w:r>
      <w:r w:rsidRPr="007E2F91">
        <w:rPr>
          <w:rFonts w:eastAsiaTheme="minorEastAsia"/>
          <w:noProof/>
          <w:vertAlign w:val="subscript"/>
        </w:rPr>
        <w:t>connection_release_redirect_NR</w:t>
      </w:r>
      <w:r w:rsidRPr="007E2F91">
        <w:rPr>
          <w:rFonts w:eastAsiaTheme="minorEastAsia"/>
          <w:noProof/>
        </w:rPr>
        <w:t xml:space="preserve"> = T</w:t>
      </w:r>
      <w:r w:rsidRPr="007E2F91">
        <w:rPr>
          <w:rFonts w:eastAsiaTheme="minorEastAsia"/>
          <w:noProof/>
          <w:vertAlign w:val="subscript"/>
        </w:rPr>
        <w:t xml:space="preserve">RRC_procedure_delay </w:t>
      </w:r>
      <w:r w:rsidRPr="007E2F91">
        <w:rPr>
          <w:rFonts w:eastAsiaTheme="minorEastAsia"/>
          <w:noProof/>
        </w:rPr>
        <w:t xml:space="preserve">+ </w:t>
      </w:r>
      <w:r w:rsidRPr="007E2F91">
        <w:rPr>
          <w:rFonts w:eastAsiaTheme="minorEastAsia" w:cs="v4.2.0"/>
          <w:noProof/>
        </w:rPr>
        <w:t>T</w:t>
      </w:r>
      <w:r w:rsidRPr="007E2F91">
        <w:rPr>
          <w:rFonts w:eastAsiaTheme="minorEastAsia" w:cs="v4.2.0"/>
          <w:noProof/>
          <w:vertAlign w:val="subscript"/>
        </w:rPr>
        <w:t xml:space="preserve">identify-NR </w:t>
      </w:r>
      <w:r w:rsidRPr="007E2F91">
        <w:rPr>
          <w:rFonts w:eastAsiaTheme="minorEastAsia" w:cs="v4.2.0"/>
          <w:noProof/>
        </w:rPr>
        <w:t>+ T</w:t>
      </w:r>
      <w:r w:rsidRPr="007E2F91">
        <w:rPr>
          <w:rFonts w:eastAsiaTheme="minorEastAsia" w:cs="v4.2.0"/>
          <w:noProof/>
          <w:vertAlign w:val="subscript"/>
        </w:rPr>
        <w:t xml:space="preserve">SI-NR </w:t>
      </w:r>
      <w:r w:rsidRPr="007E2F91">
        <w:rPr>
          <w:rFonts w:eastAsiaTheme="minorEastAsia" w:cs="v4.2.0"/>
          <w:noProof/>
        </w:rPr>
        <w:t>+ T</w:t>
      </w:r>
      <w:r w:rsidRPr="007E2F91">
        <w:rPr>
          <w:rFonts w:eastAsiaTheme="minorEastAsia" w:cs="v4.2.0"/>
          <w:noProof/>
          <w:vertAlign w:val="subscript"/>
        </w:rPr>
        <w:t>RACH</w:t>
      </w:r>
      <w:r w:rsidRPr="007E2F91">
        <w:rPr>
          <w:rFonts w:eastAsiaTheme="minorEastAsia" w:cs="v4.2.0"/>
          <w:noProof/>
        </w:rPr>
        <w:t>,</w:t>
      </w:r>
    </w:p>
    <w:p w14:paraId="03BB85AC" w14:textId="77777777" w:rsidR="003A71DE" w:rsidRPr="007E2F91" w:rsidRDefault="003A71DE" w:rsidP="003A71DE">
      <w:pPr>
        <w:ind w:left="568" w:hanging="284"/>
        <w:rPr>
          <w:rFonts w:eastAsiaTheme="minorEastAsia"/>
        </w:rPr>
      </w:pPr>
      <w:r w:rsidRPr="007E2F91">
        <w:rPr>
          <w:rFonts w:eastAsiaTheme="minorEastAsia"/>
        </w:rPr>
        <w:t>where:</w:t>
      </w:r>
    </w:p>
    <w:p w14:paraId="4C03C45E"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 xml:space="preserve">RRC_procedure_delay </w:t>
      </w:r>
      <w:r w:rsidRPr="007E2F91">
        <w:rPr>
          <w:rFonts w:eastAsiaTheme="minorEastAsia"/>
        </w:rPr>
        <w:t>= 110 ms in the test.</w:t>
      </w:r>
    </w:p>
    <w:p w14:paraId="47911C6B"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identify-NR</w:t>
      </w:r>
      <w:r w:rsidRPr="007E2F91">
        <w:rPr>
          <w:rFonts w:eastAsiaTheme="minorEastAsia"/>
        </w:rPr>
        <w:t xml:space="preserve"> = 5440 ms</w:t>
      </w:r>
      <w:r w:rsidRPr="007E2F91" w:rsidDel="00543ADA">
        <w:rPr>
          <w:rFonts w:eastAsiaTheme="minorEastAsia"/>
          <w:bCs/>
        </w:rPr>
        <w:t xml:space="preserve"> </w:t>
      </w:r>
      <w:r w:rsidRPr="007E2F91">
        <w:rPr>
          <w:rFonts w:eastAsiaTheme="minorEastAsia"/>
        </w:rPr>
        <w:t>in the test.</w:t>
      </w:r>
    </w:p>
    <w:p w14:paraId="24FC1FA5"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SI-NR</w:t>
      </w:r>
      <w:r w:rsidRPr="007E2F91">
        <w:rPr>
          <w:rFonts w:eastAsiaTheme="minorEastAsia"/>
        </w:rPr>
        <w:t xml:space="preserve"> = 1280 ms</w:t>
      </w:r>
      <w:r w:rsidRPr="007E2F91">
        <w:rPr>
          <w:rFonts w:eastAsiaTheme="minorEastAsia" w:hint="eastAsia"/>
          <w:lang w:eastAsia="zh-CN"/>
        </w:rPr>
        <w:t xml:space="preserve">, </w:t>
      </w:r>
      <w:r w:rsidRPr="007E2F91">
        <w:rPr>
          <w:rFonts w:eastAsiaTheme="minorEastAsia"/>
        </w:rPr>
        <w:t>it is the time required for receiving all the relevant system information.</w:t>
      </w:r>
    </w:p>
    <w:p w14:paraId="7756D08F"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RACH</w:t>
      </w:r>
      <w:r w:rsidRPr="007E2F91">
        <w:rPr>
          <w:rFonts w:eastAsiaTheme="minorEastAsia"/>
        </w:rPr>
        <w:t xml:space="preserve"> = 650 ms in the test.</w:t>
      </w:r>
    </w:p>
    <w:p w14:paraId="588BF310" w14:textId="77777777" w:rsidR="003A71DE" w:rsidRPr="007E2F91" w:rsidRDefault="003A71DE" w:rsidP="003A71DE">
      <w:pPr>
        <w:ind w:left="568" w:hanging="284"/>
        <w:rPr>
          <w:rFonts w:eastAsiaTheme="minorEastAsia"/>
        </w:rPr>
      </w:pPr>
      <w:r w:rsidRPr="007E2F91">
        <w:rPr>
          <w:rFonts w:eastAsiaTheme="minorEastAsia"/>
        </w:rPr>
        <w:t xml:space="preserve">This gives a total of 7480 ms. </w:t>
      </w:r>
    </w:p>
    <w:p w14:paraId="0BF8830F" w14:textId="77777777" w:rsidR="003A71DE" w:rsidRPr="007E2F91" w:rsidRDefault="003A71DE" w:rsidP="00BA0D24">
      <w:pPr>
        <w:pStyle w:val="H6"/>
        <w:rPr>
          <w:rFonts w:eastAsiaTheme="minorEastAsia"/>
        </w:rPr>
      </w:pPr>
      <w:r w:rsidRPr="007E2F91">
        <w:rPr>
          <w:rFonts w:eastAsiaTheme="minorEastAsia"/>
        </w:rPr>
        <w:t>G.2.1.1.</w:t>
      </w:r>
      <w:r>
        <w:rPr>
          <w:rFonts w:eastAsiaTheme="minorEastAsia"/>
        </w:rPr>
        <w:t>2</w:t>
      </w:r>
      <w:r w:rsidRPr="007E2F91">
        <w:rPr>
          <w:rFonts w:eastAsiaTheme="minorEastAsia"/>
        </w:rPr>
        <w:t>.2</w:t>
      </w:r>
      <w:r w:rsidRPr="007E2F91">
        <w:rPr>
          <w:rFonts w:eastAsiaTheme="minorEastAsia"/>
        </w:rPr>
        <w:tab/>
        <w:t>Redirection from NR in FR2 to NR in FR2</w:t>
      </w:r>
    </w:p>
    <w:p w14:paraId="57C88C8C" w14:textId="77777777" w:rsidR="003A71DE" w:rsidRPr="007E2F91" w:rsidRDefault="003A71DE" w:rsidP="00BA0D24">
      <w:pPr>
        <w:pStyle w:val="H6"/>
        <w:rPr>
          <w:rFonts w:eastAsiaTheme="minorEastAsia"/>
          <w:snapToGrid w:val="0"/>
        </w:rPr>
      </w:pPr>
      <w:r w:rsidRPr="007E2F91">
        <w:rPr>
          <w:rFonts w:eastAsiaTheme="minorEastAsia"/>
          <w:snapToGrid w:val="0"/>
        </w:rPr>
        <w:t>G.2.1.1.</w:t>
      </w:r>
      <w:r>
        <w:rPr>
          <w:rFonts w:eastAsiaTheme="minorEastAsia"/>
          <w:snapToGrid w:val="0"/>
        </w:rPr>
        <w:t>2</w:t>
      </w:r>
      <w:r w:rsidRPr="007E2F91">
        <w:rPr>
          <w:rFonts w:eastAsiaTheme="minorEastAsia"/>
          <w:snapToGrid w:val="0"/>
        </w:rPr>
        <w:t>.2.1</w:t>
      </w:r>
      <w:r w:rsidRPr="007E2F91">
        <w:rPr>
          <w:rFonts w:eastAsiaTheme="minorEastAsia"/>
          <w:snapToGrid w:val="0"/>
        </w:rPr>
        <w:tab/>
        <w:t>Test Purpose and Environment</w:t>
      </w:r>
    </w:p>
    <w:p w14:paraId="43C4B63E" w14:textId="77777777" w:rsidR="003A71DE" w:rsidRPr="007E2F91" w:rsidRDefault="003A71DE" w:rsidP="003A71DE">
      <w:pPr>
        <w:rPr>
          <w:rFonts w:eastAsiaTheme="minorEastAsia" w:cs="v4.2.0"/>
        </w:rPr>
      </w:pPr>
      <w:r w:rsidRPr="007E2F91">
        <w:rPr>
          <w:rFonts w:eastAsiaTheme="minorEastAsia" w:cs="v4.2.0"/>
        </w:rPr>
        <w:t>This test is to verify RRC connection release with redirection from NR to NR requirements specified in clause 12.1.1.3.</w:t>
      </w:r>
    </w:p>
    <w:p w14:paraId="6C904B20" w14:textId="77777777" w:rsidR="003A71DE" w:rsidRPr="007E2F91" w:rsidRDefault="003A71DE" w:rsidP="00BA0D24">
      <w:pPr>
        <w:pStyle w:val="H6"/>
        <w:rPr>
          <w:rFonts w:eastAsiaTheme="minorEastAsia"/>
          <w:snapToGrid w:val="0"/>
        </w:rPr>
      </w:pP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snapToGrid w:val="0"/>
        </w:rPr>
        <w:tab/>
        <w:t>Test Parameters</w:t>
      </w:r>
    </w:p>
    <w:p w14:paraId="769F0C53" w14:textId="77777777" w:rsidR="003A71DE" w:rsidRPr="007E2F91" w:rsidRDefault="003A71DE" w:rsidP="003A71DE">
      <w:pPr>
        <w:rPr>
          <w:rFonts w:eastAsiaTheme="minorEastAsia"/>
        </w:rPr>
      </w:pPr>
      <w:r w:rsidRPr="007E2F91">
        <w:rPr>
          <w:rFonts w:eastAsiaTheme="minorEastAsia"/>
        </w:rPr>
        <w:t xml:space="preserve">Supported test configurations are shown in table </w:t>
      </w: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rPr>
        <w:t xml:space="preserve">-1. The time delay is tested by using the parameters in table </w:t>
      </w: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rPr>
        <w:t xml:space="preserve">-2, and </w:t>
      </w: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rPr>
        <w:t xml:space="preserve">-3. </w:t>
      </w:r>
    </w:p>
    <w:p w14:paraId="2EC0895A" w14:textId="1CF35F63" w:rsidR="003008E4" w:rsidRDefault="003008E4" w:rsidP="003008E4">
      <w:pPr>
        <w:rPr>
          <w:rFonts w:eastAsiaTheme="minorEastAsia"/>
        </w:rPr>
      </w:pPr>
      <w:r>
        <w:rPr>
          <w:rFonts w:eastAsiaTheme="minorEastAsia"/>
        </w:rPr>
        <w:t xml:space="preserve">The test consists of two successive time periods, with time duration of T1, and T2 respectively. The </w:t>
      </w:r>
      <w:r>
        <w:rPr>
          <w:rFonts w:eastAsiaTheme="minorEastAsia" w:hint="eastAsia"/>
          <w:i/>
          <w:lang w:eastAsia="zh-CN"/>
        </w:rPr>
        <w:t>RRCRelease</w:t>
      </w:r>
      <w:r>
        <w:rPr>
          <w:rFonts w:eastAsiaTheme="minorEastAsia"/>
        </w:rPr>
        <w:t xml:space="preserve"> message shall be sent to the IAB-MT during period T1 and the start of T2 is the instant when the last TTI containing the RRC message is sent to the </w:t>
      </w:r>
      <w:r>
        <w:rPr>
          <w:rFonts w:eastAsiaTheme="minorEastAsia" w:hint="eastAsia"/>
          <w:lang w:val="en-US" w:eastAsia="zh-CN"/>
        </w:rPr>
        <w:t>IAB-MT</w:t>
      </w:r>
      <w:r>
        <w:rPr>
          <w:rFonts w:eastAsiaTheme="minorEastAsia"/>
        </w:rPr>
        <w:t>. Prior to time duration T2, the IAB-MT shall not have any timing information of Cell 2. Cell 2 is powered up at the beginning of the T2.</w:t>
      </w:r>
    </w:p>
    <w:p w14:paraId="3961B716" w14:textId="77777777" w:rsidR="003A71DE" w:rsidRPr="007E2F91" w:rsidRDefault="003A71DE" w:rsidP="00BA0D24">
      <w:pPr>
        <w:pStyle w:val="TH"/>
        <w:rPr>
          <w:rFonts w:eastAsiaTheme="minorEastAsia"/>
        </w:rPr>
      </w:pPr>
      <w:r w:rsidRPr="007E2F91">
        <w:rPr>
          <w:rFonts w:eastAsiaTheme="minorEastAsia"/>
        </w:rPr>
        <w:t xml:space="preserve">Table </w:t>
      </w: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rPr>
        <w:t xml:space="preserve">-1: </w:t>
      </w:r>
      <w:r w:rsidRPr="007E2F91">
        <w:rPr>
          <w:rFonts w:eastAsiaTheme="minorEastAsia"/>
          <w:snapToGrid w:val="0"/>
        </w:rPr>
        <w:t>Redirection</w:t>
      </w:r>
      <w:r w:rsidRPr="007E2F91">
        <w:rPr>
          <w:rFonts w:eastAsiaTheme="minorEastAsia"/>
        </w:rPr>
        <w:t xml:space="preserve"> from NR to NR</w:t>
      </w:r>
      <w:r w:rsidRPr="007E2F91">
        <w:rPr>
          <w:rFonts w:eastAsiaTheme="minorEastAsia"/>
          <w:snapToGrid w:val="0"/>
        </w:rPr>
        <w:t xml:space="preserve"> </w:t>
      </w:r>
      <w:r w:rsidRPr="007E2F91">
        <w:rPr>
          <w:rFonts w:eastAsiaTheme="minorEastAsia"/>
        </w:rPr>
        <w:t xml:space="preserve">test configurations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7299"/>
      </w:tblGrid>
      <w:tr w:rsidR="003A71DE" w:rsidRPr="007E2F91" w14:paraId="5C8F0D0B" w14:textId="77777777" w:rsidTr="003A71DE">
        <w:tc>
          <w:tcPr>
            <w:tcW w:w="2330" w:type="dxa"/>
            <w:shd w:val="clear" w:color="auto" w:fill="auto"/>
          </w:tcPr>
          <w:p w14:paraId="74B99F8E" w14:textId="77777777" w:rsidR="003A71DE" w:rsidRPr="007E2F91" w:rsidRDefault="003A71DE" w:rsidP="001A5D47">
            <w:pPr>
              <w:pStyle w:val="TAH"/>
              <w:rPr>
                <w:rFonts w:eastAsiaTheme="minorEastAsia"/>
              </w:rPr>
            </w:pPr>
            <w:r w:rsidRPr="007E2F91">
              <w:rPr>
                <w:rFonts w:eastAsiaTheme="minorEastAsia"/>
              </w:rPr>
              <w:t>Config</w:t>
            </w:r>
          </w:p>
        </w:tc>
        <w:tc>
          <w:tcPr>
            <w:tcW w:w="7299" w:type="dxa"/>
            <w:shd w:val="clear" w:color="auto" w:fill="auto"/>
          </w:tcPr>
          <w:p w14:paraId="102AFF41" w14:textId="77777777" w:rsidR="003A71DE" w:rsidRPr="007E2F91" w:rsidRDefault="003A71DE" w:rsidP="001A5D47">
            <w:pPr>
              <w:pStyle w:val="TAH"/>
              <w:rPr>
                <w:rFonts w:eastAsiaTheme="minorEastAsia"/>
              </w:rPr>
            </w:pPr>
            <w:r w:rsidRPr="007E2F91">
              <w:rPr>
                <w:rFonts w:eastAsiaTheme="minorEastAsia"/>
              </w:rPr>
              <w:t>Description</w:t>
            </w:r>
          </w:p>
        </w:tc>
      </w:tr>
      <w:tr w:rsidR="003A71DE" w:rsidRPr="007E2F91" w14:paraId="098CC1AA" w14:textId="77777777" w:rsidTr="003A71DE">
        <w:tc>
          <w:tcPr>
            <w:tcW w:w="2330" w:type="dxa"/>
            <w:shd w:val="clear" w:color="auto" w:fill="auto"/>
          </w:tcPr>
          <w:p w14:paraId="76F4542E" w14:textId="77777777" w:rsidR="003A71DE" w:rsidRPr="007E2F91" w:rsidRDefault="003A71DE" w:rsidP="001A5D47">
            <w:pPr>
              <w:pStyle w:val="TAL"/>
              <w:rPr>
                <w:rFonts w:eastAsiaTheme="minorEastAsia"/>
              </w:rPr>
            </w:pPr>
            <w:r w:rsidRPr="007E2F91">
              <w:rPr>
                <w:rFonts w:eastAsiaTheme="minorEastAsia"/>
              </w:rPr>
              <w:t>1</w:t>
            </w:r>
          </w:p>
        </w:tc>
        <w:tc>
          <w:tcPr>
            <w:tcW w:w="7299" w:type="dxa"/>
            <w:shd w:val="clear" w:color="auto" w:fill="auto"/>
          </w:tcPr>
          <w:p w14:paraId="164E6C37" w14:textId="77777777" w:rsidR="003A71DE" w:rsidRPr="007E2F91" w:rsidRDefault="003A71DE" w:rsidP="001A5D47">
            <w:pPr>
              <w:pStyle w:val="TAL"/>
              <w:rPr>
                <w:rFonts w:eastAsiaTheme="minorEastAsia"/>
              </w:rPr>
            </w:pPr>
            <w:r w:rsidRPr="007E2F91">
              <w:rPr>
                <w:rFonts w:eastAsiaTheme="minorEastAsia"/>
              </w:rPr>
              <w:t>Source cell: NR 120 kHz SSB SCS, TDD duplex mode</w:t>
            </w:r>
          </w:p>
          <w:p w14:paraId="599A2510" w14:textId="77777777" w:rsidR="003A71DE" w:rsidRPr="007E2F91" w:rsidRDefault="003A71DE" w:rsidP="001A5D47">
            <w:pPr>
              <w:pStyle w:val="TAL"/>
              <w:rPr>
                <w:rFonts w:eastAsiaTheme="minorEastAsia"/>
              </w:rPr>
            </w:pPr>
            <w:r w:rsidRPr="007E2F91">
              <w:rPr>
                <w:rFonts w:eastAsiaTheme="minorEastAsia"/>
              </w:rPr>
              <w:t>Target cell: NR 120 kHz SSB SCS, TDD duplex mode</w:t>
            </w:r>
          </w:p>
        </w:tc>
      </w:tr>
    </w:tbl>
    <w:p w14:paraId="77EE4AFB" w14:textId="77777777" w:rsidR="003A71DE" w:rsidRPr="002D3774" w:rsidRDefault="003A71DE" w:rsidP="003A71DE">
      <w:pPr>
        <w:rPr>
          <w:rFonts w:eastAsiaTheme="minorEastAsia"/>
          <w:lang w:val="en-US" w:eastAsia="zh-CN"/>
        </w:rPr>
      </w:pPr>
    </w:p>
    <w:p w14:paraId="0BBF702E" w14:textId="77777777" w:rsidR="003A71DE" w:rsidRPr="007E2F91" w:rsidRDefault="003A71DE" w:rsidP="00BA0D24">
      <w:pPr>
        <w:pStyle w:val="TH"/>
        <w:rPr>
          <w:rFonts w:eastAsiaTheme="minorEastAsia"/>
        </w:rPr>
      </w:pPr>
      <w:r w:rsidRPr="007E2F91">
        <w:rPr>
          <w:rFonts w:eastAsiaTheme="minorEastAsia"/>
        </w:rPr>
        <w:t xml:space="preserve">Table </w:t>
      </w: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rPr>
        <w:t>-2</w:t>
      </w:r>
      <w:r w:rsidRPr="007E2F91">
        <w:rPr>
          <w:rFonts w:eastAsiaTheme="minorEastAsia" w:cs="v4.2.0"/>
        </w:rPr>
        <w:t xml:space="preserve">: General test parameters for </w:t>
      </w:r>
      <w:r w:rsidRPr="007E2F91">
        <w:rPr>
          <w:rFonts w:eastAsiaTheme="minorEastAsia"/>
          <w:snapToGrid w:val="0"/>
        </w:rPr>
        <w:t>Redirection</w:t>
      </w:r>
      <w:r w:rsidRPr="007E2F91">
        <w:rPr>
          <w:rFonts w:eastAsiaTheme="minorEastAsia"/>
        </w:rPr>
        <w:t xml:space="preserve"> from NR to NR test case</w:t>
      </w:r>
    </w:p>
    <w:tbl>
      <w:tblPr>
        <w:tblW w:w="924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1588"/>
        <w:gridCol w:w="1701"/>
        <w:gridCol w:w="708"/>
        <w:gridCol w:w="2410"/>
        <w:gridCol w:w="2835"/>
      </w:tblGrid>
      <w:tr w:rsidR="003A71DE" w:rsidRPr="007E2F91" w14:paraId="2E676986" w14:textId="77777777" w:rsidTr="003A71DE">
        <w:trPr>
          <w:cantSplit/>
          <w:trHeight w:val="113"/>
          <w:jc w:val="center"/>
        </w:trPr>
        <w:tc>
          <w:tcPr>
            <w:tcW w:w="3289" w:type="dxa"/>
            <w:gridSpan w:val="2"/>
            <w:shd w:val="clear" w:color="auto" w:fill="auto"/>
          </w:tcPr>
          <w:p w14:paraId="4A3F44E4" w14:textId="77777777" w:rsidR="003A71DE" w:rsidRPr="007E2F91" w:rsidRDefault="003A71DE" w:rsidP="001A5D47">
            <w:pPr>
              <w:pStyle w:val="TAH"/>
              <w:rPr>
                <w:rFonts w:eastAsiaTheme="minorEastAsia"/>
              </w:rPr>
            </w:pPr>
            <w:r w:rsidRPr="007E2F91">
              <w:rPr>
                <w:rFonts w:eastAsiaTheme="minorEastAsia"/>
              </w:rPr>
              <w:t>Parameter</w:t>
            </w:r>
          </w:p>
        </w:tc>
        <w:tc>
          <w:tcPr>
            <w:tcW w:w="708" w:type="dxa"/>
            <w:shd w:val="clear" w:color="auto" w:fill="auto"/>
          </w:tcPr>
          <w:p w14:paraId="7842B0CC" w14:textId="77777777" w:rsidR="003A71DE" w:rsidRPr="007E2F91" w:rsidRDefault="003A71DE" w:rsidP="001A5D47">
            <w:pPr>
              <w:pStyle w:val="TAH"/>
              <w:rPr>
                <w:rFonts w:eastAsiaTheme="minorEastAsia"/>
              </w:rPr>
            </w:pPr>
            <w:r w:rsidRPr="007E2F91">
              <w:rPr>
                <w:rFonts w:eastAsiaTheme="minorEastAsia"/>
              </w:rPr>
              <w:t>Unit</w:t>
            </w:r>
          </w:p>
        </w:tc>
        <w:tc>
          <w:tcPr>
            <w:tcW w:w="2410" w:type="dxa"/>
            <w:shd w:val="clear" w:color="auto" w:fill="auto"/>
          </w:tcPr>
          <w:p w14:paraId="31857760" w14:textId="77777777" w:rsidR="003A71DE" w:rsidRPr="007E2F91" w:rsidRDefault="003A71DE" w:rsidP="001A5D47">
            <w:pPr>
              <w:pStyle w:val="TAH"/>
              <w:rPr>
                <w:rFonts w:eastAsiaTheme="minorEastAsia"/>
              </w:rPr>
            </w:pPr>
            <w:r w:rsidRPr="007E2F91">
              <w:rPr>
                <w:rFonts w:eastAsiaTheme="minorEastAsia"/>
              </w:rPr>
              <w:t>Value</w:t>
            </w:r>
          </w:p>
        </w:tc>
        <w:tc>
          <w:tcPr>
            <w:tcW w:w="2835" w:type="dxa"/>
            <w:shd w:val="clear" w:color="auto" w:fill="auto"/>
          </w:tcPr>
          <w:p w14:paraId="68415BB0" w14:textId="77777777" w:rsidR="003A71DE" w:rsidRPr="007E2F91" w:rsidRDefault="003A71DE" w:rsidP="001A5D47">
            <w:pPr>
              <w:pStyle w:val="TAH"/>
              <w:rPr>
                <w:rFonts w:eastAsiaTheme="minorEastAsia"/>
              </w:rPr>
            </w:pPr>
            <w:r w:rsidRPr="007E2F91">
              <w:rPr>
                <w:rFonts w:eastAsiaTheme="minorEastAsia"/>
              </w:rPr>
              <w:t>Comment</w:t>
            </w:r>
          </w:p>
        </w:tc>
      </w:tr>
      <w:tr w:rsidR="003A71DE" w:rsidRPr="007E2F91" w14:paraId="0B204112" w14:textId="77777777" w:rsidTr="003A71DE">
        <w:trPr>
          <w:cantSplit/>
          <w:trHeight w:val="113"/>
          <w:jc w:val="center"/>
        </w:trPr>
        <w:tc>
          <w:tcPr>
            <w:tcW w:w="1588" w:type="dxa"/>
            <w:vMerge w:val="restart"/>
            <w:shd w:val="clear" w:color="auto" w:fill="auto"/>
          </w:tcPr>
          <w:p w14:paraId="5047F373" w14:textId="77777777" w:rsidR="003A71DE" w:rsidRPr="007E2F91" w:rsidRDefault="003A71DE" w:rsidP="001A5D47">
            <w:pPr>
              <w:pStyle w:val="TAL"/>
              <w:rPr>
                <w:rFonts w:eastAsiaTheme="minorEastAsia"/>
              </w:rPr>
            </w:pPr>
            <w:r w:rsidRPr="007E2F91">
              <w:rPr>
                <w:rFonts w:eastAsiaTheme="minorEastAsia"/>
              </w:rPr>
              <w:t>Initial conditions</w:t>
            </w:r>
          </w:p>
        </w:tc>
        <w:tc>
          <w:tcPr>
            <w:tcW w:w="1701" w:type="dxa"/>
            <w:shd w:val="clear" w:color="auto" w:fill="auto"/>
          </w:tcPr>
          <w:p w14:paraId="73535E56" w14:textId="77777777" w:rsidR="003A71DE" w:rsidRPr="007E2F91" w:rsidRDefault="003A71DE" w:rsidP="001A5D47">
            <w:pPr>
              <w:pStyle w:val="TAL"/>
              <w:rPr>
                <w:rFonts w:eastAsiaTheme="minorEastAsia"/>
              </w:rPr>
            </w:pPr>
            <w:r w:rsidRPr="007E2F91">
              <w:rPr>
                <w:rFonts w:eastAsiaTheme="minorEastAsia"/>
              </w:rPr>
              <w:t>Active cell</w:t>
            </w:r>
          </w:p>
        </w:tc>
        <w:tc>
          <w:tcPr>
            <w:tcW w:w="708" w:type="dxa"/>
            <w:shd w:val="clear" w:color="auto" w:fill="auto"/>
          </w:tcPr>
          <w:p w14:paraId="60570818" w14:textId="77777777" w:rsidR="003A71DE" w:rsidRPr="007E2F91" w:rsidRDefault="003A71DE" w:rsidP="001A5D47">
            <w:pPr>
              <w:pStyle w:val="TAC"/>
              <w:rPr>
                <w:rFonts w:eastAsiaTheme="minorEastAsia"/>
              </w:rPr>
            </w:pPr>
          </w:p>
        </w:tc>
        <w:tc>
          <w:tcPr>
            <w:tcW w:w="2410" w:type="dxa"/>
            <w:shd w:val="clear" w:color="auto" w:fill="auto"/>
          </w:tcPr>
          <w:p w14:paraId="05DE6E7E" w14:textId="77777777" w:rsidR="003A71DE" w:rsidRPr="007E2F91" w:rsidRDefault="003A71DE" w:rsidP="001A5D47">
            <w:pPr>
              <w:pStyle w:val="TAC"/>
              <w:rPr>
                <w:rFonts w:eastAsiaTheme="minorEastAsia"/>
              </w:rPr>
            </w:pPr>
            <w:r w:rsidRPr="007E2F91">
              <w:rPr>
                <w:rFonts w:eastAsiaTheme="minorEastAsia"/>
              </w:rPr>
              <w:t>Cell 1</w:t>
            </w:r>
          </w:p>
        </w:tc>
        <w:tc>
          <w:tcPr>
            <w:tcW w:w="2835" w:type="dxa"/>
            <w:shd w:val="clear" w:color="auto" w:fill="auto"/>
          </w:tcPr>
          <w:p w14:paraId="41418F38" w14:textId="77777777" w:rsidR="003A71DE" w:rsidRPr="007E2F91" w:rsidRDefault="003A71DE" w:rsidP="001A5D47">
            <w:pPr>
              <w:pStyle w:val="TAC"/>
              <w:rPr>
                <w:rFonts w:eastAsiaTheme="minorEastAsia"/>
              </w:rPr>
            </w:pPr>
          </w:p>
        </w:tc>
      </w:tr>
      <w:tr w:rsidR="003A71DE" w:rsidRPr="007E2F91" w14:paraId="5BD476C8" w14:textId="77777777" w:rsidTr="003A71DE">
        <w:trPr>
          <w:cantSplit/>
          <w:trHeight w:val="113"/>
          <w:jc w:val="center"/>
        </w:trPr>
        <w:tc>
          <w:tcPr>
            <w:tcW w:w="1588" w:type="dxa"/>
            <w:vMerge/>
            <w:shd w:val="clear" w:color="auto" w:fill="auto"/>
          </w:tcPr>
          <w:p w14:paraId="6F6D0E54" w14:textId="77777777" w:rsidR="003A71DE" w:rsidRPr="007E2F91" w:rsidRDefault="003A71DE" w:rsidP="001A5D47">
            <w:pPr>
              <w:pStyle w:val="TAL"/>
              <w:rPr>
                <w:rFonts w:eastAsiaTheme="minorEastAsia"/>
              </w:rPr>
            </w:pPr>
          </w:p>
        </w:tc>
        <w:tc>
          <w:tcPr>
            <w:tcW w:w="1701" w:type="dxa"/>
            <w:shd w:val="clear" w:color="auto" w:fill="auto"/>
          </w:tcPr>
          <w:p w14:paraId="45CB8E99" w14:textId="77777777" w:rsidR="003A71DE" w:rsidRPr="007E2F91" w:rsidRDefault="003A71DE" w:rsidP="001A5D47">
            <w:pPr>
              <w:pStyle w:val="TAL"/>
              <w:rPr>
                <w:rFonts w:eastAsiaTheme="minorEastAsia"/>
              </w:rPr>
            </w:pPr>
            <w:r w:rsidRPr="007E2F91">
              <w:rPr>
                <w:rFonts w:eastAsiaTheme="minorEastAsia"/>
              </w:rPr>
              <w:t>Neighbouring cell</w:t>
            </w:r>
          </w:p>
        </w:tc>
        <w:tc>
          <w:tcPr>
            <w:tcW w:w="708" w:type="dxa"/>
            <w:shd w:val="clear" w:color="auto" w:fill="auto"/>
          </w:tcPr>
          <w:p w14:paraId="2D2A5495" w14:textId="77777777" w:rsidR="003A71DE" w:rsidRPr="007E2F91" w:rsidRDefault="003A71DE" w:rsidP="001A5D47">
            <w:pPr>
              <w:pStyle w:val="TAC"/>
              <w:rPr>
                <w:rFonts w:eastAsiaTheme="minorEastAsia"/>
              </w:rPr>
            </w:pPr>
          </w:p>
        </w:tc>
        <w:tc>
          <w:tcPr>
            <w:tcW w:w="2410" w:type="dxa"/>
            <w:shd w:val="clear" w:color="auto" w:fill="auto"/>
          </w:tcPr>
          <w:p w14:paraId="4BFB992B" w14:textId="77777777" w:rsidR="003A71DE" w:rsidRPr="007E2F91" w:rsidRDefault="003A71DE" w:rsidP="001A5D47">
            <w:pPr>
              <w:pStyle w:val="TAC"/>
              <w:rPr>
                <w:rFonts w:eastAsiaTheme="minorEastAsia"/>
              </w:rPr>
            </w:pPr>
            <w:r w:rsidRPr="007E2F91">
              <w:rPr>
                <w:rFonts w:eastAsiaTheme="minorEastAsia"/>
              </w:rPr>
              <w:t>Cell 2</w:t>
            </w:r>
          </w:p>
        </w:tc>
        <w:tc>
          <w:tcPr>
            <w:tcW w:w="2835" w:type="dxa"/>
            <w:shd w:val="clear" w:color="auto" w:fill="auto"/>
          </w:tcPr>
          <w:p w14:paraId="0E2FD393" w14:textId="77777777" w:rsidR="003A71DE" w:rsidRPr="007E2F91" w:rsidRDefault="003A71DE" w:rsidP="001A5D47">
            <w:pPr>
              <w:pStyle w:val="TAC"/>
              <w:rPr>
                <w:rFonts w:eastAsiaTheme="minorEastAsia"/>
              </w:rPr>
            </w:pPr>
          </w:p>
        </w:tc>
      </w:tr>
      <w:tr w:rsidR="003A71DE" w:rsidRPr="007E2F91" w14:paraId="64AF1B95" w14:textId="77777777" w:rsidTr="003A71DE">
        <w:trPr>
          <w:cantSplit/>
          <w:trHeight w:val="113"/>
          <w:jc w:val="center"/>
        </w:trPr>
        <w:tc>
          <w:tcPr>
            <w:tcW w:w="1588" w:type="dxa"/>
            <w:shd w:val="clear" w:color="auto" w:fill="auto"/>
          </w:tcPr>
          <w:p w14:paraId="00DDC255" w14:textId="77777777" w:rsidR="003A71DE" w:rsidRPr="007E2F91" w:rsidRDefault="003A71DE" w:rsidP="001A5D47">
            <w:pPr>
              <w:pStyle w:val="TAL"/>
              <w:rPr>
                <w:rFonts w:eastAsiaTheme="minorEastAsia"/>
              </w:rPr>
            </w:pPr>
            <w:r w:rsidRPr="007E2F91">
              <w:rPr>
                <w:rFonts w:eastAsiaTheme="minorEastAsia"/>
              </w:rPr>
              <w:t>Final condition</w:t>
            </w:r>
          </w:p>
        </w:tc>
        <w:tc>
          <w:tcPr>
            <w:tcW w:w="1701" w:type="dxa"/>
            <w:shd w:val="clear" w:color="auto" w:fill="auto"/>
          </w:tcPr>
          <w:p w14:paraId="5674EB07" w14:textId="77777777" w:rsidR="003A71DE" w:rsidRPr="007E2F91" w:rsidRDefault="003A71DE" w:rsidP="001A5D47">
            <w:pPr>
              <w:pStyle w:val="TAL"/>
              <w:rPr>
                <w:rFonts w:eastAsiaTheme="minorEastAsia"/>
              </w:rPr>
            </w:pPr>
            <w:r w:rsidRPr="007E2F91">
              <w:rPr>
                <w:rFonts w:eastAsiaTheme="minorEastAsia"/>
              </w:rPr>
              <w:t>Active cell</w:t>
            </w:r>
          </w:p>
        </w:tc>
        <w:tc>
          <w:tcPr>
            <w:tcW w:w="708" w:type="dxa"/>
            <w:shd w:val="clear" w:color="auto" w:fill="auto"/>
          </w:tcPr>
          <w:p w14:paraId="5E695591" w14:textId="77777777" w:rsidR="003A71DE" w:rsidRPr="007E2F91" w:rsidRDefault="003A71DE" w:rsidP="001A5D47">
            <w:pPr>
              <w:pStyle w:val="TAC"/>
              <w:rPr>
                <w:rFonts w:eastAsiaTheme="minorEastAsia"/>
              </w:rPr>
            </w:pPr>
          </w:p>
        </w:tc>
        <w:tc>
          <w:tcPr>
            <w:tcW w:w="2410" w:type="dxa"/>
            <w:shd w:val="clear" w:color="auto" w:fill="auto"/>
          </w:tcPr>
          <w:p w14:paraId="0A0481CF" w14:textId="77777777" w:rsidR="003A71DE" w:rsidRPr="007E2F91" w:rsidRDefault="003A71DE" w:rsidP="001A5D47">
            <w:pPr>
              <w:pStyle w:val="TAC"/>
              <w:rPr>
                <w:rFonts w:eastAsiaTheme="minorEastAsia"/>
              </w:rPr>
            </w:pPr>
            <w:r w:rsidRPr="007E2F91">
              <w:rPr>
                <w:rFonts w:eastAsiaTheme="minorEastAsia"/>
              </w:rPr>
              <w:t>Cell 2</w:t>
            </w:r>
          </w:p>
        </w:tc>
        <w:tc>
          <w:tcPr>
            <w:tcW w:w="2835" w:type="dxa"/>
            <w:shd w:val="clear" w:color="auto" w:fill="auto"/>
          </w:tcPr>
          <w:p w14:paraId="69F4856A" w14:textId="77777777" w:rsidR="003A71DE" w:rsidRPr="007E2F91" w:rsidRDefault="003A71DE" w:rsidP="001A5D47">
            <w:pPr>
              <w:pStyle w:val="TAC"/>
              <w:rPr>
                <w:rFonts w:eastAsiaTheme="minorEastAsia"/>
              </w:rPr>
            </w:pPr>
          </w:p>
        </w:tc>
      </w:tr>
      <w:tr w:rsidR="003A71DE" w:rsidRPr="007E2F91" w14:paraId="089C54A0" w14:textId="77777777" w:rsidTr="003A71DE">
        <w:trPr>
          <w:cantSplit/>
          <w:trHeight w:val="113"/>
          <w:jc w:val="center"/>
        </w:trPr>
        <w:tc>
          <w:tcPr>
            <w:tcW w:w="3289" w:type="dxa"/>
            <w:gridSpan w:val="2"/>
            <w:shd w:val="clear" w:color="auto" w:fill="auto"/>
          </w:tcPr>
          <w:p w14:paraId="2CC2086F" w14:textId="77777777" w:rsidR="003A71DE" w:rsidRPr="007E2F91" w:rsidRDefault="003A71DE" w:rsidP="001A5D47">
            <w:pPr>
              <w:pStyle w:val="TAL"/>
              <w:rPr>
                <w:rFonts w:eastAsiaTheme="minorEastAsia"/>
              </w:rPr>
            </w:pPr>
            <w:r w:rsidRPr="007E2F91">
              <w:rPr>
                <w:rFonts w:eastAsiaTheme="minorEastAsia"/>
              </w:rPr>
              <w:t>Filter coefficient</w:t>
            </w:r>
          </w:p>
        </w:tc>
        <w:tc>
          <w:tcPr>
            <w:tcW w:w="708" w:type="dxa"/>
            <w:shd w:val="clear" w:color="auto" w:fill="auto"/>
          </w:tcPr>
          <w:p w14:paraId="2ACA53FB" w14:textId="77777777" w:rsidR="003A71DE" w:rsidRPr="007E2F91" w:rsidRDefault="003A71DE" w:rsidP="001A5D47">
            <w:pPr>
              <w:pStyle w:val="TAC"/>
              <w:rPr>
                <w:rFonts w:eastAsiaTheme="minorEastAsia"/>
              </w:rPr>
            </w:pPr>
          </w:p>
        </w:tc>
        <w:tc>
          <w:tcPr>
            <w:tcW w:w="2410" w:type="dxa"/>
            <w:shd w:val="clear" w:color="auto" w:fill="auto"/>
          </w:tcPr>
          <w:p w14:paraId="2F048CDE" w14:textId="77777777" w:rsidR="003A71DE" w:rsidRPr="007E2F91" w:rsidRDefault="003A71DE" w:rsidP="001A5D47">
            <w:pPr>
              <w:pStyle w:val="TAC"/>
              <w:rPr>
                <w:rFonts w:eastAsiaTheme="minorEastAsia"/>
              </w:rPr>
            </w:pPr>
            <w:r w:rsidRPr="007E2F91">
              <w:rPr>
                <w:rFonts w:eastAsiaTheme="minorEastAsia"/>
              </w:rPr>
              <w:t>0</w:t>
            </w:r>
          </w:p>
        </w:tc>
        <w:tc>
          <w:tcPr>
            <w:tcW w:w="2835" w:type="dxa"/>
            <w:shd w:val="clear" w:color="auto" w:fill="auto"/>
          </w:tcPr>
          <w:p w14:paraId="5C9CDB77" w14:textId="77777777" w:rsidR="003A71DE" w:rsidRPr="007E2F91" w:rsidRDefault="003A71DE" w:rsidP="001A5D47">
            <w:pPr>
              <w:pStyle w:val="TAC"/>
              <w:rPr>
                <w:rFonts w:eastAsiaTheme="minorEastAsia"/>
              </w:rPr>
            </w:pPr>
            <w:r w:rsidRPr="007E2F91">
              <w:rPr>
                <w:rFonts w:eastAsiaTheme="minorEastAsia"/>
              </w:rPr>
              <w:t>L3 filtering is not used</w:t>
            </w:r>
          </w:p>
        </w:tc>
      </w:tr>
      <w:tr w:rsidR="003A71DE" w:rsidRPr="007E2F91" w14:paraId="529C2270" w14:textId="77777777" w:rsidTr="003A71DE">
        <w:trPr>
          <w:cantSplit/>
          <w:trHeight w:val="113"/>
          <w:jc w:val="center"/>
        </w:trPr>
        <w:tc>
          <w:tcPr>
            <w:tcW w:w="3289" w:type="dxa"/>
            <w:gridSpan w:val="2"/>
            <w:shd w:val="clear" w:color="auto" w:fill="auto"/>
          </w:tcPr>
          <w:p w14:paraId="70674348" w14:textId="77777777" w:rsidR="003A71DE" w:rsidRPr="007E2F91" w:rsidRDefault="003A71DE" w:rsidP="001A5D47">
            <w:pPr>
              <w:pStyle w:val="TAL"/>
              <w:rPr>
                <w:rFonts w:eastAsiaTheme="minorEastAsia"/>
              </w:rPr>
            </w:pPr>
            <w:r w:rsidRPr="007E2F91">
              <w:rPr>
                <w:rFonts w:eastAsiaTheme="minorEastAsia"/>
              </w:rPr>
              <w:t>Access Barring Information</w:t>
            </w:r>
          </w:p>
        </w:tc>
        <w:tc>
          <w:tcPr>
            <w:tcW w:w="708" w:type="dxa"/>
            <w:shd w:val="clear" w:color="auto" w:fill="auto"/>
          </w:tcPr>
          <w:p w14:paraId="448D1419" w14:textId="77777777" w:rsidR="003A71DE" w:rsidRPr="007E2F91" w:rsidRDefault="003A71DE" w:rsidP="001A5D47">
            <w:pPr>
              <w:pStyle w:val="TAC"/>
              <w:rPr>
                <w:rFonts w:eastAsiaTheme="minorEastAsia"/>
              </w:rPr>
            </w:pPr>
            <w:r w:rsidRPr="007E2F91">
              <w:rPr>
                <w:rFonts w:eastAsiaTheme="minorEastAsia"/>
              </w:rPr>
              <w:t>-</w:t>
            </w:r>
          </w:p>
        </w:tc>
        <w:tc>
          <w:tcPr>
            <w:tcW w:w="2410" w:type="dxa"/>
            <w:shd w:val="clear" w:color="auto" w:fill="auto"/>
          </w:tcPr>
          <w:p w14:paraId="7348CF22" w14:textId="77777777" w:rsidR="003A71DE" w:rsidRPr="007E2F91" w:rsidRDefault="003A71DE" w:rsidP="001A5D47">
            <w:pPr>
              <w:pStyle w:val="TAC"/>
              <w:rPr>
                <w:rFonts w:eastAsiaTheme="minorEastAsia"/>
              </w:rPr>
            </w:pPr>
            <w:r w:rsidRPr="007E2F91">
              <w:rPr>
                <w:rFonts w:eastAsiaTheme="minorEastAsia"/>
              </w:rPr>
              <w:t>Not Sent</w:t>
            </w:r>
          </w:p>
        </w:tc>
        <w:tc>
          <w:tcPr>
            <w:tcW w:w="2835" w:type="dxa"/>
            <w:shd w:val="clear" w:color="auto" w:fill="auto"/>
          </w:tcPr>
          <w:p w14:paraId="4B3F3334" w14:textId="77777777" w:rsidR="003A71DE" w:rsidRPr="007E2F91" w:rsidRDefault="003A71DE" w:rsidP="001A5D47">
            <w:pPr>
              <w:pStyle w:val="TAC"/>
              <w:rPr>
                <w:rFonts w:eastAsiaTheme="minorEastAsia"/>
              </w:rPr>
            </w:pPr>
            <w:r w:rsidRPr="007E2F91">
              <w:rPr>
                <w:rFonts w:eastAsiaTheme="minorEastAsia"/>
              </w:rPr>
              <w:t>No additional delays in random access procedure.</w:t>
            </w:r>
          </w:p>
        </w:tc>
      </w:tr>
      <w:tr w:rsidR="003A71DE" w:rsidRPr="007E2F91" w14:paraId="2A9F5CBB" w14:textId="77777777" w:rsidTr="003A71DE">
        <w:trPr>
          <w:cantSplit/>
          <w:trHeight w:val="113"/>
          <w:jc w:val="center"/>
        </w:trPr>
        <w:tc>
          <w:tcPr>
            <w:tcW w:w="3289" w:type="dxa"/>
            <w:gridSpan w:val="2"/>
            <w:shd w:val="clear" w:color="auto" w:fill="auto"/>
          </w:tcPr>
          <w:p w14:paraId="4AE206A4" w14:textId="77777777" w:rsidR="003A71DE" w:rsidRPr="007E2F91" w:rsidRDefault="003A71DE" w:rsidP="001A5D47">
            <w:pPr>
              <w:pStyle w:val="TAL"/>
              <w:rPr>
                <w:rFonts w:eastAsiaTheme="minorEastAsia"/>
              </w:rPr>
            </w:pPr>
            <w:r w:rsidRPr="007E2F91">
              <w:rPr>
                <w:rFonts w:eastAsiaTheme="minorEastAsia"/>
              </w:rPr>
              <w:t>Time offset between cells</w:t>
            </w:r>
          </w:p>
        </w:tc>
        <w:tc>
          <w:tcPr>
            <w:tcW w:w="708" w:type="dxa"/>
            <w:shd w:val="clear" w:color="auto" w:fill="auto"/>
          </w:tcPr>
          <w:p w14:paraId="5C25A741" w14:textId="77777777" w:rsidR="003A71DE" w:rsidRPr="007E2F91" w:rsidRDefault="003A71DE" w:rsidP="001A5D47">
            <w:pPr>
              <w:pStyle w:val="TAC"/>
              <w:rPr>
                <w:rFonts w:eastAsiaTheme="minorEastAsia"/>
              </w:rPr>
            </w:pPr>
          </w:p>
        </w:tc>
        <w:tc>
          <w:tcPr>
            <w:tcW w:w="2410" w:type="dxa"/>
            <w:shd w:val="clear" w:color="auto" w:fill="auto"/>
          </w:tcPr>
          <w:p w14:paraId="2B8E551C" w14:textId="77777777" w:rsidR="003A71DE" w:rsidRPr="007E2F91" w:rsidRDefault="003A71DE" w:rsidP="001A5D47">
            <w:pPr>
              <w:pStyle w:val="TAC"/>
              <w:rPr>
                <w:rFonts w:eastAsiaTheme="minorEastAsia"/>
              </w:rPr>
            </w:pPr>
            <w:r w:rsidRPr="007E2F91">
              <w:rPr>
                <w:rFonts w:eastAsiaTheme="minorEastAsia"/>
              </w:rPr>
              <w:t xml:space="preserve">3 </w:t>
            </w:r>
            <w:r w:rsidRPr="007E2F91">
              <w:rPr>
                <w:rFonts w:eastAsiaTheme="minorEastAsia"/>
              </w:rPr>
              <w:sym w:font="Symbol" w:char="F06D"/>
            </w:r>
            <w:r w:rsidRPr="007E2F91">
              <w:rPr>
                <w:rFonts w:eastAsiaTheme="minorEastAsia"/>
              </w:rPr>
              <w:t>s</w:t>
            </w:r>
          </w:p>
        </w:tc>
        <w:tc>
          <w:tcPr>
            <w:tcW w:w="2835" w:type="dxa"/>
            <w:shd w:val="clear" w:color="auto" w:fill="auto"/>
          </w:tcPr>
          <w:p w14:paraId="0E63ED9D" w14:textId="77777777" w:rsidR="003A71DE" w:rsidRPr="007E2F91" w:rsidRDefault="003A71DE" w:rsidP="001A5D47">
            <w:pPr>
              <w:pStyle w:val="TAC"/>
              <w:rPr>
                <w:rFonts w:eastAsiaTheme="minorEastAsia"/>
              </w:rPr>
            </w:pPr>
            <w:r w:rsidRPr="007E2F91">
              <w:rPr>
                <w:rFonts w:eastAsiaTheme="minorEastAsia"/>
              </w:rPr>
              <w:t>Synchronous cells</w:t>
            </w:r>
          </w:p>
        </w:tc>
      </w:tr>
      <w:tr w:rsidR="003A71DE" w:rsidRPr="007E2F91" w14:paraId="235C9EC7" w14:textId="77777777" w:rsidTr="003A71DE">
        <w:trPr>
          <w:cantSplit/>
          <w:trHeight w:val="113"/>
          <w:jc w:val="center"/>
        </w:trPr>
        <w:tc>
          <w:tcPr>
            <w:tcW w:w="3289" w:type="dxa"/>
            <w:gridSpan w:val="2"/>
            <w:shd w:val="clear" w:color="auto" w:fill="auto"/>
          </w:tcPr>
          <w:p w14:paraId="3EB52A5B" w14:textId="77777777" w:rsidR="003A71DE" w:rsidRPr="007E2F91" w:rsidRDefault="003A71DE" w:rsidP="001A5D47">
            <w:pPr>
              <w:pStyle w:val="TAL"/>
              <w:rPr>
                <w:rFonts w:eastAsiaTheme="minorEastAsia"/>
              </w:rPr>
            </w:pPr>
            <w:r w:rsidRPr="007E2F91">
              <w:rPr>
                <w:rFonts w:eastAsiaTheme="minorEastAsia"/>
              </w:rPr>
              <w:t>T1</w:t>
            </w:r>
          </w:p>
        </w:tc>
        <w:tc>
          <w:tcPr>
            <w:tcW w:w="708" w:type="dxa"/>
            <w:shd w:val="clear" w:color="auto" w:fill="auto"/>
          </w:tcPr>
          <w:p w14:paraId="4726B648" w14:textId="77777777" w:rsidR="003A71DE" w:rsidRPr="007E2F91" w:rsidRDefault="003A71DE" w:rsidP="001A5D47">
            <w:pPr>
              <w:pStyle w:val="TAC"/>
              <w:rPr>
                <w:rFonts w:eastAsiaTheme="minorEastAsia"/>
              </w:rPr>
            </w:pPr>
            <w:r w:rsidRPr="007E2F91">
              <w:rPr>
                <w:rFonts w:eastAsiaTheme="minorEastAsia"/>
              </w:rPr>
              <w:t>s</w:t>
            </w:r>
          </w:p>
        </w:tc>
        <w:tc>
          <w:tcPr>
            <w:tcW w:w="2410" w:type="dxa"/>
            <w:shd w:val="clear" w:color="auto" w:fill="auto"/>
          </w:tcPr>
          <w:p w14:paraId="332BBE1A" w14:textId="77777777" w:rsidR="003A71DE" w:rsidRPr="007E2F91" w:rsidRDefault="003A71DE" w:rsidP="001A5D47">
            <w:pPr>
              <w:pStyle w:val="TAC"/>
              <w:rPr>
                <w:rFonts w:eastAsiaTheme="minorEastAsia"/>
              </w:rPr>
            </w:pPr>
            <w:r w:rsidRPr="007E2F91">
              <w:rPr>
                <w:rFonts w:eastAsiaTheme="minorEastAsia"/>
              </w:rPr>
              <w:t>5</w:t>
            </w:r>
          </w:p>
        </w:tc>
        <w:tc>
          <w:tcPr>
            <w:tcW w:w="2835" w:type="dxa"/>
            <w:shd w:val="clear" w:color="auto" w:fill="auto"/>
          </w:tcPr>
          <w:p w14:paraId="3028AC09" w14:textId="77777777" w:rsidR="003A71DE" w:rsidRPr="007E2F91" w:rsidRDefault="003A71DE" w:rsidP="001A5D47">
            <w:pPr>
              <w:pStyle w:val="TAC"/>
              <w:rPr>
                <w:rFonts w:eastAsiaTheme="minorEastAsia"/>
              </w:rPr>
            </w:pPr>
          </w:p>
        </w:tc>
      </w:tr>
      <w:tr w:rsidR="003A71DE" w:rsidRPr="007E2F91" w14:paraId="24B5A853" w14:textId="77777777" w:rsidTr="003A71DE">
        <w:trPr>
          <w:cantSplit/>
          <w:trHeight w:val="113"/>
          <w:jc w:val="center"/>
        </w:trPr>
        <w:tc>
          <w:tcPr>
            <w:tcW w:w="3289" w:type="dxa"/>
            <w:gridSpan w:val="2"/>
            <w:shd w:val="clear" w:color="auto" w:fill="auto"/>
          </w:tcPr>
          <w:p w14:paraId="3343F30A" w14:textId="77777777" w:rsidR="003A71DE" w:rsidRPr="007E2F91" w:rsidRDefault="003A71DE" w:rsidP="001A5D47">
            <w:pPr>
              <w:pStyle w:val="TAL"/>
              <w:rPr>
                <w:rFonts w:eastAsiaTheme="minorEastAsia"/>
              </w:rPr>
            </w:pPr>
            <w:r w:rsidRPr="007E2F91">
              <w:rPr>
                <w:rFonts w:eastAsiaTheme="minorEastAsia"/>
              </w:rPr>
              <w:t>T2</w:t>
            </w:r>
          </w:p>
        </w:tc>
        <w:tc>
          <w:tcPr>
            <w:tcW w:w="708" w:type="dxa"/>
            <w:shd w:val="clear" w:color="auto" w:fill="auto"/>
          </w:tcPr>
          <w:p w14:paraId="50CF89B1" w14:textId="77777777" w:rsidR="003A71DE" w:rsidRPr="007E2F91" w:rsidRDefault="003A71DE" w:rsidP="001A5D47">
            <w:pPr>
              <w:pStyle w:val="TAC"/>
              <w:rPr>
                <w:rFonts w:eastAsiaTheme="minorEastAsia"/>
              </w:rPr>
            </w:pPr>
            <w:r w:rsidRPr="007E2F91">
              <w:rPr>
                <w:rFonts w:eastAsiaTheme="minorEastAsia"/>
              </w:rPr>
              <w:t>s</w:t>
            </w:r>
          </w:p>
        </w:tc>
        <w:tc>
          <w:tcPr>
            <w:tcW w:w="2410" w:type="dxa"/>
            <w:shd w:val="clear" w:color="auto" w:fill="auto"/>
          </w:tcPr>
          <w:p w14:paraId="44E23AF2" w14:textId="77777777" w:rsidR="003A71DE" w:rsidRPr="007E2F91" w:rsidRDefault="003A71DE" w:rsidP="001A5D47">
            <w:pPr>
              <w:pStyle w:val="TAC"/>
              <w:rPr>
                <w:rFonts w:eastAsiaTheme="minorEastAsia"/>
              </w:rPr>
            </w:pPr>
            <w:r w:rsidRPr="007E2F91">
              <w:rPr>
                <w:rFonts w:eastAsiaTheme="minorEastAsia"/>
              </w:rPr>
              <w:t>10</w:t>
            </w:r>
          </w:p>
        </w:tc>
        <w:tc>
          <w:tcPr>
            <w:tcW w:w="2835" w:type="dxa"/>
            <w:shd w:val="clear" w:color="auto" w:fill="auto"/>
          </w:tcPr>
          <w:p w14:paraId="35FC221E" w14:textId="77777777" w:rsidR="003A71DE" w:rsidRPr="007E2F91" w:rsidRDefault="003A71DE" w:rsidP="001A5D47">
            <w:pPr>
              <w:pStyle w:val="TAC"/>
              <w:rPr>
                <w:rFonts w:eastAsiaTheme="minorEastAsia"/>
              </w:rPr>
            </w:pPr>
          </w:p>
        </w:tc>
      </w:tr>
    </w:tbl>
    <w:p w14:paraId="6807404E" w14:textId="77777777" w:rsidR="003A71DE" w:rsidRDefault="003A71DE" w:rsidP="003A71DE">
      <w:pPr>
        <w:rPr>
          <w:rFonts w:eastAsiaTheme="minorEastAsia" w:cs="v4.2.0"/>
        </w:rPr>
      </w:pPr>
    </w:p>
    <w:p w14:paraId="086055C9" w14:textId="77777777" w:rsidR="003A71DE" w:rsidRPr="007E2F91" w:rsidRDefault="003A71DE" w:rsidP="00BA0D24">
      <w:pPr>
        <w:pStyle w:val="TH"/>
        <w:rPr>
          <w:rFonts w:eastAsiaTheme="minorEastAsia"/>
        </w:rPr>
      </w:pPr>
      <w:r w:rsidRPr="007E2F91">
        <w:rPr>
          <w:rFonts w:eastAsiaTheme="minorEastAsia"/>
        </w:rPr>
        <w:lastRenderedPageBreak/>
        <w:t xml:space="preserve">Table </w:t>
      </w:r>
      <w:r w:rsidRPr="007E2F91">
        <w:rPr>
          <w:rFonts w:eastAsiaTheme="minorEastAsia"/>
          <w:snapToGrid w:val="0"/>
        </w:rPr>
        <w:t>G.2.1.1.</w:t>
      </w:r>
      <w:r>
        <w:rPr>
          <w:rFonts w:eastAsiaTheme="minorEastAsia"/>
          <w:snapToGrid w:val="0"/>
        </w:rPr>
        <w:t>2</w:t>
      </w:r>
      <w:r w:rsidRPr="007E2F91">
        <w:rPr>
          <w:rFonts w:eastAsiaTheme="minorEastAsia"/>
          <w:snapToGrid w:val="0"/>
        </w:rPr>
        <w:t>.2.2</w:t>
      </w:r>
      <w:r w:rsidRPr="007E2F91">
        <w:rPr>
          <w:rFonts w:eastAsiaTheme="minorEastAsia"/>
        </w:rPr>
        <w:t>-3</w:t>
      </w:r>
      <w:r w:rsidRPr="007E2F91">
        <w:rPr>
          <w:rFonts w:eastAsiaTheme="minorEastAsia" w:cs="v4.2.0"/>
        </w:rPr>
        <w:t xml:space="preserve">: Cell specific test parameters for </w:t>
      </w:r>
      <w:r w:rsidRPr="007E2F91">
        <w:rPr>
          <w:rFonts w:eastAsiaTheme="minorEastAsia"/>
          <w:snapToGrid w:val="0"/>
        </w:rPr>
        <w:t>Redirection</w:t>
      </w:r>
      <w:r w:rsidRPr="007E2F91">
        <w:rPr>
          <w:rFonts w:eastAsiaTheme="minorEastAsia"/>
        </w:rPr>
        <w:t xml:space="preserve"> from NR to NR</w:t>
      </w:r>
      <w:r w:rsidRPr="007E2F91">
        <w:rPr>
          <w:rFonts w:eastAsiaTheme="minorEastAsia" w:cs="v4.2.0"/>
        </w:rPr>
        <w:t xml:space="preserve"> test case</w:t>
      </w:r>
    </w:p>
    <w:tbl>
      <w:tblPr>
        <w:tblW w:w="95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0"/>
        <w:gridCol w:w="932"/>
        <w:gridCol w:w="1903"/>
        <w:gridCol w:w="1134"/>
        <w:gridCol w:w="1163"/>
        <w:gridCol w:w="10"/>
        <w:gridCol w:w="1154"/>
        <w:gridCol w:w="19"/>
        <w:gridCol w:w="1145"/>
        <w:gridCol w:w="9"/>
        <w:gridCol w:w="1155"/>
      </w:tblGrid>
      <w:tr w:rsidR="003A71DE" w:rsidRPr="007E2F91" w14:paraId="0C2D598D" w14:textId="77777777" w:rsidTr="003A71DE">
        <w:trPr>
          <w:jc w:val="center"/>
        </w:trPr>
        <w:tc>
          <w:tcPr>
            <w:tcW w:w="3805" w:type="dxa"/>
            <w:gridSpan w:val="3"/>
            <w:vMerge w:val="restart"/>
            <w:tcBorders>
              <w:top w:val="single" w:sz="4" w:space="0" w:color="auto"/>
              <w:left w:val="single" w:sz="4" w:space="0" w:color="auto"/>
              <w:bottom w:val="single" w:sz="4" w:space="0" w:color="auto"/>
              <w:right w:val="single" w:sz="4" w:space="0" w:color="auto"/>
            </w:tcBorders>
            <w:vAlign w:val="center"/>
            <w:hideMark/>
          </w:tcPr>
          <w:p w14:paraId="72C7C5DA" w14:textId="77777777" w:rsidR="003A71DE" w:rsidRPr="007E2F91" w:rsidRDefault="003A71DE" w:rsidP="001A5D47">
            <w:pPr>
              <w:pStyle w:val="TAH"/>
              <w:rPr>
                <w:rFonts w:eastAsiaTheme="minorEastAsia"/>
                <w:lang w:val="en-US"/>
              </w:rPr>
            </w:pPr>
            <w:r w:rsidRPr="007E2F91">
              <w:rPr>
                <w:rFonts w:eastAsiaTheme="minorEastAsia"/>
                <w:lang w:val="en-US"/>
              </w:rPr>
              <w:t>Parameter</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74FE211F" w14:textId="77777777" w:rsidR="003A71DE" w:rsidRPr="007E2F91" w:rsidRDefault="003A71DE" w:rsidP="001A5D47">
            <w:pPr>
              <w:pStyle w:val="TAH"/>
              <w:rPr>
                <w:rFonts w:eastAsiaTheme="minorEastAsia"/>
                <w:lang w:val="en-US"/>
              </w:rPr>
            </w:pPr>
            <w:r w:rsidRPr="007E2F91">
              <w:rPr>
                <w:rFonts w:eastAsiaTheme="minorEastAsia"/>
                <w:lang w:val="en-US"/>
              </w:rPr>
              <w:t>Unit</w:t>
            </w:r>
          </w:p>
        </w:tc>
        <w:tc>
          <w:tcPr>
            <w:tcW w:w="2346" w:type="dxa"/>
            <w:gridSpan w:val="4"/>
            <w:tcBorders>
              <w:top w:val="single" w:sz="4" w:space="0" w:color="auto"/>
              <w:left w:val="single" w:sz="4" w:space="0" w:color="auto"/>
              <w:bottom w:val="single" w:sz="4" w:space="0" w:color="auto"/>
              <w:right w:val="single" w:sz="4" w:space="0" w:color="auto"/>
            </w:tcBorders>
            <w:vAlign w:val="center"/>
          </w:tcPr>
          <w:p w14:paraId="544995E0" w14:textId="77777777" w:rsidR="003A71DE" w:rsidRPr="007E2F91" w:rsidRDefault="003A71DE" w:rsidP="001A5D47">
            <w:pPr>
              <w:pStyle w:val="TAH"/>
              <w:rPr>
                <w:rFonts w:eastAsiaTheme="minorEastAsia"/>
                <w:lang w:val="en-US"/>
              </w:rPr>
            </w:pPr>
            <w:r w:rsidRPr="007E2F91">
              <w:rPr>
                <w:rFonts w:eastAsiaTheme="minorEastAsia"/>
                <w:lang w:val="en-US"/>
              </w:rPr>
              <w:t>Cell 1</w:t>
            </w:r>
          </w:p>
        </w:tc>
        <w:tc>
          <w:tcPr>
            <w:tcW w:w="2309" w:type="dxa"/>
            <w:gridSpan w:val="3"/>
            <w:tcBorders>
              <w:top w:val="single" w:sz="4" w:space="0" w:color="auto"/>
              <w:left w:val="single" w:sz="4" w:space="0" w:color="auto"/>
              <w:bottom w:val="single" w:sz="4" w:space="0" w:color="auto"/>
              <w:right w:val="single" w:sz="4" w:space="0" w:color="auto"/>
            </w:tcBorders>
            <w:vAlign w:val="center"/>
          </w:tcPr>
          <w:p w14:paraId="260796B5" w14:textId="77777777" w:rsidR="003A71DE" w:rsidRPr="007E2F91" w:rsidRDefault="003A71DE" w:rsidP="001A5D47">
            <w:pPr>
              <w:pStyle w:val="TAH"/>
              <w:rPr>
                <w:rFonts w:eastAsiaTheme="minorEastAsia"/>
                <w:lang w:val="en-US"/>
              </w:rPr>
            </w:pPr>
            <w:r w:rsidRPr="007E2F91">
              <w:rPr>
                <w:rFonts w:eastAsiaTheme="minorEastAsia"/>
                <w:lang w:val="en-US"/>
              </w:rPr>
              <w:t>Cell 2</w:t>
            </w:r>
          </w:p>
        </w:tc>
      </w:tr>
      <w:tr w:rsidR="003A71DE" w:rsidRPr="007E2F91" w14:paraId="755716A7" w14:textId="77777777" w:rsidTr="003A71DE">
        <w:trPr>
          <w:jc w:val="center"/>
        </w:trPr>
        <w:tc>
          <w:tcPr>
            <w:tcW w:w="3805" w:type="dxa"/>
            <w:gridSpan w:val="3"/>
            <w:vMerge/>
            <w:tcBorders>
              <w:top w:val="single" w:sz="4" w:space="0" w:color="auto"/>
              <w:left w:val="single" w:sz="4" w:space="0" w:color="auto"/>
              <w:bottom w:val="single" w:sz="4" w:space="0" w:color="auto"/>
              <w:right w:val="single" w:sz="4" w:space="0" w:color="auto"/>
            </w:tcBorders>
            <w:vAlign w:val="center"/>
            <w:hideMark/>
          </w:tcPr>
          <w:p w14:paraId="42D127C0" w14:textId="77777777" w:rsidR="003A71DE" w:rsidRPr="007E2F91" w:rsidRDefault="003A71DE" w:rsidP="001A5D47">
            <w:pPr>
              <w:pStyle w:val="TAH"/>
              <w:rPr>
                <w:rFonts w:eastAsia="Calibri"/>
                <w:lang w:val="en-US"/>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6CEECD0F" w14:textId="77777777" w:rsidR="003A71DE" w:rsidRPr="007E2F91" w:rsidRDefault="003A71DE" w:rsidP="001A5D47">
            <w:pPr>
              <w:pStyle w:val="TAH"/>
              <w:rPr>
                <w:rFonts w:eastAsia="Calibri"/>
                <w:lang w:val="en-US"/>
              </w:rPr>
            </w:pPr>
          </w:p>
        </w:tc>
        <w:tc>
          <w:tcPr>
            <w:tcW w:w="1173" w:type="dxa"/>
            <w:gridSpan w:val="2"/>
            <w:tcBorders>
              <w:top w:val="single" w:sz="4" w:space="0" w:color="auto"/>
              <w:left w:val="single" w:sz="4" w:space="0" w:color="auto"/>
              <w:bottom w:val="single" w:sz="4" w:space="0" w:color="auto"/>
              <w:right w:val="single" w:sz="4" w:space="0" w:color="auto"/>
            </w:tcBorders>
            <w:vAlign w:val="center"/>
            <w:hideMark/>
          </w:tcPr>
          <w:p w14:paraId="203DB043" w14:textId="77777777" w:rsidR="003A71DE" w:rsidRPr="007E2F91" w:rsidRDefault="003A71DE" w:rsidP="001A5D47">
            <w:pPr>
              <w:pStyle w:val="TAH"/>
              <w:rPr>
                <w:rFonts w:eastAsiaTheme="minorEastAsia"/>
                <w:lang w:val="en-US"/>
              </w:rPr>
            </w:pPr>
            <w:r w:rsidRPr="007E2F91">
              <w:rPr>
                <w:rFonts w:eastAsiaTheme="minorEastAsia"/>
                <w:lang w:val="en-US"/>
              </w:rPr>
              <w:t>T1</w:t>
            </w:r>
          </w:p>
        </w:tc>
        <w:tc>
          <w:tcPr>
            <w:tcW w:w="1173" w:type="dxa"/>
            <w:gridSpan w:val="2"/>
            <w:tcBorders>
              <w:top w:val="single" w:sz="4" w:space="0" w:color="auto"/>
              <w:left w:val="single" w:sz="4" w:space="0" w:color="auto"/>
              <w:bottom w:val="single" w:sz="4" w:space="0" w:color="auto"/>
              <w:right w:val="single" w:sz="4" w:space="0" w:color="auto"/>
            </w:tcBorders>
            <w:vAlign w:val="center"/>
          </w:tcPr>
          <w:p w14:paraId="799FBEE5" w14:textId="77777777" w:rsidR="003A71DE" w:rsidRPr="007E2F91" w:rsidRDefault="003A71DE" w:rsidP="001A5D47">
            <w:pPr>
              <w:pStyle w:val="TAH"/>
              <w:rPr>
                <w:rFonts w:eastAsiaTheme="minorEastAsia"/>
                <w:lang w:val="en-US"/>
              </w:rPr>
            </w:pPr>
            <w:r w:rsidRPr="007E2F91">
              <w:rPr>
                <w:rFonts w:eastAsiaTheme="minorEastAsia"/>
                <w:lang w:val="en-US"/>
              </w:rPr>
              <w:t>T2</w:t>
            </w:r>
          </w:p>
        </w:tc>
        <w:tc>
          <w:tcPr>
            <w:tcW w:w="1154" w:type="dxa"/>
            <w:gridSpan w:val="2"/>
            <w:tcBorders>
              <w:top w:val="single" w:sz="4" w:space="0" w:color="auto"/>
              <w:left w:val="single" w:sz="4" w:space="0" w:color="auto"/>
              <w:bottom w:val="single" w:sz="4" w:space="0" w:color="auto"/>
              <w:right w:val="single" w:sz="4" w:space="0" w:color="auto"/>
            </w:tcBorders>
            <w:vAlign w:val="center"/>
          </w:tcPr>
          <w:p w14:paraId="006B5F1E" w14:textId="77777777" w:rsidR="003A71DE" w:rsidRPr="007E2F91" w:rsidRDefault="003A71DE" w:rsidP="001A5D47">
            <w:pPr>
              <w:pStyle w:val="TAH"/>
              <w:rPr>
                <w:rFonts w:eastAsiaTheme="minorEastAsia"/>
                <w:lang w:val="en-US"/>
              </w:rPr>
            </w:pPr>
            <w:r w:rsidRPr="007E2F91">
              <w:rPr>
                <w:rFonts w:eastAsiaTheme="minorEastAsia"/>
                <w:lang w:val="en-US"/>
              </w:rPr>
              <w:t>T1</w:t>
            </w:r>
          </w:p>
        </w:tc>
        <w:tc>
          <w:tcPr>
            <w:tcW w:w="1155" w:type="dxa"/>
            <w:tcBorders>
              <w:top w:val="single" w:sz="4" w:space="0" w:color="auto"/>
              <w:left w:val="single" w:sz="4" w:space="0" w:color="auto"/>
              <w:bottom w:val="single" w:sz="4" w:space="0" w:color="auto"/>
              <w:right w:val="single" w:sz="4" w:space="0" w:color="auto"/>
            </w:tcBorders>
            <w:vAlign w:val="center"/>
          </w:tcPr>
          <w:p w14:paraId="322CA232" w14:textId="77777777" w:rsidR="003A71DE" w:rsidRPr="007E2F91" w:rsidRDefault="003A71DE" w:rsidP="001A5D47">
            <w:pPr>
              <w:pStyle w:val="TAH"/>
              <w:rPr>
                <w:rFonts w:eastAsiaTheme="minorEastAsia"/>
                <w:lang w:val="en-US"/>
              </w:rPr>
            </w:pPr>
            <w:r w:rsidRPr="007E2F91">
              <w:rPr>
                <w:rFonts w:eastAsiaTheme="minorEastAsia"/>
                <w:lang w:val="en-US"/>
              </w:rPr>
              <w:t>T2</w:t>
            </w:r>
          </w:p>
        </w:tc>
      </w:tr>
      <w:tr w:rsidR="003A71DE" w:rsidRPr="007E2F91" w14:paraId="469B2CCB"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vAlign w:val="center"/>
          </w:tcPr>
          <w:p w14:paraId="290CFCBE" w14:textId="77777777" w:rsidR="003A71DE" w:rsidRPr="007E2F91" w:rsidRDefault="003A71DE" w:rsidP="001A5D47">
            <w:pPr>
              <w:pStyle w:val="TAL"/>
              <w:rPr>
                <w:rFonts w:eastAsiaTheme="minorEastAsia"/>
                <w:lang w:val="en-US"/>
              </w:rPr>
            </w:pPr>
            <w:r w:rsidRPr="007E2F91">
              <w:rPr>
                <w:rFonts w:eastAsiaTheme="minorEastAsia"/>
                <w:lang w:val="en-US"/>
              </w:rPr>
              <w:t>AoA setup</w:t>
            </w:r>
          </w:p>
        </w:tc>
        <w:tc>
          <w:tcPr>
            <w:tcW w:w="1134" w:type="dxa"/>
            <w:tcBorders>
              <w:top w:val="single" w:sz="4" w:space="0" w:color="auto"/>
              <w:left w:val="single" w:sz="4" w:space="0" w:color="auto"/>
              <w:bottom w:val="single" w:sz="4" w:space="0" w:color="auto"/>
              <w:right w:val="single" w:sz="4" w:space="0" w:color="auto"/>
            </w:tcBorders>
            <w:vAlign w:val="center"/>
          </w:tcPr>
          <w:p w14:paraId="7248CED3" w14:textId="77777777" w:rsidR="003A71DE" w:rsidRPr="007E2F91" w:rsidRDefault="003A71DE" w:rsidP="001A5D47">
            <w:pPr>
              <w:pStyle w:val="TAC"/>
              <w:rPr>
                <w:rFonts w:eastAsiaTheme="minorEastAsia"/>
                <w:lang w:val="en-US"/>
              </w:rPr>
            </w:pPr>
          </w:p>
        </w:tc>
        <w:tc>
          <w:tcPr>
            <w:tcW w:w="4655" w:type="dxa"/>
            <w:gridSpan w:val="7"/>
            <w:tcBorders>
              <w:top w:val="single" w:sz="4" w:space="0" w:color="auto"/>
              <w:left w:val="single" w:sz="4" w:space="0" w:color="auto"/>
              <w:bottom w:val="single" w:sz="4" w:space="0" w:color="auto"/>
              <w:right w:val="single" w:sz="4" w:space="0" w:color="auto"/>
            </w:tcBorders>
          </w:tcPr>
          <w:p w14:paraId="6E3371A1" w14:textId="77777777" w:rsidR="003A71DE" w:rsidRPr="007E2F91" w:rsidRDefault="003A71DE" w:rsidP="001A5D47">
            <w:pPr>
              <w:pStyle w:val="TAC"/>
              <w:rPr>
                <w:rFonts w:eastAsiaTheme="minorEastAsia"/>
                <w:lang w:val="en-US" w:eastAsia="ja-JP"/>
              </w:rPr>
            </w:pPr>
            <w:r w:rsidRPr="007E2F91">
              <w:rPr>
                <w:rFonts w:eastAsiaTheme="minorEastAsia"/>
                <w:lang w:val="en-US"/>
              </w:rPr>
              <w:t>1 AoA as defined in G.1.8</w:t>
            </w:r>
          </w:p>
        </w:tc>
      </w:tr>
      <w:tr w:rsidR="003A71DE" w:rsidRPr="007E2F91" w14:paraId="51B6F25C"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vAlign w:val="center"/>
          </w:tcPr>
          <w:p w14:paraId="4A123299" w14:textId="77777777" w:rsidR="003A71DE" w:rsidRPr="007E2F91" w:rsidRDefault="003A71DE" w:rsidP="001A5D47">
            <w:pPr>
              <w:pStyle w:val="TAL"/>
              <w:rPr>
                <w:rFonts w:eastAsiaTheme="minorEastAsia"/>
                <w:lang w:val="en-US"/>
              </w:rPr>
            </w:pPr>
            <w:r w:rsidRPr="007E2F91">
              <w:rPr>
                <w:rFonts w:eastAsiaTheme="minorEastAsia"/>
                <w:lang w:val="en-US"/>
              </w:rPr>
              <w:t>NR RF Channel Number</w:t>
            </w:r>
          </w:p>
        </w:tc>
        <w:tc>
          <w:tcPr>
            <w:tcW w:w="1134" w:type="dxa"/>
            <w:tcBorders>
              <w:top w:val="single" w:sz="4" w:space="0" w:color="auto"/>
              <w:left w:val="single" w:sz="4" w:space="0" w:color="auto"/>
              <w:bottom w:val="single" w:sz="4" w:space="0" w:color="auto"/>
              <w:right w:val="single" w:sz="4" w:space="0" w:color="auto"/>
            </w:tcBorders>
            <w:vAlign w:val="center"/>
          </w:tcPr>
          <w:p w14:paraId="372C0308" w14:textId="77777777" w:rsidR="003A71DE" w:rsidRPr="007E2F91" w:rsidRDefault="003A71DE" w:rsidP="001A5D47">
            <w:pPr>
              <w:pStyle w:val="TAC"/>
              <w:rPr>
                <w:rFonts w:eastAsiaTheme="minorEastAsia"/>
                <w:lang w:val="en-US"/>
              </w:rPr>
            </w:pPr>
          </w:p>
        </w:tc>
        <w:tc>
          <w:tcPr>
            <w:tcW w:w="2346" w:type="dxa"/>
            <w:gridSpan w:val="4"/>
            <w:tcBorders>
              <w:top w:val="single" w:sz="4" w:space="0" w:color="auto"/>
              <w:left w:val="single" w:sz="4" w:space="0" w:color="auto"/>
              <w:bottom w:val="single" w:sz="4" w:space="0" w:color="auto"/>
              <w:right w:val="single" w:sz="4" w:space="0" w:color="auto"/>
            </w:tcBorders>
            <w:vAlign w:val="center"/>
          </w:tcPr>
          <w:p w14:paraId="2E7D0F84" w14:textId="77777777" w:rsidR="003A71DE" w:rsidRPr="007E2F91" w:rsidRDefault="003A71DE" w:rsidP="001A5D47">
            <w:pPr>
              <w:pStyle w:val="TAC"/>
              <w:rPr>
                <w:rFonts w:eastAsiaTheme="minorEastAsia"/>
                <w:lang w:val="en-US"/>
              </w:rPr>
            </w:pPr>
            <w:r w:rsidRPr="007E2F91">
              <w:rPr>
                <w:rFonts w:eastAsiaTheme="minorEastAsia"/>
                <w:lang w:val="en-US"/>
              </w:rPr>
              <w:t>1</w:t>
            </w:r>
          </w:p>
        </w:tc>
        <w:tc>
          <w:tcPr>
            <w:tcW w:w="2309" w:type="dxa"/>
            <w:gridSpan w:val="3"/>
            <w:tcBorders>
              <w:top w:val="single" w:sz="4" w:space="0" w:color="auto"/>
              <w:left w:val="single" w:sz="4" w:space="0" w:color="auto"/>
              <w:bottom w:val="single" w:sz="4" w:space="0" w:color="auto"/>
              <w:right w:val="single" w:sz="4" w:space="0" w:color="auto"/>
            </w:tcBorders>
            <w:vAlign w:val="center"/>
          </w:tcPr>
          <w:p w14:paraId="0EC90AFB" w14:textId="77777777" w:rsidR="003A71DE" w:rsidRPr="007E2F91" w:rsidRDefault="003A71DE" w:rsidP="001A5D47">
            <w:pPr>
              <w:pStyle w:val="TAC"/>
              <w:rPr>
                <w:rFonts w:eastAsiaTheme="minorEastAsia"/>
                <w:lang w:val="en-US"/>
              </w:rPr>
            </w:pPr>
            <w:r w:rsidRPr="007E2F91">
              <w:rPr>
                <w:rFonts w:eastAsiaTheme="minorEastAsia"/>
                <w:lang w:val="en-US"/>
              </w:rPr>
              <w:t>2</w:t>
            </w:r>
          </w:p>
        </w:tc>
      </w:tr>
      <w:tr w:rsidR="003A71DE" w:rsidRPr="007E2F91" w14:paraId="5971EC10" w14:textId="77777777" w:rsidTr="003A71DE">
        <w:trPr>
          <w:trHeight w:val="43"/>
          <w:jc w:val="center"/>
        </w:trPr>
        <w:tc>
          <w:tcPr>
            <w:tcW w:w="3805" w:type="dxa"/>
            <w:gridSpan w:val="3"/>
            <w:tcBorders>
              <w:top w:val="single" w:sz="4" w:space="0" w:color="auto"/>
              <w:left w:val="single" w:sz="4" w:space="0" w:color="auto"/>
              <w:right w:val="single" w:sz="4" w:space="0" w:color="auto"/>
            </w:tcBorders>
            <w:vAlign w:val="center"/>
          </w:tcPr>
          <w:p w14:paraId="727C8F95" w14:textId="77777777" w:rsidR="003A71DE" w:rsidRPr="007E2F91" w:rsidRDefault="003A71DE" w:rsidP="001A5D47">
            <w:pPr>
              <w:pStyle w:val="TAL"/>
              <w:rPr>
                <w:rFonts w:eastAsiaTheme="minorEastAsia"/>
                <w:lang w:val="en-US"/>
              </w:rPr>
            </w:pPr>
            <w:r w:rsidRPr="007E2F91">
              <w:rPr>
                <w:rFonts w:eastAsiaTheme="minorEastAsia"/>
                <w:lang w:val="en-US"/>
              </w:rPr>
              <w:t>Duplex mode</w:t>
            </w:r>
          </w:p>
        </w:tc>
        <w:tc>
          <w:tcPr>
            <w:tcW w:w="1134" w:type="dxa"/>
            <w:tcBorders>
              <w:top w:val="single" w:sz="4" w:space="0" w:color="auto"/>
              <w:left w:val="single" w:sz="4" w:space="0" w:color="auto"/>
              <w:right w:val="single" w:sz="4" w:space="0" w:color="auto"/>
            </w:tcBorders>
            <w:vAlign w:val="center"/>
          </w:tcPr>
          <w:p w14:paraId="2F9D3101" w14:textId="77777777" w:rsidR="003A71DE" w:rsidRPr="007E2F91" w:rsidRDefault="003A71DE" w:rsidP="001A5D47">
            <w:pPr>
              <w:pStyle w:val="TAC"/>
              <w:rPr>
                <w:rFonts w:eastAsiaTheme="minorEastAsia"/>
                <w:lang w:val="en-US"/>
              </w:rPr>
            </w:pPr>
          </w:p>
        </w:tc>
        <w:tc>
          <w:tcPr>
            <w:tcW w:w="4655" w:type="dxa"/>
            <w:gridSpan w:val="7"/>
            <w:tcBorders>
              <w:top w:val="single" w:sz="4" w:space="0" w:color="auto"/>
              <w:left w:val="single" w:sz="4" w:space="0" w:color="auto"/>
              <w:right w:val="single" w:sz="4" w:space="0" w:color="auto"/>
            </w:tcBorders>
          </w:tcPr>
          <w:p w14:paraId="3C6DC02A" w14:textId="77777777" w:rsidR="003A71DE" w:rsidRPr="007E2F91" w:rsidRDefault="003A71DE" w:rsidP="001A5D47">
            <w:pPr>
              <w:pStyle w:val="TAC"/>
              <w:rPr>
                <w:rFonts w:eastAsiaTheme="minorEastAsia"/>
                <w:lang w:val="en-US"/>
              </w:rPr>
            </w:pPr>
            <w:r w:rsidRPr="007E2F91">
              <w:rPr>
                <w:rFonts w:eastAsiaTheme="minorEastAsia"/>
                <w:lang w:val="en-US"/>
              </w:rPr>
              <w:t>TDD</w:t>
            </w:r>
          </w:p>
        </w:tc>
      </w:tr>
      <w:tr w:rsidR="003A71DE" w:rsidRPr="007E2F91" w14:paraId="698BBB6D" w14:textId="77777777" w:rsidTr="003A71DE">
        <w:trPr>
          <w:trHeight w:val="43"/>
          <w:jc w:val="center"/>
        </w:trPr>
        <w:tc>
          <w:tcPr>
            <w:tcW w:w="3805" w:type="dxa"/>
            <w:gridSpan w:val="3"/>
            <w:tcBorders>
              <w:left w:val="single" w:sz="4" w:space="0" w:color="auto"/>
              <w:right w:val="single" w:sz="4" w:space="0" w:color="auto"/>
            </w:tcBorders>
            <w:vAlign w:val="center"/>
          </w:tcPr>
          <w:p w14:paraId="027A15BB" w14:textId="77777777" w:rsidR="003A71DE" w:rsidRPr="007E2F91" w:rsidRDefault="003A71DE" w:rsidP="001A5D47">
            <w:pPr>
              <w:pStyle w:val="TAL"/>
              <w:rPr>
                <w:rFonts w:eastAsiaTheme="minorEastAsia"/>
              </w:rPr>
            </w:pPr>
            <w:r w:rsidRPr="007E2F91">
              <w:rPr>
                <w:rFonts w:eastAsiaTheme="minorEastAsia"/>
                <w:lang w:val="en-US"/>
              </w:rPr>
              <w:t>BWP BW</w:t>
            </w:r>
          </w:p>
        </w:tc>
        <w:tc>
          <w:tcPr>
            <w:tcW w:w="1134" w:type="dxa"/>
            <w:tcBorders>
              <w:left w:val="single" w:sz="4" w:space="0" w:color="auto"/>
              <w:right w:val="single" w:sz="4" w:space="0" w:color="auto"/>
            </w:tcBorders>
            <w:vAlign w:val="center"/>
          </w:tcPr>
          <w:p w14:paraId="20A05A56" w14:textId="77777777" w:rsidR="003A71DE" w:rsidRPr="007E2F91" w:rsidRDefault="003A71DE" w:rsidP="001A5D47">
            <w:pPr>
              <w:pStyle w:val="TAC"/>
              <w:rPr>
                <w:rFonts w:eastAsiaTheme="minorEastAsia"/>
                <w:lang w:val="en-US"/>
              </w:rPr>
            </w:pPr>
            <w:r w:rsidRPr="007E2F91">
              <w:rPr>
                <w:rFonts w:eastAsiaTheme="minorEastAsia"/>
                <w:lang w:val="en-US"/>
              </w:rPr>
              <w:t>MHz</w:t>
            </w:r>
          </w:p>
        </w:tc>
        <w:tc>
          <w:tcPr>
            <w:tcW w:w="4655" w:type="dxa"/>
            <w:gridSpan w:val="7"/>
            <w:tcBorders>
              <w:left w:val="single" w:sz="4" w:space="0" w:color="auto"/>
              <w:right w:val="single" w:sz="4" w:space="0" w:color="auto"/>
            </w:tcBorders>
            <w:vAlign w:val="center"/>
          </w:tcPr>
          <w:p w14:paraId="42B65FF3" w14:textId="77777777" w:rsidR="003A71DE" w:rsidRPr="007E2F91" w:rsidRDefault="003A71DE" w:rsidP="001A5D47">
            <w:pPr>
              <w:pStyle w:val="TAC"/>
              <w:rPr>
                <w:rFonts w:eastAsiaTheme="minorEastAsia"/>
              </w:rPr>
            </w:pPr>
            <w:r w:rsidRPr="007E2F91">
              <w:rPr>
                <w:rFonts w:eastAsiaTheme="minorEastAsia"/>
                <w:lang w:eastAsia="zh-CN"/>
              </w:rPr>
              <w:t>DLBWP.1.1</w:t>
            </w:r>
          </w:p>
        </w:tc>
      </w:tr>
      <w:tr w:rsidR="003A71DE" w:rsidRPr="007E2F91" w14:paraId="414BB2A0" w14:textId="77777777" w:rsidTr="003A71DE">
        <w:trPr>
          <w:trHeight w:val="283"/>
          <w:jc w:val="center"/>
        </w:trPr>
        <w:tc>
          <w:tcPr>
            <w:tcW w:w="3805" w:type="dxa"/>
            <w:gridSpan w:val="3"/>
            <w:tcBorders>
              <w:left w:val="single" w:sz="4" w:space="0" w:color="auto"/>
              <w:bottom w:val="single" w:sz="4" w:space="0" w:color="auto"/>
              <w:right w:val="single" w:sz="4" w:space="0" w:color="auto"/>
            </w:tcBorders>
            <w:vAlign w:val="center"/>
          </w:tcPr>
          <w:p w14:paraId="30A22FBF" w14:textId="77777777" w:rsidR="003A71DE" w:rsidRPr="007E2F91" w:rsidRDefault="003A71DE" w:rsidP="001A5D47">
            <w:pPr>
              <w:pStyle w:val="TAL"/>
              <w:rPr>
                <w:rFonts w:eastAsiaTheme="minorEastAsia"/>
              </w:rPr>
            </w:pPr>
            <w:r w:rsidRPr="007E2F91">
              <w:rPr>
                <w:rFonts w:eastAsiaTheme="minorEastAsia"/>
                <w:lang w:val="en-US"/>
              </w:rPr>
              <w:t>DRx Cycle</w:t>
            </w:r>
          </w:p>
        </w:tc>
        <w:tc>
          <w:tcPr>
            <w:tcW w:w="1134" w:type="dxa"/>
            <w:tcBorders>
              <w:left w:val="single" w:sz="4" w:space="0" w:color="auto"/>
              <w:bottom w:val="single" w:sz="4" w:space="0" w:color="auto"/>
              <w:right w:val="single" w:sz="4" w:space="0" w:color="auto"/>
            </w:tcBorders>
            <w:vAlign w:val="center"/>
          </w:tcPr>
          <w:p w14:paraId="590E827C" w14:textId="77777777" w:rsidR="003A71DE" w:rsidRPr="007E2F91" w:rsidRDefault="003A71DE" w:rsidP="001A5D47">
            <w:pPr>
              <w:pStyle w:val="TAC"/>
              <w:rPr>
                <w:rFonts w:eastAsiaTheme="minorEastAsia"/>
                <w:lang w:val="en-US"/>
              </w:rPr>
            </w:pPr>
            <w:r w:rsidRPr="007E2F91">
              <w:rPr>
                <w:rFonts w:eastAsiaTheme="minorEastAsia"/>
                <w:lang w:val="en-US"/>
              </w:rPr>
              <w:t>ms</w:t>
            </w:r>
          </w:p>
        </w:tc>
        <w:tc>
          <w:tcPr>
            <w:tcW w:w="4655" w:type="dxa"/>
            <w:gridSpan w:val="7"/>
            <w:tcBorders>
              <w:left w:val="single" w:sz="4" w:space="0" w:color="auto"/>
              <w:bottom w:val="single" w:sz="4" w:space="0" w:color="auto"/>
              <w:right w:val="single" w:sz="4" w:space="0" w:color="auto"/>
            </w:tcBorders>
            <w:vAlign w:val="center"/>
          </w:tcPr>
          <w:p w14:paraId="1CB0AF8F" w14:textId="77777777" w:rsidR="003A71DE" w:rsidRPr="007E2F91" w:rsidRDefault="003A71DE" w:rsidP="001A5D47">
            <w:pPr>
              <w:pStyle w:val="TAC"/>
              <w:rPr>
                <w:lang w:val="en-US"/>
              </w:rPr>
            </w:pPr>
            <w:r w:rsidRPr="007E2F91">
              <w:rPr>
                <w:rFonts w:eastAsiaTheme="minorEastAsia"/>
                <w:lang w:val="en-US"/>
              </w:rPr>
              <w:t>Not Applicable</w:t>
            </w:r>
          </w:p>
        </w:tc>
      </w:tr>
      <w:tr w:rsidR="003A71DE" w:rsidRPr="007E2F91" w14:paraId="41C645D5" w14:textId="77777777" w:rsidTr="003A71DE">
        <w:trPr>
          <w:trHeight w:val="43"/>
          <w:jc w:val="center"/>
        </w:trPr>
        <w:tc>
          <w:tcPr>
            <w:tcW w:w="3805" w:type="dxa"/>
            <w:gridSpan w:val="3"/>
            <w:tcBorders>
              <w:top w:val="single" w:sz="4" w:space="0" w:color="auto"/>
              <w:left w:val="single" w:sz="4" w:space="0" w:color="auto"/>
              <w:right w:val="single" w:sz="4" w:space="0" w:color="auto"/>
            </w:tcBorders>
            <w:vAlign w:val="center"/>
            <w:hideMark/>
          </w:tcPr>
          <w:p w14:paraId="10108E60" w14:textId="77777777" w:rsidR="003A71DE" w:rsidRPr="007E2F91" w:rsidRDefault="003A71DE" w:rsidP="001A5D47">
            <w:pPr>
              <w:pStyle w:val="TAL"/>
              <w:rPr>
                <w:rFonts w:eastAsiaTheme="minorEastAsia"/>
                <w:lang w:val="en-US"/>
              </w:rPr>
            </w:pPr>
            <w:r w:rsidRPr="007E2F91">
              <w:rPr>
                <w:rFonts w:eastAsiaTheme="minorEastAsia"/>
                <w:lang w:val="en-US"/>
              </w:rPr>
              <w:t xml:space="preserve">PDSCH Reference measurement channel </w:t>
            </w:r>
          </w:p>
        </w:tc>
        <w:tc>
          <w:tcPr>
            <w:tcW w:w="1134" w:type="dxa"/>
            <w:tcBorders>
              <w:top w:val="single" w:sz="4" w:space="0" w:color="auto"/>
              <w:left w:val="single" w:sz="4" w:space="0" w:color="auto"/>
              <w:right w:val="single" w:sz="4" w:space="0" w:color="auto"/>
            </w:tcBorders>
            <w:vAlign w:val="center"/>
          </w:tcPr>
          <w:p w14:paraId="6632C214" w14:textId="77777777" w:rsidR="003A71DE" w:rsidRPr="007E2F91" w:rsidRDefault="003A71DE" w:rsidP="001A5D47">
            <w:pPr>
              <w:pStyle w:val="TAC"/>
              <w:rPr>
                <w:rFonts w:eastAsiaTheme="minorEastAsia"/>
                <w:lang w:val="en-US"/>
              </w:rPr>
            </w:pPr>
          </w:p>
        </w:tc>
        <w:tc>
          <w:tcPr>
            <w:tcW w:w="4655" w:type="dxa"/>
            <w:gridSpan w:val="7"/>
            <w:tcBorders>
              <w:top w:val="single" w:sz="4" w:space="0" w:color="auto"/>
              <w:left w:val="single" w:sz="4" w:space="0" w:color="auto"/>
              <w:right w:val="single" w:sz="4" w:space="0" w:color="auto"/>
            </w:tcBorders>
            <w:vAlign w:val="center"/>
          </w:tcPr>
          <w:p w14:paraId="444C64DD" w14:textId="77777777" w:rsidR="003A71DE" w:rsidRPr="007E2F91" w:rsidRDefault="003A71DE" w:rsidP="001A5D47">
            <w:pPr>
              <w:pStyle w:val="TAC"/>
              <w:rPr>
                <w:rFonts w:eastAsiaTheme="minorEastAsia"/>
                <w:lang w:val="en-US"/>
              </w:rPr>
            </w:pPr>
            <w:r w:rsidRPr="007E2F91">
              <w:rPr>
                <w:rFonts w:eastAsiaTheme="minorEastAsia"/>
              </w:rPr>
              <w:t>SR3.1 TDD</w:t>
            </w:r>
          </w:p>
        </w:tc>
      </w:tr>
      <w:tr w:rsidR="003A71DE" w:rsidRPr="007E2F91" w14:paraId="031589B4" w14:textId="77777777" w:rsidTr="003A71DE">
        <w:trPr>
          <w:trHeight w:val="43"/>
          <w:jc w:val="center"/>
        </w:trPr>
        <w:tc>
          <w:tcPr>
            <w:tcW w:w="3805" w:type="dxa"/>
            <w:gridSpan w:val="3"/>
            <w:tcBorders>
              <w:top w:val="single" w:sz="4" w:space="0" w:color="auto"/>
              <w:left w:val="single" w:sz="4" w:space="0" w:color="auto"/>
              <w:right w:val="single" w:sz="4" w:space="0" w:color="auto"/>
            </w:tcBorders>
            <w:vAlign w:val="center"/>
          </w:tcPr>
          <w:p w14:paraId="6E71C428" w14:textId="77777777" w:rsidR="003A71DE" w:rsidRPr="007E2F91" w:rsidRDefault="003A71DE" w:rsidP="001A5D47">
            <w:pPr>
              <w:pStyle w:val="TAL"/>
              <w:rPr>
                <w:rFonts w:eastAsiaTheme="minorEastAsia"/>
                <w:lang w:val="en-US"/>
              </w:rPr>
            </w:pPr>
            <w:r w:rsidRPr="007E2F91">
              <w:rPr>
                <w:rFonts w:eastAsiaTheme="minorEastAsia"/>
              </w:rPr>
              <w:t>CORESET Reference Channel</w:t>
            </w:r>
          </w:p>
        </w:tc>
        <w:tc>
          <w:tcPr>
            <w:tcW w:w="1134" w:type="dxa"/>
            <w:tcBorders>
              <w:top w:val="single" w:sz="4" w:space="0" w:color="auto"/>
              <w:left w:val="single" w:sz="4" w:space="0" w:color="auto"/>
              <w:right w:val="single" w:sz="4" w:space="0" w:color="auto"/>
            </w:tcBorders>
            <w:vAlign w:val="center"/>
          </w:tcPr>
          <w:p w14:paraId="1D7F3330" w14:textId="77777777" w:rsidR="003A71DE" w:rsidRPr="007E2F91" w:rsidRDefault="003A71DE" w:rsidP="001A5D47">
            <w:pPr>
              <w:pStyle w:val="TAC"/>
              <w:rPr>
                <w:rFonts w:eastAsiaTheme="minorEastAsia"/>
                <w:lang w:val="en-US"/>
              </w:rPr>
            </w:pPr>
          </w:p>
        </w:tc>
        <w:tc>
          <w:tcPr>
            <w:tcW w:w="4655" w:type="dxa"/>
            <w:gridSpan w:val="7"/>
            <w:tcBorders>
              <w:top w:val="single" w:sz="4" w:space="0" w:color="auto"/>
              <w:left w:val="single" w:sz="4" w:space="0" w:color="auto"/>
              <w:right w:val="single" w:sz="4" w:space="0" w:color="auto"/>
            </w:tcBorders>
            <w:vAlign w:val="center"/>
          </w:tcPr>
          <w:p w14:paraId="33DB6745" w14:textId="77777777" w:rsidR="003A71DE" w:rsidRPr="007E2F91" w:rsidRDefault="003A71DE" w:rsidP="001A5D47">
            <w:pPr>
              <w:pStyle w:val="TAC"/>
              <w:rPr>
                <w:rFonts w:eastAsiaTheme="minorEastAsia"/>
                <w:lang w:val="en-US"/>
              </w:rPr>
            </w:pPr>
            <w:r w:rsidRPr="007E2F91">
              <w:rPr>
                <w:rFonts w:eastAsiaTheme="minorEastAsia"/>
              </w:rPr>
              <w:t>CR3.1 TDD</w:t>
            </w:r>
          </w:p>
        </w:tc>
      </w:tr>
      <w:tr w:rsidR="003A71DE" w:rsidRPr="007E2F91" w14:paraId="407BD89B" w14:textId="77777777" w:rsidTr="003A71DE">
        <w:trPr>
          <w:trHeight w:val="283"/>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6C506460" w14:textId="77777777" w:rsidR="003A71DE" w:rsidRPr="007E2F91" w:rsidRDefault="003A71DE" w:rsidP="001A5D47">
            <w:pPr>
              <w:pStyle w:val="TAL"/>
              <w:rPr>
                <w:rFonts w:eastAsiaTheme="minorEastAsia"/>
                <w:lang w:val="da-DK"/>
              </w:rPr>
            </w:pPr>
            <w:r w:rsidRPr="007E2F91">
              <w:rPr>
                <w:rFonts w:eastAsiaTheme="minorEastAsia"/>
                <w:lang w:val="da-DK"/>
              </w:rPr>
              <w:t>OCNG Patterns</w:t>
            </w:r>
          </w:p>
        </w:tc>
        <w:tc>
          <w:tcPr>
            <w:tcW w:w="1134" w:type="dxa"/>
            <w:tcBorders>
              <w:top w:val="single" w:sz="4" w:space="0" w:color="auto"/>
              <w:left w:val="single" w:sz="4" w:space="0" w:color="auto"/>
              <w:bottom w:val="single" w:sz="4" w:space="0" w:color="auto"/>
              <w:right w:val="single" w:sz="4" w:space="0" w:color="auto"/>
            </w:tcBorders>
            <w:vAlign w:val="center"/>
          </w:tcPr>
          <w:p w14:paraId="6327BA99"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bottom w:val="single" w:sz="4" w:space="0" w:color="auto"/>
              <w:right w:val="single" w:sz="4" w:space="0" w:color="auto"/>
            </w:tcBorders>
            <w:vAlign w:val="center"/>
            <w:hideMark/>
          </w:tcPr>
          <w:p w14:paraId="062E7CF1" w14:textId="77777777" w:rsidR="003A71DE" w:rsidRPr="007E2F91" w:rsidRDefault="003A71DE" w:rsidP="001A5D47">
            <w:pPr>
              <w:pStyle w:val="TAC"/>
              <w:rPr>
                <w:rFonts w:eastAsiaTheme="minorEastAsia"/>
                <w:lang w:val="en-US"/>
              </w:rPr>
            </w:pPr>
            <w:r w:rsidRPr="007E2F91">
              <w:rPr>
                <w:rFonts w:eastAsiaTheme="minorEastAsia"/>
                <w:snapToGrid w:val="0"/>
              </w:rPr>
              <w:t>OCNG pattern 1</w:t>
            </w:r>
          </w:p>
        </w:tc>
      </w:tr>
      <w:tr w:rsidR="003A71DE" w:rsidRPr="007E2F91" w14:paraId="60AFEFA4" w14:textId="77777777" w:rsidTr="003A71DE">
        <w:trPr>
          <w:trHeight w:val="43"/>
          <w:jc w:val="center"/>
        </w:trPr>
        <w:tc>
          <w:tcPr>
            <w:tcW w:w="3805" w:type="dxa"/>
            <w:gridSpan w:val="3"/>
            <w:tcBorders>
              <w:top w:val="single" w:sz="4" w:space="0" w:color="auto"/>
              <w:left w:val="single" w:sz="4" w:space="0" w:color="auto"/>
              <w:right w:val="single" w:sz="4" w:space="0" w:color="auto"/>
            </w:tcBorders>
            <w:vAlign w:val="center"/>
          </w:tcPr>
          <w:p w14:paraId="6A318ED8" w14:textId="77777777" w:rsidR="003A71DE" w:rsidRPr="007E2F91" w:rsidRDefault="003A71DE" w:rsidP="001A5D47">
            <w:pPr>
              <w:pStyle w:val="TAL"/>
              <w:rPr>
                <w:rFonts w:eastAsiaTheme="minorEastAsia"/>
                <w:lang w:val="da-DK"/>
              </w:rPr>
            </w:pPr>
            <w:r w:rsidRPr="007E2F91">
              <w:rPr>
                <w:rFonts w:eastAsiaTheme="minorEastAsia"/>
                <w:lang w:val="da-DK"/>
              </w:rPr>
              <w:t>SMTC configuration</w:t>
            </w:r>
            <w:r w:rsidRPr="007E2F91">
              <w:rPr>
                <w:rFonts w:eastAsiaTheme="minorEastAsia"/>
                <w:vertAlign w:val="superscript"/>
              </w:rPr>
              <w:t xml:space="preserve"> Note 6</w:t>
            </w:r>
          </w:p>
        </w:tc>
        <w:tc>
          <w:tcPr>
            <w:tcW w:w="1134" w:type="dxa"/>
            <w:tcBorders>
              <w:top w:val="single" w:sz="4" w:space="0" w:color="auto"/>
              <w:left w:val="single" w:sz="4" w:space="0" w:color="auto"/>
              <w:right w:val="single" w:sz="4" w:space="0" w:color="auto"/>
            </w:tcBorders>
            <w:vAlign w:val="center"/>
          </w:tcPr>
          <w:p w14:paraId="0A41DAD3"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vAlign w:val="center"/>
          </w:tcPr>
          <w:p w14:paraId="1B7488C7" w14:textId="77777777" w:rsidR="003A71DE" w:rsidRPr="007E2F91" w:rsidRDefault="003A71DE" w:rsidP="001A5D47">
            <w:pPr>
              <w:pStyle w:val="TAC"/>
              <w:rPr>
                <w:rFonts w:eastAsiaTheme="minorEastAsia"/>
                <w:lang w:val="en-US"/>
              </w:rPr>
            </w:pPr>
            <w:r w:rsidRPr="007E2F91">
              <w:rPr>
                <w:rFonts w:eastAsiaTheme="minorEastAsia"/>
              </w:rPr>
              <w:t>SMTC.1 FR2</w:t>
            </w:r>
          </w:p>
        </w:tc>
      </w:tr>
      <w:tr w:rsidR="003A71DE" w:rsidRPr="007E2F91" w14:paraId="1174B7C2" w14:textId="77777777" w:rsidTr="003A71DE">
        <w:trPr>
          <w:trHeight w:val="71"/>
          <w:jc w:val="center"/>
        </w:trPr>
        <w:tc>
          <w:tcPr>
            <w:tcW w:w="3805" w:type="dxa"/>
            <w:gridSpan w:val="3"/>
            <w:tcBorders>
              <w:top w:val="single" w:sz="4" w:space="0" w:color="auto"/>
              <w:left w:val="single" w:sz="4" w:space="0" w:color="auto"/>
              <w:right w:val="single" w:sz="4" w:space="0" w:color="auto"/>
            </w:tcBorders>
            <w:vAlign w:val="center"/>
          </w:tcPr>
          <w:p w14:paraId="58894D01" w14:textId="77777777" w:rsidR="003A71DE" w:rsidRPr="007E2F91" w:rsidRDefault="003A71DE" w:rsidP="001A5D47">
            <w:pPr>
              <w:pStyle w:val="TAL"/>
              <w:rPr>
                <w:rFonts w:eastAsiaTheme="minorEastAsia"/>
                <w:lang w:val="da-DK"/>
              </w:rPr>
            </w:pPr>
            <w:r w:rsidRPr="007E2F91">
              <w:rPr>
                <w:rFonts w:eastAsiaTheme="minorEastAsia"/>
                <w:lang w:val="da-DK"/>
              </w:rPr>
              <w:t>PDSCH/PDCCH subcarrier spacing</w:t>
            </w:r>
          </w:p>
        </w:tc>
        <w:tc>
          <w:tcPr>
            <w:tcW w:w="1134" w:type="dxa"/>
            <w:tcBorders>
              <w:top w:val="single" w:sz="4" w:space="0" w:color="auto"/>
              <w:left w:val="single" w:sz="4" w:space="0" w:color="auto"/>
              <w:right w:val="single" w:sz="4" w:space="0" w:color="auto"/>
            </w:tcBorders>
            <w:vAlign w:val="center"/>
          </w:tcPr>
          <w:p w14:paraId="265C04D1" w14:textId="77777777" w:rsidR="003A71DE" w:rsidRPr="007E2F91" w:rsidRDefault="003A71DE" w:rsidP="001A5D47">
            <w:pPr>
              <w:pStyle w:val="TAC"/>
              <w:rPr>
                <w:rFonts w:eastAsiaTheme="minorEastAsia"/>
                <w:lang w:val="da-DK"/>
              </w:rPr>
            </w:pPr>
            <w:r w:rsidRPr="007E2F91">
              <w:rPr>
                <w:rFonts w:eastAsiaTheme="minorEastAsia"/>
                <w:lang w:val="da-DK"/>
              </w:rPr>
              <w:t>kHz</w:t>
            </w:r>
          </w:p>
        </w:tc>
        <w:tc>
          <w:tcPr>
            <w:tcW w:w="4655" w:type="dxa"/>
            <w:gridSpan w:val="7"/>
            <w:tcBorders>
              <w:top w:val="single" w:sz="4" w:space="0" w:color="auto"/>
              <w:left w:val="single" w:sz="4" w:space="0" w:color="auto"/>
              <w:right w:val="single" w:sz="4" w:space="0" w:color="auto"/>
            </w:tcBorders>
            <w:vAlign w:val="center"/>
          </w:tcPr>
          <w:p w14:paraId="33319D85" w14:textId="77777777" w:rsidR="003A71DE" w:rsidRPr="007E2F91" w:rsidRDefault="003A71DE" w:rsidP="001A5D47">
            <w:pPr>
              <w:pStyle w:val="TAC"/>
              <w:rPr>
                <w:rFonts w:eastAsiaTheme="minorEastAsia"/>
                <w:lang w:val="en-US"/>
              </w:rPr>
            </w:pPr>
            <w:r w:rsidRPr="007E2F91">
              <w:rPr>
                <w:rFonts w:eastAsiaTheme="minorEastAsia"/>
                <w:lang w:val="en-US"/>
              </w:rPr>
              <w:t>120 kHz</w:t>
            </w:r>
          </w:p>
        </w:tc>
      </w:tr>
      <w:tr w:rsidR="003A71DE" w:rsidRPr="007E2F91" w14:paraId="12DCF645" w14:textId="77777777" w:rsidTr="003A71DE">
        <w:trPr>
          <w:trHeight w:val="43"/>
          <w:jc w:val="center"/>
        </w:trPr>
        <w:tc>
          <w:tcPr>
            <w:tcW w:w="3805" w:type="dxa"/>
            <w:gridSpan w:val="3"/>
            <w:tcBorders>
              <w:top w:val="single" w:sz="4" w:space="0" w:color="auto"/>
              <w:left w:val="single" w:sz="4" w:space="0" w:color="auto"/>
              <w:right w:val="single" w:sz="4" w:space="0" w:color="auto"/>
            </w:tcBorders>
            <w:vAlign w:val="center"/>
          </w:tcPr>
          <w:p w14:paraId="45BA490B" w14:textId="77777777" w:rsidR="003A71DE" w:rsidRPr="007E2F91" w:rsidRDefault="003A71DE" w:rsidP="001A5D47">
            <w:pPr>
              <w:pStyle w:val="TAL"/>
              <w:rPr>
                <w:rFonts w:eastAsiaTheme="minorEastAsia"/>
                <w:lang w:val="da-DK"/>
              </w:rPr>
            </w:pPr>
            <w:r w:rsidRPr="007E2F91">
              <w:rPr>
                <w:rFonts w:eastAsiaTheme="minorEastAsia"/>
                <w:lang w:val="da-DK"/>
              </w:rPr>
              <w:t>PUCCH/PUSCH subcarrier spacing</w:t>
            </w:r>
          </w:p>
        </w:tc>
        <w:tc>
          <w:tcPr>
            <w:tcW w:w="1134" w:type="dxa"/>
            <w:tcBorders>
              <w:top w:val="single" w:sz="4" w:space="0" w:color="auto"/>
              <w:left w:val="single" w:sz="4" w:space="0" w:color="auto"/>
              <w:right w:val="single" w:sz="4" w:space="0" w:color="auto"/>
            </w:tcBorders>
            <w:vAlign w:val="center"/>
          </w:tcPr>
          <w:p w14:paraId="16911459" w14:textId="77777777" w:rsidR="003A71DE" w:rsidRPr="007E2F91" w:rsidRDefault="003A71DE" w:rsidP="001A5D47">
            <w:pPr>
              <w:pStyle w:val="TAC"/>
              <w:rPr>
                <w:rFonts w:eastAsiaTheme="minorEastAsia"/>
                <w:lang w:val="da-DK"/>
              </w:rPr>
            </w:pPr>
            <w:r w:rsidRPr="007E2F91">
              <w:rPr>
                <w:rFonts w:eastAsiaTheme="minorEastAsia"/>
                <w:lang w:val="da-DK"/>
              </w:rPr>
              <w:t>kHz</w:t>
            </w:r>
          </w:p>
        </w:tc>
        <w:tc>
          <w:tcPr>
            <w:tcW w:w="4655" w:type="dxa"/>
            <w:gridSpan w:val="7"/>
            <w:tcBorders>
              <w:top w:val="single" w:sz="4" w:space="0" w:color="auto"/>
              <w:left w:val="single" w:sz="4" w:space="0" w:color="auto"/>
              <w:right w:val="single" w:sz="4" w:space="0" w:color="auto"/>
            </w:tcBorders>
            <w:vAlign w:val="center"/>
          </w:tcPr>
          <w:p w14:paraId="56C65CA4" w14:textId="77777777" w:rsidR="003A71DE" w:rsidRPr="007E2F91" w:rsidRDefault="003A71DE" w:rsidP="001A5D47">
            <w:pPr>
              <w:pStyle w:val="TAC"/>
              <w:rPr>
                <w:rFonts w:eastAsiaTheme="minorEastAsia"/>
                <w:lang w:val="en-US"/>
              </w:rPr>
            </w:pPr>
            <w:r w:rsidRPr="007E2F91">
              <w:rPr>
                <w:rFonts w:eastAsiaTheme="minorEastAsia"/>
                <w:lang w:val="en-US"/>
              </w:rPr>
              <w:t>120 kHz</w:t>
            </w:r>
          </w:p>
        </w:tc>
      </w:tr>
      <w:tr w:rsidR="003A71DE" w:rsidRPr="007E2F91" w14:paraId="44DFC11E" w14:textId="77777777" w:rsidTr="003A71DE">
        <w:trPr>
          <w:trHeight w:val="43"/>
          <w:jc w:val="center"/>
        </w:trPr>
        <w:tc>
          <w:tcPr>
            <w:tcW w:w="3805" w:type="dxa"/>
            <w:gridSpan w:val="3"/>
            <w:tcBorders>
              <w:top w:val="single" w:sz="4" w:space="0" w:color="auto"/>
              <w:left w:val="single" w:sz="4" w:space="0" w:color="auto"/>
              <w:right w:val="single" w:sz="4" w:space="0" w:color="auto"/>
            </w:tcBorders>
          </w:tcPr>
          <w:p w14:paraId="41E05DC1" w14:textId="77777777" w:rsidR="003A71DE" w:rsidRPr="007E2F91" w:rsidRDefault="003A71DE" w:rsidP="001A5D47">
            <w:pPr>
              <w:pStyle w:val="TAL"/>
              <w:rPr>
                <w:rFonts w:eastAsiaTheme="minorEastAsia"/>
                <w:lang w:val="da-DK"/>
              </w:rPr>
            </w:pPr>
            <w:r w:rsidRPr="007E2F91">
              <w:rPr>
                <w:rFonts w:eastAsiaTheme="minorEastAsia"/>
              </w:rPr>
              <w:t>TRS configuration</w:t>
            </w:r>
          </w:p>
        </w:tc>
        <w:tc>
          <w:tcPr>
            <w:tcW w:w="1134" w:type="dxa"/>
            <w:tcBorders>
              <w:top w:val="single" w:sz="4" w:space="0" w:color="auto"/>
              <w:left w:val="single" w:sz="4" w:space="0" w:color="auto"/>
              <w:right w:val="single" w:sz="4" w:space="0" w:color="auto"/>
            </w:tcBorders>
          </w:tcPr>
          <w:p w14:paraId="577980CA"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tcPr>
          <w:p w14:paraId="6B4EB0C1" w14:textId="77777777" w:rsidR="003A71DE" w:rsidRPr="007E2F91" w:rsidRDefault="003A71DE" w:rsidP="001A5D47">
            <w:pPr>
              <w:pStyle w:val="TAC"/>
              <w:rPr>
                <w:rFonts w:eastAsiaTheme="minorEastAsia"/>
                <w:lang w:val="en-US"/>
              </w:rPr>
            </w:pPr>
            <w:r w:rsidRPr="007E2F91">
              <w:rPr>
                <w:rFonts w:eastAsiaTheme="minorEastAsia"/>
              </w:rPr>
              <w:t>TRS.2.1 TDD</w:t>
            </w:r>
          </w:p>
        </w:tc>
      </w:tr>
      <w:tr w:rsidR="003A71DE" w:rsidRPr="007E2F91" w14:paraId="514A60E1" w14:textId="77777777" w:rsidTr="003A71DE">
        <w:trPr>
          <w:trHeight w:val="43"/>
          <w:jc w:val="center"/>
        </w:trPr>
        <w:tc>
          <w:tcPr>
            <w:tcW w:w="3805" w:type="dxa"/>
            <w:gridSpan w:val="3"/>
            <w:tcBorders>
              <w:top w:val="single" w:sz="4" w:space="0" w:color="auto"/>
              <w:left w:val="single" w:sz="4" w:space="0" w:color="auto"/>
              <w:right w:val="single" w:sz="4" w:space="0" w:color="auto"/>
            </w:tcBorders>
            <w:vAlign w:val="center"/>
          </w:tcPr>
          <w:p w14:paraId="5700700B" w14:textId="77777777" w:rsidR="003A71DE" w:rsidRPr="007E2F91" w:rsidRDefault="003A71DE" w:rsidP="001A5D47">
            <w:pPr>
              <w:pStyle w:val="TAL"/>
              <w:rPr>
                <w:rFonts w:eastAsiaTheme="minorEastAsia"/>
                <w:lang w:val="da-DK"/>
              </w:rPr>
            </w:pPr>
            <w:r w:rsidRPr="007E2F91">
              <w:rPr>
                <w:rFonts w:eastAsiaTheme="minorEastAsia"/>
                <w:lang w:val="da-DK"/>
              </w:rPr>
              <w:t>TCI configuration</w:t>
            </w:r>
            <w:r w:rsidRPr="007E2F91">
              <w:rPr>
                <w:rFonts w:eastAsiaTheme="minorEastAsia"/>
                <w:vertAlign w:val="superscript"/>
              </w:rPr>
              <w:t xml:space="preserve"> Note 6</w:t>
            </w:r>
          </w:p>
        </w:tc>
        <w:tc>
          <w:tcPr>
            <w:tcW w:w="1134" w:type="dxa"/>
            <w:tcBorders>
              <w:top w:val="single" w:sz="4" w:space="0" w:color="auto"/>
              <w:left w:val="single" w:sz="4" w:space="0" w:color="auto"/>
              <w:right w:val="single" w:sz="4" w:space="0" w:color="auto"/>
            </w:tcBorders>
            <w:vAlign w:val="center"/>
          </w:tcPr>
          <w:p w14:paraId="46D72F29"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vAlign w:val="center"/>
          </w:tcPr>
          <w:p w14:paraId="48391794" w14:textId="77777777" w:rsidR="003A71DE" w:rsidRPr="007E2F91" w:rsidRDefault="003A71DE" w:rsidP="001A5D47">
            <w:pPr>
              <w:pStyle w:val="TAC"/>
              <w:rPr>
                <w:rFonts w:eastAsiaTheme="minorEastAsia"/>
                <w:lang w:val="en-US"/>
              </w:rPr>
            </w:pPr>
            <w:r w:rsidRPr="007E2F91">
              <w:rPr>
                <w:rFonts w:eastAsiaTheme="minorEastAsia"/>
                <w:lang w:val="en-US"/>
              </w:rPr>
              <w:t>CSI-RS.Config.0</w:t>
            </w:r>
          </w:p>
        </w:tc>
      </w:tr>
      <w:tr w:rsidR="003A71DE" w:rsidRPr="007E2F91" w14:paraId="1ECD0FA8" w14:textId="77777777" w:rsidTr="003A71DE">
        <w:trPr>
          <w:trHeight w:val="43"/>
          <w:jc w:val="center"/>
        </w:trPr>
        <w:tc>
          <w:tcPr>
            <w:tcW w:w="1902" w:type="dxa"/>
            <w:gridSpan w:val="2"/>
            <w:vMerge w:val="restart"/>
            <w:tcBorders>
              <w:top w:val="single" w:sz="4" w:space="0" w:color="auto"/>
              <w:left w:val="single" w:sz="4" w:space="0" w:color="auto"/>
              <w:right w:val="single" w:sz="4" w:space="0" w:color="auto"/>
            </w:tcBorders>
          </w:tcPr>
          <w:p w14:paraId="2D7388F5" w14:textId="77777777" w:rsidR="003A71DE" w:rsidRPr="007E2F91" w:rsidRDefault="003A71DE" w:rsidP="001A5D47">
            <w:pPr>
              <w:pStyle w:val="TAL"/>
              <w:rPr>
                <w:rFonts w:eastAsiaTheme="minorEastAsia"/>
                <w:lang w:val="da-DK"/>
              </w:rPr>
            </w:pPr>
            <w:r w:rsidRPr="007E2F91">
              <w:rPr>
                <w:rFonts w:eastAsiaTheme="minorEastAsia"/>
              </w:rPr>
              <w:t>BWP configuraiton</w:t>
            </w:r>
          </w:p>
        </w:tc>
        <w:tc>
          <w:tcPr>
            <w:tcW w:w="1903" w:type="dxa"/>
            <w:tcBorders>
              <w:top w:val="single" w:sz="4" w:space="0" w:color="auto"/>
              <w:left w:val="single" w:sz="4" w:space="0" w:color="auto"/>
              <w:right w:val="single" w:sz="4" w:space="0" w:color="auto"/>
            </w:tcBorders>
          </w:tcPr>
          <w:p w14:paraId="4459E416" w14:textId="77777777" w:rsidR="003A71DE" w:rsidRPr="007E2F91" w:rsidRDefault="003A71DE" w:rsidP="001A5D47">
            <w:pPr>
              <w:pStyle w:val="TAL"/>
              <w:rPr>
                <w:rFonts w:eastAsiaTheme="minorEastAsia"/>
                <w:lang w:val="da-DK"/>
              </w:rPr>
            </w:pPr>
            <w:r w:rsidRPr="007E2F91">
              <w:rPr>
                <w:rFonts w:eastAsiaTheme="minorEastAsia"/>
              </w:rPr>
              <w:t>Initial DL BWP</w:t>
            </w:r>
          </w:p>
        </w:tc>
        <w:tc>
          <w:tcPr>
            <w:tcW w:w="1134" w:type="dxa"/>
            <w:tcBorders>
              <w:top w:val="single" w:sz="4" w:space="0" w:color="auto"/>
              <w:left w:val="single" w:sz="4" w:space="0" w:color="auto"/>
              <w:right w:val="single" w:sz="4" w:space="0" w:color="auto"/>
            </w:tcBorders>
          </w:tcPr>
          <w:p w14:paraId="47900BF7"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tcPr>
          <w:p w14:paraId="7C27D2C0" w14:textId="77777777" w:rsidR="003A71DE" w:rsidRPr="007E2F91" w:rsidRDefault="003A71DE" w:rsidP="001A5D47">
            <w:pPr>
              <w:pStyle w:val="TAC"/>
              <w:rPr>
                <w:rFonts w:eastAsiaTheme="minorEastAsia"/>
                <w:lang w:val="en-US"/>
              </w:rPr>
            </w:pPr>
            <w:r w:rsidRPr="007E2F91">
              <w:rPr>
                <w:rFonts w:eastAsiaTheme="minorEastAsia"/>
              </w:rPr>
              <w:t>DLBWP.0.1</w:t>
            </w:r>
          </w:p>
        </w:tc>
      </w:tr>
      <w:tr w:rsidR="003A71DE" w:rsidRPr="007E2F91" w14:paraId="29CAB5A4" w14:textId="77777777" w:rsidTr="003A71DE">
        <w:trPr>
          <w:trHeight w:val="43"/>
          <w:jc w:val="center"/>
        </w:trPr>
        <w:tc>
          <w:tcPr>
            <w:tcW w:w="1902" w:type="dxa"/>
            <w:gridSpan w:val="2"/>
            <w:vMerge/>
            <w:tcBorders>
              <w:left w:val="single" w:sz="4" w:space="0" w:color="auto"/>
              <w:right w:val="single" w:sz="4" w:space="0" w:color="auto"/>
            </w:tcBorders>
          </w:tcPr>
          <w:p w14:paraId="3BDE55E8" w14:textId="77777777" w:rsidR="003A71DE" w:rsidRPr="007E2F91" w:rsidRDefault="003A71DE" w:rsidP="001A5D47">
            <w:pPr>
              <w:pStyle w:val="TAL"/>
              <w:rPr>
                <w:rFonts w:eastAsiaTheme="minorEastAsia"/>
                <w:lang w:val="da-DK"/>
              </w:rPr>
            </w:pPr>
          </w:p>
        </w:tc>
        <w:tc>
          <w:tcPr>
            <w:tcW w:w="1903" w:type="dxa"/>
            <w:tcBorders>
              <w:top w:val="single" w:sz="4" w:space="0" w:color="auto"/>
              <w:left w:val="single" w:sz="4" w:space="0" w:color="auto"/>
              <w:right w:val="single" w:sz="4" w:space="0" w:color="auto"/>
            </w:tcBorders>
          </w:tcPr>
          <w:p w14:paraId="5B926FC2" w14:textId="77777777" w:rsidR="003A71DE" w:rsidRPr="007E2F91" w:rsidRDefault="003A71DE" w:rsidP="001A5D47">
            <w:pPr>
              <w:pStyle w:val="TAL"/>
              <w:rPr>
                <w:rFonts w:eastAsiaTheme="minorEastAsia"/>
                <w:lang w:val="da-DK"/>
              </w:rPr>
            </w:pPr>
            <w:r w:rsidRPr="007E2F91">
              <w:rPr>
                <w:rFonts w:eastAsiaTheme="minorEastAsia"/>
              </w:rPr>
              <w:t>Dedicated DL BWP</w:t>
            </w:r>
          </w:p>
        </w:tc>
        <w:tc>
          <w:tcPr>
            <w:tcW w:w="1134" w:type="dxa"/>
            <w:tcBorders>
              <w:top w:val="single" w:sz="4" w:space="0" w:color="auto"/>
              <w:left w:val="single" w:sz="4" w:space="0" w:color="auto"/>
              <w:right w:val="single" w:sz="4" w:space="0" w:color="auto"/>
            </w:tcBorders>
          </w:tcPr>
          <w:p w14:paraId="1BD65473"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tcPr>
          <w:p w14:paraId="087273A2" w14:textId="77777777" w:rsidR="003A71DE" w:rsidRPr="007E2F91" w:rsidRDefault="003A71DE" w:rsidP="001A5D47">
            <w:pPr>
              <w:pStyle w:val="TAC"/>
              <w:rPr>
                <w:rFonts w:eastAsiaTheme="minorEastAsia"/>
                <w:lang w:val="en-US"/>
              </w:rPr>
            </w:pPr>
            <w:r w:rsidRPr="007E2F91">
              <w:rPr>
                <w:rFonts w:eastAsiaTheme="minorEastAsia"/>
              </w:rPr>
              <w:t>DLBWP.1.1</w:t>
            </w:r>
          </w:p>
        </w:tc>
      </w:tr>
      <w:tr w:rsidR="003A71DE" w:rsidRPr="007E2F91" w14:paraId="10D1DA5E" w14:textId="77777777" w:rsidTr="003A71DE">
        <w:trPr>
          <w:trHeight w:val="43"/>
          <w:jc w:val="center"/>
        </w:trPr>
        <w:tc>
          <w:tcPr>
            <w:tcW w:w="1902" w:type="dxa"/>
            <w:gridSpan w:val="2"/>
            <w:vMerge/>
            <w:tcBorders>
              <w:left w:val="single" w:sz="4" w:space="0" w:color="auto"/>
              <w:right w:val="single" w:sz="4" w:space="0" w:color="auto"/>
            </w:tcBorders>
          </w:tcPr>
          <w:p w14:paraId="60A7195C" w14:textId="77777777" w:rsidR="003A71DE" w:rsidRPr="007E2F91" w:rsidRDefault="003A71DE" w:rsidP="001A5D47">
            <w:pPr>
              <w:pStyle w:val="TAL"/>
              <w:rPr>
                <w:rFonts w:eastAsiaTheme="minorEastAsia"/>
                <w:lang w:val="da-DK"/>
              </w:rPr>
            </w:pPr>
          </w:p>
        </w:tc>
        <w:tc>
          <w:tcPr>
            <w:tcW w:w="1903" w:type="dxa"/>
            <w:tcBorders>
              <w:top w:val="single" w:sz="4" w:space="0" w:color="auto"/>
              <w:left w:val="single" w:sz="4" w:space="0" w:color="auto"/>
              <w:right w:val="single" w:sz="4" w:space="0" w:color="auto"/>
            </w:tcBorders>
          </w:tcPr>
          <w:p w14:paraId="0584D4E3" w14:textId="77777777" w:rsidR="003A71DE" w:rsidRPr="007E2F91" w:rsidRDefault="003A71DE" w:rsidP="001A5D47">
            <w:pPr>
              <w:pStyle w:val="TAL"/>
              <w:rPr>
                <w:rFonts w:eastAsiaTheme="minorEastAsia"/>
                <w:lang w:val="da-DK"/>
              </w:rPr>
            </w:pPr>
            <w:r w:rsidRPr="007E2F91">
              <w:rPr>
                <w:rFonts w:eastAsiaTheme="minorEastAsia"/>
              </w:rPr>
              <w:t>Initial UL BWP</w:t>
            </w:r>
          </w:p>
        </w:tc>
        <w:tc>
          <w:tcPr>
            <w:tcW w:w="1134" w:type="dxa"/>
            <w:tcBorders>
              <w:top w:val="single" w:sz="4" w:space="0" w:color="auto"/>
              <w:left w:val="single" w:sz="4" w:space="0" w:color="auto"/>
              <w:right w:val="single" w:sz="4" w:space="0" w:color="auto"/>
            </w:tcBorders>
          </w:tcPr>
          <w:p w14:paraId="53E7C29C"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tcPr>
          <w:p w14:paraId="7D21B2B6" w14:textId="77777777" w:rsidR="003A71DE" w:rsidRPr="007E2F91" w:rsidRDefault="003A71DE" w:rsidP="001A5D47">
            <w:pPr>
              <w:pStyle w:val="TAC"/>
              <w:rPr>
                <w:rFonts w:eastAsiaTheme="minorEastAsia"/>
                <w:lang w:val="en-US"/>
              </w:rPr>
            </w:pPr>
            <w:r w:rsidRPr="007E2F91">
              <w:rPr>
                <w:rFonts w:eastAsiaTheme="minorEastAsia"/>
              </w:rPr>
              <w:t>ULBWP.0.1</w:t>
            </w:r>
          </w:p>
        </w:tc>
      </w:tr>
      <w:tr w:rsidR="003A71DE" w:rsidRPr="007E2F91" w14:paraId="7626C411" w14:textId="77777777" w:rsidTr="003A71DE">
        <w:trPr>
          <w:trHeight w:val="43"/>
          <w:jc w:val="center"/>
        </w:trPr>
        <w:tc>
          <w:tcPr>
            <w:tcW w:w="1902" w:type="dxa"/>
            <w:gridSpan w:val="2"/>
            <w:vMerge/>
            <w:tcBorders>
              <w:left w:val="single" w:sz="4" w:space="0" w:color="auto"/>
              <w:right w:val="single" w:sz="4" w:space="0" w:color="auto"/>
            </w:tcBorders>
          </w:tcPr>
          <w:p w14:paraId="5DB31180" w14:textId="77777777" w:rsidR="003A71DE" w:rsidRPr="007E2F91" w:rsidRDefault="003A71DE" w:rsidP="001A5D47">
            <w:pPr>
              <w:pStyle w:val="TAL"/>
              <w:rPr>
                <w:rFonts w:eastAsiaTheme="minorEastAsia"/>
                <w:lang w:val="da-DK"/>
              </w:rPr>
            </w:pPr>
          </w:p>
        </w:tc>
        <w:tc>
          <w:tcPr>
            <w:tcW w:w="1903" w:type="dxa"/>
            <w:tcBorders>
              <w:top w:val="single" w:sz="4" w:space="0" w:color="auto"/>
              <w:left w:val="single" w:sz="4" w:space="0" w:color="auto"/>
              <w:right w:val="single" w:sz="4" w:space="0" w:color="auto"/>
            </w:tcBorders>
          </w:tcPr>
          <w:p w14:paraId="39B35509" w14:textId="77777777" w:rsidR="003A71DE" w:rsidRPr="007E2F91" w:rsidRDefault="003A71DE" w:rsidP="001A5D47">
            <w:pPr>
              <w:pStyle w:val="TAL"/>
              <w:rPr>
                <w:rFonts w:eastAsiaTheme="minorEastAsia"/>
                <w:lang w:val="da-DK"/>
              </w:rPr>
            </w:pPr>
            <w:r w:rsidRPr="007E2F91">
              <w:rPr>
                <w:rFonts w:eastAsiaTheme="minorEastAsia"/>
              </w:rPr>
              <w:t>Dedicated UL BWP</w:t>
            </w:r>
          </w:p>
        </w:tc>
        <w:tc>
          <w:tcPr>
            <w:tcW w:w="1134" w:type="dxa"/>
            <w:tcBorders>
              <w:top w:val="single" w:sz="4" w:space="0" w:color="auto"/>
              <w:left w:val="single" w:sz="4" w:space="0" w:color="auto"/>
              <w:right w:val="single" w:sz="4" w:space="0" w:color="auto"/>
            </w:tcBorders>
          </w:tcPr>
          <w:p w14:paraId="2FD20593" w14:textId="77777777" w:rsidR="003A71DE" w:rsidRPr="007E2F91" w:rsidRDefault="003A71DE" w:rsidP="001A5D47">
            <w:pPr>
              <w:pStyle w:val="TAC"/>
              <w:rPr>
                <w:rFonts w:eastAsiaTheme="minorEastAsia"/>
                <w:lang w:val="da-DK"/>
              </w:rPr>
            </w:pPr>
          </w:p>
        </w:tc>
        <w:tc>
          <w:tcPr>
            <w:tcW w:w="4655" w:type="dxa"/>
            <w:gridSpan w:val="7"/>
            <w:tcBorders>
              <w:top w:val="single" w:sz="4" w:space="0" w:color="auto"/>
              <w:left w:val="single" w:sz="4" w:space="0" w:color="auto"/>
              <w:right w:val="single" w:sz="4" w:space="0" w:color="auto"/>
            </w:tcBorders>
          </w:tcPr>
          <w:p w14:paraId="272CA0EF" w14:textId="77777777" w:rsidR="003A71DE" w:rsidRPr="007E2F91" w:rsidRDefault="003A71DE" w:rsidP="001A5D47">
            <w:pPr>
              <w:pStyle w:val="TAC"/>
              <w:rPr>
                <w:rFonts w:eastAsiaTheme="minorEastAsia"/>
                <w:lang w:val="en-US"/>
              </w:rPr>
            </w:pPr>
            <w:r w:rsidRPr="007E2F91">
              <w:rPr>
                <w:rFonts w:eastAsiaTheme="minorEastAsia"/>
              </w:rPr>
              <w:t>ULBWP.1.1</w:t>
            </w:r>
          </w:p>
        </w:tc>
      </w:tr>
      <w:tr w:rsidR="003A71DE" w:rsidRPr="007E2F91" w14:paraId="49180D07"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483CB8CF" w14:textId="77777777" w:rsidR="003A71DE" w:rsidRPr="007E2F91" w:rsidRDefault="003A71DE" w:rsidP="001A5D47">
            <w:pPr>
              <w:pStyle w:val="TAL"/>
              <w:rPr>
                <w:rFonts w:eastAsiaTheme="minorEastAsia"/>
                <w:lang w:val="en-US"/>
              </w:rPr>
            </w:pPr>
            <w:r w:rsidRPr="007E2F91">
              <w:rPr>
                <w:rFonts w:eastAsiaTheme="minorEastAsia"/>
                <w:lang w:eastAsia="ja-JP"/>
              </w:rPr>
              <w:t>EPRE ratio of PSS to SSS</w:t>
            </w:r>
          </w:p>
        </w:tc>
        <w:tc>
          <w:tcPr>
            <w:tcW w:w="1134" w:type="dxa"/>
            <w:vMerge w:val="restart"/>
            <w:tcBorders>
              <w:top w:val="single" w:sz="4" w:space="0" w:color="auto"/>
              <w:left w:val="single" w:sz="4" w:space="0" w:color="auto"/>
              <w:right w:val="single" w:sz="4" w:space="0" w:color="auto"/>
            </w:tcBorders>
            <w:vAlign w:val="center"/>
          </w:tcPr>
          <w:p w14:paraId="5C8AC81F" w14:textId="77777777" w:rsidR="003A71DE" w:rsidRPr="007E2F91" w:rsidRDefault="003A71DE" w:rsidP="001A5D47">
            <w:pPr>
              <w:pStyle w:val="TAC"/>
              <w:rPr>
                <w:rFonts w:eastAsiaTheme="minorEastAsia"/>
                <w:lang w:val="en-US"/>
              </w:rPr>
            </w:pPr>
            <w:r w:rsidRPr="007E2F91">
              <w:rPr>
                <w:rFonts w:eastAsiaTheme="minorEastAsia"/>
                <w:lang w:eastAsia="ja-JP"/>
              </w:rPr>
              <w:t>dB</w:t>
            </w:r>
          </w:p>
        </w:tc>
        <w:tc>
          <w:tcPr>
            <w:tcW w:w="2327" w:type="dxa"/>
            <w:gridSpan w:val="3"/>
            <w:vMerge w:val="restart"/>
            <w:tcBorders>
              <w:top w:val="single" w:sz="4" w:space="0" w:color="auto"/>
              <w:left w:val="single" w:sz="4" w:space="0" w:color="auto"/>
              <w:right w:val="single" w:sz="4" w:space="0" w:color="auto"/>
            </w:tcBorders>
            <w:vAlign w:val="center"/>
          </w:tcPr>
          <w:p w14:paraId="532C2ED1" w14:textId="77777777" w:rsidR="003A71DE" w:rsidRPr="007E2F91" w:rsidRDefault="003A71DE" w:rsidP="001A5D47">
            <w:pPr>
              <w:pStyle w:val="TAC"/>
              <w:rPr>
                <w:rFonts w:eastAsiaTheme="minorEastAsia"/>
                <w:lang w:val="en-US"/>
              </w:rPr>
            </w:pPr>
            <w:r w:rsidRPr="007E2F91">
              <w:rPr>
                <w:rFonts w:eastAsiaTheme="minorEastAsia"/>
                <w:lang w:eastAsia="ja-JP"/>
              </w:rPr>
              <w:t>0</w:t>
            </w:r>
          </w:p>
        </w:tc>
        <w:tc>
          <w:tcPr>
            <w:tcW w:w="2328" w:type="dxa"/>
            <w:gridSpan w:val="4"/>
            <w:vMerge w:val="restart"/>
            <w:tcBorders>
              <w:top w:val="single" w:sz="4" w:space="0" w:color="auto"/>
              <w:left w:val="single" w:sz="4" w:space="0" w:color="auto"/>
              <w:right w:val="single" w:sz="4" w:space="0" w:color="auto"/>
            </w:tcBorders>
            <w:vAlign w:val="center"/>
          </w:tcPr>
          <w:p w14:paraId="610CF4CB" w14:textId="77777777" w:rsidR="003A71DE" w:rsidRPr="007E2F91" w:rsidRDefault="003A71DE" w:rsidP="001A5D47">
            <w:pPr>
              <w:pStyle w:val="TAC"/>
              <w:rPr>
                <w:rFonts w:eastAsiaTheme="minorEastAsia"/>
                <w:lang w:val="en-US"/>
              </w:rPr>
            </w:pPr>
            <w:r w:rsidRPr="007E2F91">
              <w:rPr>
                <w:rFonts w:eastAsiaTheme="minorEastAsia"/>
                <w:lang w:val="en-US"/>
              </w:rPr>
              <w:t>0</w:t>
            </w:r>
          </w:p>
        </w:tc>
      </w:tr>
      <w:tr w:rsidR="003A71DE" w:rsidRPr="007E2F91" w14:paraId="36EEFB9F"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3AB893FE" w14:textId="77777777" w:rsidR="003A71DE" w:rsidRPr="007E2F91" w:rsidRDefault="003A71DE" w:rsidP="001A5D47">
            <w:pPr>
              <w:pStyle w:val="TAL"/>
              <w:rPr>
                <w:rFonts w:eastAsiaTheme="minorEastAsia"/>
                <w:lang w:val="en-US"/>
              </w:rPr>
            </w:pPr>
            <w:r w:rsidRPr="007E2F91">
              <w:rPr>
                <w:rFonts w:eastAsiaTheme="minorEastAsia"/>
                <w:lang w:eastAsia="ja-JP"/>
              </w:rPr>
              <w:t>EPRE ratio of PBCH DMRS to SSS</w:t>
            </w:r>
          </w:p>
        </w:tc>
        <w:tc>
          <w:tcPr>
            <w:tcW w:w="1134" w:type="dxa"/>
            <w:vMerge/>
            <w:tcBorders>
              <w:left w:val="single" w:sz="4" w:space="0" w:color="auto"/>
              <w:right w:val="single" w:sz="4" w:space="0" w:color="auto"/>
            </w:tcBorders>
          </w:tcPr>
          <w:p w14:paraId="561257EE"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18C42B71"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38C349B2" w14:textId="77777777" w:rsidR="003A71DE" w:rsidRPr="007E2F91" w:rsidRDefault="003A71DE" w:rsidP="001A5D47">
            <w:pPr>
              <w:pStyle w:val="TAC"/>
              <w:rPr>
                <w:rFonts w:eastAsiaTheme="minorEastAsia"/>
                <w:lang w:val="en-US"/>
              </w:rPr>
            </w:pPr>
          </w:p>
        </w:tc>
      </w:tr>
      <w:tr w:rsidR="003A71DE" w:rsidRPr="007E2F91" w14:paraId="631AEF57"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0937C0F5" w14:textId="77777777" w:rsidR="003A71DE" w:rsidRPr="007E2F91" w:rsidRDefault="003A71DE" w:rsidP="001A5D47">
            <w:pPr>
              <w:pStyle w:val="TAL"/>
              <w:rPr>
                <w:rFonts w:eastAsiaTheme="minorEastAsia"/>
                <w:lang w:val="en-US"/>
              </w:rPr>
            </w:pPr>
            <w:r w:rsidRPr="007E2F91">
              <w:rPr>
                <w:rFonts w:eastAsiaTheme="minorEastAsia"/>
                <w:lang w:eastAsia="ja-JP"/>
              </w:rPr>
              <w:t>EPRE ratio of PBCH to PBCH DMRS</w:t>
            </w:r>
          </w:p>
        </w:tc>
        <w:tc>
          <w:tcPr>
            <w:tcW w:w="1134" w:type="dxa"/>
            <w:vMerge/>
            <w:tcBorders>
              <w:left w:val="single" w:sz="4" w:space="0" w:color="auto"/>
              <w:right w:val="single" w:sz="4" w:space="0" w:color="auto"/>
            </w:tcBorders>
          </w:tcPr>
          <w:p w14:paraId="3AF22157"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75F5D221"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728B3FC9" w14:textId="77777777" w:rsidR="003A71DE" w:rsidRPr="007E2F91" w:rsidRDefault="003A71DE" w:rsidP="001A5D47">
            <w:pPr>
              <w:pStyle w:val="TAC"/>
              <w:rPr>
                <w:rFonts w:eastAsiaTheme="minorEastAsia"/>
                <w:lang w:val="en-US"/>
              </w:rPr>
            </w:pPr>
          </w:p>
        </w:tc>
      </w:tr>
      <w:tr w:rsidR="003A71DE" w:rsidRPr="007E2F91" w14:paraId="30B3DAB9"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1B5CB70C" w14:textId="77777777" w:rsidR="003A71DE" w:rsidRPr="007E2F91" w:rsidRDefault="003A71DE" w:rsidP="001A5D47">
            <w:pPr>
              <w:pStyle w:val="TAL"/>
              <w:rPr>
                <w:rFonts w:eastAsiaTheme="minorEastAsia"/>
                <w:lang w:val="en-US"/>
              </w:rPr>
            </w:pPr>
            <w:r w:rsidRPr="007E2F91">
              <w:rPr>
                <w:rFonts w:eastAsiaTheme="minorEastAsia"/>
                <w:lang w:eastAsia="ja-JP"/>
              </w:rPr>
              <w:t>EPRE ratio of PDCCH DMRS to SSS</w:t>
            </w:r>
          </w:p>
        </w:tc>
        <w:tc>
          <w:tcPr>
            <w:tcW w:w="1134" w:type="dxa"/>
            <w:vMerge/>
            <w:tcBorders>
              <w:left w:val="single" w:sz="4" w:space="0" w:color="auto"/>
              <w:right w:val="single" w:sz="4" w:space="0" w:color="auto"/>
            </w:tcBorders>
          </w:tcPr>
          <w:p w14:paraId="4EE7040D"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0F934583"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1FDE5D73" w14:textId="77777777" w:rsidR="003A71DE" w:rsidRPr="007E2F91" w:rsidRDefault="003A71DE" w:rsidP="001A5D47">
            <w:pPr>
              <w:pStyle w:val="TAC"/>
              <w:rPr>
                <w:rFonts w:eastAsiaTheme="minorEastAsia"/>
                <w:lang w:val="en-US"/>
              </w:rPr>
            </w:pPr>
          </w:p>
        </w:tc>
      </w:tr>
      <w:tr w:rsidR="003A71DE" w:rsidRPr="007E2F91" w14:paraId="3241E809"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7EDAABCB" w14:textId="77777777" w:rsidR="003A71DE" w:rsidRPr="007E2F91" w:rsidRDefault="003A71DE" w:rsidP="001A5D47">
            <w:pPr>
              <w:pStyle w:val="TAL"/>
              <w:rPr>
                <w:rFonts w:eastAsiaTheme="minorEastAsia"/>
                <w:lang w:val="en-US"/>
              </w:rPr>
            </w:pPr>
            <w:r w:rsidRPr="007E2F91">
              <w:rPr>
                <w:rFonts w:eastAsiaTheme="minorEastAsia"/>
                <w:lang w:eastAsia="ja-JP"/>
              </w:rPr>
              <w:t>EPRE ratio of PDCCH to PDCCH DMRS</w:t>
            </w:r>
          </w:p>
        </w:tc>
        <w:tc>
          <w:tcPr>
            <w:tcW w:w="1134" w:type="dxa"/>
            <w:vMerge/>
            <w:tcBorders>
              <w:left w:val="single" w:sz="4" w:space="0" w:color="auto"/>
              <w:right w:val="single" w:sz="4" w:space="0" w:color="auto"/>
            </w:tcBorders>
          </w:tcPr>
          <w:p w14:paraId="25FD7A9E"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0855BA39"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5BD5C05F" w14:textId="77777777" w:rsidR="003A71DE" w:rsidRPr="007E2F91" w:rsidRDefault="003A71DE" w:rsidP="001A5D47">
            <w:pPr>
              <w:pStyle w:val="TAC"/>
              <w:rPr>
                <w:rFonts w:eastAsiaTheme="minorEastAsia"/>
                <w:lang w:val="en-US"/>
              </w:rPr>
            </w:pPr>
          </w:p>
        </w:tc>
      </w:tr>
      <w:tr w:rsidR="003A71DE" w:rsidRPr="007E2F91" w14:paraId="072B2C40"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256F6DD9" w14:textId="77777777" w:rsidR="003A71DE" w:rsidRPr="007E2F91" w:rsidRDefault="003A71DE" w:rsidP="001A5D47">
            <w:pPr>
              <w:pStyle w:val="TAL"/>
              <w:rPr>
                <w:rFonts w:eastAsiaTheme="minorEastAsia"/>
                <w:lang w:val="en-US"/>
              </w:rPr>
            </w:pPr>
            <w:r w:rsidRPr="007E2F91">
              <w:rPr>
                <w:rFonts w:eastAsiaTheme="minorEastAsia"/>
                <w:lang w:eastAsia="ja-JP"/>
              </w:rPr>
              <w:t xml:space="preserve">EPRE ratio of PDSCH DMRS to SSS </w:t>
            </w:r>
          </w:p>
        </w:tc>
        <w:tc>
          <w:tcPr>
            <w:tcW w:w="1134" w:type="dxa"/>
            <w:vMerge/>
            <w:tcBorders>
              <w:left w:val="single" w:sz="4" w:space="0" w:color="auto"/>
              <w:right w:val="single" w:sz="4" w:space="0" w:color="auto"/>
            </w:tcBorders>
          </w:tcPr>
          <w:p w14:paraId="3ED5E9BC"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2F74AB36"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29D90F42" w14:textId="77777777" w:rsidR="003A71DE" w:rsidRPr="007E2F91" w:rsidRDefault="003A71DE" w:rsidP="001A5D47">
            <w:pPr>
              <w:pStyle w:val="TAC"/>
              <w:rPr>
                <w:rFonts w:eastAsiaTheme="minorEastAsia"/>
                <w:lang w:val="en-US"/>
              </w:rPr>
            </w:pPr>
          </w:p>
        </w:tc>
      </w:tr>
      <w:tr w:rsidR="003A71DE" w:rsidRPr="007E2F91" w14:paraId="36E1B15A"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1E4D3B7D" w14:textId="77777777" w:rsidR="003A71DE" w:rsidRPr="007E2F91" w:rsidRDefault="003A71DE" w:rsidP="001A5D47">
            <w:pPr>
              <w:pStyle w:val="TAL"/>
              <w:rPr>
                <w:rFonts w:eastAsiaTheme="minorEastAsia"/>
                <w:lang w:val="en-US"/>
              </w:rPr>
            </w:pPr>
            <w:r w:rsidRPr="007E2F91">
              <w:rPr>
                <w:rFonts w:eastAsiaTheme="minorEastAsia"/>
                <w:lang w:eastAsia="ja-JP"/>
              </w:rPr>
              <w:t xml:space="preserve">EPRE ratio of PDSCH to PDSCH </w:t>
            </w:r>
          </w:p>
        </w:tc>
        <w:tc>
          <w:tcPr>
            <w:tcW w:w="1134" w:type="dxa"/>
            <w:vMerge/>
            <w:tcBorders>
              <w:left w:val="single" w:sz="4" w:space="0" w:color="auto"/>
              <w:right w:val="single" w:sz="4" w:space="0" w:color="auto"/>
            </w:tcBorders>
          </w:tcPr>
          <w:p w14:paraId="13EFF2A5"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773C5B4F"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6187EED1" w14:textId="77777777" w:rsidR="003A71DE" w:rsidRPr="007E2F91" w:rsidRDefault="003A71DE" w:rsidP="001A5D47">
            <w:pPr>
              <w:pStyle w:val="TAC"/>
              <w:rPr>
                <w:rFonts w:eastAsiaTheme="minorEastAsia"/>
                <w:lang w:val="en-US"/>
              </w:rPr>
            </w:pPr>
          </w:p>
        </w:tc>
      </w:tr>
      <w:tr w:rsidR="003A71DE" w:rsidRPr="007E2F91" w14:paraId="695903FF"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0B5D92FB" w14:textId="77777777" w:rsidR="003A71DE" w:rsidRPr="007E2F91" w:rsidRDefault="003A71DE" w:rsidP="001A5D47">
            <w:pPr>
              <w:pStyle w:val="TAL"/>
              <w:rPr>
                <w:rFonts w:eastAsiaTheme="minorEastAsia"/>
                <w:lang w:val="en-US"/>
              </w:rPr>
            </w:pPr>
            <w:r w:rsidRPr="007E2F91">
              <w:rPr>
                <w:rFonts w:eastAsiaTheme="minorEastAsia"/>
                <w:lang w:eastAsia="ja-JP"/>
              </w:rPr>
              <w:t>EPRE ratio of OCNG DMRS to SSS(Note 1)</w:t>
            </w:r>
          </w:p>
        </w:tc>
        <w:tc>
          <w:tcPr>
            <w:tcW w:w="1134" w:type="dxa"/>
            <w:vMerge/>
            <w:tcBorders>
              <w:left w:val="single" w:sz="4" w:space="0" w:color="auto"/>
              <w:right w:val="single" w:sz="4" w:space="0" w:color="auto"/>
            </w:tcBorders>
          </w:tcPr>
          <w:p w14:paraId="1FDC4D06"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right w:val="single" w:sz="4" w:space="0" w:color="auto"/>
            </w:tcBorders>
          </w:tcPr>
          <w:p w14:paraId="6183AE9A"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right w:val="single" w:sz="4" w:space="0" w:color="auto"/>
            </w:tcBorders>
          </w:tcPr>
          <w:p w14:paraId="13CE3878" w14:textId="77777777" w:rsidR="003A71DE" w:rsidRPr="007E2F91" w:rsidRDefault="003A71DE" w:rsidP="001A5D47">
            <w:pPr>
              <w:pStyle w:val="TAC"/>
              <w:rPr>
                <w:rFonts w:eastAsiaTheme="minorEastAsia"/>
                <w:lang w:val="en-US"/>
              </w:rPr>
            </w:pPr>
          </w:p>
        </w:tc>
      </w:tr>
      <w:tr w:rsidR="003A71DE" w:rsidRPr="007E2F91" w14:paraId="0DD40182"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tcPr>
          <w:p w14:paraId="16FB3484" w14:textId="77777777" w:rsidR="003A71DE" w:rsidRPr="007E2F91" w:rsidRDefault="003A71DE" w:rsidP="001A5D47">
            <w:pPr>
              <w:pStyle w:val="TAL"/>
              <w:rPr>
                <w:rFonts w:eastAsiaTheme="minorEastAsia"/>
                <w:lang w:val="en-US"/>
              </w:rPr>
            </w:pPr>
            <w:r w:rsidRPr="007E2F91">
              <w:rPr>
                <w:rFonts w:eastAsiaTheme="minorEastAsia"/>
                <w:lang w:eastAsia="ja-JP"/>
              </w:rPr>
              <w:t>EPRE ratio of OCNG to OCNG DMRS (Note 1)</w:t>
            </w:r>
          </w:p>
        </w:tc>
        <w:tc>
          <w:tcPr>
            <w:tcW w:w="1134" w:type="dxa"/>
            <w:vMerge/>
            <w:tcBorders>
              <w:left w:val="single" w:sz="4" w:space="0" w:color="auto"/>
              <w:bottom w:val="single" w:sz="4" w:space="0" w:color="auto"/>
              <w:right w:val="single" w:sz="4" w:space="0" w:color="auto"/>
            </w:tcBorders>
          </w:tcPr>
          <w:p w14:paraId="3E1A6E7D" w14:textId="77777777" w:rsidR="003A71DE" w:rsidRPr="007E2F91" w:rsidRDefault="003A71DE" w:rsidP="001A5D47">
            <w:pPr>
              <w:pStyle w:val="TAC"/>
              <w:rPr>
                <w:rFonts w:eastAsiaTheme="minorEastAsia"/>
                <w:lang w:val="en-US"/>
              </w:rPr>
            </w:pPr>
          </w:p>
        </w:tc>
        <w:tc>
          <w:tcPr>
            <w:tcW w:w="2327" w:type="dxa"/>
            <w:gridSpan w:val="3"/>
            <w:vMerge/>
            <w:tcBorders>
              <w:left w:val="single" w:sz="4" w:space="0" w:color="auto"/>
              <w:bottom w:val="single" w:sz="4" w:space="0" w:color="auto"/>
              <w:right w:val="single" w:sz="4" w:space="0" w:color="auto"/>
            </w:tcBorders>
          </w:tcPr>
          <w:p w14:paraId="170D96A4" w14:textId="77777777" w:rsidR="003A71DE" w:rsidRPr="007E2F91" w:rsidRDefault="003A71DE" w:rsidP="001A5D47">
            <w:pPr>
              <w:pStyle w:val="TAC"/>
              <w:rPr>
                <w:rFonts w:eastAsiaTheme="minorEastAsia"/>
                <w:lang w:val="en-US"/>
              </w:rPr>
            </w:pPr>
          </w:p>
        </w:tc>
        <w:tc>
          <w:tcPr>
            <w:tcW w:w="2328" w:type="dxa"/>
            <w:gridSpan w:val="4"/>
            <w:vMerge/>
            <w:tcBorders>
              <w:left w:val="single" w:sz="4" w:space="0" w:color="auto"/>
              <w:bottom w:val="single" w:sz="4" w:space="0" w:color="auto"/>
              <w:right w:val="single" w:sz="4" w:space="0" w:color="auto"/>
            </w:tcBorders>
          </w:tcPr>
          <w:p w14:paraId="7F58D443" w14:textId="77777777" w:rsidR="003A71DE" w:rsidRPr="007E2F91" w:rsidRDefault="003A71DE" w:rsidP="001A5D47">
            <w:pPr>
              <w:pStyle w:val="TAC"/>
              <w:rPr>
                <w:rFonts w:eastAsiaTheme="minorEastAsia"/>
                <w:lang w:val="en-US"/>
              </w:rPr>
            </w:pPr>
          </w:p>
        </w:tc>
      </w:tr>
      <w:tr w:rsidR="003A71DE" w:rsidRPr="007E2F91" w14:paraId="484C4F20" w14:textId="77777777" w:rsidTr="003A71DE">
        <w:trPr>
          <w:trHeight w:val="359"/>
          <w:jc w:val="center"/>
        </w:trPr>
        <w:tc>
          <w:tcPr>
            <w:tcW w:w="3805" w:type="dxa"/>
            <w:gridSpan w:val="3"/>
            <w:tcBorders>
              <w:top w:val="single" w:sz="4" w:space="0" w:color="auto"/>
              <w:left w:val="single" w:sz="4" w:space="0" w:color="auto"/>
              <w:right w:val="single" w:sz="4" w:space="0" w:color="auto"/>
            </w:tcBorders>
            <w:vAlign w:val="center"/>
          </w:tcPr>
          <w:p w14:paraId="194A92C0" w14:textId="77777777" w:rsidR="003A71DE" w:rsidRPr="007E2F91" w:rsidRDefault="003A71DE" w:rsidP="001A5D47">
            <w:pPr>
              <w:pStyle w:val="TAL"/>
              <w:rPr>
                <w:rFonts w:eastAsiaTheme="minorEastAsia"/>
                <w:lang w:val="en-US"/>
              </w:rPr>
            </w:pPr>
            <w:r w:rsidRPr="007E2F91">
              <w:rPr>
                <w:rFonts w:eastAsiaTheme="minorEastAsia"/>
                <w:lang w:val="en-US"/>
              </w:rPr>
              <w:object w:dxaOrig="405" w:dyaOrig="345" w14:anchorId="1DD91F8D">
                <v:shape id="_x0000_i1075" type="#_x0000_t75" style="width:22.15pt;height:21.6pt" o:ole="" fillcolor="window">
                  <v:imagedata r:id="rId71" o:title=""/>
                </v:shape>
                <o:OLEObject Type="Embed" ProgID="Equation.3" ShapeID="_x0000_i1075" DrawAspect="Content" ObjectID="_1734764455" r:id="rId97"/>
              </w:object>
            </w:r>
            <w:r w:rsidRPr="007E2F91">
              <w:rPr>
                <w:rFonts w:eastAsiaTheme="minorEastAsia"/>
                <w:vertAlign w:val="superscript"/>
                <w:lang w:val="en-US"/>
              </w:rPr>
              <w:t>Note2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CEC7DE8" w14:textId="77777777" w:rsidR="003A71DE" w:rsidRPr="007E2F91" w:rsidRDefault="003A71DE" w:rsidP="001A5D47">
            <w:pPr>
              <w:pStyle w:val="TAC"/>
              <w:rPr>
                <w:rFonts w:eastAsiaTheme="minorEastAsia"/>
                <w:lang w:val="en-US"/>
              </w:rPr>
            </w:pPr>
            <w:r w:rsidRPr="007E2F91">
              <w:rPr>
                <w:rFonts w:eastAsiaTheme="minorEastAsia"/>
                <w:lang w:val="en-US"/>
              </w:rPr>
              <w:t>dBm/15kHz</w:t>
            </w:r>
          </w:p>
        </w:tc>
        <w:tc>
          <w:tcPr>
            <w:tcW w:w="2327" w:type="dxa"/>
            <w:gridSpan w:val="3"/>
            <w:tcBorders>
              <w:top w:val="single" w:sz="4" w:space="0" w:color="auto"/>
              <w:left w:val="single" w:sz="4" w:space="0" w:color="auto"/>
              <w:right w:val="single" w:sz="4" w:space="0" w:color="auto"/>
            </w:tcBorders>
            <w:vAlign w:val="center"/>
          </w:tcPr>
          <w:p w14:paraId="77A702EC" w14:textId="77777777" w:rsidR="003A71DE" w:rsidRPr="007E2F91" w:rsidRDefault="003A71DE" w:rsidP="001A5D47">
            <w:pPr>
              <w:pStyle w:val="TAC"/>
              <w:rPr>
                <w:rFonts w:eastAsiaTheme="minorEastAsia"/>
                <w:lang w:val="en-US" w:eastAsia="zh-CN"/>
              </w:rPr>
            </w:pPr>
            <w:r w:rsidRPr="007E2F91">
              <w:rPr>
                <w:rFonts w:eastAsiaTheme="minorEastAsia"/>
              </w:rPr>
              <w:t>-104.7</w:t>
            </w:r>
          </w:p>
          <w:p w14:paraId="5D28092D" w14:textId="77777777" w:rsidR="003A71DE" w:rsidRPr="007E2F91" w:rsidRDefault="003A71DE" w:rsidP="001A5D47">
            <w:pPr>
              <w:pStyle w:val="TAC"/>
              <w:rPr>
                <w:rFonts w:eastAsiaTheme="minorEastAsia"/>
                <w:lang w:val="en-US"/>
              </w:rPr>
            </w:pPr>
          </w:p>
        </w:tc>
        <w:tc>
          <w:tcPr>
            <w:tcW w:w="2328" w:type="dxa"/>
            <w:gridSpan w:val="4"/>
            <w:tcBorders>
              <w:top w:val="single" w:sz="4" w:space="0" w:color="auto"/>
              <w:left w:val="single" w:sz="4" w:space="0" w:color="auto"/>
              <w:right w:val="single" w:sz="4" w:space="0" w:color="auto"/>
            </w:tcBorders>
            <w:vAlign w:val="center"/>
          </w:tcPr>
          <w:p w14:paraId="63F4DD7C" w14:textId="77777777" w:rsidR="003A71DE" w:rsidRPr="007E2F91" w:rsidRDefault="003A71DE" w:rsidP="001A5D47">
            <w:pPr>
              <w:pStyle w:val="TAC"/>
              <w:rPr>
                <w:rFonts w:eastAsiaTheme="minorEastAsia"/>
                <w:lang w:val="en-US" w:eastAsia="zh-CN"/>
              </w:rPr>
            </w:pPr>
            <w:r w:rsidRPr="007E2F91">
              <w:rPr>
                <w:rFonts w:eastAsiaTheme="minorEastAsia"/>
              </w:rPr>
              <w:t>-104.7</w:t>
            </w:r>
          </w:p>
          <w:p w14:paraId="43E1CB98" w14:textId="77777777" w:rsidR="003A71DE" w:rsidRPr="007E2F91" w:rsidRDefault="003A71DE" w:rsidP="001A5D47">
            <w:pPr>
              <w:pStyle w:val="TAC"/>
              <w:rPr>
                <w:rFonts w:eastAsiaTheme="minorEastAsia"/>
                <w:lang w:val="en-US"/>
              </w:rPr>
            </w:pPr>
          </w:p>
        </w:tc>
      </w:tr>
      <w:tr w:rsidR="003A71DE" w:rsidRPr="007E2F91" w14:paraId="2F52604D" w14:textId="77777777" w:rsidTr="003A71DE">
        <w:trPr>
          <w:trHeight w:val="116"/>
          <w:jc w:val="center"/>
        </w:trPr>
        <w:tc>
          <w:tcPr>
            <w:tcW w:w="970" w:type="dxa"/>
            <w:vMerge w:val="restart"/>
            <w:tcBorders>
              <w:top w:val="single" w:sz="4" w:space="0" w:color="auto"/>
              <w:left w:val="single" w:sz="4" w:space="0" w:color="auto"/>
              <w:right w:val="single" w:sz="4" w:space="0" w:color="auto"/>
            </w:tcBorders>
            <w:vAlign w:val="center"/>
          </w:tcPr>
          <w:p w14:paraId="32844E5A" w14:textId="77777777" w:rsidR="003A71DE" w:rsidRPr="007E2F91" w:rsidRDefault="003A71DE" w:rsidP="001A5D47">
            <w:pPr>
              <w:pStyle w:val="TAL"/>
              <w:rPr>
                <w:rFonts w:eastAsiaTheme="minorEastAsia"/>
                <w:vertAlign w:val="superscript"/>
                <w:lang w:val="en-US"/>
              </w:rPr>
            </w:pPr>
            <w:r w:rsidRPr="007E2F91">
              <w:rPr>
                <w:rFonts w:eastAsiaTheme="minorEastAsia"/>
                <w:lang w:val="en-US"/>
              </w:rPr>
              <w:object w:dxaOrig="405" w:dyaOrig="345" w14:anchorId="2D9C184D">
                <v:shape id="_x0000_i1076" type="#_x0000_t75" style="width:22.15pt;height:21.6pt" o:ole="" fillcolor="window">
                  <v:imagedata r:id="rId71" o:title=""/>
                </v:shape>
                <o:OLEObject Type="Embed" ProgID="Equation.3" ShapeID="_x0000_i1076" DrawAspect="Content" ObjectID="_1734764456" r:id="rId98"/>
              </w:object>
            </w:r>
            <w:r w:rsidRPr="007E2F91">
              <w:rPr>
                <w:rFonts w:eastAsiaTheme="minorEastAsia"/>
                <w:vertAlign w:val="superscript"/>
                <w:lang w:val="en-US"/>
              </w:rPr>
              <w:t>Note2</w:t>
            </w:r>
          </w:p>
        </w:tc>
        <w:tc>
          <w:tcPr>
            <w:tcW w:w="2835" w:type="dxa"/>
            <w:gridSpan w:val="2"/>
            <w:tcBorders>
              <w:top w:val="single" w:sz="4" w:space="0" w:color="auto"/>
              <w:left w:val="single" w:sz="4" w:space="0" w:color="auto"/>
              <w:right w:val="single" w:sz="4" w:space="0" w:color="auto"/>
            </w:tcBorders>
            <w:vAlign w:val="center"/>
          </w:tcPr>
          <w:p w14:paraId="18BE905D" w14:textId="77777777" w:rsidR="003A71DE" w:rsidRPr="007E2F91" w:rsidRDefault="003A71DE" w:rsidP="001A5D47">
            <w:pPr>
              <w:pStyle w:val="TAL"/>
              <w:rPr>
                <w:rFonts w:eastAsiaTheme="minorEastAsia"/>
                <w:lang w:val="en-US"/>
              </w:rPr>
            </w:pPr>
            <w:r w:rsidRPr="007E2F91">
              <w:rPr>
                <w:rFonts w:eastAsiaTheme="minorEastAsia"/>
              </w:rPr>
              <w:t xml:space="preserve">Config </w:t>
            </w:r>
            <w:r w:rsidRPr="007E2F91">
              <w:rPr>
                <w:rFonts w:eastAsiaTheme="minorEastAsia"/>
                <w:lang w:val="en-US"/>
              </w:rPr>
              <w:t>1</w:t>
            </w:r>
          </w:p>
        </w:tc>
        <w:tc>
          <w:tcPr>
            <w:tcW w:w="1134" w:type="dxa"/>
            <w:vMerge w:val="restart"/>
            <w:tcBorders>
              <w:top w:val="single" w:sz="4" w:space="0" w:color="auto"/>
              <w:left w:val="single" w:sz="4" w:space="0" w:color="auto"/>
              <w:right w:val="single" w:sz="4" w:space="0" w:color="auto"/>
            </w:tcBorders>
            <w:vAlign w:val="center"/>
          </w:tcPr>
          <w:p w14:paraId="61B50611" w14:textId="77777777" w:rsidR="003A71DE" w:rsidRPr="007E2F91" w:rsidRDefault="003A71DE" w:rsidP="001A5D47">
            <w:pPr>
              <w:pStyle w:val="TAC"/>
              <w:rPr>
                <w:rFonts w:eastAsiaTheme="minorEastAsia"/>
                <w:lang w:val="en-US"/>
              </w:rPr>
            </w:pPr>
          </w:p>
          <w:p w14:paraId="78B6A28C" w14:textId="77777777" w:rsidR="003A71DE" w:rsidRPr="007E2F91" w:rsidRDefault="003A71DE" w:rsidP="001A5D47">
            <w:pPr>
              <w:pStyle w:val="TAC"/>
              <w:rPr>
                <w:rFonts w:eastAsiaTheme="minorEastAsia"/>
                <w:lang w:val="en-US"/>
              </w:rPr>
            </w:pPr>
            <w:r w:rsidRPr="007E2F91">
              <w:rPr>
                <w:rFonts w:eastAsiaTheme="minorEastAsia"/>
                <w:lang w:val="en-US"/>
              </w:rPr>
              <w:t>dBm/SCS</w:t>
            </w:r>
          </w:p>
        </w:tc>
        <w:tc>
          <w:tcPr>
            <w:tcW w:w="2327" w:type="dxa"/>
            <w:gridSpan w:val="3"/>
            <w:tcBorders>
              <w:top w:val="single" w:sz="4" w:space="0" w:color="auto"/>
              <w:left w:val="single" w:sz="4" w:space="0" w:color="auto"/>
              <w:right w:val="single" w:sz="4" w:space="0" w:color="auto"/>
            </w:tcBorders>
            <w:vAlign w:val="center"/>
          </w:tcPr>
          <w:p w14:paraId="1186D60A" w14:textId="77777777" w:rsidR="003A71DE" w:rsidRPr="007E2F91" w:rsidRDefault="003A71DE" w:rsidP="001A5D47">
            <w:pPr>
              <w:pStyle w:val="TAC"/>
              <w:rPr>
                <w:rFonts w:eastAsiaTheme="minorEastAsia"/>
                <w:lang w:val="en-US" w:eastAsia="zh-CN"/>
              </w:rPr>
            </w:pPr>
            <w:r w:rsidRPr="007E2F91">
              <w:rPr>
                <w:rFonts w:eastAsiaTheme="minorEastAsia"/>
              </w:rPr>
              <w:t>-95.7</w:t>
            </w:r>
          </w:p>
          <w:p w14:paraId="7CCDF6CD" w14:textId="77777777" w:rsidR="003A71DE" w:rsidRPr="007E2F91" w:rsidRDefault="003A71DE" w:rsidP="001A5D47">
            <w:pPr>
              <w:pStyle w:val="TAC"/>
              <w:rPr>
                <w:rFonts w:eastAsiaTheme="minorEastAsia"/>
                <w:lang w:val="en-US"/>
              </w:rPr>
            </w:pPr>
          </w:p>
        </w:tc>
        <w:tc>
          <w:tcPr>
            <w:tcW w:w="2328" w:type="dxa"/>
            <w:gridSpan w:val="4"/>
            <w:tcBorders>
              <w:top w:val="single" w:sz="4" w:space="0" w:color="auto"/>
              <w:left w:val="single" w:sz="4" w:space="0" w:color="auto"/>
              <w:right w:val="single" w:sz="4" w:space="0" w:color="auto"/>
            </w:tcBorders>
            <w:vAlign w:val="center"/>
          </w:tcPr>
          <w:p w14:paraId="04820705" w14:textId="77777777" w:rsidR="003A71DE" w:rsidRPr="007E2F91" w:rsidRDefault="003A71DE" w:rsidP="001A5D47">
            <w:pPr>
              <w:pStyle w:val="TAC"/>
              <w:rPr>
                <w:rFonts w:eastAsiaTheme="minorEastAsia"/>
                <w:lang w:val="en-US" w:eastAsia="zh-CN"/>
              </w:rPr>
            </w:pPr>
            <w:r w:rsidRPr="007E2F91">
              <w:rPr>
                <w:rFonts w:eastAsiaTheme="minorEastAsia"/>
              </w:rPr>
              <w:t>-95.7</w:t>
            </w:r>
          </w:p>
          <w:p w14:paraId="0B53F7B4" w14:textId="77777777" w:rsidR="003A71DE" w:rsidRPr="007E2F91" w:rsidRDefault="003A71DE" w:rsidP="001A5D47">
            <w:pPr>
              <w:pStyle w:val="TAC"/>
              <w:rPr>
                <w:rFonts w:eastAsiaTheme="minorEastAsia"/>
                <w:lang w:val="en-US"/>
              </w:rPr>
            </w:pPr>
          </w:p>
        </w:tc>
      </w:tr>
      <w:tr w:rsidR="003A71DE" w:rsidRPr="007E2F91" w14:paraId="1A08BD77" w14:textId="77777777" w:rsidTr="003A71DE">
        <w:trPr>
          <w:trHeight w:val="42"/>
          <w:jc w:val="center"/>
        </w:trPr>
        <w:tc>
          <w:tcPr>
            <w:tcW w:w="970" w:type="dxa"/>
            <w:vMerge/>
            <w:tcBorders>
              <w:left w:val="single" w:sz="4" w:space="0" w:color="auto"/>
              <w:right w:val="single" w:sz="4" w:space="0" w:color="auto"/>
            </w:tcBorders>
            <w:vAlign w:val="center"/>
          </w:tcPr>
          <w:p w14:paraId="06452E63" w14:textId="77777777" w:rsidR="003A71DE" w:rsidRPr="007E2F91" w:rsidRDefault="003A71DE" w:rsidP="001A5D47">
            <w:pPr>
              <w:pStyle w:val="TAL"/>
              <w:rPr>
                <w:rFonts w:eastAsiaTheme="minorEastAsia"/>
                <w:lang w:val="en-US"/>
              </w:rPr>
            </w:pPr>
          </w:p>
        </w:tc>
        <w:tc>
          <w:tcPr>
            <w:tcW w:w="2835" w:type="dxa"/>
            <w:gridSpan w:val="2"/>
            <w:tcBorders>
              <w:left w:val="single" w:sz="4" w:space="0" w:color="auto"/>
              <w:right w:val="single" w:sz="4" w:space="0" w:color="auto"/>
            </w:tcBorders>
            <w:vAlign w:val="center"/>
          </w:tcPr>
          <w:p w14:paraId="27113939" w14:textId="77777777" w:rsidR="003A71DE" w:rsidRPr="007E2F91" w:rsidRDefault="003A71DE" w:rsidP="001A5D47">
            <w:pPr>
              <w:pStyle w:val="TAL"/>
              <w:rPr>
                <w:rFonts w:eastAsiaTheme="minorEastAsia"/>
                <w:lang w:val="en-US"/>
              </w:rPr>
            </w:pPr>
            <w:r w:rsidRPr="007E2F91">
              <w:rPr>
                <w:rFonts w:eastAsiaTheme="minorEastAsia"/>
              </w:rPr>
              <w:t xml:space="preserve">Config </w:t>
            </w:r>
            <w:r w:rsidRPr="007E2F91">
              <w:rPr>
                <w:rFonts w:eastAsiaTheme="minorEastAsia"/>
                <w:lang w:val="en-US"/>
              </w:rPr>
              <w:t>2</w:t>
            </w:r>
          </w:p>
        </w:tc>
        <w:tc>
          <w:tcPr>
            <w:tcW w:w="1134" w:type="dxa"/>
            <w:vMerge/>
            <w:tcBorders>
              <w:left w:val="single" w:sz="4" w:space="0" w:color="auto"/>
              <w:right w:val="single" w:sz="4" w:space="0" w:color="auto"/>
            </w:tcBorders>
            <w:vAlign w:val="center"/>
          </w:tcPr>
          <w:p w14:paraId="5ACD0E75" w14:textId="77777777" w:rsidR="003A71DE" w:rsidRPr="007E2F91" w:rsidRDefault="003A71DE" w:rsidP="001A5D47">
            <w:pPr>
              <w:pStyle w:val="TAC"/>
              <w:rPr>
                <w:rFonts w:eastAsiaTheme="minorEastAsia"/>
                <w:lang w:val="en-US"/>
              </w:rPr>
            </w:pPr>
          </w:p>
        </w:tc>
        <w:tc>
          <w:tcPr>
            <w:tcW w:w="2327" w:type="dxa"/>
            <w:gridSpan w:val="3"/>
            <w:tcBorders>
              <w:left w:val="single" w:sz="4" w:space="0" w:color="auto"/>
              <w:right w:val="single" w:sz="4" w:space="0" w:color="auto"/>
            </w:tcBorders>
            <w:vAlign w:val="center"/>
          </w:tcPr>
          <w:p w14:paraId="07B074AD" w14:textId="77777777" w:rsidR="003A71DE" w:rsidRPr="007E2F91" w:rsidRDefault="003A71DE" w:rsidP="001A5D47">
            <w:pPr>
              <w:pStyle w:val="TAC"/>
              <w:rPr>
                <w:rFonts w:eastAsiaTheme="minorEastAsia"/>
                <w:lang w:val="en-US" w:eastAsia="zh-CN"/>
              </w:rPr>
            </w:pPr>
            <w:r w:rsidRPr="007E2F91">
              <w:rPr>
                <w:rFonts w:eastAsiaTheme="minorEastAsia"/>
              </w:rPr>
              <w:t>-95.7</w:t>
            </w:r>
          </w:p>
          <w:p w14:paraId="1778BFFB" w14:textId="77777777" w:rsidR="003A71DE" w:rsidRPr="007E2F91" w:rsidRDefault="003A71DE" w:rsidP="001A5D47">
            <w:pPr>
              <w:pStyle w:val="TAC"/>
              <w:rPr>
                <w:rFonts w:eastAsiaTheme="minorEastAsia"/>
                <w:lang w:val="en-US"/>
              </w:rPr>
            </w:pPr>
          </w:p>
        </w:tc>
        <w:tc>
          <w:tcPr>
            <w:tcW w:w="2328" w:type="dxa"/>
            <w:gridSpan w:val="4"/>
            <w:tcBorders>
              <w:left w:val="single" w:sz="4" w:space="0" w:color="auto"/>
              <w:right w:val="single" w:sz="4" w:space="0" w:color="auto"/>
            </w:tcBorders>
            <w:vAlign w:val="center"/>
          </w:tcPr>
          <w:p w14:paraId="0E69BD54" w14:textId="77777777" w:rsidR="003A71DE" w:rsidRPr="007E2F91" w:rsidRDefault="003A71DE" w:rsidP="001A5D47">
            <w:pPr>
              <w:pStyle w:val="TAC"/>
              <w:rPr>
                <w:rFonts w:eastAsiaTheme="minorEastAsia"/>
                <w:lang w:val="en-US" w:eastAsia="zh-CN"/>
              </w:rPr>
            </w:pPr>
            <w:r w:rsidRPr="007E2F91">
              <w:rPr>
                <w:rFonts w:eastAsiaTheme="minorEastAsia"/>
              </w:rPr>
              <w:t>-95.7</w:t>
            </w:r>
          </w:p>
          <w:p w14:paraId="0990FB63" w14:textId="77777777" w:rsidR="003A71DE" w:rsidRPr="007E2F91" w:rsidRDefault="003A71DE" w:rsidP="001A5D47">
            <w:pPr>
              <w:pStyle w:val="TAC"/>
              <w:rPr>
                <w:rFonts w:eastAsiaTheme="minorEastAsia"/>
                <w:lang w:val="en-US"/>
              </w:rPr>
            </w:pPr>
          </w:p>
        </w:tc>
      </w:tr>
      <w:tr w:rsidR="003A71DE" w:rsidRPr="007E2F91" w14:paraId="242F4F65" w14:textId="77777777" w:rsidTr="003A71DE">
        <w:trPr>
          <w:trHeight w:val="314"/>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5C59300E" w14:textId="77777777" w:rsidR="003A71DE" w:rsidRPr="007E2F91" w:rsidRDefault="003A71DE" w:rsidP="001A5D47">
            <w:pPr>
              <w:pStyle w:val="TAL"/>
              <w:rPr>
                <w:rFonts w:eastAsiaTheme="minorEastAsia"/>
                <w:i/>
                <w:lang w:val="en-US"/>
              </w:rPr>
            </w:pPr>
            <w:r w:rsidRPr="007E2F91">
              <w:rPr>
                <w:rFonts w:eastAsiaTheme="minorEastAsia"/>
                <w:i/>
                <w:lang w:val="en-US"/>
              </w:rPr>
              <w:object w:dxaOrig="615" w:dyaOrig="390" w14:anchorId="585CFEAA">
                <v:shape id="_x0000_i1077" type="#_x0000_t75" style="width:29.35pt;height:22.15pt" o:ole="" fillcolor="window">
                  <v:imagedata r:id="rId69" o:title=""/>
                </v:shape>
                <o:OLEObject Type="Embed" ProgID="Equation.3" ShapeID="_x0000_i1077" DrawAspect="Content" ObjectID="_1734764457" r:id="rId99"/>
              </w:object>
            </w:r>
          </w:p>
        </w:tc>
        <w:tc>
          <w:tcPr>
            <w:tcW w:w="1134" w:type="dxa"/>
            <w:tcBorders>
              <w:top w:val="single" w:sz="4" w:space="0" w:color="auto"/>
              <w:left w:val="single" w:sz="4" w:space="0" w:color="auto"/>
              <w:bottom w:val="single" w:sz="4" w:space="0" w:color="auto"/>
              <w:right w:val="single" w:sz="4" w:space="0" w:color="auto"/>
            </w:tcBorders>
            <w:vAlign w:val="center"/>
            <w:hideMark/>
          </w:tcPr>
          <w:p w14:paraId="64958145" w14:textId="77777777" w:rsidR="003A71DE" w:rsidRPr="007E2F91" w:rsidRDefault="003A71DE" w:rsidP="001A5D47">
            <w:pPr>
              <w:pStyle w:val="TAC"/>
              <w:rPr>
                <w:rFonts w:eastAsiaTheme="minorEastAsia"/>
                <w:lang w:val="en-US"/>
              </w:rPr>
            </w:pPr>
            <w:r w:rsidRPr="007E2F91">
              <w:rPr>
                <w:rFonts w:eastAsiaTheme="minorEastAsia"/>
                <w:lang w:val="en-US"/>
              </w:rPr>
              <w:t>dB</w:t>
            </w:r>
          </w:p>
        </w:tc>
        <w:tc>
          <w:tcPr>
            <w:tcW w:w="1163" w:type="dxa"/>
            <w:tcBorders>
              <w:top w:val="single" w:sz="4" w:space="0" w:color="auto"/>
              <w:left w:val="single" w:sz="4" w:space="0" w:color="auto"/>
              <w:right w:val="single" w:sz="4" w:space="0" w:color="auto"/>
            </w:tcBorders>
            <w:vAlign w:val="center"/>
          </w:tcPr>
          <w:p w14:paraId="568D1B64" w14:textId="77777777" w:rsidR="003A71DE" w:rsidRPr="007E2F91" w:rsidRDefault="003A71DE" w:rsidP="001A5D47">
            <w:pPr>
              <w:pStyle w:val="TAC"/>
              <w:rPr>
                <w:rFonts w:eastAsiaTheme="minorEastAsia"/>
                <w:lang w:val="en-US"/>
              </w:rPr>
            </w:pPr>
            <w:r w:rsidRPr="007E2F91">
              <w:rPr>
                <w:rFonts w:eastAsiaTheme="minorEastAsia"/>
                <w:lang w:val="en-US" w:eastAsia="zh-CN"/>
              </w:rPr>
              <w:t>5</w:t>
            </w:r>
          </w:p>
        </w:tc>
        <w:tc>
          <w:tcPr>
            <w:tcW w:w="1164" w:type="dxa"/>
            <w:gridSpan w:val="2"/>
            <w:tcBorders>
              <w:top w:val="single" w:sz="4" w:space="0" w:color="auto"/>
              <w:left w:val="single" w:sz="4" w:space="0" w:color="auto"/>
              <w:right w:val="single" w:sz="4" w:space="0" w:color="auto"/>
            </w:tcBorders>
            <w:vAlign w:val="center"/>
          </w:tcPr>
          <w:p w14:paraId="7E60B7AC" w14:textId="77777777" w:rsidR="003A71DE" w:rsidRPr="007E2F91" w:rsidRDefault="003A71DE" w:rsidP="001A5D47">
            <w:pPr>
              <w:pStyle w:val="TAC"/>
              <w:rPr>
                <w:rFonts w:eastAsiaTheme="minorEastAsia"/>
                <w:lang w:val="en-US"/>
              </w:rPr>
            </w:pPr>
            <w:r w:rsidRPr="007E2F91">
              <w:rPr>
                <w:rFonts w:eastAsiaTheme="minorEastAsia"/>
                <w:lang w:val="en-US" w:eastAsia="zh-CN"/>
              </w:rPr>
              <w:t>5</w:t>
            </w:r>
          </w:p>
        </w:tc>
        <w:tc>
          <w:tcPr>
            <w:tcW w:w="1164" w:type="dxa"/>
            <w:gridSpan w:val="2"/>
            <w:tcBorders>
              <w:top w:val="single" w:sz="4" w:space="0" w:color="auto"/>
              <w:left w:val="single" w:sz="4" w:space="0" w:color="auto"/>
              <w:right w:val="single" w:sz="4" w:space="0" w:color="auto"/>
            </w:tcBorders>
            <w:vAlign w:val="center"/>
          </w:tcPr>
          <w:p w14:paraId="5F733459" w14:textId="77777777" w:rsidR="003A71DE" w:rsidRPr="007E2F91" w:rsidRDefault="003A71DE" w:rsidP="001A5D47">
            <w:pPr>
              <w:pStyle w:val="TAC"/>
              <w:rPr>
                <w:rFonts w:eastAsiaTheme="minorEastAsia"/>
                <w:lang w:val="en-US"/>
              </w:rPr>
            </w:pPr>
            <w:r w:rsidRPr="007E2F91">
              <w:rPr>
                <w:rFonts w:eastAsiaTheme="minorEastAsia"/>
                <w:lang w:val="en-US" w:eastAsia="zh-CN"/>
              </w:rPr>
              <w:t>-Infinity</w:t>
            </w:r>
          </w:p>
        </w:tc>
        <w:tc>
          <w:tcPr>
            <w:tcW w:w="1164" w:type="dxa"/>
            <w:gridSpan w:val="2"/>
            <w:tcBorders>
              <w:top w:val="single" w:sz="4" w:space="0" w:color="auto"/>
              <w:left w:val="single" w:sz="4" w:space="0" w:color="auto"/>
              <w:right w:val="single" w:sz="4" w:space="0" w:color="auto"/>
            </w:tcBorders>
            <w:vAlign w:val="center"/>
          </w:tcPr>
          <w:p w14:paraId="61AC25B4" w14:textId="77777777" w:rsidR="003A71DE" w:rsidRPr="007E2F91" w:rsidRDefault="003A71DE" w:rsidP="001A5D47">
            <w:pPr>
              <w:pStyle w:val="TAC"/>
              <w:rPr>
                <w:rFonts w:eastAsiaTheme="minorEastAsia"/>
                <w:lang w:val="en-US"/>
              </w:rPr>
            </w:pPr>
            <w:r w:rsidRPr="007E2F91">
              <w:rPr>
                <w:rFonts w:eastAsiaTheme="minorEastAsia"/>
                <w:lang w:val="en-US" w:eastAsia="zh-CN"/>
              </w:rPr>
              <w:t>5</w:t>
            </w:r>
          </w:p>
        </w:tc>
      </w:tr>
      <w:tr w:rsidR="003A71DE" w:rsidRPr="007E2F91" w14:paraId="287EA0CA" w14:textId="77777777" w:rsidTr="003A71DE">
        <w:trPr>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4605A9D6" w14:textId="77777777" w:rsidR="003A71DE" w:rsidRPr="007E2F91" w:rsidRDefault="003A71DE" w:rsidP="001A5D47">
            <w:pPr>
              <w:pStyle w:val="TAL"/>
              <w:rPr>
                <w:rFonts w:eastAsiaTheme="minorEastAsia"/>
                <w:lang w:val="en-US"/>
              </w:rPr>
            </w:pPr>
            <w:r w:rsidRPr="007E2F91">
              <w:rPr>
                <w:rFonts w:eastAsiaTheme="minorEastAsia"/>
                <w:lang w:val="en-US"/>
              </w:rPr>
              <w:object w:dxaOrig="810" w:dyaOrig="390" w14:anchorId="02A29E8C">
                <v:shape id="_x0000_i1078" type="#_x0000_t75" style="width:42.65pt;height:22.15pt" o:ole="" fillcolor="window">
                  <v:imagedata r:id="rId74" o:title=""/>
                </v:shape>
                <o:OLEObject Type="Embed" ProgID="Equation.3" ShapeID="_x0000_i1078" DrawAspect="Content" ObjectID="_1734764458" r:id="rId100"/>
              </w:objec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514FE8" w14:textId="77777777" w:rsidR="003A71DE" w:rsidRPr="007E2F91" w:rsidRDefault="003A71DE" w:rsidP="001A5D47">
            <w:pPr>
              <w:pStyle w:val="TAC"/>
              <w:rPr>
                <w:rFonts w:eastAsiaTheme="minorEastAsia"/>
                <w:lang w:val="en-US"/>
              </w:rPr>
            </w:pPr>
            <w:r w:rsidRPr="007E2F91">
              <w:rPr>
                <w:rFonts w:eastAsiaTheme="minorEastAsia"/>
                <w:lang w:val="en-US"/>
              </w:rPr>
              <w:t>dB</w:t>
            </w:r>
          </w:p>
        </w:tc>
        <w:tc>
          <w:tcPr>
            <w:tcW w:w="1163" w:type="dxa"/>
            <w:tcBorders>
              <w:left w:val="single" w:sz="4" w:space="0" w:color="auto"/>
              <w:bottom w:val="single" w:sz="4" w:space="0" w:color="auto"/>
              <w:right w:val="single" w:sz="4" w:space="0" w:color="auto"/>
            </w:tcBorders>
            <w:vAlign w:val="center"/>
          </w:tcPr>
          <w:p w14:paraId="647356F6" w14:textId="77777777" w:rsidR="003A71DE" w:rsidRPr="007E2F91" w:rsidRDefault="003A71DE" w:rsidP="001A5D47">
            <w:pPr>
              <w:pStyle w:val="TAC"/>
              <w:rPr>
                <w:rFonts w:eastAsiaTheme="minorEastAsia"/>
                <w:lang w:val="en-US"/>
              </w:rPr>
            </w:pPr>
            <w:r w:rsidRPr="007E2F91">
              <w:rPr>
                <w:rFonts w:eastAsiaTheme="minorEastAsia"/>
                <w:lang w:val="en-US" w:eastAsia="zh-CN"/>
              </w:rPr>
              <w:t>5</w:t>
            </w:r>
          </w:p>
        </w:tc>
        <w:tc>
          <w:tcPr>
            <w:tcW w:w="1164" w:type="dxa"/>
            <w:gridSpan w:val="2"/>
            <w:tcBorders>
              <w:left w:val="single" w:sz="4" w:space="0" w:color="auto"/>
              <w:bottom w:val="single" w:sz="4" w:space="0" w:color="auto"/>
              <w:right w:val="single" w:sz="4" w:space="0" w:color="auto"/>
            </w:tcBorders>
            <w:vAlign w:val="center"/>
          </w:tcPr>
          <w:p w14:paraId="37DC19D9" w14:textId="77777777" w:rsidR="003A71DE" w:rsidRPr="007E2F91" w:rsidRDefault="003A71DE" w:rsidP="001A5D47">
            <w:pPr>
              <w:pStyle w:val="TAC"/>
              <w:rPr>
                <w:rFonts w:eastAsiaTheme="minorEastAsia"/>
                <w:lang w:val="en-US"/>
              </w:rPr>
            </w:pPr>
            <w:r w:rsidRPr="007E2F91">
              <w:rPr>
                <w:rFonts w:eastAsiaTheme="minorEastAsia"/>
                <w:lang w:val="en-US" w:eastAsia="zh-CN"/>
              </w:rPr>
              <w:t>5</w:t>
            </w:r>
          </w:p>
        </w:tc>
        <w:tc>
          <w:tcPr>
            <w:tcW w:w="1164" w:type="dxa"/>
            <w:gridSpan w:val="2"/>
            <w:tcBorders>
              <w:left w:val="single" w:sz="4" w:space="0" w:color="auto"/>
              <w:bottom w:val="single" w:sz="4" w:space="0" w:color="auto"/>
              <w:right w:val="single" w:sz="4" w:space="0" w:color="auto"/>
            </w:tcBorders>
            <w:vAlign w:val="center"/>
          </w:tcPr>
          <w:p w14:paraId="11D864B0" w14:textId="77777777" w:rsidR="003A71DE" w:rsidRPr="007E2F91" w:rsidRDefault="003A71DE" w:rsidP="001A5D47">
            <w:pPr>
              <w:pStyle w:val="TAC"/>
              <w:rPr>
                <w:rFonts w:eastAsiaTheme="minorEastAsia"/>
                <w:lang w:val="en-US"/>
              </w:rPr>
            </w:pPr>
            <w:r w:rsidRPr="007E2F91">
              <w:rPr>
                <w:rFonts w:eastAsiaTheme="minorEastAsia"/>
                <w:lang w:val="en-US"/>
              </w:rPr>
              <w:t>-Infinity</w:t>
            </w:r>
          </w:p>
        </w:tc>
        <w:tc>
          <w:tcPr>
            <w:tcW w:w="1164" w:type="dxa"/>
            <w:gridSpan w:val="2"/>
            <w:tcBorders>
              <w:left w:val="single" w:sz="4" w:space="0" w:color="auto"/>
              <w:bottom w:val="single" w:sz="4" w:space="0" w:color="auto"/>
              <w:right w:val="single" w:sz="4" w:space="0" w:color="auto"/>
            </w:tcBorders>
            <w:vAlign w:val="center"/>
          </w:tcPr>
          <w:p w14:paraId="359B7906" w14:textId="77777777" w:rsidR="003A71DE" w:rsidRPr="007E2F91" w:rsidRDefault="003A71DE" w:rsidP="001A5D47">
            <w:pPr>
              <w:pStyle w:val="TAC"/>
              <w:rPr>
                <w:rFonts w:eastAsiaTheme="minorEastAsia"/>
                <w:lang w:val="en-US"/>
              </w:rPr>
            </w:pPr>
            <w:r w:rsidRPr="007E2F91">
              <w:rPr>
                <w:rFonts w:eastAsiaTheme="minorEastAsia"/>
                <w:lang w:val="en-US" w:eastAsia="zh-CN"/>
              </w:rPr>
              <w:t>5</w:t>
            </w:r>
          </w:p>
        </w:tc>
      </w:tr>
      <w:tr w:rsidR="003A71DE" w:rsidRPr="007E2F91" w14:paraId="059D07D6" w14:textId="77777777" w:rsidTr="003A71DE">
        <w:trPr>
          <w:trHeight w:val="210"/>
          <w:jc w:val="center"/>
        </w:trPr>
        <w:tc>
          <w:tcPr>
            <w:tcW w:w="970" w:type="dxa"/>
            <w:vMerge w:val="restart"/>
            <w:tcBorders>
              <w:top w:val="single" w:sz="4" w:space="0" w:color="auto"/>
              <w:left w:val="single" w:sz="4" w:space="0" w:color="auto"/>
              <w:right w:val="single" w:sz="4" w:space="0" w:color="auto"/>
            </w:tcBorders>
            <w:vAlign w:val="center"/>
            <w:hideMark/>
          </w:tcPr>
          <w:p w14:paraId="1CEB3569" w14:textId="77777777" w:rsidR="003A71DE" w:rsidRPr="007E2F91" w:rsidRDefault="003A71DE" w:rsidP="001A5D47">
            <w:pPr>
              <w:pStyle w:val="TAL"/>
              <w:rPr>
                <w:rFonts w:eastAsiaTheme="minorEastAsia"/>
                <w:lang w:val="en-US"/>
              </w:rPr>
            </w:pPr>
            <w:r w:rsidRPr="007E2F91">
              <w:rPr>
                <w:rFonts w:eastAsiaTheme="minorEastAsia"/>
                <w:lang w:val="en-US"/>
              </w:rPr>
              <w:t>Io</w:t>
            </w:r>
            <w:r w:rsidRPr="007E2F91">
              <w:rPr>
                <w:rFonts w:eastAsiaTheme="minorEastAsia"/>
                <w:vertAlign w:val="superscript"/>
                <w:lang w:val="en-US"/>
              </w:rPr>
              <w:t>Note3</w:t>
            </w:r>
          </w:p>
        </w:tc>
        <w:tc>
          <w:tcPr>
            <w:tcW w:w="2835" w:type="dxa"/>
            <w:gridSpan w:val="2"/>
            <w:tcBorders>
              <w:top w:val="single" w:sz="4" w:space="0" w:color="auto"/>
              <w:left w:val="single" w:sz="4" w:space="0" w:color="auto"/>
              <w:right w:val="single" w:sz="4" w:space="0" w:color="auto"/>
            </w:tcBorders>
            <w:vAlign w:val="center"/>
          </w:tcPr>
          <w:p w14:paraId="066CB053" w14:textId="77777777" w:rsidR="003A71DE" w:rsidRPr="007E2F91" w:rsidRDefault="003A71DE" w:rsidP="001A5D47">
            <w:pPr>
              <w:pStyle w:val="TAL"/>
              <w:rPr>
                <w:rFonts w:eastAsiaTheme="minorEastAsia"/>
                <w:lang w:val="en-US"/>
              </w:rPr>
            </w:pPr>
            <w:r w:rsidRPr="007E2F91">
              <w:rPr>
                <w:rFonts w:eastAsiaTheme="minorEastAsia"/>
              </w:rPr>
              <w:t xml:space="preserve">Config </w:t>
            </w:r>
            <w:r w:rsidRPr="007E2F91">
              <w:rPr>
                <w:rFonts w:eastAsiaTheme="minorEastAsia"/>
                <w:lang w:val="en-US"/>
              </w:rPr>
              <w:t>1</w:t>
            </w:r>
          </w:p>
        </w:tc>
        <w:tc>
          <w:tcPr>
            <w:tcW w:w="1134" w:type="dxa"/>
            <w:tcBorders>
              <w:top w:val="single" w:sz="4" w:space="0" w:color="auto"/>
              <w:left w:val="single" w:sz="4" w:space="0" w:color="auto"/>
              <w:right w:val="single" w:sz="4" w:space="0" w:color="auto"/>
            </w:tcBorders>
            <w:vAlign w:val="center"/>
            <w:hideMark/>
          </w:tcPr>
          <w:p w14:paraId="12B515F4" w14:textId="77777777" w:rsidR="003A71DE" w:rsidRPr="007E2F91" w:rsidRDefault="003A71DE" w:rsidP="001A5D47">
            <w:pPr>
              <w:pStyle w:val="TAC"/>
              <w:rPr>
                <w:rFonts w:eastAsiaTheme="minorEastAsia"/>
                <w:lang w:val="en-US"/>
              </w:rPr>
            </w:pPr>
            <w:r w:rsidRPr="007E2F91">
              <w:rPr>
                <w:rFonts w:eastAsiaTheme="minorEastAsia"/>
                <w:lang w:val="en-US"/>
              </w:rPr>
              <w:t>dBm/</w:t>
            </w:r>
          </w:p>
          <w:p w14:paraId="4817F527" w14:textId="77777777" w:rsidR="003A71DE" w:rsidRPr="007E2F91" w:rsidRDefault="003A71DE" w:rsidP="001A5D47">
            <w:pPr>
              <w:pStyle w:val="TAC"/>
              <w:rPr>
                <w:rFonts w:eastAsiaTheme="minorEastAsia"/>
                <w:lang w:val="en-US"/>
              </w:rPr>
            </w:pPr>
            <w:r w:rsidRPr="007E2F91">
              <w:rPr>
                <w:rFonts w:eastAsiaTheme="minorEastAsia"/>
                <w:lang w:val="en-US"/>
              </w:rPr>
              <w:t>BW</w:t>
            </w:r>
          </w:p>
        </w:tc>
        <w:tc>
          <w:tcPr>
            <w:tcW w:w="1163" w:type="dxa"/>
            <w:tcBorders>
              <w:top w:val="single" w:sz="4" w:space="0" w:color="auto"/>
              <w:left w:val="single" w:sz="4" w:space="0" w:color="auto"/>
              <w:right w:val="single" w:sz="4" w:space="0" w:color="auto"/>
            </w:tcBorders>
          </w:tcPr>
          <w:p w14:paraId="5A24A5E5"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top w:val="single" w:sz="4" w:space="0" w:color="auto"/>
              <w:left w:val="single" w:sz="4" w:space="0" w:color="auto"/>
              <w:right w:val="single" w:sz="4" w:space="0" w:color="auto"/>
            </w:tcBorders>
          </w:tcPr>
          <w:p w14:paraId="4AFD1C08"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top w:val="single" w:sz="4" w:space="0" w:color="auto"/>
              <w:left w:val="single" w:sz="4" w:space="0" w:color="auto"/>
              <w:right w:val="single" w:sz="4" w:space="0" w:color="auto"/>
            </w:tcBorders>
          </w:tcPr>
          <w:p w14:paraId="6B293093"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top w:val="single" w:sz="4" w:space="0" w:color="auto"/>
              <w:left w:val="single" w:sz="4" w:space="0" w:color="auto"/>
              <w:right w:val="single" w:sz="4" w:space="0" w:color="auto"/>
            </w:tcBorders>
          </w:tcPr>
          <w:p w14:paraId="26397728" w14:textId="77777777" w:rsidR="003A71DE" w:rsidRPr="007E2F91" w:rsidRDefault="003A71DE" w:rsidP="001A5D47">
            <w:pPr>
              <w:pStyle w:val="TAC"/>
              <w:rPr>
                <w:rFonts w:eastAsiaTheme="minorEastAsia"/>
                <w:lang w:val="en-US"/>
              </w:rPr>
            </w:pPr>
            <w:r w:rsidRPr="007E2F91">
              <w:rPr>
                <w:rFonts w:eastAsiaTheme="minorEastAsia"/>
                <w:lang w:val="en-US"/>
              </w:rPr>
              <w:t>Note3</w:t>
            </w:r>
          </w:p>
        </w:tc>
      </w:tr>
      <w:tr w:rsidR="003A71DE" w:rsidRPr="007E2F91" w14:paraId="1ECE4135" w14:textId="77777777" w:rsidTr="003A71DE">
        <w:trPr>
          <w:trHeight w:val="42"/>
          <w:jc w:val="center"/>
        </w:trPr>
        <w:tc>
          <w:tcPr>
            <w:tcW w:w="970" w:type="dxa"/>
            <w:vMerge/>
            <w:tcBorders>
              <w:left w:val="single" w:sz="4" w:space="0" w:color="auto"/>
              <w:right w:val="single" w:sz="4" w:space="0" w:color="auto"/>
            </w:tcBorders>
            <w:vAlign w:val="center"/>
            <w:hideMark/>
          </w:tcPr>
          <w:p w14:paraId="74424919" w14:textId="77777777" w:rsidR="003A71DE" w:rsidRPr="007E2F91" w:rsidRDefault="003A71DE" w:rsidP="001A5D47">
            <w:pPr>
              <w:pStyle w:val="TAL"/>
              <w:rPr>
                <w:rFonts w:eastAsiaTheme="minorEastAsia"/>
                <w:lang w:val="en-US"/>
              </w:rPr>
            </w:pPr>
          </w:p>
        </w:tc>
        <w:tc>
          <w:tcPr>
            <w:tcW w:w="2835" w:type="dxa"/>
            <w:gridSpan w:val="2"/>
            <w:tcBorders>
              <w:left w:val="single" w:sz="4" w:space="0" w:color="auto"/>
              <w:right w:val="single" w:sz="4" w:space="0" w:color="auto"/>
            </w:tcBorders>
            <w:vAlign w:val="center"/>
          </w:tcPr>
          <w:p w14:paraId="2DFB324E" w14:textId="77777777" w:rsidR="003A71DE" w:rsidRPr="007E2F91" w:rsidRDefault="003A71DE" w:rsidP="001A5D47">
            <w:pPr>
              <w:pStyle w:val="TAL"/>
              <w:rPr>
                <w:rFonts w:eastAsiaTheme="minorEastAsia"/>
                <w:lang w:val="en-US"/>
              </w:rPr>
            </w:pPr>
            <w:r w:rsidRPr="007E2F91">
              <w:rPr>
                <w:rFonts w:eastAsiaTheme="minorEastAsia"/>
              </w:rPr>
              <w:t xml:space="preserve">Config </w:t>
            </w:r>
            <w:r w:rsidRPr="007E2F91">
              <w:rPr>
                <w:rFonts w:eastAsiaTheme="minorEastAsia"/>
                <w:lang w:val="en-US"/>
              </w:rPr>
              <w:t>2</w:t>
            </w:r>
          </w:p>
        </w:tc>
        <w:tc>
          <w:tcPr>
            <w:tcW w:w="1134" w:type="dxa"/>
            <w:tcBorders>
              <w:left w:val="single" w:sz="4" w:space="0" w:color="auto"/>
              <w:right w:val="single" w:sz="4" w:space="0" w:color="auto"/>
            </w:tcBorders>
            <w:vAlign w:val="center"/>
            <w:hideMark/>
          </w:tcPr>
          <w:p w14:paraId="18C5954F" w14:textId="77777777" w:rsidR="003A71DE" w:rsidRPr="007E2F91" w:rsidRDefault="003A71DE" w:rsidP="001A5D47">
            <w:pPr>
              <w:pStyle w:val="TAC"/>
              <w:rPr>
                <w:rFonts w:eastAsiaTheme="minorEastAsia"/>
                <w:lang w:val="en-US"/>
              </w:rPr>
            </w:pPr>
            <w:r w:rsidRPr="007E2F91">
              <w:rPr>
                <w:rFonts w:eastAsiaTheme="minorEastAsia"/>
                <w:lang w:val="en-US"/>
              </w:rPr>
              <w:t>dBm/</w:t>
            </w:r>
          </w:p>
          <w:p w14:paraId="6EFDA94D" w14:textId="77777777" w:rsidR="003A71DE" w:rsidRPr="007E2F91" w:rsidRDefault="003A71DE" w:rsidP="001A5D47">
            <w:pPr>
              <w:pStyle w:val="TAC"/>
              <w:rPr>
                <w:lang w:val="en-US"/>
              </w:rPr>
            </w:pPr>
            <w:r w:rsidRPr="007E2F91">
              <w:rPr>
                <w:rFonts w:eastAsiaTheme="minorEastAsia"/>
                <w:lang w:val="en-US"/>
              </w:rPr>
              <w:t>BW</w:t>
            </w:r>
          </w:p>
        </w:tc>
        <w:tc>
          <w:tcPr>
            <w:tcW w:w="1163" w:type="dxa"/>
            <w:tcBorders>
              <w:left w:val="single" w:sz="4" w:space="0" w:color="auto"/>
              <w:right w:val="single" w:sz="4" w:space="0" w:color="auto"/>
            </w:tcBorders>
          </w:tcPr>
          <w:p w14:paraId="1454D241"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left w:val="single" w:sz="4" w:space="0" w:color="auto"/>
              <w:right w:val="single" w:sz="4" w:space="0" w:color="auto"/>
            </w:tcBorders>
          </w:tcPr>
          <w:p w14:paraId="1512D504"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left w:val="single" w:sz="4" w:space="0" w:color="auto"/>
              <w:right w:val="single" w:sz="4" w:space="0" w:color="auto"/>
            </w:tcBorders>
          </w:tcPr>
          <w:p w14:paraId="0E82C649" w14:textId="77777777" w:rsidR="003A71DE" w:rsidRPr="007E2F91" w:rsidRDefault="003A71DE" w:rsidP="001A5D47">
            <w:pPr>
              <w:pStyle w:val="TAC"/>
              <w:rPr>
                <w:rFonts w:eastAsiaTheme="minorEastAsia"/>
                <w:lang w:val="en-US"/>
              </w:rPr>
            </w:pPr>
            <w:r w:rsidRPr="007E2F91">
              <w:rPr>
                <w:rFonts w:eastAsiaTheme="minorEastAsia"/>
                <w:lang w:val="en-US"/>
              </w:rPr>
              <w:t>Note3</w:t>
            </w:r>
          </w:p>
        </w:tc>
        <w:tc>
          <w:tcPr>
            <w:tcW w:w="1164" w:type="dxa"/>
            <w:gridSpan w:val="2"/>
            <w:tcBorders>
              <w:left w:val="single" w:sz="4" w:space="0" w:color="auto"/>
              <w:right w:val="single" w:sz="4" w:space="0" w:color="auto"/>
            </w:tcBorders>
          </w:tcPr>
          <w:p w14:paraId="49FD8B1A" w14:textId="77777777" w:rsidR="003A71DE" w:rsidRPr="007E2F91" w:rsidRDefault="003A71DE" w:rsidP="001A5D47">
            <w:pPr>
              <w:pStyle w:val="TAC"/>
              <w:rPr>
                <w:rFonts w:eastAsiaTheme="minorEastAsia"/>
                <w:lang w:val="en-US"/>
              </w:rPr>
            </w:pPr>
            <w:r w:rsidRPr="007E2F91">
              <w:rPr>
                <w:rFonts w:eastAsiaTheme="minorEastAsia"/>
                <w:lang w:val="en-US"/>
              </w:rPr>
              <w:t>Note3</w:t>
            </w:r>
          </w:p>
        </w:tc>
      </w:tr>
      <w:tr w:rsidR="003A71DE" w:rsidRPr="007E2F91" w14:paraId="09E556C4" w14:textId="77777777" w:rsidTr="003A71DE">
        <w:trPr>
          <w:trHeight w:val="42"/>
          <w:jc w:val="center"/>
        </w:trPr>
        <w:tc>
          <w:tcPr>
            <w:tcW w:w="3805" w:type="dxa"/>
            <w:gridSpan w:val="3"/>
            <w:tcBorders>
              <w:top w:val="single" w:sz="4" w:space="0" w:color="auto"/>
              <w:left w:val="single" w:sz="4" w:space="0" w:color="auto"/>
              <w:bottom w:val="single" w:sz="4" w:space="0" w:color="auto"/>
              <w:right w:val="single" w:sz="4" w:space="0" w:color="auto"/>
            </w:tcBorders>
            <w:vAlign w:val="center"/>
            <w:hideMark/>
          </w:tcPr>
          <w:p w14:paraId="69A86325" w14:textId="77777777" w:rsidR="003A71DE" w:rsidRPr="007E2F91" w:rsidRDefault="003A71DE" w:rsidP="001A5D47">
            <w:pPr>
              <w:pStyle w:val="TAL"/>
              <w:rPr>
                <w:rFonts w:eastAsiaTheme="minorEastAsia"/>
                <w:lang w:val="en-US"/>
              </w:rPr>
            </w:pPr>
            <w:r w:rsidRPr="007E2F91">
              <w:rPr>
                <w:rFonts w:eastAsiaTheme="minorEastAsia"/>
                <w:lang w:val="en-US"/>
              </w:rPr>
              <w:t>Propagation condition</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BF07AEC" w14:textId="77777777" w:rsidR="003A71DE" w:rsidRPr="007E2F91" w:rsidRDefault="003A71DE" w:rsidP="001A5D47">
            <w:pPr>
              <w:pStyle w:val="TAC"/>
              <w:rPr>
                <w:rFonts w:eastAsiaTheme="minorEastAsia"/>
                <w:lang w:val="en-US"/>
              </w:rPr>
            </w:pPr>
            <w:r w:rsidRPr="007E2F91">
              <w:rPr>
                <w:rFonts w:eastAsiaTheme="minorEastAsia"/>
                <w:lang w:val="en-US"/>
              </w:rPr>
              <w:t>-</w:t>
            </w:r>
          </w:p>
        </w:tc>
        <w:tc>
          <w:tcPr>
            <w:tcW w:w="4655" w:type="dxa"/>
            <w:gridSpan w:val="7"/>
            <w:tcBorders>
              <w:top w:val="single" w:sz="4" w:space="0" w:color="auto"/>
              <w:left w:val="single" w:sz="4" w:space="0" w:color="auto"/>
              <w:bottom w:val="single" w:sz="4" w:space="0" w:color="auto"/>
              <w:right w:val="single" w:sz="4" w:space="0" w:color="auto"/>
            </w:tcBorders>
            <w:vAlign w:val="center"/>
            <w:hideMark/>
          </w:tcPr>
          <w:p w14:paraId="53A8B2EF" w14:textId="77777777" w:rsidR="003A71DE" w:rsidRPr="007E2F91" w:rsidRDefault="003A71DE" w:rsidP="001A5D47">
            <w:pPr>
              <w:pStyle w:val="TAC"/>
              <w:rPr>
                <w:rFonts w:eastAsiaTheme="minorEastAsia"/>
                <w:lang w:val="en-US"/>
              </w:rPr>
            </w:pPr>
            <w:r w:rsidRPr="007E2F91">
              <w:rPr>
                <w:rFonts w:eastAsiaTheme="minorEastAsia"/>
                <w:lang w:val="en-US"/>
              </w:rPr>
              <w:t>AWGN</w:t>
            </w:r>
          </w:p>
        </w:tc>
      </w:tr>
      <w:tr w:rsidR="003A71DE" w:rsidRPr="007E2F91" w14:paraId="33977F33" w14:textId="77777777" w:rsidTr="003A71DE">
        <w:trPr>
          <w:jc w:val="center"/>
        </w:trPr>
        <w:tc>
          <w:tcPr>
            <w:tcW w:w="9594" w:type="dxa"/>
            <w:gridSpan w:val="11"/>
            <w:tcBorders>
              <w:top w:val="single" w:sz="4" w:space="0" w:color="auto"/>
              <w:left w:val="single" w:sz="4" w:space="0" w:color="auto"/>
              <w:bottom w:val="single" w:sz="4" w:space="0" w:color="auto"/>
              <w:right w:val="single" w:sz="4" w:space="0" w:color="auto"/>
            </w:tcBorders>
            <w:vAlign w:val="center"/>
          </w:tcPr>
          <w:p w14:paraId="3E3E4BCF" w14:textId="77777777" w:rsidR="003A71DE" w:rsidRPr="007E2F91" w:rsidRDefault="003A71DE" w:rsidP="001A5D47">
            <w:pPr>
              <w:pStyle w:val="TAN"/>
              <w:rPr>
                <w:rFonts w:eastAsiaTheme="minorEastAsia"/>
                <w:lang w:val="en-US"/>
              </w:rPr>
            </w:pPr>
            <w:r w:rsidRPr="007E2F91">
              <w:rPr>
                <w:rFonts w:eastAsiaTheme="minorEastAsia"/>
                <w:lang w:val="en-US"/>
              </w:rPr>
              <w:t>Note 1:</w:t>
            </w:r>
            <w:r w:rsidRPr="007E2F91">
              <w:rPr>
                <w:rFonts w:eastAsiaTheme="minorEastAsia"/>
                <w:lang w:val="en-US"/>
              </w:rPr>
              <w:tab/>
              <w:t>OCNG shall be used such that both cells are fully allocated and a constant total transmitted power spectral density is achieved for all OFDM symbols.</w:t>
            </w:r>
          </w:p>
          <w:p w14:paraId="76EF1D49" w14:textId="77777777" w:rsidR="003A71DE" w:rsidRPr="007E2F91" w:rsidRDefault="003A71DE" w:rsidP="001A5D47">
            <w:pPr>
              <w:pStyle w:val="TAN"/>
              <w:rPr>
                <w:rFonts w:eastAsiaTheme="minorEastAsia"/>
                <w:lang w:val="en-US"/>
              </w:rPr>
            </w:pPr>
            <w:r w:rsidRPr="007E2F91">
              <w:rPr>
                <w:rFonts w:eastAsiaTheme="minorEastAsia"/>
                <w:lang w:val="en-US"/>
              </w:rPr>
              <w:t>Note 2:</w:t>
            </w:r>
            <w:r w:rsidRPr="007E2F91">
              <w:rPr>
                <w:rFonts w:eastAsiaTheme="minorEastAsia"/>
                <w:lang w:val="en-US"/>
              </w:rPr>
              <w:tab/>
              <w:t xml:space="preserve">Interference from other cells and noise sources not specified in the test is assumed to be constant over subcarriers and time and shall be modelled as AWGN of appropriate power for </w:t>
            </w:r>
            <w:r w:rsidRPr="007E2F91">
              <w:rPr>
                <w:rFonts w:eastAsia="Calibri"/>
                <w:position w:val="-12"/>
                <w:lang w:val="en-US"/>
              </w:rPr>
              <w:object w:dxaOrig="405" w:dyaOrig="345" w14:anchorId="33A90BB8">
                <v:shape id="_x0000_i1079" type="#_x0000_t75" style="width:22.15pt;height:21.6pt" o:ole="" fillcolor="window">
                  <v:imagedata r:id="rId71" o:title=""/>
                </v:shape>
                <o:OLEObject Type="Embed" ProgID="Equation.3" ShapeID="_x0000_i1079" DrawAspect="Content" ObjectID="_1734764459" r:id="rId101"/>
              </w:object>
            </w:r>
            <w:r w:rsidRPr="007E2F91">
              <w:rPr>
                <w:rFonts w:eastAsiaTheme="minorEastAsia"/>
                <w:lang w:val="en-US"/>
              </w:rPr>
              <w:t xml:space="preserve"> to be fulfilled.</w:t>
            </w:r>
          </w:p>
          <w:p w14:paraId="4E437899" w14:textId="77777777" w:rsidR="003A71DE" w:rsidRPr="007E2F91" w:rsidRDefault="003A71DE" w:rsidP="001A5D47">
            <w:pPr>
              <w:pStyle w:val="TAN"/>
              <w:rPr>
                <w:rFonts w:eastAsiaTheme="minorEastAsia"/>
                <w:lang w:val="en-US"/>
              </w:rPr>
            </w:pPr>
            <w:r w:rsidRPr="007E2F91">
              <w:rPr>
                <w:rFonts w:eastAsiaTheme="minorEastAsia"/>
                <w:lang w:val="en-US"/>
              </w:rPr>
              <w:t>Note 3:</w:t>
            </w:r>
            <w:r w:rsidRPr="007E2F91">
              <w:rPr>
                <w:rFonts w:eastAsiaTheme="minorEastAsia"/>
                <w:lang w:val="en-US"/>
              </w:rPr>
              <w:tab/>
              <w:t>Io levels have been derived from other parameters for information purposes. They are not settable parameters themselves.</w:t>
            </w:r>
          </w:p>
          <w:p w14:paraId="0D7661D2" w14:textId="77777777" w:rsidR="003A71DE" w:rsidRPr="007E2F91" w:rsidRDefault="003A71DE" w:rsidP="001A5D47">
            <w:pPr>
              <w:pStyle w:val="TAN"/>
              <w:rPr>
                <w:rFonts w:eastAsiaTheme="minorEastAsia"/>
                <w:lang w:val="en-US"/>
              </w:rPr>
            </w:pPr>
            <w:r w:rsidRPr="007E2F91">
              <w:rPr>
                <w:rFonts w:eastAsiaTheme="minorEastAsia"/>
                <w:lang w:val="en-US"/>
              </w:rPr>
              <w:t>Note 4:</w:t>
            </w:r>
            <w:r w:rsidRPr="007E2F91">
              <w:rPr>
                <w:rFonts w:eastAsiaTheme="minorEastAsia"/>
                <w:lang w:val="en-US"/>
              </w:rPr>
              <w:tab/>
              <w:t>Equivalent power received by an antenna with 0 dBi gain at the centre of the quiet zone</w:t>
            </w:r>
          </w:p>
          <w:p w14:paraId="6299712C" w14:textId="321617C2" w:rsidR="003A71DE" w:rsidRPr="007E2F91" w:rsidRDefault="003A71DE" w:rsidP="001A5D47">
            <w:pPr>
              <w:pStyle w:val="TAN"/>
              <w:rPr>
                <w:rFonts w:eastAsiaTheme="minorEastAsia"/>
                <w:lang w:val="en-US"/>
              </w:rPr>
            </w:pPr>
            <w:r w:rsidRPr="007E2F91">
              <w:rPr>
                <w:rFonts w:eastAsiaTheme="minorEastAsia"/>
                <w:lang w:val="en-US"/>
              </w:rPr>
              <w:t>Note 5:</w:t>
            </w:r>
            <w:r w:rsidRPr="007E2F91">
              <w:rPr>
                <w:rFonts w:eastAsiaTheme="minorEastAsia"/>
                <w:lang w:val="en-US"/>
              </w:rPr>
              <w:tab/>
              <w:t>As observed with 0 dBi gain antenna at the centre of the quiet zone</w:t>
            </w:r>
          </w:p>
        </w:tc>
      </w:tr>
    </w:tbl>
    <w:p w14:paraId="55F795AD" w14:textId="77777777" w:rsidR="003A71DE" w:rsidRPr="007E2F91" w:rsidRDefault="003A71DE" w:rsidP="003A71DE">
      <w:pPr>
        <w:rPr>
          <w:rFonts w:eastAsiaTheme="minorEastAsia"/>
        </w:rPr>
      </w:pPr>
    </w:p>
    <w:p w14:paraId="1635F8FF" w14:textId="77777777" w:rsidR="003A71DE" w:rsidRPr="007E2F91" w:rsidRDefault="003A71DE" w:rsidP="00BA0D24">
      <w:pPr>
        <w:pStyle w:val="H6"/>
        <w:rPr>
          <w:rFonts w:eastAsiaTheme="minorEastAsia"/>
          <w:snapToGrid w:val="0"/>
        </w:rPr>
      </w:pPr>
      <w:r w:rsidRPr="007E2F91">
        <w:rPr>
          <w:rFonts w:eastAsiaTheme="minorEastAsia"/>
          <w:snapToGrid w:val="0"/>
        </w:rPr>
        <w:t>G.2.1.1.</w:t>
      </w:r>
      <w:r>
        <w:rPr>
          <w:rFonts w:eastAsiaTheme="minorEastAsia"/>
          <w:snapToGrid w:val="0"/>
        </w:rPr>
        <w:t>2</w:t>
      </w:r>
      <w:r w:rsidRPr="007E2F91">
        <w:rPr>
          <w:rFonts w:eastAsiaTheme="minorEastAsia"/>
          <w:snapToGrid w:val="0"/>
        </w:rPr>
        <w:t>.2.3</w:t>
      </w:r>
      <w:r w:rsidRPr="007E2F91">
        <w:rPr>
          <w:rFonts w:eastAsiaTheme="minorEastAsia"/>
          <w:snapToGrid w:val="0"/>
        </w:rPr>
        <w:tab/>
        <w:t>Test Requirements</w:t>
      </w:r>
    </w:p>
    <w:p w14:paraId="2F9E1EBD" w14:textId="77777777" w:rsidR="003A71DE" w:rsidRPr="007E2F91" w:rsidRDefault="003A71DE" w:rsidP="003A71DE">
      <w:pPr>
        <w:rPr>
          <w:rFonts w:eastAsiaTheme="minorEastAsia" w:cs="v4.2.0"/>
        </w:rPr>
      </w:pPr>
      <w:r w:rsidRPr="007E2F91">
        <w:rPr>
          <w:rFonts w:eastAsiaTheme="minorEastAsia" w:cs="v4.2.0"/>
        </w:rPr>
        <w:t>The IAB-MT shall start to transmit the PRACH to Cell 2 less than 9080 ms from the beginning of time period T2.</w:t>
      </w:r>
    </w:p>
    <w:p w14:paraId="600DF2CE" w14:textId="77777777" w:rsidR="003A71DE" w:rsidRPr="007E2F91" w:rsidRDefault="003A71DE" w:rsidP="003A71DE">
      <w:pPr>
        <w:rPr>
          <w:rFonts w:eastAsiaTheme="minorEastAsia" w:cs="v4.2.0"/>
        </w:rPr>
      </w:pPr>
      <w:r w:rsidRPr="007E2F91">
        <w:rPr>
          <w:rFonts w:eastAsiaTheme="minorEastAsia" w:cs="v4.2.0"/>
        </w:rPr>
        <w:t>The rate of correct RRC connection release redirection to NR observed during repeated tests shall be at least 90%.</w:t>
      </w:r>
    </w:p>
    <w:p w14:paraId="1228A0E1" w14:textId="77777777" w:rsidR="003A71DE" w:rsidRPr="007E2F91" w:rsidRDefault="003A71DE" w:rsidP="003A71DE">
      <w:pPr>
        <w:keepLines/>
        <w:ind w:left="1135" w:hanging="851"/>
        <w:rPr>
          <w:rFonts w:eastAsiaTheme="minorEastAsia"/>
        </w:rPr>
      </w:pPr>
      <w:r w:rsidRPr="007E2F91">
        <w:rPr>
          <w:rFonts w:eastAsiaTheme="minorEastAsia"/>
        </w:rPr>
        <w:t>NOTE:</w:t>
      </w:r>
      <w:r w:rsidRPr="007E2F91">
        <w:rPr>
          <w:rFonts w:eastAsiaTheme="minorEastAsia"/>
        </w:rPr>
        <w:tab/>
        <w:t>The redirection delay can be expressed as:</w:t>
      </w:r>
    </w:p>
    <w:p w14:paraId="3BB09BA0" w14:textId="77777777" w:rsidR="003A71DE" w:rsidRPr="007E2F91" w:rsidRDefault="003A71DE" w:rsidP="003A71DE">
      <w:pPr>
        <w:keepLines/>
        <w:tabs>
          <w:tab w:val="center" w:pos="4536"/>
          <w:tab w:val="right" w:pos="9072"/>
        </w:tabs>
        <w:rPr>
          <w:rFonts w:eastAsiaTheme="minorEastAsia" w:cs="v4.2.0"/>
          <w:noProof/>
        </w:rPr>
      </w:pPr>
      <w:r w:rsidRPr="007E2F91">
        <w:rPr>
          <w:rFonts w:eastAsiaTheme="minorEastAsia"/>
          <w:noProof/>
        </w:rPr>
        <w:lastRenderedPageBreak/>
        <w:tab/>
        <w:t>T</w:t>
      </w:r>
      <w:r w:rsidRPr="007E2F91">
        <w:rPr>
          <w:rFonts w:eastAsiaTheme="minorEastAsia"/>
          <w:noProof/>
          <w:vertAlign w:val="subscript"/>
        </w:rPr>
        <w:t>connection_release_redirect_NR</w:t>
      </w:r>
      <w:r w:rsidRPr="007E2F91">
        <w:rPr>
          <w:rFonts w:eastAsiaTheme="minorEastAsia"/>
          <w:noProof/>
        </w:rPr>
        <w:t xml:space="preserve"> = T</w:t>
      </w:r>
      <w:r w:rsidRPr="007E2F91">
        <w:rPr>
          <w:rFonts w:eastAsiaTheme="minorEastAsia"/>
          <w:noProof/>
          <w:vertAlign w:val="subscript"/>
        </w:rPr>
        <w:t xml:space="preserve">RRC_procedure_delay </w:t>
      </w:r>
      <w:r w:rsidRPr="007E2F91">
        <w:rPr>
          <w:rFonts w:eastAsiaTheme="minorEastAsia"/>
          <w:noProof/>
        </w:rPr>
        <w:t xml:space="preserve">+ </w:t>
      </w:r>
      <w:r w:rsidRPr="007E2F91">
        <w:rPr>
          <w:rFonts w:eastAsiaTheme="minorEastAsia" w:cs="v4.2.0"/>
          <w:noProof/>
        </w:rPr>
        <w:t>T</w:t>
      </w:r>
      <w:r w:rsidRPr="007E2F91">
        <w:rPr>
          <w:rFonts w:eastAsiaTheme="minorEastAsia" w:cs="v4.2.0"/>
          <w:noProof/>
          <w:vertAlign w:val="subscript"/>
        </w:rPr>
        <w:t xml:space="preserve">identify-NR </w:t>
      </w:r>
      <w:r w:rsidRPr="007E2F91">
        <w:rPr>
          <w:rFonts w:eastAsiaTheme="minorEastAsia" w:cs="v4.2.0"/>
          <w:noProof/>
        </w:rPr>
        <w:t>+ T</w:t>
      </w:r>
      <w:r w:rsidRPr="007E2F91">
        <w:rPr>
          <w:rFonts w:eastAsiaTheme="minorEastAsia" w:cs="v4.2.0"/>
          <w:noProof/>
          <w:vertAlign w:val="subscript"/>
        </w:rPr>
        <w:t xml:space="preserve">SI-NR </w:t>
      </w:r>
      <w:r w:rsidRPr="007E2F91">
        <w:rPr>
          <w:rFonts w:eastAsiaTheme="minorEastAsia" w:cs="v4.2.0"/>
          <w:noProof/>
        </w:rPr>
        <w:t>+ T</w:t>
      </w:r>
      <w:r w:rsidRPr="007E2F91">
        <w:rPr>
          <w:rFonts w:eastAsiaTheme="minorEastAsia" w:cs="v4.2.0"/>
          <w:noProof/>
          <w:vertAlign w:val="subscript"/>
        </w:rPr>
        <w:t>RACH</w:t>
      </w:r>
      <w:r w:rsidRPr="007E2F91">
        <w:rPr>
          <w:rFonts w:eastAsiaTheme="minorEastAsia" w:cs="v4.2.0"/>
          <w:noProof/>
        </w:rPr>
        <w:t>,</w:t>
      </w:r>
    </w:p>
    <w:p w14:paraId="014F1256" w14:textId="77777777" w:rsidR="003A71DE" w:rsidRPr="007E2F91" w:rsidRDefault="003A71DE" w:rsidP="003A71DE">
      <w:pPr>
        <w:ind w:left="568" w:hanging="284"/>
        <w:rPr>
          <w:rFonts w:eastAsiaTheme="minorEastAsia"/>
        </w:rPr>
      </w:pPr>
      <w:r w:rsidRPr="007E2F91">
        <w:rPr>
          <w:rFonts w:eastAsiaTheme="minorEastAsia"/>
        </w:rPr>
        <w:t>where:</w:t>
      </w:r>
    </w:p>
    <w:p w14:paraId="517F0C1D"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 xml:space="preserve">RRC_procedure_delay </w:t>
      </w:r>
      <w:r w:rsidRPr="007E2F91">
        <w:rPr>
          <w:rFonts w:eastAsiaTheme="minorEastAsia"/>
        </w:rPr>
        <w:t xml:space="preserve">= 110 ms </w:t>
      </w:r>
      <w:r w:rsidRPr="007E2F91">
        <w:rPr>
          <w:rFonts w:eastAsiaTheme="minorEastAsia" w:cs="v4.2.0"/>
          <w:bCs/>
        </w:rPr>
        <w:t>in the test</w:t>
      </w:r>
      <w:r w:rsidRPr="007E2F91">
        <w:rPr>
          <w:rFonts w:eastAsiaTheme="minorEastAsia"/>
        </w:rPr>
        <w:t>.</w:t>
      </w:r>
    </w:p>
    <w:p w14:paraId="12008816"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identify-NR</w:t>
      </w:r>
      <w:r w:rsidRPr="007E2F91">
        <w:rPr>
          <w:rFonts w:eastAsiaTheme="minorEastAsia"/>
        </w:rPr>
        <w:t xml:space="preserve"> = 7040 ms</w:t>
      </w:r>
      <w:r w:rsidRPr="007E2F91" w:rsidDel="00543ADA">
        <w:rPr>
          <w:rFonts w:eastAsiaTheme="minorEastAsia"/>
        </w:rPr>
        <w:t xml:space="preserve"> </w:t>
      </w:r>
      <w:r w:rsidRPr="007E2F91">
        <w:rPr>
          <w:rFonts w:eastAsiaTheme="minorEastAsia"/>
        </w:rPr>
        <w:t>in the test.</w:t>
      </w:r>
    </w:p>
    <w:p w14:paraId="397160E0"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SI-NR</w:t>
      </w:r>
      <w:r w:rsidRPr="007E2F91">
        <w:rPr>
          <w:rFonts w:eastAsiaTheme="minorEastAsia"/>
        </w:rPr>
        <w:t xml:space="preserve"> = 1280 ms, it is the time required for receiving all the relevant system information.</w:t>
      </w:r>
    </w:p>
    <w:p w14:paraId="4D9E43A5" w14:textId="77777777" w:rsidR="003A71DE" w:rsidRPr="007E2F91" w:rsidRDefault="003A71DE" w:rsidP="003A71DE">
      <w:pPr>
        <w:ind w:left="568" w:hanging="284"/>
        <w:rPr>
          <w:rFonts w:eastAsiaTheme="minorEastAsia"/>
        </w:rPr>
      </w:pPr>
      <w:r w:rsidRPr="007E2F91">
        <w:rPr>
          <w:rFonts w:eastAsiaTheme="minorEastAsia"/>
        </w:rPr>
        <w:tab/>
        <w:t>T</w:t>
      </w:r>
      <w:r w:rsidRPr="007E2F91">
        <w:rPr>
          <w:rFonts w:eastAsiaTheme="minorEastAsia"/>
          <w:vertAlign w:val="subscript"/>
        </w:rPr>
        <w:t>RACH</w:t>
      </w:r>
      <w:r w:rsidRPr="007E2F91">
        <w:rPr>
          <w:rFonts w:eastAsiaTheme="minorEastAsia"/>
        </w:rPr>
        <w:t xml:space="preserve"> = 650 ms in the test.</w:t>
      </w:r>
    </w:p>
    <w:p w14:paraId="4B95FBB7" w14:textId="77777777" w:rsidR="003A71DE" w:rsidRPr="007E2F91" w:rsidRDefault="003A71DE" w:rsidP="003A71DE">
      <w:pPr>
        <w:rPr>
          <w:rFonts w:eastAsiaTheme="minorEastAsia"/>
          <w:noProof/>
        </w:rPr>
      </w:pPr>
      <w:r w:rsidRPr="007E2F91">
        <w:rPr>
          <w:rFonts w:eastAsiaTheme="minorEastAsia"/>
        </w:rPr>
        <w:t>This gives a total of 9080 ms.</w:t>
      </w:r>
    </w:p>
    <w:p w14:paraId="53E66F19" w14:textId="77777777" w:rsidR="003A71DE" w:rsidRPr="007E2F91" w:rsidRDefault="003A71DE" w:rsidP="003A71DE"/>
    <w:p w14:paraId="4A410732" w14:textId="77777777" w:rsidR="003A71DE" w:rsidRDefault="003A71DE" w:rsidP="00746C0D">
      <w:pPr>
        <w:pStyle w:val="Heading3"/>
      </w:pPr>
      <w:bookmarkStart w:id="10199" w:name="_Toc74583675"/>
      <w:bookmarkStart w:id="10200" w:name="_Toc76542488"/>
      <w:bookmarkStart w:id="10201" w:name="_Toc82450470"/>
      <w:bookmarkStart w:id="10202" w:name="_Toc82451118"/>
      <w:bookmarkStart w:id="10203" w:name="_Toc89949507"/>
      <w:bookmarkStart w:id="10204" w:name="_Toc98755896"/>
      <w:bookmarkStart w:id="10205" w:name="_Toc98763488"/>
      <w:bookmarkStart w:id="10206" w:name="_Toc106184417"/>
      <w:r>
        <w:t>G</w:t>
      </w:r>
      <w:r w:rsidRPr="004E396D">
        <w:t>.</w:t>
      </w:r>
      <w:r>
        <w:t>2</w:t>
      </w:r>
      <w:r w:rsidRPr="004E396D">
        <w:t>.</w:t>
      </w:r>
      <w:r>
        <w:t>2</w:t>
      </w:r>
      <w:r w:rsidRPr="004E396D">
        <w:tab/>
      </w:r>
      <w:r>
        <w:t>Timing</w:t>
      </w:r>
      <w:bookmarkEnd w:id="10199"/>
      <w:bookmarkEnd w:id="10200"/>
      <w:bookmarkEnd w:id="10201"/>
      <w:bookmarkEnd w:id="10202"/>
      <w:bookmarkEnd w:id="10203"/>
      <w:bookmarkEnd w:id="10204"/>
      <w:bookmarkEnd w:id="10205"/>
      <w:bookmarkEnd w:id="10206"/>
    </w:p>
    <w:p w14:paraId="3BBDDF55" w14:textId="77777777" w:rsidR="003A71DE" w:rsidRDefault="003A71DE" w:rsidP="00746C0D">
      <w:pPr>
        <w:pStyle w:val="Heading4"/>
      </w:pPr>
      <w:bookmarkStart w:id="10207" w:name="_Toc74583676"/>
      <w:bookmarkStart w:id="10208" w:name="_Toc76542489"/>
      <w:bookmarkStart w:id="10209" w:name="_Toc82450471"/>
      <w:bookmarkStart w:id="10210" w:name="_Toc82451119"/>
      <w:bookmarkStart w:id="10211" w:name="_Toc89949508"/>
      <w:bookmarkStart w:id="10212" w:name="_Toc98755897"/>
      <w:bookmarkStart w:id="10213" w:name="_Toc98763489"/>
      <w:bookmarkStart w:id="10214" w:name="_Toc106184418"/>
      <w:r>
        <w:t>G</w:t>
      </w:r>
      <w:r w:rsidRPr="004E396D">
        <w:t>.</w:t>
      </w:r>
      <w:r>
        <w:t>2</w:t>
      </w:r>
      <w:r w:rsidRPr="004E396D">
        <w:t>.</w:t>
      </w:r>
      <w:r>
        <w:t>2</w:t>
      </w:r>
      <w:r w:rsidRPr="004E396D">
        <w:t>.</w:t>
      </w:r>
      <w:r>
        <w:t>1</w:t>
      </w:r>
      <w:r w:rsidRPr="004E396D">
        <w:tab/>
      </w:r>
      <w:r>
        <w:t>T</w:t>
      </w:r>
      <w:r w:rsidRPr="005B4790">
        <w:t>ransmit timing</w:t>
      </w:r>
      <w:bookmarkEnd w:id="10207"/>
      <w:bookmarkEnd w:id="10208"/>
      <w:bookmarkEnd w:id="10209"/>
      <w:bookmarkEnd w:id="10210"/>
      <w:bookmarkEnd w:id="10211"/>
      <w:bookmarkEnd w:id="10212"/>
      <w:bookmarkEnd w:id="10213"/>
      <w:bookmarkEnd w:id="10214"/>
    </w:p>
    <w:p w14:paraId="7E2D955E" w14:textId="77777777" w:rsidR="003A71DE" w:rsidRPr="007654EC" w:rsidRDefault="003A71DE" w:rsidP="00746C0D">
      <w:pPr>
        <w:pStyle w:val="Heading5"/>
      </w:pPr>
      <w:bookmarkStart w:id="10215" w:name="_Toc74583677"/>
      <w:bookmarkStart w:id="10216" w:name="_Toc76542490"/>
      <w:bookmarkStart w:id="10217" w:name="_Toc82450472"/>
      <w:bookmarkStart w:id="10218" w:name="_Toc82451120"/>
      <w:bookmarkStart w:id="10219" w:name="_Toc89949509"/>
      <w:bookmarkStart w:id="10220" w:name="_Toc98755898"/>
      <w:bookmarkStart w:id="10221" w:name="_Toc98763490"/>
      <w:bookmarkStart w:id="10222" w:name="_Toc106184419"/>
      <w:r w:rsidRPr="007654EC">
        <w:rPr>
          <w:rFonts w:eastAsia="SimSun" w:hint="eastAsia"/>
          <w:lang w:eastAsia="zh-CN"/>
        </w:rPr>
        <w:t>G.2.2</w:t>
      </w:r>
      <w:r w:rsidRPr="007654EC">
        <w:t>.1.1</w:t>
      </w:r>
      <w:r w:rsidRPr="007654EC">
        <w:tab/>
        <w:t xml:space="preserve">NR </w:t>
      </w:r>
      <w:r w:rsidRPr="007654EC">
        <w:rPr>
          <w:rFonts w:eastAsia="SimSun" w:hint="eastAsia"/>
          <w:lang w:eastAsia="zh-CN"/>
        </w:rPr>
        <w:t>IAB-MT</w:t>
      </w:r>
      <w:r w:rsidRPr="007654EC">
        <w:t xml:space="preserve"> Transmit Timing Test for FR1</w:t>
      </w:r>
      <w:bookmarkEnd w:id="10215"/>
      <w:bookmarkEnd w:id="10216"/>
      <w:bookmarkEnd w:id="10217"/>
      <w:bookmarkEnd w:id="10218"/>
      <w:bookmarkEnd w:id="10219"/>
      <w:bookmarkEnd w:id="10220"/>
      <w:bookmarkEnd w:id="10221"/>
      <w:bookmarkEnd w:id="10222"/>
    </w:p>
    <w:p w14:paraId="35C84104" w14:textId="77777777" w:rsidR="003A71DE" w:rsidRPr="007654EC" w:rsidRDefault="003A71DE" w:rsidP="00746C0D">
      <w:pPr>
        <w:pStyle w:val="H6"/>
      </w:pPr>
      <w:bookmarkStart w:id="10223" w:name="_Toc535476517"/>
      <w:r w:rsidRPr="007654EC">
        <w:rPr>
          <w:rFonts w:eastAsia="SimSun" w:hint="eastAsia"/>
          <w:lang w:eastAsia="zh-CN"/>
        </w:rPr>
        <w:t>G.2.2</w:t>
      </w:r>
      <w:r w:rsidRPr="007654EC">
        <w:t>.1.1.1</w:t>
      </w:r>
      <w:r w:rsidRPr="007654EC">
        <w:tab/>
        <w:t>Test Purpose and environment</w:t>
      </w:r>
      <w:bookmarkEnd w:id="10223"/>
    </w:p>
    <w:p w14:paraId="5E7318AF" w14:textId="77777777" w:rsidR="003A71DE" w:rsidRPr="007654EC" w:rsidRDefault="003A71DE" w:rsidP="003A71DE">
      <w:pPr>
        <w:spacing w:line="259" w:lineRule="auto"/>
        <w:rPr>
          <w:rFonts w:eastAsia="SimSun"/>
          <w:lang w:val="en-US" w:eastAsia="zh-CN"/>
        </w:rPr>
      </w:pPr>
      <w:r w:rsidRPr="007654EC">
        <w:t xml:space="preserve">The purpose of this test is to verify that the </w:t>
      </w:r>
      <w:r w:rsidRPr="007654EC">
        <w:rPr>
          <w:rFonts w:eastAsia="SimSun" w:hint="eastAsia"/>
          <w:lang w:eastAsia="zh-CN"/>
        </w:rPr>
        <w:t>IAB-MT</w:t>
      </w:r>
      <w:r w:rsidRPr="007654EC">
        <w:t xml:space="preserve"> can follow frame timing change of the connected gNodeb and that the </w:t>
      </w:r>
      <w:r w:rsidRPr="007654EC">
        <w:rPr>
          <w:rFonts w:eastAsia="SimSun" w:hint="eastAsia"/>
          <w:lang w:eastAsia="zh-CN"/>
        </w:rPr>
        <w:t>IAB-MT</w:t>
      </w:r>
      <w:r w:rsidRPr="007654EC">
        <w:t xml:space="preserve"> initial transmit timing accuracy, maximum amount of timing change in one adjustment, minimum and maximum adjustment rate are within the specified limits. This test will verify the requirements in clause </w:t>
      </w:r>
      <w:r w:rsidRPr="007654EC">
        <w:rPr>
          <w:rFonts w:eastAsia="SimSun" w:hint="eastAsia"/>
          <w:lang w:val="en-US" w:eastAsia="zh-CN"/>
        </w:rPr>
        <w:t>12.2</w:t>
      </w:r>
      <w:r w:rsidRPr="007654EC">
        <w:t>.1.2.</w:t>
      </w:r>
      <w:r w:rsidRPr="007654EC">
        <w:rPr>
          <w:rFonts w:eastAsia="SimSun" w:hint="eastAsia"/>
          <w:lang w:val="en-US" w:eastAsia="zh-CN"/>
        </w:rPr>
        <w:t xml:space="preserve"> Local area IAB-MT type 1-H shall be tested with this test.</w:t>
      </w:r>
    </w:p>
    <w:p w14:paraId="0086D070" w14:textId="77777777" w:rsidR="003A71DE" w:rsidRPr="007654EC" w:rsidRDefault="003A71DE" w:rsidP="003A71DE">
      <w:pPr>
        <w:spacing w:line="259" w:lineRule="auto"/>
        <w:rPr>
          <w:rFonts w:eastAsia="SimSun"/>
          <w:lang w:val="en-US" w:eastAsia="zh-CN"/>
        </w:rPr>
      </w:pPr>
      <w:r w:rsidRPr="007654EC">
        <w:t xml:space="preserve">Supported test configurations are shown in Table </w:t>
      </w:r>
      <w:r w:rsidRPr="007654EC">
        <w:rPr>
          <w:rFonts w:eastAsia="SimSun" w:hint="eastAsia"/>
          <w:lang w:eastAsia="zh-CN"/>
        </w:rPr>
        <w:t>G.2.2</w:t>
      </w:r>
      <w:r w:rsidRPr="007654EC">
        <w:t>.1.1.1-1</w:t>
      </w:r>
      <w:r w:rsidRPr="007654EC">
        <w:rPr>
          <w:rFonts w:eastAsia="SimSun" w:hint="eastAsia"/>
          <w:lang w:val="en-US" w:eastAsia="zh-CN"/>
        </w:rPr>
        <w:t>.</w:t>
      </w:r>
    </w:p>
    <w:p w14:paraId="4EF70A84" w14:textId="77777777" w:rsidR="003A71DE" w:rsidRPr="007654EC" w:rsidRDefault="003A71DE" w:rsidP="00746C0D">
      <w:pPr>
        <w:pStyle w:val="TH"/>
      </w:pPr>
      <w:r w:rsidRPr="007654EC">
        <w:t xml:space="preserve">Table </w:t>
      </w:r>
      <w:r w:rsidRPr="007654EC">
        <w:rPr>
          <w:rFonts w:eastAsia="SimSun" w:hint="eastAsia"/>
          <w:lang w:eastAsia="zh-CN"/>
        </w:rPr>
        <w:t>G.2.2</w:t>
      </w:r>
      <w:r w:rsidRPr="007654EC">
        <w:t>.1.1.1-1: Supported test configurations for FR1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1"/>
        <w:gridCol w:w="4970"/>
      </w:tblGrid>
      <w:tr w:rsidR="003A71DE" w:rsidRPr="007654EC" w14:paraId="1A48302D" w14:textId="77777777" w:rsidTr="003A71DE">
        <w:trPr>
          <w:trHeight w:val="274"/>
          <w:jc w:val="center"/>
        </w:trPr>
        <w:tc>
          <w:tcPr>
            <w:tcW w:w="1631" w:type="dxa"/>
            <w:tcBorders>
              <w:top w:val="single" w:sz="4" w:space="0" w:color="auto"/>
              <w:left w:val="single" w:sz="4" w:space="0" w:color="auto"/>
              <w:bottom w:val="single" w:sz="4" w:space="0" w:color="auto"/>
              <w:right w:val="single" w:sz="4" w:space="0" w:color="auto"/>
            </w:tcBorders>
          </w:tcPr>
          <w:p w14:paraId="765B3BC6" w14:textId="77777777" w:rsidR="003A71DE" w:rsidRPr="007654EC" w:rsidRDefault="003A71DE" w:rsidP="00E33F84">
            <w:pPr>
              <w:pStyle w:val="TAH"/>
            </w:pPr>
            <w:r w:rsidRPr="007654EC">
              <w:t>Configuration</w:t>
            </w:r>
          </w:p>
        </w:tc>
        <w:tc>
          <w:tcPr>
            <w:tcW w:w="4970" w:type="dxa"/>
            <w:tcBorders>
              <w:top w:val="single" w:sz="4" w:space="0" w:color="auto"/>
              <w:left w:val="single" w:sz="4" w:space="0" w:color="auto"/>
              <w:bottom w:val="single" w:sz="4" w:space="0" w:color="auto"/>
              <w:right w:val="single" w:sz="4" w:space="0" w:color="auto"/>
            </w:tcBorders>
          </w:tcPr>
          <w:p w14:paraId="25110DB9" w14:textId="77777777" w:rsidR="003A71DE" w:rsidRPr="007654EC" w:rsidRDefault="003A71DE" w:rsidP="00E33F84">
            <w:pPr>
              <w:pStyle w:val="TAH"/>
            </w:pPr>
            <w:r w:rsidRPr="007654EC">
              <w:t>Description</w:t>
            </w:r>
          </w:p>
        </w:tc>
      </w:tr>
      <w:tr w:rsidR="003A71DE" w:rsidRPr="007654EC" w14:paraId="47FF8C68" w14:textId="77777777" w:rsidTr="003A71DE">
        <w:trPr>
          <w:trHeight w:val="274"/>
          <w:jc w:val="center"/>
        </w:trPr>
        <w:tc>
          <w:tcPr>
            <w:tcW w:w="1631" w:type="dxa"/>
            <w:tcBorders>
              <w:top w:val="single" w:sz="4" w:space="0" w:color="auto"/>
              <w:left w:val="single" w:sz="4" w:space="0" w:color="auto"/>
              <w:bottom w:val="single" w:sz="4" w:space="0" w:color="auto"/>
              <w:right w:val="single" w:sz="4" w:space="0" w:color="auto"/>
            </w:tcBorders>
          </w:tcPr>
          <w:p w14:paraId="5E6CEA24" w14:textId="77777777" w:rsidR="003A71DE" w:rsidRPr="007654EC" w:rsidRDefault="003A71DE" w:rsidP="00E33F84">
            <w:pPr>
              <w:pStyle w:val="TAL"/>
              <w:rPr>
                <w:rFonts w:eastAsia="SimSun"/>
                <w:lang w:val="en-US" w:eastAsia="zh-CN"/>
              </w:rPr>
            </w:pPr>
            <w:r w:rsidRPr="007654EC">
              <w:rPr>
                <w:rFonts w:eastAsia="SimSun" w:hint="eastAsia"/>
                <w:lang w:val="en-US" w:eastAsia="zh-CN"/>
              </w:rPr>
              <w:t>1</w:t>
            </w:r>
          </w:p>
        </w:tc>
        <w:tc>
          <w:tcPr>
            <w:tcW w:w="4970" w:type="dxa"/>
            <w:tcBorders>
              <w:top w:val="single" w:sz="4" w:space="0" w:color="auto"/>
              <w:left w:val="single" w:sz="4" w:space="0" w:color="auto"/>
              <w:bottom w:val="single" w:sz="4" w:space="0" w:color="auto"/>
              <w:right w:val="single" w:sz="4" w:space="0" w:color="auto"/>
            </w:tcBorders>
          </w:tcPr>
          <w:p w14:paraId="135F3EF9" w14:textId="77777777" w:rsidR="003A71DE" w:rsidRPr="007654EC" w:rsidRDefault="003A71DE" w:rsidP="00E33F84">
            <w:pPr>
              <w:pStyle w:val="TAL"/>
            </w:pPr>
            <w:r w:rsidRPr="007654EC">
              <w:t>NR TDD, SSB SCS 15 kHz, data SCS 15 kHz, BW 10 MHz</w:t>
            </w:r>
          </w:p>
        </w:tc>
      </w:tr>
      <w:tr w:rsidR="003A71DE" w:rsidRPr="007654EC" w14:paraId="32C0FBF6" w14:textId="77777777" w:rsidTr="003A71DE">
        <w:trPr>
          <w:trHeight w:val="274"/>
          <w:jc w:val="center"/>
        </w:trPr>
        <w:tc>
          <w:tcPr>
            <w:tcW w:w="1631" w:type="dxa"/>
            <w:tcBorders>
              <w:top w:val="single" w:sz="4" w:space="0" w:color="auto"/>
              <w:left w:val="single" w:sz="4" w:space="0" w:color="auto"/>
              <w:bottom w:val="single" w:sz="4" w:space="0" w:color="auto"/>
              <w:right w:val="single" w:sz="4" w:space="0" w:color="auto"/>
            </w:tcBorders>
          </w:tcPr>
          <w:p w14:paraId="31BA433B" w14:textId="77777777" w:rsidR="003A71DE" w:rsidRPr="007654EC" w:rsidRDefault="003A71DE" w:rsidP="00E33F84">
            <w:pPr>
              <w:pStyle w:val="TAL"/>
              <w:rPr>
                <w:rFonts w:eastAsia="SimSun"/>
                <w:lang w:val="en-US" w:eastAsia="zh-CN"/>
              </w:rPr>
            </w:pPr>
            <w:r w:rsidRPr="007654EC">
              <w:rPr>
                <w:rFonts w:eastAsia="SimSun" w:hint="eastAsia"/>
                <w:lang w:val="en-US" w:eastAsia="zh-CN"/>
              </w:rPr>
              <w:t>2</w:t>
            </w:r>
          </w:p>
        </w:tc>
        <w:tc>
          <w:tcPr>
            <w:tcW w:w="4970" w:type="dxa"/>
            <w:tcBorders>
              <w:top w:val="single" w:sz="4" w:space="0" w:color="auto"/>
              <w:left w:val="single" w:sz="4" w:space="0" w:color="auto"/>
              <w:bottom w:val="single" w:sz="4" w:space="0" w:color="auto"/>
              <w:right w:val="single" w:sz="4" w:space="0" w:color="auto"/>
            </w:tcBorders>
          </w:tcPr>
          <w:p w14:paraId="51B1F2EB" w14:textId="77777777" w:rsidR="003A71DE" w:rsidRPr="007654EC" w:rsidRDefault="003A71DE" w:rsidP="00E33F84">
            <w:pPr>
              <w:pStyle w:val="TAL"/>
            </w:pPr>
            <w:r w:rsidRPr="007654EC">
              <w:t>NR TDD, SSB SCS 30 kHz, data SCS 30 kHz, BW 40 MHz</w:t>
            </w:r>
          </w:p>
        </w:tc>
      </w:tr>
      <w:tr w:rsidR="003A71DE" w:rsidRPr="007654EC" w14:paraId="72DACB2D" w14:textId="77777777" w:rsidTr="003A71DE">
        <w:trPr>
          <w:trHeight w:val="274"/>
          <w:jc w:val="center"/>
        </w:trPr>
        <w:tc>
          <w:tcPr>
            <w:tcW w:w="6601" w:type="dxa"/>
            <w:gridSpan w:val="2"/>
            <w:tcBorders>
              <w:top w:val="single" w:sz="4" w:space="0" w:color="auto"/>
              <w:left w:val="single" w:sz="4" w:space="0" w:color="auto"/>
              <w:bottom w:val="single" w:sz="4" w:space="0" w:color="auto"/>
              <w:right w:val="single" w:sz="4" w:space="0" w:color="auto"/>
            </w:tcBorders>
          </w:tcPr>
          <w:p w14:paraId="308ED6FF" w14:textId="77777777" w:rsidR="003A71DE" w:rsidRPr="007654EC" w:rsidRDefault="003A71DE" w:rsidP="00E33F84">
            <w:pPr>
              <w:pStyle w:val="TAN"/>
            </w:pPr>
            <w:r w:rsidRPr="007654EC">
              <w:t>Note:</w:t>
            </w:r>
            <w:r w:rsidRPr="007654EC">
              <w:tab/>
              <w:t xml:space="preserve">The </w:t>
            </w:r>
            <w:r w:rsidRPr="007654EC">
              <w:rPr>
                <w:rFonts w:eastAsia="SimSun" w:hint="eastAsia"/>
                <w:lang w:eastAsia="zh-CN"/>
              </w:rPr>
              <w:t>IAB-MT</w:t>
            </w:r>
            <w:r w:rsidRPr="007654EC">
              <w:t xml:space="preserve"> is only required to be tested in one of the supported test configurations </w:t>
            </w:r>
          </w:p>
        </w:tc>
      </w:tr>
    </w:tbl>
    <w:p w14:paraId="4EB175AF" w14:textId="77777777" w:rsidR="003A71DE" w:rsidRPr="007654EC" w:rsidRDefault="003A71DE" w:rsidP="003A71DE">
      <w:pPr>
        <w:spacing w:line="259" w:lineRule="auto"/>
      </w:pPr>
    </w:p>
    <w:p w14:paraId="08FC89A1" w14:textId="77777777" w:rsidR="003A71DE" w:rsidRPr="007654EC" w:rsidRDefault="003A71DE" w:rsidP="003A71DE">
      <w:pPr>
        <w:spacing w:line="259" w:lineRule="auto"/>
      </w:pPr>
      <w:r w:rsidRPr="007654EC">
        <w:t>For this test a single NR cell</w:t>
      </w:r>
      <w:r w:rsidRPr="007654EC">
        <w:rPr>
          <w:rFonts w:eastAsia="SimSun" w:hint="eastAsia"/>
          <w:lang w:val="en-US" w:eastAsia="zh-CN"/>
        </w:rPr>
        <w:t xml:space="preserve"> (Cell 1)</w:t>
      </w:r>
      <w:r w:rsidRPr="007654EC">
        <w:t xml:space="preserve"> is used. Table </w:t>
      </w:r>
      <w:r w:rsidRPr="007654EC">
        <w:rPr>
          <w:rFonts w:eastAsia="SimSun" w:hint="eastAsia"/>
          <w:lang w:eastAsia="zh-CN"/>
        </w:rPr>
        <w:t>G.2.2</w:t>
      </w:r>
      <w:r w:rsidRPr="007654EC">
        <w:t xml:space="preserve">.1.1.1-2 defines the parameters to be configured and strength of the transmitted signals. The transmit timing is verified by the </w:t>
      </w:r>
      <w:r w:rsidRPr="007654EC">
        <w:rPr>
          <w:rFonts w:eastAsia="SimSun" w:hint="eastAsia"/>
          <w:lang w:eastAsia="zh-CN"/>
        </w:rPr>
        <w:t>IAB-MT</w:t>
      </w:r>
      <w:r w:rsidRPr="007654EC">
        <w:t xml:space="preserve"> transmitting SRS using the configuration defined in Table </w:t>
      </w:r>
      <w:r w:rsidRPr="007654EC">
        <w:rPr>
          <w:rFonts w:eastAsia="SimSun" w:hint="eastAsia"/>
          <w:lang w:eastAsia="zh-CN"/>
        </w:rPr>
        <w:t>G.2.2</w:t>
      </w:r>
      <w:r w:rsidRPr="007654EC">
        <w:t>.1.1.1-3.</w:t>
      </w:r>
    </w:p>
    <w:p w14:paraId="5B388ACD" w14:textId="77777777" w:rsidR="003A71DE" w:rsidRPr="007654EC" w:rsidRDefault="003A71DE" w:rsidP="00746C0D">
      <w:pPr>
        <w:pStyle w:val="TH"/>
      </w:pPr>
      <w:r w:rsidRPr="007654EC">
        <w:lastRenderedPageBreak/>
        <w:t xml:space="preserve">Table </w:t>
      </w:r>
      <w:r w:rsidRPr="007654EC">
        <w:rPr>
          <w:rFonts w:eastAsia="SimSun" w:hint="eastAsia"/>
          <w:lang w:eastAsia="zh-CN"/>
        </w:rPr>
        <w:t>G.2.2</w:t>
      </w:r>
      <w:r w:rsidRPr="007654EC">
        <w:t>.1.1.1-2: Cell Specific Test Parameters for UL Transmit Timing test</w:t>
      </w:r>
    </w:p>
    <w:tbl>
      <w:tblPr>
        <w:tblStyle w:val="TableGrid15"/>
        <w:tblW w:w="0" w:type="auto"/>
        <w:jc w:val="center"/>
        <w:tblInd w:w="0" w:type="dxa"/>
        <w:tblLook w:val="04A0" w:firstRow="1" w:lastRow="0" w:firstColumn="1" w:lastColumn="0" w:noHBand="0" w:noVBand="1"/>
      </w:tblPr>
      <w:tblGrid>
        <w:gridCol w:w="2263"/>
        <w:gridCol w:w="1387"/>
        <w:gridCol w:w="1434"/>
        <w:gridCol w:w="2307"/>
      </w:tblGrid>
      <w:tr w:rsidR="003A71DE" w:rsidRPr="007654EC" w14:paraId="1C79905C"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vAlign w:val="center"/>
          </w:tcPr>
          <w:p w14:paraId="2331C5D9" w14:textId="77777777" w:rsidR="003A71DE" w:rsidRPr="007654EC" w:rsidRDefault="003A71DE" w:rsidP="00E33F84">
            <w:pPr>
              <w:pStyle w:val="TAH"/>
            </w:pPr>
            <w:r w:rsidRPr="007654EC">
              <w:t>Parameter</w:t>
            </w:r>
          </w:p>
        </w:tc>
        <w:tc>
          <w:tcPr>
            <w:tcW w:w="1387" w:type="dxa"/>
            <w:tcBorders>
              <w:top w:val="single" w:sz="4" w:space="0" w:color="auto"/>
              <w:left w:val="single" w:sz="4" w:space="0" w:color="auto"/>
              <w:bottom w:val="single" w:sz="4" w:space="0" w:color="auto"/>
              <w:right w:val="single" w:sz="4" w:space="0" w:color="auto"/>
            </w:tcBorders>
            <w:vAlign w:val="center"/>
          </w:tcPr>
          <w:p w14:paraId="477FD479" w14:textId="77777777" w:rsidR="003A71DE" w:rsidRPr="007654EC" w:rsidRDefault="003A71DE" w:rsidP="00E33F84">
            <w:pPr>
              <w:pStyle w:val="TAH"/>
            </w:pPr>
            <w:r w:rsidRPr="007654EC">
              <w:t>Unit</w:t>
            </w:r>
          </w:p>
        </w:tc>
        <w:tc>
          <w:tcPr>
            <w:tcW w:w="1434" w:type="dxa"/>
            <w:tcBorders>
              <w:top w:val="single" w:sz="4" w:space="0" w:color="auto"/>
              <w:left w:val="single" w:sz="4" w:space="0" w:color="auto"/>
              <w:bottom w:val="single" w:sz="4" w:space="0" w:color="auto"/>
              <w:right w:val="single" w:sz="4" w:space="0" w:color="auto"/>
            </w:tcBorders>
            <w:vAlign w:val="center"/>
          </w:tcPr>
          <w:p w14:paraId="0E06FA1B" w14:textId="77777777" w:rsidR="003A71DE" w:rsidRPr="007654EC" w:rsidRDefault="003A71DE" w:rsidP="00E33F84">
            <w:pPr>
              <w:pStyle w:val="TAH"/>
            </w:pPr>
            <w:r w:rsidRPr="007654EC">
              <w:t>Config</w:t>
            </w:r>
          </w:p>
        </w:tc>
        <w:tc>
          <w:tcPr>
            <w:tcW w:w="2307" w:type="dxa"/>
            <w:tcBorders>
              <w:top w:val="single" w:sz="4" w:space="0" w:color="auto"/>
              <w:left w:val="single" w:sz="4" w:space="0" w:color="auto"/>
              <w:bottom w:val="single" w:sz="4" w:space="0" w:color="auto"/>
              <w:right w:val="single" w:sz="4" w:space="0" w:color="auto"/>
            </w:tcBorders>
            <w:vAlign w:val="center"/>
          </w:tcPr>
          <w:p w14:paraId="3CB5909C" w14:textId="77777777" w:rsidR="003A71DE" w:rsidRPr="007654EC" w:rsidRDefault="003A71DE" w:rsidP="00E33F84">
            <w:pPr>
              <w:pStyle w:val="TAH"/>
            </w:pPr>
            <w:r w:rsidRPr="007654EC">
              <w:t>Test1</w:t>
            </w:r>
          </w:p>
        </w:tc>
      </w:tr>
      <w:tr w:rsidR="003A71DE" w:rsidRPr="007654EC" w14:paraId="611510BE"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vAlign w:val="center"/>
          </w:tcPr>
          <w:p w14:paraId="7EA3CB2C" w14:textId="77777777" w:rsidR="003A71DE" w:rsidRPr="007654EC" w:rsidRDefault="003A71DE" w:rsidP="00E33F84">
            <w:pPr>
              <w:pStyle w:val="TAL"/>
            </w:pPr>
            <w:r w:rsidRPr="007654EC">
              <w:t>SSB ARFCN</w:t>
            </w:r>
          </w:p>
        </w:tc>
        <w:tc>
          <w:tcPr>
            <w:tcW w:w="1387" w:type="dxa"/>
            <w:tcBorders>
              <w:top w:val="single" w:sz="4" w:space="0" w:color="auto"/>
              <w:left w:val="single" w:sz="4" w:space="0" w:color="auto"/>
              <w:bottom w:val="single" w:sz="4" w:space="0" w:color="auto"/>
              <w:right w:val="single" w:sz="4" w:space="0" w:color="auto"/>
            </w:tcBorders>
            <w:vAlign w:val="center"/>
          </w:tcPr>
          <w:p w14:paraId="6CB64833"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27FCB80D"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252D9760" w14:textId="77777777" w:rsidR="003A71DE" w:rsidRPr="007654EC" w:rsidRDefault="003A71DE" w:rsidP="00E33F84">
            <w:pPr>
              <w:pStyle w:val="TAC"/>
            </w:pPr>
            <w:r w:rsidRPr="007654EC">
              <w:t>1</w:t>
            </w:r>
          </w:p>
        </w:tc>
      </w:tr>
      <w:tr w:rsidR="003A71DE" w:rsidRPr="007654EC" w14:paraId="05B0E64C" w14:textId="77777777" w:rsidTr="003A71DE">
        <w:trPr>
          <w:trHeight w:val="238"/>
          <w:jc w:val="center"/>
        </w:trPr>
        <w:tc>
          <w:tcPr>
            <w:tcW w:w="2263" w:type="dxa"/>
            <w:vMerge w:val="restart"/>
            <w:tcBorders>
              <w:top w:val="single" w:sz="4" w:space="0" w:color="auto"/>
              <w:left w:val="single" w:sz="4" w:space="0" w:color="auto"/>
              <w:bottom w:val="single" w:sz="4" w:space="0" w:color="auto"/>
              <w:right w:val="single" w:sz="4" w:space="0" w:color="auto"/>
            </w:tcBorders>
            <w:vAlign w:val="center"/>
          </w:tcPr>
          <w:p w14:paraId="0030452F" w14:textId="77777777" w:rsidR="003A71DE" w:rsidRPr="007654EC" w:rsidRDefault="003A71DE" w:rsidP="00E33F84">
            <w:pPr>
              <w:pStyle w:val="TAL"/>
            </w:pPr>
            <w:r w:rsidRPr="007654EC">
              <w:t>TDD configuration</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56DACEBA" w14:textId="77777777" w:rsidR="003A71DE" w:rsidRPr="007654EC" w:rsidRDefault="003A71DE" w:rsidP="00E33F84">
            <w:pPr>
              <w:pStyle w:val="TAC"/>
            </w:pPr>
          </w:p>
        </w:tc>
        <w:tc>
          <w:tcPr>
            <w:tcW w:w="1434" w:type="dxa"/>
            <w:tcBorders>
              <w:top w:val="single" w:sz="4" w:space="0" w:color="auto"/>
              <w:left w:val="single" w:sz="4" w:space="0" w:color="auto"/>
              <w:right w:val="single" w:sz="4" w:space="0" w:color="auto"/>
            </w:tcBorders>
            <w:vAlign w:val="center"/>
          </w:tcPr>
          <w:p w14:paraId="23398752" w14:textId="77777777" w:rsidR="003A71DE" w:rsidRPr="007654EC" w:rsidRDefault="003A71DE" w:rsidP="00E33F84">
            <w:pPr>
              <w:pStyle w:val="TAC"/>
            </w:pPr>
            <w:r w:rsidRPr="007654EC">
              <w:t>1</w:t>
            </w:r>
          </w:p>
        </w:tc>
        <w:tc>
          <w:tcPr>
            <w:tcW w:w="2307" w:type="dxa"/>
            <w:tcBorders>
              <w:top w:val="single" w:sz="4" w:space="0" w:color="auto"/>
              <w:left w:val="single" w:sz="4" w:space="0" w:color="auto"/>
              <w:bottom w:val="single" w:sz="4" w:space="0" w:color="auto"/>
              <w:right w:val="single" w:sz="4" w:space="0" w:color="auto"/>
            </w:tcBorders>
            <w:vAlign w:val="center"/>
          </w:tcPr>
          <w:p w14:paraId="71091D2B" w14:textId="77777777" w:rsidR="003A71DE" w:rsidRPr="007654EC" w:rsidRDefault="003A71DE" w:rsidP="00E33F84">
            <w:pPr>
              <w:pStyle w:val="TAC"/>
            </w:pPr>
            <w:r w:rsidRPr="007654EC">
              <w:t>TDDConf.1.1</w:t>
            </w:r>
          </w:p>
        </w:tc>
      </w:tr>
      <w:tr w:rsidR="003A71DE" w:rsidRPr="007654EC" w14:paraId="31FE595A" w14:textId="77777777" w:rsidTr="003A71DE">
        <w:trPr>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E7FA5D5"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3209CD5F"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D188C0E" w14:textId="77777777" w:rsidR="003A71DE" w:rsidRPr="007654EC" w:rsidRDefault="003A71DE" w:rsidP="00E33F84">
            <w:pPr>
              <w:pStyle w:val="TAC"/>
              <w:rPr>
                <w:lang w:val="en-US" w:eastAsia="zh-CN"/>
              </w:rPr>
            </w:pPr>
            <w:r w:rsidRPr="007654EC">
              <w:rPr>
                <w:rFonts w:hint="eastAsia"/>
                <w:lang w:val="en-US" w:eastAsia="zh-CN"/>
              </w:rPr>
              <w:t>2</w:t>
            </w:r>
          </w:p>
        </w:tc>
        <w:tc>
          <w:tcPr>
            <w:tcW w:w="2307" w:type="dxa"/>
            <w:tcBorders>
              <w:top w:val="single" w:sz="4" w:space="0" w:color="auto"/>
              <w:left w:val="single" w:sz="4" w:space="0" w:color="auto"/>
              <w:bottom w:val="single" w:sz="4" w:space="0" w:color="auto"/>
              <w:right w:val="single" w:sz="4" w:space="0" w:color="auto"/>
            </w:tcBorders>
            <w:vAlign w:val="center"/>
          </w:tcPr>
          <w:p w14:paraId="71C1C70E" w14:textId="77777777" w:rsidR="003A71DE" w:rsidRPr="007654EC" w:rsidRDefault="003A71DE" w:rsidP="00E33F84">
            <w:pPr>
              <w:pStyle w:val="TAC"/>
            </w:pPr>
            <w:r w:rsidRPr="007654EC">
              <w:t>TDDConf.1.2</w:t>
            </w:r>
          </w:p>
        </w:tc>
      </w:tr>
      <w:tr w:rsidR="003A71DE" w:rsidRPr="007654EC" w14:paraId="281FD48B" w14:textId="77777777" w:rsidTr="003A71DE">
        <w:trPr>
          <w:trHeight w:val="240"/>
          <w:jc w:val="center"/>
        </w:trPr>
        <w:tc>
          <w:tcPr>
            <w:tcW w:w="2263" w:type="dxa"/>
            <w:vMerge w:val="restart"/>
            <w:tcBorders>
              <w:top w:val="single" w:sz="4" w:space="0" w:color="auto"/>
              <w:left w:val="single" w:sz="4" w:space="0" w:color="auto"/>
              <w:bottom w:val="single" w:sz="4" w:space="0" w:color="auto"/>
              <w:right w:val="single" w:sz="4" w:space="0" w:color="auto"/>
            </w:tcBorders>
            <w:vAlign w:val="center"/>
          </w:tcPr>
          <w:p w14:paraId="05B68F84" w14:textId="77777777" w:rsidR="003A71DE" w:rsidRPr="007654EC" w:rsidRDefault="003A71DE" w:rsidP="00E33F84">
            <w:pPr>
              <w:pStyle w:val="TAL"/>
            </w:pPr>
            <w:r w:rsidRPr="007654EC">
              <w:t>BW</w:t>
            </w:r>
            <w:r w:rsidRPr="007654EC">
              <w:rPr>
                <w:vertAlign w:val="subscript"/>
              </w:rPr>
              <w:t>channel</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47AC68CF" w14:textId="77777777" w:rsidR="003A71DE" w:rsidRPr="007654EC" w:rsidRDefault="003A71DE" w:rsidP="00E33F84">
            <w:pPr>
              <w:pStyle w:val="TAC"/>
            </w:pPr>
            <w:r w:rsidRPr="007654EC">
              <w:t>MHz</w:t>
            </w:r>
          </w:p>
        </w:tc>
        <w:tc>
          <w:tcPr>
            <w:tcW w:w="1434" w:type="dxa"/>
            <w:tcBorders>
              <w:top w:val="single" w:sz="4" w:space="0" w:color="auto"/>
              <w:left w:val="single" w:sz="4" w:space="0" w:color="auto"/>
              <w:bottom w:val="single" w:sz="4" w:space="0" w:color="auto"/>
              <w:right w:val="single" w:sz="4" w:space="0" w:color="auto"/>
            </w:tcBorders>
            <w:vAlign w:val="center"/>
          </w:tcPr>
          <w:p w14:paraId="3C3DAD55" w14:textId="77777777" w:rsidR="003A71DE" w:rsidRPr="007654EC" w:rsidRDefault="003A71DE" w:rsidP="00E33F84">
            <w:pPr>
              <w:pStyle w:val="TAC"/>
            </w:pPr>
            <w:r w:rsidRPr="007654EC">
              <w:t>1</w:t>
            </w:r>
          </w:p>
        </w:tc>
        <w:tc>
          <w:tcPr>
            <w:tcW w:w="2307" w:type="dxa"/>
            <w:tcBorders>
              <w:top w:val="single" w:sz="4" w:space="0" w:color="auto"/>
              <w:left w:val="single" w:sz="4" w:space="0" w:color="auto"/>
              <w:bottom w:val="single" w:sz="4" w:space="0" w:color="auto"/>
              <w:right w:val="single" w:sz="4" w:space="0" w:color="auto"/>
            </w:tcBorders>
            <w:vAlign w:val="center"/>
          </w:tcPr>
          <w:p w14:paraId="252F7171" w14:textId="77777777" w:rsidR="003A71DE" w:rsidRPr="007654EC" w:rsidRDefault="003A71DE" w:rsidP="00E33F84">
            <w:pPr>
              <w:pStyle w:val="TAC"/>
            </w:pPr>
            <w:r w:rsidRPr="007654EC">
              <w:t>10: N</w:t>
            </w:r>
            <w:r w:rsidRPr="007654EC">
              <w:rPr>
                <w:vertAlign w:val="subscript"/>
              </w:rPr>
              <w:t>RB,c</w:t>
            </w:r>
            <w:r w:rsidRPr="007654EC">
              <w:t xml:space="preserve"> = 52</w:t>
            </w:r>
          </w:p>
        </w:tc>
      </w:tr>
      <w:tr w:rsidR="003A71DE" w:rsidRPr="007654EC" w14:paraId="11AFB4C5" w14:textId="77777777" w:rsidTr="003A71DE">
        <w:trPr>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8299FD3"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1FE55EDC"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D74E567" w14:textId="77777777" w:rsidR="003A71DE" w:rsidRPr="007654EC" w:rsidRDefault="003A71DE" w:rsidP="00E33F84">
            <w:pPr>
              <w:pStyle w:val="TAC"/>
            </w:pPr>
            <w:r w:rsidRPr="007654EC">
              <w:t>2</w:t>
            </w:r>
          </w:p>
        </w:tc>
        <w:tc>
          <w:tcPr>
            <w:tcW w:w="2307" w:type="dxa"/>
            <w:tcBorders>
              <w:top w:val="single" w:sz="4" w:space="0" w:color="auto"/>
              <w:left w:val="single" w:sz="4" w:space="0" w:color="auto"/>
              <w:bottom w:val="single" w:sz="4" w:space="0" w:color="auto"/>
              <w:right w:val="single" w:sz="4" w:space="0" w:color="auto"/>
            </w:tcBorders>
            <w:vAlign w:val="center"/>
          </w:tcPr>
          <w:p w14:paraId="48918532" w14:textId="77777777" w:rsidR="003A71DE" w:rsidRPr="007654EC" w:rsidRDefault="003A71DE" w:rsidP="00E33F84">
            <w:pPr>
              <w:pStyle w:val="TAC"/>
              <w:rPr>
                <w:lang w:val="de-DE"/>
              </w:rPr>
            </w:pPr>
            <w:r w:rsidRPr="007654EC">
              <w:t xml:space="preserve">10: </w:t>
            </w:r>
            <w:r w:rsidRPr="007654EC">
              <w:rPr>
                <w:lang w:val="de-DE"/>
              </w:rPr>
              <w:t>N</w:t>
            </w:r>
            <w:r w:rsidRPr="007654EC">
              <w:rPr>
                <w:vertAlign w:val="subscript"/>
                <w:lang w:val="de-DE"/>
              </w:rPr>
              <w:t>RB,c</w:t>
            </w:r>
            <w:r w:rsidRPr="007654EC">
              <w:rPr>
                <w:lang w:val="de-DE"/>
              </w:rPr>
              <w:t xml:space="preserve"> = 52</w:t>
            </w:r>
          </w:p>
        </w:tc>
      </w:tr>
      <w:tr w:rsidR="003A71DE" w:rsidRPr="007654EC" w14:paraId="437D2F3E" w14:textId="77777777" w:rsidTr="003A71DE">
        <w:trPr>
          <w:trHeight w:val="192"/>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CB6A8BC"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2673EC7F"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48448074"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0700C473" w14:textId="77777777" w:rsidR="003A71DE" w:rsidRPr="007654EC" w:rsidRDefault="003A71DE" w:rsidP="00E33F84">
            <w:pPr>
              <w:pStyle w:val="TAC"/>
            </w:pPr>
            <w:r w:rsidRPr="007654EC">
              <w:t xml:space="preserve">40: </w:t>
            </w:r>
            <w:r w:rsidRPr="007654EC">
              <w:rPr>
                <w:lang w:val="de-DE"/>
              </w:rPr>
              <w:t>N</w:t>
            </w:r>
            <w:r w:rsidRPr="007654EC">
              <w:rPr>
                <w:vertAlign w:val="subscript"/>
                <w:lang w:val="de-DE"/>
              </w:rPr>
              <w:t>RB,c</w:t>
            </w:r>
            <w:r w:rsidRPr="007654EC">
              <w:rPr>
                <w:lang w:val="de-DE"/>
              </w:rPr>
              <w:t xml:space="preserve"> = 106</w:t>
            </w:r>
          </w:p>
        </w:tc>
      </w:tr>
      <w:tr w:rsidR="003A71DE" w:rsidRPr="007654EC" w14:paraId="796D624E" w14:textId="77777777" w:rsidTr="003A71DE">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14:paraId="348A3198" w14:textId="77777777" w:rsidR="003A71DE" w:rsidRPr="007654EC" w:rsidRDefault="003A71DE" w:rsidP="00E33F84">
            <w:pPr>
              <w:pStyle w:val="TAL"/>
            </w:pPr>
            <w:r w:rsidRPr="007654EC">
              <w:t>Initial BWP Configuration</w:t>
            </w:r>
          </w:p>
        </w:tc>
        <w:tc>
          <w:tcPr>
            <w:tcW w:w="1387" w:type="dxa"/>
            <w:tcBorders>
              <w:top w:val="single" w:sz="4" w:space="0" w:color="auto"/>
              <w:left w:val="single" w:sz="4" w:space="0" w:color="auto"/>
              <w:bottom w:val="single" w:sz="4" w:space="0" w:color="auto"/>
              <w:right w:val="single" w:sz="4" w:space="0" w:color="auto"/>
            </w:tcBorders>
            <w:vAlign w:val="center"/>
          </w:tcPr>
          <w:p w14:paraId="349D666B"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156ED451"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57D3D8CD" w14:textId="77777777" w:rsidR="003A71DE" w:rsidRPr="007654EC" w:rsidRDefault="003A71DE" w:rsidP="00E33F84">
            <w:pPr>
              <w:pStyle w:val="TAC"/>
            </w:pPr>
            <w:r w:rsidRPr="007654EC">
              <w:t>DLBWP.0.1</w:t>
            </w:r>
          </w:p>
          <w:p w14:paraId="75312535" w14:textId="77777777" w:rsidR="003A71DE" w:rsidRPr="007654EC" w:rsidRDefault="003A71DE" w:rsidP="00E33F84">
            <w:pPr>
              <w:pStyle w:val="TAC"/>
            </w:pPr>
            <w:r w:rsidRPr="007654EC">
              <w:t>ULBWP.0.1</w:t>
            </w:r>
          </w:p>
        </w:tc>
      </w:tr>
      <w:tr w:rsidR="003A71DE" w:rsidRPr="007654EC" w14:paraId="26739FD8" w14:textId="77777777" w:rsidTr="003A71DE">
        <w:trPr>
          <w:trHeight w:val="378"/>
          <w:jc w:val="center"/>
        </w:trPr>
        <w:tc>
          <w:tcPr>
            <w:tcW w:w="2263" w:type="dxa"/>
            <w:tcBorders>
              <w:top w:val="single" w:sz="4" w:space="0" w:color="auto"/>
              <w:left w:val="single" w:sz="4" w:space="0" w:color="auto"/>
              <w:bottom w:val="single" w:sz="4" w:space="0" w:color="auto"/>
              <w:right w:val="single" w:sz="4" w:space="0" w:color="auto"/>
            </w:tcBorders>
            <w:vAlign w:val="center"/>
          </w:tcPr>
          <w:p w14:paraId="74613482" w14:textId="77777777" w:rsidR="003A71DE" w:rsidRPr="007654EC" w:rsidRDefault="003A71DE" w:rsidP="00E33F84">
            <w:pPr>
              <w:pStyle w:val="TAL"/>
            </w:pPr>
            <w:r w:rsidRPr="007654EC">
              <w:t>Dedicated BWP Configuration</w:t>
            </w:r>
          </w:p>
        </w:tc>
        <w:tc>
          <w:tcPr>
            <w:tcW w:w="1387" w:type="dxa"/>
            <w:tcBorders>
              <w:top w:val="single" w:sz="4" w:space="0" w:color="auto"/>
              <w:left w:val="single" w:sz="4" w:space="0" w:color="auto"/>
              <w:bottom w:val="single" w:sz="4" w:space="0" w:color="auto"/>
              <w:right w:val="single" w:sz="4" w:space="0" w:color="auto"/>
            </w:tcBorders>
            <w:vAlign w:val="center"/>
          </w:tcPr>
          <w:p w14:paraId="502847E7"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45B3951"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2AB2AE72" w14:textId="77777777" w:rsidR="003A71DE" w:rsidRPr="007654EC" w:rsidRDefault="003A71DE" w:rsidP="00E33F84">
            <w:pPr>
              <w:pStyle w:val="TAC"/>
            </w:pPr>
            <w:r w:rsidRPr="007654EC">
              <w:t>DLBWP.1.1</w:t>
            </w:r>
          </w:p>
          <w:p w14:paraId="23DB12F9" w14:textId="77777777" w:rsidR="003A71DE" w:rsidRPr="007654EC" w:rsidRDefault="003A71DE" w:rsidP="00E33F84">
            <w:pPr>
              <w:pStyle w:val="TAC"/>
            </w:pPr>
            <w:r w:rsidRPr="007654EC">
              <w:t>ULBWP.1.1</w:t>
            </w:r>
          </w:p>
        </w:tc>
      </w:tr>
      <w:tr w:rsidR="003A71DE" w:rsidRPr="007654EC" w14:paraId="117C55E9" w14:textId="77777777" w:rsidTr="003A71DE">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14:paraId="3CC7DC96" w14:textId="77777777" w:rsidR="003A71DE" w:rsidRPr="007654EC" w:rsidRDefault="003A71DE" w:rsidP="00E33F84">
            <w:pPr>
              <w:pStyle w:val="TAL"/>
            </w:pPr>
            <w:r w:rsidRPr="007654EC">
              <w:t>DR</w:t>
            </w:r>
            <w:r w:rsidRPr="007654EC">
              <w:rPr>
                <w:rFonts w:hint="eastAsia"/>
                <w:lang w:val="en-US" w:eastAsia="zh-CN"/>
              </w:rPr>
              <w:t>X</w:t>
            </w:r>
            <w:r w:rsidRPr="007654EC">
              <w:t xml:space="preserve"> Cycle</w:t>
            </w:r>
          </w:p>
        </w:tc>
        <w:tc>
          <w:tcPr>
            <w:tcW w:w="1387" w:type="dxa"/>
            <w:tcBorders>
              <w:top w:val="single" w:sz="4" w:space="0" w:color="auto"/>
              <w:left w:val="single" w:sz="4" w:space="0" w:color="auto"/>
              <w:bottom w:val="single" w:sz="4" w:space="0" w:color="auto"/>
              <w:right w:val="single" w:sz="4" w:space="0" w:color="auto"/>
            </w:tcBorders>
            <w:vAlign w:val="center"/>
          </w:tcPr>
          <w:p w14:paraId="5A664C65" w14:textId="77777777" w:rsidR="003A71DE" w:rsidRPr="007654EC" w:rsidRDefault="003A71DE" w:rsidP="00E33F84">
            <w:pPr>
              <w:pStyle w:val="TAC"/>
            </w:pPr>
            <w:r w:rsidRPr="007654EC">
              <w:t>ms</w:t>
            </w:r>
          </w:p>
        </w:tc>
        <w:tc>
          <w:tcPr>
            <w:tcW w:w="1434" w:type="dxa"/>
            <w:tcBorders>
              <w:top w:val="single" w:sz="4" w:space="0" w:color="auto"/>
              <w:left w:val="single" w:sz="4" w:space="0" w:color="auto"/>
              <w:bottom w:val="single" w:sz="4" w:space="0" w:color="auto"/>
              <w:right w:val="single" w:sz="4" w:space="0" w:color="auto"/>
            </w:tcBorders>
            <w:vAlign w:val="center"/>
          </w:tcPr>
          <w:p w14:paraId="218D99BB" w14:textId="77777777" w:rsidR="003A71DE" w:rsidRPr="007654EC" w:rsidRDefault="003A71DE" w:rsidP="00E33F84">
            <w:pPr>
              <w:pStyle w:val="TAC"/>
            </w:pPr>
          </w:p>
        </w:tc>
        <w:tc>
          <w:tcPr>
            <w:tcW w:w="2307" w:type="dxa"/>
            <w:tcBorders>
              <w:top w:val="single" w:sz="4" w:space="0" w:color="auto"/>
              <w:left w:val="single" w:sz="4" w:space="0" w:color="auto"/>
              <w:bottom w:val="single" w:sz="4" w:space="0" w:color="auto"/>
              <w:right w:val="single" w:sz="4" w:space="0" w:color="auto"/>
            </w:tcBorders>
            <w:vAlign w:val="center"/>
          </w:tcPr>
          <w:p w14:paraId="504F6902" w14:textId="77777777" w:rsidR="003A71DE" w:rsidRPr="007654EC" w:rsidRDefault="003A71DE" w:rsidP="00E33F84">
            <w:pPr>
              <w:pStyle w:val="TAC"/>
            </w:pPr>
            <w:r w:rsidRPr="007654EC">
              <w:rPr>
                <w:rFonts w:hint="eastAsia"/>
                <w:lang w:val="en-US" w:eastAsia="zh-CN"/>
              </w:rPr>
              <w:t>N/A</w:t>
            </w:r>
          </w:p>
        </w:tc>
      </w:tr>
      <w:tr w:rsidR="003A71DE" w:rsidRPr="007654EC" w14:paraId="09A03714" w14:textId="77777777" w:rsidTr="003A71DE">
        <w:trPr>
          <w:trHeight w:val="153"/>
          <w:jc w:val="center"/>
        </w:trPr>
        <w:tc>
          <w:tcPr>
            <w:tcW w:w="2263" w:type="dxa"/>
            <w:vMerge w:val="restart"/>
            <w:tcBorders>
              <w:top w:val="single" w:sz="4" w:space="0" w:color="auto"/>
              <w:left w:val="single" w:sz="4" w:space="0" w:color="auto"/>
              <w:bottom w:val="single" w:sz="4" w:space="0" w:color="auto"/>
              <w:right w:val="single" w:sz="4" w:space="0" w:color="auto"/>
            </w:tcBorders>
            <w:vAlign w:val="center"/>
          </w:tcPr>
          <w:p w14:paraId="69F87980" w14:textId="77777777" w:rsidR="003A71DE" w:rsidRPr="007654EC" w:rsidRDefault="003A71DE" w:rsidP="00E33F84">
            <w:pPr>
              <w:pStyle w:val="TAL"/>
            </w:pPr>
            <w:r w:rsidRPr="007654EC">
              <w:t>PDSCH Reference measurement channel</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7C5A03A1" w14:textId="77777777" w:rsidR="003A71DE" w:rsidRPr="007654EC" w:rsidRDefault="003A71DE" w:rsidP="00E33F84">
            <w:pPr>
              <w:pStyle w:val="TAC"/>
            </w:pPr>
          </w:p>
        </w:tc>
        <w:tc>
          <w:tcPr>
            <w:tcW w:w="1434" w:type="dxa"/>
            <w:tcBorders>
              <w:top w:val="single" w:sz="4" w:space="0" w:color="auto"/>
              <w:left w:val="single" w:sz="4" w:space="0" w:color="auto"/>
              <w:right w:val="single" w:sz="4" w:space="0" w:color="auto"/>
            </w:tcBorders>
            <w:vAlign w:val="center"/>
          </w:tcPr>
          <w:p w14:paraId="244A396A" w14:textId="77777777" w:rsidR="003A71DE" w:rsidRPr="007654EC" w:rsidRDefault="003A71DE" w:rsidP="00E33F84">
            <w:pPr>
              <w:pStyle w:val="TAC"/>
              <w:rPr>
                <w:lang w:eastAsia="zh-CN"/>
              </w:rPr>
            </w:pPr>
            <w:r w:rsidRPr="007654EC">
              <w:rPr>
                <w:rFonts w:hint="eastAsia"/>
                <w:lang w:val="en-US" w:eastAsia="zh-CN"/>
              </w:rPr>
              <w:t>1</w:t>
            </w:r>
          </w:p>
        </w:tc>
        <w:tc>
          <w:tcPr>
            <w:tcW w:w="2307" w:type="dxa"/>
            <w:tcBorders>
              <w:top w:val="single" w:sz="4" w:space="0" w:color="auto"/>
              <w:left w:val="single" w:sz="4" w:space="0" w:color="auto"/>
              <w:bottom w:val="single" w:sz="4" w:space="0" w:color="auto"/>
              <w:right w:val="single" w:sz="4" w:space="0" w:color="auto"/>
            </w:tcBorders>
            <w:vAlign w:val="center"/>
          </w:tcPr>
          <w:p w14:paraId="4E897026" w14:textId="77777777" w:rsidR="003A71DE" w:rsidRPr="007654EC" w:rsidRDefault="003A71DE" w:rsidP="00E33F84">
            <w:pPr>
              <w:pStyle w:val="TAC"/>
            </w:pPr>
            <w:r w:rsidRPr="007654EC">
              <w:t>SR.1.1 TDD</w:t>
            </w:r>
          </w:p>
        </w:tc>
      </w:tr>
      <w:tr w:rsidR="003A71DE" w:rsidRPr="007654EC" w14:paraId="21486778" w14:textId="77777777" w:rsidTr="003A71DE">
        <w:trPr>
          <w:trHeight w:val="21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26DA280"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22FFF719"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50B73174" w14:textId="77777777" w:rsidR="003A71DE" w:rsidRPr="007654EC" w:rsidRDefault="003A71DE" w:rsidP="00E33F84">
            <w:pPr>
              <w:pStyle w:val="TAC"/>
              <w:rPr>
                <w:lang w:eastAsia="zh-CN"/>
              </w:rPr>
            </w:pPr>
            <w:r w:rsidRPr="007654EC">
              <w:rPr>
                <w:rFonts w:hint="eastAsia"/>
                <w:lang w:val="en-US" w:eastAsia="zh-CN"/>
              </w:rPr>
              <w:t>2</w:t>
            </w:r>
          </w:p>
        </w:tc>
        <w:tc>
          <w:tcPr>
            <w:tcW w:w="2307" w:type="dxa"/>
            <w:tcBorders>
              <w:top w:val="single" w:sz="4" w:space="0" w:color="auto"/>
              <w:left w:val="single" w:sz="4" w:space="0" w:color="auto"/>
              <w:bottom w:val="single" w:sz="4" w:space="0" w:color="auto"/>
              <w:right w:val="single" w:sz="4" w:space="0" w:color="auto"/>
            </w:tcBorders>
            <w:vAlign w:val="center"/>
          </w:tcPr>
          <w:p w14:paraId="1EF111E6" w14:textId="77777777" w:rsidR="003A71DE" w:rsidRPr="007654EC" w:rsidRDefault="003A71DE" w:rsidP="00E33F84">
            <w:pPr>
              <w:pStyle w:val="TAC"/>
            </w:pPr>
            <w:r w:rsidRPr="007654EC">
              <w:t>SR.2.1 TDD</w:t>
            </w:r>
          </w:p>
        </w:tc>
      </w:tr>
      <w:tr w:rsidR="003A71DE" w:rsidRPr="007654EC" w14:paraId="5BFE74E6" w14:textId="77777777" w:rsidTr="003A71DE">
        <w:trPr>
          <w:trHeight w:val="275"/>
          <w:jc w:val="center"/>
        </w:trPr>
        <w:tc>
          <w:tcPr>
            <w:tcW w:w="2263" w:type="dxa"/>
            <w:vMerge w:val="restart"/>
            <w:tcBorders>
              <w:top w:val="single" w:sz="4" w:space="0" w:color="auto"/>
              <w:left w:val="single" w:sz="4" w:space="0" w:color="auto"/>
              <w:bottom w:val="single" w:sz="4" w:space="0" w:color="auto"/>
              <w:right w:val="single" w:sz="4" w:space="0" w:color="auto"/>
            </w:tcBorders>
            <w:vAlign w:val="center"/>
          </w:tcPr>
          <w:p w14:paraId="71B621EF" w14:textId="77777777" w:rsidR="003A71DE" w:rsidRPr="007654EC" w:rsidRDefault="003A71DE" w:rsidP="00E33F84">
            <w:pPr>
              <w:pStyle w:val="TAL"/>
            </w:pPr>
            <w:r w:rsidRPr="007654EC">
              <w:t>RMSI CORESET Reference Channel</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7340C8A1" w14:textId="77777777" w:rsidR="003A71DE" w:rsidRPr="007654EC" w:rsidRDefault="003A71DE" w:rsidP="00E33F84">
            <w:pPr>
              <w:pStyle w:val="TAC"/>
            </w:pPr>
          </w:p>
        </w:tc>
        <w:tc>
          <w:tcPr>
            <w:tcW w:w="1434" w:type="dxa"/>
            <w:tcBorders>
              <w:top w:val="single" w:sz="4" w:space="0" w:color="auto"/>
              <w:left w:val="single" w:sz="4" w:space="0" w:color="auto"/>
              <w:right w:val="single" w:sz="4" w:space="0" w:color="auto"/>
            </w:tcBorders>
            <w:vAlign w:val="center"/>
          </w:tcPr>
          <w:p w14:paraId="175DBD9B" w14:textId="77777777" w:rsidR="003A71DE" w:rsidRPr="007654EC" w:rsidRDefault="003A71DE" w:rsidP="00E33F84">
            <w:pPr>
              <w:pStyle w:val="TAC"/>
              <w:rPr>
                <w:lang w:eastAsia="zh-CN"/>
              </w:rPr>
            </w:pPr>
            <w:r w:rsidRPr="007654EC">
              <w:rPr>
                <w:rFonts w:hint="eastAsia"/>
                <w:lang w:val="en-US" w:eastAsia="zh-CN"/>
              </w:rPr>
              <w:t>1</w:t>
            </w:r>
          </w:p>
        </w:tc>
        <w:tc>
          <w:tcPr>
            <w:tcW w:w="2307" w:type="dxa"/>
            <w:tcBorders>
              <w:top w:val="single" w:sz="4" w:space="0" w:color="auto"/>
              <w:left w:val="single" w:sz="4" w:space="0" w:color="auto"/>
              <w:bottom w:val="single" w:sz="4" w:space="0" w:color="auto"/>
              <w:right w:val="single" w:sz="4" w:space="0" w:color="auto"/>
            </w:tcBorders>
            <w:vAlign w:val="center"/>
          </w:tcPr>
          <w:p w14:paraId="023F9331" w14:textId="77777777" w:rsidR="003A71DE" w:rsidRPr="007654EC" w:rsidRDefault="003A71DE" w:rsidP="00E33F84">
            <w:pPr>
              <w:pStyle w:val="TAC"/>
            </w:pPr>
            <w:r w:rsidRPr="007654EC">
              <w:t>CR.1.1 TDD</w:t>
            </w:r>
          </w:p>
        </w:tc>
      </w:tr>
      <w:tr w:rsidR="003A71DE" w:rsidRPr="007654EC" w14:paraId="719938B5" w14:textId="77777777" w:rsidTr="003A71DE">
        <w:trPr>
          <w:trHeight w:val="177"/>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BD77AF1"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249442CC"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66D35E61" w14:textId="77777777" w:rsidR="003A71DE" w:rsidRPr="007654EC" w:rsidRDefault="003A71DE" w:rsidP="00E33F84">
            <w:pPr>
              <w:pStyle w:val="TAC"/>
              <w:rPr>
                <w:lang w:eastAsia="zh-CN"/>
              </w:rPr>
            </w:pPr>
            <w:r w:rsidRPr="007654EC">
              <w:rPr>
                <w:rFonts w:hint="eastAsia"/>
                <w:lang w:val="en-US" w:eastAsia="zh-CN"/>
              </w:rPr>
              <w:t>2</w:t>
            </w:r>
          </w:p>
        </w:tc>
        <w:tc>
          <w:tcPr>
            <w:tcW w:w="2307" w:type="dxa"/>
            <w:tcBorders>
              <w:top w:val="single" w:sz="4" w:space="0" w:color="auto"/>
              <w:left w:val="single" w:sz="4" w:space="0" w:color="auto"/>
              <w:bottom w:val="single" w:sz="4" w:space="0" w:color="auto"/>
              <w:right w:val="single" w:sz="4" w:space="0" w:color="auto"/>
            </w:tcBorders>
            <w:vAlign w:val="center"/>
          </w:tcPr>
          <w:p w14:paraId="55D89A03" w14:textId="77777777" w:rsidR="003A71DE" w:rsidRPr="007654EC" w:rsidRDefault="003A71DE" w:rsidP="00E33F84">
            <w:pPr>
              <w:pStyle w:val="TAC"/>
            </w:pPr>
            <w:r w:rsidRPr="007654EC">
              <w:t>CR.2.1 TDD</w:t>
            </w:r>
          </w:p>
        </w:tc>
      </w:tr>
      <w:tr w:rsidR="003A71DE" w:rsidRPr="007654EC" w14:paraId="505A9E4F" w14:textId="77777777" w:rsidTr="003A71DE">
        <w:trPr>
          <w:trHeight w:val="131"/>
          <w:jc w:val="center"/>
        </w:trPr>
        <w:tc>
          <w:tcPr>
            <w:tcW w:w="2263" w:type="dxa"/>
            <w:vMerge w:val="restart"/>
            <w:tcBorders>
              <w:top w:val="single" w:sz="4" w:space="0" w:color="auto"/>
              <w:left w:val="single" w:sz="4" w:space="0" w:color="auto"/>
              <w:right w:val="single" w:sz="4" w:space="0" w:color="auto"/>
            </w:tcBorders>
            <w:vAlign w:val="center"/>
          </w:tcPr>
          <w:p w14:paraId="1E216CDF" w14:textId="77777777" w:rsidR="003A71DE" w:rsidRPr="007654EC" w:rsidRDefault="003A71DE" w:rsidP="00E33F84">
            <w:pPr>
              <w:pStyle w:val="TAL"/>
            </w:pPr>
            <w:r w:rsidRPr="007654EC">
              <w:t>Dedicated CORESET Reference Channel</w:t>
            </w:r>
          </w:p>
        </w:tc>
        <w:tc>
          <w:tcPr>
            <w:tcW w:w="1387" w:type="dxa"/>
            <w:vMerge w:val="restart"/>
            <w:tcBorders>
              <w:top w:val="single" w:sz="4" w:space="0" w:color="auto"/>
              <w:left w:val="single" w:sz="4" w:space="0" w:color="auto"/>
              <w:right w:val="single" w:sz="4" w:space="0" w:color="auto"/>
            </w:tcBorders>
            <w:vAlign w:val="center"/>
          </w:tcPr>
          <w:p w14:paraId="035A56E5" w14:textId="77777777" w:rsidR="003A71DE" w:rsidRPr="007654EC" w:rsidRDefault="003A71DE" w:rsidP="00E33F84">
            <w:pPr>
              <w:pStyle w:val="TAC"/>
            </w:pPr>
          </w:p>
        </w:tc>
        <w:tc>
          <w:tcPr>
            <w:tcW w:w="1434" w:type="dxa"/>
            <w:tcBorders>
              <w:top w:val="single" w:sz="4" w:space="0" w:color="auto"/>
              <w:left w:val="single" w:sz="4" w:space="0" w:color="auto"/>
              <w:right w:val="single" w:sz="4" w:space="0" w:color="auto"/>
            </w:tcBorders>
            <w:vAlign w:val="center"/>
          </w:tcPr>
          <w:p w14:paraId="3BC4454A" w14:textId="77777777" w:rsidR="003A71DE" w:rsidRPr="007654EC" w:rsidRDefault="003A71DE" w:rsidP="00E33F84">
            <w:pPr>
              <w:pStyle w:val="TAC"/>
              <w:rPr>
                <w:lang w:eastAsia="zh-CN"/>
              </w:rPr>
            </w:pPr>
            <w:r w:rsidRPr="007654EC">
              <w:rPr>
                <w:rFonts w:hint="eastAsia"/>
                <w:lang w:val="en-US" w:eastAsia="zh-CN"/>
              </w:rPr>
              <w:t>1</w:t>
            </w:r>
          </w:p>
        </w:tc>
        <w:tc>
          <w:tcPr>
            <w:tcW w:w="2307" w:type="dxa"/>
            <w:tcBorders>
              <w:top w:val="single" w:sz="4" w:space="0" w:color="auto"/>
              <w:left w:val="single" w:sz="4" w:space="0" w:color="auto"/>
              <w:bottom w:val="single" w:sz="4" w:space="0" w:color="auto"/>
              <w:right w:val="single" w:sz="4" w:space="0" w:color="auto"/>
            </w:tcBorders>
            <w:vAlign w:val="center"/>
          </w:tcPr>
          <w:p w14:paraId="73A30744" w14:textId="77777777" w:rsidR="003A71DE" w:rsidRPr="007654EC" w:rsidRDefault="003A71DE" w:rsidP="00E33F84">
            <w:pPr>
              <w:pStyle w:val="TAC"/>
            </w:pPr>
            <w:r w:rsidRPr="007654EC">
              <w:t>CCR.1.1 TDD</w:t>
            </w:r>
          </w:p>
        </w:tc>
      </w:tr>
      <w:tr w:rsidR="003A71DE" w:rsidRPr="007654EC" w14:paraId="4D43EEB0" w14:textId="77777777" w:rsidTr="003A71DE">
        <w:trPr>
          <w:trHeight w:val="195"/>
          <w:jc w:val="center"/>
        </w:trPr>
        <w:tc>
          <w:tcPr>
            <w:tcW w:w="2263" w:type="dxa"/>
            <w:vMerge/>
            <w:tcBorders>
              <w:left w:val="single" w:sz="4" w:space="0" w:color="auto"/>
              <w:bottom w:val="single" w:sz="4" w:space="0" w:color="auto"/>
              <w:right w:val="single" w:sz="4" w:space="0" w:color="auto"/>
            </w:tcBorders>
            <w:vAlign w:val="center"/>
          </w:tcPr>
          <w:p w14:paraId="3F78180A" w14:textId="77777777" w:rsidR="003A71DE" w:rsidRPr="007654EC" w:rsidRDefault="003A71DE" w:rsidP="00E33F84">
            <w:pPr>
              <w:pStyle w:val="TAL"/>
            </w:pPr>
          </w:p>
        </w:tc>
        <w:tc>
          <w:tcPr>
            <w:tcW w:w="1387" w:type="dxa"/>
            <w:vMerge/>
            <w:tcBorders>
              <w:left w:val="single" w:sz="4" w:space="0" w:color="auto"/>
              <w:bottom w:val="single" w:sz="4" w:space="0" w:color="auto"/>
              <w:right w:val="single" w:sz="4" w:space="0" w:color="auto"/>
            </w:tcBorders>
            <w:vAlign w:val="center"/>
          </w:tcPr>
          <w:p w14:paraId="7D3EFB37"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74386709" w14:textId="77777777" w:rsidR="003A71DE" w:rsidRPr="007654EC" w:rsidRDefault="003A71DE" w:rsidP="00E33F84">
            <w:pPr>
              <w:pStyle w:val="TAC"/>
              <w:rPr>
                <w:lang w:eastAsia="zh-CN"/>
              </w:rPr>
            </w:pPr>
            <w:r w:rsidRPr="007654EC">
              <w:rPr>
                <w:rFonts w:hint="eastAsia"/>
                <w:lang w:val="en-US" w:eastAsia="zh-CN"/>
              </w:rPr>
              <w:t>2</w:t>
            </w:r>
          </w:p>
        </w:tc>
        <w:tc>
          <w:tcPr>
            <w:tcW w:w="2307" w:type="dxa"/>
            <w:tcBorders>
              <w:top w:val="single" w:sz="4" w:space="0" w:color="auto"/>
              <w:left w:val="single" w:sz="4" w:space="0" w:color="auto"/>
              <w:bottom w:val="single" w:sz="4" w:space="0" w:color="auto"/>
              <w:right w:val="single" w:sz="4" w:space="0" w:color="auto"/>
            </w:tcBorders>
            <w:vAlign w:val="center"/>
          </w:tcPr>
          <w:p w14:paraId="32D5C06D" w14:textId="77777777" w:rsidR="003A71DE" w:rsidRPr="007654EC" w:rsidRDefault="003A71DE" w:rsidP="00E33F84">
            <w:pPr>
              <w:pStyle w:val="TAC"/>
            </w:pPr>
            <w:r w:rsidRPr="007654EC">
              <w:t>CCR.2.1 TDD</w:t>
            </w:r>
          </w:p>
        </w:tc>
      </w:tr>
      <w:tr w:rsidR="003A71DE" w:rsidRPr="007654EC" w14:paraId="233842A1"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vAlign w:val="center"/>
          </w:tcPr>
          <w:p w14:paraId="4228AEA7" w14:textId="77777777" w:rsidR="003A71DE" w:rsidRPr="007654EC" w:rsidRDefault="003A71DE" w:rsidP="00E33F84">
            <w:pPr>
              <w:pStyle w:val="TAL"/>
            </w:pPr>
            <w:r w:rsidRPr="007654EC">
              <w:t>OCNG Patterns</w:t>
            </w:r>
          </w:p>
        </w:tc>
        <w:tc>
          <w:tcPr>
            <w:tcW w:w="1387" w:type="dxa"/>
            <w:tcBorders>
              <w:top w:val="single" w:sz="4" w:space="0" w:color="auto"/>
              <w:left w:val="single" w:sz="4" w:space="0" w:color="auto"/>
              <w:bottom w:val="single" w:sz="4" w:space="0" w:color="auto"/>
              <w:right w:val="single" w:sz="4" w:space="0" w:color="auto"/>
            </w:tcBorders>
            <w:vAlign w:val="center"/>
          </w:tcPr>
          <w:p w14:paraId="2DC118E8"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63E546C2"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6DD86F71" w14:textId="77777777" w:rsidR="003A71DE" w:rsidRPr="007654EC" w:rsidRDefault="003A71DE" w:rsidP="00E33F84">
            <w:pPr>
              <w:pStyle w:val="TAC"/>
            </w:pPr>
            <w:r w:rsidRPr="007654EC">
              <w:rPr>
                <w:snapToGrid w:val="0"/>
              </w:rPr>
              <w:t>OP.1</w:t>
            </w:r>
          </w:p>
        </w:tc>
      </w:tr>
      <w:tr w:rsidR="003A71DE" w:rsidRPr="007654EC" w14:paraId="3C4655B7" w14:textId="77777777" w:rsidTr="003A71DE">
        <w:trPr>
          <w:trHeight w:val="177"/>
          <w:jc w:val="center"/>
        </w:trPr>
        <w:tc>
          <w:tcPr>
            <w:tcW w:w="2263" w:type="dxa"/>
            <w:vMerge w:val="restart"/>
            <w:tcBorders>
              <w:top w:val="single" w:sz="4" w:space="0" w:color="auto"/>
              <w:left w:val="single" w:sz="4" w:space="0" w:color="auto"/>
              <w:right w:val="single" w:sz="4" w:space="0" w:color="auto"/>
            </w:tcBorders>
            <w:vAlign w:val="center"/>
          </w:tcPr>
          <w:p w14:paraId="4060E8A4" w14:textId="77777777" w:rsidR="003A71DE" w:rsidRPr="007654EC" w:rsidRDefault="003A71DE" w:rsidP="00E33F84">
            <w:pPr>
              <w:pStyle w:val="TAL"/>
              <w:rPr>
                <w:lang w:val="da-DK"/>
              </w:rPr>
            </w:pPr>
            <w:r w:rsidRPr="007654EC">
              <w:rPr>
                <w:lang w:val="da-DK"/>
              </w:rPr>
              <w:t>SSB configuration</w:t>
            </w:r>
          </w:p>
        </w:tc>
        <w:tc>
          <w:tcPr>
            <w:tcW w:w="1387" w:type="dxa"/>
            <w:vMerge w:val="restart"/>
            <w:tcBorders>
              <w:top w:val="single" w:sz="4" w:space="0" w:color="auto"/>
              <w:left w:val="single" w:sz="4" w:space="0" w:color="auto"/>
              <w:right w:val="single" w:sz="4" w:space="0" w:color="auto"/>
            </w:tcBorders>
            <w:vAlign w:val="center"/>
          </w:tcPr>
          <w:p w14:paraId="60C9A05C"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219DFE2" w14:textId="77777777" w:rsidR="003A71DE" w:rsidRPr="007654EC" w:rsidRDefault="003A71DE" w:rsidP="00E33F84">
            <w:pPr>
              <w:pStyle w:val="TAC"/>
            </w:pPr>
            <w:r w:rsidRPr="007654EC">
              <w:t>1,2</w:t>
            </w:r>
          </w:p>
        </w:tc>
        <w:tc>
          <w:tcPr>
            <w:tcW w:w="2307" w:type="dxa"/>
            <w:tcBorders>
              <w:top w:val="single" w:sz="4" w:space="0" w:color="auto"/>
              <w:left w:val="single" w:sz="4" w:space="0" w:color="auto"/>
              <w:bottom w:val="single" w:sz="4" w:space="0" w:color="auto"/>
              <w:right w:val="single" w:sz="4" w:space="0" w:color="auto"/>
            </w:tcBorders>
            <w:vAlign w:val="center"/>
          </w:tcPr>
          <w:p w14:paraId="25AEC19C" w14:textId="77777777" w:rsidR="003A71DE" w:rsidRPr="007654EC" w:rsidRDefault="003A71DE" w:rsidP="00E33F84">
            <w:pPr>
              <w:pStyle w:val="TAC"/>
            </w:pPr>
            <w:r w:rsidRPr="007654EC">
              <w:t>SSB.1 FR1</w:t>
            </w:r>
          </w:p>
        </w:tc>
      </w:tr>
      <w:tr w:rsidR="003A71DE" w:rsidRPr="007654EC" w14:paraId="3579516B" w14:textId="77777777" w:rsidTr="003A71DE">
        <w:trPr>
          <w:trHeight w:val="255"/>
          <w:jc w:val="center"/>
        </w:trPr>
        <w:tc>
          <w:tcPr>
            <w:tcW w:w="2263" w:type="dxa"/>
            <w:vMerge/>
            <w:tcBorders>
              <w:left w:val="single" w:sz="4" w:space="0" w:color="auto"/>
              <w:bottom w:val="single" w:sz="4" w:space="0" w:color="auto"/>
              <w:right w:val="single" w:sz="4" w:space="0" w:color="auto"/>
            </w:tcBorders>
            <w:vAlign w:val="center"/>
          </w:tcPr>
          <w:p w14:paraId="7153115D" w14:textId="77777777" w:rsidR="003A71DE" w:rsidRPr="007654EC" w:rsidRDefault="003A71DE" w:rsidP="00E33F84">
            <w:pPr>
              <w:pStyle w:val="TAL"/>
              <w:rPr>
                <w:lang w:val="da-DK"/>
              </w:rPr>
            </w:pPr>
          </w:p>
        </w:tc>
        <w:tc>
          <w:tcPr>
            <w:tcW w:w="1387" w:type="dxa"/>
            <w:vMerge/>
            <w:tcBorders>
              <w:left w:val="single" w:sz="4" w:space="0" w:color="auto"/>
              <w:bottom w:val="single" w:sz="4" w:space="0" w:color="auto"/>
              <w:right w:val="single" w:sz="4" w:space="0" w:color="auto"/>
            </w:tcBorders>
            <w:vAlign w:val="center"/>
          </w:tcPr>
          <w:p w14:paraId="1ACE0C5B"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6DBCC45D"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7DC624A9" w14:textId="77777777" w:rsidR="003A71DE" w:rsidRPr="007654EC" w:rsidRDefault="003A71DE" w:rsidP="00E33F84">
            <w:pPr>
              <w:pStyle w:val="TAC"/>
            </w:pPr>
            <w:r w:rsidRPr="007654EC">
              <w:t>SSB.2 FR1</w:t>
            </w:r>
          </w:p>
        </w:tc>
      </w:tr>
      <w:tr w:rsidR="003A71DE" w:rsidRPr="007654EC" w14:paraId="1A36B4B7" w14:textId="77777777" w:rsidTr="003A71DE">
        <w:trPr>
          <w:trHeight w:val="240"/>
          <w:jc w:val="center"/>
        </w:trPr>
        <w:tc>
          <w:tcPr>
            <w:tcW w:w="2263" w:type="dxa"/>
            <w:vMerge w:val="restart"/>
            <w:tcBorders>
              <w:top w:val="single" w:sz="4" w:space="0" w:color="auto"/>
              <w:left w:val="single" w:sz="4" w:space="0" w:color="auto"/>
              <w:bottom w:val="single" w:sz="4" w:space="0" w:color="auto"/>
              <w:right w:val="single" w:sz="4" w:space="0" w:color="auto"/>
            </w:tcBorders>
            <w:vAlign w:val="center"/>
          </w:tcPr>
          <w:p w14:paraId="0A35509D" w14:textId="77777777" w:rsidR="003A71DE" w:rsidRPr="007654EC" w:rsidRDefault="003A71DE" w:rsidP="00E33F84">
            <w:pPr>
              <w:pStyle w:val="TAL"/>
            </w:pPr>
            <w:r w:rsidRPr="007654EC">
              <w:rPr>
                <w:lang w:val="da-DK"/>
              </w:rPr>
              <w:t>SMTC Configuration</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3A62493D"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67A07775" w14:textId="77777777" w:rsidR="003A71DE" w:rsidRPr="007654EC" w:rsidRDefault="003A71DE" w:rsidP="00E33F84">
            <w:pPr>
              <w:pStyle w:val="TAC"/>
            </w:pPr>
            <w:r w:rsidRPr="007654EC">
              <w:t>1,2</w:t>
            </w:r>
          </w:p>
        </w:tc>
        <w:tc>
          <w:tcPr>
            <w:tcW w:w="2307" w:type="dxa"/>
            <w:tcBorders>
              <w:top w:val="single" w:sz="4" w:space="0" w:color="auto"/>
              <w:left w:val="single" w:sz="4" w:space="0" w:color="auto"/>
              <w:bottom w:val="single" w:sz="4" w:space="0" w:color="auto"/>
              <w:right w:val="single" w:sz="4" w:space="0" w:color="auto"/>
            </w:tcBorders>
            <w:vAlign w:val="center"/>
          </w:tcPr>
          <w:p w14:paraId="1213BC97" w14:textId="77777777" w:rsidR="003A71DE" w:rsidRPr="007654EC" w:rsidRDefault="003A71DE" w:rsidP="00E33F84">
            <w:pPr>
              <w:pStyle w:val="TAC"/>
            </w:pPr>
            <w:r w:rsidRPr="007654EC">
              <w:t>SMTC.1</w:t>
            </w:r>
          </w:p>
        </w:tc>
      </w:tr>
      <w:tr w:rsidR="003A71DE" w:rsidRPr="007654EC" w14:paraId="3B19E640" w14:textId="77777777" w:rsidTr="003A71DE">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FBF8B60"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3252B2E0"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29A4FC6A"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39743B76" w14:textId="77777777" w:rsidR="003A71DE" w:rsidRPr="007654EC" w:rsidRDefault="003A71DE" w:rsidP="00E33F84">
            <w:pPr>
              <w:pStyle w:val="TAC"/>
            </w:pPr>
            <w:r w:rsidRPr="007654EC">
              <w:t>SMTC.2</w:t>
            </w:r>
          </w:p>
        </w:tc>
      </w:tr>
      <w:tr w:rsidR="003A71DE" w:rsidRPr="007654EC" w14:paraId="13424E86" w14:textId="77777777" w:rsidTr="003A71DE">
        <w:trPr>
          <w:trHeight w:val="239"/>
          <w:jc w:val="center"/>
        </w:trPr>
        <w:tc>
          <w:tcPr>
            <w:tcW w:w="0" w:type="auto"/>
            <w:vMerge w:val="restart"/>
            <w:tcBorders>
              <w:top w:val="single" w:sz="4" w:space="0" w:color="auto"/>
              <w:left w:val="single" w:sz="4" w:space="0" w:color="auto"/>
              <w:right w:val="single" w:sz="4" w:space="0" w:color="auto"/>
            </w:tcBorders>
            <w:vAlign w:val="center"/>
          </w:tcPr>
          <w:p w14:paraId="6BA2EA8E" w14:textId="77777777" w:rsidR="003A71DE" w:rsidRPr="007654EC" w:rsidRDefault="003A71DE" w:rsidP="00E33F84">
            <w:pPr>
              <w:pStyle w:val="TAL"/>
            </w:pPr>
            <w:r w:rsidRPr="007654EC">
              <w:rPr>
                <w:rFonts w:cs="Arial"/>
                <w:szCs w:val="18"/>
              </w:rPr>
              <w:t>TRS configuration</w:t>
            </w:r>
          </w:p>
        </w:tc>
        <w:tc>
          <w:tcPr>
            <w:tcW w:w="1387" w:type="dxa"/>
            <w:tcBorders>
              <w:top w:val="single" w:sz="4" w:space="0" w:color="auto"/>
              <w:left w:val="single" w:sz="4" w:space="0" w:color="auto"/>
              <w:bottom w:val="single" w:sz="4" w:space="0" w:color="auto"/>
              <w:right w:val="single" w:sz="4" w:space="0" w:color="auto"/>
            </w:tcBorders>
            <w:vAlign w:val="center"/>
          </w:tcPr>
          <w:p w14:paraId="640D4A76" w14:textId="77777777" w:rsidR="003A71DE" w:rsidRPr="007654EC" w:rsidRDefault="003A71DE" w:rsidP="00E33F84">
            <w:pPr>
              <w:pStyle w:val="TAC"/>
            </w:pPr>
          </w:p>
        </w:tc>
        <w:tc>
          <w:tcPr>
            <w:tcW w:w="1434" w:type="dxa"/>
            <w:tcBorders>
              <w:top w:val="single" w:sz="4" w:space="0" w:color="auto"/>
              <w:left w:val="single" w:sz="4" w:space="0" w:color="auto"/>
              <w:right w:val="single" w:sz="4" w:space="0" w:color="auto"/>
            </w:tcBorders>
            <w:vAlign w:val="center"/>
          </w:tcPr>
          <w:p w14:paraId="6CEE7AE3" w14:textId="77777777" w:rsidR="003A71DE" w:rsidRPr="007654EC" w:rsidRDefault="003A71DE" w:rsidP="00E33F84">
            <w:pPr>
              <w:pStyle w:val="TAC"/>
              <w:rPr>
                <w:lang w:val="en-US" w:eastAsia="zh-CN"/>
              </w:rPr>
            </w:pPr>
            <w:r w:rsidRPr="007654EC">
              <w:rPr>
                <w:rFonts w:hint="eastAsia"/>
                <w:lang w:val="en-US" w:eastAsia="zh-CN"/>
              </w:rPr>
              <w:t>1</w:t>
            </w:r>
          </w:p>
        </w:tc>
        <w:tc>
          <w:tcPr>
            <w:tcW w:w="2307" w:type="dxa"/>
            <w:tcBorders>
              <w:top w:val="single" w:sz="4" w:space="0" w:color="auto"/>
              <w:left w:val="single" w:sz="4" w:space="0" w:color="auto"/>
              <w:right w:val="single" w:sz="4" w:space="0" w:color="auto"/>
            </w:tcBorders>
            <w:vAlign w:val="center"/>
          </w:tcPr>
          <w:p w14:paraId="13ED577F" w14:textId="77777777" w:rsidR="003A71DE" w:rsidRPr="007654EC" w:rsidRDefault="003A71DE" w:rsidP="00E33F84">
            <w:pPr>
              <w:pStyle w:val="TAC"/>
            </w:pPr>
            <w:r w:rsidRPr="007654EC">
              <w:rPr>
                <w:rFonts w:cs="Arial"/>
                <w:snapToGrid w:val="0"/>
                <w:szCs w:val="18"/>
              </w:rPr>
              <w:t>TRS.1.1 TDD</w:t>
            </w:r>
          </w:p>
        </w:tc>
      </w:tr>
      <w:tr w:rsidR="003A71DE" w:rsidRPr="007654EC" w14:paraId="0839A05A" w14:textId="77777777" w:rsidTr="003A71DE">
        <w:trPr>
          <w:trHeight w:val="255"/>
          <w:jc w:val="center"/>
        </w:trPr>
        <w:tc>
          <w:tcPr>
            <w:tcW w:w="0" w:type="auto"/>
            <w:vMerge/>
            <w:tcBorders>
              <w:left w:val="single" w:sz="4" w:space="0" w:color="auto"/>
              <w:bottom w:val="single" w:sz="4" w:space="0" w:color="auto"/>
              <w:right w:val="single" w:sz="4" w:space="0" w:color="auto"/>
            </w:tcBorders>
            <w:vAlign w:val="center"/>
          </w:tcPr>
          <w:p w14:paraId="71CB24AC" w14:textId="77777777" w:rsidR="003A71DE" w:rsidRPr="007654EC" w:rsidRDefault="003A71DE" w:rsidP="00E33F84">
            <w:pPr>
              <w:pStyle w:val="TAL"/>
            </w:pPr>
          </w:p>
        </w:tc>
        <w:tc>
          <w:tcPr>
            <w:tcW w:w="0" w:type="auto"/>
            <w:tcBorders>
              <w:top w:val="single" w:sz="4" w:space="0" w:color="auto"/>
              <w:left w:val="single" w:sz="4" w:space="0" w:color="auto"/>
              <w:bottom w:val="single" w:sz="4" w:space="0" w:color="auto"/>
              <w:right w:val="single" w:sz="4" w:space="0" w:color="auto"/>
            </w:tcBorders>
            <w:vAlign w:val="center"/>
          </w:tcPr>
          <w:p w14:paraId="194ACAF4"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6558BED7" w14:textId="77777777" w:rsidR="003A71DE" w:rsidRPr="007654EC" w:rsidRDefault="003A71DE" w:rsidP="00E33F84">
            <w:pPr>
              <w:pStyle w:val="TAC"/>
              <w:rPr>
                <w:lang w:val="en-US" w:eastAsia="zh-CN"/>
              </w:rPr>
            </w:pPr>
            <w:r w:rsidRPr="007654EC">
              <w:rPr>
                <w:rFonts w:hint="eastAsia"/>
                <w:lang w:val="en-US" w:eastAsia="zh-CN"/>
              </w:rPr>
              <w:t>2</w:t>
            </w:r>
          </w:p>
        </w:tc>
        <w:tc>
          <w:tcPr>
            <w:tcW w:w="2307" w:type="dxa"/>
            <w:tcBorders>
              <w:top w:val="single" w:sz="4" w:space="0" w:color="auto"/>
              <w:left w:val="single" w:sz="4" w:space="0" w:color="auto"/>
              <w:bottom w:val="single" w:sz="4" w:space="0" w:color="auto"/>
              <w:right w:val="single" w:sz="4" w:space="0" w:color="auto"/>
            </w:tcBorders>
            <w:vAlign w:val="center"/>
          </w:tcPr>
          <w:p w14:paraId="189E33E5" w14:textId="77777777" w:rsidR="003A71DE" w:rsidRPr="007654EC" w:rsidRDefault="003A71DE" w:rsidP="00E33F84">
            <w:pPr>
              <w:pStyle w:val="TAC"/>
            </w:pPr>
            <w:r w:rsidRPr="007654EC">
              <w:rPr>
                <w:rFonts w:cs="Arial"/>
                <w:snapToGrid w:val="0"/>
                <w:szCs w:val="18"/>
              </w:rPr>
              <w:t>TRS.1.2 TDD</w:t>
            </w:r>
          </w:p>
        </w:tc>
      </w:tr>
      <w:tr w:rsidR="003A71DE" w:rsidRPr="007654EC" w14:paraId="24ADF87E"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25C94D1A" w14:textId="77777777" w:rsidR="003A71DE" w:rsidRPr="007654EC" w:rsidRDefault="003A71DE" w:rsidP="00E33F84">
            <w:pPr>
              <w:pStyle w:val="TAL"/>
            </w:pPr>
            <w:r w:rsidRPr="007654EC">
              <w:t>EPRE ratio of PSS to SSS</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369F9EF6" w14:textId="77777777" w:rsidR="003A71DE" w:rsidRPr="007654EC" w:rsidRDefault="003A71DE" w:rsidP="00E33F84">
            <w:pPr>
              <w:pStyle w:val="TAC"/>
            </w:pPr>
            <w:r w:rsidRPr="007654EC">
              <w:t>dB</w:t>
            </w:r>
          </w:p>
        </w:tc>
        <w:tc>
          <w:tcPr>
            <w:tcW w:w="1434" w:type="dxa"/>
            <w:vMerge w:val="restart"/>
            <w:tcBorders>
              <w:top w:val="single" w:sz="4" w:space="0" w:color="auto"/>
              <w:left w:val="single" w:sz="4" w:space="0" w:color="auto"/>
              <w:bottom w:val="single" w:sz="4" w:space="0" w:color="auto"/>
              <w:right w:val="single" w:sz="4" w:space="0" w:color="auto"/>
            </w:tcBorders>
            <w:vAlign w:val="center"/>
          </w:tcPr>
          <w:p w14:paraId="24A205E8" w14:textId="77777777" w:rsidR="003A71DE" w:rsidRPr="007654EC" w:rsidRDefault="003A71DE" w:rsidP="00E33F84">
            <w:pPr>
              <w:pStyle w:val="TAC"/>
            </w:pPr>
            <w:r w:rsidRPr="007654EC">
              <w:t>1,2,3</w:t>
            </w:r>
          </w:p>
        </w:tc>
        <w:tc>
          <w:tcPr>
            <w:tcW w:w="2307" w:type="dxa"/>
            <w:vMerge w:val="restart"/>
            <w:tcBorders>
              <w:top w:val="single" w:sz="4" w:space="0" w:color="auto"/>
              <w:left w:val="single" w:sz="4" w:space="0" w:color="auto"/>
              <w:right w:val="single" w:sz="4" w:space="0" w:color="auto"/>
            </w:tcBorders>
            <w:vAlign w:val="center"/>
          </w:tcPr>
          <w:p w14:paraId="76C95425" w14:textId="77777777" w:rsidR="003A71DE" w:rsidRPr="007654EC" w:rsidRDefault="003A71DE" w:rsidP="00E33F84">
            <w:pPr>
              <w:pStyle w:val="TAC"/>
            </w:pPr>
            <w:r w:rsidRPr="007654EC">
              <w:t>0</w:t>
            </w:r>
          </w:p>
        </w:tc>
      </w:tr>
      <w:tr w:rsidR="003A71DE" w:rsidRPr="007654EC" w14:paraId="56F96947"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4122C6BA" w14:textId="77777777" w:rsidR="003A71DE" w:rsidRPr="007654EC" w:rsidRDefault="003A71DE" w:rsidP="00E33F84">
            <w:pPr>
              <w:pStyle w:val="TAL"/>
            </w:pPr>
            <w:r w:rsidRPr="007654EC">
              <w:t>EPRE ratio of PBCH DMRS to SSS</w:t>
            </w:r>
          </w:p>
        </w:tc>
        <w:tc>
          <w:tcPr>
            <w:tcW w:w="0" w:type="auto"/>
            <w:vMerge/>
            <w:tcBorders>
              <w:top w:val="single" w:sz="4" w:space="0" w:color="auto"/>
              <w:left w:val="single" w:sz="4" w:space="0" w:color="auto"/>
              <w:bottom w:val="single" w:sz="4" w:space="0" w:color="auto"/>
              <w:right w:val="single" w:sz="4" w:space="0" w:color="auto"/>
            </w:tcBorders>
            <w:vAlign w:val="center"/>
          </w:tcPr>
          <w:p w14:paraId="6E2E95F3"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0C3B76F4"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604F22DD" w14:textId="77777777" w:rsidR="003A71DE" w:rsidRPr="007654EC" w:rsidRDefault="003A71DE" w:rsidP="00E33F84">
            <w:pPr>
              <w:pStyle w:val="TAC"/>
            </w:pPr>
          </w:p>
        </w:tc>
      </w:tr>
      <w:tr w:rsidR="003A71DE" w:rsidRPr="007654EC" w14:paraId="4FAB3EB8"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39489F56" w14:textId="77777777" w:rsidR="003A71DE" w:rsidRPr="007654EC" w:rsidRDefault="003A71DE" w:rsidP="00E33F84">
            <w:pPr>
              <w:pStyle w:val="TAL"/>
            </w:pPr>
            <w:r w:rsidRPr="007654EC">
              <w:t>EPRE ratio of PBCH to PBCH DMRS</w:t>
            </w:r>
          </w:p>
        </w:tc>
        <w:tc>
          <w:tcPr>
            <w:tcW w:w="0" w:type="auto"/>
            <w:vMerge/>
            <w:tcBorders>
              <w:top w:val="single" w:sz="4" w:space="0" w:color="auto"/>
              <w:left w:val="single" w:sz="4" w:space="0" w:color="auto"/>
              <w:bottom w:val="single" w:sz="4" w:space="0" w:color="auto"/>
              <w:right w:val="single" w:sz="4" w:space="0" w:color="auto"/>
            </w:tcBorders>
            <w:vAlign w:val="center"/>
          </w:tcPr>
          <w:p w14:paraId="32157837"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7CB1A4E0"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460F2FD8" w14:textId="77777777" w:rsidR="003A71DE" w:rsidRPr="007654EC" w:rsidRDefault="003A71DE" w:rsidP="00E33F84">
            <w:pPr>
              <w:pStyle w:val="TAC"/>
            </w:pPr>
          </w:p>
        </w:tc>
      </w:tr>
      <w:tr w:rsidR="003A71DE" w:rsidRPr="007654EC" w14:paraId="141B32C1"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7791FD18" w14:textId="77777777" w:rsidR="003A71DE" w:rsidRPr="007654EC" w:rsidRDefault="003A71DE" w:rsidP="00E33F84">
            <w:pPr>
              <w:pStyle w:val="TAL"/>
            </w:pPr>
            <w:r w:rsidRPr="007654EC">
              <w:t>EPRE ratio of PDCCH DMRS to SSS</w:t>
            </w:r>
          </w:p>
        </w:tc>
        <w:tc>
          <w:tcPr>
            <w:tcW w:w="0" w:type="auto"/>
            <w:vMerge/>
            <w:tcBorders>
              <w:top w:val="single" w:sz="4" w:space="0" w:color="auto"/>
              <w:left w:val="single" w:sz="4" w:space="0" w:color="auto"/>
              <w:bottom w:val="single" w:sz="4" w:space="0" w:color="auto"/>
              <w:right w:val="single" w:sz="4" w:space="0" w:color="auto"/>
            </w:tcBorders>
            <w:vAlign w:val="center"/>
          </w:tcPr>
          <w:p w14:paraId="36A78345"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5363CA27"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364F1D13" w14:textId="77777777" w:rsidR="003A71DE" w:rsidRPr="007654EC" w:rsidRDefault="003A71DE" w:rsidP="00E33F84">
            <w:pPr>
              <w:pStyle w:val="TAC"/>
            </w:pPr>
          </w:p>
        </w:tc>
      </w:tr>
      <w:tr w:rsidR="003A71DE" w:rsidRPr="007654EC" w14:paraId="51ECD905"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7276C936" w14:textId="77777777" w:rsidR="003A71DE" w:rsidRPr="007654EC" w:rsidRDefault="003A71DE" w:rsidP="00E33F84">
            <w:pPr>
              <w:pStyle w:val="TAL"/>
            </w:pPr>
            <w:r w:rsidRPr="007654EC">
              <w:t>EPRE ratio of PDCCH to PDCCH DMRS</w:t>
            </w:r>
          </w:p>
        </w:tc>
        <w:tc>
          <w:tcPr>
            <w:tcW w:w="0" w:type="auto"/>
            <w:vMerge/>
            <w:tcBorders>
              <w:top w:val="single" w:sz="4" w:space="0" w:color="auto"/>
              <w:left w:val="single" w:sz="4" w:space="0" w:color="auto"/>
              <w:bottom w:val="single" w:sz="4" w:space="0" w:color="auto"/>
              <w:right w:val="single" w:sz="4" w:space="0" w:color="auto"/>
            </w:tcBorders>
            <w:vAlign w:val="center"/>
          </w:tcPr>
          <w:p w14:paraId="5212182C"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1B363E0E"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0AF77269" w14:textId="77777777" w:rsidR="003A71DE" w:rsidRPr="007654EC" w:rsidRDefault="003A71DE" w:rsidP="00E33F84">
            <w:pPr>
              <w:pStyle w:val="TAC"/>
            </w:pPr>
          </w:p>
        </w:tc>
      </w:tr>
      <w:tr w:rsidR="003A71DE" w:rsidRPr="007654EC" w14:paraId="2B5219F4"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064E7B79" w14:textId="77777777" w:rsidR="003A71DE" w:rsidRPr="007654EC" w:rsidRDefault="003A71DE" w:rsidP="00E33F84">
            <w:pPr>
              <w:pStyle w:val="TAL"/>
            </w:pPr>
            <w:r w:rsidRPr="007654EC">
              <w:t xml:space="preserve">EPRE ratio of PDSCH DMRS to SSS </w:t>
            </w:r>
          </w:p>
        </w:tc>
        <w:tc>
          <w:tcPr>
            <w:tcW w:w="0" w:type="auto"/>
            <w:vMerge/>
            <w:tcBorders>
              <w:top w:val="single" w:sz="4" w:space="0" w:color="auto"/>
              <w:left w:val="single" w:sz="4" w:space="0" w:color="auto"/>
              <w:bottom w:val="single" w:sz="4" w:space="0" w:color="auto"/>
              <w:right w:val="single" w:sz="4" w:space="0" w:color="auto"/>
            </w:tcBorders>
            <w:vAlign w:val="center"/>
          </w:tcPr>
          <w:p w14:paraId="0BE37E98"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317C3216"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049A378F" w14:textId="77777777" w:rsidR="003A71DE" w:rsidRPr="007654EC" w:rsidRDefault="003A71DE" w:rsidP="00E33F84">
            <w:pPr>
              <w:pStyle w:val="TAC"/>
            </w:pPr>
          </w:p>
        </w:tc>
      </w:tr>
      <w:tr w:rsidR="003A71DE" w:rsidRPr="007654EC" w14:paraId="6F27B226"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07BA778A" w14:textId="77777777" w:rsidR="003A71DE" w:rsidRPr="007654EC" w:rsidRDefault="003A71DE" w:rsidP="00E33F84">
            <w:pPr>
              <w:pStyle w:val="TAL"/>
            </w:pPr>
            <w:r w:rsidRPr="007654EC">
              <w:t xml:space="preserve">EPRE ratio of PDSCH to PDSCH </w:t>
            </w:r>
          </w:p>
        </w:tc>
        <w:tc>
          <w:tcPr>
            <w:tcW w:w="0" w:type="auto"/>
            <w:vMerge/>
            <w:tcBorders>
              <w:top w:val="single" w:sz="4" w:space="0" w:color="auto"/>
              <w:left w:val="single" w:sz="4" w:space="0" w:color="auto"/>
              <w:bottom w:val="single" w:sz="4" w:space="0" w:color="auto"/>
              <w:right w:val="single" w:sz="4" w:space="0" w:color="auto"/>
            </w:tcBorders>
            <w:vAlign w:val="center"/>
          </w:tcPr>
          <w:p w14:paraId="1788B111"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71FD9B09"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29319B83" w14:textId="77777777" w:rsidR="003A71DE" w:rsidRPr="007654EC" w:rsidRDefault="003A71DE" w:rsidP="00E33F84">
            <w:pPr>
              <w:pStyle w:val="TAC"/>
            </w:pPr>
          </w:p>
        </w:tc>
      </w:tr>
      <w:tr w:rsidR="003A71DE" w:rsidRPr="007654EC" w14:paraId="67CB17A2"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60EA5988" w14:textId="77777777" w:rsidR="003A71DE" w:rsidRPr="007654EC" w:rsidRDefault="003A71DE" w:rsidP="00E33F84">
            <w:pPr>
              <w:pStyle w:val="TAL"/>
            </w:pPr>
            <w:r w:rsidRPr="007654EC">
              <w:t>EPRE ratio of OCNG DMRS to SSS(Note 1)</w:t>
            </w:r>
          </w:p>
        </w:tc>
        <w:tc>
          <w:tcPr>
            <w:tcW w:w="0" w:type="auto"/>
            <w:vMerge/>
            <w:tcBorders>
              <w:top w:val="single" w:sz="4" w:space="0" w:color="auto"/>
              <w:left w:val="single" w:sz="4" w:space="0" w:color="auto"/>
              <w:bottom w:val="single" w:sz="4" w:space="0" w:color="auto"/>
              <w:right w:val="single" w:sz="4" w:space="0" w:color="auto"/>
            </w:tcBorders>
            <w:vAlign w:val="center"/>
          </w:tcPr>
          <w:p w14:paraId="1979AED2"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6C345DCB" w14:textId="77777777" w:rsidR="003A71DE" w:rsidRPr="007654EC" w:rsidRDefault="003A71DE" w:rsidP="00E33F84">
            <w:pPr>
              <w:pStyle w:val="TAC"/>
            </w:pPr>
          </w:p>
        </w:tc>
        <w:tc>
          <w:tcPr>
            <w:tcW w:w="2307" w:type="dxa"/>
            <w:vMerge/>
            <w:tcBorders>
              <w:left w:val="single" w:sz="4" w:space="0" w:color="auto"/>
              <w:right w:val="single" w:sz="4" w:space="0" w:color="auto"/>
            </w:tcBorders>
            <w:vAlign w:val="center"/>
          </w:tcPr>
          <w:p w14:paraId="2FFF14BB" w14:textId="77777777" w:rsidR="003A71DE" w:rsidRPr="007654EC" w:rsidRDefault="003A71DE" w:rsidP="00E33F84">
            <w:pPr>
              <w:pStyle w:val="TAC"/>
            </w:pPr>
          </w:p>
        </w:tc>
      </w:tr>
      <w:tr w:rsidR="003A71DE" w:rsidRPr="007654EC" w14:paraId="56D58E5B"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7556898D" w14:textId="77777777" w:rsidR="003A71DE" w:rsidRPr="007654EC" w:rsidRDefault="003A71DE" w:rsidP="00E33F84">
            <w:pPr>
              <w:pStyle w:val="TAL"/>
            </w:pPr>
            <w:r w:rsidRPr="007654EC">
              <w:t>EPRE ratio of OCNG to OCNG DMRS (Note 1)</w:t>
            </w:r>
          </w:p>
        </w:tc>
        <w:tc>
          <w:tcPr>
            <w:tcW w:w="0" w:type="auto"/>
            <w:vMerge/>
            <w:tcBorders>
              <w:top w:val="single" w:sz="4" w:space="0" w:color="auto"/>
              <w:left w:val="single" w:sz="4" w:space="0" w:color="auto"/>
              <w:bottom w:val="single" w:sz="4" w:space="0" w:color="auto"/>
              <w:right w:val="single" w:sz="4" w:space="0" w:color="auto"/>
            </w:tcBorders>
            <w:vAlign w:val="center"/>
          </w:tcPr>
          <w:p w14:paraId="13E7CF0D" w14:textId="77777777" w:rsidR="003A71DE" w:rsidRPr="007654EC" w:rsidRDefault="003A71DE" w:rsidP="00E33F84">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3EFEDDB2" w14:textId="77777777" w:rsidR="003A71DE" w:rsidRPr="007654EC" w:rsidRDefault="003A71DE" w:rsidP="00E33F84">
            <w:pPr>
              <w:pStyle w:val="TAC"/>
            </w:pPr>
          </w:p>
        </w:tc>
        <w:tc>
          <w:tcPr>
            <w:tcW w:w="2307" w:type="dxa"/>
            <w:vMerge/>
            <w:tcBorders>
              <w:left w:val="single" w:sz="4" w:space="0" w:color="auto"/>
              <w:bottom w:val="single" w:sz="4" w:space="0" w:color="auto"/>
              <w:right w:val="single" w:sz="4" w:space="0" w:color="auto"/>
            </w:tcBorders>
            <w:vAlign w:val="center"/>
          </w:tcPr>
          <w:p w14:paraId="528BC370" w14:textId="77777777" w:rsidR="003A71DE" w:rsidRPr="007654EC" w:rsidRDefault="003A71DE" w:rsidP="00E33F84">
            <w:pPr>
              <w:pStyle w:val="TAC"/>
            </w:pPr>
          </w:p>
        </w:tc>
      </w:tr>
      <w:tr w:rsidR="003A71DE" w:rsidRPr="007654EC" w14:paraId="060B42FB"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59C31DC3" w14:textId="77777777" w:rsidR="003A71DE" w:rsidRPr="007654EC" w:rsidRDefault="003A71DE" w:rsidP="00E33F84">
            <w:pPr>
              <w:pStyle w:val="TAL"/>
              <w:rPr>
                <w:vertAlign w:val="superscript"/>
              </w:rPr>
            </w:pPr>
            <w:r w:rsidRPr="007654EC">
              <w:rPr>
                <w:rFonts w:eastAsia="Calibri"/>
                <w:position w:val="-12"/>
              </w:rPr>
              <w:object w:dxaOrig="435" w:dyaOrig="285" w14:anchorId="773367C9">
                <v:shape id="_x0000_i1080" type="#_x0000_t75" style="width:21.6pt;height:14.4pt" o:ole="">
                  <v:imagedata r:id="rId71" o:title=""/>
                </v:shape>
                <o:OLEObject Type="Embed" ProgID="Equation.3" ShapeID="_x0000_i1080" DrawAspect="Content" ObjectID="_1734764460" r:id="rId102"/>
              </w:object>
            </w:r>
            <w:r w:rsidRPr="007654EC">
              <w:rPr>
                <w:vertAlign w:val="superscript"/>
              </w:rPr>
              <w:t>Note2</w:t>
            </w:r>
          </w:p>
        </w:tc>
        <w:tc>
          <w:tcPr>
            <w:tcW w:w="1387" w:type="dxa"/>
            <w:tcBorders>
              <w:top w:val="single" w:sz="4" w:space="0" w:color="auto"/>
              <w:left w:val="single" w:sz="4" w:space="0" w:color="auto"/>
              <w:bottom w:val="single" w:sz="4" w:space="0" w:color="auto"/>
              <w:right w:val="single" w:sz="4" w:space="0" w:color="auto"/>
            </w:tcBorders>
            <w:vAlign w:val="center"/>
          </w:tcPr>
          <w:p w14:paraId="2D59A07A" w14:textId="77777777" w:rsidR="003A71DE" w:rsidRPr="007654EC" w:rsidRDefault="003A71DE" w:rsidP="00E33F84">
            <w:pPr>
              <w:pStyle w:val="TAC"/>
            </w:pPr>
            <w:r w:rsidRPr="007654EC">
              <w:t>dBm/15 kHz</w:t>
            </w:r>
          </w:p>
        </w:tc>
        <w:tc>
          <w:tcPr>
            <w:tcW w:w="1434" w:type="dxa"/>
            <w:tcBorders>
              <w:top w:val="single" w:sz="4" w:space="0" w:color="auto"/>
              <w:left w:val="single" w:sz="4" w:space="0" w:color="auto"/>
              <w:bottom w:val="single" w:sz="4" w:space="0" w:color="auto"/>
              <w:right w:val="single" w:sz="4" w:space="0" w:color="auto"/>
            </w:tcBorders>
            <w:vAlign w:val="center"/>
          </w:tcPr>
          <w:p w14:paraId="626E2B9B"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378BB77F" w14:textId="77777777" w:rsidR="003A71DE" w:rsidRPr="007654EC" w:rsidRDefault="003A71DE" w:rsidP="00E33F84">
            <w:pPr>
              <w:pStyle w:val="TAC"/>
            </w:pPr>
            <w:r w:rsidRPr="007654EC">
              <w:t>-98</w:t>
            </w:r>
          </w:p>
        </w:tc>
      </w:tr>
      <w:tr w:rsidR="003A71DE" w:rsidRPr="007654EC" w14:paraId="3404C3B3" w14:textId="77777777" w:rsidTr="003A71DE">
        <w:trPr>
          <w:trHeight w:val="195"/>
          <w:jc w:val="center"/>
        </w:trPr>
        <w:tc>
          <w:tcPr>
            <w:tcW w:w="2263" w:type="dxa"/>
            <w:vMerge w:val="restart"/>
            <w:tcBorders>
              <w:top w:val="single" w:sz="4" w:space="0" w:color="auto"/>
              <w:left w:val="single" w:sz="4" w:space="0" w:color="auto"/>
              <w:bottom w:val="single" w:sz="4" w:space="0" w:color="auto"/>
              <w:right w:val="single" w:sz="4" w:space="0" w:color="auto"/>
            </w:tcBorders>
          </w:tcPr>
          <w:p w14:paraId="7915415D" w14:textId="77777777" w:rsidR="003A71DE" w:rsidRPr="007654EC" w:rsidRDefault="003A71DE" w:rsidP="00E33F84">
            <w:pPr>
              <w:pStyle w:val="TAL"/>
              <w:rPr>
                <w:vertAlign w:val="superscript"/>
              </w:rPr>
            </w:pPr>
            <w:r w:rsidRPr="007654EC">
              <w:rPr>
                <w:rFonts w:eastAsia="Calibri"/>
                <w:position w:val="-12"/>
              </w:rPr>
              <w:object w:dxaOrig="435" w:dyaOrig="285" w14:anchorId="0A2187FA">
                <v:shape id="_x0000_i1081" type="#_x0000_t75" style="width:21.6pt;height:14.4pt" o:ole="">
                  <v:imagedata r:id="rId71" o:title=""/>
                </v:shape>
                <o:OLEObject Type="Embed" ProgID="Equation.3" ShapeID="_x0000_i1081" DrawAspect="Content" ObjectID="_1734764461" r:id="rId103"/>
              </w:object>
            </w:r>
            <w:r w:rsidRPr="007654EC">
              <w:rPr>
                <w:vertAlign w:val="superscript"/>
              </w:rPr>
              <w:t>Note2</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3F79971A" w14:textId="77777777" w:rsidR="003A71DE" w:rsidRPr="007654EC" w:rsidRDefault="003A71DE" w:rsidP="00E33F84">
            <w:pPr>
              <w:pStyle w:val="TAC"/>
            </w:pPr>
            <w:r w:rsidRPr="007654EC">
              <w:t>dBm/SCS</w:t>
            </w:r>
          </w:p>
        </w:tc>
        <w:tc>
          <w:tcPr>
            <w:tcW w:w="1434" w:type="dxa"/>
            <w:tcBorders>
              <w:top w:val="single" w:sz="4" w:space="0" w:color="auto"/>
              <w:left w:val="single" w:sz="4" w:space="0" w:color="auto"/>
              <w:bottom w:val="single" w:sz="4" w:space="0" w:color="auto"/>
              <w:right w:val="single" w:sz="4" w:space="0" w:color="auto"/>
            </w:tcBorders>
            <w:vAlign w:val="center"/>
          </w:tcPr>
          <w:p w14:paraId="36A6A646" w14:textId="77777777" w:rsidR="003A71DE" w:rsidRPr="007654EC" w:rsidRDefault="003A71DE" w:rsidP="00E33F84">
            <w:pPr>
              <w:pStyle w:val="TAC"/>
            </w:pPr>
            <w:r w:rsidRPr="007654EC">
              <w:t>1,2</w:t>
            </w:r>
          </w:p>
        </w:tc>
        <w:tc>
          <w:tcPr>
            <w:tcW w:w="2307" w:type="dxa"/>
            <w:tcBorders>
              <w:top w:val="single" w:sz="4" w:space="0" w:color="auto"/>
              <w:left w:val="single" w:sz="4" w:space="0" w:color="auto"/>
              <w:bottom w:val="single" w:sz="4" w:space="0" w:color="auto"/>
              <w:right w:val="single" w:sz="4" w:space="0" w:color="auto"/>
            </w:tcBorders>
            <w:vAlign w:val="center"/>
          </w:tcPr>
          <w:p w14:paraId="32459F80" w14:textId="77777777" w:rsidR="003A71DE" w:rsidRPr="007654EC" w:rsidRDefault="003A71DE" w:rsidP="00E33F84">
            <w:pPr>
              <w:pStyle w:val="TAC"/>
            </w:pPr>
            <w:r w:rsidRPr="007654EC">
              <w:t>-98</w:t>
            </w:r>
          </w:p>
        </w:tc>
      </w:tr>
      <w:tr w:rsidR="003A71DE" w:rsidRPr="007654EC" w14:paraId="7E837029" w14:textId="77777777" w:rsidTr="003A71DE">
        <w:trPr>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5D46778" w14:textId="77777777" w:rsidR="003A71DE" w:rsidRPr="007654EC" w:rsidRDefault="003A71DE" w:rsidP="00E33F84">
            <w:pPr>
              <w:pStyle w:val="TAL"/>
              <w:rPr>
                <w:vertAlign w:val="superscript"/>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0923E56"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756E379D"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20588217" w14:textId="77777777" w:rsidR="003A71DE" w:rsidRPr="007654EC" w:rsidRDefault="003A71DE" w:rsidP="00E33F84">
            <w:pPr>
              <w:pStyle w:val="TAC"/>
            </w:pPr>
            <w:r w:rsidRPr="007654EC">
              <w:t>-95</w:t>
            </w:r>
          </w:p>
        </w:tc>
      </w:tr>
      <w:tr w:rsidR="003A71DE" w:rsidRPr="007654EC" w14:paraId="563712CD"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1372E3DC" w14:textId="77777777" w:rsidR="003A71DE" w:rsidRPr="007654EC" w:rsidRDefault="003A71DE" w:rsidP="00E33F84">
            <w:pPr>
              <w:pStyle w:val="TAL"/>
            </w:pPr>
            <w:r w:rsidRPr="007654EC">
              <w:rPr>
                <w:rFonts w:eastAsia="Calibri"/>
                <w:position w:val="-12"/>
              </w:rPr>
              <w:object w:dxaOrig="570" w:dyaOrig="285" w14:anchorId="436A4255">
                <v:shape id="_x0000_i1082" type="#_x0000_t75" style="width:27.15pt;height:14.4pt" o:ole="">
                  <v:imagedata r:id="rId69" o:title=""/>
                </v:shape>
                <o:OLEObject Type="Embed" ProgID="Equation.3" ShapeID="_x0000_i1082" DrawAspect="Content" ObjectID="_1734764462" r:id="rId104"/>
              </w:object>
            </w:r>
          </w:p>
        </w:tc>
        <w:tc>
          <w:tcPr>
            <w:tcW w:w="1387" w:type="dxa"/>
            <w:tcBorders>
              <w:top w:val="single" w:sz="4" w:space="0" w:color="auto"/>
              <w:left w:val="single" w:sz="4" w:space="0" w:color="auto"/>
              <w:bottom w:val="single" w:sz="4" w:space="0" w:color="auto"/>
              <w:right w:val="single" w:sz="4" w:space="0" w:color="auto"/>
            </w:tcBorders>
            <w:vAlign w:val="center"/>
          </w:tcPr>
          <w:p w14:paraId="399C3847"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927CEF7"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473BA509" w14:textId="77777777" w:rsidR="003A71DE" w:rsidRPr="007654EC" w:rsidRDefault="003A71DE" w:rsidP="00E33F84">
            <w:pPr>
              <w:pStyle w:val="TAC"/>
            </w:pPr>
            <w:r w:rsidRPr="007654EC">
              <w:t>3</w:t>
            </w:r>
          </w:p>
        </w:tc>
      </w:tr>
      <w:tr w:rsidR="003A71DE" w:rsidRPr="007654EC" w14:paraId="7FAE9389"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19D915B8" w14:textId="77777777" w:rsidR="003A71DE" w:rsidRPr="007654EC" w:rsidRDefault="003A71DE" w:rsidP="00E33F84">
            <w:pPr>
              <w:pStyle w:val="TAL"/>
            </w:pPr>
            <w:r w:rsidRPr="007654EC">
              <w:rPr>
                <w:rFonts w:eastAsia="Calibri"/>
                <w:position w:val="-12"/>
              </w:rPr>
              <w:object w:dxaOrig="870" w:dyaOrig="285" w14:anchorId="5E7F9FC7">
                <v:shape id="_x0000_i1083" type="#_x0000_t75" style="width:44.85pt;height:14.4pt" o:ole="">
                  <v:imagedata r:id="rId74" o:title=""/>
                </v:shape>
                <o:OLEObject Type="Embed" ProgID="Equation.3" ShapeID="_x0000_i1083" DrawAspect="Content" ObjectID="_1734764463" r:id="rId105"/>
              </w:object>
            </w:r>
          </w:p>
        </w:tc>
        <w:tc>
          <w:tcPr>
            <w:tcW w:w="1387" w:type="dxa"/>
            <w:tcBorders>
              <w:top w:val="single" w:sz="4" w:space="0" w:color="auto"/>
              <w:left w:val="single" w:sz="4" w:space="0" w:color="auto"/>
              <w:bottom w:val="single" w:sz="4" w:space="0" w:color="auto"/>
              <w:right w:val="single" w:sz="4" w:space="0" w:color="auto"/>
            </w:tcBorders>
            <w:vAlign w:val="center"/>
          </w:tcPr>
          <w:p w14:paraId="3823061E"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2AE714F"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693DB751" w14:textId="77777777" w:rsidR="003A71DE" w:rsidRPr="007654EC" w:rsidRDefault="003A71DE" w:rsidP="00E33F84">
            <w:pPr>
              <w:pStyle w:val="TAC"/>
            </w:pPr>
            <w:r w:rsidRPr="007654EC">
              <w:t>3</w:t>
            </w:r>
          </w:p>
        </w:tc>
      </w:tr>
      <w:tr w:rsidR="003A71DE" w:rsidRPr="007654EC" w14:paraId="2C6AFE4F" w14:textId="77777777" w:rsidTr="003A71DE">
        <w:trPr>
          <w:trHeight w:val="210"/>
          <w:jc w:val="center"/>
        </w:trPr>
        <w:tc>
          <w:tcPr>
            <w:tcW w:w="2263" w:type="dxa"/>
            <w:vMerge w:val="restart"/>
            <w:tcBorders>
              <w:top w:val="single" w:sz="4" w:space="0" w:color="auto"/>
              <w:left w:val="single" w:sz="4" w:space="0" w:color="auto"/>
              <w:bottom w:val="single" w:sz="4" w:space="0" w:color="auto"/>
              <w:right w:val="single" w:sz="4" w:space="0" w:color="auto"/>
            </w:tcBorders>
          </w:tcPr>
          <w:p w14:paraId="675EEB4C" w14:textId="77777777" w:rsidR="003A71DE" w:rsidRPr="007654EC" w:rsidRDefault="003A71DE" w:rsidP="00E33F84">
            <w:pPr>
              <w:pStyle w:val="TAL"/>
            </w:pPr>
            <w:r w:rsidRPr="007654EC">
              <w:t>SS-RSRP</w:t>
            </w:r>
            <w:r w:rsidRPr="007654EC">
              <w:rPr>
                <w:vertAlign w:val="superscript"/>
              </w:rPr>
              <w:t>Note3</w:t>
            </w:r>
          </w:p>
        </w:tc>
        <w:tc>
          <w:tcPr>
            <w:tcW w:w="1387" w:type="dxa"/>
            <w:vMerge w:val="restart"/>
            <w:tcBorders>
              <w:top w:val="single" w:sz="4" w:space="0" w:color="auto"/>
              <w:left w:val="single" w:sz="4" w:space="0" w:color="auto"/>
              <w:bottom w:val="single" w:sz="4" w:space="0" w:color="auto"/>
              <w:right w:val="single" w:sz="4" w:space="0" w:color="auto"/>
            </w:tcBorders>
            <w:vAlign w:val="center"/>
          </w:tcPr>
          <w:p w14:paraId="3F75BE9E" w14:textId="77777777" w:rsidR="003A71DE" w:rsidRPr="007654EC" w:rsidRDefault="003A71DE" w:rsidP="00E33F84">
            <w:pPr>
              <w:pStyle w:val="TAC"/>
            </w:pPr>
            <w:r w:rsidRPr="007654EC">
              <w:t>dBm/SCS</w:t>
            </w:r>
          </w:p>
        </w:tc>
        <w:tc>
          <w:tcPr>
            <w:tcW w:w="1434" w:type="dxa"/>
            <w:tcBorders>
              <w:top w:val="single" w:sz="4" w:space="0" w:color="auto"/>
              <w:left w:val="single" w:sz="4" w:space="0" w:color="auto"/>
              <w:bottom w:val="single" w:sz="4" w:space="0" w:color="auto"/>
              <w:right w:val="single" w:sz="4" w:space="0" w:color="auto"/>
            </w:tcBorders>
            <w:vAlign w:val="center"/>
          </w:tcPr>
          <w:p w14:paraId="231E7E7B" w14:textId="77777777" w:rsidR="003A71DE" w:rsidRPr="007654EC" w:rsidRDefault="003A71DE" w:rsidP="00E33F84">
            <w:pPr>
              <w:pStyle w:val="TAC"/>
            </w:pPr>
            <w:r w:rsidRPr="007654EC">
              <w:t>1,2</w:t>
            </w:r>
          </w:p>
        </w:tc>
        <w:tc>
          <w:tcPr>
            <w:tcW w:w="2307" w:type="dxa"/>
            <w:tcBorders>
              <w:top w:val="single" w:sz="4" w:space="0" w:color="auto"/>
              <w:left w:val="single" w:sz="4" w:space="0" w:color="auto"/>
              <w:bottom w:val="single" w:sz="4" w:space="0" w:color="auto"/>
              <w:right w:val="single" w:sz="4" w:space="0" w:color="auto"/>
            </w:tcBorders>
            <w:vAlign w:val="center"/>
          </w:tcPr>
          <w:p w14:paraId="63E6E84F" w14:textId="77777777" w:rsidR="003A71DE" w:rsidRPr="007654EC" w:rsidRDefault="003A71DE" w:rsidP="00E33F84">
            <w:pPr>
              <w:pStyle w:val="TAC"/>
            </w:pPr>
            <w:r w:rsidRPr="007654EC">
              <w:t>-95</w:t>
            </w:r>
          </w:p>
        </w:tc>
      </w:tr>
      <w:tr w:rsidR="003A71DE" w:rsidRPr="007654EC" w14:paraId="497A646E" w14:textId="77777777" w:rsidTr="003A71DE">
        <w:trPr>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FAAEDD9" w14:textId="77777777" w:rsidR="003A71DE" w:rsidRPr="007654EC" w:rsidRDefault="003A71DE" w:rsidP="00E33F84">
            <w:pPr>
              <w:pStyle w:val="TAL"/>
            </w:pPr>
          </w:p>
        </w:tc>
        <w:tc>
          <w:tcPr>
            <w:tcW w:w="0" w:type="auto"/>
            <w:vMerge/>
            <w:tcBorders>
              <w:top w:val="single" w:sz="4" w:space="0" w:color="auto"/>
              <w:left w:val="single" w:sz="4" w:space="0" w:color="auto"/>
              <w:bottom w:val="single" w:sz="4" w:space="0" w:color="auto"/>
              <w:right w:val="single" w:sz="4" w:space="0" w:color="auto"/>
            </w:tcBorders>
            <w:vAlign w:val="center"/>
          </w:tcPr>
          <w:p w14:paraId="7B736CCE"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162205E9"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324984DA" w14:textId="77777777" w:rsidR="003A71DE" w:rsidRPr="007654EC" w:rsidRDefault="003A71DE" w:rsidP="00E33F84">
            <w:pPr>
              <w:pStyle w:val="TAC"/>
            </w:pPr>
            <w:r w:rsidRPr="007654EC">
              <w:t>-92</w:t>
            </w:r>
          </w:p>
        </w:tc>
      </w:tr>
      <w:tr w:rsidR="003A71DE" w:rsidRPr="007654EC" w14:paraId="787472B7" w14:textId="77777777" w:rsidTr="003A71DE">
        <w:trPr>
          <w:trHeight w:val="255"/>
          <w:jc w:val="center"/>
        </w:trPr>
        <w:tc>
          <w:tcPr>
            <w:tcW w:w="2263" w:type="dxa"/>
            <w:vMerge w:val="restart"/>
            <w:tcBorders>
              <w:top w:val="single" w:sz="4" w:space="0" w:color="auto"/>
              <w:left w:val="single" w:sz="4" w:space="0" w:color="auto"/>
              <w:bottom w:val="single" w:sz="4" w:space="0" w:color="auto"/>
              <w:right w:val="single" w:sz="4" w:space="0" w:color="auto"/>
            </w:tcBorders>
          </w:tcPr>
          <w:p w14:paraId="776BA381" w14:textId="77777777" w:rsidR="003A71DE" w:rsidRPr="007654EC" w:rsidRDefault="003A71DE" w:rsidP="00E33F84">
            <w:pPr>
              <w:pStyle w:val="TAL"/>
            </w:pPr>
            <w:r w:rsidRPr="007654EC">
              <w:t>Io</w:t>
            </w:r>
            <w:r w:rsidRPr="007654EC">
              <w:rPr>
                <w:vertAlign w:val="superscript"/>
              </w:rPr>
              <w:t>Note3</w:t>
            </w:r>
          </w:p>
        </w:tc>
        <w:tc>
          <w:tcPr>
            <w:tcW w:w="1387" w:type="dxa"/>
            <w:tcBorders>
              <w:top w:val="single" w:sz="4" w:space="0" w:color="auto"/>
              <w:left w:val="single" w:sz="4" w:space="0" w:color="auto"/>
              <w:bottom w:val="single" w:sz="4" w:space="0" w:color="auto"/>
              <w:right w:val="single" w:sz="4" w:space="0" w:color="auto"/>
            </w:tcBorders>
            <w:vAlign w:val="center"/>
          </w:tcPr>
          <w:p w14:paraId="776C7A01" w14:textId="77777777" w:rsidR="003A71DE" w:rsidRPr="007654EC" w:rsidRDefault="003A71DE" w:rsidP="00E33F84">
            <w:pPr>
              <w:pStyle w:val="TAC"/>
            </w:pPr>
            <w:r w:rsidRPr="007654EC">
              <w:t>dBm/9.36MHz</w:t>
            </w:r>
          </w:p>
        </w:tc>
        <w:tc>
          <w:tcPr>
            <w:tcW w:w="1434" w:type="dxa"/>
            <w:tcBorders>
              <w:top w:val="single" w:sz="4" w:space="0" w:color="auto"/>
              <w:left w:val="single" w:sz="4" w:space="0" w:color="auto"/>
              <w:bottom w:val="single" w:sz="4" w:space="0" w:color="auto"/>
              <w:right w:val="single" w:sz="4" w:space="0" w:color="auto"/>
            </w:tcBorders>
            <w:vAlign w:val="center"/>
          </w:tcPr>
          <w:p w14:paraId="1791792B" w14:textId="77777777" w:rsidR="003A71DE" w:rsidRPr="007654EC" w:rsidRDefault="003A71DE" w:rsidP="00E33F84">
            <w:pPr>
              <w:pStyle w:val="TAC"/>
            </w:pPr>
            <w:r w:rsidRPr="007654EC">
              <w:t>1,2</w:t>
            </w:r>
          </w:p>
        </w:tc>
        <w:tc>
          <w:tcPr>
            <w:tcW w:w="2307" w:type="dxa"/>
            <w:tcBorders>
              <w:top w:val="single" w:sz="4" w:space="0" w:color="auto"/>
              <w:left w:val="single" w:sz="4" w:space="0" w:color="auto"/>
              <w:bottom w:val="single" w:sz="4" w:space="0" w:color="auto"/>
              <w:right w:val="single" w:sz="4" w:space="0" w:color="auto"/>
            </w:tcBorders>
            <w:vAlign w:val="center"/>
          </w:tcPr>
          <w:p w14:paraId="42E22363" w14:textId="77777777" w:rsidR="003A71DE" w:rsidRPr="007654EC" w:rsidRDefault="003A71DE" w:rsidP="00E33F84">
            <w:pPr>
              <w:pStyle w:val="TAC"/>
            </w:pPr>
            <w:r w:rsidRPr="007654EC">
              <w:t>-65.2</w:t>
            </w:r>
          </w:p>
        </w:tc>
      </w:tr>
      <w:tr w:rsidR="003A71DE" w:rsidRPr="007654EC" w14:paraId="0572480C" w14:textId="77777777" w:rsidTr="003A71DE">
        <w:trPr>
          <w:trHeight w:val="18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661C9F2" w14:textId="77777777" w:rsidR="003A71DE" w:rsidRPr="007654EC" w:rsidRDefault="003A71DE" w:rsidP="00E33F84">
            <w:pPr>
              <w:pStyle w:val="TAL"/>
            </w:pPr>
          </w:p>
        </w:tc>
        <w:tc>
          <w:tcPr>
            <w:tcW w:w="1387" w:type="dxa"/>
            <w:tcBorders>
              <w:top w:val="single" w:sz="4" w:space="0" w:color="auto"/>
              <w:left w:val="single" w:sz="4" w:space="0" w:color="auto"/>
              <w:bottom w:val="single" w:sz="4" w:space="0" w:color="auto"/>
              <w:right w:val="single" w:sz="4" w:space="0" w:color="auto"/>
            </w:tcBorders>
            <w:vAlign w:val="center"/>
          </w:tcPr>
          <w:p w14:paraId="108D1F4F" w14:textId="77777777" w:rsidR="003A71DE" w:rsidRPr="007654EC" w:rsidRDefault="003A71DE" w:rsidP="00E33F84">
            <w:pPr>
              <w:pStyle w:val="TAC"/>
            </w:pPr>
            <w:r w:rsidRPr="007654EC">
              <w:t>dBm/38.1MHz</w:t>
            </w:r>
          </w:p>
        </w:tc>
        <w:tc>
          <w:tcPr>
            <w:tcW w:w="1434" w:type="dxa"/>
            <w:tcBorders>
              <w:top w:val="single" w:sz="4" w:space="0" w:color="auto"/>
              <w:left w:val="single" w:sz="4" w:space="0" w:color="auto"/>
              <w:bottom w:val="single" w:sz="4" w:space="0" w:color="auto"/>
              <w:right w:val="single" w:sz="4" w:space="0" w:color="auto"/>
            </w:tcBorders>
            <w:vAlign w:val="center"/>
          </w:tcPr>
          <w:p w14:paraId="10F6DDBD"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69A54C70" w14:textId="77777777" w:rsidR="003A71DE" w:rsidRPr="007654EC" w:rsidRDefault="003A71DE" w:rsidP="00E33F84">
            <w:pPr>
              <w:pStyle w:val="TAC"/>
            </w:pPr>
            <w:r w:rsidRPr="007654EC">
              <w:t>-59.2</w:t>
            </w:r>
          </w:p>
        </w:tc>
      </w:tr>
      <w:tr w:rsidR="003A71DE" w:rsidRPr="007654EC" w14:paraId="7F8B0CF8"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tcPr>
          <w:p w14:paraId="0C42A24B" w14:textId="77777777" w:rsidR="003A71DE" w:rsidRPr="007654EC" w:rsidRDefault="003A71DE" w:rsidP="00E33F84">
            <w:pPr>
              <w:pStyle w:val="TAL"/>
            </w:pPr>
            <w:r w:rsidRPr="007654EC">
              <w:t>Propagation condition</w:t>
            </w:r>
          </w:p>
        </w:tc>
        <w:tc>
          <w:tcPr>
            <w:tcW w:w="1387" w:type="dxa"/>
            <w:tcBorders>
              <w:top w:val="single" w:sz="4" w:space="0" w:color="auto"/>
              <w:left w:val="single" w:sz="4" w:space="0" w:color="auto"/>
              <w:bottom w:val="single" w:sz="4" w:space="0" w:color="auto"/>
              <w:right w:val="single" w:sz="4" w:space="0" w:color="auto"/>
            </w:tcBorders>
            <w:vAlign w:val="center"/>
          </w:tcPr>
          <w:p w14:paraId="7358D7FB"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262B5FD" w14:textId="77777777" w:rsidR="003A71DE" w:rsidRPr="007654EC" w:rsidRDefault="003A71DE" w:rsidP="00E33F84">
            <w:pPr>
              <w:pStyle w:val="TAC"/>
            </w:pPr>
            <w:r w:rsidRPr="007654EC">
              <w:t>1,2,3</w:t>
            </w:r>
          </w:p>
        </w:tc>
        <w:tc>
          <w:tcPr>
            <w:tcW w:w="2307" w:type="dxa"/>
            <w:tcBorders>
              <w:top w:val="single" w:sz="4" w:space="0" w:color="auto"/>
              <w:left w:val="single" w:sz="4" w:space="0" w:color="auto"/>
              <w:bottom w:val="single" w:sz="4" w:space="0" w:color="auto"/>
              <w:right w:val="single" w:sz="4" w:space="0" w:color="auto"/>
            </w:tcBorders>
            <w:vAlign w:val="center"/>
          </w:tcPr>
          <w:p w14:paraId="0FEC83DA" w14:textId="77777777" w:rsidR="003A71DE" w:rsidRPr="007654EC" w:rsidRDefault="003A71DE" w:rsidP="00E33F84">
            <w:pPr>
              <w:pStyle w:val="TAC"/>
            </w:pPr>
            <w:r w:rsidRPr="007654EC">
              <w:t>AWGN</w:t>
            </w:r>
          </w:p>
        </w:tc>
      </w:tr>
      <w:tr w:rsidR="003A71DE" w:rsidRPr="007654EC" w14:paraId="1BDB4D6C" w14:textId="77777777" w:rsidTr="003A71DE">
        <w:trPr>
          <w:jc w:val="center"/>
        </w:trPr>
        <w:tc>
          <w:tcPr>
            <w:tcW w:w="2263" w:type="dxa"/>
            <w:vMerge w:val="restart"/>
            <w:tcBorders>
              <w:top w:val="single" w:sz="4" w:space="0" w:color="auto"/>
              <w:left w:val="single" w:sz="4" w:space="0" w:color="auto"/>
              <w:right w:val="single" w:sz="4" w:space="0" w:color="auto"/>
            </w:tcBorders>
          </w:tcPr>
          <w:p w14:paraId="147D90F0" w14:textId="77777777" w:rsidR="003A71DE" w:rsidRPr="007654EC" w:rsidRDefault="003A71DE" w:rsidP="00E33F84">
            <w:pPr>
              <w:pStyle w:val="TAL"/>
            </w:pPr>
            <w:r w:rsidRPr="007654EC">
              <w:t>SRS Config</w:t>
            </w:r>
          </w:p>
        </w:tc>
        <w:tc>
          <w:tcPr>
            <w:tcW w:w="1387" w:type="dxa"/>
            <w:tcBorders>
              <w:top w:val="single" w:sz="4" w:space="0" w:color="auto"/>
              <w:left w:val="single" w:sz="4" w:space="0" w:color="auto"/>
              <w:bottom w:val="single" w:sz="4" w:space="0" w:color="auto"/>
              <w:right w:val="single" w:sz="4" w:space="0" w:color="auto"/>
            </w:tcBorders>
            <w:vAlign w:val="center"/>
          </w:tcPr>
          <w:p w14:paraId="302E10FE"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724EB6E3" w14:textId="77777777" w:rsidR="003A71DE" w:rsidRPr="007654EC" w:rsidRDefault="003A71DE" w:rsidP="00E33F84">
            <w:pPr>
              <w:pStyle w:val="TAC"/>
            </w:pPr>
            <w:r w:rsidRPr="007654EC">
              <w:t>1,2</w:t>
            </w:r>
          </w:p>
        </w:tc>
        <w:tc>
          <w:tcPr>
            <w:tcW w:w="2307" w:type="dxa"/>
            <w:tcBorders>
              <w:top w:val="single" w:sz="4" w:space="0" w:color="auto"/>
              <w:left w:val="single" w:sz="4" w:space="0" w:color="auto"/>
              <w:bottom w:val="single" w:sz="4" w:space="0" w:color="auto"/>
              <w:right w:val="single" w:sz="4" w:space="0" w:color="auto"/>
            </w:tcBorders>
            <w:vAlign w:val="center"/>
          </w:tcPr>
          <w:p w14:paraId="50CB21C4" w14:textId="77777777" w:rsidR="003A71DE" w:rsidRPr="007654EC" w:rsidRDefault="003A71DE" w:rsidP="00E33F84">
            <w:pPr>
              <w:pStyle w:val="TAC"/>
            </w:pPr>
            <w:r w:rsidRPr="007654EC">
              <w:t>SRSConf.1</w:t>
            </w:r>
            <w:r w:rsidRPr="007654EC">
              <w:rPr>
                <w:vertAlign w:val="superscript"/>
              </w:rPr>
              <w:t>Note</w:t>
            </w:r>
            <w:r w:rsidRPr="007654EC">
              <w:rPr>
                <w:rFonts w:hint="eastAsia"/>
                <w:vertAlign w:val="superscript"/>
                <w:lang w:val="en-US" w:eastAsia="zh-CN"/>
              </w:rPr>
              <w:t>5</w:t>
            </w:r>
          </w:p>
        </w:tc>
      </w:tr>
      <w:tr w:rsidR="003A71DE" w:rsidRPr="007654EC" w14:paraId="66189BFF" w14:textId="77777777" w:rsidTr="003A71DE">
        <w:trPr>
          <w:jc w:val="center"/>
        </w:trPr>
        <w:tc>
          <w:tcPr>
            <w:tcW w:w="2263" w:type="dxa"/>
            <w:vMerge/>
            <w:tcBorders>
              <w:left w:val="single" w:sz="4" w:space="0" w:color="auto"/>
              <w:bottom w:val="single" w:sz="4" w:space="0" w:color="auto"/>
              <w:right w:val="single" w:sz="4" w:space="0" w:color="auto"/>
            </w:tcBorders>
          </w:tcPr>
          <w:p w14:paraId="4735ED51" w14:textId="77777777" w:rsidR="003A71DE" w:rsidRPr="007654EC" w:rsidRDefault="003A71DE" w:rsidP="003A71DE">
            <w:pPr>
              <w:keepLines/>
              <w:spacing w:after="0"/>
              <w:rPr>
                <w:rFonts w:ascii="Arial" w:hAnsi="Arial"/>
                <w:sz w:val="18"/>
              </w:rPr>
            </w:pPr>
          </w:p>
        </w:tc>
        <w:tc>
          <w:tcPr>
            <w:tcW w:w="1387" w:type="dxa"/>
            <w:tcBorders>
              <w:top w:val="single" w:sz="4" w:space="0" w:color="auto"/>
              <w:left w:val="single" w:sz="4" w:space="0" w:color="auto"/>
              <w:bottom w:val="single" w:sz="4" w:space="0" w:color="auto"/>
              <w:right w:val="single" w:sz="4" w:space="0" w:color="auto"/>
            </w:tcBorders>
            <w:vAlign w:val="center"/>
          </w:tcPr>
          <w:p w14:paraId="7ADE2865" w14:textId="77777777" w:rsidR="003A71DE" w:rsidRPr="007654EC"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vAlign w:val="center"/>
          </w:tcPr>
          <w:p w14:paraId="37C0A114" w14:textId="77777777" w:rsidR="003A71DE" w:rsidRPr="007654EC" w:rsidRDefault="003A71DE" w:rsidP="00E33F84">
            <w:pPr>
              <w:pStyle w:val="TAC"/>
            </w:pPr>
            <w:r w:rsidRPr="007654EC">
              <w:t>3</w:t>
            </w:r>
          </w:p>
        </w:tc>
        <w:tc>
          <w:tcPr>
            <w:tcW w:w="2307" w:type="dxa"/>
            <w:tcBorders>
              <w:top w:val="single" w:sz="4" w:space="0" w:color="auto"/>
              <w:left w:val="single" w:sz="4" w:space="0" w:color="auto"/>
              <w:bottom w:val="single" w:sz="4" w:space="0" w:color="auto"/>
              <w:right w:val="single" w:sz="4" w:space="0" w:color="auto"/>
            </w:tcBorders>
            <w:vAlign w:val="center"/>
          </w:tcPr>
          <w:p w14:paraId="73F055CD" w14:textId="77777777" w:rsidR="003A71DE" w:rsidRPr="007654EC" w:rsidRDefault="003A71DE" w:rsidP="00E33F84">
            <w:pPr>
              <w:pStyle w:val="TAC"/>
            </w:pPr>
            <w:r w:rsidRPr="007654EC">
              <w:t>SRSConf.1</w:t>
            </w:r>
            <w:r w:rsidRPr="007654EC">
              <w:rPr>
                <w:vertAlign w:val="superscript"/>
              </w:rPr>
              <w:t>Note</w:t>
            </w:r>
            <w:r w:rsidRPr="007654EC">
              <w:rPr>
                <w:rFonts w:hint="eastAsia"/>
                <w:vertAlign w:val="superscript"/>
                <w:lang w:val="en-US" w:eastAsia="zh-CN"/>
              </w:rPr>
              <w:t>5</w:t>
            </w:r>
          </w:p>
        </w:tc>
      </w:tr>
      <w:tr w:rsidR="003A71DE" w:rsidRPr="007654EC" w14:paraId="4C4764D1" w14:textId="77777777" w:rsidTr="003A71DE">
        <w:trPr>
          <w:jc w:val="center"/>
        </w:trPr>
        <w:tc>
          <w:tcPr>
            <w:tcW w:w="7391" w:type="dxa"/>
            <w:gridSpan w:val="4"/>
            <w:tcBorders>
              <w:top w:val="single" w:sz="4" w:space="0" w:color="auto"/>
              <w:left w:val="single" w:sz="4" w:space="0" w:color="auto"/>
              <w:bottom w:val="single" w:sz="4" w:space="0" w:color="auto"/>
              <w:right w:val="single" w:sz="4" w:space="0" w:color="auto"/>
            </w:tcBorders>
          </w:tcPr>
          <w:p w14:paraId="59256FA9" w14:textId="77777777" w:rsidR="003A71DE" w:rsidRPr="007654EC" w:rsidRDefault="003A71DE" w:rsidP="00E33F84">
            <w:pPr>
              <w:pStyle w:val="TAN"/>
            </w:pPr>
            <w:r w:rsidRPr="007654EC">
              <w:lastRenderedPageBreak/>
              <w:t>Note 1:</w:t>
            </w:r>
            <w:r w:rsidRPr="007654EC">
              <w:tab/>
              <w:t xml:space="preserve">OCNG shall be used such that </w:t>
            </w:r>
            <w:r w:rsidRPr="007654EC">
              <w:rPr>
                <w:rFonts w:hint="eastAsia"/>
                <w:lang w:val="en-US" w:eastAsia="zh-CN"/>
              </w:rPr>
              <w:t>the resources in Cell 1</w:t>
            </w:r>
            <w:r w:rsidRPr="007654EC">
              <w:t xml:space="preserve"> are fully allocated and a constant total transmitted power spectral density is achieved for all OFDM symbols.</w:t>
            </w:r>
          </w:p>
          <w:p w14:paraId="0C398110" w14:textId="77777777" w:rsidR="003A71DE" w:rsidRPr="007654EC" w:rsidRDefault="003A71DE" w:rsidP="00E33F84">
            <w:pPr>
              <w:pStyle w:val="TAN"/>
            </w:pPr>
            <w:r w:rsidRPr="007654EC">
              <w:t>Note 2:</w:t>
            </w:r>
            <w:r w:rsidRPr="007654EC">
              <w:tab/>
              <w:t xml:space="preserve">Interference from other cells and noise sources not specified in the test is assumed to be constant over subcarriers and time and shall be modelled as AWGN of appropriate power for </w:t>
            </w:r>
            <w:r w:rsidRPr="007654EC">
              <w:rPr>
                <w:position w:val="-12"/>
              </w:rPr>
              <w:object w:dxaOrig="435" w:dyaOrig="285" w14:anchorId="61217A85">
                <v:shape id="_x0000_i1084" type="#_x0000_t75" style="width:21.6pt;height:14.4pt" o:ole="">
                  <v:imagedata r:id="rId71" o:title=""/>
                </v:shape>
                <o:OLEObject Type="Embed" ProgID="Equation.3" ShapeID="_x0000_i1084" DrawAspect="Content" ObjectID="_1734764464" r:id="rId106"/>
              </w:object>
            </w:r>
            <w:r w:rsidRPr="007654EC">
              <w:t xml:space="preserve"> to be fulfilled.</w:t>
            </w:r>
          </w:p>
          <w:p w14:paraId="1518EE0D" w14:textId="77777777" w:rsidR="003A71DE" w:rsidRPr="007654EC" w:rsidRDefault="003A71DE" w:rsidP="00E33F84">
            <w:pPr>
              <w:pStyle w:val="TAN"/>
            </w:pPr>
            <w:r w:rsidRPr="007654EC">
              <w:t>Note 3:</w:t>
            </w:r>
            <w:r w:rsidRPr="007654EC">
              <w:tab/>
              <w:t>SS-RSRP and Io levels have been derived from other parameters for information purposes. They are not settable parameters themselves.</w:t>
            </w:r>
          </w:p>
          <w:p w14:paraId="787114C7" w14:textId="77777777" w:rsidR="003A71DE" w:rsidRPr="007654EC" w:rsidRDefault="003A71DE" w:rsidP="00E33F84">
            <w:pPr>
              <w:pStyle w:val="TAN"/>
            </w:pPr>
            <w:r w:rsidRPr="007654EC">
              <w:t>Note 4:</w:t>
            </w:r>
            <w:r w:rsidRPr="007654EC">
              <w:tab/>
              <w:t>SS-RSRP minimum requirements are specified assuming independent interference and noise at each receiver antenna port.</w:t>
            </w:r>
          </w:p>
          <w:p w14:paraId="25370F01" w14:textId="77777777" w:rsidR="003A71DE" w:rsidRPr="007654EC" w:rsidRDefault="003A71DE" w:rsidP="00E33F84">
            <w:pPr>
              <w:pStyle w:val="TAN"/>
            </w:pPr>
            <w:r w:rsidRPr="007654EC">
              <w:t xml:space="preserve">Note </w:t>
            </w:r>
            <w:r w:rsidRPr="007654EC">
              <w:rPr>
                <w:rFonts w:hint="eastAsia"/>
                <w:lang w:val="en-US" w:eastAsia="zh-CN"/>
              </w:rPr>
              <w:t>5</w:t>
            </w:r>
            <w:r w:rsidRPr="007654EC">
              <w:t>:</w:t>
            </w:r>
            <w:r w:rsidRPr="007654EC">
              <w:tab/>
              <w:t xml:space="preserve">SRS configs are given in Table </w:t>
            </w:r>
            <w:r w:rsidRPr="007654EC">
              <w:rPr>
                <w:rFonts w:hint="eastAsia"/>
                <w:lang w:eastAsia="zh-CN"/>
              </w:rPr>
              <w:t>G.2.2</w:t>
            </w:r>
            <w:r w:rsidRPr="007654EC">
              <w:t>.1.1.1-3</w:t>
            </w:r>
          </w:p>
        </w:tc>
      </w:tr>
    </w:tbl>
    <w:p w14:paraId="69F37C64" w14:textId="77777777" w:rsidR="003A71DE" w:rsidRPr="007654EC" w:rsidRDefault="003A71DE" w:rsidP="003A71DE">
      <w:pPr>
        <w:spacing w:line="259" w:lineRule="auto"/>
      </w:pPr>
    </w:p>
    <w:p w14:paraId="3CF7F9B2" w14:textId="77777777" w:rsidR="003A71DE" w:rsidRPr="007654EC" w:rsidRDefault="003A71DE" w:rsidP="00746C0D">
      <w:pPr>
        <w:pStyle w:val="TH"/>
      </w:pPr>
      <w:r w:rsidRPr="007654EC">
        <w:t xml:space="preserve">Table </w:t>
      </w:r>
      <w:r w:rsidRPr="007654EC">
        <w:rPr>
          <w:rFonts w:eastAsia="SimSun" w:hint="eastAsia"/>
          <w:lang w:eastAsia="zh-CN"/>
        </w:rPr>
        <w:t>G.2.2</w:t>
      </w:r>
      <w:r w:rsidRPr="007654EC">
        <w:t>.1.1.1-3: SRS Configuration for Timing Accuracy Test</w:t>
      </w:r>
    </w:p>
    <w:tbl>
      <w:tblPr>
        <w:tblStyle w:val="TableGrid9"/>
        <w:tblW w:w="0" w:type="auto"/>
        <w:jc w:val="center"/>
        <w:tblInd w:w="0" w:type="dxa"/>
        <w:tblLook w:val="04A0" w:firstRow="1" w:lastRow="0" w:firstColumn="1" w:lastColumn="0" w:noHBand="0" w:noVBand="1"/>
      </w:tblPr>
      <w:tblGrid>
        <w:gridCol w:w="1340"/>
        <w:gridCol w:w="2389"/>
        <w:gridCol w:w="1816"/>
        <w:gridCol w:w="1305"/>
      </w:tblGrid>
      <w:tr w:rsidR="003A71DE" w:rsidRPr="007654EC" w14:paraId="4A97FB6F" w14:textId="77777777" w:rsidTr="003A71DE">
        <w:trPr>
          <w:jc w:val="center"/>
        </w:trPr>
        <w:tc>
          <w:tcPr>
            <w:tcW w:w="1340" w:type="dxa"/>
          </w:tcPr>
          <w:p w14:paraId="1032F4B0" w14:textId="77777777" w:rsidR="003A71DE" w:rsidRPr="007654EC" w:rsidRDefault="003A71DE" w:rsidP="00E33F84">
            <w:pPr>
              <w:pStyle w:val="TAH"/>
            </w:pPr>
          </w:p>
        </w:tc>
        <w:tc>
          <w:tcPr>
            <w:tcW w:w="2389" w:type="dxa"/>
          </w:tcPr>
          <w:p w14:paraId="0DE1C14F" w14:textId="77777777" w:rsidR="003A71DE" w:rsidRPr="007654EC" w:rsidRDefault="003A71DE" w:rsidP="00E33F84">
            <w:pPr>
              <w:pStyle w:val="TAH"/>
            </w:pPr>
            <w:r w:rsidRPr="007654EC">
              <w:t>Field</w:t>
            </w:r>
          </w:p>
        </w:tc>
        <w:tc>
          <w:tcPr>
            <w:tcW w:w="1816" w:type="dxa"/>
          </w:tcPr>
          <w:p w14:paraId="28C19E1C" w14:textId="77777777" w:rsidR="003A71DE" w:rsidRPr="007654EC" w:rsidRDefault="003A71DE" w:rsidP="00E33F84">
            <w:pPr>
              <w:pStyle w:val="TAH"/>
            </w:pPr>
            <w:r w:rsidRPr="007654EC">
              <w:t>SRSConf.1</w:t>
            </w:r>
          </w:p>
        </w:tc>
        <w:tc>
          <w:tcPr>
            <w:tcW w:w="1305" w:type="dxa"/>
          </w:tcPr>
          <w:p w14:paraId="26DB6AAB" w14:textId="77777777" w:rsidR="003A71DE" w:rsidRPr="007654EC" w:rsidRDefault="003A71DE" w:rsidP="00E33F84">
            <w:pPr>
              <w:pStyle w:val="TAH"/>
            </w:pPr>
            <w:r w:rsidRPr="007654EC">
              <w:t>Comments</w:t>
            </w:r>
          </w:p>
        </w:tc>
      </w:tr>
      <w:tr w:rsidR="003A71DE" w:rsidRPr="007654EC" w14:paraId="45810B67" w14:textId="77777777" w:rsidTr="003A71DE">
        <w:trPr>
          <w:jc w:val="center"/>
        </w:trPr>
        <w:tc>
          <w:tcPr>
            <w:tcW w:w="1340" w:type="dxa"/>
            <w:vMerge w:val="restart"/>
          </w:tcPr>
          <w:p w14:paraId="4395BEF2" w14:textId="77777777" w:rsidR="003A71DE" w:rsidRPr="007654EC" w:rsidRDefault="003A71DE" w:rsidP="00E33F84">
            <w:pPr>
              <w:pStyle w:val="TAL"/>
            </w:pPr>
            <w:r w:rsidRPr="007654EC">
              <w:t>SRS-ResourceSet</w:t>
            </w:r>
          </w:p>
        </w:tc>
        <w:tc>
          <w:tcPr>
            <w:tcW w:w="2389" w:type="dxa"/>
          </w:tcPr>
          <w:p w14:paraId="62CB19C9" w14:textId="77777777" w:rsidR="003A71DE" w:rsidRPr="007654EC" w:rsidRDefault="003A71DE" w:rsidP="00E33F84">
            <w:pPr>
              <w:pStyle w:val="TAL"/>
            </w:pPr>
            <w:r w:rsidRPr="007654EC">
              <w:t>srs-ResourceSetId</w:t>
            </w:r>
          </w:p>
        </w:tc>
        <w:tc>
          <w:tcPr>
            <w:tcW w:w="1816" w:type="dxa"/>
          </w:tcPr>
          <w:p w14:paraId="24A925FD" w14:textId="77777777" w:rsidR="003A71DE" w:rsidRPr="007654EC" w:rsidRDefault="003A71DE" w:rsidP="00E33F84">
            <w:pPr>
              <w:pStyle w:val="TAL"/>
              <w:rPr>
                <w:rFonts w:cs="Arial"/>
                <w:szCs w:val="18"/>
              </w:rPr>
            </w:pPr>
            <w:r w:rsidRPr="007654EC">
              <w:rPr>
                <w:rFonts w:cs="Arial"/>
                <w:szCs w:val="18"/>
              </w:rPr>
              <w:t>0</w:t>
            </w:r>
          </w:p>
        </w:tc>
        <w:tc>
          <w:tcPr>
            <w:tcW w:w="1305" w:type="dxa"/>
          </w:tcPr>
          <w:p w14:paraId="082318F4" w14:textId="77777777" w:rsidR="003A71DE" w:rsidRPr="007654EC" w:rsidRDefault="003A71DE" w:rsidP="00E33F84">
            <w:pPr>
              <w:pStyle w:val="TAL"/>
              <w:rPr>
                <w:rFonts w:cs="Arial"/>
                <w:szCs w:val="18"/>
              </w:rPr>
            </w:pPr>
          </w:p>
        </w:tc>
      </w:tr>
      <w:tr w:rsidR="003A71DE" w:rsidRPr="007654EC" w14:paraId="1E3F2DFE" w14:textId="77777777" w:rsidTr="003A71DE">
        <w:trPr>
          <w:jc w:val="center"/>
        </w:trPr>
        <w:tc>
          <w:tcPr>
            <w:tcW w:w="1340" w:type="dxa"/>
            <w:vMerge/>
          </w:tcPr>
          <w:p w14:paraId="029F4231" w14:textId="77777777" w:rsidR="003A71DE" w:rsidRPr="007654EC" w:rsidRDefault="003A71DE" w:rsidP="00E33F84">
            <w:pPr>
              <w:pStyle w:val="TAL"/>
            </w:pPr>
          </w:p>
        </w:tc>
        <w:tc>
          <w:tcPr>
            <w:tcW w:w="2389" w:type="dxa"/>
          </w:tcPr>
          <w:p w14:paraId="32BB0820" w14:textId="77777777" w:rsidR="003A71DE" w:rsidRPr="007654EC" w:rsidRDefault="003A71DE" w:rsidP="00E33F84">
            <w:pPr>
              <w:pStyle w:val="TAL"/>
            </w:pPr>
            <w:r w:rsidRPr="007654EC">
              <w:t>srs-ResourceIdList</w:t>
            </w:r>
          </w:p>
        </w:tc>
        <w:tc>
          <w:tcPr>
            <w:tcW w:w="1816" w:type="dxa"/>
          </w:tcPr>
          <w:p w14:paraId="4C33818D" w14:textId="77777777" w:rsidR="003A71DE" w:rsidRPr="007654EC" w:rsidRDefault="003A71DE" w:rsidP="00E33F84">
            <w:pPr>
              <w:pStyle w:val="TAL"/>
              <w:rPr>
                <w:rFonts w:cs="Arial"/>
                <w:szCs w:val="18"/>
              </w:rPr>
            </w:pPr>
            <w:r w:rsidRPr="007654EC">
              <w:rPr>
                <w:rFonts w:cs="Arial"/>
                <w:szCs w:val="18"/>
              </w:rPr>
              <w:t>0</w:t>
            </w:r>
          </w:p>
        </w:tc>
        <w:tc>
          <w:tcPr>
            <w:tcW w:w="1305" w:type="dxa"/>
          </w:tcPr>
          <w:p w14:paraId="6EFDEB77" w14:textId="77777777" w:rsidR="003A71DE" w:rsidRPr="007654EC" w:rsidRDefault="003A71DE" w:rsidP="00E33F84">
            <w:pPr>
              <w:pStyle w:val="TAL"/>
              <w:rPr>
                <w:rFonts w:cs="Arial"/>
                <w:szCs w:val="18"/>
              </w:rPr>
            </w:pPr>
          </w:p>
        </w:tc>
      </w:tr>
      <w:tr w:rsidR="003A71DE" w:rsidRPr="007654EC" w14:paraId="4F1C410D" w14:textId="77777777" w:rsidTr="003A71DE">
        <w:trPr>
          <w:jc w:val="center"/>
        </w:trPr>
        <w:tc>
          <w:tcPr>
            <w:tcW w:w="1340" w:type="dxa"/>
            <w:vMerge/>
          </w:tcPr>
          <w:p w14:paraId="78D42331" w14:textId="77777777" w:rsidR="003A71DE" w:rsidRPr="007654EC" w:rsidRDefault="003A71DE" w:rsidP="00E33F84">
            <w:pPr>
              <w:pStyle w:val="TAL"/>
            </w:pPr>
          </w:p>
        </w:tc>
        <w:tc>
          <w:tcPr>
            <w:tcW w:w="2389" w:type="dxa"/>
          </w:tcPr>
          <w:p w14:paraId="7D56F84C" w14:textId="77777777" w:rsidR="003A71DE" w:rsidRPr="007654EC" w:rsidRDefault="003A71DE" w:rsidP="00E33F84">
            <w:pPr>
              <w:pStyle w:val="TAL"/>
            </w:pPr>
            <w:r w:rsidRPr="007654EC">
              <w:t>resourceType</w:t>
            </w:r>
          </w:p>
        </w:tc>
        <w:tc>
          <w:tcPr>
            <w:tcW w:w="1816" w:type="dxa"/>
          </w:tcPr>
          <w:p w14:paraId="0C807239" w14:textId="77777777" w:rsidR="003A71DE" w:rsidRPr="007654EC" w:rsidRDefault="003A71DE" w:rsidP="00E33F84">
            <w:pPr>
              <w:pStyle w:val="TAL"/>
              <w:rPr>
                <w:rFonts w:cs="Arial"/>
                <w:szCs w:val="18"/>
              </w:rPr>
            </w:pPr>
            <w:r w:rsidRPr="007654EC">
              <w:rPr>
                <w:rFonts w:cs="Arial"/>
                <w:szCs w:val="18"/>
              </w:rPr>
              <w:t>Periodic</w:t>
            </w:r>
          </w:p>
        </w:tc>
        <w:tc>
          <w:tcPr>
            <w:tcW w:w="1305" w:type="dxa"/>
          </w:tcPr>
          <w:p w14:paraId="36AABCDD" w14:textId="77777777" w:rsidR="003A71DE" w:rsidRPr="007654EC" w:rsidRDefault="003A71DE" w:rsidP="00E33F84">
            <w:pPr>
              <w:pStyle w:val="TAL"/>
              <w:rPr>
                <w:rFonts w:cs="Arial"/>
                <w:szCs w:val="18"/>
              </w:rPr>
            </w:pPr>
          </w:p>
        </w:tc>
      </w:tr>
      <w:tr w:rsidR="003A71DE" w:rsidRPr="007654EC" w14:paraId="31EDCF77" w14:textId="77777777" w:rsidTr="003A71DE">
        <w:trPr>
          <w:jc w:val="center"/>
        </w:trPr>
        <w:tc>
          <w:tcPr>
            <w:tcW w:w="1340" w:type="dxa"/>
            <w:vMerge/>
          </w:tcPr>
          <w:p w14:paraId="09F8769A" w14:textId="77777777" w:rsidR="003A71DE" w:rsidRPr="007654EC" w:rsidRDefault="003A71DE" w:rsidP="00E33F84">
            <w:pPr>
              <w:pStyle w:val="TAL"/>
            </w:pPr>
          </w:p>
        </w:tc>
        <w:tc>
          <w:tcPr>
            <w:tcW w:w="2389" w:type="dxa"/>
          </w:tcPr>
          <w:p w14:paraId="1BEAB47C" w14:textId="77777777" w:rsidR="003A71DE" w:rsidRPr="007654EC" w:rsidRDefault="003A71DE" w:rsidP="00E33F84">
            <w:pPr>
              <w:pStyle w:val="TAL"/>
            </w:pPr>
            <w:r w:rsidRPr="007654EC">
              <w:t>Usage</w:t>
            </w:r>
          </w:p>
        </w:tc>
        <w:tc>
          <w:tcPr>
            <w:tcW w:w="1816" w:type="dxa"/>
          </w:tcPr>
          <w:p w14:paraId="161AB7EA" w14:textId="77777777" w:rsidR="003A71DE" w:rsidRPr="007654EC" w:rsidRDefault="003A71DE" w:rsidP="00E33F84">
            <w:pPr>
              <w:pStyle w:val="TAL"/>
              <w:rPr>
                <w:rFonts w:cs="Arial"/>
                <w:szCs w:val="18"/>
              </w:rPr>
            </w:pPr>
            <w:r w:rsidRPr="007654EC">
              <w:rPr>
                <w:rFonts w:cs="Arial"/>
                <w:szCs w:val="18"/>
              </w:rPr>
              <w:t>Codebook</w:t>
            </w:r>
          </w:p>
        </w:tc>
        <w:tc>
          <w:tcPr>
            <w:tcW w:w="1305" w:type="dxa"/>
          </w:tcPr>
          <w:p w14:paraId="1A0E4EB2" w14:textId="77777777" w:rsidR="003A71DE" w:rsidRPr="007654EC" w:rsidRDefault="003A71DE" w:rsidP="00E33F84">
            <w:pPr>
              <w:pStyle w:val="TAL"/>
              <w:rPr>
                <w:rFonts w:cs="Arial"/>
                <w:szCs w:val="18"/>
              </w:rPr>
            </w:pPr>
          </w:p>
        </w:tc>
      </w:tr>
      <w:tr w:rsidR="003A71DE" w:rsidRPr="007654EC" w14:paraId="2FAC5AB6" w14:textId="77777777" w:rsidTr="003A71DE">
        <w:trPr>
          <w:jc w:val="center"/>
        </w:trPr>
        <w:tc>
          <w:tcPr>
            <w:tcW w:w="1340" w:type="dxa"/>
            <w:vMerge w:val="restart"/>
          </w:tcPr>
          <w:p w14:paraId="0B3CE90B" w14:textId="77777777" w:rsidR="003A71DE" w:rsidRPr="007654EC" w:rsidRDefault="003A71DE" w:rsidP="00E33F84">
            <w:pPr>
              <w:pStyle w:val="TAL"/>
            </w:pPr>
            <w:r w:rsidRPr="007654EC">
              <w:t>SRS-Resource</w:t>
            </w:r>
          </w:p>
        </w:tc>
        <w:tc>
          <w:tcPr>
            <w:tcW w:w="2389" w:type="dxa"/>
          </w:tcPr>
          <w:p w14:paraId="3AC4F22F" w14:textId="77777777" w:rsidR="003A71DE" w:rsidRPr="007654EC" w:rsidRDefault="003A71DE" w:rsidP="00E33F84">
            <w:pPr>
              <w:pStyle w:val="TAL"/>
            </w:pPr>
            <w:r w:rsidRPr="007654EC">
              <w:t>SRS-ResourceId</w:t>
            </w:r>
          </w:p>
        </w:tc>
        <w:tc>
          <w:tcPr>
            <w:tcW w:w="1816" w:type="dxa"/>
          </w:tcPr>
          <w:p w14:paraId="308BCED7" w14:textId="77777777" w:rsidR="003A71DE" w:rsidRPr="007654EC" w:rsidRDefault="003A71DE" w:rsidP="00E33F84">
            <w:pPr>
              <w:pStyle w:val="TAL"/>
              <w:rPr>
                <w:rFonts w:cs="Arial"/>
                <w:szCs w:val="18"/>
              </w:rPr>
            </w:pPr>
            <w:r w:rsidRPr="007654EC">
              <w:rPr>
                <w:rFonts w:cs="Arial"/>
                <w:szCs w:val="18"/>
              </w:rPr>
              <w:t>0</w:t>
            </w:r>
          </w:p>
        </w:tc>
        <w:tc>
          <w:tcPr>
            <w:tcW w:w="1305" w:type="dxa"/>
          </w:tcPr>
          <w:p w14:paraId="7E8AD8CE" w14:textId="77777777" w:rsidR="003A71DE" w:rsidRPr="007654EC" w:rsidRDefault="003A71DE" w:rsidP="00E33F84">
            <w:pPr>
              <w:pStyle w:val="TAL"/>
              <w:rPr>
                <w:rFonts w:cs="Arial"/>
                <w:szCs w:val="18"/>
              </w:rPr>
            </w:pPr>
          </w:p>
        </w:tc>
      </w:tr>
      <w:tr w:rsidR="003A71DE" w:rsidRPr="007654EC" w14:paraId="21A527FA" w14:textId="77777777" w:rsidTr="003A71DE">
        <w:trPr>
          <w:jc w:val="center"/>
        </w:trPr>
        <w:tc>
          <w:tcPr>
            <w:tcW w:w="1340" w:type="dxa"/>
            <w:vMerge/>
          </w:tcPr>
          <w:p w14:paraId="0220C5F9" w14:textId="77777777" w:rsidR="003A71DE" w:rsidRPr="007654EC" w:rsidRDefault="003A71DE" w:rsidP="00E33F84">
            <w:pPr>
              <w:pStyle w:val="TAL"/>
            </w:pPr>
          </w:p>
        </w:tc>
        <w:tc>
          <w:tcPr>
            <w:tcW w:w="2389" w:type="dxa"/>
          </w:tcPr>
          <w:p w14:paraId="3E578A5E" w14:textId="77777777" w:rsidR="003A71DE" w:rsidRPr="007654EC" w:rsidRDefault="003A71DE" w:rsidP="00E33F84">
            <w:pPr>
              <w:pStyle w:val="TAL"/>
            </w:pPr>
            <w:r w:rsidRPr="007654EC">
              <w:t>nrofSRS-Ports</w:t>
            </w:r>
          </w:p>
        </w:tc>
        <w:tc>
          <w:tcPr>
            <w:tcW w:w="1816" w:type="dxa"/>
          </w:tcPr>
          <w:p w14:paraId="3F6418BC" w14:textId="77777777" w:rsidR="003A71DE" w:rsidRPr="007654EC" w:rsidRDefault="003A71DE" w:rsidP="00E33F84">
            <w:pPr>
              <w:pStyle w:val="TAL"/>
              <w:rPr>
                <w:rFonts w:cs="Arial"/>
                <w:szCs w:val="18"/>
              </w:rPr>
            </w:pPr>
            <w:r w:rsidRPr="007654EC">
              <w:rPr>
                <w:rFonts w:cs="Arial"/>
                <w:szCs w:val="18"/>
              </w:rPr>
              <w:t>Port1</w:t>
            </w:r>
          </w:p>
        </w:tc>
        <w:tc>
          <w:tcPr>
            <w:tcW w:w="1305" w:type="dxa"/>
          </w:tcPr>
          <w:p w14:paraId="7E15B3F1" w14:textId="77777777" w:rsidR="003A71DE" w:rsidRPr="007654EC" w:rsidRDefault="003A71DE" w:rsidP="00E33F84">
            <w:pPr>
              <w:pStyle w:val="TAL"/>
              <w:rPr>
                <w:rFonts w:cs="Arial"/>
                <w:szCs w:val="18"/>
              </w:rPr>
            </w:pPr>
          </w:p>
        </w:tc>
      </w:tr>
      <w:tr w:rsidR="003A71DE" w:rsidRPr="007654EC" w14:paraId="7CD9A364" w14:textId="77777777" w:rsidTr="003A71DE">
        <w:trPr>
          <w:jc w:val="center"/>
        </w:trPr>
        <w:tc>
          <w:tcPr>
            <w:tcW w:w="1340" w:type="dxa"/>
            <w:vMerge/>
          </w:tcPr>
          <w:p w14:paraId="57FB6C5F" w14:textId="77777777" w:rsidR="003A71DE" w:rsidRPr="007654EC" w:rsidRDefault="003A71DE" w:rsidP="00E33F84">
            <w:pPr>
              <w:pStyle w:val="TAL"/>
            </w:pPr>
          </w:p>
        </w:tc>
        <w:tc>
          <w:tcPr>
            <w:tcW w:w="2389" w:type="dxa"/>
          </w:tcPr>
          <w:p w14:paraId="63796E72" w14:textId="77777777" w:rsidR="003A71DE" w:rsidRPr="007654EC" w:rsidRDefault="003A71DE" w:rsidP="00E33F84">
            <w:pPr>
              <w:pStyle w:val="TAL"/>
            </w:pPr>
            <w:r w:rsidRPr="007654EC">
              <w:t xml:space="preserve">transmissionComb </w:t>
            </w:r>
          </w:p>
        </w:tc>
        <w:tc>
          <w:tcPr>
            <w:tcW w:w="1816" w:type="dxa"/>
          </w:tcPr>
          <w:p w14:paraId="448F07DF" w14:textId="77777777" w:rsidR="003A71DE" w:rsidRPr="007654EC" w:rsidRDefault="003A71DE" w:rsidP="00E33F84">
            <w:pPr>
              <w:pStyle w:val="TAL"/>
              <w:rPr>
                <w:rFonts w:cs="Arial"/>
                <w:szCs w:val="18"/>
              </w:rPr>
            </w:pPr>
            <w:r w:rsidRPr="007654EC">
              <w:rPr>
                <w:rFonts w:cs="Arial"/>
                <w:szCs w:val="18"/>
              </w:rPr>
              <w:t>n2</w:t>
            </w:r>
          </w:p>
        </w:tc>
        <w:tc>
          <w:tcPr>
            <w:tcW w:w="1305" w:type="dxa"/>
          </w:tcPr>
          <w:p w14:paraId="3E2DC489" w14:textId="77777777" w:rsidR="003A71DE" w:rsidRPr="007654EC" w:rsidRDefault="003A71DE" w:rsidP="00E33F84">
            <w:pPr>
              <w:pStyle w:val="TAL"/>
              <w:rPr>
                <w:rFonts w:cs="Arial"/>
                <w:szCs w:val="18"/>
              </w:rPr>
            </w:pPr>
          </w:p>
        </w:tc>
      </w:tr>
      <w:tr w:rsidR="003A71DE" w:rsidRPr="007654EC" w14:paraId="18D07D5C" w14:textId="77777777" w:rsidTr="003A71DE">
        <w:trPr>
          <w:jc w:val="center"/>
        </w:trPr>
        <w:tc>
          <w:tcPr>
            <w:tcW w:w="1340" w:type="dxa"/>
            <w:vMerge/>
          </w:tcPr>
          <w:p w14:paraId="445E3B8C" w14:textId="77777777" w:rsidR="003A71DE" w:rsidRPr="007654EC" w:rsidRDefault="003A71DE" w:rsidP="00E33F84">
            <w:pPr>
              <w:pStyle w:val="TAL"/>
            </w:pPr>
          </w:p>
        </w:tc>
        <w:tc>
          <w:tcPr>
            <w:tcW w:w="2389" w:type="dxa"/>
          </w:tcPr>
          <w:p w14:paraId="6E1F4C63" w14:textId="77777777" w:rsidR="003A71DE" w:rsidRPr="007654EC" w:rsidRDefault="003A71DE" w:rsidP="00E33F84">
            <w:pPr>
              <w:pStyle w:val="TAL"/>
            </w:pPr>
            <w:r w:rsidRPr="007654EC">
              <w:t>combOffset-n2</w:t>
            </w:r>
          </w:p>
        </w:tc>
        <w:tc>
          <w:tcPr>
            <w:tcW w:w="1816" w:type="dxa"/>
          </w:tcPr>
          <w:p w14:paraId="41C26CB3" w14:textId="77777777" w:rsidR="003A71DE" w:rsidRPr="007654EC" w:rsidRDefault="003A71DE" w:rsidP="00E33F84">
            <w:pPr>
              <w:pStyle w:val="TAL"/>
              <w:rPr>
                <w:rFonts w:cs="Arial"/>
                <w:szCs w:val="18"/>
              </w:rPr>
            </w:pPr>
            <w:r w:rsidRPr="007654EC">
              <w:rPr>
                <w:rFonts w:cs="Arial"/>
                <w:szCs w:val="18"/>
              </w:rPr>
              <w:t>0</w:t>
            </w:r>
          </w:p>
        </w:tc>
        <w:tc>
          <w:tcPr>
            <w:tcW w:w="1305" w:type="dxa"/>
          </w:tcPr>
          <w:p w14:paraId="5AD0D6E2" w14:textId="77777777" w:rsidR="003A71DE" w:rsidRPr="007654EC" w:rsidRDefault="003A71DE" w:rsidP="00E33F84">
            <w:pPr>
              <w:pStyle w:val="TAL"/>
              <w:rPr>
                <w:rFonts w:cs="Arial"/>
                <w:szCs w:val="18"/>
              </w:rPr>
            </w:pPr>
          </w:p>
        </w:tc>
      </w:tr>
      <w:tr w:rsidR="003A71DE" w:rsidRPr="007654EC" w14:paraId="47500101" w14:textId="77777777" w:rsidTr="003A71DE">
        <w:trPr>
          <w:jc w:val="center"/>
        </w:trPr>
        <w:tc>
          <w:tcPr>
            <w:tcW w:w="1340" w:type="dxa"/>
            <w:vMerge/>
          </w:tcPr>
          <w:p w14:paraId="1166036C" w14:textId="77777777" w:rsidR="003A71DE" w:rsidRPr="007654EC" w:rsidRDefault="003A71DE" w:rsidP="00E33F84">
            <w:pPr>
              <w:pStyle w:val="TAL"/>
            </w:pPr>
          </w:p>
        </w:tc>
        <w:tc>
          <w:tcPr>
            <w:tcW w:w="2389" w:type="dxa"/>
          </w:tcPr>
          <w:p w14:paraId="119E0746" w14:textId="77777777" w:rsidR="003A71DE" w:rsidRPr="007654EC" w:rsidRDefault="003A71DE" w:rsidP="00E33F84">
            <w:pPr>
              <w:pStyle w:val="TAL"/>
            </w:pPr>
            <w:r w:rsidRPr="007654EC">
              <w:t>cyclicShift-n2</w:t>
            </w:r>
          </w:p>
        </w:tc>
        <w:tc>
          <w:tcPr>
            <w:tcW w:w="1816" w:type="dxa"/>
          </w:tcPr>
          <w:p w14:paraId="7689D561" w14:textId="77777777" w:rsidR="003A71DE" w:rsidRPr="007654EC" w:rsidRDefault="003A71DE" w:rsidP="00E33F84">
            <w:pPr>
              <w:pStyle w:val="TAL"/>
              <w:rPr>
                <w:rFonts w:cs="Arial"/>
                <w:szCs w:val="18"/>
              </w:rPr>
            </w:pPr>
            <w:r w:rsidRPr="007654EC">
              <w:rPr>
                <w:rFonts w:cs="Arial"/>
                <w:szCs w:val="18"/>
              </w:rPr>
              <w:t>0</w:t>
            </w:r>
          </w:p>
        </w:tc>
        <w:tc>
          <w:tcPr>
            <w:tcW w:w="1305" w:type="dxa"/>
          </w:tcPr>
          <w:p w14:paraId="20CBD8FC" w14:textId="77777777" w:rsidR="003A71DE" w:rsidRPr="007654EC" w:rsidRDefault="003A71DE" w:rsidP="00E33F84">
            <w:pPr>
              <w:pStyle w:val="TAL"/>
              <w:rPr>
                <w:rFonts w:cs="Arial"/>
                <w:szCs w:val="18"/>
              </w:rPr>
            </w:pPr>
          </w:p>
        </w:tc>
      </w:tr>
      <w:tr w:rsidR="003A71DE" w:rsidRPr="007654EC" w14:paraId="6E6864E6" w14:textId="77777777" w:rsidTr="003A71DE">
        <w:trPr>
          <w:jc w:val="center"/>
        </w:trPr>
        <w:tc>
          <w:tcPr>
            <w:tcW w:w="1340" w:type="dxa"/>
            <w:vMerge/>
          </w:tcPr>
          <w:p w14:paraId="63436BD0" w14:textId="77777777" w:rsidR="003A71DE" w:rsidRPr="007654EC" w:rsidRDefault="003A71DE" w:rsidP="00E33F84">
            <w:pPr>
              <w:pStyle w:val="TAL"/>
            </w:pPr>
          </w:p>
        </w:tc>
        <w:tc>
          <w:tcPr>
            <w:tcW w:w="2389" w:type="dxa"/>
          </w:tcPr>
          <w:p w14:paraId="2C8BEC58" w14:textId="77777777" w:rsidR="003A71DE" w:rsidRPr="007654EC" w:rsidRDefault="003A71DE" w:rsidP="00E33F84">
            <w:pPr>
              <w:pStyle w:val="TAL"/>
            </w:pPr>
            <w:r w:rsidRPr="007654EC">
              <w:t>resourceMapping</w:t>
            </w:r>
          </w:p>
          <w:p w14:paraId="0EF6C762" w14:textId="77777777" w:rsidR="003A71DE" w:rsidRPr="007654EC" w:rsidRDefault="003A71DE" w:rsidP="00E33F84">
            <w:pPr>
              <w:pStyle w:val="TAL"/>
            </w:pPr>
            <w:r w:rsidRPr="007654EC">
              <w:t>startPosition</w:t>
            </w:r>
          </w:p>
        </w:tc>
        <w:tc>
          <w:tcPr>
            <w:tcW w:w="1816" w:type="dxa"/>
          </w:tcPr>
          <w:p w14:paraId="2C4BC528" w14:textId="77777777" w:rsidR="003A71DE" w:rsidRPr="007654EC" w:rsidRDefault="003A71DE" w:rsidP="00E33F84">
            <w:pPr>
              <w:pStyle w:val="TAL"/>
              <w:rPr>
                <w:rFonts w:cs="Arial"/>
                <w:szCs w:val="18"/>
              </w:rPr>
            </w:pPr>
            <w:r w:rsidRPr="007654EC">
              <w:rPr>
                <w:rFonts w:cs="Arial"/>
                <w:szCs w:val="18"/>
              </w:rPr>
              <w:t>0</w:t>
            </w:r>
          </w:p>
        </w:tc>
        <w:tc>
          <w:tcPr>
            <w:tcW w:w="1305" w:type="dxa"/>
          </w:tcPr>
          <w:p w14:paraId="71D75F1A" w14:textId="77777777" w:rsidR="003A71DE" w:rsidRPr="007654EC" w:rsidRDefault="003A71DE" w:rsidP="00E33F84">
            <w:pPr>
              <w:pStyle w:val="TAL"/>
              <w:rPr>
                <w:rFonts w:cs="Arial"/>
                <w:szCs w:val="18"/>
              </w:rPr>
            </w:pPr>
          </w:p>
        </w:tc>
      </w:tr>
      <w:tr w:rsidR="003A71DE" w:rsidRPr="007654EC" w14:paraId="3443B303" w14:textId="77777777" w:rsidTr="003A71DE">
        <w:trPr>
          <w:jc w:val="center"/>
        </w:trPr>
        <w:tc>
          <w:tcPr>
            <w:tcW w:w="1340" w:type="dxa"/>
            <w:vMerge/>
          </w:tcPr>
          <w:p w14:paraId="35F3C085" w14:textId="77777777" w:rsidR="003A71DE" w:rsidRPr="007654EC" w:rsidRDefault="003A71DE" w:rsidP="00E33F84">
            <w:pPr>
              <w:pStyle w:val="TAL"/>
            </w:pPr>
          </w:p>
        </w:tc>
        <w:tc>
          <w:tcPr>
            <w:tcW w:w="2389" w:type="dxa"/>
          </w:tcPr>
          <w:p w14:paraId="632D769F" w14:textId="77777777" w:rsidR="003A71DE" w:rsidRPr="007654EC" w:rsidRDefault="003A71DE" w:rsidP="00E33F84">
            <w:pPr>
              <w:pStyle w:val="TAL"/>
            </w:pPr>
            <w:r w:rsidRPr="007654EC">
              <w:t>resourceMapping</w:t>
            </w:r>
          </w:p>
          <w:p w14:paraId="622C9677" w14:textId="77777777" w:rsidR="003A71DE" w:rsidRPr="007654EC" w:rsidRDefault="003A71DE" w:rsidP="00E33F84">
            <w:pPr>
              <w:pStyle w:val="TAL"/>
            </w:pPr>
            <w:r w:rsidRPr="007654EC">
              <w:t>nrofSymbols</w:t>
            </w:r>
            <w:r w:rsidRPr="007654EC">
              <w:tab/>
            </w:r>
          </w:p>
        </w:tc>
        <w:tc>
          <w:tcPr>
            <w:tcW w:w="1816" w:type="dxa"/>
          </w:tcPr>
          <w:p w14:paraId="639531DD" w14:textId="77777777" w:rsidR="003A71DE" w:rsidRPr="007654EC" w:rsidRDefault="003A71DE" w:rsidP="00E33F84">
            <w:pPr>
              <w:pStyle w:val="TAL"/>
              <w:rPr>
                <w:rFonts w:cs="Arial"/>
                <w:szCs w:val="18"/>
              </w:rPr>
            </w:pPr>
            <w:r w:rsidRPr="007654EC">
              <w:rPr>
                <w:rFonts w:cs="Arial"/>
                <w:szCs w:val="18"/>
              </w:rPr>
              <w:t>n1</w:t>
            </w:r>
          </w:p>
        </w:tc>
        <w:tc>
          <w:tcPr>
            <w:tcW w:w="1305" w:type="dxa"/>
          </w:tcPr>
          <w:p w14:paraId="6DA6D4EE" w14:textId="77777777" w:rsidR="003A71DE" w:rsidRPr="007654EC" w:rsidRDefault="003A71DE" w:rsidP="00E33F84">
            <w:pPr>
              <w:pStyle w:val="TAL"/>
              <w:rPr>
                <w:rFonts w:cs="Arial"/>
                <w:szCs w:val="18"/>
              </w:rPr>
            </w:pPr>
          </w:p>
        </w:tc>
      </w:tr>
      <w:tr w:rsidR="003A71DE" w:rsidRPr="007654EC" w14:paraId="140B6C9B" w14:textId="77777777" w:rsidTr="003A71DE">
        <w:trPr>
          <w:jc w:val="center"/>
        </w:trPr>
        <w:tc>
          <w:tcPr>
            <w:tcW w:w="1340" w:type="dxa"/>
            <w:vMerge/>
          </w:tcPr>
          <w:p w14:paraId="24373A01" w14:textId="77777777" w:rsidR="003A71DE" w:rsidRPr="007654EC" w:rsidRDefault="003A71DE" w:rsidP="00E33F84">
            <w:pPr>
              <w:pStyle w:val="TAL"/>
            </w:pPr>
          </w:p>
        </w:tc>
        <w:tc>
          <w:tcPr>
            <w:tcW w:w="2389" w:type="dxa"/>
          </w:tcPr>
          <w:p w14:paraId="75B90FE0" w14:textId="77777777" w:rsidR="003A71DE" w:rsidRPr="007654EC" w:rsidRDefault="003A71DE" w:rsidP="00E33F84">
            <w:pPr>
              <w:pStyle w:val="TAL"/>
            </w:pPr>
            <w:r w:rsidRPr="007654EC">
              <w:t>resourceMapping</w:t>
            </w:r>
          </w:p>
          <w:p w14:paraId="57A30A92" w14:textId="77777777" w:rsidR="003A71DE" w:rsidRPr="007654EC" w:rsidRDefault="003A71DE" w:rsidP="00E33F84">
            <w:pPr>
              <w:pStyle w:val="TAL"/>
            </w:pPr>
            <w:r w:rsidRPr="007654EC">
              <w:t>repetitionFactor</w:t>
            </w:r>
          </w:p>
        </w:tc>
        <w:tc>
          <w:tcPr>
            <w:tcW w:w="1816" w:type="dxa"/>
          </w:tcPr>
          <w:p w14:paraId="24D9692B" w14:textId="77777777" w:rsidR="003A71DE" w:rsidRPr="007654EC" w:rsidRDefault="003A71DE" w:rsidP="00E33F84">
            <w:pPr>
              <w:pStyle w:val="TAL"/>
              <w:rPr>
                <w:rFonts w:cs="Arial"/>
                <w:szCs w:val="18"/>
              </w:rPr>
            </w:pPr>
            <w:r w:rsidRPr="007654EC">
              <w:rPr>
                <w:rFonts w:cs="Arial"/>
                <w:szCs w:val="18"/>
              </w:rPr>
              <w:t>n1</w:t>
            </w:r>
          </w:p>
        </w:tc>
        <w:tc>
          <w:tcPr>
            <w:tcW w:w="1305" w:type="dxa"/>
          </w:tcPr>
          <w:p w14:paraId="43A46033" w14:textId="77777777" w:rsidR="003A71DE" w:rsidRPr="007654EC" w:rsidRDefault="003A71DE" w:rsidP="00E33F84">
            <w:pPr>
              <w:pStyle w:val="TAL"/>
              <w:rPr>
                <w:rFonts w:cs="Arial"/>
                <w:szCs w:val="18"/>
              </w:rPr>
            </w:pPr>
          </w:p>
        </w:tc>
      </w:tr>
      <w:tr w:rsidR="003A71DE" w:rsidRPr="007654EC" w14:paraId="02F90242" w14:textId="77777777" w:rsidTr="003A71DE">
        <w:trPr>
          <w:jc w:val="center"/>
        </w:trPr>
        <w:tc>
          <w:tcPr>
            <w:tcW w:w="1340" w:type="dxa"/>
            <w:vMerge/>
          </w:tcPr>
          <w:p w14:paraId="15523540" w14:textId="77777777" w:rsidR="003A71DE" w:rsidRPr="007654EC" w:rsidRDefault="003A71DE" w:rsidP="00E33F84">
            <w:pPr>
              <w:pStyle w:val="TAL"/>
            </w:pPr>
          </w:p>
        </w:tc>
        <w:tc>
          <w:tcPr>
            <w:tcW w:w="2389" w:type="dxa"/>
          </w:tcPr>
          <w:p w14:paraId="0DD1A1E8" w14:textId="77777777" w:rsidR="003A71DE" w:rsidRPr="007654EC" w:rsidRDefault="003A71DE" w:rsidP="00E33F84">
            <w:pPr>
              <w:pStyle w:val="TAL"/>
            </w:pPr>
            <w:r w:rsidRPr="007654EC">
              <w:t>freqDomainPosition</w:t>
            </w:r>
          </w:p>
        </w:tc>
        <w:tc>
          <w:tcPr>
            <w:tcW w:w="1816" w:type="dxa"/>
          </w:tcPr>
          <w:p w14:paraId="3E3D09F6" w14:textId="77777777" w:rsidR="003A71DE" w:rsidRPr="007654EC" w:rsidRDefault="003A71DE" w:rsidP="00E33F84">
            <w:pPr>
              <w:pStyle w:val="TAL"/>
              <w:rPr>
                <w:rFonts w:cs="Arial"/>
                <w:szCs w:val="18"/>
              </w:rPr>
            </w:pPr>
            <w:r w:rsidRPr="007654EC">
              <w:rPr>
                <w:rFonts w:cs="Arial"/>
                <w:szCs w:val="18"/>
              </w:rPr>
              <w:t>0</w:t>
            </w:r>
          </w:p>
        </w:tc>
        <w:tc>
          <w:tcPr>
            <w:tcW w:w="1305" w:type="dxa"/>
          </w:tcPr>
          <w:p w14:paraId="46B4038D" w14:textId="77777777" w:rsidR="003A71DE" w:rsidRPr="007654EC" w:rsidRDefault="003A71DE" w:rsidP="00E33F84">
            <w:pPr>
              <w:pStyle w:val="TAL"/>
              <w:rPr>
                <w:rFonts w:cs="Arial"/>
                <w:szCs w:val="18"/>
              </w:rPr>
            </w:pPr>
          </w:p>
        </w:tc>
      </w:tr>
      <w:tr w:rsidR="003A71DE" w:rsidRPr="007654EC" w14:paraId="703D44FD" w14:textId="77777777" w:rsidTr="003A71DE">
        <w:trPr>
          <w:jc w:val="center"/>
        </w:trPr>
        <w:tc>
          <w:tcPr>
            <w:tcW w:w="1340" w:type="dxa"/>
            <w:vMerge/>
          </w:tcPr>
          <w:p w14:paraId="25D83CC6" w14:textId="77777777" w:rsidR="003A71DE" w:rsidRPr="007654EC" w:rsidRDefault="003A71DE" w:rsidP="00E33F84">
            <w:pPr>
              <w:pStyle w:val="TAL"/>
            </w:pPr>
          </w:p>
        </w:tc>
        <w:tc>
          <w:tcPr>
            <w:tcW w:w="2389" w:type="dxa"/>
          </w:tcPr>
          <w:p w14:paraId="73A04482" w14:textId="77777777" w:rsidR="003A71DE" w:rsidRPr="007654EC" w:rsidRDefault="003A71DE" w:rsidP="00E33F84">
            <w:pPr>
              <w:pStyle w:val="TAL"/>
            </w:pPr>
            <w:r w:rsidRPr="007654EC">
              <w:t>freqDomainShift</w:t>
            </w:r>
          </w:p>
        </w:tc>
        <w:tc>
          <w:tcPr>
            <w:tcW w:w="1816" w:type="dxa"/>
          </w:tcPr>
          <w:p w14:paraId="66711221" w14:textId="77777777" w:rsidR="003A71DE" w:rsidRPr="007654EC" w:rsidRDefault="003A71DE" w:rsidP="00E33F84">
            <w:pPr>
              <w:pStyle w:val="TAL"/>
              <w:rPr>
                <w:rFonts w:cs="Arial"/>
                <w:szCs w:val="18"/>
              </w:rPr>
            </w:pPr>
            <w:r w:rsidRPr="007654EC">
              <w:rPr>
                <w:rFonts w:cs="Arial"/>
                <w:szCs w:val="18"/>
              </w:rPr>
              <w:t>0</w:t>
            </w:r>
          </w:p>
        </w:tc>
        <w:tc>
          <w:tcPr>
            <w:tcW w:w="1305" w:type="dxa"/>
          </w:tcPr>
          <w:p w14:paraId="1AD17334" w14:textId="77777777" w:rsidR="003A71DE" w:rsidRPr="007654EC" w:rsidRDefault="003A71DE" w:rsidP="00E33F84">
            <w:pPr>
              <w:pStyle w:val="TAL"/>
              <w:rPr>
                <w:rFonts w:cs="Arial"/>
                <w:szCs w:val="18"/>
              </w:rPr>
            </w:pPr>
          </w:p>
        </w:tc>
      </w:tr>
      <w:tr w:rsidR="003A71DE" w:rsidRPr="007654EC" w14:paraId="0C1799C8" w14:textId="77777777" w:rsidTr="003A71DE">
        <w:trPr>
          <w:jc w:val="center"/>
        </w:trPr>
        <w:tc>
          <w:tcPr>
            <w:tcW w:w="1340" w:type="dxa"/>
            <w:vMerge/>
          </w:tcPr>
          <w:p w14:paraId="798C9977" w14:textId="77777777" w:rsidR="003A71DE" w:rsidRPr="007654EC" w:rsidRDefault="003A71DE" w:rsidP="00E33F84">
            <w:pPr>
              <w:pStyle w:val="TAL"/>
            </w:pPr>
          </w:p>
        </w:tc>
        <w:tc>
          <w:tcPr>
            <w:tcW w:w="2389" w:type="dxa"/>
          </w:tcPr>
          <w:p w14:paraId="21E8584D" w14:textId="77777777" w:rsidR="003A71DE" w:rsidRPr="007654EC" w:rsidRDefault="003A71DE" w:rsidP="00E33F84">
            <w:pPr>
              <w:pStyle w:val="TAL"/>
            </w:pPr>
            <w:r w:rsidRPr="007654EC">
              <w:t>freqHopping</w:t>
            </w:r>
          </w:p>
          <w:p w14:paraId="6990555E" w14:textId="77777777" w:rsidR="003A71DE" w:rsidRPr="007654EC" w:rsidRDefault="003A71DE" w:rsidP="00E33F84">
            <w:pPr>
              <w:pStyle w:val="TAL"/>
            </w:pPr>
            <w:r w:rsidRPr="007654EC">
              <w:t>c-SRS</w:t>
            </w:r>
          </w:p>
        </w:tc>
        <w:tc>
          <w:tcPr>
            <w:tcW w:w="1816" w:type="dxa"/>
          </w:tcPr>
          <w:p w14:paraId="6127D75B" w14:textId="77777777" w:rsidR="003A71DE" w:rsidRPr="007654EC" w:rsidRDefault="003A71DE" w:rsidP="00E33F84">
            <w:pPr>
              <w:pStyle w:val="TAL"/>
              <w:rPr>
                <w:rFonts w:cs="Arial"/>
                <w:szCs w:val="18"/>
              </w:rPr>
            </w:pPr>
            <w:r w:rsidRPr="007654EC">
              <w:rPr>
                <w:rFonts w:cs="Arial"/>
                <w:szCs w:val="18"/>
              </w:rPr>
              <w:t>14 for test configuration 1,2</w:t>
            </w:r>
          </w:p>
          <w:p w14:paraId="507DA097" w14:textId="77777777" w:rsidR="003A71DE" w:rsidRPr="007654EC" w:rsidRDefault="003A71DE" w:rsidP="00E33F84">
            <w:pPr>
              <w:pStyle w:val="TAL"/>
              <w:rPr>
                <w:rFonts w:cs="Arial"/>
                <w:szCs w:val="18"/>
              </w:rPr>
            </w:pPr>
            <w:r w:rsidRPr="007654EC">
              <w:rPr>
                <w:rFonts w:cs="Arial"/>
                <w:szCs w:val="18"/>
              </w:rPr>
              <w:t>25 for test configuration 3</w:t>
            </w:r>
          </w:p>
        </w:tc>
        <w:tc>
          <w:tcPr>
            <w:tcW w:w="1305" w:type="dxa"/>
          </w:tcPr>
          <w:p w14:paraId="7E869539" w14:textId="77777777" w:rsidR="003A71DE" w:rsidRPr="007654EC" w:rsidRDefault="003A71DE" w:rsidP="00E33F84">
            <w:pPr>
              <w:pStyle w:val="TAL"/>
              <w:rPr>
                <w:rFonts w:cs="Arial"/>
                <w:szCs w:val="18"/>
              </w:rPr>
            </w:pPr>
            <w:r w:rsidRPr="007654EC">
              <w:rPr>
                <w:rFonts w:cs="Arial"/>
                <w:szCs w:val="18"/>
              </w:rPr>
              <w:t>Matches N</w:t>
            </w:r>
            <w:r w:rsidRPr="007654EC">
              <w:rPr>
                <w:rFonts w:cs="Arial"/>
                <w:szCs w:val="18"/>
                <w:vertAlign w:val="subscript"/>
              </w:rPr>
              <w:t>RB,c</w:t>
            </w:r>
          </w:p>
        </w:tc>
      </w:tr>
      <w:tr w:rsidR="003A71DE" w:rsidRPr="007654EC" w14:paraId="68BDE8AB" w14:textId="77777777" w:rsidTr="003A71DE">
        <w:trPr>
          <w:jc w:val="center"/>
        </w:trPr>
        <w:tc>
          <w:tcPr>
            <w:tcW w:w="1340" w:type="dxa"/>
            <w:vMerge/>
          </w:tcPr>
          <w:p w14:paraId="00733AB1" w14:textId="77777777" w:rsidR="003A71DE" w:rsidRPr="007654EC" w:rsidRDefault="003A71DE" w:rsidP="00E33F84">
            <w:pPr>
              <w:pStyle w:val="TAL"/>
            </w:pPr>
          </w:p>
        </w:tc>
        <w:tc>
          <w:tcPr>
            <w:tcW w:w="2389" w:type="dxa"/>
          </w:tcPr>
          <w:p w14:paraId="5F9F5225" w14:textId="77777777" w:rsidR="003A71DE" w:rsidRPr="007654EC" w:rsidRDefault="003A71DE" w:rsidP="00E33F84">
            <w:pPr>
              <w:pStyle w:val="TAL"/>
            </w:pPr>
            <w:r w:rsidRPr="007654EC">
              <w:t>freqHopping</w:t>
            </w:r>
          </w:p>
          <w:p w14:paraId="7E1F37F8" w14:textId="77777777" w:rsidR="003A71DE" w:rsidRPr="007654EC" w:rsidRDefault="003A71DE" w:rsidP="00E33F84">
            <w:pPr>
              <w:pStyle w:val="TAL"/>
            </w:pPr>
            <w:r w:rsidRPr="007654EC">
              <w:t>b-SRS</w:t>
            </w:r>
          </w:p>
        </w:tc>
        <w:tc>
          <w:tcPr>
            <w:tcW w:w="1816" w:type="dxa"/>
          </w:tcPr>
          <w:p w14:paraId="0EB32B4B" w14:textId="77777777" w:rsidR="003A71DE" w:rsidRPr="007654EC" w:rsidRDefault="003A71DE" w:rsidP="00E33F84">
            <w:pPr>
              <w:pStyle w:val="TAL"/>
              <w:rPr>
                <w:rFonts w:cs="Arial"/>
                <w:szCs w:val="18"/>
              </w:rPr>
            </w:pPr>
            <w:r w:rsidRPr="007654EC">
              <w:rPr>
                <w:rFonts w:cs="Arial"/>
                <w:szCs w:val="18"/>
              </w:rPr>
              <w:t>0</w:t>
            </w:r>
          </w:p>
        </w:tc>
        <w:tc>
          <w:tcPr>
            <w:tcW w:w="1305" w:type="dxa"/>
          </w:tcPr>
          <w:p w14:paraId="0A909C03" w14:textId="77777777" w:rsidR="003A71DE" w:rsidRPr="007654EC" w:rsidRDefault="003A71DE" w:rsidP="00E33F84">
            <w:pPr>
              <w:pStyle w:val="TAL"/>
              <w:rPr>
                <w:rFonts w:cs="Arial"/>
                <w:szCs w:val="18"/>
              </w:rPr>
            </w:pPr>
          </w:p>
        </w:tc>
      </w:tr>
      <w:tr w:rsidR="003A71DE" w:rsidRPr="007654EC" w14:paraId="67B0D5F8" w14:textId="77777777" w:rsidTr="003A71DE">
        <w:trPr>
          <w:jc w:val="center"/>
        </w:trPr>
        <w:tc>
          <w:tcPr>
            <w:tcW w:w="1340" w:type="dxa"/>
            <w:vMerge/>
          </w:tcPr>
          <w:p w14:paraId="5893D032" w14:textId="77777777" w:rsidR="003A71DE" w:rsidRPr="007654EC" w:rsidRDefault="003A71DE" w:rsidP="00E33F84">
            <w:pPr>
              <w:pStyle w:val="TAL"/>
            </w:pPr>
          </w:p>
        </w:tc>
        <w:tc>
          <w:tcPr>
            <w:tcW w:w="2389" w:type="dxa"/>
          </w:tcPr>
          <w:p w14:paraId="39A6F378" w14:textId="77777777" w:rsidR="003A71DE" w:rsidRPr="007654EC" w:rsidRDefault="003A71DE" w:rsidP="00E33F84">
            <w:pPr>
              <w:pStyle w:val="TAL"/>
            </w:pPr>
            <w:r w:rsidRPr="007654EC">
              <w:t>freqHopping</w:t>
            </w:r>
          </w:p>
          <w:p w14:paraId="54D70C3F" w14:textId="77777777" w:rsidR="003A71DE" w:rsidRPr="007654EC" w:rsidRDefault="003A71DE" w:rsidP="00E33F84">
            <w:pPr>
              <w:pStyle w:val="TAL"/>
            </w:pPr>
            <w:r w:rsidRPr="007654EC">
              <w:t>b-hop</w:t>
            </w:r>
          </w:p>
        </w:tc>
        <w:tc>
          <w:tcPr>
            <w:tcW w:w="1816" w:type="dxa"/>
          </w:tcPr>
          <w:p w14:paraId="58FDBBEE" w14:textId="77777777" w:rsidR="003A71DE" w:rsidRPr="007654EC" w:rsidRDefault="003A71DE" w:rsidP="00E33F84">
            <w:pPr>
              <w:pStyle w:val="TAL"/>
              <w:rPr>
                <w:rFonts w:cs="Arial"/>
                <w:szCs w:val="18"/>
              </w:rPr>
            </w:pPr>
            <w:r w:rsidRPr="007654EC">
              <w:rPr>
                <w:rFonts w:cs="Arial"/>
                <w:szCs w:val="18"/>
              </w:rPr>
              <w:t>0</w:t>
            </w:r>
          </w:p>
        </w:tc>
        <w:tc>
          <w:tcPr>
            <w:tcW w:w="1305" w:type="dxa"/>
          </w:tcPr>
          <w:p w14:paraId="191F7AA5" w14:textId="77777777" w:rsidR="003A71DE" w:rsidRPr="007654EC" w:rsidRDefault="003A71DE" w:rsidP="00E33F84">
            <w:pPr>
              <w:pStyle w:val="TAL"/>
              <w:rPr>
                <w:rFonts w:cs="Arial"/>
                <w:szCs w:val="18"/>
              </w:rPr>
            </w:pPr>
          </w:p>
        </w:tc>
      </w:tr>
      <w:tr w:rsidR="003A71DE" w:rsidRPr="007654EC" w14:paraId="0E8669E8" w14:textId="77777777" w:rsidTr="003A71DE">
        <w:trPr>
          <w:jc w:val="center"/>
        </w:trPr>
        <w:tc>
          <w:tcPr>
            <w:tcW w:w="1340" w:type="dxa"/>
            <w:vMerge/>
          </w:tcPr>
          <w:p w14:paraId="060D769F" w14:textId="77777777" w:rsidR="003A71DE" w:rsidRPr="007654EC" w:rsidRDefault="003A71DE" w:rsidP="00E33F84">
            <w:pPr>
              <w:pStyle w:val="TAL"/>
            </w:pPr>
          </w:p>
        </w:tc>
        <w:tc>
          <w:tcPr>
            <w:tcW w:w="2389" w:type="dxa"/>
          </w:tcPr>
          <w:p w14:paraId="4D8C57FA" w14:textId="77777777" w:rsidR="003A71DE" w:rsidRPr="007654EC" w:rsidRDefault="003A71DE" w:rsidP="00E33F84">
            <w:pPr>
              <w:pStyle w:val="TAL"/>
            </w:pPr>
            <w:r w:rsidRPr="007654EC">
              <w:t>groupOr</w:t>
            </w:r>
            <w:r w:rsidRPr="007654EC">
              <w:rPr>
                <w:rFonts w:hint="eastAsia"/>
                <w:lang w:eastAsia="zh-CN"/>
              </w:rPr>
              <w:t>Sequence</w:t>
            </w:r>
            <w:r w:rsidRPr="007654EC">
              <w:t>Hopping</w:t>
            </w:r>
          </w:p>
        </w:tc>
        <w:tc>
          <w:tcPr>
            <w:tcW w:w="1816" w:type="dxa"/>
          </w:tcPr>
          <w:p w14:paraId="1C17DDBA" w14:textId="77777777" w:rsidR="003A71DE" w:rsidRPr="007654EC" w:rsidRDefault="003A71DE" w:rsidP="00E33F84">
            <w:pPr>
              <w:pStyle w:val="TAL"/>
              <w:rPr>
                <w:rFonts w:cs="Arial"/>
                <w:szCs w:val="18"/>
              </w:rPr>
            </w:pPr>
            <w:r w:rsidRPr="007654EC">
              <w:rPr>
                <w:rFonts w:cs="Arial"/>
                <w:szCs w:val="18"/>
              </w:rPr>
              <w:t>Neither</w:t>
            </w:r>
          </w:p>
        </w:tc>
        <w:tc>
          <w:tcPr>
            <w:tcW w:w="1305" w:type="dxa"/>
          </w:tcPr>
          <w:p w14:paraId="5AA1DC1F" w14:textId="77777777" w:rsidR="003A71DE" w:rsidRPr="007654EC" w:rsidRDefault="003A71DE" w:rsidP="00E33F84">
            <w:pPr>
              <w:pStyle w:val="TAL"/>
              <w:rPr>
                <w:rFonts w:cs="Arial"/>
                <w:szCs w:val="18"/>
              </w:rPr>
            </w:pPr>
          </w:p>
        </w:tc>
      </w:tr>
      <w:tr w:rsidR="003A71DE" w:rsidRPr="007654EC" w14:paraId="65BC112F" w14:textId="77777777" w:rsidTr="003A71DE">
        <w:trPr>
          <w:jc w:val="center"/>
        </w:trPr>
        <w:tc>
          <w:tcPr>
            <w:tcW w:w="1340" w:type="dxa"/>
            <w:vMerge/>
          </w:tcPr>
          <w:p w14:paraId="5599982F" w14:textId="77777777" w:rsidR="003A71DE" w:rsidRPr="007654EC" w:rsidRDefault="003A71DE" w:rsidP="00E33F84">
            <w:pPr>
              <w:pStyle w:val="TAL"/>
            </w:pPr>
          </w:p>
        </w:tc>
        <w:tc>
          <w:tcPr>
            <w:tcW w:w="2389" w:type="dxa"/>
          </w:tcPr>
          <w:p w14:paraId="0070380B" w14:textId="77777777" w:rsidR="003A71DE" w:rsidRPr="007654EC" w:rsidRDefault="003A71DE" w:rsidP="00E33F84">
            <w:pPr>
              <w:pStyle w:val="TAL"/>
            </w:pPr>
            <w:r w:rsidRPr="007654EC">
              <w:t>resourceType</w:t>
            </w:r>
          </w:p>
        </w:tc>
        <w:tc>
          <w:tcPr>
            <w:tcW w:w="1816" w:type="dxa"/>
          </w:tcPr>
          <w:p w14:paraId="6C229FDC" w14:textId="77777777" w:rsidR="003A71DE" w:rsidRPr="007654EC" w:rsidRDefault="003A71DE" w:rsidP="00E33F84">
            <w:pPr>
              <w:pStyle w:val="TAL"/>
              <w:rPr>
                <w:rFonts w:cs="Arial"/>
                <w:szCs w:val="18"/>
              </w:rPr>
            </w:pPr>
            <w:r w:rsidRPr="007654EC">
              <w:rPr>
                <w:rFonts w:cs="Arial"/>
                <w:szCs w:val="18"/>
              </w:rPr>
              <w:t>Periodic</w:t>
            </w:r>
          </w:p>
        </w:tc>
        <w:tc>
          <w:tcPr>
            <w:tcW w:w="1305" w:type="dxa"/>
          </w:tcPr>
          <w:p w14:paraId="075BBF07" w14:textId="77777777" w:rsidR="003A71DE" w:rsidRPr="007654EC" w:rsidRDefault="003A71DE" w:rsidP="00E33F84">
            <w:pPr>
              <w:pStyle w:val="TAL"/>
              <w:rPr>
                <w:rFonts w:cs="Arial"/>
                <w:szCs w:val="18"/>
              </w:rPr>
            </w:pPr>
          </w:p>
        </w:tc>
      </w:tr>
      <w:tr w:rsidR="003A71DE" w:rsidRPr="007654EC" w14:paraId="67DA42CA" w14:textId="77777777" w:rsidTr="003A71DE">
        <w:trPr>
          <w:jc w:val="center"/>
        </w:trPr>
        <w:tc>
          <w:tcPr>
            <w:tcW w:w="1340" w:type="dxa"/>
            <w:vMerge/>
          </w:tcPr>
          <w:p w14:paraId="7AEC2744" w14:textId="77777777" w:rsidR="003A71DE" w:rsidRPr="007654EC" w:rsidRDefault="003A71DE" w:rsidP="00E33F84">
            <w:pPr>
              <w:pStyle w:val="TAL"/>
            </w:pPr>
          </w:p>
        </w:tc>
        <w:tc>
          <w:tcPr>
            <w:tcW w:w="2389" w:type="dxa"/>
          </w:tcPr>
          <w:p w14:paraId="50AB4AD2" w14:textId="77777777" w:rsidR="003A71DE" w:rsidRPr="007654EC" w:rsidRDefault="003A71DE" w:rsidP="00E33F84">
            <w:pPr>
              <w:pStyle w:val="TAL"/>
            </w:pPr>
            <w:r w:rsidRPr="007654EC">
              <w:t>periodicityAndOffset-p</w:t>
            </w:r>
          </w:p>
        </w:tc>
        <w:tc>
          <w:tcPr>
            <w:tcW w:w="1816" w:type="dxa"/>
          </w:tcPr>
          <w:p w14:paraId="56624283" w14:textId="77777777" w:rsidR="003A71DE" w:rsidRPr="007654EC" w:rsidRDefault="003A71DE" w:rsidP="00E33F84">
            <w:pPr>
              <w:pStyle w:val="TAL"/>
              <w:rPr>
                <w:rFonts w:cs="Arial"/>
                <w:szCs w:val="18"/>
                <w:lang w:eastAsia="zh-CN"/>
              </w:rPr>
            </w:pPr>
            <w:r w:rsidRPr="007654EC">
              <w:rPr>
                <w:rFonts w:cs="Arial"/>
                <w:szCs w:val="18"/>
              </w:rPr>
              <w:t>sl1</w:t>
            </w:r>
            <w:r w:rsidRPr="007654EC">
              <w:rPr>
                <w:rFonts w:cs="Arial"/>
                <w:szCs w:val="18"/>
                <w:lang w:eastAsia="zh-CN"/>
              </w:rPr>
              <w:t>, 0</w:t>
            </w:r>
          </w:p>
        </w:tc>
        <w:tc>
          <w:tcPr>
            <w:tcW w:w="1305" w:type="dxa"/>
          </w:tcPr>
          <w:p w14:paraId="129E8ED5" w14:textId="77777777" w:rsidR="003A71DE" w:rsidRPr="007654EC" w:rsidRDefault="003A71DE" w:rsidP="00E33F84">
            <w:pPr>
              <w:pStyle w:val="TAL"/>
              <w:rPr>
                <w:rFonts w:cs="Arial"/>
                <w:szCs w:val="18"/>
              </w:rPr>
            </w:pPr>
            <w:r w:rsidRPr="007654EC">
              <w:rPr>
                <w:rFonts w:cs="Arial"/>
                <w:szCs w:val="18"/>
              </w:rPr>
              <w:t xml:space="preserve"> </w:t>
            </w:r>
          </w:p>
        </w:tc>
      </w:tr>
      <w:tr w:rsidR="003A71DE" w:rsidRPr="007654EC" w14:paraId="63565459" w14:textId="77777777" w:rsidTr="003A71DE">
        <w:trPr>
          <w:jc w:val="center"/>
        </w:trPr>
        <w:tc>
          <w:tcPr>
            <w:tcW w:w="1340" w:type="dxa"/>
            <w:vMerge/>
          </w:tcPr>
          <w:p w14:paraId="3B412F2D" w14:textId="77777777" w:rsidR="003A71DE" w:rsidRPr="007654EC" w:rsidRDefault="003A71DE" w:rsidP="00E33F84">
            <w:pPr>
              <w:pStyle w:val="TAL"/>
            </w:pPr>
          </w:p>
        </w:tc>
        <w:tc>
          <w:tcPr>
            <w:tcW w:w="2389" w:type="dxa"/>
          </w:tcPr>
          <w:p w14:paraId="4EBBAB7C" w14:textId="77777777" w:rsidR="003A71DE" w:rsidRPr="007654EC" w:rsidRDefault="003A71DE" w:rsidP="00E33F84">
            <w:pPr>
              <w:pStyle w:val="TAL"/>
            </w:pPr>
            <w:r w:rsidRPr="007654EC">
              <w:t>seq</w:t>
            </w:r>
            <w:r w:rsidRPr="007654EC">
              <w:rPr>
                <w:rFonts w:hint="eastAsia"/>
                <w:lang w:val="en-US" w:eastAsia="zh-CN"/>
              </w:rPr>
              <w:t>ue</w:t>
            </w:r>
            <w:r w:rsidRPr="007654EC">
              <w:t>nceId</w:t>
            </w:r>
          </w:p>
        </w:tc>
        <w:tc>
          <w:tcPr>
            <w:tcW w:w="1816" w:type="dxa"/>
          </w:tcPr>
          <w:p w14:paraId="10AEA198" w14:textId="77777777" w:rsidR="003A71DE" w:rsidRPr="007654EC" w:rsidRDefault="003A71DE" w:rsidP="00E33F84">
            <w:pPr>
              <w:pStyle w:val="TAL"/>
              <w:rPr>
                <w:rFonts w:cs="Arial"/>
                <w:szCs w:val="18"/>
              </w:rPr>
            </w:pPr>
            <w:r w:rsidRPr="007654EC">
              <w:rPr>
                <w:rFonts w:cs="Arial"/>
                <w:szCs w:val="18"/>
              </w:rPr>
              <w:t>0</w:t>
            </w:r>
          </w:p>
        </w:tc>
        <w:tc>
          <w:tcPr>
            <w:tcW w:w="1305" w:type="dxa"/>
          </w:tcPr>
          <w:p w14:paraId="167A0D20" w14:textId="77777777" w:rsidR="003A71DE" w:rsidRPr="007654EC" w:rsidRDefault="003A71DE" w:rsidP="00E33F84">
            <w:pPr>
              <w:pStyle w:val="TAL"/>
              <w:rPr>
                <w:rFonts w:cs="Arial"/>
                <w:szCs w:val="18"/>
              </w:rPr>
            </w:pPr>
            <w:r w:rsidRPr="007654EC">
              <w:rPr>
                <w:rFonts w:cs="Arial"/>
                <w:szCs w:val="18"/>
              </w:rPr>
              <w:t>Any 10 bit number</w:t>
            </w:r>
          </w:p>
        </w:tc>
      </w:tr>
    </w:tbl>
    <w:p w14:paraId="01EEBE5E" w14:textId="77777777" w:rsidR="003A71DE" w:rsidRPr="007654EC" w:rsidRDefault="003A71DE" w:rsidP="003A71DE">
      <w:pPr>
        <w:spacing w:line="259" w:lineRule="auto"/>
      </w:pPr>
    </w:p>
    <w:p w14:paraId="3F09BC11" w14:textId="77777777" w:rsidR="003A71DE" w:rsidRPr="007654EC" w:rsidRDefault="003A71DE" w:rsidP="00746C0D">
      <w:pPr>
        <w:pStyle w:val="H6"/>
      </w:pPr>
      <w:bookmarkStart w:id="10224" w:name="_Toc535476518"/>
      <w:r w:rsidRPr="007654EC">
        <w:rPr>
          <w:rFonts w:eastAsia="SimSun" w:hint="eastAsia"/>
          <w:lang w:eastAsia="zh-CN"/>
        </w:rPr>
        <w:t>G.2.2</w:t>
      </w:r>
      <w:r w:rsidRPr="007654EC">
        <w:t>.1.1.2</w:t>
      </w:r>
      <w:r w:rsidRPr="007654EC">
        <w:tab/>
        <w:t>Test requirements</w:t>
      </w:r>
      <w:bookmarkEnd w:id="10224"/>
    </w:p>
    <w:p w14:paraId="7380C08D" w14:textId="77777777" w:rsidR="003A71DE" w:rsidRPr="007654EC" w:rsidRDefault="003A71DE" w:rsidP="003A71DE">
      <w:pPr>
        <w:spacing w:line="259" w:lineRule="auto"/>
      </w:pPr>
      <w:r w:rsidRPr="007654EC">
        <w:t xml:space="preserve">The test </w:t>
      </w:r>
      <w:r w:rsidRPr="007654EC">
        <w:rPr>
          <w:rFonts w:eastAsia="SimSun" w:hint="eastAsia"/>
          <w:lang w:eastAsia="zh-CN"/>
        </w:rPr>
        <w:t>sequence</w:t>
      </w:r>
      <w:r w:rsidRPr="007654EC">
        <w:t xml:space="preserve"> shall be carried out in RRC_CONNECTED for every test case.</w:t>
      </w:r>
    </w:p>
    <w:p w14:paraId="2D67D30A" w14:textId="77777777" w:rsidR="003A71DE" w:rsidRPr="007654EC" w:rsidRDefault="003A71DE" w:rsidP="003A71DE">
      <w:pPr>
        <w:spacing w:line="259" w:lineRule="auto"/>
      </w:pPr>
      <w:r w:rsidRPr="007654EC">
        <w:t xml:space="preserve">Following will be the test </w:t>
      </w:r>
      <w:r w:rsidRPr="007654EC">
        <w:rPr>
          <w:rFonts w:eastAsia="SimSun" w:hint="eastAsia"/>
          <w:lang w:eastAsia="zh-CN"/>
        </w:rPr>
        <w:t>sequence</w:t>
      </w:r>
      <w:r w:rsidRPr="007654EC">
        <w:t xml:space="preserve"> for this test</w:t>
      </w:r>
    </w:p>
    <w:p w14:paraId="0317FD2E" w14:textId="77777777" w:rsidR="003A71DE" w:rsidRPr="007654EC" w:rsidRDefault="003A71DE" w:rsidP="003A71DE">
      <w:pPr>
        <w:spacing w:line="259" w:lineRule="auto"/>
        <w:ind w:left="568" w:hanging="284"/>
      </w:pPr>
      <w:r w:rsidRPr="007654EC">
        <w:t xml:space="preserve">1) Setup NR PCell according to parameters given in Table </w:t>
      </w:r>
      <w:r w:rsidRPr="007654EC">
        <w:rPr>
          <w:rFonts w:eastAsia="SimSun" w:hint="eastAsia"/>
          <w:lang w:eastAsia="zh-CN"/>
        </w:rPr>
        <w:t>G.2.2</w:t>
      </w:r>
      <w:r w:rsidRPr="007654EC">
        <w:t>.1.1.1-1.</w:t>
      </w:r>
    </w:p>
    <w:p w14:paraId="4A587952" w14:textId="77777777" w:rsidR="003A71DE" w:rsidRPr="007654EC" w:rsidRDefault="003A71DE" w:rsidP="003A71DE">
      <w:pPr>
        <w:spacing w:line="259" w:lineRule="auto"/>
        <w:ind w:left="568" w:hanging="284"/>
      </w:pPr>
      <w:r w:rsidRPr="007654EC">
        <w:t>2)</w:t>
      </w:r>
      <w:r w:rsidRPr="007654EC">
        <w:tab/>
        <w:t>After connection set up with the cell, the test equipment will verify that the timing of the NR cell is within (N</w:t>
      </w:r>
      <w:r w:rsidRPr="007654EC">
        <w:rPr>
          <w:vertAlign w:val="subscript"/>
        </w:rPr>
        <w:t>TA</w:t>
      </w:r>
      <w:r w:rsidRPr="007654EC">
        <w:t xml:space="preserve"> + N</w:t>
      </w:r>
      <w:r w:rsidRPr="007654EC">
        <w:rPr>
          <w:vertAlign w:val="subscript"/>
        </w:rPr>
        <w:t>TA_offset</w:t>
      </w:r>
      <w:r w:rsidRPr="007654EC">
        <w:t>) ×</w:t>
      </w:r>
      <w:r w:rsidRPr="007654EC">
        <w:rPr>
          <w:lang w:eastAsia="zh-CN"/>
        </w:rPr>
        <w:t>T</w:t>
      </w:r>
      <w:r w:rsidRPr="007654EC">
        <w:rPr>
          <w:vertAlign w:val="subscript"/>
          <w:lang w:eastAsia="zh-CN"/>
        </w:rPr>
        <w:t>c</w:t>
      </w:r>
      <w:r w:rsidRPr="007654EC">
        <w:t xml:space="preserve"> ± T</w:t>
      </w:r>
      <w:r w:rsidRPr="007654EC">
        <w:rPr>
          <w:vertAlign w:val="subscript"/>
        </w:rPr>
        <w:t>e</w:t>
      </w:r>
      <w:r w:rsidRPr="007654EC">
        <w:t xml:space="preserve"> of the first detected path of DL SSB.</w:t>
      </w:r>
    </w:p>
    <w:p w14:paraId="3F330DB1" w14:textId="77777777" w:rsidR="003A71DE" w:rsidRPr="007654EC" w:rsidRDefault="003A71DE" w:rsidP="003A71DE">
      <w:pPr>
        <w:spacing w:line="259" w:lineRule="auto"/>
        <w:ind w:left="1135" w:hanging="284"/>
      </w:pPr>
      <w:r w:rsidRPr="007654EC">
        <w:t>a.</w:t>
      </w:r>
      <w:r w:rsidRPr="007654EC">
        <w:tab/>
        <w:t>The N</w:t>
      </w:r>
      <w:r w:rsidRPr="007654EC">
        <w:rPr>
          <w:vertAlign w:val="subscript"/>
        </w:rPr>
        <w:t>TA</w:t>
      </w:r>
      <w:r w:rsidRPr="007654EC">
        <w:t xml:space="preserve"> offset </w:t>
      </w:r>
      <w:r w:rsidRPr="007654EC">
        <w:rPr>
          <w:rFonts w:eastAsia="SimSun" w:hint="eastAsia"/>
          <w:lang w:eastAsia="zh-CN"/>
        </w:rPr>
        <w:t>value</w:t>
      </w:r>
      <w:r w:rsidRPr="007654EC">
        <w:t xml:space="preserve"> (in T</w:t>
      </w:r>
      <w:r w:rsidRPr="007654EC">
        <w:rPr>
          <w:vertAlign w:val="subscript"/>
        </w:rPr>
        <w:t>c</w:t>
      </w:r>
      <w:r w:rsidRPr="007654EC">
        <w:t xml:space="preserve"> units) is 25600 </w:t>
      </w:r>
    </w:p>
    <w:p w14:paraId="24A1140C" w14:textId="77777777" w:rsidR="003A71DE" w:rsidRPr="007654EC" w:rsidRDefault="003A71DE" w:rsidP="003A71DE">
      <w:pPr>
        <w:spacing w:line="259" w:lineRule="auto"/>
        <w:ind w:left="1135" w:hanging="284"/>
      </w:pPr>
      <w:r w:rsidRPr="007654EC">
        <w:t>b.</w:t>
      </w:r>
      <w:r w:rsidRPr="007654EC">
        <w:tab/>
        <w:t>The T</w:t>
      </w:r>
      <w:r w:rsidRPr="007654EC">
        <w:rPr>
          <w:vertAlign w:val="subscript"/>
        </w:rPr>
        <w:t>e</w:t>
      </w:r>
      <w:r w:rsidRPr="007654EC">
        <w:t xml:space="preserve"> </w:t>
      </w:r>
      <w:r w:rsidRPr="007654EC">
        <w:rPr>
          <w:rFonts w:eastAsia="SimSun" w:hint="eastAsia"/>
          <w:lang w:eastAsia="zh-CN"/>
        </w:rPr>
        <w:t>value</w:t>
      </w:r>
      <w:r w:rsidRPr="007654EC">
        <w:t xml:space="preserve">s depend on the DL and UL SCS for which the test is being run and are given in Table </w:t>
      </w:r>
      <w:r w:rsidRPr="007654EC">
        <w:rPr>
          <w:rFonts w:eastAsia="SimSun" w:hint="eastAsia"/>
          <w:lang w:eastAsia="zh-CN"/>
        </w:rPr>
        <w:t>12.2.1.2</w:t>
      </w:r>
      <w:r w:rsidRPr="007654EC">
        <w:t>-1</w:t>
      </w:r>
    </w:p>
    <w:p w14:paraId="528AD48B" w14:textId="77777777" w:rsidR="003A71DE" w:rsidRPr="007654EC" w:rsidRDefault="003A71DE" w:rsidP="003A71DE">
      <w:pPr>
        <w:spacing w:line="259" w:lineRule="auto"/>
        <w:ind w:left="568" w:hanging="284"/>
      </w:pPr>
      <w:r w:rsidRPr="007654EC">
        <w:t>3)</w:t>
      </w:r>
      <w:r w:rsidRPr="007654EC">
        <w:tab/>
        <w:t xml:space="preserve">The test system shall adjust the timing of the DL path by </w:t>
      </w:r>
      <w:r w:rsidRPr="007654EC">
        <w:rPr>
          <w:rFonts w:eastAsia="SimSun" w:hint="eastAsia"/>
          <w:lang w:eastAsia="zh-CN"/>
        </w:rPr>
        <w:t>value</w:t>
      </w:r>
      <w:r w:rsidRPr="007654EC">
        <w:t xml:space="preserve">s given in Table </w:t>
      </w:r>
      <w:r w:rsidRPr="007654EC">
        <w:rPr>
          <w:rFonts w:eastAsia="SimSun" w:hint="eastAsia"/>
          <w:lang w:eastAsia="zh-CN"/>
        </w:rPr>
        <w:t>G.2.2</w:t>
      </w:r>
      <w:r w:rsidRPr="007654EC">
        <w:t>.1.1.2-1</w:t>
      </w:r>
    </w:p>
    <w:p w14:paraId="3308BD93" w14:textId="77777777" w:rsidR="003A71DE" w:rsidRPr="007654EC" w:rsidRDefault="003A71DE" w:rsidP="00746C0D">
      <w:pPr>
        <w:pStyle w:val="TH"/>
      </w:pPr>
      <w:r w:rsidRPr="007654EC">
        <w:lastRenderedPageBreak/>
        <w:t xml:space="preserve">Table </w:t>
      </w:r>
      <w:r w:rsidRPr="007654EC">
        <w:rPr>
          <w:rFonts w:eastAsia="SimSun" w:hint="eastAsia"/>
          <w:lang w:eastAsia="zh-CN"/>
        </w:rPr>
        <w:t>G.2.2</w:t>
      </w:r>
      <w:r w:rsidRPr="007654EC">
        <w:t>.1.1.2-1: Adjustment Val</w:t>
      </w:r>
      <w:r w:rsidRPr="007654EC">
        <w:rPr>
          <w:rFonts w:eastAsia="SimSun" w:hint="eastAsia"/>
          <w:lang w:val="en-US" w:eastAsia="zh-CN"/>
        </w:rPr>
        <w:t>ue</w:t>
      </w:r>
      <w:r w:rsidRPr="007654EC">
        <w:t xml:space="preserve"> for DL Timing</w:t>
      </w:r>
    </w:p>
    <w:tbl>
      <w:tblPr>
        <w:tblStyle w:val="TableGrid9"/>
        <w:tblW w:w="0" w:type="auto"/>
        <w:tblInd w:w="720" w:type="dxa"/>
        <w:tblLook w:val="04A0" w:firstRow="1" w:lastRow="0" w:firstColumn="1" w:lastColumn="0" w:noHBand="0" w:noVBand="1"/>
      </w:tblPr>
      <w:tblGrid>
        <w:gridCol w:w="4293"/>
        <w:gridCol w:w="4337"/>
      </w:tblGrid>
      <w:tr w:rsidR="003A71DE" w:rsidRPr="007654EC" w14:paraId="1444E5C6" w14:textId="77777777" w:rsidTr="003A71DE">
        <w:tc>
          <w:tcPr>
            <w:tcW w:w="4293" w:type="dxa"/>
          </w:tcPr>
          <w:p w14:paraId="715D8B83" w14:textId="77777777" w:rsidR="003A71DE" w:rsidRPr="007654EC" w:rsidRDefault="003A71DE" w:rsidP="00E33F84">
            <w:pPr>
              <w:pStyle w:val="TAH"/>
            </w:pPr>
            <w:r w:rsidRPr="007654EC">
              <w:t>SCS of SSB signals (KHz)</w:t>
            </w:r>
          </w:p>
        </w:tc>
        <w:tc>
          <w:tcPr>
            <w:tcW w:w="4337" w:type="dxa"/>
          </w:tcPr>
          <w:p w14:paraId="2CBE1C00" w14:textId="77777777" w:rsidR="003A71DE" w:rsidRPr="007654EC" w:rsidRDefault="003A71DE" w:rsidP="00E33F84">
            <w:pPr>
              <w:pStyle w:val="TAH"/>
              <w:rPr>
                <w:lang w:val="en-US" w:eastAsia="zh-CN"/>
              </w:rPr>
            </w:pPr>
            <w:r w:rsidRPr="007654EC">
              <w:t>Adjustment Val</w:t>
            </w:r>
            <w:r w:rsidRPr="007654EC">
              <w:rPr>
                <w:rFonts w:hint="eastAsia"/>
                <w:lang w:val="en-US" w:eastAsia="zh-CN"/>
              </w:rPr>
              <w:t>ue</w:t>
            </w:r>
          </w:p>
        </w:tc>
      </w:tr>
      <w:tr w:rsidR="003A71DE" w:rsidRPr="007654EC" w14:paraId="08B53A05" w14:textId="77777777" w:rsidTr="003A71DE">
        <w:tc>
          <w:tcPr>
            <w:tcW w:w="4293" w:type="dxa"/>
          </w:tcPr>
          <w:p w14:paraId="322F9221" w14:textId="77777777" w:rsidR="003A71DE" w:rsidRPr="007654EC" w:rsidRDefault="003A71DE" w:rsidP="00E33F84">
            <w:pPr>
              <w:pStyle w:val="TAC"/>
            </w:pPr>
          </w:p>
        </w:tc>
        <w:tc>
          <w:tcPr>
            <w:tcW w:w="4337" w:type="dxa"/>
          </w:tcPr>
          <w:p w14:paraId="6605D47A" w14:textId="77777777" w:rsidR="003A71DE" w:rsidRPr="007654EC" w:rsidRDefault="003A71DE" w:rsidP="00E33F84">
            <w:pPr>
              <w:pStyle w:val="TAC"/>
            </w:pPr>
            <w:r w:rsidRPr="007654EC">
              <w:t>Test1</w:t>
            </w:r>
          </w:p>
        </w:tc>
      </w:tr>
      <w:tr w:rsidR="003A71DE" w:rsidRPr="007654EC" w14:paraId="51510822" w14:textId="77777777" w:rsidTr="003A71DE">
        <w:tc>
          <w:tcPr>
            <w:tcW w:w="4293" w:type="dxa"/>
          </w:tcPr>
          <w:p w14:paraId="2B7F824C" w14:textId="77777777" w:rsidR="003A71DE" w:rsidRPr="007654EC" w:rsidRDefault="003A71DE" w:rsidP="00E33F84">
            <w:pPr>
              <w:pStyle w:val="TAC"/>
            </w:pPr>
            <w:r w:rsidRPr="007654EC">
              <w:t>15</w:t>
            </w:r>
          </w:p>
        </w:tc>
        <w:tc>
          <w:tcPr>
            <w:tcW w:w="4337" w:type="dxa"/>
          </w:tcPr>
          <w:p w14:paraId="55B66517" w14:textId="77777777" w:rsidR="003A71DE" w:rsidRPr="007654EC" w:rsidRDefault="003A71DE" w:rsidP="00E33F84">
            <w:pPr>
              <w:pStyle w:val="TAC"/>
            </w:pPr>
            <w:r w:rsidRPr="007654EC">
              <w:t>+64*64T</w:t>
            </w:r>
            <w:r w:rsidRPr="007654EC">
              <w:rPr>
                <w:vertAlign w:val="subscript"/>
              </w:rPr>
              <w:t>c</w:t>
            </w:r>
          </w:p>
        </w:tc>
      </w:tr>
      <w:tr w:rsidR="003A71DE" w:rsidRPr="007654EC" w14:paraId="1C4CFB2F" w14:textId="77777777" w:rsidTr="003A71DE">
        <w:tc>
          <w:tcPr>
            <w:tcW w:w="4293" w:type="dxa"/>
          </w:tcPr>
          <w:p w14:paraId="2CB1E5F5" w14:textId="77777777" w:rsidR="003A71DE" w:rsidRPr="007654EC" w:rsidRDefault="003A71DE" w:rsidP="00E33F84">
            <w:pPr>
              <w:pStyle w:val="TAC"/>
            </w:pPr>
            <w:r w:rsidRPr="007654EC">
              <w:t>30</w:t>
            </w:r>
          </w:p>
        </w:tc>
        <w:tc>
          <w:tcPr>
            <w:tcW w:w="4337" w:type="dxa"/>
          </w:tcPr>
          <w:p w14:paraId="3FCFA72B" w14:textId="77777777" w:rsidR="003A71DE" w:rsidRPr="007654EC" w:rsidRDefault="003A71DE" w:rsidP="00E33F84">
            <w:pPr>
              <w:pStyle w:val="TAC"/>
            </w:pPr>
            <w:r w:rsidRPr="007654EC">
              <w:t>+32*64T</w:t>
            </w:r>
            <w:r w:rsidRPr="007654EC">
              <w:rPr>
                <w:vertAlign w:val="subscript"/>
              </w:rPr>
              <w:t>c</w:t>
            </w:r>
          </w:p>
        </w:tc>
      </w:tr>
    </w:tbl>
    <w:p w14:paraId="504CF664" w14:textId="77777777" w:rsidR="003A71DE" w:rsidRPr="007654EC" w:rsidRDefault="003A71DE" w:rsidP="003A71DE">
      <w:pPr>
        <w:spacing w:line="259" w:lineRule="auto"/>
      </w:pPr>
    </w:p>
    <w:p w14:paraId="33953CA3" w14:textId="77777777" w:rsidR="003A71DE" w:rsidRPr="007654EC" w:rsidRDefault="003A71DE" w:rsidP="003A71DE">
      <w:pPr>
        <w:spacing w:line="259" w:lineRule="auto"/>
        <w:ind w:left="568" w:hanging="284"/>
      </w:pPr>
      <w:r w:rsidRPr="007654EC">
        <w:t>4)</w:t>
      </w:r>
      <w:r w:rsidRPr="007654EC">
        <w:tab/>
        <w:t xml:space="preserve">The test system shall verify that the adjustment step size and the adjustment rate shall be according to requirements specified in clause </w:t>
      </w:r>
      <w:r w:rsidRPr="007654EC">
        <w:rPr>
          <w:rFonts w:eastAsia="SimSun" w:hint="eastAsia"/>
          <w:lang w:eastAsia="zh-CN"/>
        </w:rPr>
        <w:t>12.2.1.2</w:t>
      </w:r>
      <w:r w:rsidRPr="007654EC">
        <w:t xml:space="preserve"> Table 12.2.1.2.1-1</w:t>
      </w:r>
      <w:r w:rsidRPr="007654EC">
        <w:rPr>
          <w:lang w:eastAsia="zh-CN"/>
        </w:rPr>
        <w:t xml:space="preserve"> until the </w:t>
      </w:r>
      <w:r w:rsidRPr="007654EC">
        <w:rPr>
          <w:rFonts w:hint="eastAsia"/>
          <w:lang w:eastAsia="zh-CN"/>
        </w:rPr>
        <w:t>IAB-MT</w:t>
      </w:r>
      <w:r w:rsidRPr="007654EC">
        <w:rPr>
          <w:lang w:eastAsia="zh-CN"/>
        </w:rPr>
        <w:t xml:space="preserve"> transmit timing offset is within </w:t>
      </w:r>
      <w:r w:rsidRPr="007654EC">
        <w:t>(N</w:t>
      </w:r>
      <w:r w:rsidRPr="007654EC">
        <w:rPr>
          <w:vertAlign w:val="subscript"/>
        </w:rPr>
        <w:t>TA</w:t>
      </w:r>
      <w:r w:rsidRPr="007654EC">
        <w:t xml:space="preserve"> + N</w:t>
      </w:r>
      <w:r w:rsidRPr="007654EC">
        <w:rPr>
          <w:vertAlign w:val="subscript"/>
        </w:rPr>
        <w:t>TA_offset</w:t>
      </w:r>
      <w:r w:rsidRPr="007654EC">
        <w:t>) ×</w:t>
      </w:r>
      <w:r w:rsidRPr="007654EC">
        <w:rPr>
          <w:lang w:eastAsia="zh-CN"/>
        </w:rPr>
        <w:t>T</w:t>
      </w:r>
      <w:r w:rsidRPr="007654EC">
        <w:rPr>
          <w:vertAlign w:val="subscript"/>
          <w:lang w:eastAsia="zh-CN"/>
        </w:rPr>
        <w:t>c</w:t>
      </w:r>
      <w:r w:rsidRPr="007654EC">
        <w:t xml:space="preserve"> ± T</w:t>
      </w:r>
      <w:r w:rsidRPr="007654EC">
        <w:rPr>
          <w:vertAlign w:val="subscript"/>
        </w:rPr>
        <w:t>e</w:t>
      </w:r>
      <w:r w:rsidRPr="007654EC">
        <w:rPr>
          <w:lang w:eastAsia="zh-CN"/>
        </w:rPr>
        <w:t xml:space="preserve"> respective to the first detected path (in time) of DL SSB</w:t>
      </w:r>
      <w:r w:rsidRPr="007654EC">
        <w:t>.</w:t>
      </w:r>
    </w:p>
    <w:p w14:paraId="7F43F8AD" w14:textId="77777777" w:rsidR="003A71DE" w:rsidRDefault="003A71DE" w:rsidP="003A71DE">
      <w:r w:rsidRPr="007654EC">
        <w:t>5)</w:t>
      </w:r>
      <w:r w:rsidRPr="007654EC">
        <w:tab/>
        <w:t xml:space="preserve">The test system shall verify that the </w:t>
      </w:r>
      <w:r w:rsidRPr="007654EC">
        <w:rPr>
          <w:rFonts w:eastAsia="SimSun" w:hint="eastAsia"/>
          <w:lang w:eastAsia="zh-CN"/>
        </w:rPr>
        <w:t>IAB-MT</w:t>
      </w:r>
      <w:r w:rsidRPr="007654EC">
        <w:t xml:space="preserve"> transmit timing offset stays within (N</w:t>
      </w:r>
      <w:r w:rsidRPr="007654EC">
        <w:rPr>
          <w:vertAlign w:val="subscript"/>
        </w:rPr>
        <w:t>TA</w:t>
      </w:r>
      <w:r w:rsidRPr="007654EC">
        <w:t xml:space="preserve"> + N</w:t>
      </w:r>
      <w:r w:rsidRPr="007654EC">
        <w:rPr>
          <w:vertAlign w:val="subscript"/>
        </w:rPr>
        <w:t>TA_offset</w:t>
      </w:r>
      <w:r w:rsidRPr="007654EC">
        <w:t>) ×</w:t>
      </w:r>
      <w:r w:rsidRPr="007654EC">
        <w:rPr>
          <w:lang w:eastAsia="zh-CN"/>
        </w:rPr>
        <w:t>T</w:t>
      </w:r>
      <w:r w:rsidRPr="007654EC">
        <w:rPr>
          <w:vertAlign w:val="subscript"/>
          <w:lang w:eastAsia="zh-CN"/>
        </w:rPr>
        <w:t>c</w:t>
      </w:r>
      <w:r w:rsidRPr="007654EC">
        <w:t xml:space="preserve"> ± T</w:t>
      </w:r>
      <w:r w:rsidRPr="007654EC">
        <w:rPr>
          <w:vertAlign w:val="subscript"/>
        </w:rPr>
        <w:t>e</w:t>
      </w:r>
      <w:r w:rsidRPr="007654EC">
        <w:t xml:space="preserve"> of the first detected path of DL SSB.</w:t>
      </w:r>
    </w:p>
    <w:p w14:paraId="6DA7FF47" w14:textId="77777777" w:rsidR="003A71DE" w:rsidRPr="00967E5D" w:rsidRDefault="003A71DE" w:rsidP="00746C0D">
      <w:pPr>
        <w:pStyle w:val="Heading5"/>
        <w:rPr>
          <w:rFonts w:eastAsia="SimSun"/>
          <w:lang w:val="en-US" w:eastAsia="zh-CN"/>
        </w:rPr>
      </w:pPr>
      <w:bookmarkStart w:id="10225" w:name="_Toc74583678"/>
      <w:bookmarkStart w:id="10226" w:name="_Toc76542491"/>
      <w:bookmarkStart w:id="10227" w:name="_Toc82450473"/>
      <w:bookmarkStart w:id="10228" w:name="_Toc82451121"/>
      <w:bookmarkStart w:id="10229" w:name="_Toc89949510"/>
      <w:bookmarkStart w:id="10230" w:name="_Toc98755899"/>
      <w:bookmarkStart w:id="10231" w:name="_Toc98763491"/>
      <w:bookmarkStart w:id="10232" w:name="_Toc106184420"/>
      <w:r w:rsidRPr="00967E5D">
        <w:rPr>
          <w:rFonts w:eastAsia="SimSun" w:hint="eastAsia"/>
          <w:lang w:eastAsia="zh-CN"/>
        </w:rPr>
        <w:t>G.</w:t>
      </w:r>
      <w:r w:rsidRPr="00967E5D">
        <w:rPr>
          <w:rFonts w:eastAsia="SimSun" w:hint="eastAsia"/>
          <w:lang w:val="en-US" w:eastAsia="zh-CN"/>
        </w:rPr>
        <w:t>2</w:t>
      </w:r>
      <w:r w:rsidRPr="00967E5D">
        <w:rPr>
          <w:rFonts w:eastAsia="SimSun" w:hint="eastAsia"/>
          <w:lang w:eastAsia="zh-CN"/>
        </w:rPr>
        <w:t>.2</w:t>
      </w:r>
      <w:r w:rsidRPr="00967E5D">
        <w:t>.1.</w:t>
      </w:r>
      <w:r w:rsidRPr="00967E5D">
        <w:rPr>
          <w:rFonts w:eastAsia="SimSun" w:hint="eastAsia"/>
          <w:lang w:val="en-US" w:eastAsia="zh-CN"/>
        </w:rPr>
        <w:t>2</w:t>
      </w:r>
      <w:r w:rsidRPr="00967E5D">
        <w:tab/>
        <w:t xml:space="preserve">NR </w:t>
      </w:r>
      <w:r w:rsidRPr="00967E5D">
        <w:rPr>
          <w:rFonts w:eastAsia="SimSun" w:hint="eastAsia"/>
          <w:lang w:eastAsia="zh-CN"/>
        </w:rPr>
        <w:t>IAB-MT</w:t>
      </w:r>
      <w:r w:rsidRPr="00967E5D">
        <w:t xml:space="preserve"> Transmit Timing Test for FR</w:t>
      </w:r>
      <w:r w:rsidRPr="00967E5D">
        <w:rPr>
          <w:rFonts w:eastAsia="SimSun" w:hint="eastAsia"/>
          <w:lang w:val="en-US" w:eastAsia="zh-CN"/>
        </w:rPr>
        <w:t>2</w:t>
      </w:r>
      <w:bookmarkEnd w:id="10225"/>
      <w:bookmarkEnd w:id="10226"/>
      <w:bookmarkEnd w:id="10227"/>
      <w:bookmarkEnd w:id="10228"/>
      <w:bookmarkEnd w:id="10229"/>
      <w:bookmarkEnd w:id="10230"/>
      <w:bookmarkEnd w:id="10231"/>
      <w:bookmarkEnd w:id="10232"/>
    </w:p>
    <w:p w14:paraId="60F93F80" w14:textId="77777777" w:rsidR="003A71DE" w:rsidRPr="00967E5D" w:rsidRDefault="003A71DE" w:rsidP="00746C0D">
      <w:pPr>
        <w:pStyle w:val="H6"/>
      </w:pPr>
      <w:r w:rsidRPr="00967E5D">
        <w:rPr>
          <w:rFonts w:eastAsia="SimSun" w:hint="eastAsia"/>
          <w:lang w:eastAsia="zh-CN"/>
        </w:rPr>
        <w:t>G.</w:t>
      </w:r>
      <w:r w:rsidRPr="00967E5D">
        <w:rPr>
          <w:rFonts w:eastAsia="SimSun" w:hint="eastAsia"/>
          <w:lang w:val="en-US" w:eastAsia="zh-CN"/>
        </w:rPr>
        <w:t>2</w:t>
      </w:r>
      <w:r w:rsidRPr="00967E5D">
        <w:rPr>
          <w:rFonts w:eastAsia="SimSun" w:hint="eastAsia"/>
          <w:lang w:eastAsia="zh-CN"/>
        </w:rPr>
        <w:t>.2</w:t>
      </w:r>
      <w:r w:rsidRPr="00967E5D">
        <w:t>.1.</w:t>
      </w:r>
      <w:r w:rsidRPr="00967E5D">
        <w:rPr>
          <w:rFonts w:eastAsia="SimSun" w:hint="eastAsia"/>
          <w:lang w:val="en-US" w:eastAsia="zh-CN"/>
        </w:rPr>
        <w:t>2</w:t>
      </w:r>
      <w:r w:rsidRPr="00967E5D">
        <w:t>.1</w:t>
      </w:r>
      <w:r w:rsidRPr="00967E5D">
        <w:tab/>
        <w:t>Test Purpose and environment</w:t>
      </w:r>
    </w:p>
    <w:p w14:paraId="55060351" w14:textId="77777777" w:rsidR="003A71DE" w:rsidRPr="00967E5D" w:rsidRDefault="003A71DE" w:rsidP="003A71DE">
      <w:pPr>
        <w:spacing w:line="259" w:lineRule="auto"/>
      </w:pPr>
      <w:r w:rsidRPr="00967E5D">
        <w:t xml:space="preserve">The purpose of this test is to verify that the </w:t>
      </w:r>
      <w:r w:rsidRPr="00967E5D">
        <w:rPr>
          <w:rFonts w:eastAsia="SimSun" w:hint="eastAsia"/>
          <w:lang w:val="en-US" w:eastAsia="zh-CN"/>
        </w:rPr>
        <w:t>IAB-MT</w:t>
      </w:r>
      <w:r w:rsidRPr="00967E5D">
        <w:t xml:space="preserve"> can follow frame timing change of the connected</w:t>
      </w:r>
      <w:r w:rsidRPr="00967E5D">
        <w:rPr>
          <w:lang w:eastAsia="zh-CN"/>
        </w:rPr>
        <w:t xml:space="preserve"> </w:t>
      </w:r>
      <w:r w:rsidRPr="00967E5D">
        <w:t xml:space="preserve">gNodeb and that the </w:t>
      </w:r>
      <w:r w:rsidRPr="00967E5D">
        <w:rPr>
          <w:rFonts w:eastAsia="SimSun" w:hint="eastAsia"/>
          <w:lang w:val="en-US" w:eastAsia="zh-CN"/>
        </w:rPr>
        <w:t>IAB-MT</w:t>
      </w:r>
      <w:r w:rsidRPr="00967E5D">
        <w:t xml:space="preserve"> initial transmit timing accuracy, maximum amount of timing change in one adjustment,</w:t>
      </w:r>
      <w:r w:rsidRPr="00967E5D">
        <w:rPr>
          <w:lang w:eastAsia="zh-CN"/>
        </w:rPr>
        <w:t xml:space="preserve"> </w:t>
      </w:r>
      <w:r w:rsidRPr="00967E5D">
        <w:t>minimum and maximum adjustment rate are within the specified limits. This test will verify the requirements in</w:t>
      </w:r>
      <w:r w:rsidRPr="00967E5D">
        <w:rPr>
          <w:lang w:eastAsia="zh-CN"/>
        </w:rPr>
        <w:t xml:space="preserve"> </w:t>
      </w:r>
      <w:r w:rsidRPr="00967E5D">
        <w:t xml:space="preserve">clause </w:t>
      </w:r>
      <w:r w:rsidRPr="00967E5D">
        <w:rPr>
          <w:rFonts w:eastAsia="SimSun" w:hint="eastAsia"/>
          <w:lang w:val="en-US" w:eastAsia="zh-CN"/>
        </w:rPr>
        <w:t>12.2</w:t>
      </w:r>
      <w:r w:rsidRPr="00967E5D">
        <w:t>.1.2.</w:t>
      </w:r>
      <w:r w:rsidRPr="00967E5D">
        <w:rPr>
          <w:rFonts w:eastAsia="SimSun" w:hint="eastAsia"/>
          <w:lang w:val="en-US" w:eastAsia="zh-CN"/>
        </w:rPr>
        <w:t xml:space="preserve"> Local area IAB-MT type 2-O shall be tested with this test.</w:t>
      </w:r>
    </w:p>
    <w:p w14:paraId="62BA10E4" w14:textId="77777777" w:rsidR="003A71DE" w:rsidRPr="00967E5D" w:rsidRDefault="003A71DE" w:rsidP="003A71DE">
      <w:pPr>
        <w:spacing w:line="259" w:lineRule="auto"/>
        <w:rPr>
          <w:lang w:eastAsia="zh-CN"/>
        </w:rPr>
      </w:pPr>
      <w:r w:rsidRPr="00967E5D">
        <w:t xml:space="preserve">Supported test configurations are shown in Table </w:t>
      </w:r>
      <w:r w:rsidRPr="00967E5D">
        <w:rPr>
          <w:rFonts w:eastAsia="SimSun" w:hint="eastAsia"/>
          <w:lang w:eastAsia="zh-CN"/>
        </w:rPr>
        <w:t>G.2.2</w:t>
      </w:r>
      <w:r w:rsidRPr="00967E5D">
        <w:t>.1.</w:t>
      </w:r>
      <w:r w:rsidRPr="00967E5D">
        <w:rPr>
          <w:rFonts w:eastAsia="SimSun" w:hint="eastAsia"/>
          <w:lang w:val="en-US" w:eastAsia="zh-CN"/>
        </w:rPr>
        <w:t>2</w:t>
      </w:r>
      <w:r w:rsidRPr="00967E5D">
        <w:t>.1-1</w:t>
      </w:r>
      <w:r w:rsidRPr="00967E5D">
        <w:rPr>
          <w:lang w:eastAsia="zh-CN"/>
        </w:rPr>
        <w:t>.</w:t>
      </w:r>
    </w:p>
    <w:p w14:paraId="1726EC33" w14:textId="77777777" w:rsidR="003A71DE" w:rsidRPr="00967E5D" w:rsidRDefault="003A71DE" w:rsidP="00746C0D">
      <w:pPr>
        <w:pStyle w:val="TH"/>
        <w:rPr>
          <w:lang w:eastAsia="zh-CN"/>
        </w:rPr>
      </w:pPr>
      <w:r w:rsidRPr="00967E5D">
        <w:t xml:space="preserve">Table </w:t>
      </w:r>
      <w:r w:rsidRPr="00967E5D">
        <w:rPr>
          <w:rFonts w:eastAsia="SimSun" w:hint="eastAsia"/>
          <w:lang w:eastAsia="zh-CN"/>
        </w:rPr>
        <w:t>G.2.2</w:t>
      </w:r>
      <w:r w:rsidRPr="00967E5D">
        <w:t>.1.</w:t>
      </w:r>
      <w:r w:rsidRPr="00967E5D">
        <w:rPr>
          <w:rFonts w:eastAsia="SimSun" w:hint="eastAsia"/>
          <w:lang w:val="en-US" w:eastAsia="zh-CN"/>
        </w:rPr>
        <w:t>2</w:t>
      </w:r>
      <w:r w:rsidRPr="00967E5D">
        <w:t>.1-1: Supported test configurations for FR</w:t>
      </w:r>
      <w:r w:rsidRPr="00967E5D">
        <w:rPr>
          <w:rFonts w:eastAsia="SimSun" w:hint="eastAsia"/>
          <w:lang w:val="en-US" w:eastAsia="zh-CN"/>
        </w:rPr>
        <w:t>2</w:t>
      </w:r>
      <w:r w:rsidRPr="00967E5D">
        <w:t xml:space="preserve"> PCell</w:t>
      </w:r>
    </w:p>
    <w:tbl>
      <w:tblPr>
        <w:tblW w:w="85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08"/>
        <w:gridCol w:w="6426"/>
      </w:tblGrid>
      <w:tr w:rsidR="003A71DE" w:rsidRPr="00967E5D" w14:paraId="78A05A9B" w14:textId="77777777" w:rsidTr="003A71DE">
        <w:trPr>
          <w:trHeight w:val="219"/>
          <w:jc w:val="center"/>
        </w:trPr>
        <w:tc>
          <w:tcPr>
            <w:tcW w:w="2108" w:type="dxa"/>
            <w:tcBorders>
              <w:top w:val="single" w:sz="4" w:space="0" w:color="auto"/>
              <w:left w:val="single" w:sz="4" w:space="0" w:color="auto"/>
              <w:bottom w:val="single" w:sz="4" w:space="0" w:color="auto"/>
              <w:right w:val="single" w:sz="4" w:space="0" w:color="auto"/>
            </w:tcBorders>
          </w:tcPr>
          <w:p w14:paraId="4B400D2F" w14:textId="77777777" w:rsidR="003A71DE" w:rsidRPr="00967E5D" w:rsidRDefault="003A71DE" w:rsidP="00E33F84">
            <w:pPr>
              <w:pStyle w:val="TAH"/>
              <w:rPr>
                <w:lang w:eastAsia="zh-TW"/>
              </w:rPr>
            </w:pPr>
            <w:r w:rsidRPr="00967E5D">
              <w:rPr>
                <w:lang w:eastAsia="zh-TW"/>
              </w:rPr>
              <w:t>Configuration</w:t>
            </w:r>
          </w:p>
        </w:tc>
        <w:tc>
          <w:tcPr>
            <w:tcW w:w="6426" w:type="dxa"/>
            <w:tcBorders>
              <w:top w:val="single" w:sz="4" w:space="0" w:color="auto"/>
              <w:left w:val="single" w:sz="4" w:space="0" w:color="auto"/>
              <w:bottom w:val="single" w:sz="4" w:space="0" w:color="auto"/>
              <w:right w:val="single" w:sz="4" w:space="0" w:color="auto"/>
            </w:tcBorders>
          </w:tcPr>
          <w:p w14:paraId="7346A7CD" w14:textId="77777777" w:rsidR="003A71DE" w:rsidRPr="00967E5D" w:rsidRDefault="003A71DE" w:rsidP="00E33F84">
            <w:pPr>
              <w:pStyle w:val="TAH"/>
              <w:rPr>
                <w:lang w:eastAsia="zh-TW"/>
              </w:rPr>
            </w:pPr>
            <w:r w:rsidRPr="00967E5D">
              <w:rPr>
                <w:lang w:eastAsia="zh-TW"/>
              </w:rPr>
              <w:t>Description</w:t>
            </w:r>
          </w:p>
        </w:tc>
      </w:tr>
      <w:tr w:rsidR="003A71DE" w:rsidRPr="00967E5D" w14:paraId="10432119" w14:textId="77777777" w:rsidTr="003A71DE">
        <w:trPr>
          <w:trHeight w:val="222"/>
          <w:jc w:val="center"/>
        </w:trPr>
        <w:tc>
          <w:tcPr>
            <w:tcW w:w="2108" w:type="dxa"/>
            <w:tcBorders>
              <w:top w:val="single" w:sz="4" w:space="0" w:color="auto"/>
              <w:left w:val="single" w:sz="4" w:space="0" w:color="auto"/>
              <w:bottom w:val="single" w:sz="4" w:space="0" w:color="auto"/>
              <w:right w:val="single" w:sz="4" w:space="0" w:color="auto"/>
            </w:tcBorders>
          </w:tcPr>
          <w:p w14:paraId="3AC0E552" w14:textId="77777777" w:rsidR="003A71DE" w:rsidRPr="00967E5D" w:rsidRDefault="003A71DE" w:rsidP="00E33F84">
            <w:pPr>
              <w:pStyle w:val="TAL"/>
              <w:rPr>
                <w:lang w:eastAsia="zh-TW"/>
              </w:rPr>
            </w:pPr>
            <w:r w:rsidRPr="00967E5D">
              <w:rPr>
                <w:lang w:eastAsia="zh-TW"/>
              </w:rPr>
              <w:t>1</w:t>
            </w:r>
          </w:p>
        </w:tc>
        <w:tc>
          <w:tcPr>
            <w:tcW w:w="6426" w:type="dxa"/>
            <w:tcBorders>
              <w:top w:val="single" w:sz="4" w:space="0" w:color="auto"/>
              <w:left w:val="single" w:sz="4" w:space="0" w:color="auto"/>
              <w:bottom w:val="single" w:sz="4" w:space="0" w:color="auto"/>
              <w:right w:val="single" w:sz="4" w:space="0" w:color="auto"/>
            </w:tcBorders>
          </w:tcPr>
          <w:p w14:paraId="152A3BC1" w14:textId="77777777" w:rsidR="003A71DE" w:rsidRPr="00967E5D" w:rsidRDefault="003A71DE" w:rsidP="00E33F84">
            <w:pPr>
              <w:pStyle w:val="TAL"/>
              <w:rPr>
                <w:lang w:eastAsia="zh-TW"/>
              </w:rPr>
            </w:pPr>
            <w:r w:rsidRPr="00967E5D">
              <w:rPr>
                <w:lang w:eastAsia="zh-TW"/>
              </w:rPr>
              <w:t>NR TDD, SSB SCS 240 kHz, data SCS 120 kHz, BW 100 MHz</w:t>
            </w:r>
          </w:p>
        </w:tc>
      </w:tr>
    </w:tbl>
    <w:p w14:paraId="7A598895" w14:textId="77777777" w:rsidR="003A71DE" w:rsidRPr="00967E5D" w:rsidRDefault="003A71DE" w:rsidP="00E33F84"/>
    <w:p w14:paraId="57D9A76D" w14:textId="77777777" w:rsidR="003A71DE" w:rsidRPr="00967E5D" w:rsidRDefault="003A71DE" w:rsidP="003A71DE">
      <w:pPr>
        <w:spacing w:line="259" w:lineRule="auto"/>
      </w:pPr>
      <w:r w:rsidRPr="00967E5D">
        <w:t xml:space="preserve">For this test a single NR cell is used. Tables </w:t>
      </w:r>
      <w:r w:rsidRPr="00967E5D">
        <w:rPr>
          <w:rFonts w:eastAsia="SimSun" w:hint="eastAsia"/>
          <w:lang w:eastAsia="zh-CN"/>
        </w:rPr>
        <w:t>G.2.2</w:t>
      </w:r>
      <w:r w:rsidRPr="00967E5D">
        <w:t>.1.</w:t>
      </w:r>
      <w:r w:rsidRPr="00967E5D">
        <w:rPr>
          <w:rFonts w:eastAsia="SimSun" w:hint="eastAsia"/>
          <w:lang w:val="en-US" w:eastAsia="zh-CN"/>
        </w:rPr>
        <w:t>2</w:t>
      </w:r>
      <w:r w:rsidRPr="00967E5D">
        <w:t>.1-</w:t>
      </w:r>
      <w:r w:rsidRPr="00967E5D">
        <w:rPr>
          <w:rFonts w:eastAsia="SimSun" w:hint="eastAsia"/>
          <w:lang w:val="en-US" w:eastAsia="zh-CN"/>
        </w:rPr>
        <w:t>2</w:t>
      </w:r>
      <w:r w:rsidRPr="00967E5D">
        <w:t xml:space="preserve"> </w:t>
      </w:r>
      <w:r w:rsidRPr="00967E5D">
        <w:rPr>
          <w:rFonts w:eastAsia="SimSun" w:hint="eastAsia"/>
          <w:lang w:val="en-US" w:eastAsia="zh-CN"/>
        </w:rPr>
        <w:t xml:space="preserve">and </w:t>
      </w:r>
      <w:r w:rsidRPr="00967E5D">
        <w:t xml:space="preserve">Tables </w:t>
      </w:r>
      <w:r w:rsidRPr="00967E5D">
        <w:rPr>
          <w:rFonts w:eastAsia="SimSun" w:hint="eastAsia"/>
          <w:lang w:eastAsia="zh-CN"/>
        </w:rPr>
        <w:t>G.2.2</w:t>
      </w:r>
      <w:r w:rsidRPr="00967E5D">
        <w:t>.1.</w:t>
      </w:r>
      <w:r w:rsidRPr="00967E5D">
        <w:rPr>
          <w:rFonts w:eastAsia="SimSun" w:hint="eastAsia"/>
          <w:lang w:val="en-US" w:eastAsia="zh-CN"/>
        </w:rPr>
        <w:t>2</w:t>
      </w:r>
      <w:r w:rsidRPr="00967E5D">
        <w:t>.1-</w:t>
      </w:r>
      <w:r w:rsidRPr="00967E5D">
        <w:rPr>
          <w:rFonts w:eastAsia="SimSun" w:hint="eastAsia"/>
          <w:lang w:val="en-US" w:eastAsia="zh-CN"/>
        </w:rPr>
        <w:t xml:space="preserve">2A </w:t>
      </w:r>
      <w:r w:rsidRPr="00967E5D">
        <w:t xml:space="preserve">define the parameters to be configured and strength of the transmitted signals. The transmit timing is verified by the </w:t>
      </w:r>
      <w:r w:rsidRPr="00967E5D">
        <w:rPr>
          <w:rFonts w:eastAsia="SimSun" w:hint="eastAsia"/>
          <w:lang w:val="en-US" w:eastAsia="zh-CN"/>
        </w:rPr>
        <w:t>IAB-MT</w:t>
      </w:r>
      <w:r w:rsidRPr="00967E5D">
        <w:t xml:space="preserve"> transmitting SRS using the configuration defined in Table </w:t>
      </w:r>
      <w:r w:rsidRPr="00967E5D">
        <w:rPr>
          <w:rFonts w:eastAsia="SimSun" w:hint="eastAsia"/>
          <w:lang w:eastAsia="zh-CN"/>
        </w:rPr>
        <w:t>G.2.2</w:t>
      </w:r>
      <w:r w:rsidRPr="00967E5D">
        <w:t>.1.</w:t>
      </w:r>
      <w:r w:rsidRPr="00967E5D">
        <w:rPr>
          <w:rFonts w:eastAsia="SimSun" w:hint="eastAsia"/>
          <w:lang w:val="en-US" w:eastAsia="zh-CN"/>
        </w:rPr>
        <w:t>2</w:t>
      </w:r>
      <w:r w:rsidRPr="00967E5D">
        <w:t>.1-3.</w:t>
      </w:r>
    </w:p>
    <w:p w14:paraId="53F8DEA2" w14:textId="77777777" w:rsidR="003A71DE" w:rsidRPr="00967E5D" w:rsidRDefault="003A71DE" w:rsidP="00746C0D">
      <w:pPr>
        <w:pStyle w:val="TH"/>
      </w:pPr>
      <w:r w:rsidRPr="00967E5D">
        <w:lastRenderedPageBreak/>
        <w:t xml:space="preserve">Table </w:t>
      </w:r>
      <w:r w:rsidRPr="00967E5D">
        <w:rPr>
          <w:rFonts w:eastAsia="SimSun" w:hint="eastAsia"/>
          <w:lang w:eastAsia="zh-CN"/>
        </w:rPr>
        <w:t>G.2.2</w:t>
      </w:r>
      <w:r w:rsidRPr="00967E5D">
        <w:t>.1.</w:t>
      </w:r>
      <w:r w:rsidRPr="00967E5D">
        <w:rPr>
          <w:rFonts w:eastAsia="SimSun" w:hint="eastAsia"/>
          <w:lang w:val="en-US" w:eastAsia="zh-CN"/>
        </w:rPr>
        <w:t>2</w:t>
      </w:r>
      <w:r w:rsidRPr="00967E5D">
        <w:t>.1-2: Cell Specific Test Parameters for UL Transmit Timing test</w:t>
      </w:r>
    </w:p>
    <w:tbl>
      <w:tblPr>
        <w:tblW w:w="8223" w:type="dxa"/>
        <w:jc w:val="center"/>
        <w:tblLayout w:type="fixed"/>
        <w:tblLook w:val="04A0" w:firstRow="1" w:lastRow="0" w:firstColumn="1" w:lastColumn="0" w:noHBand="0" w:noVBand="1"/>
      </w:tblPr>
      <w:tblGrid>
        <w:gridCol w:w="2263"/>
        <w:gridCol w:w="1387"/>
        <w:gridCol w:w="1434"/>
        <w:gridCol w:w="1437"/>
        <w:gridCol w:w="8"/>
        <w:gridCol w:w="1694"/>
      </w:tblGrid>
      <w:tr w:rsidR="003A71DE" w:rsidRPr="00967E5D" w14:paraId="395565D5" w14:textId="77777777" w:rsidTr="003A71DE">
        <w:trPr>
          <w:jc w:val="center"/>
        </w:trPr>
        <w:tc>
          <w:tcPr>
            <w:tcW w:w="2263" w:type="dxa"/>
            <w:tcBorders>
              <w:top w:val="single" w:sz="4" w:space="0" w:color="auto"/>
              <w:left w:val="single" w:sz="4" w:space="0" w:color="auto"/>
              <w:bottom w:val="single" w:sz="4" w:space="0" w:color="auto"/>
              <w:right w:val="single" w:sz="4" w:space="0" w:color="auto"/>
            </w:tcBorders>
            <w:vAlign w:val="center"/>
          </w:tcPr>
          <w:p w14:paraId="0D81C51F" w14:textId="77777777" w:rsidR="003A71DE" w:rsidRPr="00967E5D" w:rsidRDefault="003A71DE" w:rsidP="00E33F84">
            <w:pPr>
              <w:pStyle w:val="TAH"/>
              <w:rPr>
                <w:rFonts w:eastAsia="Calibri"/>
              </w:rPr>
            </w:pPr>
            <w:r w:rsidRPr="00967E5D">
              <w:t>Parameter</w:t>
            </w:r>
          </w:p>
        </w:tc>
        <w:tc>
          <w:tcPr>
            <w:tcW w:w="1387" w:type="dxa"/>
            <w:tcBorders>
              <w:top w:val="single" w:sz="4" w:space="0" w:color="auto"/>
              <w:left w:val="single" w:sz="4" w:space="0" w:color="auto"/>
              <w:bottom w:val="single" w:sz="4" w:space="0" w:color="auto"/>
              <w:right w:val="single" w:sz="4" w:space="0" w:color="auto"/>
            </w:tcBorders>
            <w:vAlign w:val="center"/>
          </w:tcPr>
          <w:p w14:paraId="4673E8B0" w14:textId="77777777" w:rsidR="003A71DE" w:rsidRPr="00967E5D" w:rsidRDefault="003A71DE" w:rsidP="00E33F84">
            <w:pPr>
              <w:pStyle w:val="TAH"/>
            </w:pPr>
            <w:r w:rsidRPr="00967E5D">
              <w:t>Unit</w:t>
            </w:r>
          </w:p>
        </w:tc>
        <w:tc>
          <w:tcPr>
            <w:tcW w:w="1434" w:type="dxa"/>
            <w:tcBorders>
              <w:top w:val="single" w:sz="4" w:space="0" w:color="auto"/>
              <w:left w:val="single" w:sz="4" w:space="0" w:color="auto"/>
              <w:bottom w:val="single" w:sz="4" w:space="0" w:color="auto"/>
              <w:right w:val="single" w:sz="4" w:space="0" w:color="auto"/>
            </w:tcBorders>
            <w:vAlign w:val="center"/>
          </w:tcPr>
          <w:p w14:paraId="67B28B24" w14:textId="77777777" w:rsidR="003A71DE" w:rsidRPr="00967E5D" w:rsidRDefault="003A71DE" w:rsidP="00E33F84">
            <w:pPr>
              <w:pStyle w:val="TAH"/>
            </w:pPr>
            <w:r w:rsidRPr="00967E5D">
              <w:t>Config</w:t>
            </w:r>
          </w:p>
        </w:tc>
        <w:tc>
          <w:tcPr>
            <w:tcW w:w="1445" w:type="dxa"/>
            <w:gridSpan w:val="2"/>
            <w:tcBorders>
              <w:top w:val="single" w:sz="4" w:space="0" w:color="auto"/>
              <w:left w:val="single" w:sz="4" w:space="0" w:color="auto"/>
              <w:bottom w:val="single" w:sz="4" w:space="0" w:color="auto"/>
              <w:right w:val="single" w:sz="4" w:space="0" w:color="auto"/>
            </w:tcBorders>
            <w:vAlign w:val="center"/>
          </w:tcPr>
          <w:p w14:paraId="4790D0CD" w14:textId="77777777" w:rsidR="003A71DE" w:rsidRPr="00967E5D" w:rsidRDefault="003A71DE" w:rsidP="00E33F84">
            <w:pPr>
              <w:pStyle w:val="TAH"/>
            </w:pPr>
            <w:r w:rsidRPr="00967E5D">
              <w:t>Test1</w:t>
            </w:r>
          </w:p>
        </w:tc>
        <w:tc>
          <w:tcPr>
            <w:tcW w:w="1694" w:type="dxa"/>
            <w:tcBorders>
              <w:top w:val="single" w:sz="4" w:space="0" w:color="auto"/>
              <w:left w:val="single" w:sz="4" w:space="0" w:color="auto"/>
              <w:bottom w:val="single" w:sz="4" w:space="0" w:color="auto"/>
              <w:right w:val="single" w:sz="4" w:space="0" w:color="auto"/>
            </w:tcBorders>
            <w:vAlign w:val="center"/>
          </w:tcPr>
          <w:p w14:paraId="19A71175" w14:textId="77777777" w:rsidR="003A71DE" w:rsidRPr="00967E5D" w:rsidRDefault="003A71DE" w:rsidP="00E33F84">
            <w:pPr>
              <w:pStyle w:val="TAH"/>
            </w:pPr>
            <w:r w:rsidRPr="00967E5D">
              <w:t>Test2</w:t>
            </w:r>
          </w:p>
        </w:tc>
      </w:tr>
      <w:tr w:rsidR="003A71DE" w:rsidRPr="00967E5D" w14:paraId="07789225"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1C307C4A" w14:textId="77777777" w:rsidR="003A71DE" w:rsidRPr="00967E5D" w:rsidRDefault="003A71DE" w:rsidP="00E33F84">
            <w:pPr>
              <w:pStyle w:val="TAL"/>
            </w:pPr>
            <w:r w:rsidRPr="00967E5D">
              <w:t>SSB ARFCN</w:t>
            </w:r>
          </w:p>
        </w:tc>
        <w:tc>
          <w:tcPr>
            <w:tcW w:w="1387" w:type="dxa"/>
            <w:tcBorders>
              <w:top w:val="single" w:sz="4" w:space="0" w:color="auto"/>
              <w:left w:val="single" w:sz="4" w:space="0" w:color="auto"/>
              <w:bottom w:val="single" w:sz="4" w:space="0" w:color="auto"/>
              <w:right w:val="single" w:sz="4" w:space="0" w:color="auto"/>
            </w:tcBorders>
          </w:tcPr>
          <w:p w14:paraId="0B1CE98B"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6F3837FC" w14:textId="77777777" w:rsidR="003A71DE" w:rsidRPr="00967E5D" w:rsidRDefault="003A71DE" w:rsidP="00E33F84">
            <w:pPr>
              <w:pStyle w:val="TAC"/>
            </w:pPr>
            <w:r w:rsidRPr="00967E5D">
              <w:t>1</w:t>
            </w:r>
          </w:p>
        </w:tc>
        <w:tc>
          <w:tcPr>
            <w:tcW w:w="1445" w:type="dxa"/>
            <w:gridSpan w:val="2"/>
            <w:tcBorders>
              <w:top w:val="single" w:sz="4" w:space="0" w:color="auto"/>
              <w:left w:val="single" w:sz="4" w:space="0" w:color="auto"/>
              <w:bottom w:val="single" w:sz="4" w:space="0" w:color="auto"/>
              <w:right w:val="single" w:sz="4" w:space="0" w:color="auto"/>
            </w:tcBorders>
          </w:tcPr>
          <w:p w14:paraId="5AC8AB1E" w14:textId="77777777" w:rsidR="003A71DE" w:rsidRPr="00967E5D" w:rsidRDefault="003A71DE" w:rsidP="00E33F84">
            <w:pPr>
              <w:pStyle w:val="TAC"/>
            </w:pPr>
            <w:r w:rsidRPr="00967E5D">
              <w:t>Freq1</w:t>
            </w:r>
          </w:p>
        </w:tc>
        <w:tc>
          <w:tcPr>
            <w:tcW w:w="1694" w:type="dxa"/>
            <w:tcBorders>
              <w:top w:val="single" w:sz="4" w:space="0" w:color="auto"/>
              <w:left w:val="single" w:sz="4" w:space="0" w:color="auto"/>
              <w:bottom w:val="single" w:sz="4" w:space="0" w:color="auto"/>
              <w:right w:val="single" w:sz="4" w:space="0" w:color="auto"/>
            </w:tcBorders>
          </w:tcPr>
          <w:p w14:paraId="5F597F61" w14:textId="77777777" w:rsidR="003A71DE" w:rsidRPr="00967E5D" w:rsidRDefault="003A71DE" w:rsidP="00E33F84">
            <w:pPr>
              <w:pStyle w:val="TAC"/>
            </w:pPr>
            <w:r w:rsidRPr="00967E5D">
              <w:t>Freq1</w:t>
            </w:r>
          </w:p>
        </w:tc>
      </w:tr>
      <w:tr w:rsidR="003A71DE" w:rsidRPr="00967E5D" w14:paraId="0851B955"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378B4A1E" w14:textId="77777777" w:rsidR="003A71DE" w:rsidRPr="00967E5D" w:rsidRDefault="003A71DE" w:rsidP="00E33F84">
            <w:pPr>
              <w:pStyle w:val="TAL"/>
            </w:pPr>
            <w:r w:rsidRPr="00967E5D">
              <w:t>BW</w:t>
            </w:r>
            <w:r w:rsidRPr="00967E5D">
              <w:rPr>
                <w:vertAlign w:val="subscript"/>
              </w:rPr>
              <w:t>channel</w:t>
            </w:r>
          </w:p>
        </w:tc>
        <w:tc>
          <w:tcPr>
            <w:tcW w:w="1387" w:type="dxa"/>
            <w:tcBorders>
              <w:top w:val="single" w:sz="4" w:space="0" w:color="auto"/>
              <w:left w:val="single" w:sz="4" w:space="0" w:color="auto"/>
              <w:bottom w:val="single" w:sz="4" w:space="0" w:color="auto"/>
              <w:right w:val="single" w:sz="4" w:space="0" w:color="auto"/>
            </w:tcBorders>
          </w:tcPr>
          <w:p w14:paraId="75A72EF9" w14:textId="77777777" w:rsidR="003A71DE" w:rsidRPr="00967E5D" w:rsidRDefault="003A71DE" w:rsidP="00E33F84">
            <w:pPr>
              <w:pStyle w:val="TAC"/>
            </w:pPr>
            <w:r w:rsidRPr="00967E5D">
              <w:t>MHz</w:t>
            </w:r>
          </w:p>
        </w:tc>
        <w:tc>
          <w:tcPr>
            <w:tcW w:w="1434" w:type="dxa"/>
            <w:tcBorders>
              <w:top w:val="single" w:sz="4" w:space="0" w:color="auto"/>
              <w:left w:val="single" w:sz="4" w:space="0" w:color="auto"/>
              <w:right w:val="single" w:sz="4" w:space="0" w:color="auto"/>
            </w:tcBorders>
          </w:tcPr>
          <w:p w14:paraId="29C1EAA3"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right w:val="single" w:sz="4" w:space="0" w:color="auto"/>
            </w:tcBorders>
          </w:tcPr>
          <w:p w14:paraId="0F534383" w14:textId="77777777" w:rsidR="003A71DE" w:rsidRPr="00967E5D" w:rsidRDefault="003A71DE" w:rsidP="00E33F84">
            <w:pPr>
              <w:pStyle w:val="TAC"/>
            </w:pPr>
            <w:r w:rsidRPr="00967E5D">
              <w:t>100: N</w:t>
            </w:r>
            <w:r w:rsidRPr="00967E5D">
              <w:rPr>
                <w:vertAlign w:val="subscript"/>
              </w:rPr>
              <w:t>RB,c</w:t>
            </w:r>
            <w:r w:rsidRPr="00967E5D">
              <w:t xml:space="preserve"> = 66</w:t>
            </w:r>
          </w:p>
        </w:tc>
      </w:tr>
      <w:tr w:rsidR="003A71DE" w:rsidRPr="00967E5D" w14:paraId="61C88151"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423FA2F5" w14:textId="77777777" w:rsidR="003A71DE" w:rsidRPr="00967E5D" w:rsidRDefault="003A71DE" w:rsidP="00E33F84">
            <w:pPr>
              <w:pStyle w:val="TAL"/>
            </w:pPr>
            <w:r w:rsidRPr="00967E5D">
              <w:t>Initial BWP Configuration</w:t>
            </w:r>
          </w:p>
        </w:tc>
        <w:tc>
          <w:tcPr>
            <w:tcW w:w="1387" w:type="dxa"/>
            <w:tcBorders>
              <w:top w:val="single" w:sz="4" w:space="0" w:color="auto"/>
              <w:left w:val="single" w:sz="4" w:space="0" w:color="auto"/>
              <w:bottom w:val="single" w:sz="4" w:space="0" w:color="auto"/>
              <w:right w:val="single" w:sz="4" w:space="0" w:color="auto"/>
            </w:tcBorders>
          </w:tcPr>
          <w:p w14:paraId="1E5B69DF"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33F953D3"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bottom w:val="single" w:sz="4" w:space="0" w:color="auto"/>
              <w:right w:val="single" w:sz="4" w:space="0" w:color="auto"/>
            </w:tcBorders>
          </w:tcPr>
          <w:p w14:paraId="7F1187E3" w14:textId="77777777" w:rsidR="003A71DE" w:rsidRPr="00967E5D" w:rsidRDefault="003A71DE" w:rsidP="00E33F84">
            <w:pPr>
              <w:pStyle w:val="TAC"/>
            </w:pPr>
            <w:r w:rsidRPr="00967E5D">
              <w:t>DLBWP.0.1</w:t>
            </w:r>
          </w:p>
          <w:p w14:paraId="5E96FF2E" w14:textId="77777777" w:rsidR="003A71DE" w:rsidRPr="00967E5D" w:rsidRDefault="003A71DE" w:rsidP="00E33F84">
            <w:pPr>
              <w:pStyle w:val="TAC"/>
            </w:pPr>
            <w:r w:rsidRPr="00967E5D">
              <w:t>ULBWP.0.1</w:t>
            </w:r>
          </w:p>
        </w:tc>
      </w:tr>
      <w:tr w:rsidR="003A71DE" w:rsidRPr="00967E5D" w14:paraId="6C466081"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6415F90F" w14:textId="77777777" w:rsidR="003A71DE" w:rsidRPr="00967E5D" w:rsidRDefault="003A71DE" w:rsidP="00E33F84">
            <w:pPr>
              <w:pStyle w:val="TAL"/>
            </w:pPr>
            <w:r w:rsidRPr="00967E5D">
              <w:t>Dedicated BWP Configuration</w:t>
            </w:r>
          </w:p>
        </w:tc>
        <w:tc>
          <w:tcPr>
            <w:tcW w:w="1387" w:type="dxa"/>
            <w:tcBorders>
              <w:top w:val="single" w:sz="4" w:space="0" w:color="auto"/>
              <w:left w:val="single" w:sz="4" w:space="0" w:color="auto"/>
              <w:bottom w:val="single" w:sz="4" w:space="0" w:color="auto"/>
              <w:right w:val="single" w:sz="4" w:space="0" w:color="auto"/>
            </w:tcBorders>
          </w:tcPr>
          <w:p w14:paraId="3A009F39"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44E92154"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bottom w:val="single" w:sz="4" w:space="0" w:color="auto"/>
              <w:right w:val="single" w:sz="4" w:space="0" w:color="auto"/>
            </w:tcBorders>
          </w:tcPr>
          <w:p w14:paraId="3EB06244" w14:textId="77777777" w:rsidR="003A71DE" w:rsidRPr="00967E5D" w:rsidRDefault="003A71DE" w:rsidP="00E33F84">
            <w:pPr>
              <w:pStyle w:val="TAC"/>
            </w:pPr>
            <w:r w:rsidRPr="00967E5D">
              <w:t>DLBWP.1.1</w:t>
            </w:r>
          </w:p>
          <w:p w14:paraId="0FB6A0E0" w14:textId="77777777" w:rsidR="003A71DE" w:rsidRPr="00967E5D" w:rsidRDefault="003A71DE" w:rsidP="00E33F84">
            <w:pPr>
              <w:pStyle w:val="TAC"/>
            </w:pPr>
            <w:r w:rsidRPr="00967E5D">
              <w:t>ULBWP.1.1</w:t>
            </w:r>
          </w:p>
        </w:tc>
      </w:tr>
      <w:tr w:rsidR="003A71DE" w:rsidRPr="00967E5D" w14:paraId="4B984240"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62F1185E" w14:textId="77777777" w:rsidR="003A71DE" w:rsidRPr="00967E5D" w:rsidRDefault="003A71DE" w:rsidP="00E33F84">
            <w:pPr>
              <w:pStyle w:val="TAL"/>
            </w:pPr>
            <w:r w:rsidRPr="00967E5D">
              <w:t>TRS Configuration</w:t>
            </w:r>
          </w:p>
        </w:tc>
        <w:tc>
          <w:tcPr>
            <w:tcW w:w="1387" w:type="dxa"/>
            <w:tcBorders>
              <w:top w:val="single" w:sz="4" w:space="0" w:color="auto"/>
              <w:left w:val="single" w:sz="4" w:space="0" w:color="auto"/>
              <w:bottom w:val="single" w:sz="4" w:space="0" w:color="auto"/>
              <w:right w:val="single" w:sz="4" w:space="0" w:color="auto"/>
            </w:tcBorders>
          </w:tcPr>
          <w:p w14:paraId="5640B061"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0ABB581A"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bottom w:val="single" w:sz="4" w:space="0" w:color="auto"/>
              <w:right w:val="single" w:sz="4" w:space="0" w:color="auto"/>
            </w:tcBorders>
          </w:tcPr>
          <w:p w14:paraId="502F8F46" w14:textId="77777777" w:rsidR="003A71DE" w:rsidRPr="00967E5D" w:rsidRDefault="003A71DE" w:rsidP="00E33F84">
            <w:pPr>
              <w:pStyle w:val="TAC"/>
            </w:pPr>
            <w:r w:rsidRPr="00967E5D">
              <w:t>TRS.2.1 TDD</w:t>
            </w:r>
          </w:p>
        </w:tc>
      </w:tr>
      <w:tr w:rsidR="003A71DE" w:rsidRPr="00967E5D" w14:paraId="6D0B6BE4"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2B327894" w14:textId="77777777" w:rsidR="003A71DE" w:rsidRPr="00967E5D" w:rsidRDefault="003A71DE" w:rsidP="00E33F84">
            <w:pPr>
              <w:pStyle w:val="TAL"/>
            </w:pPr>
            <w:r w:rsidRPr="00967E5D">
              <w:t>TCI State</w:t>
            </w:r>
          </w:p>
        </w:tc>
        <w:tc>
          <w:tcPr>
            <w:tcW w:w="1387" w:type="dxa"/>
            <w:tcBorders>
              <w:top w:val="single" w:sz="4" w:space="0" w:color="auto"/>
              <w:left w:val="single" w:sz="4" w:space="0" w:color="auto"/>
              <w:bottom w:val="single" w:sz="4" w:space="0" w:color="auto"/>
              <w:right w:val="single" w:sz="4" w:space="0" w:color="auto"/>
            </w:tcBorders>
          </w:tcPr>
          <w:p w14:paraId="4A488BC0"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5C261140"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bottom w:val="single" w:sz="4" w:space="0" w:color="auto"/>
              <w:right w:val="single" w:sz="4" w:space="0" w:color="auto"/>
            </w:tcBorders>
          </w:tcPr>
          <w:p w14:paraId="3B70AF8C" w14:textId="77777777" w:rsidR="003A71DE" w:rsidRPr="00967E5D" w:rsidRDefault="003A71DE" w:rsidP="00E33F84">
            <w:pPr>
              <w:pStyle w:val="TAC"/>
            </w:pPr>
            <w:r w:rsidRPr="00967E5D">
              <w:t>CSI-RS.Config.0</w:t>
            </w:r>
          </w:p>
        </w:tc>
      </w:tr>
      <w:tr w:rsidR="003A71DE" w:rsidRPr="00967E5D" w14:paraId="7CB3ACF5"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6A370874" w14:textId="77777777" w:rsidR="003A71DE" w:rsidRPr="00967E5D" w:rsidRDefault="003A71DE" w:rsidP="00E33F84">
            <w:pPr>
              <w:pStyle w:val="TAL"/>
            </w:pPr>
            <w:r w:rsidRPr="00967E5D">
              <w:t>DRx Cycle</w:t>
            </w:r>
          </w:p>
        </w:tc>
        <w:tc>
          <w:tcPr>
            <w:tcW w:w="1387" w:type="dxa"/>
            <w:tcBorders>
              <w:top w:val="single" w:sz="4" w:space="0" w:color="auto"/>
              <w:left w:val="single" w:sz="4" w:space="0" w:color="auto"/>
              <w:bottom w:val="single" w:sz="4" w:space="0" w:color="auto"/>
              <w:right w:val="single" w:sz="4" w:space="0" w:color="auto"/>
            </w:tcBorders>
          </w:tcPr>
          <w:p w14:paraId="5C4C4971" w14:textId="77777777" w:rsidR="003A71DE" w:rsidRPr="00967E5D" w:rsidRDefault="003A71DE" w:rsidP="00E33F84">
            <w:pPr>
              <w:pStyle w:val="TAC"/>
            </w:pPr>
            <w:r w:rsidRPr="00967E5D">
              <w:t>ms</w:t>
            </w:r>
          </w:p>
        </w:tc>
        <w:tc>
          <w:tcPr>
            <w:tcW w:w="1434" w:type="dxa"/>
            <w:tcBorders>
              <w:top w:val="single" w:sz="4" w:space="0" w:color="auto"/>
              <w:left w:val="single" w:sz="4" w:space="0" w:color="auto"/>
              <w:bottom w:val="single" w:sz="4" w:space="0" w:color="auto"/>
              <w:right w:val="single" w:sz="4" w:space="0" w:color="auto"/>
            </w:tcBorders>
          </w:tcPr>
          <w:p w14:paraId="75AA6531" w14:textId="77777777" w:rsidR="003A71DE" w:rsidRPr="00967E5D" w:rsidRDefault="003A71DE" w:rsidP="00E33F84">
            <w:pPr>
              <w:pStyle w:val="TAC"/>
            </w:pPr>
          </w:p>
        </w:tc>
        <w:tc>
          <w:tcPr>
            <w:tcW w:w="3139" w:type="dxa"/>
            <w:gridSpan w:val="3"/>
            <w:tcBorders>
              <w:top w:val="single" w:sz="4" w:space="0" w:color="auto"/>
              <w:left w:val="single" w:sz="4" w:space="0" w:color="auto"/>
              <w:bottom w:val="single" w:sz="4" w:space="0" w:color="auto"/>
              <w:right w:val="single" w:sz="4" w:space="0" w:color="auto"/>
            </w:tcBorders>
          </w:tcPr>
          <w:p w14:paraId="24F8ED48" w14:textId="77777777" w:rsidR="003A71DE" w:rsidRPr="00967E5D" w:rsidRDefault="003A71DE" w:rsidP="00E33F84">
            <w:pPr>
              <w:pStyle w:val="TAC"/>
            </w:pPr>
            <w:r w:rsidRPr="00967E5D">
              <w:t>N/A</w:t>
            </w:r>
          </w:p>
        </w:tc>
      </w:tr>
      <w:tr w:rsidR="003A71DE" w:rsidRPr="00967E5D" w14:paraId="7D634319"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13FF2FFD" w14:textId="77777777" w:rsidR="003A71DE" w:rsidRPr="00967E5D" w:rsidRDefault="003A71DE" w:rsidP="00E33F84">
            <w:pPr>
              <w:pStyle w:val="TAL"/>
            </w:pPr>
            <w:r w:rsidRPr="00967E5D">
              <w:t>PDSCH Reference measurement channel</w:t>
            </w:r>
          </w:p>
        </w:tc>
        <w:tc>
          <w:tcPr>
            <w:tcW w:w="1387" w:type="dxa"/>
            <w:tcBorders>
              <w:top w:val="single" w:sz="4" w:space="0" w:color="auto"/>
              <w:left w:val="single" w:sz="4" w:space="0" w:color="auto"/>
              <w:bottom w:val="single" w:sz="4" w:space="0" w:color="auto"/>
              <w:right w:val="single" w:sz="4" w:space="0" w:color="auto"/>
            </w:tcBorders>
          </w:tcPr>
          <w:p w14:paraId="3FE0AF7D" w14:textId="77777777" w:rsidR="003A71DE" w:rsidRPr="00967E5D" w:rsidRDefault="003A71DE" w:rsidP="00E33F84">
            <w:pPr>
              <w:pStyle w:val="TAC"/>
            </w:pPr>
          </w:p>
        </w:tc>
        <w:tc>
          <w:tcPr>
            <w:tcW w:w="1434" w:type="dxa"/>
            <w:tcBorders>
              <w:top w:val="single" w:sz="4" w:space="0" w:color="auto"/>
              <w:left w:val="single" w:sz="4" w:space="0" w:color="auto"/>
              <w:right w:val="single" w:sz="4" w:space="0" w:color="auto"/>
            </w:tcBorders>
          </w:tcPr>
          <w:p w14:paraId="29B91931"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right w:val="single" w:sz="4" w:space="0" w:color="auto"/>
            </w:tcBorders>
          </w:tcPr>
          <w:p w14:paraId="3D082AEB" w14:textId="77777777" w:rsidR="003A71DE" w:rsidRPr="00967E5D" w:rsidRDefault="003A71DE" w:rsidP="00E33F84">
            <w:pPr>
              <w:pStyle w:val="TAC"/>
            </w:pPr>
            <w:r w:rsidRPr="00967E5D">
              <w:t>SR.3.1 TDD</w:t>
            </w:r>
          </w:p>
        </w:tc>
      </w:tr>
      <w:tr w:rsidR="003A71DE" w:rsidRPr="00967E5D" w14:paraId="5D89C550"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64120C18" w14:textId="77777777" w:rsidR="003A71DE" w:rsidRPr="00967E5D" w:rsidRDefault="003A71DE" w:rsidP="00E33F84">
            <w:pPr>
              <w:pStyle w:val="TAL"/>
            </w:pPr>
            <w:r w:rsidRPr="00967E5D">
              <w:t>RMSI CORESET Reference Channel</w:t>
            </w:r>
          </w:p>
        </w:tc>
        <w:tc>
          <w:tcPr>
            <w:tcW w:w="1387" w:type="dxa"/>
            <w:tcBorders>
              <w:top w:val="single" w:sz="4" w:space="0" w:color="auto"/>
              <w:left w:val="single" w:sz="4" w:space="0" w:color="auto"/>
              <w:bottom w:val="single" w:sz="4" w:space="0" w:color="auto"/>
              <w:right w:val="single" w:sz="4" w:space="0" w:color="auto"/>
            </w:tcBorders>
          </w:tcPr>
          <w:p w14:paraId="2366D1DB" w14:textId="77777777" w:rsidR="003A71DE" w:rsidRPr="00967E5D" w:rsidRDefault="003A71DE" w:rsidP="00E33F84">
            <w:pPr>
              <w:pStyle w:val="TAC"/>
            </w:pPr>
          </w:p>
        </w:tc>
        <w:tc>
          <w:tcPr>
            <w:tcW w:w="1434" w:type="dxa"/>
            <w:tcBorders>
              <w:top w:val="single" w:sz="4" w:space="0" w:color="auto"/>
              <w:left w:val="single" w:sz="4" w:space="0" w:color="auto"/>
              <w:right w:val="single" w:sz="4" w:space="0" w:color="auto"/>
            </w:tcBorders>
          </w:tcPr>
          <w:p w14:paraId="3A8D8FEE"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right w:val="single" w:sz="4" w:space="0" w:color="auto"/>
            </w:tcBorders>
          </w:tcPr>
          <w:p w14:paraId="63D78157" w14:textId="77777777" w:rsidR="003A71DE" w:rsidRPr="00967E5D" w:rsidRDefault="003A71DE" w:rsidP="00E33F84">
            <w:pPr>
              <w:pStyle w:val="TAC"/>
            </w:pPr>
            <w:r w:rsidRPr="00967E5D">
              <w:t>CR.3.1 TDD</w:t>
            </w:r>
          </w:p>
        </w:tc>
      </w:tr>
      <w:tr w:rsidR="003A71DE" w:rsidRPr="00967E5D" w14:paraId="40A9D376"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09637EAF" w14:textId="77777777" w:rsidR="003A71DE" w:rsidRPr="00967E5D" w:rsidRDefault="003A71DE" w:rsidP="00E33F84">
            <w:pPr>
              <w:pStyle w:val="TAL"/>
            </w:pPr>
            <w:r w:rsidRPr="00967E5D">
              <w:t>Dedicated CORESET Reference Channel</w:t>
            </w:r>
          </w:p>
        </w:tc>
        <w:tc>
          <w:tcPr>
            <w:tcW w:w="1387" w:type="dxa"/>
            <w:tcBorders>
              <w:top w:val="single" w:sz="4" w:space="0" w:color="auto"/>
              <w:left w:val="single" w:sz="4" w:space="0" w:color="auto"/>
              <w:bottom w:val="single" w:sz="4" w:space="0" w:color="auto"/>
              <w:right w:val="single" w:sz="4" w:space="0" w:color="auto"/>
            </w:tcBorders>
          </w:tcPr>
          <w:p w14:paraId="48FFB346" w14:textId="77777777" w:rsidR="003A71DE" w:rsidRPr="00967E5D" w:rsidRDefault="003A71DE" w:rsidP="00E33F84">
            <w:pPr>
              <w:pStyle w:val="TAC"/>
            </w:pPr>
          </w:p>
        </w:tc>
        <w:tc>
          <w:tcPr>
            <w:tcW w:w="1434" w:type="dxa"/>
            <w:tcBorders>
              <w:top w:val="single" w:sz="4" w:space="0" w:color="auto"/>
              <w:left w:val="single" w:sz="4" w:space="0" w:color="auto"/>
              <w:right w:val="single" w:sz="4" w:space="0" w:color="auto"/>
            </w:tcBorders>
          </w:tcPr>
          <w:p w14:paraId="148D6B02"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right w:val="single" w:sz="4" w:space="0" w:color="auto"/>
            </w:tcBorders>
          </w:tcPr>
          <w:p w14:paraId="104EF8C2" w14:textId="77777777" w:rsidR="003A71DE" w:rsidRPr="00967E5D" w:rsidRDefault="003A71DE" w:rsidP="00E33F84">
            <w:pPr>
              <w:pStyle w:val="TAC"/>
            </w:pPr>
            <w:r w:rsidRPr="00967E5D">
              <w:t>CCR.3.1 TDD</w:t>
            </w:r>
          </w:p>
        </w:tc>
      </w:tr>
      <w:tr w:rsidR="003A71DE" w:rsidRPr="00967E5D" w14:paraId="318908FF"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4E223D6B" w14:textId="77777777" w:rsidR="003A71DE" w:rsidRPr="00967E5D" w:rsidRDefault="003A71DE" w:rsidP="00E33F84">
            <w:pPr>
              <w:pStyle w:val="TAL"/>
            </w:pPr>
            <w:r w:rsidRPr="00967E5D">
              <w:t>OCNG Patterns</w:t>
            </w:r>
          </w:p>
        </w:tc>
        <w:tc>
          <w:tcPr>
            <w:tcW w:w="1387" w:type="dxa"/>
            <w:tcBorders>
              <w:top w:val="single" w:sz="4" w:space="0" w:color="auto"/>
              <w:left w:val="single" w:sz="4" w:space="0" w:color="auto"/>
              <w:bottom w:val="single" w:sz="4" w:space="0" w:color="auto"/>
              <w:right w:val="single" w:sz="4" w:space="0" w:color="auto"/>
            </w:tcBorders>
          </w:tcPr>
          <w:p w14:paraId="129B0CC3"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614554FA"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bottom w:val="single" w:sz="4" w:space="0" w:color="auto"/>
              <w:right w:val="single" w:sz="4" w:space="0" w:color="auto"/>
            </w:tcBorders>
          </w:tcPr>
          <w:p w14:paraId="3BD9E73E" w14:textId="77777777" w:rsidR="003A71DE" w:rsidRPr="00967E5D" w:rsidRDefault="003A71DE" w:rsidP="00E33F84">
            <w:pPr>
              <w:pStyle w:val="TAC"/>
            </w:pPr>
            <w:r w:rsidRPr="00967E5D">
              <w:rPr>
                <w:snapToGrid w:val="0"/>
              </w:rPr>
              <w:t>OP.1</w:t>
            </w:r>
          </w:p>
        </w:tc>
      </w:tr>
      <w:tr w:rsidR="003A71DE" w:rsidRPr="00967E5D" w14:paraId="64C9430E"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712ADF72" w14:textId="77777777" w:rsidR="003A71DE" w:rsidRPr="00967E5D" w:rsidRDefault="003A71DE" w:rsidP="00E33F84">
            <w:pPr>
              <w:pStyle w:val="TAL"/>
            </w:pPr>
            <w:r w:rsidRPr="00967E5D">
              <w:t>SSB Configuration</w:t>
            </w:r>
          </w:p>
        </w:tc>
        <w:tc>
          <w:tcPr>
            <w:tcW w:w="1387" w:type="dxa"/>
            <w:tcBorders>
              <w:top w:val="single" w:sz="4" w:space="0" w:color="auto"/>
              <w:left w:val="single" w:sz="4" w:space="0" w:color="auto"/>
              <w:bottom w:val="single" w:sz="4" w:space="0" w:color="auto"/>
              <w:right w:val="single" w:sz="4" w:space="0" w:color="auto"/>
            </w:tcBorders>
          </w:tcPr>
          <w:p w14:paraId="14CB1D31" w14:textId="77777777" w:rsidR="003A71DE" w:rsidRPr="00967E5D" w:rsidRDefault="003A71DE" w:rsidP="00E33F84">
            <w:pPr>
              <w:pStyle w:val="TAC"/>
            </w:pPr>
          </w:p>
        </w:tc>
        <w:tc>
          <w:tcPr>
            <w:tcW w:w="1434" w:type="dxa"/>
            <w:tcBorders>
              <w:top w:val="single" w:sz="4" w:space="0" w:color="auto"/>
              <w:left w:val="single" w:sz="4" w:space="0" w:color="auto"/>
              <w:right w:val="single" w:sz="4" w:space="0" w:color="auto"/>
            </w:tcBorders>
          </w:tcPr>
          <w:p w14:paraId="4F2B8F2E"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right w:val="single" w:sz="4" w:space="0" w:color="auto"/>
            </w:tcBorders>
          </w:tcPr>
          <w:p w14:paraId="5520C242" w14:textId="77777777" w:rsidR="003A71DE" w:rsidRPr="00967E5D" w:rsidRDefault="003A71DE" w:rsidP="00E33F84">
            <w:pPr>
              <w:pStyle w:val="TAC"/>
            </w:pPr>
            <w:r w:rsidRPr="00967E5D">
              <w:t>SSB.4 FR2</w:t>
            </w:r>
          </w:p>
        </w:tc>
      </w:tr>
      <w:tr w:rsidR="003A71DE" w:rsidRPr="00967E5D" w14:paraId="5D9B5175"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181E4B34" w14:textId="77777777" w:rsidR="003A71DE" w:rsidRPr="00967E5D" w:rsidRDefault="003A71DE" w:rsidP="00E33F84">
            <w:pPr>
              <w:pStyle w:val="TAL"/>
            </w:pPr>
            <w:r w:rsidRPr="00967E5D">
              <w:t>SMTC Configuration</w:t>
            </w:r>
          </w:p>
        </w:tc>
        <w:tc>
          <w:tcPr>
            <w:tcW w:w="1387" w:type="dxa"/>
            <w:tcBorders>
              <w:top w:val="single" w:sz="4" w:space="0" w:color="auto"/>
              <w:left w:val="single" w:sz="4" w:space="0" w:color="auto"/>
              <w:bottom w:val="single" w:sz="4" w:space="0" w:color="auto"/>
              <w:right w:val="single" w:sz="4" w:space="0" w:color="auto"/>
            </w:tcBorders>
          </w:tcPr>
          <w:p w14:paraId="5D37B892"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3DB09919" w14:textId="77777777" w:rsidR="003A71DE" w:rsidRPr="00967E5D" w:rsidRDefault="003A71DE" w:rsidP="00E33F84">
            <w:pPr>
              <w:pStyle w:val="TAC"/>
            </w:pPr>
            <w:r w:rsidRPr="00967E5D">
              <w:rPr>
                <w:rFonts w:cs="Arial"/>
                <w:szCs w:val="18"/>
              </w:rPr>
              <w:t>1</w:t>
            </w:r>
          </w:p>
        </w:tc>
        <w:tc>
          <w:tcPr>
            <w:tcW w:w="3139" w:type="dxa"/>
            <w:gridSpan w:val="3"/>
            <w:tcBorders>
              <w:top w:val="single" w:sz="4" w:space="0" w:color="auto"/>
              <w:left w:val="single" w:sz="4" w:space="0" w:color="auto"/>
              <w:right w:val="single" w:sz="4" w:space="0" w:color="auto"/>
            </w:tcBorders>
          </w:tcPr>
          <w:p w14:paraId="3AEE28AD" w14:textId="77777777" w:rsidR="003A71DE" w:rsidRPr="00967E5D" w:rsidRDefault="003A71DE" w:rsidP="00E33F84">
            <w:pPr>
              <w:pStyle w:val="TAC"/>
            </w:pPr>
            <w:r w:rsidRPr="00967E5D">
              <w:t>SMTC.1</w:t>
            </w:r>
          </w:p>
        </w:tc>
      </w:tr>
      <w:tr w:rsidR="003A71DE" w:rsidRPr="00967E5D" w14:paraId="6B5C7D25"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2A90E2D3" w14:textId="77777777" w:rsidR="003A71DE" w:rsidRPr="00967E5D" w:rsidRDefault="003A71DE" w:rsidP="00E33F84">
            <w:pPr>
              <w:pStyle w:val="TAL"/>
            </w:pPr>
            <w:r w:rsidRPr="00967E5D">
              <w:t>EPRE ratio of PSS to SSS</w:t>
            </w:r>
          </w:p>
        </w:tc>
        <w:tc>
          <w:tcPr>
            <w:tcW w:w="1387" w:type="dxa"/>
            <w:tcBorders>
              <w:top w:val="single" w:sz="4" w:space="0" w:color="auto"/>
              <w:left w:val="single" w:sz="4" w:space="0" w:color="auto"/>
              <w:bottom w:val="nil"/>
              <w:right w:val="single" w:sz="4" w:space="0" w:color="auto"/>
            </w:tcBorders>
            <w:shd w:val="clear" w:color="auto" w:fill="auto"/>
          </w:tcPr>
          <w:p w14:paraId="135A9305" w14:textId="77777777" w:rsidR="003A71DE" w:rsidRPr="00967E5D" w:rsidRDefault="003A71DE" w:rsidP="00E33F84">
            <w:pPr>
              <w:pStyle w:val="TAC"/>
            </w:pPr>
            <w:r w:rsidRPr="00967E5D">
              <w:t>dB</w:t>
            </w:r>
          </w:p>
        </w:tc>
        <w:tc>
          <w:tcPr>
            <w:tcW w:w="1434" w:type="dxa"/>
            <w:tcBorders>
              <w:top w:val="single" w:sz="4" w:space="0" w:color="auto"/>
              <w:left w:val="single" w:sz="4" w:space="0" w:color="auto"/>
              <w:bottom w:val="nil"/>
              <w:right w:val="single" w:sz="4" w:space="0" w:color="auto"/>
            </w:tcBorders>
            <w:shd w:val="clear" w:color="auto" w:fill="auto"/>
          </w:tcPr>
          <w:p w14:paraId="14C6DC8B" w14:textId="77777777" w:rsidR="003A71DE" w:rsidRPr="00967E5D" w:rsidRDefault="003A71DE" w:rsidP="00E33F84">
            <w:pPr>
              <w:pStyle w:val="TAC"/>
            </w:pPr>
            <w:r w:rsidRPr="00967E5D">
              <w:t>1</w:t>
            </w:r>
          </w:p>
        </w:tc>
        <w:tc>
          <w:tcPr>
            <w:tcW w:w="1445" w:type="dxa"/>
            <w:gridSpan w:val="2"/>
            <w:tcBorders>
              <w:top w:val="single" w:sz="4" w:space="0" w:color="auto"/>
              <w:left w:val="single" w:sz="4" w:space="0" w:color="auto"/>
              <w:bottom w:val="nil"/>
              <w:right w:val="single" w:sz="4" w:space="0" w:color="auto"/>
            </w:tcBorders>
            <w:shd w:val="clear" w:color="auto" w:fill="auto"/>
          </w:tcPr>
          <w:p w14:paraId="2C077D0A" w14:textId="77777777" w:rsidR="003A71DE" w:rsidRPr="00967E5D" w:rsidRDefault="003A71DE" w:rsidP="00E33F84">
            <w:pPr>
              <w:pStyle w:val="TAC"/>
            </w:pPr>
            <w:r w:rsidRPr="00967E5D">
              <w:t>0</w:t>
            </w:r>
          </w:p>
        </w:tc>
        <w:tc>
          <w:tcPr>
            <w:tcW w:w="1694" w:type="dxa"/>
            <w:tcBorders>
              <w:top w:val="single" w:sz="4" w:space="0" w:color="auto"/>
              <w:left w:val="single" w:sz="4" w:space="0" w:color="auto"/>
              <w:bottom w:val="nil"/>
              <w:right w:val="single" w:sz="4" w:space="0" w:color="auto"/>
            </w:tcBorders>
            <w:shd w:val="clear" w:color="auto" w:fill="auto"/>
          </w:tcPr>
          <w:p w14:paraId="3654B97B" w14:textId="77777777" w:rsidR="003A71DE" w:rsidRPr="00967E5D" w:rsidRDefault="003A71DE" w:rsidP="00E33F84">
            <w:pPr>
              <w:pStyle w:val="TAC"/>
            </w:pPr>
            <w:r w:rsidRPr="00967E5D">
              <w:t>0</w:t>
            </w:r>
          </w:p>
        </w:tc>
      </w:tr>
      <w:tr w:rsidR="003A71DE" w:rsidRPr="00967E5D" w14:paraId="6BAF40ED"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5639EFFF" w14:textId="77777777" w:rsidR="003A71DE" w:rsidRPr="00967E5D" w:rsidRDefault="003A71DE" w:rsidP="00E33F84">
            <w:pPr>
              <w:pStyle w:val="TAL"/>
            </w:pPr>
            <w:r w:rsidRPr="00967E5D">
              <w:t>EPRE ratio of PBCH DMRS to SSS</w:t>
            </w:r>
          </w:p>
        </w:tc>
        <w:tc>
          <w:tcPr>
            <w:tcW w:w="1387" w:type="dxa"/>
            <w:tcBorders>
              <w:top w:val="nil"/>
              <w:left w:val="single" w:sz="4" w:space="0" w:color="auto"/>
              <w:bottom w:val="nil"/>
              <w:right w:val="single" w:sz="4" w:space="0" w:color="auto"/>
            </w:tcBorders>
            <w:shd w:val="clear" w:color="auto" w:fill="auto"/>
          </w:tcPr>
          <w:p w14:paraId="07B8F7B6"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5E03AE13"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4E39E824"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1E8B93BB" w14:textId="77777777" w:rsidR="003A71DE" w:rsidRPr="00967E5D" w:rsidRDefault="003A71DE" w:rsidP="00E33F84">
            <w:pPr>
              <w:pStyle w:val="TAC"/>
              <w:rPr>
                <w:rFonts w:eastAsia="Calibri"/>
              </w:rPr>
            </w:pPr>
          </w:p>
        </w:tc>
      </w:tr>
      <w:tr w:rsidR="003A71DE" w:rsidRPr="00967E5D" w14:paraId="26002568"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3D5AB5B0" w14:textId="77777777" w:rsidR="003A71DE" w:rsidRPr="00967E5D" w:rsidRDefault="003A71DE" w:rsidP="00E33F84">
            <w:pPr>
              <w:pStyle w:val="TAL"/>
            </w:pPr>
            <w:r w:rsidRPr="00967E5D">
              <w:t>EPRE ratio of PBCH to PBCH DMRS</w:t>
            </w:r>
          </w:p>
        </w:tc>
        <w:tc>
          <w:tcPr>
            <w:tcW w:w="1387" w:type="dxa"/>
            <w:tcBorders>
              <w:top w:val="nil"/>
              <w:left w:val="single" w:sz="4" w:space="0" w:color="auto"/>
              <w:bottom w:val="nil"/>
              <w:right w:val="single" w:sz="4" w:space="0" w:color="auto"/>
            </w:tcBorders>
            <w:shd w:val="clear" w:color="auto" w:fill="auto"/>
          </w:tcPr>
          <w:p w14:paraId="5BF908DD"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7BD5DDA6"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56A52190"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18057FAF" w14:textId="77777777" w:rsidR="003A71DE" w:rsidRPr="00967E5D" w:rsidRDefault="003A71DE" w:rsidP="00E33F84">
            <w:pPr>
              <w:pStyle w:val="TAC"/>
              <w:rPr>
                <w:rFonts w:eastAsia="Calibri"/>
              </w:rPr>
            </w:pPr>
          </w:p>
        </w:tc>
      </w:tr>
      <w:tr w:rsidR="003A71DE" w:rsidRPr="00967E5D" w14:paraId="2E52B5F1"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6EA7CF89" w14:textId="77777777" w:rsidR="003A71DE" w:rsidRPr="00967E5D" w:rsidRDefault="003A71DE" w:rsidP="00E33F84">
            <w:pPr>
              <w:pStyle w:val="TAL"/>
            </w:pPr>
            <w:r w:rsidRPr="00967E5D">
              <w:t>EPRE ratio of PDCCH DMRS to SSS</w:t>
            </w:r>
          </w:p>
        </w:tc>
        <w:tc>
          <w:tcPr>
            <w:tcW w:w="1387" w:type="dxa"/>
            <w:tcBorders>
              <w:top w:val="nil"/>
              <w:left w:val="single" w:sz="4" w:space="0" w:color="auto"/>
              <w:bottom w:val="nil"/>
              <w:right w:val="single" w:sz="4" w:space="0" w:color="auto"/>
            </w:tcBorders>
            <w:shd w:val="clear" w:color="auto" w:fill="auto"/>
          </w:tcPr>
          <w:p w14:paraId="36D1A2EC"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2363FDCB"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4E0C2837"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436FAD28" w14:textId="77777777" w:rsidR="003A71DE" w:rsidRPr="00967E5D" w:rsidRDefault="003A71DE" w:rsidP="00E33F84">
            <w:pPr>
              <w:pStyle w:val="TAC"/>
              <w:rPr>
                <w:rFonts w:eastAsia="Calibri"/>
              </w:rPr>
            </w:pPr>
          </w:p>
        </w:tc>
      </w:tr>
      <w:tr w:rsidR="003A71DE" w:rsidRPr="00967E5D" w14:paraId="105053F3"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361AB34C" w14:textId="77777777" w:rsidR="003A71DE" w:rsidRPr="00967E5D" w:rsidRDefault="003A71DE" w:rsidP="00E33F84">
            <w:pPr>
              <w:pStyle w:val="TAL"/>
            </w:pPr>
            <w:r w:rsidRPr="00967E5D">
              <w:t>EPRE ratio of PDCCH to PDCCH DMRS</w:t>
            </w:r>
          </w:p>
        </w:tc>
        <w:tc>
          <w:tcPr>
            <w:tcW w:w="1387" w:type="dxa"/>
            <w:tcBorders>
              <w:top w:val="nil"/>
              <w:left w:val="single" w:sz="4" w:space="0" w:color="auto"/>
              <w:bottom w:val="nil"/>
              <w:right w:val="single" w:sz="4" w:space="0" w:color="auto"/>
            </w:tcBorders>
            <w:shd w:val="clear" w:color="auto" w:fill="auto"/>
          </w:tcPr>
          <w:p w14:paraId="395D2ECB"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46D906D3"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0EE7A7C5"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681BDF3F" w14:textId="77777777" w:rsidR="003A71DE" w:rsidRPr="00967E5D" w:rsidRDefault="003A71DE" w:rsidP="00E33F84">
            <w:pPr>
              <w:pStyle w:val="TAC"/>
              <w:rPr>
                <w:rFonts w:eastAsia="Calibri"/>
              </w:rPr>
            </w:pPr>
          </w:p>
        </w:tc>
      </w:tr>
      <w:tr w:rsidR="003A71DE" w:rsidRPr="00967E5D" w14:paraId="042E0C4F"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74B13F81" w14:textId="77777777" w:rsidR="003A71DE" w:rsidRPr="00967E5D" w:rsidRDefault="003A71DE" w:rsidP="00E33F84">
            <w:pPr>
              <w:pStyle w:val="TAL"/>
            </w:pPr>
            <w:r w:rsidRPr="00967E5D">
              <w:t xml:space="preserve">EPRE ratio of PDSCH DMRS to SSS </w:t>
            </w:r>
          </w:p>
        </w:tc>
        <w:tc>
          <w:tcPr>
            <w:tcW w:w="1387" w:type="dxa"/>
            <w:tcBorders>
              <w:top w:val="nil"/>
              <w:left w:val="single" w:sz="4" w:space="0" w:color="auto"/>
              <w:bottom w:val="nil"/>
              <w:right w:val="single" w:sz="4" w:space="0" w:color="auto"/>
            </w:tcBorders>
            <w:shd w:val="clear" w:color="auto" w:fill="auto"/>
          </w:tcPr>
          <w:p w14:paraId="4EDE3AD6"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3E841110"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6B8F6D2C"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785C336E" w14:textId="77777777" w:rsidR="003A71DE" w:rsidRPr="00967E5D" w:rsidRDefault="003A71DE" w:rsidP="00E33F84">
            <w:pPr>
              <w:pStyle w:val="TAC"/>
              <w:rPr>
                <w:rFonts w:eastAsia="Calibri"/>
              </w:rPr>
            </w:pPr>
          </w:p>
        </w:tc>
      </w:tr>
      <w:tr w:rsidR="003A71DE" w:rsidRPr="00967E5D" w14:paraId="04050CD8"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759AE439" w14:textId="77777777" w:rsidR="003A71DE" w:rsidRPr="00967E5D" w:rsidRDefault="003A71DE" w:rsidP="00E33F84">
            <w:pPr>
              <w:pStyle w:val="TAL"/>
            </w:pPr>
            <w:r w:rsidRPr="00967E5D">
              <w:t xml:space="preserve">EPRE ratio of PDSCH to PDSCH </w:t>
            </w:r>
          </w:p>
        </w:tc>
        <w:tc>
          <w:tcPr>
            <w:tcW w:w="1387" w:type="dxa"/>
            <w:tcBorders>
              <w:top w:val="nil"/>
              <w:left w:val="single" w:sz="4" w:space="0" w:color="auto"/>
              <w:bottom w:val="nil"/>
              <w:right w:val="single" w:sz="4" w:space="0" w:color="auto"/>
            </w:tcBorders>
            <w:shd w:val="clear" w:color="auto" w:fill="auto"/>
          </w:tcPr>
          <w:p w14:paraId="52326162"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71CEBE0C"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235DBD36"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5E3074FE" w14:textId="77777777" w:rsidR="003A71DE" w:rsidRPr="00967E5D" w:rsidRDefault="003A71DE" w:rsidP="00E33F84">
            <w:pPr>
              <w:pStyle w:val="TAC"/>
              <w:rPr>
                <w:rFonts w:eastAsia="Calibri"/>
              </w:rPr>
            </w:pPr>
          </w:p>
        </w:tc>
      </w:tr>
      <w:tr w:rsidR="003A71DE" w:rsidRPr="00967E5D" w14:paraId="5EBFA057"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50CA6268" w14:textId="77777777" w:rsidR="003A71DE" w:rsidRPr="00967E5D" w:rsidRDefault="003A71DE" w:rsidP="00E33F84">
            <w:pPr>
              <w:pStyle w:val="TAL"/>
            </w:pPr>
            <w:r w:rsidRPr="00967E5D">
              <w:t>EPRE ratio of OCNG DMRS to SSS(Note 1)</w:t>
            </w:r>
          </w:p>
        </w:tc>
        <w:tc>
          <w:tcPr>
            <w:tcW w:w="1387" w:type="dxa"/>
            <w:tcBorders>
              <w:top w:val="nil"/>
              <w:left w:val="single" w:sz="4" w:space="0" w:color="auto"/>
              <w:bottom w:val="nil"/>
              <w:right w:val="single" w:sz="4" w:space="0" w:color="auto"/>
            </w:tcBorders>
            <w:shd w:val="clear" w:color="auto" w:fill="auto"/>
          </w:tcPr>
          <w:p w14:paraId="7F2E0280" w14:textId="77777777" w:rsidR="003A71DE" w:rsidRPr="00967E5D" w:rsidRDefault="003A71DE" w:rsidP="00E33F84">
            <w:pPr>
              <w:pStyle w:val="TAC"/>
              <w:rPr>
                <w:rFonts w:eastAsia="Calibri"/>
              </w:rPr>
            </w:pPr>
          </w:p>
        </w:tc>
        <w:tc>
          <w:tcPr>
            <w:tcW w:w="1434" w:type="dxa"/>
            <w:tcBorders>
              <w:top w:val="nil"/>
              <w:left w:val="single" w:sz="4" w:space="0" w:color="auto"/>
              <w:bottom w:val="nil"/>
              <w:right w:val="single" w:sz="4" w:space="0" w:color="auto"/>
            </w:tcBorders>
            <w:shd w:val="clear" w:color="auto" w:fill="auto"/>
          </w:tcPr>
          <w:p w14:paraId="2322D6B9"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nil"/>
              <w:right w:val="single" w:sz="4" w:space="0" w:color="auto"/>
            </w:tcBorders>
            <w:shd w:val="clear" w:color="auto" w:fill="auto"/>
          </w:tcPr>
          <w:p w14:paraId="0A94322E" w14:textId="77777777" w:rsidR="003A71DE" w:rsidRPr="00967E5D" w:rsidRDefault="003A71DE" w:rsidP="00E33F84">
            <w:pPr>
              <w:pStyle w:val="TAC"/>
              <w:rPr>
                <w:rFonts w:eastAsia="Calibri"/>
              </w:rPr>
            </w:pPr>
          </w:p>
        </w:tc>
        <w:tc>
          <w:tcPr>
            <w:tcW w:w="1694" w:type="dxa"/>
            <w:tcBorders>
              <w:top w:val="nil"/>
              <w:left w:val="single" w:sz="4" w:space="0" w:color="auto"/>
              <w:bottom w:val="nil"/>
              <w:right w:val="single" w:sz="4" w:space="0" w:color="auto"/>
            </w:tcBorders>
            <w:shd w:val="clear" w:color="auto" w:fill="auto"/>
          </w:tcPr>
          <w:p w14:paraId="7255C050" w14:textId="77777777" w:rsidR="003A71DE" w:rsidRPr="00967E5D" w:rsidRDefault="003A71DE" w:rsidP="00E33F84">
            <w:pPr>
              <w:pStyle w:val="TAC"/>
              <w:rPr>
                <w:rFonts w:eastAsia="Calibri"/>
              </w:rPr>
            </w:pPr>
          </w:p>
        </w:tc>
      </w:tr>
      <w:tr w:rsidR="003A71DE" w:rsidRPr="00967E5D" w14:paraId="6DC44B2B"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78771D5E" w14:textId="77777777" w:rsidR="003A71DE" w:rsidRPr="00967E5D" w:rsidRDefault="003A71DE" w:rsidP="00E33F84">
            <w:pPr>
              <w:pStyle w:val="TAL"/>
            </w:pPr>
            <w:r w:rsidRPr="00967E5D">
              <w:t>EPRE ratio of OCNG to OCNG DMRS (Note 1)</w:t>
            </w:r>
          </w:p>
        </w:tc>
        <w:tc>
          <w:tcPr>
            <w:tcW w:w="1387" w:type="dxa"/>
            <w:tcBorders>
              <w:top w:val="nil"/>
              <w:left w:val="single" w:sz="4" w:space="0" w:color="auto"/>
              <w:bottom w:val="single" w:sz="4" w:space="0" w:color="auto"/>
              <w:right w:val="single" w:sz="4" w:space="0" w:color="auto"/>
            </w:tcBorders>
            <w:shd w:val="clear" w:color="auto" w:fill="auto"/>
          </w:tcPr>
          <w:p w14:paraId="0CAE9158" w14:textId="77777777" w:rsidR="003A71DE" w:rsidRPr="00967E5D" w:rsidRDefault="003A71DE" w:rsidP="00E33F84">
            <w:pPr>
              <w:pStyle w:val="TAC"/>
              <w:rPr>
                <w:rFonts w:eastAsia="Calibri"/>
              </w:rPr>
            </w:pPr>
          </w:p>
        </w:tc>
        <w:tc>
          <w:tcPr>
            <w:tcW w:w="1434" w:type="dxa"/>
            <w:tcBorders>
              <w:top w:val="nil"/>
              <w:left w:val="single" w:sz="4" w:space="0" w:color="auto"/>
              <w:bottom w:val="single" w:sz="4" w:space="0" w:color="auto"/>
              <w:right w:val="single" w:sz="4" w:space="0" w:color="auto"/>
            </w:tcBorders>
            <w:shd w:val="clear" w:color="auto" w:fill="auto"/>
          </w:tcPr>
          <w:p w14:paraId="200A898E" w14:textId="77777777" w:rsidR="003A71DE" w:rsidRPr="00967E5D" w:rsidRDefault="003A71DE" w:rsidP="00E33F84">
            <w:pPr>
              <w:pStyle w:val="TAC"/>
              <w:rPr>
                <w:rFonts w:eastAsia="Calibri"/>
              </w:rPr>
            </w:pPr>
          </w:p>
        </w:tc>
        <w:tc>
          <w:tcPr>
            <w:tcW w:w="1445" w:type="dxa"/>
            <w:gridSpan w:val="2"/>
            <w:tcBorders>
              <w:top w:val="nil"/>
              <w:left w:val="single" w:sz="4" w:space="0" w:color="auto"/>
              <w:bottom w:val="single" w:sz="4" w:space="0" w:color="auto"/>
              <w:right w:val="single" w:sz="4" w:space="0" w:color="auto"/>
            </w:tcBorders>
            <w:shd w:val="clear" w:color="auto" w:fill="auto"/>
          </w:tcPr>
          <w:p w14:paraId="4F4BC2FC" w14:textId="77777777" w:rsidR="003A71DE" w:rsidRPr="00967E5D" w:rsidRDefault="003A71DE" w:rsidP="00E33F84">
            <w:pPr>
              <w:pStyle w:val="TAC"/>
              <w:rPr>
                <w:rFonts w:eastAsia="Calibri"/>
              </w:rPr>
            </w:pPr>
          </w:p>
        </w:tc>
        <w:tc>
          <w:tcPr>
            <w:tcW w:w="1694" w:type="dxa"/>
            <w:tcBorders>
              <w:top w:val="nil"/>
              <w:left w:val="single" w:sz="4" w:space="0" w:color="auto"/>
              <w:bottom w:val="single" w:sz="4" w:space="0" w:color="auto"/>
              <w:right w:val="single" w:sz="4" w:space="0" w:color="auto"/>
            </w:tcBorders>
            <w:shd w:val="clear" w:color="auto" w:fill="auto"/>
          </w:tcPr>
          <w:p w14:paraId="28841271" w14:textId="77777777" w:rsidR="003A71DE" w:rsidRPr="00967E5D" w:rsidRDefault="003A71DE" w:rsidP="00E33F84">
            <w:pPr>
              <w:pStyle w:val="TAC"/>
              <w:rPr>
                <w:rFonts w:eastAsia="Calibri"/>
              </w:rPr>
            </w:pPr>
          </w:p>
        </w:tc>
      </w:tr>
      <w:tr w:rsidR="003A71DE" w:rsidRPr="00967E5D" w14:paraId="461B86EC"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1E84B3D3" w14:textId="77777777" w:rsidR="003A71DE" w:rsidRPr="00967E5D" w:rsidRDefault="003A71DE" w:rsidP="00E33F84">
            <w:pPr>
              <w:pStyle w:val="TAL"/>
            </w:pPr>
            <w:r w:rsidRPr="00967E5D">
              <w:t>Propagation condition</w:t>
            </w:r>
          </w:p>
        </w:tc>
        <w:tc>
          <w:tcPr>
            <w:tcW w:w="1387" w:type="dxa"/>
            <w:tcBorders>
              <w:top w:val="single" w:sz="4" w:space="0" w:color="auto"/>
              <w:left w:val="single" w:sz="4" w:space="0" w:color="auto"/>
              <w:bottom w:val="single" w:sz="4" w:space="0" w:color="auto"/>
              <w:right w:val="single" w:sz="4" w:space="0" w:color="auto"/>
            </w:tcBorders>
          </w:tcPr>
          <w:p w14:paraId="63F35B39"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09FF950B" w14:textId="77777777" w:rsidR="003A71DE" w:rsidRPr="00967E5D" w:rsidRDefault="003A71DE" w:rsidP="00E33F84">
            <w:pPr>
              <w:pStyle w:val="TAC"/>
            </w:pPr>
            <w:r w:rsidRPr="00967E5D">
              <w:t>1</w:t>
            </w:r>
          </w:p>
        </w:tc>
        <w:tc>
          <w:tcPr>
            <w:tcW w:w="3139" w:type="dxa"/>
            <w:gridSpan w:val="3"/>
            <w:tcBorders>
              <w:top w:val="single" w:sz="4" w:space="0" w:color="auto"/>
              <w:left w:val="single" w:sz="4" w:space="0" w:color="auto"/>
              <w:bottom w:val="single" w:sz="4" w:space="0" w:color="auto"/>
              <w:right w:val="single" w:sz="4" w:space="0" w:color="auto"/>
            </w:tcBorders>
          </w:tcPr>
          <w:p w14:paraId="2D0579B9" w14:textId="77777777" w:rsidR="003A71DE" w:rsidRPr="00967E5D" w:rsidRDefault="003A71DE" w:rsidP="00E33F84">
            <w:pPr>
              <w:pStyle w:val="TAC"/>
            </w:pPr>
            <w:r w:rsidRPr="00967E5D">
              <w:t>AWGN</w:t>
            </w:r>
          </w:p>
        </w:tc>
      </w:tr>
      <w:tr w:rsidR="003A71DE" w:rsidRPr="00967E5D" w14:paraId="595838FD" w14:textId="77777777" w:rsidTr="003A71DE">
        <w:trPr>
          <w:trHeight w:val="187"/>
          <w:jc w:val="center"/>
        </w:trPr>
        <w:tc>
          <w:tcPr>
            <w:tcW w:w="2263" w:type="dxa"/>
            <w:tcBorders>
              <w:top w:val="single" w:sz="4" w:space="0" w:color="auto"/>
              <w:left w:val="single" w:sz="4" w:space="0" w:color="auto"/>
              <w:bottom w:val="single" w:sz="4" w:space="0" w:color="auto"/>
              <w:right w:val="single" w:sz="4" w:space="0" w:color="auto"/>
            </w:tcBorders>
          </w:tcPr>
          <w:p w14:paraId="2913E7F9" w14:textId="77777777" w:rsidR="003A71DE" w:rsidRPr="00967E5D" w:rsidRDefault="003A71DE" w:rsidP="00E33F84">
            <w:pPr>
              <w:pStyle w:val="TAL"/>
            </w:pPr>
            <w:r w:rsidRPr="00967E5D">
              <w:t>SRS Config</w:t>
            </w:r>
          </w:p>
        </w:tc>
        <w:tc>
          <w:tcPr>
            <w:tcW w:w="1387" w:type="dxa"/>
            <w:tcBorders>
              <w:top w:val="single" w:sz="4" w:space="0" w:color="auto"/>
              <w:left w:val="single" w:sz="4" w:space="0" w:color="auto"/>
              <w:bottom w:val="single" w:sz="4" w:space="0" w:color="auto"/>
              <w:right w:val="single" w:sz="4" w:space="0" w:color="auto"/>
            </w:tcBorders>
          </w:tcPr>
          <w:p w14:paraId="7BB705EF" w14:textId="77777777" w:rsidR="003A71DE" w:rsidRPr="00967E5D" w:rsidRDefault="003A71DE" w:rsidP="00E33F84">
            <w:pPr>
              <w:pStyle w:val="TAC"/>
            </w:pPr>
          </w:p>
        </w:tc>
        <w:tc>
          <w:tcPr>
            <w:tcW w:w="1434" w:type="dxa"/>
            <w:tcBorders>
              <w:top w:val="single" w:sz="4" w:space="0" w:color="auto"/>
              <w:left w:val="single" w:sz="4" w:space="0" w:color="auto"/>
              <w:bottom w:val="single" w:sz="4" w:space="0" w:color="auto"/>
              <w:right w:val="single" w:sz="4" w:space="0" w:color="auto"/>
            </w:tcBorders>
          </w:tcPr>
          <w:p w14:paraId="376B90CB" w14:textId="77777777" w:rsidR="003A71DE" w:rsidRPr="00967E5D" w:rsidRDefault="003A71DE" w:rsidP="00E33F84">
            <w:pPr>
              <w:pStyle w:val="TAC"/>
            </w:pPr>
            <w:r w:rsidRPr="00967E5D">
              <w:t>1</w:t>
            </w:r>
          </w:p>
        </w:tc>
        <w:tc>
          <w:tcPr>
            <w:tcW w:w="1437" w:type="dxa"/>
            <w:tcBorders>
              <w:top w:val="single" w:sz="4" w:space="0" w:color="auto"/>
              <w:left w:val="single" w:sz="4" w:space="0" w:color="auto"/>
              <w:bottom w:val="single" w:sz="4" w:space="0" w:color="auto"/>
              <w:right w:val="single" w:sz="4" w:space="0" w:color="auto"/>
            </w:tcBorders>
          </w:tcPr>
          <w:p w14:paraId="349E9609" w14:textId="77777777" w:rsidR="003A71DE" w:rsidRPr="00967E5D" w:rsidRDefault="003A71DE" w:rsidP="00E33F84">
            <w:pPr>
              <w:pStyle w:val="TAC"/>
              <w:rPr>
                <w:rFonts w:eastAsia="SimSun"/>
                <w:lang w:val="en-US" w:eastAsia="zh-CN"/>
              </w:rPr>
            </w:pPr>
            <w:r w:rsidRPr="00967E5D">
              <w:t>SRSConf.1</w:t>
            </w:r>
            <w:r w:rsidRPr="00967E5D">
              <w:rPr>
                <w:vertAlign w:val="superscript"/>
              </w:rPr>
              <w:t>Note</w:t>
            </w:r>
            <w:r w:rsidRPr="00967E5D">
              <w:rPr>
                <w:rFonts w:eastAsia="SimSun" w:hint="eastAsia"/>
                <w:vertAlign w:val="superscript"/>
                <w:lang w:val="en-US" w:eastAsia="zh-CN"/>
              </w:rPr>
              <w:t>5</w:t>
            </w:r>
          </w:p>
        </w:tc>
        <w:tc>
          <w:tcPr>
            <w:tcW w:w="1702" w:type="dxa"/>
            <w:gridSpan w:val="2"/>
            <w:tcBorders>
              <w:top w:val="single" w:sz="4" w:space="0" w:color="auto"/>
              <w:left w:val="single" w:sz="4" w:space="0" w:color="auto"/>
              <w:bottom w:val="single" w:sz="4" w:space="0" w:color="auto"/>
              <w:right w:val="single" w:sz="4" w:space="0" w:color="auto"/>
            </w:tcBorders>
          </w:tcPr>
          <w:p w14:paraId="42EEAC63" w14:textId="77777777" w:rsidR="003A71DE" w:rsidRPr="00967E5D" w:rsidRDefault="003A71DE" w:rsidP="00E33F84">
            <w:pPr>
              <w:pStyle w:val="TAC"/>
              <w:rPr>
                <w:rFonts w:eastAsia="SimSun"/>
                <w:lang w:val="en-US" w:eastAsia="zh-CN"/>
              </w:rPr>
            </w:pPr>
            <w:r w:rsidRPr="00967E5D">
              <w:t>SRSConf.2</w:t>
            </w:r>
            <w:r w:rsidRPr="00967E5D">
              <w:rPr>
                <w:vertAlign w:val="superscript"/>
              </w:rPr>
              <w:t>Note</w:t>
            </w:r>
            <w:r w:rsidRPr="00967E5D">
              <w:rPr>
                <w:rFonts w:eastAsia="SimSun" w:hint="eastAsia"/>
                <w:vertAlign w:val="superscript"/>
                <w:lang w:val="en-US" w:eastAsia="zh-CN"/>
              </w:rPr>
              <w:t>5</w:t>
            </w:r>
          </w:p>
        </w:tc>
      </w:tr>
      <w:tr w:rsidR="003A71DE" w:rsidRPr="00967E5D" w14:paraId="1153AA6C" w14:textId="77777777" w:rsidTr="003A71DE">
        <w:trPr>
          <w:jc w:val="center"/>
        </w:trPr>
        <w:tc>
          <w:tcPr>
            <w:tcW w:w="8223" w:type="dxa"/>
            <w:gridSpan w:val="6"/>
            <w:tcBorders>
              <w:top w:val="single" w:sz="4" w:space="0" w:color="auto"/>
              <w:left w:val="single" w:sz="4" w:space="0" w:color="auto"/>
              <w:bottom w:val="single" w:sz="4" w:space="0" w:color="auto"/>
              <w:right w:val="single" w:sz="4" w:space="0" w:color="auto"/>
            </w:tcBorders>
          </w:tcPr>
          <w:p w14:paraId="288F38C0" w14:textId="77777777" w:rsidR="003A71DE" w:rsidRPr="00967E5D" w:rsidRDefault="003A71DE" w:rsidP="00E33F84">
            <w:pPr>
              <w:pStyle w:val="TAN"/>
            </w:pPr>
            <w:r w:rsidRPr="00967E5D">
              <w:t>Note 1:</w:t>
            </w:r>
            <w:r w:rsidRPr="00967E5D">
              <w:tab/>
              <w:t>OCNG shall be used such that both cells are fully allocated and a constant total transmitted power spectral density is achieved for all OFDM symbols.</w:t>
            </w:r>
          </w:p>
          <w:p w14:paraId="1980D460" w14:textId="77777777" w:rsidR="003A71DE" w:rsidRPr="00967E5D" w:rsidRDefault="003A71DE" w:rsidP="00E33F84">
            <w:pPr>
              <w:pStyle w:val="TAN"/>
            </w:pPr>
            <w:r w:rsidRPr="00967E5D">
              <w:t>Note 2:</w:t>
            </w:r>
            <w:r w:rsidRPr="00967E5D">
              <w:tab/>
              <w:t xml:space="preserve">Interference from other cells and noise sources not specified in the test is assumed to be constant over subcarriers and time and shall be modelled as AWGN of appropriate power for </w:t>
            </w:r>
            <w:r w:rsidRPr="00967E5D">
              <w:rPr>
                <w:rFonts w:eastAsiaTheme="minorEastAsia"/>
                <w:position w:val="-12"/>
              </w:rPr>
              <w:object w:dxaOrig="440" w:dyaOrig="290" w14:anchorId="5C66295D">
                <v:shape id="_x0000_i1085" type="#_x0000_t75" style="width:22.15pt;height:14.4pt" o:ole="">
                  <v:imagedata r:id="rId71" o:title=""/>
                </v:shape>
                <o:OLEObject Type="Embed" ProgID="Equation.3" ShapeID="_x0000_i1085" DrawAspect="Content" ObjectID="_1734764465" r:id="rId107"/>
              </w:object>
            </w:r>
            <w:r w:rsidRPr="00967E5D">
              <w:t xml:space="preserve"> to be fulfilled.</w:t>
            </w:r>
          </w:p>
          <w:p w14:paraId="7E602A4F" w14:textId="77777777" w:rsidR="003A71DE" w:rsidRPr="00967E5D" w:rsidRDefault="003A71DE" w:rsidP="00E33F84">
            <w:pPr>
              <w:pStyle w:val="TAN"/>
            </w:pPr>
            <w:r w:rsidRPr="00967E5D">
              <w:t>Note 3:</w:t>
            </w:r>
            <w:r w:rsidRPr="00967E5D">
              <w:tab/>
              <w:t>SS-RSRP and Io levels have been derived from other parameters for information purposes. They are not settable parameters themselves.</w:t>
            </w:r>
          </w:p>
          <w:p w14:paraId="4A4404D2" w14:textId="77777777" w:rsidR="003A71DE" w:rsidRPr="00967E5D" w:rsidRDefault="003A71DE" w:rsidP="00E33F84">
            <w:pPr>
              <w:pStyle w:val="TAN"/>
            </w:pPr>
            <w:r w:rsidRPr="00967E5D">
              <w:t>Note 4:</w:t>
            </w:r>
            <w:r w:rsidRPr="00967E5D">
              <w:tab/>
              <w:t>SS-RSRP minimum requirements are specified assuming independent interference and noise at each receiver antenna port.</w:t>
            </w:r>
          </w:p>
          <w:p w14:paraId="2E79CA53" w14:textId="77777777" w:rsidR="003A71DE" w:rsidRPr="00967E5D" w:rsidRDefault="003A71DE" w:rsidP="00E33F84">
            <w:pPr>
              <w:pStyle w:val="TAN"/>
            </w:pPr>
            <w:r w:rsidRPr="00967E5D">
              <w:t xml:space="preserve">Note </w:t>
            </w:r>
            <w:r w:rsidRPr="00967E5D">
              <w:rPr>
                <w:rFonts w:eastAsia="SimSun" w:hint="eastAsia"/>
                <w:lang w:val="en-US" w:eastAsia="zh-CN"/>
              </w:rPr>
              <w:t>5</w:t>
            </w:r>
            <w:r w:rsidRPr="00967E5D">
              <w:t>:</w:t>
            </w:r>
            <w:r w:rsidRPr="00967E5D">
              <w:tab/>
              <w:t xml:space="preserve">SRS configs are given in Table </w:t>
            </w:r>
            <w:r w:rsidRPr="00967E5D">
              <w:rPr>
                <w:rFonts w:eastAsia="SimSun" w:hint="eastAsia"/>
                <w:lang w:eastAsia="zh-CN"/>
              </w:rPr>
              <w:t>G.2.2</w:t>
            </w:r>
            <w:r w:rsidRPr="00967E5D">
              <w:t>.1.</w:t>
            </w:r>
            <w:r w:rsidRPr="00967E5D">
              <w:rPr>
                <w:rFonts w:eastAsia="SimSun" w:hint="eastAsia"/>
                <w:lang w:val="en-US" w:eastAsia="zh-CN"/>
              </w:rPr>
              <w:t>2</w:t>
            </w:r>
            <w:r w:rsidRPr="00967E5D">
              <w:t>.1-3</w:t>
            </w:r>
          </w:p>
        </w:tc>
      </w:tr>
    </w:tbl>
    <w:p w14:paraId="51BDA3A9" w14:textId="77777777" w:rsidR="003A71DE" w:rsidRPr="00967E5D" w:rsidRDefault="003A71DE" w:rsidP="003A71DE">
      <w:pPr>
        <w:spacing w:line="259" w:lineRule="auto"/>
      </w:pPr>
    </w:p>
    <w:p w14:paraId="733C6D99" w14:textId="77777777" w:rsidR="003A71DE" w:rsidRPr="00967E5D" w:rsidRDefault="003A71DE" w:rsidP="00746C0D">
      <w:pPr>
        <w:pStyle w:val="TH"/>
      </w:pPr>
      <w:bookmarkStart w:id="10233" w:name="_Hlk16712639"/>
      <w:r w:rsidRPr="00967E5D">
        <w:lastRenderedPageBreak/>
        <w:t xml:space="preserve">Table </w:t>
      </w:r>
      <w:r w:rsidRPr="00967E5D">
        <w:rPr>
          <w:rFonts w:eastAsia="SimSun" w:hint="eastAsia"/>
          <w:lang w:eastAsia="zh-CN"/>
        </w:rPr>
        <w:t>G.2.2</w:t>
      </w:r>
      <w:r w:rsidRPr="00967E5D">
        <w:t>.1.</w:t>
      </w:r>
      <w:r w:rsidRPr="00967E5D">
        <w:rPr>
          <w:rFonts w:eastAsia="SimSun" w:hint="eastAsia"/>
          <w:lang w:val="en-US" w:eastAsia="zh-CN"/>
        </w:rPr>
        <w:t>2</w:t>
      </w:r>
      <w:r w:rsidRPr="00967E5D">
        <w:t>.1-2A: OTA related test parameters</w:t>
      </w:r>
    </w:p>
    <w:tbl>
      <w:tblPr>
        <w:tblW w:w="82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05"/>
        <w:gridCol w:w="2294"/>
        <w:gridCol w:w="1661"/>
        <w:gridCol w:w="1715"/>
      </w:tblGrid>
      <w:tr w:rsidR="003A71DE" w:rsidRPr="00967E5D" w14:paraId="0E2A35F4" w14:textId="77777777" w:rsidTr="003A71DE">
        <w:trPr>
          <w:trHeight w:val="237"/>
          <w:jc w:val="center"/>
        </w:trPr>
        <w:tc>
          <w:tcPr>
            <w:tcW w:w="2605" w:type="dxa"/>
            <w:tcBorders>
              <w:top w:val="single" w:sz="4" w:space="0" w:color="auto"/>
              <w:left w:val="single" w:sz="4" w:space="0" w:color="auto"/>
              <w:bottom w:val="single" w:sz="4" w:space="0" w:color="auto"/>
              <w:right w:val="single" w:sz="4" w:space="0" w:color="auto"/>
            </w:tcBorders>
            <w:vAlign w:val="center"/>
          </w:tcPr>
          <w:p w14:paraId="7045734D" w14:textId="77777777" w:rsidR="003A71DE" w:rsidRPr="00967E5D" w:rsidRDefault="003A71DE" w:rsidP="00E33F84">
            <w:pPr>
              <w:pStyle w:val="TAH"/>
              <w:rPr>
                <w:lang w:eastAsia="fr-FR"/>
              </w:rPr>
            </w:pPr>
            <w:bookmarkStart w:id="10234" w:name="_Hlk16723823"/>
            <w:r w:rsidRPr="00967E5D">
              <w:rPr>
                <w:lang w:eastAsia="fr-FR"/>
              </w:rPr>
              <w:t>Parameter</w:t>
            </w:r>
          </w:p>
        </w:tc>
        <w:tc>
          <w:tcPr>
            <w:tcW w:w="2294" w:type="dxa"/>
            <w:tcBorders>
              <w:top w:val="single" w:sz="4" w:space="0" w:color="auto"/>
              <w:left w:val="single" w:sz="4" w:space="0" w:color="auto"/>
              <w:bottom w:val="single" w:sz="4" w:space="0" w:color="auto"/>
              <w:right w:val="single" w:sz="4" w:space="0" w:color="auto"/>
            </w:tcBorders>
            <w:vAlign w:val="center"/>
          </w:tcPr>
          <w:p w14:paraId="33654064" w14:textId="77777777" w:rsidR="003A71DE" w:rsidRPr="00967E5D" w:rsidRDefault="003A71DE" w:rsidP="00E33F84">
            <w:pPr>
              <w:pStyle w:val="TAH"/>
              <w:rPr>
                <w:lang w:eastAsia="fr-FR"/>
              </w:rPr>
            </w:pPr>
            <w:r w:rsidRPr="00967E5D">
              <w:rPr>
                <w:lang w:eastAsia="fr-FR"/>
              </w:rPr>
              <w:t>Unit</w:t>
            </w:r>
          </w:p>
        </w:tc>
        <w:tc>
          <w:tcPr>
            <w:tcW w:w="1661" w:type="dxa"/>
            <w:tcBorders>
              <w:top w:val="single" w:sz="4" w:space="0" w:color="auto"/>
              <w:left w:val="single" w:sz="4" w:space="0" w:color="auto"/>
              <w:right w:val="single" w:sz="4" w:space="0" w:color="auto"/>
            </w:tcBorders>
            <w:vAlign w:val="center"/>
          </w:tcPr>
          <w:p w14:paraId="4E641A10" w14:textId="77777777" w:rsidR="003A71DE" w:rsidRPr="00967E5D" w:rsidRDefault="003A71DE" w:rsidP="00E33F84">
            <w:pPr>
              <w:pStyle w:val="TAH"/>
              <w:rPr>
                <w:lang w:eastAsia="fr-FR"/>
              </w:rPr>
            </w:pPr>
            <w:r w:rsidRPr="00967E5D">
              <w:rPr>
                <w:lang w:eastAsia="fr-FR"/>
              </w:rPr>
              <w:t>Test 1</w:t>
            </w:r>
          </w:p>
        </w:tc>
        <w:tc>
          <w:tcPr>
            <w:tcW w:w="1715" w:type="dxa"/>
            <w:tcBorders>
              <w:top w:val="single" w:sz="4" w:space="0" w:color="auto"/>
              <w:left w:val="single" w:sz="4" w:space="0" w:color="auto"/>
              <w:right w:val="single" w:sz="4" w:space="0" w:color="auto"/>
            </w:tcBorders>
            <w:vAlign w:val="center"/>
          </w:tcPr>
          <w:p w14:paraId="7148BA91" w14:textId="77777777" w:rsidR="003A71DE" w:rsidRPr="00967E5D" w:rsidRDefault="003A71DE" w:rsidP="00E33F84">
            <w:pPr>
              <w:pStyle w:val="TAH"/>
              <w:rPr>
                <w:lang w:eastAsia="fr-FR"/>
              </w:rPr>
            </w:pPr>
            <w:r w:rsidRPr="00967E5D">
              <w:rPr>
                <w:lang w:eastAsia="fr-FR"/>
              </w:rPr>
              <w:t>Test 2</w:t>
            </w:r>
          </w:p>
        </w:tc>
      </w:tr>
      <w:tr w:rsidR="003A71DE" w:rsidRPr="00967E5D" w14:paraId="71767AAD" w14:textId="77777777" w:rsidTr="003A71DE">
        <w:trPr>
          <w:trHeight w:val="20"/>
          <w:jc w:val="center"/>
        </w:trPr>
        <w:tc>
          <w:tcPr>
            <w:tcW w:w="2605" w:type="dxa"/>
            <w:tcBorders>
              <w:top w:val="single" w:sz="4" w:space="0" w:color="auto"/>
              <w:left w:val="single" w:sz="4" w:space="0" w:color="auto"/>
              <w:bottom w:val="single" w:sz="4" w:space="0" w:color="auto"/>
              <w:right w:val="single" w:sz="4" w:space="0" w:color="auto"/>
            </w:tcBorders>
            <w:vAlign w:val="center"/>
          </w:tcPr>
          <w:p w14:paraId="04648D10" w14:textId="77777777" w:rsidR="003A71DE" w:rsidRPr="00967E5D" w:rsidRDefault="003A71DE" w:rsidP="00E33F84">
            <w:pPr>
              <w:pStyle w:val="TAL"/>
              <w:rPr>
                <w:lang w:eastAsia="fr-FR"/>
              </w:rPr>
            </w:pPr>
            <w:r w:rsidRPr="00967E5D">
              <w:rPr>
                <w:lang w:eastAsia="fr-FR"/>
              </w:rPr>
              <w:t>Angle of arrival configuration</w:t>
            </w:r>
          </w:p>
        </w:tc>
        <w:tc>
          <w:tcPr>
            <w:tcW w:w="2294" w:type="dxa"/>
            <w:tcBorders>
              <w:top w:val="single" w:sz="4" w:space="0" w:color="auto"/>
              <w:left w:val="single" w:sz="4" w:space="0" w:color="auto"/>
              <w:bottom w:val="single" w:sz="4" w:space="0" w:color="auto"/>
              <w:right w:val="single" w:sz="4" w:space="0" w:color="auto"/>
            </w:tcBorders>
          </w:tcPr>
          <w:p w14:paraId="208453DD" w14:textId="77777777" w:rsidR="003A71DE" w:rsidRPr="00967E5D" w:rsidRDefault="003A71DE" w:rsidP="00E33F84">
            <w:pPr>
              <w:pStyle w:val="TAC"/>
              <w:rPr>
                <w:lang w:eastAsia="fr-FR"/>
              </w:rPr>
            </w:pPr>
          </w:p>
        </w:tc>
        <w:tc>
          <w:tcPr>
            <w:tcW w:w="3376" w:type="dxa"/>
            <w:gridSpan w:val="2"/>
            <w:tcBorders>
              <w:top w:val="single" w:sz="4" w:space="0" w:color="auto"/>
              <w:left w:val="single" w:sz="4" w:space="0" w:color="auto"/>
              <w:bottom w:val="single" w:sz="4" w:space="0" w:color="auto"/>
              <w:right w:val="single" w:sz="4" w:space="0" w:color="auto"/>
            </w:tcBorders>
          </w:tcPr>
          <w:p w14:paraId="0F920FD8" w14:textId="77777777" w:rsidR="003A71DE" w:rsidRPr="00967E5D" w:rsidRDefault="003A71DE" w:rsidP="00E33F84">
            <w:pPr>
              <w:pStyle w:val="TAC"/>
              <w:rPr>
                <w:lang w:eastAsia="fr-FR"/>
              </w:rPr>
            </w:pPr>
            <w:r w:rsidRPr="00967E5D">
              <w:rPr>
                <w:lang w:eastAsia="fr-FR"/>
              </w:rPr>
              <w:t>Setup 1 according to clause G.1.8</w:t>
            </w:r>
          </w:p>
        </w:tc>
      </w:tr>
      <w:tr w:rsidR="003A71DE" w:rsidRPr="00967E5D" w14:paraId="04C54311" w14:textId="77777777" w:rsidTr="003A71DE">
        <w:trPr>
          <w:trHeight w:val="20"/>
          <w:jc w:val="center"/>
        </w:trPr>
        <w:tc>
          <w:tcPr>
            <w:tcW w:w="2605" w:type="dxa"/>
            <w:tcBorders>
              <w:top w:val="single" w:sz="4" w:space="0" w:color="auto"/>
              <w:left w:val="single" w:sz="4" w:space="0" w:color="auto"/>
              <w:right w:val="single" w:sz="4" w:space="0" w:color="auto"/>
            </w:tcBorders>
            <w:vAlign w:val="center"/>
          </w:tcPr>
          <w:p w14:paraId="694D3B4D" w14:textId="77777777" w:rsidR="003A71DE" w:rsidRPr="00967E5D" w:rsidRDefault="003A71DE" w:rsidP="00E33F84">
            <w:pPr>
              <w:pStyle w:val="TAL"/>
              <w:rPr>
                <w:vertAlign w:val="superscript"/>
                <w:lang w:eastAsia="fr-FR"/>
              </w:rPr>
            </w:pPr>
            <w:r w:rsidRPr="00967E5D">
              <w:rPr>
                <w:rFonts w:eastAsia="Calibri"/>
                <w:position w:val="-12"/>
                <w:szCs w:val="22"/>
                <w:lang w:eastAsia="fr-FR"/>
              </w:rPr>
              <w:object w:dxaOrig="290" w:dyaOrig="290" w14:anchorId="564DC7F3">
                <v:shape id="_x0000_i1086" type="#_x0000_t75" style="width:14.4pt;height:14.4pt" o:ole="">
                  <v:imagedata r:id="rId71" o:title=""/>
                </v:shape>
                <o:OLEObject Type="Embed" ProgID="Equation.3" ShapeID="_x0000_i1086" DrawAspect="Content" ObjectID="_1734764466" r:id="rId108"/>
              </w:object>
            </w:r>
            <w:r w:rsidRPr="00967E5D">
              <w:rPr>
                <w:vertAlign w:val="superscript"/>
                <w:lang w:eastAsia="fr-FR"/>
              </w:rPr>
              <w:t>Note1</w:t>
            </w:r>
          </w:p>
          <w:p w14:paraId="52E8EDEF" w14:textId="77777777" w:rsidR="003A71DE" w:rsidRPr="00967E5D" w:rsidRDefault="003A71DE" w:rsidP="00E33F84">
            <w:pPr>
              <w:pStyle w:val="TAL"/>
              <w:rPr>
                <w:lang w:eastAsia="fr-FR"/>
              </w:rPr>
            </w:pPr>
          </w:p>
        </w:tc>
        <w:tc>
          <w:tcPr>
            <w:tcW w:w="2294" w:type="dxa"/>
            <w:tcBorders>
              <w:top w:val="single" w:sz="4" w:space="0" w:color="auto"/>
              <w:left w:val="single" w:sz="4" w:space="0" w:color="auto"/>
              <w:bottom w:val="single" w:sz="4" w:space="0" w:color="auto"/>
              <w:right w:val="single" w:sz="4" w:space="0" w:color="auto"/>
            </w:tcBorders>
          </w:tcPr>
          <w:p w14:paraId="4CFCD86B" w14:textId="77777777" w:rsidR="003A71DE" w:rsidRPr="00967E5D" w:rsidRDefault="003A71DE" w:rsidP="00E33F84">
            <w:pPr>
              <w:pStyle w:val="TAC"/>
              <w:rPr>
                <w:lang w:eastAsia="fr-FR"/>
              </w:rPr>
            </w:pPr>
            <w:r w:rsidRPr="00967E5D">
              <w:rPr>
                <w:lang w:eastAsia="fr-FR"/>
              </w:rPr>
              <w:t>dBm/15kHz</w:t>
            </w:r>
            <w:r w:rsidRPr="00967E5D">
              <w:rPr>
                <w:vertAlign w:val="superscript"/>
                <w:lang w:eastAsia="fr-FR"/>
              </w:rPr>
              <w:t>Note4</w:t>
            </w:r>
          </w:p>
        </w:tc>
        <w:tc>
          <w:tcPr>
            <w:tcW w:w="3376" w:type="dxa"/>
            <w:gridSpan w:val="2"/>
            <w:tcBorders>
              <w:top w:val="single" w:sz="4" w:space="0" w:color="auto"/>
              <w:left w:val="single" w:sz="4" w:space="0" w:color="auto"/>
              <w:bottom w:val="single" w:sz="4" w:space="0" w:color="auto"/>
              <w:right w:val="single" w:sz="4" w:space="0" w:color="auto"/>
            </w:tcBorders>
          </w:tcPr>
          <w:p w14:paraId="1B075E9C" w14:textId="77777777" w:rsidR="003A71DE" w:rsidRPr="00967E5D" w:rsidRDefault="003A71DE" w:rsidP="00E33F84">
            <w:pPr>
              <w:pStyle w:val="TAC"/>
              <w:rPr>
                <w:lang w:eastAsia="fr-FR"/>
              </w:rPr>
            </w:pPr>
            <w:r w:rsidRPr="00967E5D">
              <w:rPr>
                <w:lang w:eastAsia="fr-FR"/>
              </w:rPr>
              <w:t>-112</w:t>
            </w:r>
          </w:p>
        </w:tc>
      </w:tr>
      <w:tr w:rsidR="003A71DE" w:rsidRPr="00967E5D" w14:paraId="7203CC0C" w14:textId="77777777" w:rsidTr="003A71DE">
        <w:trPr>
          <w:trHeight w:val="20"/>
          <w:jc w:val="center"/>
        </w:trPr>
        <w:tc>
          <w:tcPr>
            <w:tcW w:w="2605" w:type="dxa"/>
            <w:tcBorders>
              <w:top w:val="single" w:sz="4" w:space="0" w:color="auto"/>
              <w:left w:val="single" w:sz="4" w:space="0" w:color="auto"/>
              <w:right w:val="single" w:sz="4" w:space="0" w:color="auto"/>
            </w:tcBorders>
            <w:vAlign w:val="center"/>
          </w:tcPr>
          <w:p w14:paraId="1EAAA617" w14:textId="77777777" w:rsidR="003A71DE" w:rsidRPr="00967E5D" w:rsidRDefault="003A71DE" w:rsidP="00E33F84">
            <w:pPr>
              <w:pStyle w:val="TAL"/>
              <w:rPr>
                <w:vertAlign w:val="superscript"/>
                <w:lang w:eastAsia="fr-FR"/>
              </w:rPr>
            </w:pPr>
            <w:r w:rsidRPr="00967E5D">
              <w:rPr>
                <w:rFonts w:eastAsia="Calibri"/>
                <w:position w:val="-12"/>
                <w:szCs w:val="22"/>
                <w:lang w:eastAsia="fr-FR"/>
              </w:rPr>
              <w:object w:dxaOrig="290" w:dyaOrig="290" w14:anchorId="00FC9617">
                <v:shape id="_x0000_i1087" type="#_x0000_t75" style="width:14.4pt;height:14.4pt" o:ole="">
                  <v:imagedata r:id="rId71" o:title=""/>
                </v:shape>
                <o:OLEObject Type="Embed" ProgID="Equation.3" ShapeID="_x0000_i1087" DrawAspect="Content" ObjectID="_1734764467" r:id="rId109"/>
              </w:object>
            </w:r>
            <w:r w:rsidRPr="00967E5D">
              <w:rPr>
                <w:vertAlign w:val="superscript"/>
                <w:lang w:eastAsia="fr-FR"/>
              </w:rPr>
              <w:t>Note1</w:t>
            </w:r>
          </w:p>
          <w:p w14:paraId="13B27BB4" w14:textId="77777777" w:rsidR="003A71DE" w:rsidRPr="00967E5D" w:rsidRDefault="003A71DE" w:rsidP="00E33F84">
            <w:pPr>
              <w:pStyle w:val="TAL"/>
              <w:rPr>
                <w:lang w:eastAsia="fr-FR"/>
              </w:rPr>
            </w:pPr>
          </w:p>
        </w:tc>
        <w:tc>
          <w:tcPr>
            <w:tcW w:w="2294" w:type="dxa"/>
            <w:tcBorders>
              <w:top w:val="single" w:sz="4" w:space="0" w:color="auto"/>
              <w:left w:val="single" w:sz="4" w:space="0" w:color="auto"/>
              <w:bottom w:val="single" w:sz="4" w:space="0" w:color="auto"/>
              <w:right w:val="single" w:sz="4" w:space="0" w:color="auto"/>
            </w:tcBorders>
          </w:tcPr>
          <w:p w14:paraId="41405679" w14:textId="77777777" w:rsidR="003A71DE" w:rsidRPr="00967E5D" w:rsidRDefault="003A71DE" w:rsidP="00E33F84">
            <w:pPr>
              <w:pStyle w:val="TAC"/>
              <w:rPr>
                <w:lang w:eastAsia="fr-FR"/>
              </w:rPr>
            </w:pPr>
            <w:r w:rsidRPr="00967E5D">
              <w:rPr>
                <w:lang w:eastAsia="fr-FR"/>
              </w:rPr>
              <w:t>dBm/SCS</w:t>
            </w:r>
            <w:r w:rsidRPr="00967E5D">
              <w:rPr>
                <w:vertAlign w:val="superscript"/>
                <w:lang w:eastAsia="fr-FR"/>
              </w:rPr>
              <w:t>Note3</w:t>
            </w:r>
          </w:p>
        </w:tc>
        <w:tc>
          <w:tcPr>
            <w:tcW w:w="3376" w:type="dxa"/>
            <w:gridSpan w:val="2"/>
            <w:tcBorders>
              <w:top w:val="single" w:sz="4" w:space="0" w:color="auto"/>
              <w:left w:val="single" w:sz="4" w:space="0" w:color="auto"/>
              <w:bottom w:val="single" w:sz="4" w:space="0" w:color="auto"/>
              <w:right w:val="single" w:sz="4" w:space="0" w:color="auto"/>
            </w:tcBorders>
          </w:tcPr>
          <w:p w14:paraId="5C422EA1" w14:textId="77777777" w:rsidR="003A71DE" w:rsidRPr="00967E5D" w:rsidRDefault="003A71DE" w:rsidP="00E33F84">
            <w:pPr>
              <w:pStyle w:val="TAC"/>
              <w:rPr>
                <w:lang w:eastAsia="fr-FR"/>
              </w:rPr>
            </w:pPr>
            <w:r w:rsidRPr="00967E5D">
              <w:rPr>
                <w:lang w:eastAsia="fr-FR"/>
              </w:rPr>
              <w:t>-103</w:t>
            </w:r>
          </w:p>
        </w:tc>
      </w:tr>
      <w:tr w:rsidR="003A71DE" w:rsidRPr="00967E5D" w14:paraId="5A4055CE" w14:textId="77777777" w:rsidTr="003A71DE">
        <w:trPr>
          <w:trHeight w:val="20"/>
          <w:jc w:val="center"/>
        </w:trPr>
        <w:tc>
          <w:tcPr>
            <w:tcW w:w="2605" w:type="dxa"/>
            <w:tcBorders>
              <w:top w:val="single" w:sz="4" w:space="0" w:color="auto"/>
              <w:left w:val="single" w:sz="4" w:space="0" w:color="auto"/>
              <w:right w:val="single" w:sz="4" w:space="0" w:color="auto"/>
            </w:tcBorders>
            <w:vAlign w:val="center"/>
          </w:tcPr>
          <w:p w14:paraId="16B7E857" w14:textId="77777777" w:rsidR="003A71DE" w:rsidRPr="00967E5D" w:rsidRDefault="003A71DE" w:rsidP="00E33F84">
            <w:pPr>
              <w:pStyle w:val="TAL"/>
              <w:rPr>
                <w:rFonts w:eastAsia="Calibri"/>
                <w:szCs w:val="22"/>
                <w:lang w:eastAsia="fr-FR"/>
              </w:rPr>
            </w:pPr>
            <w:r w:rsidRPr="00967E5D">
              <w:rPr>
                <w:rFonts w:eastAsia="Calibri"/>
                <w:position w:val="-12"/>
                <w:szCs w:val="22"/>
                <w:lang w:eastAsia="fr-FR"/>
              </w:rPr>
              <w:object w:dxaOrig="720" w:dyaOrig="440" w14:anchorId="7516978A">
                <v:shape id="_x0000_i1088" type="#_x0000_t75" style="width:37.1pt;height:22.15pt" o:ole="">
                  <v:imagedata r:id="rId110" o:title=""/>
                </v:shape>
                <o:OLEObject Type="Embed" ProgID="Equation.3" ShapeID="_x0000_i1088" DrawAspect="Content" ObjectID="_1734764468" r:id="rId111"/>
              </w:object>
            </w:r>
          </w:p>
        </w:tc>
        <w:tc>
          <w:tcPr>
            <w:tcW w:w="2294" w:type="dxa"/>
            <w:tcBorders>
              <w:top w:val="single" w:sz="4" w:space="0" w:color="auto"/>
              <w:left w:val="single" w:sz="4" w:space="0" w:color="auto"/>
              <w:bottom w:val="single" w:sz="4" w:space="0" w:color="auto"/>
              <w:right w:val="single" w:sz="4" w:space="0" w:color="auto"/>
            </w:tcBorders>
          </w:tcPr>
          <w:p w14:paraId="28590E60" w14:textId="77777777" w:rsidR="003A71DE" w:rsidRPr="00967E5D" w:rsidRDefault="003A71DE" w:rsidP="00E33F84">
            <w:pPr>
              <w:pStyle w:val="TAC"/>
              <w:rPr>
                <w:lang w:eastAsia="fr-FR"/>
              </w:rPr>
            </w:pPr>
            <w:r w:rsidRPr="00967E5D">
              <w:rPr>
                <w:lang w:eastAsia="fr-FR"/>
              </w:rPr>
              <w:t>dB</w:t>
            </w:r>
          </w:p>
        </w:tc>
        <w:tc>
          <w:tcPr>
            <w:tcW w:w="3376" w:type="dxa"/>
            <w:gridSpan w:val="2"/>
            <w:tcBorders>
              <w:top w:val="single" w:sz="4" w:space="0" w:color="auto"/>
              <w:left w:val="single" w:sz="4" w:space="0" w:color="auto"/>
              <w:bottom w:val="single" w:sz="4" w:space="0" w:color="auto"/>
              <w:right w:val="single" w:sz="4" w:space="0" w:color="auto"/>
            </w:tcBorders>
          </w:tcPr>
          <w:p w14:paraId="7B893843" w14:textId="77777777" w:rsidR="003A71DE" w:rsidRPr="00967E5D" w:rsidRDefault="003A71DE" w:rsidP="00E33F84">
            <w:pPr>
              <w:pStyle w:val="TAC"/>
              <w:rPr>
                <w:lang w:eastAsia="fr-FR"/>
              </w:rPr>
            </w:pPr>
            <w:r w:rsidRPr="00967E5D">
              <w:rPr>
                <w:lang w:eastAsia="fr-FR"/>
              </w:rPr>
              <w:t>4</w:t>
            </w:r>
          </w:p>
        </w:tc>
      </w:tr>
      <w:tr w:rsidR="003A71DE" w:rsidRPr="00967E5D" w14:paraId="71E7FAA6" w14:textId="77777777" w:rsidTr="003A71DE">
        <w:trPr>
          <w:trHeight w:val="20"/>
          <w:jc w:val="center"/>
        </w:trPr>
        <w:tc>
          <w:tcPr>
            <w:tcW w:w="2605" w:type="dxa"/>
            <w:tcBorders>
              <w:top w:val="single" w:sz="4" w:space="0" w:color="auto"/>
              <w:left w:val="single" w:sz="4" w:space="0" w:color="auto"/>
              <w:right w:val="single" w:sz="4" w:space="0" w:color="auto"/>
            </w:tcBorders>
            <w:vAlign w:val="center"/>
          </w:tcPr>
          <w:p w14:paraId="7128963A" w14:textId="77777777" w:rsidR="003A71DE" w:rsidRPr="00967E5D" w:rsidRDefault="003A71DE" w:rsidP="00E33F84">
            <w:pPr>
              <w:pStyle w:val="TAL"/>
              <w:rPr>
                <w:lang w:eastAsia="fr-FR"/>
              </w:rPr>
            </w:pPr>
            <w:r w:rsidRPr="00967E5D">
              <w:rPr>
                <w:lang w:eastAsia="fr-FR"/>
              </w:rPr>
              <w:t>SS-RSRP</w:t>
            </w:r>
            <w:r w:rsidRPr="00967E5D">
              <w:rPr>
                <w:vertAlign w:val="superscript"/>
                <w:lang w:eastAsia="fr-FR"/>
              </w:rPr>
              <w:t>Note2</w:t>
            </w:r>
          </w:p>
        </w:tc>
        <w:tc>
          <w:tcPr>
            <w:tcW w:w="2294" w:type="dxa"/>
            <w:tcBorders>
              <w:top w:val="single" w:sz="4" w:space="0" w:color="auto"/>
              <w:left w:val="single" w:sz="4" w:space="0" w:color="auto"/>
              <w:bottom w:val="single" w:sz="4" w:space="0" w:color="auto"/>
              <w:right w:val="single" w:sz="4" w:space="0" w:color="auto"/>
            </w:tcBorders>
          </w:tcPr>
          <w:p w14:paraId="3D181978" w14:textId="77777777" w:rsidR="003A71DE" w:rsidRPr="00967E5D" w:rsidRDefault="003A71DE" w:rsidP="00E33F84">
            <w:pPr>
              <w:pStyle w:val="TAC"/>
              <w:rPr>
                <w:lang w:eastAsia="fr-FR"/>
              </w:rPr>
            </w:pPr>
            <w:r w:rsidRPr="00967E5D">
              <w:rPr>
                <w:lang w:eastAsia="fr-FR"/>
              </w:rPr>
              <w:t>dBm/SCS</w:t>
            </w:r>
            <w:r w:rsidRPr="00967E5D">
              <w:rPr>
                <w:vertAlign w:val="superscript"/>
                <w:lang w:eastAsia="fr-FR"/>
              </w:rPr>
              <w:t xml:space="preserve"> Note4</w:t>
            </w:r>
          </w:p>
        </w:tc>
        <w:tc>
          <w:tcPr>
            <w:tcW w:w="3376" w:type="dxa"/>
            <w:gridSpan w:val="2"/>
            <w:tcBorders>
              <w:top w:val="single" w:sz="4" w:space="0" w:color="auto"/>
              <w:left w:val="single" w:sz="4" w:space="0" w:color="auto"/>
              <w:bottom w:val="single" w:sz="4" w:space="0" w:color="auto"/>
              <w:right w:val="single" w:sz="4" w:space="0" w:color="auto"/>
            </w:tcBorders>
          </w:tcPr>
          <w:p w14:paraId="6095E7BC" w14:textId="77777777" w:rsidR="003A71DE" w:rsidRPr="00967E5D" w:rsidRDefault="003A71DE" w:rsidP="00E33F84">
            <w:pPr>
              <w:pStyle w:val="TAC"/>
              <w:rPr>
                <w:lang w:eastAsia="fr-FR"/>
              </w:rPr>
            </w:pPr>
            <w:r w:rsidRPr="00967E5D">
              <w:rPr>
                <w:lang w:eastAsia="fr-FR"/>
              </w:rPr>
              <w:t>-99</w:t>
            </w:r>
          </w:p>
        </w:tc>
      </w:tr>
      <w:tr w:rsidR="003A71DE" w:rsidRPr="00967E5D" w14:paraId="26A962E6" w14:textId="77777777" w:rsidTr="003A71DE">
        <w:trPr>
          <w:trHeight w:val="20"/>
          <w:jc w:val="center"/>
        </w:trPr>
        <w:tc>
          <w:tcPr>
            <w:tcW w:w="2605" w:type="dxa"/>
            <w:tcBorders>
              <w:top w:val="single" w:sz="4" w:space="0" w:color="auto"/>
              <w:left w:val="single" w:sz="4" w:space="0" w:color="auto"/>
              <w:bottom w:val="single" w:sz="4" w:space="0" w:color="auto"/>
              <w:right w:val="single" w:sz="4" w:space="0" w:color="auto"/>
            </w:tcBorders>
            <w:vAlign w:val="center"/>
          </w:tcPr>
          <w:p w14:paraId="6B87ACF6" w14:textId="77777777" w:rsidR="003A71DE" w:rsidRPr="00967E5D" w:rsidRDefault="003A71DE" w:rsidP="00E33F84">
            <w:pPr>
              <w:pStyle w:val="TAL"/>
              <w:rPr>
                <w:lang w:eastAsia="fr-FR"/>
              </w:rPr>
            </w:pPr>
            <w:r w:rsidRPr="00967E5D">
              <w:rPr>
                <w:rFonts w:eastAsia="Calibri"/>
                <w:position w:val="-12"/>
                <w:szCs w:val="22"/>
                <w:lang w:eastAsia="fr-FR"/>
              </w:rPr>
              <w:object w:dxaOrig="590" w:dyaOrig="290" w14:anchorId="7EC08942">
                <v:shape id="_x0000_i1089" type="#_x0000_t75" style="width:29.35pt;height:14.4pt" o:ole="">
                  <v:imagedata r:id="rId69" o:title=""/>
                </v:shape>
                <o:OLEObject Type="Embed" ProgID="Equation.3" ShapeID="_x0000_i1089" DrawAspect="Content" ObjectID="_1734764469" r:id="rId112"/>
              </w:object>
            </w:r>
          </w:p>
        </w:tc>
        <w:tc>
          <w:tcPr>
            <w:tcW w:w="2294" w:type="dxa"/>
            <w:tcBorders>
              <w:top w:val="single" w:sz="4" w:space="0" w:color="auto"/>
              <w:left w:val="single" w:sz="4" w:space="0" w:color="auto"/>
              <w:bottom w:val="single" w:sz="4" w:space="0" w:color="auto"/>
              <w:right w:val="single" w:sz="4" w:space="0" w:color="auto"/>
            </w:tcBorders>
          </w:tcPr>
          <w:p w14:paraId="4F03408B" w14:textId="77777777" w:rsidR="003A71DE" w:rsidRPr="00967E5D" w:rsidRDefault="003A71DE" w:rsidP="00E33F84">
            <w:pPr>
              <w:pStyle w:val="TAC"/>
              <w:rPr>
                <w:lang w:eastAsia="fr-FR"/>
              </w:rPr>
            </w:pPr>
            <w:r w:rsidRPr="00967E5D">
              <w:rPr>
                <w:lang w:eastAsia="fr-FR"/>
              </w:rPr>
              <w:t>dB</w:t>
            </w:r>
          </w:p>
        </w:tc>
        <w:tc>
          <w:tcPr>
            <w:tcW w:w="3376" w:type="dxa"/>
            <w:gridSpan w:val="2"/>
            <w:tcBorders>
              <w:top w:val="single" w:sz="4" w:space="0" w:color="auto"/>
              <w:left w:val="single" w:sz="4" w:space="0" w:color="auto"/>
              <w:bottom w:val="single" w:sz="4" w:space="0" w:color="auto"/>
              <w:right w:val="single" w:sz="4" w:space="0" w:color="auto"/>
            </w:tcBorders>
          </w:tcPr>
          <w:p w14:paraId="4ACFF2FB" w14:textId="77777777" w:rsidR="003A71DE" w:rsidRPr="00967E5D" w:rsidRDefault="003A71DE" w:rsidP="00E33F84">
            <w:pPr>
              <w:pStyle w:val="TAC"/>
              <w:rPr>
                <w:lang w:eastAsia="fr-FR"/>
              </w:rPr>
            </w:pPr>
            <w:r w:rsidRPr="00967E5D">
              <w:rPr>
                <w:lang w:eastAsia="fr-FR"/>
              </w:rPr>
              <w:t>4</w:t>
            </w:r>
          </w:p>
        </w:tc>
      </w:tr>
      <w:tr w:rsidR="003A71DE" w:rsidRPr="00967E5D" w14:paraId="301AF6D3" w14:textId="77777777" w:rsidTr="003A71DE">
        <w:trPr>
          <w:trHeight w:val="20"/>
          <w:jc w:val="center"/>
        </w:trPr>
        <w:tc>
          <w:tcPr>
            <w:tcW w:w="2605" w:type="dxa"/>
            <w:tcBorders>
              <w:top w:val="single" w:sz="4" w:space="0" w:color="auto"/>
              <w:left w:val="single" w:sz="4" w:space="0" w:color="auto"/>
              <w:right w:val="single" w:sz="4" w:space="0" w:color="auto"/>
            </w:tcBorders>
            <w:vAlign w:val="center"/>
          </w:tcPr>
          <w:p w14:paraId="4B43D19E" w14:textId="77777777" w:rsidR="003A71DE" w:rsidRPr="00967E5D" w:rsidRDefault="003A71DE" w:rsidP="00E33F84">
            <w:pPr>
              <w:pStyle w:val="TAL"/>
              <w:rPr>
                <w:lang w:eastAsia="fr-FR"/>
              </w:rPr>
            </w:pPr>
            <w:r w:rsidRPr="00967E5D">
              <w:rPr>
                <w:lang w:eastAsia="fr-FR"/>
              </w:rPr>
              <w:t>Io</w:t>
            </w:r>
            <w:r w:rsidRPr="00967E5D">
              <w:rPr>
                <w:vertAlign w:val="superscript"/>
                <w:lang w:eastAsia="fr-FR"/>
              </w:rPr>
              <w:t>Note2</w:t>
            </w:r>
          </w:p>
        </w:tc>
        <w:tc>
          <w:tcPr>
            <w:tcW w:w="2294" w:type="dxa"/>
            <w:tcBorders>
              <w:top w:val="single" w:sz="4" w:space="0" w:color="auto"/>
              <w:left w:val="single" w:sz="4" w:space="0" w:color="auto"/>
              <w:bottom w:val="single" w:sz="4" w:space="0" w:color="auto"/>
              <w:right w:val="single" w:sz="4" w:space="0" w:color="auto"/>
            </w:tcBorders>
          </w:tcPr>
          <w:p w14:paraId="03CD7FDB" w14:textId="77777777" w:rsidR="003A71DE" w:rsidRPr="00967E5D" w:rsidRDefault="003A71DE" w:rsidP="00E33F84">
            <w:pPr>
              <w:pStyle w:val="TAC"/>
              <w:rPr>
                <w:lang w:eastAsia="fr-FR"/>
              </w:rPr>
            </w:pPr>
            <w:r w:rsidRPr="00967E5D">
              <w:rPr>
                <w:lang w:eastAsia="fr-FR"/>
              </w:rPr>
              <w:t>dBm/95.04 MHz</w:t>
            </w:r>
            <w:r w:rsidRPr="00967E5D">
              <w:rPr>
                <w:vertAlign w:val="superscript"/>
                <w:lang w:eastAsia="fr-FR"/>
              </w:rPr>
              <w:t xml:space="preserve"> Note4</w:t>
            </w:r>
          </w:p>
        </w:tc>
        <w:tc>
          <w:tcPr>
            <w:tcW w:w="3376" w:type="dxa"/>
            <w:gridSpan w:val="2"/>
            <w:tcBorders>
              <w:top w:val="single" w:sz="4" w:space="0" w:color="auto"/>
              <w:left w:val="single" w:sz="4" w:space="0" w:color="auto"/>
              <w:bottom w:val="single" w:sz="4" w:space="0" w:color="auto"/>
              <w:right w:val="single" w:sz="4" w:space="0" w:color="auto"/>
            </w:tcBorders>
          </w:tcPr>
          <w:p w14:paraId="7DAEA5C8" w14:textId="77777777" w:rsidR="003A71DE" w:rsidRPr="00967E5D" w:rsidRDefault="003A71DE" w:rsidP="00E33F84">
            <w:pPr>
              <w:pStyle w:val="TAC"/>
              <w:rPr>
                <w:lang w:eastAsia="fr-FR"/>
              </w:rPr>
            </w:pPr>
            <w:r w:rsidRPr="00967E5D">
              <w:rPr>
                <w:lang w:eastAsia="fr-FR"/>
              </w:rPr>
              <w:t>-68.5</w:t>
            </w:r>
          </w:p>
        </w:tc>
      </w:tr>
      <w:tr w:rsidR="003A71DE" w:rsidRPr="00967E5D" w14:paraId="7DEAFC04" w14:textId="77777777" w:rsidTr="003A71DE">
        <w:trPr>
          <w:cantSplit/>
          <w:trHeight w:val="20"/>
          <w:jc w:val="center"/>
        </w:trPr>
        <w:tc>
          <w:tcPr>
            <w:tcW w:w="8275" w:type="dxa"/>
            <w:gridSpan w:val="4"/>
            <w:tcBorders>
              <w:top w:val="single" w:sz="4" w:space="0" w:color="auto"/>
              <w:left w:val="single" w:sz="4" w:space="0" w:color="auto"/>
              <w:bottom w:val="single" w:sz="4" w:space="0" w:color="auto"/>
              <w:right w:val="single" w:sz="4" w:space="0" w:color="auto"/>
            </w:tcBorders>
            <w:vAlign w:val="center"/>
          </w:tcPr>
          <w:p w14:paraId="157BB839" w14:textId="77777777" w:rsidR="003A71DE" w:rsidRPr="00967E5D" w:rsidRDefault="003A71DE" w:rsidP="00E33F84">
            <w:pPr>
              <w:pStyle w:val="TAN"/>
              <w:rPr>
                <w:lang w:eastAsia="fr-FR"/>
              </w:rPr>
            </w:pPr>
            <w:r w:rsidRPr="00967E5D">
              <w:rPr>
                <w:lang w:eastAsia="fr-FR"/>
              </w:rPr>
              <w:t>Note 1:</w:t>
            </w:r>
            <w:r w:rsidRPr="00967E5D">
              <w:rPr>
                <w:lang w:eastAsia="fr-FR"/>
              </w:rPr>
              <w:tab/>
              <w:t xml:space="preserve">Interference from other cells and noise sources not specified in the test is assumed to be constant over subcarriers and time and shall be modelled as AWGN of appropriate power for </w:t>
            </w:r>
            <w:r w:rsidRPr="00967E5D">
              <w:rPr>
                <w:rFonts w:eastAsia="Calibri" w:cs="v4.2.0"/>
                <w:position w:val="-12"/>
                <w:szCs w:val="22"/>
                <w:lang w:eastAsia="fr-FR"/>
              </w:rPr>
              <w:object w:dxaOrig="290" w:dyaOrig="290" w14:anchorId="3B5EA595">
                <v:shape id="_x0000_i1090" type="#_x0000_t75" style="width:14.4pt;height:14.4pt" o:ole="">
                  <v:imagedata r:id="rId71" o:title=""/>
                </v:shape>
                <o:OLEObject Type="Embed" ProgID="Equation.3" ShapeID="_x0000_i1090" DrawAspect="Content" ObjectID="_1734764470" r:id="rId113"/>
              </w:object>
            </w:r>
            <w:r w:rsidRPr="00967E5D">
              <w:rPr>
                <w:lang w:eastAsia="fr-FR"/>
              </w:rPr>
              <w:t xml:space="preserve"> to be fulfilled.</w:t>
            </w:r>
          </w:p>
          <w:p w14:paraId="465725B1" w14:textId="77777777" w:rsidR="003A71DE" w:rsidRPr="00967E5D" w:rsidRDefault="003A71DE" w:rsidP="00E33F84">
            <w:pPr>
              <w:pStyle w:val="TAN"/>
              <w:rPr>
                <w:lang w:eastAsia="fr-FR"/>
              </w:rPr>
            </w:pPr>
            <w:r w:rsidRPr="00967E5D">
              <w:rPr>
                <w:lang w:eastAsia="fr-FR"/>
              </w:rPr>
              <w:t>Note 2:</w:t>
            </w:r>
            <w:r w:rsidRPr="00967E5D">
              <w:rPr>
                <w:lang w:eastAsia="fr-FR"/>
              </w:rPr>
              <w:tab/>
              <w:t>SS-RSRP and Io levels have been derived from other parameters for information purposes. They are not settable parameters themselves.</w:t>
            </w:r>
          </w:p>
          <w:p w14:paraId="184DDFFA" w14:textId="77777777" w:rsidR="003A71DE" w:rsidRPr="00967E5D" w:rsidRDefault="003A71DE" w:rsidP="00E33F84">
            <w:pPr>
              <w:pStyle w:val="TAN"/>
              <w:rPr>
                <w:lang w:eastAsia="fr-FR"/>
              </w:rPr>
            </w:pPr>
            <w:r w:rsidRPr="00967E5D">
              <w:rPr>
                <w:lang w:eastAsia="fr-FR"/>
              </w:rPr>
              <w:t>Note 3:</w:t>
            </w:r>
            <w:r w:rsidRPr="00967E5D">
              <w:rPr>
                <w:lang w:eastAsia="fr-FR"/>
              </w:rPr>
              <w:tab/>
              <w:t>SS-RSRP minimum requirements are specified assuming independent interference and noise at each receiver antenna port.</w:t>
            </w:r>
          </w:p>
          <w:p w14:paraId="7E964A24" w14:textId="77777777" w:rsidR="003A71DE" w:rsidRPr="00967E5D" w:rsidRDefault="003A71DE" w:rsidP="00E33F84">
            <w:pPr>
              <w:pStyle w:val="TAN"/>
              <w:rPr>
                <w:lang w:eastAsia="fr-FR"/>
              </w:rPr>
            </w:pPr>
            <w:r w:rsidRPr="00967E5D">
              <w:rPr>
                <w:lang w:eastAsia="fr-FR"/>
              </w:rPr>
              <w:t>Note 4:</w:t>
            </w:r>
            <w:r w:rsidRPr="00967E5D">
              <w:rPr>
                <w:lang w:eastAsia="fr-FR"/>
              </w:rPr>
              <w:tab/>
              <w:t>Equivalent power received by an antenna with 0dBi gain at the centre of the quiet zone</w:t>
            </w:r>
          </w:p>
          <w:p w14:paraId="38C87987" w14:textId="1167B118" w:rsidR="003A71DE" w:rsidRPr="00967E5D" w:rsidRDefault="003A71DE" w:rsidP="00E33F84">
            <w:pPr>
              <w:pStyle w:val="TAN"/>
              <w:rPr>
                <w:rFonts w:cs="Arial"/>
                <w:lang w:eastAsia="fr-FR"/>
              </w:rPr>
            </w:pPr>
            <w:r w:rsidRPr="00967E5D">
              <w:rPr>
                <w:lang w:eastAsia="fr-FR"/>
              </w:rPr>
              <w:t>Note 5:</w:t>
            </w:r>
            <w:r w:rsidRPr="00967E5D">
              <w:rPr>
                <w:lang w:eastAsia="fr-FR"/>
              </w:rPr>
              <w:tab/>
              <w:t>As observed with 0dBi gain antenna at the centre of the quiet zone</w:t>
            </w:r>
          </w:p>
        </w:tc>
      </w:tr>
      <w:bookmarkEnd w:id="10233"/>
      <w:bookmarkEnd w:id="10234"/>
    </w:tbl>
    <w:p w14:paraId="3AD32CB3" w14:textId="77777777" w:rsidR="003A71DE" w:rsidRPr="00967E5D" w:rsidRDefault="003A71DE" w:rsidP="003A71DE">
      <w:pPr>
        <w:spacing w:line="259" w:lineRule="auto"/>
      </w:pPr>
    </w:p>
    <w:p w14:paraId="469FE75F" w14:textId="77777777" w:rsidR="003A71DE" w:rsidRPr="00967E5D" w:rsidRDefault="003A71DE" w:rsidP="00746C0D">
      <w:pPr>
        <w:pStyle w:val="TH"/>
      </w:pPr>
      <w:r w:rsidRPr="00967E5D">
        <w:t xml:space="preserve">Table </w:t>
      </w:r>
      <w:r w:rsidRPr="00967E5D">
        <w:rPr>
          <w:rFonts w:eastAsia="SimSun" w:hint="eastAsia"/>
          <w:lang w:val="en-US" w:eastAsia="zh-CN"/>
        </w:rPr>
        <w:t>G</w:t>
      </w:r>
      <w:r w:rsidRPr="00967E5D">
        <w:t>.</w:t>
      </w:r>
      <w:r w:rsidRPr="00967E5D">
        <w:rPr>
          <w:rFonts w:eastAsia="SimSun" w:hint="eastAsia"/>
          <w:lang w:val="en-US" w:eastAsia="zh-CN"/>
        </w:rPr>
        <w:t>2</w:t>
      </w:r>
      <w:r w:rsidRPr="00967E5D">
        <w:t>.</w:t>
      </w:r>
      <w:r w:rsidRPr="00967E5D">
        <w:rPr>
          <w:rFonts w:eastAsia="SimSun" w:hint="eastAsia"/>
          <w:lang w:val="en-US" w:eastAsia="zh-CN"/>
        </w:rPr>
        <w:t>2</w:t>
      </w:r>
      <w:r w:rsidRPr="00967E5D">
        <w:t>.1.</w:t>
      </w:r>
      <w:r w:rsidRPr="00967E5D">
        <w:rPr>
          <w:rFonts w:eastAsia="SimSun" w:hint="eastAsia"/>
          <w:lang w:val="en-US" w:eastAsia="zh-CN"/>
        </w:rPr>
        <w:t>2</w:t>
      </w:r>
      <w:r w:rsidRPr="00967E5D">
        <w:t>.1-3: SRS Configuration for Timing Accuracy Test</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7"/>
        <w:gridCol w:w="2530"/>
        <w:gridCol w:w="1816"/>
        <w:gridCol w:w="1257"/>
        <w:gridCol w:w="2030"/>
      </w:tblGrid>
      <w:tr w:rsidR="003A71DE" w:rsidRPr="00967E5D" w14:paraId="47C7E168" w14:textId="77777777" w:rsidTr="003A71DE">
        <w:tc>
          <w:tcPr>
            <w:tcW w:w="1717" w:type="dxa"/>
          </w:tcPr>
          <w:p w14:paraId="7F7C14D4" w14:textId="77777777" w:rsidR="003A71DE" w:rsidRPr="00967E5D" w:rsidRDefault="003A71DE" w:rsidP="00E33F84">
            <w:pPr>
              <w:pStyle w:val="TAH"/>
            </w:pPr>
          </w:p>
        </w:tc>
        <w:tc>
          <w:tcPr>
            <w:tcW w:w="2530" w:type="dxa"/>
          </w:tcPr>
          <w:p w14:paraId="563809BE" w14:textId="77777777" w:rsidR="003A71DE" w:rsidRPr="00967E5D" w:rsidRDefault="003A71DE" w:rsidP="00E33F84">
            <w:pPr>
              <w:pStyle w:val="TAH"/>
            </w:pPr>
            <w:r w:rsidRPr="00967E5D">
              <w:t>Field</w:t>
            </w:r>
          </w:p>
        </w:tc>
        <w:tc>
          <w:tcPr>
            <w:tcW w:w="1816" w:type="dxa"/>
          </w:tcPr>
          <w:p w14:paraId="3EDA9A43" w14:textId="77777777" w:rsidR="003A71DE" w:rsidRPr="00967E5D" w:rsidRDefault="003A71DE" w:rsidP="00E33F84">
            <w:pPr>
              <w:pStyle w:val="TAH"/>
            </w:pPr>
            <w:r w:rsidRPr="00967E5D">
              <w:t>SRSConf.1</w:t>
            </w:r>
          </w:p>
        </w:tc>
        <w:tc>
          <w:tcPr>
            <w:tcW w:w="1257" w:type="dxa"/>
          </w:tcPr>
          <w:p w14:paraId="635CC6D1" w14:textId="77777777" w:rsidR="003A71DE" w:rsidRPr="00967E5D" w:rsidRDefault="003A71DE" w:rsidP="00E33F84">
            <w:pPr>
              <w:pStyle w:val="TAH"/>
            </w:pPr>
            <w:r w:rsidRPr="00967E5D">
              <w:t>SRSConf.2</w:t>
            </w:r>
          </w:p>
        </w:tc>
        <w:tc>
          <w:tcPr>
            <w:tcW w:w="2030" w:type="dxa"/>
          </w:tcPr>
          <w:p w14:paraId="79442EE4" w14:textId="77777777" w:rsidR="003A71DE" w:rsidRPr="00967E5D" w:rsidRDefault="003A71DE" w:rsidP="00E33F84">
            <w:pPr>
              <w:pStyle w:val="TAH"/>
            </w:pPr>
            <w:r w:rsidRPr="00967E5D">
              <w:t>Comments</w:t>
            </w:r>
          </w:p>
        </w:tc>
      </w:tr>
      <w:tr w:rsidR="003A71DE" w:rsidRPr="00967E5D" w14:paraId="3404ACB1" w14:textId="77777777" w:rsidTr="003A71DE">
        <w:tc>
          <w:tcPr>
            <w:tcW w:w="1717" w:type="dxa"/>
            <w:shd w:val="clear" w:color="auto" w:fill="auto"/>
          </w:tcPr>
          <w:p w14:paraId="5A1F20EE" w14:textId="77777777" w:rsidR="003A71DE" w:rsidRPr="00967E5D" w:rsidRDefault="003A71DE" w:rsidP="00E33F84">
            <w:pPr>
              <w:pStyle w:val="TAL"/>
            </w:pPr>
            <w:r w:rsidRPr="00967E5D">
              <w:t>SRS-ResourceSet</w:t>
            </w:r>
          </w:p>
        </w:tc>
        <w:tc>
          <w:tcPr>
            <w:tcW w:w="2530" w:type="dxa"/>
          </w:tcPr>
          <w:p w14:paraId="773F359B" w14:textId="77777777" w:rsidR="003A71DE" w:rsidRPr="00967E5D" w:rsidRDefault="003A71DE" w:rsidP="00E33F84">
            <w:pPr>
              <w:pStyle w:val="TAL"/>
            </w:pPr>
            <w:r w:rsidRPr="00967E5D">
              <w:t>srs-ResourceSetId</w:t>
            </w:r>
          </w:p>
        </w:tc>
        <w:tc>
          <w:tcPr>
            <w:tcW w:w="1816" w:type="dxa"/>
          </w:tcPr>
          <w:p w14:paraId="4EF871C5" w14:textId="77777777" w:rsidR="003A71DE" w:rsidRPr="00967E5D" w:rsidRDefault="003A71DE" w:rsidP="00E33F84">
            <w:pPr>
              <w:pStyle w:val="TAL"/>
            </w:pPr>
            <w:r w:rsidRPr="00967E5D">
              <w:t>0</w:t>
            </w:r>
          </w:p>
        </w:tc>
        <w:tc>
          <w:tcPr>
            <w:tcW w:w="1257" w:type="dxa"/>
          </w:tcPr>
          <w:p w14:paraId="2C317327" w14:textId="77777777" w:rsidR="003A71DE" w:rsidRPr="00967E5D" w:rsidRDefault="003A71DE" w:rsidP="00E33F84">
            <w:pPr>
              <w:pStyle w:val="TAL"/>
            </w:pPr>
            <w:r w:rsidRPr="00967E5D">
              <w:t>0</w:t>
            </w:r>
          </w:p>
        </w:tc>
        <w:tc>
          <w:tcPr>
            <w:tcW w:w="2030" w:type="dxa"/>
          </w:tcPr>
          <w:p w14:paraId="001B57D1" w14:textId="77777777" w:rsidR="003A71DE" w:rsidRPr="00967E5D" w:rsidRDefault="003A71DE" w:rsidP="00E33F84">
            <w:pPr>
              <w:pStyle w:val="TAL"/>
            </w:pPr>
          </w:p>
        </w:tc>
      </w:tr>
      <w:tr w:rsidR="003A71DE" w:rsidRPr="00967E5D" w14:paraId="3E0A027C" w14:textId="77777777" w:rsidTr="003A71DE">
        <w:tc>
          <w:tcPr>
            <w:tcW w:w="1717" w:type="dxa"/>
            <w:shd w:val="clear" w:color="auto" w:fill="auto"/>
          </w:tcPr>
          <w:p w14:paraId="3261CBE2" w14:textId="77777777" w:rsidR="003A71DE" w:rsidRPr="00967E5D" w:rsidRDefault="003A71DE" w:rsidP="00E33F84">
            <w:pPr>
              <w:pStyle w:val="TAL"/>
            </w:pPr>
          </w:p>
        </w:tc>
        <w:tc>
          <w:tcPr>
            <w:tcW w:w="2530" w:type="dxa"/>
          </w:tcPr>
          <w:p w14:paraId="6CD76D33" w14:textId="77777777" w:rsidR="003A71DE" w:rsidRPr="00967E5D" w:rsidRDefault="003A71DE" w:rsidP="00E33F84">
            <w:pPr>
              <w:pStyle w:val="TAL"/>
            </w:pPr>
            <w:r w:rsidRPr="00967E5D">
              <w:t>srs-ResourceIdList</w:t>
            </w:r>
          </w:p>
        </w:tc>
        <w:tc>
          <w:tcPr>
            <w:tcW w:w="1816" w:type="dxa"/>
          </w:tcPr>
          <w:p w14:paraId="1F851E0A" w14:textId="77777777" w:rsidR="003A71DE" w:rsidRPr="00967E5D" w:rsidRDefault="003A71DE" w:rsidP="00E33F84">
            <w:pPr>
              <w:pStyle w:val="TAL"/>
            </w:pPr>
            <w:r w:rsidRPr="00967E5D">
              <w:t>0</w:t>
            </w:r>
          </w:p>
        </w:tc>
        <w:tc>
          <w:tcPr>
            <w:tcW w:w="1257" w:type="dxa"/>
          </w:tcPr>
          <w:p w14:paraId="50DE174F" w14:textId="77777777" w:rsidR="003A71DE" w:rsidRPr="00967E5D" w:rsidRDefault="003A71DE" w:rsidP="00E33F84">
            <w:pPr>
              <w:pStyle w:val="TAL"/>
            </w:pPr>
            <w:r w:rsidRPr="00967E5D">
              <w:t>0</w:t>
            </w:r>
          </w:p>
        </w:tc>
        <w:tc>
          <w:tcPr>
            <w:tcW w:w="2030" w:type="dxa"/>
          </w:tcPr>
          <w:p w14:paraId="73311BF2" w14:textId="77777777" w:rsidR="003A71DE" w:rsidRPr="00967E5D" w:rsidRDefault="003A71DE" w:rsidP="00E33F84">
            <w:pPr>
              <w:pStyle w:val="TAL"/>
            </w:pPr>
          </w:p>
        </w:tc>
      </w:tr>
      <w:tr w:rsidR="003A71DE" w:rsidRPr="00967E5D" w14:paraId="4D54E6CB" w14:textId="77777777" w:rsidTr="003A71DE">
        <w:tc>
          <w:tcPr>
            <w:tcW w:w="1717" w:type="dxa"/>
            <w:shd w:val="clear" w:color="auto" w:fill="auto"/>
          </w:tcPr>
          <w:p w14:paraId="210E145C" w14:textId="77777777" w:rsidR="003A71DE" w:rsidRPr="00967E5D" w:rsidRDefault="003A71DE" w:rsidP="00E33F84">
            <w:pPr>
              <w:pStyle w:val="TAL"/>
            </w:pPr>
          </w:p>
        </w:tc>
        <w:tc>
          <w:tcPr>
            <w:tcW w:w="2530" w:type="dxa"/>
          </w:tcPr>
          <w:p w14:paraId="342FC193" w14:textId="77777777" w:rsidR="003A71DE" w:rsidRPr="00967E5D" w:rsidRDefault="003A71DE" w:rsidP="00E33F84">
            <w:pPr>
              <w:pStyle w:val="TAL"/>
            </w:pPr>
            <w:r w:rsidRPr="00967E5D">
              <w:t>resourceType</w:t>
            </w:r>
          </w:p>
        </w:tc>
        <w:tc>
          <w:tcPr>
            <w:tcW w:w="1816" w:type="dxa"/>
          </w:tcPr>
          <w:p w14:paraId="2721E810" w14:textId="77777777" w:rsidR="003A71DE" w:rsidRPr="00967E5D" w:rsidRDefault="003A71DE" w:rsidP="00E33F84">
            <w:pPr>
              <w:pStyle w:val="TAL"/>
            </w:pPr>
            <w:r w:rsidRPr="00967E5D">
              <w:t>Periodic</w:t>
            </w:r>
          </w:p>
        </w:tc>
        <w:tc>
          <w:tcPr>
            <w:tcW w:w="1257" w:type="dxa"/>
          </w:tcPr>
          <w:p w14:paraId="5AD08879" w14:textId="77777777" w:rsidR="003A71DE" w:rsidRPr="00967E5D" w:rsidRDefault="003A71DE" w:rsidP="00E33F84">
            <w:pPr>
              <w:pStyle w:val="TAL"/>
            </w:pPr>
            <w:r w:rsidRPr="00967E5D">
              <w:t>Periodic</w:t>
            </w:r>
          </w:p>
        </w:tc>
        <w:tc>
          <w:tcPr>
            <w:tcW w:w="2030" w:type="dxa"/>
          </w:tcPr>
          <w:p w14:paraId="0D1081EC" w14:textId="77777777" w:rsidR="003A71DE" w:rsidRPr="00967E5D" w:rsidRDefault="003A71DE" w:rsidP="00E33F84">
            <w:pPr>
              <w:pStyle w:val="TAL"/>
            </w:pPr>
          </w:p>
        </w:tc>
      </w:tr>
      <w:tr w:rsidR="003A71DE" w:rsidRPr="00967E5D" w14:paraId="6BB1DC3A" w14:textId="77777777" w:rsidTr="003A71DE">
        <w:tc>
          <w:tcPr>
            <w:tcW w:w="1717" w:type="dxa"/>
            <w:shd w:val="clear" w:color="auto" w:fill="auto"/>
          </w:tcPr>
          <w:p w14:paraId="4D26CC18" w14:textId="77777777" w:rsidR="003A71DE" w:rsidRPr="00967E5D" w:rsidRDefault="003A71DE" w:rsidP="00E33F84">
            <w:pPr>
              <w:pStyle w:val="TAL"/>
            </w:pPr>
          </w:p>
        </w:tc>
        <w:tc>
          <w:tcPr>
            <w:tcW w:w="2530" w:type="dxa"/>
          </w:tcPr>
          <w:p w14:paraId="64708018" w14:textId="77777777" w:rsidR="003A71DE" w:rsidRPr="00967E5D" w:rsidRDefault="003A71DE" w:rsidP="00E33F84">
            <w:pPr>
              <w:pStyle w:val="TAL"/>
            </w:pPr>
            <w:r w:rsidRPr="00967E5D">
              <w:t>Usage</w:t>
            </w:r>
          </w:p>
        </w:tc>
        <w:tc>
          <w:tcPr>
            <w:tcW w:w="1816" w:type="dxa"/>
          </w:tcPr>
          <w:p w14:paraId="4AEF0E95" w14:textId="77777777" w:rsidR="003A71DE" w:rsidRPr="00967E5D" w:rsidRDefault="003A71DE" w:rsidP="00E33F84">
            <w:pPr>
              <w:pStyle w:val="TAL"/>
            </w:pPr>
            <w:r w:rsidRPr="00967E5D">
              <w:t>Codebook</w:t>
            </w:r>
          </w:p>
        </w:tc>
        <w:tc>
          <w:tcPr>
            <w:tcW w:w="1257" w:type="dxa"/>
          </w:tcPr>
          <w:p w14:paraId="500F3941" w14:textId="77777777" w:rsidR="003A71DE" w:rsidRPr="00967E5D" w:rsidRDefault="003A71DE" w:rsidP="00E33F84">
            <w:pPr>
              <w:pStyle w:val="TAL"/>
            </w:pPr>
            <w:r w:rsidRPr="00967E5D">
              <w:t>Codebook</w:t>
            </w:r>
          </w:p>
        </w:tc>
        <w:tc>
          <w:tcPr>
            <w:tcW w:w="2030" w:type="dxa"/>
          </w:tcPr>
          <w:p w14:paraId="73144542" w14:textId="77777777" w:rsidR="003A71DE" w:rsidRPr="00967E5D" w:rsidRDefault="003A71DE" w:rsidP="00E33F84">
            <w:pPr>
              <w:pStyle w:val="TAL"/>
            </w:pPr>
          </w:p>
        </w:tc>
      </w:tr>
      <w:tr w:rsidR="003A71DE" w:rsidRPr="00967E5D" w14:paraId="4DBEC37C" w14:textId="77777777" w:rsidTr="003A71DE">
        <w:tc>
          <w:tcPr>
            <w:tcW w:w="1717" w:type="dxa"/>
            <w:shd w:val="clear" w:color="auto" w:fill="auto"/>
          </w:tcPr>
          <w:p w14:paraId="215A829A" w14:textId="77777777" w:rsidR="003A71DE" w:rsidRPr="00967E5D" w:rsidRDefault="003A71DE" w:rsidP="00E33F84">
            <w:pPr>
              <w:pStyle w:val="TAL"/>
            </w:pPr>
            <w:r w:rsidRPr="00967E5D">
              <w:t>SRS-Resource</w:t>
            </w:r>
          </w:p>
        </w:tc>
        <w:tc>
          <w:tcPr>
            <w:tcW w:w="2530" w:type="dxa"/>
          </w:tcPr>
          <w:p w14:paraId="28510638" w14:textId="77777777" w:rsidR="003A71DE" w:rsidRPr="00967E5D" w:rsidRDefault="003A71DE" w:rsidP="00E33F84">
            <w:pPr>
              <w:pStyle w:val="TAL"/>
            </w:pPr>
            <w:r w:rsidRPr="00967E5D">
              <w:t>SRS-ResourceId</w:t>
            </w:r>
          </w:p>
        </w:tc>
        <w:tc>
          <w:tcPr>
            <w:tcW w:w="1816" w:type="dxa"/>
          </w:tcPr>
          <w:p w14:paraId="476855A1" w14:textId="77777777" w:rsidR="003A71DE" w:rsidRPr="00967E5D" w:rsidRDefault="003A71DE" w:rsidP="00E33F84">
            <w:pPr>
              <w:pStyle w:val="TAL"/>
            </w:pPr>
            <w:r w:rsidRPr="00967E5D">
              <w:t>0</w:t>
            </w:r>
          </w:p>
        </w:tc>
        <w:tc>
          <w:tcPr>
            <w:tcW w:w="1257" w:type="dxa"/>
          </w:tcPr>
          <w:p w14:paraId="08A9DFAD" w14:textId="77777777" w:rsidR="003A71DE" w:rsidRPr="00967E5D" w:rsidRDefault="003A71DE" w:rsidP="00E33F84">
            <w:pPr>
              <w:pStyle w:val="TAL"/>
            </w:pPr>
            <w:r w:rsidRPr="00967E5D">
              <w:t>0</w:t>
            </w:r>
          </w:p>
        </w:tc>
        <w:tc>
          <w:tcPr>
            <w:tcW w:w="2030" w:type="dxa"/>
          </w:tcPr>
          <w:p w14:paraId="77F6AFAF" w14:textId="77777777" w:rsidR="003A71DE" w:rsidRPr="00967E5D" w:rsidRDefault="003A71DE" w:rsidP="00E33F84">
            <w:pPr>
              <w:pStyle w:val="TAL"/>
            </w:pPr>
          </w:p>
        </w:tc>
      </w:tr>
      <w:tr w:rsidR="003A71DE" w:rsidRPr="00967E5D" w14:paraId="59D95153" w14:textId="77777777" w:rsidTr="003A71DE">
        <w:tc>
          <w:tcPr>
            <w:tcW w:w="1717" w:type="dxa"/>
            <w:shd w:val="clear" w:color="auto" w:fill="auto"/>
          </w:tcPr>
          <w:p w14:paraId="2A5E5014" w14:textId="77777777" w:rsidR="003A71DE" w:rsidRPr="00967E5D" w:rsidRDefault="003A71DE" w:rsidP="00E33F84">
            <w:pPr>
              <w:pStyle w:val="TAL"/>
            </w:pPr>
          </w:p>
        </w:tc>
        <w:tc>
          <w:tcPr>
            <w:tcW w:w="2530" w:type="dxa"/>
          </w:tcPr>
          <w:p w14:paraId="7F32D58B" w14:textId="77777777" w:rsidR="003A71DE" w:rsidRPr="00967E5D" w:rsidRDefault="003A71DE" w:rsidP="00E33F84">
            <w:pPr>
              <w:pStyle w:val="TAL"/>
            </w:pPr>
            <w:r w:rsidRPr="00967E5D">
              <w:t>nrofSRS-Ports</w:t>
            </w:r>
          </w:p>
        </w:tc>
        <w:tc>
          <w:tcPr>
            <w:tcW w:w="1816" w:type="dxa"/>
          </w:tcPr>
          <w:p w14:paraId="5C37443C" w14:textId="77777777" w:rsidR="003A71DE" w:rsidRPr="00967E5D" w:rsidRDefault="003A71DE" w:rsidP="00E33F84">
            <w:pPr>
              <w:pStyle w:val="TAL"/>
            </w:pPr>
            <w:r w:rsidRPr="00967E5D">
              <w:t>Port1</w:t>
            </w:r>
          </w:p>
        </w:tc>
        <w:tc>
          <w:tcPr>
            <w:tcW w:w="1257" w:type="dxa"/>
          </w:tcPr>
          <w:p w14:paraId="4F418CAF" w14:textId="77777777" w:rsidR="003A71DE" w:rsidRPr="00967E5D" w:rsidRDefault="003A71DE" w:rsidP="00E33F84">
            <w:pPr>
              <w:pStyle w:val="TAL"/>
            </w:pPr>
            <w:r w:rsidRPr="00967E5D">
              <w:t>Port1</w:t>
            </w:r>
          </w:p>
        </w:tc>
        <w:tc>
          <w:tcPr>
            <w:tcW w:w="2030" w:type="dxa"/>
          </w:tcPr>
          <w:p w14:paraId="20BEFC14" w14:textId="77777777" w:rsidR="003A71DE" w:rsidRPr="00967E5D" w:rsidRDefault="003A71DE" w:rsidP="00E33F84">
            <w:pPr>
              <w:pStyle w:val="TAL"/>
            </w:pPr>
          </w:p>
        </w:tc>
      </w:tr>
      <w:tr w:rsidR="003A71DE" w:rsidRPr="00967E5D" w14:paraId="510D2D49" w14:textId="77777777" w:rsidTr="003A71DE">
        <w:tc>
          <w:tcPr>
            <w:tcW w:w="1717" w:type="dxa"/>
            <w:shd w:val="clear" w:color="auto" w:fill="auto"/>
          </w:tcPr>
          <w:p w14:paraId="0111B0A0" w14:textId="77777777" w:rsidR="003A71DE" w:rsidRPr="00967E5D" w:rsidRDefault="003A71DE" w:rsidP="00E33F84">
            <w:pPr>
              <w:pStyle w:val="TAL"/>
            </w:pPr>
          </w:p>
        </w:tc>
        <w:tc>
          <w:tcPr>
            <w:tcW w:w="2530" w:type="dxa"/>
          </w:tcPr>
          <w:p w14:paraId="1EB1AAF1" w14:textId="77777777" w:rsidR="003A71DE" w:rsidRPr="00967E5D" w:rsidRDefault="003A71DE" w:rsidP="00E33F84">
            <w:pPr>
              <w:pStyle w:val="TAL"/>
            </w:pPr>
            <w:r w:rsidRPr="00967E5D">
              <w:t xml:space="preserve">transmissionComb </w:t>
            </w:r>
          </w:p>
        </w:tc>
        <w:tc>
          <w:tcPr>
            <w:tcW w:w="1816" w:type="dxa"/>
          </w:tcPr>
          <w:p w14:paraId="20F7979A" w14:textId="77777777" w:rsidR="003A71DE" w:rsidRPr="00967E5D" w:rsidRDefault="003A71DE" w:rsidP="00E33F84">
            <w:pPr>
              <w:pStyle w:val="TAL"/>
            </w:pPr>
            <w:r w:rsidRPr="00967E5D">
              <w:t>n2</w:t>
            </w:r>
          </w:p>
        </w:tc>
        <w:tc>
          <w:tcPr>
            <w:tcW w:w="1257" w:type="dxa"/>
          </w:tcPr>
          <w:p w14:paraId="557FA8D4" w14:textId="77777777" w:rsidR="003A71DE" w:rsidRPr="00967E5D" w:rsidRDefault="003A71DE" w:rsidP="00E33F84">
            <w:pPr>
              <w:pStyle w:val="TAL"/>
            </w:pPr>
            <w:r w:rsidRPr="00967E5D">
              <w:t>n2</w:t>
            </w:r>
          </w:p>
        </w:tc>
        <w:tc>
          <w:tcPr>
            <w:tcW w:w="2030" w:type="dxa"/>
          </w:tcPr>
          <w:p w14:paraId="1D7C9FDA" w14:textId="77777777" w:rsidR="003A71DE" w:rsidRPr="00967E5D" w:rsidRDefault="003A71DE" w:rsidP="00E33F84">
            <w:pPr>
              <w:pStyle w:val="TAL"/>
            </w:pPr>
          </w:p>
        </w:tc>
      </w:tr>
      <w:tr w:rsidR="003A71DE" w:rsidRPr="00967E5D" w14:paraId="1A0866E9" w14:textId="77777777" w:rsidTr="003A71DE">
        <w:tc>
          <w:tcPr>
            <w:tcW w:w="1717" w:type="dxa"/>
            <w:shd w:val="clear" w:color="auto" w:fill="auto"/>
          </w:tcPr>
          <w:p w14:paraId="018F211D" w14:textId="77777777" w:rsidR="003A71DE" w:rsidRPr="00967E5D" w:rsidRDefault="003A71DE" w:rsidP="00E33F84">
            <w:pPr>
              <w:pStyle w:val="TAL"/>
            </w:pPr>
          </w:p>
        </w:tc>
        <w:tc>
          <w:tcPr>
            <w:tcW w:w="2530" w:type="dxa"/>
          </w:tcPr>
          <w:p w14:paraId="6AF615F9" w14:textId="77777777" w:rsidR="003A71DE" w:rsidRPr="00967E5D" w:rsidRDefault="003A71DE" w:rsidP="00E33F84">
            <w:pPr>
              <w:pStyle w:val="TAL"/>
            </w:pPr>
            <w:r w:rsidRPr="00967E5D">
              <w:t>combOffset-n2</w:t>
            </w:r>
          </w:p>
        </w:tc>
        <w:tc>
          <w:tcPr>
            <w:tcW w:w="1816" w:type="dxa"/>
          </w:tcPr>
          <w:p w14:paraId="7DB5D363" w14:textId="77777777" w:rsidR="003A71DE" w:rsidRPr="00967E5D" w:rsidRDefault="003A71DE" w:rsidP="00E33F84">
            <w:pPr>
              <w:pStyle w:val="TAL"/>
            </w:pPr>
            <w:r w:rsidRPr="00967E5D">
              <w:t>0</w:t>
            </w:r>
          </w:p>
        </w:tc>
        <w:tc>
          <w:tcPr>
            <w:tcW w:w="1257" w:type="dxa"/>
          </w:tcPr>
          <w:p w14:paraId="437B71EE" w14:textId="77777777" w:rsidR="003A71DE" w:rsidRPr="00967E5D" w:rsidRDefault="003A71DE" w:rsidP="00E33F84">
            <w:pPr>
              <w:pStyle w:val="TAL"/>
            </w:pPr>
            <w:r w:rsidRPr="00967E5D">
              <w:t>0</w:t>
            </w:r>
          </w:p>
        </w:tc>
        <w:tc>
          <w:tcPr>
            <w:tcW w:w="2030" w:type="dxa"/>
          </w:tcPr>
          <w:p w14:paraId="71CE7FC4" w14:textId="77777777" w:rsidR="003A71DE" w:rsidRPr="00967E5D" w:rsidRDefault="003A71DE" w:rsidP="00E33F84">
            <w:pPr>
              <w:pStyle w:val="TAL"/>
            </w:pPr>
          </w:p>
        </w:tc>
      </w:tr>
      <w:tr w:rsidR="003A71DE" w:rsidRPr="00967E5D" w14:paraId="4DE4CBB7" w14:textId="77777777" w:rsidTr="003A71DE">
        <w:tc>
          <w:tcPr>
            <w:tcW w:w="1717" w:type="dxa"/>
            <w:shd w:val="clear" w:color="auto" w:fill="auto"/>
          </w:tcPr>
          <w:p w14:paraId="4F60B0EA" w14:textId="77777777" w:rsidR="003A71DE" w:rsidRPr="00967E5D" w:rsidRDefault="003A71DE" w:rsidP="00E33F84">
            <w:pPr>
              <w:pStyle w:val="TAL"/>
            </w:pPr>
          </w:p>
        </w:tc>
        <w:tc>
          <w:tcPr>
            <w:tcW w:w="2530" w:type="dxa"/>
          </w:tcPr>
          <w:p w14:paraId="4B6FEAA8" w14:textId="77777777" w:rsidR="003A71DE" w:rsidRPr="00967E5D" w:rsidRDefault="003A71DE" w:rsidP="00E33F84">
            <w:pPr>
              <w:pStyle w:val="TAL"/>
            </w:pPr>
            <w:r w:rsidRPr="00967E5D">
              <w:t>cyclicShift-n2</w:t>
            </w:r>
          </w:p>
        </w:tc>
        <w:tc>
          <w:tcPr>
            <w:tcW w:w="1816" w:type="dxa"/>
          </w:tcPr>
          <w:p w14:paraId="1F8A0D38" w14:textId="77777777" w:rsidR="003A71DE" w:rsidRPr="00967E5D" w:rsidRDefault="003A71DE" w:rsidP="00E33F84">
            <w:pPr>
              <w:pStyle w:val="TAL"/>
            </w:pPr>
            <w:r w:rsidRPr="00967E5D">
              <w:t>0</w:t>
            </w:r>
          </w:p>
        </w:tc>
        <w:tc>
          <w:tcPr>
            <w:tcW w:w="1257" w:type="dxa"/>
          </w:tcPr>
          <w:p w14:paraId="0E29DD30" w14:textId="77777777" w:rsidR="003A71DE" w:rsidRPr="00967E5D" w:rsidRDefault="003A71DE" w:rsidP="00E33F84">
            <w:pPr>
              <w:pStyle w:val="TAL"/>
            </w:pPr>
            <w:r w:rsidRPr="00967E5D">
              <w:t>0</w:t>
            </w:r>
          </w:p>
        </w:tc>
        <w:tc>
          <w:tcPr>
            <w:tcW w:w="2030" w:type="dxa"/>
          </w:tcPr>
          <w:p w14:paraId="7717249E" w14:textId="77777777" w:rsidR="003A71DE" w:rsidRPr="00967E5D" w:rsidRDefault="003A71DE" w:rsidP="00E33F84">
            <w:pPr>
              <w:pStyle w:val="TAL"/>
            </w:pPr>
          </w:p>
        </w:tc>
      </w:tr>
      <w:tr w:rsidR="003A71DE" w:rsidRPr="00967E5D" w14:paraId="4973000F" w14:textId="77777777" w:rsidTr="003A71DE">
        <w:tc>
          <w:tcPr>
            <w:tcW w:w="1717" w:type="dxa"/>
            <w:shd w:val="clear" w:color="auto" w:fill="auto"/>
          </w:tcPr>
          <w:p w14:paraId="5D68114E" w14:textId="77777777" w:rsidR="003A71DE" w:rsidRPr="00967E5D" w:rsidRDefault="003A71DE" w:rsidP="00E33F84">
            <w:pPr>
              <w:pStyle w:val="TAL"/>
            </w:pPr>
          </w:p>
        </w:tc>
        <w:tc>
          <w:tcPr>
            <w:tcW w:w="2530" w:type="dxa"/>
          </w:tcPr>
          <w:p w14:paraId="7C6CD7C4" w14:textId="77777777" w:rsidR="003A71DE" w:rsidRPr="00967E5D" w:rsidRDefault="003A71DE" w:rsidP="00E33F84">
            <w:pPr>
              <w:pStyle w:val="TAL"/>
            </w:pPr>
            <w:r w:rsidRPr="00967E5D">
              <w:t>resourceMapping</w:t>
            </w:r>
          </w:p>
          <w:p w14:paraId="769E72C2" w14:textId="77777777" w:rsidR="003A71DE" w:rsidRPr="00967E5D" w:rsidRDefault="003A71DE" w:rsidP="00E33F84">
            <w:pPr>
              <w:pStyle w:val="TAL"/>
            </w:pPr>
            <w:r w:rsidRPr="00967E5D">
              <w:t>startPosition</w:t>
            </w:r>
          </w:p>
        </w:tc>
        <w:tc>
          <w:tcPr>
            <w:tcW w:w="1816" w:type="dxa"/>
          </w:tcPr>
          <w:p w14:paraId="37A586B8" w14:textId="77777777" w:rsidR="003A71DE" w:rsidRPr="00967E5D" w:rsidRDefault="003A71DE" w:rsidP="00E33F84">
            <w:pPr>
              <w:pStyle w:val="TAL"/>
            </w:pPr>
            <w:r w:rsidRPr="00967E5D">
              <w:t>0</w:t>
            </w:r>
          </w:p>
        </w:tc>
        <w:tc>
          <w:tcPr>
            <w:tcW w:w="1257" w:type="dxa"/>
          </w:tcPr>
          <w:p w14:paraId="642E1FA0" w14:textId="77777777" w:rsidR="003A71DE" w:rsidRPr="00967E5D" w:rsidRDefault="003A71DE" w:rsidP="00E33F84">
            <w:pPr>
              <w:pStyle w:val="TAL"/>
            </w:pPr>
            <w:r w:rsidRPr="00967E5D">
              <w:t>0</w:t>
            </w:r>
          </w:p>
        </w:tc>
        <w:tc>
          <w:tcPr>
            <w:tcW w:w="2030" w:type="dxa"/>
          </w:tcPr>
          <w:p w14:paraId="588034B6" w14:textId="77777777" w:rsidR="003A71DE" w:rsidRPr="00967E5D" w:rsidRDefault="003A71DE" w:rsidP="00E33F84">
            <w:pPr>
              <w:pStyle w:val="TAL"/>
            </w:pPr>
          </w:p>
        </w:tc>
      </w:tr>
      <w:tr w:rsidR="003A71DE" w:rsidRPr="00967E5D" w14:paraId="56EEBB3E" w14:textId="77777777" w:rsidTr="003A71DE">
        <w:tc>
          <w:tcPr>
            <w:tcW w:w="1717" w:type="dxa"/>
            <w:shd w:val="clear" w:color="auto" w:fill="auto"/>
          </w:tcPr>
          <w:p w14:paraId="5BD62666" w14:textId="77777777" w:rsidR="003A71DE" w:rsidRPr="00967E5D" w:rsidRDefault="003A71DE" w:rsidP="00E33F84">
            <w:pPr>
              <w:pStyle w:val="TAL"/>
            </w:pPr>
          </w:p>
        </w:tc>
        <w:tc>
          <w:tcPr>
            <w:tcW w:w="2530" w:type="dxa"/>
          </w:tcPr>
          <w:p w14:paraId="418C06EC" w14:textId="77777777" w:rsidR="003A71DE" w:rsidRPr="00967E5D" w:rsidRDefault="003A71DE" w:rsidP="00E33F84">
            <w:pPr>
              <w:pStyle w:val="TAL"/>
            </w:pPr>
            <w:r w:rsidRPr="00967E5D">
              <w:t>resourceMapping</w:t>
            </w:r>
          </w:p>
          <w:p w14:paraId="33F26CD8" w14:textId="77777777" w:rsidR="003A71DE" w:rsidRPr="00967E5D" w:rsidRDefault="003A71DE" w:rsidP="00E33F84">
            <w:pPr>
              <w:pStyle w:val="TAL"/>
            </w:pPr>
            <w:r w:rsidRPr="00967E5D">
              <w:t>nrofSymbols</w:t>
            </w:r>
            <w:r w:rsidRPr="00967E5D">
              <w:tab/>
            </w:r>
          </w:p>
        </w:tc>
        <w:tc>
          <w:tcPr>
            <w:tcW w:w="1816" w:type="dxa"/>
          </w:tcPr>
          <w:p w14:paraId="76465D87" w14:textId="77777777" w:rsidR="003A71DE" w:rsidRPr="00967E5D" w:rsidRDefault="003A71DE" w:rsidP="00E33F84">
            <w:pPr>
              <w:pStyle w:val="TAL"/>
            </w:pPr>
            <w:r w:rsidRPr="00967E5D">
              <w:t>n1</w:t>
            </w:r>
          </w:p>
        </w:tc>
        <w:tc>
          <w:tcPr>
            <w:tcW w:w="1257" w:type="dxa"/>
          </w:tcPr>
          <w:p w14:paraId="047EF3B1" w14:textId="77777777" w:rsidR="003A71DE" w:rsidRPr="00967E5D" w:rsidRDefault="003A71DE" w:rsidP="00E33F84">
            <w:pPr>
              <w:pStyle w:val="TAL"/>
            </w:pPr>
            <w:r w:rsidRPr="00967E5D">
              <w:t>n1</w:t>
            </w:r>
          </w:p>
        </w:tc>
        <w:tc>
          <w:tcPr>
            <w:tcW w:w="2030" w:type="dxa"/>
          </w:tcPr>
          <w:p w14:paraId="1557734B" w14:textId="77777777" w:rsidR="003A71DE" w:rsidRPr="00967E5D" w:rsidRDefault="003A71DE" w:rsidP="00E33F84">
            <w:pPr>
              <w:pStyle w:val="TAL"/>
            </w:pPr>
          </w:p>
        </w:tc>
      </w:tr>
      <w:tr w:rsidR="003A71DE" w:rsidRPr="00967E5D" w14:paraId="6B9815F7" w14:textId="77777777" w:rsidTr="003A71DE">
        <w:tc>
          <w:tcPr>
            <w:tcW w:w="1717" w:type="dxa"/>
            <w:shd w:val="clear" w:color="auto" w:fill="auto"/>
          </w:tcPr>
          <w:p w14:paraId="1F921FCE" w14:textId="77777777" w:rsidR="003A71DE" w:rsidRPr="00967E5D" w:rsidRDefault="003A71DE" w:rsidP="00E33F84">
            <w:pPr>
              <w:pStyle w:val="TAL"/>
            </w:pPr>
          </w:p>
        </w:tc>
        <w:tc>
          <w:tcPr>
            <w:tcW w:w="2530" w:type="dxa"/>
          </w:tcPr>
          <w:p w14:paraId="43DAD2FD" w14:textId="77777777" w:rsidR="003A71DE" w:rsidRPr="00967E5D" w:rsidRDefault="003A71DE" w:rsidP="00E33F84">
            <w:pPr>
              <w:pStyle w:val="TAL"/>
            </w:pPr>
            <w:r w:rsidRPr="00967E5D">
              <w:t>resourceMapping</w:t>
            </w:r>
          </w:p>
          <w:p w14:paraId="3CDD13BE" w14:textId="77777777" w:rsidR="003A71DE" w:rsidRPr="00967E5D" w:rsidRDefault="003A71DE" w:rsidP="00E33F84">
            <w:pPr>
              <w:pStyle w:val="TAL"/>
            </w:pPr>
            <w:r w:rsidRPr="00967E5D">
              <w:t>repetitionFactor</w:t>
            </w:r>
          </w:p>
        </w:tc>
        <w:tc>
          <w:tcPr>
            <w:tcW w:w="1816" w:type="dxa"/>
          </w:tcPr>
          <w:p w14:paraId="084B4614" w14:textId="77777777" w:rsidR="003A71DE" w:rsidRPr="00967E5D" w:rsidRDefault="003A71DE" w:rsidP="00E33F84">
            <w:pPr>
              <w:pStyle w:val="TAL"/>
            </w:pPr>
            <w:r w:rsidRPr="00967E5D">
              <w:t>n1</w:t>
            </w:r>
          </w:p>
        </w:tc>
        <w:tc>
          <w:tcPr>
            <w:tcW w:w="1257" w:type="dxa"/>
          </w:tcPr>
          <w:p w14:paraId="4ACC2FE0" w14:textId="77777777" w:rsidR="003A71DE" w:rsidRPr="00967E5D" w:rsidRDefault="003A71DE" w:rsidP="00E33F84">
            <w:pPr>
              <w:pStyle w:val="TAL"/>
            </w:pPr>
            <w:r w:rsidRPr="00967E5D">
              <w:t>n1</w:t>
            </w:r>
          </w:p>
        </w:tc>
        <w:tc>
          <w:tcPr>
            <w:tcW w:w="2030" w:type="dxa"/>
          </w:tcPr>
          <w:p w14:paraId="16559093" w14:textId="77777777" w:rsidR="003A71DE" w:rsidRPr="00967E5D" w:rsidRDefault="003A71DE" w:rsidP="00E33F84">
            <w:pPr>
              <w:pStyle w:val="TAL"/>
            </w:pPr>
          </w:p>
        </w:tc>
      </w:tr>
      <w:tr w:rsidR="003A71DE" w:rsidRPr="00967E5D" w14:paraId="5EA8ADD0" w14:textId="77777777" w:rsidTr="003A71DE">
        <w:tc>
          <w:tcPr>
            <w:tcW w:w="1717" w:type="dxa"/>
            <w:shd w:val="clear" w:color="auto" w:fill="auto"/>
          </w:tcPr>
          <w:p w14:paraId="448F9845" w14:textId="77777777" w:rsidR="003A71DE" w:rsidRPr="00967E5D" w:rsidRDefault="003A71DE" w:rsidP="00E33F84">
            <w:pPr>
              <w:pStyle w:val="TAL"/>
            </w:pPr>
          </w:p>
        </w:tc>
        <w:tc>
          <w:tcPr>
            <w:tcW w:w="2530" w:type="dxa"/>
          </w:tcPr>
          <w:p w14:paraId="53D16C80" w14:textId="77777777" w:rsidR="003A71DE" w:rsidRPr="00967E5D" w:rsidRDefault="003A71DE" w:rsidP="00E33F84">
            <w:pPr>
              <w:pStyle w:val="TAL"/>
            </w:pPr>
            <w:r w:rsidRPr="00967E5D">
              <w:t>freqDomainPosition</w:t>
            </w:r>
          </w:p>
        </w:tc>
        <w:tc>
          <w:tcPr>
            <w:tcW w:w="1816" w:type="dxa"/>
          </w:tcPr>
          <w:p w14:paraId="243C57BF" w14:textId="77777777" w:rsidR="003A71DE" w:rsidRPr="00967E5D" w:rsidRDefault="003A71DE" w:rsidP="00E33F84">
            <w:pPr>
              <w:pStyle w:val="TAL"/>
            </w:pPr>
            <w:r w:rsidRPr="00967E5D">
              <w:t>0</w:t>
            </w:r>
          </w:p>
        </w:tc>
        <w:tc>
          <w:tcPr>
            <w:tcW w:w="1257" w:type="dxa"/>
          </w:tcPr>
          <w:p w14:paraId="39FF0DC8" w14:textId="77777777" w:rsidR="003A71DE" w:rsidRPr="00967E5D" w:rsidRDefault="003A71DE" w:rsidP="00E33F84">
            <w:pPr>
              <w:pStyle w:val="TAL"/>
            </w:pPr>
            <w:r w:rsidRPr="00967E5D">
              <w:t>0</w:t>
            </w:r>
          </w:p>
        </w:tc>
        <w:tc>
          <w:tcPr>
            <w:tcW w:w="2030" w:type="dxa"/>
          </w:tcPr>
          <w:p w14:paraId="08C091DE" w14:textId="77777777" w:rsidR="003A71DE" w:rsidRPr="00967E5D" w:rsidRDefault="003A71DE" w:rsidP="00E33F84">
            <w:pPr>
              <w:pStyle w:val="TAL"/>
            </w:pPr>
          </w:p>
        </w:tc>
      </w:tr>
      <w:tr w:rsidR="003A71DE" w:rsidRPr="00967E5D" w14:paraId="7F7C3A6F" w14:textId="77777777" w:rsidTr="003A71DE">
        <w:tc>
          <w:tcPr>
            <w:tcW w:w="1717" w:type="dxa"/>
            <w:shd w:val="clear" w:color="auto" w:fill="auto"/>
          </w:tcPr>
          <w:p w14:paraId="0820FF4C" w14:textId="77777777" w:rsidR="003A71DE" w:rsidRPr="00967E5D" w:rsidRDefault="003A71DE" w:rsidP="00E33F84">
            <w:pPr>
              <w:pStyle w:val="TAL"/>
            </w:pPr>
          </w:p>
        </w:tc>
        <w:tc>
          <w:tcPr>
            <w:tcW w:w="2530" w:type="dxa"/>
          </w:tcPr>
          <w:p w14:paraId="74EECE50" w14:textId="77777777" w:rsidR="003A71DE" w:rsidRPr="00967E5D" w:rsidRDefault="003A71DE" w:rsidP="00E33F84">
            <w:pPr>
              <w:pStyle w:val="TAL"/>
            </w:pPr>
            <w:r w:rsidRPr="00967E5D">
              <w:t>freqDomainShift</w:t>
            </w:r>
          </w:p>
        </w:tc>
        <w:tc>
          <w:tcPr>
            <w:tcW w:w="1816" w:type="dxa"/>
          </w:tcPr>
          <w:p w14:paraId="086DCCC0" w14:textId="77777777" w:rsidR="003A71DE" w:rsidRPr="00967E5D" w:rsidRDefault="003A71DE" w:rsidP="00E33F84">
            <w:pPr>
              <w:pStyle w:val="TAL"/>
            </w:pPr>
            <w:r w:rsidRPr="00967E5D">
              <w:t>0</w:t>
            </w:r>
          </w:p>
        </w:tc>
        <w:tc>
          <w:tcPr>
            <w:tcW w:w="1257" w:type="dxa"/>
          </w:tcPr>
          <w:p w14:paraId="775494A0" w14:textId="77777777" w:rsidR="003A71DE" w:rsidRPr="00967E5D" w:rsidRDefault="003A71DE" w:rsidP="00E33F84">
            <w:pPr>
              <w:pStyle w:val="TAL"/>
            </w:pPr>
            <w:r w:rsidRPr="00967E5D">
              <w:t>0</w:t>
            </w:r>
          </w:p>
        </w:tc>
        <w:tc>
          <w:tcPr>
            <w:tcW w:w="2030" w:type="dxa"/>
          </w:tcPr>
          <w:p w14:paraId="02D6A4C8" w14:textId="77777777" w:rsidR="003A71DE" w:rsidRPr="00967E5D" w:rsidRDefault="003A71DE" w:rsidP="00E33F84">
            <w:pPr>
              <w:pStyle w:val="TAL"/>
            </w:pPr>
          </w:p>
        </w:tc>
      </w:tr>
      <w:tr w:rsidR="003A71DE" w:rsidRPr="00967E5D" w14:paraId="7C4D1738" w14:textId="77777777" w:rsidTr="003A71DE">
        <w:tc>
          <w:tcPr>
            <w:tcW w:w="1717" w:type="dxa"/>
            <w:shd w:val="clear" w:color="auto" w:fill="auto"/>
          </w:tcPr>
          <w:p w14:paraId="5BDAB3DA" w14:textId="77777777" w:rsidR="003A71DE" w:rsidRPr="00967E5D" w:rsidRDefault="003A71DE" w:rsidP="00E33F84">
            <w:pPr>
              <w:pStyle w:val="TAL"/>
            </w:pPr>
          </w:p>
        </w:tc>
        <w:tc>
          <w:tcPr>
            <w:tcW w:w="2530" w:type="dxa"/>
          </w:tcPr>
          <w:p w14:paraId="7032A8F4" w14:textId="77777777" w:rsidR="003A71DE" w:rsidRPr="00967E5D" w:rsidRDefault="003A71DE" w:rsidP="00E33F84">
            <w:pPr>
              <w:pStyle w:val="TAL"/>
            </w:pPr>
            <w:r w:rsidRPr="00967E5D">
              <w:t>freqHopping</w:t>
            </w:r>
          </w:p>
          <w:p w14:paraId="62889505" w14:textId="77777777" w:rsidR="003A71DE" w:rsidRPr="00967E5D" w:rsidRDefault="003A71DE" w:rsidP="00E33F84">
            <w:pPr>
              <w:pStyle w:val="TAL"/>
            </w:pPr>
            <w:r w:rsidRPr="00967E5D">
              <w:t>c-SRS</w:t>
            </w:r>
          </w:p>
        </w:tc>
        <w:tc>
          <w:tcPr>
            <w:tcW w:w="1816" w:type="dxa"/>
          </w:tcPr>
          <w:p w14:paraId="2CC9CEBD" w14:textId="77777777" w:rsidR="003A71DE" w:rsidRPr="00967E5D" w:rsidRDefault="003A71DE" w:rsidP="00E33F84">
            <w:pPr>
              <w:pStyle w:val="TAL"/>
            </w:pPr>
            <w:r w:rsidRPr="00967E5D">
              <w:t>17</w:t>
            </w:r>
          </w:p>
        </w:tc>
        <w:tc>
          <w:tcPr>
            <w:tcW w:w="1257" w:type="dxa"/>
          </w:tcPr>
          <w:p w14:paraId="550CEE0B" w14:textId="77777777" w:rsidR="003A71DE" w:rsidRPr="00967E5D" w:rsidRDefault="003A71DE" w:rsidP="00E33F84">
            <w:pPr>
              <w:pStyle w:val="TAL"/>
            </w:pPr>
            <w:r w:rsidRPr="00967E5D">
              <w:t>17</w:t>
            </w:r>
          </w:p>
        </w:tc>
        <w:tc>
          <w:tcPr>
            <w:tcW w:w="2030" w:type="dxa"/>
          </w:tcPr>
          <w:p w14:paraId="6C14FD7A" w14:textId="77777777" w:rsidR="003A71DE" w:rsidRPr="00967E5D" w:rsidRDefault="003A71DE" w:rsidP="00E33F84">
            <w:pPr>
              <w:pStyle w:val="TAL"/>
            </w:pPr>
            <w:r w:rsidRPr="00967E5D">
              <w:rPr>
                <w:rFonts w:cs="Arial"/>
                <w:szCs w:val="18"/>
              </w:rPr>
              <w:t>Matches N</w:t>
            </w:r>
            <w:r w:rsidRPr="00967E5D">
              <w:rPr>
                <w:rFonts w:cs="Arial"/>
                <w:szCs w:val="18"/>
                <w:vertAlign w:val="subscript"/>
              </w:rPr>
              <w:t>RB,c</w:t>
            </w:r>
          </w:p>
        </w:tc>
      </w:tr>
      <w:tr w:rsidR="003A71DE" w:rsidRPr="00967E5D" w14:paraId="7575C24B" w14:textId="77777777" w:rsidTr="003A71DE">
        <w:tc>
          <w:tcPr>
            <w:tcW w:w="1717" w:type="dxa"/>
            <w:shd w:val="clear" w:color="auto" w:fill="auto"/>
          </w:tcPr>
          <w:p w14:paraId="3480C0BF" w14:textId="77777777" w:rsidR="003A71DE" w:rsidRPr="00967E5D" w:rsidRDefault="003A71DE" w:rsidP="00E33F84">
            <w:pPr>
              <w:pStyle w:val="TAL"/>
            </w:pPr>
          </w:p>
        </w:tc>
        <w:tc>
          <w:tcPr>
            <w:tcW w:w="2530" w:type="dxa"/>
          </w:tcPr>
          <w:p w14:paraId="4A6F2D89" w14:textId="77777777" w:rsidR="003A71DE" w:rsidRPr="00967E5D" w:rsidRDefault="003A71DE" w:rsidP="00E33F84">
            <w:pPr>
              <w:pStyle w:val="TAL"/>
            </w:pPr>
            <w:r w:rsidRPr="00967E5D">
              <w:t>freqHopping</w:t>
            </w:r>
          </w:p>
          <w:p w14:paraId="2632CBEB" w14:textId="77777777" w:rsidR="003A71DE" w:rsidRPr="00967E5D" w:rsidRDefault="003A71DE" w:rsidP="00E33F84">
            <w:pPr>
              <w:pStyle w:val="TAL"/>
            </w:pPr>
            <w:r w:rsidRPr="00967E5D">
              <w:t>b-SRS</w:t>
            </w:r>
          </w:p>
        </w:tc>
        <w:tc>
          <w:tcPr>
            <w:tcW w:w="1816" w:type="dxa"/>
          </w:tcPr>
          <w:p w14:paraId="05C5C679" w14:textId="77777777" w:rsidR="003A71DE" w:rsidRPr="00967E5D" w:rsidRDefault="003A71DE" w:rsidP="00E33F84">
            <w:pPr>
              <w:pStyle w:val="TAL"/>
            </w:pPr>
            <w:r w:rsidRPr="00967E5D">
              <w:t>0</w:t>
            </w:r>
          </w:p>
        </w:tc>
        <w:tc>
          <w:tcPr>
            <w:tcW w:w="1257" w:type="dxa"/>
          </w:tcPr>
          <w:p w14:paraId="0F5BCA1B" w14:textId="77777777" w:rsidR="003A71DE" w:rsidRPr="00967E5D" w:rsidRDefault="003A71DE" w:rsidP="00E33F84">
            <w:pPr>
              <w:pStyle w:val="TAL"/>
            </w:pPr>
            <w:r w:rsidRPr="00967E5D">
              <w:t>0</w:t>
            </w:r>
          </w:p>
        </w:tc>
        <w:tc>
          <w:tcPr>
            <w:tcW w:w="2030" w:type="dxa"/>
          </w:tcPr>
          <w:p w14:paraId="4F651F7C" w14:textId="77777777" w:rsidR="003A71DE" w:rsidRPr="00967E5D" w:rsidRDefault="003A71DE" w:rsidP="00E33F84">
            <w:pPr>
              <w:pStyle w:val="TAL"/>
            </w:pPr>
          </w:p>
        </w:tc>
      </w:tr>
      <w:tr w:rsidR="003A71DE" w:rsidRPr="00967E5D" w14:paraId="19D1C2D6" w14:textId="77777777" w:rsidTr="003A71DE">
        <w:tc>
          <w:tcPr>
            <w:tcW w:w="1717" w:type="dxa"/>
            <w:shd w:val="clear" w:color="auto" w:fill="auto"/>
          </w:tcPr>
          <w:p w14:paraId="41ABA6D1" w14:textId="77777777" w:rsidR="003A71DE" w:rsidRPr="00967E5D" w:rsidRDefault="003A71DE" w:rsidP="00E33F84">
            <w:pPr>
              <w:pStyle w:val="TAL"/>
            </w:pPr>
          </w:p>
        </w:tc>
        <w:tc>
          <w:tcPr>
            <w:tcW w:w="2530" w:type="dxa"/>
          </w:tcPr>
          <w:p w14:paraId="712B653B" w14:textId="77777777" w:rsidR="003A71DE" w:rsidRPr="00967E5D" w:rsidRDefault="003A71DE" w:rsidP="00E33F84">
            <w:pPr>
              <w:pStyle w:val="TAL"/>
            </w:pPr>
            <w:r w:rsidRPr="00967E5D">
              <w:t>freqHopping</w:t>
            </w:r>
          </w:p>
          <w:p w14:paraId="28D78950" w14:textId="77777777" w:rsidR="003A71DE" w:rsidRPr="00967E5D" w:rsidRDefault="003A71DE" w:rsidP="00E33F84">
            <w:pPr>
              <w:pStyle w:val="TAL"/>
            </w:pPr>
            <w:r w:rsidRPr="00967E5D">
              <w:t>b-hop</w:t>
            </w:r>
          </w:p>
        </w:tc>
        <w:tc>
          <w:tcPr>
            <w:tcW w:w="1816" w:type="dxa"/>
          </w:tcPr>
          <w:p w14:paraId="6FBB85B8" w14:textId="77777777" w:rsidR="003A71DE" w:rsidRPr="00967E5D" w:rsidRDefault="003A71DE" w:rsidP="00E33F84">
            <w:pPr>
              <w:pStyle w:val="TAL"/>
            </w:pPr>
            <w:r w:rsidRPr="00967E5D">
              <w:t>0</w:t>
            </w:r>
          </w:p>
        </w:tc>
        <w:tc>
          <w:tcPr>
            <w:tcW w:w="1257" w:type="dxa"/>
          </w:tcPr>
          <w:p w14:paraId="0805E4E0" w14:textId="77777777" w:rsidR="003A71DE" w:rsidRPr="00967E5D" w:rsidRDefault="003A71DE" w:rsidP="00E33F84">
            <w:pPr>
              <w:pStyle w:val="TAL"/>
            </w:pPr>
            <w:r w:rsidRPr="00967E5D">
              <w:t>0</w:t>
            </w:r>
          </w:p>
        </w:tc>
        <w:tc>
          <w:tcPr>
            <w:tcW w:w="2030" w:type="dxa"/>
          </w:tcPr>
          <w:p w14:paraId="652A10C2" w14:textId="77777777" w:rsidR="003A71DE" w:rsidRPr="00967E5D" w:rsidRDefault="003A71DE" w:rsidP="00E33F84">
            <w:pPr>
              <w:pStyle w:val="TAL"/>
            </w:pPr>
          </w:p>
        </w:tc>
      </w:tr>
      <w:tr w:rsidR="003A71DE" w:rsidRPr="00967E5D" w14:paraId="53E501E4" w14:textId="77777777" w:rsidTr="003A71DE">
        <w:tc>
          <w:tcPr>
            <w:tcW w:w="1717" w:type="dxa"/>
            <w:shd w:val="clear" w:color="auto" w:fill="auto"/>
          </w:tcPr>
          <w:p w14:paraId="1F2C55D9" w14:textId="77777777" w:rsidR="003A71DE" w:rsidRPr="00967E5D" w:rsidRDefault="003A71DE" w:rsidP="00E33F84">
            <w:pPr>
              <w:pStyle w:val="TAL"/>
            </w:pPr>
          </w:p>
        </w:tc>
        <w:tc>
          <w:tcPr>
            <w:tcW w:w="2530" w:type="dxa"/>
          </w:tcPr>
          <w:p w14:paraId="02E631F7" w14:textId="77777777" w:rsidR="003A71DE" w:rsidRPr="00967E5D" w:rsidRDefault="003A71DE" w:rsidP="00E33F84">
            <w:pPr>
              <w:pStyle w:val="TAL"/>
            </w:pPr>
            <w:r w:rsidRPr="00967E5D">
              <w:t>groupOrSequenceHopping</w:t>
            </w:r>
          </w:p>
        </w:tc>
        <w:tc>
          <w:tcPr>
            <w:tcW w:w="1816" w:type="dxa"/>
          </w:tcPr>
          <w:p w14:paraId="541772D2" w14:textId="77777777" w:rsidR="003A71DE" w:rsidRPr="00967E5D" w:rsidRDefault="003A71DE" w:rsidP="00E33F84">
            <w:pPr>
              <w:pStyle w:val="TAL"/>
            </w:pPr>
            <w:r w:rsidRPr="00967E5D">
              <w:t>Neither</w:t>
            </w:r>
          </w:p>
        </w:tc>
        <w:tc>
          <w:tcPr>
            <w:tcW w:w="1257" w:type="dxa"/>
          </w:tcPr>
          <w:p w14:paraId="229CD4EF" w14:textId="77777777" w:rsidR="003A71DE" w:rsidRPr="00967E5D" w:rsidRDefault="003A71DE" w:rsidP="00E33F84">
            <w:pPr>
              <w:pStyle w:val="TAL"/>
            </w:pPr>
            <w:r w:rsidRPr="00967E5D">
              <w:t>Neither</w:t>
            </w:r>
          </w:p>
        </w:tc>
        <w:tc>
          <w:tcPr>
            <w:tcW w:w="2030" w:type="dxa"/>
          </w:tcPr>
          <w:p w14:paraId="75A19BDA" w14:textId="77777777" w:rsidR="003A71DE" w:rsidRPr="00967E5D" w:rsidRDefault="003A71DE" w:rsidP="00E33F84">
            <w:pPr>
              <w:pStyle w:val="TAL"/>
            </w:pPr>
          </w:p>
        </w:tc>
      </w:tr>
      <w:tr w:rsidR="003A71DE" w:rsidRPr="00967E5D" w14:paraId="2421AE90" w14:textId="77777777" w:rsidTr="003A71DE">
        <w:tc>
          <w:tcPr>
            <w:tcW w:w="1717" w:type="dxa"/>
            <w:shd w:val="clear" w:color="auto" w:fill="auto"/>
          </w:tcPr>
          <w:p w14:paraId="13865FDF" w14:textId="77777777" w:rsidR="003A71DE" w:rsidRPr="00967E5D" w:rsidRDefault="003A71DE" w:rsidP="00E33F84">
            <w:pPr>
              <w:pStyle w:val="TAL"/>
            </w:pPr>
          </w:p>
        </w:tc>
        <w:tc>
          <w:tcPr>
            <w:tcW w:w="2530" w:type="dxa"/>
          </w:tcPr>
          <w:p w14:paraId="2518B1E6" w14:textId="77777777" w:rsidR="003A71DE" w:rsidRPr="00967E5D" w:rsidRDefault="003A71DE" w:rsidP="00E33F84">
            <w:pPr>
              <w:pStyle w:val="TAL"/>
            </w:pPr>
            <w:r w:rsidRPr="00967E5D">
              <w:t>resourceType</w:t>
            </w:r>
          </w:p>
        </w:tc>
        <w:tc>
          <w:tcPr>
            <w:tcW w:w="1816" w:type="dxa"/>
          </w:tcPr>
          <w:p w14:paraId="3F6D8DC3" w14:textId="77777777" w:rsidR="003A71DE" w:rsidRPr="00967E5D" w:rsidRDefault="003A71DE" w:rsidP="00E33F84">
            <w:pPr>
              <w:pStyle w:val="TAL"/>
            </w:pPr>
            <w:r w:rsidRPr="00967E5D">
              <w:t>Periodic</w:t>
            </w:r>
          </w:p>
        </w:tc>
        <w:tc>
          <w:tcPr>
            <w:tcW w:w="1257" w:type="dxa"/>
          </w:tcPr>
          <w:p w14:paraId="68E43712" w14:textId="77777777" w:rsidR="003A71DE" w:rsidRPr="00967E5D" w:rsidRDefault="003A71DE" w:rsidP="00E33F84">
            <w:pPr>
              <w:pStyle w:val="TAL"/>
            </w:pPr>
            <w:r w:rsidRPr="00967E5D">
              <w:t>Periodic</w:t>
            </w:r>
          </w:p>
        </w:tc>
        <w:tc>
          <w:tcPr>
            <w:tcW w:w="2030" w:type="dxa"/>
          </w:tcPr>
          <w:p w14:paraId="1621A773" w14:textId="77777777" w:rsidR="003A71DE" w:rsidRPr="00967E5D" w:rsidRDefault="003A71DE" w:rsidP="00E33F84">
            <w:pPr>
              <w:pStyle w:val="TAL"/>
            </w:pPr>
          </w:p>
        </w:tc>
      </w:tr>
      <w:tr w:rsidR="003A71DE" w:rsidRPr="00967E5D" w14:paraId="3B321231" w14:textId="77777777" w:rsidTr="003A71DE">
        <w:tc>
          <w:tcPr>
            <w:tcW w:w="1717" w:type="dxa"/>
            <w:shd w:val="clear" w:color="auto" w:fill="auto"/>
          </w:tcPr>
          <w:p w14:paraId="3B327E3D" w14:textId="77777777" w:rsidR="003A71DE" w:rsidRPr="00967E5D" w:rsidRDefault="003A71DE" w:rsidP="00E33F84">
            <w:pPr>
              <w:pStyle w:val="TAL"/>
            </w:pPr>
          </w:p>
        </w:tc>
        <w:tc>
          <w:tcPr>
            <w:tcW w:w="2530" w:type="dxa"/>
          </w:tcPr>
          <w:p w14:paraId="1B21BF48" w14:textId="77777777" w:rsidR="003A71DE" w:rsidRPr="00967E5D" w:rsidRDefault="003A71DE" w:rsidP="00E33F84">
            <w:pPr>
              <w:pStyle w:val="TAL"/>
            </w:pPr>
            <w:r w:rsidRPr="00967E5D">
              <w:t>periodicityAndOffset-p</w:t>
            </w:r>
          </w:p>
        </w:tc>
        <w:tc>
          <w:tcPr>
            <w:tcW w:w="1816" w:type="dxa"/>
          </w:tcPr>
          <w:p w14:paraId="78B3EDD1" w14:textId="77777777" w:rsidR="003A71DE" w:rsidRPr="00967E5D" w:rsidRDefault="003A71DE" w:rsidP="00E33F84">
            <w:pPr>
              <w:pStyle w:val="TAL"/>
              <w:rPr>
                <w:rFonts w:eastAsiaTheme="minorEastAsia"/>
                <w:lang w:eastAsia="zh-CN"/>
              </w:rPr>
            </w:pPr>
            <w:r w:rsidRPr="00967E5D">
              <w:t>sl1</w:t>
            </w:r>
            <w:r w:rsidRPr="00967E5D">
              <w:rPr>
                <w:lang w:eastAsia="zh-CN"/>
              </w:rPr>
              <w:t>, 0</w:t>
            </w:r>
          </w:p>
        </w:tc>
        <w:tc>
          <w:tcPr>
            <w:tcW w:w="1257" w:type="dxa"/>
          </w:tcPr>
          <w:p w14:paraId="29B761C4" w14:textId="77777777" w:rsidR="003A71DE" w:rsidRPr="00967E5D" w:rsidRDefault="003A71DE" w:rsidP="00E33F84">
            <w:pPr>
              <w:pStyle w:val="TAL"/>
              <w:rPr>
                <w:rFonts w:eastAsiaTheme="minorEastAsia"/>
                <w:lang w:eastAsia="zh-CN"/>
              </w:rPr>
            </w:pPr>
            <w:r w:rsidRPr="00967E5D">
              <w:t>sl2560</w:t>
            </w:r>
            <w:r w:rsidRPr="00967E5D">
              <w:rPr>
                <w:lang w:eastAsia="zh-CN"/>
              </w:rPr>
              <w:t>, 4</w:t>
            </w:r>
          </w:p>
        </w:tc>
        <w:tc>
          <w:tcPr>
            <w:tcW w:w="2030" w:type="dxa"/>
          </w:tcPr>
          <w:p w14:paraId="7B2E52F9" w14:textId="77777777" w:rsidR="003A71DE" w:rsidRPr="00967E5D" w:rsidRDefault="003A71DE" w:rsidP="00E33F84">
            <w:pPr>
              <w:pStyle w:val="TAL"/>
            </w:pPr>
          </w:p>
        </w:tc>
      </w:tr>
      <w:tr w:rsidR="003A71DE" w:rsidRPr="00967E5D" w14:paraId="6BD1A71B" w14:textId="77777777" w:rsidTr="003A71DE">
        <w:tc>
          <w:tcPr>
            <w:tcW w:w="1717" w:type="dxa"/>
            <w:shd w:val="clear" w:color="auto" w:fill="auto"/>
          </w:tcPr>
          <w:p w14:paraId="0AF0C5D5" w14:textId="77777777" w:rsidR="003A71DE" w:rsidRPr="00967E5D" w:rsidRDefault="003A71DE" w:rsidP="00E33F84">
            <w:pPr>
              <w:pStyle w:val="TAL"/>
            </w:pPr>
          </w:p>
        </w:tc>
        <w:tc>
          <w:tcPr>
            <w:tcW w:w="2530" w:type="dxa"/>
          </w:tcPr>
          <w:p w14:paraId="51E242A9" w14:textId="77777777" w:rsidR="003A71DE" w:rsidRPr="00967E5D" w:rsidRDefault="003A71DE" w:rsidP="00E33F84">
            <w:pPr>
              <w:pStyle w:val="TAL"/>
            </w:pPr>
            <w:r w:rsidRPr="00967E5D">
              <w:t>sequenceId</w:t>
            </w:r>
          </w:p>
        </w:tc>
        <w:tc>
          <w:tcPr>
            <w:tcW w:w="1816" w:type="dxa"/>
          </w:tcPr>
          <w:p w14:paraId="702435C4" w14:textId="77777777" w:rsidR="003A71DE" w:rsidRPr="00967E5D" w:rsidRDefault="003A71DE" w:rsidP="00E33F84">
            <w:pPr>
              <w:pStyle w:val="TAL"/>
            </w:pPr>
            <w:r w:rsidRPr="00967E5D">
              <w:t>0</w:t>
            </w:r>
          </w:p>
        </w:tc>
        <w:tc>
          <w:tcPr>
            <w:tcW w:w="1257" w:type="dxa"/>
          </w:tcPr>
          <w:p w14:paraId="382FA161" w14:textId="77777777" w:rsidR="003A71DE" w:rsidRPr="00967E5D" w:rsidRDefault="003A71DE" w:rsidP="00E33F84">
            <w:pPr>
              <w:pStyle w:val="TAL"/>
            </w:pPr>
            <w:r w:rsidRPr="00967E5D">
              <w:t>0</w:t>
            </w:r>
          </w:p>
        </w:tc>
        <w:tc>
          <w:tcPr>
            <w:tcW w:w="2030" w:type="dxa"/>
          </w:tcPr>
          <w:p w14:paraId="164EE5C6" w14:textId="77777777" w:rsidR="003A71DE" w:rsidRPr="00967E5D" w:rsidRDefault="003A71DE" w:rsidP="00E33F84">
            <w:pPr>
              <w:pStyle w:val="TAL"/>
            </w:pPr>
            <w:r w:rsidRPr="00967E5D">
              <w:t>Any 10 bit number</w:t>
            </w:r>
          </w:p>
        </w:tc>
      </w:tr>
    </w:tbl>
    <w:p w14:paraId="6504B044" w14:textId="77777777" w:rsidR="003A71DE" w:rsidRPr="00967E5D" w:rsidRDefault="003A71DE" w:rsidP="003A71DE">
      <w:pPr>
        <w:spacing w:line="259" w:lineRule="auto"/>
      </w:pPr>
    </w:p>
    <w:p w14:paraId="7FEB0B79" w14:textId="77777777" w:rsidR="003A71DE" w:rsidRPr="00967E5D" w:rsidRDefault="003A71DE" w:rsidP="00746C0D">
      <w:pPr>
        <w:pStyle w:val="H6"/>
      </w:pPr>
      <w:r w:rsidRPr="00967E5D">
        <w:rPr>
          <w:rFonts w:eastAsia="SimSun" w:hint="eastAsia"/>
          <w:lang w:eastAsia="zh-CN"/>
        </w:rPr>
        <w:t>G.2.2</w:t>
      </w:r>
      <w:r w:rsidRPr="00967E5D">
        <w:t>.1.</w:t>
      </w:r>
      <w:r w:rsidRPr="00967E5D">
        <w:rPr>
          <w:rFonts w:eastAsia="SimSun" w:hint="eastAsia"/>
          <w:lang w:val="en-US" w:eastAsia="zh-CN"/>
        </w:rPr>
        <w:t>2</w:t>
      </w:r>
      <w:r w:rsidRPr="00967E5D">
        <w:t>.2</w:t>
      </w:r>
      <w:r w:rsidRPr="00967E5D">
        <w:tab/>
        <w:t>Test requirements</w:t>
      </w:r>
    </w:p>
    <w:p w14:paraId="77241AF0" w14:textId="77777777" w:rsidR="003A71DE" w:rsidRPr="00967E5D" w:rsidRDefault="003A71DE" w:rsidP="003A71DE">
      <w:pPr>
        <w:spacing w:line="259" w:lineRule="auto"/>
      </w:pPr>
      <w:r w:rsidRPr="00967E5D">
        <w:t>The test sequence shall be carried out in RRC_CONNECTED for every test case.</w:t>
      </w:r>
    </w:p>
    <w:p w14:paraId="3F2A5E4D" w14:textId="77777777" w:rsidR="003A71DE" w:rsidRPr="00967E5D" w:rsidRDefault="003A71DE" w:rsidP="003A71DE">
      <w:pPr>
        <w:spacing w:line="259" w:lineRule="auto"/>
        <w:rPr>
          <w:lang w:eastAsia="zh-CN"/>
        </w:rPr>
      </w:pPr>
      <w:r w:rsidRPr="00967E5D">
        <w:t>Following will be the test sequence for this test</w:t>
      </w:r>
      <w:r w:rsidRPr="00967E5D">
        <w:rPr>
          <w:lang w:eastAsia="zh-CN"/>
        </w:rPr>
        <w:t>:</w:t>
      </w:r>
    </w:p>
    <w:p w14:paraId="57708637" w14:textId="77777777" w:rsidR="003A71DE" w:rsidRPr="00967E5D" w:rsidRDefault="003A71DE" w:rsidP="003A71DE">
      <w:pPr>
        <w:spacing w:line="259" w:lineRule="auto"/>
        <w:ind w:left="568" w:hanging="284"/>
      </w:pPr>
      <w:r w:rsidRPr="00967E5D">
        <w:t>1)</w:t>
      </w:r>
      <w:r w:rsidRPr="00967E5D">
        <w:tab/>
        <w:t xml:space="preserve">Setup NR PCell according to parameters given in Table </w:t>
      </w:r>
      <w:r w:rsidRPr="00967E5D">
        <w:rPr>
          <w:rFonts w:eastAsia="SimSun" w:hint="eastAsia"/>
          <w:lang w:eastAsia="zh-CN"/>
        </w:rPr>
        <w:t>G.2.2</w:t>
      </w:r>
      <w:r w:rsidRPr="00967E5D">
        <w:t>.1.</w:t>
      </w:r>
      <w:r w:rsidRPr="00967E5D">
        <w:rPr>
          <w:rFonts w:eastAsia="SimSun" w:hint="eastAsia"/>
          <w:lang w:val="en-US" w:eastAsia="zh-CN"/>
        </w:rPr>
        <w:t>2</w:t>
      </w:r>
      <w:r w:rsidRPr="00967E5D">
        <w:t>.1-1.</w:t>
      </w:r>
    </w:p>
    <w:p w14:paraId="12D9C872" w14:textId="77777777" w:rsidR="003A71DE" w:rsidRPr="00967E5D" w:rsidRDefault="003A71DE" w:rsidP="003A71DE">
      <w:pPr>
        <w:spacing w:line="259" w:lineRule="auto"/>
        <w:ind w:left="568" w:hanging="284"/>
      </w:pPr>
      <w:r w:rsidRPr="00967E5D">
        <w:lastRenderedPageBreak/>
        <w:t>2)</w:t>
      </w:r>
      <w:r w:rsidRPr="00967E5D">
        <w:tab/>
        <w:t>After connection set up with the cell, the test equipment will verify that the timing of the NR cell is within (N</w:t>
      </w:r>
      <w:r w:rsidRPr="00967E5D">
        <w:rPr>
          <w:vertAlign w:val="subscript"/>
        </w:rPr>
        <w:t>TA</w:t>
      </w:r>
      <w:r w:rsidRPr="00967E5D">
        <w:t xml:space="preserve"> + N</w:t>
      </w:r>
      <w:r w:rsidRPr="00967E5D">
        <w:rPr>
          <w:vertAlign w:val="subscript"/>
        </w:rPr>
        <w:t>TA_offset</w:t>
      </w:r>
      <w:r w:rsidRPr="00967E5D">
        <w:t>) ×</w:t>
      </w:r>
      <w:r w:rsidRPr="00967E5D">
        <w:rPr>
          <w:lang w:eastAsia="zh-CN"/>
        </w:rPr>
        <w:t>T</w:t>
      </w:r>
      <w:r w:rsidRPr="00967E5D">
        <w:rPr>
          <w:vertAlign w:val="subscript"/>
          <w:lang w:eastAsia="zh-CN"/>
        </w:rPr>
        <w:t>c</w:t>
      </w:r>
      <w:r w:rsidRPr="00967E5D">
        <w:t xml:space="preserve"> ± T</w:t>
      </w:r>
      <w:r w:rsidRPr="00967E5D">
        <w:rPr>
          <w:vertAlign w:val="subscript"/>
        </w:rPr>
        <w:t>e</w:t>
      </w:r>
      <w:r w:rsidRPr="00967E5D">
        <w:t xml:space="preserve"> of the first detected path of DL SSB.</w:t>
      </w:r>
    </w:p>
    <w:p w14:paraId="47EB766F" w14:textId="77777777" w:rsidR="003A71DE" w:rsidRPr="00967E5D" w:rsidRDefault="003A71DE" w:rsidP="003A71DE">
      <w:pPr>
        <w:spacing w:line="259" w:lineRule="auto"/>
        <w:ind w:left="851" w:hanging="284"/>
      </w:pPr>
      <w:r w:rsidRPr="00967E5D">
        <w:t>a.</w:t>
      </w:r>
      <w:r w:rsidRPr="00967E5D">
        <w:tab/>
        <w:t>The N</w:t>
      </w:r>
      <w:r w:rsidRPr="00967E5D">
        <w:rPr>
          <w:vertAlign w:val="subscript"/>
        </w:rPr>
        <w:t>TA</w:t>
      </w:r>
      <w:r w:rsidRPr="00967E5D">
        <w:t xml:space="preserve"> offset value (in T</w:t>
      </w:r>
      <w:r w:rsidRPr="00967E5D">
        <w:rPr>
          <w:vertAlign w:val="subscript"/>
        </w:rPr>
        <w:t>c</w:t>
      </w:r>
      <w:r w:rsidRPr="00967E5D">
        <w:t xml:space="preserve"> units) is 13792</w:t>
      </w:r>
    </w:p>
    <w:p w14:paraId="2F2B62EE" w14:textId="77777777" w:rsidR="003A71DE" w:rsidRPr="00967E5D" w:rsidRDefault="003A71DE" w:rsidP="003A71DE">
      <w:pPr>
        <w:spacing w:line="259" w:lineRule="auto"/>
        <w:ind w:left="851" w:hanging="284"/>
      </w:pPr>
      <w:r w:rsidRPr="00967E5D">
        <w:t>b.</w:t>
      </w:r>
      <w:r w:rsidRPr="00967E5D">
        <w:tab/>
        <w:t>The T</w:t>
      </w:r>
      <w:r w:rsidRPr="00967E5D">
        <w:rPr>
          <w:vertAlign w:val="subscript"/>
        </w:rPr>
        <w:t>e</w:t>
      </w:r>
      <w:r w:rsidRPr="00967E5D">
        <w:t xml:space="preserve"> values depend on the DL and UL SCS for which the test is being run and are given in Table </w:t>
      </w:r>
      <w:r w:rsidRPr="00967E5D">
        <w:rPr>
          <w:rFonts w:eastAsia="SimSun" w:hint="eastAsia"/>
          <w:lang w:eastAsia="zh-CN"/>
        </w:rPr>
        <w:t>12.2.1.2</w:t>
      </w:r>
      <w:r w:rsidRPr="00967E5D">
        <w:t>-1</w:t>
      </w:r>
    </w:p>
    <w:p w14:paraId="2E7F1FCD" w14:textId="77777777" w:rsidR="003A71DE" w:rsidRPr="00967E5D" w:rsidRDefault="003A71DE" w:rsidP="003A71DE">
      <w:pPr>
        <w:spacing w:line="259" w:lineRule="auto"/>
        <w:ind w:left="568" w:hanging="284"/>
      </w:pPr>
      <w:r w:rsidRPr="00967E5D">
        <w:t>3)</w:t>
      </w:r>
      <w:r w:rsidRPr="00967E5D">
        <w:tab/>
        <w:t xml:space="preserve">The test system shall adjust the timing of the DL path by values given in Table </w:t>
      </w:r>
      <w:r w:rsidRPr="00967E5D">
        <w:rPr>
          <w:rFonts w:eastAsia="SimSun" w:hint="eastAsia"/>
          <w:lang w:eastAsia="zh-CN"/>
        </w:rPr>
        <w:t>G.2.2</w:t>
      </w:r>
      <w:r w:rsidRPr="00967E5D">
        <w:t>.1.</w:t>
      </w:r>
      <w:r w:rsidRPr="00967E5D">
        <w:rPr>
          <w:rFonts w:eastAsia="SimSun" w:hint="eastAsia"/>
          <w:lang w:val="en-US" w:eastAsia="zh-CN"/>
        </w:rPr>
        <w:t>2</w:t>
      </w:r>
      <w:r w:rsidRPr="00967E5D">
        <w:t>.2-1</w:t>
      </w:r>
    </w:p>
    <w:p w14:paraId="5DF3BF0E" w14:textId="77777777" w:rsidR="003A71DE" w:rsidRPr="00967E5D" w:rsidRDefault="003A71DE" w:rsidP="00746C0D">
      <w:pPr>
        <w:pStyle w:val="TH"/>
      </w:pPr>
      <w:r w:rsidRPr="00967E5D">
        <w:t xml:space="preserve">Table </w:t>
      </w:r>
      <w:r w:rsidRPr="00967E5D">
        <w:rPr>
          <w:rFonts w:eastAsia="SimSun" w:hint="eastAsia"/>
          <w:lang w:eastAsia="zh-CN"/>
        </w:rPr>
        <w:t>G.2.2</w:t>
      </w:r>
      <w:r w:rsidRPr="00967E5D">
        <w:t>.1.</w:t>
      </w:r>
      <w:r w:rsidRPr="00967E5D">
        <w:rPr>
          <w:rFonts w:eastAsia="SimSun" w:hint="eastAsia"/>
          <w:lang w:val="en-US" w:eastAsia="zh-CN"/>
        </w:rPr>
        <w:t>2</w:t>
      </w:r>
      <w:r w:rsidRPr="00967E5D">
        <w:t>.2-1</w:t>
      </w:r>
      <w:r w:rsidRPr="00967E5D">
        <w:rPr>
          <w:rFonts w:eastAsia="SimSun" w:hint="eastAsia"/>
          <w:lang w:val="en-US" w:eastAsia="zh-CN"/>
        </w:rPr>
        <w:t>:</w:t>
      </w:r>
      <w:r w:rsidRPr="00967E5D">
        <w:t xml:space="preserve"> Adjustment Value for DL Timing</w:t>
      </w:r>
    </w:p>
    <w:tbl>
      <w:tblPr>
        <w:tblW w:w="863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93"/>
        <w:gridCol w:w="2168"/>
        <w:gridCol w:w="2169"/>
      </w:tblGrid>
      <w:tr w:rsidR="003A71DE" w:rsidRPr="00967E5D" w14:paraId="67FDD9F0" w14:textId="77777777" w:rsidTr="003A71DE">
        <w:tc>
          <w:tcPr>
            <w:tcW w:w="4293" w:type="dxa"/>
          </w:tcPr>
          <w:p w14:paraId="6AF57624" w14:textId="77777777" w:rsidR="003A71DE" w:rsidRPr="00967E5D" w:rsidRDefault="003A71DE" w:rsidP="00E33F84">
            <w:pPr>
              <w:pStyle w:val="TAH"/>
            </w:pPr>
            <w:r w:rsidRPr="00967E5D">
              <w:t>SCS of SSB signals (kHz)</w:t>
            </w:r>
          </w:p>
        </w:tc>
        <w:tc>
          <w:tcPr>
            <w:tcW w:w="4337" w:type="dxa"/>
            <w:gridSpan w:val="2"/>
          </w:tcPr>
          <w:p w14:paraId="65C23F28" w14:textId="77777777" w:rsidR="003A71DE" w:rsidRPr="00967E5D" w:rsidRDefault="003A71DE" w:rsidP="00E33F84">
            <w:pPr>
              <w:pStyle w:val="TAH"/>
            </w:pPr>
            <w:r w:rsidRPr="00967E5D">
              <w:t>Adjustment Value</w:t>
            </w:r>
          </w:p>
        </w:tc>
      </w:tr>
      <w:tr w:rsidR="003A71DE" w:rsidRPr="00967E5D" w14:paraId="3094BECF" w14:textId="77777777" w:rsidTr="003A71DE">
        <w:tc>
          <w:tcPr>
            <w:tcW w:w="4293" w:type="dxa"/>
          </w:tcPr>
          <w:p w14:paraId="109EC86C" w14:textId="77777777" w:rsidR="003A71DE" w:rsidRPr="00967E5D" w:rsidRDefault="003A71DE" w:rsidP="00E33F84">
            <w:pPr>
              <w:pStyle w:val="TAH"/>
            </w:pPr>
          </w:p>
        </w:tc>
        <w:tc>
          <w:tcPr>
            <w:tcW w:w="2168" w:type="dxa"/>
          </w:tcPr>
          <w:p w14:paraId="367B90DB" w14:textId="77777777" w:rsidR="003A71DE" w:rsidRPr="00967E5D" w:rsidRDefault="003A71DE" w:rsidP="00E33F84">
            <w:pPr>
              <w:pStyle w:val="TAH"/>
            </w:pPr>
            <w:r w:rsidRPr="00967E5D">
              <w:t>Test1</w:t>
            </w:r>
          </w:p>
        </w:tc>
        <w:tc>
          <w:tcPr>
            <w:tcW w:w="2169" w:type="dxa"/>
          </w:tcPr>
          <w:p w14:paraId="3D70EF2F" w14:textId="77777777" w:rsidR="003A71DE" w:rsidRPr="00967E5D" w:rsidRDefault="003A71DE" w:rsidP="00E33F84">
            <w:pPr>
              <w:pStyle w:val="TAH"/>
            </w:pPr>
            <w:r w:rsidRPr="00967E5D">
              <w:t>Test2</w:t>
            </w:r>
          </w:p>
        </w:tc>
      </w:tr>
      <w:tr w:rsidR="003A71DE" w:rsidRPr="00967E5D" w14:paraId="63CB00AF" w14:textId="77777777" w:rsidTr="003A71DE">
        <w:tc>
          <w:tcPr>
            <w:tcW w:w="4293" w:type="dxa"/>
          </w:tcPr>
          <w:p w14:paraId="5568D1C8" w14:textId="77777777" w:rsidR="003A71DE" w:rsidRPr="00967E5D" w:rsidRDefault="003A71DE" w:rsidP="00E33F84">
            <w:pPr>
              <w:pStyle w:val="TAC"/>
            </w:pPr>
            <w:r w:rsidRPr="00967E5D">
              <w:t>240</w:t>
            </w:r>
          </w:p>
        </w:tc>
        <w:tc>
          <w:tcPr>
            <w:tcW w:w="2168" w:type="dxa"/>
          </w:tcPr>
          <w:p w14:paraId="3144C38B" w14:textId="77777777" w:rsidR="003A71DE" w:rsidRPr="00967E5D" w:rsidRDefault="003A71DE" w:rsidP="00E33F84">
            <w:pPr>
              <w:pStyle w:val="TAC"/>
            </w:pPr>
            <w:r w:rsidRPr="00967E5D">
              <w:t>+8*64T</w:t>
            </w:r>
            <w:r w:rsidRPr="00967E5D">
              <w:rPr>
                <w:vertAlign w:val="subscript"/>
              </w:rPr>
              <w:t>c</w:t>
            </w:r>
          </w:p>
        </w:tc>
        <w:tc>
          <w:tcPr>
            <w:tcW w:w="2169" w:type="dxa"/>
          </w:tcPr>
          <w:p w14:paraId="360E75D3" w14:textId="77777777" w:rsidR="003A71DE" w:rsidRPr="00967E5D" w:rsidRDefault="003A71DE" w:rsidP="00E33F84">
            <w:pPr>
              <w:pStyle w:val="TAC"/>
            </w:pPr>
            <w:r w:rsidRPr="00967E5D">
              <w:t>+4*64T</w:t>
            </w:r>
            <w:r w:rsidRPr="00967E5D">
              <w:rPr>
                <w:vertAlign w:val="subscript"/>
              </w:rPr>
              <w:t>c</w:t>
            </w:r>
          </w:p>
        </w:tc>
      </w:tr>
    </w:tbl>
    <w:p w14:paraId="7DE61C07" w14:textId="77777777" w:rsidR="003A71DE" w:rsidRPr="00967E5D" w:rsidRDefault="003A71DE" w:rsidP="003A71DE">
      <w:pPr>
        <w:spacing w:line="259" w:lineRule="auto"/>
        <w:rPr>
          <w:lang w:eastAsia="zh-CN"/>
        </w:rPr>
      </w:pPr>
    </w:p>
    <w:p w14:paraId="7FCE2C4E" w14:textId="77777777" w:rsidR="003A71DE" w:rsidRPr="00967E5D" w:rsidRDefault="003A71DE" w:rsidP="003A71DE">
      <w:pPr>
        <w:spacing w:line="259" w:lineRule="auto"/>
        <w:ind w:left="568" w:hanging="284"/>
      </w:pPr>
      <w:r w:rsidRPr="00967E5D">
        <w:t>4)</w:t>
      </w:r>
      <w:r w:rsidRPr="00967E5D">
        <w:tab/>
        <w:t xml:space="preserve">The test system shall verify that the adjustment step size and the adjustment rate shall be according to requirements specified in clause </w:t>
      </w:r>
      <w:r w:rsidRPr="00967E5D">
        <w:rPr>
          <w:rFonts w:eastAsia="SimSun" w:hint="eastAsia"/>
          <w:lang w:val="en-US" w:eastAsia="zh-CN"/>
        </w:rPr>
        <w:t>12.2</w:t>
      </w:r>
      <w:r w:rsidRPr="00967E5D">
        <w:t xml:space="preserve">.1.2 Table </w:t>
      </w:r>
      <w:r w:rsidRPr="00967E5D">
        <w:rPr>
          <w:rFonts w:eastAsia="SimSun" w:hint="eastAsia"/>
          <w:lang w:val="en-US" w:eastAsia="zh-CN"/>
        </w:rPr>
        <w:t>12</w:t>
      </w:r>
      <w:r w:rsidRPr="00967E5D">
        <w:t>.</w:t>
      </w:r>
      <w:r w:rsidRPr="00967E5D">
        <w:rPr>
          <w:rFonts w:eastAsia="SimSun" w:hint="eastAsia"/>
          <w:lang w:val="en-US" w:eastAsia="zh-CN"/>
        </w:rPr>
        <w:t>2.</w:t>
      </w:r>
      <w:r w:rsidRPr="00967E5D">
        <w:t>1.2.1-1</w:t>
      </w:r>
      <w:r w:rsidRPr="00967E5D">
        <w:rPr>
          <w:lang w:eastAsia="zh-CN"/>
        </w:rPr>
        <w:t xml:space="preserve"> until the </w:t>
      </w:r>
      <w:r w:rsidRPr="00967E5D">
        <w:rPr>
          <w:rFonts w:hint="eastAsia"/>
          <w:lang w:val="en-US" w:eastAsia="zh-CN"/>
        </w:rPr>
        <w:t>IAB-MT</w:t>
      </w:r>
      <w:r w:rsidRPr="00967E5D">
        <w:rPr>
          <w:lang w:eastAsia="zh-CN"/>
        </w:rPr>
        <w:t xml:space="preserve"> transmit timing offset is within </w:t>
      </w:r>
      <w:r w:rsidRPr="00967E5D">
        <w:t>(N</w:t>
      </w:r>
      <w:r w:rsidRPr="00967E5D">
        <w:rPr>
          <w:vertAlign w:val="subscript"/>
        </w:rPr>
        <w:t>TA</w:t>
      </w:r>
      <w:r w:rsidRPr="00967E5D">
        <w:t xml:space="preserve"> + N</w:t>
      </w:r>
      <w:r w:rsidRPr="00967E5D">
        <w:rPr>
          <w:vertAlign w:val="subscript"/>
        </w:rPr>
        <w:t>TA_offset</w:t>
      </w:r>
      <w:r w:rsidRPr="00967E5D">
        <w:t>) ×</w:t>
      </w:r>
      <w:r w:rsidRPr="00967E5D">
        <w:rPr>
          <w:lang w:eastAsia="zh-CN"/>
        </w:rPr>
        <w:t>T</w:t>
      </w:r>
      <w:r w:rsidRPr="00967E5D">
        <w:rPr>
          <w:vertAlign w:val="subscript"/>
          <w:lang w:eastAsia="zh-CN"/>
        </w:rPr>
        <w:t>c</w:t>
      </w:r>
      <w:r w:rsidRPr="00967E5D">
        <w:t xml:space="preserve"> ± T</w:t>
      </w:r>
      <w:r w:rsidRPr="00967E5D">
        <w:rPr>
          <w:vertAlign w:val="subscript"/>
        </w:rPr>
        <w:t>e</w:t>
      </w:r>
      <w:r w:rsidRPr="00967E5D">
        <w:rPr>
          <w:lang w:eastAsia="zh-CN"/>
        </w:rPr>
        <w:t xml:space="preserve"> respective to the first detected path (in time) of DL SSB</w:t>
      </w:r>
      <w:r w:rsidRPr="00967E5D">
        <w:t xml:space="preserve">.  </w:t>
      </w:r>
    </w:p>
    <w:p w14:paraId="23869E9B" w14:textId="77777777" w:rsidR="003A71DE" w:rsidRPr="007654EC" w:rsidRDefault="003A71DE" w:rsidP="003A71DE">
      <w:r w:rsidRPr="00967E5D">
        <w:t>5)</w:t>
      </w:r>
      <w:r w:rsidRPr="00967E5D">
        <w:tab/>
        <w:t xml:space="preserve">The test system shall verify that the </w:t>
      </w:r>
      <w:r w:rsidRPr="00967E5D">
        <w:rPr>
          <w:rFonts w:hint="eastAsia"/>
          <w:lang w:val="en-US" w:eastAsia="zh-CN"/>
        </w:rPr>
        <w:t>IAB-MT</w:t>
      </w:r>
      <w:r w:rsidRPr="00967E5D">
        <w:t xml:space="preserve"> transmit timing offset stays within (N</w:t>
      </w:r>
      <w:r w:rsidRPr="00967E5D">
        <w:rPr>
          <w:vertAlign w:val="subscript"/>
        </w:rPr>
        <w:t>TA</w:t>
      </w:r>
      <w:r w:rsidRPr="00967E5D">
        <w:t xml:space="preserve"> + N</w:t>
      </w:r>
      <w:r w:rsidRPr="00967E5D">
        <w:rPr>
          <w:vertAlign w:val="subscript"/>
        </w:rPr>
        <w:t>TA_offset</w:t>
      </w:r>
      <w:r w:rsidRPr="00967E5D">
        <w:t>) ×</w:t>
      </w:r>
      <w:r w:rsidRPr="00967E5D">
        <w:rPr>
          <w:lang w:eastAsia="zh-CN"/>
        </w:rPr>
        <w:t>T</w:t>
      </w:r>
      <w:r w:rsidRPr="00967E5D">
        <w:rPr>
          <w:vertAlign w:val="subscript"/>
          <w:lang w:eastAsia="zh-CN"/>
        </w:rPr>
        <w:t>c</w:t>
      </w:r>
      <w:r w:rsidRPr="00967E5D">
        <w:t xml:space="preserve"> ± T</w:t>
      </w:r>
      <w:r w:rsidRPr="00967E5D">
        <w:rPr>
          <w:vertAlign w:val="subscript"/>
        </w:rPr>
        <w:t>e</w:t>
      </w:r>
      <w:r w:rsidRPr="00967E5D">
        <w:t xml:space="preserve"> of the first detected path of DL SSB.</w:t>
      </w:r>
    </w:p>
    <w:p w14:paraId="7E7F53EE" w14:textId="77777777" w:rsidR="003A71DE" w:rsidRPr="004E396D" w:rsidRDefault="003A71DE" w:rsidP="00746C0D">
      <w:pPr>
        <w:pStyle w:val="Heading3"/>
      </w:pPr>
      <w:bookmarkStart w:id="10235" w:name="_Toc74583679"/>
      <w:bookmarkStart w:id="10236" w:name="_Toc76542492"/>
      <w:bookmarkStart w:id="10237" w:name="_Toc82450474"/>
      <w:bookmarkStart w:id="10238" w:name="_Toc82451122"/>
      <w:bookmarkStart w:id="10239" w:name="_Toc89949511"/>
      <w:bookmarkStart w:id="10240" w:name="_Toc98755900"/>
      <w:bookmarkStart w:id="10241" w:name="_Toc98763492"/>
      <w:bookmarkStart w:id="10242" w:name="_Toc106184421"/>
      <w:r>
        <w:t>G</w:t>
      </w:r>
      <w:r w:rsidRPr="004E396D">
        <w:t>.</w:t>
      </w:r>
      <w:r>
        <w:t>2</w:t>
      </w:r>
      <w:r w:rsidRPr="004E396D">
        <w:t>.</w:t>
      </w:r>
      <w:r>
        <w:t>3</w:t>
      </w:r>
      <w:r w:rsidRPr="004E396D">
        <w:tab/>
      </w:r>
      <w:r w:rsidRPr="00B56762">
        <w:t>Signalling Characteristics for IAB MTs</w:t>
      </w:r>
      <w:bookmarkEnd w:id="10235"/>
      <w:bookmarkEnd w:id="10236"/>
      <w:bookmarkEnd w:id="10237"/>
      <w:bookmarkEnd w:id="10238"/>
      <w:bookmarkEnd w:id="10239"/>
      <w:bookmarkEnd w:id="10240"/>
      <w:bookmarkEnd w:id="10241"/>
      <w:bookmarkEnd w:id="10242"/>
    </w:p>
    <w:p w14:paraId="75C3D76E" w14:textId="77777777" w:rsidR="003A71DE" w:rsidRDefault="003A71DE" w:rsidP="00746C0D">
      <w:pPr>
        <w:pStyle w:val="Heading4"/>
      </w:pPr>
      <w:bookmarkStart w:id="10243" w:name="_Toc74583680"/>
      <w:bookmarkStart w:id="10244" w:name="_Toc76542493"/>
      <w:bookmarkStart w:id="10245" w:name="_Toc82450475"/>
      <w:bookmarkStart w:id="10246" w:name="_Toc82451123"/>
      <w:bookmarkStart w:id="10247" w:name="_Toc89949512"/>
      <w:bookmarkStart w:id="10248" w:name="_Toc98755901"/>
      <w:bookmarkStart w:id="10249" w:name="_Toc98763493"/>
      <w:bookmarkStart w:id="10250" w:name="_Toc106184422"/>
      <w:bookmarkStart w:id="10251" w:name="_Hlk69983967"/>
      <w:r>
        <w:t>G</w:t>
      </w:r>
      <w:r w:rsidRPr="004E396D">
        <w:t>.</w:t>
      </w:r>
      <w:r>
        <w:t>2</w:t>
      </w:r>
      <w:r w:rsidRPr="004E396D">
        <w:t>.</w:t>
      </w:r>
      <w:r>
        <w:t>3</w:t>
      </w:r>
      <w:r w:rsidRPr="004E396D">
        <w:t>.</w:t>
      </w:r>
      <w:r>
        <w:t>1</w:t>
      </w:r>
      <w:r w:rsidRPr="004E396D">
        <w:tab/>
      </w:r>
      <w:r w:rsidRPr="00E64745">
        <w:t>Radio link Monitoring</w:t>
      </w:r>
      <w:bookmarkEnd w:id="10243"/>
      <w:bookmarkEnd w:id="10244"/>
      <w:bookmarkEnd w:id="10245"/>
      <w:bookmarkEnd w:id="10246"/>
      <w:bookmarkEnd w:id="10247"/>
      <w:bookmarkEnd w:id="10248"/>
      <w:bookmarkEnd w:id="10249"/>
      <w:bookmarkEnd w:id="10250"/>
    </w:p>
    <w:p w14:paraId="752C8E78" w14:textId="77777777" w:rsidR="003A71DE" w:rsidRPr="007D0AFB" w:rsidRDefault="003A71DE" w:rsidP="00746C0D">
      <w:pPr>
        <w:pStyle w:val="Heading5"/>
        <w:rPr>
          <w:rFonts w:eastAsia="SimSun"/>
        </w:rPr>
      </w:pPr>
      <w:bookmarkStart w:id="10252" w:name="_Toc535476527"/>
      <w:bookmarkStart w:id="10253" w:name="_Toc74583681"/>
      <w:bookmarkStart w:id="10254" w:name="_Toc76542494"/>
      <w:bookmarkStart w:id="10255" w:name="_Toc82450476"/>
      <w:bookmarkStart w:id="10256" w:name="_Toc82451124"/>
      <w:bookmarkStart w:id="10257" w:name="_Toc89949513"/>
      <w:bookmarkStart w:id="10258" w:name="_Toc98755902"/>
      <w:bookmarkStart w:id="10259" w:name="_Toc98763494"/>
      <w:bookmarkStart w:id="10260" w:name="_Toc106184423"/>
      <w:bookmarkStart w:id="10261" w:name="_Hlk64468694"/>
      <w:bookmarkEnd w:id="10251"/>
      <w:r w:rsidRPr="007D0AFB">
        <w:rPr>
          <w:rFonts w:eastAsia="SimSun"/>
        </w:rPr>
        <w:t>G.2.3.1.1</w:t>
      </w:r>
      <w:r w:rsidRPr="007D0AFB">
        <w:rPr>
          <w:rFonts w:eastAsia="SimSun"/>
        </w:rPr>
        <w:tab/>
        <w:t>Radio Link Monitoring Out-of-sync Test for FR1 PCell configured with SSB-based RLM RS in non-DRX mode</w:t>
      </w:r>
      <w:bookmarkEnd w:id="10252"/>
      <w:bookmarkEnd w:id="10253"/>
      <w:bookmarkEnd w:id="10254"/>
      <w:bookmarkEnd w:id="10255"/>
      <w:bookmarkEnd w:id="10256"/>
      <w:bookmarkEnd w:id="10257"/>
      <w:bookmarkEnd w:id="10258"/>
      <w:bookmarkEnd w:id="10259"/>
      <w:bookmarkEnd w:id="10260"/>
    </w:p>
    <w:p w14:paraId="49628702" w14:textId="77777777" w:rsidR="003A71DE" w:rsidRPr="007D0AFB" w:rsidRDefault="003A71DE" w:rsidP="00746C0D">
      <w:pPr>
        <w:pStyle w:val="H6"/>
        <w:rPr>
          <w:rFonts w:eastAsia="SimSun"/>
          <w:snapToGrid w:val="0"/>
        </w:rPr>
      </w:pPr>
      <w:bookmarkStart w:id="10262" w:name="_Toc535476528"/>
      <w:r w:rsidRPr="007D0AFB">
        <w:rPr>
          <w:rFonts w:eastAsia="SimSun"/>
          <w:sz w:val="24"/>
        </w:rPr>
        <w:t>G.2.3.1.</w:t>
      </w:r>
      <w:r w:rsidRPr="007D0AFB">
        <w:rPr>
          <w:rFonts w:eastAsia="SimSun"/>
          <w:snapToGrid w:val="0"/>
          <w:lang w:eastAsia="zh-CN"/>
        </w:rPr>
        <w:t>1.1</w:t>
      </w:r>
      <w:r w:rsidRPr="007D0AFB">
        <w:rPr>
          <w:rFonts w:eastAsia="SimSun"/>
          <w:snapToGrid w:val="0"/>
          <w:lang w:eastAsia="zh-CN"/>
        </w:rPr>
        <w:tab/>
        <w:t>Test Purpose and Environment</w:t>
      </w:r>
      <w:bookmarkEnd w:id="10262"/>
    </w:p>
    <w:p w14:paraId="63E2237A" w14:textId="77777777" w:rsidR="003A71DE" w:rsidRPr="007D0AFB" w:rsidRDefault="003A71DE" w:rsidP="003A71DE">
      <w:pPr>
        <w:rPr>
          <w:rFonts w:eastAsia="SimSun"/>
        </w:rPr>
      </w:pPr>
      <w:r w:rsidRPr="007D0AFB">
        <w:rPr>
          <w:rFonts w:eastAsia="SimSun"/>
        </w:rPr>
        <w:t>The purpose of this test is to verify that the IAB-MT properly detects the out of sync and in sync for the purpose of monitoring downlink radio link quality of the PCell. This test will partly verify the FR1 radio link monitoring requirements in clause 12.3.1.</w:t>
      </w:r>
    </w:p>
    <w:p w14:paraId="7577F1A8" w14:textId="77777777" w:rsidR="003A71DE" w:rsidRPr="007D0AFB" w:rsidRDefault="003A71DE" w:rsidP="003A71DE">
      <w:pPr>
        <w:rPr>
          <w:rFonts w:eastAsia="SimSun"/>
        </w:rPr>
      </w:pPr>
      <w:r w:rsidRPr="007D0AFB">
        <w:rPr>
          <w:rFonts w:eastAsia="SimSun"/>
        </w:rPr>
        <w:t xml:space="preserve">In the test, IAB-MT is configured to perform RLM on SSB, with </w:t>
      </w:r>
      <w:r w:rsidRPr="007D0AFB">
        <w:rPr>
          <w:rFonts w:eastAsia="SimSun"/>
          <w:i/>
        </w:rPr>
        <w:t>detectionResource</w:t>
      </w:r>
      <w:r w:rsidRPr="007D0AFB">
        <w:rPr>
          <w:rFonts w:eastAsia="SimSun"/>
        </w:rPr>
        <w:t xml:space="preserve"> included in </w:t>
      </w:r>
      <w:r w:rsidRPr="007D0AFB">
        <w:rPr>
          <w:rFonts w:eastAsia="SimSun"/>
          <w:i/>
        </w:rPr>
        <w:t>RadioLinkMonitoringRS</w:t>
      </w:r>
      <w:r w:rsidRPr="007D0AFB">
        <w:rPr>
          <w:rFonts w:eastAsia="SimSun"/>
        </w:rPr>
        <w:t xml:space="preserve"> set to SSB#0 and SSB#1, and </w:t>
      </w:r>
      <w:r w:rsidRPr="007D0AFB">
        <w:rPr>
          <w:rFonts w:eastAsia="SimSun"/>
          <w:i/>
        </w:rPr>
        <w:t>purpose</w:t>
      </w:r>
      <w:r w:rsidRPr="007D0AFB">
        <w:rPr>
          <w:rFonts w:eastAsia="SimSun"/>
        </w:rPr>
        <w:t xml:space="preserve"> set to ‘</w:t>
      </w:r>
      <w:r w:rsidRPr="007D0AFB">
        <w:rPr>
          <w:rFonts w:eastAsia="SimSun"/>
          <w:i/>
        </w:rPr>
        <w:t>rlf</w:t>
      </w:r>
      <w:r w:rsidRPr="007D0AFB">
        <w:rPr>
          <w:rFonts w:eastAsia="SimSun"/>
        </w:rPr>
        <w:t xml:space="preserve">’. Supported test configurations are shown in table G.2.3.1.1.1-1. The test parameters are given in Tables G.2.3.1.1-2 and G.2.3.1.1.1-3 below. There is one cell (Cell 1), which is the active NR cell, in the test. The test consists of three successive time periods, with time duration of T1, T2 and T3 respectively. Figure G.2.3.1.1.1-1 shows the variation of the downlink SNR in the active cell to emulate out-of-sync and in-sync states. Prior to the start of the time duration T1, the IAB-MT shall be fully synchronized to Cell 1. The IAB-MT shall be configured for periodic CSI reporting with a reporting periodicity of 5 ms. </w:t>
      </w:r>
    </w:p>
    <w:p w14:paraId="157EC148" w14:textId="77777777" w:rsidR="003A71DE" w:rsidRPr="007D0AFB" w:rsidRDefault="003A71DE" w:rsidP="00746C0D">
      <w:pPr>
        <w:pStyle w:val="TH"/>
        <w:rPr>
          <w:rFonts w:eastAsia="SimSun"/>
        </w:rPr>
      </w:pPr>
      <w:r w:rsidRPr="007D0AFB">
        <w:rPr>
          <w:rFonts w:eastAsia="SimSun"/>
        </w:rPr>
        <w:t>Table G.2.3.1.1.1-1: Supported test configurations for FR1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1"/>
        <w:gridCol w:w="4970"/>
      </w:tblGrid>
      <w:tr w:rsidR="003A71DE" w:rsidRPr="007D0AFB" w14:paraId="36E59BB9" w14:textId="77777777" w:rsidTr="003A71DE">
        <w:trPr>
          <w:trHeight w:val="187"/>
          <w:jc w:val="center"/>
        </w:trPr>
        <w:tc>
          <w:tcPr>
            <w:tcW w:w="1631" w:type="dxa"/>
            <w:shd w:val="clear" w:color="auto" w:fill="auto"/>
          </w:tcPr>
          <w:p w14:paraId="3AC99563" w14:textId="77777777" w:rsidR="003A71DE" w:rsidRPr="007D0AFB" w:rsidRDefault="003A71DE" w:rsidP="00A40F90">
            <w:pPr>
              <w:pStyle w:val="TAH"/>
              <w:rPr>
                <w:rFonts w:eastAsia="SimSun"/>
                <w:lang w:eastAsia="zh-TW"/>
              </w:rPr>
            </w:pPr>
            <w:r w:rsidRPr="007D0AFB">
              <w:rPr>
                <w:rFonts w:eastAsia="SimSun"/>
                <w:lang w:eastAsia="zh-TW"/>
              </w:rPr>
              <w:t>Configuration</w:t>
            </w:r>
          </w:p>
        </w:tc>
        <w:tc>
          <w:tcPr>
            <w:tcW w:w="4970" w:type="dxa"/>
            <w:shd w:val="clear" w:color="auto" w:fill="auto"/>
          </w:tcPr>
          <w:p w14:paraId="6274D393" w14:textId="77777777" w:rsidR="003A71DE" w:rsidRPr="007D0AFB" w:rsidRDefault="003A71DE" w:rsidP="00A40F90">
            <w:pPr>
              <w:pStyle w:val="TAH"/>
              <w:rPr>
                <w:rFonts w:eastAsia="SimSun"/>
                <w:lang w:eastAsia="zh-TW"/>
              </w:rPr>
            </w:pPr>
            <w:r w:rsidRPr="007D0AFB">
              <w:rPr>
                <w:rFonts w:eastAsia="SimSun"/>
                <w:lang w:eastAsia="zh-TW"/>
              </w:rPr>
              <w:t>Description</w:t>
            </w:r>
          </w:p>
        </w:tc>
      </w:tr>
      <w:tr w:rsidR="003A71DE" w:rsidRPr="007D0AFB" w14:paraId="47B4C988" w14:textId="77777777" w:rsidTr="003A71DE">
        <w:trPr>
          <w:trHeight w:val="187"/>
          <w:jc w:val="center"/>
        </w:trPr>
        <w:tc>
          <w:tcPr>
            <w:tcW w:w="1631" w:type="dxa"/>
            <w:shd w:val="clear" w:color="auto" w:fill="auto"/>
          </w:tcPr>
          <w:p w14:paraId="2193E293" w14:textId="77777777" w:rsidR="003A71DE" w:rsidRPr="007D0AFB" w:rsidRDefault="003A71DE" w:rsidP="00A40F90">
            <w:pPr>
              <w:pStyle w:val="TAL"/>
              <w:rPr>
                <w:rFonts w:eastAsia="SimSun"/>
                <w:lang w:eastAsia="zh-TW"/>
              </w:rPr>
            </w:pPr>
            <w:r w:rsidRPr="007D0AFB">
              <w:rPr>
                <w:rFonts w:eastAsia="SimSun"/>
                <w:lang w:eastAsia="zh-TW"/>
              </w:rPr>
              <w:t>1</w:t>
            </w:r>
          </w:p>
        </w:tc>
        <w:tc>
          <w:tcPr>
            <w:tcW w:w="4970" w:type="dxa"/>
            <w:shd w:val="clear" w:color="auto" w:fill="auto"/>
          </w:tcPr>
          <w:p w14:paraId="4167D720" w14:textId="77777777" w:rsidR="003A71DE" w:rsidRPr="007D0AFB" w:rsidRDefault="003A71DE" w:rsidP="00A40F90">
            <w:pPr>
              <w:pStyle w:val="TAL"/>
              <w:rPr>
                <w:rFonts w:eastAsia="SimSun"/>
                <w:lang w:eastAsia="zh-TW"/>
              </w:rPr>
            </w:pPr>
            <w:r w:rsidRPr="007D0AFB">
              <w:rPr>
                <w:rFonts w:eastAsia="SimSun"/>
                <w:lang w:eastAsia="zh-TW"/>
              </w:rPr>
              <w:t>TDD, SSB SCS 15 kHz, data SCS 15 kHz, BW 10 MHz</w:t>
            </w:r>
          </w:p>
        </w:tc>
      </w:tr>
      <w:tr w:rsidR="003A71DE" w:rsidRPr="007D0AFB" w14:paraId="3838DE9C" w14:textId="77777777" w:rsidTr="003A71DE">
        <w:trPr>
          <w:trHeight w:val="187"/>
          <w:jc w:val="center"/>
        </w:trPr>
        <w:tc>
          <w:tcPr>
            <w:tcW w:w="1631" w:type="dxa"/>
            <w:shd w:val="clear" w:color="auto" w:fill="auto"/>
          </w:tcPr>
          <w:p w14:paraId="7DA43740" w14:textId="77777777" w:rsidR="003A71DE" w:rsidRPr="007D0AFB" w:rsidRDefault="003A71DE" w:rsidP="00A40F90">
            <w:pPr>
              <w:pStyle w:val="TAL"/>
              <w:rPr>
                <w:rFonts w:eastAsia="SimSun"/>
                <w:lang w:eastAsia="zh-TW"/>
              </w:rPr>
            </w:pPr>
            <w:r w:rsidRPr="007D0AFB">
              <w:rPr>
                <w:rFonts w:eastAsia="SimSun"/>
                <w:lang w:eastAsia="zh-TW"/>
              </w:rPr>
              <w:t>2</w:t>
            </w:r>
          </w:p>
        </w:tc>
        <w:tc>
          <w:tcPr>
            <w:tcW w:w="4970" w:type="dxa"/>
            <w:shd w:val="clear" w:color="auto" w:fill="auto"/>
          </w:tcPr>
          <w:p w14:paraId="1FE89214" w14:textId="77777777" w:rsidR="003A71DE" w:rsidRPr="007D0AFB" w:rsidRDefault="003A71DE" w:rsidP="00A40F90">
            <w:pPr>
              <w:pStyle w:val="TAL"/>
              <w:rPr>
                <w:rFonts w:eastAsia="SimSun"/>
                <w:lang w:eastAsia="zh-TW"/>
              </w:rPr>
            </w:pPr>
            <w:r w:rsidRPr="007D0AFB">
              <w:rPr>
                <w:rFonts w:eastAsia="SimSun"/>
                <w:lang w:eastAsia="zh-TW"/>
              </w:rPr>
              <w:t>TDD, SSB SCS 30 kHz, data SCS 30 kHz, BW 40 MHz</w:t>
            </w:r>
          </w:p>
        </w:tc>
      </w:tr>
      <w:tr w:rsidR="003A71DE" w:rsidRPr="007D0AFB" w14:paraId="19CDFAA3" w14:textId="77777777" w:rsidTr="003A71DE">
        <w:trPr>
          <w:trHeight w:val="187"/>
          <w:jc w:val="center"/>
        </w:trPr>
        <w:tc>
          <w:tcPr>
            <w:tcW w:w="6601" w:type="dxa"/>
            <w:gridSpan w:val="2"/>
            <w:shd w:val="clear" w:color="auto" w:fill="auto"/>
          </w:tcPr>
          <w:p w14:paraId="78C0DC3D" w14:textId="77777777" w:rsidR="003A71DE" w:rsidRPr="007D0AFB" w:rsidRDefault="003A71DE" w:rsidP="00A40F90">
            <w:pPr>
              <w:pStyle w:val="TAN"/>
              <w:rPr>
                <w:rFonts w:eastAsia="SimSun"/>
                <w:lang w:eastAsia="zh-TW"/>
              </w:rPr>
            </w:pPr>
            <w:r w:rsidRPr="007D0AFB">
              <w:rPr>
                <w:rFonts w:eastAsia="SimSun"/>
                <w:lang w:eastAsia="zh-TW"/>
              </w:rPr>
              <w:t>Note:</w:t>
            </w:r>
            <w:r w:rsidRPr="007D0AFB">
              <w:rPr>
                <w:rFonts w:eastAsia="SimSun"/>
                <w:lang w:eastAsia="zh-TW"/>
              </w:rPr>
              <w:tab/>
              <w:t>The IAB-MT is only required to pass in one of the supported test configurations in FR1</w:t>
            </w:r>
          </w:p>
        </w:tc>
      </w:tr>
    </w:tbl>
    <w:p w14:paraId="0E14F70A" w14:textId="77777777" w:rsidR="003A71DE" w:rsidRPr="007D0AFB" w:rsidRDefault="003A71DE" w:rsidP="003A71DE">
      <w:pPr>
        <w:spacing w:before="120"/>
        <w:rPr>
          <w:rFonts w:eastAsia="SimSun"/>
        </w:rPr>
      </w:pPr>
    </w:p>
    <w:p w14:paraId="5555FA79" w14:textId="77777777" w:rsidR="003A71DE" w:rsidRPr="007D0AFB" w:rsidRDefault="003A71DE" w:rsidP="00746C0D">
      <w:pPr>
        <w:pStyle w:val="TH"/>
        <w:rPr>
          <w:rFonts w:eastAsia="SimSun"/>
        </w:rPr>
      </w:pPr>
      <w:r w:rsidRPr="007D0AFB">
        <w:rPr>
          <w:rFonts w:eastAsia="SimSun"/>
        </w:rPr>
        <w:lastRenderedPageBreak/>
        <w:t>Table G.2.3.1.1.1-2: General test parameters for FR1 out-of-sync testing in non-DRX mode</w:t>
      </w:r>
    </w:p>
    <w:tbl>
      <w:tblPr>
        <w:tblW w:w="334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64"/>
        <w:gridCol w:w="493"/>
        <w:gridCol w:w="1514"/>
        <w:gridCol w:w="767"/>
        <w:gridCol w:w="2199"/>
      </w:tblGrid>
      <w:tr w:rsidR="003A71DE" w:rsidRPr="007D0AFB" w14:paraId="1573C772" w14:textId="77777777" w:rsidTr="003A71DE">
        <w:trPr>
          <w:trHeight w:val="187"/>
          <w:jc w:val="center"/>
        </w:trPr>
        <w:tc>
          <w:tcPr>
            <w:tcW w:w="2696" w:type="pct"/>
            <w:gridSpan w:val="3"/>
            <w:tcBorders>
              <w:bottom w:val="nil"/>
            </w:tcBorders>
            <w:shd w:val="clear" w:color="auto" w:fill="auto"/>
          </w:tcPr>
          <w:p w14:paraId="5E76C481" w14:textId="77777777" w:rsidR="003A71DE" w:rsidRPr="007D0AFB" w:rsidRDefault="003A71DE" w:rsidP="00A40F90">
            <w:pPr>
              <w:pStyle w:val="TAH"/>
              <w:rPr>
                <w:rFonts w:eastAsia="SimSun"/>
                <w:noProof/>
              </w:rPr>
            </w:pPr>
            <w:r w:rsidRPr="007D0AFB">
              <w:rPr>
                <w:rFonts w:eastAsia="SimSun"/>
                <w:noProof/>
              </w:rPr>
              <w:t>Parameter</w:t>
            </w:r>
          </w:p>
        </w:tc>
        <w:tc>
          <w:tcPr>
            <w:tcW w:w="596" w:type="pct"/>
            <w:tcBorders>
              <w:bottom w:val="nil"/>
            </w:tcBorders>
            <w:shd w:val="clear" w:color="auto" w:fill="auto"/>
          </w:tcPr>
          <w:p w14:paraId="0D5D6CD2" w14:textId="77777777" w:rsidR="003A71DE" w:rsidRPr="007D0AFB" w:rsidRDefault="003A71DE" w:rsidP="00A40F90">
            <w:pPr>
              <w:pStyle w:val="TAH"/>
              <w:rPr>
                <w:rFonts w:eastAsia="SimSun"/>
                <w:noProof/>
              </w:rPr>
            </w:pPr>
            <w:r w:rsidRPr="007D0AFB">
              <w:rPr>
                <w:rFonts w:eastAsia="SimSun"/>
                <w:noProof/>
              </w:rPr>
              <w:t>Unit</w:t>
            </w:r>
          </w:p>
        </w:tc>
        <w:tc>
          <w:tcPr>
            <w:tcW w:w="1708" w:type="pct"/>
            <w:shd w:val="clear" w:color="auto" w:fill="auto"/>
          </w:tcPr>
          <w:p w14:paraId="5424739A" w14:textId="77777777" w:rsidR="003A71DE" w:rsidRPr="007D0AFB" w:rsidRDefault="003A71DE" w:rsidP="00A40F90">
            <w:pPr>
              <w:pStyle w:val="TAH"/>
              <w:rPr>
                <w:rFonts w:eastAsia="SimSun"/>
                <w:noProof/>
              </w:rPr>
            </w:pPr>
            <w:r w:rsidRPr="007D0AFB">
              <w:rPr>
                <w:rFonts w:eastAsia="SimSun"/>
                <w:noProof/>
              </w:rPr>
              <w:t>Value</w:t>
            </w:r>
          </w:p>
        </w:tc>
      </w:tr>
      <w:tr w:rsidR="003A71DE" w:rsidRPr="007D0AFB" w14:paraId="799940AC" w14:textId="77777777" w:rsidTr="003A71DE">
        <w:trPr>
          <w:trHeight w:val="187"/>
          <w:jc w:val="center"/>
        </w:trPr>
        <w:tc>
          <w:tcPr>
            <w:tcW w:w="2696" w:type="pct"/>
            <w:gridSpan w:val="3"/>
            <w:tcBorders>
              <w:top w:val="nil"/>
            </w:tcBorders>
            <w:shd w:val="clear" w:color="auto" w:fill="auto"/>
          </w:tcPr>
          <w:p w14:paraId="15B7147E" w14:textId="77777777" w:rsidR="003A71DE" w:rsidRPr="007D0AFB" w:rsidRDefault="003A71DE" w:rsidP="00A40F90">
            <w:pPr>
              <w:pStyle w:val="TAH"/>
              <w:rPr>
                <w:rFonts w:eastAsia="SimSun"/>
                <w:noProof/>
              </w:rPr>
            </w:pPr>
          </w:p>
        </w:tc>
        <w:tc>
          <w:tcPr>
            <w:tcW w:w="596" w:type="pct"/>
            <w:tcBorders>
              <w:top w:val="nil"/>
            </w:tcBorders>
            <w:shd w:val="clear" w:color="auto" w:fill="auto"/>
          </w:tcPr>
          <w:p w14:paraId="2B99E278" w14:textId="77777777" w:rsidR="003A71DE" w:rsidRPr="007D0AFB" w:rsidRDefault="003A71DE" w:rsidP="00A40F90">
            <w:pPr>
              <w:pStyle w:val="TAH"/>
              <w:rPr>
                <w:rFonts w:eastAsia="SimSun"/>
                <w:noProof/>
              </w:rPr>
            </w:pPr>
          </w:p>
        </w:tc>
        <w:tc>
          <w:tcPr>
            <w:tcW w:w="1708" w:type="pct"/>
          </w:tcPr>
          <w:p w14:paraId="4991CE04" w14:textId="77777777" w:rsidR="003A71DE" w:rsidRPr="007D0AFB" w:rsidRDefault="003A71DE" w:rsidP="00A40F90">
            <w:pPr>
              <w:pStyle w:val="TAH"/>
              <w:rPr>
                <w:rFonts w:eastAsia="SimSun"/>
                <w:noProof/>
              </w:rPr>
            </w:pPr>
            <w:r w:rsidRPr="007D0AFB">
              <w:rPr>
                <w:rFonts w:eastAsia="SimSun"/>
                <w:noProof/>
              </w:rPr>
              <w:t>Test 1</w:t>
            </w:r>
          </w:p>
        </w:tc>
      </w:tr>
      <w:tr w:rsidR="003A71DE" w:rsidRPr="007D0AFB" w14:paraId="5DDBFC62" w14:textId="77777777" w:rsidTr="003A71DE">
        <w:trPr>
          <w:trHeight w:val="187"/>
          <w:jc w:val="center"/>
        </w:trPr>
        <w:tc>
          <w:tcPr>
            <w:tcW w:w="2696" w:type="pct"/>
            <w:gridSpan w:val="3"/>
            <w:shd w:val="clear" w:color="auto" w:fill="auto"/>
          </w:tcPr>
          <w:p w14:paraId="075302C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Active PCell</w:t>
            </w:r>
          </w:p>
        </w:tc>
        <w:tc>
          <w:tcPr>
            <w:tcW w:w="596" w:type="pct"/>
            <w:shd w:val="clear" w:color="auto" w:fill="auto"/>
          </w:tcPr>
          <w:p w14:paraId="169EE669"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68FA1A9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Cell 1</w:t>
            </w:r>
          </w:p>
        </w:tc>
      </w:tr>
      <w:tr w:rsidR="003A71DE" w:rsidRPr="007D0AFB" w14:paraId="56B5A9FF" w14:textId="77777777" w:rsidTr="003A71DE">
        <w:trPr>
          <w:trHeight w:val="187"/>
          <w:jc w:val="center"/>
        </w:trPr>
        <w:tc>
          <w:tcPr>
            <w:tcW w:w="2696" w:type="pct"/>
            <w:gridSpan w:val="3"/>
            <w:shd w:val="clear" w:color="auto" w:fill="auto"/>
          </w:tcPr>
          <w:p w14:paraId="5B6E256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RF Channel Number</w:t>
            </w:r>
          </w:p>
        </w:tc>
        <w:tc>
          <w:tcPr>
            <w:tcW w:w="596" w:type="pct"/>
            <w:shd w:val="clear" w:color="auto" w:fill="auto"/>
          </w:tcPr>
          <w:p w14:paraId="2B9DA62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9FCEA4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38F1CB6E" w14:textId="77777777" w:rsidTr="003A71DE">
        <w:trPr>
          <w:trHeight w:val="187"/>
          <w:jc w:val="center"/>
        </w:trPr>
        <w:tc>
          <w:tcPr>
            <w:tcW w:w="1520" w:type="pct"/>
            <w:gridSpan w:val="2"/>
            <w:tcBorders>
              <w:bottom w:val="nil"/>
            </w:tcBorders>
            <w:shd w:val="clear" w:color="auto" w:fill="auto"/>
          </w:tcPr>
          <w:p w14:paraId="1247788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Duplex mode</w:t>
            </w:r>
          </w:p>
        </w:tc>
        <w:tc>
          <w:tcPr>
            <w:tcW w:w="1176" w:type="pct"/>
            <w:shd w:val="clear" w:color="auto" w:fill="auto"/>
          </w:tcPr>
          <w:p w14:paraId="5AE875B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1,2</w:t>
            </w:r>
          </w:p>
        </w:tc>
        <w:tc>
          <w:tcPr>
            <w:tcW w:w="596" w:type="pct"/>
            <w:shd w:val="clear" w:color="auto" w:fill="auto"/>
          </w:tcPr>
          <w:p w14:paraId="22F7D12F"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1820AF4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TDD</w:t>
            </w:r>
          </w:p>
        </w:tc>
      </w:tr>
      <w:tr w:rsidR="003A71DE" w:rsidRPr="007D0AFB" w14:paraId="18B7C09D" w14:textId="77777777" w:rsidTr="003A71DE">
        <w:trPr>
          <w:trHeight w:val="187"/>
          <w:jc w:val="center"/>
        </w:trPr>
        <w:tc>
          <w:tcPr>
            <w:tcW w:w="1520" w:type="pct"/>
            <w:gridSpan w:val="2"/>
            <w:tcBorders>
              <w:bottom w:val="nil"/>
            </w:tcBorders>
            <w:shd w:val="clear" w:color="auto" w:fill="auto"/>
          </w:tcPr>
          <w:p w14:paraId="2F16061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sz w:val="18"/>
                <w:szCs w:val="16"/>
              </w:rPr>
              <w:t>BW</w:t>
            </w:r>
            <w:r w:rsidRPr="007D0AFB">
              <w:rPr>
                <w:rFonts w:ascii="Arial" w:eastAsia="SimSun" w:hAnsi="Arial" w:cs="Arial"/>
                <w:sz w:val="18"/>
                <w:szCs w:val="16"/>
                <w:vertAlign w:val="subscript"/>
              </w:rPr>
              <w:t>channel</w:t>
            </w:r>
          </w:p>
        </w:tc>
        <w:tc>
          <w:tcPr>
            <w:tcW w:w="1176" w:type="pct"/>
            <w:shd w:val="clear" w:color="auto" w:fill="auto"/>
          </w:tcPr>
          <w:p w14:paraId="7AF5677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tcBorders>
              <w:bottom w:val="nil"/>
            </w:tcBorders>
            <w:shd w:val="clear" w:color="auto" w:fill="auto"/>
          </w:tcPr>
          <w:p w14:paraId="3390284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lang w:eastAsia="zh-CN"/>
              </w:rPr>
              <w:t>MHz</w:t>
            </w:r>
          </w:p>
        </w:tc>
        <w:tc>
          <w:tcPr>
            <w:tcW w:w="1708" w:type="pct"/>
          </w:tcPr>
          <w:p w14:paraId="3C6563F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10: N</w:t>
            </w:r>
            <w:r w:rsidRPr="007D0AFB">
              <w:rPr>
                <w:rFonts w:ascii="Arial" w:eastAsia="SimSun" w:hAnsi="Arial" w:cs="Arial"/>
                <w:sz w:val="18"/>
                <w:szCs w:val="16"/>
                <w:vertAlign w:val="subscript"/>
              </w:rPr>
              <w:t>RB,c</w:t>
            </w:r>
            <w:r w:rsidRPr="007D0AFB">
              <w:rPr>
                <w:rFonts w:ascii="Arial" w:eastAsia="SimSun" w:hAnsi="Arial" w:cs="Arial"/>
                <w:sz w:val="18"/>
                <w:szCs w:val="16"/>
              </w:rPr>
              <w:t xml:space="preserve"> = 52</w:t>
            </w:r>
          </w:p>
        </w:tc>
      </w:tr>
      <w:tr w:rsidR="003A71DE" w:rsidRPr="007D0AFB" w14:paraId="729B67BF" w14:textId="77777777" w:rsidTr="003A71DE">
        <w:trPr>
          <w:trHeight w:val="187"/>
          <w:jc w:val="center"/>
        </w:trPr>
        <w:tc>
          <w:tcPr>
            <w:tcW w:w="1520" w:type="pct"/>
            <w:gridSpan w:val="2"/>
            <w:tcBorders>
              <w:top w:val="nil"/>
            </w:tcBorders>
            <w:shd w:val="clear" w:color="auto" w:fill="auto"/>
          </w:tcPr>
          <w:p w14:paraId="5C64F304"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27CBD23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tcBorders>
              <w:top w:val="nil"/>
            </w:tcBorders>
            <w:shd w:val="clear" w:color="auto" w:fill="auto"/>
          </w:tcPr>
          <w:p w14:paraId="514B97AA"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C0623E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40: N</w:t>
            </w:r>
            <w:r w:rsidRPr="007D0AFB">
              <w:rPr>
                <w:rFonts w:ascii="Arial" w:eastAsia="SimSun" w:hAnsi="Arial" w:cs="Arial"/>
                <w:sz w:val="18"/>
                <w:szCs w:val="16"/>
                <w:vertAlign w:val="subscript"/>
              </w:rPr>
              <w:t>RB,c</w:t>
            </w:r>
            <w:r w:rsidRPr="007D0AFB">
              <w:rPr>
                <w:rFonts w:ascii="Arial" w:eastAsia="SimSun" w:hAnsi="Arial" w:cs="Arial"/>
                <w:sz w:val="18"/>
                <w:szCs w:val="16"/>
              </w:rPr>
              <w:t xml:space="preserve"> = 106</w:t>
            </w:r>
          </w:p>
        </w:tc>
      </w:tr>
      <w:tr w:rsidR="003A71DE" w:rsidRPr="007D0AFB" w14:paraId="15C82F83" w14:textId="77777777" w:rsidTr="003A71DE">
        <w:trPr>
          <w:trHeight w:val="187"/>
          <w:jc w:val="center"/>
        </w:trPr>
        <w:tc>
          <w:tcPr>
            <w:tcW w:w="1520" w:type="pct"/>
            <w:gridSpan w:val="2"/>
            <w:shd w:val="clear" w:color="auto" w:fill="auto"/>
          </w:tcPr>
          <w:p w14:paraId="4EE7F1A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DL initial BWP configuration</w:t>
            </w:r>
          </w:p>
        </w:tc>
        <w:tc>
          <w:tcPr>
            <w:tcW w:w="1176" w:type="pct"/>
            <w:shd w:val="clear" w:color="auto" w:fill="auto"/>
          </w:tcPr>
          <w:p w14:paraId="332DDFB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96" w:type="pct"/>
            <w:shd w:val="clear" w:color="auto" w:fill="auto"/>
          </w:tcPr>
          <w:p w14:paraId="01ED5A9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9B8E8D0" w14:textId="77777777" w:rsidR="003A71DE" w:rsidRPr="007D0AFB" w:rsidRDefault="003A71DE" w:rsidP="003A71DE">
            <w:pPr>
              <w:keepNext/>
              <w:keepLines/>
              <w:spacing w:after="0"/>
              <w:jc w:val="center"/>
              <w:rPr>
                <w:rFonts w:ascii="Arial" w:eastAsia="SimSun" w:hAnsi="Arial" w:cs="Arial"/>
                <w:sz w:val="18"/>
                <w:szCs w:val="16"/>
              </w:rPr>
            </w:pPr>
            <w:r w:rsidRPr="007D0AFB">
              <w:rPr>
                <w:rFonts w:ascii="Arial" w:eastAsia="SimSun" w:hAnsi="Arial" w:cs="Arial"/>
                <w:sz w:val="18"/>
                <w:szCs w:val="16"/>
              </w:rPr>
              <w:t>DLBWP.0.1</w:t>
            </w:r>
          </w:p>
        </w:tc>
      </w:tr>
      <w:tr w:rsidR="003A71DE" w:rsidRPr="007D0AFB" w14:paraId="37977A35" w14:textId="77777777" w:rsidTr="003A71DE">
        <w:trPr>
          <w:trHeight w:val="187"/>
          <w:jc w:val="center"/>
        </w:trPr>
        <w:tc>
          <w:tcPr>
            <w:tcW w:w="1520" w:type="pct"/>
            <w:gridSpan w:val="2"/>
            <w:shd w:val="clear" w:color="auto" w:fill="auto"/>
          </w:tcPr>
          <w:p w14:paraId="3BD364A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DL dedicated BWP configuration</w:t>
            </w:r>
          </w:p>
        </w:tc>
        <w:tc>
          <w:tcPr>
            <w:tcW w:w="1176" w:type="pct"/>
            <w:shd w:val="clear" w:color="auto" w:fill="auto"/>
          </w:tcPr>
          <w:p w14:paraId="37CA6FB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96" w:type="pct"/>
            <w:shd w:val="clear" w:color="auto" w:fill="auto"/>
          </w:tcPr>
          <w:p w14:paraId="6C2BC0D9"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65924615" w14:textId="77777777" w:rsidR="003A71DE" w:rsidRPr="007D0AFB" w:rsidRDefault="003A71DE" w:rsidP="003A71DE">
            <w:pPr>
              <w:keepNext/>
              <w:keepLines/>
              <w:spacing w:after="0"/>
              <w:jc w:val="center"/>
              <w:rPr>
                <w:rFonts w:ascii="Arial" w:eastAsia="SimSun" w:hAnsi="Arial" w:cs="Arial"/>
                <w:sz w:val="18"/>
                <w:szCs w:val="16"/>
              </w:rPr>
            </w:pPr>
            <w:r w:rsidRPr="007D0AFB">
              <w:rPr>
                <w:rFonts w:ascii="Arial" w:eastAsia="SimSun" w:hAnsi="Arial" w:cs="Arial"/>
                <w:sz w:val="18"/>
                <w:szCs w:val="16"/>
              </w:rPr>
              <w:t>DLBWP.1.1</w:t>
            </w:r>
          </w:p>
        </w:tc>
      </w:tr>
      <w:tr w:rsidR="003A71DE" w:rsidRPr="007D0AFB" w14:paraId="7C68DB31" w14:textId="77777777" w:rsidTr="003A71DE">
        <w:trPr>
          <w:trHeight w:val="187"/>
          <w:jc w:val="center"/>
        </w:trPr>
        <w:tc>
          <w:tcPr>
            <w:tcW w:w="1520" w:type="pct"/>
            <w:gridSpan w:val="2"/>
            <w:shd w:val="clear" w:color="auto" w:fill="auto"/>
          </w:tcPr>
          <w:p w14:paraId="49381048"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cs="Arial"/>
                <w:bCs/>
                <w:sz w:val="18"/>
              </w:rPr>
              <w:t>UL initial BWP configuration</w:t>
            </w:r>
          </w:p>
        </w:tc>
        <w:tc>
          <w:tcPr>
            <w:tcW w:w="1176" w:type="pct"/>
            <w:shd w:val="clear" w:color="auto" w:fill="auto"/>
          </w:tcPr>
          <w:p w14:paraId="06D5698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96" w:type="pct"/>
            <w:shd w:val="clear" w:color="auto" w:fill="auto"/>
          </w:tcPr>
          <w:p w14:paraId="443D616A"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1CEFA66" w14:textId="77777777" w:rsidR="003A71DE" w:rsidRPr="007D0AFB" w:rsidRDefault="003A71DE" w:rsidP="003A71DE">
            <w:pPr>
              <w:keepNext/>
              <w:keepLines/>
              <w:spacing w:after="0"/>
              <w:jc w:val="center"/>
              <w:rPr>
                <w:rFonts w:ascii="Arial" w:eastAsia="SimSun" w:hAnsi="Arial" w:cs="Arial"/>
                <w:sz w:val="18"/>
                <w:szCs w:val="16"/>
              </w:rPr>
            </w:pPr>
            <w:r w:rsidRPr="007D0AFB">
              <w:rPr>
                <w:rFonts w:ascii="Arial" w:eastAsia="SimSun" w:hAnsi="Arial" w:cs="v3.7.0"/>
                <w:sz w:val="18"/>
              </w:rPr>
              <w:t>ULBWP.0.1</w:t>
            </w:r>
          </w:p>
        </w:tc>
      </w:tr>
      <w:tr w:rsidR="003A71DE" w:rsidRPr="007D0AFB" w14:paraId="2A85626D" w14:textId="77777777" w:rsidTr="003A71DE">
        <w:trPr>
          <w:trHeight w:val="187"/>
          <w:jc w:val="center"/>
        </w:trPr>
        <w:tc>
          <w:tcPr>
            <w:tcW w:w="1520" w:type="pct"/>
            <w:gridSpan w:val="2"/>
            <w:tcBorders>
              <w:bottom w:val="single" w:sz="4" w:space="0" w:color="auto"/>
            </w:tcBorders>
            <w:shd w:val="clear" w:color="auto" w:fill="auto"/>
          </w:tcPr>
          <w:p w14:paraId="5DADD339"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UL dedicated BWP configuration</w:t>
            </w:r>
          </w:p>
        </w:tc>
        <w:tc>
          <w:tcPr>
            <w:tcW w:w="1176" w:type="pct"/>
            <w:shd w:val="clear" w:color="auto" w:fill="auto"/>
          </w:tcPr>
          <w:p w14:paraId="708D1C2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96" w:type="pct"/>
            <w:shd w:val="clear" w:color="auto" w:fill="auto"/>
          </w:tcPr>
          <w:p w14:paraId="707EEED1"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09CCD86" w14:textId="77777777" w:rsidR="003A71DE" w:rsidRPr="007D0AFB" w:rsidRDefault="003A71DE" w:rsidP="003A71DE">
            <w:pPr>
              <w:keepNext/>
              <w:keepLines/>
              <w:spacing w:after="0"/>
              <w:jc w:val="center"/>
              <w:rPr>
                <w:rFonts w:ascii="Arial" w:eastAsia="SimSun" w:hAnsi="Arial" w:cs="Arial"/>
                <w:sz w:val="18"/>
                <w:szCs w:val="16"/>
              </w:rPr>
            </w:pPr>
            <w:r w:rsidRPr="007D0AFB">
              <w:rPr>
                <w:rFonts w:ascii="Arial" w:eastAsia="SimSun" w:hAnsi="Arial" w:cs="Arial"/>
                <w:sz w:val="18"/>
                <w:szCs w:val="16"/>
              </w:rPr>
              <w:t>ULBWP.1.1</w:t>
            </w:r>
          </w:p>
        </w:tc>
      </w:tr>
      <w:tr w:rsidR="003A71DE" w:rsidRPr="007D0AFB" w14:paraId="191EB180" w14:textId="77777777" w:rsidTr="003A71DE">
        <w:trPr>
          <w:trHeight w:val="187"/>
          <w:jc w:val="center"/>
        </w:trPr>
        <w:tc>
          <w:tcPr>
            <w:tcW w:w="1520" w:type="pct"/>
            <w:gridSpan w:val="2"/>
            <w:vMerge w:val="restart"/>
            <w:tcBorders>
              <w:top w:val="nil"/>
            </w:tcBorders>
            <w:shd w:val="clear" w:color="auto" w:fill="auto"/>
          </w:tcPr>
          <w:p w14:paraId="5A1DB3C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TDD Configuration</w:t>
            </w:r>
          </w:p>
        </w:tc>
        <w:tc>
          <w:tcPr>
            <w:tcW w:w="1176" w:type="pct"/>
            <w:shd w:val="clear" w:color="auto" w:fill="auto"/>
          </w:tcPr>
          <w:p w14:paraId="4086E4B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1201DB6A" w14:textId="77777777" w:rsidR="003A71DE" w:rsidRPr="007D0AFB" w:rsidRDefault="003A71DE" w:rsidP="003A71DE">
            <w:pPr>
              <w:keepNext/>
              <w:keepLines/>
              <w:spacing w:after="0"/>
              <w:jc w:val="center"/>
              <w:rPr>
                <w:rFonts w:ascii="Arial" w:eastAsia="SimSun" w:hAnsi="Arial"/>
                <w:noProof/>
                <w:sz w:val="18"/>
              </w:rPr>
            </w:pPr>
          </w:p>
        </w:tc>
        <w:tc>
          <w:tcPr>
            <w:tcW w:w="1708" w:type="pct"/>
            <w:shd w:val="clear" w:color="auto" w:fill="auto"/>
          </w:tcPr>
          <w:p w14:paraId="6C4B203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TDDConf.1.1</w:t>
            </w:r>
          </w:p>
        </w:tc>
      </w:tr>
      <w:tr w:rsidR="003A71DE" w:rsidRPr="007D0AFB" w14:paraId="1C3409B6" w14:textId="77777777" w:rsidTr="003A71DE">
        <w:trPr>
          <w:trHeight w:val="187"/>
          <w:jc w:val="center"/>
        </w:trPr>
        <w:tc>
          <w:tcPr>
            <w:tcW w:w="1520" w:type="pct"/>
            <w:gridSpan w:val="2"/>
            <w:vMerge/>
            <w:tcBorders>
              <w:bottom w:val="single" w:sz="4" w:space="0" w:color="auto"/>
            </w:tcBorders>
            <w:shd w:val="clear" w:color="auto" w:fill="auto"/>
          </w:tcPr>
          <w:p w14:paraId="498C29E1"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212F874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3765E099" w14:textId="77777777" w:rsidR="003A71DE" w:rsidRPr="007D0AFB" w:rsidRDefault="003A71DE" w:rsidP="003A71DE">
            <w:pPr>
              <w:keepNext/>
              <w:keepLines/>
              <w:spacing w:after="0"/>
              <w:jc w:val="center"/>
              <w:rPr>
                <w:rFonts w:ascii="Arial" w:eastAsia="SimSun" w:hAnsi="Arial"/>
                <w:noProof/>
                <w:sz w:val="18"/>
              </w:rPr>
            </w:pPr>
          </w:p>
        </w:tc>
        <w:tc>
          <w:tcPr>
            <w:tcW w:w="1708" w:type="pct"/>
            <w:shd w:val="clear" w:color="auto" w:fill="auto"/>
          </w:tcPr>
          <w:p w14:paraId="5A6628B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rPr>
              <w:t>TDDConf.2.1</w:t>
            </w:r>
          </w:p>
        </w:tc>
      </w:tr>
      <w:tr w:rsidR="003A71DE" w:rsidRPr="007D0AFB" w14:paraId="3751646B" w14:textId="77777777" w:rsidTr="003A71DE">
        <w:trPr>
          <w:trHeight w:val="187"/>
          <w:jc w:val="center"/>
        </w:trPr>
        <w:tc>
          <w:tcPr>
            <w:tcW w:w="1520" w:type="pct"/>
            <w:gridSpan w:val="2"/>
            <w:vMerge w:val="restart"/>
            <w:tcBorders>
              <w:top w:val="nil"/>
            </w:tcBorders>
            <w:shd w:val="clear" w:color="auto" w:fill="auto"/>
          </w:tcPr>
          <w:p w14:paraId="136544D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CORESET Reference Channel</w:t>
            </w:r>
          </w:p>
        </w:tc>
        <w:tc>
          <w:tcPr>
            <w:tcW w:w="1176" w:type="pct"/>
            <w:shd w:val="clear" w:color="auto" w:fill="auto"/>
          </w:tcPr>
          <w:p w14:paraId="2F0DB42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3BC53F25" w14:textId="77777777" w:rsidR="003A71DE" w:rsidRPr="007D0AFB" w:rsidRDefault="003A71DE" w:rsidP="003A71DE">
            <w:pPr>
              <w:keepNext/>
              <w:keepLines/>
              <w:spacing w:after="0"/>
              <w:jc w:val="center"/>
              <w:rPr>
                <w:rFonts w:ascii="Arial" w:eastAsia="SimSun" w:hAnsi="Arial"/>
                <w:noProof/>
                <w:sz w:val="18"/>
              </w:rPr>
            </w:pPr>
          </w:p>
        </w:tc>
        <w:tc>
          <w:tcPr>
            <w:tcW w:w="1708" w:type="pct"/>
            <w:shd w:val="clear" w:color="auto" w:fill="auto"/>
          </w:tcPr>
          <w:p w14:paraId="1914356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CR.1.1 TDD</w:t>
            </w:r>
          </w:p>
        </w:tc>
      </w:tr>
      <w:tr w:rsidR="003A71DE" w:rsidRPr="007D0AFB" w14:paraId="5E83705A" w14:textId="77777777" w:rsidTr="003A71DE">
        <w:trPr>
          <w:trHeight w:val="187"/>
          <w:jc w:val="center"/>
        </w:trPr>
        <w:tc>
          <w:tcPr>
            <w:tcW w:w="1520" w:type="pct"/>
            <w:gridSpan w:val="2"/>
            <w:vMerge/>
            <w:tcBorders>
              <w:bottom w:val="single" w:sz="4" w:space="0" w:color="auto"/>
            </w:tcBorders>
            <w:shd w:val="clear" w:color="auto" w:fill="auto"/>
          </w:tcPr>
          <w:p w14:paraId="488638F5"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6043F1E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29A4487E" w14:textId="77777777" w:rsidR="003A71DE" w:rsidRPr="007D0AFB" w:rsidRDefault="003A71DE" w:rsidP="003A71DE">
            <w:pPr>
              <w:keepNext/>
              <w:keepLines/>
              <w:spacing w:after="0"/>
              <w:jc w:val="center"/>
              <w:rPr>
                <w:rFonts w:ascii="Arial" w:eastAsia="SimSun" w:hAnsi="Arial"/>
                <w:noProof/>
                <w:sz w:val="18"/>
              </w:rPr>
            </w:pPr>
          </w:p>
        </w:tc>
        <w:tc>
          <w:tcPr>
            <w:tcW w:w="1708" w:type="pct"/>
            <w:shd w:val="clear" w:color="auto" w:fill="auto"/>
          </w:tcPr>
          <w:p w14:paraId="1E7DE33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CR.2.1 TDD</w:t>
            </w:r>
          </w:p>
        </w:tc>
      </w:tr>
      <w:tr w:rsidR="003A71DE" w:rsidRPr="007D0AFB" w14:paraId="527D7BB2" w14:textId="77777777" w:rsidTr="003A71DE">
        <w:trPr>
          <w:trHeight w:val="187"/>
          <w:jc w:val="center"/>
        </w:trPr>
        <w:tc>
          <w:tcPr>
            <w:tcW w:w="1520" w:type="pct"/>
            <w:gridSpan w:val="2"/>
            <w:vMerge w:val="restart"/>
            <w:tcBorders>
              <w:top w:val="nil"/>
            </w:tcBorders>
            <w:shd w:val="clear" w:color="auto" w:fill="auto"/>
          </w:tcPr>
          <w:p w14:paraId="737A1AB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SSB Configuration</w:t>
            </w:r>
          </w:p>
        </w:tc>
        <w:tc>
          <w:tcPr>
            <w:tcW w:w="1176" w:type="pct"/>
            <w:shd w:val="clear" w:color="auto" w:fill="auto"/>
          </w:tcPr>
          <w:p w14:paraId="2E5EC4A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4AB181C"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32C88AB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SSB.1 FR1</w:t>
            </w:r>
          </w:p>
        </w:tc>
      </w:tr>
      <w:tr w:rsidR="003A71DE" w:rsidRPr="007D0AFB" w14:paraId="2D3D6661" w14:textId="77777777" w:rsidTr="003A71DE">
        <w:trPr>
          <w:trHeight w:val="187"/>
          <w:jc w:val="center"/>
        </w:trPr>
        <w:tc>
          <w:tcPr>
            <w:tcW w:w="1520" w:type="pct"/>
            <w:gridSpan w:val="2"/>
            <w:vMerge/>
            <w:tcBorders>
              <w:bottom w:val="single" w:sz="4" w:space="0" w:color="auto"/>
            </w:tcBorders>
            <w:shd w:val="clear" w:color="auto" w:fill="auto"/>
          </w:tcPr>
          <w:p w14:paraId="32FF3BE0"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04A8BC8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5855F4DD"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49FB05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SSB.2 FR1</w:t>
            </w:r>
          </w:p>
        </w:tc>
      </w:tr>
      <w:tr w:rsidR="003A71DE" w:rsidRPr="007D0AFB" w14:paraId="2AC8D0F2" w14:textId="77777777" w:rsidTr="003A71DE">
        <w:trPr>
          <w:trHeight w:val="187"/>
          <w:jc w:val="center"/>
        </w:trPr>
        <w:tc>
          <w:tcPr>
            <w:tcW w:w="1520" w:type="pct"/>
            <w:gridSpan w:val="2"/>
            <w:vMerge w:val="restart"/>
            <w:shd w:val="clear" w:color="auto" w:fill="auto"/>
          </w:tcPr>
          <w:p w14:paraId="278D707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SMTC Configuration</w:t>
            </w:r>
          </w:p>
        </w:tc>
        <w:tc>
          <w:tcPr>
            <w:tcW w:w="1176" w:type="pct"/>
            <w:shd w:val="clear" w:color="auto" w:fill="auto"/>
          </w:tcPr>
          <w:p w14:paraId="7820DEF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2016CA74"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5618F7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SMTC.1</w:t>
            </w:r>
          </w:p>
        </w:tc>
      </w:tr>
      <w:tr w:rsidR="003A71DE" w:rsidRPr="007D0AFB" w14:paraId="50F19B93" w14:textId="77777777" w:rsidTr="003A71DE">
        <w:trPr>
          <w:trHeight w:val="187"/>
          <w:jc w:val="center"/>
        </w:trPr>
        <w:tc>
          <w:tcPr>
            <w:tcW w:w="1520" w:type="pct"/>
            <w:gridSpan w:val="2"/>
            <w:vMerge/>
            <w:tcBorders>
              <w:bottom w:val="single" w:sz="4" w:space="0" w:color="auto"/>
            </w:tcBorders>
            <w:shd w:val="clear" w:color="auto" w:fill="auto"/>
          </w:tcPr>
          <w:p w14:paraId="7504A728"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4E8DA22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2A93102F"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66E0964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SMTC.1</w:t>
            </w:r>
          </w:p>
        </w:tc>
      </w:tr>
      <w:tr w:rsidR="003A71DE" w:rsidRPr="007D0AFB" w14:paraId="1C2DD400" w14:textId="77777777" w:rsidTr="003A71DE">
        <w:trPr>
          <w:trHeight w:val="187"/>
          <w:jc w:val="center"/>
        </w:trPr>
        <w:tc>
          <w:tcPr>
            <w:tcW w:w="1520" w:type="pct"/>
            <w:gridSpan w:val="2"/>
            <w:vMerge w:val="restart"/>
            <w:shd w:val="clear" w:color="auto" w:fill="auto"/>
          </w:tcPr>
          <w:p w14:paraId="5FEA2D5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PDSCH/PDCCH subcarrier spacing</w:t>
            </w:r>
          </w:p>
        </w:tc>
        <w:tc>
          <w:tcPr>
            <w:tcW w:w="1176" w:type="pct"/>
            <w:shd w:val="clear" w:color="auto" w:fill="auto"/>
          </w:tcPr>
          <w:p w14:paraId="35D9713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71DA11D1"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5EA64E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15 kHz</w:t>
            </w:r>
          </w:p>
        </w:tc>
      </w:tr>
      <w:tr w:rsidR="003A71DE" w:rsidRPr="007D0AFB" w14:paraId="71368F0E" w14:textId="77777777" w:rsidTr="003A71DE">
        <w:trPr>
          <w:trHeight w:val="187"/>
          <w:jc w:val="center"/>
        </w:trPr>
        <w:tc>
          <w:tcPr>
            <w:tcW w:w="1520" w:type="pct"/>
            <w:gridSpan w:val="2"/>
            <w:vMerge/>
            <w:tcBorders>
              <w:bottom w:val="single" w:sz="4" w:space="0" w:color="auto"/>
            </w:tcBorders>
            <w:shd w:val="clear" w:color="auto" w:fill="auto"/>
          </w:tcPr>
          <w:p w14:paraId="252AD4ED"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7737422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1DF23CB2"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10F40D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30 kHz</w:t>
            </w:r>
          </w:p>
        </w:tc>
      </w:tr>
      <w:tr w:rsidR="003A71DE" w:rsidRPr="007D0AFB" w14:paraId="6BCCC155" w14:textId="77777777" w:rsidTr="003A71DE">
        <w:trPr>
          <w:trHeight w:val="187"/>
          <w:jc w:val="center"/>
        </w:trPr>
        <w:tc>
          <w:tcPr>
            <w:tcW w:w="1520" w:type="pct"/>
            <w:gridSpan w:val="2"/>
            <w:vMerge w:val="restart"/>
            <w:shd w:val="clear" w:color="auto" w:fill="auto"/>
          </w:tcPr>
          <w:p w14:paraId="551AF31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PRACH Configuration </w:t>
            </w:r>
          </w:p>
        </w:tc>
        <w:tc>
          <w:tcPr>
            <w:tcW w:w="1176" w:type="pct"/>
            <w:shd w:val="clear" w:color="auto" w:fill="auto"/>
          </w:tcPr>
          <w:p w14:paraId="05ED701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0F1B99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4696EC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TBD</w:t>
            </w:r>
          </w:p>
        </w:tc>
      </w:tr>
      <w:tr w:rsidR="003A71DE" w:rsidRPr="007D0AFB" w14:paraId="024E8254" w14:textId="77777777" w:rsidTr="003A71DE">
        <w:trPr>
          <w:trHeight w:val="187"/>
          <w:jc w:val="center"/>
        </w:trPr>
        <w:tc>
          <w:tcPr>
            <w:tcW w:w="1520" w:type="pct"/>
            <w:gridSpan w:val="2"/>
            <w:vMerge/>
            <w:shd w:val="clear" w:color="auto" w:fill="auto"/>
          </w:tcPr>
          <w:p w14:paraId="2921BFC8"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0EC736B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0B8A18B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4BE3EED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TBD</w:t>
            </w:r>
          </w:p>
        </w:tc>
      </w:tr>
      <w:tr w:rsidR="003A71DE" w:rsidRPr="007D0AFB" w14:paraId="54B708E4" w14:textId="77777777" w:rsidTr="003A71DE">
        <w:trPr>
          <w:trHeight w:val="187"/>
          <w:jc w:val="center"/>
        </w:trPr>
        <w:tc>
          <w:tcPr>
            <w:tcW w:w="2696" w:type="pct"/>
            <w:gridSpan w:val="3"/>
            <w:shd w:val="clear" w:color="auto" w:fill="auto"/>
          </w:tcPr>
          <w:p w14:paraId="18EA8A4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SSB index assigned as RLM RS</w:t>
            </w:r>
          </w:p>
        </w:tc>
        <w:tc>
          <w:tcPr>
            <w:tcW w:w="596" w:type="pct"/>
            <w:shd w:val="clear" w:color="auto" w:fill="auto"/>
          </w:tcPr>
          <w:p w14:paraId="78C7EE15"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9058B2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w:t>
            </w:r>
          </w:p>
        </w:tc>
      </w:tr>
      <w:tr w:rsidR="003A71DE" w:rsidRPr="007D0AFB" w14:paraId="64AF5D0F" w14:textId="77777777" w:rsidTr="003A71DE">
        <w:trPr>
          <w:trHeight w:val="187"/>
          <w:jc w:val="center"/>
        </w:trPr>
        <w:tc>
          <w:tcPr>
            <w:tcW w:w="2696" w:type="pct"/>
            <w:gridSpan w:val="3"/>
            <w:shd w:val="clear" w:color="auto" w:fill="auto"/>
          </w:tcPr>
          <w:p w14:paraId="0CDCEA7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OCNG parameters</w:t>
            </w:r>
          </w:p>
        </w:tc>
        <w:tc>
          <w:tcPr>
            <w:tcW w:w="596" w:type="pct"/>
            <w:shd w:val="clear" w:color="auto" w:fill="auto"/>
          </w:tcPr>
          <w:p w14:paraId="121CD18C"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69F9F4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OP.1</w:t>
            </w:r>
          </w:p>
        </w:tc>
      </w:tr>
      <w:tr w:rsidR="003A71DE" w:rsidRPr="007D0AFB" w14:paraId="501E15DE" w14:textId="77777777" w:rsidTr="003A71DE">
        <w:trPr>
          <w:trHeight w:val="187"/>
          <w:jc w:val="center"/>
        </w:trPr>
        <w:tc>
          <w:tcPr>
            <w:tcW w:w="2696" w:type="pct"/>
            <w:gridSpan w:val="3"/>
            <w:shd w:val="clear" w:color="auto" w:fill="auto"/>
          </w:tcPr>
          <w:p w14:paraId="3691EDA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CP length</w:t>
            </w:r>
            <w:r w:rsidRPr="007D0AFB">
              <w:rPr>
                <w:rFonts w:ascii="Arial" w:eastAsia="SimSun" w:hAnsi="Arial"/>
                <w:noProof/>
                <w:sz w:val="18"/>
              </w:rPr>
              <w:tab/>
            </w:r>
          </w:p>
        </w:tc>
        <w:tc>
          <w:tcPr>
            <w:tcW w:w="596" w:type="pct"/>
            <w:shd w:val="clear" w:color="auto" w:fill="auto"/>
          </w:tcPr>
          <w:p w14:paraId="1757EEE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374BA5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Normal</w:t>
            </w:r>
          </w:p>
        </w:tc>
      </w:tr>
      <w:tr w:rsidR="003A71DE" w:rsidRPr="007D0AFB" w14:paraId="690B3FC9" w14:textId="77777777" w:rsidTr="003A71DE">
        <w:trPr>
          <w:trHeight w:val="187"/>
          <w:jc w:val="center"/>
        </w:trPr>
        <w:tc>
          <w:tcPr>
            <w:tcW w:w="2696" w:type="pct"/>
            <w:gridSpan w:val="3"/>
            <w:shd w:val="clear" w:color="auto" w:fill="auto"/>
          </w:tcPr>
          <w:p w14:paraId="2D39B33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Correlation Matrix and Antenna Configuration</w:t>
            </w:r>
          </w:p>
        </w:tc>
        <w:tc>
          <w:tcPr>
            <w:tcW w:w="596" w:type="pct"/>
            <w:shd w:val="clear" w:color="auto" w:fill="auto"/>
          </w:tcPr>
          <w:p w14:paraId="199C854B" w14:textId="77777777" w:rsidR="003A71DE" w:rsidRPr="007D0AFB" w:rsidRDefault="003A71DE" w:rsidP="003A71DE">
            <w:pPr>
              <w:keepNext/>
              <w:keepLines/>
              <w:spacing w:after="0"/>
              <w:jc w:val="center"/>
              <w:rPr>
                <w:rFonts w:ascii="Arial" w:eastAsia="SimSun" w:hAnsi="Arial"/>
                <w:noProof/>
                <w:sz w:val="18"/>
              </w:rPr>
            </w:pPr>
          </w:p>
        </w:tc>
        <w:tc>
          <w:tcPr>
            <w:tcW w:w="1708" w:type="pct"/>
            <w:shd w:val="clear" w:color="auto" w:fill="auto"/>
          </w:tcPr>
          <w:p w14:paraId="24B258F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2x2 Low</w:t>
            </w:r>
          </w:p>
        </w:tc>
      </w:tr>
      <w:tr w:rsidR="003A71DE" w:rsidRPr="007D0AFB" w14:paraId="0F6C46FA" w14:textId="77777777" w:rsidTr="003A71DE">
        <w:trPr>
          <w:trHeight w:val="187"/>
          <w:jc w:val="center"/>
        </w:trPr>
        <w:tc>
          <w:tcPr>
            <w:tcW w:w="1137" w:type="pct"/>
            <w:vMerge w:val="restart"/>
            <w:shd w:val="clear" w:color="auto" w:fill="auto"/>
          </w:tcPr>
          <w:p w14:paraId="6F9AF63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Out of sync transmission parameters</w:t>
            </w:r>
          </w:p>
        </w:tc>
        <w:tc>
          <w:tcPr>
            <w:tcW w:w="1559" w:type="pct"/>
            <w:gridSpan w:val="2"/>
            <w:shd w:val="clear" w:color="auto" w:fill="auto"/>
          </w:tcPr>
          <w:p w14:paraId="26E52B1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DCI format</w:t>
            </w:r>
          </w:p>
        </w:tc>
        <w:tc>
          <w:tcPr>
            <w:tcW w:w="596" w:type="pct"/>
            <w:shd w:val="clear" w:color="auto" w:fill="auto"/>
          </w:tcPr>
          <w:p w14:paraId="40B2324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F3F6E0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w:t>
            </w:r>
          </w:p>
        </w:tc>
      </w:tr>
      <w:tr w:rsidR="003A71DE" w:rsidRPr="007D0AFB" w14:paraId="5712D04A" w14:textId="77777777" w:rsidTr="003A71DE">
        <w:trPr>
          <w:trHeight w:val="187"/>
          <w:jc w:val="center"/>
        </w:trPr>
        <w:tc>
          <w:tcPr>
            <w:tcW w:w="1137" w:type="pct"/>
            <w:vMerge/>
            <w:shd w:val="clear" w:color="auto" w:fill="auto"/>
          </w:tcPr>
          <w:p w14:paraId="47EBAF26" w14:textId="77777777" w:rsidR="003A71DE" w:rsidRPr="007D0AFB" w:rsidRDefault="003A71DE" w:rsidP="003A71DE">
            <w:pPr>
              <w:keepNext/>
              <w:keepLines/>
              <w:spacing w:after="0"/>
              <w:rPr>
                <w:rFonts w:ascii="Arial" w:eastAsia="SimSun" w:hAnsi="Arial"/>
                <w:noProof/>
                <w:sz w:val="18"/>
              </w:rPr>
            </w:pPr>
          </w:p>
        </w:tc>
        <w:tc>
          <w:tcPr>
            <w:tcW w:w="1559" w:type="pct"/>
            <w:gridSpan w:val="2"/>
            <w:shd w:val="clear" w:color="auto" w:fill="auto"/>
          </w:tcPr>
          <w:p w14:paraId="37AB25D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Number of Control OFDM symbols</w:t>
            </w:r>
          </w:p>
        </w:tc>
        <w:tc>
          <w:tcPr>
            <w:tcW w:w="596" w:type="pct"/>
            <w:shd w:val="clear" w:color="auto" w:fill="auto"/>
          </w:tcPr>
          <w:p w14:paraId="3BD76533"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15222E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w:t>
            </w:r>
          </w:p>
        </w:tc>
      </w:tr>
      <w:tr w:rsidR="003A71DE" w:rsidRPr="007D0AFB" w14:paraId="17BA4EA9" w14:textId="77777777" w:rsidTr="003A71DE">
        <w:trPr>
          <w:trHeight w:val="187"/>
          <w:jc w:val="center"/>
        </w:trPr>
        <w:tc>
          <w:tcPr>
            <w:tcW w:w="1137" w:type="pct"/>
            <w:vMerge/>
            <w:shd w:val="clear" w:color="auto" w:fill="auto"/>
          </w:tcPr>
          <w:p w14:paraId="07CD79D5" w14:textId="77777777" w:rsidR="003A71DE" w:rsidRPr="007D0AFB" w:rsidRDefault="003A71DE" w:rsidP="003A71DE">
            <w:pPr>
              <w:keepNext/>
              <w:keepLines/>
              <w:spacing w:after="0"/>
              <w:rPr>
                <w:rFonts w:ascii="Arial" w:eastAsia="SimSun" w:hAnsi="Arial"/>
                <w:noProof/>
                <w:sz w:val="18"/>
              </w:rPr>
            </w:pPr>
          </w:p>
        </w:tc>
        <w:tc>
          <w:tcPr>
            <w:tcW w:w="1559" w:type="pct"/>
            <w:gridSpan w:val="2"/>
            <w:shd w:val="clear" w:color="auto" w:fill="auto"/>
          </w:tcPr>
          <w:p w14:paraId="70C796C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Aggregation level </w:t>
            </w:r>
          </w:p>
        </w:tc>
        <w:tc>
          <w:tcPr>
            <w:tcW w:w="596" w:type="pct"/>
            <w:shd w:val="clear" w:color="auto" w:fill="auto"/>
          </w:tcPr>
          <w:p w14:paraId="33F0253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CCE</w:t>
            </w:r>
          </w:p>
        </w:tc>
        <w:tc>
          <w:tcPr>
            <w:tcW w:w="1708" w:type="pct"/>
          </w:tcPr>
          <w:p w14:paraId="1ECF74A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8</w:t>
            </w:r>
          </w:p>
        </w:tc>
      </w:tr>
      <w:tr w:rsidR="003A71DE" w:rsidRPr="007D0AFB" w14:paraId="5DB12B5E" w14:textId="77777777" w:rsidTr="003A71DE">
        <w:trPr>
          <w:trHeight w:val="187"/>
          <w:jc w:val="center"/>
        </w:trPr>
        <w:tc>
          <w:tcPr>
            <w:tcW w:w="1137" w:type="pct"/>
            <w:vMerge/>
            <w:shd w:val="clear" w:color="auto" w:fill="auto"/>
          </w:tcPr>
          <w:p w14:paraId="61685AC5" w14:textId="77777777" w:rsidR="003A71DE" w:rsidRPr="007D0AFB" w:rsidRDefault="003A71DE" w:rsidP="003A71DE">
            <w:pPr>
              <w:keepNext/>
              <w:keepLines/>
              <w:spacing w:after="0"/>
              <w:rPr>
                <w:rFonts w:ascii="Arial" w:eastAsia="SimSun" w:hAnsi="Arial"/>
                <w:noProof/>
                <w:sz w:val="18"/>
              </w:rPr>
            </w:pPr>
          </w:p>
        </w:tc>
        <w:tc>
          <w:tcPr>
            <w:tcW w:w="1559" w:type="pct"/>
            <w:gridSpan w:val="2"/>
            <w:shd w:val="clear" w:color="auto" w:fill="auto"/>
          </w:tcPr>
          <w:p w14:paraId="7B6F2C4D"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RE energy to average SSS RE energy</w:t>
            </w:r>
          </w:p>
        </w:tc>
        <w:tc>
          <w:tcPr>
            <w:tcW w:w="596" w:type="pct"/>
            <w:shd w:val="clear" w:color="auto" w:fill="auto"/>
          </w:tcPr>
          <w:p w14:paraId="7303860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08" w:type="pct"/>
          </w:tcPr>
          <w:p w14:paraId="69397E5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46C42534" w14:textId="77777777" w:rsidTr="003A71DE">
        <w:trPr>
          <w:trHeight w:val="187"/>
          <w:jc w:val="center"/>
        </w:trPr>
        <w:tc>
          <w:tcPr>
            <w:tcW w:w="1137" w:type="pct"/>
            <w:vMerge/>
            <w:shd w:val="clear" w:color="auto" w:fill="auto"/>
          </w:tcPr>
          <w:p w14:paraId="70D9ABD5" w14:textId="77777777" w:rsidR="003A71DE" w:rsidRPr="007D0AFB" w:rsidRDefault="003A71DE" w:rsidP="003A71DE">
            <w:pPr>
              <w:keepNext/>
              <w:keepLines/>
              <w:spacing w:after="0"/>
              <w:rPr>
                <w:rFonts w:ascii="Arial" w:eastAsia="SimSun" w:hAnsi="Arial"/>
                <w:noProof/>
                <w:sz w:val="18"/>
              </w:rPr>
            </w:pPr>
          </w:p>
        </w:tc>
        <w:tc>
          <w:tcPr>
            <w:tcW w:w="1559" w:type="pct"/>
            <w:gridSpan w:val="2"/>
            <w:shd w:val="clear" w:color="auto" w:fill="auto"/>
          </w:tcPr>
          <w:p w14:paraId="69A1FFCA"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DMRS energy to average SSS RE energy</w:t>
            </w:r>
          </w:p>
        </w:tc>
        <w:tc>
          <w:tcPr>
            <w:tcW w:w="596" w:type="pct"/>
            <w:shd w:val="clear" w:color="auto" w:fill="auto"/>
          </w:tcPr>
          <w:p w14:paraId="06DEDA8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08" w:type="pct"/>
          </w:tcPr>
          <w:p w14:paraId="2E712C7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53C5D801" w14:textId="77777777" w:rsidTr="003A71DE">
        <w:trPr>
          <w:trHeight w:val="187"/>
          <w:jc w:val="center"/>
        </w:trPr>
        <w:tc>
          <w:tcPr>
            <w:tcW w:w="1137" w:type="pct"/>
            <w:vMerge/>
            <w:shd w:val="clear" w:color="auto" w:fill="auto"/>
          </w:tcPr>
          <w:p w14:paraId="6DD41068" w14:textId="77777777" w:rsidR="003A71DE" w:rsidRPr="007D0AFB" w:rsidRDefault="003A71DE" w:rsidP="003A71DE">
            <w:pPr>
              <w:keepNext/>
              <w:keepLines/>
              <w:spacing w:after="0"/>
              <w:rPr>
                <w:rFonts w:ascii="Arial" w:eastAsia="SimSun" w:hAnsi="Arial"/>
                <w:noProof/>
                <w:sz w:val="18"/>
              </w:rPr>
            </w:pPr>
          </w:p>
        </w:tc>
        <w:tc>
          <w:tcPr>
            <w:tcW w:w="1559" w:type="pct"/>
            <w:gridSpan w:val="2"/>
            <w:shd w:val="clear" w:color="auto" w:fill="auto"/>
          </w:tcPr>
          <w:p w14:paraId="7B8661C9"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DMRS precoder granularity</w:t>
            </w:r>
          </w:p>
        </w:tc>
        <w:tc>
          <w:tcPr>
            <w:tcW w:w="596" w:type="pct"/>
            <w:shd w:val="clear" w:color="auto" w:fill="auto"/>
          </w:tcPr>
          <w:p w14:paraId="6D624D89" w14:textId="77777777" w:rsidR="003A71DE" w:rsidRPr="007D0AFB" w:rsidRDefault="003A71DE" w:rsidP="003A71DE">
            <w:pPr>
              <w:keepNext/>
              <w:keepLines/>
              <w:spacing w:after="0"/>
              <w:jc w:val="center"/>
              <w:rPr>
                <w:rFonts w:ascii="Arial" w:eastAsia="?? ??" w:hAnsi="Arial"/>
                <w:sz w:val="18"/>
              </w:rPr>
            </w:pPr>
          </w:p>
        </w:tc>
        <w:tc>
          <w:tcPr>
            <w:tcW w:w="1708" w:type="pct"/>
          </w:tcPr>
          <w:p w14:paraId="6F4561C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 ??" w:hAnsi="Arial"/>
                <w:sz w:val="18"/>
              </w:rPr>
              <w:t>REG bundle size</w:t>
            </w:r>
          </w:p>
        </w:tc>
      </w:tr>
      <w:tr w:rsidR="003A71DE" w:rsidRPr="007D0AFB" w14:paraId="3D12CA95" w14:textId="77777777" w:rsidTr="003A71DE">
        <w:trPr>
          <w:trHeight w:val="187"/>
          <w:jc w:val="center"/>
        </w:trPr>
        <w:tc>
          <w:tcPr>
            <w:tcW w:w="1137" w:type="pct"/>
            <w:vMerge/>
            <w:shd w:val="clear" w:color="auto" w:fill="auto"/>
          </w:tcPr>
          <w:p w14:paraId="67FC72CE" w14:textId="77777777" w:rsidR="003A71DE" w:rsidRPr="007D0AFB" w:rsidRDefault="003A71DE" w:rsidP="003A71DE">
            <w:pPr>
              <w:keepNext/>
              <w:keepLines/>
              <w:spacing w:after="0"/>
              <w:rPr>
                <w:rFonts w:ascii="Arial" w:eastAsia="SimSun" w:hAnsi="Arial"/>
                <w:noProof/>
                <w:sz w:val="18"/>
              </w:rPr>
            </w:pPr>
          </w:p>
        </w:tc>
        <w:tc>
          <w:tcPr>
            <w:tcW w:w="1559" w:type="pct"/>
            <w:gridSpan w:val="2"/>
            <w:shd w:val="clear" w:color="auto" w:fill="auto"/>
          </w:tcPr>
          <w:p w14:paraId="5ACD3DDF"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REG bundle size</w:t>
            </w:r>
          </w:p>
        </w:tc>
        <w:tc>
          <w:tcPr>
            <w:tcW w:w="596" w:type="pct"/>
            <w:shd w:val="clear" w:color="auto" w:fill="auto"/>
          </w:tcPr>
          <w:p w14:paraId="0ECB8994" w14:textId="77777777" w:rsidR="003A71DE" w:rsidRPr="007D0AFB" w:rsidRDefault="003A71DE" w:rsidP="003A71DE">
            <w:pPr>
              <w:keepNext/>
              <w:keepLines/>
              <w:spacing w:after="0"/>
              <w:jc w:val="center"/>
              <w:rPr>
                <w:rFonts w:ascii="Arial" w:eastAsia="?? ??" w:hAnsi="Arial"/>
                <w:sz w:val="18"/>
              </w:rPr>
            </w:pPr>
          </w:p>
        </w:tc>
        <w:tc>
          <w:tcPr>
            <w:tcW w:w="1708" w:type="pct"/>
          </w:tcPr>
          <w:p w14:paraId="3169A60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6</w:t>
            </w:r>
          </w:p>
        </w:tc>
      </w:tr>
      <w:tr w:rsidR="003A71DE" w:rsidRPr="007D0AFB" w14:paraId="15319BB0" w14:textId="77777777" w:rsidTr="003A71DE">
        <w:trPr>
          <w:trHeight w:val="187"/>
          <w:jc w:val="center"/>
        </w:trPr>
        <w:tc>
          <w:tcPr>
            <w:tcW w:w="2696" w:type="pct"/>
            <w:gridSpan w:val="3"/>
            <w:shd w:val="clear" w:color="auto" w:fill="auto"/>
          </w:tcPr>
          <w:p w14:paraId="14F29BE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DRX</w:t>
            </w:r>
          </w:p>
        </w:tc>
        <w:tc>
          <w:tcPr>
            <w:tcW w:w="596" w:type="pct"/>
            <w:shd w:val="clear" w:color="auto" w:fill="auto"/>
          </w:tcPr>
          <w:p w14:paraId="3A52FA34"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1C557336"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OFF</w:t>
            </w:r>
          </w:p>
        </w:tc>
      </w:tr>
      <w:tr w:rsidR="003A71DE" w:rsidRPr="007D0AFB" w14:paraId="3EFFEB86" w14:textId="77777777" w:rsidTr="003A71DE">
        <w:trPr>
          <w:trHeight w:val="187"/>
          <w:jc w:val="center"/>
        </w:trPr>
        <w:tc>
          <w:tcPr>
            <w:tcW w:w="2696" w:type="pct"/>
            <w:gridSpan w:val="3"/>
            <w:shd w:val="clear" w:color="auto" w:fill="auto"/>
          </w:tcPr>
          <w:p w14:paraId="2B2E63D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Layer 3 filtering</w:t>
            </w:r>
          </w:p>
        </w:tc>
        <w:tc>
          <w:tcPr>
            <w:tcW w:w="596" w:type="pct"/>
            <w:shd w:val="clear" w:color="auto" w:fill="auto"/>
          </w:tcPr>
          <w:p w14:paraId="2DB8EBB9"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A37F00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i/>
                <w:iCs/>
                <w:sz w:val="18"/>
              </w:rPr>
              <w:t>Enabled</w:t>
            </w:r>
          </w:p>
        </w:tc>
      </w:tr>
      <w:tr w:rsidR="003A71DE" w:rsidRPr="007D0AFB" w14:paraId="7649AB82" w14:textId="77777777" w:rsidTr="003A71DE">
        <w:trPr>
          <w:trHeight w:val="187"/>
          <w:jc w:val="center"/>
        </w:trPr>
        <w:tc>
          <w:tcPr>
            <w:tcW w:w="2696" w:type="pct"/>
            <w:gridSpan w:val="3"/>
            <w:shd w:val="clear" w:color="auto" w:fill="auto"/>
          </w:tcPr>
          <w:p w14:paraId="7AFB493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T310 timer</w:t>
            </w:r>
          </w:p>
        </w:tc>
        <w:tc>
          <w:tcPr>
            <w:tcW w:w="596" w:type="pct"/>
            <w:shd w:val="clear" w:color="auto" w:fill="auto"/>
          </w:tcPr>
          <w:p w14:paraId="1535E05D"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iCs/>
                <w:sz w:val="18"/>
              </w:rPr>
              <w:t>ms</w:t>
            </w:r>
          </w:p>
        </w:tc>
        <w:tc>
          <w:tcPr>
            <w:tcW w:w="1708" w:type="pct"/>
          </w:tcPr>
          <w:p w14:paraId="4EED079B"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i/>
                <w:iCs/>
                <w:sz w:val="18"/>
              </w:rPr>
              <w:t>0</w:t>
            </w:r>
          </w:p>
        </w:tc>
      </w:tr>
      <w:tr w:rsidR="003A71DE" w:rsidRPr="007D0AFB" w14:paraId="0D28D781" w14:textId="77777777" w:rsidTr="003A71DE">
        <w:trPr>
          <w:trHeight w:val="187"/>
          <w:jc w:val="center"/>
        </w:trPr>
        <w:tc>
          <w:tcPr>
            <w:tcW w:w="2696" w:type="pct"/>
            <w:gridSpan w:val="3"/>
            <w:shd w:val="clear" w:color="auto" w:fill="auto"/>
          </w:tcPr>
          <w:p w14:paraId="0345912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T311 timer</w:t>
            </w:r>
          </w:p>
        </w:tc>
        <w:tc>
          <w:tcPr>
            <w:tcW w:w="596" w:type="pct"/>
            <w:shd w:val="clear" w:color="auto" w:fill="auto"/>
          </w:tcPr>
          <w:p w14:paraId="1EDDCFBF"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noProof/>
                <w:sz w:val="18"/>
              </w:rPr>
              <w:t>ms</w:t>
            </w:r>
          </w:p>
        </w:tc>
        <w:tc>
          <w:tcPr>
            <w:tcW w:w="1708" w:type="pct"/>
          </w:tcPr>
          <w:p w14:paraId="3E7798AC"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noProof/>
                <w:sz w:val="18"/>
              </w:rPr>
              <w:t>1000</w:t>
            </w:r>
          </w:p>
        </w:tc>
      </w:tr>
      <w:tr w:rsidR="003A71DE" w:rsidRPr="007D0AFB" w14:paraId="00B2CE25" w14:textId="77777777" w:rsidTr="003A71DE">
        <w:trPr>
          <w:trHeight w:val="187"/>
          <w:jc w:val="center"/>
        </w:trPr>
        <w:tc>
          <w:tcPr>
            <w:tcW w:w="2696" w:type="pct"/>
            <w:gridSpan w:val="3"/>
            <w:shd w:val="clear" w:color="auto" w:fill="auto"/>
          </w:tcPr>
          <w:p w14:paraId="72E01B3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N310</w:t>
            </w:r>
          </w:p>
        </w:tc>
        <w:tc>
          <w:tcPr>
            <w:tcW w:w="596" w:type="pct"/>
            <w:shd w:val="clear" w:color="auto" w:fill="auto"/>
          </w:tcPr>
          <w:p w14:paraId="1A82203F"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D1BDB2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73A24ADF" w14:textId="77777777" w:rsidTr="003A71DE">
        <w:trPr>
          <w:trHeight w:val="187"/>
          <w:jc w:val="center"/>
        </w:trPr>
        <w:tc>
          <w:tcPr>
            <w:tcW w:w="2696" w:type="pct"/>
            <w:gridSpan w:val="3"/>
            <w:shd w:val="clear" w:color="auto" w:fill="auto"/>
          </w:tcPr>
          <w:p w14:paraId="669B21A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N311</w:t>
            </w:r>
          </w:p>
        </w:tc>
        <w:tc>
          <w:tcPr>
            <w:tcW w:w="596" w:type="pct"/>
            <w:shd w:val="clear" w:color="auto" w:fill="auto"/>
          </w:tcPr>
          <w:p w14:paraId="6866F70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120D54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4D9C45E3" w14:textId="77777777" w:rsidTr="003A71DE">
        <w:trPr>
          <w:trHeight w:val="187"/>
          <w:jc w:val="center"/>
        </w:trPr>
        <w:tc>
          <w:tcPr>
            <w:tcW w:w="1520" w:type="pct"/>
            <w:gridSpan w:val="2"/>
            <w:vMerge w:val="restart"/>
            <w:shd w:val="clear" w:color="auto" w:fill="auto"/>
          </w:tcPr>
          <w:p w14:paraId="341F3D8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CSI-RS configuration for CSI reporting</w:t>
            </w:r>
          </w:p>
        </w:tc>
        <w:tc>
          <w:tcPr>
            <w:tcW w:w="1176" w:type="pct"/>
            <w:shd w:val="clear" w:color="auto" w:fill="auto"/>
          </w:tcPr>
          <w:p w14:paraId="2D8943D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5FC14A7"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32B10F1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szCs w:val="18"/>
              </w:rPr>
              <w:t>CSI-RS.1.1 TDD</w:t>
            </w:r>
          </w:p>
        </w:tc>
      </w:tr>
      <w:tr w:rsidR="003A71DE" w:rsidRPr="007D0AFB" w14:paraId="77B1608B" w14:textId="77777777" w:rsidTr="003A71DE">
        <w:trPr>
          <w:trHeight w:val="187"/>
          <w:jc w:val="center"/>
        </w:trPr>
        <w:tc>
          <w:tcPr>
            <w:tcW w:w="1520" w:type="pct"/>
            <w:gridSpan w:val="2"/>
            <w:vMerge/>
            <w:tcBorders>
              <w:bottom w:val="single" w:sz="4" w:space="0" w:color="auto"/>
            </w:tcBorders>
            <w:shd w:val="clear" w:color="auto" w:fill="auto"/>
          </w:tcPr>
          <w:p w14:paraId="7F31E436"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380CE82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6232CF72"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24D39D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szCs w:val="18"/>
              </w:rPr>
              <w:t>CSI-RS.2.1 TDD</w:t>
            </w:r>
          </w:p>
        </w:tc>
      </w:tr>
      <w:tr w:rsidR="003A71DE" w:rsidRPr="007D0AFB" w14:paraId="59C40B24" w14:textId="77777777" w:rsidTr="003A71DE">
        <w:trPr>
          <w:trHeight w:val="187"/>
          <w:jc w:val="center"/>
        </w:trPr>
        <w:tc>
          <w:tcPr>
            <w:tcW w:w="1520" w:type="pct"/>
            <w:gridSpan w:val="2"/>
            <w:vMerge w:val="restart"/>
            <w:tcBorders>
              <w:top w:val="nil"/>
            </w:tcBorders>
            <w:shd w:val="clear" w:color="auto" w:fill="auto"/>
          </w:tcPr>
          <w:p w14:paraId="6AD1BA7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sz w:val="18"/>
              </w:rPr>
              <w:t>CSI-RS for tracking</w:t>
            </w:r>
          </w:p>
        </w:tc>
        <w:tc>
          <w:tcPr>
            <w:tcW w:w="1176" w:type="pct"/>
            <w:shd w:val="clear" w:color="auto" w:fill="auto"/>
          </w:tcPr>
          <w:p w14:paraId="0AEB5EB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29E6E14"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12F19A95" w14:textId="77777777" w:rsidR="003A71DE" w:rsidRPr="007D0AFB" w:rsidRDefault="003A71DE" w:rsidP="003A71DE">
            <w:pPr>
              <w:keepNext/>
              <w:keepLines/>
              <w:spacing w:after="0"/>
              <w:jc w:val="center"/>
              <w:rPr>
                <w:rFonts w:ascii="Arial" w:eastAsia="SimSun" w:hAnsi="Arial"/>
                <w:sz w:val="18"/>
                <w:szCs w:val="18"/>
              </w:rPr>
            </w:pPr>
            <w:r w:rsidRPr="007D0AFB">
              <w:rPr>
                <w:rFonts w:ascii="Arial" w:eastAsia="SimSun" w:hAnsi="Arial"/>
                <w:sz w:val="18"/>
                <w:szCs w:val="18"/>
              </w:rPr>
              <w:t>TRS.1.1 TDD</w:t>
            </w:r>
          </w:p>
        </w:tc>
      </w:tr>
      <w:tr w:rsidR="003A71DE" w:rsidRPr="007D0AFB" w14:paraId="05CD4BE5" w14:textId="77777777" w:rsidTr="003A71DE">
        <w:trPr>
          <w:trHeight w:val="187"/>
          <w:jc w:val="center"/>
        </w:trPr>
        <w:tc>
          <w:tcPr>
            <w:tcW w:w="1520" w:type="pct"/>
            <w:gridSpan w:val="2"/>
            <w:vMerge/>
            <w:shd w:val="clear" w:color="auto" w:fill="auto"/>
          </w:tcPr>
          <w:p w14:paraId="50EC39B8" w14:textId="77777777" w:rsidR="003A71DE" w:rsidRPr="007D0AFB" w:rsidRDefault="003A71DE" w:rsidP="003A71DE">
            <w:pPr>
              <w:keepNext/>
              <w:keepLines/>
              <w:spacing w:after="0"/>
              <w:rPr>
                <w:rFonts w:ascii="Arial" w:eastAsia="SimSun" w:hAnsi="Arial"/>
                <w:noProof/>
                <w:sz w:val="18"/>
              </w:rPr>
            </w:pPr>
          </w:p>
        </w:tc>
        <w:tc>
          <w:tcPr>
            <w:tcW w:w="1176" w:type="pct"/>
            <w:shd w:val="clear" w:color="auto" w:fill="auto"/>
          </w:tcPr>
          <w:p w14:paraId="116F394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96" w:type="pct"/>
            <w:shd w:val="clear" w:color="auto" w:fill="auto"/>
          </w:tcPr>
          <w:p w14:paraId="72F57F81"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4F297DD6" w14:textId="77777777" w:rsidR="003A71DE" w:rsidRPr="007D0AFB" w:rsidRDefault="003A71DE" w:rsidP="003A71DE">
            <w:pPr>
              <w:keepNext/>
              <w:keepLines/>
              <w:spacing w:after="0"/>
              <w:jc w:val="center"/>
              <w:rPr>
                <w:rFonts w:ascii="Arial" w:eastAsia="SimSun" w:hAnsi="Arial"/>
                <w:sz w:val="18"/>
                <w:szCs w:val="18"/>
              </w:rPr>
            </w:pPr>
            <w:r w:rsidRPr="007D0AFB">
              <w:rPr>
                <w:rFonts w:ascii="Arial" w:eastAsia="SimSun" w:hAnsi="Arial"/>
                <w:sz w:val="18"/>
                <w:szCs w:val="18"/>
              </w:rPr>
              <w:t>TRS.1.2 TDD</w:t>
            </w:r>
          </w:p>
        </w:tc>
      </w:tr>
      <w:tr w:rsidR="003A71DE" w:rsidRPr="007D0AFB" w14:paraId="4E3CB88A" w14:textId="77777777" w:rsidTr="003A71DE">
        <w:trPr>
          <w:trHeight w:val="187"/>
          <w:jc w:val="center"/>
        </w:trPr>
        <w:tc>
          <w:tcPr>
            <w:tcW w:w="2696" w:type="pct"/>
            <w:gridSpan w:val="3"/>
            <w:shd w:val="clear" w:color="auto" w:fill="auto"/>
          </w:tcPr>
          <w:p w14:paraId="2FE538C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T1</w:t>
            </w:r>
          </w:p>
        </w:tc>
        <w:tc>
          <w:tcPr>
            <w:tcW w:w="596" w:type="pct"/>
            <w:shd w:val="clear" w:color="auto" w:fill="auto"/>
          </w:tcPr>
          <w:p w14:paraId="07C0FB8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117EF2F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3C3F8D95" w14:textId="77777777" w:rsidTr="003A71DE">
        <w:trPr>
          <w:trHeight w:val="187"/>
          <w:jc w:val="center"/>
        </w:trPr>
        <w:tc>
          <w:tcPr>
            <w:tcW w:w="2696" w:type="pct"/>
            <w:gridSpan w:val="3"/>
            <w:shd w:val="clear" w:color="auto" w:fill="auto"/>
          </w:tcPr>
          <w:p w14:paraId="0A805DC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T2</w:t>
            </w:r>
          </w:p>
        </w:tc>
        <w:tc>
          <w:tcPr>
            <w:tcW w:w="596" w:type="pct"/>
            <w:shd w:val="clear" w:color="auto" w:fill="auto"/>
          </w:tcPr>
          <w:p w14:paraId="799B48E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5547BD8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1.08</w:t>
            </w:r>
          </w:p>
        </w:tc>
      </w:tr>
      <w:tr w:rsidR="003A71DE" w:rsidRPr="007D0AFB" w14:paraId="30D22CEF" w14:textId="77777777" w:rsidTr="003A71DE">
        <w:trPr>
          <w:trHeight w:val="187"/>
          <w:jc w:val="center"/>
        </w:trPr>
        <w:tc>
          <w:tcPr>
            <w:tcW w:w="2696" w:type="pct"/>
            <w:gridSpan w:val="3"/>
            <w:shd w:val="clear" w:color="auto" w:fill="auto"/>
          </w:tcPr>
          <w:p w14:paraId="6D27724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w:t>
            </w:r>
          </w:p>
        </w:tc>
        <w:tc>
          <w:tcPr>
            <w:tcW w:w="596" w:type="pct"/>
            <w:shd w:val="clear" w:color="auto" w:fill="auto"/>
          </w:tcPr>
          <w:p w14:paraId="1D58163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5759F32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1.08</w:t>
            </w:r>
          </w:p>
        </w:tc>
      </w:tr>
      <w:tr w:rsidR="003A71DE" w:rsidRPr="007D0AFB" w14:paraId="39976A0C" w14:textId="77777777" w:rsidTr="003A71DE">
        <w:trPr>
          <w:trHeight w:val="187"/>
          <w:jc w:val="center"/>
        </w:trPr>
        <w:tc>
          <w:tcPr>
            <w:tcW w:w="2696" w:type="pct"/>
            <w:gridSpan w:val="3"/>
            <w:tcBorders>
              <w:bottom w:val="single" w:sz="4" w:space="0" w:color="auto"/>
            </w:tcBorders>
            <w:shd w:val="clear" w:color="auto" w:fill="auto"/>
          </w:tcPr>
          <w:p w14:paraId="0A1299C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D1</w:t>
            </w:r>
          </w:p>
        </w:tc>
        <w:tc>
          <w:tcPr>
            <w:tcW w:w="596" w:type="pct"/>
            <w:tcBorders>
              <w:bottom w:val="single" w:sz="4" w:space="0" w:color="auto"/>
            </w:tcBorders>
            <w:shd w:val="clear" w:color="auto" w:fill="auto"/>
          </w:tcPr>
          <w:p w14:paraId="06A22FA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Borders>
              <w:bottom w:val="single" w:sz="4" w:space="0" w:color="auto"/>
            </w:tcBorders>
          </w:tcPr>
          <w:p w14:paraId="170BC52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1.04</w:t>
            </w:r>
          </w:p>
        </w:tc>
      </w:tr>
      <w:tr w:rsidR="003A71DE" w:rsidRPr="007D0AFB" w14:paraId="2B705449" w14:textId="77777777" w:rsidTr="003A71DE">
        <w:trPr>
          <w:trHeight w:val="187"/>
          <w:jc w:val="center"/>
        </w:trPr>
        <w:tc>
          <w:tcPr>
            <w:tcW w:w="5000" w:type="pct"/>
            <w:gridSpan w:val="5"/>
            <w:tcBorders>
              <w:top w:val="single" w:sz="4" w:space="0" w:color="auto"/>
            </w:tcBorders>
          </w:tcPr>
          <w:p w14:paraId="00CC1206" w14:textId="77777777" w:rsidR="003A71DE" w:rsidRPr="007D0AFB" w:rsidRDefault="003A71DE" w:rsidP="00A40F90">
            <w:pPr>
              <w:pStyle w:val="TAN"/>
              <w:rPr>
                <w:rFonts w:eastAsia="SimSun"/>
              </w:rPr>
            </w:pPr>
            <w:r w:rsidRPr="007D0AFB">
              <w:rPr>
                <w:rFonts w:eastAsia="SimSun"/>
              </w:rPr>
              <w:t>Note 1:</w:t>
            </w:r>
            <w:r w:rsidRPr="007D0AFB">
              <w:rPr>
                <w:rFonts w:eastAsia="SimSun"/>
              </w:rPr>
              <w:tab/>
              <w:t>All configurations are assigned to the IAB-MT prior to the start of time period T1.</w:t>
            </w:r>
          </w:p>
          <w:p w14:paraId="2FDC247B" w14:textId="77777777" w:rsidR="003A71DE" w:rsidRPr="007D0AFB" w:rsidRDefault="003A71DE" w:rsidP="00A40F90">
            <w:pPr>
              <w:pStyle w:val="TAN"/>
              <w:rPr>
                <w:rFonts w:eastAsia="SimSun"/>
              </w:rPr>
            </w:pPr>
            <w:r w:rsidRPr="007D0AFB">
              <w:rPr>
                <w:rFonts w:eastAsia="SimSun"/>
              </w:rPr>
              <w:t>Note 2:</w:t>
            </w:r>
            <w:r w:rsidRPr="007D0AFB">
              <w:rPr>
                <w:rFonts w:eastAsia="SimSun"/>
              </w:rPr>
              <w:tab/>
              <w:t>IAB-MT-specific PDCCH is not transmitted after T1 starts.</w:t>
            </w:r>
          </w:p>
        </w:tc>
      </w:tr>
    </w:tbl>
    <w:p w14:paraId="0F5E2C15" w14:textId="77777777" w:rsidR="003A71DE" w:rsidRPr="007D0AFB" w:rsidRDefault="003A71DE" w:rsidP="003A71DE">
      <w:pPr>
        <w:rPr>
          <w:rFonts w:eastAsia="SimSun"/>
        </w:rPr>
      </w:pPr>
    </w:p>
    <w:p w14:paraId="2ACDDC43" w14:textId="77777777" w:rsidR="003A71DE" w:rsidRPr="007D0AFB" w:rsidRDefault="003A71DE" w:rsidP="00746C0D">
      <w:pPr>
        <w:pStyle w:val="TH"/>
        <w:rPr>
          <w:rFonts w:eastAsia="SimSun"/>
        </w:rPr>
      </w:pPr>
      <w:r w:rsidRPr="007D0AFB">
        <w:rPr>
          <w:rFonts w:eastAsia="Malgun Gothic"/>
          <w:kern w:val="20"/>
        </w:rPr>
        <w:t xml:space="preserve">Table G.2.3.1.1.1-3: </w:t>
      </w:r>
      <w:r w:rsidRPr="007D0AFB">
        <w:rPr>
          <w:rFonts w:eastAsia="SimSun"/>
        </w:rPr>
        <w:t>Cell specific test parameters for FR1 (Cell 1) for out-of-sync radio link monitoring tests in non-DRX mode</w:t>
      </w:r>
    </w:p>
    <w:tbl>
      <w:tblPr>
        <w:tblW w:w="6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15"/>
        <w:gridCol w:w="1924"/>
        <w:gridCol w:w="709"/>
        <w:gridCol w:w="836"/>
        <w:gridCol w:w="918"/>
        <w:gridCol w:w="918"/>
      </w:tblGrid>
      <w:tr w:rsidR="003A71DE" w:rsidRPr="007D0AFB" w14:paraId="14FEEE6B" w14:textId="77777777" w:rsidTr="003A71DE">
        <w:trPr>
          <w:cantSplit/>
          <w:trHeight w:val="187"/>
          <w:jc w:val="center"/>
        </w:trPr>
        <w:tc>
          <w:tcPr>
            <w:tcW w:w="3539" w:type="dxa"/>
            <w:gridSpan w:val="2"/>
            <w:tcBorders>
              <w:top w:val="single" w:sz="4" w:space="0" w:color="auto"/>
              <w:left w:val="single" w:sz="4" w:space="0" w:color="auto"/>
              <w:bottom w:val="nil"/>
            </w:tcBorders>
            <w:shd w:val="clear" w:color="auto" w:fill="auto"/>
          </w:tcPr>
          <w:p w14:paraId="3687C221" w14:textId="77777777" w:rsidR="003A71DE" w:rsidRPr="007D0AFB" w:rsidRDefault="003A71DE" w:rsidP="00A40F90">
            <w:pPr>
              <w:pStyle w:val="TAH"/>
              <w:rPr>
                <w:rFonts w:eastAsia="SimSun"/>
              </w:rPr>
            </w:pPr>
            <w:r w:rsidRPr="007D0AFB">
              <w:rPr>
                <w:rFonts w:eastAsia="SimSun"/>
              </w:rPr>
              <w:t>Parameter</w:t>
            </w:r>
          </w:p>
        </w:tc>
        <w:tc>
          <w:tcPr>
            <w:tcW w:w="709" w:type="dxa"/>
            <w:tcBorders>
              <w:top w:val="single" w:sz="4" w:space="0" w:color="auto"/>
              <w:bottom w:val="nil"/>
            </w:tcBorders>
            <w:shd w:val="clear" w:color="auto" w:fill="auto"/>
          </w:tcPr>
          <w:p w14:paraId="112F4EA2" w14:textId="77777777" w:rsidR="003A71DE" w:rsidRPr="007D0AFB" w:rsidRDefault="003A71DE" w:rsidP="00A40F90">
            <w:pPr>
              <w:pStyle w:val="TAH"/>
              <w:rPr>
                <w:rFonts w:eastAsia="SimSun"/>
              </w:rPr>
            </w:pPr>
            <w:r w:rsidRPr="007D0AFB">
              <w:rPr>
                <w:rFonts w:eastAsia="SimSun"/>
              </w:rPr>
              <w:t>Unit</w:t>
            </w:r>
          </w:p>
        </w:tc>
        <w:tc>
          <w:tcPr>
            <w:tcW w:w="2672" w:type="dxa"/>
            <w:gridSpan w:val="3"/>
            <w:tcBorders>
              <w:top w:val="single" w:sz="4" w:space="0" w:color="auto"/>
            </w:tcBorders>
          </w:tcPr>
          <w:p w14:paraId="5EE86887" w14:textId="77777777" w:rsidR="003A71DE" w:rsidRPr="007D0AFB" w:rsidRDefault="003A71DE" w:rsidP="00A40F90">
            <w:pPr>
              <w:pStyle w:val="TAH"/>
              <w:rPr>
                <w:rFonts w:eastAsia="SimSun"/>
              </w:rPr>
            </w:pPr>
            <w:r w:rsidRPr="007D0AFB">
              <w:rPr>
                <w:rFonts w:eastAsia="SimSun"/>
              </w:rPr>
              <w:t>Test 1</w:t>
            </w:r>
          </w:p>
        </w:tc>
      </w:tr>
      <w:tr w:rsidR="003A71DE" w:rsidRPr="007D0AFB" w14:paraId="031CB23F" w14:textId="77777777" w:rsidTr="003A71DE">
        <w:trPr>
          <w:cantSplit/>
          <w:trHeight w:val="187"/>
          <w:jc w:val="center"/>
        </w:trPr>
        <w:tc>
          <w:tcPr>
            <w:tcW w:w="3539" w:type="dxa"/>
            <w:gridSpan w:val="2"/>
            <w:tcBorders>
              <w:top w:val="nil"/>
              <w:left w:val="single" w:sz="4" w:space="0" w:color="auto"/>
              <w:bottom w:val="single" w:sz="4" w:space="0" w:color="auto"/>
            </w:tcBorders>
            <w:shd w:val="clear" w:color="auto" w:fill="auto"/>
          </w:tcPr>
          <w:p w14:paraId="130D3D84" w14:textId="77777777" w:rsidR="003A71DE" w:rsidRPr="007D0AFB" w:rsidRDefault="003A71DE" w:rsidP="00A40F90">
            <w:pPr>
              <w:pStyle w:val="TAH"/>
              <w:rPr>
                <w:rFonts w:eastAsia="SimSun"/>
              </w:rPr>
            </w:pPr>
          </w:p>
        </w:tc>
        <w:tc>
          <w:tcPr>
            <w:tcW w:w="709" w:type="dxa"/>
            <w:tcBorders>
              <w:top w:val="nil"/>
              <w:bottom w:val="single" w:sz="4" w:space="0" w:color="auto"/>
            </w:tcBorders>
            <w:shd w:val="clear" w:color="auto" w:fill="auto"/>
          </w:tcPr>
          <w:p w14:paraId="7DFD9EBB" w14:textId="77777777" w:rsidR="003A71DE" w:rsidRPr="007D0AFB" w:rsidRDefault="003A71DE" w:rsidP="00A40F90">
            <w:pPr>
              <w:pStyle w:val="TAH"/>
              <w:rPr>
                <w:rFonts w:eastAsia="SimSun"/>
              </w:rPr>
            </w:pPr>
          </w:p>
        </w:tc>
        <w:tc>
          <w:tcPr>
            <w:tcW w:w="836" w:type="dxa"/>
            <w:tcBorders>
              <w:bottom w:val="single" w:sz="4" w:space="0" w:color="auto"/>
            </w:tcBorders>
          </w:tcPr>
          <w:p w14:paraId="05BF6B77" w14:textId="77777777" w:rsidR="003A71DE" w:rsidRPr="007D0AFB" w:rsidRDefault="003A71DE" w:rsidP="00A40F90">
            <w:pPr>
              <w:pStyle w:val="TAH"/>
              <w:rPr>
                <w:rFonts w:eastAsia="SimSun"/>
              </w:rPr>
            </w:pPr>
            <w:r w:rsidRPr="007D0AFB">
              <w:rPr>
                <w:rFonts w:eastAsia="SimSun"/>
              </w:rPr>
              <w:t>T1</w:t>
            </w:r>
          </w:p>
        </w:tc>
        <w:tc>
          <w:tcPr>
            <w:tcW w:w="918" w:type="dxa"/>
            <w:tcBorders>
              <w:bottom w:val="single" w:sz="4" w:space="0" w:color="auto"/>
            </w:tcBorders>
          </w:tcPr>
          <w:p w14:paraId="1B8A6DB4" w14:textId="77777777" w:rsidR="003A71DE" w:rsidRPr="007D0AFB" w:rsidRDefault="003A71DE" w:rsidP="00A40F90">
            <w:pPr>
              <w:pStyle w:val="TAH"/>
              <w:rPr>
                <w:rFonts w:eastAsia="SimSun"/>
              </w:rPr>
            </w:pPr>
            <w:r w:rsidRPr="007D0AFB">
              <w:rPr>
                <w:rFonts w:eastAsia="SimSun"/>
              </w:rPr>
              <w:t>T2</w:t>
            </w:r>
          </w:p>
        </w:tc>
        <w:tc>
          <w:tcPr>
            <w:tcW w:w="918" w:type="dxa"/>
            <w:tcBorders>
              <w:bottom w:val="single" w:sz="4" w:space="0" w:color="auto"/>
            </w:tcBorders>
          </w:tcPr>
          <w:p w14:paraId="289F5215" w14:textId="77777777" w:rsidR="003A71DE" w:rsidRPr="007D0AFB" w:rsidRDefault="003A71DE" w:rsidP="00A40F90">
            <w:pPr>
              <w:pStyle w:val="TAH"/>
              <w:rPr>
                <w:rFonts w:eastAsia="SimSun"/>
              </w:rPr>
            </w:pPr>
            <w:r w:rsidRPr="007D0AFB">
              <w:rPr>
                <w:rFonts w:eastAsia="SimSun"/>
              </w:rPr>
              <w:t>T3</w:t>
            </w:r>
          </w:p>
        </w:tc>
      </w:tr>
      <w:tr w:rsidR="003A71DE" w:rsidRPr="007D0AFB" w14:paraId="6791BD93" w14:textId="77777777" w:rsidTr="003A71DE">
        <w:trPr>
          <w:cantSplit/>
          <w:trHeight w:val="187"/>
          <w:jc w:val="center"/>
        </w:trPr>
        <w:tc>
          <w:tcPr>
            <w:tcW w:w="3539" w:type="dxa"/>
            <w:gridSpan w:val="2"/>
            <w:tcBorders>
              <w:left w:val="single" w:sz="4" w:space="0" w:color="auto"/>
              <w:bottom w:val="single" w:sz="4" w:space="0" w:color="auto"/>
            </w:tcBorders>
          </w:tcPr>
          <w:p w14:paraId="7EEEBA5A"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PDCCH DMRS to SSS</w:t>
            </w:r>
          </w:p>
        </w:tc>
        <w:tc>
          <w:tcPr>
            <w:tcW w:w="709" w:type="dxa"/>
            <w:tcBorders>
              <w:bottom w:val="single" w:sz="4" w:space="0" w:color="auto"/>
            </w:tcBorders>
          </w:tcPr>
          <w:p w14:paraId="277019FE"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tcPr>
          <w:p w14:paraId="12A1E318"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4</w:t>
            </w:r>
          </w:p>
        </w:tc>
      </w:tr>
      <w:tr w:rsidR="003A71DE" w:rsidRPr="007D0AFB" w14:paraId="11FEAFD9" w14:textId="77777777" w:rsidTr="003A71DE">
        <w:trPr>
          <w:cantSplit/>
          <w:trHeight w:val="187"/>
          <w:jc w:val="center"/>
        </w:trPr>
        <w:tc>
          <w:tcPr>
            <w:tcW w:w="3539" w:type="dxa"/>
            <w:gridSpan w:val="2"/>
            <w:tcBorders>
              <w:left w:val="single" w:sz="4" w:space="0" w:color="auto"/>
              <w:bottom w:val="single" w:sz="4" w:space="0" w:color="auto"/>
            </w:tcBorders>
          </w:tcPr>
          <w:p w14:paraId="5D229089"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PDCCH to PDCCH DMRS</w:t>
            </w:r>
          </w:p>
        </w:tc>
        <w:tc>
          <w:tcPr>
            <w:tcW w:w="709" w:type="dxa"/>
            <w:tcBorders>
              <w:bottom w:val="single" w:sz="4" w:space="0" w:color="auto"/>
            </w:tcBorders>
          </w:tcPr>
          <w:p w14:paraId="120FB356"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tcBorders>
              <w:bottom w:val="single" w:sz="4" w:space="0" w:color="auto"/>
            </w:tcBorders>
          </w:tcPr>
          <w:p w14:paraId="7F5F9C5E"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0</w:t>
            </w:r>
          </w:p>
        </w:tc>
      </w:tr>
      <w:tr w:rsidR="003A71DE" w:rsidRPr="007D0AFB" w14:paraId="549923C6" w14:textId="77777777" w:rsidTr="003A71DE">
        <w:trPr>
          <w:cantSplit/>
          <w:trHeight w:val="187"/>
          <w:jc w:val="center"/>
        </w:trPr>
        <w:tc>
          <w:tcPr>
            <w:tcW w:w="3539" w:type="dxa"/>
            <w:gridSpan w:val="2"/>
            <w:tcBorders>
              <w:left w:val="single" w:sz="4" w:space="0" w:color="auto"/>
              <w:bottom w:val="single" w:sz="4" w:space="0" w:color="auto"/>
            </w:tcBorders>
          </w:tcPr>
          <w:p w14:paraId="72ACC84F"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PBCH DMRS to SSS</w:t>
            </w:r>
          </w:p>
        </w:tc>
        <w:tc>
          <w:tcPr>
            <w:tcW w:w="709" w:type="dxa"/>
            <w:tcBorders>
              <w:bottom w:val="single" w:sz="4" w:space="0" w:color="auto"/>
            </w:tcBorders>
          </w:tcPr>
          <w:p w14:paraId="698D6C8B"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val="restart"/>
            <w:shd w:val="clear" w:color="auto" w:fill="auto"/>
          </w:tcPr>
          <w:p w14:paraId="7189F56C"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0</w:t>
            </w:r>
          </w:p>
        </w:tc>
      </w:tr>
      <w:tr w:rsidR="003A71DE" w:rsidRPr="007D0AFB" w14:paraId="404C5D2E" w14:textId="77777777" w:rsidTr="003A71DE">
        <w:trPr>
          <w:cantSplit/>
          <w:trHeight w:val="187"/>
          <w:jc w:val="center"/>
        </w:trPr>
        <w:tc>
          <w:tcPr>
            <w:tcW w:w="3539" w:type="dxa"/>
            <w:gridSpan w:val="2"/>
            <w:tcBorders>
              <w:left w:val="single" w:sz="4" w:space="0" w:color="auto"/>
              <w:bottom w:val="single" w:sz="4" w:space="0" w:color="auto"/>
            </w:tcBorders>
          </w:tcPr>
          <w:p w14:paraId="11FE405E"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PBCH to PBCH DMRS</w:t>
            </w:r>
          </w:p>
        </w:tc>
        <w:tc>
          <w:tcPr>
            <w:tcW w:w="709" w:type="dxa"/>
            <w:tcBorders>
              <w:bottom w:val="single" w:sz="4" w:space="0" w:color="auto"/>
            </w:tcBorders>
          </w:tcPr>
          <w:p w14:paraId="61F81D07"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shd w:val="clear" w:color="auto" w:fill="auto"/>
          </w:tcPr>
          <w:p w14:paraId="067E8F4E" w14:textId="77777777" w:rsidR="003A71DE" w:rsidRPr="007D0AFB" w:rsidRDefault="003A71DE" w:rsidP="003A71DE">
            <w:pPr>
              <w:keepNext/>
              <w:keepLines/>
              <w:spacing w:after="0"/>
              <w:jc w:val="center"/>
              <w:rPr>
                <w:rFonts w:ascii="Arial" w:eastAsia="SimSun" w:hAnsi="Arial"/>
                <w:sz w:val="18"/>
              </w:rPr>
            </w:pPr>
          </w:p>
        </w:tc>
      </w:tr>
      <w:tr w:rsidR="003A71DE" w:rsidRPr="007D0AFB" w14:paraId="4AFC60E0" w14:textId="77777777" w:rsidTr="003A71DE">
        <w:trPr>
          <w:cantSplit/>
          <w:trHeight w:val="187"/>
          <w:jc w:val="center"/>
        </w:trPr>
        <w:tc>
          <w:tcPr>
            <w:tcW w:w="3539" w:type="dxa"/>
            <w:gridSpan w:val="2"/>
            <w:tcBorders>
              <w:left w:val="single" w:sz="4" w:space="0" w:color="auto"/>
              <w:bottom w:val="single" w:sz="4" w:space="0" w:color="auto"/>
            </w:tcBorders>
          </w:tcPr>
          <w:p w14:paraId="4C9F903E"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PSS to SSS</w:t>
            </w:r>
          </w:p>
        </w:tc>
        <w:tc>
          <w:tcPr>
            <w:tcW w:w="709" w:type="dxa"/>
            <w:tcBorders>
              <w:bottom w:val="single" w:sz="4" w:space="0" w:color="auto"/>
            </w:tcBorders>
          </w:tcPr>
          <w:p w14:paraId="206D6EE5"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shd w:val="clear" w:color="auto" w:fill="auto"/>
          </w:tcPr>
          <w:p w14:paraId="21440EE6" w14:textId="77777777" w:rsidR="003A71DE" w:rsidRPr="007D0AFB" w:rsidRDefault="003A71DE" w:rsidP="003A71DE">
            <w:pPr>
              <w:keepNext/>
              <w:keepLines/>
              <w:spacing w:after="0"/>
              <w:jc w:val="center"/>
              <w:rPr>
                <w:rFonts w:ascii="Arial" w:eastAsia="SimSun" w:hAnsi="Arial"/>
                <w:sz w:val="18"/>
              </w:rPr>
            </w:pPr>
          </w:p>
        </w:tc>
      </w:tr>
      <w:tr w:rsidR="003A71DE" w:rsidRPr="007D0AFB" w14:paraId="3C752A0E" w14:textId="77777777" w:rsidTr="003A71DE">
        <w:trPr>
          <w:cantSplit/>
          <w:trHeight w:val="187"/>
          <w:jc w:val="center"/>
        </w:trPr>
        <w:tc>
          <w:tcPr>
            <w:tcW w:w="3539" w:type="dxa"/>
            <w:gridSpan w:val="2"/>
            <w:tcBorders>
              <w:left w:val="single" w:sz="4" w:space="0" w:color="auto"/>
              <w:bottom w:val="single" w:sz="4" w:space="0" w:color="auto"/>
            </w:tcBorders>
          </w:tcPr>
          <w:p w14:paraId="4F1D4A9D"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 xml:space="preserve">EPRE ratio of PDSCH DMRS to SSS </w:t>
            </w:r>
          </w:p>
        </w:tc>
        <w:tc>
          <w:tcPr>
            <w:tcW w:w="709" w:type="dxa"/>
            <w:tcBorders>
              <w:bottom w:val="single" w:sz="4" w:space="0" w:color="auto"/>
            </w:tcBorders>
          </w:tcPr>
          <w:p w14:paraId="31C44FB0"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shd w:val="clear" w:color="auto" w:fill="auto"/>
          </w:tcPr>
          <w:p w14:paraId="5331E6EE" w14:textId="77777777" w:rsidR="003A71DE" w:rsidRPr="007D0AFB" w:rsidRDefault="003A71DE" w:rsidP="003A71DE">
            <w:pPr>
              <w:keepNext/>
              <w:keepLines/>
              <w:spacing w:after="0"/>
              <w:jc w:val="center"/>
              <w:rPr>
                <w:rFonts w:ascii="Arial" w:eastAsia="SimSun" w:hAnsi="Arial"/>
                <w:sz w:val="18"/>
              </w:rPr>
            </w:pPr>
          </w:p>
        </w:tc>
      </w:tr>
      <w:tr w:rsidR="003A71DE" w:rsidRPr="007D0AFB" w14:paraId="7395AA59" w14:textId="77777777" w:rsidTr="003A71DE">
        <w:trPr>
          <w:cantSplit/>
          <w:trHeight w:val="187"/>
          <w:jc w:val="center"/>
        </w:trPr>
        <w:tc>
          <w:tcPr>
            <w:tcW w:w="3539" w:type="dxa"/>
            <w:gridSpan w:val="2"/>
            <w:tcBorders>
              <w:left w:val="single" w:sz="4" w:space="0" w:color="auto"/>
              <w:bottom w:val="single" w:sz="4" w:space="0" w:color="auto"/>
            </w:tcBorders>
          </w:tcPr>
          <w:p w14:paraId="75DB1CA5"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PDSCH to PDSCH DMRS</w:t>
            </w:r>
          </w:p>
        </w:tc>
        <w:tc>
          <w:tcPr>
            <w:tcW w:w="709" w:type="dxa"/>
            <w:tcBorders>
              <w:bottom w:val="single" w:sz="4" w:space="0" w:color="auto"/>
            </w:tcBorders>
          </w:tcPr>
          <w:p w14:paraId="71E6E3AB"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shd w:val="clear" w:color="auto" w:fill="auto"/>
          </w:tcPr>
          <w:p w14:paraId="41B90F88" w14:textId="77777777" w:rsidR="003A71DE" w:rsidRPr="007D0AFB" w:rsidRDefault="003A71DE" w:rsidP="003A71DE">
            <w:pPr>
              <w:keepNext/>
              <w:keepLines/>
              <w:spacing w:after="0"/>
              <w:jc w:val="center"/>
              <w:rPr>
                <w:rFonts w:ascii="Arial" w:eastAsia="SimSun" w:hAnsi="Arial"/>
                <w:sz w:val="18"/>
              </w:rPr>
            </w:pPr>
          </w:p>
        </w:tc>
      </w:tr>
      <w:tr w:rsidR="003A71DE" w:rsidRPr="007D0AFB" w14:paraId="09E3FDE1" w14:textId="77777777" w:rsidTr="003A71DE">
        <w:trPr>
          <w:cantSplit/>
          <w:trHeight w:val="187"/>
          <w:jc w:val="center"/>
        </w:trPr>
        <w:tc>
          <w:tcPr>
            <w:tcW w:w="3539" w:type="dxa"/>
            <w:gridSpan w:val="2"/>
            <w:tcBorders>
              <w:left w:val="single" w:sz="4" w:space="0" w:color="auto"/>
              <w:bottom w:val="single" w:sz="4" w:space="0" w:color="auto"/>
            </w:tcBorders>
          </w:tcPr>
          <w:p w14:paraId="4FB4FF48"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OCNG DMRS to SSS</w:t>
            </w:r>
          </w:p>
        </w:tc>
        <w:tc>
          <w:tcPr>
            <w:tcW w:w="709" w:type="dxa"/>
            <w:tcBorders>
              <w:bottom w:val="single" w:sz="4" w:space="0" w:color="auto"/>
            </w:tcBorders>
          </w:tcPr>
          <w:p w14:paraId="6DB25D2C"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shd w:val="clear" w:color="auto" w:fill="auto"/>
          </w:tcPr>
          <w:p w14:paraId="6EAD5007" w14:textId="77777777" w:rsidR="003A71DE" w:rsidRPr="007D0AFB" w:rsidRDefault="003A71DE" w:rsidP="003A71DE">
            <w:pPr>
              <w:keepNext/>
              <w:keepLines/>
              <w:spacing w:after="0"/>
              <w:jc w:val="center"/>
              <w:rPr>
                <w:rFonts w:ascii="Arial" w:eastAsia="SimSun" w:hAnsi="Arial"/>
                <w:sz w:val="18"/>
              </w:rPr>
            </w:pPr>
          </w:p>
        </w:tc>
      </w:tr>
      <w:tr w:rsidR="003A71DE" w:rsidRPr="007D0AFB" w14:paraId="32F253CF" w14:textId="77777777" w:rsidTr="003A71DE">
        <w:trPr>
          <w:cantSplit/>
          <w:trHeight w:val="187"/>
          <w:jc w:val="center"/>
        </w:trPr>
        <w:tc>
          <w:tcPr>
            <w:tcW w:w="3539" w:type="dxa"/>
            <w:gridSpan w:val="2"/>
            <w:tcBorders>
              <w:left w:val="single" w:sz="4" w:space="0" w:color="auto"/>
              <w:bottom w:val="single" w:sz="4" w:space="0" w:color="auto"/>
            </w:tcBorders>
          </w:tcPr>
          <w:p w14:paraId="0A8F526B"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OCNG to OCNG DMRS</w:t>
            </w:r>
          </w:p>
        </w:tc>
        <w:tc>
          <w:tcPr>
            <w:tcW w:w="709" w:type="dxa"/>
            <w:tcBorders>
              <w:bottom w:val="single" w:sz="4" w:space="0" w:color="auto"/>
            </w:tcBorders>
          </w:tcPr>
          <w:p w14:paraId="375996C2"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vMerge/>
            <w:shd w:val="clear" w:color="auto" w:fill="auto"/>
          </w:tcPr>
          <w:p w14:paraId="02F959B0" w14:textId="77777777" w:rsidR="003A71DE" w:rsidRPr="007D0AFB" w:rsidRDefault="003A71DE" w:rsidP="003A71DE">
            <w:pPr>
              <w:keepNext/>
              <w:keepLines/>
              <w:spacing w:after="0"/>
              <w:jc w:val="center"/>
              <w:rPr>
                <w:rFonts w:ascii="Arial" w:eastAsia="SimSun" w:hAnsi="Arial"/>
                <w:sz w:val="18"/>
              </w:rPr>
            </w:pPr>
          </w:p>
        </w:tc>
      </w:tr>
      <w:tr w:rsidR="003A71DE" w:rsidRPr="007D0AFB" w14:paraId="35D6EE87" w14:textId="77777777" w:rsidTr="003A71DE">
        <w:trPr>
          <w:cantSplit/>
          <w:trHeight w:val="187"/>
          <w:jc w:val="center"/>
        </w:trPr>
        <w:tc>
          <w:tcPr>
            <w:tcW w:w="1615" w:type="dxa"/>
            <w:tcBorders>
              <w:bottom w:val="nil"/>
            </w:tcBorders>
            <w:shd w:val="clear" w:color="auto" w:fill="auto"/>
          </w:tcPr>
          <w:p w14:paraId="1585FFC0"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rPr>
              <w:t>SNR on RLM-RS</w:t>
            </w:r>
          </w:p>
        </w:tc>
        <w:tc>
          <w:tcPr>
            <w:tcW w:w="1924" w:type="dxa"/>
          </w:tcPr>
          <w:p w14:paraId="50B1212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709" w:type="dxa"/>
            <w:vMerge w:val="restart"/>
            <w:shd w:val="clear" w:color="auto" w:fill="auto"/>
          </w:tcPr>
          <w:p w14:paraId="36526635"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836" w:type="dxa"/>
          </w:tcPr>
          <w:p w14:paraId="1227D533" w14:textId="77777777" w:rsidR="003A71DE" w:rsidRPr="007D0AFB" w:rsidRDefault="003A71DE" w:rsidP="003A71DE">
            <w:pPr>
              <w:keepNext/>
              <w:keepLines/>
              <w:spacing w:after="0"/>
              <w:jc w:val="center"/>
              <w:rPr>
                <w:rFonts w:ascii="Arial" w:eastAsia="MS Mincho" w:hAnsi="Arial"/>
                <w:sz w:val="18"/>
              </w:rPr>
            </w:pPr>
            <w:r w:rsidRPr="007D0AFB">
              <w:rPr>
                <w:rFonts w:ascii="Arial" w:eastAsia="MS Mincho" w:hAnsi="Arial"/>
                <w:sz w:val="18"/>
              </w:rPr>
              <w:t>1</w:t>
            </w:r>
          </w:p>
        </w:tc>
        <w:tc>
          <w:tcPr>
            <w:tcW w:w="918" w:type="dxa"/>
          </w:tcPr>
          <w:p w14:paraId="1D2AC61E" w14:textId="77777777" w:rsidR="003A71DE" w:rsidRPr="007D0AFB" w:rsidRDefault="003A71DE" w:rsidP="003A71DE">
            <w:pPr>
              <w:keepNext/>
              <w:keepLines/>
              <w:spacing w:after="0"/>
              <w:jc w:val="center"/>
              <w:rPr>
                <w:rFonts w:ascii="Arial" w:eastAsia="MS Mincho" w:hAnsi="Arial"/>
                <w:sz w:val="18"/>
              </w:rPr>
            </w:pPr>
            <w:r w:rsidRPr="007D0AFB">
              <w:rPr>
                <w:rFonts w:ascii="Arial" w:eastAsia="MS Mincho" w:hAnsi="Arial"/>
                <w:sz w:val="18"/>
              </w:rPr>
              <w:t>-7</w:t>
            </w:r>
          </w:p>
        </w:tc>
        <w:tc>
          <w:tcPr>
            <w:tcW w:w="918" w:type="dxa"/>
          </w:tcPr>
          <w:p w14:paraId="0CFF3668" w14:textId="77777777" w:rsidR="003A71DE" w:rsidRPr="007D0AFB" w:rsidRDefault="003A71DE" w:rsidP="003A71DE">
            <w:pPr>
              <w:keepNext/>
              <w:keepLines/>
              <w:spacing w:after="0"/>
              <w:jc w:val="center"/>
              <w:rPr>
                <w:rFonts w:ascii="Arial" w:eastAsia="MS Mincho" w:hAnsi="Arial"/>
                <w:sz w:val="18"/>
              </w:rPr>
            </w:pPr>
            <w:r w:rsidRPr="007D0AFB">
              <w:rPr>
                <w:rFonts w:ascii="Arial" w:eastAsia="MS Mincho" w:hAnsi="Arial"/>
                <w:sz w:val="18"/>
              </w:rPr>
              <w:t>-15</w:t>
            </w:r>
          </w:p>
        </w:tc>
      </w:tr>
      <w:tr w:rsidR="003A71DE" w:rsidRPr="007D0AFB" w14:paraId="39DF095D" w14:textId="77777777" w:rsidTr="003A71DE">
        <w:trPr>
          <w:cantSplit/>
          <w:trHeight w:val="187"/>
          <w:jc w:val="center"/>
        </w:trPr>
        <w:tc>
          <w:tcPr>
            <w:tcW w:w="1615" w:type="dxa"/>
            <w:tcBorders>
              <w:top w:val="nil"/>
              <w:bottom w:val="nil"/>
            </w:tcBorders>
            <w:shd w:val="clear" w:color="auto" w:fill="auto"/>
          </w:tcPr>
          <w:p w14:paraId="1189741B" w14:textId="77777777" w:rsidR="003A71DE" w:rsidRPr="007D0AFB" w:rsidRDefault="003A71DE" w:rsidP="003A71DE">
            <w:pPr>
              <w:keepNext/>
              <w:keepLines/>
              <w:spacing w:after="0"/>
              <w:rPr>
                <w:rFonts w:ascii="Arial" w:eastAsia="SimSun" w:hAnsi="Arial"/>
                <w:sz w:val="18"/>
              </w:rPr>
            </w:pPr>
          </w:p>
        </w:tc>
        <w:tc>
          <w:tcPr>
            <w:tcW w:w="1924" w:type="dxa"/>
          </w:tcPr>
          <w:p w14:paraId="6137F91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709" w:type="dxa"/>
            <w:vMerge/>
            <w:shd w:val="clear" w:color="auto" w:fill="auto"/>
          </w:tcPr>
          <w:p w14:paraId="3B5BB38F" w14:textId="77777777" w:rsidR="003A71DE" w:rsidRPr="007D0AFB" w:rsidRDefault="003A71DE" w:rsidP="003A71DE">
            <w:pPr>
              <w:keepNext/>
              <w:keepLines/>
              <w:spacing w:after="0"/>
              <w:jc w:val="center"/>
              <w:rPr>
                <w:rFonts w:ascii="Arial" w:eastAsia="SimSun" w:hAnsi="Arial"/>
                <w:sz w:val="18"/>
              </w:rPr>
            </w:pPr>
          </w:p>
        </w:tc>
        <w:tc>
          <w:tcPr>
            <w:tcW w:w="836" w:type="dxa"/>
          </w:tcPr>
          <w:p w14:paraId="4804445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c>
          <w:tcPr>
            <w:tcW w:w="918" w:type="dxa"/>
          </w:tcPr>
          <w:p w14:paraId="66BFDF0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-7</w:t>
            </w:r>
          </w:p>
        </w:tc>
        <w:tc>
          <w:tcPr>
            <w:tcW w:w="918" w:type="dxa"/>
          </w:tcPr>
          <w:p w14:paraId="69DC0CA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-15</w:t>
            </w:r>
          </w:p>
        </w:tc>
      </w:tr>
      <w:tr w:rsidR="003A71DE" w:rsidRPr="007D0AFB" w14:paraId="624005E8" w14:textId="77777777" w:rsidTr="003A71DE">
        <w:trPr>
          <w:cantSplit/>
          <w:trHeight w:val="187"/>
          <w:jc w:val="center"/>
        </w:trPr>
        <w:tc>
          <w:tcPr>
            <w:tcW w:w="1615" w:type="dxa"/>
            <w:tcBorders>
              <w:top w:val="nil"/>
            </w:tcBorders>
            <w:shd w:val="clear" w:color="auto" w:fill="auto"/>
          </w:tcPr>
          <w:p w14:paraId="3C76F752" w14:textId="77777777" w:rsidR="003A71DE" w:rsidRPr="007D0AFB" w:rsidRDefault="003A71DE" w:rsidP="003A71DE">
            <w:pPr>
              <w:keepNext/>
              <w:keepLines/>
              <w:spacing w:after="0"/>
              <w:rPr>
                <w:rFonts w:ascii="Arial" w:eastAsia="SimSun" w:hAnsi="Arial"/>
                <w:sz w:val="18"/>
              </w:rPr>
            </w:pPr>
          </w:p>
        </w:tc>
        <w:tc>
          <w:tcPr>
            <w:tcW w:w="1924" w:type="dxa"/>
          </w:tcPr>
          <w:p w14:paraId="3AFAEA0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3</w:t>
            </w:r>
          </w:p>
        </w:tc>
        <w:tc>
          <w:tcPr>
            <w:tcW w:w="709" w:type="dxa"/>
            <w:vMerge/>
            <w:shd w:val="clear" w:color="auto" w:fill="auto"/>
          </w:tcPr>
          <w:p w14:paraId="46F08481" w14:textId="77777777" w:rsidR="003A71DE" w:rsidRPr="007D0AFB" w:rsidRDefault="003A71DE" w:rsidP="003A71DE">
            <w:pPr>
              <w:keepNext/>
              <w:keepLines/>
              <w:spacing w:after="0"/>
              <w:jc w:val="center"/>
              <w:rPr>
                <w:rFonts w:ascii="Arial" w:eastAsia="SimSun" w:hAnsi="Arial"/>
                <w:sz w:val="18"/>
              </w:rPr>
            </w:pPr>
          </w:p>
        </w:tc>
        <w:tc>
          <w:tcPr>
            <w:tcW w:w="836" w:type="dxa"/>
          </w:tcPr>
          <w:p w14:paraId="141815A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c>
          <w:tcPr>
            <w:tcW w:w="918" w:type="dxa"/>
          </w:tcPr>
          <w:p w14:paraId="7B03FB9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-7</w:t>
            </w:r>
          </w:p>
        </w:tc>
        <w:tc>
          <w:tcPr>
            <w:tcW w:w="918" w:type="dxa"/>
          </w:tcPr>
          <w:p w14:paraId="62D6B73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-15</w:t>
            </w:r>
          </w:p>
        </w:tc>
      </w:tr>
      <w:tr w:rsidR="003A71DE" w:rsidRPr="007D0AFB" w14:paraId="045689B7" w14:textId="77777777" w:rsidTr="003A71DE">
        <w:trPr>
          <w:cantSplit/>
          <w:trHeight w:val="187"/>
          <w:jc w:val="center"/>
        </w:trPr>
        <w:tc>
          <w:tcPr>
            <w:tcW w:w="1615" w:type="dxa"/>
            <w:tcBorders>
              <w:bottom w:val="single" w:sz="4" w:space="0" w:color="auto"/>
            </w:tcBorders>
          </w:tcPr>
          <w:p w14:paraId="4D2F8D51"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zh-CN"/>
              </w:rPr>
              <w:t>SNR on other channels and signals</w:t>
            </w:r>
          </w:p>
        </w:tc>
        <w:tc>
          <w:tcPr>
            <w:tcW w:w="1924" w:type="dxa"/>
          </w:tcPr>
          <w:p w14:paraId="344D35D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 2, 3</w:t>
            </w:r>
          </w:p>
        </w:tc>
        <w:tc>
          <w:tcPr>
            <w:tcW w:w="709" w:type="dxa"/>
            <w:tcBorders>
              <w:bottom w:val="single" w:sz="4" w:space="0" w:color="auto"/>
            </w:tcBorders>
          </w:tcPr>
          <w:p w14:paraId="11166127"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72" w:type="dxa"/>
            <w:gridSpan w:val="3"/>
          </w:tcPr>
          <w:p w14:paraId="2299E0EC" w14:textId="77777777" w:rsidR="003A71DE" w:rsidRPr="007D0AFB" w:rsidRDefault="003A71DE" w:rsidP="003A71DE">
            <w:pPr>
              <w:keepNext/>
              <w:keepLines/>
              <w:spacing w:after="0"/>
              <w:jc w:val="center"/>
              <w:rPr>
                <w:rFonts w:ascii="Arial" w:eastAsia="MS Mincho" w:hAnsi="Arial"/>
                <w:sz w:val="18"/>
              </w:rPr>
            </w:pPr>
            <w:r w:rsidRPr="007D0AFB">
              <w:rPr>
                <w:rFonts w:ascii="Arial" w:eastAsia="SimSun" w:hAnsi="Arial"/>
                <w:sz w:val="18"/>
              </w:rPr>
              <w:t>1</w:t>
            </w:r>
          </w:p>
        </w:tc>
      </w:tr>
      <w:tr w:rsidR="003A71DE" w:rsidRPr="007D0AFB" w14:paraId="7FDCC246" w14:textId="77777777" w:rsidTr="003A71DE">
        <w:trPr>
          <w:cantSplit/>
          <w:trHeight w:val="187"/>
          <w:jc w:val="center"/>
        </w:trPr>
        <w:tc>
          <w:tcPr>
            <w:tcW w:w="1615" w:type="dxa"/>
            <w:vMerge w:val="restart"/>
            <w:shd w:val="clear" w:color="auto" w:fill="auto"/>
          </w:tcPr>
          <w:p w14:paraId="06EDEC01" w14:textId="77777777" w:rsidR="003A71DE" w:rsidRPr="007D0AFB" w:rsidRDefault="003A71DE" w:rsidP="003A71DE">
            <w:pPr>
              <w:keepNext/>
              <w:keepLines/>
              <w:spacing w:after="0"/>
              <w:rPr>
                <w:rFonts w:ascii="Arial" w:eastAsia="SimSun" w:hAnsi="Arial"/>
                <w:sz w:val="18"/>
              </w:rPr>
            </w:pPr>
            <w:r w:rsidRPr="007D0AFB">
              <w:rPr>
                <w:rFonts w:ascii="Arial" w:eastAsia="SimSun" w:hAnsi="Arial"/>
                <w:position w:val="-12"/>
                <w:sz w:val="18"/>
              </w:rPr>
              <w:object w:dxaOrig="420" w:dyaOrig="360" w14:anchorId="390321AB">
                <v:shape id="_x0000_i1091" type="#_x0000_t75" style="width:22.15pt;height:22.15pt" o:ole="" fillcolor="window">
                  <v:imagedata r:id="rId114" o:title=""/>
                </v:shape>
                <o:OLEObject Type="Embed" ProgID="Equation.3" ShapeID="_x0000_i1091" DrawAspect="Content" ObjectID="_1734764471" r:id="rId115"/>
              </w:object>
            </w:r>
          </w:p>
        </w:tc>
        <w:tc>
          <w:tcPr>
            <w:tcW w:w="1924" w:type="dxa"/>
          </w:tcPr>
          <w:p w14:paraId="7083908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709" w:type="dxa"/>
            <w:vMerge w:val="restart"/>
            <w:shd w:val="clear" w:color="auto" w:fill="auto"/>
          </w:tcPr>
          <w:p w14:paraId="024C13F7"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dBm/SCS</w:t>
            </w:r>
          </w:p>
        </w:tc>
        <w:tc>
          <w:tcPr>
            <w:tcW w:w="2672" w:type="dxa"/>
            <w:gridSpan w:val="3"/>
          </w:tcPr>
          <w:p w14:paraId="3BA68F85"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-98</w:t>
            </w:r>
          </w:p>
        </w:tc>
      </w:tr>
      <w:tr w:rsidR="003A71DE" w:rsidRPr="007D0AFB" w14:paraId="042BB36F" w14:textId="77777777" w:rsidTr="003A71DE">
        <w:trPr>
          <w:cantSplit/>
          <w:trHeight w:val="187"/>
          <w:jc w:val="center"/>
        </w:trPr>
        <w:tc>
          <w:tcPr>
            <w:tcW w:w="1615" w:type="dxa"/>
            <w:vMerge/>
            <w:shd w:val="clear" w:color="auto" w:fill="auto"/>
          </w:tcPr>
          <w:p w14:paraId="5315E9EB" w14:textId="77777777" w:rsidR="003A71DE" w:rsidRPr="007D0AFB" w:rsidRDefault="003A71DE" w:rsidP="003A71DE">
            <w:pPr>
              <w:keepNext/>
              <w:keepLines/>
              <w:spacing w:after="0"/>
              <w:rPr>
                <w:rFonts w:ascii="Arial" w:eastAsia="SimSun" w:hAnsi="Arial"/>
                <w:sz w:val="18"/>
              </w:rPr>
            </w:pPr>
          </w:p>
        </w:tc>
        <w:tc>
          <w:tcPr>
            <w:tcW w:w="1924" w:type="dxa"/>
          </w:tcPr>
          <w:p w14:paraId="0ABBCB3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709" w:type="dxa"/>
            <w:vMerge/>
            <w:shd w:val="clear" w:color="auto" w:fill="auto"/>
          </w:tcPr>
          <w:p w14:paraId="616EE313" w14:textId="77777777" w:rsidR="003A71DE" w:rsidRPr="007D0AFB" w:rsidRDefault="003A71DE" w:rsidP="003A71DE">
            <w:pPr>
              <w:keepNext/>
              <w:keepLines/>
              <w:spacing w:after="0"/>
              <w:jc w:val="center"/>
              <w:rPr>
                <w:rFonts w:ascii="Arial" w:eastAsia="SimSun" w:hAnsi="Arial"/>
                <w:sz w:val="18"/>
              </w:rPr>
            </w:pPr>
          </w:p>
        </w:tc>
        <w:tc>
          <w:tcPr>
            <w:tcW w:w="2672" w:type="dxa"/>
            <w:gridSpan w:val="3"/>
          </w:tcPr>
          <w:p w14:paraId="760A4CA8"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-95</w:t>
            </w:r>
          </w:p>
        </w:tc>
      </w:tr>
      <w:tr w:rsidR="003A71DE" w:rsidRPr="007D0AFB" w14:paraId="02B5EC4F" w14:textId="77777777" w:rsidTr="003A71DE">
        <w:trPr>
          <w:cantSplit/>
          <w:trHeight w:val="187"/>
          <w:jc w:val="center"/>
        </w:trPr>
        <w:tc>
          <w:tcPr>
            <w:tcW w:w="3539" w:type="dxa"/>
            <w:gridSpan w:val="2"/>
          </w:tcPr>
          <w:p w14:paraId="1B8F5A1B" w14:textId="77777777" w:rsidR="003A71DE" w:rsidRPr="007D0AFB" w:rsidRDefault="003A71DE" w:rsidP="003A71DE">
            <w:pPr>
              <w:keepNext/>
              <w:keepLines/>
              <w:spacing w:after="0"/>
              <w:rPr>
                <w:rFonts w:ascii="Arial" w:eastAsia="SimSun" w:hAnsi="Arial"/>
                <w:sz w:val="18"/>
              </w:rPr>
            </w:pPr>
            <w:r w:rsidRPr="007D0AFB">
              <w:rPr>
                <w:rFonts w:ascii="Arial" w:eastAsia="?? ??" w:hAnsi="Arial"/>
                <w:sz w:val="18"/>
              </w:rPr>
              <w:t>Propagation condition</w:t>
            </w:r>
          </w:p>
        </w:tc>
        <w:tc>
          <w:tcPr>
            <w:tcW w:w="709" w:type="dxa"/>
          </w:tcPr>
          <w:p w14:paraId="65807ACC" w14:textId="77777777" w:rsidR="003A71DE" w:rsidRPr="007D0AFB" w:rsidRDefault="003A71DE" w:rsidP="003A71DE">
            <w:pPr>
              <w:keepNext/>
              <w:keepLines/>
              <w:spacing w:after="0"/>
              <w:jc w:val="center"/>
              <w:rPr>
                <w:rFonts w:ascii="Arial" w:eastAsia="SimSun" w:hAnsi="Arial"/>
                <w:sz w:val="18"/>
              </w:rPr>
            </w:pPr>
          </w:p>
        </w:tc>
        <w:tc>
          <w:tcPr>
            <w:tcW w:w="2672" w:type="dxa"/>
            <w:gridSpan w:val="3"/>
          </w:tcPr>
          <w:p w14:paraId="0CF3DEC5" w14:textId="77777777" w:rsidR="003A71DE" w:rsidRPr="007D0AFB" w:rsidRDefault="003A71DE" w:rsidP="003A71DE">
            <w:pPr>
              <w:keepNext/>
              <w:keepLines/>
              <w:spacing w:after="0"/>
              <w:jc w:val="center"/>
              <w:rPr>
                <w:rFonts w:ascii="Arial" w:eastAsia="MS Mincho" w:hAnsi="Arial"/>
                <w:sz w:val="18"/>
              </w:rPr>
            </w:pPr>
            <w:r w:rsidRPr="007D0AFB">
              <w:rPr>
                <w:rFonts w:ascii="Arial" w:eastAsia="MS Mincho" w:hAnsi="Arial"/>
                <w:sz w:val="18"/>
              </w:rPr>
              <w:t>TDL-C 300ns 100Hz</w:t>
            </w:r>
          </w:p>
        </w:tc>
      </w:tr>
      <w:tr w:rsidR="003A71DE" w:rsidRPr="007D0AFB" w14:paraId="6762C9E8" w14:textId="77777777" w:rsidTr="003A71DE">
        <w:trPr>
          <w:cantSplit/>
          <w:trHeight w:val="187"/>
          <w:jc w:val="center"/>
        </w:trPr>
        <w:tc>
          <w:tcPr>
            <w:tcW w:w="6920" w:type="dxa"/>
            <w:gridSpan w:val="6"/>
          </w:tcPr>
          <w:p w14:paraId="183743C8" w14:textId="77777777" w:rsidR="003A71DE" w:rsidRPr="007D0AFB" w:rsidRDefault="003A71DE" w:rsidP="00A40F90">
            <w:pPr>
              <w:pStyle w:val="TAN"/>
              <w:rPr>
                <w:rFonts w:eastAsia="SimSun"/>
              </w:rPr>
            </w:pPr>
            <w:r w:rsidRPr="007D0AFB">
              <w:rPr>
                <w:rFonts w:eastAsia="SimSun"/>
              </w:rPr>
              <w:t>Note 1:</w:t>
            </w:r>
            <w:r w:rsidRPr="007D0AFB">
              <w:rPr>
                <w:rFonts w:eastAsia="SimSun"/>
              </w:rPr>
              <w:tab/>
              <w:t>OCNG shall be used such that the resources in Cell 1 are fully allocated and a constant total transmitted power spectral density is achieved for all OFDM symbols.</w:t>
            </w:r>
          </w:p>
          <w:p w14:paraId="1B30022A" w14:textId="77777777" w:rsidR="003A71DE" w:rsidRPr="007D0AFB" w:rsidRDefault="003A71DE" w:rsidP="00A40F90">
            <w:pPr>
              <w:pStyle w:val="TAN"/>
              <w:rPr>
                <w:rFonts w:eastAsia="SimSun"/>
              </w:rPr>
            </w:pPr>
            <w:r w:rsidRPr="007D0AFB">
              <w:rPr>
                <w:rFonts w:eastAsia="SimSun"/>
              </w:rPr>
              <w:t>Note 2:</w:t>
            </w:r>
            <w:r w:rsidRPr="007D0AFB">
              <w:rPr>
                <w:rFonts w:eastAsia="SimSun"/>
              </w:rPr>
              <w:tab/>
              <w:t>The signal contains PDCCH for IAB-MTs other than the device under test as part of OCNG.</w:t>
            </w:r>
          </w:p>
          <w:p w14:paraId="1BCFB9B6" w14:textId="77777777" w:rsidR="003A71DE" w:rsidRPr="007D0AFB" w:rsidRDefault="003A71DE" w:rsidP="00A40F90">
            <w:pPr>
              <w:pStyle w:val="TAN"/>
              <w:rPr>
                <w:rFonts w:eastAsia="SimSun"/>
              </w:rPr>
            </w:pPr>
            <w:r w:rsidRPr="007D0AFB">
              <w:rPr>
                <w:rFonts w:eastAsia="SimSun"/>
              </w:rPr>
              <w:t>Note 3:</w:t>
            </w:r>
            <w:r w:rsidRPr="007D0AFB">
              <w:rPr>
                <w:rFonts w:eastAsia="SimSun"/>
              </w:rPr>
              <w:tab/>
              <w:t>SNR levels correspond to the signal to noise ratio over the SSS REs.</w:t>
            </w:r>
          </w:p>
          <w:p w14:paraId="0B14344B" w14:textId="77777777" w:rsidR="003A71DE" w:rsidRPr="007D0AFB" w:rsidRDefault="003A71DE" w:rsidP="00A40F90">
            <w:pPr>
              <w:pStyle w:val="TAN"/>
              <w:rPr>
                <w:rFonts w:eastAsia="SimSun"/>
              </w:rPr>
            </w:pPr>
            <w:r w:rsidRPr="007D0AFB">
              <w:rPr>
                <w:rFonts w:eastAsia="SimSun"/>
              </w:rPr>
              <w:t>Note 4:</w:t>
            </w:r>
            <w:r w:rsidRPr="007D0AFB">
              <w:rPr>
                <w:rFonts w:eastAsia="SimSun"/>
              </w:rPr>
              <w:tab/>
              <w:t>The SNR in time periods T1, T2 and T3 is denoted as SNR1, SNR2 and SNR3 respectively in Figure G.2.3.1.1.1-1.</w:t>
            </w:r>
          </w:p>
          <w:p w14:paraId="2126C510" w14:textId="6C646A68" w:rsidR="003A71DE" w:rsidRPr="007D0AFB" w:rsidRDefault="00D87F11" w:rsidP="00A40F90">
            <w:pPr>
              <w:pStyle w:val="TAN"/>
              <w:rPr>
                <w:rFonts w:eastAsia="SimSun"/>
                <w:snapToGrid w:val="0"/>
              </w:rPr>
            </w:pPr>
            <w:r w:rsidRPr="007D0AFB">
              <w:rPr>
                <w:rFonts w:eastAsia="SimSun"/>
              </w:rPr>
              <w:t>Note 5:</w:t>
            </w:r>
            <w:r w:rsidRPr="007D0AFB">
              <w:rPr>
                <w:rFonts w:eastAsia="MS Mincho"/>
                <w:snapToGrid w:val="0"/>
              </w:rPr>
              <w:tab/>
            </w:r>
            <w:r w:rsidRPr="007D0AFB">
              <w:rPr>
                <w:rFonts w:eastAsia="SimSun"/>
              </w:rPr>
              <w:t xml:space="preserve">The SNR values are specified for testing an IAB-MT which supports 2RX on at least one band. For testing of an IAB-MT which supports 4RX on all bands, the SNR during T3 is </w:t>
            </w:r>
            <w:r>
              <w:rPr>
                <w:rFonts w:eastAsia="SimSun"/>
              </w:rPr>
              <w:t>defined in clause G.1.3</w:t>
            </w:r>
          </w:p>
        </w:tc>
      </w:tr>
    </w:tbl>
    <w:p w14:paraId="53E8B3FA" w14:textId="77777777" w:rsidR="003A71DE" w:rsidRPr="007D0AFB" w:rsidRDefault="003A71DE" w:rsidP="003A71DE">
      <w:pPr>
        <w:rPr>
          <w:rFonts w:eastAsia="SimSun"/>
        </w:rPr>
      </w:pPr>
    </w:p>
    <w:p w14:paraId="214D70D6" w14:textId="77777777" w:rsidR="003A71DE" w:rsidRPr="007D0AFB" w:rsidRDefault="003A71DE" w:rsidP="00746C0D">
      <w:pPr>
        <w:pStyle w:val="TH"/>
        <w:rPr>
          <w:rFonts w:eastAsia="SimSun"/>
        </w:rPr>
      </w:pPr>
      <w:r w:rsidRPr="007D0AFB">
        <w:rPr>
          <w:rFonts w:eastAsia="SimSun"/>
          <w:noProof/>
          <w:lang w:eastAsia="zh-CN"/>
        </w:rPr>
        <w:drawing>
          <wp:inline distT="0" distB="0" distL="0" distR="0" wp14:anchorId="70DEC96E" wp14:editId="2DE285E3">
            <wp:extent cx="3917950" cy="2372151"/>
            <wp:effectExtent l="0" t="0" r="6350" b="9525"/>
            <wp:docPr id="3136" name="圖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cstate="print"/>
                    <a:stretch>
                      <a:fillRect/>
                    </a:stretch>
                  </pic:blipFill>
                  <pic:spPr>
                    <a:xfrm>
                      <a:off x="0" y="0"/>
                      <a:ext cx="3933515" cy="2381575"/>
                    </a:xfrm>
                    <a:prstGeom prst="rect">
                      <a:avLst/>
                    </a:prstGeom>
                  </pic:spPr>
                </pic:pic>
              </a:graphicData>
            </a:graphic>
          </wp:inline>
        </w:drawing>
      </w:r>
    </w:p>
    <w:p w14:paraId="32EE949D" w14:textId="77777777" w:rsidR="003A71DE" w:rsidRPr="007D0AFB" w:rsidRDefault="003A71DE" w:rsidP="00746C0D">
      <w:pPr>
        <w:pStyle w:val="TF"/>
        <w:rPr>
          <w:rFonts w:eastAsia="SimSun"/>
        </w:rPr>
      </w:pPr>
      <w:r w:rsidRPr="007D0AFB">
        <w:rPr>
          <w:rFonts w:eastAsia="SimSun"/>
        </w:rPr>
        <w:t>Figure G.2.3.1.1.1-1: SNR variation for out-of-sync testing</w:t>
      </w:r>
    </w:p>
    <w:p w14:paraId="05C820D5" w14:textId="77777777" w:rsidR="003A71DE" w:rsidRPr="007D0AFB" w:rsidRDefault="003A71DE" w:rsidP="00746C0D">
      <w:pPr>
        <w:pStyle w:val="H6"/>
        <w:rPr>
          <w:rFonts w:eastAsia="SimSun"/>
          <w:snapToGrid w:val="0"/>
        </w:rPr>
      </w:pPr>
      <w:bookmarkStart w:id="10263" w:name="_Toc535476529"/>
      <w:r w:rsidRPr="007D0AFB">
        <w:rPr>
          <w:rFonts w:eastAsia="SimSun"/>
          <w:snapToGrid w:val="0"/>
        </w:rPr>
        <w:t>G.2.3.1.1.2</w:t>
      </w:r>
      <w:r w:rsidRPr="007D0AFB">
        <w:rPr>
          <w:rFonts w:eastAsia="SimSun"/>
          <w:snapToGrid w:val="0"/>
        </w:rPr>
        <w:tab/>
        <w:t>Test Requirements</w:t>
      </w:r>
      <w:bookmarkEnd w:id="10263"/>
    </w:p>
    <w:p w14:paraId="69A03E07" w14:textId="77777777" w:rsidR="003A71DE" w:rsidRPr="007D0AFB" w:rsidRDefault="003A71DE" w:rsidP="003A71DE">
      <w:pPr>
        <w:rPr>
          <w:rFonts w:eastAsia="SimSun"/>
        </w:rPr>
      </w:pPr>
      <w:r w:rsidRPr="007D0AFB">
        <w:rPr>
          <w:rFonts w:eastAsia="SimSun"/>
        </w:rPr>
        <w:t>The IAB-MT behaviour in each test during time durations T1, T2 and T3 shall be as follows:</w:t>
      </w:r>
    </w:p>
    <w:p w14:paraId="43788AA7" w14:textId="77777777" w:rsidR="003A71DE" w:rsidRPr="007D0AFB" w:rsidRDefault="003A71DE" w:rsidP="003A71DE">
      <w:pPr>
        <w:rPr>
          <w:rFonts w:eastAsia="SimSun"/>
        </w:rPr>
      </w:pPr>
      <w:r w:rsidRPr="007D0AFB">
        <w:rPr>
          <w:rFonts w:eastAsia="SimSun"/>
        </w:rPr>
        <w:t>During the period from time point A to time point B the IAB-MT shall transmit uplink signal at least in all uplink slots configured for CSI transmission according to the configured periodic CSI reporting.</w:t>
      </w:r>
    </w:p>
    <w:p w14:paraId="026C0908" w14:textId="77777777" w:rsidR="003A71DE" w:rsidRPr="007D0AFB" w:rsidRDefault="003A71DE" w:rsidP="003A71DE">
      <w:pPr>
        <w:rPr>
          <w:rFonts w:eastAsia="SimSun"/>
        </w:rPr>
      </w:pPr>
      <w:r w:rsidRPr="007D0AFB">
        <w:rPr>
          <w:rFonts w:eastAsia="SimSun"/>
        </w:rPr>
        <w:lastRenderedPageBreak/>
        <w:t>The IAB-MT shall stop transmitting uplink signal no later than time point C (D1 second after the start of the time duration T3).</w:t>
      </w:r>
    </w:p>
    <w:p w14:paraId="05A31BA7" w14:textId="77777777" w:rsidR="003A71DE" w:rsidRPr="007D0AFB" w:rsidRDefault="003A71DE" w:rsidP="003A71DE">
      <w:pPr>
        <w:rPr>
          <w:rFonts w:eastAsia="SimSun"/>
        </w:rPr>
      </w:pPr>
      <w:r w:rsidRPr="007D0AFB">
        <w:rPr>
          <w:rFonts w:eastAsia="SimSun"/>
        </w:rPr>
        <w:t>The rate of correct events observed during repeated tests shall be at least 90%.</w:t>
      </w:r>
    </w:p>
    <w:p w14:paraId="5D687B6F" w14:textId="77777777" w:rsidR="003A71DE" w:rsidRPr="007D0AFB" w:rsidRDefault="003A71DE" w:rsidP="00746C0D">
      <w:pPr>
        <w:pStyle w:val="Heading5"/>
        <w:rPr>
          <w:rFonts w:eastAsia="SimSun"/>
        </w:rPr>
      </w:pPr>
      <w:bookmarkStart w:id="10264" w:name="_Toc535476530"/>
      <w:bookmarkStart w:id="10265" w:name="_Toc74583682"/>
      <w:bookmarkStart w:id="10266" w:name="_Toc76542495"/>
      <w:bookmarkStart w:id="10267" w:name="_Toc82450477"/>
      <w:bookmarkStart w:id="10268" w:name="_Toc82451125"/>
      <w:bookmarkStart w:id="10269" w:name="_Toc89949514"/>
      <w:bookmarkStart w:id="10270" w:name="_Toc98755903"/>
      <w:bookmarkStart w:id="10271" w:name="_Toc98763495"/>
      <w:bookmarkStart w:id="10272" w:name="_Toc106184424"/>
      <w:r w:rsidRPr="007D0AFB">
        <w:rPr>
          <w:rFonts w:eastAsia="SimSun"/>
        </w:rPr>
        <w:t>G.2.3.1.2</w:t>
      </w:r>
      <w:r w:rsidRPr="007D0AFB">
        <w:rPr>
          <w:rFonts w:eastAsia="SimSun"/>
        </w:rPr>
        <w:tab/>
        <w:t>Radio Link Monitoring In-sync Test for FR1 PCell configured with SSB-based RLM RS in non-DRX mode</w:t>
      </w:r>
      <w:bookmarkEnd w:id="10264"/>
      <w:bookmarkEnd w:id="10265"/>
      <w:bookmarkEnd w:id="10266"/>
      <w:bookmarkEnd w:id="10267"/>
      <w:bookmarkEnd w:id="10268"/>
      <w:bookmarkEnd w:id="10269"/>
      <w:bookmarkEnd w:id="10270"/>
      <w:bookmarkEnd w:id="10271"/>
      <w:bookmarkEnd w:id="10272"/>
    </w:p>
    <w:p w14:paraId="0C5430C7" w14:textId="77777777" w:rsidR="003A71DE" w:rsidRPr="007D0AFB" w:rsidRDefault="003A71DE" w:rsidP="00746C0D">
      <w:pPr>
        <w:pStyle w:val="H6"/>
        <w:rPr>
          <w:rFonts w:eastAsia="SimSun"/>
          <w:snapToGrid w:val="0"/>
          <w:lang w:eastAsia="zh-CN"/>
        </w:rPr>
      </w:pPr>
      <w:bookmarkStart w:id="10273" w:name="_Toc535476531"/>
      <w:r w:rsidRPr="007D0AFB">
        <w:rPr>
          <w:rFonts w:eastAsia="SimSun"/>
          <w:snapToGrid w:val="0"/>
          <w:lang w:eastAsia="zh-CN"/>
        </w:rPr>
        <w:t>G.2.3.1.2.1</w:t>
      </w:r>
      <w:r w:rsidRPr="007D0AFB">
        <w:rPr>
          <w:rFonts w:eastAsia="SimSun"/>
          <w:snapToGrid w:val="0"/>
          <w:lang w:eastAsia="zh-CN"/>
        </w:rPr>
        <w:tab/>
        <w:t>Test Purpose and Environment</w:t>
      </w:r>
      <w:bookmarkEnd w:id="10273"/>
    </w:p>
    <w:p w14:paraId="14DFF639" w14:textId="77777777" w:rsidR="003A71DE" w:rsidRPr="007D0AFB" w:rsidRDefault="003A71DE" w:rsidP="003A71DE">
      <w:pPr>
        <w:rPr>
          <w:rFonts w:eastAsia="SimSun"/>
        </w:rPr>
      </w:pPr>
      <w:r w:rsidRPr="007D0AFB">
        <w:rPr>
          <w:rFonts w:eastAsia="SimSun"/>
        </w:rPr>
        <w:t>The purpose of this test is to verify that the IAB-MT properly detects the out of sync and in sync for the purpose of monitoring downlink radio link quality of the PCell. This test will partly verify the FR1 radio link monitoring requirements in clause 12.3.1.</w:t>
      </w:r>
    </w:p>
    <w:p w14:paraId="6EF59776" w14:textId="77777777" w:rsidR="003A71DE" w:rsidRPr="007D0AFB" w:rsidRDefault="003A71DE" w:rsidP="003A71DE">
      <w:pPr>
        <w:rPr>
          <w:rFonts w:eastAsia="SimSun"/>
        </w:rPr>
      </w:pPr>
      <w:r w:rsidRPr="007D0AFB">
        <w:rPr>
          <w:rFonts w:eastAsia="SimSun"/>
        </w:rPr>
        <w:t xml:space="preserve">In the test, IAB-MT is configured to perform RLM on SSB, with </w:t>
      </w:r>
      <w:r w:rsidRPr="007D0AFB">
        <w:rPr>
          <w:rFonts w:eastAsia="SimSun"/>
          <w:i/>
        </w:rPr>
        <w:t>detectionResource</w:t>
      </w:r>
      <w:r w:rsidRPr="007D0AFB">
        <w:rPr>
          <w:rFonts w:eastAsia="SimSun"/>
        </w:rPr>
        <w:t xml:space="preserve"> included in </w:t>
      </w:r>
      <w:r w:rsidRPr="007D0AFB">
        <w:rPr>
          <w:rFonts w:eastAsia="SimSun"/>
          <w:i/>
        </w:rPr>
        <w:t>RadioLinkMonitoringRS</w:t>
      </w:r>
      <w:r w:rsidRPr="007D0AFB">
        <w:rPr>
          <w:rFonts w:eastAsia="SimSun"/>
        </w:rPr>
        <w:t xml:space="preserve"> set to SSB#0 and SSB#1, and </w:t>
      </w:r>
      <w:r w:rsidRPr="007D0AFB">
        <w:rPr>
          <w:rFonts w:eastAsia="SimSun"/>
          <w:i/>
        </w:rPr>
        <w:t>purpose</w:t>
      </w:r>
      <w:r w:rsidRPr="007D0AFB">
        <w:rPr>
          <w:rFonts w:eastAsia="SimSun"/>
        </w:rPr>
        <w:t xml:space="preserve"> set to ‘</w:t>
      </w:r>
      <w:r w:rsidRPr="007D0AFB">
        <w:rPr>
          <w:rFonts w:eastAsia="SimSun"/>
          <w:i/>
        </w:rPr>
        <w:t>rlf</w:t>
      </w:r>
      <w:r w:rsidRPr="007D0AFB">
        <w:rPr>
          <w:rFonts w:eastAsia="SimSun"/>
        </w:rPr>
        <w:t xml:space="preserve">’. Supported test configurations are shown in table G.2.3.1.2.1-1. The test parameters are given in Tables G.2.3.1.2.1-2, and G.2.3.1.2.1-3 below. There is one cell (Cell 1), which is the active cell, in the test. The test consists of five successive time periods, with time duration of T1, T2, T3, T4 and T5 respectively. Figure G.2.3.1.2.1-1 shows the variation of the downlink SNR in the active cell to emulate out-of-sync and in-sync states. Prior to the start of the time duration T1, the IAB-MT shall be fully synchronized to Cell 1. Prior to the start of the time duration T1, the IAB-MT shall be fully synchronized to Cell 1. The IAB-MT shall be configured for periodic CSI reporting with a reporting periodicity of 5 ms. </w:t>
      </w:r>
    </w:p>
    <w:p w14:paraId="5EC070E4" w14:textId="77777777" w:rsidR="003A71DE" w:rsidRPr="007D0AFB" w:rsidRDefault="003A71DE" w:rsidP="00746C0D">
      <w:pPr>
        <w:pStyle w:val="TH"/>
        <w:rPr>
          <w:rFonts w:eastAsia="SimSun"/>
        </w:rPr>
      </w:pPr>
      <w:r w:rsidRPr="007D0AFB">
        <w:rPr>
          <w:rFonts w:eastAsia="SimSun"/>
        </w:rPr>
        <w:t>Table G.2.3.1.2.1-1: Supported test configurations for FR1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1"/>
        <w:gridCol w:w="4970"/>
      </w:tblGrid>
      <w:tr w:rsidR="003A71DE" w:rsidRPr="007D0AFB" w14:paraId="5AC123B6" w14:textId="77777777" w:rsidTr="003A71DE">
        <w:trPr>
          <w:trHeight w:val="187"/>
          <w:jc w:val="center"/>
        </w:trPr>
        <w:tc>
          <w:tcPr>
            <w:tcW w:w="1631" w:type="dxa"/>
            <w:shd w:val="clear" w:color="auto" w:fill="auto"/>
          </w:tcPr>
          <w:p w14:paraId="17B7D1BE" w14:textId="77777777" w:rsidR="003A71DE" w:rsidRPr="007D0AFB" w:rsidRDefault="003A71DE" w:rsidP="00A40F90">
            <w:pPr>
              <w:pStyle w:val="TAH"/>
              <w:rPr>
                <w:rFonts w:eastAsia="SimSun"/>
              </w:rPr>
            </w:pPr>
            <w:r w:rsidRPr="007D0AFB">
              <w:rPr>
                <w:rFonts w:eastAsia="SimSun"/>
              </w:rPr>
              <w:t>Configuration</w:t>
            </w:r>
          </w:p>
        </w:tc>
        <w:tc>
          <w:tcPr>
            <w:tcW w:w="4970" w:type="dxa"/>
            <w:shd w:val="clear" w:color="auto" w:fill="auto"/>
          </w:tcPr>
          <w:p w14:paraId="01F6239E" w14:textId="77777777" w:rsidR="003A71DE" w:rsidRPr="007D0AFB" w:rsidRDefault="003A71DE" w:rsidP="00A40F90">
            <w:pPr>
              <w:pStyle w:val="TAH"/>
              <w:rPr>
                <w:rFonts w:eastAsia="SimSun"/>
              </w:rPr>
            </w:pPr>
            <w:r w:rsidRPr="007D0AFB">
              <w:rPr>
                <w:rFonts w:eastAsia="SimSun"/>
              </w:rPr>
              <w:t>Description</w:t>
            </w:r>
          </w:p>
        </w:tc>
      </w:tr>
      <w:tr w:rsidR="003A71DE" w:rsidRPr="007D0AFB" w14:paraId="30C5AB4F" w14:textId="77777777" w:rsidTr="003A71DE">
        <w:trPr>
          <w:trHeight w:val="187"/>
          <w:jc w:val="center"/>
        </w:trPr>
        <w:tc>
          <w:tcPr>
            <w:tcW w:w="1631" w:type="dxa"/>
            <w:shd w:val="clear" w:color="auto" w:fill="auto"/>
          </w:tcPr>
          <w:p w14:paraId="3E83E99E" w14:textId="77777777" w:rsidR="003A71DE" w:rsidRPr="007D0AFB" w:rsidRDefault="003A71DE" w:rsidP="00A40F90">
            <w:pPr>
              <w:pStyle w:val="TAL"/>
              <w:rPr>
                <w:rFonts w:eastAsia="SimSun"/>
              </w:rPr>
            </w:pPr>
            <w:r w:rsidRPr="007D0AFB">
              <w:rPr>
                <w:rFonts w:eastAsia="SimSun"/>
              </w:rPr>
              <w:t>1</w:t>
            </w:r>
          </w:p>
        </w:tc>
        <w:tc>
          <w:tcPr>
            <w:tcW w:w="4970" w:type="dxa"/>
            <w:shd w:val="clear" w:color="auto" w:fill="auto"/>
          </w:tcPr>
          <w:p w14:paraId="65A61D7A" w14:textId="77777777" w:rsidR="003A71DE" w:rsidRPr="007D0AFB" w:rsidRDefault="003A71DE" w:rsidP="00A40F90">
            <w:pPr>
              <w:pStyle w:val="TAL"/>
              <w:rPr>
                <w:rFonts w:eastAsia="SimSun"/>
              </w:rPr>
            </w:pPr>
            <w:r w:rsidRPr="007D0AFB">
              <w:rPr>
                <w:rFonts w:eastAsia="SimSun"/>
              </w:rPr>
              <w:t>TDD, SSB SCS 15 kHz, data SCS 15 kHz, BW 10 MHz</w:t>
            </w:r>
          </w:p>
        </w:tc>
      </w:tr>
      <w:tr w:rsidR="003A71DE" w:rsidRPr="007D0AFB" w14:paraId="3D253BCF" w14:textId="77777777" w:rsidTr="003A71DE">
        <w:trPr>
          <w:trHeight w:val="187"/>
          <w:jc w:val="center"/>
        </w:trPr>
        <w:tc>
          <w:tcPr>
            <w:tcW w:w="1631" w:type="dxa"/>
            <w:shd w:val="clear" w:color="auto" w:fill="auto"/>
          </w:tcPr>
          <w:p w14:paraId="2A49D54F" w14:textId="77777777" w:rsidR="003A71DE" w:rsidRPr="007D0AFB" w:rsidRDefault="003A71DE" w:rsidP="00A40F90">
            <w:pPr>
              <w:pStyle w:val="TAL"/>
              <w:rPr>
                <w:rFonts w:eastAsia="SimSun"/>
              </w:rPr>
            </w:pPr>
            <w:r w:rsidRPr="007D0AFB">
              <w:rPr>
                <w:rFonts w:eastAsia="SimSun"/>
              </w:rPr>
              <w:t>2</w:t>
            </w:r>
          </w:p>
        </w:tc>
        <w:tc>
          <w:tcPr>
            <w:tcW w:w="4970" w:type="dxa"/>
            <w:shd w:val="clear" w:color="auto" w:fill="auto"/>
          </w:tcPr>
          <w:p w14:paraId="6D8908D8" w14:textId="77777777" w:rsidR="003A71DE" w:rsidRPr="007D0AFB" w:rsidRDefault="003A71DE" w:rsidP="00A40F90">
            <w:pPr>
              <w:pStyle w:val="TAL"/>
              <w:rPr>
                <w:rFonts w:eastAsia="SimSun"/>
              </w:rPr>
            </w:pPr>
            <w:r w:rsidRPr="007D0AFB">
              <w:rPr>
                <w:rFonts w:eastAsia="SimSun"/>
              </w:rPr>
              <w:t>TDD, SSB SCS 30 kHz, data SCS 30 kHz, BW 40 MHz</w:t>
            </w:r>
          </w:p>
        </w:tc>
      </w:tr>
      <w:tr w:rsidR="003A71DE" w:rsidRPr="007D0AFB" w14:paraId="7DBDCB83" w14:textId="77777777" w:rsidTr="003A71DE">
        <w:trPr>
          <w:trHeight w:val="187"/>
          <w:jc w:val="center"/>
        </w:trPr>
        <w:tc>
          <w:tcPr>
            <w:tcW w:w="6601" w:type="dxa"/>
            <w:gridSpan w:val="2"/>
            <w:shd w:val="clear" w:color="auto" w:fill="auto"/>
          </w:tcPr>
          <w:p w14:paraId="5874390F" w14:textId="77777777" w:rsidR="003A71DE" w:rsidRPr="007D0AFB" w:rsidRDefault="003A71DE" w:rsidP="00A40F90">
            <w:pPr>
              <w:pStyle w:val="TAN"/>
              <w:rPr>
                <w:rFonts w:eastAsia="SimSun"/>
              </w:rPr>
            </w:pPr>
            <w:r w:rsidRPr="007D0AFB">
              <w:rPr>
                <w:rFonts w:eastAsia="SimSun"/>
              </w:rPr>
              <w:t>Note:</w:t>
            </w:r>
            <w:r w:rsidRPr="007D0AFB">
              <w:rPr>
                <w:rFonts w:eastAsia="SimSun"/>
              </w:rPr>
              <w:tab/>
              <w:t>The IAB-MT is only required to pass in one of the supported test configurations in FR1</w:t>
            </w:r>
          </w:p>
        </w:tc>
      </w:tr>
    </w:tbl>
    <w:p w14:paraId="75356356" w14:textId="77777777" w:rsidR="003A71DE" w:rsidRPr="007D0AFB" w:rsidRDefault="003A71DE" w:rsidP="003A71DE">
      <w:pPr>
        <w:spacing w:before="120"/>
        <w:rPr>
          <w:rFonts w:eastAsia="SimSun"/>
        </w:rPr>
      </w:pPr>
    </w:p>
    <w:p w14:paraId="1C30D919" w14:textId="77777777" w:rsidR="003A71DE" w:rsidRPr="007D0AFB" w:rsidRDefault="003A71DE" w:rsidP="00746C0D">
      <w:pPr>
        <w:pStyle w:val="TH"/>
        <w:rPr>
          <w:rFonts w:eastAsia="SimSun"/>
        </w:rPr>
      </w:pPr>
      <w:r w:rsidRPr="007D0AFB">
        <w:rPr>
          <w:rFonts w:eastAsia="SimSun"/>
        </w:rPr>
        <w:lastRenderedPageBreak/>
        <w:t>Table G.2.3.1.2.1-2: General test parameters for FR1 in-sync testing in non-DRX mode</w:t>
      </w:r>
    </w:p>
    <w:tbl>
      <w:tblPr>
        <w:tblW w:w="333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6"/>
        <w:gridCol w:w="14"/>
        <w:gridCol w:w="248"/>
        <w:gridCol w:w="1762"/>
        <w:gridCol w:w="718"/>
        <w:gridCol w:w="2114"/>
      </w:tblGrid>
      <w:tr w:rsidR="003A71DE" w:rsidRPr="007D0AFB" w14:paraId="0F57AF68" w14:textId="77777777" w:rsidTr="003A71DE">
        <w:trPr>
          <w:trHeight w:val="187"/>
          <w:jc w:val="center"/>
        </w:trPr>
        <w:tc>
          <w:tcPr>
            <w:tcW w:w="2795" w:type="pct"/>
            <w:gridSpan w:val="4"/>
            <w:tcBorders>
              <w:bottom w:val="nil"/>
            </w:tcBorders>
            <w:shd w:val="clear" w:color="auto" w:fill="auto"/>
          </w:tcPr>
          <w:p w14:paraId="19055B7E" w14:textId="77777777" w:rsidR="003A71DE" w:rsidRPr="007D0AFB" w:rsidRDefault="003A71DE" w:rsidP="00A40F90">
            <w:pPr>
              <w:pStyle w:val="TAH"/>
              <w:rPr>
                <w:rFonts w:eastAsia="SimSun"/>
                <w:noProof/>
              </w:rPr>
            </w:pPr>
            <w:r w:rsidRPr="007D0AFB">
              <w:rPr>
                <w:rFonts w:eastAsia="SimSun"/>
                <w:noProof/>
              </w:rPr>
              <w:lastRenderedPageBreak/>
              <w:t>Parameter</w:t>
            </w:r>
          </w:p>
        </w:tc>
        <w:tc>
          <w:tcPr>
            <w:tcW w:w="559" w:type="pct"/>
            <w:tcBorders>
              <w:bottom w:val="nil"/>
            </w:tcBorders>
            <w:shd w:val="clear" w:color="auto" w:fill="auto"/>
          </w:tcPr>
          <w:p w14:paraId="7D93A838" w14:textId="77777777" w:rsidR="003A71DE" w:rsidRPr="007D0AFB" w:rsidRDefault="003A71DE" w:rsidP="00A40F90">
            <w:pPr>
              <w:pStyle w:val="TAH"/>
              <w:rPr>
                <w:rFonts w:eastAsia="SimSun"/>
                <w:noProof/>
              </w:rPr>
            </w:pPr>
            <w:r w:rsidRPr="007D0AFB">
              <w:rPr>
                <w:rFonts w:eastAsia="SimSun"/>
                <w:noProof/>
              </w:rPr>
              <w:t>Unit</w:t>
            </w:r>
          </w:p>
        </w:tc>
        <w:tc>
          <w:tcPr>
            <w:tcW w:w="1646" w:type="pct"/>
            <w:shd w:val="clear" w:color="auto" w:fill="auto"/>
          </w:tcPr>
          <w:p w14:paraId="24A95612" w14:textId="77777777" w:rsidR="003A71DE" w:rsidRPr="007D0AFB" w:rsidRDefault="003A71DE" w:rsidP="00A40F90">
            <w:pPr>
              <w:pStyle w:val="TAH"/>
              <w:rPr>
                <w:rFonts w:eastAsia="SimSun"/>
                <w:noProof/>
              </w:rPr>
            </w:pPr>
            <w:r w:rsidRPr="007D0AFB">
              <w:rPr>
                <w:rFonts w:eastAsia="SimSun"/>
                <w:noProof/>
              </w:rPr>
              <w:t>Value</w:t>
            </w:r>
          </w:p>
        </w:tc>
      </w:tr>
      <w:tr w:rsidR="003A71DE" w:rsidRPr="007D0AFB" w14:paraId="3BDEB20E" w14:textId="77777777" w:rsidTr="003A71DE">
        <w:trPr>
          <w:trHeight w:val="187"/>
          <w:jc w:val="center"/>
        </w:trPr>
        <w:tc>
          <w:tcPr>
            <w:tcW w:w="2795" w:type="pct"/>
            <w:gridSpan w:val="4"/>
            <w:tcBorders>
              <w:top w:val="nil"/>
            </w:tcBorders>
            <w:shd w:val="clear" w:color="auto" w:fill="auto"/>
          </w:tcPr>
          <w:p w14:paraId="31F0EB78" w14:textId="77777777" w:rsidR="003A71DE" w:rsidRPr="007D0AFB" w:rsidRDefault="003A71DE" w:rsidP="00A40F90">
            <w:pPr>
              <w:pStyle w:val="TAH"/>
              <w:rPr>
                <w:rFonts w:eastAsia="SimSun"/>
                <w:noProof/>
              </w:rPr>
            </w:pPr>
          </w:p>
        </w:tc>
        <w:tc>
          <w:tcPr>
            <w:tcW w:w="559" w:type="pct"/>
            <w:tcBorders>
              <w:top w:val="nil"/>
            </w:tcBorders>
            <w:shd w:val="clear" w:color="auto" w:fill="auto"/>
          </w:tcPr>
          <w:p w14:paraId="02862766" w14:textId="77777777" w:rsidR="003A71DE" w:rsidRPr="007D0AFB" w:rsidRDefault="003A71DE" w:rsidP="00A40F90">
            <w:pPr>
              <w:pStyle w:val="TAH"/>
              <w:rPr>
                <w:rFonts w:eastAsia="SimSun"/>
                <w:noProof/>
              </w:rPr>
            </w:pPr>
          </w:p>
        </w:tc>
        <w:tc>
          <w:tcPr>
            <w:tcW w:w="1646" w:type="pct"/>
            <w:shd w:val="clear" w:color="auto" w:fill="auto"/>
          </w:tcPr>
          <w:p w14:paraId="6FA22E7F" w14:textId="77777777" w:rsidR="003A71DE" w:rsidRPr="007D0AFB" w:rsidRDefault="003A71DE" w:rsidP="00A40F90">
            <w:pPr>
              <w:pStyle w:val="TAH"/>
              <w:rPr>
                <w:rFonts w:eastAsia="SimSun"/>
                <w:noProof/>
              </w:rPr>
            </w:pPr>
            <w:r w:rsidRPr="007D0AFB">
              <w:rPr>
                <w:rFonts w:eastAsia="SimSun"/>
                <w:noProof/>
              </w:rPr>
              <w:t>Test 1</w:t>
            </w:r>
          </w:p>
        </w:tc>
      </w:tr>
      <w:tr w:rsidR="003A71DE" w:rsidRPr="007D0AFB" w14:paraId="739CEA75" w14:textId="77777777" w:rsidTr="003A71DE">
        <w:trPr>
          <w:trHeight w:val="187"/>
          <w:jc w:val="center"/>
        </w:trPr>
        <w:tc>
          <w:tcPr>
            <w:tcW w:w="2795" w:type="pct"/>
            <w:gridSpan w:val="4"/>
            <w:shd w:val="clear" w:color="auto" w:fill="auto"/>
          </w:tcPr>
          <w:p w14:paraId="69618D7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Active PCell</w:t>
            </w:r>
          </w:p>
        </w:tc>
        <w:tc>
          <w:tcPr>
            <w:tcW w:w="559" w:type="pct"/>
            <w:shd w:val="clear" w:color="auto" w:fill="auto"/>
          </w:tcPr>
          <w:p w14:paraId="5E7DDC69"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1D7D867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Cell 1</w:t>
            </w:r>
          </w:p>
        </w:tc>
      </w:tr>
      <w:tr w:rsidR="003A71DE" w:rsidRPr="007D0AFB" w14:paraId="11887395" w14:textId="77777777" w:rsidTr="003A71DE">
        <w:trPr>
          <w:trHeight w:val="187"/>
          <w:jc w:val="center"/>
        </w:trPr>
        <w:tc>
          <w:tcPr>
            <w:tcW w:w="2795" w:type="pct"/>
            <w:gridSpan w:val="4"/>
            <w:shd w:val="clear" w:color="auto" w:fill="auto"/>
          </w:tcPr>
          <w:p w14:paraId="65DB792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RF Channel Number</w:t>
            </w:r>
          </w:p>
        </w:tc>
        <w:tc>
          <w:tcPr>
            <w:tcW w:w="559" w:type="pct"/>
            <w:shd w:val="clear" w:color="auto" w:fill="auto"/>
          </w:tcPr>
          <w:p w14:paraId="2FC471C4"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1E4D2B7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6438587C" w14:textId="77777777" w:rsidTr="003A71DE">
        <w:trPr>
          <w:trHeight w:val="187"/>
          <w:jc w:val="center"/>
        </w:trPr>
        <w:tc>
          <w:tcPr>
            <w:tcW w:w="1423" w:type="pct"/>
            <w:gridSpan w:val="3"/>
            <w:tcBorders>
              <w:top w:val="nil"/>
              <w:bottom w:val="single" w:sz="4" w:space="0" w:color="auto"/>
            </w:tcBorders>
            <w:shd w:val="clear" w:color="auto" w:fill="auto"/>
          </w:tcPr>
          <w:p w14:paraId="3AC6D35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Duplex mode</w:t>
            </w:r>
          </w:p>
        </w:tc>
        <w:tc>
          <w:tcPr>
            <w:tcW w:w="1372" w:type="pct"/>
            <w:shd w:val="clear" w:color="auto" w:fill="auto"/>
          </w:tcPr>
          <w:p w14:paraId="78A5F9D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 2</w:t>
            </w:r>
          </w:p>
        </w:tc>
        <w:tc>
          <w:tcPr>
            <w:tcW w:w="559" w:type="pct"/>
            <w:tcBorders>
              <w:bottom w:val="single" w:sz="4" w:space="0" w:color="auto"/>
            </w:tcBorders>
            <w:shd w:val="clear" w:color="auto" w:fill="auto"/>
          </w:tcPr>
          <w:p w14:paraId="126E42B0"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2B01196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TDD</w:t>
            </w:r>
          </w:p>
        </w:tc>
      </w:tr>
      <w:tr w:rsidR="003A71DE" w:rsidRPr="007D0AFB" w14:paraId="16DD9050" w14:textId="77777777" w:rsidTr="003A71DE">
        <w:trPr>
          <w:trHeight w:val="187"/>
          <w:jc w:val="center"/>
        </w:trPr>
        <w:tc>
          <w:tcPr>
            <w:tcW w:w="1423" w:type="pct"/>
            <w:gridSpan w:val="3"/>
            <w:vMerge w:val="restart"/>
            <w:shd w:val="clear" w:color="auto" w:fill="auto"/>
          </w:tcPr>
          <w:p w14:paraId="60A7859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sz w:val="18"/>
                <w:szCs w:val="16"/>
              </w:rPr>
              <w:t>BW</w:t>
            </w:r>
            <w:r w:rsidRPr="007D0AFB">
              <w:rPr>
                <w:rFonts w:ascii="Arial" w:eastAsia="SimSun" w:hAnsi="Arial" w:cs="Arial"/>
                <w:sz w:val="18"/>
                <w:szCs w:val="16"/>
                <w:vertAlign w:val="subscript"/>
              </w:rPr>
              <w:t>channel</w:t>
            </w:r>
          </w:p>
        </w:tc>
        <w:tc>
          <w:tcPr>
            <w:tcW w:w="1372" w:type="pct"/>
            <w:shd w:val="clear" w:color="auto" w:fill="auto"/>
          </w:tcPr>
          <w:p w14:paraId="15BD6F1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vMerge w:val="restart"/>
            <w:shd w:val="clear" w:color="auto" w:fill="auto"/>
          </w:tcPr>
          <w:p w14:paraId="1F5C834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lang w:eastAsia="zh-CN"/>
              </w:rPr>
              <w:t>MHz</w:t>
            </w:r>
          </w:p>
        </w:tc>
        <w:tc>
          <w:tcPr>
            <w:tcW w:w="1646" w:type="pct"/>
            <w:shd w:val="clear" w:color="auto" w:fill="auto"/>
          </w:tcPr>
          <w:p w14:paraId="3B25092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10: N</w:t>
            </w:r>
            <w:r w:rsidRPr="007D0AFB">
              <w:rPr>
                <w:rFonts w:ascii="Arial" w:eastAsia="SimSun" w:hAnsi="Arial" w:cs="Arial"/>
                <w:sz w:val="18"/>
                <w:szCs w:val="16"/>
                <w:vertAlign w:val="subscript"/>
              </w:rPr>
              <w:t>RB,c</w:t>
            </w:r>
            <w:r w:rsidRPr="007D0AFB">
              <w:rPr>
                <w:rFonts w:ascii="Arial" w:eastAsia="SimSun" w:hAnsi="Arial" w:cs="Arial"/>
                <w:sz w:val="18"/>
                <w:szCs w:val="16"/>
              </w:rPr>
              <w:t xml:space="preserve"> = 52</w:t>
            </w:r>
          </w:p>
        </w:tc>
      </w:tr>
      <w:tr w:rsidR="003A71DE" w:rsidRPr="007D0AFB" w14:paraId="53F8D482" w14:textId="77777777" w:rsidTr="003A71DE">
        <w:trPr>
          <w:trHeight w:val="187"/>
          <w:jc w:val="center"/>
        </w:trPr>
        <w:tc>
          <w:tcPr>
            <w:tcW w:w="1423" w:type="pct"/>
            <w:gridSpan w:val="3"/>
            <w:vMerge/>
            <w:shd w:val="clear" w:color="auto" w:fill="auto"/>
          </w:tcPr>
          <w:p w14:paraId="4CF610CC" w14:textId="77777777" w:rsidR="003A71DE" w:rsidRPr="007D0AFB" w:rsidRDefault="003A71DE" w:rsidP="003A71DE">
            <w:pPr>
              <w:keepNext/>
              <w:keepLines/>
              <w:spacing w:after="0"/>
              <w:rPr>
                <w:rFonts w:ascii="Arial" w:eastAsia="SimSun" w:hAnsi="Arial"/>
                <w:noProof/>
                <w:sz w:val="18"/>
              </w:rPr>
            </w:pPr>
          </w:p>
        </w:tc>
        <w:tc>
          <w:tcPr>
            <w:tcW w:w="1372" w:type="pct"/>
            <w:shd w:val="clear" w:color="auto" w:fill="auto"/>
          </w:tcPr>
          <w:p w14:paraId="16EF43B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vMerge/>
            <w:shd w:val="clear" w:color="auto" w:fill="auto"/>
          </w:tcPr>
          <w:p w14:paraId="74069D7F"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CD50A4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40: N</w:t>
            </w:r>
            <w:r w:rsidRPr="007D0AFB">
              <w:rPr>
                <w:rFonts w:ascii="Arial" w:eastAsia="SimSun" w:hAnsi="Arial" w:cs="Arial"/>
                <w:sz w:val="18"/>
                <w:szCs w:val="16"/>
                <w:vertAlign w:val="subscript"/>
              </w:rPr>
              <w:t>RB,c</w:t>
            </w:r>
            <w:r w:rsidRPr="007D0AFB">
              <w:rPr>
                <w:rFonts w:ascii="Arial" w:eastAsia="SimSun" w:hAnsi="Arial" w:cs="Arial"/>
                <w:sz w:val="18"/>
                <w:szCs w:val="16"/>
              </w:rPr>
              <w:t xml:space="preserve"> = 106</w:t>
            </w:r>
          </w:p>
        </w:tc>
      </w:tr>
      <w:tr w:rsidR="003A71DE" w:rsidRPr="007D0AFB" w14:paraId="27B31E22" w14:textId="77777777" w:rsidTr="003A71DE">
        <w:trPr>
          <w:trHeight w:val="187"/>
          <w:jc w:val="center"/>
        </w:trPr>
        <w:tc>
          <w:tcPr>
            <w:tcW w:w="1423" w:type="pct"/>
            <w:gridSpan w:val="3"/>
            <w:shd w:val="clear" w:color="auto" w:fill="auto"/>
          </w:tcPr>
          <w:p w14:paraId="0BFD635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DL initial BWP configuration</w:t>
            </w:r>
          </w:p>
        </w:tc>
        <w:tc>
          <w:tcPr>
            <w:tcW w:w="1372" w:type="pct"/>
            <w:shd w:val="clear" w:color="auto" w:fill="auto"/>
          </w:tcPr>
          <w:p w14:paraId="12D8812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59" w:type="pct"/>
            <w:shd w:val="clear" w:color="auto" w:fill="auto"/>
          </w:tcPr>
          <w:p w14:paraId="16DEB33F"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788F2CB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DLBWP.0.1</w:t>
            </w:r>
          </w:p>
        </w:tc>
      </w:tr>
      <w:tr w:rsidR="003A71DE" w:rsidRPr="007D0AFB" w14:paraId="0FD0571C" w14:textId="77777777" w:rsidTr="003A71DE">
        <w:trPr>
          <w:trHeight w:val="187"/>
          <w:jc w:val="center"/>
        </w:trPr>
        <w:tc>
          <w:tcPr>
            <w:tcW w:w="1423" w:type="pct"/>
            <w:gridSpan w:val="3"/>
            <w:shd w:val="clear" w:color="auto" w:fill="auto"/>
          </w:tcPr>
          <w:p w14:paraId="1D97B3E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DL dedicated BWP configuration</w:t>
            </w:r>
          </w:p>
        </w:tc>
        <w:tc>
          <w:tcPr>
            <w:tcW w:w="1372" w:type="pct"/>
            <w:shd w:val="clear" w:color="auto" w:fill="auto"/>
          </w:tcPr>
          <w:p w14:paraId="5FDE601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59" w:type="pct"/>
            <w:shd w:val="clear" w:color="auto" w:fill="auto"/>
          </w:tcPr>
          <w:p w14:paraId="71184543"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4B261A6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DLBWP.1.1</w:t>
            </w:r>
          </w:p>
        </w:tc>
      </w:tr>
      <w:tr w:rsidR="003A71DE" w:rsidRPr="007D0AFB" w14:paraId="55EC6680" w14:textId="77777777" w:rsidTr="003A71DE">
        <w:trPr>
          <w:trHeight w:val="187"/>
          <w:jc w:val="center"/>
        </w:trPr>
        <w:tc>
          <w:tcPr>
            <w:tcW w:w="1423" w:type="pct"/>
            <w:gridSpan w:val="3"/>
            <w:shd w:val="clear" w:color="auto" w:fill="auto"/>
          </w:tcPr>
          <w:p w14:paraId="46AA97A7"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cs="Arial"/>
                <w:bCs/>
                <w:sz w:val="18"/>
              </w:rPr>
              <w:t>UL initial BWP configuration</w:t>
            </w:r>
          </w:p>
        </w:tc>
        <w:tc>
          <w:tcPr>
            <w:tcW w:w="1372" w:type="pct"/>
            <w:shd w:val="clear" w:color="auto" w:fill="auto"/>
          </w:tcPr>
          <w:p w14:paraId="1988AA4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59" w:type="pct"/>
            <w:shd w:val="clear" w:color="auto" w:fill="auto"/>
          </w:tcPr>
          <w:p w14:paraId="2AF919A5"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1599D18" w14:textId="77777777" w:rsidR="003A71DE" w:rsidRPr="007D0AFB" w:rsidRDefault="003A71DE" w:rsidP="003A71DE">
            <w:pPr>
              <w:keepNext/>
              <w:keepLines/>
              <w:spacing w:after="0"/>
              <w:jc w:val="center"/>
              <w:rPr>
                <w:rFonts w:ascii="Arial" w:eastAsia="SimSun" w:hAnsi="Arial" w:cs="Arial"/>
                <w:sz w:val="18"/>
                <w:szCs w:val="16"/>
              </w:rPr>
            </w:pPr>
            <w:r w:rsidRPr="007D0AFB">
              <w:rPr>
                <w:rFonts w:ascii="Arial" w:eastAsia="SimSun" w:hAnsi="Arial" w:cs="v3.7.0"/>
                <w:sz w:val="18"/>
              </w:rPr>
              <w:t>ULBWP.0.1</w:t>
            </w:r>
          </w:p>
        </w:tc>
      </w:tr>
      <w:tr w:rsidR="003A71DE" w:rsidRPr="007D0AFB" w14:paraId="65F9EBAE" w14:textId="77777777" w:rsidTr="003A71DE">
        <w:trPr>
          <w:trHeight w:val="187"/>
          <w:jc w:val="center"/>
        </w:trPr>
        <w:tc>
          <w:tcPr>
            <w:tcW w:w="1423" w:type="pct"/>
            <w:gridSpan w:val="3"/>
            <w:tcBorders>
              <w:bottom w:val="single" w:sz="4" w:space="0" w:color="auto"/>
            </w:tcBorders>
            <w:shd w:val="clear" w:color="auto" w:fill="auto"/>
          </w:tcPr>
          <w:p w14:paraId="692532F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UL dedicated BWP configuration</w:t>
            </w:r>
          </w:p>
        </w:tc>
        <w:tc>
          <w:tcPr>
            <w:tcW w:w="1372" w:type="pct"/>
            <w:shd w:val="clear" w:color="auto" w:fill="auto"/>
          </w:tcPr>
          <w:p w14:paraId="5320E7E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w:t>
            </w:r>
            <w:r w:rsidRPr="007D0AFB">
              <w:rPr>
                <w:rFonts w:ascii="SimSun" w:eastAsia="SimSun" w:hAnsi="SimSun"/>
                <w:noProof/>
                <w:sz w:val="18"/>
                <w:lang w:eastAsia="zh-TW"/>
              </w:rPr>
              <w:t xml:space="preserve"> </w:t>
            </w:r>
            <w:r w:rsidRPr="007D0AFB">
              <w:rPr>
                <w:rFonts w:ascii="Arial" w:eastAsia="SimSun" w:hAnsi="Arial"/>
                <w:noProof/>
                <w:sz w:val="18"/>
              </w:rPr>
              <w:t>1, 2</w:t>
            </w:r>
          </w:p>
        </w:tc>
        <w:tc>
          <w:tcPr>
            <w:tcW w:w="559" w:type="pct"/>
            <w:shd w:val="clear" w:color="auto" w:fill="auto"/>
          </w:tcPr>
          <w:p w14:paraId="306C546B"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46EF50C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rPr>
              <w:t>ULBWP.1.1</w:t>
            </w:r>
          </w:p>
        </w:tc>
      </w:tr>
      <w:tr w:rsidR="003A71DE" w:rsidRPr="007D0AFB" w14:paraId="227602C4" w14:textId="77777777" w:rsidTr="003A71DE">
        <w:trPr>
          <w:trHeight w:val="187"/>
          <w:jc w:val="center"/>
        </w:trPr>
        <w:tc>
          <w:tcPr>
            <w:tcW w:w="1423" w:type="pct"/>
            <w:gridSpan w:val="3"/>
            <w:vMerge w:val="restart"/>
            <w:tcBorders>
              <w:top w:val="nil"/>
            </w:tcBorders>
            <w:shd w:val="clear" w:color="auto" w:fill="auto"/>
          </w:tcPr>
          <w:p w14:paraId="3FD35DC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TDD Configuration</w:t>
            </w:r>
          </w:p>
        </w:tc>
        <w:tc>
          <w:tcPr>
            <w:tcW w:w="1372" w:type="pct"/>
            <w:shd w:val="clear" w:color="auto" w:fill="auto"/>
          </w:tcPr>
          <w:p w14:paraId="2AC2A1B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07C3E42C"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1151FE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TDDConf.1.1</w:t>
            </w:r>
          </w:p>
        </w:tc>
      </w:tr>
      <w:tr w:rsidR="003A71DE" w:rsidRPr="007D0AFB" w14:paraId="6D8102C1" w14:textId="77777777" w:rsidTr="003A71DE">
        <w:trPr>
          <w:trHeight w:val="187"/>
          <w:jc w:val="center"/>
        </w:trPr>
        <w:tc>
          <w:tcPr>
            <w:tcW w:w="1423" w:type="pct"/>
            <w:gridSpan w:val="3"/>
            <w:vMerge/>
            <w:tcBorders>
              <w:bottom w:val="single" w:sz="4" w:space="0" w:color="auto"/>
            </w:tcBorders>
            <w:shd w:val="clear" w:color="auto" w:fill="auto"/>
          </w:tcPr>
          <w:p w14:paraId="2454D9DF" w14:textId="77777777" w:rsidR="003A71DE" w:rsidRPr="007D0AFB" w:rsidRDefault="003A71DE" w:rsidP="003A71DE">
            <w:pPr>
              <w:keepNext/>
              <w:keepLines/>
              <w:spacing w:after="0"/>
              <w:rPr>
                <w:rFonts w:ascii="Arial" w:eastAsia="SimSun" w:hAnsi="Arial"/>
                <w:noProof/>
                <w:sz w:val="18"/>
              </w:rPr>
            </w:pPr>
          </w:p>
        </w:tc>
        <w:tc>
          <w:tcPr>
            <w:tcW w:w="1372" w:type="pct"/>
            <w:shd w:val="clear" w:color="auto" w:fill="auto"/>
          </w:tcPr>
          <w:p w14:paraId="6636F59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6579C065"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AD6CCF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rPr>
              <w:t>TDDConf.2.1</w:t>
            </w:r>
          </w:p>
        </w:tc>
      </w:tr>
      <w:tr w:rsidR="003A71DE" w:rsidRPr="007D0AFB" w14:paraId="5162535A" w14:textId="77777777" w:rsidTr="003A71DE">
        <w:trPr>
          <w:trHeight w:val="187"/>
          <w:jc w:val="center"/>
        </w:trPr>
        <w:tc>
          <w:tcPr>
            <w:tcW w:w="1423" w:type="pct"/>
            <w:gridSpan w:val="3"/>
            <w:vMerge w:val="restart"/>
            <w:tcBorders>
              <w:top w:val="nil"/>
            </w:tcBorders>
            <w:shd w:val="clear" w:color="auto" w:fill="auto"/>
          </w:tcPr>
          <w:p w14:paraId="095391B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CORESET Reference Channel</w:t>
            </w:r>
          </w:p>
        </w:tc>
        <w:tc>
          <w:tcPr>
            <w:tcW w:w="1372" w:type="pct"/>
            <w:shd w:val="clear" w:color="auto" w:fill="auto"/>
          </w:tcPr>
          <w:p w14:paraId="6609C6A9"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20172F8B"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4879B6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CR.1.1 TDD</w:t>
            </w:r>
          </w:p>
        </w:tc>
      </w:tr>
      <w:tr w:rsidR="003A71DE" w:rsidRPr="007D0AFB" w14:paraId="4CD4FB7D" w14:textId="77777777" w:rsidTr="003A71DE">
        <w:trPr>
          <w:trHeight w:val="187"/>
          <w:jc w:val="center"/>
        </w:trPr>
        <w:tc>
          <w:tcPr>
            <w:tcW w:w="1423" w:type="pct"/>
            <w:gridSpan w:val="3"/>
            <w:vMerge/>
            <w:tcBorders>
              <w:bottom w:val="single" w:sz="4" w:space="0" w:color="auto"/>
            </w:tcBorders>
            <w:shd w:val="clear" w:color="auto" w:fill="auto"/>
          </w:tcPr>
          <w:p w14:paraId="44248AB9" w14:textId="77777777" w:rsidR="003A71DE" w:rsidRPr="007D0AFB" w:rsidRDefault="003A71DE" w:rsidP="003A71DE">
            <w:pPr>
              <w:keepNext/>
              <w:keepLines/>
              <w:spacing w:after="0"/>
              <w:rPr>
                <w:rFonts w:ascii="Arial" w:eastAsia="SimSun" w:hAnsi="Arial"/>
                <w:noProof/>
                <w:sz w:val="18"/>
              </w:rPr>
            </w:pPr>
          </w:p>
        </w:tc>
        <w:tc>
          <w:tcPr>
            <w:tcW w:w="1372" w:type="pct"/>
            <w:shd w:val="clear" w:color="auto" w:fill="auto"/>
          </w:tcPr>
          <w:p w14:paraId="48EAABA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6DC90F32"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5558DAF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CR.2.1 TDD</w:t>
            </w:r>
          </w:p>
        </w:tc>
      </w:tr>
      <w:tr w:rsidR="003A71DE" w:rsidRPr="007D0AFB" w14:paraId="52388C3E" w14:textId="77777777" w:rsidTr="003A71DE">
        <w:trPr>
          <w:trHeight w:val="187"/>
          <w:jc w:val="center"/>
        </w:trPr>
        <w:tc>
          <w:tcPr>
            <w:tcW w:w="1423" w:type="pct"/>
            <w:gridSpan w:val="3"/>
            <w:vMerge w:val="restart"/>
            <w:tcBorders>
              <w:top w:val="nil"/>
            </w:tcBorders>
            <w:shd w:val="clear" w:color="auto" w:fill="auto"/>
          </w:tcPr>
          <w:p w14:paraId="21C0C85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SSB Configuration</w:t>
            </w:r>
          </w:p>
        </w:tc>
        <w:tc>
          <w:tcPr>
            <w:tcW w:w="1372" w:type="pct"/>
            <w:shd w:val="clear" w:color="auto" w:fill="auto"/>
          </w:tcPr>
          <w:p w14:paraId="7BD3B5C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03F2A31D"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E684C0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SSB.1 FR1</w:t>
            </w:r>
          </w:p>
        </w:tc>
      </w:tr>
      <w:tr w:rsidR="003A71DE" w:rsidRPr="007D0AFB" w14:paraId="30BFF5F2" w14:textId="77777777" w:rsidTr="003A71DE">
        <w:trPr>
          <w:trHeight w:val="187"/>
          <w:jc w:val="center"/>
        </w:trPr>
        <w:tc>
          <w:tcPr>
            <w:tcW w:w="1423" w:type="pct"/>
            <w:gridSpan w:val="3"/>
            <w:vMerge/>
            <w:tcBorders>
              <w:bottom w:val="single" w:sz="4" w:space="0" w:color="auto"/>
            </w:tcBorders>
            <w:shd w:val="clear" w:color="auto" w:fill="auto"/>
          </w:tcPr>
          <w:p w14:paraId="5E69041B" w14:textId="77777777" w:rsidR="003A71DE" w:rsidRPr="007D0AFB" w:rsidRDefault="003A71DE" w:rsidP="003A71DE">
            <w:pPr>
              <w:keepNext/>
              <w:keepLines/>
              <w:spacing w:after="0"/>
              <w:rPr>
                <w:rFonts w:ascii="Arial" w:eastAsia="SimSun" w:hAnsi="Arial"/>
                <w:noProof/>
                <w:sz w:val="18"/>
              </w:rPr>
            </w:pPr>
          </w:p>
        </w:tc>
        <w:tc>
          <w:tcPr>
            <w:tcW w:w="1372" w:type="pct"/>
            <w:shd w:val="clear" w:color="auto" w:fill="auto"/>
          </w:tcPr>
          <w:p w14:paraId="7DCF7AF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1BAE2D6E"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4118FA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SSB.2 FR1</w:t>
            </w:r>
          </w:p>
        </w:tc>
      </w:tr>
      <w:tr w:rsidR="003A71DE" w:rsidRPr="007D0AFB" w14:paraId="1A5C6A03" w14:textId="77777777" w:rsidTr="003A71DE">
        <w:trPr>
          <w:trHeight w:val="187"/>
          <w:jc w:val="center"/>
        </w:trPr>
        <w:tc>
          <w:tcPr>
            <w:tcW w:w="1423" w:type="pct"/>
            <w:gridSpan w:val="3"/>
            <w:tcBorders>
              <w:bottom w:val="nil"/>
            </w:tcBorders>
            <w:shd w:val="clear" w:color="auto" w:fill="auto"/>
          </w:tcPr>
          <w:p w14:paraId="4F4B125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SMTC Configuration</w:t>
            </w:r>
          </w:p>
        </w:tc>
        <w:tc>
          <w:tcPr>
            <w:tcW w:w="1372" w:type="pct"/>
            <w:shd w:val="clear" w:color="auto" w:fill="auto"/>
          </w:tcPr>
          <w:p w14:paraId="0E0A794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1,2</w:t>
            </w:r>
          </w:p>
        </w:tc>
        <w:tc>
          <w:tcPr>
            <w:tcW w:w="559" w:type="pct"/>
            <w:shd w:val="clear" w:color="auto" w:fill="auto"/>
          </w:tcPr>
          <w:p w14:paraId="42DA858F"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54429BB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SMTC.1</w:t>
            </w:r>
          </w:p>
        </w:tc>
      </w:tr>
      <w:tr w:rsidR="003A71DE" w:rsidRPr="007D0AFB" w14:paraId="1B935A00" w14:textId="77777777" w:rsidTr="003A71DE">
        <w:trPr>
          <w:trHeight w:val="187"/>
          <w:jc w:val="center"/>
        </w:trPr>
        <w:tc>
          <w:tcPr>
            <w:tcW w:w="1423" w:type="pct"/>
            <w:gridSpan w:val="3"/>
            <w:vMerge w:val="restart"/>
            <w:shd w:val="clear" w:color="auto" w:fill="auto"/>
          </w:tcPr>
          <w:p w14:paraId="665BC73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PDSCH/PDCCH subcarrier spacing</w:t>
            </w:r>
          </w:p>
        </w:tc>
        <w:tc>
          <w:tcPr>
            <w:tcW w:w="1372" w:type="pct"/>
            <w:shd w:val="clear" w:color="auto" w:fill="auto"/>
          </w:tcPr>
          <w:p w14:paraId="69F63F7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26ED2101"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7217F15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15 kHz</w:t>
            </w:r>
          </w:p>
        </w:tc>
      </w:tr>
      <w:tr w:rsidR="003A71DE" w:rsidRPr="007D0AFB" w14:paraId="2FA73DDA" w14:textId="77777777" w:rsidTr="003A71DE">
        <w:trPr>
          <w:trHeight w:val="187"/>
          <w:jc w:val="center"/>
        </w:trPr>
        <w:tc>
          <w:tcPr>
            <w:tcW w:w="1423" w:type="pct"/>
            <w:gridSpan w:val="3"/>
            <w:vMerge/>
            <w:tcBorders>
              <w:bottom w:val="single" w:sz="4" w:space="0" w:color="auto"/>
            </w:tcBorders>
            <w:shd w:val="clear" w:color="auto" w:fill="auto"/>
          </w:tcPr>
          <w:p w14:paraId="7EF063F9" w14:textId="77777777" w:rsidR="003A71DE" w:rsidRPr="007D0AFB" w:rsidRDefault="003A71DE" w:rsidP="003A71DE">
            <w:pPr>
              <w:keepNext/>
              <w:keepLines/>
              <w:spacing w:after="0"/>
              <w:rPr>
                <w:rFonts w:ascii="Arial" w:eastAsia="SimSun" w:hAnsi="Arial"/>
                <w:noProof/>
                <w:sz w:val="18"/>
              </w:rPr>
            </w:pPr>
          </w:p>
        </w:tc>
        <w:tc>
          <w:tcPr>
            <w:tcW w:w="1372" w:type="pct"/>
            <w:shd w:val="clear" w:color="auto" w:fill="auto"/>
          </w:tcPr>
          <w:p w14:paraId="67384D9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760505FF"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9C402A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30 kHz</w:t>
            </w:r>
          </w:p>
        </w:tc>
      </w:tr>
      <w:tr w:rsidR="003A71DE" w:rsidRPr="007D0AFB" w14:paraId="613E3778" w14:textId="77777777" w:rsidTr="003A71DE">
        <w:trPr>
          <w:trHeight w:val="187"/>
          <w:jc w:val="center"/>
        </w:trPr>
        <w:tc>
          <w:tcPr>
            <w:tcW w:w="1423" w:type="pct"/>
            <w:gridSpan w:val="3"/>
            <w:vMerge w:val="restart"/>
            <w:shd w:val="clear" w:color="auto" w:fill="auto"/>
          </w:tcPr>
          <w:p w14:paraId="3DFCA4F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PRACH Configuration </w:t>
            </w:r>
          </w:p>
        </w:tc>
        <w:tc>
          <w:tcPr>
            <w:tcW w:w="1372" w:type="pct"/>
            <w:shd w:val="clear" w:color="auto" w:fill="auto"/>
          </w:tcPr>
          <w:p w14:paraId="2051909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7424CA2B"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426CC13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TBD</w:t>
            </w:r>
          </w:p>
        </w:tc>
      </w:tr>
      <w:tr w:rsidR="003A71DE" w:rsidRPr="007D0AFB" w14:paraId="517A4474" w14:textId="77777777" w:rsidTr="003A71DE">
        <w:trPr>
          <w:trHeight w:val="187"/>
          <w:jc w:val="center"/>
        </w:trPr>
        <w:tc>
          <w:tcPr>
            <w:tcW w:w="1423" w:type="pct"/>
            <w:gridSpan w:val="3"/>
            <w:vMerge/>
            <w:shd w:val="clear" w:color="auto" w:fill="auto"/>
          </w:tcPr>
          <w:p w14:paraId="2AE2EF88" w14:textId="77777777" w:rsidR="003A71DE" w:rsidRPr="007D0AFB" w:rsidRDefault="003A71DE" w:rsidP="003A71DE">
            <w:pPr>
              <w:keepNext/>
              <w:keepLines/>
              <w:spacing w:after="0"/>
              <w:rPr>
                <w:rFonts w:ascii="Arial" w:eastAsia="SimSun" w:hAnsi="Arial"/>
                <w:noProof/>
                <w:sz w:val="18"/>
              </w:rPr>
            </w:pPr>
          </w:p>
        </w:tc>
        <w:tc>
          <w:tcPr>
            <w:tcW w:w="1372" w:type="pct"/>
            <w:shd w:val="clear" w:color="auto" w:fill="auto"/>
          </w:tcPr>
          <w:p w14:paraId="5F0BEE5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67C2CFA6"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7A509E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TBD</w:t>
            </w:r>
          </w:p>
        </w:tc>
      </w:tr>
      <w:tr w:rsidR="003A71DE" w:rsidRPr="007D0AFB" w14:paraId="2CBD0855" w14:textId="77777777" w:rsidTr="003A71DE">
        <w:trPr>
          <w:trHeight w:val="187"/>
          <w:jc w:val="center"/>
        </w:trPr>
        <w:tc>
          <w:tcPr>
            <w:tcW w:w="2795" w:type="pct"/>
            <w:gridSpan w:val="4"/>
            <w:shd w:val="clear" w:color="auto" w:fill="auto"/>
          </w:tcPr>
          <w:p w14:paraId="5AA0E5F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SSB index assigned as RLM RS</w:t>
            </w:r>
          </w:p>
        </w:tc>
        <w:tc>
          <w:tcPr>
            <w:tcW w:w="559" w:type="pct"/>
            <w:shd w:val="clear" w:color="auto" w:fill="auto"/>
          </w:tcPr>
          <w:p w14:paraId="69A2132F"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9C6DA9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w:t>
            </w:r>
          </w:p>
        </w:tc>
      </w:tr>
      <w:tr w:rsidR="003A71DE" w:rsidRPr="007D0AFB" w14:paraId="597DCE4C" w14:textId="77777777" w:rsidTr="003A71DE">
        <w:trPr>
          <w:trHeight w:val="187"/>
          <w:jc w:val="center"/>
        </w:trPr>
        <w:tc>
          <w:tcPr>
            <w:tcW w:w="2795" w:type="pct"/>
            <w:gridSpan w:val="4"/>
            <w:shd w:val="clear" w:color="auto" w:fill="auto"/>
          </w:tcPr>
          <w:p w14:paraId="6AF57C2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OCNG parameters</w:t>
            </w:r>
          </w:p>
        </w:tc>
        <w:tc>
          <w:tcPr>
            <w:tcW w:w="559" w:type="pct"/>
            <w:shd w:val="clear" w:color="auto" w:fill="auto"/>
          </w:tcPr>
          <w:p w14:paraId="66A96EE9"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D10D31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OP.1</w:t>
            </w:r>
          </w:p>
        </w:tc>
      </w:tr>
      <w:tr w:rsidR="003A71DE" w:rsidRPr="007D0AFB" w14:paraId="3E19631D" w14:textId="77777777" w:rsidTr="003A71DE">
        <w:trPr>
          <w:trHeight w:val="187"/>
          <w:jc w:val="center"/>
        </w:trPr>
        <w:tc>
          <w:tcPr>
            <w:tcW w:w="2795" w:type="pct"/>
            <w:gridSpan w:val="4"/>
            <w:shd w:val="clear" w:color="auto" w:fill="auto"/>
          </w:tcPr>
          <w:p w14:paraId="4A60305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CP length</w:t>
            </w:r>
            <w:r w:rsidRPr="007D0AFB">
              <w:rPr>
                <w:rFonts w:ascii="Arial" w:eastAsia="SimSun" w:hAnsi="Arial"/>
                <w:noProof/>
                <w:sz w:val="18"/>
              </w:rPr>
              <w:tab/>
            </w:r>
          </w:p>
        </w:tc>
        <w:tc>
          <w:tcPr>
            <w:tcW w:w="559" w:type="pct"/>
            <w:shd w:val="clear" w:color="auto" w:fill="auto"/>
          </w:tcPr>
          <w:p w14:paraId="672C8287"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19862F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Normal</w:t>
            </w:r>
          </w:p>
        </w:tc>
      </w:tr>
      <w:tr w:rsidR="003A71DE" w:rsidRPr="007D0AFB" w14:paraId="6BF4FF28" w14:textId="77777777" w:rsidTr="003A71DE">
        <w:trPr>
          <w:trHeight w:val="187"/>
          <w:jc w:val="center"/>
        </w:trPr>
        <w:tc>
          <w:tcPr>
            <w:tcW w:w="2795" w:type="pct"/>
            <w:gridSpan w:val="4"/>
            <w:shd w:val="clear" w:color="auto" w:fill="auto"/>
          </w:tcPr>
          <w:p w14:paraId="6EFC310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Correlation Matrix and Antenna Configuration</w:t>
            </w:r>
          </w:p>
        </w:tc>
        <w:tc>
          <w:tcPr>
            <w:tcW w:w="559" w:type="pct"/>
            <w:shd w:val="clear" w:color="auto" w:fill="auto"/>
          </w:tcPr>
          <w:p w14:paraId="5BF14C5B"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530B1A1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2x2 Low</w:t>
            </w:r>
          </w:p>
        </w:tc>
      </w:tr>
      <w:tr w:rsidR="003A71DE" w:rsidRPr="007D0AFB" w14:paraId="3839A975" w14:textId="77777777" w:rsidTr="003A71DE">
        <w:trPr>
          <w:trHeight w:val="187"/>
          <w:jc w:val="center"/>
        </w:trPr>
        <w:tc>
          <w:tcPr>
            <w:tcW w:w="1219" w:type="pct"/>
            <w:vMerge w:val="restart"/>
            <w:shd w:val="clear" w:color="auto" w:fill="auto"/>
          </w:tcPr>
          <w:p w14:paraId="30ED85B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In sync transmission parameters</w:t>
            </w:r>
          </w:p>
        </w:tc>
        <w:tc>
          <w:tcPr>
            <w:tcW w:w="1576" w:type="pct"/>
            <w:gridSpan w:val="3"/>
            <w:shd w:val="clear" w:color="auto" w:fill="auto"/>
          </w:tcPr>
          <w:p w14:paraId="232F6B6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DCI format</w:t>
            </w:r>
          </w:p>
        </w:tc>
        <w:tc>
          <w:tcPr>
            <w:tcW w:w="559" w:type="pct"/>
            <w:shd w:val="clear" w:color="auto" w:fill="auto"/>
          </w:tcPr>
          <w:p w14:paraId="6D38823E"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2BE9825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w:t>
            </w:r>
          </w:p>
        </w:tc>
      </w:tr>
      <w:tr w:rsidR="003A71DE" w:rsidRPr="007D0AFB" w14:paraId="43E85C60" w14:textId="77777777" w:rsidTr="003A71DE">
        <w:trPr>
          <w:trHeight w:val="187"/>
          <w:jc w:val="center"/>
        </w:trPr>
        <w:tc>
          <w:tcPr>
            <w:tcW w:w="1219" w:type="pct"/>
            <w:vMerge/>
            <w:shd w:val="clear" w:color="auto" w:fill="auto"/>
          </w:tcPr>
          <w:p w14:paraId="1726B849"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437886A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Number of Control OFDM symbols</w:t>
            </w:r>
          </w:p>
        </w:tc>
        <w:tc>
          <w:tcPr>
            <w:tcW w:w="559" w:type="pct"/>
            <w:shd w:val="clear" w:color="auto" w:fill="auto"/>
          </w:tcPr>
          <w:p w14:paraId="01D1E4F3"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6C48E78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w:t>
            </w:r>
          </w:p>
        </w:tc>
      </w:tr>
      <w:tr w:rsidR="003A71DE" w:rsidRPr="007D0AFB" w14:paraId="7F218833" w14:textId="77777777" w:rsidTr="003A71DE">
        <w:trPr>
          <w:trHeight w:val="187"/>
          <w:jc w:val="center"/>
        </w:trPr>
        <w:tc>
          <w:tcPr>
            <w:tcW w:w="1219" w:type="pct"/>
            <w:vMerge/>
            <w:shd w:val="clear" w:color="auto" w:fill="auto"/>
          </w:tcPr>
          <w:p w14:paraId="442CB05B"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017678F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Aggregation level </w:t>
            </w:r>
          </w:p>
        </w:tc>
        <w:tc>
          <w:tcPr>
            <w:tcW w:w="559" w:type="pct"/>
            <w:shd w:val="clear" w:color="auto" w:fill="auto"/>
          </w:tcPr>
          <w:p w14:paraId="390B506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CCE</w:t>
            </w:r>
          </w:p>
        </w:tc>
        <w:tc>
          <w:tcPr>
            <w:tcW w:w="1646" w:type="pct"/>
            <w:shd w:val="clear" w:color="auto" w:fill="auto"/>
          </w:tcPr>
          <w:p w14:paraId="021873D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076C0176" w14:textId="77777777" w:rsidTr="003A71DE">
        <w:trPr>
          <w:trHeight w:val="187"/>
          <w:jc w:val="center"/>
        </w:trPr>
        <w:tc>
          <w:tcPr>
            <w:tcW w:w="1219" w:type="pct"/>
            <w:vMerge/>
            <w:shd w:val="clear" w:color="auto" w:fill="auto"/>
          </w:tcPr>
          <w:p w14:paraId="4472FF18"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0AB12226"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RE energy to average SSS RE energy</w:t>
            </w:r>
          </w:p>
        </w:tc>
        <w:tc>
          <w:tcPr>
            <w:tcW w:w="559" w:type="pct"/>
            <w:shd w:val="clear" w:color="auto" w:fill="auto"/>
          </w:tcPr>
          <w:p w14:paraId="4877CAE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646" w:type="pct"/>
            <w:shd w:val="clear" w:color="auto" w:fill="auto"/>
          </w:tcPr>
          <w:p w14:paraId="36AF8AC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w:t>
            </w:r>
          </w:p>
        </w:tc>
      </w:tr>
      <w:tr w:rsidR="003A71DE" w:rsidRPr="007D0AFB" w14:paraId="5E47C964" w14:textId="77777777" w:rsidTr="003A71DE">
        <w:trPr>
          <w:trHeight w:val="187"/>
          <w:jc w:val="center"/>
        </w:trPr>
        <w:tc>
          <w:tcPr>
            <w:tcW w:w="1219" w:type="pct"/>
            <w:vMerge/>
            <w:shd w:val="clear" w:color="auto" w:fill="auto"/>
          </w:tcPr>
          <w:p w14:paraId="5580C76F"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486FD6AC"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DMRS energy to average SSS RE energy</w:t>
            </w:r>
          </w:p>
        </w:tc>
        <w:tc>
          <w:tcPr>
            <w:tcW w:w="559" w:type="pct"/>
            <w:shd w:val="clear" w:color="auto" w:fill="auto"/>
          </w:tcPr>
          <w:p w14:paraId="058B6D2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646" w:type="pct"/>
            <w:shd w:val="clear" w:color="auto" w:fill="auto"/>
          </w:tcPr>
          <w:p w14:paraId="50E78E3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w:t>
            </w:r>
          </w:p>
        </w:tc>
      </w:tr>
      <w:tr w:rsidR="003A71DE" w:rsidRPr="007D0AFB" w14:paraId="568CBE49" w14:textId="77777777" w:rsidTr="003A71DE">
        <w:trPr>
          <w:trHeight w:val="187"/>
          <w:jc w:val="center"/>
        </w:trPr>
        <w:tc>
          <w:tcPr>
            <w:tcW w:w="1219" w:type="pct"/>
            <w:vMerge/>
            <w:shd w:val="clear" w:color="auto" w:fill="auto"/>
          </w:tcPr>
          <w:p w14:paraId="0305F35F"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16564886"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DMRS precoder granularity</w:t>
            </w:r>
          </w:p>
        </w:tc>
        <w:tc>
          <w:tcPr>
            <w:tcW w:w="559" w:type="pct"/>
            <w:shd w:val="clear" w:color="auto" w:fill="auto"/>
          </w:tcPr>
          <w:p w14:paraId="0728FB53" w14:textId="77777777" w:rsidR="003A71DE" w:rsidRPr="007D0AFB" w:rsidRDefault="003A71DE" w:rsidP="003A71DE">
            <w:pPr>
              <w:keepNext/>
              <w:keepLines/>
              <w:spacing w:after="0"/>
              <w:jc w:val="center"/>
              <w:rPr>
                <w:rFonts w:ascii="Arial" w:eastAsia="?? ??" w:hAnsi="Arial"/>
                <w:sz w:val="18"/>
              </w:rPr>
            </w:pPr>
          </w:p>
        </w:tc>
        <w:tc>
          <w:tcPr>
            <w:tcW w:w="1646" w:type="pct"/>
            <w:shd w:val="clear" w:color="auto" w:fill="auto"/>
          </w:tcPr>
          <w:p w14:paraId="4A3E63F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 ??" w:hAnsi="Arial"/>
                <w:sz w:val="18"/>
              </w:rPr>
              <w:t>REG bundle size</w:t>
            </w:r>
          </w:p>
        </w:tc>
      </w:tr>
      <w:tr w:rsidR="003A71DE" w:rsidRPr="007D0AFB" w14:paraId="46B0B78A" w14:textId="77777777" w:rsidTr="003A71DE">
        <w:trPr>
          <w:trHeight w:val="187"/>
          <w:jc w:val="center"/>
        </w:trPr>
        <w:tc>
          <w:tcPr>
            <w:tcW w:w="1219" w:type="pct"/>
            <w:vMerge/>
            <w:tcBorders>
              <w:bottom w:val="single" w:sz="4" w:space="0" w:color="auto"/>
            </w:tcBorders>
            <w:shd w:val="clear" w:color="auto" w:fill="auto"/>
          </w:tcPr>
          <w:p w14:paraId="706CD706"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1A81FF96"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REG bundle size</w:t>
            </w:r>
          </w:p>
        </w:tc>
        <w:tc>
          <w:tcPr>
            <w:tcW w:w="559" w:type="pct"/>
            <w:shd w:val="clear" w:color="auto" w:fill="auto"/>
          </w:tcPr>
          <w:p w14:paraId="0836E175" w14:textId="77777777" w:rsidR="003A71DE" w:rsidRPr="007D0AFB" w:rsidRDefault="003A71DE" w:rsidP="003A71DE">
            <w:pPr>
              <w:keepNext/>
              <w:keepLines/>
              <w:spacing w:after="0"/>
              <w:jc w:val="center"/>
              <w:rPr>
                <w:rFonts w:ascii="Arial" w:eastAsia="?? ??" w:hAnsi="Arial"/>
                <w:sz w:val="18"/>
              </w:rPr>
            </w:pPr>
          </w:p>
        </w:tc>
        <w:tc>
          <w:tcPr>
            <w:tcW w:w="1646" w:type="pct"/>
            <w:shd w:val="clear" w:color="auto" w:fill="auto"/>
          </w:tcPr>
          <w:p w14:paraId="3C73EF5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6</w:t>
            </w:r>
          </w:p>
        </w:tc>
      </w:tr>
      <w:tr w:rsidR="003A71DE" w:rsidRPr="007D0AFB" w14:paraId="266A34A7" w14:textId="77777777" w:rsidTr="003A71DE">
        <w:trPr>
          <w:trHeight w:val="187"/>
          <w:jc w:val="center"/>
        </w:trPr>
        <w:tc>
          <w:tcPr>
            <w:tcW w:w="1219" w:type="pct"/>
            <w:vMerge w:val="restart"/>
            <w:shd w:val="clear" w:color="auto" w:fill="auto"/>
          </w:tcPr>
          <w:p w14:paraId="047DFD0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Out of sync transmission parameters</w:t>
            </w:r>
          </w:p>
        </w:tc>
        <w:tc>
          <w:tcPr>
            <w:tcW w:w="1576" w:type="pct"/>
            <w:gridSpan w:val="3"/>
            <w:shd w:val="clear" w:color="auto" w:fill="auto"/>
          </w:tcPr>
          <w:p w14:paraId="7061C65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DCI format</w:t>
            </w:r>
          </w:p>
        </w:tc>
        <w:tc>
          <w:tcPr>
            <w:tcW w:w="559" w:type="pct"/>
            <w:shd w:val="clear" w:color="auto" w:fill="auto"/>
          </w:tcPr>
          <w:p w14:paraId="72030A03"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79A4129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w:t>
            </w:r>
          </w:p>
        </w:tc>
      </w:tr>
      <w:tr w:rsidR="003A71DE" w:rsidRPr="007D0AFB" w14:paraId="323C0128" w14:textId="77777777" w:rsidTr="003A71DE">
        <w:trPr>
          <w:trHeight w:val="187"/>
          <w:jc w:val="center"/>
        </w:trPr>
        <w:tc>
          <w:tcPr>
            <w:tcW w:w="1219" w:type="pct"/>
            <w:vMerge/>
            <w:shd w:val="clear" w:color="auto" w:fill="auto"/>
          </w:tcPr>
          <w:p w14:paraId="53729FA4"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6F63408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Number of Control OFDM symbols</w:t>
            </w:r>
          </w:p>
        </w:tc>
        <w:tc>
          <w:tcPr>
            <w:tcW w:w="559" w:type="pct"/>
            <w:shd w:val="clear" w:color="auto" w:fill="auto"/>
          </w:tcPr>
          <w:p w14:paraId="4DAF4EBD"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596C7E7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w:t>
            </w:r>
          </w:p>
        </w:tc>
      </w:tr>
      <w:tr w:rsidR="003A71DE" w:rsidRPr="007D0AFB" w14:paraId="67933E67" w14:textId="77777777" w:rsidTr="003A71DE">
        <w:trPr>
          <w:trHeight w:val="187"/>
          <w:jc w:val="center"/>
        </w:trPr>
        <w:tc>
          <w:tcPr>
            <w:tcW w:w="1219" w:type="pct"/>
            <w:vMerge/>
            <w:shd w:val="clear" w:color="auto" w:fill="auto"/>
          </w:tcPr>
          <w:p w14:paraId="43052D47"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38A6DD2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Aggregation level </w:t>
            </w:r>
          </w:p>
        </w:tc>
        <w:tc>
          <w:tcPr>
            <w:tcW w:w="559" w:type="pct"/>
            <w:shd w:val="clear" w:color="auto" w:fill="auto"/>
          </w:tcPr>
          <w:p w14:paraId="747EEB4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CCE</w:t>
            </w:r>
          </w:p>
        </w:tc>
        <w:tc>
          <w:tcPr>
            <w:tcW w:w="1646" w:type="pct"/>
            <w:shd w:val="clear" w:color="auto" w:fill="auto"/>
          </w:tcPr>
          <w:p w14:paraId="4414A88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8</w:t>
            </w:r>
          </w:p>
        </w:tc>
      </w:tr>
      <w:tr w:rsidR="003A71DE" w:rsidRPr="007D0AFB" w14:paraId="57F488B8" w14:textId="77777777" w:rsidTr="003A71DE">
        <w:trPr>
          <w:trHeight w:val="187"/>
          <w:jc w:val="center"/>
        </w:trPr>
        <w:tc>
          <w:tcPr>
            <w:tcW w:w="1219" w:type="pct"/>
            <w:vMerge/>
            <w:shd w:val="clear" w:color="auto" w:fill="auto"/>
          </w:tcPr>
          <w:p w14:paraId="16CDE810"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744C5DD7"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RE energy to average SSS RE energy</w:t>
            </w:r>
          </w:p>
        </w:tc>
        <w:tc>
          <w:tcPr>
            <w:tcW w:w="559" w:type="pct"/>
            <w:shd w:val="clear" w:color="auto" w:fill="auto"/>
          </w:tcPr>
          <w:p w14:paraId="30B8EB8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646" w:type="pct"/>
            <w:shd w:val="clear" w:color="auto" w:fill="auto"/>
          </w:tcPr>
          <w:p w14:paraId="412F8B0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6C331969" w14:textId="77777777" w:rsidTr="003A71DE">
        <w:trPr>
          <w:trHeight w:val="187"/>
          <w:jc w:val="center"/>
        </w:trPr>
        <w:tc>
          <w:tcPr>
            <w:tcW w:w="1219" w:type="pct"/>
            <w:vMerge/>
            <w:shd w:val="clear" w:color="auto" w:fill="auto"/>
          </w:tcPr>
          <w:p w14:paraId="5B2DCF23"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077058D2"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DMRS energy to average SSS RE energy</w:t>
            </w:r>
          </w:p>
        </w:tc>
        <w:tc>
          <w:tcPr>
            <w:tcW w:w="559" w:type="pct"/>
            <w:shd w:val="clear" w:color="auto" w:fill="auto"/>
          </w:tcPr>
          <w:p w14:paraId="7C0C215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646" w:type="pct"/>
            <w:shd w:val="clear" w:color="auto" w:fill="auto"/>
          </w:tcPr>
          <w:p w14:paraId="7868EC0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33031239" w14:textId="77777777" w:rsidTr="003A71DE">
        <w:trPr>
          <w:trHeight w:val="187"/>
          <w:jc w:val="center"/>
        </w:trPr>
        <w:tc>
          <w:tcPr>
            <w:tcW w:w="1219" w:type="pct"/>
            <w:vMerge/>
            <w:shd w:val="clear" w:color="auto" w:fill="auto"/>
          </w:tcPr>
          <w:p w14:paraId="7F62C7C1"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0B9625A3"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DMRS precoder granularity</w:t>
            </w:r>
          </w:p>
        </w:tc>
        <w:tc>
          <w:tcPr>
            <w:tcW w:w="559" w:type="pct"/>
            <w:shd w:val="clear" w:color="auto" w:fill="auto"/>
          </w:tcPr>
          <w:p w14:paraId="1A2E8EB2" w14:textId="77777777" w:rsidR="003A71DE" w:rsidRPr="007D0AFB" w:rsidRDefault="003A71DE" w:rsidP="003A71DE">
            <w:pPr>
              <w:keepNext/>
              <w:keepLines/>
              <w:spacing w:after="0"/>
              <w:jc w:val="center"/>
              <w:rPr>
                <w:rFonts w:ascii="Arial" w:eastAsia="?? ??" w:hAnsi="Arial"/>
                <w:sz w:val="18"/>
              </w:rPr>
            </w:pPr>
          </w:p>
        </w:tc>
        <w:tc>
          <w:tcPr>
            <w:tcW w:w="1646" w:type="pct"/>
            <w:shd w:val="clear" w:color="auto" w:fill="auto"/>
          </w:tcPr>
          <w:p w14:paraId="07250A2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 ??" w:hAnsi="Arial"/>
                <w:sz w:val="18"/>
              </w:rPr>
              <w:t>REG bundle size</w:t>
            </w:r>
          </w:p>
        </w:tc>
      </w:tr>
      <w:tr w:rsidR="003A71DE" w:rsidRPr="007D0AFB" w14:paraId="55C4BB13" w14:textId="77777777" w:rsidTr="003A71DE">
        <w:trPr>
          <w:trHeight w:val="187"/>
          <w:jc w:val="center"/>
        </w:trPr>
        <w:tc>
          <w:tcPr>
            <w:tcW w:w="1219" w:type="pct"/>
            <w:vMerge/>
            <w:shd w:val="clear" w:color="auto" w:fill="auto"/>
          </w:tcPr>
          <w:p w14:paraId="17DED3F3" w14:textId="77777777" w:rsidR="003A71DE" w:rsidRPr="007D0AFB" w:rsidRDefault="003A71DE" w:rsidP="003A71DE">
            <w:pPr>
              <w:keepNext/>
              <w:keepLines/>
              <w:spacing w:after="0"/>
              <w:rPr>
                <w:rFonts w:ascii="Arial" w:eastAsia="SimSun" w:hAnsi="Arial"/>
                <w:noProof/>
                <w:sz w:val="18"/>
              </w:rPr>
            </w:pPr>
          </w:p>
        </w:tc>
        <w:tc>
          <w:tcPr>
            <w:tcW w:w="1576" w:type="pct"/>
            <w:gridSpan w:val="3"/>
            <w:shd w:val="clear" w:color="auto" w:fill="auto"/>
          </w:tcPr>
          <w:p w14:paraId="5A75D071"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REG bundle size</w:t>
            </w:r>
          </w:p>
        </w:tc>
        <w:tc>
          <w:tcPr>
            <w:tcW w:w="559" w:type="pct"/>
            <w:shd w:val="clear" w:color="auto" w:fill="auto"/>
          </w:tcPr>
          <w:p w14:paraId="74CA5D9B" w14:textId="77777777" w:rsidR="003A71DE" w:rsidRPr="007D0AFB" w:rsidRDefault="003A71DE" w:rsidP="003A71DE">
            <w:pPr>
              <w:keepNext/>
              <w:keepLines/>
              <w:spacing w:after="0"/>
              <w:jc w:val="center"/>
              <w:rPr>
                <w:rFonts w:ascii="Arial" w:eastAsia="?? ??" w:hAnsi="Arial"/>
                <w:sz w:val="18"/>
              </w:rPr>
            </w:pPr>
          </w:p>
        </w:tc>
        <w:tc>
          <w:tcPr>
            <w:tcW w:w="1646" w:type="pct"/>
            <w:shd w:val="clear" w:color="auto" w:fill="auto"/>
          </w:tcPr>
          <w:p w14:paraId="12760C5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6</w:t>
            </w:r>
          </w:p>
        </w:tc>
      </w:tr>
      <w:tr w:rsidR="003A71DE" w:rsidRPr="007D0AFB" w14:paraId="2B01F77C" w14:textId="77777777" w:rsidTr="003A71DE">
        <w:trPr>
          <w:trHeight w:val="187"/>
          <w:jc w:val="center"/>
        </w:trPr>
        <w:tc>
          <w:tcPr>
            <w:tcW w:w="2795" w:type="pct"/>
            <w:gridSpan w:val="4"/>
            <w:shd w:val="clear" w:color="auto" w:fill="auto"/>
          </w:tcPr>
          <w:p w14:paraId="7749B4B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DRX</w:t>
            </w:r>
          </w:p>
        </w:tc>
        <w:tc>
          <w:tcPr>
            <w:tcW w:w="559" w:type="pct"/>
            <w:shd w:val="clear" w:color="auto" w:fill="auto"/>
          </w:tcPr>
          <w:p w14:paraId="61A606F9"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9667778"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sz w:val="18"/>
              </w:rPr>
              <w:t>OFF</w:t>
            </w:r>
          </w:p>
        </w:tc>
      </w:tr>
      <w:tr w:rsidR="003A71DE" w:rsidRPr="007D0AFB" w14:paraId="1FC83C72" w14:textId="77777777" w:rsidTr="003A71DE">
        <w:trPr>
          <w:trHeight w:val="187"/>
          <w:jc w:val="center"/>
        </w:trPr>
        <w:tc>
          <w:tcPr>
            <w:tcW w:w="2795" w:type="pct"/>
            <w:gridSpan w:val="4"/>
            <w:shd w:val="clear" w:color="auto" w:fill="auto"/>
          </w:tcPr>
          <w:p w14:paraId="05800F1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Layer 3 filtering</w:t>
            </w:r>
          </w:p>
        </w:tc>
        <w:tc>
          <w:tcPr>
            <w:tcW w:w="559" w:type="pct"/>
            <w:shd w:val="clear" w:color="auto" w:fill="auto"/>
          </w:tcPr>
          <w:p w14:paraId="1CCEA970"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F46F23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i/>
                <w:iCs/>
                <w:sz w:val="18"/>
              </w:rPr>
              <w:t>Enabled</w:t>
            </w:r>
          </w:p>
        </w:tc>
      </w:tr>
      <w:tr w:rsidR="003A71DE" w:rsidRPr="007D0AFB" w14:paraId="2EF4D7A2" w14:textId="77777777" w:rsidTr="003A71DE">
        <w:trPr>
          <w:trHeight w:val="187"/>
          <w:jc w:val="center"/>
        </w:trPr>
        <w:tc>
          <w:tcPr>
            <w:tcW w:w="2795" w:type="pct"/>
            <w:gridSpan w:val="4"/>
            <w:shd w:val="clear" w:color="auto" w:fill="auto"/>
          </w:tcPr>
          <w:p w14:paraId="5FC3A7E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T310 timer</w:t>
            </w:r>
          </w:p>
        </w:tc>
        <w:tc>
          <w:tcPr>
            <w:tcW w:w="559" w:type="pct"/>
            <w:shd w:val="clear" w:color="auto" w:fill="auto"/>
          </w:tcPr>
          <w:p w14:paraId="700DDFA6"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iCs/>
                <w:sz w:val="18"/>
              </w:rPr>
              <w:t>ms</w:t>
            </w:r>
          </w:p>
        </w:tc>
        <w:tc>
          <w:tcPr>
            <w:tcW w:w="1646" w:type="pct"/>
            <w:shd w:val="clear" w:color="auto" w:fill="auto"/>
          </w:tcPr>
          <w:p w14:paraId="5F49D81E"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iCs/>
                <w:sz w:val="18"/>
              </w:rPr>
              <w:t>1000</w:t>
            </w:r>
          </w:p>
        </w:tc>
      </w:tr>
      <w:tr w:rsidR="003A71DE" w:rsidRPr="007D0AFB" w14:paraId="061C40F2" w14:textId="77777777" w:rsidTr="003A71DE">
        <w:trPr>
          <w:trHeight w:val="187"/>
          <w:jc w:val="center"/>
        </w:trPr>
        <w:tc>
          <w:tcPr>
            <w:tcW w:w="2795" w:type="pct"/>
            <w:gridSpan w:val="4"/>
            <w:shd w:val="clear" w:color="auto" w:fill="auto"/>
          </w:tcPr>
          <w:p w14:paraId="0201287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T311 timer</w:t>
            </w:r>
          </w:p>
        </w:tc>
        <w:tc>
          <w:tcPr>
            <w:tcW w:w="559" w:type="pct"/>
            <w:shd w:val="clear" w:color="auto" w:fill="auto"/>
          </w:tcPr>
          <w:p w14:paraId="01790837"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noProof/>
                <w:sz w:val="18"/>
              </w:rPr>
              <w:t>ms</w:t>
            </w:r>
          </w:p>
        </w:tc>
        <w:tc>
          <w:tcPr>
            <w:tcW w:w="1646" w:type="pct"/>
            <w:shd w:val="clear" w:color="auto" w:fill="auto"/>
          </w:tcPr>
          <w:p w14:paraId="1B3CC9F3"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noProof/>
                <w:sz w:val="18"/>
              </w:rPr>
              <w:t>1000</w:t>
            </w:r>
          </w:p>
        </w:tc>
      </w:tr>
      <w:tr w:rsidR="003A71DE" w:rsidRPr="007D0AFB" w14:paraId="0BD0EB5A" w14:textId="77777777" w:rsidTr="003A71DE">
        <w:trPr>
          <w:trHeight w:val="187"/>
          <w:jc w:val="center"/>
        </w:trPr>
        <w:tc>
          <w:tcPr>
            <w:tcW w:w="2795" w:type="pct"/>
            <w:gridSpan w:val="4"/>
            <w:shd w:val="clear" w:color="auto" w:fill="auto"/>
          </w:tcPr>
          <w:p w14:paraId="04F44A2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lastRenderedPageBreak/>
              <w:t>N310</w:t>
            </w:r>
          </w:p>
        </w:tc>
        <w:tc>
          <w:tcPr>
            <w:tcW w:w="559" w:type="pct"/>
            <w:shd w:val="clear" w:color="auto" w:fill="auto"/>
          </w:tcPr>
          <w:p w14:paraId="2ACDD89B"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5FB7C0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498D71F3" w14:textId="77777777" w:rsidTr="003A71DE">
        <w:trPr>
          <w:trHeight w:val="187"/>
          <w:jc w:val="center"/>
        </w:trPr>
        <w:tc>
          <w:tcPr>
            <w:tcW w:w="2795" w:type="pct"/>
            <w:gridSpan w:val="4"/>
            <w:shd w:val="clear" w:color="auto" w:fill="auto"/>
          </w:tcPr>
          <w:p w14:paraId="68E1814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N311</w:t>
            </w:r>
          </w:p>
        </w:tc>
        <w:tc>
          <w:tcPr>
            <w:tcW w:w="559" w:type="pct"/>
            <w:shd w:val="clear" w:color="auto" w:fill="auto"/>
          </w:tcPr>
          <w:p w14:paraId="2E2A9495"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292ECA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33DCDE80" w14:textId="77777777" w:rsidTr="003A71DE">
        <w:trPr>
          <w:trHeight w:val="187"/>
          <w:jc w:val="center"/>
        </w:trPr>
        <w:tc>
          <w:tcPr>
            <w:tcW w:w="1230" w:type="pct"/>
            <w:gridSpan w:val="2"/>
            <w:vMerge w:val="restart"/>
            <w:tcBorders>
              <w:top w:val="nil"/>
            </w:tcBorders>
            <w:shd w:val="clear" w:color="auto" w:fill="auto"/>
          </w:tcPr>
          <w:p w14:paraId="5259425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CSI-RS configuration for CSI reporting</w:t>
            </w:r>
          </w:p>
        </w:tc>
        <w:tc>
          <w:tcPr>
            <w:tcW w:w="1565" w:type="pct"/>
            <w:gridSpan w:val="2"/>
            <w:shd w:val="clear" w:color="auto" w:fill="auto"/>
          </w:tcPr>
          <w:p w14:paraId="4553770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2E0AE6F8"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734B893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szCs w:val="18"/>
              </w:rPr>
              <w:t>CSI-RS.1.1 TDD</w:t>
            </w:r>
          </w:p>
        </w:tc>
      </w:tr>
      <w:tr w:rsidR="003A71DE" w:rsidRPr="007D0AFB" w14:paraId="61CC1568" w14:textId="77777777" w:rsidTr="003A71DE">
        <w:trPr>
          <w:trHeight w:val="187"/>
          <w:jc w:val="center"/>
        </w:trPr>
        <w:tc>
          <w:tcPr>
            <w:tcW w:w="1230" w:type="pct"/>
            <w:gridSpan w:val="2"/>
            <w:vMerge/>
            <w:tcBorders>
              <w:bottom w:val="single" w:sz="4" w:space="0" w:color="auto"/>
            </w:tcBorders>
            <w:shd w:val="clear" w:color="auto" w:fill="auto"/>
          </w:tcPr>
          <w:p w14:paraId="3B50995C" w14:textId="77777777" w:rsidR="003A71DE" w:rsidRPr="007D0AFB" w:rsidRDefault="003A71DE" w:rsidP="003A71DE">
            <w:pPr>
              <w:keepNext/>
              <w:keepLines/>
              <w:spacing w:after="0"/>
              <w:rPr>
                <w:rFonts w:ascii="Arial" w:eastAsia="SimSun" w:hAnsi="Arial"/>
                <w:noProof/>
                <w:sz w:val="18"/>
              </w:rPr>
            </w:pPr>
          </w:p>
        </w:tc>
        <w:tc>
          <w:tcPr>
            <w:tcW w:w="1565" w:type="pct"/>
            <w:gridSpan w:val="2"/>
            <w:shd w:val="clear" w:color="auto" w:fill="auto"/>
          </w:tcPr>
          <w:p w14:paraId="1E18357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21C8D8CD"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3131E28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szCs w:val="18"/>
              </w:rPr>
              <w:t>CSI-RS.2.1 TDD</w:t>
            </w:r>
          </w:p>
        </w:tc>
      </w:tr>
      <w:tr w:rsidR="003A71DE" w:rsidRPr="007D0AFB" w14:paraId="5FE2E1EE" w14:textId="77777777" w:rsidTr="003A71DE">
        <w:trPr>
          <w:trHeight w:val="187"/>
          <w:jc w:val="center"/>
        </w:trPr>
        <w:tc>
          <w:tcPr>
            <w:tcW w:w="1230" w:type="pct"/>
            <w:gridSpan w:val="2"/>
            <w:vMerge w:val="restart"/>
            <w:tcBorders>
              <w:top w:val="nil"/>
            </w:tcBorders>
            <w:shd w:val="clear" w:color="auto" w:fill="auto"/>
          </w:tcPr>
          <w:p w14:paraId="6D5E11B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sz w:val="18"/>
              </w:rPr>
              <w:t>CSI-RS for tracking</w:t>
            </w:r>
          </w:p>
        </w:tc>
        <w:tc>
          <w:tcPr>
            <w:tcW w:w="1565" w:type="pct"/>
            <w:gridSpan w:val="2"/>
            <w:shd w:val="clear" w:color="auto" w:fill="auto"/>
          </w:tcPr>
          <w:p w14:paraId="4CDB937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59" w:type="pct"/>
            <w:shd w:val="clear" w:color="auto" w:fill="auto"/>
          </w:tcPr>
          <w:p w14:paraId="1EB63127"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4E88599E" w14:textId="77777777" w:rsidR="003A71DE" w:rsidRPr="007D0AFB" w:rsidRDefault="003A71DE" w:rsidP="003A71DE">
            <w:pPr>
              <w:keepNext/>
              <w:keepLines/>
              <w:spacing w:after="0"/>
              <w:jc w:val="center"/>
              <w:rPr>
                <w:rFonts w:ascii="Arial" w:eastAsia="SimSun" w:hAnsi="Arial"/>
                <w:sz w:val="18"/>
                <w:szCs w:val="18"/>
              </w:rPr>
            </w:pPr>
            <w:r w:rsidRPr="007D0AFB">
              <w:rPr>
                <w:rFonts w:ascii="Arial" w:eastAsia="SimSun" w:hAnsi="Arial"/>
                <w:sz w:val="18"/>
                <w:szCs w:val="18"/>
              </w:rPr>
              <w:t>TRS.1.1 TDD</w:t>
            </w:r>
          </w:p>
        </w:tc>
      </w:tr>
      <w:tr w:rsidR="003A71DE" w:rsidRPr="007D0AFB" w14:paraId="68F0825D" w14:textId="77777777" w:rsidTr="003A71DE">
        <w:trPr>
          <w:trHeight w:val="187"/>
          <w:jc w:val="center"/>
        </w:trPr>
        <w:tc>
          <w:tcPr>
            <w:tcW w:w="1230" w:type="pct"/>
            <w:gridSpan w:val="2"/>
            <w:vMerge/>
            <w:shd w:val="clear" w:color="auto" w:fill="auto"/>
          </w:tcPr>
          <w:p w14:paraId="1E025801" w14:textId="77777777" w:rsidR="003A71DE" w:rsidRPr="007D0AFB" w:rsidRDefault="003A71DE" w:rsidP="003A71DE">
            <w:pPr>
              <w:keepNext/>
              <w:keepLines/>
              <w:spacing w:after="0"/>
              <w:rPr>
                <w:rFonts w:ascii="Arial" w:eastAsia="SimSun" w:hAnsi="Arial"/>
                <w:noProof/>
                <w:sz w:val="18"/>
              </w:rPr>
            </w:pPr>
          </w:p>
        </w:tc>
        <w:tc>
          <w:tcPr>
            <w:tcW w:w="1565" w:type="pct"/>
            <w:gridSpan w:val="2"/>
            <w:shd w:val="clear" w:color="auto" w:fill="auto"/>
          </w:tcPr>
          <w:p w14:paraId="5AF6F17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559" w:type="pct"/>
            <w:shd w:val="clear" w:color="auto" w:fill="auto"/>
          </w:tcPr>
          <w:p w14:paraId="4E9A0034" w14:textId="77777777" w:rsidR="003A71DE" w:rsidRPr="007D0AFB" w:rsidRDefault="003A71DE" w:rsidP="003A71DE">
            <w:pPr>
              <w:keepNext/>
              <w:keepLines/>
              <w:spacing w:after="0"/>
              <w:jc w:val="center"/>
              <w:rPr>
                <w:rFonts w:ascii="Arial" w:eastAsia="SimSun" w:hAnsi="Arial"/>
                <w:noProof/>
                <w:sz w:val="18"/>
              </w:rPr>
            </w:pPr>
          </w:p>
        </w:tc>
        <w:tc>
          <w:tcPr>
            <w:tcW w:w="1646" w:type="pct"/>
            <w:shd w:val="clear" w:color="auto" w:fill="auto"/>
          </w:tcPr>
          <w:p w14:paraId="0506978C" w14:textId="77777777" w:rsidR="003A71DE" w:rsidRPr="007D0AFB" w:rsidRDefault="003A71DE" w:rsidP="003A71DE">
            <w:pPr>
              <w:keepNext/>
              <w:keepLines/>
              <w:spacing w:after="0"/>
              <w:jc w:val="center"/>
              <w:rPr>
                <w:rFonts w:ascii="Arial" w:eastAsia="SimSun" w:hAnsi="Arial"/>
                <w:sz w:val="18"/>
                <w:szCs w:val="18"/>
              </w:rPr>
            </w:pPr>
            <w:r w:rsidRPr="007D0AFB">
              <w:rPr>
                <w:rFonts w:ascii="Arial" w:eastAsia="SimSun" w:hAnsi="Arial"/>
                <w:sz w:val="18"/>
                <w:szCs w:val="18"/>
              </w:rPr>
              <w:t>TRS.1.2 TDD</w:t>
            </w:r>
          </w:p>
        </w:tc>
      </w:tr>
      <w:tr w:rsidR="003A71DE" w:rsidRPr="007D0AFB" w14:paraId="1147CA98" w14:textId="77777777" w:rsidTr="003A71DE">
        <w:trPr>
          <w:trHeight w:val="187"/>
          <w:jc w:val="center"/>
        </w:trPr>
        <w:tc>
          <w:tcPr>
            <w:tcW w:w="2795" w:type="pct"/>
            <w:gridSpan w:val="4"/>
            <w:shd w:val="clear" w:color="auto" w:fill="auto"/>
          </w:tcPr>
          <w:p w14:paraId="6DC625F0"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T1</w:t>
            </w:r>
          </w:p>
        </w:tc>
        <w:tc>
          <w:tcPr>
            <w:tcW w:w="559" w:type="pct"/>
            <w:shd w:val="clear" w:color="auto" w:fill="auto"/>
          </w:tcPr>
          <w:p w14:paraId="65AA679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646" w:type="pct"/>
            <w:shd w:val="clear" w:color="auto" w:fill="auto"/>
          </w:tcPr>
          <w:p w14:paraId="5553F76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30583850" w14:textId="77777777" w:rsidTr="003A71DE">
        <w:trPr>
          <w:trHeight w:val="187"/>
          <w:jc w:val="center"/>
        </w:trPr>
        <w:tc>
          <w:tcPr>
            <w:tcW w:w="2795" w:type="pct"/>
            <w:gridSpan w:val="4"/>
            <w:shd w:val="clear" w:color="auto" w:fill="auto"/>
          </w:tcPr>
          <w:p w14:paraId="0A33F35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T2</w:t>
            </w:r>
          </w:p>
        </w:tc>
        <w:tc>
          <w:tcPr>
            <w:tcW w:w="559" w:type="pct"/>
            <w:shd w:val="clear" w:color="auto" w:fill="auto"/>
          </w:tcPr>
          <w:p w14:paraId="060A834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646" w:type="pct"/>
            <w:shd w:val="clear" w:color="auto" w:fill="auto"/>
          </w:tcPr>
          <w:p w14:paraId="5C5B299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18CA34CA" w14:textId="77777777" w:rsidTr="003A71DE">
        <w:trPr>
          <w:trHeight w:val="187"/>
          <w:jc w:val="center"/>
        </w:trPr>
        <w:tc>
          <w:tcPr>
            <w:tcW w:w="2795" w:type="pct"/>
            <w:gridSpan w:val="4"/>
            <w:shd w:val="clear" w:color="auto" w:fill="auto"/>
          </w:tcPr>
          <w:p w14:paraId="43752B7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w:t>
            </w:r>
          </w:p>
        </w:tc>
        <w:tc>
          <w:tcPr>
            <w:tcW w:w="559" w:type="pct"/>
            <w:shd w:val="clear" w:color="auto" w:fill="auto"/>
          </w:tcPr>
          <w:p w14:paraId="0110EB8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646" w:type="pct"/>
            <w:shd w:val="clear" w:color="auto" w:fill="auto"/>
          </w:tcPr>
          <w:p w14:paraId="0128E44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1.04</w:t>
            </w:r>
          </w:p>
        </w:tc>
      </w:tr>
      <w:tr w:rsidR="003A71DE" w:rsidRPr="007D0AFB" w14:paraId="7D86578B" w14:textId="77777777" w:rsidTr="003A71DE">
        <w:trPr>
          <w:trHeight w:val="187"/>
          <w:jc w:val="center"/>
        </w:trPr>
        <w:tc>
          <w:tcPr>
            <w:tcW w:w="2795" w:type="pct"/>
            <w:gridSpan w:val="4"/>
            <w:shd w:val="clear" w:color="auto" w:fill="auto"/>
          </w:tcPr>
          <w:p w14:paraId="2057E2D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T4</w:t>
            </w:r>
          </w:p>
        </w:tc>
        <w:tc>
          <w:tcPr>
            <w:tcW w:w="559" w:type="pct"/>
            <w:shd w:val="clear" w:color="auto" w:fill="auto"/>
          </w:tcPr>
          <w:p w14:paraId="66A5244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646" w:type="pct"/>
            <w:shd w:val="clear" w:color="auto" w:fill="auto"/>
          </w:tcPr>
          <w:p w14:paraId="686ECB9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28BEF1A1" w14:textId="77777777" w:rsidTr="003A71DE">
        <w:trPr>
          <w:trHeight w:val="187"/>
          <w:jc w:val="center"/>
        </w:trPr>
        <w:tc>
          <w:tcPr>
            <w:tcW w:w="2795" w:type="pct"/>
            <w:gridSpan w:val="4"/>
            <w:shd w:val="clear" w:color="auto" w:fill="auto"/>
          </w:tcPr>
          <w:p w14:paraId="25D965F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T5</w:t>
            </w:r>
          </w:p>
        </w:tc>
        <w:tc>
          <w:tcPr>
            <w:tcW w:w="559" w:type="pct"/>
            <w:shd w:val="clear" w:color="auto" w:fill="auto"/>
          </w:tcPr>
          <w:p w14:paraId="2029489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646" w:type="pct"/>
            <w:shd w:val="clear" w:color="auto" w:fill="auto"/>
          </w:tcPr>
          <w:p w14:paraId="6AD2818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2.02</w:t>
            </w:r>
          </w:p>
        </w:tc>
      </w:tr>
      <w:tr w:rsidR="003A71DE" w:rsidRPr="007D0AFB" w14:paraId="7329D471" w14:textId="77777777" w:rsidTr="003A71DE">
        <w:trPr>
          <w:trHeight w:val="187"/>
          <w:jc w:val="center"/>
        </w:trPr>
        <w:tc>
          <w:tcPr>
            <w:tcW w:w="2795" w:type="pct"/>
            <w:gridSpan w:val="4"/>
            <w:shd w:val="clear" w:color="auto" w:fill="auto"/>
          </w:tcPr>
          <w:p w14:paraId="4048772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D1</w:t>
            </w:r>
          </w:p>
        </w:tc>
        <w:tc>
          <w:tcPr>
            <w:tcW w:w="559" w:type="pct"/>
            <w:shd w:val="clear" w:color="auto" w:fill="auto"/>
          </w:tcPr>
          <w:p w14:paraId="370F8F1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646" w:type="pct"/>
            <w:shd w:val="clear" w:color="auto" w:fill="auto"/>
          </w:tcPr>
          <w:p w14:paraId="6AF2797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1.98</w:t>
            </w:r>
          </w:p>
        </w:tc>
      </w:tr>
      <w:tr w:rsidR="003A71DE" w:rsidRPr="007D0AFB" w14:paraId="46013DF5" w14:textId="77777777" w:rsidTr="003A71DE">
        <w:trPr>
          <w:trHeight w:val="187"/>
          <w:jc w:val="center"/>
        </w:trPr>
        <w:tc>
          <w:tcPr>
            <w:tcW w:w="5000" w:type="pct"/>
            <w:gridSpan w:val="6"/>
          </w:tcPr>
          <w:p w14:paraId="26C7DE93" w14:textId="77777777" w:rsidR="003A71DE" w:rsidRPr="007D0AFB" w:rsidRDefault="003A71DE" w:rsidP="00A40F90">
            <w:pPr>
              <w:pStyle w:val="TAN"/>
              <w:rPr>
                <w:rFonts w:eastAsia="SimSun"/>
              </w:rPr>
            </w:pPr>
            <w:r w:rsidRPr="007D0AFB">
              <w:rPr>
                <w:rFonts w:eastAsia="SimSun"/>
              </w:rPr>
              <w:t>Note 1:</w:t>
            </w:r>
            <w:r w:rsidRPr="007D0AFB">
              <w:rPr>
                <w:rFonts w:eastAsia="SimSun"/>
              </w:rPr>
              <w:tab/>
              <w:t>All configurations are assigned to the IAB-MT prior to the start of time period T1.</w:t>
            </w:r>
          </w:p>
          <w:p w14:paraId="5CB27A0D" w14:textId="77777777" w:rsidR="003A71DE" w:rsidRPr="007D0AFB" w:rsidRDefault="003A71DE" w:rsidP="00A40F90">
            <w:pPr>
              <w:pStyle w:val="TAN"/>
              <w:rPr>
                <w:rFonts w:eastAsia="SimSun"/>
              </w:rPr>
            </w:pPr>
            <w:r w:rsidRPr="007D0AFB">
              <w:rPr>
                <w:rFonts w:eastAsia="SimSun"/>
              </w:rPr>
              <w:t>Note 2:</w:t>
            </w:r>
            <w:r w:rsidRPr="007D0AFB">
              <w:rPr>
                <w:rFonts w:eastAsia="SimSun"/>
              </w:rPr>
              <w:tab/>
              <w:t>IAB-MT-specific PDCCH is not transmitted after T1 starts.</w:t>
            </w:r>
          </w:p>
        </w:tc>
      </w:tr>
    </w:tbl>
    <w:p w14:paraId="38B2B5CC" w14:textId="77777777" w:rsidR="003A71DE" w:rsidRPr="007D0AFB" w:rsidRDefault="003A71DE" w:rsidP="003A71DE">
      <w:pPr>
        <w:rPr>
          <w:rFonts w:eastAsia="SimSun"/>
          <w:b/>
          <w:lang w:eastAsia="ko-KR"/>
        </w:rPr>
      </w:pPr>
    </w:p>
    <w:p w14:paraId="3AF52C20" w14:textId="77777777" w:rsidR="003A71DE" w:rsidRPr="007D0AFB" w:rsidRDefault="003A71DE" w:rsidP="00746C0D">
      <w:pPr>
        <w:pStyle w:val="TH"/>
        <w:rPr>
          <w:rFonts w:eastAsia="SimSun"/>
        </w:rPr>
      </w:pPr>
      <w:r w:rsidRPr="007D0AFB">
        <w:rPr>
          <w:rFonts w:eastAsia="SimSun"/>
        </w:rPr>
        <w:t>Table G.2.3.1.2.1-3: Cell specific test parameters for FR1 (Cell 1) for in-sync radio link monitoring tests in non-DRX mode</w:t>
      </w:r>
    </w:p>
    <w:tbl>
      <w:tblPr>
        <w:tblW w:w="69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5"/>
        <w:gridCol w:w="1832"/>
        <w:gridCol w:w="709"/>
        <w:gridCol w:w="539"/>
        <w:gridCol w:w="539"/>
        <w:gridCol w:w="539"/>
        <w:gridCol w:w="539"/>
        <w:gridCol w:w="540"/>
      </w:tblGrid>
      <w:tr w:rsidR="003A71DE" w:rsidRPr="007D0AFB" w14:paraId="7E8A8506" w14:textId="77777777" w:rsidTr="003A71DE">
        <w:trPr>
          <w:cantSplit/>
          <w:trHeight w:val="187"/>
          <w:jc w:val="center"/>
        </w:trPr>
        <w:tc>
          <w:tcPr>
            <w:tcW w:w="3537" w:type="dxa"/>
            <w:gridSpan w:val="2"/>
            <w:tcBorders>
              <w:top w:val="single" w:sz="4" w:space="0" w:color="auto"/>
              <w:left w:val="single" w:sz="4" w:space="0" w:color="auto"/>
              <w:bottom w:val="nil"/>
            </w:tcBorders>
            <w:shd w:val="clear" w:color="auto" w:fill="auto"/>
          </w:tcPr>
          <w:p w14:paraId="6AAA995F" w14:textId="77777777" w:rsidR="003A71DE" w:rsidRPr="007D0AFB" w:rsidRDefault="003A71DE" w:rsidP="00A40F90">
            <w:pPr>
              <w:pStyle w:val="TAH"/>
              <w:rPr>
                <w:rFonts w:eastAsia="SimSun"/>
              </w:rPr>
            </w:pPr>
            <w:r w:rsidRPr="007D0AFB">
              <w:rPr>
                <w:rFonts w:eastAsia="SimSun"/>
              </w:rPr>
              <w:t>Parameter</w:t>
            </w:r>
          </w:p>
        </w:tc>
        <w:tc>
          <w:tcPr>
            <w:tcW w:w="709" w:type="dxa"/>
            <w:tcBorders>
              <w:top w:val="single" w:sz="4" w:space="0" w:color="auto"/>
              <w:bottom w:val="nil"/>
            </w:tcBorders>
            <w:shd w:val="clear" w:color="auto" w:fill="auto"/>
          </w:tcPr>
          <w:p w14:paraId="2DCAB1DF" w14:textId="77777777" w:rsidR="003A71DE" w:rsidRPr="007D0AFB" w:rsidRDefault="003A71DE" w:rsidP="00A40F90">
            <w:pPr>
              <w:pStyle w:val="TAH"/>
              <w:rPr>
                <w:rFonts w:eastAsia="SimSun"/>
              </w:rPr>
            </w:pPr>
            <w:r w:rsidRPr="007D0AFB">
              <w:rPr>
                <w:rFonts w:eastAsia="SimSun"/>
              </w:rPr>
              <w:t>Unit</w:t>
            </w:r>
          </w:p>
        </w:tc>
        <w:tc>
          <w:tcPr>
            <w:tcW w:w="2696" w:type="dxa"/>
            <w:gridSpan w:val="5"/>
            <w:tcBorders>
              <w:top w:val="single" w:sz="4" w:space="0" w:color="auto"/>
            </w:tcBorders>
          </w:tcPr>
          <w:p w14:paraId="5416821D" w14:textId="77777777" w:rsidR="003A71DE" w:rsidRPr="007D0AFB" w:rsidRDefault="003A71DE" w:rsidP="00A40F90">
            <w:pPr>
              <w:pStyle w:val="TAH"/>
              <w:rPr>
                <w:rFonts w:eastAsia="SimSun"/>
              </w:rPr>
            </w:pPr>
            <w:r w:rsidRPr="007D0AFB">
              <w:rPr>
                <w:rFonts w:eastAsia="SimSun"/>
              </w:rPr>
              <w:t>Test 1</w:t>
            </w:r>
          </w:p>
        </w:tc>
      </w:tr>
      <w:tr w:rsidR="003A71DE" w:rsidRPr="007D0AFB" w14:paraId="66620070" w14:textId="77777777" w:rsidTr="003A71DE">
        <w:trPr>
          <w:cantSplit/>
          <w:trHeight w:val="187"/>
          <w:jc w:val="center"/>
        </w:trPr>
        <w:tc>
          <w:tcPr>
            <w:tcW w:w="3537" w:type="dxa"/>
            <w:gridSpan w:val="2"/>
            <w:tcBorders>
              <w:top w:val="nil"/>
              <w:left w:val="single" w:sz="4" w:space="0" w:color="auto"/>
              <w:bottom w:val="single" w:sz="4" w:space="0" w:color="auto"/>
            </w:tcBorders>
            <w:shd w:val="clear" w:color="auto" w:fill="auto"/>
          </w:tcPr>
          <w:p w14:paraId="231E2600" w14:textId="77777777" w:rsidR="003A71DE" w:rsidRPr="007D0AFB" w:rsidRDefault="003A71DE" w:rsidP="00A40F90">
            <w:pPr>
              <w:pStyle w:val="TAH"/>
              <w:rPr>
                <w:rFonts w:eastAsia="SimSun"/>
              </w:rPr>
            </w:pPr>
          </w:p>
        </w:tc>
        <w:tc>
          <w:tcPr>
            <w:tcW w:w="709" w:type="dxa"/>
            <w:tcBorders>
              <w:top w:val="nil"/>
              <w:bottom w:val="single" w:sz="4" w:space="0" w:color="auto"/>
            </w:tcBorders>
            <w:shd w:val="clear" w:color="auto" w:fill="auto"/>
          </w:tcPr>
          <w:p w14:paraId="56A49A5A" w14:textId="77777777" w:rsidR="003A71DE" w:rsidRPr="007D0AFB" w:rsidRDefault="003A71DE" w:rsidP="00A40F90">
            <w:pPr>
              <w:pStyle w:val="TAH"/>
              <w:rPr>
                <w:rFonts w:eastAsia="SimSun"/>
              </w:rPr>
            </w:pPr>
          </w:p>
        </w:tc>
        <w:tc>
          <w:tcPr>
            <w:tcW w:w="539" w:type="dxa"/>
            <w:tcBorders>
              <w:bottom w:val="single" w:sz="4" w:space="0" w:color="auto"/>
            </w:tcBorders>
          </w:tcPr>
          <w:p w14:paraId="03C24C0F" w14:textId="77777777" w:rsidR="003A71DE" w:rsidRPr="007D0AFB" w:rsidRDefault="003A71DE" w:rsidP="00A40F90">
            <w:pPr>
              <w:pStyle w:val="TAH"/>
              <w:rPr>
                <w:rFonts w:eastAsia="SimSun"/>
              </w:rPr>
            </w:pPr>
            <w:r w:rsidRPr="007D0AFB">
              <w:rPr>
                <w:rFonts w:eastAsia="SimSun"/>
              </w:rPr>
              <w:t>T1</w:t>
            </w:r>
          </w:p>
        </w:tc>
        <w:tc>
          <w:tcPr>
            <w:tcW w:w="539" w:type="dxa"/>
            <w:tcBorders>
              <w:bottom w:val="single" w:sz="4" w:space="0" w:color="auto"/>
            </w:tcBorders>
          </w:tcPr>
          <w:p w14:paraId="4FEC9B5D" w14:textId="77777777" w:rsidR="003A71DE" w:rsidRPr="007D0AFB" w:rsidRDefault="003A71DE" w:rsidP="00A40F90">
            <w:pPr>
              <w:pStyle w:val="TAH"/>
              <w:rPr>
                <w:rFonts w:eastAsia="SimSun"/>
              </w:rPr>
            </w:pPr>
            <w:r w:rsidRPr="007D0AFB">
              <w:rPr>
                <w:rFonts w:eastAsia="SimSun"/>
              </w:rPr>
              <w:t>T2</w:t>
            </w:r>
          </w:p>
        </w:tc>
        <w:tc>
          <w:tcPr>
            <w:tcW w:w="539" w:type="dxa"/>
            <w:tcBorders>
              <w:bottom w:val="single" w:sz="4" w:space="0" w:color="auto"/>
            </w:tcBorders>
          </w:tcPr>
          <w:p w14:paraId="4311164D" w14:textId="77777777" w:rsidR="003A71DE" w:rsidRPr="007D0AFB" w:rsidRDefault="003A71DE" w:rsidP="00A40F90">
            <w:pPr>
              <w:pStyle w:val="TAH"/>
              <w:rPr>
                <w:rFonts w:eastAsia="SimSun"/>
              </w:rPr>
            </w:pPr>
            <w:r w:rsidRPr="007D0AFB">
              <w:rPr>
                <w:rFonts w:eastAsia="SimSun"/>
              </w:rPr>
              <w:t>T3</w:t>
            </w:r>
          </w:p>
        </w:tc>
        <w:tc>
          <w:tcPr>
            <w:tcW w:w="539" w:type="dxa"/>
            <w:tcBorders>
              <w:bottom w:val="single" w:sz="4" w:space="0" w:color="auto"/>
            </w:tcBorders>
          </w:tcPr>
          <w:p w14:paraId="019167CF" w14:textId="77777777" w:rsidR="003A71DE" w:rsidRPr="007D0AFB" w:rsidRDefault="003A71DE" w:rsidP="00A40F90">
            <w:pPr>
              <w:pStyle w:val="TAH"/>
              <w:rPr>
                <w:rFonts w:eastAsia="SimSun"/>
              </w:rPr>
            </w:pPr>
            <w:r w:rsidRPr="007D0AFB">
              <w:rPr>
                <w:rFonts w:eastAsia="SimSun"/>
              </w:rPr>
              <w:t>T4</w:t>
            </w:r>
          </w:p>
        </w:tc>
        <w:tc>
          <w:tcPr>
            <w:tcW w:w="540" w:type="dxa"/>
            <w:tcBorders>
              <w:bottom w:val="single" w:sz="4" w:space="0" w:color="auto"/>
            </w:tcBorders>
          </w:tcPr>
          <w:p w14:paraId="42482FE3" w14:textId="77777777" w:rsidR="003A71DE" w:rsidRPr="007D0AFB" w:rsidRDefault="003A71DE" w:rsidP="00A40F90">
            <w:pPr>
              <w:pStyle w:val="TAH"/>
              <w:rPr>
                <w:rFonts w:eastAsia="SimSun"/>
              </w:rPr>
            </w:pPr>
            <w:r w:rsidRPr="007D0AFB">
              <w:rPr>
                <w:rFonts w:eastAsia="SimSun"/>
              </w:rPr>
              <w:t>T5</w:t>
            </w:r>
          </w:p>
        </w:tc>
      </w:tr>
      <w:tr w:rsidR="003A71DE" w:rsidRPr="007D0AFB" w14:paraId="72A690EF" w14:textId="77777777" w:rsidTr="003A71DE">
        <w:trPr>
          <w:cantSplit/>
          <w:trHeight w:val="187"/>
          <w:jc w:val="center"/>
        </w:trPr>
        <w:tc>
          <w:tcPr>
            <w:tcW w:w="3537" w:type="dxa"/>
            <w:gridSpan w:val="2"/>
            <w:tcBorders>
              <w:left w:val="single" w:sz="4" w:space="0" w:color="auto"/>
              <w:bottom w:val="single" w:sz="4" w:space="0" w:color="auto"/>
            </w:tcBorders>
          </w:tcPr>
          <w:p w14:paraId="58B7C059"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PDCCH DMRS to SSS</w:t>
            </w:r>
          </w:p>
        </w:tc>
        <w:tc>
          <w:tcPr>
            <w:tcW w:w="709" w:type="dxa"/>
            <w:tcBorders>
              <w:bottom w:val="single" w:sz="4" w:space="0" w:color="auto"/>
            </w:tcBorders>
          </w:tcPr>
          <w:p w14:paraId="1C5AF33F"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tcPr>
          <w:p w14:paraId="6832745A"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4</w:t>
            </w:r>
          </w:p>
        </w:tc>
      </w:tr>
      <w:tr w:rsidR="003A71DE" w:rsidRPr="007D0AFB" w14:paraId="4F504CA3" w14:textId="77777777" w:rsidTr="003A71DE">
        <w:trPr>
          <w:cantSplit/>
          <w:trHeight w:val="187"/>
          <w:jc w:val="center"/>
        </w:trPr>
        <w:tc>
          <w:tcPr>
            <w:tcW w:w="3537" w:type="dxa"/>
            <w:gridSpan w:val="2"/>
            <w:tcBorders>
              <w:left w:val="single" w:sz="4" w:space="0" w:color="auto"/>
              <w:bottom w:val="single" w:sz="4" w:space="0" w:color="auto"/>
            </w:tcBorders>
          </w:tcPr>
          <w:p w14:paraId="7B1324C5"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PDCCH to PDCCH DMRS</w:t>
            </w:r>
          </w:p>
        </w:tc>
        <w:tc>
          <w:tcPr>
            <w:tcW w:w="709" w:type="dxa"/>
            <w:tcBorders>
              <w:bottom w:val="single" w:sz="4" w:space="0" w:color="auto"/>
            </w:tcBorders>
          </w:tcPr>
          <w:p w14:paraId="287694D3"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tcBorders>
              <w:bottom w:val="single" w:sz="4" w:space="0" w:color="auto"/>
            </w:tcBorders>
          </w:tcPr>
          <w:p w14:paraId="683834D9"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0</w:t>
            </w:r>
          </w:p>
        </w:tc>
      </w:tr>
      <w:tr w:rsidR="003A71DE" w:rsidRPr="007D0AFB" w14:paraId="68BDD532" w14:textId="77777777" w:rsidTr="003A71DE">
        <w:trPr>
          <w:cantSplit/>
          <w:trHeight w:val="187"/>
          <w:jc w:val="center"/>
        </w:trPr>
        <w:tc>
          <w:tcPr>
            <w:tcW w:w="3537" w:type="dxa"/>
            <w:gridSpan w:val="2"/>
            <w:tcBorders>
              <w:left w:val="single" w:sz="4" w:space="0" w:color="auto"/>
              <w:bottom w:val="single" w:sz="4" w:space="0" w:color="auto"/>
            </w:tcBorders>
          </w:tcPr>
          <w:p w14:paraId="5698E0F4"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PBCH DMRS to SSS</w:t>
            </w:r>
          </w:p>
        </w:tc>
        <w:tc>
          <w:tcPr>
            <w:tcW w:w="709" w:type="dxa"/>
            <w:tcBorders>
              <w:bottom w:val="single" w:sz="4" w:space="0" w:color="auto"/>
            </w:tcBorders>
          </w:tcPr>
          <w:p w14:paraId="41FAE561"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val="restart"/>
            <w:shd w:val="clear" w:color="auto" w:fill="auto"/>
          </w:tcPr>
          <w:p w14:paraId="513E93ED"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0</w:t>
            </w:r>
          </w:p>
        </w:tc>
      </w:tr>
      <w:tr w:rsidR="003A71DE" w:rsidRPr="007D0AFB" w14:paraId="31D535B5" w14:textId="77777777" w:rsidTr="003A71DE">
        <w:trPr>
          <w:cantSplit/>
          <w:trHeight w:val="187"/>
          <w:jc w:val="center"/>
        </w:trPr>
        <w:tc>
          <w:tcPr>
            <w:tcW w:w="3537" w:type="dxa"/>
            <w:gridSpan w:val="2"/>
            <w:tcBorders>
              <w:left w:val="single" w:sz="4" w:space="0" w:color="auto"/>
              <w:bottom w:val="single" w:sz="4" w:space="0" w:color="auto"/>
            </w:tcBorders>
          </w:tcPr>
          <w:p w14:paraId="55A8C0CB"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PBCH to PBCH DMRS</w:t>
            </w:r>
          </w:p>
        </w:tc>
        <w:tc>
          <w:tcPr>
            <w:tcW w:w="709" w:type="dxa"/>
            <w:tcBorders>
              <w:bottom w:val="single" w:sz="4" w:space="0" w:color="auto"/>
            </w:tcBorders>
          </w:tcPr>
          <w:p w14:paraId="45F91F96"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shd w:val="clear" w:color="auto" w:fill="auto"/>
          </w:tcPr>
          <w:p w14:paraId="013D904B" w14:textId="77777777" w:rsidR="003A71DE" w:rsidRPr="007D0AFB" w:rsidRDefault="003A71DE" w:rsidP="003A71DE">
            <w:pPr>
              <w:keepNext/>
              <w:keepLines/>
              <w:spacing w:after="0"/>
              <w:jc w:val="center"/>
              <w:rPr>
                <w:rFonts w:ascii="Arial" w:eastAsia="SimSun" w:hAnsi="Arial"/>
                <w:sz w:val="18"/>
              </w:rPr>
            </w:pPr>
          </w:p>
        </w:tc>
      </w:tr>
      <w:tr w:rsidR="003A71DE" w:rsidRPr="007D0AFB" w14:paraId="38F3F7C6" w14:textId="77777777" w:rsidTr="003A71DE">
        <w:trPr>
          <w:cantSplit/>
          <w:trHeight w:val="187"/>
          <w:jc w:val="center"/>
        </w:trPr>
        <w:tc>
          <w:tcPr>
            <w:tcW w:w="3537" w:type="dxa"/>
            <w:gridSpan w:val="2"/>
            <w:tcBorders>
              <w:left w:val="single" w:sz="4" w:space="0" w:color="auto"/>
              <w:bottom w:val="single" w:sz="4" w:space="0" w:color="auto"/>
            </w:tcBorders>
          </w:tcPr>
          <w:p w14:paraId="5B7A3DE4"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PSS to SSS</w:t>
            </w:r>
          </w:p>
        </w:tc>
        <w:tc>
          <w:tcPr>
            <w:tcW w:w="709" w:type="dxa"/>
            <w:tcBorders>
              <w:bottom w:val="single" w:sz="4" w:space="0" w:color="auto"/>
            </w:tcBorders>
          </w:tcPr>
          <w:p w14:paraId="7BA530B3"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shd w:val="clear" w:color="auto" w:fill="auto"/>
          </w:tcPr>
          <w:p w14:paraId="0B4A3585" w14:textId="77777777" w:rsidR="003A71DE" w:rsidRPr="007D0AFB" w:rsidRDefault="003A71DE" w:rsidP="003A71DE">
            <w:pPr>
              <w:keepNext/>
              <w:keepLines/>
              <w:spacing w:after="0"/>
              <w:jc w:val="center"/>
              <w:rPr>
                <w:rFonts w:ascii="Arial" w:eastAsia="SimSun" w:hAnsi="Arial"/>
                <w:sz w:val="18"/>
              </w:rPr>
            </w:pPr>
          </w:p>
        </w:tc>
      </w:tr>
      <w:tr w:rsidR="003A71DE" w:rsidRPr="007D0AFB" w14:paraId="467BC9C0" w14:textId="77777777" w:rsidTr="003A71DE">
        <w:trPr>
          <w:cantSplit/>
          <w:trHeight w:val="187"/>
          <w:jc w:val="center"/>
        </w:trPr>
        <w:tc>
          <w:tcPr>
            <w:tcW w:w="3537" w:type="dxa"/>
            <w:gridSpan w:val="2"/>
            <w:tcBorders>
              <w:left w:val="single" w:sz="4" w:space="0" w:color="auto"/>
              <w:bottom w:val="single" w:sz="4" w:space="0" w:color="auto"/>
            </w:tcBorders>
          </w:tcPr>
          <w:p w14:paraId="02753336"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 xml:space="preserve">EPRE ratio of PDSCH DMRS to SSS </w:t>
            </w:r>
          </w:p>
        </w:tc>
        <w:tc>
          <w:tcPr>
            <w:tcW w:w="709" w:type="dxa"/>
            <w:tcBorders>
              <w:bottom w:val="single" w:sz="4" w:space="0" w:color="auto"/>
            </w:tcBorders>
          </w:tcPr>
          <w:p w14:paraId="653A4EA5"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shd w:val="clear" w:color="auto" w:fill="auto"/>
          </w:tcPr>
          <w:p w14:paraId="08E7FA58" w14:textId="77777777" w:rsidR="003A71DE" w:rsidRPr="007D0AFB" w:rsidRDefault="003A71DE" w:rsidP="003A71DE">
            <w:pPr>
              <w:keepNext/>
              <w:keepLines/>
              <w:spacing w:after="0"/>
              <w:jc w:val="center"/>
              <w:rPr>
                <w:rFonts w:ascii="Arial" w:eastAsia="SimSun" w:hAnsi="Arial"/>
                <w:sz w:val="18"/>
              </w:rPr>
            </w:pPr>
          </w:p>
        </w:tc>
      </w:tr>
      <w:tr w:rsidR="003A71DE" w:rsidRPr="007D0AFB" w14:paraId="0CD84BC5" w14:textId="77777777" w:rsidTr="003A71DE">
        <w:trPr>
          <w:cantSplit/>
          <w:trHeight w:val="187"/>
          <w:jc w:val="center"/>
        </w:trPr>
        <w:tc>
          <w:tcPr>
            <w:tcW w:w="3537" w:type="dxa"/>
            <w:gridSpan w:val="2"/>
            <w:tcBorders>
              <w:left w:val="single" w:sz="4" w:space="0" w:color="auto"/>
              <w:bottom w:val="single" w:sz="4" w:space="0" w:color="auto"/>
            </w:tcBorders>
          </w:tcPr>
          <w:p w14:paraId="15F7A50B"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PDSCH to PDSCH DMRS</w:t>
            </w:r>
          </w:p>
        </w:tc>
        <w:tc>
          <w:tcPr>
            <w:tcW w:w="709" w:type="dxa"/>
            <w:tcBorders>
              <w:bottom w:val="single" w:sz="4" w:space="0" w:color="auto"/>
            </w:tcBorders>
          </w:tcPr>
          <w:p w14:paraId="588345C0"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shd w:val="clear" w:color="auto" w:fill="auto"/>
          </w:tcPr>
          <w:p w14:paraId="3F17BDC7" w14:textId="77777777" w:rsidR="003A71DE" w:rsidRPr="007D0AFB" w:rsidRDefault="003A71DE" w:rsidP="003A71DE">
            <w:pPr>
              <w:keepNext/>
              <w:keepLines/>
              <w:spacing w:after="0"/>
              <w:jc w:val="center"/>
              <w:rPr>
                <w:rFonts w:ascii="Arial" w:eastAsia="SimSun" w:hAnsi="Arial"/>
                <w:sz w:val="18"/>
              </w:rPr>
            </w:pPr>
          </w:p>
        </w:tc>
      </w:tr>
      <w:tr w:rsidR="003A71DE" w:rsidRPr="007D0AFB" w14:paraId="4FE95468" w14:textId="77777777" w:rsidTr="003A71DE">
        <w:trPr>
          <w:cantSplit/>
          <w:trHeight w:val="187"/>
          <w:jc w:val="center"/>
        </w:trPr>
        <w:tc>
          <w:tcPr>
            <w:tcW w:w="3537" w:type="dxa"/>
            <w:gridSpan w:val="2"/>
            <w:tcBorders>
              <w:left w:val="single" w:sz="4" w:space="0" w:color="auto"/>
              <w:bottom w:val="single" w:sz="4" w:space="0" w:color="auto"/>
            </w:tcBorders>
          </w:tcPr>
          <w:p w14:paraId="60DF7B30"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OCNG DMRS to SSS</w:t>
            </w:r>
          </w:p>
        </w:tc>
        <w:tc>
          <w:tcPr>
            <w:tcW w:w="709" w:type="dxa"/>
            <w:tcBorders>
              <w:bottom w:val="single" w:sz="4" w:space="0" w:color="auto"/>
            </w:tcBorders>
          </w:tcPr>
          <w:p w14:paraId="7885CA3C"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shd w:val="clear" w:color="auto" w:fill="auto"/>
          </w:tcPr>
          <w:p w14:paraId="3FAC4BEB" w14:textId="77777777" w:rsidR="003A71DE" w:rsidRPr="007D0AFB" w:rsidRDefault="003A71DE" w:rsidP="003A71DE">
            <w:pPr>
              <w:keepNext/>
              <w:keepLines/>
              <w:spacing w:after="0"/>
              <w:jc w:val="center"/>
              <w:rPr>
                <w:rFonts w:ascii="Arial" w:eastAsia="SimSun" w:hAnsi="Arial"/>
                <w:sz w:val="18"/>
              </w:rPr>
            </w:pPr>
          </w:p>
        </w:tc>
      </w:tr>
      <w:tr w:rsidR="003A71DE" w:rsidRPr="007D0AFB" w14:paraId="6203A172" w14:textId="77777777" w:rsidTr="003A71DE">
        <w:trPr>
          <w:cantSplit/>
          <w:trHeight w:val="187"/>
          <w:jc w:val="center"/>
        </w:trPr>
        <w:tc>
          <w:tcPr>
            <w:tcW w:w="3537" w:type="dxa"/>
            <w:gridSpan w:val="2"/>
            <w:tcBorders>
              <w:left w:val="single" w:sz="4" w:space="0" w:color="auto"/>
              <w:bottom w:val="single" w:sz="4" w:space="0" w:color="auto"/>
            </w:tcBorders>
          </w:tcPr>
          <w:p w14:paraId="4557F20C"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ja-JP"/>
              </w:rPr>
              <w:t>EPRE ratio of OCNG to OCNG DMRS</w:t>
            </w:r>
          </w:p>
        </w:tc>
        <w:tc>
          <w:tcPr>
            <w:tcW w:w="709" w:type="dxa"/>
            <w:tcBorders>
              <w:bottom w:val="single" w:sz="4" w:space="0" w:color="auto"/>
            </w:tcBorders>
          </w:tcPr>
          <w:p w14:paraId="59ED8F26"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2696" w:type="dxa"/>
            <w:gridSpan w:val="5"/>
            <w:vMerge/>
            <w:shd w:val="clear" w:color="auto" w:fill="auto"/>
          </w:tcPr>
          <w:p w14:paraId="09998803" w14:textId="77777777" w:rsidR="003A71DE" w:rsidRPr="007D0AFB" w:rsidRDefault="003A71DE" w:rsidP="003A71DE">
            <w:pPr>
              <w:keepNext/>
              <w:keepLines/>
              <w:spacing w:after="0"/>
              <w:jc w:val="center"/>
              <w:rPr>
                <w:rFonts w:ascii="Arial" w:eastAsia="SimSun" w:hAnsi="Arial"/>
                <w:sz w:val="18"/>
              </w:rPr>
            </w:pPr>
          </w:p>
        </w:tc>
      </w:tr>
      <w:tr w:rsidR="003A71DE" w:rsidRPr="007D0AFB" w14:paraId="48D95148" w14:textId="77777777" w:rsidTr="003A71DE">
        <w:trPr>
          <w:cantSplit/>
          <w:trHeight w:val="187"/>
          <w:jc w:val="center"/>
        </w:trPr>
        <w:tc>
          <w:tcPr>
            <w:tcW w:w="1705" w:type="dxa"/>
            <w:tcBorders>
              <w:bottom w:val="nil"/>
            </w:tcBorders>
            <w:shd w:val="clear" w:color="auto" w:fill="auto"/>
          </w:tcPr>
          <w:p w14:paraId="405581C2"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rPr>
              <w:t>SNR on RLM-RS</w:t>
            </w:r>
          </w:p>
        </w:tc>
        <w:tc>
          <w:tcPr>
            <w:tcW w:w="1832" w:type="dxa"/>
          </w:tcPr>
          <w:p w14:paraId="2B5FC62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709" w:type="dxa"/>
            <w:tcBorders>
              <w:bottom w:val="nil"/>
            </w:tcBorders>
            <w:shd w:val="clear" w:color="auto" w:fill="auto"/>
          </w:tcPr>
          <w:p w14:paraId="14423F88"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539" w:type="dxa"/>
          </w:tcPr>
          <w:p w14:paraId="4C8C0B1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w:t>
            </w:r>
          </w:p>
        </w:tc>
        <w:tc>
          <w:tcPr>
            <w:tcW w:w="539" w:type="dxa"/>
          </w:tcPr>
          <w:p w14:paraId="339149A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-7</w:t>
            </w:r>
          </w:p>
        </w:tc>
        <w:tc>
          <w:tcPr>
            <w:tcW w:w="539" w:type="dxa"/>
          </w:tcPr>
          <w:p w14:paraId="67C3EB5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-15</w:t>
            </w:r>
          </w:p>
        </w:tc>
        <w:tc>
          <w:tcPr>
            <w:tcW w:w="539" w:type="dxa"/>
          </w:tcPr>
          <w:p w14:paraId="6227D6E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-4.5</w:t>
            </w:r>
          </w:p>
        </w:tc>
        <w:tc>
          <w:tcPr>
            <w:tcW w:w="540" w:type="dxa"/>
          </w:tcPr>
          <w:p w14:paraId="2D6CFAA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w:t>
            </w:r>
          </w:p>
        </w:tc>
      </w:tr>
      <w:tr w:rsidR="003A71DE" w:rsidRPr="007D0AFB" w14:paraId="395D116B" w14:textId="77777777" w:rsidTr="003A71DE">
        <w:trPr>
          <w:cantSplit/>
          <w:trHeight w:val="187"/>
          <w:jc w:val="center"/>
        </w:trPr>
        <w:tc>
          <w:tcPr>
            <w:tcW w:w="1705" w:type="dxa"/>
            <w:tcBorders>
              <w:top w:val="nil"/>
              <w:bottom w:val="nil"/>
            </w:tcBorders>
            <w:shd w:val="clear" w:color="auto" w:fill="auto"/>
          </w:tcPr>
          <w:p w14:paraId="541004DB" w14:textId="77777777" w:rsidR="003A71DE" w:rsidRPr="007D0AFB" w:rsidRDefault="003A71DE" w:rsidP="003A71DE">
            <w:pPr>
              <w:keepNext/>
              <w:keepLines/>
              <w:spacing w:after="0"/>
              <w:rPr>
                <w:rFonts w:ascii="Arial" w:eastAsia="SimSun" w:hAnsi="Arial"/>
                <w:sz w:val="18"/>
              </w:rPr>
            </w:pPr>
          </w:p>
        </w:tc>
        <w:tc>
          <w:tcPr>
            <w:tcW w:w="1832" w:type="dxa"/>
          </w:tcPr>
          <w:p w14:paraId="05972D4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709" w:type="dxa"/>
            <w:tcBorders>
              <w:top w:val="nil"/>
              <w:bottom w:val="nil"/>
            </w:tcBorders>
            <w:shd w:val="clear" w:color="auto" w:fill="auto"/>
          </w:tcPr>
          <w:p w14:paraId="13B025CE" w14:textId="77777777" w:rsidR="003A71DE" w:rsidRPr="007D0AFB" w:rsidRDefault="003A71DE" w:rsidP="003A71DE">
            <w:pPr>
              <w:keepNext/>
              <w:keepLines/>
              <w:spacing w:after="0"/>
              <w:jc w:val="center"/>
              <w:rPr>
                <w:rFonts w:ascii="Arial" w:eastAsia="SimSun" w:hAnsi="Arial"/>
                <w:sz w:val="18"/>
              </w:rPr>
            </w:pPr>
          </w:p>
        </w:tc>
        <w:tc>
          <w:tcPr>
            <w:tcW w:w="539" w:type="dxa"/>
          </w:tcPr>
          <w:p w14:paraId="67A707B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c>
          <w:tcPr>
            <w:tcW w:w="539" w:type="dxa"/>
          </w:tcPr>
          <w:p w14:paraId="0DE07E1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-7</w:t>
            </w:r>
          </w:p>
        </w:tc>
        <w:tc>
          <w:tcPr>
            <w:tcW w:w="539" w:type="dxa"/>
          </w:tcPr>
          <w:p w14:paraId="78529E3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-15</w:t>
            </w:r>
          </w:p>
        </w:tc>
        <w:tc>
          <w:tcPr>
            <w:tcW w:w="539" w:type="dxa"/>
          </w:tcPr>
          <w:p w14:paraId="148D482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-4.5</w:t>
            </w:r>
          </w:p>
        </w:tc>
        <w:tc>
          <w:tcPr>
            <w:tcW w:w="540" w:type="dxa"/>
          </w:tcPr>
          <w:p w14:paraId="0B14D5D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609EC69C" w14:textId="77777777" w:rsidTr="003A71DE">
        <w:trPr>
          <w:cantSplit/>
          <w:trHeight w:val="187"/>
          <w:jc w:val="center"/>
        </w:trPr>
        <w:tc>
          <w:tcPr>
            <w:tcW w:w="1705" w:type="dxa"/>
            <w:tcBorders>
              <w:top w:val="nil"/>
            </w:tcBorders>
            <w:shd w:val="clear" w:color="auto" w:fill="auto"/>
          </w:tcPr>
          <w:p w14:paraId="42720E10" w14:textId="77777777" w:rsidR="003A71DE" w:rsidRPr="007D0AFB" w:rsidRDefault="003A71DE" w:rsidP="003A71DE">
            <w:pPr>
              <w:keepNext/>
              <w:keepLines/>
              <w:spacing w:after="0"/>
              <w:rPr>
                <w:rFonts w:ascii="Arial" w:eastAsia="SimSun" w:hAnsi="Arial"/>
                <w:sz w:val="18"/>
              </w:rPr>
            </w:pPr>
          </w:p>
        </w:tc>
        <w:tc>
          <w:tcPr>
            <w:tcW w:w="1832" w:type="dxa"/>
          </w:tcPr>
          <w:p w14:paraId="2C924DA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3</w:t>
            </w:r>
          </w:p>
        </w:tc>
        <w:tc>
          <w:tcPr>
            <w:tcW w:w="709" w:type="dxa"/>
            <w:tcBorders>
              <w:top w:val="nil"/>
            </w:tcBorders>
            <w:shd w:val="clear" w:color="auto" w:fill="auto"/>
          </w:tcPr>
          <w:p w14:paraId="03B9272F" w14:textId="77777777" w:rsidR="003A71DE" w:rsidRPr="007D0AFB" w:rsidRDefault="003A71DE" w:rsidP="003A71DE">
            <w:pPr>
              <w:keepNext/>
              <w:keepLines/>
              <w:spacing w:after="0"/>
              <w:jc w:val="center"/>
              <w:rPr>
                <w:rFonts w:ascii="Arial" w:eastAsia="SimSun" w:hAnsi="Arial"/>
                <w:sz w:val="18"/>
              </w:rPr>
            </w:pPr>
          </w:p>
        </w:tc>
        <w:tc>
          <w:tcPr>
            <w:tcW w:w="539" w:type="dxa"/>
          </w:tcPr>
          <w:p w14:paraId="7120D5B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c>
          <w:tcPr>
            <w:tcW w:w="539" w:type="dxa"/>
          </w:tcPr>
          <w:p w14:paraId="13B2DA2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-7</w:t>
            </w:r>
          </w:p>
        </w:tc>
        <w:tc>
          <w:tcPr>
            <w:tcW w:w="539" w:type="dxa"/>
          </w:tcPr>
          <w:p w14:paraId="4F6868A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S Mincho" w:hAnsi="Arial"/>
                <w:sz w:val="18"/>
              </w:rPr>
              <w:t>-15</w:t>
            </w:r>
          </w:p>
        </w:tc>
        <w:tc>
          <w:tcPr>
            <w:tcW w:w="539" w:type="dxa"/>
          </w:tcPr>
          <w:p w14:paraId="7382CD7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-4.5</w:t>
            </w:r>
          </w:p>
        </w:tc>
        <w:tc>
          <w:tcPr>
            <w:tcW w:w="540" w:type="dxa"/>
          </w:tcPr>
          <w:p w14:paraId="7C122EE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193E2C0A" w14:textId="77777777" w:rsidTr="003A71DE">
        <w:trPr>
          <w:cantSplit/>
          <w:trHeight w:val="187"/>
          <w:jc w:val="center"/>
        </w:trPr>
        <w:tc>
          <w:tcPr>
            <w:tcW w:w="1705" w:type="dxa"/>
            <w:tcBorders>
              <w:bottom w:val="single" w:sz="4" w:space="0" w:color="auto"/>
            </w:tcBorders>
          </w:tcPr>
          <w:p w14:paraId="46363566" w14:textId="77777777" w:rsidR="003A71DE" w:rsidRPr="007D0AFB" w:rsidRDefault="003A71DE" w:rsidP="003A71DE">
            <w:pPr>
              <w:keepNext/>
              <w:keepLines/>
              <w:spacing w:after="0"/>
              <w:rPr>
                <w:rFonts w:ascii="Arial" w:eastAsia="SimSun" w:hAnsi="Arial"/>
                <w:sz w:val="18"/>
              </w:rPr>
            </w:pPr>
            <w:r w:rsidRPr="007D0AFB">
              <w:rPr>
                <w:rFonts w:ascii="Arial" w:eastAsia="SimSun" w:hAnsi="Arial"/>
                <w:sz w:val="18"/>
                <w:lang w:eastAsia="zh-CN"/>
              </w:rPr>
              <w:t>SNR on other channels and signals</w:t>
            </w:r>
          </w:p>
        </w:tc>
        <w:tc>
          <w:tcPr>
            <w:tcW w:w="1832" w:type="dxa"/>
          </w:tcPr>
          <w:p w14:paraId="28AB650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 2, 3</w:t>
            </w:r>
          </w:p>
        </w:tc>
        <w:tc>
          <w:tcPr>
            <w:tcW w:w="709" w:type="dxa"/>
            <w:tcBorders>
              <w:bottom w:val="single" w:sz="4" w:space="0" w:color="auto"/>
            </w:tcBorders>
          </w:tcPr>
          <w:p w14:paraId="524F37EC"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w:t>
            </w:r>
          </w:p>
        </w:tc>
        <w:tc>
          <w:tcPr>
            <w:tcW w:w="539" w:type="dxa"/>
          </w:tcPr>
          <w:p w14:paraId="4421410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rPr>
              <w:t>1</w:t>
            </w:r>
          </w:p>
        </w:tc>
        <w:tc>
          <w:tcPr>
            <w:tcW w:w="539" w:type="dxa"/>
          </w:tcPr>
          <w:p w14:paraId="4AC8CA1D" w14:textId="77777777" w:rsidR="003A71DE" w:rsidRPr="007D0AFB" w:rsidRDefault="003A71DE" w:rsidP="003A71DE">
            <w:pPr>
              <w:keepNext/>
              <w:keepLines/>
              <w:spacing w:after="0"/>
              <w:jc w:val="center"/>
              <w:rPr>
                <w:rFonts w:ascii="Arial" w:eastAsia="MS Mincho" w:hAnsi="Arial"/>
                <w:sz w:val="18"/>
              </w:rPr>
            </w:pPr>
          </w:p>
        </w:tc>
        <w:tc>
          <w:tcPr>
            <w:tcW w:w="539" w:type="dxa"/>
          </w:tcPr>
          <w:p w14:paraId="13FE9E31" w14:textId="77777777" w:rsidR="003A71DE" w:rsidRPr="007D0AFB" w:rsidRDefault="003A71DE" w:rsidP="003A71DE">
            <w:pPr>
              <w:keepNext/>
              <w:keepLines/>
              <w:spacing w:after="0"/>
              <w:jc w:val="center"/>
              <w:rPr>
                <w:rFonts w:ascii="Arial" w:eastAsia="MS Mincho" w:hAnsi="Arial"/>
                <w:sz w:val="18"/>
              </w:rPr>
            </w:pPr>
          </w:p>
        </w:tc>
        <w:tc>
          <w:tcPr>
            <w:tcW w:w="539" w:type="dxa"/>
          </w:tcPr>
          <w:p w14:paraId="2A07879B" w14:textId="77777777" w:rsidR="003A71DE" w:rsidRPr="007D0AFB" w:rsidRDefault="003A71DE" w:rsidP="003A71DE">
            <w:pPr>
              <w:keepNext/>
              <w:keepLines/>
              <w:spacing w:after="0"/>
              <w:jc w:val="center"/>
              <w:rPr>
                <w:rFonts w:ascii="Arial" w:eastAsia="SimSun" w:hAnsi="Arial"/>
                <w:noProof/>
                <w:sz w:val="18"/>
              </w:rPr>
            </w:pPr>
          </w:p>
        </w:tc>
        <w:tc>
          <w:tcPr>
            <w:tcW w:w="540" w:type="dxa"/>
          </w:tcPr>
          <w:p w14:paraId="7DEA1BEC" w14:textId="77777777" w:rsidR="003A71DE" w:rsidRPr="007D0AFB" w:rsidRDefault="003A71DE" w:rsidP="003A71DE">
            <w:pPr>
              <w:keepNext/>
              <w:keepLines/>
              <w:spacing w:after="0"/>
              <w:jc w:val="center"/>
              <w:rPr>
                <w:rFonts w:ascii="Arial" w:eastAsia="SimSun" w:hAnsi="Arial"/>
                <w:noProof/>
                <w:sz w:val="18"/>
              </w:rPr>
            </w:pPr>
          </w:p>
        </w:tc>
      </w:tr>
      <w:tr w:rsidR="003A71DE" w:rsidRPr="007D0AFB" w14:paraId="039ABFE0" w14:textId="77777777" w:rsidTr="003A71DE">
        <w:trPr>
          <w:cantSplit/>
          <w:trHeight w:val="187"/>
          <w:jc w:val="center"/>
        </w:trPr>
        <w:tc>
          <w:tcPr>
            <w:tcW w:w="1705" w:type="dxa"/>
            <w:vMerge w:val="restart"/>
            <w:shd w:val="clear" w:color="auto" w:fill="auto"/>
          </w:tcPr>
          <w:p w14:paraId="012C467E" w14:textId="77777777" w:rsidR="003A71DE" w:rsidRPr="007D0AFB" w:rsidRDefault="003A71DE" w:rsidP="003A71DE">
            <w:pPr>
              <w:keepNext/>
              <w:keepLines/>
              <w:spacing w:after="0"/>
              <w:rPr>
                <w:rFonts w:ascii="Arial" w:eastAsia="SimSun" w:hAnsi="Arial"/>
                <w:sz w:val="18"/>
              </w:rPr>
            </w:pPr>
            <w:r w:rsidRPr="007D0AFB">
              <w:rPr>
                <w:rFonts w:ascii="Arial" w:eastAsia="SimSun" w:hAnsi="Arial"/>
                <w:position w:val="-12"/>
                <w:sz w:val="18"/>
              </w:rPr>
              <w:object w:dxaOrig="420" w:dyaOrig="360" w14:anchorId="482F5D1C">
                <v:shape id="_x0000_i1092" type="#_x0000_t75" style="width:22.15pt;height:22.15pt" o:ole="" fillcolor="window">
                  <v:imagedata r:id="rId114" o:title=""/>
                </v:shape>
                <o:OLEObject Type="Embed" ProgID="Equation.3" ShapeID="_x0000_i1092" DrawAspect="Content" ObjectID="_1734764472" r:id="rId117"/>
              </w:object>
            </w:r>
          </w:p>
        </w:tc>
        <w:tc>
          <w:tcPr>
            <w:tcW w:w="1832" w:type="dxa"/>
          </w:tcPr>
          <w:p w14:paraId="1A98EE7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709" w:type="dxa"/>
            <w:vMerge w:val="restart"/>
            <w:shd w:val="clear" w:color="auto" w:fill="auto"/>
          </w:tcPr>
          <w:p w14:paraId="780243BE"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dBm/SCS</w:t>
            </w:r>
          </w:p>
        </w:tc>
        <w:tc>
          <w:tcPr>
            <w:tcW w:w="2696" w:type="dxa"/>
            <w:gridSpan w:val="5"/>
          </w:tcPr>
          <w:p w14:paraId="09EDD1EA"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-98</w:t>
            </w:r>
          </w:p>
        </w:tc>
      </w:tr>
      <w:tr w:rsidR="003A71DE" w:rsidRPr="007D0AFB" w14:paraId="38E382D7" w14:textId="77777777" w:rsidTr="003A71DE">
        <w:trPr>
          <w:cantSplit/>
          <w:trHeight w:val="187"/>
          <w:jc w:val="center"/>
        </w:trPr>
        <w:tc>
          <w:tcPr>
            <w:tcW w:w="1705" w:type="dxa"/>
            <w:vMerge/>
            <w:shd w:val="clear" w:color="auto" w:fill="auto"/>
          </w:tcPr>
          <w:p w14:paraId="62BF9AE3" w14:textId="77777777" w:rsidR="003A71DE" w:rsidRPr="007D0AFB" w:rsidRDefault="003A71DE" w:rsidP="003A71DE">
            <w:pPr>
              <w:keepNext/>
              <w:keepLines/>
              <w:spacing w:after="0"/>
              <w:rPr>
                <w:rFonts w:ascii="Arial" w:eastAsia="SimSun" w:hAnsi="Arial"/>
                <w:sz w:val="18"/>
              </w:rPr>
            </w:pPr>
          </w:p>
        </w:tc>
        <w:tc>
          <w:tcPr>
            <w:tcW w:w="1832" w:type="dxa"/>
          </w:tcPr>
          <w:p w14:paraId="6BA5DE3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2</w:t>
            </w:r>
          </w:p>
        </w:tc>
        <w:tc>
          <w:tcPr>
            <w:tcW w:w="709" w:type="dxa"/>
            <w:vMerge/>
            <w:shd w:val="clear" w:color="auto" w:fill="auto"/>
          </w:tcPr>
          <w:p w14:paraId="554BB9F4" w14:textId="77777777" w:rsidR="003A71DE" w:rsidRPr="007D0AFB" w:rsidRDefault="003A71DE" w:rsidP="003A71DE">
            <w:pPr>
              <w:keepNext/>
              <w:keepLines/>
              <w:spacing w:after="0"/>
              <w:jc w:val="center"/>
              <w:rPr>
                <w:rFonts w:ascii="Arial" w:eastAsia="SimSun" w:hAnsi="Arial"/>
                <w:sz w:val="18"/>
              </w:rPr>
            </w:pPr>
          </w:p>
        </w:tc>
        <w:tc>
          <w:tcPr>
            <w:tcW w:w="2696" w:type="dxa"/>
            <w:gridSpan w:val="5"/>
          </w:tcPr>
          <w:p w14:paraId="55299FC7"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-95</w:t>
            </w:r>
          </w:p>
        </w:tc>
      </w:tr>
      <w:tr w:rsidR="003A71DE" w:rsidRPr="007D0AFB" w14:paraId="0835F981" w14:textId="77777777" w:rsidTr="003A71DE">
        <w:trPr>
          <w:cantSplit/>
          <w:trHeight w:val="187"/>
          <w:jc w:val="center"/>
        </w:trPr>
        <w:tc>
          <w:tcPr>
            <w:tcW w:w="3537" w:type="dxa"/>
            <w:gridSpan w:val="2"/>
          </w:tcPr>
          <w:p w14:paraId="0B1F3B04" w14:textId="77777777" w:rsidR="003A71DE" w:rsidRPr="007D0AFB" w:rsidRDefault="003A71DE" w:rsidP="003A71DE">
            <w:pPr>
              <w:keepNext/>
              <w:keepLines/>
              <w:spacing w:after="0"/>
              <w:rPr>
                <w:rFonts w:ascii="Arial" w:eastAsia="SimSun" w:hAnsi="Arial"/>
                <w:sz w:val="18"/>
              </w:rPr>
            </w:pPr>
            <w:r w:rsidRPr="007D0AFB">
              <w:rPr>
                <w:rFonts w:ascii="Arial" w:eastAsia="?? ??" w:hAnsi="Arial"/>
                <w:sz w:val="18"/>
              </w:rPr>
              <w:t>Propagation condition</w:t>
            </w:r>
          </w:p>
        </w:tc>
        <w:tc>
          <w:tcPr>
            <w:tcW w:w="709" w:type="dxa"/>
          </w:tcPr>
          <w:p w14:paraId="4827B1D0" w14:textId="77777777" w:rsidR="003A71DE" w:rsidRPr="007D0AFB" w:rsidRDefault="003A71DE" w:rsidP="003A71DE">
            <w:pPr>
              <w:keepNext/>
              <w:keepLines/>
              <w:spacing w:after="0"/>
              <w:jc w:val="center"/>
              <w:rPr>
                <w:rFonts w:ascii="Arial" w:eastAsia="SimSun" w:hAnsi="Arial"/>
                <w:sz w:val="18"/>
              </w:rPr>
            </w:pPr>
          </w:p>
        </w:tc>
        <w:tc>
          <w:tcPr>
            <w:tcW w:w="2696" w:type="dxa"/>
            <w:gridSpan w:val="5"/>
          </w:tcPr>
          <w:p w14:paraId="35DD5C98" w14:textId="77777777" w:rsidR="003A71DE" w:rsidRPr="007D0AFB" w:rsidRDefault="003A71DE" w:rsidP="003A71DE">
            <w:pPr>
              <w:keepNext/>
              <w:keepLines/>
              <w:spacing w:after="0"/>
              <w:jc w:val="center"/>
              <w:rPr>
                <w:rFonts w:ascii="Arial" w:eastAsia="MS Mincho" w:hAnsi="Arial"/>
                <w:sz w:val="18"/>
              </w:rPr>
            </w:pPr>
            <w:r w:rsidRPr="007D0AFB">
              <w:rPr>
                <w:rFonts w:ascii="Arial" w:eastAsia="MS Mincho" w:hAnsi="Arial"/>
                <w:sz w:val="18"/>
              </w:rPr>
              <w:t>TDL-C 300ns 100Hz</w:t>
            </w:r>
          </w:p>
        </w:tc>
      </w:tr>
      <w:tr w:rsidR="003A71DE" w:rsidRPr="007D0AFB" w14:paraId="24599666" w14:textId="77777777" w:rsidTr="003A71DE">
        <w:trPr>
          <w:cantSplit/>
          <w:trHeight w:val="187"/>
          <w:jc w:val="center"/>
        </w:trPr>
        <w:tc>
          <w:tcPr>
            <w:tcW w:w="6942" w:type="dxa"/>
            <w:gridSpan w:val="8"/>
          </w:tcPr>
          <w:p w14:paraId="19B18BE1" w14:textId="77777777" w:rsidR="003A71DE" w:rsidRPr="007D0AFB" w:rsidRDefault="003A71DE" w:rsidP="00A40F90">
            <w:pPr>
              <w:pStyle w:val="TAN"/>
              <w:rPr>
                <w:rFonts w:eastAsia="SimSun"/>
              </w:rPr>
            </w:pPr>
            <w:r w:rsidRPr="007D0AFB">
              <w:rPr>
                <w:rFonts w:eastAsia="SimSun"/>
              </w:rPr>
              <w:t>Note 1:</w:t>
            </w:r>
            <w:r w:rsidRPr="007D0AFB">
              <w:rPr>
                <w:rFonts w:eastAsia="SimSun"/>
              </w:rPr>
              <w:tab/>
              <w:t>OCNG shall be used such that the resources in Cell 1 are fully allocated and a constant total transmitted power spectral density is achieved for all OFDM symbols.</w:t>
            </w:r>
          </w:p>
          <w:p w14:paraId="4B4FEB30" w14:textId="77777777" w:rsidR="003A71DE" w:rsidRPr="007D0AFB" w:rsidRDefault="003A71DE" w:rsidP="00A40F90">
            <w:pPr>
              <w:pStyle w:val="TAN"/>
              <w:rPr>
                <w:rFonts w:eastAsia="SimSun"/>
              </w:rPr>
            </w:pPr>
            <w:r w:rsidRPr="007D0AFB">
              <w:rPr>
                <w:rFonts w:eastAsia="SimSun"/>
              </w:rPr>
              <w:t>Note 2:</w:t>
            </w:r>
            <w:r w:rsidRPr="007D0AFB">
              <w:rPr>
                <w:rFonts w:eastAsia="SimSun"/>
              </w:rPr>
              <w:tab/>
              <w:t>The signal contains PDCCH for IAB-MTs other than the device under test as part of OCNG.</w:t>
            </w:r>
          </w:p>
          <w:p w14:paraId="53FE6FF8" w14:textId="77777777" w:rsidR="003A71DE" w:rsidRPr="007D0AFB" w:rsidRDefault="003A71DE" w:rsidP="00A40F90">
            <w:pPr>
              <w:pStyle w:val="TAN"/>
              <w:rPr>
                <w:rFonts w:eastAsia="SimSun"/>
              </w:rPr>
            </w:pPr>
            <w:r w:rsidRPr="007D0AFB">
              <w:rPr>
                <w:rFonts w:eastAsia="SimSun"/>
              </w:rPr>
              <w:t>Note 3:</w:t>
            </w:r>
            <w:r w:rsidRPr="007D0AFB">
              <w:rPr>
                <w:rFonts w:eastAsia="SimSun"/>
              </w:rPr>
              <w:tab/>
              <w:t>SNR levels correspond to the signal to noise ratio over the SSS REs.</w:t>
            </w:r>
          </w:p>
          <w:p w14:paraId="631A6DA2" w14:textId="77777777" w:rsidR="003A71DE" w:rsidRPr="007D0AFB" w:rsidRDefault="003A71DE" w:rsidP="00A40F90">
            <w:pPr>
              <w:pStyle w:val="TAN"/>
              <w:rPr>
                <w:rFonts w:eastAsia="SimSun"/>
              </w:rPr>
            </w:pPr>
            <w:r w:rsidRPr="007D0AFB">
              <w:rPr>
                <w:rFonts w:eastAsia="SimSun"/>
              </w:rPr>
              <w:t>Note 4:</w:t>
            </w:r>
            <w:r w:rsidRPr="007D0AFB">
              <w:rPr>
                <w:rFonts w:eastAsia="SimSun"/>
              </w:rPr>
              <w:tab/>
              <w:t>The SNR in time periods T1, T2, T3, T4 and T5 is denoted as SNR1, SNR2, SNR3, SNR4 and SNR5 respectively in Figure G.2.3.1.2.1-1.</w:t>
            </w:r>
          </w:p>
          <w:p w14:paraId="07ECD950" w14:textId="63530A45" w:rsidR="003A71DE" w:rsidRPr="007D0AFB" w:rsidRDefault="00D87F11" w:rsidP="00A40F90">
            <w:pPr>
              <w:pStyle w:val="TAN"/>
              <w:rPr>
                <w:rFonts w:eastAsia="SimSun"/>
              </w:rPr>
            </w:pPr>
            <w:r w:rsidRPr="007D0AFB">
              <w:rPr>
                <w:rFonts w:eastAsia="SimSun"/>
              </w:rPr>
              <w:t>Note 5:</w:t>
            </w:r>
            <w:r w:rsidRPr="007D0AFB">
              <w:rPr>
                <w:rFonts w:eastAsia="SimSun"/>
              </w:rPr>
              <w:tab/>
              <w:t xml:space="preserve">The SNR values are specified for testing an IAB-MT which supports 2RX on at least one band. For testing of an IAB-MT which supports 4RX on all bands, the SNR during T3 and T4 is modified as specified in clause </w:t>
            </w:r>
            <w:r>
              <w:rPr>
                <w:rFonts w:eastAsia="SimSun"/>
              </w:rPr>
              <w:t>G.1.3</w:t>
            </w:r>
            <w:r w:rsidRPr="007D0AFB">
              <w:rPr>
                <w:rFonts w:eastAsia="SimSun"/>
              </w:rPr>
              <w:t>.</w:t>
            </w:r>
          </w:p>
        </w:tc>
      </w:tr>
    </w:tbl>
    <w:p w14:paraId="1BEB93B5" w14:textId="77777777" w:rsidR="003A71DE" w:rsidRPr="007D0AFB" w:rsidRDefault="003A71DE" w:rsidP="003A71DE">
      <w:pPr>
        <w:rPr>
          <w:rFonts w:eastAsia="SimSun"/>
          <w:b/>
          <w:lang w:eastAsia="ko-KR"/>
        </w:rPr>
      </w:pPr>
    </w:p>
    <w:p w14:paraId="378E59A0" w14:textId="77777777" w:rsidR="003A71DE" w:rsidRPr="007D0AFB" w:rsidRDefault="003A71DE" w:rsidP="00746C0D">
      <w:pPr>
        <w:pStyle w:val="TH"/>
        <w:rPr>
          <w:rFonts w:eastAsia="SimSun"/>
        </w:rPr>
      </w:pPr>
      <w:r w:rsidRPr="007D0AFB">
        <w:rPr>
          <w:rFonts w:eastAsia="SimSun"/>
          <w:noProof/>
          <w:lang w:eastAsia="zh-CN"/>
        </w:rPr>
        <w:lastRenderedPageBreak/>
        <w:drawing>
          <wp:inline distT="0" distB="0" distL="0" distR="0" wp14:anchorId="663711EE" wp14:editId="69B7C7B4">
            <wp:extent cx="5653833" cy="2880000"/>
            <wp:effectExtent l="0" t="0" r="4445" b="0"/>
            <wp:docPr id="3137" name="圖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cstate="print"/>
                    <a:stretch>
                      <a:fillRect/>
                    </a:stretch>
                  </pic:blipFill>
                  <pic:spPr>
                    <a:xfrm>
                      <a:off x="0" y="0"/>
                      <a:ext cx="5653833" cy="2880000"/>
                    </a:xfrm>
                    <a:prstGeom prst="rect">
                      <a:avLst/>
                    </a:prstGeom>
                  </pic:spPr>
                </pic:pic>
              </a:graphicData>
            </a:graphic>
          </wp:inline>
        </w:drawing>
      </w:r>
    </w:p>
    <w:p w14:paraId="6B1124EA" w14:textId="77777777" w:rsidR="003A71DE" w:rsidRDefault="003A71DE" w:rsidP="00746C0D">
      <w:pPr>
        <w:pStyle w:val="TF"/>
        <w:rPr>
          <w:rFonts w:eastAsia="SimSun"/>
        </w:rPr>
      </w:pPr>
      <w:r w:rsidRPr="007D0AFB">
        <w:rPr>
          <w:rFonts w:eastAsia="SimSun"/>
        </w:rPr>
        <w:t>Figure G.2.3.1.2.1-1: SNR variation for in-sync testing</w:t>
      </w:r>
    </w:p>
    <w:p w14:paraId="0BC22464" w14:textId="77777777" w:rsidR="003A71DE" w:rsidRPr="007D0AFB" w:rsidRDefault="003A71DE" w:rsidP="00746C0D">
      <w:pPr>
        <w:pStyle w:val="H6"/>
        <w:rPr>
          <w:rFonts w:eastAsia="SimSun"/>
          <w:snapToGrid w:val="0"/>
        </w:rPr>
      </w:pPr>
      <w:r w:rsidRPr="007D0AFB">
        <w:rPr>
          <w:rFonts w:eastAsia="SimSun"/>
          <w:snapToGrid w:val="0"/>
        </w:rPr>
        <w:t>G.2.3.1.2.2</w:t>
      </w:r>
      <w:r w:rsidRPr="007D0AFB">
        <w:rPr>
          <w:rFonts w:eastAsia="SimSun"/>
          <w:snapToGrid w:val="0"/>
        </w:rPr>
        <w:tab/>
        <w:t>Test Requirements</w:t>
      </w:r>
    </w:p>
    <w:p w14:paraId="31FABBB6" w14:textId="77777777" w:rsidR="003A71DE" w:rsidRPr="007D0AFB" w:rsidRDefault="003A71DE" w:rsidP="003A71DE">
      <w:pPr>
        <w:rPr>
          <w:rFonts w:eastAsia="SimSun"/>
        </w:rPr>
      </w:pPr>
      <w:r w:rsidRPr="007D0AFB">
        <w:rPr>
          <w:rFonts w:eastAsia="SimSun"/>
        </w:rPr>
        <w:t>The IAB-MT behaviour in each test during time durations T1, T2, T3, T4 and T5 shall be as follows:</w:t>
      </w:r>
    </w:p>
    <w:p w14:paraId="7B001579" w14:textId="77777777" w:rsidR="003A71DE" w:rsidRPr="007D0AFB" w:rsidRDefault="003A71DE" w:rsidP="003A71DE">
      <w:pPr>
        <w:rPr>
          <w:rFonts w:eastAsia="SimSun"/>
        </w:rPr>
      </w:pPr>
      <w:r w:rsidRPr="007D0AFB">
        <w:rPr>
          <w:rFonts w:eastAsia="SimSun"/>
        </w:rPr>
        <w:t>During the period from time point A to time point F (D1 second after the start of time duration T5) the IAB-MT shall transmit uplink signal at least in all uplink slots configured for CSI transmission according to the configured periodic CSI reporting.</w:t>
      </w:r>
    </w:p>
    <w:p w14:paraId="4D44B36D" w14:textId="77777777" w:rsidR="003A71DE" w:rsidRPr="00FF5473" w:rsidRDefault="003A71DE" w:rsidP="003A71DE">
      <w:pPr>
        <w:rPr>
          <w:rFonts w:eastAsia="SimSun"/>
        </w:rPr>
      </w:pPr>
      <w:r w:rsidRPr="007D0AFB">
        <w:rPr>
          <w:rFonts w:eastAsia="SimSun"/>
        </w:rPr>
        <w:t>The rate of correct events observed during repeated tests shall be at least 90%.</w:t>
      </w:r>
    </w:p>
    <w:p w14:paraId="5FA428CC" w14:textId="77777777" w:rsidR="003A71DE" w:rsidRPr="007D0AFB" w:rsidRDefault="003A71DE" w:rsidP="00746C0D">
      <w:pPr>
        <w:pStyle w:val="Heading5"/>
        <w:rPr>
          <w:rFonts w:eastAsia="SimSun"/>
        </w:rPr>
      </w:pPr>
      <w:bookmarkStart w:id="10274" w:name="_Toc535476696"/>
      <w:bookmarkStart w:id="10275" w:name="_Toc74583683"/>
      <w:bookmarkStart w:id="10276" w:name="_Toc76542496"/>
      <w:bookmarkStart w:id="10277" w:name="_Toc82450478"/>
      <w:bookmarkStart w:id="10278" w:name="_Toc82451126"/>
      <w:bookmarkStart w:id="10279" w:name="_Toc89949515"/>
      <w:bookmarkStart w:id="10280" w:name="_Toc98755904"/>
      <w:bookmarkStart w:id="10281" w:name="_Toc98763496"/>
      <w:bookmarkStart w:id="10282" w:name="_Toc106184425"/>
      <w:r w:rsidRPr="007D0AFB">
        <w:rPr>
          <w:rFonts w:eastAsia="SimSun"/>
        </w:rPr>
        <w:t>G.2.3.1.3</w:t>
      </w:r>
      <w:r w:rsidRPr="007D0AFB">
        <w:rPr>
          <w:rFonts w:eastAsia="SimSun"/>
        </w:rPr>
        <w:tab/>
        <w:t>Radio Link Monitoring Out-of-sync Test for FR2 PCell configured with SSB-based RLM RS in non-DRX mode</w:t>
      </w:r>
      <w:bookmarkEnd w:id="10274"/>
      <w:bookmarkEnd w:id="10275"/>
      <w:bookmarkEnd w:id="10276"/>
      <w:bookmarkEnd w:id="10277"/>
      <w:bookmarkEnd w:id="10278"/>
      <w:bookmarkEnd w:id="10279"/>
      <w:bookmarkEnd w:id="10280"/>
      <w:bookmarkEnd w:id="10281"/>
      <w:bookmarkEnd w:id="10282"/>
    </w:p>
    <w:p w14:paraId="37BE0FE6" w14:textId="77777777" w:rsidR="003A71DE" w:rsidRPr="007D0AFB" w:rsidRDefault="003A71DE" w:rsidP="00746C0D">
      <w:pPr>
        <w:pStyle w:val="H6"/>
        <w:rPr>
          <w:rFonts w:eastAsia="SimSun"/>
          <w:snapToGrid w:val="0"/>
          <w:lang w:eastAsia="zh-CN"/>
        </w:rPr>
      </w:pPr>
      <w:bookmarkStart w:id="10283" w:name="_Toc535476697"/>
      <w:r w:rsidRPr="007D0AFB">
        <w:rPr>
          <w:rFonts w:eastAsia="SimSun"/>
          <w:snapToGrid w:val="0"/>
          <w:lang w:eastAsia="zh-CN"/>
        </w:rPr>
        <w:t>G.2.3.1.3.1</w:t>
      </w:r>
      <w:r w:rsidRPr="007D0AFB">
        <w:rPr>
          <w:rFonts w:eastAsia="SimSun"/>
          <w:snapToGrid w:val="0"/>
          <w:lang w:eastAsia="zh-CN"/>
        </w:rPr>
        <w:tab/>
        <w:t>Test Purpose and Environment</w:t>
      </w:r>
      <w:bookmarkEnd w:id="10283"/>
    </w:p>
    <w:p w14:paraId="1174B2B7" w14:textId="77777777" w:rsidR="003A71DE" w:rsidRPr="007D0AFB" w:rsidRDefault="003A71DE" w:rsidP="003A71DE">
      <w:pPr>
        <w:rPr>
          <w:rFonts w:eastAsia="SimSun"/>
        </w:rPr>
      </w:pPr>
      <w:r w:rsidRPr="007D0AFB">
        <w:rPr>
          <w:rFonts w:eastAsia="SimSun"/>
        </w:rPr>
        <w:t>The purpose of this test is to verify that the IAB-MT properly detects the out of sync and in sync for the purpose of monitoring downlink radio link quality of the PCell. This test will partly verify the FR2 radio link monitoring requirements in clause 12.3.1.</w:t>
      </w:r>
    </w:p>
    <w:p w14:paraId="44F8C6E2" w14:textId="77777777" w:rsidR="003A71DE" w:rsidRPr="007D0AFB" w:rsidRDefault="003A71DE" w:rsidP="003A71DE">
      <w:pPr>
        <w:rPr>
          <w:rFonts w:eastAsia="SimSun"/>
          <w:i/>
        </w:rPr>
      </w:pPr>
      <w:r w:rsidRPr="007D0AFB">
        <w:rPr>
          <w:rFonts w:eastAsia="SimSun"/>
        </w:rPr>
        <w:t xml:space="preserve">In the test, IAB-MT is configured to perform RLM on SSB, with </w:t>
      </w:r>
      <w:r w:rsidRPr="007D0AFB">
        <w:rPr>
          <w:rFonts w:eastAsia="SimSun"/>
          <w:i/>
        </w:rPr>
        <w:t>detectionResource</w:t>
      </w:r>
      <w:r w:rsidRPr="007D0AFB">
        <w:rPr>
          <w:rFonts w:eastAsia="SimSun"/>
        </w:rPr>
        <w:t xml:space="preserve"> included in </w:t>
      </w:r>
      <w:r w:rsidRPr="007D0AFB">
        <w:rPr>
          <w:rFonts w:eastAsia="SimSun"/>
          <w:i/>
        </w:rPr>
        <w:t>RadioLinkMonitoringRS</w:t>
      </w:r>
      <w:r w:rsidRPr="007D0AFB">
        <w:rPr>
          <w:rFonts w:eastAsia="SimSun"/>
        </w:rPr>
        <w:t xml:space="preserve"> set to SSB#0 and SSB#1, and </w:t>
      </w:r>
      <w:r w:rsidRPr="007D0AFB">
        <w:rPr>
          <w:rFonts w:eastAsia="SimSun"/>
          <w:i/>
        </w:rPr>
        <w:t>purpose</w:t>
      </w:r>
      <w:r w:rsidRPr="007D0AFB">
        <w:rPr>
          <w:rFonts w:eastAsia="SimSun"/>
        </w:rPr>
        <w:t xml:space="preserve"> set to ‘</w:t>
      </w:r>
      <w:r w:rsidRPr="007D0AFB">
        <w:rPr>
          <w:rFonts w:eastAsia="SimSun"/>
          <w:i/>
        </w:rPr>
        <w:t>rlf</w:t>
      </w:r>
      <w:r w:rsidRPr="007D0AFB">
        <w:rPr>
          <w:rFonts w:eastAsia="SimSun"/>
        </w:rPr>
        <w:t xml:space="preserve">’. Supported test configurations are shown in table G.2.3.1.3.1-1. The test parameters are given in Tables G.2.3.1.3.1-2 and G.2.3.1.3.1-3 below. There is one cell (Cell 1), which is the active NR cell, in the test. The test consists of three successive time periods, with time duration of T1, T2 and T3 respectively. Figure G.2.3.1.3.1-1 shows the variation of the downlink SNR in the active cell to emulate out-of-sync and in-sync states, and Figure G.2.3.1.3.1-2 shows the Time multiplexed downlink transmissions from each Angle of Arrival. Prior to the start of the time duration T1, the IAB-MT shall be fully synchronized to Cell 1. The IAB-MT shall be configured for periodic CSI reporting with a reporting periodicity of 5 ms. </w:t>
      </w:r>
    </w:p>
    <w:p w14:paraId="16F2B2FB" w14:textId="77777777" w:rsidR="003A71DE" w:rsidRPr="007D0AFB" w:rsidRDefault="003A71DE" w:rsidP="00746C0D">
      <w:pPr>
        <w:pStyle w:val="TH"/>
        <w:rPr>
          <w:rFonts w:eastAsia="SimSun"/>
        </w:rPr>
      </w:pPr>
      <w:r w:rsidRPr="007D0AFB">
        <w:rPr>
          <w:rFonts w:eastAsia="SimSun"/>
        </w:rPr>
        <w:t>Table G.2.3.1.3.1-1: Supported test configurations for FR2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1"/>
        <w:gridCol w:w="4970"/>
      </w:tblGrid>
      <w:tr w:rsidR="003A71DE" w:rsidRPr="007D0AFB" w14:paraId="2A1044AA" w14:textId="77777777" w:rsidTr="003A71DE">
        <w:trPr>
          <w:trHeight w:val="274"/>
          <w:jc w:val="center"/>
        </w:trPr>
        <w:tc>
          <w:tcPr>
            <w:tcW w:w="1631" w:type="dxa"/>
            <w:shd w:val="clear" w:color="auto" w:fill="auto"/>
          </w:tcPr>
          <w:p w14:paraId="77C909B8" w14:textId="77777777" w:rsidR="003A71DE" w:rsidRPr="007D0AFB" w:rsidRDefault="003A71DE" w:rsidP="00A40F90">
            <w:pPr>
              <w:pStyle w:val="TAH"/>
              <w:rPr>
                <w:rFonts w:eastAsia="SimSun"/>
              </w:rPr>
            </w:pPr>
            <w:r w:rsidRPr="007D0AFB">
              <w:rPr>
                <w:rFonts w:eastAsia="SimSun"/>
              </w:rPr>
              <w:t>Configuration</w:t>
            </w:r>
          </w:p>
        </w:tc>
        <w:tc>
          <w:tcPr>
            <w:tcW w:w="4970" w:type="dxa"/>
            <w:shd w:val="clear" w:color="auto" w:fill="auto"/>
          </w:tcPr>
          <w:p w14:paraId="7686BD12" w14:textId="77777777" w:rsidR="003A71DE" w:rsidRPr="007D0AFB" w:rsidRDefault="003A71DE" w:rsidP="00A40F90">
            <w:pPr>
              <w:pStyle w:val="TAH"/>
              <w:rPr>
                <w:rFonts w:eastAsia="SimSun"/>
              </w:rPr>
            </w:pPr>
            <w:r w:rsidRPr="007D0AFB">
              <w:rPr>
                <w:rFonts w:eastAsia="SimSun"/>
              </w:rPr>
              <w:t>Description</w:t>
            </w:r>
          </w:p>
        </w:tc>
      </w:tr>
      <w:tr w:rsidR="003A71DE" w:rsidRPr="007D0AFB" w14:paraId="6C3B61BF" w14:textId="77777777" w:rsidTr="003A71DE">
        <w:trPr>
          <w:trHeight w:val="277"/>
          <w:jc w:val="center"/>
        </w:trPr>
        <w:tc>
          <w:tcPr>
            <w:tcW w:w="1631" w:type="dxa"/>
            <w:shd w:val="clear" w:color="auto" w:fill="auto"/>
          </w:tcPr>
          <w:p w14:paraId="4D27019A" w14:textId="77777777" w:rsidR="003A71DE" w:rsidRPr="007D0AFB" w:rsidRDefault="003A71DE" w:rsidP="00A40F90">
            <w:pPr>
              <w:pStyle w:val="TAL"/>
              <w:rPr>
                <w:rFonts w:eastAsia="SimSun"/>
              </w:rPr>
            </w:pPr>
            <w:r w:rsidRPr="007D0AFB">
              <w:rPr>
                <w:rFonts w:eastAsia="SimSun"/>
              </w:rPr>
              <w:t>1</w:t>
            </w:r>
          </w:p>
        </w:tc>
        <w:tc>
          <w:tcPr>
            <w:tcW w:w="4970" w:type="dxa"/>
            <w:shd w:val="clear" w:color="auto" w:fill="auto"/>
          </w:tcPr>
          <w:p w14:paraId="6C755499" w14:textId="77777777" w:rsidR="003A71DE" w:rsidRPr="007D0AFB" w:rsidRDefault="003A71DE" w:rsidP="00A40F90">
            <w:pPr>
              <w:pStyle w:val="TAL"/>
              <w:rPr>
                <w:rFonts w:eastAsia="SimSun"/>
              </w:rPr>
            </w:pPr>
            <w:r w:rsidRPr="007D0AFB">
              <w:rPr>
                <w:rFonts w:eastAsia="SimSun"/>
              </w:rPr>
              <w:t>TDD, SSB SCS 120 KHz, data SCS 120KHz, BW 100 MHz</w:t>
            </w:r>
          </w:p>
        </w:tc>
      </w:tr>
    </w:tbl>
    <w:p w14:paraId="3D21D971" w14:textId="77777777" w:rsidR="003A71DE" w:rsidRPr="007D0AFB" w:rsidRDefault="003A71DE" w:rsidP="003A71DE">
      <w:pPr>
        <w:rPr>
          <w:rFonts w:eastAsia="SimSun"/>
          <w:lang w:eastAsia="zh-CN"/>
        </w:rPr>
      </w:pPr>
    </w:p>
    <w:p w14:paraId="569FA408" w14:textId="77777777" w:rsidR="003A71DE" w:rsidRPr="007D0AFB" w:rsidRDefault="003A71DE" w:rsidP="00746C0D">
      <w:pPr>
        <w:pStyle w:val="TH"/>
        <w:rPr>
          <w:rFonts w:eastAsia="SimSun"/>
        </w:rPr>
      </w:pPr>
      <w:r w:rsidRPr="007D0AFB">
        <w:rPr>
          <w:rFonts w:eastAsia="SimSun"/>
        </w:rPr>
        <w:lastRenderedPageBreak/>
        <w:t>Table G.2.3.1.3.1-2: General test parameters for FR2 out-of-sync testing in non-DRX mode</w:t>
      </w:r>
    </w:p>
    <w:tbl>
      <w:tblPr>
        <w:tblW w:w="47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1"/>
        <w:gridCol w:w="1463"/>
        <w:gridCol w:w="1927"/>
        <w:gridCol w:w="1086"/>
        <w:gridCol w:w="3112"/>
      </w:tblGrid>
      <w:tr w:rsidR="003A71DE" w:rsidRPr="007D0AFB" w14:paraId="3F2FEE19" w14:textId="77777777" w:rsidTr="003A71DE">
        <w:trPr>
          <w:trHeight w:val="187"/>
          <w:jc w:val="center"/>
        </w:trPr>
        <w:tc>
          <w:tcPr>
            <w:tcW w:w="2696" w:type="pct"/>
            <w:gridSpan w:val="3"/>
            <w:vMerge w:val="restart"/>
            <w:shd w:val="clear" w:color="auto" w:fill="auto"/>
          </w:tcPr>
          <w:p w14:paraId="4564BAE5" w14:textId="77777777" w:rsidR="003A71DE" w:rsidRPr="007D0AFB" w:rsidRDefault="003A71DE" w:rsidP="00A40F90">
            <w:pPr>
              <w:pStyle w:val="TAH"/>
              <w:rPr>
                <w:rFonts w:eastAsia="SimSun"/>
                <w:noProof/>
              </w:rPr>
            </w:pPr>
            <w:r w:rsidRPr="007D0AFB">
              <w:rPr>
                <w:rFonts w:eastAsia="SimSun"/>
                <w:noProof/>
              </w:rPr>
              <w:t>Parameter</w:t>
            </w:r>
          </w:p>
        </w:tc>
        <w:tc>
          <w:tcPr>
            <w:tcW w:w="596" w:type="pct"/>
            <w:vMerge w:val="restart"/>
            <w:shd w:val="clear" w:color="auto" w:fill="auto"/>
          </w:tcPr>
          <w:p w14:paraId="4462C3ED" w14:textId="77777777" w:rsidR="003A71DE" w:rsidRPr="007D0AFB" w:rsidRDefault="003A71DE" w:rsidP="00A40F90">
            <w:pPr>
              <w:pStyle w:val="TAH"/>
              <w:rPr>
                <w:rFonts w:eastAsia="SimSun"/>
                <w:noProof/>
              </w:rPr>
            </w:pPr>
            <w:r w:rsidRPr="007D0AFB">
              <w:rPr>
                <w:rFonts w:eastAsia="SimSun"/>
                <w:noProof/>
              </w:rPr>
              <w:t>Unit</w:t>
            </w:r>
          </w:p>
        </w:tc>
        <w:tc>
          <w:tcPr>
            <w:tcW w:w="1708" w:type="pct"/>
            <w:shd w:val="clear" w:color="auto" w:fill="auto"/>
          </w:tcPr>
          <w:p w14:paraId="1C0321AF" w14:textId="77777777" w:rsidR="003A71DE" w:rsidRPr="007D0AFB" w:rsidRDefault="003A71DE" w:rsidP="00A40F90">
            <w:pPr>
              <w:pStyle w:val="TAH"/>
              <w:rPr>
                <w:rFonts w:eastAsia="SimSun"/>
                <w:noProof/>
              </w:rPr>
            </w:pPr>
            <w:r w:rsidRPr="007D0AFB">
              <w:rPr>
                <w:rFonts w:eastAsia="SimSun"/>
                <w:noProof/>
              </w:rPr>
              <w:t>Value</w:t>
            </w:r>
          </w:p>
        </w:tc>
      </w:tr>
      <w:tr w:rsidR="003A71DE" w:rsidRPr="007D0AFB" w14:paraId="63AB0C63" w14:textId="77777777" w:rsidTr="003A71DE">
        <w:trPr>
          <w:trHeight w:val="187"/>
          <w:jc w:val="center"/>
        </w:trPr>
        <w:tc>
          <w:tcPr>
            <w:tcW w:w="2696" w:type="pct"/>
            <w:gridSpan w:val="3"/>
            <w:vMerge/>
            <w:shd w:val="clear" w:color="auto" w:fill="auto"/>
          </w:tcPr>
          <w:p w14:paraId="2CCDFF6A" w14:textId="77777777" w:rsidR="003A71DE" w:rsidRPr="007D0AFB" w:rsidRDefault="003A71DE" w:rsidP="00A40F90">
            <w:pPr>
              <w:pStyle w:val="TAH"/>
              <w:rPr>
                <w:rFonts w:eastAsia="SimSun"/>
                <w:noProof/>
              </w:rPr>
            </w:pPr>
          </w:p>
        </w:tc>
        <w:tc>
          <w:tcPr>
            <w:tcW w:w="596" w:type="pct"/>
            <w:vMerge/>
            <w:shd w:val="clear" w:color="auto" w:fill="auto"/>
          </w:tcPr>
          <w:p w14:paraId="75CC402C" w14:textId="77777777" w:rsidR="003A71DE" w:rsidRPr="007D0AFB" w:rsidRDefault="003A71DE" w:rsidP="00A40F90">
            <w:pPr>
              <w:pStyle w:val="TAH"/>
              <w:rPr>
                <w:rFonts w:eastAsia="SimSun"/>
                <w:noProof/>
              </w:rPr>
            </w:pPr>
          </w:p>
        </w:tc>
        <w:tc>
          <w:tcPr>
            <w:tcW w:w="1708" w:type="pct"/>
          </w:tcPr>
          <w:p w14:paraId="37C6E0CE" w14:textId="77777777" w:rsidR="003A71DE" w:rsidRPr="007D0AFB" w:rsidRDefault="003A71DE" w:rsidP="00A40F90">
            <w:pPr>
              <w:pStyle w:val="TAH"/>
              <w:rPr>
                <w:rFonts w:eastAsia="SimSun"/>
                <w:noProof/>
              </w:rPr>
            </w:pPr>
            <w:r w:rsidRPr="007D0AFB">
              <w:rPr>
                <w:rFonts w:eastAsia="SimSun"/>
                <w:noProof/>
              </w:rPr>
              <w:t>Test 1</w:t>
            </w:r>
          </w:p>
        </w:tc>
      </w:tr>
      <w:tr w:rsidR="003A71DE" w:rsidRPr="007D0AFB" w14:paraId="3B07166C" w14:textId="77777777" w:rsidTr="003A71DE">
        <w:trPr>
          <w:trHeight w:val="187"/>
          <w:jc w:val="center"/>
        </w:trPr>
        <w:tc>
          <w:tcPr>
            <w:tcW w:w="2696" w:type="pct"/>
            <w:gridSpan w:val="3"/>
            <w:shd w:val="clear" w:color="auto" w:fill="auto"/>
          </w:tcPr>
          <w:p w14:paraId="34070BB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Active PCell</w:t>
            </w:r>
          </w:p>
        </w:tc>
        <w:tc>
          <w:tcPr>
            <w:tcW w:w="596" w:type="pct"/>
            <w:shd w:val="clear" w:color="auto" w:fill="auto"/>
          </w:tcPr>
          <w:p w14:paraId="0D59CFA4"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497F7DB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Cell 1</w:t>
            </w:r>
          </w:p>
        </w:tc>
      </w:tr>
      <w:tr w:rsidR="003A71DE" w:rsidRPr="007D0AFB" w14:paraId="65190A61" w14:textId="77777777" w:rsidTr="003A71DE">
        <w:trPr>
          <w:trHeight w:val="187"/>
          <w:jc w:val="center"/>
        </w:trPr>
        <w:tc>
          <w:tcPr>
            <w:tcW w:w="2696" w:type="pct"/>
            <w:gridSpan w:val="3"/>
            <w:shd w:val="clear" w:color="auto" w:fill="auto"/>
          </w:tcPr>
          <w:p w14:paraId="19F3FC8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RF Channel Number</w:t>
            </w:r>
          </w:p>
        </w:tc>
        <w:tc>
          <w:tcPr>
            <w:tcW w:w="596" w:type="pct"/>
            <w:shd w:val="clear" w:color="auto" w:fill="auto"/>
          </w:tcPr>
          <w:p w14:paraId="402AE7CF"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490BCF3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7DEBADE1" w14:textId="77777777" w:rsidTr="003A71DE">
        <w:trPr>
          <w:trHeight w:val="187"/>
          <w:jc w:val="center"/>
        </w:trPr>
        <w:tc>
          <w:tcPr>
            <w:tcW w:w="1638" w:type="pct"/>
            <w:gridSpan w:val="2"/>
            <w:shd w:val="clear" w:color="auto" w:fill="auto"/>
          </w:tcPr>
          <w:p w14:paraId="0CB01B2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Duplex mode</w:t>
            </w:r>
          </w:p>
        </w:tc>
        <w:tc>
          <w:tcPr>
            <w:tcW w:w="1058" w:type="pct"/>
            <w:shd w:val="clear" w:color="auto" w:fill="auto"/>
          </w:tcPr>
          <w:p w14:paraId="5B0F9BC9"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0D85354"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60160D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TDD</w:t>
            </w:r>
          </w:p>
        </w:tc>
      </w:tr>
      <w:tr w:rsidR="003A71DE" w:rsidRPr="007D0AFB" w14:paraId="05948EA3" w14:textId="77777777" w:rsidTr="003A71DE">
        <w:trPr>
          <w:trHeight w:val="187"/>
          <w:jc w:val="center"/>
        </w:trPr>
        <w:tc>
          <w:tcPr>
            <w:tcW w:w="1638" w:type="pct"/>
            <w:gridSpan w:val="2"/>
            <w:shd w:val="clear" w:color="auto" w:fill="auto"/>
          </w:tcPr>
          <w:p w14:paraId="557A7D6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sz w:val="18"/>
                <w:szCs w:val="16"/>
              </w:rPr>
              <w:t>BW</w:t>
            </w:r>
            <w:r w:rsidRPr="007D0AFB">
              <w:rPr>
                <w:rFonts w:ascii="Arial" w:eastAsia="SimSun" w:hAnsi="Arial" w:cs="Arial"/>
                <w:sz w:val="18"/>
                <w:szCs w:val="16"/>
                <w:vertAlign w:val="subscript"/>
              </w:rPr>
              <w:t>channel</w:t>
            </w:r>
          </w:p>
        </w:tc>
        <w:tc>
          <w:tcPr>
            <w:tcW w:w="1058" w:type="pct"/>
            <w:shd w:val="clear" w:color="auto" w:fill="auto"/>
          </w:tcPr>
          <w:p w14:paraId="572A430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B59E5CB"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12D1617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algun Gothic" w:hAnsi="Arial"/>
                <w:sz w:val="18"/>
                <w:szCs w:val="18"/>
              </w:rPr>
              <w:t>10</w:t>
            </w:r>
            <w:r w:rsidRPr="007D0AFB">
              <w:rPr>
                <w:rFonts w:ascii="Arial" w:eastAsia="SimSun" w:hAnsi="Arial"/>
                <w:sz w:val="18"/>
                <w:szCs w:val="18"/>
                <w:lang w:eastAsia="zh-CN"/>
              </w:rPr>
              <w:t>0</w:t>
            </w:r>
            <w:r w:rsidRPr="007D0AFB">
              <w:rPr>
                <w:rFonts w:ascii="Arial" w:eastAsia="Malgun Gothic" w:hAnsi="Arial"/>
                <w:sz w:val="18"/>
                <w:szCs w:val="18"/>
              </w:rPr>
              <w:t xml:space="preserve">: </w:t>
            </w:r>
            <w:r w:rsidRPr="007D0AFB">
              <w:rPr>
                <w:rFonts w:ascii="Arial" w:eastAsia="Malgun Gothic" w:hAnsi="Arial" w:cs="Arial"/>
                <w:sz w:val="18"/>
                <w:szCs w:val="18"/>
              </w:rPr>
              <w:t>N</w:t>
            </w:r>
            <w:r w:rsidRPr="007D0AFB">
              <w:rPr>
                <w:rFonts w:ascii="Arial" w:eastAsia="Malgun Gothic" w:hAnsi="Arial" w:cs="Arial"/>
                <w:sz w:val="18"/>
                <w:szCs w:val="18"/>
                <w:vertAlign w:val="subscript"/>
              </w:rPr>
              <w:t>RB,c</w:t>
            </w:r>
            <w:r w:rsidRPr="007D0AFB">
              <w:rPr>
                <w:rFonts w:ascii="Arial" w:eastAsia="Malgun Gothic" w:hAnsi="Arial" w:cs="Arial"/>
                <w:sz w:val="18"/>
                <w:szCs w:val="18"/>
              </w:rPr>
              <w:t xml:space="preserve"> = </w:t>
            </w:r>
            <w:r w:rsidRPr="007D0AFB">
              <w:rPr>
                <w:rFonts w:ascii="Arial" w:eastAsia="SimSun" w:hAnsi="Arial" w:cs="Arial"/>
                <w:sz w:val="18"/>
                <w:szCs w:val="18"/>
                <w:lang w:eastAsia="zh-CN"/>
              </w:rPr>
              <w:t>66</w:t>
            </w:r>
          </w:p>
        </w:tc>
      </w:tr>
      <w:tr w:rsidR="003A71DE" w:rsidRPr="007D0AFB" w14:paraId="41B6B135" w14:textId="77777777" w:rsidTr="003A71DE">
        <w:trPr>
          <w:trHeight w:val="187"/>
          <w:jc w:val="center"/>
        </w:trPr>
        <w:tc>
          <w:tcPr>
            <w:tcW w:w="1638" w:type="pct"/>
            <w:gridSpan w:val="2"/>
            <w:shd w:val="clear" w:color="auto" w:fill="auto"/>
          </w:tcPr>
          <w:p w14:paraId="2F30C17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DL initial BWP configuration</w:t>
            </w:r>
          </w:p>
        </w:tc>
        <w:tc>
          <w:tcPr>
            <w:tcW w:w="1058" w:type="pct"/>
            <w:shd w:val="clear" w:color="auto" w:fill="auto"/>
          </w:tcPr>
          <w:p w14:paraId="7C7B6359"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249F3B1B"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BAB325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DLBWP.0.1</w:t>
            </w:r>
          </w:p>
        </w:tc>
      </w:tr>
      <w:tr w:rsidR="003A71DE" w:rsidRPr="007D0AFB" w14:paraId="137365B8" w14:textId="77777777" w:rsidTr="003A71DE">
        <w:trPr>
          <w:trHeight w:val="187"/>
          <w:jc w:val="center"/>
        </w:trPr>
        <w:tc>
          <w:tcPr>
            <w:tcW w:w="1638" w:type="pct"/>
            <w:gridSpan w:val="2"/>
            <w:shd w:val="clear" w:color="auto" w:fill="auto"/>
          </w:tcPr>
          <w:p w14:paraId="18B91F4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DL dedicated BWP configuration</w:t>
            </w:r>
          </w:p>
        </w:tc>
        <w:tc>
          <w:tcPr>
            <w:tcW w:w="1058" w:type="pct"/>
            <w:shd w:val="clear" w:color="auto" w:fill="auto"/>
          </w:tcPr>
          <w:p w14:paraId="10F215FA"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3241E539"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503878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DLBWP.1.1</w:t>
            </w:r>
          </w:p>
        </w:tc>
      </w:tr>
      <w:tr w:rsidR="003A71DE" w:rsidRPr="007D0AFB" w14:paraId="0C42060A" w14:textId="77777777" w:rsidTr="003A71DE">
        <w:trPr>
          <w:trHeight w:val="187"/>
          <w:jc w:val="center"/>
        </w:trPr>
        <w:tc>
          <w:tcPr>
            <w:tcW w:w="1638" w:type="pct"/>
            <w:gridSpan w:val="2"/>
            <w:shd w:val="clear" w:color="auto" w:fill="auto"/>
          </w:tcPr>
          <w:p w14:paraId="4D11FA3E"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cs="Arial"/>
                <w:bCs/>
                <w:sz w:val="18"/>
              </w:rPr>
              <w:t>UL initial BWP configuration</w:t>
            </w:r>
          </w:p>
        </w:tc>
        <w:tc>
          <w:tcPr>
            <w:tcW w:w="1058" w:type="pct"/>
            <w:shd w:val="clear" w:color="auto" w:fill="auto"/>
          </w:tcPr>
          <w:p w14:paraId="45B9F16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96F67FF"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11F5581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ULBWP.0.1</w:t>
            </w:r>
          </w:p>
        </w:tc>
      </w:tr>
      <w:tr w:rsidR="003A71DE" w:rsidRPr="007D0AFB" w14:paraId="513EEE68" w14:textId="77777777" w:rsidTr="003A71DE">
        <w:trPr>
          <w:trHeight w:val="187"/>
          <w:jc w:val="center"/>
        </w:trPr>
        <w:tc>
          <w:tcPr>
            <w:tcW w:w="1638" w:type="pct"/>
            <w:gridSpan w:val="2"/>
            <w:shd w:val="clear" w:color="auto" w:fill="auto"/>
          </w:tcPr>
          <w:p w14:paraId="5BEE554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cs="Arial"/>
                <w:bCs/>
                <w:sz w:val="18"/>
              </w:rPr>
              <w:t>UL dedicated BWP configuration</w:t>
            </w:r>
          </w:p>
        </w:tc>
        <w:tc>
          <w:tcPr>
            <w:tcW w:w="1058" w:type="pct"/>
            <w:shd w:val="clear" w:color="auto" w:fill="auto"/>
          </w:tcPr>
          <w:p w14:paraId="614A154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721F1D21"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EAD811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lang w:eastAsia="zh-CN"/>
              </w:rPr>
              <w:t>ULBWP.1.1</w:t>
            </w:r>
          </w:p>
        </w:tc>
      </w:tr>
      <w:tr w:rsidR="003A71DE" w:rsidRPr="007D0AFB" w14:paraId="35CDFBCF" w14:textId="77777777" w:rsidTr="003A71DE">
        <w:trPr>
          <w:trHeight w:val="187"/>
          <w:jc w:val="center"/>
        </w:trPr>
        <w:tc>
          <w:tcPr>
            <w:tcW w:w="1638" w:type="pct"/>
            <w:gridSpan w:val="2"/>
            <w:shd w:val="clear" w:color="auto" w:fill="auto"/>
          </w:tcPr>
          <w:p w14:paraId="764CE072"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TDD Configuration</w:t>
            </w:r>
          </w:p>
        </w:tc>
        <w:tc>
          <w:tcPr>
            <w:tcW w:w="1058" w:type="pct"/>
            <w:shd w:val="clear" w:color="auto" w:fill="auto"/>
          </w:tcPr>
          <w:p w14:paraId="7E4B7F5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3161AF5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B9031AA" w14:textId="77777777" w:rsidR="003A71DE" w:rsidRPr="007D0AFB" w:rsidRDefault="003A71DE" w:rsidP="003A71DE">
            <w:pPr>
              <w:keepNext/>
              <w:keepLines/>
              <w:spacing w:after="0"/>
              <w:jc w:val="center"/>
              <w:rPr>
                <w:rFonts w:ascii="Arial" w:eastAsia="SimSun" w:hAnsi="Arial"/>
                <w:sz w:val="18"/>
                <w:lang w:eastAsia="zh-CN"/>
              </w:rPr>
            </w:pPr>
            <w:r w:rsidRPr="007D0AFB">
              <w:rPr>
                <w:rFonts w:ascii="Arial" w:eastAsia="SimSun" w:hAnsi="Arial"/>
                <w:sz w:val="18"/>
                <w:lang w:eastAsia="zh-CN"/>
              </w:rPr>
              <w:t>TDDConf.3.1</w:t>
            </w:r>
          </w:p>
        </w:tc>
      </w:tr>
      <w:tr w:rsidR="003A71DE" w:rsidRPr="007D0AFB" w14:paraId="31FC2B97" w14:textId="77777777" w:rsidTr="003A71DE">
        <w:trPr>
          <w:trHeight w:val="187"/>
          <w:jc w:val="center"/>
        </w:trPr>
        <w:tc>
          <w:tcPr>
            <w:tcW w:w="1638" w:type="pct"/>
            <w:gridSpan w:val="2"/>
            <w:shd w:val="clear" w:color="auto" w:fill="auto"/>
          </w:tcPr>
          <w:p w14:paraId="3A41FEC1"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CORESET Reference Channel</w:t>
            </w:r>
          </w:p>
        </w:tc>
        <w:tc>
          <w:tcPr>
            <w:tcW w:w="1058" w:type="pct"/>
            <w:shd w:val="clear" w:color="auto" w:fill="auto"/>
          </w:tcPr>
          <w:p w14:paraId="10D701B1"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23689308"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DDD686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lang w:eastAsia="zh-CN"/>
              </w:rPr>
              <w:t>CR.3.1 TDD</w:t>
            </w:r>
          </w:p>
        </w:tc>
      </w:tr>
      <w:tr w:rsidR="003A71DE" w:rsidRPr="007D0AFB" w14:paraId="281D05F2" w14:textId="77777777" w:rsidTr="003A71DE">
        <w:trPr>
          <w:trHeight w:val="187"/>
          <w:jc w:val="center"/>
        </w:trPr>
        <w:tc>
          <w:tcPr>
            <w:tcW w:w="1638" w:type="pct"/>
            <w:gridSpan w:val="2"/>
            <w:shd w:val="clear" w:color="auto" w:fill="auto"/>
          </w:tcPr>
          <w:p w14:paraId="3220FB6D"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SSB Configuration</w:t>
            </w:r>
          </w:p>
        </w:tc>
        <w:tc>
          <w:tcPr>
            <w:tcW w:w="1058" w:type="pct"/>
            <w:shd w:val="clear" w:color="auto" w:fill="auto"/>
          </w:tcPr>
          <w:p w14:paraId="365A479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407907C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E2D3A2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SSB.1 FR2</w:t>
            </w:r>
          </w:p>
        </w:tc>
      </w:tr>
      <w:tr w:rsidR="003A71DE" w:rsidRPr="007D0AFB" w14:paraId="1DFE8BAE" w14:textId="77777777" w:rsidTr="003A71DE">
        <w:trPr>
          <w:trHeight w:val="187"/>
          <w:jc w:val="center"/>
        </w:trPr>
        <w:tc>
          <w:tcPr>
            <w:tcW w:w="1638" w:type="pct"/>
            <w:gridSpan w:val="2"/>
            <w:shd w:val="clear" w:color="auto" w:fill="auto"/>
          </w:tcPr>
          <w:p w14:paraId="7C79E0AA"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SMTC Configuration</w:t>
            </w:r>
          </w:p>
        </w:tc>
        <w:tc>
          <w:tcPr>
            <w:tcW w:w="1058" w:type="pct"/>
            <w:shd w:val="clear" w:color="auto" w:fill="auto"/>
          </w:tcPr>
          <w:p w14:paraId="6AACCC19"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21EBC1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02386F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sz w:val="18"/>
                <w:szCs w:val="16"/>
                <w:lang w:eastAsia="zh-CN"/>
              </w:rPr>
              <w:t>SMTC.1</w:t>
            </w:r>
          </w:p>
        </w:tc>
      </w:tr>
      <w:tr w:rsidR="003A71DE" w:rsidRPr="007D0AFB" w14:paraId="5B0CF7AA" w14:textId="77777777" w:rsidTr="003A71DE">
        <w:trPr>
          <w:trHeight w:val="187"/>
          <w:jc w:val="center"/>
        </w:trPr>
        <w:tc>
          <w:tcPr>
            <w:tcW w:w="1638" w:type="pct"/>
            <w:gridSpan w:val="2"/>
            <w:shd w:val="clear" w:color="auto" w:fill="auto"/>
          </w:tcPr>
          <w:p w14:paraId="49414EAE"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PDSCH/PDCCH subcarrier spacing</w:t>
            </w:r>
          </w:p>
        </w:tc>
        <w:tc>
          <w:tcPr>
            <w:tcW w:w="1058" w:type="pct"/>
            <w:shd w:val="clear" w:color="auto" w:fill="auto"/>
          </w:tcPr>
          <w:p w14:paraId="6974331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29D8D6F1"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EBAB05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120 KHz</w:t>
            </w:r>
          </w:p>
        </w:tc>
      </w:tr>
      <w:tr w:rsidR="003A71DE" w:rsidRPr="007D0AFB" w14:paraId="7C96A308" w14:textId="77777777" w:rsidTr="003A71DE">
        <w:trPr>
          <w:trHeight w:val="187"/>
          <w:jc w:val="center"/>
        </w:trPr>
        <w:tc>
          <w:tcPr>
            <w:tcW w:w="1638" w:type="pct"/>
            <w:gridSpan w:val="2"/>
            <w:shd w:val="clear" w:color="auto" w:fill="auto"/>
          </w:tcPr>
          <w:p w14:paraId="1B8615CB"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PRACH Configuration</w:t>
            </w:r>
          </w:p>
        </w:tc>
        <w:tc>
          <w:tcPr>
            <w:tcW w:w="1058" w:type="pct"/>
            <w:shd w:val="clear" w:color="auto" w:fill="auto"/>
          </w:tcPr>
          <w:p w14:paraId="01FEC8D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266BAD82"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0BEC200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TBD</w:t>
            </w:r>
          </w:p>
        </w:tc>
      </w:tr>
      <w:tr w:rsidR="003A71DE" w:rsidRPr="007D0AFB" w14:paraId="23EC8781" w14:textId="77777777" w:rsidTr="003A71DE">
        <w:trPr>
          <w:trHeight w:val="187"/>
          <w:jc w:val="center"/>
        </w:trPr>
        <w:tc>
          <w:tcPr>
            <w:tcW w:w="1638" w:type="pct"/>
            <w:gridSpan w:val="2"/>
            <w:shd w:val="clear" w:color="auto" w:fill="auto"/>
          </w:tcPr>
          <w:p w14:paraId="39F963F7"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SSB index assigned as RLM RS</w:t>
            </w:r>
          </w:p>
        </w:tc>
        <w:tc>
          <w:tcPr>
            <w:tcW w:w="1058" w:type="pct"/>
            <w:shd w:val="clear" w:color="auto" w:fill="auto"/>
          </w:tcPr>
          <w:p w14:paraId="2F7CD086"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62587DB1"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7DAE76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0,1</w:t>
            </w:r>
          </w:p>
        </w:tc>
      </w:tr>
      <w:tr w:rsidR="003A71DE" w:rsidRPr="007D0AFB" w14:paraId="2110D1F1" w14:textId="77777777" w:rsidTr="003A71DE">
        <w:trPr>
          <w:trHeight w:val="187"/>
          <w:jc w:val="center"/>
        </w:trPr>
        <w:tc>
          <w:tcPr>
            <w:tcW w:w="2696" w:type="pct"/>
            <w:gridSpan w:val="3"/>
            <w:shd w:val="clear" w:color="auto" w:fill="auto"/>
          </w:tcPr>
          <w:p w14:paraId="44172A1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OCNG parameters</w:t>
            </w:r>
          </w:p>
        </w:tc>
        <w:tc>
          <w:tcPr>
            <w:tcW w:w="596" w:type="pct"/>
            <w:shd w:val="clear" w:color="auto" w:fill="auto"/>
          </w:tcPr>
          <w:p w14:paraId="47B79AF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69C0B5F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OP.2</w:t>
            </w:r>
          </w:p>
        </w:tc>
      </w:tr>
      <w:tr w:rsidR="003A71DE" w:rsidRPr="007D0AFB" w14:paraId="4BE9F52A" w14:textId="77777777" w:rsidTr="003A71DE">
        <w:trPr>
          <w:trHeight w:val="187"/>
          <w:jc w:val="center"/>
        </w:trPr>
        <w:tc>
          <w:tcPr>
            <w:tcW w:w="2696" w:type="pct"/>
            <w:gridSpan w:val="3"/>
            <w:shd w:val="clear" w:color="auto" w:fill="auto"/>
          </w:tcPr>
          <w:p w14:paraId="1D52D9E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CP length</w:t>
            </w:r>
          </w:p>
        </w:tc>
        <w:tc>
          <w:tcPr>
            <w:tcW w:w="596" w:type="pct"/>
            <w:shd w:val="clear" w:color="auto" w:fill="auto"/>
          </w:tcPr>
          <w:p w14:paraId="0E7E341C"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1AA1CAB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Normal</w:t>
            </w:r>
          </w:p>
        </w:tc>
      </w:tr>
      <w:tr w:rsidR="003A71DE" w:rsidRPr="007D0AFB" w14:paraId="7FD9FB90" w14:textId="77777777" w:rsidTr="003A71DE">
        <w:trPr>
          <w:trHeight w:val="187"/>
          <w:jc w:val="center"/>
        </w:trPr>
        <w:tc>
          <w:tcPr>
            <w:tcW w:w="835" w:type="pct"/>
            <w:vMerge w:val="restart"/>
            <w:shd w:val="clear" w:color="auto" w:fill="auto"/>
          </w:tcPr>
          <w:p w14:paraId="696F38AD"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Out of sync transmission parameters </w:t>
            </w:r>
          </w:p>
        </w:tc>
        <w:tc>
          <w:tcPr>
            <w:tcW w:w="1861" w:type="pct"/>
            <w:gridSpan w:val="2"/>
            <w:shd w:val="clear" w:color="auto" w:fill="auto"/>
          </w:tcPr>
          <w:p w14:paraId="6ADE3EAE"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DCI format</w:t>
            </w:r>
          </w:p>
        </w:tc>
        <w:tc>
          <w:tcPr>
            <w:tcW w:w="596" w:type="pct"/>
            <w:shd w:val="clear" w:color="auto" w:fill="auto"/>
          </w:tcPr>
          <w:p w14:paraId="6B178063"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FA5347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w:t>
            </w:r>
          </w:p>
        </w:tc>
      </w:tr>
      <w:tr w:rsidR="003A71DE" w:rsidRPr="007D0AFB" w14:paraId="792C076A" w14:textId="77777777" w:rsidTr="003A71DE">
        <w:trPr>
          <w:trHeight w:val="187"/>
          <w:jc w:val="center"/>
        </w:trPr>
        <w:tc>
          <w:tcPr>
            <w:tcW w:w="835" w:type="pct"/>
            <w:vMerge/>
            <w:shd w:val="clear" w:color="auto" w:fill="auto"/>
          </w:tcPr>
          <w:p w14:paraId="6894B0C8" w14:textId="77777777" w:rsidR="003A71DE" w:rsidRPr="007D0AFB" w:rsidRDefault="003A71DE" w:rsidP="003A71DE">
            <w:pPr>
              <w:keepNext/>
              <w:keepLines/>
              <w:spacing w:after="0"/>
              <w:rPr>
                <w:rFonts w:ascii="Arial" w:eastAsia="SimSun" w:hAnsi="Arial"/>
                <w:noProof/>
                <w:sz w:val="18"/>
              </w:rPr>
            </w:pPr>
          </w:p>
        </w:tc>
        <w:tc>
          <w:tcPr>
            <w:tcW w:w="1861" w:type="pct"/>
            <w:gridSpan w:val="2"/>
            <w:shd w:val="clear" w:color="auto" w:fill="auto"/>
          </w:tcPr>
          <w:p w14:paraId="2B4ED108"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Number of Control OFDM symbols</w:t>
            </w:r>
          </w:p>
        </w:tc>
        <w:tc>
          <w:tcPr>
            <w:tcW w:w="596" w:type="pct"/>
            <w:shd w:val="clear" w:color="auto" w:fill="auto"/>
          </w:tcPr>
          <w:p w14:paraId="09B5FAB9"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560446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w:t>
            </w:r>
          </w:p>
        </w:tc>
      </w:tr>
      <w:tr w:rsidR="003A71DE" w:rsidRPr="007D0AFB" w14:paraId="1787B348" w14:textId="77777777" w:rsidTr="003A71DE">
        <w:trPr>
          <w:trHeight w:val="187"/>
          <w:jc w:val="center"/>
        </w:trPr>
        <w:tc>
          <w:tcPr>
            <w:tcW w:w="835" w:type="pct"/>
            <w:vMerge/>
            <w:shd w:val="clear" w:color="auto" w:fill="auto"/>
          </w:tcPr>
          <w:p w14:paraId="292566F8" w14:textId="77777777" w:rsidR="003A71DE" w:rsidRPr="007D0AFB" w:rsidRDefault="003A71DE" w:rsidP="003A71DE">
            <w:pPr>
              <w:keepNext/>
              <w:keepLines/>
              <w:spacing w:after="0"/>
              <w:rPr>
                <w:rFonts w:ascii="Arial" w:eastAsia="SimSun" w:hAnsi="Arial"/>
                <w:noProof/>
                <w:sz w:val="18"/>
              </w:rPr>
            </w:pPr>
          </w:p>
        </w:tc>
        <w:tc>
          <w:tcPr>
            <w:tcW w:w="1861" w:type="pct"/>
            <w:gridSpan w:val="2"/>
            <w:shd w:val="clear" w:color="auto" w:fill="auto"/>
          </w:tcPr>
          <w:p w14:paraId="1AEBFC8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Aggregation level </w:t>
            </w:r>
          </w:p>
        </w:tc>
        <w:tc>
          <w:tcPr>
            <w:tcW w:w="596" w:type="pct"/>
            <w:shd w:val="clear" w:color="auto" w:fill="auto"/>
          </w:tcPr>
          <w:p w14:paraId="6A42B47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CCE</w:t>
            </w:r>
          </w:p>
        </w:tc>
        <w:tc>
          <w:tcPr>
            <w:tcW w:w="1708" w:type="pct"/>
          </w:tcPr>
          <w:p w14:paraId="1C12C7C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8</w:t>
            </w:r>
          </w:p>
        </w:tc>
      </w:tr>
      <w:tr w:rsidR="003A71DE" w:rsidRPr="007D0AFB" w14:paraId="00F1F98F" w14:textId="77777777" w:rsidTr="003A71DE">
        <w:trPr>
          <w:trHeight w:val="187"/>
          <w:jc w:val="center"/>
        </w:trPr>
        <w:tc>
          <w:tcPr>
            <w:tcW w:w="835" w:type="pct"/>
            <w:vMerge/>
            <w:shd w:val="clear" w:color="auto" w:fill="auto"/>
          </w:tcPr>
          <w:p w14:paraId="4BF58049" w14:textId="77777777" w:rsidR="003A71DE" w:rsidRPr="007D0AFB" w:rsidRDefault="003A71DE" w:rsidP="003A71DE">
            <w:pPr>
              <w:keepNext/>
              <w:keepLines/>
              <w:spacing w:after="0"/>
              <w:rPr>
                <w:rFonts w:ascii="Arial" w:eastAsia="SimSun" w:hAnsi="Arial"/>
                <w:noProof/>
                <w:sz w:val="18"/>
              </w:rPr>
            </w:pPr>
          </w:p>
        </w:tc>
        <w:tc>
          <w:tcPr>
            <w:tcW w:w="1861" w:type="pct"/>
            <w:gridSpan w:val="2"/>
            <w:shd w:val="clear" w:color="auto" w:fill="auto"/>
          </w:tcPr>
          <w:p w14:paraId="24475407"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RE energy to average SSS RE energy</w:t>
            </w:r>
          </w:p>
        </w:tc>
        <w:tc>
          <w:tcPr>
            <w:tcW w:w="596" w:type="pct"/>
            <w:shd w:val="clear" w:color="auto" w:fill="auto"/>
          </w:tcPr>
          <w:p w14:paraId="5F6F4C6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08" w:type="pct"/>
          </w:tcPr>
          <w:p w14:paraId="4BD3370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127F3D7A" w14:textId="77777777" w:rsidTr="003A71DE">
        <w:trPr>
          <w:trHeight w:val="187"/>
          <w:jc w:val="center"/>
        </w:trPr>
        <w:tc>
          <w:tcPr>
            <w:tcW w:w="835" w:type="pct"/>
            <w:vMerge/>
            <w:shd w:val="clear" w:color="auto" w:fill="auto"/>
          </w:tcPr>
          <w:p w14:paraId="5DFF8E68" w14:textId="77777777" w:rsidR="003A71DE" w:rsidRPr="007D0AFB" w:rsidRDefault="003A71DE" w:rsidP="003A71DE">
            <w:pPr>
              <w:keepNext/>
              <w:keepLines/>
              <w:spacing w:after="0"/>
              <w:rPr>
                <w:rFonts w:ascii="Arial" w:eastAsia="SimSun" w:hAnsi="Arial"/>
                <w:noProof/>
                <w:sz w:val="18"/>
              </w:rPr>
            </w:pPr>
          </w:p>
        </w:tc>
        <w:tc>
          <w:tcPr>
            <w:tcW w:w="1861" w:type="pct"/>
            <w:gridSpan w:val="2"/>
            <w:shd w:val="clear" w:color="auto" w:fill="auto"/>
          </w:tcPr>
          <w:p w14:paraId="3007131C"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DMRS energy to average SSS RE energy</w:t>
            </w:r>
          </w:p>
        </w:tc>
        <w:tc>
          <w:tcPr>
            <w:tcW w:w="596" w:type="pct"/>
            <w:shd w:val="clear" w:color="auto" w:fill="auto"/>
          </w:tcPr>
          <w:p w14:paraId="1A74EA9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08" w:type="pct"/>
          </w:tcPr>
          <w:p w14:paraId="12599A4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422A6244" w14:textId="77777777" w:rsidTr="003A71DE">
        <w:trPr>
          <w:trHeight w:val="187"/>
          <w:jc w:val="center"/>
        </w:trPr>
        <w:tc>
          <w:tcPr>
            <w:tcW w:w="835" w:type="pct"/>
            <w:vMerge/>
            <w:shd w:val="clear" w:color="auto" w:fill="auto"/>
          </w:tcPr>
          <w:p w14:paraId="36663BF3" w14:textId="77777777" w:rsidR="003A71DE" w:rsidRPr="007D0AFB" w:rsidRDefault="003A71DE" w:rsidP="003A71DE">
            <w:pPr>
              <w:keepNext/>
              <w:keepLines/>
              <w:spacing w:after="0"/>
              <w:rPr>
                <w:rFonts w:ascii="Arial" w:eastAsia="SimSun" w:hAnsi="Arial"/>
                <w:noProof/>
                <w:sz w:val="18"/>
              </w:rPr>
            </w:pPr>
          </w:p>
        </w:tc>
        <w:tc>
          <w:tcPr>
            <w:tcW w:w="1861" w:type="pct"/>
            <w:gridSpan w:val="2"/>
            <w:shd w:val="clear" w:color="auto" w:fill="auto"/>
          </w:tcPr>
          <w:p w14:paraId="0B16AFD3"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DMRS precoder granularity</w:t>
            </w:r>
          </w:p>
        </w:tc>
        <w:tc>
          <w:tcPr>
            <w:tcW w:w="596" w:type="pct"/>
            <w:shd w:val="clear" w:color="auto" w:fill="auto"/>
          </w:tcPr>
          <w:p w14:paraId="0063DD44" w14:textId="77777777" w:rsidR="003A71DE" w:rsidRPr="007D0AFB" w:rsidRDefault="003A71DE" w:rsidP="003A71DE">
            <w:pPr>
              <w:keepNext/>
              <w:keepLines/>
              <w:spacing w:after="0"/>
              <w:jc w:val="center"/>
              <w:rPr>
                <w:rFonts w:ascii="Arial" w:eastAsia="?? ??" w:hAnsi="Arial"/>
                <w:sz w:val="18"/>
              </w:rPr>
            </w:pPr>
          </w:p>
        </w:tc>
        <w:tc>
          <w:tcPr>
            <w:tcW w:w="1708" w:type="pct"/>
          </w:tcPr>
          <w:p w14:paraId="122C223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 ??" w:hAnsi="Arial"/>
                <w:sz w:val="18"/>
              </w:rPr>
              <w:t>REG bundle size</w:t>
            </w:r>
          </w:p>
        </w:tc>
      </w:tr>
      <w:tr w:rsidR="003A71DE" w:rsidRPr="007D0AFB" w14:paraId="0BFC0A23" w14:textId="77777777" w:rsidTr="003A71DE">
        <w:trPr>
          <w:trHeight w:val="187"/>
          <w:jc w:val="center"/>
        </w:trPr>
        <w:tc>
          <w:tcPr>
            <w:tcW w:w="835" w:type="pct"/>
            <w:vMerge/>
            <w:shd w:val="clear" w:color="auto" w:fill="auto"/>
          </w:tcPr>
          <w:p w14:paraId="6F08A652" w14:textId="77777777" w:rsidR="003A71DE" w:rsidRPr="007D0AFB" w:rsidRDefault="003A71DE" w:rsidP="003A71DE">
            <w:pPr>
              <w:keepNext/>
              <w:keepLines/>
              <w:spacing w:after="0"/>
              <w:rPr>
                <w:rFonts w:ascii="Arial" w:eastAsia="SimSun" w:hAnsi="Arial"/>
                <w:noProof/>
                <w:sz w:val="18"/>
              </w:rPr>
            </w:pPr>
          </w:p>
        </w:tc>
        <w:tc>
          <w:tcPr>
            <w:tcW w:w="1861" w:type="pct"/>
            <w:gridSpan w:val="2"/>
            <w:shd w:val="clear" w:color="auto" w:fill="auto"/>
          </w:tcPr>
          <w:p w14:paraId="39E17F1E"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REG bundle size</w:t>
            </w:r>
          </w:p>
        </w:tc>
        <w:tc>
          <w:tcPr>
            <w:tcW w:w="596" w:type="pct"/>
            <w:shd w:val="clear" w:color="auto" w:fill="auto"/>
          </w:tcPr>
          <w:p w14:paraId="1AD667F6" w14:textId="77777777" w:rsidR="003A71DE" w:rsidRPr="007D0AFB" w:rsidRDefault="003A71DE" w:rsidP="003A71DE">
            <w:pPr>
              <w:keepNext/>
              <w:keepLines/>
              <w:spacing w:after="0"/>
              <w:jc w:val="center"/>
              <w:rPr>
                <w:rFonts w:ascii="Arial" w:eastAsia="?? ??" w:hAnsi="Arial"/>
                <w:sz w:val="18"/>
              </w:rPr>
            </w:pPr>
          </w:p>
        </w:tc>
        <w:tc>
          <w:tcPr>
            <w:tcW w:w="1708" w:type="pct"/>
          </w:tcPr>
          <w:p w14:paraId="2E5EF57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6</w:t>
            </w:r>
          </w:p>
        </w:tc>
      </w:tr>
      <w:tr w:rsidR="003A71DE" w:rsidRPr="007D0AFB" w14:paraId="071984EE" w14:textId="77777777" w:rsidTr="003A71DE">
        <w:trPr>
          <w:trHeight w:val="187"/>
          <w:jc w:val="center"/>
        </w:trPr>
        <w:tc>
          <w:tcPr>
            <w:tcW w:w="2696" w:type="pct"/>
            <w:gridSpan w:val="3"/>
            <w:shd w:val="clear" w:color="auto" w:fill="auto"/>
          </w:tcPr>
          <w:p w14:paraId="5F1D98C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DRX</w:t>
            </w:r>
          </w:p>
        </w:tc>
        <w:tc>
          <w:tcPr>
            <w:tcW w:w="596" w:type="pct"/>
            <w:shd w:val="clear" w:color="auto" w:fill="auto"/>
          </w:tcPr>
          <w:p w14:paraId="0D7A4596"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26CC4FAE"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sz w:val="18"/>
              </w:rPr>
              <w:t>OFF</w:t>
            </w:r>
          </w:p>
        </w:tc>
      </w:tr>
      <w:tr w:rsidR="003A71DE" w:rsidRPr="007D0AFB" w14:paraId="1C57889C" w14:textId="77777777" w:rsidTr="003A71DE">
        <w:trPr>
          <w:trHeight w:val="187"/>
          <w:jc w:val="center"/>
        </w:trPr>
        <w:tc>
          <w:tcPr>
            <w:tcW w:w="2696" w:type="pct"/>
            <w:gridSpan w:val="3"/>
            <w:shd w:val="clear" w:color="auto" w:fill="auto"/>
          </w:tcPr>
          <w:p w14:paraId="790D533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Layer 3 filtering</w:t>
            </w:r>
          </w:p>
        </w:tc>
        <w:tc>
          <w:tcPr>
            <w:tcW w:w="596" w:type="pct"/>
            <w:shd w:val="clear" w:color="auto" w:fill="auto"/>
          </w:tcPr>
          <w:p w14:paraId="0F3E13AA"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5B851A8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i/>
                <w:iCs/>
                <w:sz w:val="18"/>
              </w:rPr>
              <w:t>Enabled</w:t>
            </w:r>
          </w:p>
        </w:tc>
      </w:tr>
      <w:tr w:rsidR="003A71DE" w:rsidRPr="007D0AFB" w14:paraId="10C1B4B2" w14:textId="77777777" w:rsidTr="003A71DE">
        <w:trPr>
          <w:trHeight w:val="187"/>
          <w:jc w:val="center"/>
        </w:trPr>
        <w:tc>
          <w:tcPr>
            <w:tcW w:w="2696" w:type="pct"/>
            <w:gridSpan w:val="3"/>
            <w:shd w:val="clear" w:color="auto" w:fill="auto"/>
          </w:tcPr>
          <w:p w14:paraId="65207AC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T310 timer</w:t>
            </w:r>
          </w:p>
        </w:tc>
        <w:tc>
          <w:tcPr>
            <w:tcW w:w="596" w:type="pct"/>
            <w:shd w:val="clear" w:color="auto" w:fill="auto"/>
          </w:tcPr>
          <w:p w14:paraId="2A13D1CE"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iCs/>
                <w:sz w:val="18"/>
              </w:rPr>
              <w:t>ms</w:t>
            </w:r>
          </w:p>
        </w:tc>
        <w:tc>
          <w:tcPr>
            <w:tcW w:w="1708" w:type="pct"/>
          </w:tcPr>
          <w:p w14:paraId="5564A2AD"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i/>
                <w:iCs/>
                <w:sz w:val="18"/>
              </w:rPr>
              <w:t>0</w:t>
            </w:r>
          </w:p>
        </w:tc>
      </w:tr>
      <w:tr w:rsidR="003A71DE" w:rsidRPr="007D0AFB" w14:paraId="0DCFEDE9" w14:textId="77777777" w:rsidTr="003A71DE">
        <w:trPr>
          <w:trHeight w:val="187"/>
          <w:jc w:val="center"/>
        </w:trPr>
        <w:tc>
          <w:tcPr>
            <w:tcW w:w="2696" w:type="pct"/>
            <w:gridSpan w:val="3"/>
            <w:shd w:val="clear" w:color="auto" w:fill="auto"/>
          </w:tcPr>
          <w:p w14:paraId="723DCF1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T311 timer</w:t>
            </w:r>
          </w:p>
        </w:tc>
        <w:tc>
          <w:tcPr>
            <w:tcW w:w="596" w:type="pct"/>
            <w:shd w:val="clear" w:color="auto" w:fill="auto"/>
          </w:tcPr>
          <w:p w14:paraId="483E17DE"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noProof/>
                <w:sz w:val="18"/>
              </w:rPr>
              <w:t>ms</w:t>
            </w:r>
          </w:p>
        </w:tc>
        <w:tc>
          <w:tcPr>
            <w:tcW w:w="1708" w:type="pct"/>
          </w:tcPr>
          <w:p w14:paraId="1126852E"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noProof/>
                <w:sz w:val="18"/>
              </w:rPr>
              <w:t>1000</w:t>
            </w:r>
          </w:p>
        </w:tc>
      </w:tr>
      <w:tr w:rsidR="003A71DE" w:rsidRPr="007D0AFB" w14:paraId="6D78FF21" w14:textId="77777777" w:rsidTr="003A71DE">
        <w:trPr>
          <w:trHeight w:val="187"/>
          <w:jc w:val="center"/>
        </w:trPr>
        <w:tc>
          <w:tcPr>
            <w:tcW w:w="2696" w:type="pct"/>
            <w:gridSpan w:val="3"/>
            <w:shd w:val="clear" w:color="auto" w:fill="auto"/>
          </w:tcPr>
          <w:p w14:paraId="7CE6BFF5"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N310</w:t>
            </w:r>
          </w:p>
        </w:tc>
        <w:tc>
          <w:tcPr>
            <w:tcW w:w="596" w:type="pct"/>
            <w:shd w:val="clear" w:color="auto" w:fill="auto"/>
          </w:tcPr>
          <w:p w14:paraId="3B5F22AC"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4BC2065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595FE2C4" w14:textId="77777777" w:rsidTr="003A71DE">
        <w:trPr>
          <w:trHeight w:val="187"/>
          <w:jc w:val="center"/>
        </w:trPr>
        <w:tc>
          <w:tcPr>
            <w:tcW w:w="2696" w:type="pct"/>
            <w:gridSpan w:val="3"/>
            <w:shd w:val="clear" w:color="auto" w:fill="auto"/>
          </w:tcPr>
          <w:p w14:paraId="55E08D8C"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N311</w:t>
            </w:r>
          </w:p>
        </w:tc>
        <w:tc>
          <w:tcPr>
            <w:tcW w:w="596" w:type="pct"/>
            <w:shd w:val="clear" w:color="auto" w:fill="auto"/>
          </w:tcPr>
          <w:p w14:paraId="22A317B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65D28C5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513F0DC9" w14:textId="77777777" w:rsidTr="003A71DE">
        <w:trPr>
          <w:trHeight w:val="187"/>
          <w:jc w:val="center"/>
        </w:trPr>
        <w:tc>
          <w:tcPr>
            <w:tcW w:w="1638" w:type="pct"/>
            <w:gridSpan w:val="2"/>
            <w:shd w:val="clear" w:color="auto" w:fill="auto"/>
          </w:tcPr>
          <w:p w14:paraId="4E8B5344" w14:textId="77777777" w:rsidR="003A71DE" w:rsidRPr="007D0AFB" w:rsidRDefault="003A71DE" w:rsidP="003A71DE">
            <w:pPr>
              <w:keepNext/>
              <w:keepLines/>
              <w:spacing w:after="0"/>
              <w:rPr>
                <w:rFonts w:ascii="Arial" w:eastAsia="SimSun" w:hAnsi="Arial" w:cs="Arial"/>
                <w:bCs/>
                <w:sz w:val="18"/>
              </w:rPr>
            </w:pPr>
            <w:r w:rsidRPr="007D0AFB">
              <w:rPr>
                <w:rFonts w:ascii="Arial" w:eastAsia="SimSun" w:hAnsi="Arial"/>
                <w:noProof/>
                <w:sz w:val="18"/>
              </w:rPr>
              <w:t>CSI-RS for CSI reporting</w:t>
            </w:r>
          </w:p>
        </w:tc>
        <w:tc>
          <w:tcPr>
            <w:tcW w:w="1058" w:type="pct"/>
            <w:shd w:val="clear" w:color="auto" w:fill="auto"/>
          </w:tcPr>
          <w:p w14:paraId="52063E47"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54901D2E"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37BC636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szCs w:val="18"/>
              </w:rPr>
              <w:t>CSI-RS.3.1 TDD</w:t>
            </w:r>
          </w:p>
        </w:tc>
      </w:tr>
      <w:tr w:rsidR="003A71DE" w:rsidRPr="007D0AFB" w14:paraId="5EA4F7BC" w14:textId="77777777" w:rsidTr="003A71DE">
        <w:trPr>
          <w:trHeight w:val="187"/>
          <w:jc w:val="center"/>
        </w:trPr>
        <w:tc>
          <w:tcPr>
            <w:tcW w:w="2696" w:type="pct"/>
            <w:gridSpan w:val="3"/>
            <w:shd w:val="clear" w:color="auto" w:fill="auto"/>
          </w:tcPr>
          <w:p w14:paraId="7B00B2E7" w14:textId="77777777" w:rsidR="003A71DE" w:rsidRPr="007D0AFB" w:rsidRDefault="003A71DE" w:rsidP="003A71DE">
            <w:pPr>
              <w:keepNext/>
              <w:keepLines/>
              <w:spacing w:after="0"/>
              <w:rPr>
                <w:rFonts w:ascii="Arial" w:eastAsia="SimSun" w:hAnsi="Arial"/>
                <w:sz w:val="18"/>
                <w:szCs w:val="18"/>
              </w:rPr>
            </w:pPr>
            <w:r w:rsidRPr="007D0AFB">
              <w:rPr>
                <w:rFonts w:ascii="Arial" w:eastAsia="SimSun" w:hAnsi="Arial"/>
                <w:sz w:val="18"/>
                <w:szCs w:val="18"/>
              </w:rPr>
              <w:t>TCI states for PDCCH/PDSCH</w:t>
            </w:r>
          </w:p>
        </w:tc>
        <w:tc>
          <w:tcPr>
            <w:tcW w:w="596" w:type="pct"/>
            <w:shd w:val="clear" w:color="auto" w:fill="auto"/>
          </w:tcPr>
          <w:p w14:paraId="64DC54C8" w14:textId="77777777" w:rsidR="003A71DE" w:rsidRPr="007D0AFB" w:rsidRDefault="003A71DE" w:rsidP="003A71DE">
            <w:pPr>
              <w:keepNext/>
              <w:keepLines/>
              <w:spacing w:after="0"/>
              <w:jc w:val="center"/>
              <w:rPr>
                <w:rFonts w:ascii="Arial" w:eastAsia="SimSun" w:hAnsi="Arial"/>
                <w:sz w:val="18"/>
                <w:szCs w:val="18"/>
              </w:rPr>
            </w:pPr>
          </w:p>
        </w:tc>
        <w:tc>
          <w:tcPr>
            <w:tcW w:w="1708" w:type="pct"/>
          </w:tcPr>
          <w:p w14:paraId="73AD6913" w14:textId="77777777" w:rsidR="003A71DE" w:rsidRPr="007D0AFB" w:rsidRDefault="003A71DE" w:rsidP="003A71DE">
            <w:pPr>
              <w:keepNext/>
              <w:keepLines/>
              <w:spacing w:after="0"/>
              <w:jc w:val="center"/>
              <w:rPr>
                <w:rFonts w:ascii="Arial" w:eastAsia="SimSun" w:hAnsi="Arial"/>
                <w:sz w:val="18"/>
                <w:szCs w:val="18"/>
              </w:rPr>
            </w:pPr>
            <w:r w:rsidRPr="007D0AFB">
              <w:rPr>
                <w:rFonts w:ascii="Arial" w:eastAsia="SimSun" w:hAnsi="Arial"/>
                <w:sz w:val="18"/>
                <w:szCs w:val="18"/>
              </w:rPr>
              <w:t>TCI.State.2</w:t>
            </w:r>
          </w:p>
        </w:tc>
      </w:tr>
      <w:tr w:rsidR="003A71DE" w:rsidRPr="007D0AFB" w14:paraId="17EE3359" w14:textId="77777777" w:rsidTr="003A71DE">
        <w:trPr>
          <w:trHeight w:val="187"/>
          <w:jc w:val="center"/>
        </w:trPr>
        <w:tc>
          <w:tcPr>
            <w:tcW w:w="1638" w:type="pct"/>
            <w:gridSpan w:val="2"/>
            <w:shd w:val="clear" w:color="auto" w:fill="auto"/>
          </w:tcPr>
          <w:p w14:paraId="79C0CE9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CSI-RS for tracking</w:t>
            </w:r>
          </w:p>
        </w:tc>
        <w:tc>
          <w:tcPr>
            <w:tcW w:w="1058" w:type="pct"/>
            <w:shd w:val="clear" w:color="auto" w:fill="auto"/>
          </w:tcPr>
          <w:p w14:paraId="74C3961B"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Config 1</w:t>
            </w:r>
          </w:p>
        </w:tc>
        <w:tc>
          <w:tcPr>
            <w:tcW w:w="596" w:type="pct"/>
            <w:shd w:val="clear" w:color="auto" w:fill="auto"/>
          </w:tcPr>
          <w:p w14:paraId="0E627CD4" w14:textId="77777777" w:rsidR="003A71DE" w:rsidRPr="007D0AFB" w:rsidRDefault="003A71DE" w:rsidP="003A71DE">
            <w:pPr>
              <w:keepNext/>
              <w:keepLines/>
              <w:spacing w:after="0"/>
              <w:jc w:val="center"/>
              <w:rPr>
                <w:rFonts w:ascii="Arial" w:eastAsia="SimSun" w:hAnsi="Arial"/>
                <w:noProof/>
                <w:sz w:val="18"/>
              </w:rPr>
            </w:pPr>
          </w:p>
        </w:tc>
        <w:tc>
          <w:tcPr>
            <w:tcW w:w="1708" w:type="pct"/>
          </w:tcPr>
          <w:p w14:paraId="735B7D9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TRS.2.1 TDD</w:t>
            </w:r>
          </w:p>
        </w:tc>
      </w:tr>
      <w:tr w:rsidR="003A71DE" w:rsidRPr="007D0AFB" w14:paraId="6BDEBAAB" w14:textId="77777777" w:rsidTr="003A71DE">
        <w:trPr>
          <w:trHeight w:val="187"/>
          <w:jc w:val="center"/>
        </w:trPr>
        <w:tc>
          <w:tcPr>
            <w:tcW w:w="2696" w:type="pct"/>
            <w:gridSpan w:val="3"/>
            <w:shd w:val="clear" w:color="auto" w:fill="auto"/>
          </w:tcPr>
          <w:p w14:paraId="28348C0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T1</w:t>
            </w:r>
          </w:p>
        </w:tc>
        <w:tc>
          <w:tcPr>
            <w:tcW w:w="596" w:type="pct"/>
            <w:shd w:val="clear" w:color="auto" w:fill="auto"/>
          </w:tcPr>
          <w:p w14:paraId="02EC2F2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39D9996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noProof/>
                <w:sz w:val="18"/>
                <w:szCs w:val="18"/>
              </w:rPr>
              <w:t>0.2</w:t>
            </w:r>
          </w:p>
        </w:tc>
      </w:tr>
      <w:tr w:rsidR="003A71DE" w:rsidRPr="007D0AFB" w14:paraId="7A95B656" w14:textId="77777777" w:rsidTr="003A71DE">
        <w:trPr>
          <w:trHeight w:val="187"/>
          <w:jc w:val="center"/>
        </w:trPr>
        <w:tc>
          <w:tcPr>
            <w:tcW w:w="2696" w:type="pct"/>
            <w:gridSpan w:val="3"/>
            <w:shd w:val="clear" w:color="auto" w:fill="auto"/>
          </w:tcPr>
          <w:p w14:paraId="5AAC1014"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T2</w:t>
            </w:r>
          </w:p>
        </w:tc>
        <w:tc>
          <w:tcPr>
            <w:tcW w:w="596" w:type="pct"/>
            <w:shd w:val="clear" w:color="auto" w:fill="auto"/>
          </w:tcPr>
          <w:p w14:paraId="15F1C71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776F0EB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cs="Arial"/>
                <w:noProof/>
                <w:sz w:val="18"/>
                <w:szCs w:val="18"/>
              </w:rPr>
              <w:t>4.88</w:t>
            </w:r>
          </w:p>
        </w:tc>
      </w:tr>
      <w:tr w:rsidR="003A71DE" w:rsidRPr="007D0AFB" w14:paraId="4AD873C2" w14:textId="77777777" w:rsidTr="003A71DE">
        <w:trPr>
          <w:trHeight w:val="187"/>
          <w:jc w:val="center"/>
        </w:trPr>
        <w:tc>
          <w:tcPr>
            <w:tcW w:w="2696" w:type="pct"/>
            <w:gridSpan w:val="3"/>
            <w:shd w:val="clear" w:color="auto" w:fill="auto"/>
          </w:tcPr>
          <w:p w14:paraId="5C80F24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T3</w:t>
            </w:r>
          </w:p>
        </w:tc>
        <w:tc>
          <w:tcPr>
            <w:tcW w:w="596" w:type="pct"/>
            <w:shd w:val="clear" w:color="auto" w:fill="auto"/>
          </w:tcPr>
          <w:p w14:paraId="59DC9E4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7FB12B5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4.88</w:t>
            </w:r>
          </w:p>
        </w:tc>
      </w:tr>
      <w:tr w:rsidR="003A71DE" w:rsidRPr="007D0AFB" w14:paraId="7EFFD763" w14:textId="77777777" w:rsidTr="003A71DE">
        <w:trPr>
          <w:trHeight w:val="187"/>
          <w:jc w:val="center"/>
        </w:trPr>
        <w:tc>
          <w:tcPr>
            <w:tcW w:w="2696" w:type="pct"/>
            <w:gridSpan w:val="3"/>
            <w:shd w:val="clear" w:color="auto" w:fill="auto"/>
          </w:tcPr>
          <w:p w14:paraId="6CDDBA82"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D1</w:t>
            </w:r>
          </w:p>
        </w:tc>
        <w:tc>
          <w:tcPr>
            <w:tcW w:w="596" w:type="pct"/>
            <w:shd w:val="clear" w:color="auto" w:fill="auto"/>
          </w:tcPr>
          <w:p w14:paraId="1148EFA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08" w:type="pct"/>
          </w:tcPr>
          <w:p w14:paraId="361FDA2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4.84</w:t>
            </w:r>
          </w:p>
        </w:tc>
      </w:tr>
      <w:tr w:rsidR="003A71DE" w:rsidRPr="007D0AFB" w14:paraId="594CF897" w14:textId="77777777" w:rsidTr="003A71DE">
        <w:trPr>
          <w:trHeight w:val="187"/>
          <w:jc w:val="center"/>
        </w:trPr>
        <w:tc>
          <w:tcPr>
            <w:tcW w:w="5000" w:type="pct"/>
            <w:gridSpan w:val="5"/>
          </w:tcPr>
          <w:p w14:paraId="37F6E208" w14:textId="77777777" w:rsidR="003A71DE" w:rsidRPr="007D0AFB" w:rsidRDefault="003A71DE" w:rsidP="00A40F90">
            <w:pPr>
              <w:pStyle w:val="TAN"/>
              <w:rPr>
                <w:rFonts w:eastAsia="SimSun"/>
              </w:rPr>
            </w:pPr>
            <w:r w:rsidRPr="007D0AFB">
              <w:rPr>
                <w:rFonts w:eastAsia="SimSun"/>
                <w:noProof/>
              </w:rPr>
              <w:t>Note 1:</w:t>
            </w:r>
            <w:r w:rsidRPr="007D0AFB">
              <w:rPr>
                <w:rFonts w:eastAsia="SimSun"/>
                <w:lang w:eastAsia="zh-CN"/>
              </w:rPr>
              <w:tab/>
            </w:r>
            <w:r w:rsidRPr="007D0AFB">
              <w:rPr>
                <w:rFonts w:eastAsia="SimSun"/>
              </w:rPr>
              <w:t>All configurations are assigned to the IAB-MT prior to the start of time period T1.</w:t>
            </w:r>
          </w:p>
          <w:p w14:paraId="154A2A7F" w14:textId="77777777" w:rsidR="003A71DE" w:rsidRPr="007D0AFB" w:rsidRDefault="003A71DE" w:rsidP="00A40F90">
            <w:pPr>
              <w:pStyle w:val="TAN"/>
              <w:rPr>
                <w:rFonts w:eastAsia="SimSun"/>
              </w:rPr>
            </w:pPr>
            <w:r w:rsidRPr="007D0AFB">
              <w:rPr>
                <w:rFonts w:eastAsia="SimSun"/>
              </w:rPr>
              <w:t>Note 2:</w:t>
            </w:r>
            <w:r w:rsidRPr="007D0AFB">
              <w:rPr>
                <w:rFonts w:eastAsia="SimSun"/>
              </w:rPr>
              <w:tab/>
              <w:t>IAB-MT-specific PDCCH is not transmitted after T1 starts.</w:t>
            </w:r>
          </w:p>
        </w:tc>
      </w:tr>
    </w:tbl>
    <w:p w14:paraId="78E9AA5E" w14:textId="77777777" w:rsidR="003A71DE" w:rsidRPr="007D0AFB" w:rsidRDefault="003A71DE" w:rsidP="003A71DE">
      <w:pPr>
        <w:rPr>
          <w:rFonts w:eastAsia="SimSun"/>
        </w:rPr>
      </w:pPr>
    </w:p>
    <w:p w14:paraId="423EDA3B" w14:textId="77777777" w:rsidR="003A71DE" w:rsidRPr="007D0AFB" w:rsidRDefault="003A71DE" w:rsidP="00746C0D">
      <w:pPr>
        <w:pStyle w:val="TH"/>
        <w:rPr>
          <w:rFonts w:eastAsia="SimSun"/>
        </w:rPr>
      </w:pPr>
      <w:r w:rsidRPr="007D0AFB">
        <w:rPr>
          <w:rFonts w:eastAsia="SimSun"/>
        </w:rPr>
        <w:t>Table G.2.3.1.3.1-3: OTA related cell specific test parameters for FR2 (Cell 1) for out-of-sync radio link monitoring tests in non-DRX mode</w:t>
      </w:r>
    </w:p>
    <w:tbl>
      <w:tblPr>
        <w:tblW w:w="88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18"/>
        <w:gridCol w:w="1776"/>
        <w:gridCol w:w="740"/>
        <w:gridCol w:w="740"/>
        <w:gridCol w:w="740"/>
        <w:gridCol w:w="740"/>
        <w:gridCol w:w="740"/>
        <w:gridCol w:w="740"/>
        <w:gridCol w:w="740"/>
      </w:tblGrid>
      <w:tr w:rsidR="003A71DE" w:rsidRPr="00F42DB7" w14:paraId="4B2BE990" w14:textId="77777777" w:rsidTr="003A71DE">
        <w:trPr>
          <w:cantSplit/>
          <w:trHeight w:val="207"/>
          <w:jc w:val="center"/>
        </w:trPr>
        <w:tc>
          <w:tcPr>
            <w:tcW w:w="3694" w:type="dxa"/>
            <w:gridSpan w:val="2"/>
            <w:vMerge w:val="restart"/>
            <w:tcBorders>
              <w:top w:val="single" w:sz="4" w:space="0" w:color="auto"/>
              <w:left w:val="single" w:sz="4" w:space="0" w:color="auto"/>
              <w:bottom w:val="single" w:sz="4" w:space="0" w:color="auto"/>
              <w:right w:val="single" w:sz="4" w:space="0" w:color="auto"/>
            </w:tcBorders>
            <w:hideMark/>
          </w:tcPr>
          <w:p w14:paraId="0046E8E5" w14:textId="77777777" w:rsidR="003A71DE" w:rsidRPr="00F42DB7" w:rsidRDefault="003A71DE" w:rsidP="00A40F90">
            <w:pPr>
              <w:pStyle w:val="TAH"/>
              <w:rPr>
                <w:rFonts w:eastAsia="SimSun"/>
              </w:rPr>
            </w:pPr>
            <w:r w:rsidRPr="00F42DB7">
              <w:rPr>
                <w:rFonts w:eastAsia="SimSun"/>
              </w:rPr>
              <w:t>Parameter</w:t>
            </w:r>
          </w:p>
        </w:tc>
        <w:tc>
          <w:tcPr>
            <w:tcW w:w="740" w:type="dxa"/>
            <w:vMerge w:val="restart"/>
            <w:tcBorders>
              <w:top w:val="single" w:sz="4" w:space="0" w:color="auto"/>
              <w:left w:val="single" w:sz="4" w:space="0" w:color="auto"/>
              <w:bottom w:val="single" w:sz="4" w:space="0" w:color="auto"/>
              <w:right w:val="single" w:sz="4" w:space="0" w:color="auto"/>
            </w:tcBorders>
            <w:hideMark/>
          </w:tcPr>
          <w:p w14:paraId="3B615C67" w14:textId="77777777" w:rsidR="003A71DE" w:rsidRPr="00F42DB7" w:rsidRDefault="003A71DE" w:rsidP="00A40F90">
            <w:pPr>
              <w:pStyle w:val="TAH"/>
              <w:rPr>
                <w:rFonts w:eastAsia="SimSun"/>
              </w:rPr>
            </w:pPr>
            <w:r w:rsidRPr="00F42DB7">
              <w:rPr>
                <w:rFonts w:eastAsia="SimSun"/>
              </w:rPr>
              <w:t>Unit</w:t>
            </w:r>
          </w:p>
        </w:tc>
        <w:tc>
          <w:tcPr>
            <w:tcW w:w="4440" w:type="dxa"/>
            <w:gridSpan w:val="6"/>
            <w:tcBorders>
              <w:top w:val="single" w:sz="4" w:space="0" w:color="auto"/>
              <w:left w:val="single" w:sz="4" w:space="0" w:color="auto"/>
              <w:bottom w:val="single" w:sz="4" w:space="0" w:color="auto"/>
              <w:right w:val="single" w:sz="4" w:space="0" w:color="auto"/>
            </w:tcBorders>
            <w:hideMark/>
          </w:tcPr>
          <w:p w14:paraId="2122B2A3" w14:textId="77777777" w:rsidR="003A71DE" w:rsidRPr="00F42DB7" w:rsidRDefault="003A71DE" w:rsidP="00A40F90">
            <w:pPr>
              <w:pStyle w:val="TAH"/>
              <w:rPr>
                <w:rFonts w:eastAsia="SimSun"/>
              </w:rPr>
            </w:pPr>
            <w:r w:rsidRPr="00F42DB7">
              <w:rPr>
                <w:rFonts w:eastAsia="SimSun"/>
              </w:rPr>
              <w:t>Test 1</w:t>
            </w:r>
          </w:p>
        </w:tc>
      </w:tr>
      <w:tr w:rsidR="003A71DE" w:rsidRPr="00F42DB7" w14:paraId="37063920" w14:textId="77777777" w:rsidTr="003A71DE">
        <w:trPr>
          <w:cantSplit/>
          <w:trHeight w:val="207"/>
          <w:jc w:val="center"/>
        </w:trPr>
        <w:tc>
          <w:tcPr>
            <w:tcW w:w="3694" w:type="dxa"/>
            <w:gridSpan w:val="2"/>
            <w:vMerge/>
            <w:tcBorders>
              <w:top w:val="single" w:sz="4" w:space="0" w:color="auto"/>
              <w:left w:val="single" w:sz="4" w:space="0" w:color="auto"/>
              <w:bottom w:val="single" w:sz="4" w:space="0" w:color="auto"/>
              <w:right w:val="single" w:sz="4" w:space="0" w:color="auto"/>
            </w:tcBorders>
            <w:vAlign w:val="center"/>
            <w:hideMark/>
          </w:tcPr>
          <w:p w14:paraId="6EAC04B0" w14:textId="77777777" w:rsidR="003A71DE" w:rsidRPr="00F42DB7" w:rsidRDefault="003A71DE" w:rsidP="00A40F90">
            <w:pPr>
              <w:pStyle w:val="TAH"/>
              <w:rPr>
                <w:rFonts w:eastAsia="SimSun"/>
              </w:rPr>
            </w:pPr>
          </w:p>
        </w:tc>
        <w:tc>
          <w:tcPr>
            <w:tcW w:w="740" w:type="dxa"/>
            <w:vMerge/>
            <w:tcBorders>
              <w:top w:val="single" w:sz="4" w:space="0" w:color="auto"/>
              <w:left w:val="single" w:sz="4" w:space="0" w:color="auto"/>
              <w:bottom w:val="single" w:sz="4" w:space="0" w:color="auto"/>
              <w:right w:val="single" w:sz="4" w:space="0" w:color="auto"/>
            </w:tcBorders>
            <w:vAlign w:val="center"/>
            <w:hideMark/>
          </w:tcPr>
          <w:p w14:paraId="583CC9CC" w14:textId="77777777" w:rsidR="003A71DE" w:rsidRPr="00F42DB7" w:rsidRDefault="003A71DE" w:rsidP="00A40F90">
            <w:pPr>
              <w:pStyle w:val="TAH"/>
              <w:rPr>
                <w:rFonts w:eastAsia="SimSun"/>
              </w:rPr>
            </w:pPr>
          </w:p>
        </w:tc>
        <w:tc>
          <w:tcPr>
            <w:tcW w:w="740" w:type="dxa"/>
            <w:tcBorders>
              <w:top w:val="single" w:sz="4" w:space="0" w:color="auto"/>
              <w:left w:val="single" w:sz="4" w:space="0" w:color="auto"/>
              <w:bottom w:val="single" w:sz="4" w:space="0" w:color="auto"/>
              <w:right w:val="single" w:sz="4" w:space="0" w:color="auto"/>
            </w:tcBorders>
            <w:hideMark/>
          </w:tcPr>
          <w:p w14:paraId="2F168CAC" w14:textId="77777777" w:rsidR="003A71DE" w:rsidRPr="00F42DB7" w:rsidRDefault="003A71DE" w:rsidP="00A40F90">
            <w:pPr>
              <w:pStyle w:val="TAH"/>
              <w:rPr>
                <w:rFonts w:eastAsia="SimSun"/>
              </w:rPr>
            </w:pPr>
            <w:r w:rsidRPr="00F42DB7">
              <w:rPr>
                <w:rFonts w:eastAsia="SimSun"/>
              </w:rPr>
              <w:t>T1</w:t>
            </w:r>
          </w:p>
        </w:tc>
        <w:tc>
          <w:tcPr>
            <w:tcW w:w="740" w:type="dxa"/>
            <w:tcBorders>
              <w:top w:val="single" w:sz="4" w:space="0" w:color="auto"/>
              <w:left w:val="single" w:sz="4" w:space="0" w:color="auto"/>
              <w:bottom w:val="single" w:sz="4" w:space="0" w:color="auto"/>
              <w:right w:val="single" w:sz="4" w:space="0" w:color="auto"/>
            </w:tcBorders>
            <w:hideMark/>
          </w:tcPr>
          <w:p w14:paraId="0F1F7C1A" w14:textId="77777777" w:rsidR="003A71DE" w:rsidRPr="00F42DB7" w:rsidRDefault="003A71DE" w:rsidP="00A40F90">
            <w:pPr>
              <w:pStyle w:val="TAH"/>
              <w:rPr>
                <w:rFonts w:eastAsia="SimSun"/>
              </w:rPr>
            </w:pPr>
            <w:r w:rsidRPr="00F42DB7">
              <w:rPr>
                <w:rFonts w:eastAsia="SimSun"/>
              </w:rPr>
              <w:t>T2</w:t>
            </w:r>
          </w:p>
        </w:tc>
        <w:tc>
          <w:tcPr>
            <w:tcW w:w="740" w:type="dxa"/>
            <w:tcBorders>
              <w:top w:val="single" w:sz="4" w:space="0" w:color="auto"/>
              <w:left w:val="single" w:sz="4" w:space="0" w:color="auto"/>
              <w:bottom w:val="single" w:sz="4" w:space="0" w:color="auto"/>
              <w:right w:val="single" w:sz="4" w:space="0" w:color="auto"/>
            </w:tcBorders>
            <w:hideMark/>
          </w:tcPr>
          <w:p w14:paraId="45E8AE36" w14:textId="77777777" w:rsidR="003A71DE" w:rsidRPr="00F42DB7" w:rsidRDefault="003A71DE" w:rsidP="00A40F90">
            <w:pPr>
              <w:pStyle w:val="TAH"/>
              <w:rPr>
                <w:rFonts w:eastAsia="SimSun"/>
              </w:rPr>
            </w:pPr>
            <w:r w:rsidRPr="00F42DB7">
              <w:rPr>
                <w:rFonts w:eastAsia="SimSun"/>
              </w:rPr>
              <w:t>T3</w:t>
            </w:r>
          </w:p>
        </w:tc>
        <w:tc>
          <w:tcPr>
            <w:tcW w:w="740" w:type="dxa"/>
            <w:tcBorders>
              <w:top w:val="single" w:sz="4" w:space="0" w:color="auto"/>
              <w:left w:val="single" w:sz="4" w:space="0" w:color="auto"/>
              <w:bottom w:val="single" w:sz="4" w:space="0" w:color="auto"/>
              <w:right w:val="single" w:sz="4" w:space="0" w:color="auto"/>
            </w:tcBorders>
            <w:hideMark/>
          </w:tcPr>
          <w:p w14:paraId="0A703360" w14:textId="77777777" w:rsidR="003A71DE" w:rsidRPr="00F42DB7" w:rsidRDefault="003A71DE" w:rsidP="00A40F90">
            <w:pPr>
              <w:pStyle w:val="TAH"/>
              <w:rPr>
                <w:rFonts w:eastAsia="SimSun"/>
              </w:rPr>
            </w:pPr>
            <w:r w:rsidRPr="00F42DB7">
              <w:rPr>
                <w:rFonts w:eastAsia="SimSun"/>
              </w:rPr>
              <w:t>T1</w:t>
            </w:r>
          </w:p>
        </w:tc>
        <w:tc>
          <w:tcPr>
            <w:tcW w:w="740" w:type="dxa"/>
            <w:tcBorders>
              <w:top w:val="single" w:sz="4" w:space="0" w:color="auto"/>
              <w:left w:val="single" w:sz="4" w:space="0" w:color="auto"/>
              <w:bottom w:val="single" w:sz="4" w:space="0" w:color="auto"/>
              <w:right w:val="single" w:sz="4" w:space="0" w:color="auto"/>
            </w:tcBorders>
            <w:hideMark/>
          </w:tcPr>
          <w:p w14:paraId="0D6F909E" w14:textId="77777777" w:rsidR="003A71DE" w:rsidRPr="00F42DB7" w:rsidRDefault="003A71DE" w:rsidP="00A40F90">
            <w:pPr>
              <w:pStyle w:val="TAH"/>
              <w:rPr>
                <w:rFonts w:eastAsia="SimSun"/>
              </w:rPr>
            </w:pPr>
            <w:r w:rsidRPr="00F42DB7">
              <w:rPr>
                <w:rFonts w:eastAsia="SimSun"/>
              </w:rPr>
              <w:t>T2</w:t>
            </w:r>
          </w:p>
        </w:tc>
        <w:tc>
          <w:tcPr>
            <w:tcW w:w="740" w:type="dxa"/>
            <w:tcBorders>
              <w:top w:val="single" w:sz="4" w:space="0" w:color="auto"/>
              <w:left w:val="single" w:sz="4" w:space="0" w:color="auto"/>
              <w:bottom w:val="single" w:sz="4" w:space="0" w:color="auto"/>
              <w:right w:val="single" w:sz="4" w:space="0" w:color="auto"/>
            </w:tcBorders>
            <w:hideMark/>
          </w:tcPr>
          <w:p w14:paraId="0C0BAD5B" w14:textId="77777777" w:rsidR="003A71DE" w:rsidRPr="00F42DB7" w:rsidRDefault="003A71DE" w:rsidP="00A40F90">
            <w:pPr>
              <w:pStyle w:val="TAH"/>
              <w:rPr>
                <w:rFonts w:eastAsia="SimSun"/>
              </w:rPr>
            </w:pPr>
            <w:r w:rsidRPr="00F42DB7">
              <w:rPr>
                <w:rFonts w:eastAsia="SimSun"/>
              </w:rPr>
              <w:t>T3</w:t>
            </w:r>
          </w:p>
        </w:tc>
      </w:tr>
      <w:tr w:rsidR="003A71DE" w:rsidRPr="00F42DB7" w14:paraId="678CEBC6" w14:textId="77777777" w:rsidTr="003A71DE">
        <w:trPr>
          <w:cantSplit/>
          <w:trHeight w:val="199"/>
          <w:jc w:val="center"/>
        </w:trPr>
        <w:tc>
          <w:tcPr>
            <w:tcW w:w="3694" w:type="dxa"/>
            <w:gridSpan w:val="2"/>
            <w:vMerge w:val="restart"/>
            <w:tcBorders>
              <w:top w:val="single" w:sz="4" w:space="0" w:color="auto"/>
              <w:left w:val="single" w:sz="4" w:space="0" w:color="auto"/>
              <w:bottom w:val="single" w:sz="4" w:space="0" w:color="auto"/>
              <w:right w:val="single" w:sz="4" w:space="0" w:color="auto"/>
            </w:tcBorders>
            <w:hideMark/>
          </w:tcPr>
          <w:p w14:paraId="04CA5BE4" w14:textId="77777777" w:rsidR="003A71DE" w:rsidRPr="00F42DB7" w:rsidRDefault="003A71DE" w:rsidP="003A71DE">
            <w:pPr>
              <w:keepNext/>
              <w:keepLines/>
              <w:spacing w:after="0"/>
              <w:rPr>
                <w:rFonts w:ascii="Arial" w:eastAsia="?? ??" w:hAnsi="Arial"/>
                <w:sz w:val="18"/>
              </w:rPr>
            </w:pPr>
            <w:r w:rsidRPr="00F42DB7">
              <w:rPr>
                <w:rFonts w:ascii="Arial" w:eastAsia="SimSun" w:hAnsi="Arial"/>
                <w:sz w:val="18"/>
              </w:rPr>
              <w:t>AoA setup</w:t>
            </w:r>
          </w:p>
        </w:tc>
        <w:tc>
          <w:tcPr>
            <w:tcW w:w="740" w:type="dxa"/>
            <w:vMerge w:val="restart"/>
            <w:tcBorders>
              <w:top w:val="single" w:sz="4" w:space="0" w:color="auto"/>
              <w:left w:val="single" w:sz="4" w:space="0" w:color="auto"/>
              <w:bottom w:val="single" w:sz="4" w:space="0" w:color="auto"/>
              <w:right w:val="single" w:sz="4" w:space="0" w:color="auto"/>
            </w:tcBorders>
          </w:tcPr>
          <w:p w14:paraId="6233F671" w14:textId="77777777" w:rsidR="003A71DE" w:rsidRPr="00F42DB7" w:rsidRDefault="003A71DE" w:rsidP="003A71DE">
            <w:pPr>
              <w:keepNext/>
              <w:keepLines/>
              <w:spacing w:after="0"/>
              <w:jc w:val="center"/>
              <w:rPr>
                <w:rFonts w:ascii="Arial" w:eastAsia="SimSun" w:hAnsi="Arial"/>
                <w:sz w:val="18"/>
              </w:rPr>
            </w:pPr>
          </w:p>
        </w:tc>
        <w:tc>
          <w:tcPr>
            <w:tcW w:w="4440" w:type="dxa"/>
            <w:gridSpan w:val="6"/>
            <w:tcBorders>
              <w:top w:val="single" w:sz="4" w:space="0" w:color="auto"/>
              <w:left w:val="single" w:sz="4" w:space="0" w:color="auto"/>
              <w:bottom w:val="single" w:sz="4" w:space="0" w:color="auto"/>
              <w:right w:val="single" w:sz="4" w:space="0" w:color="auto"/>
            </w:tcBorders>
            <w:vAlign w:val="center"/>
            <w:hideMark/>
          </w:tcPr>
          <w:p w14:paraId="7E824B3A"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Setup 2 as specified in clause G.1.8.2</w:t>
            </w:r>
          </w:p>
        </w:tc>
      </w:tr>
      <w:tr w:rsidR="003A71DE" w:rsidRPr="00F42DB7" w14:paraId="5F89D6BC" w14:textId="77777777" w:rsidTr="003A71DE">
        <w:trPr>
          <w:cantSplit/>
          <w:trHeight w:val="199"/>
          <w:jc w:val="center"/>
        </w:trPr>
        <w:tc>
          <w:tcPr>
            <w:tcW w:w="3694" w:type="dxa"/>
            <w:gridSpan w:val="2"/>
            <w:vMerge/>
            <w:tcBorders>
              <w:top w:val="single" w:sz="4" w:space="0" w:color="auto"/>
              <w:left w:val="single" w:sz="4" w:space="0" w:color="auto"/>
              <w:bottom w:val="single" w:sz="4" w:space="0" w:color="auto"/>
              <w:right w:val="single" w:sz="4" w:space="0" w:color="auto"/>
            </w:tcBorders>
            <w:vAlign w:val="center"/>
            <w:hideMark/>
          </w:tcPr>
          <w:p w14:paraId="243E06F0" w14:textId="77777777" w:rsidR="003A71DE" w:rsidRPr="00F42DB7" w:rsidRDefault="003A71DE" w:rsidP="003A71DE">
            <w:pPr>
              <w:spacing w:after="0"/>
              <w:rPr>
                <w:rFonts w:ascii="Arial" w:eastAsia="?? ??" w:hAnsi="Arial"/>
                <w:sz w:val="18"/>
              </w:rPr>
            </w:pPr>
          </w:p>
        </w:tc>
        <w:tc>
          <w:tcPr>
            <w:tcW w:w="740" w:type="dxa"/>
            <w:vMerge/>
            <w:tcBorders>
              <w:top w:val="single" w:sz="4" w:space="0" w:color="auto"/>
              <w:left w:val="single" w:sz="4" w:space="0" w:color="auto"/>
              <w:bottom w:val="single" w:sz="4" w:space="0" w:color="auto"/>
              <w:right w:val="single" w:sz="4" w:space="0" w:color="auto"/>
            </w:tcBorders>
            <w:vAlign w:val="center"/>
            <w:hideMark/>
          </w:tcPr>
          <w:p w14:paraId="7A9CF043" w14:textId="77777777" w:rsidR="003A71DE" w:rsidRPr="00F42DB7" w:rsidRDefault="003A71DE" w:rsidP="003A71DE">
            <w:pPr>
              <w:spacing w:after="0"/>
              <w:rPr>
                <w:rFonts w:ascii="Arial" w:eastAsia="SimSun" w:hAnsi="Arial"/>
                <w:sz w:val="18"/>
              </w:rPr>
            </w:pPr>
          </w:p>
        </w:tc>
        <w:tc>
          <w:tcPr>
            <w:tcW w:w="2220" w:type="dxa"/>
            <w:gridSpan w:val="3"/>
            <w:tcBorders>
              <w:top w:val="single" w:sz="4" w:space="0" w:color="auto"/>
              <w:left w:val="single" w:sz="4" w:space="0" w:color="auto"/>
              <w:bottom w:val="single" w:sz="4" w:space="0" w:color="auto"/>
              <w:right w:val="single" w:sz="4" w:space="0" w:color="auto"/>
            </w:tcBorders>
            <w:hideMark/>
          </w:tcPr>
          <w:p w14:paraId="71BA3AB0" w14:textId="77777777" w:rsidR="003A71DE" w:rsidRPr="00F42DB7" w:rsidRDefault="003A71DE" w:rsidP="003A71DE">
            <w:pPr>
              <w:keepNext/>
              <w:keepLines/>
              <w:spacing w:after="0"/>
              <w:jc w:val="center"/>
              <w:rPr>
                <w:rFonts w:ascii="Arial" w:eastAsia="SimSun" w:hAnsi="Arial"/>
                <w:b/>
                <w:sz w:val="18"/>
              </w:rPr>
            </w:pPr>
            <w:r w:rsidRPr="00F42DB7">
              <w:rPr>
                <w:rFonts w:ascii="Arial" w:eastAsia="SimSun" w:hAnsi="Arial"/>
                <w:b/>
                <w:sz w:val="18"/>
              </w:rPr>
              <w:t>AoA1</w:t>
            </w:r>
          </w:p>
        </w:tc>
        <w:tc>
          <w:tcPr>
            <w:tcW w:w="2220" w:type="dxa"/>
            <w:gridSpan w:val="3"/>
            <w:tcBorders>
              <w:top w:val="single" w:sz="4" w:space="0" w:color="auto"/>
              <w:left w:val="single" w:sz="4" w:space="0" w:color="auto"/>
              <w:bottom w:val="single" w:sz="4" w:space="0" w:color="auto"/>
              <w:right w:val="single" w:sz="4" w:space="0" w:color="auto"/>
            </w:tcBorders>
            <w:hideMark/>
          </w:tcPr>
          <w:p w14:paraId="106A77FD" w14:textId="77777777" w:rsidR="003A71DE" w:rsidRPr="00F42DB7" w:rsidRDefault="003A71DE" w:rsidP="003A71DE">
            <w:pPr>
              <w:keepNext/>
              <w:keepLines/>
              <w:spacing w:after="0"/>
              <w:jc w:val="center"/>
              <w:rPr>
                <w:rFonts w:ascii="Arial" w:eastAsia="SimSun" w:hAnsi="Arial"/>
                <w:b/>
                <w:sz w:val="18"/>
              </w:rPr>
            </w:pPr>
            <w:r w:rsidRPr="00F42DB7">
              <w:rPr>
                <w:rFonts w:ascii="Arial" w:eastAsia="SimSun" w:hAnsi="Arial"/>
                <w:b/>
                <w:sz w:val="18"/>
              </w:rPr>
              <w:t>AoA2</w:t>
            </w:r>
          </w:p>
        </w:tc>
      </w:tr>
      <w:tr w:rsidR="003A71DE" w:rsidRPr="00F42DB7" w14:paraId="08623CB8"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45FFE27B"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lastRenderedPageBreak/>
              <w:t>EPRE ratio of PDCCH DMRS to SSS</w:t>
            </w:r>
          </w:p>
        </w:tc>
        <w:tc>
          <w:tcPr>
            <w:tcW w:w="740" w:type="dxa"/>
            <w:tcBorders>
              <w:top w:val="single" w:sz="4" w:space="0" w:color="auto"/>
              <w:left w:val="single" w:sz="4" w:space="0" w:color="auto"/>
              <w:bottom w:val="single" w:sz="4" w:space="0" w:color="auto"/>
              <w:right w:val="single" w:sz="4" w:space="0" w:color="auto"/>
            </w:tcBorders>
            <w:hideMark/>
          </w:tcPr>
          <w:p w14:paraId="04A07003"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tcBorders>
              <w:top w:val="single" w:sz="4" w:space="0" w:color="auto"/>
              <w:left w:val="single" w:sz="4" w:space="0" w:color="auto"/>
              <w:bottom w:val="single" w:sz="4" w:space="0" w:color="auto"/>
              <w:right w:val="single" w:sz="4" w:space="0" w:color="auto"/>
            </w:tcBorders>
            <w:hideMark/>
          </w:tcPr>
          <w:p w14:paraId="19F5E913"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4</w:t>
            </w:r>
          </w:p>
        </w:tc>
        <w:tc>
          <w:tcPr>
            <w:tcW w:w="2220" w:type="dxa"/>
            <w:gridSpan w:val="3"/>
            <w:vMerge w:val="restart"/>
            <w:tcBorders>
              <w:top w:val="single" w:sz="4" w:space="0" w:color="auto"/>
              <w:left w:val="single" w:sz="4" w:space="0" w:color="auto"/>
              <w:bottom w:val="single" w:sz="4" w:space="0" w:color="auto"/>
              <w:right w:val="single" w:sz="4" w:space="0" w:color="auto"/>
            </w:tcBorders>
            <w:vAlign w:val="center"/>
            <w:hideMark/>
          </w:tcPr>
          <w:p w14:paraId="09FB4A68"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Not sent</w:t>
            </w:r>
          </w:p>
        </w:tc>
      </w:tr>
      <w:tr w:rsidR="003A71DE" w:rsidRPr="00F42DB7" w14:paraId="45F15E4F" w14:textId="77777777" w:rsidTr="003A71DE">
        <w:trPr>
          <w:cantSplit/>
          <w:trHeight w:val="145"/>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3BC01684"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PDCCH to PDCCH DMRS</w:t>
            </w:r>
          </w:p>
        </w:tc>
        <w:tc>
          <w:tcPr>
            <w:tcW w:w="740" w:type="dxa"/>
            <w:tcBorders>
              <w:top w:val="single" w:sz="4" w:space="0" w:color="auto"/>
              <w:left w:val="single" w:sz="4" w:space="0" w:color="auto"/>
              <w:bottom w:val="single" w:sz="4" w:space="0" w:color="auto"/>
              <w:right w:val="single" w:sz="4" w:space="0" w:color="auto"/>
            </w:tcBorders>
            <w:hideMark/>
          </w:tcPr>
          <w:p w14:paraId="532C9E38"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val="restart"/>
            <w:tcBorders>
              <w:top w:val="single" w:sz="4" w:space="0" w:color="auto"/>
              <w:left w:val="single" w:sz="4" w:space="0" w:color="auto"/>
              <w:bottom w:val="single" w:sz="4" w:space="0" w:color="auto"/>
              <w:right w:val="single" w:sz="4" w:space="0" w:color="auto"/>
            </w:tcBorders>
            <w:vAlign w:val="center"/>
            <w:hideMark/>
          </w:tcPr>
          <w:p w14:paraId="71BEA322"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0</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3985328F" w14:textId="77777777" w:rsidR="003A71DE" w:rsidRPr="00F42DB7" w:rsidRDefault="003A71DE" w:rsidP="003A71DE">
            <w:pPr>
              <w:spacing w:after="0"/>
              <w:rPr>
                <w:rFonts w:ascii="Arial" w:eastAsia="SimSun" w:hAnsi="Arial"/>
                <w:sz w:val="18"/>
              </w:rPr>
            </w:pPr>
          </w:p>
        </w:tc>
      </w:tr>
      <w:tr w:rsidR="003A71DE" w:rsidRPr="00F42DB7" w14:paraId="06E2B157"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57BBC5AE"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PBCH DMRS to SSS</w:t>
            </w:r>
          </w:p>
        </w:tc>
        <w:tc>
          <w:tcPr>
            <w:tcW w:w="740" w:type="dxa"/>
            <w:tcBorders>
              <w:top w:val="single" w:sz="4" w:space="0" w:color="auto"/>
              <w:left w:val="single" w:sz="4" w:space="0" w:color="auto"/>
              <w:bottom w:val="single" w:sz="4" w:space="0" w:color="auto"/>
              <w:right w:val="single" w:sz="4" w:space="0" w:color="auto"/>
            </w:tcBorders>
            <w:hideMark/>
          </w:tcPr>
          <w:p w14:paraId="599B7AE7"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3CC6CFD4"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321FBEAD" w14:textId="77777777" w:rsidR="003A71DE" w:rsidRPr="00F42DB7" w:rsidRDefault="003A71DE" w:rsidP="003A71DE">
            <w:pPr>
              <w:spacing w:after="0"/>
              <w:rPr>
                <w:rFonts w:ascii="Arial" w:eastAsia="SimSun" w:hAnsi="Arial"/>
                <w:sz w:val="18"/>
              </w:rPr>
            </w:pPr>
          </w:p>
        </w:tc>
      </w:tr>
      <w:tr w:rsidR="003A71DE" w:rsidRPr="00F42DB7" w14:paraId="61774F17"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41BA1CD0"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PBCH to PBCH DMRS</w:t>
            </w:r>
          </w:p>
        </w:tc>
        <w:tc>
          <w:tcPr>
            <w:tcW w:w="740" w:type="dxa"/>
            <w:tcBorders>
              <w:top w:val="single" w:sz="4" w:space="0" w:color="auto"/>
              <w:left w:val="single" w:sz="4" w:space="0" w:color="auto"/>
              <w:bottom w:val="single" w:sz="4" w:space="0" w:color="auto"/>
              <w:right w:val="single" w:sz="4" w:space="0" w:color="auto"/>
            </w:tcBorders>
            <w:hideMark/>
          </w:tcPr>
          <w:p w14:paraId="1BF038F9"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69C66107"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7A8528B3" w14:textId="77777777" w:rsidR="003A71DE" w:rsidRPr="00F42DB7" w:rsidRDefault="003A71DE" w:rsidP="003A71DE">
            <w:pPr>
              <w:spacing w:after="0"/>
              <w:rPr>
                <w:rFonts w:ascii="Arial" w:eastAsia="SimSun" w:hAnsi="Arial"/>
                <w:sz w:val="18"/>
              </w:rPr>
            </w:pPr>
          </w:p>
        </w:tc>
      </w:tr>
      <w:tr w:rsidR="003A71DE" w:rsidRPr="00F42DB7" w14:paraId="72DF3F26" w14:textId="77777777" w:rsidTr="003A71DE">
        <w:trPr>
          <w:cantSplit/>
          <w:trHeight w:val="145"/>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39220D22"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PSS to SSS</w:t>
            </w:r>
          </w:p>
        </w:tc>
        <w:tc>
          <w:tcPr>
            <w:tcW w:w="740" w:type="dxa"/>
            <w:tcBorders>
              <w:top w:val="single" w:sz="4" w:space="0" w:color="auto"/>
              <w:left w:val="single" w:sz="4" w:space="0" w:color="auto"/>
              <w:bottom w:val="single" w:sz="4" w:space="0" w:color="auto"/>
              <w:right w:val="single" w:sz="4" w:space="0" w:color="auto"/>
            </w:tcBorders>
            <w:hideMark/>
          </w:tcPr>
          <w:p w14:paraId="6A5E9AC7"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4A64C4CB"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16DE8D4B" w14:textId="77777777" w:rsidR="003A71DE" w:rsidRPr="00F42DB7" w:rsidRDefault="003A71DE" w:rsidP="003A71DE">
            <w:pPr>
              <w:spacing w:after="0"/>
              <w:rPr>
                <w:rFonts w:ascii="Arial" w:eastAsia="SimSun" w:hAnsi="Arial"/>
                <w:sz w:val="18"/>
              </w:rPr>
            </w:pPr>
          </w:p>
        </w:tc>
      </w:tr>
      <w:tr w:rsidR="003A71DE" w:rsidRPr="00F42DB7" w14:paraId="3DDC9A68"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79868AE3"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 xml:space="preserve">EPRE ratio of PDSCH DMRS to SSS </w:t>
            </w:r>
          </w:p>
        </w:tc>
        <w:tc>
          <w:tcPr>
            <w:tcW w:w="740" w:type="dxa"/>
            <w:tcBorders>
              <w:top w:val="single" w:sz="4" w:space="0" w:color="auto"/>
              <w:left w:val="single" w:sz="4" w:space="0" w:color="auto"/>
              <w:bottom w:val="single" w:sz="4" w:space="0" w:color="auto"/>
              <w:right w:val="single" w:sz="4" w:space="0" w:color="auto"/>
            </w:tcBorders>
            <w:hideMark/>
          </w:tcPr>
          <w:p w14:paraId="398B30DC"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2BDE2E48"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05A24924" w14:textId="77777777" w:rsidR="003A71DE" w:rsidRPr="00F42DB7" w:rsidRDefault="003A71DE" w:rsidP="003A71DE">
            <w:pPr>
              <w:spacing w:after="0"/>
              <w:rPr>
                <w:rFonts w:ascii="Arial" w:eastAsia="SimSun" w:hAnsi="Arial"/>
                <w:sz w:val="18"/>
              </w:rPr>
            </w:pPr>
          </w:p>
        </w:tc>
      </w:tr>
      <w:tr w:rsidR="003A71DE" w:rsidRPr="00F42DB7" w14:paraId="6A0B1F65"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531C67B0"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PDSCH to PDSCH DMRS</w:t>
            </w:r>
          </w:p>
        </w:tc>
        <w:tc>
          <w:tcPr>
            <w:tcW w:w="740" w:type="dxa"/>
            <w:tcBorders>
              <w:top w:val="single" w:sz="4" w:space="0" w:color="auto"/>
              <w:left w:val="single" w:sz="4" w:space="0" w:color="auto"/>
              <w:bottom w:val="single" w:sz="4" w:space="0" w:color="auto"/>
              <w:right w:val="single" w:sz="4" w:space="0" w:color="auto"/>
            </w:tcBorders>
            <w:hideMark/>
          </w:tcPr>
          <w:p w14:paraId="03C2B7F6"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601816DB"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1731BC22" w14:textId="77777777" w:rsidR="003A71DE" w:rsidRPr="00F42DB7" w:rsidRDefault="003A71DE" w:rsidP="003A71DE">
            <w:pPr>
              <w:spacing w:after="0"/>
              <w:rPr>
                <w:rFonts w:ascii="Arial" w:eastAsia="SimSun" w:hAnsi="Arial"/>
                <w:sz w:val="18"/>
              </w:rPr>
            </w:pPr>
          </w:p>
        </w:tc>
      </w:tr>
      <w:tr w:rsidR="003A71DE" w:rsidRPr="00F42DB7" w14:paraId="459119D2"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47C044A0"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OCNG DMRS to SSS</w:t>
            </w:r>
          </w:p>
        </w:tc>
        <w:tc>
          <w:tcPr>
            <w:tcW w:w="740" w:type="dxa"/>
            <w:tcBorders>
              <w:top w:val="single" w:sz="4" w:space="0" w:color="auto"/>
              <w:left w:val="single" w:sz="4" w:space="0" w:color="auto"/>
              <w:bottom w:val="single" w:sz="4" w:space="0" w:color="auto"/>
              <w:right w:val="single" w:sz="4" w:space="0" w:color="auto"/>
            </w:tcBorders>
            <w:hideMark/>
          </w:tcPr>
          <w:p w14:paraId="36158D49"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73D9F738"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0BEE070C" w14:textId="77777777" w:rsidR="003A71DE" w:rsidRPr="00F42DB7" w:rsidRDefault="003A71DE" w:rsidP="003A71DE">
            <w:pPr>
              <w:spacing w:after="0"/>
              <w:rPr>
                <w:rFonts w:ascii="Arial" w:eastAsia="SimSun" w:hAnsi="Arial"/>
                <w:sz w:val="18"/>
              </w:rPr>
            </w:pPr>
          </w:p>
        </w:tc>
      </w:tr>
      <w:tr w:rsidR="003A71DE" w:rsidRPr="00F42DB7" w14:paraId="0BF06A6A" w14:textId="77777777" w:rsidTr="003A71DE">
        <w:trPr>
          <w:cantSplit/>
          <w:trHeight w:val="136"/>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6A986B8C" w14:textId="77777777" w:rsidR="003A71DE" w:rsidRPr="00F42DB7" w:rsidRDefault="003A71DE" w:rsidP="003A71DE">
            <w:pPr>
              <w:keepNext/>
              <w:keepLines/>
              <w:spacing w:after="0"/>
              <w:rPr>
                <w:rFonts w:ascii="Arial" w:eastAsia="SimSun" w:hAnsi="Arial" w:cs="Arial"/>
                <w:sz w:val="18"/>
              </w:rPr>
            </w:pPr>
            <w:r w:rsidRPr="00F42DB7">
              <w:rPr>
                <w:rFonts w:ascii="Arial" w:eastAsia="SimSun" w:hAnsi="Arial" w:cs="Arial"/>
                <w:sz w:val="18"/>
                <w:szCs w:val="16"/>
                <w:lang w:eastAsia="ja-JP"/>
              </w:rPr>
              <w:t>EPRE ratio of OCNG to OCNG DMRS</w:t>
            </w:r>
          </w:p>
        </w:tc>
        <w:tc>
          <w:tcPr>
            <w:tcW w:w="740" w:type="dxa"/>
            <w:tcBorders>
              <w:top w:val="single" w:sz="4" w:space="0" w:color="auto"/>
              <w:left w:val="single" w:sz="4" w:space="0" w:color="auto"/>
              <w:bottom w:val="single" w:sz="4" w:space="0" w:color="auto"/>
              <w:right w:val="single" w:sz="4" w:space="0" w:color="auto"/>
            </w:tcBorders>
            <w:hideMark/>
          </w:tcPr>
          <w:p w14:paraId="7462C707"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0C7A4A56" w14:textId="77777777" w:rsidR="003A71DE" w:rsidRPr="00F42DB7" w:rsidRDefault="003A71DE" w:rsidP="003A71DE">
            <w:pPr>
              <w:spacing w:after="0"/>
              <w:rPr>
                <w:rFonts w:ascii="Arial" w:eastAsia="SimSun" w:hAnsi="Arial"/>
                <w:sz w:val="18"/>
              </w:rPr>
            </w:pP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4A828335" w14:textId="77777777" w:rsidR="003A71DE" w:rsidRPr="00F42DB7" w:rsidRDefault="003A71DE" w:rsidP="003A71DE">
            <w:pPr>
              <w:spacing w:after="0"/>
              <w:rPr>
                <w:rFonts w:ascii="Arial" w:eastAsia="SimSun" w:hAnsi="Arial"/>
                <w:sz w:val="18"/>
              </w:rPr>
            </w:pPr>
          </w:p>
        </w:tc>
      </w:tr>
      <w:tr w:rsidR="003A71DE" w:rsidRPr="00F42DB7" w14:paraId="559C5913" w14:textId="77777777" w:rsidTr="003A71DE">
        <w:trPr>
          <w:cantSplit/>
          <w:trHeight w:val="149"/>
          <w:jc w:val="center"/>
        </w:trPr>
        <w:tc>
          <w:tcPr>
            <w:tcW w:w="1918" w:type="dxa"/>
            <w:tcBorders>
              <w:top w:val="single" w:sz="4" w:space="0" w:color="auto"/>
              <w:left w:val="single" w:sz="4" w:space="0" w:color="auto"/>
              <w:bottom w:val="single" w:sz="4" w:space="0" w:color="auto"/>
              <w:right w:val="single" w:sz="4" w:space="0" w:color="auto"/>
            </w:tcBorders>
            <w:hideMark/>
          </w:tcPr>
          <w:p w14:paraId="212F160A" w14:textId="77777777" w:rsidR="003A71DE" w:rsidRPr="00F42DB7" w:rsidRDefault="003A71DE" w:rsidP="003A71DE">
            <w:pPr>
              <w:keepNext/>
              <w:keepLines/>
              <w:spacing w:after="0"/>
              <w:rPr>
                <w:rFonts w:ascii="Arial" w:eastAsia="SimSun" w:hAnsi="Arial"/>
                <w:sz w:val="18"/>
              </w:rPr>
            </w:pPr>
            <w:r w:rsidRPr="00F42DB7">
              <w:rPr>
                <w:rFonts w:ascii="Arial" w:eastAsia="?? ??" w:hAnsi="Arial"/>
                <w:sz w:val="18"/>
              </w:rPr>
              <w:t>ssb-Index 0 SNR</w:t>
            </w:r>
          </w:p>
        </w:tc>
        <w:tc>
          <w:tcPr>
            <w:tcW w:w="1776" w:type="dxa"/>
            <w:tcBorders>
              <w:top w:val="single" w:sz="4" w:space="0" w:color="auto"/>
              <w:left w:val="single" w:sz="4" w:space="0" w:color="auto"/>
              <w:bottom w:val="single" w:sz="4" w:space="0" w:color="auto"/>
              <w:right w:val="single" w:sz="4" w:space="0" w:color="auto"/>
            </w:tcBorders>
            <w:hideMark/>
          </w:tcPr>
          <w:p w14:paraId="266D3395" w14:textId="77777777" w:rsidR="003A71DE" w:rsidRPr="00F42DB7" w:rsidRDefault="003A71DE" w:rsidP="003A71DE">
            <w:pPr>
              <w:keepNext/>
              <w:keepLines/>
              <w:spacing w:after="0"/>
              <w:rPr>
                <w:rFonts w:ascii="Arial" w:eastAsia="SimSun" w:hAnsi="Arial"/>
                <w:noProof/>
                <w:sz w:val="18"/>
              </w:rPr>
            </w:pPr>
            <w:r w:rsidRPr="00F42DB7">
              <w:rPr>
                <w:rFonts w:ascii="Arial" w:eastAsia="SimSun" w:hAnsi="Arial"/>
                <w:noProof/>
                <w:sz w:val="18"/>
              </w:rPr>
              <w:t>Config 1</w:t>
            </w:r>
          </w:p>
        </w:tc>
        <w:tc>
          <w:tcPr>
            <w:tcW w:w="740" w:type="dxa"/>
            <w:tcBorders>
              <w:top w:val="single" w:sz="4" w:space="0" w:color="auto"/>
              <w:left w:val="single" w:sz="4" w:space="0" w:color="auto"/>
              <w:bottom w:val="single" w:sz="4" w:space="0" w:color="auto"/>
              <w:right w:val="single" w:sz="4" w:space="0" w:color="auto"/>
            </w:tcBorders>
            <w:hideMark/>
          </w:tcPr>
          <w:p w14:paraId="4660AC93"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w:t>
            </w:r>
          </w:p>
        </w:tc>
        <w:tc>
          <w:tcPr>
            <w:tcW w:w="740" w:type="dxa"/>
            <w:tcBorders>
              <w:top w:val="single" w:sz="4" w:space="0" w:color="auto"/>
              <w:left w:val="single" w:sz="4" w:space="0" w:color="auto"/>
              <w:bottom w:val="single" w:sz="4" w:space="0" w:color="auto"/>
              <w:right w:val="single" w:sz="4" w:space="0" w:color="auto"/>
            </w:tcBorders>
            <w:hideMark/>
          </w:tcPr>
          <w:p w14:paraId="05C96E41"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2</w:t>
            </w:r>
            <w:r w:rsidRPr="00F42DB7">
              <w:rPr>
                <w:rFonts w:ascii="Arial" w:eastAsia="SimSun" w:hAnsi="Arial"/>
                <w:sz w:val="18"/>
                <w:vertAlign w:val="superscript"/>
              </w:rPr>
              <w:t>Note 6</w:t>
            </w:r>
          </w:p>
        </w:tc>
        <w:tc>
          <w:tcPr>
            <w:tcW w:w="740" w:type="dxa"/>
            <w:tcBorders>
              <w:top w:val="single" w:sz="4" w:space="0" w:color="auto"/>
              <w:left w:val="single" w:sz="4" w:space="0" w:color="auto"/>
              <w:bottom w:val="single" w:sz="4" w:space="0" w:color="auto"/>
              <w:right w:val="single" w:sz="4" w:space="0" w:color="auto"/>
            </w:tcBorders>
            <w:hideMark/>
          </w:tcPr>
          <w:p w14:paraId="1B9767D7"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-6</w:t>
            </w:r>
            <w:r w:rsidRPr="00F42DB7">
              <w:rPr>
                <w:rFonts w:ascii="Arial" w:eastAsia="SimSun" w:hAnsi="Arial"/>
                <w:sz w:val="18"/>
                <w:vertAlign w:val="superscript"/>
              </w:rPr>
              <w:t>Note 6</w:t>
            </w:r>
          </w:p>
        </w:tc>
        <w:tc>
          <w:tcPr>
            <w:tcW w:w="740" w:type="dxa"/>
            <w:tcBorders>
              <w:top w:val="single" w:sz="4" w:space="0" w:color="auto"/>
              <w:left w:val="single" w:sz="4" w:space="0" w:color="auto"/>
              <w:bottom w:val="single" w:sz="4" w:space="0" w:color="auto"/>
              <w:right w:val="single" w:sz="4" w:space="0" w:color="auto"/>
            </w:tcBorders>
            <w:hideMark/>
          </w:tcPr>
          <w:p w14:paraId="1A776DBD"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-15</w:t>
            </w:r>
          </w:p>
        </w:tc>
        <w:tc>
          <w:tcPr>
            <w:tcW w:w="2220" w:type="dxa"/>
            <w:gridSpan w:val="3"/>
            <w:vMerge/>
            <w:tcBorders>
              <w:top w:val="single" w:sz="4" w:space="0" w:color="auto"/>
              <w:left w:val="single" w:sz="4" w:space="0" w:color="auto"/>
              <w:bottom w:val="single" w:sz="4" w:space="0" w:color="auto"/>
              <w:right w:val="single" w:sz="4" w:space="0" w:color="auto"/>
            </w:tcBorders>
            <w:vAlign w:val="center"/>
            <w:hideMark/>
          </w:tcPr>
          <w:p w14:paraId="72B99BD6" w14:textId="77777777" w:rsidR="003A71DE" w:rsidRPr="00F42DB7" w:rsidRDefault="003A71DE" w:rsidP="003A71DE">
            <w:pPr>
              <w:spacing w:after="0"/>
              <w:rPr>
                <w:rFonts w:ascii="Arial" w:eastAsia="SimSun" w:hAnsi="Arial"/>
                <w:sz w:val="18"/>
              </w:rPr>
            </w:pPr>
          </w:p>
        </w:tc>
      </w:tr>
      <w:tr w:rsidR="003A71DE" w:rsidRPr="00F42DB7" w14:paraId="515705B1" w14:textId="77777777" w:rsidTr="003A71DE">
        <w:trPr>
          <w:cantSplit/>
          <w:trHeight w:val="199"/>
          <w:jc w:val="center"/>
        </w:trPr>
        <w:tc>
          <w:tcPr>
            <w:tcW w:w="1918" w:type="dxa"/>
            <w:tcBorders>
              <w:top w:val="single" w:sz="4" w:space="0" w:color="auto"/>
              <w:left w:val="single" w:sz="4" w:space="0" w:color="auto"/>
              <w:bottom w:val="single" w:sz="4" w:space="0" w:color="auto"/>
              <w:right w:val="single" w:sz="4" w:space="0" w:color="auto"/>
            </w:tcBorders>
            <w:hideMark/>
          </w:tcPr>
          <w:p w14:paraId="6A122350" w14:textId="77777777" w:rsidR="003A71DE" w:rsidRPr="00F42DB7" w:rsidRDefault="003A71DE" w:rsidP="003A71DE">
            <w:pPr>
              <w:keepNext/>
              <w:keepLines/>
              <w:spacing w:after="0"/>
              <w:rPr>
                <w:rFonts w:ascii="Arial" w:eastAsia="?? ??" w:hAnsi="Arial"/>
                <w:sz w:val="18"/>
              </w:rPr>
            </w:pPr>
            <w:r w:rsidRPr="00F42DB7">
              <w:rPr>
                <w:rFonts w:ascii="Arial" w:eastAsia="?? ??" w:hAnsi="Arial"/>
                <w:sz w:val="18"/>
              </w:rPr>
              <w:t>ssb-Index 1 SNR</w:t>
            </w:r>
          </w:p>
        </w:tc>
        <w:tc>
          <w:tcPr>
            <w:tcW w:w="1776" w:type="dxa"/>
            <w:tcBorders>
              <w:top w:val="single" w:sz="4" w:space="0" w:color="auto"/>
              <w:left w:val="single" w:sz="4" w:space="0" w:color="auto"/>
              <w:bottom w:val="single" w:sz="4" w:space="0" w:color="auto"/>
              <w:right w:val="single" w:sz="4" w:space="0" w:color="auto"/>
            </w:tcBorders>
            <w:hideMark/>
          </w:tcPr>
          <w:p w14:paraId="54E1A61A" w14:textId="77777777" w:rsidR="003A71DE" w:rsidRPr="00F42DB7" w:rsidRDefault="003A71DE" w:rsidP="003A71DE">
            <w:pPr>
              <w:keepNext/>
              <w:keepLines/>
              <w:spacing w:after="0"/>
              <w:rPr>
                <w:rFonts w:ascii="Arial" w:eastAsia="SimSun" w:hAnsi="Arial"/>
                <w:noProof/>
                <w:sz w:val="18"/>
              </w:rPr>
            </w:pPr>
            <w:r w:rsidRPr="00F42DB7">
              <w:rPr>
                <w:rFonts w:ascii="Arial" w:eastAsia="SimSun" w:hAnsi="Arial"/>
                <w:noProof/>
                <w:sz w:val="18"/>
              </w:rPr>
              <w:t>Config 1</w:t>
            </w:r>
          </w:p>
        </w:tc>
        <w:tc>
          <w:tcPr>
            <w:tcW w:w="740" w:type="dxa"/>
            <w:tcBorders>
              <w:top w:val="single" w:sz="4" w:space="0" w:color="auto"/>
              <w:left w:val="single" w:sz="4" w:space="0" w:color="auto"/>
              <w:bottom w:val="single" w:sz="4" w:space="0" w:color="auto"/>
              <w:right w:val="single" w:sz="4" w:space="0" w:color="auto"/>
            </w:tcBorders>
          </w:tcPr>
          <w:p w14:paraId="6FAE1ED1" w14:textId="77777777" w:rsidR="003A71DE" w:rsidRPr="00F42DB7" w:rsidRDefault="003A71DE" w:rsidP="003A71DE">
            <w:pPr>
              <w:keepNext/>
              <w:keepLines/>
              <w:spacing w:after="0"/>
              <w:jc w:val="center"/>
              <w:rPr>
                <w:rFonts w:ascii="Arial" w:eastAsia="SimSun" w:hAnsi="Arial"/>
                <w:sz w:val="18"/>
              </w:rPr>
            </w:pPr>
          </w:p>
        </w:tc>
        <w:tc>
          <w:tcPr>
            <w:tcW w:w="2220" w:type="dxa"/>
            <w:gridSpan w:val="3"/>
            <w:tcBorders>
              <w:top w:val="single" w:sz="4" w:space="0" w:color="auto"/>
              <w:left w:val="single" w:sz="4" w:space="0" w:color="auto"/>
              <w:bottom w:val="single" w:sz="4" w:space="0" w:color="auto"/>
              <w:right w:val="single" w:sz="4" w:space="0" w:color="auto"/>
            </w:tcBorders>
            <w:vAlign w:val="center"/>
            <w:hideMark/>
          </w:tcPr>
          <w:p w14:paraId="05E11CEF"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Not sent</w:t>
            </w:r>
          </w:p>
        </w:tc>
        <w:tc>
          <w:tcPr>
            <w:tcW w:w="740" w:type="dxa"/>
            <w:tcBorders>
              <w:top w:val="single" w:sz="4" w:space="0" w:color="auto"/>
              <w:left w:val="single" w:sz="4" w:space="0" w:color="auto"/>
              <w:bottom w:val="single" w:sz="4" w:space="0" w:color="auto"/>
              <w:right w:val="single" w:sz="4" w:space="0" w:color="auto"/>
            </w:tcBorders>
            <w:hideMark/>
          </w:tcPr>
          <w:p w14:paraId="281FAA9B"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2</w:t>
            </w:r>
            <w:r w:rsidRPr="00F42DB7">
              <w:rPr>
                <w:rFonts w:ascii="Arial" w:eastAsia="SimSun" w:hAnsi="Arial"/>
                <w:sz w:val="18"/>
                <w:vertAlign w:val="superscript"/>
              </w:rPr>
              <w:t>Note 6</w:t>
            </w:r>
          </w:p>
        </w:tc>
        <w:tc>
          <w:tcPr>
            <w:tcW w:w="740" w:type="dxa"/>
            <w:tcBorders>
              <w:top w:val="single" w:sz="4" w:space="0" w:color="auto"/>
              <w:left w:val="single" w:sz="4" w:space="0" w:color="auto"/>
              <w:bottom w:val="single" w:sz="4" w:space="0" w:color="auto"/>
              <w:right w:val="single" w:sz="4" w:space="0" w:color="auto"/>
            </w:tcBorders>
            <w:hideMark/>
          </w:tcPr>
          <w:p w14:paraId="61E0D579"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-15</w:t>
            </w:r>
          </w:p>
        </w:tc>
        <w:tc>
          <w:tcPr>
            <w:tcW w:w="740" w:type="dxa"/>
            <w:tcBorders>
              <w:top w:val="single" w:sz="4" w:space="0" w:color="auto"/>
              <w:left w:val="single" w:sz="4" w:space="0" w:color="auto"/>
              <w:bottom w:val="single" w:sz="4" w:space="0" w:color="auto"/>
              <w:right w:val="single" w:sz="4" w:space="0" w:color="auto"/>
            </w:tcBorders>
            <w:hideMark/>
          </w:tcPr>
          <w:p w14:paraId="096A62A5"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-15</w:t>
            </w:r>
          </w:p>
        </w:tc>
      </w:tr>
      <w:tr w:rsidR="003A71DE" w:rsidRPr="00F42DB7" w14:paraId="63136E24" w14:textId="77777777" w:rsidTr="003A71DE">
        <w:trPr>
          <w:cantSplit/>
          <w:trHeight w:val="199"/>
          <w:jc w:val="center"/>
        </w:trPr>
        <w:tc>
          <w:tcPr>
            <w:tcW w:w="1918" w:type="dxa"/>
            <w:tcBorders>
              <w:top w:val="single" w:sz="4" w:space="0" w:color="auto"/>
              <w:left w:val="single" w:sz="4" w:space="0" w:color="auto"/>
              <w:bottom w:val="single" w:sz="4" w:space="0" w:color="auto"/>
              <w:right w:val="single" w:sz="4" w:space="0" w:color="auto"/>
            </w:tcBorders>
            <w:hideMark/>
          </w:tcPr>
          <w:p w14:paraId="12824885" w14:textId="77777777" w:rsidR="003A71DE" w:rsidRPr="00F42DB7" w:rsidRDefault="003A71DE" w:rsidP="003A71DE">
            <w:pPr>
              <w:keepNext/>
              <w:keepLines/>
              <w:spacing w:after="0"/>
              <w:rPr>
                <w:rFonts w:ascii="Arial" w:eastAsia="SimSun" w:hAnsi="Arial"/>
                <w:sz w:val="18"/>
                <w:lang w:eastAsia="zh-CN"/>
              </w:rPr>
            </w:pPr>
            <w:r w:rsidRPr="00F42DB7">
              <w:rPr>
                <w:rFonts w:ascii="Arial" w:eastAsia="SimSun" w:hAnsi="Arial"/>
                <w:sz w:val="18"/>
                <w:lang w:eastAsia="zh-CN"/>
              </w:rPr>
              <w:t>SNR on other channels and signals</w:t>
            </w:r>
          </w:p>
        </w:tc>
        <w:tc>
          <w:tcPr>
            <w:tcW w:w="1776" w:type="dxa"/>
            <w:tcBorders>
              <w:top w:val="single" w:sz="4" w:space="0" w:color="auto"/>
              <w:left w:val="single" w:sz="4" w:space="0" w:color="auto"/>
              <w:bottom w:val="single" w:sz="4" w:space="0" w:color="auto"/>
              <w:right w:val="single" w:sz="4" w:space="0" w:color="auto"/>
            </w:tcBorders>
            <w:hideMark/>
          </w:tcPr>
          <w:p w14:paraId="2B24DB67" w14:textId="77777777" w:rsidR="003A71DE" w:rsidRPr="00F42DB7" w:rsidRDefault="003A71DE" w:rsidP="003A71DE">
            <w:pPr>
              <w:keepNext/>
              <w:keepLines/>
              <w:spacing w:after="0"/>
              <w:rPr>
                <w:rFonts w:ascii="Arial" w:eastAsia="SimSun" w:hAnsi="Arial"/>
                <w:noProof/>
                <w:sz w:val="18"/>
                <w:lang w:eastAsia="zh-CN"/>
              </w:rPr>
            </w:pPr>
            <w:r w:rsidRPr="00F42DB7">
              <w:rPr>
                <w:rFonts w:ascii="Arial" w:eastAsia="SimSun" w:hAnsi="Arial"/>
                <w:noProof/>
                <w:sz w:val="18"/>
                <w:lang w:eastAsia="zh-CN"/>
              </w:rPr>
              <w:t>Config 1</w:t>
            </w:r>
          </w:p>
        </w:tc>
        <w:tc>
          <w:tcPr>
            <w:tcW w:w="740" w:type="dxa"/>
            <w:tcBorders>
              <w:top w:val="single" w:sz="4" w:space="0" w:color="auto"/>
              <w:left w:val="single" w:sz="4" w:space="0" w:color="auto"/>
              <w:bottom w:val="single" w:sz="4" w:space="0" w:color="auto"/>
              <w:right w:val="single" w:sz="4" w:space="0" w:color="auto"/>
            </w:tcBorders>
            <w:hideMark/>
          </w:tcPr>
          <w:p w14:paraId="4001C407" w14:textId="77777777" w:rsidR="003A71DE" w:rsidRPr="00F42DB7" w:rsidRDefault="003A71DE" w:rsidP="003A71DE">
            <w:pPr>
              <w:keepNext/>
              <w:keepLines/>
              <w:spacing w:after="0"/>
              <w:jc w:val="center"/>
              <w:rPr>
                <w:rFonts w:ascii="Arial" w:eastAsia="SimSun" w:hAnsi="Arial"/>
                <w:sz w:val="18"/>
                <w:lang w:eastAsia="zh-CN"/>
              </w:rPr>
            </w:pPr>
            <w:r w:rsidRPr="00F42DB7">
              <w:rPr>
                <w:rFonts w:ascii="Arial" w:eastAsia="SimSun" w:hAnsi="Arial"/>
                <w:sz w:val="18"/>
                <w:lang w:eastAsia="zh-CN"/>
              </w:rPr>
              <w:t>dB</w:t>
            </w:r>
          </w:p>
        </w:tc>
        <w:tc>
          <w:tcPr>
            <w:tcW w:w="2220" w:type="dxa"/>
            <w:gridSpan w:val="3"/>
            <w:tcBorders>
              <w:top w:val="single" w:sz="4" w:space="0" w:color="auto"/>
              <w:left w:val="single" w:sz="4" w:space="0" w:color="auto"/>
              <w:bottom w:val="single" w:sz="4" w:space="0" w:color="auto"/>
              <w:right w:val="single" w:sz="4" w:space="0" w:color="auto"/>
            </w:tcBorders>
            <w:hideMark/>
          </w:tcPr>
          <w:p w14:paraId="1ECA1092" w14:textId="77777777" w:rsidR="003A71DE" w:rsidRPr="00F42DB7" w:rsidRDefault="003A71DE" w:rsidP="003A71DE">
            <w:pPr>
              <w:keepNext/>
              <w:keepLines/>
              <w:spacing w:after="0"/>
              <w:jc w:val="center"/>
              <w:rPr>
                <w:rFonts w:ascii="Arial" w:eastAsia="SimSun" w:hAnsi="Arial"/>
                <w:sz w:val="18"/>
                <w:lang w:eastAsia="zh-CN"/>
              </w:rPr>
            </w:pPr>
            <w:r w:rsidRPr="00F42DB7">
              <w:rPr>
                <w:rFonts w:ascii="Arial" w:eastAsia="SimSun" w:hAnsi="Arial"/>
                <w:sz w:val="18"/>
                <w:lang w:eastAsia="zh-CN"/>
              </w:rPr>
              <w:t>2</w:t>
            </w:r>
            <w:r w:rsidRPr="00F42DB7">
              <w:rPr>
                <w:rFonts w:ascii="Arial" w:eastAsia="SimSun" w:hAnsi="Arial"/>
                <w:sz w:val="18"/>
                <w:vertAlign w:val="superscript"/>
              </w:rPr>
              <w:t>Note 6</w:t>
            </w:r>
          </w:p>
        </w:tc>
        <w:tc>
          <w:tcPr>
            <w:tcW w:w="2220" w:type="dxa"/>
            <w:gridSpan w:val="3"/>
            <w:tcBorders>
              <w:top w:val="single" w:sz="4" w:space="0" w:color="auto"/>
              <w:left w:val="single" w:sz="4" w:space="0" w:color="auto"/>
              <w:bottom w:val="single" w:sz="4" w:space="0" w:color="auto"/>
              <w:right w:val="single" w:sz="4" w:space="0" w:color="auto"/>
            </w:tcBorders>
            <w:hideMark/>
          </w:tcPr>
          <w:p w14:paraId="48EA6437" w14:textId="77777777" w:rsidR="003A71DE" w:rsidRPr="00F42DB7" w:rsidRDefault="003A71DE" w:rsidP="003A71DE">
            <w:pPr>
              <w:keepNext/>
              <w:keepLines/>
              <w:spacing w:after="0"/>
              <w:jc w:val="center"/>
              <w:rPr>
                <w:rFonts w:ascii="Arial" w:eastAsia="SimSun" w:hAnsi="Arial"/>
                <w:sz w:val="18"/>
                <w:lang w:eastAsia="zh-CN"/>
              </w:rPr>
            </w:pPr>
            <w:r w:rsidRPr="00F42DB7">
              <w:rPr>
                <w:rFonts w:ascii="Arial" w:eastAsia="SimSun" w:hAnsi="Arial"/>
                <w:sz w:val="18"/>
                <w:lang w:eastAsia="zh-CN"/>
              </w:rPr>
              <w:t>N/A</w:t>
            </w:r>
          </w:p>
        </w:tc>
      </w:tr>
      <w:tr w:rsidR="003A71DE" w:rsidRPr="00F42DB7" w14:paraId="63F0748A" w14:textId="77777777" w:rsidTr="003A71DE">
        <w:trPr>
          <w:cantSplit/>
          <w:trHeight w:val="153"/>
          <w:jc w:val="center"/>
        </w:trPr>
        <w:tc>
          <w:tcPr>
            <w:tcW w:w="1918" w:type="dxa"/>
            <w:tcBorders>
              <w:top w:val="single" w:sz="4" w:space="0" w:color="auto"/>
              <w:left w:val="single" w:sz="4" w:space="0" w:color="auto"/>
              <w:bottom w:val="single" w:sz="4" w:space="0" w:color="auto"/>
              <w:right w:val="single" w:sz="4" w:space="0" w:color="auto"/>
            </w:tcBorders>
            <w:hideMark/>
          </w:tcPr>
          <w:p w14:paraId="7B7544F3" w14:textId="77777777" w:rsidR="003A71DE" w:rsidRPr="00F42DB7" w:rsidRDefault="003A71DE" w:rsidP="003A71DE">
            <w:pPr>
              <w:keepNext/>
              <w:keepLines/>
              <w:spacing w:after="0"/>
              <w:rPr>
                <w:rFonts w:ascii="Arial" w:eastAsia="SimSun" w:hAnsi="Arial"/>
                <w:sz w:val="18"/>
              </w:rPr>
            </w:pPr>
            <w:r w:rsidRPr="00F42DB7">
              <w:rPr>
                <w:rFonts w:ascii="Arial" w:eastAsia="SimSun" w:hAnsi="Arial"/>
                <w:position w:val="-12"/>
                <w:sz w:val="18"/>
              </w:rPr>
              <w:object w:dxaOrig="405" w:dyaOrig="405" w14:anchorId="5C13D9A8">
                <v:shape id="_x0000_i1093" type="#_x0000_t75" style="width:19.95pt;height:19.95pt" o:ole="" fillcolor="window">
                  <v:imagedata r:id="rId114" o:title=""/>
                </v:shape>
                <o:OLEObject Type="Embed" ProgID="Equation.3" ShapeID="_x0000_i1093" DrawAspect="Content" ObjectID="_1734764473" r:id="rId119"/>
              </w:object>
            </w:r>
          </w:p>
        </w:tc>
        <w:tc>
          <w:tcPr>
            <w:tcW w:w="1776" w:type="dxa"/>
            <w:tcBorders>
              <w:top w:val="single" w:sz="4" w:space="0" w:color="auto"/>
              <w:left w:val="single" w:sz="4" w:space="0" w:color="auto"/>
              <w:bottom w:val="single" w:sz="4" w:space="0" w:color="auto"/>
              <w:right w:val="single" w:sz="4" w:space="0" w:color="auto"/>
            </w:tcBorders>
            <w:hideMark/>
          </w:tcPr>
          <w:p w14:paraId="5CE3115E" w14:textId="77777777" w:rsidR="003A71DE" w:rsidRPr="00F42DB7" w:rsidRDefault="003A71DE" w:rsidP="003A71DE">
            <w:pPr>
              <w:keepNext/>
              <w:keepLines/>
              <w:spacing w:after="0"/>
              <w:rPr>
                <w:rFonts w:ascii="Arial" w:eastAsia="SimSun" w:hAnsi="Arial"/>
                <w:noProof/>
                <w:sz w:val="18"/>
              </w:rPr>
            </w:pPr>
            <w:r w:rsidRPr="00F42DB7">
              <w:rPr>
                <w:rFonts w:ascii="Arial" w:eastAsia="SimSun" w:hAnsi="Arial"/>
                <w:noProof/>
                <w:sz w:val="18"/>
              </w:rPr>
              <w:t>Config 1</w:t>
            </w:r>
          </w:p>
        </w:tc>
        <w:tc>
          <w:tcPr>
            <w:tcW w:w="740" w:type="dxa"/>
            <w:tcBorders>
              <w:top w:val="single" w:sz="4" w:space="0" w:color="auto"/>
              <w:left w:val="single" w:sz="4" w:space="0" w:color="auto"/>
              <w:bottom w:val="single" w:sz="4" w:space="0" w:color="auto"/>
              <w:right w:val="single" w:sz="4" w:space="0" w:color="auto"/>
            </w:tcBorders>
            <w:hideMark/>
          </w:tcPr>
          <w:p w14:paraId="0E1E1CFE"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dBm/</w:t>
            </w:r>
            <w:r w:rsidRPr="00F42DB7">
              <w:rPr>
                <w:rFonts w:ascii="Arial" w:eastAsia="SimSun" w:hAnsi="Arial"/>
                <w:sz w:val="18"/>
              </w:rPr>
              <w:br/>
              <w:t>15kHz</w:t>
            </w:r>
          </w:p>
        </w:tc>
        <w:tc>
          <w:tcPr>
            <w:tcW w:w="2220" w:type="dxa"/>
            <w:gridSpan w:val="3"/>
            <w:tcBorders>
              <w:top w:val="single" w:sz="4" w:space="0" w:color="auto"/>
              <w:left w:val="single" w:sz="4" w:space="0" w:color="auto"/>
              <w:bottom w:val="single" w:sz="4" w:space="0" w:color="auto"/>
              <w:right w:val="single" w:sz="4" w:space="0" w:color="auto"/>
            </w:tcBorders>
            <w:hideMark/>
          </w:tcPr>
          <w:p w14:paraId="344AE795"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-92.1</w:t>
            </w:r>
          </w:p>
        </w:tc>
        <w:tc>
          <w:tcPr>
            <w:tcW w:w="2220" w:type="dxa"/>
            <w:gridSpan w:val="3"/>
            <w:tcBorders>
              <w:top w:val="single" w:sz="4" w:space="0" w:color="auto"/>
              <w:left w:val="single" w:sz="4" w:space="0" w:color="auto"/>
              <w:bottom w:val="single" w:sz="4" w:space="0" w:color="auto"/>
              <w:right w:val="single" w:sz="4" w:space="0" w:color="auto"/>
            </w:tcBorders>
            <w:hideMark/>
          </w:tcPr>
          <w:p w14:paraId="38A31885"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-92.1</w:t>
            </w:r>
          </w:p>
        </w:tc>
      </w:tr>
      <w:tr w:rsidR="003A71DE" w:rsidRPr="00F42DB7" w14:paraId="50DAA13C" w14:textId="77777777" w:rsidTr="003A71DE">
        <w:trPr>
          <w:cantSplit/>
          <w:trHeight w:val="168"/>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1AB3C440" w14:textId="77777777" w:rsidR="003A71DE" w:rsidRPr="00F42DB7" w:rsidRDefault="003A71DE" w:rsidP="003A71DE">
            <w:pPr>
              <w:keepNext/>
              <w:keepLines/>
              <w:spacing w:after="0"/>
              <w:rPr>
                <w:rFonts w:ascii="Arial" w:eastAsia="?? ??" w:hAnsi="Arial"/>
                <w:sz w:val="18"/>
              </w:rPr>
            </w:pPr>
            <w:r w:rsidRPr="00F42DB7">
              <w:rPr>
                <w:rFonts w:ascii="Arial" w:eastAsia="?? ??" w:hAnsi="Arial"/>
                <w:sz w:val="18"/>
              </w:rPr>
              <w:t>Time multiplexing of the downlink transmissions from each AoA</w:t>
            </w:r>
          </w:p>
        </w:tc>
        <w:tc>
          <w:tcPr>
            <w:tcW w:w="740" w:type="dxa"/>
            <w:tcBorders>
              <w:top w:val="single" w:sz="4" w:space="0" w:color="auto"/>
              <w:left w:val="single" w:sz="4" w:space="0" w:color="auto"/>
              <w:bottom w:val="single" w:sz="4" w:space="0" w:color="auto"/>
              <w:right w:val="single" w:sz="4" w:space="0" w:color="auto"/>
            </w:tcBorders>
          </w:tcPr>
          <w:p w14:paraId="7D7C9739" w14:textId="77777777" w:rsidR="003A71DE" w:rsidRPr="00F42DB7" w:rsidRDefault="003A71DE" w:rsidP="003A71DE">
            <w:pPr>
              <w:keepNext/>
              <w:keepLines/>
              <w:spacing w:after="0"/>
              <w:jc w:val="center"/>
              <w:rPr>
                <w:rFonts w:ascii="Arial" w:eastAsia="SimSun" w:hAnsi="Arial"/>
                <w:sz w:val="18"/>
              </w:rPr>
            </w:pPr>
          </w:p>
        </w:tc>
        <w:tc>
          <w:tcPr>
            <w:tcW w:w="4440" w:type="dxa"/>
            <w:gridSpan w:val="6"/>
            <w:tcBorders>
              <w:top w:val="single" w:sz="4" w:space="0" w:color="auto"/>
              <w:left w:val="single" w:sz="4" w:space="0" w:color="auto"/>
              <w:bottom w:val="single" w:sz="4" w:space="0" w:color="auto"/>
              <w:right w:val="single" w:sz="4" w:space="0" w:color="auto"/>
            </w:tcBorders>
            <w:hideMark/>
          </w:tcPr>
          <w:p w14:paraId="2FC26CF4" w14:textId="77777777" w:rsidR="003A71DE" w:rsidRPr="00F42DB7" w:rsidRDefault="003A71DE" w:rsidP="003A71DE">
            <w:pPr>
              <w:keepNext/>
              <w:keepLines/>
              <w:spacing w:after="0"/>
              <w:jc w:val="center"/>
              <w:rPr>
                <w:rFonts w:ascii="Arial" w:eastAsia="SimSun" w:hAnsi="Arial"/>
                <w:sz w:val="18"/>
              </w:rPr>
            </w:pPr>
            <w:r w:rsidRPr="00F42DB7">
              <w:rPr>
                <w:rFonts w:ascii="Arial" w:eastAsia="?? ??" w:hAnsi="Arial"/>
                <w:sz w:val="18"/>
              </w:rPr>
              <w:t>Defined in Figure G.2.3.1.3.1-2</w:t>
            </w:r>
          </w:p>
        </w:tc>
      </w:tr>
      <w:tr w:rsidR="003A71DE" w:rsidRPr="00F42DB7" w14:paraId="4EF48751" w14:textId="77777777" w:rsidTr="003A71DE">
        <w:trPr>
          <w:cantSplit/>
          <w:trHeight w:val="168"/>
          <w:jc w:val="center"/>
        </w:trPr>
        <w:tc>
          <w:tcPr>
            <w:tcW w:w="3694" w:type="dxa"/>
            <w:gridSpan w:val="2"/>
            <w:tcBorders>
              <w:top w:val="single" w:sz="4" w:space="0" w:color="auto"/>
              <w:left w:val="single" w:sz="4" w:space="0" w:color="auto"/>
              <w:bottom w:val="single" w:sz="4" w:space="0" w:color="auto"/>
              <w:right w:val="single" w:sz="4" w:space="0" w:color="auto"/>
            </w:tcBorders>
            <w:hideMark/>
          </w:tcPr>
          <w:p w14:paraId="6E685768" w14:textId="77777777" w:rsidR="003A71DE" w:rsidRPr="00F42DB7" w:rsidRDefault="003A71DE" w:rsidP="003A71DE">
            <w:pPr>
              <w:keepNext/>
              <w:keepLines/>
              <w:spacing w:after="0"/>
              <w:rPr>
                <w:rFonts w:ascii="Arial" w:eastAsia="SimSun" w:hAnsi="Arial"/>
                <w:sz w:val="18"/>
              </w:rPr>
            </w:pPr>
            <w:r w:rsidRPr="00F42DB7">
              <w:rPr>
                <w:rFonts w:ascii="Arial" w:eastAsia="?? ??" w:hAnsi="Arial"/>
                <w:sz w:val="18"/>
              </w:rPr>
              <w:t>Propagation condition</w:t>
            </w:r>
          </w:p>
        </w:tc>
        <w:tc>
          <w:tcPr>
            <w:tcW w:w="740" w:type="dxa"/>
            <w:tcBorders>
              <w:top w:val="single" w:sz="4" w:space="0" w:color="auto"/>
              <w:left w:val="single" w:sz="4" w:space="0" w:color="auto"/>
              <w:bottom w:val="single" w:sz="4" w:space="0" w:color="auto"/>
              <w:right w:val="single" w:sz="4" w:space="0" w:color="auto"/>
            </w:tcBorders>
          </w:tcPr>
          <w:p w14:paraId="33EE1E1A" w14:textId="77777777" w:rsidR="003A71DE" w:rsidRPr="00F42DB7" w:rsidRDefault="003A71DE" w:rsidP="003A71DE">
            <w:pPr>
              <w:keepNext/>
              <w:keepLines/>
              <w:spacing w:after="0"/>
              <w:jc w:val="center"/>
              <w:rPr>
                <w:rFonts w:ascii="Arial" w:eastAsia="SimSun" w:hAnsi="Arial"/>
                <w:sz w:val="18"/>
              </w:rPr>
            </w:pPr>
          </w:p>
        </w:tc>
        <w:tc>
          <w:tcPr>
            <w:tcW w:w="2220" w:type="dxa"/>
            <w:gridSpan w:val="3"/>
            <w:tcBorders>
              <w:top w:val="single" w:sz="4" w:space="0" w:color="auto"/>
              <w:left w:val="single" w:sz="4" w:space="0" w:color="auto"/>
              <w:bottom w:val="single" w:sz="4" w:space="0" w:color="auto"/>
              <w:right w:val="single" w:sz="4" w:space="0" w:color="auto"/>
            </w:tcBorders>
            <w:vAlign w:val="center"/>
            <w:hideMark/>
          </w:tcPr>
          <w:p w14:paraId="5105A5E2"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TDL-A 30ns 75Hz</w:t>
            </w:r>
          </w:p>
        </w:tc>
        <w:tc>
          <w:tcPr>
            <w:tcW w:w="2220" w:type="dxa"/>
            <w:gridSpan w:val="3"/>
            <w:tcBorders>
              <w:top w:val="single" w:sz="4" w:space="0" w:color="auto"/>
              <w:left w:val="single" w:sz="4" w:space="0" w:color="auto"/>
              <w:bottom w:val="single" w:sz="4" w:space="0" w:color="auto"/>
              <w:right w:val="single" w:sz="4" w:space="0" w:color="auto"/>
            </w:tcBorders>
            <w:vAlign w:val="center"/>
            <w:hideMark/>
          </w:tcPr>
          <w:p w14:paraId="60B9B228" w14:textId="77777777" w:rsidR="003A71DE" w:rsidRPr="00F42DB7" w:rsidRDefault="003A71DE" w:rsidP="003A71DE">
            <w:pPr>
              <w:keepNext/>
              <w:keepLines/>
              <w:spacing w:after="0"/>
              <w:jc w:val="center"/>
              <w:rPr>
                <w:rFonts w:ascii="Arial" w:eastAsia="SimSun" w:hAnsi="Arial"/>
                <w:sz w:val="18"/>
              </w:rPr>
            </w:pPr>
            <w:r w:rsidRPr="00F42DB7">
              <w:rPr>
                <w:rFonts w:ascii="Arial" w:eastAsia="SimSun" w:hAnsi="Arial"/>
                <w:sz w:val="18"/>
              </w:rPr>
              <w:t>TDL-A 30ns 75Hz</w:t>
            </w:r>
          </w:p>
        </w:tc>
      </w:tr>
      <w:tr w:rsidR="003A71DE" w:rsidRPr="00F42DB7" w14:paraId="08C4C534" w14:textId="77777777" w:rsidTr="003A71DE">
        <w:trPr>
          <w:cantSplit/>
          <w:trHeight w:val="168"/>
          <w:jc w:val="center"/>
        </w:trPr>
        <w:tc>
          <w:tcPr>
            <w:tcW w:w="8874" w:type="dxa"/>
            <w:gridSpan w:val="9"/>
            <w:tcBorders>
              <w:top w:val="single" w:sz="4" w:space="0" w:color="auto"/>
              <w:left w:val="single" w:sz="4" w:space="0" w:color="auto"/>
              <w:bottom w:val="single" w:sz="4" w:space="0" w:color="auto"/>
              <w:right w:val="single" w:sz="4" w:space="0" w:color="auto"/>
            </w:tcBorders>
            <w:hideMark/>
          </w:tcPr>
          <w:p w14:paraId="15F7FFA7" w14:textId="77777777" w:rsidR="003A71DE" w:rsidRPr="00F42DB7" w:rsidRDefault="003A71DE" w:rsidP="00A40F90">
            <w:pPr>
              <w:pStyle w:val="TAN"/>
              <w:rPr>
                <w:rFonts w:eastAsia="SimSun"/>
              </w:rPr>
            </w:pPr>
            <w:r w:rsidRPr="00F42DB7">
              <w:rPr>
                <w:rFonts w:eastAsia="SimSun"/>
              </w:rPr>
              <w:t>Note 1:</w:t>
            </w:r>
            <w:r w:rsidRPr="00F42DB7">
              <w:rPr>
                <w:rFonts w:eastAsia="SimSun"/>
              </w:rPr>
              <w:tab/>
              <w:t>OCNG shall be used such that the resources in Cell 1 are fully allocated and a constant total transmitted power spectral density is achieved for all OFDM symbols.</w:t>
            </w:r>
          </w:p>
          <w:p w14:paraId="6617593F" w14:textId="77777777" w:rsidR="003A71DE" w:rsidRPr="00F42DB7" w:rsidRDefault="003A71DE" w:rsidP="00A40F90">
            <w:pPr>
              <w:pStyle w:val="TAN"/>
              <w:rPr>
                <w:rFonts w:eastAsia="SimSun"/>
              </w:rPr>
            </w:pPr>
            <w:r w:rsidRPr="00F42DB7">
              <w:rPr>
                <w:rFonts w:eastAsia="SimSun"/>
              </w:rPr>
              <w:t>Note 2:</w:t>
            </w:r>
            <w:r w:rsidRPr="00F42DB7">
              <w:rPr>
                <w:rFonts w:eastAsia="SimSun"/>
              </w:rPr>
              <w:tab/>
              <w:t>The signal contains PDCCH for IAB-MTs other than the device under test as part of OCNG.</w:t>
            </w:r>
          </w:p>
          <w:p w14:paraId="28C7ACD7" w14:textId="77777777" w:rsidR="003A71DE" w:rsidRPr="00F42DB7" w:rsidRDefault="003A71DE" w:rsidP="00A40F90">
            <w:pPr>
              <w:pStyle w:val="TAN"/>
              <w:rPr>
                <w:rFonts w:eastAsia="SimSun"/>
              </w:rPr>
            </w:pPr>
            <w:r w:rsidRPr="00F42DB7">
              <w:rPr>
                <w:rFonts w:eastAsia="SimSun"/>
              </w:rPr>
              <w:t>Note 3:</w:t>
            </w:r>
            <w:r w:rsidRPr="00F42DB7">
              <w:rPr>
                <w:rFonts w:eastAsia="SimSun"/>
              </w:rPr>
              <w:tab/>
              <w:t>SNR levels correspond to the signal to noise ratio over the SSS REs.</w:t>
            </w:r>
          </w:p>
          <w:p w14:paraId="532F1272" w14:textId="03BDE7E4" w:rsidR="00C977C0" w:rsidRPr="00F42DB7" w:rsidRDefault="00C977C0" w:rsidP="00C977C0">
            <w:pPr>
              <w:pStyle w:val="TAN"/>
              <w:rPr>
                <w:rFonts w:eastAsia="SimSun"/>
              </w:rPr>
            </w:pPr>
            <w:r w:rsidRPr="00F42DB7">
              <w:rPr>
                <w:rFonts w:eastAsia="SimSun"/>
              </w:rPr>
              <w:t>Note 4:</w:t>
            </w:r>
            <w:r w:rsidRPr="00F42DB7">
              <w:rPr>
                <w:rFonts w:eastAsia="MS Mincho"/>
                <w:snapToGrid w:val="0"/>
              </w:rPr>
              <w:tab/>
            </w:r>
            <w:r w:rsidRPr="00F42DB7">
              <w:rPr>
                <w:rFonts w:eastAsia="SimSun"/>
              </w:rPr>
              <w:t>The SNR values are specified for testing an IAB-MT which supports 2RX on at least one band. For testing of a</w:t>
            </w:r>
            <w:r>
              <w:rPr>
                <w:rFonts w:eastAsia="SimSun"/>
              </w:rPr>
              <w:t>n</w:t>
            </w:r>
            <w:r w:rsidRPr="00F42DB7">
              <w:rPr>
                <w:rFonts w:eastAsia="SimSun"/>
              </w:rPr>
              <w:t xml:space="preserve"> IAB-MT which supports 4RX on all bands, the SNR during T3 is </w:t>
            </w:r>
            <w:r>
              <w:rPr>
                <w:rFonts w:eastAsia="SimSun"/>
              </w:rPr>
              <w:t>defined in clause G.1.3</w:t>
            </w:r>
            <w:r w:rsidRPr="00F42DB7">
              <w:rPr>
                <w:rFonts w:eastAsia="SimSun"/>
              </w:rPr>
              <w:t>.</w:t>
            </w:r>
          </w:p>
          <w:p w14:paraId="4FE38850" w14:textId="77777777" w:rsidR="00C977C0" w:rsidRPr="00F42DB7" w:rsidRDefault="00C977C0" w:rsidP="00C977C0">
            <w:pPr>
              <w:pStyle w:val="TAN"/>
              <w:rPr>
                <w:rFonts w:eastAsia="SimSun"/>
              </w:rPr>
            </w:pPr>
            <w:r w:rsidRPr="00F42DB7">
              <w:rPr>
                <w:rFonts w:eastAsia="SimSun"/>
              </w:rPr>
              <w:t>Note 5:</w:t>
            </w:r>
            <w:r w:rsidRPr="00F42DB7">
              <w:rPr>
                <w:rFonts w:eastAsia="MS Mincho"/>
                <w:snapToGrid w:val="0"/>
              </w:rPr>
              <w:t xml:space="preserve"> </w:t>
            </w:r>
            <w:r w:rsidRPr="00F42DB7">
              <w:rPr>
                <w:rFonts w:eastAsia="MS Mincho"/>
                <w:snapToGrid w:val="0"/>
              </w:rPr>
              <w:tab/>
              <w:t>Void</w:t>
            </w:r>
          </w:p>
          <w:p w14:paraId="36557DB8" w14:textId="540ADF7D" w:rsidR="003A71DE" w:rsidRPr="00F42DB7" w:rsidRDefault="00C977C0" w:rsidP="00C977C0">
            <w:pPr>
              <w:pStyle w:val="TAN"/>
              <w:rPr>
                <w:rFonts w:eastAsia="SimSun"/>
              </w:rPr>
            </w:pPr>
            <w:r w:rsidRPr="00F42DB7">
              <w:rPr>
                <w:rFonts w:eastAsia="SimSun"/>
              </w:rPr>
              <w:t>Note 6:</w:t>
            </w:r>
            <w:r w:rsidRPr="00F42DB7">
              <w:rPr>
                <w:rFonts w:eastAsia="SimSun"/>
              </w:rPr>
              <w:tab/>
              <w:t>This value allows up to 1dB degradation from applied SNR to IAB-MT baseband</w:t>
            </w:r>
            <w:r>
              <w:rPr>
                <w:rFonts w:eastAsia="SimSun"/>
              </w:rPr>
              <w:t>.</w:t>
            </w:r>
          </w:p>
        </w:tc>
      </w:tr>
    </w:tbl>
    <w:p w14:paraId="7FCE08B2" w14:textId="77777777" w:rsidR="003A71DE" w:rsidRPr="007D0AFB" w:rsidRDefault="003A71DE" w:rsidP="003A71DE">
      <w:pPr>
        <w:rPr>
          <w:rFonts w:eastAsia="SimSun"/>
        </w:rPr>
      </w:pPr>
    </w:p>
    <w:p w14:paraId="1E308655" w14:textId="77777777" w:rsidR="003A71DE" w:rsidRPr="007D0AFB" w:rsidRDefault="003A71DE" w:rsidP="00746C0D">
      <w:pPr>
        <w:pStyle w:val="TH"/>
        <w:rPr>
          <w:rFonts w:eastAsia="Malgun Gothic"/>
        </w:rPr>
      </w:pPr>
      <w:r w:rsidRPr="007D0AFB">
        <w:rPr>
          <w:rFonts w:eastAsia="Malgun Gothic"/>
          <w:noProof/>
          <w:lang w:eastAsia="zh-CN"/>
        </w:rPr>
        <w:drawing>
          <wp:inline distT="0" distB="0" distL="0" distR="0" wp14:anchorId="4A7521FA" wp14:editId="0AA548A5">
            <wp:extent cx="4610100" cy="2617192"/>
            <wp:effectExtent l="0" t="0" r="0" b="0"/>
            <wp:docPr id="313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A FR2 OOS.PNG"/>
                    <pic:cNvPicPr/>
                  </pic:nvPicPr>
                  <pic:blipFill>
                    <a:blip r:embed="rId120" cstate="print">
                      <a:extLst>
                        <a:ext uri="{28A0092B-C50C-407E-A947-70E740481C1C}">
                          <a14:useLocalDpi xmlns:a14="http://schemas.microsoft.com/office/drawing/2010/main" val="0"/>
                        </a:ext>
                      </a:extLst>
                    </a:blip>
                    <a:stretch>
                      <a:fillRect/>
                    </a:stretch>
                  </pic:blipFill>
                  <pic:spPr>
                    <a:xfrm>
                      <a:off x="0" y="0"/>
                      <a:ext cx="4612538" cy="2618576"/>
                    </a:xfrm>
                    <a:prstGeom prst="rect">
                      <a:avLst/>
                    </a:prstGeom>
                  </pic:spPr>
                </pic:pic>
              </a:graphicData>
            </a:graphic>
          </wp:inline>
        </w:drawing>
      </w:r>
    </w:p>
    <w:p w14:paraId="469E337C" w14:textId="77777777" w:rsidR="003A71DE" w:rsidRPr="007D0AFB" w:rsidRDefault="003A71DE" w:rsidP="00746C0D">
      <w:pPr>
        <w:pStyle w:val="TF"/>
        <w:rPr>
          <w:rFonts w:eastAsia="SimSun"/>
        </w:rPr>
      </w:pPr>
      <w:r w:rsidRPr="007D0AFB">
        <w:rPr>
          <w:rFonts w:eastAsia="SimSun"/>
        </w:rPr>
        <w:t>Figure G.2.3.1.3.1-1: SNR variation for out-of-sync testing</w:t>
      </w:r>
    </w:p>
    <w:bookmarkStart w:id="10284" w:name="_Toc535476698"/>
    <w:p w14:paraId="3E29F643" w14:textId="77777777" w:rsidR="003A71DE" w:rsidRPr="007D0AFB" w:rsidRDefault="003A71DE" w:rsidP="00746C0D">
      <w:pPr>
        <w:pStyle w:val="TH"/>
        <w:rPr>
          <w:rFonts w:eastAsia="SimSun"/>
        </w:rPr>
      </w:pPr>
      <w:r w:rsidRPr="007D0AFB">
        <w:rPr>
          <w:rFonts w:eastAsia="SimSun"/>
        </w:rPr>
        <w:object w:dxaOrig="8536" w:dyaOrig="5748" w14:anchorId="0091DDBF">
          <v:shape id="_x0000_i1094" type="#_x0000_t75" style="width:373.85pt;height:252.55pt" o:ole="">
            <v:imagedata r:id="rId121" o:title=""/>
          </v:shape>
          <o:OLEObject Type="Embed" ProgID="Visio.Drawing.11" ShapeID="_x0000_i1094" DrawAspect="Content" ObjectID="_1734764474" r:id="rId122"/>
        </w:object>
      </w:r>
    </w:p>
    <w:p w14:paraId="6AD9367D" w14:textId="77777777" w:rsidR="003A71DE" w:rsidRPr="007D0AFB" w:rsidRDefault="003A71DE" w:rsidP="00746C0D">
      <w:pPr>
        <w:pStyle w:val="TF"/>
        <w:rPr>
          <w:rFonts w:eastAsia="SimSun"/>
        </w:rPr>
      </w:pPr>
      <w:r w:rsidRPr="007D0AFB">
        <w:rPr>
          <w:rFonts w:eastAsia="SimSun"/>
        </w:rPr>
        <w:t>Figure G.2.3.1.3.1-2: Time multiplexed downlink transmissions</w:t>
      </w:r>
    </w:p>
    <w:p w14:paraId="2A0C448F" w14:textId="77777777" w:rsidR="003A71DE" w:rsidRPr="007D0AFB" w:rsidDel="00F03845" w:rsidRDefault="003A71DE" w:rsidP="00746C0D">
      <w:pPr>
        <w:pStyle w:val="H6"/>
        <w:rPr>
          <w:rFonts w:eastAsia="SimSun"/>
          <w:snapToGrid w:val="0"/>
        </w:rPr>
      </w:pPr>
      <w:r w:rsidRPr="007D0AFB">
        <w:rPr>
          <w:rFonts w:eastAsia="SimSun"/>
          <w:snapToGrid w:val="0"/>
        </w:rPr>
        <w:t>G.2.3.1.3.</w:t>
      </w:r>
      <w:r w:rsidRPr="007D0AFB" w:rsidDel="00F03845">
        <w:rPr>
          <w:rFonts w:eastAsia="SimSun"/>
          <w:snapToGrid w:val="0"/>
        </w:rPr>
        <w:t>2</w:t>
      </w:r>
      <w:r w:rsidRPr="007D0AFB" w:rsidDel="00F03845">
        <w:rPr>
          <w:rFonts w:eastAsia="SimSun"/>
          <w:snapToGrid w:val="0"/>
        </w:rPr>
        <w:tab/>
        <w:t>Test Requirements</w:t>
      </w:r>
      <w:bookmarkEnd w:id="10284"/>
    </w:p>
    <w:p w14:paraId="33AEF233" w14:textId="77777777" w:rsidR="003A71DE" w:rsidRPr="007D0AFB" w:rsidDel="00F03845" w:rsidRDefault="003A71DE" w:rsidP="003A71DE">
      <w:pPr>
        <w:rPr>
          <w:rFonts w:eastAsia="SimSun"/>
        </w:rPr>
      </w:pPr>
      <w:r w:rsidRPr="007D0AFB" w:rsidDel="00F03845">
        <w:rPr>
          <w:rFonts w:eastAsia="SimSun"/>
        </w:rPr>
        <w:t xml:space="preserve">The </w:t>
      </w:r>
      <w:r w:rsidRPr="007D0AFB">
        <w:rPr>
          <w:rFonts w:eastAsia="SimSun"/>
        </w:rPr>
        <w:t>IAB-MT</w:t>
      </w:r>
      <w:r w:rsidRPr="007D0AFB" w:rsidDel="00F03845">
        <w:rPr>
          <w:rFonts w:eastAsia="SimSun"/>
        </w:rPr>
        <w:t xml:space="preserve"> behavior in each test during time durations T1, T2 and T3 shall be as follows:</w:t>
      </w:r>
    </w:p>
    <w:p w14:paraId="598E569B" w14:textId="77777777" w:rsidR="003A71DE" w:rsidRPr="007D0AFB" w:rsidDel="00F03845" w:rsidRDefault="003A71DE" w:rsidP="003A71DE">
      <w:pPr>
        <w:rPr>
          <w:rFonts w:eastAsia="SimSun"/>
        </w:rPr>
      </w:pPr>
      <w:r w:rsidRPr="007D0AFB" w:rsidDel="00F03845">
        <w:rPr>
          <w:rFonts w:eastAsia="SimSun"/>
        </w:rPr>
        <w:t xml:space="preserve">During the period from time point A to time point B the </w:t>
      </w:r>
      <w:r w:rsidRPr="007D0AFB">
        <w:rPr>
          <w:rFonts w:eastAsia="SimSun"/>
        </w:rPr>
        <w:t>IAB-MT</w:t>
      </w:r>
      <w:r w:rsidRPr="007D0AFB" w:rsidDel="00F03845">
        <w:rPr>
          <w:rFonts w:eastAsia="SimSun"/>
        </w:rPr>
        <w:t xml:space="preserve"> shall transmit uplink signal at least in all uplink slots configured for CSI transmission according to the configured periodic CSI reporting.</w:t>
      </w:r>
    </w:p>
    <w:p w14:paraId="449D6E78" w14:textId="77777777" w:rsidR="003A71DE" w:rsidRPr="007D0AFB" w:rsidDel="00F03845" w:rsidRDefault="003A71DE" w:rsidP="003A71DE">
      <w:pPr>
        <w:rPr>
          <w:rFonts w:eastAsia="SimSun"/>
        </w:rPr>
      </w:pPr>
      <w:r w:rsidRPr="007D0AFB" w:rsidDel="00F03845">
        <w:rPr>
          <w:rFonts w:eastAsia="SimSun"/>
        </w:rPr>
        <w:t xml:space="preserve">The </w:t>
      </w:r>
      <w:r w:rsidRPr="007D0AFB">
        <w:rPr>
          <w:rFonts w:eastAsia="SimSun"/>
        </w:rPr>
        <w:t>IAB-MT</w:t>
      </w:r>
      <w:r w:rsidRPr="007D0AFB" w:rsidDel="00F03845">
        <w:rPr>
          <w:rFonts w:eastAsia="SimSun"/>
        </w:rPr>
        <w:t xml:space="preserve"> shall stop transmitting uplink signal no later than time point C (D1 second after the start of the time duration T3).</w:t>
      </w:r>
    </w:p>
    <w:p w14:paraId="66A3DC97" w14:textId="77777777" w:rsidR="003A71DE" w:rsidRPr="007D0AFB" w:rsidDel="00F03845" w:rsidRDefault="003A71DE" w:rsidP="003A71DE">
      <w:pPr>
        <w:rPr>
          <w:rFonts w:eastAsia="SimSun"/>
        </w:rPr>
      </w:pPr>
      <w:r w:rsidRPr="007D0AFB" w:rsidDel="00F03845">
        <w:rPr>
          <w:rFonts w:eastAsia="SimSun"/>
        </w:rPr>
        <w:t>The rate of correct events observed during repeated tests shall be at least 90%.</w:t>
      </w:r>
    </w:p>
    <w:p w14:paraId="37527562" w14:textId="77777777" w:rsidR="003A71DE" w:rsidRPr="007D0AFB" w:rsidRDefault="003A71DE" w:rsidP="00746C0D">
      <w:pPr>
        <w:pStyle w:val="Heading5"/>
        <w:rPr>
          <w:rFonts w:eastAsia="SimSun"/>
        </w:rPr>
      </w:pPr>
      <w:bookmarkStart w:id="10285" w:name="_Toc535476699"/>
      <w:bookmarkStart w:id="10286" w:name="_Toc74583684"/>
      <w:bookmarkStart w:id="10287" w:name="_Toc76542497"/>
      <w:bookmarkStart w:id="10288" w:name="_Toc82450479"/>
      <w:bookmarkStart w:id="10289" w:name="_Toc82451127"/>
      <w:bookmarkStart w:id="10290" w:name="_Toc89949516"/>
      <w:bookmarkStart w:id="10291" w:name="_Toc98755905"/>
      <w:bookmarkStart w:id="10292" w:name="_Toc98763497"/>
      <w:bookmarkStart w:id="10293" w:name="_Toc106184426"/>
      <w:r w:rsidRPr="007D0AFB">
        <w:rPr>
          <w:rFonts w:eastAsia="SimSun"/>
        </w:rPr>
        <w:t>G.2.3.1.4</w:t>
      </w:r>
      <w:r w:rsidRPr="007D0AFB">
        <w:rPr>
          <w:rFonts w:eastAsia="SimSun"/>
        </w:rPr>
        <w:tab/>
        <w:t>Radio Link Monitoring In-sync Test for FR2 PCell configured with SSB-based RLM RS in non-DRX mode</w:t>
      </w:r>
      <w:bookmarkEnd w:id="10285"/>
      <w:bookmarkEnd w:id="10286"/>
      <w:bookmarkEnd w:id="10287"/>
      <w:bookmarkEnd w:id="10288"/>
      <w:bookmarkEnd w:id="10289"/>
      <w:bookmarkEnd w:id="10290"/>
      <w:bookmarkEnd w:id="10291"/>
      <w:bookmarkEnd w:id="10292"/>
      <w:bookmarkEnd w:id="10293"/>
    </w:p>
    <w:p w14:paraId="716DF2FC" w14:textId="77777777" w:rsidR="003A71DE" w:rsidRPr="007D0AFB" w:rsidRDefault="003A71DE" w:rsidP="00746C0D">
      <w:pPr>
        <w:pStyle w:val="H6"/>
        <w:rPr>
          <w:rFonts w:eastAsia="SimSun"/>
          <w:snapToGrid w:val="0"/>
          <w:lang w:eastAsia="zh-CN"/>
        </w:rPr>
      </w:pPr>
      <w:bookmarkStart w:id="10294" w:name="_Toc535476700"/>
      <w:r w:rsidRPr="007D0AFB">
        <w:rPr>
          <w:rFonts w:eastAsia="SimSun"/>
          <w:snapToGrid w:val="0"/>
          <w:lang w:eastAsia="zh-CN"/>
        </w:rPr>
        <w:t>G.2.3.1.4.1</w:t>
      </w:r>
      <w:r w:rsidRPr="007D0AFB">
        <w:rPr>
          <w:rFonts w:eastAsia="SimSun"/>
          <w:snapToGrid w:val="0"/>
          <w:lang w:eastAsia="zh-CN"/>
        </w:rPr>
        <w:tab/>
        <w:t>Test Purpose and Environment</w:t>
      </w:r>
      <w:bookmarkEnd w:id="10294"/>
    </w:p>
    <w:p w14:paraId="220FAB34" w14:textId="77777777" w:rsidR="003A71DE" w:rsidRPr="007D0AFB" w:rsidRDefault="003A71DE" w:rsidP="003A71DE">
      <w:pPr>
        <w:rPr>
          <w:rFonts w:eastAsia="SimSun"/>
        </w:rPr>
      </w:pPr>
      <w:r w:rsidRPr="007D0AFB">
        <w:rPr>
          <w:rFonts w:eastAsia="SimSun"/>
        </w:rPr>
        <w:t>The purpose of this test is to verify that the IAB-MT properly detects the out of sync and in sync for the purpose of monitoring downlink radio link quality of the PCell. This test will partly verify the FR2 radio link monitoring requirements in clause 12.3.1.</w:t>
      </w:r>
    </w:p>
    <w:p w14:paraId="4E27B4E5" w14:textId="77777777" w:rsidR="003A71DE" w:rsidRPr="007D0AFB" w:rsidRDefault="003A71DE" w:rsidP="003A71DE">
      <w:pPr>
        <w:rPr>
          <w:rFonts w:eastAsia="SimSun"/>
        </w:rPr>
      </w:pPr>
      <w:r w:rsidRPr="007D0AFB">
        <w:rPr>
          <w:rFonts w:eastAsia="SimSun"/>
        </w:rPr>
        <w:t xml:space="preserve">In the test, IAB-MT is configured to perform RLM on SSB, with </w:t>
      </w:r>
      <w:r w:rsidRPr="007D0AFB">
        <w:rPr>
          <w:rFonts w:eastAsia="SimSun"/>
          <w:i/>
        </w:rPr>
        <w:t>detectionResource</w:t>
      </w:r>
      <w:r w:rsidRPr="007D0AFB">
        <w:rPr>
          <w:rFonts w:eastAsia="SimSun"/>
        </w:rPr>
        <w:t xml:space="preserve"> included in </w:t>
      </w:r>
      <w:r w:rsidRPr="007D0AFB">
        <w:rPr>
          <w:rFonts w:eastAsia="SimSun"/>
          <w:i/>
        </w:rPr>
        <w:t>RadioLinkMonitoringRS</w:t>
      </w:r>
      <w:r w:rsidRPr="007D0AFB">
        <w:rPr>
          <w:rFonts w:eastAsia="SimSun"/>
        </w:rPr>
        <w:t xml:space="preserve"> set to SSB#0 and SSB#1, and </w:t>
      </w:r>
      <w:r w:rsidRPr="007D0AFB">
        <w:rPr>
          <w:rFonts w:eastAsia="SimSun"/>
          <w:i/>
        </w:rPr>
        <w:t>purpose</w:t>
      </w:r>
      <w:r w:rsidRPr="007D0AFB">
        <w:rPr>
          <w:rFonts w:eastAsia="SimSun"/>
        </w:rPr>
        <w:t xml:space="preserve"> set to ‘</w:t>
      </w:r>
      <w:r w:rsidRPr="007D0AFB">
        <w:rPr>
          <w:rFonts w:eastAsia="SimSun"/>
          <w:i/>
        </w:rPr>
        <w:t>rlf</w:t>
      </w:r>
      <w:r w:rsidRPr="007D0AFB">
        <w:rPr>
          <w:rFonts w:eastAsia="SimSun"/>
        </w:rPr>
        <w:t xml:space="preserve">’. Supported test configurations are shown in table G.2.3.1.4.1-1. The test parameters are given in Tables G.2.3.1.4.1-2, and G.2.3.1.4.1-3 below. There is one cell (Cell 1), which is the active cell, in the test. The test consists of five successive time periods, with time duration of T1, T2, T3, T4 and T5 respectively. Figure G.2.3.1.4.1-1 shows the variation of the downlink SNR in the active cell to emulate out-of-sync and in-sync states, and Figure G.2.3.1.4.1-2 shows the Time multiplexed downlink transmissions from each Angle of Arrival. Prior to the start of the time duration T1, the IAB-MT shall be fully synchronized to Cell 1. Prior to the start of the time duration T1, the IAB-MT shall be fully synchronized to Cell 1. The IAB-MT shall be configured for periodic CSI reporting with a reporting periodicity of 5 ms. </w:t>
      </w:r>
    </w:p>
    <w:p w14:paraId="64538836" w14:textId="77777777" w:rsidR="003A71DE" w:rsidRPr="007D0AFB" w:rsidRDefault="003A71DE" w:rsidP="00746C0D">
      <w:pPr>
        <w:pStyle w:val="TH"/>
        <w:rPr>
          <w:rFonts w:eastAsia="SimSun"/>
        </w:rPr>
      </w:pPr>
      <w:r w:rsidRPr="007D0AFB">
        <w:rPr>
          <w:rFonts w:eastAsia="SimSun"/>
        </w:rPr>
        <w:t>Table G.2.3.1.4.1-1: Supported test configurations for FR2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1"/>
        <w:gridCol w:w="4970"/>
      </w:tblGrid>
      <w:tr w:rsidR="003A71DE" w:rsidRPr="007D0AFB" w14:paraId="2B04C475" w14:textId="77777777" w:rsidTr="003A71DE">
        <w:trPr>
          <w:trHeight w:val="274"/>
          <w:jc w:val="center"/>
        </w:trPr>
        <w:tc>
          <w:tcPr>
            <w:tcW w:w="1631" w:type="dxa"/>
            <w:shd w:val="clear" w:color="auto" w:fill="auto"/>
          </w:tcPr>
          <w:p w14:paraId="739D6358" w14:textId="77777777" w:rsidR="003A71DE" w:rsidRPr="007D0AFB" w:rsidRDefault="003A71DE" w:rsidP="00A40F90">
            <w:pPr>
              <w:pStyle w:val="TAH"/>
              <w:rPr>
                <w:rFonts w:eastAsia="SimSun"/>
              </w:rPr>
            </w:pPr>
            <w:r w:rsidRPr="007D0AFB">
              <w:rPr>
                <w:rFonts w:eastAsia="SimSun"/>
              </w:rPr>
              <w:t>Configuration</w:t>
            </w:r>
          </w:p>
        </w:tc>
        <w:tc>
          <w:tcPr>
            <w:tcW w:w="4970" w:type="dxa"/>
            <w:shd w:val="clear" w:color="auto" w:fill="auto"/>
          </w:tcPr>
          <w:p w14:paraId="77F91E1A" w14:textId="77777777" w:rsidR="003A71DE" w:rsidRPr="007D0AFB" w:rsidRDefault="003A71DE" w:rsidP="00A40F90">
            <w:pPr>
              <w:pStyle w:val="TAH"/>
              <w:rPr>
                <w:rFonts w:eastAsia="SimSun"/>
              </w:rPr>
            </w:pPr>
            <w:r w:rsidRPr="007D0AFB">
              <w:rPr>
                <w:rFonts w:eastAsia="SimSun"/>
              </w:rPr>
              <w:t>Description</w:t>
            </w:r>
          </w:p>
        </w:tc>
      </w:tr>
      <w:tr w:rsidR="003A71DE" w:rsidRPr="007D0AFB" w14:paraId="3FD93C6B" w14:textId="77777777" w:rsidTr="003A71DE">
        <w:trPr>
          <w:trHeight w:val="277"/>
          <w:jc w:val="center"/>
        </w:trPr>
        <w:tc>
          <w:tcPr>
            <w:tcW w:w="1631" w:type="dxa"/>
            <w:shd w:val="clear" w:color="auto" w:fill="auto"/>
          </w:tcPr>
          <w:p w14:paraId="70F17D77" w14:textId="77777777" w:rsidR="003A71DE" w:rsidRPr="007D0AFB" w:rsidRDefault="003A71DE" w:rsidP="00A40F90">
            <w:pPr>
              <w:pStyle w:val="TAL"/>
              <w:rPr>
                <w:rFonts w:eastAsia="SimSun"/>
              </w:rPr>
            </w:pPr>
            <w:r w:rsidRPr="007D0AFB">
              <w:rPr>
                <w:rFonts w:eastAsia="SimSun"/>
              </w:rPr>
              <w:t>1</w:t>
            </w:r>
          </w:p>
        </w:tc>
        <w:tc>
          <w:tcPr>
            <w:tcW w:w="4970" w:type="dxa"/>
            <w:shd w:val="clear" w:color="auto" w:fill="auto"/>
          </w:tcPr>
          <w:p w14:paraId="7B672A93" w14:textId="77777777" w:rsidR="003A71DE" w:rsidRPr="007D0AFB" w:rsidRDefault="003A71DE" w:rsidP="00A40F90">
            <w:pPr>
              <w:pStyle w:val="TAL"/>
              <w:rPr>
                <w:rFonts w:eastAsia="SimSun"/>
              </w:rPr>
            </w:pPr>
            <w:r w:rsidRPr="007D0AFB">
              <w:rPr>
                <w:rFonts w:eastAsia="SimSun"/>
              </w:rPr>
              <w:t>TDD, SSB SCS 120 KHz, data SCS 120KHz, BW 100 MHz</w:t>
            </w:r>
          </w:p>
        </w:tc>
      </w:tr>
    </w:tbl>
    <w:p w14:paraId="0BEFA7D2" w14:textId="77777777" w:rsidR="003A71DE" w:rsidRPr="007D0AFB" w:rsidRDefault="003A71DE" w:rsidP="003A71DE">
      <w:pPr>
        <w:rPr>
          <w:rFonts w:eastAsia="SimSun"/>
          <w:lang w:eastAsia="zh-CN"/>
        </w:rPr>
      </w:pPr>
    </w:p>
    <w:p w14:paraId="0405D9B1" w14:textId="77777777" w:rsidR="003A71DE" w:rsidRPr="007D0AFB" w:rsidRDefault="003A71DE" w:rsidP="00746C0D">
      <w:pPr>
        <w:pStyle w:val="TH"/>
        <w:rPr>
          <w:rFonts w:eastAsia="SimSun"/>
        </w:rPr>
      </w:pPr>
      <w:r w:rsidRPr="007D0AFB">
        <w:rPr>
          <w:rFonts w:eastAsia="SimSun"/>
        </w:rPr>
        <w:lastRenderedPageBreak/>
        <w:t>Table G.2.3.1.4.1-2: General test parameters for FR2 in-sync testing in non-DRX mode</w:t>
      </w:r>
    </w:p>
    <w:tbl>
      <w:tblPr>
        <w:tblW w:w="44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6"/>
        <w:gridCol w:w="1373"/>
        <w:gridCol w:w="1767"/>
        <w:gridCol w:w="979"/>
        <w:gridCol w:w="3077"/>
      </w:tblGrid>
      <w:tr w:rsidR="003A71DE" w:rsidRPr="007D0AFB" w14:paraId="5F82501A" w14:textId="77777777" w:rsidTr="003A71DE">
        <w:trPr>
          <w:trHeight w:val="187"/>
          <w:jc w:val="center"/>
        </w:trPr>
        <w:tc>
          <w:tcPr>
            <w:tcW w:w="2631" w:type="pct"/>
            <w:gridSpan w:val="3"/>
            <w:tcBorders>
              <w:bottom w:val="nil"/>
            </w:tcBorders>
            <w:shd w:val="clear" w:color="auto" w:fill="auto"/>
          </w:tcPr>
          <w:p w14:paraId="6F7D09D4" w14:textId="77777777" w:rsidR="003A71DE" w:rsidRPr="007D0AFB" w:rsidRDefault="003A71DE" w:rsidP="00A40F90">
            <w:pPr>
              <w:pStyle w:val="TAH"/>
              <w:rPr>
                <w:rFonts w:eastAsia="SimSun"/>
                <w:noProof/>
              </w:rPr>
            </w:pPr>
            <w:r w:rsidRPr="007D0AFB">
              <w:rPr>
                <w:rFonts w:eastAsia="SimSun"/>
                <w:noProof/>
              </w:rPr>
              <w:t>Parameter</w:t>
            </w:r>
          </w:p>
        </w:tc>
        <w:tc>
          <w:tcPr>
            <w:tcW w:w="572" w:type="pct"/>
            <w:tcBorders>
              <w:bottom w:val="nil"/>
            </w:tcBorders>
            <w:shd w:val="clear" w:color="auto" w:fill="auto"/>
          </w:tcPr>
          <w:p w14:paraId="2AEF0280" w14:textId="77777777" w:rsidR="003A71DE" w:rsidRPr="007D0AFB" w:rsidRDefault="003A71DE" w:rsidP="00A40F90">
            <w:pPr>
              <w:pStyle w:val="TAH"/>
              <w:rPr>
                <w:rFonts w:eastAsia="SimSun"/>
                <w:noProof/>
              </w:rPr>
            </w:pPr>
            <w:r w:rsidRPr="007D0AFB">
              <w:rPr>
                <w:rFonts w:eastAsia="SimSun"/>
                <w:noProof/>
              </w:rPr>
              <w:t>Unit</w:t>
            </w:r>
          </w:p>
        </w:tc>
        <w:tc>
          <w:tcPr>
            <w:tcW w:w="1797" w:type="pct"/>
            <w:shd w:val="clear" w:color="auto" w:fill="auto"/>
          </w:tcPr>
          <w:p w14:paraId="2E3FC556" w14:textId="77777777" w:rsidR="003A71DE" w:rsidRPr="007D0AFB" w:rsidRDefault="003A71DE" w:rsidP="00A40F90">
            <w:pPr>
              <w:pStyle w:val="TAH"/>
              <w:rPr>
                <w:rFonts w:eastAsia="SimSun"/>
                <w:noProof/>
              </w:rPr>
            </w:pPr>
            <w:r w:rsidRPr="007D0AFB">
              <w:rPr>
                <w:rFonts w:eastAsia="SimSun"/>
                <w:noProof/>
              </w:rPr>
              <w:t>Value</w:t>
            </w:r>
          </w:p>
        </w:tc>
      </w:tr>
      <w:tr w:rsidR="003A71DE" w:rsidRPr="007D0AFB" w14:paraId="7F3737CD" w14:textId="77777777" w:rsidTr="003A71DE">
        <w:trPr>
          <w:trHeight w:val="187"/>
          <w:jc w:val="center"/>
        </w:trPr>
        <w:tc>
          <w:tcPr>
            <w:tcW w:w="2631" w:type="pct"/>
            <w:gridSpan w:val="3"/>
            <w:tcBorders>
              <w:top w:val="nil"/>
            </w:tcBorders>
            <w:shd w:val="clear" w:color="auto" w:fill="auto"/>
          </w:tcPr>
          <w:p w14:paraId="2547E9D0" w14:textId="77777777" w:rsidR="003A71DE" w:rsidRPr="007D0AFB" w:rsidRDefault="003A71DE" w:rsidP="00A40F90">
            <w:pPr>
              <w:pStyle w:val="TAH"/>
              <w:rPr>
                <w:rFonts w:eastAsia="SimSun"/>
                <w:noProof/>
              </w:rPr>
            </w:pPr>
          </w:p>
        </w:tc>
        <w:tc>
          <w:tcPr>
            <w:tcW w:w="572" w:type="pct"/>
            <w:tcBorders>
              <w:top w:val="nil"/>
            </w:tcBorders>
            <w:shd w:val="clear" w:color="auto" w:fill="auto"/>
          </w:tcPr>
          <w:p w14:paraId="52E18769" w14:textId="77777777" w:rsidR="003A71DE" w:rsidRPr="007D0AFB" w:rsidRDefault="003A71DE" w:rsidP="00A40F90">
            <w:pPr>
              <w:pStyle w:val="TAH"/>
              <w:rPr>
                <w:rFonts w:eastAsia="SimSun"/>
                <w:noProof/>
              </w:rPr>
            </w:pPr>
          </w:p>
        </w:tc>
        <w:tc>
          <w:tcPr>
            <w:tcW w:w="1797" w:type="pct"/>
            <w:shd w:val="clear" w:color="auto" w:fill="auto"/>
          </w:tcPr>
          <w:p w14:paraId="31149F7C" w14:textId="77777777" w:rsidR="003A71DE" w:rsidRPr="007D0AFB" w:rsidRDefault="003A71DE" w:rsidP="00A40F90">
            <w:pPr>
              <w:pStyle w:val="TAH"/>
              <w:rPr>
                <w:rFonts w:eastAsia="SimSun"/>
                <w:noProof/>
              </w:rPr>
            </w:pPr>
            <w:r w:rsidRPr="007D0AFB">
              <w:rPr>
                <w:rFonts w:eastAsia="SimSun"/>
                <w:noProof/>
              </w:rPr>
              <w:t>Test 1</w:t>
            </w:r>
          </w:p>
        </w:tc>
      </w:tr>
      <w:tr w:rsidR="003A71DE" w:rsidRPr="007D0AFB" w14:paraId="213F3E11" w14:textId="77777777" w:rsidTr="003A71DE">
        <w:trPr>
          <w:trHeight w:val="187"/>
          <w:jc w:val="center"/>
        </w:trPr>
        <w:tc>
          <w:tcPr>
            <w:tcW w:w="2631" w:type="pct"/>
            <w:gridSpan w:val="3"/>
            <w:shd w:val="clear" w:color="auto" w:fill="auto"/>
          </w:tcPr>
          <w:p w14:paraId="0464B8ED"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noProof/>
                <w:sz w:val="18"/>
              </w:rPr>
              <w:t>Active PCell</w:t>
            </w:r>
          </w:p>
        </w:tc>
        <w:tc>
          <w:tcPr>
            <w:tcW w:w="572" w:type="pct"/>
            <w:shd w:val="clear" w:color="auto" w:fill="auto"/>
          </w:tcPr>
          <w:p w14:paraId="2716FC8B"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7E32CEC"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Cell 1</w:t>
            </w:r>
          </w:p>
        </w:tc>
      </w:tr>
      <w:tr w:rsidR="003A71DE" w:rsidRPr="007D0AFB" w14:paraId="5683565E" w14:textId="77777777" w:rsidTr="003A71DE">
        <w:trPr>
          <w:trHeight w:val="187"/>
          <w:jc w:val="center"/>
        </w:trPr>
        <w:tc>
          <w:tcPr>
            <w:tcW w:w="2631" w:type="pct"/>
            <w:gridSpan w:val="3"/>
            <w:shd w:val="clear" w:color="auto" w:fill="auto"/>
          </w:tcPr>
          <w:p w14:paraId="123CCDF9"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noProof/>
                <w:sz w:val="18"/>
              </w:rPr>
              <w:t>RF Channel Number</w:t>
            </w:r>
          </w:p>
        </w:tc>
        <w:tc>
          <w:tcPr>
            <w:tcW w:w="572" w:type="pct"/>
            <w:shd w:val="clear" w:color="auto" w:fill="auto"/>
          </w:tcPr>
          <w:p w14:paraId="41B67AFC"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098F1D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2D5E9E16" w14:textId="77777777" w:rsidTr="003A71DE">
        <w:trPr>
          <w:trHeight w:val="187"/>
          <w:jc w:val="center"/>
        </w:trPr>
        <w:tc>
          <w:tcPr>
            <w:tcW w:w="1599" w:type="pct"/>
            <w:gridSpan w:val="2"/>
            <w:shd w:val="clear" w:color="auto" w:fill="auto"/>
          </w:tcPr>
          <w:p w14:paraId="07953F00"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Duplex mode</w:t>
            </w:r>
          </w:p>
        </w:tc>
        <w:tc>
          <w:tcPr>
            <w:tcW w:w="1032" w:type="pct"/>
            <w:shd w:val="clear" w:color="auto" w:fill="auto"/>
          </w:tcPr>
          <w:p w14:paraId="039E973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761C56B2"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836E79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TDD</w:t>
            </w:r>
          </w:p>
        </w:tc>
      </w:tr>
      <w:tr w:rsidR="003A71DE" w:rsidRPr="007D0AFB" w14:paraId="562F9409" w14:textId="77777777" w:rsidTr="003A71DE">
        <w:trPr>
          <w:trHeight w:val="187"/>
          <w:jc w:val="center"/>
        </w:trPr>
        <w:tc>
          <w:tcPr>
            <w:tcW w:w="1599" w:type="pct"/>
            <w:gridSpan w:val="2"/>
            <w:shd w:val="clear" w:color="auto" w:fill="auto"/>
          </w:tcPr>
          <w:p w14:paraId="21E387DD"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sz w:val="18"/>
                <w:szCs w:val="18"/>
              </w:rPr>
              <w:t>BW</w:t>
            </w:r>
            <w:r w:rsidRPr="007D0AFB">
              <w:rPr>
                <w:rFonts w:ascii="Arial" w:eastAsia="SimSun" w:hAnsi="Arial" w:cs="Arial"/>
                <w:sz w:val="18"/>
                <w:szCs w:val="18"/>
                <w:vertAlign w:val="subscript"/>
              </w:rPr>
              <w:t>channel</w:t>
            </w:r>
          </w:p>
        </w:tc>
        <w:tc>
          <w:tcPr>
            <w:tcW w:w="1032" w:type="pct"/>
            <w:shd w:val="clear" w:color="auto" w:fill="auto"/>
          </w:tcPr>
          <w:p w14:paraId="30DFE2E8"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1810ABE9"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529FC40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Malgun Gothic" w:hAnsi="Arial"/>
                <w:sz w:val="18"/>
              </w:rPr>
              <w:t>10</w:t>
            </w:r>
            <w:r w:rsidRPr="007D0AFB">
              <w:rPr>
                <w:rFonts w:ascii="Arial" w:eastAsia="SimSun" w:hAnsi="Arial"/>
                <w:sz w:val="18"/>
                <w:lang w:eastAsia="zh-CN"/>
              </w:rPr>
              <w:t>0</w:t>
            </w:r>
            <w:r w:rsidRPr="007D0AFB">
              <w:rPr>
                <w:rFonts w:ascii="Arial" w:eastAsia="Malgun Gothic" w:hAnsi="Arial"/>
                <w:sz w:val="18"/>
              </w:rPr>
              <w:t>: N</w:t>
            </w:r>
            <w:r w:rsidRPr="007D0AFB">
              <w:rPr>
                <w:rFonts w:ascii="Arial" w:eastAsia="Malgun Gothic" w:hAnsi="Arial"/>
                <w:sz w:val="18"/>
                <w:vertAlign w:val="subscript"/>
              </w:rPr>
              <w:t>RB,c</w:t>
            </w:r>
            <w:r w:rsidRPr="007D0AFB">
              <w:rPr>
                <w:rFonts w:ascii="Arial" w:eastAsia="Malgun Gothic" w:hAnsi="Arial"/>
                <w:sz w:val="18"/>
              </w:rPr>
              <w:t xml:space="preserve"> = </w:t>
            </w:r>
            <w:r w:rsidRPr="007D0AFB">
              <w:rPr>
                <w:rFonts w:ascii="Arial" w:eastAsia="SimSun" w:hAnsi="Arial"/>
                <w:sz w:val="18"/>
                <w:lang w:eastAsia="zh-CN"/>
              </w:rPr>
              <w:t>66</w:t>
            </w:r>
          </w:p>
        </w:tc>
      </w:tr>
      <w:tr w:rsidR="003A71DE" w:rsidRPr="007D0AFB" w14:paraId="37A5BE7C" w14:textId="77777777" w:rsidTr="003A71DE">
        <w:trPr>
          <w:trHeight w:val="187"/>
          <w:jc w:val="center"/>
        </w:trPr>
        <w:tc>
          <w:tcPr>
            <w:tcW w:w="1599" w:type="pct"/>
            <w:gridSpan w:val="2"/>
            <w:shd w:val="clear" w:color="auto" w:fill="auto"/>
            <w:vAlign w:val="center"/>
          </w:tcPr>
          <w:p w14:paraId="7A4EFB27"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bCs/>
                <w:sz w:val="18"/>
                <w:szCs w:val="18"/>
              </w:rPr>
              <w:t>DL initial BWP configuration</w:t>
            </w:r>
          </w:p>
        </w:tc>
        <w:tc>
          <w:tcPr>
            <w:tcW w:w="1032" w:type="pct"/>
            <w:shd w:val="clear" w:color="auto" w:fill="auto"/>
          </w:tcPr>
          <w:p w14:paraId="4305F7DC"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570293F4"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8F2DA1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DLBWP.0.1</w:t>
            </w:r>
          </w:p>
        </w:tc>
      </w:tr>
      <w:tr w:rsidR="003A71DE" w:rsidRPr="007D0AFB" w14:paraId="774008C7" w14:textId="77777777" w:rsidTr="003A71DE">
        <w:trPr>
          <w:trHeight w:val="187"/>
          <w:jc w:val="center"/>
        </w:trPr>
        <w:tc>
          <w:tcPr>
            <w:tcW w:w="1599" w:type="pct"/>
            <w:gridSpan w:val="2"/>
            <w:shd w:val="clear" w:color="auto" w:fill="auto"/>
            <w:vAlign w:val="center"/>
          </w:tcPr>
          <w:p w14:paraId="6C8966DF"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bCs/>
                <w:sz w:val="18"/>
                <w:szCs w:val="18"/>
              </w:rPr>
              <w:t>DL dedicated BWP configuration</w:t>
            </w:r>
          </w:p>
        </w:tc>
        <w:tc>
          <w:tcPr>
            <w:tcW w:w="1032" w:type="pct"/>
            <w:shd w:val="clear" w:color="auto" w:fill="auto"/>
          </w:tcPr>
          <w:p w14:paraId="6E3C7251"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1FFA90A1"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6A8B260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DLBWP.1.1</w:t>
            </w:r>
          </w:p>
        </w:tc>
      </w:tr>
      <w:tr w:rsidR="003A71DE" w:rsidRPr="007D0AFB" w14:paraId="0BCCF9CA" w14:textId="77777777" w:rsidTr="003A71DE">
        <w:trPr>
          <w:trHeight w:val="187"/>
          <w:jc w:val="center"/>
        </w:trPr>
        <w:tc>
          <w:tcPr>
            <w:tcW w:w="1599" w:type="pct"/>
            <w:gridSpan w:val="2"/>
            <w:shd w:val="clear" w:color="auto" w:fill="auto"/>
            <w:vAlign w:val="center"/>
          </w:tcPr>
          <w:p w14:paraId="6E9DB9BE"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bCs/>
                <w:sz w:val="18"/>
                <w:szCs w:val="18"/>
              </w:rPr>
              <w:t>UL initial BWP configuration</w:t>
            </w:r>
          </w:p>
        </w:tc>
        <w:tc>
          <w:tcPr>
            <w:tcW w:w="1032" w:type="pct"/>
            <w:shd w:val="clear" w:color="auto" w:fill="auto"/>
          </w:tcPr>
          <w:p w14:paraId="33EBAD2E"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735F7AA0"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0F03FD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ULBWP.0.1</w:t>
            </w:r>
          </w:p>
        </w:tc>
      </w:tr>
      <w:tr w:rsidR="003A71DE" w:rsidRPr="007D0AFB" w14:paraId="7E6962A7" w14:textId="77777777" w:rsidTr="003A71DE">
        <w:trPr>
          <w:trHeight w:val="187"/>
          <w:jc w:val="center"/>
        </w:trPr>
        <w:tc>
          <w:tcPr>
            <w:tcW w:w="1599" w:type="pct"/>
            <w:gridSpan w:val="2"/>
            <w:shd w:val="clear" w:color="auto" w:fill="auto"/>
            <w:vAlign w:val="center"/>
          </w:tcPr>
          <w:p w14:paraId="51976B16"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bCs/>
                <w:sz w:val="18"/>
                <w:szCs w:val="18"/>
              </w:rPr>
              <w:t>UL dedicated BWP configuration</w:t>
            </w:r>
          </w:p>
        </w:tc>
        <w:tc>
          <w:tcPr>
            <w:tcW w:w="1032" w:type="pct"/>
            <w:shd w:val="clear" w:color="auto" w:fill="auto"/>
          </w:tcPr>
          <w:p w14:paraId="38F40761"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04CBECA8"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E42A96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lang w:eastAsia="zh-CN"/>
              </w:rPr>
              <w:t>ULBWP.1.1</w:t>
            </w:r>
          </w:p>
        </w:tc>
      </w:tr>
      <w:tr w:rsidR="003A71DE" w:rsidRPr="007D0AFB" w14:paraId="5C455BB5" w14:textId="77777777" w:rsidTr="003A71DE">
        <w:trPr>
          <w:trHeight w:val="187"/>
          <w:jc w:val="center"/>
        </w:trPr>
        <w:tc>
          <w:tcPr>
            <w:tcW w:w="1599" w:type="pct"/>
            <w:gridSpan w:val="2"/>
            <w:shd w:val="clear" w:color="auto" w:fill="auto"/>
            <w:vAlign w:val="center"/>
          </w:tcPr>
          <w:p w14:paraId="2BFA8E24"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TDD Configuration</w:t>
            </w:r>
          </w:p>
        </w:tc>
        <w:tc>
          <w:tcPr>
            <w:tcW w:w="1032" w:type="pct"/>
            <w:shd w:val="clear" w:color="auto" w:fill="auto"/>
          </w:tcPr>
          <w:p w14:paraId="462BBD17"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1701F62C"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414DAF2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lang w:eastAsia="zh-CN"/>
              </w:rPr>
              <w:t>TDDConf.3.1</w:t>
            </w:r>
          </w:p>
        </w:tc>
      </w:tr>
      <w:tr w:rsidR="003A71DE" w:rsidRPr="007D0AFB" w14:paraId="42926061" w14:textId="77777777" w:rsidTr="003A71DE">
        <w:trPr>
          <w:trHeight w:val="187"/>
          <w:jc w:val="center"/>
        </w:trPr>
        <w:tc>
          <w:tcPr>
            <w:tcW w:w="1599" w:type="pct"/>
            <w:gridSpan w:val="2"/>
            <w:shd w:val="clear" w:color="auto" w:fill="auto"/>
            <w:vAlign w:val="center"/>
          </w:tcPr>
          <w:p w14:paraId="6BDC2836"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CORESET Reference Channel</w:t>
            </w:r>
          </w:p>
        </w:tc>
        <w:tc>
          <w:tcPr>
            <w:tcW w:w="1032" w:type="pct"/>
            <w:shd w:val="clear" w:color="auto" w:fill="auto"/>
          </w:tcPr>
          <w:p w14:paraId="77FF8A50"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216A1214"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7D445C3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lang w:eastAsia="zh-CN"/>
              </w:rPr>
              <w:t xml:space="preserve">CR.3.1 TDD  </w:t>
            </w:r>
          </w:p>
        </w:tc>
      </w:tr>
      <w:tr w:rsidR="003A71DE" w:rsidRPr="007D0AFB" w14:paraId="4ADD2648" w14:textId="77777777" w:rsidTr="003A71DE">
        <w:trPr>
          <w:trHeight w:val="187"/>
          <w:jc w:val="center"/>
        </w:trPr>
        <w:tc>
          <w:tcPr>
            <w:tcW w:w="1599" w:type="pct"/>
            <w:gridSpan w:val="2"/>
            <w:shd w:val="clear" w:color="auto" w:fill="auto"/>
            <w:vAlign w:val="center"/>
          </w:tcPr>
          <w:p w14:paraId="04883E49"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SSB Configuration</w:t>
            </w:r>
          </w:p>
        </w:tc>
        <w:tc>
          <w:tcPr>
            <w:tcW w:w="1032" w:type="pct"/>
            <w:shd w:val="clear" w:color="auto" w:fill="auto"/>
          </w:tcPr>
          <w:p w14:paraId="79CA3036"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5CA88293"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47A61E17"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SSB.1 FR2</w:t>
            </w:r>
          </w:p>
        </w:tc>
      </w:tr>
      <w:tr w:rsidR="003A71DE" w:rsidRPr="007D0AFB" w14:paraId="7578972B" w14:textId="77777777" w:rsidTr="003A71DE">
        <w:trPr>
          <w:trHeight w:val="187"/>
          <w:jc w:val="center"/>
        </w:trPr>
        <w:tc>
          <w:tcPr>
            <w:tcW w:w="1599" w:type="pct"/>
            <w:gridSpan w:val="2"/>
            <w:shd w:val="clear" w:color="auto" w:fill="auto"/>
            <w:vAlign w:val="center"/>
          </w:tcPr>
          <w:p w14:paraId="21126E67"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SMTC Configuration</w:t>
            </w:r>
          </w:p>
        </w:tc>
        <w:tc>
          <w:tcPr>
            <w:tcW w:w="1032" w:type="pct"/>
            <w:shd w:val="clear" w:color="auto" w:fill="auto"/>
          </w:tcPr>
          <w:p w14:paraId="5B221B84"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46867656"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2F76A3D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lang w:eastAsia="zh-CN"/>
              </w:rPr>
              <w:t xml:space="preserve">SMTC.3 </w:t>
            </w:r>
          </w:p>
        </w:tc>
      </w:tr>
      <w:tr w:rsidR="003A71DE" w:rsidRPr="007D0AFB" w14:paraId="4166AFC6" w14:textId="77777777" w:rsidTr="003A71DE">
        <w:trPr>
          <w:trHeight w:val="187"/>
          <w:jc w:val="center"/>
        </w:trPr>
        <w:tc>
          <w:tcPr>
            <w:tcW w:w="1599" w:type="pct"/>
            <w:gridSpan w:val="2"/>
            <w:shd w:val="clear" w:color="auto" w:fill="auto"/>
            <w:vAlign w:val="center"/>
          </w:tcPr>
          <w:p w14:paraId="2E4C3692"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PDSCH/PDCCH subcarrier spacing</w:t>
            </w:r>
          </w:p>
        </w:tc>
        <w:tc>
          <w:tcPr>
            <w:tcW w:w="1032" w:type="pct"/>
            <w:shd w:val="clear" w:color="auto" w:fill="auto"/>
          </w:tcPr>
          <w:p w14:paraId="3CD652E2"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05368BC3"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89C5B49"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120 KHz</w:t>
            </w:r>
          </w:p>
        </w:tc>
      </w:tr>
      <w:tr w:rsidR="003A71DE" w:rsidRPr="007D0AFB" w14:paraId="1407C91C" w14:textId="77777777" w:rsidTr="003A71DE">
        <w:trPr>
          <w:trHeight w:val="187"/>
          <w:jc w:val="center"/>
        </w:trPr>
        <w:tc>
          <w:tcPr>
            <w:tcW w:w="1599" w:type="pct"/>
            <w:gridSpan w:val="2"/>
            <w:shd w:val="clear" w:color="auto" w:fill="auto"/>
            <w:vAlign w:val="center"/>
          </w:tcPr>
          <w:p w14:paraId="1B7217DF"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PRACH Configuration</w:t>
            </w:r>
          </w:p>
        </w:tc>
        <w:tc>
          <w:tcPr>
            <w:tcW w:w="1032" w:type="pct"/>
            <w:shd w:val="clear" w:color="auto" w:fill="auto"/>
          </w:tcPr>
          <w:p w14:paraId="030A90C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476179DD"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018CDD05"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TBD</w:t>
            </w:r>
          </w:p>
        </w:tc>
      </w:tr>
      <w:tr w:rsidR="003A71DE" w:rsidRPr="007D0AFB" w14:paraId="33589280" w14:textId="77777777" w:rsidTr="003A71DE">
        <w:trPr>
          <w:trHeight w:val="187"/>
          <w:jc w:val="center"/>
        </w:trPr>
        <w:tc>
          <w:tcPr>
            <w:tcW w:w="1599" w:type="pct"/>
            <w:gridSpan w:val="2"/>
            <w:shd w:val="clear" w:color="auto" w:fill="auto"/>
            <w:vAlign w:val="center"/>
          </w:tcPr>
          <w:p w14:paraId="09BAE4CF"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SSB index assigned as RLM RS</w:t>
            </w:r>
          </w:p>
        </w:tc>
        <w:tc>
          <w:tcPr>
            <w:tcW w:w="1032" w:type="pct"/>
            <w:shd w:val="clear" w:color="auto" w:fill="auto"/>
          </w:tcPr>
          <w:p w14:paraId="61E88990"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30F24FE3"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5AEF8F4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0,1</w:t>
            </w:r>
          </w:p>
        </w:tc>
      </w:tr>
      <w:tr w:rsidR="003A71DE" w:rsidRPr="007D0AFB" w14:paraId="6A15B3BD" w14:textId="77777777" w:rsidTr="003A71DE">
        <w:trPr>
          <w:trHeight w:val="187"/>
          <w:jc w:val="center"/>
        </w:trPr>
        <w:tc>
          <w:tcPr>
            <w:tcW w:w="2631" w:type="pct"/>
            <w:gridSpan w:val="3"/>
            <w:shd w:val="clear" w:color="auto" w:fill="auto"/>
            <w:vAlign w:val="center"/>
          </w:tcPr>
          <w:p w14:paraId="67F90E11"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OCNG parameters</w:t>
            </w:r>
          </w:p>
        </w:tc>
        <w:tc>
          <w:tcPr>
            <w:tcW w:w="572" w:type="pct"/>
            <w:shd w:val="clear" w:color="auto" w:fill="auto"/>
          </w:tcPr>
          <w:p w14:paraId="589D8CA6"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2F299A6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OP.2</w:t>
            </w:r>
          </w:p>
        </w:tc>
      </w:tr>
      <w:tr w:rsidR="003A71DE" w:rsidRPr="007D0AFB" w14:paraId="220A06EE" w14:textId="77777777" w:rsidTr="003A71DE">
        <w:trPr>
          <w:trHeight w:val="187"/>
          <w:jc w:val="center"/>
        </w:trPr>
        <w:tc>
          <w:tcPr>
            <w:tcW w:w="2631" w:type="pct"/>
            <w:gridSpan w:val="3"/>
            <w:shd w:val="clear" w:color="auto" w:fill="auto"/>
            <w:vAlign w:val="center"/>
          </w:tcPr>
          <w:p w14:paraId="5D9D54B1"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CP length</w:t>
            </w:r>
          </w:p>
        </w:tc>
        <w:tc>
          <w:tcPr>
            <w:tcW w:w="572" w:type="pct"/>
            <w:shd w:val="clear" w:color="auto" w:fill="auto"/>
          </w:tcPr>
          <w:p w14:paraId="77C6EDE1"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25A0B9F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Normal</w:t>
            </w:r>
          </w:p>
        </w:tc>
      </w:tr>
      <w:tr w:rsidR="003A71DE" w:rsidRPr="007D0AFB" w14:paraId="6FE43A40" w14:textId="77777777" w:rsidTr="003A71DE">
        <w:trPr>
          <w:trHeight w:val="187"/>
          <w:jc w:val="center"/>
        </w:trPr>
        <w:tc>
          <w:tcPr>
            <w:tcW w:w="797" w:type="pct"/>
            <w:vMerge w:val="restart"/>
            <w:shd w:val="clear" w:color="auto" w:fill="auto"/>
          </w:tcPr>
          <w:p w14:paraId="75B88AA9"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In sync transmission parameters </w:t>
            </w:r>
          </w:p>
        </w:tc>
        <w:tc>
          <w:tcPr>
            <w:tcW w:w="1834" w:type="pct"/>
            <w:gridSpan w:val="2"/>
            <w:shd w:val="clear" w:color="auto" w:fill="auto"/>
          </w:tcPr>
          <w:p w14:paraId="43AC6A0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DCI format</w:t>
            </w:r>
          </w:p>
        </w:tc>
        <w:tc>
          <w:tcPr>
            <w:tcW w:w="572" w:type="pct"/>
            <w:shd w:val="clear" w:color="auto" w:fill="auto"/>
          </w:tcPr>
          <w:p w14:paraId="486D943F"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2EDD03B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w:t>
            </w:r>
          </w:p>
        </w:tc>
      </w:tr>
      <w:tr w:rsidR="003A71DE" w:rsidRPr="007D0AFB" w14:paraId="13B0E21D" w14:textId="77777777" w:rsidTr="003A71DE">
        <w:trPr>
          <w:trHeight w:val="187"/>
          <w:jc w:val="center"/>
        </w:trPr>
        <w:tc>
          <w:tcPr>
            <w:tcW w:w="797" w:type="pct"/>
            <w:vMerge/>
            <w:shd w:val="clear" w:color="auto" w:fill="auto"/>
          </w:tcPr>
          <w:p w14:paraId="219BA0FD" w14:textId="77777777" w:rsidR="003A71DE" w:rsidRPr="007D0AFB" w:rsidRDefault="003A71DE" w:rsidP="003A71DE">
            <w:pPr>
              <w:keepNext/>
              <w:keepLines/>
              <w:spacing w:after="0"/>
              <w:rPr>
                <w:rFonts w:ascii="Arial" w:eastAsia="SimSun" w:hAnsi="Arial"/>
                <w:noProof/>
                <w:sz w:val="18"/>
              </w:rPr>
            </w:pPr>
          </w:p>
        </w:tc>
        <w:tc>
          <w:tcPr>
            <w:tcW w:w="1834" w:type="pct"/>
            <w:gridSpan w:val="2"/>
            <w:shd w:val="clear" w:color="auto" w:fill="auto"/>
          </w:tcPr>
          <w:p w14:paraId="6A7BC793"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Number of Control OFDM symbols</w:t>
            </w:r>
          </w:p>
        </w:tc>
        <w:tc>
          <w:tcPr>
            <w:tcW w:w="572" w:type="pct"/>
            <w:shd w:val="clear" w:color="auto" w:fill="auto"/>
          </w:tcPr>
          <w:p w14:paraId="29A43F0D"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D1397B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w:t>
            </w:r>
          </w:p>
        </w:tc>
      </w:tr>
      <w:tr w:rsidR="003A71DE" w:rsidRPr="007D0AFB" w14:paraId="136D7C32" w14:textId="77777777" w:rsidTr="003A71DE">
        <w:trPr>
          <w:trHeight w:val="187"/>
          <w:jc w:val="center"/>
        </w:trPr>
        <w:tc>
          <w:tcPr>
            <w:tcW w:w="797" w:type="pct"/>
            <w:vMerge/>
            <w:shd w:val="clear" w:color="auto" w:fill="auto"/>
          </w:tcPr>
          <w:p w14:paraId="03DF2BB6" w14:textId="77777777" w:rsidR="003A71DE" w:rsidRPr="007D0AFB" w:rsidRDefault="003A71DE" w:rsidP="003A71DE">
            <w:pPr>
              <w:keepNext/>
              <w:keepLines/>
              <w:spacing w:after="0"/>
              <w:rPr>
                <w:rFonts w:ascii="Arial" w:eastAsia="SimSun" w:hAnsi="Arial"/>
                <w:noProof/>
                <w:sz w:val="18"/>
              </w:rPr>
            </w:pPr>
          </w:p>
        </w:tc>
        <w:tc>
          <w:tcPr>
            <w:tcW w:w="1834" w:type="pct"/>
            <w:gridSpan w:val="2"/>
            <w:shd w:val="clear" w:color="auto" w:fill="auto"/>
          </w:tcPr>
          <w:p w14:paraId="239C88EF" w14:textId="77777777" w:rsidR="003A71DE" w:rsidRPr="007D0AFB" w:rsidRDefault="003A71DE" w:rsidP="003A71DE">
            <w:pPr>
              <w:keepNext/>
              <w:keepLines/>
              <w:spacing w:after="0"/>
              <w:rPr>
                <w:rFonts w:ascii="Arial" w:eastAsia="SimSun" w:hAnsi="Arial"/>
                <w:noProof/>
                <w:sz w:val="18"/>
              </w:rPr>
            </w:pPr>
            <w:r w:rsidRPr="007D0AFB">
              <w:rPr>
                <w:rFonts w:ascii="Arial" w:eastAsia="SimSun" w:hAnsi="Arial"/>
                <w:noProof/>
                <w:sz w:val="18"/>
              </w:rPr>
              <w:t xml:space="preserve">Aggregation level </w:t>
            </w:r>
          </w:p>
        </w:tc>
        <w:tc>
          <w:tcPr>
            <w:tcW w:w="572" w:type="pct"/>
            <w:shd w:val="clear" w:color="auto" w:fill="auto"/>
          </w:tcPr>
          <w:p w14:paraId="473E0BE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CCE</w:t>
            </w:r>
          </w:p>
        </w:tc>
        <w:tc>
          <w:tcPr>
            <w:tcW w:w="1797" w:type="pct"/>
            <w:shd w:val="clear" w:color="auto" w:fill="auto"/>
          </w:tcPr>
          <w:p w14:paraId="325C211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05476047" w14:textId="77777777" w:rsidTr="003A71DE">
        <w:trPr>
          <w:trHeight w:val="187"/>
          <w:jc w:val="center"/>
        </w:trPr>
        <w:tc>
          <w:tcPr>
            <w:tcW w:w="797" w:type="pct"/>
            <w:vMerge/>
            <w:shd w:val="clear" w:color="auto" w:fill="auto"/>
          </w:tcPr>
          <w:p w14:paraId="6A4236AB" w14:textId="77777777" w:rsidR="003A71DE" w:rsidRPr="007D0AFB" w:rsidRDefault="003A71DE" w:rsidP="003A71DE">
            <w:pPr>
              <w:keepNext/>
              <w:keepLines/>
              <w:spacing w:after="0"/>
              <w:rPr>
                <w:rFonts w:ascii="Arial" w:eastAsia="SimSun" w:hAnsi="Arial"/>
                <w:noProof/>
                <w:sz w:val="18"/>
              </w:rPr>
            </w:pPr>
          </w:p>
        </w:tc>
        <w:tc>
          <w:tcPr>
            <w:tcW w:w="1834" w:type="pct"/>
            <w:gridSpan w:val="2"/>
            <w:shd w:val="clear" w:color="auto" w:fill="auto"/>
          </w:tcPr>
          <w:p w14:paraId="09383A48"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RE energy to average SSS RE energy</w:t>
            </w:r>
          </w:p>
        </w:tc>
        <w:tc>
          <w:tcPr>
            <w:tcW w:w="572" w:type="pct"/>
            <w:shd w:val="clear" w:color="auto" w:fill="auto"/>
          </w:tcPr>
          <w:p w14:paraId="4D208EC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97" w:type="pct"/>
            <w:shd w:val="clear" w:color="auto" w:fill="auto"/>
          </w:tcPr>
          <w:p w14:paraId="75136CF1"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w:t>
            </w:r>
          </w:p>
        </w:tc>
      </w:tr>
      <w:tr w:rsidR="003A71DE" w:rsidRPr="007D0AFB" w14:paraId="50843447" w14:textId="77777777" w:rsidTr="003A71DE">
        <w:trPr>
          <w:trHeight w:val="187"/>
          <w:jc w:val="center"/>
        </w:trPr>
        <w:tc>
          <w:tcPr>
            <w:tcW w:w="797" w:type="pct"/>
            <w:vMerge/>
            <w:shd w:val="clear" w:color="auto" w:fill="auto"/>
          </w:tcPr>
          <w:p w14:paraId="1E4527B0" w14:textId="77777777" w:rsidR="003A71DE" w:rsidRPr="007D0AFB" w:rsidRDefault="003A71DE" w:rsidP="003A71DE">
            <w:pPr>
              <w:keepNext/>
              <w:keepLines/>
              <w:spacing w:after="0"/>
              <w:rPr>
                <w:rFonts w:ascii="Arial" w:eastAsia="SimSun" w:hAnsi="Arial"/>
                <w:noProof/>
                <w:sz w:val="18"/>
              </w:rPr>
            </w:pPr>
          </w:p>
        </w:tc>
        <w:tc>
          <w:tcPr>
            <w:tcW w:w="1834" w:type="pct"/>
            <w:gridSpan w:val="2"/>
            <w:shd w:val="clear" w:color="auto" w:fill="auto"/>
          </w:tcPr>
          <w:p w14:paraId="5E103EA3" w14:textId="77777777" w:rsidR="003A71DE" w:rsidRPr="007D0AFB" w:rsidRDefault="003A71DE" w:rsidP="003A71DE">
            <w:pPr>
              <w:keepNext/>
              <w:keepLines/>
              <w:spacing w:after="0"/>
              <w:rPr>
                <w:rFonts w:ascii="Arial" w:eastAsia="SimSun" w:hAnsi="Arial"/>
                <w:noProof/>
                <w:sz w:val="18"/>
              </w:rPr>
            </w:pPr>
            <w:r w:rsidRPr="007D0AFB">
              <w:rPr>
                <w:rFonts w:ascii="Arial" w:eastAsia="?? ??" w:hAnsi="Arial"/>
                <w:sz w:val="18"/>
              </w:rPr>
              <w:t>Ratio of hypothetical PDCCH DMRS energy to average SSS RE energy</w:t>
            </w:r>
          </w:p>
        </w:tc>
        <w:tc>
          <w:tcPr>
            <w:tcW w:w="572" w:type="pct"/>
            <w:shd w:val="clear" w:color="auto" w:fill="auto"/>
          </w:tcPr>
          <w:p w14:paraId="303FD9C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97" w:type="pct"/>
            <w:shd w:val="clear" w:color="auto" w:fill="auto"/>
          </w:tcPr>
          <w:p w14:paraId="1C930DC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w:t>
            </w:r>
          </w:p>
        </w:tc>
      </w:tr>
      <w:tr w:rsidR="003A71DE" w:rsidRPr="007D0AFB" w14:paraId="0B229060" w14:textId="77777777" w:rsidTr="003A71DE">
        <w:trPr>
          <w:trHeight w:val="187"/>
          <w:jc w:val="center"/>
        </w:trPr>
        <w:tc>
          <w:tcPr>
            <w:tcW w:w="797" w:type="pct"/>
            <w:vMerge/>
            <w:shd w:val="clear" w:color="auto" w:fill="auto"/>
          </w:tcPr>
          <w:p w14:paraId="7AD66F57" w14:textId="77777777" w:rsidR="003A71DE" w:rsidRPr="007D0AFB" w:rsidRDefault="003A71DE" w:rsidP="003A71DE">
            <w:pPr>
              <w:keepNext/>
              <w:keepLines/>
              <w:spacing w:after="0"/>
              <w:rPr>
                <w:rFonts w:ascii="Arial" w:eastAsia="SimSun" w:hAnsi="Arial"/>
                <w:noProof/>
                <w:sz w:val="18"/>
              </w:rPr>
            </w:pPr>
          </w:p>
        </w:tc>
        <w:tc>
          <w:tcPr>
            <w:tcW w:w="1834" w:type="pct"/>
            <w:gridSpan w:val="2"/>
            <w:shd w:val="clear" w:color="auto" w:fill="auto"/>
            <w:vAlign w:val="center"/>
          </w:tcPr>
          <w:p w14:paraId="0F7A5DDC"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DMRS precoder granularity</w:t>
            </w:r>
          </w:p>
        </w:tc>
        <w:tc>
          <w:tcPr>
            <w:tcW w:w="572" w:type="pct"/>
            <w:shd w:val="clear" w:color="auto" w:fill="auto"/>
            <w:vAlign w:val="center"/>
          </w:tcPr>
          <w:p w14:paraId="646F8122" w14:textId="77777777" w:rsidR="003A71DE" w:rsidRPr="007D0AFB" w:rsidRDefault="003A71DE" w:rsidP="003A71DE">
            <w:pPr>
              <w:keepNext/>
              <w:keepLines/>
              <w:spacing w:after="0"/>
              <w:jc w:val="center"/>
              <w:rPr>
                <w:rFonts w:ascii="Arial" w:eastAsia="?? ??" w:hAnsi="Arial"/>
                <w:sz w:val="18"/>
              </w:rPr>
            </w:pPr>
          </w:p>
        </w:tc>
        <w:tc>
          <w:tcPr>
            <w:tcW w:w="1797" w:type="pct"/>
            <w:shd w:val="clear" w:color="auto" w:fill="auto"/>
          </w:tcPr>
          <w:p w14:paraId="24B9E8B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 ??" w:hAnsi="Arial"/>
                <w:sz w:val="18"/>
              </w:rPr>
              <w:t>REG bundle size</w:t>
            </w:r>
          </w:p>
        </w:tc>
      </w:tr>
      <w:tr w:rsidR="003A71DE" w:rsidRPr="007D0AFB" w14:paraId="5D6908B3" w14:textId="77777777" w:rsidTr="003A71DE">
        <w:trPr>
          <w:trHeight w:val="187"/>
          <w:jc w:val="center"/>
        </w:trPr>
        <w:tc>
          <w:tcPr>
            <w:tcW w:w="797" w:type="pct"/>
            <w:vMerge/>
            <w:tcBorders>
              <w:bottom w:val="single" w:sz="4" w:space="0" w:color="auto"/>
            </w:tcBorders>
            <w:shd w:val="clear" w:color="auto" w:fill="auto"/>
          </w:tcPr>
          <w:p w14:paraId="48097410" w14:textId="77777777" w:rsidR="003A71DE" w:rsidRPr="007D0AFB" w:rsidRDefault="003A71DE" w:rsidP="003A71DE">
            <w:pPr>
              <w:keepNext/>
              <w:keepLines/>
              <w:spacing w:after="0"/>
              <w:rPr>
                <w:rFonts w:ascii="Arial" w:eastAsia="SimSun" w:hAnsi="Arial"/>
                <w:noProof/>
                <w:sz w:val="18"/>
              </w:rPr>
            </w:pPr>
          </w:p>
        </w:tc>
        <w:tc>
          <w:tcPr>
            <w:tcW w:w="1834" w:type="pct"/>
            <w:gridSpan w:val="2"/>
            <w:shd w:val="clear" w:color="auto" w:fill="auto"/>
            <w:vAlign w:val="center"/>
          </w:tcPr>
          <w:p w14:paraId="2DB664B4" w14:textId="77777777" w:rsidR="003A71DE" w:rsidRPr="007D0AFB" w:rsidRDefault="003A71DE" w:rsidP="003A71DE">
            <w:pPr>
              <w:keepNext/>
              <w:keepLines/>
              <w:spacing w:after="0"/>
              <w:rPr>
                <w:rFonts w:ascii="Arial" w:eastAsia="?? ??" w:hAnsi="Arial"/>
                <w:sz w:val="18"/>
              </w:rPr>
            </w:pPr>
            <w:r w:rsidRPr="007D0AFB">
              <w:rPr>
                <w:rFonts w:ascii="Arial" w:eastAsia="?? ??" w:hAnsi="Arial"/>
                <w:sz w:val="18"/>
              </w:rPr>
              <w:t>REG bundle size</w:t>
            </w:r>
          </w:p>
        </w:tc>
        <w:tc>
          <w:tcPr>
            <w:tcW w:w="572" w:type="pct"/>
            <w:shd w:val="clear" w:color="auto" w:fill="auto"/>
            <w:vAlign w:val="center"/>
          </w:tcPr>
          <w:p w14:paraId="49420D87" w14:textId="77777777" w:rsidR="003A71DE" w:rsidRPr="007D0AFB" w:rsidRDefault="003A71DE" w:rsidP="003A71DE">
            <w:pPr>
              <w:keepNext/>
              <w:keepLines/>
              <w:spacing w:after="0"/>
              <w:jc w:val="center"/>
              <w:rPr>
                <w:rFonts w:ascii="Arial" w:eastAsia="?? ??" w:hAnsi="Arial"/>
                <w:sz w:val="18"/>
              </w:rPr>
            </w:pPr>
          </w:p>
        </w:tc>
        <w:tc>
          <w:tcPr>
            <w:tcW w:w="1797" w:type="pct"/>
            <w:shd w:val="clear" w:color="auto" w:fill="auto"/>
          </w:tcPr>
          <w:p w14:paraId="060DE07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6</w:t>
            </w:r>
          </w:p>
        </w:tc>
      </w:tr>
      <w:tr w:rsidR="003A71DE" w:rsidRPr="007D0AFB" w14:paraId="44F7E99F" w14:textId="77777777" w:rsidTr="003A71DE">
        <w:trPr>
          <w:trHeight w:val="187"/>
          <w:jc w:val="center"/>
        </w:trPr>
        <w:tc>
          <w:tcPr>
            <w:tcW w:w="797" w:type="pct"/>
            <w:vMerge w:val="restart"/>
            <w:shd w:val="clear" w:color="auto" w:fill="auto"/>
          </w:tcPr>
          <w:p w14:paraId="217FA235"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 xml:space="preserve">Out of sync transmission parameters </w:t>
            </w:r>
          </w:p>
        </w:tc>
        <w:tc>
          <w:tcPr>
            <w:tcW w:w="1834" w:type="pct"/>
            <w:gridSpan w:val="2"/>
            <w:shd w:val="clear" w:color="auto" w:fill="auto"/>
          </w:tcPr>
          <w:p w14:paraId="387E834D"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DCI format</w:t>
            </w:r>
          </w:p>
        </w:tc>
        <w:tc>
          <w:tcPr>
            <w:tcW w:w="572" w:type="pct"/>
            <w:shd w:val="clear" w:color="auto" w:fill="auto"/>
          </w:tcPr>
          <w:p w14:paraId="687FF5B7"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0025808"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1-0</w:t>
            </w:r>
          </w:p>
        </w:tc>
      </w:tr>
      <w:tr w:rsidR="003A71DE" w:rsidRPr="007D0AFB" w14:paraId="20F54B76" w14:textId="77777777" w:rsidTr="003A71DE">
        <w:trPr>
          <w:trHeight w:val="187"/>
          <w:jc w:val="center"/>
        </w:trPr>
        <w:tc>
          <w:tcPr>
            <w:tcW w:w="797" w:type="pct"/>
            <w:vMerge/>
            <w:shd w:val="clear" w:color="auto" w:fill="auto"/>
          </w:tcPr>
          <w:p w14:paraId="75CA53DF" w14:textId="77777777" w:rsidR="003A71DE" w:rsidRPr="007D0AFB" w:rsidRDefault="003A71DE" w:rsidP="003A71DE">
            <w:pPr>
              <w:keepNext/>
              <w:keepLines/>
              <w:spacing w:after="0"/>
              <w:rPr>
                <w:rFonts w:ascii="Arial" w:eastAsia="SimSun" w:hAnsi="Arial" w:cs="Arial"/>
                <w:noProof/>
                <w:sz w:val="18"/>
                <w:szCs w:val="18"/>
              </w:rPr>
            </w:pPr>
          </w:p>
        </w:tc>
        <w:tc>
          <w:tcPr>
            <w:tcW w:w="1834" w:type="pct"/>
            <w:gridSpan w:val="2"/>
            <w:shd w:val="clear" w:color="auto" w:fill="auto"/>
          </w:tcPr>
          <w:p w14:paraId="6E008D6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Number of Control OFDM symbols</w:t>
            </w:r>
          </w:p>
        </w:tc>
        <w:tc>
          <w:tcPr>
            <w:tcW w:w="572" w:type="pct"/>
            <w:shd w:val="clear" w:color="auto" w:fill="auto"/>
          </w:tcPr>
          <w:p w14:paraId="263E2202"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8AB5C0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2</w:t>
            </w:r>
          </w:p>
        </w:tc>
      </w:tr>
      <w:tr w:rsidR="003A71DE" w:rsidRPr="007D0AFB" w14:paraId="44CF1B08" w14:textId="77777777" w:rsidTr="003A71DE">
        <w:trPr>
          <w:trHeight w:val="187"/>
          <w:jc w:val="center"/>
        </w:trPr>
        <w:tc>
          <w:tcPr>
            <w:tcW w:w="797" w:type="pct"/>
            <w:vMerge/>
            <w:shd w:val="clear" w:color="auto" w:fill="auto"/>
          </w:tcPr>
          <w:p w14:paraId="7D5CB113" w14:textId="77777777" w:rsidR="003A71DE" w:rsidRPr="007D0AFB" w:rsidRDefault="003A71DE" w:rsidP="003A71DE">
            <w:pPr>
              <w:keepNext/>
              <w:keepLines/>
              <w:spacing w:after="0"/>
              <w:rPr>
                <w:rFonts w:ascii="Arial" w:eastAsia="SimSun" w:hAnsi="Arial" w:cs="Arial"/>
                <w:noProof/>
                <w:sz w:val="18"/>
                <w:szCs w:val="18"/>
              </w:rPr>
            </w:pPr>
          </w:p>
        </w:tc>
        <w:tc>
          <w:tcPr>
            <w:tcW w:w="1834" w:type="pct"/>
            <w:gridSpan w:val="2"/>
            <w:shd w:val="clear" w:color="auto" w:fill="auto"/>
          </w:tcPr>
          <w:p w14:paraId="6802237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 xml:space="preserve">Aggregation level </w:t>
            </w:r>
          </w:p>
        </w:tc>
        <w:tc>
          <w:tcPr>
            <w:tcW w:w="572" w:type="pct"/>
            <w:shd w:val="clear" w:color="auto" w:fill="auto"/>
          </w:tcPr>
          <w:p w14:paraId="35181002"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CCE</w:t>
            </w:r>
          </w:p>
        </w:tc>
        <w:tc>
          <w:tcPr>
            <w:tcW w:w="1797" w:type="pct"/>
            <w:shd w:val="clear" w:color="auto" w:fill="auto"/>
          </w:tcPr>
          <w:p w14:paraId="772AECE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8</w:t>
            </w:r>
          </w:p>
        </w:tc>
      </w:tr>
      <w:tr w:rsidR="003A71DE" w:rsidRPr="007D0AFB" w14:paraId="5DDBF000" w14:textId="77777777" w:rsidTr="003A71DE">
        <w:trPr>
          <w:trHeight w:val="187"/>
          <w:jc w:val="center"/>
        </w:trPr>
        <w:tc>
          <w:tcPr>
            <w:tcW w:w="797" w:type="pct"/>
            <w:vMerge/>
            <w:shd w:val="clear" w:color="auto" w:fill="auto"/>
          </w:tcPr>
          <w:p w14:paraId="584CD5E6" w14:textId="77777777" w:rsidR="003A71DE" w:rsidRPr="007D0AFB" w:rsidRDefault="003A71DE" w:rsidP="003A71DE">
            <w:pPr>
              <w:keepNext/>
              <w:keepLines/>
              <w:spacing w:after="0"/>
              <w:rPr>
                <w:rFonts w:ascii="Arial" w:eastAsia="SimSun" w:hAnsi="Arial" w:cs="Arial"/>
                <w:noProof/>
                <w:sz w:val="18"/>
                <w:szCs w:val="18"/>
              </w:rPr>
            </w:pPr>
          </w:p>
        </w:tc>
        <w:tc>
          <w:tcPr>
            <w:tcW w:w="1834" w:type="pct"/>
            <w:gridSpan w:val="2"/>
            <w:shd w:val="clear" w:color="auto" w:fill="auto"/>
          </w:tcPr>
          <w:p w14:paraId="16B6CA26"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 ??" w:hAnsi="Arial" w:cs="Arial"/>
                <w:sz w:val="18"/>
                <w:szCs w:val="18"/>
              </w:rPr>
              <w:t>Ratio of hypothetical PDCCH RE energy to average SSS RE energy</w:t>
            </w:r>
          </w:p>
        </w:tc>
        <w:tc>
          <w:tcPr>
            <w:tcW w:w="572" w:type="pct"/>
            <w:shd w:val="clear" w:color="auto" w:fill="auto"/>
          </w:tcPr>
          <w:p w14:paraId="7D75D55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97" w:type="pct"/>
            <w:shd w:val="clear" w:color="auto" w:fill="auto"/>
          </w:tcPr>
          <w:p w14:paraId="2C874E8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596841BE" w14:textId="77777777" w:rsidTr="003A71DE">
        <w:trPr>
          <w:trHeight w:val="187"/>
          <w:jc w:val="center"/>
        </w:trPr>
        <w:tc>
          <w:tcPr>
            <w:tcW w:w="797" w:type="pct"/>
            <w:vMerge/>
            <w:shd w:val="clear" w:color="auto" w:fill="auto"/>
          </w:tcPr>
          <w:p w14:paraId="599305DE" w14:textId="77777777" w:rsidR="003A71DE" w:rsidRPr="007D0AFB" w:rsidRDefault="003A71DE" w:rsidP="003A71DE">
            <w:pPr>
              <w:keepNext/>
              <w:keepLines/>
              <w:spacing w:after="0"/>
              <w:rPr>
                <w:rFonts w:ascii="Arial" w:eastAsia="SimSun" w:hAnsi="Arial" w:cs="Arial"/>
                <w:noProof/>
                <w:sz w:val="18"/>
                <w:szCs w:val="18"/>
              </w:rPr>
            </w:pPr>
          </w:p>
        </w:tc>
        <w:tc>
          <w:tcPr>
            <w:tcW w:w="1834" w:type="pct"/>
            <w:gridSpan w:val="2"/>
            <w:shd w:val="clear" w:color="auto" w:fill="auto"/>
          </w:tcPr>
          <w:p w14:paraId="7854F5A1"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 ??" w:hAnsi="Arial" w:cs="Arial"/>
                <w:sz w:val="18"/>
                <w:szCs w:val="18"/>
              </w:rPr>
              <w:t>Ratio of hypothetical PDCCH DMRS energy to average SSS RE energy</w:t>
            </w:r>
          </w:p>
        </w:tc>
        <w:tc>
          <w:tcPr>
            <w:tcW w:w="572" w:type="pct"/>
            <w:shd w:val="clear" w:color="auto" w:fill="auto"/>
          </w:tcPr>
          <w:p w14:paraId="6E60157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dB</w:t>
            </w:r>
          </w:p>
        </w:tc>
        <w:tc>
          <w:tcPr>
            <w:tcW w:w="1797" w:type="pct"/>
            <w:shd w:val="clear" w:color="auto" w:fill="auto"/>
          </w:tcPr>
          <w:p w14:paraId="7724CA0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w:t>
            </w:r>
          </w:p>
        </w:tc>
      </w:tr>
      <w:tr w:rsidR="003A71DE" w:rsidRPr="007D0AFB" w14:paraId="47C48FBC" w14:textId="77777777" w:rsidTr="003A71DE">
        <w:trPr>
          <w:trHeight w:val="187"/>
          <w:jc w:val="center"/>
        </w:trPr>
        <w:tc>
          <w:tcPr>
            <w:tcW w:w="797" w:type="pct"/>
            <w:vMerge/>
            <w:shd w:val="clear" w:color="auto" w:fill="auto"/>
          </w:tcPr>
          <w:p w14:paraId="0FAEFAF5" w14:textId="77777777" w:rsidR="003A71DE" w:rsidRPr="007D0AFB" w:rsidRDefault="003A71DE" w:rsidP="003A71DE">
            <w:pPr>
              <w:keepNext/>
              <w:keepLines/>
              <w:spacing w:after="0"/>
              <w:rPr>
                <w:rFonts w:ascii="Arial" w:eastAsia="SimSun" w:hAnsi="Arial" w:cs="Arial"/>
                <w:noProof/>
                <w:sz w:val="18"/>
                <w:szCs w:val="18"/>
              </w:rPr>
            </w:pPr>
          </w:p>
        </w:tc>
        <w:tc>
          <w:tcPr>
            <w:tcW w:w="1834" w:type="pct"/>
            <w:gridSpan w:val="2"/>
            <w:shd w:val="clear" w:color="auto" w:fill="auto"/>
            <w:vAlign w:val="center"/>
          </w:tcPr>
          <w:p w14:paraId="46DE2FD1" w14:textId="77777777" w:rsidR="003A71DE" w:rsidRPr="007D0AFB" w:rsidRDefault="003A71DE" w:rsidP="003A71DE">
            <w:pPr>
              <w:keepNext/>
              <w:keepLines/>
              <w:spacing w:after="0"/>
              <w:rPr>
                <w:rFonts w:ascii="Arial" w:eastAsia="?? ??" w:hAnsi="Arial" w:cs="Arial"/>
                <w:sz w:val="18"/>
                <w:szCs w:val="18"/>
              </w:rPr>
            </w:pPr>
            <w:r w:rsidRPr="007D0AFB">
              <w:rPr>
                <w:rFonts w:ascii="Arial" w:eastAsia="?? ??" w:hAnsi="Arial" w:cs="Arial"/>
                <w:sz w:val="18"/>
                <w:szCs w:val="18"/>
              </w:rPr>
              <w:t>DMRS precoder granularity</w:t>
            </w:r>
          </w:p>
        </w:tc>
        <w:tc>
          <w:tcPr>
            <w:tcW w:w="572" w:type="pct"/>
            <w:shd w:val="clear" w:color="auto" w:fill="auto"/>
            <w:vAlign w:val="center"/>
          </w:tcPr>
          <w:p w14:paraId="54DD4236" w14:textId="77777777" w:rsidR="003A71DE" w:rsidRPr="007D0AFB" w:rsidRDefault="003A71DE" w:rsidP="003A71DE">
            <w:pPr>
              <w:keepNext/>
              <w:keepLines/>
              <w:spacing w:after="0"/>
              <w:jc w:val="center"/>
              <w:rPr>
                <w:rFonts w:ascii="Arial" w:eastAsia="?? ??" w:hAnsi="Arial"/>
                <w:sz w:val="18"/>
              </w:rPr>
            </w:pPr>
          </w:p>
        </w:tc>
        <w:tc>
          <w:tcPr>
            <w:tcW w:w="1797" w:type="pct"/>
            <w:shd w:val="clear" w:color="auto" w:fill="auto"/>
          </w:tcPr>
          <w:p w14:paraId="4741F0E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 ??" w:hAnsi="Arial"/>
                <w:sz w:val="18"/>
              </w:rPr>
              <w:t>REG bundle size</w:t>
            </w:r>
          </w:p>
        </w:tc>
      </w:tr>
      <w:tr w:rsidR="003A71DE" w:rsidRPr="007D0AFB" w14:paraId="5945E1F2" w14:textId="77777777" w:rsidTr="003A71DE">
        <w:trPr>
          <w:trHeight w:val="187"/>
          <w:jc w:val="center"/>
        </w:trPr>
        <w:tc>
          <w:tcPr>
            <w:tcW w:w="797" w:type="pct"/>
            <w:vMerge/>
            <w:shd w:val="clear" w:color="auto" w:fill="auto"/>
          </w:tcPr>
          <w:p w14:paraId="5ACAFEC1" w14:textId="77777777" w:rsidR="003A71DE" w:rsidRPr="007D0AFB" w:rsidRDefault="003A71DE" w:rsidP="003A71DE">
            <w:pPr>
              <w:keepNext/>
              <w:keepLines/>
              <w:spacing w:after="0"/>
              <w:rPr>
                <w:rFonts w:ascii="Arial" w:eastAsia="SimSun" w:hAnsi="Arial" w:cs="Arial"/>
                <w:noProof/>
                <w:sz w:val="18"/>
                <w:szCs w:val="18"/>
              </w:rPr>
            </w:pPr>
          </w:p>
        </w:tc>
        <w:tc>
          <w:tcPr>
            <w:tcW w:w="1834" w:type="pct"/>
            <w:gridSpan w:val="2"/>
            <w:shd w:val="clear" w:color="auto" w:fill="auto"/>
            <w:vAlign w:val="center"/>
          </w:tcPr>
          <w:p w14:paraId="389C1BB0" w14:textId="77777777" w:rsidR="003A71DE" w:rsidRPr="007D0AFB" w:rsidRDefault="003A71DE" w:rsidP="003A71DE">
            <w:pPr>
              <w:keepNext/>
              <w:keepLines/>
              <w:spacing w:after="0"/>
              <w:rPr>
                <w:rFonts w:ascii="Arial" w:eastAsia="?? ??" w:hAnsi="Arial" w:cs="Arial"/>
                <w:sz w:val="18"/>
                <w:szCs w:val="18"/>
              </w:rPr>
            </w:pPr>
            <w:r w:rsidRPr="007D0AFB">
              <w:rPr>
                <w:rFonts w:ascii="Arial" w:eastAsia="?? ??" w:hAnsi="Arial" w:cs="Arial"/>
                <w:sz w:val="18"/>
                <w:szCs w:val="18"/>
              </w:rPr>
              <w:t>REG bundle size</w:t>
            </w:r>
          </w:p>
        </w:tc>
        <w:tc>
          <w:tcPr>
            <w:tcW w:w="572" w:type="pct"/>
            <w:shd w:val="clear" w:color="auto" w:fill="auto"/>
            <w:vAlign w:val="center"/>
          </w:tcPr>
          <w:p w14:paraId="57DF0627" w14:textId="77777777" w:rsidR="003A71DE" w:rsidRPr="007D0AFB" w:rsidRDefault="003A71DE" w:rsidP="003A71DE">
            <w:pPr>
              <w:keepNext/>
              <w:keepLines/>
              <w:spacing w:after="0"/>
              <w:jc w:val="center"/>
              <w:rPr>
                <w:rFonts w:ascii="Arial" w:eastAsia="?? ??" w:hAnsi="Arial"/>
                <w:sz w:val="18"/>
              </w:rPr>
            </w:pPr>
          </w:p>
        </w:tc>
        <w:tc>
          <w:tcPr>
            <w:tcW w:w="1797" w:type="pct"/>
            <w:shd w:val="clear" w:color="auto" w:fill="auto"/>
          </w:tcPr>
          <w:p w14:paraId="21FBF07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6</w:t>
            </w:r>
          </w:p>
        </w:tc>
      </w:tr>
      <w:tr w:rsidR="003A71DE" w:rsidRPr="007D0AFB" w14:paraId="47494E46" w14:textId="77777777" w:rsidTr="003A71DE">
        <w:trPr>
          <w:trHeight w:val="187"/>
          <w:jc w:val="center"/>
        </w:trPr>
        <w:tc>
          <w:tcPr>
            <w:tcW w:w="2631" w:type="pct"/>
            <w:gridSpan w:val="3"/>
            <w:shd w:val="clear" w:color="auto" w:fill="auto"/>
          </w:tcPr>
          <w:p w14:paraId="68F9E863"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noProof/>
                <w:sz w:val="18"/>
              </w:rPr>
              <w:t>DRX</w:t>
            </w:r>
          </w:p>
        </w:tc>
        <w:tc>
          <w:tcPr>
            <w:tcW w:w="572" w:type="pct"/>
            <w:shd w:val="clear" w:color="auto" w:fill="auto"/>
          </w:tcPr>
          <w:p w14:paraId="5655183F"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19901383"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sz w:val="18"/>
              </w:rPr>
              <w:t>OFF</w:t>
            </w:r>
          </w:p>
        </w:tc>
      </w:tr>
      <w:tr w:rsidR="003A71DE" w:rsidRPr="007D0AFB" w14:paraId="37959E3E" w14:textId="77777777" w:rsidTr="003A71DE">
        <w:trPr>
          <w:trHeight w:val="187"/>
          <w:jc w:val="center"/>
        </w:trPr>
        <w:tc>
          <w:tcPr>
            <w:tcW w:w="2631" w:type="pct"/>
            <w:gridSpan w:val="3"/>
            <w:shd w:val="clear" w:color="auto" w:fill="auto"/>
          </w:tcPr>
          <w:p w14:paraId="624CAA6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Layer 3 filtering</w:t>
            </w:r>
          </w:p>
        </w:tc>
        <w:tc>
          <w:tcPr>
            <w:tcW w:w="572" w:type="pct"/>
            <w:shd w:val="clear" w:color="auto" w:fill="auto"/>
          </w:tcPr>
          <w:p w14:paraId="3232C6A7"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60FBD134"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i/>
                <w:iCs/>
                <w:sz w:val="18"/>
              </w:rPr>
              <w:t>Enabled</w:t>
            </w:r>
          </w:p>
        </w:tc>
      </w:tr>
      <w:tr w:rsidR="003A71DE" w:rsidRPr="007D0AFB" w14:paraId="1EDF1AFE" w14:textId="77777777" w:rsidTr="003A71DE">
        <w:trPr>
          <w:trHeight w:val="187"/>
          <w:jc w:val="center"/>
        </w:trPr>
        <w:tc>
          <w:tcPr>
            <w:tcW w:w="2631" w:type="pct"/>
            <w:gridSpan w:val="3"/>
            <w:shd w:val="clear" w:color="auto" w:fill="auto"/>
          </w:tcPr>
          <w:p w14:paraId="01E48F03"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T310 timer</w:t>
            </w:r>
          </w:p>
        </w:tc>
        <w:tc>
          <w:tcPr>
            <w:tcW w:w="572" w:type="pct"/>
            <w:shd w:val="clear" w:color="auto" w:fill="auto"/>
          </w:tcPr>
          <w:p w14:paraId="384F1B71"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iCs/>
                <w:sz w:val="18"/>
              </w:rPr>
              <w:t>ms</w:t>
            </w:r>
          </w:p>
        </w:tc>
        <w:tc>
          <w:tcPr>
            <w:tcW w:w="1797" w:type="pct"/>
            <w:shd w:val="clear" w:color="auto" w:fill="auto"/>
          </w:tcPr>
          <w:p w14:paraId="4DDC7E1E"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iCs/>
                <w:sz w:val="18"/>
              </w:rPr>
              <w:t>4000</w:t>
            </w:r>
          </w:p>
        </w:tc>
      </w:tr>
      <w:tr w:rsidR="003A71DE" w:rsidRPr="007D0AFB" w14:paraId="3C93416C" w14:textId="77777777" w:rsidTr="003A71DE">
        <w:trPr>
          <w:trHeight w:val="187"/>
          <w:jc w:val="center"/>
        </w:trPr>
        <w:tc>
          <w:tcPr>
            <w:tcW w:w="2631" w:type="pct"/>
            <w:gridSpan w:val="3"/>
            <w:shd w:val="clear" w:color="auto" w:fill="auto"/>
          </w:tcPr>
          <w:p w14:paraId="701B50CC"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T311 timer</w:t>
            </w:r>
          </w:p>
        </w:tc>
        <w:tc>
          <w:tcPr>
            <w:tcW w:w="572" w:type="pct"/>
            <w:shd w:val="clear" w:color="auto" w:fill="auto"/>
          </w:tcPr>
          <w:p w14:paraId="62F789BC" w14:textId="77777777" w:rsidR="003A71DE" w:rsidRPr="007D0AFB" w:rsidRDefault="003A71DE" w:rsidP="003A71DE">
            <w:pPr>
              <w:keepNext/>
              <w:keepLines/>
              <w:spacing w:after="0"/>
              <w:jc w:val="center"/>
              <w:rPr>
                <w:rFonts w:ascii="Arial" w:eastAsia="SimSun" w:hAnsi="Arial"/>
                <w:iCs/>
                <w:sz w:val="18"/>
              </w:rPr>
            </w:pPr>
            <w:r w:rsidRPr="007D0AFB">
              <w:rPr>
                <w:rFonts w:ascii="Arial" w:eastAsia="SimSun" w:hAnsi="Arial"/>
                <w:noProof/>
                <w:sz w:val="18"/>
              </w:rPr>
              <w:t>ms</w:t>
            </w:r>
          </w:p>
        </w:tc>
        <w:tc>
          <w:tcPr>
            <w:tcW w:w="1797" w:type="pct"/>
            <w:shd w:val="clear" w:color="auto" w:fill="auto"/>
          </w:tcPr>
          <w:p w14:paraId="4D6BD33A" w14:textId="77777777" w:rsidR="003A71DE" w:rsidRPr="007D0AFB" w:rsidRDefault="003A71DE" w:rsidP="003A71DE">
            <w:pPr>
              <w:keepNext/>
              <w:keepLines/>
              <w:spacing w:after="0"/>
              <w:jc w:val="center"/>
              <w:rPr>
                <w:rFonts w:ascii="Arial" w:eastAsia="SimSun" w:hAnsi="Arial"/>
                <w:i/>
                <w:iCs/>
                <w:sz w:val="18"/>
              </w:rPr>
            </w:pPr>
            <w:r w:rsidRPr="007D0AFB">
              <w:rPr>
                <w:rFonts w:ascii="Arial" w:eastAsia="SimSun" w:hAnsi="Arial"/>
                <w:noProof/>
                <w:sz w:val="18"/>
              </w:rPr>
              <w:t>1000</w:t>
            </w:r>
          </w:p>
        </w:tc>
      </w:tr>
      <w:tr w:rsidR="003A71DE" w:rsidRPr="007D0AFB" w14:paraId="3342F24E" w14:textId="77777777" w:rsidTr="003A71DE">
        <w:trPr>
          <w:trHeight w:val="187"/>
          <w:jc w:val="center"/>
        </w:trPr>
        <w:tc>
          <w:tcPr>
            <w:tcW w:w="2631" w:type="pct"/>
            <w:gridSpan w:val="3"/>
            <w:shd w:val="clear" w:color="auto" w:fill="auto"/>
          </w:tcPr>
          <w:p w14:paraId="78418E8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N310</w:t>
            </w:r>
          </w:p>
        </w:tc>
        <w:tc>
          <w:tcPr>
            <w:tcW w:w="572" w:type="pct"/>
            <w:shd w:val="clear" w:color="auto" w:fill="auto"/>
          </w:tcPr>
          <w:p w14:paraId="06066130"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DCB172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7CD8901B" w14:textId="77777777" w:rsidTr="003A71DE">
        <w:trPr>
          <w:trHeight w:val="187"/>
          <w:jc w:val="center"/>
        </w:trPr>
        <w:tc>
          <w:tcPr>
            <w:tcW w:w="2631" w:type="pct"/>
            <w:gridSpan w:val="3"/>
            <w:shd w:val="clear" w:color="auto" w:fill="auto"/>
          </w:tcPr>
          <w:p w14:paraId="2A565F59"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N311</w:t>
            </w:r>
          </w:p>
        </w:tc>
        <w:tc>
          <w:tcPr>
            <w:tcW w:w="572" w:type="pct"/>
            <w:shd w:val="clear" w:color="auto" w:fill="auto"/>
          </w:tcPr>
          <w:p w14:paraId="4E9497F9"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596FF9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1</w:t>
            </w:r>
          </w:p>
        </w:tc>
      </w:tr>
      <w:tr w:rsidR="003A71DE" w:rsidRPr="007D0AFB" w14:paraId="657F9121" w14:textId="77777777" w:rsidTr="003A71DE">
        <w:trPr>
          <w:trHeight w:val="187"/>
          <w:jc w:val="center"/>
        </w:trPr>
        <w:tc>
          <w:tcPr>
            <w:tcW w:w="1599" w:type="pct"/>
            <w:gridSpan w:val="2"/>
            <w:shd w:val="clear" w:color="auto" w:fill="auto"/>
            <w:vAlign w:val="center"/>
          </w:tcPr>
          <w:p w14:paraId="1B1D61DC" w14:textId="77777777" w:rsidR="003A71DE" w:rsidRPr="007D0AFB" w:rsidRDefault="003A71DE" w:rsidP="003A71DE">
            <w:pPr>
              <w:keepNext/>
              <w:keepLines/>
              <w:spacing w:after="0"/>
              <w:rPr>
                <w:rFonts w:ascii="Arial" w:eastAsia="SimSun" w:hAnsi="Arial" w:cs="Arial"/>
                <w:bCs/>
                <w:sz w:val="18"/>
                <w:szCs w:val="18"/>
              </w:rPr>
            </w:pPr>
            <w:r w:rsidRPr="007D0AFB">
              <w:rPr>
                <w:rFonts w:ascii="Arial" w:eastAsia="SimSun" w:hAnsi="Arial" w:cs="Arial"/>
                <w:noProof/>
                <w:sz w:val="18"/>
                <w:szCs w:val="18"/>
              </w:rPr>
              <w:t>CSI-RS for CSI reporting</w:t>
            </w:r>
          </w:p>
        </w:tc>
        <w:tc>
          <w:tcPr>
            <w:tcW w:w="1032" w:type="pct"/>
            <w:shd w:val="clear" w:color="auto" w:fill="auto"/>
          </w:tcPr>
          <w:p w14:paraId="513FE6C0"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Config 1</w:t>
            </w:r>
          </w:p>
        </w:tc>
        <w:tc>
          <w:tcPr>
            <w:tcW w:w="572" w:type="pct"/>
            <w:shd w:val="clear" w:color="auto" w:fill="auto"/>
          </w:tcPr>
          <w:p w14:paraId="1B842593"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37A2395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sz w:val="18"/>
              </w:rPr>
              <w:t>CSI-RS.3.1 TDD</w:t>
            </w:r>
          </w:p>
        </w:tc>
      </w:tr>
      <w:tr w:rsidR="003A71DE" w:rsidRPr="007D0AFB" w14:paraId="528CDB77" w14:textId="77777777" w:rsidTr="003A71DE">
        <w:trPr>
          <w:trHeight w:val="187"/>
          <w:jc w:val="center"/>
        </w:trPr>
        <w:tc>
          <w:tcPr>
            <w:tcW w:w="2631" w:type="pct"/>
            <w:gridSpan w:val="3"/>
            <w:shd w:val="clear" w:color="auto" w:fill="auto"/>
            <w:vAlign w:val="center"/>
          </w:tcPr>
          <w:p w14:paraId="69EF91DA"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sz w:val="18"/>
                <w:szCs w:val="18"/>
              </w:rPr>
              <w:t>TCI states for PDCCH/PDSCH</w:t>
            </w:r>
          </w:p>
        </w:tc>
        <w:tc>
          <w:tcPr>
            <w:tcW w:w="572" w:type="pct"/>
            <w:shd w:val="clear" w:color="auto" w:fill="auto"/>
          </w:tcPr>
          <w:p w14:paraId="26BB437F"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791916CE"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sz w:val="18"/>
              </w:rPr>
              <w:t>TCI.State.2</w:t>
            </w:r>
          </w:p>
        </w:tc>
      </w:tr>
      <w:tr w:rsidR="003A71DE" w:rsidRPr="007D0AFB" w14:paraId="2179ED2E" w14:textId="77777777" w:rsidTr="003A71DE">
        <w:trPr>
          <w:trHeight w:val="187"/>
          <w:jc w:val="center"/>
        </w:trPr>
        <w:tc>
          <w:tcPr>
            <w:tcW w:w="1599" w:type="pct"/>
            <w:gridSpan w:val="2"/>
            <w:shd w:val="clear" w:color="auto" w:fill="auto"/>
            <w:vAlign w:val="center"/>
          </w:tcPr>
          <w:p w14:paraId="00CC3D2D"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noProof/>
                <w:sz w:val="18"/>
              </w:rPr>
              <w:t>CSI-RS for tracking</w:t>
            </w:r>
          </w:p>
        </w:tc>
        <w:tc>
          <w:tcPr>
            <w:tcW w:w="1032" w:type="pct"/>
            <w:shd w:val="clear" w:color="auto" w:fill="auto"/>
          </w:tcPr>
          <w:p w14:paraId="36538BC4"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noProof/>
                <w:sz w:val="18"/>
              </w:rPr>
              <w:t>Config 1</w:t>
            </w:r>
          </w:p>
        </w:tc>
        <w:tc>
          <w:tcPr>
            <w:tcW w:w="572" w:type="pct"/>
            <w:shd w:val="clear" w:color="auto" w:fill="auto"/>
          </w:tcPr>
          <w:p w14:paraId="3E259C52" w14:textId="77777777" w:rsidR="003A71DE" w:rsidRPr="007D0AFB" w:rsidRDefault="003A71DE" w:rsidP="003A71DE">
            <w:pPr>
              <w:keepNext/>
              <w:keepLines/>
              <w:spacing w:after="0"/>
              <w:jc w:val="center"/>
              <w:rPr>
                <w:rFonts w:ascii="Arial" w:eastAsia="SimSun" w:hAnsi="Arial"/>
                <w:noProof/>
                <w:sz w:val="18"/>
              </w:rPr>
            </w:pPr>
          </w:p>
        </w:tc>
        <w:tc>
          <w:tcPr>
            <w:tcW w:w="1797" w:type="pct"/>
            <w:shd w:val="clear" w:color="auto" w:fill="auto"/>
          </w:tcPr>
          <w:p w14:paraId="43EACAFC" w14:textId="77777777" w:rsidR="003A71DE" w:rsidRPr="007D0AFB" w:rsidRDefault="003A71DE" w:rsidP="003A71DE">
            <w:pPr>
              <w:keepNext/>
              <w:keepLines/>
              <w:spacing w:after="0"/>
              <w:jc w:val="center"/>
              <w:rPr>
                <w:rFonts w:ascii="Arial" w:eastAsia="SimSun" w:hAnsi="Arial"/>
                <w:sz w:val="18"/>
              </w:rPr>
            </w:pPr>
            <w:r w:rsidRPr="007D0AFB">
              <w:rPr>
                <w:rFonts w:ascii="Arial" w:eastAsia="SimSun" w:hAnsi="Arial"/>
                <w:noProof/>
                <w:sz w:val="18"/>
              </w:rPr>
              <w:t>TRS.2.1 TDD</w:t>
            </w:r>
          </w:p>
        </w:tc>
      </w:tr>
      <w:tr w:rsidR="003A71DE" w:rsidRPr="007D0AFB" w14:paraId="25E234EF" w14:textId="77777777" w:rsidTr="003A71DE">
        <w:trPr>
          <w:trHeight w:val="187"/>
          <w:jc w:val="center"/>
        </w:trPr>
        <w:tc>
          <w:tcPr>
            <w:tcW w:w="2631" w:type="pct"/>
            <w:gridSpan w:val="3"/>
            <w:shd w:val="clear" w:color="auto" w:fill="auto"/>
          </w:tcPr>
          <w:p w14:paraId="5D8CCA10"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T1</w:t>
            </w:r>
          </w:p>
        </w:tc>
        <w:tc>
          <w:tcPr>
            <w:tcW w:w="572" w:type="pct"/>
            <w:shd w:val="clear" w:color="auto" w:fill="auto"/>
          </w:tcPr>
          <w:p w14:paraId="7D30A52B"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97" w:type="pct"/>
            <w:shd w:val="clear" w:color="auto" w:fill="auto"/>
          </w:tcPr>
          <w:p w14:paraId="4E3D6F4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1820800E" w14:textId="77777777" w:rsidTr="003A71DE">
        <w:trPr>
          <w:trHeight w:val="187"/>
          <w:jc w:val="center"/>
        </w:trPr>
        <w:tc>
          <w:tcPr>
            <w:tcW w:w="2631" w:type="pct"/>
            <w:gridSpan w:val="3"/>
            <w:shd w:val="clear" w:color="auto" w:fill="auto"/>
          </w:tcPr>
          <w:p w14:paraId="72157543"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T2</w:t>
            </w:r>
          </w:p>
        </w:tc>
        <w:tc>
          <w:tcPr>
            <w:tcW w:w="572" w:type="pct"/>
            <w:shd w:val="clear" w:color="auto" w:fill="auto"/>
          </w:tcPr>
          <w:p w14:paraId="3C406D46"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97" w:type="pct"/>
            <w:shd w:val="clear" w:color="auto" w:fill="auto"/>
          </w:tcPr>
          <w:p w14:paraId="0EACD97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4E5F9D53" w14:textId="77777777" w:rsidTr="003A71DE">
        <w:trPr>
          <w:trHeight w:val="187"/>
          <w:jc w:val="center"/>
        </w:trPr>
        <w:tc>
          <w:tcPr>
            <w:tcW w:w="2631" w:type="pct"/>
            <w:gridSpan w:val="3"/>
            <w:shd w:val="clear" w:color="auto" w:fill="auto"/>
          </w:tcPr>
          <w:p w14:paraId="31DD654A"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T3</w:t>
            </w:r>
          </w:p>
        </w:tc>
        <w:tc>
          <w:tcPr>
            <w:tcW w:w="572" w:type="pct"/>
            <w:shd w:val="clear" w:color="auto" w:fill="auto"/>
          </w:tcPr>
          <w:p w14:paraId="1583974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97" w:type="pct"/>
            <w:shd w:val="clear" w:color="auto" w:fill="auto"/>
          </w:tcPr>
          <w:p w14:paraId="745079DA"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4.84</w:t>
            </w:r>
          </w:p>
        </w:tc>
      </w:tr>
      <w:tr w:rsidR="003A71DE" w:rsidRPr="007D0AFB" w14:paraId="5C856E52" w14:textId="77777777" w:rsidTr="003A71DE">
        <w:trPr>
          <w:trHeight w:val="187"/>
          <w:jc w:val="center"/>
        </w:trPr>
        <w:tc>
          <w:tcPr>
            <w:tcW w:w="2631" w:type="pct"/>
            <w:gridSpan w:val="3"/>
            <w:shd w:val="clear" w:color="auto" w:fill="auto"/>
          </w:tcPr>
          <w:p w14:paraId="4523602E"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T4</w:t>
            </w:r>
          </w:p>
        </w:tc>
        <w:tc>
          <w:tcPr>
            <w:tcW w:w="572" w:type="pct"/>
            <w:shd w:val="clear" w:color="auto" w:fill="auto"/>
          </w:tcPr>
          <w:p w14:paraId="792D952E"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97" w:type="pct"/>
            <w:shd w:val="clear" w:color="auto" w:fill="auto"/>
          </w:tcPr>
          <w:p w14:paraId="64C1090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0.2</w:t>
            </w:r>
          </w:p>
        </w:tc>
      </w:tr>
      <w:tr w:rsidR="003A71DE" w:rsidRPr="007D0AFB" w14:paraId="3ADA183A" w14:textId="77777777" w:rsidTr="003A71DE">
        <w:trPr>
          <w:trHeight w:val="187"/>
          <w:jc w:val="center"/>
        </w:trPr>
        <w:tc>
          <w:tcPr>
            <w:tcW w:w="2631" w:type="pct"/>
            <w:gridSpan w:val="3"/>
            <w:shd w:val="clear" w:color="auto" w:fill="auto"/>
          </w:tcPr>
          <w:p w14:paraId="05E632E2"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T5</w:t>
            </w:r>
          </w:p>
        </w:tc>
        <w:tc>
          <w:tcPr>
            <w:tcW w:w="572" w:type="pct"/>
            <w:shd w:val="clear" w:color="auto" w:fill="auto"/>
          </w:tcPr>
          <w:p w14:paraId="6B3ABB93"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97" w:type="pct"/>
            <w:shd w:val="clear" w:color="auto" w:fill="auto"/>
          </w:tcPr>
          <w:p w14:paraId="473AEE70"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7.84</w:t>
            </w:r>
          </w:p>
        </w:tc>
      </w:tr>
      <w:tr w:rsidR="003A71DE" w:rsidRPr="007D0AFB" w14:paraId="4E1D4870" w14:textId="77777777" w:rsidTr="003A71DE">
        <w:trPr>
          <w:trHeight w:val="187"/>
          <w:jc w:val="center"/>
        </w:trPr>
        <w:tc>
          <w:tcPr>
            <w:tcW w:w="2631" w:type="pct"/>
            <w:gridSpan w:val="3"/>
            <w:shd w:val="clear" w:color="auto" w:fill="auto"/>
          </w:tcPr>
          <w:p w14:paraId="5BE0453B" w14:textId="77777777" w:rsidR="003A71DE" w:rsidRPr="007D0AFB" w:rsidRDefault="003A71DE" w:rsidP="003A71DE">
            <w:pPr>
              <w:keepNext/>
              <w:keepLines/>
              <w:spacing w:after="0"/>
              <w:rPr>
                <w:rFonts w:ascii="Arial" w:eastAsia="SimSun" w:hAnsi="Arial" w:cs="Arial"/>
                <w:noProof/>
                <w:sz w:val="18"/>
                <w:szCs w:val="18"/>
              </w:rPr>
            </w:pPr>
            <w:r w:rsidRPr="007D0AFB">
              <w:rPr>
                <w:rFonts w:ascii="Arial" w:eastAsia="SimSun" w:hAnsi="Arial" w:cs="Arial"/>
                <w:noProof/>
                <w:sz w:val="18"/>
                <w:szCs w:val="18"/>
              </w:rPr>
              <w:t>D1</w:t>
            </w:r>
          </w:p>
        </w:tc>
        <w:tc>
          <w:tcPr>
            <w:tcW w:w="572" w:type="pct"/>
            <w:shd w:val="clear" w:color="auto" w:fill="auto"/>
          </w:tcPr>
          <w:p w14:paraId="45CCD24F"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s</w:t>
            </w:r>
          </w:p>
        </w:tc>
        <w:tc>
          <w:tcPr>
            <w:tcW w:w="1797" w:type="pct"/>
            <w:shd w:val="clear" w:color="auto" w:fill="auto"/>
          </w:tcPr>
          <w:p w14:paraId="5DACED6D" w14:textId="77777777" w:rsidR="003A71DE" w:rsidRPr="007D0AFB" w:rsidRDefault="003A71DE" w:rsidP="003A71DE">
            <w:pPr>
              <w:keepNext/>
              <w:keepLines/>
              <w:spacing w:after="0"/>
              <w:jc w:val="center"/>
              <w:rPr>
                <w:rFonts w:ascii="Arial" w:eastAsia="SimSun" w:hAnsi="Arial"/>
                <w:noProof/>
                <w:sz w:val="18"/>
              </w:rPr>
            </w:pPr>
            <w:r w:rsidRPr="007D0AFB">
              <w:rPr>
                <w:rFonts w:ascii="Arial" w:eastAsia="SimSun" w:hAnsi="Arial"/>
                <w:noProof/>
                <w:sz w:val="18"/>
              </w:rPr>
              <w:t>7.8</w:t>
            </w:r>
          </w:p>
        </w:tc>
      </w:tr>
      <w:tr w:rsidR="003A71DE" w:rsidRPr="007D0AFB" w14:paraId="31A725CA" w14:textId="77777777" w:rsidTr="003A71DE">
        <w:trPr>
          <w:trHeight w:val="390"/>
          <w:jc w:val="center"/>
        </w:trPr>
        <w:tc>
          <w:tcPr>
            <w:tcW w:w="5000" w:type="pct"/>
            <w:gridSpan w:val="5"/>
          </w:tcPr>
          <w:p w14:paraId="5470C25C" w14:textId="77777777" w:rsidR="003A71DE" w:rsidRPr="007D0AFB" w:rsidRDefault="003A71DE" w:rsidP="00A40F90">
            <w:pPr>
              <w:pStyle w:val="TAN"/>
              <w:rPr>
                <w:rFonts w:eastAsia="SimSun"/>
              </w:rPr>
            </w:pPr>
            <w:r w:rsidRPr="007D0AFB">
              <w:rPr>
                <w:rFonts w:eastAsia="SimSun"/>
                <w:noProof/>
              </w:rPr>
              <w:t>Note 1:</w:t>
            </w:r>
            <w:r w:rsidRPr="007D0AFB">
              <w:rPr>
                <w:rFonts w:eastAsia="SimSun"/>
                <w:lang w:eastAsia="zh-CN"/>
              </w:rPr>
              <w:tab/>
            </w:r>
            <w:r w:rsidRPr="007D0AFB">
              <w:rPr>
                <w:rFonts w:eastAsia="SimSun"/>
              </w:rPr>
              <w:t>All configurations are assigned to the IAB-MT prior to the start of time period T1.</w:t>
            </w:r>
          </w:p>
          <w:p w14:paraId="04DD1CD1" w14:textId="77777777" w:rsidR="003A71DE" w:rsidRPr="007D0AFB" w:rsidRDefault="003A71DE" w:rsidP="00A40F90">
            <w:pPr>
              <w:pStyle w:val="TAN"/>
              <w:rPr>
                <w:rFonts w:eastAsia="SimSun"/>
              </w:rPr>
            </w:pPr>
            <w:r w:rsidRPr="007D0AFB">
              <w:rPr>
                <w:rFonts w:eastAsia="SimSun"/>
              </w:rPr>
              <w:t>Note 2:</w:t>
            </w:r>
            <w:r w:rsidRPr="007D0AFB">
              <w:rPr>
                <w:rFonts w:eastAsia="SimSun"/>
              </w:rPr>
              <w:tab/>
              <w:t>IAB-MT-specific PDCCH is not transmitted after T1 starts.</w:t>
            </w:r>
          </w:p>
        </w:tc>
      </w:tr>
    </w:tbl>
    <w:p w14:paraId="74618222" w14:textId="77777777" w:rsidR="003A71DE" w:rsidRPr="007D0AFB" w:rsidRDefault="003A71DE" w:rsidP="003A71DE">
      <w:pPr>
        <w:rPr>
          <w:rFonts w:eastAsia="SimSun"/>
        </w:rPr>
      </w:pPr>
    </w:p>
    <w:p w14:paraId="79BA1B54" w14:textId="77777777" w:rsidR="003A71DE" w:rsidRPr="007D0AFB" w:rsidRDefault="003A71DE" w:rsidP="00746C0D">
      <w:pPr>
        <w:pStyle w:val="TH"/>
        <w:rPr>
          <w:rFonts w:eastAsia="SimSun"/>
        </w:rPr>
      </w:pPr>
      <w:r w:rsidRPr="007D0AFB">
        <w:rPr>
          <w:rFonts w:eastAsia="SimSun"/>
        </w:rPr>
        <w:lastRenderedPageBreak/>
        <w:t>Table G.2.3.1.4.1-3: OTA related cell specific test parameters for FR2 (Cell 1) for in-sync radio link monitoring tests in non-DRX mode</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993"/>
        <w:gridCol w:w="762"/>
        <w:gridCol w:w="689"/>
        <w:gridCol w:w="9"/>
        <w:gridCol w:w="681"/>
        <w:gridCol w:w="17"/>
        <w:gridCol w:w="672"/>
        <w:gridCol w:w="26"/>
        <w:gridCol w:w="664"/>
        <w:gridCol w:w="34"/>
        <w:gridCol w:w="656"/>
        <w:gridCol w:w="42"/>
        <w:gridCol w:w="647"/>
        <w:gridCol w:w="34"/>
        <w:gridCol w:w="656"/>
        <w:gridCol w:w="25"/>
        <w:gridCol w:w="664"/>
        <w:gridCol w:w="17"/>
        <w:gridCol w:w="673"/>
        <w:gridCol w:w="8"/>
        <w:gridCol w:w="682"/>
      </w:tblGrid>
      <w:tr w:rsidR="003A71DE" w14:paraId="2EB9B32A" w14:textId="77777777" w:rsidTr="003A71DE">
        <w:trPr>
          <w:cantSplit/>
          <w:trHeight w:val="207"/>
          <w:jc w:val="center"/>
        </w:trPr>
        <w:tc>
          <w:tcPr>
            <w:tcW w:w="2122" w:type="dxa"/>
            <w:gridSpan w:val="2"/>
            <w:tcBorders>
              <w:top w:val="single" w:sz="4" w:space="0" w:color="auto"/>
              <w:left w:val="single" w:sz="4" w:space="0" w:color="auto"/>
              <w:bottom w:val="nil"/>
              <w:right w:val="single" w:sz="4" w:space="0" w:color="auto"/>
            </w:tcBorders>
            <w:hideMark/>
          </w:tcPr>
          <w:p w14:paraId="73B76E55" w14:textId="77777777" w:rsidR="003A71DE" w:rsidRDefault="003A71DE" w:rsidP="00A40F90">
            <w:pPr>
              <w:pStyle w:val="TAH"/>
            </w:pPr>
            <w:r>
              <w:t>Parameter</w:t>
            </w:r>
          </w:p>
        </w:tc>
        <w:tc>
          <w:tcPr>
            <w:tcW w:w="762" w:type="dxa"/>
            <w:tcBorders>
              <w:top w:val="single" w:sz="4" w:space="0" w:color="auto"/>
              <w:left w:val="single" w:sz="4" w:space="0" w:color="auto"/>
              <w:bottom w:val="nil"/>
              <w:right w:val="single" w:sz="4" w:space="0" w:color="auto"/>
            </w:tcBorders>
            <w:hideMark/>
          </w:tcPr>
          <w:p w14:paraId="5F10A6CB" w14:textId="77777777" w:rsidR="003A71DE" w:rsidRDefault="003A71DE" w:rsidP="00A40F90">
            <w:pPr>
              <w:pStyle w:val="TAH"/>
            </w:pPr>
            <w:r>
              <w:t>Unit</w:t>
            </w:r>
          </w:p>
        </w:tc>
        <w:tc>
          <w:tcPr>
            <w:tcW w:w="6896" w:type="dxa"/>
            <w:gridSpan w:val="19"/>
            <w:tcBorders>
              <w:top w:val="single" w:sz="4" w:space="0" w:color="auto"/>
              <w:left w:val="single" w:sz="4" w:space="0" w:color="auto"/>
              <w:bottom w:val="single" w:sz="4" w:space="0" w:color="auto"/>
              <w:right w:val="single" w:sz="4" w:space="0" w:color="auto"/>
            </w:tcBorders>
            <w:hideMark/>
          </w:tcPr>
          <w:p w14:paraId="1CDB9396" w14:textId="77777777" w:rsidR="003A71DE" w:rsidRDefault="003A71DE" w:rsidP="00A40F90">
            <w:pPr>
              <w:pStyle w:val="TAH"/>
            </w:pPr>
            <w:r>
              <w:t>Test 1</w:t>
            </w:r>
          </w:p>
        </w:tc>
      </w:tr>
      <w:tr w:rsidR="003A71DE" w14:paraId="16E42887" w14:textId="77777777" w:rsidTr="003A71DE">
        <w:trPr>
          <w:cantSplit/>
          <w:trHeight w:val="207"/>
          <w:jc w:val="center"/>
        </w:trPr>
        <w:tc>
          <w:tcPr>
            <w:tcW w:w="2122" w:type="dxa"/>
            <w:gridSpan w:val="2"/>
            <w:tcBorders>
              <w:top w:val="nil"/>
              <w:left w:val="single" w:sz="4" w:space="0" w:color="auto"/>
              <w:bottom w:val="single" w:sz="4" w:space="0" w:color="auto"/>
              <w:right w:val="single" w:sz="4" w:space="0" w:color="auto"/>
            </w:tcBorders>
          </w:tcPr>
          <w:p w14:paraId="251B2BA6" w14:textId="77777777" w:rsidR="003A71DE" w:rsidRDefault="003A71DE" w:rsidP="00A40F90">
            <w:pPr>
              <w:pStyle w:val="TAH"/>
            </w:pPr>
          </w:p>
        </w:tc>
        <w:tc>
          <w:tcPr>
            <w:tcW w:w="762" w:type="dxa"/>
            <w:tcBorders>
              <w:top w:val="nil"/>
              <w:left w:val="single" w:sz="4" w:space="0" w:color="auto"/>
              <w:bottom w:val="single" w:sz="4" w:space="0" w:color="auto"/>
              <w:right w:val="single" w:sz="4" w:space="0" w:color="auto"/>
            </w:tcBorders>
          </w:tcPr>
          <w:p w14:paraId="1E664D88" w14:textId="77777777" w:rsidR="003A71DE" w:rsidRDefault="003A71DE" w:rsidP="00A40F90">
            <w:pPr>
              <w:pStyle w:val="TAH"/>
            </w:pPr>
          </w:p>
        </w:tc>
        <w:tc>
          <w:tcPr>
            <w:tcW w:w="689" w:type="dxa"/>
            <w:tcBorders>
              <w:top w:val="single" w:sz="4" w:space="0" w:color="auto"/>
              <w:left w:val="single" w:sz="4" w:space="0" w:color="auto"/>
              <w:bottom w:val="single" w:sz="4" w:space="0" w:color="auto"/>
              <w:right w:val="single" w:sz="4" w:space="0" w:color="auto"/>
            </w:tcBorders>
            <w:hideMark/>
          </w:tcPr>
          <w:p w14:paraId="55B92628" w14:textId="77777777" w:rsidR="003A71DE" w:rsidRDefault="003A71DE" w:rsidP="00A40F90">
            <w:pPr>
              <w:pStyle w:val="TAH"/>
            </w:pPr>
            <w:r>
              <w:t>T1</w:t>
            </w:r>
          </w:p>
        </w:tc>
        <w:tc>
          <w:tcPr>
            <w:tcW w:w="690" w:type="dxa"/>
            <w:gridSpan w:val="2"/>
            <w:tcBorders>
              <w:top w:val="single" w:sz="4" w:space="0" w:color="auto"/>
              <w:left w:val="single" w:sz="4" w:space="0" w:color="auto"/>
              <w:bottom w:val="single" w:sz="4" w:space="0" w:color="auto"/>
              <w:right w:val="single" w:sz="4" w:space="0" w:color="auto"/>
            </w:tcBorders>
            <w:hideMark/>
          </w:tcPr>
          <w:p w14:paraId="3AF9BEDF" w14:textId="77777777" w:rsidR="003A71DE" w:rsidRDefault="003A71DE" w:rsidP="00A40F90">
            <w:pPr>
              <w:pStyle w:val="TAH"/>
            </w:pPr>
            <w:r>
              <w:t>T2</w:t>
            </w:r>
          </w:p>
        </w:tc>
        <w:tc>
          <w:tcPr>
            <w:tcW w:w="689" w:type="dxa"/>
            <w:gridSpan w:val="2"/>
            <w:tcBorders>
              <w:top w:val="single" w:sz="4" w:space="0" w:color="auto"/>
              <w:left w:val="single" w:sz="4" w:space="0" w:color="auto"/>
              <w:bottom w:val="single" w:sz="4" w:space="0" w:color="auto"/>
              <w:right w:val="single" w:sz="4" w:space="0" w:color="auto"/>
            </w:tcBorders>
            <w:hideMark/>
          </w:tcPr>
          <w:p w14:paraId="1A1C51E6" w14:textId="77777777" w:rsidR="003A71DE" w:rsidRDefault="003A71DE" w:rsidP="00A40F90">
            <w:pPr>
              <w:pStyle w:val="TAH"/>
            </w:pPr>
            <w:r>
              <w:t>T3</w:t>
            </w:r>
          </w:p>
        </w:tc>
        <w:tc>
          <w:tcPr>
            <w:tcW w:w="690" w:type="dxa"/>
            <w:gridSpan w:val="2"/>
            <w:tcBorders>
              <w:top w:val="single" w:sz="4" w:space="0" w:color="auto"/>
              <w:left w:val="single" w:sz="4" w:space="0" w:color="auto"/>
              <w:bottom w:val="single" w:sz="4" w:space="0" w:color="auto"/>
              <w:right w:val="single" w:sz="4" w:space="0" w:color="auto"/>
            </w:tcBorders>
            <w:hideMark/>
          </w:tcPr>
          <w:p w14:paraId="4B7E92B6" w14:textId="77777777" w:rsidR="003A71DE" w:rsidRDefault="003A71DE" w:rsidP="00A40F90">
            <w:pPr>
              <w:pStyle w:val="TAH"/>
            </w:pPr>
            <w:r>
              <w:t>T4</w:t>
            </w:r>
          </w:p>
        </w:tc>
        <w:tc>
          <w:tcPr>
            <w:tcW w:w="690" w:type="dxa"/>
            <w:gridSpan w:val="2"/>
            <w:tcBorders>
              <w:top w:val="single" w:sz="4" w:space="0" w:color="auto"/>
              <w:left w:val="single" w:sz="4" w:space="0" w:color="auto"/>
              <w:bottom w:val="single" w:sz="4" w:space="0" w:color="auto"/>
              <w:right w:val="single" w:sz="4" w:space="0" w:color="auto"/>
            </w:tcBorders>
            <w:hideMark/>
          </w:tcPr>
          <w:p w14:paraId="51CF25C2" w14:textId="77777777" w:rsidR="003A71DE" w:rsidRDefault="003A71DE" w:rsidP="00A40F90">
            <w:pPr>
              <w:pStyle w:val="TAH"/>
            </w:pPr>
            <w:r>
              <w:t>T5</w:t>
            </w:r>
          </w:p>
        </w:tc>
        <w:tc>
          <w:tcPr>
            <w:tcW w:w="689" w:type="dxa"/>
            <w:gridSpan w:val="2"/>
            <w:tcBorders>
              <w:top w:val="single" w:sz="4" w:space="0" w:color="auto"/>
              <w:left w:val="single" w:sz="4" w:space="0" w:color="auto"/>
              <w:bottom w:val="single" w:sz="4" w:space="0" w:color="auto"/>
              <w:right w:val="single" w:sz="4" w:space="0" w:color="auto"/>
            </w:tcBorders>
            <w:hideMark/>
          </w:tcPr>
          <w:p w14:paraId="12E874EC" w14:textId="77777777" w:rsidR="003A71DE" w:rsidRDefault="003A71DE" w:rsidP="00A40F90">
            <w:pPr>
              <w:pStyle w:val="TAH"/>
            </w:pPr>
            <w:r>
              <w:t>T1</w:t>
            </w:r>
          </w:p>
        </w:tc>
        <w:tc>
          <w:tcPr>
            <w:tcW w:w="690" w:type="dxa"/>
            <w:gridSpan w:val="2"/>
            <w:tcBorders>
              <w:top w:val="single" w:sz="4" w:space="0" w:color="auto"/>
              <w:left w:val="single" w:sz="4" w:space="0" w:color="auto"/>
              <w:bottom w:val="single" w:sz="4" w:space="0" w:color="auto"/>
              <w:right w:val="single" w:sz="4" w:space="0" w:color="auto"/>
            </w:tcBorders>
            <w:hideMark/>
          </w:tcPr>
          <w:p w14:paraId="7ADA355B" w14:textId="77777777" w:rsidR="003A71DE" w:rsidRDefault="003A71DE" w:rsidP="00A40F90">
            <w:pPr>
              <w:pStyle w:val="TAH"/>
            </w:pPr>
            <w:r>
              <w:t>T2</w:t>
            </w:r>
          </w:p>
        </w:tc>
        <w:tc>
          <w:tcPr>
            <w:tcW w:w="689" w:type="dxa"/>
            <w:gridSpan w:val="2"/>
            <w:tcBorders>
              <w:top w:val="single" w:sz="4" w:space="0" w:color="auto"/>
              <w:left w:val="single" w:sz="4" w:space="0" w:color="auto"/>
              <w:bottom w:val="single" w:sz="4" w:space="0" w:color="auto"/>
              <w:right w:val="single" w:sz="4" w:space="0" w:color="auto"/>
            </w:tcBorders>
            <w:hideMark/>
          </w:tcPr>
          <w:p w14:paraId="203DEA08" w14:textId="77777777" w:rsidR="003A71DE" w:rsidRDefault="003A71DE" w:rsidP="00A40F90">
            <w:pPr>
              <w:pStyle w:val="TAH"/>
            </w:pPr>
            <w:r>
              <w:t>T3</w:t>
            </w:r>
          </w:p>
        </w:tc>
        <w:tc>
          <w:tcPr>
            <w:tcW w:w="690" w:type="dxa"/>
            <w:gridSpan w:val="2"/>
            <w:tcBorders>
              <w:top w:val="single" w:sz="4" w:space="0" w:color="auto"/>
              <w:left w:val="single" w:sz="4" w:space="0" w:color="auto"/>
              <w:bottom w:val="single" w:sz="4" w:space="0" w:color="auto"/>
              <w:right w:val="single" w:sz="4" w:space="0" w:color="auto"/>
            </w:tcBorders>
            <w:hideMark/>
          </w:tcPr>
          <w:p w14:paraId="0248060F" w14:textId="77777777" w:rsidR="003A71DE" w:rsidRDefault="003A71DE" w:rsidP="00A40F90">
            <w:pPr>
              <w:pStyle w:val="TAH"/>
            </w:pPr>
            <w:r>
              <w:t>T4</w:t>
            </w:r>
          </w:p>
        </w:tc>
        <w:tc>
          <w:tcPr>
            <w:tcW w:w="690" w:type="dxa"/>
            <w:gridSpan w:val="2"/>
            <w:tcBorders>
              <w:top w:val="single" w:sz="4" w:space="0" w:color="auto"/>
              <w:left w:val="single" w:sz="4" w:space="0" w:color="auto"/>
              <w:bottom w:val="single" w:sz="4" w:space="0" w:color="auto"/>
              <w:right w:val="single" w:sz="4" w:space="0" w:color="auto"/>
            </w:tcBorders>
            <w:hideMark/>
          </w:tcPr>
          <w:p w14:paraId="201D1610" w14:textId="77777777" w:rsidR="003A71DE" w:rsidRDefault="003A71DE" w:rsidP="00A40F90">
            <w:pPr>
              <w:pStyle w:val="TAH"/>
            </w:pPr>
            <w:r>
              <w:t>T5</w:t>
            </w:r>
          </w:p>
        </w:tc>
      </w:tr>
      <w:tr w:rsidR="003A71DE" w14:paraId="7D2FC53A" w14:textId="77777777" w:rsidTr="003A71DE">
        <w:trPr>
          <w:cantSplit/>
          <w:trHeight w:val="199"/>
          <w:jc w:val="center"/>
        </w:trPr>
        <w:tc>
          <w:tcPr>
            <w:tcW w:w="2122" w:type="dxa"/>
            <w:gridSpan w:val="2"/>
            <w:tcBorders>
              <w:top w:val="single" w:sz="4" w:space="0" w:color="auto"/>
              <w:left w:val="single" w:sz="4" w:space="0" w:color="auto"/>
              <w:bottom w:val="nil"/>
              <w:right w:val="single" w:sz="4" w:space="0" w:color="auto"/>
            </w:tcBorders>
            <w:hideMark/>
          </w:tcPr>
          <w:p w14:paraId="49F37CD0" w14:textId="77777777" w:rsidR="003A71DE" w:rsidRDefault="003A71DE" w:rsidP="003A71DE">
            <w:pPr>
              <w:keepNext/>
              <w:keepLines/>
              <w:spacing w:after="0"/>
              <w:rPr>
                <w:rFonts w:ascii="Arial" w:eastAsia="?? ??" w:hAnsi="Arial"/>
                <w:sz w:val="18"/>
              </w:rPr>
            </w:pPr>
            <w:r>
              <w:rPr>
                <w:rFonts w:ascii="Arial" w:hAnsi="Arial"/>
                <w:sz w:val="18"/>
              </w:rPr>
              <w:t>AoA setup</w:t>
            </w:r>
          </w:p>
        </w:tc>
        <w:tc>
          <w:tcPr>
            <w:tcW w:w="762" w:type="dxa"/>
            <w:tcBorders>
              <w:top w:val="single" w:sz="4" w:space="0" w:color="auto"/>
              <w:left w:val="single" w:sz="4" w:space="0" w:color="auto"/>
              <w:bottom w:val="nil"/>
              <w:right w:val="single" w:sz="4" w:space="0" w:color="auto"/>
            </w:tcBorders>
          </w:tcPr>
          <w:p w14:paraId="1D081321" w14:textId="77777777" w:rsidR="003A71DE" w:rsidRDefault="003A71DE" w:rsidP="003A71DE">
            <w:pPr>
              <w:keepNext/>
              <w:keepLines/>
              <w:spacing w:after="0"/>
              <w:jc w:val="center"/>
              <w:rPr>
                <w:rFonts w:ascii="Arial" w:hAnsi="Arial"/>
                <w:sz w:val="18"/>
              </w:rPr>
            </w:pPr>
          </w:p>
        </w:tc>
        <w:tc>
          <w:tcPr>
            <w:tcW w:w="6896" w:type="dxa"/>
            <w:gridSpan w:val="19"/>
            <w:tcBorders>
              <w:top w:val="single" w:sz="4" w:space="0" w:color="auto"/>
              <w:left w:val="single" w:sz="4" w:space="0" w:color="auto"/>
              <w:bottom w:val="single" w:sz="4" w:space="0" w:color="auto"/>
              <w:right w:val="single" w:sz="4" w:space="0" w:color="auto"/>
            </w:tcBorders>
            <w:vAlign w:val="center"/>
            <w:hideMark/>
          </w:tcPr>
          <w:p w14:paraId="59D28B1D" w14:textId="77777777" w:rsidR="003A71DE" w:rsidRDefault="003A71DE" w:rsidP="003A71DE">
            <w:pPr>
              <w:keepNext/>
              <w:keepLines/>
              <w:spacing w:after="0"/>
              <w:jc w:val="center"/>
              <w:rPr>
                <w:rFonts w:ascii="Arial" w:hAnsi="Arial"/>
                <w:sz w:val="18"/>
              </w:rPr>
            </w:pPr>
            <w:r>
              <w:rPr>
                <w:rFonts w:ascii="Arial" w:hAnsi="Arial"/>
                <w:sz w:val="18"/>
              </w:rPr>
              <w:t>Setup 2 as specified in clause G.1.8.2</w:t>
            </w:r>
          </w:p>
        </w:tc>
      </w:tr>
      <w:tr w:rsidR="003A71DE" w14:paraId="2D2D3D4A" w14:textId="77777777" w:rsidTr="003A71DE">
        <w:trPr>
          <w:cantSplit/>
          <w:trHeight w:val="199"/>
          <w:jc w:val="center"/>
        </w:trPr>
        <w:tc>
          <w:tcPr>
            <w:tcW w:w="2122" w:type="dxa"/>
            <w:gridSpan w:val="2"/>
            <w:tcBorders>
              <w:top w:val="nil"/>
              <w:left w:val="single" w:sz="4" w:space="0" w:color="auto"/>
              <w:bottom w:val="single" w:sz="4" w:space="0" w:color="auto"/>
              <w:right w:val="single" w:sz="4" w:space="0" w:color="auto"/>
            </w:tcBorders>
          </w:tcPr>
          <w:p w14:paraId="2CAE3F47" w14:textId="77777777" w:rsidR="003A71DE" w:rsidRDefault="003A71DE" w:rsidP="003A71DE">
            <w:pPr>
              <w:keepNext/>
              <w:keepLines/>
              <w:spacing w:after="0"/>
              <w:rPr>
                <w:rFonts w:ascii="Arial" w:hAnsi="Arial"/>
                <w:sz w:val="18"/>
              </w:rPr>
            </w:pPr>
          </w:p>
        </w:tc>
        <w:tc>
          <w:tcPr>
            <w:tcW w:w="762" w:type="dxa"/>
            <w:tcBorders>
              <w:top w:val="nil"/>
              <w:left w:val="single" w:sz="4" w:space="0" w:color="auto"/>
              <w:bottom w:val="single" w:sz="4" w:space="0" w:color="auto"/>
              <w:right w:val="single" w:sz="4" w:space="0" w:color="auto"/>
            </w:tcBorders>
          </w:tcPr>
          <w:p w14:paraId="33BE4E5A" w14:textId="77777777" w:rsidR="003A71DE" w:rsidRDefault="003A71DE" w:rsidP="003A71DE">
            <w:pPr>
              <w:keepNext/>
              <w:keepLines/>
              <w:spacing w:after="0"/>
              <w:jc w:val="center"/>
              <w:rPr>
                <w:rFonts w:ascii="Arial" w:hAnsi="Arial"/>
                <w:sz w:val="18"/>
              </w:rPr>
            </w:pPr>
          </w:p>
        </w:tc>
        <w:tc>
          <w:tcPr>
            <w:tcW w:w="3490" w:type="dxa"/>
            <w:gridSpan w:val="10"/>
            <w:tcBorders>
              <w:top w:val="single" w:sz="4" w:space="0" w:color="auto"/>
              <w:left w:val="single" w:sz="4" w:space="0" w:color="auto"/>
              <w:bottom w:val="single" w:sz="4" w:space="0" w:color="auto"/>
              <w:right w:val="single" w:sz="4" w:space="0" w:color="auto"/>
            </w:tcBorders>
            <w:vAlign w:val="center"/>
            <w:hideMark/>
          </w:tcPr>
          <w:p w14:paraId="26D09815" w14:textId="77777777" w:rsidR="003A71DE" w:rsidRDefault="003A71DE" w:rsidP="003A71DE">
            <w:pPr>
              <w:keepNext/>
              <w:keepLines/>
              <w:spacing w:after="0"/>
              <w:jc w:val="center"/>
              <w:rPr>
                <w:rFonts w:ascii="Arial" w:hAnsi="Arial"/>
                <w:b/>
                <w:sz w:val="18"/>
              </w:rPr>
            </w:pPr>
            <w:r>
              <w:rPr>
                <w:rFonts w:ascii="Arial" w:hAnsi="Arial"/>
                <w:b/>
                <w:sz w:val="18"/>
              </w:rPr>
              <w:t>AoA1</w:t>
            </w:r>
          </w:p>
        </w:tc>
        <w:tc>
          <w:tcPr>
            <w:tcW w:w="3406" w:type="dxa"/>
            <w:gridSpan w:val="9"/>
            <w:tcBorders>
              <w:top w:val="single" w:sz="4" w:space="0" w:color="auto"/>
              <w:left w:val="single" w:sz="4" w:space="0" w:color="auto"/>
              <w:bottom w:val="single" w:sz="4" w:space="0" w:color="auto"/>
              <w:right w:val="single" w:sz="4" w:space="0" w:color="auto"/>
            </w:tcBorders>
            <w:vAlign w:val="center"/>
            <w:hideMark/>
          </w:tcPr>
          <w:p w14:paraId="2B6718C0" w14:textId="77777777" w:rsidR="003A71DE" w:rsidRDefault="003A71DE" w:rsidP="003A71DE">
            <w:pPr>
              <w:keepNext/>
              <w:keepLines/>
              <w:spacing w:after="0"/>
              <w:jc w:val="center"/>
              <w:rPr>
                <w:rFonts w:ascii="Arial" w:hAnsi="Arial"/>
                <w:b/>
                <w:sz w:val="18"/>
              </w:rPr>
            </w:pPr>
            <w:r>
              <w:rPr>
                <w:rFonts w:ascii="Arial" w:hAnsi="Arial"/>
                <w:b/>
                <w:sz w:val="18"/>
              </w:rPr>
              <w:t>AoA2</w:t>
            </w:r>
          </w:p>
        </w:tc>
      </w:tr>
      <w:tr w:rsidR="003A71DE" w14:paraId="181533A4"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3B951AEC"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PDCCH DMRS to SSS</w:t>
            </w:r>
          </w:p>
        </w:tc>
        <w:tc>
          <w:tcPr>
            <w:tcW w:w="762" w:type="dxa"/>
            <w:tcBorders>
              <w:top w:val="single" w:sz="4" w:space="0" w:color="auto"/>
              <w:left w:val="single" w:sz="4" w:space="0" w:color="auto"/>
              <w:bottom w:val="single" w:sz="4" w:space="0" w:color="auto"/>
              <w:right w:val="single" w:sz="4" w:space="0" w:color="auto"/>
            </w:tcBorders>
            <w:hideMark/>
          </w:tcPr>
          <w:p w14:paraId="62369DCF"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tcBorders>
              <w:top w:val="single" w:sz="4" w:space="0" w:color="auto"/>
              <w:left w:val="single" w:sz="4" w:space="0" w:color="auto"/>
              <w:bottom w:val="single" w:sz="4" w:space="0" w:color="auto"/>
              <w:right w:val="single" w:sz="4" w:space="0" w:color="auto"/>
            </w:tcBorders>
            <w:vAlign w:val="center"/>
            <w:hideMark/>
          </w:tcPr>
          <w:p w14:paraId="6450F260" w14:textId="77777777" w:rsidR="003A71DE" w:rsidRDefault="003A71DE" w:rsidP="003A71DE">
            <w:pPr>
              <w:keepNext/>
              <w:keepLines/>
              <w:spacing w:after="0"/>
              <w:jc w:val="center"/>
              <w:rPr>
                <w:rFonts w:ascii="Arial" w:hAnsi="Arial"/>
                <w:sz w:val="18"/>
              </w:rPr>
            </w:pPr>
            <w:r>
              <w:rPr>
                <w:rFonts w:ascii="Arial" w:hAnsi="Arial"/>
                <w:sz w:val="18"/>
              </w:rPr>
              <w:t>4</w:t>
            </w:r>
          </w:p>
        </w:tc>
        <w:tc>
          <w:tcPr>
            <w:tcW w:w="3406" w:type="dxa"/>
            <w:gridSpan w:val="9"/>
            <w:vMerge w:val="restart"/>
            <w:tcBorders>
              <w:top w:val="single" w:sz="4" w:space="0" w:color="auto"/>
              <w:left w:val="single" w:sz="4" w:space="0" w:color="auto"/>
              <w:bottom w:val="single" w:sz="4" w:space="0" w:color="auto"/>
              <w:right w:val="single" w:sz="4" w:space="0" w:color="auto"/>
            </w:tcBorders>
            <w:vAlign w:val="center"/>
            <w:hideMark/>
          </w:tcPr>
          <w:p w14:paraId="106F4776" w14:textId="77777777" w:rsidR="003A71DE" w:rsidRDefault="003A71DE" w:rsidP="003A71DE">
            <w:pPr>
              <w:keepNext/>
              <w:keepLines/>
              <w:spacing w:after="0"/>
              <w:jc w:val="center"/>
              <w:rPr>
                <w:rFonts w:ascii="Arial" w:hAnsi="Arial"/>
                <w:sz w:val="18"/>
              </w:rPr>
            </w:pPr>
            <w:r>
              <w:rPr>
                <w:rFonts w:ascii="Arial" w:hAnsi="Arial"/>
                <w:sz w:val="18"/>
              </w:rPr>
              <w:t>Not sent</w:t>
            </w:r>
          </w:p>
        </w:tc>
      </w:tr>
      <w:tr w:rsidR="003A71DE" w14:paraId="235ABFE1" w14:textId="77777777" w:rsidTr="003A71DE">
        <w:trPr>
          <w:cantSplit/>
          <w:trHeight w:val="145"/>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006ACFC8"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PDCCH to PDCCH DMRS</w:t>
            </w:r>
          </w:p>
        </w:tc>
        <w:tc>
          <w:tcPr>
            <w:tcW w:w="762" w:type="dxa"/>
            <w:tcBorders>
              <w:top w:val="single" w:sz="4" w:space="0" w:color="auto"/>
              <w:left w:val="single" w:sz="4" w:space="0" w:color="auto"/>
              <w:bottom w:val="single" w:sz="4" w:space="0" w:color="auto"/>
              <w:right w:val="single" w:sz="4" w:space="0" w:color="auto"/>
            </w:tcBorders>
            <w:hideMark/>
          </w:tcPr>
          <w:p w14:paraId="1CB1DDC9"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val="restart"/>
            <w:tcBorders>
              <w:top w:val="single" w:sz="4" w:space="0" w:color="auto"/>
              <w:left w:val="single" w:sz="4" w:space="0" w:color="auto"/>
              <w:bottom w:val="single" w:sz="4" w:space="0" w:color="auto"/>
              <w:right w:val="single" w:sz="4" w:space="0" w:color="auto"/>
            </w:tcBorders>
            <w:vAlign w:val="center"/>
            <w:hideMark/>
          </w:tcPr>
          <w:p w14:paraId="6E962F5A" w14:textId="77777777" w:rsidR="003A71DE" w:rsidRDefault="003A71DE" w:rsidP="003A71DE">
            <w:pPr>
              <w:keepNext/>
              <w:keepLines/>
              <w:spacing w:after="0"/>
              <w:jc w:val="center"/>
              <w:rPr>
                <w:rFonts w:ascii="Arial" w:hAnsi="Arial"/>
                <w:sz w:val="18"/>
              </w:rPr>
            </w:pPr>
            <w:r>
              <w:rPr>
                <w:rFonts w:ascii="Arial" w:hAnsi="Arial"/>
                <w:sz w:val="18"/>
              </w:rPr>
              <w:t>0</w:t>
            </w: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12A3720B" w14:textId="77777777" w:rsidR="003A71DE" w:rsidRDefault="003A71DE" w:rsidP="003A71DE">
            <w:pPr>
              <w:spacing w:after="0"/>
              <w:rPr>
                <w:rFonts w:ascii="Arial" w:hAnsi="Arial"/>
                <w:sz w:val="18"/>
              </w:rPr>
            </w:pPr>
          </w:p>
        </w:tc>
      </w:tr>
      <w:tr w:rsidR="003A71DE" w14:paraId="3047A668"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6B7FD0D6"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PBCH DMRS to SSS</w:t>
            </w:r>
          </w:p>
        </w:tc>
        <w:tc>
          <w:tcPr>
            <w:tcW w:w="762" w:type="dxa"/>
            <w:tcBorders>
              <w:top w:val="single" w:sz="4" w:space="0" w:color="auto"/>
              <w:left w:val="single" w:sz="4" w:space="0" w:color="auto"/>
              <w:bottom w:val="single" w:sz="4" w:space="0" w:color="auto"/>
              <w:right w:val="single" w:sz="4" w:space="0" w:color="auto"/>
            </w:tcBorders>
            <w:hideMark/>
          </w:tcPr>
          <w:p w14:paraId="217B8121"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1A158B4F"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478E11A4" w14:textId="77777777" w:rsidR="003A71DE" w:rsidRDefault="003A71DE" w:rsidP="003A71DE">
            <w:pPr>
              <w:spacing w:after="0"/>
              <w:rPr>
                <w:rFonts w:ascii="Arial" w:hAnsi="Arial"/>
                <w:sz w:val="18"/>
              </w:rPr>
            </w:pPr>
          </w:p>
        </w:tc>
      </w:tr>
      <w:tr w:rsidR="003A71DE" w14:paraId="04B04F19"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47C7B7DA"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PBCH to PBCH DMRS</w:t>
            </w:r>
          </w:p>
        </w:tc>
        <w:tc>
          <w:tcPr>
            <w:tcW w:w="762" w:type="dxa"/>
            <w:tcBorders>
              <w:top w:val="single" w:sz="4" w:space="0" w:color="auto"/>
              <w:left w:val="single" w:sz="4" w:space="0" w:color="auto"/>
              <w:bottom w:val="single" w:sz="4" w:space="0" w:color="auto"/>
              <w:right w:val="single" w:sz="4" w:space="0" w:color="auto"/>
            </w:tcBorders>
            <w:hideMark/>
          </w:tcPr>
          <w:p w14:paraId="53E4F864"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1219F823"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09510819" w14:textId="77777777" w:rsidR="003A71DE" w:rsidRDefault="003A71DE" w:rsidP="003A71DE">
            <w:pPr>
              <w:spacing w:after="0"/>
              <w:rPr>
                <w:rFonts w:ascii="Arial" w:hAnsi="Arial"/>
                <w:sz w:val="18"/>
              </w:rPr>
            </w:pPr>
          </w:p>
        </w:tc>
      </w:tr>
      <w:tr w:rsidR="003A71DE" w14:paraId="4E34D2B5" w14:textId="77777777" w:rsidTr="003A71DE">
        <w:trPr>
          <w:cantSplit/>
          <w:trHeight w:val="145"/>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7AD72568"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PSS to SSS</w:t>
            </w:r>
          </w:p>
        </w:tc>
        <w:tc>
          <w:tcPr>
            <w:tcW w:w="762" w:type="dxa"/>
            <w:tcBorders>
              <w:top w:val="single" w:sz="4" w:space="0" w:color="auto"/>
              <w:left w:val="single" w:sz="4" w:space="0" w:color="auto"/>
              <w:bottom w:val="single" w:sz="4" w:space="0" w:color="auto"/>
              <w:right w:val="single" w:sz="4" w:space="0" w:color="auto"/>
            </w:tcBorders>
            <w:hideMark/>
          </w:tcPr>
          <w:p w14:paraId="2AC2F0E2"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139FC95F"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73FD0EFC" w14:textId="77777777" w:rsidR="003A71DE" w:rsidRDefault="003A71DE" w:rsidP="003A71DE">
            <w:pPr>
              <w:spacing w:after="0"/>
              <w:rPr>
                <w:rFonts w:ascii="Arial" w:hAnsi="Arial"/>
                <w:sz w:val="18"/>
              </w:rPr>
            </w:pPr>
          </w:p>
        </w:tc>
      </w:tr>
      <w:tr w:rsidR="003A71DE" w14:paraId="45C9B1CA"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5B8438A7"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 xml:space="preserve">EPRE ratio of PDSCH DMRS to SSS </w:t>
            </w:r>
          </w:p>
        </w:tc>
        <w:tc>
          <w:tcPr>
            <w:tcW w:w="762" w:type="dxa"/>
            <w:tcBorders>
              <w:top w:val="single" w:sz="4" w:space="0" w:color="auto"/>
              <w:left w:val="single" w:sz="4" w:space="0" w:color="auto"/>
              <w:bottom w:val="single" w:sz="4" w:space="0" w:color="auto"/>
              <w:right w:val="single" w:sz="4" w:space="0" w:color="auto"/>
            </w:tcBorders>
            <w:hideMark/>
          </w:tcPr>
          <w:p w14:paraId="7A7E42C5"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58D4732E"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6953900A" w14:textId="77777777" w:rsidR="003A71DE" w:rsidRDefault="003A71DE" w:rsidP="003A71DE">
            <w:pPr>
              <w:spacing w:after="0"/>
              <w:rPr>
                <w:rFonts w:ascii="Arial" w:hAnsi="Arial"/>
                <w:sz w:val="18"/>
              </w:rPr>
            </w:pPr>
          </w:p>
        </w:tc>
      </w:tr>
      <w:tr w:rsidR="003A71DE" w14:paraId="5F17B8A3"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65B66A46"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PDSCH to PDSCH DMRS</w:t>
            </w:r>
          </w:p>
        </w:tc>
        <w:tc>
          <w:tcPr>
            <w:tcW w:w="762" w:type="dxa"/>
            <w:tcBorders>
              <w:top w:val="single" w:sz="4" w:space="0" w:color="auto"/>
              <w:left w:val="single" w:sz="4" w:space="0" w:color="auto"/>
              <w:bottom w:val="single" w:sz="4" w:space="0" w:color="auto"/>
              <w:right w:val="single" w:sz="4" w:space="0" w:color="auto"/>
            </w:tcBorders>
            <w:hideMark/>
          </w:tcPr>
          <w:p w14:paraId="2217DBBE"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0855D979"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6084BB71" w14:textId="77777777" w:rsidR="003A71DE" w:rsidRDefault="003A71DE" w:rsidP="003A71DE">
            <w:pPr>
              <w:spacing w:after="0"/>
              <w:rPr>
                <w:rFonts w:ascii="Arial" w:hAnsi="Arial"/>
                <w:sz w:val="18"/>
              </w:rPr>
            </w:pPr>
          </w:p>
        </w:tc>
      </w:tr>
      <w:tr w:rsidR="003A71DE" w14:paraId="0658FFE4"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2C133635"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OCNG DMRS to SSS</w:t>
            </w:r>
          </w:p>
        </w:tc>
        <w:tc>
          <w:tcPr>
            <w:tcW w:w="762" w:type="dxa"/>
            <w:tcBorders>
              <w:top w:val="single" w:sz="4" w:space="0" w:color="auto"/>
              <w:left w:val="single" w:sz="4" w:space="0" w:color="auto"/>
              <w:bottom w:val="single" w:sz="4" w:space="0" w:color="auto"/>
              <w:right w:val="single" w:sz="4" w:space="0" w:color="auto"/>
            </w:tcBorders>
            <w:hideMark/>
          </w:tcPr>
          <w:p w14:paraId="781365CB"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1B351515"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5E7695AD" w14:textId="77777777" w:rsidR="003A71DE" w:rsidRDefault="003A71DE" w:rsidP="003A71DE">
            <w:pPr>
              <w:spacing w:after="0"/>
              <w:rPr>
                <w:rFonts w:ascii="Arial" w:hAnsi="Arial"/>
                <w:sz w:val="18"/>
              </w:rPr>
            </w:pPr>
          </w:p>
        </w:tc>
      </w:tr>
      <w:tr w:rsidR="003A71DE" w14:paraId="0A761DBA" w14:textId="77777777" w:rsidTr="003A71DE">
        <w:trPr>
          <w:cantSplit/>
          <w:trHeight w:val="136"/>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1F5D92D7" w14:textId="77777777" w:rsidR="003A71DE" w:rsidRDefault="003A71DE" w:rsidP="003A71DE">
            <w:pPr>
              <w:keepNext/>
              <w:keepLines/>
              <w:spacing w:after="0"/>
              <w:rPr>
                <w:rFonts w:ascii="Arial" w:hAnsi="Arial" w:cs="Arial"/>
                <w:sz w:val="18"/>
              </w:rPr>
            </w:pPr>
            <w:r>
              <w:rPr>
                <w:rFonts w:ascii="Arial" w:hAnsi="Arial" w:cs="Arial"/>
                <w:sz w:val="18"/>
                <w:szCs w:val="16"/>
                <w:lang w:eastAsia="ja-JP"/>
              </w:rPr>
              <w:t>EPRE ratio of OCNG to OCNG DMRS</w:t>
            </w:r>
          </w:p>
        </w:tc>
        <w:tc>
          <w:tcPr>
            <w:tcW w:w="762" w:type="dxa"/>
            <w:tcBorders>
              <w:top w:val="single" w:sz="4" w:space="0" w:color="auto"/>
              <w:left w:val="single" w:sz="4" w:space="0" w:color="auto"/>
              <w:bottom w:val="single" w:sz="4" w:space="0" w:color="auto"/>
              <w:right w:val="single" w:sz="4" w:space="0" w:color="auto"/>
            </w:tcBorders>
            <w:hideMark/>
          </w:tcPr>
          <w:p w14:paraId="63D700BE" w14:textId="77777777" w:rsidR="003A71DE" w:rsidRDefault="003A71DE" w:rsidP="003A71DE">
            <w:pPr>
              <w:keepNext/>
              <w:keepLines/>
              <w:spacing w:after="0"/>
              <w:jc w:val="center"/>
              <w:rPr>
                <w:rFonts w:ascii="Arial" w:hAnsi="Arial"/>
                <w:sz w:val="18"/>
              </w:rPr>
            </w:pPr>
            <w:r>
              <w:rPr>
                <w:rFonts w:ascii="Arial" w:hAnsi="Arial"/>
                <w:sz w:val="18"/>
              </w:rPr>
              <w:t>dB</w:t>
            </w:r>
          </w:p>
        </w:tc>
        <w:tc>
          <w:tcPr>
            <w:tcW w:w="3490" w:type="dxa"/>
            <w:gridSpan w:val="10"/>
            <w:vMerge/>
            <w:tcBorders>
              <w:top w:val="single" w:sz="4" w:space="0" w:color="auto"/>
              <w:left w:val="single" w:sz="4" w:space="0" w:color="auto"/>
              <w:bottom w:val="single" w:sz="4" w:space="0" w:color="auto"/>
              <w:right w:val="single" w:sz="4" w:space="0" w:color="auto"/>
            </w:tcBorders>
            <w:vAlign w:val="center"/>
            <w:hideMark/>
          </w:tcPr>
          <w:p w14:paraId="4A447388" w14:textId="77777777" w:rsidR="003A71DE" w:rsidRDefault="003A71DE" w:rsidP="003A71DE">
            <w:pPr>
              <w:spacing w:after="0"/>
              <w:rPr>
                <w:rFonts w:ascii="Arial" w:hAnsi="Arial"/>
                <w:sz w:val="18"/>
              </w:rPr>
            </w:pP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3F110192" w14:textId="77777777" w:rsidR="003A71DE" w:rsidRDefault="003A71DE" w:rsidP="003A71DE">
            <w:pPr>
              <w:spacing w:after="0"/>
              <w:rPr>
                <w:rFonts w:ascii="Arial" w:hAnsi="Arial"/>
                <w:sz w:val="18"/>
              </w:rPr>
            </w:pPr>
          </w:p>
        </w:tc>
      </w:tr>
      <w:tr w:rsidR="003A71DE" w14:paraId="010A7487" w14:textId="77777777" w:rsidTr="003A71DE">
        <w:trPr>
          <w:cantSplit/>
          <w:trHeight w:val="149"/>
          <w:jc w:val="center"/>
        </w:trPr>
        <w:tc>
          <w:tcPr>
            <w:tcW w:w="1129" w:type="dxa"/>
            <w:tcBorders>
              <w:top w:val="single" w:sz="4" w:space="0" w:color="auto"/>
              <w:left w:val="single" w:sz="4" w:space="0" w:color="auto"/>
              <w:bottom w:val="single" w:sz="4" w:space="0" w:color="auto"/>
              <w:right w:val="single" w:sz="4" w:space="0" w:color="auto"/>
            </w:tcBorders>
            <w:hideMark/>
          </w:tcPr>
          <w:p w14:paraId="705F1A52" w14:textId="77777777" w:rsidR="003A71DE" w:rsidRDefault="003A71DE" w:rsidP="003A71DE">
            <w:pPr>
              <w:keepNext/>
              <w:keepLines/>
              <w:spacing w:after="0"/>
              <w:rPr>
                <w:rFonts w:ascii="Arial" w:hAnsi="Arial"/>
                <w:sz w:val="18"/>
              </w:rPr>
            </w:pPr>
            <w:r>
              <w:rPr>
                <w:rFonts w:ascii="Arial" w:eastAsia="?? ??" w:hAnsi="Arial"/>
                <w:sz w:val="18"/>
              </w:rPr>
              <w:t>ssb-Index 0 SNR</w:t>
            </w:r>
          </w:p>
        </w:tc>
        <w:tc>
          <w:tcPr>
            <w:tcW w:w="993" w:type="dxa"/>
            <w:tcBorders>
              <w:top w:val="single" w:sz="4" w:space="0" w:color="auto"/>
              <w:left w:val="single" w:sz="4" w:space="0" w:color="auto"/>
              <w:bottom w:val="single" w:sz="4" w:space="0" w:color="auto"/>
              <w:right w:val="single" w:sz="4" w:space="0" w:color="auto"/>
            </w:tcBorders>
            <w:hideMark/>
          </w:tcPr>
          <w:p w14:paraId="0B81AD02" w14:textId="77777777" w:rsidR="003A71DE" w:rsidRDefault="003A71DE" w:rsidP="003A71DE">
            <w:pPr>
              <w:keepNext/>
              <w:keepLines/>
              <w:spacing w:after="0"/>
              <w:rPr>
                <w:rFonts w:ascii="Arial" w:hAnsi="Arial"/>
                <w:noProof/>
                <w:sz w:val="18"/>
              </w:rPr>
            </w:pPr>
            <w:r>
              <w:rPr>
                <w:rFonts w:ascii="Arial" w:hAnsi="Arial"/>
                <w:noProof/>
                <w:sz w:val="18"/>
              </w:rPr>
              <w:t>Config 1</w:t>
            </w:r>
          </w:p>
        </w:tc>
        <w:tc>
          <w:tcPr>
            <w:tcW w:w="762" w:type="dxa"/>
            <w:tcBorders>
              <w:top w:val="single" w:sz="4" w:space="0" w:color="auto"/>
              <w:left w:val="single" w:sz="4" w:space="0" w:color="auto"/>
              <w:bottom w:val="single" w:sz="4" w:space="0" w:color="auto"/>
              <w:right w:val="single" w:sz="4" w:space="0" w:color="auto"/>
            </w:tcBorders>
            <w:hideMark/>
          </w:tcPr>
          <w:p w14:paraId="08D6EAE4" w14:textId="77777777" w:rsidR="003A71DE" w:rsidRDefault="003A71DE" w:rsidP="003A71DE">
            <w:pPr>
              <w:keepNext/>
              <w:keepLines/>
              <w:spacing w:after="0"/>
              <w:jc w:val="center"/>
              <w:rPr>
                <w:rFonts w:ascii="Arial" w:hAnsi="Arial"/>
                <w:sz w:val="18"/>
              </w:rPr>
            </w:pPr>
            <w:r>
              <w:rPr>
                <w:rFonts w:ascii="Arial" w:hAnsi="Arial"/>
                <w:sz w:val="18"/>
              </w:rPr>
              <w:t>dB</w:t>
            </w:r>
          </w:p>
        </w:tc>
        <w:tc>
          <w:tcPr>
            <w:tcW w:w="698" w:type="dxa"/>
            <w:gridSpan w:val="2"/>
            <w:tcBorders>
              <w:top w:val="single" w:sz="4" w:space="0" w:color="auto"/>
              <w:left w:val="single" w:sz="4" w:space="0" w:color="auto"/>
              <w:bottom w:val="single" w:sz="4" w:space="0" w:color="auto"/>
              <w:right w:val="single" w:sz="4" w:space="0" w:color="auto"/>
            </w:tcBorders>
            <w:hideMark/>
          </w:tcPr>
          <w:p w14:paraId="37FDD30B" w14:textId="77777777" w:rsidR="003A71DE" w:rsidRDefault="003A71DE" w:rsidP="003A71DE">
            <w:pPr>
              <w:keepNext/>
              <w:keepLines/>
              <w:spacing w:after="0"/>
              <w:jc w:val="center"/>
              <w:rPr>
                <w:rFonts w:ascii="Arial" w:hAnsi="Arial"/>
                <w:sz w:val="18"/>
              </w:rPr>
            </w:pPr>
            <w:r>
              <w:rPr>
                <w:rFonts w:ascii="Arial" w:hAnsi="Arial"/>
                <w:sz w:val="18"/>
              </w:rPr>
              <w:t>2</w:t>
            </w:r>
            <w:r>
              <w:rPr>
                <w:rFonts w:ascii="Arial" w:hAnsi="Arial"/>
                <w:sz w:val="18"/>
                <w:vertAlign w:val="superscript"/>
              </w:rPr>
              <w:t>Note 6</w:t>
            </w:r>
          </w:p>
        </w:tc>
        <w:tc>
          <w:tcPr>
            <w:tcW w:w="698" w:type="dxa"/>
            <w:gridSpan w:val="2"/>
            <w:tcBorders>
              <w:top w:val="single" w:sz="4" w:space="0" w:color="auto"/>
              <w:left w:val="single" w:sz="4" w:space="0" w:color="auto"/>
              <w:bottom w:val="single" w:sz="4" w:space="0" w:color="auto"/>
              <w:right w:val="single" w:sz="4" w:space="0" w:color="auto"/>
            </w:tcBorders>
            <w:hideMark/>
          </w:tcPr>
          <w:p w14:paraId="1F9618E7" w14:textId="77777777" w:rsidR="003A71DE" w:rsidRDefault="003A71DE" w:rsidP="003A71DE">
            <w:pPr>
              <w:keepNext/>
              <w:keepLines/>
              <w:spacing w:after="0"/>
              <w:jc w:val="center"/>
              <w:rPr>
                <w:rFonts w:ascii="Arial" w:hAnsi="Arial"/>
                <w:sz w:val="18"/>
              </w:rPr>
            </w:pPr>
            <w:r>
              <w:rPr>
                <w:rFonts w:ascii="Arial" w:hAnsi="Arial"/>
                <w:sz w:val="18"/>
              </w:rPr>
              <w:t>-6</w:t>
            </w:r>
            <w:r>
              <w:rPr>
                <w:rFonts w:ascii="Arial" w:hAnsi="Arial"/>
                <w:sz w:val="18"/>
                <w:vertAlign w:val="superscript"/>
              </w:rPr>
              <w:t>Note 6</w:t>
            </w:r>
          </w:p>
        </w:tc>
        <w:tc>
          <w:tcPr>
            <w:tcW w:w="698" w:type="dxa"/>
            <w:gridSpan w:val="2"/>
            <w:tcBorders>
              <w:top w:val="single" w:sz="4" w:space="0" w:color="auto"/>
              <w:left w:val="single" w:sz="4" w:space="0" w:color="auto"/>
              <w:bottom w:val="single" w:sz="4" w:space="0" w:color="auto"/>
              <w:right w:val="single" w:sz="4" w:space="0" w:color="auto"/>
            </w:tcBorders>
            <w:hideMark/>
          </w:tcPr>
          <w:p w14:paraId="5C460978" w14:textId="77777777" w:rsidR="003A71DE" w:rsidRDefault="003A71DE" w:rsidP="003A71DE">
            <w:pPr>
              <w:keepNext/>
              <w:keepLines/>
              <w:spacing w:after="0"/>
              <w:jc w:val="center"/>
              <w:rPr>
                <w:rFonts w:ascii="Arial" w:hAnsi="Arial"/>
                <w:sz w:val="18"/>
              </w:rPr>
            </w:pPr>
            <w:r>
              <w:rPr>
                <w:rFonts w:ascii="Arial" w:hAnsi="Arial"/>
                <w:sz w:val="18"/>
              </w:rPr>
              <w:t>-15</w:t>
            </w:r>
          </w:p>
        </w:tc>
        <w:tc>
          <w:tcPr>
            <w:tcW w:w="698" w:type="dxa"/>
            <w:gridSpan w:val="2"/>
            <w:tcBorders>
              <w:top w:val="single" w:sz="4" w:space="0" w:color="auto"/>
              <w:left w:val="single" w:sz="4" w:space="0" w:color="auto"/>
              <w:bottom w:val="single" w:sz="4" w:space="0" w:color="auto"/>
              <w:right w:val="single" w:sz="4" w:space="0" w:color="auto"/>
            </w:tcBorders>
            <w:hideMark/>
          </w:tcPr>
          <w:p w14:paraId="05E6193D" w14:textId="77777777" w:rsidR="003A71DE" w:rsidRDefault="003A71DE" w:rsidP="003A71DE">
            <w:pPr>
              <w:keepNext/>
              <w:keepLines/>
              <w:spacing w:after="0"/>
              <w:jc w:val="center"/>
              <w:rPr>
                <w:rFonts w:ascii="Arial" w:hAnsi="Arial"/>
                <w:sz w:val="18"/>
              </w:rPr>
            </w:pPr>
            <w:r>
              <w:rPr>
                <w:rFonts w:ascii="Arial" w:hAnsi="Arial"/>
                <w:sz w:val="18"/>
              </w:rPr>
              <w:t>-4.5</w:t>
            </w:r>
          </w:p>
        </w:tc>
        <w:tc>
          <w:tcPr>
            <w:tcW w:w="698" w:type="dxa"/>
            <w:gridSpan w:val="2"/>
            <w:tcBorders>
              <w:top w:val="single" w:sz="4" w:space="0" w:color="auto"/>
              <w:left w:val="single" w:sz="4" w:space="0" w:color="auto"/>
              <w:bottom w:val="single" w:sz="4" w:space="0" w:color="auto"/>
              <w:right w:val="single" w:sz="4" w:space="0" w:color="auto"/>
            </w:tcBorders>
            <w:hideMark/>
          </w:tcPr>
          <w:p w14:paraId="6762E810" w14:textId="77777777" w:rsidR="003A71DE" w:rsidRDefault="003A71DE" w:rsidP="003A71DE">
            <w:pPr>
              <w:keepNext/>
              <w:keepLines/>
              <w:spacing w:after="0"/>
              <w:jc w:val="center"/>
              <w:rPr>
                <w:rFonts w:ascii="Arial" w:hAnsi="Arial"/>
                <w:sz w:val="18"/>
              </w:rPr>
            </w:pPr>
            <w:r>
              <w:rPr>
                <w:rFonts w:ascii="Arial" w:hAnsi="Arial"/>
                <w:sz w:val="18"/>
              </w:rPr>
              <w:t>2</w:t>
            </w:r>
            <w:r>
              <w:rPr>
                <w:rFonts w:ascii="Arial" w:hAnsi="Arial"/>
                <w:sz w:val="18"/>
                <w:vertAlign w:val="superscript"/>
              </w:rPr>
              <w:t>Note 6</w:t>
            </w:r>
          </w:p>
        </w:tc>
        <w:tc>
          <w:tcPr>
            <w:tcW w:w="3406" w:type="dxa"/>
            <w:gridSpan w:val="9"/>
            <w:vMerge/>
            <w:tcBorders>
              <w:top w:val="single" w:sz="4" w:space="0" w:color="auto"/>
              <w:left w:val="single" w:sz="4" w:space="0" w:color="auto"/>
              <w:bottom w:val="single" w:sz="4" w:space="0" w:color="auto"/>
              <w:right w:val="single" w:sz="4" w:space="0" w:color="auto"/>
            </w:tcBorders>
            <w:vAlign w:val="center"/>
            <w:hideMark/>
          </w:tcPr>
          <w:p w14:paraId="586DA2C6" w14:textId="77777777" w:rsidR="003A71DE" w:rsidRDefault="003A71DE" w:rsidP="003A71DE">
            <w:pPr>
              <w:spacing w:after="0"/>
              <w:rPr>
                <w:rFonts w:ascii="Arial" w:hAnsi="Arial"/>
                <w:sz w:val="18"/>
              </w:rPr>
            </w:pPr>
          </w:p>
        </w:tc>
      </w:tr>
      <w:tr w:rsidR="003A71DE" w14:paraId="1466040D" w14:textId="77777777" w:rsidTr="003A71DE">
        <w:trPr>
          <w:cantSplit/>
          <w:trHeight w:val="199"/>
          <w:jc w:val="center"/>
        </w:trPr>
        <w:tc>
          <w:tcPr>
            <w:tcW w:w="1129" w:type="dxa"/>
            <w:tcBorders>
              <w:top w:val="single" w:sz="4" w:space="0" w:color="auto"/>
              <w:left w:val="single" w:sz="4" w:space="0" w:color="auto"/>
              <w:bottom w:val="single" w:sz="4" w:space="0" w:color="auto"/>
              <w:right w:val="single" w:sz="4" w:space="0" w:color="auto"/>
            </w:tcBorders>
            <w:hideMark/>
          </w:tcPr>
          <w:p w14:paraId="0925166B" w14:textId="77777777" w:rsidR="003A71DE" w:rsidRDefault="003A71DE" w:rsidP="003A71DE">
            <w:pPr>
              <w:keepNext/>
              <w:keepLines/>
              <w:spacing w:after="0"/>
              <w:rPr>
                <w:rFonts w:ascii="Arial" w:eastAsia="?? ??" w:hAnsi="Arial"/>
                <w:sz w:val="18"/>
              </w:rPr>
            </w:pPr>
            <w:r>
              <w:rPr>
                <w:rFonts w:ascii="Arial" w:eastAsia="?? ??" w:hAnsi="Arial"/>
                <w:sz w:val="18"/>
              </w:rPr>
              <w:t>ssb-Index 1 SNR</w:t>
            </w:r>
          </w:p>
        </w:tc>
        <w:tc>
          <w:tcPr>
            <w:tcW w:w="993" w:type="dxa"/>
            <w:tcBorders>
              <w:top w:val="single" w:sz="4" w:space="0" w:color="auto"/>
              <w:left w:val="single" w:sz="4" w:space="0" w:color="auto"/>
              <w:bottom w:val="single" w:sz="4" w:space="0" w:color="auto"/>
              <w:right w:val="single" w:sz="4" w:space="0" w:color="auto"/>
            </w:tcBorders>
            <w:hideMark/>
          </w:tcPr>
          <w:p w14:paraId="6ED9C343" w14:textId="77777777" w:rsidR="003A71DE" w:rsidRDefault="003A71DE" w:rsidP="003A71DE">
            <w:pPr>
              <w:keepNext/>
              <w:keepLines/>
              <w:spacing w:after="0"/>
              <w:rPr>
                <w:rFonts w:ascii="Arial" w:hAnsi="Arial"/>
                <w:noProof/>
                <w:sz w:val="18"/>
              </w:rPr>
            </w:pPr>
            <w:r>
              <w:rPr>
                <w:rFonts w:ascii="Arial" w:hAnsi="Arial"/>
                <w:noProof/>
                <w:sz w:val="18"/>
              </w:rPr>
              <w:t>Config 1</w:t>
            </w:r>
          </w:p>
        </w:tc>
        <w:tc>
          <w:tcPr>
            <w:tcW w:w="762" w:type="dxa"/>
            <w:tcBorders>
              <w:top w:val="single" w:sz="4" w:space="0" w:color="auto"/>
              <w:left w:val="single" w:sz="4" w:space="0" w:color="auto"/>
              <w:bottom w:val="single" w:sz="4" w:space="0" w:color="auto"/>
              <w:right w:val="single" w:sz="4" w:space="0" w:color="auto"/>
            </w:tcBorders>
          </w:tcPr>
          <w:p w14:paraId="3324D61E" w14:textId="77777777" w:rsidR="003A71DE" w:rsidRDefault="003A71DE" w:rsidP="003A71DE">
            <w:pPr>
              <w:keepNext/>
              <w:keepLines/>
              <w:spacing w:after="0"/>
              <w:jc w:val="center"/>
              <w:rPr>
                <w:rFonts w:ascii="Arial" w:hAnsi="Arial"/>
                <w:sz w:val="18"/>
              </w:rPr>
            </w:pPr>
          </w:p>
        </w:tc>
        <w:tc>
          <w:tcPr>
            <w:tcW w:w="3490" w:type="dxa"/>
            <w:gridSpan w:val="10"/>
            <w:tcBorders>
              <w:top w:val="single" w:sz="4" w:space="0" w:color="auto"/>
              <w:left w:val="single" w:sz="4" w:space="0" w:color="auto"/>
              <w:bottom w:val="single" w:sz="4" w:space="0" w:color="auto"/>
              <w:right w:val="single" w:sz="4" w:space="0" w:color="auto"/>
            </w:tcBorders>
            <w:hideMark/>
          </w:tcPr>
          <w:p w14:paraId="27370701" w14:textId="77777777" w:rsidR="003A71DE" w:rsidRDefault="003A71DE" w:rsidP="003A71DE">
            <w:pPr>
              <w:keepNext/>
              <w:keepLines/>
              <w:spacing w:after="0"/>
              <w:jc w:val="center"/>
              <w:rPr>
                <w:rFonts w:ascii="Arial" w:hAnsi="Arial"/>
                <w:sz w:val="18"/>
              </w:rPr>
            </w:pPr>
            <w:r>
              <w:rPr>
                <w:rFonts w:ascii="Arial" w:hAnsi="Arial"/>
                <w:sz w:val="18"/>
              </w:rPr>
              <w:t>Not sent</w:t>
            </w:r>
          </w:p>
        </w:tc>
        <w:tc>
          <w:tcPr>
            <w:tcW w:w="681" w:type="dxa"/>
            <w:gridSpan w:val="2"/>
            <w:tcBorders>
              <w:top w:val="single" w:sz="4" w:space="0" w:color="auto"/>
              <w:left w:val="single" w:sz="4" w:space="0" w:color="auto"/>
              <w:bottom w:val="single" w:sz="4" w:space="0" w:color="auto"/>
              <w:right w:val="single" w:sz="4" w:space="0" w:color="auto"/>
            </w:tcBorders>
            <w:hideMark/>
          </w:tcPr>
          <w:p w14:paraId="05147D7F" w14:textId="77777777" w:rsidR="003A71DE" w:rsidRDefault="003A71DE" w:rsidP="003A71DE">
            <w:pPr>
              <w:keepNext/>
              <w:keepLines/>
              <w:spacing w:after="0"/>
              <w:jc w:val="center"/>
              <w:rPr>
                <w:rFonts w:ascii="Arial" w:hAnsi="Arial"/>
                <w:sz w:val="18"/>
              </w:rPr>
            </w:pPr>
            <w:r>
              <w:rPr>
                <w:rFonts w:ascii="Arial" w:hAnsi="Arial"/>
                <w:sz w:val="18"/>
              </w:rPr>
              <w:t>2</w:t>
            </w:r>
            <w:r>
              <w:rPr>
                <w:rFonts w:ascii="Arial" w:hAnsi="Arial"/>
                <w:sz w:val="18"/>
                <w:vertAlign w:val="superscript"/>
              </w:rPr>
              <w:t>Note 6</w:t>
            </w:r>
          </w:p>
        </w:tc>
        <w:tc>
          <w:tcPr>
            <w:tcW w:w="681" w:type="dxa"/>
            <w:gridSpan w:val="2"/>
            <w:tcBorders>
              <w:top w:val="single" w:sz="4" w:space="0" w:color="auto"/>
              <w:left w:val="single" w:sz="4" w:space="0" w:color="auto"/>
              <w:bottom w:val="single" w:sz="4" w:space="0" w:color="auto"/>
              <w:right w:val="single" w:sz="4" w:space="0" w:color="auto"/>
            </w:tcBorders>
            <w:hideMark/>
          </w:tcPr>
          <w:p w14:paraId="7E1F133A" w14:textId="77777777" w:rsidR="003A71DE" w:rsidRDefault="003A71DE" w:rsidP="003A71DE">
            <w:pPr>
              <w:keepNext/>
              <w:keepLines/>
              <w:spacing w:after="0"/>
              <w:jc w:val="center"/>
              <w:rPr>
                <w:rFonts w:ascii="Arial" w:hAnsi="Arial"/>
                <w:sz w:val="18"/>
              </w:rPr>
            </w:pPr>
            <w:r>
              <w:rPr>
                <w:rFonts w:ascii="Arial" w:hAnsi="Arial"/>
                <w:sz w:val="18"/>
              </w:rPr>
              <w:t>-15</w:t>
            </w:r>
          </w:p>
        </w:tc>
        <w:tc>
          <w:tcPr>
            <w:tcW w:w="681" w:type="dxa"/>
            <w:gridSpan w:val="2"/>
            <w:tcBorders>
              <w:top w:val="single" w:sz="4" w:space="0" w:color="auto"/>
              <w:left w:val="single" w:sz="4" w:space="0" w:color="auto"/>
              <w:bottom w:val="single" w:sz="4" w:space="0" w:color="auto"/>
              <w:right w:val="single" w:sz="4" w:space="0" w:color="auto"/>
            </w:tcBorders>
            <w:hideMark/>
          </w:tcPr>
          <w:p w14:paraId="09318AB7" w14:textId="77777777" w:rsidR="003A71DE" w:rsidRDefault="003A71DE" w:rsidP="003A71DE">
            <w:pPr>
              <w:keepNext/>
              <w:keepLines/>
              <w:spacing w:after="0"/>
              <w:jc w:val="center"/>
              <w:rPr>
                <w:rFonts w:ascii="Arial" w:hAnsi="Arial"/>
                <w:sz w:val="18"/>
              </w:rPr>
            </w:pPr>
            <w:r>
              <w:rPr>
                <w:rFonts w:ascii="Arial" w:hAnsi="Arial"/>
                <w:sz w:val="18"/>
              </w:rPr>
              <w:t>-15</w:t>
            </w:r>
          </w:p>
        </w:tc>
        <w:tc>
          <w:tcPr>
            <w:tcW w:w="681" w:type="dxa"/>
            <w:gridSpan w:val="2"/>
            <w:tcBorders>
              <w:top w:val="single" w:sz="4" w:space="0" w:color="auto"/>
              <w:left w:val="single" w:sz="4" w:space="0" w:color="auto"/>
              <w:bottom w:val="single" w:sz="4" w:space="0" w:color="auto"/>
              <w:right w:val="single" w:sz="4" w:space="0" w:color="auto"/>
            </w:tcBorders>
            <w:hideMark/>
          </w:tcPr>
          <w:p w14:paraId="4CA33EA9" w14:textId="77777777" w:rsidR="003A71DE" w:rsidRDefault="003A71DE" w:rsidP="003A71DE">
            <w:pPr>
              <w:keepNext/>
              <w:keepLines/>
              <w:spacing w:after="0"/>
              <w:jc w:val="center"/>
              <w:rPr>
                <w:rFonts w:ascii="Arial" w:hAnsi="Arial"/>
                <w:sz w:val="18"/>
              </w:rPr>
            </w:pPr>
            <w:r>
              <w:rPr>
                <w:rFonts w:ascii="Arial" w:hAnsi="Arial"/>
                <w:sz w:val="18"/>
              </w:rPr>
              <w:t>-15</w:t>
            </w:r>
          </w:p>
        </w:tc>
        <w:tc>
          <w:tcPr>
            <w:tcW w:w="682" w:type="dxa"/>
            <w:tcBorders>
              <w:top w:val="single" w:sz="4" w:space="0" w:color="auto"/>
              <w:left w:val="single" w:sz="4" w:space="0" w:color="auto"/>
              <w:bottom w:val="single" w:sz="4" w:space="0" w:color="auto"/>
              <w:right w:val="single" w:sz="4" w:space="0" w:color="auto"/>
            </w:tcBorders>
            <w:hideMark/>
          </w:tcPr>
          <w:p w14:paraId="2DA7AB5E" w14:textId="77777777" w:rsidR="003A71DE" w:rsidRDefault="003A71DE" w:rsidP="003A71DE">
            <w:pPr>
              <w:keepNext/>
              <w:keepLines/>
              <w:spacing w:after="0"/>
              <w:jc w:val="center"/>
              <w:rPr>
                <w:rFonts w:ascii="Arial" w:hAnsi="Arial"/>
                <w:sz w:val="18"/>
              </w:rPr>
            </w:pPr>
            <w:r>
              <w:rPr>
                <w:rFonts w:ascii="Arial" w:hAnsi="Arial"/>
                <w:sz w:val="18"/>
              </w:rPr>
              <w:t>-15</w:t>
            </w:r>
          </w:p>
        </w:tc>
      </w:tr>
      <w:tr w:rsidR="003A71DE" w14:paraId="26204C2F" w14:textId="77777777" w:rsidTr="003A71DE">
        <w:trPr>
          <w:cantSplit/>
          <w:trHeight w:val="199"/>
          <w:jc w:val="center"/>
        </w:trPr>
        <w:tc>
          <w:tcPr>
            <w:tcW w:w="1129" w:type="dxa"/>
            <w:tcBorders>
              <w:top w:val="single" w:sz="4" w:space="0" w:color="auto"/>
              <w:left w:val="single" w:sz="4" w:space="0" w:color="auto"/>
              <w:bottom w:val="single" w:sz="4" w:space="0" w:color="auto"/>
              <w:right w:val="single" w:sz="4" w:space="0" w:color="auto"/>
            </w:tcBorders>
            <w:hideMark/>
          </w:tcPr>
          <w:p w14:paraId="28B62477" w14:textId="77777777" w:rsidR="003A71DE" w:rsidRDefault="003A71DE" w:rsidP="003A71DE">
            <w:pPr>
              <w:keepNext/>
              <w:keepLines/>
              <w:spacing w:after="0"/>
              <w:rPr>
                <w:rFonts w:ascii="Arial" w:hAnsi="Arial"/>
                <w:sz w:val="18"/>
                <w:lang w:eastAsia="zh-CN"/>
              </w:rPr>
            </w:pPr>
            <w:r>
              <w:rPr>
                <w:rFonts w:ascii="Arial" w:hAnsi="Arial"/>
                <w:sz w:val="18"/>
                <w:lang w:eastAsia="zh-CN"/>
              </w:rPr>
              <w:t>SNR on other channels and signals</w:t>
            </w:r>
          </w:p>
        </w:tc>
        <w:tc>
          <w:tcPr>
            <w:tcW w:w="993" w:type="dxa"/>
            <w:tcBorders>
              <w:top w:val="single" w:sz="4" w:space="0" w:color="auto"/>
              <w:left w:val="single" w:sz="4" w:space="0" w:color="auto"/>
              <w:bottom w:val="single" w:sz="4" w:space="0" w:color="auto"/>
              <w:right w:val="single" w:sz="4" w:space="0" w:color="auto"/>
            </w:tcBorders>
            <w:hideMark/>
          </w:tcPr>
          <w:p w14:paraId="6EA1B67B" w14:textId="77777777" w:rsidR="003A71DE" w:rsidRDefault="003A71DE" w:rsidP="003A71DE">
            <w:pPr>
              <w:keepNext/>
              <w:keepLines/>
              <w:spacing w:after="0"/>
              <w:rPr>
                <w:rFonts w:ascii="Arial" w:hAnsi="Arial"/>
                <w:noProof/>
                <w:sz w:val="18"/>
                <w:lang w:eastAsia="zh-CN"/>
              </w:rPr>
            </w:pPr>
            <w:r>
              <w:rPr>
                <w:rFonts w:ascii="Arial" w:hAnsi="Arial"/>
                <w:noProof/>
                <w:sz w:val="18"/>
                <w:lang w:eastAsia="zh-CN"/>
              </w:rPr>
              <w:t>Config 1</w:t>
            </w:r>
          </w:p>
        </w:tc>
        <w:tc>
          <w:tcPr>
            <w:tcW w:w="762" w:type="dxa"/>
            <w:tcBorders>
              <w:top w:val="single" w:sz="4" w:space="0" w:color="auto"/>
              <w:left w:val="single" w:sz="4" w:space="0" w:color="auto"/>
              <w:bottom w:val="single" w:sz="4" w:space="0" w:color="auto"/>
              <w:right w:val="single" w:sz="4" w:space="0" w:color="auto"/>
            </w:tcBorders>
            <w:hideMark/>
          </w:tcPr>
          <w:p w14:paraId="4CE270F0" w14:textId="77777777" w:rsidR="003A71DE" w:rsidRDefault="003A71DE" w:rsidP="003A71DE">
            <w:pPr>
              <w:keepNext/>
              <w:keepLines/>
              <w:spacing w:after="0"/>
              <w:jc w:val="center"/>
              <w:rPr>
                <w:rFonts w:ascii="Arial" w:hAnsi="Arial"/>
                <w:sz w:val="18"/>
                <w:lang w:eastAsia="zh-CN"/>
              </w:rPr>
            </w:pPr>
            <w:r>
              <w:rPr>
                <w:rFonts w:ascii="Arial" w:hAnsi="Arial"/>
                <w:sz w:val="18"/>
                <w:lang w:eastAsia="zh-CN"/>
              </w:rPr>
              <w:t>dB</w:t>
            </w:r>
          </w:p>
        </w:tc>
        <w:tc>
          <w:tcPr>
            <w:tcW w:w="3490" w:type="dxa"/>
            <w:gridSpan w:val="10"/>
            <w:tcBorders>
              <w:top w:val="single" w:sz="4" w:space="0" w:color="auto"/>
              <w:left w:val="single" w:sz="4" w:space="0" w:color="auto"/>
              <w:bottom w:val="single" w:sz="4" w:space="0" w:color="auto"/>
              <w:right w:val="single" w:sz="4" w:space="0" w:color="auto"/>
            </w:tcBorders>
            <w:hideMark/>
          </w:tcPr>
          <w:p w14:paraId="26138287" w14:textId="77777777" w:rsidR="003A71DE" w:rsidRDefault="003A71DE" w:rsidP="003A71DE">
            <w:pPr>
              <w:keepNext/>
              <w:keepLines/>
              <w:spacing w:after="0"/>
              <w:jc w:val="center"/>
              <w:rPr>
                <w:rFonts w:ascii="Arial" w:hAnsi="Arial"/>
                <w:sz w:val="18"/>
                <w:lang w:eastAsia="zh-CN"/>
              </w:rPr>
            </w:pPr>
            <w:r>
              <w:rPr>
                <w:rFonts w:ascii="Arial" w:hAnsi="Arial"/>
                <w:sz w:val="18"/>
                <w:lang w:eastAsia="zh-CN"/>
              </w:rPr>
              <w:t>2</w:t>
            </w:r>
            <w:r>
              <w:rPr>
                <w:rFonts w:ascii="Arial" w:hAnsi="Arial"/>
                <w:sz w:val="18"/>
                <w:vertAlign w:val="superscript"/>
              </w:rPr>
              <w:t>Note 6</w:t>
            </w:r>
          </w:p>
        </w:tc>
        <w:tc>
          <w:tcPr>
            <w:tcW w:w="3406" w:type="dxa"/>
            <w:gridSpan w:val="9"/>
            <w:tcBorders>
              <w:top w:val="single" w:sz="4" w:space="0" w:color="auto"/>
              <w:left w:val="single" w:sz="4" w:space="0" w:color="auto"/>
              <w:bottom w:val="single" w:sz="4" w:space="0" w:color="auto"/>
              <w:right w:val="single" w:sz="4" w:space="0" w:color="auto"/>
            </w:tcBorders>
            <w:hideMark/>
          </w:tcPr>
          <w:p w14:paraId="558338A1" w14:textId="77777777" w:rsidR="003A71DE" w:rsidRDefault="003A71DE" w:rsidP="003A71DE">
            <w:pPr>
              <w:keepNext/>
              <w:keepLines/>
              <w:spacing w:after="0"/>
              <w:jc w:val="center"/>
              <w:rPr>
                <w:rFonts w:ascii="Arial" w:hAnsi="Arial"/>
                <w:sz w:val="18"/>
                <w:lang w:eastAsia="zh-CN"/>
              </w:rPr>
            </w:pPr>
            <w:r>
              <w:rPr>
                <w:rFonts w:ascii="Arial" w:hAnsi="Arial"/>
                <w:sz w:val="18"/>
                <w:lang w:eastAsia="zh-CN"/>
              </w:rPr>
              <w:t>N/A</w:t>
            </w:r>
          </w:p>
        </w:tc>
      </w:tr>
      <w:tr w:rsidR="003A71DE" w14:paraId="70DDC5C8" w14:textId="77777777" w:rsidTr="003A71DE">
        <w:trPr>
          <w:cantSplit/>
          <w:trHeight w:val="153"/>
          <w:jc w:val="center"/>
        </w:trPr>
        <w:tc>
          <w:tcPr>
            <w:tcW w:w="1129" w:type="dxa"/>
            <w:tcBorders>
              <w:top w:val="single" w:sz="4" w:space="0" w:color="auto"/>
              <w:left w:val="single" w:sz="4" w:space="0" w:color="auto"/>
              <w:bottom w:val="single" w:sz="4" w:space="0" w:color="auto"/>
              <w:right w:val="single" w:sz="4" w:space="0" w:color="auto"/>
            </w:tcBorders>
            <w:hideMark/>
          </w:tcPr>
          <w:p w14:paraId="40177CCB" w14:textId="77777777" w:rsidR="003A71DE" w:rsidRDefault="003A71DE" w:rsidP="003A71DE">
            <w:pPr>
              <w:keepNext/>
              <w:keepLines/>
              <w:spacing w:after="0"/>
              <w:rPr>
                <w:rFonts w:ascii="Arial" w:hAnsi="Arial"/>
                <w:sz w:val="18"/>
              </w:rPr>
            </w:pPr>
            <w:r>
              <w:rPr>
                <w:rFonts w:ascii="Arial" w:hAnsi="Arial"/>
                <w:position w:val="-12"/>
                <w:sz w:val="18"/>
              </w:rPr>
              <w:object w:dxaOrig="405" w:dyaOrig="405" w14:anchorId="76F4A873">
                <v:shape id="_x0000_i1095" type="#_x0000_t75" style="width:19.95pt;height:19.95pt" o:ole="" fillcolor="window">
                  <v:imagedata r:id="rId114" o:title=""/>
                </v:shape>
                <o:OLEObject Type="Embed" ProgID="Equation.3" ShapeID="_x0000_i1095" DrawAspect="Content" ObjectID="_1734764475" r:id="rId123"/>
              </w:object>
            </w:r>
          </w:p>
        </w:tc>
        <w:tc>
          <w:tcPr>
            <w:tcW w:w="993" w:type="dxa"/>
            <w:tcBorders>
              <w:top w:val="single" w:sz="4" w:space="0" w:color="auto"/>
              <w:left w:val="single" w:sz="4" w:space="0" w:color="auto"/>
              <w:bottom w:val="single" w:sz="4" w:space="0" w:color="auto"/>
              <w:right w:val="single" w:sz="4" w:space="0" w:color="auto"/>
            </w:tcBorders>
            <w:hideMark/>
          </w:tcPr>
          <w:p w14:paraId="601B49CA" w14:textId="77777777" w:rsidR="003A71DE" w:rsidRDefault="003A71DE" w:rsidP="003A71DE">
            <w:pPr>
              <w:keepNext/>
              <w:keepLines/>
              <w:spacing w:after="0"/>
              <w:rPr>
                <w:rFonts w:ascii="Arial" w:hAnsi="Arial"/>
                <w:noProof/>
                <w:sz w:val="18"/>
              </w:rPr>
            </w:pPr>
            <w:r>
              <w:rPr>
                <w:rFonts w:ascii="Arial" w:hAnsi="Arial"/>
                <w:noProof/>
                <w:sz w:val="18"/>
              </w:rPr>
              <w:t>Config 1</w:t>
            </w:r>
          </w:p>
        </w:tc>
        <w:tc>
          <w:tcPr>
            <w:tcW w:w="762" w:type="dxa"/>
            <w:tcBorders>
              <w:top w:val="single" w:sz="4" w:space="0" w:color="auto"/>
              <w:left w:val="single" w:sz="4" w:space="0" w:color="auto"/>
              <w:bottom w:val="single" w:sz="4" w:space="0" w:color="auto"/>
              <w:right w:val="single" w:sz="4" w:space="0" w:color="auto"/>
            </w:tcBorders>
            <w:hideMark/>
          </w:tcPr>
          <w:p w14:paraId="11EAC69E" w14:textId="77777777" w:rsidR="003A71DE" w:rsidRDefault="003A71DE" w:rsidP="003A71DE">
            <w:pPr>
              <w:keepNext/>
              <w:keepLines/>
              <w:spacing w:after="0"/>
              <w:jc w:val="center"/>
              <w:rPr>
                <w:rFonts w:ascii="Arial" w:hAnsi="Arial"/>
                <w:sz w:val="18"/>
              </w:rPr>
            </w:pPr>
            <w:r>
              <w:rPr>
                <w:rFonts w:ascii="Arial" w:hAnsi="Arial"/>
                <w:sz w:val="18"/>
              </w:rPr>
              <w:t>dBm/</w:t>
            </w:r>
            <w:r>
              <w:rPr>
                <w:rFonts w:ascii="Arial" w:hAnsi="Arial"/>
                <w:sz w:val="18"/>
              </w:rPr>
              <w:br/>
              <w:t>15kHz</w:t>
            </w:r>
          </w:p>
        </w:tc>
        <w:tc>
          <w:tcPr>
            <w:tcW w:w="3490" w:type="dxa"/>
            <w:gridSpan w:val="10"/>
            <w:tcBorders>
              <w:top w:val="single" w:sz="4" w:space="0" w:color="auto"/>
              <w:left w:val="single" w:sz="4" w:space="0" w:color="auto"/>
              <w:bottom w:val="single" w:sz="4" w:space="0" w:color="auto"/>
              <w:right w:val="single" w:sz="4" w:space="0" w:color="auto"/>
            </w:tcBorders>
            <w:hideMark/>
          </w:tcPr>
          <w:p w14:paraId="76D25504" w14:textId="77777777" w:rsidR="003A71DE" w:rsidRDefault="003A71DE" w:rsidP="003A71DE">
            <w:pPr>
              <w:keepNext/>
              <w:keepLines/>
              <w:spacing w:after="0"/>
              <w:jc w:val="center"/>
              <w:rPr>
                <w:rFonts w:ascii="Arial" w:hAnsi="Arial"/>
                <w:sz w:val="18"/>
              </w:rPr>
            </w:pPr>
            <w:r>
              <w:rPr>
                <w:rFonts w:ascii="Arial" w:hAnsi="Arial"/>
                <w:sz w:val="18"/>
              </w:rPr>
              <w:t>-92.1</w:t>
            </w:r>
          </w:p>
        </w:tc>
        <w:tc>
          <w:tcPr>
            <w:tcW w:w="3406" w:type="dxa"/>
            <w:gridSpan w:val="9"/>
            <w:tcBorders>
              <w:top w:val="single" w:sz="4" w:space="0" w:color="auto"/>
              <w:left w:val="single" w:sz="4" w:space="0" w:color="auto"/>
              <w:bottom w:val="single" w:sz="4" w:space="0" w:color="auto"/>
              <w:right w:val="single" w:sz="4" w:space="0" w:color="auto"/>
            </w:tcBorders>
            <w:hideMark/>
          </w:tcPr>
          <w:p w14:paraId="7E146E70" w14:textId="77777777" w:rsidR="003A71DE" w:rsidRDefault="003A71DE" w:rsidP="003A71DE">
            <w:pPr>
              <w:keepNext/>
              <w:keepLines/>
              <w:spacing w:after="0"/>
              <w:jc w:val="center"/>
              <w:rPr>
                <w:rFonts w:ascii="Arial" w:hAnsi="Arial"/>
                <w:sz w:val="18"/>
              </w:rPr>
            </w:pPr>
            <w:r>
              <w:rPr>
                <w:rFonts w:ascii="Arial" w:hAnsi="Arial"/>
                <w:sz w:val="18"/>
              </w:rPr>
              <w:t>-92.1</w:t>
            </w:r>
          </w:p>
        </w:tc>
      </w:tr>
      <w:tr w:rsidR="003A71DE" w14:paraId="7F0B02E0" w14:textId="77777777" w:rsidTr="003A71DE">
        <w:trPr>
          <w:cantSplit/>
          <w:trHeight w:val="153"/>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06F976AE" w14:textId="77777777" w:rsidR="003A71DE" w:rsidRDefault="003A71DE" w:rsidP="003A71DE">
            <w:pPr>
              <w:keepNext/>
              <w:keepLines/>
              <w:spacing w:after="0"/>
              <w:rPr>
                <w:rFonts w:ascii="Arial" w:hAnsi="Arial"/>
                <w:noProof/>
                <w:sz w:val="18"/>
              </w:rPr>
            </w:pPr>
            <w:r>
              <w:rPr>
                <w:rFonts w:ascii="Arial" w:eastAsia="?? ??" w:hAnsi="Arial"/>
                <w:sz w:val="18"/>
              </w:rPr>
              <w:t>Time multiplexing of the downlink transmissions from each AoA</w:t>
            </w:r>
          </w:p>
        </w:tc>
        <w:tc>
          <w:tcPr>
            <w:tcW w:w="762" w:type="dxa"/>
            <w:tcBorders>
              <w:top w:val="single" w:sz="4" w:space="0" w:color="auto"/>
              <w:left w:val="single" w:sz="4" w:space="0" w:color="auto"/>
              <w:bottom w:val="single" w:sz="4" w:space="0" w:color="auto"/>
              <w:right w:val="single" w:sz="4" w:space="0" w:color="auto"/>
            </w:tcBorders>
          </w:tcPr>
          <w:p w14:paraId="2B4AAFC7" w14:textId="77777777" w:rsidR="003A71DE" w:rsidRDefault="003A71DE" w:rsidP="003A71DE">
            <w:pPr>
              <w:keepNext/>
              <w:keepLines/>
              <w:spacing w:after="0"/>
              <w:jc w:val="center"/>
              <w:rPr>
                <w:rFonts w:ascii="Arial" w:hAnsi="Arial"/>
                <w:sz w:val="18"/>
              </w:rPr>
            </w:pPr>
          </w:p>
        </w:tc>
        <w:tc>
          <w:tcPr>
            <w:tcW w:w="6896" w:type="dxa"/>
            <w:gridSpan w:val="19"/>
            <w:tcBorders>
              <w:top w:val="single" w:sz="4" w:space="0" w:color="auto"/>
              <w:left w:val="single" w:sz="4" w:space="0" w:color="auto"/>
              <w:bottom w:val="single" w:sz="4" w:space="0" w:color="auto"/>
              <w:right w:val="single" w:sz="4" w:space="0" w:color="auto"/>
            </w:tcBorders>
            <w:vAlign w:val="center"/>
            <w:hideMark/>
          </w:tcPr>
          <w:p w14:paraId="6B463277" w14:textId="77777777" w:rsidR="003A71DE" w:rsidRDefault="003A71DE" w:rsidP="003A71DE">
            <w:pPr>
              <w:keepNext/>
              <w:keepLines/>
              <w:spacing w:after="0"/>
              <w:jc w:val="center"/>
              <w:rPr>
                <w:rFonts w:ascii="Arial" w:hAnsi="Arial"/>
                <w:sz w:val="18"/>
              </w:rPr>
            </w:pPr>
            <w:r>
              <w:rPr>
                <w:rFonts w:ascii="Arial" w:eastAsia="?? ??" w:hAnsi="Arial"/>
                <w:sz w:val="18"/>
              </w:rPr>
              <w:t>Defined in Figure G.2.3.1.4.1-2</w:t>
            </w:r>
          </w:p>
        </w:tc>
      </w:tr>
      <w:tr w:rsidR="003A71DE" w14:paraId="66DF2008" w14:textId="77777777" w:rsidTr="003A71DE">
        <w:trPr>
          <w:cantSplit/>
          <w:trHeight w:val="168"/>
          <w:jc w:val="center"/>
        </w:trPr>
        <w:tc>
          <w:tcPr>
            <w:tcW w:w="2122" w:type="dxa"/>
            <w:gridSpan w:val="2"/>
            <w:tcBorders>
              <w:top w:val="single" w:sz="4" w:space="0" w:color="auto"/>
              <w:left w:val="single" w:sz="4" w:space="0" w:color="auto"/>
              <w:bottom w:val="single" w:sz="4" w:space="0" w:color="auto"/>
              <w:right w:val="single" w:sz="4" w:space="0" w:color="auto"/>
            </w:tcBorders>
            <w:hideMark/>
          </w:tcPr>
          <w:p w14:paraId="647A511F" w14:textId="77777777" w:rsidR="003A71DE" w:rsidRDefault="003A71DE" w:rsidP="003A71DE">
            <w:pPr>
              <w:keepNext/>
              <w:keepLines/>
              <w:spacing w:after="0"/>
              <w:rPr>
                <w:rFonts w:ascii="Arial" w:hAnsi="Arial"/>
                <w:sz w:val="18"/>
              </w:rPr>
            </w:pPr>
            <w:r>
              <w:rPr>
                <w:rFonts w:ascii="Arial" w:eastAsia="?? ??" w:hAnsi="Arial"/>
                <w:sz w:val="18"/>
              </w:rPr>
              <w:t>Propagation condition</w:t>
            </w:r>
          </w:p>
        </w:tc>
        <w:tc>
          <w:tcPr>
            <w:tcW w:w="762" w:type="dxa"/>
            <w:tcBorders>
              <w:top w:val="single" w:sz="4" w:space="0" w:color="auto"/>
              <w:left w:val="single" w:sz="4" w:space="0" w:color="auto"/>
              <w:bottom w:val="single" w:sz="4" w:space="0" w:color="auto"/>
              <w:right w:val="single" w:sz="4" w:space="0" w:color="auto"/>
            </w:tcBorders>
          </w:tcPr>
          <w:p w14:paraId="4386F4F1" w14:textId="77777777" w:rsidR="003A71DE" w:rsidRDefault="003A71DE" w:rsidP="003A71DE">
            <w:pPr>
              <w:keepNext/>
              <w:keepLines/>
              <w:spacing w:after="0"/>
              <w:jc w:val="center"/>
              <w:rPr>
                <w:rFonts w:ascii="Arial" w:hAnsi="Arial"/>
                <w:sz w:val="18"/>
              </w:rPr>
            </w:pPr>
          </w:p>
        </w:tc>
        <w:tc>
          <w:tcPr>
            <w:tcW w:w="3490" w:type="dxa"/>
            <w:gridSpan w:val="10"/>
            <w:tcBorders>
              <w:top w:val="single" w:sz="4" w:space="0" w:color="auto"/>
              <w:left w:val="single" w:sz="4" w:space="0" w:color="auto"/>
              <w:bottom w:val="single" w:sz="4" w:space="0" w:color="auto"/>
              <w:right w:val="single" w:sz="4" w:space="0" w:color="auto"/>
            </w:tcBorders>
            <w:hideMark/>
          </w:tcPr>
          <w:p w14:paraId="2B6FA3DC" w14:textId="77777777" w:rsidR="003A71DE" w:rsidRDefault="003A71DE" w:rsidP="003A71DE">
            <w:pPr>
              <w:keepNext/>
              <w:keepLines/>
              <w:spacing w:after="0"/>
              <w:jc w:val="center"/>
              <w:rPr>
                <w:rFonts w:ascii="Arial" w:hAnsi="Arial"/>
                <w:sz w:val="18"/>
              </w:rPr>
            </w:pPr>
            <w:r>
              <w:rPr>
                <w:rFonts w:ascii="Arial" w:hAnsi="Arial"/>
                <w:sz w:val="18"/>
              </w:rPr>
              <w:t>TDL-A 30ns 75Hz</w:t>
            </w:r>
          </w:p>
        </w:tc>
        <w:tc>
          <w:tcPr>
            <w:tcW w:w="3406" w:type="dxa"/>
            <w:gridSpan w:val="9"/>
            <w:tcBorders>
              <w:top w:val="single" w:sz="4" w:space="0" w:color="auto"/>
              <w:left w:val="single" w:sz="4" w:space="0" w:color="auto"/>
              <w:bottom w:val="single" w:sz="4" w:space="0" w:color="auto"/>
              <w:right w:val="single" w:sz="4" w:space="0" w:color="auto"/>
            </w:tcBorders>
            <w:hideMark/>
          </w:tcPr>
          <w:p w14:paraId="74EDEE62" w14:textId="77777777" w:rsidR="003A71DE" w:rsidRDefault="003A71DE" w:rsidP="003A71DE">
            <w:pPr>
              <w:keepNext/>
              <w:keepLines/>
              <w:spacing w:after="0"/>
              <w:jc w:val="center"/>
              <w:rPr>
                <w:rFonts w:ascii="Arial" w:hAnsi="Arial"/>
                <w:sz w:val="18"/>
              </w:rPr>
            </w:pPr>
            <w:r>
              <w:rPr>
                <w:rFonts w:ascii="Arial" w:hAnsi="Arial"/>
                <w:sz w:val="18"/>
              </w:rPr>
              <w:t>TDL-A 30ns 75Hz</w:t>
            </w:r>
          </w:p>
        </w:tc>
      </w:tr>
      <w:tr w:rsidR="003A71DE" w14:paraId="6E5B5688" w14:textId="77777777" w:rsidTr="003A71DE">
        <w:trPr>
          <w:cantSplit/>
          <w:trHeight w:val="168"/>
          <w:jc w:val="center"/>
        </w:trPr>
        <w:tc>
          <w:tcPr>
            <w:tcW w:w="9780" w:type="dxa"/>
            <w:gridSpan w:val="22"/>
            <w:tcBorders>
              <w:top w:val="single" w:sz="4" w:space="0" w:color="auto"/>
              <w:left w:val="single" w:sz="4" w:space="0" w:color="auto"/>
              <w:bottom w:val="single" w:sz="4" w:space="0" w:color="auto"/>
              <w:right w:val="single" w:sz="4" w:space="0" w:color="auto"/>
            </w:tcBorders>
            <w:hideMark/>
          </w:tcPr>
          <w:p w14:paraId="18DCCB9E" w14:textId="77777777" w:rsidR="003A71DE" w:rsidRDefault="003A71DE" w:rsidP="00A40F90">
            <w:pPr>
              <w:pStyle w:val="TAN"/>
            </w:pPr>
            <w:r>
              <w:t>Note 1:</w:t>
            </w:r>
            <w:r>
              <w:tab/>
              <w:t>OCNG shall be used such that the resources in Cell 1 are fully allocated and a constant total transmitted power spectral density is achieved for all OFDM symbols.</w:t>
            </w:r>
          </w:p>
          <w:p w14:paraId="697C37C6" w14:textId="77777777" w:rsidR="003A71DE" w:rsidRDefault="003A71DE" w:rsidP="00A40F90">
            <w:pPr>
              <w:pStyle w:val="TAN"/>
            </w:pPr>
            <w:r>
              <w:t>Note 2:</w:t>
            </w:r>
            <w:r>
              <w:tab/>
              <w:t>The signal contains PDCCH for IAB-MTs other than the device under test as part of OCNG.</w:t>
            </w:r>
          </w:p>
          <w:p w14:paraId="5D749CCA" w14:textId="77777777" w:rsidR="003A71DE" w:rsidRDefault="003A71DE" w:rsidP="00A40F90">
            <w:pPr>
              <w:pStyle w:val="TAN"/>
            </w:pPr>
            <w:r>
              <w:t>Note 3:</w:t>
            </w:r>
            <w:r>
              <w:tab/>
              <w:t>SNR levels correspond to the signal to noise ratio over the SSS REs.</w:t>
            </w:r>
          </w:p>
          <w:p w14:paraId="1D303963" w14:textId="2775BBBE" w:rsidR="00C977C0" w:rsidRDefault="00C977C0" w:rsidP="00C977C0">
            <w:pPr>
              <w:pStyle w:val="TAN"/>
            </w:pPr>
            <w:r>
              <w:t>Note 4:</w:t>
            </w:r>
            <w:r>
              <w:rPr>
                <w:rFonts w:eastAsia="MS Mincho"/>
                <w:snapToGrid w:val="0"/>
              </w:rPr>
              <w:tab/>
            </w:r>
            <w:r>
              <w:t xml:space="preserve">The SNR values are specified for testing an IAB-MT which supports 2RX on at least one band. For testing of an IAB-MT which supports 4RX on all bands, the SNR during T3 is </w:t>
            </w:r>
            <w:r>
              <w:rPr>
                <w:rFonts w:eastAsia="SimSun"/>
              </w:rPr>
              <w:t>defined in clause G.1.3</w:t>
            </w:r>
            <w:r>
              <w:t>.</w:t>
            </w:r>
          </w:p>
          <w:p w14:paraId="5E165691" w14:textId="77777777" w:rsidR="00C977C0" w:rsidRDefault="00C977C0" w:rsidP="00C977C0">
            <w:pPr>
              <w:pStyle w:val="TAN"/>
            </w:pPr>
            <w:r>
              <w:t>Note 5:</w:t>
            </w:r>
            <w:r>
              <w:rPr>
                <w:rFonts w:eastAsia="MS Mincho"/>
                <w:snapToGrid w:val="0"/>
              </w:rPr>
              <w:t xml:space="preserve"> </w:t>
            </w:r>
            <w:r>
              <w:rPr>
                <w:rFonts w:eastAsia="MS Mincho"/>
                <w:snapToGrid w:val="0"/>
              </w:rPr>
              <w:tab/>
              <w:t>Void.</w:t>
            </w:r>
          </w:p>
          <w:p w14:paraId="5DE9D348" w14:textId="1A03DD15" w:rsidR="003A71DE" w:rsidRDefault="00C977C0" w:rsidP="00C977C0">
            <w:pPr>
              <w:pStyle w:val="TAN"/>
            </w:pPr>
            <w:r>
              <w:t>Note 6:</w:t>
            </w:r>
            <w:r>
              <w:tab/>
              <w:t>This value allows up to 1dB degradation from applied SNR to IAB-MT baseband</w:t>
            </w:r>
          </w:p>
        </w:tc>
      </w:tr>
    </w:tbl>
    <w:p w14:paraId="41139665" w14:textId="77777777" w:rsidR="003A71DE" w:rsidRPr="007D0AFB" w:rsidRDefault="003A71DE" w:rsidP="003A71DE">
      <w:pPr>
        <w:rPr>
          <w:rFonts w:eastAsia="SimSun"/>
        </w:rPr>
      </w:pPr>
    </w:p>
    <w:p w14:paraId="277D6541" w14:textId="77777777" w:rsidR="003A71DE" w:rsidRPr="007D0AFB" w:rsidRDefault="003A71DE" w:rsidP="00746C0D">
      <w:pPr>
        <w:pStyle w:val="TH"/>
        <w:rPr>
          <w:rFonts w:eastAsia="Malgun Gothic"/>
        </w:rPr>
      </w:pPr>
      <w:r w:rsidRPr="007D0AFB">
        <w:rPr>
          <w:rFonts w:eastAsia="Malgun Gothic"/>
          <w:noProof/>
          <w:lang w:eastAsia="zh-CN"/>
        </w:rPr>
        <w:lastRenderedPageBreak/>
        <w:drawing>
          <wp:inline distT="0" distB="0" distL="0" distR="0" wp14:anchorId="01E086BC" wp14:editId="1D9D94E5">
            <wp:extent cx="5158925" cy="2760980"/>
            <wp:effectExtent l="0" t="0" r="3810" b="1270"/>
            <wp:docPr id="3139"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 FR2 INS.PNG"/>
                    <pic:cNvPicPr/>
                  </pic:nvPicPr>
                  <pic:blipFill>
                    <a:blip r:embed="rId124" cstate="print">
                      <a:extLst>
                        <a:ext uri="{28A0092B-C50C-407E-A947-70E740481C1C}">
                          <a14:useLocalDpi xmlns:a14="http://schemas.microsoft.com/office/drawing/2010/main" val="0"/>
                        </a:ext>
                      </a:extLst>
                    </a:blip>
                    <a:stretch>
                      <a:fillRect/>
                    </a:stretch>
                  </pic:blipFill>
                  <pic:spPr>
                    <a:xfrm>
                      <a:off x="0" y="0"/>
                      <a:ext cx="5159539" cy="2761309"/>
                    </a:xfrm>
                    <a:prstGeom prst="rect">
                      <a:avLst/>
                    </a:prstGeom>
                  </pic:spPr>
                </pic:pic>
              </a:graphicData>
            </a:graphic>
          </wp:inline>
        </w:drawing>
      </w:r>
    </w:p>
    <w:p w14:paraId="10A229CF" w14:textId="77777777" w:rsidR="003A71DE" w:rsidRPr="007D0AFB" w:rsidRDefault="003A71DE" w:rsidP="00746C0D">
      <w:pPr>
        <w:pStyle w:val="TF"/>
        <w:rPr>
          <w:rFonts w:eastAsia="SimSun"/>
          <w:lang w:eastAsia="zh-CN"/>
        </w:rPr>
      </w:pPr>
      <w:r w:rsidRPr="007D0AFB">
        <w:rPr>
          <w:rFonts w:eastAsia="SimSun"/>
        </w:rPr>
        <w:t>Figure G.2.3.1.4.1-1: SNR variation for in-sync testing</w:t>
      </w:r>
    </w:p>
    <w:bookmarkStart w:id="10295" w:name="_Toc535476701"/>
    <w:p w14:paraId="382AB0B5" w14:textId="77777777" w:rsidR="003A71DE" w:rsidRPr="007D0AFB" w:rsidRDefault="003A71DE" w:rsidP="00746C0D">
      <w:pPr>
        <w:pStyle w:val="TH"/>
        <w:rPr>
          <w:rFonts w:eastAsia="SimSun"/>
        </w:rPr>
      </w:pPr>
      <w:r w:rsidRPr="007D0AFB">
        <w:rPr>
          <w:rFonts w:eastAsia="SimSun"/>
        </w:rPr>
        <w:object w:dxaOrig="8536" w:dyaOrig="5748" w14:anchorId="22EF293C">
          <v:shape id="_x0000_i1096" type="#_x0000_t75" style="width:373.85pt;height:252.55pt" o:ole="">
            <v:imagedata r:id="rId121" o:title=""/>
          </v:shape>
          <o:OLEObject Type="Embed" ProgID="Visio.Drawing.11" ShapeID="_x0000_i1096" DrawAspect="Content" ObjectID="_1734764476" r:id="rId125"/>
        </w:object>
      </w:r>
    </w:p>
    <w:p w14:paraId="58C9E6AB" w14:textId="77777777" w:rsidR="003A71DE" w:rsidRPr="007D0AFB" w:rsidRDefault="003A71DE" w:rsidP="00746C0D">
      <w:pPr>
        <w:pStyle w:val="TF"/>
        <w:rPr>
          <w:rFonts w:eastAsia="SimSun"/>
        </w:rPr>
      </w:pPr>
      <w:r w:rsidRPr="007D0AFB">
        <w:rPr>
          <w:rFonts w:eastAsia="SimSun"/>
        </w:rPr>
        <w:t>Figure G.2.3.1.4.1-2: Time multiplexed downlink transmissions</w:t>
      </w:r>
    </w:p>
    <w:p w14:paraId="54A322EF" w14:textId="77777777" w:rsidR="003A71DE" w:rsidRPr="007D0AFB" w:rsidRDefault="003A71DE" w:rsidP="00746C0D">
      <w:pPr>
        <w:pStyle w:val="H6"/>
        <w:rPr>
          <w:rFonts w:eastAsia="SimSun"/>
          <w:snapToGrid w:val="0"/>
        </w:rPr>
      </w:pPr>
      <w:r w:rsidRPr="007D0AFB">
        <w:rPr>
          <w:rFonts w:eastAsia="SimSun"/>
          <w:snapToGrid w:val="0"/>
        </w:rPr>
        <w:t>G.2.3.1.4.2</w:t>
      </w:r>
      <w:r w:rsidRPr="007D0AFB">
        <w:rPr>
          <w:rFonts w:eastAsia="SimSun"/>
          <w:snapToGrid w:val="0"/>
        </w:rPr>
        <w:tab/>
        <w:t>Test Requirements</w:t>
      </w:r>
      <w:bookmarkEnd w:id="10295"/>
    </w:p>
    <w:p w14:paraId="11800B7C" w14:textId="77777777" w:rsidR="003A71DE" w:rsidRPr="007D0AFB" w:rsidRDefault="003A71DE" w:rsidP="003A71DE">
      <w:pPr>
        <w:rPr>
          <w:rFonts w:eastAsia="SimSun"/>
        </w:rPr>
      </w:pPr>
      <w:r w:rsidRPr="007D0AFB">
        <w:rPr>
          <w:rFonts w:eastAsia="SimSun"/>
        </w:rPr>
        <w:t>The IAB-MT behaviour in each test during time durations T1, T2, T3, T4 and T5 shall be as follows:</w:t>
      </w:r>
    </w:p>
    <w:p w14:paraId="784553A8" w14:textId="77777777" w:rsidR="003A71DE" w:rsidRPr="007D0AFB" w:rsidRDefault="003A71DE" w:rsidP="003A71DE">
      <w:pPr>
        <w:rPr>
          <w:rFonts w:eastAsia="SimSun"/>
        </w:rPr>
      </w:pPr>
      <w:r w:rsidRPr="007D0AFB">
        <w:rPr>
          <w:rFonts w:eastAsia="SimSun"/>
        </w:rPr>
        <w:t>During the period from time point A to time point F (D1 second after the start of time duration T5) the IAB-MT shall transmit uplink signal at least in all uplink slots configured for CSI transmission according to the configured periodic CSI reporting.</w:t>
      </w:r>
    </w:p>
    <w:p w14:paraId="16A75C67" w14:textId="77777777" w:rsidR="003A71DE" w:rsidRDefault="003A71DE" w:rsidP="003A71DE">
      <w:pPr>
        <w:rPr>
          <w:rFonts w:eastAsia="SimSun"/>
        </w:rPr>
      </w:pPr>
      <w:r w:rsidRPr="007D0AFB">
        <w:rPr>
          <w:rFonts w:eastAsia="SimSun"/>
        </w:rPr>
        <w:t>The rate of correct events observed during repeated tests shall be at least 90%.</w:t>
      </w:r>
      <w:bookmarkEnd w:id="10261"/>
    </w:p>
    <w:p w14:paraId="2D90A560" w14:textId="77777777" w:rsidR="003A71DE" w:rsidRPr="003F24A0" w:rsidRDefault="003A71DE" w:rsidP="00746C0D">
      <w:pPr>
        <w:pStyle w:val="Heading5"/>
        <w:rPr>
          <w:rFonts w:eastAsia="SimSun"/>
        </w:rPr>
      </w:pPr>
      <w:bookmarkStart w:id="10296" w:name="_Toc74583685"/>
      <w:bookmarkStart w:id="10297" w:name="_Toc76542498"/>
      <w:bookmarkStart w:id="10298" w:name="_Toc82450480"/>
      <w:bookmarkStart w:id="10299" w:name="_Toc82451128"/>
      <w:bookmarkStart w:id="10300" w:name="_Toc89949517"/>
      <w:bookmarkStart w:id="10301" w:name="_Toc98755906"/>
      <w:bookmarkStart w:id="10302" w:name="_Toc98763498"/>
      <w:bookmarkStart w:id="10303" w:name="_Toc106184427"/>
      <w:r>
        <w:rPr>
          <w:rFonts w:eastAsia="SimSun"/>
        </w:rPr>
        <w:lastRenderedPageBreak/>
        <w:t>G.2.3.1.5</w:t>
      </w:r>
      <w:r w:rsidRPr="003F24A0">
        <w:rPr>
          <w:rFonts w:eastAsia="SimSun"/>
        </w:rPr>
        <w:tab/>
        <w:t>Radio Link Monitoring Out-of-sync Test for FR1 PCell configured with CSI-RS-based RLM in non-DRX mode</w:t>
      </w:r>
      <w:bookmarkEnd w:id="10296"/>
      <w:bookmarkEnd w:id="10297"/>
      <w:bookmarkEnd w:id="10298"/>
      <w:bookmarkEnd w:id="10299"/>
      <w:bookmarkEnd w:id="10300"/>
      <w:bookmarkEnd w:id="10301"/>
      <w:bookmarkEnd w:id="10302"/>
      <w:bookmarkEnd w:id="10303"/>
    </w:p>
    <w:p w14:paraId="21251211" w14:textId="77777777" w:rsidR="003A71DE" w:rsidRPr="003F24A0" w:rsidRDefault="003A71DE" w:rsidP="00746C0D">
      <w:pPr>
        <w:pStyle w:val="H6"/>
        <w:rPr>
          <w:rFonts w:eastAsia="SimSun"/>
          <w:snapToGrid w:val="0"/>
          <w:lang w:eastAsia="zh-CN"/>
        </w:rPr>
      </w:pPr>
      <w:bookmarkStart w:id="10304" w:name="_Toc535476540"/>
      <w:r>
        <w:rPr>
          <w:rFonts w:eastAsia="SimSun"/>
          <w:snapToGrid w:val="0"/>
          <w:lang w:eastAsia="zh-CN"/>
        </w:rPr>
        <w:t>G.2.3.1.5</w:t>
      </w:r>
      <w:r w:rsidRPr="003F24A0">
        <w:rPr>
          <w:rFonts w:eastAsia="SimSun"/>
          <w:snapToGrid w:val="0"/>
          <w:lang w:eastAsia="zh-CN"/>
        </w:rPr>
        <w:t>.1</w:t>
      </w:r>
      <w:r w:rsidRPr="003F24A0">
        <w:rPr>
          <w:rFonts w:eastAsia="SimSun"/>
          <w:snapToGrid w:val="0"/>
          <w:lang w:eastAsia="zh-CN"/>
        </w:rPr>
        <w:tab/>
        <w:t>Test Purpose and Environment</w:t>
      </w:r>
      <w:bookmarkEnd w:id="10304"/>
    </w:p>
    <w:p w14:paraId="2632E6E0" w14:textId="77777777" w:rsidR="003A71DE" w:rsidRPr="003F24A0" w:rsidRDefault="003A71DE" w:rsidP="003A71DE">
      <w:pPr>
        <w:rPr>
          <w:rFonts w:eastAsia="SimSun"/>
        </w:rPr>
      </w:pPr>
      <w:r w:rsidRPr="003F24A0">
        <w:rPr>
          <w:rFonts w:eastAsia="SimSun"/>
        </w:rPr>
        <w:t xml:space="preserve">The purpose of this test is to verify that the </w:t>
      </w:r>
      <w:r>
        <w:rPr>
          <w:rFonts w:eastAsia="SimSun"/>
        </w:rPr>
        <w:t>IAB-MT</w:t>
      </w:r>
      <w:r w:rsidRPr="003F24A0">
        <w:rPr>
          <w:rFonts w:eastAsia="SimSun"/>
        </w:rPr>
        <w:t xml:space="preserve"> properly detects the out of sync for the purpose of monitoring downlink CSI-RS based radio link quality of the PCel</w:t>
      </w:r>
      <w:r>
        <w:rPr>
          <w:rFonts w:eastAsia="SimSun"/>
        </w:rPr>
        <w:t>l</w:t>
      </w:r>
      <w:r w:rsidRPr="003F24A0">
        <w:rPr>
          <w:rFonts w:eastAsia="SimSun"/>
        </w:rPr>
        <w:t>. This test will partly verify the FR1 PCell CSI-RS Out-of-sync radio link monitoring requirements in clause </w:t>
      </w:r>
      <w:r>
        <w:rPr>
          <w:rFonts w:eastAsia="SimSun"/>
        </w:rPr>
        <w:t>12.3.1.3</w:t>
      </w:r>
      <w:r w:rsidRPr="003F24A0">
        <w:rPr>
          <w:rFonts w:eastAsia="SimSun"/>
        </w:rPr>
        <w:t>.</w:t>
      </w:r>
      <w:r>
        <w:rPr>
          <w:rFonts w:eastAsia="SimSun"/>
        </w:rPr>
        <w:t xml:space="preserve"> </w:t>
      </w:r>
      <w:r w:rsidRPr="00CE0F04">
        <w:rPr>
          <w:rFonts w:cs="v4.2.0"/>
        </w:rPr>
        <w:t>This test case is applicable only for local area IAB-MT and for IAB type 1-H.</w:t>
      </w:r>
    </w:p>
    <w:p w14:paraId="09CFEAE8" w14:textId="77777777" w:rsidR="003A71DE" w:rsidRPr="003F24A0" w:rsidRDefault="003A71DE" w:rsidP="003A71DE">
      <w:pPr>
        <w:rPr>
          <w:rFonts w:eastAsia="SimSun"/>
        </w:rPr>
      </w:pPr>
      <w:r w:rsidRPr="003F24A0">
        <w:rPr>
          <w:rFonts w:eastAsia="SimSun"/>
        </w:rPr>
        <w:t xml:space="preserve">The test parameters are given in Tables </w:t>
      </w:r>
      <w:r>
        <w:rPr>
          <w:rFonts w:eastAsia="SimSun"/>
        </w:rPr>
        <w:t>G.2.3.1.5</w:t>
      </w:r>
      <w:r w:rsidRPr="003F24A0">
        <w:rPr>
          <w:rFonts w:eastAsia="SimSun"/>
        </w:rPr>
        <w:t xml:space="preserve">.1-1, </w:t>
      </w:r>
      <w:r>
        <w:rPr>
          <w:rFonts w:eastAsia="SimSun"/>
        </w:rPr>
        <w:t>G.2.3.1.5</w:t>
      </w:r>
      <w:r w:rsidRPr="003F24A0">
        <w:rPr>
          <w:rFonts w:eastAsia="SimSun"/>
        </w:rPr>
        <w:t>.1-</w:t>
      </w:r>
      <w:r w:rsidRPr="00FE43B2">
        <w:rPr>
          <w:rFonts w:eastAsia="SimSun"/>
        </w:rPr>
        <w:t>2</w:t>
      </w:r>
      <w:r>
        <w:rPr>
          <w:rFonts w:eastAsia="SimSun"/>
        </w:rPr>
        <w:t xml:space="preserve"> </w:t>
      </w:r>
      <w:r w:rsidRPr="00FE43B2">
        <w:rPr>
          <w:rFonts w:eastAsia="SimSun"/>
        </w:rPr>
        <w:t>and</w:t>
      </w:r>
      <w:r>
        <w:rPr>
          <w:rFonts w:eastAsia="SimSun"/>
        </w:rPr>
        <w:t xml:space="preserve"> G.2.3.1.5</w:t>
      </w:r>
      <w:r w:rsidRPr="003F24A0">
        <w:rPr>
          <w:rFonts w:eastAsia="SimSun"/>
        </w:rPr>
        <w:t>.1-3</w:t>
      </w:r>
      <w:r>
        <w:rPr>
          <w:rFonts w:eastAsia="SimSun"/>
        </w:rPr>
        <w:t xml:space="preserve"> </w:t>
      </w:r>
      <w:r w:rsidRPr="003F24A0">
        <w:rPr>
          <w:rFonts w:eastAsia="SimSun"/>
        </w:rPr>
        <w:t xml:space="preserve">below. There is one cell, cell 1 which is the PCell, in the test. The test consists of three successive time periods, with time duration of T1, T2 and T3 respectively. Figure </w:t>
      </w:r>
      <w:r>
        <w:rPr>
          <w:rFonts w:eastAsia="SimSun"/>
        </w:rPr>
        <w:t>G.2.3.1.5</w:t>
      </w:r>
      <w:r w:rsidRPr="003F24A0">
        <w:rPr>
          <w:rFonts w:eastAsia="SimSun"/>
        </w:rPr>
        <w:t xml:space="preserve">.1-1 shows the variation of the downlink SNR in the PCell to emulate out-of-sync and in-sync states. Prior to the start of the time duration T1, the </w:t>
      </w:r>
      <w:r>
        <w:rPr>
          <w:rFonts w:eastAsia="SimSun"/>
        </w:rPr>
        <w:t>IAB-MT</w:t>
      </w:r>
      <w:r w:rsidRPr="003F24A0">
        <w:rPr>
          <w:rFonts w:eastAsia="SimSun"/>
        </w:rPr>
        <w:t xml:space="preserve"> shall be fully synchronized to cell 1. The </w:t>
      </w:r>
      <w:r>
        <w:rPr>
          <w:rFonts w:eastAsia="SimSun"/>
        </w:rPr>
        <w:t>IAB-MT</w:t>
      </w:r>
      <w:r w:rsidRPr="003F24A0">
        <w:rPr>
          <w:rFonts w:eastAsia="SimSun"/>
        </w:rPr>
        <w:t xml:space="preserve"> shall be configured for periodic CSI reporting with a reporting periodicity defined in CSI-RS configuration. In the test, SSB0 is configured as the BFD-RS.</w:t>
      </w:r>
    </w:p>
    <w:p w14:paraId="08737D5B" w14:textId="77777777" w:rsidR="003A71DE" w:rsidRPr="003F24A0" w:rsidRDefault="003A71DE" w:rsidP="00746C0D">
      <w:pPr>
        <w:pStyle w:val="TH"/>
        <w:rPr>
          <w:rFonts w:eastAsia="SimSun"/>
        </w:rPr>
      </w:pPr>
      <w:r w:rsidRPr="003F24A0">
        <w:rPr>
          <w:rFonts w:eastAsia="SimSun"/>
        </w:rPr>
        <w:t xml:space="preserve">Table </w:t>
      </w:r>
      <w:r>
        <w:rPr>
          <w:rFonts w:eastAsia="SimSun"/>
        </w:rPr>
        <w:t>G.2.3.1.5</w:t>
      </w:r>
      <w:r w:rsidRPr="003F24A0">
        <w:rPr>
          <w:rFonts w:eastAsia="SimSun"/>
        </w:rPr>
        <w:t>.1-1: Supported test configurations for FR1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6905"/>
      </w:tblGrid>
      <w:tr w:rsidR="003A71DE" w:rsidRPr="003F24A0" w14:paraId="48C3361F" w14:textId="77777777" w:rsidTr="003A71DE">
        <w:trPr>
          <w:trHeight w:val="187"/>
          <w:jc w:val="center"/>
        </w:trPr>
        <w:tc>
          <w:tcPr>
            <w:tcW w:w="2265" w:type="dxa"/>
            <w:shd w:val="clear" w:color="auto" w:fill="auto"/>
          </w:tcPr>
          <w:p w14:paraId="519CD2F1" w14:textId="77777777" w:rsidR="003A71DE" w:rsidRPr="003F24A0" w:rsidRDefault="003A71DE" w:rsidP="00A40F90">
            <w:pPr>
              <w:pStyle w:val="TAH"/>
              <w:rPr>
                <w:rFonts w:eastAsia="SimSun"/>
              </w:rPr>
            </w:pPr>
            <w:r w:rsidRPr="003F24A0">
              <w:rPr>
                <w:rFonts w:eastAsia="SimSun"/>
              </w:rPr>
              <w:t>Configuration</w:t>
            </w:r>
          </w:p>
        </w:tc>
        <w:tc>
          <w:tcPr>
            <w:tcW w:w="6905" w:type="dxa"/>
            <w:shd w:val="clear" w:color="auto" w:fill="auto"/>
          </w:tcPr>
          <w:p w14:paraId="08553AF3" w14:textId="77777777" w:rsidR="003A71DE" w:rsidRPr="003F24A0" w:rsidRDefault="003A71DE" w:rsidP="00A40F90">
            <w:pPr>
              <w:pStyle w:val="TAH"/>
              <w:rPr>
                <w:rFonts w:eastAsia="SimSun"/>
              </w:rPr>
            </w:pPr>
            <w:r w:rsidRPr="003F24A0">
              <w:rPr>
                <w:rFonts w:eastAsia="SimSun"/>
              </w:rPr>
              <w:t>Description</w:t>
            </w:r>
          </w:p>
        </w:tc>
      </w:tr>
      <w:tr w:rsidR="003A71DE" w:rsidRPr="003F24A0" w14:paraId="3FB5939B" w14:textId="77777777" w:rsidTr="003A71DE">
        <w:trPr>
          <w:trHeight w:val="187"/>
          <w:jc w:val="center"/>
        </w:trPr>
        <w:tc>
          <w:tcPr>
            <w:tcW w:w="2265" w:type="dxa"/>
            <w:shd w:val="clear" w:color="auto" w:fill="auto"/>
          </w:tcPr>
          <w:p w14:paraId="040025CC" w14:textId="77777777" w:rsidR="003A71DE" w:rsidRPr="003F24A0" w:rsidRDefault="003A71DE" w:rsidP="00A40F90">
            <w:pPr>
              <w:pStyle w:val="TAL"/>
              <w:rPr>
                <w:rFonts w:eastAsia="SimSun"/>
              </w:rPr>
            </w:pPr>
            <w:r>
              <w:rPr>
                <w:rFonts w:eastAsia="SimSun"/>
              </w:rPr>
              <w:t>1</w:t>
            </w:r>
          </w:p>
        </w:tc>
        <w:tc>
          <w:tcPr>
            <w:tcW w:w="6905" w:type="dxa"/>
            <w:shd w:val="clear" w:color="auto" w:fill="auto"/>
          </w:tcPr>
          <w:p w14:paraId="14B6B11E" w14:textId="77777777" w:rsidR="003A71DE" w:rsidRPr="003F24A0" w:rsidRDefault="003A71DE" w:rsidP="00A40F90">
            <w:pPr>
              <w:pStyle w:val="TAL"/>
              <w:rPr>
                <w:rFonts w:eastAsia="SimSun"/>
              </w:rPr>
            </w:pPr>
            <w:r w:rsidRPr="003F24A0">
              <w:rPr>
                <w:rFonts w:eastAsia="SimSun"/>
              </w:rPr>
              <w:t>TDD duplex mode, 15 kHz SSB SCS, 10 MHz bandwidth</w:t>
            </w:r>
          </w:p>
        </w:tc>
      </w:tr>
      <w:tr w:rsidR="003A71DE" w:rsidRPr="003F24A0" w14:paraId="56D84F39" w14:textId="77777777" w:rsidTr="003A71DE">
        <w:trPr>
          <w:trHeight w:val="187"/>
          <w:jc w:val="center"/>
        </w:trPr>
        <w:tc>
          <w:tcPr>
            <w:tcW w:w="2265" w:type="dxa"/>
            <w:shd w:val="clear" w:color="auto" w:fill="auto"/>
          </w:tcPr>
          <w:p w14:paraId="33EC74A1" w14:textId="77777777" w:rsidR="003A71DE" w:rsidRPr="003F24A0" w:rsidRDefault="003A71DE" w:rsidP="00A40F90">
            <w:pPr>
              <w:pStyle w:val="TAL"/>
              <w:rPr>
                <w:rFonts w:eastAsia="SimSun"/>
              </w:rPr>
            </w:pPr>
            <w:r>
              <w:rPr>
                <w:rFonts w:eastAsia="SimSun"/>
              </w:rPr>
              <w:t>2</w:t>
            </w:r>
          </w:p>
        </w:tc>
        <w:tc>
          <w:tcPr>
            <w:tcW w:w="6905" w:type="dxa"/>
            <w:shd w:val="clear" w:color="auto" w:fill="auto"/>
          </w:tcPr>
          <w:p w14:paraId="11431DBB" w14:textId="77777777" w:rsidR="003A71DE" w:rsidRPr="003F24A0" w:rsidRDefault="003A71DE" w:rsidP="00A40F90">
            <w:pPr>
              <w:pStyle w:val="TAL"/>
              <w:rPr>
                <w:rFonts w:eastAsia="SimSun"/>
              </w:rPr>
            </w:pPr>
            <w:r w:rsidRPr="003F24A0">
              <w:rPr>
                <w:rFonts w:eastAsia="SimSun"/>
              </w:rPr>
              <w:t>TDD duplex mode, 30 kHz SSB SCS, 40 MHz bandwidth</w:t>
            </w:r>
          </w:p>
        </w:tc>
      </w:tr>
      <w:tr w:rsidR="003A71DE" w:rsidRPr="003F24A0" w14:paraId="7107F19E" w14:textId="77777777" w:rsidTr="003A71DE">
        <w:trPr>
          <w:trHeight w:val="187"/>
          <w:jc w:val="center"/>
        </w:trPr>
        <w:tc>
          <w:tcPr>
            <w:tcW w:w="9170" w:type="dxa"/>
            <w:gridSpan w:val="2"/>
            <w:shd w:val="clear" w:color="auto" w:fill="auto"/>
          </w:tcPr>
          <w:p w14:paraId="436411B4" w14:textId="77777777" w:rsidR="003A71DE" w:rsidRPr="003F24A0" w:rsidRDefault="003A71DE" w:rsidP="00A40F90">
            <w:pPr>
              <w:pStyle w:val="TAN"/>
              <w:rPr>
                <w:rFonts w:eastAsia="SimSun"/>
              </w:rPr>
            </w:pPr>
            <w:r w:rsidRPr="003F24A0">
              <w:rPr>
                <w:rFonts w:eastAsia="SimSun"/>
              </w:rPr>
              <w:t>Note:</w:t>
            </w:r>
            <w:r w:rsidRPr="003F24A0">
              <w:rPr>
                <w:rFonts w:eastAsia="SimSun"/>
              </w:rPr>
              <w:tab/>
              <w:t xml:space="preserve">The </w:t>
            </w:r>
            <w:r>
              <w:rPr>
                <w:rFonts w:eastAsia="SimSun"/>
              </w:rPr>
              <w:t>IAB-MT</w:t>
            </w:r>
            <w:r w:rsidRPr="003F24A0">
              <w:rPr>
                <w:rFonts w:eastAsia="SimSun"/>
              </w:rPr>
              <w:t xml:space="preserve"> is only required to pass in one of the supported test configurations in FR1</w:t>
            </w:r>
          </w:p>
        </w:tc>
      </w:tr>
    </w:tbl>
    <w:p w14:paraId="58CD2253" w14:textId="77777777" w:rsidR="003A71DE" w:rsidRPr="003F24A0" w:rsidRDefault="003A71DE" w:rsidP="003A71DE">
      <w:pPr>
        <w:rPr>
          <w:rFonts w:eastAsia="SimSun"/>
        </w:rPr>
      </w:pPr>
    </w:p>
    <w:p w14:paraId="50AAA198" w14:textId="77777777" w:rsidR="003A71DE" w:rsidRPr="003F24A0" w:rsidDel="002042BA" w:rsidRDefault="003A71DE" w:rsidP="00746C0D">
      <w:pPr>
        <w:pStyle w:val="TH"/>
        <w:rPr>
          <w:rFonts w:eastAsia="SimSun"/>
        </w:rPr>
      </w:pPr>
      <w:r w:rsidRPr="003F24A0">
        <w:rPr>
          <w:rFonts w:eastAsia="SimSun"/>
        </w:rPr>
        <w:lastRenderedPageBreak/>
        <w:t xml:space="preserve">Table </w:t>
      </w:r>
      <w:r>
        <w:rPr>
          <w:rFonts w:eastAsia="SimSun"/>
        </w:rPr>
        <w:t>G.2.3.1.5</w:t>
      </w:r>
      <w:r w:rsidRPr="003F24A0">
        <w:rPr>
          <w:rFonts w:eastAsia="SimSun"/>
        </w:rPr>
        <w:t xml:space="preserve">.1-2: General test parameters for FR1 PCell for CSI-RS out-of-sync testing in non-DRX </w:t>
      </w:r>
    </w:p>
    <w:tbl>
      <w:tblPr>
        <w:tblW w:w="49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4"/>
        <w:gridCol w:w="2837"/>
        <w:gridCol w:w="708"/>
        <w:gridCol w:w="2835"/>
      </w:tblGrid>
      <w:tr w:rsidR="003A71DE" w:rsidRPr="00F857FD" w14:paraId="1E447742" w14:textId="77777777" w:rsidTr="003A71DE">
        <w:trPr>
          <w:trHeight w:val="164"/>
          <w:jc w:val="center"/>
        </w:trPr>
        <w:tc>
          <w:tcPr>
            <w:tcW w:w="3134" w:type="pct"/>
            <w:gridSpan w:val="2"/>
            <w:tcBorders>
              <w:bottom w:val="nil"/>
            </w:tcBorders>
            <w:shd w:val="clear" w:color="auto" w:fill="auto"/>
          </w:tcPr>
          <w:p w14:paraId="3D061D16" w14:textId="77777777" w:rsidR="003A71DE" w:rsidRPr="00F857FD" w:rsidRDefault="003A71DE" w:rsidP="00A40F90">
            <w:pPr>
              <w:pStyle w:val="TAH"/>
              <w:rPr>
                <w:rFonts w:eastAsia="SimSun"/>
              </w:rPr>
            </w:pPr>
            <w:r w:rsidRPr="00F857FD">
              <w:rPr>
                <w:rFonts w:eastAsia="SimSun"/>
              </w:rPr>
              <w:t>Parameter</w:t>
            </w:r>
          </w:p>
        </w:tc>
        <w:tc>
          <w:tcPr>
            <w:tcW w:w="373" w:type="pct"/>
            <w:tcBorders>
              <w:bottom w:val="nil"/>
            </w:tcBorders>
            <w:shd w:val="clear" w:color="auto" w:fill="auto"/>
          </w:tcPr>
          <w:p w14:paraId="2E9698CE" w14:textId="77777777" w:rsidR="003A71DE" w:rsidRPr="00F857FD" w:rsidRDefault="003A71DE" w:rsidP="00A40F90">
            <w:pPr>
              <w:pStyle w:val="TAH"/>
              <w:rPr>
                <w:rFonts w:eastAsia="SimSun"/>
              </w:rPr>
            </w:pPr>
            <w:r w:rsidRPr="00F857FD">
              <w:rPr>
                <w:rFonts w:eastAsia="SimSun"/>
              </w:rPr>
              <w:t>Unit</w:t>
            </w:r>
          </w:p>
        </w:tc>
        <w:tc>
          <w:tcPr>
            <w:tcW w:w="1493" w:type="pct"/>
            <w:shd w:val="clear" w:color="auto" w:fill="auto"/>
          </w:tcPr>
          <w:p w14:paraId="6270D912" w14:textId="77777777" w:rsidR="003A71DE" w:rsidRPr="00F857FD" w:rsidRDefault="003A71DE" w:rsidP="00A40F90">
            <w:pPr>
              <w:pStyle w:val="TAH"/>
              <w:rPr>
                <w:rFonts w:eastAsia="SimSun"/>
              </w:rPr>
            </w:pPr>
            <w:r w:rsidRPr="00F857FD">
              <w:rPr>
                <w:rFonts w:eastAsia="SimSun"/>
              </w:rPr>
              <w:t>IAB-MT</w:t>
            </w:r>
          </w:p>
        </w:tc>
      </w:tr>
      <w:tr w:rsidR="003A71DE" w:rsidRPr="00F857FD" w14:paraId="5D6B7DA2" w14:textId="77777777" w:rsidTr="003A71DE">
        <w:trPr>
          <w:trHeight w:val="74"/>
          <w:jc w:val="center"/>
        </w:trPr>
        <w:tc>
          <w:tcPr>
            <w:tcW w:w="3134" w:type="pct"/>
            <w:gridSpan w:val="2"/>
            <w:tcBorders>
              <w:top w:val="nil"/>
            </w:tcBorders>
            <w:shd w:val="clear" w:color="auto" w:fill="auto"/>
          </w:tcPr>
          <w:p w14:paraId="439FF226" w14:textId="77777777" w:rsidR="003A71DE" w:rsidRPr="00F857FD" w:rsidRDefault="003A71DE" w:rsidP="00A40F90">
            <w:pPr>
              <w:pStyle w:val="TAH"/>
              <w:rPr>
                <w:rFonts w:eastAsia="SimSun"/>
              </w:rPr>
            </w:pPr>
          </w:p>
        </w:tc>
        <w:tc>
          <w:tcPr>
            <w:tcW w:w="373" w:type="pct"/>
            <w:tcBorders>
              <w:top w:val="nil"/>
            </w:tcBorders>
            <w:shd w:val="clear" w:color="auto" w:fill="auto"/>
          </w:tcPr>
          <w:p w14:paraId="6A19671B" w14:textId="77777777" w:rsidR="003A71DE" w:rsidRPr="00F857FD" w:rsidRDefault="003A71DE" w:rsidP="00A40F90">
            <w:pPr>
              <w:pStyle w:val="TAH"/>
              <w:rPr>
                <w:rFonts w:eastAsia="SimSun"/>
              </w:rPr>
            </w:pPr>
          </w:p>
        </w:tc>
        <w:tc>
          <w:tcPr>
            <w:tcW w:w="1493" w:type="pct"/>
            <w:shd w:val="clear" w:color="auto" w:fill="auto"/>
          </w:tcPr>
          <w:p w14:paraId="6B9565B3" w14:textId="77777777" w:rsidR="003A71DE" w:rsidRPr="00F857FD" w:rsidRDefault="003A71DE" w:rsidP="00A40F90">
            <w:pPr>
              <w:pStyle w:val="TAH"/>
              <w:rPr>
                <w:rFonts w:eastAsia="SimSun"/>
              </w:rPr>
            </w:pPr>
            <w:r w:rsidRPr="00F857FD">
              <w:rPr>
                <w:rFonts w:eastAsia="SimSun"/>
              </w:rPr>
              <w:t>Test 1</w:t>
            </w:r>
          </w:p>
        </w:tc>
      </w:tr>
      <w:tr w:rsidR="003A71DE" w:rsidRPr="00F857FD" w14:paraId="1037076B" w14:textId="77777777" w:rsidTr="003A71DE">
        <w:trPr>
          <w:trHeight w:val="64"/>
          <w:jc w:val="center"/>
        </w:trPr>
        <w:tc>
          <w:tcPr>
            <w:tcW w:w="3134" w:type="pct"/>
            <w:gridSpan w:val="2"/>
            <w:shd w:val="clear" w:color="auto" w:fill="auto"/>
          </w:tcPr>
          <w:p w14:paraId="7FBFA88F"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 xml:space="preserve">Active PCell </w:t>
            </w:r>
          </w:p>
        </w:tc>
        <w:tc>
          <w:tcPr>
            <w:tcW w:w="373" w:type="pct"/>
            <w:shd w:val="clear" w:color="auto" w:fill="auto"/>
          </w:tcPr>
          <w:p w14:paraId="76B267B0"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540C0F3"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Cell 1</w:t>
            </w:r>
          </w:p>
        </w:tc>
      </w:tr>
      <w:tr w:rsidR="003A71DE" w:rsidRPr="00F857FD" w14:paraId="064BC16E" w14:textId="77777777" w:rsidTr="003A71DE">
        <w:trPr>
          <w:trHeight w:val="164"/>
          <w:jc w:val="center"/>
        </w:trPr>
        <w:tc>
          <w:tcPr>
            <w:tcW w:w="3134" w:type="pct"/>
            <w:gridSpan w:val="2"/>
            <w:shd w:val="clear" w:color="auto" w:fill="auto"/>
          </w:tcPr>
          <w:p w14:paraId="2A243EE2"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RF Channel Number</w:t>
            </w:r>
          </w:p>
        </w:tc>
        <w:tc>
          <w:tcPr>
            <w:tcW w:w="373" w:type="pct"/>
            <w:tcBorders>
              <w:bottom w:val="single" w:sz="4" w:space="0" w:color="auto"/>
            </w:tcBorders>
            <w:shd w:val="clear" w:color="auto" w:fill="auto"/>
          </w:tcPr>
          <w:p w14:paraId="4B8D219E"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04F891D"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1</w:t>
            </w:r>
          </w:p>
        </w:tc>
      </w:tr>
      <w:tr w:rsidR="003A71DE" w:rsidRPr="00F857FD" w14:paraId="18B7BD8F" w14:textId="77777777" w:rsidTr="003A71DE">
        <w:trPr>
          <w:trHeight w:val="92"/>
          <w:jc w:val="center"/>
        </w:trPr>
        <w:tc>
          <w:tcPr>
            <w:tcW w:w="1640" w:type="pct"/>
            <w:tcBorders>
              <w:top w:val="nil"/>
              <w:bottom w:val="single" w:sz="4" w:space="0" w:color="auto"/>
            </w:tcBorders>
            <w:shd w:val="clear" w:color="auto" w:fill="auto"/>
          </w:tcPr>
          <w:p w14:paraId="23484CAA"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Duplex mode</w:t>
            </w:r>
          </w:p>
        </w:tc>
        <w:tc>
          <w:tcPr>
            <w:tcW w:w="1494" w:type="pct"/>
            <w:shd w:val="clear" w:color="auto" w:fill="auto"/>
          </w:tcPr>
          <w:p w14:paraId="27B1E458"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 2</w:t>
            </w:r>
          </w:p>
        </w:tc>
        <w:tc>
          <w:tcPr>
            <w:tcW w:w="373" w:type="pct"/>
            <w:tcBorders>
              <w:top w:val="nil"/>
              <w:bottom w:val="single" w:sz="4" w:space="0" w:color="auto"/>
            </w:tcBorders>
            <w:shd w:val="clear" w:color="auto" w:fill="auto"/>
          </w:tcPr>
          <w:p w14:paraId="6E91DBAB"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CA5338E"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TDD</w:t>
            </w:r>
          </w:p>
        </w:tc>
      </w:tr>
      <w:tr w:rsidR="003A71DE" w:rsidRPr="00F857FD" w14:paraId="0D6F78E7" w14:textId="77777777" w:rsidTr="003A71DE">
        <w:trPr>
          <w:trHeight w:val="189"/>
          <w:jc w:val="center"/>
        </w:trPr>
        <w:tc>
          <w:tcPr>
            <w:tcW w:w="1640" w:type="pct"/>
            <w:tcBorders>
              <w:bottom w:val="nil"/>
            </w:tcBorders>
            <w:shd w:val="clear" w:color="auto" w:fill="auto"/>
          </w:tcPr>
          <w:p w14:paraId="5BEFCAE0"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TDD Configuration</w:t>
            </w:r>
          </w:p>
        </w:tc>
        <w:tc>
          <w:tcPr>
            <w:tcW w:w="1494" w:type="pct"/>
            <w:shd w:val="clear" w:color="auto" w:fill="auto"/>
          </w:tcPr>
          <w:p w14:paraId="1946C87F"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tcBorders>
              <w:bottom w:val="nil"/>
            </w:tcBorders>
            <w:shd w:val="clear" w:color="auto" w:fill="auto"/>
          </w:tcPr>
          <w:p w14:paraId="4B8670CD"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FA238F1"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TDDConf.1.1</w:t>
            </w:r>
          </w:p>
        </w:tc>
      </w:tr>
      <w:tr w:rsidR="003A71DE" w:rsidRPr="00F857FD" w14:paraId="199B861F" w14:textId="77777777" w:rsidTr="003A71DE">
        <w:trPr>
          <w:trHeight w:val="189"/>
          <w:jc w:val="center"/>
        </w:trPr>
        <w:tc>
          <w:tcPr>
            <w:tcW w:w="1640" w:type="pct"/>
            <w:tcBorders>
              <w:top w:val="nil"/>
              <w:bottom w:val="nil"/>
            </w:tcBorders>
            <w:shd w:val="clear" w:color="auto" w:fill="auto"/>
          </w:tcPr>
          <w:p w14:paraId="087DF96F"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63D6BDB0"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tcBorders>
              <w:top w:val="nil"/>
              <w:bottom w:val="nil"/>
            </w:tcBorders>
            <w:shd w:val="clear" w:color="auto" w:fill="auto"/>
          </w:tcPr>
          <w:p w14:paraId="4037E2C7"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B03BDF7"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TDDConf.2.1</w:t>
            </w:r>
          </w:p>
        </w:tc>
      </w:tr>
      <w:tr w:rsidR="003A71DE" w:rsidRPr="00F857FD" w14:paraId="0E4A7A7F" w14:textId="77777777" w:rsidTr="003A71DE">
        <w:trPr>
          <w:trHeight w:val="189"/>
          <w:jc w:val="center"/>
        </w:trPr>
        <w:tc>
          <w:tcPr>
            <w:tcW w:w="1640" w:type="pct"/>
            <w:shd w:val="clear" w:color="auto" w:fill="auto"/>
          </w:tcPr>
          <w:p w14:paraId="7E75217C"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DL initial BWP configuration</w:t>
            </w:r>
          </w:p>
        </w:tc>
        <w:tc>
          <w:tcPr>
            <w:tcW w:w="1494" w:type="pct"/>
            <w:shd w:val="clear" w:color="auto" w:fill="auto"/>
          </w:tcPr>
          <w:p w14:paraId="6E928429"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 2</w:t>
            </w:r>
          </w:p>
        </w:tc>
        <w:tc>
          <w:tcPr>
            <w:tcW w:w="373" w:type="pct"/>
            <w:shd w:val="clear" w:color="auto" w:fill="auto"/>
          </w:tcPr>
          <w:p w14:paraId="05E50B50"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EEFBDA0"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DLBWP.0.1</w:t>
            </w:r>
          </w:p>
        </w:tc>
      </w:tr>
      <w:tr w:rsidR="003A71DE" w:rsidRPr="00F857FD" w14:paraId="1DCA69EA" w14:textId="77777777" w:rsidTr="003A71DE">
        <w:trPr>
          <w:trHeight w:val="189"/>
          <w:jc w:val="center"/>
        </w:trPr>
        <w:tc>
          <w:tcPr>
            <w:tcW w:w="1640" w:type="pct"/>
            <w:shd w:val="clear" w:color="auto" w:fill="auto"/>
          </w:tcPr>
          <w:p w14:paraId="5A4A05AB"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noProof/>
                <w:sz w:val="18"/>
                <w:szCs w:val="18"/>
              </w:rPr>
              <w:t>DL dedicated BWP configuration</w:t>
            </w:r>
          </w:p>
        </w:tc>
        <w:tc>
          <w:tcPr>
            <w:tcW w:w="1494" w:type="pct"/>
            <w:shd w:val="clear" w:color="auto" w:fill="auto"/>
          </w:tcPr>
          <w:p w14:paraId="64C85F6A"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 2</w:t>
            </w:r>
          </w:p>
        </w:tc>
        <w:tc>
          <w:tcPr>
            <w:tcW w:w="373" w:type="pct"/>
            <w:shd w:val="clear" w:color="auto" w:fill="auto"/>
          </w:tcPr>
          <w:p w14:paraId="76014DBB"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B0FF22D"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DLBWP.1.1</w:t>
            </w:r>
          </w:p>
        </w:tc>
      </w:tr>
      <w:tr w:rsidR="003A71DE" w:rsidRPr="00F857FD" w14:paraId="22EB77A7" w14:textId="77777777" w:rsidTr="003A71DE">
        <w:trPr>
          <w:trHeight w:val="189"/>
          <w:jc w:val="center"/>
        </w:trPr>
        <w:tc>
          <w:tcPr>
            <w:tcW w:w="1640" w:type="pct"/>
            <w:shd w:val="clear" w:color="auto" w:fill="auto"/>
          </w:tcPr>
          <w:p w14:paraId="794DE702"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noProof/>
                <w:sz w:val="18"/>
                <w:szCs w:val="18"/>
              </w:rPr>
              <w:t>UL initial BWP configuration</w:t>
            </w:r>
          </w:p>
        </w:tc>
        <w:tc>
          <w:tcPr>
            <w:tcW w:w="1494" w:type="pct"/>
            <w:shd w:val="clear" w:color="auto" w:fill="auto"/>
          </w:tcPr>
          <w:p w14:paraId="3CA42FFD"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 2</w:t>
            </w:r>
          </w:p>
        </w:tc>
        <w:tc>
          <w:tcPr>
            <w:tcW w:w="373" w:type="pct"/>
            <w:shd w:val="clear" w:color="auto" w:fill="auto"/>
          </w:tcPr>
          <w:p w14:paraId="01D1C4EC"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77C3433"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ULBWP.0.1</w:t>
            </w:r>
          </w:p>
        </w:tc>
      </w:tr>
      <w:tr w:rsidR="003A71DE" w:rsidRPr="00F857FD" w14:paraId="0BBB8DBE" w14:textId="77777777" w:rsidTr="003A71DE">
        <w:trPr>
          <w:trHeight w:val="189"/>
          <w:jc w:val="center"/>
        </w:trPr>
        <w:tc>
          <w:tcPr>
            <w:tcW w:w="1640" w:type="pct"/>
            <w:tcBorders>
              <w:bottom w:val="single" w:sz="4" w:space="0" w:color="auto"/>
            </w:tcBorders>
            <w:shd w:val="clear" w:color="auto" w:fill="auto"/>
          </w:tcPr>
          <w:p w14:paraId="3E59F418"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noProof/>
                <w:sz w:val="18"/>
                <w:szCs w:val="18"/>
              </w:rPr>
              <w:t>UL dedicated BWP configuration</w:t>
            </w:r>
          </w:p>
        </w:tc>
        <w:tc>
          <w:tcPr>
            <w:tcW w:w="1494" w:type="pct"/>
            <w:shd w:val="clear" w:color="auto" w:fill="auto"/>
          </w:tcPr>
          <w:p w14:paraId="1BF61FED"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 2</w:t>
            </w:r>
          </w:p>
        </w:tc>
        <w:tc>
          <w:tcPr>
            <w:tcW w:w="373" w:type="pct"/>
            <w:tcBorders>
              <w:bottom w:val="single" w:sz="4" w:space="0" w:color="auto"/>
            </w:tcBorders>
            <w:shd w:val="clear" w:color="auto" w:fill="auto"/>
          </w:tcPr>
          <w:p w14:paraId="4C338D74"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0C68A7B"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ULBWP.1.1</w:t>
            </w:r>
          </w:p>
        </w:tc>
      </w:tr>
      <w:tr w:rsidR="003A71DE" w:rsidRPr="00F857FD" w14:paraId="3B8E8854" w14:textId="77777777" w:rsidTr="003A71DE">
        <w:trPr>
          <w:trHeight w:val="185"/>
          <w:jc w:val="center"/>
        </w:trPr>
        <w:tc>
          <w:tcPr>
            <w:tcW w:w="1640" w:type="pct"/>
            <w:tcBorders>
              <w:bottom w:val="nil"/>
            </w:tcBorders>
            <w:shd w:val="clear" w:color="auto" w:fill="auto"/>
          </w:tcPr>
          <w:p w14:paraId="35396BA5"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CORESET Reference Channel</w:t>
            </w:r>
          </w:p>
        </w:tc>
        <w:tc>
          <w:tcPr>
            <w:tcW w:w="1494" w:type="pct"/>
            <w:shd w:val="clear" w:color="auto" w:fill="auto"/>
          </w:tcPr>
          <w:p w14:paraId="76E36690"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tcBorders>
              <w:bottom w:val="nil"/>
            </w:tcBorders>
            <w:shd w:val="clear" w:color="auto" w:fill="auto"/>
          </w:tcPr>
          <w:p w14:paraId="0CE2A969"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E89E7CD"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CR.1.1 TDD</w:t>
            </w:r>
          </w:p>
        </w:tc>
      </w:tr>
      <w:tr w:rsidR="003A71DE" w:rsidRPr="00F857FD" w14:paraId="40A6D20D" w14:textId="77777777" w:rsidTr="003A71DE">
        <w:trPr>
          <w:trHeight w:val="189"/>
          <w:jc w:val="center"/>
        </w:trPr>
        <w:tc>
          <w:tcPr>
            <w:tcW w:w="1640" w:type="pct"/>
            <w:tcBorders>
              <w:top w:val="nil"/>
              <w:bottom w:val="nil"/>
            </w:tcBorders>
            <w:shd w:val="clear" w:color="auto" w:fill="auto"/>
          </w:tcPr>
          <w:p w14:paraId="6610C4DF"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2C5D8E5B"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tcBorders>
              <w:top w:val="nil"/>
              <w:bottom w:val="nil"/>
            </w:tcBorders>
            <w:shd w:val="clear" w:color="auto" w:fill="auto"/>
          </w:tcPr>
          <w:p w14:paraId="1C2B0FC1"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B0818A9"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CR.2.1 TDD</w:t>
            </w:r>
          </w:p>
        </w:tc>
      </w:tr>
      <w:tr w:rsidR="003A71DE" w:rsidRPr="00F857FD" w14:paraId="6CBB5593" w14:textId="77777777" w:rsidTr="003A71DE">
        <w:trPr>
          <w:trHeight w:val="125"/>
          <w:jc w:val="center"/>
        </w:trPr>
        <w:tc>
          <w:tcPr>
            <w:tcW w:w="1640" w:type="pct"/>
            <w:tcBorders>
              <w:bottom w:val="nil"/>
            </w:tcBorders>
            <w:shd w:val="clear" w:color="auto" w:fill="auto"/>
          </w:tcPr>
          <w:p w14:paraId="5AD52193"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SSB Configuration</w:t>
            </w:r>
          </w:p>
        </w:tc>
        <w:tc>
          <w:tcPr>
            <w:tcW w:w="1494" w:type="pct"/>
            <w:shd w:val="clear" w:color="auto" w:fill="auto"/>
          </w:tcPr>
          <w:p w14:paraId="3D75F0F9"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tcBorders>
              <w:bottom w:val="nil"/>
            </w:tcBorders>
            <w:shd w:val="clear" w:color="auto" w:fill="auto"/>
          </w:tcPr>
          <w:p w14:paraId="70AA61DC"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3793A38"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SSB.1 FR1</w:t>
            </w:r>
          </w:p>
        </w:tc>
      </w:tr>
      <w:tr w:rsidR="003A71DE" w:rsidRPr="00F857FD" w14:paraId="67F5262F" w14:textId="77777777" w:rsidTr="003A71DE">
        <w:trPr>
          <w:trHeight w:val="123"/>
          <w:jc w:val="center"/>
        </w:trPr>
        <w:tc>
          <w:tcPr>
            <w:tcW w:w="1640" w:type="pct"/>
            <w:tcBorders>
              <w:top w:val="nil"/>
              <w:bottom w:val="nil"/>
            </w:tcBorders>
            <w:shd w:val="clear" w:color="auto" w:fill="auto"/>
          </w:tcPr>
          <w:p w14:paraId="69CEE36F"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40F7FD0E"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tcBorders>
              <w:top w:val="nil"/>
              <w:bottom w:val="nil"/>
            </w:tcBorders>
            <w:shd w:val="clear" w:color="auto" w:fill="auto"/>
          </w:tcPr>
          <w:p w14:paraId="04B3D2DD"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1AD146C"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SSB.2 FR1</w:t>
            </w:r>
          </w:p>
        </w:tc>
      </w:tr>
      <w:tr w:rsidR="003A71DE" w:rsidRPr="00F857FD" w14:paraId="232ACD67" w14:textId="77777777" w:rsidTr="003A71DE">
        <w:trPr>
          <w:trHeight w:val="223"/>
          <w:jc w:val="center"/>
        </w:trPr>
        <w:tc>
          <w:tcPr>
            <w:tcW w:w="1640" w:type="pct"/>
            <w:tcBorders>
              <w:bottom w:val="nil"/>
            </w:tcBorders>
            <w:shd w:val="clear" w:color="auto" w:fill="auto"/>
          </w:tcPr>
          <w:p w14:paraId="42C6C6B2"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SMTC Configuration</w:t>
            </w:r>
          </w:p>
        </w:tc>
        <w:tc>
          <w:tcPr>
            <w:tcW w:w="1494" w:type="pct"/>
            <w:shd w:val="clear" w:color="auto" w:fill="auto"/>
          </w:tcPr>
          <w:p w14:paraId="5EC1818A"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tcBorders>
              <w:bottom w:val="nil"/>
            </w:tcBorders>
            <w:shd w:val="clear" w:color="auto" w:fill="auto"/>
          </w:tcPr>
          <w:p w14:paraId="40937408"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3D73C22"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SMTC.1</w:t>
            </w:r>
          </w:p>
        </w:tc>
      </w:tr>
      <w:tr w:rsidR="003A71DE" w:rsidRPr="00F857FD" w14:paraId="7C40C11C" w14:textId="77777777" w:rsidTr="003A71DE">
        <w:trPr>
          <w:trHeight w:val="189"/>
          <w:jc w:val="center"/>
        </w:trPr>
        <w:tc>
          <w:tcPr>
            <w:tcW w:w="1640" w:type="pct"/>
            <w:tcBorders>
              <w:top w:val="nil"/>
              <w:bottom w:val="single" w:sz="4" w:space="0" w:color="auto"/>
            </w:tcBorders>
            <w:shd w:val="clear" w:color="auto" w:fill="auto"/>
          </w:tcPr>
          <w:p w14:paraId="3C16B55F"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4E38C5E4"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tcBorders>
              <w:top w:val="nil"/>
              <w:bottom w:val="single" w:sz="4" w:space="0" w:color="auto"/>
            </w:tcBorders>
            <w:shd w:val="clear" w:color="auto" w:fill="auto"/>
          </w:tcPr>
          <w:p w14:paraId="730CA77F"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4782B403"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SMTC.1</w:t>
            </w:r>
          </w:p>
        </w:tc>
      </w:tr>
      <w:tr w:rsidR="003A71DE" w:rsidRPr="00F857FD" w14:paraId="33D39D8A" w14:textId="77777777" w:rsidTr="003A71DE">
        <w:trPr>
          <w:trHeight w:val="187"/>
          <w:jc w:val="center"/>
        </w:trPr>
        <w:tc>
          <w:tcPr>
            <w:tcW w:w="1640" w:type="pct"/>
            <w:tcBorders>
              <w:bottom w:val="nil"/>
            </w:tcBorders>
            <w:shd w:val="clear" w:color="auto" w:fill="auto"/>
          </w:tcPr>
          <w:p w14:paraId="5B3D5032"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PDSCH/PDCCH subcarrier spacing</w:t>
            </w:r>
          </w:p>
        </w:tc>
        <w:tc>
          <w:tcPr>
            <w:tcW w:w="1494" w:type="pct"/>
            <w:shd w:val="clear" w:color="auto" w:fill="auto"/>
          </w:tcPr>
          <w:p w14:paraId="5A3A8646"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tcBorders>
              <w:bottom w:val="nil"/>
            </w:tcBorders>
            <w:shd w:val="clear" w:color="auto" w:fill="auto"/>
          </w:tcPr>
          <w:p w14:paraId="123E0BCA"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1570E7C"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15 kHz</w:t>
            </w:r>
          </w:p>
        </w:tc>
      </w:tr>
      <w:tr w:rsidR="003A71DE" w:rsidRPr="00F857FD" w14:paraId="2E7D8B40" w14:textId="77777777" w:rsidTr="003A71DE">
        <w:trPr>
          <w:trHeight w:val="247"/>
          <w:jc w:val="center"/>
        </w:trPr>
        <w:tc>
          <w:tcPr>
            <w:tcW w:w="1640" w:type="pct"/>
            <w:tcBorders>
              <w:top w:val="nil"/>
              <w:bottom w:val="single" w:sz="4" w:space="0" w:color="auto"/>
            </w:tcBorders>
            <w:shd w:val="clear" w:color="auto" w:fill="auto"/>
          </w:tcPr>
          <w:p w14:paraId="584F7F96"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7CDE9021"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tcBorders>
              <w:top w:val="nil"/>
            </w:tcBorders>
            <w:shd w:val="clear" w:color="auto" w:fill="auto"/>
          </w:tcPr>
          <w:p w14:paraId="014C3EBF"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50FE97F"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30 kHz</w:t>
            </w:r>
          </w:p>
        </w:tc>
      </w:tr>
      <w:tr w:rsidR="003A71DE" w:rsidRPr="00F857FD" w14:paraId="63831FA6" w14:textId="77777777" w:rsidTr="003A71DE">
        <w:trPr>
          <w:trHeight w:val="124"/>
          <w:jc w:val="center"/>
        </w:trPr>
        <w:tc>
          <w:tcPr>
            <w:tcW w:w="1640" w:type="pct"/>
            <w:tcBorders>
              <w:bottom w:val="nil"/>
            </w:tcBorders>
            <w:shd w:val="clear" w:color="auto" w:fill="auto"/>
          </w:tcPr>
          <w:p w14:paraId="2153DA96"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TRS configuration</w:t>
            </w:r>
          </w:p>
        </w:tc>
        <w:tc>
          <w:tcPr>
            <w:tcW w:w="1494" w:type="pct"/>
            <w:shd w:val="clear" w:color="auto" w:fill="auto"/>
          </w:tcPr>
          <w:p w14:paraId="28F57925"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shd w:val="clear" w:color="auto" w:fill="auto"/>
          </w:tcPr>
          <w:p w14:paraId="6C35534F"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4C9F9DB"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TRS.1.1 TDD</w:t>
            </w:r>
          </w:p>
        </w:tc>
      </w:tr>
      <w:tr w:rsidR="003A71DE" w:rsidRPr="00F857FD" w14:paraId="60E13E5E" w14:textId="77777777" w:rsidTr="003A71DE">
        <w:trPr>
          <w:trHeight w:val="197"/>
          <w:jc w:val="center"/>
        </w:trPr>
        <w:tc>
          <w:tcPr>
            <w:tcW w:w="1640" w:type="pct"/>
            <w:tcBorders>
              <w:top w:val="nil"/>
              <w:bottom w:val="nil"/>
            </w:tcBorders>
            <w:shd w:val="clear" w:color="auto" w:fill="auto"/>
          </w:tcPr>
          <w:p w14:paraId="3861FC05"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220E280E"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shd w:val="clear" w:color="auto" w:fill="auto"/>
          </w:tcPr>
          <w:p w14:paraId="14236B91"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DE26248"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TRS.1.2 TDD</w:t>
            </w:r>
          </w:p>
        </w:tc>
      </w:tr>
      <w:tr w:rsidR="003A71DE" w:rsidRPr="00F857FD" w14:paraId="43BAEC9C" w14:textId="77777777" w:rsidTr="003A71DE">
        <w:trPr>
          <w:trHeight w:val="129"/>
          <w:jc w:val="center"/>
        </w:trPr>
        <w:tc>
          <w:tcPr>
            <w:tcW w:w="1640" w:type="pct"/>
            <w:tcBorders>
              <w:bottom w:val="nil"/>
            </w:tcBorders>
            <w:shd w:val="clear" w:color="auto" w:fill="auto"/>
          </w:tcPr>
          <w:p w14:paraId="3C2290AA"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CSI-RS for RLM</w:t>
            </w:r>
          </w:p>
        </w:tc>
        <w:tc>
          <w:tcPr>
            <w:tcW w:w="1494" w:type="pct"/>
            <w:shd w:val="clear" w:color="auto" w:fill="auto"/>
          </w:tcPr>
          <w:p w14:paraId="15148E8C"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shd w:val="clear" w:color="auto" w:fill="auto"/>
          </w:tcPr>
          <w:p w14:paraId="50AD3A98"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0ADB9BB"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Resource #4 in TRS.1.1 TDD</w:t>
            </w:r>
          </w:p>
        </w:tc>
      </w:tr>
      <w:tr w:rsidR="003A71DE" w:rsidRPr="00F857FD" w14:paraId="318DEC59" w14:textId="77777777" w:rsidTr="003A71DE">
        <w:trPr>
          <w:trHeight w:val="190"/>
          <w:jc w:val="center"/>
        </w:trPr>
        <w:tc>
          <w:tcPr>
            <w:tcW w:w="1640" w:type="pct"/>
            <w:tcBorders>
              <w:top w:val="nil"/>
              <w:bottom w:val="nil"/>
            </w:tcBorders>
            <w:shd w:val="clear" w:color="auto" w:fill="auto"/>
          </w:tcPr>
          <w:p w14:paraId="751406EB"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1C5A54F1"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shd w:val="clear" w:color="auto" w:fill="auto"/>
          </w:tcPr>
          <w:p w14:paraId="507966DC"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C6BE06F"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Resource #4 in TRS.1.2 TDD</w:t>
            </w:r>
          </w:p>
        </w:tc>
      </w:tr>
      <w:tr w:rsidR="003A71DE" w:rsidRPr="00F857FD" w14:paraId="4AAFAAB1" w14:textId="77777777" w:rsidTr="003A71DE">
        <w:trPr>
          <w:trHeight w:val="176"/>
          <w:jc w:val="center"/>
        </w:trPr>
        <w:tc>
          <w:tcPr>
            <w:tcW w:w="3134" w:type="pct"/>
            <w:gridSpan w:val="2"/>
            <w:shd w:val="clear" w:color="auto" w:fill="auto"/>
          </w:tcPr>
          <w:p w14:paraId="2CB0ECFF"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noProof/>
                <w:sz w:val="18"/>
                <w:szCs w:val="18"/>
              </w:rPr>
              <w:t>TCI configuration for PDCCH/PDSCH</w:t>
            </w:r>
          </w:p>
        </w:tc>
        <w:tc>
          <w:tcPr>
            <w:tcW w:w="373" w:type="pct"/>
            <w:shd w:val="clear" w:color="auto" w:fill="auto"/>
          </w:tcPr>
          <w:p w14:paraId="1A80C43C"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8F50438"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noProof/>
                <w:sz w:val="18"/>
                <w:szCs w:val="18"/>
              </w:rPr>
              <w:t>TCI.State.0</w:t>
            </w:r>
          </w:p>
        </w:tc>
      </w:tr>
      <w:tr w:rsidR="003A71DE" w:rsidRPr="00F857FD" w14:paraId="79018F2B" w14:textId="77777777" w:rsidTr="003A71DE">
        <w:trPr>
          <w:trHeight w:val="176"/>
          <w:jc w:val="center"/>
        </w:trPr>
        <w:tc>
          <w:tcPr>
            <w:tcW w:w="3134" w:type="pct"/>
            <w:gridSpan w:val="2"/>
            <w:shd w:val="clear" w:color="auto" w:fill="auto"/>
          </w:tcPr>
          <w:p w14:paraId="503413AE"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OCNG parameters</w:t>
            </w:r>
          </w:p>
        </w:tc>
        <w:tc>
          <w:tcPr>
            <w:tcW w:w="373" w:type="pct"/>
            <w:shd w:val="clear" w:color="auto" w:fill="auto"/>
          </w:tcPr>
          <w:p w14:paraId="78E3C9B5"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5BE1A3E"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OP.1</w:t>
            </w:r>
          </w:p>
        </w:tc>
      </w:tr>
      <w:tr w:rsidR="003A71DE" w:rsidRPr="00F857FD" w14:paraId="207B8BFC" w14:textId="77777777" w:rsidTr="003A71DE">
        <w:trPr>
          <w:trHeight w:val="164"/>
          <w:jc w:val="center"/>
        </w:trPr>
        <w:tc>
          <w:tcPr>
            <w:tcW w:w="3134" w:type="pct"/>
            <w:gridSpan w:val="2"/>
            <w:shd w:val="clear" w:color="auto" w:fill="auto"/>
          </w:tcPr>
          <w:p w14:paraId="4BDE4BDF"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CP length</w:t>
            </w:r>
            <w:r w:rsidRPr="00F857FD">
              <w:rPr>
                <w:rFonts w:ascii="Arial" w:eastAsia="SimSun" w:hAnsi="Arial" w:cs="Arial"/>
                <w:sz w:val="18"/>
                <w:szCs w:val="18"/>
              </w:rPr>
              <w:tab/>
            </w:r>
          </w:p>
        </w:tc>
        <w:tc>
          <w:tcPr>
            <w:tcW w:w="373" w:type="pct"/>
            <w:shd w:val="clear" w:color="auto" w:fill="auto"/>
          </w:tcPr>
          <w:p w14:paraId="2A118F8B"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EBC7FB0"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Normal</w:t>
            </w:r>
          </w:p>
        </w:tc>
      </w:tr>
      <w:tr w:rsidR="003A71DE" w:rsidRPr="00F857FD" w14:paraId="3EDD70D5" w14:textId="77777777" w:rsidTr="003A71DE">
        <w:trPr>
          <w:trHeight w:val="340"/>
          <w:jc w:val="center"/>
        </w:trPr>
        <w:tc>
          <w:tcPr>
            <w:tcW w:w="3134" w:type="pct"/>
            <w:gridSpan w:val="2"/>
            <w:shd w:val="clear" w:color="auto" w:fill="auto"/>
          </w:tcPr>
          <w:p w14:paraId="3EB5FE91"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Correlation Matrix and Antenna Configuration</w:t>
            </w:r>
          </w:p>
        </w:tc>
        <w:tc>
          <w:tcPr>
            <w:tcW w:w="373" w:type="pct"/>
            <w:shd w:val="clear" w:color="auto" w:fill="auto"/>
          </w:tcPr>
          <w:p w14:paraId="66F3C71B"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12A4D1F"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2x2 Low</w:t>
            </w:r>
          </w:p>
        </w:tc>
      </w:tr>
      <w:tr w:rsidR="003A71DE" w:rsidRPr="00F857FD" w14:paraId="0183E328" w14:textId="77777777" w:rsidTr="003A71DE">
        <w:trPr>
          <w:trHeight w:val="164"/>
          <w:jc w:val="center"/>
        </w:trPr>
        <w:tc>
          <w:tcPr>
            <w:tcW w:w="1640" w:type="pct"/>
            <w:tcBorders>
              <w:bottom w:val="nil"/>
            </w:tcBorders>
            <w:shd w:val="clear" w:color="auto" w:fill="auto"/>
          </w:tcPr>
          <w:p w14:paraId="503E7BA9"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Out of sync transmission parameters</w:t>
            </w:r>
          </w:p>
        </w:tc>
        <w:tc>
          <w:tcPr>
            <w:tcW w:w="1494" w:type="pct"/>
            <w:shd w:val="clear" w:color="auto" w:fill="auto"/>
          </w:tcPr>
          <w:p w14:paraId="081AEBE6"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DCI format</w:t>
            </w:r>
          </w:p>
        </w:tc>
        <w:tc>
          <w:tcPr>
            <w:tcW w:w="373" w:type="pct"/>
            <w:shd w:val="clear" w:color="auto" w:fill="auto"/>
          </w:tcPr>
          <w:p w14:paraId="0BD88071"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BC43723"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1-0</w:t>
            </w:r>
          </w:p>
        </w:tc>
      </w:tr>
      <w:tr w:rsidR="003A71DE" w:rsidRPr="00F857FD" w14:paraId="518ACB2D" w14:textId="77777777" w:rsidTr="003A71DE">
        <w:trPr>
          <w:trHeight w:val="93"/>
          <w:jc w:val="center"/>
        </w:trPr>
        <w:tc>
          <w:tcPr>
            <w:tcW w:w="1640" w:type="pct"/>
            <w:tcBorders>
              <w:top w:val="nil"/>
              <w:bottom w:val="nil"/>
            </w:tcBorders>
            <w:shd w:val="clear" w:color="auto" w:fill="auto"/>
          </w:tcPr>
          <w:p w14:paraId="3BAE13CE"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203A8800"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Number of Control OFDM symbols</w:t>
            </w:r>
          </w:p>
        </w:tc>
        <w:tc>
          <w:tcPr>
            <w:tcW w:w="373" w:type="pct"/>
            <w:shd w:val="clear" w:color="auto" w:fill="auto"/>
          </w:tcPr>
          <w:p w14:paraId="008035DB"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19EBB78"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2</w:t>
            </w:r>
          </w:p>
        </w:tc>
      </w:tr>
      <w:tr w:rsidR="003A71DE" w:rsidRPr="00F857FD" w14:paraId="5F9B90CD" w14:textId="77777777" w:rsidTr="003A71DE">
        <w:trPr>
          <w:trHeight w:val="176"/>
          <w:jc w:val="center"/>
        </w:trPr>
        <w:tc>
          <w:tcPr>
            <w:tcW w:w="1640" w:type="pct"/>
            <w:tcBorders>
              <w:top w:val="nil"/>
              <w:bottom w:val="nil"/>
            </w:tcBorders>
            <w:shd w:val="clear" w:color="auto" w:fill="auto"/>
          </w:tcPr>
          <w:p w14:paraId="54A167D2"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4F18C166"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 xml:space="preserve">Aggregation level </w:t>
            </w:r>
          </w:p>
        </w:tc>
        <w:tc>
          <w:tcPr>
            <w:tcW w:w="373" w:type="pct"/>
            <w:shd w:val="clear" w:color="auto" w:fill="auto"/>
          </w:tcPr>
          <w:p w14:paraId="03C0454B"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CCE</w:t>
            </w:r>
          </w:p>
        </w:tc>
        <w:tc>
          <w:tcPr>
            <w:tcW w:w="1493" w:type="pct"/>
            <w:shd w:val="clear" w:color="auto" w:fill="auto"/>
          </w:tcPr>
          <w:p w14:paraId="022EFC8E"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8</w:t>
            </w:r>
          </w:p>
        </w:tc>
      </w:tr>
      <w:tr w:rsidR="003A71DE" w:rsidRPr="00F857FD" w14:paraId="0966BAD7" w14:textId="77777777" w:rsidTr="003A71DE">
        <w:trPr>
          <w:trHeight w:val="369"/>
          <w:jc w:val="center"/>
        </w:trPr>
        <w:tc>
          <w:tcPr>
            <w:tcW w:w="1640" w:type="pct"/>
            <w:tcBorders>
              <w:top w:val="nil"/>
              <w:bottom w:val="nil"/>
            </w:tcBorders>
            <w:shd w:val="clear" w:color="auto" w:fill="auto"/>
          </w:tcPr>
          <w:p w14:paraId="6E0EF1AC"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4E5A453A"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Ratio of hypothetical PDCCH RE energy to average CSI-RS RE energy</w:t>
            </w:r>
          </w:p>
        </w:tc>
        <w:tc>
          <w:tcPr>
            <w:tcW w:w="373" w:type="pct"/>
            <w:shd w:val="clear" w:color="auto" w:fill="auto"/>
          </w:tcPr>
          <w:p w14:paraId="781E91B7"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dB</w:t>
            </w:r>
          </w:p>
        </w:tc>
        <w:tc>
          <w:tcPr>
            <w:tcW w:w="1493" w:type="pct"/>
            <w:shd w:val="clear" w:color="auto" w:fill="auto"/>
          </w:tcPr>
          <w:p w14:paraId="47C91CE8"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4</w:t>
            </w:r>
          </w:p>
        </w:tc>
      </w:tr>
      <w:tr w:rsidR="003A71DE" w:rsidRPr="00F857FD" w14:paraId="1C8886CB" w14:textId="77777777" w:rsidTr="003A71DE">
        <w:trPr>
          <w:trHeight w:val="307"/>
          <w:jc w:val="center"/>
        </w:trPr>
        <w:tc>
          <w:tcPr>
            <w:tcW w:w="1640" w:type="pct"/>
            <w:tcBorders>
              <w:top w:val="nil"/>
              <w:bottom w:val="nil"/>
            </w:tcBorders>
            <w:shd w:val="clear" w:color="auto" w:fill="auto"/>
          </w:tcPr>
          <w:p w14:paraId="451A7351"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22C6C085"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Ratio of hypothetical PDCCH DMRS energy to average CSI-RS RE energy</w:t>
            </w:r>
          </w:p>
        </w:tc>
        <w:tc>
          <w:tcPr>
            <w:tcW w:w="373" w:type="pct"/>
            <w:shd w:val="clear" w:color="auto" w:fill="auto"/>
          </w:tcPr>
          <w:p w14:paraId="3DD47CD7"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dB</w:t>
            </w:r>
          </w:p>
        </w:tc>
        <w:tc>
          <w:tcPr>
            <w:tcW w:w="1493" w:type="pct"/>
            <w:shd w:val="clear" w:color="auto" w:fill="auto"/>
          </w:tcPr>
          <w:p w14:paraId="1BC62BBC"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4</w:t>
            </w:r>
          </w:p>
        </w:tc>
      </w:tr>
      <w:tr w:rsidR="003A71DE" w:rsidRPr="00F857FD" w14:paraId="3824B14D" w14:textId="77777777" w:rsidTr="003A71DE">
        <w:trPr>
          <w:trHeight w:val="50"/>
          <w:jc w:val="center"/>
        </w:trPr>
        <w:tc>
          <w:tcPr>
            <w:tcW w:w="1640" w:type="pct"/>
            <w:tcBorders>
              <w:top w:val="nil"/>
              <w:bottom w:val="nil"/>
            </w:tcBorders>
            <w:shd w:val="clear" w:color="auto" w:fill="auto"/>
          </w:tcPr>
          <w:p w14:paraId="3CA7D5C4"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0DC086A4"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DMRS precoder granularity</w:t>
            </w:r>
          </w:p>
        </w:tc>
        <w:tc>
          <w:tcPr>
            <w:tcW w:w="373" w:type="pct"/>
            <w:shd w:val="clear" w:color="auto" w:fill="auto"/>
          </w:tcPr>
          <w:p w14:paraId="2DF9EB2A"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7BF7CD4"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REG bundle size</w:t>
            </w:r>
          </w:p>
        </w:tc>
      </w:tr>
      <w:tr w:rsidR="003A71DE" w:rsidRPr="00F857FD" w14:paraId="4141D998" w14:textId="77777777" w:rsidTr="003A71DE">
        <w:trPr>
          <w:trHeight w:val="188"/>
          <w:jc w:val="center"/>
        </w:trPr>
        <w:tc>
          <w:tcPr>
            <w:tcW w:w="1640" w:type="pct"/>
            <w:tcBorders>
              <w:top w:val="nil"/>
            </w:tcBorders>
            <w:shd w:val="clear" w:color="auto" w:fill="auto"/>
          </w:tcPr>
          <w:p w14:paraId="72B29A1B"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48CEF46B"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REG bundle size</w:t>
            </w:r>
          </w:p>
        </w:tc>
        <w:tc>
          <w:tcPr>
            <w:tcW w:w="373" w:type="pct"/>
            <w:shd w:val="clear" w:color="auto" w:fill="auto"/>
          </w:tcPr>
          <w:p w14:paraId="46839B64"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41ED2218"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6</w:t>
            </w:r>
          </w:p>
        </w:tc>
      </w:tr>
      <w:tr w:rsidR="003A71DE" w:rsidRPr="00F857FD" w14:paraId="230C3AA7" w14:textId="77777777" w:rsidTr="003A71DE">
        <w:trPr>
          <w:trHeight w:val="50"/>
          <w:jc w:val="center"/>
        </w:trPr>
        <w:tc>
          <w:tcPr>
            <w:tcW w:w="3134" w:type="pct"/>
            <w:gridSpan w:val="2"/>
            <w:shd w:val="clear" w:color="auto" w:fill="auto"/>
          </w:tcPr>
          <w:p w14:paraId="1645851F"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Layer 3 filtering</w:t>
            </w:r>
          </w:p>
        </w:tc>
        <w:tc>
          <w:tcPr>
            <w:tcW w:w="373" w:type="pct"/>
            <w:shd w:val="clear" w:color="auto" w:fill="auto"/>
          </w:tcPr>
          <w:p w14:paraId="0410B521"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100175AD"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i/>
                <w:iCs/>
                <w:sz w:val="18"/>
                <w:szCs w:val="18"/>
              </w:rPr>
              <w:t>Enabled</w:t>
            </w:r>
          </w:p>
        </w:tc>
      </w:tr>
      <w:tr w:rsidR="003A71DE" w:rsidRPr="00F857FD" w14:paraId="7AE0432D" w14:textId="77777777" w:rsidTr="003A71DE">
        <w:trPr>
          <w:trHeight w:val="164"/>
          <w:jc w:val="center"/>
        </w:trPr>
        <w:tc>
          <w:tcPr>
            <w:tcW w:w="3134" w:type="pct"/>
            <w:gridSpan w:val="2"/>
            <w:shd w:val="clear" w:color="auto" w:fill="auto"/>
          </w:tcPr>
          <w:p w14:paraId="2732D31D"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T310 timer</w:t>
            </w:r>
          </w:p>
        </w:tc>
        <w:tc>
          <w:tcPr>
            <w:tcW w:w="373" w:type="pct"/>
            <w:shd w:val="clear" w:color="auto" w:fill="auto"/>
          </w:tcPr>
          <w:p w14:paraId="63D9CD16" w14:textId="77777777" w:rsidR="003A71DE" w:rsidRPr="00F857FD" w:rsidRDefault="003A71DE" w:rsidP="003A71DE">
            <w:pPr>
              <w:keepNext/>
              <w:keepLines/>
              <w:spacing w:after="0"/>
              <w:jc w:val="center"/>
              <w:rPr>
                <w:rFonts w:ascii="Arial" w:eastAsia="SimSun" w:hAnsi="Arial" w:cs="Arial"/>
                <w:iCs/>
                <w:sz w:val="18"/>
                <w:szCs w:val="18"/>
              </w:rPr>
            </w:pPr>
            <w:r w:rsidRPr="00F857FD">
              <w:rPr>
                <w:rFonts w:ascii="Arial" w:eastAsia="SimSun" w:hAnsi="Arial" w:cs="Arial"/>
                <w:iCs/>
                <w:sz w:val="18"/>
                <w:szCs w:val="18"/>
              </w:rPr>
              <w:t>ms</w:t>
            </w:r>
          </w:p>
        </w:tc>
        <w:tc>
          <w:tcPr>
            <w:tcW w:w="1493" w:type="pct"/>
            <w:shd w:val="clear" w:color="auto" w:fill="auto"/>
          </w:tcPr>
          <w:p w14:paraId="359D9EC2" w14:textId="77777777" w:rsidR="003A71DE" w:rsidRPr="00F857FD" w:rsidRDefault="003A71DE" w:rsidP="003A71DE">
            <w:pPr>
              <w:keepNext/>
              <w:keepLines/>
              <w:spacing w:after="0"/>
              <w:jc w:val="center"/>
              <w:rPr>
                <w:rFonts w:ascii="Arial" w:eastAsia="SimSun" w:hAnsi="Arial" w:cs="Arial"/>
                <w:i/>
                <w:iCs/>
                <w:sz w:val="18"/>
                <w:szCs w:val="18"/>
              </w:rPr>
            </w:pPr>
            <w:r w:rsidRPr="00F857FD">
              <w:rPr>
                <w:rFonts w:ascii="Arial" w:eastAsia="SimSun" w:hAnsi="Arial" w:cs="Arial"/>
                <w:i/>
                <w:iCs/>
                <w:sz w:val="18"/>
                <w:szCs w:val="18"/>
              </w:rPr>
              <w:t>0</w:t>
            </w:r>
          </w:p>
        </w:tc>
      </w:tr>
      <w:tr w:rsidR="003A71DE" w:rsidRPr="00F857FD" w14:paraId="024C294B" w14:textId="77777777" w:rsidTr="003A71DE">
        <w:trPr>
          <w:trHeight w:val="164"/>
          <w:jc w:val="center"/>
        </w:trPr>
        <w:tc>
          <w:tcPr>
            <w:tcW w:w="3134" w:type="pct"/>
            <w:gridSpan w:val="2"/>
            <w:shd w:val="clear" w:color="auto" w:fill="auto"/>
          </w:tcPr>
          <w:p w14:paraId="087E193A"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T311 timer</w:t>
            </w:r>
          </w:p>
        </w:tc>
        <w:tc>
          <w:tcPr>
            <w:tcW w:w="373" w:type="pct"/>
            <w:shd w:val="clear" w:color="auto" w:fill="auto"/>
          </w:tcPr>
          <w:p w14:paraId="689A6D8E" w14:textId="77777777" w:rsidR="003A71DE" w:rsidRPr="00F857FD" w:rsidRDefault="003A71DE" w:rsidP="003A71DE">
            <w:pPr>
              <w:keepNext/>
              <w:keepLines/>
              <w:spacing w:after="0"/>
              <w:jc w:val="center"/>
              <w:rPr>
                <w:rFonts w:ascii="Arial" w:eastAsia="SimSun" w:hAnsi="Arial" w:cs="Arial"/>
                <w:iCs/>
                <w:sz w:val="18"/>
                <w:szCs w:val="18"/>
              </w:rPr>
            </w:pPr>
            <w:r w:rsidRPr="00F857FD">
              <w:rPr>
                <w:rFonts w:ascii="Arial" w:eastAsia="SimSun" w:hAnsi="Arial" w:cs="Arial"/>
                <w:sz w:val="18"/>
                <w:szCs w:val="18"/>
              </w:rPr>
              <w:t>ms</w:t>
            </w:r>
          </w:p>
        </w:tc>
        <w:tc>
          <w:tcPr>
            <w:tcW w:w="1493" w:type="pct"/>
            <w:shd w:val="clear" w:color="auto" w:fill="auto"/>
          </w:tcPr>
          <w:p w14:paraId="0769D63A" w14:textId="77777777" w:rsidR="003A71DE" w:rsidRPr="00F857FD" w:rsidRDefault="003A71DE" w:rsidP="003A71DE">
            <w:pPr>
              <w:keepNext/>
              <w:keepLines/>
              <w:spacing w:after="0"/>
              <w:jc w:val="center"/>
              <w:rPr>
                <w:rFonts w:ascii="Arial" w:eastAsia="SimSun" w:hAnsi="Arial" w:cs="Arial"/>
                <w:i/>
                <w:iCs/>
                <w:sz w:val="18"/>
                <w:szCs w:val="18"/>
              </w:rPr>
            </w:pPr>
            <w:r w:rsidRPr="00F857FD">
              <w:rPr>
                <w:rFonts w:ascii="Arial" w:eastAsia="SimSun" w:hAnsi="Arial" w:cs="Arial"/>
                <w:sz w:val="18"/>
                <w:szCs w:val="18"/>
              </w:rPr>
              <w:t>1000</w:t>
            </w:r>
          </w:p>
        </w:tc>
      </w:tr>
      <w:tr w:rsidR="003A71DE" w:rsidRPr="00F857FD" w14:paraId="31E10681" w14:textId="77777777" w:rsidTr="003A71DE">
        <w:trPr>
          <w:trHeight w:val="164"/>
          <w:jc w:val="center"/>
        </w:trPr>
        <w:tc>
          <w:tcPr>
            <w:tcW w:w="3134" w:type="pct"/>
            <w:gridSpan w:val="2"/>
            <w:shd w:val="clear" w:color="auto" w:fill="auto"/>
          </w:tcPr>
          <w:p w14:paraId="3ED8DAE4"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N310</w:t>
            </w:r>
          </w:p>
        </w:tc>
        <w:tc>
          <w:tcPr>
            <w:tcW w:w="373" w:type="pct"/>
            <w:shd w:val="clear" w:color="auto" w:fill="auto"/>
          </w:tcPr>
          <w:p w14:paraId="205242F6"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EDF9197"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1</w:t>
            </w:r>
          </w:p>
        </w:tc>
      </w:tr>
      <w:tr w:rsidR="003A71DE" w:rsidRPr="00F857FD" w14:paraId="7709A4A0" w14:textId="77777777" w:rsidTr="003A71DE">
        <w:trPr>
          <w:trHeight w:val="164"/>
          <w:jc w:val="center"/>
        </w:trPr>
        <w:tc>
          <w:tcPr>
            <w:tcW w:w="3134" w:type="pct"/>
            <w:gridSpan w:val="2"/>
            <w:shd w:val="clear" w:color="auto" w:fill="auto"/>
          </w:tcPr>
          <w:p w14:paraId="20C342A1"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N311</w:t>
            </w:r>
          </w:p>
        </w:tc>
        <w:tc>
          <w:tcPr>
            <w:tcW w:w="373" w:type="pct"/>
            <w:tcBorders>
              <w:bottom w:val="single" w:sz="4" w:space="0" w:color="auto"/>
            </w:tcBorders>
            <w:shd w:val="clear" w:color="auto" w:fill="auto"/>
          </w:tcPr>
          <w:p w14:paraId="7DDFE410"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113D4841"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1</w:t>
            </w:r>
          </w:p>
        </w:tc>
      </w:tr>
      <w:tr w:rsidR="003A71DE" w:rsidRPr="00F857FD" w14:paraId="0FD1D2E5" w14:textId="77777777" w:rsidTr="003A71DE">
        <w:trPr>
          <w:trHeight w:val="169"/>
          <w:jc w:val="center"/>
        </w:trPr>
        <w:tc>
          <w:tcPr>
            <w:tcW w:w="1640" w:type="pct"/>
            <w:tcBorders>
              <w:bottom w:val="nil"/>
            </w:tcBorders>
            <w:shd w:val="clear" w:color="auto" w:fill="auto"/>
          </w:tcPr>
          <w:p w14:paraId="47FD851C"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CSI-RS configuration for CSI reporting</w:t>
            </w:r>
          </w:p>
        </w:tc>
        <w:tc>
          <w:tcPr>
            <w:tcW w:w="1494" w:type="pct"/>
            <w:shd w:val="clear" w:color="auto" w:fill="auto"/>
          </w:tcPr>
          <w:p w14:paraId="63E86E18"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1</w:t>
            </w:r>
          </w:p>
        </w:tc>
        <w:tc>
          <w:tcPr>
            <w:tcW w:w="373" w:type="pct"/>
            <w:tcBorders>
              <w:bottom w:val="nil"/>
            </w:tcBorders>
            <w:shd w:val="clear" w:color="auto" w:fill="auto"/>
          </w:tcPr>
          <w:p w14:paraId="66D47046"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EE41A4C"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CSI-RS.1.1 TDD</w:t>
            </w:r>
          </w:p>
        </w:tc>
      </w:tr>
      <w:tr w:rsidR="003A71DE" w:rsidRPr="00F857FD" w14:paraId="13FF28DF" w14:textId="77777777" w:rsidTr="003A71DE">
        <w:trPr>
          <w:trHeight w:val="185"/>
          <w:jc w:val="center"/>
        </w:trPr>
        <w:tc>
          <w:tcPr>
            <w:tcW w:w="1640" w:type="pct"/>
            <w:tcBorders>
              <w:top w:val="nil"/>
              <w:bottom w:val="nil"/>
            </w:tcBorders>
            <w:shd w:val="clear" w:color="auto" w:fill="auto"/>
          </w:tcPr>
          <w:p w14:paraId="7F944346" w14:textId="77777777" w:rsidR="003A71DE" w:rsidRPr="00F857FD" w:rsidRDefault="003A71DE" w:rsidP="003A71DE">
            <w:pPr>
              <w:keepNext/>
              <w:keepLines/>
              <w:spacing w:after="0"/>
              <w:rPr>
                <w:rFonts w:ascii="Arial" w:eastAsia="SimSun" w:hAnsi="Arial" w:cs="Arial"/>
                <w:sz w:val="18"/>
                <w:szCs w:val="18"/>
              </w:rPr>
            </w:pPr>
          </w:p>
        </w:tc>
        <w:tc>
          <w:tcPr>
            <w:tcW w:w="1494" w:type="pct"/>
            <w:shd w:val="clear" w:color="auto" w:fill="auto"/>
          </w:tcPr>
          <w:p w14:paraId="75E5DB73"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Config 2</w:t>
            </w:r>
          </w:p>
        </w:tc>
        <w:tc>
          <w:tcPr>
            <w:tcW w:w="373" w:type="pct"/>
            <w:tcBorders>
              <w:top w:val="nil"/>
              <w:bottom w:val="nil"/>
            </w:tcBorders>
            <w:shd w:val="clear" w:color="auto" w:fill="auto"/>
          </w:tcPr>
          <w:p w14:paraId="0E20B0E8" w14:textId="77777777" w:rsidR="003A71DE" w:rsidRPr="00F857FD"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172F7DF0"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CSI-RS.2.1 TDD</w:t>
            </w:r>
          </w:p>
        </w:tc>
      </w:tr>
      <w:tr w:rsidR="003A71DE" w:rsidRPr="00F857FD" w14:paraId="228AD7EA" w14:textId="77777777" w:rsidTr="003A71DE">
        <w:trPr>
          <w:trHeight w:val="164"/>
          <w:jc w:val="center"/>
        </w:trPr>
        <w:tc>
          <w:tcPr>
            <w:tcW w:w="3134" w:type="pct"/>
            <w:gridSpan w:val="2"/>
            <w:shd w:val="clear" w:color="auto" w:fill="auto"/>
          </w:tcPr>
          <w:p w14:paraId="3ECFADD5"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T1</w:t>
            </w:r>
          </w:p>
        </w:tc>
        <w:tc>
          <w:tcPr>
            <w:tcW w:w="373" w:type="pct"/>
            <w:shd w:val="clear" w:color="auto" w:fill="auto"/>
          </w:tcPr>
          <w:p w14:paraId="404C8E69"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w:t>
            </w:r>
          </w:p>
        </w:tc>
        <w:tc>
          <w:tcPr>
            <w:tcW w:w="1493" w:type="pct"/>
            <w:shd w:val="clear" w:color="auto" w:fill="auto"/>
          </w:tcPr>
          <w:p w14:paraId="5400174D" w14:textId="77777777" w:rsidR="003A71DE" w:rsidRPr="009630DB"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0.2</w:t>
            </w:r>
          </w:p>
        </w:tc>
      </w:tr>
      <w:tr w:rsidR="003A71DE" w:rsidRPr="00F857FD" w14:paraId="14D99B20" w14:textId="77777777" w:rsidTr="003A71DE">
        <w:trPr>
          <w:trHeight w:val="176"/>
          <w:jc w:val="center"/>
        </w:trPr>
        <w:tc>
          <w:tcPr>
            <w:tcW w:w="3134" w:type="pct"/>
            <w:gridSpan w:val="2"/>
            <w:shd w:val="clear" w:color="auto" w:fill="auto"/>
          </w:tcPr>
          <w:p w14:paraId="4389F7E9"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T2</w:t>
            </w:r>
          </w:p>
        </w:tc>
        <w:tc>
          <w:tcPr>
            <w:tcW w:w="373" w:type="pct"/>
            <w:shd w:val="clear" w:color="auto" w:fill="auto"/>
          </w:tcPr>
          <w:p w14:paraId="1EF87F90"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w:t>
            </w:r>
          </w:p>
        </w:tc>
        <w:tc>
          <w:tcPr>
            <w:tcW w:w="1493" w:type="pct"/>
            <w:shd w:val="clear" w:color="auto" w:fill="auto"/>
          </w:tcPr>
          <w:p w14:paraId="3E426997" w14:textId="77777777" w:rsidR="003A71DE" w:rsidRPr="009630DB"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48</w:t>
            </w:r>
          </w:p>
        </w:tc>
      </w:tr>
      <w:tr w:rsidR="003A71DE" w:rsidRPr="00F857FD" w14:paraId="202CFB83" w14:textId="77777777" w:rsidTr="003A71DE">
        <w:trPr>
          <w:trHeight w:val="164"/>
          <w:jc w:val="center"/>
        </w:trPr>
        <w:tc>
          <w:tcPr>
            <w:tcW w:w="3134" w:type="pct"/>
            <w:gridSpan w:val="2"/>
            <w:shd w:val="clear" w:color="auto" w:fill="auto"/>
          </w:tcPr>
          <w:p w14:paraId="7B20E939"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T3</w:t>
            </w:r>
          </w:p>
        </w:tc>
        <w:tc>
          <w:tcPr>
            <w:tcW w:w="373" w:type="pct"/>
            <w:shd w:val="clear" w:color="auto" w:fill="auto"/>
          </w:tcPr>
          <w:p w14:paraId="38A01E4D"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w:t>
            </w:r>
          </w:p>
        </w:tc>
        <w:tc>
          <w:tcPr>
            <w:tcW w:w="1493" w:type="pct"/>
            <w:shd w:val="clear" w:color="auto" w:fill="auto"/>
          </w:tcPr>
          <w:p w14:paraId="71B74DB5" w14:textId="77777777" w:rsidR="003A71DE" w:rsidRPr="00F66DD8" w:rsidRDefault="003A71DE" w:rsidP="003A71DE">
            <w:pPr>
              <w:keepNext/>
              <w:keepLines/>
              <w:spacing w:after="0"/>
              <w:jc w:val="center"/>
              <w:rPr>
                <w:rFonts w:ascii="Arial" w:eastAsia="SimSun" w:hAnsi="Arial" w:cs="Arial"/>
                <w:strike/>
                <w:sz w:val="18"/>
                <w:szCs w:val="18"/>
              </w:rPr>
            </w:pPr>
            <w:r>
              <w:rPr>
                <w:rFonts w:ascii="Arial" w:eastAsia="SimSun" w:hAnsi="Arial" w:cs="Arial"/>
                <w:sz w:val="18"/>
                <w:szCs w:val="18"/>
              </w:rPr>
              <w:t>0.48</w:t>
            </w:r>
          </w:p>
        </w:tc>
      </w:tr>
      <w:tr w:rsidR="003A71DE" w:rsidRPr="00F857FD" w14:paraId="750401D9" w14:textId="77777777" w:rsidTr="003A71DE">
        <w:trPr>
          <w:trHeight w:val="164"/>
          <w:jc w:val="center"/>
        </w:trPr>
        <w:tc>
          <w:tcPr>
            <w:tcW w:w="3134" w:type="pct"/>
            <w:gridSpan w:val="2"/>
            <w:shd w:val="clear" w:color="auto" w:fill="auto"/>
          </w:tcPr>
          <w:p w14:paraId="78B993A6" w14:textId="77777777" w:rsidR="003A71DE" w:rsidRPr="00F857FD" w:rsidRDefault="003A71DE" w:rsidP="003A71DE">
            <w:pPr>
              <w:keepNext/>
              <w:keepLines/>
              <w:spacing w:after="0"/>
              <w:rPr>
                <w:rFonts w:ascii="Arial" w:eastAsia="SimSun" w:hAnsi="Arial" w:cs="Arial"/>
                <w:sz w:val="18"/>
                <w:szCs w:val="18"/>
              </w:rPr>
            </w:pPr>
            <w:r w:rsidRPr="00F857FD">
              <w:rPr>
                <w:rFonts w:ascii="Arial" w:eastAsia="SimSun" w:hAnsi="Arial" w:cs="Arial"/>
                <w:sz w:val="18"/>
                <w:szCs w:val="18"/>
              </w:rPr>
              <w:t>D1</w:t>
            </w:r>
          </w:p>
        </w:tc>
        <w:tc>
          <w:tcPr>
            <w:tcW w:w="373" w:type="pct"/>
            <w:shd w:val="clear" w:color="auto" w:fill="auto"/>
          </w:tcPr>
          <w:p w14:paraId="026236F4" w14:textId="77777777" w:rsidR="003A71DE" w:rsidRPr="00F857FD" w:rsidRDefault="003A71DE" w:rsidP="003A71DE">
            <w:pPr>
              <w:keepNext/>
              <w:keepLines/>
              <w:spacing w:after="0"/>
              <w:jc w:val="center"/>
              <w:rPr>
                <w:rFonts w:ascii="Arial" w:eastAsia="SimSun" w:hAnsi="Arial" w:cs="Arial"/>
                <w:sz w:val="18"/>
                <w:szCs w:val="18"/>
              </w:rPr>
            </w:pPr>
            <w:r w:rsidRPr="00F857FD">
              <w:rPr>
                <w:rFonts w:ascii="Arial" w:eastAsia="SimSun" w:hAnsi="Arial" w:cs="Arial"/>
                <w:sz w:val="18"/>
                <w:szCs w:val="18"/>
              </w:rPr>
              <w:t>s</w:t>
            </w:r>
          </w:p>
        </w:tc>
        <w:tc>
          <w:tcPr>
            <w:tcW w:w="1493" w:type="pct"/>
            <w:shd w:val="clear" w:color="auto" w:fill="auto"/>
          </w:tcPr>
          <w:p w14:paraId="0CE2D4A2" w14:textId="77777777" w:rsidR="003A71DE" w:rsidRPr="00F66DD8" w:rsidRDefault="003A71DE" w:rsidP="003A71DE">
            <w:pPr>
              <w:keepNext/>
              <w:keepLines/>
              <w:spacing w:after="0"/>
              <w:jc w:val="center"/>
              <w:rPr>
                <w:rFonts w:ascii="Arial" w:eastAsia="SimSun" w:hAnsi="Arial" w:cs="Arial"/>
                <w:strike/>
                <w:sz w:val="18"/>
                <w:szCs w:val="18"/>
              </w:rPr>
            </w:pPr>
            <w:r>
              <w:rPr>
                <w:rFonts w:ascii="Arial" w:eastAsia="SimSun" w:hAnsi="Arial" w:cs="Arial"/>
                <w:sz w:val="18"/>
                <w:szCs w:val="18"/>
              </w:rPr>
              <w:t>0.44</w:t>
            </w:r>
          </w:p>
        </w:tc>
      </w:tr>
      <w:tr w:rsidR="003A71DE" w:rsidRPr="00F857FD" w14:paraId="4FC6CE1F" w14:textId="77777777" w:rsidTr="003A71DE">
        <w:trPr>
          <w:trHeight w:val="50"/>
          <w:jc w:val="center"/>
        </w:trPr>
        <w:tc>
          <w:tcPr>
            <w:tcW w:w="5000" w:type="pct"/>
            <w:gridSpan w:val="4"/>
          </w:tcPr>
          <w:p w14:paraId="35C7DF1B" w14:textId="77777777" w:rsidR="003A71DE" w:rsidRPr="00F857FD" w:rsidRDefault="003A71DE" w:rsidP="00A40F90">
            <w:pPr>
              <w:pStyle w:val="TAN"/>
              <w:rPr>
                <w:rFonts w:eastAsia="SimSun"/>
              </w:rPr>
            </w:pPr>
            <w:r w:rsidRPr="00F857FD">
              <w:rPr>
                <w:rFonts w:eastAsia="SimSun"/>
              </w:rPr>
              <w:t>Note 1:</w:t>
            </w:r>
            <w:r w:rsidRPr="00F857FD">
              <w:rPr>
                <w:rFonts w:eastAsia="SimSun"/>
              </w:rPr>
              <w:tab/>
              <w:t>IAB-MT-specific PDCCH is not transmitted after T1 starts.</w:t>
            </w:r>
          </w:p>
        </w:tc>
      </w:tr>
    </w:tbl>
    <w:p w14:paraId="18DE67C3" w14:textId="77777777" w:rsidR="003A71DE" w:rsidRPr="003F24A0" w:rsidRDefault="003A71DE" w:rsidP="003A71DE">
      <w:pPr>
        <w:rPr>
          <w:rFonts w:eastAsia="SimSun"/>
        </w:rPr>
      </w:pPr>
    </w:p>
    <w:p w14:paraId="273F57EB" w14:textId="77777777" w:rsidR="003A71DE" w:rsidRPr="003F24A0" w:rsidDel="002042BA" w:rsidRDefault="003A71DE" w:rsidP="00746C0D">
      <w:pPr>
        <w:pStyle w:val="TH"/>
        <w:rPr>
          <w:rFonts w:eastAsia="SimSun"/>
        </w:rPr>
      </w:pPr>
      <w:r w:rsidRPr="003F24A0">
        <w:rPr>
          <w:rFonts w:eastAsia="SimSun"/>
        </w:rPr>
        <w:lastRenderedPageBreak/>
        <w:t xml:space="preserve">Table </w:t>
      </w:r>
      <w:r>
        <w:rPr>
          <w:rFonts w:eastAsia="SimSun"/>
        </w:rPr>
        <w:t>G.2.3.1.5</w:t>
      </w:r>
      <w:r w:rsidRPr="003F24A0">
        <w:rPr>
          <w:rFonts w:eastAsia="SimSun"/>
        </w:rPr>
        <w:t>.1-3: Cell specific test parameters for FR1 for CSI-RS out-of-sync radio link monitoring in non-DRX</w:t>
      </w:r>
    </w:p>
    <w:tbl>
      <w:tblPr>
        <w:tblW w:w="9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47"/>
        <w:gridCol w:w="1134"/>
        <w:gridCol w:w="1417"/>
        <w:gridCol w:w="1560"/>
        <w:gridCol w:w="1417"/>
        <w:gridCol w:w="1667"/>
      </w:tblGrid>
      <w:tr w:rsidR="003A71DE" w:rsidRPr="003F24A0" w14:paraId="06D2E9C8" w14:textId="77777777" w:rsidTr="003A71DE">
        <w:trPr>
          <w:cantSplit/>
          <w:trHeight w:val="169"/>
          <w:jc w:val="center"/>
        </w:trPr>
        <w:tc>
          <w:tcPr>
            <w:tcW w:w="3681" w:type="dxa"/>
            <w:gridSpan w:val="2"/>
            <w:tcBorders>
              <w:top w:val="single" w:sz="4" w:space="0" w:color="auto"/>
              <w:left w:val="single" w:sz="4" w:space="0" w:color="auto"/>
              <w:bottom w:val="nil"/>
            </w:tcBorders>
            <w:shd w:val="clear" w:color="auto" w:fill="auto"/>
          </w:tcPr>
          <w:p w14:paraId="441C8F10" w14:textId="77777777" w:rsidR="003A71DE" w:rsidRPr="003F24A0" w:rsidRDefault="003A71DE" w:rsidP="00A40F90">
            <w:pPr>
              <w:pStyle w:val="TAH"/>
              <w:rPr>
                <w:rFonts w:eastAsia="SimSun"/>
              </w:rPr>
            </w:pPr>
            <w:r w:rsidRPr="003F24A0">
              <w:rPr>
                <w:rFonts w:eastAsia="SimSun"/>
              </w:rPr>
              <w:t>Parameter</w:t>
            </w:r>
          </w:p>
        </w:tc>
        <w:tc>
          <w:tcPr>
            <w:tcW w:w="1417" w:type="dxa"/>
            <w:tcBorders>
              <w:top w:val="single" w:sz="4" w:space="0" w:color="auto"/>
              <w:bottom w:val="nil"/>
            </w:tcBorders>
            <w:shd w:val="clear" w:color="auto" w:fill="auto"/>
          </w:tcPr>
          <w:p w14:paraId="16A9379A" w14:textId="77777777" w:rsidR="003A71DE" w:rsidRPr="003F24A0" w:rsidRDefault="003A71DE" w:rsidP="00A40F90">
            <w:pPr>
              <w:pStyle w:val="TAH"/>
              <w:rPr>
                <w:rFonts w:eastAsia="SimSun"/>
              </w:rPr>
            </w:pPr>
            <w:r w:rsidRPr="003F24A0">
              <w:rPr>
                <w:rFonts w:eastAsia="SimSun"/>
              </w:rPr>
              <w:t>Unit</w:t>
            </w:r>
          </w:p>
        </w:tc>
        <w:tc>
          <w:tcPr>
            <w:tcW w:w="4644" w:type="dxa"/>
            <w:gridSpan w:val="3"/>
            <w:tcBorders>
              <w:top w:val="single" w:sz="4" w:space="0" w:color="auto"/>
            </w:tcBorders>
          </w:tcPr>
          <w:p w14:paraId="74C6B9CD" w14:textId="77777777" w:rsidR="003A71DE" w:rsidRPr="003F24A0" w:rsidRDefault="003A71DE" w:rsidP="00A40F90">
            <w:pPr>
              <w:pStyle w:val="TAH"/>
              <w:rPr>
                <w:rFonts w:eastAsia="SimSun"/>
              </w:rPr>
            </w:pPr>
            <w:r w:rsidRPr="003F24A0">
              <w:rPr>
                <w:rFonts w:eastAsia="SimSun"/>
              </w:rPr>
              <w:t>Test 1</w:t>
            </w:r>
          </w:p>
        </w:tc>
      </w:tr>
      <w:tr w:rsidR="003A71DE" w:rsidRPr="003F24A0" w14:paraId="56990917" w14:textId="77777777" w:rsidTr="003A71DE">
        <w:trPr>
          <w:cantSplit/>
          <w:trHeight w:val="191"/>
          <w:jc w:val="center"/>
        </w:trPr>
        <w:tc>
          <w:tcPr>
            <w:tcW w:w="3681" w:type="dxa"/>
            <w:gridSpan w:val="2"/>
            <w:tcBorders>
              <w:top w:val="nil"/>
              <w:left w:val="single" w:sz="4" w:space="0" w:color="auto"/>
              <w:bottom w:val="single" w:sz="4" w:space="0" w:color="auto"/>
            </w:tcBorders>
            <w:shd w:val="clear" w:color="auto" w:fill="auto"/>
          </w:tcPr>
          <w:p w14:paraId="645F5E51" w14:textId="77777777" w:rsidR="003A71DE" w:rsidRPr="003F24A0" w:rsidRDefault="003A71DE" w:rsidP="00A40F90">
            <w:pPr>
              <w:pStyle w:val="TAH"/>
              <w:rPr>
                <w:rFonts w:eastAsia="SimSun"/>
              </w:rPr>
            </w:pPr>
          </w:p>
        </w:tc>
        <w:tc>
          <w:tcPr>
            <w:tcW w:w="1417" w:type="dxa"/>
            <w:tcBorders>
              <w:top w:val="nil"/>
              <w:bottom w:val="single" w:sz="4" w:space="0" w:color="auto"/>
            </w:tcBorders>
            <w:shd w:val="clear" w:color="auto" w:fill="auto"/>
          </w:tcPr>
          <w:p w14:paraId="39B24043" w14:textId="77777777" w:rsidR="003A71DE" w:rsidRPr="003F24A0" w:rsidRDefault="003A71DE" w:rsidP="00A40F90">
            <w:pPr>
              <w:pStyle w:val="TAH"/>
              <w:rPr>
                <w:rFonts w:eastAsia="SimSun"/>
              </w:rPr>
            </w:pPr>
          </w:p>
        </w:tc>
        <w:tc>
          <w:tcPr>
            <w:tcW w:w="1560" w:type="dxa"/>
            <w:tcBorders>
              <w:bottom w:val="single" w:sz="4" w:space="0" w:color="auto"/>
            </w:tcBorders>
          </w:tcPr>
          <w:p w14:paraId="06582754" w14:textId="77777777" w:rsidR="003A71DE" w:rsidRPr="003F24A0" w:rsidRDefault="003A71DE" w:rsidP="00A40F90">
            <w:pPr>
              <w:pStyle w:val="TAH"/>
              <w:rPr>
                <w:rFonts w:eastAsia="SimSun"/>
              </w:rPr>
            </w:pPr>
            <w:r w:rsidRPr="003F24A0">
              <w:rPr>
                <w:rFonts w:eastAsia="SimSun"/>
              </w:rPr>
              <w:t>T1</w:t>
            </w:r>
          </w:p>
        </w:tc>
        <w:tc>
          <w:tcPr>
            <w:tcW w:w="1417" w:type="dxa"/>
            <w:tcBorders>
              <w:bottom w:val="single" w:sz="4" w:space="0" w:color="auto"/>
            </w:tcBorders>
          </w:tcPr>
          <w:p w14:paraId="7EE984F3" w14:textId="77777777" w:rsidR="003A71DE" w:rsidRPr="003F24A0" w:rsidRDefault="003A71DE" w:rsidP="00A40F90">
            <w:pPr>
              <w:pStyle w:val="TAH"/>
              <w:rPr>
                <w:rFonts w:eastAsia="SimSun"/>
              </w:rPr>
            </w:pPr>
            <w:r w:rsidRPr="003F24A0">
              <w:rPr>
                <w:rFonts w:eastAsia="SimSun"/>
              </w:rPr>
              <w:t>T2</w:t>
            </w:r>
          </w:p>
        </w:tc>
        <w:tc>
          <w:tcPr>
            <w:tcW w:w="1667" w:type="dxa"/>
            <w:tcBorders>
              <w:bottom w:val="single" w:sz="4" w:space="0" w:color="auto"/>
            </w:tcBorders>
          </w:tcPr>
          <w:p w14:paraId="5F9E4A66" w14:textId="77777777" w:rsidR="003A71DE" w:rsidRPr="003F24A0" w:rsidRDefault="003A71DE" w:rsidP="00A40F90">
            <w:pPr>
              <w:pStyle w:val="TAH"/>
              <w:rPr>
                <w:rFonts w:eastAsia="SimSun"/>
              </w:rPr>
            </w:pPr>
            <w:r w:rsidRPr="003F24A0">
              <w:rPr>
                <w:rFonts w:eastAsia="SimSun"/>
              </w:rPr>
              <w:t>T3</w:t>
            </w:r>
          </w:p>
        </w:tc>
      </w:tr>
      <w:tr w:rsidR="003A71DE" w:rsidRPr="003F24A0" w14:paraId="5E888D51" w14:textId="77777777" w:rsidTr="003A71DE">
        <w:trPr>
          <w:cantSplit/>
          <w:trHeight w:val="169"/>
          <w:jc w:val="center"/>
        </w:trPr>
        <w:tc>
          <w:tcPr>
            <w:tcW w:w="3681" w:type="dxa"/>
            <w:gridSpan w:val="2"/>
            <w:tcBorders>
              <w:left w:val="single" w:sz="4" w:space="0" w:color="auto"/>
              <w:bottom w:val="single" w:sz="4" w:space="0" w:color="auto"/>
            </w:tcBorders>
          </w:tcPr>
          <w:p w14:paraId="47FE8F9F"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PDCCH_beta</w:t>
            </w:r>
          </w:p>
        </w:tc>
        <w:tc>
          <w:tcPr>
            <w:tcW w:w="1417" w:type="dxa"/>
            <w:tcBorders>
              <w:bottom w:val="single" w:sz="4" w:space="0" w:color="auto"/>
            </w:tcBorders>
          </w:tcPr>
          <w:p w14:paraId="0BD89F8E"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shd w:val="clear" w:color="auto" w:fill="auto"/>
          </w:tcPr>
          <w:p w14:paraId="106DC76E"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4</w:t>
            </w:r>
          </w:p>
        </w:tc>
      </w:tr>
      <w:tr w:rsidR="003A71DE" w:rsidRPr="003F24A0" w14:paraId="4357551F" w14:textId="77777777" w:rsidTr="003A71DE">
        <w:trPr>
          <w:cantSplit/>
          <w:trHeight w:val="180"/>
          <w:jc w:val="center"/>
        </w:trPr>
        <w:tc>
          <w:tcPr>
            <w:tcW w:w="3681" w:type="dxa"/>
            <w:gridSpan w:val="2"/>
            <w:tcBorders>
              <w:left w:val="single" w:sz="4" w:space="0" w:color="auto"/>
              <w:bottom w:val="single" w:sz="4" w:space="0" w:color="auto"/>
            </w:tcBorders>
          </w:tcPr>
          <w:p w14:paraId="37A24BC5"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PDCCH_DMRS_beta</w:t>
            </w:r>
          </w:p>
        </w:tc>
        <w:tc>
          <w:tcPr>
            <w:tcW w:w="1417" w:type="dxa"/>
            <w:tcBorders>
              <w:bottom w:val="single" w:sz="4" w:space="0" w:color="auto"/>
            </w:tcBorders>
          </w:tcPr>
          <w:p w14:paraId="68419B42"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Borders>
              <w:bottom w:val="single" w:sz="4" w:space="0" w:color="auto"/>
            </w:tcBorders>
            <w:shd w:val="clear" w:color="auto" w:fill="auto"/>
          </w:tcPr>
          <w:p w14:paraId="37EE12E3"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4</w:t>
            </w:r>
          </w:p>
        </w:tc>
      </w:tr>
      <w:tr w:rsidR="003A71DE" w:rsidRPr="003F24A0" w14:paraId="259079EB" w14:textId="77777777" w:rsidTr="003A71DE">
        <w:trPr>
          <w:cantSplit/>
          <w:trHeight w:val="169"/>
          <w:jc w:val="center"/>
        </w:trPr>
        <w:tc>
          <w:tcPr>
            <w:tcW w:w="3681" w:type="dxa"/>
            <w:gridSpan w:val="2"/>
            <w:tcBorders>
              <w:left w:val="single" w:sz="4" w:space="0" w:color="auto"/>
              <w:bottom w:val="single" w:sz="4" w:space="0" w:color="auto"/>
            </w:tcBorders>
          </w:tcPr>
          <w:p w14:paraId="08696B1E"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PBCH_beta</w:t>
            </w:r>
          </w:p>
        </w:tc>
        <w:tc>
          <w:tcPr>
            <w:tcW w:w="1417" w:type="dxa"/>
            <w:tcBorders>
              <w:bottom w:val="single" w:sz="4" w:space="0" w:color="auto"/>
            </w:tcBorders>
          </w:tcPr>
          <w:p w14:paraId="4F3F241B"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Borders>
              <w:bottom w:val="nil"/>
            </w:tcBorders>
            <w:shd w:val="clear" w:color="auto" w:fill="auto"/>
            <w:vAlign w:val="center"/>
          </w:tcPr>
          <w:p w14:paraId="44590137"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0</w:t>
            </w:r>
          </w:p>
        </w:tc>
      </w:tr>
      <w:tr w:rsidR="003A71DE" w:rsidRPr="003F24A0" w14:paraId="603D613C" w14:textId="77777777" w:rsidTr="003A71DE">
        <w:trPr>
          <w:cantSplit/>
          <w:trHeight w:val="169"/>
          <w:jc w:val="center"/>
        </w:trPr>
        <w:tc>
          <w:tcPr>
            <w:tcW w:w="3681" w:type="dxa"/>
            <w:gridSpan w:val="2"/>
            <w:tcBorders>
              <w:left w:val="single" w:sz="4" w:space="0" w:color="auto"/>
              <w:bottom w:val="single" w:sz="4" w:space="0" w:color="auto"/>
            </w:tcBorders>
          </w:tcPr>
          <w:p w14:paraId="32A1E52B"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PSS_beta</w:t>
            </w:r>
          </w:p>
        </w:tc>
        <w:tc>
          <w:tcPr>
            <w:tcW w:w="1417" w:type="dxa"/>
            <w:tcBorders>
              <w:bottom w:val="single" w:sz="4" w:space="0" w:color="auto"/>
            </w:tcBorders>
          </w:tcPr>
          <w:p w14:paraId="07E17053"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Borders>
              <w:top w:val="nil"/>
              <w:bottom w:val="nil"/>
            </w:tcBorders>
            <w:shd w:val="clear" w:color="auto" w:fill="auto"/>
          </w:tcPr>
          <w:p w14:paraId="6E9EE17D" w14:textId="77777777" w:rsidR="003A71DE" w:rsidRPr="003F24A0" w:rsidRDefault="003A71DE" w:rsidP="003A71DE">
            <w:pPr>
              <w:keepNext/>
              <w:keepLines/>
              <w:spacing w:after="0"/>
              <w:jc w:val="center"/>
              <w:rPr>
                <w:rFonts w:ascii="Arial" w:eastAsia="SimSun" w:hAnsi="Arial"/>
                <w:sz w:val="18"/>
              </w:rPr>
            </w:pPr>
          </w:p>
        </w:tc>
      </w:tr>
      <w:tr w:rsidR="003A71DE" w:rsidRPr="003F24A0" w14:paraId="7770C706" w14:textId="77777777" w:rsidTr="003A71DE">
        <w:trPr>
          <w:cantSplit/>
          <w:trHeight w:val="180"/>
          <w:jc w:val="center"/>
        </w:trPr>
        <w:tc>
          <w:tcPr>
            <w:tcW w:w="3681" w:type="dxa"/>
            <w:gridSpan w:val="2"/>
            <w:tcBorders>
              <w:left w:val="single" w:sz="4" w:space="0" w:color="auto"/>
              <w:bottom w:val="single" w:sz="4" w:space="0" w:color="auto"/>
            </w:tcBorders>
          </w:tcPr>
          <w:p w14:paraId="2DC81922"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SSS_beta</w:t>
            </w:r>
          </w:p>
        </w:tc>
        <w:tc>
          <w:tcPr>
            <w:tcW w:w="1417" w:type="dxa"/>
            <w:tcBorders>
              <w:bottom w:val="single" w:sz="4" w:space="0" w:color="auto"/>
            </w:tcBorders>
          </w:tcPr>
          <w:p w14:paraId="7078FB20"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Borders>
              <w:top w:val="nil"/>
              <w:bottom w:val="nil"/>
            </w:tcBorders>
            <w:shd w:val="clear" w:color="auto" w:fill="auto"/>
          </w:tcPr>
          <w:p w14:paraId="6C46E94B" w14:textId="77777777" w:rsidR="003A71DE" w:rsidRPr="003F24A0" w:rsidRDefault="003A71DE" w:rsidP="003A71DE">
            <w:pPr>
              <w:keepNext/>
              <w:keepLines/>
              <w:spacing w:after="0"/>
              <w:jc w:val="center"/>
              <w:rPr>
                <w:rFonts w:ascii="Arial" w:eastAsia="SimSun" w:hAnsi="Arial"/>
                <w:sz w:val="18"/>
              </w:rPr>
            </w:pPr>
          </w:p>
        </w:tc>
      </w:tr>
      <w:tr w:rsidR="003A71DE" w:rsidRPr="003F24A0" w14:paraId="561844A0" w14:textId="77777777" w:rsidTr="003A71DE">
        <w:trPr>
          <w:cantSplit/>
          <w:trHeight w:val="169"/>
          <w:jc w:val="center"/>
        </w:trPr>
        <w:tc>
          <w:tcPr>
            <w:tcW w:w="3681" w:type="dxa"/>
            <w:gridSpan w:val="2"/>
            <w:tcBorders>
              <w:left w:val="single" w:sz="4" w:space="0" w:color="auto"/>
              <w:bottom w:val="single" w:sz="4" w:space="0" w:color="auto"/>
            </w:tcBorders>
          </w:tcPr>
          <w:p w14:paraId="3C9016DC"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PDSCH_beta</w:t>
            </w:r>
          </w:p>
        </w:tc>
        <w:tc>
          <w:tcPr>
            <w:tcW w:w="1417" w:type="dxa"/>
            <w:tcBorders>
              <w:bottom w:val="single" w:sz="4" w:space="0" w:color="auto"/>
            </w:tcBorders>
          </w:tcPr>
          <w:p w14:paraId="7EC9BC20"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Borders>
              <w:top w:val="nil"/>
              <w:bottom w:val="nil"/>
            </w:tcBorders>
            <w:shd w:val="clear" w:color="auto" w:fill="auto"/>
          </w:tcPr>
          <w:p w14:paraId="1C431F66" w14:textId="77777777" w:rsidR="003A71DE" w:rsidRPr="003F24A0" w:rsidRDefault="003A71DE" w:rsidP="003A71DE">
            <w:pPr>
              <w:keepNext/>
              <w:keepLines/>
              <w:spacing w:after="0"/>
              <w:jc w:val="center"/>
              <w:rPr>
                <w:rFonts w:ascii="Arial" w:eastAsia="SimSun" w:hAnsi="Arial"/>
                <w:sz w:val="18"/>
              </w:rPr>
            </w:pPr>
          </w:p>
        </w:tc>
      </w:tr>
      <w:tr w:rsidR="003A71DE" w:rsidRPr="003F24A0" w14:paraId="636BF9B1" w14:textId="77777777" w:rsidTr="003A71DE">
        <w:trPr>
          <w:cantSplit/>
          <w:trHeight w:val="169"/>
          <w:jc w:val="center"/>
        </w:trPr>
        <w:tc>
          <w:tcPr>
            <w:tcW w:w="3681" w:type="dxa"/>
            <w:gridSpan w:val="2"/>
            <w:tcBorders>
              <w:left w:val="single" w:sz="4" w:space="0" w:color="auto"/>
              <w:bottom w:val="single" w:sz="4" w:space="0" w:color="auto"/>
            </w:tcBorders>
            <w:vAlign w:val="center"/>
          </w:tcPr>
          <w:p w14:paraId="7C0D8D48"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OCNG_beta</w:t>
            </w:r>
          </w:p>
        </w:tc>
        <w:tc>
          <w:tcPr>
            <w:tcW w:w="1417" w:type="dxa"/>
            <w:tcBorders>
              <w:bottom w:val="single" w:sz="4" w:space="0" w:color="auto"/>
            </w:tcBorders>
          </w:tcPr>
          <w:p w14:paraId="2EF1F739"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Borders>
              <w:top w:val="nil"/>
            </w:tcBorders>
            <w:shd w:val="clear" w:color="auto" w:fill="auto"/>
          </w:tcPr>
          <w:p w14:paraId="13A6071F" w14:textId="77777777" w:rsidR="003A71DE" w:rsidRPr="003F24A0" w:rsidRDefault="003A71DE" w:rsidP="003A71DE">
            <w:pPr>
              <w:keepNext/>
              <w:keepLines/>
              <w:spacing w:after="0"/>
              <w:jc w:val="center"/>
              <w:rPr>
                <w:rFonts w:ascii="Arial" w:eastAsia="SimSun" w:hAnsi="Arial"/>
                <w:sz w:val="18"/>
              </w:rPr>
            </w:pPr>
          </w:p>
        </w:tc>
      </w:tr>
      <w:tr w:rsidR="003A71DE" w:rsidRPr="003F24A0" w14:paraId="59821961" w14:textId="77777777" w:rsidTr="003A71DE">
        <w:trPr>
          <w:cantSplit/>
          <w:trHeight w:val="185"/>
          <w:jc w:val="center"/>
        </w:trPr>
        <w:tc>
          <w:tcPr>
            <w:tcW w:w="2547" w:type="dxa"/>
            <w:tcBorders>
              <w:bottom w:val="nil"/>
            </w:tcBorders>
            <w:shd w:val="clear" w:color="auto" w:fill="auto"/>
          </w:tcPr>
          <w:p w14:paraId="4056D571"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SNR on RLM-RS</w:t>
            </w:r>
          </w:p>
        </w:tc>
        <w:tc>
          <w:tcPr>
            <w:tcW w:w="1134" w:type="dxa"/>
          </w:tcPr>
          <w:p w14:paraId="5E47173B"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Config 1</w:t>
            </w:r>
            <w:r>
              <w:rPr>
                <w:rFonts w:ascii="Arial" w:eastAsia="SimSun" w:hAnsi="Arial"/>
                <w:sz w:val="18"/>
              </w:rPr>
              <w:t>, 2</w:t>
            </w:r>
          </w:p>
        </w:tc>
        <w:tc>
          <w:tcPr>
            <w:tcW w:w="1417" w:type="dxa"/>
            <w:tcBorders>
              <w:bottom w:val="nil"/>
            </w:tcBorders>
            <w:shd w:val="clear" w:color="auto" w:fill="auto"/>
          </w:tcPr>
          <w:p w14:paraId="685321B3"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1560" w:type="dxa"/>
          </w:tcPr>
          <w:p w14:paraId="5840C61D"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1</w:t>
            </w:r>
          </w:p>
        </w:tc>
        <w:tc>
          <w:tcPr>
            <w:tcW w:w="1417" w:type="dxa"/>
          </w:tcPr>
          <w:p w14:paraId="47FD2A90"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-7</w:t>
            </w:r>
          </w:p>
        </w:tc>
        <w:tc>
          <w:tcPr>
            <w:tcW w:w="1667" w:type="dxa"/>
          </w:tcPr>
          <w:p w14:paraId="5656C2F5"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-15</w:t>
            </w:r>
          </w:p>
        </w:tc>
      </w:tr>
      <w:tr w:rsidR="003A71DE" w:rsidRPr="003F24A0" w14:paraId="3D4E9C96" w14:textId="77777777" w:rsidTr="003A71DE">
        <w:trPr>
          <w:cantSplit/>
          <w:trHeight w:val="293"/>
          <w:jc w:val="center"/>
        </w:trPr>
        <w:tc>
          <w:tcPr>
            <w:tcW w:w="2547" w:type="dxa"/>
            <w:tcBorders>
              <w:bottom w:val="nil"/>
            </w:tcBorders>
            <w:shd w:val="clear" w:color="auto" w:fill="auto"/>
          </w:tcPr>
          <w:p w14:paraId="6F14790C"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SNR on other channels and signals</w:t>
            </w:r>
          </w:p>
        </w:tc>
        <w:tc>
          <w:tcPr>
            <w:tcW w:w="1134" w:type="dxa"/>
          </w:tcPr>
          <w:p w14:paraId="7F74C741" w14:textId="77777777" w:rsidR="003A71DE" w:rsidRPr="003F24A0" w:rsidRDefault="003A71DE" w:rsidP="003A71DE">
            <w:pPr>
              <w:keepNext/>
              <w:keepLines/>
              <w:spacing w:after="0"/>
              <w:rPr>
                <w:rFonts w:ascii="Arial" w:eastAsia="SimSun" w:hAnsi="Arial"/>
                <w:sz w:val="18"/>
              </w:rPr>
            </w:pPr>
            <w:r w:rsidRPr="003F24A0">
              <w:rPr>
                <w:rFonts w:ascii="Arial" w:eastAsia="SimSun" w:hAnsi="Arial"/>
                <w:noProof/>
                <w:sz w:val="18"/>
              </w:rPr>
              <w:t>Config 1</w:t>
            </w:r>
            <w:r>
              <w:rPr>
                <w:rFonts w:ascii="Arial" w:eastAsia="SimSun" w:hAnsi="Arial"/>
                <w:noProof/>
                <w:sz w:val="18"/>
              </w:rPr>
              <w:t>, 2</w:t>
            </w:r>
          </w:p>
        </w:tc>
        <w:tc>
          <w:tcPr>
            <w:tcW w:w="1417" w:type="dxa"/>
            <w:tcBorders>
              <w:bottom w:val="nil"/>
            </w:tcBorders>
            <w:shd w:val="clear" w:color="auto" w:fill="auto"/>
          </w:tcPr>
          <w:p w14:paraId="3E0CF93B"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w:t>
            </w:r>
          </w:p>
        </w:tc>
        <w:tc>
          <w:tcPr>
            <w:tcW w:w="4644" w:type="dxa"/>
            <w:gridSpan w:val="3"/>
          </w:tcPr>
          <w:p w14:paraId="12C22693"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1</w:t>
            </w:r>
          </w:p>
        </w:tc>
      </w:tr>
      <w:tr w:rsidR="003A71DE" w:rsidRPr="003F24A0" w14:paraId="5692A5B3" w14:textId="77777777" w:rsidTr="003A71DE">
        <w:trPr>
          <w:cantSplit/>
          <w:trHeight w:val="189"/>
          <w:jc w:val="center"/>
        </w:trPr>
        <w:tc>
          <w:tcPr>
            <w:tcW w:w="2547" w:type="dxa"/>
            <w:tcBorders>
              <w:bottom w:val="nil"/>
            </w:tcBorders>
            <w:shd w:val="clear" w:color="auto" w:fill="auto"/>
          </w:tcPr>
          <w:p w14:paraId="0BD9EF67"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object w:dxaOrig="420" w:dyaOrig="360" w14:anchorId="4C0D9F90">
                <v:shape id="_x0000_i1097" type="#_x0000_t75" style="width:22.15pt;height:22.15pt" o:ole="" fillcolor="window">
                  <v:imagedata r:id="rId114" o:title=""/>
                </v:shape>
                <o:OLEObject Type="Embed" ProgID="Equation.3" ShapeID="_x0000_i1097" DrawAspect="Content" ObjectID="_1734764477" r:id="rId126"/>
              </w:object>
            </w:r>
          </w:p>
        </w:tc>
        <w:tc>
          <w:tcPr>
            <w:tcW w:w="1134" w:type="dxa"/>
          </w:tcPr>
          <w:p w14:paraId="42C1EBC7"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Config 1</w:t>
            </w:r>
            <w:r>
              <w:rPr>
                <w:rFonts w:ascii="Arial" w:eastAsia="SimSun" w:hAnsi="Arial"/>
                <w:sz w:val="18"/>
              </w:rPr>
              <w:t>, 2</w:t>
            </w:r>
          </w:p>
        </w:tc>
        <w:tc>
          <w:tcPr>
            <w:tcW w:w="1417" w:type="dxa"/>
            <w:tcBorders>
              <w:bottom w:val="nil"/>
            </w:tcBorders>
            <w:shd w:val="clear" w:color="auto" w:fill="auto"/>
          </w:tcPr>
          <w:p w14:paraId="247F1553"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dBm/15kHz</w:t>
            </w:r>
          </w:p>
        </w:tc>
        <w:tc>
          <w:tcPr>
            <w:tcW w:w="4644" w:type="dxa"/>
            <w:gridSpan w:val="3"/>
          </w:tcPr>
          <w:p w14:paraId="3A61D770"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-98</w:t>
            </w:r>
          </w:p>
        </w:tc>
      </w:tr>
      <w:tr w:rsidR="003A71DE" w:rsidRPr="003F24A0" w14:paraId="38F6D393" w14:textId="77777777" w:rsidTr="003A71DE">
        <w:trPr>
          <w:cantSplit/>
          <w:trHeight w:val="207"/>
          <w:jc w:val="center"/>
        </w:trPr>
        <w:tc>
          <w:tcPr>
            <w:tcW w:w="3681" w:type="dxa"/>
            <w:gridSpan w:val="2"/>
          </w:tcPr>
          <w:p w14:paraId="52EB9ED7" w14:textId="77777777" w:rsidR="003A71DE" w:rsidRPr="003F24A0" w:rsidRDefault="003A71DE" w:rsidP="003A71DE">
            <w:pPr>
              <w:keepNext/>
              <w:keepLines/>
              <w:spacing w:after="0"/>
              <w:rPr>
                <w:rFonts w:ascii="Arial" w:eastAsia="SimSun" w:hAnsi="Arial"/>
                <w:sz w:val="18"/>
              </w:rPr>
            </w:pPr>
            <w:r w:rsidRPr="003F24A0">
              <w:rPr>
                <w:rFonts w:ascii="Arial" w:eastAsia="SimSun" w:hAnsi="Arial"/>
                <w:sz w:val="18"/>
              </w:rPr>
              <w:t>Propagation condition</w:t>
            </w:r>
          </w:p>
        </w:tc>
        <w:tc>
          <w:tcPr>
            <w:tcW w:w="1417" w:type="dxa"/>
          </w:tcPr>
          <w:p w14:paraId="34397DA4" w14:textId="77777777" w:rsidR="003A71DE" w:rsidRPr="003F24A0" w:rsidRDefault="003A71DE" w:rsidP="003A71DE">
            <w:pPr>
              <w:keepNext/>
              <w:keepLines/>
              <w:spacing w:after="0"/>
              <w:jc w:val="center"/>
              <w:rPr>
                <w:rFonts w:ascii="Arial" w:eastAsia="SimSun" w:hAnsi="Arial"/>
                <w:sz w:val="18"/>
              </w:rPr>
            </w:pPr>
          </w:p>
        </w:tc>
        <w:tc>
          <w:tcPr>
            <w:tcW w:w="4644" w:type="dxa"/>
            <w:gridSpan w:val="3"/>
            <w:shd w:val="clear" w:color="auto" w:fill="auto"/>
          </w:tcPr>
          <w:p w14:paraId="1C95C6C2" w14:textId="77777777" w:rsidR="003A71DE" w:rsidRPr="003F24A0" w:rsidRDefault="003A71DE" w:rsidP="003A71DE">
            <w:pPr>
              <w:keepNext/>
              <w:keepLines/>
              <w:spacing w:after="0"/>
              <w:jc w:val="center"/>
              <w:rPr>
                <w:rFonts w:ascii="Arial" w:eastAsia="SimSun" w:hAnsi="Arial"/>
                <w:sz w:val="18"/>
              </w:rPr>
            </w:pPr>
            <w:r w:rsidRPr="003F24A0">
              <w:rPr>
                <w:rFonts w:ascii="Arial" w:eastAsia="SimSun" w:hAnsi="Arial"/>
                <w:sz w:val="18"/>
              </w:rPr>
              <w:t>TDL-C 300ns 100Hz</w:t>
            </w:r>
          </w:p>
        </w:tc>
      </w:tr>
      <w:tr w:rsidR="003A71DE" w:rsidRPr="003F24A0" w14:paraId="0D719B0E" w14:textId="77777777" w:rsidTr="003A71DE">
        <w:trPr>
          <w:cantSplit/>
          <w:trHeight w:val="2119"/>
          <w:jc w:val="center"/>
        </w:trPr>
        <w:tc>
          <w:tcPr>
            <w:tcW w:w="9742" w:type="dxa"/>
            <w:gridSpan w:val="6"/>
          </w:tcPr>
          <w:p w14:paraId="701F72BC" w14:textId="77777777" w:rsidR="003A71DE" w:rsidRPr="003F24A0" w:rsidRDefault="003A71DE" w:rsidP="00A40F90">
            <w:pPr>
              <w:pStyle w:val="TAN"/>
              <w:rPr>
                <w:rFonts w:eastAsia="SimSun"/>
              </w:rPr>
            </w:pPr>
            <w:r w:rsidRPr="003F24A0">
              <w:rPr>
                <w:rFonts w:eastAsia="SimSun"/>
              </w:rPr>
              <w:t>Note 1:</w:t>
            </w:r>
            <w:r w:rsidRPr="003F24A0">
              <w:rPr>
                <w:rFonts w:eastAsia="SimSun"/>
              </w:rPr>
              <w:tab/>
              <w:t>OCNG shall be used such that the resources in Cell 1 are fully allocated and a constant total transmitted power spectral density is achieved for all OFDM symbols.</w:t>
            </w:r>
          </w:p>
          <w:p w14:paraId="01818951" w14:textId="77777777" w:rsidR="003A71DE" w:rsidRPr="003F24A0" w:rsidRDefault="003A71DE" w:rsidP="00A40F90">
            <w:pPr>
              <w:pStyle w:val="TAN"/>
              <w:rPr>
                <w:rFonts w:eastAsia="SimSun"/>
              </w:rPr>
            </w:pPr>
            <w:r w:rsidRPr="003F24A0">
              <w:rPr>
                <w:rFonts w:eastAsia="SimSun"/>
              </w:rPr>
              <w:t>Note 2:</w:t>
            </w:r>
            <w:r w:rsidRPr="003F24A0">
              <w:rPr>
                <w:rFonts w:eastAsia="SimSun"/>
              </w:rPr>
              <w:tab/>
              <w:t xml:space="preserve">The uplink resources for CSI reporting are assigned to the </w:t>
            </w:r>
            <w:r>
              <w:rPr>
                <w:rFonts w:eastAsia="SimSun"/>
              </w:rPr>
              <w:t>IAB-MT</w:t>
            </w:r>
            <w:r w:rsidRPr="003F24A0">
              <w:rPr>
                <w:rFonts w:eastAsia="SimSun"/>
              </w:rPr>
              <w:t xml:space="preserve"> prior to the start of time period T1.</w:t>
            </w:r>
          </w:p>
          <w:p w14:paraId="617D9502" w14:textId="77777777" w:rsidR="003A71DE" w:rsidRPr="003F24A0" w:rsidRDefault="003A71DE" w:rsidP="00A40F90">
            <w:pPr>
              <w:pStyle w:val="TAN"/>
              <w:rPr>
                <w:rFonts w:eastAsia="SimSun"/>
              </w:rPr>
            </w:pPr>
            <w:r w:rsidRPr="003F24A0">
              <w:rPr>
                <w:rFonts w:eastAsia="SimSun"/>
              </w:rPr>
              <w:t>Note 3:</w:t>
            </w:r>
            <w:r w:rsidRPr="003F24A0">
              <w:rPr>
                <w:rFonts w:eastAsia="SimSun"/>
              </w:rPr>
              <w:tab/>
              <w:t xml:space="preserve">NZP CSI-RS resource set configuration for CSI reporting are assigned to the </w:t>
            </w:r>
            <w:r>
              <w:rPr>
                <w:rFonts w:eastAsia="SimSun"/>
              </w:rPr>
              <w:t>IAB-MT</w:t>
            </w:r>
            <w:r w:rsidRPr="003F24A0">
              <w:rPr>
                <w:rFonts w:eastAsia="SimSun"/>
              </w:rPr>
              <w:t xml:space="preserve"> prior to the start of time period T1.</w:t>
            </w:r>
          </w:p>
          <w:p w14:paraId="29CA4A7E" w14:textId="77777777" w:rsidR="003A71DE" w:rsidRPr="003F24A0" w:rsidRDefault="003A71DE" w:rsidP="00A40F90">
            <w:pPr>
              <w:pStyle w:val="TAN"/>
              <w:rPr>
                <w:rFonts w:eastAsia="SimSun"/>
              </w:rPr>
            </w:pPr>
            <w:r w:rsidRPr="003F24A0">
              <w:rPr>
                <w:rFonts w:eastAsia="SimSun"/>
              </w:rPr>
              <w:t xml:space="preserve">Note </w:t>
            </w:r>
            <w:r>
              <w:rPr>
                <w:rFonts w:eastAsia="SimSun"/>
              </w:rPr>
              <w:t>4</w:t>
            </w:r>
            <w:r w:rsidRPr="003F24A0">
              <w:rPr>
                <w:rFonts w:eastAsia="SimSun"/>
              </w:rPr>
              <w:t>:</w:t>
            </w:r>
            <w:r w:rsidRPr="003F24A0">
              <w:rPr>
                <w:rFonts w:eastAsia="SimSun"/>
              </w:rPr>
              <w:tab/>
              <w:t>The timers and layer 3 filtering related parameters are configured prior to the start of time period T1.</w:t>
            </w:r>
          </w:p>
          <w:p w14:paraId="50987DC4" w14:textId="77777777" w:rsidR="003A71DE" w:rsidRPr="003F24A0" w:rsidRDefault="003A71DE" w:rsidP="00A40F90">
            <w:pPr>
              <w:pStyle w:val="TAN"/>
              <w:rPr>
                <w:rFonts w:eastAsia="SimSun"/>
              </w:rPr>
            </w:pPr>
            <w:r w:rsidRPr="003F24A0">
              <w:rPr>
                <w:rFonts w:eastAsia="SimSun"/>
              </w:rPr>
              <w:t xml:space="preserve">Note </w:t>
            </w:r>
            <w:r>
              <w:rPr>
                <w:rFonts w:eastAsia="SimSun"/>
              </w:rPr>
              <w:t>5</w:t>
            </w:r>
            <w:r w:rsidRPr="003F24A0">
              <w:rPr>
                <w:rFonts w:eastAsia="SimSun"/>
              </w:rPr>
              <w:t>:</w:t>
            </w:r>
            <w:r w:rsidRPr="003F24A0">
              <w:rPr>
                <w:rFonts w:eastAsia="SimSun"/>
              </w:rPr>
              <w:tab/>
              <w:t xml:space="preserve">The signal contains PDCCH for </w:t>
            </w:r>
            <w:r>
              <w:rPr>
                <w:rFonts w:eastAsia="SimSun"/>
              </w:rPr>
              <w:t>IAB-MT</w:t>
            </w:r>
            <w:r w:rsidRPr="003F24A0">
              <w:rPr>
                <w:rFonts w:eastAsia="SimSun"/>
              </w:rPr>
              <w:t>s other than the device under test as part of OCNG.</w:t>
            </w:r>
          </w:p>
          <w:p w14:paraId="051DB8AD" w14:textId="77777777" w:rsidR="003A71DE" w:rsidRPr="003F24A0" w:rsidRDefault="003A71DE" w:rsidP="00A40F90">
            <w:pPr>
              <w:pStyle w:val="TAN"/>
              <w:rPr>
                <w:rFonts w:eastAsia="SimSun"/>
              </w:rPr>
            </w:pPr>
            <w:r w:rsidRPr="003F24A0">
              <w:rPr>
                <w:rFonts w:eastAsia="SimSun"/>
              </w:rPr>
              <w:t xml:space="preserve">Note </w:t>
            </w:r>
            <w:r>
              <w:rPr>
                <w:rFonts w:eastAsia="SimSun"/>
              </w:rPr>
              <w:t>6</w:t>
            </w:r>
            <w:r w:rsidRPr="003F24A0">
              <w:rPr>
                <w:rFonts w:eastAsia="SimSun"/>
              </w:rPr>
              <w:t>:</w:t>
            </w:r>
            <w:r w:rsidRPr="003F24A0">
              <w:rPr>
                <w:rFonts w:eastAsia="SimSun"/>
              </w:rPr>
              <w:tab/>
              <w:t>SNR levels correspond to the signal to noise ratio over the SSS REs.</w:t>
            </w:r>
          </w:p>
          <w:p w14:paraId="60426A9C" w14:textId="77777777" w:rsidR="003A71DE" w:rsidRPr="003F24A0" w:rsidRDefault="003A71DE" w:rsidP="00A40F90">
            <w:pPr>
              <w:pStyle w:val="TAN"/>
              <w:rPr>
                <w:rFonts w:eastAsia="SimSun"/>
              </w:rPr>
            </w:pPr>
            <w:r w:rsidRPr="003F24A0">
              <w:rPr>
                <w:rFonts w:eastAsia="SimSun"/>
              </w:rPr>
              <w:t xml:space="preserve">Note </w:t>
            </w:r>
            <w:r>
              <w:rPr>
                <w:rFonts w:eastAsia="SimSun"/>
              </w:rPr>
              <w:t>7</w:t>
            </w:r>
            <w:r w:rsidRPr="003F24A0">
              <w:rPr>
                <w:rFonts w:eastAsia="SimSun"/>
              </w:rPr>
              <w:t>:</w:t>
            </w:r>
            <w:r w:rsidRPr="003F24A0">
              <w:rPr>
                <w:rFonts w:eastAsia="SimSun"/>
              </w:rPr>
              <w:tab/>
              <w:t xml:space="preserve">The SNR in time periods T1, T2 and T3 is denoted as SNR1, SNR2 and SNR3 respectively in figure </w:t>
            </w:r>
            <w:r>
              <w:rPr>
                <w:rFonts w:eastAsia="SimSun"/>
              </w:rPr>
              <w:t>G.2.3.1.5</w:t>
            </w:r>
            <w:r w:rsidRPr="003F24A0">
              <w:rPr>
                <w:rFonts w:eastAsia="SimSun"/>
              </w:rPr>
              <w:t>.1-1.</w:t>
            </w:r>
          </w:p>
          <w:p w14:paraId="6F00D17D" w14:textId="77777777" w:rsidR="003A71DE" w:rsidRPr="003F24A0" w:rsidRDefault="003A71DE" w:rsidP="00A40F90">
            <w:pPr>
              <w:pStyle w:val="TAN"/>
              <w:rPr>
                <w:rFonts w:eastAsia="SimSun"/>
              </w:rPr>
            </w:pPr>
            <w:r w:rsidRPr="003F24A0">
              <w:rPr>
                <w:rFonts w:eastAsia="SimSun"/>
              </w:rPr>
              <w:t xml:space="preserve">Note </w:t>
            </w:r>
            <w:r>
              <w:rPr>
                <w:rFonts w:eastAsia="SimSun"/>
              </w:rPr>
              <w:t>8</w:t>
            </w:r>
            <w:r w:rsidRPr="003F24A0">
              <w:rPr>
                <w:rFonts w:eastAsia="SimSun"/>
              </w:rPr>
              <w:t>:</w:t>
            </w:r>
            <w:r w:rsidRPr="003F24A0">
              <w:rPr>
                <w:rFonts w:eastAsia="SimSun"/>
              </w:rPr>
              <w:tab/>
              <w:t xml:space="preserve">The SNR </w:t>
            </w:r>
            <w:r>
              <w:rPr>
                <w:rFonts w:eastAsia="SimSun"/>
              </w:rPr>
              <w:t>IAB-MT</w:t>
            </w:r>
            <w:r w:rsidRPr="003F24A0">
              <w:rPr>
                <w:rFonts w:eastAsia="SimSun"/>
              </w:rPr>
              <w:t xml:space="preserve">s are specified for testing a </w:t>
            </w:r>
            <w:r>
              <w:rPr>
                <w:rFonts w:eastAsia="SimSun"/>
              </w:rPr>
              <w:t>IAB-MT</w:t>
            </w:r>
            <w:r w:rsidRPr="003F24A0">
              <w:rPr>
                <w:rFonts w:eastAsia="SimSun"/>
              </w:rPr>
              <w:t xml:space="preserve"> which supports 2RX on at least one band. For testing of </w:t>
            </w:r>
            <w:r>
              <w:rPr>
                <w:rFonts w:eastAsia="SimSun"/>
              </w:rPr>
              <w:t>IAB-MT</w:t>
            </w:r>
            <w:r w:rsidRPr="003F24A0">
              <w:rPr>
                <w:rFonts w:eastAsia="SimSun"/>
              </w:rPr>
              <w:t xml:space="preserve"> which supports 4RX on all bands, the SNR during T3 is</w:t>
            </w:r>
            <w:r>
              <w:rPr>
                <w:rFonts w:eastAsia="SimSun"/>
              </w:rPr>
              <w:t xml:space="preserve"> </w:t>
            </w:r>
            <w:r w:rsidRPr="003F24A0">
              <w:rPr>
                <w:rFonts w:eastAsia="SimSun"/>
              </w:rPr>
              <w:t xml:space="preserve">specified in clause </w:t>
            </w:r>
            <w:r>
              <w:rPr>
                <w:rFonts w:eastAsia="SimSun"/>
              </w:rPr>
              <w:t>G.1.3.1.1.</w:t>
            </w:r>
          </w:p>
        </w:tc>
      </w:tr>
    </w:tbl>
    <w:p w14:paraId="5A561843" w14:textId="77777777" w:rsidR="003A71DE" w:rsidRPr="003F24A0" w:rsidRDefault="003A71DE" w:rsidP="003A71DE">
      <w:pPr>
        <w:rPr>
          <w:rFonts w:eastAsia="SimSun"/>
        </w:rPr>
      </w:pPr>
    </w:p>
    <w:bookmarkStart w:id="10305" w:name="_MON_1602326776"/>
    <w:bookmarkEnd w:id="10305"/>
    <w:p w14:paraId="33EDBAAD" w14:textId="77777777" w:rsidR="003A71DE" w:rsidRPr="003F24A0" w:rsidRDefault="003A71DE" w:rsidP="00746C0D">
      <w:pPr>
        <w:pStyle w:val="TH"/>
        <w:rPr>
          <w:rFonts w:eastAsia="SimSun"/>
        </w:rPr>
      </w:pPr>
      <w:r w:rsidRPr="003F24A0">
        <w:rPr>
          <w:rFonts w:eastAsia="SimSun"/>
        </w:rPr>
        <w:object w:dxaOrig="8265" w:dyaOrig="3855" w14:anchorId="41AF3D11">
          <v:shape id="_x0000_i1098" type="#_x0000_t75" style="width:417.6pt;height:193.85pt" o:ole="">
            <v:imagedata r:id="rId127" o:title=""/>
          </v:shape>
          <o:OLEObject Type="Embed" ProgID="Word.Picture.8" ShapeID="_x0000_i1098" DrawAspect="Content" ObjectID="_1734764478" r:id="rId128"/>
        </w:object>
      </w:r>
    </w:p>
    <w:p w14:paraId="421F4DBF" w14:textId="77777777" w:rsidR="003A71DE" w:rsidRPr="003F24A0" w:rsidRDefault="003A71DE" w:rsidP="00746C0D">
      <w:pPr>
        <w:pStyle w:val="TF"/>
        <w:rPr>
          <w:rFonts w:eastAsia="SimSun"/>
        </w:rPr>
      </w:pPr>
      <w:r w:rsidRPr="003F24A0">
        <w:rPr>
          <w:rFonts w:eastAsia="SimSun"/>
        </w:rPr>
        <w:t xml:space="preserve">Figure </w:t>
      </w:r>
      <w:r>
        <w:rPr>
          <w:rFonts w:eastAsia="SimSun"/>
        </w:rPr>
        <w:t>G.2.3.1.5</w:t>
      </w:r>
      <w:r w:rsidRPr="003F24A0">
        <w:rPr>
          <w:rFonts w:eastAsia="SimSun"/>
        </w:rPr>
        <w:t>.1-1: SNR variation for CSI-RS out-of-sync testing</w:t>
      </w:r>
    </w:p>
    <w:p w14:paraId="45F67C7E" w14:textId="77777777" w:rsidR="003A71DE" w:rsidRPr="003F24A0" w:rsidRDefault="003A71DE" w:rsidP="00746C0D">
      <w:pPr>
        <w:pStyle w:val="H6"/>
        <w:rPr>
          <w:rFonts w:eastAsia="SimSun"/>
          <w:snapToGrid w:val="0"/>
        </w:rPr>
      </w:pPr>
      <w:bookmarkStart w:id="10306" w:name="_Toc535476541"/>
      <w:r>
        <w:rPr>
          <w:rFonts w:eastAsia="SimSun"/>
          <w:snapToGrid w:val="0"/>
        </w:rPr>
        <w:t>G.2.3.1.5</w:t>
      </w:r>
      <w:r w:rsidRPr="003F24A0">
        <w:rPr>
          <w:rFonts w:eastAsia="SimSun"/>
          <w:snapToGrid w:val="0"/>
        </w:rPr>
        <w:t>.2</w:t>
      </w:r>
      <w:r w:rsidRPr="003F24A0">
        <w:rPr>
          <w:rFonts w:eastAsia="SimSun"/>
          <w:snapToGrid w:val="0"/>
        </w:rPr>
        <w:tab/>
        <w:t>Test Requirements</w:t>
      </w:r>
      <w:bookmarkEnd w:id="10306"/>
    </w:p>
    <w:p w14:paraId="1C12BB07" w14:textId="77777777" w:rsidR="003A71DE" w:rsidRPr="003F24A0" w:rsidRDefault="003A71DE" w:rsidP="003A71DE">
      <w:pPr>
        <w:rPr>
          <w:rFonts w:eastAsia="SimSun"/>
        </w:rPr>
      </w:pPr>
      <w:r w:rsidRPr="003F24A0">
        <w:rPr>
          <w:rFonts w:eastAsia="SimSun"/>
        </w:rPr>
        <w:t xml:space="preserve">The </w:t>
      </w:r>
      <w:r>
        <w:rPr>
          <w:rFonts w:eastAsia="SimSun"/>
        </w:rPr>
        <w:t>IAB-MT</w:t>
      </w:r>
      <w:r w:rsidRPr="003F24A0">
        <w:rPr>
          <w:rFonts w:eastAsia="SimSun"/>
        </w:rPr>
        <w:t xml:space="preserve"> behaviour during time durations T1, T2, and T3 shall be as follows:</w:t>
      </w:r>
    </w:p>
    <w:p w14:paraId="159DB970" w14:textId="77777777" w:rsidR="003A71DE" w:rsidRPr="003F24A0" w:rsidRDefault="003A71DE" w:rsidP="003A71DE">
      <w:pPr>
        <w:rPr>
          <w:rFonts w:eastAsia="SimSun"/>
        </w:rPr>
      </w:pPr>
      <w:r w:rsidRPr="003F24A0">
        <w:rPr>
          <w:rFonts w:eastAsia="SimSun"/>
        </w:rPr>
        <w:t xml:space="preserve">During time durations T1, T2 and T3, the </w:t>
      </w:r>
      <w:r>
        <w:rPr>
          <w:rFonts w:eastAsia="SimSun"/>
        </w:rPr>
        <w:t>IAB-MT</w:t>
      </w:r>
      <w:r w:rsidRPr="003F24A0">
        <w:rPr>
          <w:rFonts w:eastAsia="SimSun"/>
        </w:rPr>
        <w:t xml:space="preserve"> shall transmit uplink signal at least in all subframes configured for CSI transmission on Cell 1.</w:t>
      </w:r>
    </w:p>
    <w:p w14:paraId="5EDFB283" w14:textId="77777777" w:rsidR="003A71DE" w:rsidRPr="003F24A0" w:rsidRDefault="003A71DE" w:rsidP="003A71DE">
      <w:pPr>
        <w:rPr>
          <w:rFonts w:eastAsia="SimSun"/>
        </w:rPr>
      </w:pPr>
      <w:r w:rsidRPr="003F24A0">
        <w:rPr>
          <w:rFonts w:eastAsia="SimSun"/>
        </w:rPr>
        <w:t xml:space="preserve">During the period from time point A to time point B the </w:t>
      </w:r>
      <w:r>
        <w:rPr>
          <w:rFonts w:eastAsia="SimSun"/>
        </w:rPr>
        <w:t>IAB-MT</w:t>
      </w:r>
      <w:r w:rsidRPr="003F24A0">
        <w:rPr>
          <w:rFonts w:eastAsia="SimSun"/>
        </w:rPr>
        <w:t xml:space="preserve"> shall transmit uplink signal in Cell 1 at least in all uplink slots configured for CSI transmission according to the configured periodic CSI reporting for Cell 1.</w:t>
      </w:r>
    </w:p>
    <w:p w14:paraId="46D0279A" w14:textId="77777777" w:rsidR="003A71DE" w:rsidRPr="003F24A0" w:rsidRDefault="003A71DE" w:rsidP="003A71DE">
      <w:pPr>
        <w:rPr>
          <w:rFonts w:eastAsia="SimSun"/>
        </w:rPr>
      </w:pPr>
      <w:r w:rsidRPr="003F24A0">
        <w:rPr>
          <w:rFonts w:eastAsia="SimSun"/>
        </w:rPr>
        <w:t xml:space="preserve">The </w:t>
      </w:r>
      <w:r>
        <w:rPr>
          <w:rFonts w:eastAsia="SimSun"/>
        </w:rPr>
        <w:t>IAB-MT</w:t>
      </w:r>
      <w:r w:rsidRPr="003F24A0">
        <w:rPr>
          <w:rFonts w:eastAsia="SimSun"/>
        </w:rPr>
        <w:t xml:space="preserve"> shall stop transmitting uplink signal in Cell 1 no later than time point C (D</w:t>
      </w:r>
      <w:r w:rsidRPr="003F24A0">
        <w:rPr>
          <w:rFonts w:eastAsia="SimSun"/>
          <w:vertAlign w:val="subscript"/>
        </w:rPr>
        <w:t>1</w:t>
      </w:r>
      <w:r w:rsidRPr="003F24A0">
        <w:rPr>
          <w:rFonts w:eastAsia="SimSun"/>
        </w:rPr>
        <w:t xml:space="preserve"> ms after the start of the time duration T3) on the PCell.</w:t>
      </w:r>
    </w:p>
    <w:p w14:paraId="3A8C1AE2" w14:textId="77777777" w:rsidR="003A71DE" w:rsidRPr="003F24A0" w:rsidRDefault="003A71DE" w:rsidP="003A71DE">
      <w:pPr>
        <w:rPr>
          <w:rFonts w:eastAsia="SimSun"/>
          <w:iCs/>
        </w:rPr>
      </w:pPr>
      <w:r w:rsidRPr="003F24A0">
        <w:rPr>
          <w:rFonts w:eastAsia="SimSun"/>
        </w:rPr>
        <w:lastRenderedPageBreak/>
        <w:t>The rate of correct events observed during repeated tests shall be at least 90%.</w:t>
      </w:r>
    </w:p>
    <w:p w14:paraId="2BF02512" w14:textId="77777777" w:rsidR="003A71DE" w:rsidRPr="003F24A0" w:rsidRDefault="003A71DE" w:rsidP="00746C0D">
      <w:pPr>
        <w:pStyle w:val="Heading5"/>
        <w:rPr>
          <w:rFonts w:eastAsia="SimSun"/>
        </w:rPr>
      </w:pPr>
      <w:bookmarkStart w:id="10307" w:name="_Toc535476542"/>
      <w:bookmarkStart w:id="10308" w:name="_Toc74583686"/>
      <w:bookmarkStart w:id="10309" w:name="_Toc76542499"/>
      <w:bookmarkStart w:id="10310" w:name="_Toc82450481"/>
      <w:bookmarkStart w:id="10311" w:name="_Toc82451129"/>
      <w:bookmarkStart w:id="10312" w:name="_Toc89949518"/>
      <w:bookmarkStart w:id="10313" w:name="_Toc98755907"/>
      <w:bookmarkStart w:id="10314" w:name="_Toc98763499"/>
      <w:bookmarkStart w:id="10315" w:name="_Toc106184428"/>
      <w:r>
        <w:rPr>
          <w:rFonts w:eastAsia="SimSun"/>
        </w:rPr>
        <w:t>G.2.3.1.6</w:t>
      </w:r>
      <w:r w:rsidRPr="003F24A0">
        <w:rPr>
          <w:rFonts w:eastAsia="SimSun"/>
        </w:rPr>
        <w:tab/>
        <w:t>Radio Link Monitoring In-sync Test for FR1 PCell configured with CSI-RS-based RLM in non-DRX mode</w:t>
      </w:r>
      <w:bookmarkEnd w:id="10307"/>
      <w:bookmarkEnd w:id="10308"/>
      <w:bookmarkEnd w:id="10309"/>
      <w:bookmarkEnd w:id="10310"/>
      <w:bookmarkEnd w:id="10311"/>
      <w:bookmarkEnd w:id="10312"/>
      <w:bookmarkEnd w:id="10313"/>
      <w:bookmarkEnd w:id="10314"/>
      <w:bookmarkEnd w:id="10315"/>
    </w:p>
    <w:p w14:paraId="36CAFCA1" w14:textId="77777777" w:rsidR="003A71DE" w:rsidRPr="003F24A0" w:rsidRDefault="003A71DE" w:rsidP="00746C0D">
      <w:pPr>
        <w:pStyle w:val="H6"/>
        <w:rPr>
          <w:rFonts w:eastAsia="SimSun"/>
          <w:snapToGrid w:val="0"/>
          <w:lang w:eastAsia="zh-CN"/>
        </w:rPr>
      </w:pPr>
      <w:bookmarkStart w:id="10316" w:name="_Toc535476543"/>
      <w:r>
        <w:rPr>
          <w:rFonts w:eastAsia="SimSun"/>
          <w:snapToGrid w:val="0"/>
          <w:lang w:eastAsia="zh-CN"/>
        </w:rPr>
        <w:t>G.2.3.1.6</w:t>
      </w:r>
      <w:r w:rsidRPr="003F24A0">
        <w:rPr>
          <w:rFonts w:eastAsia="SimSun"/>
          <w:snapToGrid w:val="0"/>
          <w:lang w:eastAsia="zh-CN"/>
        </w:rPr>
        <w:t>.1</w:t>
      </w:r>
      <w:r w:rsidRPr="003F24A0">
        <w:rPr>
          <w:rFonts w:eastAsia="SimSun"/>
          <w:snapToGrid w:val="0"/>
          <w:lang w:eastAsia="zh-CN"/>
        </w:rPr>
        <w:tab/>
        <w:t>Test Purpose and Environment</w:t>
      </w:r>
      <w:bookmarkEnd w:id="10316"/>
    </w:p>
    <w:p w14:paraId="244A8535" w14:textId="77777777" w:rsidR="003A71DE" w:rsidRPr="003F24A0" w:rsidRDefault="003A71DE" w:rsidP="003A71DE">
      <w:pPr>
        <w:rPr>
          <w:rFonts w:eastAsia="SimSun"/>
        </w:rPr>
      </w:pPr>
      <w:r w:rsidRPr="003F24A0">
        <w:rPr>
          <w:rFonts w:eastAsia="SimSun"/>
        </w:rPr>
        <w:t xml:space="preserve">The purpose of this test is to verify that the </w:t>
      </w:r>
      <w:r>
        <w:rPr>
          <w:rFonts w:eastAsia="SimSun"/>
        </w:rPr>
        <w:t>IAB-MT</w:t>
      </w:r>
      <w:r w:rsidRPr="003F24A0">
        <w:rPr>
          <w:rFonts w:eastAsia="SimSun"/>
        </w:rPr>
        <w:t xml:space="preserve"> properly detects the in sync for the purpose of monitoring downlink CSI-RS based radio link quality of the PCell. This test will partly verify the FR1 PCell CSI-RS In-sync radio link monitoring requirements in clause </w:t>
      </w:r>
      <w:r>
        <w:rPr>
          <w:rFonts w:eastAsia="SimSun"/>
        </w:rPr>
        <w:t>12.3.1.3</w:t>
      </w:r>
      <w:r w:rsidRPr="003F24A0">
        <w:rPr>
          <w:rFonts w:eastAsia="SimSun"/>
        </w:rPr>
        <w:t>.</w:t>
      </w:r>
      <w:r>
        <w:rPr>
          <w:rFonts w:eastAsia="SimSun"/>
        </w:rPr>
        <w:t xml:space="preserve"> </w:t>
      </w:r>
      <w:r w:rsidRPr="00CE0F04">
        <w:rPr>
          <w:rFonts w:cs="v4.2.0"/>
        </w:rPr>
        <w:t>This test case is applicable only for local area IAB-MT and for IAB type 1-H.</w:t>
      </w:r>
    </w:p>
    <w:p w14:paraId="59E4F820" w14:textId="77777777" w:rsidR="003A71DE" w:rsidRPr="003F24A0" w:rsidRDefault="003A71DE" w:rsidP="003A71DE">
      <w:pPr>
        <w:rPr>
          <w:rFonts w:eastAsia="SimSun"/>
        </w:rPr>
      </w:pPr>
      <w:r w:rsidRPr="003F24A0">
        <w:rPr>
          <w:rFonts w:eastAsia="SimSun"/>
        </w:rPr>
        <w:t xml:space="preserve">The test parameters are given in Tables </w:t>
      </w:r>
      <w:r>
        <w:rPr>
          <w:rFonts w:eastAsia="SimSun"/>
        </w:rPr>
        <w:t>G.2.3.1.6</w:t>
      </w:r>
      <w:r w:rsidRPr="003F24A0">
        <w:rPr>
          <w:rFonts w:eastAsia="SimSun"/>
        </w:rPr>
        <w:t xml:space="preserve">.1-1, </w:t>
      </w:r>
      <w:r>
        <w:rPr>
          <w:rFonts w:eastAsia="SimSun"/>
        </w:rPr>
        <w:t>G.2.3.1.6</w:t>
      </w:r>
      <w:r w:rsidRPr="003F24A0">
        <w:rPr>
          <w:rFonts w:eastAsia="SimSun"/>
        </w:rPr>
        <w:t xml:space="preserve">.1-2, and </w:t>
      </w:r>
      <w:r>
        <w:rPr>
          <w:rFonts w:eastAsia="SimSun"/>
        </w:rPr>
        <w:t>G.2.3.1.6</w:t>
      </w:r>
      <w:r w:rsidRPr="003F24A0">
        <w:rPr>
          <w:rFonts w:eastAsia="SimSun"/>
        </w:rPr>
        <w:t xml:space="preserve">.1-3 below. There is one cells, cell 1which is the PCell, in the test. The test consists of five successive time periods, with time duration of T1, T2, T3, T4 and T5 respectively. Figure </w:t>
      </w:r>
      <w:r>
        <w:rPr>
          <w:rFonts w:eastAsia="SimSun"/>
        </w:rPr>
        <w:t>G.2.3.1.6</w:t>
      </w:r>
      <w:r w:rsidRPr="003F24A0">
        <w:rPr>
          <w:rFonts w:eastAsia="SimSun"/>
        </w:rPr>
        <w:t xml:space="preserve">.1-1 shows the variation of the downlink SNR in the PCell to emulate out-of-sync and in-sync states. Prior to the start of the time duration T1, the </w:t>
      </w:r>
      <w:r>
        <w:rPr>
          <w:rFonts w:eastAsia="SimSun"/>
        </w:rPr>
        <w:t>IAB-MT</w:t>
      </w:r>
      <w:r w:rsidRPr="003F24A0">
        <w:rPr>
          <w:rFonts w:eastAsia="SimSun"/>
        </w:rPr>
        <w:t xml:space="preserve"> shall be fully synchronized to cell 1. The </w:t>
      </w:r>
      <w:r>
        <w:rPr>
          <w:rFonts w:eastAsia="SimSun"/>
        </w:rPr>
        <w:t>IAB-MT</w:t>
      </w:r>
      <w:r w:rsidRPr="003F24A0">
        <w:rPr>
          <w:rFonts w:eastAsia="SimSun"/>
        </w:rPr>
        <w:t xml:space="preserve"> shall be configured for periodic CSI reporting with a reporting periodicity defined in CSI-RS configuration. In the test, SSB0 is configured as the BFD-RS.</w:t>
      </w:r>
    </w:p>
    <w:p w14:paraId="400FD478" w14:textId="77777777" w:rsidR="003A71DE" w:rsidRPr="003F24A0" w:rsidRDefault="003A71DE" w:rsidP="00746C0D">
      <w:pPr>
        <w:pStyle w:val="TH"/>
        <w:rPr>
          <w:rFonts w:eastAsia="SimSun"/>
        </w:rPr>
      </w:pPr>
      <w:r w:rsidRPr="003F24A0">
        <w:rPr>
          <w:rFonts w:eastAsia="SimSun"/>
        </w:rPr>
        <w:t xml:space="preserve">Table </w:t>
      </w:r>
      <w:r>
        <w:rPr>
          <w:rFonts w:eastAsia="SimSun"/>
        </w:rPr>
        <w:t>G.2.3.1.6</w:t>
      </w:r>
      <w:r w:rsidRPr="003F24A0">
        <w:rPr>
          <w:rFonts w:eastAsia="SimSun"/>
        </w:rPr>
        <w:t>.1-1: Supported test configurations for FR1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6905"/>
      </w:tblGrid>
      <w:tr w:rsidR="003A71DE" w:rsidRPr="003F24A0" w14:paraId="141A152D" w14:textId="77777777" w:rsidTr="003A71DE">
        <w:trPr>
          <w:trHeight w:val="187"/>
          <w:jc w:val="center"/>
        </w:trPr>
        <w:tc>
          <w:tcPr>
            <w:tcW w:w="2265" w:type="dxa"/>
            <w:shd w:val="clear" w:color="auto" w:fill="auto"/>
          </w:tcPr>
          <w:p w14:paraId="3A56C833" w14:textId="77777777" w:rsidR="003A71DE" w:rsidRPr="003F24A0" w:rsidRDefault="003A71DE" w:rsidP="00A40F90">
            <w:pPr>
              <w:pStyle w:val="TAH"/>
              <w:rPr>
                <w:rFonts w:eastAsia="SimSun"/>
              </w:rPr>
            </w:pPr>
            <w:r w:rsidRPr="003F24A0">
              <w:rPr>
                <w:rFonts w:eastAsia="SimSun"/>
              </w:rPr>
              <w:t>Configuration</w:t>
            </w:r>
          </w:p>
        </w:tc>
        <w:tc>
          <w:tcPr>
            <w:tcW w:w="6905" w:type="dxa"/>
            <w:shd w:val="clear" w:color="auto" w:fill="auto"/>
          </w:tcPr>
          <w:p w14:paraId="2E4B26BE" w14:textId="77777777" w:rsidR="003A71DE" w:rsidRPr="003F24A0" w:rsidRDefault="003A71DE" w:rsidP="00A40F90">
            <w:pPr>
              <w:pStyle w:val="TAH"/>
              <w:rPr>
                <w:rFonts w:eastAsia="SimSun"/>
              </w:rPr>
            </w:pPr>
            <w:r w:rsidRPr="003F24A0">
              <w:rPr>
                <w:rFonts w:eastAsia="SimSun"/>
              </w:rPr>
              <w:t>Description</w:t>
            </w:r>
          </w:p>
        </w:tc>
      </w:tr>
      <w:tr w:rsidR="003A71DE" w:rsidRPr="003F24A0" w14:paraId="1402A84A" w14:textId="77777777" w:rsidTr="003A71DE">
        <w:trPr>
          <w:trHeight w:val="187"/>
          <w:jc w:val="center"/>
        </w:trPr>
        <w:tc>
          <w:tcPr>
            <w:tcW w:w="2265" w:type="dxa"/>
            <w:shd w:val="clear" w:color="auto" w:fill="auto"/>
          </w:tcPr>
          <w:p w14:paraId="47AB2422" w14:textId="77777777" w:rsidR="003A71DE" w:rsidRPr="003F24A0" w:rsidRDefault="003A71DE" w:rsidP="00A40F90">
            <w:pPr>
              <w:pStyle w:val="TAL"/>
              <w:rPr>
                <w:rFonts w:eastAsia="SimSun"/>
              </w:rPr>
            </w:pPr>
            <w:r>
              <w:rPr>
                <w:rFonts w:eastAsia="SimSun"/>
              </w:rPr>
              <w:t>1</w:t>
            </w:r>
          </w:p>
        </w:tc>
        <w:tc>
          <w:tcPr>
            <w:tcW w:w="6905" w:type="dxa"/>
            <w:shd w:val="clear" w:color="auto" w:fill="auto"/>
          </w:tcPr>
          <w:p w14:paraId="0B95FC74" w14:textId="77777777" w:rsidR="003A71DE" w:rsidRPr="003F24A0" w:rsidRDefault="003A71DE" w:rsidP="00A40F90">
            <w:pPr>
              <w:pStyle w:val="TAL"/>
              <w:rPr>
                <w:rFonts w:eastAsia="SimSun"/>
              </w:rPr>
            </w:pPr>
            <w:r w:rsidRPr="003F24A0">
              <w:rPr>
                <w:rFonts w:eastAsia="SimSun"/>
              </w:rPr>
              <w:t>TDD duplex mode, 15 kHz SSB SCS, 10 MHz bandwidth</w:t>
            </w:r>
          </w:p>
        </w:tc>
      </w:tr>
      <w:tr w:rsidR="003A71DE" w:rsidRPr="003F24A0" w14:paraId="0B3FB5BC" w14:textId="77777777" w:rsidTr="003A71DE">
        <w:trPr>
          <w:trHeight w:val="187"/>
          <w:jc w:val="center"/>
        </w:trPr>
        <w:tc>
          <w:tcPr>
            <w:tcW w:w="2265" w:type="dxa"/>
            <w:shd w:val="clear" w:color="auto" w:fill="auto"/>
          </w:tcPr>
          <w:p w14:paraId="44FED08F" w14:textId="77777777" w:rsidR="003A71DE" w:rsidRPr="003F24A0" w:rsidRDefault="003A71DE" w:rsidP="00A40F90">
            <w:pPr>
              <w:pStyle w:val="TAL"/>
              <w:rPr>
                <w:rFonts w:eastAsia="SimSun"/>
              </w:rPr>
            </w:pPr>
            <w:r>
              <w:rPr>
                <w:rFonts w:eastAsia="SimSun"/>
              </w:rPr>
              <w:t>2</w:t>
            </w:r>
          </w:p>
        </w:tc>
        <w:tc>
          <w:tcPr>
            <w:tcW w:w="6905" w:type="dxa"/>
            <w:shd w:val="clear" w:color="auto" w:fill="auto"/>
          </w:tcPr>
          <w:p w14:paraId="7E93E832" w14:textId="77777777" w:rsidR="003A71DE" w:rsidRPr="003F24A0" w:rsidRDefault="003A71DE" w:rsidP="00A40F90">
            <w:pPr>
              <w:pStyle w:val="TAL"/>
              <w:rPr>
                <w:rFonts w:eastAsia="SimSun"/>
              </w:rPr>
            </w:pPr>
            <w:r w:rsidRPr="003F24A0">
              <w:rPr>
                <w:rFonts w:eastAsia="SimSun"/>
              </w:rPr>
              <w:t>TDD duplex mode, 30kHz SSB SCS, 40 MHz bandwidth</w:t>
            </w:r>
          </w:p>
        </w:tc>
      </w:tr>
      <w:tr w:rsidR="003A71DE" w:rsidRPr="003F24A0" w14:paraId="756FBED2" w14:textId="77777777" w:rsidTr="003A71DE">
        <w:trPr>
          <w:trHeight w:val="187"/>
          <w:jc w:val="center"/>
        </w:trPr>
        <w:tc>
          <w:tcPr>
            <w:tcW w:w="9170" w:type="dxa"/>
            <w:gridSpan w:val="2"/>
            <w:shd w:val="clear" w:color="auto" w:fill="auto"/>
          </w:tcPr>
          <w:p w14:paraId="262BB29C" w14:textId="77777777" w:rsidR="003A71DE" w:rsidRPr="003F24A0" w:rsidRDefault="003A71DE" w:rsidP="00A40F90">
            <w:pPr>
              <w:pStyle w:val="TAN"/>
              <w:rPr>
                <w:rFonts w:eastAsia="SimSun"/>
              </w:rPr>
            </w:pPr>
            <w:r w:rsidRPr="003F24A0">
              <w:rPr>
                <w:rFonts w:eastAsia="SimSun"/>
              </w:rPr>
              <w:t>Note:</w:t>
            </w:r>
            <w:r w:rsidRPr="003F24A0">
              <w:rPr>
                <w:rFonts w:eastAsia="SimSun"/>
              </w:rPr>
              <w:tab/>
              <w:t xml:space="preserve">The </w:t>
            </w:r>
            <w:r>
              <w:rPr>
                <w:rFonts w:eastAsia="SimSun"/>
              </w:rPr>
              <w:t>IAB-MT</w:t>
            </w:r>
            <w:r w:rsidRPr="003F24A0">
              <w:rPr>
                <w:rFonts w:eastAsia="SimSun"/>
              </w:rPr>
              <w:t xml:space="preserve"> is only required to pass in one of the supported test configurations in FR1</w:t>
            </w:r>
          </w:p>
        </w:tc>
      </w:tr>
    </w:tbl>
    <w:p w14:paraId="5AF86850" w14:textId="77777777" w:rsidR="003A71DE" w:rsidRPr="003F24A0" w:rsidRDefault="003A71DE" w:rsidP="003A71DE">
      <w:pPr>
        <w:rPr>
          <w:rFonts w:eastAsia="SimSun"/>
        </w:rPr>
      </w:pPr>
    </w:p>
    <w:p w14:paraId="06C69FCE" w14:textId="77777777" w:rsidR="003A71DE" w:rsidRPr="003F24A0" w:rsidDel="00255D77" w:rsidRDefault="003A71DE" w:rsidP="00746C0D">
      <w:pPr>
        <w:pStyle w:val="TH"/>
        <w:rPr>
          <w:rFonts w:eastAsia="SimSun"/>
        </w:rPr>
      </w:pPr>
      <w:r w:rsidRPr="003F24A0">
        <w:rPr>
          <w:rFonts w:eastAsia="SimSun"/>
        </w:rPr>
        <w:lastRenderedPageBreak/>
        <w:t xml:space="preserve">Table </w:t>
      </w:r>
      <w:r>
        <w:rPr>
          <w:rFonts w:eastAsia="SimSun"/>
        </w:rPr>
        <w:t>G.2.3.1.6</w:t>
      </w:r>
      <w:r w:rsidRPr="003F24A0">
        <w:rPr>
          <w:rFonts w:eastAsia="SimSun"/>
        </w:rPr>
        <w:t>.1-2: General test parameters for FR1 PCell for CSI-RS in-sync testing in non-DRX</w:t>
      </w:r>
    </w:p>
    <w:tbl>
      <w:tblPr>
        <w:tblW w:w="49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1"/>
        <w:gridCol w:w="2977"/>
        <w:gridCol w:w="851"/>
        <w:gridCol w:w="2835"/>
      </w:tblGrid>
      <w:tr w:rsidR="003A71DE" w:rsidRPr="00E379A8" w14:paraId="5A5512B7" w14:textId="77777777" w:rsidTr="003A71DE">
        <w:trPr>
          <w:trHeight w:val="164"/>
          <w:jc w:val="center"/>
        </w:trPr>
        <w:tc>
          <w:tcPr>
            <w:tcW w:w="3059" w:type="pct"/>
            <w:gridSpan w:val="2"/>
            <w:tcBorders>
              <w:bottom w:val="nil"/>
            </w:tcBorders>
            <w:shd w:val="clear" w:color="auto" w:fill="auto"/>
          </w:tcPr>
          <w:p w14:paraId="0CED540B" w14:textId="77777777" w:rsidR="003A71DE" w:rsidRPr="00E379A8" w:rsidRDefault="003A71DE" w:rsidP="00A40F90">
            <w:pPr>
              <w:pStyle w:val="TAH"/>
              <w:rPr>
                <w:rFonts w:eastAsia="SimSun"/>
              </w:rPr>
            </w:pPr>
            <w:r w:rsidRPr="00E379A8">
              <w:rPr>
                <w:rFonts w:eastAsia="SimSun"/>
              </w:rPr>
              <w:t>Parameter</w:t>
            </w:r>
          </w:p>
        </w:tc>
        <w:tc>
          <w:tcPr>
            <w:tcW w:w="448" w:type="pct"/>
            <w:tcBorders>
              <w:bottom w:val="nil"/>
            </w:tcBorders>
            <w:shd w:val="clear" w:color="auto" w:fill="auto"/>
          </w:tcPr>
          <w:p w14:paraId="07BDD1F0" w14:textId="77777777" w:rsidR="003A71DE" w:rsidRPr="00E379A8" w:rsidRDefault="003A71DE" w:rsidP="00A40F90">
            <w:pPr>
              <w:pStyle w:val="TAH"/>
              <w:rPr>
                <w:rFonts w:eastAsia="SimSun"/>
              </w:rPr>
            </w:pPr>
            <w:r w:rsidRPr="00E379A8">
              <w:rPr>
                <w:rFonts w:eastAsia="SimSun"/>
              </w:rPr>
              <w:t>Unit</w:t>
            </w:r>
          </w:p>
        </w:tc>
        <w:tc>
          <w:tcPr>
            <w:tcW w:w="1493" w:type="pct"/>
            <w:shd w:val="clear" w:color="auto" w:fill="auto"/>
          </w:tcPr>
          <w:p w14:paraId="182B908C" w14:textId="77777777" w:rsidR="003A71DE" w:rsidRPr="00E379A8" w:rsidRDefault="003A71DE" w:rsidP="00A40F90">
            <w:pPr>
              <w:pStyle w:val="TAH"/>
              <w:rPr>
                <w:rFonts w:eastAsia="SimSun"/>
              </w:rPr>
            </w:pPr>
            <w:r w:rsidRPr="00E379A8">
              <w:rPr>
                <w:rFonts w:eastAsia="SimSun"/>
              </w:rPr>
              <w:t>IAB-MT</w:t>
            </w:r>
          </w:p>
        </w:tc>
      </w:tr>
      <w:tr w:rsidR="003A71DE" w:rsidRPr="00E379A8" w14:paraId="22B16147" w14:textId="77777777" w:rsidTr="003A71DE">
        <w:trPr>
          <w:trHeight w:val="74"/>
          <w:jc w:val="center"/>
        </w:trPr>
        <w:tc>
          <w:tcPr>
            <w:tcW w:w="3059" w:type="pct"/>
            <w:gridSpan w:val="2"/>
            <w:tcBorders>
              <w:top w:val="nil"/>
            </w:tcBorders>
            <w:shd w:val="clear" w:color="auto" w:fill="auto"/>
          </w:tcPr>
          <w:p w14:paraId="0CBBD7BE" w14:textId="77777777" w:rsidR="003A71DE" w:rsidRPr="00E379A8" w:rsidRDefault="003A71DE" w:rsidP="00A40F90">
            <w:pPr>
              <w:pStyle w:val="TAH"/>
              <w:rPr>
                <w:rFonts w:eastAsia="SimSun"/>
              </w:rPr>
            </w:pPr>
          </w:p>
        </w:tc>
        <w:tc>
          <w:tcPr>
            <w:tcW w:w="448" w:type="pct"/>
            <w:tcBorders>
              <w:top w:val="nil"/>
            </w:tcBorders>
            <w:shd w:val="clear" w:color="auto" w:fill="auto"/>
          </w:tcPr>
          <w:p w14:paraId="1D503EA9" w14:textId="77777777" w:rsidR="003A71DE" w:rsidRPr="00E379A8" w:rsidRDefault="003A71DE" w:rsidP="00A40F90">
            <w:pPr>
              <w:pStyle w:val="TAH"/>
              <w:rPr>
                <w:rFonts w:eastAsia="SimSun"/>
              </w:rPr>
            </w:pPr>
          </w:p>
        </w:tc>
        <w:tc>
          <w:tcPr>
            <w:tcW w:w="1493" w:type="pct"/>
            <w:shd w:val="clear" w:color="auto" w:fill="auto"/>
          </w:tcPr>
          <w:p w14:paraId="2A809A6F" w14:textId="77777777" w:rsidR="003A71DE" w:rsidRPr="00E379A8" w:rsidRDefault="003A71DE" w:rsidP="00A40F90">
            <w:pPr>
              <w:pStyle w:val="TAH"/>
              <w:rPr>
                <w:rFonts w:eastAsia="SimSun"/>
              </w:rPr>
            </w:pPr>
            <w:r w:rsidRPr="00E379A8">
              <w:rPr>
                <w:rFonts w:eastAsia="SimSun"/>
              </w:rPr>
              <w:t>Test 1</w:t>
            </w:r>
          </w:p>
        </w:tc>
      </w:tr>
      <w:tr w:rsidR="003A71DE" w:rsidRPr="00E379A8" w14:paraId="2CB17185" w14:textId="77777777" w:rsidTr="003A71DE">
        <w:trPr>
          <w:trHeight w:val="64"/>
          <w:jc w:val="center"/>
        </w:trPr>
        <w:tc>
          <w:tcPr>
            <w:tcW w:w="3059" w:type="pct"/>
            <w:gridSpan w:val="2"/>
            <w:shd w:val="clear" w:color="auto" w:fill="auto"/>
          </w:tcPr>
          <w:p w14:paraId="09EDA92D"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 xml:space="preserve">Active PCell </w:t>
            </w:r>
          </w:p>
        </w:tc>
        <w:tc>
          <w:tcPr>
            <w:tcW w:w="448" w:type="pct"/>
            <w:shd w:val="clear" w:color="auto" w:fill="auto"/>
          </w:tcPr>
          <w:p w14:paraId="7D7FE8A7"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F0D4F8C"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Cell 1</w:t>
            </w:r>
          </w:p>
        </w:tc>
      </w:tr>
      <w:tr w:rsidR="003A71DE" w:rsidRPr="00E379A8" w14:paraId="78C4179C" w14:textId="77777777" w:rsidTr="003A71DE">
        <w:trPr>
          <w:trHeight w:val="164"/>
          <w:jc w:val="center"/>
        </w:trPr>
        <w:tc>
          <w:tcPr>
            <w:tcW w:w="3059" w:type="pct"/>
            <w:gridSpan w:val="2"/>
            <w:shd w:val="clear" w:color="auto" w:fill="auto"/>
          </w:tcPr>
          <w:p w14:paraId="2E5CD5FB"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RF Channel Number</w:t>
            </w:r>
          </w:p>
        </w:tc>
        <w:tc>
          <w:tcPr>
            <w:tcW w:w="448" w:type="pct"/>
            <w:tcBorders>
              <w:bottom w:val="single" w:sz="4" w:space="0" w:color="auto"/>
            </w:tcBorders>
            <w:shd w:val="clear" w:color="auto" w:fill="auto"/>
          </w:tcPr>
          <w:p w14:paraId="3A89CFC8"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3F4FE14"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1</w:t>
            </w:r>
          </w:p>
        </w:tc>
      </w:tr>
      <w:tr w:rsidR="003A71DE" w:rsidRPr="00E379A8" w14:paraId="6FC512C2" w14:textId="77777777" w:rsidTr="003A71DE">
        <w:trPr>
          <w:trHeight w:val="93"/>
          <w:jc w:val="center"/>
        </w:trPr>
        <w:tc>
          <w:tcPr>
            <w:tcW w:w="1491" w:type="pct"/>
            <w:tcBorders>
              <w:bottom w:val="nil"/>
            </w:tcBorders>
            <w:shd w:val="clear" w:color="auto" w:fill="auto"/>
          </w:tcPr>
          <w:p w14:paraId="15CAAD6A"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Duplex mode</w:t>
            </w:r>
          </w:p>
        </w:tc>
        <w:tc>
          <w:tcPr>
            <w:tcW w:w="1568" w:type="pct"/>
            <w:shd w:val="clear" w:color="auto" w:fill="auto"/>
          </w:tcPr>
          <w:p w14:paraId="1B6B8B29"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 2</w:t>
            </w:r>
          </w:p>
        </w:tc>
        <w:tc>
          <w:tcPr>
            <w:tcW w:w="448" w:type="pct"/>
            <w:tcBorders>
              <w:bottom w:val="nil"/>
            </w:tcBorders>
            <w:shd w:val="clear" w:color="auto" w:fill="auto"/>
          </w:tcPr>
          <w:p w14:paraId="07C65A99"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F8E439F"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TDD</w:t>
            </w:r>
          </w:p>
        </w:tc>
      </w:tr>
      <w:tr w:rsidR="003A71DE" w:rsidRPr="00E379A8" w14:paraId="25E06EFD" w14:textId="77777777" w:rsidTr="003A71DE">
        <w:trPr>
          <w:trHeight w:val="189"/>
          <w:jc w:val="center"/>
        </w:trPr>
        <w:tc>
          <w:tcPr>
            <w:tcW w:w="1491" w:type="pct"/>
            <w:tcBorders>
              <w:bottom w:val="nil"/>
            </w:tcBorders>
            <w:shd w:val="clear" w:color="auto" w:fill="auto"/>
          </w:tcPr>
          <w:p w14:paraId="766DA12C"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TDD Configuration</w:t>
            </w:r>
          </w:p>
        </w:tc>
        <w:tc>
          <w:tcPr>
            <w:tcW w:w="1568" w:type="pct"/>
            <w:shd w:val="clear" w:color="auto" w:fill="auto"/>
          </w:tcPr>
          <w:p w14:paraId="66CD0932"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tcBorders>
              <w:bottom w:val="nil"/>
            </w:tcBorders>
            <w:shd w:val="clear" w:color="auto" w:fill="auto"/>
          </w:tcPr>
          <w:p w14:paraId="62E6B8E0"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484F50ED"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TDDConf.1.1</w:t>
            </w:r>
          </w:p>
        </w:tc>
      </w:tr>
      <w:tr w:rsidR="003A71DE" w:rsidRPr="00E379A8" w14:paraId="5D95BBE2" w14:textId="77777777" w:rsidTr="003A71DE">
        <w:trPr>
          <w:trHeight w:val="189"/>
          <w:jc w:val="center"/>
        </w:trPr>
        <w:tc>
          <w:tcPr>
            <w:tcW w:w="1491" w:type="pct"/>
            <w:tcBorders>
              <w:top w:val="nil"/>
              <w:bottom w:val="nil"/>
            </w:tcBorders>
            <w:shd w:val="clear" w:color="auto" w:fill="auto"/>
          </w:tcPr>
          <w:p w14:paraId="2E0EA00D"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021ED8C9"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tcBorders>
              <w:top w:val="nil"/>
              <w:bottom w:val="nil"/>
            </w:tcBorders>
            <w:shd w:val="clear" w:color="auto" w:fill="auto"/>
          </w:tcPr>
          <w:p w14:paraId="746F4420"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B9566CD"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TDDConf.2.1</w:t>
            </w:r>
          </w:p>
        </w:tc>
      </w:tr>
      <w:tr w:rsidR="003A71DE" w:rsidRPr="00E379A8" w14:paraId="42A003E1" w14:textId="77777777" w:rsidTr="003A71DE">
        <w:trPr>
          <w:trHeight w:val="189"/>
          <w:jc w:val="center"/>
        </w:trPr>
        <w:tc>
          <w:tcPr>
            <w:tcW w:w="1491" w:type="pct"/>
            <w:shd w:val="clear" w:color="auto" w:fill="auto"/>
          </w:tcPr>
          <w:p w14:paraId="5455BF37"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DL initial BWP configuration</w:t>
            </w:r>
          </w:p>
        </w:tc>
        <w:tc>
          <w:tcPr>
            <w:tcW w:w="1568" w:type="pct"/>
            <w:shd w:val="clear" w:color="auto" w:fill="auto"/>
          </w:tcPr>
          <w:p w14:paraId="7895935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 2</w:t>
            </w:r>
          </w:p>
        </w:tc>
        <w:tc>
          <w:tcPr>
            <w:tcW w:w="448" w:type="pct"/>
            <w:shd w:val="clear" w:color="auto" w:fill="auto"/>
          </w:tcPr>
          <w:p w14:paraId="1D4191AC"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77E4813"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DLBWP.0.1</w:t>
            </w:r>
          </w:p>
        </w:tc>
      </w:tr>
      <w:tr w:rsidR="003A71DE" w:rsidRPr="00E379A8" w14:paraId="1E6E7A8B" w14:textId="77777777" w:rsidTr="003A71DE">
        <w:trPr>
          <w:trHeight w:val="189"/>
          <w:jc w:val="center"/>
        </w:trPr>
        <w:tc>
          <w:tcPr>
            <w:tcW w:w="1491" w:type="pct"/>
            <w:shd w:val="clear" w:color="auto" w:fill="auto"/>
          </w:tcPr>
          <w:p w14:paraId="0FC195B3"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noProof/>
                <w:sz w:val="18"/>
                <w:szCs w:val="18"/>
              </w:rPr>
              <w:t>DL dedicated BWP configuration</w:t>
            </w:r>
          </w:p>
        </w:tc>
        <w:tc>
          <w:tcPr>
            <w:tcW w:w="1568" w:type="pct"/>
            <w:shd w:val="clear" w:color="auto" w:fill="auto"/>
          </w:tcPr>
          <w:p w14:paraId="1098A808"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 2</w:t>
            </w:r>
          </w:p>
        </w:tc>
        <w:tc>
          <w:tcPr>
            <w:tcW w:w="448" w:type="pct"/>
            <w:shd w:val="clear" w:color="auto" w:fill="auto"/>
          </w:tcPr>
          <w:p w14:paraId="4B72F0A1"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13863366"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DLBWP.1.1</w:t>
            </w:r>
          </w:p>
        </w:tc>
      </w:tr>
      <w:tr w:rsidR="003A71DE" w:rsidRPr="00E379A8" w14:paraId="30C43D24" w14:textId="77777777" w:rsidTr="003A71DE">
        <w:trPr>
          <w:trHeight w:val="189"/>
          <w:jc w:val="center"/>
        </w:trPr>
        <w:tc>
          <w:tcPr>
            <w:tcW w:w="1491" w:type="pct"/>
            <w:shd w:val="clear" w:color="auto" w:fill="auto"/>
          </w:tcPr>
          <w:p w14:paraId="0F5FD99A"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noProof/>
                <w:sz w:val="18"/>
                <w:szCs w:val="18"/>
              </w:rPr>
              <w:t>UL initial BWP configuration</w:t>
            </w:r>
          </w:p>
        </w:tc>
        <w:tc>
          <w:tcPr>
            <w:tcW w:w="1568" w:type="pct"/>
            <w:shd w:val="clear" w:color="auto" w:fill="auto"/>
          </w:tcPr>
          <w:p w14:paraId="6B2B97C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 2</w:t>
            </w:r>
          </w:p>
        </w:tc>
        <w:tc>
          <w:tcPr>
            <w:tcW w:w="448" w:type="pct"/>
            <w:shd w:val="clear" w:color="auto" w:fill="auto"/>
          </w:tcPr>
          <w:p w14:paraId="026A74EE"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49147473"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ULBWP.0.1</w:t>
            </w:r>
          </w:p>
        </w:tc>
      </w:tr>
      <w:tr w:rsidR="003A71DE" w:rsidRPr="00E379A8" w14:paraId="10A84D0E" w14:textId="77777777" w:rsidTr="003A71DE">
        <w:trPr>
          <w:trHeight w:val="189"/>
          <w:jc w:val="center"/>
        </w:trPr>
        <w:tc>
          <w:tcPr>
            <w:tcW w:w="1491" w:type="pct"/>
            <w:tcBorders>
              <w:bottom w:val="single" w:sz="4" w:space="0" w:color="auto"/>
            </w:tcBorders>
            <w:shd w:val="clear" w:color="auto" w:fill="auto"/>
          </w:tcPr>
          <w:p w14:paraId="736A64FE"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noProof/>
                <w:sz w:val="18"/>
                <w:szCs w:val="18"/>
              </w:rPr>
              <w:t>UL dedicated BWP configuration</w:t>
            </w:r>
          </w:p>
        </w:tc>
        <w:tc>
          <w:tcPr>
            <w:tcW w:w="1568" w:type="pct"/>
            <w:shd w:val="clear" w:color="auto" w:fill="auto"/>
          </w:tcPr>
          <w:p w14:paraId="53B1591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 2</w:t>
            </w:r>
          </w:p>
        </w:tc>
        <w:tc>
          <w:tcPr>
            <w:tcW w:w="448" w:type="pct"/>
            <w:tcBorders>
              <w:bottom w:val="single" w:sz="4" w:space="0" w:color="auto"/>
            </w:tcBorders>
            <w:shd w:val="clear" w:color="auto" w:fill="auto"/>
          </w:tcPr>
          <w:p w14:paraId="55B381B9"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2848327"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ULBWP.1.1</w:t>
            </w:r>
          </w:p>
        </w:tc>
      </w:tr>
      <w:tr w:rsidR="003A71DE" w:rsidRPr="00E379A8" w14:paraId="45B8E08C" w14:textId="77777777" w:rsidTr="003A71DE">
        <w:trPr>
          <w:trHeight w:val="189"/>
          <w:jc w:val="center"/>
        </w:trPr>
        <w:tc>
          <w:tcPr>
            <w:tcW w:w="1491" w:type="pct"/>
            <w:tcBorders>
              <w:bottom w:val="nil"/>
            </w:tcBorders>
            <w:shd w:val="clear" w:color="auto" w:fill="auto"/>
          </w:tcPr>
          <w:p w14:paraId="23A0DC6B"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CORESET Reference Channel</w:t>
            </w:r>
          </w:p>
        </w:tc>
        <w:tc>
          <w:tcPr>
            <w:tcW w:w="1568" w:type="pct"/>
            <w:shd w:val="clear" w:color="auto" w:fill="auto"/>
          </w:tcPr>
          <w:p w14:paraId="6D34AF8A"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tcBorders>
              <w:bottom w:val="nil"/>
            </w:tcBorders>
            <w:shd w:val="clear" w:color="auto" w:fill="auto"/>
          </w:tcPr>
          <w:p w14:paraId="193F2397"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6452568"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CR.1.1 TDD</w:t>
            </w:r>
          </w:p>
        </w:tc>
      </w:tr>
      <w:tr w:rsidR="003A71DE" w:rsidRPr="00E379A8" w14:paraId="7124694B" w14:textId="77777777" w:rsidTr="003A71DE">
        <w:trPr>
          <w:trHeight w:val="189"/>
          <w:jc w:val="center"/>
        </w:trPr>
        <w:tc>
          <w:tcPr>
            <w:tcW w:w="1491" w:type="pct"/>
            <w:tcBorders>
              <w:top w:val="nil"/>
              <w:bottom w:val="nil"/>
            </w:tcBorders>
            <w:shd w:val="clear" w:color="auto" w:fill="auto"/>
          </w:tcPr>
          <w:p w14:paraId="608B2590"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552CE2D2"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tcBorders>
              <w:top w:val="nil"/>
              <w:bottom w:val="nil"/>
            </w:tcBorders>
            <w:shd w:val="clear" w:color="auto" w:fill="auto"/>
          </w:tcPr>
          <w:p w14:paraId="36068681"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362D223"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CR.2.1 TDD</w:t>
            </w:r>
          </w:p>
        </w:tc>
      </w:tr>
      <w:tr w:rsidR="003A71DE" w:rsidRPr="00E379A8" w14:paraId="52E3000B" w14:textId="77777777" w:rsidTr="003A71DE">
        <w:trPr>
          <w:trHeight w:val="125"/>
          <w:jc w:val="center"/>
        </w:trPr>
        <w:tc>
          <w:tcPr>
            <w:tcW w:w="1491" w:type="pct"/>
            <w:tcBorders>
              <w:bottom w:val="nil"/>
            </w:tcBorders>
            <w:shd w:val="clear" w:color="auto" w:fill="auto"/>
          </w:tcPr>
          <w:p w14:paraId="1CE8679F"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SSB Configuration</w:t>
            </w:r>
          </w:p>
        </w:tc>
        <w:tc>
          <w:tcPr>
            <w:tcW w:w="1568" w:type="pct"/>
            <w:shd w:val="clear" w:color="auto" w:fill="auto"/>
          </w:tcPr>
          <w:p w14:paraId="1ADBFE87"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tcBorders>
              <w:bottom w:val="nil"/>
            </w:tcBorders>
            <w:shd w:val="clear" w:color="auto" w:fill="auto"/>
          </w:tcPr>
          <w:p w14:paraId="04C04AA0"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FFB9DD6"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SSB.1 FR1</w:t>
            </w:r>
          </w:p>
        </w:tc>
      </w:tr>
      <w:tr w:rsidR="003A71DE" w:rsidRPr="00E379A8" w14:paraId="1C79CBA2" w14:textId="77777777" w:rsidTr="003A71DE">
        <w:trPr>
          <w:trHeight w:val="123"/>
          <w:jc w:val="center"/>
        </w:trPr>
        <w:tc>
          <w:tcPr>
            <w:tcW w:w="1491" w:type="pct"/>
            <w:tcBorders>
              <w:top w:val="nil"/>
              <w:bottom w:val="single" w:sz="4" w:space="0" w:color="auto"/>
            </w:tcBorders>
            <w:shd w:val="clear" w:color="auto" w:fill="auto"/>
          </w:tcPr>
          <w:p w14:paraId="69859603"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44D8E022"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tcBorders>
              <w:top w:val="nil"/>
              <w:bottom w:val="nil"/>
            </w:tcBorders>
            <w:shd w:val="clear" w:color="auto" w:fill="auto"/>
          </w:tcPr>
          <w:p w14:paraId="4F1B5988"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746A6CC"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SSB.2 FR1</w:t>
            </w:r>
          </w:p>
        </w:tc>
      </w:tr>
      <w:tr w:rsidR="003A71DE" w:rsidRPr="00E379A8" w14:paraId="730B3CE3" w14:textId="77777777" w:rsidTr="003A71DE">
        <w:trPr>
          <w:trHeight w:val="223"/>
          <w:jc w:val="center"/>
        </w:trPr>
        <w:tc>
          <w:tcPr>
            <w:tcW w:w="1491" w:type="pct"/>
            <w:tcBorders>
              <w:bottom w:val="single" w:sz="4" w:space="0" w:color="auto"/>
            </w:tcBorders>
            <w:shd w:val="clear" w:color="auto" w:fill="auto"/>
          </w:tcPr>
          <w:p w14:paraId="0785D26F"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SMTC Configuration</w:t>
            </w:r>
          </w:p>
        </w:tc>
        <w:tc>
          <w:tcPr>
            <w:tcW w:w="1568" w:type="pct"/>
            <w:shd w:val="clear" w:color="auto" w:fill="auto"/>
          </w:tcPr>
          <w:p w14:paraId="33E691DD"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 2</w:t>
            </w:r>
          </w:p>
        </w:tc>
        <w:tc>
          <w:tcPr>
            <w:tcW w:w="448" w:type="pct"/>
            <w:tcBorders>
              <w:bottom w:val="nil"/>
            </w:tcBorders>
            <w:shd w:val="clear" w:color="auto" w:fill="auto"/>
          </w:tcPr>
          <w:p w14:paraId="2F76A533"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5AC6E2A"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SMTC.1</w:t>
            </w:r>
          </w:p>
        </w:tc>
      </w:tr>
      <w:tr w:rsidR="003A71DE" w:rsidRPr="00E379A8" w14:paraId="673E44F8" w14:textId="77777777" w:rsidTr="003A71DE">
        <w:trPr>
          <w:trHeight w:val="195"/>
          <w:jc w:val="center"/>
        </w:trPr>
        <w:tc>
          <w:tcPr>
            <w:tcW w:w="1491" w:type="pct"/>
            <w:vMerge w:val="restart"/>
            <w:tcBorders>
              <w:top w:val="single" w:sz="4" w:space="0" w:color="auto"/>
            </w:tcBorders>
            <w:shd w:val="clear" w:color="auto" w:fill="auto"/>
          </w:tcPr>
          <w:p w14:paraId="112BC595"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PDSCH/PDCCH subcarrier spacing</w:t>
            </w:r>
          </w:p>
        </w:tc>
        <w:tc>
          <w:tcPr>
            <w:tcW w:w="1568" w:type="pct"/>
            <w:shd w:val="clear" w:color="auto" w:fill="auto"/>
          </w:tcPr>
          <w:p w14:paraId="57479502"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tcBorders>
              <w:top w:val="nil"/>
            </w:tcBorders>
            <w:shd w:val="clear" w:color="auto" w:fill="auto"/>
          </w:tcPr>
          <w:p w14:paraId="702C4A2F"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6E26F2D2"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15 kHz</w:t>
            </w:r>
          </w:p>
        </w:tc>
      </w:tr>
      <w:tr w:rsidR="003A71DE" w:rsidRPr="00E379A8" w14:paraId="4B5389E2" w14:textId="77777777" w:rsidTr="003A71DE">
        <w:trPr>
          <w:trHeight w:val="283"/>
          <w:jc w:val="center"/>
        </w:trPr>
        <w:tc>
          <w:tcPr>
            <w:tcW w:w="1491" w:type="pct"/>
            <w:vMerge/>
            <w:tcBorders>
              <w:bottom w:val="single" w:sz="4" w:space="0" w:color="auto"/>
            </w:tcBorders>
            <w:shd w:val="clear" w:color="auto" w:fill="auto"/>
          </w:tcPr>
          <w:p w14:paraId="5AE8C079"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2E2CCEC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tcBorders>
              <w:top w:val="nil"/>
            </w:tcBorders>
            <w:shd w:val="clear" w:color="auto" w:fill="auto"/>
          </w:tcPr>
          <w:p w14:paraId="08049211"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2644262"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30 kHz</w:t>
            </w:r>
          </w:p>
        </w:tc>
      </w:tr>
      <w:tr w:rsidR="003A71DE" w:rsidRPr="00E379A8" w14:paraId="4861DA50" w14:textId="77777777" w:rsidTr="003A71DE">
        <w:trPr>
          <w:trHeight w:val="283"/>
          <w:jc w:val="center"/>
        </w:trPr>
        <w:tc>
          <w:tcPr>
            <w:tcW w:w="1491" w:type="pct"/>
            <w:tcBorders>
              <w:bottom w:val="nil"/>
            </w:tcBorders>
            <w:shd w:val="clear" w:color="auto" w:fill="auto"/>
          </w:tcPr>
          <w:p w14:paraId="5EDD8C99"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TRS configuration</w:t>
            </w:r>
          </w:p>
        </w:tc>
        <w:tc>
          <w:tcPr>
            <w:tcW w:w="1568" w:type="pct"/>
            <w:shd w:val="clear" w:color="auto" w:fill="auto"/>
          </w:tcPr>
          <w:p w14:paraId="7467C03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shd w:val="clear" w:color="auto" w:fill="auto"/>
          </w:tcPr>
          <w:p w14:paraId="4B45063F"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20D6ED6"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TRS.1.1 TDD</w:t>
            </w:r>
          </w:p>
        </w:tc>
      </w:tr>
      <w:tr w:rsidR="003A71DE" w:rsidRPr="00E379A8" w14:paraId="7B29DE05" w14:textId="77777777" w:rsidTr="003A71DE">
        <w:trPr>
          <w:trHeight w:val="283"/>
          <w:jc w:val="center"/>
        </w:trPr>
        <w:tc>
          <w:tcPr>
            <w:tcW w:w="1491" w:type="pct"/>
            <w:tcBorders>
              <w:top w:val="nil"/>
              <w:bottom w:val="nil"/>
            </w:tcBorders>
            <w:shd w:val="clear" w:color="auto" w:fill="auto"/>
          </w:tcPr>
          <w:p w14:paraId="6D010F58"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5CB68C77"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shd w:val="clear" w:color="auto" w:fill="auto"/>
          </w:tcPr>
          <w:p w14:paraId="6237A7D7"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C2ED18E"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TRS.1.2 TDD</w:t>
            </w:r>
          </w:p>
        </w:tc>
      </w:tr>
      <w:tr w:rsidR="003A71DE" w:rsidRPr="00E379A8" w14:paraId="0EEC865B" w14:textId="77777777" w:rsidTr="003A71DE">
        <w:trPr>
          <w:trHeight w:val="283"/>
          <w:jc w:val="center"/>
        </w:trPr>
        <w:tc>
          <w:tcPr>
            <w:tcW w:w="1491" w:type="pct"/>
            <w:tcBorders>
              <w:bottom w:val="nil"/>
            </w:tcBorders>
            <w:shd w:val="clear" w:color="auto" w:fill="auto"/>
          </w:tcPr>
          <w:p w14:paraId="103750D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CSI-RS for RLM</w:t>
            </w:r>
          </w:p>
        </w:tc>
        <w:tc>
          <w:tcPr>
            <w:tcW w:w="1568" w:type="pct"/>
            <w:shd w:val="clear" w:color="auto" w:fill="auto"/>
          </w:tcPr>
          <w:p w14:paraId="35242417"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shd w:val="clear" w:color="auto" w:fill="auto"/>
          </w:tcPr>
          <w:p w14:paraId="468948BE"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1BB87851"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Resource #4 in TRS.1.1 TDD</w:t>
            </w:r>
          </w:p>
        </w:tc>
      </w:tr>
      <w:tr w:rsidR="003A71DE" w:rsidRPr="00E379A8" w14:paraId="5CBA1293" w14:textId="77777777" w:rsidTr="003A71DE">
        <w:trPr>
          <w:trHeight w:val="283"/>
          <w:jc w:val="center"/>
        </w:trPr>
        <w:tc>
          <w:tcPr>
            <w:tcW w:w="1491" w:type="pct"/>
            <w:tcBorders>
              <w:top w:val="nil"/>
              <w:bottom w:val="nil"/>
            </w:tcBorders>
            <w:shd w:val="clear" w:color="auto" w:fill="auto"/>
          </w:tcPr>
          <w:p w14:paraId="22EB1D1D"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30C8A30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shd w:val="clear" w:color="auto" w:fill="auto"/>
          </w:tcPr>
          <w:p w14:paraId="1C22ED95"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3011CCA"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Resource #4 in TRS.1.2 TDD</w:t>
            </w:r>
          </w:p>
        </w:tc>
      </w:tr>
      <w:tr w:rsidR="003A71DE" w:rsidRPr="00E379A8" w14:paraId="4FC4A0B5" w14:textId="77777777" w:rsidTr="003A71DE">
        <w:trPr>
          <w:trHeight w:val="176"/>
          <w:jc w:val="center"/>
        </w:trPr>
        <w:tc>
          <w:tcPr>
            <w:tcW w:w="3059" w:type="pct"/>
            <w:gridSpan w:val="2"/>
            <w:shd w:val="clear" w:color="auto" w:fill="auto"/>
          </w:tcPr>
          <w:p w14:paraId="69677D2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noProof/>
                <w:sz w:val="18"/>
                <w:szCs w:val="18"/>
              </w:rPr>
              <w:t>TCI configuration for PDCCH/PDSCH</w:t>
            </w:r>
          </w:p>
        </w:tc>
        <w:tc>
          <w:tcPr>
            <w:tcW w:w="448" w:type="pct"/>
            <w:shd w:val="clear" w:color="auto" w:fill="auto"/>
          </w:tcPr>
          <w:p w14:paraId="4239134A"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vAlign w:val="center"/>
          </w:tcPr>
          <w:p w14:paraId="22A5DAB9"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noProof/>
                <w:sz w:val="18"/>
                <w:szCs w:val="18"/>
              </w:rPr>
              <w:t>TCI.State.0</w:t>
            </w:r>
          </w:p>
        </w:tc>
      </w:tr>
      <w:tr w:rsidR="003A71DE" w:rsidRPr="00E379A8" w14:paraId="2408FB89" w14:textId="77777777" w:rsidTr="003A71DE">
        <w:trPr>
          <w:trHeight w:val="176"/>
          <w:jc w:val="center"/>
        </w:trPr>
        <w:tc>
          <w:tcPr>
            <w:tcW w:w="3059" w:type="pct"/>
            <w:gridSpan w:val="2"/>
            <w:shd w:val="clear" w:color="auto" w:fill="auto"/>
          </w:tcPr>
          <w:p w14:paraId="45560DC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OCNG parameters</w:t>
            </w:r>
          </w:p>
        </w:tc>
        <w:tc>
          <w:tcPr>
            <w:tcW w:w="448" w:type="pct"/>
            <w:shd w:val="clear" w:color="auto" w:fill="auto"/>
          </w:tcPr>
          <w:p w14:paraId="115A8254"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846827E"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OP.1</w:t>
            </w:r>
          </w:p>
        </w:tc>
      </w:tr>
      <w:tr w:rsidR="003A71DE" w:rsidRPr="00E379A8" w14:paraId="6C397506" w14:textId="77777777" w:rsidTr="003A71DE">
        <w:trPr>
          <w:trHeight w:val="164"/>
          <w:jc w:val="center"/>
        </w:trPr>
        <w:tc>
          <w:tcPr>
            <w:tcW w:w="3059" w:type="pct"/>
            <w:gridSpan w:val="2"/>
            <w:shd w:val="clear" w:color="auto" w:fill="auto"/>
          </w:tcPr>
          <w:p w14:paraId="07A66F7E"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CP length</w:t>
            </w:r>
            <w:r w:rsidRPr="00E379A8">
              <w:rPr>
                <w:rFonts w:ascii="Arial" w:eastAsia="SimSun" w:hAnsi="Arial" w:cs="Arial"/>
                <w:sz w:val="18"/>
                <w:szCs w:val="18"/>
              </w:rPr>
              <w:tab/>
            </w:r>
          </w:p>
        </w:tc>
        <w:tc>
          <w:tcPr>
            <w:tcW w:w="448" w:type="pct"/>
            <w:shd w:val="clear" w:color="auto" w:fill="auto"/>
          </w:tcPr>
          <w:p w14:paraId="170FFB82"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B306FAF"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Normal</w:t>
            </w:r>
          </w:p>
        </w:tc>
      </w:tr>
      <w:tr w:rsidR="003A71DE" w:rsidRPr="00E379A8" w14:paraId="0072E7F5" w14:textId="77777777" w:rsidTr="003A71DE">
        <w:trPr>
          <w:trHeight w:val="155"/>
          <w:jc w:val="center"/>
        </w:trPr>
        <w:tc>
          <w:tcPr>
            <w:tcW w:w="3059" w:type="pct"/>
            <w:gridSpan w:val="2"/>
            <w:shd w:val="clear" w:color="auto" w:fill="auto"/>
          </w:tcPr>
          <w:p w14:paraId="734B48F5"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Correlation Matrix and Antenna Configuration</w:t>
            </w:r>
          </w:p>
        </w:tc>
        <w:tc>
          <w:tcPr>
            <w:tcW w:w="448" w:type="pct"/>
            <w:shd w:val="clear" w:color="auto" w:fill="auto"/>
          </w:tcPr>
          <w:p w14:paraId="2A3AE0DB"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FD10328"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2x2 Low</w:t>
            </w:r>
          </w:p>
        </w:tc>
      </w:tr>
      <w:tr w:rsidR="003A71DE" w:rsidRPr="00E379A8" w14:paraId="69A8BD7C" w14:textId="77777777" w:rsidTr="003A71DE">
        <w:trPr>
          <w:trHeight w:val="164"/>
          <w:jc w:val="center"/>
        </w:trPr>
        <w:tc>
          <w:tcPr>
            <w:tcW w:w="1491" w:type="pct"/>
            <w:vMerge w:val="restart"/>
            <w:shd w:val="clear" w:color="auto" w:fill="auto"/>
          </w:tcPr>
          <w:p w14:paraId="53394DFC"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 xml:space="preserve">Out of sync transmission parameters </w:t>
            </w:r>
          </w:p>
        </w:tc>
        <w:tc>
          <w:tcPr>
            <w:tcW w:w="1568" w:type="pct"/>
            <w:shd w:val="clear" w:color="auto" w:fill="auto"/>
          </w:tcPr>
          <w:p w14:paraId="5871AE4A"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DCI format</w:t>
            </w:r>
          </w:p>
        </w:tc>
        <w:tc>
          <w:tcPr>
            <w:tcW w:w="448" w:type="pct"/>
            <w:shd w:val="clear" w:color="auto" w:fill="auto"/>
          </w:tcPr>
          <w:p w14:paraId="1C3827D9"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15D76F1"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1-0</w:t>
            </w:r>
          </w:p>
        </w:tc>
      </w:tr>
      <w:tr w:rsidR="003A71DE" w:rsidRPr="00E379A8" w14:paraId="61E9936D" w14:textId="77777777" w:rsidTr="003A71DE">
        <w:trPr>
          <w:trHeight w:val="93"/>
          <w:jc w:val="center"/>
        </w:trPr>
        <w:tc>
          <w:tcPr>
            <w:tcW w:w="1491" w:type="pct"/>
            <w:vMerge/>
            <w:shd w:val="clear" w:color="auto" w:fill="auto"/>
          </w:tcPr>
          <w:p w14:paraId="097A3842"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30CCF945"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Number of Control OFDM symbols</w:t>
            </w:r>
          </w:p>
        </w:tc>
        <w:tc>
          <w:tcPr>
            <w:tcW w:w="448" w:type="pct"/>
            <w:shd w:val="clear" w:color="auto" w:fill="auto"/>
          </w:tcPr>
          <w:p w14:paraId="428395DF"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4D1962A1"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2</w:t>
            </w:r>
          </w:p>
        </w:tc>
      </w:tr>
      <w:tr w:rsidR="003A71DE" w:rsidRPr="00E379A8" w14:paraId="4BD4D3E4" w14:textId="77777777" w:rsidTr="003A71DE">
        <w:trPr>
          <w:trHeight w:val="176"/>
          <w:jc w:val="center"/>
        </w:trPr>
        <w:tc>
          <w:tcPr>
            <w:tcW w:w="1491" w:type="pct"/>
            <w:vMerge/>
            <w:shd w:val="clear" w:color="auto" w:fill="auto"/>
          </w:tcPr>
          <w:p w14:paraId="58C9ADBD"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4C1B1023"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 xml:space="preserve">Aggregation level </w:t>
            </w:r>
          </w:p>
        </w:tc>
        <w:tc>
          <w:tcPr>
            <w:tcW w:w="448" w:type="pct"/>
            <w:shd w:val="clear" w:color="auto" w:fill="auto"/>
          </w:tcPr>
          <w:p w14:paraId="4546FECF"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CCE</w:t>
            </w:r>
          </w:p>
        </w:tc>
        <w:tc>
          <w:tcPr>
            <w:tcW w:w="1493" w:type="pct"/>
            <w:shd w:val="clear" w:color="auto" w:fill="auto"/>
          </w:tcPr>
          <w:p w14:paraId="4FAA1AD9"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8</w:t>
            </w:r>
          </w:p>
        </w:tc>
      </w:tr>
      <w:tr w:rsidR="003A71DE" w:rsidRPr="00E379A8" w14:paraId="04B4B138" w14:textId="77777777" w:rsidTr="003A71DE">
        <w:trPr>
          <w:trHeight w:val="369"/>
          <w:jc w:val="center"/>
        </w:trPr>
        <w:tc>
          <w:tcPr>
            <w:tcW w:w="1491" w:type="pct"/>
            <w:vMerge/>
            <w:tcBorders>
              <w:bottom w:val="nil"/>
            </w:tcBorders>
            <w:shd w:val="clear" w:color="auto" w:fill="auto"/>
          </w:tcPr>
          <w:p w14:paraId="3ED1C298"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10232939"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Ratio of hypothetical PDCCH RE energy to average CSI-RS RE energy</w:t>
            </w:r>
          </w:p>
        </w:tc>
        <w:tc>
          <w:tcPr>
            <w:tcW w:w="448" w:type="pct"/>
            <w:shd w:val="clear" w:color="auto" w:fill="auto"/>
          </w:tcPr>
          <w:p w14:paraId="2FF127AE"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dB</w:t>
            </w:r>
          </w:p>
        </w:tc>
        <w:tc>
          <w:tcPr>
            <w:tcW w:w="1493" w:type="pct"/>
            <w:shd w:val="clear" w:color="auto" w:fill="auto"/>
          </w:tcPr>
          <w:p w14:paraId="518C0BFC"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4</w:t>
            </w:r>
          </w:p>
        </w:tc>
      </w:tr>
      <w:tr w:rsidR="003A71DE" w:rsidRPr="00E379A8" w14:paraId="68C018A5" w14:textId="77777777" w:rsidTr="003A71DE">
        <w:trPr>
          <w:trHeight w:val="307"/>
          <w:jc w:val="center"/>
        </w:trPr>
        <w:tc>
          <w:tcPr>
            <w:tcW w:w="1491" w:type="pct"/>
            <w:tcBorders>
              <w:top w:val="nil"/>
              <w:bottom w:val="nil"/>
            </w:tcBorders>
            <w:shd w:val="clear" w:color="auto" w:fill="auto"/>
          </w:tcPr>
          <w:p w14:paraId="22FF6FB0"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3C6C6B3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Ratio of hypothetical PDCCH DMRS energy to average CSI-RS RE energy</w:t>
            </w:r>
          </w:p>
        </w:tc>
        <w:tc>
          <w:tcPr>
            <w:tcW w:w="448" w:type="pct"/>
            <w:shd w:val="clear" w:color="auto" w:fill="auto"/>
          </w:tcPr>
          <w:p w14:paraId="2659B9E8"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dB</w:t>
            </w:r>
          </w:p>
        </w:tc>
        <w:tc>
          <w:tcPr>
            <w:tcW w:w="1493" w:type="pct"/>
            <w:shd w:val="clear" w:color="auto" w:fill="auto"/>
          </w:tcPr>
          <w:p w14:paraId="5B3DB11A"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4</w:t>
            </w:r>
          </w:p>
        </w:tc>
      </w:tr>
      <w:tr w:rsidR="003A71DE" w:rsidRPr="00E379A8" w14:paraId="6CB41026" w14:textId="77777777" w:rsidTr="003A71DE">
        <w:trPr>
          <w:trHeight w:val="50"/>
          <w:jc w:val="center"/>
        </w:trPr>
        <w:tc>
          <w:tcPr>
            <w:tcW w:w="1491" w:type="pct"/>
            <w:tcBorders>
              <w:top w:val="nil"/>
              <w:bottom w:val="nil"/>
            </w:tcBorders>
            <w:shd w:val="clear" w:color="auto" w:fill="auto"/>
          </w:tcPr>
          <w:p w14:paraId="2C7E68DB"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vAlign w:val="center"/>
          </w:tcPr>
          <w:p w14:paraId="08895727"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DMRS precoder granularity</w:t>
            </w:r>
          </w:p>
        </w:tc>
        <w:tc>
          <w:tcPr>
            <w:tcW w:w="448" w:type="pct"/>
            <w:shd w:val="clear" w:color="auto" w:fill="auto"/>
            <w:vAlign w:val="center"/>
          </w:tcPr>
          <w:p w14:paraId="17E1327C"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55A852E"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REG bundle size</w:t>
            </w:r>
          </w:p>
        </w:tc>
      </w:tr>
      <w:tr w:rsidR="003A71DE" w:rsidRPr="00E379A8" w14:paraId="64205DF0" w14:textId="77777777" w:rsidTr="003A71DE">
        <w:trPr>
          <w:trHeight w:val="188"/>
          <w:jc w:val="center"/>
        </w:trPr>
        <w:tc>
          <w:tcPr>
            <w:tcW w:w="1491" w:type="pct"/>
            <w:tcBorders>
              <w:top w:val="nil"/>
              <w:bottom w:val="single" w:sz="4" w:space="0" w:color="auto"/>
            </w:tcBorders>
            <w:shd w:val="clear" w:color="auto" w:fill="auto"/>
          </w:tcPr>
          <w:p w14:paraId="52DC64DC"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vAlign w:val="center"/>
          </w:tcPr>
          <w:p w14:paraId="6C162ADB"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REG bundle size</w:t>
            </w:r>
          </w:p>
        </w:tc>
        <w:tc>
          <w:tcPr>
            <w:tcW w:w="448" w:type="pct"/>
            <w:shd w:val="clear" w:color="auto" w:fill="auto"/>
            <w:vAlign w:val="center"/>
          </w:tcPr>
          <w:p w14:paraId="2976F2B8"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534A4AB2"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6</w:t>
            </w:r>
          </w:p>
        </w:tc>
      </w:tr>
      <w:tr w:rsidR="003A71DE" w:rsidRPr="00E379A8" w14:paraId="447696C6" w14:textId="77777777" w:rsidTr="003A71DE">
        <w:trPr>
          <w:trHeight w:val="188"/>
          <w:jc w:val="center"/>
        </w:trPr>
        <w:tc>
          <w:tcPr>
            <w:tcW w:w="1491" w:type="pct"/>
            <w:tcBorders>
              <w:bottom w:val="nil"/>
            </w:tcBorders>
            <w:shd w:val="clear" w:color="auto" w:fill="auto"/>
          </w:tcPr>
          <w:p w14:paraId="48C0A0C5"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In sync transmission parameters</w:t>
            </w:r>
          </w:p>
        </w:tc>
        <w:tc>
          <w:tcPr>
            <w:tcW w:w="1568" w:type="pct"/>
            <w:shd w:val="clear" w:color="auto" w:fill="auto"/>
          </w:tcPr>
          <w:p w14:paraId="20E48494"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DCI format</w:t>
            </w:r>
          </w:p>
        </w:tc>
        <w:tc>
          <w:tcPr>
            <w:tcW w:w="448" w:type="pct"/>
            <w:shd w:val="clear" w:color="auto" w:fill="auto"/>
            <w:vAlign w:val="center"/>
          </w:tcPr>
          <w:p w14:paraId="79BEE187"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2ADEE7FD"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1-0</w:t>
            </w:r>
          </w:p>
        </w:tc>
      </w:tr>
      <w:tr w:rsidR="003A71DE" w:rsidRPr="00E379A8" w14:paraId="6E3D1AB1" w14:textId="77777777" w:rsidTr="003A71DE">
        <w:trPr>
          <w:trHeight w:val="188"/>
          <w:jc w:val="center"/>
        </w:trPr>
        <w:tc>
          <w:tcPr>
            <w:tcW w:w="1491" w:type="pct"/>
            <w:tcBorders>
              <w:top w:val="nil"/>
              <w:bottom w:val="nil"/>
            </w:tcBorders>
            <w:shd w:val="clear" w:color="auto" w:fill="auto"/>
          </w:tcPr>
          <w:p w14:paraId="1482F6CF"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7F43249C"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Number of Control OFDM symbols</w:t>
            </w:r>
          </w:p>
        </w:tc>
        <w:tc>
          <w:tcPr>
            <w:tcW w:w="448" w:type="pct"/>
            <w:shd w:val="clear" w:color="auto" w:fill="auto"/>
            <w:vAlign w:val="center"/>
          </w:tcPr>
          <w:p w14:paraId="4DE06477"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47B035F"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2</w:t>
            </w:r>
          </w:p>
        </w:tc>
      </w:tr>
      <w:tr w:rsidR="003A71DE" w:rsidRPr="00E379A8" w14:paraId="1E4E45D4" w14:textId="77777777" w:rsidTr="003A71DE">
        <w:trPr>
          <w:trHeight w:val="188"/>
          <w:jc w:val="center"/>
        </w:trPr>
        <w:tc>
          <w:tcPr>
            <w:tcW w:w="1491" w:type="pct"/>
            <w:tcBorders>
              <w:top w:val="nil"/>
              <w:bottom w:val="nil"/>
            </w:tcBorders>
            <w:shd w:val="clear" w:color="auto" w:fill="auto"/>
          </w:tcPr>
          <w:p w14:paraId="3935E792"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64019BD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 xml:space="preserve">Aggregation level </w:t>
            </w:r>
          </w:p>
        </w:tc>
        <w:tc>
          <w:tcPr>
            <w:tcW w:w="448" w:type="pct"/>
            <w:shd w:val="clear" w:color="auto" w:fill="auto"/>
          </w:tcPr>
          <w:p w14:paraId="2CC44BBE"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CCE</w:t>
            </w:r>
          </w:p>
        </w:tc>
        <w:tc>
          <w:tcPr>
            <w:tcW w:w="1493" w:type="pct"/>
            <w:shd w:val="clear" w:color="auto" w:fill="auto"/>
          </w:tcPr>
          <w:p w14:paraId="019A7A30"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4</w:t>
            </w:r>
          </w:p>
        </w:tc>
      </w:tr>
      <w:tr w:rsidR="003A71DE" w:rsidRPr="00E379A8" w14:paraId="63C18832" w14:textId="77777777" w:rsidTr="003A71DE">
        <w:trPr>
          <w:trHeight w:val="188"/>
          <w:jc w:val="center"/>
        </w:trPr>
        <w:tc>
          <w:tcPr>
            <w:tcW w:w="1491" w:type="pct"/>
            <w:tcBorders>
              <w:top w:val="nil"/>
              <w:bottom w:val="nil"/>
            </w:tcBorders>
            <w:shd w:val="clear" w:color="auto" w:fill="auto"/>
          </w:tcPr>
          <w:p w14:paraId="3BD986F2"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231AC859"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Ratio of hypothetical PDCCH RE energy to average CSI-RS RE energy</w:t>
            </w:r>
          </w:p>
        </w:tc>
        <w:tc>
          <w:tcPr>
            <w:tcW w:w="448" w:type="pct"/>
            <w:shd w:val="clear" w:color="auto" w:fill="auto"/>
          </w:tcPr>
          <w:p w14:paraId="5584B2A2"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dB</w:t>
            </w:r>
          </w:p>
        </w:tc>
        <w:tc>
          <w:tcPr>
            <w:tcW w:w="1493" w:type="pct"/>
            <w:shd w:val="clear" w:color="auto" w:fill="auto"/>
          </w:tcPr>
          <w:p w14:paraId="5EC5C272"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0</w:t>
            </w:r>
          </w:p>
        </w:tc>
      </w:tr>
      <w:tr w:rsidR="003A71DE" w:rsidRPr="00E379A8" w14:paraId="18DE128C" w14:textId="77777777" w:rsidTr="003A71DE">
        <w:trPr>
          <w:trHeight w:val="188"/>
          <w:jc w:val="center"/>
        </w:trPr>
        <w:tc>
          <w:tcPr>
            <w:tcW w:w="1491" w:type="pct"/>
            <w:tcBorders>
              <w:top w:val="nil"/>
              <w:bottom w:val="nil"/>
            </w:tcBorders>
            <w:shd w:val="clear" w:color="auto" w:fill="auto"/>
          </w:tcPr>
          <w:p w14:paraId="1292DEE0"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tcPr>
          <w:p w14:paraId="277D02C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Ratio of hypothetical PDCCH DMRS energy to average CSI-RS RE energy</w:t>
            </w:r>
          </w:p>
        </w:tc>
        <w:tc>
          <w:tcPr>
            <w:tcW w:w="448" w:type="pct"/>
            <w:shd w:val="clear" w:color="auto" w:fill="auto"/>
          </w:tcPr>
          <w:p w14:paraId="01DF759E"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dB</w:t>
            </w:r>
          </w:p>
        </w:tc>
        <w:tc>
          <w:tcPr>
            <w:tcW w:w="1493" w:type="pct"/>
            <w:shd w:val="clear" w:color="auto" w:fill="auto"/>
          </w:tcPr>
          <w:p w14:paraId="74AFD728"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0</w:t>
            </w:r>
          </w:p>
        </w:tc>
      </w:tr>
      <w:tr w:rsidR="003A71DE" w:rsidRPr="00E379A8" w14:paraId="04310752" w14:textId="77777777" w:rsidTr="003A71DE">
        <w:trPr>
          <w:trHeight w:val="188"/>
          <w:jc w:val="center"/>
        </w:trPr>
        <w:tc>
          <w:tcPr>
            <w:tcW w:w="1491" w:type="pct"/>
            <w:tcBorders>
              <w:top w:val="nil"/>
              <w:bottom w:val="nil"/>
            </w:tcBorders>
            <w:shd w:val="clear" w:color="auto" w:fill="auto"/>
          </w:tcPr>
          <w:p w14:paraId="1A7A3664"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vAlign w:val="center"/>
          </w:tcPr>
          <w:p w14:paraId="5D855046"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DMRS precoder granularity</w:t>
            </w:r>
          </w:p>
        </w:tc>
        <w:tc>
          <w:tcPr>
            <w:tcW w:w="448" w:type="pct"/>
            <w:shd w:val="clear" w:color="auto" w:fill="auto"/>
            <w:vAlign w:val="center"/>
          </w:tcPr>
          <w:p w14:paraId="5E65853D"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77B56001"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REG bundle size</w:t>
            </w:r>
          </w:p>
        </w:tc>
      </w:tr>
      <w:tr w:rsidR="003A71DE" w:rsidRPr="00E379A8" w14:paraId="61BEF9D3" w14:textId="77777777" w:rsidTr="003A71DE">
        <w:trPr>
          <w:trHeight w:val="188"/>
          <w:jc w:val="center"/>
        </w:trPr>
        <w:tc>
          <w:tcPr>
            <w:tcW w:w="1491" w:type="pct"/>
            <w:tcBorders>
              <w:top w:val="nil"/>
            </w:tcBorders>
            <w:shd w:val="clear" w:color="auto" w:fill="auto"/>
          </w:tcPr>
          <w:p w14:paraId="67F27921" w14:textId="77777777" w:rsidR="003A71DE" w:rsidRPr="00E379A8" w:rsidRDefault="003A71DE" w:rsidP="003A71DE">
            <w:pPr>
              <w:keepNext/>
              <w:keepLines/>
              <w:spacing w:after="0"/>
              <w:rPr>
                <w:rFonts w:ascii="Arial" w:eastAsia="SimSun" w:hAnsi="Arial" w:cs="Arial"/>
                <w:sz w:val="18"/>
                <w:szCs w:val="18"/>
              </w:rPr>
            </w:pPr>
          </w:p>
        </w:tc>
        <w:tc>
          <w:tcPr>
            <w:tcW w:w="1568" w:type="pct"/>
            <w:shd w:val="clear" w:color="auto" w:fill="auto"/>
            <w:vAlign w:val="center"/>
          </w:tcPr>
          <w:p w14:paraId="5C1DC47F"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REG bundle size</w:t>
            </w:r>
          </w:p>
        </w:tc>
        <w:tc>
          <w:tcPr>
            <w:tcW w:w="448" w:type="pct"/>
            <w:shd w:val="clear" w:color="auto" w:fill="auto"/>
            <w:vAlign w:val="center"/>
          </w:tcPr>
          <w:p w14:paraId="7D083059"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3E33BBF8"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6</w:t>
            </w:r>
          </w:p>
        </w:tc>
      </w:tr>
      <w:tr w:rsidR="003A71DE" w:rsidRPr="00E379A8" w14:paraId="602712A3" w14:textId="77777777" w:rsidTr="003A71DE">
        <w:trPr>
          <w:trHeight w:val="50"/>
          <w:jc w:val="center"/>
        </w:trPr>
        <w:tc>
          <w:tcPr>
            <w:tcW w:w="3059" w:type="pct"/>
            <w:gridSpan w:val="2"/>
            <w:shd w:val="clear" w:color="auto" w:fill="auto"/>
          </w:tcPr>
          <w:p w14:paraId="76830098"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Layer 3 filtering</w:t>
            </w:r>
          </w:p>
        </w:tc>
        <w:tc>
          <w:tcPr>
            <w:tcW w:w="448" w:type="pct"/>
            <w:shd w:val="clear" w:color="auto" w:fill="auto"/>
          </w:tcPr>
          <w:p w14:paraId="1ABACB78"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0B1C8500"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i/>
                <w:iCs/>
                <w:sz w:val="18"/>
                <w:szCs w:val="18"/>
              </w:rPr>
              <w:t>Enabled</w:t>
            </w:r>
          </w:p>
        </w:tc>
      </w:tr>
      <w:tr w:rsidR="003A71DE" w:rsidRPr="00E379A8" w14:paraId="73FB0D09" w14:textId="77777777" w:rsidTr="003A71DE">
        <w:trPr>
          <w:trHeight w:val="164"/>
          <w:jc w:val="center"/>
        </w:trPr>
        <w:tc>
          <w:tcPr>
            <w:tcW w:w="3059" w:type="pct"/>
            <w:gridSpan w:val="2"/>
            <w:shd w:val="clear" w:color="auto" w:fill="auto"/>
          </w:tcPr>
          <w:p w14:paraId="5602D58C"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T310 timer</w:t>
            </w:r>
          </w:p>
        </w:tc>
        <w:tc>
          <w:tcPr>
            <w:tcW w:w="448" w:type="pct"/>
            <w:shd w:val="clear" w:color="auto" w:fill="auto"/>
          </w:tcPr>
          <w:p w14:paraId="45C75000" w14:textId="77777777" w:rsidR="003A71DE" w:rsidRPr="00E379A8" w:rsidRDefault="003A71DE" w:rsidP="003A71DE">
            <w:pPr>
              <w:keepNext/>
              <w:keepLines/>
              <w:spacing w:after="0"/>
              <w:jc w:val="center"/>
              <w:rPr>
                <w:rFonts w:ascii="Arial" w:eastAsia="SimSun" w:hAnsi="Arial" w:cs="Arial"/>
                <w:iCs/>
                <w:sz w:val="18"/>
                <w:szCs w:val="18"/>
              </w:rPr>
            </w:pPr>
            <w:r w:rsidRPr="00E379A8">
              <w:rPr>
                <w:rFonts w:ascii="Arial" w:eastAsia="SimSun" w:hAnsi="Arial" w:cs="Arial"/>
                <w:iCs/>
                <w:sz w:val="18"/>
                <w:szCs w:val="18"/>
              </w:rPr>
              <w:t>ms</w:t>
            </w:r>
          </w:p>
        </w:tc>
        <w:tc>
          <w:tcPr>
            <w:tcW w:w="1493" w:type="pct"/>
            <w:shd w:val="clear" w:color="auto" w:fill="auto"/>
          </w:tcPr>
          <w:p w14:paraId="0A54D84F" w14:textId="77777777" w:rsidR="003A71DE" w:rsidRPr="00E379A8" w:rsidRDefault="003A71DE" w:rsidP="003A71DE">
            <w:pPr>
              <w:keepNext/>
              <w:keepLines/>
              <w:spacing w:after="0"/>
              <w:jc w:val="center"/>
              <w:rPr>
                <w:rFonts w:ascii="Arial" w:eastAsia="SimSun" w:hAnsi="Arial" w:cs="Arial"/>
                <w:i/>
                <w:iCs/>
                <w:sz w:val="18"/>
                <w:szCs w:val="18"/>
              </w:rPr>
            </w:pPr>
            <w:r w:rsidRPr="00E379A8">
              <w:rPr>
                <w:rFonts w:ascii="Arial" w:eastAsia="SimSun" w:hAnsi="Arial" w:cs="Arial"/>
                <w:iCs/>
                <w:sz w:val="18"/>
                <w:szCs w:val="18"/>
              </w:rPr>
              <w:t>1000</w:t>
            </w:r>
          </w:p>
        </w:tc>
      </w:tr>
      <w:tr w:rsidR="003A71DE" w:rsidRPr="00E379A8" w14:paraId="11A1A256" w14:textId="77777777" w:rsidTr="003A71DE">
        <w:trPr>
          <w:trHeight w:val="164"/>
          <w:jc w:val="center"/>
        </w:trPr>
        <w:tc>
          <w:tcPr>
            <w:tcW w:w="3059" w:type="pct"/>
            <w:gridSpan w:val="2"/>
            <w:shd w:val="clear" w:color="auto" w:fill="auto"/>
          </w:tcPr>
          <w:p w14:paraId="01301745"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T311 timer</w:t>
            </w:r>
          </w:p>
        </w:tc>
        <w:tc>
          <w:tcPr>
            <w:tcW w:w="448" w:type="pct"/>
            <w:shd w:val="clear" w:color="auto" w:fill="auto"/>
          </w:tcPr>
          <w:p w14:paraId="2CF9756E" w14:textId="77777777" w:rsidR="003A71DE" w:rsidRPr="00E379A8" w:rsidRDefault="003A71DE" w:rsidP="003A71DE">
            <w:pPr>
              <w:keepNext/>
              <w:keepLines/>
              <w:spacing w:after="0"/>
              <w:jc w:val="center"/>
              <w:rPr>
                <w:rFonts w:ascii="Arial" w:eastAsia="SimSun" w:hAnsi="Arial" w:cs="Arial"/>
                <w:iCs/>
                <w:sz w:val="18"/>
                <w:szCs w:val="18"/>
              </w:rPr>
            </w:pPr>
            <w:r w:rsidRPr="00E379A8">
              <w:rPr>
                <w:rFonts w:ascii="Arial" w:eastAsia="SimSun" w:hAnsi="Arial" w:cs="Arial"/>
                <w:sz w:val="18"/>
                <w:szCs w:val="18"/>
              </w:rPr>
              <w:t>ms</w:t>
            </w:r>
          </w:p>
        </w:tc>
        <w:tc>
          <w:tcPr>
            <w:tcW w:w="1493" w:type="pct"/>
            <w:shd w:val="clear" w:color="auto" w:fill="auto"/>
          </w:tcPr>
          <w:p w14:paraId="791ABBC0" w14:textId="77777777" w:rsidR="003A71DE" w:rsidRPr="00E379A8" w:rsidRDefault="003A71DE" w:rsidP="003A71DE">
            <w:pPr>
              <w:keepNext/>
              <w:keepLines/>
              <w:spacing w:after="0"/>
              <w:jc w:val="center"/>
              <w:rPr>
                <w:rFonts w:ascii="Arial" w:eastAsia="SimSun" w:hAnsi="Arial" w:cs="Arial"/>
                <w:i/>
                <w:iCs/>
                <w:sz w:val="18"/>
                <w:szCs w:val="18"/>
              </w:rPr>
            </w:pPr>
            <w:r w:rsidRPr="00E379A8">
              <w:rPr>
                <w:rFonts w:ascii="Arial" w:eastAsia="SimSun" w:hAnsi="Arial" w:cs="Arial"/>
                <w:sz w:val="18"/>
                <w:szCs w:val="18"/>
              </w:rPr>
              <w:t>1000</w:t>
            </w:r>
          </w:p>
        </w:tc>
      </w:tr>
      <w:tr w:rsidR="003A71DE" w:rsidRPr="00E379A8" w14:paraId="6378AA79" w14:textId="77777777" w:rsidTr="003A71DE">
        <w:trPr>
          <w:trHeight w:val="164"/>
          <w:jc w:val="center"/>
        </w:trPr>
        <w:tc>
          <w:tcPr>
            <w:tcW w:w="3059" w:type="pct"/>
            <w:gridSpan w:val="2"/>
            <w:shd w:val="clear" w:color="auto" w:fill="auto"/>
          </w:tcPr>
          <w:p w14:paraId="00DD7691"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N310</w:t>
            </w:r>
          </w:p>
        </w:tc>
        <w:tc>
          <w:tcPr>
            <w:tcW w:w="448" w:type="pct"/>
            <w:shd w:val="clear" w:color="auto" w:fill="auto"/>
          </w:tcPr>
          <w:p w14:paraId="4B1A4A6E"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shd w:val="clear" w:color="auto" w:fill="auto"/>
          </w:tcPr>
          <w:p w14:paraId="4AA628D1"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1</w:t>
            </w:r>
          </w:p>
        </w:tc>
      </w:tr>
      <w:tr w:rsidR="003A71DE" w:rsidRPr="00E379A8" w14:paraId="6ACA9BF5" w14:textId="77777777" w:rsidTr="003A71DE">
        <w:trPr>
          <w:trHeight w:val="164"/>
          <w:jc w:val="center"/>
        </w:trPr>
        <w:tc>
          <w:tcPr>
            <w:tcW w:w="3059" w:type="pct"/>
            <w:gridSpan w:val="2"/>
            <w:tcBorders>
              <w:bottom w:val="single" w:sz="4" w:space="0" w:color="auto"/>
            </w:tcBorders>
            <w:shd w:val="clear" w:color="auto" w:fill="auto"/>
          </w:tcPr>
          <w:p w14:paraId="2730C7EA"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N311</w:t>
            </w:r>
          </w:p>
        </w:tc>
        <w:tc>
          <w:tcPr>
            <w:tcW w:w="448" w:type="pct"/>
            <w:tcBorders>
              <w:bottom w:val="single" w:sz="4" w:space="0" w:color="auto"/>
            </w:tcBorders>
            <w:shd w:val="clear" w:color="auto" w:fill="auto"/>
          </w:tcPr>
          <w:p w14:paraId="15721B53"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tcBorders>
              <w:bottom w:val="single" w:sz="4" w:space="0" w:color="auto"/>
            </w:tcBorders>
            <w:shd w:val="clear" w:color="auto" w:fill="auto"/>
          </w:tcPr>
          <w:p w14:paraId="558F0549"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1</w:t>
            </w:r>
          </w:p>
        </w:tc>
      </w:tr>
      <w:tr w:rsidR="003A71DE" w:rsidRPr="00E379A8" w14:paraId="31A15A99" w14:textId="77777777" w:rsidTr="003A71DE">
        <w:trPr>
          <w:trHeight w:val="50"/>
          <w:jc w:val="center"/>
        </w:trPr>
        <w:tc>
          <w:tcPr>
            <w:tcW w:w="1491" w:type="pct"/>
            <w:vMerge w:val="restart"/>
            <w:shd w:val="clear" w:color="auto" w:fill="auto"/>
          </w:tcPr>
          <w:p w14:paraId="79CDE90E"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CSI-RS configuration for CSI reporting</w:t>
            </w:r>
          </w:p>
        </w:tc>
        <w:tc>
          <w:tcPr>
            <w:tcW w:w="1568" w:type="pct"/>
            <w:tcBorders>
              <w:bottom w:val="single" w:sz="4" w:space="0" w:color="auto"/>
            </w:tcBorders>
            <w:shd w:val="clear" w:color="auto" w:fill="auto"/>
          </w:tcPr>
          <w:p w14:paraId="6B72C362"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1</w:t>
            </w:r>
          </w:p>
        </w:tc>
        <w:tc>
          <w:tcPr>
            <w:tcW w:w="448" w:type="pct"/>
            <w:tcBorders>
              <w:bottom w:val="single" w:sz="4" w:space="0" w:color="auto"/>
            </w:tcBorders>
            <w:shd w:val="clear" w:color="auto" w:fill="auto"/>
          </w:tcPr>
          <w:p w14:paraId="2CBE65D6"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tcBorders>
              <w:bottom w:val="single" w:sz="4" w:space="0" w:color="auto"/>
            </w:tcBorders>
            <w:shd w:val="clear" w:color="auto" w:fill="auto"/>
          </w:tcPr>
          <w:p w14:paraId="1F55977D"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CSI-RS.1.1 TDD</w:t>
            </w:r>
          </w:p>
        </w:tc>
      </w:tr>
      <w:tr w:rsidR="003A71DE" w:rsidRPr="00E379A8" w14:paraId="2E51382A" w14:textId="77777777" w:rsidTr="003A71DE">
        <w:trPr>
          <w:trHeight w:val="50"/>
          <w:jc w:val="center"/>
        </w:trPr>
        <w:tc>
          <w:tcPr>
            <w:tcW w:w="1491" w:type="pct"/>
            <w:vMerge/>
            <w:tcBorders>
              <w:bottom w:val="nil"/>
            </w:tcBorders>
            <w:shd w:val="clear" w:color="auto" w:fill="auto"/>
          </w:tcPr>
          <w:p w14:paraId="161D5E4D" w14:textId="77777777" w:rsidR="003A71DE" w:rsidRPr="00E379A8" w:rsidRDefault="003A71DE" w:rsidP="003A71DE">
            <w:pPr>
              <w:keepNext/>
              <w:keepLines/>
              <w:spacing w:after="0"/>
              <w:rPr>
                <w:rFonts w:ascii="Arial" w:eastAsia="SimSun" w:hAnsi="Arial" w:cs="Arial"/>
                <w:sz w:val="18"/>
                <w:szCs w:val="18"/>
              </w:rPr>
            </w:pPr>
          </w:p>
        </w:tc>
        <w:tc>
          <w:tcPr>
            <w:tcW w:w="1568" w:type="pct"/>
            <w:tcBorders>
              <w:top w:val="single" w:sz="4" w:space="0" w:color="auto"/>
            </w:tcBorders>
            <w:shd w:val="clear" w:color="auto" w:fill="auto"/>
          </w:tcPr>
          <w:p w14:paraId="7FB764B8"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Config 2</w:t>
            </w:r>
          </w:p>
        </w:tc>
        <w:tc>
          <w:tcPr>
            <w:tcW w:w="448" w:type="pct"/>
            <w:tcBorders>
              <w:top w:val="single" w:sz="4" w:space="0" w:color="auto"/>
              <w:bottom w:val="nil"/>
            </w:tcBorders>
            <w:shd w:val="clear" w:color="auto" w:fill="auto"/>
          </w:tcPr>
          <w:p w14:paraId="399FE240" w14:textId="77777777" w:rsidR="003A71DE" w:rsidRPr="00E379A8" w:rsidRDefault="003A71DE" w:rsidP="003A71DE">
            <w:pPr>
              <w:keepNext/>
              <w:keepLines/>
              <w:spacing w:after="0"/>
              <w:jc w:val="center"/>
              <w:rPr>
                <w:rFonts w:ascii="Arial" w:eastAsia="SimSun" w:hAnsi="Arial" w:cs="Arial"/>
                <w:sz w:val="18"/>
                <w:szCs w:val="18"/>
              </w:rPr>
            </w:pPr>
          </w:p>
        </w:tc>
        <w:tc>
          <w:tcPr>
            <w:tcW w:w="1493" w:type="pct"/>
            <w:tcBorders>
              <w:top w:val="single" w:sz="4" w:space="0" w:color="auto"/>
            </w:tcBorders>
            <w:shd w:val="clear" w:color="auto" w:fill="auto"/>
          </w:tcPr>
          <w:p w14:paraId="45B79162"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CSI-RS.2.1 TDD</w:t>
            </w:r>
          </w:p>
        </w:tc>
      </w:tr>
      <w:tr w:rsidR="003A71DE" w:rsidRPr="00E379A8" w14:paraId="549C9170" w14:textId="77777777" w:rsidTr="003A71DE">
        <w:trPr>
          <w:trHeight w:val="164"/>
          <w:jc w:val="center"/>
        </w:trPr>
        <w:tc>
          <w:tcPr>
            <w:tcW w:w="3059" w:type="pct"/>
            <w:gridSpan w:val="2"/>
            <w:shd w:val="clear" w:color="auto" w:fill="auto"/>
          </w:tcPr>
          <w:p w14:paraId="7CE47BBF"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T1</w:t>
            </w:r>
          </w:p>
        </w:tc>
        <w:tc>
          <w:tcPr>
            <w:tcW w:w="448" w:type="pct"/>
            <w:shd w:val="clear" w:color="auto" w:fill="auto"/>
          </w:tcPr>
          <w:p w14:paraId="646C3C14"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w:t>
            </w:r>
          </w:p>
        </w:tc>
        <w:tc>
          <w:tcPr>
            <w:tcW w:w="1493" w:type="pct"/>
            <w:shd w:val="clear" w:color="auto" w:fill="auto"/>
          </w:tcPr>
          <w:p w14:paraId="2749C879" w14:textId="77777777" w:rsidR="003A71DE" w:rsidRPr="00762FF4"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0.2</w:t>
            </w:r>
          </w:p>
        </w:tc>
      </w:tr>
      <w:tr w:rsidR="003A71DE" w:rsidRPr="00E379A8" w14:paraId="61AEFED7" w14:textId="77777777" w:rsidTr="003A71DE">
        <w:trPr>
          <w:trHeight w:val="176"/>
          <w:jc w:val="center"/>
        </w:trPr>
        <w:tc>
          <w:tcPr>
            <w:tcW w:w="3059" w:type="pct"/>
            <w:gridSpan w:val="2"/>
            <w:shd w:val="clear" w:color="auto" w:fill="auto"/>
          </w:tcPr>
          <w:p w14:paraId="15845A78"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T2</w:t>
            </w:r>
          </w:p>
        </w:tc>
        <w:tc>
          <w:tcPr>
            <w:tcW w:w="448" w:type="pct"/>
            <w:shd w:val="clear" w:color="auto" w:fill="auto"/>
          </w:tcPr>
          <w:p w14:paraId="118F6CD6"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w:t>
            </w:r>
          </w:p>
        </w:tc>
        <w:tc>
          <w:tcPr>
            <w:tcW w:w="1493" w:type="pct"/>
            <w:shd w:val="clear" w:color="auto" w:fill="auto"/>
          </w:tcPr>
          <w:p w14:paraId="464F0CE8" w14:textId="77777777" w:rsidR="003A71DE" w:rsidRPr="003F2875"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0.2</w:t>
            </w:r>
          </w:p>
        </w:tc>
      </w:tr>
      <w:tr w:rsidR="003A71DE" w:rsidRPr="00E379A8" w14:paraId="23C5FB41" w14:textId="77777777" w:rsidTr="003A71DE">
        <w:trPr>
          <w:trHeight w:val="164"/>
          <w:jc w:val="center"/>
        </w:trPr>
        <w:tc>
          <w:tcPr>
            <w:tcW w:w="3059" w:type="pct"/>
            <w:gridSpan w:val="2"/>
            <w:shd w:val="clear" w:color="auto" w:fill="auto"/>
          </w:tcPr>
          <w:p w14:paraId="117360CA"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T3</w:t>
            </w:r>
          </w:p>
        </w:tc>
        <w:tc>
          <w:tcPr>
            <w:tcW w:w="448" w:type="pct"/>
            <w:shd w:val="clear" w:color="auto" w:fill="auto"/>
          </w:tcPr>
          <w:p w14:paraId="1254E154"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w:t>
            </w:r>
          </w:p>
        </w:tc>
        <w:tc>
          <w:tcPr>
            <w:tcW w:w="1493" w:type="pct"/>
            <w:shd w:val="clear" w:color="auto" w:fill="auto"/>
          </w:tcPr>
          <w:p w14:paraId="5D5512FA" w14:textId="77777777" w:rsidR="003A71DE" w:rsidRPr="003F2875"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0.44</w:t>
            </w:r>
          </w:p>
        </w:tc>
      </w:tr>
      <w:tr w:rsidR="003A71DE" w:rsidRPr="00E379A8" w14:paraId="34C3C72F" w14:textId="77777777" w:rsidTr="003A71DE">
        <w:trPr>
          <w:trHeight w:val="164"/>
          <w:jc w:val="center"/>
        </w:trPr>
        <w:tc>
          <w:tcPr>
            <w:tcW w:w="3059" w:type="pct"/>
            <w:gridSpan w:val="2"/>
            <w:shd w:val="clear" w:color="auto" w:fill="auto"/>
          </w:tcPr>
          <w:p w14:paraId="7D44BECE"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T4</w:t>
            </w:r>
          </w:p>
        </w:tc>
        <w:tc>
          <w:tcPr>
            <w:tcW w:w="448" w:type="pct"/>
            <w:shd w:val="clear" w:color="auto" w:fill="auto"/>
          </w:tcPr>
          <w:p w14:paraId="5158EF01"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w:t>
            </w:r>
          </w:p>
        </w:tc>
        <w:tc>
          <w:tcPr>
            <w:tcW w:w="1493" w:type="pct"/>
            <w:shd w:val="clear" w:color="auto" w:fill="auto"/>
          </w:tcPr>
          <w:p w14:paraId="5BD5D11A" w14:textId="77777777" w:rsidR="003A71DE" w:rsidRPr="003F2875"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0.2</w:t>
            </w:r>
          </w:p>
        </w:tc>
      </w:tr>
      <w:tr w:rsidR="003A71DE" w:rsidRPr="00E379A8" w14:paraId="3F935AC4" w14:textId="77777777" w:rsidTr="003A71DE">
        <w:trPr>
          <w:trHeight w:val="164"/>
          <w:jc w:val="center"/>
        </w:trPr>
        <w:tc>
          <w:tcPr>
            <w:tcW w:w="3059" w:type="pct"/>
            <w:gridSpan w:val="2"/>
            <w:shd w:val="clear" w:color="auto" w:fill="auto"/>
          </w:tcPr>
          <w:p w14:paraId="55BD2FC3" w14:textId="77777777" w:rsidR="003A71DE" w:rsidRPr="00E379A8" w:rsidRDefault="003A71DE" w:rsidP="003A71DE">
            <w:pPr>
              <w:keepNext/>
              <w:keepLines/>
              <w:spacing w:after="0"/>
              <w:rPr>
                <w:rFonts w:ascii="Arial" w:eastAsia="SimSun" w:hAnsi="Arial" w:cs="Arial"/>
                <w:sz w:val="18"/>
                <w:szCs w:val="18"/>
              </w:rPr>
            </w:pPr>
            <w:r w:rsidRPr="00E379A8">
              <w:rPr>
                <w:rFonts w:ascii="Arial" w:eastAsia="SimSun" w:hAnsi="Arial" w:cs="Arial"/>
                <w:sz w:val="18"/>
                <w:szCs w:val="18"/>
              </w:rPr>
              <w:t>T5</w:t>
            </w:r>
          </w:p>
        </w:tc>
        <w:tc>
          <w:tcPr>
            <w:tcW w:w="448" w:type="pct"/>
            <w:shd w:val="clear" w:color="auto" w:fill="auto"/>
          </w:tcPr>
          <w:p w14:paraId="55DE35F0" w14:textId="77777777" w:rsidR="003A71DE" w:rsidRPr="00E379A8" w:rsidRDefault="003A71DE" w:rsidP="003A71DE">
            <w:pPr>
              <w:keepNext/>
              <w:keepLines/>
              <w:spacing w:after="0"/>
              <w:jc w:val="center"/>
              <w:rPr>
                <w:rFonts w:ascii="Arial" w:eastAsia="SimSun" w:hAnsi="Arial" w:cs="Arial"/>
                <w:sz w:val="18"/>
                <w:szCs w:val="18"/>
              </w:rPr>
            </w:pPr>
            <w:r w:rsidRPr="00E379A8">
              <w:rPr>
                <w:rFonts w:ascii="Arial" w:eastAsia="SimSun" w:hAnsi="Arial" w:cs="Arial"/>
                <w:sz w:val="18"/>
                <w:szCs w:val="18"/>
              </w:rPr>
              <w:t>s</w:t>
            </w:r>
          </w:p>
        </w:tc>
        <w:tc>
          <w:tcPr>
            <w:tcW w:w="1493" w:type="pct"/>
            <w:shd w:val="clear" w:color="auto" w:fill="auto"/>
          </w:tcPr>
          <w:p w14:paraId="48C819D2" w14:textId="77777777" w:rsidR="003A71DE" w:rsidRPr="003F2875"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0.88</w:t>
            </w:r>
          </w:p>
        </w:tc>
      </w:tr>
      <w:tr w:rsidR="003A71DE" w:rsidRPr="00065773" w14:paraId="1D1EF7C2" w14:textId="77777777" w:rsidTr="003A71DE">
        <w:trPr>
          <w:trHeight w:val="164"/>
          <w:jc w:val="center"/>
        </w:trPr>
        <w:tc>
          <w:tcPr>
            <w:tcW w:w="3059" w:type="pct"/>
            <w:gridSpan w:val="2"/>
            <w:shd w:val="clear" w:color="auto" w:fill="auto"/>
          </w:tcPr>
          <w:p w14:paraId="130DE401" w14:textId="77777777" w:rsidR="003A71DE" w:rsidRPr="00065773" w:rsidRDefault="003A71DE" w:rsidP="003A71DE">
            <w:pPr>
              <w:keepNext/>
              <w:keepLines/>
              <w:spacing w:after="0"/>
              <w:rPr>
                <w:rFonts w:ascii="Arial" w:eastAsia="SimSun" w:hAnsi="Arial" w:cs="Arial"/>
                <w:sz w:val="18"/>
                <w:szCs w:val="18"/>
              </w:rPr>
            </w:pPr>
            <w:r w:rsidRPr="00065773">
              <w:rPr>
                <w:rFonts w:ascii="Arial" w:eastAsia="SimSun" w:hAnsi="Arial" w:cs="Arial"/>
                <w:sz w:val="18"/>
                <w:szCs w:val="18"/>
              </w:rPr>
              <w:t>T6</w:t>
            </w:r>
          </w:p>
        </w:tc>
        <w:tc>
          <w:tcPr>
            <w:tcW w:w="448" w:type="pct"/>
            <w:shd w:val="clear" w:color="auto" w:fill="auto"/>
          </w:tcPr>
          <w:p w14:paraId="16F0A2D4" w14:textId="77777777" w:rsidR="003A71DE" w:rsidRPr="00065773"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s</w:t>
            </w:r>
          </w:p>
        </w:tc>
        <w:tc>
          <w:tcPr>
            <w:tcW w:w="1493" w:type="pct"/>
            <w:shd w:val="clear" w:color="auto" w:fill="auto"/>
          </w:tcPr>
          <w:p w14:paraId="28A355CA" w14:textId="77777777" w:rsidR="003A71DE" w:rsidRPr="008C4C2D" w:rsidRDefault="003A71DE" w:rsidP="003A71DE">
            <w:pPr>
              <w:keepNext/>
              <w:keepLines/>
              <w:spacing w:after="0"/>
              <w:jc w:val="center"/>
              <w:rPr>
                <w:rFonts w:ascii="Arial" w:eastAsia="SimSun" w:hAnsi="Arial" w:cs="Arial"/>
                <w:sz w:val="18"/>
                <w:szCs w:val="18"/>
              </w:rPr>
            </w:pPr>
            <w:r>
              <w:rPr>
                <w:rFonts w:ascii="Arial" w:eastAsia="SimSun" w:hAnsi="Arial" w:cs="Arial"/>
                <w:sz w:val="18"/>
                <w:szCs w:val="18"/>
              </w:rPr>
              <w:t>0.84</w:t>
            </w:r>
          </w:p>
        </w:tc>
      </w:tr>
      <w:tr w:rsidR="003A71DE" w:rsidRPr="00E379A8" w14:paraId="30C810FC" w14:textId="77777777" w:rsidTr="003A71DE">
        <w:trPr>
          <w:trHeight w:val="50"/>
          <w:jc w:val="center"/>
        </w:trPr>
        <w:tc>
          <w:tcPr>
            <w:tcW w:w="5000" w:type="pct"/>
            <w:gridSpan w:val="4"/>
          </w:tcPr>
          <w:p w14:paraId="48138AFE" w14:textId="77777777" w:rsidR="003A71DE" w:rsidRPr="00E379A8" w:rsidRDefault="003A71DE" w:rsidP="00A40F90">
            <w:pPr>
              <w:pStyle w:val="TAN"/>
              <w:rPr>
                <w:rFonts w:eastAsia="SimSun"/>
              </w:rPr>
            </w:pPr>
            <w:r w:rsidRPr="00E379A8">
              <w:rPr>
                <w:rFonts w:eastAsia="SimSun"/>
              </w:rPr>
              <w:t>Note 1:</w:t>
            </w:r>
            <w:r w:rsidRPr="00E379A8">
              <w:rPr>
                <w:rFonts w:eastAsia="SimSun"/>
              </w:rPr>
              <w:tab/>
              <w:t>IAB-MT-specific PDCCH is not transmitted after T1 starts.</w:t>
            </w:r>
          </w:p>
        </w:tc>
      </w:tr>
    </w:tbl>
    <w:p w14:paraId="06405DCE" w14:textId="77777777" w:rsidR="003A71DE" w:rsidRPr="003F24A0" w:rsidRDefault="003A71DE" w:rsidP="003A71DE">
      <w:pPr>
        <w:rPr>
          <w:rFonts w:eastAsia="SimSun"/>
        </w:rPr>
      </w:pPr>
    </w:p>
    <w:p w14:paraId="6E5B5B89" w14:textId="77777777" w:rsidR="003A71DE" w:rsidRPr="003F24A0" w:rsidDel="00255D77" w:rsidRDefault="003A71DE" w:rsidP="00746C0D">
      <w:pPr>
        <w:pStyle w:val="TH"/>
        <w:rPr>
          <w:rFonts w:eastAsia="SimSun"/>
        </w:rPr>
      </w:pPr>
      <w:r w:rsidRPr="003F24A0">
        <w:rPr>
          <w:rFonts w:eastAsia="SimSun"/>
        </w:rPr>
        <w:t xml:space="preserve">Table </w:t>
      </w:r>
      <w:r>
        <w:rPr>
          <w:rFonts w:eastAsia="SimSun"/>
        </w:rPr>
        <w:t>G.2.3.1.6</w:t>
      </w:r>
      <w:r w:rsidRPr="003F24A0">
        <w:rPr>
          <w:rFonts w:eastAsia="SimSun"/>
        </w:rPr>
        <w:t>.1-3: Cell specific test parameters for FR1 for CSI-RS in-sync radio link monitoring in non-DRX</w:t>
      </w:r>
    </w:p>
    <w:tbl>
      <w:tblPr>
        <w:tblW w:w="9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3"/>
        <w:gridCol w:w="1276"/>
        <w:gridCol w:w="1276"/>
        <w:gridCol w:w="803"/>
        <w:gridCol w:w="1031"/>
        <w:gridCol w:w="1031"/>
        <w:gridCol w:w="1031"/>
        <w:gridCol w:w="1031"/>
      </w:tblGrid>
      <w:tr w:rsidR="003A71DE" w:rsidRPr="00735CC0" w14:paraId="0ECFFB03" w14:textId="77777777" w:rsidTr="003A71DE">
        <w:trPr>
          <w:cantSplit/>
          <w:trHeight w:val="169"/>
          <w:jc w:val="center"/>
        </w:trPr>
        <w:tc>
          <w:tcPr>
            <w:tcW w:w="3539" w:type="dxa"/>
            <w:gridSpan w:val="2"/>
            <w:tcBorders>
              <w:top w:val="single" w:sz="4" w:space="0" w:color="auto"/>
              <w:left w:val="single" w:sz="4" w:space="0" w:color="auto"/>
              <w:bottom w:val="nil"/>
            </w:tcBorders>
            <w:shd w:val="clear" w:color="auto" w:fill="auto"/>
          </w:tcPr>
          <w:p w14:paraId="41D37D59" w14:textId="77777777" w:rsidR="003A71DE" w:rsidRPr="00735CC0" w:rsidRDefault="003A71DE" w:rsidP="00A40F90">
            <w:pPr>
              <w:pStyle w:val="TAH"/>
              <w:rPr>
                <w:rFonts w:eastAsia="SimSun"/>
              </w:rPr>
            </w:pPr>
            <w:r w:rsidRPr="00735CC0">
              <w:rPr>
                <w:rFonts w:eastAsia="SimSun"/>
              </w:rPr>
              <w:t>Parameter</w:t>
            </w:r>
          </w:p>
        </w:tc>
        <w:tc>
          <w:tcPr>
            <w:tcW w:w="1276" w:type="dxa"/>
            <w:tcBorders>
              <w:top w:val="single" w:sz="4" w:space="0" w:color="auto"/>
              <w:bottom w:val="nil"/>
            </w:tcBorders>
            <w:shd w:val="clear" w:color="auto" w:fill="auto"/>
          </w:tcPr>
          <w:p w14:paraId="697C8C6E" w14:textId="77777777" w:rsidR="003A71DE" w:rsidRPr="00735CC0" w:rsidRDefault="003A71DE" w:rsidP="00A40F90">
            <w:pPr>
              <w:pStyle w:val="TAH"/>
              <w:rPr>
                <w:rFonts w:eastAsia="SimSun"/>
              </w:rPr>
            </w:pPr>
            <w:r w:rsidRPr="00735CC0">
              <w:rPr>
                <w:rFonts w:eastAsia="SimSun"/>
              </w:rPr>
              <w:t>Unit</w:t>
            </w:r>
          </w:p>
        </w:tc>
        <w:tc>
          <w:tcPr>
            <w:tcW w:w="4927" w:type="dxa"/>
            <w:gridSpan w:val="5"/>
            <w:tcBorders>
              <w:top w:val="single" w:sz="4" w:space="0" w:color="auto"/>
            </w:tcBorders>
          </w:tcPr>
          <w:p w14:paraId="6A2454A4" w14:textId="77777777" w:rsidR="003A71DE" w:rsidRPr="00735CC0" w:rsidRDefault="003A71DE" w:rsidP="00A40F90">
            <w:pPr>
              <w:pStyle w:val="TAH"/>
              <w:rPr>
                <w:rFonts w:eastAsia="SimSun"/>
              </w:rPr>
            </w:pPr>
            <w:r w:rsidRPr="00735CC0">
              <w:rPr>
                <w:rFonts w:eastAsia="SimSun"/>
              </w:rPr>
              <w:t>Test 1</w:t>
            </w:r>
          </w:p>
        </w:tc>
      </w:tr>
      <w:tr w:rsidR="003A71DE" w:rsidRPr="00735CC0" w14:paraId="4429C6D7" w14:textId="77777777" w:rsidTr="003A71DE">
        <w:trPr>
          <w:cantSplit/>
          <w:trHeight w:val="191"/>
          <w:jc w:val="center"/>
        </w:trPr>
        <w:tc>
          <w:tcPr>
            <w:tcW w:w="3539" w:type="dxa"/>
            <w:gridSpan w:val="2"/>
            <w:tcBorders>
              <w:top w:val="nil"/>
              <w:left w:val="single" w:sz="4" w:space="0" w:color="auto"/>
              <w:bottom w:val="single" w:sz="4" w:space="0" w:color="auto"/>
            </w:tcBorders>
            <w:shd w:val="clear" w:color="auto" w:fill="auto"/>
          </w:tcPr>
          <w:p w14:paraId="5BDD56FD" w14:textId="77777777" w:rsidR="003A71DE" w:rsidRPr="00735CC0" w:rsidRDefault="003A71DE" w:rsidP="00A40F90">
            <w:pPr>
              <w:pStyle w:val="TAH"/>
              <w:rPr>
                <w:rFonts w:eastAsia="SimSun"/>
              </w:rPr>
            </w:pPr>
          </w:p>
        </w:tc>
        <w:tc>
          <w:tcPr>
            <w:tcW w:w="1276" w:type="dxa"/>
            <w:tcBorders>
              <w:top w:val="nil"/>
              <w:bottom w:val="single" w:sz="4" w:space="0" w:color="auto"/>
            </w:tcBorders>
            <w:shd w:val="clear" w:color="auto" w:fill="auto"/>
          </w:tcPr>
          <w:p w14:paraId="555F0AE4" w14:textId="77777777" w:rsidR="003A71DE" w:rsidRPr="00735CC0" w:rsidRDefault="003A71DE" w:rsidP="00A40F90">
            <w:pPr>
              <w:pStyle w:val="TAH"/>
              <w:rPr>
                <w:rFonts w:eastAsia="SimSun"/>
              </w:rPr>
            </w:pPr>
          </w:p>
        </w:tc>
        <w:tc>
          <w:tcPr>
            <w:tcW w:w="803" w:type="dxa"/>
            <w:tcBorders>
              <w:bottom w:val="single" w:sz="4" w:space="0" w:color="auto"/>
            </w:tcBorders>
          </w:tcPr>
          <w:p w14:paraId="3A31A4A5" w14:textId="77777777" w:rsidR="003A71DE" w:rsidRPr="00735CC0" w:rsidRDefault="003A71DE" w:rsidP="00A40F90">
            <w:pPr>
              <w:pStyle w:val="TAH"/>
              <w:rPr>
                <w:rFonts w:eastAsia="SimSun"/>
              </w:rPr>
            </w:pPr>
            <w:r w:rsidRPr="00735CC0">
              <w:rPr>
                <w:rFonts w:eastAsia="SimSun"/>
              </w:rPr>
              <w:t>T1</w:t>
            </w:r>
          </w:p>
        </w:tc>
        <w:tc>
          <w:tcPr>
            <w:tcW w:w="1031" w:type="dxa"/>
            <w:tcBorders>
              <w:bottom w:val="single" w:sz="4" w:space="0" w:color="auto"/>
            </w:tcBorders>
          </w:tcPr>
          <w:p w14:paraId="1D86234A" w14:textId="77777777" w:rsidR="003A71DE" w:rsidRPr="00735CC0" w:rsidRDefault="003A71DE" w:rsidP="00A40F90">
            <w:pPr>
              <w:pStyle w:val="TAH"/>
              <w:rPr>
                <w:rFonts w:eastAsia="SimSun"/>
              </w:rPr>
            </w:pPr>
            <w:r w:rsidRPr="00735CC0">
              <w:rPr>
                <w:rFonts w:eastAsia="SimSun"/>
              </w:rPr>
              <w:t>T2</w:t>
            </w:r>
          </w:p>
        </w:tc>
        <w:tc>
          <w:tcPr>
            <w:tcW w:w="1031" w:type="dxa"/>
            <w:tcBorders>
              <w:bottom w:val="single" w:sz="4" w:space="0" w:color="auto"/>
            </w:tcBorders>
          </w:tcPr>
          <w:p w14:paraId="3E047D17" w14:textId="77777777" w:rsidR="003A71DE" w:rsidRPr="00735CC0" w:rsidRDefault="003A71DE" w:rsidP="00A40F90">
            <w:pPr>
              <w:pStyle w:val="TAH"/>
              <w:rPr>
                <w:rFonts w:eastAsia="SimSun"/>
              </w:rPr>
            </w:pPr>
            <w:r w:rsidRPr="00735CC0">
              <w:rPr>
                <w:rFonts w:eastAsia="SimSun"/>
              </w:rPr>
              <w:t>T3</w:t>
            </w:r>
          </w:p>
        </w:tc>
        <w:tc>
          <w:tcPr>
            <w:tcW w:w="1031" w:type="dxa"/>
            <w:tcBorders>
              <w:bottom w:val="single" w:sz="4" w:space="0" w:color="auto"/>
            </w:tcBorders>
          </w:tcPr>
          <w:p w14:paraId="4D3F9F77" w14:textId="77777777" w:rsidR="003A71DE" w:rsidRPr="00735CC0" w:rsidRDefault="003A71DE" w:rsidP="00A40F90">
            <w:pPr>
              <w:pStyle w:val="TAH"/>
              <w:rPr>
                <w:rFonts w:eastAsia="SimSun"/>
              </w:rPr>
            </w:pPr>
            <w:r w:rsidRPr="00735CC0">
              <w:rPr>
                <w:rFonts w:eastAsia="SimSun"/>
              </w:rPr>
              <w:t>T4</w:t>
            </w:r>
          </w:p>
        </w:tc>
        <w:tc>
          <w:tcPr>
            <w:tcW w:w="1031" w:type="dxa"/>
            <w:tcBorders>
              <w:bottom w:val="single" w:sz="4" w:space="0" w:color="auto"/>
            </w:tcBorders>
          </w:tcPr>
          <w:p w14:paraId="1CD57658" w14:textId="77777777" w:rsidR="003A71DE" w:rsidRPr="00735CC0" w:rsidRDefault="003A71DE" w:rsidP="00A40F90">
            <w:pPr>
              <w:pStyle w:val="TAH"/>
              <w:rPr>
                <w:rFonts w:eastAsia="SimSun"/>
              </w:rPr>
            </w:pPr>
            <w:r w:rsidRPr="00735CC0">
              <w:rPr>
                <w:rFonts w:eastAsia="SimSun"/>
              </w:rPr>
              <w:t>T5</w:t>
            </w:r>
          </w:p>
        </w:tc>
      </w:tr>
      <w:tr w:rsidR="003A71DE" w:rsidRPr="00735CC0" w14:paraId="07BCAD57" w14:textId="77777777" w:rsidTr="003A71DE">
        <w:trPr>
          <w:cantSplit/>
          <w:trHeight w:val="169"/>
          <w:jc w:val="center"/>
        </w:trPr>
        <w:tc>
          <w:tcPr>
            <w:tcW w:w="3539" w:type="dxa"/>
            <w:gridSpan w:val="2"/>
            <w:tcBorders>
              <w:left w:val="single" w:sz="4" w:space="0" w:color="auto"/>
              <w:bottom w:val="single" w:sz="4" w:space="0" w:color="auto"/>
            </w:tcBorders>
          </w:tcPr>
          <w:p w14:paraId="11BDFAC7"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PDCCH_beta</w:t>
            </w:r>
          </w:p>
        </w:tc>
        <w:tc>
          <w:tcPr>
            <w:tcW w:w="1276" w:type="dxa"/>
            <w:tcBorders>
              <w:bottom w:val="single" w:sz="4" w:space="0" w:color="auto"/>
            </w:tcBorders>
          </w:tcPr>
          <w:p w14:paraId="404A6182"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shd w:val="clear" w:color="auto" w:fill="auto"/>
          </w:tcPr>
          <w:p w14:paraId="008BA16E"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4</w:t>
            </w:r>
          </w:p>
        </w:tc>
      </w:tr>
      <w:tr w:rsidR="003A71DE" w:rsidRPr="00735CC0" w14:paraId="0F850C97" w14:textId="77777777" w:rsidTr="003A71DE">
        <w:trPr>
          <w:cantSplit/>
          <w:trHeight w:val="180"/>
          <w:jc w:val="center"/>
        </w:trPr>
        <w:tc>
          <w:tcPr>
            <w:tcW w:w="3539" w:type="dxa"/>
            <w:gridSpan w:val="2"/>
            <w:tcBorders>
              <w:left w:val="single" w:sz="4" w:space="0" w:color="auto"/>
              <w:bottom w:val="single" w:sz="4" w:space="0" w:color="auto"/>
            </w:tcBorders>
          </w:tcPr>
          <w:p w14:paraId="6C5294CE"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PDCCH_DMRS_beta</w:t>
            </w:r>
          </w:p>
        </w:tc>
        <w:tc>
          <w:tcPr>
            <w:tcW w:w="1276" w:type="dxa"/>
            <w:tcBorders>
              <w:bottom w:val="single" w:sz="4" w:space="0" w:color="auto"/>
            </w:tcBorders>
          </w:tcPr>
          <w:p w14:paraId="3723A300"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Borders>
              <w:bottom w:val="single" w:sz="4" w:space="0" w:color="auto"/>
            </w:tcBorders>
            <w:shd w:val="clear" w:color="auto" w:fill="auto"/>
          </w:tcPr>
          <w:p w14:paraId="6D31187B"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4</w:t>
            </w:r>
          </w:p>
        </w:tc>
      </w:tr>
      <w:tr w:rsidR="003A71DE" w:rsidRPr="00735CC0" w14:paraId="5E0CD83F" w14:textId="77777777" w:rsidTr="003A71DE">
        <w:trPr>
          <w:cantSplit/>
          <w:trHeight w:val="169"/>
          <w:jc w:val="center"/>
        </w:trPr>
        <w:tc>
          <w:tcPr>
            <w:tcW w:w="3539" w:type="dxa"/>
            <w:gridSpan w:val="2"/>
            <w:tcBorders>
              <w:left w:val="single" w:sz="4" w:space="0" w:color="auto"/>
              <w:bottom w:val="single" w:sz="4" w:space="0" w:color="auto"/>
            </w:tcBorders>
          </w:tcPr>
          <w:p w14:paraId="7E40B187"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PBCH_beta</w:t>
            </w:r>
          </w:p>
        </w:tc>
        <w:tc>
          <w:tcPr>
            <w:tcW w:w="1276" w:type="dxa"/>
            <w:tcBorders>
              <w:bottom w:val="single" w:sz="4" w:space="0" w:color="auto"/>
            </w:tcBorders>
          </w:tcPr>
          <w:p w14:paraId="12E77C7C"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Borders>
              <w:bottom w:val="nil"/>
            </w:tcBorders>
            <w:shd w:val="clear" w:color="auto" w:fill="auto"/>
          </w:tcPr>
          <w:p w14:paraId="559F5F03"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0</w:t>
            </w:r>
          </w:p>
        </w:tc>
      </w:tr>
      <w:tr w:rsidR="003A71DE" w:rsidRPr="00735CC0" w14:paraId="34F033F6" w14:textId="77777777" w:rsidTr="003A71DE">
        <w:trPr>
          <w:cantSplit/>
          <w:trHeight w:val="169"/>
          <w:jc w:val="center"/>
        </w:trPr>
        <w:tc>
          <w:tcPr>
            <w:tcW w:w="3539" w:type="dxa"/>
            <w:gridSpan w:val="2"/>
            <w:tcBorders>
              <w:left w:val="single" w:sz="4" w:space="0" w:color="auto"/>
              <w:bottom w:val="single" w:sz="4" w:space="0" w:color="auto"/>
            </w:tcBorders>
          </w:tcPr>
          <w:p w14:paraId="2DD0C0C7"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PSS_beta</w:t>
            </w:r>
          </w:p>
        </w:tc>
        <w:tc>
          <w:tcPr>
            <w:tcW w:w="1276" w:type="dxa"/>
            <w:tcBorders>
              <w:bottom w:val="single" w:sz="4" w:space="0" w:color="auto"/>
            </w:tcBorders>
          </w:tcPr>
          <w:p w14:paraId="3C806E9B"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Borders>
              <w:top w:val="nil"/>
              <w:bottom w:val="nil"/>
            </w:tcBorders>
            <w:shd w:val="clear" w:color="auto" w:fill="auto"/>
          </w:tcPr>
          <w:p w14:paraId="262001C2" w14:textId="77777777" w:rsidR="003A71DE" w:rsidRPr="00735CC0" w:rsidRDefault="003A71DE" w:rsidP="003A71DE">
            <w:pPr>
              <w:keepNext/>
              <w:keepLines/>
              <w:spacing w:after="0"/>
              <w:jc w:val="center"/>
              <w:rPr>
                <w:rFonts w:ascii="Arial" w:eastAsia="SimSun" w:hAnsi="Arial" w:cs="Arial"/>
                <w:sz w:val="18"/>
                <w:szCs w:val="18"/>
              </w:rPr>
            </w:pPr>
          </w:p>
        </w:tc>
      </w:tr>
      <w:tr w:rsidR="003A71DE" w:rsidRPr="00735CC0" w14:paraId="0F8FFCAB" w14:textId="77777777" w:rsidTr="003A71DE">
        <w:trPr>
          <w:cantSplit/>
          <w:trHeight w:val="180"/>
          <w:jc w:val="center"/>
        </w:trPr>
        <w:tc>
          <w:tcPr>
            <w:tcW w:w="3539" w:type="dxa"/>
            <w:gridSpan w:val="2"/>
            <w:tcBorders>
              <w:left w:val="single" w:sz="4" w:space="0" w:color="auto"/>
              <w:bottom w:val="single" w:sz="4" w:space="0" w:color="auto"/>
            </w:tcBorders>
          </w:tcPr>
          <w:p w14:paraId="7E063EF4"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SSS_beta</w:t>
            </w:r>
          </w:p>
        </w:tc>
        <w:tc>
          <w:tcPr>
            <w:tcW w:w="1276" w:type="dxa"/>
            <w:tcBorders>
              <w:bottom w:val="single" w:sz="4" w:space="0" w:color="auto"/>
            </w:tcBorders>
          </w:tcPr>
          <w:p w14:paraId="50AA07A2"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Borders>
              <w:top w:val="nil"/>
              <w:bottom w:val="nil"/>
            </w:tcBorders>
            <w:shd w:val="clear" w:color="auto" w:fill="auto"/>
          </w:tcPr>
          <w:p w14:paraId="25F3A865" w14:textId="77777777" w:rsidR="003A71DE" w:rsidRPr="00735CC0" w:rsidRDefault="003A71DE" w:rsidP="003A71DE">
            <w:pPr>
              <w:keepNext/>
              <w:keepLines/>
              <w:spacing w:after="0"/>
              <w:jc w:val="center"/>
              <w:rPr>
                <w:rFonts w:ascii="Arial" w:eastAsia="SimSun" w:hAnsi="Arial" w:cs="Arial"/>
                <w:sz w:val="18"/>
                <w:szCs w:val="18"/>
              </w:rPr>
            </w:pPr>
          </w:p>
        </w:tc>
      </w:tr>
      <w:tr w:rsidR="003A71DE" w:rsidRPr="00735CC0" w14:paraId="23C263FD" w14:textId="77777777" w:rsidTr="003A71DE">
        <w:trPr>
          <w:cantSplit/>
          <w:trHeight w:val="169"/>
          <w:jc w:val="center"/>
        </w:trPr>
        <w:tc>
          <w:tcPr>
            <w:tcW w:w="3539" w:type="dxa"/>
            <w:gridSpan w:val="2"/>
            <w:tcBorders>
              <w:left w:val="single" w:sz="4" w:space="0" w:color="auto"/>
              <w:bottom w:val="single" w:sz="4" w:space="0" w:color="auto"/>
            </w:tcBorders>
          </w:tcPr>
          <w:p w14:paraId="21DCD4A9"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PDSCH_beta</w:t>
            </w:r>
          </w:p>
        </w:tc>
        <w:tc>
          <w:tcPr>
            <w:tcW w:w="1276" w:type="dxa"/>
            <w:tcBorders>
              <w:bottom w:val="single" w:sz="4" w:space="0" w:color="auto"/>
            </w:tcBorders>
          </w:tcPr>
          <w:p w14:paraId="2FD71523"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Borders>
              <w:top w:val="nil"/>
              <w:bottom w:val="nil"/>
            </w:tcBorders>
            <w:shd w:val="clear" w:color="auto" w:fill="auto"/>
          </w:tcPr>
          <w:p w14:paraId="6952ACF7" w14:textId="77777777" w:rsidR="003A71DE" w:rsidRPr="00735CC0" w:rsidRDefault="003A71DE" w:rsidP="003A71DE">
            <w:pPr>
              <w:keepNext/>
              <w:keepLines/>
              <w:spacing w:after="0"/>
              <w:jc w:val="center"/>
              <w:rPr>
                <w:rFonts w:ascii="Arial" w:eastAsia="SimSun" w:hAnsi="Arial" w:cs="Arial"/>
                <w:sz w:val="18"/>
                <w:szCs w:val="18"/>
              </w:rPr>
            </w:pPr>
          </w:p>
        </w:tc>
      </w:tr>
      <w:tr w:rsidR="003A71DE" w:rsidRPr="00735CC0" w14:paraId="489E1D42" w14:textId="77777777" w:rsidTr="003A71DE">
        <w:trPr>
          <w:cantSplit/>
          <w:trHeight w:val="169"/>
          <w:jc w:val="center"/>
        </w:trPr>
        <w:tc>
          <w:tcPr>
            <w:tcW w:w="3539" w:type="dxa"/>
            <w:gridSpan w:val="2"/>
            <w:tcBorders>
              <w:left w:val="single" w:sz="4" w:space="0" w:color="auto"/>
              <w:bottom w:val="single" w:sz="4" w:space="0" w:color="auto"/>
            </w:tcBorders>
            <w:vAlign w:val="center"/>
          </w:tcPr>
          <w:p w14:paraId="738295BB"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OCNG_beta</w:t>
            </w:r>
          </w:p>
        </w:tc>
        <w:tc>
          <w:tcPr>
            <w:tcW w:w="1276" w:type="dxa"/>
            <w:tcBorders>
              <w:bottom w:val="single" w:sz="4" w:space="0" w:color="auto"/>
            </w:tcBorders>
          </w:tcPr>
          <w:p w14:paraId="73B7294E"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Borders>
              <w:top w:val="nil"/>
            </w:tcBorders>
            <w:shd w:val="clear" w:color="auto" w:fill="auto"/>
          </w:tcPr>
          <w:p w14:paraId="54B897A3" w14:textId="77777777" w:rsidR="003A71DE" w:rsidRPr="00735CC0" w:rsidRDefault="003A71DE" w:rsidP="003A71DE">
            <w:pPr>
              <w:keepNext/>
              <w:keepLines/>
              <w:spacing w:after="0"/>
              <w:jc w:val="center"/>
              <w:rPr>
                <w:rFonts w:ascii="Arial" w:eastAsia="SimSun" w:hAnsi="Arial" w:cs="Arial"/>
                <w:sz w:val="18"/>
                <w:szCs w:val="18"/>
              </w:rPr>
            </w:pPr>
          </w:p>
        </w:tc>
      </w:tr>
      <w:tr w:rsidR="003A71DE" w:rsidRPr="00735CC0" w14:paraId="2E153772" w14:textId="77777777" w:rsidTr="003A71DE">
        <w:trPr>
          <w:cantSplit/>
          <w:trHeight w:val="185"/>
          <w:jc w:val="center"/>
        </w:trPr>
        <w:tc>
          <w:tcPr>
            <w:tcW w:w="2263" w:type="dxa"/>
            <w:tcBorders>
              <w:bottom w:val="nil"/>
            </w:tcBorders>
            <w:shd w:val="clear" w:color="auto" w:fill="auto"/>
          </w:tcPr>
          <w:p w14:paraId="74D54D08"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SNR on RLM-RS</w:t>
            </w:r>
          </w:p>
        </w:tc>
        <w:tc>
          <w:tcPr>
            <w:tcW w:w="1276" w:type="dxa"/>
          </w:tcPr>
          <w:p w14:paraId="35F926DD"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Config 1, 2</w:t>
            </w:r>
          </w:p>
        </w:tc>
        <w:tc>
          <w:tcPr>
            <w:tcW w:w="1276" w:type="dxa"/>
            <w:tcBorders>
              <w:bottom w:val="nil"/>
            </w:tcBorders>
            <w:shd w:val="clear" w:color="auto" w:fill="auto"/>
          </w:tcPr>
          <w:p w14:paraId="3254C8F9"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803" w:type="dxa"/>
          </w:tcPr>
          <w:p w14:paraId="79AEC661"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1</w:t>
            </w:r>
          </w:p>
        </w:tc>
        <w:tc>
          <w:tcPr>
            <w:tcW w:w="1031" w:type="dxa"/>
          </w:tcPr>
          <w:p w14:paraId="40FD73D8"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-7</w:t>
            </w:r>
          </w:p>
        </w:tc>
        <w:tc>
          <w:tcPr>
            <w:tcW w:w="1031" w:type="dxa"/>
          </w:tcPr>
          <w:p w14:paraId="56520201"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-15</w:t>
            </w:r>
          </w:p>
        </w:tc>
        <w:tc>
          <w:tcPr>
            <w:tcW w:w="1031" w:type="dxa"/>
          </w:tcPr>
          <w:p w14:paraId="2323C6B8"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-4.5</w:t>
            </w:r>
          </w:p>
        </w:tc>
        <w:tc>
          <w:tcPr>
            <w:tcW w:w="1031" w:type="dxa"/>
          </w:tcPr>
          <w:p w14:paraId="2E8B38F7"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1</w:t>
            </w:r>
          </w:p>
        </w:tc>
      </w:tr>
      <w:tr w:rsidR="003A71DE" w:rsidRPr="00735CC0" w14:paraId="041B219D" w14:textId="77777777" w:rsidTr="003A71DE">
        <w:trPr>
          <w:cantSplit/>
          <w:trHeight w:val="135"/>
          <w:jc w:val="center"/>
        </w:trPr>
        <w:tc>
          <w:tcPr>
            <w:tcW w:w="2263" w:type="dxa"/>
            <w:tcBorders>
              <w:bottom w:val="nil"/>
            </w:tcBorders>
            <w:shd w:val="clear" w:color="auto" w:fill="auto"/>
          </w:tcPr>
          <w:p w14:paraId="7EFCD079"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SNR on other channels and signals</w:t>
            </w:r>
          </w:p>
        </w:tc>
        <w:tc>
          <w:tcPr>
            <w:tcW w:w="1276" w:type="dxa"/>
          </w:tcPr>
          <w:p w14:paraId="43D6BDC6"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noProof/>
                <w:sz w:val="18"/>
                <w:szCs w:val="18"/>
              </w:rPr>
              <w:t>Config 1, 2</w:t>
            </w:r>
          </w:p>
        </w:tc>
        <w:tc>
          <w:tcPr>
            <w:tcW w:w="1276" w:type="dxa"/>
            <w:tcBorders>
              <w:bottom w:val="nil"/>
            </w:tcBorders>
            <w:shd w:val="clear" w:color="auto" w:fill="auto"/>
          </w:tcPr>
          <w:p w14:paraId="203B2CAC"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w:t>
            </w:r>
          </w:p>
        </w:tc>
        <w:tc>
          <w:tcPr>
            <w:tcW w:w="4927" w:type="dxa"/>
            <w:gridSpan w:val="5"/>
          </w:tcPr>
          <w:p w14:paraId="192D90DD"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1</w:t>
            </w:r>
          </w:p>
        </w:tc>
      </w:tr>
      <w:tr w:rsidR="003A71DE" w:rsidRPr="00735CC0" w14:paraId="7C02E4B7" w14:textId="77777777" w:rsidTr="003A71DE">
        <w:trPr>
          <w:cantSplit/>
          <w:trHeight w:val="189"/>
          <w:jc w:val="center"/>
        </w:trPr>
        <w:tc>
          <w:tcPr>
            <w:tcW w:w="2263" w:type="dxa"/>
            <w:tcBorders>
              <w:bottom w:val="nil"/>
            </w:tcBorders>
            <w:shd w:val="clear" w:color="auto" w:fill="auto"/>
          </w:tcPr>
          <w:p w14:paraId="1FE547C6"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object w:dxaOrig="420" w:dyaOrig="360" w14:anchorId="7AC68246">
                <v:shape id="_x0000_i1099" type="#_x0000_t75" style="width:14.4pt;height:14.4pt" o:ole="" fillcolor="window">
                  <v:imagedata r:id="rId114" o:title=""/>
                </v:shape>
                <o:OLEObject Type="Embed" ProgID="Equation.3" ShapeID="_x0000_i1099" DrawAspect="Content" ObjectID="_1734764479" r:id="rId129"/>
              </w:object>
            </w:r>
          </w:p>
        </w:tc>
        <w:tc>
          <w:tcPr>
            <w:tcW w:w="1276" w:type="dxa"/>
          </w:tcPr>
          <w:p w14:paraId="39FF3233"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Config 1, 2</w:t>
            </w:r>
          </w:p>
        </w:tc>
        <w:tc>
          <w:tcPr>
            <w:tcW w:w="1276" w:type="dxa"/>
            <w:tcBorders>
              <w:bottom w:val="nil"/>
            </w:tcBorders>
            <w:shd w:val="clear" w:color="auto" w:fill="auto"/>
          </w:tcPr>
          <w:p w14:paraId="0E359C02"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dBm/15kHz</w:t>
            </w:r>
          </w:p>
        </w:tc>
        <w:tc>
          <w:tcPr>
            <w:tcW w:w="4927" w:type="dxa"/>
            <w:gridSpan w:val="5"/>
          </w:tcPr>
          <w:p w14:paraId="39AEA529"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-98</w:t>
            </w:r>
          </w:p>
        </w:tc>
      </w:tr>
      <w:tr w:rsidR="003A71DE" w:rsidRPr="00735CC0" w14:paraId="229969D5" w14:textId="77777777" w:rsidTr="003A71DE">
        <w:trPr>
          <w:cantSplit/>
          <w:trHeight w:val="207"/>
          <w:jc w:val="center"/>
        </w:trPr>
        <w:tc>
          <w:tcPr>
            <w:tcW w:w="3539" w:type="dxa"/>
            <w:gridSpan w:val="2"/>
          </w:tcPr>
          <w:p w14:paraId="160D43FC" w14:textId="77777777" w:rsidR="003A71DE" w:rsidRPr="00735CC0" w:rsidRDefault="003A71DE" w:rsidP="003A71DE">
            <w:pPr>
              <w:keepNext/>
              <w:keepLines/>
              <w:spacing w:after="0"/>
              <w:rPr>
                <w:rFonts w:ascii="Arial" w:eastAsia="SimSun" w:hAnsi="Arial" w:cs="Arial"/>
                <w:sz w:val="18"/>
                <w:szCs w:val="18"/>
              </w:rPr>
            </w:pPr>
            <w:r w:rsidRPr="00735CC0">
              <w:rPr>
                <w:rFonts w:ascii="Arial" w:eastAsia="SimSun" w:hAnsi="Arial" w:cs="Arial"/>
                <w:sz w:val="18"/>
                <w:szCs w:val="18"/>
              </w:rPr>
              <w:t>Propagation condition</w:t>
            </w:r>
          </w:p>
        </w:tc>
        <w:tc>
          <w:tcPr>
            <w:tcW w:w="1276" w:type="dxa"/>
          </w:tcPr>
          <w:p w14:paraId="15F5C5A2" w14:textId="77777777" w:rsidR="003A71DE" w:rsidRPr="00735CC0" w:rsidRDefault="003A71DE" w:rsidP="003A71DE">
            <w:pPr>
              <w:keepNext/>
              <w:keepLines/>
              <w:spacing w:after="0"/>
              <w:jc w:val="center"/>
              <w:rPr>
                <w:rFonts w:ascii="Arial" w:eastAsia="SimSun" w:hAnsi="Arial" w:cs="Arial"/>
                <w:sz w:val="18"/>
                <w:szCs w:val="18"/>
              </w:rPr>
            </w:pPr>
          </w:p>
        </w:tc>
        <w:tc>
          <w:tcPr>
            <w:tcW w:w="4927" w:type="dxa"/>
            <w:gridSpan w:val="5"/>
            <w:shd w:val="clear" w:color="auto" w:fill="auto"/>
          </w:tcPr>
          <w:p w14:paraId="10AB9C57" w14:textId="77777777" w:rsidR="003A71DE" w:rsidRPr="00735CC0" w:rsidRDefault="003A71DE" w:rsidP="003A71DE">
            <w:pPr>
              <w:keepNext/>
              <w:keepLines/>
              <w:spacing w:after="0"/>
              <w:jc w:val="center"/>
              <w:rPr>
                <w:rFonts w:ascii="Arial" w:eastAsia="SimSun" w:hAnsi="Arial" w:cs="Arial"/>
                <w:sz w:val="18"/>
                <w:szCs w:val="18"/>
              </w:rPr>
            </w:pPr>
            <w:r w:rsidRPr="00735CC0">
              <w:rPr>
                <w:rFonts w:ascii="Arial" w:eastAsia="SimSun" w:hAnsi="Arial" w:cs="Arial"/>
                <w:sz w:val="18"/>
                <w:szCs w:val="18"/>
              </w:rPr>
              <w:t>TDL-C 300ns 100Hz</w:t>
            </w:r>
          </w:p>
        </w:tc>
      </w:tr>
      <w:tr w:rsidR="003A71DE" w:rsidRPr="00735CC0" w14:paraId="24FB6158" w14:textId="77777777" w:rsidTr="003A71DE">
        <w:trPr>
          <w:cantSplit/>
          <w:trHeight w:val="2119"/>
          <w:jc w:val="center"/>
        </w:trPr>
        <w:tc>
          <w:tcPr>
            <w:tcW w:w="9742" w:type="dxa"/>
            <w:gridSpan w:val="8"/>
          </w:tcPr>
          <w:p w14:paraId="727DDB01" w14:textId="77777777" w:rsidR="003A71DE" w:rsidRPr="00735CC0" w:rsidRDefault="003A71DE" w:rsidP="00A40F90">
            <w:pPr>
              <w:pStyle w:val="TAN"/>
              <w:rPr>
                <w:rFonts w:eastAsia="SimSun"/>
              </w:rPr>
            </w:pPr>
            <w:r w:rsidRPr="00735CC0">
              <w:rPr>
                <w:rFonts w:eastAsia="SimSun"/>
              </w:rPr>
              <w:t>Note 1:</w:t>
            </w:r>
            <w:r w:rsidRPr="00735CC0">
              <w:rPr>
                <w:rFonts w:eastAsia="SimSun"/>
              </w:rPr>
              <w:tab/>
              <w:t>OCNG shall be used such that the resources in Cell 1 are fully allocated and a constant total transmitted power spectral density is achieved for all OFDM symbols.</w:t>
            </w:r>
          </w:p>
          <w:p w14:paraId="6147B244" w14:textId="77777777" w:rsidR="003A71DE" w:rsidRPr="00735CC0" w:rsidRDefault="003A71DE" w:rsidP="00A40F90">
            <w:pPr>
              <w:pStyle w:val="TAN"/>
              <w:rPr>
                <w:rFonts w:eastAsia="SimSun"/>
              </w:rPr>
            </w:pPr>
            <w:r w:rsidRPr="00735CC0">
              <w:rPr>
                <w:rFonts w:eastAsia="SimSun"/>
              </w:rPr>
              <w:t>Note 2:</w:t>
            </w:r>
            <w:r w:rsidRPr="00735CC0">
              <w:rPr>
                <w:rFonts w:eastAsia="SimSun"/>
              </w:rPr>
              <w:tab/>
              <w:t>The uplink resources for CSI reporting are assigned to the IAB-MT prior to the start of time period T1.</w:t>
            </w:r>
          </w:p>
          <w:p w14:paraId="168ED31E" w14:textId="77777777" w:rsidR="003A71DE" w:rsidRPr="00735CC0" w:rsidRDefault="003A71DE" w:rsidP="00A40F90">
            <w:pPr>
              <w:pStyle w:val="TAN"/>
              <w:rPr>
                <w:rFonts w:eastAsia="SimSun"/>
              </w:rPr>
            </w:pPr>
            <w:r w:rsidRPr="00735CC0">
              <w:rPr>
                <w:rFonts w:eastAsia="SimSun"/>
              </w:rPr>
              <w:t>Note 3:</w:t>
            </w:r>
            <w:r w:rsidRPr="00735CC0">
              <w:rPr>
                <w:rFonts w:eastAsia="SimSun"/>
              </w:rPr>
              <w:tab/>
              <w:t>NZP CSI-RS resource set configuration for CSI reporting are assigned to the IAB-MT prior to the start of time period T1.</w:t>
            </w:r>
          </w:p>
          <w:p w14:paraId="0045D568" w14:textId="77777777" w:rsidR="003A71DE" w:rsidRPr="00735CC0" w:rsidRDefault="003A71DE" w:rsidP="00A40F90">
            <w:pPr>
              <w:pStyle w:val="TAN"/>
              <w:rPr>
                <w:rFonts w:eastAsia="SimSun"/>
              </w:rPr>
            </w:pPr>
            <w:r w:rsidRPr="00735CC0">
              <w:rPr>
                <w:rFonts w:eastAsia="SimSun"/>
              </w:rPr>
              <w:t>Note 4:</w:t>
            </w:r>
            <w:r w:rsidRPr="00735CC0">
              <w:rPr>
                <w:rFonts w:eastAsia="SimSun"/>
              </w:rPr>
              <w:tab/>
              <w:t>The timers and layer 3 filtering related parameters are configured prior to the start of time period T1.</w:t>
            </w:r>
          </w:p>
          <w:p w14:paraId="1218B067" w14:textId="77777777" w:rsidR="003A71DE" w:rsidRPr="00735CC0" w:rsidRDefault="003A71DE" w:rsidP="00A40F90">
            <w:pPr>
              <w:pStyle w:val="TAN"/>
              <w:rPr>
                <w:rFonts w:eastAsia="SimSun"/>
              </w:rPr>
            </w:pPr>
            <w:r w:rsidRPr="00735CC0">
              <w:rPr>
                <w:rFonts w:eastAsia="SimSun"/>
              </w:rPr>
              <w:t>Note 5:</w:t>
            </w:r>
            <w:r w:rsidRPr="00735CC0">
              <w:rPr>
                <w:rFonts w:eastAsia="SimSun"/>
              </w:rPr>
              <w:tab/>
              <w:t>The signal contains PDCCH for IAB-MTs other than the device under test as part of OCNG.</w:t>
            </w:r>
          </w:p>
          <w:p w14:paraId="58342D0B" w14:textId="77777777" w:rsidR="003A71DE" w:rsidRPr="00735CC0" w:rsidRDefault="003A71DE" w:rsidP="00A40F90">
            <w:pPr>
              <w:pStyle w:val="TAN"/>
              <w:rPr>
                <w:rFonts w:eastAsia="SimSun"/>
              </w:rPr>
            </w:pPr>
            <w:r w:rsidRPr="00735CC0">
              <w:rPr>
                <w:rFonts w:eastAsia="SimSun"/>
              </w:rPr>
              <w:t>Note 6:</w:t>
            </w:r>
            <w:r w:rsidRPr="00735CC0">
              <w:rPr>
                <w:rFonts w:eastAsia="SimSun"/>
              </w:rPr>
              <w:tab/>
              <w:t>SNR levels correspond to the signal to noise ratio over the SSS REs.</w:t>
            </w:r>
          </w:p>
          <w:p w14:paraId="64B0EE18" w14:textId="77777777" w:rsidR="003A71DE" w:rsidRPr="00735CC0" w:rsidRDefault="003A71DE" w:rsidP="00A40F90">
            <w:pPr>
              <w:pStyle w:val="TAN"/>
              <w:rPr>
                <w:rFonts w:eastAsia="SimSun"/>
              </w:rPr>
            </w:pPr>
            <w:r w:rsidRPr="00735CC0">
              <w:rPr>
                <w:rFonts w:eastAsia="SimSun"/>
              </w:rPr>
              <w:t>Note 7:</w:t>
            </w:r>
            <w:r w:rsidRPr="00735CC0">
              <w:rPr>
                <w:rFonts w:eastAsia="SimSun"/>
              </w:rPr>
              <w:tab/>
              <w:t>The SNR in time periods T1, T2, T3, T4 and T5 is denoted as SNR1, SNR2, SNR3, SNR4 and SNR5 respectively in figure G.2.3.1.6.1-1.</w:t>
            </w:r>
          </w:p>
          <w:p w14:paraId="72AAFEBC" w14:textId="77777777" w:rsidR="003A71DE" w:rsidRPr="00735CC0" w:rsidRDefault="003A71DE" w:rsidP="00A40F90">
            <w:pPr>
              <w:pStyle w:val="TAN"/>
              <w:rPr>
                <w:rFonts w:eastAsia="SimSun"/>
              </w:rPr>
            </w:pPr>
            <w:r w:rsidRPr="00735CC0">
              <w:rPr>
                <w:rFonts w:eastAsia="SimSun"/>
              </w:rPr>
              <w:t>Note 8:</w:t>
            </w:r>
            <w:r w:rsidRPr="00735CC0">
              <w:rPr>
                <w:rFonts w:eastAsia="SimSun"/>
              </w:rPr>
              <w:tab/>
              <w:t>The SNR IAB-MTs are specified for testing a IAB-MT which supports 2RX on at least one band. For testing of IAB-MT which supports 4RX on all bands, the SNR during T3 is specified in clause G.1.3.1.1.</w:t>
            </w:r>
          </w:p>
        </w:tc>
      </w:tr>
    </w:tbl>
    <w:p w14:paraId="5AD227F0" w14:textId="77777777" w:rsidR="003A71DE" w:rsidRPr="003F24A0" w:rsidRDefault="003A71DE" w:rsidP="003A71DE">
      <w:pPr>
        <w:rPr>
          <w:rFonts w:eastAsia="SimSun"/>
        </w:rPr>
      </w:pPr>
    </w:p>
    <w:p w14:paraId="4B52FA27" w14:textId="77777777" w:rsidR="003A71DE" w:rsidRPr="003F24A0" w:rsidRDefault="003A71DE" w:rsidP="00746C0D">
      <w:pPr>
        <w:pStyle w:val="TH"/>
        <w:rPr>
          <w:rFonts w:eastAsia="SimSun"/>
        </w:rPr>
      </w:pPr>
      <w:r w:rsidRPr="003F24A0">
        <w:rPr>
          <w:rFonts w:eastAsia="SimSun"/>
          <w:noProof/>
          <w:lang w:eastAsia="zh-CN"/>
        </w:rPr>
        <w:drawing>
          <wp:inline distT="0" distB="0" distL="0" distR="0" wp14:anchorId="4165CA51" wp14:editId="790F6DF3">
            <wp:extent cx="5486400" cy="2609850"/>
            <wp:effectExtent l="0" t="0" r="0" b="0"/>
            <wp:docPr id="3140" name="Picture 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486400" cy="2609850"/>
                    </a:xfrm>
                    <a:prstGeom prst="rect">
                      <a:avLst/>
                    </a:prstGeom>
                    <a:noFill/>
                    <a:ln>
                      <a:noFill/>
                    </a:ln>
                  </pic:spPr>
                </pic:pic>
              </a:graphicData>
            </a:graphic>
          </wp:inline>
        </w:drawing>
      </w:r>
    </w:p>
    <w:p w14:paraId="49538D73" w14:textId="77777777" w:rsidR="003A71DE" w:rsidRPr="003F24A0" w:rsidRDefault="003A71DE" w:rsidP="00746C0D">
      <w:pPr>
        <w:pStyle w:val="TF"/>
        <w:rPr>
          <w:rFonts w:eastAsia="SimSun"/>
        </w:rPr>
      </w:pPr>
      <w:r w:rsidRPr="003F24A0">
        <w:rPr>
          <w:rFonts w:eastAsia="SimSun"/>
        </w:rPr>
        <w:t xml:space="preserve">Figure </w:t>
      </w:r>
      <w:r>
        <w:rPr>
          <w:rFonts w:eastAsia="SimSun"/>
        </w:rPr>
        <w:t>G.2.3.1.6</w:t>
      </w:r>
      <w:r w:rsidRPr="003F24A0">
        <w:rPr>
          <w:rFonts w:eastAsia="SimSun"/>
        </w:rPr>
        <w:t>.1-1: SNR variation for CSI-RS in-sync testing</w:t>
      </w:r>
    </w:p>
    <w:p w14:paraId="2566421B" w14:textId="77777777" w:rsidR="003A71DE" w:rsidRPr="003F24A0" w:rsidRDefault="003A71DE" w:rsidP="00746C0D">
      <w:pPr>
        <w:pStyle w:val="H6"/>
        <w:rPr>
          <w:rFonts w:eastAsia="SimSun"/>
          <w:snapToGrid w:val="0"/>
        </w:rPr>
      </w:pPr>
      <w:bookmarkStart w:id="10317" w:name="_Toc535476544"/>
      <w:r>
        <w:rPr>
          <w:rFonts w:eastAsia="SimSun"/>
          <w:snapToGrid w:val="0"/>
        </w:rPr>
        <w:t>G.2.3.1.6</w:t>
      </w:r>
      <w:r w:rsidRPr="003F24A0">
        <w:rPr>
          <w:rFonts w:eastAsia="SimSun"/>
          <w:snapToGrid w:val="0"/>
        </w:rPr>
        <w:t>.2</w:t>
      </w:r>
      <w:r w:rsidRPr="003F24A0">
        <w:rPr>
          <w:rFonts w:eastAsia="SimSun"/>
          <w:snapToGrid w:val="0"/>
        </w:rPr>
        <w:tab/>
        <w:t>Test Requirements</w:t>
      </w:r>
      <w:bookmarkEnd w:id="10317"/>
    </w:p>
    <w:p w14:paraId="5F02CAAB" w14:textId="77777777" w:rsidR="003A71DE" w:rsidRPr="003F24A0" w:rsidRDefault="003A71DE" w:rsidP="003A71DE">
      <w:pPr>
        <w:rPr>
          <w:rFonts w:eastAsia="SimSun"/>
        </w:rPr>
      </w:pPr>
      <w:r w:rsidRPr="003F24A0">
        <w:rPr>
          <w:rFonts w:eastAsia="SimSun"/>
        </w:rPr>
        <w:t xml:space="preserve">The </w:t>
      </w:r>
      <w:r>
        <w:rPr>
          <w:rFonts w:eastAsia="SimSun"/>
        </w:rPr>
        <w:t>IAB-MT</w:t>
      </w:r>
      <w:r w:rsidRPr="003F24A0">
        <w:rPr>
          <w:rFonts w:eastAsia="SimSun"/>
        </w:rPr>
        <w:t xml:space="preserve"> behaviour in each test during time durations T1, T2, T3, T4 and T5 shall be as follows:</w:t>
      </w:r>
    </w:p>
    <w:p w14:paraId="0925D931" w14:textId="77777777" w:rsidR="003A71DE" w:rsidRPr="003F24A0" w:rsidRDefault="003A71DE" w:rsidP="003A71DE">
      <w:pPr>
        <w:rPr>
          <w:rFonts w:eastAsia="SimSun"/>
        </w:rPr>
      </w:pPr>
      <w:r w:rsidRPr="003F24A0">
        <w:rPr>
          <w:rFonts w:eastAsia="SimSun"/>
        </w:rPr>
        <w:t xml:space="preserve">During the period from time point A to time point F (T6 second after the start of time duration T5) the </w:t>
      </w:r>
      <w:r>
        <w:rPr>
          <w:rFonts w:eastAsia="SimSun"/>
        </w:rPr>
        <w:t>IAB-MT</w:t>
      </w:r>
      <w:r w:rsidRPr="003F24A0">
        <w:rPr>
          <w:rFonts w:eastAsia="SimSun"/>
        </w:rPr>
        <w:t xml:space="preserve"> shall transmit uplink signal at least in all uplink slots configured for CSI transmission according to the configured periodic CSI reporting on the PCell.</w:t>
      </w:r>
    </w:p>
    <w:p w14:paraId="0C09E2D4" w14:textId="77777777" w:rsidR="003A71DE" w:rsidRPr="00932AF6" w:rsidRDefault="003A71DE" w:rsidP="003A71DE">
      <w:pPr>
        <w:pStyle w:val="BodyText"/>
        <w:rPr>
          <w:lang w:eastAsia="zh-CN"/>
        </w:rPr>
      </w:pPr>
      <w:r w:rsidRPr="003F24A0">
        <w:rPr>
          <w:rFonts w:eastAsia="SimSun"/>
        </w:rPr>
        <w:t>The rate of correct events observed during repeated tests shall be at least 90%.</w:t>
      </w:r>
    </w:p>
    <w:p w14:paraId="724F9111" w14:textId="77777777" w:rsidR="003A71DE" w:rsidRDefault="003A71DE" w:rsidP="003A71DE"/>
    <w:p w14:paraId="717D1FE6" w14:textId="77777777" w:rsidR="003A71DE" w:rsidRPr="001C0E1B" w:rsidRDefault="003A71DE" w:rsidP="00746C0D">
      <w:pPr>
        <w:pStyle w:val="Heading5"/>
      </w:pPr>
      <w:bookmarkStart w:id="10318" w:name="_Toc74583687"/>
      <w:bookmarkStart w:id="10319" w:name="_Toc76542500"/>
      <w:bookmarkStart w:id="10320" w:name="_Toc82450482"/>
      <w:bookmarkStart w:id="10321" w:name="_Toc82451130"/>
      <w:bookmarkStart w:id="10322" w:name="_Toc89949519"/>
      <w:bookmarkStart w:id="10323" w:name="_Toc98755908"/>
      <w:bookmarkStart w:id="10324" w:name="_Toc98763500"/>
      <w:bookmarkStart w:id="10325" w:name="_Toc106184429"/>
      <w:r>
        <w:lastRenderedPageBreak/>
        <w:t>G.2.3.1.7</w:t>
      </w:r>
      <w:r w:rsidRPr="001C0E1B">
        <w:tab/>
        <w:t>Radio Link Monitoring Out-of-sync Test for FR2 PCell configured with CSI-RS-based RLM in non-DRX mode</w:t>
      </w:r>
      <w:bookmarkEnd w:id="10318"/>
      <w:bookmarkEnd w:id="10319"/>
      <w:bookmarkEnd w:id="10320"/>
      <w:bookmarkEnd w:id="10321"/>
      <w:bookmarkEnd w:id="10322"/>
      <w:bookmarkEnd w:id="10323"/>
      <w:bookmarkEnd w:id="10324"/>
      <w:bookmarkEnd w:id="10325"/>
    </w:p>
    <w:p w14:paraId="683DBBF4" w14:textId="77777777" w:rsidR="003A71DE" w:rsidRPr="001C0E1B" w:rsidRDefault="003A71DE" w:rsidP="00746C0D">
      <w:pPr>
        <w:pStyle w:val="H6"/>
        <w:rPr>
          <w:snapToGrid w:val="0"/>
          <w:lang w:eastAsia="zh-CN"/>
        </w:rPr>
      </w:pPr>
      <w:bookmarkStart w:id="10326" w:name="_Toc535476709"/>
      <w:r>
        <w:rPr>
          <w:snapToGrid w:val="0"/>
          <w:lang w:eastAsia="zh-CN"/>
        </w:rPr>
        <w:t>G.2.3.1.7</w:t>
      </w:r>
      <w:r w:rsidRPr="001C0E1B">
        <w:rPr>
          <w:snapToGrid w:val="0"/>
          <w:lang w:eastAsia="zh-CN"/>
        </w:rPr>
        <w:t>.1</w:t>
      </w:r>
      <w:r w:rsidRPr="001C0E1B">
        <w:rPr>
          <w:snapToGrid w:val="0"/>
          <w:lang w:eastAsia="zh-CN"/>
        </w:rPr>
        <w:tab/>
        <w:t>Test Purpose and Environment</w:t>
      </w:r>
      <w:bookmarkEnd w:id="10326"/>
    </w:p>
    <w:p w14:paraId="23607428" w14:textId="77777777" w:rsidR="003A71DE" w:rsidRPr="001C0E1B" w:rsidRDefault="003A71DE" w:rsidP="003A71DE">
      <w:r w:rsidRPr="001C0E1B">
        <w:t xml:space="preserve">The purpose of this test is to verify that the </w:t>
      </w:r>
      <w:r>
        <w:t>IAB-MT</w:t>
      </w:r>
      <w:r w:rsidRPr="001C0E1B">
        <w:t xml:space="preserve"> properly detects the out of sync for the purpose of monitoring downlink CSI-RS based radio link quality of the PCell. This test will partly verify the FR2 PCell CSI-RS Out-of-sync radio link monitoring requirements in clause </w:t>
      </w:r>
      <w:r>
        <w:rPr>
          <w:rFonts w:eastAsia="SimSun"/>
        </w:rPr>
        <w:t>12.3.1.3</w:t>
      </w:r>
      <w:r w:rsidRPr="003F24A0">
        <w:rPr>
          <w:rFonts w:eastAsia="SimSun"/>
        </w:rPr>
        <w:t>.</w:t>
      </w:r>
      <w:r>
        <w:rPr>
          <w:rFonts w:eastAsia="SimSun"/>
        </w:rPr>
        <w:t xml:space="preserve"> </w:t>
      </w:r>
      <w:r w:rsidRPr="00CE0F04">
        <w:rPr>
          <w:rFonts w:cs="v4.2.0"/>
        </w:rPr>
        <w:t xml:space="preserve">This test case is applicable only for local area IAB-MT and for IAB type </w:t>
      </w:r>
      <w:r>
        <w:rPr>
          <w:rFonts w:cs="v4.2.0"/>
        </w:rPr>
        <w:t>2-0</w:t>
      </w:r>
      <w:r w:rsidRPr="00CE0F04">
        <w:rPr>
          <w:rFonts w:cs="v4.2.0"/>
        </w:rPr>
        <w:t>.</w:t>
      </w:r>
    </w:p>
    <w:p w14:paraId="4654E751" w14:textId="77777777" w:rsidR="003A71DE" w:rsidRPr="001C0E1B" w:rsidRDefault="003A71DE" w:rsidP="003A71DE">
      <w:r w:rsidRPr="001C0E1B">
        <w:t xml:space="preserve">The test parameters are given in Tables </w:t>
      </w:r>
      <w:r>
        <w:t>G.2.3.1.7</w:t>
      </w:r>
      <w:r w:rsidRPr="001C0E1B">
        <w:t xml:space="preserve">.1-1, </w:t>
      </w:r>
      <w:r>
        <w:t>G.2.3.1.7</w:t>
      </w:r>
      <w:r w:rsidRPr="001C0E1B">
        <w:t>.1-2</w:t>
      </w:r>
      <w:r>
        <w:t xml:space="preserve"> and G.2.3.1.7</w:t>
      </w:r>
      <w:r w:rsidRPr="001C0E1B">
        <w:t xml:space="preserve">.1-3 below. There is one cell, cell 1 which is the PCell, in the test. The test consists of three successive time periods, with time duration of T1, T2 and T3 respectively. Figure </w:t>
      </w:r>
      <w:r>
        <w:t>G.2.3.1.7</w:t>
      </w:r>
      <w:r w:rsidRPr="001C0E1B">
        <w:t xml:space="preserve">.1-1 shows the variation of the downlink SNR in the PCell to emulate out-of-sync and in-sync states. Prior to the start of the time duration T1, the </w:t>
      </w:r>
      <w:r>
        <w:t>IAB-MT</w:t>
      </w:r>
      <w:r w:rsidRPr="001C0E1B">
        <w:t xml:space="preserve"> shall be fully synchronized to cell 1. The </w:t>
      </w:r>
      <w:r>
        <w:t>IAB-MT</w:t>
      </w:r>
      <w:r w:rsidRPr="001C0E1B">
        <w:t xml:space="preserve"> shall be configured for periodic CSI reporting with a reporting periodicity of 10 ms. In the test, SSB0 and SSB1 are configured as BFD-RS.</w:t>
      </w:r>
    </w:p>
    <w:p w14:paraId="423ADE86" w14:textId="77777777" w:rsidR="003A71DE" w:rsidRPr="001C0E1B" w:rsidRDefault="003A71DE" w:rsidP="00746C0D">
      <w:pPr>
        <w:pStyle w:val="TH"/>
      </w:pPr>
      <w:r w:rsidRPr="001C0E1B">
        <w:t xml:space="preserve">Table </w:t>
      </w:r>
      <w:r>
        <w:t>G.2.3.1.7</w:t>
      </w:r>
      <w:r w:rsidRPr="001C0E1B">
        <w:t>.1-1: Supported test configurations for FR2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6905"/>
      </w:tblGrid>
      <w:tr w:rsidR="003A71DE" w:rsidRPr="001C0E1B" w14:paraId="1A142A92" w14:textId="77777777" w:rsidTr="003A71DE">
        <w:trPr>
          <w:trHeight w:val="267"/>
          <w:jc w:val="center"/>
        </w:trPr>
        <w:tc>
          <w:tcPr>
            <w:tcW w:w="2265" w:type="dxa"/>
            <w:shd w:val="clear" w:color="auto" w:fill="auto"/>
          </w:tcPr>
          <w:p w14:paraId="67779B2F" w14:textId="77777777" w:rsidR="003A71DE" w:rsidRPr="001C0E1B" w:rsidRDefault="003A71DE" w:rsidP="003A71DE">
            <w:pPr>
              <w:pStyle w:val="TAH"/>
            </w:pPr>
            <w:r w:rsidRPr="001C0E1B">
              <w:t>Configuration</w:t>
            </w:r>
          </w:p>
        </w:tc>
        <w:tc>
          <w:tcPr>
            <w:tcW w:w="6905" w:type="dxa"/>
            <w:shd w:val="clear" w:color="auto" w:fill="auto"/>
          </w:tcPr>
          <w:p w14:paraId="7289587A" w14:textId="77777777" w:rsidR="003A71DE" w:rsidRPr="001C0E1B" w:rsidRDefault="003A71DE" w:rsidP="003A71DE">
            <w:pPr>
              <w:pStyle w:val="TAH"/>
            </w:pPr>
            <w:r w:rsidRPr="001C0E1B">
              <w:t>Description</w:t>
            </w:r>
          </w:p>
        </w:tc>
      </w:tr>
      <w:tr w:rsidR="003A71DE" w:rsidRPr="001C0E1B" w14:paraId="37A23697" w14:textId="77777777" w:rsidTr="003A71DE">
        <w:trPr>
          <w:trHeight w:val="270"/>
          <w:jc w:val="center"/>
        </w:trPr>
        <w:tc>
          <w:tcPr>
            <w:tcW w:w="2265" w:type="dxa"/>
            <w:shd w:val="clear" w:color="auto" w:fill="auto"/>
          </w:tcPr>
          <w:p w14:paraId="12B1EC66" w14:textId="77777777" w:rsidR="003A71DE" w:rsidRPr="001C0E1B" w:rsidRDefault="003A71DE" w:rsidP="003A71DE">
            <w:pPr>
              <w:pStyle w:val="TAL"/>
            </w:pPr>
            <w:r w:rsidRPr="001C0E1B">
              <w:t>1</w:t>
            </w:r>
          </w:p>
        </w:tc>
        <w:tc>
          <w:tcPr>
            <w:tcW w:w="6905" w:type="dxa"/>
            <w:shd w:val="clear" w:color="auto" w:fill="auto"/>
          </w:tcPr>
          <w:p w14:paraId="4EC6B1DC" w14:textId="77777777" w:rsidR="003A71DE" w:rsidRPr="001C0E1B" w:rsidRDefault="003A71DE" w:rsidP="003A71DE">
            <w:pPr>
              <w:pStyle w:val="TAL"/>
            </w:pPr>
            <w:r w:rsidRPr="001C0E1B">
              <w:t>TDD duplex mode, 120 kHz SSB SCS, 100 MHz bandwidth</w:t>
            </w:r>
          </w:p>
        </w:tc>
      </w:tr>
    </w:tbl>
    <w:p w14:paraId="65150762" w14:textId="77777777" w:rsidR="003A71DE" w:rsidRPr="001C0E1B" w:rsidRDefault="003A71DE" w:rsidP="003A71DE">
      <w:pPr>
        <w:spacing w:before="120"/>
      </w:pPr>
    </w:p>
    <w:p w14:paraId="72C93435" w14:textId="77777777" w:rsidR="003A71DE" w:rsidRPr="001C0E1B" w:rsidRDefault="003A71DE" w:rsidP="00746C0D">
      <w:pPr>
        <w:pStyle w:val="TH"/>
      </w:pPr>
      <w:r w:rsidRPr="001C0E1B">
        <w:lastRenderedPageBreak/>
        <w:t xml:space="preserve">Table </w:t>
      </w:r>
      <w:r>
        <w:t>G.2.3.1.7</w:t>
      </w:r>
      <w:r w:rsidRPr="001C0E1B">
        <w:t>.1-2: General test parameters for FR2 PCell for CSI-RS out-of-sync testing in non-DRX</w:t>
      </w:r>
    </w:p>
    <w:tbl>
      <w:tblPr>
        <w:tblW w:w="48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7"/>
        <w:gridCol w:w="2694"/>
        <w:gridCol w:w="711"/>
        <w:gridCol w:w="2692"/>
      </w:tblGrid>
      <w:tr w:rsidR="003A71DE" w:rsidRPr="00CF6CE5" w14:paraId="7348FE2F" w14:textId="77777777" w:rsidTr="003A71DE">
        <w:trPr>
          <w:trHeight w:val="164"/>
          <w:jc w:val="center"/>
        </w:trPr>
        <w:tc>
          <w:tcPr>
            <w:tcW w:w="3181" w:type="pct"/>
            <w:gridSpan w:val="2"/>
            <w:tcBorders>
              <w:bottom w:val="nil"/>
            </w:tcBorders>
            <w:shd w:val="clear" w:color="auto" w:fill="auto"/>
          </w:tcPr>
          <w:p w14:paraId="2BE4CDE4" w14:textId="77777777" w:rsidR="003A71DE" w:rsidRPr="00CF6CE5" w:rsidRDefault="003A71DE" w:rsidP="003A71DE">
            <w:pPr>
              <w:pStyle w:val="TAH"/>
              <w:rPr>
                <w:rFonts w:cs="Arial"/>
                <w:szCs w:val="18"/>
              </w:rPr>
            </w:pPr>
            <w:r w:rsidRPr="00CF6CE5">
              <w:rPr>
                <w:rFonts w:cs="Arial"/>
                <w:szCs w:val="18"/>
              </w:rPr>
              <w:t>Parameter</w:t>
            </w:r>
          </w:p>
        </w:tc>
        <w:tc>
          <w:tcPr>
            <w:tcW w:w="380" w:type="pct"/>
            <w:tcBorders>
              <w:bottom w:val="nil"/>
            </w:tcBorders>
            <w:shd w:val="clear" w:color="auto" w:fill="auto"/>
          </w:tcPr>
          <w:p w14:paraId="03BB6864" w14:textId="77777777" w:rsidR="003A71DE" w:rsidRPr="00CF6CE5" w:rsidRDefault="003A71DE" w:rsidP="003A71DE">
            <w:pPr>
              <w:pStyle w:val="TAH"/>
              <w:rPr>
                <w:rFonts w:cs="Arial"/>
                <w:szCs w:val="18"/>
              </w:rPr>
            </w:pPr>
            <w:r w:rsidRPr="00CF6CE5">
              <w:rPr>
                <w:rFonts w:cs="Arial"/>
                <w:szCs w:val="18"/>
              </w:rPr>
              <w:t>Unit</w:t>
            </w:r>
          </w:p>
        </w:tc>
        <w:tc>
          <w:tcPr>
            <w:tcW w:w="1439" w:type="pct"/>
            <w:shd w:val="clear" w:color="auto" w:fill="auto"/>
          </w:tcPr>
          <w:p w14:paraId="47A07F85" w14:textId="77777777" w:rsidR="003A71DE" w:rsidRPr="00CF6CE5" w:rsidRDefault="003A71DE" w:rsidP="003A71DE">
            <w:pPr>
              <w:pStyle w:val="TAH"/>
              <w:rPr>
                <w:rFonts w:cs="Arial"/>
                <w:szCs w:val="18"/>
              </w:rPr>
            </w:pPr>
            <w:r w:rsidRPr="00CF6CE5">
              <w:rPr>
                <w:rFonts w:cs="Arial"/>
                <w:szCs w:val="18"/>
              </w:rPr>
              <w:t>IAB-MT</w:t>
            </w:r>
          </w:p>
        </w:tc>
      </w:tr>
      <w:tr w:rsidR="003A71DE" w:rsidRPr="00CF6CE5" w14:paraId="620F1214" w14:textId="77777777" w:rsidTr="003A71DE">
        <w:trPr>
          <w:trHeight w:val="74"/>
          <w:jc w:val="center"/>
        </w:trPr>
        <w:tc>
          <w:tcPr>
            <w:tcW w:w="3181" w:type="pct"/>
            <w:gridSpan w:val="2"/>
            <w:tcBorders>
              <w:top w:val="nil"/>
            </w:tcBorders>
            <w:shd w:val="clear" w:color="auto" w:fill="auto"/>
          </w:tcPr>
          <w:p w14:paraId="524C4E5B" w14:textId="77777777" w:rsidR="003A71DE" w:rsidRPr="00CF6CE5" w:rsidRDefault="003A71DE" w:rsidP="003A71DE">
            <w:pPr>
              <w:pStyle w:val="TAH"/>
              <w:rPr>
                <w:rFonts w:cs="Arial"/>
                <w:szCs w:val="18"/>
              </w:rPr>
            </w:pPr>
          </w:p>
        </w:tc>
        <w:tc>
          <w:tcPr>
            <w:tcW w:w="380" w:type="pct"/>
            <w:tcBorders>
              <w:top w:val="nil"/>
            </w:tcBorders>
            <w:shd w:val="clear" w:color="auto" w:fill="auto"/>
          </w:tcPr>
          <w:p w14:paraId="5466C782" w14:textId="77777777" w:rsidR="003A71DE" w:rsidRPr="00CF6CE5" w:rsidRDefault="003A71DE" w:rsidP="003A71DE">
            <w:pPr>
              <w:pStyle w:val="TAH"/>
              <w:rPr>
                <w:rFonts w:cs="Arial"/>
                <w:szCs w:val="18"/>
              </w:rPr>
            </w:pPr>
          </w:p>
        </w:tc>
        <w:tc>
          <w:tcPr>
            <w:tcW w:w="1439" w:type="pct"/>
            <w:shd w:val="clear" w:color="auto" w:fill="auto"/>
          </w:tcPr>
          <w:p w14:paraId="0600A6E3" w14:textId="77777777" w:rsidR="003A71DE" w:rsidRPr="00CF6CE5" w:rsidRDefault="003A71DE" w:rsidP="003A71DE">
            <w:pPr>
              <w:pStyle w:val="TAH"/>
              <w:rPr>
                <w:rFonts w:cs="Arial"/>
                <w:szCs w:val="18"/>
              </w:rPr>
            </w:pPr>
            <w:r w:rsidRPr="00CF6CE5">
              <w:rPr>
                <w:rFonts w:cs="Arial"/>
                <w:szCs w:val="18"/>
              </w:rPr>
              <w:t>Test 1</w:t>
            </w:r>
          </w:p>
        </w:tc>
      </w:tr>
      <w:tr w:rsidR="003A71DE" w:rsidRPr="00CF6CE5" w14:paraId="3A67491A" w14:textId="77777777" w:rsidTr="003A71DE">
        <w:trPr>
          <w:trHeight w:val="64"/>
          <w:jc w:val="center"/>
        </w:trPr>
        <w:tc>
          <w:tcPr>
            <w:tcW w:w="3181" w:type="pct"/>
            <w:gridSpan w:val="2"/>
            <w:shd w:val="clear" w:color="auto" w:fill="auto"/>
          </w:tcPr>
          <w:p w14:paraId="77356B45" w14:textId="77777777" w:rsidR="003A71DE" w:rsidRPr="00CF6CE5" w:rsidRDefault="003A71DE" w:rsidP="003A71DE">
            <w:pPr>
              <w:pStyle w:val="TAL"/>
              <w:rPr>
                <w:rFonts w:cs="Arial"/>
                <w:szCs w:val="18"/>
              </w:rPr>
            </w:pPr>
            <w:r w:rsidRPr="00CF6CE5">
              <w:rPr>
                <w:rFonts w:cs="Arial"/>
                <w:szCs w:val="18"/>
              </w:rPr>
              <w:t xml:space="preserve">Active PCell </w:t>
            </w:r>
          </w:p>
        </w:tc>
        <w:tc>
          <w:tcPr>
            <w:tcW w:w="380" w:type="pct"/>
            <w:shd w:val="clear" w:color="auto" w:fill="auto"/>
          </w:tcPr>
          <w:p w14:paraId="57612662" w14:textId="77777777" w:rsidR="003A71DE" w:rsidRPr="00CF6CE5" w:rsidRDefault="003A71DE" w:rsidP="003A71DE">
            <w:pPr>
              <w:pStyle w:val="TAC"/>
              <w:rPr>
                <w:rFonts w:cs="Arial"/>
                <w:szCs w:val="18"/>
              </w:rPr>
            </w:pPr>
          </w:p>
        </w:tc>
        <w:tc>
          <w:tcPr>
            <w:tcW w:w="1439" w:type="pct"/>
            <w:shd w:val="clear" w:color="auto" w:fill="auto"/>
          </w:tcPr>
          <w:p w14:paraId="450A623B" w14:textId="77777777" w:rsidR="003A71DE" w:rsidRPr="00CF6CE5" w:rsidRDefault="003A71DE" w:rsidP="003A71DE">
            <w:pPr>
              <w:pStyle w:val="TAC"/>
              <w:rPr>
                <w:rFonts w:cs="Arial"/>
                <w:szCs w:val="18"/>
              </w:rPr>
            </w:pPr>
            <w:r w:rsidRPr="00CF6CE5">
              <w:rPr>
                <w:rFonts w:cs="Arial"/>
                <w:szCs w:val="18"/>
              </w:rPr>
              <w:t>Cell 1</w:t>
            </w:r>
          </w:p>
        </w:tc>
      </w:tr>
      <w:tr w:rsidR="003A71DE" w:rsidRPr="00CF6CE5" w14:paraId="39798739" w14:textId="77777777" w:rsidTr="003A71DE">
        <w:trPr>
          <w:trHeight w:val="164"/>
          <w:jc w:val="center"/>
        </w:trPr>
        <w:tc>
          <w:tcPr>
            <w:tcW w:w="3181" w:type="pct"/>
            <w:gridSpan w:val="2"/>
            <w:shd w:val="clear" w:color="auto" w:fill="auto"/>
          </w:tcPr>
          <w:p w14:paraId="276C31DB" w14:textId="77777777" w:rsidR="003A71DE" w:rsidRPr="00CF6CE5" w:rsidRDefault="003A71DE" w:rsidP="003A71DE">
            <w:pPr>
              <w:pStyle w:val="TAL"/>
              <w:rPr>
                <w:rFonts w:cs="Arial"/>
                <w:szCs w:val="18"/>
              </w:rPr>
            </w:pPr>
            <w:r w:rsidRPr="00CF6CE5">
              <w:rPr>
                <w:rFonts w:cs="Arial"/>
                <w:szCs w:val="18"/>
              </w:rPr>
              <w:t>RF Channel Number</w:t>
            </w:r>
          </w:p>
        </w:tc>
        <w:tc>
          <w:tcPr>
            <w:tcW w:w="380" w:type="pct"/>
            <w:shd w:val="clear" w:color="auto" w:fill="auto"/>
          </w:tcPr>
          <w:p w14:paraId="7CC15601" w14:textId="77777777" w:rsidR="003A71DE" w:rsidRPr="00CF6CE5" w:rsidRDefault="003A71DE" w:rsidP="003A71DE">
            <w:pPr>
              <w:pStyle w:val="TAC"/>
              <w:rPr>
                <w:rFonts w:cs="Arial"/>
                <w:szCs w:val="18"/>
              </w:rPr>
            </w:pPr>
          </w:p>
        </w:tc>
        <w:tc>
          <w:tcPr>
            <w:tcW w:w="1439" w:type="pct"/>
            <w:shd w:val="clear" w:color="auto" w:fill="auto"/>
          </w:tcPr>
          <w:p w14:paraId="200D4E17" w14:textId="77777777" w:rsidR="003A71DE" w:rsidRPr="00CF6CE5" w:rsidRDefault="003A71DE" w:rsidP="003A71DE">
            <w:pPr>
              <w:pStyle w:val="TAC"/>
              <w:rPr>
                <w:rFonts w:cs="Arial"/>
                <w:szCs w:val="18"/>
              </w:rPr>
            </w:pPr>
            <w:r w:rsidRPr="00CF6CE5">
              <w:rPr>
                <w:rFonts w:cs="Arial"/>
                <w:szCs w:val="18"/>
              </w:rPr>
              <w:t>1</w:t>
            </w:r>
          </w:p>
        </w:tc>
      </w:tr>
      <w:tr w:rsidR="003A71DE" w:rsidRPr="00CF6CE5" w14:paraId="0641BEFB" w14:textId="77777777" w:rsidTr="003A71DE">
        <w:trPr>
          <w:trHeight w:val="93"/>
          <w:jc w:val="center"/>
        </w:trPr>
        <w:tc>
          <w:tcPr>
            <w:tcW w:w="1741" w:type="pct"/>
            <w:shd w:val="clear" w:color="auto" w:fill="auto"/>
          </w:tcPr>
          <w:p w14:paraId="06455866" w14:textId="77777777" w:rsidR="003A71DE" w:rsidRPr="00CF6CE5" w:rsidRDefault="003A71DE" w:rsidP="003A71DE">
            <w:pPr>
              <w:pStyle w:val="TAL"/>
              <w:rPr>
                <w:rFonts w:cs="Arial"/>
                <w:szCs w:val="18"/>
              </w:rPr>
            </w:pPr>
            <w:r w:rsidRPr="00CF6CE5">
              <w:rPr>
                <w:rFonts w:cs="Arial"/>
                <w:szCs w:val="18"/>
              </w:rPr>
              <w:t>Duplex mode</w:t>
            </w:r>
          </w:p>
        </w:tc>
        <w:tc>
          <w:tcPr>
            <w:tcW w:w="1440" w:type="pct"/>
            <w:shd w:val="clear" w:color="auto" w:fill="auto"/>
          </w:tcPr>
          <w:p w14:paraId="2D5CE77F"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6029AD94" w14:textId="77777777" w:rsidR="003A71DE" w:rsidRPr="00CF6CE5" w:rsidRDefault="003A71DE" w:rsidP="003A71DE">
            <w:pPr>
              <w:pStyle w:val="TAC"/>
              <w:rPr>
                <w:rFonts w:cs="Arial"/>
                <w:szCs w:val="18"/>
              </w:rPr>
            </w:pPr>
          </w:p>
        </w:tc>
        <w:tc>
          <w:tcPr>
            <w:tcW w:w="1439" w:type="pct"/>
            <w:shd w:val="clear" w:color="auto" w:fill="auto"/>
          </w:tcPr>
          <w:p w14:paraId="39F4FAAE" w14:textId="77777777" w:rsidR="003A71DE" w:rsidRPr="00CF6CE5" w:rsidRDefault="003A71DE" w:rsidP="003A71DE">
            <w:pPr>
              <w:pStyle w:val="TAC"/>
              <w:rPr>
                <w:rFonts w:cs="Arial"/>
                <w:szCs w:val="18"/>
              </w:rPr>
            </w:pPr>
            <w:r w:rsidRPr="00CF6CE5">
              <w:rPr>
                <w:rFonts w:cs="Arial"/>
                <w:szCs w:val="18"/>
              </w:rPr>
              <w:t>TDD</w:t>
            </w:r>
          </w:p>
        </w:tc>
      </w:tr>
      <w:tr w:rsidR="003A71DE" w:rsidRPr="00CF6CE5" w14:paraId="4FF71D22" w14:textId="77777777" w:rsidTr="003A71DE">
        <w:trPr>
          <w:trHeight w:val="189"/>
          <w:jc w:val="center"/>
        </w:trPr>
        <w:tc>
          <w:tcPr>
            <w:tcW w:w="1741" w:type="pct"/>
            <w:shd w:val="clear" w:color="auto" w:fill="auto"/>
          </w:tcPr>
          <w:p w14:paraId="23484787" w14:textId="77777777" w:rsidR="003A71DE" w:rsidRPr="00CF6CE5" w:rsidRDefault="003A71DE" w:rsidP="003A71DE">
            <w:pPr>
              <w:pStyle w:val="TAL"/>
              <w:rPr>
                <w:rFonts w:cs="Arial"/>
                <w:szCs w:val="18"/>
              </w:rPr>
            </w:pPr>
            <w:r w:rsidRPr="00CF6CE5">
              <w:rPr>
                <w:rFonts w:cs="Arial"/>
                <w:szCs w:val="18"/>
              </w:rPr>
              <w:t>TDD Configuration</w:t>
            </w:r>
          </w:p>
        </w:tc>
        <w:tc>
          <w:tcPr>
            <w:tcW w:w="1440" w:type="pct"/>
            <w:shd w:val="clear" w:color="auto" w:fill="auto"/>
          </w:tcPr>
          <w:p w14:paraId="26ECBD31"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6322CEA6" w14:textId="77777777" w:rsidR="003A71DE" w:rsidRPr="00CF6CE5" w:rsidRDefault="003A71DE" w:rsidP="003A71DE">
            <w:pPr>
              <w:pStyle w:val="TAC"/>
              <w:rPr>
                <w:rFonts w:cs="Arial"/>
                <w:szCs w:val="18"/>
              </w:rPr>
            </w:pPr>
          </w:p>
        </w:tc>
        <w:tc>
          <w:tcPr>
            <w:tcW w:w="1439" w:type="pct"/>
            <w:shd w:val="clear" w:color="auto" w:fill="auto"/>
          </w:tcPr>
          <w:p w14:paraId="495EABF1" w14:textId="77777777" w:rsidR="003A71DE" w:rsidRPr="00CF6CE5" w:rsidRDefault="003A71DE" w:rsidP="003A71DE">
            <w:pPr>
              <w:pStyle w:val="TAC"/>
              <w:rPr>
                <w:rFonts w:cs="Arial"/>
                <w:szCs w:val="18"/>
              </w:rPr>
            </w:pPr>
            <w:r w:rsidRPr="00CF6CE5">
              <w:rPr>
                <w:rFonts w:cs="Arial"/>
                <w:szCs w:val="18"/>
              </w:rPr>
              <w:t>TDDConf.3.1</w:t>
            </w:r>
          </w:p>
        </w:tc>
      </w:tr>
      <w:tr w:rsidR="003A71DE" w:rsidRPr="00CF6CE5" w14:paraId="697E64E7" w14:textId="77777777" w:rsidTr="003A71DE">
        <w:trPr>
          <w:trHeight w:val="189"/>
          <w:jc w:val="center"/>
        </w:trPr>
        <w:tc>
          <w:tcPr>
            <w:tcW w:w="1741" w:type="pct"/>
            <w:shd w:val="clear" w:color="auto" w:fill="auto"/>
            <w:vAlign w:val="center"/>
          </w:tcPr>
          <w:p w14:paraId="5625805C" w14:textId="77777777" w:rsidR="003A71DE" w:rsidRPr="00CF6CE5" w:rsidRDefault="003A71DE" w:rsidP="003A71DE">
            <w:pPr>
              <w:pStyle w:val="TAL"/>
              <w:rPr>
                <w:rFonts w:cs="Arial"/>
                <w:szCs w:val="18"/>
              </w:rPr>
            </w:pPr>
            <w:r w:rsidRPr="00CF6CE5">
              <w:rPr>
                <w:rFonts w:cs="Arial"/>
                <w:noProof/>
                <w:szCs w:val="18"/>
              </w:rPr>
              <w:t>DL initial BWP configuration</w:t>
            </w:r>
          </w:p>
        </w:tc>
        <w:tc>
          <w:tcPr>
            <w:tcW w:w="1440" w:type="pct"/>
            <w:shd w:val="clear" w:color="auto" w:fill="auto"/>
          </w:tcPr>
          <w:p w14:paraId="77BA2F8C" w14:textId="77777777" w:rsidR="003A71DE" w:rsidRPr="00CF6CE5" w:rsidRDefault="003A71DE" w:rsidP="003A71DE">
            <w:pPr>
              <w:pStyle w:val="TAL"/>
              <w:rPr>
                <w:rFonts w:cs="Arial"/>
                <w:szCs w:val="18"/>
              </w:rPr>
            </w:pPr>
            <w:r w:rsidRPr="00CF6CE5">
              <w:rPr>
                <w:rFonts w:cs="Arial"/>
                <w:noProof/>
                <w:szCs w:val="18"/>
              </w:rPr>
              <w:t>Config 1</w:t>
            </w:r>
          </w:p>
        </w:tc>
        <w:tc>
          <w:tcPr>
            <w:tcW w:w="380" w:type="pct"/>
            <w:shd w:val="clear" w:color="auto" w:fill="auto"/>
          </w:tcPr>
          <w:p w14:paraId="3CBEFDCE" w14:textId="77777777" w:rsidR="003A71DE" w:rsidRPr="00CF6CE5" w:rsidRDefault="003A71DE" w:rsidP="003A71DE">
            <w:pPr>
              <w:pStyle w:val="TAC"/>
              <w:rPr>
                <w:rFonts w:cs="Arial"/>
                <w:szCs w:val="18"/>
              </w:rPr>
            </w:pPr>
          </w:p>
        </w:tc>
        <w:tc>
          <w:tcPr>
            <w:tcW w:w="1439" w:type="pct"/>
            <w:shd w:val="clear" w:color="auto" w:fill="auto"/>
          </w:tcPr>
          <w:p w14:paraId="061B89B4" w14:textId="77777777" w:rsidR="003A71DE" w:rsidRPr="00CF6CE5" w:rsidRDefault="003A71DE" w:rsidP="003A71DE">
            <w:pPr>
              <w:pStyle w:val="TAC"/>
              <w:rPr>
                <w:rFonts w:cs="Arial"/>
                <w:szCs w:val="18"/>
              </w:rPr>
            </w:pPr>
            <w:r w:rsidRPr="00CF6CE5">
              <w:rPr>
                <w:rFonts w:cs="Arial"/>
                <w:noProof/>
                <w:szCs w:val="18"/>
              </w:rPr>
              <w:t>DLBWP.0.1</w:t>
            </w:r>
          </w:p>
        </w:tc>
      </w:tr>
      <w:tr w:rsidR="003A71DE" w:rsidRPr="00CF6CE5" w14:paraId="38D330B7" w14:textId="77777777" w:rsidTr="003A71DE">
        <w:trPr>
          <w:trHeight w:val="189"/>
          <w:jc w:val="center"/>
        </w:trPr>
        <w:tc>
          <w:tcPr>
            <w:tcW w:w="1741" w:type="pct"/>
            <w:shd w:val="clear" w:color="auto" w:fill="auto"/>
            <w:vAlign w:val="center"/>
          </w:tcPr>
          <w:p w14:paraId="30F1D9B2" w14:textId="77777777" w:rsidR="003A71DE" w:rsidRPr="00CF6CE5" w:rsidRDefault="003A71DE" w:rsidP="003A71DE">
            <w:pPr>
              <w:pStyle w:val="TAL"/>
              <w:rPr>
                <w:rFonts w:cs="Arial"/>
                <w:szCs w:val="18"/>
              </w:rPr>
            </w:pPr>
            <w:r w:rsidRPr="00CF6CE5">
              <w:rPr>
                <w:rFonts w:cs="Arial"/>
                <w:noProof/>
                <w:szCs w:val="18"/>
              </w:rPr>
              <w:t>DL dedicated BWP configuration</w:t>
            </w:r>
          </w:p>
        </w:tc>
        <w:tc>
          <w:tcPr>
            <w:tcW w:w="1440" w:type="pct"/>
            <w:shd w:val="clear" w:color="auto" w:fill="auto"/>
          </w:tcPr>
          <w:p w14:paraId="49394B18" w14:textId="77777777" w:rsidR="003A71DE" w:rsidRPr="00CF6CE5" w:rsidRDefault="003A71DE" w:rsidP="003A71DE">
            <w:pPr>
              <w:pStyle w:val="TAL"/>
              <w:rPr>
                <w:rFonts w:cs="Arial"/>
                <w:szCs w:val="18"/>
              </w:rPr>
            </w:pPr>
            <w:r w:rsidRPr="00CF6CE5">
              <w:rPr>
                <w:rFonts w:cs="Arial"/>
                <w:noProof/>
                <w:szCs w:val="18"/>
              </w:rPr>
              <w:t>Config 1</w:t>
            </w:r>
          </w:p>
        </w:tc>
        <w:tc>
          <w:tcPr>
            <w:tcW w:w="380" w:type="pct"/>
            <w:shd w:val="clear" w:color="auto" w:fill="auto"/>
          </w:tcPr>
          <w:p w14:paraId="3602B1DC" w14:textId="77777777" w:rsidR="003A71DE" w:rsidRPr="00CF6CE5" w:rsidRDefault="003A71DE" w:rsidP="003A71DE">
            <w:pPr>
              <w:pStyle w:val="TAC"/>
              <w:rPr>
                <w:rFonts w:cs="Arial"/>
                <w:szCs w:val="18"/>
              </w:rPr>
            </w:pPr>
          </w:p>
        </w:tc>
        <w:tc>
          <w:tcPr>
            <w:tcW w:w="1439" w:type="pct"/>
            <w:shd w:val="clear" w:color="auto" w:fill="auto"/>
          </w:tcPr>
          <w:p w14:paraId="206E0C1B" w14:textId="77777777" w:rsidR="003A71DE" w:rsidRPr="00CF6CE5" w:rsidRDefault="003A71DE" w:rsidP="003A71DE">
            <w:pPr>
              <w:pStyle w:val="TAC"/>
              <w:rPr>
                <w:rFonts w:cs="Arial"/>
                <w:szCs w:val="18"/>
              </w:rPr>
            </w:pPr>
            <w:r w:rsidRPr="00CF6CE5">
              <w:rPr>
                <w:rFonts w:cs="Arial"/>
                <w:noProof/>
                <w:szCs w:val="18"/>
              </w:rPr>
              <w:t>DLBWP.1.1</w:t>
            </w:r>
          </w:p>
        </w:tc>
      </w:tr>
      <w:tr w:rsidR="003A71DE" w:rsidRPr="00CF6CE5" w14:paraId="77B292E7" w14:textId="77777777" w:rsidTr="003A71DE">
        <w:trPr>
          <w:trHeight w:val="189"/>
          <w:jc w:val="center"/>
        </w:trPr>
        <w:tc>
          <w:tcPr>
            <w:tcW w:w="1741" w:type="pct"/>
            <w:shd w:val="clear" w:color="auto" w:fill="auto"/>
            <w:vAlign w:val="center"/>
          </w:tcPr>
          <w:p w14:paraId="1900AC35" w14:textId="77777777" w:rsidR="003A71DE" w:rsidRPr="00CF6CE5" w:rsidRDefault="003A71DE" w:rsidP="003A71DE">
            <w:pPr>
              <w:pStyle w:val="TAL"/>
              <w:rPr>
                <w:rFonts w:cs="Arial"/>
                <w:szCs w:val="18"/>
              </w:rPr>
            </w:pPr>
            <w:r w:rsidRPr="00CF6CE5">
              <w:rPr>
                <w:rFonts w:cs="Arial"/>
                <w:noProof/>
                <w:szCs w:val="18"/>
              </w:rPr>
              <w:t>UL initial BWP configuration</w:t>
            </w:r>
          </w:p>
        </w:tc>
        <w:tc>
          <w:tcPr>
            <w:tcW w:w="1440" w:type="pct"/>
            <w:shd w:val="clear" w:color="auto" w:fill="auto"/>
          </w:tcPr>
          <w:p w14:paraId="49DB2AEB" w14:textId="77777777" w:rsidR="003A71DE" w:rsidRPr="00CF6CE5" w:rsidRDefault="003A71DE" w:rsidP="003A71DE">
            <w:pPr>
              <w:pStyle w:val="TAL"/>
              <w:rPr>
                <w:rFonts w:cs="Arial"/>
                <w:szCs w:val="18"/>
              </w:rPr>
            </w:pPr>
            <w:r w:rsidRPr="00CF6CE5">
              <w:rPr>
                <w:rFonts w:cs="Arial"/>
                <w:noProof/>
                <w:szCs w:val="18"/>
              </w:rPr>
              <w:t>Config 1</w:t>
            </w:r>
          </w:p>
        </w:tc>
        <w:tc>
          <w:tcPr>
            <w:tcW w:w="380" w:type="pct"/>
            <w:shd w:val="clear" w:color="auto" w:fill="auto"/>
          </w:tcPr>
          <w:p w14:paraId="780A6604" w14:textId="77777777" w:rsidR="003A71DE" w:rsidRPr="00CF6CE5" w:rsidRDefault="003A71DE" w:rsidP="003A71DE">
            <w:pPr>
              <w:pStyle w:val="TAC"/>
              <w:rPr>
                <w:rFonts w:cs="Arial"/>
                <w:szCs w:val="18"/>
              </w:rPr>
            </w:pPr>
          </w:p>
        </w:tc>
        <w:tc>
          <w:tcPr>
            <w:tcW w:w="1439" w:type="pct"/>
            <w:shd w:val="clear" w:color="auto" w:fill="auto"/>
          </w:tcPr>
          <w:p w14:paraId="41F88FD4" w14:textId="77777777" w:rsidR="003A71DE" w:rsidRPr="00CF6CE5" w:rsidRDefault="003A71DE" w:rsidP="003A71DE">
            <w:pPr>
              <w:pStyle w:val="TAC"/>
              <w:rPr>
                <w:rFonts w:cs="Arial"/>
                <w:szCs w:val="18"/>
              </w:rPr>
            </w:pPr>
            <w:r w:rsidRPr="00CF6CE5">
              <w:rPr>
                <w:rFonts w:cs="Arial"/>
                <w:noProof/>
                <w:szCs w:val="18"/>
              </w:rPr>
              <w:t>ULBWP.0.1</w:t>
            </w:r>
          </w:p>
        </w:tc>
      </w:tr>
      <w:tr w:rsidR="003A71DE" w:rsidRPr="00CF6CE5" w14:paraId="043B7972" w14:textId="77777777" w:rsidTr="003A71DE">
        <w:trPr>
          <w:trHeight w:val="189"/>
          <w:jc w:val="center"/>
        </w:trPr>
        <w:tc>
          <w:tcPr>
            <w:tcW w:w="1741" w:type="pct"/>
            <w:shd w:val="clear" w:color="auto" w:fill="auto"/>
            <w:vAlign w:val="center"/>
          </w:tcPr>
          <w:p w14:paraId="18BA8E6C" w14:textId="77777777" w:rsidR="003A71DE" w:rsidRPr="00CF6CE5" w:rsidRDefault="003A71DE" w:rsidP="003A71DE">
            <w:pPr>
              <w:pStyle w:val="TAL"/>
              <w:rPr>
                <w:rFonts w:cs="Arial"/>
                <w:szCs w:val="18"/>
              </w:rPr>
            </w:pPr>
            <w:r w:rsidRPr="00CF6CE5">
              <w:rPr>
                <w:rFonts w:cs="Arial"/>
                <w:noProof/>
                <w:szCs w:val="18"/>
              </w:rPr>
              <w:t>UL dedicated BWP configuration</w:t>
            </w:r>
          </w:p>
        </w:tc>
        <w:tc>
          <w:tcPr>
            <w:tcW w:w="1440" w:type="pct"/>
            <w:shd w:val="clear" w:color="auto" w:fill="auto"/>
          </w:tcPr>
          <w:p w14:paraId="47F68B4B" w14:textId="77777777" w:rsidR="003A71DE" w:rsidRPr="00CF6CE5" w:rsidRDefault="003A71DE" w:rsidP="003A71DE">
            <w:pPr>
              <w:pStyle w:val="TAL"/>
              <w:rPr>
                <w:rFonts w:cs="Arial"/>
                <w:szCs w:val="18"/>
              </w:rPr>
            </w:pPr>
            <w:r w:rsidRPr="00CF6CE5">
              <w:rPr>
                <w:rFonts w:cs="Arial"/>
                <w:noProof/>
                <w:szCs w:val="18"/>
              </w:rPr>
              <w:t>Config 1</w:t>
            </w:r>
          </w:p>
        </w:tc>
        <w:tc>
          <w:tcPr>
            <w:tcW w:w="380" w:type="pct"/>
            <w:shd w:val="clear" w:color="auto" w:fill="auto"/>
          </w:tcPr>
          <w:p w14:paraId="584A8FB7" w14:textId="77777777" w:rsidR="003A71DE" w:rsidRPr="00CF6CE5" w:rsidRDefault="003A71DE" w:rsidP="003A71DE">
            <w:pPr>
              <w:pStyle w:val="TAC"/>
              <w:rPr>
                <w:rFonts w:cs="Arial"/>
                <w:szCs w:val="18"/>
              </w:rPr>
            </w:pPr>
          </w:p>
        </w:tc>
        <w:tc>
          <w:tcPr>
            <w:tcW w:w="1439" w:type="pct"/>
            <w:shd w:val="clear" w:color="auto" w:fill="auto"/>
          </w:tcPr>
          <w:p w14:paraId="3F7846A8" w14:textId="77777777" w:rsidR="003A71DE" w:rsidRPr="00CF6CE5" w:rsidRDefault="003A71DE" w:rsidP="003A71DE">
            <w:pPr>
              <w:pStyle w:val="TAC"/>
              <w:rPr>
                <w:rFonts w:cs="Arial"/>
                <w:szCs w:val="18"/>
              </w:rPr>
            </w:pPr>
            <w:r w:rsidRPr="00CF6CE5">
              <w:rPr>
                <w:rFonts w:cs="Arial"/>
                <w:noProof/>
                <w:szCs w:val="18"/>
              </w:rPr>
              <w:t>ULBWP.1.1</w:t>
            </w:r>
          </w:p>
        </w:tc>
      </w:tr>
      <w:tr w:rsidR="003A71DE" w:rsidRPr="00CF6CE5" w14:paraId="2B01CB98" w14:textId="77777777" w:rsidTr="003A71DE">
        <w:trPr>
          <w:trHeight w:val="189"/>
          <w:jc w:val="center"/>
        </w:trPr>
        <w:tc>
          <w:tcPr>
            <w:tcW w:w="1741" w:type="pct"/>
            <w:shd w:val="clear" w:color="auto" w:fill="auto"/>
          </w:tcPr>
          <w:p w14:paraId="78AEB8CB" w14:textId="77777777" w:rsidR="003A71DE" w:rsidRPr="00CF6CE5" w:rsidRDefault="003A71DE" w:rsidP="003A71DE">
            <w:pPr>
              <w:pStyle w:val="TAL"/>
              <w:rPr>
                <w:rFonts w:cs="Arial"/>
                <w:szCs w:val="18"/>
              </w:rPr>
            </w:pPr>
            <w:r w:rsidRPr="00CF6CE5">
              <w:rPr>
                <w:rFonts w:cs="Arial"/>
                <w:szCs w:val="18"/>
              </w:rPr>
              <w:t>CORESET Reference Channel</w:t>
            </w:r>
          </w:p>
        </w:tc>
        <w:tc>
          <w:tcPr>
            <w:tcW w:w="1440" w:type="pct"/>
            <w:shd w:val="clear" w:color="auto" w:fill="auto"/>
          </w:tcPr>
          <w:p w14:paraId="61F42E4B"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6FA0D879" w14:textId="77777777" w:rsidR="003A71DE" w:rsidRPr="00CF6CE5" w:rsidRDefault="003A71DE" w:rsidP="003A71DE">
            <w:pPr>
              <w:pStyle w:val="TAC"/>
              <w:rPr>
                <w:rFonts w:cs="Arial"/>
                <w:szCs w:val="18"/>
              </w:rPr>
            </w:pPr>
          </w:p>
        </w:tc>
        <w:tc>
          <w:tcPr>
            <w:tcW w:w="1439" w:type="pct"/>
            <w:shd w:val="clear" w:color="auto" w:fill="auto"/>
          </w:tcPr>
          <w:p w14:paraId="089D8303" w14:textId="77777777" w:rsidR="003A71DE" w:rsidRPr="00CF6CE5" w:rsidRDefault="003A71DE" w:rsidP="003A71DE">
            <w:pPr>
              <w:pStyle w:val="TAC"/>
              <w:rPr>
                <w:rFonts w:cs="Arial"/>
                <w:szCs w:val="18"/>
              </w:rPr>
            </w:pPr>
            <w:r w:rsidRPr="00CF6CE5">
              <w:rPr>
                <w:rFonts w:cs="Arial"/>
                <w:szCs w:val="18"/>
              </w:rPr>
              <w:t>CCR.3.1 TDD</w:t>
            </w:r>
          </w:p>
          <w:p w14:paraId="1DB7B0AE" w14:textId="77777777" w:rsidR="003A71DE" w:rsidRPr="00CF6CE5" w:rsidRDefault="003A71DE" w:rsidP="003A71DE">
            <w:pPr>
              <w:pStyle w:val="TAC"/>
              <w:rPr>
                <w:rFonts w:cs="Arial"/>
                <w:szCs w:val="18"/>
              </w:rPr>
            </w:pPr>
            <w:r w:rsidRPr="00CF6CE5">
              <w:rPr>
                <w:rFonts w:cs="Arial"/>
                <w:noProof/>
                <w:szCs w:val="18"/>
              </w:rPr>
              <w:t>CCR.3.3 TDD</w:t>
            </w:r>
          </w:p>
        </w:tc>
      </w:tr>
      <w:tr w:rsidR="003A71DE" w:rsidRPr="00CF6CE5" w14:paraId="332E40FD" w14:textId="77777777" w:rsidTr="003A71DE">
        <w:trPr>
          <w:trHeight w:val="125"/>
          <w:jc w:val="center"/>
        </w:trPr>
        <w:tc>
          <w:tcPr>
            <w:tcW w:w="1741" w:type="pct"/>
            <w:shd w:val="clear" w:color="auto" w:fill="auto"/>
          </w:tcPr>
          <w:p w14:paraId="7EEC4B86" w14:textId="77777777" w:rsidR="003A71DE" w:rsidRPr="00CF6CE5" w:rsidRDefault="003A71DE" w:rsidP="003A71DE">
            <w:pPr>
              <w:pStyle w:val="TAL"/>
              <w:rPr>
                <w:rFonts w:cs="Arial"/>
                <w:szCs w:val="18"/>
              </w:rPr>
            </w:pPr>
            <w:r w:rsidRPr="00CF6CE5">
              <w:rPr>
                <w:rFonts w:cs="Arial"/>
                <w:szCs w:val="18"/>
              </w:rPr>
              <w:t>SSB Configuration</w:t>
            </w:r>
          </w:p>
        </w:tc>
        <w:tc>
          <w:tcPr>
            <w:tcW w:w="1440" w:type="pct"/>
            <w:shd w:val="clear" w:color="auto" w:fill="auto"/>
          </w:tcPr>
          <w:p w14:paraId="4A1A548E"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6F2AB59B" w14:textId="77777777" w:rsidR="003A71DE" w:rsidRPr="00CF6CE5" w:rsidRDefault="003A71DE" w:rsidP="003A71DE">
            <w:pPr>
              <w:pStyle w:val="TAC"/>
              <w:rPr>
                <w:rFonts w:cs="Arial"/>
                <w:szCs w:val="18"/>
              </w:rPr>
            </w:pPr>
          </w:p>
        </w:tc>
        <w:tc>
          <w:tcPr>
            <w:tcW w:w="1439" w:type="pct"/>
            <w:shd w:val="clear" w:color="auto" w:fill="auto"/>
          </w:tcPr>
          <w:p w14:paraId="5485FC56" w14:textId="77777777" w:rsidR="003A71DE" w:rsidRPr="00CF6CE5" w:rsidRDefault="003A71DE" w:rsidP="003A71DE">
            <w:pPr>
              <w:pStyle w:val="TAC"/>
              <w:rPr>
                <w:rFonts w:cs="Arial"/>
                <w:szCs w:val="18"/>
              </w:rPr>
            </w:pPr>
            <w:r w:rsidRPr="00CF6CE5">
              <w:rPr>
                <w:rFonts w:cs="Arial"/>
                <w:szCs w:val="18"/>
              </w:rPr>
              <w:t>SSB.1 FR2</w:t>
            </w:r>
          </w:p>
        </w:tc>
      </w:tr>
      <w:tr w:rsidR="003A71DE" w:rsidRPr="00CF6CE5" w14:paraId="3302CF8D" w14:textId="77777777" w:rsidTr="003A71DE">
        <w:trPr>
          <w:trHeight w:val="223"/>
          <w:jc w:val="center"/>
        </w:trPr>
        <w:tc>
          <w:tcPr>
            <w:tcW w:w="1741" w:type="pct"/>
            <w:shd w:val="clear" w:color="auto" w:fill="auto"/>
          </w:tcPr>
          <w:p w14:paraId="10800A45" w14:textId="77777777" w:rsidR="003A71DE" w:rsidRPr="00CF6CE5" w:rsidRDefault="003A71DE" w:rsidP="003A71DE">
            <w:pPr>
              <w:pStyle w:val="TAL"/>
              <w:rPr>
                <w:rFonts w:cs="Arial"/>
                <w:szCs w:val="18"/>
              </w:rPr>
            </w:pPr>
            <w:r w:rsidRPr="00CF6CE5">
              <w:rPr>
                <w:rFonts w:cs="Arial"/>
                <w:szCs w:val="18"/>
              </w:rPr>
              <w:t>SMTC Configuration</w:t>
            </w:r>
          </w:p>
        </w:tc>
        <w:tc>
          <w:tcPr>
            <w:tcW w:w="1440" w:type="pct"/>
            <w:shd w:val="clear" w:color="auto" w:fill="auto"/>
          </w:tcPr>
          <w:p w14:paraId="1B16C32C"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534A3B1C" w14:textId="77777777" w:rsidR="003A71DE" w:rsidRPr="00CF6CE5" w:rsidRDefault="003A71DE" w:rsidP="003A71DE">
            <w:pPr>
              <w:pStyle w:val="TAC"/>
              <w:rPr>
                <w:rFonts w:cs="Arial"/>
                <w:szCs w:val="18"/>
              </w:rPr>
            </w:pPr>
          </w:p>
        </w:tc>
        <w:tc>
          <w:tcPr>
            <w:tcW w:w="1439" w:type="pct"/>
            <w:shd w:val="clear" w:color="auto" w:fill="auto"/>
          </w:tcPr>
          <w:p w14:paraId="61CA8FFD" w14:textId="77777777" w:rsidR="003A71DE" w:rsidRPr="00CF6CE5" w:rsidRDefault="003A71DE" w:rsidP="003A71DE">
            <w:pPr>
              <w:pStyle w:val="TAC"/>
              <w:rPr>
                <w:rFonts w:cs="Arial"/>
                <w:szCs w:val="18"/>
              </w:rPr>
            </w:pPr>
            <w:r w:rsidRPr="00CF6CE5">
              <w:rPr>
                <w:rFonts w:cs="Arial"/>
                <w:szCs w:val="18"/>
              </w:rPr>
              <w:t>SMTC.1</w:t>
            </w:r>
          </w:p>
        </w:tc>
      </w:tr>
      <w:tr w:rsidR="003A71DE" w:rsidRPr="00CF6CE5" w14:paraId="27CCA6CA" w14:textId="77777777" w:rsidTr="003A71DE">
        <w:trPr>
          <w:trHeight w:val="284"/>
          <w:jc w:val="center"/>
        </w:trPr>
        <w:tc>
          <w:tcPr>
            <w:tcW w:w="1741" w:type="pct"/>
            <w:shd w:val="clear" w:color="auto" w:fill="auto"/>
          </w:tcPr>
          <w:p w14:paraId="0DE12A9E" w14:textId="77777777" w:rsidR="003A71DE" w:rsidRPr="00CF6CE5" w:rsidRDefault="003A71DE" w:rsidP="003A71DE">
            <w:pPr>
              <w:pStyle w:val="TAL"/>
              <w:rPr>
                <w:rFonts w:cs="Arial"/>
                <w:szCs w:val="18"/>
              </w:rPr>
            </w:pPr>
            <w:r w:rsidRPr="00CF6CE5">
              <w:rPr>
                <w:rFonts w:cs="Arial"/>
                <w:szCs w:val="18"/>
              </w:rPr>
              <w:t>PDSCH/PDCCH subcarrier spacing</w:t>
            </w:r>
          </w:p>
        </w:tc>
        <w:tc>
          <w:tcPr>
            <w:tcW w:w="1440" w:type="pct"/>
            <w:shd w:val="clear" w:color="auto" w:fill="auto"/>
          </w:tcPr>
          <w:p w14:paraId="122CB370"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57EC8077" w14:textId="77777777" w:rsidR="003A71DE" w:rsidRPr="00CF6CE5" w:rsidRDefault="003A71DE" w:rsidP="003A71DE">
            <w:pPr>
              <w:pStyle w:val="TAC"/>
              <w:rPr>
                <w:rFonts w:cs="Arial"/>
                <w:szCs w:val="18"/>
              </w:rPr>
            </w:pPr>
          </w:p>
        </w:tc>
        <w:tc>
          <w:tcPr>
            <w:tcW w:w="1439" w:type="pct"/>
            <w:shd w:val="clear" w:color="auto" w:fill="auto"/>
          </w:tcPr>
          <w:p w14:paraId="27093896" w14:textId="77777777" w:rsidR="003A71DE" w:rsidRPr="00CF6CE5" w:rsidRDefault="003A71DE" w:rsidP="003A71DE">
            <w:pPr>
              <w:pStyle w:val="TAC"/>
              <w:rPr>
                <w:rFonts w:cs="Arial"/>
                <w:szCs w:val="18"/>
              </w:rPr>
            </w:pPr>
            <w:r w:rsidRPr="00CF6CE5">
              <w:rPr>
                <w:rFonts w:cs="Arial"/>
                <w:szCs w:val="18"/>
              </w:rPr>
              <w:t>120 KHz</w:t>
            </w:r>
          </w:p>
        </w:tc>
      </w:tr>
      <w:tr w:rsidR="003A71DE" w:rsidRPr="00CF6CE5" w14:paraId="0E4AB153" w14:textId="77777777" w:rsidTr="003A71DE">
        <w:trPr>
          <w:trHeight w:val="284"/>
          <w:jc w:val="center"/>
        </w:trPr>
        <w:tc>
          <w:tcPr>
            <w:tcW w:w="1741" w:type="pct"/>
            <w:shd w:val="clear" w:color="auto" w:fill="auto"/>
          </w:tcPr>
          <w:p w14:paraId="7127541E" w14:textId="77777777" w:rsidR="003A71DE" w:rsidRPr="00CF6CE5" w:rsidRDefault="003A71DE" w:rsidP="003A71DE">
            <w:pPr>
              <w:pStyle w:val="TAL"/>
              <w:rPr>
                <w:rFonts w:cs="Arial"/>
                <w:szCs w:val="18"/>
              </w:rPr>
            </w:pPr>
            <w:r w:rsidRPr="00CF6CE5">
              <w:rPr>
                <w:rFonts w:cs="Arial"/>
                <w:noProof/>
                <w:szCs w:val="18"/>
              </w:rPr>
              <w:t>CSI-RS for RLM</w:t>
            </w:r>
          </w:p>
        </w:tc>
        <w:tc>
          <w:tcPr>
            <w:tcW w:w="1440" w:type="pct"/>
            <w:shd w:val="clear" w:color="auto" w:fill="auto"/>
          </w:tcPr>
          <w:p w14:paraId="0CD300B5" w14:textId="77777777" w:rsidR="003A71DE" w:rsidRPr="00CF6CE5" w:rsidRDefault="003A71DE" w:rsidP="003A71DE">
            <w:pPr>
              <w:pStyle w:val="TAL"/>
              <w:rPr>
                <w:rFonts w:cs="Arial"/>
                <w:szCs w:val="18"/>
              </w:rPr>
            </w:pPr>
            <w:r w:rsidRPr="00CF6CE5">
              <w:rPr>
                <w:rFonts w:cs="Arial"/>
                <w:noProof/>
                <w:szCs w:val="18"/>
              </w:rPr>
              <w:t>Config 1</w:t>
            </w:r>
          </w:p>
        </w:tc>
        <w:tc>
          <w:tcPr>
            <w:tcW w:w="380" w:type="pct"/>
            <w:shd w:val="clear" w:color="auto" w:fill="auto"/>
          </w:tcPr>
          <w:p w14:paraId="15CED255" w14:textId="77777777" w:rsidR="003A71DE" w:rsidRPr="00CF6CE5" w:rsidRDefault="003A71DE" w:rsidP="003A71DE">
            <w:pPr>
              <w:pStyle w:val="TAC"/>
              <w:rPr>
                <w:rFonts w:cs="Arial"/>
                <w:szCs w:val="18"/>
              </w:rPr>
            </w:pPr>
          </w:p>
        </w:tc>
        <w:tc>
          <w:tcPr>
            <w:tcW w:w="1439" w:type="pct"/>
            <w:shd w:val="clear" w:color="auto" w:fill="auto"/>
          </w:tcPr>
          <w:p w14:paraId="3A67D1A8" w14:textId="77777777" w:rsidR="003A71DE" w:rsidRPr="00CF6CE5" w:rsidRDefault="003A71DE" w:rsidP="003A71DE">
            <w:pPr>
              <w:pStyle w:val="TAC"/>
              <w:rPr>
                <w:rFonts w:cs="Arial"/>
                <w:noProof/>
                <w:szCs w:val="18"/>
              </w:rPr>
            </w:pPr>
            <w:r w:rsidRPr="00CF6CE5">
              <w:rPr>
                <w:rFonts w:cs="Arial"/>
                <w:noProof/>
                <w:szCs w:val="18"/>
              </w:rPr>
              <w:t>Resource #4 in TRS.2.1 TDD</w:t>
            </w:r>
          </w:p>
          <w:p w14:paraId="3BE2FE83" w14:textId="77777777" w:rsidR="003A71DE" w:rsidRPr="00CF6CE5" w:rsidRDefault="003A71DE" w:rsidP="003A71DE">
            <w:pPr>
              <w:pStyle w:val="TAC"/>
              <w:rPr>
                <w:rFonts w:cs="Arial"/>
                <w:szCs w:val="18"/>
              </w:rPr>
            </w:pPr>
            <w:r w:rsidRPr="00CF6CE5">
              <w:rPr>
                <w:rFonts w:cs="Arial"/>
                <w:noProof/>
                <w:szCs w:val="18"/>
              </w:rPr>
              <w:t>Resource #4 in TRS.2.2 TDD</w:t>
            </w:r>
          </w:p>
        </w:tc>
      </w:tr>
      <w:tr w:rsidR="003A71DE" w:rsidRPr="00CF6CE5" w14:paraId="177F9EF5" w14:textId="77777777" w:rsidTr="003A71DE">
        <w:trPr>
          <w:trHeight w:val="176"/>
          <w:jc w:val="center"/>
        </w:trPr>
        <w:tc>
          <w:tcPr>
            <w:tcW w:w="3181" w:type="pct"/>
            <w:gridSpan w:val="2"/>
            <w:shd w:val="clear" w:color="auto" w:fill="auto"/>
          </w:tcPr>
          <w:p w14:paraId="62816670" w14:textId="77777777" w:rsidR="003A71DE" w:rsidRPr="00CF6CE5" w:rsidRDefault="003A71DE" w:rsidP="003A71DE">
            <w:pPr>
              <w:pStyle w:val="TAL"/>
              <w:rPr>
                <w:rFonts w:cs="Arial"/>
                <w:szCs w:val="18"/>
              </w:rPr>
            </w:pPr>
            <w:r w:rsidRPr="00CF6CE5">
              <w:rPr>
                <w:rFonts w:cs="Arial"/>
                <w:szCs w:val="18"/>
              </w:rPr>
              <w:t>TRS configuration</w:t>
            </w:r>
          </w:p>
        </w:tc>
        <w:tc>
          <w:tcPr>
            <w:tcW w:w="380" w:type="pct"/>
            <w:shd w:val="clear" w:color="auto" w:fill="auto"/>
          </w:tcPr>
          <w:p w14:paraId="1943B3C0" w14:textId="77777777" w:rsidR="003A71DE" w:rsidRPr="00CF6CE5" w:rsidRDefault="003A71DE" w:rsidP="003A71DE">
            <w:pPr>
              <w:pStyle w:val="TAC"/>
              <w:rPr>
                <w:rFonts w:cs="Arial"/>
                <w:szCs w:val="18"/>
              </w:rPr>
            </w:pPr>
          </w:p>
        </w:tc>
        <w:tc>
          <w:tcPr>
            <w:tcW w:w="1439" w:type="pct"/>
            <w:shd w:val="clear" w:color="auto" w:fill="auto"/>
          </w:tcPr>
          <w:p w14:paraId="55539727" w14:textId="77777777" w:rsidR="003A71DE" w:rsidRPr="00CF6CE5" w:rsidRDefault="003A71DE" w:rsidP="003A71DE">
            <w:pPr>
              <w:pStyle w:val="TAC"/>
              <w:rPr>
                <w:rFonts w:cs="Arial"/>
                <w:szCs w:val="18"/>
              </w:rPr>
            </w:pPr>
            <w:r w:rsidRPr="00CF6CE5">
              <w:rPr>
                <w:rFonts w:cs="Arial"/>
                <w:szCs w:val="18"/>
              </w:rPr>
              <w:t>TRS.2.1 TDD</w:t>
            </w:r>
          </w:p>
          <w:p w14:paraId="02DA9B2C" w14:textId="77777777" w:rsidR="003A71DE" w:rsidRPr="00CF6CE5" w:rsidRDefault="003A71DE" w:rsidP="003A71DE">
            <w:pPr>
              <w:pStyle w:val="TAC"/>
              <w:rPr>
                <w:rFonts w:cs="Arial"/>
                <w:szCs w:val="18"/>
              </w:rPr>
            </w:pPr>
            <w:r w:rsidRPr="00CF6CE5">
              <w:rPr>
                <w:rFonts w:cs="Arial"/>
                <w:noProof/>
                <w:szCs w:val="18"/>
              </w:rPr>
              <w:t>TRS.2.2 TDD</w:t>
            </w:r>
          </w:p>
        </w:tc>
      </w:tr>
      <w:tr w:rsidR="003A71DE" w:rsidRPr="00CF6CE5" w14:paraId="0C8A599C" w14:textId="77777777" w:rsidTr="003A71DE">
        <w:trPr>
          <w:trHeight w:val="176"/>
          <w:jc w:val="center"/>
        </w:trPr>
        <w:tc>
          <w:tcPr>
            <w:tcW w:w="3181" w:type="pct"/>
            <w:gridSpan w:val="2"/>
            <w:shd w:val="clear" w:color="auto" w:fill="auto"/>
          </w:tcPr>
          <w:p w14:paraId="1601EAC9" w14:textId="77777777" w:rsidR="003A71DE" w:rsidRPr="00CF6CE5" w:rsidRDefault="003A71DE" w:rsidP="003A71DE">
            <w:pPr>
              <w:pStyle w:val="TAL"/>
              <w:rPr>
                <w:rFonts w:cs="Arial"/>
                <w:szCs w:val="18"/>
              </w:rPr>
            </w:pPr>
            <w:r w:rsidRPr="00CF6CE5">
              <w:rPr>
                <w:rFonts w:cs="Arial"/>
                <w:szCs w:val="18"/>
              </w:rPr>
              <w:t>TCI configuration</w:t>
            </w:r>
            <w:r w:rsidRPr="00CF6CE5">
              <w:rPr>
                <w:rFonts w:cs="Arial"/>
                <w:noProof/>
                <w:szCs w:val="18"/>
              </w:rPr>
              <w:t xml:space="preserve"> for PDCCH#1/PDSCH</w:t>
            </w:r>
          </w:p>
        </w:tc>
        <w:tc>
          <w:tcPr>
            <w:tcW w:w="380" w:type="pct"/>
            <w:shd w:val="clear" w:color="auto" w:fill="auto"/>
          </w:tcPr>
          <w:p w14:paraId="6298D9F7" w14:textId="77777777" w:rsidR="003A71DE" w:rsidRPr="00CF6CE5" w:rsidRDefault="003A71DE" w:rsidP="003A71DE">
            <w:pPr>
              <w:pStyle w:val="TAC"/>
              <w:rPr>
                <w:rFonts w:cs="Arial"/>
                <w:szCs w:val="18"/>
              </w:rPr>
            </w:pPr>
          </w:p>
        </w:tc>
        <w:tc>
          <w:tcPr>
            <w:tcW w:w="1439" w:type="pct"/>
            <w:shd w:val="clear" w:color="auto" w:fill="auto"/>
          </w:tcPr>
          <w:p w14:paraId="1CEEB45F" w14:textId="77777777" w:rsidR="003A71DE" w:rsidRPr="00CF6CE5" w:rsidRDefault="003A71DE" w:rsidP="003A71DE">
            <w:pPr>
              <w:pStyle w:val="TAC"/>
              <w:rPr>
                <w:rFonts w:cs="Arial"/>
                <w:szCs w:val="18"/>
              </w:rPr>
            </w:pPr>
            <w:r w:rsidRPr="00CF6CE5">
              <w:rPr>
                <w:rFonts w:cs="Arial"/>
                <w:noProof/>
                <w:szCs w:val="18"/>
              </w:rPr>
              <w:t>TCI.State.2</w:t>
            </w:r>
          </w:p>
        </w:tc>
      </w:tr>
      <w:tr w:rsidR="003A71DE" w:rsidRPr="00CF6CE5" w14:paraId="2C4CC3ED" w14:textId="77777777" w:rsidTr="003A71DE">
        <w:trPr>
          <w:trHeight w:val="176"/>
          <w:jc w:val="center"/>
        </w:trPr>
        <w:tc>
          <w:tcPr>
            <w:tcW w:w="3181" w:type="pct"/>
            <w:gridSpan w:val="2"/>
            <w:shd w:val="clear" w:color="auto" w:fill="auto"/>
          </w:tcPr>
          <w:p w14:paraId="329C78E2" w14:textId="77777777" w:rsidR="003A71DE" w:rsidRPr="00CF6CE5" w:rsidRDefault="003A71DE" w:rsidP="003A71DE">
            <w:pPr>
              <w:pStyle w:val="TAL"/>
              <w:rPr>
                <w:rFonts w:cs="Arial"/>
                <w:szCs w:val="18"/>
              </w:rPr>
            </w:pPr>
            <w:r w:rsidRPr="00CF6CE5">
              <w:rPr>
                <w:rFonts w:cs="Arial"/>
                <w:noProof/>
                <w:szCs w:val="18"/>
              </w:rPr>
              <w:t>TCI configuration for PDCCH#2</w:t>
            </w:r>
          </w:p>
        </w:tc>
        <w:tc>
          <w:tcPr>
            <w:tcW w:w="380" w:type="pct"/>
            <w:shd w:val="clear" w:color="auto" w:fill="auto"/>
          </w:tcPr>
          <w:p w14:paraId="37D64D52" w14:textId="77777777" w:rsidR="003A71DE" w:rsidRPr="00CF6CE5" w:rsidRDefault="003A71DE" w:rsidP="003A71DE">
            <w:pPr>
              <w:pStyle w:val="TAC"/>
              <w:rPr>
                <w:rFonts w:cs="Arial"/>
                <w:szCs w:val="18"/>
              </w:rPr>
            </w:pPr>
          </w:p>
        </w:tc>
        <w:tc>
          <w:tcPr>
            <w:tcW w:w="1439" w:type="pct"/>
            <w:shd w:val="clear" w:color="auto" w:fill="auto"/>
          </w:tcPr>
          <w:p w14:paraId="336106C0" w14:textId="77777777" w:rsidR="003A71DE" w:rsidRPr="00CF6CE5" w:rsidDel="005C10B4" w:rsidRDefault="003A71DE" w:rsidP="003A71DE">
            <w:pPr>
              <w:pStyle w:val="TAC"/>
              <w:rPr>
                <w:rFonts w:cs="Arial"/>
                <w:szCs w:val="18"/>
              </w:rPr>
            </w:pPr>
            <w:r w:rsidRPr="00CF6CE5">
              <w:rPr>
                <w:rFonts w:cs="Arial"/>
                <w:noProof/>
                <w:szCs w:val="18"/>
              </w:rPr>
              <w:t>TCI.State.3</w:t>
            </w:r>
          </w:p>
        </w:tc>
      </w:tr>
      <w:tr w:rsidR="003A71DE" w:rsidRPr="00CF6CE5" w14:paraId="01136161" w14:textId="77777777" w:rsidTr="003A71DE">
        <w:trPr>
          <w:trHeight w:val="176"/>
          <w:jc w:val="center"/>
        </w:trPr>
        <w:tc>
          <w:tcPr>
            <w:tcW w:w="3181" w:type="pct"/>
            <w:gridSpan w:val="2"/>
            <w:shd w:val="clear" w:color="auto" w:fill="auto"/>
          </w:tcPr>
          <w:p w14:paraId="18051C37" w14:textId="77777777" w:rsidR="003A71DE" w:rsidRPr="00CF6CE5" w:rsidRDefault="003A71DE" w:rsidP="003A71DE">
            <w:pPr>
              <w:pStyle w:val="TAL"/>
              <w:rPr>
                <w:rFonts w:cs="Arial"/>
                <w:szCs w:val="18"/>
              </w:rPr>
            </w:pPr>
            <w:r w:rsidRPr="00CF6CE5">
              <w:rPr>
                <w:rFonts w:cs="Arial"/>
                <w:szCs w:val="18"/>
              </w:rPr>
              <w:t>OCNG parameters</w:t>
            </w:r>
          </w:p>
        </w:tc>
        <w:tc>
          <w:tcPr>
            <w:tcW w:w="380" w:type="pct"/>
            <w:shd w:val="clear" w:color="auto" w:fill="auto"/>
          </w:tcPr>
          <w:p w14:paraId="1718178A" w14:textId="77777777" w:rsidR="003A71DE" w:rsidRPr="00CF6CE5" w:rsidRDefault="003A71DE" w:rsidP="003A71DE">
            <w:pPr>
              <w:pStyle w:val="TAC"/>
              <w:rPr>
                <w:rFonts w:cs="Arial"/>
                <w:szCs w:val="18"/>
              </w:rPr>
            </w:pPr>
          </w:p>
        </w:tc>
        <w:tc>
          <w:tcPr>
            <w:tcW w:w="1439" w:type="pct"/>
            <w:shd w:val="clear" w:color="auto" w:fill="auto"/>
          </w:tcPr>
          <w:p w14:paraId="124BCD65" w14:textId="77777777" w:rsidR="003A71DE" w:rsidRPr="00CF6CE5" w:rsidRDefault="003A71DE" w:rsidP="003A71DE">
            <w:pPr>
              <w:pStyle w:val="TAC"/>
              <w:rPr>
                <w:rFonts w:cs="Arial"/>
                <w:szCs w:val="18"/>
              </w:rPr>
            </w:pPr>
            <w:r w:rsidRPr="00CF6CE5">
              <w:rPr>
                <w:rFonts w:cs="Arial"/>
                <w:szCs w:val="18"/>
              </w:rPr>
              <w:t>OP.1</w:t>
            </w:r>
          </w:p>
        </w:tc>
      </w:tr>
      <w:tr w:rsidR="003A71DE" w:rsidRPr="00CF6CE5" w14:paraId="153678AF" w14:textId="77777777" w:rsidTr="003A71DE">
        <w:trPr>
          <w:trHeight w:val="164"/>
          <w:jc w:val="center"/>
        </w:trPr>
        <w:tc>
          <w:tcPr>
            <w:tcW w:w="3181" w:type="pct"/>
            <w:gridSpan w:val="2"/>
            <w:shd w:val="clear" w:color="auto" w:fill="auto"/>
          </w:tcPr>
          <w:p w14:paraId="5F8B76DD" w14:textId="77777777" w:rsidR="003A71DE" w:rsidRPr="00CF6CE5" w:rsidRDefault="003A71DE" w:rsidP="003A71DE">
            <w:pPr>
              <w:pStyle w:val="TAL"/>
              <w:rPr>
                <w:rFonts w:cs="Arial"/>
                <w:szCs w:val="18"/>
              </w:rPr>
            </w:pPr>
            <w:r w:rsidRPr="00CF6CE5">
              <w:rPr>
                <w:rFonts w:cs="Arial"/>
                <w:szCs w:val="18"/>
              </w:rPr>
              <w:t>CP length</w:t>
            </w:r>
          </w:p>
        </w:tc>
        <w:tc>
          <w:tcPr>
            <w:tcW w:w="380" w:type="pct"/>
            <w:shd w:val="clear" w:color="auto" w:fill="auto"/>
          </w:tcPr>
          <w:p w14:paraId="045BF812" w14:textId="77777777" w:rsidR="003A71DE" w:rsidRPr="00CF6CE5" w:rsidRDefault="003A71DE" w:rsidP="003A71DE">
            <w:pPr>
              <w:pStyle w:val="TAC"/>
              <w:rPr>
                <w:rFonts w:cs="Arial"/>
                <w:szCs w:val="18"/>
              </w:rPr>
            </w:pPr>
          </w:p>
        </w:tc>
        <w:tc>
          <w:tcPr>
            <w:tcW w:w="1439" w:type="pct"/>
            <w:shd w:val="clear" w:color="auto" w:fill="auto"/>
          </w:tcPr>
          <w:p w14:paraId="57488C2D" w14:textId="77777777" w:rsidR="003A71DE" w:rsidRPr="00CF6CE5" w:rsidRDefault="003A71DE" w:rsidP="003A71DE">
            <w:pPr>
              <w:pStyle w:val="TAC"/>
              <w:rPr>
                <w:rFonts w:cs="Arial"/>
                <w:szCs w:val="18"/>
              </w:rPr>
            </w:pPr>
            <w:r w:rsidRPr="00CF6CE5">
              <w:rPr>
                <w:rFonts w:cs="Arial"/>
                <w:szCs w:val="18"/>
              </w:rPr>
              <w:t>Normal</w:t>
            </w:r>
          </w:p>
        </w:tc>
      </w:tr>
      <w:tr w:rsidR="003A71DE" w:rsidRPr="00CF6CE5" w14:paraId="1EB073D5" w14:textId="77777777" w:rsidTr="003A71DE">
        <w:trPr>
          <w:trHeight w:val="164"/>
          <w:jc w:val="center"/>
        </w:trPr>
        <w:tc>
          <w:tcPr>
            <w:tcW w:w="1741" w:type="pct"/>
            <w:tcBorders>
              <w:bottom w:val="nil"/>
            </w:tcBorders>
            <w:shd w:val="clear" w:color="auto" w:fill="auto"/>
          </w:tcPr>
          <w:p w14:paraId="65C09F59" w14:textId="77777777" w:rsidR="003A71DE" w:rsidRPr="00CF6CE5" w:rsidRDefault="003A71DE" w:rsidP="003A71DE">
            <w:pPr>
              <w:pStyle w:val="TAL"/>
              <w:rPr>
                <w:rFonts w:cs="Arial"/>
                <w:szCs w:val="18"/>
              </w:rPr>
            </w:pPr>
            <w:r w:rsidRPr="00CF6CE5">
              <w:rPr>
                <w:rFonts w:cs="Arial"/>
                <w:szCs w:val="18"/>
              </w:rPr>
              <w:t xml:space="preserve">Out of sync transmission parameters </w:t>
            </w:r>
          </w:p>
        </w:tc>
        <w:tc>
          <w:tcPr>
            <w:tcW w:w="1440" w:type="pct"/>
            <w:shd w:val="clear" w:color="auto" w:fill="auto"/>
          </w:tcPr>
          <w:p w14:paraId="29AE0801" w14:textId="77777777" w:rsidR="003A71DE" w:rsidRPr="00CF6CE5" w:rsidRDefault="003A71DE" w:rsidP="003A71DE">
            <w:pPr>
              <w:pStyle w:val="TAL"/>
              <w:rPr>
                <w:rFonts w:cs="Arial"/>
                <w:szCs w:val="18"/>
              </w:rPr>
            </w:pPr>
            <w:r w:rsidRPr="00CF6CE5">
              <w:rPr>
                <w:rFonts w:cs="Arial"/>
                <w:szCs w:val="18"/>
              </w:rPr>
              <w:t>DCI format</w:t>
            </w:r>
          </w:p>
        </w:tc>
        <w:tc>
          <w:tcPr>
            <w:tcW w:w="380" w:type="pct"/>
            <w:shd w:val="clear" w:color="auto" w:fill="auto"/>
          </w:tcPr>
          <w:p w14:paraId="1475CCB5" w14:textId="77777777" w:rsidR="003A71DE" w:rsidRPr="00CF6CE5" w:rsidRDefault="003A71DE" w:rsidP="003A71DE">
            <w:pPr>
              <w:pStyle w:val="TAC"/>
              <w:rPr>
                <w:rFonts w:cs="Arial"/>
                <w:szCs w:val="18"/>
              </w:rPr>
            </w:pPr>
          </w:p>
        </w:tc>
        <w:tc>
          <w:tcPr>
            <w:tcW w:w="1439" w:type="pct"/>
            <w:shd w:val="clear" w:color="auto" w:fill="auto"/>
          </w:tcPr>
          <w:p w14:paraId="063AF407" w14:textId="77777777" w:rsidR="003A71DE" w:rsidRPr="00CF6CE5" w:rsidRDefault="003A71DE" w:rsidP="003A71DE">
            <w:pPr>
              <w:pStyle w:val="TAC"/>
              <w:rPr>
                <w:rFonts w:cs="Arial"/>
                <w:szCs w:val="18"/>
              </w:rPr>
            </w:pPr>
            <w:r w:rsidRPr="00CF6CE5">
              <w:rPr>
                <w:rFonts w:cs="Arial"/>
                <w:szCs w:val="18"/>
              </w:rPr>
              <w:t>1-0</w:t>
            </w:r>
          </w:p>
        </w:tc>
      </w:tr>
      <w:tr w:rsidR="003A71DE" w:rsidRPr="00CF6CE5" w14:paraId="3CCB5EE5" w14:textId="77777777" w:rsidTr="003A71DE">
        <w:trPr>
          <w:trHeight w:val="93"/>
          <w:jc w:val="center"/>
        </w:trPr>
        <w:tc>
          <w:tcPr>
            <w:tcW w:w="1741" w:type="pct"/>
            <w:tcBorders>
              <w:top w:val="nil"/>
              <w:bottom w:val="nil"/>
            </w:tcBorders>
            <w:shd w:val="clear" w:color="auto" w:fill="auto"/>
          </w:tcPr>
          <w:p w14:paraId="72586A33" w14:textId="77777777" w:rsidR="003A71DE" w:rsidRPr="00CF6CE5" w:rsidRDefault="003A71DE" w:rsidP="003A71DE">
            <w:pPr>
              <w:pStyle w:val="TAL"/>
              <w:rPr>
                <w:rFonts w:cs="Arial"/>
                <w:szCs w:val="18"/>
              </w:rPr>
            </w:pPr>
          </w:p>
        </w:tc>
        <w:tc>
          <w:tcPr>
            <w:tcW w:w="1440" w:type="pct"/>
            <w:shd w:val="clear" w:color="auto" w:fill="auto"/>
          </w:tcPr>
          <w:p w14:paraId="44EF0CBB" w14:textId="77777777" w:rsidR="003A71DE" w:rsidRPr="00CF6CE5" w:rsidRDefault="003A71DE" w:rsidP="003A71DE">
            <w:pPr>
              <w:pStyle w:val="TAL"/>
              <w:rPr>
                <w:rFonts w:cs="Arial"/>
                <w:szCs w:val="18"/>
              </w:rPr>
            </w:pPr>
            <w:r w:rsidRPr="00CF6CE5">
              <w:rPr>
                <w:rFonts w:cs="Arial"/>
                <w:szCs w:val="18"/>
              </w:rPr>
              <w:t>Number of Control OFDM symbols</w:t>
            </w:r>
          </w:p>
        </w:tc>
        <w:tc>
          <w:tcPr>
            <w:tcW w:w="380" w:type="pct"/>
            <w:shd w:val="clear" w:color="auto" w:fill="auto"/>
          </w:tcPr>
          <w:p w14:paraId="21C8327C" w14:textId="77777777" w:rsidR="003A71DE" w:rsidRPr="00CF6CE5" w:rsidRDefault="003A71DE" w:rsidP="003A71DE">
            <w:pPr>
              <w:pStyle w:val="TAC"/>
              <w:rPr>
                <w:rFonts w:cs="Arial"/>
                <w:szCs w:val="18"/>
              </w:rPr>
            </w:pPr>
          </w:p>
        </w:tc>
        <w:tc>
          <w:tcPr>
            <w:tcW w:w="1439" w:type="pct"/>
            <w:shd w:val="clear" w:color="auto" w:fill="auto"/>
          </w:tcPr>
          <w:p w14:paraId="18457CA4" w14:textId="77777777" w:rsidR="003A71DE" w:rsidRPr="00CF6CE5" w:rsidRDefault="003A71DE" w:rsidP="003A71DE">
            <w:pPr>
              <w:pStyle w:val="TAC"/>
              <w:rPr>
                <w:rFonts w:cs="Arial"/>
                <w:szCs w:val="18"/>
              </w:rPr>
            </w:pPr>
            <w:r w:rsidRPr="00CF6CE5">
              <w:rPr>
                <w:rFonts w:cs="Arial"/>
                <w:szCs w:val="18"/>
              </w:rPr>
              <w:t>2</w:t>
            </w:r>
          </w:p>
        </w:tc>
      </w:tr>
      <w:tr w:rsidR="003A71DE" w:rsidRPr="00CF6CE5" w14:paraId="273D2BED" w14:textId="77777777" w:rsidTr="003A71DE">
        <w:trPr>
          <w:trHeight w:val="176"/>
          <w:jc w:val="center"/>
        </w:trPr>
        <w:tc>
          <w:tcPr>
            <w:tcW w:w="1741" w:type="pct"/>
            <w:tcBorders>
              <w:top w:val="nil"/>
              <w:bottom w:val="nil"/>
            </w:tcBorders>
            <w:shd w:val="clear" w:color="auto" w:fill="auto"/>
          </w:tcPr>
          <w:p w14:paraId="61043D53" w14:textId="77777777" w:rsidR="003A71DE" w:rsidRPr="00CF6CE5" w:rsidRDefault="003A71DE" w:rsidP="003A71DE">
            <w:pPr>
              <w:pStyle w:val="TAL"/>
              <w:rPr>
                <w:rFonts w:cs="Arial"/>
                <w:szCs w:val="18"/>
              </w:rPr>
            </w:pPr>
          </w:p>
        </w:tc>
        <w:tc>
          <w:tcPr>
            <w:tcW w:w="1440" w:type="pct"/>
            <w:shd w:val="clear" w:color="auto" w:fill="auto"/>
          </w:tcPr>
          <w:p w14:paraId="7AB17396" w14:textId="77777777" w:rsidR="003A71DE" w:rsidRPr="00CF6CE5" w:rsidRDefault="003A71DE" w:rsidP="003A71DE">
            <w:pPr>
              <w:pStyle w:val="TAL"/>
              <w:rPr>
                <w:rFonts w:cs="Arial"/>
                <w:szCs w:val="18"/>
              </w:rPr>
            </w:pPr>
            <w:r w:rsidRPr="00CF6CE5">
              <w:rPr>
                <w:rFonts w:cs="Arial"/>
                <w:szCs w:val="18"/>
              </w:rPr>
              <w:t xml:space="preserve">Aggregation level </w:t>
            </w:r>
          </w:p>
        </w:tc>
        <w:tc>
          <w:tcPr>
            <w:tcW w:w="380" w:type="pct"/>
            <w:shd w:val="clear" w:color="auto" w:fill="auto"/>
          </w:tcPr>
          <w:p w14:paraId="04AC4AEA" w14:textId="77777777" w:rsidR="003A71DE" w:rsidRPr="00CF6CE5" w:rsidRDefault="003A71DE" w:rsidP="003A71DE">
            <w:pPr>
              <w:pStyle w:val="TAC"/>
              <w:rPr>
                <w:rFonts w:cs="Arial"/>
                <w:szCs w:val="18"/>
              </w:rPr>
            </w:pPr>
            <w:r w:rsidRPr="00CF6CE5">
              <w:rPr>
                <w:rFonts w:cs="Arial"/>
                <w:szCs w:val="18"/>
              </w:rPr>
              <w:t>CCE</w:t>
            </w:r>
          </w:p>
        </w:tc>
        <w:tc>
          <w:tcPr>
            <w:tcW w:w="1439" w:type="pct"/>
            <w:shd w:val="clear" w:color="auto" w:fill="auto"/>
          </w:tcPr>
          <w:p w14:paraId="60C2AB94" w14:textId="77777777" w:rsidR="003A71DE" w:rsidRPr="00CF6CE5" w:rsidRDefault="003A71DE" w:rsidP="003A71DE">
            <w:pPr>
              <w:pStyle w:val="TAC"/>
              <w:rPr>
                <w:rFonts w:cs="Arial"/>
                <w:szCs w:val="18"/>
              </w:rPr>
            </w:pPr>
            <w:r w:rsidRPr="00CF6CE5">
              <w:rPr>
                <w:rFonts w:cs="Arial"/>
                <w:szCs w:val="18"/>
              </w:rPr>
              <w:t>8</w:t>
            </w:r>
          </w:p>
        </w:tc>
      </w:tr>
      <w:tr w:rsidR="003A71DE" w:rsidRPr="00CF6CE5" w14:paraId="460914DC" w14:textId="77777777" w:rsidTr="003A71DE">
        <w:trPr>
          <w:trHeight w:val="369"/>
          <w:jc w:val="center"/>
        </w:trPr>
        <w:tc>
          <w:tcPr>
            <w:tcW w:w="1741" w:type="pct"/>
            <w:tcBorders>
              <w:top w:val="nil"/>
              <w:bottom w:val="nil"/>
            </w:tcBorders>
            <w:shd w:val="clear" w:color="auto" w:fill="auto"/>
          </w:tcPr>
          <w:p w14:paraId="70CAF0CC" w14:textId="77777777" w:rsidR="003A71DE" w:rsidRPr="00CF6CE5" w:rsidRDefault="003A71DE" w:rsidP="003A71DE">
            <w:pPr>
              <w:pStyle w:val="TAL"/>
              <w:rPr>
                <w:rFonts w:cs="Arial"/>
                <w:szCs w:val="18"/>
              </w:rPr>
            </w:pPr>
          </w:p>
        </w:tc>
        <w:tc>
          <w:tcPr>
            <w:tcW w:w="1440" w:type="pct"/>
            <w:shd w:val="clear" w:color="auto" w:fill="auto"/>
          </w:tcPr>
          <w:p w14:paraId="3484A9D0" w14:textId="77777777" w:rsidR="003A71DE" w:rsidRPr="00CF6CE5" w:rsidRDefault="003A71DE" w:rsidP="003A71DE">
            <w:pPr>
              <w:pStyle w:val="TAL"/>
              <w:rPr>
                <w:rFonts w:cs="Arial"/>
                <w:szCs w:val="18"/>
              </w:rPr>
            </w:pPr>
            <w:r w:rsidRPr="00CF6CE5">
              <w:rPr>
                <w:rFonts w:cs="Arial"/>
                <w:szCs w:val="18"/>
              </w:rPr>
              <w:t>Ratio of hypothetical PDCCH RE energy to average CSI-RS RE energy</w:t>
            </w:r>
          </w:p>
        </w:tc>
        <w:tc>
          <w:tcPr>
            <w:tcW w:w="380" w:type="pct"/>
            <w:shd w:val="clear" w:color="auto" w:fill="auto"/>
          </w:tcPr>
          <w:p w14:paraId="60735306" w14:textId="77777777" w:rsidR="003A71DE" w:rsidRPr="00CF6CE5" w:rsidRDefault="003A71DE" w:rsidP="003A71DE">
            <w:pPr>
              <w:pStyle w:val="TAC"/>
              <w:rPr>
                <w:rFonts w:cs="Arial"/>
                <w:szCs w:val="18"/>
              </w:rPr>
            </w:pPr>
            <w:r w:rsidRPr="00CF6CE5">
              <w:rPr>
                <w:rFonts w:cs="Arial"/>
                <w:szCs w:val="18"/>
              </w:rPr>
              <w:t>dB</w:t>
            </w:r>
          </w:p>
        </w:tc>
        <w:tc>
          <w:tcPr>
            <w:tcW w:w="1439" w:type="pct"/>
            <w:shd w:val="clear" w:color="auto" w:fill="auto"/>
          </w:tcPr>
          <w:p w14:paraId="4344EB71" w14:textId="77777777" w:rsidR="003A71DE" w:rsidRPr="00CF6CE5" w:rsidRDefault="003A71DE" w:rsidP="003A71DE">
            <w:pPr>
              <w:pStyle w:val="TAC"/>
              <w:rPr>
                <w:rFonts w:cs="Arial"/>
                <w:szCs w:val="18"/>
              </w:rPr>
            </w:pPr>
            <w:r w:rsidRPr="00CF6CE5">
              <w:rPr>
                <w:rFonts w:cs="Arial"/>
                <w:szCs w:val="18"/>
              </w:rPr>
              <w:t>4</w:t>
            </w:r>
          </w:p>
        </w:tc>
      </w:tr>
      <w:tr w:rsidR="003A71DE" w:rsidRPr="00CF6CE5" w14:paraId="18A2F0D9" w14:textId="77777777" w:rsidTr="003A71DE">
        <w:trPr>
          <w:trHeight w:val="307"/>
          <w:jc w:val="center"/>
        </w:trPr>
        <w:tc>
          <w:tcPr>
            <w:tcW w:w="1741" w:type="pct"/>
            <w:tcBorders>
              <w:top w:val="nil"/>
              <w:bottom w:val="nil"/>
            </w:tcBorders>
            <w:shd w:val="clear" w:color="auto" w:fill="auto"/>
          </w:tcPr>
          <w:p w14:paraId="65720859" w14:textId="77777777" w:rsidR="003A71DE" w:rsidRPr="00CF6CE5" w:rsidRDefault="003A71DE" w:rsidP="003A71DE">
            <w:pPr>
              <w:pStyle w:val="TAL"/>
              <w:rPr>
                <w:rFonts w:cs="Arial"/>
                <w:szCs w:val="18"/>
              </w:rPr>
            </w:pPr>
          </w:p>
        </w:tc>
        <w:tc>
          <w:tcPr>
            <w:tcW w:w="1440" w:type="pct"/>
            <w:shd w:val="clear" w:color="auto" w:fill="auto"/>
          </w:tcPr>
          <w:p w14:paraId="62B722A9" w14:textId="77777777" w:rsidR="003A71DE" w:rsidRPr="00CF6CE5" w:rsidRDefault="003A71DE" w:rsidP="003A71DE">
            <w:pPr>
              <w:pStyle w:val="TAL"/>
              <w:rPr>
                <w:rFonts w:cs="Arial"/>
                <w:szCs w:val="18"/>
              </w:rPr>
            </w:pPr>
            <w:r w:rsidRPr="00CF6CE5">
              <w:rPr>
                <w:rFonts w:cs="Arial"/>
                <w:szCs w:val="18"/>
              </w:rPr>
              <w:t>Ratio of hypothetical PDCCH DMRS energy to average CSI-RS RE energy</w:t>
            </w:r>
          </w:p>
        </w:tc>
        <w:tc>
          <w:tcPr>
            <w:tcW w:w="380" w:type="pct"/>
            <w:shd w:val="clear" w:color="auto" w:fill="auto"/>
          </w:tcPr>
          <w:p w14:paraId="26B98F8D" w14:textId="77777777" w:rsidR="003A71DE" w:rsidRPr="00CF6CE5" w:rsidRDefault="003A71DE" w:rsidP="003A71DE">
            <w:pPr>
              <w:pStyle w:val="TAC"/>
              <w:rPr>
                <w:rFonts w:cs="Arial"/>
                <w:szCs w:val="18"/>
              </w:rPr>
            </w:pPr>
            <w:r w:rsidRPr="00CF6CE5">
              <w:rPr>
                <w:rFonts w:cs="Arial"/>
                <w:szCs w:val="18"/>
              </w:rPr>
              <w:t>dB</w:t>
            </w:r>
          </w:p>
        </w:tc>
        <w:tc>
          <w:tcPr>
            <w:tcW w:w="1439" w:type="pct"/>
            <w:shd w:val="clear" w:color="auto" w:fill="auto"/>
          </w:tcPr>
          <w:p w14:paraId="37C4EC1D" w14:textId="77777777" w:rsidR="003A71DE" w:rsidRPr="00CF6CE5" w:rsidRDefault="003A71DE" w:rsidP="003A71DE">
            <w:pPr>
              <w:pStyle w:val="TAC"/>
              <w:rPr>
                <w:rFonts w:cs="Arial"/>
                <w:szCs w:val="18"/>
              </w:rPr>
            </w:pPr>
            <w:r w:rsidRPr="00CF6CE5">
              <w:rPr>
                <w:rFonts w:cs="Arial"/>
                <w:szCs w:val="18"/>
              </w:rPr>
              <w:t>4</w:t>
            </w:r>
          </w:p>
        </w:tc>
      </w:tr>
      <w:tr w:rsidR="003A71DE" w:rsidRPr="00CF6CE5" w14:paraId="0DAFC3CC" w14:textId="77777777" w:rsidTr="003A71DE">
        <w:trPr>
          <w:trHeight w:val="50"/>
          <w:jc w:val="center"/>
        </w:trPr>
        <w:tc>
          <w:tcPr>
            <w:tcW w:w="1741" w:type="pct"/>
            <w:tcBorders>
              <w:top w:val="nil"/>
              <w:bottom w:val="nil"/>
            </w:tcBorders>
            <w:shd w:val="clear" w:color="auto" w:fill="auto"/>
          </w:tcPr>
          <w:p w14:paraId="3DFE8648" w14:textId="77777777" w:rsidR="003A71DE" w:rsidRPr="00CF6CE5" w:rsidRDefault="003A71DE" w:rsidP="003A71DE">
            <w:pPr>
              <w:pStyle w:val="TAL"/>
              <w:rPr>
                <w:rFonts w:cs="Arial"/>
                <w:szCs w:val="18"/>
              </w:rPr>
            </w:pPr>
          </w:p>
        </w:tc>
        <w:tc>
          <w:tcPr>
            <w:tcW w:w="1440" w:type="pct"/>
            <w:shd w:val="clear" w:color="auto" w:fill="auto"/>
            <w:vAlign w:val="center"/>
          </w:tcPr>
          <w:p w14:paraId="68723CA3" w14:textId="77777777" w:rsidR="003A71DE" w:rsidRPr="00CF6CE5" w:rsidRDefault="003A71DE" w:rsidP="003A71DE">
            <w:pPr>
              <w:pStyle w:val="TAL"/>
              <w:rPr>
                <w:rFonts w:cs="Arial"/>
                <w:szCs w:val="18"/>
              </w:rPr>
            </w:pPr>
            <w:r w:rsidRPr="00CF6CE5">
              <w:rPr>
                <w:rFonts w:cs="Arial"/>
                <w:szCs w:val="18"/>
              </w:rPr>
              <w:t>DMRS precoder granularity</w:t>
            </w:r>
          </w:p>
        </w:tc>
        <w:tc>
          <w:tcPr>
            <w:tcW w:w="380" w:type="pct"/>
            <w:shd w:val="clear" w:color="auto" w:fill="auto"/>
            <w:vAlign w:val="center"/>
          </w:tcPr>
          <w:p w14:paraId="018D3A2C" w14:textId="77777777" w:rsidR="003A71DE" w:rsidRPr="00CF6CE5" w:rsidRDefault="003A71DE" w:rsidP="003A71DE">
            <w:pPr>
              <w:pStyle w:val="TAC"/>
              <w:rPr>
                <w:rFonts w:cs="Arial"/>
                <w:szCs w:val="18"/>
              </w:rPr>
            </w:pPr>
          </w:p>
        </w:tc>
        <w:tc>
          <w:tcPr>
            <w:tcW w:w="1439" w:type="pct"/>
            <w:shd w:val="clear" w:color="auto" w:fill="auto"/>
          </w:tcPr>
          <w:p w14:paraId="21FD4E40" w14:textId="77777777" w:rsidR="003A71DE" w:rsidRPr="00CF6CE5" w:rsidRDefault="003A71DE" w:rsidP="003A71DE">
            <w:pPr>
              <w:pStyle w:val="TAC"/>
              <w:rPr>
                <w:rFonts w:cs="Arial"/>
                <w:szCs w:val="18"/>
              </w:rPr>
            </w:pPr>
            <w:r w:rsidRPr="00CF6CE5">
              <w:rPr>
                <w:rFonts w:cs="Arial"/>
                <w:szCs w:val="18"/>
              </w:rPr>
              <w:t>REG bundle size</w:t>
            </w:r>
          </w:p>
        </w:tc>
      </w:tr>
      <w:tr w:rsidR="003A71DE" w:rsidRPr="00CF6CE5" w14:paraId="4FCA5C9E" w14:textId="77777777" w:rsidTr="003A71DE">
        <w:trPr>
          <w:trHeight w:val="188"/>
          <w:jc w:val="center"/>
        </w:trPr>
        <w:tc>
          <w:tcPr>
            <w:tcW w:w="1741" w:type="pct"/>
            <w:tcBorders>
              <w:top w:val="nil"/>
            </w:tcBorders>
            <w:shd w:val="clear" w:color="auto" w:fill="auto"/>
          </w:tcPr>
          <w:p w14:paraId="2AF72039" w14:textId="77777777" w:rsidR="003A71DE" w:rsidRPr="00CF6CE5" w:rsidRDefault="003A71DE" w:rsidP="003A71DE">
            <w:pPr>
              <w:pStyle w:val="TAL"/>
              <w:rPr>
                <w:rFonts w:cs="Arial"/>
                <w:szCs w:val="18"/>
              </w:rPr>
            </w:pPr>
          </w:p>
        </w:tc>
        <w:tc>
          <w:tcPr>
            <w:tcW w:w="1440" w:type="pct"/>
            <w:shd w:val="clear" w:color="auto" w:fill="auto"/>
            <w:vAlign w:val="center"/>
          </w:tcPr>
          <w:p w14:paraId="659BE1E4" w14:textId="77777777" w:rsidR="003A71DE" w:rsidRPr="00CF6CE5" w:rsidRDefault="003A71DE" w:rsidP="003A71DE">
            <w:pPr>
              <w:pStyle w:val="TAL"/>
              <w:rPr>
                <w:rFonts w:cs="Arial"/>
                <w:szCs w:val="18"/>
              </w:rPr>
            </w:pPr>
            <w:r w:rsidRPr="00CF6CE5">
              <w:rPr>
                <w:rFonts w:cs="Arial"/>
                <w:szCs w:val="18"/>
              </w:rPr>
              <w:t>REG bundle size</w:t>
            </w:r>
          </w:p>
        </w:tc>
        <w:tc>
          <w:tcPr>
            <w:tcW w:w="380" w:type="pct"/>
            <w:shd w:val="clear" w:color="auto" w:fill="auto"/>
            <w:vAlign w:val="center"/>
          </w:tcPr>
          <w:p w14:paraId="2835CC59" w14:textId="77777777" w:rsidR="003A71DE" w:rsidRPr="00CF6CE5" w:rsidRDefault="003A71DE" w:rsidP="003A71DE">
            <w:pPr>
              <w:pStyle w:val="TAC"/>
              <w:rPr>
                <w:rFonts w:cs="Arial"/>
                <w:szCs w:val="18"/>
              </w:rPr>
            </w:pPr>
          </w:p>
        </w:tc>
        <w:tc>
          <w:tcPr>
            <w:tcW w:w="1439" w:type="pct"/>
            <w:shd w:val="clear" w:color="auto" w:fill="auto"/>
          </w:tcPr>
          <w:p w14:paraId="32ED2C54" w14:textId="77777777" w:rsidR="003A71DE" w:rsidRPr="00CF6CE5" w:rsidRDefault="003A71DE" w:rsidP="003A71DE">
            <w:pPr>
              <w:pStyle w:val="TAC"/>
              <w:rPr>
                <w:rFonts w:cs="Arial"/>
                <w:szCs w:val="18"/>
              </w:rPr>
            </w:pPr>
            <w:r w:rsidRPr="00CF6CE5">
              <w:rPr>
                <w:rFonts w:cs="Arial"/>
                <w:szCs w:val="18"/>
              </w:rPr>
              <w:t>6</w:t>
            </w:r>
          </w:p>
        </w:tc>
      </w:tr>
      <w:tr w:rsidR="003A71DE" w:rsidRPr="00CF6CE5" w14:paraId="071EB681" w14:textId="77777777" w:rsidTr="003A71DE">
        <w:trPr>
          <w:trHeight w:val="50"/>
          <w:jc w:val="center"/>
        </w:trPr>
        <w:tc>
          <w:tcPr>
            <w:tcW w:w="3181" w:type="pct"/>
            <w:gridSpan w:val="2"/>
            <w:shd w:val="clear" w:color="auto" w:fill="auto"/>
          </w:tcPr>
          <w:p w14:paraId="21500BE4" w14:textId="77777777" w:rsidR="003A71DE" w:rsidRPr="00CF6CE5" w:rsidRDefault="003A71DE" w:rsidP="003A71DE">
            <w:pPr>
              <w:pStyle w:val="TAL"/>
              <w:rPr>
                <w:rFonts w:cs="Arial"/>
                <w:szCs w:val="18"/>
              </w:rPr>
            </w:pPr>
            <w:r w:rsidRPr="00CF6CE5">
              <w:rPr>
                <w:rFonts w:cs="Arial"/>
                <w:szCs w:val="18"/>
              </w:rPr>
              <w:t>Layer 3 filtering</w:t>
            </w:r>
          </w:p>
        </w:tc>
        <w:tc>
          <w:tcPr>
            <w:tcW w:w="380" w:type="pct"/>
            <w:shd w:val="clear" w:color="auto" w:fill="auto"/>
          </w:tcPr>
          <w:p w14:paraId="16E4F249" w14:textId="77777777" w:rsidR="003A71DE" w:rsidRPr="00CF6CE5" w:rsidRDefault="003A71DE" w:rsidP="003A71DE">
            <w:pPr>
              <w:pStyle w:val="TAC"/>
              <w:rPr>
                <w:rFonts w:cs="Arial"/>
                <w:szCs w:val="18"/>
              </w:rPr>
            </w:pPr>
          </w:p>
        </w:tc>
        <w:tc>
          <w:tcPr>
            <w:tcW w:w="1439" w:type="pct"/>
            <w:shd w:val="clear" w:color="auto" w:fill="auto"/>
          </w:tcPr>
          <w:p w14:paraId="682FA6CB" w14:textId="77777777" w:rsidR="003A71DE" w:rsidRPr="00CF6CE5" w:rsidRDefault="003A71DE" w:rsidP="003A71DE">
            <w:pPr>
              <w:pStyle w:val="TAC"/>
              <w:rPr>
                <w:rFonts w:cs="Arial"/>
                <w:szCs w:val="18"/>
              </w:rPr>
            </w:pPr>
            <w:r w:rsidRPr="00CF6CE5">
              <w:rPr>
                <w:rFonts w:cs="Arial"/>
                <w:i/>
                <w:iCs/>
                <w:szCs w:val="18"/>
              </w:rPr>
              <w:t>Enabled</w:t>
            </w:r>
          </w:p>
        </w:tc>
      </w:tr>
      <w:tr w:rsidR="003A71DE" w:rsidRPr="00CF6CE5" w14:paraId="1C34301D" w14:textId="77777777" w:rsidTr="003A71DE">
        <w:trPr>
          <w:trHeight w:val="164"/>
          <w:jc w:val="center"/>
        </w:trPr>
        <w:tc>
          <w:tcPr>
            <w:tcW w:w="3181" w:type="pct"/>
            <w:gridSpan w:val="2"/>
            <w:shd w:val="clear" w:color="auto" w:fill="auto"/>
          </w:tcPr>
          <w:p w14:paraId="404C36E6" w14:textId="77777777" w:rsidR="003A71DE" w:rsidRPr="00CF6CE5" w:rsidRDefault="003A71DE" w:rsidP="003A71DE">
            <w:pPr>
              <w:pStyle w:val="TAL"/>
              <w:rPr>
                <w:rFonts w:cs="Arial"/>
                <w:szCs w:val="18"/>
              </w:rPr>
            </w:pPr>
            <w:r w:rsidRPr="00CF6CE5">
              <w:rPr>
                <w:rFonts w:cs="Arial"/>
                <w:szCs w:val="18"/>
              </w:rPr>
              <w:t>T310 timer</w:t>
            </w:r>
          </w:p>
        </w:tc>
        <w:tc>
          <w:tcPr>
            <w:tcW w:w="380" w:type="pct"/>
            <w:shd w:val="clear" w:color="auto" w:fill="auto"/>
          </w:tcPr>
          <w:p w14:paraId="46E2ECB2" w14:textId="77777777" w:rsidR="003A71DE" w:rsidRPr="00CF6CE5" w:rsidRDefault="003A71DE" w:rsidP="003A71DE">
            <w:pPr>
              <w:pStyle w:val="TAC"/>
              <w:rPr>
                <w:rFonts w:cs="Arial"/>
                <w:iCs/>
                <w:szCs w:val="18"/>
              </w:rPr>
            </w:pPr>
            <w:r w:rsidRPr="00CF6CE5">
              <w:rPr>
                <w:rFonts w:cs="Arial"/>
                <w:iCs/>
                <w:szCs w:val="18"/>
              </w:rPr>
              <w:t>ms</w:t>
            </w:r>
          </w:p>
        </w:tc>
        <w:tc>
          <w:tcPr>
            <w:tcW w:w="1439" w:type="pct"/>
            <w:shd w:val="clear" w:color="auto" w:fill="auto"/>
          </w:tcPr>
          <w:p w14:paraId="0A9F4C06" w14:textId="77777777" w:rsidR="003A71DE" w:rsidRPr="00CF6CE5" w:rsidRDefault="003A71DE" w:rsidP="003A71DE">
            <w:pPr>
              <w:pStyle w:val="TAC"/>
              <w:rPr>
                <w:rFonts w:cs="Arial"/>
                <w:i/>
                <w:iCs/>
                <w:szCs w:val="18"/>
              </w:rPr>
            </w:pPr>
            <w:r w:rsidRPr="00CF6CE5">
              <w:rPr>
                <w:rFonts w:cs="Arial"/>
                <w:i/>
                <w:iCs/>
                <w:szCs w:val="18"/>
              </w:rPr>
              <w:t>0</w:t>
            </w:r>
          </w:p>
        </w:tc>
      </w:tr>
      <w:tr w:rsidR="003A71DE" w:rsidRPr="00CF6CE5" w14:paraId="070C73B4" w14:textId="77777777" w:rsidTr="003A71DE">
        <w:trPr>
          <w:trHeight w:val="164"/>
          <w:jc w:val="center"/>
        </w:trPr>
        <w:tc>
          <w:tcPr>
            <w:tcW w:w="3181" w:type="pct"/>
            <w:gridSpan w:val="2"/>
            <w:shd w:val="clear" w:color="auto" w:fill="auto"/>
          </w:tcPr>
          <w:p w14:paraId="19268947" w14:textId="77777777" w:rsidR="003A71DE" w:rsidRPr="00CF6CE5" w:rsidRDefault="003A71DE" w:rsidP="003A71DE">
            <w:pPr>
              <w:pStyle w:val="TAL"/>
              <w:rPr>
                <w:rFonts w:cs="Arial"/>
                <w:szCs w:val="18"/>
              </w:rPr>
            </w:pPr>
            <w:r w:rsidRPr="00CF6CE5">
              <w:rPr>
                <w:rFonts w:cs="Arial"/>
                <w:szCs w:val="18"/>
              </w:rPr>
              <w:t>T311 timer</w:t>
            </w:r>
          </w:p>
        </w:tc>
        <w:tc>
          <w:tcPr>
            <w:tcW w:w="380" w:type="pct"/>
            <w:shd w:val="clear" w:color="auto" w:fill="auto"/>
          </w:tcPr>
          <w:p w14:paraId="766D19DE" w14:textId="77777777" w:rsidR="003A71DE" w:rsidRPr="00CF6CE5" w:rsidRDefault="003A71DE" w:rsidP="003A71DE">
            <w:pPr>
              <w:pStyle w:val="TAC"/>
              <w:rPr>
                <w:rFonts w:cs="Arial"/>
                <w:iCs/>
                <w:szCs w:val="18"/>
              </w:rPr>
            </w:pPr>
            <w:r w:rsidRPr="00CF6CE5">
              <w:rPr>
                <w:rFonts w:cs="Arial"/>
                <w:szCs w:val="18"/>
              </w:rPr>
              <w:t>ms</w:t>
            </w:r>
          </w:p>
        </w:tc>
        <w:tc>
          <w:tcPr>
            <w:tcW w:w="1439" w:type="pct"/>
            <w:shd w:val="clear" w:color="auto" w:fill="auto"/>
          </w:tcPr>
          <w:p w14:paraId="528658E0" w14:textId="77777777" w:rsidR="003A71DE" w:rsidRPr="00CF6CE5" w:rsidRDefault="003A71DE" w:rsidP="003A71DE">
            <w:pPr>
              <w:pStyle w:val="TAC"/>
              <w:rPr>
                <w:rFonts w:cs="Arial"/>
                <w:i/>
                <w:iCs/>
                <w:szCs w:val="18"/>
              </w:rPr>
            </w:pPr>
            <w:r w:rsidRPr="00CF6CE5">
              <w:rPr>
                <w:rFonts w:cs="Arial"/>
                <w:szCs w:val="18"/>
              </w:rPr>
              <w:t>1000</w:t>
            </w:r>
          </w:p>
        </w:tc>
      </w:tr>
      <w:tr w:rsidR="003A71DE" w:rsidRPr="00CF6CE5" w14:paraId="39F584C8" w14:textId="77777777" w:rsidTr="003A71DE">
        <w:trPr>
          <w:trHeight w:val="164"/>
          <w:jc w:val="center"/>
        </w:trPr>
        <w:tc>
          <w:tcPr>
            <w:tcW w:w="3181" w:type="pct"/>
            <w:gridSpan w:val="2"/>
            <w:shd w:val="clear" w:color="auto" w:fill="auto"/>
          </w:tcPr>
          <w:p w14:paraId="03BF6A34" w14:textId="77777777" w:rsidR="003A71DE" w:rsidRPr="00CF6CE5" w:rsidRDefault="003A71DE" w:rsidP="003A71DE">
            <w:pPr>
              <w:pStyle w:val="TAL"/>
              <w:rPr>
                <w:rFonts w:cs="Arial"/>
                <w:szCs w:val="18"/>
              </w:rPr>
            </w:pPr>
            <w:r w:rsidRPr="00CF6CE5">
              <w:rPr>
                <w:rFonts w:cs="Arial"/>
                <w:szCs w:val="18"/>
              </w:rPr>
              <w:t>N310</w:t>
            </w:r>
          </w:p>
        </w:tc>
        <w:tc>
          <w:tcPr>
            <w:tcW w:w="380" w:type="pct"/>
            <w:shd w:val="clear" w:color="auto" w:fill="auto"/>
          </w:tcPr>
          <w:p w14:paraId="615A0E00" w14:textId="77777777" w:rsidR="003A71DE" w:rsidRPr="00CF6CE5" w:rsidRDefault="003A71DE" w:rsidP="003A71DE">
            <w:pPr>
              <w:pStyle w:val="TAC"/>
              <w:rPr>
                <w:rFonts w:cs="Arial"/>
                <w:szCs w:val="18"/>
              </w:rPr>
            </w:pPr>
          </w:p>
        </w:tc>
        <w:tc>
          <w:tcPr>
            <w:tcW w:w="1439" w:type="pct"/>
            <w:shd w:val="clear" w:color="auto" w:fill="auto"/>
          </w:tcPr>
          <w:p w14:paraId="56D81048" w14:textId="77777777" w:rsidR="003A71DE" w:rsidRPr="00CF6CE5" w:rsidRDefault="003A71DE" w:rsidP="003A71DE">
            <w:pPr>
              <w:pStyle w:val="TAC"/>
              <w:rPr>
                <w:rFonts w:cs="Arial"/>
                <w:szCs w:val="18"/>
              </w:rPr>
            </w:pPr>
            <w:r w:rsidRPr="00CF6CE5">
              <w:rPr>
                <w:rFonts w:cs="Arial"/>
                <w:szCs w:val="18"/>
              </w:rPr>
              <w:t>1</w:t>
            </w:r>
          </w:p>
        </w:tc>
      </w:tr>
      <w:tr w:rsidR="003A71DE" w:rsidRPr="00CF6CE5" w14:paraId="67800D89" w14:textId="77777777" w:rsidTr="003A71DE">
        <w:trPr>
          <w:trHeight w:val="164"/>
          <w:jc w:val="center"/>
        </w:trPr>
        <w:tc>
          <w:tcPr>
            <w:tcW w:w="3181" w:type="pct"/>
            <w:gridSpan w:val="2"/>
            <w:shd w:val="clear" w:color="auto" w:fill="auto"/>
          </w:tcPr>
          <w:p w14:paraId="1AF3B258" w14:textId="77777777" w:rsidR="003A71DE" w:rsidRPr="00CF6CE5" w:rsidRDefault="003A71DE" w:rsidP="003A71DE">
            <w:pPr>
              <w:pStyle w:val="TAL"/>
              <w:rPr>
                <w:rFonts w:cs="Arial"/>
                <w:szCs w:val="18"/>
              </w:rPr>
            </w:pPr>
            <w:r w:rsidRPr="00CF6CE5">
              <w:rPr>
                <w:rFonts w:cs="Arial"/>
                <w:szCs w:val="18"/>
              </w:rPr>
              <w:t>N311</w:t>
            </w:r>
          </w:p>
        </w:tc>
        <w:tc>
          <w:tcPr>
            <w:tcW w:w="380" w:type="pct"/>
            <w:shd w:val="clear" w:color="auto" w:fill="auto"/>
          </w:tcPr>
          <w:p w14:paraId="120D8A9A" w14:textId="77777777" w:rsidR="003A71DE" w:rsidRPr="00CF6CE5" w:rsidRDefault="003A71DE" w:rsidP="003A71DE">
            <w:pPr>
              <w:pStyle w:val="TAC"/>
              <w:rPr>
                <w:rFonts w:cs="Arial"/>
                <w:szCs w:val="18"/>
              </w:rPr>
            </w:pPr>
          </w:p>
        </w:tc>
        <w:tc>
          <w:tcPr>
            <w:tcW w:w="1439" w:type="pct"/>
            <w:shd w:val="clear" w:color="auto" w:fill="auto"/>
          </w:tcPr>
          <w:p w14:paraId="2C8AE500" w14:textId="77777777" w:rsidR="003A71DE" w:rsidRPr="00CF6CE5" w:rsidRDefault="003A71DE" w:rsidP="003A71DE">
            <w:pPr>
              <w:pStyle w:val="TAC"/>
              <w:rPr>
                <w:rFonts w:cs="Arial"/>
                <w:szCs w:val="18"/>
              </w:rPr>
            </w:pPr>
            <w:r w:rsidRPr="00CF6CE5">
              <w:rPr>
                <w:rFonts w:cs="Arial"/>
                <w:szCs w:val="18"/>
              </w:rPr>
              <w:t>1</w:t>
            </w:r>
          </w:p>
        </w:tc>
      </w:tr>
      <w:tr w:rsidR="003A71DE" w:rsidRPr="00CF6CE5" w14:paraId="5A5F4AAE" w14:textId="77777777" w:rsidTr="003A71DE">
        <w:trPr>
          <w:trHeight w:val="50"/>
          <w:jc w:val="center"/>
        </w:trPr>
        <w:tc>
          <w:tcPr>
            <w:tcW w:w="1741" w:type="pct"/>
            <w:shd w:val="clear" w:color="auto" w:fill="auto"/>
          </w:tcPr>
          <w:p w14:paraId="3694271F" w14:textId="77777777" w:rsidR="003A71DE" w:rsidRPr="00CF6CE5" w:rsidRDefault="003A71DE" w:rsidP="003A71DE">
            <w:pPr>
              <w:pStyle w:val="TAL"/>
              <w:rPr>
                <w:rFonts w:cs="Arial"/>
                <w:szCs w:val="18"/>
              </w:rPr>
            </w:pPr>
            <w:r w:rsidRPr="00CF6CE5">
              <w:rPr>
                <w:rFonts w:cs="Arial"/>
                <w:szCs w:val="18"/>
              </w:rPr>
              <w:t>CSI-RS</w:t>
            </w:r>
            <w:r w:rsidRPr="00CF6CE5">
              <w:rPr>
                <w:rFonts w:cs="Arial"/>
                <w:noProof/>
                <w:szCs w:val="18"/>
              </w:rPr>
              <w:t xml:space="preserve"> for CSI reporting</w:t>
            </w:r>
          </w:p>
        </w:tc>
        <w:tc>
          <w:tcPr>
            <w:tcW w:w="1440" w:type="pct"/>
            <w:shd w:val="clear" w:color="auto" w:fill="auto"/>
          </w:tcPr>
          <w:p w14:paraId="6CADAEBE" w14:textId="77777777" w:rsidR="003A71DE" w:rsidRPr="00CF6CE5" w:rsidRDefault="003A71DE" w:rsidP="003A71DE">
            <w:pPr>
              <w:pStyle w:val="TAL"/>
              <w:rPr>
                <w:rFonts w:cs="Arial"/>
                <w:szCs w:val="18"/>
              </w:rPr>
            </w:pPr>
            <w:r w:rsidRPr="00CF6CE5">
              <w:rPr>
                <w:rFonts w:cs="Arial"/>
                <w:szCs w:val="18"/>
              </w:rPr>
              <w:t>Config 1</w:t>
            </w:r>
          </w:p>
        </w:tc>
        <w:tc>
          <w:tcPr>
            <w:tcW w:w="380" w:type="pct"/>
            <w:shd w:val="clear" w:color="auto" w:fill="auto"/>
          </w:tcPr>
          <w:p w14:paraId="5E15B119" w14:textId="77777777" w:rsidR="003A71DE" w:rsidRPr="00CF6CE5" w:rsidRDefault="003A71DE" w:rsidP="003A71DE">
            <w:pPr>
              <w:pStyle w:val="TAC"/>
              <w:rPr>
                <w:rFonts w:cs="Arial"/>
                <w:szCs w:val="18"/>
              </w:rPr>
            </w:pPr>
          </w:p>
        </w:tc>
        <w:tc>
          <w:tcPr>
            <w:tcW w:w="1439" w:type="pct"/>
            <w:shd w:val="clear" w:color="auto" w:fill="auto"/>
          </w:tcPr>
          <w:p w14:paraId="0137F283" w14:textId="77777777" w:rsidR="003A71DE" w:rsidRPr="00CF6CE5" w:rsidRDefault="003A71DE" w:rsidP="003A71DE">
            <w:pPr>
              <w:pStyle w:val="TAC"/>
              <w:rPr>
                <w:rFonts w:cs="Arial"/>
                <w:szCs w:val="18"/>
              </w:rPr>
            </w:pPr>
            <w:r w:rsidRPr="00CF6CE5">
              <w:rPr>
                <w:rFonts w:cs="Arial"/>
                <w:szCs w:val="18"/>
              </w:rPr>
              <w:t>CSI-RS.3.1 TDD</w:t>
            </w:r>
          </w:p>
        </w:tc>
      </w:tr>
      <w:tr w:rsidR="003A71DE" w:rsidRPr="00CF6CE5" w14:paraId="288E520B" w14:textId="77777777" w:rsidTr="003A71DE">
        <w:trPr>
          <w:trHeight w:val="164"/>
          <w:jc w:val="center"/>
        </w:trPr>
        <w:tc>
          <w:tcPr>
            <w:tcW w:w="3181" w:type="pct"/>
            <w:gridSpan w:val="2"/>
            <w:shd w:val="clear" w:color="auto" w:fill="auto"/>
          </w:tcPr>
          <w:p w14:paraId="14C0CCCE" w14:textId="77777777" w:rsidR="003A71DE" w:rsidRPr="00CF6CE5" w:rsidRDefault="003A71DE" w:rsidP="003A71DE">
            <w:pPr>
              <w:pStyle w:val="TAL"/>
              <w:rPr>
                <w:rFonts w:cs="Arial"/>
                <w:szCs w:val="18"/>
              </w:rPr>
            </w:pPr>
            <w:r w:rsidRPr="00CF6CE5">
              <w:rPr>
                <w:rFonts w:cs="Arial"/>
                <w:szCs w:val="18"/>
              </w:rPr>
              <w:t>T1</w:t>
            </w:r>
          </w:p>
        </w:tc>
        <w:tc>
          <w:tcPr>
            <w:tcW w:w="380" w:type="pct"/>
            <w:shd w:val="clear" w:color="auto" w:fill="auto"/>
          </w:tcPr>
          <w:p w14:paraId="437DC6BD" w14:textId="77777777" w:rsidR="003A71DE" w:rsidRPr="00CF6CE5" w:rsidRDefault="003A71DE" w:rsidP="003A71DE">
            <w:pPr>
              <w:pStyle w:val="TAC"/>
              <w:rPr>
                <w:rFonts w:cs="Arial"/>
                <w:szCs w:val="18"/>
              </w:rPr>
            </w:pPr>
            <w:r w:rsidRPr="00CF6CE5">
              <w:rPr>
                <w:rFonts w:cs="Arial"/>
                <w:szCs w:val="18"/>
              </w:rPr>
              <w:t>s</w:t>
            </w:r>
          </w:p>
        </w:tc>
        <w:tc>
          <w:tcPr>
            <w:tcW w:w="1439" w:type="pct"/>
            <w:shd w:val="clear" w:color="auto" w:fill="auto"/>
          </w:tcPr>
          <w:p w14:paraId="4B3E1A93" w14:textId="77777777" w:rsidR="003A71DE" w:rsidRPr="00193518" w:rsidRDefault="003A71DE" w:rsidP="003A71DE">
            <w:pPr>
              <w:pStyle w:val="TAC"/>
              <w:rPr>
                <w:rFonts w:cs="Arial"/>
                <w:szCs w:val="18"/>
              </w:rPr>
            </w:pPr>
            <w:r>
              <w:rPr>
                <w:rFonts w:eastAsia="SimSun" w:cs="Arial"/>
                <w:szCs w:val="18"/>
              </w:rPr>
              <w:t>0.2</w:t>
            </w:r>
          </w:p>
        </w:tc>
      </w:tr>
      <w:tr w:rsidR="003A71DE" w:rsidRPr="00CF6CE5" w14:paraId="6CB9A048" w14:textId="77777777" w:rsidTr="003A71DE">
        <w:trPr>
          <w:trHeight w:val="176"/>
          <w:jc w:val="center"/>
        </w:trPr>
        <w:tc>
          <w:tcPr>
            <w:tcW w:w="3181" w:type="pct"/>
            <w:gridSpan w:val="2"/>
            <w:shd w:val="clear" w:color="auto" w:fill="auto"/>
          </w:tcPr>
          <w:p w14:paraId="76EE4543" w14:textId="77777777" w:rsidR="003A71DE" w:rsidRPr="00CF6CE5" w:rsidRDefault="003A71DE" w:rsidP="003A71DE">
            <w:pPr>
              <w:pStyle w:val="TAL"/>
              <w:rPr>
                <w:rFonts w:cs="Arial"/>
                <w:szCs w:val="18"/>
              </w:rPr>
            </w:pPr>
            <w:r w:rsidRPr="00CF6CE5">
              <w:rPr>
                <w:rFonts w:cs="Arial"/>
                <w:szCs w:val="18"/>
              </w:rPr>
              <w:t>T2</w:t>
            </w:r>
          </w:p>
        </w:tc>
        <w:tc>
          <w:tcPr>
            <w:tcW w:w="380" w:type="pct"/>
            <w:shd w:val="clear" w:color="auto" w:fill="auto"/>
          </w:tcPr>
          <w:p w14:paraId="2DE4104E" w14:textId="77777777" w:rsidR="003A71DE" w:rsidRPr="00CF6CE5" w:rsidRDefault="003A71DE" w:rsidP="003A71DE">
            <w:pPr>
              <w:pStyle w:val="TAC"/>
              <w:rPr>
                <w:rFonts w:cs="Arial"/>
                <w:szCs w:val="18"/>
              </w:rPr>
            </w:pPr>
            <w:r w:rsidRPr="00CF6CE5">
              <w:rPr>
                <w:rFonts w:cs="Arial"/>
                <w:szCs w:val="18"/>
              </w:rPr>
              <w:t>s</w:t>
            </w:r>
          </w:p>
        </w:tc>
        <w:tc>
          <w:tcPr>
            <w:tcW w:w="1439" w:type="pct"/>
            <w:shd w:val="clear" w:color="auto" w:fill="auto"/>
          </w:tcPr>
          <w:p w14:paraId="215248A5" w14:textId="77777777" w:rsidR="003A71DE" w:rsidRPr="00193518" w:rsidRDefault="003A71DE" w:rsidP="003A71DE">
            <w:pPr>
              <w:pStyle w:val="TAC"/>
              <w:rPr>
                <w:rFonts w:cs="Arial"/>
                <w:szCs w:val="18"/>
              </w:rPr>
            </w:pPr>
            <w:r>
              <w:rPr>
                <w:rFonts w:eastAsia="SimSun" w:cs="Arial"/>
                <w:szCs w:val="18"/>
              </w:rPr>
              <w:t>0.35</w:t>
            </w:r>
          </w:p>
        </w:tc>
      </w:tr>
      <w:tr w:rsidR="003A71DE" w:rsidRPr="00CF6CE5" w14:paraId="2935BE73" w14:textId="77777777" w:rsidTr="003A71DE">
        <w:trPr>
          <w:trHeight w:val="164"/>
          <w:jc w:val="center"/>
        </w:trPr>
        <w:tc>
          <w:tcPr>
            <w:tcW w:w="3181" w:type="pct"/>
            <w:gridSpan w:val="2"/>
            <w:shd w:val="clear" w:color="auto" w:fill="auto"/>
          </w:tcPr>
          <w:p w14:paraId="2846C8CB" w14:textId="77777777" w:rsidR="003A71DE" w:rsidRPr="00CF6CE5" w:rsidRDefault="003A71DE" w:rsidP="003A71DE">
            <w:pPr>
              <w:pStyle w:val="TAL"/>
              <w:rPr>
                <w:rFonts w:cs="Arial"/>
                <w:szCs w:val="18"/>
              </w:rPr>
            </w:pPr>
            <w:r w:rsidRPr="00CF6CE5">
              <w:rPr>
                <w:rFonts w:cs="Arial"/>
                <w:szCs w:val="18"/>
              </w:rPr>
              <w:t>T3</w:t>
            </w:r>
          </w:p>
        </w:tc>
        <w:tc>
          <w:tcPr>
            <w:tcW w:w="380" w:type="pct"/>
            <w:shd w:val="clear" w:color="auto" w:fill="auto"/>
          </w:tcPr>
          <w:p w14:paraId="3E91D71B" w14:textId="77777777" w:rsidR="003A71DE" w:rsidRPr="00CF6CE5" w:rsidRDefault="003A71DE" w:rsidP="003A71DE">
            <w:pPr>
              <w:pStyle w:val="TAC"/>
              <w:rPr>
                <w:rFonts w:cs="Arial"/>
                <w:szCs w:val="18"/>
              </w:rPr>
            </w:pPr>
            <w:r w:rsidRPr="00CF6CE5">
              <w:rPr>
                <w:rFonts w:cs="Arial"/>
                <w:szCs w:val="18"/>
              </w:rPr>
              <w:t>s</w:t>
            </w:r>
          </w:p>
        </w:tc>
        <w:tc>
          <w:tcPr>
            <w:tcW w:w="1439" w:type="pct"/>
            <w:shd w:val="clear" w:color="auto" w:fill="auto"/>
          </w:tcPr>
          <w:p w14:paraId="7BF60BF5" w14:textId="77777777" w:rsidR="003A71DE" w:rsidRPr="00193518" w:rsidRDefault="003A71DE" w:rsidP="003A71DE">
            <w:pPr>
              <w:pStyle w:val="TAC"/>
              <w:rPr>
                <w:rFonts w:cs="Arial"/>
                <w:szCs w:val="18"/>
              </w:rPr>
            </w:pPr>
            <w:r>
              <w:rPr>
                <w:rFonts w:eastAsia="SimSun" w:cs="Arial"/>
                <w:szCs w:val="18"/>
              </w:rPr>
              <w:t>0.35</w:t>
            </w:r>
          </w:p>
        </w:tc>
      </w:tr>
      <w:tr w:rsidR="003A71DE" w:rsidRPr="00CF6CE5" w14:paraId="17063DC3" w14:textId="77777777" w:rsidTr="003A71DE">
        <w:trPr>
          <w:trHeight w:val="164"/>
          <w:jc w:val="center"/>
        </w:trPr>
        <w:tc>
          <w:tcPr>
            <w:tcW w:w="3181" w:type="pct"/>
            <w:gridSpan w:val="2"/>
            <w:shd w:val="clear" w:color="auto" w:fill="auto"/>
          </w:tcPr>
          <w:p w14:paraId="0DD812C7" w14:textId="77777777" w:rsidR="003A71DE" w:rsidRPr="00CF6CE5" w:rsidRDefault="003A71DE" w:rsidP="003A71DE">
            <w:pPr>
              <w:pStyle w:val="TAL"/>
              <w:rPr>
                <w:rFonts w:cs="Arial"/>
                <w:szCs w:val="18"/>
              </w:rPr>
            </w:pPr>
            <w:r w:rsidRPr="00CF6CE5">
              <w:rPr>
                <w:rFonts w:cs="Arial"/>
                <w:szCs w:val="18"/>
              </w:rPr>
              <w:t>D1</w:t>
            </w:r>
          </w:p>
        </w:tc>
        <w:tc>
          <w:tcPr>
            <w:tcW w:w="380" w:type="pct"/>
            <w:shd w:val="clear" w:color="auto" w:fill="auto"/>
          </w:tcPr>
          <w:p w14:paraId="35551D55" w14:textId="77777777" w:rsidR="003A71DE" w:rsidRPr="00CF6CE5" w:rsidRDefault="003A71DE" w:rsidP="003A71DE">
            <w:pPr>
              <w:pStyle w:val="TAC"/>
              <w:rPr>
                <w:rFonts w:cs="Arial"/>
                <w:szCs w:val="18"/>
              </w:rPr>
            </w:pPr>
            <w:r w:rsidRPr="00CF6CE5">
              <w:rPr>
                <w:rFonts w:cs="Arial"/>
                <w:szCs w:val="18"/>
              </w:rPr>
              <w:t>s</w:t>
            </w:r>
          </w:p>
        </w:tc>
        <w:tc>
          <w:tcPr>
            <w:tcW w:w="1439" w:type="pct"/>
            <w:shd w:val="clear" w:color="auto" w:fill="auto"/>
          </w:tcPr>
          <w:p w14:paraId="1D5312D5" w14:textId="77777777" w:rsidR="003A71DE" w:rsidRPr="00193518" w:rsidRDefault="003A71DE" w:rsidP="003A71DE">
            <w:pPr>
              <w:pStyle w:val="TAC"/>
              <w:rPr>
                <w:rFonts w:cs="Arial"/>
                <w:szCs w:val="18"/>
              </w:rPr>
            </w:pPr>
            <w:r>
              <w:rPr>
                <w:rFonts w:eastAsia="SimSun" w:cs="Arial"/>
                <w:szCs w:val="18"/>
              </w:rPr>
              <w:t>0.31</w:t>
            </w:r>
          </w:p>
        </w:tc>
      </w:tr>
      <w:tr w:rsidR="003A71DE" w:rsidRPr="00CF6CE5" w14:paraId="66F6B751" w14:textId="77777777" w:rsidTr="003A71DE">
        <w:trPr>
          <w:trHeight w:val="50"/>
          <w:jc w:val="center"/>
        </w:trPr>
        <w:tc>
          <w:tcPr>
            <w:tcW w:w="5000" w:type="pct"/>
            <w:gridSpan w:val="4"/>
          </w:tcPr>
          <w:p w14:paraId="657C2726" w14:textId="77777777" w:rsidR="003A71DE" w:rsidRPr="00CF6CE5" w:rsidRDefault="003A71DE" w:rsidP="00A40F90">
            <w:pPr>
              <w:pStyle w:val="TAN"/>
            </w:pPr>
            <w:r w:rsidRPr="00CF6CE5">
              <w:t>Note 1:</w:t>
            </w:r>
            <w:r w:rsidRPr="00CF6CE5">
              <w:tab/>
              <w:t>IAB-MT-specific PDCCH is not transmitted after T1 starts.</w:t>
            </w:r>
          </w:p>
        </w:tc>
      </w:tr>
    </w:tbl>
    <w:p w14:paraId="21E38874" w14:textId="77777777" w:rsidR="003A71DE" w:rsidRPr="001C0E1B" w:rsidRDefault="003A71DE" w:rsidP="003A71DE"/>
    <w:p w14:paraId="30F67E71" w14:textId="77777777" w:rsidR="003A71DE" w:rsidRPr="001C0E1B" w:rsidRDefault="003A71DE" w:rsidP="00746C0D">
      <w:pPr>
        <w:pStyle w:val="TH"/>
        <w:rPr>
          <w:rFonts w:eastAsia="Malgun Gothic"/>
          <w:kern w:val="20"/>
        </w:rPr>
      </w:pPr>
      <w:r w:rsidRPr="001C0E1B">
        <w:rPr>
          <w:rFonts w:eastAsia="Malgun Gothic"/>
          <w:kern w:val="20"/>
        </w:rPr>
        <w:lastRenderedPageBreak/>
        <w:t xml:space="preserve">Table </w:t>
      </w:r>
      <w:r>
        <w:rPr>
          <w:rFonts w:eastAsia="Malgun Gothic"/>
          <w:kern w:val="20"/>
        </w:rPr>
        <w:t>G.2.3.1.7</w:t>
      </w:r>
      <w:r w:rsidRPr="001C0E1B">
        <w:rPr>
          <w:rFonts w:eastAsia="Malgun Gothic"/>
          <w:kern w:val="20"/>
        </w:rPr>
        <w:t xml:space="preserve">.1-3: </w:t>
      </w:r>
      <w:r w:rsidRPr="001C0E1B">
        <w:t>Cell specific test parameters for FR2 for CSI-RS out-of-sync radio link monitoring in non-DRX</w:t>
      </w: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1289"/>
        <w:gridCol w:w="740"/>
        <w:gridCol w:w="740"/>
        <w:gridCol w:w="917"/>
        <w:gridCol w:w="563"/>
        <w:gridCol w:w="740"/>
        <w:gridCol w:w="740"/>
        <w:gridCol w:w="933"/>
      </w:tblGrid>
      <w:tr w:rsidR="003A71DE" w:rsidRPr="001C0E1B" w14:paraId="61C4AFBF" w14:textId="77777777" w:rsidTr="003A71DE">
        <w:trPr>
          <w:cantSplit/>
          <w:trHeight w:val="207"/>
          <w:jc w:val="center"/>
        </w:trPr>
        <w:tc>
          <w:tcPr>
            <w:tcW w:w="3694" w:type="dxa"/>
            <w:gridSpan w:val="2"/>
            <w:tcBorders>
              <w:top w:val="single" w:sz="4" w:space="0" w:color="auto"/>
              <w:left w:val="single" w:sz="4" w:space="0" w:color="auto"/>
              <w:bottom w:val="nil"/>
            </w:tcBorders>
            <w:shd w:val="clear" w:color="auto" w:fill="auto"/>
          </w:tcPr>
          <w:p w14:paraId="7B5D86A5" w14:textId="77777777" w:rsidR="003A71DE" w:rsidRPr="001C0E1B" w:rsidRDefault="003A71DE" w:rsidP="003A71DE">
            <w:pPr>
              <w:pStyle w:val="TAH"/>
            </w:pPr>
            <w:r w:rsidRPr="001C0E1B">
              <w:t>Parameter</w:t>
            </w:r>
          </w:p>
        </w:tc>
        <w:tc>
          <w:tcPr>
            <w:tcW w:w="740" w:type="dxa"/>
            <w:tcBorders>
              <w:top w:val="single" w:sz="4" w:space="0" w:color="auto"/>
              <w:bottom w:val="nil"/>
            </w:tcBorders>
            <w:shd w:val="clear" w:color="auto" w:fill="auto"/>
          </w:tcPr>
          <w:p w14:paraId="4E0360BA" w14:textId="77777777" w:rsidR="003A71DE" w:rsidRPr="001C0E1B" w:rsidRDefault="003A71DE" w:rsidP="003A71DE">
            <w:pPr>
              <w:pStyle w:val="TAH"/>
            </w:pPr>
            <w:r w:rsidRPr="001C0E1B">
              <w:t>Unit</w:t>
            </w:r>
          </w:p>
        </w:tc>
        <w:tc>
          <w:tcPr>
            <w:tcW w:w="4633" w:type="dxa"/>
            <w:gridSpan w:val="6"/>
            <w:tcBorders>
              <w:top w:val="single" w:sz="4" w:space="0" w:color="auto"/>
            </w:tcBorders>
          </w:tcPr>
          <w:p w14:paraId="72A291EA" w14:textId="77777777" w:rsidR="003A71DE" w:rsidRPr="001C0E1B" w:rsidRDefault="003A71DE" w:rsidP="003A71DE">
            <w:pPr>
              <w:pStyle w:val="TAH"/>
            </w:pPr>
            <w:r w:rsidRPr="001C0E1B">
              <w:t>Test 1</w:t>
            </w:r>
          </w:p>
        </w:tc>
      </w:tr>
      <w:tr w:rsidR="003A71DE" w:rsidRPr="001C0E1B" w14:paraId="3EF5E8E3" w14:textId="77777777" w:rsidTr="003A71DE">
        <w:trPr>
          <w:cantSplit/>
          <w:trHeight w:val="207"/>
          <w:jc w:val="center"/>
        </w:trPr>
        <w:tc>
          <w:tcPr>
            <w:tcW w:w="3694" w:type="dxa"/>
            <w:gridSpan w:val="2"/>
            <w:tcBorders>
              <w:top w:val="nil"/>
              <w:left w:val="single" w:sz="4" w:space="0" w:color="auto"/>
              <w:bottom w:val="single" w:sz="4" w:space="0" w:color="auto"/>
            </w:tcBorders>
            <w:shd w:val="clear" w:color="auto" w:fill="auto"/>
          </w:tcPr>
          <w:p w14:paraId="51972866" w14:textId="77777777" w:rsidR="003A71DE" w:rsidRPr="001C0E1B" w:rsidRDefault="003A71DE" w:rsidP="003A71DE">
            <w:pPr>
              <w:pStyle w:val="TAH"/>
            </w:pPr>
          </w:p>
        </w:tc>
        <w:tc>
          <w:tcPr>
            <w:tcW w:w="740" w:type="dxa"/>
            <w:tcBorders>
              <w:top w:val="nil"/>
              <w:bottom w:val="single" w:sz="4" w:space="0" w:color="auto"/>
            </w:tcBorders>
            <w:shd w:val="clear" w:color="auto" w:fill="auto"/>
          </w:tcPr>
          <w:p w14:paraId="2EF5AE1E" w14:textId="77777777" w:rsidR="003A71DE" w:rsidRPr="001C0E1B" w:rsidRDefault="003A71DE" w:rsidP="003A71DE">
            <w:pPr>
              <w:pStyle w:val="TAH"/>
            </w:pPr>
          </w:p>
        </w:tc>
        <w:tc>
          <w:tcPr>
            <w:tcW w:w="740" w:type="dxa"/>
            <w:tcBorders>
              <w:bottom w:val="single" w:sz="4" w:space="0" w:color="auto"/>
            </w:tcBorders>
          </w:tcPr>
          <w:p w14:paraId="22257F4E" w14:textId="77777777" w:rsidR="003A71DE" w:rsidRPr="001C0E1B" w:rsidRDefault="003A71DE" w:rsidP="003A71DE">
            <w:pPr>
              <w:pStyle w:val="TAH"/>
            </w:pPr>
            <w:r w:rsidRPr="001C0E1B">
              <w:t>T1</w:t>
            </w:r>
          </w:p>
        </w:tc>
        <w:tc>
          <w:tcPr>
            <w:tcW w:w="917" w:type="dxa"/>
            <w:tcBorders>
              <w:bottom w:val="single" w:sz="4" w:space="0" w:color="auto"/>
            </w:tcBorders>
          </w:tcPr>
          <w:p w14:paraId="139194FA" w14:textId="77777777" w:rsidR="003A71DE" w:rsidRPr="001C0E1B" w:rsidRDefault="003A71DE" w:rsidP="003A71DE">
            <w:pPr>
              <w:pStyle w:val="TAH"/>
            </w:pPr>
            <w:r w:rsidRPr="001C0E1B">
              <w:t>T2</w:t>
            </w:r>
          </w:p>
        </w:tc>
        <w:tc>
          <w:tcPr>
            <w:tcW w:w="563" w:type="dxa"/>
            <w:tcBorders>
              <w:bottom w:val="single" w:sz="4" w:space="0" w:color="auto"/>
            </w:tcBorders>
          </w:tcPr>
          <w:p w14:paraId="530CF2CA" w14:textId="77777777" w:rsidR="003A71DE" w:rsidRPr="001C0E1B" w:rsidRDefault="003A71DE" w:rsidP="003A71DE">
            <w:pPr>
              <w:pStyle w:val="TAH"/>
            </w:pPr>
            <w:r w:rsidRPr="001C0E1B">
              <w:t>T3</w:t>
            </w:r>
          </w:p>
        </w:tc>
        <w:tc>
          <w:tcPr>
            <w:tcW w:w="740" w:type="dxa"/>
            <w:tcBorders>
              <w:bottom w:val="single" w:sz="4" w:space="0" w:color="auto"/>
            </w:tcBorders>
          </w:tcPr>
          <w:p w14:paraId="32CB2386" w14:textId="77777777" w:rsidR="003A71DE" w:rsidRPr="001C0E1B" w:rsidRDefault="003A71DE" w:rsidP="003A71DE">
            <w:pPr>
              <w:pStyle w:val="TAH"/>
            </w:pPr>
            <w:r w:rsidRPr="001C0E1B">
              <w:t>T1</w:t>
            </w:r>
          </w:p>
        </w:tc>
        <w:tc>
          <w:tcPr>
            <w:tcW w:w="740" w:type="dxa"/>
            <w:tcBorders>
              <w:bottom w:val="single" w:sz="4" w:space="0" w:color="auto"/>
            </w:tcBorders>
          </w:tcPr>
          <w:p w14:paraId="361E93FD" w14:textId="77777777" w:rsidR="003A71DE" w:rsidRPr="001C0E1B" w:rsidRDefault="003A71DE" w:rsidP="003A71DE">
            <w:pPr>
              <w:pStyle w:val="TAH"/>
            </w:pPr>
            <w:r w:rsidRPr="001C0E1B">
              <w:t>T2</w:t>
            </w:r>
          </w:p>
        </w:tc>
        <w:tc>
          <w:tcPr>
            <w:tcW w:w="933" w:type="dxa"/>
            <w:tcBorders>
              <w:bottom w:val="single" w:sz="4" w:space="0" w:color="auto"/>
            </w:tcBorders>
          </w:tcPr>
          <w:p w14:paraId="4E200F40" w14:textId="77777777" w:rsidR="003A71DE" w:rsidRPr="001C0E1B" w:rsidRDefault="003A71DE" w:rsidP="003A71DE">
            <w:pPr>
              <w:pStyle w:val="TAH"/>
            </w:pPr>
            <w:r w:rsidRPr="001C0E1B">
              <w:t>T3</w:t>
            </w:r>
          </w:p>
        </w:tc>
      </w:tr>
      <w:tr w:rsidR="003A71DE" w:rsidRPr="001C0E1B" w14:paraId="54717DF6" w14:textId="77777777" w:rsidTr="003A71DE">
        <w:trPr>
          <w:cantSplit/>
          <w:trHeight w:val="199"/>
          <w:jc w:val="center"/>
        </w:trPr>
        <w:tc>
          <w:tcPr>
            <w:tcW w:w="3694" w:type="dxa"/>
            <w:gridSpan w:val="2"/>
            <w:tcBorders>
              <w:bottom w:val="nil"/>
            </w:tcBorders>
            <w:shd w:val="clear" w:color="auto" w:fill="auto"/>
          </w:tcPr>
          <w:p w14:paraId="7AF40FBF" w14:textId="77777777" w:rsidR="003A71DE" w:rsidRPr="001C0E1B" w:rsidRDefault="003A71DE" w:rsidP="003A71DE">
            <w:pPr>
              <w:pStyle w:val="TAL"/>
              <w:rPr>
                <w:rFonts w:eastAsia="?? ??"/>
              </w:rPr>
            </w:pPr>
            <w:r w:rsidRPr="001C0E1B">
              <w:t>AoA setup</w:t>
            </w:r>
          </w:p>
        </w:tc>
        <w:tc>
          <w:tcPr>
            <w:tcW w:w="740" w:type="dxa"/>
            <w:tcBorders>
              <w:bottom w:val="nil"/>
            </w:tcBorders>
            <w:shd w:val="clear" w:color="auto" w:fill="auto"/>
          </w:tcPr>
          <w:p w14:paraId="000D16F0" w14:textId="77777777" w:rsidR="003A71DE" w:rsidRPr="001C0E1B" w:rsidRDefault="003A71DE" w:rsidP="003A71DE">
            <w:pPr>
              <w:pStyle w:val="TAC"/>
            </w:pPr>
          </w:p>
        </w:tc>
        <w:tc>
          <w:tcPr>
            <w:tcW w:w="4633" w:type="dxa"/>
            <w:gridSpan w:val="6"/>
            <w:vAlign w:val="center"/>
          </w:tcPr>
          <w:p w14:paraId="1135B51B" w14:textId="77777777" w:rsidR="003A71DE" w:rsidRPr="001C0E1B" w:rsidRDefault="003A71DE" w:rsidP="003A71DE">
            <w:pPr>
              <w:pStyle w:val="TAC"/>
            </w:pPr>
            <w:r>
              <w:t>AoA s</w:t>
            </w:r>
            <w:r w:rsidRPr="001C0E1B">
              <w:t xml:space="preserve">etup </w:t>
            </w:r>
            <w:r>
              <w:t xml:space="preserve">as </w:t>
            </w:r>
            <w:r w:rsidRPr="001C0E1B">
              <w:t xml:space="preserve">defined in </w:t>
            </w:r>
            <w:r>
              <w:t>clause G.1.8</w:t>
            </w:r>
          </w:p>
        </w:tc>
      </w:tr>
      <w:tr w:rsidR="003A71DE" w:rsidRPr="001C0E1B" w14:paraId="320F7983" w14:textId="77777777" w:rsidTr="003A71DE">
        <w:trPr>
          <w:cantSplit/>
          <w:trHeight w:val="199"/>
          <w:jc w:val="center"/>
        </w:trPr>
        <w:tc>
          <w:tcPr>
            <w:tcW w:w="3694" w:type="dxa"/>
            <w:gridSpan w:val="2"/>
            <w:tcBorders>
              <w:top w:val="nil"/>
            </w:tcBorders>
            <w:shd w:val="clear" w:color="auto" w:fill="auto"/>
          </w:tcPr>
          <w:p w14:paraId="20FA33DC" w14:textId="77777777" w:rsidR="003A71DE" w:rsidRPr="001C0E1B" w:rsidRDefault="003A71DE" w:rsidP="003A71DE">
            <w:pPr>
              <w:pStyle w:val="TAL"/>
            </w:pPr>
          </w:p>
        </w:tc>
        <w:tc>
          <w:tcPr>
            <w:tcW w:w="740" w:type="dxa"/>
            <w:tcBorders>
              <w:top w:val="nil"/>
            </w:tcBorders>
            <w:shd w:val="clear" w:color="auto" w:fill="auto"/>
          </w:tcPr>
          <w:p w14:paraId="39A438FE" w14:textId="77777777" w:rsidR="003A71DE" w:rsidRPr="001C0E1B" w:rsidRDefault="003A71DE" w:rsidP="003A71DE">
            <w:pPr>
              <w:pStyle w:val="TAC"/>
            </w:pPr>
          </w:p>
        </w:tc>
        <w:tc>
          <w:tcPr>
            <w:tcW w:w="2220" w:type="dxa"/>
            <w:gridSpan w:val="3"/>
          </w:tcPr>
          <w:p w14:paraId="6C2B3958" w14:textId="77777777" w:rsidR="003A71DE" w:rsidRPr="001C0E1B" w:rsidRDefault="003A71DE" w:rsidP="003A71DE">
            <w:pPr>
              <w:pStyle w:val="TAC"/>
              <w:rPr>
                <w:b/>
              </w:rPr>
            </w:pPr>
            <w:r w:rsidRPr="001C0E1B">
              <w:rPr>
                <w:b/>
              </w:rPr>
              <w:t>AoA1</w:t>
            </w:r>
          </w:p>
        </w:tc>
        <w:tc>
          <w:tcPr>
            <w:tcW w:w="2413" w:type="dxa"/>
            <w:gridSpan w:val="3"/>
          </w:tcPr>
          <w:p w14:paraId="5143D356" w14:textId="77777777" w:rsidR="003A71DE" w:rsidRPr="001C0E1B" w:rsidRDefault="003A71DE" w:rsidP="003A71DE">
            <w:pPr>
              <w:pStyle w:val="TAC"/>
              <w:rPr>
                <w:b/>
              </w:rPr>
            </w:pPr>
            <w:r w:rsidRPr="001C0E1B">
              <w:rPr>
                <w:b/>
              </w:rPr>
              <w:t>AoA2</w:t>
            </w:r>
          </w:p>
        </w:tc>
      </w:tr>
      <w:tr w:rsidR="003A71DE" w:rsidRPr="001C0E1B" w14:paraId="409FC7C3" w14:textId="77777777" w:rsidTr="003A71DE">
        <w:trPr>
          <w:cantSplit/>
          <w:trHeight w:val="199"/>
          <w:jc w:val="center"/>
        </w:trPr>
        <w:tc>
          <w:tcPr>
            <w:tcW w:w="3694" w:type="dxa"/>
            <w:gridSpan w:val="2"/>
          </w:tcPr>
          <w:p w14:paraId="16B56651" w14:textId="77777777" w:rsidR="003A71DE" w:rsidRPr="003F2CAD" w:rsidRDefault="003A71DE" w:rsidP="003A71DE">
            <w:pPr>
              <w:pStyle w:val="TAL"/>
              <w:rPr>
                <w:vertAlign w:val="superscript"/>
              </w:rPr>
            </w:pPr>
            <w:r w:rsidRPr="001C0E1B">
              <w:t xml:space="preserve">Assumption for </w:t>
            </w:r>
            <w:r>
              <w:t>IAB-MT</w:t>
            </w:r>
            <w:r w:rsidRPr="001C0E1B">
              <w:t xml:space="preserve"> beams</w:t>
            </w:r>
            <w:r w:rsidRPr="001C0E1B">
              <w:rPr>
                <w:vertAlign w:val="superscript"/>
              </w:rPr>
              <w:t xml:space="preserve">Note </w:t>
            </w:r>
            <w:r>
              <w:rPr>
                <w:vertAlign w:val="superscript"/>
              </w:rPr>
              <w:t>8</w:t>
            </w:r>
          </w:p>
        </w:tc>
        <w:tc>
          <w:tcPr>
            <w:tcW w:w="740" w:type="dxa"/>
          </w:tcPr>
          <w:p w14:paraId="4822EF17" w14:textId="77777777" w:rsidR="003A71DE" w:rsidRPr="001C0E1B" w:rsidRDefault="003A71DE" w:rsidP="003A71DE">
            <w:pPr>
              <w:pStyle w:val="TAC"/>
            </w:pPr>
          </w:p>
        </w:tc>
        <w:tc>
          <w:tcPr>
            <w:tcW w:w="2220" w:type="dxa"/>
            <w:gridSpan w:val="3"/>
          </w:tcPr>
          <w:p w14:paraId="7F3B31FF" w14:textId="77777777" w:rsidR="003A71DE" w:rsidRPr="001C0E1B" w:rsidRDefault="003A71DE" w:rsidP="003A71DE">
            <w:pPr>
              <w:pStyle w:val="TAC"/>
              <w:rPr>
                <w:b/>
              </w:rPr>
            </w:pPr>
            <w:r w:rsidRPr="001C0E1B">
              <w:t>Rough</w:t>
            </w:r>
          </w:p>
        </w:tc>
        <w:tc>
          <w:tcPr>
            <w:tcW w:w="2413" w:type="dxa"/>
            <w:gridSpan w:val="3"/>
            <w:tcBorders>
              <w:bottom w:val="single" w:sz="4" w:space="0" w:color="auto"/>
            </w:tcBorders>
          </w:tcPr>
          <w:p w14:paraId="1CFA1261" w14:textId="77777777" w:rsidR="003A71DE" w:rsidRPr="001C0E1B" w:rsidRDefault="003A71DE" w:rsidP="003A71DE">
            <w:pPr>
              <w:pStyle w:val="TAC"/>
              <w:rPr>
                <w:b/>
              </w:rPr>
            </w:pPr>
            <w:r w:rsidRPr="001C0E1B">
              <w:t>Rough</w:t>
            </w:r>
          </w:p>
        </w:tc>
      </w:tr>
      <w:tr w:rsidR="003A71DE" w:rsidRPr="001C0E1B" w14:paraId="042EF931" w14:textId="77777777" w:rsidTr="003A71DE">
        <w:trPr>
          <w:cantSplit/>
          <w:trHeight w:val="136"/>
          <w:jc w:val="center"/>
        </w:trPr>
        <w:tc>
          <w:tcPr>
            <w:tcW w:w="3694" w:type="dxa"/>
            <w:gridSpan w:val="2"/>
            <w:tcBorders>
              <w:left w:val="single" w:sz="4" w:space="0" w:color="auto"/>
              <w:bottom w:val="single" w:sz="4" w:space="0" w:color="auto"/>
            </w:tcBorders>
          </w:tcPr>
          <w:p w14:paraId="4CBF6A57" w14:textId="77777777" w:rsidR="003A71DE" w:rsidRPr="001C0E1B" w:rsidRDefault="003A71DE" w:rsidP="003A71DE">
            <w:pPr>
              <w:pStyle w:val="TAL"/>
              <w:rPr>
                <w:rFonts w:cs="Arial"/>
              </w:rPr>
            </w:pPr>
            <w:r w:rsidRPr="001C0E1B">
              <w:t>PDCCH_beta</w:t>
            </w:r>
          </w:p>
        </w:tc>
        <w:tc>
          <w:tcPr>
            <w:tcW w:w="740" w:type="dxa"/>
            <w:tcBorders>
              <w:bottom w:val="single" w:sz="4" w:space="0" w:color="auto"/>
            </w:tcBorders>
          </w:tcPr>
          <w:p w14:paraId="665F7806" w14:textId="77777777" w:rsidR="003A71DE" w:rsidRPr="001C0E1B" w:rsidRDefault="003A71DE" w:rsidP="003A71DE">
            <w:pPr>
              <w:pStyle w:val="TAC"/>
            </w:pPr>
            <w:r w:rsidRPr="001C0E1B">
              <w:t>dB</w:t>
            </w:r>
          </w:p>
        </w:tc>
        <w:tc>
          <w:tcPr>
            <w:tcW w:w="2220" w:type="dxa"/>
            <w:gridSpan w:val="3"/>
            <w:tcBorders>
              <w:bottom w:val="single" w:sz="4" w:space="0" w:color="auto"/>
            </w:tcBorders>
          </w:tcPr>
          <w:p w14:paraId="778C7803" w14:textId="77777777" w:rsidR="003A71DE" w:rsidRPr="001C0E1B" w:rsidRDefault="003A71DE" w:rsidP="003A71DE">
            <w:pPr>
              <w:pStyle w:val="TAC"/>
            </w:pPr>
            <w:r w:rsidRPr="001C0E1B">
              <w:t>4</w:t>
            </w:r>
          </w:p>
        </w:tc>
        <w:tc>
          <w:tcPr>
            <w:tcW w:w="2413" w:type="dxa"/>
            <w:gridSpan w:val="3"/>
            <w:tcBorders>
              <w:bottom w:val="nil"/>
            </w:tcBorders>
            <w:shd w:val="clear" w:color="auto" w:fill="auto"/>
          </w:tcPr>
          <w:p w14:paraId="62E4F244" w14:textId="77777777" w:rsidR="003A71DE" w:rsidRPr="001C0E1B" w:rsidRDefault="003A71DE" w:rsidP="003A71DE">
            <w:pPr>
              <w:pStyle w:val="TAC"/>
            </w:pPr>
            <w:r w:rsidRPr="001C0E1B">
              <w:t>Not sent</w:t>
            </w:r>
          </w:p>
        </w:tc>
      </w:tr>
      <w:tr w:rsidR="003A71DE" w:rsidRPr="001C0E1B" w14:paraId="42A8A1F6" w14:textId="77777777" w:rsidTr="003A71DE">
        <w:trPr>
          <w:cantSplit/>
          <w:trHeight w:val="136"/>
          <w:jc w:val="center"/>
        </w:trPr>
        <w:tc>
          <w:tcPr>
            <w:tcW w:w="3694" w:type="dxa"/>
            <w:gridSpan w:val="2"/>
            <w:tcBorders>
              <w:left w:val="single" w:sz="4" w:space="0" w:color="auto"/>
              <w:bottom w:val="single" w:sz="4" w:space="0" w:color="auto"/>
            </w:tcBorders>
          </w:tcPr>
          <w:p w14:paraId="191A8227" w14:textId="77777777" w:rsidR="003A71DE" w:rsidRPr="001C0E1B" w:rsidRDefault="003A71DE" w:rsidP="003A71DE">
            <w:pPr>
              <w:pStyle w:val="TAL"/>
              <w:rPr>
                <w:rFonts w:cs="Arial"/>
              </w:rPr>
            </w:pPr>
            <w:r w:rsidRPr="001C0E1B">
              <w:t>PDCCH_DMRS_beta</w:t>
            </w:r>
          </w:p>
        </w:tc>
        <w:tc>
          <w:tcPr>
            <w:tcW w:w="740" w:type="dxa"/>
            <w:tcBorders>
              <w:bottom w:val="single" w:sz="4" w:space="0" w:color="auto"/>
            </w:tcBorders>
          </w:tcPr>
          <w:p w14:paraId="28FFD23C" w14:textId="77777777" w:rsidR="003A71DE" w:rsidRPr="001C0E1B" w:rsidRDefault="003A71DE" w:rsidP="003A71DE">
            <w:pPr>
              <w:pStyle w:val="TAC"/>
            </w:pPr>
            <w:r w:rsidRPr="001C0E1B">
              <w:t>dB</w:t>
            </w:r>
          </w:p>
        </w:tc>
        <w:tc>
          <w:tcPr>
            <w:tcW w:w="2220" w:type="dxa"/>
            <w:gridSpan w:val="3"/>
            <w:tcBorders>
              <w:bottom w:val="single" w:sz="4" w:space="0" w:color="auto"/>
            </w:tcBorders>
          </w:tcPr>
          <w:p w14:paraId="793106E2" w14:textId="77777777" w:rsidR="003A71DE" w:rsidRPr="001C0E1B" w:rsidRDefault="003A71DE" w:rsidP="003A71DE">
            <w:pPr>
              <w:pStyle w:val="TAC"/>
            </w:pPr>
            <w:r w:rsidRPr="001C0E1B">
              <w:t>4</w:t>
            </w:r>
          </w:p>
        </w:tc>
        <w:tc>
          <w:tcPr>
            <w:tcW w:w="2413" w:type="dxa"/>
            <w:gridSpan w:val="3"/>
            <w:tcBorders>
              <w:top w:val="nil"/>
              <w:bottom w:val="nil"/>
            </w:tcBorders>
            <w:shd w:val="clear" w:color="auto" w:fill="auto"/>
          </w:tcPr>
          <w:p w14:paraId="68E20A0E" w14:textId="77777777" w:rsidR="003A71DE" w:rsidRPr="001C0E1B" w:rsidRDefault="003A71DE" w:rsidP="003A71DE">
            <w:pPr>
              <w:pStyle w:val="TAC"/>
            </w:pPr>
          </w:p>
        </w:tc>
      </w:tr>
      <w:tr w:rsidR="003A71DE" w:rsidRPr="001C0E1B" w14:paraId="7C635A35" w14:textId="77777777" w:rsidTr="003A71DE">
        <w:trPr>
          <w:cantSplit/>
          <w:trHeight w:val="145"/>
          <w:jc w:val="center"/>
        </w:trPr>
        <w:tc>
          <w:tcPr>
            <w:tcW w:w="3694" w:type="dxa"/>
            <w:gridSpan w:val="2"/>
            <w:tcBorders>
              <w:left w:val="single" w:sz="4" w:space="0" w:color="auto"/>
              <w:bottom w:val="single" w:sz="4" w:space="0" w:color="auto"/>
            </w:tcBorders>
          </w:tcPr>
          <w:p w14:paraId="5A5A4344" w14:textId="77777777" w:rsidR="003A71DE" w:rsidRPr="001C0E1B" w:rsidRDefault="003A71DE" w:rsidP="003A71DE">
            <w:pPr>
              <w:pStyle w:val="TAL"/>
              <w:rPr>
                <w:rFonts w:cs="Arial"/>
              </w:rPr>
            </w:pPr>
            <w:r w:rsidRPr="001C0E1B">
              <w:t>PBCH_beta</w:t>
            </w:r>
          </w:p>
        </w:tc>
        <w:tc>
          <w:tcPr>
            <w:tcW w:w="740" w:type="dxa"/>
            <w:tcBorders>
              <w:bottom w:val="single" w:sz="4" w:space="0" w:color="auto"/>
            </w:tcBorders>
          </w:tcPr>
          <w:p w14:paraId="53D36CEE" w14:textId="77777777" w:rsidR="003A71DE" w:rsidRPr="001C0E1B" w:rsidRDefault="003A71DE" w:rsidP="003A71DE">
            <w:pPr>
              <w:pStyle w:val="TAC"/>
            </w:pPr>
            <w:r w:rsidRPr="001C0E1B">
              <w:t>dB</w:t>
            </w:r>
          </w:p>
        </w:tc>
        <w:tc>
          <w:tcPr>
            <w:tcW w:w="2220" w:type="dxa"/>
            <w:gridSpan w:val="3"/>
            <w:tcBorders>
              <w:bottom w:val="nil"/>
            </w:tcBorders>
            <w:shd w:val="clear" w:color="auto" w:fill="auto"/>
          </w:tcPr>
          <w:p w14:paraId="7106CF82" w14:textId="77777777" w:rsidR="003A71DE" w:rsidRPr="001C0E1B" w:rsidRDefault="003A71DE" w:rsidP="003A71DE">
            <w:pPr>
              <w:pStyle w:val="TAC"/>
            </w:pPr>
            <w:r w:rsidRPr="001C0E1B">
              <w:t>0</w:t>
            </w:r>
          </w:p>
        </w:tc>
        <w:tc>
          <w:tcPr>
            <w:tcW w:w="2413" w:type="dxa"/>
            <w:gridSpan w:val="3"/>
            <w:tcBorders>
              <w:top w:val="nil"/>
              <w:bottom w:val="nil"/>
            </w:tcBorders>
            <w:shd w:val="clear" w:color="auto" w:fill="auto"/>
          </w:tcPr>
          <w:p w14:paraId="2D53A165" w14:textId="77777777" w:rsidR="003A71DE" w:rsidRPr="001C0E1B" w:rsidRDefault="003A71DE" w:rsidP="003A71DE">
            <w:pPr>
              <w:pStyle w:val="TAC"/>
            </w:pPr>
          </w:p>
        </w:tc>
      </w:tr>
      <w:tr w:rsidR="003A71DE" w:rsidRPr="001C0E1B" w14:paraId="7E2A1904" w14:textId="77777777" w:rsidTr="003A71DE">
        <w:trPr>
          <w:cantSplit/>
          <w:trHeight w:val="145"/>
          <w:jc w:val="center"/>
        </w:trPr>
        <w:tc>
          <w:tcPr>
            <w:tcW w:w="3694" w:type="dxa"/>
            <w:gridSpan w:val="2"/>
            <w:tcBorders>
              <w:left w:val="single" w:sz="4" w:space="0" w:color="auto"/>
              <w:bottom w:val="single" w:sz="4" w:space="0" w:color="auto"/>
            </w:tcBorders>
          </w:tcPr>
          <w:p w14:paraId="0A889E24" w14:textId="77777777" w:rsidR="003A71DE" w:rsidRPr="001C0E1B" w:rsidRDefault="003A71DE" w:rsidP="003A71DE">
            <w:pPr>
              <w:pStyle w:val="TAL"/>
              <w:rPr>
                <w:rFonts w:cs="Arial"/>
              </w:rPr>
            </w:pPr>
            <w:r w:rsidRPr="001C0E1B">
              <w:t>PSS_beta</w:t>
            </w:r>
          </w:p>
        </w:tc>
        <w:tc>
          <w:tcPr>
            <w:tcW w:w="740" w:type="dxa"/>
            <w:tcBorders>
              <w:bottom w:val="single" w:sz="4" w:space="0" w:color="auto"/>
            </w:tcBorders>
          </w:tcPr>
          <w:p w14:paraId="36277A5C" w14:textId="77777777" w:rsidR="003A71DE" w:rsidRPr="001C0E1B" w:rsidRDefault="003A71DE" w:rsidP="003A71DE">
            <w:pPr>
              <w:pStyle w:val="TAC"/>
            </w:pPr>
            <w:r w:rsidRPr="001C0E1B">
              <w:t>dB</w:t>
            </w:r>
          </w:p>
        </w:tc>
        <w:tc>
          <w:tcPr>
            <w:tcW w:w="2220" w:type="dxa"/>
            <w:gridSpan w:val="3"/>
            <w:tcBorders>
              <w:top w:val="nil"/>
              <w:bottom w:val="nil"/>
            </w:tcBorders>
            <w:shd w:val="clear" w:color="auto" w:fill="auto"/>
          </w:tcPr>
          <w:p w14:paraId="238DE681" w14:textId="77777777" w:rsidR="003A71DE" w:rsidRPr="001C0E1B" w:rsidRDefault="003A71DE" w:rsidP="003A71DE">
            <w:pPr>
              <w:pStyle w:val="TAC"/>
            </w:pPr>
          </w:p>
        </w:tc>
        <w:tc>
          <w:tcPr>
            <w:tcW w:w="2413" w:type="dxa"/>
            <w:gridSpan w:val="3"/>
            <w:tcBorders>
              <w:top w:val="nil"/>
              <w:bottom w:val="nil"/>
            </w:tcBorders>
            <w:shd w:val="clear" w:color="auto" w:fill="auto"/>
          </w:tcPr>
          <w:p w14:paraId="15D0967E" w14:textId="77777777" w:rsidR="003A71DE" w:rsidRPr="001C0E1B" w:rsidRDefault="003A71DE" w:rsidP="003A71DE">
            <w:pPr>
              <w:pStyle w:val="TAC"/>
            </w:pPr>
          </w:p>
        </w:tc>
      </w:tr>
      <w:tr w:rsidR="003A71DE" w:rsidRPr="001C0E1B" w14:paraId="30013741" w14:textId="77777777" w:rsidTr="003A71DE">
        <w:trPr>
          <w:cantSplit/>
          <w:trHeight w:val="136"/>
          <w:jc w:val="center"/>
        </w:trPr>
        <w:tc>
          <w:tcPr>
            <w:tcW w:w="3694" w:type="dxa"/>
            <w:gridSpan w:val="2"/>
            <w:tcBorders>
              <w:left w:val="single" w:sz="4" w:space="0" w:color="auto"/>
              <w:bottom w:val="single" w:sz="4" w:space="0" w:color="auto"/>
            </w:tcBorders>
          </w:tcPr>
          <w:p w14:paraId="300EA5F7" w14:textId="77777777" w:rsidR="003A71DE" w:rsidRPr="001C0E1B" w:rsidRDefault="003A71DE" w:rsidP="003A71DE">
            <w:pPr>
              <w:pStyle w:val="TAL"/>
              <w:rPr>
                <w:rFonts w:cs="Arial"/>
              </w:rPr>
            </w:pPr>
            <w:r w:rsidRPr="001C0E1B">
              <w:t>SSS_beta</w:t>
            </w:r>
          </w:p>
        </w:tc>
        <w:tc>
          <w:tcPr>
            <w:tcW w:w="740" w:type="dxa"/>
            <w:tcBorders>
              <w:bottom w:val="single" w:sz="4" w:space="0" w:color="auto"/>
            </w:tcBorders>
          </w:tcPr>
          <w:p w14:paraId="3D01C3C8" w14:textId="77777777" w:rsidR="003A71DE" w:rsidRPr="001C0E1B" w:rsidRDefault="003A71DE" w:rsidP="003A71DE">
            <w:pPr>
              <w:pStyle w:val="TAC"/>
            </w:pPr>
            <w:r w:rsidRPr="001C0E1B">
              <w:t>dB</w:t>
            </w:r>
          </w:p>
        </w:tc>
        <w:tc>
          <w:tcPr>
            <w:tcW w:w="2220" w:type="dxa"/>
            <w:gridSpan w:val="3"/>
            <w:tcBorders>
              <w:top w:val="nil"/>
              <w:bottom w:val="nil"/>
            </w:tcBorders>
            <w:shd w:val="clear" w:color="auto" w:fill="auto"/>
          </w:tcPr>
          <w:p w14:paraId="07C09B56" w14:textId="77777777" w:rsidR="003A71DE" w:rsidRPr="001C0E1B" w:rsidRDefault="003A71DE" w:rsidP="003A71DE">
            <w:pPr>
              <w:pStyle w:val="TAC"/>
            </w:pPr>
          </w:p>
        </w:tc>
        <w:tc>
          <w:tcPr>
            <w:tcW w:w="2413" w:type="dxa"/>
            <w:gridSpan w:val="3"/>
            <w:tcBorders>
              <w:top w:val="nil"/>
              <w:bottom w:val="nil"/>
            </w:tcBorders>
            <w:shd w:val="clear" w:color="auto" w:fill="auto"/>
          </w:tcPr>
          <w:p w14:paraId="0313F741" w14:textId="77777777" w:rsidR="003A71DE" w:rsidRPr="001C0E1B" w:rsidRDefault="003A71DE" w:rsidP="003A71DE">
            <w:pPr>
              <w:pStyle w:val="TAC"/>
            </w:pPr>
          </w:p>
        </w:tc>
      </w:tr>
      <w:tr w:rsidR="003A71DE" w:rsidRPr="001C0E1B" w14:paraId="117DC99C" w14:textId="77777777" w:rsidTr="003A71DE">
        <w:trPr>
          <w:cantSplit/>
          <w:trHeight w:val="136"/>
          <w:jc w:val="center"/>
        </w:trPr>
        <w:tc>
          <w:tcPr>
            <w:tcW w:w="3694" w:type="dxa"/>
            <w:gridSpan w:val="2"/>
            <w:tcBorders>
              <w:left w:val="single" w:sz="4" w:space="0" w:color="auto"/>
              <w:bottom w:val="single" w:sz="4" w:space="0" w:color="auto"/>
            </w:tcBorders>
          </w:tcPr>
          <w:p w14:paraId="39B18CC3" w14:textId="77777777" w:rsidR="003A71DE" w:rsidRPr="001C0E1B" w:rsidRDefault="003A71DE" w:rsidP="003A71DE">
            <w:pPr>
              <w:pStyle w:val="TAL"/>
              <w:rPr>
                <w:rFonts w:cs="Arial"/>
              </w:rPr>
            </w:pPr>
            <w:r w:rsidRPr="001C0E1B">
              <w:t>PDSCH_beta</w:t>
            </w:r>
          </w:p>
        </w:tc>
        <w:tc>
          <w:tcPr>
            <w:tcW w:w="740" w:type="dxa"/>
            <w:tcBorders>
              <w:bottom w:val="single" w:sz="4" w:space="0" w:color="auto"/>
            </w:tcBorders>
          </w:tcPr>
          <w:p w14:paraId="6B71DEA4" w14:textId="77777777" w:rsidR="003A71DE" w:rsidRPr="001C0E1B" w:rsidRDefault="003A71DE" w:rsidP="003A71DE">
            <w:pPr>
              <w:pStyle w:val="TAC"/>
            </w:pPr>
            <w:r w:rsidRPr="001C0E1B">
              <w:t>dB</w:t>
            </w:r>
          </w:p>
        </w:tc>
        <w:tc>
          <w:tcPr>
            <w:tcW w:w="2220" w:type="dxa"/>
            <w:gridSpan w:val="3"/>
            <w:tcBorders>
              <w:top w:val="nil"/>
              <w:bottom w:val="nil"/>
            </w:tcBorders>
            <w:shd w:val="clear" w:color="auto" w:fill="auto"/>
          </w:tcPr>
          <w:p w14:paraId="0A773690" w14:textId="77777777" w:rsidR="003A71DE" w:rsidRPr="001C0E1B" w:rsidRDefault="003A71DE" w:rsidP="003A71DE">
            <w:pPr>
              <w:pStyle w:val="TAC"/>
            </w:pPr>
          </w:p>
        </w:tc>
        <w:tc>
          <w:tcPr>
            <w:tcW w:w="2413" w:type="dxa"/>
            <w:gridSpan w:val="3"/>
            <w:tcBorders>
              <w:top w:val="nil"/>
              <w:bottom w:val="nil"/>
            </w:tcBorders>
            <w:shd w:val="clear" w:color="auto" w:fill="auto"/>
          </w:tcPr>
          <w:p w14:paraId="1A74E4E4" w14:textId="77777777" w:rsidR="003A71DE" w:rsidRPr="001C0E1B" w:rsidRDefault="003A71DE" w:rsidP="003A71DE">
            <w:pPr>
              <w:pStyle w:val="TAC"/>
            </w:pPr>
          </w:p>
        </w:tc>
      </w:tr>
      <w:tr w:rsidR="003A71DE" w:rsidRPr="001C0E1B" w14:paraId="50EA971E" w14:textId="77777777" w:rsidTr="003A71DE">
        <w:trPr>
          <w:cantSplit/>
          <w:trHeight w:val="136"/>
          <w:jc w:val="center"/>
        </w:trPr>
        <w:tc>
          <w:tcPr>
            <w:tcW w:w="3694" w:type="dxa"/>
            <w:gridSpan w:val="2"/>
            <w:tcBorders>
              <w:left w:val="single" w:sz="4" w:space="0" w:color="auto"/>
              <w:bottom w:val="single" w:sz="4" w:space="0" w:color="auto"/>
            </w:tcBorders>
          </w:tcPr>
          <w:p w14:paraId="21AC23CA" w14:textId="77777777" w:rsidR="003A71DE" w:rsidRPr="001C0E1B" w:rsidRDefault="003A71DE" w:rsidP="003A71DE">
            <w:pPr>
              <w:pStyle w:val="TAL"/>
              <w:rPr>
                <w:rFonts w:cs="Arial"/>
              </w:rPr>
            </w:pPr>
            <w:r w:rsidRPr="001C0E1B">
              <w:t>OCNG_beta</w:t>
            </w:r>
          </w:p>
        </w:tc>
        <w:tc>
          <w:tcPr>
            <w:tcW w:w="740" w:type="dxa"/>
            <w:tcBorders>
              <w:bottom w:val="single" w:sz="4" w:space="0" w:color="auto"/>
            </w:tcBorders>
          </w:tcPr>
          <w:p w14:paraId="63E5C61C" w14:textId="77777777" w:rsidR="003A71DE" w:rsidRPr="001C0E1B" w:rsidRDefault="003A71DE" w:rsidP="003A71DE">
            <w:pPr>
              <w:pStyle w:val="TAC"/>
            </w:pPr>
            <w:r w:rsidRPr="001C0E1B">
              <w:t>dB</w:t>
            </w:r>
          </w:p>
        </w:tc>
        <w:tc>
          <w:tcPr>
            <w:tcW w:w="2220" w:type="dxa"/>
            <w:gridSpan w:val="3"/>
            <w:tcBorders>
              <w:top w:val="nil"/>
            </w:tcBorders>
            <w:shd w:val="clear" w:color="auto" w:fill="auto"/>
          </w:tcPr>
          <w:p w14:paraId="00EE1630" w14:textId="77777777" w:rsidR="003A71DE" w:rsidRPr="001C0E1B" w:rsidRDefault="003A71DE" w:rsidP="003A71DE">
            <w:pPr>
              <w:pStyle w:val="TAC"/>
            </w:pPr>
          </w:p>
        </w:tc>
        <w:tc>
          <w:tcPr>
            <w:tcW w:w="2413" w:type="dxa"/>
            <w:gridSpan w:val="3"/>
            <w:tcBorders>
              <w:top w:val="nil"/>
              <w:bottom w:val="nil"/>
            </w:tcBorders>
            <w:shd w:val="clear" w:color="auto" w:fill="auto"/>
          </w:tcPr>
          <w:p w14:paraId="48D5E623" w14:textId="77777777" w:rsidR="003A71DE" w:rsidRPr="001C0E1B" w:rsidRDefault="003A71DE" w:rsidP="003A71DE">
            <w:pPr>
              <w:pStyle w:val="TAC"/>
            </w:pPr>
          </w:p>
        </w:tc>
      </w:tr>
      <w:tr w:rsidR="003A71DE" w:rsidRPr="001C0E1B" w14:paraId="2FB96305" w14:textId="77777777" w:rsidTr="003A71DE">
        <w:trPr>
          <w:cantSplit/>
          <w:trHeight w:val="149"/>
          <w:jc w:val="center"/>
        </w:trPr>
        <w:tc>
          <w:tcPr>
            <w:tcW w:w="2405" w:type="dxa"/>
          </w:tcPr>
          <w:p w14:paraId="52B44D5D" w14:textId="77777777" w:rsidR="003A71DE" w:rsidRPr="001C0E1B" w:rsidRDefault="003A71DE" w:rsidP="003A71DE">
            <w:pPr>
              <w:pStyle w:val="TAL"/>
            </w:pPr>
            <w:r w:rsidRPr="001C0E1B">
              <w:t>SNR on RLM-RS1</w:t>
            </w:r>
          </w:p>
        </w:tc>
        <w:tc>
          <w:tcPr>
            <w:tcW w:w="1289" w:type="dxa"/>
          </w:tcPr>
          <w:p w14:paraId="6A08BF1A" w14:textId="77777777" w:rsidR="003A71DE" w:rsidRPr="001C0E1B" w:rsidRDefault="003A71DE" w:rsidP="003A71DE">
            <w:pPr>
              <w:pStyle w:val="TAL"/>
              <w:rPr>
                <w:noProof/>
              </w:rPr>
            </w:pPr>
            <w:r w:rsidRPr="001C0E1B">
              <w:rPr>
                <w:noProof/>
              </w:rPr>
              <w:t>Config 1</w:t>
            </w:r>
          </w:p>
        </w:tc>
        <w:tc>
          <w:tcPr>
            <w:tcW w:w="740" w:type="dxa"/>
          </w:tcPr>
          <w:p w14:paraId="6C982BDF" w14:textId="77777777" w:rsidR="003A71DE" w:rsidRPr="001C0E1B" w:rsidRDefault="003A71DE" w:rsidP="003A71DE">
            <w:pPr>
              <w:pStyle w:val="TAC"/>
            </w:pPr>
            <w:r w:rsidRPr="001C0E1B">
              <w:t>dB</w:t>
            </w:r>
          </w:p>
        </w:tc>
        <w:tc>
          <w:tcPr>
            <w:tcW w:w="740" w:type="dxa"/>
          </w:tcPr>
          <w:p w14:paraId="24D80BA4" w14:textId="77777777" w:rsidR="003A71DE" w:rsidRPr="001C0E1B" w:rsidRDefault="003A71DE" w:rsidP="003A71DE">
            <w:pPr>
              <w:pStyle w:val="TAC"/>
            </w:pPr>
            <w:r w:rsidRPr="001C0E1B">
              <w:t>2</w:t>
            </w:r>
            <w:r w:rsidRPr="001C0E1B">
              <w:rPr>
                <w:vertAlign w:val="superscript"/>
              </w:rPr>
              <w:t xml:space="preserve">Note </w:t>
            </w:r>
            <w:r>
              <w:rPr>
                <w:vertAlign w:val="superscript"/>
              </w:rPr>
              <w:t>9</w:t>
            </w:r>
          </w:p>
        </w:tc>
        <w:tc>
          <w:tcPr>
            <w:tcW w:w="917" w:type="dxa"/>
          </w:tcPr>
          <w:p w14:paraId="0F434F59" w14:textId="77777777" w:rsidR="003A71DE" w:rsidRPr="001C0E1B" w:rsidRDefault="003A71DE" w:rsidP="003A71DE">
            <w:pPr>
              <w:pStyle w:val="TAC"/>
            </w:pPr>
            <w:r w:rsidRPr="001C0E1B">
              <w:t>-6</w:t>
            </w:r>
            <w:r w:rsidRPr="001C0E1B">
              <w:rPr>
                <w:vertAlign w:val="superscript"/>
              </w:rPr>
              <w:t>Note</w:t>
            </w:r>
            <w:r>
              <w:rPr>
                <w:vertAlign w:val="superscript"/>
              </w:rPr>
              <w:t xml:space="preserve"> 9</w:t>
            </w:r>
          </w:p>
        </w:tc>
        <w:tc>
          <w:tcPr>
            <w:tcW w:w="563" w:type="dxa"/>
          </w:tcPr>
          <w:p w14:paraId="2447C8B9" w14:textId="77777777" w:rsidR="003A71DE" w:rsidRPr="001C0E1B" w:rsidRDefault="003A71DE" w:rsidP="003A71DE">
            <w:pPr>
              <w:pStyle w:val="TAC"/>
            </w:pPr>
            <w:r w:rsidRPr="001C0E1B">
              <w:t>-15</w:t>
            </w:r>
          </w:p>
        </w:tc>
        <w:tc>
          <w:tcPr>
            <w:tcW w:w="2413" w:type="dxa"/>
            <w:gridSpan w:val="3"/>
            <w:tcBorders>
              <w:top w:val="nil"/>
            </w:tcBorders>
            <w:shd w:val="clear" w:color="auto" w:fill="auto"/>
          </w:tcPr>
          <w:p w14:paraId="70EC2E4E" w14:textId="77777777" w:rsidR="003A71DE" w:rsidRPr="001C0E1B" w:rsidRDefault="003A71DE" w:rsidP="003A71DE">
            <w:pPr>
              <w:pStyle w:val="TAC"/>
            </w:pPr>
          </w:p>
        </w:tc>
      </w:tr>
      <w:tr w:rsidR="003A71DE" w:rsidRPr="001C0E1B" w14:paraId="48C01C53" w14:textId="77777777" w:rsidTr="003A71DE">
        <w:trPr>
          <w:cantSplit/>
          <w:trHeight w:val="199"/>
          <w:jc w:val="center"/>
        </w:trPr>
        <w:tc>
          <w:tcPr>
            <w:tcW w:w="2405" w:type="dxa"/>
          </w:tcPr>
          <w:p w14:paraId="761873E1" w14:textId="77777777" w:rsidR="003A71DE" w:rsidRPr="001C0E1B" w:rsidRDefault="003A71DE" w:rsidP="003A71DE">
            <w:pPr>
              <w:pStyle w:val="TAL"/>
              <w:rPr>
                <w:rFonts w:eastAsia="?? ??"/>
              </w:rPr>
            </w:pPr>
            <w:r w:rsidRPr="001C0E1B">
              <w:t>SNR on RLM-RS2</w:t>
            </w:r>
          </w:p>
        </w:tc>
        <w:tc>
          <w:tcPr>
            <w:tcW w:w="1289" w:type="dxa"/>
          </w:tcPr>
          <w:p w14:paraId="2322805E" w14:textId="77777777" w:rsidR="003A71DE" w:rsidRPr="001C0E1B" w:rsidRDefault="003A71DE" w:rsidP="003A71DE">
            <w:pPr>
              <w:pStyle w:val="TAL"/>
              <w:rPr>
                <w:noProof/>
              </w:rPr>
            </w:pPr>
            <w:r w:rsidRPr="001C0E1B">
              <w:rPr>
                <w:noProof/>
              </w:rPr>
              <w:t>Config 1</w:t>
            </w:r>
          </w:p>
        </w:tc>
        <w:tc>
          <w:tcPr>
            <w:tcW w:w="740" w:type="dxa"/>
          </w:tcPr>
          <w:p w14:paraId="7DA352E9" w14:textId="77777777" w:rsidR="003A71DE" w:rsidRPr="001C0E1B" w:rsidRDefault="003A71DE" w:rsidP="003A71DE">
            <w:pPr>
              <w:pStyle w:val="TAC"/>
            </w:pPr>
          </w:p>
        </w:tc>
        <w:tc>
          <w:tcPr>
            <w:tcW w:w="2220" w:type="dxa"/>
            <w:gridSpan w:val="3"/>
          </w:tcPr>
          <w:p w14:paraId="7DB0C0C2" w14:textId="77777777" w:rsidR="003A71DE" w:rsidRPr="001C0E1B" w:rsidRDefault="003A71DE" w:rsidP="003A71DE">
            <w:pPr>
              <w:pStyle w:val="TAC"/>
            </w:pPr>
            <w:r w:rsidRPr="001C0E1B">
              <w:t>Not sent</w:t>
            </w:r>
          </w:p>
        </w:tc>
        <w:tc>
          <w:tcPr>
            <w:tcW w:w="740" w:type="dxa"/>
          </w:tcPr>
          <w:p w14:paraId="00DFC618" w14:textId="77777777" w:rsidR="003A71DE" w:rsidRPr="001C0E1B" w:rsidRDefault="003A71DE" w:rsidP="003A71DE">
            <w:pPr>
              <w:pStyle w:val="TAC"/>
            </w:pPr>
            <w:r w:rsidRPr="001C0E1B">
              <w:t>2</w:t>
            </w:r>
            <w:r w:rsidRPr="001C0E1B">
              <w:rPr>
                <w:vertAlign w:val="superscript"/>
              </w:rPr>
              <w:t xml:space="preserve">Note </w:t>
            </w:r>
            <w:r>
              <w:rPr>
                <w:vertAlign w:val="superscript"/>
              </w:rPr>
              <w:t>9</w:t>
            </w:r>
          </w:p>
        </w:tc>
        <w:tc>
          <w:tcPr>
            <w:tcW w:w="740" w:type="dxa"/>
          </w:tcPr>
          <w:p w14:paraId="23BF44B0" w14:textId="77777777" w:rsidR="003A71DE" w:rsidRPr="001C0E1B" w:rsidRDefault="003A71DE" w:rsidP="003A71DE">
            <w:pPr>
              <w:pStyle w:val="TAC"/>
            </w:pPr>
            <w:r w:rsidRPr="001C0E1B">
              <w:t>-14</w:t>
            </w:r>
          </w:p>
        </w:tc>
        <w:tc>
          <w:tcPr>
            <w:tcW w:w="933" w:type="dxa"/>
          </w:tcPr>
          <w:p w14:paraId="7BBACFBA" w14:textId="77777777" w:rsidR="003A71DE" w:rsidRPr="001C0E1B" w:rsidRDefault="003A71DE" w:rsidP="003A71DE">
            <w:pPr>
              <w:pStyle w:val="TAC"/>
            </w:pPr>
            <w:r w:rsidRPr="001C0E1B">
              <w:t>-15</w:t>
            </w:r>
          </w:p>
        </w:tc>
      </w:tr>
      <w:tr w:rsidR="003A71DE" w:rsidRPr="001C0E1B" w14:paraId="1822D5A3" w14:textId="77777777" w:rsidTr="003A71DE">
        <w:trPr>
          <w:cantSplit/>
          <w:trHeight w:val="199"/>
          <w:jc w:val="center"/>
        </w:trPr>
        <w:tc>
          <w:tcPr>
            <w:tcW w:w="2405" w:type="dxa"/>
          </w:tcPr>
          <w:p w14:paraId="0D0B873A" w14:textId="77777777" w:rsidR="003A71DE" w:rsidRPr="001C0E1B" w:rsidRDefault="003A71DE" w:rsidP="003A71DE">
            <w:pPr>
              <w:pStyle w:val="TAL"/>
              <w:rPr>
                <w:lang w:eastAsia="zh-CN"/>
              </w:rPr>
            </w:pPr>
            <w:r w:rsidRPr="001C0E1B">
              <w:rPr>
                <w:lang w:eastAsia="zh-CN"/>
              </w:rPr>
              <w:t>SNR on other channels and signals</w:t>
            </w:r>
          </w:p>
        </w:tc>
        <w:tc>
          <w:tcPr>
            <w:tcW w:w="1289" w:type="dxa"/>
          </w:tcPr>
          <w:p w14:paraId="0E4F8534" w14:textId="77777777" w:rsidR="003A71DE" w:rsidRPr="001C0E1B" w:rsidRDefault="003A71DE" w:rsidP="003A71DE">
            <w:pPr>
              <w:pStyle w:val="TAL"/>
              <w:rPr>
                <w:noProof/>
                <w:lang w:eastAsia="zh-CN"/>
              </w:rPr>
            </w:pPr>
            <w:r w:rsidRPr="001C0E1B">
              <w:rPr>
                <w:noProof/>
                <w:lang w:eastAsia="zh-CN"/>
              </w:rPr>
              <w:t>Config 1</w:t>
            </w:r>
          </w:p>
        </w:tc>
        <w:tc>
          <w:tcPr>
            <w:tcW w:w="740" w:type="dxa"/>
          </w:tcPr>
          <w:p w14:paraId="1BB5DA29" w14:textId="77777777" w:rsidR="003A71DE" w:rsidRPr="001C0E1B" w:rsidRDefault="003A71DE" w:rsidP="003A71DE">
            <w:pPr>
              <w:pStyle w:val="TAC"/>
              <w:rPr>
                <w:lang w:eastAsia="zh-CN"/>
              </w:rPr>
            </w:pPr>
            <w:r w:rsidRPr="001C0E1B">
              <w:rPr>
                <w:lang w:eastAsia="zh-CN"/>
              </w:rPr>
              <w:t>dB</w:t>
            </w:r>
          </w:p>
        </w:tc>
        <w:tc>
          <w:tcPr>
            <w:tcW w:w="2220" w:type="dxa"/>
            <w:gridSpan w:val="3"/>
          </w:tcPr>
          <w:p w14:paraId="2A7F0833" w14:textId="77777777" w:rsidR="003A71DE" w:rsidRPr="001C0E1B" w:rsidRDefault="003A71DE" w:rsidP="003A71DE">
            <w:pPr>
              <w:pStyle w:val="TAC"/>
              <w:rPr>
                <w:lang w:eastAsia="zh-CN"/>
              </w:rPr>
            </w:pPr>
            <w:r w:rsidRPr="001C0E1B">
              <w:rPr>
                <w:lang w:eastAsia="zh-CN"/>
              </w:rPr>
              <w:t>2</w:t>
            </w:r>
            <w:r w:rsidRPr="001C0E1B">
              <w:rPr>
                <w:vertAlign w:val="superscript"/>
              </w:rPr>
              <w:t xml:space="preserve">Note </w:t>
            </w:r>
            <w:r>
              <w:rPr>
                <w:vertAlign w:val="superscript"/>
              </w:rPr>
              <w:t>9</w:t>
            </w:r>
          </w:p>
        </w:tc>
        <w:tc>
          <w:tcPr>
            <w:tcW w:w="2413" w:type="dxa"/>
            <w:gridSpan w:val="3"/>
          </w:tcPr>
          <w:p w14:paraId="666A53EF" w14:textId="77777777" w:rsidR="003A71DE" w:rsidRPr="001C0E1B" w:rsidRDefault="003A71DE" w:rsidP="003A71DE">
            <w:pPr>
              <w:pStyle w:val="TAC"/>
              <w:rPr>
                <w:lang w:eastAsia="zh-CN"/>
              </w:rPr>
            </w:pPr>
            <w:r w:rsidRPr="001C0E1B">
              <w:rPr>
                <w:lang w:eastAsia="zh-CN"/>
              </w:rPr>
              <w:t>N/A</w:t>
            </w:r>
          </w:p>
        </w:tc>
      </w:tr>
      <w:tr w:rsidR="003A71DE" w:rsidRPr="001C0E1B" w14:paraId="32316A09" w14:textId="77777777" w:rsidTr="003A71DE">
        <w:trPr>
          <w:cantSplit/>
          <w:trHeight w:val="153"/>
          <w:jc w:val="center"/>
        </w:trPr>
        <w:tc>
          <w:tcPr>
            <w:tcW w:w="2405" w:type="dxa"/>
          </w:tcPr>
          <w:p w14:paraId="0B6A9194" w14:textId="77777777" w:rsidR="003A71DE" w:rsidRPr="001C0E1B" w:rsidRDefault="003A71DE" w:rsidP="003A71DE">
            <w:pPr>
              <w:pStyle w:val="TAL"/>
            </w:pPr>
            <w:r w:rsidRPr="001C0E1B">
              <w:rPr>
                <w:position w:val="-12"/>
              </w:rPr>
              <w:object w:dxaOrig="420" w:dyaOrig="360" w14:anchorId="2C80B41D">
                <v:shape id="_x0000_i1100" type="#_x0000_t75" style="width:20.5pt;height:19.95pt" o:ole="" fillcolor="window">
                  <v:imagedata r:id="rId114" o:title=""/>
                </v:shape>
                <o:OLEObject Type="Embed" ProgID="Equation.3" ShapeID="_x0000_i1100" DrawAspect="Content" ObjectID="_1734764480" r:id="rId131"/>
              </w:object>
            </w:r>
          </w:p>
        </w:tc>
        <w:tc>
          <w:tcPr>
            <w:tcW w:w="1289" w:type="dxa"/>
          </w:tcPr>
          <w:p w14:paraId="125F998F" w14:textId="77777777" w:rsidR="003A71DE" w:rsidRPr="001C0E1B" w:rsidRDefault="003A71DE" w:rsidP="003A71DE">
            <w:pPr>
              <w:pStyle w:val="TAL"/>
              <w:rPr>
                <w:noProof/>
              </w:rPr>
            </w:pPr>
            <w:r w:rsidRPr="001C0E1B">
              <w:rPr>
                <w:noProof/>
              </w:rPr>
              <w:t>Config 1</w:t>
            </w:r>
          </w:p>
        </w:tc>
        <w:tc>
          <w:tcPr>
            <w:tcW w:w="740" w:type="dxa"/>
          </w:tcPr>
          <w:p w14:paraId="7892BEAA" w14:textId="77777777" w:rsidR="003A71DE" w:rsidRPr="001C0E1B" w:rsidRDefault="003A71DE" w:rsidP="003A71DE">
            <w:pPr>
              <w:pStyle w:val="TAC"/>
            </w:pPr>
            <w:r w:rsidRPr="001C0E1B">
              <w:t>dBm/</w:t>
            </w:r>
            <w:r w:rsidRPr="001C0E1B">
              <w:br/>
              <w:t>15kHz</w:t>
            </w:r>
          </w:p>
        </w:tc>
        <w:tc>
          <w:tcPr>
            <w:tcW w:w="2220" w:type="dxa"/>
            <w:gridSpan w:val="3"/>
          </w:tcPr>
          <w:p w14:paraId="30A9770B" w14:textId="77777777" w:rsidR="003A71DE" w:rsidRPr="001C0E1B" w:rsidRDefault="003A71DE" w:rsidP="003A71DE">
            <w:pPr>
              <w:pStyle w:val="TAC"/>
            </w:pPr>
            <w:r w:rsidRPr="001C0E1B">
              <w:t>-92.1</w:t>
            </w:r>
          </w:p>
        </w:tc>
        <w:tc>
          <w:tcPr>
            <w:tcW w:w="2413" w:type="dxa"/>
            <w:gridSpan w:val="3"/>
          </w:tcPr>
          <w:p w14:paraId="7048C16D" w14:textId="77777777" w:rsidR="003A71DE" w:rsidRPr="001C0E1B" w:rsidRDefault="003A71DE" w:rsidP="003A71DE">
            <w:pPr>
              <w:pStyle w:val="TAC"/>
            </w:pPr>
            <w:r w:rsidRPr="001C0E1B">
              <w:t>-92.1</w:t>
            </w:r>
          </w:p>
        </w:tc>
      </w:tr>
      <w:tr w:rsidR="003A71DE" w:rsidRPr="001C0E1B" w14:paraId="304CFA78" w14:textId="77777777" w:rsidTr="003A71DE">
        <w:trPr>
          <w:cantSplit/>
          <w:trHeight w:val="168"/>
          <w:jc w:val="center"/>
        </w:trPr>
        <w:tc>
          <w:tcPr>
            <w:tcW w:w="3694" w:type="dxa"/>
            <w:gridSpan w:val="2"/>
          </w:tcPr>
          <w:p w14:paraId="2CBDA36D" w14:textId="77777777" w:rsidR="003A71DE" w:rsidRPr="001C0E1B" w:rsidRDefault="003A71DE" w:rsidP="003A71DE">
            <w:pPr>
              <w:pStyle w:val="TAL"/>
            </w:pPr>
            <w:r w:rsidRPr="001C0E1B">
              <w:rPr>
                <w:rFonts w:eastAsia="?? ??"/>
              </w:rPr>
              <w:t>Propagation condition</w:t>
            </w:r>
          </w:p>
        </w:tc>
        <w:tc>
          <w:tcPr>
            <w:tcW w:w="740" w:type="dxa"/>
          </w:tcPr>
          <w:p w14:paraId="0233635E" w14:textId="77777777" w:rsidR="003A71DE" w:rsidRPr="001C0E1B" w:rsidRDefault="003A71DE" w:rsidP="003A71DE">
            <w:pPr>
              <w:pStyle w:val="TAC"/>
            </w:pPr>
          </w:p>
        </w:tc>
        <w:tc>
          <w:tcPr>
            <w:tcW w:w="2220" w:type="dxa"/>
            <w:gridSpan w:val="3"/>
          </w:tcPr>
          <w:p w14:paraId="0877CDAA" w14:textId="77777777" w:rsidR="003A71DE" w:rsidRPr="001C0E1B" w:rsidRDefault="003A71DE" w:rsidP="003A71DE">
            <w:pPr>
              <w:pStyle w:val="TAC"/>
            </w:pPr>
            <w:r w:rsidRPr="001C0E1B">
              <w:t>TDL-C 300ns 100Hz</w:t>
            </w:r>
          </w:p>
        </w:tc>
        <w:tc>
          <w:tcPr>
            <w:tcW w:w="2413" w:type="dxa"/>
            <w:gridSpan w:val="3"/>
          </w:tcPr>
          <w:p w14:paraId="7719B54B" w14:textId="77777777" w:rsidR="003A71DE" w:rsidRPr="001C0E1B" w:rsidRDefault="003A71DE" w:rsidP="003A71DE">
            <w:pPr>
              <w:pStyle w:val="TAC"/>
            </w:pPr>
            <w:r w:rsidRPr="001C0E1B">
              <w:t>TDL-C 300ns 100Hz</w:t>
            </w:r>
          </w:p>
        </w:tc>
      </w:tr>
      <w:tr w:rsidR="003A71DE" w:rsidRPr="001C0E1B" w14:paraId="32C424D4" w14:textId="77777777" w:rsidTr="003A71DE">
        <w:trPr>
          <w:cantSplit/>
          <w:trHeight w:val="168"/>
          <w:jc w:val="center"/>
        </w:trPr>
        <w:tc>
          <w:tcPr>
            <w:tcW w:w="9067" w:type="dxa"/>
            <w:gridSpan w:val="9"/>
          </w:tcPr>
          <w:p w14:paraId="14319E72" w14:textId="77777777" w:rsidR="003A71DE" w:rsidRPr="001C0E1B" w:rsidRDefault="003A71DE" w:rsidP="003A71DE">
            <w:pPr>
              <w:pStyle w:val="TAN"/>
            </w:pPr>
            <w:r w:rsidRPr="001C0E1B">
              <w:t>Note 1:</w:t>
            </w:r>
            <w:r w:rsidRPr="001C0E1B">
              <w:tab/>
              <w:t>OCNG shall be used such that the resources in Cell 1 are fully allocated and a constant total transmitted power spectral density is achieved for all OFDM symbols.</w:t>
            </w:r>
          </w:p>
          <w:p w14:paraId="4E982E84" w14:textId="77777777" w:rsidR="003A71DE" w:rsidRPr="001C0E1B" w:rsidRDefault="003A71DE" w:rsidP="003A71DE">
            <w:pPr>
              <w:pStyle w:val="TAN"/>
            </w:pPr>
            <w:r w:rsidRPr="001C0E1B">
              <w:t>Note 2:</w:t>
            </w:r>
            <w:r w:rsidRPr="001C0E1B">
              <w:tab/>
              <w:t xml:space="preserve">The uplink resources for CSI reporting are assigned to the </w:t>
            </w:r>
            <w:r>
              <w:t>IAB-MT</w:t>
            </w:r>
            <w:r w:rsidRPr="001C0E1B">
              <w:t xml:space="preserve"> prior to the start of time period T1.</w:t>
            </w:r>
          </w:p>
          <w:p w14:paraId="3F3D5326" w14:textId="77777777" w:rsidR="003A71DE" w:rsidRPr="001C0E1B" w:rsidRDefault="003A71DE" w:rsidP="003A71DE">
            <w:pPr>
              <w:pStyle w:val="TAN"/>
            </w:pPr>
            <w:r w:rsidRPr="001C0E1B">
              <w:t>Note 3:</w:t>
            </w:r>
            <w:r w:rsidRPr="001C0E1B">
              <w:tab/>
              <w:t xml:space="preserve">NZP CSI-RS resource set configuration for CSI reporting are assigned to the </w:t>
            </w:r>
            <w:r>
              <w:t>IAB-MT</w:t>
            </w:r>
            <w:r w:rsidRPr="001C0E1B">
              <w:t xml:space="preserve"> prior to the start of time period T1.</w:t>
            </w:r>
          </w:p>
          <w:p w14:paraId="2EABA070" w14:textId="77777777" w:rsidR="003A71DE" w:rsidRPr="001C0E1B" w:rsidRDefault="003A71DE" w:rsidP="003A71DE">
            <w:pPr>
              <w:pStyle w:val="TAN"/>
            </w:pPr>
            <w:r w:rsidRPr="001C0E1B">
              <w:t xml:space="preserve">Note </w:t>
            </w:r>
            <w:r>
              <w:t>4</w:t>
            </w:r>
            <w:r w:rsidRPr="001C0E1B">
              <w:t>:</w:t>
            </w:r>
            <w:r w:rsidRPr="001C0E1B">
              <w:tab/>
              <w:t>The timers and layer 3 filtering related parameters are configured prior to the start of time period T1.</w:t>
            </w:r>
          </w:p>
          <w:p w14:paraId="0936B50B" w14:textId="77777777" w:rsidR="003A71DE" w:rsidRPr="001C0E1B" w:rsidRDefault="003A71DE" w:rsidP="003A71DE">
            <w:pPr>
              <w:pStyle w:val="TAN"/>
            </w:pPr>
            <w:r w:rsidRPr="001C0E1B">
              <w:t xml:space="preserve">Note </w:t>
            </w:r>
            <w:r>
              <w:t>5</w:t>
            </w:r>
            <w:r w:rsidRPr="001C0E1B">
              <w:t>:</w:t>
            </w:r>
            <w:r w:rsidRPr="001C0E1B">
              <w:tab/>
              <w:t xml:space="preserve">The signal contains PDCCH for </w:t>
            </w:r>
            <w:r>
              <w:t>IAB-MT</w:t>
            </w:r>
            <w:r w:rsidRPr="001C0E1B">
              <w:t>s other than the device under test as part of OCNG.</w:t>
            </w:r>
          </w:p>
          <w:p w14:paraId="12CC1DFF" w14:textId="77777777" w:rsidR="003A71DE" w:rsidRPr="001C0E1B" w:rsidRDefault="003A71DE" w:rsidP="003A71DE">
            <w:pPr>
              <w:pStyle w:val="TAN"/>
            </w:pPr>
            <w:r w:rsidRPr="001C0E1B">
              <w:t xml:space="preserve">Note </w:t>
            </w:r>
            <w:r>
              <w:t>6</w:t>
            </w:r>
            <w:r w:rsidRPr="001C0E1B">
              <w:t>:</w:t>
            </w:r>
            <w:r w:rsidRPr="001C0E1B">
              <w:tab/>
              <w:t>SNR levels correspond to the signal to noise ratio over the SSS REs.</w:t>
            </w:r>
          </w:p>
          <w:p w14:paraId="3BA77F8D" w14:textId="77777777" w:rsidR="003A71DE" w:rsidRPr="001C0E1B" w:rsidRDefault="003A71DE" w:rsidP="003A71DE">
            <w:pPr>
              <w:pStyle w:val="TAN"/>
            </w:pPr>
            <w:r w:rsidRPr="001C0E1B">
              <w:t xml:space="preserve">Note </w:t>
            </w:r>
            <w:r>
              <w:t>7</w:t>
            </w:r>
            <w:r w:rsidRPr="001C0E1B">
              <w:t>:</w:t>
            </w:r>
            <w:r w:rsidRPr="001C0E1B">
              <w:tab/>
              <w:t xml:space="preserve">The SNR in time periods T1, T2 and T3 is denoted as SNR1, SNR2 and SNR3 respectively in figure </w:t>
            </w:r>
            <w:r>
              <w:t>G.2.3.1.7</w:t>
            </w:r>
            <w:r w:rsidRPr="001C0E1B">
              <w:t>.1-1.</w:t>
            </w:r>
          </w:p>
          <w:p w14:paraId="23D51BBE" w14:textId="77777777" w:rsidR="003A71DE" w:rsidRPr="001C0E1B" w:rsidRDefault="003A71DE" w:rsidP="003A71DE">
            <w:pPr>
              <w:pStyle w:val="TAN"/>
              <w:rPr>
                <w:snapToGrid w:val="0"/>
              </w:rPr>
            </w:pPr>
            <w:r w:rsidRPr="001C0E1B">
              <w:rPr>
                <w:snapToGrid w:val="0"/>
              </w:rPr>
              <w:t xml:space="preserve">Note </w:t>
            </w:r>
            <w:r>
              <w:rPr>
                <w:snapToGrid w:val="0"/>
              </w:rPr>
              <w:t>8</w:t>
            </w:r>
            <w:r w:rsidRPr="001C0E1B">
              <w:rPr>
                <w:snapToGrid w:val="0"/>
              </w:rPr>
              <w:t>:</w:t>
            </w:r>
            <w:r w:rsidRPr="001C0E1B">
              <w:rPr>
                <w:rFonts w:eastAsia="MS Mincho"/>
                <w:snapToGrid w:val="0"/>
              </w:rPr>
              <w:t xml:space="preserve"> </w:t>
            </w:r>
            <w:r w:rsidRPr="001C0E1B">
              <w:rPr>
                <w:rFonts w:eastAsia="MS Mincho"/>
                <w:snapToGrid w:val="0"/>
              </w:rPr>
              <w:tab/>
              <w:t xml:space="preserve">Information about types of </w:t>
            </w:r>
            <w:r>
              <w:rPr>
                <w:rFonts w:eastAsia="MS Mincho"/>
                <w:snapToGrid w:val="0"/>
              </w:rPr>
              <w:t>IAB-MT</w:t>
            </w:r>
            <w:r w:rsidRPr="001C0E1B">
              <w:rPr>
                <w:rFonts w:eastAsia="MS Mincho"/>
                <w:snapToGrid w:val="0"/>
              </w:rPr>
              <w:t xml:space="preserve"> beam does not limit </w:t>
            </w:r>
            <w:r>
              <w:rPr>
                <w:rFonts w:eastAsia="MS Mincho"/>
                <w:snapToGrid w:val="0"/>
              </w:rPr>
              <w:t>IAB-MT</w:t>
            </w:r>
            <w:r w:rsidRPr="001C0E1B">
              <w:rPr>
                <w:rFonts w:eastAsia="MS Mincho"/>
                <w:snapToGrid w:val="0"/>
              </w:rPr>
              <w:t xml:space="preserve"> implementation or test system implementation.</w:t>
            </w:r>
          </w:p>
          <w:p w14:paraId="4196017E" w14:textId="77777777" w:rsidR="003A71DE" w:rsidRPr="001C0E1B" w:rsidRDefault="003A71DE" w:rsidP="003A71DE">
            <w:pPr>
              <w:pStyle w:val="TAN"/>
            </w:pPr>
            <w:r w:rsidRPr="001C0E1B">
              <w:t xml:space="preserve">Note </w:t>
            </w:r>
            <w:r>
              <w:t>9</w:t>
            </w:r>
            <w:r w:rsidRPr="001C0E1B">
              <w:t>:</w:t>
            </w:r>
            <w:r w:rsidRPr="001C0E1B">
              <w:tab/>
              <w:t xml:space="preserve">This </w:t>
            </w:r>
            <w:r>
              <w:t>IAB-MT</w:t>
            </w:r>
            <w:r w:rsidRPr="001C0E1B">
              <w:t xml:space="preserve"> allows up to 1dB degradation from applied SNR to </w:t>
            </w:r>
            <w:r>
              <w:t>IAB-MT</w:t>
            </w:r>
            <w:r w:rsidRPr="001C0E1B">
              <w:t xml:space="preserve"> baseband</w:t>
            </w:r>
          </w:p>
        </w:tc>
      </w:tr>
    </w:tbl>
    <w:p w14:paraId="29C59BA1" w14:textId="77777777" w:rsidR="003A71DE" w:rsidRPr="001C0E1B" w:rsidRDefault="003A71DE" w:rsidP="003A71DE"/>
    <w:p w14:paraId="1CF03553" w14:textId="77777777" w:rsidR="003A71DE" w:rsidRPr="001C0E1B" w:rsidRDefault="003A71DE" w:rsidP="00746C0D">
      <w:pPr>
        <w:pStyle w:val="TH"/>
      </w:pPr>
      <w:r w:rsidRPr="001C0E1B">
        <w:rPr>
          <w:noProof/>
          <w:lang w:eastAsia="zh-CN"/>
        </w:rPr>
        <w:drawing>
          <wp:inline distT="0" distB="0" distL="0" distR="0" wp14:anchorId="5FF9EC07" wp14:editId="11E09FFD">
            <wp:extent cx="3684814" cy="2266068"/>
            <wp:effectExtent l="0" t="0" r="0" b="0"/>
            <wp:docPr id="31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3700910" cy="2275967"/>
                    </a:xfrm>
                    <a:prstGeom prst="rect">
                      <a:avLst/>
                    </a:prstGeom>
                    <a:noFill/>
                  </pic:spPr>
                </pic:pic>
              </a:graphicData>
            </a:graphic>
          </wp:inline>
        </w:drawing>
      </w:r>
    </w:p>
    <w:p w14:paraId="463A6FB8" w14:textId="77777777" w:rsidR="003A71DE" w:rsidRPr="001C0E1B" w:rsidRDefault="003A71DE" w:rsidP="00746C0D">
      <w:pPr>
        <w:pStyle w:val="TF"/>
      </w:pPr>
      <w:r w:rsidRPr="001C0E1B">
        <w:t xml:space="preserve">Figure </w:t>
      </w:r>
      <w:r>
        <w:t>G.2.3.1.7</w:t>
      </w:r>
      <w:r w:rsidRPr="001C0E1B">
        <w:t>.1-1: SNR variation for CSI-RS out-of-sync testing</w:t>
      </w:r>
    </w:p>
    <w:p w14:paraId="4ADCB305" w14:textId="77777777" w:rsidR="003A71DE" w:rsidRPr="001C0E1B" w:rsidRDefault="003A71DE" w:rsidP="00746C0D">
      <w:pPr>
        <w:pStyle w:val="H6"/>
        <w:rPr>
          <w:snapToGrid w:val="0"/>
        </w:rPr>
      </w:pPr>
      <w:bookmarkStart w:id="10327" w:name="_Toc535476710"/>
      <w:r>
        <w:rPr>
          <w:snapToGrid w:val="0"/>
        </w:rPr>
        <w:t>G.2.3.1.7</w:t>
      </w:r>
      <w:r w:rsidRPr="001C0E1B">
        <w:rPr>
          <w:snapToGrid w:val="0"/>
        </w:rPr>
        <w:t>.2</w:t>
      </w:r>
      <w:r w:rsidRPr="001C0E1B">
        <w:rPr>
          <w:snapToGrid w:val="0"/>
        </w:rPr>
        <w:tab/>
        <w:t>Test Requirements</w:t>
      </w:r>
      <w:bookmarkEnd w:id="10327"/>
    </w:p>
    <w:p w14:paraId="0FCCA41B" w14:textId="77777777" w:rsidR="003A71DE" w:rsidRPr="001C0E1B" w:rsidRDefault="003A71DE" w:rsidP="003A71DE">
      <w:r w:rsidRPr="001C0E1B">
        <w:t xml:space="preserve">The </w:t>
      </w:r>
      <w:r>
        <w:t>IAB-MT</w:t>
      </w:r>
      <w:r w:rsidRPr="001C0E1B">
        <w:t xml:space="preserve"> behaviour during time durations T1, T2, </w:t>
      </w:r>
      <w:r w:rsidRPr="001C0E1B">
        <w:rPr>
          <w:lang w:eastAsia="zh-CN"/>
        </w:rPr>
        <w:t xml:space="preserve">and </w:t>
      </w:r>
      <w:r w:rsidRPr="001C0E1B">
        <w:t>T3 shall be as follows:</w:t>
      </w:r>
    </w:p>
    <w:p w14:paraId="38C058C1" w14:textId="77777777" w:rsidR="003A71DE" w:rsidRPr="001C0E1B" w:rsidRDefault="003A71DE" w:rsidP="003A71DE">
      <w:pPr>
        <w:rPr>
          <w:lang w:eastAsia="zh-CN"/>
        </w:rPr>
      </w:pPr>
      <w:r w:rsidRPr="001C0E1B">
        <w:rPr>
          <w:lang w:eastAsia="zh-CN"/>
        </w:rPr>
        <w:t xml:space="preserve">During time durations T1, T2 and T3, the </w:t>
      </w:r>
      <w:r>
        <w:rPr>
          <w:lang w:eastAsia="zh-CN"/>
        </w:rPr>
        <w:t>IAB-MT</w:t>
      </w:r>
      <w:r w:rsidRPr="001C0E1B">
        <w:rPr>
          <w:lang w:eastAsia="zh-CN"/>
        </w:rPr>
        <w:t xml:space="preserve"> shall transmit uplink signal at least in all subframes configured for CSI transmission on Cell 1.</w:t>
      </w:r>
    </w:p>
    <w:p w14:paraId="4619BFC0" w14:textId="77777777" w:rsidR="003A71DE" w:rsidRPr="001C0E1B" w:rsidRDefault="003A71DE" w:rsidP="003A71DE">
      <w:r w:rsidRPr="001C0E1B">
        <w:t xml:space="preserve">During the period from time point A to time point B the </w:t>
      </w:r>
      <w:r>
        <w:t>IAB-MT</w:t>
      </w:r>
      <w:r w:rsidRPr="001C0E1B">
        <w:t xml:space="preserve"> shall transmit uplink signal in Cell 1 at least in all uplink slots configured for CSI transmission according to the configured periodic CSI reporting for Cell 1.</w:t>
      </w:r>
    </w:p>
    <w:p w14:paraId="64DE0835" w14:textId="77777777" w:rsidR="003A71DE" w:rsidRPr="001C0E1B" w:rsidRDefault="003A71DE" w:rsidP="003A71DE">
      <w:r w:rsidRPr="001C0E1B">
        <w:lastRenderedPageBreak/>
        <w:t xml:space="preserve">The </w:t>
      </w:r>
      <w:r>
        <w:t>IAB-MT</w:t>
      </w:r>
      <w:r w:rsidRPr="001C0E1B">
        <w:t xml:space="preserve"> shall stop transmitting uplink signal in Cell 1 no later than time point C (D</w:t>
      </w:r>
      <w:r w:rsidRPr="001C0E1B">
        <w:rPr>
          <w:vertAlign w:val="subscript"/>
        </w:rPr>
        <w:t>1</w:t>
      </w:r>
      <w:r w:rsidRPr="001C0E1B">
        <w:t xml:space="preserve"> second after the start of the time duration T3) on the PCell.</w:t>
      </w:r>
    </w:p>
    <w:p w14:paraId="34EDC2D4" w14:textId="77777777" w:rsidR="003A71DE" w:rsidRPr="001C0E1B" w:rsidRDefault="003A71DE" w:rsidP="003A71DE">
      <w:pPr>
        <w:rPr>
          <w:iCs/>
          <w:lang w:eastAsia="ja-JP"/>
        </w:rPr>
      </w:pPr>
      <w:r w:rsidRPr="001C0E1B">
        <w:t>The rate of correct events observed during repeated tests shall be at least 90%.</w:t>
      </w:r>
    </w:p>
    <w:p w14:paraId="2058163C" w14:textId="77777777" w:rsidR="003A71DE" w:rsidRPr="001C0E1B" w:rsidRDefault="003A71DE" w:rsidP="00746C0D">
      <w:pPr>
        <w:pStyle w:val="Heading5"/>
      </w:pPr>
      <w:bookmarkStart w:id="10328" w:name="_Toc535476711"/>
      <w:bookmarkStart w:id="10329" w:name="_Toc74583688"/>
      <w:bookmarkStart w:id="10330" w:name="_Toc76542501"/>
      <w:bookmarkStart w:id="10331" w:name="_Toc82450483"/>
      <w:bookmarkStart w:id="10332" w:name="_Toc82451131"/>
      <w:bookmarkStart w:id="10333" w:name="_Toc89949520"/>
      <w:bookmarkStart w:id="10334" w:name="_Toc98755909"/>
      <w:bookmarkStart w:id="10335" w:name="_Toc98763501"/>
      <w:bookmarkStart w:id="10336" w:name="_Toc106184430"/>
      <w:r>
        <w:t>G.2.3.1.8</w:t>
      </w:r>
      <w:r w:rsidRPr="001C0E1B">
        <w:tab/>
        <w:t>Radio Link Monitoring In-sync Test for FR2 PCell configured with CSI-RS-based RLM in non-DRX mode</w:t>
      </w:r>
      <w:bookmarkEnd w:id="10328"/>
      <w:bookmarkEnd w:id="10329"/>
      <w:bookmarkEnd w:id="10330"/>
      <w:bookmarkEnd w:id="10331"/>
      <w:bookmarkEnd w:id="10332"/>
      <w:bookmarkEnd w:id="10333"/>
      <w:bookmarkEnd w:id="10334"/>
      <w:bookmarkEnd w:id="10335"/>
      <w:bookmarkEnd w:id="10336"/>
    </w:p>
    <w:p w14:paraId="6E59BFC1" w14:textId="77777777" w:rsidR="003A71DE" w:rsidRPr="001C0E1B" w:rsidRDefault="003A71DE" w:rsidP="00746C0D">
      <w:pPr>
        <w:pStyle w:val="H6"/>
        <w:rPr>
          <w:snapToGrid w:val="0"/>
          <w:lang w:eastAsia="zh-CN"/>
        </w:rPr>
      </w:pPr>
      <w:bookmarkStart w:id="10337" w:name="_Toc535476712"/>
      <w:r>
        <w:rPr>
          <w:snapToGrid w:val="0"/>
          <w:lang w:eastAsia="zh-CN"/>
        </w:rPr>
        <w:t>G.2.3.1.8</w:t>
      </w:r>
      <w:r w:rsidRPr="001C0E1B">
        <w:rPr>
          <w:snapToGrid w:val="0"/>
          <w:lang w:eastAsia="zh-CN"/>
        </w:rPr>
        <w:t>.1</w:t>
      </w:r>
      <w:r w:rsidRPr="001C0E1B">
        <w:rPr>
          <w:snapToGrid w:val="0"/>
          <w:lang w:eastAsia="zh-CN"/>
        </w:rPr>
        <w:tab/>
        <w:t>Test Purpose and Environment</w:t>
      </w:r>
      <w:bookmarkEnd w:id="10337"/>
    </w:p>
    <w:p w14:paraId="041E45A7" w14:textId="77777777" w:rsidR="003A71DE" w:rsidRPr="001C0E1B" w:rsidRDefault="003A71DE" w:rsidP="003A71DE">
      <w:r w:rsidRPr="001C0E1B">
        <w:t xml:space="preserve">The purpose of this test is to verify that the </w:t>
      </w:r>
      <w:r>
        <w:t>IAB-MT</w:t>
      </w:r>
      <w:r w:rsidRPr="001C0E1B">
        <w:t xml:space="preserve"> properly detects the in sync for the purpose of monitoring downlink CSI-RS based radio link quality of the PCell. This test will partly verify the FR2 PCell CSI-RS In-sync radio link monitoring requirements in clause </w:t>
      </w:r>
      <w:r>
        <w:rPr>
          <w:rFonts w:eastAsia="SimSun"/>
        </w:rPr>
        <w:t>12.3.1.3</w:t>
      </w:r>
      <w:r w:rsidRPr="003F24A0">
        <w:rPr>
          <w:rFonts w:eastAsia="SimSun"/>
        </w:rPr>
        <w:t>.</w:t>
      </w:r>
      <w:r>
        <w:rPr>
          <w:rFonts w:eastAsia="SimSun"/>
        </w:rPr>
        <w:t xml:space="preserve"> </w:t>
      </w:r>
      <w:r w:rsidRPr="00CE0F04">
        <w:rPr>
          <w:rFonts w:cs="v4.2.0"/>
        </w:rPr>
        <w:t xml:space="preserve">This test case is applicable only for local area IAB-MT and for IAB type </w:t>
      </w:r>
      <w:r>
        <w:rPr>
          <w:rFonts w:cs="v4.2.0"/>
        </w:rPr>
        <w:t>2-O</w:t>
      </w:r>
      <w:r w:rsidRPr="00CE0F04">
        <w:rPr>
          <w:rFonts w:cs="v4.2.0"/>
        </w:rPr>
        <w:t>.</w:t>
      </w:r>
    </w:p>
    <w:p w14:paraId="1862D8EF" w14:textId="77777777" w:rsidR="003A71DE" w:rsidRPr="001C0E1B" w:rsidRDefault="003A71DE" w:rsidP="003A71DE">
      <w:r w:rsidRPr="001C0E1B">
        <w:t xml:space="preserve">The test parameters are given in Tables </w:t>
      </w:r>
      <w:r>
        <w:t>G.2.3.1.8</w:t>
      </w:r>
      <w:r w:rsidRPr="001C0E1B">
        <w:t xml:space="preserve">.1-1, </w:t>
      </w:r>
      <w:r>
        <w:t>G.2.3.1.8</w:t>
      </w:r>
      <w:r w:rsidRPr="001C0E1B">
        <w:t xml:space="preserve">.1-2 and </w:t>
      </w:r>
      <w:r>
        <w:t>G.2.3.1.8</w:t>
      </w:r>
      <w:r w:rsidRPr="001C0E1B">
        <w:t xml:space="preserve">.1-3 below. There is one cells, cell 1which is the PCell, in the test. The test consists of five successive time periods, with time duration of T1, T2, T3, T4 and T5 respectively. Figure </w:t>
      </w:r>
      <w:r>
        <w:t>G.2.3.1.8</w:t>
      </w:r>
      <w:r w:rsidRPr="001C0E1B">
        <w:t xml:space="preserve">.1-1 shows the variation of the downlink SNR in the PCell to emulate out-of-sync and in-sync states. Prior to the start of the time duration T1, the </w:t>
      </w:r>
      <w:r>
        <w:t>IAB-MT</w:t>
      </w:r>
      <w:r w:rsidRPr="001C0E1B">
        <w:t xml:space="preserve"> shall be fully synchronized to cell 1. The </w:t>
      </w:r>
      <w:r>
        <w:t>IAB-MT</w:t>
      </w:r>
      <w:r w:rsidRPr="001C0E1B">
        <w:t xml:space="preserve"> shall be configured for periodic CSI reporting with a reporting periodicity of 10 ms. In the test, SSB0 and SSB1 are configured as BFD-RS.</w:t>
      </w:r>
    </w:p>
    <w:p w14:paraId="23290452" w14:textId="77777777" w:rsidR="003A71DE" w:rsidRPr="001C0E1B" w:rsidRDefault="003A71DE" w:rsidP="00746C0D">
      <w:pPr>
        <w:pStyle w:val="TH"/>
      </w:pPr>
      <w:r w:rsidRPr="001C0E1B">
        <w:t xml:space="preserve">Table </w:t>
      </w:r>
      <w:r>
        <w:t>G.2.3.1.8</w:t>
      </w:r>
      <w:r w:rsidRPr="001C0E1B">
        <w:t>.1-1: Supported test configurations for FR2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6905"/>
      </w:tblGrid>
      <w:tr w:rsidR="003A71DE" w:rsidRPr="001C0E1B" w14:paraId="7B72D6CC" w14:textId="77777777" w:rsidTr="003A71DE">
        <w:trPr>
          <w:trHeight w:val="267"/>
          <w:jc w:val="center"/>
        </w:trPr>
        <w:tc>
          <w:tcPr>
            <w:tcW w:w="2265" w:type="dxa"/>
            <w:shd w:val="clear" w:color="auto" w:fill="auto"/>
          </w:tcPr>
          <w:p w14:paraId="779779CE" w14:textId="77777777" w:rsidR="003A71DE" w:rsidRPr="001C0E1B" w:rsidRDefault="003A71DE" w:rsidP="00A40F90">
            <w:pPr>
              <w:pStyle w:val="TAH"/>
            </w:pPr>
            <w:r w:rsidRPr="001C0E1B">
              <w:t>Configuration</w:t>
            </w:r>
          </w:p>
        </w:tc>
        <w:tc>
          <w:tcPr>
            <w:tcW w:w="6905" w:type="dxa"/>
            <w:shd w:val="clear" w:color="auto" w:fill="auto"/>
          </w:tcPr>
          <w:p w14:paraId="0928C0A3" w14:textId="77777777" w:rsidR="003A71DE" w:rsidRPr="001C0E1B" w:rsidRDefault="003A71DE" w:rsidP="00A40F90">
            <w:pPr>
              <w:pStyle w:val="TAH"/>
            </w:pPr>
            <w:r w:rsidRPr="001C0E1B">
              <w:t>Description</w:t>
            </w:r>
          </w:p>
        </w:tc>
      </w:tr>
      <w:tr w:rsidR="003A71DE" w:rsidRPr="001C0E1B" w14:paraId="49854C1C" w14:textId="77777777" w:rsidTr="003A71DE">
        <w:trPr>
          <w:trHeight w:val="91"/>
          <w:jc w:val="center"/>
        </w:trPr>
        <w:tc>
          <w:tcPr>
            <w:tcW w:w="2265" w:type="dxa"/>
            <w:shd w:val="clear" w:color="auto" w:fill="auto"/>
          </w:tcPr>
          <w:p w14:paraId="7FA7490A" w14:textId="77777777" w:rsidR="003A71DE" w:rsidRPr="001C0E1B" w:rsidRDefault="003A71DE" w:rsidP="003A71DE">
            <w:pPr>
              <w:pStyle w:val="TAL"/>
            </w:pPr>
            <w:r w:rsidRPr="001C0E1B">
              <w:t>1</w:t>
            </w:r>
          </w:p>
        </w:tc>
        <w:tc>
          <w:tcPr>
            <w:tcW w:w="6905" w:type="dxa"/>
            <w:shd w:val="clear" w:color="auto" w:fill="auto"/>
          </w:tcPr>
          <w:p w14:paraId="4FAA0B6E" w14:textId="77777777" w:rsidR="003A71DE" w:rsidRPr="001C0E1B" w:rsidRDefault="003A71DE" w:rsidP="003A71DE">
            <w:pPr>
              <w:pStyle w:val="TAL"/>
            </w:pPr>
            <w:r w:rsidRPr="001C0E1B">
              <w:t>TDD duplex mode, 120 kHz SSB SCS, 100 MHz bandwidth</w:t>
            </w:r>
          </w:p>
        </w:tc>
      </w:tr>
    </w:tbl>
    <w:p w14:paraId="19C59D26" w14:textId="77777777" w:rsidR="003A71DE" w:rsidRPr="001C0E1B" w:rsidRDefault="003A71DE" w:rsidP="003A71DE"/>
    <w:p w14:paraId="4D2A7F83" w14:textId="77777777" w:rsidR="003A71DE" w:rsidRPr="001C0E1B" w:rsidRDefault="003A71DE" w:rsidP="00746C0D">
      <w:pPr>
        <w:pStyle w:val="TH"/>
      </w:pPr>
      <w:r w:rsidRPr="001C0E1B">
        <w:lastRenderedPageBreak/>
        <w:t xml:space="preserve">Table </w:t>
      </w:r>
      <w:r>
        <w:t>G.2.3.1.8</w:t>
      </w:r>
      <w:r w:rsidRPr="001C0E1B">
        <w:t>.1-2: General test parameters for FR2 PCell for CSI-RS in-sync testing in non-DRX</w:t>
      </w:r>
    </w:p>
    <w:tbl>
      <w:tblPr>
        <w:tblW w:w="48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3"/>
        <w:gridCol w:w="2838"/>
        <w:gridCol w:w="711"/>
        <w:gridCol w:w="2692"/>
      </w:tblGrid>
      <w:tr w:rsidR="003A71DE" w:rsidRPr="001C0E1B" w14:paraId="53DBAE38" w14:textId="77777777" w:rsidTr="003A71DE">
        <w:trPr>
          <w:trHeight w:val="164"/>
          <w:jc w:val="center"/>
        </w:trPr>
        <w:tc>
          <w:tcPr>
            <w:tcW w:w="3181" w:type="pct"/>
            <w:gridSpan w:val="2"/>
            <w:tcBorders>
              <w:bottom w:val="nil"/>
            </w:tcBorders>
            <w:shd w:val="clear" w:color="auto" w:fill="auto"/>
          </w:tcPr>
          <w:p w14:paraId="726AB415" w14:textId="77777777" w:rsidR="003A71DE" w:rsidRPr="009E1BB4" w:rsidRDefault="003A71DE" w:rsidP="003A71DE">
            <w:pPr>
              <w:pStyle w:val="TAH"/>
              <w:rPr>
                <w:rFonts w:cs="Arial"/>
                <w:szCs w:val="18"/>
              </w:rPr>
            </w:pPr>
            <w:r w:rsidRPr="009E1BB4">
              <w:rPr>
                <w:rFonts w:cs="Arial"/>
                <w:szCs w:val="18"/>
              </w:rPr>
              <w:t>Parameter</w:t>
            </w:r>
          </w:p>
        </w:tc>
        <w:tc>
          <w:tcPr>
            <w:tcW w:w="380" w:type="pct"/>
            <w:tcBorders>
              <w:bottom w:val="nil"/>
            </w:tcBorders>
            <w:shd w:val="clear" w:color="auto" w:fill="auto"/>
          </w:tcPr>
          <w:p w14:paraId="028B6E43" w14:textId="77777777" w:rsidR="003A71DE" w:rsidRPr="009E1BB4" w:rsidRDefault="003A71DE" w:rsidP="003A71DE">
            <w:pPr>
              <w:pStyle w:val="TAH"/>
              <w:rPr>
                <w:rFonts w:cs="Arial"/>
                <w:szCs w:val="18"/>
              </w:rPr>
            </w:pPr>
            <w:r w:rsidRPr="009E1BB4">
              <w:rPr>
                <w:rFonts w:cs="Arial"/>
                <w:szCs w:val="18"/>
              </w:rPr>
              <w:t>Unit</w:t>
            </w:r>
          </w:p>
        </w:tc>
        <w:tc>
          <w:tcPr>
            <w:tcW w:w="1439" w:type="pct"/>
            <w:shd w:val="clear" w:color="auto" w:fill="auto"/>
          </w:tcPr>
          <w:p w14:paraId="3A11B1B8" w14:textId="77777777" w:rsidR="003A71DE" w:rsidRPr="009E1BB4" w:rsidRDefault="003A71DE" w:rsidP="003A71DE">
            <w:pPr>
              <w:pStyle w:val="TAH"/>
              <w:rPr>
                <w:rFonts w:cs="Arial"/>
                <w:szCs w:val="18"/>
              </w:rPr>
            </w:pPr>
            <w:r w:rsidRPr="009E1BB4">
              <w:rPr>
                <w:rFonts w:cs="Arial"/>
                <w:szCs w:val="18"/>
              </w:rPr>
              <w:t>IAB-MT</w:t>
            </w:r>
          </w:p>
        </w:tc>
      </w:tr>
      <w:tr w:rsidR="003A71DE" w:rsidRPr="001C0E1B" w14:paraId="722FC682" w14:textId="77777777" w:rsidTr="003A71DE">
        <w:trPr>
          <w:trHeight w:val="74"/>
          <w:jc w:val="center"/>
        </w:trPr>
        <w:tc>
          <w:tcPr>
            <w:tcW w:w="3181" w:type="pct"/>
            <w:gridSpan w:val="2"/>
            <w:tcBorders>
              <w:top w:val="nil"/>
            </w:tcBorders>
            <w:shd w:val="clear" w:color="auto" w:fill="auto"/>
          </w:tcPr>
          <w:p w14:paraId="2DB78B0A" w14:textId="77777777" w:rsidR="003A71DE" w:rsidRPr="009E1BB4" w:rsidRDefault="003A71DE" w:rsidP="00A40F90">
            <w:pPr>
              <w:pStyle w:val="TAL"/>
            </w:pPr>
          </w:p>
        </w:tc>
        <w:tc>
          <w:tcPr>
            <w:tcW w:w="380" w:type="pct"/>
            <w:tcBorders>
              <w:top w:val="nil"/>
            </w:tcBorders>
            <w:shd w:val="clear" w:color="auto" w:fill="auto"/>
          </w:tcPr>
          <w:p w14:paraId="755DB94C" w14:textId="77777777" w:rsidR="003A71DE" w:rsidRPr="009E1BB4" w:rsidRDefault="003A71DE" w:rsidP="00A40F90">
            <w:pPr>
              <w:pStyle w:val="TAC"/>
            </w:pPr>
          </w:p>
        </w:tc>
        <w:tc>
          <w:tcPr>
            <w:tcW w:w="1439" w:type="pct"/>
            <w:shd w:val="clear" w:color="auto" w:fill="auto"/>
          </w:tcPr>
          <w:p w14:paraId="279AA16E" w14:textId="77777777" w:rsidR="003A71DE" w:rsidRPr="009E1BB4" w:rsidRDefault="003A71DE" w:rsidP="00A40F90">
            <w:pPr>
              <w:pStyle w:val="TAC"/>
            </w:pPr>
            <w:r w:rsidRPr="009E1BB4">
              <w:t>Test 1</w:t>
            </w:r>
          </w:p>
        </w:tc>
      </w:tr>
      <w:tr w:rsidR="003A71DE" w:rsidRPr="001C0E1B" w14:paraId="2CD2BE7A" w14:textId="77777777" w:rsidTr="003A71DE">
        <w:trPr>
          <w:trHeight w:val="64"/>
          <w:jc w:val="center"/>
        </w:trPr>
        <w:tc>
          <w:tcPr>
            <w:tcW w:w="3181" w:type="pct"/>
            <w:gridSpan w:val="2"/>
            <w:shd w:val="clear" w:color="auto" w:fill="auto"/>
          </w:tcPr>
          <w:p w14:paraId="2DDF695B" w14:textId="77777777" w:rsidR="003A71DE" w:rsidRPr="009E1BB4" w:rsidRDefault="003A71DE" w:rsidP="00A40F90">
            <w:pPr>
              <w:pStyle w:val="TAL"/>
            </w:pPr>
            <w:r w:rsidRPr="009E1BB4">
              <w:t xml:space="preserve">Active PCell </w:t>
            </w:r>
          </w:p>
        </w:tc>
        <w:tc>
          <w:tcPr>
            <w:tcW w:w="380" w:type="pct"/>
            <w:shd w:val="clear" w:color="auto" w:fill="auto"/>
          </w:tcPr>
          <w:p w14:paraId="6ED992E9" w14:textId="77777777" w:rsidR="003A71DE" w:rsidRPr="009E1BB4" w:rsidRDefault="003A71DE" w:rsidP="00A40F90">
            <w:pPr>
              <w:pStyle w:val="TAC"/>
            </w:pPr>
          </w:p>
        </w:tc>
        <w:tc>
          <w:tcPr>
            <w:tcW w:w="1439" w:type="pct"/>
            <w:shd w:val="clear" w:color="auto" w:fill="auto"/>
          </w:tcPr>
          <w:p w14:paraId="2BE5E018" w14:textId="77777777" w:rsidR="003A71DE" w:rsidRPr="009E1BB4" w:rsidRDefault="003A71DE" w:rsidP="00A40F90">
            <w:pPr>
              <w:pStyle w:val="TAC"/>
            </w:pPr>
            <w:r w:rsidRPr="009E1BB4">
              <w:t>Cell 1</w:t>
            </w:r>
          </w:p>
        </w:tc>
      </w:tr>
      <w:tr w:rsidR="003A71DE" w:rsidRPr="001C0E1B" w14:paraId="1C28478E" w14:textId="77777777" w:rsidTr="003A71DE">
        <w:trPr>
          <w:trHeight w:val="164"/>
          <w:jc w:val="center"/>
        </w:trPr>
        <w:tc>
          <w:tcPr>
            <w:tcW w:w="3181" w:type="pct"/>
            <w:gridSpan w:val="2"/>
            <w:shd w:val="clear" w:color="auto" w:fill="auto"/>
          </w:tcPr>
          <w:p w14:paraId="2BE22C48" w14:textId="77777777" w:rsidR="003A71DE" w:rsidRPr="009E1BB4" w:rsidRDefault="003A71DE" w:rsidP="00A40F90">
            <w:pPr>
              <w:pStyle w:val="TAL"/>
            </w:pPr>
            <w:r w:rsidRPr="009E1BB4">
              <w:t>RF Channel Number</w:t>
            </w:r>
          </w:p>
        </w:tc>
        <w:tc>
          <w:tcPr>
            <w:tcW w:w="380" w:type="pct"/>
            <w:shd w:val="clear" w:color="auto" w:fill="auto"/>
          </w:tcPr>
          <w:p w14:paraId="1EC99775" w14:textId="77777777" w:rsidR="003A71DE" w:rsidRPr="009E1BB4" w:rsidRDefault="003A71DE" w:rsidP="00A40F90">
            <w:pPr>
              <w:pStyle w:val="TAC"/>
            </w:pPr>
          </w:p>
        </w:tc>
        <w:tc>
          <w:tcPr>
            <w:tcW w:w="1439" w:type="pct"/>
            <w:shd w:val="clear" w:color="auto" w:fill="auto"/>
          </w:tcPr>
          <w:p w14:paraId="36C41A0D" w14:textId="77777777" w:rsidR="003A71DE" w:rsidRPr="009E1BB4" w:rsidRDefault="003A71DE" w:rsidP="00A40F90">
            <w:pPr>
              <w:pStyle w:val="TAC"/>
            </w:pPr>
            <w:r w:rsidRPr="009E1BB4">
              <w:t>1</w:t>
            </w:r>
          </w:p>
        </w:tc>
      </w:tr>
      <w:tr w:rsidR="003A71DE" w:rsidRPr="001C0E1B" w14:paraId="025EFD18" w14:textId="77777777" w:rsidTr="003A71DE">
        <w:trPr>
          <w:trHeight w:val="93"/>
          <w:jc w:val="center"/>
        </w:trPr>
        <w:tc>
          <w:tcPr>
            <w:tcW w:w="1664" w:type="pct"/>
            <w:shd w:val="clear" w:color="auto" w:fill="auto"/>
          </w:tcPr>
          <w:p w14:paraId="504DDC77" w14:textId="77777777" w:rsidR="003A71DE" w:rsidRPr="009E1BB4" w:rsidRDefault="003A71DE" w:rsidP="00A40F90">
            <w:pPr>
              <w:pStyle w:val="TAL"/>
            </w:pPr>
            <w:r w:rsidRPr="009E1BB4">
              <w:t>Duplex mode</w:t>
            </w:r>
          </w:p>
        </w:tc>
        <w:tc>
          <w:tcPr>
            <w:tcW w:w="1517" w:type="pct"/>
            <w:shd w:val="clear" w:color="auto" w:fill="auto"/>
          </w:tcPr>
          <w:p w14:paraId="560F9ED1" w14:textId="77777777" w:rsidR="003A71DE" w:rsidRPr="009E1BB4" w:rsidRDefault="003A71DE" w:rsidP="00A40F90">
            <w:pPr>
              <w:pStyle w:val="TAL"/>
            </w:pPr>
            <w:r w:rsidRPr="009E1BB4">
              <w:t>Config 1</w:t>
            </w:r>
          </w:p>
        </w:tc>
        <w:tc>
          <w:tcPr>
            <w:tcW w:w="380" w:type="pct"/>
            <w:shd w:val="clear" w:color="auto" w:fill="auto"/>
          </w:tcPr>
          <w:p w14:paraId="304C8CBF" w14:textId="77777777" w:rsidR="003A71DE" w:rsidRPr="009E1BB4" w:rsidRDefault="003A71DE" w:rsidP="00A40F90">
            <w:pPr>
              <w:pStyle w:val="TAC"/>
            </w:pPr>
          </w:p>
        </w:tc>
        <w:tc>
          <w:tcPr>
            <w:tcW w:w="1439" w:type="pct"/>
            <w:shd w:val="clear" w:color="auto" w:fill="auto"/>
          </w:tcPr>
          <w:p w14:paraId="03C0468B" w14:textId="77777777" w:rsidR="003A71DE" w:rsidRPr="009E1BB4" w:rsidRDefault="003A71DE" w:rsidP="00A40F90">
            <w:pPr>
              <w:pStyle w:val="TAC"/>
            </w:pPr>
            <w:r w:rsidRPr="009E1BB4">
              <w:t>TDD</w:t>
            </w:r>
          </w:p>
        </w:tc>
      </w:tr>
      <w:tr w:rsidR="003A71DE" w:rsidRPr="001C0E1B" w14:paraId="508A5912" w14:textId="77777777" w:rsidTr="003A71DE">
        <w:trPr>
          <w:trHeight w:val="189"/>
          <w:jc w:val="center"/>
        </w:trPr>
        <w:tc>
          <w:tcPr>
            <w:tcW w:w="1664" w:type="pct"/>
            <w:shd w:val="clear" w:color="auto" w:fill="auto"/>
          </w:tcPr>
          <w:p w14:paraId="112036D9" w14:textId="77777777" w:rsidR="003A71DE" w:rsidRPr="009E1BB4" w:rsidRDefault="003A71DE" w:rsidP="00A40F90">
            <w:pPr>
              <w:pStyle w:val="TAL"/>
            </w:pPr>
            <w:r w:rsidRPr="009E1BB4">
              <w:t>TDD Configuration</w:t>
            </w:r>
          </w:p>
        </w:tc>
        <w:tc>
          <w:tcPr>
            <w:tcW w:w="1517" w:type="pct"/>
            <w:shd w:val="clear" w:color="auto" w:fill="auto"/>
          </w:tcPr>
          <w:p w14:paraId="1BE4CDFF" w14:textId="77777777" w:rsidR="003A71DE" w:rsidRPr="009E1BB4" w:rsidRDefault="003A71DE" w:rsidP="00A40F90">
            <w:pPr>
              <w:pStyle w:val="TAL"/>
            </w:pPr>
            <w:r w:rsidRPr="009E1BB4">
              <w:t>Config 1</w:t>
            </w:r>
          </w:p>
        </w:tc>
        <w:tc>
          <w:tcPr>
            <w:tcW w:w="380" w:type="pct"/>
            <w:shd w:val="clear" w:color="auto" w:fill="auto"/>
          </w:tcPr>
          <w:p w14:paraId="33BF6BBB" w14:textId="77777777" w:rsidR="003A71DE" w:rsidRPr="009E1BB4" w:rsidRDefault="003A71DE" w:rsidP="00A40F90">
            <w:pPr>
              <w:pStyle w:val="TAC"/>
            </w:pPr>
          </w:p>
        </w:tc>
        <w:tc>
          <w:tcPr>
            <w:tcW w:w="1439" w:type="pct"/>
            <w:shd w:val="clear" w:color="auto" w:fill="auto"/>
          </w:tcPr>
          <w:p w14:paraId="5194B255" w14:textId="77777777" w:rsidR="003A71DE" w:rsidRPr="009E1BB4" w:rsidRDefault="003A71DE" w:rsidP="00A40F90">
            <w:pPr>
              <w:pStyle w:val="TAC"/>
            </w:pPr>
            <w:r w:rsidRPr="009E1BB4">
              <w:t>TDDConf.3.1</w:t>
            </w:r>
          </w:p>
        </w:tc>
      </w:tr>
      <w:tr w:rsidR="003A71DE" w:rsidRPr="001C0E1B" w14:paraId="13C3EFF2" w14:textId="77777777" w:rsidTr="003A71DE">
        <w:trPr>
          <w:trHeight w:val="189"/>
          <w:jc w:val="center"/>
        </w:trPr>
        <w:tc>
          <w:tcPr>
            <w:tcW w:w="1664" w:type="pct"/>
            <w:shd w:val="clear" w:color="auto" w:fill="auto"/>
            <w:vAlign w:val="center"/>
          </w:tcPr>
          <w:p w14:paraId="6687DA7C" w14:textId="77777777" w:rsidR="003A71DE" w:rsidRPr="009E1BB4" w:rsidRDefault="003A71DE" w:rsidP="00A40F90">
            <w:pPr>
              <w:pStyle w:val="TAL"/>
            </w:pPr>
            <w:r w:rsidRPr="009E1BB4">
              <w:rPr>
                <w:noProof/>
              </w:rPr>
              <w:t>DL initial BWP configuration</w:t>
            </w:r>
          </w:p>
        </w:tc>
        <w:tc>
          <w:tcPr>
            <w:tcW w:w="1517" w:type="pct"/>
            <w:shd w:val="clear" w:color="auto" w:fill="auto"/>
          </w:tcPr>
          <w:p w14:paraId="04D5A3D0" w14:textId="77777777" w:rsidR="003A71DE" w:rsidRPr="009E1BB4" w:rsidRDefault="003A71DE" w:rsidP="00A40F90">
            <w:pPr>
              <w:pStyle w:val="TAL"/>
            </w:pPr>
            <w:r w:rsidRPr="009E1BB4">
              <w:rPr>
                <w:noProof/>
              </w:rPr>
              <w:t>Config 1</w:t>
            </w:r>
          </w:p>
        </w:tc>
        <w:tc>
          <w:tcPr>
            <w:tcW w:w="380" w:type="pct"/>
            <w:shd w:val="clear" w:color="auto" w:fill="auto"/>
          </w:tcPr>
          <w:p w14:paraId="12FA1119" w14:textId="77777777" w:rsidR="003A71DE" w:rsidRPr="009E1BB4" w:rsidRDefault="003A71DE" w:rsidP="00A40F90">
            <w:pPr>
              <w:pStyle w:val="TAC"/>
            </w:pPr>
          </w:p>
        </w:tc>
        <w:tc>
          <w:tcPr>
            <w:tcW w:w="1439" w:type="pct"/>
            <w:shd w:val="clear" w:color="auto" w:fill="auto"/>
          </w:tcPr>
          <w:p w14:paraId="1E6E97D8" w14:textId="77777777" w:rsidR="003A71DE" w:rsidRPr="009E1BB4" w:rsidRDefault="003A71DE" w:rsidP="00A40F90">
            <w:pPr>
              <w:pStyle w:val="TAC"/>
            </w:pPr>
            <w:r w:rsidRPr="009E1BB4">
              <w:rPr>
                <w:noProof/>
              </w:rPr>
              <w:t>DLBWP.0.1</w:t>
            </w:r>
          </w:p>
        </w:tc>
      </w:tr>
      <w:tr w:rsidR="003A71DE" w:rsidRPr="001C0E1B" w14:paraId="5A367D60" w14:textId="77777777" w:rsidTr="003A71DE">
        <w:trPr>
          <w:trHeight w:val="189"/>
          <w:jc w:val="center"/>
        </w:trPr>
        <w:tc>
          <w:tcPr>
            <w:tcW w:w="1664" w:type="pct"/>
            <w:shd w:val="clear" w:color="auto" w:fill="auto"/>
            <w:vAlign w:val="center"/>
          </w:tcPr>
          <w:p w14:paraId="5ED8CC69" w14:textId="77777777" w:rsidR="003A71DE" w:rsidRPr="009E1BB4" w:rsidRDefault="003A71DE" w:rsidP="00A40F90">
            <w:pPr>
              <w:pStyle w:val="TAL"/>
            </w:pPr>
            <w:r w:rsidRPr="009E1BB4">
              <w:rPr>
                <w:noProof/>
              </w:rPr>
              <w:t>DL dedicated BWP configuration</w:t>
            </w:r>
          </w:p>
        </w:tc>
        <w:tc>
          <w:tcPr>
            <w:tcW w:w="1517" w:type="pct"/>
            <w:shd w:val="clear" w:color="auto" w:fill="auto"/>
          </w:tcPr>
          <w:p w14:paraId="3E26CC82" w14:textId="77777777" w:rsidR="003A71DE" w:rsidRPr="009E1BB4" w:rsidRDefault="003A71DE" w:rsidP="00A40F90">
            <w:pPr>
              <w:pStyle w:val="TAL"/>
            </w:pPr>
            <w:r w:rsidRPr="009E1BB4">
              <w:rPr>
                <w:noProof/>
              </w:rPr>
              <w:t>Config 1</w:t>
            </w:r>
          </w:p>
        </w:tc>
        <w:tc>
          <w:tcPr>
            <w:tcW w:w="380" w:type="pct"/>
            <w:shd w:val="clear" w:color="auto" w:fill="auto"/>
          </w:tcPr>
          <w:p w14:paraId="7180746F" w14:textId="77777777" w:rsidR="003A71DE" w:rsidRPr="009E1BB4" w:rsidRDefault="003A71DE" w:rsidP="00A40F90">
            <w:pPr>
              <w:pStyle w:val="TAC"/>
            </w:pPr>
          </w:p>
        </w:tc>
        <w:tc>
          <w:tcPr>
            <w:tcW w:w="1439" w:type="pct"/>
            <w:shd w:val="clear" w:color="auto" w:fill="auto"/>
          </w:tcPr>
          <w:p w14:paraId="67FFC507" w14:textId="77777777" w:rsidR="003A71DE" w:rsidRPr="009E1BB4" w:rsidRDefault="003A71DE" w:rsidP="00A40F90">
            <w:pPr>
              <w:pStyle w:val="TAC"/>
            </w:pPr>
            <w:r w:rsidRPr="009E1BB4">
              <w:rPr>
                <w:noProof/>
              </w:rPr>
              <w:t>DLBWP.1.1</w:t>
            </w:r>
          </w:p>
        </w:tc>
      </w:tr>
      <w:tr w:rsidR="003A71DE" w:rsidRPr="001C0E1B" w14:paraId="764BC522" w14:textId="77777777" w:rsidTr="003A71DE">
        <w:trPr>
          <w:trHeight w:val="189"/>
          <w:jc w:val="center"/>
        </w:trPr>
        <w:tc>
          <w:tcPr>
            <w:tcW w:w="1664" w:type="pct"/>
            <w:shd w:val="clear" w:color="auto" w:fill="auto"/>
            <w:vAlign w:val="center"/>
          </w:tcPr>
          <w:p w14:paraId="7774B1ED" w14:textId="77777777" w:rsidR="003A71DE" w:rsidRPr="009E1BB4" w:rsidRDefault="003A71DE" w:rsidP="00A40F90">
            <w:pPr>
              <w:pStyle w:val="TAL"/>
            </w:pPr>
            <w:r w:rsidRPr="009E1BB4">
              <w:rPr>
                <w:noProof/>
              </w:rPr>
              <w:t>UL initial BWP configuration</w:t>
            </w:r>
          </w:p>
        </w:tc>
        <w:tc>
          <w:tcPr>
            <w:tcW w:w="1517" w:type="pct"/>
            <w:shd w:val="clear" w:color="auto" w:fill="auto"/>
          </w:tcPr>
          <w:p w14:paraId="52DABA12" w14:textId="77777777" w:rsidR="003A71DE" w:rsidRPr="009E1BB4" w:rsidRDefault="003A71DE" w:rsidP="00A40F90">
            <w:pPr>
              <w:pStyle w:val="TAL"/>
            </w:pPr>
            <w:r w:rsidRPr="009E1BB4">
              <w:rPr>
                <w:noProof/>
              </w:rPr>
              <w:t>Config 1</w:t>
            </w:r>
          </w:p>
        </w:tc>
        <w:tc>
          <w:tcPr>
            <w:tcW w:w="380" w:type="pct"/>
            <w:shd w:val="clear" w:color="auto" w:fill="auto"/>
          </w:tcPr>
          <w:p w14:paraId="2C2130D0" w14:textId="77777777" w:rsidR="003A71DE" w:rsidRPr="009E1BB4" w:rsidRDefault="003A71DE" w:rsidP="00A40F90">
            <w:pPr>
              <w:pStyle w:val="TAC"/>
            </w:pPr>
          </w:p>
        </w:tc>
        <w:tc>
          <w:tcPr>
            <w:tcW w:w="1439" w:type="pct"/>
            <w:shd w:val="clear" w:color="auto" w:fill="auto"/>
          </w:tcPr>
          <w:p w14:paraId="105A6119" w14:textId="77777777" w:rsidR="003A71DE" w:rsidRPr="009E1BB4" w:rsidRDefault="003A71DE" w:rsidP="00A40F90">
            <w:pPr>
              <w:pStyle w:val="TAC"/>
            </w:pPr>
            <w:r w:rsidRPr="009E1BB4">
              <w:rPr>
                <w:noProof/>
              </w:rPr>
              <w:t>ULBWP.0.1</w:t>
            </w:r>
          </w:p>
        </w:tc>
      </w:tr>
      <w:tr w:rsidR="003A71DE" w:rsidRPr="001C0E1B" w14:paraId="12362599" w14:textId="77777777" w:rsidTr="003A71DE">
        <w:trPr>
          <w:trHeight w:val="189"/>
          <w:jc w:val="center"/>
        </w:trPr>
        <w:tc>
          <w:tcPr>
            <w:tcW w:w="1664" w:type="pct"/>
            <w:shd w:val="clear" w:color="auto" w:fill="auto"/>
            <w:vAlign w:val="center"/>
          </w:tcPr>
          <w:p w14:paraId="53D6AD60" w14:textId="77777777" w:rsidR="003A71DE" w:rsidRPr="009E1BB4" w:rsidRDefault="003A71DE" w:rsidP="00A40F90">
            <w:pPr>
              <w:pStyle w:val="TAL"/>
            </w:pPr>
            <w:r w:rsidRPr="009E1BB4">
              <w:rPr>
                <w:noProof/>
              </w:rPr>
              <w:t>UL dedicated BWP configuration</w:t>
            </w:r>
          </w:p>
        </w:tc>
        <w:tc>
          <w:tcPr>
            <w:tcW w:w="1517" w:type="pct"/>
            <w:shd w:val="clear" w:color="auto" w:fill="auto"/>
          </w:tcPr>
          <w:p w14:paraId="6DC617CF" w14:textId="77777777" w:rsidR="003A71DE" w:rsidRPr="009E1BB4" w:rsidRDefault="003A71DE" w:rsidP="00A40F90">
            <w:pPr>
              <w:pStyle w:val="TAL"/>
            </w:pPr>
            <w:r w:rsidRPr="009E1BB4">
              <w:rPr>
                <w:noProof/>
              </w:rPr>
              <w:t>Config 1</w:t>
            </w:r>
          </w:p>
        </w:tc>
        <w:tc>
          <w:tcPr>
            <w:tcW w:w="380" w:type="pct"/>
            <w:shd w:val="clear" w:color="auto" w:fill="auto"/>
          </w:tcPr>
          <w:p w14:paraId="638C5B88" w14:textId="77777777" w:rsidR="003A71DE" w:rsidRPr="009E1BB4" w:rsidRDefault="003A71DE" w:rsidP="00A40F90">
            <w:pPr>
              <w:pStyle w:val="TAC"/>
            </w:pPr>
          </w:p>
        </w:tc>
        <w:tc>
          <w:tcPr>
            <w:tcW w:w="1439" w:type="pct"/>
            <w:shd w:val="clear" w:color="auto" w:fill="auto"/>
          </w:tcPr>
          <w:p w14:paraId="1AA049A6" w14:textId="77777777" w:rsidR="003A71DE" w:rsidRPr="009E1BB4" w:rsidRDefault="003A71DE" w:rsidP="00A40F90">
            <w:pPr>
              <w:pStyle w:val="TAC"/>
            </w:pPr>
            <w:r w:rsidRPr="009E1BB4">
              <w:rPr>
                <w:noProof/>
              </w:rPr>
              <w:t>ULBWP.1.1</w:t>
            </w:r>
          </w:p>
        </w:tc>
      </w:tr>
      <w:tr w:rsidR="003A71DE" w:rsidRPr="001C0E1B" w14:paraId="5E080E01" w14:textId="77777777" w:rsidTr="003A71DE">
        <w:trPr>
          <w:trHeight w:val="189"/>
          <w:jc w:val="center"/>
        </w:trPr>
        <w:tc>
          <w:tcPr>
            <w:tcW w:w="1664" w:type="pct"/>
            <w:shd w:val="clear" w:color="auto" w:fill="auto"/>
          </w:tcPr>
          <w:p w14:paraId="424D0C37" w14:textId="77777777" w:rsidR="003A71DE" w:rsidRPr="009E1BB4" w:rsidRDefault="003A71DE" w:rsidP="00A40F90">
            <w:pPr>
              <w:pStyle w:val="TAL"/>
            </w:pPr>
            <w:r w:rsidRPr="009E1BB4">
              <w:t>CORESET Reference Channel</w:t>
            </w:r>
          </w:p>
        </w:tc>
        <w:tc>
          <w:tcPr>
            <w:tcW w:w="1517" w:type="pct"/>
            <w:shd w:val="clear" w:color="auto" w:fill="auto"/>
          </w:tcPr>
          <w:p w14:paraId="20DA6536" w14:textId="77777777" w:rsidR="003A71DE" w:rsidRPr="009E1BB4" w:rsidRDefault="003A71DE" w:rsidP="00A40F90">
            <w:pPr>
              <w:pStyle w:val="TAL"/>
            </w:pPr>
            <w:r w:rsidRPr="009E1BB4">
              <w:t>Config 1</w:t>
            </w:r>
          </w:p>
        </w:tc>
        <w:tc>
          <w:tcPr>
            <w:tcW w:w="380" w:type="pct"/>
            <w:shd w:val="clear" w:color="auto" w:fill="auto"/>
          </w:tcPr>
          <w:p w14:paraId="75698A2D" w14:textId="77777777" w:rsidR="003A71DE" w:rsidRPr="009E1BB4" w:rsidRDefault="003A71DE" w:rsidP="00A40F90">
            <w:pPr>
              <w:pStyle w:val="TAC"/>
            </w:pPr>
          </w:p>
        </w:tc>
        <w:tc>
          <w:tcPr>
            <w:tcW w:w="1439" w:type="pct"/>
            <w:shd w:val="clear" w:color="auto" w:fill="auto"/>
          </w:tcPr>
          <w:p w14:paraId="6CE6DE13" w14:textId="77777777" w:rsidR="003A71DE" w:rsidRPr="009E1BB4" w:rsidRDefault="003A71DE" w:rsidP="00A40F90">
            <w:pPr>
              <w:pStyle w:val="TAC"/>
            </w:pPr>
            <w:r w:rsidRPr="009E1BB4">
              <w:t>CCR.3.1 TDD</w:t>
            </w:r>
          </w:p>
          <w:p w14:paraId="6FE2774F" w14:textId="77777777" w:rsidR="003A71DE" w:rsidRPr="009E1BB4" w:rsidRDefault="003A71DE" w:rsidP="00A40F90">
            <w:pPr>
              <w:pStyle w:val="TAC"/>
            </w:pPr>
            <w:r w:rsidRPr="009E1BB4">
              <w:rPr>
                <w:noProof/>
              </w:rPr>
              <w:t>CCR.3.3 TDD</w:t>
            </w:r>
          </w:p>
        </w:tc>
      </w:tr>
      <w:tr w:rsidR="003A71DE" w:rsidRPr="001C0E1B" w14:paraId="58643FE0" w14:textId="77777777" w:rsidTr="003A71DE">
        <w:trPr>
          <w:trHeight w:val="125"/>
          <w:jc w:val="center"/>
        </w:trPr>
        <w:tc>
          <w:tcPr>
            <w:tcW w:w="1664" w:type="pct"/>
            <w:shd w:val="clear" w:color="auto" w:fill="auto"/>
          </w:tcPr>
          <w:p w14:paraId="760E2363" w14:textId="77777777" w:rsidR="003A71DE" w:rsidRPr="009E1BB4" w:rsidRDefault="003A71DE" w:rsidP="00A40F90">
            <w:pPr>
              <w:pStyle w:val="TAL"/>
            </w:pPr>
            <w:r w:rsidRPr="009E1BB4">
              <w:t>SSB Configuration</w:t>
            </w:r>
          </w:p>
        </w:tc>
        <w:tc>
          <w:tcPr>
            <w:tcW w:w="1517" w:type="pct"/>
            <w:shd w:val="clear" w:color="auto" w:fill="auto"/>
          </w:tcPr>
          <w:p w14:paraId="177083CE" w14:textId="77777777" w:rsidR="003A71DE" w:rsidRPr="009E1BB4" w:rsidRDefault="003A71DE" w:rsidP="00A40F90">
            <w:pPr>
              <w:pStyle w:val="TAL"/>
            </w:pPr>
            <w:r w:rsidRPr="009E1BB4">
              <w:t>Config 1</w:t>
            </w:r>
          </w:p>
        </w:tc>
        <w:tc>
          <w:tcPr>
            <w:tcW w:w="380" w:type="pct"/>
            <w:shd w:val="clear" w:color="auto" w:fill="auto"/>
          </w:tcPr>
          <w:p w14:paraId="527D2C9C" w14:textId="77777777" w:rsidR="003A71DE" w:rsidRPr="009E1BB4" w:rsidRDefault="003A71DE" w:rsidP="00A40F90">
            <w:pPr>
              <w:pStyle w:val="TAC"/>
            </w:pPr>
          </w:p>
        </w:tc>
        <w:tc>
          <w:tcPr>
            <w:tcW w:w="1439" w:type="pct"/>
            <w:shd w:val="clear" w:color="auto" w:fill="auto"/>
          </w:tcPr>
          <w:p w14:paraId="27252E0C" w14:textId="77777777" w:rsidR="003A71DE" w:rsidRPr="009E1BB4" w:rsidRDefault="003A71DE" w:rsidP="00A40F90">
            <w:pPr>
              <w:pStyle w:val="TAC"/>
            </w:pPr>
            <w:r w:rsidRPr="009E1BB4">
              <w:t>SSB.1 FR2</w:t>
            </w:r>
          </w:p>
        </w:tc>
      </w:tr>
      <w:tr w:rsidR="003A71DE" w:rsidRPr="001C0E1B" w14:paraId="1CA5F9AA" w14:textId="77777777" w:rsidTr="003A71DE">
        <w:trPr>
          <w:trHeight w:val="223"/>
          <w:jc w:val="center"/>
        </w:trPr>
        <w:tc>
          <w:tcPr>
            <w:tcW w:w="1664" w:type="pct"/>
            <w:shd w:val="clear" w:color="auto" w:fill="auto"/>
          </w:tcPr>
          <w:p w14:paraId="18F35316" w14:textId="77777777" w:rsidR="003A71DE" w:rsidRPr="009E1BB4" w:rsidRDefault="003A71DE" w:rsidP="00A40F90">
            <w:pPr>
              <w:pStyle w:val="TAL"/>
            </w:pPr>
            <w:r w:rsidRPr="009E1BB4">
              <w:t>SMTC Configuration</w:t>
            </w:r>
          </w:p>
        </w:tc>
        <w:tc>
          <w:tcPr>
            <w:tcW w:w="1517" w:type="pct"/>
            <w:shd w:val="clear" w:color="auto" w:fill="auto"/>
          </w:tcPr>
          <w:p w14:paraId="49C73D3F" w14:textId="77777777" w:rsidR="003A71DE" w:rsidRPr="009E1BB4" w:rsidRDefault="003A71DE" w:rsidP="00A40F90">
            <w:pPr>
              <w:pStyle w:val="TAL"/>
            </w:pPr>
            <w:r w:rsidRPr="009E1BB4">
              <w:t>Config 1</w:t>
            </w:r>
          </w:p>
        </w:tc>
        <w:tc>
          <w:tcPr>
            <w:tcW w:w="380" w:type="pct"/>
            <w:shd w:val="clear" w:color="auto" w:fill="auto"/>
          </w:tcPr>
          <w:p w14:paraId="7B8573F2" w14:textId="77777777" w:rsidR="003A71DE" w:rsidRPr="009E1BB4" w:rsidRDefault="003A71DE" w:rsidP="00A40F90">
            <w:pPr>
              <w:pStyle w:val="TAC"/>
            </w:pPr>
          </w:p>
        </w:tc>
        <w:tc>
          <w:tcPr>
            <w:tcW w:w="1439" w:type="pct"/>
            <w:shd w:val="clear" w:color="auto" w:fill="auto"/>
          </w:tcPr>
          <w:p w14:paraId="49BE17DB" w14:textId="77777777" w:rsidR="003A71DE" w:rsidRPr="009E1BB4" w:rsidRDefault="003A71DE" w:rsidP="00A40F90">
            <w:pPr>
              <w:pStyle w:val="TAC"/>
            </w:pPr>
            <w:r w:rsidRPr="009E1BB4">
              <w:t>SMTC.1</w:t>
            </w:r>
          </w:p>
        </w:tc>
      </w:tr>
      <w:tr w:rsidR="003A71DE" w:rsidRPr="001C0E1B" w14:paraId="7B341B27" w14:textId="77777777" w:rsidTr="003A71DE">
        <w:trPr>
          <w:trHeight w:val="135"/>
          <w:jc w:val="center"/>
        </w:trPr>
        <w:tc>
          <w:tcPr>
            <w:tcW w:w="1664" w:type="pct"/>
            <w:shd w:val="clear" w:color="auto" w:fill="auto"/>
          </w:tcPr>
          <w:p w14:paraId="26679EB7" w14:textId="77777777" w:rsidR="003A71DE" w:rsidRPr="009E1BB4" w:rsidRDefault="003A71DE" w:rsidP="00A40F90">
            <w:pPr>
              <w:pStyle w:val="TAL"/>
            </w:pPr>
            <w:r w:rsidRPr="009E1BB4">
              <w:t>PDSCH/PDCCH subcarrier spacing</w:t>
            </w:r>
          </w:p>
        </w:tc>
        <w:tc>
          <w:tcPr>
            <w:tcW w:w="1517" w:type="pct"/>
            <w:shd w:val="clear" w:color="auto" w:fill="auto"/>
          </w:tcPr>
          <w:p w14:paraId="70408F8B" w14:textId="77777777" w:rsidR="003A71DE" w:rsidRPr="009E1BB4" w:rsidRDefault="003A71DE" w:rsidP="00A40F90">
            <w:pPr>
              <w:pStyle w:val="TAL"/>
            </w:pPr>
            <w:r w:rsidRPr="009E1BB4">
              <w:t>Config 1</w:t>
            </w:r>
          </w:p>
        </w:tc>
        <w:tc>
          <w:tcPr>
            <w:tcW w:w="380" w:type="pct"/>
            <w:shd w:val="clear" w:color="auto" w:fill="auto"/>
          </w:tcPr>
          <w:p w14:paraId="77CFC91E" w14:textId="77777777" w:rsidR="003A71DE" w:rsidRPr="009E1BB4" w:rsidRDefault="003A71DE" w:rsidP="00A40F90">
            <w:pPr>
              <w:pStyle w:val="TAC"/>
            </w:pPr>
          </w:p>
        </w:tc>
        <w:tc>
          <w:tcPr>
            <w:tcW w:w="1439" w:type="pct"/>
            <w:shd w:val="clear" w:color="auto" w:fill="auto"/>
          </w:tcPr>
          <w:p w14:paraId="79638D64" w14:textId="77777777" w:rsidR="003A71DE" w:rsidRPr="009E1BB4" w:rsidRDefault="003A71DE" w:rsidP="00A40F90">
            <w:pPr>
              <w:pStyle w:val="TAC"/>
            </w:pPr>
            <w:r w:rsidRPr="009E1BB4">
              <w:t>120 KHz</w:t>
            </w:r>
          </w:p>
        </w:tc>
      </w:tr>
      <w:tr w:rsidR="003A71DE" w:rsidRPr="001C0E1B" w14:paraId="6194864D" w14:textId="77777777" w:rsidTr="003A71DE">
        <w:trPr>
          <w:trHeight w:val="284"/>
          <w:jc w:val="center"/>
        </w:trPr>
        <w:tc>
          <w:tcPr>
            <w:tcW w:w="1664" w:type="pct"/>
            <w:shd w:val="clear" w:color="auto" w:fill="auto"/>
          </w:tcPr>
          <w:p w14:paraId="1902A1AE" w14:textId="77777777" w:rsidR="003A71DE" w:rsidRPr="009E1BB4" w:rsidRDefault="003A71DE" w:rsidP="00A40F90">
            <w:pPr>
              <w:pStyle w:val="TAL"/>
            </w:pPr>
            <w:r w:rsidRPr="009E1BB4">
              <w:rPr>
                <w:noProof/>
              </w:rPr>
              <w:t>CSI-RS for RLM</w:t>
            </w:r>
          </w:p>
        </w:tc>
        <w:tc>
          <w:tcPr>
            <w:tcW w:w="1517" w:type="pct"/>
            <w:shd w:val="clear" w:color="auto" w:fill="auto"/>
          </w:tcPr>
          <w:p w14:paraId="15014317" w14:textId="77777777" w:rsidR="003A71DE" w:rsidRPr="009E1BB4" w:rsidRDefault="003A71DE" w:rsidP="00A40F90">
            <w:pPr>
              <w:pStyle w:val="TAL"/>
            </w:pPr>
            <w:r w:rsidRPr="009E1BB4">
              <w:rPr>
                <w:noProof/>
              </w:rPr>
              <w:t>Config 1</w:t>
            </w:r>
          </w:p>
        </w:tc>
        <w:tc>
          <w:tcPr>
            <w:tcW w:w="380" w:type="pct"/>
            <w:shd w:val="clear" w:color="auto" w:fill="auto"/>
          </w:tcPr>
          <w:p w14:paraId="6C7789A4" w14:textId="77777777" w:rsidR="003A71DE" w:rsidRPr="009E1BB4" w:rsidRDefault="003A71DE" w:rsidP="00A40F90">
            <w:pPr>
              <w:pStyle w:val="TAC"/>
            </w:pPr>
          </w:p>
        </w:tc>
        <w:tc>
          <w:tcPr>
            <w:tcW w:w="1439" w:type="pct"/>
            <w:shd w:val="clear" w:color="auto" w:fill="auto"/>
          </w:tcPr>
          <w:p w14:paraId="40E852F0" w14:textId="77777777" w:rsidR="003A71DE" w:rsidRPr="009E1BB4" w:rsidRDefault="003A71DE" w:rsidP="00A40F90">
            <w:pPr>
              <w:pStyle w:val="TAC"/>
              <w:rPr>
                <w:noProof/>
              </w:rPr>
            </w:pPr>
            <w:r w:rsidRPr="009E1BB4">
              <w:rPr>
                <w:noProof/>
              </w:rPr>
              <w:t>Resource #4 in TRS.2.1 TDD</w:t>
            </w:r>
          </w:p>
          <w:p w14:paraId="2BC28C7E" w14:textId="77777777" w:rsidR="003A71DE" w:rsidRPr="009E1BB4" w:rsidRDefault="003A71DE" w:rsidP="00A40F90">
            <w:pPr>
              <w:pStyle w:val="TAC"/>
            </w:pPr>
            <w:r w:rsidRPr="009E1BB4">
              <w:rPr>
                <w:noProof/>
              </w:rPr>
              <w:t>Resource #4 in TRS.2.2 TDD</w:t>
            </w:r>
          </w:p>
        </w:tc>
      </w:tr>
      <w:tr w:rsidR="003A71DE" w:rsidRPr="001C0E1B" w14:paraId="68B33DF6" w14:textId="77777777" w:rsidTr="003A71DE">
        <w:trPr>
          <w:trHeight w:val="176"/>
          <w:jc w:val="center"/>
        </w:trPr>
        <w:tc>
          <w:tcPr>
            <w:tcW w:w="3181" w:type="pct"/>
            <w:gridSpan w:val="2"/>
            <w:shd w:val="clear" w:color="auto" w:fill="auto"/>
          </w:tcPr>
          <w:p w14:paraId="19F13195" w14:textId="77777777" w:rsidR="003A71DE" w:rsidRPr="009E1BB4" w:rsidRDefault="003A71DE" w:rsidP="00A40F90">
            <w:pPr>
              <w:pStyle w:val="TAL"/>
            </w:pPr>
            <w:r w:rsidRPr="009E1BB4">
              <w:t>TRS configuration</w:t>
            </w:r>
          </w:p>
        </w:tc>
        <w:tc>
          <w:tcPr>
            <w:tcW w:w="380" w:type="pct"/>
            <w:shd w:val="clear" w:color="auto" w:fill="auto"/>
          </w:tcPr>
          <w:p w14:paraId="5507F366" w14:textId="77777777" w:rsidR="003A71DE" w:rsidRPr="009E1BB4" w:rsidRDefault="003A71DE" w:rsidP="00A40F90">
            <w:pPr>
              <w:pStyle w:val="TAC"/>
            </w:pPr>
          </w:p>
        </w:tc>
        <w:tc>
          <w:tcPr>
            <w:tcW w:w="1439" w:type="pct"/>
            <w:shd w:val="clear" w:color="auto" w:fill="auto"/>
          </w:tcPr>
          <w:p w14:paraId="2D117AD4" w14:textId="77777777" w:rsidR="003A71DE" w:rsidRPr="009E1BB4" w:rsidRDefault="003A71DE" w:rsidP="00A40F90">
            <w:pPr>
              <w:pStyle w:val="TAC"/>
            </w:pPr>
            <w:r w:rsidRPr="009E1BB4">
              <w:t>TRS.2.1 TDD</w:t>
            </w:r>
          </w:p>
          <w:p w14:paraId="12A1EAA4" w14:textId="77777777" w:rsidR="003A71DE" w:rsidRPr="009E1BB4" w:rsidRDefault="003A71DE" w:rsidP="00A40F90">
            <w:pPr>
              <w:pStyle w:val="TAC"/>
            </w:pPr>
            <w:r w:rsidRPr="009E1BB4">
              <w:rPr>
                <w:noProof/>
              </w:rPr>
              <w:t>TRS.2.2 TDD</w:t>
            </w:r>
          </w:p>
        </w:tc>
      </w:tr>
      <w:tr w:rsidR="003A71DE" w:rsidRPr="001C0E1B" w14:paraId="60DB1284" w14:textId="77777777" w:rsidTr="003A71DE">
        <w:trPr>
          <w:trHeight w:val="176"/>
          <w:jc w:val="center"/>
        </w:trPr>
        <w:tc>
          <w:tcPr>
            <w:tcW w:w="3181" w:type="pct"/>
            <w:gridSpan w:val="2"/>
            <w:shd w:val="clear" w:color="auto" w:fill="auto"/>
          </w:tcPr>
          <w:p w14:paraId="3F5D02E6" w14:textId="77777777" w:rsidR="003A71DE" w:rsidRPr="009E1BB4" w:rsidRDefault="003A71DE" w:rsidP="00A40F90">
            <w:pPr>
              <w:pStyle w:val="TAL"/>
            </w:pPr>
            <w:r w:rsidRPr="009E1BB4">
              <w:t>TCI configuration</w:t>
            </w:r>
            <w:r w:rsidRPr="009E1BB4">
              <w:rPr>
                <w:noProof/>
              </w:rPr>
              <w:t xml:space="preserve"> for PDCCH#1/PDSCH</w:t>
            </w:r>
          </w:p>
        </w:tc>
        <w:tc>
          <w:tcPr>
            <w:tcW w:w="380" w:type="pct"/>
            <w:shd w:val="clear" w:color="auto" w:fill="auto"/>
          </w:tcPr>
          <w:p w14:paraId="6E45070C" w14:textId="77777777" w:rsidR="003A71DE" w:rsidRPr="009E1BB4" w:rsidRDefault="003A71DE" w:rsidP="00A40F90">
            <w:pPr>
              <w:pStyle w:val="TAC"/>
            </w:pPr>
          </w:p>
        </w:tc>
        <w:tc>
          <w:tcPr>
            <w:tcW w:w="1439" w:type="pct"/>
            <w:shd w:val="clear" w:color="auto" w:fill="auto"/>
          </w:tcPr>
          <w:p w14:paraId="692C3ADD" w14:textId="77777777" w:rsidR="003A71DE" w:rsidRPr="009E1BB4" w:rsidRDefault="003A71DE" w:rsidP="00A40F90">
            <w:pPr>
              <w:pStyle w:val="TAC"/>
            </w:pPr>
            <w:r w:rsidRPr="009E1BB4">
              <w:rPr>
                <w:noProof/>
              </w:rPr>
              <w:t>TCI.State.2</w:t>
            </w:r>
          </w:p>
        </w:tc>
      </w:tr>
      <w:tr w:rsidR="003A71DE" w:rsidRPr="001C0E1B" w14:paraId="0E98AC27" w14:textId="77777777" w:rsidTr="003A71DE">
        <w:trPr>
          <w:trHeight w:val="176"/>
          <w:jc w:val="center"/>
        </w:trPr>
        <w:tc>
          <w:tcPr>
            <w:tcW w:w="3181" w:type="pct"/>
            <w:gridSpan w:val="2"/>
            <w:shd w:val="clear" w:color="auto" w:fill="auto"/>
          </w:tcPr>
          <w:p w14:paraId="4F6230D0" w14:textId="77777777" w:rsidR="003A71DE" w:rsidRPr="009E1BB4" w:rsidRDefault="003A71DE" w:rsidP="00A40F90">
            <w:pPr>
              <w:pStyle w:val="TAL"/>
            </w:pPr>
            <w:r w:rsidRPr="009E1BB4">
              <w:rPr>
                <w:noProof/>
              </w:rPr>
              <w:t>TCI configuration for PDCCH#2</w:t>
            </w:r>
          </w:p>
        </w:tc>
        <w:tc>
          <w:tcPr>
            <w:tcW w:w="380" w:type="pct"/>
            <w:shd w:val="clear" w:color="auto" w:fill="auto"/>
          </w:tcPr>
          <w:p w14:paraId="04F773C2" w14:textId="77777777" w:rsidR="003A71DE" w:rsidRPr="009E1BB4" w:rsidRDefault="003A71DE" w:rsidP="00A40F90">
            <w:pPr>
              <w:pStyle w:val="TAC"/>
            </w:pPr>
          </w:p>
        </w:tc>
        <w:tc>
          <w:tcPr>
            <w:tcW w:w="1439" w:type="pct"/>
            <w:shd w:val="clear" w:color="auto" w:fill="auto"/>
          </w:tcPr>
          <w:p w14:paraId="242084F0" w14:textId="77777777" w:rsidR="003A71DE" w:rsidRPr="009E1BB4" w:rsidDel="005C10B4" w:rsidRDefault="003A71DE" w:rsidP="00A40F90">
            <w:pPr>
              <w:pStyle w:val="TAC"/>
            </w:pPr>
            <w:r w:rsidRPr="009E1BB4">
              <w:t xml:space="preserve"> </w:t>
            </w:r>
            <w:r w:rsidRPr="009E1BB4">
              <w:rPr>
                <w:noProof/>
              </w:rPr>
              <w:t>TCI.State.3</w:t>
            </w:r>
          </w:p>
        </w:tc>
      </w:tr>
      <w:tr w:rsidR="003A71DE" w:rsidRPr="001C0E1B" w14:paraId="361BABE8" w14:textId="77777777" w:rsidTr="003A71DE">
        <w:trPr>
          <w:trHeight w:val="176"/>
          <w:jc w:val="center"/>
        </w:trPr>
        <w:tc>
          <w:tcPr>
            <w:tcW w:w="3181" w:type="pct"/>
            <w:gridSpan w:val="2"/>
            <w:shd w:val="clear" w:color="auto" w:fill="auto"/>
          </w:tcPr>
          <w:p w14:paraId="12111A27" w14:textId="77777777" w:rsidR="003A71DE" w:rsidRPr="009E1BB4" w:rsidRDefault="003A71DE" w:rsidP="00A40F90">
            <w:pPr>
              <w:pStyle w:val="TAL"/>
            </w:pPr>
            <w:r w:rsidRPr="009E1BB4">
              <w:t>OCNG parameters</w:t>
            </w:r>
          </w:p>
        </w:tc>
        <w:tc>
          <w:tcPr>
            <w:tcW w:w="380" w:type="pct"/>
            <w:shd w:val="clear" w:color="auto" w:fill="auto"/>
          </w:tcPr>
          <w:p w14:paraId="352516AC" w14:textId="77777777" w:rsidR="003A71DE" w:rsidRPr="009E1BB4" w:rsidRDefault="003A71DE" w:rsidP="00A40F90">
            <w:pPr>
              <w:pStyle w:val="TAC"/>
            </w:pPr>
          </w:p>
        </w:tc>
        <w:tc>
          <w:tcPr>
            <w:tcW w:w="1439" w:type="pct"/>
            <w:shd w:val="clear" w:color="auto" w:fill="auto"/>
          </w:tcPr>
          <w:p w14:paraId="6AE3896B" w14:textId="77777777" w:rsidR="003A71DE" w:rsidRPr="009E1BB4" w:rsidRDefault="003A71DE" w:rsidP="00A40F90">
            <w:pPr>
              <w:pStyle w:val="TAC"/>
            </w:pPr>
            <w:r w:rsidRPr="009E1BB4">
              <w:t>OP.1</w:t>
            </w:r>
          </w:p>
        </w:tc>
      </w:tr>
      <w:tr w:rsidR="003A71DE" w:rsidRPr="001C0E1B" w14:paraId="459DE126" w14:textId="77777777" w:rsidTr="003A71DE">
        <w:trPr>
          <w:trHeight w:val="164"/>
          <w:jc w:val="center"/>
        </w:trPr>
        <w:tc>
          <w:tcPr>
            <w:tcW w:w="3181" w:type="pct"/>
            <w:gridSpan w:val="2"/>
            <w:tcBorders>
              <w:bottom w:val="single" w:sz="4" w:space="0" w:color="auto"/>
            </w:tcBorders>
            <w:shd w:val="clear" w:color="auto" w:fill="auto"/>
          </w:tcPr>
          <w:p w14:paraId="5E9EBB9F" w14:textId="77777777" w:rsidR="003A71DE" w:rsidRPr="009E1BB4" w:rsidRDefault="003A71DE" w:rsidP="00A40F90">
            <w:pPr>
              <w:pStyle w:val="TAL"/>
            </w:pPr>
            <w:r w:rsidRPr="009E1BB4">
              <w:t>CP length</w:t>
            </w:r>
            <w:r w:rsidRPr="009E1BB4">
              <w:tab/>
            </w:r>
          </w:p>
        </w:tc>
        <w:tc>
          <w:tcPr>
            <w:tcW w:w="380" w:type="pct"/>
            <w:tcBorders>
              <w:bottom w:val="single" w:sz="4" w:space="0" w:color="auto"/>
            </w:tcBorders>
            <w:shd w:val="clear" w:color="auto" w:fill="auto"/>
          </w:tcPr>
          <w:p w14:paraId="0A90A286" w14:textId="77777777" w:rsidR="003A71DE" w:rsidRPr="009E1BB4" w:rsidRDefault="003A71DE" w:rsidP="00A40F90">
            <w:pPr>
              <w:pStyle w:val="TAC"/>
            </w:pPr>
          </w:p>
        </w:tc>
        <w:tc>
          <w:tcPr>
            <w:tcW w:w="1439" w:type="pct"/>
            <w:tcBorders>
              <w:bottom w:val="single" w:sz="4" w:space="0" w:color="auto"/>
            </w:tcBorders>
            <w:shd w:val="clear" w:color="auto" w:fill="auto"/>
          </w:tcPr>
          <w:p w14:paraId="69B7A766" w14:textId="77777777" w:rsidR="003A71DE" w:rsidRPr="009E1BB4" w:rsidRDefault="003A71DE" w:rsidP="00A40F90">
            <w:pPr>
              <w:pStyle w:val="TAC"/>
            </w:pPr>
            <w:r w:rsidRPr="009E1BB4">
              <w:t>Normal</w:t>
            </w:r>
          </w:p>
        </w:tc>
      </w:tr>
      <w:tr w:rsidR="003A71DE" w:rsidRPr="001C0E1B" w14:paraId="78F6E8F6" w14:textId="77777777" w:rsidTr="003A71DE">
        <w:trPr>
          <w:trHeight w:val="177"/>
          <w:jc w:val="center"/>
        </w:trPr>
        <w:tc>
          <w:tcPr>
            <w:tcW w:w="1664" w:type="pct"/>
            <w:vMerge w:val="restart"/>
            <w:shd w:val="clear" w:color="auto" w:fill="auto"/>
          </w:tcPr>
          <w:p w14:paraId="54D35AA0" w14:textId="77777777" w:rsidR="003A71DE" w:rsidRPr="009E1BB4" w:rsidRDefault="003A71DE" w:rsidP="00A40F90">
            <w:pPr>
              <w:pStyle w:val="TAL"/>
            </w:pPr>
            <w:r w:rsidRPr="009E1BB4">
              <w:t xml:space="preserve">Out of sync transmission parameters </w:t>
            </w:r>
          </w:p>
        </w:tc>
        <w:tc>
          <w:tcPr>
            <w:tcW w:w="1517" w:type="pct"/>
            <w:tcBorders>
              <w:bottom w:val="single" w:sz="4" w:space="0" w:color="auto"/>
            </w:tcBorders>
            <w:shd w:val="clear" w:color="auto" w:fill="auto"/>
          </w:tcPr>
          <w:p w14:paraId="4B489493" w14:textId="77777777" w:rsidR="003A71DE" w:rsidRPr="009E1BB4" w:rsidRDefault="003A71DE" w:rsidP="00A40F90">
            <w:pPr>
              <w:pStyle w:val="TAL"/>
            </w:pPr>
            <w:r w:rsidRPr="009E1BB4">
              <w:t>DCI format</w:t>
            </w:r>
          </w:p>
        </w:tc>
        <w:tc>
          <w:tcPr>
            <w:tcW w:w="380" w:type="pct"/>
            <w:tcBorders>
              <w:bottom w:val="single" w:sz="4" w:space="0" w:color="auto"/>
            </w:tcBorders>
            <w:shd w:val="clear" w:color="auto" w:fill="auto"/>
          </w:tcPr>
          <w:p w14:paraId="3A78AD2F" w14:textId="77777777" w:rsidR="003A71DE" w:rsidRPr="009E1BB4" w:rsidRDefault="003A71DE" w:rsidP="00A40F90">
            <w:pPr>
              <w:pStyle w:val="TAC"/>
            </w:pPr>
          </w:p>
        </w:tc>
        <w:tc>
          <w:tcPr>
            <w:tcW w:w="1439" w:type="pct"/>
            <w:tcBorders>
              <w:bottom w:val="single" w:sz="4" w:space="0" w:color="auto"/>
            </w:tcBorders>
            <w:shd w:val="clear" w:color="auto" w:fill="auto"/>
          </w:tcPr>
          <w:p w14:paraId="4298BF7D" w14:textId="77777777" w:rsidR="003A71DE" w:rsidRPr="009E1BB4" w:rsidRDefault="003A71DE" w:rsidP="00A40F90">
            <w:pPr>
              <w:pStyle w:val="TAC"/>
            </w:pPr>
            <w:r w:rsidRPr="009E1BB4">
              <w:t>1-0</w:t>
            </w:r>
          </w:p>
        </w:tc>
      </w:tr>
      <w:tr w:rsidR="003A71DE" w:rsidRPr="001C0E1B" w14:paraId="08EA17C0" w14:textId="77777777" w:rsidTr="003A71DE">
        <w:trPr>
          <w:trHeight w:val="93"/>
          <w:jc w:val="center"/>
        </w:trPr>
        <w:tc>
          <w:tcPr>
            <w:tcW w:w="1664" w:type="pct"/>
            <w:vMerge/>
            <w:shd w:val="clear" w:color="auto" w:fill="auto"/>
          </w:tcPr>
          <w:p w14:paraId="33541B4E" w14:textId="77777777" w:rsidR="003A71DE" w:rsidRPr="009E1BB4" w:rsidRDefault="003A71DE" w:rsidP="00A40F90">
            <w:pPr>
              <w:pStyle w:val="TAL"/>
            </w:pPr>
          </w:p>
        </w:tc>
        <w:tc>
          <w:tcPr>
            <w:tcW w:w="1517" w:type="pct"/>
            <w:tcBorders>
              <w:top w:val="single" w:sz="4" w:space="0" w:color="auto"/>
            </w:tcBorders>
            <w:shd w:val="clear" w:color="auto" w:fill="auto"/>
          </w:tcPr>
          <w:p w14:paraId="3CA85594" w14:textId="77777777" w:rsidR="003A71DE" w:rsidRPr="009E1BB4" w:rsidRDefault="003A71DE" w:rsidP="00A40F90">
            <w:pPr>
              <w:pStyle w:val="TAL"/>
            </w:pPr>
            <w:r w:rsidRPr="009E1BB4">
              <w:t>Number of Control OFDM symbols</w:t>
            </w:r>
          </w:p>
        </w:tc>
        <w:tc>
          <w:tcPr>
            <w:tcW w:w="380" w:type="pct"/>
            <w:tcBorders>
              <w:top w:val="single" w:sz="4" w:space="0" w:color="auto"/>
            </w:tcBorders>
            <w:shd w:val="clear" w:color="auto" w:fill="auto"/>
          </w:tcPr>
          <w:p w14:paraId="20E7EB3B" w14:textId="77777777" w:rsidR="003A71DE" w:rsidRPr="009E1BB4" w:rsidRDefault="003A71DE" w:rsidP="00A40F90">
            <w:pPr>
              <w:pStyle w:val="TAC"/>
            </w:pPr>
          </w:p>
        </w:tc>
        <w:tc>
          <w:tcPr>
            <w:tcW w:w="1439" w:type="pct"/>
            <w:tcBorders>
              <w:top w:val="single" w:sz="4" w:space="0" w:color="auto"/>
            </w:tcBorders>
            <w:shd w:val="clear" w:color="auto" w:fill="auto"/>
          </w:tcPr>
          <w:p w14:paraId="7C37EF73" w14:textId="77777777" w:rsidR="003A71DE" w:rsidRPr="009E1BB4" w:rsidRDefault="003A71DE" w:rsidP="00A40F90">
            <w:pPr>
              <w:pStyle w:val="TAC"/>
            </w:pPr>
            <w:r w:rsidRPr="009E1BB4">
              <w:t>2</w:t>
            </w:r>
          </w:p>
        </w:tc>
      </w:tr>
      <w:tr w:rsidR="003A71DE" w:rsidRPr="001C0E1B" w14:paraId="0162BB6F" w14:textId="77777777" w:rsidTr="003A71DE">
        <w:trPr>
          <w:trHeight w:val="176"/>
          <w:jc w:val="center"/>
        </w:trPr>
        <w:tc>
          <w:tcPr>
            <w:tcW w:w="1664" w:type="pct"/>
            <w:vMerge/>
            <w:tcBorders>
              <w:bottom w:val="nil"/>
            </w:tcBorders>
            <w:shd w:val="clear" w:color="auto" w:fill="auto"/>
          </w:tcPr>
          <w:p w14:paraId="179DD5BA" w14:textId="77777777" w:rsidR="003A71DE" w:rsidRPr="009E1BB4" w:rsidRDefault="003A71DE" w:rsidP="00A40F90">
            <w:pPr>
              <w:pStyle w:val="TAL"/>
            </w:pPr>
          </w:p>
        </w:tc>
        <w:tc>
          <w:tcPr>
            <w:tcW w:w="1517" w:type="pct"/>
            <w:shd w:val="clear" w:color="auto" w:fill="auto"/>
          </w:tcPr>
          <w:p w14:paraId="1D1D0428" w14:textId="77777777" w:rsidR="003A71DE" w:rsidRPr="009E1BB4" w:rsidRDefault="003A71DE" w:rsidP="00A40F90">
            <w:pPr>
              <w:pStyle w:val="TAL"/>
            </w:pPr>
            <w:r w:rsidRPr="009E1BB4">
              <w:t xml:space="preserve">Aggregation level </w:t>
            </w:r>
          </w:p>
        </w:tc>
        <w:tc>
          <w:tcPr>
            <w:tcW w:w="380" w:type="pct"/>
            <w:shd w:val="clear" w:color="auto" w:fill="auto"/>
          </w:tcPr>
          <w:p w14:paraId="7D354639" w14:textId="77777777" w:rsidR="003A71DE" w:rsidRPr="009E1BB4" w:rsidRDefault="003A71DE" w:rsidP="00A40F90">
            <w:pPr>
              <w:pStyle w:val="TAC"/>
            </w:pPr>
            <w:r w:rsidRPr="009E1BB4">
              <w:t>CCE</w:t>
            </w:r>
          </w:p>
        </w:tc>
        <w:tc>
          <w:tcPr>
            <w:tcW w:w="1439" w:type="pct"/>
            <w:shd w:val="clear" w:color="auto" w:fill="auto"/>
          </w:tcPr>
          <w:p w14:paraId="7FD3F4C9" w14:textId="77777777" w:rsidR="003A71DE" w:rsidRPr="009E1BB4" w:rsidRDefault="003A71DE" w:rsidP="00A40F90">
            <w:pPr>
              <w:pStyle w:val="TAC"/>
            </w:pPr>
            <w:r w:rsidRPr="009E1BB4">
              <w:t>8</w:t>
            </w:r>
          </w:p>
        </w:tc>
      </w:tr>
      <w:tr w:rsidR="003A71DE" w:rsidRPr="001C0E1B" w14:paraId="5C117F25" w14:textId="77777777" w:rsidTr="003A71DE">
        <w:trPr>
          <w:trHeight w:val="369"/>
          <w:jc w:val="center"/>
        </w:trPr>
        <w:tc>
          <w:tcPr>
            <w:tcW w:w="1664" w:type="pct"/>
            <w:tcBorders>
              <w:top w:val="nil"/>
              <w:bottom w:val="nil"/>
            </w:tcBorders>
            <w:shd w:val="clear" w:color="auto" w:fill="auto"/>
          </w:tcPr>
          <w:p w14:paraId="43BD40E7" w14:textId="77777777" w:rsidR="003A71DE" w:rsidRPr="009E1BB4" w:rsidRDefault="003A71DE" w:rsidP="00A40F90">
            <w:pPr>
              <w:pStyle w:val="TAL"/>
            </w:pPr>
          </w:p>
        </w:tc>
        <w:tc>
          <w:tcPr>
            <w:tcW w:w="1517" w:type="pct"/>
            <w:shd w:val="clear" w:color="auto" w:fill="auto"/>
          </w:tcPr>
          <w:p w14:paraId="4E6FC4DF" w14:textId="77777777" w:rsidR="003A71DE" w:rsidRPr="009E1BB4" w:rsidRDefault="003A71DE" w:rsidP="00A40F90">
            <w:pPr>
              <w:pStyle w:val="TAL"/>
            </w:pPr>
            <w:r w:rsidRPr="009E1BB4">
              <w:t>Ratio of hypothetical PDCCH RE energy to average CSI-RS RE energy</w:t>
            </w:r>
          </w:p>
        </w:tc>
        <w:tc>
          <w:tcPr>
            <w:tcW w:w="380" w:type="pct"/>
            <w:shd w:val="clear" w:color="auto" w:fill="auto"/>
          </w:tcPr>
          <w:p w14:paraId="30E073FB" w14:textId="77777777" w:rsidR="003A71DE" w:rsidRPr="009E1BB4" w:rsidRDefault="003A71DE" w:rsidP="00A40F90">
            <w:pPr>
              <w:pStyle w:val="TAC"/>
            </w:pPr>
            <w:r w:rsidRPr="009E1BB4">
              <w:t>dB</w:t>
            </w:r>
          </w:p>
        </w:tc>
        <w:tc>
          <w:tcPr>
            <w:tcW w:w="1439" w:type="pct"/>
            <w:shd w:val="clear" w:color="auto" w:fill="auto"/>
          </w:tcPr>
          <w:p w14:paraId="2DCE3D46" w14:textId="77777777" w:rsidR="003A71DE" w:rsidRPr="009E1BB4" w:rsidRDefault="003A71DE" w:rsidP="00A40F90">
            <w:pPr>
              <w:pStyle w:val="TAC"/>
            </w:pPr>
            <w:r w:rsidRPr="009E1BB4">
              <w:t>4</w:t>
            </w:r>
          </w:p>
        </w:tc>
      </w:tr>
      <w:tr w:rsidR="003A71DE" w:rsidRPr="001C0E1B" w14:paraId="69AA7549" w14:textId="77777777" w:rsidTr="003A71DE">
        <w:trPr>
          <w:trHeight w:val="307"/>
          <w:jc w:val="center"/>
        </w:trPr>
        <w:tc>
          <w:tcPr>
            <w:tcW w:w="1664" w:type="pct"/>
            <w:tcBorders>
              <w:top w:val="nil"/>
              <w:bottom w:val="nil"/>
            </w:tcBorders>
            <w:shd w:val="clear" w:color="auto" w:fill="auto"/>
          </w:tcPr>
          <w:p w14:paraId="26478AAE" w14:textId="77777777" w:rsidR="003A71DE" w:rsidRPr="009E1BB4" w:rsidRDefault="003A71DE" w:rsidP="00A40F90">
            <w:pPr>
              <w:pStyle w:val="TAL"/>
            </w:pPr>
          </w:p>
        </w:tc>
        <w:tc>
          <w:tcPr>
            <w:tcW w:w="1517" w:type="pct"/>
            <w:shd w:val="clear" w:color="auto" w:fill="auto"/>
          </w:tcPr>
          <w:p w14:paraId="219FFFB1" w14:textId="77777777" w:rsidR="003A71DE" w:rsidRPr="009E1BB4" w:rsidRDefault="003A71DE" w:rsidP="00A40F90">
            <w:pPr>
              <w:pStyle w:val="TAL"/>
            </w:pPr>
            <w:r w:rsidRPr="009E1BB4">
              <w:t>Ratio of hypothetical PDCCH DMRS energy to average CSI-RS RE energy</w:t>
            </w:r>
          </w:p>
        </w:tc>
        <w:tc>
          <w:tcPr>
            <w:tcW w:w="380" w:type="pct"/>
            <w:shd w:val="clear" w:color="auto" w:fill="auto"/>
          </w:tcPr>
          <w:p w14:paraId="1220F1E9" w14:textId="77777777" w:rsidR="003A71DE" w:rsidRPr="009E1BB4" w:rsidRDefault="003A71DE" w:rsidP="00A40F90">
            <w:pPr>
              <w:pStyle w:val="TAC"/>
            </w:pPr>
            <w:r w:rsidRPr="009E1BB4">
              <w:t>dB</w:t>
            </w:r>
          </w:p>
        </w:tc>
        <w:tc>
          <w:tcPr>
            <w:tcW w:w="1439" w:type="pct"/>
            <w:shd w:val="clear" w:color="auto" w:fill="auto"/>
          </w:tcPr>
          <w:p w14:paraId="14ED2B7F" w14:textId="77777777" w:rsidR="003A71DE" w:rsidRPr="009E1BB4" w:rsidRDefault="003A71DE" w:rsidP="00A40F90">
            <w:pPr>
              <w:pStyle w:val="TAC"/>
            </w:pPr>
            <w:r w:rsidRPr="009E1BB4">
              <w:t>4</w:t>
            </w:r>
          </w:p>
        </w:tc>
      </w:tr>
      <w:tr w:rsidR="003A71DE" w:rsidRPr="001C0E1B" w14:paraId="6C882F0B" w14:textId="77777777" w:rsidTr="003A71DE">
        <w:trPr>
          <w:trHeight w:val="50"/>
          <w:jc w:val="center"/>
        </w:trPr>
        <w:tc>
          <w:tcPr>
            <w:tcW w:w="1664" w:type="pct"/>
            <w:tcBorders>
              <w:top w:val="nil"/>
              <w:bottom w:val="nil"/>
            </w:tcBorders>
            <w:shd w:val="clear" w:color="auto" w:fill="auto"/>
          </w:tcPr>
          <w:p w14:paraId="4B625CAB" w14:textId="77777777" w:rsidR="003A71DE" w:rsidRPr="009E1BB4" w:rsidRDefault="003A71DE" w:rsidP="00A40F90">
            <w:pPr>
              <w:pStyle w:val="TAL"/>
            </w:pPr>
          </w:p>
        </w:tc>
        <w:tc>
          <w:tcPr>
            <w:tcW w:w="1517" w:type="pct"/>
            <w:shd w:val="clear" w:color="auto" w:fill="auto"/>
            <w:vAlign w:val="center"/>
          </w:tcPr>
          <w:p w14:paraId="1789DC39" w14:textId="77777777" w:rsidR="003A71DE" w:rsidRPr="009E1BB4" w:rsidRDefault="003A71DE" w:rsidP="00A40F90">
            <w:pPr>
              <w:pStyle w:val="TAL"/>
            </w:pPr>
            <w:r w:rsidRPr="009E1BB4">
              <w:t>DMRS precoder granularity</w:t>
            </w:r>
          </w:p>
        </w:tc>
        <w:tc>
          <w:tcPr>
            <w:tcW w:w="380" w:type="pct"/>
            <w:shd w:val="clear" w:color="auto" w:fill="auto"/>
            <w:vAlign w:val="center"/>
          </w:tcPr>
          <w:p w14:paraId="1ED230DB" w14:textId="77777777" w:rsidR="003A71DE" w:rsidRPr="009E1BB4" w:rsidRDefault="003A71DE" w:rsidP="00A40F90">
            <w:pPr>
              <w:pStyle w:val="TAC"/>
            </w:pPr>
          </w:p>
        </w:tc>
        <w:tc>
          <w:tcPr>
            <w:tcW w:w="1439" w:type="pct"/>
            <w:shd w:val="clear" w:color="auto" w:fill="auto"/>
          </w:tcPr>
          <w:p w14:paraId="00A8F33E" w14:textId="77777777" w:rsidR="003A71DE" w:rsidRPr="009E1BB4" w:rsidRDefault="003A71DE" w:rsidP="00A40F90">
            <w:pPr>
              <w:pStyle w:val="TAC"/>
            </w:pPr>
            <w:r w:rsidRPr="009E1BB4">
              <w:t>REG bundle size</w:t>
            </w:r>
          </w:p>
        </w:tc>
      </w:tr>
      <w:tr w:rsidR="003A71DE" w:rsidRPr="001C0E1B" w14:paraId="725F9196" w14:textId="77777777" w:rsidTr="003A71DE">
        <w:trPr>
          <w:trHeight w:val="188"/>
          <w:jc w:val="center"/>
        </w:trPr>
        <w:tc>
          <w:tcPr>
            <w:tcW w:w="1664" w:type="pct"/>
            <w:tcBorders>
              <w:top w:val="nil"/>
              <w:bottom w:val="single" w:sz="4" w:space="0" w:color="auto"/>
            </w:tcBorders>
            <w:shd w:val="clear" w:color="auto" w:fill="auto"/>
          </w:tcPr>
          <w:p w14:paraId="3F81A891" w14:textId="77777777" w:rsidR="003A71DE" w:rsidRPr="009E1BB4" w:rsidRDefault="003A71DE" w:rsidP="00A40F90">
            <w:pPr>
              <w:pStyle w:val="TAL"/>
            </w:pPr>
          </w:p>
        </w:tc>
        <w:tc>
          <w:tcPr>
            <w:tcW w:w="1517" w:type="pct"/>
            <w:shd w:val="clear" w:color="auto" w:fill="auto"/>
            <w:vAlign w:val="center"/>
          </w:tcPr>
          <w:p w14:paraId="6C2C9385" w14:textId="77777777" w:rsidR="003A71DE" w:rsidRPr="009E1BB4" w:rsidRDefault="003A71DE" w:rsidP="00A40F90">
            <w:pPr>
              <w:pStyle w:val="TAL"/>
            </w:pPr>
            <w:r w:rsidRPr="009E1BB4">
              <w:t>REG bundle size</w:t>
            </w:r>
          </w:p>
        </w:tc>
        <w:tc>
          <w:tcPr>
            <w:tcW w:w="380" w:type="pct"/>
            <w:shd w:val="clear" w:color="auto" w:fill="auto"/>
            <w:vAlign w:val="center"/>
          </w:tcPr>
          <w:p w14:paraId="05245526" w14:textId="77777777" w:rsidR="003A71DE" w:rsidRPr="009E1BB4" w:rsidRDefault="003A71DE" w:rsidP="00A40F90">
            <w:pPr>
              <w:pStyle w:val="TAC"/>
            </w:pPr>
          </w:p>
        </w:tc>
        <w:tc>
          <w:tcPr>
            <w:tcW w:w="1439" w:type="pct"/>
            <w:shd w:val="clear" w:color="auto" w:fill="auto"/>
          </w:tcPr>
          <w:p w14:paraId="5DE341C9" w14:textId="77777777" w:rsidR="003A71DE" w:rsidRPr="009E1BB4" w:rsidRDefault="003A71DE" w:rsidP="00A40F90">
            <w:pPr>
              <w:pStyle w:val="TAC"/>
            </w:pPr>
            <w:r w:rsidRPr="009E1BB4">
              <w:t>6</w:t>
            </w:r>
          </w:p>
        </w:tc>
      </w:tr>
      <w:tr w:rsidR="003A71DE" w:rsidRPr="001C0E1B" w14:paraId="0DF6AC37" w14:textId="77777777" w:rsidTr="003A71DE">
        <w:trPr>
          <w:trHeight w:val="188"/>
          <w:jc w:val="center"/>
        </w:trPr>
        <w:tc>
          <w:tcPr>
            <w:tcW w:w="1664" w:type="pct"/>
            <w:tcBorders>
              <w:bottom w:val="nil"/>
            </w:tcBorders>
            <w:shd w:val="clear" w:color="auto" w:fill="auto"/>
          </w:tcPr>
          <w:p w14:paraId="576111F7" w14:textId="77777777" w:rsidR="003A71DE" w:rsidRPr="009E1BB4" w:rsidRDefault="003A71DE" w:rsidP="00A40F90">
            <w:pPr>
              <w:pStyle w:val="TAL"/>
            </w:pPr>
            <w:r w:rsidRPr="009E1BB4">
              <w:t>In sync transmission parameters</w:t>
            </w:r>
          </w:p>
        </w:tc>
        <w:tc>
          <w:tcPr>
            <w:tcW w:w="1517" w:type="pct"/>
            <w:shd w:val="clear" w:color="auto" w:fill="auto"/>
          </w:tcPr>
          <w:p w14:paraId="41FB0EEA" w14:textId="77777777" w:rsidR="003A71DE" w:rsidRPr="009E1BB4" w:rsidRDefault="003A71DE" w:rsidP="00A40F90">
            <w:pPr>
              <w:pStyle w:val="TAL"/>
            </w:pPr>
            <w:r w:rsidRPr="009E1BB4">
              <w:t>DCI format</w:t>
            </w:r>
          </w:p>
        </w:tc>
        <w:tc>
          <w:tcPr>
            <w:tcW w:w="380" w:type="pct"/>
            <w:shd w:val="clear" w:color="auto" w:fill="auto"/>
            <w:vAlign w:val="center"/>
          </w:tcPr>
          <w:p w14:paraId="57780D35" w14:textId="77777777" w:rsidR="003A71DE" w:rsidRPr="009E1BB4" w:rsidRDefault="003A71DE" w:rsidP="00A40F90">
            <w:pPr>
              <w:pStyle w:val="TAC"/>
            </w:pPr>
          </w:p>
        </w:tc>
        <w:tc>
          <w:tcPr>
            <w:tcW w:w="1439" w:type="pct"/>
            <w:shd w:val="clear" w:color="auto" w:fill="auto"/>
          </w:tcPr>
          <w:p w14:paraId="339FA12B" w14:textId="77777777" w:rsidR="003A71DE" w:rsidRPr="009E1BB4" w:rsidRDefault="003A71DE" w:rsidP="00A40F90">
            <w:pPr>
              <w:pStyle w:val="TAC"/>
            </w:pPr>
            <w:r w:rsidRPr="009E1BB4">
              <w:t>1-0</w:t>
            </w:r>
          </w:p>
        </w:tc>
      </w:tr>
      <w:tr w:rsidR="003A71DE" w:rsidRPr="001C0E1B" w14:paraId="1DA88A64" w14:textId="77777777" w:rsidTr="003A71DE">
        <w:trPr>
          <w:trHeight w:val="188"/>
          <w:jc w:val="center"/>
        </w:trPr>
        <w:tc>
          <w:tcPr>
            <w:tcW w:w="1664" w:type="pct"/>
            <w:tcBorders>
              <w:top w:val="nil"/>
              <w:bottom w:val="nil"/>
            </w:tcBorders>
            <w:shd w:val="clear" w:color="auto" w:fill="auto"/>
          </w:tcPr>
          <w:p w14:paraId="4B39794B" w14:textId="77777777" w:rsidR="003A71DE" w:rsidRPr="009E1BB4" w:rsidRDefault="003A71DE" w:rsidP="00A40F90">
            <w:pPr>
              <w:pStyle w:val="TAL"/>
            </w:pPr>
          </w:p>
        </w:tc>
        <w:tc>
          <w:tcPr>
            <w:tcW w:w="1517" w:type="pct"/>
            <w:shd w:val="clear" w:color="auto" w:fill="auto"/>
          </w:tcPr>
          <w:p w14:paraId="76EF1EBD" w14:textId="77777777" w:rsidR="003A71DE" w:rsidRPr="009E1BB4" w:rsidRDefault="003A71DE" w:rsidP="00A40F90">
            <w:pPr>
              <w:pStyle w:val="TAL"/>
            </w:pPr>
            <w:r w:rsidRPr="009E1BB4">
              <w:t>Number of Control OFDM symbols</w:t>
            </w:r>
          </w:p>
        </w:tc>
        <w:tc>
          <w:tcPr>
            <w:tcW w:w="380" w:type="pct"/>
            <w:shd w:val="clear" w:color="auto" w:fill="auto"/>
            <w:vAlign w:val="center"/>
          </w:tcPr>
          <w:p w14:paraId="4E7B3976" w14:textId="77777777" w:rsidR="003A71DE" w:rsidRPr="009E1BB4" w:rsidRDefault="003A71DE" w:rsidP="00A40F90">
            <w:pPr>
              <w:pStyle w:val="TAC"/>
            </w:pPr>
          </w:p>
        </w:tc>
        <w:tc>
          <w:tcPr>
            <w:tcW w:w="1439" w:type="pct"/>
            <w:shd w:val="clear" w:color="auto" w:fill="auto"/>
          </w:tcPr>
          <w:p w14:paraId="685846FF" w14:textId="77777777" w:rsidR="003A71DE" w:rsidRPr="009E1BB4" w:rsidRDefault="003A71DE" w:rsidP="00A40F90">
            <w:pPr>
              <w:pStyle w:val="TAC"/>
            </w:pPr>
            <w:r w:rsidRPr="009E1BB4">
              <w:t>2</w:t>
            </w:r>
          </w:p>
        </w:tc>
      </w:tr>
      <w:tr w:rsidR="003A71DE" w:rsidRPr="001C0E1B" w14:paraId="77AA3212" w14:textId="77777777" w:rsidTr="003A71DE">
        <w:trPr>
          <w:trHeight w:val="188"/>
          <w:jc w:val="center"/>
        </w:trPr>
        <w:tc>
          <w:tcPr>
            <w:tcW w:w="1664" w:type="pct"/>
            <w:tcBorders>
              <w:top w:val="nil"/>
              <w:bottom w:val="nil"/>
            </w:tcBorders>
            <w:shd w:val="clear" w:color="auto" w:fill="auto"/>
          </w:tcPr>
          <w:p w14:paraId="65D1EB6D" w14:textId="77777777" w:rsidR="003A71DE" w:rsidRPr="009E1BB4" w:rsidRDefault="003A71DE" w:rsidP="00A40F90">
            <w:pPr>
              <w:pStyle w:val="TAL"/>
            </w:pPr>
          </w:p>
        </w:tc>
        <w:tc>
          <w:tcPr>
            <w:tcW w:w="1517" w:type="pct"/>
            <w:shd w:val="clear" w:color="auto" w:fill="auto"/>
          </w:tcPr>
          <w:p w14:paraId="4141B147" w14:textId="77777777" w:rsidR="003A71DE" w:rsidRPr="009E1BB4" w:rsidRDefault="003A71DE" w:rsidP="00A40F90">
            <w:pPr>
              <w:pStyle w:val="TAL"/>
            </w:pPr>
            <w:r w:rsidRPr="009E1BB4">
              <w:t xml:space="preserve">Aggregation level </w:t>
            </w:r>
          </w:p>
        </w:tc>
        <w:tc>
          <w:tcPr>
            <w:tcW w:w="380" w:type="pct"/>
            <w:shd w:val="clear" w:color="auto" w:fill="auto"/>
          </w:tcPr>
          <w:p w14:paraId="103AD43A" w14:textId="77777777" w:rsidR="003A71DE" w:rsidRPr="009E1BB4" w:rsidRDefault="003A71DE" w:rsidP="00A40F90">
            <w:pPr>
              <w:pStyle w:val="TAC"/>
            </w:pPr>
            <w:r w:rsidRPr="009E1BB4">
              <w:t>CCE</w:t>
            </w:r>
          </w:p>
        </w:tc>
        <w:tc>
          <w:tcPr>
            <w:tcW w:w="1439" w:type="pct"/>
            <w:shd w:val="clear" w:color="auto" w:fill="auto"/>
          </w:tcPr>
          <w:p w14:paraId="3BEC69F8" w14:textId="77777777" w:rsidR="003A71DE" w:rsidRPr="009E1BB4" w:rsidRDefault="003A71DE" w:rsidP="00A40F90">
            <w:pPr>
              <w:pStyle w:val="TAC"/>
            </w:pPr>
            <w:r w:rsidRPr="009E1BB4">
              <w:t>4</w:t>
            </w:r>
          </w:p>
        </w:tc>
      </w:tr>
      <w:tr w:rsidR="003A71DE" w:rsidRPr="001C0E1B" w14:paraId="1E2140DB" w14:textId="77777777" w:rsidTr="003A71DE">
        <w:trPr>
          <w:trHeight w:val="188"/>
          <w:jc w:val="center"/>
        </w:trPr>
        <w:tc>
          <w:tcPr>
            <w:tcW w:w="1664" w:type="pct"/>
            <w:tcBorders>
              <w:top w:val="nil"/>
              <w:bottom w:val="nil"/>
            </w:tcBorders>
            <w:shd w:val="clear" w:color="auto" w:fill="auto"/>
          </w:tcPr>
          <w:p w14:paraId="574FDAB8" w14:textId="77777777" w:rsidR="003A71DE" w:rsidRPr="009E1BB4" w:rsidRDefault="003A71DE" w:rsidP="00A40F90">
            <w:pPr>
              <w:pStyle w:val="TAL"/>
            </w:pPr>
          </w:p>
        </w:tc>
        <w:tc>
          <w:tcPr>
            <w:tcW w:w="1517" w:type="pct"/>
            <w:shd w:val="clear" w:color="auto" w:fill="auto"/>
          </w:tcPr>
          <w:p w14:paraId="2D869A30" w14:textId="77777777" w:rsidR="003A71DE" w:rsidRPr="009E1BB4" w:rsidRDefault="003A71DE" w:rsidP="00A40F90">
            <w:pPr>
              <w:pStyle w:val="TAL"/>
            </w:pPr>
            <w:r w:rsidRPr="009E1BB4">
              <w:t>Ratio of hypothetical PDCCH RE energy to average CSI-RS RE energy</w:t>
            </w:r>
          </w:p>
        </w:tc>
        <w:tc>
          <w:tcPr>
            <w:tcW w:w="380" w:type="pct"/>
            <w:shd w:val="clear" w:color="auto" w:fill="auto"/>
          </w:tcPr>
          <w:p w14:paraId="1FD5F902" w14:textId="77777777" w:rsidR="003A71DE" w:rsidRPr="009E1BB4" w:rsidRDefault="003A71DE" w:rsidP="00A40F90">
            <w:pPr>
              <w:pStyle w:val="TAC"/>
            </w:pPr>
            <w:r w:rsidRPr="009E1BB4">
              <w:t>dB</w:t>
            </w:r>
          </w:p>
        </w:tc>
        <w:tc>
          <w:tcPr>
            <w:tcW w:w="1439" w:type="pct"/>
            <w:shd w:val="clear" w:color="auto" w:fill="auto"/>
          </w:tcPr>
          <w:p w14:paraId="6EBE85D5" w14:textId="77777777" w:rsidR="003A71DE" w:rsidRPr="009E1BB4" w:rsidRDefault="003A71DE" w:rsidP="00A40F90">
            <w:pPr>
              <w:pStyle w:val="TAC"/>
            </w:pPr>
            <w:r w:rsidRPr="009E1BB4">
              <w:t>0</w:t>
            </w:r>
          </w:p>
        </w:tc>
      </w:tr>
      <w:tr w:rsidR="003A71DE" w:rsidRPr="001C0E1B" w14:paraId="28363065" w14:textId="77777777" w:rsidTr="003A71DE">
        <w:trPr>
          <w:trHeight w:val="188"/>
          <w:jc w:val="center"/>
        </w:trPr>
        <w:tc>
          <w:tcPr>
            <w:tcW w:w="1664" w:type="pct"/>
            <w:tcBorders>
              <w:top w:val="nil"/>
              <w:bottom w:val="nil"/>
            </w:tcBorders>
            <w:shd w:val="clear" w:color="auto" w:fill="auto"/>
          </w:tcPr>
          <w:p w14:paraId="7CC1CA6D" w14:textId="77777777" w:rsidR="003A71DE" w:rsidRPr="009E1BB4" w:rsidRDefault="003A71DE" w:rsidP="00A40F90">
            <w:pPr>
              <w:pStyle w:val="TAL"/>
            </w:pPr>
          </w:p>
        </w:tc>
        <w:tc>
          <w:tcPr>
            <w:tcW w:w="1517" w:type="pct"/>
            <w:shd w:val="clear" w:color="auto" w:fill="auto"/>
          </w:tcPr>
          <w:p w14:paraId="317FB2A2" w14:textId="77777777" w:rsidR="003A71DE" w:rsidRPr="009E1BB4" w:rsidRDefault="003A71DE" w:rsidP="00A40F90">
            <w:pPr>
              <w:pStyle w:val="TAL"/>
            </w:pPr>
            <w:r w:rsidRPr="009E1BB4">
              <w:t>Ratio of hypothetical PDCCH DMRS energy to average CSI-RS RE energy</w:t>
            </w:r>
          </w:p>
        </w:tc>
        <w:tc>
          <w:tcPr>
            <w:tcW w:w="380" w:type="pct"/>
            <w:shd w:val="clear" w:color="auto" w:fill="auto"/>
          </w:tcPr>
          <w:p w14:paraId="0AF4AE39" w14:textId="77777777" w:rsidR="003A71DE" w:rsidRPr="009E1BB4" w:rsidRDefault="003A71DE" w:rsidP="00A40F90">
            <w:pPr>
              <w:pStyle w:val="TAC"/>
            </w:pPr>
            <w:r w:rsidRPr="009E1BB4">
              <w:t>dB</w:t>
            </w:r>
          </w:p>
        </w:tc>
        <w:tc>
          <w:tcPr>
            <w:tcW w:w="1439" w:type="pct"/>
            <w:shd w:val="clear" w:color="auto" w:fill="auto"/>
          </w:tcPr>
          <w:p w14:paraId="67CC6B1D" w14:textId="77777777" w:rsidR="003A71DE" w:rsidRPr="009E1BB4" w:rsidRDefault="003A71DE" w:rsidP="00A40F90">
            <w:pPr>
              <w:pStyle w:val="TAC"/>
            </w:pPr>
            <w:r w:rsidRPr="009E1BB4">
              <w:t>0</w:t>
            </w:r>
          </w:p>
        </w:tc>
      </w:tr>
      <w:tr w:rsidR="003A71DE" w:rsidRPr="001C0E1B" w14:paraId="10D27DE4" w14:textId="77777777" w:rsidTr="003A71DE">
        <w:trPr>
          <w:trHeight w:val="188"/>
          <w:jc w:val="center"/>
        </w:trPr>
        <w:tc>
          <w:tcPr>
            <w:tcW w:w="1664" w:type="pct"/>
            <w:tcBorders>
              <w:top w:val="nil"/>
              <w:bottom w:val="nil"/>
            </w:tcBorders>
            <w:shd w:val="clear" w:color="auto" w:fill="auto"/>
          </w:tcPr>
          <w:p w14:paraId="41EB6C02" w14:textId="77777777" w:rsidR="003A71DE" w:rsidRPr="009E1BB4" w:rsidRDefault="003A71DE" w:rsidP="00A40F90">
            <w:pPr>
              <w:pStyle w:val="TAL"/>
            </w:pPr>
          </w:p>
        </w:tc>
        <w:tc>
          <w:tcPr>
            <w:tcW w:w="1517" w:type="pct"/>
            <w:shd w:val="clear" w:color="auto" w:fill="auto"/>
            <w:vAlign w:val="center"/>
          </w:tcPr>
          <w:p w14:paraId="7F9B4FFB" w14:textId="77777777" w:rsidR="003A71DE" w:rsidRPr="009E1BB4" w:rsidRDefault="003A71DE" w:rsidP="00A40F90">
            <w:pPr>
              <w:pStyle w:val="TAL"/>
            </w:pPr>
            <w:r w:rsidRPr="009E1BB4">
              <w:t>DMRS precoder granularity</w:t>
            </w:r>
          </w:p>
        </w:tc>
        <w:tc>
          <w:tcPr>
            <w:tcW w:w="380" w:type="pct"/>
            <w:shd w:val="clear" w:color="auto" w:fill="auto"/>
            <w:vAlign w:val="center"/>
          </w:tcPr>
          <w:p w14:paraId="0458466D" w14:textId="77777777" w:rsidR="003A71DE" w:rsidRPr="009E1BB4" w:rsidRDefault="003A71DE" w:rsidP="00A40F90">
            <w:pPr>
              <w:pStyle w:val="TAC"/>
            </w:pPr>
          </w:p>
        </w:tc>
        <w:tc>
          <w:tcPr>
            <w:tcW w:w="1439" w:type="pct"/>
            <w:shd w:val="clear" w:color="auto" w:fill="auto"/>
          </w:tcPr>
          <w:p w14:paraId="499268FD" w14:textId="77777777" w:rsidR="003A71DE" w:rsidRPr="009E1BB4" w:rsidRDefault="003A71DE" w:rsidP="00A40F90">
            <w:pPr>
              <w:pStyle w:val="TAC"/>
            </w:pPr>
            <w:r w:rsidRPr="009E1BB4">
              <w:t>REG bundle size</w:t>
            </w:r>
          </w:p>
        </w:tc>
      </w:tr>
      <w:tr w:rsidR="003A71DE" w:rsidRPr="001C0E1B" w14:paraId="7981FC36" w14:textId="77777777" w:rsidTr="003A71DE">
        <w:trPr>
          <w:trHeight w:val="188"/>
          <w:jc w:val="center"/>
        </w:trPr>
        <w:tc>
          <w:tcPr>
            <w:tcW w:w="1664" w:type="pct"/>
            <w:tcBorders>
              <w:top w:val="nil"/>
            </w:tcBorders>
            <w:shd w:val="clear" w:color="auto" w:fill="auto"/>
          </w:tcPr>
          <w:p w14:paraId="76344E58" w14:textId="77777777" w:rsidR="003A71DE" w:rsidRPr="009E1BB4" w:rsidRDefault="003A71DE" w:rsidP="00A40F90">
            <w:pPr>
              <w:pStyle w:val="TAL"/>
            </w:pPr>
          </w:p>
        </w:tc>
        <w:tc>
          <w:tcPr>
            <w:tcW w:w="1517" w:type="pct"/>
            <w:shd w:val="clear" w:color="auto" w:fill="auto"/>
            <w:vAlign w:val="center"/>
          </w:tcPr>
          <w:p w14:paraId="4FAE80DA" w14:textId="77777777" w:rsidR="003A71DE" w:rsidRPr="009E1BB4" w:rsidRDefault="003A71DE" w:rsidP="00A40F90">
            <w:pPr>
              <w:pStyle w:val="TAL"/>
            </w:pPr>
            <w:r w:rsidRPr="009E1BB4">
              <w:t>REG bundle size</w:t>
            </w:r>
          </w:p>
        </w:tc>
        <w:tc>
          <w:tcPr>
            <w:tcW w:w="380" w:type="pct"/>
            <w:shd w:val="clear" w:color="auto" w:fill="auto"/>
            <w:vAlign w:val="center"/>
          </w:tcPr>
          <w:p w14:paraId="749200D6" w14:textId="77777777" w:rsidR="003A71DE" w:rsidRPr="009E1BB4" w:rsidRDefault="003A71DE" w:rsidP="00A40F90">
            <w:pPr>
              <w:pStyle w:val="TAC"/>
            </w:pPr>
          </w:p>
        </w:tc>
        <w:tc>
          <w:tcPr>
            <w:tcW w:w="1439" w:type="pct"/>
            <w:shd w:val="clear" w:color="auto" w:fill="auto"/>
          </w:tcPr>
          <w:p w14:paraId="20370330" w14:textId="77777777" w:rsidR="003A71DE" w:rsidRPr="009E1BB4" w:rsidRDefault="003A71DE" w:rsidP="00A40F90">
            <w:pPr>
              <w:pStyle w:val="TAC"/>
            </w:pPr>
            <w:r w:rsidRPr="009E1BB4">
              <w:t>6</w:t>
            </w:r>
          </w:p>
        </w:tc>
      </w:tr>
      <w:tr w:rsidR="003A71DE" w:rsidRPr="001C0E1B" w14:paraId="791E5024" w14:textId="77777777" w:rsidTr="003A71DE">
        <w:trPr>
          <w:trHeight w:val="50"/>
          <w:jc w:val="center"/>
        </w:trPr>
        <w:tc>
          <w:tcPr>
            <w:tcW w:w="3181" w:type="pct"/>
            <w:gridSpan w:val="2"/>
            <w:shd w:val="clear" w:color="auto" w:fill="auto"/>
          </w:tcPr>
          <w:p w14:paraId="0AB5912A" w14:textId="77777777" w:rsidR="003A71DE" w:rsidRPr="009E1BB4" w:rsidRDefault="003A71DE" w:rsidP="00A40F90">
            <w:pPr>
              <w:pStyle w:val="TAL"/>
            </w:pPr>
            <w:r w:rsidRPr="009E1BB4">
              <w:t>Layer 3 filtering</w:t>
            </w:r>
          </w:p>
        </w:tc>
        <w:tc>
          <w:tcPr>
            <w:tcW w:w="380" w:type="pct"/>
            <w:shd w:val="clear" w:color="auto" w:fill="auto"/>
          </w:tcPr>
          <w:p w14:paraId="728EC14F" w14:textId="77777777" w:rsidR="003A71DE" w:rsidRPr="009E1BB4" w:rsidRDefault="003A71DE" w:rsidP="00A40F90">
            <w:pPr>
              <w:pStyle w:val="TAC"/>
            </w:pPr>
          </w:p>
        </w:tc>
        <w:tc>
          <w:tcPr>
            <w:tcW w:w="1439" w:type="pct"/>
            <w:shd w:val="clear" w:color="auto" w:fill="auto"/>
          </w:tcPr>
          <w:p w14:paraId="699AF7B8" w14:textId="77777777" w:rsidR="003A71DE" w:rsidRPr="009E1BB4" w:rsidRDefault="003A71DE" w:rsidP="00A40F90">
            <w:pPr>
              <w:pStyle w:val="TAC"/>
            </w:pPr>
            <w:r w:rsidRPr="009E1BB4">
              <w:rPr>
                <w:i/>
                <w:iCs/>
              </w:rPr>
              <w:t>Enabled</w:t>
            </w:r>
          </w:p>
        </w:tc>
      </w:tr>
      <w:tr w:rsidR="003A71DE" w:rsidRPr="001C0E1B" w14:paraId="311D3C9C" w14:textId="77777777" w:rsidTr="003A71DE">
        <w:trPr>
          <w:trHeight w:val="164"/>
          <w:jc w:val="center"/>
        </w:trPr>
        <w:tc>
          <w:tcPr>
            <w:tcW w:w="3181" w:type="pct"/>
            <w:gridSpan w:val="2"/>
            <w:shd w:val="clear" w:color="auto" w:fill="auto"/>
          </w:tcPr>
          <w:p w14:paraId="1AF5706A" w14:textId="77777777" w:rsidR="003A71DE" w:rsidRPr="009E1BB4" w:rsidRDefault="003A71DE" w:rsidP="00A40F90">
            <w:pPr>
              <w:pStyle w:val="TAL"/>
            </w:pPr>
            <w:r w:rsidRPr="009E1BB4">
              <w:t>T310 timer</w:t>
            </w:r>
          </w:p>
        </w:tc>
        <w:tc>
          <w:tcPr>
            <w:tcW w:w="380" w:type="pct"/>
            <w:shd w:val="clear" w:color="auto" w:fill="auto"/>
          </w:tcPr>
          <w:p w14:paraId="54E64562" w14:textId="77777777" w:rsidR="003A71DE" w:rsidRPr="009E1BB4" w:rsidRDefault="003A71DE" w:rsidP="00A40F90">
            <w:pPr>
              <w:pStyle w:val="TAC"/>
              <w:rPr>
                <w:iCs/>
              </w:rPr>
            </w:pPr>
            <w:r w:rsidRPr="009E1BB4">
              <w:rPr>
                <w:iCs/>
              </w:rPr>
              <w:t>ms</w:t>
            </w:r>
          </w:p>
        </w:tc>
        <w:tc>
          <w:tcPr>
            <w:tcW w:w="1439" w:type="pct"/>
            <w:shd w:val="clear" w:color="auto" w:fill="auto"/>
          </w:tcPr>
          <w:p w14:paraId="2100A741" w14:textId="77777777" w:rsidR="003A71DE" w:rsidRPr="009E1BB4" w:rsidRDefault="003A71DE" w:rsidP="00A40F90">
            <w:pPr>
              <w:pStyle w:val="TAC"/>
              <w:rPr>
                <w:i/>
                <w:iCs/>
              </w:rPr>
            </w:pPr>
            <w:r w:rsidRPr="009E1BB4">
              <w:rPr>
                <w:iCs/>
              </w:rPr>
              <w:t>1000</w:t>
            </w:r>
          </w:p>
        </w:tc>
      </w:tr>
      <w:tr w:rsidR="003A71DE" w:rsidRPr="001C0E1B" w14:paraId="62729C9E" w14:textId="77777777" w:rsidTr="003A71DE">
        <w:trPr>
          <w:trHeight w:val="164"/>
          <w:jc w:val="center"/>
        </w:trPr>
        <w:tc>
          <w:tcPr>
            <w:tcW w:w="3181" w:type="pct"/>
            <w:gridSpan w:val="2"/>
            <w:shd w:val="clear" w:color="auto" w:fill="auto"/>
          </w:tcPr>
          <w:p w14:paraId="49AAF7E6" w14:textId="77777777" w:rsidR="003A71DE" w:rsidRPr="009E1BB4" w:rsidRDefault="003A71DE" w:rsidP="00A40F90">
            <w:pPr>
              <w:pStyle w:val="TAL"/>
            </w:pPr>
            <w:r w:rsidRPr="009E1BB4">
              <w:t>T311 timer</w:t>
            </w:r>
          </w:p>
        </w:tc>
        <w:tc>
          <w:tcPr>
            <w:tcW w:w="380" w:type="pct"/>
            <w:shd w:val="clear" w:color="auto" w:fill="auto"/>
          </w:tcPr>
          <w:p w14:paraId="3EF51A7B" w14:textId="77777777" w:rsidR="003A71DE" w:rsidRPr="009E1BB4" w:rsidRDefault="003A71DE" w:rsidP="00A40F90">
            <w:pPr>
              <w:pStyle w:val="TAC"/>
              <w:rPr>
                <w:iCs/>
              </w:rPr>
            </w:pPr>
            <w:r w:rsidRPr="009E1BB4">
              <w:t>ms</w:t>
            </w:r>
          </w:p>
        </w:tc>
        <w:tc>
          <w:tcPr>
            <w:tcW w:w="1439" w:type="pct"/>
            <w:shd w:val="clear" w:color="auto" w:fill="auto"/>
          </w:tcPr>
          <w:p w14:paraId="5C05B80C" w14:textId="77777777" w:rsidR="003A71DE" w:rsidRPr="009E1BB4" w:rsidRDefault="003A71DE" w:rsidP="00A40F90">
            <w:pPr>
              <w:pStyle w:val="TAC"/>
              <w:rPr>
                <w:i/>
                <w:iCs/>
              </w:rPr>
            </w:pPr>
            <w:r w:rsidRPr="009E1BB4">
              <w:t>1000</w:t>
            </w:r>
          </w:p>
        </w:tc>
      </w:tr>
      <w:tr w:rsidR="003A71DE" w:rsidRPr="001C0E1B" w14:paraId="3B896B26" w14:textId="77777777" w:rsidTr="003A71DE">
        <w:trPr>
          <w:trHeight w:val="164"/>
          <w:jc w:val="center"/>
        </w:trPr>
        <w:tc>
          <w:tcPr>
            <w:tcW w:w="3181" w:type="pct"/>
            <w:gridSpan w:val="2"/>
            <w:shd w:val="clear" w:color="auto" w:fill="auto"/>
          </w:tcPr>
          <w:p w14:paraId="61EF47B1" w14:textId="77777777" w:rsidR="003A71DE" w:rsidRPr="009E1BB4" w:rsidRDefault="003A71DE" w:rsidP="00A40F90">
            <w:pPr>
              <w:pStyle w:val="TAL"/>
            </w:pPr>
            <w:r w:rsidRPr="009E1BB4">
              <w:t>N310</w:t>
            </w:r>
          </w:p>
        </w:tc>
        <w:tc>
          <w:tcPr>
            <w:tcW w:w="380" w:type="pct"/>
            <w:shd w:val="clear" w:color="auto" w:fill="auto"/>
          </w:tcPr>
          <w:p w14:paraId="339E3987" w14:textId="77777777" w:rsidR="003A71DE" w:rsidRPr="009E1BB4" w:rsidRDefault="003A71DE" w:rsidP="00A40F90">
            <w:pPr>
              <w:pStyle w:val="TAC"/>
            </w:pPr>
          </w:p>
        </w:tc>
        <w:tc>
          <w:tcPr>
            <w:tcW w:w="1439" w:type="pct"/>
            <w:shd w:val="clear" w:color="auto" w:fill="auto"/>
          </w:tcPr>
          <w:p w14:paraId="5811BCEB" w14:textId="77777777" w:rsidR="003A71DE" w:rsidRPr="009E1BB4" w:rsidRDefault="003A71DE" w:rsidP="00A40F90">
            <w:pPr>
              <w:pStyle w:val="TAC"/>
            </w:pPr>
            <w:r w:rsidRPr="009E1BB4">
              <w:t>1</w:t>
            </w:r>
          </w:p>
        </w:tc>
      </w:tr>
      <w:tr w:rsidR="003A71DE" w:rsidRPr="001C0E1B" w14:paraId="22969C6B" w14:textId="77777777" w:rsidTr="003A71DE">
        <w:trPr>
          <w:trHeight w:val="164"/>
          <w:jc w:val="center"/>
        </w:trPr>
        <w:tc>
          <w:tcPr>
            <w:tcW w:w="3181" w:type="pct"/>
            <w:gridSpan w:val="2"/>
            <w:shd w:val="clear" w:color="auto" w:fill="auto"/>
          </w:tcPr>
          <w:p w14:paraId="21E05A3D" w14:textId="77777777" w:rsidR="003A71DE" w:rsidRPr="009E1BB4" w:rsidRDefault="003A71DE" w:rsidP="00A40F90">
            <w:pPr>
              <w:pStyle w:val="TAL"/>
            </w:pPr>
            <w:r w:rsidRPr="009E1BB4">
              <w:t>N311</w:t>
            </w:r>
          </w:p>
        </w:tc>
        <w:tc>
          <w:tcPr>
            <w:tcW w:w="380" w:type="pct"/>
            <w:shd w:val="clear" w:color="auto" w:fill="auto"/>
          </w:tcPr>
          <w:p w14:paraId="36F289F0" w14:textId="77777777" w:rsidR="003A71DE" w:rsidRPr="009E1BB4" w:rsidRDefault="003A71DE" w:rsidP="00A40F90">
            <w:pPr>
              <w:pStyle w:val="TAC"/>
            </w:pPr>
          </w:p>
        </w:tc>
        <w:tc>
          <w:tcPr>
            <w:tcW w:w="1439" w:type="pct"/>
            <w:shd w:val="clear" w:color="auto" w:fill="auto"/>
          </w:tcPr>
          <w:p w14:paraId="11A2835F" w14:textId="77777777" w:rsidR="003A71DE" w:rsidRPr="009E1BB4" w:rsidRDefault="003A71DE" w:rsidP="00A40F90">
            <w:pPr>
              <w:pStyle w:val="TAC"/>
            </w:pPr>
            <w:r w:rsidRPr="009E1BB4">
              <w:t>1</w:t>
            </w:r>
          </w:p>
        </w:tc>
      </w:tr>
      <w:tr w:rsidR="003A71DE" w:rsidRPr="001C0E1B" w14:paraId="4D133836" w14:textId="77777777" w:rsidTr="003A71DE">
        <w:trPr>
          <w:trHeight w:val="50"/>
          <w:jc w:val="center"/>
        </w:trPr>
        <w:tc>
          <w:tcPr>
            <w:tcW w:w="1664" w:type="pct"/>
            <w:shd w:val="clear" w:color="auto" w:fill="auto"/>
          </w:tcPr>
          <w:p w14:paraId="06FB8499" w14:textId="77777777" w:rsidR="003A71DE" w:rsidRPr="009E1BB4" w:rsidRDefault="003A71DE" w:rsidP="00A40F90">
            <w:pPr>
              <w:pStyle w:val="TAL"/>
            </w:pPr>
            <w:r w:rsidRPr="009E1BB4">
              <w:t>CSI-RS</w:t>
            </w:r>
            <w:r w:rsidRPr="009E1BB4">
              <w:rPr>
                <w:noProof/>
              </w:rPr>
              <w:t xml:space="preserve"> for CSI reporting</w:t>
            </w:r>
          </w:p>
        </w:tc>
        <w:tc>
          <w:tcPr>
            <w:tcW w:w="1517" w:type="pct"/>
            <w:shd w:val="clear" w:color="auto" w:fill="auto"/>
          </w:tcPr>
          <w:p w14:paraId="7A1A9F3F" w14:textId="77777777" w:rsidR="003A71DE" w:rsidRPr="009E1BB4" w:rsidRDefault="003A71DE" w:rsidP="00A40F90">
            <w:pPr>
              <w:pStyle w:val="TAL"/>
            </w:pPr>
            <w:r w:rsidRPr="009E1BB4">
              <w:t>Config 1</w:t>
            </w:r>
          </w:p>
        </w:tc>
        <w:tc>
          <w:tcPr>
            <w:tcW w:w="380" w:type="pct"/>
            <w:shd w:val="clear" w:color="auto" w:fill="auto"/>
          </w:tcPr>
          <w:p w14:paraId="6A5C2088" w14:textId="77777777" w:rsidR="003A71DE" w:rsidRPr="009E1BB4" w:rsidRDefault="003A71DE" w:rsidP="00A40F90">
            <w:pPr>
              <w:pStyle w:val="TAC"/>
            </w:pPr>
          </w:p>
        </w:tc>
        <w:tc>
          <w:tcPr>
            <w:tcW w:w="1439" w:type="pct"/>
            <w:shd w:val="clear" w:color="auto" w:fill="auto"/>
          </w:tcPr>
          <w:p w14:paraId="6B58E9EE" w14:textId="77777777" w:rsidR="003A71DE" w:rsidRPr="009E1BB4" w:rsidRDefault="003A71DE" w:rsidP="00A40F90">
            <w:pPr>
              <w:pStyle w:val="TAC"/>
            </w:pPr>
            <w:r w:rsidRPr="009E1BB4">
              <w:t>CSI-RS.3.1 TDD</w:t>
            </w:r>
          </w:p>
        </w:tc>
      </w:tr>
      <w:tr w:rsidR="003A71DE" w:rsidRPr="001C0E1B" w14:paraId="785CCC23" w14:textId="77777777" w:rsidTr="003A71DE">
        <w:trPr>
          <w:trHeight w:val="164"/>
          <w:jc w:val="center"/>
        </w:trPr>
        <w:tc>
          <w:tcPr>
            <w:tcW w:w="3181" w:type="pct"/>
            <w:gridSpan w:val="2"/>
            <w:shd w:val="clear" w:color="auto" w:fill="auto"/>
          </w:tcPr>
          <w:p w14:paraId="7560470E" w14:textId="77777777" w:rsidR="003A71DE" w:rsidRPr="009E1BB4" w:rsidRDefault="003A71DE" w:rsidP="00A40F90">
            <w:pPr>
              <w:pStyle w:val="TAL"/>
            </w:pPr>
            <w:r w:rsidRPr="009E1BB4">
              <w:t>T1</w:t>
            </w:r>
          </w:p>
        </w:tc>
        <w:tc>
          <w:tcPr>
            <w:tcW w:w="380" w:type="pct"/>
            <w:shd w:val="clear" w:color="auto" w:fill="auto"/>
          </w:tcPr>
          <w:p w14:paraId="0992E351" w14:textId="77777777" w:rsidR="003A71DE" w:rsidRPr="009E1BB4" w:rsidRDefault="003A71DE" w:rsidP="00A40F90">
            <w:pPr>
              <w:pStyle w:val="TAC"/>
            </w:pPr>
            <w:r w:rsidRPr="009E1BB4">
              <w:t>s</w:t>
            </w:r>
          </w:p>
        </w:tc>
        <w:tc>
          <w:tcPr>
            <w:tcW w:w="1439" w:type="pct"/>
            <w:shd w:val="clear" w:color="auto" w:fill="auto"/>
          </w:tcPr>
          <w:p w14:paraId="63275E62" w14:textId="77777777" w:rsidR="003A71DE" w:rsidRPr="00FC5D11" w:rsidRDefault="003A71DE" w:rsidP="00A40F90">
            <w:pPr>
              <w:pStyle w:val="TAC"/>
            </w:pPr>
            <w:r>
              <w:rPr>
                <w:rFonts w:eastAsia="SimSun"/>
              </w:rPr>
              <w:t>0.2</w:t>
            </w:r>
          </w:p>
        </w:tc>
      </w:tr>
      <w:tr w:rsidR="003A71DE" w:rsidRPr="001C0E1B" w14:paraId="461EA12B" w14:textId="77777777" w:rsidTr="003A71DE">
        <w:trPr>
          <w:trHeight w:val="176"/>
          <w:jc w:val="center"/>
        </w:trPr>
        <w:tc>
          <w:tcPr>
            <w:tcW w:w="3181" w:type="pct"/>
            <w:gridSpan w:val="2"/>
            <w:shd w:val="clear" w:color="auto" w:fill="auto"/>
          </w:tcPr>
          <w:p w14:paraId="1B104232" w14:textId="77777777" w:rsidR="003A71DE" w:rsidRPr="009E1BB4" w:rsidRDefault="003A71DE" w:rsidP="00A40F90">
            <w:pPr>
              <w:pStyle w:val="TAL"/>
            </w:pPr>
            <w:r w:rsidRPr="009E1BB4">
              <w:t>T2</w:t>
            </w:r>
          </w:p>
        </w:tc>
        <w:tc>
          <w:tcPr>
            <w:tcW w:w="380" w:type="pct"/>
            <w:shd w:val="clear" w:color="auto" w:fill="auto"/>
          </w:tcPr>
          <w:p w14:paraId="59C825CB" w14:textId="77777777" w:rsidR="003A71DE" w:rsidRPr="009E1BB4" w:rsidRDefault="003A71DE" w:rsidP="00A40F90">
            <w:pPr>
              <w:pStyle w:val="TAC"/>
            </w:pPr>
            <w:r w:rsidRPr="009E1BB4">
              <w:t>s</w:t>
            </w:r>
          </w:p>
        </w:tc>
        <w:tc>
          <w:tcPr>
            <w:tcW w:w="1439" w:type="pct"/>
            <w:shd w:val="clear" w:color="auto" w:fill="auto"/>
          </w:tcPr>
          <w:p w14:paraId="6E5ECE56" w14:textId="77777777" w:rsidR="003A71DE" w:rsidRPr="00B806BE" w:rsidRDefault="003A71DE" w:rsidP="00A40F90">
            <w:pPr>
              <w:pStyle w:val="TAC"/>
            </w:pPr>
            <w:r>
              <w:rPr>
                <w:rFonts w:eastAsia="SimSun"/>
              </w:rPr>
              <w:t>0.2</w:t>
            </w:r>
          </w:p>
        </w:tc>
      </w:tr>
      <w:tr w:rsidR="003A71DE" w:rsidRPr="001C0E1B" w14:paraId="73024F6A" w14:textId="77777777" w:rsidTr="003A71DE">
        <w:trPr>
          <w:trHeight w:val="164"/>
          <w:jc w:val="center"/>
        </w:trPr>
        <w:tc>
          <w:tcPr>
            <w:tcW w:w="3181" w:type="pct"/>
            <w:gridSpan w:val="2"/>
            <w:shd w:val="clear" w:color="auto" w:fill="auto"/>
          </w:tcPr>
          <w:p w14:paraId="2019C611" w14:textId="77777777" w:rsidR="003A71DE" w:rsidRPr="009E1BB4" w:rsidRDefault="003A71DE" w:rsidP="00A40F90">
            <w:pPr>
              <w:pStyle w:val="TAL"/>
            </w:pPr>
            <w:r w:rsidRPr="009E1BB4">
              <w:t>T3</w:t>
            </w:r>
          </w:p>
        </w:tc>
        <w:tc>
          <w:tcPr>
            <w:tcW w:w="380" w:type="pct"/>
            <w:shd w:val="clear" w:color="auto" w:fill="auto"/>
          </w:tcPr>
          <w:p w14:paraId="17D02CAE" w14:textId="77777777" w:rsidR="003A71DE" w:rsidRPr="009E1BB4" w:rsidRDefault="003A71DE" w:rsidP="00A40F90">
            <w:pPr>
              <w:pStyle w:val="TAC"/>
            </w:pPr>
            <w:r w:rsidRPr="009E1BB4">
              <w:t>s</w:t>
            </w:r>
          </w:p>
        </w:tc>
        <w:tc>
          <w:tcPr>
            <w:tcW w:w="1439" w:type="pct"/>
            <w:shd w:val="clear" w:color="auto" w:fill="auto"/>
          </w:tcPr>
          <w:p w14:paraId="284ED306" w14:textId="77777777" w:rsidR="003A71DE" w:rsidRPr="00B806BE" w:rsidRDefault="003A71DE" w:rsidP="00A40F90">
            <w:pPr>
              <w:pStyle w:val="TAC"/>
            </w:pPr>
            <w:r>
              <w:rPr>
                <w:rFonts w:eastAsia="SimSun"/>
              </w:rPr>
              <w:t>0.24</w:t>
            </w:r>
          </w:p>
        </w:tc>
      </w:tr>
      <w:tr w:rsidR="003A71DE" w:rsidRPr="001C0E1B" w14:paraId="1E3AD570" w14:textId="77777777" w:rsidTr="003A71DE">
        <w:trPr>
          <w:trHeight w:val="164"/>
          <w:jc w:val="center"/>
        </w:trPr>
        <w:tc>
          <w:tcPr>
            <w:tcW w:w="3181" w:type="pct"/>
            <w:gridSpan w:val="2"/>
            <w:shd w:val="clear" w:color="auto" w:fill="auto"/>
          </w:tcPr>
          <w:p w14:paraId="3AAD853A" w14:textId="77777777" w:rsidR="003A71DE" w:rsidRPr="009E1BB4" w:rsidRDefault="003A71DE" w:rsidP="00A40F90">
            <w:pPr>
              <w:pStyle w:val="TAL"/>
            </w:pPr>
            <w:r w:rsidRPr="009E1BB4">
              <w:t>T4</w:t>
            </w:r>
          </w:p>
        </w:tc>
        <w:tc>
          <w:tcPr>
            <w:tcW w:w="380" w:type="pct"/>
            <w:shd w:val="clear" w:color="auto" w:fill="auto"/>
          </w:tcPr>
          <w:p w14:paraId="2DDCD551" w14:textId="77777777" w:rsidR="003A71DE" w:rsidRPr="009E1BB4" w:rsidRDefault="003A71DE" w:rsidP="00A40F90">
            <w:pPr>
              <w:pStyle w:val="TAC"/>
            </w:pPr>
            <w:r w:rsidRPr="009E1BB4">
              <w:t>s</w:t>
            </w:r>
          </w:p>
        </w:tc>
        <w:tc>
          <w:tcPr>
            <w:tcW w:w="1439" w:type="pct"/>
            <w:shd w:val="clear" w:color="auto" w:fill="auto"/>
          </w:tcPr>
          <w:p w14:paraId="0BF056B3" w14:textId="77777777" w:rsidR="003A71DE" w:rsidRPr="00B806BE" w:rsidDel="00A06AD4" w:rsidRDefault="003A71DE" w:rsidP="00A40F90">
            <w:pPr>
              <w:pStyle w:val="TAC"/>
            </w:pPr>
            <w:r>
              <w:rPr>
                <w:rFonts w:eastAsia="SimSun"/>
              </w:rPr>
              <w:t>0.2</w:t>
            </w:r>
          </w:p>
        </w:tc>
      </w:tr>
      <w:tr w:rsidR="003A71DE" w:rsidRPr="001C0E1B" w14:paraId="35FCC48F" w14:textId="77777777" w:rsidTr="003A71DE">
        <w:trPr>
          <w:trHeight w:val="164"/>
          <w:jc w:val="center"/>
        </w:trPr>
        <w:tc>
          <w:tcPr>
            <w:tcW w:w="3181" w:type="pct"/>
            <w:gridSpan w:val="2"/>
            <w:shd w:val="clear" w:color="auto" w:fill="auto"/>
          </w:tcPr>
          <w:p w14:paraId="521AFD4F" w14:textId="77777777" w:rsidR="003A71DE" w:rsidRPr="009E1BB4" w:rsidRDefault="003A71DE" w:rsidP="00A40F90">
            <w:pPr>
              <w:pStyle w:val="TAL"/>
            </w:pPr>
            <w:r w:rsidRPr="009E1BB4">
              <w:t>T5</w:t>
            </w:r>
          </w:p>
        </w:tc>
        <w:tc>
          <w:tcPr>
            <w:tcW w:w="380" w:type="pct"/>
            <w:shd w:val="clear" w:color="auto" w:fill="auto"/>
          </w:tcPr>
          <w:p w14:paraId="70748E72" w14:textId="77777777" w:rsidR="003A71DE" w:rsidRPr="009E1BB4" w:rsidRDefault="003A71DE" w:rsidP="00A40F90">
            <w:pPr>
              <w:pStyle w:val="TAC"/>
            </w:pPr>
            <w:r w:rsidRPr="009E1BB4">
              <w:t>s</w:t>
            </w:r>
          </w:p>
        </w:tc>
        <w:tc>
          <w:tcPr>
            <w:tcW w:w="1439" w:type="pct"/>
            <w:shd w:val="clear" w:color="auto" w:fill="auto"/>
          </w:tcPr>
          <w:p w14:paraId="4289A7F2" w14:textId="77777777" w:rsidR="003A71DE" w:rsidRPr="00B806BE" w:rsidDel="00A06AD4" w:rsidRDefault="003A71DE" w:rsidP="00A40F90">
            <w:pPr>
              <w:pStyle w:val="TAC"/>
            </w:pPr>
            <w:r>
              <w:rPr>
                <w:rFonts w:eastAsia="SimSun"/>
              </w:rPr>
              <w:t>0.88</w:t>
            </w:r>
          </w:p>
        </w:tc>
      </w:tr>
      <w:tr w:rsidR="003A71DE" w:rsidRPr="001C0E1B" w14:paraId="05EABE9B" w14:textId="77777777" w:rsidTr="003A71DE">
        <w:trPr>
          <w:trHeight w:val="164"/>
          <w:jc w:val="center"/>
        </w:trPr>
        <w:tc>
          <w:tcPr>
            <w:tcW w:w="3181" w:type="pct"/>
            <w:gridSpan w:val="2"/>
            <w:shd w:val="clear" w:color="auto" w:fill="auto"/>
          </w:tcPr>
          <w:p w14:paraId="3D0D6D07" w14:textId="77777777" w:rsidR="003A71DE" w:rsidRPr="009E1BB4" w:rsidRDefault="003A71DE" w:rsidP="00A40F90">
            <w:pPr>
              <w:pStyle w:val="TAL"/>
            </w:pPr>
            <w:r w:rsidRPr="009E1BB4">
              <w:t>D1</w:t>
            </w:r>
          </w:p>
        </w:tc>
        <w:tc>
          <w:tcPr>
            <w:tcW w:w="380" w:type="pct"/>
            <w:shd w:val="clear" w:color="auto" w:fill="auto"/>
          </w:tcPr>
          <w:p w14:paraId="471C7F88" w14:textId="77777777" w:rsidR="003A71DE" w:rsidRPr="009E1BB4" w:rsidRDefault="003A71DE" w:rsidP="00A40F90">
            <w:pPr>
              <w:pStyle w:val="TAC"/>
            </w:pPr>
            <w:r w:rsidRPr="009E1BB4">
              <w:t>s</w:t>
            </w:r>
          </w:p>
        </w:tc>
        <w:tc>
          <w:tcPr>
            <w:tcW w:w="1439" w:type="pct"/>
            <w:shd w:val="clear" w:color="auto" w:fill="auto"/>
          </w:tcPr>
          <w:p w14:paraId="2B556404" w14:textId="77777777" w:rsidR="003A71DE" w:rsidRPr="00B806BE" w:rsidRDefault="003A71DE" w:rsidP="00A40F90">
            <w:pPr>
              <w:pStyle w:val="TAC"/>
            </w:pPr>
            <w:r>
              <w:rPr>
                <w:rFonts w:eastAsia="SimSun"/>
              </w:rPr>
              <w:t>0.84</w:t>
            </w:r>
          </w:p>
        </w:tc>
      </w:tr>
      <w:tr w:rsidR="003A71DE" w:rsidRPr="001C0E1B" w14:paraId="005A6A73" w14:textId="77777777" w:rsidTr="003A71DE">
        <w:trPr>
          <w:trHeight w:val="50"/>
          <w:jc w:val="center"/>
        </w:trPr>
        <w:tc>
          <w:tcPr>
            <w:tcW w:w="5000" w:type="pct"/>
            <w:gridSpan w:val="4"/>
          </w:tcPr>
          <w:p w14:paraId="199EE8EC" w14:textId="77777777" w:rsidR="003A71DE" w:rsidRPr="009E1BB4" w:rsidRDefault="003A71DE" w:rsidP="003A71DE">
            <w:pPr>
              <w:pStyle w:val="TAN"/>
              <w:rPr>
                <w:rFonts w:cs="Arial"/>
                <w:szCs w:val="18"/>
              </w:rPr>
            </w:pPr>
            <w:r w:rsidRPr="009E1BB4">
              <w:rPr>
                <w:rFonts w:cs="Arial"/>
                <w:szCs w:val="18"/>
              </w:rPr>
              <w:t>Note 1:</w:t>
            </w:r>
            <w:r w:rsidRPr="009E1BB4">
              <w:rPr>
                <w:rFonts w:cs="Arial"/>
                <w:szCs w:val="18"/>
              </w:rPr>
              <w:tab/>
              <w:t>IAB-MT-specific PDCCH is not transmitted after T1 starts.</w:t>
            </w:r>
          </w:p>
        </w:tc>
      </w:tr>
    </w:tbl>
    <w:p w14:paraId="27B2608C" w14:textId="77777777" w:rsidR="003A71DE" w:rsidRPr="001C0E1B" w:rsidRDefault="003A71DE" w:rsidP="003A71DE"/>
    <w:p w14:paraId="012E9921" w14:textId="77777777" w:rsidR="003A71DE" w:rsidRPr="001C0E1B" w:rsidRDefault="003A71DE" w:rsidP="00746C0D">
      <w:pPr>
        <w:pStyle w:val="TH"/>
        <w:rPr>
          <w:rFonts w:eastAsia="Malgun Gothic"/>
          <w:kern w:val="20"/>
        </w:rPr>
      </w:pPr>
      <w:r w:rsidRPr="001C0E1B">
        <w:rPr>
          <w:rFonts w:eastAsia="Malgun Gothic"/>
          <w:kern w:val="20"/>
        </w:rPr>
        <w:lastRenderedPageBreak/>
        <w:t xml:space="preserve">Table </w:t>
      </w:r>
      <w:r>
        <w:rPr>
          <w:rFonts w:eastAsia="Malgun Gothic"/>
          <w:kern w:val="20"/>
        </w:rPr>
        <w:t>G.2.3.1.8</w:t>
      </w:r>
      <w:r w:rsidRPr="001C0E1B">
        <w:rPr>
          <w:rFonts w:eastAsia="Malgun Gothic"/>
          <w:kern w:val="20"/>
        </w:rPr>
        <w:t xml:space="preserve">.1-3: </w:t>
      </w:r>
      <w:r w:rsidRPr="001C0E1B">
        <w:t>Cell specific test parameters for FR2 for CSI-RS in-sync radio link monitoring in non-DRX</w:t>
      </w:r>
    </w:p>
    <w:tbl>
      <w:tblPr>
        <w:tblW w:w="111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3"/>
        <w:gridCol w:w="1134"/>
        <w:gridCol w:w="758"/>
        <w:gridCol w:w="740"/>
        <w:gridCol w:w="912"/>
        <w:gridCol w:w="568"/>
        <w:gridCol w:w="740"/>
        <w:gridCol w:w="740"/>
        <w:gridCol w:w="740"/>
        <w:gridCol w:w="740"/>
        <w:gridCol w:w="740"/>
        <w:gridCol w:w="552"/>
        <w:gridCol w:w="567"/>
      </w:tblGrid>
      <w:tr w:rsidR="003A71DE" w:rsidRPr="00AA3B6F" w14:paraId="0DCDF4EF" w14:textId="77777777" w:rsidTr="003A71DE">
        <w:trPr>
          <w:cantSplit/>
          <w:trHeight w:val="207"/>
          <w:jc w:val="center"/>
        </w:trPr>
        <w:tc>
          <w:tcPr>
            <w:tcW w:w="3397" w:type="dxa"/>
            <w:gridSpan w:val="2"/>
            <w:tcBorders>
              <w:top w:val="single" w:sz="4" w:space="0" w:color="auto"/>
              <w:left w:val="single" w:sz="4" w:space="0" w:color="auto"/>
              <w:bottom w:val="nil"/>
            </w:tcBorders>
            <w:shd w:val="clear" w:color="auto" w:fill="auto"/>
          </w:tcPr>
          <w:p w14:paraId="73B546AD" w14:textId="77777777" w:rsidR="003A71DE" w:rsidRPr="00AA3B6F" w:rsidRDefault="003A71DE" w:rsidP="003A71DE">
            <w:pPr>
              <w:pStyle w:val="TAH"/>
              <w:rPr>
                <w:rFonts w:cs="Arial"/>
                <w:szCs w:val="18"/>
              </w:rPr>
            </w:pPr>
            <w:r w:rsidRPr="00AA3B6F">
              <w:rPr>
                <w:rFonts w:cs="Arial"/>
                <w:szCs w:val="18"/>
              </w:rPr>
              <w:t>Parameter</w:t>
            </w:r>
          </w:p>
        </w:tc>
        <w:tc>
          <w:tcPr>
            <w:tcW w:w="758" w:type="dxa"/>
            <w:tcBorders>
              <w:top w:val="single" w:sz="4" w:space="0" w:color="auto"/>
              <w:bottom w:val="nil"/>
            </w:tcBorders>
            <w:shd w:val="clear" w:color="auto" w:fill="auto"/>
          </w:tcPr>
          <w:p w14:paraId="0C6543D4" w14:textId="77777777" w:rsidR="003A71DE" w:rsidRPr="00AA3B6F" w:rsidRDefault="003A71DE" w:rsidP="003A71DE">
            <w:pPr>
              <w:pStyle w:val="TAH"/>
              <w:rPr>
                <w:rFonts w:cs="Arial"/>
                <w:szCs w:val="18"/>
              </w:rPr>
            </w:pPr>
            <w:r w:rsidRPr="00AA3B6F">
              <w:rPr>
                <w:rFonts w:cs="Arial"/>
                <w:szCs w:val="18"/>
              </w:rPr>
              <w:t>Unit</w:t>
            </w:r>
          </w:p>
        </w:tc>
        <w:tc>
          <w:tcPr>
            <w:tcW w:w="7039" w:type="dxa"/>
            <w:gridSpan w:val="10"/>
            <w:tcBorders>
              <w:top w:val="single" w:sz="4" w:space="0" w:color="auto"/>
            </w:tcBorders>
          </w:tcPr>
          <w:p w14:paraId="23E7C71A" w14:textId="77777777" w:rsidR="003A71DE" w:rsidRPr="00AA3B6F" w:rsidRDefault="003A71DE" w:rsidP="003A71DE">
            <w:pPr>
              <w:pStyle w:val="TAH"/>
              <w:rPr>
                <w:rFonts w:cs="Arial"/>
                <w:szCs w:val="18"/>
              </w:rPr>
            </w:pPr>
            <w:r w:rsidRPr="00AA3B6F">
              <w:rPr>
                <w:rFonts w:cs="Arial"/>
                <w:szCs w:val="18"/>
              </w:rPr>
              <w:t>Test 1</w:t>
            </w:r>
          </w:p>
        </w:tc>
      </w:tr>
      <w:tr w:rsidR="003A71DE" w:rsidRPr="00AA3B6F" w14:paraId="507634AA" w14:textId="77777777" w:rsidTr="003A71DE">
        <w:trPr>
          <w:cantSplit/>
          <w:trHeight w:val="207"/>
          <w:jc w:val="center"/>
        </w:trPr>
        <w:tc>
          <w:tcPr>
            <w:tcW w:w="3397" w:type="dxa"/>
            <w:gridSpan w:val="2"/>
            <w:tcBorders>
              <w:top w:val="nil"/>
              <w:left w:val="single" w:sz="4" w:space="0" w:color="auto"/>
              <w:bottom w:val="single" w:sz="4" w:space="0" w:color="auto"/>
            </w:tcBorders>
            <w:shd w:val="clear" w:color="auto" w:fill="auto"/>
          </w:tcPr>
          <w:p w14:paraId="313A290D" w14:textId="77777777" w:rsidR="003A71DE" w:rsidRPr="00AA3B6F" w:rsidRDefault="003A71DE" w:rsidP="003A71DE">
            <w:pPr>
              <w:pStyle w:val="TAH"/>
              <w:rPr>
                <w:rFonts w:cs="Arial"/>
                <w:szCs w:val="18"/>
              </w:rPr>
            </w:pPr>
          </w:p>
        </w:tc>
        <w:tc>
          <w:tcPr>
            <w:tcW w:w="758" w:type="dxa"/>
            <w:tcBorders>
              <w:top w:val="nil"/>
              <w:bottom w:val="single" w:sz="4" w:space="0" w:color="auto"/>
            </w:tcBorders>
            <w:shd w:val="clear" w:color="auto" w:fill="auto"/>
          </w:tcPr>
          <w:p w14:paraId="1F45A25B" w14:textId="77777777" w:rsidR="003A71DE" w:rsidRPr="00AA3B6F" w:rsidRDefault="003A71DE" w:rsidP="003A71DE">
            <w:pPr>
              <w:pStyle w:val="TAH"/>
              <w:rPr>
                <w:rFonts w:cs="Arial"/>
                <w:szCs w:val="18"/>
              </w:rPr>
            </w:pPr>
          </w:p>
        </w:tc>
        <w:tc>
          <w:tcPr>
            <w:tcW w:w="740" w:type="dxa"/>
            <w:tcBorders>
              <w:bottom w:val="single" w:sz="4" w:space="0" w:color="auto"/>
            </w:tcBorders>
          </w:tcPr>
          <w:p w14:paraId="4D722D3D" w14:textId="77777777" w:rsidR="003A71DE" w:rsidRPr="00AA3B6F" w:rsidRDefault="003A71DE" w:rsidP="003A71DE">
            <w:pPr>
              <w:pStyle w:val="TAH"/>
              <w:rPr>
                <w:rFonts w:cs="Arial"/>
                <w:szCs w:val="18"/>
              </w:rPr>
            </w:pPr>
            <w:r w:rsidRPr="00AA3B6F">
              <w:rPr>
                <w:rFonts w:cs="Arial"/>
                <w:szCs w:val="18"/>
              </w:rPr>
              <w:t>T1</w:t>
            </w:r>
          </w:p>
        </w:tc>
        <w:tc>
          <w:tcPr>
            <w:tcW w:w="912" w:type="dxa"/>
            <w:tcBorders>
              <w:bottom w:val="single" w:sz="4" w:space="0" w:color="auto"/>
            </w:tcBorders>
          </w:tcPr>
          <w:p w14:paraId="303E4F22" w14:textId="77777777" w:rsidR="003A71DE" w:rsidRPr="00AA3B6F" w:rsidRDefault="003A71DE" w:rsidP="003A71DE">
            <w:pPr>
              <w:pStyle w:val="TAH"/>
              <w:rPr>
                <w:rFonts w:cs="Arial"/>
                <w:szCs w:val="18"/>
              </w:rPr>
            </w:pPr>
            <w:r w:rsidRPr="00AA3B6F">
              <w:rPr>
                <w:rFonts w:cs="Arial"/>
                <w:szCs w:val="18"/>
              </w:rPr>
              <w:t>T2</w:t>
            </w:r>
          </w:p>
        </w:tc>
        <w:tc>
          <w:tcPr>
            <w:tcW w:w="568" w:type="dxa"/>
            <w:tcBorders>
              <w:bottom w:val="single" w:sz="4" w:space="0" w:color="auto"/>
            </w:tcBorders>
          </w:tcPr>
          <w:p w14:paraId="616E9A40" w14:textId="77777777" w:rsidR="003A71DE" w:rsidRPr="00AA3B6F" w:rsidRDefault="003A71DE" w:rsidP="003A71DE">
            <w:pPr>
              <w:pStyle w:val="TAH"/>
              <w:rPr>
                <w:rFonts w:cs="Arial"/>
                <w:szCs w:val="18"/>
              </w:rPr>
            </w:pPr>
            <w:r w:rsidRPr="00AA3B6F">
              <w:rPr>
                <w:rFonts w:cs="Arial"/>
                <w:szCs w:val="18"/>
              </w:rPr>
              <w:t>T3</w:t>
            </w:r>
          </w:p>
        </w:tc>
        <w:tc>
          <w:tcPr>
            <w:tcW w:w="740" w:type="dxa"/>
            <w:tcBorders>
              <w:bottom w:val="single" w:sz="4" w:space="0" w:color="auto"/>
            </w:tcBorders>
          </w:tcPr>
          <w:p w14:paraId="6B206D5A" w14:textId="77777777" w:rsidR="003A71DE" w:rsidRPr="00AA3B6F" w:rsidRDefault="003A71DE" w:rsidP="003A71DE">
            <w:pPr>
              <w:pStyle w:val="TAH"/>
              <w:rPr>
                <w:rFonts w:cs="Arial"/>
                <w:szCs w:val="18"/>
              </w:rPr>
            </w:pPr>
            <w:r w:rsidRPr="00AA3B6F">
              <w:rPr>
                <w:rFonts w:cs="Arial"/>
                <w:szCs w:val="18"/>
              </w:rPr>
              <w:t>T4</w:t>
            </w:r>
          </w:p>
        </w:tc>
        <w:tc>
          <w:tcPr>
            <w:tcW w:w="740" w:type="dxa"/>
            <w:tcBorders>
              <w:bottom w:val="single" w:sz="4" w:space="0" w:color="auto"/>
            </w:tcBorders>
          </w:tcPr>
          <w:p w14:paraId="5610094F" w14:textId="77777777" w:rsidR="003A71DE" w:rsidRPr="00AA3B6F" w:rsidRDefault="003A71DE" w:rsidP="003A71DE">
            <w:pPr>
              <w:pStyle w:val="TAH"/>
              <w:rPr>
                <w:rFonts w:cs="Arial"/>
                <w:szCs w:val="18"/>
              </w:rPr>
            </w:pPr>
            <w:r w:rsidRPr="00AA3B6F">
              <w:rPr>
                <w:rFonts w:cs="Arial"/>
                <w:szCs w:val="18"/>
              </w:rPr>
              <w:t>T5</w:t>
            </w:r>
          </w:p>
        </w:tc>
        <w:tc>
          <w:tcPr>
            <w:tcW w:w="740" w:type="dxa"/>
            <w:tcBorders>
              <w:bottom w:val="single" w:sz="4" w:space="0" w:color="auto"/>
            </w:tcBorders>
          </w:tcPr>
          <w:p w14:paraId="40420007" w14:textId="77777777" w:rsidR="003A71DE" w:rsidRPr="00AA3B6F" w:rsidRDefault="003A71DE" w:rsidP="003A71DE">
            <w:pPr>
              <w:pStyle w:val="TAH"/>
              <w:rPr>
                <w:rFonts w:cs="Arial"/>
                <w:szCs w:val="18"/>
              </w:rPr>
            </w:pPr>
            <w:r w:rsidRPr="00AA3B6F">
              <w:rPr>
                <w:rFonts w:cs="Arial"/>
                <w:szCs w:val="18"/>
              </w:rPr>
              <w:t>T1</w:t>
            </w:r>
          </w:p>
        </w:tc>
        <w:tc>
          <w:tcPr>
            <w:tcW w:w="740" w:type="dxa"/>
            <w:tcBorders>
              <w:bottom w:val="single" w:sz="4" w:space="0" w:color="auto"/>
            </w:tcBorders>
          </w:tcPr>
          <w:p w14:paraId="3F07EEB3" w14:textId="77777777" w:rsidR="003A71DE" w:rsidRPr="00AA3B6F" w:rsidRDefault="003A71DE" w:rsidP="003A71DE">
            <w:pPr>
              <w:pStyle w:val="TAH"/>
              <w:rPr>
                <w:rFonts w:cs="Arial"/>
                <w:szCs w:val="18"/>
              </w:rPr>
            </w:pPr>
            <w:r w:rsidRPr="00AA3B6F">
              <w:rPr>
                <w:rFonts w:cs="Arial"/>
                <w:szCs w:val="18"/>
              </w:rPr>
              <w:t>T2</w:t>
            </w:r>
          </w:p>
        </w:tc>
        <w:tc>
          <w:tcPr>
            <w:tcW w:w="740" w:type="dxa"/>
            <w:tcBorders>
              <w:bottom w:val="single" w:sz="4" w:space="0" w:color="auto"/>
            </w:tcBorders>
          </w:tcPr>
          <w:p w14:paraId="2E5D20EB" w14:textId="77777777" w:rsidR="003A71DE" w:rsidRPr="00AA3B6F" w:rsidRDefault="003A71DE" w:rsidP="003A71DE">
            <w:pPr>
              <w:pStyle w:val="TAH"/>
              <w:rPr>
                <w:rFonts w:cs="Arial"/>
                <w:szCs w:val="18"/>
              </w:rPr>
            </w:pPr>
            <w:r w:rsidRPr="00AA3B6F">
              <w:rPr>
                <w:rFonts w:cs="Arial"/>
                <w:szCs w:val="18"/>
              </w:rPr>
              <w:t>T3</w:t>
            </w:r>
          </w:p>
        </w:tc>
        <w:tc>
          <w:tcPr>
            <w:tcW w:w="552" w:type="dxa"/>
            <w:tcBorders>
              <w:bottom w:val="single" w:sz="4" w:space="0" w:color="auto"/>
            </w:tcBorders>
          </w:tcPr>
          <w:p w14:paraId="45C4B3AF" w14:textId="77777777" w:rsidR="003A71DE" w:rsidRPr="00AA3B6F" w:rsidRDefault="003A71DE" w:rsidP="003A71DE">
            <w:pPr>
              <w:pStyle w:val="TAH"/>
              <w:rPr>
                <w:rFonts w:cs="Arial"/>
                <w:szCs w:val="18"/>
              </w:rPr>
            </w:pPr>
            <w:r w:rsidRPr="00AA3B6F">
              <w:rPr>
                <w:rFonts w:cs="Arial"/>
                <w:szCs w:val="18"/>
              </w:rPr>
              <w:t>T4</w:t>
            </w:r>
          </w:p>
        </w:tc>
        <w:tc>
          <w:tcPr>
            <w:tcW w:w="567" w:type="dxa"/>
            <w:tcBorders>
              <w:bottom w:val="single" w:sz="4" w:space="0" w:color="auto"/>
            </w:tcBorders>
          </w:tcPr>
          <w:p w14:paraId="262E1206" w14:textId="77777777" w:rsidR="003A71DE" w:rsidRPr="00AA3B6F" w:rsidRDefault="003A71DE" w:rsidP="003A71DE">
            <w:pPr>
              <w:pStyle w:val="TAH"/>
              <w:rPr>
                <w:rFonts w:cs="Arial"/>
                <w:szCs w:val="18"/>
              </w:rPr>
            </w:pPr>
            <w:r w:rsidRPr="00AA3B6F">
              <w:rPr>
                <w:rFonts w:cs="Arial"/>
                <w:szCs w:val="18"/>
              </w:rPr>
              <w:t>T5</w:t>
            </w:r>
          </w:p>
        </w:tc>
      </w:tr>
      <w:tr w:rsidR="003A71DE" w:rsidRPr="00AA3B6F" w14:paraId="42BEFB9E" w14:textId="77777777" w:rsidTr="003A71DE">
        <w:trPr>
          <w:cantSplit/>
          <w:trHeight w:val="199"/>
          <w:jc w:val="center"/>
        </w:trPr>
        <w:tc>
          <w:tcPr>
            <w:tcW w:w="3397" w:type="dxa"/>
            <w:gridSpan w:val="2"/>
            <w:tcBorders>
              <w:bottom w:val="nil"/>
            </w:tcBorders>
            <w:shd w:val="clear" w:color="auto" w:fill="auto"/>
          </w:tcPr>
          <w:p w14:paraId="61CF3858" w14:textId="77777777" w:rsidR="003A71DE" w:rsidRPr="00AA3B6F" w:rsidRDefault="003A71DE" w:rsidP="003A71DE">
            <w:pPr>
              <w:pStyle w:val="TAL"/>
              <w:rPr>
                <w:rFonts w:eastAsia="?? ??" w:cs="Arial"/>
                <w:szCs w:val="18"/>
              </w:rPr>
            </w:pPr>
            <w:r w:rsidRPr="00AA3B6F">
              <w:rPr>
                <w:rFonts w:cs="Arial"/>
                <w:szCs w:val="18"/>
              </w:rPr>
              <w:t>AoA setup</w:t>
            </w:r>
          </w:p>
        </w:tc>
        <w:tc>
          <w:tcPr>
            <w:tcW w:w="758" w:type="dxa"/>
            <w:tcBorders>
              <w:bottom w:val="nil"/>
            </w:tcBorders>
            <w:shd w:val="clear" w:color="auto" w:fill="auto"/>
          </w:tcPr>
          <w:p w14:paraId="65B178F5" w14:textId="77777777" w:rsidR="003A71DE" w:rsidRPr="00AA3B6F" w:rsidRDefault="003A71DE" w:rsidP="003A71DE">
            <w:pPr>
              <w:pStyle w:val="TAC"/>
              <w:rPr>
                <w:rFonts w:cs="Arial"/>
                <w:szCs w:val="18"/>
              </w:rPr>
            </w:pPr>
          </w:p>
        </w:tc>
        <w:tc>
          <w:tcPr>
            <w:tcW w:w="7039" w:type="dxa"/>
            <w:gridSpan w:val="10"/>
            <w:vAlign w:val="center"/>
          </w:tcPr>
          <w:p w14:paraId="647A4BE8" w14:textId="77777777" w:rsidR="003A71DE" w:rsidRPr="00AA3B6F" w:rsidRDefault="003A71DE" w:rsidP="003A71DE">
            <w:pPr>
              <w:pStyle w:val="TAC"/>
              <w:rPr>
                <w:rFonts w:cs="Arial"/>
                <w:szCs w:val="18"/>
              </w:rPr>
            </w:pPr>
            <w:r w:rsidRPr="00AA3B6F">
              <w:rPr>
                <w:rFonts w:cs="Arial"/>
                <w:szCs w:val="18"/>
              </w:rPr>
              <w:t>AoA setup as defined in clause G.1.8</w:t>
            </w:r>
          </w:p>
        </w:tc>
      </w:tr>
      <w:tr w:rsidR="003A71DE" w:rsidRPr="00AA3B6F" w14:paraId="1717CDA1" w14:textId="77777777" w:rsidTr="003A71DE">
        <w:trPr>
          <w:cantSplit/>
          <w:trHeight w:val="199"/>
          <w:jc w:val="center"/>
        </w:trPr>
        <w:tc>
          <w:tcPr>
            <w:tcW w:w="3397" w:type="dxa"/>
            <w:gridSpan w:val="2"/>
            <w:tcBorders>
              <w:top w:val="nil"/>
            </w:tcBorders>
            <w:shd w:val="clear" w:color="auto" w:fill="auto"/>
          </w:tcPr>
          <w:p w14:paraId="33C7AB4D" w14:textId="77777777" w:rsidR="003A71DE" w:rsidRPr="00AA3B6F" w:rsidRDefault="003A71DE" w:rsidP="003A71DE">
            <w:pPr>
              <w:pStyle w:val="TAL"/>
              <w:rPr>
                <w:rFonts w:cs="Arial"/>
                <w:szCs w:val="18"/>
              </w:rPr>
            </w:pPr>
          </w:p>
        </w:tc>
        <w:tc>
          <w:tcPr>
            <w:tcW w:w="758" w:type="dxa"/>
            <w:tcBorders>
              <w:top w:val="nil"/>
            </w:tcBorders>
            <w:shd w:val="clear" w:color="auto" w:fill="auto"/>
          </w:tcPr>
          <w:p w14:paraId="0E0366B8" w14:textId="77777777" w:rsidR="003A71DE" w:rsidRPr="00AA3B6F" w:rsidRDefault="003A71DE" w:rsidP="003A71DE">
            <w:pPr>
              <w:pStyle w:val="TAC"/>
              <w:rPr>
                <w:rFonts w:cs="Arial"/>
                <w:szCs w:val="18"/>
              </w:rPr>
            </w:pPr>
          </w:p>
        </w:tc>
        <w:tc>
          <w:tcPr>
            <w:tcW w:w="3700" w:type="dxa"/>
            <w:gridSpan w:val="5"/>
            <w:vAlign w:val="center"/>
          </w:tcPr>
          <w:p w14:paraId="338847BC" w14:textId="77777777" w:rsidR="003A71DE" w:rsidRPr="00AA3B6F" w:rsidRDefault="003A71DE" w:rsidP="003A71DE">
            <w:pPr>
              <w:pStyle w:val="TAC"/>
              <w:rPr>
                <w:rFonts w:cs="Arial"/>
                <w:b/>
                <w:szCs w:val="18"/>
              </w:rPr>
            </w:pPr>
            <w:r w:rsidRPr="00AA3B6F">
              <w:rPr>
                <w:rFonts w:cs="Arial"/>
                <w:b/>
                <w:szCs w:val="18"/>
              </w:rPr>
              <w:t>AoA1</w:t>
            </w:r>
          </w:p>
        </w:tc>
        <w:tc>
          <w:tcPr>
            <w:tcW w:w="3339" w:type="dxa"/>
            <w:gridSpan w:val="5"/>
            <w:vAlign w:val="center"/>
          </w:tcPr>
          <w:p w14:paraId="0E34B531" w14:textId="77777777" w:rsidR="003A71DE" w:rsidRPr="00AA3B6F" w:rsidRDefault="003A71DE" w:rsidP="003A71DE">
            <w:pPr>
              <w:pStyle w:val="TAC"/>
              <w:rPr>
                <w:rFonts w:cs="Arial"/>
                <w:b/>
                <w:szCs w:val="18"/>
              </w:rPr>
            </w:pPr>
            <w:r w:rsidRPr="00AA3B6F">
              <w:rPr>
                <w:rFonts w:cs="Arial"/>
                <w:b/>
                <w:szCs w:val="18"/>
              </w:rPr>
              <w:t>AoA2</w:t>
            </w:r>
          </w:p>
        </w:tc>
      </w:tr>
      <w:tr w:rsidR="003A71DE" w:rsidRPr="00AA3B6F" w14:paraId="2EDAEB0D" w14:textId="77777777" w:rsidTr="003A71DE">
        <w:trPr>
          <w:cantSplit/>
          <w:trHeight w:val="199"/>
          <w:jc w:val="center"/>
        </w:trPr>
        <w:tc>
          <w:tcPr>
            <w:tcW w:w="3397" w:type="dxa"/>
            <w:gridSpan w:val="2"/>
          </w:tcPr>
          <w:p w14:paraId="07384F24" w14:textId="77777777" w:rsidR="003A71DE" w:rsidRPr="00AA3B6F" w:rsidRDefault="003A71DE" w:rsidP="003A71DE">
            <w:pPr>
              <w:pStyle w:val="TAL"/>
              <w:rPr>
                <w:rFonts w:cs="Arial"/>
                <w:szCs w:val="18"/>
              </w:rPr>
            </w:pPr>
            <w:r w:rsidRPr="00AA3B6F">
              <w:rPr>
                <w:rFonts w:cs="Arial"/>
                <w:szCs w:val="18"/>
              </w:rPr>
              <w:t>Assumption for IAB-MT beams</w:t>
            </w:r>
            <w:r w:rsidRPr="00AA3B6F">
              <w:rPr>
                <w:rFonts w:cs="Arial"/>
                <w:szCs w:val="18"/>
                <w:vertAlign w:val="superscript"/>
              </w:rPr>
              <w:t>Note 8</w:t>
            </w:r>
          </w:p>
        </w:tc>
        <w:tc>
          <w:tcPr>
            <w:tcW w:w="758" w:type="dxa"/>
          </w:tcPr>
          <w:p w14:paraId="1640CDA8" w14:textId="77777777" w:rsidR="003A71DE" w:rsidRPr="00AA3B6F" w:rsidRDefault="003A71DE" w:rsidP="003A71DE">
            <w:pPr>
              <w:pStyle w:val="TAC"/>
              <w:rPr>
                <w:rFonts w:cs="Arial"/>
                <w:szCs w:val="18"/>
              </w:rPr>
            </w:pPr>
          </w:p>
        </w:tc>
        <w:tc>
          <w:tcPr>
            <w:tcW w:w="3700" w:type="dxa"/>
            <w:gridSpan w:val="5"/>
          </w:tcPr>
          <w:p w14:paraId="4F1E54A3" w14:textId="77777777" w:rsidR="003A71DE" w:rsidRPr="00AA3B6F" w:rsidRDefault="003A71DE" w:rsidP="003A71DE">
            <w:pPr>
              <w:pStyle w:val="TAC"/>
              <w:rPr>
                <w:rFonts w:cs="Arial"/>
                <w:b/>
                <w:szCs w:val="18"/>
              </w:rPr>
            </w:pPr>
            <w:r w:rsidRPr="00AA3B6F">
              <w:rPr>
                <w:rFonts w:cs="Arial"/>
                <w:szCs w:val="18"/>
              </w:rPr>
              <w:t>Rough</w:t>
            </w:r>
          </w:p>
        </w:tc>
        <w:tc>
          <w:tcPr>
            <w:tcW w:w="3339" w:type="dxa"/>
            <w:gridSpan w:val="5"/>
            <w:tcBorders>
              <w:bottom w:val="single" w:sz="4" w:space="0" w:color="auto"/>
            </w:tcBorders>
          </w:tcPr>
          <w:p w14:paraId="59A1CA4E" w14:textId="77777777" w:rsidR="003A71DE" w:rsidRPr="00AA3B6F" w:rsidRDefault="003A71DE" w:rsidP="003A71DE">
            <w:pPr>
              <w:pStyle w:val="TAC"/>
              <w:rPr>
                <w:rFonts w:cs="Arial"/>
                <w:b/>
                <w:szCs w:val="18"/>
              </w:rPr>
            </w:pPr>
            <w:r w:rsidRPr="00AA3B6F">
              <w:rPr>
                <w:rFonts w:cs="Arial"/>
                <w:szCs w:val="18"/>
              </w:rPr>
              <w:t>Rough</w:t>
            </w:r>
          </w:p>
        </w:tc>
      </w:tr>
      <w:tr w:rsidR="003A71DE" w:rsidRPr="00AA3B6F" w14:paraId="3911BB12" w14:textId="77777777" w:rsidTr="003A71DE">
        <w:trPr>
          <w:cantSplit/>
          <w:trHeight w:val="136"/>
          <w:jc w:val="center"/>
        </w:trPr>
        <w:tc>
          <w:tcPr>
            <w:tcW w:w="3397" w:type="dxa"/>
            <w:gridSpan w:val="2"/>
            <w:tcBorders>
              <w:left w:val="single" w:sz="4" w:space="0" w:color="auto"/>
              <w:bottom w:val="single" w:sz="4" w:space="0" w:color="auto"/>
            </w:tcBorders>
          </w:tcPr>
          <w:p w14:paraId="1F782DF6" w14:textId="77777777" w:rsidR="003A71DE" w:rsidRPr="00AA3B6F" w:rsidRDefault="003A71DE" w:rsidP="003A71DE">
            <w:pPr>
              <w:pStyle w:val="TAL"/>
              <w:rPr>
                <w:rFonts w:cs="Arial"/>
                <w:szCs w:val="18"/>
              </w:rPr>
            </w:pPr>
            <w:r w:rsidRPr="00AA3B6F">
              <w:rPr>
                <w:rFonts w:cs="Arial"/>
                <w:szCs w:val="18"/>
              </w:rPr>
              <w:t>PDCCH_beta</w:t>
            </w:r>
          </w:p>
        </w:tc>
        <w:tc>
          <w:tcPr>
            <w:tcW w:w="758" w:type="dxa"/>
            <w:tcBorders>
              <w:bottom w:val="single" w:sz="4" w:space="0" w:color="auto"/>
            </w:tcBorders>
          </w:tcPr>
          <w:p w14:paraId="608800D8"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bottom w:val="single" w:sz="4" w:space="0" w:color="auto"/>
            </w:tcBorders>
          </w:tcPr>
          <w:p w14:paraId="5C954D70" w14:textId="77777777" w:rsidR="003A71DE" w:rsidRPr="00AA3B6F" w:rsidRDefault="003A71DE" w:rsidP="003A71DE">
            <w:pPr>
              <w:pStyle w:val="TAC"/>
              <w:rPr>
                <w:rFonts w:cs="Arial"/>
                <w:szCs w:val="18"/>
              </w:rPr>
            </w:pPr>
            <w:r w:rsidRPr="00AA3B6F">
              <w:rPr>
                <w:rFonts w:cs="Arial"/>
                <w:szCs w:val="18"/>
              </w:rPr>
              <w:t>4</w:t>
            </w:r>
          </w:p>
        </w:tc>
        <w:tc>
          <w:tcPr>
            <w:tcW w:w="3339" w:type="dxa"/>
            <w:gridSpan w:val="5"/>
            <w:tcBorders>
              <w:bottom w:val="nil"/>
            </w:tcBorders>
            <w:shd w:val="clear" w:color="auto" w:fill="auto"/>
          </w:tcPr>
          <w:p w14:paraId="66C89BE6" w14:textId="77777777" w:rsidR="003A71DE" w:rsidRPr="00AA3B6F" w:rsidRDefault="003A71DE" w:rsidP="003A71DE">
            <w:pPr>
              <w:pStyle w:val="TAC"/>
              <w:rPr>
                <w:rFonts w:cs="Arial"/>
                <w:szCs w:val="18"/>
              </w:rPr>
            </w:pPr>
            <w:r w:rsidRPr="00AA3B6F">
              <w:rPr>
                <w:rFonts w:cs="Arial"/>
                <w:szCs w:val="18"/>
              </w:rPr>
              <w:t>Not sent</w:t>
            </w:r>
          </w:p>
        </w:tc>
      </w:tr>
      <w:tr w:rsidR="003A71DE" w:rsidRPr="00AA3B6F" w14:paraId="6A991317" w14:textId="77777777" w:rsidTr="003A71DE">
        <w:trPr>
          <w:cantSplit/>
          <w:trHeight w:val="136"/>
          <w:jc w:val="center"/>
        </w:trPr>
        <w:tc>
          <w:tcPr>
            <w:tcW w:w="3397" w:type="dxa"/>
            <w:gridSpan w:val="2"/>
            <w:tcBorders>
              <w:left w:val="single" w:sz="4" w:space="0" w:color="auto"/>
              <w:bottom w:val="single" w:sz="4" w:space="0" w:color="auto"/>
            </w:tcBorders>
          </w:tcPr>
          <w:p w14:paraId="78426652" w14:textId="77777777" w:rsidR="003A71DE" w:rsidRPr="00AA3B6F" w:rsidRDefault="003A71DE" w:rsidP="003A71DE">
            <w:pPr>
              <w:pStyle w:val="TAL"/>
              <w:rPr>
                <w:rFonts w:cs="Arial"/>
                <w:szCs w:val="18"/>
                <w:lang w:eastAsia="ja-JP"/>
              </w:rPr>
            </w:pPr>
            <w:r w:rsidRPr="00AA3B6F">
              <w:rPr>
                <w:rFonts w:cs="Arial"/>
                <w:szCs w:val="18"/>
              </w:rPr>
              <w:t>PDCCH_DMRS_beta</w:t>
            </w:r>
          </w:p>
        </w:tc>
        <w:tc>
          <w:tcPr>
            <w:tcW w:w="758" w:type="dxa"/>
            <w:tcBorders>
              <w:bottom w:val="single" w:sz="4" w:space="0" w:color="auto"/>
            </w:tcBorders>
          </w:tcPr>
          <w:p w14:paraId="265C4E41"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bottom w:val="single" w:sz="4" w:space="0" w:color="auto"/>
            </w:tcBorders>
          </w:tcPr>
          <w:p w14:paraId="3E32CDD5" w14:textId="77777777" w:rsidR="003A71DE" w:rsidRPr="00AA3B6F" w:rsidRDefault="003A71DE" w:rsidP="003A71DE">
            <w:pPr>
              <w:pStyle w:val="TAC"/>
              <w:rPr>
                <w:rFonts w:cs="Arial"/>
                <w:szCs w:val="18"/>
              </w:rPr>
            </w:pPr>
            <w:r w:rsidRPr="00AA3B6F">
              <w:rPr>
                <w:rFonts w:cs="Arial"/>
                <w:szCs w:val="18"/>
              </w:rPr>
              <w:t>4</w:t>
            </w:r>
          </w:p>
        </w:tc>
        <w:tc>
          <w:tcPr>
            <w:tcW w:w="3339" w:type="dxa"/>
            <w:gridSpan w:val="5"/>
            <w:tcBorders>
              <w:top w:val="nil"/>
              <w:bottom w:val="nil"/>
            </w:tcBorders>
            <w:shd w:val="clear" w:color="auto" w:fill="auto"/>
          </w:tcPr>
          <w:p w14:paraId="3E0F4363" w14:textId="77777777" w:rsidR="003A71DE" w:rsidRPr="00AA3B6F" w:rsidRDefault="003A71DE" w:rsidP="003A71DE">
            <w:pPr>
              <w:pStyle w:val="TAC"/>
              <w:rPr>
                <w:rFonts w:cs="Arial"/>
                <w:szCs w:val="18"/>
              </w:rPr>
            </w:pPr>
          </w:p>
        </w:tc>
      </w:tr>
      <w:tr w:rsidR="003A71DE" w:rsidRPr="00AA3B6F" w14:paraId="3D8D665F" w14:textId="77777777" w:rsidTr="003A71DE">
        <w:trPr>
          <w:cantSplit/>
          <w:trHeight w:val="145"/>
          <w:jc w:val="center"/>
        </w:trPr>
        <w:tc>
          <w:tcPr>
            <w:tcW w:w="3397" w:type="dxa"/>
            <w:gridSpan w:val="2"/>
            <w:tcBorders>
              <w:left w:val="single" w:sz="4" w:space="0" w:color="auto"/>
              <w:bottom w:val="single" w:sz="4" w:space="0" w:color="auto"/>
            </w:tcBorders>
          </w:tcPr>
          <w:p w14:paraId="0D7E494D" w14:textId="77777777" w:rsidR="003A71DE" w:rsidRPr="00AA3B6F" w:rsidRDefault="003A71DE" w:rsidP="003A71DE">
            <w:pPr>
              <w:pStyle w:val="TAL"/>
              <w:rPr>
                <w:rFonts w:cs="Arial"/>
                <w:szCs w:val="18"/>
              </w:rPr>
            </w:pPr>
            <w:r w:rsidRPr="00AA3B6F">
              <w:rPr>
                <w:rFonts w:cs="Arial"/>
                <w:szCs w:val="18"/>
              </w:rPr>
              <w:t>PBCH_beta</w:t>
            </w:r>
          </w:p>
        </w:tc>
        <w:tc>
          <w:tcPr>
            <w:tcW w:w="758" w:type="dxa"/>
            <w:tcBorders>
              <w:bottom w:val="single" w:sz="4" w:space="0" w:color="auto"/>
            </w:tcBorders>
          </w:tcPr>
          <w:p w14:paraId="40CED0AF"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bottom w:val="nil"/>
            </w:tcBorders>
            <w:shd w:val="clear" w:color="auto" w:fill="auto"/>
          </w:tcPr>
          <w:p w14:paraId="5928AEE0" w14:textId="77777777" w:rsidR="003A71DE" w:rsidRPr="00AA3B6F" w:rsidRDefault="003A71DE" w:rsidP="003A71DE">
            <w:pPr>
              <w:pStyle w:val="TAC"/>
              <w:rPr>
                <w:rFonts w:cs="Arial"/>
                <w:szCs w:val="18"/>
              </w:rPr>
            </w:pPr>
            <w:r w:rsidRPr="00AA3B6F">
              <w:rPr>
                <w:rFonts w:cs="Arial"/>
                <w:szCs w:val="18"/>
              </w:rPr>
              <w:t>0</w:t>
            </w:r>
          </w:p>
        </w:tc>
        <w:tc>
          <w:tcPr>
            <w:tcW w:w="3339" w:type="dxa"/>
            <w:gridSpan w:val="5"/>
            <w:tcBorders>
              <w:top w:val="nil"/>
              <w:bottom w:val="nil"/>
            </w:tcBorders>
            <w:shd w:val="clear" w:color="auto" w:fill="auto"/>
          </w:tcPr>
          <w:p w14:paraId="08C9B766" w14:textId="77777777" w:rsidR="003A71DE" w:rsidRPr="00AA3B6F" w:rsidRDefault="003A71DE" w:rsidP="003A71DE">
            <w:pPr>
              <w:pStyle w:val="TAC"/>
              <w:rPr>
                <w:rFonts w:cs="Arial"/>
                <w:szCs w:val="18"/>
              </w:rPr>
            </w:pPr>
          </w:p>
        </w:tc>
      </w:tr>
      <w:tr w:rsidR="003A71DE" w:rsidRPr="00AA3B6F" w14:paraId="4011A456" w14:textId="77777777" w:rsidTr="003A71DE">
        <w:trPr>
          <w:cantSplit/>
          <w:trHeight w:val="136"/>
          <w:jc w:val="center"/>
        </w:trPr>
        <w:tc>
          <w:tcPr>
            <w:tcW w:w="3397" w:type="dxa"/>
            <w:gridSpan w:val="2"/>
            <w:tcBorders>
              <w:left w:val="single" w:sz="4" w:space="0" w:color="auto"/>
              <w:bottom w:val="single" w:sz="4" w:space="0" w:color="auto"/>
            </w:tcBorders>
          </w:tcPr>
          <w:p w14:paraId="749D2BB1" w14:textId="77777777" w:rsidR="003A71DE" w:rsidRPr="00AA3B6F" w:rsidRDefault="003A71DE" w:rsidP="003A71DE">
            <w:pPr>
              <w:pStyle w:val="TAL"/>
              <w:rPr>
                <w:rFonts w:cs="Arial"/>
                <w:szCs w:val="18"/>
              </w:rPr>
            </w:pPr>
            <w:r w:rsidRPr="00AA3B6F">
              <w:rPr>
                <w:rFonts w:cs="Arial"/>
                <w:szCs w:val="18"/>
              </w:rPr>
              <w:t>PSS_beta</w:t>
            </w:r>
          </w:p>
        </w:tc>
        <w:tc>
          <w:tcPr>
            <w:tcW w:w="758" w:type="dxa"/>
            <w:tcBorders>
              <w:bottom w:val="single" w:sz="4" w:space="0" w:color="auto"/>
            </w:tcBorders>
          </w:tcPr>
          <w:p w14:paraId="4CA215B1"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top w:val="nil"/>
              <w:bottom w:val="nil"/>
            </w:tcBorders>
            <w:shd w:val="clear" w:color="auto" w:fill="auto"/>
          </w:tcPr>
          <w:p w14:paraId="012712D4" w14:textId="77777777" w:rsidR="003A71DE" w:rsidRPr="00AA3B6F" w:rsidRDefault="003A71DE" w:rsidP="003A71DE">
            <w:pPr>
              <w:pStyle w:val="TAC"/>
              <w:rPr>
                <w:rFonts w:cs="Arial"/>
                <w:szCs w:val="18"/>
              </w:rPr>
            </w:pPr>
          </w:p>
        </w:tc>
        <w:tc>
          <w:tcPr>
            <w:tcW w:w="3339" w:type="dxa"/>
            <w:gridSpan w:val="5"/>
            <w:tcBorders>
              <w:top w:val="nil"/>
              <w:bottom w:val="nil"/>
            </w:tcBorders>
            <w:shd w:val="clear" w:color="auto" w:fill="auto"/>
          </w:tcPr>
          <w:p w14:paraId="5309F53A" w14:textId="77777777" w:rsidR="003A71DE" w:rsidRPr="00AA3B6F" w:rsidRDefault="003A71DE" w:rsidP="003A71DE">
            <w:pPr>
              <w:pStyle w:val="TAC"/>
              <w:rPr>
                <w:rFonts w:cs="Arial"/>
                <w:szCs w:val="18"/>
              </w:rPr>
            </w:pPr>
          </w:p>
        </w:tc>
      </w:tr>
      <w:tr w:rsidR="003A71DE" w:rsidRPr="00AA3B6F" w14:paraId="7A146289" w14:textId="77777777" w:rsidTr="003A71DE">
        <w:trPr>
          <w:cantSplit/>
          <w:trHeight w:val="136"/>
          <w:jc w:val="center"/>
        </w:trPr>
        <w:tc>
          <w:tcPr>
            <w:tcW w:w="3397" w:type="dxa"/>
            <w:gridSpan w:val="2"/>
            <w:tcBorders>
              <w:left w:val="single" w:sz="4" w:space="0" w:color="auto"/>
              <w:bottom w:val="single" w:sz="4" w:space="0" w:color="auto"/>
            </w:tcBorders>
          </w:tcPr>
          <w:p w14:paraId="7FDA5C9E" w14:textId="77777777" w:rsidR="003A71DE" w:rsidRPr="00AA3B6F" w:rsidRDefault="003A71DE" w:rsidP="003A71DE">
            <w:pPr>
              <w:pStyle w:val="TAL"/>
              <w:rPr>
                <w:rFonts w:cs="Arial"/>
                <w:szCs w:val="18"/>
              </w:rPr>
            </w:pPr>
            <w:r w:rsidRPr="00AA3B6F">
              <w:rPr>
                <w:rFonts w:cs="Arial"/>
                <w:szCs w:val="18"/>
              </w:rPr>
              <w:t>SSS_beta</w:t>
            </w:r>
          </w:p>
        </w:tc>
        <w:tc>
          <w:tcPr>
            <w:tcW w:w="758" w:type="dxa"/>
            <w:tcBorders>
              <w:bottom w:val="single" w:sz="4" w:space="0" w:color="auto"/>
            </w:tcBorders>
          </w:tcPr>
          <w:p w14:paraId="77201062"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top w:val="nil"/>
              <w:bottom w:val="nil"/>
            </w:tcBorders>
            <w:shd w:val="clear" w:color="auto" w:fill="auto"/>
          </w:tcPr>
          <w:p w14:paraId="24216A87" w14:textId="77777777" w:rsidR="003A71DE" w:rsidRPr="00AA3B6F" w:rsidRDefault="003A71DE" w:rsidP="003A71DE">
            <w:pPr>
              <w:pStyle w:val="TAC"/>
              <w:rPr>
                <w:rFonts w:cs="Arial"/>
                <w:szCs w:val="18"/>
              </w:rPr>
            </w:pPr>
          </w:p>
        </w:tc>
        <w:tc>
          <w:tcPr>
            <w:tcW w:w="3339" w:type="dxa"/>
            <w:gridSpan w:val="5"/>
            <w:tcBorders>
              <w:top w:val="nil"/>
              <w:bottom w:val="nil"/>
            </w:tcBorders>
            <w:shd w:val="clear" w:color="auto" w:fill="auto"/>
          </w:tcPr>
          <w:p w14:paraId="31007850" w14:textId="77777777" w:rsidR="003A71DE" w:rsidRPr="00AA3B6F" w:rsidRDefault="003A71DE" w:rsidP="003A71DE">
            <w:pPr>
              <w:pStyle w:val="TAC"/>
              <w:rPr>
                <w:rFonts w:cs="Arial"/>
                <w:szCs w:val="18"/>
              </w:rPr>
            </w:pPr>
          </w:p>
        </w:tc>
      </w:tr>
      <w:tr w:rsidR="003A71DE" w:rsidRPr="00AA3B6F" w14:paraId="3366BF43" w14:textId="77777777" w:rsidTr="003A71DE">
        <w:trPr>
          <w:cantSplit/>
          <w:trHeight w:val="136"/>
          <w:jc w:val="center"/>
        </w:trPr>
        <w:tc>
          <w:tcPr>
            <w:tcW w:w="3397" w:type="dxa"/>
            <w:gridSpan w:val="2"/>
            <w:tcBorders>
              <w:left w:val="single" w:sz="4" w:space="0" w:color="auto"/>
              <w:bottom w:val="single" w:sz="4" w:space="0" w:color="auto"/>
            </w:tcBorders>
          </w:tcPr>
          <w:p w14:paraId="7B151AED" w14:textId="77777777" w:rsidR="003A71DE" w:rsidRPr="00AA3B6F" w:rsidRDefault="003A71DE" w:rsidP="003A71DE">
            <w:pPr>
              <w:pStyle w:val="TAL"/>
              <w:rPr>
                <w:rFonts w:cs="Arial"/>
                <w:szCs w:val="18"/>
              </w:rPr>
            </w:pPr>
            <w:r w:rsidRPr="00AA3B6F">
              <w:rPr>
                <w:rFonts w:cs="Arial"/>
                <w:szCs w:val="18"/>
              </w:rPr>
              <w:t>PDSCH_beta</w:t>
            </w:r>
          </w:p>
        </w:tc>
        <w:tc>
          <w:tcPr>
            <w:tcW w:w="758" w:type="dxa"/>
            <w:tcBorders>
              <w:bottom w:val="single" w:sz="4" w:space="0" w:color="auto"/>
            </w:tcBorders>
          </w:tcPr>
          <w:p w14:paraId="73B6EB5C"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top w:val="nil"/>
              <w:bottom w:val="nil"/>
            </w:tcBorders>
            <w:shd w:val="clear" w:color="auto" w:fill="auto"/>
          </w:tcPr>
          <w:p w14:paraId="4B700C9A" w14:textId="77777777" w:rsidR="003A71DE" w:rsidRPr="00AA3B6F" w:rsidRDefault="003A71DE" w:rsidP="003A71DE">
            <w:pPr>
              <w:pStyle w:val="TAC"/>
              <w:rPr>
                <w:rFonts w:cs="Arial"/>
                <w:szCs w:val="18"/>
              </w:rPr>
            </w:pPr>
          </w:p>
        </w:tc>
        <w:tc>
          <w:tcPr>
            <w:tcW w:w="3339" w:type="dxa"/>
            <w:gridSpan w:val="5"/>
            <w:tcBorders>
              <w:top w:val="nil"/>
              <w:bottom w:val="nil"/>
            </w:tcBorders>
            <w:shd w:val="clear" w:color="auto" w:fill="auto"/>
          </w:tcPr>
          <w:p w14:paraId="24A0443E" w14:textId="77777777" w:rsidR="003A71DE" w:rsidRPr="00AA3B6F" w:rsidRDefault="003A71DE" w:rsidP="003A71DE">
            <w:pPr>
              <w:pStyle w:val="TAC"/>
              <w:rPr>
                <w:rFonts w:cs="Arial"/>
                <w:szCs w:val="18"/>
              </w:rPr>
            </w:pPr>
          </w:p>
        </w:tc>
      </w:tr>
      <w:tr w:rsidR="003A71DE" w:rsidRPr="00AA3B6F" w14:paraId="68DB0171" w14:textId="77777777" w:rsidTr="003A71DE">
        <w:trPr>
          <w:cantSplit/>
          <w:trHeight w:val="136"/>
          <w:jc w:val="center"/>
        </w:trPr>
        <w:tc>
          <w:tcPr>
            <w:tcW w:w="3397" w:type="dxa"/>
            <w:gridSpan w:val="2"/>
            <w:tcBorders>
              <w:left w:val="single" w:sz="4" w:space="0" w:color="auto"/>
              <w:bottom w:val="single" w:sz="4" w:space="0" w:color="auto"/>
            </w:tcBorders>
            <w:vAlign w:val="center"/>
          </w:tcPr>
          <w:p w14:paraId="07C444C9" w14:textId="77777777" w:rsidR="003A71DE" w:rsidRPr="00AA3B6F" w:rsidRDefault="003A71DE" w:rsidP="003A71DE">
            <w:pPr>
              <w:pStyle w:val="TAL"/>
              <w:rPr>
                <w:rFonts w:cs="Arial"/>
                <w:szCs w:val="18"/>
              </w:rPr>
            </w:pPr>
            <w:r w:rsidRPr="00AA3B6F">
              <w:rPr>
                <w:rFonts w:cs="Arial"/>
                <w:szCs w:val="18"/>
              </w:rPr>
              <w:t>OCNG_beta</w:t>
            </w:r>
          </w:p>
        </w:tc>
        <w:tc>
          <w:tcPr>
            <w:tcW w:w="758" w:type="dxa"/>
            <w:tcBorders>
              <w:bottom w:val="single" w:sz="4" w:space="0" w:color="auto"/>
            </w:tcBorders>
          </w:tcPr>
          <w:p w14:paraId="0F8F8586" w14:textId="77777777" w:rsidR="003A71DE" w:rsidRPr="00AA3B6F" w:rsidRDefault="003A71DE" w:rsidP="003A71DE">
            <w:pPr>
              <w:pStyle w:val="TAC"/>
              <w:rPr>
                <w:rFonts w:cs="Arial"/>
                <w:szCs w:val="18"/>
              </w:rPr>
            </w:pPr>
            <w:r w:rsidRPr="00AA3B6F">
              <w:rPr>
                <w:rFonts w:cs="Arial"/>
                <w:szCs w:val="18"/>
              </w:rPr>
              <w:t>dB</w:t>
            </w:r>
          </w:p>
        </w:tc>
        <w:tc>
          <w:tcPr>
            <w:tcW w:w="3700" w:type="dxa"/>
            <w:gridSpan w:val="5"/>
            <w:tcBorders>
              <w:top w:val="nil"/>
              <w:bottom w:val="single" w:sz="4" w:space="0" w:color="auto"/>
            </w:tcBorders>
            <w:shd w:val="clear" w:color="auto" w:fill="auto"/>
          </w:tcPr>
          <w:p w14:paraId="1002297E" w14:textId="77777777" w:rsidR="003A71DE" w:rsidRPr="00AA3B6F" w:rsidRDefault="003A71DE" w:rsidP="003A71DE">
            <w:pPr>
              <w:pStyle w:val="TAC"/>
              <w:rPr>
                <w:rFonts w:cs="Arial"/>
                <w:szCs w:val="18"/>
              </w:rPr>
            </w:pPr>
          </w:p>
        </w:tc>
        <w:tc>
          <w:tcPr>
            <w:tcW w:w="3339" w:type="dxa"/>
            <w:gridSpan w:val="5"/>
            <w:tcBorders>
              <w:top w:val="nil"/>
              <w:bottom w:val="nil"/>
            </w:tcBorders>
            <w:shd w:val="clear" w:color="auto" w:fill="auto"/>
          </w:tcPr>
          <w:p w14:paraId="3DFE8903" w14:textId="77777777" w:rsidR="003A71DE" w:rsidRPr="00AA3B6F" w:rsidRDefault="003A71DE" w:rsidP="003A71DE">
            <w:pPr>
              <w:pStyle w:val="TAC"/>
              <w:rPr>
                <w:rFonts w:cs="Arial"/>
                <w:szCs w:val="18"/>
              </w:rPr>
            </w:pPr>
          </w:p>
        </w:tc>
      </w:tr>
      <w:tr w:rsidR="003A71DE" w:rsidRPr="00AA3B6F" w14:paraId="67B2121A" w14:textId="77777777" w:rsidTr="003A71DE">
        <w:trPr>
          <w:cantSplit/>
          <w:trHeight w:val="149"/>
          <w:jc w:val="center"/>
        </w:trPr>
        <w:tc>
          <w:tcPr>
            <w:tcW w:w="2263" w:type="dxa"/>
          </w:tcPr>
          <w:p w14:paraId="34D34596" w14:textId="77777777" w:rsidR="003A71DE" w:rsidRPr="00AA3B6F" w:rsidRDefault="003A71DE" w:rsidP="003A71DE">
            <w:pPr>
              <w:pStyle w:val="TAL"/>
              <w:rPr>
                <w:rFonts w:cs="Arial"/>
                <w:szCs w:val="18"/>
              </w:rPr>
            </w:pPr>
            <w:r w:rsidRPr="00AA3B6F">
              <w:rPr>
                <w:rFonts w:cs="Arial"/>
                <w:szCs w:val="18"/>
              </w:rPr>
              <w:t>SNR on RLM-RS1</w:t>
            </w:r>
          </w:p>
        </w:tc>
        <w:tc>
          <w:tcPr>
            <w:tcW w:w="1134" w:type="dxa"/>
          </w:tcPr>
          <w:p w14:paraId="282156CC" w14:textId="77777777" w:rsidR="003A71DE" w:rsidRPr="00AA3B6F" w:rsidRDefault="003A71DE" w:rsidP="003A71DE">
            <w:pPr>
              <w:pStyle w:val="TAL"/>
              <w:rPr>
                <w:rFonts w:cs="Arial"/>
                <w:noProof/>
                <w:szCs w:val="18"/>
              </w:rPr>
            </w:pPr>
            <w:r w:rsidRPr="00AA3B6F">
              <w:rPr>
                <w:rFonts w:cs="Arial"/>
                <w:noProof/>
                <w:szCs w:val="18"/>
              </w:rPr>
              <w:t>Config 1</w:t>
            </w:r>
          </w:p>
        </w:tc>
        <w:tc>
          <w:tcPr>
            <w:tcW w:w="758" w:type="dxa"/>
          </w:tcPr>
          <w:p w14:paraId="220B98A4" w14:textId="77777777" w:rsidR="003A71DE" w:rsidRPr="00AA3B6F" w:rsidRDefault="003A71DE" w:rsidP="003A71DE">
            <w:pPr>
              <w:pStyle w:val="TAC"/>
              <w:rPr>
                <w:rFonts w:cs="Arial"/>
                <w:szCs w:val="18"/>
              </w:rPr>
            </w:pPr>
            <w:r w:rsidRPr="00AA3B6F">
              <w:rPr>
                <w:rFonts w:cs="Arial"/>
                <w:szCs w:val="18"/>
              </w:rPr>
              <w:t>dB</w:t>
            </w:r>
          </w:p>
        </w:tc>
        <w:tc>
          <w:tcPr>
            <w:tcW w:w="740" w:type="dxa"/>
          </w:tcPr>
          <w:p w14:paraId="31EB9ED3" w14:textId="77777777" w:rsidR="003A71DE" w:rsidRPr="00AA3B6F" w:rsidRDefault="003A71DE" w:rsidP="003A71DE">
            <w:pPr>
              <w:pStyle w:val="TAC"/>
              <w:rPr>
                <w:rFonts w:cs="Arial"/>
                <w:szCs w:val="18"/>
              </w:rPr>
            </w:pPr>
            <w:r w:rsidRPr="00AA3B6F">
              <w:rPr>
                <w:rFonts w:cs="Arial"/>
                <w:szCs w:val="18"/>
              </w:rPr>
              <w:t>2</w:t>
            </w:r>
            <w:r w:rsidRPr="00AA3B6F">
              <w:rPr>
                <w:rFonts w:cs="Arial"/>
                <w:szCs w:val="18"/>
                <w:vertAlign w:val="superscript"/>
              </w:rPr>
              <w:t>Note 9</w:t>
            </w:r>
          </w:p>
        </w:tc>
        <w:tc>
          <w:tcPr>
            <w:tcW w:w="912" w:type="dxa"/>
          </w:tcPr>
          <w:p w14:paraId="3738D6ED" w14:textId="77777777" w:rsidR="003A71DE" w:rsidRPr="00AA3B6F" w:rsidRDefault="003A71DE" w:rsidP="003A71DE">
            <w:pPr>
              <w:pStyle w:val="TAC"/>
              <w:rPr>
                <w:rFonts w:cs="Arial"/>
                <w:szCs w:val="18"/>
              </w:rPr>
            </w:pPr>
            <w:r w:rsidRPr="00AA3B6F">
              <w:rPr>
                <w:rFonts w:cs="Arial"/>
                <w:szCs w:val="18"/>
              </w:rPr>
              <w:t>-6</w:t>
            </w:r>
            <w:r w:rsidRPr="00AA3B6F">
              <w:rPr>
                <w:rFonts w:cs="Arial"/>
                <w:szCs w:val="18"/>
                <w:vertAlign w:val="superscript"/>
              </w:rPr>
              <w:t>Note 9</w:t>
            </w:r>
          </w:p>
        </w:tc>
        <w:tc>
          <w:tcPr>
            <w:tcW w:w="568" w:type="dxa"/>
          </w:tcPr>
          <w:p w14:paraId="1A9A0683" w14:textId="77777777" w:rsidR="003A71DE" w:rsidRPr="00AA3B6F" w:rsidRDefault="003A71DE" w:rsidP="003A71DE">
            <w:pPr>
              <w:pStyle w:val="TAC"/>
              <w:rPr>
                <w:rFonts w:cs="Arial"/>
                <w:szCs w:val="18"/>
              </w:rPr>
            </w:pPr>
            <w:r w:rsidRPr="00AA3B6F">
              <w:rPr>
                <w:rFonts w:cs="Arial"/>
                <w:szCs w:val="18"/>
              </w:rPr>
              <w:t>-15</w:t>
            </w:r>
          </w:p>
        </w:tc>
        <w:tc>
          <w:tcPr>
            <w:tcW w:w="740" w:type="dxa"/>
          </w:tcPr>
          <w:p w14:paraId="21F87CD9" w14:textId="77777777" w:rsidR="003A71DE" w:rsidRPr="00AA3B6F" w:rsidRDefault="003A71DE" w:rsidP="003A71DE">
            <w:pPr>
              <w:pStyle w:val="TAC"/>
              <w:rPr>
                <w:rFonts w:cs="Arial"/>
                <w:szCs w:val="18"/>
              </w:rPr>
            </w:pPr>
            <w:r w:rsidRPr="00AA3B6F">
              <w:rPr>
                <w:rFonts w:cs="Arial"/>
                <w:szCs w:val="18"/>
              </w:rPr>
              <w:t>-4.5</w:t>
            </w:r>
          </w:p>
        </w:tc>
        <w:tc>
          <w:tcPr>
            <w:tcW w:w="740" w:type="dxa"/>
          </w:tcPr>
          <w:p w14:paraId="54DA5F95" w14:textId="77777777" w:rsidR="003A71DE" w:rsidRPr="00AA3B6F" w:rsidRDefault="003A71DE" w:rsidP="003A71DE">
            <w:pPr>
              <w:pStyle w:val="TAC"/>
              <w:rPr>
                <w:rFonts w:cs="Arial"/>
                <w:szCs w:val="18"/>
              </w:rPr>
            </w:pPr>
            <w:r w:rsidRPr="00AA3B6F">
              <w:rPr>
                <w:rFonts w:cs="Arial"/>
                <w:szCs w:val="18"/>
              </w:rPr>
              <w:t>2</w:t>
            </w:r>
            <w:r w:rsidRPr="00AA3B6F">
              <w:rPr>
                <w:rFonts w:cs="Arial"/>
                <w:szCs w:val="18"/>
                <w:vertAlign w:val="superscript"/>
              </w:rPr>
              <w:t>Note 9</w:t>
            </w:r>
          </w:p>
        </w:tc>
        <w:tc>
          <w:tcPr>
            <w:tcW w:w="3339" w:type="dxa"/>
            <w:gridSpan w:val="5"/>
            <w:tcBorders>
              <w:top w:val="nil"/>
            </w:tcBorders>
            <w:shd w:val="clear" w:color="auto" w:fill="auto"/>
          </w:tcPr>
          <w:p w14:paraId="5891AD4C" w14:textId="77777777" w:rsidR="003A71DE" w:rsidRPr="00AA3B6F" w:rsidRDefault="003A71DE" w:rsidP="003A71DE">
            <w:pPr>
              <w:pStyle w:val="TAC"/>
              <w:rPr>
                <w:rFonts w:cs="Arial"/>
                <w:szCs w:val="18"/>
              </w:rPr>
            </w:pPr>
          </w:p>
        </w:tc>
      </w:tr>
      <w:tr w:rsidR="003A71DE" w:rsidRPr="00AA3B6F" w14:paraId="17A65E86" w14:textId="77777777" w:rsidTr="003A71DE">
        <w:trPr>
          <w:cantSplit/>
          <w:trHeight w:val="199"/>
          <w:jc w:val="center"/>
        </w:trPr>
        <w:tc>
          <w:tcPr>
            <w:tcW w:w="2263" w:type="dxa"/>
          </w:tcPr>
          <w:p w14:paraId="356D52F3" w14:textId="77777777" w:rsidR="003A71DE" w:rsidRPr="00AA3B6F" w:rsidRDefault="003A71DE" w:rsidP="003A71DE">
            <w:pPr>
              <w:pStyle w:val="TAL"/>
              <w:rPr>
                <w:rFonts w:eastAsia="?? ??" w:cs="Arial"/>
                <w:szCs w:val="18"/>
              </w:rPr>
            </w:pPr>
            <w:r w:rsidRPr="00AA3B6F">
              <w:rPr>
                <w:rFonts w:cs="Arial"/>
                <w:szCs w:val="18"/>
              </w:rPr>
              <w:t>SNR on RLM-RS2</w:t>
            </w:r>
          </w:p>
        </w:tc>
        <w:tc>
          <w:tcPr>
            <w:tcW w:w="1134" w:type="dxa"/>
          </w:tcPr>
          <w:p w14:paraId="3E141682" w14:textId="77777777" w:rsidR="003A71DE" w:rsidRPr="00AA3B6F" w:rsidRDefault="003A71DE" w:rsidP="003A71DE">
            <w:pPr>
              <w:pStyle w:val="TAL"/>
              <w:rPr>
                <w:rFonts w:cs="Arial"/>
                <w:noProof/>
                <w:szCs w:val="18"/>
              </w:rPr>
            </w:pPr>
            <w:r w:rsidRPr="00AA3B6F">
              <w:rPr>
                <w:rFonts w:cs="Arial"/>
                <w:noProof/>
                <w:szCs w:val="18"/>
              </w:rPr>
              <w:t>Config 1</w:t>
            </w:r>
          </w:p>
        </w:tc>
        <w:tc>
          <w:tcPr>
            <w:tcW w:w="758" w:type="dxa"/>
          </w:tcPr>
          <w:p w14:paraId="23B05816" w14:textId="77777777" w:rsidR="003A71DE" w:rsidRPr="00AA3B6F" w:rsidRDefault="003A71DE" w:rsidP="003A71DE">
            <w:pPr>
              <w:pStyle w:val="TAC"/>
              <w:rPr>
                <w:rFonts w:cs="Arial"/>
                <w:szCs w:val="18"/>
              </w:rPr>
            </w:pPr>
          </w:p>
        </w:tc>
        <w:tc>
          <w:tcPr>
            <w:tcW w:w="3700" w:type="dxa"/>
            <w:gridSpan w:val="5"/>
          </w:tcPr>
          <w:p w14:paraId="3F301C2F" w14:textId="77777777" w:rsidR="003A71DE" w:rsidRPr="00AA3B6F" w:rsidRDefault="003A71DE" w:rsidP="003A71DE">
            <w:pPr>
              <w:pStyle w:val="TAC"/>
              <w:rPr>
                <w:rFonts w:cs="Arial"/>
                <w:szCs w:val="18"/>
              </w:rPr>
            </w:pPr>
            <w:r w:rsidRPr="00AA3B6F">
              <w:rPr>
                <w:rFonts w:cs="Arial"/>
                <w:szCs w:val="18"/>
              </w:rPr>
              <w:t>Not sent</w:t>
            </w:r>
          </w:p>
        </w:tc>
        <w:tc>
          <w:tcPr>
            <w:tcW w:w="740" w:type="dxa"/>
          </w:tcPr>
          <w:p w14:paraId="33B608E6" w14:textId="77777777" w:rsidR="003A71DE" w:rsidRPr="00AA3B6F" w:rsidRDefault="003A71DE" w:rsidP="003A71DE">
            <w:pPr>
              <w:pStyle w:val="TAC"/>
              <w:rPr>
                <w:rFonts w:cs="Arial"/>
                <w:szCs w:val="18"/>
              </w:rPr>
            </w:pPr>
            <w:r w:rsidRPr="00AA3B6F">
              <w:rPr>
                <w:rFonts w:cs="Arial"/>
                <w:szCs w:val="18"/>
              </w:rPr>
              <w:t>2</w:t>
            </w:r>
            <w:r w:rsidRPr="00AA3B6F">
              <w:rPr>
                <w:rFonts w:cs="Arial"/>
                <w:szCs w:val="18"/>
                <w:vertAlign w:val="superscript"/>
              </w:rPr>
              <w:t>Note 9</w:t>
            </w:r>
          </w:p>
        </w:tc>
        <w:tc>
          <w:tcPr>
            <w:tcW w:w="740" w:type="dxa"/>
          </w:tcPr>
          <w:p w14:paraId="69802084" w14:textId="77777777" w:rsidR="003A71DE" w:rsidRPr="00AA3B6F" w:rsidRDefault="003A71DE" w:rsidP="003A71DE">
            <w:pPr>
              <w:pStyle w:val="TAC"/>
              <w:rPr>
                <w:rFonts w:cs="Arial"/>
                <w:szCs w:val="18"/>
              </w:rPr>
            </w:pPr>
            <w:r w:rsidRPr="00AA3B6F">
              <w:rPr>
                <w:rFonts w:cs="Arial"/>
                <w:szCs w:val="18"/>
              </w:rPr>
              <w:t>-14</w:t>
            </w:r>
          </w:p>
        </w:tc>
        <w:tc>
          <w:tcPr>
            <w:tcW w:w="740" w:type="dxa"/>
          </w:tcPr>
          <w:p w14:paraId="736C544C" w14:textId="77777777" w:rsidR="003A71DE" w:rsidRPr="00AA3B6F" w:rsidRDefault="003A71DE" w:rsidP="003A71DE">
            <w:pPr>
              <w:pStyle w:val="TAC"/>
              <w:rPr>
                <w:rFonts w:cs="Arial"/>
                <w:szCs w:val="18"/>
              </w:rPr>
            </w:pPr>
            <w:r w:rsidRPr="00AA3B6F">
              <w:rPr>
                <w:rFonts w:cs="Arial"/>
                <w:szCs w:val="18"/>
              </w:rPr>
              <w:t>-15</w:t>
            </w:r>
          </w:p>
        </w:tc>
        <w:tc>
          <w:tcPr>
            <w:tcW w:w="552" w:type="dxa"/>
          </w:tcPr>
          <w:p w14:paraId="1DEADA7A" w14:textId="77777777" w:rsidR="003A71DE" w:rsidRPr="00AA3B6F" w:rsidRDefault="003A71DE" w:rsidP="003A71DE">
            <w:pPr>
              <w:pStyle w:val="TAC"/>
              <w:rPr>
                <w:rFonts w:cs="Arial"/>
                <w:szCs w:val="18"/>
              </w:rPr>
            </w:pPr>
            <w:r w:rsidRPr="00AA3B6F">
              <w:rPr>
                <w:rFonts w:cs="Arial"/>
                <w:szCs w:val="18"/>
              </w:rPr>
              <w:t>-15</w:t>
            </w:r>
          </w:p>
        </w:tc>
        <w:tc>
          <w:tcPr>
            <w:tcW w:w="567" w:type="dxa"/>
          </w:tcPr>
          <w:p w14:paraId="55CC3F54" w14:textId="77777777" w:rsidR="003A71DE" w:rsidRPr="00AA3B6F" w:rsidRDefault="003A71DE" w:rsidP="003A71DE">
            <w:pPr>
              <w:pStyle w:val="TAC"/>
              <w:rPr>
                <w:rFonts w:cs="Arial"/>
                <w:szCs w:val="18"/>
              </w:rPr>
            </w:pPr>
            <w:r w:rsidRPr="00AA3B6F">
              <w:rPr>
                <w:rFonts w:cs="Arial"/>
                <w:szCs w:val="18"/>
              </w:rPr>
              <w:t>-14</w:t>
            </w:r>
          </w:p>
        </w:tc>
      </w:tr>
      <w:tr w:rsidR="003A71DE" w:rsidRPr="00AA3B6F" w14:paraId="1425F326" w14:textId="77777777" w:rsidTr="003A71DE">
        <w:trPr>
          <w:cantSplit/>
          <w:trHeight w:val="199"/>
          <w:jc w:val="center"/>
        </w:trPr>
        <w:tc>
          <w:tcPr>
            <w:tcW w:w="2263" w:type="dxa"/>
          </w:tcPr>
          <w:p w14:paraId="6484E875" w14:textId="77777777" w:rsidR="003A71DE" w:rsidRPr="00AA3B6F" w:rsidRDefault="003A71DE" w:rsidP="003A71DE">
            <w:pPr>
              <w:pStyle w:val="TAL"/>
              <w:rPr>
                <w:rFonts w:cs="Arial"/>
                <w:szCs w:val="18"/>
                <w:lang w:eastAsia="zh-CN"/>
              </w:rPr>
            </w:pPr>
            <w:r w:rsidRPr="00AA3B6F">
              <w:rPr>
                <w:rFonts w:cs="Arial"/>
                <w:szCs w:val="18"/>
                <w:lang w:eastAsia="zh-CN"/>
              </w:rPr>
              <w:t>SNR on other channels and signals</w:t>
            </w:r>
          </w:p>
        </w:tc>
        <w:tc>
          <w:tcPr>
            <w:tcW w:w="1134" w:type="dxa"/>
          </w:tcPr>
          <w:p w14:paraId="59D6D008" w14:textId="77777777" w:rsidR="003A71DE" w:rsidRPr="00AA3B6F" w:rsidRDefault="003A71DE" w:rsidP="003A71DE">
            <w:pPr>
              <w:pStyle w:val="TAL"/>
              <w:rPr>
                <w:rFonts w:cs="Arial"/>
                <w:noProof/>
                <w:szCs w:val="18"/>
                <w:lang w:eastAsia="zh-CN"/>
              </w:rPr>
            </w:pPr>
            <w:r w:rsidRPr="00AA3B6F">
              <w:rPr>
                <w:rFonts w:cs="Arial"/>
                <w:noProof/>
                <w:szCs w:val="18"/>
                <w:lang w:eastAsia="zh-CN"/>
              </w:rPr>
              <w:t>Config 1</w:t>
            </w:r>
          </w:p>
        </w:tc>
        <w:tc>
          <w:tcPr>
            <w:tcW w:w="758" w:type="dxa"/>
          </w:tcPr>
          <w:p w14:paraId="20F7A298" w14:textId="77777777" w:rsidR="003A71DE" w:rsidRPr="00AA3B6F" w:rsidRDefault="003A71DE" w:rsidP="003A71DE">
            <w:pPr>
              <w:pStyle w:val="TAC"/>
              <w:rPr>
                <w:rFonts w:cs="Arial"/>
                <w:szCs w:val="18"/>
                <w:lang w:eastAsia="zh-CN"/>
              </w:rPr>
            </w:pPr>
            <w:r w:rsidRPr="00AA3B6F">
              <w:rPr>
                <w:rFonts w:cs="Arial"/>
                <w:szCs w:val="18"/>
                <w:lang w:eastAsia="zh-CN"/>
              </w:rPr>
              <w:t>dB</w:t>
            </w:r>
          </w:p>
        </w:tc>
        <w:tc>
          <w:tcPr>
            <w:tcW w:w="3700" w:type="dxa"/>
            <w:gridSpan w:val="5"/>
          </w:tcPr>
          <w:p w14:paraId="572552F8" w14:textId="77777777" w:rsidR="003A71DE" w:rsidRPr="00AA3B6F" w:rsidRDefault="003A71DE" w:rsidP="003A71DE">
            <w:pPr>
              <w:pStyle w:val="TAC"/>
              <w:rPr>
                <w:rFonts w:cs="Arial"/>
                <w:szCs w:val="18"/>
                <w:lang w:eastAsia="zh-CN"/>
              </w:rPr>
            </w:pPr>
            <w:r w:rsidRPr="00AA3B6F">
              <w:rPr>
                <w:rFonts w:cs="Arial"/>
                <w:szCs w:val="18"/>
                <w:lang w:eastAsia="zh-CN"/>
              </w:rPr>
              <w:t>2</w:t>
            </w:r>
            <w:r w:rsidRPr="00AA3B6F">
              <w:rPr>
                <w:rFonts w:cs="Arial"/>
                <w:szCs w:val="18"/>
                <w:vertAlign w:val="superscript"/>
              </w:rPr>
              <w:t>Note 10</w:t>
            </w:r>
          </w:p>
        </w:tc>
        <w:tc>
          <w:tcPr>
            <w:tcW w:w="3339" w:type="dxa"/>
            <w:gridSpan w:val="5"/>
          </w:tcPr>
          <w:p w14:paraId="4DECE54F" w14:textId="77777777" w:rsidR="003A71DE" w:rsidRPr="00AA3B6F" w:rsidRDefault="003A71DE" w:rsidP="003A71DE">
            <w:pPr>
              <w:pStyle w:val="TAC"/>
              <w:rPr>
                <w:rFonts w:cs="Arial"/>
                <w:szCs w:val="18"/>
                <w:lang w:eastAsia="zh-CN"/>
              </w:rPr>
            </w:pPr>
            <w:r w:rsidRPr="00AA3B6F">
              <w:rPr>
                <w:rFonts w:cs="Arial"/>
                <w:szCs w:val="18"/>
                <w:lang w:eastAsia="zh-CN"/>
              </w:rPr>
              <w:t>N/A</w:t>
            </w:r>
          </w:p>
        </w:tc>
      </w:tr>
      <w:tr w:rsidR="003A71DE" w:rsidRPr="00AA3B6F" w14:paraId="0B849306" w14:textId="77777777" w:rsidTr="003A71DE">
        <w:trPr>
          <w:cantSplit/>
          <w:trHeight w:val="153"/>
          <w:jc w:val="center"/>
        </w:trPr>
        <w:tc>
          <w:tcPr>
            <w:tcW w:w="2263" w:type="dxa"/>
          </w:tcPr>
          <w:p w14:paraId="0EEDBE6B" w14:textId="77777777" w:rsidR="003A71DE" w:rsidRPr="00AA3B6F" w:rsidRDefault="003A71DE" w:rsidP="003A71DE">
            <w:pPr>
              <w:pStyle w:val="TAL"/>
              <w:rPr>
                <w:rFonts w:cs="Arial"/>
                <w:szCs w:val="18"/>
              </w:rPr>
            </w:pPr>
            <w:r w:rsidRPr="00AA3B6F">
              <w:rPr>
                <w:rFonts w:cs="Arial"/>
                <w:position w:val="-12"/>
                <w:szCs w:val="18"/>
              </w:rPr>
              <w:object w:dxaOrig="420" w:dyaOrig="360" w14:anchorId="608A799A">
                <v:shape id="_x0000_i1101" type="#_x0000_t75" style="width:20.5pt;height:19.95pt" o:ole="" fillcolor="window">
                  <v:imagedata r:id="rId114" o:title=""/>
                </v:shape>
                <o:OLEObject Type="Embed" ProgID="Equation.3" ShapeID="_x0000_i1101" DrawAspect="Content" ObjectID="_1734764481" r:id="rId133"/>
              </w:object>
            </w:r>
          </w:p>
        </w:tc>
        <w:tc>
          <w:tcPr>
            <w:tcW w:w="1134" w:type="dxa"/>
          </w:tcPr>
          <w:p w14:paraId="51AEB888" w14:textId="77777777" w:rsidR="003A71DE" w:rsidRPr="00AA3B6F" w:rsidRDefault="003A71DE" w:rsidP="003A71DE">
            <w:pPr>
              <w:pStyle w:val="TAL"/>
              <w:rPr>
                <w:rFonts w:cs="Arial"/>
                <w:noProof/>
                <w:szCs w:val="18"/>
              </w:rPr>
            </w:pPr>
            <w:r w:rsidRPr="00AA3B6F">
              <w:rPr>
                <w:rFonts w:cs="Arial"/>
                <w:noProof/>
                <w:szCs w:val="18"/>
              </w:rPr>
              <w:t>Config 1</w:t>
            </w:r>
          </w:p>
        </w:tc>
        <w:tc>
          <w:tcPr>
            <w:tcW w:w="758" w:type="dxa"/>
          </w:tcPr>
          <w:p w14:paraId="36EA12F2" w14:textId="77777777" w:rsidR="003A71DE" w:rsidRPr="00AA3B6F" w:rsidRDefault="003A71DE" w:rsidP="003A71DE">
            <w:pPr>
              <w:pStyle w:val="TAC"/>
              <w:rPr>
                <w:rFonts w:cs="Arial"/>
                <w:szCs w:val="18"/>
              </w:rPr>
            </w:pPr>
            <w:r w:rsidRPr="00AA3B6F">
              <w:rPr>
                <w:rFonts w:cs="Arial"/>
                <w:szCs w:val="18"/>
              </w:rPr>
              <w:t>dBm/</w:t>
            </w:r>
            <w:r w:rsidRPr="00AA3B6F">
              <w:rPr>
                <w:rFonts w:cs="Arial"/>
                <w:szCs w:val="18"/>
              </w:rPr>
              <w:br/>
              <w:t>15KHz</w:t>
            </w:r>
          </w:p>
        </w:tc>
        <w:tc>
          <w:tcPr>
            <w:tcW w:w="3700" w:type="dxa"/>
            <w:gridSpan w:val="5"/>
          </w:tcPr>
          <w:p w14:paraId="4CE5AA13" w14:textId="77777777" w:rsidR="003A71DE" w:rsidRPr="00AA3B6F" w:rsidRDefault="003A71DE" w:rsidP="003A71DE">
            <w:pPr>
              <w:pStyle w:val="TAC"/>
              <w:rPr>
                <w:rFonts w:cs="Arial"/>
                <w:szCs w:val="18"/>
              </w:rPr>
            </w:pPr>
            <w:r w:rsidRPr="00AA3B6F">
              <w:rPr>
                <w:rFonts w:cs="Arial"/>
                <w:szCs w:val="18"/>
              </w:rPr>
              <w:t>-92.1</w:t>
            </w:r>
          </w:p>
        </w:tc>
        <w:tc>
          <w:tcPr>
            <w:tcW w:w="3339" w:type="dxa"/>
            <w:gridSpan w:val="5"/>
          </w:tcPr>
          <w:p w14:paraId="21BA84C7" w14:textId="77777777" w:rsidR="003A71DE" w:rsidRPr="00AA3B6F" w:rsidRDefault="003A71DE" w:rsidP="003A71DE">
            <w:pPr>
              <w:pStyle w:val="TAC"/>
              <w:rPr>
                <w:rFonts w:cs="Arial"/>
                <w:szCs w:val="18"/>
              </w:rPr>
            </w:pPr>
            <w:r w:rsidRPr="00AA3B6F">
              <w:rPr>
                <w:rFonts w:cs="Arial"/>
                <w:szCs w:val="18"/>
              </w:rPr>
              <w:t>-92.1</w:t>
            </w:r>
          </w:p>
        </w:tc>
      </w:tr>
      <w:tr w:rsidR="003A71DE" w:rsidRPr="00AA3B6F" w14:paraId="447E43C9" w14:textId="77777777" w:rsidTr="003A71DE">
        <w:trPr>
          <w:cantSplit/>
          <w:trHeight w:val="168"/>
          <w:jc w:val="center"/>
        </w:trPr>
        <w:tc>
          <w:tcPr>
            <w:tcW w:w="3397" w:type="dxa"/>
            <w:gridSpan w:val="2"/>
          </w:tcPr>
          <w:p w14:paraId="780900A7" w14:textId="77777777" w:rsidR="003A71DE" w:rsidRPr="00AA3B6F" w:rsidRDefault="003A71DE" w:rsidP="003A71DE">
            <w:pPr>
              <w:pStyle w:val="TAL"/>
              <w:rPr>
                <w:rFonts w:cs="Arial"/>
                <w:szCs w:val="18"/>
              </w:rPr>
            </w:pPr>
            <w:r w:rsidRPr="00AA3B6F">
              <w:rPr>
                <w:rFonts w:eastAsia="?? ??" w:cs="Arial"/>
                <w:szCs w:val="18"/>
              </w:rPr>
              <w:t>Propagation condition</w:t>
            </w:r>
          </w:p>
        </w:tc>
        <w:tc>
          <w:tcPr>
            <w:tcW w:w="758" w:type="dxa"/>
          </w:tcPr>
          <w:p w14:paraId="0C6AFEB5" w14:textId="77777777" w:rsidR="003A71DE" w:rsidRPr="00AA3B6F" w:rsidRDefault="003A71DE" w:rsidP="003A71DE">
            <w:pPr>
              <w:pStyle w:val="TAC"/>
              <w:rPr>
                <w:rFonts w:cs="Arial"/>
                <w:szCs w:val="18"/>
              </w:rPr>
            </w:pPr>
          </w:p>
        </w:tc>
        <w:tc>
          <w:tcPr>
            <w:tcW w:w="3700" w:type="dxa"/>
            <w:gridSpan w:val="5"/>
          </w:tcPr>
          <w:p w14:paraId="7FBA18ED" w14:textId="77777777" w:rsidR="003A71DE" w:rsidRPr="00AA3B6F" w:rsidRDefault="003A71DE" w:rsidP="003A71DE">
            <w:pPr>
              <w:pStyle w:val="TAC"/>
              <w:rPr>
                <w:rFonts w:cs="Arial"/>
                <w:szCs w:val="18"/>
              </w:rPr>
            </w:pPr>
            <w:r w:rsidRPr="00AA3B6F">
              <w:rPr>
                <w:rFonts w:cs="Arial"/>
                <w:szCs w:val="18"/>
              </w:rPr>
              <w:t>TDL-C 300ns 100Hz</w:t>
            </w:r>
          </w:p>
        </w:tc>
        <w:tc>
          <w:tcPr>
            <w:tcW w:w="3339" w:type="dxa"/>
            <w:gridSpan w:val="5"/>
          </w:tcPr>
          <w:p w14:paraId="215B3EA0" w14:textId="77777777" w:rsidR="003A71DE" w:rsidRPr="00AA3B6F" w:rsidRDefault="003A71DE" w:rsidP="003A71DE">
            <w:pPr>
              <w:pStyle w:val="TAC"/>
              <w:rPr>
                <w:rFonts w:cs="Arial"/>
                <w:szCs w:val="18"/>
              </w:rPr>
            </w:pPr>
            <w:r w:rsidRPr="00AA3B6F">
              <w:rPr>
                <w:rFonts w:cs="Arial"/>
                <w:szCs w:val="18"/>
              </w:rPr>
              <w:t>TDL-C 300ns 100Hz</w:t>
            </w:r>
          </w:p>
        </w:tc>
      </w:tr>
      <w:tr w:rsidR="003A71DE" w:rsidRPr="00AA3B6F" w14:paraId="0C24BC55" w14:textId="77777777" w:rsidTr="003A71DE">
        <w:trPr>
          <w:cantSplit/>
          <w:trHeight w:val="168"/>
          <w:jc w:val="center"/>
        </w:trPr>
        <w:tc>
          <w:tcPr>
            <w:tcW w:w="11194" w:type="dxa"/>
            <w:gridSpan w:val="13"/>
          </w:tcPr>
          <w:p w14:paraId="3AFB50AF" w14:textId="77777777" w:rsidR="003A71DE" w:rsidRPr="00AA3B6F" w:rsidRDefault="003A71DE" w:rsidP="003A71DE">
            <w:pPr>
              <w:pStyle w:val="TAN"/>
              <w:rPr>
                <w:rFonts w:cs="Arial"/>
                <w:szCs w:val="18"/>
              </w:rPr>
            </w:pPr>
            <w:r w:rsidRPr="00AA3B6F">
              <w:rPr>
                <w:rFonts w:cs="Arial"/>
                <w:szCs w:val="18"/>
              </w:rPr>
              <w:t>Note 1:</w:t>
            </w:r>
            <w:r w:rsidRPr="00AA3B6F">
              <w:rPr>
                <w:rFonts w:cs="Arial"/>
                <w:szCs w:val="18"/>
              </w:rPr>
              <w:tab/>
              <w:t>OCNG shall be used such that the resources in Cell 1 are fully allocated and a constant total transmitted power spectral density is achieved for all OFDM symbols.</w:t>
            </w:r>
          </w:p>
          <w:p w14:paraId="56531B2C" w14:textId="77777777" w:rsidR="003A71DE" w:rsidRPr="00AA3B6F" w:rsidRDefault="003A71DE" w:rsidP="003A71DE">
            <w:pPr>
              <w:pStyle w:val="TAN"/>
              <w:rPr>
                <w:rFonts w:cs="Arial"/>
                <w:szCs w:val="18"/>
              </w:rPr>
            </w:pPr>
            <w:r w:rsidRPr="00AA3B6F">
              <w:rPr>
                <w:rFonts w:cs="Arial"/>
                <w:szCs w:val="18"/>
              </w:rPr>
              <w:t>Note 2:</w:t>
            </w:r>
            <w:r w:rsidRPr="00AA3B6F">
              <w:rPr>
                <w:rFonts w:cs="Arial"/>
                <w:szCs w:val="18"/>
              </w:rPr>
              <w:tab/>
              <w:t>The uplink resources for CSI reporting are assigned to the IAB-MT prior to the start of time period T1.</w:t>
            </w:r>
          </w:p>
          <w:p w14:paraId="4D463968" w14:textId="77777777" w:rsidR="003A71DE" w:rsidRPr="00AA3B6F" w:rsidRDefault="003A71DE" w:rsidP="003A71DE">
            <w:pPr>
              <w:pStyle w:val="TAN"/>
              <w:rPr>
                <w:rFonts w:cs="Arial"/>
                <w:szCs w:val="18"/>
              </w:rPr>
            </w:pPr>
            <w:r w:rsidRPr="00AA3B6F">
              <w:rPr>
                <w:rFonts w:cs="Arial"/>
                <w:szCs w:val="18"/>
              </w:rPr>
              <w:t>Note 3:</w:t>
            </w:r>
            <w:r w:rsidRPr="00AA3B6F">
              <w:rPr>
                <w:rFonts w:cs="Arial"/>
                <w:szCs w:val="18"/>
              </w:rPr>
              <w:tab/>
              <w:t>NZP CSI-RS resource set configuration for CSI reporting are assigned to the IAB-MT prior to the start of time period T1.</w:t>
            </w:r>
          </w:p>
          <w:p w14:paraId="1A151D21" w14:textId="77777777" w:rsidR="003A71DE" w:rsidRPr="00AA3B6F" w:rsidRDefault="003A71DE" w:rsidP="003A71DE">
            <w:pPr>
              <w:pStyle w:val="TAN"/>
              <w:rPr>
                <w:rFonts w:cs="Arial"/>
                <w:szCs w:val="18"/>
              </w:rPr>
            </w:pPr>
            <w:r w:rsidRPr="00AA3B6F">
              <w:rPr>
                <w:rFonts w:cs="Arial"/>
                <w:szCs w:val="18"/>
              </w:rPr>
              <w:t>Note 4:</w:t>
            </w:r>
            <w:r w:rsidRPr="00AA3B6F">
              <w:rPr>
                <w:rFonts w:cs="Arial"/>
                <w:szCs w:val="18"/>
              </w:rPr>
              <w:tab/>
              <w:t>The timers and layer 3 filtering related parameters are configured prior to the start of time period T1.</w:t>
            </w:r>
          </w:p>
          <w:p w14:paraId="370B465E" w14:textId="77777777" w:rsidR="003A71DE" w:rsidRPr="00AA3B6F" w:rsidRDefault="003A71DE" w:rsidP="003A71DE">
            <w:pPr>
              <w:pStyle w:val="TAN"/>
              <w:rPr>
                <w:rFonts w:cs="Arial"/>
                <w:szCs w:val="18"/>
              </w:rPr>
            </w:pPr>
            <w:r w:rsidRPr="00AA3B6F">
              <w:rPr>
                <w:rFonts w:cs="Arial"/>
                <w:szCs w:val="18"/>
              </w:rPr>
              <w:t>Note 5:</w:t>
            </w:r>
            <w:r w:rsidRPr="00AA3B6F">
              <w:rPr>
                <w:rFonts w:cs="Arial"/>
                <w:szCs w:val="18"/>
              </w:rPr>
              <w:tab/>
              <w:t>The signal contains PDCCH for IAB-MTs other than the device under test as part of OCNG.</w:t>
            </w:r>
          </w:p>
          <w:p w14:paraId="469753A6" w14:textId="77777777" w:rsidR="003A71DE" w:rsidRPr="00AA3B6F" w:rsidRDefault="003A71DE" w:rsidP="003A71DE">
            <w:pPr>
              <w:pStyle w:val="TAN"/>
              <w:rPr>
                <w:rFonts w:cs="Arial"/>
                <w:szCs w:val="18"/>
              </w:rPr>
            </w:pPr>
            <w:r w:rsidRPr="00AA3B6F">
              <w:rPr>
                <w:rFonts w:cs="Arial"/>
                <w:szCs w:val="18"/>
              </w:rPr>
              <w:t>Note 6:</w:t>
            </w:r>
            <w:r w:rsidRPr="00AA3B6F">
              <w:rPr>
                <w:rFonts w:cs="Arial"/>
                <w:szCs w:val="18"/>
              </w:rPr>
              <w:tab/>
              <w:t>SNR levels correspond to the signal to noise ratio over the SSS REs.</w:t>
            </w:r>
          </w:p>
          <w:p w14:paraId="3670D66E" w14:textId="77777777" w:rsidR="003A71DE" w:rsidRPr="00AA3B6F" w:rsidRDefault="003A71DE" w:rsidP="003A71DE">
            <w:pPr>
              <w:pStyle w:val="TAN"/>
              <w:rPr>
                <w:rFonts w:cs="Arial"/>
                <w:szCs w:val="18"/>
              </w:rPr>
            </w:pPr>
            <w:r w:rsidRPr="00AA3B6F">
              <w:rPr>
                <w:rFonts w:cs="Arial"/>
                <w:szCs w:val="18"/>
              </w:rPr>
              <w:t>Note 7:</w:t>
            </w:r>
            <w:r w:rsidRPr="00AA3B6F">
              <w:rPr>
                <w:rFonts w:cs="Arial"/>
                <w:szCs w:val="18"/>
              </w:rPr>
              <w:tab/>
              <w:t>The SNR in time periods T1, T2, T3, T4 and T5 is denoted as SNR1, SNR2, SNR3, SNR4 and SNR5 respectively in figure G.2.3.1.8.1-1.</w:t>
            </w:r>
          </w:p>
          <w:p w14:paraId="21DF0C9C" w14:textId="77777777" w:rsidR="003A71DE" w:rsidRPr="00AA3B6F" w:rsidRDefault="003A71DE" w:rsidP="003A71DE">
            <w:pPr>
              <w:pStyle w:val="TAN"/>
              <w:rPr>
                <w:rFonts w:cs="Arial"/>
                <w:snapToGrid w:val="0"/>
                <w:szCs w:val="18"/>
              </w:rPr>
            </w:pPr>
            <w:r w:rsidRPr="00AA3B6F">
              <w:rPr>
                <w:rFonts w:cs="Arial"/>
                <w:snapToGrid w:val="0"/>
                <w:szCs w:val="18"/>
              </w:rPr>
              <w:t>Note 8:</w:t>
            </w:r>
            <w:r w:rsidRPr="00AA3B6F">
              <w:rPr>
                <w:rFonts w:eastAsia="MS Mincho" w:cs="Arial"/>
                <w:snapToGrid w:val="0"/>
                <w:szCs w:val="18"/>
              </w:rPr>
              <w:t xml:space="preserve"> </w:t>
            </w:r>
            <w:r w:rsidRPr="00AA3B6F">
              <w:rPr>
                <w:rFonts w:eastAsia="MS Mincho" w:cs="Arial"/>
                <w:snapToGrid w:val="0"/>
                <w:szCs w:val="18"/>
              </w:rPr>
              <w:tab/>
              <w:t>Information about types of IAB-MT beam does not limit IAB-MT implementation or test system implementation.</w:t>
            </w:r>
          </w:p>
          <w:p w14:paraId="04F37D90" w14:textId="77777777" w:rsidR="003A71DE" w:rsidRPr="00AA3B6F" w:rsidRDefault="003A71DE" w:rsidP="003A71DE">
            <w:pPr>
              <w:pStyle w:val="TAN"/>
              <w:rPr>
                <w:rFonts w:cs="Arial"/>
                <w:szCs w:val="18"/>
              </w:rPr>
            </w:pPr>
            <w:r w:rsidRPr="00AA3B6F">
              <w:rPr>
                <w:rFonts w:cs="Arial"/>
                <w:szCs w:val="18"/>
              </w:rPr>
              <w:t>Note 9:</w:t>
            </w:r>
            <w:r w:rsidRPr="00AA3B6F">
              <w:rPr>
                <w:rFonts w:cs="Arial"/>
                <w:szCs w:val="18"/>
              </w:rPr>
              <w:tab/>
              <w:t>This IAB-MT allows up to 1dB degradation from applied SNR to IAB-MT baseband.</w:t>
            </w:r>
          </w:p>
        </w:tc>
      </w:tr>
    </w:tbl>
    <w:p w14:paraId="7859B323" w14:textId="77777777" w:rsidR="003A71DE" w:rsidRPr="001C0E1B" w:rsidRDefault="003A71DE" w:rsidP="003A71DE">
      <w:pPr>
        <w:spacing w:after="120"/>
        <w:rPr>
          <w:rFonts w:eastAsia="MS Mincho"/>
        </w:rPr>
      </w:pPr>
    </w:p>
    <w:p w14:paraId="243A30A4" w14:textId="77777777" w:rsidR="003A71DE" w:rsidRPr="001C0E1B" w:rsidRDefault="003A71DE" w:rsidP="003A71DE">
      <w:pPr>
        <w:keepNext/>
        <w:keepLines/>
        <w:spacing w:before="60"/>
        <w:jc w:val="center"/>
        <w:rPr>
          <w:rFonts w:ascii="Arial" w:hAnsi="Arial"/>
          <w:b/>
        </w:rPr>
      </w:pPr>
    </w:p>
    <w:p w14:paraId="6768BED8" w14:textId="77777777" w:rsidR="003A71DE" w:rsidRPr="001C0E1B" w:rsidRDefault="003A71DE" w:rsidP="00746C0D">
      <w:pPr>
        <w:pStyle w:val="TH"/>
      </w:pPr>
      <w:r w:rsidRPr="001C0E1B">
        <w:rPr>
          <w:noProof/>
          <w:lang w:eastAsia="zh-CN"/>
        </w:rPr>
        <w:drawing>
          <wp:inline distT="0" distB="0" distL="0" distR="0" wp14:anchorId="71665F69" wp14:editId="7F672950">
            <wp:extent cx="4490358" cy="2313332"/>
            <wp:effectExtent l="0" t="0" r="0" b="0"/>
            <wp:docPr id="314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4513338" cy="2325171"/>
                    </a:xfrm>
                    <a:prstGeom prst="rect">
                      <a:avLst/>
                    </a:prstGeom>
                    <a:noFill/>
                  </pic:spPr>
                </pic:pic>
              </a:graphicData>
            </a:graphic>
          </wp:inline>
        </w:drawing>
      </w:r>
    </w:p>
    <w:p w14:paraId="386E584F" w14:textId="77777777" w:rsidR="003A71DE" w:rsidRPr="001C0E1B" w:rsidRDefault="003A71DE" w:rsidP="00746C0D">
      <w:pPr>
        <w:pStyle w:val="TF"/>
      </w:pPr>
      <w:r w:rsidRPr="001C0E1B">
        <w:t xml:space="preserve">Figure </w:t>
      </w:r>
      <w:r>
        <w:t>G.2.3.1.8</w:t>
      </w:r>
      <w:r w:rsidRPr="001C0E1B">
        <w:t>.1-1: SNR variation for CSI-RS in-sync testing</w:t>
      </w:r>
    </w:p>
    <w:p w14:paraId="7C3EA17E" w14:textId="77777777" w:rsidR="003A71DE" w:rsidRPr="001C0E1B" w:rsidRDefault="003A71DE" w:rsidP="00746C0D">
      <w:pPr>
        <w:pStyle w:val="H6"/>
        <w:rPr>
          <w:snapToGrid w:val="0"/>
        </w:rPr>
      </w:pPr>
      <w:bookmarkStart w:id="10338" w:name="_Toc535476713"/>
      <w:r>
        <w:rPr>
          <w:snapToGrid w:val="0"/>
        </w:rPr>
        <w:t>G.2.3.1.8</w:t>
      </w:r>
      <w:r w:rsidRPr="001C0E1B">
        <w:rPr>
          <w:snapToGrid w:val="0"/>
        </w:rPr>
        <w:t>.2</w:t>
      </w:r>
      <w:r w:rsidRPr="001C0E1B">
        <w:rPr>
          <w:snapToGrid w:val="0"/>
        </w:rPr>
        <w:tab/>
        <w:t>Test Requirements</w:t>
      </w:r>
      <w:bookmarkEnd w:id="10338"/>
    </w:p>
    <w:p w14:paraId="09C653F7" w14:textId="77777777" w:rsidR="003A71DE" w:rsidRPr="001C0E1B" w:rsidRDefault="003A71DE" w:rsidP="003A71DE">
      <w:r w:rsidRPr="001C0E1B">
        <w:t xml:space="preserve">The </w:t>
      </w:r>
      <w:r>
        <w:t>IAB-MT</w:t>
      </w:r>
      <w:r w:rsidRPr="001C0E1B">
        <w:t xml:space="preserve"> behaviour in each test during time durations T1, T2, T3, T4 and T5 shall be as follows:</w:t>
      </w:r>
    </w:p>
    <w:p w14:paraId="188FE181" w14:textId="77777777" w:rsidR="003A71DE" w:rsidRPr="001C0E1B" w:rsidRDefault="003A71DE" w:rsidP="003A71DE">
      <w:r w:rsidRPr="001C0E1B">
        <w:t xml:space="preserve">During the period from time point A to time point F (D1 second after the start of time duration T5) the </w:t>
      </w:r>
      <w:r>
        <w:t>IAB-MT</w:t>
      </w:r>
      <w:r w:rsidRPr="001C0E1B">
        <w:t xml:space="preserve"> shall transmit uplink signal at least in all uplink slots configured for CSI transmission according to the configured periodic CSI reporting on the PCell.</w:t>
      </w:r>
    </w:p>
    <w:p w14:paraId="62CAE33C" w14:textId="77777777" w:rsidR="003A71DE" w:rsidRPr="00155D3E" w:rsidRDefault="003A71DE" w:rsidP="003A71DE">
      <w:pPr>
        <w:rPr>
          <w:rFonts w:eastAsia="SimSun"/>
        </w:rPr>
      </w:pPr>
      <w:r w:rsidRPr="001C0E1B">
        <w:t>The rate of correct events observed during repeated tests shall be at least 90%.</w:t>
      </w:r>
    </w:p>
    <w:p w14:paraId="1C7C58AE" w14:textId="77777777" w:rsidR="003A71DE" w:rsidRPr="00366E1F" w:rsidRDefault="003A71DE" w:rsidP="00746C0D">
      <w:pPr>
        <w:pStyle w:val="Heading4"/>
      </w:pPr>
      <w:bookmarkStart w:id="10339" w:name="_Toc74583689"/>
      <w:bookmarkStart w:id="10340" w:name="_Toc76542502"/>
      <w:bookmarkStart w:id="10341" w:name="_Toc82450484"/>
      <w:bookmarkStart w:id="10342" w:name="_Toc82451132"/>
      <w:bookmarkStart w:id="10343" w:name="_Toc89949521"/>
      <w:bookmarkStart w:id="10344" w:name="_Toc98755910"/>
      <w:bookmarkStart w:id="10345" w:name="_Toc98763502"/>
      <w:bookmarkStart w:id="10346" w:name="_Toc106184431"/>
      <w:r>
        <w:lastRenderedPageBreak/>
        <w:t>G</w:t>
      </w:r>
      <w:r w:rsidRPr="004E396D">
        <w:t>.</w:t>
      </w:r>
      <w:r>
        <w:t>2</w:t>
      </w:r>
      <w:r w:rsidRPr="004E396D">
        <w:t>.</w:t>
      </w:r>
      <w:r>
        <w:t>3</w:t>
      </w:r>
      <w:r w:rsidRPr="004E396D">
        <w:t>.</w:t>
      </w:r>
      <w:r>
        <w:t>2</w:t>
      </w:r>
      <w:r w:rsidRPr="004E396D">
        <w:tab/>
      </w:r>
      <w:r w:rsidRPr="00A52374">
        <w:t xml:space="preserve">Beam Failure Detection and </w:t>
      </w:r>
      <w:r w:rsidRPr="00872311">
        <w:t>Link Recovery Procedure</w:t>
      </w:r>
      <w:bookmarkEnd w:id="10339"/>
      <w:bookmarkEnd w:id="10340"/>
      <w:bookmarkEnd w:id="10341"/>
      <w:bookmarkEnd w:id="10342"/>
      <w:bookmarkEnd w:id="10343"/>
      <w:bookmarkEnd w:id="10344"/>
      <w:bookmarkEnd w:id="10345"/>
      <w:bookmarkEnd w:id="10346"/>
    </w:p>
    <w:p w14:paraId="6962C38E" w14:textId="77777777" w:rsidR="003A71DE" w:rsidRPr="0029361E" w:rsidRDefault="003A71DE" w:rsidP="00746C0D">
      <w:pPr>
        <w:pStyle w:val="Heading5"/>
        <w:rPr>
          <w:rFonts w:eastAsia="SimSun"/>
          <w:lang w:val="en-US" w:eastAsia="zh-CN"/>
        </w:rPr>
      </w:pPr>
      <w:bookmarkStart w:id="10347" w:name="_Toc74583690"/>
      <w:bookmarkStart w:id="10348" w:name="_Toc76542503"/>
      <w:bookmarkStart w:id="10349" w:name="_Toc82450485"/>
      <w:bookmarkStart w:id="10350" w:name="_Toc82451133"/>
      <w:bookmarkStart w:id="10351" w:name="_Toc89949522"/>
      <w:bookmarkStart w:id="10352" w:name="_Toc98755911"/>
      <w:bookmarkStart w:id="10353" w:name="_Toc98763503"/>
      <w:bookmarkStart w:id="10354" w:name="_Toc106184432"/>
      <w:bookmarkStart w:id="10355" w:name="_Toc535476515"/>
      <w:r w:rsidRPr="0029361E">
        <w:rPr>
          <w:rFonts w:eastAsia="SimSun" w:hint="eastAsia"/>
          <w:lang w:val="en-US" w:eastAsia="zh-CN"/>
        </w:rPr>
        <w:t>G.2.3.2</w:t>
      </w:r>
      <w:r w:rsidRPr="0029361E">
        <w:t>.1</w:t>
      </w:r>
      <w:r w:rsidRPr="0029361E">
        <w:rPr>
          <w:rFonts w:eastAsia="SimSun" w:hint="eastAsia"/>
          <w:lang w:val="en-US" w:eastAsia="zh-CN"/>
        </w:rPr>
        <w:t xml:space="preserve"> Beam Failure Detection and Link Recovery Test for FR1 </w:t>
      </w:r>
      <w:r w:rsidRPr="0029361E">
        <w:rPr>
          <w:rFonts w:eastAsia="MS Mincho" w:cs="Arial"/>
        </w:rPr>
        <w:t>PCell configured with SSB-based BFD and LR</w:t>
      </w:r>
      <w:bookmarkEnd w:id="10347"/>
      <w:bookmarkEnd w:id="10348"/>
      <w:bookmarkEnd w:id="10349"/>
      <w:bookmarkEnd w:id="10350"/>
      <w:bookmarkEnd w:id="10351"/>
      <w:bookmarkEnd w:id="10352"/>
      <w:bookmarkEnd w:id="10353"/>
      <w:bookmarkEnd w:id="10354"/>
    </w:p>
    <w:bookmarkEnd w:id="10355"/>
    <w:p w14:paraId="0CF50F35" w14:textId="77777777" w:rsidR="003A71DE" w:rsidRPr="0029361E" w:rsidRDefault="003A71DE" w:rsidP="00746C0D">
      <w:pPr>
        <w:pStyle w:val="H6"/>
      </w:pPr>
      <w:r w:rsidRPr="0029361E">
        <w:rPr>
          <w:rFonts w:eastAsia="SimSun" w:hint="eastAsia"/>
          <w:lang w:eastAsia="zh-CN"/>
        </w:rPr>
        <w:t>G.</w:t>
      </w:r>
      <w:r w:rsidRPr="0029361E">
        <w:rPr>
          <w:rFonts w:eastAsia="SimSun" w:hint="eastAsia"/>
          <w:lang w:val="en-US" w:eastAsia="zh-CN"/>
        </w:rPr>
        <w:t>2</w:t>
      </w:r>
      <w:r w:rsidRPr="0029361E">
        <w:rPr>
          <w:rFonts w:eastAsia="SimSun" w:hint="eastAsia"/>
          <w:lang w:eastAsia="zh-CN"/>
        </w:rPr>
        <w:t>.</w:t>
      </w:r>
      <w:r w:rsidRPr="0029361E">
        <w:rPr>
          <w:rFonts w:eastAsia="SimSun" w:hint="eastAsia"/>
          <w:lang w:val="en-US" w:eastAsia="zh-CN"/>
        </w:rPr>
        <w:t>3</w:t>
      </w:r>
      <w:r w:rsidRPr="0029361E">
        <w:t>.</w:t>
      </w:r>
      <w:r w:rsidRPr="0029361E">
        <w:rPr>
          <w:rFonts w:eastAsia="SimSun" w:hint="eastAsia"/>
          <w:lang w:val="en-US" w:eastAsia="zh-CN"/>
        </w:rPr>
        <w:t>2.</w:t>
      </w:r>
      <w:r w:rsidRPr="0029361E">
        <w:t>1</w:t>
      </w:r>
      <w:r w:rsidRPr="0029361E">
        <w:rPr>
          <w:rFonts w:eastAsia="SimSun" w:hint="eastAsia"/>
          <w:lang w:val="en-US" w:eastAsia="zh-CN"/>
        </w:rPr>
        <w:t>.1</w:t>
      </w:r>
      <w:r w:rsidRPr="0029361E">
        <w:tab/>
      </w:r>
      <w:r w:rsidRPr="0029361E">
        <w:rPr>
          <w:snapToGrid w:val="0"/>
          <w:lang w:eastAsia="zh-CN"/>
        </w:rPr>
        <w:t>Test Purpose and Environment</w:t>
      </w:r>
    </w:p>
    <w:p w14:paraId="305517F5" w14:textId="77777777" w:rsidR="003A71DE" w:rsidRPr="0029361E" w:rsidRDefault="003A71DE" w:rsidP="003A71DE">
      <w:pPr>
        <w:spacing w:line="259" w:lineRule="auto"/>
      </w:pPr>
      <w:r w:rsidRPr="0029361E">
        <w:t xml:space="preserve">The purpose of this test is to verify that the </w:t>
      </w:r>
      <w:r w:rsidRPr="0029361E">
        <w:rPr>
          <w:rFonts w:eastAsia="SimSun" w:hint="eastAsia"/>
          <w:lang w:val="en-US" w:eastAsia="zh-CN"/>
        </w:rPr>
        <w:t>IAB-MT</w:t>
      </w:r>
      <w:r w:rsidRPr="0029361E">
        <w:t xml:space="preserve"> properly detects SSB-based beam failure in the set q</w:t>
      </w:r>
      <w:r w:rsidRPr="0029361E">
        <w:rPr>
          <w:vertAlign w:val="subscript"/>
        </w:rPr>
        <w:t>0</w:t>
      </w:r>
      <w:r w:rsidRPr="0029361E">
        <w:t xml:space="preserve"> configured for a serving cell and that the </w:t>
      </w:r>
      <w:r w:rsidRPr="0029361E">
        <w:rPr>
          <w:rFonts w:eastAsia="SimSun" w:hint="eastAsia"/>
          <w:lang w:val="en-US" w:eastAsia="zh-CN"/>
        </w:rPr>
        <w:t>IAB-MT</w:t>
      </w:r>
      <w:r w:rsidRPr="0029361E">
        <w:t xml:space="preserve"> performs correct SSB-based link recovery based on beam candidate set q</w:t>
      </w:r>
      <w:r w:rsidRPr="0029361E">
        <w:rPr>
          <w:vertAlign w:val="subscript"/>
        </w:rPr>
        <w:t>1</w:t>
      </w:r>
      <w:r w:rsidRPr="0029361E">
        <w:t xml:space="preserve">. The purpose is to test the downlink monitoring for beam failure detection within the </w:t>
      </w:r>
      <w:r w:rsidRPr="0029361E">
        <w:rPr>
          <w:rFonts w:eastAsia="SimSun" w:hint="eastAsia"/>
          <w:lang w:eastAsia="zh-CN"/>
        </w:rPr>
        <w:t>IAB-MT</w:t>
      </w:r>
      <w:r w:rsidRPr="0029361E">
        <w:t>s active DL BWP, during the evaluation period, and link recovery. This test will partly verify the SSB based beam failure detection and link recovery for an FR1 serving cell requirements in clause 12.3.2.</w:t>
      </w:r>
    </w:p>
    <w:p w14:paraId="4B84D238" w14:textId="77777777" w:rsidR="003A71DE" w:rsidRPr="0029361E" w:rsidRDefault="003A71DE" w:rsidP="003A71DE">
      <w:pPr>
        <w:spacing w:line="259" w:lineRule="auto"/>
      </w:pPr>
      <w:r w:rsidRPr="0029361E">
        <w:t xml:space="preserve">The test parameters are given in Tables </w:t>
      </w:r>
      <w:r w:rsidRPr="0029361E">
        <w:rPr>
          <w:rFonts w:eastAsia="SimSun" w:hint="eastAsia"/>
          <w:lang w:val="en-US" w:eastAsia="zh-CN"/>
        </w:rPr>
        <w:t>G</w:t>
      </w:r>
      <w:r w:rsidRPr="0029361E">
        <w:t>.</w:t>
      </w:r>
      <w:r w:rsidRPr="0029361E">
        <w:rPr>
          <w:rFonts w:eastAsia="SimSun" w:hint="eastAsia"/>
          <w:lang w:val="en-US" w:eastAsia="zh-CN"/>
        </w:rPr>
        <w:t>2.3.2.1.1-1</w:t>
      </w:r>
      <w:r w:rsidRPr="0029361E">
        <w:t xml:space="preserve">, </w:t>
      </w:r>
      <w:r w:rsidRPr="0029361E">
        <w:rPr>
          <w:rFonts w:eastAsia="SimSun" w:hint="eastAsia"/>
          <w:lang w:val="en-US" w:eastAsia="zh-CN"/>
        </w:rPr>
        <w:t>G</w:t>
      </w:r>
      <w:r w:rsidRPr="0029361E">
        <w:t>.</w:t>
      </w:r>
      <w:r w:rsidRPr="0029361E">
        <w:rPr>
          <w:rFonts w:eastAsia="SimSun" w:hint="eastAsia"/>
          <w:lang w:val="en-US" w:eastAsia="zh-CN"/>
        </w:rPr>
        <w:t>2.3.2.1.1</w:t>
      </w:r>
      <w:r w:rsidRPr="0029361E">
        <w:t>-2</w:t>
      </w:r>
      <w:r w:rsidRPr="0029361E">
        <w:rPr>
          <w:rFonts w:eastAsia="SimSun" w:hint="eastAsia"/>
          <w:lang w:val="en-US" w:eastAsia="zh-CN"/>
        </w:rPr>
        <w:t xml:space="preserve"> </w:t>
      </w:r>
      <w:r w:rsidRPr="0029361E">
        <w:t>and</w:t>
      </w:r>
      <w:r w:rsidRPr="0029361E">
        <w:rPr>
          <w:rFonts w:eastAsia="SimSun" w:hint="eastAsia"/>
          <w:lang w:val="en-US" w:eastAsia="zh-CN"/>
        </w:rPr>
        <w:t xml:space="preserve"> G</w:t>
      </w:r>
      <w:r w:rsidRPr="0029361E">
        <w:t>.</w:t>
      </w:r>
      <w:r w:rsidRPr="0029361E">
        <w:rPr>
          <w:rFonts w:eastAsia="SimSun" w:hint="eastAsia"/>
          <w:lang w:val="en-US" w:eastAsia="zh-CN"/>
        </w:rPr>
        <w:t>2.3.2.1.1</w:t>
      </w:r>
      <w:r w:rsidRPr="0029361E">
        <w:t xml:space="preserve">-3 below. There is one cell, cell 1 which is the active cell, in the test. The test consists of five successive time periods, with time duration of T1, T2, T3, T4 and T5 respectively. Figure </w:t>
      </w:r>
      <w:r w:rsidRPr="0029361E">
        <w:rPr>
          <w:rFonts w:eastAsia="SimSun" w:hint="eastAsia"/>
          <w:lang w:val="en-US" w:eastAsia="zh-CN"/>
        </w:rPr>
        <w:t>G</w:t>
      </w:r>
      <w:r w:rsidRPr="0029361E">
        <w:t>.</w:t>
      </w:r>
      <w:r w:rsidRPr="0029361E">
        <w:rPr>
          <w:rFonts w:eastAsia="SimSun" w:hint="eastAsia"/>
          <w:lang w:val="en-US" w:eastAsia="zh-CN"/>
        </w:rPr>
        <w:t>2.3.2.1.1</w:t>
      </w:r>
      <w:r w:rsidRPr="0029361E">
        <w:t>-1 shows the variation of the downlink SNR of the SSB in set q</w:t>
      </w:r>
      <w:r w:rsidRPr="0029361E">
        <w:rPr>
          <w:vertAlign w:val="subscript"/>
        </w:rPr>
        <w:t>0</w:t>
      </w:r>
      <w:r w:rsidRPr="0029361E">
        <w:t xml:space="preserve"> in the active cell to emulate SSB based beam failure. Figure </w:t>
      </w:r>
      <w:r w:rsidRPr="0029361E">
        <w:rPr>
          <w:rFonts w:eastAsia="SimSun" w:hint="eastAsia"/>
          <w:lang w:val="en-US" w:eastAsia="zh-CN"/>
        </w:rPr>
        <w:t>G</w:t>
      </w:r>
      <w:r w:rsidRPr="0029361E">
        <w:t>.</w:t>
      </w:r>
      <w:r w:rsidRPr="0029361E">
        <w:rPr>
          <w:rFonts w:eastAsia="SimSun" w:hint="eastAsia"/>
          <w:lang w:val="en-US" w:eastAsia="zh-CN"/>
        </w:rPr>
        <w:t>2.3.2.1.1</w:t>
      </w:r>
      <w:r w:rsidRPr="0029361E">
        <w:t>-1 additionally shows the variation of the downlink L1-RSRP of the SSB in set q</w:t>
      </w:r>
      <w:r w:rsidRPr="0029361E">
        <w:rPr>
          <w:vertAlign w:val="subscript"/>
        </w:rPr>
        <w:t>1</w:t>
      </w:r>
      <w:r w:rsidRPr="0029361E">
        <w:t xml:space="preserve"> of the candidate beam used for link recovery. Prior to the start of the time duration T1, the </w:t>
      </w:r>
      <w:r w:rsidRPr="0029361E">
        <w:rPr>
          <w:rFonts w:eastAsia="SimSun" w:hint="eastAsia"/>
          <w:lang w:eastAsia="zh-CN"/>
        </w:rPr>
        <w:t>IAB-MT</w:t>
      </w:r>
      <w:r w:rsidRPr="0029361E">
        <w:t xml:space="preserve"> shall be fully synchronized to cell 1. The </w:t>
      </w:r>
      <w:r w:rsidRPr="0029361E">
        <w:rPr>
          <w:rFonts w:eastAsia="SimSun" w:hint="eastAsia"/>
          <w:lang w:eastAsia="zh-CN"/>
        </w:rPr>
        <w:t>IAB-MT</w:t>
      </w:r>
      <w:r w:rsidRPr="0029361E">
        <w:t xml:space="preserve"> shall be configured for periodic CSI reporting with a reporting periodicity of 2 ms. The </w:t>
      </w:r>
      <w:r w:rsidRPr="0029361E">
        <w:rPr>
          <w:rFonts w:eastAsia="SimSun" w:hint="eastAsia"/>
          <w:lang w:eastAsia="zh-CN"/>
        </w:rPr>
        <w:t>IAB-MT</w:t>
      </w:r>
      <w:r w:rsidRPr="0029361E">
        <w:t xml:space="preserve"> is configured to perform inter-freq</w:t>
      </w:r>
      <w:r w:rsidRPr="0029361E">
        <w:rPr>
          <w:rFonts w:eastAsia="SimSun" w:hint="eastAsia"/>
          <w:lang w:val="en-US" w:eastAsia="zh-CN"/>
        </w:rPr>
        <w:t>ue</w:t>
      </w:r>
      <w:r w:rsidRPr="0029361E">
        <w:t>ncy measurements using GP ID #0 (40ms) in test 1.</w:t>
      </w:r>
    </w:p>
    <w:p w14:paraId="41817B5F" w14:textId="77777777" w:rsidR="003A71DE" w:rsidRPr="0029361E" w:rsidRDefault="003A71DE" w:rsidP="00746C0D">
      <w:pPr>
        <w:pStyle w:val="TH"/>
      </w:pPr>
      <w:r w:rsidRPr="0029361E">
        <w:lastRenderedPageBreak/>
        <w:t xml:space="preserve">Table </w:t>
      </w:r>
      <w:r w:rsidRPr="0029361E">
        <w:rPr>
          <w:rFonts w:eastAsia="SimSun" w:hint="eastAsia"/>
          <w:lang w:val="en-US" w:eastAsia="zh-CN"/>
        </w:rPr>
        <w:t>G</w:t>
      </w:r>
      <w:r w:rsidRPr="0029361E">
        <w:t>.</w:t>
      </w:r>
      <w:r w:rsidRPr="0029361E">
        <w:rPr>
          <w:rFonts w:eastAsia="SimSun" w:hint="eastAsia"/>
          <w:lang w:val="en-US" w:eastAsia="zh-CN"/>
        </w:rPr>
        <w:t>2.3.2.1.1</w:t>
      </w:r>
      <w:r w:rsidRPr="0029361E">
        <w:t>-1: Supported test configurations for FR1 PCell</w:t>
      </w:r>
    </w:p>
    <w:tbl>
      <w:tblPr>
        <w:tblW w:w="9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5"/>
        <w:gridCol w:w="6905"/>
      </w:tblGrid>
      <w:tr w:rsidR="003A71DE" w:rsidRPr="0029361E" w14:paraId="0EDD09D9" w14:textId="77777777" w:rsidTr="003A71DE">
        <w:trPr>
          <w:trHeight w:val="187"/>
          <w:jc w:val="center"/>
        </w:trPr>
        <w:tc>
          <w:tcPr>
            <w:tcW w:w="2265" w:type="dxa"/>
            <w:shd w:val="clear" w:color="auto" w:fill="auto"/>
          </w:tcPr>
          <w:p w14:paraId="1F66BADD" w14:textId="77777777" w:rsidR="003A71DE" w:rsidRPr="0029361E" w:rsidRDefault="003A71DE" w:rsidP="00A40F90">
            <w:pPr>
              <w:pStyle w:val="TAH"/>
            </w:pPr>
            <w:r w:rsidRPr="0029361E">
              <w:t>Configuration</w:t>
            </w:r>
          </w:p>
        </w:tc>
        <w:tc>
          <w:tcPr>
            <w:tcW w:w="6905" w:type="dxa"/>
            <w:shd w:val="clear" w:color="auto" w:fill="auto"/>
          </w:tcPr>
          <w:p w14:paraId="431B7179" w14:textId="77777777" w:rsidR="003A71DE" w:rsidRPr="0029361E" w:rsidRDefault="003A71DE" w:rsidP="00A40F90">
            <w:pPr>
              <w:pStyle w:val="TAH"/>
            </w:pPr>
            <w:r w:rsidRPr="0029361E">
              <w:t>Description</w:t>
            </w:r>
          </w:p>
        </w:tc>
      </w:tr>
      <w:tr w:rsidR="003A71DE" w:rsidRPr="0029361E" w14:paraId="4DAE2A6C" w14:textId="77777777" w:rsidTr="003A71DE">
        <w:trPr>
          <w:trHeight w:val="187"/>
          <w:jc w:val="center"/>
        </w:trPr>
        <w:tc>
          <w:tcPr>
            <w:tcW w:w="2265" w:type="dxa"/>
            <w:shd w:val="clear" w:color="auto" w:fill="auto"/>
          </w:tcPr>
          <w:p w14:paraId="50CF89F8" w14:textId="77777777" w:rsidR="003A71DE" w:rsidRPr="0029361E" w:rsidRDefault="003A71DE" w:rsidP="00A40F90">
            <w:pPr>
              <w:pStyle w:val="TAL"/>
              <w:rPr>
                <w:rFonts w:eastAsia="SimSun"/>
                <w:lang w:eastAsia="zh-CN"/>
              </w:rPr>
            </w:pPr>
            <w:r w:rsidRPr="0029361E">
              <w:rPr>
                <w:rFonts w:eastAsia="SimSun" w:hint="eastAsia"/>
                <w:lang w:val="en-US" w:eastAsia="zh-CN"/>
              </w:rPr>
              <w:t>1</w:t>
            </w:r>
          </w:p>
        </w:tc>
        <w:tc>
          <w:tcPr>
            <w:tcW w:w="6905" w:type="dxa"/>
            <w:shd w:val="clear" w:color="auto" w:fill="auto"/>
          </w:tcPr>
          <w:p w14:paraId="44ECDB84" w14:textId="77777777" w:rsidR="003A71DE" w:rsidRPr="0029361E" w:rsidRDefault="003A71DE" w:rsidP="00A40F90">
            <w:pPr>
              <w:pStyle w:val="TAL"/>
            </w:pPr>
            <w:r w:rsidRPr="0029361E">
              <w:t>TDD duplex mode, 15 kHz SSB SCS, 10 MHz bandwidth</w:t>
            </w:r>
          </w:p>
        </w:tc>
      </w:tr>
      <w:tr w:rsidR="003A71DE" w:rsidRPr="0029361E" w14:paraId="13AD2655" w14:textId="77777777" w:rsidTr="003A71DE">
        <w:trPr>
          <w:trHeight w:val="187"/>
          <w:jc w:val="center"/>
        </w:trPr>
        <w:tc>
          <w:tcPr>
            <w:tcW w:w="2265" w:type="dxa"/>
            <w:shd w:val="clear" w:color="auto" w:fill="auto"/>
          </w:tcPr>
          <w:p w14:paraId="2D9E5869" w14:textId="77777777" w:rsidR="003A71DE" w:rsidRPr="0029361E" w:rsidRDefault="003A71DE" w:rsidP="00A40F90">
            <w:pPr>
              <w:pStyle w:val="TAL"/>
              <w:rPr>
                <w:rFonts w:eastAsia="SimSun"/>
                <w:lang w:eastAsia="zh-CN"/>
              </w:rPr>
            </w:pPr>
            <w:r w:rsidRPr="0029361E">
              <w:rPr>
                <w:rFonts w:eastAsia="SimSun" w:hint="eastAsia"/>
                <w:lang w:val="en-US" w:eastAsia="zh-CN"/>
              </w:rPr>
              <w:t>2</w:t>
            </w:r>
          </w:p>
        </w:tc>
        <w:tc>
          <w:tcPr>
            <w:tcW w:w="6905" w:type="dxa"/>
            <w:shd w:val="clear" w:color="auto" w:fill="auto"/>
          </w:tcPr>
          <w:p w14:paraId="2EB2928E" w14:textId="77777777" w:rsidR="003A71DE" w:rsidRPr="0029361E" w:rsidRDefault="003A71DE" w:rsidP="00A40F90">
            <w:pPr>
              <w:pStyle w:val="TAL"/>
            </w:pPr>
            <w:r w:rsidRPr="0029361E">
              <w:t>TDD duplex mode, 30 kHz SSB SCS, 40 MHz bandwidth</w:t>
            </w:r>
          </w:p>
        </w:tc>
      </w:tr>
      <w:tr w:rsidR="003A71DE" w:rsidRPr="0029361E" w14:paraId="5E79FDE4" w14:textId="77777777" w:rsidTr="003A71DE">
        <w:trPr>
          <w:trHeight w:val="187"/>
          <w:jc w:val="center"/>
        </w:trPr>
        <w:tc>
          <w:tcPr>
            <w:tcW w:w="9170" w:type="dxa"/>
            <w:gridSpan w:val="2"/>
            <w:shd w:val="clear" w:color="auto" w:fill="auto"/>
          </w:tcPr>
          <w:p w14:paraId="74A44F10" w14:textId="77777777" w:rsidR="003A71DE" w:rsidRPr="0029361E" w:rsidRDefault="003A71DE" w:rsidP="00A40F90">
            <w:pPr>
              <w:pStyle w:val="TAN"/>
            </w:pPr>
            <w:r w:rsidRPr="0029361E">
              <w:t>Note:</w:t>
            </w:r>
            <w:r w:rsidRPr="0029361E">
              <w:tab/>
              <w:t xml:space="preserve">The </w:t>
            </w:r>
            <w:r w:rsidRPr="0029361E">
              <w:rPr>
                <w:rFonts w:eastAsia="SimSun" w:hint="eastAsia"/>
                <w:lang w:eastAsia="zh-CN"/>
              </w:rPr>
              <w:t>IAB-MT</w:t>
            </w:r>
            <w:r w:rsidRPr="0029361E">
              <w:t xml:space="preserve"> is only required to pass in one of the supported test configurations in FR1</w:t>
            </w:r>
          </w:p>
        </w:tc>
      </w:tr>
    </w:tbl>
    <w:p w14:paraId="090DEF05" w14:textId="77777777" w:rsidR="003A71DE" w:rsidRPr="0029361E" w:rsidRDefault="003A71DE" w:rsidP="003A71DE">
      <w:pPr>
        <w:keepNext/>
        <w:keepLines/>
        <w:spacing w:before="60" w:line="259" w:lineRule="auto"/>
        <w:jc w:val="center"/>
        <w:rPr>
          <w:rFonts w:ascii="Arial" w:hAnsi="Arial"/>
          <w:b/>
        </w:rPr>
      </w:pPr>
    </w:p>
    <w:p w14:paraId="76974876" w14:textId="77777777" w:rsidR="003A71DE" w:rsidRPr="0029361E" w:rsidRDefault="003A71DE" w:rsidP="00746C0D">
      <w:pPr>
        <w:pStyle w:val="TH"/>
      </w:pPr>
      <w:r w:rsidRPr="0029361E">
        <w:t xml:space="preserve">Table </w:t>
      </w:r>
      <w:r w:rsidRPr="0029361E">
        <w:rPr>
          <w:rFonts w:eastAsia="SimSun" w:hint="eastAsia"/>
          <w:lang w:val="en-US" w:eastAsia="zh-CN"/>
        </w:rPr>
        <w:t>G</w:t>
      </w:r>
      <w:r w:rsidRPr="0029361E">
        <w:t>.</w:t>
      </w:r>
      <w:r w:rsidRPr="0029361E">
        <w:rPr>
          <w:rFonts w:eastAsia="SimSun" w:hint="eastAsia"/>
          <w:lang w:val="en-US" w:eastAsia="zh-CN"/>
        </w:rPr>
        <w:t>2.3.2.1.1</w:t>
      </w:r>
      <w:r w:rsidRPr="0029361E">
        <w:t xml:space="preserve">-2: General test parameters for FR1 PCell for SSB-based beam failure detection and link recovery testing </w:t>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670"/>
        <w:gridCol w:w="493"/>
        <w:gridCol w:w="1103"/>
        <w:gridCol w:w="994"/>
        <w:gridCol w:w="1985"/>
        <w:gridCol w:w="3118"/>
      </w:tblGrid>
      <w:tr w:rsidR="003A71DE" w:rsidRPr="0029361E" w14:paraId="47E300ED" w14:textId="77777777" w:rsidTr="003A71DE">
        <w:trPr>
          <w:trHeight w:val="187"/>
          <w:jc w:val="center"/>
        </w:trPr>
        <w:tc>
          <w:tcPr>
            <w:tcW w:w="4104" w:type="dxa"/>
            <w:gridSpan w:val="4"/>
            <w:tcBorders>
              <w:bottom w:val="nil"/>
            </w:tcBorders>
            <w:shd w:val="clear" w:color="auto" w:fill="auto"/>
          </w:tcPr>
          <w:p w14:paraId="24C3D92B" w14:textId="77777777" w:rsidR="003A71DE" w:rsidRPr="0029361E" w:rsidRDefault="003A71DE" w:rsidP="00A40F90">
            <w:pPr>
              <w:pStyle w:val="TAH"/>
            </w:pPr>
            <w:r w:rsidRPr="0029361E">
              <w:lastRenderedPageBreak/>
              <w:t>Parameter</w:t>
            </w:r>
          </w:p>
        </w:tc>
        <w:tc>
          <w:tcPr>
            <w:tcW w:w="994" w:type="dxa"/>
            <w:tcBorders>
              <w:bottom w:val="nil"/>
            </w:tcBorders>
            <w:shd w:val="clear" w:color="auto" w:fill="auto"/>
          </w:tcPr>
          <w:p w14:paraId="086F1BAB" w14:textId="77777777" w:rsidR="003A71DE" w:rsidRPr="0029361E" w:rsidRDefault="003A71DE" w:rsidP="00A40F90">
            <w:pPr>
              <w:pStyle w:val="TAH"/>
            </w:pPr>
            <w:r w:rsidRPr="0029361E">
              <w:t>Unit</w:t>
            </w:r>
          </w:p>
        </w:tc>
        <w:tc>
          <w:tcPr>
            <w:tcW w:w="1985" w:type="dxa"/>
            <w:shd w:val="clear" w:color="auto" w:fill="auto"/>
          </w:tcPr>
          <w:p w14:paraId="298528D1" w14:textId="77777777" w:rsidR="003A71DE" w:rsidRPr="0029361E" w:rsidRDefault="003A71DE" w:rsidP="00A40F90">
            <w:pPr>
              <w:pStyle w:val="TAH"/>
            </w:pPr>
            <w:r w:rsidRPr="0029361E">
              <w:t>Value</w:t>
            </w:r>
          </w:p>
        </w:tc>
        <w:tc>
          <w:tcPr>
            <w:tcW w:w="3118" w:type="dxa"/>
          </w:tcPr>
          <w:p w14:paraId="747BAE84" w14:textId="77777777" w:rsidR="003A71DE" w:rsidRPr="0029361E" w:rsidRDefault="003A71DE" w:rsidP="00A40F90">
            <w:pPr>
              <w:pStyle w:val="TAH"/>
            </w:pPr>
            <w:r w:rsidRPr="0029361E">
              <w:t>Comment</w:t>
            </w:r>
          </w:p>
        </w:tc>
      </w:tr>
      <w:tr w:rsidR="003A71DE" w:rsidRPr="0029361E" w14:paraId="7B1E4B92" w14:textId="77777777" w:rsidTr="003A71DE">
        <w:trPr>
          <w:trHeight w:val="187"/>
          <w:jc w:val="center"/>
        </w:trPr>
        <w:tc>
          <w:tcPr>
            <w:tcW w:w="4104" w:type="dxa"/>
            <w:gridSpan w:val="4"/>
            <w:tcBorders>
              <w:top w:val="nil"/>
            </w:tcBorders>
            <w:shd w:val="clear" w:color="auto" w:fill="auto"/>
          </w:tcPr>
          <w:p w14:paraId="6AA7716A" w14:textId="77777777" w:rsidR="003A71DE" w:rsidRPr="0029361E" w:rsidRDefault="003A71DE" w:rsidP="00A40F90">
            <w:pPr>
              <w:pStyle w:val="TAH"/>
            </w:pPr>
          </w:p>
        </w:tc>
        <w:tc>
          <w:tcPr>
            <w:tcW w:w="994" w:type="dxa"/>
            <w:tcBorders>
              <w:top w:val="nil"/>
            </w:tcBorders>
            <w:shd w:val="clear" w:color="auto" w:fill="auto"/>
          </w:tcPr>
          <w:p w14:paraId="34B6F03C" w14:textId="77777777" w:rsidR="003A71DE" w:rsidRPr="0029361E" w:rsidRDefault="003A71DE" w:rsidP="00A40F90">
            <w:pPr>
              <w:pStyle w:val="TAH"/>
            </w:pPr>
          </w:p>
        </w:tc>
        <w:tc>
          <w:tcPr>
            <w:tcW w:w="1985" w:type="dxa"/>
            <w:shd w:val="clear" w:color="auto" w:fill="auto"/>
          </w:tcPr>
          <w:p w14:paraId="692B09E2" w14:textId="77777777" w:rsidR="003A71DE" w:rsidRPr="0029361E" w:rsidRDefault="003A71DE" w:rsidP="00A40F90">
            <w:pPr>
              <w:pStyle w:val="TAH"/>
            </w:pPr>
            <w:r w:rsidRPr="0029361E">
              <w:t>Test 1</w:t>
            </w:r>
          </w:p>
        </w:tc>
        <w:tc>
          <w:tcPr>
            <w:tcW w:w="3118" w:type="dxa"/>
          </w:tcPr>
          <w:p w14:paraId="33270602" w14:textId="77777777" w:rsidR="003A71DE" w:rsidRPr="0029361E" w:rsidRDefault="003A71DE" w:rsidP="00A40F90">
            <w:pPr>
              <w:pStyle w:val="TAH"/>
            </w:pPr>
          </w:p>
        </w:tc>
      </w:tr>
      <w:tr w:rsidR="003A71DE" w:rsidRPr="0029361E" w14:paraId="00C1FEE1" w14:textId="77777777" w:rsidTr="003A71DE">
        <w:trPr>
          <w:trHeight w:val="187"/>
          <w:jc w:val="center"/>
        </w:trPr>
        <w:tc>
          <w:tcPr>
            <w:tcW w:w="4104" w:type="dxa"/>
            <w:gridSpan w:val="4"/>
            <w:shd w:val="clear" w:color="auto" w:fill="auto"/>
          </w:tcPr>
          <w:p w14:paraId="54461FDE"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Active PSCell</w:t>
            </w:r>
          </w:p>
        </w:tc>
        <w:tc>
          <w:tcPr>
            <w:tcW w:w="994" w:type="dxa"/>
            <w:shd w:val="clear" w:color="auto" w:fill="auto"/>
          </w:tcPr>
          <w:p w14:paraId="21415CFE"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639951D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Cell 1</w:t>
            </w:r>
          </w:p>
        </w:tc>
        <w:tc>
          <w:tcPr>
            <w:tcW w:w="3118" w:type="dxa"/>
          </w:tcPr>
          <w:p w14:paraId="0BE58F95"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73522E6B" w14:textId="77777777" w:rsidTr="003A71DE">
        <w:trPr>
          <w:trHeight w:val="187"/>
          <w:jc w:val="center"/>
        </w:trPr>
        <w:tc>
          <w:tcPr>
            <w:tcW w:w="4104" w:type="dxa"/>
            <w:gridSpan w:val="4"/>
            <w:shd w:val="clear" w:color="auto" w:fill="auto"/>
          </w:tcPr>
          <w:p w14:paraId="2D5BB69C"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RF Channel Number</w:t>
            </w:r>
          </w:p>
        </w:tc>
        <w:tc>
          <w:tcPr>
            <w:tcW w:w="994" w:type="dxa"/>
            <w:tcBorders>
              <w:bottom w:val="single" w:sz="4" w:space="0" w:color="auto"/>
            </w:tcBorders>
            <w:shd w:val="clear" w:color="auto" w:fill="auto"/>
          </w:tcPr>
          <w:p w14:paraId="32795358"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737F1FAF"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1</w:t>
            </w:r>
          </w:p>
        </w:tc>
        <w:tc>
          <w:tcPr>
            <w:tcW w:w="3118" w:type="dxa"/>
          </w:tcPr>
          <w:p w14:paraId="6EEF746B"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38D75C07" w14:textId="77777777" w:rsidTr="003A71DE">
        <w:trPr>
          <w:trHeight w:val="187"/>
          <w:jc w:val="center"/>
        </w:trPr>
        <w:tc>
          <w:tcPr>
            <w:tcW w:w="3001" w:type="dxa"/>
            <w:gridSpan w:val="3"/>
            <w:tcBorders>
              <w:top w:val="nil"/>
            </w:tcBorders>
            <w:shd w:val="clear" w:color="auto" w:fill="auto"/>
          </w:tcPr>
          <w:p w14:paraId="32CBC153"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Duplex mode</w:t>
            </w:r>
          </w:p>
        </w:tc>
        <w:tc>
          <w:tcPr>
            <w:tcW w:w="1103" w:type="dxa"/>
            <w:shd w:val="clear" w:color="auto" w:fill="auto"/>
          </w:tcPr>
          <w:p w14:paraId="4DC449C5"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r w:rsidRPr="0029361E">
              <w:rPr>
                <w:rFonts w:ascii="Arial" w:hAnsi="Arial"/>
                <w:sz w:val="18"/>
              </w:rPr>
              <w:t xml:space="preserve">, </w:t>
            </w:r>
            <w:r w:rsidRPr="0029361E">
              <w:rPr>
                <w:rFonts w:ascii="Arial" w:eastAsia="SimSun" w:hAnsi="Arial" w:hint="eastAsia"/>
                <w:sz w:val="18"/>
                <w:lang w:val="en-US" w:eastAsia="zh-CN"/>
              </w:rPr>
              <w:t>2</w:t>
            </w:r>
          </w:p>
        </w:tc>
        <w:tc>
          <w:tcPr>
            <w:tcW w:w="994" w:type="dxa"/>
            <w:tcBorders>
              <w:top w:val="nil"/>
            </w:tcBorders>
            <w:shd w:val="clear" w:color="auto" w:fill="auto"/>
          </w:tcPr>
          <w:p w14:paraId="7E4EE261"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334F9EF2"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TDD</w:t>
            </w:r>
          </w:p>
        </w:tc>
        <w:tc>
          <w:tcPr>
            <w:tcW w:w="3118" w:type="dxa"/>
          </w:tcPr>
          <w:p w14:paraId="10917F8F"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7B9AB78A" w14:textId="77777777" w:rsidTr="003A71DE">
        <w:trPr>
          <w:trHeight w:val="187"/>
          <w:jc w:val="center"/>
        </w:trPr>
        <w:tc>
          <w:tcPr>
            <w:tcW w:w="3001" w:type="dxa"/>
            <w:gridSpan w:val="3"/>
            <w:tcBorders>
              <w:top w:val="single" w:sz="4" w:space="0" w:color="auto"/>
              <w:left w:val="single" w:sz="4" w:space="0" w:color="auto"/>
              <w:bottom w:val="single" w:sz="4" w:space="0" w:color="auto"/>
              <w:right w:val="single" w:sz="4" w:space="0" w:color="auto"/>
            </w:tcBorders>
            <w:shd w:val="clear" w:color="auto" w:fill="auto"/>
          </w:tcPr>
          <w:p w14:paraId="38F25288"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BWchannel</w:t>
            </w:r>
          </w:p>
        </w:tc>
        <w:tc>
          <w:tcPr>
            <w:tcW w:w="1103" w:type="dxa"/>
            <w:tcBorders>
              <w:top w:val="single" w:sz="4" w:space="0" w:color="auto"/>
              <w:left w:val="single" w:sz="4" w:space="0" w:color="auto"/>
              <w:bottom w:val="single" w:sz="4" w:space="0" w:color="auto"/>
              <w:right w:val="single" w:sz="4" w:space="0" w:color="auto"/>
            </w:tcBorders>
            <w:shd w:val="clear" w:color="auto" w:fill="auto"/>
          </w:tcPr>
          <w:p w14:paraId="43550B04"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3094699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MHz</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48A407EB"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10: NRB,c = 52</w:t>
            </w:r>
          </w:p>
        </w:tc>
        <w:tc>
          <w:tcPr>
            <w:tcW w:w="3118" w:type="dxa"/>
            <w:tcBorders>
              <w:top w:val="single" w:sz="4" w:space="0" w:color="auto"/>
              <w:left w:val="single" w:sz="4" w:space="0" w:color="auto"/>
              <w:bottom w:val="single" w:sz="4" w:space="0" w:color="auto"/>
              <w:right w:val="single" w:sz="4" w:space="0" w:color="auto"/>
            </w:tcBorders>
          </w:tcPr>
          <w:p w14:paraId="57D0AD71"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9442BB9" w14:textId="77777777" w:rsidTr="003A71DE">
        <w:trPr>
          <w:trHeight w:val="187"/>
          <w:jc w:val="center"/>
        </w:trPr>
        <w:tc>
          <w:tcPr>
            <w:tcW w:w="3001" w:type="dxa"/>
            <w:gridSpan w:val="3"/>
            <w:tcBorders>
              <w:top w:val="single" w:sz="4" w:space="0" w:color="auto"/>
              <w:left w:val="single" w:sz="4" w:space="0" w:color="auto"/>
              <w:bottom w:val="single" w:sz="4" w:space="0" w:color="auto"/>
              <w:right w:val="single" w:sz="4" w:space="0" w:color="auto"/>
            </w:tcBorders>
            <w:shd w:val="clear" w:color="auto" w:fill="auto"/>
          </w:tcPr>
          <w:p w14:paraId="7980341F" w14:textId="77777777" w:rsidR="003A71DE" w:rsidRPr="0029361E" w:rsidRDefault="003A71DE" w:rsidP="003A71DE">
            <w:pPr>
              <w:keepNext/>
              <w:keepLines/>
              <w:spacing w:after="0" w:line="259" w:lineRule="auto"/>
              <w:rPr>
                <w:rFonts w:ascii="Arial" w:hAnsi="Arial"/>
                <w:sz w:val="18"/>
              </w:rPr>
            </w:pPr>
          </w:p>
        </w:tc>
        <w:tc>
          <w:tcPr>
            <w:tcW w:w="1103" w:type="dxa"/>
            <w:tcBorders>
              <w:top w:val="single" w:sz="4" w:space="0" w:color="auto"/>
              <w:left w:val="single" w:sz="4" w:space="0" w:color="auto"/>
              <w:bottom w:val="single" w:sz="4" w:space="0" w:color="auto"/>
              <w:right w:val="single" w:sz="4" w:space="0" w:color="auto"/>
            </w:tcBorders>
            <w:shd w:val="clear" w:color="auto" w:fill="auto"/>
          </w:tcPr>
          <w:p w14:paraId="465C875E"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66C1EF99" w14:textId="77777777" w:rsidR="003A71DE" w:rsidRPr="0029361E" w:rsidRDefault="003A71DE" w:rsidP="003A71DE">
            <w:pPr>
              <w:keepNext/>
              <w:keepLines/>
              <w:spacing w:after="0" w:line="259" w:lineRule="auto"/>
              <w:jc w:val="center"/>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3911A13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40: NRB,c = 106</w:t>
            </w:r>
          </w:p>
        </w:tc>
        <w:tc>
          <w:tcPr>
            <w:tcW w:w="3118" w:type="dxa"/>
            <w:tcBorders>
              <w:top w:val="single" w:sz="4" w:space="0" w:color="auto"/>
              <w:left w:val="single" w:sz="4" w:space="0" w:color="auto"/>
              <w:bottom w:val="single" w:sz="4" w:space="0" w:color="auto"/>
              <w:right w:val="single" w:sz="4" w:space="0" w:color="auto"/>
            </w:tcBorders>
          </w:tcPr>
          <w:p w14:paraId="74638722"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8F9B1F4" w14:textId="77777777" w:rsidTr="003A71DE">
        <w:trPr>
          <w:trHeight w:val="187"/>
          <w:jc w:val="center"/>
        </w:trPr>
        <w:tc>
          <w:tcPr>
            <w:tcW w:w="3001" w:type="dxa"/>
            <w:gridSpan w:val="3"/>
            <w:tcBorders>
              <w:top w:val="single" w:sz="4" w:space="0" w:color="auto"/>
              <w:left w:val="single" w:sz="4" w:space="0" w:color="auto"/>
              <w:bottom w:val="single" w:sz="4" w:space="0" w:color="auto"/>
              <w:right w:val="single" w:sz="4" w:space="0" w:color="auto"/>
            </w:tcBorders>
            <w:shd w:val="clear" w:color="auto" w:fill="auto"/>
          </w:tcPr>
          <w:p w14:paraId="374E222A"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DL initial BWP configuration</w:t>
            </w:r>
          </w:p>
        </w:tc>
        <w:tc>
          <w:tcPr>
            <w:tcW w:w="1103" w:type="dxa"/>
            <w:tcBorders>
              <w:top w:val="single" w:sz="4" w:space="0" w:color="auto"/>
              <w:left w:val="single" w:sz="4" w:space="0" w:color="auto"/>
              <w:bottom w:val="single" w:sz="4" w:space="0" w:color="auto"/>
              <w:right w:val="single" w:sz="4" w:space="0" w:color="auto"/>
            </w:tcBorders>
            <w:shd w:val="clear" w:color="auto" w:fill="auto"/>
          </w:tcPr>
          <w:p w14:paraId="4B816373"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 2</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3DD1037A" w14:textId="77777777" w:rsidR="003A71DE" w:rsidRPr="0029361E" w:rsidRDefault="003A71DE" w:rsidP="003A71DE">
            <w:pPr>
              <w:keepNext/>
              <w:keepLines/>
              <w:spacing w:after="0" w:line="259" w:lineRule="auto"/>
              <w:jc w:val="center"/>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167F2AD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DLBWP.0.1</w:t>
            </w:r>
          </w:p>
        </w:tc>
        <w:tc>
          <w:tcPr>
            <w:tcW w:w="3118" w:type="dxa"/>
            <w:tcBorders>
              <w:top w:val="single" w:sz="4" w:space="0" w:color="auto"/>
              <w:left w:val="single" w:sz="4" w:space="0" w:color="auto"/>
              <w:bottom w:val="single" w:sz="4" w:space="0" w:color="auto"/>
              <w:right w:val="single" w:sz="4" w:space="0" w:color="auto"/>
            </w:tcBorders>
          </w:tcPr>
          <w:p w14:paraId="279BA445"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539DBD4" w14:textId="77777777" w:rsidTr="003A71DE">
        <w:trPr>
          <w:trHeight w:val="187"/>
          <w:jc w:val="center"/>
        </w:trPr>
        <w:tc>
          <w:tcPr>
            <w:tcW w:w="3001" w:type="dxa"/>
            <w:gridSpan w:val="3"/>
            <w:tcBorders>
              <w:top w:val="single" w:sz="4" w:space="0" w:color="auto"/>
              <w:left w:val="single" w:sz="4" w:space="0" w:color="auto"/>
              <w:bottom w:val="single" w:sz="4" w:space="0" w:color="auto"/>
              <w:right w:val="single" w:sz="4" w:space="0" w:color="auto"/>
            </w:tcBorders>
            <w:shd w:val="clear" w:color="auto" w:fill="auto"/>
          </w:tcPr>
          <w:p w14:paraId="3E2C8AAC"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DL dedicated BWP configuration</w:t>
            </w:r>
          </w:p>
        </w:tc>
        <w:tc>
          <w:tcPr>
            <w:tcW w:w="1103" w:type="dxa"/>
            <w:tcBorders>
              <w:top w:val="single" w:sz="4" w:space="0" w:color="auto"/>
              <w:left w:val="single" w:sz="4" w:space="0" w:color="auto"/>
              <w:bottom w:val="single" w:sz="4" w:space="0" w:color="auto"/>
              <w:right w:val="single" w:sz="4" w:space="0" w:color="auto"/>
            </w:tcBorders>
            <w:shd w:val="clear" w:color="auto" w:fill="auto"/>
          </w:tcPr>
          <w:p w14:paraId="4DD0C8B1"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 2</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5DB010D4" w14:textId="77777777" w:rsidR="003A71DE" w:rsidRPr="0029361E" w:rsidRDefault="003A71DE" w:rsidP="003A71DE">
            <w:pPr>
              <w:keepNext/>
              <w:keepLines/>
              <w:spacing w:after="0" w:line="259" w:lineRule="auto"/>
              <w:jc w:val="center"/>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46828FC0"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DLBWP.1.1</w:t>
            </w:r>
          </w:p>
        </w:tc>
        <w:tc>
          <w:tcPr>
            <w:tcW w:w="3118" w:type="dxa"/>
            <w:tcBorders>
              <w:top w:val="single" w:sz="4" w:space="0" w:color="auto"/>
              <w:left w:val="single" w:sz="4" w:space="0" w:color="auto"/>
              <w:bottom w:val="single" w:sz="4" w:space="0" w:color="auto"/>
              <w:right w:val="single" w:sz="4" w:space="0" w:color="auto"/>
            </w:tcBorders>
          </w:tcPr>
          <w:p w14:paraId="19D18076"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A0C5567" w14:textId="77777777" w:rsidTr="003A71DE">
        <w:trPr>
          <w:trHeight w:val="187"/>
          <w:jc w:val="center"/>
        </w:trPr>
        <w:tc>
          <w:tcPr>
            <w:tcW w:w="3001" w:type="dxa"/>
            <w:gridSpan w:val="3"/>
            <w:tcBorders>
              <w:top w:val="single" w:sz="4" w:space="0" w:color="auto"/>
              <w:left w:val="single" w:sz="4" w:space="0" w:color="auto"/>
              <w:bottom w:val="single" w:sz="4" w:space="0" w:color="auto"/>
              <w:right w:val="single" w:sz="4" w:space="0" w:color="auto"/>
            </w:tcBorders>
            <w:shd w:val="clear" w:color="auto" w:fill="auto"/>
          </w:tcPr>
          <w:p w14:paraId="67B306E4"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UL initial BWP configuration</w:t>
            </w:r>
          </w:p>
        </w:tc>
        <w:tc>
          <w:tcPr>
            <w:tcW w:w="1103" w:type="dxa"/>
            <w:tcBorders>
              <w:top w:val="single" w:sz="4" w:space="0" w:color="auto"/>
              <w:left w:val="single" w:sz="4" w:space="0" w:color="auto"/>
              <w:bottom w:val="single" w:sz="4" w:space="0" w:color="auto"/>
              <w:right w:val="single" w:sz="4" w:space="0" w:color="auto"/>
            </w:tcBorders>
            <w:shd w:val="clear" w:color="auto" w:fill="auto"/>
          </w:tcPr>
          <w:p w14:paraId="5A1C3F7B"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 2</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08BC25AF" w14:textId="77777777" w:rsidR="003A71DE" w:rsidRPr="0029361E" w:rsidRDefault="003A71DE" w:rsidP="003A71DE">
            <w:pPr>
              <w:keepNext/>
              <w:keepLines/>
              <w:spacing w:after="0" w:line="259" w:lineRule="auto"/>
              <w:jc w:val="center"/>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34FE4F7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ULBWP.0.1</w:t>
            </w:r>
          </w:p>
        </w:tc>
        <w:tc>
          <w:tcPr>
            <w:tcW w:w="3118" w:type="dxa"/>
            <w:tcBorders>
              <w:top w:val="single" w:sz="4" w:space="0" w:color="auto"/>
              <w:left w:val="single" w:sz="4" w:space="0" w:color="auto"/>
              <w:bottom w:val="single" w:sz="4" w:space="0" w:color="auto"/>
              <w:right w:val="single" w:sz="4" w:space="0" w:color="auto"/>
            </w:tcBorders>
          </w:tcPr>
          <w:p w14:paraId="1B3A639E"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820D81A" w14:textId="77777777" w:rsidTr="003A71DE">
        <w:trPr>
          <w:trHeight w:val="187"/>
          <w:jc w:val="center"/>
        </w:trPr>
        <w:tc>
          <w:tcPr>
            <w:tcW w:w="3001" w:type="dxa"/>
            <w:gridSpan w:val="3"/>
            <w:tcBorders>
              <w:top w:val="single" w:sz="4" w:space="0" w:color="auto"/>
              <w:left w:val="single" w:sz="4" w:space="0" w:color="auto"/>
              <w:bottom w:val="single" w:sz="4" w:space="0" w:color="auto"/>
              <w:right w:val="single" w:sz="4" w:space="0" w:color="auto"/>
            </w:tcBorders>
            <w:shd w:val="clear" w:color="auto" w:fill="auto"/>
          </w:tcPr>
          <w:p w14:paraId="36352251"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UL dedicated BWP configuration</w:t>
            </w:r>
          </w:p>
        </w:tc>
        <w:tc>
          <w:tcPr>
            <w:tcW w:w="1103" w:type="dxa"/>
            <w:tcBorders>
              <w:top w:val="single" w:sz="4" w:space="0" w:color="auto"/>
              <w:left w:val="single" w:sz="4" w:space="0" w:color="auto"/>
              <w:bottom w:val="single" w:sz="4" w:space="0" w:color="auto"/>
              <w:right w:val="single" w:sz="4" w:space="0" w:color="auto"/>
            </w:tcBorders>
            <w:shd w:val="clear" w:color="auto" w:fill="auto"/>
          </w:tcPr>
          <w:p w14:paraId="2F72455C"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 2</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4DDB9C49" w14:textId="77777777" w:rsidR="003A71DE" w:rsidRPr="0029361E" w:rsidRDefault="003A71DE" w:rsidP="003A71DE">
            <w:pPr>
              <w:keepNext/>
              <w:keepLines/>
              <w:spacing w:after="0" w:line="259" w:lineRule="auto"/>
              <w:jc w:val="center"/>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7D076964"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ULBWP.1.1</w:t>
            </w:r>
          </w:p>
        </w:tc>
        <w:tc>
          <w:tcPr>
            <w:tcW w:w="3118" w:type="dxa"/>
            <w:tcBorders>
              <w:top w:val="single" w:sz="4" w:space="0" w:color="auto"/>
              <w:left w:val="single" w:sz="4" w:space="0" w:color="auto"/>
              <w:bottom w:val="single" w:sz="4" w:space="0" w:color="auto"/>
              <w:right w:val="single" w:sz="4" w:space="0" w:color="auto"/>
            </w:tcBorders>
          </w:tcPr>
          <w:p w14:paraId="20632F78"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9E62949" w14:textId="77777777" w:rsidTr="003A71DE">
        <w:trPr>
          <w:trHeight w:val="187"/>
          <w:jc w:val="center"/>
        </w:trPr>
        <w:tc>
          <w:tcPr>
            <w:tcW w:w="3001" w:type="dxa"/>
            <w:gridSpan w:val="3"/>
            <w:tcBorders>
              <w:top w:val="nil"/>
              <w:bottom w:val="nil"/>
            </w:tcBorders>
            <w:shd w:val="clear" w:color="auto" w:fill="auto"/>
          </w:tcPr>
          <w:p w14:paraId="3F0F1831"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CORESET Reference Channel</w:t>
            </w:r>
          </w:p>
        </w:tc>
        <w:tc>
          <w:tcPr>
            <w:tcW w:w="1103" w:type="dxa"/>
            <w:shd w:val="clear" w:color="auto" w:fill="auto"/>
          </w:tcPr>
          <w:p w14:paraId="411FD2DD"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994" w:type="dxa"/>
            <w:tcBorders>
              <w:top w:val="nil"/>
              <w:bottom w:val="nil"/>
            </w:tcBorders>
            <w:shd w:val="clear" w:color="auto" w:fill="auto"/>
          </w:tcPr>
          <w:p w14:paraId="7CE93190"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191F53E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CR.1.1 TDD</w:t>
            </w:r>
          </w:p>
        </w:tc>
        <w:tc>
          <w:tcPr>
            <w:tcW w:w="3118" w:type="dxa"/>
          </w:tcPr>
          <w:p w14:paraId="61E1AE3C"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78F6691" w14:textId="77777777" w:rsidTr="003A71DE">
        <w:trPr>
          <w:trHeight w:val="187"/>
          <w:jc w:val="center"/>
        </w:trPr>
        <w:tc>
          <w:tcPr>
            <w:tcW w:w="3001" w:type="dxa"/>
            <w:gridSpan w:val="3"/>
            <w:tcBorders>
              <w:top w:val="nil"/>
              <w:bottom w:val="single" w:sz="4" w:space="0" w:color="auto"/>
            </w:tcBorders>
            <w:shd w:val="clear" w:color="auto" w:fill="auto"/>
          </w:tcPr>
          <w:p w14:paraId="7DCAA829" w14:textId="77777777" w:rsidR="003A71DE" w:rsidRPr="0029361E" w:rsidRDefault="003A71DE" w:rsidP="003A71DE">
            <w:pPr>
              <w:keepNext/>
              <w:keepLines/>
              <w:spacing w:after="0" w:line="259" w:lineRule="auto"/>
              <w:rPr>
                <w:rFonts w:ascii="Arial" w:hAnsi="Arial"/>
                <w:sz w:val="18"/>
              </w:rPr>
            </w:pPr>
          </w:p>
        </w:tc>
        <w:tc>
          <w:tcPr>
            <w:tcW w:w="1103" w:type="dxa"/>
            <w:shd w:val="clear" w:color="auto" w:fill="auto"/>
          </w:tcPr>
          <w:p w14:paraId="62A23A82"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994" w:type="dxa"/>
            <w:tcBorders>
              <w:top w:val="nil"/>
              <w:bottom w:val="single" w:sz="4" w:space="0" w:color="auto"/>
            </w:tcBorders>
            <w:shd w:val="clear" w:color="auto" w:fill="auto"/>
          </w:tcPr>
          <w:p w14:paraId="04AB72C2"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405E34AC"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CR.2.1 TDD</w:t>
            </w:r>
          </w:p>
        </w:tc>
        <w:tc>
          <w:tcPr>
            <w:tcW w:w="3118" w:type="dxa"/>
          </w:tcPr>
          <w:p w14:paraId="79178D29"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F0BBA4A" w14:textId="77777777" w:rsidTr="003A71DE">
        <w:trPr>
          <w:trHeight w:val="187"/>
          <w:jc w:val="center"/>
        </w:trPr>
        <w:tc>
          <w:tcPr>
            <w:tcW w:w="3001" w:type="dxa"/>
            <w:gridSpan w:val="3"/>
            <w:tcBorders>
              <w:top w:val="nil"/>
              <w:bottom w:val="nil"/>
            </w:tcBorders>
            <w:shd w:val="clear" w:color="auto" w:fill="auto"/>
          </w:tcPr>
          <w:p w14:paraId="735E8823"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SSB Configuration</w:t>
            </w:r>
          </w:p>
        </w:tc>
        <w:tc>
          <w:tcPr>
            <w:tcW w:w="1103" w:type="dxa"/>
            <w:shd w:val="clear" w:color="auto" w:fill="auto"/>
          </w:tcPr>
          <w:p w14:paraId="0C99A127"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994" w:type="dxa"/>
            <w:tcBorders>
              <w:top w:val="nil"/>
              <w:bottom w:val="nil"/>
            </w:tcBorders>
            <w:shd w:val="clear" w:color="auto" w:fill="auto"/>
          </w:tcPr>
          <w:p w14:paraId="7CC80126"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1FE1008C"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SSB.3 FR1</w:t>
            </w:r>
          </w:p>
        </w:tc>
        <w:tc>
          <w:tcPr>
            <w:tcW w:w="3118" w:type="dxa"/>
          </w:tcPr>
          <w:p w14:paraId="15DECA83"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0D06FF8D" w14:textId="77777777" w:rsidTr="003A71DE">
        <w:trPr>
          <w:trHeight w:val="187"/>
          <w:jc w:val="center"/>
        </w:trPr>
        <w:tc>
          <w:tcPr>
            <w:tcW w:w="3001" w:type="dxa"/>
            <w:gridSpan w:val="3"/>
            <w:tcBorders>
              <w:top w:val="nil"/>
              <w:bottom w:val="single" w:sz="4" w:space="0" w:color="auto"/>
            </w:tcBorders>
            <w:shd w:val="clear" w:color="auto" w:fill="auto"/>
          </w:tcPr>
          <w:p w14:paraId="1FF6734A" w14:textId="77777777" w:rsidR="003A71DE" w:rsidRPr="0029361E" w:rsidRDefault="003A71DE" w:rsidP="003A71DE">
            <w:pPr>
              <w:keepNext/>
              <w:keepLines/>
              <w:spacing w:after="0" w:line="259" w:lineRule="auto"/>
              <w:rPr>
                <w:rFonts w:ascii="Arial" w:hAnsi="Arial"/>
                <w:sz w:val="18"/>
              </w:rPr>
            </w:pPr>
          </w:p>
        </w:tc>
        <w:tc>
          <w:tcPr>
            <w:tcW w:w="1103" w:type="dxa"/>
            <w:shd w:val="clear" w:color="auto" w:fill="auto"/>
          </w:tcPr>
          <w:p w14:paraId="4CB19F85"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994" w:type="dxa"/>
            <w:tcBorders>
              <w:top w:val="nil"/>
              <w:bottom w:val="single" w:sz="4" w:space="0" w:color="auto"/>
            </w:tcBorders>
            <w:shd w:val="clear" w:color="auto" w:fill="auto"/>
          </w:tcPr>
          <w:p w14:paraId="55418FA6"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4F30C77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SSB.4 FR1</w:t>
            </w:r>
          </w:p>
        </w:tc>
        <w:tc>
          <w:tcPr>
            <w:tcW w:w="3118" w:type="dxa"/>
          </w:tcPr>
          <w:p w14:paraId="1D6028B9"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61FAF3BB" w14:textId="77777777" w:rsidTr="003A71DE">
        <w:trPr>
          <w:trHeight w:val="187"/>
          <w:jc w:val="center"/>
        </w:trPr>
        <w:tc>
          <w:tcPr>
            <w:tcW w:w="3001" w:type="dxa"/>
            <w:gridSpan w:val="3"/>
            <w:tcBorders>
              <w:bottom w:val="nil"/>
            </w:tcBorders>
            <w:shd w:val="clear" w:color="auto" w:fill="auto"/>
          </w:tcPr>
          <w:p w14:paraId="60867C7E"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SMTC Configuration</w:t>
            </w:r>
          </w:p>
        </w:tc>
        <w:tc>
          <w:tcPr>
            <w:tcW w:w="1103" w:type="dxa"/>
            <w:shd w:val="clear" w:color="auto" w:fill="auto"/>
          </w:tcPr>
          <w:p w14:paraId="2262D76D"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w:t>
            </w:r>
          </w:p>
        </w:tc>
        <w:tc>
          <w:tcPr>
            <w:tcW w:w="994" w:type="dxa"/>
            <w:tcBorders>
              <w:bottom w:val="nil"/>
            </w:tcBorders>
            <w:shd w:val="clear" w:color="auto" w:fill="auto"/>
          </w:tcPr>
          <w:p w14:paraId="44EF286B"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25EE7713"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SMTC.1</w:t>
            </w:r>
          </w:p>
        </w:tc>
        <w:tc>
          <w:tcPr>
            <w:tcW w:w="3118" w:type="dxa"/>
          </w:tcPr>
          <w:p w14:paraId="485AE473"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4A314D45" w14:textId="77777777" w:rsidTr="003A71DE">
        <w:trPr>
          <w:trHeight w:val="187"/>
          <w:jc w:val="center"/>
        </w:trPr>
        <w:tc>
          <w:tcPr>
            <w:tcW w:w="3001" w:type="dxa"/>
            <w:gridSpan w:val="3"/>
            <w:tcBorders>
              <w:top w:val="nil"/>
              <w:bottom w:val="single" w:sz="4" w:space="0" w:color="auto"/>
            </w:tcBorders>
            <w:shd w:val="clear" w:color="auto" w:fill="auto"/>
          </w:tcPr>
          <w:p w14:paraId="7365329C" w14:textId="77777777" w:rsidR="003A71DE" w:rsidRPr="0029361E" w:rsidRDefault="003A71DE" w:rsidP="003A71DE">
            <w:pPr>
              <w:keepNext/>
              <w:keepLines/>
              <w:spacing w:after="0" w:line="259" w:lineRule="auto"/>
              <w:rPr>
                <w:rFonts w:ascii="Arial" w:hAnsi="Arial"/>
                <w:sz w:val="18"/>
              </w:rPr>
            </w:pPr>
          </w:p>
        </w:tc>
        <w:tc>
          <w:tcPr>
            <w:tcW w:w="1103" w:type="dxa"/>
            <w:shd w:val="clear" w:color="auto" w:fill="auto"/>
          </w:tcPr>
          <w:p w14:paraId="0C53772C"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994" w:type="dxa"/>
            <w:tcBorders>
              <w:top w:val="nil"/>
              <w:bottom w:val="single" w:sz="4" w:space="0" w:color="auto"/>
            </w:tcBorders>
            <w:shd w:val="clear" w:color="auto" w:fill="auto"/>
          </w:tcPr>
          <w:p w14:paraId="790F870E"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63BD2D8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SMTC.1</w:t>
            </w:r>
          </w:p>
        </w:tc>
        <w:tc>
          <w:tcPr>
            <w:tcW w:w="3118" w:type="dxa"/>
          </w:tcPr>
          <w:p w14:paraId="6B878CCC"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C2BB9A6" w14:textId="77777777" w:rsidTr="003A71DE">
        <w:trPr>
          <w:trHeight w:val="187"/>
          <w:jc w:val="center"/>
        </w:trPr>
        <w:tc>
          <w:tcPr>
            <w:tcW w:w="3001" w:type="dxa"/>
            <w:gridSpan w:val="3"/>
            <w:tcBorders>
              <w:bottom w:val="nil"/>
            </w:tcBorders>
            <w:shd w:val="clear" w:color="auto" w:fill="auto"/>
          </w:tcPr>
          <w:p w14:paraId="606E1DEA"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PDSCH/PDCCH subcarrier spacing</w:t>
            </w:r>
          </w:p>
        </w:tc>
        <w:tc>
          <w:tcPr>
            <w:tcW w:w="1103" w:type="dxa"/>
            <w:shd w:val="clear" w:color="auto" w:fill="auto"/>
          </w:tcPr>
          <w:p w14:paraId="7B7E8FA4"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w:t>
            </w:r>
          </w:p>
        </w:tc>
        <w:tc>
          <w:tcPr>
            <w:tcW w:w="994" w:type="dxa"/>
            <w:tcBorders>
              <w:bottom w:val="nil"/>
            </w:tcBorders>
            <w:shd w:val="clear" w:color="auto" w:fill="auto"/>
          </w:tcPr>
          <w:p w14:paraId="41598D86"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23972CC4"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15 KHz</w:t>
            </w:r>
          </w:p>
        </w:tc>
        <w:tc>
          <w:tcPr>
            <w:tcW w:w="3118" w:type="dxa"/>
          </w:tcPr>
          <w:p w14:paraId="799D21EF"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1C359B8" w14:textId="77777777" w:rsidTr="003A71DE">
        <w:trPr>
          <w:trHeight w:val="187"/>
          <w:jc w:val="center"/>
        </w:trPr>
        <w:tc>
          <w:tcPr>
            <w:tcW w:w="3001" w:type="dxa"/>
            <w:gridSpan w:val="3"/>
            <w:tcBorders>
              <w:top w:val="nil"/>
              <w:bottom w:val="single" w:sz="4" w:space="0" w:color="auto"/>
            </w:tcBorders>
            <w:shd w:val="clear" w:color="auto" w:fill="auto"/>
          </w:tcPr>
          <w:p w14:paraId="547DD777" w14:textId="77777777" w:rsidR="003A71DE" w:rsidRPr="0029361E" w:rsidRDefault="003A71DE" w:rsidP="003A71DE">
            <w:pPr>
              <w:keepNext/>
              <w:keepLines/>
              <w:spacing w:after="0" w:line="259" w:lineRule="auto"/>
              <w:rPr>
                <w:rFonts w:ascii="Arial" w:hAnsi="Arial"/>
                <w:sz w:val="18"/>
              </w:rPr>
            </w:pPr>
          </w:p>
        </w:tc>
        <w:tc>
          <w:tcPr>
            <w:tcW w:w="1103" w:type="dxa"/>
            <w:shd w:val="clear" w:color="auto" w:fill="auto"/>
          </w:tcPr>
          <w:p w14:paraId="7ABFD8FA"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994" w:type="dxa"/>
            <w:tcBorders>
              <w:top w:val="nil"/>
              <w:bottom w:val="single" w:sz="4" w:space="0" w:color="auto"/>
            </w:tcBorders>
            <w:shd w:val="clear" w:color="auto" w:fill="auto"/>
          </w:tcPr>
          <w:p w14:paraId="2CF3EC7A"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24C3CF53"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30 KHz</w:t>
            </w:r>
          </w:p>
        </w:tc>
        <w:tc>
          <w:tcPr>
            <w:tcW w:w="3118" w:type="dxa"/>
          </w:tcPr>
          <w:p w14:paraId="06F5762D"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C13583E" w14:textId="77777777" w:rsidTr="003A71DE">
        <w:trPr>
          <w:trHeight w:val="187"/>
          <w:jc w:val="center"/>
        </w:trPr>
        <w:tc>
          <w:tcPr>
            <w:tcW w:w="3001" w:type="dxa"/>
            <w:gridSpan w:val="3"/>
            <w:tcBorders>
              <w:bottom w:val="nil"/>
            </w:tcBorders>
            <w:shd w:val="clear" w:color="auto" w:fill="auto"/>
          </w:tcPr>
          <w:p w14:paraId="0E559242"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PRACH Configuration</w:t>
            </w:r>
          </w:p>
        </w:tc>
        <w:tc>
          <w:tcPr>
            <w:tcW w:w="1103" w:type="dxa"/>
            <w:shd w:val="clear" w:color="auto" w:fill="auto"/>
          </w:tcPr>
          <w:p w14:paraId="03D89A1D"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Config 1</w:t>
            </w:r>
          </w:p>
        </w:tc>
        <w:tc>
          <w:tcPr>
            <w:tcW w:w="994" w:type="dxa"/>
            <w:tcBorders>
              <w:bottom w:val="nil"/>
            </w:tcBorders>
            <w:shd w:val="clear" w:color="auto" w:fill="auto"/>
          </w:tcPr>
          <w:p w14:paraId="279CFD7D"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4CB56BAB" w14:textId="77777777" w:rsidR="003A71DE" w:rsidRPr="0029361E" w:rsidRDefault="003A71DE" w:rsidP="003A71DE">
            <w:pPr>
              <w:keepNext/>
              <w:keepLines/>
              <w:spacing w:after="0" w:line="259" w:lineRule="auto"/>
              <w:jc w:val="center"/>
              <w:rPr>
                <w:rFonts w:ascii="Arial" w:eastAsia="SimSun" w:hAnsi="Arial"/>
                <w:sz w:val="18"/>
                <w:lang w:val="en-US" w:eastAsia="zh-CN"/>
              </w:rPr>
            </w:pPr>
            <w:r w:rsidRPr="0029361E">
              <w:rPr>
                <w:rFonts w:ascii="Arial" w:hAnsi="Arial"/>
                <w:sz w:val="18"/>
              </w:rPr>
              <w:t xml:space="preserve">Table  </w:t>
            </w:r>
            <w:r w:rsidRPr="0029361E">
              <w:rPr>
                <w:rFonts w:ascii="Arial" w:eastAsia="SimSun" w:hAnsi="Arial" w:hint="eastAsia"/>
                <w:sz w:val="18"/>
                <w:lang w:val="en-US" w:eastAsia="zh-CN"/>
              </w:rPr>
              <w:t>G.X</w:t>
            </w:r>
          </w:p>
        </w:tc>
        <w:tc>
          <w:tcPr>
            <w:tcW w:w="3118" w:type="dxa"/>
          </w:tcPr>
          <w:p w14:paraId="66F04EFE"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5C42DD17" w14:textId="77777777" w:rsidTr="003A71DE">
        <w:trPr>
          <w:trHeight w:val="187"/>
          <w:jc w:val="center"/>
        </w:trPr>
        <w:tc>
          <w:tcPr>
            <w:tcW w:w="3001" w:type="dxa"/>
            <w:gridSpan w:val="3"/>
            <w:tcBorders>
              <w:top w:val="nil"/>
            </w:tcBorders>
            <w:shd w:val="clear" w:color="auto" w:fill="auto"/>
          </w:tcPr>
          <w:p w14:paraId="7D2D0090" w14:textId="77777777" w:rsidR="003A71DE" w:rsidRPr="0029361E" w:rsidRDefault="003A71DE" w:rsidP="003A71DE">
            <w:pPr>
              <w:keepNext/>
              <w:keepLines/>
              <w:spacing w:after="0" w:line="259" w:lineRule="auto"/>
              <w:rPr>
                <w:rFonts w:ascii="Arial" w:hAnsi="Arial"/>
                <w:sz w:val="18"/>
              </w:rPr>
            </w:pPr>
          </w:p>
        </w:tc>
        <w:tc>
          <w:tcPr>
            <w:tcW w:w="1103" w:type="dxa"/>
            <w:shd w:val="clear" w:color="auto" w:fill="auto"/>
          </w:tcPr>
          <w:p w14:paraId="427B7D70"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994" w:type="dxa"/>
            <w:tcBorders>
              <w:top w:val="nil"/>
            </w:tcBorders>
            <w:shd w:val="clear" w:color="auto" w:fill="auto"/>
          </w:tcPr>
          <w:p w14:paraId="16880589"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7B49160F"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 xml:space="preserve">Table  </w:t>
            </w:r>
            <w:r w:rsidRPr="0029361E">
              <w:rPr>
                <w:rFonts w:ascii="Arial" w:eastAsia="SimSun" w:hAnsi="Arial" w:hint="eastAsia"/>
                <w:sz w:val="18"/>
                <w:lang w:val="en-US" w:eastAsia="zh-CN"/>
              </w:rPr>
              <w:t>G.X</w:t>
            </w:r>
          </w:p>
        </w:tc>
        <w:tc>
          <w:tcPr>
            <w:tcW w:w="3118" w:type="dxa"/>
          </w:tcPr>
          <w:p w14:paraId="3DE02D9E"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69A15F68" w14:textId="77777777" w:rsidTr="003A71DE">
        <w:trPr>
          <w:trHeight w:val="187"/>
          <w:jc w:val="center"/>
        </w:trPr>
        <w:tc>
          <w:tcPr>
            <w:tcW w:w="4104" w:type="dxa"/>
            <w:gridSpan w:val="4"/>
            <w:shd w:val="clear" w:color="auto" w:fill="auto"/>
          </w:tcPr>
          <w:p w14:paraId="0C289B44"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SSB Index assigned as BFD RS (q</w:t>
            </w:r>
            <w:r w:rsidRPr="0029361E">
              <w:rPr>
                <w:rFonts w:ascii="Arial" w:hAnsi="Arial"/>
                <w:sz w:val="18"/>
                <w:vertAlign w:val="subscript"/>
              </w:rPr>
              <w:t>0</w:t>
            </w:r>
            <w:r w:rsidRPr="0029361E">
              <w:rPr>
                <w:rFonts w:ascii="Arial" w:hAnsi="Arial"/>
                <w:sz w:val="18"/>
              </w:rPr>
              <w:t>)</w:t>
            </w:r>
          </w:p>
        </w:tc>
        <w:tc>
          <w:tcPr>
            <w:tcW w:w="994" w:type="dxa"/>
            <w:shd w:val="clear" w:color="auto" w:fill="auto"/>
          </w:tcPr>
          <w:p w14:paraId="0CD9465D"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066D1C4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w:t>
            </w:r>
          </w:p>
        </w:tc>
        <w:tc>
          <w:tcPr>
            <w:tcW w:w="3118" w:type="dxa"/>
          </w:tcPr>
          <w:p w14:paraId="22E29601"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5C436461" w14:textId="77777777" w:rsidTr="003A71DE">
        <w:trPr>
          <w:trHeight w:val="187"/>
          <w:jc w:val="center"/>
        </w:trPr>
        <w:tc>
          <w:tcPr>
            <w:tcW w:w="4104" w:type="dxa"/>
            <w:gridSpan w:val="4"/>
            <w:tcBorders>
              <w:top w:val="single" w:sz="4" w:space="0" w:color="auto"/>
              <w:left w:val="single" w:sz="4" w:space="0" w:color="auto"/>
              <w:bottom w:val="single" w:sz="4" w:space="0" w:color="auto"/>
              <w:right w:val="single" w:sz="4" w:space="0" w:color="auto"/>
            </w:tcBorders>
            <w:shd w:val="clear" w:color="auto" w:fill="auto"/>
          </w:tcPr>
          <w:p w14:paraId="6ED5F7B6"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SSB Index assigned as CBD RS (q</w:t>
            </w:r>
            <w:r w:rsidRPr="0029361E">
              <w:rPr>
                <w:rFonts w:ascii="Arial" w:hAnsi="Arial"/>
                <w:sz w:val="18"/>
                <w:vertAlign w:val="subscript"/>
              </w:rPr>
              <w:t>1</w:t>
            </w:r>
            <w:r w:rsidRPr="0029361E">
              <w:rPr>
                <w:rFonts w:ascii="Arial" w:hAnsi="Arial"/>
                <w:sz w:val="18"/>
              </w:rPr>
              <w:t>)</w:t>
            </w:r>
          </w:p>
        </w:tc>
        <w:tc>
          <w:tcPr>
            <w:tcW w:w="994" w:type="dxa"/>
            <w:tcBorders>
              <w:top w:val="single" w:sz="4" w:space="0" w:color="auto"/>
              <w:left w:val="single" w:sz="4" w:space="0" w:color="auto"/>
              <w:bottom w:val="single" w:sz="4" w:space="0" w:color="auto"/>
              <w:right w:val="single" w:sz="4" w:space="0" w:color="auto"/>
            </w:tcBorders>
            <w:shd w:val="clear" w:color="auto" w:fill="auto"/>
          </w:tcPr>
          <w:p w14:paraId="218D06A4" w14:textId="77777777" w:rsidR="003A71DE" w:rsidRPr="0029361E" w:rsidRDefault="003A71DE" w:rsidP="003A71DE">
            <w:pPr>
              <w:keepNext/>
              <w:keepLines/>
              <w:spacing w:after="0" w:line="259" w:lineRule="auto"/>
              <w:jc w:val="center"/>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3A448F6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1</w:t>
            </w:r>
          </w:p>
        </w:tc>
        <w:tc>
          <w:tcPr>
            <w:tcW w:w="3118" w:type="dxa"/>
            <w:tcBorders>
              <w:top w:val="single" w:sz="4" w:space="0" w:color="auto"/>
              <w:left w:val="single" w:sz="4" w:space="0" w:color="auto"/>
              <w:bottom w:val="single" w:sz="4" w:space="0" w:color="auto"/>
              <w:right w:val="single" w:sz="4" w:space="0" w:color="auto"/>
            </w:tcBorders>
          </w:tcPr>
          <w:p w14:paraId="733F3E3B"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42DBB5DB" w14:textId="77777777" w:rsidTr="003A71DE">
        <w:trPr>
          <w:trHeight w:val="187"/>
          <w:jc w:val="center"/>
        </w:trPr>
        <w:tc>
          <w:tcPr>
            <w:tcW w:w="4104" w:type="dxa"/>
            <w:gridSpan w:val="4"/>
            <w:shd w:val="clear" w:color="auto" w:fill="auto"/>
          </w:tcPr>
          <w:p w14:paraId="206EBC53"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OCNG parameters</w:t>
            </w:r>
          </w:p>
        </w:tc>
        <w:tc>
          <w:tcPr>
            <w:tcW w:w="994" w:type="dxa"/>
            <w:shd w:val="clear" w:color="auto" w:fill="auto"/>
          </w:tcPr>
          <w:p w14:paraId="533B82E2"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2D1903ED"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OP.1</w:t>
            </w:r>
          </w:p>
        </w:tc>
        <w:tc>
          <w:tcPr>
            <w:tcW w:w="3118" w:type="dxa"/>
          </w:tcPr>
          <w:p w14:paraId="33B85D2F"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3349C1A0" w14:textId="77777777" w:rsidTr="003A71DE">
        <w:trPr>
          <w:trHeight w:val="187"/>
          <w:jc w:val="center"/>
        </w:trPr>
        <w:tc>
          <w:tcPr>
            <w:tcW w:w="4104" w:type="dxa"/>
            <w:gridSpan w:val="4"/>
            <w:shd w:val="clear" w:color="auto" w:fill="auto"/>
          </w:tcPr>
          <w:p w14:paraId="01DC6DFA"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CP length</w:t>
            </w:r>
            <w:r w:rsidRPr="0029361E">
              <w:rPr>
                <w:rFonts w:ascii="Arial" w:hAnsi="Arial"/>
                <w:sz w:val="18"/>
              </w:rPr>
              <w:tab/>
            </w:r>
          </w:p>
        </w:tc>
        <w:tc>
          <w:tcPr>
            <w:tcW w:w="994" w:type="dxa"/>
            <w:shd w:val="clear" w:color="auto" w:fill="auto"/>
          </w:tcPr>
          <w:p w14:paraId="0073B404"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71CDA6A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Normal</w:t>
            </w:r>
          </w:p>
        </w:tc>
        <w:tc>
          <w:tcPr>
            <w:tcW w:w="3118" w:type="dxa"/>
          </w:tcPr>
          <w:p w14:paraId="797FB4D8"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18CACEC" w14:textId="77777777" w:rsidTr="003A71DE">
        <w:trPr>
          <w:trHeight w:val="187"/>
          <w:jc w:val="center"/>
        </w:trPr>
        <w:tc>
          <w:tcPr>
            <w:tcW w:w="4104" w:type="dxa"/>
            <w:gridSpan w:val="4"/>
            <w:shd w:val="clear" w:color="auto" w:fill="auto"/>
          </w:tcPr>
          <w:p w14:paraId="2F95D40B"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Correlation Matrix and Antenna Configuration</w:t>
            </w:r>
          </w:p>
        </w:tc>
        <w:tc>
          <w:tcPr>
            <w:tcW w:w="994" w:type="dxa"/>
            <w:shd w:val="clear" w:color="auto" w:fill="auto"/>
          </w:tcPr>
          <w:p w14:paraId="21F47753"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3A927003"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2x2 Low</w:t>
            </w:r>
          </w:p>
        </w:tc>
        <w:tc>
          <w:tcPr>
            <w:tcW w:w="3118" w:type="dxa"/>
          </w:tcPr>
          <w:p w14:paraId="1EDFFA29"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3D1960C6" w14:textId="77777777" w:rsidTr="003A71DE">
        <w:trPr>
          <w:trHeight w:val="187"/>
          <w:jc w:val="center"/>
        </w:trPr>
        <w:tc>
          <w:tcPr>
            <w:tcW w:w="1838" w:type="dxa"/>
            <w:vMerge w:val="restart"/>
            <w:shd w:val="clear" w:color="auto" w:fill="auto"/>
          </w:tcPr>
          <w:p w14:paraId="5CD28BC9"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 xml:space="preserve">Beam failure detection transmission parameters </w:t>
            </w:r>
          </w:p>
        </w:tc>
        <w:tc>
          <w:tcPr>
            <w:tcW w:w="2266" w:type="dxa"/>
            <w:gridSpan w:val="3"/>
            <w:shd w:val="clear" w:color="auto" w:fill="auto"/>
          </w:tcPr>
          <w:p w14:paraId="144984C0"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DCI format</w:t>
            </w:r>
          </w:p>
        </w:tc>
        <w:tc>
          <w:tcPr>
            <w:tcW w:w="994" w:type="dxa"/>
            <w:shd w:val="clear" w:color="auto" w:fill="auto"/>
          </w:tcPr>
          <w:p w14:paraId="63766E59"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517439CD"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1-0</w:t>
            </w:r>
          </w:p>
        </w:tc>
        <w:tc>
          <w:tcPr>
            <w:tcW w:w="3118" w:type="dxa"/>
          </w:tcPr>
          <w:p w14:paraId="72DA55C5"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79115808" w14:textId="77777777" w:rsidTr="003A71DE">
        <w:trPr>
          <w:trHeight w:val="187"/>
          <w:jc w:val="center"/>
        </w:trPr>
        <w:tc>
          <w:tcPr>
            <w:tcW w:w="1838" w:type="dxa"/>
            <w:vMerge/>
            <w:shd w:val="clear" w:color="auto" w:fill="auto"/>
          </w:tcPr>
          <w:p w14:paraId="11A26FAA" w14:textId="77777777" w:rsidR="003A71DE" w:rsidRPr="0029361E" w:rsidRDefault="003A71DE" w:rsidP="003A71DE">
            <w:pPr>
              <w:keepNext/>
              <w:keepLines/>
              <w:spacing w:after="0" w:line="259" w:lineRule="auto"/>
              <w:rPr>
                <w:rFonts w:ascii="Arial" w:hAnsi="Arial"/>
                <w:sz w:val="18"/>
              </w:rPr>
            </w:pPr>
          </w:p>
        </w:tc>
        <w:tc>
          <w:tcPr>
            <w:tcW w:w="2266" w:type="dxa"/>
            <w:gridSpan w:val="3"/>
            <w:shd w:val="clear" w:color="auto" w:fill="auto"/>
          </w:tcPr>
          <w:p w14:paraId="1FA2772B"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Number of Control OFDM symbols</w:t>
            </w:r>
          </w:p>
        </w:tc>
        <w:tc>
          <w:tcPr>
            <w:tcW w:w="994" w:type="dxa"/>
            <w:shd w:val="clear" w:color="auto" w:fill="auto"/>
          </w:tcPr>
          <w:p w14:paraId="36C27F1E"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5E937B36"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2</w:t>
            </w:r>
          </w:p>
        </w:tc>
        <w:tc>
          <w:tcPr>
            <w:tcW w:w="3118" w:type="dxa"/>
          </w:tcPr>
          <w:p w14:paraId="5AEAB43C"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CFE9D13" w14:textId="77777777" w:rsidTr="003A71DE">
        <w:trPr>
          <w:trHeight w:val="187"/>
          <w:jc w:val="center"/>
        </w:trPr>
        <w:tc>
          <w:tcPr>
            <w:tcW w:w="1838" w:type="dxa"/>
            <w:vMerge/>
            <w:shd w:val="clear" w:color="auto" w:fill="auto"/>
          </w:tcPr>
          <w:p w14:paraId="296B1CE0" w14:textId="77777777" w:rsidR="003A71DE" w:rsidRPr="0029361E" w:rsidRDefault="003A71DE" w:rsidP="003A71DE">
            <w:pPr>
              <w:keepNext/>
              <w:keepLines/>
              <w:spacing w:after="0" w:line="259" w:lineRule="auto"/>
              <w:rPr>
                <w:rFonts w:ascii="Arial" w:hAnsi="Arial"/>
                <w:sz w:val="18"/>
              </w:rPr>
            </w:pPr>
          </w:p>
        </w:tc>
        <w:tc>
          <w:tcPr>
            <w:tcW w:w="2266" w:type="dxa"/>
            <w:gridSpan w:val="3"/>
            <w:shd w:val="clear" w:color="auto" w:fill="auto"/>
          </w:tcPr>
          <w:p w14:paraId="0D3F7B7E"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 xml:space="preserve">Aggregation level </w:t>
            </w:r>
          </w:p>
        </w:tc>
        <w:tc>
          <w:tcPr>
            <w:tcW w:w="994" w:type="dxa"/>
            <w:shd w:val="clear" w:color="auto" w:fill="auto"/>
          </w:tcPr>
          <w:p w14:paraId="57715A80"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CCE</w:t>
            </w:r>
          </w:p>
        </w:tc>
        <w:tc>
          <w:tcPr>
            <w:tcW w:w="1985" w:type="dxa"/>
            <w:shd w:val="clear" w:color="auto" w:fill="auto"/>
          </w:tcPr>
          <w:p w14:paraId="32A9D683"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8</w:t>
            </w:r>
          </w:p>
        </w:tc>
        <w:tc>
          <w:tcPr>
            <w:tcW w:w="3118" w:type="dxa"/>
          </w:tcPr>
          <w:p w14:paraId="38973CA7"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D04F125" w14:textId="77777777" w:rsidTr="003A71DE">
        <w:trPr>
          <w:trHeight w:val="187"/>
          <w:jc w:val="center"/>
        </w:trPr>
        <w:tc>
          <w:tcPr>
            <w:tcW w:w="1838" w:type="dxa"/>
            <w:vMerge/>
            <w:shd w:val="clear" w:color="auto" w:fill="auto"/>
          </w:tcPr>
          <w:p w14:paraId="6EDCA389" w14:textId="77777777" w:rsidR="003A71DE" w:rsidRPr="0029361E" w:rsidRDefault="003A71DE" w:rsidP="003A71DE">
            <w:pPr>
              <w:keepNext/>
              <w:keepLines/>
              <w:spacing w:after="0" w:line="259" w:lineRule="auto"/>
              <w:rPr>
                <w:rFonts w:ascii="Arial" w:hAnsi="Arial"/>
                <w:sz w:val="18"/>
              </w:rPr>
            </w:pPr>
          </w:p>
        </w:tc>
        <w:tc>
          <w:tcPr>
            <w:tcW w:w="2266" w:type="dxa"/>
            <w:gridSpan w:val="3"/>
            <w:shd w:val="clear" w:color="auto" w:fill="auto"/>
          </w:tcPr>
          <w:p w14:paraId="217AC378" w14:textId="77777777" w:rsidR="003A71DE" w:rsidRPr="0029361E" w:rsidRDefault="003A71DE" w:rsidP="003A71DE">
            <w:pPr>
              <w:keepNext/>
              <w:keepLines/>
              <w:spacing w:after="0" w:line="259" w:lineRule="auto"/>
              <w:rPr>
                <w:rFonts w:ascii="Arial" w:hAnsi="Arial"/>
                <w:sz w:val="18"/>
              </w:rPr>
            </w:pPr>
            <w:r w:rsidRPr="0029361E">
              <w:rPr>
                <w:rFonts w:ascii="Arial" w:eastAsia="?? ??" w:hAnsi="Arial"/>
                <w:sz w:val="18"/>
              </w:rPr>
              <w:t>Ratio of hypothetical PDCCH RE energy to average CSI-RS RE energy</w:t>
            </w:r>
          </w:p>
        </w:tc>
        <w:tc>
          <w:tcPr>
            <w:tcW w:w="994" w:type="dxa"/>
            <w:shd w:val="clear" w:color="auto" w:fill="auto"/>
          </w:tcPr>
          <w:p w14:paraId="7DA9A07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1985" w:type="dxa"/>
            <w:shd w:val="clear" w:color="auto" w:fill="auto"/>
          </w:tcPr>
          <w:p w14:paraId="6F7D04B0"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w:t>
            </w:r>
          </w:p>
        </w:tc>
        <w:tc>
          <w:tcPr>
            <w:tcW w:w="3118" w:type="dxa"/>
          </w:tcPr>
          <w:p w14:paraId="2A29B4AC"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63359CAE" w14:textId="77777777" w:rsidTr="003A71DE">
        <w:trPr>
          <w:trHeight w:val="187"/>
          <w:jc w:val="center"/>
        </w:trPr>
        <w:tc>
          <w:tcPr>
            <w:tcW w:w="1838" w:type="dxa"/>
            <w:vMerge/>
            <w:shd w:val="clear" w:color="auto" w:fill="auto"/>
          </w:tcPr>
          <w:p w14:paraId="61A3D6EE" w14:textId="77777777" w:rsidR="003A71DE" w:rsidRPr="0029361E" w:rsidRDefault="003A71DE" w:rsidP="003A71DE">
            <w:pPr>
              <w:keepNext/>
              <w:keepLines/>
              <w:spacing w:after="0" w:line="259" w:lineRule="auto"/>
              <w:rPr>
                <w:rFonts w:ascii="Arial" w:hAnsi="Arial"/>
                <w:sz w:val="18"/>
              </w:rPr>
            </w:pPr>
          </w:p>
        </w:tc>
        <w:tc>
          <w:tcPr>
            <w:tcW w:w="2266" w:type="dxa"/>
            <w:gridSpan w:val="3"/>
            <w:shd w:val="clear" w:color="auto" w:fill="auto"/>
          </w:tcPr>
          <w:p w14:paraId="65795508" w14:textId="77777777" w:rsidR="003A71DE" w:rsidRPr="0029361E" w:rsidRDefault="003A71DE" w:rsidP="003A71DE">
            <w:pPr>
              <w:keepNext/>
              <w:keepLines/>
              <w:spacing w:after="0" w:line="259" w:lineRule="auto"/>
              <w:rPr>
                <w:rFonts w:ascii="Arial" w:hAnsi="Arial"/>
                <w:sz w:val="18"/>
              </w:rPr>
            </w:pPr>
            <w:r w:rsidRPr="0029361E">
              <w:rPr>
                <w:rFonts w:ascii="Arial" w:eastAsia="?? ??" w:hAnsi="Arial"/>
                <w:sz w:val="18"/>
              </w:rPr>
              <w:t>Ratio of hypothetical PDCCH DMRS energy to average CSI-RS RE energy</w:t>
            </w:r>
          </w:p>
        </w:tc>
        <w:tc>
          <w:tcPr>
            <w:tcW w:w="994" w:type="dxa"/>
            <w:shd w:val="clear" w:color="auto" w:fill="auto"/>
          </w:tcPr>
          <w:p w14:paraId="7ABFF54F"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1985" w:type="dxa"/>
            <w:shd w:val="clear" w:color="auto" w:fill="auto"/>
          </w:tcPr>
          <w:p w14:paraId="3132DCFF"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w:t>
            </w:r>
          </w:p>
        </w:tc>
        <w:tc>
          <w:tcPr>
            <w:tcW w:w="3118" w:type="dxa"/>
          </w:tcPr>
          <w:p w14:paraId="075501E0"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13B2BE2" w14:textId="77777777" w:rsidTr="003A71DE">
        <w:trPr>
          <w:trHeight w:val="187"/>
          <w:jc w:val="center"/>
        </w:trPr>
        <w:tc>
          <w:tcPr>
            <w:tcW w:w="1838" w:type="dxa"/>
            <w:vMerge/>
            <w:shd w:val="clear" w:color="auto" w:fill="auto"/>
          </w:tcPr>
          <w:p w14:paraId="1AC8A2CB" w14:textId="77777777" w:rsidR="003A71DE" w:rsidRPr="0029361E" w:rsidRDefault="003A71DE" w:rsidP="003A71DE">
            <w:pPr>
              <w:keepNext/>
              <w:keepLines/>
              <w:spacing w:after="0" w:line="259" w:lineRule="auto"/>
              <w:rPr>
                <w:rFonts w:ascii="Arial" w:hAnsi="Arial"/>
                <w:sz w:val="18"/>
              </w:rPr>
            </w:pPr>
          </w:p>
        </w:tc>
        <w:tc>
          <w:tcPr>
            <w:tcW w:w="2266" w:type="dxa"/>
            <w:gridSpan w:val="3"/>
            <w:shd w:val="clear" w:color="auto" w:fill="auto"/>
          </w:tcPr>
          <w:p w14:paraId="1E1A0896" w14:textId="77777777" w:rsidR="003A71DE" w:rsidRPr="0029361E" w:rsidRDefault="003A71DE" w:rsidP="003A71DE">
            <w:pPr>
              <w:keepNext/>
              <w:keepLines/>
              <w:spacing w:after="0" w:line="259" w:lineRule="auto"/>
              <w:rPr>
                <w:rFonts w:ascii="Arial" w:eastAsia="?? ??" w:hAnsi="Arial"/>
                <w:sz w:val="18"/>
              </w:rPr>
            </w:pPr>
            <w:r w:rsidRPr="0029361E">
              <w:rPr>
                <w:rFonts w:ascii="Arial" w:eastAsia="?? ??" w:hAnsi="Arial"/>
                <w:sz w:val="18"/>
              </w:rPr>
              <w:t>DMRS precoder granularity</w:t>
            </w:r>
          </w:p>
        </w:tc>
        <w:tc>
          <w:tcPr>
            <w:tcW w:w="994" w:type="dxa"/>
            <w:shd w:val="clear" w:color="auto" w:fill="auto"/>
          </w:tcPr>
          <w:p w14:paraId="67C816DD" w14:textId="77777777" w:rsidR="003A71DE" w:rsidRPr="0029361E" w:rsidRDefault="003A71DE" w:rsidP="003A71DE">
            <w:pPr>
              <w:keepNext/>
              <w:keepLines/>
              <w:spacing w:after="0" w:line="259" w:lineRule="auto"/>
              <w:jc w:val="center"/>
              <w:rPr>
                <w:rFonts w:ascii="Arial" w:eastAsia="?? ??" w:hAnsi="Arial"/>
                <w:sz w:val="18"/>
              </w:rPr>
            </w:pPr>
          </w:p>
        </w:tc>
        <w:tc>
          <w:tcPr>
            <w:tcW w:w="1985" w:type="dxa"/>
            <w:shd w:val="clear" w:color="auto" w:fill="auto"/>
          </w:tcPr>
          <w:p w14:paraId="02221B38"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 ??" w:hAnsi="Arial"/>
                <w:sz w:val="18"/>
              </w:rPr>
              <w:t>REG bundle size</w:t>
            </w:r>
          </w:p>
        </w:tc>
        <w:tc>
          <w:tcPr>
            <w:tcW w:w="3118" w:type="dxa"/>
          </w:tcPr>
          <w:p w14:paraId="717ADB47" w14:textId="77777777" w:rsidR="003A71DE" w:rsidRPr="0029361E" w:rsidRDefault="003A71DE" w:rsidP="003A71DE">
            <w:pPr>
              <w:keepNext/>
              <w:keepLines/>
              <w:spacing w:after="0" w:line="259" w:lineRule="auto"/>
              <w:jc w:val="center"/>
              <w:rPr>
                <w:rFonts w:ascii="Arial" w:eastAsia="?? ??" w:hAnsi="Arial"/>
                <w:sz w:val="18"/>
              </w:rPr>
            </w:pPr>
          </w:p>
        </w:tc>
      </w:tr>
      <w:tr w:rsidR="003A71DE" w:rsidRPr="0029361E" w14:paraId="14DA63A9" w14:textId="77777777" w:rsidTr="003A71DE">
        <w:trPr>
          <w:trHeight w:val="187"/>
          <w:jc w:val="center"/>
        </w:trPr>
        <w:tc>
          <w:tcPr>
            <w:tcW w:w="1838" w:type="dxa"/>
            <w:vMerge/>
            <w:shd w:val="clear" w:color="auto" w:fill="auto"/>
          </w:tcPr>
          <w:p w14:paraId="260F35AD" w14:textId="77777777" w:rsidR="003A71DE" w:rsidRPr="0029361E" w:rsidRDefault="003A71DE" w:rsidP="003A71DE">
            <w:pPr>
              <w:keepNext/>
              <w:keepLines/>
              <w:spacing w:after="0" w:line="259" w:lineRule="auto"/>
              <w:rPr>
                <w:rFonts w:ascii="Arial" w:hAnsi="Arial"/>
                <w:sz w:val="18"/>
              </w:rPr>
            </w:pPr>
          </w:p>
        </w:tc>
        <w:tc>
          <w:tcPr>
            <w:tcW w:w="2266" w:type="dxa"/>
            <w:gridSpan w:val="3"/>
            <w:shd w:val="clear" w:color="auto" w:fill="auto"/>
          </w:tcPr>
          <w:p w14:paraId="308AE6A5" w14:textId="77777777" w:rsidR="003A71DE" w:rsidRPr="0029361E" w:rsidRDefault="003A71DE" w:rsidP="003A71DE">
            <w:pPr>
              <w:keepNext/>
              <w:keepLines/>
              <w:spacing w:after="0" w:line="259" w:lineRule="auto"/>
              <w:rPr>
                <w:rFonts w:ascii="Arial" w:eastAsia="?? ??" w:hAnsi="Arial"/>
                <w:sz w:val="18"/>
              </w:rPr>
            </w:pPr>
            <w:r w:rsidRPr="0029361E">
              <w:rPr>
                <w:rFonts w:ascii="Arial" w:eastAsia="?? ??" w:hAnsi="Arial"/>
                <w:sz w:val="18"/>
              </w:rPr>
              <w:t>REG bundle size</w:t>
            </w:r>
          </w:p>
        </w:tc>
        <w:tc>
          <w:tcPr>
            <w:tcW w:w="994" w:type="dxa"/>
            <w:shd w:val="clear" w:color="auto" w:fill="auto"/>
          </w:tcPr>
          <w:p w14:paraId="5BBF15A4" w14:textId="77777777" w:rsidR="003A71DE" w:rsidRPr="0029361E" w:rsidRDefault="003A71DE" w:rsidP="003A71DE">
            <w:pPr>
              <w:keepNext/>
              <w:keepLines/>
              <w:spacing w:after="0" w:line="259" w:lineRule="auto"/>
              <w:jc w:val="center"/>
              <w:rPr>
                <w:rFonts w:ascii="Arial" w:eastAsia="?? ??" w:hAnsi="Arial"/>
                <w:sz w:val="18"/>
              </w:rPr>
            </w:pPr>
          </w:p>
        </w:tc>
        <w:tc>
          <w:tcPr>
            <w:tcW w:w="1985" w:type="dxa"/>
            <w:shd w:val="clear" w:color="auto" w:fill="auto"/>
          </w:tcPr>
          <w:p w14:paraId="4CAE1C4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6</w:t>
            </w:r>
          </w:p>
        </w:tc>
        <w:tc>
          <w:tcPr>
            <w:tcW w:w="3118" w:type="dxa"/>
          </w:tcPr>
          <w:p w14:paraId="4E7FB89E"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5B9F3A10" w14:textId="77777777" w:rsidTr="003A71DE">
        <w:trPr>
          <w:trHeight w:val="187"/>
          <w:jc w:val="center"/>
        </w:trPr>
        <w:tc>
          <w:tcPr>
            <w:tcW w:w="4104" w:type="dxa"/>
            <w:gridSpan w:val="4"/>
            <w:shd w:val="clear" w:color="auto" w:fill="auto"/>
          </w:tcPr>
          <w:p w14:paraId="5F9DAE95"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rlmInSyncOutOfSyncThreshold</w:t>
            </w:r>
          </w:p>
        </w:tc>
        <w:tc>
          <w:tcPr>
            <w:tcW w:w="994" w:type="dxa"/>
            <w:tcBorders>
              <w:bottom w:val="single" w:sz="4" w:space="0" w:color="auto"/>
            </w:tcBorders>
            <w:shd w:val="clear" w:color="auto" w:fill="auto"/>
          </w:tcPr>
          <w:p w14:paraId="3F3F7F8B"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020CC32E"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iCs/>
                <w:sz w:val="18"/>
              </w:rPr>
              <w:t>absent</w:t>
            </w:r>
          </w:p>
        </w:tc>
        <w:tc>
          <w:tcPr>
            <w:tcW w:w="3118" w:type="dxa"/>
            <w:tcBorders>
              <w:bottom w:val="single" w:sz="4" w:space="0" w:color="auto"/>
            </w:tcBorders>
          </w:tcPr>
          <w:p w14:paraId="3EA85A5B"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iCs/>
                <w:sz w:val="18"/>
              </w:rPr>
              <w:t xml:space="preserve">When the field is absent, the </w:t>
            </w:r>
            <w:r w:rsidRPr="0029361E">
              <w:rPr>
                <w:rFonts w:ascii="Arial" w:eastAsia="SimSun" w:hAnsi="Arial" w:hint="eastAsia"/>
                <w:iCs/>
                <w:sz w:val="18"/>
                <w:lang w:val="en-US" w:eastAsia="zh-CN"/>
              </w:rPr>
              <w:t>IAB-MT</w:t>
            </w:r>
            <w:r w:rsidRPr="0029361E">
              <w:rPr>
                <w:rFonts w:ascii="Arial" w:hAnsi="Arial"/>
                <w:iCs/>
                <w:sz w:val="18"/>
              </w:rPr>
              <w:t xml:space="preserve"> applies the value 0. (Table 8.1.1-1</w:t>
            </w:r>
            <w:r w:rsidRPr="0029361E">
              <w:rPr>
                <w:rFonts w:ascii="Arial" w:eastAsia="SimSun" w:hAnsi="Arial" w:hint="eastAsia"/>
                <w:iCs/>
                <w:sz w:val="18"/>
                <w:lang w:val="en-US" w:eastAsia="zh-CN"/>
              </w:rPr>
              <w:t xml:space="preserve"> of TS 38.133</w:t>
            </w:r>
            <w:r w:rsidRPr="0029361E">
              <w:rPr>
                <w:rFonts w:ascii="Arial" w:hAnsi="Arial"/>
                <w:iCs/>
                <w:sz w:val="18"/>
              </w:rPr>
              <w:t>).</w:t>
            </w:r>
          </w:p>
        </w:tc>
      </w:tr>
      <w:tr w:rsidR="003A71DE" w:rsidRPr="0029361E" w14:paraId="0FAD9000" w14:textId="77777777" w:rsidTr="003A71DE">
        <w:trPr>
          <w:trHeight w:val="187"/>
          <w:jc w:val="center"/>
        </w:trPr>
        <w:tc>
          <w:tcPr>
            <w:tcW w:w="2508" w:type="dxa"/>
            <w:gridSpan w:val="2"/>
            <w:tcBorders>
              <w:bottom w:val="nil"/>
            </w:tcBorders>
            <w:shd w:val="clear" w:color="auto" w:fill="auto"/>
          </w:tcPr>
          <w:p w14:paraId="068362F7"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rsrp-ThresholdSSB</w:t>
            </w:r>
          </w:p>
        </w:tc>
        <w:tc>
          <w:tcPr>
            <w:tcW w:w="1596" w:type="dxa"/>
            <w:gridSpan w:val="2"/>
            <w:shd w:val="clear" w:color="auto" w:fill="auto"/>
          </w:tcPr>
          <w:p w14:paraId="79784776"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zh-CN"/>
              </w:rPr>
              <w:t>Config 1</w:t>
            </w:r>
          </w:p>
        </w:tc>
        <w:tc>
          <w:tcPr>
            <w:tcW w:w="994" w:type="dxa"/>
            <w:tcBorders>
              <w:bottom w:val="nil"/>
            </w:tcBorders>
            <w:shd w:val="clear" w:color="auto" w:fill="auto"/>
          </w:tcPr>
          <w:p w14:paraId="165A80B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dBm/SCS kHz</w:t>
            </w:r>
          </w:p>
        </w:tc>
        <w:tc>
          <w:tcPr>
            <w:tcW w:w="1985" w:type="dxa"/>
            <w:shd w:val="clear" w:color="auto" w:fill="auto"/>
          </w:tcPr>
          <w:p w14:paraId="2909AAB4"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iCs/>
                <w:sz w:val="18"/>
              </w:rPr>
              <w:t>-98</w:t>
            </w:r>
          </w:p>
        </w:tc>
        <w:tc>
          <w:tcPr>
            <w:tcW w:w="3118" w:type="dxa"/>
            <w:tcBorders>
              <w:bottom w:val="nil"/>
            </w:tcBorders>
            <w:shd w:val="clear" w:color="auto" w:fill="auto"/>
          </w:tcPr>
          <w:p w14:paraId="72E67F46"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sz w:val="18"/>
              </w:rPr>
              <w:t>Threshold used for Q</w:t>
            </w:r>
            <w:r w:rsidRPr="0029361E">
              <w:rPr>
                <w:rFonts w:ascii="Arial" w:hAnsi="Arial"/>
                <w:sz w:val="18"/>
                <w:vertAlign w:val="subscript"/>
              </w:rPr>
              <w:t>in_LR_SSB</w:t>
            </w:r>
          </w:p>
        </w:tc>
      </w:tr>
      <w:tr w:rsidR="003A71DE" w:rsidRPr="0029361E" w14:paraId="5EDCF8AE" w14:textId="77777777" w:rsidTr="003A71DE">
        <w:trPr>
          <w:trHeight w:val="187"/>
          <w:jc w:val="center"/>
        </w:trPr>
        <w:tc>
          <w:tcPr>
            <w:tcW w:w="2508" w:type="dxa"/>
            <w:gridSpan w:val="2"/>
            <w:tcBorders>
              <w:top w:val="nil"/>
            </w:tcBorders>
            <w:shd w:val="clear" w:color="auto" w:fill="auto"/>
          </w:tcPr>
          <w:p w14:paraId="107A1550" w14:textId="77777777" w:rsidR="003A71DE" w:rsidRPr="0029361E" w:rsidRDefault="003A71DE" w:rsidP="003A71DE">
            <w:pPr>
              <w:keepNext/>
              <w:keepLines/>
              <w:spacing w:after="0" w:line="259" w:lineRule="auto"/>
              <w:rPr>
                <w:rFonts w:ascii="Arial" w:hAnsi="Arial"/>
                <w:sz w:val="18"/>
              </w:rPr>
            </w:pPr>
          </w:p>
        </w:tc>
        <w:tc>
          <w:tcPr>
            <w:tcW w:w="1596" w:type="dxa"/>
            <w:gridSpan w:val="2"/>
            <w:shd w:val="clear" w:color="auto" w:fill="auto"/>
          </w:tcPr>
          <w:p w14:paraId="36905237"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zh-CN"/>
              </w:rPr>
              <w:t xml:space="preserve">Config </w:t>
            </w:r>
            <w:r w:rsidRPr="0029361E">
              <w:rPr>
                <w:rFonts w:ascii="Arial" w:hAnsi="Arial" w:hint="eastAsia"/>
                <w:sz w:val="18"/>
                <w:lang w:val="en-US" w:eastAsia="zh-CN"/>
              </w:rPr>
              <w:t>2</w:t>
            </w:r>
          </w:p>
        </w:tc>
        <w:tc>
          <w:tcPr>
            <w:tcW w:w="994" w:type="dxa"/>
            <w:tcBorders>
              <w:top w:val="nil"/>
            </w:tcBorders>
            <w:shd w:val="clear" w:color="auto" w:fill="auto"/>
          </w:tcPr>
          <w:p w14:paraId="59AECBA4"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21C72D3E"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iCs/>
                <w:sz w:val="18"/>
                <w:lang w:eastAsia="zh-CN"/>
              </w:rPr>
              <w:t>-95</w:t>
            </w:r>
          </w:p>
        </w:tc>
        <w:tc>
          <w:tcPr>
            <w:tcW w:w="3118" w:type="dxa"/>
            <w:tcBorders>
              <w:top w:val="nil"/>
            </w:tcBorders>
            <w:shd w:val="clear" w:color="auto" w:fill="auto"/>
          </w:tcPr>
          <w:p w14:paraId="711F751E"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8284557" w14:textId="77777777" w:rsidTr="003A71DE">
        <w:trPr>
          <w:trHeight w:val="187"/>
          <w:jc w:val="center"/>
        </w:trPr>
        <w:tc>
          <w:tcPr>
            <w:tcW w:w="4104" w:type="dxa"/>
            <w:gridSpan w:val="4"/>
            <w:shd w:val="clear" w:color="auto" w:fill="auto"/>
          </w:tcPr>
          <w:p w14:paraId="5E3D23EB"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powerControlOffsetSS</w:t>
            </w:r>
          </w:p>
        </w:tc>
        <w:tc>
          <w:tcPr>
            <w:tcW w:w="994" w:type="dxa"/>
            <w:shd w:val="clear" w:color="auto" w:fill="auto"/>
          </w:tcPr>
          <w:p w14:paraId="6A97E01C" w14:textId="77777777" w:rsidR="003A71DE" w:rsidRPr="0029361E" w:rsidRDefault="003A71DE" w:rsidP="003A71DE">
            <w:pPr>
              <w:keepNext/>
              <w:keepLines/>
              <w:spacing w:after="0" w:line="259" w:lineRule="auto"/>
              <w:jc w:val="center"/>
              <w:rPr>
                <w:rFonts w:ascii="Arial" w:hAnsi="Arial"/>
                <w:sz w:val="18"/>
              </w:rPr>
            </w:pPr>
          </w:p>
        </w:tc>
        <w:tc>
          <w:tcPr>
            <w:tcW w:w="1985" w:type="dxa"/>
            <w:shd w:val="clear" w:color="auto" w:fill="auto"/>
          </w:tcPr>
          <w:p w14:paraId="5F7D8808"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iCs/>
                <w:sz w:val="18"/>
              </w:rPr>
              <w:t>db0</w:t>
            </w:r>
          </w:p>
        </w:tc>
        <w:tc>
          <w:tcPr>
            <w:tcW w:w="3118" w:type="dxa"/>
          </w:tcPr>
          <w:p w14:paraId="6DD89064"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Used for deriving rsrp-ThresholdCSI-RS</w:t>
            </w:r>
          </w:p>
        </w:tc>
      </w:tr>
      <w:tr w:rsidR="003A71DE" w:rsidRPr="0029361E" w14:paraId="0F966F44" w14:textId="77777777" w:rsidTr="003A71DE">
        <w:trPr>
          <w:trHeight w:val="187"/>
          <w:jc w:val="center"/>
        </w:trPr>
        <w:tc>
          <w:tcPr>
            <w:tcW w:w="4104" w:type="dxa"/>
            <w:gridSpan w:val="4"/>
            <w:shd w:val="clear" w:color="auto" w:fill="auto"/>
          </w:tcPr>
          <w:p w14:paraId="2BF8DB92"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beamFailureInstanceMaxCount</w:t>
            </w:r>
          </w:p>
        </w:tc>
        <w:tc>
          <w:tcPr>
            <w:tcW w:w="994" w:type="dxa"/>
            <w:shd w:val="clear" w:color="auto" w:fill="auto"/>
          </w:tcPr>
          <w:p w14:paraId="050C3607" w14:textId="77777777" w:rsidR="003A71DE" w:rsidRPr="0029361E" w:rsidRDefault="003A71DE" w:rsidP="003A71DE">
            <w:pPr>
              <w:keepNext/>
              <w:keepLines/>
              <w:spacing w:after="0" w:line="259" w:lineRule="auto"/>
              <w:jc w:val="center"/>
              <w:rPr>
                <w:rFonts w:ascii="Arial" w:hAnsi="Arial"/>
                <w:iCs/>
                <w:sz w:val="18"/>
              </w:rPr>
            </w:pPr>
          </w:p>
        </w:tc>
        <w:tc>
          <w:tcPr>
            <w:tcW w:w="1985" w:type="dxa"/>
            <w:shd w:val="clear" w:color="auto" w:fill="auto"/>
          </w:tcPr>
          <w:p w14:paraId="408150AF"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iCs/>
                <w:sz w:val="18"/>
              </w:rPr>
              <w:t>n1</w:t>
            </w:r>
          </w:p>
        </w:tc>
        <w:tc>
          <w:tcPr>
            <w:tcW w:w="3118" w:type="dxa"/>
          </w:tcPr>
          <w:p w14:paraId="3C010E82" w14:textId="77777777" w:rsidR="003A71DE" w:rsidRPr="0029361E" w:rsidRDefault="003A71DE" w:rsidP="003A71DE">
            <w:pPr>
              <w:keepNext/>
              <w:keepLines/>
              <w:spacing w:after="0" w:line="259" w:lineRule="auto"/>
              <w:jc w:val="center"/>
              <w:rPr>
                <w:rFonts w:ascii="Arial" w:hAnsi="Arial"/>
                <w:iCs/>
                <w:sz w:val="18"/>
              </w:rPr>
            </w:pPr>
            <w:r w:rsidRPr="0029361E">
              <w:rPr>
                <w:rFonts w:ascii="Arial" w:hAnsi="Arial"/>
                <w:iCs/>
                <w:sz w:val="18"/>
              </w:rPr>
              <w:t>see clause 5.17 of TS 38.321 [</w:t>
            </w:r>
            <w:r w:rsidRPr="0029361E">
              <w:rPr>
                <w:rFonts w:ascii="Arial" w:eastAsia="SimSun" w:hAnsi="Arial" w:hint="eastAsia"/>
                <w:iCs/>
                <w:sz w:val="18"/>
                <w:lang w:val="en-US" w:eastAsia="zh-CN"/>
              </w:rPr>
              <w:t>14</w:t>
            </w:r>
            <w:r w:rsidRPr="0029361E">
              <w:rPr>
                <w:rFonts w:ascii="Arial" w:hAnsi="Arial"/>
                <w:iCs/>
                <w:sz w:val="18"/>
              </w:rPr>
              <w:t>]</w:t>
            </w:r>
          </w:p>
        </w:tc>
      </w:tr>
      <w:tr w:rsidR="003A71DE" w:rsidRPr="0029361E" w14:paraId="2F2A3294" w14:textId="77777777" w:rsidTr="003A71DE">
        <w:trPr>
          <w:trHeight w:val="187"/>
          <w:jc w:val="center"/>
        </w:trPr>
        <w:tc>
          <w:tcPr>
            <w:tcW w:w="4104" w:type="dxa"/>
            <w:gridSpan w:val="4"/>
            <w:shd w:val="clear" w:color="auto" w:fill="auto"/>
          </w:tcPr>
          <w:p w14:paraId="1937359C"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beamFailureDetectionTimer</w:t>
            </w:r>
          </w:p>
        </w:tc>
        <w:tc>
          <w:tcPr>
            <w:tcW w:w="994" w:type="dxa"/>
            <w:shd w:val="clear" w:color="auto" w:fill="auto"/>
          </w:tcPr>
          <w:p w14:paraId="76105418" w14:textId="77777777" w:rsidR="003A71DE" w:rsidRPr="0029361E" w:rsidRDefault="003A71DE" w:rsidP="003A71DE">
            <w:pPr>
              <w:keepNext/>
              <w:keepLines/>
              <w:spacing w:after="0" w:line="259" w:lineRule="auto"/>
              <w:jc w:val="center"/>
              <w:rPr>
                <w:rFonts w:ascii="Arial" w:hAnsi="Arial"/>
                <w:iCs/>
                <w:sz w:val="18"/>
              </w:rPr>
            </w:pPr>
          </w:p>
        </w:tc>
        <w:tc>
          <w:tcPr>
            <w:tcW w:w="1985" w:type="dxa"/>
            <w:shd w:val="clear" w:color="auto" w:fill="auto"/>
          </w:tcPr>
          <w:p w14:paraId="6B772649" w14:textId="77777777" w:rsidR="003A71DE" w:rsidRPr="0029361E" w:rsidRDefault="003A71DE" w:rsidP="003A71DE">
            <w:pPr>
              <w:keepNext/>
              <w:keepLines/>
              <w:spacing w:after="0" w:line="259" w:lineRule="auto"/>
              <w:jc w:val="center"/>
              <w:rPr>
                <w:rFonts w:ascii="Arial" w:hAnsi="Arial"/>
                <w:i/>
                <w:iCs/>
                <w:sz w:val="18"/>
              </w:rPr>
            </w:pPr>
            <w:r w:rsidRPr="0029361E">
              <w:rPr>
                <w:rFonts w:ascii="Arial" w:hAnsi="Arial"/>
                <w:sz w:val="18"/>
              </w:rPr>
              <w:t>pbfd4</w:t>
            </w:r>
          </w:p>
        </w:tc>
        <w:tc>
          <w:tcPr>
            <w:tcW w:w="3118" w:type="dxa"/>
          </w:tcPr>
          <w:p w14:paraId="5504AB3D"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iCs/>
                <w:sz w:val="18"/>
              </w:rPr>
              <w:t>see clause 5.17 of TS 38.321 [</w:t>
            </w:r>
            <w:r w:rsidRPr="0029361E">
              <w:rPr>
                <w:rFonts w:ascii="Arial" w:eastAsia="SimSun" w:hAnsi="Arial" w:hint="eastAsia"/>
                <w:iCs/>
                <w:sz w:val="18"/>
                <w:lang w:val="en-US" w:eastAsia="zh-CN"/>
              </w:rPr>
              <w:t>14</w:t>
            </w:r>
            <w:r w:rsidRPr="0029361E">
              <w:rPr>
                <w:rFonts w:ascii="Arial" w:hAnsi="Arial"/>
                <w:iCs/>
                <w:sz w:val="18"/>
              </w:rPr>
              <w:t>]</w:t>
            </w:r>
          </w:p>
        </w:tc>
      </w:tr>
      <w:tr w:rsidR="003A71DE" w:rsidRPr="0029361E" w14:paraId="2611F7E2" w14:textId="77777777" w:rsidTr="003A71DE">
        <w:trPr>
          <w:trHeight w:val="187"/>
          <w:jc w:val="center"/>
        </w:trPr>
        <w:tc>
          <w:tcPr>
            <w:tcW w:w="1838" w:type="dxa"/>
            <w:tcBorders>
              <w:top w:val="nil"/>
              <w:bottom w:val="nil"/>
            </w:tcBorders>
            <w:shd w:val="clear" w:color="auto" w:fill="auto"/>
          </w:tcPr>
          <w:p w14:paraId="00E3356E" w14:textId="77777777" w:rsidR="003A71DE" w:rsidRPr="0029361E" w:rsidRDefault="003A71DE" w:rsidP="003A71DE">
            <w:pPr>
              <w:keepNext/>
              <w:keepLines/>
              <w:spacing w:after="0" w:line="259" w:lineRule="auto"/>
              <w:rPr>
                <w:rFonts w:ascii="Arial" w:hAnsi="Arial" w:cs="Arial"/>
                <w:sz w:val="18"/>
                <w:szCs w:val="18"/>
              </w:rPr>
            </w:pPr>
            <w:r w:rsidRPr="0029361E">
              <w:rPr>
                <w:rFonts w:ascii="Arial" w:hAnsi="Arial" w:cs="Arial"/>
                <w:sz w:val="18"/>
                <w:szCs w:val="18"/>
              </w:rPr>
              <w:t>CSI-RS configuration  for CSI reporting</w:t>
            </w:r>
          </w:p>
        </w:tc>
        <w:tc>
          <w:tcPr>
            <w:tcW w:w="2266" w:type="dxa"/>
            <w:gridSpan w:val="3"/>
            <w:shd w:val="clear" w:color="auto" w:fill="auto"/>
          </w:tcPr>
          <w:p w14:paraId="27857263" w14:textId="77777777" w:rsidR="003A71DE" w:rsidRPr="0029361E" w:rsidRDefault="003A71DE" w:rsidP="003A71DE">
            <w:pPr>
              <w:keepNext/>
              <w:keepLines/>
              <w:spacing w:after="0" w:line="259" w:lineRule="auto"/>
              <w:rPr>
                <w:rFonts w:ascii="Arial" w:eastAsia="SimSun" w:hAnsi="Arial" w:cs="Arial"/>
                <w:sz w:val="18"/>
                <w:szCs w:val="18"/>
                <w:lang w:eastAsia="zh-CN"/>
              </w:rPr>
            </w:pPr>
            <w:r w:rsidRPr="0029361E">
              <w:rPr>
                <w:rFonts w:ascii="Arial" w:hAnsi="Arial" w:cs="Arial"/>
                <w:sz w:val="18"/>
                <w:szCs w:val="18"/>
              </w:rPr>
              <w:t xml:space="preserve">Config </w:t>
            </w:r>
            <w:r w:rsidRPr="0029361E">
              <w:rPr>
                <w:rFonts w:ascii="Arial" w:eastAsia="SimSun" w:hAnsi="Arial" w:cs="Arial" w:hint="eastAsia"/>
                <w:sz w:val="18"/>
                <w:szCs w:val="18"/>
                <w:lang w:val="en-US" w:eastAsia="zh-CN"/>
              </w:rPr>
              <w:t>1</w:t>
            </w:r>
          </w:p>
        </w:tc>
        <w:tc>
          <w:tcPr>
            <w:tcW w:w="994" w:type="dxa"/>
            <w:shd w:val="clear" w:color="auto" w:fill="auto"/>
          </w:tcPr>
          <w:p w14:paraId="458206FF" w14:textId="77777777" w:rsidR="003A71DE" w:rsidRPr="0029361E" w:rsidRDefault="003A71DE" w:rsidP="003A71DE">
            <w:pPr>
              <w:keepNext/>
              <w:keepLines/>
              <w:spacing w:after="0" w:line="259" w:lineRule="auto"/>
              <w:jc w:val="center"/>
              <w:rPr>
                <w:rFonts w:ascii="Arial" w:hAnsi="Arial" w:cs="Arial"/>
                <w:sz w:val="18"/>
                <w:szCs w:val="18"/>
              </w:rPr>
            </w:pPr>
          </w:p>
        </w:tc>
        <w:tc>
          <w:tcPr>
            <w:tcW w:w="1985" w:type="dxa"/>
            <w:shd w:val="clear" w:color="auto" w:fill="auto"/>
          </w:tcPr>
          <w:p w14:paraId="28535179" w14:textId="77777777" w:rsidR="003A71DE" w:rsidRPr="0029361E" w:rsidRDefault="003A71DE" w:rsidP="003A71DE">
            <w:pPr>
              <w:keepNext/>
              <w:keepLines/>
              <w:spacing w:after="0" w:line="259" w:lineRule="auto"/>
              <w:jc w:val="center"/>
              <w:rPr>
                <w:rFonts w:ascii="Arial" w:hAnsi="Arial" w:cs="Arial"/>
                <w:iCs/>
                <w:sz w:val="18"/>
                <w:szCs w:val="18"/>
              </w:rPr>
            </w:pPr>
            <w:r w:rsidRPr="0029361E">
              <w:rPr>
                <w:rFonts w:ascii="Arial" w:hAnsi="Arial" w:cs="Arial"/>
                <w:sz w:val="18"/>
                <w:szCs w:val="18"/>
              </w:rPr>
              <w:t>CSI-RS.1.1 TDD</w:t>
            </w:r>
          </w:p>
        </w:tc>
        <w:tc>
          <w:tcPr>
            <w:tcW w:w="3118" w:type="dxa"/>
          </w:tcPr>
          <w:p w14:paraId="1F694F3F" w14:textId="77777777" w:rsidR="003A71DE" w:rsidRPr="0029361E" w:rsidRDefault="003A71DE" w:rsidP="003A71DE">
            <w:pPr>
              <w:keepNext/>
              <w:keepLines/>
              <w:spacing w:after="0" w:line="259" w:lineRule="auto"/>
              <w:jc w:val="center"/>
              <w:rPr>
                <w:rFonts w:ascii="Arial" w:hAnsi="Arial" w:cs="Arial"/>
                <w:iCs/>
                <w:sz w:val="18"/>
                <w:szCs w:val="18"/>
              </w:rPr>
            </w:pPr>
          </w:p>
        </w:tc>
      </w:tr>
      <w:tr w:rsidR="003A71DE" w:rsidRPr="0029361E" w14:paraId="0B0E4350" w14:textId="77777777" w:rsidTr="003A71DE">
        <w:trPr>
          <w:trHeight w:val="187"/>
          <w:jc w:val="center"/>
        </w:trPr>
        <w:tc>
          <w:tcPr>
            <w:tcW w:w="1838" w:type="dxa"/>
            <w:tcBorders>
              <w:top w:val="nil"/>
              <w:bottom w:val="single" w:sz="4" w:space="0" w:color="auto"/>
            </w:tcBorders>
            <w:shd w:val="clear" w:color="auto" w:fill="auto"/>
          </w:tcPr>
          <w:p w14:paraId="1A5F6455" w14:textId="77777777" w:rsidR="003A71DE" w:rsidRPr="0029361E" w:rsidRDefault="003A71DE" w:rsidP="003A71DE">
            <w:pPr>
              <w:keepNext/>
              <w:keepLines/>
              <w:spacing w:after="0" w:line="259" w:lineRule="auto"/>
              <w:rPr>
                <w:rFonts w:ascii="Arial" w:hAnsi="Arial" w:cs="Arial"/>
                <w:sz w:val="18"/>
                <w:szCs w:val="18"/>
              </w:rPr>
            </w:pPr>
          </w:p>
        </w:tc>
        <w:tc>
          <w:tcPr>
            <w:tcW w:w="2266" w:type="dxa"/>
            <w:gridSpan w:val="3"/>
            <w:shd w:val="clear" w:color="auto" w:fill="auto"/>
          </w:tcPr>
          <w:p w14:paraId="5898D271" w14:textId="77777777" w:rsidR="003A71DE" w:rsidRPr="0029361E" w:rsidRDefault="003A71DE" w:rsidP="003A71DE">
            <w:pPr>
              <w:keepNext/>
              <w:keepLines/>
              <w:spacing w:after="0" w:line="259" w:lineRule="auto"/>
              <w:rPr>
                <w:rFonts w:ascii="Arial" w:eastAsia="SimSun" w:hAnsi="Arial" w:cs="Arial"/>
                <w:sz w:val="18"/>
                <w:szCs w:val="18"/>
                <w:lang w:eastAsia="zh-CN"/>
              </w:rPr>
            </w:pPr>
            <w:r w:rsidRPr="0029361E">
              <w:rPr>
                <w:rFonts w:ascii="Arial" w:hAnsi="Arial" w:cs="Arial"/>
                <w:sz w:val="18"/>
                <w:szCs w:val="18"/>
              </w:rPr>
              <w:t xml:space="preserve">Config </w:t>
            </w:r>
            <w:r w:rsidRPr="0029361E">
              <w:rPr>
                <w:rFonts w:ascii="Arial" w:eastAsia="SimSun" w:hAnsi="Arial" w:cs="Arial" w:hint="eastAsia"/>
                <w:sz w:val="18"/>
                <w:szCs w:val="18"/>
                <w:lang w:val="en-US" w:eastAsia="zh-CN"/>
              </w:rPr>
              <w:t>2</w:t>
            </w:r>
          </w:p>
        </w:tc>
        <w:tc>
          <w:tcPr>
            <w:tcW w:w="994" w:type="dxa"/>
            <w:shd w:val="clear" w:color="auto" w:fill="auto"/>
          </w:tcPr>
          <w:p w14:paraId="79CE106A" w14:textId="77777777" w:rsidR="003A71DE" w:rsidRPr="0029361E" w:rsidRDefault="003A71DE" w:rsidP="003A71DE">
            <w:pPr>
              <w:keepNext/>
              <w:keepLines/>
              <w:spacing w:after="0" w:line="259" w:lineRule="auto"/>
              <w:jc w:val="center"/>
              <w:rPr>
                <w:rFonts w:ascii="Arial" w:hAnsi="Arial" w:cs="Arial"/>
                <w:sz w:val="18"/>
                <w:szCs w:val="18"/>
              </w:rPr>
            </w:pPr>
          </w:p>
        </w:tc>
        <w:tc>
          <w:tcPr>
            <w:tcW w:w="1985" w:type="dxa"/>
            <w:shd w:val="clear" w:color="auto" w:fill="auto"/>
          </w:tcPr>
          <w:p w14:paraId="7158AAC4" w14:textId="77777777" w:rsidR="003A71DE" w:rsidRPr="0029361E" w:rsidRDefault="003A71DE" w:rsidP="003A71DE">
            <w:pPr>
              <w:keepNext/>
              <w:keepLines/>
              <w:spacing w:after="0" w:line="259" w:lineRule="auto"/>
              <w:jc w:val="center"/>
              <w:rPr>
                <w:rFonts w:ascii="Arial" w:hAnsi="Arial" w:cs="Arial"/>
                <w:iCs/>
                <w:sz w:val="18"/>
                <w:szCs w:val="18"/>
              </w:rPr>
            </w:pPr>
            <w:r w:rsidRPr="0029361E">
              <w:rPr>
                <w:rFonts w:ascii="Arial" w:hAnsi="Arial" w:cs="Arial"/>
                <w:sz w:val="18"/>
                <w:szCs w:val="18"/>
              </w:rPr>
              <w:t>CSI-RS.2.1 TDD</w:t>
            </w:r>
          </w:p>
        </w:tc>
        <w:tc>
          <w:tcPr>
            <w:tcW w:w="3118" w:type="dxa"/>
          </w:tcPr>
          <w:p w14:paraId="719C0F92" w14:textId="77777777" w:rsidR="003A71DE" w:rsidRPr="0029361E" w:rsidRDefault="003A71DE" w:rsidP="003A71DE">
            <w:pPr>
              <w:keepNext/>
              <w:keepLines/>
              <w:spacing w:after="0" w:line="259" w:lineRule="auto"/>
              <w:jc w:val="center"/>
              <w:rPr>
                <w:rFonts w:ascii="Arial" w:hAnsi="Arial" w:cs="Arial"/>
                <w:iCs/>
                <w:sz w:val="18"/>
                <w:szCs w:val="18"/>
              </w:rPr>
            </w:pPr>
          </w:p>
        </w:tc>
      </w:tr>
      <w:tr w:rsidR="003A71DE" w:rsidRPr="0029361E" w14:paraId="30F6424D" w14:textId="77777777" w:rsidTr="003A71DE">
        <w:trPr>
          <w:trHeight w:val="187"/>
          <w:jc w:val="center"/>
        </w:trPr>
        <w:tc>
          <w:tcPr>
            <w:tcW w:w="1838" w:type="dxa"/>
            <w:tcBorders>
              <w:top w:val="nil"/>
              <w:bottom w:val="nil"/>
            </w:tcBorders>
            <w:shd w:val="clear" w:color="auto" w:fill="auto"/>
          </w:tcPr>
          <w:p w14:paraId="3D38FD80" w14:textId="77777777" w:rsidR="003A71DE" w:rsidRPr="0029361E" w:rsidRDefault="003A71DE" w:rsidP="003A71DE">
            <w:pPr>
              <w:keepNext/>
              <w:keepLines/>
              <w:spacing w:after="0" w:line="259" w:lineRule="auto"/>
              <w:rPr>
                <w:rFonts w:ascii="Arial" w:hAnsi="Arial" w:cs="Arial"/>
                <w:sz w:val="18"/>
                <w:szCs w:val="18"/>
              </w:rPr>
            </w:pPr>
            <w:r w:rsidRPr="0029361E">
              <w:rPr>
                <w:rFonts w:ascii="Arial" w:hAnsi="Arial" w:cs="Arial"/>
                <w:sz w:val="18"/>
                <w:szCs w:val="18"/>
              </w:rPr>
              <w:t xml:space="preserve">CSI-RS for tracking </w:t>
            </w:r>
          </w:p>
        </w:tc>
        <w:tc>
          <w:tcPr>
            <w:tcW w:w="2266" w:type="dxa"/>
            <w:gridSpan w:val="3"/>
            <w:shd w:val="clear" w:color="auto" w:fill="auto"/>
          </w:tcPr>
          <w:p w14:paraId="4E61DC22" w14:textId="77777777" w:rsidR="003A71DE" w:rsidRPr="0029361E" w:rsidRDefault="003A71DE" w:rsidP="003A71DE">
            <w:pPr>
              <w:keepNext/>
              <w:keepLines/>
              <w:spacing w:after="0" w:line="259" w:lineRule="auto"/>
              <w:rPr>
                <w:rFonts w:ascii="Arial" w:eastAsia="SimSun" w:hAnsi="Arial" w:cs="Arial"/>
                <w:sz w:val="18"/>
                <w:szCs w:val="18"/>
                <w:lang w:eastAsia="zh-CN"/>
              </w:rPr>
            </w:pPr>
            <w:r w:rsidRPr="0029361E">
              <w:rPr>
                <w:rFonts w:ascii="Arial" w:hAnsi="Arial" w:cs="Arial"/>
                <w:sz w:val="18"/>
                <w:szCs w:val="18"/>
              </w:rPr>
              <w:t xml:space="preserve">Config </w:t>
            </w:r>
            <w:r w:rsidRPr="0029361E">
              <w:rPr>
                <w:rFonts w:ascii="Arial" w:eastAsia="SimSun" w:hAnsi="Arial" w:cs="Arial" w:hint="eastAsia"/>
                <w:sz w:val="18"/>
                <w:szCs w:val="18"/>
                <w:lang w:val="en-US" w:eastAsia="zh-CN"/>
              </w:rPr>
              <w:t>1</w:t>
            </w:r>
          </w:p>
        </w:tc>
        <w:tc>
          <w:tcPr>
            <w:tcW w:w="994" w:type="dxa"/>
            <w:shd w:val="clear" w:color="auto" w:fill="auto"/>
          </w:tcPr>
          <w:p w14:paraId="1B46ECE1" w14:textId="77777777" w:rsidR="003A71DE" w:rsidRPr="0029361E" w:rsidRDefault="003A71DE" w:rsidP="003A71DE">
            <w:pPr>
              <w:keepNext/>
              <w:keepLines/>
              <w:spacing w:after="0" w:line="259" w:lineRule="auto"/>
              <w:jc w:val="center"/>
              <w:rPr>
                <w:rFonts w:ascii="Arial" w:hAnsi="Arial" w:cs="Arial"/>
                <w:sz w:val="18"/>
                <w:szCs w:val="18"/>
              </w:rPr>
            </w:pPr>
          </w:p>
        </w:tc>
        <w:tc>
          <w:tcPr>
            <w:tcW w:w="1985" w:type="dxa"/>
            <w:shd w:val="clear" w:color="auto" w:fill="auto"/>
          </w:tcPr>
          <w:p w14:paraId="0AFA3621" w14:textId="77777777" w:rsidR="003A71DE" w:rsidRPr="0029361E" w:rsidRDefault="003A71DE" w:rsidP="003A71DE">
            <w:pPr>
              <w:keepNext/>
              <w:keepLines/>
              <w:spacing w:after="0" w:line="259" w:lineRule="auto"/>
              <w:jc w:val="center"/>
              <w:rPr>
                <w:rFonts w:ascii="Arial" w:hAnsi="Arial" w:cs="Arial"/>
                <w:sz w:val="18"/>
                <w:szCs w:val="18"/>
              </w:rPr>
            </w:pPr>
            <w:r w:rsidRPr="0029361E">
              <w:rPr>
                <w:rFonts w:ascii="Arial" w:hAnsi="Arial" w:cs="Arial"/>
                <w:sz w:val="18"/>
                <w:szCs w:val="18"/>
              </w:rPr>
              <w:t>TRS.1.1 TDD</w:t>
            </w:r>
          </w:p>
        </w:tc>
        <w:tc>
          <w:tcPr>
            <w:tcW w:w="3118" w:type="dxa"/>
          </w:tcPr>
          <w:p w14:paraId="3BFB40EB" w14:textId="77777777" w:rsidR="003A71DE" w:rsidRPr="0029361E" w:rsidRDefault="003A71DE" w:rsidP="003A71DE">
            <w:pPr>
              <w:keepNext/>
              <w:keepLines/>
              <w:spacing w:after="0" w:line="259" w:lineRule="auto"/>
              <w:jc w:val="center"/>
              <w:rPr>
                <w:rFonts w:ascii="Arial" w:hAnsi="Arial" w:cs="Arial"/>
                <w:iCs/>
                <w:sz w:val="18"/>
                <w:szCs w:val="18"/>
              </w:rPr>
            </w:pPr>
          </w:p>
        </w:tc>
      </w:tr>
      <w:tr w:rsidR="003A71DE" w:rsidRPr="0029361E" w14:paraId="28621830" w14:textId="77777777" w:rsidTr="003A71DE">
        <w:trPr>
          <w:trHeight w:val="187"/>
          <w:jc w:val="center"/>
        </w:trPr>
        <w:tc>
          <w:tcPr>
            <w:tcW w:w="1838" w:type="dxa"/>
            <w:tcBorders>
              <w:top w:val="nil"/>
            </w:tcBorders>
            <w:shd w:val="clear" w:color="auto" w:fill="auto"/>
          </w:tcPr>
          <w:p w14:paraId="725A5006" w14:textId="77777777" w:rsidR="003A71DE" w:rsidRPr="0029361E" w:rsidRDefault="003A71DE" w:rsidP="003A71DE">
            <w:pPr>
              <w:keepNext/>
              <w:keepLines/>
              <w:spacing w:after="0" w:line="259" w:lineRule="auto"/>
              <w:rPr>
                <w:rFonts w:ascii="Arial" w:hAnsi="Arial" w:cs="Arial"/>
                <w:sz w:val="18"/>
                <w:szCs w:val="18"/>
              </w:rPr>
            </w:pPr>
          </w:p>
        </w:tc>
        <w:tc>
          <w:tcPr>
            <w:tcW w:w="2266" w:type="dxa"/>
            <w:gridSpan w:val="3"/>
            <w:shd w:val="clear" w:color="auto" w:fill="auto"/>
          </w:tcPr>
          <w:p w14:paraId="0DBCDE09" w14:textId="77777777" w:rsidR="003A71DE" w:rsidRPr="0029361E" w:rsidRDefault="003A71DE" w:rsidP="003A71DE">
            <w:pPr>
              <w:keepNext/>
              <w:keepLines/>
              <w:spacing w:after="0" w:line="259" w:lineRule="auto"/>
              <w:rPr>
                <w:rFonts w:ascii="Arial" w:eastAsia="SimSun" w:hAnsi="Arial" w:cs="Arial"/>
                <w:sz w:val="18"/>
                <w:szCs w:val="18"/>
                <w:lang w:eastAsia="zh-CN"/>
              </w:rPr>
            </w:pPr>
            <w:r w:rsidRPr="0029361E">
              <w:rPr>
                <w:rFonts w:ascii="Arial" w:hAnsi="Arial" w:cs="Arial"/>
                <w:sz w:val="18"/>
                <w:szCs w:val="18"/>
              </w:rPr>
              <w:t xml:space="preserve">Config </w:t>
            </w:r>
            <w:r w:rsidRPr="0029361E">
              <w:rPr>
                <w:rFonts w:ascii="Arial" w:eastAsia="SimSun" w:hAnsi="Arial" w:cs="Arial" w:hint="eastAsia"/>
                <w:sz w:val="18"/>
                <w:szCs w:val="18"/>
                <w:lang w:val="en-US" w:eastAsia="zh-CN"/>
              </w:rPr>
              <w:t>2</w:t>
            </w:r>
          </w:p>
        </w:tc>
        <w:tc>
          <w:tcPr>
            <w:tcW w:w="994" w:type="dxa"/>
            <w:shd w:val="clear" w:color="auto" w:fill="auto"/>
          </w:tcPr>
          <w:p w14:paraId="219EA975" w14:textId="77777777" w:rsidR="003A71DE" w:rsidRPr="0029361E" w:rsidRDefault="003A71DE" w:rsidP="003A71DE">
            <w:pPr>
              <w:keepNext/>
              <w:keepLines/>
              <w:spacing w:after="0" w:line="259" w:lineRule="auto"/>
              <w:jc w:val="center"/>
              <w:rPr>
                <w:rFonts w:ascii="Arial" w:hAnsi="Arial" w:cs="Arial"/>
                <w:sz w:val="18"/>
                <w:szCs w:val="18"/>
              </w:rPr>
            </w:pPr>
          </w:p>
        </w:tc>
        <w:tc>
          <w:tcPr>
            <w:tcW w:w="1985" w:type="dxa"/>
            <w:shd w:val="clear" w:color="auto" w:fill="auto"/>
          </w:tcPr>
          <w:p w14:paraId="5ED7AB18" w14:textId="77777777" w:rsidR="003A71DE" w:rsidRPr="0029361E" w:rsidRDefault="003A71DE" w:rsidP="003A71DE">
            <w:pPr>
              <w:keepNext/>
              <w:keepLines/>
              <w:spacing w:after="0" w:line="259" w:lineRule="auto"/>
              <w:jc w:val="center"/>
              <w:rPr>
                <w:rFonts w:ascii="Arial" w:hAnsi="Arial" w:cs="Arial"/>
                <w:sz w:val="18"/>
                <w:szCs w:val="18"/>
              </w:rPr>
            </w:pPr>
            <w:r w:rsidRPr="0029361E">
              <w:rPr>
                <w:rFonts w:ascii="Arial" w:hAnsi="Arial" w:cs="Arial"/>
                <w:sz w:val="18"/>
                <w:szCs w:val="18"/>
              </w:rPr>
              <w:t>TRS.1.2 TDD</w:t>
            </w:r>
          </w:p>
        </w:tc>
        <w:tc>
          <w:tcPr>
            <w:tcW w:w="3118" w:type="dxa"/>
          </w:tcPr>
          <w:p w14:paraId="12CB9D66" w14:textId="77777777" w:rsidR="003A71DE" w:rsidRPr="0029361E" w:rsidRDefault="003A71DE" w:rsidP="003A71DE">
            <w:pPr>
              <w:keepNext/>
              <w:keepLines/>
              <w:spacing w:after="0" w:line="259" w:lineRule="auto"/>
              <w:jc w:val="center"/>
              <w:rPr>
                <w:rFonts w:ascii="Arial" w:hAnsi="Arial" w:cs="Arial"/>
                <w:iCs/>
                <w:sz w:val="18"/>
                <w:szCs w:val="18"/>
              </w:rPr>
            </w:pPr>
          </w:p>
        </w:tc>
      </w:tr>
      <w:tr w:rsidR="003A71DE" w:rsidRPr="0029361E" w14:paraId="270162E1" w14:textId="77777777" w:rsidTr="003A71DE">
        <w:trPr>
          <w:trHeight w:val="187"/>
          <w:jc w:val="center"/>
        </w:trPr>
        <w:tc>
          <w:tcPr>
            <w:tcW w:w="1838" w:type="dxa"/>
            <w:shd w:val="clear" w:color="auto" w:fill="auto"/>
          </w:tcPr>
          <w:p w14:paraId="5646C3E0" w14:textId="77777777" w:rsidR="003A71DE" w:rsidRPr="0029361E" w:rsidRDefault="003A71DE" w:rsidP="003A71DE">
            <w:pPr>
              <w:keepNext/>
              <w:keepLines/>
              <w:spacing w:after="0" w:line="259" w:lineRule="auto"/>
              <w:rPr>
                <w:rFonts w:ascii="Arial" w:hAnsi="Arial" w:cs="Arial"/>
                <w:sz w:val="18"/>
                <w:szCs w:val="18"/>
              </w:rPr>
            </w:pPr>
            <w:r w:rsidRPr="0029361E">
              <w:rPr>
                <w:rFonts w:ascii="Arial" w:hAnsi="Arial"/>
                <w:sz w:val="18"/>
              </w:rPr>
              <w:t>SSB Index assigned as RLM RS</w:t>
            </w:r>
          </w:p>
        </w:tc>
        <w:tc>
          <w:tcPr>
            <w:tcW w:w="2266" w:type="dxa"/>
            <w:gridSpan w:val="3"/>
            <w:shd w:val="clear" w:color="auto" w:fill="auto"/>
          </w:tcPr>
          <w:p w14:paraId="73D54B6D" w14:textId="77777777" w:rsidR="003A71DE" w:rsidRPr="0029361E" w:rsidRDefault="003A71DE" w:rsidP="003A71DE">
            <w:pPr>
              <w:keepNext/>
              <w:keepLines/>
              <w:spacing w:after="0" w:line="259" w:lineRule="auto"/>
              <w:rPr>
                <w:rFonts w:ascii="Arial" w:hAnsi="Arial" w:cs="Arial"/>
                <w:sz w:val="18"/>
                <w:szCs w:val="18"/>
              </w:rPr>
            </w:pPr>
          </w:p>
        </w:tc>
        <w:tc>
          <w:tcPr>
            <w:tcW w:w="994" w:type="dxa"/>
            <w:shd w:val="clear" w:color="auto" w:fill="auto"/>
          </w:tcPr>
          <w:p w14:paraId="58BB99B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lang w:eastAsia="zh-CN"/>
              </w:rPr>
              <w:t>0, 1</w:t>
            </w:r>
          </w:p>
        </w:tc>
        <w:tc>
          <w:tcPr>
            <w:tcW w:w="1985" w:type="dxa"/>
            <w:shd w:val="clear" w:color="auto" w:fill="auto"/>
          </w:tcPr>
          <w:p w14:paraId="300605AF" w14:textId="77777777" w:rsidR="003A71DE" w:rsidRPr="0029361E" w:rsidRDefault="003A71DE" w:rsidP="003A71DE">
            <w:pPr>
              <w:keepNext/>
              <w:keepLines/>
              <w:spacing w:after="0" w:line="259" w:lineRule="auto"/>
              <w:jc w:val="center"/>
              <w:rPr>
                <w:rFonts w:ascii="Arial" w:hAnsi="Arial"/>
                <w:sz w:val="18"/>
              </w:rPr>
            </w:pPr>
          </w:p>
        </w:tc>
        <w:tc>
          <w:tcPr>
            <w:tcW w:w="3118" w:type="dxa"/>
          </w:tcPr>
          <w:p w14:paraId="7214E77C" w14:textId="77777777" w:rsidR="003A71DE" w:rsidRPr="0029361E" w:rsidRDefault="003A71DE" w:rsidP="003A71DE">
            <w:pPr>
              <w:keepNext/>
              <w:keepLines/>
              <w:spacing w:after="0" w:line="259" w:lineRule="auto"/>
              <w:jc w:val="center"/>
              <w:rPr>
                <w:rFonts w:ascii="Arial" w:hAnsi="Arial"/>
                <w:iCs/>
                <w:sz w:val="18"/>
              </w:rPr>
            </w:pPr>
          </w:p>
        </w:tc>
      </w:tr>
      <w:tr w:rsidR="003A71DE" w:rsidRPr="0029361E" w14:paraId="2BA53543" w14:textId="77777777" w:rsidTr="003A71DE">
        <w:trPr>
          <w:trHeight w:val="187"/>
          <w:jc w:val="center"/>
        </w:trPr>
        <w:tc>
          <w:tcPr>
            <w:tcW w:w="1838" w:type="dxa"/>
            <w:shd w:val="clear" w:color="auto" w:fill="auto"/>
          </w:tcPr>
          <w:p w14:paraId="7B3B1BB0" w14:textId="77777777" w:rsidR="003A71DE" w:rsidRPr="0029361E" w:rsidRDefault="003A71DE" w:rsidP="003A71DE">
            <w:pPr>
              <w:keepNext/>
              <w:keepLines/>
              <w:spacing w:after="0" w:line="259" w:lineRule="auto"/>
              <w:rPr>
                <w:rFonts w:ascii="Arial" w:hAnsi="Arial" w:cs="Arial"/>
                <w:sz w:val="18"/>
                <w:szCs w:val="18"/>
              </w:rPr>
            </w:pPr>
            <w:r w:rsidRPr="0029361E">
              <w:rPr>
                <w:rFonts w:ascii="Arial" w:hAnsi="Arial"/>
                <w:sz w:val="18"/>
              </w:rPr>
              <w:t>T310 Timer</w:t>
            </w:r>
          </w:p>
        </w:tc>
        <w:tc>
          <w:tcPr>
            <w:tcW w:w="2266" w:type="dxa"/>
            <w:gridSpan w:val="3"/>
            <w:shd w:val="clear" w:color="auto" w:fill="auto"/>
          </w:tcPr>
          <w:p w14:paraId="25A239DB" w14:textId="77777777" w:rsidR="003A71DE" w:rsidRPr="0029361E" w:rsidRDefault="003A71DE" w:rsidP="003A71DE">
            <w:pPr>
              <w:keepNext/>
              <w:keepLines/>
              <w:spacing w:after="0" w:line="259" w:lineRule="auto"/>
              <w:rPr>
                <w:rFonts w:ascii="Arial" w:hAnsi="Arial" w:cs="Arial"/>
                <w:sz w:val="18"/>
                <w:szCs w:val="18"/>
              </w:rPr>
            </w:pPr>
            <w:r w:rsidRPr="0029361E">
              <w:rPr>
                <w:rFonts w:ascii="Arial" w:hAnsi="Arial" w:cs="Arial"/>
                <w:sz w:val="18"/>
                <w:szCs w:val="18"/>
                <w:lang w:eastAsia="zh-CN"/>
              </w:rPr>
              <w:t>ms</w:t>
            </w:r>
          </w:p>
        </w:tc>
        <w:tc>
          <w:tcPr>
            <w:tcW w:w="994" w:type="dxa"/>
            <w:shd w:val="clear" w:color="auto" w:fill="auto"/>
          </w:tcPr>
          <w:p w14:paraId="5B925768"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lang w:eastAsia="zh-CN"/>
              </w:rPr>
              <w:t>1000</w:t>
            </w:r>
          </w:p>
        </w:tc>
        <w:tc>
          <w:tcPr>
            <w:tcW w:w="1985" w:type="dxa"/>
            <w:shd w:val="clear" w:color="auto" w:fill="auto"/>
          </w:tcPr>
          <w:p w14:paraId="18300A40" w14:textId="77777777" w:rsidR="003A71DE" w:rsidRPr="0029361E" w:rsidRDefault="003A71DE" w:rsidP="003A71DE">
            <w:pPr>
              <w:keepNext/>
              <w:keepLines/>
              <w:spacing w:after="0" w:line="259" w:lineRule="auto"/>
              <w:jc w:val="center"/>
              <w:rPr>
                <w:rFonts w:ascii="Arial" w:hAnsi="Arial"/>
                <w:sz w:val="18"/>
              </w:rPr>
            </w:pPr>
          </w:p>
        </w:tc>
        <w:tc>
          <w:tcPr>
            <w:tcW w:w="3118" w:type="dxa"/>
          </w:tcPr>
          <w:p w14:paraId="0605E816" w14:textId="77777777" w:rsidR="003A71DE" w:rsidRPr="0029361E" w:rsidRDefault="003A71DE" w:rsidP="003A71DE">
            <w:pPr>
              <w:keepNext/>
              <w:keepLines/>
              <w:spacing w:after="0" w:line="259" w:lineRule="auto"/>
              <w:jc w:val="center"/>
              <w:rPr>
                <w:rFonts w:ascii="Arial" w:hAnsi="Arial"/>
                <w:iCs/>
                <w:sz w:val="18"/>
              </w:rPr>
            </w:pPr>
          </w:p>
        </w:tc>
      </w:tr>
      <w:tr w:rsidR="003A71DE" w:rsidRPr="0029361E" w14:paraId="2C46BDD7" w14:textId="77777777" w:rsidTr="003A71DE">
        <w:trPr>
          <w:trHeight w:val="187"/>
          <w:jc w:val="center"/>
        </w:trPr>
        <w:tc>
          <w:tcPr>
            <w:tcW w:w="1838" w:type="dxa"/>
            <w:shd w:val="clear" w:color="auto" w:fill="auto"/>
          </w:tcPr>
          <w:p w14:paraId="7BF917B0" w14:textId="77777777" w:rsidR="003A71DE" w:rsidRPr="0029361E" w:rsidRDefault="003A71DE" w:rsidP="003A71DE">
            <w:pPr>
              <w:keepNext/>
              <w:keepLines/>
              <w:spacing w:after="0" w:line="259" w:lineRule="auto"/>
              <w:rPr>
                <w:rFonts w:ascii="Arial" w:hAnsi="Arial" w:cs="Arial"/>
                <w:sz w:val="18"/>
                <w:szCs w:val="18"/>
              </w:rPr>
            </w:pPr>
            <w:r w:rsidRPr="0029361E">
              <w:rPr>
                <w:rFonts w:ascii="Arial" w:hAnsi="Arial"/>
                <w:sz w:val="18"/>
                <w:lang w:eastAsia="zh-CN"/>
              </w:rPr>
              <w:lastRenderedPageBreak/>
              <w:t>N310</w:t>
            </w:r>
          </w:p>
        </w:tc>
        <w:tc>
          <w:tcPr>
            <w:tcW w:w="2266" w:type="dxa"/>
            <w:gridSpan w:val="3"/>
            <w:shd w:val="clear" w:color="auto" w:fill="auto"/>
          </w:tcPr>
          <w:p w14:paraId="1E0EBEAA" w14:textId="77777777" w:rsidR="003A71DE" w:rsidRPr="0029361E" w:rsidRDefault="003A71DE" w:rsidP="003A71DE">
            <w:pPr>
              <w:keepNext/>
              <w:keepLines/>
              <w:spacing w:after="0" w:line="259" w:lineRule="auto"/>
              <w:rPr>
                <w:rFonts w:ascii="Arial" w:hAnsi="Arial" w:cs="Arial"/>
                <w:sz w:val="18"/>
                <w:szCs w:val="18"/>
              </w:rPr>
            </w:pPr>
          </w:p>
        </w:tc>
        <w:tc>
          <w:tcPr>
            <w:tcW w:w="994" w:type="dxa"/>
            <w:shd w:val="clear" w:color="auto" w:fill="auto"/>
          </w:tcPr>
          <w:p w14:paraId="36B53FD3"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lang w:eastAsia="zh-CN"/>
              </w:rPr>
              <w:t>2</w:t>
            </w:r>
          </w:p>
        </w:tc>
        <w:tc>
          <w:tcPr>
            <w:tcW w:w="1985" w:type="dxa"/>
            <w:shd w:val="clear" w:color="auto" w:fill="auto"/>
          </w:tcPr>
          <w:p w14:paraId="625E40BD" w14:textId="77777777" w:rsidR="003A71DE" w:rsidRPr="0029361E" w:rsidRDefault="003A71DE" w:rsidP="003A71DE">
            <w:pPr>
              <w:keepNext/>
              <w:keepLines/>
              <w:spacing w:after="0" w:line="259" w:lineRule="auto"/>
              <w:jc w:val="center"/>
              <w:rPr>
                <w:rFonts w:ascii="Arial" w:hAnsi="Arial"/>
                <w:sz w:val="18"/>
              </w:rPr>
            </w:pPr>
          </w:p>
        </w:tc>
        <w:tc>
          <w:tcPr>
            <w:tcW w:w="3118" w:type="dxa"/>
          </w:tcPr>
          <w:p w14:paraId="54E6909D" w14:textId="77777777" w:rsidR="003A71DE" w:rsidRPr="0029361E" w:rsidRDefault="003A71DE" w:rsidP="003A71DE">
            <w:pPr>
              <w:keepNext/>
              <w:keepLines/>
              <w:spacing w:after="0" w:line="259" w:lineRule="auto"/>
              <w:jc w:val="center"/>
              <w:rPr>
                <w:rFonts w:ascii="Arial" w:hAnsi="Arial"/>
                <w:iCs/>
                <w:sz w:val="18"/>
              </w:rPr>
            </w:pPr>
          </w:p>
        </w:tc>
      </w:tr>
      <w:tr w:rsidR="003A71DE" w:rsidRPr="0029361E" w14:paraId="4A0D6B32" w14:textId="77777777" w:rsidTr="003A71DE">
        <w:trPr>
          <w:trHeight w:val="187"/>
          <w:jc w:val="center"/>
        </w:trPr>
        <w:tc>
          <w:tcPr>
            <w:tcW w:w="4104" w:type="dxa"/>
            <w:gridSpan w:val="4"/>
            <w:shd w:val="clear" w:color="auto" w:fill="auto"/>
          </w:tcPr>
          <w:p w14:paraId="30ED9CAD"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T1</w:t>
            </w:r>
          </w:p>
        </w:tc>
        <w:tc>
          <w:tcPr>
            <w:tcW w:w="994" w:type="dxa"/>
            <w:shd w:val="clear" w:color="auto" w:fill="auto"/>
          </w:tcPr>
          <w:p w14:paraId="26A05BD6"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w:t>
            </w:r>
          </w:p>
        </w:tc>
        <w:tc>
          <w:tcPr>
            <w:tcW w:w="1985" w:type="dxa"/>
            <w:shd w:val="clear" w:color="auto" w:fill="auto"/>
          </w:tcPr>
          <w:p w14:paraId="70EFE30D"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0.2</w:t>
            </w:r>
          </w:p>
        </w:tc>
        <w:tc>
          <w:tcPr>
            <w:tcW w:w="3118" w:type="dxa"/>
          </w:tcPr>
          <w:p w14:paraId="3DE66069"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 xml:space="preserve">During this time the the </w:t>
            </w:r>
            <w:r w:rsidRPr="0029361E">
              <w:rPr>
                <w:rFonts w:ascii="Arial" w:eastAsia="SimSun" w:hAnsi="Arial" w:hint="eastAsia"/>
                <w:sz w:val="18"/>
                <w:lang w:val="en-US" w:eastAsia="zh-CN"/>
              </w:rPr>
              <w:t>IAB-MT</w:t>
            </w:r>
            <w:r w:rsidRPr="0029361E">
              <w:rPr>
                <w:rFonts w:ascii="Arial" w:hAnsi="Arial"/>
                <w:sz w:val="18"/>
              </w:rPr>
              <w:t xml:space="preserve"> shall be fully synchronized to cell 1</w:t>
            </w:r>
          </w:p>
        </w:tc>
      </w:tr>
      <w:tr w:rsidR="003A71DE" w:rsidRPr="0029361E" w14:paraId="308006AB" w14:textId="77777777" w:rsidTr="003A71DE">
        <w:trPr>
          <w:trHeight w:val="187"/>
          <w:jc w:val="center"/>
        </w:trPr>
        <w:tc>
          <w:tcPr>
            <w:tcW w:w="4104" w:type="dxa"/>
            <w:gridSpan w:val="4"/>
            <w:shd w:val="clear" w:color="auto" w:fill="auto"/>
          </w:tcPr>
          <w:p w14:paraId="7FD628D7"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T2</w:t>
            </w:r>
          </w:p>
        </w:tc>
        <w:tc>
          <w:tcPr>
            <w:tcW w:w="994" w:type="dxa"/>
            <w:shd w:val="clear" w:color="auto" w:fill="auto"/>
          </w:tcPr>
          <w:p w14:paraId="55E9AB7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w:t>
            </w:r>
          </w:p>
        </w:tc>
        <w:tc>
          <w:tcPr>
            <w:tcW w:w="1985" w:type="dxa"/>
            <w:shd w:val="clear" w:color="auto" w:fill="auto"/>
          </w:tcPr>
          <w:p w14:paraId="00644C6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0.37</w:t>
            </w:r>
          </w:p>
        </w:tc>
        <w:tc>
          <w:tcPr>
            <w:tcW w:w="3118" w:type="dxa"/>
          </w:tcPr>
          <w:p w14:paraId="22D3C02B"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6B960614" w14:textId="77777777" w:rsidTr="003A71DE">
        <w:trPr>
          <w:trHeight w:val="187"/>
          <w:jc w:val="center"/>
        </w:trPr>
        <w:tc>
          <w:tcPr>
            <w:tcW w:w="4104" w:type="dxa"/>
            <w:gridSpan w:val="4"/>
            <w:shd w:val="clear" w:color="auto" w:fill="auto"/>
          </w:tcPr>
          <w:p w14:paraId="3A8C9634"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T3</w:t>
            </w:r>
          </w:p>
        </w:tc>
        <w:tc>
          <w:tcPr>
            <w:tcW w:w="994" w:type="dxa"/>
            <w:shd w:val="clear" w:color="auto" w:fill="auto"/>
          </w:tcPr>
          <w:p w14:paraId="3E6B18B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w:t>
            </w:r>
          </w:p>
        </w:tc>
        <w:tc>
          <w:tcPr>
            <w:tcW w:w="1985" w:type="dxa"/>
            <w:shd w:val="clear" w:color="auto" w:fill="auto"/>
          </w:tcPr>
          <w:p w14:paraId="2D9F02F0"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0.24</w:t>
            </w:r>
          </w:p>
        </w:tc>
        <w:tc>
          <w:tcPr>
            <w:tcW w:w="3118" w:type="dxa"/>
          </w:tcPr>
          <w:p w14:paraId="48407359"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7DAED536" w14:textId="77777777" w:rsidTr="003A71DE">
        <w:trPr>
          <w:trHeight w:val="187"/>
          <w:jc w:val="center"/>
        </w:trPr>
        <w:tc>
          <w:tcPr>
            <w:tcW w:w="4104" w:type="dxa"/>
            <w:gridSpan w:val="4"/>
            <w:shd w:val="clear" w:color="auto" w:fill="auto"/>
          </w:tcPr>
          <w:p w14:paraId="75742AEB"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T4</w:t>
            </w:r>
          </w:p>
        </w:tc>
        <w:tc>
          <w:tcPr>
            <w:tcW w:w="994" w:type="dxa"/>
            <w:shd w:val="clear" w:color="auto" w:fill="auto"/>
          </w:tcPr>
          <w:p w14:paraId="049F6AB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w:t>
            </w:r>
          </w:p>
        </w:tc>
        <w:tc>
          <w:tcPr>
            <w:tcW w:w="1985" w:type="dxa"/>
            <w:shd w:val="clear" w:color="auto" w:fill="auto"/>
          </w:tcPr>
          <w:p w14:paraId="72CEA7C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w:t>
            </w:r>
          </w:p>
        </w:tc>
        <w:tc>
          <w:tcPr>
            <w:tcW w:w="3118" w:type="dxa"/>
          </w:tcPr>
          <w:p w14:paraId="7D0681CF"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73285A65" w14:textId="77777777" w:rsidTr="003A71DE">
        <w:trPr>
          <w:trHeight w:val="187"/>
          <w:jc w:val="center"/>
        </w:trPr>
        <w:tc>
          <w:tcPr>
            <w:tcW w:w="4104" w:type="dxa"/>
            <w:gridSpan w:val="4"/>
            <w:shd w:val="clear" w:color="auto" w:fill="auto"/>
          </w:tcPr>
          <w:p w14:paraId="373671ED"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T5</w:t>
            </w:r>
          </w:p>
        </w:tc>
        <w:tc>
          <w:tcPr>
            <w:tcW w:w="994" w:type="dxa"/>
            <w:shd w:val="clear" w:color="auto" w:fill="auto"/>
          </w:tcPr>
          <w:p w14:paraId="3EBD6DEF"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w:t>
            </w:r>
          </w:p>
        </w:tc>
        <w:tc>
          <w:tcPr>
            <w:tcW w:w="1985" w:type="dxa"/>
            <w:shd w:val="clear" w:color="auto" w:fill="auto"/>
          </w:tcPr>
          <w:p w14:paraId="042F45B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0.17</w:t>
            </w:r>
          </w:p>
        </w:tc>
        <w:tc>
          <w:tcPr>
            <w:tcW w:w="3118" w:type="dxa"/>
          </w:tcPr>
          <w:p w14:paraId="24913EF1"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32EF073D" w14:textId="77777777" w:rsidTr="003A71DE">
        <w:trPr>
          <w:trHeight w:val="187"/>
          <w:jc w:val="center"/>
        </w:trPr>
        <w:tc>
          <w:tcPr>
            <w:tcW w:w="4104" w:type="dxa"/>
            <w:gridSpan w:val="4"/>
            <w:shd w:val="clear" w:color="auto" w:fill="auto"/>
          </w:tcPr>
          <w:p w14:paraId="6E20D365"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D1</w:t>
            </w:r>
          </w:p>
        </w:tc>
        <w:tc>
          <w:tcPr>
            <w:tcW w:w="994" w:type="dxa"/>
            <w:shd w:val="clear" w:color="auto" w:fill="auto"/>
          </w:tcPr>
          <w:p w14:paraId="7C5AA985"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s</w:t>
            </w:r>
          </w:p>
        </w:tc>
        <w:tc>
          <w:tcPr>
            <w:tcW w:w="1985" w:type="dxa"/>
            <w:shd w:val="clear" w:color="auto" w:fill="auto"/>
          </w:tcPr>
          <w:p w14:paraId="3D265FCF"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0.13</w:t>
            </w:r>
          </w:p>
        </w:tc>
        <w:tc>
          <w:tcPr>
            <w:tcW w:w="3118" w:type="dxa"/>
          </w:tcPr>
          <w:p w14:paraId="043651DC"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0B6A729" w14:textId="77777777" w:rsidTr="003A71DE">
        <w:trPr>
          <w:trHeight w:val="187"/>
          <w:jc w:val="center"/>
        </w:trPr>
        <w:tc>
          <w:tcPr>
            <w:tcW w:w="10201" w:type="dxa"/>
            <w:gridSpan w:val="7"/>
            <w:shd w:val="clear" w:color="auto" w:fill="auto"/>
          </w:tcPr>
          <w:p w14:paraId="16F59058" w14:textId="77777777" w:rsidR="003A71DE" w:rsidRPr="0029361E" w:rsidRDefault="003A71DE" w:rsidP="00A40F90">
            <w:pPr>
              <w:pStyle w:val="TAN"/>
            </w:pPr>
            <w:r w:rsidRPr="0029361E">
              <w:t>Note 1:</w:t>
            </w:r>
            <w:r w:rsidRPr="0029361E">
              <w:tab/>
              <w:t xml:space="preserve">All configurations are assigned to the </w:t>
            </w:r>
            <w:r w:rsidRPr="0029361E">
              <w:rPr>
                <w:rFonts w:eastAsia="SimSun" w:hint="eastAsia"/>
                <w:lang w:val="en-US" w:eastAsia="zh-CN"/>
              </w:rPr>
              <w:t>IAB-MT</w:t>
            </w:r>
            <w:r w:rsidRPr="0029361E">
              <w:t xml:space="preserve"> prior to the start of time period T1.</w:t>
            </w:r>
          </w:p>
          <w:p w14:paraId="65AF49FF" w14:textId="77777777" w:rsidR="003A71DE" w:rsidRPr="0029361E" w:rsidRDefault="003A71DE" w:rsidP="00A40F90">
            <w:pPr>
              <w:pStyle w:val="TAN"/>
            </w:pPr>
            <w:r w:rsidRPr="0029361E">
              <w:t>Note 2:</w:t>
            </w:r>
            <w:r w:rsidRPr="0029361E">
              <w:tab/>
            </w:r>
            <w:r w:rsidRPr="0029361E">
              <w:rPr>
                <w:rFonts w:eastAsia="SimSun" w:hint="eastAsia"/>
                <w:lang w:val="en-US" w:eastAsia="zh-CN"/>
              </w:rPr>
              <w:t>IAB-MT</w:t>
            </w:r>
            <w:r w:rsidRPr="0029361E">
              <w:t>-specific PDCCH is not transmitted after T1 starts.</w:t>
            </w:r>
          </w:p>
        </w:tc>
      </w:tr>
    </w:tbl>
    <w:p w14:paraId="4A379C79" w14:textId="77777777" w:rsidR="003A71DE" w:rsidRPr="0029361E" w:rsidRDefault="003A71DE" w:rsidP="003A71DE">
      <w:pPr>
        <w:spacing w:line="259" w:lineRule="auto"/>
      </w:pPr>
    </w:p>
    <w:p w14:paraId="527A99DC" w14:textId="77777777" w:rsidR="003A71DE" w:rsidRPr="0029361E" w:rsidRDefault="003A71DE" w:rsidP="00746C0D">
      <w:pPr>
        <w:pStyle w:val="TH"/>
      </w:pPr>
      <w:r w:rsidRPr="0029361E">
        <w:t xml:space="preserve">Table </w:t>
      </w:r>
      <w:r w:rsidRPr="0029361E">
        <w:rPr>
          <w:rFonts w:eastAsia="SimSun" w:hint="eastAsia"/>
          <w:lang w:val="en-US" w:eastAsia="zh-CN"/>
        </w:rPr>
        <w:t>G</w:t>
      </w:r>
      <w:r w:rsidRPr="0029361E">
        <w:t>.</w:t>
      </w:r>
      <w:r w:rsidRPr="0029361E">
        <w:rPr>
          <w:rFonts w:eastAsia="SimSun" w:hint="eastAsia"/>
          <w:lang w:val="en-US" w:eastAsia="zh-CN"/>
        </w:rPr>
        <w:t>2.3.2.1.1</w:t>
      </w:r>
      <w:r w:rsidRPr="0029361E">
        <w:t xml:space="preserve">-3: Cell specific test parameters for FR1 PCell for SSB-based beam failure detection and link recovery testing </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2410"/>
        <w:gridCol w:w="850"/>
        <w:gridCol w:w="879"/>
        <w:gridCol w:w="879"/>
        <w:gridCol w:w="879"/>
        <w:gridCol w:w="879"/>
        <w:gridCol w:w="879"/>
      </w:tblGrid>
      <w:tr w:rsidR="003A71DE" w:rsidRPr="0029361E" w14:paraId="7E9DE59C" w14:textId="77777777" w:rsidTr="003A71DE">
        <w:trPr>
          <w:cantSplit/>
          <w:trHeight w:val="187"/>
          <w:jc w:val="center"/>
        </w:trPr>
        <w:tc>
          <w:tcPr>
            <w:tcW w:w="3681" w:type="dxa"/>
            <w:gridSpan w:val="2"/>
            <w:tcBorders>
              <w:top w:val="single" w:sz="4" w:space="0" w:color="auto"/>
              <w:left w:val="single" w:sz="4" w:space="0" w:color="auto"/>
              <w:bottom w:val="nil"/>
              <w:right w:val="single" w:sz="4" w:space="0" w:color="auto"/>
            </w:tcBorders>
            <w:shd w:val="clear" w:color="auto" w:fill="auto"/>
          </w:tcPr>
          <w:p w14:paraId="446D66D6" w14:textId="77777777" w:rsidR="003A71DE" w:rsidRPr="0029361E" w:rsidRDefault="003A71DE" w:rsidP="00A40F90">
            <w:pPr>
              <w:pStyle w:val="TAH"/>
            </w:pPr>
            <w:r w:rsidRPr="0029361E">
              <w:t>Parameter</w:t>
            </w:r>
          </w:p>
        </w:tc>
        <w:tc>
          <w:tcPr>
            <w:tcW w:w="850" w:type="dxa"/>
            <w:tcBorders>
              <w:top w:val="single" w:sz="4" w:space="0" w:color="auto"/>
              <w:left w:val="single" w:sz="4" w:space="0" w:color="auto"/>
              <w:bottom w:val="nil"/>
              <w:right w:val="single" w:sz="4" w:space="0" w:color="auto"/>
            </w:tcBorders>
            <w:shd w:val="clear" w:color="auto" w:fill="auto"/>
          </w:tcPr>
          <w:p w14:paraId="340EF862" w14:textId="77777777" w:rsidR="003A71DE" w:rsidRPr="0029361E" w:rsidRDefault="003A71DE" w:rsidP="00A40F90">
            <w:pPr>
              <w:pStyle w:val="TAH"/>
            </w:pPr>
            <w:r w:rsidRPr="0029361E">
              <w:t>Unit</w:t>
            </w:r>
          </w:p>
        </w:tc>
        <w:tc>
          <w:tcPr>
            <w:tcW w:w="4395" w:type="dxa"/>
            <w:gridSpan w:val="5"/>
            <w:tcBorders>
              <w:top w:val="single" w:sz="4" w:space="0" w:color="auto"/>
              <w:left w:val="single" w:sz="4" w:space="0" w:color="auto"/>
              <w:bottom w:val="single" w:sz="4" w:space="0" w:color="auto"/>
              <w:right w:val="single" w:sz="4" w:space="0" w:color="auto"/>
            </w:tcBorders>
          </w:tcPr>
          <w:p w14:paraId="3D5B9CDF" w14:textId="77777777" w:rsidR="003A71DE" w:rsidRPr="0029361E" w:rsidRDefault="003A71DE" w:rsidP="00A40F90">
            <w:pPr>
              <w:pStyle w:val="TAH"/>
            </w:pPr>
            <w:r w:rsidRPr="0029361E">
              <w:t>Test 1</w:t>
            </w:r>
          </w:p>
        </w:tc>
      </w:tr>
      <w:tr w:rsidR="003A71DE" w:rsidRPr="0029361E" w14:paraId="62C1F2DB" w14:textId="77777777" w:rsidTr="003A71DE">
        <w:trPr>
          <w:cantSplit/>
          <w:trHeight w:val="187"/>
          <w:jc w:val="center"/>
        </w:trPr>
        <w:tc>
          <w:tcPr>
            <w:tcW w:w="3681" w:type="dxa"/>
            <w:gridSpan w:val="2"/>
            <w:tcBorders>
              <w:top w:val="nil"/>
              <w:left w:val="single" w:sz="4" w:space="0" w:color="auto"/>
              <w:bottom w:val="single" w:sz="4" w:space="0" w:color="auto"/>
              <w:right w:val="single" w:sz="4" w:space="0" w:color="auto"/>
            </w:tcBorders>
            <w:shd w:val="clear" w:color="auto" w:fill="auto"/>
          </w:tcPr>
          <w:p w14:paraId="0A7E8045" w14:textId="77777777" w:rsidR="003A71DE" w:rsidRPr="0029361E" w:rsidRDefault="003A71DE" w:rsidP="00A40F90">
            <w:pPr>
              <w:pStyle w:val="TAH"/>
            </w:pPr>
          </w:p>
        </w:tc>
        <w:tc>
          <w:tcPr>
            <w:tcW w:w="850" w:type="dxa"/>
            <w:tcBorders>
              <w:top w:val="nil"/>
              <w:left w:val="single" w:sz="4" w:space="0" w:color="auto"/>
              <w:bottom w:val="single" w:sz="4" w:space="0" w:color="auto"/>
              <w:right w:val="single" w:sz="4" w:space="0" w:color="auto"/>
            </w:tcBorders>
            <w:shd w:val="clear" w:color="auto" w:fill="auto"/>
          </w:tcPr>
          <w:p w14:paraId="320B8E71" w14:textId="77777777" w:rsidR="003A71DE" w:rsidRPr="0029361E" w:rsidRDefault="003A71DE" w:rsidP="00A40F90">
            <w:pPr>
              <w:pStyle w:val="TAH"/>
            </w:pPr>
          </w:p>
        </w:tc>
        <w:tc>
          <w:tcPr>
            <w:tcW w:w="879" w:type="dxa"/>
            <w:tcBorders>
              <w:top w:val="single" w:sz="4" w:space="0" w:color="auto"/>
              <w:left w:val="single" w:sz="4" w:space="0" w:color="auto"/>
              <w:bottom w:val="single" w:sz="4" w:space="0" w:color="auto"/>
              <w:right w:val="single" w:sz="4" w:space="0" w:color="auto"/>
            </w:tcBorders>
          </w:tcPr>
          <w:p w14:paraId="00644172" w14:textId="77777777" w:rsidR="003A71DE" w:rsidRPr="0029361E" w:rsidRDefault="003A71DE" w:rsidP="00A40F90">
            <w:pPr>
              <w:pStyle w:val="TAH"/>
            </w:pPr>
            <w:r w:rsidRPr="0029361E">
              <w:t>T1</w:t>
            </w:r>
          </w:p>
        </w:tc>
        <w:tc>
          <w:tcPr>
            <w:tcW w:w="879" w:type="dxa"/>
            <w:tcBorders>
              <w:top w:val="single" w:sz="4" w:space="0" w:color="auto"/>
              <w:left w:val="single" w:sz="4" w:space="0" w:color="auto"/>
              <w:bottom w:val="single" w:sz="4" w:space="0" w:color="auto"/>
              <w:right w:val="single" w:sz="4" w:space="0" w:color="auto"/>
            </w:tcBorders>
          </w:tcPr>
          <w:p w14:paraId="212F7554" w14:textId="77777777" w:rsidR="003A71DE" w:rsidRPr="0029361E" w:rsidRDefault="003A71DE" w:rsidP="00A40F90">
            <w:pPr>
              <w:pStyle w:val="TAH"/>
            </w:pPr>
            <w:r w:rsidRPr="0029361E">
              <w:t>T2</w:t>
            </w:r>
          </w:p>
        </w:tc>
        <w:tc>
          <w:tcPr>
            <w:tcW w:w="879" w:type="dxa"/>
            <w:tcBorders>
              <w:top w:val="single" w:sz="4" w:space="0" w:color="auto"/>
              <w:left w:val="single" w:sz="4" w:space="0" w:color="auto"/>
              <w:bottom w:val="single" w:sz="4" w:space="0" w:color="auto"/>
              <w:right w:val="single" w:sz="4" w:space="0" w:color="auto"/>
            </w:tcBorders>
          </w:tcPr>
          <w:p w14:paraId="34B4D2DC" w14:textId="77777777" w:rsidR="003A71DE" w:rsidRPr="0029361E" w:rsidRDefault="003A71DE" w:rsidP="00A40F90">
            <w:pPr>
              <w:pStyle w:val="TAH"/>
            </w:pPr>
            <w:r w:rsidRPr="0029361E">
              <w:t>T3</w:t>
            </w:r>
          </w:p>
        </w:tc>
        <w:tc>
          <w:tcPr>
            <w:tcW w:w="879" w:type="dxa"/>
            <w:tcBorders>
              <w:top w:val="single" w:sz="4" w:space="0" w:color="auto"/>
              <w:left w:val="single" w:sz="4" w:space="0" w:color="auto"/>
              <w:bottom w:val="single" w:sz="4" w:space="0" w:color="auto"/>
              <w:right w:val="single" w:sz="4" w:space="0" w:color="auto"/>
            </w:tcBorders>
          </w:tcPr>
          <w:p w14:paraId="180A24C1" w14:textId="77777777" w:rsidR="003A71DE" w:rsidRPr="0029361E" w:rsidRDefault="003A71DE" w:rsidP="00A40F90">
            <w:pPr>
              <w:pStyle w:val="TAH"/>
            </w:pPr>
            <w:r w:rsidRPr="0029361E">
              <w:t>T4</w:t>
            </w:r>
          </w:p>
        </w:tc>
        <w:tc>
          <w:tcPr>
            <w:tcW w:w="879" w:type="dxa"/>
            <w:tcBorders>
              <w:top w:val="single" w:sz="4" w:space="0" w:color="auto"/>
              <w:left w:val="single" w:sz="4" w:space="0" w:color="auto"/>
              <w:bottom w:val="single" w:sz="4" w:space="0" w:color="auto"/>
              <w:right w:val="single" w:sz="4" w:space="0" w:color="auto"/>
            </w:tcBorders>
          </w:tcPr>
          <w:p w14:paraId="5830C9FE" w14:textId="77777777" w:rsidR="003A71DE" w:rsidRPr="0029361E" w:rsidRDefault="003A71DE" w:rsidP="00A40F90">
            <w:pPr>
              <w:pStyle w:val="TAH"/>
            </w:pPr>
            <w:r w:rsidRPr="0029361E">
              <w:t>T5</w:t>
            </w:r>
          </w:p>
        </w:tc>
      </w:tr>
      <w:tr w:rsidR="003A71DE" w:rsidRPr="0029361E" w14:paraId="3D6740D3"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458EB6BE"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PDCCH DMRS to SSS</w:t>
            </w:r>
          </w:p>
        </w:tc>
        <w:tc>
          <w:tcPr>
            <w:tcW w:w="850" w:type="dxa"/>
            <w:tcBorders>
              <w:top w:val="single" w:sz="4" w:space="0" w:color="auto"/>
              <w:left w:val="single" w:sz="4" w:space="0" w:color="auto"/>
              <w:bottom w:val="single" w:sz="4" w:space="0" w:color="auto"/>
              <w:right w:val="single" w:sz="4" w:space="0" w:color="auto"/>
            </w:tcBorders>
          </w:tcPr>
          <w:p w14:paraId="0F05622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single" w:sz="4" w:space="0" w:color="auto"/>
              <w:left w:val="single" w:sz="4" w:space="0" w:color="auto"/>
              <w:bottom w:val="nil"/>
              <w:right w:val="single" w:sz="4" w:space="0" w:color="auto"/>
            </w:tcBorders>
            <w:shd w:val="clear" w:color="auto" w:fill="auto"/>
          </w:tcPr>
          <w:p w14:paraId="5C94394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0</w:t>
            </w:r>
          </w:p>
        </w:tc>
      </w:tr>
      <w:tr w:rsidR="003A71DE" w:rsidRPr="0029361E" w14:paraId="11FC7F8F"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3D2EB02D"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PDCCH to PDCCH DMRS</w:t>
            </w:r>
          </w:p>
        </w:tc>
        <w:tc>
          <w:tcPr>
            <w:tcW w:w="850" w:type="dxa"/>
            <w:tcBorders>
              <w:top w:val="single" w:sz="4" w:space="0" w:color="auto"/>
              <w:left w:val="single" w:sz="4" w:space="0" w:color="auto"/>
              <w:bottom w:val="single" w:sz="4" w:space="0" w:color="auto"/>
              <w:right w:val="single" w:sz="4" w:space="0" w:color="auto"/>
            </w:tcBorders>
          </w:tcPr>
          <w:p w14:paraId="432979CD"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293283F1"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AE83747"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1EB63D9C"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PBCH DMRS to SSS</w:t>
            </w:r>
          </w:p>
        </w:tc>
        <w:tc>
          <w:tcPr>
            <w:tcW w:w="850" w:type="dxa"/>
            <w:tcBorders>
              <w:top w:val="single" w:sz="4" w:space="0" w:color="auto"/>
              <w:left w:val="single" w:sz="4" w:space="0" w:color="auto"/>
              <w:bottom w:val="single" w:sz="4" w:space="0" w:color="auto"/>
              <w:right w:val="single" w:sz="4" w:space="0" w:color="auto"/>
            </w:tcBorders>
          </w:tcPr>
          <w:p w14:paraId="5066470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7EC01B67"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E3B458D"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299D782F"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PBCH to PBCH DMRS</w:t>
            </w:r>
          </w:p>
        </w:tc>
        <w:tc>
          <w:tcPr>
            <w:tcW w:w="850" w:type="dxa"/>
            <w:tcBorders>
              <w:top w:val="single" w:sz="4" w:space="0" w:color="auto"/>
              <w:left w:val="single" w:sz="4" w:space="0" w:color="auto"/>
              <w:bottom w:val="single" w:sz="4" w:space="0" w:color="auto"/>
              <w:right w:val="single" w:sz="4" w:space="0" w:color="auto"/>
            </w:tcBorders>
          </w:tcPr>
          <w:p w14:paraId="1918714D"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59BF62B9"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5CB7033B"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62E7ECBD"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PSS to SSS</w:t>
            </w:r>
          </w:p>
        </w:tc>
        <w:tc>
          <w:tcPr>
            <w:tcW w:w="850" w:type="dxa"/>
            <w:tcBorders>
              <w:top w:val="single" w:sz="4" w:space="0" w:color="auto"/>
              <w:left w:val="single" w:sz="4" w:space="0" w:color="auto"/>
              <w:bottom w:val="single" w:sz="4" w:space="0" w:color="auto"/>
              <w:right w:val="single" w:sz="4" w:space="0" w:color="auto"/>
            </w:tcBorders>
          </w:tcPr>
          <w:p w14:paraId="7672098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0FE4EF24"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1BD781A"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7403CF63"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 xml:space="preserve">EPRE ratio of PDSCH DMRS to SSS </w:t>
            </w:r>
          </w:p>
        </w:tc>
        <w:tc>
          <w:tcPr>
            <w:tcW w:w="850" w:type="dxa"/>
            <w:tcBorders>
              <w:top w:val="single" w:sz="4" w:space="0" w:color="auto"/>
              <w:left w:val="single" w:sz="4" w:space="0" w:color="auto"/>
              <w:bottom w:val="single" w:sz="4" w:space="0" w:color="auto"/>
              <w:right w:val="single" w:sz="4" w:space="0" w:color="auto"/>
            </w:tcBorders>
          </w:tcPr>
          <w:p w14:paraId="51380AD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6E03C585"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054A637F"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7CB54FCA"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PDSCH to PDSCH DMRS</w:t>
            </w:r>
          </w:p>
        </w:tc>
        <w:tc>
          <w:tcPr>
            <w:tcW w:w="850" w:type="dxa"/>
            <w:tcBorders>
              <w:top w:val="single" w:sz="4" w:space="0" w:color="auto"/>
              <w:left w:val="single" w:sz="4" w:space="0" w:color="auto"/>
              <w:bottom w:val="single" w:sz="4" w:space="0" w:color="auto"/>
              <w:right w:val="single" w:sz="4" w:space="0" w:color="auto"/>
            </w:tcBorders>
          </w:tcPr>
          <w:p w14:paraId="52C2EA20"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1A9C9D47"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1EECD6E6"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11D7A32E"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OCNG DMRS to SSS</w:t>
            </w:r>
          </w:p>
        </w:tc>
        <w:tc>
          <w:tcPr>
            <w:tcW w:w="850" w:type="dxa"/>
            <w:tcBorders>
              <w:top w:val="single" w:sz="4" w:space="0" w:color="auto"/>
              <w:left w:val="single" w:sz="4" w:space="0" w:color="auto"/>
              <w:bottom w:val="single" w:sz="4" w:space="0" w:color="auto"/>
              <w:right w:val="single" w:sz="4" w:space="0" w:color="auto"/>
            </w:tcBorders>
          </w:tcPr>
          <w:p w14:paraId="189BDD5A"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2E877DAB"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6DA3211F"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7EFCFDDB"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ja-JP"/>
              </w:rPr>
              <w:t>EPRE ratio of OCNG to OCNG DMRS</w:t>
            </w:r>
          </w:p>
        </w:tc>
        <w:tc>
          <w:tcPr>
            <w:tcW w:w="850" w:type="dxa"/>
            <w:tcBorders>
              <w:top w:val="single" w:sz="4" w:space="0" w:color="auto"/>
              <w:left w:val="single" w:sz="4" w:space="0" w:color="auto"/>
              <w:bottom w:val="single" w:sz="4" w:space="0" w:color="auto"/>
              <w:right w:val="single" w:sz="4" w:space="0" w:color="auto"/>
            </w:tcBorders>
          </w:tcPr>
          <w:p w14:paraId="4AA3C5A0"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4395" w:type="dxa"/>
            <w:gridSpan w:val="5"/>
            <w:tcBorders>
              <w:top w:val="nil"/>
              <w:left w:val="single" w:sz="4" w:space="0" w:color="auto"/>
              <w:bottom w:val="single" w:sz="4" w:space="0" w:color="auto"/>
              <w:right w:val="single" w:sz="4" w:space="0" w:color="auto"/>
            </w:tcBorders>
            <w:shd w:val="clear" w:color="auto" w:fill="auto"/>
          </w:tcPr>
          <w:p w14:paraId="07E169C3" w14:textId="77777777" w:rsidR="003A71DE" w:rsidRPr="0029361E" w:rsidRDefault="003A71DE" w:rsidP="003A71DE">
            <w:pPr>
              <w:keepNext/>
              <w:keepLines/>
              <w:spacing w:after="0" w:line="259" w:lineRule="auto"/>
              <w:jc w:val="center"/>
              <w:rPr>
                <w:rFonts w:ascii="Arial" w:hAnsi="Arial"/>
                <w:sz w:val="18"/>
              </w:rPr>
            </w:pPr>
          </w:p>
        </w:tc>
      </w:tr>
      <w:tr w:rsidR="003A71DE" w:rsidRPr="0029361E" w14:paraId="267A168A" w14:textId="77777777" w:rsidTr="003A71DE">
        <w:trPr>
          <w:cantSplit/>
          <w:trHeight w:val="187"/>
          <w:jc w:val="center"/>
        </w:trPr>
        <w:tc>
          <w:tcPr>
            <w:tcW w:w="1271" w:type="dxa"/>
            <w:tcBorders>
              <w:top w:val="nil"/>
              <w:left w:val="single" w:sz="4" w:space="0" w:color="auto"/>
              <w:bottom w:val="nil"/>
              <w:right w:val="single" w:sz="4" w:space="0" w:color="auto"/>
            </w:tcBorders>
            <w:shd w:val="clear" w:color="auto" w:fill="auto"/>
          </w:tcPr>
          <w:p w14:paraId="263AA6D0" w14:textId="77777777" w:rsidR="003A71DE" w:rsidRPr="0029361E" w:rsidRDefault="003A71DE" w:rsidP="003A71DE">
            <w:pPr>
              <w:keepNext/>
              <w:keepLines/>
              <w:spacing w:after="0" w:line="259" w:lineRule="auto"/>
              <w:rPr>
                <w:rFonts w:ascii="Arial" w:hAnsi="Arial"/>
                <w:sz w:val="18"/>
              </w:rPr>
            </w:pPr>
            <w:r w:rsidRPr="0029361E">
              <w:rPr>
                <w:rFonts w:ascii="Arial" w:eastAsia="?? ??" w:hAnsi="Arial"/>
                <w:sz w:val="18"/>
              </w:rPr>
              <w:t xml:space="preserve">SNR_SSB of </w:t>
            </w:r>
            <w:r w:rsidRPr="0029361E">
              <w:rPr>
                <w:rFonts w:ascii="Arial" w:hAnsi="Arial"/>
                <w:sz w:val="18"/>
              </w:rPr>
              <w:t>set q</w:t>
            </w:r>
            <w:r w:rsidRPr="0029361E">
              <w:rPr>
                <w:rFonts w:ascii="Arial" w:hAnsi="Arial"/>
                <w:sz w:val="18"/>
                <w:vertAlign w:val="subscript"/>
              </w:rPr>
              <w:t>0</w:t>
            </w:r>
          </w:p>
        </w:tc>
        <w:tc>
          <w:tcPr>
            <w:tcW w:w="2410" w:type="dxa"/>
            <w:tcBorders>
              <w:top w:val="single" w:sz="4" w:space="0" w:color="auto"/>
              <w:left w:val="single" w:sz="4" w:space="0" w:color="auto"/>
              <w:bottom w:val="single" w:sz="4" w:space="0" w:color="auto"/>
              <w:right w:val="single" w:sz="4" w:space="0" w:color="auto"/>
            </w:tcBorders>
          </w:tcPr>
          <w:p w14:paraId="331E397A"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298FD4D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879" w:type="dxa"/>
            <w:tcBorders>
              <w:top w:val="single" w:sz="4" w:space="0" w:color="auto"/>
              <w:left w:val="single" w:sz="4" w:space="0" w:color="auto"/>
              <w:bottom w:val="single" w:sz="4" w:space="0" w:color="auto"/>
              <w:right w:val="single" w:sz="4" w:space="0" w:color="auto"/>
            </w:tcBorders>
          </w:tcPr>
          <w:p w14:paraId="0DE4F594"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5</w:t>
            </w:r>
          </w:p>
        </w:tc>
        <w:tc>
          <w:tcPr>
            <w:tcW w:w="879" w:type="dxa"/>
            <w:tcBorders>
              <w:top w:val="single" w:sz="4" w:space="0" w:color="auto"/>
              <w:left w:val="single" w:sz="4" w:space="0" w:color="auto"/>
              <w:bottom w:val="single" w:sz="4" w:space="0" w:color="auto"/>
              <w:right w:val="single" w:sz="4" w:space="0" w:color="auto"/>
            </w:tcBorders>
          </w:tcPr>
          <w:p w14:paraId="23ADEE75"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-3</w:t>
            </w:r>
          </w:p>
        </w:tc>
        <w:tc>
          <w:tcPr>
            <w:tcW w:w="879" w:type="dxa"/>
            <w:tcBorders>
              <w:top w:val="single" w:sz="4" w:space="0" w:color="auto"/>
              <w:left w:val="single" w:sz="4" w:space="0" w:color="auto"/>
              <w:bottom w:val="single" w:sz="4" w:space="0" w:color="auto"/>
              <w:right w:val="single" w:sz="4" w:space="0" w:color="auto"/>
            </w:tcBorders>
          </w:tcPr>
          <w:p w14:paraId="62A1C11D"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727A61BB"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5C0427DC"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-12</w:t>
            </w:r>
          </w:p>
        </w:tc>
      </w:tr>
      <w:tr w:rsidR="003A71DE" w:rsidRPr="0029361E" w14:paraId="6EBE4B6E" w14:textId="77777777" w:rsidTr="003A71DE">
        <w:trPr>
          <w:cantSplit/>
          <w:trHeight w:val="187"/>
          <w:jc w:val="center"/>
        </w:trPr>
        <w:tc>
          <w:tcPr>
            <w:tcW w:w="1271" w:type="dxa"/>
            <w:tcBorders>
              <w:top w:val="nil"/>
              <w:left w:val="single" w:sz="4" w:space="0" w:color="auto"/>
              <w:bottom w:val="single" w:sz="4" w:space="0" w:color="auto"/>
              <w:right w:val="single" w:sz="4" w:space="0" w:color="auto"/>
            </w:tcBorders>
            <w:shd w:val="clear" w:color="auto" w:fill="auto"/>
          </w:tcPr>
          <w:p w14:paraId="34BF6A06" w14:textId="77777777" w:rsidR="003A71DE" w:rsidRPr="0029361E" w:rsidRDefault="003A71DE" w:rsidP="003A71DE">
            <w:pPr>
              <w:keepNext/>
              <w:keepLines/>
              <w:spacing w:after="0" w:line="259" w:lineRule="auto"/>
              <w:rPr>
                <w:rFonts w:ascii="Arial" w:hAnsi="Arial"/>
                <w:sz w:val="18"/>
              </w:rPr>
            </w:pPr>
          </w:p>
        </w:tc>
        <w:tc>
          <w:tcPr>
            <w:tcW w:w="2410" w:type="dxa"/>
            <w:tcBorders>
              <w:top w:val="single" w:sz="4" w:space="0" w:color="auto"/>
              <w:left w:val="single" w:sz="4" w:space="0" w:color="auto"/>
              <w:bottom w:val="single" w:sz="4" w:space="0" w:color="auto"/>
              <w:right w:val="single" w:sz="4" w:space="0" w:color="auto"/>
            </w:tcBorders>
          </w:tcPr>
          <w:p w14:paraId="2E53435E"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4B4C4929" w14:textId="77777777" w:rsidR="003A71DE" w:rsidRPr="0029361E" w:rsidRDefault="003A71DE" w:rsidP="003A71DE">
            <w:pPr>
              <w:keepNext/>
              <w:keepLines/>
              <w:spacing w:after="0" w:line="259" w:lineRule="auto"/>
              <w:jc w:val="center"/>
              <w:rPr>
                <w:rFonts w:ascii="Arial" w:hAnsi="Arial"/>
                <w:sz w:val="18"/>
              </w:rPr>
            </w:pPr>
          </w:p>
        </w:tc>
        <w:tc>
          <w:tcPr>
            <w:tcW w:w="879" w:type="dxa"/>
            <w:tcBorders>
              <w:top w:val="single" w:sz="4" w:space="0" w:color="auto"/>
              <w:left w:val="single" w:sz="4" w:space="0" w:color="auto"/>
              <w:bottom w:val="single" w:sz="4" w:space="0" w:color="auto"/>
              <w:right w:val="single" w:sz="4" w:space="0" w:color="auto"/>
            </w:tcBorders>
          </w:tcPr>
          <w:p w14:paraId="489F85D5"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5</w:t>
            </w:r>
          </w:p>
        </w:tc>
        <w:tc>
          <w:tcPr>
            <w:tcW w:w="879" w:type="dxa"/>
            <w:tcBorders>
              <w:top w:val="single" w:sz="4" w:space="0" w:color="auto"/>
              <w:left w:val="single" w:sz="4" w:space="0" w:color="auto"/>
              <w:bottom w:val="single" w:sz="4" w:space="0" w:color="auto"/>
              <w:right w:val="single" w:sz="4" w:space="0" w:color="auto"/>
            </w:tcBorders>
          </w:tcPr>
          <w:p w14:paraId="2ADE1159"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-3</w:t>
            </w:r>
          </w:p>
        </w:tc>
        <w:tc>
          <w:tcPr>
            <w:tcW w:w="879" w:type="dxa"/>
            <w:tcBorders>
              <w:top w:val="single" w:sz="4" w:space="0" w:color="auto"/>
              <w:left w:val="single" w:sz="4" w:space="0" w:color="auto"/>
              <w:bottom w:val="single" w:sz="4" w:space="0" w:color="auto"/>
              <w:right w:val="single" w:sz="4" w:space="0" w:color="auto"/>
            </w:tcBorders>
          </w:tcPr>
          <w:p w14:paraId="244C5C6C"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208273F4"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47A70D84"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-12</w:t>
            </w:r>
          </w:p>
        </w:tc>
      </w:tr>
      <w:tr w:rsidR="003A71DE" w:rsidRPr="0029361E" w14:paraId="702CCC69" w14:textId="77777777" w:rsidTr="003A71DE">
        <w:trPr>
          <w:cantSplit/>
          <w:trHeight w:val="187"/>
          <w:jc w:val="center"/>
        </w:trPr>
        <w:tc>
          <w:tcPr>
            <w:tcW w:w="1271" w:type="dxa"/>
            <w:tcBorders>
              <w:top w:val="nil"/>
              <w:left w:val="single" w:sz="4" w:space="0" w:color="auto"/>
              <w:bottom w:val="nil"/>
              <w:right w:val="single" w:sz="4" w:space="0" w:color="auto"/>
            </w:tcBorders>
            <w:shd w:val="clear" w:color="auto" w:fill="auto"/>
          </w:tcPr>
          <w:p w14:paraId="1560A9EF"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rPr>
              <w:t>SNR_SSB of set q</w:t>
            </w:r>
            <w:r w:rsidRPr="0029361E">
              <w:rPr>
                <w:rFonts w:ascii="Arial" w:hAnsi="Arial"/>
                <w:sz w:val="18"/>
                <w:vertAlign w:val="subscript"/>
              </w:rPr>
              <w:t>1</w:t>
            </w:r>
          </w:p>
        </w:tc>
        <w:tc>
          <w:tcPr>
            <w:tcW w:w="2410" w:type="dxa"/>
            <w:tcBorders>
              <w:top w:val="single" w:sz="4" w:space="0" w:color="auto"/>
              <w:left w:val="single" w:sz="4" w:space="0" w:color="auto"/>
              <w:bottom w:val="single" w:sz="4" w:space="0" w:color="auto"/>
              <w:right w:val="single" w:sz="4" w:space="0" w:color="auto"/>
            </w:tcBorders>
          </w:tcPr>
          <w:p w14:paraId="3863E9C0"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6C0B3FDE"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w:t>
            </w:r>
          </w:p>
        </w:tc>
        <w:tc>
          <w:tcPr>
            <w:tcW w:w="879" w:type="dxa"/>
            <w:tcBorders>
              <w:top w:val="single" w:sz="4" w:space="0" w:color="auto"/>
              <w:left w:val="single" w:sz="4" w:space="0" w:color="auto"/>
              <w:bottom w:val="single" w:sz="4" w:space="0" w:color="auto"/>
              <w:right w:val="single" w:sz="4" w:space="0" w:color="auto"/>
            </w:tcBorders>
          </w:tcPr>
          <w:p w14:paraId="069E0EAE"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78A5D364"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0CABADA6"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313178C5"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51F2F1A3"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10</w:t>
            </w:r>
          </w:p>
        </w:tc>
      </w:tr>
      <w:tr w:rsidR="003A71DE" w:rsidRPr="0029361E" w14:paraId="51A5AD64" w14:textId="77777777" w:rsidTr="003A71DE">
        <w:trPr>
          <w:cantSplit/>
          <w:trHeight w:val="187"/>
          <w:jc w:val="center"/>
        </w:trPr>
        <w:tc>
          <w:tcPr>
            <w:tcW w:w="1271" w:type="dxa"/>
            <w:tcBorders>
              <w:top w:val="nil"/>
              <w:left w:val="single" w:sz="4" w:space="0" w:color="auto"/>
              <w:bottom w:val="single" w:sz="4" w:space="0" w:color="auto"/>
              <w:right w:val="single" w:sz="4" w:space="0" w:color="auto"/>
            </w:tcBorders>
            <w:shd w:val="clear" w:color="auto" w:fill="auto"/>
          </w:tcPr>
          <w:p w14:paraId="01AABBF4" w14:textId="77777777" w:rsidR="003A71DE" w:rsidRPr="0029361E" w:rsidRDefault="003A71DE" w:rsidP="003A71DE">
            <w:pPr>
              <w:keepNext/>
              <w:keepLines/>
              <w:spacing w:after="0" w:line="259" w:lineRule="auto"/>
              <w:rPr>
                <w:rFonts w:ascii="Arial" w:hAnsi="Arial"/>
                <w:sz w:val="18"/>
              </w:rPr>
            </w:pPr>
          </w:p>
        </w:tc>
        <w:tc>
          <w:tcPr>
            <w:tcW w:w="2410" w:type="dxa"/>
            <w:tcBorders>
              <w:top w:val="single" w:sz="4" w:space="0" w:color="auto"/>
              <w:left w:val="single" w:sz="4" w:space="0" w:color="auto"/>
              <w:bottom w:val="single" w:sz="4" w:space="0" w:color="auto"/>
              <w:right w:val="single" w:sz="4" w:space="0" w:color="auto"/>
            </w:tcBorders>
          </w:tcPr>
          <w:p w14:paraId="0DF93106"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2BDA5B32" w14:textId="77777777" w:rsidR="003A71DE" w:rsidRPr="0029361E" w:rsidRDefault="003A71DE" w:rsidP="003A71DE">
            <w:pPr>
              <w:keepNext/>
              <w:keepLines/>
              <w:spacing w:after="0" w:line="259" w:lineRule="auto"/>
              <w:jc w:val="center"/>
              <w:rPr>
                <w:rFonts w:ascii="Arial" w:hAnsi="Arial"/>
                <w:sz w:val="18"/>
              </w:rPr>
            </w:pPr>
          </w:p>
        </w:tc>
        <w:tc>
          <w:tcPr>
            <w:tcW w:w="879" w:type="dxa"/>
            <w:tcBorders>
              <w:top w:val="single" w:sz="4" w:space="0" w:color="auto"/>
              <w:left w:val="single" w:sz="4" w:space="0" w:color="auto"/>
              <w:bottom w:val="single" w:sz="4" w:space="0" w:color="auto"/>
              <w:right w:val="single" w:sz="4" w:space="0" w:color="auto"/>
            </w:tcBorders>
          </w:tcPr>
          <w:p w14:paraId="72E9577D"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7CCE5DCD"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13F18A5F"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34560C98"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642DF1E4" w14:textId="77777777" w:rsidR="003A71DE" w:rsidRPr="0029361E" w:rsidRDefault="003A71DE" w:rsidP="003A71DE">
            <w:pPr>
              <w:keepNext/>
              <w:keepLines/>
              <w:spacing w:after="0" w:line="259" w:lineRule="auto"/>
              <w:jc w:val="center"/>
              <w:rPr>
                <w:rFonts w:ascii="Arial" w:hAnsi="Arial"/>
                <w:sz w:val="18"/>
              </w:rPr>
            </w:pPr>
            <w:r w:rsidRPr="0029361E">
              <w:rPr>
                <w:rFonts w:ascii="Arial" w:eastAsia="MS Mincho" w:hAnsi="Arial"/>
                <w:sz w:val="18"/>
              </w:rPr>
              <w:t>10</w:t>
            </w:r>
          </w:p>
        </w:tc>
      </w:tr>
      <w:tr w:rsidR="003A71DE" w:rsidRPr="0029361E" w14:paraId="43BA908A" w14:textId="77777777" w:rsidTr="003A71DE">
        <w:trPr>
          <w:cantSplit/>
          <w:trHeight w:val="187"/>
          <w:jc w:val="center"/>
        </w:trPr>
        <w:tc>
          <w:tcPr>
            <w:tcW w:w="1271" w:type="dxa"/>
            <w:tcBorders>
              <w:top w:val="nil"/>
              <w:left w:val="single" w:sz="4" w:space="0" w:color="auto"/>
              <w:bottom w:val="nil"/>
              <w:right w:val="single" w:sz="4" w:space="0" w:color="auto"/>
            </w:tcBorders>
            <w:shd w:val="clear" w:color="auto" w:fill="auto"/>
          </w:tcPr>
          <w:p w14:paraId="5BF9AEF1" w14:textId="77777777" w:rsidR="003A71DE" w:rsidRPr="0029361E" w:rsidRDefault="003A71DE" w:rsidP="003A71DE">
            <w:pPr>
              <w:keepNext/>
              <w:keepLines/>
              <w:spacing w:after="0" w:line="259" w:lineRule="auto"/>
              <w:rPr>
                <w:rFonts w:ascii="Arial" w:hAnsi="Arial"/>
                <w:sz w:val="18"/>
              </w:rPr>
            </w:pPr>
            <w:r w:rsidRPr="0029361E">
              <w:rPr>
                <w:rFonts w:ascii="Arial" w:hAnsi="Arial"/>
                <w:sz w:val="18"/>
                <w:lang w:eastAsia="zh-CN"/>
              </w:rPr>
              <w:t>SSB_RP</w:t>
            </w:r>
            <w:r w:rsidRPr="0029361E">
              <w:rPr>
                <w:rFonts w:ascii="Arial" w:hAnsi="Arial"/>
                <w:sz w:val="18"/>
              </w:rPr>
              <w:t xml:space="preserve"> of set q</w:t>
            </w:r>
            <w:r w:rsidRPr="0029361E">
              <w:rPr>
                <w:rFonts w:ascii="Arial" w:hAnsi="Arial"/>
                <w:sz w:val="18"/>
                <w:vertAlign w:val="subscript"/>
              </w:rPr>
              <w:t>1</w:t>
            </w:r>
          </w:p>
        </w:tc>
        <w:tc>
          <w:tcPr>
            <w:tcW w:w="2410" w:type="dxa"/>
            <w:tcBorders>
              <w:top w:val="single" w:sz="4" w:space="0" w:color="auto"/>
              <w:left w:val="single" w:sz="4" w:space="0" w:color="auto"/>
              <w:bottom w:val="single" w:sz="4" w:space="0" w:color="auto"/>
              <w:right w:val="single" w:sz="4" w:space="0" w:color="auto"/>
            </w:tcBorders>
          </w:tcPr>
          <w:p w14:paraId="14B936AF"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207396F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dBm/SCS kHz</w:t>
            </w:r>
          </w:p>
        </w:tc>
        <w:tc>
          <w:tcPr>
            <w:tcW w:w="879" w:type="dxa"/>
            <w:tcBorders>
              <w:top w:val="single" w:sz="4" w:space="0" w:color="auto"/>
              <w:left w:val="single" w:sz="4" w:space="0" w:color="auto"/>
              <w:bottom w:val="single" w:sz="4" w:space="0" w:color="auto"/>
              <w:right w:val="single" w:sz="4" w:space="0" w:color="auto"/>
            </w:tcBorders>
          </w:tcPr>
          <w:p w14:paraId="0D734ED6"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-108</w:t>
            </w:r>
          </w:p>
        </w:tc>
        <w:tc>
          <w:tcPr>
            <w:tcW w:w="879" w:type="dxa"/>
            <w:tcBorders>
              <w:top w:val="single" w:sz="4" w:space="0" w:color="auto"/>
              <w:left w:val="single" w:sz="4" w:space="0" w:color="auto"/>
              <w:bottom w:val="single" w:sz="4" w:space="0" w:color="auto"/>
              <w:right w:val="single" w:sz="4" w:space="0" w:color="auto"/>
            </w:tcBorders>
          </w:tcPr>
          <w:p w14:paraId="1BA417B3"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-108</w:t>
            </w:r>
          </w:p>
        </w:tc>
        <w:tc>
          <w:tcPr>
            <w:tcW w:w="879" w:type="dxa"/>
            <w:tcBorders>
              <w:top w:val="single" w:sz="4" w:space="0" w:color="auto"/>
              <w:left w:val="single" w:sz="4" w:space="0" w:color="auto"/>
              <w:bottom w:val="single" w:sz="4" w:space="0" w:color="auto"/>
              <w:right w:val="single" w:sz="4" w:space="0" w:color="auto"/>
            </w:tcBorders>
          </w:tcPr>
          <w:p w14:paraId="012DEB19"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-88</w:t>
            </w:r>
          </w:p>
        </w:tc>
        <w:tc>
          <w:tcPr>
            <w:tcW w:w="879" w:type="dxa"/>
            <w:tcBorders>
              <w:top w:val="single" w:sz="4" w:space="0" w:color="auto"/>
              <w:left w:val="single" w:sz="4" w:space="0" w:color="auto"/>
              <w:bottom w:val="single" w:sz="4" w:space="0" w:color="auto"/>
              <w:right w:val="single" w:sz="4" w:space="0" w:color="auto"/>
            </w:tcBorders>
          </w:tcPr>
          <w:p w14:paraId="59A0D2FB"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-88</w:t>
            </w:r>
          </w:p>
        </w:tc>
        <w:tc>
          <w:tcPr>
            <w:tcW w:w="879" w:type="dxa"/>
            <w:tcBorders>
              <w:top w:val="single" w:sz="4" w:space="0" w:color="auto"/>
              <w:left w:val="single" w:sz="4" w:space="0" w:color="auto"/>
              <w:bottom w:val="single" w:sz="4" w:space="0" w:color="auto"/>
              <w:right w:val="single" w:sz="4" w:space="0" w:color="auto"/>
            </w:tcBorders>
          </w:tcPr>
          <w:p w14:paraId="09CACA2B"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-88</w:t>
            </w:r>
          </w:p>
        </w:tc>
      </w:tr>
      <w:tr w:rsidR="003A71DE" w:rsidRPr="0029361E" w14:paraId="16DBC439" w14:textId="77777777" w:rsidTr="003A71DE">
        <w:trPr>
          <w:cantSplit/>
          <w:trHeight w:val="187"/>
          <w:jc w:val="center"/>
        </w:trPr>
        <w:tc>
          <w:tcPr>
            <w:tcW w:w="1271" w:type="dxa"/>
            <w:tcBorders>
              <w:top w:val="nil"/>
              <w:left w:val="single" w:sz="4" w:space="0" w:color="auto"/>
              <w:bottom w:val="single" w:sz="4" w:space="0" w:color="auto"/>
              <w:right w:val="single" w:sz="4" w:space="0" w:color="auto"/>
            </w:tcBorders>
            <w:shd w:val="clear" w:color="auto" w:fill="auto"/>
          </w:tcPr>
          <w:p w14:paraId="6747CB75" w14:textId="77777777" w:rsidR="003A71DE" w:rsidRPr="0029361E" w:rsidRDefault="003A71DE" w:rsidP="003A71DE">
            <w:pPr>
              <w:keepNext/>
              <w:keepLines/>
              <w:spacing w:after="0" w:line="259" w:lineRule="auto"/>
              <w:rPr>
                <w:rFonts w:ascii="Arial" w:hAnsi="Arial"/>
                <w:sz w:val="18"/>
              </w:rPr>
            </w:pPr>
          </w:p>
        </w:tc>
        <w:tc>
          <w:tcPr>
            <w:tcW w:w="2410" w:type="dxa"/>
            <w:tcBorders>
              <w:top w:val="single" w:sz="4" w:space="0" w:color="auto"/>
              <w:left w:val="single" w:sz="4" w:space="0" w:color="auto"/>
              <w:bottom w:val="single" w:sz="4" w:space="0" w:color="auto"/>
              <w:right w:val="single" w:sz="4" w:space="0" w:color="auto"/>
            </w:tcBorders>
          </w:tcPr>
          <w:p w14:paraId="485532BA"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0787E0A4" w14:textId="77777777" w:rsidR="003A71DE" w:rsidRPr="0029361E" w:rsidRDefault="003A71DE" w:rsidP="003A71DE">
            <w:pPr>
              <w:keepNext/>
              <w:keepLines/>
              <w:spacing w:after="0" w:line="259" w:lineRule="auto"/>
              <w:jc w:val="center"/>
              <w:rPr>
                <w:rFonts w:ascii="Arial" w:hAnsi="Arial"/>
                <w:sz w:val="18"/>
              </w:rPr>
            </w:pPr>
          </w:p>
        </w:tc>
        <w:tc>
          <w:tcPr>
            <w:tcW w:w="879" w:type="dxa"/>
            <w:tcBorders>
              <w:top w:val="single" w:sz="4" w:space="0" w:color="auto"/>
              <w:left w:val="single" w:sz="4" w:space="0" w:color="auto"/>
              <w:bottom w:val="single" w:sz="4" w:space="0" w:color="auto"/>
              <w:right w:val="single" w:sz="4" w:space="0" w:color="auto"/>
            </w:tcBorders>
          </w:tcPr>
          <w:p w14:paraId="02C1A99B"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-105</w:t>
            </w:r>
          </w:p>
        </w:tc>
        <w:tc>
          <w:tcPr>
            <w:tcW w:w="879" w:type="dxa"/>
            <w:tcBorders>
              <w:top w:val="single" w:sz="4" w:space="0" w:color="auto"/>
              <w:left w:val="single" w:sz="4" w:space="0" w:color="auto"/>
              <w:bottom w:val="single" w:sz="4" w:space="0" w:color="auto"/>
              <w:right w:val="single" w:sz="4" w:space="0" w:color="auto"/>
            </w:tcBorders>
          </w:tcPr>
          <w:p w14:paraId="5A94515C"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-105</w:t>
            </w:r>
          </w:p>
        </w:tc>
        <w:tc>
          <w:tcPr>
            <w:tcW w:w="879" w:type="dxa"/>
            <w:tcBorders>
              <w:top w:val="single" w:sz="4" w:space="0" w:color="auto"/>
              <w:left w:val="single" w:sz="4" w:space="0" w:color="auto"/>
              <w:bottom w:val="single" w:sz="4" w:space="0" w:color="auto"/>
              <w:right w:val="single" w:sz="4" w:space="0" w:color="auto"/>
            </w:tcBorders>
          </w:tcPr>
          <w:p w14:paraId="07021D28"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-85</w:t>
            </w:r>
          </w:p>
        </w:tc>
        <w:tc>
          <w:tcPr>
            <w:tcW w:w="879" w:type="dxa"/>
            <w:tcBorders>
              <w:top w:val="single" w:sz="4" w:space="0" w:color="auto"/>
              <w:left w:val="single" w:sz="4" w:space="0" w:color="auto"/>
              <w:bottom w:val="single" w:sz="4" w:space="0" w:color="auto"/>
              <w:right w:val="single" w:sz="4" w:space="0" w:color="auto"/>
            </w:tcBorders>
          </w:tcPr>
          <w:p w14:paraId="77252CC4"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-85</w:t>
            </w:r>
          </w:p>
        </w:tc>
        <w:tc>
          <w:tcPr>
            <w:tcW w:w="879" w:type="dxa"/>
            <w:tcBorders>
              <w:top w:val="single" w:sz="4" w:space="0" w:color="auto"/>
              <w:left w:val="single" w:sz="4" w:space="0" w:color="auto"/>
              <w:bottom w:val="single" w:sz="4" w:space="0" w:color="auto"/>
              <w:right w:val="single" w:sz="4" w:space="0" w:color="auto"/>
            </w:tcBorders>
          </w:tcPr>
          <w:p w14:paraId="683365F8"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-85</w:t>
            </w:r>
          </w:p>
        </w:tc>
      </w:tr>
      <w:tr w:rsidR="003A71DE" w:rsidRPr="0029361E" w14:paraId="3A914B2E" w14:textId="77777777" w:rsidTr="003A71DE">
        <w:trPr>
          <w:cantSplit/>
          <w:trHeight w:val="187"/>
          <w:jc w:val="center"/>
        </w:trPr>
        <w:tc>
          <w:tcPr>
            <w:tcW w:w="1271" w:type="dxa"/>
            <w:tcBorders>
              <w:top w:val="nil"/>
              <w:left w:val="single" w:sz="4" w:space="0" w:color="auto"/>
              <w:bottom w:val="nil"/>
              <w:right w:val="single" w:sz="4" w:space="0" w:color="auto"/>
            </w:tcBorders>
            <w:shd w:val="clear" w:color="auto" w:fill="auto"/>
          </w:tcPr>
          <w:p w14:paraId="08036C1E" w14:textId="77777777" w:rsidR="003A71DE" w:rsidRPr="0029361E" w:rsidRDefault="003A71DE" w:rsidP="003A71DE">
            <w:pPr>
              <w:keepNext/>
              <w:keepLines/>
              <w:spacing w:after="0" w:line="259" w:lineRule="auto"/>
              <w:rPr>
                <w:rFonts w:ascii="Arial" w:hAnsi="Arial"/>
                <w:sz w:val="18"/>
              </w:rPr>
            </w:pPr>
            <w:r w:rsidRPr="0029361E">
              <w:rPr>
                <w:rFonts w:ascii="Arial" w:hAnsi="Arial"/>
                <w:position w:val="-12"/>
                <w:sz w:val="18"/>
              </w:rPr>
              <w:object w:dxaOrig="435" w:dyaOrig="435" w14:anchorId="3B67E435">
                <v:shape id="_x0000_i1102" type="#_x0000_t75" style="width:21.6pt;height:21.6pt" o:ole="">
                  <v:imagedata r:id="rId114" o:title=""/>
                </v:shape>
                <o:OLEObject Type="Embed" ProgID="Equation.3" ShapeID="_x0000_i1102" DrawAspect="Content" ObjectID="_1734764482" r:id="rId135"/>
              </w:object>
            </w:r>
          </w:p>
        </w:tc>
        <w:tc>
          <w:tcPr>
            <w:tcW w:w="2410" w:type="dxa"/>
            <w:tcBorders>
              <w:top w:val="single" w:sz="4" w:space="0" w:color="auto"/>
              <w:left w:val="single" w:sz="4" w:space="0" w:color="auto"/>
              <w:bottom w:val="single" w:sz="4" w:space="0" w:color="auto"/>
              <w:right w:val="single" w:sz="4" w:space="0" w:color="auto"/>
            </w:tcBorders>
          </w:tcPr>
          <w:p w14:paraId="0657713A"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639F65A1"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dBm/15 KHz</w:t>
            </w:r>
          </w:p>
        </w:tc>
        <w:tc>
          <w:tcPr>
            <w:tcW w:w="4395" w:type="dxa"/>
            <w:gridSpan w:val="5"/>
            <w:tcBorders>
              <w:top w:val="single" w:sz="4" w:space="0" w:color="auto"/>
              <w:left w:val="single" w:sz="4" w:space="0" w:color="auto"/>
              <w:bottom w:val="single" w:sz="4" w:space="0" w:color="auto"/>
              <w:right w:val="single" w:sz="4" w:space="0" w:color="auto"/>
            </w:tcBorders>
          </w:tcPr>
          <w:p w14:paraId="750ACE17"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-98</w:t>
            </w:r>
          </w:p>
        </w:tc>
      </w:tr>
      <w:tr w:rsidR="003A71DE" w:rsidRPr="0029361E" w14:paraId="3720CDA3" w14:textId="77777777" w:rsidTr="003A71DE">
        <w:trPr>
          <w:cantSplit/>
          <w:trHeight w:val="187"/>
          <w:jc w:val="center"/>
        </w:trPr>
        <w:tc>
          <w:tcPr>
            <w:tcW w:w="1271" w:type="dxa"/>
            <w:tcBorders>
              <w:top w:val="nil"/>
              <w:left w:val="single" w:sz="4" w:space="0" w:color="auto"/>
              <w:bottom w:val="single" w:sz="4" w:space="0" w:color="auto"/>
              <w:right w:val="single" w:sz="4" w:space="0" w:color="auto"/>
            </w:tcBorders>
            <w:shd w:val="clear" w:color="auto" w:fill="auto"/>
          </w:tcPr>
          <w:p w14:paraId="72FE033E" w14:textId="77777777" w:rsidR="003A71DE" w:rsidRPr="0029361E" w:rsidRDefault="003A71DE" w:rsidP="003A71DE">
            <w:pPr>
              <w:keepNext/>
              <w:keepLines/>
              <w:spacing w:after="0" w:line="259" w:lineRule="auto"/>
              <w:rPr>
                <w:rFonts w:ascii="Arial" w:hAnsi="Arial"/>
                <w:sz w:val="18"/>
              </w:rPr>
            </w:pPr>
          </w:p>
        </w:tc>
        <w:tc>
          <w:tcPr>
            <w:tcW w:w="2410" w:type="dxa"/>
            <w:tcBorders>
              <w:top w:val="single" w:sz="4" w:space="0" w:color="auto"/>
              <w:left w:val="single" w:sz="4" w:space="0" w:color="auto"/>
              <w:bottom w:val="single" w:sz="4" w:space="0" w:color="auto"/>
              <w:right w:val="single" w:sz="4" w:space="0" w:color="auto"/>
            </w:tcBorders>
          </w:tcPr>
          <w:p w14:paraId="15CF5212" w14:textId="77777777" w:rsidR="003A71DE" w:rsidRPr="0029361E" w:rsidRDefault="003A71DE" w:rsidP="003A71DE">
            <w:pPr>
              <w:keepNext/>
              <w:keepLines/>
              <w:spacing w:after="0" w:line="259" w:lineRule="auto"/>
              <w:rPr>
                <w:rFonts w:ascii="Arial" w:eastAsia="SimSun" w:hAnsi="Arial"/>
                <w:sz w:val="18"/>
                <w:lang w:eastAsia="zh-CN"/>
              </w:rPr>
            </w:pPr>
            <w:r w:rsidRPr="0029361E">
              <w:rPr>
                <w:rFonts w:ascii="Arial" w:hAnsi="Arial"/>
                <w:sz w:val="18"/>
              </w:rPr>
              <w:t xml:space="preserve">Config </w:t>
            </w:r>
            <w:r w:rsidRPr="0029361E">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4D8C296C" w14:textId="77777777" w:rsidR="003A71DE" w:rsidRPr="0029361E" w:rsidRDefault="003A71DE" w:rsidP="003A71DE">
            <w:pPr>
              <w:keepNext/>
              <w:keepLines/>
              <w:spacing w:after="0" w:line="259" w:lineRule="auto"/>
              <w:jc w:val="center"/>
              <w:rPr>
                <w:rFonts w:ascii="Arial" w:hAnsi="Arial"/>
                <w:sz w:val="18"/>
              </w:rPr>
            </w:pPr>
          </w:p>
        </w:tc>
        <w:tc>
          <w:tcPr>
            <w:tcW w:w="4395" w:type="dxa"/>
            <w:gridSpan w:val="5"/>
            <w:tcBorders>
              <w:top w:val="single" w:sz="4" w:space="0" w:color="auto"/>
              <w:left w:val="single" w:sz="4" w:space="0" w:color="auto"/>
              <w:bottom w:val="single" w:sz="4" w:space="0" w:color="auto"/>
              <w:right w:val="single" w:sz="4" w:space="0" w:color="auto"/>
            </w:tcBorders>
          </w:tcPr>
          <w:p w14:paraId="151DE682" w14:textId="77777777" w:rsidR="003A71DE" w:rsidRPr="0029361E" w:rsidRDefault="003A71DE" w:rsidP="003A71DE">
            <w:pPr>
              <w:keepNext/>
              <w:keepLines/>
              <w:spacing w:after="0" w:line="259" w:lineRule="auto"/>
              <w:jc w:val="center"/>
              <w:rPr>
                <w:rFonts w:ascii="Arial" w:hAnsi="Arial"/>
                <w:sz w:val="18"/>
              </w:rPr>
            </w:pPr>
            <w:r w:rsidRPr="0029361E">
              <w:rPr>
                <w:rFonts w:ascii="Arial" w:hAnsi="Arial"/>
                <w:sz w:val="18"/>
              </w:rPr>
              <w:t>-98</w:t>
            </w:r>
          </w:p>
        </w:tc>
      </w:tr>
      <w:tr w:rsidR="003A71DE" w:rsidRPr="0029361E" w14:paraId="7878F694"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007DB9D7" w14:textId="77777777" w:rsidR="003A71DE" w:rsidRPr="0029361E" w:rsidRDefault="003A71DE" w:rsidP="003A71DE">
            <w:pPr>
              <w:keepNext/>
              <w:keepLines/>
              <w:spacing w:after="0" w:line="259" w:lineRule="auto"/>
              <w:rPr>
                <w:rFonts w:ascii="Arial" w:hAnsi="Arial"/>
                <w:sz w:val="18"/>
              </w:rPr>
            </w:pPr>
            <w:r w:rsidRPr="0029361E">
              <w:rPr>
                <w:rFonts w:ascii="Arial" w:eastAsia="?? ??" w:hAnsi="Arial"/>
                <w:sz w:val="18"/>
              </w:rPr>
              <w:t>Propagation condition</w:t>
            </w:r>
          </w:p>
        </w:tc>
        <w:tc>
          <w:tcPr>
            <w:tcW w:w="850" w:type="dxa"/>
            <w:tcBorders>
              <w:top w:val="single" w:sz="4" w:space="0" w:color="auto"/>
              <w:left w:val="single" w:sz="4" w:space="0" w:color="auto"/>
              <w:bottom w:val="single" w:sz="4" w:space="0" w:color="auto"/>
              <w:right w:val="single" w:sz="4" w:space="0" w:color="auto"/>
            </w:tcBorders>
          </w:tcPr>
          <w:p w14:paraId="724F157D" w14:textId="77777777" w:rsidR="003A71DE" w:rsidRPr="0029361E" w:rsidRDefault="003A71DE" w:rsidP="003A71DE">
            <w:pPr>
              <w:keepNext/>
              <w:keepLines/>
              <w:spacing w:after="0" w:line="259" w:lineRule="auto"/>
              <w:jc w:val="center"/>
              <w:rPr>
                <w:rFonts w:ascii="Arial" w:hAnsi="Arial"/>
                <w:sz w:val="18"/>
              </w:rPr>
            </w:pPr>
          </w:p>
        </w:tc>
        <w:tc>
          <w:tcPr>
            <w:tcW w:w="4395" w:type="dxa"/>
            <w:gridSpan w:val="5"/>
            <w:tcBorders>
              <w:top w:val="single" w:sz="4" w:space="0" w:color="auto"/>
              <w:left w:val="single" w:sz="4" w:space="0" w:color="auto"/>
              <w:bottom w:val="single" w:sz="4" w:space="0" w:color="auto"/>
              <w:right w:val="single" w:sz="4" w:space="0" w:color="auto"/>
            </w:tcBorders>
          </w:tcPr>
          <w:p w14:paraId="5EF858F1" w14:textId="77777777" w:rsidR="003A71DE" w:rsidRPr="0029361E" w:rsidRDefault="003A71DE" w:rsidP="003A71DE">
            <w:pPr>
              <w:keepNext/>
              <w:keepLines/>
              <w:spacing w:after="0" w:line="259" w:lineRule="auto"/>
              <w:jc w:val="center"/>
              <w:rPr>
                <w:rFonts w:ascii="Arial" w:eastAsia="MS Mincho" w:hAnsi="Arial"/>
                <w:sz w:val="18"/>
              </w:rPr>
            </w:pPr>
            <w:r w:rsidRPr="0029361E">
              <w:rPr>
                <w:rFonts w:ascii="Arial" w:eastAsia="MS Mincho" w:hAnsi="Arial"/>
                <w:sz w:val="18"/>
              </w:rPr>
              <w:t>TDL-C 300ns 100Hz</w:t>
            </w:r>
          </w:p>
        </w:tc>
      </w:tr>
      <w:tr w:rsidR="003A71DE" w:rsidRPr="0029361E" w14:paraId="066A2D01" w14:textId="77777777" w:rsidTr="003A71DE">
        <w:trPr>
          <w:cantSplit/>
          <w:trHeight w:val="187"/>
          <w:jc w:val="center"/>
        </w:trPr>
        <w:tc>
          <w:tcPr>
            <w:tcW w:w="8926" w:type="dxa"/>
            <w:gridSpan w:val="8"/>
            <w:tcBorders>
              <w:top w:val="single" w:sz="4" w:space="0" w:color="auto"/>
              <w:left w:val="single" w:sz="4" w:space="0" w:color="auto"/>
              <w:bottom w:val="single" w:sz="4" w:space="0" w:color="auto"/>
              <w:right w:val="single" w:sz="4" w:space="0" w:color="auto"/>
            </w:tcBorders>
          </w:tcPr>
          <w:p w14:paraId="53989495" w14:textId="77777777" w:rsidR="003A71DE" w:rsidRPr="0029361E" w:rsidRDefault="003A71DE" w:rsidP="00A40F90">
            <w:pPr>
              <w:pStyle w:val="TAN"/>
            </w:pPr>
            <w:r w:rsidRPr="0029361E">
              <w:t>Note 1:</w:t>
            </w:r>
            <w:r w:rsidRPr="0029361E">
              <w:tab/>
              <w:t>OCNG shall be used such that the resources in Cell 1 are fully allocated and a constant total transmitted power spectral density is achieved for all OFDM symbols.</w:t>
            </w:r>
          </w:p>
          <w:p w14:paraId="1F890C0C" w14:textId="77777777" w:rsidR="003A71DE" w:rsidRPr="0029361E" w:rsidRDefault="003A71DE" w:rsidP="00A40F90">
            <w:pPr>
              <w:pStyle w:val="TAN"/>
            </w:pPr>
            <w:r w:rsidRPr="0029361E">
              <w:t>Note 2:</w:t>
            </w:r>
            <w:r w:rsidRPr="0029361E">
              <w:tab/>
              <w:t xml:space="preserve">The uplink resources for CSI reporting are assigned to the </w:t>
            </w:r>
            <w:r w:rsidRPr="0029361E">
              <w:rPr>
                <w:rFonts w:eastAsia="SimSun" w:hint="eastAsia"/>
                <w:lang w:val="en-US" w:eastAsia="zh-CN"/>
              </w:rPr>
              <w:t>IAB-MT</w:t>
            </w:r>
            <w:r w:rsidRPr="0029361E">
              <w:t xml:space="preserve"> prior to the start of time period T1.</w:t>
            </w:r>
          </w:p>
          <w:p w14:paraId="679FDBC2" w14:textId="77777777" w:rsidR="003A71DE" w:rsidRPr="0029361E" w:rsidRDefault="003A71DE" w:rsidP="00A40F90">
            <w:pPr>
              <w:pStyle w:val="TAN"/>
            </w:pPr>
            <w:r w:rsidRPr="0029361E">
              <w:t>Note 3:</w:t>
            </w:r>
            <w:r w:rsidRPr="0029361E">
              <w:tab/>
              <w:t xml:space="preserve">NZP CSI-RS resource set configuration for CSI reporting are assigned to the </w:t>
            </w:r>
            <w:r w:rsidRPr="0029361E">
              <w:rPr>
                <w:rFonts w:eastAsia="SimSun" w:hint="eastAsia"/>
                <w:lang w:val="en-US" w:eastAsia="zh-CN"/>
              </w:rPr>
              <w:t>IAB-MT</w:t>
            </w:r>
            <w:r w:rsidRPr="0029361E">
              <w:t xml:space="preserve"> prior to the start of time period T1.</w:t>
            </w:r>
          </w:p>
          <w:p w14:paraId="2BA4FE03" w14:textId="3C8095CF" w:rsidR="00FB1D4C" w:rsidRPr="004B7F4E" w:rsidRDefault="00FB1D4C" w:rsidP="00FB1D4C">
            <w:pPr>
              <w:keepNext/>
              <w:keepLines/>
              <w:spacing w:after="0"/>
              <w:ind w:left="851" w:hanging="851"/>
              <w:rPr>
                <w:rFonts w:ascii="Arial" w:hAnsi="Arial"/>
                <w:sz w:val="18"/>
              </w:rPr>
            </w:pPr>
            <w:r w:rsidRPr="004B7F4E">
              <w:rPr>
                <w:rFonts w:ascii="Arial" w:hAnsi="Arial"/>
                <w:sz w:val="18"/>
              </w:rPr>
              <w:t>Note 4:</w:t>
            </w:r>
            <w:r w:rsidRPr="004B7F4E">
              <w:rPr>
                <w:rFonts w:ascii="Arial" w:hAnsi="Arial"/>
                <w:sz w:val="18"/>
              </w:rPr>
              <w:tab/>
            </w:r>
            <w:r>
              <w:rPr>
                <w:rFonts w:ascii="Arial" w:hAnsi="Arial"/>
                <w:sz w:val="18"/>
              </w:rPr>
              <w:t>Void</w:t>
            </w:r>
            <w:r w:rsidRPr="004B7F4E">
              <w:rPr>
                <w:rFonts w:ascii="Arial" w:hAnsi="Arial"/>
                <w:sz w:val="18"/>
              </w:rPr>
              <w:t>.</w:t>
            </w:r>
          </w:p>
          <w:p w14:paraId="7C08BC01" w14:textId="77777777" w:rsidR="003A71DE" w:rsidRPr="0029361E" w:rsidRDefault="003A71DE" w:rsidP="00A40F90">
            <w:pPr>
              <w:pStyle w:val="TAN"/>
            </w:pPr>
            <w:r w:rsidRPr="0029361E">
              <w:t>Note 5:</w:t>
            </w:r>
            <w:r w:rsidRPr="0029361E">
              <w:tab/>
              <w:t>The timers and layer 3 filtering related parameters are configured prior to the start of time period T1.</w:t>
            </w:r>
          </w:p>
          <w:p w14:paraId="76216693" w14:textId="77777777" w:rsidR="003A71DE" w:rsidRPr="0029361E" w:rsidRDefault="003A71DE" w:rsidP="00A40F90">
            <w:pPr>
              <w:pStyle w:val="TAN"/>
            </w:pPr>
            <w:r w:rsidRPr="0029361E">
              <w:t>Note 6:</w:t>
            </w:r>
            <w:r w:rsidRPr="0029361E">
              <w:tab/>
              <w:t xml:space="preserve">The signal contains PDCCH for </w:t>
            </w:r>
            <w:r w:rsidRPr="0029361E">
              <w:rPr>
                <w:rFonts w:eastAsia="SimSun" w:hint="eastAsia"/>
                <w:lang w:val="en-US" w:eastAsia="zh-CN"/>
              </w:rPr>
              <w:t>IAB-MT</w:t>
            </w:r>
            <w:r w:rsidRPr="0029361E">
              <w:t>s other than the device under test as part of OCNG.</w:t>
            </w:r>
          </w:p>
          <w:p w14:paraId="7A690B1D" w14:textId="77777777" w:rsidR="003A71DE" w:rsidRPr="0029361E" w:rsidRDefault="003A71DE" w:rsidP="00A40F90">
            <w:pPr>
              <w:pStyle w:val="TAN"/>
            </w:pPr>
            <w:r w:rsidRPr="0029361E">
              <w:t>Note 7:</w:t>
            </w:r>
            <w:r w:rsidRPr="0029361E">
              <w:tab/>
              <w:t>SNR levels correspond to the signal to noise ratio over the SSS REs.</w:t>
            </w:r>
          </w:p>
          <w:p w14:paraId="2ADC3F2A" w14:textId="77777777" w:rsidR="003A71DE" w:rsidRPr="0029361E" w:rsidRDefault="003A71DE" w:rsidP="00A40F90">
            <w:pPr>
              <w:pStyle w:val="TAN"/>
            </w:pPr>
            <w:r w:rsidRPr="0029361E">
              <w:t>Note 8:</w:t>
            </w:r>
            <w:r w:rsidRPr="0029361E">
              <w:tab/>
              <w:t xml:space="preserve">The SNR in time periods T1, T2, T3, T4 and T5 is denoted as SNR1, SNR2 and SNR3 respectively in figure </w:t>
            </w:r>
            <w:r w:rsidRPr="0029361E">
              <w:rPr>
                <w:bCs/>
                <w:lang w:val="en-US" w:eastAsia="zh-CN"/>
              </w:rPr>
              <w:t>G</w:t>
            </w:r>
            <w:r w:rsidRPr="0029361E">
              <w:rPr>
                <w:bCs/>
              </w:rPr>
              <w:t>.</w:t>
            </w:r>
            <w:r w:rsidRPr="0029361E">
              <w:rPr>
                <w:bCs/>
                <w:lang w:val="en-US" w:eastAsia="zh-CN"/>
              </w:rPr>
              <w:t>2.3.2.1</w:t>
            </w:r>
            <w:r w:rsidRPr="0029361E">
              <w:rPr>
                <w:rFonts w:hint="eastAsia"/>
                <w:bCs/>
                <w:lang w:val="en-US" w:eastAsia="zh-CN"/>
              </w:rPr>
              <w:t>.1</w:t>
            </w:r>
            <w:r w:rsidRPr="0029361E">
              <w:rPr>
                <w:bCs/>
              </w:rPr>
              <w:t>-1</w:t>
            </w:r>
            <w:r w:rsidRPr="0029361E">
              <w:t>.</w:t>
            </w:r>
          </w:p>
          <w:p w14:paraId="5E6FE9D3" w14:textId="77777777" w:rsidR="003A71DE" w:rsidRPr="0029361E" w:rsidRDefault="003A71DE" w:rsidP="00A40F90">
            <w:pPr>
              <w:pStyle w:val="TAN"/>
            </w:pPr>
            <w:r w:rsidRPr="0029361E">
              <w:t>Note 9:</w:t>
            </w:r>
            <w:r w:rsidRPr="0029361E">
              <w:rPr>
                <w:rFonts w:eastAsia="MS Mincho"/>
                <w:snapToGrid w:val="0"/>
              </w:rPr>
              <w:tab/>
            </w:r>
            <w:r w:rsidRPr="0029361E">
              <w:t xml:space="preserve">The SNR values are specified for testing a </w:t>
            </w:r>
            <w:r w:rsidRPr="0029361E">
              <w:rPr>
                <w:rFonts w:eastAsia="SimSun" w:hint="eastAsia"/>
                <w:lang w:val="en-US" w:eastAsia="zh-CN"/>
              </w:rPr>
              <w:t>IAB-MT</w:t>
            </w:r>
            <w:r w:rsidRPr="0029361E">
              <w:t xml:space="preserve"> which supports 2RX on at least one band. For testing of a </w:t>
            </w:r>
            <w:r w:rsidRPr="0029361E">
              <w:rPr>
                <w:rFonts w:eastAsia="SimSun" w:hint="eastAsia"/>
                <w:lang w:val="en-US" w:eastAsia="zh-CN"/>
              </w:rPr>
              <w:t>IAB-MT</w:t>
            </w:r>
            <w:r w:rsidRPr="0029361E">
              <w:t xml:space="preserve"> which supports 4RX on all bands, the SNR during T3 is modified as specified in clause G.1.3.</w:t>
            </w:r>
          </w:p>
        </w:tc>
      </w:tr>
    </w:tbl>
    <w:p w14:paraId="324D41AD" w14:textId="77777777" w:rsidR="003A71DE" w:rsidRPr="0029361E" w:rsidRDefault="003A71DE" w:rsidP="003A71DE">
      <w:pPr>
        <w:spacing w:line="259" w:lineRule="auto"/>
        <w:jc w:val="center"/>
        <w:rPr>
          <w:lang w:eastAsia="zh-CN"/>
        </w:rPr>
      </w:pPr>
    </w:p>
    <w:p w14:paraId="58DD5A2B" w14:textId="77777777" w:rsidR="003A71DE" w:rsidRPr="0029361E" w:rsidRDefault="003A71DE" w:rsidP="00746C0D">
      <w:pPr>
        <w:pStyle w:val="TH"/>
        <w:rPr>
          <w:lang w:eastAsia="zh-CN"/>
        </w:rPr>
      </w:pPr>
      <w:r w:rsidRPr="0029361E">
        <w:rPr>
          <w:noProof/>
          <w:lang w:eastAsia="zh-CN"/>
        </w:rPr>
        <w:lastRenderedPageBreak/>
        <w:drawing>
          <wp:inline distT="0" distB="0" distL="0" distR="0" wp14:anchorId="33A8F11A" wp14:editId="733642D7">
            <wp:extent cx="4576445" cy="2153285"/>
            <wp:effectExtent l="0" t="0" r="10795" b="0"/>
            <wp:docPr id="3143" name="图片 32" descr="C:\Users\w00527694\Pictures\图片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C:\Users\w00527694\Pictures\图片28.png"/>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a:xfrm>
                      <a:off x="0" y="0"/>
                      <a:ext cx="4612014" cy="2170034"/>
                    </a:xfrm>
                    <a:prstGeom prst="rect">
                      <a:avLst/>
                    </a:prstGeom>
                    <a:noFill/>
                    <a:ln>
                      <a:noFill/>
                    </a:ln>
                  </pic:spPr>
                </pic:pic>
              </a:graphicData>
            </a:graphic>
          </wp:inline>
        </w:drawing>
      </w:r>
    </w:p>
    <w:p w14:paraId="3ED91909" w14:textId="77777777" w:rsidR="003A71DE" w:rsidRPr="0029361E" w:rsidRDefault="003A71DE" w:rsidP="00746C0D">
      <w:pPr>
        <w:pStyle w:val="TF"/>
      </w:pPr>
      <w:r w:rsidRPr="0029361E">
        <w:t xml:space="preserve">Figure </w:t>
      </w:r>
      <w:r w:rsidRPr="0029361E">
        <w:rPr>
          <w:lang w:val="en-US" w:eastAsia="zh-CN"/>
        </w:rPr>
        <w:t>G</w:t>
      </w:r>
      <w:r w:rsidRPr="0029361E">
        <w:t>.</w:t>
      </w:r>
      <w:r w:rsidRPr="0029361E">
        <w:rPr>
          <w:lang w:val="en-US" w:eastAsia="zh-CN"/>
        </w:rPr>
        <w:t>2.3.2.1</w:t>
      </w:r>
      <w:r w:rsidRPr="0029361E">
        <w:rPr>
          <w:rFonts w:hint="eastAsia"/>
          <w:lang w:val="en-US" w:eastAsia="zh-CN"/>
        </w:rPr>
        <w:t>.1</w:t>
      </w:r>
      <w:r w:rsidRPr="0029361E">
        <w:t>-1: SNR and L1-RSRP variation SSB for SSB-based beam failure detection and link recovery testing</w:t>
      </w:r>
    </w:p>
    <w:p w14:paraId="29A239F3" w14:textId="77777777" w:rsidR="003A71DE" w:rsidRPr="0029361E" w:rsidRDefault="003A71DE" w:rsidP="00746C0D">
      <w:pPr>
        <w:pStyle w:val="H6"/>
        <w:rPr>
          <w:snapToGrid w:val="0"/>
        </w:rPr>
      </w:pPr>
      <w:r w:rsidRPr="0029361E">
        <w:rPr>
          <w:rFonts w:eastAsia="SimSun" w:hint="eastAsia"/>
          <w:lang w:eastAsia="zh-CN"/>
        </w:rPr>
        <w:t>G.</w:t>
      </w:r>
      <w:r w:rsidRPr="0029361E">
        <w:rPr>
          <w:rFonts w:eastAsia="SimSun" w:hint="eastAsia"/>
          <w:lang w:val="en-US" w:eastAsia="zh-CN"/>
        </w:rPr>
        <w:t>2</w:t>
      </w:r>
      <w:r w:rsidRPr="0029361E">
        <w:rPr>
          <w:rFonts w:eastAsia="SimSun" w:hint="eastAsia"/>
          <w:lang w:eastAsia="zh-CN"/>
        </w:rPr>
        <w:t>.</w:t>
      </w:r>
      <w:r w:rsidRPr="0029361E">
        <w:rPr>
          <w:rFonts w:eastAsia="SimSun" w:hint="eastAsia"/>
          <w:lang w:val="en-US" w:eastAsia="zh-CN"/>
        </w:rPr>
        <w:t>3</w:t>
      </w:r>
      <w:r w:rsidRPr="0029361E">
        <w:t>.</w:t>
      </w:r>
      <w:r w:rsidRPr="0029361E">
        <w:rPr>
          <w:rFonts w:eastAsia="SimSun" w:hint="eastAsia"/>
          <w:lang w:val="en-US" w:eastAsia="zh-CN"/>
        </w:rPr>
        <w:t>2.1.2</w:t>
      </w:r>
      <w:r w:rsidRPr="0029361E">
        <w:rPr>
          <w:snapToGrid w:val="0"/>
        </w:rPr>
        <w:tab/>
      </w:r>
      <w:r w:rsidRPr="0029361E">
        <w:t xml:space="preserve">Test </w:t>
      </w:r>
      <w:r w:rsidRPr="0029361E">
        <w:rPr>
          <w:snapToGrid w:val="0"/>
        </w:rPr>
        <w:t>Requirements</w:t>
      </w:r>
    </w:p>
    <w:p w14:paraId="4F95E449" w14:textId="77777777" w:rsidR="003A71DE" w:rsidRPr="0029361E" w:rsidRDefault="003A71DE" w:rsidP="003A71DE">
      <w:pPr>
        <w:spacing w:line="259" w:lineRule="auto"/>
      </w:pPr>
      <w:r w:rsidRPr="0029361E">
        <w:t xml:space="preserve">The </w:t>
      </w:r>
      <w:r w:rsidRPr="0029361E">
        <w:rPr>
          <w:rFonts w:eastAsia="SimSun" w:hint="eastAsia"/>
          <w:lang w:val="en-US" w:eastAsia="zh-CN"/>
        </w:rPr>
        <w:t>IAB-MT</w:t>
      </w:r>
      <w:r w:rsidRPr="0029361E">
        <w:t xml:space="preserve"> behaviour during time durations T1, T2, T3, T4 </w:t>
      </w:r>
      <w:r w:rsidRPr="0029361E">
        <w:rPr>
          <w:lang w:eastAsia="zh-CN"/>
        </w:rPr>
        <w:t xml:space="preserve">and </w:t>
      </w:r>
      <w:r w:rsidRPr="0029361E">
        <w:t>T5 shall be as follows:</w:t>
      </w:r>
    </w:p>
    <w:p w14:paraId="4463A986" w14:textId="77777777" w:rsidR="003A71DE" w:rsidRPr="0029361E" w:rsidRDefault="003A71DE" w:rsidP="003A71DE">
      <w:pPr>
        <w:spacing w:line="259" w:lineRule="auto"/>
        <w:rPr>
          <w:lang w:eastAsia="zh-CN"/>
        </w:rPr>
      </w:pPr>
      <w:r w:rsidRPr="0029361E">
        <w:t xml:space="preserve">During the </w:t>
      </w:r>
      <w:r w:rsidRPr="0029361E">
        <w:rPr>
          <w:lang w:eastAsia="zh-CN"/>
        </w:rPr>
        <w:t xml:space="preserve">time duration T1 and T2, the </w:t>
      </w:r>
      <w:r w:rsidRPr="0029361E">
        <w:rPr>
          <w:rFonts w:eastAsia="SimSun" w:hint="eastAsia"/>
          <w:lang w:val="en-US" w:eastAsia="zh-CN"/>
        </w:rPr>
        <w:t>IAB-MT</w:t>
      </w:r>
      <w:r w:rsidRPr="0029361E">
        <w:rPr>
          <w:lang w:eastAsia="zh-CN"/>
        </w:rPr>
        <w:t xml:space="preserve"> shall transmit uplink signal at least in all subframes configured for CSI transmission on Cell 1.</w:t>
      </w:r>
    </w:p>
    <w:p w14:paraId="3E6B4DD3" w14:textId="77777777" w:rsidR="003A71DE" w:rsidRPr="0029361E" w:rsidRDefault="003A71DE" w:rsidP="003A71DE">
      <w:pPr>
        <w:spacing w:line="259" w:lineRule="auto"/>
      </w:pPr>
      <w:r w:rsidRPr="0029361E">
        <w:rPr>
          <w:lang w:eastAsia="zh-CN"/>
        </w:rPr>
        <w:t xml:space="preserve">During the </w:t>
      </w:r>
      <w:r w:rsidRPr="0029361E">
        <w:t xml:space="preserve">period from time point A to time point B the </w:t>
      </w:r>
      <w:r w:rsidRPr="0029361E">
        <w:rPr>
          <w:rFonts w:eastAsia="SimSun" w:hint="eastAsia"/>
          <w:lang w:val="en-US" w:eastAsia="zh-CN"/>
        </w:rPr>
        <w:t>IAB-MT</w:t>
      </w:r>
      <w:r w:rsidRPr="0029361E">
        <w:t xml:space="preserve"> shall transmit uplink signal in Cell 1 in all uplink slots configured for CSI transmission according to the configured periodic CSI reporting for Cell 1.</w:t>
      </w:r>
    </w:p>
    <w:p w14:paraId="359570D1" w14:textId="77777777" w:rsidR="003A71DE" w:rsidRPr="0029361E" w:rsidRDefault="003A71DE" w:rsidP="003A71DE">
      <w:pPr>
        <w:spacing w:line="259" w:lineRule="auto"/>
      </w:pPr>
      <w:r w:rsidRPr="0029361E">
        <w:t xml:space="preserve">During T3 the </w:t>
      </w:r>
      <w:r w:rsidRPr="0029361E">
        <w:rPr>
          <w:rFonts w:eastAsia="SimSun" w:hint="eastAsia"/>
          <w:lang w:val="en-US" w:eastAsia="zh-CN"/>
        </w:rPr>
        <w:t>IAB-MT</w:t>
      </w:r>
      <w:r w:rsidRPr="0029361E">
        <w:t xml:space="preserve"> shall detect beam failure and initiate link recovery. During T4 and T5 the </w:t>
      </w:r>
      <w:r w:rsidRPr="0029361E">
        <w:rPr>
          <w:rFonts w:eastAsia="SimSun" w:hint="eastAsia"/>
          <w:lang w:val="en-US" w:eastAsia="zh-CN"/>
        </w:rPr>
        <w:t>IAB-MT</w:t>
      </w:r>
      <w:r w:rsidRPr="0029361E">
        <w:t xml:space="preserve"> measures and evaluate beam candidate from beam candidate set q</w:t>
      </w:r>
      <w:r w:rsidRPr="0029361E">
        <w:rPr>
          <w:vertAlign w:val="subscript"/>
        </w:rPr>
        <w:t>1</w:t>
      </w:r>
      <w:r w:rsidRPr="0029361E">
        <w:t>.</w:t>
      </w:r>
    </w:p>
    <w:p w14:paraId="4115E19C" w14:textId="77777777" w:rsidR="003A71DE" w:rsidRPr="0029361E" w:rsidRDefault="003A71DE" w:rsidP="003A71DE">
      <w:pPr>
        <w:spacing w:line="259" w:lineRule="auto"/>
      </w:pPr>
      <w:r w:rsidRPr="0029361E">
        <w:t xml:space="preserve">No later than time point F occurring no later than D1 = 120+10 ms after the start of T5, the </w:t>
      </w:r>
      <w:r w:rsidRPr="0029361E">
        <w:rPr>
          <w:rFonts w:eastAsia="SimSun" w:hint="eastAsia"/>
          <w:lang w:val="en-US" w:eastAsia="zh-CN"/>
        </w:rPr>
        <w:t>IAB-MT</w:t>
      </w:r>
      <w:r w:rsidRPr="0029361E">
        <w:t xml:space="preserve"> shall transmit preamble on a beam associated with the candidate beam set q</w:t>
      </w:r>
      <w:r w:rsidRPr="0029361E">
        <w:rPr>
          <w:vertAlign w:val="subscript"/>
        </w:rPr>
        <w:t>1</w:t>
      </w:r>
      <w:r w:rsidRPr="0029361E">
        <w:t xml:space="preserve">. The </w:t>
      </w:r>
      <w:r w:rsidRPr="0029361E">
        <w:rPr>
          <w:rFonts w:eastAsia="SimSun" w:hint="eastAsia"/>
          <w:lang w:val="en-US" w:eastAsia="zh-CN"/>
        </w:rPr>
        <w:t>IAB-MT</w:t>
      </w:r>
      <w:r w:rsidRPr="0029361E">
        <w:t xml:space="preserve"> shall not transmit preamble on a beam associated with the candidate beam set q</w:t>
      </w:r>
      <w:r w:rsidRPr="0029361E">
        <w:rPr>
          <w:vertAlign w:val="subscript"/>
        </w:rPr>
        <w:t>1</w:t>
      </w:r>
      <w:r w:rsidRPr="0029361E">
        <w:t xml:space="preserve"> earlier than time point B.</w:t>
      </w:r>
    </w:p>
    <w:p w14:paraId="7F7CF5C9" w14:textId="77777777" w:rsidR="003A71DE" w:rsidRDefault="003A71DE" w:rsidP="003A71DE">
      <w:pPr>
        <w:spacing w:line="259" w:lineRule="auto"/>
      </w:pPr>
      <w:r w:rsidRPr="0029361E">
        <w:t xml:space="preserve">Test is concluded once the test equipment has received the initial preamble transmission from the </w:t>
      </w:r>
      <w:r w:rsidRPr="0029361E">
        <w:rPr>
          <w:rFonts w:eastAsia="SimSun" w:hint="eastAsia"/>
          <w:lang w:val="en-US" w:eastAsia="zh-CN"/>
        </w:rPr>
        <w:t>IAB-MT</w:t>
      </w:r>
      <w:r w:rsidRPr="0029361E">
        <w:t>. The rate of correct events observed during repeated tests shall be at least 90%.</w:t>
      </w:r>
    </w:p>
    <w:p w14:paraId="77EE113C" w14:textId="77777777" w:rsidR="003A71DE" w:rsidRPr="001C0E1B" w:rsidRDefault="003A71DE" w:rsidP="00746C0D">
      <w:pPr>
        <w:pStyle w:val="Heading5"/>
      </w:pPr>
      <w:bookmarkStart w:id="10356" w:name="_Toc74583691"/>
      <w:bookmarkStart w:id="10357" w:name="_Toc76542504"/>
      <w:bookmarkStart w:id="10358" w:name="_Toc82450486"/>
      <w:bookmarkStart w:id="10359" w:name="_Toc82451134"/>
      <w:bookmarkStart w:id="10360" w:name="_Toc89949523"/>
      <w:bookmarkStart w:id="10361" w:name="_Toc98755912"/>
      <w:bookmarkStart w:id="10362" w:name="_Toc98763504"/>
      <w:bookmarkStart w:id="10363" w:name="_Toc106184433"/>
      <w:bookmarkStart w:id="10364" w:name="_Toc535476725"/>
      <w:r>
        <w:t>G.2.3.2.2</w:t>
      </w:r>
      <w:r w:rsidRPr="001C0E1B">
        <w:tab/>
        <w:t>Beam Failure Detection and Link Recovery Test for FR2 PCell configured with SSB-based BFD and LR</w:t>
      </w:r>
      <w:bookmarkEnd w:id="10356"/>
      <w:bookmarkEnd w:id="10357"/>
      <w:bookmarkEnd w:id="10358"/>
      <w:bookmarkEnd w:id="10359"/>
      <w:bookmarkEnd w:id="10360"/>
      <w:bookmarkEnd w:id="10361"/>
      <w:bookmarkEnd w:id="10362"/>
      <w:bookmarkEnd w:id="10363"/>
      <w:r w:rsidRPr="001C0E1B">
        <w:t xml:space="preserve"> </w:t>
      </w:r>
      <w:bookmarkEnd w:id="10364"/>
    </w:p>
    <w:p w14:paraId="03181653" w14:textId="77777777" w:rsidR="003A71DE" w:rsidRPr="001C0E1B" w:rsidRDefault="003A71DE" w:rsidP="00746C0D">
      <w:pPr>
        <w:pStyle w:val="H6"/>
        <w:rPr>
          <w:snapToGrid w:val="0"/>
        </w:rPr>
      </w:pPr>
      <w:bookmarkStart w:id="10365" w:name="_Toc535476726"/>
      <w:r>
        <w:rPr>
          <w:snapToGrid w:val="0"/>
          <w:lang w:eastAsia="zh-CN"/>
        </w:rPr>
        <w:t>G.2.3.2.2</w:t>
      </w:r>
      <w:r w:rsidRPr="001C0E1B">
        <w:rPr>
          <w:snapToGrid w:val="0"/>
          <w:lang w:eastAsia="zh-CN"/>
        </w:rPr>
        <w:t>.1</w:t>
      </w:r>
      <w:r w:rsidRPr="001C0E1B">
        <w:rPr>
          <w:snapToGrid w:val="0"/>
          <w:lang w:eastAsia="zh-CN"/>
        </w:rPr>
        <w:tab/>
        <w:t>Test Purpose and Environment</w:t>
      </w:r>
      <w:bookmarkEnd w:id="10365"/>
    </w:p>
    <w:p w14:paraId="4E1D1471" w14:textId="77777777" w:rsidR="003A71DE" w:rsidRPr="001C0E1B" w:rsidRDefault="003A71DE" w:rsidP="003A71DE">
      <w:r w:rsidRPr="001C0E1B">
        <w:t xml:space="preserve">The purpose of this test is to verify that the </w:t>
      </w:r>
      <w:r>
        <w:t>IAB-MT</w:t>
      </w:r>
      <w:r w:rsidRPr="001C0E1B">
        <w:t xml:space="preserve"> properly detects SSB-based beam failure in the set q</w:t>
      </w:r>
      <w:r w:rsidRPr="001C0E1B">
        <w:rPr>
          <w:vertAlign w:val="subscript"/>
        </w:rPr>
        <w:t>0</w:t>
      </w:r>
      <w:r w:rsidRPr="001C0E1B">
        <w:t xml:space="preserve"> configured for a serving cell and that the </w:t>
      </w:r>
      <w:r>
        <w:t>IAB-MT</w:t>
      </w:r>
      <w:r w:rsidRPr="001C0E1B">
        <w:t xml:space="preserve"> performs correct SSB-based link recovery based on beam candidate set q</w:t>
      </w:r>
      <w:r w:rsidRPr="001C0E1B">
        <w:rPr>
          <w:vertAlign w:val="subscript"/>
        </w:rPr>
        <w:t>1</w:t>
      </w:r>
      <w:r w:rsidRPr="001C0E1B">
        <w:t xml:space="preserve">. The purpose is to test the downlink monitoring for beam failure detection within the </w:t>
      </w:r>
      <w:r>
        <w:t>IAB-MT</w:t>
      </w:r>
      <w:r w:rsidRPr="001C0E1B">
        <w:t xml:space="preserve"> active DL BWP, during the evaluation period, and link recovery, when no DRX is used. This test will partly verify the SSB based beam failure detection and link recovery for an FR2 serving cell requirements in clause </w:t>
      </w:r>
      <w:r>
        <w:t>12.3.2.2</w:t>
      </w:r>
      <w:r w:rsidRPr="001C0E1B">
        <w:t>.</w:t>
      </w:r>
      <w:r w:rsidRPr="00C86A8E">
        <w:t xml:space="preserve"> </w:t>
      </w:r>
    </w:p>
    <w:p w14:paraId="4CA605EC" w14:textId="77777777" w:rsidR="003A71DE" w:rsidRPr="001C0E1B" w:rsidRDefault="003A71DE" w:rsidP="003A71DE">
      <w:r w:rsidRPr="001C0E1B">
        <w:t xml:space="preserve">The test parameters are given in Tables </w:t>
      </w:r>
      <w:r>
        <w:t>G.2.3.2.2</w:t>
      </w:r>
      <w:r w:rsidRPr="001C0E1B">
        <w:t xml:space="preserve">.1-1, </w:t>
      </w:r>
      <w:r>
        <w:t>G.2.3.2.2</w:t>
      </w:r>
      <w:r w:rsidRPr="001C0E1B">
        <w:t>.1-2</w:t>
      </w:r>
      <w:r>
        <w:t xml:space="preserve"> and G.2.3.2.2</w:t>
      </w:r>
      <w:r w:rsidRPr="001C0E1B">
        <w:t xml:space="preserve">.1-3 below. There is one cell, cell 1 which is the active cell, in the test. The test consists of five successive time periods, with time duration of T1, T2, T3, T4 and T5 respectively. Figure </w:t>
      </w:r>
      <w:r>
        <w:t>G.2.3.2.X</w:t>
      </w:r>
      <w:r w:rsidRPr="001C0E1B">
        <w:t>.1-1 shows the variation of the downlink SNR of the SSB in set q</w:t>
      </w:r>
      <w:r w:rsidRPr="001C0E1B">
        <w:rPr>
          <w:vertAlign w:val="subscript"/>
        </w:rPr>
        <w:t>0</w:t>
      </w:r>
      <w:r w:rsidRPr="001C0E1B">
        <w:t xml:space="preserve"> in the active cell to emulate SSB based beam failure. Figure </w:t>
      </w:r>
      <w:r>
        <w:t>G.2.3.2.2</w:t>
      </w:r>
      <w:r w:rsidRPr="001C0E1B">
        <w:t>.1-1 additionally shows the variation of the downlink L1-RSRP of the SSB in set q</w:t>
      </w:r>
      <w:r w:rsidRPr="001C0E1B">
        <w:rPr>
          <w:vertAlign w:val="subscript"/>
        </w:rPr>
        <w:t>1</w:t>
      </w:r>
      <w:r w:rsidRPr="001C0E1B">
        <w:t xml:space="preserve"> of the candidate beam used for link recovery. Prior to the start of the time duration T1, the </w:t>
      </w:r>
      <w:r>
        <w:t>IAB-MT</w:t>
      </w:r>
      <w:r w:rsidRPr="001C0E1B">
        <w:t xml:space="preserve"> shall be fully synchronized to cell 1. The </w:t>
      </w:r>
      <w:r>
        <w:t>IAB-MT</w:t>
      </w:r>
      <w:r w:rsidRPr="001C0E1B">
        <w:t xml:space="preserve"> shall be configured for periodic CSI reporting with a reporting periodicity of 2 ms. In the test, DRX configuration is not enabled. </w:t>
      </w:r>
    </w:p>
    <w:p w14:paraId="183E1B88" w14:textId="77777777" w:rsidR="003A71DE" w:rsidRPr="001C0E1B" w:rsidRDefault="003A71DE" w:rsidP="00746C0D">
      <w:pPr>
        <w:pStyle w:val="TH"/>
      </w:pPr>
      <w:r w:rsidRPr="001C0E1B">
        <w:lastRenderedPageBreak/>
        <w:t xml:space="preserve">Table </w:t>
      </w:r>
      <w:r>
        <w:t>G.2.3.2.2</w:t>
      </w:r>
      <w:r w:rsidRPr="001C0E1B">
        <w:t>.1-1: Supported test configurations for FR2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6905"/>
      </w:tblGrid>
      <w:tr w:rsidR="003A71DE" w:rsidRPr="001C0E1B" w14:paraId="7DAA81C5" w14:textId="77777777" w:rsidTr="003A71DE">
        <w:trPr>
          <w:trHeight w:val="267"/>
          <w:jc w:val="center"/>
        </w:trPr>
        <w:tc>
          <w:tcPr>
            <w:tcW w:w="2265" w:type="dxa"/>
            <w:shd w:val="clear" w:color="auto" w:fill="auto"/>
          </w:tcPr>
          <w:p w14:paraId="21B3005B" w14:textId="77777777" w:rsidR="003A71DE" w:rsidRPr="001C0E1B" w:rsidRDefault="003A71DE" w:rsidP="003A71DE">
            <w:pPr>
              <w:pStyle w:val="TAH"/>
            </w:pPr>
            <w:r w:rsidRPr="001C0E1B">
              <w:t>Configuration</w:t>
            </w:r>
          </w:p>
        </w:tc>
        <w:tc>
          <w:tcPr>
            <w:tcW w:w="6905" w:type="dxa"/>
            <w:shd w:val="clear" w:color="auto" w:fill="auto"/>
          </w:tcPr>
          <w:p w14:paraId="6B2175A1" w14:textId="77777777" w:rsidR="003A71DE" w:rsidRPr="001C0E1B" w:rsidRDefault="003A71DE" w:rsidP="003A71DE">
            <w:pPr>
              <w:pStyle w:val="TAH"/>
            </w:pPr>
            <w:r w:rsidRPr="001C0E1B">
              <w:t>Description</w:t>
            </w:r>
          </w:p>
        </w:tc>
      </w:tr>
      <w:tr w:rsidR="003A71DE" w:rsidRPr="001C0E1B" w14:paraId="1B037F71" w14:textId="77777777" w:rsidTr="003A71DE">
        <w:trPr>
          <w:trHeight w:val="270"/>
          <w:jc w:val="center"/>
        </w:trPr>
        <w:tc>
          <w:tcPr>
            <w:tcW w:w="2265" w:type="dxa"/>
            <w:shd w:val="clear" w:color="auto" w:fill="auto"/>
          </w:tcPr>
          <w:p w14:paraId="11414C25" w14:textId="77777777" w:rsidR="003A71DE" w:rsidRPr="001C0E1B" w:rsidRDefault="003A71DE" w:rsidP="003A71DE">
            <w:pPr>
              <w:pStyle w:val="TAL"/>
            </w:pPr>
            <w:r w:rsidRPr="001C0E1B">
              <w:t>1</w:t>
            </w:r>
          </w:p>
        </w:tc>
        <w:tc>
          <w:tcPr>
            <w:tcW w:w="6905" w:type="dxa"/>
            <w:shd w:val="clear" w:color="auto" w:fill="auto"/>
          </w:tcPr>
          <w:p w14:paraId="1112D85F" w14:textId="77777777" w:rsidR="003A71DE" w:rsidRPr="001C0E1B" w:rsidRDefault="003A71DE" w:rsidP="003A71DE">
            <w:pPr>
              <w:pStyle w:val="TAL"/>
            </w:pPr>
            <w:r w:rsidRPr="001C0E1B">
              <w:t>TDD duplex mode, 120 kHz SSB SCS, 100 MHz bandwidth</w:t>
            </w:r>
          </w:p>
        </w:tc>
      </w:tr>
      <w:tr w:rsidR="003A71DE" w:rsidRPr="001C0E1B" w14:paraId="2050FB29" w14:textId="77777777" w:rsidTr="003A71DE">
        <w:trPr>
          <w:trHeight w:val="267"/>
          <w:jc w:val="center"/>
        </w:trPr>
        <w:tc>
          <w:tcPr>
            <w:tcW w:w="2265" w:type="dxa"/>
            <w:shd w:val="clear" w:color="auto" w:fill="auto"/>
          </w:tcPr>
          <w:p w14:paraId="703CDE1A" w14:textId="77777777" w:rsidR="003A71DE" w:rsidRPr="001C0E1B" w:rsidRDefault="003A71DE" w:rsidP="003A71DE">
            <w:pPr>
              <w:pStyle w:val="TAL"/>
            </w:pPr>
            <w:r w:rsidRPr="001C0E1B">
              <w:t>2</w:t>
            </w:r>
          </w:p>
        </w:tc>
        <w:tc>
          <w:tcPr>
            <w:tcW w:w="6905" w:type="dxa"/>
            <w:shd w:val="clear" w:color="auto" w:fill="auto"/>
          </w:tcPr>
          <w:p w14:paraId="6A21734B" w14:textId="77777777" w:rsidR="003A71DE" w:rsidRPr="001C0E1B" w:rsidRDefault="003A71DE" w:rsidP="003A71DE">
            <w:pPr>
              <w:pStyle w:val="TAL"/>
            </w:pPr>
            <w:r w:rsidRPr="001C0E1B">
              <w:t>TDD duplex mode, 240 kHz SSB SCS, 100 MHz bandwidth</w:t>
            </w:r>
          </w:p>
        </w:tc>
      </w:tr>
      <w:tr w:rsidR="003A71DE" w:rsidRPr="001C0E1B" w14:paraId="2C6BA7BA" w14:textId="77777777" w:rsidTr="003A71DE">
        <w:trPr>
          <w:trHeight w:val="267"/>
          <w:jc w:val="center"/>
        </w:trPr>
        <w:tc>
          <w:tcPr>
            <w:tcW w:w="9170" w:type="dxa"/>
            <w:gridSpan w:val="2"/>
            <w:shd w:val="clear" w:color="auto" w:fill="auto"/>
          </w:tcPr>
          <w:p w14:paraId="5DC0117C" w14:textId="77777777" w:rsidR="003A71DE" w:rsidRPr="001C0E1B" w:rsidRDefault="003A71DE" w:rsidP="003A71DE">
            <w:pPr>
              <w:pStyle w:val="TAN"/>
            </w:pPr>
            <w:r w:rsidRPr="001C0E1B">
              <w:t>Note:</w:t>
            </w:r>
            <w:r w:rsidRPr="001C0E1B">
              <w:tab/>
              <w:t xml:space="preserve">The </w:t>
            </w:r>
            <w:r>
              <w:t>IAB-MT</w:t>
            </w:r>
            <w:r w:rsidRPr="001C0E1B">
              <w:t xml:space="preserve"> is only required to pass in one of the supported test configurations in FR2</w:t>
            </w:r>
          </w:p>
        </w:tc>
      </w:tr>
    </w:tbl>
    <w:p w14:paraId="390E50B4" w14:textId="77777777" w:rsidR="003A71DE" w:rsidRPr="001C0E1B" w:rsidRDefault="003A71DE" w:rsidP="003A71DE">
      <w:pPr>
        <w:spacing w:before="120"/>
      </w:pPr>
    </w:p>
    <w:p w14:paraId="753AE3D3" w14:textId="77777777" w:rsidR="003A71DE" w:rsidRPr="001C0E1B" w:rsidRDefault="003A71DE" w:rsidP="00746C0D">
      <w:pPr>
        <w:pStyle w:val="TH"/>
      </w:pPr>
      <w:r w:rsidRPr="001C0E1B">
        <w:lastRenderedPageBreak/>
        <w:t xml:space="preserve">Table </w:t>
      </w:r>
      <w:r>
        <w:t>G.2.3.2.2</w:t>
      </w:r>
      <w:r w:rsidRPr="001C0E1B">
        <w:t xml:space="preserve">.1-2: General test parameters for FR2 PCell for SSB-based beam failure detection and link recovery testing </w:t>
      </w:r>
    </w:p>
    <w:tbl>
      <w:tblPr>
        <w:tblW w:w="42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1"/>
        <w:gridCol w:w="52"/>
        <w:gridCol w:w="93"/>
        <w:gridCol w:w="348"/>
        <w:gridCol w:w="933"/>
        <w:gridCol w:w="1057"/>
        <w:gridCol w:w="2492"/>
        <w:gridCol w:w="1724"/>
      </w:tblGrid>
      <w:tr w:rsidR="003A71DE" w:rsidRPr="001C0E1B" w14:paraId="48EDA80B" w14:textId="77777777" w:rsidTr="003A71DE">
        <w:trPr>
          <w:trHeight w:val="162"/>
          <w:jc w:val="center"/>
        </w:trPr>
        <w:tc>
          <w:tcPr>
            <w:tcW w:w="1761" w:type="pct"/>
            <w:gridSpan w:val="5"/>
            <w:vMerge w:val="restart"/>
            <w:shd w:val="clear" w:color="auto" w:fill="auto"/>
          </w:tcPr>
          <w:p w14:paraId="6F431F11" w14:textId="77777777" w:rsidR="003A71DE" w:rsidRPr="001C0E1B" w:rsidRDefault="003A71DE" w:rsidP="003A71DE">
            <w:pPr>
              <w:pStyle w:val="TAH"/>
              <w:rPr>
                <w:noProof/>
              </w:rPr>
            </w:pPr>
            <w:r w:rsidRPr="001C0E1B">
              <w:rPr>
                <w:noProof/>
              </w:rPr>
              <w:lastRenderedPageBreak/>
              <w:t>Parameter</w:t>
            </w:r>
          </w:p>
        </w:tc>
        <w:tc>
          <w:tcPr>
            <w:tcW w:w="649" w:type="pct"/>
            <w:vMerge w:val="restart"/>
            <w:shd w:val="clear" w:color="auto" w:fill="auto"/>
          </w:tcPr>
          <w:p w14:paraId="7D0BD478" w14:textId="77777777" w:rsidR="003A71DE" w:rsidRPr="001C0E1B" w:rsidRDefault="003A71DE" w:rsidP="003A71DE">
            <w:pPr>
              <w:pStyle w:val="TAH"/>
              <w:rPr>
                <w:noProof/>
              </w:rPr>
            </w:pPr>
            <w:r w:rsidRPr="001C0E1B">
              <w:rPr>
                <w:noProof/>
              </w:rPr>
              <w:t>Unit</w:t>
            </w:r>
          </w:p>
        </w:tc>
        <w:tc>
          <w:tcPr>
            <w:tcW w:w="1531" w:type="pct"/>
            <w:shd w:val="clear" w:color="auto" w:fill="auto"/>
          </w:tcPr>
          <w:p w14:paraId="49E30531" w14:textId="77777777" w:rsidR="003A71DE" w:rsidRPr="001C0E1B" w:rsidRDefault="003A71DE" w:rsidP="003A71DE">
            <w:pPr>
              <w:pStyle w:val="TAH"/>
              <w:rPr>
                <w:noProof/>
              </w:rPr>
            </w:pPr>
            <w:r w:rsidRPr="001C0E1B">
              <w:rPr>
                <w:noProof/>
              </w:rPr>
              <w:t>Value</w:t>
            </w:r>
          </w:p>
        </w:tc>
        <w:tc>
          <w:tcPr>
            <w:tcW w:w="1059" w:type="pct"/>
          </w:tcPr>
          <w:p w14:paraId="254AFD8C" w14:textId="77777777" w:rsidR="003A71DE" w:rsidRPr="001C0E1B" w:rsidRDefault="003A71DE" w:rsidP="003A71DE">
            <w:pPr>
              <w:pStyle w:val="TAH"/>
              <w:rPr>
                <w:noProof/>
              </w:rPr>
            </w:pPr>
            <w:r w:rsidRPr="001C0E1B">
              <w:rPr>
                <w:noProof/>
              </w:rPr>
              <w:t>Comment</w:t>
            </w:r>
          </w:p>
        </w:tc>
      </w:tr>
      <w:tr w:rsidR="003A71DE" w:rsidRPr="001C0E1B" w14:paraId="1FFC7FC3" w14:textId="77777777" w:rsidTr="003A71DE">
        <w:trPr>
          <w:trHeight w:val="287"/>
          <w:jc w:val="center"/>
        </w:trPr>
        <w:tc>
          <w:tcPr>
            <w:tcW w:w="1761" w:type="pct"/>
            <w:gridSpan w:val="5"/>
            <w:vMerge/>
            <w:shd w:val="clear" w:color="auto" w:fill="auto"/>
          </w:tcPr>
          <w:p w14:paraId="60549313" w14:textId="77777777" w:rsidR="003A71DE" w:rsidRPr="001C0E1B" w:rsidRDefault="003A71DE" w:rsidP="003A71DE">
            <w:pPr>
              <w:pStyle w:val="TAH"/>
              <w:rPr>
                <w:noProof/>
              </w:rPr>
            </w:pPr>
          </w:p>
        </w:tc>
        <w:tc>
          <w:tcPr>
            <w:tcW w:w="649" w:type="pct"/>
            <w:vMerge/>
            <w:shd w:val="clear" w:color="auto" w:fill="auto"/>
          </w:tcPr>
          <w:p w14:paraId="279B1B04" w14:textId="77777777" w:rsidR="003A71DE" w:rsidRPr="001C0E1B" w:rsidRDefault="003A71DE" w:rsidP="003A71DE">
            <w:pPr>
              <w:pStyle w:val="TAH"/>
              <w:rPr>
                <w:noProof/>
              </w:rPr>
            </w:pPr>
          </w:p>
        </w:tc>
        <w:tc>
          <w:tcPr>
            <w:tcW w:w="1531" w:type="pct"/>
            <w:shd w:val="clear" w:color="auto" w:fill="auto"/>
          </w:tcPr>
          <w:p w14:paraId="04683D80" w14:textId="77777777" w:rsidR="003A71DE" w:rsidRPr="001C0E1B" w:rsidRDefault="003A71DE" w:rsidP="003A71DE">
            <w:pPr>
              <w:pStyle w:val="TAH"/>
              <w:rPr>
                <w:noProof/>
              </w:rPr>
            </w:pPr>
            <w:r w:rsidRPr="001C0E1B">
              <w:rPr>
                <w:noProof/>
              </w:rPr>
              <w:t>Test 1</w:t>
            </w:r>
          </w:p>
        </w:tc>
        <w:tc>
          <w:tcPr>
            <w:tcW w:w="1059" w:type="pct"/>
          </w:tcPr>
          <w:p w14:paraId="2E0C1132" w14:textId="77777777" w:rsidR="003A71DE" w:rsidRPr="001C0E1B" w:rsidRDefault="003A71DE" w:rsidP="003A71DE">
            <w:pPr>
              <w:pStyle w:val="TAH"/>
              <w:rPr>
                <w:noProof/>
              </w:rPr>
            </w:pPr>
          </w:p>
        </w:tc>
      </w:tr>
      <w:tr w:rsidR="003A71DE" w:rsidRPr="001C0E1B" w14:paraId="478D4739" w14:textId="77777777" w:rsidTr="003A71DE">
        <w:trPr>
          <w:trHeight w:val="162"/>
          <w:jc w:val="center"/>
        </w:trPr>
        <w:tc>
          <w:tcPr>
            <w:tcW w:w="1761" w:type="pct"/>
            <w:gridSpan w:val="5"/>
            <w:shd w:val="clear" w:color="auto" w:fill="auto"/>
          </w:tcPr>
          <w:p w14:paraId="34BE1217" w14:textId="77777777" w:rsidR="003A71DE" w:rsidRPr="001C0E1B" w:rsidRDefault="003A71DE" w:rsidP="003A71DE">
            <w:pPr>
              <w:pStyle w:val="TAL"/>
              <w:rPr>
                <w:noProof/>
              </w:rPr>
            </w:pPr>
            <w:r w:rsidRPr="001C0E1B">
              <w:rPr>
                <w:noProof/>
              </w:rPr>
              <w:t xml:space="preserve">Active PCell </w:t>
            </w:r>
          </w:p>
        </w:tc>
        <w:tc>
          <w:tcPr>
            <w:tcW w:w="649" w:type="pct"/>
            <w:shd w:val="clear" w:color="auto" w:fill="auto"/>
          </w:tcPr>
          <w:p w14:paraId="7AC8C34F" w14:textId="77777777" w:rsidR="003A71DE" w:rsidRPr="001C0E1B" w:rsidRDefault="003A71DE" w:rsidP="003A71DE">
            <w:pPr>
              <w:pStyle w:val="TAC"/>
              <w:rPr>
                <w:noProof/>
              </w:rPr>
            </w:pPr>
          </w:p>
        </w:tc>
        <w:tc>
          <w:tcPr>
            <w:tcW w:w="1531" w:type="pct"/>
            <w:shd w:val="clear" w:color="auto" w:fill="auto"/>
          </w:tcPr>
          <w:p w14:paraId="02F9AE6E" w14:textId="77777777" w:rsidR="003A71DE" w:rsidRPr="001C0E1B" w:rsidRDefault="003A71DE" w:rsidP="003A71DE">
            <w:pPr>
              <w:pStyle w:val="TAC"/>
              <w:rPr>
                <w:noProof/>
              </w:rPr>
            </w:pPr>
            <w:r w:rsidRPr="001C0E1B">
              <w:rPr>
                <w:noProof/>
              </w:rPr>
              <w:t>Cell 1</w:t>
            </w:r>
          </w:p>
        </w:tc>
        <w:tc>
          <w:tcPr>
            <w:tcW w:w="1059" w:type="pct"/>
          </w:tcPr>
          <w:p w14:paraId="3FA567D6" w14:textId="77777777" w:rsidR="003A71DE" w:rsidRPr="001C0E1B" w:rsidRDefault="003A71DE" w:rsidP="003A71DE">
            <w:pPr>
              <w:pStyle w:val="TAC"/>
              <w:rPr>
                <w:noProof/>
              </w:rPr>
            </w:pPr>
          </w:p>
        </w:tc>
      </w:tr>
      <w:tr w:rsidR="003A71DE" w:rsidRPr="001C0E1B" w14:paraId="0E0F3B69" w14:textId="77777777" w:rsidTr="003A71DE">
        <w:trPr>
          <w:trHeight w:val="162"/>
          <w:jc w:val="center"/>
        </w:trPr>
        <w:tc>
          <w:tcPr>
            <w:tcW w:w="1761" w:type="pct"/>
            <w:gridSpan w:val="5"/>
            <w:shd w:val="clear" w:color="auto" w:fill="auto"/>
          </w:tcPr>
          <w:p w14:paraId="11F23552" w14:textId="77777777" w:rsidR="003A71DE" w:rsidRPr="001C0E1B" w:rsidRDefault="003A71DE" w:rsidP="003A71DE">
            <w:pPr>
              <w:pStyle w:val="TAL"/>
              <w:rPr>
                <w:noProof/>
              </w:rPr>
            </w:pPr>
            <w:r w:rsidRPr="001C0E1B">
              <w:rPr>
                <w:noProof/>
              </w:rPr>
              <w:t>RF Channel Number</w:t>
            </w:r>
          </w:p>
        </w:tc>
        <w:tc>
          <w:tcPr>
            <w:tcW w:w="649" w:type="pct"/>
            <w:shd w:val="clear" w:color="auto" w:fill="auto"/>
          </w:tcPr>
          <w:p w14:paraId="13F43593" w14:textId="77777777" w:rsidR="003A71DE" w:rsidRPr="001C0E1B" w:rsidRDefault="003A71DE" w:rsidP="003A71DE">
            <w:pPr>
              <w:pStyle w:val="TAC"/>
              <w:rPr>
                <w:noProof/>
              </w:rPr>
            </w:pPr>
          </w:p>
        </w:tc>
        <w:tc>
          <w:tcPr>
            <w:tcW w:w="1531" w:type="pct"/>
            <w:shd w:val="clear" w:color="auto" w:fill="auto"/>
          </w:tcPr>
          <w:p w14:paraId="1AB81761" w14:textId="77777777" w:rsidR="003A71DE" w:rsidRPr="001C0E1B" w:rsidRDefault="003A71DE" w:rsidP="003A71DE">
            <w:pPr>
              <w:pStyle w:val="TAC"/>
              <w:rPr>
                <w:noProof/>
              </w:rPr>
            </w:pPr>
            <w:r w:rsidRPr="001C0E1B">
              <w:rPr>
                <w:noProof/>
              </w:rPr>
              <w:t>1</w:t>
            </w:r>
          </w:p>
        </w:tc>
        <w:tc>
          <w:tcPr>
            <w:tcW w:w="1059" w:type="pct"/>
          </w:tcPr>
          <w:p w14:paraId="2365A8F3" w14:textId="77777777" w:rsidR="003A71DE" w:rsidRPr="001C0E1B" w:rsidRDefault="003A71DE" w:rsidP="003A71DE">
            <w:pPr>
              <w:pStyle w:val="TAC"/>
              <w:rPr>
                <w:noProof/>
              </w:rPr>
            </w:pPr>
          </w:p>
        </w:tc>
      </w:tr>
      <w:tr w:rsidR="003A71DE" w:rsidRPr="001C0E1B" w14:paraId="2A8B7F07" w14:textId="77777777" w:rsidTr="003A71DE">
        <w:trPr>
          <w:trHeight w:val="91"/>
          <w:jc w:val="center"/>
        </w:trPr>
        <w:tc>
          <w:tcPr>
            <w:tcW w:w="917" w:type="pct"/>
            <w:gridSpan w:val="2"/>
            <w:shd w:val="clear" w:color="auto" w:fill="auto"/>
          </w:tcPr>
          <w:p w14:paraId="7966E968" w14:textId="77777777" w:rsidR="003A71DE" w:rsidRPr="001C0E1B" w:rsidRDefault="003A71DE" w:rsidP="003A71DE">
            <w:pPr>
              <w:pStyle w:val="TAL"/>
              <w:rPr>
                <w:noProof/>
              </w:rPr>
            </w:pPr>
            <w:r w:rsidRPr="001C0E1B">
              <w:rPr>
                <w:noProof/>
              </w:rPr>
              <w:t>Duplex mode</w:t>
            </w:r>
          </w:p>
        </w:tc>
        <w:tc>
          <w:tcPr>
            <w:tcW w:w="844" w:type="pct"/>
            <w:gridSpan w:val="3"/>
            <w:shd w:val="clear" w:color="auto" w:fill="auto"/>
          </w:tcPr>
          <w:p w14:paraId="7C1538CF"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55314B1E" w14:textId="77777777" w:rsidR="003A71DE" w:rsidRPr="001C0E1B" w:rsidRDefault="003A71DE" w:rsidP="003A71DE">
            <w:pPr>
              <w:pStyle w:val="TAC"/>
              <w:rPr>
                <w:noProof/>
              </w:rPr>
            </w:pPr>
          </w:p>
        </w:tc>
        <w:tc>
          <w:tcPr>
            <w:tcW w:w="1531" w:type="pct"/>
            <w:shd w:val="clear" w:color="auto" w:fill="auto"/>
          </w:tcPr>
          <w:p w14:paraId="5F1BA9B8" w14:textId="77777777" w:rsidR="003A71DE" w:rsidRPr="001C0E1B" w:rsidRDefault="003A71DE" w:rsidP="003A71DE">
            <w:pPr>
              <w:pStyle w:val="TAC"/>
              <w:rPr>
                <w:noProof/>
              </w:rPr>
            </w:pPr>
            <w:r w:rsidRPr="001C0E1B">
              <w:rPr>
                <w:noProof/>
              </w:rPr>
              <w:t>TDD</w:t>
            </w:r>
          </w:p>
        </w:tc>
        <w:tc>
          <w:tcPr>
            <w:tcW w:w="1059" w:type="pct"/>
          </w:tcPr>
          <w:p w14:paraId="434AE04B" w14:textId="77777777" w:rsidR="003A71DE" w:rsidRPr="001C0E1B" w:rsidRDefault="003A71DE" w:rsidP="003A71DE">
            <w:pPr>
              <w:pStyle w:val="TAC"/>
              <w:rPr>
                <w:noProof/>
              </w:rPr>
            </w:pPr>
          </w:p>
        </w:tc>
      </w:tr>
      <w:tr w:rsidR="003A71DE" w:rsidRPr="001C0E1B" w14:paraId="013919C5" w14:textId="77777777" w:rsidTr="003A71DE">
        <w:trPr>
          <w:trHeight w:val="61"/>
          <w:jc w:val="center"/>
        </w:trPr>
        <w:tc>
          <w:tcPr>
            <w:tcW w:w="917" w:type="pct"/>
            <w:gridSpan w:val="2"/>
            <w:shd w:val="clear" w:color="auto" w:fill="auto"/>
          </w:tcPr>
          <w:p w14:paraId="44950AF5" w14:textId="77777777" w:rsidR="003A71DE" w:rsidRPr="001C0E1B" w:rsidRDefault="003A71DE" w:rsidP="003A71DE">
            <w:pPr>
              <w:pStyle w:val="TAL"/>
              <w:rPr>
                <w:noProof/>
              </w:rPr>
            </w:pPr>
            <w:r w:rsidRPr="001C0E1B">
              <w:rPr>
                <w:rFonts w:cs="Arial"/>
                <w:szCs w:val="16"/>
              </w:rPr>
              <w:t>BW</w:t>
            </w:r>
            <w:r w:rsidRPr="001C0E1B">
              <w:rPr>
                <w:rFonts w:cs="Arial"/>
                <w:szCs w:val="16"/>
                <w:vertAlign w:val="subscript"/>
              </w:rPr>
              <w:t>channel</w:t>
            </w:r>
          </w:p>
        </w:tc>
        <w:tc>
          <w:tcPr>
            <w:tcW w:w="844" w:type="pct"/>
            <w:gridSpan w:val="3"/>
            <w:shd w:val="clear" w:color="auto" w:fill="auto"/>
          </w:tcPr>
          <w:p w14:paraId="24D2238F"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2CAAF486" w14:textId="77777777" w:rsidR="003A71DE" w:rsidRPr="001C0E1B" w:rsidRDefault="003A71DE" w:rsidP="003A71DE">
            <w:pPr>
              <w:pStyle w:val="TAC"/>
              <w:rPr>
                <w:noProof/>
              </w:rPr>
            </w:pPr>
          </w:p>
        </w:tc>
        <w:tc>
          <w:tcPr>
            <w:tcW w:w="1531" w:type="pct"/>
          </w:tcPr>
          <w:p w14:paraId="35738EC6" w14:textId="77777777" w:rsidR="003A71DE" w:rsidRPr="001C0E1B" w:rsidRDefault="003A71DE" w:rsidP="003A71DE">
            <w:pPr>
              <w:pStyle w:val="TAC"/>
              <w:rPr>
                <w:noProof/>
              </w:rPr>
            </w:pPr>
            <w:r w:rsidRPr="001C0E1B">
              <w:rPr>
                <w:rFonts w:eastAsia="Malgun Gothic"/>
                <w:szCs w:val="18"/>
              </w:rPr>
              <w:t>10</w:t>
            </w:r>
            <w:r w:rsidRPr="001C0E1B">
              <w:rPr>
                <w:szCs w:val="18"/>
                <w:lang w:eastAsia="zh-CN"/>
              </w:rPr>
              <w:t>0</w:t>
            </w:r>
            <w:r w:rsidRPr="001C0E1B">
              <w:rPr>
                <w:rFonts w:eastAsia="Malgun Gothic"/>
                <w:szCs w:val="18"/>
              </w:rPr>
              <w:t xml:space="preserve">: </w:t>
            </w:r>
            <w:r w:rsidRPr="001C0E1B">
              <w:rPr>
                <w:rFonts w:eastAsia="Malgun Gothic" w:cs="Arial"/>
                <w:szCs w:val="18"/>
              </w:rPr>
              <w:t>N</w:t>
            </w:r>
            <w:r w:rsidRPr="001C0E1B">
              <w:rPr>
                <w:rFonts w:eastAsia="Malgun Gothic" w:cs="Arial"/>
                <w:szCs w:val="18"/>
                <w:vertAlign w:val="subscript"/>
              </w:rPr>
              <w:t>RB,c</w:t>
            </w:r>
            <w:r w:rsidRPr="001C0E1B">
              <w:rPr>
                <w:rFonts w:eastAsia="Malgun Gothic" w:cs="Arial"/>
                <w:szCs w:val="18"/>
              </w:rPr>
              <w:t xml:space="preserve"> = </w:t>
            </w:r>
            <w:r w:rsidRPr="001C0E1B">
              <w:rPr>
                <w:rFonts w:cs="Arial"/>
                <w:szCs w:val="18"/>
                <w:lang w:eastAsia="zh-CN"/>
              </w:rPr>
              <w:t>66</w:t>
            </w:r>
          </w:p>
        </w:tc>
        <w:tc>
          <w:tcPr>
            <w:tcW w:w="1059" w:type="pct"/>
          </w:tcPr>
          <w:p w14:paraId="2D391075" w14:textId="77777777" w:rsidR="003A71DE" w:rsidRPr="001C0E1B" w:rsidRDefault="003A71DE" w:rsidP="003A71DE">
            <w:pPr>
              <w:pStyle w:val="TAC"/>
              <w:rPr>
                <w:rFonts w:eastAsia="Malgun Gothic"/>
                <w:szCs w:val="18"/>
              </w:rPr>
            </w:pPr>
          </w:p>
        </w:tc>
      </w:tr>
      <w:tr w:rsidR="003A71DE" w:rsidRPr="001C0E1B" w14:paraId="2A7FC048" w14:textId="77777777" w:rsidTr="003A71DE">
        <w:trPr>
          <w:trHeight w:val="61"/>
          <w:jc w:val="center"/>
        </w:trPr>
        <w:tc>
          <w:tcPr>
            <w:tcW w:w="917" w:type="pct"/>
            <w:gridSpan w:val="2"/>
            <w:shd w:val="clear" w:color="auto" w:fill="auto"/>
            <w:vAlign w:val="center"/>
          </w:tcPr>
          <w:p w14:paraId="069E5610" w14:textId="77777777" w:rsidR="003A71DE" w:rsidRPr="001C0E1B" w:rsidRDefault="003A71DE" w:rsidP="003A71DE">
            <w:pPr>
              <w:pStyle w:val="TAL"/>
              <w:rPr>
                <w:noProof/>
              </w:rPr>
            </w:pPr>
            <w:r w:rsidRPr="001C0E1B">
              <w:rPr>
                <w:rFonts w:cs="Arial"/>
                <w:bCs/>
              </w:rPr>
              <w:t>DL initial BWP configuration</w:t>
            </w:r>
          </w:p>
        </w:tc>
        <w:tc>
          <w:tcPr>
            <w:tcW w:w="844" w:type="pct"/>
            <w:gridSpan w:val="3"/>
            <w:shd w:val="clear" w:color="auto" w:fill="auto"/>
          </w:tcPr>
          <w:p w14:paraId="03585FD6"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7061404E" w14:textId="77777777" w:rsidR="003A71DE" w:rsidRPr="001C0E1B" w:rsidRDefault="003A71DE" w:rsidP="003A71DE">
            <w:pPr>
              <w:pStyle w:val="TAC"/>
              <w:rPr>
                <w:noProof/>
              </w:rPr>
            </w:pPr>
          </w:p>
        </w:tc>
        <w:tc>
          <w:tcPr>
            <w:tcW w:w="1531" w:type="pct"/>
          </w:tcPr>
          <w:p w14:paraId="5DECEDAB" w14:textId="77777777" w:rsidR="003A71DE" w:rsidRPr="001C0E1B" w:rsidRDefault="003A71DE" w:rsidP="003A71DE">
            <w:pPr>
              <w:pStyle w:val="TAC"/>
              <w:rPr>
                <w:noProof/>
              </w:rPr>
            </w:pPr>
            <w:r w:rsidRPr="001C0E1B">
              <w:rPr>
                <w:noProof/>
              </w:rPr>
              <w:t>DLBWP.0.1</w:t>
            </w:r>
          </w:p>
        </w:tc>
        <w:tc>
          <w:tcPr>
            <w:tcW w:w="1059" w:type="pct"/>
          </w:tcPr>
          <w:p w14:paraId="65668EC3" w14:textId="77777777" w:rsidR="003A71DE" w:rsidRPr="001C0E1B" w:rsidRDefault="003A71DE" w:rsidP="003A71DE">
            <w:pPr>
              <w:pStyle w:val="TAC"/>
              <w:rPr>
                <w:noProof/>
              </w:rPr>
            </w:pPr>
          </w:p>
        </w:tc>
      </w:tr>
      <w:tr w:rsidR="003A71DE" w:rsidRPr="001C0E1B" w14:paraId="06B74E54" w14:textId="77777777" w:rsidTr="003A71DE">
        <w:trPr>
          <w:trHeight w:val="61"/>
          <w:jc w:val="center"/>
        </w:trPr>
        <w:tc>
          <w:tcPr>
            <w:tcW w:w="917" w:type="pct"/>
            <w:gridSpan w:val="2"/>
            <w:shd w:val="clear" w:color="auto" w:fill="auto"/>
            <w:vAlign w:val="center"/>
          </w:tcPr>
          <w:p w14:paraId="02006426" w14:textId="77777777" w:rsidR="003A71DE" w:rsidRPr="001C0E1B" w:rsidRDefault="003A71DE" w:rsidP="003A71DE">
            <w:pPr>
              <w:pStyle w:val="TAL"/>
              <w:rPr>
                <w:noProof/>
              </w:rPr>
            </w:pPr>
            <w:r w:rsidRPr="001C0E1B">
              <w:rPr>
                <w:rFonts w:cs="Arial"/>
                <w:bCs/>
              </w:rPr>
              <w:t>DL dedicated BWP configuration</w:t>
            </w:r>
          </w:p>
        </w:tc>
        <w:tc>
          <w:tcPr>
            <w:tcW w:w="844" w:type="pct"/>
            <w:gridSpan w:val="3"/>
            <w:shd w:val="clear" w:color="auto" w:fill="auto"/>
          </w:tcPr>
          <w:p w14:paraId="640EBF0C"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24C426E0" w14:textId="77777777" w:rsidR="003A71DE" w:rsidRPr="001C0E1B" w:rsidRDefault="003A71DE" w:rsidP="003A71DE">
            <w:pPr>
              <w:pStyle w:val="TAC"/>
              <w:rPr>
                <w:noProof/>
              </w:rPr>
            </w:pPr>
          </w:p>
        </w:tc>
        <w:tc>
          <w:tcPr>
            <w:tcW w:w="1531" w:type="pct"/>
          </w:tcPr>
          <w:p w14:paraId="14141EFE" w14:textId="77777777" w:rsidR="003A71DE" w:rsidRPr="001C0E1B" w:rsidRDefault="003A71DE" w:rsidP="003A71DE">
            <w:pPr>
              <w:pStyle w:val="TAC"/>
              <w:rPr>
                <w:noProof/>
              </w:rPr>
            </w:pPr>
            <w:r w:rsidRPr="001C0E1B">
              <w:rPr>
                <w:noProof/>
              </w:rPr>
              <w:t>DLBWP.1.1</w:t>
            </w:r>
          </w:p>
        </w:tc>
        <w:tc>
          <w:tcPr>
            <w:tcW w:w="1059" w:type="pct"/>
          </w:tcPr>
          <w:p w14:paraId="62F5B1EA" w14:textId="77777777" w:rsidR="003A71DE" w:rsidRPr="001C0E1B" w:rsidRDefault="003A71DE" w:rsidP="003A71DE">
            <w:pPr>
              <w:pStyle w:val="TAC"/>
              <w:rPr>
                <w:noProof/>
              </w:rPr>
            </w:pPr>
          </w:p>
        </w:tc>
      </w:tr>
      <w:tr w:rsidR="003A71DE" w:rsidRPr="001C0E1B" w14:paraId="60987312" w14:textId="77777777" w:rsidTr="003A71DE">
        <w:trPr>
          <w:trHeight w:val="61"/>
          <w:jc w:val="center"/>
        </w:trPr>
        <w:tc>
          <w:tcPr>
            <w:tcW w:w="917" w:type="pct"/>
            <w:gridSpan w:val="2"/>
            <w:shd w:val="clear" w:color="auto" w:fill="auto"/>
            <w:vAlign w:val="center"/>
          </w:tcPr>
          <w:p w14:paraId="4144AAB5" w14:textId="77777777" w:rsidR="003A71DE" w:rsidRPr="001C0E1B" w:rsidRDefault="003A71DE" w:rsidP="003A71DE">
            <w:pPr>
              <w:pStyle w:val="TAL"/>
              <w:rPr>
                <w:rFonts w:cs="Arial"/>
                <w:bCs/>
              </w:rPr>
            </w:pPr>
            <w:r w:rsidRPr="001C0E1B">
              <w:rPr>
                <w:rFonts w:cs="Arial"/>
                <w:bCs/>
              </w:rPr>
              <w:t>UL initial BWP configuration</w:t>
            </w:r>
          </w:p>
        </w:tc>
        <w:tc>
          <w:tcPr>
            <w:tcW w:w="844" w:type="pct"/>
            <w:gridSpan w:val="3"/>
            <w:shd w:val="clear" w:color="auto" w:fill="auto"/>
          </w:tcPr>
          <w:p w14:paraId="0255B275"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2CABD7AB" w14:textId="77777777" w:rsidR="003A71DE" w:rsidRPr="001C0E1B" w:rsidRDefault="003A71DE" w:rsidP="003A71DE">
            <w:pPr>
              <w:pStyle w:val="TAC"/>
              <w:rPr>
                <w:noProof/>
              </w:rPr>
            </w:pPr>
          </w:p>
        </w:tc>
        <w:tc>
          <w:tcPr>
            <w:tcW w:w="1531" w:type="pct"/>
          </w:tcPr>
          <w:p w14:paraId="577D988F" w14:textId="77777777" w:rsidR="003A71DE" w:rsidRPr="001C0E1B" w:rsidRDefault="003A71DE" w:rsidP="003A71DE">
            <w:pPr>
              <w:pStyle w:val="TAC"/>
              <w:rPr>
                <w:noProof/>
              </w:rPr>
            </w:pPr>
            <w:r w:rsidRPr="001C0E1B">
              <w:rPr>
                <w:lang w:eastAsia="zh-CN"/>
              </w:rPr>
              <w:t>ULBWP.0.1</w:t>
            </w:r>
          </w:p>
        </w:tc>
        <w:tc>
          <w:tcPr>
            <w:tcW w:w="1059" w:type="pct"/>
          </w:tcPr>
          <w:p w14:paraId="085283D7" w14:textId="77777777" w:rsidR="003A71DE" w:rsidRPr="001C0E1B" w:rsidRDefault="003A71DE" w:rsidP="003A71DE">
            <w:pPr>
              <w:pStyle w:val="TAC"/>
              <w:rPr>
                <w:lang w:eastAsia="zh-CN"/>
              </w:rPr>
            </w:pPr>
          </w:p>
        </w:tc>
      </w:tr>
      <w:tr w:rsidR="003A71DE" w:rsidRPr="001C0E1B" w14:paraId="00B8E2B8" w14:textId="77777777" w:rsidTr="003A71DE">
        <w:trPr>
          <w:trHeight w:val="61"/>
          <w:jc w:val="center"/>
        </w:trPr>
        <w:tc>
          <w:tcPr>
            <w:tcW w:w="917" w:type="pct"/>
            <w:gridSpan w:val="2"/>
            <w:shd w:val="clear" w:color="auto" w:fill="auto"/>
            <w:vAlign w:val="center"/>
          </w:tcPr>
          <w:p w14:paraId="53835A92" w14:textId="77777777" w:rsidR="003A71DE" w:rsidRPr="001C0E1B" w:rsidRDefault="003A71DE" w:rsidP="003A71DE">
            <w:pPr>
              <w:pStyle w:val="TAL"/>
              <w:rPr>
                <w:noProof/>
              </w:rPr>
            </w:pPr>
            <w:r w:rsidRPr="001C0E1B">
              <w:rPr>
                <w:rFonts w:cs="Arial"/>
                <w:bCs/>
              </w:rPr>
              <w:t>UL dedicated BWP configuration</w:t>
            </w:r>
          </w:p>
        </w:tc>
        <w:tc>
          <w:tcPr>
            <w:tcW w:w="844" w:type="pct"/>
            <w:gridSpan w:val="3"/>
            <w:shd w:val="clear" w:color="auto" w:fill="auto"/>
          </w:tcPr>
          <w:p w14:paraId="7136757E"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51465689" w14:textId="77777777" w:rsidR="003A71DE" w:rsidRPr="001C0E1B" w:rsidRDefault="003A71DE" w:rsidP="003A71DE">
            <w:pPr>
              <w:pStyle w:val="TAC"/>
              <w:rPr>
                <w:noProof/>
              </w:rPr>
            </w:pPr>
          </w:p>
        </w:tc>
        <w:tc>
          <w:tcPr>
            <w:tcW w:w="1531" w:type="pct"/>
          </w:tcPr>
          <w:p w14:paraId="1272B80A" w14:textId="77777777" w:rsidR="003A71DE" w:rsidRPr="001C0E1B" w:rsidRDefault="003A71DE" w:rsidP="003A71DE">
            <w:pPr>
              <w:pStyle w:val="TAC"/>
              <w:rPr>
                <w:noProof/>
              </w:rPr>
            </w:pPr>
            <w:r w:rsidRPr="001C0E1B">
              <w:rPr>
                <w:lang w:eastAsia="zh-CN"/>
              </w:rPr>
              <w:t>ULBWP.1.1</w:t>
            </w:r>
          </w:p>
        </w:tc>
        <w:tc>
          <w:tcPr>
            <w:tcW w:w="1059" w:type="pct"/>
          </w:tcPr>
          <w:p w14:paraId="560B0B2F" w14:textId="77777777" w:rsidR="003A71DE" w:rsidRPr="001C0E1B" w:rsidRDefault="003A71DE" w:rsidP="003A71DE">
            <w:pPr>
              <w:pStyle w:val="TAC"/>
              <w:rPr>
                <w:lang w:eastAsia="zh-CN"/>
              </w:rPr>
            </w:pPr>
          </w:p>
        </w:tc>
      </w:tr>
      <w:tr w:rsidR="003A71DE" w:rsidRPr="001C0E1B" w14:paraId="1EF156A7" w14:textId="77777777" w:rsidTr="003A71DE">
        <w:trPr>
          <w:trHeight w:val="90"/>
          <w:jc w:val="center"/>
        </w:trPr>
        <w:tc>
          <w:tcPr>
            <w:tcW w:w="917" w:type="pct"/>
            <w:gridSpan w:val="2"/>
            <w:tcBorders>
              <w:bottom w:val="single" w:sz="4" w:space="0" w:color="auto"/>
            </w:tcBorders>
            <w:shd w:val="clear" w:color="auto" w:fill="auto"/>
          </w:tcPr>
          <w:p w14:paraId="4FDE5BC0" w14:textId="77777777" w:rsidR="003A71DE" w:rsidRPr="001C0E1B" w:rsidRDefault="003A71DE" w:rsidP="003A71DE">
            <w:pPr>
              <w:pStyle w:val="TAL"/>
              <w:rPr>
                <w:noProof/>
              </w:rPr>
            </w:pPr>
            <w:r w:rsidRPr="001C0E1B">
              <w:rPr>
                <w:noProof/>
              </w:rPr>
              <w:t>CORESET Reference Channel</w:t>
            </w:r>
          </w:p>
        </w:tc>
        <w:tc>
          <w:tcPr>
            <w:tcW w:w="844" w:type="pct"/>
            <w:gridSpan w:val="3"/>
            <w:shd w:val="clear" w:color="auto" w:fill="auto"/>
          </w:tcPr>
          <w:p w14:paraId="2072A35A"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68F18763" w14:textId="77777777" w:rsidR="003A71DE" w:rsidRPr="001C0E1B" w:rsidRDefault="003A71DE" w:rsidP="003A71DE">
            <w:pPr>
              <w:pStyle w:val="TAC"/>
              <w:rPr>
                <w:noProof/>
              </w:rPr>
            </w:pPr>
          </w:p>
        </w:tc>
        <w:tc>
          <w:tcPr>
            <w:tcW w:w="1531" w:type="pct"/>
            <w:shd w:val="clear" w:color="auto" w:fill="auto"/>
          </w:tcPr>
          <w:p w14:paraId="14E3DD0D" w14:textId="77777777" w:rsidR="003A71DE" w:rsidRPr="001C0E1B" w:rsidRDefault="003A71DE" w:rsidP="003A71DE">
            <w:pPr>
              <w:pStyle w:val="TAC"/>
              <w:rPr>
                <w:noProof/>
              </w:rPr>
            </w:pPr>
            <w:r w:rsidRPr="001C0E1B">
              <w:rPr>
                <w:noProof/>
              </w:rPr>
              <w:t>CR. 3.1 TDD</w:t>
            </w:r>
          </w:p>
        </w:tc>
        <w:tc>
          <w:tcPr>
            <w:tcW w:w="1059" w:type="pct"/>
          </w:tcPr>
          <w:p w14:paraId="04A3E769" w14:textId="77777777" w:rsidR="003A71DE" w:rsidRPr="001C0E1B" w:rsidRDefault="003A71DE" w:rsidP="003A71DE">
            <w:pPr>
              <w:pStyle w:val="TAC"/>
              <w:rPr>
                <w:noProof/>
              </w:rPr>
            </w:pPr>
          </w:p>
        </w:tc>
      </w:tr>
      <w:tr w:rsidR="003A71DE" w:rsidRPr="001C0E1B" w14:paraId="185B0955" w14:textId="77777777" w:rsidTr="003A71DE">
        <w:trPr>
          <w:trHeight w:val="90"/>
          <w:jc w:val="center"/>
        </w:trPr>
        <w:tc>
          <w:tcPr>
            <w:tcW w:w="917" w:type="pct"/>
            <w:gridSpan w:val="2"/>
            <w:tcBorders>
              <w:top w:val="single" w:sz="4" w:space="0" w:color="auto"/>
              <w:left w:val="single" w:sz="4" w:space="0" w:color="auto"/>
              <w:bottom w:val="nil"/>
              <w:right w:val="single" w:sz="4" w:space="0" w:color="auto"/>
            </w:tcBorders>
            <w:shd w:val="clear" w:color="auto" w:fill="auto"/>
          </w:tcPr>
          <w:p w14:paraId="2B95FE4A" w14:textId="77777777" w:rsidR="003A71DE" w:rsidRPr="001C0E1B" w:rsidRDefault="003A71DE" w:rsidP="003A71DE">
            <w:pPr>
              <w:pStyle w:val="TAL"/>
              <w:rPr>
                <w:noProof/>
              </w:rPr>
            </w:pPr>
            <w:r w:rsidRPr="001C0E1B">
              <w:rPr>
                <w:noProof/>
              </w:rPr>
              <w:t>SSB Configuration</w:t>
            </w:r>
          </w:p>
        </w:tc>
        <w:tc>
          <w:tcPr>
            <w:tcW w:w="844" w:type="pct"/>
            <w:gridSpan w:val="3"/>
            <w:tcBorders>
              <w:top w:val="single" w:sz="4" w:space="0" w:color="auto"/>
              <w:left w:val="single" w:sz="4" w:space="0" w:color="auto"/>
              <w:bottom w:val="single" w:sz="4" w:space="0" w:color="auto"/>
              <w:right w:val="single" w:sz="4" w:space="0" w:color="auto"/>
            </w:tcBorders>
            <w:shd w:val="clear" w:color="auto" w:fill="auto"/>
          </w:tcPr>
          <w:p w14:paraId="34492A82" w14:textId="77777777" w:rsidR="003A71DE" w:rsidRPr="001C0E1B" w:rsidRDefault="003A71DE" w:rsidP="003A71DE">
            <w:pPr>
              <w:pStyle w:val="TAL"/>
              <w:rPr>
                <w:noProof/>
              </w:rPr>
            </w:pPr>
            <w:r w:rsidRPr="001C0E1B">
              <w:rPr>
                <w:noProof/>
              </w:rPr>
              <w:t>Config 1</w:t>
            </w:r>
          </w:p>
        </w:tc>
        <w:tc>
          <w:tcPr>
            <w:tcW w:w="649" w:type="pct"/>
            <w:tcBorders>
              <w:top w:val="single" w:sz="4" w:space="0" w:color="auto"/>
              <w:left w:val="single" w:sz="4" w:space="0" w:color="auto"/>
              <w:bottom w:val="single" w:sz="4" w:space="0" w:color="auto"/>
              <w:right w:val="single" w:sz="4" w:space="0" w:color="auto"/>
            </w:tcBorders>
            <w:shd w:val="clear" w:color="auto" w:fill="auto"/>
          </w:tcPr>
          <w:p w14:paraId="75F09DF5" w14:textId="77777777" w:rsidR="003A71DE" w:rsidRPr="001C0E1B" w:rsidRDefault="003A71DE" w:rsidP="003A71DE">
            <w:pPr>
              <w:pStyle w:val="TAC"/>
              <w:rPr>
                <w:noProof/>
              </w:rPr>
            </w:pPr>
          </w:p>
        </w:tc>
        <w:tc>
          <w:tcPr>
            <w:tcW w:w="1531" w:type="pct"/>
            <w:tcBorders>
              <w:top w:val="single" w:sz="4" w:space="0" w:color="auto"/>
              <w:left w:val="single" w:sz="4" w:space="0" w:color="auto"/>
              <w:bottom w:val="single" w:sz="4" w:space="0" w:color="auto"/>
              <w:right w:val="single" w:sz="4" w:space="0" w:color="auto"/>
            </w:tcBorders>
            <w:shd w:val="clear" w:color="auto" w:fill="auto"/>
          </w:tcPr>
          <w:p w14:paraId="2AE8ACF4" w14:textId="77777777" w:rsidR="003A71DE" w:rsidRPr="001C0E1B" w:rsidRDefault="003A71DE" w:rsidP="003A71DE">
            <w:pPr>
              <w:pStyle w:val="TAC"/>
              <w:rPr>
                <w:noProof/>
              </w:rPr>
            </w:pPr>
            <w:r w:rsidRPr="001C0E1B">
              <w:rPr>
                <w:noProof/>
              </w:rPr>
              <w:t>SSB.1 FR2</w:t>
            </w:r>
          </w:p>
        </w:tc>
        <w:tc>
          <w:tcPr>
            <w:tcW w:w="1059" w:type="pct"/>
            <w:tcBorders>
              <w:top w:val="single" w:sz="4" w:space="0" w:color="auto"/>
              <w:left w:val="single" w:sz="4" w:space="0" w:color="auto"/>
              <w:bottom w:val="single" w:sz="4" w:space="0" w:color="auto"/>
              <w:right w:val="single" w:sz="4" w:space="0" w:color="auto"/>
            </w:tcBorders>
          </w:tcPr>
          <w:p w14:paraId="3B3FC450" w14:textId="77777777" w:rsidR="003A71DE" w:rsidRPr="001C0E1B" w:rsidRDefault="003A71DE" w:rsidP="003A71DE">
            <w:pPr>
              <w:pStyle w:val="TAC"/>
              <w:rPr>
                <w:noProof/>
              </w:rPr>
            </w:pPr>
          </w:p>
        </w:tc>
      </w:tr>
      <w:tr w:rsidR="003A71DE" w:rsidRPr="001C0E1B" w14:paraId="2AE7C54E" w14:textId="77777777" w:rsidTr="003A71DE">
        <w:trPr>
          <w:trHeight w:val="90"/>
          <w:jc w:val="center"/>
        </w:trPr>
        <w:tc>
          <w:tcPr>
            <w:tcW w:w="917" w:type="pct"/>
            <w:gridSpan w:val="2"/>
            <w:tcBorders>
              <w:top w:val="nil"/>
              <w:left w:val="single" w:sz="4" w:space="0" w:color="auto"/>
              <w:bottom w:val="single" w:sz="4" w:space="0" w:color="auto"/>
              <w:right w:val="single" w:sz="4" w:space="0" w:color="auto"/>
            </w:tcBorders>
            <w:shd w:val="clear" w:color="auto" w:fill="auto"/>
          </w:tcPr>
          <w:p w14:paraId="7781B44D" w14:textId="77777777" w:rsidR="003A71DE" w:rsidRPr="001C0E1B" w:rsidRDefault="003A71DE" w:rsidP="003A71DE">
            <w:pPr>
              <w:pStyle w:val="TAL"/>
              <w:rPr>
                <w:noProof/>
              </w:rPr>
            </w:pPr>
          </w:p>
        </w:tc>
        <w:tc>
          <w:tcPr>
            <w:tcW w:w="844" w:type="pct"/>
            <w:gridSpan w:val="3"/>
            <w:tcBorders>
              <w:top w:val="single" w:sz="4" w:space="0" w:color="auto"/>
              <w:left w:val="single" w:sz="4" w:space="0" w:color="auto"/>
              <w:bottom w:val="single" w:sz="4" w:space="0" w:color="auto"/>
              <w:right w:val="single" w:sz="4" w:space="0" w:color="auto"/>
            </w:tcBorders>
            <w:shd w:val="clear" w:color="auto" w:fill="auto"/>
          </w:tcPr>
          <w:p w14:paraId="45EEF78A" w14:textId="77777777" w:rsidR="003A71DE" w:rsidRPr="001C0E1B" w:rsidRDefault="003A71DE" w:rsidP="003A71DE">
            <w:pPr>
              <w:pStyle w:val="TAL"/>
              <w:rPr>
                <w:noProof/>
              </w:rPr>
            </w:pPr>
            <w:r w:rsidRPr="001C0E1B">
              <w:rPr>
                <w:noProof/>
                <w:lang w:eastAsia="zh-CN"/>
              </w:rPr>
              <w:t>Config 2</w:t>
            </w:r>
          </w:p>
        </w:tc>
        <w:tc>
          <w:tcPr>
            <w:tcW w:w="649" w:type="pct"/>
            <w:tcBorders>
              <w:top w:val="single" w:sz="4" w:space="0" w:color="auto"/>
              <w:left w:val="single" w:sz="4" w:space="0" w:color="auto"/>
              <w:bottom w:val="single" w:sz="4" w:space="0" w:color="auto"/>
              <w:right w:val="single" w:sz="4" w:space="0" w:color="auto"/>
            </w:tcBorders>
            <w:shd w:val="clear" w:color="auto" w:fill="auto"/>
          </w:tcPr>
          <w:p w14:paraId="7B9B55DA" w14:textId="77777777" w:rsidR="003A71DE" w:rsidRPr="001C0E1B" w:rsidRDefault="003A71DE" w:rsidP="003A71DE">
            <w:pPr>
              <w:pStyle w:val="TAC"/>
              <w:rPr>
                <w:noProof/>
              </w:rPr>
            </w:pPr>
          </w:p>
        </w:tc>
        <w:tc>
          <w:tcPr>
            <w:tcW w:w="1531" w:type="pct"/>
            <w:tcBorders>
              <w:top w:val="single" w:sz="4" w:space="0" w:color="auto"/>
              <w:left w:val="single" w:sz="4" w:space="0" w:color="auto"/>
              <w:bottom w:val="single" w:sz="4" w:space="0" w:color="auto"/>
              <w:right w:val="single" w:sz="4" w:space="0" w:color="auto"/>
            </w:tcBorders>
            <w:shd w:val="clear" w:color="auto" w:fill="auto"/>
          </w:tcPr>
          <w:p w14:paraId="11397B8B" w14:textId="77777777" w:rsidR="003A71DE" w:rsidRPr="001C0E1B" w:rsidRDefault="003A71DE" w:rsidP="003A71DE">
            <w:pPr>
              <w:pStyle w:val="TAC"/>
              <w:rPr>
                <w:noProof/>
              </w:rPr>
            </w:pPr>
            <w:r w:rsidRPr="001C0E1B">
              <w:rPr>
                <w:noProof/>
                <w:lang w:eastAsia="zh-CN"/>
              </w:rPr>
              <w:t>SSB.2 FR2</w:t>
            </w:r>
          </w:p>
        </w:tc>
        <w:tc>
          <w:tcPr>
            <w:tcW w:w="1059" w:type="pct"/>
            <w:tcBorders>
              <w:top w:val="single" w:sz="4" w:space="0" w:color="auto"/>
              <w:left w:val="single" w:sz="4" w:space="0" w:color="auto"/>
              <w:bottom w:val="single" w:sz="4" w:space="0" w:color="auto"/>
              <w:right w:val="single" w:sz="4" w:space="0" w:color="auto"/>
            </w:tcBorders>
          </w:tcPr>
          <w:p w14:paraId="654533F9" w14:textId="77777777" w:rsidR="003A71DE" w:rsidRPr="001C0E1B" w:rsidRDefault="003A71DE" w:rsidP="003A71DE">
            <w:pPr>
              <w:pStyle w:val="TAC"/>
              <w:rPr>
                <w:noProof/>
              </w:rPr>
            </w:pPr>
          </w:p>
        </w:tc>
      </w:tr>
      <w:tr w:rsidR="003A71DE" w:rsidRPr="001C0E1B" w14:paraId="27A181E9" w14:textId="77777777" w:rsidTr="003A71DE">
        <w:trPr>
          <w:trHeight w:val="90"/>
          <w:jc w:val="center"/>
        </w:trPr>
        <w:tc>
          <w:tcPr>
            <w:tcW w:w="917" w:type="pct"/>
            <w:gridSpan w:val="2"/>
            <w:tcBorders>
              <w:top w:val="single" w:sz="4" w:space="0" w:color="auto"/>
              <w:left w:val="single" w:sz="4" w:space="0" w:color="auto"/>
              <w:bottom w:val="single" w:sz="4" w:space="0" w:color="auto"/>
              <w:right w:val="single" w:sz="4" w:space="0" w:color="auto"/>
            </w:tcBorders>
            <w:shd w:val="clear" w:color="auto" w:fill="auto"/>
          </w:tcPr>
          <w:p w14:paraId="1888FFC1" w14:textId="77777777" w:rsidR="003A71DE" w:rsidRPr="001C0E1B" w:rsidRDefault="003A71DE" w:rsidP="003A71DE">
            <w:pPr>
              <w:pStyle w:val="TAL"/>
              <w:rPr>
                <w:noProof/>
              </w:rPr>
            </w:pPr>
            <w:r w:rsidRPr="001C0E1B">
              <w:rPr>
                <w:noProof/>
              </w:rPr>
              <w:t>SMTC Configuration</w:t>
            </w:r>
          </w:p>
        </w:tc>
        <w:tc>
          <w:tcPr>
            <w:tcW w:w="844" w:type="pct"/>
            <w:gridSpan w:val="3"/>
            <w:tcBorders>
              <w:top w:val="single" w:sz="4" w:space="0" w:color="auto"/>
              <w:left w:val="single" w:sz="4" w:space="0" w:color="auto"/>
              <w:bottom w:val="single" w:sz="4" w:space="0" w:color="auto"/>
              <w:right w:val="single" w:sz="4" w:space="0" w:color="auto"/>
            </w:tcBorders>
            <w:shd w:val="clear" w:color="auto" w:fill="auto"/>
          </w:tcPr>
          <w:p w14:paraId="5AC84E5A" w14:textId="77777777" w:rsidR="003A71DE" w:rsidRPr="001C0E1B" w:rsidRDefault="003A71DE" w:rsidP="003A71DE">
            <w:pPr>
              <w:pStyle w:val="TAL"/>
              <w:rPr>
                <w:noProof/>
              </w:rPr>
            </w:pPr>
            <w:r w:rsidRPr="001C0E1B">
              <w:rPr>
                <w:noProof/>
              </w:rPr>
              <w:t>Config 1, 2</w:t>
            </w:r>
          </w:p>
        </w:tc>
        <w:tc>
          <w:tcPr>
            <w:tcW w:w="649" w:type="pct"/>
            <w:tcBorders>
              <w:top w:val="single" w:sz="4" w:space="0" w:color="auto"/>
              <w:left w:val="single" w:sz="4" w:space="0" w:color="auto"/>
              <w:bottom w:val="single" w:sz="4" w:space="0" w:color="auto"/>
              <w:right w:val="single" w:sz="4" w:space="0" w:color="auto"/>
            </w:tcBorders>
            <w:shd w:val="clear" w:color="auto" w:fill="auto"/>
          </w:tcPr>
          <w:p w14:paraId="5172B839" w14:textId="77777777" w:rsidR="003A71DE" w:rsidRPr="001C0E1B" w:rsidRDefault="003A71DE" w:rsidP="003A71DE">
            <w:pPr>
              <w:pStyle w:val="TAC"/>
              <w:rPr>
                <w:noProof/>
              </w:rPr>
            </w:pPr>
          </w:p>
        </w:tc>
        <w:tc>
          <w:tcPr>
            <w:tcW w:w="1531" w:type="pct"/>
            <w:tcBorders>
              <w:top w:val="single" w:sz="4" w:space="0" w:color="auto"/>
              <w:left w:val="single" w:sz="4" w:space="0" w:color="auto"/>
              <w:bottom w:val="single" w:sz="4" w:space="0" w:color="auto"/>
              <w:right w:val="single" w:sz="4" w:space="0" w:color="auto"/>
            </w:tcBorders>
            <w:shd w:val="clear" w:color="auto" w:fill="auto"/>
          </w:tcPr>
          <w:p w14:paraId="39124144" w14:textId="77777777" w:rsidR="003A71DE" w:rsidRPr="001C0E1B" w:rsidRDefault="003A71DE" w:rsidP="003A71DE">
            <w:pPr>
              <w:pStyle w:val="TAC"/>
              <w:rPr>
                <w:noProof/>
              </w:rPr>
            </w:pPr>
            <w:r w:rsidRPr="001C0E1B">
              <w:rPr>
                <w:noProof/>
              </w:rPr>
              <w:t>SMTC.3</w:t>
            </w:r>
          </w:p>
        </w:tc>
        <w:tc>
          <w:tcPr>
            <w:tcW w:w="1059" w:type="pct"/>
            <w:tcBorders>
              <w:top w:val="single" w:sz="4" w:space="0" w:color="auto"/>
              <w:left w:val="single" w:sz="4" w:space="0" w:color="auto"/>
              <w:bottom w:val="single" w:sz="4" w:space="0" w:color="auto"/>
              <w:right w:val="single" w:sz="4" w:space="0" w:color="auto"/>
            </w:tcBorders>
          </w:tcPr>
          <w:p w14:paraId="0C5EB063" w14:textId="77777777" w:rsidR="003A71DE" w:rsidRPr="001C0E1B" w:rsidRDefault="003A71DE" w:rsidP="003A71DE">
            <w:pPr>
              <w:pStyle w:val="TAC"/>
              <w:rPr>
                <w:noProof/>
              </w:rPr>
            </w:pPr>
          </w:p>
        </w:tc>
      </w:tr>
      <w:tr w:rsidR="003A71DE" w:rsidRPr="001C0E1B" w14:paraId="3BBA2624" w14:textId="77777777" w:rsidTr="003A71DE">
        <w:trPr>
          <w:trHeight w:val="90"/>
          <w:jc w:val="center"/>
        </w:trPr>
        <w:tc>
          <w:tcPr>
            <w:tcW w:w="917" w:type="pct"/>
            <w:gridSpan w:val="2"/>
            <w:tcBorders>
              <w:top w:val="single" w:sz="4" w:space="0" w:color="auto"/>
              <w:left w:val="single" w:sz="4" w:space="0" w:color="auto"/>
              <w:bottom w:val="single" w:sz="4" w:space="0" w:color="auto"/>
              <w:right w:val="single" w:sz="4" w:space="0" w:color="auto"/>
            </w:tcBorders>
            <w:shd w:val="clear" w:color="auto" w:fill="auto"/>
          </w:tcPr>
          <w:p w14:paraId="7A01871B" w14:textId="77777777" w:rsidR="003A71DE" w:rsidRPr="001C0E1B" w:rsidRDefault="003A71DE" w:rsidP="003A71DE">
            <w:pPr>
              <w:pStyle w:val="TAL"/>
              <w:rPr>
                <w:noProof/>
              </w:rPr>
            </w:pPr>
            <w:r w:rsidRPr="001C0E1B">
              <w:rPr>
                <w:noProof/>
              </w:rPr>
              <w:t>PDSCH/PDCCH subcarrier spacing</w:t>
            </w:r>
          </w:p>
        </w:tc>
        <w:tc>
          <w:tcPr>
            <w:tcW w:w="844" w:type="pct"/>
            <w:gridSpan w:val="3"/>
            <w:tcBorders>
              <w:top w:val="single" w:sz="4" w:space="0" w:color="auto"/>
              <w:left w:val="single" w:sz="4" w:space="0" w:color="auto"/>
              <w:bottom w:val="single" w:sz="4" w:space="0" w:color="auto"/>
              <w:right w:val="single" w:sz="4" w:space="0" w:color="auto"/>
            </w:tcBorders>
            <w:shd w:val="clear" w:color="auto" w:fill="auto"/>
          </w:tcPr>
          <w:p w14:paraId="27A9113E" w14:textId="77777777" w:rsidR="003A71DE" w:rsidRPr="001C0E1B" w:rsidRDefault="003A71DE" w:rsidP="003A71DE">
            <w:pPr>
              <w:pStyle w:val="TAL"/>
              <w:rPr>
                <w:noProof/>
              </w:rPr>
            </w:pPr>
            <w:r w:rsidRPr="001C0E1B">
              <w:rPr>
                <w:noProof/>
              </w:rPr>
              <w:t>Config 1, 2</w:t>
            </w:r>
          </w:p>
        </w:tc>
        <w:tc>
          <w:tcPr>
            <w:tcW w:w="649" w:type="pct"/>
            <w:tcBorders>
              <w:top w:val="single" w:sz="4" w:space="0" w:color="auto"/>
              <w:left w:val="single" w:sz="4" w:space="0" w:color="auto"/>
              <w:bottom w:val="single" w:sz="4" w:space="0" w:color="auto"/>
              <w:right w:val="single" w:sz="4" w:space="0" w:color="auto"/>
            </w:tcBorders>
            <w:shd w:val="clear" w:color="auto" w:fill="auto"/>
          </w:tcPr>
          <w:p w14:paraId="1C0749DF" w14:textId="77777777" w:rsidR="003A71DE" w:rsidRPr="001C0E1B" w:rsidRDefault="003A71DE" w:rsidP="003A71DE">
            <w:pPr>
              <w:pStyle w:val="TAC"/>
              <w:rPr>
                <w:noProof/>
              </w:rPr>
            </w:pPr>
          </w:p>
        </w:tc>
        <w:tc>
          <w:tcPr>
            <w:tcW w:w="1531" w:type="pct"/>
            <w:tcBorders>
              <w:top w:val="single" w:sz="4" w:space="0" w:color="auto"/>
              <w:left w:val="single" w:sz="4" w:space="0" w:color="auto"/>
              <w:bottom w:val="single" w:sz="4" w:space="0" w:color="auto"/>
              <w:right w:val="single" w:sz="4" w:space="0" w:color="auto"/>
            </w:tcBorders>
            <w:shd w:val="clear" w:color="auto" w:fill="auto"/>
          </w:tcPr>
          <w:p w14:paraId="5EA9BB63" w14:textId="77777777" w:rsidR="003A71DE" w:rsidRPr="001C0E1B" w:rsidRDefault="003A71DE" w:rsidP="003A71DE">
            <w:pPr>
              <w:pStyle w:val="TAC"/>
              <w:rPr>
                <w:noProof/>
              </w:rPr>
            </w:pPr>
            <w:r w:rsidRPr="001C0E1B">
              <w:rPr>
                <w:noProof/>
              </w:rPr>
              <w:t>120 KHz</w:t>
            </w:r>
          </w:p>
        </w:tc>
        <w:tc>
          <w:tcPr>
            <w:tcW w:w="1059" w:type="pct"/>
            <w:tcBorders>
              <w:top w:val="single" w:sz="4" w:space="0" w:color="auto"/>
              <w:left w:val="single" w:sz="4" w:space="0" w:color="auto"/>
              <w:bottom w:val="single" w:sz="4" w:space="0" w:color="auto"/>
              <w:right w:val="single" w:sz="4" w:space="0" w:color="auto"/>
            </w:tcBorders>
          </w:tcPr>
          <w:p w14:paraId="3086BAD4" w14:textId="77777777" w:rsidR="003A71DE" w:rsidRPr="001C0E1B" w:rsidRDefault="003A71DE" w:rsidP="003A71DE">
            <w:pPr>
              <w:pStyle w:val="TAC"/>
              <w:rPr>
                <w:noProof/>
              </w:rPr>
            </w:pPr>
          </w:p>
        </w:tc>
      </w:tr>
      <w:tr w:rsidR="003A71DE" w:rsidRPr="001C0E1B" w14:paraId="1FE377EA" w14:textId="77777777" w:rsidTr="003A71DE">
        <w:trPr>
          <w:trHeight w:val="90"/>
          <w:jc w:val="center"/>
        </w:trPr>
        <w:tc>
          <w:tcPr>
            <w:tcW w:w="1761" w:type="pct"/>
            <w:gridSpan w:val="5"/>
            <w:tcBorders>
              <w:top w:val="single" w:sz="4" w:space="0" w:color="auto"/>
              <w:left w:val="single" w:sz="4" w:space="0" w:color="auto"/>
              <w:bottom w:val="single" w:sz="4" w:space="0" w:color="auto"/>
              <w:right w:val="single" w:sz="4" w:space="0" w:color="auto"/>
            </w:tcBorders>
            <w:shd w:val="clear" w:color="auto" w:fill="auto"/>
          </w:tcPr>
          <w:p w14:paraId="6F5605B9" w14:textId="77777777" w:rsidR="003A71DE" w:rsidRPr="001C0E1B" w:rsidRDefault="003A71DE" w:rsidP="003A71DE">
            <w:pPr>
              <w:pStyle w:val="TAL"/>
              <w:rPr>
                <w:noProof/>
              </w:rPr>
            </w:pPr>
            <w:r w:rsidRPr="001C0E1B">
              <w:rPr>
                <w:noProof/>
              </w:rPr>
              <w:t>SSB index assigned as BFD RS (q</w:t>
            </w:r>
            <w:r w:rsidRPr="001C0E1B">
              <w:rPr>
                <w:noProof/>
                <w:vertAlign w:val="subscript"/>
              </w:rPr>
              <w:t>0</w:t>
            </w:r>
            <w:r w:rsidRPr="001C0E1B">
              <w:rPr>
                <w:noProof/>
              </w:rPr>
              <w:t>)</w:t>
            </w:r>
          </w:p>
        </w:tc>
        <w:tc>
          <w:tcPr>
            <w:tcW w:w="649" w:type="pct"/>
            <w:tcBorders>
              <w:top w:val="single" w:sz="4" w:space="0" w:color="auto"/>
              <w:left w:val="single" w:sz="4" w:space="0" w:color="auto"/>
              <w:bottom w:val="single" w:sz="4" w:space="0" w:color="auto"/>
              <w:right w:val="single" w:sz="4" w:space="0" w:color="auto"/>
            </w:tcBorders>
            <w:shd w:val="clear" w:color="auto" w:fill="auto"/>
          </w:tcPr>
          <w:p w14:paraId="52267175" w14:textId="77777777" w:rsidR="003A71DE" w:rsidRPr="001C0E1B" w:rsidRDefault="003A71DE" w:rsidP="003A71DE">
            <w:pPr>
              <w:pStyle w:val="TAC"/>
              <w:rPr>
                <w:noProof/>
              </w:rPr>
            </w:pPr>
          </w:p>
        </w:tc>
        <w:tc>
          <w:tcPr>
            <w:tcW w:w="1531" w:type="pct"/>
            <w:tcBorders>
              <w:top w:val="single" w:sz="4" w:space="0" w:color="auto"/>
              <w:left w:val="single" w:sz="4" w:space="0" w:color="auto"/>
              <w:bottom w:val="single" w:sz="4" w:space="0" w:color="auto"/>
              <w:right w:val="single" w:sz="4" w:space="0" w:color="auto"/>
            </w:tcBorders>
            <w:shd w:val="clear" w:color="auto" w:fill="auto"/>
          </w:tcPr>
          <w:p w14:paraId="27DB7B09" w14:textId="77777777" w:rsidR="003A71DE" w:rsidRPr="001C0E1B" w:rsidRDefault="003A71DE" w:rsidP="003A71DE">
            <w:pPr>
              <w:pStyle w:val="TAC"/>
              <w:rPr>
                <w:noProof/>
              </w:rPr>
            </w:pPr>
            <w:r w:rsidRPr="001C0E1B">
              <w:rPr>
                <w:noProof/>
              </w:rPr>
              <w:t>0</w:t>
            </w:r>
          </w:p>
        </w:tc>
        <w:tc>
          <w:tcPr>
            <w:tcW w:w="1059" w:type="pct"/>
            <w:tcBorders>
              <w:top w:val="single" w:sz="4" w:space="0" w:color="auto"/>
              <w:left w:val="single" w:sz="4" w:space="0" w:color="auto"/>
              <w:bottom w:val="single" w:sz="4" w:space="0" w:color="auto"/>
              <w:right w:val="single" w:sz="4" w:space="0" w:color="auto"/>
            </w:tcBorders>
          </w:tcPr>
          <w:p w14:paraId="2A0BC078" w14:textId="77777777" w:rsidR="003A71DE" w:rsidRPr="001C0E1B" w:rsidRDefault="003A71DE" w:rsidP="003A71DE">
            <w:pPr>
              <w:pStyle w:val="TAC"/>
              <w:rPr>
                <w:noProof/>
              </w:rPr>
            </w:pPr>
          </w:p>
        </w:tc>
      </w:tr>
      <w:tr w:rsidR="003A71DE" w:rsidRPr="001C0E1B" w14:paraId="46204185" w14:textId="77777777" w:rsidTr="003A71DE">
        <w:trPr>
          <w:trHeight w:val="90"/>
          <w:jc w:val="center"/>
        </w:trPr>
        <w:tc>
          <w:tcPr>
            <w:tcW w:w="1761" w:type="pct"/>
            <w:gridSpan w:val="5"/>
            <w:tcBorders>
              <w:top w:val="single" w:sz="4" w:space="0" w:color="auto"/>
              <w:left w:val="single" w:sz="4" w:space="0" w:color="auto"/>
              <w:bottom w:val="single" w:sz="4" w:space="0" w:color="auto"/>
              <w:right w:val="single" w:sz="4" w:space="0" w:color="auto"/>
            </w:tcBorders>
            <w:shd w:val="clear" w:color="auto" w:fill="auto"/>
          </w:tcPr>
          <w:p w14:paraId="747C07F3" w14:textId="77777777" w:rsidR="003A71DE" w:rsidRPr="001C0E1B" w:rsidRDefault="003A71DE" w:rsidP="003A71DE">
            <w:pPr>
              <w:pStyle w:val="TAL"/>
              <w:rPr>
                <w:noProof/>
              </w:rPr>
            </w:pPr>
            <w:r w:rsidRPr="001C0E1B">
              <w:rPr>
                <w:noProof/>
              </w:rPr>
              <w:t>SSB index assigned as CBD RS (q</w:t>
            </w:r>
            <w:r w:rsidRPr="001C0E1B">
              <w:rPr>
                <w:noProof/>
                <w:vertAlign w:val="subscript"/>
              </w:rPr>
              <w:t>1</w:t>
            </w:r>
            <w:r w:rsidRPr="001C0E1B">
              <w:rPr>
                <w:noProof/>
              </w:rPr>
              <w:t>)</w:t>
            </w:r>
          </w:p>
        </w:tc>
        <w:tc>
          <w:tcPr>
            <w:tcW w:w="649" w:type="pct"/>
            <w:tcBorders>
              <w:top w:val="single" w:sz="4" w:space="0" w:color="auto"/>
              <w:left w:val="single" w:sz="4" w:space="0" w:color="auto"/>
              <w:bottom w:val="single" w:sz="4" w:space="0" w:color="auto"/>
              <w:right w:val="single" w:sz="4" w:space="0" w:color="auto"/>
            </w:tcBorders>
            <w:shd w:val="clear" w:color="auto" w:fill="auto"/>
          </w:tcPr>
          <w:p w14:paraId="5549DB1B" w14:textId="77777777" w:rsidR="003A71DE" w:rsidRPr="001C0E1B" w:rsidRDefault="003A71DE" w:rsidP="003A71DE">
            <w:pPr>
              <w:pStyle w:val="TAC"/>
              <w:rPr>
                <w:noProof/>
              </w:rPr>
            </w:pPr>
          </w:p>
        </w:tc>
        <w:tc>
          <w:tcPr>
            <w:tcW w:w="1531" w:type="pct"/>
            <w:tcBorders>
              <w:top w:val="single" w:sz="4" w:space="0" w:color="auto"/>
              <w:left w:val="single" w:sz="4" w:space="0" w:color="auto"/>
              <w:bottom w:val="single" w:sz="4" w:space="0" w:color="auto"/>
              <w:right w:val="single" w:sz="4" w:space="0" w:color="auto"/>
            </w:tcBorders>
            <w:shd w:val="clear" w:color="auto" w:fill="auto"/>
          </w:tcPr>
          <w:p w14:paraId="0D676EF5" w14:textId="77777777" w:rsidR="003A71DE" w:rsidRPr="001C0E1B" w:rsidRDefault="003A71DE" w:rsidP="003A71DE">
            <w:pPr>
              <w:pStyle w:val="TAC"/>
              <w:rPr>
                <w:noProof/>
              </w:rPr>
            </w:pPr>
            <w:r w:rsidRPr="001C0E1B">
              <w:rPr>
                <w:noProof/>
              </w:rPr>
              <w:t>1</w:t>
            </w:r>
          </w:p>
        </w:tc>
        <w:tc>
          <w:tcPr>
            <w:tcW w:w="1059" w:type="pct"/>
            <w:tcBorders>
              <w:top w:val="single" w:sz="4" w:space="0" w:color="auto"/>
              <w:left w:val="single" w:sz="4" w:space="0" w:color="auto"/>
              <w:bottom w:val="single" w:sz="4" w:space="0" w:color="auto"/>
              <w:right w:val="single" w:sz="4" w:space="0" w:color="auto"/>
            </w:tcBorders>
          </w:tcPr>
          <w:p w14:paraId="54185FCE" w14:textId="77777777" w:rsidR="003A71DE" w:rsidRPr="001C0E1B" w:rsidRDefault="003A71DE" w:rsidP="003A71DE">
            <w:pPr>
              <w:pStyle w:val="TAC"/>
              <w:rPr>
                <w:noProof/>
              </w:rPr>
            </w:pPr>
          </w:p>
        </w:tc>
      </w:tr>
      <w:tr w:rsidR="003A71DE" w:rsidRPr="001C0E1B" w14:paraId="00C4A2DF" w14:textId="77777777" w:rsidTr="003A71DE">
        <w:trPr>
          <w:trHeight w:val="174"/>
          <w:jc w:val="center"/>
        </w:trPr>
        <w:tc>
          <w:tcPr>
            <w:tcW w:w="1761" w:type="pct"/>
            <w:gridSpan w:val="5"/>
            <w:shd w:val="clear" w:color="auto" w:fill="auto"/>
          </w:tcPr>
          <w:p w14:paraId="5E7E636E" w14:textId="77777777" w:rsidR="003A71DE" w:rsidRPr="001C0E1B" w:rsidRDefault="003A71DE" w:rsidP="003A71DE">
            <w:pPr>
              <w:pStyle w:val="TAL"/>
              <w:rPr>
                <w:noProof/>
              </w:rPr>
            </w:pPr>
            <w:r w:rsidRPr="001C0E1B">
              <w:rPr>
                <w:noProof/>
              </w:rPr>
              <w:t>OCNG parameters</w:t>
            </w:r>
          </w:p>
        </w:tc>
        <w:tc>
          <w:tcPr>
            <w:tcW w:w="649" w:type="pct"/>
            <w:shd w:val="clear" w:color="auto" w:fill="auto"/>
          </w:tcPr>
          <w:p w14:paraId="31B9642E" w14:textId="77777777" w:rsidR="003A71DE" w:rsidRPr="001C0E1B" w:rsidRDefault="003A71DE" w:rsidP="003A71DE">
            <w:pPr>
              <w:pStyle w:val="TAC"/>
              <w:rPr>
                <w:noProof/>
              </w:rPr>
            </w:pPr>
          </w:p>
        </w:tc>
        <w:tc>
          <w:tcPr>
            <w:tcW w:w="1531" w:type="pct"/>
            <w:shd w:val="clear" w:color="auto" w:fill="auto"/>
          </w:tcPr>
          <w:p w14:paraId="3044FDCC" w14:textId="77777777" w:rsidR="003A71DE" w:rsidRPr="001C0E1B" w:rsidRDefault="003A71DE" w:rsidP="003A71DE">
            <w:pPr>
              <w:pStyle w:val="TAC"/>
              <w:rPr>
                <w:noProof/>
              </w:rPr>
            </w:pPr>
            <w:r w:rsidRPr="001C0E1B">
              <w:rPr>
                <w:noProof/>
              </w:rPr>
              <w:t>OP.1</w:t>
            </w:r>
          </w:p>
        </w:tc>
        <w:tc>
          <w:tcPr>
            <w:tcW w:w="1059" w:type="pct"/>
          </w:tcPr>
          <w:p w14:paraId="61C940B7" w14:textId="77777777" w:rsidR="003A71DE" w:rsidRPr="001C0E1B" w:rsidRDefault="003A71DE" w:rsidP="003A71DE">
            <w:pPr>
              <w:pStyle w:val="TAC"/>
              <w:rPr>
                <w:noProof/>
              </w:rPr>
            </w:pPr>
          </w:p>
        </w:tc>
      </w:tr>
      <w:tr w:rsidR="003A71DE" w:rsidRPr="001C0E1B" w14:paraId="631AE84B" w14:textId="77777777" w:rsidTr="003A71DE">
        <w:trPr>
          <w:trHeight w:val="162"/>
          <w:jc w:val="center"/>
        </w:trPr>
        <w:tc>
          <w:tcPr>
            <w:tcW w:w="1761" w:type="pct"/>
            <w:gridSpan w:val="5"/>
            <w:shd w:val="clear" w:color="auto" w:fill="auto"/>
          </w:tcPr>
          <w:p w14:paraId="12A8F831" w14:textId="77777777" w:rsidR="003A71DE" w:rsidRPr="001C0E1B" w:rsidRDefault="003A71DE" w:rsidP="003A71DE">
            <w:pPr>
              <w:pStyle w:val="TAL"/>
              <w:rPr>
                <w:noProof/>
              </w:rPr>
            </w:pPr>
            <w:r w:rsidRPr="001C0E1B">
              <w:rPr>
                <w:noProof/>
              </w:rPr>
              <w:t>CP length</w:t>
            </w:r>
            <w:r w:rsidRPr="001C0E1B">
              <w:rPr>
                <w:noProof/>
              </w:rPr>
              <w:tab/>
            </w:r>
          </w:p>
        </w:tc>
        <w:tc>
          <w:tcPr>
            <w:tcW w:w="649" w:type="pct"/>
            <w:shd w:val="clear" w:color="auto" w:fill="auto"/>
          </w:tcPr>
          <w:p w14:paraId="77462599" w14:textId="77777777" w:rsidR="003A71DE" w:rsidRPr="001C0E1B" w:rsidRDefault="003A71DE" w:rsidP="003A71DE">
            <w:pPr>
              <w:pStyle w:val="TAC"/>
              <w:rPr>
                <w:noProof/>
              </w:rPr>
            </w:pPr>
          </w:p>
        </w:tc>
        <w:tc>
          <w:tcPr>
            <w:tcW w:w="1531" w:type="pct"/>
            <w:shd w:val="clear" w:color="auto" w:fill="auto"/>
          </w:tcPr>
          <w:p w14:paraId="591D53F5" w14:textId="77777777" w:rsidR="003A71DE" w:rsidRPr="001C0E1B" w:rsidRDefault="003A71DE" w:rsidP="003A71DE">
            <w:pPr>
              <w:pStyle w:val="TAC"/>
              <w:rPr>
                <w:noProof/>
              </w:rPr>
            </w:pPr>
            <w:r w:rsidRPr="001C0E1B">
              <w:rPr>
                <w:noProof/>
              </w:rPr>
              <w:t>Normal</w:t>
            </w:r>
          </w:p>
        </w:tc>
        <w:tc>
          <w:tcPr>
            <w:tcW w:w="1059" w:type="pct"/>
          </w:tcPr>
          <w:p w14:paraId="552AB97E" w14:textId="77777777" w:rsidR="003A71DE" w:rsidRPr="001C0E1B" w:rsidRDefault="003A71DE" w:rsidP="003A71DE">
            <w:pPr>
              <w:pStyle w:val="TAC"/>
              <w:rPr>
                <w:noProof/>
              </w:rPr>
            </w:pPr>
          </w:p>
        </w:tc>
      </w:tr>
      <w:tr w:rsidR="003A71DE" w:rsidRPr="001C0E1B" w14:paraId="7C85C66E" w14:textId="77777777" w:rsidTr="003A71DE">
        <w:trPr>
          <w:trHeight w:val="162"/>
          <w:jc w:val="center"/>
        </w:trPr>
        <w:tc>
          <w:tcPr>
            <w:tcW w:w="885" w:type="pct"/>
            <w:tcBorders>
              <w:bottom w:val="nil"/>
            </w:tcBorders>
            <w:shd w:val="clear" w:color="auto" w:fill="auto"/>
          </w:tcPr>
          <w:p w14:paraId="1A4E7711" w14:textId="77777777" w:rsidR="003A71DE" w:rsidRPr="001C0E1B" w:rsidRDefault="003A71DE" w:rsidP="003A71DE">
            <w:pPr>
              <w:pStyle w:val="TAL"/>
              <w:rPr>
                <w:noProof/>
              </w:rPr>
            </w:pPr>
            <w:r w:rsidRPr="001C0E1B">
              <w:rPr>
                <w:noProof/>
              </w:rPr>
              <w:t xml:space="preserve">Beam failure detection transmission parameters </w:t>
            </w:r>
          </w:p>
        </w:tc>
        <w:tc>
          <w:tcPr>
            <w:tcW w:w="876" w:type="pct"/>
            <w:gridSpan w:val="4"/>
            <w:shd w:val="clear" w:color="auto" w:fill="auto"/>
          </w:tcPr>
          <w:p w14:paraId="4F3A7747" w14:textId="77777777" w:rsidR="003A71DE" w:rsidRPr="001C0E1B" w:rsidRDefault="003A71DE" w:rsidP="003A71DE">
            <w:pPr>
              <w:pStyle w:val="TAL"/>
              <w:rPr>
                <w:noProof/>
              </w:rPr>
            </w:pPr>
            <w:r w:rsidRPr="001C0E1B">
              <w:rPr>
                <w:noProof/>
              </w:rPr>
              <w:t>DCI format</w:t>
            </w:r>
          </w:p>
        </w:tc>
        <w:tc>
          <w:tcPr>
            <w:tcW w:w="649" w:type="pct"/>
            <w:shd w:val="clear" w:color="auto" w:fill="auto"/>
          </w:tcPr>
          <w:p w14:paraId="10FED02A" w14:textId="77777777" w:rsidR="003A71DE" w:rsidRPr="001C0E1B" w:rsidRDefault="003A71DE" w:rsidP="003A71DE">
            <w:pPr>
              <w:pStyle w:val="TAC"/>
              <w:rPr>
                <w:noProof/>
              </w:rPr>
            </w:pPr>
          </w:p>
        </w:tc>
        <w:tc>
          <w:tcPr>
            <w:tcW w:w="1531" w:type="pct"/>
            <w:shd w:val="clear" w:color="auto" w:fill="auto"/>
          </w:tcPr>
          <w:p w14:paraId="1A8487EB" w14:textId="77777777" w:rsidR="003A71DE" w:rsidRPr="001C0E1B" w:rsidRDefault="003A71DE" w:rsidP="003A71DE">
            <w:pPr>
              <w:pStyle w:val="TAC"/>
              <w:rPr>
                <w:noProof/>
              </w:rPr>
            </w:pPr>
            <w:r w:rsidRPr="001C0E1B">
              <w:rPr>
                <w:noProof/>
              </w:rPr>
              <w:t>1-0</w:t>
            </w:r>
          </w:p>
        </w:tc>
        <w:tc>
          <w:tcPr>
            <w:tcW w:w="1059" w:type="pct"/>
          </w:tcPr>
          <w:p w14:paraId="695EFFBC" w14:textId="77777777" w:rsidR="003A71DE" w:rsidRPr="001C0E1B" w:rsidRDefault="003A71DE" w:rsidP="003A71DE">
            <w:pPr>
              <w:pStyle w:val="TAC"/>
              <w:rPr>
                <w:noProof/>
              </w:rPr>
            </w:pPr>
          </w:p>
        </w:tc>
      </w:tr>
      <w:tr w:rsidR="003A71DE" w:rsidRPr="001C0E1B" w14:paraId="34CE506D" w14:textId="77777777" w:rsidTr="003A71DE">
        <w:trPr>
          <w:trHeight w:val="348"/>
          <w:jc w:val="center"/>
        </w:trPr>
        <w:tc>
          <w:tcPr>
            <w:tcW w:w="885" w:type="pct"/>
            <w:tcBorders>
              <w:top w:val="nil"/>
              <w:bottom w:val="nil"/>
            </w:tcBorders>
            <w:shd w:val="clear" w:color="auto" w:fill="auto"/>
          </w:tcPr>
          <w:p w14:paraId="331A62D2" w14:textId="77777777" w:rsidR="003A71DE" w:rsidRPr="001C0E1B" w:rsidRDefault="003A71DE" w:rsidP="003A71DE">
            <w:pPr>
              <w:pStyle w:val="TAL"/>
              <w:rPr>
                <w:noProof/>
              </w:rPr>
            </w:pPr>
          </w:p>
        </w:tc>
        <w:tc>
          <w:tcPr>
            <w:tcW w:w="876" w:type="pct"/>
            <w:gridSpan w:val="4"/>
            <w:shd w:val="clear" w:color="auto" w:fill="auto"/>
          </w:tcPr>
          <w:p w14:paraId="164DEBAE" w14:textId="77777777" w:rsidR="003A71DE" w:rsidRPr="001C0E1B" w:rsidRDefault="003A71DE" w:rsidP="003A71DE">
            <w:pPr>
              <w:pStyle w:val="TAL"/>
              <w:rPr>
                <w:noProof/>
              </w:rPr>
            </w:pPr>
            <w:r w:rsidRPr="001C0E1B">
              <w:rPr>
                <w:noProof/>
              </w:rPr>
              <w:t>Number of Control OFDM symbols</w:t>
            </w:r>
          </w:p>
        </w:tc>
        <w:tc>
          <w:tcPr>
            <w:tcW w:w="649" w:type="pct"/>
            <w:shd w:val="clear" w:color="auto" w:fill="auto"/>
          </w:tcPr>
          <w:p w14:paraId="46574070" w14:textId="77777777" w:rsidR="003A71DE" w:rsidRPr="001C0E1B" w:rsidRDefault="003A71DE" w:rsidP="003A71DE">
            <w:pPr>
              <w:pStyle w:val="TAC"/>
              <w:rPr>
                <w:noProof/>
              </w:rPr>
            </w:pPr>
          </w:p>
        </w:tc>
        <w:tc>
          <w:tcPr>
            <w:tcW w:w="1531" w:type="pct"/>
            <w:shd w:val="clear" w:color="auto" w:fill="auto"/>
          </w:tcPr>
          <w:p w14:paraId="1C4FD471" w14:textId="77777777" w:rsidR="003A71DE" w:rsidRPr="001C0E1B" w:rsidRDefault="003A71DE" w:rsidP="003A71DE">
            <w:pPr>
              <w:pStyle w:val="TAC"/>
              <w:rPr>
                <w:noProof/>
              </w:rPr>
            </w:pPr>
            <w:r w:rsidRPr="001C0E1B">
              <w:rPr>
                <w:noProof/>
              </w:rPr>
              <w:t>2</w:t>
            </w:r>
          </w:p>
        </w:tc>
        <w:tc>
          <w:tcPr>
            <w:tcW w:w="1059" w:type="pct"/>
          </w:tcPr>
          <w:p w14:paraId="3D95BF07" w14:textId="77777777" w:rsidR="003A71DE" w:rsidRPr="001C0E1B" w:rsidRDefault="003A71DE" w:rsidP="003A71DE">
            <w:pPr>
              <w:pStyle w:val="TAC"/>
              <w:rPr>
                <w:noProof/>
              </w:rPr>
            </w:pPr>
          </w:p>
        </w:tc>
      </w:tr>
      <w:tr w:rsidR="003A71DE" w:rsidRPr="001C0E1B" w14:paraId="59206155" w14:textId="77777777" w:rsidTr="003A71DE">
        <w:trPr>
          <w:trHeight w:val="174"/>
          <w:jc w:val="center"/>
        </w:trPr>
        <w:tc>
          <w:tcPr>
            <w:tcW w:w="885" w:type="pct"/>
            <w:tcBorders>
              <w:top w:val="nil"/>
              <w:bottom w:val="nil"/>
            </w:tcBorders>
            <w:shd w:val="clear" w:color="auto" w:fill="auto"/>
          </w:tcPr>
          <w:p w14:paraId="69F03A1D" w14:textId="77777777" w:rsidR="003A71DE" w:rsidRPr="001C0E1B" w:rsidRDefault="003A71DE" w:rsidP="003A71DE">
            <w:pPr>
              <w:pStyle w:val="TAL"/>
              <w:rPr>
                <w:noProof/>
              </w:rPr>
            </w:pPr>
          </w:p>
        </w:tc>
        <w:tc>
          <w:tcPr>
            <w:tcW w:w="876" w:type="pct"/>
            <w:gridSpan w:val="4"/>
            <w:shd w:val="clear" w:color="auto" w:fill="auto"/>
          </w:tcPr>
          <w:p w14:paraId="3FF2668B" w14:textId="77777777" w:rsidR="003A71DE" w:rsidRPr="001C0E1B" w:rsidRDefault="003A71DE" w:rsidP="003A71DE">
            <w:pPr>
              <w:pStyle w:val="TAL"/>
              <w:rPr>
                <w:noProof/>
              </w:rPr>
            </w:pPr>
            <w:r w:rsidRPr="001C0E1B">
              <w:rPr>
                <w:noProof/>
              </w:rPr>
              <w:t xml:space="preserve">Aggregation level </w:t>
            </w:r>
          </w:p>
        </w:tc>
        <w:tc>
          <w:tcPr>
            <w:tcW w:w="649" w:type="pct"/>
            <w:shd w:val="clear" w:color="auto" w:fill="auto"/>
          </w:tcPr>
          <w:p w14:paraId="5154AD93" w14:textId="77777777" w:rsidR="003A71DE" w:rsidRPr="001C0E1B" w:rsidRDefault="003A71DE" w:rsidP="003A71DE">
            <w:pPr>
              <w:pStyle w:val="TAC"/>
              <w:rPr>
                <w:noProof/>
              </w:rPr>
            </w:pPr>
            <w:r w:rsidRPr="001C0E1B">
              <w:rPr>
                <w:noProof/>
              </w:rPr>
              <w:t>CCE</w:t>
            </w:r>
          </w:p>
        </w:tc>
        <w:tc>
          <w:tcPr>
            <w:tcW w:w="1531" w:type="pct"/>
            <w:shd w:val="clear" w:color="auto" w:fill="auto"/>
          </w:tcPr>
          <w:p w14:paraId="3893BA64" w14:textId="77777777" w:rsidR="003A71DE" w:rsidRPr="001C0E1B" w:rsidRDefault="003A71DE" w:rsidP="003A71DE">
            <w:pPr>
              <w:pStyle w:val="TAC"/>
              <w:rPr>
                <w:noProof/>
              </w:rPr>
            </w:pPr>
            <w:r w:rsidRPr="001C0E1B">
              <w:rPr>
                <w:noProof/>
              </w:rPr>
              <w:t>8</w:t>
            </w:r>
          </w:p>
        </w:tc>
        <w:tc>
          <w:tcPr>
            <w:tcW w:w="1059" w:type="pct"/>
          </w:tcPr>
          <w:p w14:paraId="16626DF1" w14:textId="77777777" w:rsidR="003A71DE" w:rsidRPr="001C0E1B" w:rsidRDefault="003A71DE" w:rsidP="003A71DE">
            <w:pPr>
              <w:pStyle w:val="TAC"/>
              <w:rPr>
                <w:noProof/>
              </w:rPr>
            </w:pPr>
          </w:p>
        </w:tc>
      </w:tr>
      <w:tr w:rsidR="003A71DE" w:rsidRPr="001C0E1B" w14:paraId="1A5F0104" w14:textId="77777777" w:rsidTr="003A71DE">
        <w:trPr>
          <w:trHeight w:val="862"/>
          <w:jc w:val="center"/>
        </w:trPr>
        <w:tc>
          <w:tcPr>
            <w:tcW w:w="885" w:type="pct"/>
            <w:tcBorders>
              <w:top w:val="nil"/>
              <w:bottom w:val="nil"/>
            </w:tcBorders>
            <w:shd w:val="clear" w:color="auto" w:fill="auto"/>
          </w:tcPr>
          <w:p w14:paraId="4A42EF37" w14:textId="77777777" w:rsidR="003A71DE" w:rsidRPr="001C0E1B" w:rsidRDefault="003A71DE" w:rsidP="003A71DE">
            <w:pPr>
              <w:pStyle w:val="TAL"/>
              <w:rPr>
                <w:noProof/>
              </w:rPr>
            </w:pPr>
          </w:p>
        </w:tc>
        <w:tc>
          <w:tcPr>
            <w:tcW w:w="876" w:type="pct"/>
            <w:gridSpan w:val="4"/>
            <w:shd w:val="clear" w:color="auto" w:fill="auto"/>
          </w:tcPr>
          <w:p w14:paraId="04DFFC0F" w14:textId="77777777" w:rsidR="003A71DE" w:rsidRPr="001C0E1B" w:rsidRDefault="003A71DE" w:rsidP="003A71DE">
            <w:pPr>
              <w:pStyle w:val="TAL"/>
              <w:rPr>
                <w:noProof/>
              </w:rPr>
            </w:pPr>
            <w:r w:rsidRPr="001C0E1B">
              <w:rPr>
                <w:rFonts w:eastAsia="?? ??"/>
              </w:rPr>
              <w:t>Ratio of hypothetical PDCCH RE energy to average CSI-RS RE energy</w:t>
            </w:r>
          </w:p>
        </w:tc>
        <w:tc>
          <w:tcPr>
            <w:tcW w:w="649" w:type="pct"/>
            <w:shd w:val="clear" w:color="auto" w:fill="auto"/>
          </w:tcPr>
          <w:p w14:paraId="1FD56E38" w14:textId="77777777" w:rsidR="003A71DE" w:rsidRPr="001C0E1B" w:rsidRDefault="003A71DE" w:rsidP="003A71DE">
            <w:pPr>
              <w:pStyle w:val="TAC"/>
              <w:rPr>
                <w:noProof/>
              </w:rPr>
            </w:pPr>
            <w:r w:rsidRPr="001C0E1B">
              <w:rPr>
                <w:noProof/>
              </w:rPr>
              <w:t>dB</w:t>
            </w:r>
          </w:p>
        </w:tc>
        <w:tc>
          <w:tcPr>
            <w:tcW w:w="1531" w:type="pct"/>
            <w:shd w:val="clear" w:color="auto" w:fill="auto"/>
          </w:tcPr>
          <w:p w14:paraId="59F2189C" w14:textId="77777777" w:rsidR="003A71DE" w:rsidRPr="001C0E1B" w:rsidRDefault="003A71DE" w:rsidP="003A71DE">
            <w:pPr>
              <w:pStyle w:val="TAC"/>
              <w:rPr>
                <w:noProof/>
              </w:rPr>
            </w:pPr>
            <w:r w:rsidRPr="001C0E1B">
              <w:rPr>
                <w:noProof/>
              </w:rPr>
              <w:t>0</w:t>
            </w:r>
          </w:p>
        </w:tc>
        <w:tc>
          <w:tcPr>
            <w:tcW w:w="1059" w:type="pct"/>
          </w:tcPr>
          <w:p w14:paraId="37A6F057" w14:textId="77777777" w:rsidR="003A71DE" w:rsidRPr="001C0E1B" w:rsidRDefault="003A71DE" w:rsidP="003A71DE">
            <w:pPr>
              <w:pStyle w:val="TAC"/>
              <w:rPr>
                <w:noProof/>
              </w:rPr>
            </w:pPr>
          </w:p>
        </w:tc>
      </w:tr>
      <w:tr w:rsidR="003A71DE" w:rsidRPr="001C0E1B" w14:paraId="2D59CF8E" w14:textId="77777777" w:rsidTr="003A71DE">
        <w:trPr>
          <w:trHeight w:val="849"/>
          <w:jc w:val="center"/>
        </w:trPr>
        <w:tc>
          <w:tcPr>
            <w:tcW w:w="885" w:type="pct"/>
            <w:tcBorders>
              <w:top w:val="nil"/>
              <w:bottom w:val="nil"/>
            </w:tcBorders>
            <w:shd w:val="clear" w:color="auto" w:fill="auto"/>
          </w:tcPr>
          <w:p w14:paraId="49B6ADE6" w14:textId="77777777" w:rsidR="003A71DE" w:rsidRPr="001C0E1B" w:rsidRDefault="003A71DE" w:rsidP="003A71DE">
            <w:pPr>
              <w:pStyle w:val="TAL"/>
              <w:rPr>
                <w:noProof/>
              </w:rPr>
            </w:pPr>
          </w:p>
        </w:tc>
        <w:tc>
          <w:tcPr>
            <w:tcW w:w="876" w:type="pct"/>
            <w:gridSpan w:val="4"/>
            <w:shd w:val="clear" w:color="auto" w:fill="auto"/>
          </w:tcPr>
          <w:p w14:paraId="003A3A48" w14:textId="77777777" w:rsidR="003A71DE" w:rsidRPr="001C0E1B" w:rsidRDefault="003A71DE" w:rsidP="003A71DE">
            <w:pPr>
              <w:pStyle w:val="TAL"/>
              <w:rPr>
                <w:noProof/>
              </w:rPr>
            </w:pPr>
            <w:r w:rsidRPr="001C0E1B">
              <w:rPr>
                <w:rFonts w:eastAsia="?? ??"/>
              </w:rPr>
              <w:t>Ratio of hypothetical PDCCH DMRS energy to average CSI-RS RE energy</w:t>
            </w:r>
          </w:p>
        </w:tc>
        <w:tc>
          <w:tcPr>
            <w:tcW w:w="649" w:type="pct"/>
            <w:shd w:val="clear" w:color="auto" w:fill="auto"/>
          </w:tcPr>
          <w:p w14:paraId="54DA9AF2" w14:textId="77777777" w:rsidR="003A71DE" w:rsidRPr="001C0E1B" w:rsidRDefault="003A71DE" w:rsidP="003A71DE">
            <w:pPr>
              <w:pStyle w:val="TAC"/>
              <w:rPr>
                <w:noProof/>
              </w:rPr>
            </w:pPr>
            <w:r w:rsidRPr="001C0E1B">
              <w:rPr>
                <w:noProof/>
              </w:rPr>
              <w:t>dB</w:t>
            </w:r>
          </w:p>
        </w:tc>
        <w:tc>
          <w:tcPr>
            <w:tcW w:w="1531" w:type="pct"/>
            <w:shd w:val="clear" w:color="auto" w:fill="auto"/>
          </w:tcPr>
          <w:p w14:paraId="617717FF" w14:textId="77777777" w:rsidR="003A71DE" w:rsidRPr="001C0E1B" w:rsidRDefault="003A71DE" w:rsidP="003A71DE">
            <w:pPr>
              <w:pStyle w:val="TAC"/>
              <w:rPr>
                <w:noProof/>
              </w:rPr>
            </w:pPr>
            <w:r w:rsidRPr="001C0E1B">
              <w:rPr>
                <w:noProof/>
              </w:rPr>
              <w:t>0</w:t>
            </w:r>
          </w:p>
        </w:tc>
        <w:tc>
          <w:tcPr>
            <w:tcW w:w="1059" w:type="pct"/>
          </w:tcPr>
          <w:p w14:paraId="30E070F2" w14:textId="77777777" w:rsidR="003A71DE" w:rsidRPr="001C0E1B" w:rsidRDefault="003A71DE" w:rsidP="003A71DE">
            <w:pPr>
              <w:pStyle w:val="TAC"/>
              <w:rPr>
                <w:noProof/>
              </w:rPr>
            </w:pPr>
          </w:p>
        </w:tc>
      </w:tr>
      <w:tr w:rsidR="003A71DE" w:rsidRPr="001C0E1B" w14:paraId="4BFBF3CD" w14:textId="77777777" w:rsidTr="003A71DE">
        <w:trPr>
          <w:trHeight w:val="374"/>
          <w:jc w:val="center"/>
        </w:trPr>
        <w:tc>
          <w:tcPr>
            <w:tcW w:w="885" w:type="pct"/>
            <w:tcBorders>
              <w:top w:val="nil"/>
              <w:bottom w:val="nil"/>
            </w:tcBorders>
            <w:shd w:val="clear" w:color="auto" w:fill="auto"/>
          </w:tcPr>
          <w:p w14:paraId="697C33AE" w14:textId="77777777" w:rsidR="003A71DE" w:rsidRPr="001C0E1B" w:rsidRDefault="003A71DE" w:rsidP="003A71DE">
            <w:pPr>
              <w:pStyle w:val="TAL"/>
              <w:rPr>
                <w:noProof/>
              </w:rPr>
            </w:pPr>
          </w:p>
        </w:tc>
        <w:tc>
          <w:tcPr>
            <w:tcW w:w="876" w:type="pct"/>
            <w:gridSpan w:val="4"/>
            <w:shd w:val="clear" w:color="auto" w:fill="auto"/>
            <w:vAlign w:val="center"/>
          </w:tcPr>
          <w:p w14:paraId="5CD783C9" w14:textId="77777777" w:rsidR="003A71DE" w:rsidRPr="001C0E1B" w:rsidRDefault="003A71DE" w:rsidP="003A71DE">
            <w:pPr>
              <w:pStyle w:val="TAL"/>
              <w:rPr>
                <w:rFonts w:eastAsia="?? ??"/>
              </w:rPr>
            </w:pPr>
            <w:r w:rsidRPr="001C0E1B">
              <w:rPr>
                <w:rFonts w:eastAsia="?? ??"/>
              </w:rPr>
              <w:t>DMRS precoder granularity</w:t>
            </w:r>
          </w:p>
        </w:tc>
        <w:tc>
          <w:tcPr>
            <w:tcW w:w="649" w:type="pct"/>
            <w:shd w:val="clear" w:color="auto" w:fill="auto"/>
            <w:vAlign w:val="center"/>
          </w:tcPr>
          <w:p w14:paraId="52E78D3C" w14:textId="77777777" w:rsidR="003A71DE" w:rsidRPr="001C0E1B" w:rsidRDefault="003A71DE" w:rsidP="003A71DE">
            <w:pPr>
              <w:pStyle w:val="TAC"/>
              <w:rPr>
                <w:rFonts w:eastAsia="?? ??"/>
              </w:rPr>
            </w:pPr>
          </w:p>
        </w:tc>
        <w:tc>
          <w:tcPr>
            <w:tcW w:w="1531" w:type="pct"/>
            <w:shd w:val="clear" w:color="auto" w:fill="auto"/>
          </w:tcPr>
          <w:p w14:paraId="1822211F" w14:textId="77777777" w:rsidR="003A71DE" w:rsidRPr="001C0E1B" w:rsidRDefault="003A71DE" w:rsidP="003A71DE">
            <w:pPr>
              <w:pStyle w:val="TAC"/>
              <w:rPr>
                <w:noProof/>
              </w:rPr>
            </w:pPr>
            <w:r w:rsidRPr="001C0E1B">
              <w:rPr>
                <w:rFonts w:eastAsia="?? ??"/>
              </w:rPr>
              <w:t>REG bundle size</w:t>
            </w:r>
          </w:p>
        </w:tc>
        <w:tc>
          <w:tcPr>
            <w:tcW w:w="1059" w:type="pct"/>
          </w:tcPr>
          <w:p w14:paraId="705D726F" w14:textId="77777777" w:rsidR="003A71DE" w:rsidRPr="001C0E1B" w:rsidRDefault="003A71DE" w:rsidP="003A71DE">
            <w:pPr>
              <w:pStyle w:val="TAC"/>
              <w:rPr>
                <w:rFonts w:eastAsia="?? ??"/>
              </w:rPr>
            </w:pPr>
          </w:p>
        </w:tc>
      </w:tr>
      <w:tr w:rsidR="003A71DE" w:rsidRPr="001C0E1B" w14:paraId="1767815E" w14:textId="77777777" w:rsidTr="003A71DE">
        <w:trPr>
          <w:trHeight w:val="185"/>
          <w:jc w:val="center"/>
        </w:trPr>
        <w:tc>
          <w:tcPr>
            <w:tcW w:w="885" w:type="pct"/>
            <w:tcBorders>
              <w:top w:val="nil"/>
            </w:tcBorders>
            <w:shd w:val="clear" w:color="auto" w:fill="auto"/>
          </w:tcPr>
          <w:p w14:paraId="1BC4D378" w14:textId="77777777" w:rsidR="003A71DE" w:rsidRPr="001C0E1B" w:rsidRDefault="003A71DE" w:rsidP="003A71DE">
            <w:pPr>
              <w:pStyle w:val="TAL"/>
              <w:rPr>
                <w:noProof/>
              </w:rPr>
            </w:pPr>
          </w:p>
        </w:tc>
        <w:tc>
          <w:tcPr>
            <w:tcW w:w="876" w:type="pct"/>
            <w:gridSpan w:val="4"/>
            <w:shd w:val="clear" w:color="auto" w:fill="auto"/>
            <w:vAlign w:val="center"/>
          </w:tcPr>
          <w:p w14:paraId="68F16DD2" w14:textId="77777777" w:rsidR="003A71DE" w:rsidRPr="001C0E1B" w:rsidRDefault="003A71DE" w:rsidP="003A71DE">
            <w:pPr>
              <w:pStyle w:val="TAL"/>
              <w:rPr>
                <w:rFonts w:eastAsia="?? ??"/>
              </w:rPr>
            </w:pPr>
            <w:r w:rsidRPr="001C0E1B">
              <w:rPr>
                <w:rFonts w:eastAsia="?? ??"/>
              </w:rPr>
              <w:t>REG bundle size</w:t>
            </w:r>
          </w:p>
        </w:tc>
        <w:tc>
          <w:tcPr>
            <w:tcW w:w="649" w:type="pct"/>
            <w:shd w:val="clear" w:color="auto" w:fill="auto"/>
            <w:vAlign w:val="center"/>
          </w:tcPr>
          <w:p w14:paraId="110EF938" w14:textId="77777777" w:rsidR="003A71DE" w:rsidRPr="001C0E1B" w:rsidRDefault="003A71DE" w:rsidP="003A71DE">
            <w:pPr>
              <w:pStyle w:val="TAC"/>
              <w:rPr>
                <w:rFonts w:eastAsia="?? ??"/>
              </w:rPr>
            </w:pPr>
          </w:p>
        </w:tc>
        <w:tc>
          <w:tcPr>
            <w:tcW w:w="1531" w:type="pct"/>
            <w:shd w:val="clear" w:color="auto" w:fill="auto"/>
          </w:tcPr>
          <w:p w14:paraId="067B8A5A" w14:textId="77777777" w:rsidR="003A71DE" w:rsidRPr="001C0E1B" w:rsidRDefault="003A71DE" w:rsidP="003A71DE">
            <w:pPr>
              <w:pStyle w:val="TAC"/>
              <w:rPr>
                <w:noProof/>
              </w:rPr>
            </w:pPr>
            <w:r w:rsidRPr="001C0E1B">
              <w:rPr>
                <w:noProof/>
              </w:rPr>
              <w:t>6</w:t>
            </w:r>
          </w:p>
        </w:tc>
        <w:tc>
          <w:tcPr>
            <w:tcW w:w="1059" w:type="pct"/>
          </w:tcPr>
          <w:p w14:paraId="4C774A3A" w14:textId="77777777" w:rsidR="003A71DE" w:rsidRPr="001C0E1B" w:rsidRDefault="003A71DE" w:rsidP="003A71DE">
            <w:pPr>
              <w:pStyle w:val="TAC"/>
              <w:rPr>
                <w:noProof/>
              </w:rPr>
            </w:pPr>
          </w:p>
        </w:tc>
      </w:tr>
      <w:tr w:rsidR="003A71DE" w:rsidRPr="001C0E1B" w14:paraId="3D11F1D3" w14:textId="77777777" w:rsidTr="003A71DE">
        <w:trPr>
          <w:trHeight w:val="174"/>
          <w:jc w:val="center"/>
        </w:trPr>
        <w:tc>
          <w:tcPr>
            <w:tcW w:w="1761" w:type="pct"/>
            <w:gridSpan w:val="5"/>
            <w:shd w:val="clear" w:color="auto" w:fill="auto"/>
          </w:tcPr>
          <w:p w14:paraId="78DAB502" w14:textId="77777777" w:rsidR="003A71DE" w:rsidRPr="001C0E1B" w:rsidRDefault="003A71DE" w:rsidP="003A71DE">
            <w:pPr>
              <w:pStyle w:val="TAL"/>
              <w:rPr>
                <w:noProof/>
              </w:rPr>
            </w:pPr>
            <w:r w:rsidRPr="001C0E1B">
              <w:rPr>
                <w:noProof/>
              </w:rPr>
              <w:t>DRX</w:t>
            </w:r>
          </w:p>
        </w:tc>
        <w:tc>
          <w:tcPr>
            <w:tcW w:w="649" w:type="pct"/>
            <w:shd w:val="clear" w:color="auto" w:fill="auto"/>
          </w:tcPr>
          <w:p w14:paraId="795F00F7" w14:textId="77777777" w:rsidR="003A71DE" w:rsidRPr="001C0E1B" w:rsidRDefault="003A71DE" w:rsidP="003A71DE">
            <w:pPr>
              <w:pStyle w:val="TAC"/>
              <w:rPr>
                <w:noProof/>
              </w:rPr>
            </w:pPr>
          </w:p>
        </w:tc>
        <w:tc>
          <w:tcPr>
            <w:tcW w:w="1531" w:type="pct"/>
            <w:shd w:val="clear" w:color="auto" w:fill="auto"/>
          </w:tcPr>
          <w:p w14:paraId="4CB4EBA8" w14:textId="77777777" w:rsidR="003A71DE" w:rsidRPr="001C0E1B" w:rsidRDefault="003A71DE" w:rsidP="003A71DE">
            <w:pPr>
              <w:pStyle w:val="TAC"/>
              <w:rPr>
                <w:iCs/>
              </w:rPr>
            </w:pPr>
            <w:r w:rsidRPr="001C0E1B">
              <w:rPr>
                <w:iCs/>
              </w:rPr>
              <w:t>OFF</w:t>
            </w:r>
          </w:p>
        </w:tc>
        <w:tc>
          <w:tcPr>
            <w:tcW w:w="1059" w:type="pct"/>
          </w:tcPr>
          <w:p w14:paraId="53C16379" w14:textId="77777777" w:rsidR="003A71DE" w:rsidRPr="001C0E1B" w:rsidRDefault="003A71DE" w:rsidP="003A71DE">
            <w:pPr>
              <w:pStyle w:val="TAC"/>
              <w:rPr>
                <w:i/>
                <w:iCs/>
              </w:rPr>
            </w:pPr>
          </w:p>
        </w:tc>
      </w:tr>
      <w:tr w:rsidR="003A71DE" w:rsidRPr="001C0E1B" w14:paraId="3ABE2615" w14:textId="77777777" w:rsidTr="003A71DE">
        <w:trPr>
          <w:trHeight w:val="162"/>
          <w:jc w:val="center"/>
        </w:trPr>
        <w:tc>
          <w:tcPr>
            <w:tcW w:w="1761" w:type="pct"/>
            <w:gridSpan w:val="5"/>
            <w:shd w:val="clear" w:color="auto" w:fill="auto"/>
          </w:tcPr>
          <w:p w14:paraId="7476EF76" w14:textId="77777777" w:rsidR="003A71DE" w:rsidRPr="001C0E1B" w:rsidRDefault="003A71DE" w:rsidP="003A71DE">
            <w:pPr>
              <w:pStyle w:val="TAL"/>
            </w:pPr>
            <w:r w:rsidRPr="001C0E1B">
              <w:t>rlmInSyncOutOfSyncThreshold</w:t>
            </w:r>
          </w:p>
        </w:tc>
        <w:tc>
          <w:tcPr>
            <w:tcW w:w="649" w:type="pct"/>
            <w:tcBorders>
              <w:bottom w:val="single" w:sz="4" w:space="0" w:color="auto"/>
            </w:tcBorders>
            <w:shd w:val="clear" w:color="auto" w:fill="auto"/>
          </w:tcPr>
          <w:p w14:paraId="11CD6A78" w14:textId="77777777" w:rsidR="003A71DE" w:rsidRPr="001C0E1B" w:rsidRDefault="003A71DE" w:rsidP="003A71DE">
            <w:pPr>
              <w:pStyle w:val="TAC"/>
              <w:rPr>
                <w:noProof/>
              </w:rPr>
            </w:pPr>
          </w:p>
        </w:tc>
        <w:tc>
          <w:tcPr>
            <w:tcW w:w="1531" w:type="pct"/>
            <w:shd w:val="clear" w:color="auto" w:fill="auto"/>
          </w:tcPr>
          <w:p w14:paraId="107A46F4" w14:textId="77777777" w:rsidR="003A71DE" w:rsidRPr="001C0E1B" w:rsidRDefault="003A71DE" w:rsidP="003A71DE">
            <w:pPr>
              <w:pStyle w:val="TAC"/>
              <w:rPr>
                <w:iCs/>
              </w:rPr>
            </w:pPr>
            <w:r w:rsidRPr="001C0E1B">
              <w:rPr>
                <w:iCs/>
              </w:rPr>
              <w:t>absent</w:t>
            </w:r>
          </w:p>
        </w:tc>
        <w:tc>
          <w:tcPr>
            <w:tcW w:w="1059" w:type="pct"/>
            <w:tcBorders>
              <w:bottom w:val="single" w:sz="4" w:space="0" w:color="auto"/>
            </w:tcBorders>
          </w:tcPr>
          <w:p w14:paraId="3E00AB73" w14:textId="77777777" w:rsidR="003A71DE" w:rsidRPr="001C0E1B" w:rsidRDefault="003A71DE" w:rsidP="003A71DE">
            <w:pPr>
              <w:pStyle w:val="TAC"/>
              <w:rPr>
                <w:iCs/>
              </w:rPr>
            </w:pPr>
            <w:r w:rsidRPr="001C0E1B">
              <w:rPr>
                <w:iCs/>
              </w:rPr>
              <w:t xml:space="preserve">When the field is absent, the </w:t>
            </w:r>
            <w:r>
              <w:rPr>
                <w:iCs/>
              </w:rPr>
              <w:t>IAB-MT</w:t>
            </w:r>
            <w:r w:rsidRPr="001C0E1B">
              <w:rPr>
                <w:iCs/>
              </w:rPr>
              <w:t xml:space="preserve"> applies the value 0. (Table 8.1.1-1</w:t>
            </w:r>
            <w:r>
              <w:rPr>
                <w:iCs/>
              </w:rPr>
              <w:t xml:space="preserve"> in TS 38.133 [6]</w:t>
            </w:r>
            <w:r w:rsidRPr="001C0E1B">
              <w:rPr>
                <w:iCs/>
              </w:rPr>
              <w:t>).</w:t>
            </w:r>
          </w:p>
        </w:tc>
      </w:tr>
      <w:tr w:rsidR="003A71DE" w:rsidRPr="001C0E1B" w14:paraId="6B82EDB5" w14:textId="77777777" w:rsidTr="003A71DE">
        <w:trPr>
          <w:trHeight w:val="210"/>
          <w:jc w:val="center"/>
        </w:trPr>
        <w:tc>
          <w:tcPr>
            <w:tcW w:w="974" w:type="pct"/>
            <w:gridSpan w:val="3"/>
            <w:tcBorders>
              <w:bottom w:val="nil"/>
            </w:tcBorders>
            <w:shd w:val="clear" w:color="auto" w:fill="auto"/>
          </w:tcPr>
          <w:p w14:paraId="2BC7BC29" w14:textId="77777777" w:rsidR="003A71DE" w:rsidRPr="001C0E1B" w:rsidRDefault="003A71DE" w:rsidP="003A71DE">
            <w:pPr>
              <w:pStyle w:val="TAL"/>
              <w:rPr>
                <w:noProof/>
              </w:rPr>
            </w:pPr>
            <w:r w:rsidRPr="001C0E1B">
              <w:lastRenderedPageBreak/>
              <w:t>rsrp-</w:t>
            </w:r>
          </w:p>
        </w:tc>
        <w:tc>
          <w:tcPr>
            <w:tcW w:w="787" w:type="pct"/>
            <w:gridSpan w:val="2"/>
            <w:shd w:val="clear" w:color="auto" w:fill="auto"/>
          </w:tcPr>
          <w:p w14:paraId="288A4424" w14:textId="77777777" w:rsidR="003A71DE" w:rsidRPr="001C0E1B" w:rsidRDefault="003A71DE" w:rsidP="003A71DE">
            <w:pPr>
              <w:pStyle w:val="TAL"/>
              <w:rPr>
                <w:noProof/>
              </w:rPr>
            </w:pPr>
            <w:r w:rsidRPr="001C0E1B">
              <w:rPr>
                <w:noProof/>
                <w:lang w:eastAsia="zh-CN"/>
              </w:rPr>
              <w:t>Config 1</w:t>
            </w:r>
          </w:p>
        </w:tc>
        <w:tc>
          <w:tcPr>
            <w:tcW w:w="649" w:type="pct"/>
            <w:tcBorders>
              <w:bottom w:val="nil"/>
            </w:tcBorders>
            <w:shd w:val="clear" w:color="auto" w:fill="auto"/>
          </w:tcPr>
          <w:p w14:paraId="5B64EB59" w14:textId="77777777" w:rsidR="003A71DE" w:rsidRPr="001C0E1B" w:rsidRDefault="003A71DE" w:rsidP="003A71DE">
            <w:pPr>
              <w:pStyle w:val="TAC"/>
              <w:rPr>
                <w:noProof/>
              </w:rPr>
            </w:pPr>
            <w:r w:rsidRPr="00B3067E">
              <w:rPr>
                <w:noProof/>
              </w:rPr>
              <w:t>dBm/</w:t>
            </w:r>
            <w:r>
              <w:rPr>
                <w:noProof/>
              </w:rPr>
              <w:t>SSB</w:t>
            </w:r>
          </w:p>
        </w:tc>
        <w:tc>
          <w:tcPr>
            <w:tcW w:w="1531" w:type="pct"/>
            <w:shd w:val="clear" w:color="auto" w:fill="auto"/>
          </w:tcPr>
          <w:p w14:paraId="49A5A01B" w14:textId="77777777" w:rsidR="003A71DE" w:rsidRPr="001C0E1B" w:rsidRDefault="003A71DE" w:rsidP="003A71DE">
            <w:pPr>
              <w:pStyle w:val="TAC"/>
              <w:rPr>
                <w:noProof/>
              </w:rPr>
            </w:pPr>
            <w:r>
              <w:rPr>
                <w:iCs/>
              </w:rPr>
              <w:t>-94.5</w:t>
            </w:r>
          </w:p>
        </w:tc>
        <w:tc>
          <w:tcPr>
            <w:tcW w:w="1059" w:type="pct"/>
            <w:tcBorders>
              <w:bottom w:val="nil"/>
            </w:tcBorders>
            <w:shd w:val="clear" w:color="auto" w:fill="auto"/>
          </w:tcPr>
          <w:p w14:paraId="71FBFF6D" w14:textId="77777777" w:rsidR="003A71DE" w:rsidRPr="001C0E1B" w:rsidRDefault="003A71DE" w:rsidP="003A71DE">
            <w:pPr>
              <w:pStyle w:val="TAC"/>
              <w:rPr>
                <w:iCs/>
              </w:rPr>
            </w:pPr>
            <w:r w:rsidRPr="001C0E1B">
              <w:rPr>
                <w:noProof/>
              </w:rPr>
              <w:t xml:space="preserve">Threshold used </w:t>
            </w:r>
          </w:p>
        </w:tc>
      </w:tr>
      <w:tr w:rsidR="003A71DE" w:rsidRPr="001C0E1B" w14:paraId="5B4FC7A0" w14:textId="77777777" w:rsidTr="003A71DE">
        <w:trPr>
          <w:trHeight w:val="210"/>
          <w:jc w:val="center"/>
        </w:trPr>
        <w:tc>
          <w:tcPr>
            <w:tcW w:w="974" w:type="pct"/>
            <w:gridSpan w:val="3"/>
            <w:tcBorders>
              <w:top w:val="nil"/>
            </w:tcBorders>
            <w:shd w:val="clear" w:color="auto" w:fill="auto"/>
          </w:tcPr>
          <w:p w14:paraId="18E6355D" w14:textId="77777777" w:rsidR="003A71DE" w:rsidRPr="001C0E1B" w:rsidRDefault="003A71DE" w:rsidP="003A71DE">
            <w:pPr>
              <w:pStyle w:val="TAL"/>
            </w:pPr>
            <w:r w:rsidRPr="001C0E1B">
              <w:t>ThresholdSSB</w:t>
            </w:r>
          </w:p>
        </w:tc>
        <w:tc>
          <w:tcPr>
            <w:tcW w:w="787" w:type="pct"/>
            <w:gridSpan w:val="2"/>
            <w:shd w:val="clear" w:color="auto" w:fill="auto"/>
          </w:tcPr>
          <w:p w14:paraId="5299E6F5" w14:textId="77777777" w:rsidR="003A71DE" w:rsidRPr="001C0E1B" w:rsidRDefault="003A71DE" w:rsidP="003A71DE">
            <w:pPr>
              <w:pStyle w:val="TAL"/>
              <w:rPr>
                <w:noProof/>
              </w:rPr>
            </w:pPr>
            <w:r w:rsidRPr="001C0E1B">
              <w:rPr>
                <w:noProof/>
                <w:lang w:eastAsia="zh-CN"/>
              </w:rPr>
              <w:t>Config 2</w:t>
            </w:r>
          </w:p>
        </w:tc>
        <w:tc>
          <w:tcPr>
            <w:tcW w:w="649" w:type="pct"/>
            <w:tcBorders>
              <w:top w:val="nil"/>
            </w:tcBorders>
            <w:shd w:val="clear" w:color="auto" w:fill="auto"/>
          </w:tcPr>
          <w:p w14:paraId="753E2B5A" w14:textId="77777777" w:rsidR="003A71DE" w:rsidRPr="001C0E1B" w:rsidRDefault="003A71DE" w:rsidP="003A71DE">
            <w:pPr>
              <w:pStyle w:val="TAC"/>
              <w:rPr>
                <w:noProof/>
              </w:rPr>
            </w:pPr>
            <w:r w:rsidRPr="00B3067E">
              <w:rPr>
                <w:noProof/>
              </w:rPr>
              <w:t>SCS</w:t>
            </w:r>
          </w:p>
        </w:tc>
        <w:tc>
          <w:tcPr>
            <w:tcW w:w="1531" w:type="pct"/>
            <w:shd w:val="clear" w:color="auto" w:fill="auto"/>
          </w:tcPr>
          <w:p w14:paraId="6D12208A" w14:textId="77777777" w:rsidR="003A71DE" w:rsidRPr="001C0E1B" w:rsidRDefault="003A71DE" w:rsidP="003A71DE">
            <w:pPr>
              <w:pStyle w:val="TAC"/>
              <w:rPr>
                <w:iCs/>
              </w:rPr>
            </w:pPr>
            <w:r>
              <w:rPr>
                <w:iCs/>
                <w:lang w:eastAsia="zh-CN"/>
              </w:rPr>
              <w:t>-91.5</w:t>
            </w:r>
          </w:p>
        </w:tc>
        <w:tc>
          <w:tcPr>
            <w:tcW w:w="1059" w:type="pct"/>
            <w:tcBorders>
              <w:top w:val="nil"/>
            </w:tcBorders>
            <w:shd w:val="clear" w:color="auto" w:fill="auto"/>
          </w:tcPr>
          <w:p w14:paraId="6B775048" w14:textId="77777777" w:rsidR="003A71DE" w:rsidRPr="001C0E1B" w:rsidRDefault="003A71DE" w:rsidP="003A71DE">
            <w:pPr>
              <w:pStyle w:val="TAC"/>
              <w:rPr>
                <w:noProof/>
              </w:rPr>
            </w:pPr>
            <w:r w:rsidRPr="001C0E1B">
              <w:rPr>
                <w:noProof/>
              </w:rPr>
              <w:t>for Q</w:t>
            </w:r>
            <w:r w:rsidRPr="001C0E1B">
              <w:rPr>
                <w:noProof/>
                <w:vertAlign w:val="subscript"/>
              </w:rPr>
              <w:t>in_LR_SSB</w:t>
            </w:r>
          </w:p>
        </w:tc>
      </w:tr>
      <w:tr w:rsidR="003A71DE" w:rsidRPr="001C0E1B" w14:paraId="23F03870" w14:textId="77777777" w:rsidTr="003A71DE">
        <w:trPr>
          <w:trHeight w:val="336"/>
          <w:jc w:val="center"/>
        </w:trPr>
        <w:tc>
          <w:tcPr>
            <w:tcW w:w="1761" w:type="pct"/>
            <w:gridSpan w:val="5"/>
            <w:shd w:val="clear" w:color="auto" w:fill="auto"/>
          </w:tcPr>
          <w:p w14:paraId="1EAA2D81" w14:textId="77777777" w:rsidR="003A71DE" w:rsidRPr="001C0E1B" w:rsidRDefault="003A71DE" w:rsidP="003A71DE">
            <w:pPr>
              <w:pStyle w:val="TAL"/>
            </w:pPr>
            <w:r w:rsidRPr="001C0E1B">
              <w:t>powerControlOffsetSS</w:t>
            </w:r>
          </w:p>
        </w:tc>
        <w:tc>
          <w:tcPr>
            <w:tcW w:w="649" w:type="pct"/>
            <w:shd w:val="clear" w:color="auto" w:fill="auto"/>
          </w:tcPr>
          <w:p w14:paraId="01A06251" w14:textId="77777777" w:rsidR="003A71DE" w:rsidRPr="001C0E1B" w:rsidRDefault="003A71DE" w:rsidP="003A71DE">
            <w:pPr>
              <w:pStyle w:val="TAC"/>
              <w:rPr>
                <w:noProof/>
              </w:rPr>
            </w:pPr>
          </w:p>
        </w:tc>
        <w:tc>
          <w:tcPr>
            <w:tcW w:w="1531" w:type="pct"/>
            <w:shd w:val="clear" w:color="auto" w:fill="auto"/>
          </w:tcPr>
          <w:p w14:paraId="00E8769A" w14:textId="77777777" w:rsidR="003A71DE" w:rsidRPr="001C0E1B" w:rsidRDefault="003A71DE" w:rsidP="003A71DE">
            <w:pPr>
              <w:pStyle w:val="TAC"/>
              <w:rPr>
                <w:iCs/>
              </w:rPr>
            </w:pPr>
            <w:r>
              <w:rPr>
                <w:iCs/>
              </w:rPr>
              <w:t>db0</w:t>
            </w:r>
          </w:p>
        </w:tc>
        <w:tc>
          <w:tcPr>
            <w:tcW w:w="1059" w:type="pct"/>
          </w:tcPr>
          <w:p w14:paraId="711A95C2" w14:textId="77777777" w:rsidR="003A71DE" w:rsidRPr="001C0E1B" w:rsidRDefault="003A71DE" w:rsidP="003A71DE">
            <w:pPr>
              <w:pStyle w:val="TAC"/>
              <w:rPr>
                <w:noProof/>
              </w:rPr>
            </w:pPr>
            <w:r w:rsidRPr="001C0E1B">
              <w:rPr>
                <w:noProof/>
              </w:rPr>
              <w:t>Used for deriving rsrp-ThresholdCSI-RS</w:t>
            </w:r>
          </w:p>
        </w:tc>
      </w:tr>
      <w:tr w:rsidR="003A71DE" w:rsidRPr="001C0E1B" w14:paraId="5CBF5333" w14:textId="77777777" w:rsidTr="003A71DE">
        <w:trPr>
          <w:trHeight w:val="162"/>
          <w:jc w:val="center"/>
        </w:trPr>
        <w:tc>
          <w:tcPr>
            <w:tcW w:w="1761" w:type="pct"/>
            <w:gridSpan w:val="5"/>
            <w:shd w:val="clear" w:color="auto" w:fill="auto"/>
          </w:tcPr>
          <w:p w14:paraId="51B1DCB4" w14:textId="77777777" w:rsidR="003A71DE" w:rsidRPr="001C0E1B" w:rsidRDefault="003A71DE" w:rsidP="003A71DE">
            <w:pPr>
              <w:pStyle w:val="TAL"/>
              <w:rPr>
                <w:noProof/>
              </w:rPr>
            </w:pPr>
            <w:r w:rsidRPr="001C0E1B">
              <w:rPr>
                <w:noProof/>
              </w:rPr>
              <w:t>beamFailureInstanceMaxCount</w:t>
            </w:r>
          </w:p>
        </w:tc>
        <w:tc>
          <w:tcPr>
            <w:tcW w:w="649" w:type="pct"/>
            <w:shd w:val="clear" w:color="auto" w:fill="auto"/>
          </w:tcPr>
          <w:p w14:paraId="2F6CD230" w14:textId="77777777" w:rsidR="003A71DE" w:rsidRPr="001C0E1B" w:rsidRDefault="003A71DE" w:rsidP="003A71DE">
            <w:pPr>
              <w:pStyle w:val="TAC"/>
              <w:rPr>
                <w:iCs/>
              </w:rPr>
            </w:pPr>
          </w:p>
        </w:tc>
        <w:tc>
          <w:tcPr>
            <w:tcW w:w="1531" w:type="pct"/>
            <w:shd w:val="clear" w:color="auto" w:fill="auto"/>
          </w:tcPr>
          <w:p w14:paraId="7CC84B62" w14:textId="77777777" w:rsidR="003A71DE" w:rsidRPr="001C0E1B" w:rsidRDefault="003A71DE" w:rsidP="003A71DE">
            <w:pPr>
              <w:pStyle w:val="TAC"/>
              <w:rPr>
                <w:iCs/>
              </w:rPr>
            </w:pPr>
            <w:r w:rsidRPr="001C0E1B">
              <w:rPr>
                <w:iCs/>
                <w:lang w:eastAsia="zh-CN"/>
              </w:rPr>
              <w:t>n</w:t>
            </w:r>
            <w:r w:rsidRPr="001C0E1B">
              <w:rPr>
                <w:iCs/>
              </w:rPr>
              <w:t>1</w:t>
            </w:r>
          </w:p>
        </w:tc>
        <w:tc>
          <w:tcPr>
            <w:tcW w:w="1059" w:type="pct"/>
          </w:tcPr>
          <w:p w14:paraId="2B00E78A" w14:textId="77777777" w:rsidR="003A71DE" w:rsidRPr="001C0E1B" w:rsidRDefault="003A71DE" w:rsidP="003A71DE">
            <w:pPr>
              <w:pStyle w:val="TAC"/>
              <w:rPr>
                <w:iCs/>
              </w:rPr>
            </w:pPr>
            <w:r w:rsidRPr="001C0E1B">
              <w:rPr>
                <w:iCs/>
              </w:rPr>
              <w:t>see clause 5.17 of TS 38.321 [7]</w:t>
            </w:r>
          </w:p>
        </w:tc>
      </w:tr>
      <w:tr w:rsidR="003A71DE" w:rsidRPr="001C0E1B" w14:paraId="47E77F94" w14:textId="77777777" w:rsidTr="003A71DE">
        <w:trPr>
          <w:trHeight w:val="162"/>
          <w:jc w:val="center"/>
        </w:trPr>
        <w:tc>
          <w:tcPr>
            <w:tcW w:w="1761" w:type="pct"/>
            <w:gridSpan w:val="5"/>
            <w:shd w:val="clear" w:color="auto" w:fill="auto"/>
          </w:tcPr>
          <w:p w14:paraId="32E7C2F7" w14:textId="77777777" w:rsidR="003A71DE" w:rsidRPr="001C0E1B" w:rsidRDefault="003A71DE" w:rsidP="003A71DE">
            <w:pPr>
              <w:pStyle w:val="TAL"/>
              <w:rPr>
                <w:noProof/>
              </w:rPr>
            </w:pPr>
            <w:r w:rsidRPr="001C0E1B">
              <w:rPr>
                <w:noProof/>
              </w:rPr>
              <w:t>beamFailureDetectionTimer</w:t>
            </w:r>
          </w:p>
        </w:tc>
        <w:tc>
          <w:tcPr>
            <w:tcW w:w="649" w:type="pct"/>
            <w:shd w:val="clear" w:color="auto" w:fill="auto"/>
          </w:tcPr>
          <w:p w14:paraId="002F45BE" w14:textId="77777777" w:rsidR="003A71DE" w:rsidRPr="001C0E1B" w:rsidRDefault="003A71DE" w:rsidP="003A71DE">
            <w:pPr>
              <w:pStyle w:val="TAC"/>
              <w:rPr>
                <w:iCs/>
              </w:rPr>
            </w:pPr>
          </w:p>
        </w:tc>
        <w:tc>
          <w:tcPr>
            <w:tcW w:w="1531" w:type="pct"/>
            <w:shd w:val="clear" w:color="auto" w:fill="auto"/>
          </w:tcPr>
          <w:p w14:paraId="30932C7E" w14:textId="77777777" w:rsidR="003A71DE" w:rsidRPr="001C0E1B" w:rsidRDefault="003A71DE" w:rsidP="003A71DE">
            <w:pPr>
              <w:pStyle w:val="TAC"/>
              <w:rPr>
                <w:i/>
                <w:iCs/>
              </w:rPr>
            </w:pPr>
            <w:r w:rsidRPr="001C0E1B">
              <w:rPr>
                <w:noProof/>
              </w:rPr>
              <w:t>pbfd4</w:t>
            </w:r>
          </w:p>
        </w:tc>
        <w:tc>
          <w:tcPr>
            <w:tcW w:w="1059" w:type="pct"/>
          </w:tcPr>
          <w:p w14:paraId="191EA688" w14:textId="77777777" w:rsidR="003A71DE" w:rsidRPr="001C0E1B" w:rsidRDefault="003A71DE" w:rsidP="003A71DE">
            <w:pPr>
              <w:pStyle w:val="TAC"/>
              <w:rPr>
                <w:noProof/>
              </w:rPr>
            </w:pPr>
            <w:r w:rsidRPr="001C0E1B">
              <w:rPr>
                <w:iCs/>
              </w:rPr>
              <w:t>see clause 5.17 of TS 38.321 [7]</w:t>
            </w:r>
          </w:p>
        </w:tc>
      </w:tr>
      <w:tr w:rsidR="003A71DE" w:rsidRPr="001C0E1B" w14:paraId="4D38CB79" w14:textId="77777777" w:rsidTr="003A71DE">
        <w:trPr>
          <w:trHeight w:val="61"/>
          <w:jc w:val="center"/>
        </w:trPr>
        <w:tc>
          <w:tcPr>
            <w:tcW w:w="1188" w:type="pct"/>
            <w:gridSpan w:val="4"/>
            <w:shd w:val="clear" w:color="auto" w:fill="auto"/>
            <w:vAlign w:val="center"/>
          </w:tcPr>
          <w:p w14:paraId="1716383F" w14:textId="77777777" w:rsidR="003A71DE" w:rsidRPr="001C0E1B" w:rsidRDefault="003A71DE" w:rsidP="003A71DE">
            <w:pPr>
              <w:pStyle w:val="TAL"/>
              <w:rPr>
                <w:rFonts w:cs="Arial"/>
                <w:bCs/>
              </w:rPr>
            </w:pPr>
            <w:r w:rsidRPr="001C0E1B">
              <w:rPr>
                <w:noProof/>
              </w:rPr>
              <w:t>CSI-RS configuration for CSI reporting</w:t>
            </w:r>
          </w:p>
        </w:tc>
        <w:tc>
          <w:tcPr>
            <w:tcW w:w="573" w:type="pct"/>
            <w:shd w:val="clear" w:color="auto" w:fill="auto"/>
          </w:tcPr>
          <w:p w14:paraId="4A787671"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0A64B7AD" w14:textId="77777777" w:rsidR="003A71DE" w:rsidRPr="001C0E1B" w:rsidRDefault="003A71DE" w:rsidP="003A71DE">
            <w:pPr>
              <w:pStyle w:val="TAC"/>
              <w:rPr>
                <w:noProof/>
              </w:rPr>
            </w:pPr>
          </w:p>
        </w:tc>
        <w:tc>
          <w:tcPr>
            <w:tcW w:w="1531" w:type="pct"/>
          </w:tcPr>
          <w:p w14:paraId="54E72D88" w14:textId="77777777" w:rsidR="003A71DE" w:rsidRPr="001C0E1B" w:rsidRDefault="003A71DE" w:rsidP="003A71DE">
            <w:pPr>
              <w:pStyle w:val="TAC"/>
              <w:rPr>
                <w:noProof/>
              </w:rPr>
            </w:pPr>
            <w:r w:rsidRPr="001C0E1B">
              <w:rPr>
                <w:szCs w:val="18"/>
              </w:rPr>
              <w:t>CSI-RS.3.1 TDD</w:t>
            </w:r>
          </w:p>
        </w:tc>
        <w:tc>
          <w:tcPr>
            <w:tcW w:w="1059" w:type="pct"/>
          </w:tcPr>
          <w:p w14:paraId="43CA9166" w14:textId="77777777" w:rsidR="003A71DE" w:rsidRPr="001C0E1B" w:rsidRDefault="003A71DE" w:rsidP="003A71DE">
            <w:pPr>
              <w:pStyle w:val="TAC"/>
              <w:rPr>
                <w:szCs w:val="18"/>
              </w:rPr>
            </w:pPr>
          </w:p>
        </w:tc>
      </w:tr>
      <w:tr w:rsidR="003A71DE" w:rsidRPr="001C0E1B" w14:paraId="56B52C87" w14:textId="77777777" w:rsidTr="003A71DE">
        <w:trPr>
          <w:trHeight w:val="61"/>
          <w:jc w:val="center"/>
        </w:trPr>
        <w:tc>
          <w:tcPr>
            <w:tcW w:w="1761" w:type="pct"/>
            <w:gridSpan w:val="5"/>
            <w:shd w:val="clear" w:color="auto" w:fill="auto"/>
            <w:vAlign w:val="center"/>
          </w:tcPr>
          <w:p w14:paraId="16E2BD7F" w14:textId="77777777" w:rsidR="003A71DE" w:rsidRPr="001C0E1B" w:rsidRDefault="003A71DE" w:rsidP="003A71DE">
            <w:pPr>
              <w:pStyle w:val="TAL"/>
              <w:rPr>
                <w:noProof/>
              </w:rPr>
            </w:pPr>
            <w:r w:rsidRPr="001C0E1B">
              <w:rPr>
                <w:noProof/>
              </w:rPr>
              <w:t>TCI states</w:t>
            </w:r>
          </w:p>
        </w:tc>
        <w:tc>
          <w:tcPr>
            <w:tcW w:w="649" w:type="pct"/>
            <w:shd w:val="clear" w:color="auto" w:fill="auto"/>
          </w:tcPr>
          <w:p w14:paraId="138C7121" w14:textId="77777777" w:rsidR="003A71DE" w:rsidRPr="001C0E1B" w:rsidRDefault="003A71DE" w:rsidP="003A71DE">
            <w:pPr>
              <w:pStyle w:val="TAC"/>
              <w:rPr>
                <w:noProof/>
              </w:rPr>
            </w:pPr>
          </w:p>
        </w:tc>
        <w:tc>
          <w:tcPr>
            <w:tcW w:w="1531" w:type="pct"/>
          </w:tcPr>
          <w:p w14:paraId="0DDCB71D" w14:textId="77777777" w:rsidR="003A71DE" w:rsidRPr="001C0E1B" w:rsidRDefault="003A71DE" w:rsidP="003A71DE">
            <w:pPr>
              <w:pStyle w:val="TAC"/>
              <w:rPr>
                <w:szCs w:val="18"/>
              </w:rPr>
            </w:pPr>
            <w:r w:rsidRPr="001C0E1B">
              <w:rPr>
                <w:rFonts w:eastAsia="MS Mincho"/>
              </w:rPr>
              <w:t>TCI.State.0</w:t>
            </w:r>
          </w:p>
        </w:tc>
        <w:tc>
          <w:tcPr>
            <w:tcW w:w="1059" w:type="pct"/>
          </w:tcPr>
          <w:p w14:paraId="676988E2" w14:textId="77777777" w:rsidR="003A71DE" w:rsidRPr="001C0E1B" w:rsidRDefault="003A71DE" w:rsidP="003A71DE">
            <w:pPr>
              <w:pStyle w:val="TAC"/>
              <w:rPr>
                <w:szCs w:val="18"/>
              </w:rPr>
            </w:pPr>
          </w:p>
        </w:tc>
      </w:tr>
      <w:tr w:rsidR="003A71DE" w:rsidRPr="001C0E1B" w14:paraId="3A9660EF" w14:textId="77777777" w:rsidTr="003A71DE">
        <w:trPr>
          <w:trHeight w:val="61"/>
          <w:jc w:val="center"/>
        </w:trPr>
        <w:tc>
          <w:tcPr>
            <w:tcW w:w="1188" w:type="pct"/>
            <w:gridSpan w:val="4"/>
            <w:shd w:val="clear" w:color="auto" w:fill="auto"/>
            <w:vAlign w:val="center"/>
          </w:tcPr>
          <w:p w14:paraId="7F7A1C7E" w14:textId="77777777" w:rsidR="003A71DE" w:rsidRPr="001C0E1B" w:rsidRDefault="003A71DE" w:rsidP="003A71DE">
            <w:pPr>
              <w:pStyle w:val="TAL"/>
              <w:rPr>
                <w:noProof/>
              </w:rPr>
            </w:pPr>
            <w:r w:rsidRPr="001C0E1B">
              <w:t>CSI-RS for tracking</w:t>
            </w:r>
          </w:p>
        </w:tc>
        <w:tc>
          <w:tcPr>
            <w:tcW w:w="573" w:type="pct"/>
            <w:shd w:val="clear" w:color="auto" w:fill="auto"/>
          </w:tcPr>
          <w:p w14:paraId="0AA40BBB" w14:textId="77777777" w:rsidR="003A71DE" w:rsidRPr="001C0E1B" w:rsidRDefault="003A71DE" w:rsidP="003A71DE">
            <w:pPr>
              <w:pStyle w:val="TAL"/>
              <w:rPr>
                <w:noProof/>
              </w:rPr>
            </w:pPr>
            <w:r w:rsidRPr="001C0E1B">
              <w:rPr>
                <w:noProof/>
              </w:rPr>
              <w:t>Config 1, 2</w:t>
            </w:r>
          </w:p>
        </w:tc>
        <w:tc>
          <w:tcPr>
            <w:tcW w:w="649" w:type="pct"/>
            <w:shd w:val="clear" w:color="auto" w:fill="auto"/>
          </w:tcPr>
          <w:p w14:paraId="5262C572" w14:textId="77777777" w:rsidR="003A71DE" w:rsidRPr="001C0E1B" w:rsidRDefault="003A71DE" w:rsidP="003A71DE">
            <w:pPr>
              <w:pStyle w:val="TAC"/>
              <w:rPr>
                <w:noProof/>
              </w:rPr>
            </w:pPr>
          </w:p>
        </w:tc>
        <w:tc>
          <w:tcPr>
            <w:tcW w:w="1531" w:type="pct"/>
          </w:tcPr>
          <w:p w14:paraId="323D8F51" w14:textId="77777777" w:rsidR="003A71DE" w:rsidRPr="001C0E1B" w:rsidRDefault="003A71DE" w:rsidP="003A71DE">
            <w:pPr>
              <w:pStyle w:val="TAC"/>
              <w:rPr>
                <w:szCs w:val="18"/>
              </w:rPr>
            </w:pPr>
            <w:r w:rsidRPr="001C0E1B">
              <w:rPr>
                <w:szCs w:val="18"/>
              </w:rPr>
              <w:t>TRS.2.1 TDD</w:t>
            </w:r>
          </w:p>
        </w:tc>
        <w:tc>
          <w:tcPr>
            <w:tcW w:w="1059" w:type="pct"/>
          </w:tcPr>
          <w:p w14:paraId="7EAFD54A" w14:textId="77777777" w:rsidR="003A71DE" w:rsidRPr="001C0E1B" w:rsidRDefault="003A71DE" w:rsidP="003A71DE">
            <w:pPr>
              <w:pStyle w:val="TAC"/>
              <w:rPr>
                <w:szCs w:val="18"/>
              </w:rPr>
            </w:pPr>
          </w:p>
        </w:tc>
      </w:tr>
      <w:tr w:rsidR="003A71DE" w:rsidRPr="001C0E1B" w14:paraId="79A03604" w14:textId="77777777" w:rsidTr="003A71DE">
        <w:trPr>
          <w:trHeight w:val="61"/>
          <w:jc w:val="center"/>
        </w:trPr>
        <w:tc>
          <w:tcPr>
            <w:tcW w:w="1761" w:type="pct"/>
            <w:gridSpan w:val="5"/>
            <w:shd w:val="clear" w:color="auto" w:fill="auto"/>
          </w:tcPr>
          <w:p w14:paraId="36117DC7" w14:textId="77777777" w:rsidR="003A71DE" w:rsidRPr="001C0E1B" w:rsidRDefault="003A71DE" w:rsidP="003A71DE">
            <w:pPr>
              <w:pStyle w:val="TAL"/>
              <w:rPr>
                <w:noProof/>
              </w:rPr>
            </w:pPr>
            <w:r w:rsidRPr="001C0E1B">
              <w:rPr>
                <w:noProof/>
              </w:rPr>
              <w:t>SSB index assigned as RLM RS</w:t>
            </w:r>
          </w:p>
        </w:tc>
        <w:tc>
          <w:tcPr>
            <w:tcW w:w="649" w:type="pct"/>
            <w:shd w:val="clear" w:color="auto" w:fill="auto"/>
          </w:tcPr>
          <w:p w14:paraId="581303AC" w14:textId="77777777" w:rsidR="003A71DE" w:rsidRPr="001C0E1B" w:rsidRDefault="003A71DE" w:rsidP="003A71DE">
            <w:pPr>
              <w:pStyle w:val="TAC"/>
              <w:rPr>
                <w:noProof/>
              </w:rPr>
            </w:pPr>
          </w:p>
        </w:tc>
        <w:tc>
          <w:tcPr>
            <w:tcW w:w="1531" w:type="pct"/>
          </w:tcPr>
          <w:p w14:paraId="6C80C927" w14:textId="77777777" w:rsidR="003A71DE" w:rsidRPr="001C0E1B" w:rsidRDefault="003A71DE" w:rsidP="003A71DE">
            <w:pPr>
              <w:pStyle w:val="TAC"/>
              <w:rPr>
                <w:szCs w:val="18"/>
              </w:rPr>
            </w:pPr>
            <w:r w:rsidRPr="001C0E1B">
              <w:rPr>
                <w:rFonts w:cs="Arial"/>
                <w:szCs w:val="18"/>
              </w:rPr>
              <w:t>0, 1</w:t>
            </w:r>
          </w:p>
        </w:tc>
        <w:tc>
          <w:tcPr>
            <w:tcW w:w="1059" w:type="pct"/>
          </w:tcPr>
          <w:p w14:paraId="23B1DE0C" w14:textId="77777777" w:rsidR="003A71DE" w:rsidRPr="001C0E1B" w:rsidRDefault="003A71DE" w:rsidP="003A71DE">
            <w:pPr>
              <w:pStyle w:val="TAC"/>
              <w:rPr>
                <w:szCs w:val="18"/>
              </w:rPr>
            </w:pPr>
          </w:p>
        </w:tc>
      </w:tr>
      <w:tr w:rsidR="003A71DE" w:rsidRPr="001C0E1B" w14:paraId="3CBD3852" w14:textId="77777777" w:rsidTr="003A71DE">
        <w:trPr>
          <w:trHeight w:val="61"/>
          <w:jc w:val="center"/>
        </w:trPr>
        <w:tc>
          <w:tcPr>
            <w:tcW w:w="1761" w:type="pct"/>
            <w:gridSpan w:val="5"/>
            <w:shd w:val="clear" w:color="auto" w:fill="auto"/>
          </w:tcPr>
          <w:p w14:paraId="1245387C" w14:textId="77777777" w:rsidR="003A71DE" w:rsidRPr="001C0E1B" w:rsidRDefault="003A71DE" w:rsidP="003A71DE">
            <w:pPr>
              <w:pStyle w:val="TAL"/>
              <w:rPr>
                <w:noProof/>
                <w:lang w:eastAsia="zh-CN"/>
              </w:rPr>
            </w:pPr>
            <w:r w:rsidRPr="001C0E1B">
              <w:rPr>
                <w:noProof/>
                <w:lang w:eastAsia="zh-CN"/>
              </w:rPr>
              <w:t>T310 Timer</w:t>
            </w:r>
          </w:p>
        </w:tc>
        <w:tc>
          <w:tcPr>
            <w:tcW w:w="649" w:type="pct"/>
            <w:shd w:val="clear" w:color="auto" w:fill="auto"/>
          </w:tcPr>
          <w:p w14:paraId="0494986F" w14:textId="77777777" w:rsidR="003A71DE" w:rsidRPr="001C0E1B" w:rsidRDefault="003A71DE" w:rsidP="003A71DE">
            <w:pPr>
              <w:pStyle w:val="TAC"/>
              <w:rPr>
                <w:noProof/>
                <w:lang w:eastAsia="zh-CN"/>
              </w:rPr>
            </w:pPr>
            <w:r w:rsidRPr="001C0E1B">
              <w:rPr>
                <w:noProof/>
                <w:lang w:eastAsia="zh-CN"/>
              </w:rPr>
              <w:t>ms</w:t>
            </w:r>
          </w:p>
        </w:tc>
        <w:tc>
          <w:tcPr>
            <w:tcW w:w="1531" w:type="pct"/>
          </w:tcPr>
          <w:p w14:paraId="53A89451" w14:textId="77777777" w:rsidR="003A71DE" w:rsidRPr="001C0E1B" w:rsidRDefault="003A71DE" w:rsidP="003A71DE">
            <w:pPr>
              <w:pStyle w:val="TAC"/>
              <w:rPr>
                <w:rFonts w:cs="Arial"/>
                <w:szCs w:val="18"/>
                <w:lang w:eastAsia="zh-CN"/>
              </w:rPr>
            </w:pPr>
            <w:r w:rsidRPr="001C0E1B">
              <w:rPr>
                <w:rFonts w:cs="Arial"/>
                <w:szCs w:val="18"/>
                <w:lang w:eastAsia="zh-CN"/>
              </w:rPr>
              <w:t>1000</w:t>
            </w:r>
          </w:p>
        </w:tc>
        <w:tc>
          <w:tcPr>
            <w:tcW w:w="1059" w:type="pct"/>
          </w:tcPr>
          <w:p w14:paraId="054ED7E6" w14:textId="77777777" w:rsidR="003A71DE" w:rsidRPr="001C0E1B" w:rsidRDefault="003A71DE" w:rsidP="003A71DE">
            <w:pPr>
              <w:pStyle w:val="TAC"/>
              <w:rPr>
                <w:rFonts w:cs="Arial"/>
                <w:iCs/>
                <w:szCs w:val="18"/>
                <w:lang w:eastAsia="zh-CN"/>
              </w:rPr>
            </w:pPr>
          </w:p>
        </w:tc>
      </w:tr>
      <w:tr w:rsidR="003A71DE" w:rsidRPr="001C0E1B" w14:paraId="7859D687" w14:textId="77777777" w:rsidTr="003A71DE">
        <w:trPr>
          <w:trHeight w:val="61"/>
          <w:jc w:val="center"/>
        </w:trPr>
        <w:tc>
          <w:tcPr>
            <w:tcW w:w="1761" w:type="pct"/>
            <w:gridSpan w:val="5"/>
            <w:shd w:val="clear" w:color="auto" w:fill="auto"/>
          </w:tcPr>
          <w:p w14:paraId="42266A3F" w14:textId="77777777" w:rsidR="003A71DE" w:rsidRPr="001C0E1B" w:rsidRDefault="003A71DE" w:rsidP="003A71DE">
            <w:pPr>
              <w:pStyle w:val="TAL"/>
              <w:rPr>
                <w:noProof/>
                <w:lang w:eastAsia="zh-CN"/>
              </w:rPr>
            </w:pPr>
            <w:r w:rsidRPr="001C0E1B">
              <w:rPr>
                <w:noProof/>
                <w:lang w:eastAsia="zh-CN"/>
              </w:rPr>
              <w:t>N310</w:t>
            </w:r>
          </w:p>
        </w:tc>
        <w:tc>
          <w:tcPr>
            <w:tcW w:w="649" w:type="pct"/>
            <w:shd w:val="clear" w:color="auto" w:fill="auto"/>
          </w:tcPr>
          <w:p w14:paraId="56C6BF2A" w14:textId="77777777" w:rsidR="003A71DE" w:rsidRPr="001C0E1B" w:rsidRDefault="003A71DE" w:rsidP="003A71DE">
            <w:pPr>
              <w:pStyle w:val="TAC"/>
              <w:rPr>
                <w:noProof/>
              </w:rPr>
            </w:pPr>
          </w:p>
        </w:tc>
        <w:tc>
          <w:tcPr>
            <w:tcW w:w="1531" w:type="pct"/>
          </w:tcPr>
          <w:p w14:paraId="21A084A7" w14:textId="77777777" w:rsidR="003A71DE" w:rsidRPr="001C0E1B" w:rsidRDefault="003A71DE" w:rsidP="003A71DE">
            <w:pPr>
              <w:pStyle w:val="TAC"/>
              <w:rPr>
                <w:rFonts w:cs="Arial"/>
                <w:szCs w:val="18"/>
                <w:lang w:eastAsia="zh-CN"/>
              </w:rPr>
            </w:pPr>
            <w:r w:rsidRPr="001C0E1B">
              <w:rPr>
                <w:rFonts w:cs="Arial"/>
                <w:szCs w:val="18"/>
                <w:lang w:eastAsia="zh-CN"/>
              </w:rPr>
              <w:t>2</w:t>
            </w:r>
          </w:p>
        </w:tc>
        <w:tc>
          <w:tcPr>
            <w:tcW w:w="1059" w:type="pct"/>
          </w:tcPr>
          <w:p w14:paraId="260DBEB4" w14:textId="77777777" w:rsidR="003A71DE" w:rsidRPr="001C0E1B" w:rsidRDefault="003A71DE" w:rsidP="003A71DE">
            <w:pPr>
              <w:pStyle w:val="TAC"/>
              <w:rPr>
                <w:rFonts w:cs="Arial"/>
                <w:iCs/>
                <w:szCs w:val="18"/>
                <w:lang w:eastAsia="zh-CN"/>
              </w:rPr>
            </w:pPr>
          </w:p>
        </w:tc>
      </w:tr>
      <w:tr w:rsidR="003A71DE" w:rsidRPr="001C0E1B" w14:paraId="3D629C66" w14:textId="77777777" w:rsidTr="003A71DE">
        <w:trPr>
          <w:trHeight w:val="162"/>
          <w:jc w:val="center"/>
        </w:trPr>
        <w:tc>
          <w:tcPr>
            <w:tcW w:w="1761" w:type="pct"/>
            <w:gridSpan w:val="5"/>
            <w:shd w:val="clear" w:color="auto" w:fill="auto"/>
          </w:tcPr>
          <w:p w14:paraId="298802C3" w14:textId="77777777" w:rsidR="003A71DE" w:rsidRPr="001C0E1B" w:rsidRDefault="003A71DE" w:rsidP="003A71DE">
            <w:pPr>
              <w:pStyle w:val="TAL"/>
              <w:rPr>
                <w:noProof/>
              </w:rPr>
            </w:pPr>
            <w:r w:rsidRPr="001C0E1B">
              <w:rPr>
                <w:noProof/>
              </w:rPr>
              <w:t>T1</w:t>
            </w:r>
          </w:p>
        </w:tc>
        <w:tc>
          <w:tcPr>
            <w:tcW w:w="649" w:type="pct"/>
            <w:shd w:val="clear" w:color="auto" w:fill="auto"/>
          </w:tcPr>
          <w:p w14:paraId="61DEC748" w14:textId="77777777" w:rsidR="003A71DE" w:rsidRPr="001C0E1B" w:rsidRDefault="003A71DE" w:rsidP="003A71DE">
            <w:pPr>
              <w:pStyle w:val="TAC"/>
              <w:rPr>
                <w:noProof/>
              </w:rPr>
            </w:pPr>
            <w:r w:rsidRPr="001C0E1B">
              <w:rPr>
                <w:noProof/>
              </w:rPr>
              <w:t>s</w:t>
            </w:r>
          </w:p>
        </w:tc>
        <w:tc>
          <w:tcPr>
            <w:tcW w:w="1531" w:type="pct"/>
            <w:shd w:val="clear" w:color="auto" w:fill="auto"/>
          </w:tcPr>
          <w:p w14:paraId="3A900A32" w14:textId="77777777" w:rsidR="003A71DE" w:rsidRPr="001C0E1B" w:rsidRDefault="003A71DE" w:rsidP="003A71DE">
            <w:pPr>
              <w:pStyle w:val="TAC"/>
              <w:rPr>
                <w:noProof/>
              </w:rPr>
            </w:pPr>
            <w:r w:rsidRPr="001C0E1B">
              <w:rPr>
                <w:noProof/>
              </w:rPr>
              <w:t>1</w:t>
            </w:r>
          </w:p>
        </w:tc>
        <w:tc>
          <w:tcPr>
            <w:tcW w:w="1059" w:type="pct"/>
          </w:tcPr>
          <w:p w14:paraId="42E3EF5D" w14:textId="77777777" w:rsidR="003A71DE" w:rsidRPr="001C0E1B" w:rsidRDefault="003A71DE" w:rsidP="003A71DE">
            <w:pPr>
              <w:pStyle w:val="TAC"/>
              <w:rPr>
                <w:noProof/>
              </w:rPr>
            </w:pPr>
            <w:r w:rsidRPr="001C0E1B">
              <w:rPr>
                <w:noProof/>
              </w:rPr>
              <w:t xml:space="preserve">During this time the the </w:t>
            </w:r>
            <w:r>
              <w:rPr>
                <w:noProof/>
              </w:rPr>
              <w:t>IAB-MT</w:t>
            </w:r>
            <w:r w:rsidRPr="001C0E1B">
              <w:rPr>
                <w:noProof/>
              </w:rPr>
              <w:t xml:space="preserve"> shall be fully synchronized to cell 1</w:t>
            </w:r>
          </w:p>
        </w:tc>
      </w:tr>
      <w:tr w:rsidR="003A71DE" w:rsidRPr="001C0E1B" w14:paraId="5839AC69" w14:textId="77777777" w:rsidTr="003A71DE">
        <w:trPr>
          <w:trHeight w:val="174"/>
          <w:jc w:val="center"/>
        </w:trPr>
        <w:tc>
          <w:tcPr>
            <w:tcW w:w="1761" w:type="pct"/>
            <w:gridSpan w:val="5"/>
            <w:shd w:val="clear" w:color="auto" w:fill="auto"/>
          </w:tcPr>
          <w:p w14:paraId="0B16D830" w14:textId="77777777" w:rsidR="003A71DE" w:rsidRPr="001C0E1B" w:rsidRDefault="003A71DE" w:rsidP="003A71DE">
            <w:pPr>
              <w:pStyle w:val="TAL"/>
              <w:rPr>
                <w:noProof/>
              </w:rPr>
            </w:pPr>
            <w:r w:rsidRPr="001C0E1B">
              <w:rPr>
                <w:noProof/>
              </w:rPr>
              <w:t>T2</w:t>
            </w:r>
          </w:p>
        </w:tc>
        <w:tc>
          <w:tcPr>
            <w:tcW w:w="649" w:type="pct"/>
            <w:shd w:val="clear" w:color="auto" w:fill="auto"/>
          </w:tcPr>
          <w:p w14:paraId="067068D5" w14:textId="77777777" w:rsidR="003A71DE" w:rsidRPr="001C0E1B" w:rsidRDefault="003A71DE" w:rsidP="003A71DE">
            <w:pPr>
              <w:pStyle w:val="TAC"/>
              <w:rPr>
                <w:noProof/>
              </w:rPr>
            </w:pPr>
            <w:r w:rsidRPr="001C0E1B">
              <w:rPr>
                <w:noProof/>
              </w:rPr>
              <w:t>s</w:t>
            </w:r>
          </w:p>
        </w:tc>
        <w:tc>
          <w:tcPr>
            <w:tcW w:w="1531" w:type="pct"/>
            <w:shd w:val="clear" w:color="auto" w:fill="auto"/>
          </w:tcPr>
          <w:p w14:paraId="21725A1E" w14:textId="77777777" w:rsidR="003A71DE" w:rsidRPr="001C0E1B" w:rsidRDefault="003A71DE" w:rsidP="003A71DE">
            <w:pPr>
              <w:pStyle w:val="TAC"/>
              <w:rPr>
                <w:noProof/>
              </w:rPr>
            </w:pPr>
            <w:r w:rsidRPr="001C0E1B">
              <w:rPr>
                <w:noProof/>
              </w:rPr>
              <w:t>2.61</w:t>
            </w:r>
          </w:p>
        </w:tc>
        <w:tc>
          <w:tcPr>
            <w:tcW w:w="1059" w:type="pct"/>
          </w:tcPr>
          <w:p w14:paraId="3AF80737" w14:textId="77777777" w:rsidR="003A71DE" w:rsidRPr="001C0E1B" w:rsidRDefault="003A71DE" w:rsidP="003A71DE">
            <w:pPr>
              <w:pStyle w:val="TAC"/>
              <w:rPr>
                <w:noProof/>
              </w:rPr>
            </w:pPr>
          </w:p>
        </w:tc>
      </w:tr>
      <w:tr w:rsidR="003A71DE" w:rsidRPr="001C0E1B" w14:paraId="0E275D72" w14:textId="77777777" w:rsidTr="003A71DE">
        <w:trPr>
          <w:trHeight w:val="162"/>
          <w:jc w:val="center"/>
        </w:trPr>
        <w:tc>
          <w:tcPr>
            <w:tcW w:w="1761" w:type="pct"/>
            <w:gridSpan w:val="5"/>
            <w:shd w:val="clear" w:color="auto" w:fill="auto"/>
          </w:tcPr>
          <w:p w14:paraId="37981368" w14:textId="77777777" w:rsidR="003A71DE" w:rsidRPr="001C0E1B" w:rsidRDefault="003A71DE" w:rsidP="003A71DE">
            <w:pPr>
              <w:pStyle w:val="TAL"/>
              <w:rPr>
                <w:noProof/>
              </w:rPr>
            </w:pPr>
            <w:r w:rsidRPr="001C0E1B">
              <w:rPr>
                <w:noProof/>
              </w:rPr>
              <w:t>T3</w:t>
            </w:r>
          </w:p>
        </w:tc>
        <w:tc>
          <w:tcPr>
            <w:tcW w:w="649" w:type="pct"/>
            <w:shd w:val="clear" w:color="auto" w:fill="auto"/>
          </w:tcPr>
          <w:p w14:paraId="602D5FC3" w14:textId="77777777" w:rsidR="003A71DE" w:rsidRPr="001C0E1B" w:rsidRDefault="003A71DE" w:rsidP="003A71DE">
            <w:pPr>
              <w:pStyle w:val="TAC"/>
              <w:rPr>
                <w:noProof/>
              </w:rPr>
            </w:pPr>
            <w:r w:rsidRPr="001C0E1B">
              <w:rPr>
                <w:noProof/>
              </w:rPr>
              <w:t>s</w:t>
            </w:r>
          </w:p>
        </w:tc>
        <w:tc>
          <w:tcPr>
            <w:tcW w:w="1531" w:type="pct"/>
            <w:shd w:val="clear" w:color="auto" w:fill="auto"/>
          </w:tcPr>
          <w:p w14:paraId="47BF93A8" w14:textId="77777777" w:rsidR="003A71DE" w:rsidRPr="001C0E1B" w:rsidRDefault="003A71DE" w:rsidP="003A71DE">
            <w:pPr>
              <w:pStyle w:val="TAC"/>
              <w:rPr>
                <w:noProof/>
              </w:rPr>
            </w:pPr>
            <w:r w:rsidRPr="001C0E1B">
              <w:rPr>
                <w:noProof/>
              </w:rPr>
              <w:t>1.64</w:t>
            </w:r>
          </w:p>
        </w:tc>
        <w:tc>
          <w:tcPr>
            <w:tcW w:w="1059" w:type="pct"/>
          </w:tcPr>
          <w:p w14:paraId="1B906961" w14:textId="77777777" w:rsidR="003A71DE" w:rsidRPr="001C0E1B" w:rsidRDefault="003A71DE" w:rsidP="003A71DE">
            <w:pPr>
              <w:pStyle w:val="TAC"/>
              <w:rPr>
                <w:noProof/>
              </w:rPr>
            </w:pPr>
          </w:p>
        </w:tc>
      </w:tr>
      <w:tr w:rsidR="003A71DE" w:rsidRPr="001C0E1B" w14:paraId="2633C9A1" w14:textId="77777777" w:rsidTr="003A71DE">
        <w:trPr>
          <w:trHeight w:val="162"/>
          <w:jc w:val="center"/>
        </w:trPr>
        <w:tc>
          <w:tcPr>
            <w:tcW w:w="1761" w:type="pct"/>
            <w:gridSpan w:val="5"/>
            <w:shd w:val="clear" w:color="auto" w:fill="auto"/>
          </w:tcPr>
          <w:p w14:paraId="1738A287" w14:textId="77777777" w:rsidR="003A71DE" w:rsidRPr="001C0E1B" w:rsidRDefault="003A71DE" w:rsidP="003A71DE">
            <w:pPr>
              <w:pStyle w:val="TAL"/>
              <w:rPr>
                <w:noProof/>
              </w:rPr>
            </w:pPr>
            <w:r w:rsidRPr="001C0E1B">
              <w:rPr>
                <w:noProof/>
              </w:rPr>
              <w:t>T4</w:t>
            </w:r>
          </w:p>
        </w:tc>
        <w:tc>
          <w:tcPr>
            <w:tcW w:w="649" w:type="pct"/>
            <w:shd w:val="clear" w:color="auto" w:fill="auto"/>
          </w:tcPr>
          <w:p w14:paraId="72BFCCC9" w14:textId="77777777" w:rsidR="003A71DE" w:rsidRPr="001C0E1B" w:rsidRDefault="003A71DE" w:rsidP="003A71DE">
            <w:pPr>
              <w:pStyle w:val="TAC"/>
              <w:rPr>
                <w:noProof/>
              </w:rPr>
            </w:pPr>
            <w:r>
              <w:rPr>
                <w:noProof/>
              </w:rPr>
              <w:t>s</w:t>
            </w:r>
          </w:p>
        </w:tc>
        <w:tc>
          <w:tcPr>
            <w:tcW w:w="1531" w:type="pct"/>
            <w:shd w:val="clear" w:color="auto" w:fill="auto"/>
          </w:tcPr>
          <w:p w14:paraId="4320409E" w14:textId="77777777" w:rsidR="003A71DE" w:rsidRPr="001C0E1B" w:rsidRDefault="003A71DE" w:rsidP="003A71DE">
            <w:pPr>
              <w:pStyle w:val="TAC"/>
              <w:rPr>
                <w:noProof/>
              </w:rPr>
            </w:pPr>
            <w:r w:rsidRPr="001C0E1B">
              <w:rPr>
                <w:noProof/>
              </w:rPr>
              <w:t>0</w:t>
            </w:r>
          </w:p>
        </w:tc>
        <w:tc>
          <w:tcPr>
            <w:tcW w:w="1059" w:type="pct"/>
          </w:tcPr>
          <w:p w14:paraId="475BC224" w14:textId="77777777" w:rsidR="003A71DE" w:rsidRPr="001C0E1B" w:rsidRDefault="003A71DE" w:rsidP="003A71DE">
            <w:pPr>
              <w:pStyle w:val="TAC"/>
              <w:rPr>
                <w:noProof/>
              </w:rPr>
            </w:pPr>
          </w:p>
        </w:tc>
      </w:tr>
      <w:tr w:rsidR="003A71DE" w:rsidRPr="001C0E1B" w14:paraId="22D902B4" w14:textId="77777777" w:rsidTr="003A71DE">
        <w:trPr>
          <w:trHeight w:val="162"/>
          <w:jc w:val="center"/>
        </w:trPr>
        <w:tc>
          <w:tcPr>
            <w:tcW w:w="1761" w:type="pct"/>
            <w:gridSpan w:val="5"/>
            <w:shd w:val="clear" w:color="auto" w:fill="auto"/>
          </w:tcPr>
          <w:p w14:paraId="2BCAE434" w14:textId="77777777" w:rsidR="003A71DE" w:rsidRPr="001C0E1B" w:rsidRDefault="003A71DE" w:rsidP="003A71DE">
            <w:pPr>
              <w:pStyle w:val="TAL"/>
              <w:rPr>
                <w:noProof/>
              </w:rPr>
            </w:pPr>
            <w:r w:rsidRPr="001C0E1B">
              <w:rPr>
                <w:noProof/>
              </w:rPr>
              <w:t>T5</w:t>
            </w:r>
          </w:p>
        </w:tc>
        <w:tc>
          <w:tcPr>
            <w:tcW w:w="649" w:type="pct"/>
            <w:shd w:val="clear" w:color="auto" w:fill="auto"/>
          </w:tcPr>
          <w:p w14:paraId="21A17A01" w14:textId="77777777" w:rsidR="003A71DE" w:rsidRPr="001C0E1B" w:rsidRDefault="003A71DE" w:rsidP="003A71DE">
            <w:pPr>
              <w:pStyle w:val="TAC"/>
              <w:rPr>
                <w:noProof/>
              </w:rPr>
            </w:pPr>
            <w:r w:rsidRPr="001C0E1B">
              <w:rPr>
                <w:noProof/>
              </w:rPr>
              <w:t>s</w:t>
            </w:r>
          </w:p>
        </w:tc>
        <w:tc>
          <w:tcPr>
            <w:tcW w:w="1531" w:type="pct"/>
            <w:shd w:val="clear" w:color="auto" w:fill="auto"/>
          </w:tcPr>
          <w:p w14:paraId="4AD24D68" w14:textId="77777777" w:rsidR="003A71DE" w:rsidRPr="001C0E1B" w:rsidRDefault="003A71DE" w:rsidP="003A71DE">
            <w:pPr>
              <w:pStyle w:val="TAC"/>
              <w:rPr>
                <w:noProof/>
              </w:rPr>
            </w:pPr>
            <w:r w:rsidRPr="001C0E1B">
              <w:rPr>
                <w:noProof/>
              </w:rPr>
              <w:t>1.01</w:t>
            </w:r>
          </w:p>
        </w:tc>
        <w:tc>
          <w:tcPr>
            <w:tcW w:w="1059" w:type="pct"/>
          </w:tcPr>
          <w:p w14:paraId="00F06ED8" w14:textId="77777777" w:rsidR="003A71DE" w:rsidRPr="001C0E1B" w:rsidRDefault="003A71DE" w:rsidP="003A71DE">
            <w:pPr>
              <w:pStyle w:val="TAC"/>
              <w:rPr>
                <w:noProof/>
              </w:rPr>
            </w:pPr>
          </w:p>
        </w:tc>
      </w:tr>
      <w:tr w:rsidR="003A71DE" w:rsidRPr="001C0E1B" w14:paraId="6E52526C" w14:textId="77777777" w:rsidTr="003A71DE">
        <w:trPr>
          <w:trHeight w:val="162"/>
          <w:jc w:val="center"/>
        </w:trPr>
        <w:tc>
          <w:tcPr>
            <w:tcW w:w="1761" w:type="pct"/>
            <w:gridSpan w:val="5"/>
            <w:shd w:val="clear" w:color="auto" w:fill="auto"/>
          </w:tcPr>
          <w:p w14:paraId="7A4969A3" w14:textId="77777777" w:rsidR="003A71DE" w:rsidRPr="001C0E1B" w:rsidRDefault="003A71DE" w:rsidP="003A71DE">
            <w:pPr>
              <w:pStyle w:val="TAL"/>
              <w:rPr>
                <w:noProof/>
              </w:rPr>
            </w:pPr>
            <w:r w:rsidRPr="001C0E1B">
              <w:rPr>
                <w:noProof/>
              </w:rPr>
              <w:t>D1</w:t>
            </w:r>
          </w:p>
        </w:tc>
        <w:tc>
          <w:tcPr>
            <w:tcW w:w="649" w:type="pct"/>
            <w:shd w:val="clear" w:color="auto" w:fill="auto"/>
          </w:tcPr>
          <w:p w14:paraId="6D668B09" w14:textId="77777777" w:rsidR="003A71DE" w:rsidRPr="001C0E1B" w:rsidRDefault="003A71DE" w:rsidP="003A71DE">
            <w:pPr>
              <w:pStyle w:val="TAC"/>
              <w:rPr>
                <w:noProof/>
              </w:rPr>
            </w:pPr>
            <w:r w:rsidRPr="001C0E1B">
              <w:rPr>
                <w:noProof/>
              </w:rPr>
              <w:t>s</w:t>
            </w:r>
          </w:p>
        </w:tc>
        <w:tc>
          <w:tcPr>
            <w:tcW w:w="1531" w:type="pct"/>
            <w:shd w:val="clear" w:color="auto" w:fill="auto"/>
          </w:tcPr>
          <w:p w14:paraId="11F0C166" w14:textId="77777777" w:rsidR="003A71DE" w:rsidRPr="001C0E1B" w:rsidRDefault="003A71DE" w:rsidP="003A71DE">
            <w:pPr>
              <w:pStyle w:val="TAC"/>
              <w:rPr>
                <w:noProof/>
              </w:rPr>
            </w:pPr>
            <w:r w:rsidRPr="001C0E1B">
              <w:rPr>
                <w:noProof/>
              </w:rPr>
              <w:t>0.97</w:t>
            </w:r>
          </w:p>
        </w:tc>
        <w:tc>
          <w:tcPr>
            <w:tcW w:w="1059" w:type="pct"/>
          </w:tcPr>
          <w:p w14:paraId="5C381389" w14:textId="77777777" w:rsidR="003A71DE" w:rsidRPr="001C0E1B" w:rsidRDefault="003A71DE" w:rsidP="003A71DE">
            <w:pPr>
              <w:pStyle w:val="TAC"/>
              <w:rPr>
                <w:noProof/>
              </w:rPr>
            </w:pPr>
          </w:p>
        </w:tc>
      </w:tr>
      <w:tr w:rsidR="003A71DE" w:rsidRPr="001C0E1B" w14:paraId="1F267115" w14:textId="77777777" w:rsidTr="003A71DE">
        <w:trPr>
          <w:trHeight w:val="675"/>
          <w:jc w:val="center"/>
        </w:trPr>
        <w:tc>
          <w:tcPr>
            <w:tcW w:w="5000" w:type="pct"/>
            <w:gridSpan w:val="8"/>
          </w:tcPr>
          <w:p w14:paraId="6730E966" w14:textId="77777777" w:rsidR="003A71DE" w:rsidRPr="001C0E1B" w:rsidRDefault="003A71DE" w:rsidP="003A71DE">
            <w:pPr>
              <w:pStyle w:val="TAN"/>
            </w:pPr>
            <w:r w:rsidRPr="001C0E1B">
              <w:rPr>
                <w:noProof/>
              </w:rPr>
              <w:t>Note 1:</w:t>
            </w:r>
            <w:r w:rsidRPr="001C0E1B">
              <w:rPr>
                <w:lang w:eastAsia="zh-CN"/>
              </w:rPr>
              <w:tab/>
            </w:r>
            <w:r w:rsidRPr="001C0E1B">
              <w:t xml:space="preserve">All configurations are assigned to the </w:t>
            </w:r>
            <w:r>
              <w:t>IAB-MT</w:t>
            </w:r>
            <w:r w:rsidRPr="001C0E1B">
              <w:t xml:space="preserve"> prior to the start of time period T1.</w:t>
            </w:r>
          </w:p>
          <w:p w14:paraId="5A76EB1C" w14:textId="77777777" w:rsidR="003A71DE" w:rsidRPr="001C0E1B" w:rsidRDefault="003A71DE" w:rsidP="003A71DE">
            <w:pPr>
              <w:pStyle w:val="TAN"/>
            </w:pPr>
            <w:r w:rsidRPr="001C0E1B">
              <w:t>Note 2:</w:t>
            </w:r>
            <w:r w:rsidRPr="001C0E1B">
              <w:tab/>
            </w:r>
            <w:r>
              <w:t>IAB-MT</w:t>
            </w:r>
            <w:r w:rsidRPr="001C0E1B">
              <w:t>-specific PDCCH is not transmitted after T1 starts.</w:t>
            </w:r>
          </w:p>
        </w:tc>
      </w:tr>
    </w:tbl>
    <w:p w14:paraId="20CCF94A" w14:textId="77777777" w:rsidR="003A71DE" w:rsidRPr="001C0E1B" w:rsidRDefault="003A71DE" w:rsidP="003A71DE">
      <w:pPr>
        <w:spacing w:before="120"/>
        <w:rPr>
          <w:i/>
        </w:rPr>
      </w:pPr>
      <w:r w:rsidRPr="001C0E1B">
        <w:rPr>
          <w:i/>
        </w:rPr>
        <w:t>Editor’s note: An additional RS for RLM, different from BFD-RS at constant high SNR shall be configured as part of the test configuration.</w:t>
      </w:r>
    </w:p>
    <w:p w14:paraId="72844A5F" w14:textId="77777777" w:rsidR="003A71DE" w:rsidRPr="001C0E1B" w:rsidRDefault="003A71DE" w:rsidP="003A71DE">
      <w:pPr>
        <w:spacing w:before="120"/>
      </w:pPr>
    </w:p>
    <w:p w14:paraId="58260B15" w14:textId="77777777" w:rsidR="003A71DE" w:rsidRPr="001C0E1B" w:rsidRDefault="003A71DE" w:rsidP="00746C0D">
      <w:pPr>
        <w:pStyle w:val="TH"/>
      </w:pPr>
      <w:r w:rsidRPr="001C0E1B">
        <w:lastRenderedPageBreak/>
        <w:t xml:space="preserve">Table </w:t>
      </w:r>
      <w:r>
        <w:t>G.2.3.2.2</w:t>
      </w:r>
      <w:r w:rsidRPr="001C0E1B">
        <w:t xml:space="preserve">.1-3: Cell specific test parameters for FR2 PCell for SSB-based beam failure detection and link recovery testing </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1206"/>
        <w:gridCol w:w="1062"/>
        <w:gridCol w:w="879"/>
        <w:gridCol w:w="879"/>
        <w:gridCol w:w="879"/>
        <w:gridCol w:w="879"/>
        <w:gridCol w:w="879"/>
      </w:tblGrid>
      <w:tr w:rsidR="003A71DE" w:rsidRPr="001C0E1B" w14:paraId="02DEE8A1" w14:textId="77777777" w:rsidTr="003A71DE">
        <w:trPr>
          <w:cantSplit/>
          <w:trHeight w:val="187"/>
          <w:jc w:val="center"/>
        </w:trPr>
        <w:tc>
          <w:tcPr>
            <w:tcW w:w="3469" w:type="dxa"/>
            <w:gridSpan w:val="2"/>
            <w:tcBorders>
              <w:top w:val="single" w:sz="4" w:space="0" w:color="auto"/>
              <w:left w:val="single" w:sz="4" w:space="0" w:color="auto"/>
              <w:bottom w:val="nil"/>
              <w:right w:val="single" w:sz="4" w:space="0" w:color="auto"/>
            </w:tcBorders>
            <w:shd w:val="clear" w:color="auto" w:fill="auto"/>
            <w:hideMark/>
          </w:tcPr>
          <w:p w14:paraId="4684061C" w14:textId="77777777" w:rsidR="003A71DE" w:rsidRPr="001C0E1B" w:rsidRDefault="003A71DE" w:rsidP="003A71DE">
            <w:pPr>
              <w:pStyle w:val="TAH"/>
            </w:pPr>
            <w:r w:rsidRPr="001C0E1B">
              <w:t>Parameter</w:t>
            </w:r>
          </w:p>
        </w:tc>
        <w:tc>
          <w:tcPr>
            <w:tcW w:w="1062" w:type="dxa"/>
            <w:tcBorders>
              <w:top w:val="single" w:sz="4" w:space="0" w:color="auto"/>
              <w:left w:val="single" w:sz="4" w:space="0" w:color="auto"/>
              <w:bottom w:val="nil"/>
              <w:right w:val="single" w:sz="4" w:space="0" w:color="auto"/>
            </w:tcBorders>
            <w:shd w:val="clear" w:color="auto" w:fill="auto"/>
            <w:hideMark/>
          </w:tcPr>
          <w:p w14:paraId="51EB4613" w14:textId="77777777" w:rsidR="003A71DE" w:rsidRPr="001C0E1B" w:rsidRDefault="003A71DE" w:rsidP="003A71DE">
            <w:pPr>
              <w:pStyle w:val="TAH"/>
            </w:pPr>
            <w:r w:rsidRPr="001C0E1B">
              <w:t>Unit</w:t>
            </w:r>
          </w:p>
        </w:tc>
        <w:tc>
          <w:tcPr>
            <w:tcW w:w="4395" w:type="dxa"/>
            <w:gridSpan w:val="5"/>
            <w:tcBorders>
              <w:top w:val="single" w:sz="4" w:space="0" w:color="auto"/>
              <w:left w:val="single" w:sz="4" w:space="0" w:color="auto"/>
              <w:bottom w:val="single" w:sz="4" w:space="0" w:color="auto"/>
              <w:right w:val="single" w:sz="4" w:space="0" w:color="auto"/>
            </w:tcBorders>
            <w:hideMark/>
          </w:tcPr>
          <w:p w14:paraId="49EC21F1" w14:textId="77777777" w:rsidR="003A71DE" w:rsidRPr="001C0E1B" w:rsidRDefault="003A71DE" w:rsidP="003A71DE">
            <w:pPr>
              <w:pStyle w:val="TAH"/>
            </w:pPr>
            <w:r w:rsidRPr="001C0E1B">
              <w:t>Test 1</w:t>
            </w:r>
          </w:p>
        </w:tc>
      </w:tr>
      <w:tr w:rsidR="003A71DE" w:rsidRPr="001C0E1B" w14:paraId="4EE42555" w14:textId="77777777" w:rsidTr="003A71DE">
        <w:trPr>
          <w:cantSplit/>
          <w:trHeight w:val="187"/>
          <w:jc w:val="center"/>
        </w:trPr>
        <w:tc>
          <w:tcPr>
            <w:tcW w:w="3469" w:type="dxa"/>
            <w:gridSpan w:val="2"/>
            <w:tcBorders>
              <w:top w:val="nil"/>
              <w:left w:val="single" w:sz="4" w:space="0" w:color="auto"/>
              <w:bottom w:val="single" w:sz="4" w:space="0" w:color="auto"/>
              <w:right w:val="single" w:sz="4" w:space="0" w:color="auto"/>
            </w:tcBorders>
            <w:shd w:val="clear" w:color="auto" w:fill="auto"/>
            <w:vAlign w:val="center"/>
            <w:hideMark/>
          </w:tcPr>
          <w:p w14:paraId="3C8F264E" w14:textId="77777777" w:rsidR="003A71DE" w:rsidRPr="001C0E1B" w:rsidRDefault="003A71DE" w:rsidP="003A71DE">
            <w:pPr>
              <w:pStyle w:val="TAH"/>
            </w:pPr>
          </w:p>
        </w:tc>
        <w:tc>
          <w:tcPr>
            <w:tcW w:w="1062" w:type="dxa"/>
            <w:tcBorders>
              <w:top w:val="nil"/>
              <w:left w:val="single" w:sz="4" w:space="0" w:color="auto"/>
              <w:bottom w:val="single" w:sz="4" w:space="0" w:color="auto"/>
              <w:right w:val="single" w:sz="4" w:space="0" w:color="auto"/>
            </w:tcBorders>
            <w:shd w:val="clear" w:color="auto" w:fill="auto"/>
            <w:vAlign w:val="center"/>
            <w:hideMark/>
          </w:tcPr>
          <w:p w14:paraId="5ABD528E" w14:textId="77777777" w:rsidR="003A71DE" w:rsidRPr="001C0E1B" w:rsidRDefault="003A71DE" w:rsidP="003A71DE">
            <w:pPr>
              <w:pStyle w:val="TAH"/>
            </w:pPr>
          </w:p>
        </w:tc>
        <w:tc>
          <w:tcPr>
            <w:tcW w:w="879" w:type="dxa"/>
            <w:tcBorders>
              <w:top w:val="single" w:sz="4" w:space="0" w:color="auto"/>
              <w:left w:val="single" w:sz="4" w:space="0" w:color="auto"/>
              <w:bottom w:val="single" w:sz="4" w:space="0" w:color="auto"/>
              <w:right w:val="single" w:sz="4" w:space="0" w:color="auto"/>
            </w:tcBorders>
            <w:hideMark/>
          </w:tcPr>
          <w:p w14:paraId="2C1508B9" w14:textId="77777777" w:rsidR="003A71DE" w:rsidRPr="001C0E1B" w:rsidRDefault="003A71DE" w:rsidP="003A71DE">
            <w:pPr>
              <w:pStyle w:val="TAH"/>
            </w:pPr>
            <w:r w:rsidRPr="001C0E1B">
              <w:t>T1</w:t>
            </w:r>
          </w:p>
        </w:tc>
        <w:tc>
          <w:tcPr>
            <w:tcW w:w="879" w:type="dxa"/>
            <w:tcBorders>
              <w:top w:val="single" w:sz="4" w:space="0" w:color="auto"/>
              <w:left w:val="single" w:sz="4" w:space="0" w:color="auto"/>
              <w:bottom w:val="single" w:sz="4" w:space="0" w:color="auto"/>
              <w:right w:val="single" w:sz="4" w:space="0" w:color="auto"/>
            </w:tcBorders>
            <w:hideMark/>
          </w:tcPr>
          <w:p w14:paraId="3DFC73B4" w14:textId="77777777" w:rsidR="003A71DE" w:rsidRPr="001C0E1B" w:rsidRDefault="003A71DE" w:rsidP="003A71DE">
            <w:pPr>
              <w:pStyle w:val="TAH"/>
            </w:pPr>
            <w:r w:rsidRPr="001C0E1B">
              <w:t>T2</w:t>
            </w:r>
          </w:p>
        </w:tc>
        <w:tc>
          <w:tcPr>
            <w:tcW w:w="879" w:type="dxa"/>
            <w:tcBorders>
              <w:top w:val="single" w:sz="4" w:space="0" w:color="auto"/>
              <w:left w:val="single" w:sz="4" w:space="0" w:color="auto"/>
              <w:bottom w:val="single" w:sz="4" w:space="0" w:color="auto"/>
              <w:right w:val="single" w:sz="4" w:space="0" w:color="auto"/>
            </w:tcBorders>
            <w:hideMark/>
          </w:tcPr>
          <w:p w14:paraId="18EF99B5" w14:textId="77777777" w:rsidR="003A71DE" w:rsidRPr="001C0E1B" w:rsidRDefault="003A71DE" w:rsidP="003A71DE">
            <w:pPr>
              <w:pStyle w:val="TAH"/>
            </w:pPr>
            <w:r w:rsidRPr="001C0E1B">
              <w:t>T3</w:t>
            </w:r>
          </w:p>
        </w:tc>
        <w:tc>
          <w:tcPr>
            <w:tcW w:w="879" w:type="dxa"/>
            <w:tcBorders>
              <w:top w:val="single" w:sz="4" w:space="0" w:color="auto"/>
              <w:left w:val="single" w:sz="4" w:space="0" w:color="auto"/>
              <w:bottom w:val="single" w:sz="4" w:space="0" w:color="auto"/>
              <w:right w:val="single" w:sz="4" w:space="0" w:color="auto"/>
            </w:tcBorders>
            <w:hideMark/>
          </w:tcPr>
          <w:p w14:paraId="3AE87C03" w14:textId="77777777" w:rsidR="003A71DE" w:rsidRPr="001C0E1B" w:rsidRDefault="003A71DE" w:rsidP="003A71DE">
            <w:pPr>
              <w:pStyle w:val="TAH"/>
            </w:pPr>
            <w:r w:rsidRPr="001C0E1B">
              <w:t>T4</w:t>
            </w:r>
          </w:p>
        </w:tc>
        <w:tc>
          <w:tcPr>
            <w:tcW w:w="879" w:type="dxa"/>
            <w:tcBorders>
              <w:top w:val="single" w:sz="4" w:space="0" w:color="auto"/>
              <w:left w:val="single" w:sz="4" w:space="0" w:color="auto"/>
              <w:bottom w:val="single" w:sz="4" w:space="0" w:color="auto"/>
              <w:right w:val="single" w:sz="4" w:space="0" w:color="auto"/>
            </w:tcBorders>
            <w:hideMark/>
          </w:tcPr>
          <w:p w14:paraId="03EA4EF8" w14:textId="77777777" w:rsidR="003A71DE" w:rsidRPr="001C0E1B" w:rsidRDefault="003A71DE" w:rsidP="003A71DE">
            <w:pPr>
              <w:pStyle w:val="TAH"/>
            </w:pPr>
            <w:r w:rsidRPr="001C0E1B">
              <w:t>T5</w:t>
            </w:r>
          </w:p>
        </w:tc>
      </w:tr>
      <w:tr w:rsidR="003A71DE" w:rsidRPr="001C0E1B" w14:paraId="59424EC8" w14:textId="77777777" w:rsidTr="003A71DE">
        <w:trPr>
          <w:cantSplit/>
          <w:trHeight w:val="270"/>
          <w:jc w:val="center"/>
        </w:trPr>
        <w:tc>
          <w:tcPr>
            <w:tcW w:w="3469" w:type="dxa"/>
            <w:gridSpan w:val="2"/>
            <w:tcBorders>
              <w:top w:val="single" w:sz="4" w:space="0" w:color="auto"/>
              <w:left w:val="single" w:sz="4" w:space="0" w:color="auto"/>
              <w:bottom w:val="single" w:sz="4" w:space="0" w:color="auto"/>
              <w:right w:val="single" w:sz="4" w:space="0" w:color="auto"/>
            </w:tcBorders>
          </w:tcPr>
          <w:p w14:paraId="21791249" w14:textId="77777777" w:rsidR="003A71DE" w:rsidRPr="001C0E1B" w:rsidRDefault="003A71DE" w:rsidP="003A71DE">
            <w:pPr>
              <w:pStyle w:val="TAL"/>
              <w:rPr>
                <w:lang w:eastAsia="ja-JP"/>
              </w:rPr>
            </w:pPr>
            <w:r w:rsidRPr="001C0E1B">
              <w:t>AoA setup</w:t>
            </w:r>
          </w:p>
        </w:tc>
        <w:tc>
          <w:tcPr>
            <w:tcW w:w="1062" w:type="dxa"/>
            <w:tcBorders>
              <w:top w:val="single" w:sz="4" w:space="0" w:color="auto"/>
              <w:left w:val="single" w:sz="4" w:space="0" w:color="auto"/>
              <w:bottom w:val="single" w:sz="4" w:space="0" w:color="auto"/>
              <w:right w:val="single" w:sz="4" w:space="0" w:color="auto"/>
            </w:tcBorders>
          </w:tcPr>
          <w:p w14:paraId="3CBF3D48" w14:textId="77777777" w:rsidR="003A71DE" w:rsidRPr="001C0E1B" w:rsidRDefault="003A71DE" w:rsidP="003A71DE">
            <w:pPr>
              <w:pStyle w:val="TAC"/>
            </w:pPr>
          </w:p>
        </w:tc>
        <w:tc>
          <w:tcPr>
            <w:tcW w:w="4395" w:type="dxa"/>
            <w:gridSpan w:val="5"/>
            <w:tcBorders>
              <w:top w:val="single" w:sz="4" w:space="0" w:color="auto"/>
              <w:left w:val="single" w:sz="4" w:space="0" w:color="auto"/>
              <w:right w:val="single" w:sz="4" w:space="0" w:color="auto"/>
            </w:tcBorders>
          </w:tcPr>
          <w:p w14:paraId="0F9EC6EE" w14:textId="77777777" w:rsidR="003A71DE" w:rsidRPr="001C0E1B" w:rsidRDefault="003A71DE" w:rsidP="003A71DE">
            <w:pPr>
              <w:pStyle w:val="TAC"/>
            </w:pPr>
            <w:r w:rsidRPr="001C0E1B">
              <w:t xml:space="preserve">Setup 1 defined in </w:t>
            </w:r>
            <w:r>
              <w:t>G</w:t>
            </w:r>
            <w:r w:rsidRPr="001C0E1B">
              <w:t>.</w:t>
            </w:r>
            <w:r>
              <w:t>1</w:t>
            </w:r>
            <w:r w:rsidRPr="001C0E1B">
              <w:t>.1</w:t>
            </w:r>
            <w:r>
              <w:t>8</w:t>
            </w:r>
          </w:p>
        </w:tc>
      </w:tr>
      <w:tr w:rsidR="003A71DE" w:rsidRPr="001C0E1B" w14:paraId="1DE1D5A9" w14:textId="77777777" w:rsidTr="003A71DE">
        <w:trPr>
          <w:cantSplit/>
          <w:trHeight w:val="270"/>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5FD542F1" w14:textId="77777777" w:rsidR="003A71DE" w:rsidRPr="001C0E1B" w:rsidRDefault="003A71DE" w:rsidP="003A71DE">
            <w:pPr>
              <w:pStyle w:val="TAL"/>
            </w:pPr>
            <w:r w:rsidRPr="001C0E1B">
              <w:rPr>
                <w:lang w:eastAsia="ja-JP"/>
              </w:rPr>
              <w:t>EPRE ratio of PDCCH DMRS to SSS</w:t>
            </w:r>
          </w:p>
        </w:tc>
        <w:tc>
          <w:tcPr>
            <w:tcW w:w="1062" w:type="dxa"/>
            <w:tcBorders>
              <w:top w:val="single" w:sz="4" w:space="0" w:color="auto"/>
              <w:left w:val="single" w:sz="4" w:space="0" w:color="auto"/>
              <w:bottom w:val="single" w:sz="4" w:space="0" w:color="auto"/>
              <w:right w:val="single" w:sz="4" w:space="0" w:color="auto"/>
            </w:tcBorders>
            <w:hideMark/>
          </w:tcPr>
          <w:p w14:paraId="13761429" w14:textId="77777777" w:rsidR="003A71DE" w:rsidRPr="001C0E1B" w:rsidRDefault="003A71DE" w:rsidP="003A71DE">
            <w:pPr>
              <w:pStyle w:val="TAC"/>
            </w:pPr>
            <w:r w:rsidRPr="001C0E1B">
              <w:t>dB</w:t>
            </w:r>
          </w:p>
        </w:tc>
        <w:tc>
          <w:tcPr>
            <w:tcW w:w="4395" w:type="dxa"/>
            <w:gridSpan w:val="5"/>
            <w:tcBorders>
              <w:top w:val="single" w:sz="4" w:space="0" w:color="auto"/>
              <w:left w:val="single" w:sz="4" w:space="0" w:color="auto"/>
              <w:bottom w:val="nil"/>
              <w:right w:val="single" w:sz="4" w:space="0" w:color="auto"/>
            </w:tcBorders>
            <w:shd w:val="clear" w:color="auto" w:fill="auto"/>
            <w:vAlign w:val="center"/>
          </w:tcPr>
          <w:p w14:paraId="33F01EFE" w14:textId="77777777" w:rsidR="003A71DE" w:rsidRPr="001C0E1B" w:rsidRDefault="003A71DE" w:rsidP="003A71DE">
            <w:pPr>
              <w:pStyle w:val="TAC"/>
            </w:pPr>
            <w:r w:rsidRPr="001C0E1B">
              <w:t>0</w:t>
            </w:r>
          </w:p>
        </w:tc>
      </w:tr>
      <w:tr w:rsidR="003A71DE" w:rsidRPr="001C0E1B" w14:paraId="150C028E" w14:textId="77777777" w:rsidTr="003A71DE">
        <w:trPr>
          <w:cantSplit/>
          <w:trHeight w:val="174"/>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7BCE70A2" w14:textId="77777777" w:rsidR="003A71DE" w:rsidRPr="001C0E1B" w:rsidRDefault="003A71DE" w:rsidP="003A71DE">
            <w:pPr>
              <w:pStyle w:val="TAL"/>
            </w:pPr>
            <w:r w:rsidRPr="001C0E1B">
              <w:rPr>
                <w:lang w:eastAsia="ja-JP"/>
              </w:rPr>
              <w:t>EPRE ratio of PDCCH to PDCCH DMRS</w:t>
            </w:r>
          </w:p>
        </w:tc>
        <w:tc>
          <w:tcPr>
            <w:tcW w:w="1062" w:type="dxa"/>
            <w:tcBorders>
              <w:top w:val="single" w:sz="4" w:space="0" w:color="auto"/>
              <w:left w:val="single" w:sz="4" w:space="0" w:color="auto"/>
              <w:bottom w:val="single" w:sz="4" w:space="0" w:color="auto"/>
              <w:right w:val="single" w:sz="4" w:space="0" w:color="auto"/>
            </w:tcBorders>
            <w:hideMark/>
          </w:tcPr>
          <w:p w14:paraId="39C3F88E"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tcPr>
          <w:p w14:paraId="2E23233F" w14:textId="77777777" w:rsidR="003A71DE" w:rsidRPr="001C0E1B" w:rsidRDefault="003A71DE" w:rsidP="003A71DE">
            <w:pPr>
              <w:pStyle w:val="TAC"/>
            </w:pPr>
          </w:p>
        </w:tc>
      </w:tr>
      <w:tr w:rsidR="003A71DE" w:rsidRPr="001C0E1B" w14:paraId="70FCCE9B" w14:textId="77777777" w:rsidTr="003A71DE">
        <w:trPr>
          <w:cantSplit/>
          <w:trHeight w:val="163"/>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08CAACD3" w14:textId="77777777" w:rsidR="003A71DE" w:rsidRPr="001C0E1B" w:rsidRDefault="003A71DE" w:rsidP="003A71DE">
            <w:pPr>
              <w:pStyle w:val="TAL"/>
            </w:pPr>
            <w:r w:rsidRPr="001C0E1B">
              <w:rPr>
                <w:lang w:eastAsia="ja-JP"/>
              </w:rPr>
              <w:t>EPRE ratio of PBCH DMRS to SSS</w:t>
            </w:r>
          </w:p>
        </w:tc>
        <w:tc>
          <w:tcPr>
            <w:tcW w:w="1062" w:type="dxa"/>
            <w:tcBorders>
              <w:top w:val="single" w:sz="4" w:space="0" w:color="auto"/>
              <w:left w:val="single" w:sz="4" w:space="0" w:color="auto"/>
              <w:bottom w:val="single" w:sz="4" w:space="0" w:color="auto"/>
              <w:right w:val="single" w:sz="4" w:space="0" w:color="auto"/>
            </w:tcBorders>
            <w:hideMark/>
          </w:tcPr>
          <w:p w14:paraId="6254C6B5"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tcPr>
          <w:p w14:paraId="69580676" w14:textId="77777777" w:rsidR="003A71DE" w:rsidRPr="001C0E1B" w:rsidRDefault="003A71DE" w:rsidP="003A71DE">
            <w:pPr>
              <w:pStyle w:val="TAC"/>
            </w:pPr>
          </w:p>
        </w:tc>
      </w:tr>
      <w:tr w:rsidR="003A71DE" w:rsidRPr="001C0E1B" w14:paraId="65FB1411" w14:textId="77777777" w:rsidTr="003A71DE">
        <w:trPr>
          <w:cantSplit/>
          <w:trHeight w:val="163"/>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2D8F062C" w14:textId="77777777" w:rsidR="003A71DE" w:rsidRPr="001C0E1B" w:rsidRDefault="003A71DE" w:rsidP="003A71DE">
            <w:pPr>
              <w:pStyle w:val="TAL"/>
            </w:pPr>
            <w:r w:rsidRPr="001C0E1B">
              <w:rPr>
                <w:lang w:eastAsia="ja-JP"/>
              </w:rPr>
              <w:t>EPRE ratio of PBCH to PBCH DMRS</w:t>
            </w:r>
          </w:p>
        </w:tc>
        <w:tc>
          <w:tcPr>
            <w:tcW w:w="1062" w:type="dxa"/>
            <w:tcBorders>
              <w:top w:val="single" w:sz="4" w:space="0" w:color="auto"/>
              <w:left w:val="single" w:sz="4" w:space="0" w:color="auto"/>
              <w:bottom w:val="single" w:sz="4" w:space="0" w:color="auto"/>
              <w:right w:val="single" w:sz="4" w:space="0" w:color="auto"/>
            </w:tcBorders>
            <w:hideMark/>
          </w:tcPr>
          <w:p w14:paraId="62EC952F"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vAlign w:val="center"/>
            <w:hideMark/>
          </w:tcPr>
          <w:p w14:paraId="292405B1" w14:textId="77777777" w:rsidR="003A71DE" w:rsidRPr="001C0E1B" w:rsidRDefault="003A71DE" w:rsidP="003A71DE">
            <w:pPr>
              <w:pStyle w:val="TAC"/>
            </w:pPr>
          </w:p>
        </w:tc>
      </w:tr>
      <w:tr w:rsidR="003A71DE" w:rsidRPr="001C0E1B" w14:paraId="7DE95DC9" w14:textId="77777777" w:rsidTr="003A71DE">
        <w:trPr>
          <w:cantSplit/>
          <w:trHeight w:val="174"/>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6C3DB5ED" w14:textId="77777777" w:rsidR="003A71DE" w:rsidRPr="001C0E1B" w:rsidRDefault="003A71DE" w:rsidP="003A71DE">
            <w:pPr>
              <w:pStyle w:val="TAL"/>
            </w:pPr>
            <w:r w:rsidRPr="001C0E1B">
              <w:rPr>
                <w:lang w:eastAsia="ja-JP"/>
              </w:rPr>
              <w:t>EPRE ratio of PSS to SSS</w:t>
            </w:r>
          </w:p>
        </w:tc>
        <w:tc>
          <w:tcPr>
            <w:tcW w:w="1062" w:type="dxa"/>
            <w:tcBorders>
              <w:top w:val="single" w:sz="4" w:space="0" w:color="auto"/>
              <w:left w:val="single" w:sz="4" w:space="0" w:color="auto"/>
              <w:bottom w:val="single" w:sz="4" w:space="0" w:color="auto"/>
              <w:right w:val="single" w:sz="4" w:space="0" w:color="auto"/>
            </w:tcBorders>
            <w:hideMark/>
          </w:tcPr>
          <w:p w14:paraId="16793891"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vAlign w:val="center"/>
            <w:hideMark/>
          </w:tcPr>
          <w:p w14:paraId="437BC2B4" w14:textId="77777777" w:rsidR="003A71DE" w:rsidRPr="001C0E1B" w:rsidRDefault="003A71DE" w:rsidP="003A71DE">
            <w:pPr>
              <w:pStyle w:val="TAC"/>
            </w:pPr>
          </w:p>
        </w:tc>
      </w:tr>
      <w:tr w:rsidR="003A71DE" w:rsidRPr="001C0E1B" w14:paraId="3DE24F2D" w14:textId="77777777" w:rsidTr="003A71DE">
        <w:trPr>
          <w:cantSplit/>
          <w:trHeight w:val="163"/>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7CBFE585" w14:textId="77777777" w:rsidR="003A71DE" w:rsidRPr="001C0E1B" w:rsidRDefault="003A71DE" w:rsidP="003A71DE">
            <w:pPr>
              <w:pStyle w:val="TAL"/>
            </w:pPr>
            <w:r w:rsidRPr="001C0E1B">
              <w:rPr>
                <w:lang w:eastAsia="ja-JP"/>
              </w:rPr>
              <w:t xml:space="preserve">EPRE ratio of PDSCH DMRS to SSS </w:t>
            </w:r>
          </w:p>
        </w:tc>
        <w:tc>
          <w:tcPr>
            <w:tcW w:w="1062" w:type="dxa"/>
            <w:tcBorders>
              <w:top w:val="single" w:sz="4" w:space="0" w:color="auto"/>
              <w:left w:val="single" w:sz="4" w:space="0" w:color="auto"/>
              <w:bottom w:val="single" w:sz="4" w:space="0" w:color="auto"/>
              <w:right w:val="single" w:sz="4" w:space="0" w:color="auto"/>
            </w:tcBorders>
            <w:hideMark/>
          </w:tcPr>
          <w:p w14:paraId="68D5291B"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vAlign w:val="center"/>
            <w:hideMark/>
          </w:tcPr>
          <w:p w14:paraId="5496F282" w14:textId="77777777" w:rsidR="003A71DE" w:rsidRPr="001C0E1B" w:rsidRDefault="003A71DE" w:rsidP="003A71DE">
            <w:pPr>
              <w:pStyle w:val="TAC"/>
            </w:pPr>
          </w:p>
        </w:tc>
      </w:tr>
      <w:tr w:rsidR="003A71DE" w:rsidRPr="001C0E1B" w14:paraId="411E82FC" w14:textId="77777777" w:rsidTr="003A71DE">
        <w:trPr>
          <w:cantSplit/>
          <w:trHeight w:val="163"/>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2E04450B" w14:textId="77777777" w:rsidR="003A71DE" w:rsidRPr="001C0E1B" w:rsidRDefault="003A71DE" w:rsidP="003A71DE">
            <w:pPr>
              <w:pStyle w:val="TAL"/>
            </w:pPr>
            <w:r w:rsidRPr="001C0E1B">
              <w:rPr>
                <w:lang w:eastAsia="ja-JP"/>
              </w:rPr>
              <w:t>EPRE ratio of PDSCH to PDSCH DMRS</w:t>
            </w:r>
          </w:p>
        </w:tc>
        <w:tc>
          <w:tcPr>
            <w:tcW w:w="1062" w:type="dxa"/>
            <w:tcBorders>
              <w:top w:val="single" w:sz="4" w:space="0" w:color="auto"/>
              <w:left w:val="single" w:sz="4" w:space="0" w:color="auto"/>
              <w:bottom w:val="single" w:sz="4" w:space="0" w:color="auto"/>
              <w:right w:val="single" w:sz="4" w:space="0" w:color="auto"/>
            </w:tcBorders>
            <w:hideMark/>
          </w:tcPr>
          <w:p w14:paraId="74D98CB6"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vAlign w:val="center"/>
            <w:hideMark/>
          </w:tcPr>
          <w:p w14:paraId="58F81A87" w14:textId="77777777" w:rsidR="003A71DE" w:rsidRPr="001C0E1B" w:rsidRDefault="003A71DE" w:rsidP="003A71DE">
            <w:pPr>
              <w:pStyle w:val="TAC"/>
            </w:pPr>
          </w:p>
        </w:tc>
      </w:tr>
      <w:tr w:rsidR="003A71DE" w:rsidRPr="001C0E1B" w14:paraId="37199C05" w14:textId="77777777" w:rsidTr="003A71DE">
        <w:trPr>
          <w:cantSplit/>
          <w:trHeight w:val="163"/>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4A93E47F" w14:textId="77777777" w:rsidR="003A71DE" w:rsidRPr="001C0E1B" w:rsidRDefault="003A71DE" w:rsidP="003A71DE">
            <w:pPr>
              <w:pStyle w:val="TAL"/>
            </w:pPr>
            <w:r w:rsidRPr="001C0E1B">
              <w:rPr>
                <w:lang w:eastAsia="ja-JP"/>
              </w:rPr>
              <w:t>EPRE ratio of OCNG DMRS to SSS</w:t>
            </w:r>
          </w:p>
        </w:tc>
        <w:tc>
          <w:tcPr>
            <w:tcW w:w="1062" w:type="dxa"/>
            <w:tcBorders>
              <w:top w:val="single" w:sz="4" w:space="0" w:color="auto"/>
              <w:left w:val="single" w:sz="4" w:space="0" w:color="auto"/>
              <w:bottom w:val="single" w:sz="4" w:space="0" w:color="auto"/>
              <w:right w:val="single" w:sz="4" w:space="0" w:color="auto"/>
            </w:tcBorders>
            <w:hideMark/>
          </w:tcPr>
          <w:p w14:paraId="26B1CC02" w14:textId="77777777" w:rsidR="003A71DE" w:rsidRPr="001C0E1B" w:rsidRDefault="003A71DE" w:rsidP="003A71DE">
            <w:pPr>
              <w:pStyle w:val="TAC"/>
            </w:pPr>
            <w:r w:rsidRPr="001C0E1B">
              <w:t>dB</w:t>
            </w:r>
          </w:p>
        </w:tc>
        <w:tc>
          <w:tcPr>
            <w:tcW w:w="4395" w:type="dxa"/>
            <w:gridSpan w:val="5"/>
            <w:tcBorders>
              <w:top w:val="nil"/>
              <w:left w:val="single" w:sz="4" w:space="0" w:color="auto"/>
              <w:bottom w:val="nil"/>
              <w:right w:val="single" w:sz="4" w:space="0" w:color="auto"/>
            </w:tcBorders>
            <w:shd w:val="clear" w:color="auto" w:fill="auto"/>
            <w:vAlign w:val="center"/>
            <w:hideMark/>
          </w:tcPr>
          <w:p w14:paraId="0DEC2379" w14:textId="77777777" w:rsidR="003A71DE" w:rsidRPr="001C0E1B" w:rsidRDefault="003A71DE" w:rsidP="003A71DE">
            <w:pPr>
              <w:pStyle w:val="TAC"/>
            </w:pPr>
          </w:p>
        </w:tc>
      </w:tr>
      <w:tr w:rsidR="003A71DE" w:rsidRPr="001C0E1B" w14:paraId="73C27AF0" w14:textId="77777777" w:rsidTr="003A71DE">
        <w:trPr>
          <w:cantSplit/>
          <w:trHeight w:val="163"/>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6C833518" w14:textId="77777777" w:rsidR="003A71DE" w:rsidRPr="001C0E1B" w:rsidRDefault="003A71DE" w:rsidP="003A71DE">
            <w:pPr>
              <w:pStyle w:val="TAL"/>
            </w:pPr>
            <w:r w:rsidRPr="001C0E1B">
              <w:rPr>
                <w:lang w:eastAsia="ja-JP"/>
              </w:rPr>
              <w:t>EPRE ratio of OCNG to OCNG DMRS</w:t>
            </w:r>
          </w:p>
        </w:tc>
        <w:tc>
          <w:tcPr>
            <w:tcW w:w="1062" w:type="dxa"/>
            <w:tcBorders>
              <w:top w:val="single" w:sz="4" w:space="0" w:color="auto"/>
              <w:left w:val="single" w:sz="4" w:space="0" w:color="auto"/>
              <w:bottom w:val="single" w:sz="4" w:space="0" w:color="auto"/>
              <w:right w:val="single" w:sz="4" w:space="0" w:color="auto"/>
            </w:tcBorders>
            <w:hideMark/>
          </w:tcPr>
          <w:p w14:paraId="0098CC4A" w14:textId="77777777" w:rsidR="003A71DE" w:rsidRPr="001C0E1B" w:rsidRDefault="003A71DE" w:rsidP="003A71DE">
            <w:pPr>
              <w:pStyle w:val="TAC"/>
            </w:pPr>
            <w:r w:rsidRPr="001C0E1B">
              <w:t>dB</w:t>
            </w:r>
          </w:p>
        </w:tc>
        <w:tc>
          <w:tcPr>
            <w:tcW w:w="4395" w:type="dxa"/>
            <w:gridSpan w:val="5"/>
            <w:tcBorders>
              <w:top w:val="nil"/>
              <w:left w:val="single" w:sz="4" w:space="0" w:color="auto"/>
              <w:bottom w:val="single" w:sz="4" w:space="0" w:color="auto"/>
              <w:right w:val="single" w:sz="4" w:space="0" w:color="auto"/>
            </w:tcBorders>
            <w:shd w:val="clear" w:color="auto" w:fill="auto"/>
            <w:vAlign w:val="center"/>
            <w:hideMark/>
          </w:tcPr>
          <w:p w14:paraId="00E1DC06" w14:textId="77777777" w:rsidR="003A71DE" w:rsidRPr="001C0E1B" w:rsidRDefault="003A71DE" w:rsidP="003A71DE">
            <w:pPr>
              <w:pStyle w:val="TAC"/>
            </w:pPr>
          </w:p>
        </w:tc>
      </w:tr>
      <w:tr w:rsidR="003A71DE" w:rsidRPr="001C0E1B" w14:paraId="0D5560C3" w14:textId="77777777" w:rsidTr="003A71DE">
        <w:trPr>
          <w:cantSplit/>
          <w:trHeight w:val="105"/>
          <w:jc w:val="center"/>
        </w:trPr>
        <w:tc>
          <w:tcPr>
            <w:tcW w:w="2263" w:type="dxa"/>
            <w:tcBorders>
              <w:top w:val="single" w:sz="4" w:space="0" w:color="auto"/>
              <w:left w:val="single" w:sz="4" w:space="0" w:color="auto"/>
              <w:bottom w:val="nil"/>
              <w:right w:val="single" w:sz="4" w:space="0" w:color="auto"/>
            </w:tcBorders>
            <w:shd w:val="clear" w:color="auto" w:fill="auto"/>
            <w:vAlign w:val="center"/>
            <w:hideMark/>
          </w:tcPr>
          <w:p w14:paraId="06F34DB3" w14:textId="77777777" w:rsidR="003A71DE" w:rsidRPr="001C0E1B" w:rsidRDefault="003A71DE" w:rsidP="003A71DE">
            <w:pPr>
              <w:pStyle w:val="TAL"/>
            </w:pPr>
            <w:r w:rsidRPr="001C0E1B">
              <w:rPr>
                <w:rFonts w:eastAsia="?? ??"/>
              </w:rPr>
              <w:t xml:space="preserve">SNR_SSB of </w:t>
            </w:r>
            <w:r w:rsidRPr="001C0E1B">
              <w:t>set q</w:t>
            </w:r>
            <w:r w:rsidRPr="001C0E1B">
              <w:rPr>
                <w:vertAlign w:val="subscript"/>
              </w:rPr>
              <w:t>0</w:t>
            </w:r>
          </w:p>
        </w:tc>
        <w:tc>
          <w:tcPr>
            <w:tcW w:w="1206" w:type="dxa"/>
            <w:tcBorders>
              <w:top w:val="single" w:sz="4" w:space="0" w:color="auto"/>
              <w:left w:val="single" w:sz="4" w:space="0" w:color="auto"/>
              <w:bottom w:val="single" w:sz="4" w:space="0" w:color="auto"/>
              <w:right w:val="single" w:sz="4" w:space="0" w:color="auto"/>
            </w:tcBorders>
            <w:hideMark/>
          </w:tcPr>
          <w:p w14:paraId="3EF88499" w14:textId="77777777" w:rsidR="003A71DE" w:rsidRPr="001C0E1B" w:rsidRDefault="003A71DE" w:rsidP="003A71DE">
            <w:pPr>
              <w:pStyle w:val="TAL"/>
              <w:rPr>
                <w:noProof/>
              </w:rPr>
            </w:pPr>
            <w:r w:rsidRPr="001C0E1B">
              <w:rPr>
                <w:noProof/>
              </w:rPr>
              <w:t>Config 1</w:t>
            </w:r>
          </w:p>
        </w:tc>
        <w:tc>
          <w:tcPr>
            <w:tcW w:w="1062" w:type="dxa"/>
            <w:tcBorders>
              <w:top w:val="single" w:sz="4" w:space="0" w:color="auto"/>
              <w:left w:val="single" w:sz="4" w:space="0" w:color="auto"/>
              <w:bottom w:val="nil"/>
              <w:right w:val="single" w:sz="4" w:space="0" w:color="auto"/>
            </w:tcBorders>
            <w:shd w:val="clear" w:color="auto" w:fill="auto"/>
            <w:vAlign w:val="center"/>
            <w:hideMark/>
          </w:tcPr>
          <w:p w14:paraId="5F03C0BD" w14:textId="77777777" w:rsidR="003A71DE" w:rsidRPr="001C0E1B" w:rsidRDefault="003A71DE" w:rsidP="003A71DE">
            <w:pPr>
              <w:pStyle w:val="TAC"/>
            </w:pPr>
            <w:r w:rsidRPr="001C0E1B">
              <w:t>dB</w:t>
            </w:r>
          </w:p>
        </w:tc>
        <w:tc>
          <w:tcPr>
            <w:tcW w:w="879" w:type="dxa"/>
            <w:tcBorders>
              <w:top w:val="single" w:sz="4" w:space="0" w:color="auto"/>
              <w:left w:val="single" w:sz="4" w:space="0" w:color="auto"/>
              <w:bottom w:val="single" w:sz="4" w:space="0" w:color="auto"/>
              <w:right w:val="single" w:sz="4" w:space="0" w:color="auto"/>
            </w:tcBorders>
          </w:tcPr>
          <w:p w14:paraId="2E0606BA" w14:textId="77777777" w:rsidR="003A71DE" w:rsidRPr="001C0E1B" w:rsidRDefault="003A71DE" w:rsidP="003A71DE">
            <w:pPr>
              <w:pStyle w:val="TAC"/>
              <w:rPr>
                <w:noProof/>
              </w:rPr>
            </w:pPr>
            <w:r w:rsidRPr="001C0E1B">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383CCEE9" w14:textId="77777777" w:rsidR="003A71DE" w:rsidRPr="001C0E1B" w:rsidRDefault="003A71DE" w:rsidP="003A71DE">
            <w:pPr>
              <w:pStyle w:val="TAC"/>
              <w:rPr>
                <w:noProof/>
              </w:rPr>
            </w:pPr>
            <w:r w:rsidRPr="001C0E1B">
              <w:rPr>
                <w:rFonts w:eastAsia="MS Mincho"/>
              </w:rPr>
              <w:t>-3</w:t>
            </w:r>
          </w:p>
        </w:tc>
        <w:tc>
          <w:tcPr>
            <w:tcW w:w="879" w:type="dxa"/>
            <w:tcBorders>
              <w:top w:val="single" w:sz="4" w:space="0" w:color="auto"/>
              <w:left w:val="single" w:sz="4" w:space="0" w:color="auto"/>
              <w:bottom w:val="single" w:sz="4" w:space="0" w:color="auto"/>
              <w:right w:val="single" w:sz="4" w:space="0" w:color="auto"/>
            </w:tcBorders>
          </w:tcPr>
          <w:p w14:paraId="0FDA831C" w14:textId="77777777" w:rsidR="003A71DE" w:rsidRPr="001C0E1B" w:rsidRDefault="003A71DE" w:rsidP="003A71DE">
            <w:pPr>
              <w:pStyle w:val="TAC"/>
              <w:rPr>
                <w:noProof/>
              </w:rPr>
            </w:pPr>
            <w:r w:rsidRPr="001C0E1B">
              <w:rPr>
                <w:rFonts w:eastAsia="MS Mincho"/>
              </w:rPr>
              <w:t>-12</w:t>
            </w:r>
          </w:p>
        </w:tc>
        <w:tc>
          <w:tcPr>
            <w:tcW w:w="879" w:type="dxa"/>
            <w:tcBorders>
              <w:top w:val="single" w:sz="4" w:space="0" w:color="auto"/>
              <w:left w:val="single" w:sz="4" w:space="0" w:color="auto"/>
              <w:bottom w:val="single" w:sz="4" w:space="0" w:color="auto"/>
              <w:right w:val="single" w:sz="4" w:space="0" w:color="auto"/>
            </w:tcBorders>
          </w:tcPr>
          <w:p w14:paraId="4CE48111" w14:textId="77777777" w:rsidR="003A71DE" w:rsidRPr="001C0E1B" w:rsidRDefault="003A71DE" w:rsidP="003A71DE">
            <w:pPr>
              <w:pStyle w:val="TAC"/>
              <w:rPr>
                <w:noProof/>
              </w:rPr>
            </w:pPr>
            <w:r w:rsidRPr="001C0E1B">
              <w:rPr>
                <w:rFonts w:eastAsia="MS Mincho"/>
              </w:rPr>
              <w:t>-12</w:t>
            </w:r>
          </w:p>
        </w:tc>
        <w:tc>
          <w:tcPr>
            <w:tcW w:w="879" w:type="dxa"/>
            <w:tcBorders>
              <w:top w:val="single" w:sz="4" w:space="0" w:color="auto"/>
              <w:left w:val="single" w:sz="4" w:space="0" w:color="auto"/>
              <w:bottom w:val="single" w:sz="4" w:space="0" w:color="auto"/>
              <w:right w:val="single" w:sz="4" w:space="0" w:color="auto"/>
            </w:tcBorders>
          </w:tcPr>
          <w:p w14:paraId="75385658" w14:textId="77777777" w:rsidR="003A71DE" w:rsidRPr="001C0E1B" w:rsidRDefault="003A71DE" w:rsidP="003A71DE">
            <w:pPr>
              <w:pStyle w:val="TAC"/>
              <w:rPr>
                <w:noProof/>
              </w:rPr>
            </w:pPr>
            <w:r w:rsidRPr="001C0E1B">
              <w:rPr>
                <w:rFonts w:eastAsia="MS Mincho"/>
              </w:rPr>
              <w:t>-12</w:t>
            </w:r>
          </w:p>
        </w:tc>
      </w:tr>
      <w:tr w:rsidR="003A71DE" w:rsidRPr="001C0E1B" w14:paraId="00734711" w14:textId="77777777" w:rsidTr="003A71DE">
        <w:trPr>
          <w:cantSplit/>
          <w:trHeight w:val="105"/>
          <w:jc w:val="center"/>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1F6DD6CF" w14:textId="77777777" w:rsidR="003A71DE" w:rsidRPr="001C0E1B" w:rsidRDefault="003A71DE" w:rsidP="003A71DE">
            <w:pPr>
              <w:pStyle w:val="TAL"/>
            </w:pPr>
          </w:p>
        </w:tc>
        <w:tc>
          <w:tcPr>
            <w:tcW w:w="1206" w:type="dxa"/>
            <w:tcBorders>
              <w:top w:val="single" w:sz="4" w:space="0" w:color="auto"/>
              <w:left w:val="single" w:sz="4" w:space="0" w:color="auto"/>
              <w:bottom w:val="single" w:sz="4" w:space="0" w:color="auto"/>
              <w:right w:val="single" w:sz="4" w:space="0" w:color="auto"/>
            </w:tcBorders>
            <w:hideMark/>
          </w:tcPr>
          <w:p w14:paraId="53D67EFE" w14:textId="77777777" w:rsidR="003A71DE" w:rsidRPr="001C0E1B" w:rsidRDefault="003A71DE" w:rsidP="003A71DE">
            <w:pPr>
              <w:pStyle w:val="TAL"/>
              <w:rPr>
                <w:noProof/>
              </w:rPr>
            </w:pPr>
            <w:r w:rsidRPr="001C0E1B">
              <w:rPr>
                <w:noProof/>
              </w:rPr>
              <w:t>Config 2</w:t>
            </w:r>
          </w:p>
        </w:tc>
        <w:tc>
          <w:tcPr>
            <w:tcW w:w="1062" w:type="dxa"/>
            <w:tcBorders>
              <w:top w:val="nil"/>
              <w:left w:val="single" w:sz="4" w:space="0" w:color="auto"/>
              <w:bottom w:val="single" w:sz="4" w:space="0" w:color="auto"/>
              <w:right w:val="single" w:sz="4" w:space="0" w:color="auto"/>
            </w:tcBorders>
            <w:shd w:val="clear" w:color="auto" w:fill="auto"/>
            <w:vAlign w:val="center"/>
            <w:hideMark/>
          </w:tcPr>
          <w:p w14:paraId="66D2AE2A" w14:textId="77777777" w:rsidR="003A71DE" w:rsidRPr="001C0E1B" w:rsidRDefault="003A71DE" w:rsidP="003A71DE">
            <w:pPr>
              <w:pStyle w:val="TAC"/>
            </w:pPr>
          </w:p>
        </w:tc>
        <w:tc>
          <w:tcPr>
            <w:tcW w:w="879" w:type="dxa"/>
            <w:tcBorders>
              <w:top w:val="single" w:sz="4" w:space="0" w:color="auto"/>
              <w:left w:val="single" w:sz="4" w:space="0" w:color="auto"/>
              <w:bottom w:val="single" w:sz="4" w:space="0" w:color="auto"/>
              <w:right w:val="single" w:sz="4" w:space="0" w:color="auto"/>
            </w:tcBorders>
          </w:tcPr>
          <w:p w14:paraId="3B705D92" w14:textId="77777777" w:rsidR="003A71DE" w:rsidRPr="001C0E1B" w:rsidRDefault="003A71DE" w:rsidP="003A71DE">
            <w:pPr>
              <w:pStyle w:val="TAC"/>
              <w:rPr>
                <w:noProof/>
              </w:rPr>
            </w:pPr>
            <w:r w:rsidRPr="001C0E1B">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60C27B7C" w14:textId="77777777" w:rsidR="003A71DE" w:rsidRPr="001C0E1B" w:rsidRDefault="003A71DE" w:rsidP="003A71DE">
            <w:pPr>
              <w:pStyle w:val="TAC"/>
              <w:rPr>
                <w:noProof/>
              </w:rPr>
            </w:pPr>
            <w:r w:rsidRPr="001C0E1B">
              <w:rPr>
                <w:rFonts w:eastAsia="MS Mincho"/>
              </w:rPr>
              <w:t>-3</w:t>
            </w:r>
          </w:p>
        </w:tc>
        <w:tc>
          <w:tcPr>
            <w:tcW w:w="879" w:type="dxa"/>
            <w:tcBorders>
              <w:top w:val="single" w:sz="4" w:space="0" w:color="auto"/>
              <w:left w:val="single" w:sz="4" w:space="0" w:color="auto"/>
              <w:bottom w:val="single" w:sz="4" w:space="0" w:color="auto"/>
              <w:right w:val="single" w:sz="4" w:space="0" w:color="auto"/>
            </w:tcBorders>
          </w:tcPr>
          <w:p w14:paraId="20082EE6" w14:textId="77777777" w:rsidR="003A71DE" w:rsidRPr="001C0E1B" w:rsidRDefault="003A71DE" w:rsidP="003A71DE">
            <w:pPr>
              <w:pStyle w:val="TAC"/>
              <w:rPr>
                <w:noProof/>
              </w:rPr>
            </w:pPr>
            <w:r w:rsidRPr="001C0E1B">
              <w:rPr>
                <w:rFonts w:eastAsia="MS Mincho"/>
              </w:rPr>
              <w:t>-12</w:t>
            </w:r>
          </w:p>
        </w:tc>
        <w:tc>
          <w:tcPr>
            <w:tcW w:w="879" w:type="dxa"/>
            <w:tcBorders>
              <w:top w:val="single" w:sz="4" w:space="0" w:color="auto"/>
              <w:left w:val="single" w:sz="4" w:space="0" w:color="auto"/>
              <w:bottom w:val="single" w:sz="4" w:space="0" w:color="auto"/>
              <w:right w:val="single" w:sz="4" w:space="0" w:color="auto"/>
            </w:tcBorders>
          </w:tcPr>
          <w:p w14:paraId="74FBE1C7" w14:textId="77777777" w:rsidR="003A71DE" w:rsidRPr="001C0E1B" w:rsidRDefault="003A71DE" w:rsidP="003A71DE">
            <w:pPr>
              <w:pStyle w:val="TAC"/>
              <w:rPr>
                <w:noProof/>
              </w:rPr>
            </w:pPr>
            <w:r w:rsidRPr="001C0E1B">
              <w:rPr>
                <w:rFonts w:eastAsia="MS Mincho"/>
              </w:rPr>
              <w:t>-12</w:t>
            </w:r>
          </w:p>
        </w:tc>
        <w:tc>
          <w:tcPr>
            <w:tcW w:w="879" w:type="dxa"/>
            <w:tcBorders>
              <w:top w:val="single" w:sz="4" w:space="0" w:color="auto"/>
              <w:left w:val="single" w:sz="4" w:space="0" w:color="auto"/>
              <w:bottom w:val="single" w:sz="4" w:space="0" w:color="auto"/>
              <w:right w:val="single" w:sz="4" w:space="0" w:color="auto"/>
            </w:tcBorders>
          </w:tcPr>
          <w:p w14:paraId="7E118048" w14:textId="77777777" w:rsidR="003A71DE" w:rsidRPr="001C0E1B" w:rsidRDefault="003A71DE" w:rsidP="003A71DE">
            <w:pPr>
              <w:pStyle w:val="TAC"/>
              <w:rPr>
                <w:noProof/>
              </w:rPr>
            </w:pPr>
            <w:r w:rsidRPr="001C0E1B">
              <w:rPr>
                <w:rFonts w:eastAsia="MS Mincho"/>
              </w:rPr>
              <w:t>-12</w:t>
            </w:r>
          </w:p>
        </w:tc>
      </w:tr>
      <w:tr w:rsidR="003A71DE" w:rsidRPr="001C0E1B" w14:paraId="4B869BED" w14:textId="77777777" w:rsidTr="003A71DE">
        <w:trPr>
          <w:cantSplit/>
          <w:trHeight w:val="105"/>
          <w:jc w:val="center"/>
        </w:trPr>
        <w:tc>
          <w:tcPr>
            <w:tcW w:w="2263" w:type="dxa"/>
            <w:tcBorders>
              <w:top w:val="single" w:sz="4" w:space="0" w:color="auto"/>
              <w:left w:val="single" w:sz="4" w:space="0" w:color="auto"/>
              <w:bottom w:val="nil"/>
              <w:right w:val="single" w:sz="4" w:space="0" w:color="auto"/>
            </w:tcBorders>
            <w:shd w:val="clear" w:color="auto" w:fill="auto"/>
            <w:vAlign w:val="center"/>
          </w:tcPr>
          <w:p w14:paraId="617A02DB" w14:textId="77777777" w:rsidR="003A71DE" w:rsidRPr="001C0E1B" w:rsidRDefault="003A71DE" w:rsidP="003A71DE">
            <w:pPr>
              <w:pStyle w:val="TAL"/>
            </w:pPr>
            <w:r w:rsidRPr="001C0E1B">
              <w:t>SNR_SSB of set q</w:t>
            </w:r>
            <w:r w:rsidRPr="001C0E1B">
              <w:rPr>
                <w:vertAlign w:val="subscript"/>
              </w:rPr>
              <w:t>1</w:t>
            </w:r>
          </w:p>
        </w:tc>
        <w:tc>
          <w:tcPr>
            <w:tcW w:w="1206" w:type="dxa"/>
            <w:tcBorders>
              <w:top w:val="single" w:sz="4" w:space="0" w:color="auto"/>
              <w:left w:val="single" w:sz="4" w:space="0" w:color="auto"/>
              <w:bottom w:val="single" w:sz="4" w:space="0" w:color="auto"/>
              <w:right w:val="single" w:sz="4" w:space="0" w:color="auto"/>
            </w:tcBorders>
          </w:tcPr>
          <w:p w14:paraId="20CC87CB" w14:textId="77777777" w:rsidR="003A71DE" w:rsidRPr="001C0E1B" w:rsidRDefault="003A71DE" w:rsidP="003A71DE">
            <w:pPr>
              <w:pStyle w:val="TAL"/>
              <w:rPr>
                <w:noProof/>
              </w:rPr>
            </w:pPr>
            <w:r w:rsidRPr="001C0E1B">
              <w:rPr>
                <w:noProof/>
              </w:rPr>
              <w:t>Config 1</w:t>
            </w:r>
          </w:p>
        </w:tc>
        <w:tc>
          <w:tcPr>
            <w:tcW w:w="1062" w:type="dxa"/>
            <w:tcBorders>
              <w:top w:val="single" w:sz="4" w:space="0" w:color="auto"/>
              <w:left w:val="single" w:sz="4" w:space="0" w:color="auto"/>
              <w:bottom w:val="nil"/>
              <w:right w:val="single" w:sz="4" w:space="0" w:color="auto"/>
            </w:tcBorders>
            <w:shd w:val="clear" w:color="auto" w:fill="auto"/>
            <w:vAlign w:val="center"/>
          </w:tcPr>
          <w:p w14:paraId="61823BD4" w14:textId="77777777" w:rsidR="003A71DE" w:rsidRPr="001C0E1B" w:rsidRDefault="003A71DE" w:rsidP="003A71DE">
            <w:pPr>
              <w:pStyle w:val="TAC"/>
            </w:pPr>
            <w:r w:rsidRPr="001C0E1B">
              <w:t>dB</w:t>
            </w:r>
          </w:p>
        </w:tc>
        <w:tc>
          <w:tcPr>
            <w:tcW w:w="879" w:type="dxa"/>
            <w:tcBorders>
              <w:top w:val="single" w:sz="4" w:space="0" w:color="auto"/>
              <w:left w:val="single" w:sz="4" w:space="0" w:color="auto"/>
              <w:bottom w:val="single" w:sz="4" w:space="0" w:color="auto"/>
              <w:right w:val="single" w:sz="4" w:space="0" w:color="auto"/>
            </w:tcBorders>
          </w:tcPr>
          <w:p w14:paraId="5C3E1FFC" w14:textId="77777777" w:rsidR="003A71DE" w:rsidRPr="001C0E1B" w:rsidRDefault="003A71DE" w:rsidP="003A71DE">
            <w:pPr>
              <w:pStyle w:val="TAC"/>
              <w:rPr>
                <w:noProof/>
              </w:rPr>
            </w:pPr>
            <w:r w:rsidRPr="00B3067E">
              <w:rPr>
                <w:rFonts w:eastAsia="MS Mincho"/>
              </w:rPr>
              <w:t>0.2</w:t>
            </w:r>
          </w:p>
        </w:tc>
        <w:tc>
          <w:tcPr>
            <w:tcW w:w="879" w:type="dxa"/>
            <w:tcBorders>
              <w:top w:val="single" w:sz="4" w:space="0" w:color="auto"/>
              <w:left w:val="single" w:sz="4" w:space="0" w:color="auto"/>
              <w:bottom w:val="single" w:sz="4" w:space="0" w:color="auto"/>
              <w:right w:val="single" w:sz="4" w:space="0" w:color="auto"/>
            </w:tcBorders>
          </w:tcPr>
          <w:p w14:paraId="565DFCEF" w14:textId="77777777" w:rsidR="003A71DE" w:rsidRPr="001C0E1B" w:rsidRDefault="003A71DE" w:rsidP="003A71DE">
            <w:pPr>
              <w:pStyle w:val="TAC"/>
              <w:rPr>
                <w:rFonts w:eastAsia="MS Mincho"/>
              </w:rPr>
            </w:pPr>
            <w:r w:rsidRPr="00B3067E">
              <w:rPr>
                <w:rFonts w:eastAsia="MS Mincho"/>
              </w:rPr>
              <w:t>0.2</w:t>
            </w:r>
          </w:p>
        </w:tc>
        <w:tc>
          <w:tcPr>
            <w:tcW w:w="879" w:type="dxa"/>
            <w:tcBorders>
              <w:top w:val="single" w:sz="4" w:space="0" w:color="auto"/>
              <w:left w:val="single" w:sz="4" w:space="0" w:color="auto"/>
              <w:bottom w:val="single" w:sz="4" w:space="0" w:color="auto"/>
              <w:right w:val="single" w:sz="4" w:space="0" w:color="auto"/>
            </w:tcBorders>
          </w:tcPr>
          <w:p w14:paraId="6EBD365C" w14:textId="77777777" w:rsidR="003A71DE" w:rsidRPr="001C0E1B" w:rsidRDefault="003A71DE" w:rsidP="003A71DE">
            <w:pPr>
              <w:pStyle w:val="TAC"/>
              <w:rPr>
                <w:rFonts w:eastAsia="MS Mincho"/>
              </w:rPr>
            </w:pPr>
            <w:r w:rsidRPr="00B3067E">
              <w:rPr>
                <w:rFonts w:eastAsia="MS Mincho"/>
              </w:rPr>
              <w:t>20.2</w:t>
            </w:r>
          </w:p>
        </w:tc>
        <w:tc>
          <w:tcPr>
            <w:tcW w:w="879" w:type="dxa"/>
            <w:tcBorders>
              <w:top w:val="single" w:sz="4" w:space="0" w:color="auto"/>
              <w:left w:val="single" w:sz="4" w:space="0" w:color="auto"/>
              <w:bottom w:val="single" w:sz="4" w:space="0" w:color="auto"/>
              <w:right w:val="single" w:sz="4" w:space="0" w:color="auto"/>
            </w:tcBorders>
          </w:tcPr>
          <w:p w14:paraId="6BDB69F2" w14:textId="77777777" w:rsidR="003A71DE" w:rsidRPr="001C0E1B" w:rsidRDefault="003A71DE" w:rsidP="003A71DE">
            <w:pPr>
              <w:pStyle w:val="TAC"/>
              <w:rPr>
                <w:noProof/>
              </w:rPr>
            </w:pPr>
            <w:r w:rsidRPr="00B3067E">
              <w:rPr>
                <w:rFonts w:eastAsia="MS Mincho"/>
              </w:rPr>
              <w:t>20.2</w:t>
            </w:r>
          </w:p>
        </w:tc>
        <w:tc>
          <w:tcPr>
            <w:tcW w:w="879" w:type="dxa"/>
            <w:tcBorders>
              <w:top w:val="single" w:sz="4" w:space="0" w:color="auto"/>
              <w:left w:val="single" w:sz="4" w:space="0" w:color="auto"/>
              <w:bottom w:val="single" w:sz="4" w:space="0" w:color="auto"/>
              <w:right w:val="single" w:sz="4" w:space="0" w:color="auto"/>
            </w:tcBorders>
          </w:tcPr>
          <w:p w14:paraId="5B7C52F0" w14:textId="77777777" w:rsidR="003A71DE" w:rsidRPr="001C0E1B" w:rsidRDefault="003A71DE" w:rsidP="003A71DE">
            <w:pPr>
              <w:pStyle w:val="TAC"/>
              <w:rPr>
                <w:noProof/>
              </w:rPr>
            </w:pPr>
            <w:r w:rsidRPr="00B3067E">
              <w:rPr>
                <w:rFonts w:eastAsia="MS Mincho"/>
              </w:rPr>
              <w:t>20.2</w:t>
            </w:r>
          </w:p>
        </w:tc>
      </w:tr>
      <w:tr w:rsidR="003A71DE" w:rsidRPr="001C0E1B" w14:paraId="26BEC4CD" w14:textId="77777777" w:rsidTr="003A71DE">
        <w:trPr>
          <w:cantSplit/>
          <w:trHeight w:val="105"/>
          <w:jc w:val="center"/>
        </w:trPr>
        <w:tc>
          <w:tcPr>
            <w:tcW w:w="2263" w:type="dxa"/>
            <w:tcBorders>
              <w:top w:val="nil"/>
              <w:left w:val="single" w:sz="4" w:space="0" w:color="auto"/>
              <w:bottom w:val="single" w:sz="4" w:space="0" w:color="auto"/>
              <w:right w:val="single" w:sz="4" w:space="0" w:color="auto"/>
            </w:tcBorders>
            <w:shd w:val="clear" w:color="auto" w:fill="auto"/>
            <w:vAlign w:val="center"/>
          </w:tcPr>
          <w:p w14:paraId="0618ABAB" w14:textId="77777777" w:rsidR="003A71DE" w:rsidRPr="001C0E1B" w:rsidRDefault="003A71DE" w:rsidP="003A71DE">
            <w:pPr>
              <w:pStyle w:val="TAL"/>
            </w:pPr>
          </w:p>
        </w:tc>
        <w:tc>
          <w:tcPr>
            <w:tcW w:w="1206" w:type="dxa"/>
            <w:tcBorders>
              <w:top w:val="single" w:sz="4" w:space="0" w:color="auto"/>
              <w:left w:val="single" w:sz="4" w:space="0" w:color="auto"/>
              <w:bottom w:val="single" w:sz="4" w:space="0" w:color="auto"/>
              <w:right w:val="single" w:sz="4" w:space="0" w:color="auto"/>
            </w:tcBorders>
          </w:tcPr>
          <w:p w14:paraId="7B7E670E" w14:textId="77777777" w:rsidR="003A71DE" w:rsidRPr="001C0E1B" w:rsidRDefault="003A71DE" w:rsidP="003A71DE">
            <w:pPr>
              <w:pStyle w:val="TAL"/>
              <w:rPr>
                <w:noProof/>
              </w:rPr>
            </w:pPr>
            <w:r w:rsidRPr="001C0E1B">
              <w:rPr>
                <w:noProof/>
              </w:rPr>
              <w:t>Config 2</w:t>
            </w:r>
          </w:p>
        </w:tc>
        <w:tc>
          <w:tcPr>
            <w:tcW w:w="1062" w:type="dxa"/>
            <w:tcBorders>
              <w:top w:val="nil"/>
              <w:left w:val="single" w:sz="4" w:space="0" w:color="auto"/>
              <w:bottom w:val="single" w:sz="4" w:space="0" w:color="auto"/>
              <w:right w:val="single" w:sz="4" w:space="0" w:color="auto"/>
            </w:tcBorders>
            <w:shd w:val="clear" w:color="auto" w:fill="auto"/>
            <w:vAlign w:val="center"/>
          </w:tcPr>
          <w:p w14:paraId="3B447D2C" w14:textId="77777777" w:rsidR="003A71DE" w:rsidRPr="001C0E1B" w:rsidRDefault="003A71DE" w:rsidP="003A71DE">
            <w:pPr>
              <w:pStyle w:val="TAC"/>
            </w:pPr>
          </w:p>
        </w:tc>
        <w:tc>
          <w:tcPr>
            <w:tcW w:w="879" w:type="dxa"/>
            <w:tcBorders>
              <w:top w:val="single" w:sz="4" w:space="0" w:color="auto"/>
              <w:left w:val="single" w:sz="4" w:space="0" w:color="auto"/>
              <w:bottom w:val="single" w:sz="4" w:space="0" w:color="auto"/>
              <w:right w:val="single" w:sz="4" w:space="0" w:color="auto"/>
            </w:tcBorders>
          </w:tcPr>
          <w:p w14:paraId="4D82C8D7" w14:textId="77777777" w:rsidR="003A71DE" w:rsidRPr="001C0E1B" w:rsidRDefault="003A71DE" w:rsidP="003A71DE">
            <w:pPr>
              <w:pStyle w:val="TAC"/>
              <w:rPr>
                <w:noProof/>
              </w:rPr>
            </w:pPr>
            <w:r w:rsidRPr="00B3067E">
              <w:rPr>
                <w:rFonts w:eastAsia="MS Mincho"/>
              </w:rPr>
              <w:t>0.2</w:t>
            </w:r>
          </w:p>
        </w:tc>
        <w:tc>
          <w:tcPr>
            <w:tcW w:w="879" w:type="dxa"/>
            <w:tcBorders>
              <w:top w:val="single" w:sz="4" w:space="0" w:color="auto"/>
              <w:left w:val="single" w:sz="4" w:space="0" w:color="auto"/>
              <w:bottom w:val="single" w:sz="4" w:space="0" w:color="auto"/>
              <w:right w:val="single" w:sz="4" w:space="0" w:color="auto"/>
            </w:tcBorders>
          </w:tcPr>
          <w:p w14:paraId="2D5FC15D" w14:textId="77777777" w:rsidR="003A71DE" w:rsidRPr="001C0E1B" w:rsidRDefault="003A71DE" w:rsidP="003A71DE">
            <w:pPr>
              <w:pStyle w:val="TAC"/>
              <w:rPr>
                <w:rFonts w:eastAsia="MS Mincho"/>
              </w:rPr>
            </w:pPr>
            <w:r w:rsidRPr="00B3067E">
              <w:rPr>
                <w:rFonts w:eastAsia="MS Mincho"/>
              </w:rPr>
              <w:t>0.2</w:t>
            </w:r>
          </w:p>
        </w:tc>
        <w:tc>
          <w:tcPr>
            <w:tcW w:w="879" w:type="dxa"/>
            <w:tcBorders>
              <w:top w:val="single" w:sz="4" w:space="0" w:color="auto"/>
              <w:left w:val="single" w:sz="4" w:space="0" w:color="auto"/>
              <w:bottom w:val="single" w:sz="4" w:space="0" w:color="auto"/>
              <w:right w:val="single" w:sz="4" w:space="0" w:color="auto"/>
            </w:tcBorders>
          </w:tcPr>
          <w:p w14:paraId="4D89DDC8" w14:textId="77777777" w:rsidR="003A71DE" w:rsidRPr="001C0E1B" w:rsidRDefault="003A71DE" w:rsidP="003A71DE">
            <w:pPr>
              <w:pStyle w:val="TAC"/>
              <w:rPr>
                <w:rFonts w:eastAsia="MS Mincho"/>
              </w:rPr>
            </w:pPr>
            <w:r w:rsidRPr="00B3067E">
              <w:rPr>
                <w:rFonts w:eastAsia="MS Mincho"/>
              </w:rPr>
              <w:t>20.2</w:t>
            </w:r>
          </w:p>
        </w:tc>
        <w:tc>
          <w:tcPr>
            <w:tcW w:w="879" w:type="dxa"/>
            <w:tcBorders>
              <w:top w:val="single" w:sz="4" w:space="0" w:color="auto"/>
              <w:left w:val="single" w:sz="4" w:space="0" w:color="auto"/>
              <w:bottom w:val="single" w:sz="4" w:space="0" w:color="auto"/>
              <w:right w:val="single" w:sz="4" w:space="0" w:color="auto"/>
            </w:tcBorders>
          </w:tcPr>
          <w:p w14:paraId="3D0E290F" w14:textId="77777777" w:rsidR="003A71DE" w:rsidRPr="001C0E1B" w:rsidRDefault="003A71DE" w:rsidP="003A71DE">
            <w:pPr>
              <w:pStyle w:val="TAC"/>
              <w:rPr>
                <w:noProof/>
              </w:rPr>
            </w:pPr>
            <w:r w:rsidRPr="00B3067E">
              <w:rPr>
                <w:rFonts w:eastAsia="MS Mincho"/>
              </w:rPr>
              <w:t>20.2</w:t>
            </w:r>
          </w:p>
        </w:tc>
        <w:tc>
          <w:tcPr>
            <w:tcW w:w="879" w:type="dxa"/>
            <w:tcBorders>
              <w:top w:val="single" w:sz="4" w:space="0" w:color="auto"/>
              <w:left w:val="single" w:sz="4" w:space="0" w:color="auto"/>
              <w:bottom w:val="single" w:sz="4" w:space="0" w:color="auto"/>
              <w:right w:val="single" w:sz="4" w:space="0" w:color="auto"/>
            </w:tcBorders>
          </w:tcPr>
          <w:p w14:paraId="6349F166" w14:textId="77777777" w:rsidR="003A71DE" w:rsidRPr="001C0E1B" w:rsidRDefault="003A71DE" w:rsidP="003A71DE">
            <w:pPr>
              <w:pStyle w:val="TAC"/>
              <w:rPr>
                <w:noProof/>
              </w:rPr>
            </w:pPr>
            <w:r w:rsidRPr="00B3067E">
              <w:rPr>
                <w:rFonts w:eastAsia="MS Mincho"/>
              </w:rPr>
              <w:t>20.2</w:t>
            </w:r>
          </w:p>
        </w:tc>
      </w:tr>
      <w:tr w:rsidR="003A71DE" w:rsidRPr="001C0E1B" w14:paraId="26334B0A" w14:textId="77777777" w:rsidTr="003A71DE">
        <w:trPr>
          <w:cantSplit/>
          <w:trHeight w:val="105"/>
          <w:jc w:val="center"/>
        </w:trPr>
        <w:tc>
          <w:tcPr>
            <w:tcW w:w="2263" w:type="dxa"/>
            <w:tcBorders>
              <w:left w:val="single" w:sz="4" w:space="0" w:color="auto"/>
              <w:bottom w:val="nil"/>
              <w:right w:val="single" w:sz="4" w:space="0" w:color="auto"/>
            </w:tcBorders>
            <w:shd w:val="clear" w:color="auto" w:fill="auto"/>
            <w:vAlign w:val="center"/>
          </w:tcPr>
          <w:p w14:paraId="7F90B1C7" w14:textId="77777777" w:rsidR="003A71DE" w:rsidRPr="001C0E1B" w:rsidRDefault="003A71DE" w:rsidP="003A71DE">
            <w:pPr>
              <w:pStyle w:val="TAL"/>
            </w:pPr>
            <w:r w:rsidRPr="001C0E1B">
              <w:t>SSB_RP of set q</w:t>
            </w:r>
            <w:r w:rsidRPr="001C0E1B">
              <w:rPr>
                <w:vertAlign w:val="subscript"/>
              </w:rPr>
              <w:t>1</w:t>
            </w:r>
          </w:p>
        </w:tc>
        <w:tc>
          <w:tcPr>
            <w:tcW w:w="1206" w:type="dxa"/>
            <w:tcBorders>
              <w:top w:val="single" w:sz="4" w:space="0" w:color="auto"/>
              <w:left w:val="single" w:sz="4" w:space="0" w:color="auto"/>
              <w:bottom w:val="single" w:sz="4" w:space="0" w:color="auto"/>
              <w:right w:val="single" w:sz="4" w:space="0" w:color="auto"/>
            </w:tcBorders>
          </w:tcPr>
          <w:p w14:paraId="6D01202B" w14:textId="77777777" w:rsidR="003A71DE" w:rsidRPr="001C0E1B" w:rsidRDefault="003A71DE" w:rsidP="003A71DE">
            <w:pPr>
              <w:pStyle w:val="TAL"/>
              <w:rPr>
                <w:noProof/>
              </w:rPr>
            </w:pPr>
            <w:r w:rsidRPr="001C0E1B">
              <w:rPr>
                <w:noProof/>
              </w:rPr>
              <w:t>Config 1</w:t>
            </w:r>
          </w:p>
        </w:tc>
        <w:tc>
          <w:tcPr>
            <w:tcW w:w="1062" w:type="dxa"/>
            <w:tcBorders>
              <w:left w:val="single" w:sz="4" w:space="0" w:color="auto"/>
              <w:bottom w:val="nil"/>
              <w:right w:val="single" w:sz="4" w:space="0" w:color="auto"/>
            </w:tcBorders>
            <w:shd w:val="clear" w:color="auto" w:fill="auto"/>
          </w:tcPr>
          <w:p w14:paraId="5F3BFBA5" w14:textId="77777777" w:rsidR="003A71DE" w:rsidRPr="001C0E1B" w:rsidRDefault="003A71DE" w:rsidP="003A71DE">
            <w:pPr>
              <w:pStyle w:val="TAC"/>
            </w:pPr>
            <w:r w:rsidRPr="00B3067E">
              <w:t>dBm/</w:t>
            </w:r>
            <w:r>
              <w:t>SSB</w:t>
            </w:r>
          </w:p>
        </w:tc>
        <w:tc>
          <w:tcPr>
            <w:tcW w:w="879" w:type="dxa"/>
            <w:tcBorders>
              <w:top w:val="single" w:sz="4" w:space="0" w:color="auto"/>
              <w:left w:val="single" w:sz="4" w:space="0" w:color="auto"/>
              <w:bottom w:val="single" w:sz="4" w:space="0" w:color="auto"/>
              <w:right w:val="single" w:sz="4" w:space="0" w:color="auto"/>
            </w:tcBorders>
          </w:tcPr>
          <w:p w14:paraId="1B31C3AF" w14:textId="77777777" w:rsidR="003A71DE" w:rsidRPr="001C0E1B" w:rsidRDefault="003A71DE" w:rsidP="003A71DE">
            <w:pPr>
              <w:pStyle w:val="TAC"/>
              <w:rPr>
                <w:rFonts w:eastAsia="MS Mincho"/>
              </w:rPr>
            </w:pPr>
            <w:r w:rsidRPr="00B3067E">
              <w:rPr>
                <w:rFonts w:eastAsia="MS Mincho"/>
              </w:rPr>
              <w:t>-104.5</w:t>
            </w:r>
          </w:p>
        </w:tc>
        <w:tc>
          <w:tcPr>
            <w:tcW w:w="879" w:type="dxa"/>
            <w:tcBorders>
              <w:top w:val="single" w:sz="4" w:space="0" w:color="auto"/>
              <w:left w:val="single" w:sz="4" w:space="0" w:color="auto"/>
              <w:bottom w:val="single" w:sz="4" w:space="0" w:color="auto"/>
              <w:right w:val="single" w:sz="4" w:space="0" w:color="auto"/>
            </w:tcBorders>
          </w:tcPr>
          <w:p w14:paraId="5F2CC2C6" w14:textId="77777777" w:rsidR="003A71DE" w:rsidRPr="001C0E1B" w:rsidRDefault="003A71DE" w:rsidP="003A71DE">
            <w:pPr>
              <w:pStyle w:val="TAC"/>
              <w:rPr>
                <w:rFonts w:eastAsia="MS Mincho"/>
              </w:rPr>
            </w:pPr>
            <w:r w:rsidRPr="00B3067E">
              <w:rPr>
                <w:rFonts w:eastAsia="MS Mincho"/>
              </w:rPr>
              <w:t>-104.5</w:t>
            </w:r>
          </w:p>
        </w:tc>
        <w:tc>
          <w:tcPr>
            <w:tcW w:w="879" w:type="dxa"/>
            <w:tcBorders>
              <w:top w:val="single" w:sz="4" w:space="0" w:color="auto"/>
              <w:left w:val="single" w:sz="4" w:space="0" w:color="auto"/>
              <w:bottom w:val="single" w:sz="4" w:space="0" w:color="auto"/>
              <w:right w:val="single" w:sz="4" w:space="0" w:color="auto"/>
            </w:tcBorders>
          </w:tcPr>
          <w:p w14:paraId="53391A98" w14:textId="77777777" w:rsidR="003A71DE" w:rsidRPr="001C0E1B" w:rsidRDefault="003A71DE" w:rsidP="003A71DE">
            <w:pPr>
              <w:pStyle w:val="TAC"/>
              <w:rPr>
                <w:rFonts w:eastAsia="MS Mincho"/>
              </w:rPr>
            </w:pPr>
            <w:r w:rsidRPr="00B3067E">
              <w:rPr>
                <w:rFonts w:eastAsia="MS Mincho"/>
              </w:rPr>
              <w:t>-84.5</w:t>
            </w:r>
          </w:p>
        </w:tc>
        <w:tc>
          <w:tcPr>
            <w:tcW w:w="879" w:type="dxa"/>
            <w:tcBorders>
              <w:top w:val="single" w:sz="4" w:space="0" w:color="auto"/>
              <w:left w:val="single" w:sz="4" w:space="0" w:color="auto"/>
              <w:bottom w:val="single" w:sz="4" w:space="0" w:color="auto"/>
              <w:right w:val="single" w:sz="4" w:space="0" w:color="auto"/>
            </w:tcBorders>
          </w:tcPr>
          <w:p w14:paraId="50BE0BF0" w14:textId="77777777" w:rsidR="003A71DE" w:rsidRPr="001C0E1B" w:rsidRDefault="003A71DE" w:rsidP="003A71DE">
            <w:pPr>
              <w:pStyle w:val="TAC"/>
              <w:rPr>
                <w:rFonts w:eastAsia="MS Mincho"/>
              </w:rPr>
            </w:pPr>
            <w:r w:rsidRPr="00B3067E">
              <w:rPr>
                <w:rFonts w:eastAsia="MS Mincho"/>
              </w:rPr>
              <w:t>-84.5</w:t>
            </w:r>
          </w:p>
        </w:tc>
        <w:tc>
          <w:tcPr>
            <w:tcW w:w="879" w:type="dxa"/>
            <w:tcBorders>
              <w:top w:val="single" w:sz="4" w:space="0" w:color="auto"/>
              <w:left w:val="single" w:sz="4" w:space="0" w:color="auto"/>
              <w:bottom w:val="single" w:sz="4" w:space="0" w:color="auto"/>
              <w:right w:val="single" w:sz="4" w:space="0" w:color="auto"/>
            </w:tcBorders>
          </w:tcPr>
          <w:p w14:paraId="25DCE469" w14:textId="77777777" w:rsidR="003A71DE" w:rsidRPr="001C0E1B" w:rsidRDefault="003A71DE" w:rsidP="003A71DE">
            <w:pPr>
              <w:pStyle w:val="TAC"/>
              <w:rPr>
                <w:rFonts w:eastAsia="MS Mincho"/>
              </w:rPr>
            </w:pPr>
            <w:r w:rsidRPr="00B3067E">
              <w:rPr>
                <w:rFonts w:eastAsia="MS Mincho"/>
              </w:rPr>
              <w:t>-84.5</w:t>
            </w:r>
          </w:p>
        </w:tc>
      </w:tr>
      <w:tr w:rsidR="003A71DE" w:rsidRPr="001C0E1B" w14:paraId="2964B440" w14:textId="77777777" w:rsidTr="003A71DE">
        <w:trPr>
          <w:cantSplit/>
          <w:trHeight w:val="105"/>
          <w:jc w:val="center"/>
        </w:trPr>
        <w:tc>
          <w:tcPr>
            <w:tcW w:w="2263" w:type="dxa"/>
            <w:tcBorders>
              <w:top w:val="nil"/>
              <w:left w:val="single" w:sz="4" w:space="0" w:color="auto"/>
              <w:bottom w:val="single" w:sz="4" w:space="0" w:color="auto"/>
              <w:right w:val="single" w:sz="4" w:space="0" w:color="auto"/>
            </w:tcBorders>
            <w:shd w:val="clear" w:color="auto" w:fill="auto"/>
            <w:vAlign w:val="center"/>
          </w:tcPr>
          <w:p w14:paraId="18D28FA2" w14:textId="77777777" w:rsidR="003A71DE" w:rsidRPr="001C0E1B" w:rsidRDefault="003A71DE" w:rsidP="003A71DE">
            <w:pPr>
              <w:pStyle w:val="TAL"/>
            </w:pPr>
          </w:p>
        </w:tc>
        <w:tc>
          <w:tcPr>
            <w:tcW w:w="1206" w:type="dxa"/>
            <w:tcBorders>
              <w:top w:val="single" w:sz="4" w:space="0" w:color="auto"/>
              <w:left w:val="single" w:sz="4" w:space="0" w:color="auto"/>
              <w:bottom w:val="single" w:sz="4" w:space="0" w:color="auto"/>
              <w:right w:val="single" w:sz="4" w:space="0" w:color="auto"/>
            </w:tcBorders>
          </w:tcPr>
          <w:p w14:paraId="60DCFAE3" w14:textId="77777777" w:rsidR="003A71DE" w:rsidRPr="001C0E1B" w:rsidRDefault="003A71DE" w:rsidP="003A71DE">
            <w:pPr>
              <w:pStyle w:val="TAL"/>
              <w:rPr>
                <w:noProof/>
              </w:rPr>
            </w:pPr>
            <w:r w:rsidRPr="001C0E1B">
              <w:rPr>
                <w:noProof/>
              </w:rPr>
              <w:t>Config 2</w:t>
            </w:r>
          </w:p>
        </w:tc>
        <w:tc>
          <w:tcPr>
            <w:tcW w:w="1062" w:type="dxa"/>
            <w:tcBorders>
              <w:top w:val="nil"/>
              <w:left w:val="single" w:sz="4" w:space="0" w:color="auto"/>
              <w:bottom w:val="single" w:sz="4" w:space="0" w:color="auto"/>
              <w:right w:val="single" w:sz="4" w:space="0" w:color="auto"/>
            </w:tcBorders>
            <w:shd w:val="clear" w:color="auto" w:fill="auto"/>
          </w:tcPr>
          <w:p w14:paraId="1891C9C8" w14:textId="77777777" w:rsidR="003A71DE" w:rsidRPr="001C0E1B" w:rsidRDefault="003A71DE" w:rsidP="003A71DE">
            <w:pPr>
              <w:pStyle w:val="TAC"/>
            </w:pPr>
            <w:r w:rsidRPr="00B3067E">
              <w:t>SCS</w:t>
            </w:r>
          </w:p>
        </w:tc>
        <w:tc>
          <w:tcPr>
            <w:tcW w:w="879" w:type="dxa"/>
            <w:tcBorders>
              <w:top w:val="single" w:sz="4" w:space="0" w:color="auto"/>
              <w:left w:val="single" w:sz="4" w:space="0" w:color="auto"/>
              <w:bottom w:val="single" w:sz="4" w:space="0" w:color="auto"/>
              <w:right w:val="single" w:sz="4" w:space="0" w:color="auto"/>
            </w:tcBorders>
          </w:tcPr>
          <w:p w14:paraId="2BF6C60A" w14:textId="77777777" w:rsidR="003A71DE" w:rsidRPr="001C0E1B" w:rsidRDefault="003A71DE" w:rsidP="003A71DE">
            <w:pPr>
              <w:pStyle w:val="TAC"/>
              <w:rPr>
                <w:rFonts w:eastAsia="MS Mincho"/>
              </w:rPr>
            </w:pPr>
            <w:r w:rsidRPr="00B3067E">
              <w:rPr>
                <w:rFonts w:eastAsia="MS Mincho"/>
              </w:rPr>
              <w:t>-10</w:t>
            </w:r>
            <w:r>
              <w:rPr>
                <w:rFonts w:eastAsia="MS Mincho"/>
              </w:rPr>
              <w:t>1</w:t>
            </w:r>
            <w:r w:rsidRPr="00B3067E">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351832F1" w14:textId="77777777" w:rsidR="003A71DE" w:rsidRPr="001C0E1B" w:rsidRDefault="003A71DE" w:rsidP="003A71DE">
            <w:pPr>
              <w:pStyle w:val="TAC"/>
              <w:rPr>
                <w:rFonts w:eastAsia="MS Mincho"/>
              </w:rPr>
            </w:pPr>
            <w:r w:rsidRPr="00B3067E">
              <w:rPr>
                <w:rFonts w:eastAsia="MS Mincho"/>
              </w:rPr>
              <w:t>-10</w:t>
            </w:r>
            <w:r>
              <w:rPr>
                <w:rFonts w:eastAsia="MS Mincho"/>
              </w:rPr>
              <w:t>1</w:t>
            </w:r>
            <w:r w:rsidRPr="00B3067E">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7C672210" w14:textId="77777777" w:rsidR="003A71DE" w:rsidRPr="001C0E1B" w:rsidRDefault="003A71DE" w:rsidP="003A71DE">
            <w:pPr>
              <w:pStyle w:val="TAC"/>
              <w:rPr>
                <w:rFonts w:eastAsia="MS Mincho"/>
              </w:rPr>
            </w:pPr>
            <w:r w:rsidRPr="00B3067E">
              <w:rPr>
                <w:rFonts w:eastAsia="MS Mincho"/>
              </w:rPr>
              <w:t>-8</w:t>
            </w:r>
            <w:r>
              <w:rPr>
                <w:rFonts w:eastAsia="MS Mincho"/>
              </w:rPr>
              <w:t>1</w:t>
            </w:r>
            <w:r w:rsidRPr="00B3067E">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1B92A9D7" w14:textId="77777777" w:rsidR="003A71DE" w:rsidRPr="001C0E1B" w:rsidRDefault="003A71DE" w:rsidP="003A71DE">
            <w:pPr>
              <w:pStyle w:val="TAC"/>
              <w:rPr>
                <w:rFonts w:eastAsia="MS Mincho"/>
              </w:rPr>
            </w:pPr>
            <w:r w:rsidRPr="00B3067E">
              <w:rPr>
                <w:rFonts w:eastAsia="MS Mincho"/>
              </w:rPr>
              <w:t>-8</w:t>
            </w:r>
            <w:r>
              <w:rPr>
                <w:rFonts w:eastAsia="MS Mincho"/>
              </w:rPr>
              <w:t>1</w:t>
            </w:r>
            <w:r w:rsidRPr="00B3067E">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648A517A" w14:textId="77777777" w:rsidR="003A71DE" w:rsidRPr="001C0E1B" w:rsidRDefault="003A71DE" w:rsidP="003A71DE">
            <w:pPr>
              <w:pStyle w:val="TAC"/>
              <w:rPr>
                <w:rFonts w:eastAsia="MS Mincho"/>
              </w:rPr>
            </w:pPr>
            <w:r w:rsidRPr="00B3067E">
              <w:rPr>
                <w:rFonts w:eastAsia="MS Mincho"/>
              </w:rPr>
              <w:t>-8</w:t>
            </w:r>
            <w:r>
              <w:rPr>
                <w:rFonts w:eastAsia="MS Mincho"/>
              </w:rPr>
              <w:t>1</w:t>
            </w:r>
            <w:r w:rsidRPr="00B3067E">
              <w:rPr>
                <w:rFonts w:eastAsia="MS Mincho"/>
              </w:rPr>
              <w:t>.5</w:t>
            </w:r>
          </w:p>
        </w:tc>
      </w:tr>
      <w:tr w:rsidR="003A71DE" w:rsidRPr="001C0E1B" w14:paraId="3D2FF8A7" w14:textId="77777777" w:rsidTr="003A71DE">
        <w:trPr>
          <w:cantSplit/>
          <w:trHeight w:val="122"/>
          <w:jc w:val="center"/>
        </w:trPr>
        <w:tc>
          <w:tcPr>
            <w:tcW w:w="2263" w:type="dxa"/>
            <w:tcBorders>
              <w:top w:val="single" w:sz="4" w:space="0" w:color="auto"/>
              <w:left w:val="single" w:sz="4" w:space="0" w:color="auto"/>
              <w:bottom w:val="nil"/>
              <w:right w:val="single" w:sz="4" w:space="0" w:color="auto"/>
            </w:tcBorders>
            <w:shd w:val="clear" w:color="auto" w:fill="auto"/>
            <w:vAlign w:val="center"/>
            <w:hideMark/>
          </w:tcPr>
          <w:p w14:paraId="1763C98E" w14:textId="77777777" w:rsidR="003A71DE" w:rsidRPr="001C0E1B" w:rsidRDefault="003A71DE" w:rsidP="003A71DE">
            <w:pPr>
              <w:pStyle w:val="TAL"/>
            </w:pPr>
            <w:r w:rsidRPr="001C0E1B">
              <w:rPr>
                <w:position w:val="-12"/>
              </w:rPr>
              <w:object w:dxaOrig="420" w:dyaOrig="420" w14:anchorId="1BAAA83D">
                <v:shape id="_x0000_i1103" type="#_x0000_t75" style="width:22.15pt;height:22.15pt" o:ole="" fillcolor="window">
                  <v:imagedata r:id="rId114" o:title=""/>
                </v:shape>
                <o:OLEObject Type="Embed" ProgID="Equation.3" ShapeID="_x0000_i1103" DrawAspect="Content" ObjectID="_1734764483" r:id="rId137"/>
              </w:object>
            </w:r>
          </w:p>
        </w:tc>
        <w:tc>
          <w:tcPr>
            <w:tcW w:w="1206" w:type="dxa"/>
            <w:tcBorders>
              <w:top w:val="single" w:sz="4" w:space="0" w:color="auto"/>
              <w:left w:val="single" w:sz="4" w:space="0" w:color="auto"/>
              <w:bottom w:val="single" w:sz="4" w:space="0" w:color="auto"/>
              <w:right w:val="single" w:sz="4" w:space="0" w:color="auto"/>
            </w:tcBorders>
            <w:hideMark/>
          </w:tcPr>
          <w:p w14:paraId="6A37F8F1" w14:textId="77777777" w:rsidR="003A71DE" w:rsidRPr="001C0E1B" w:rsidRDefault="003A71DE" w:rsidP="003A71DE">
            <w:pPr>
              <w:pStyle w:val="TAL"/>
              <w:rPr>
                <w:noProof/>
              </w:rPr>
            </w:pPr>
            <w:r w:rsidRPr="001C0E1B">
              <w:rPr>
                <w:noProof/>
              </w:rPr>
              <w:t>Config 1</w:t>
            </w:r>
          </w:p>
        </w:tc>
        <w:tc>
          <w:tcPr>
            <w:tcW w:w="1062" w:type="dxa"/>
            <w:tcBorders>
              <w:top w:val="single" w:sz="4" w:space="0" w:color="auto"/>
              <w:left w:val="single" w:sz="4" w:space="0" w:color="auto"/>
              <w:bottom w:val="nil"/>
              <w:right w:val="single" w:sz="4" w:space="0" w:color="auto"/>
            </w:tcBorders>
            <w:shd w:val="clear" w:color="auto" w:fill="auto"/>
            <w:hideMark/>
          </w:tcPr>
          <w:p w14:paraId="005623C6" w14:textId="77777777" w:rsidR="003A71DE" w:rsidRPr="001C0E1B" w:rsidRDefault="003A71DE" w:rsidP="003A71DE">
            <w:pPr>
              <w:pStyle w:val="TAC"/>
            </w:pPr>
            <w:r w:rsidRPr="001C0E1B">
              <w:t>dBm/120 KHz</w:t>
            </w:r>
          </w:p>
        </w:tc>
        <w:tc>
          <w:tcPr>
            <w:tcW w:w="4395" w:type="dxa"/>
            <w:gridSpan w:val="5"/>
            <w:tcBorders>
              <w:top w:val="single" w:sz="4" w:space="0" w:color="auto"/>
              <w:left w:val="single" w:sz="4" w:space="0" w:color="auto"/>
              <w:bottom w:val="single" w:sz="4" w:space="0" w:color="auto"/>
              <w:right w:val="single" w:sz="4" w:space="0" w:color="auto"/>
            </w:tcBorders>
            <w:hideMark/>
          </w:tcPr>
          <w:p w14:paraId="03A71DD4" w14:textId="77777777" w:rsidR="003A71DE" w:rsidRPr="001C0E1B" w:rsidRDefault="003A71DE" w:rsidP="003A71DE">
            <w:pPr>
              <w:pStyle w:val="TAC"/>
            </w:pPr>
            <w:r w:rsidRPr="00EC61C3">
              <w:t>-104.7</w:t>
            </w:r>
          </w:p>
        </w:tc>
      </w:tr>
      <w:tr w:rsidR="003A71DE" w:rsidRPr="001C0E1B" w14:paraId="03C89D08" w14:textId="77777777" w:rsidTr="003A71DE">
        <w:trPr>
          <w:cantSplit/>
          <w:trHeight w:val="120"/>
          <w:jc w:val="center"/>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7462EE13" w14:textId="77777777" w:rsidR="003A71DE" w:rsidRPr="001C0E1B" w:rsidRDefault="003A71DE" w:rsidP="003A71DE">
            <w:pPr>
              <w:pStyle w:val="TAL"/>
            </w:pPr>
          </w:p>
        </w:tc>
        <w:tc>
          <w:tcPr>
            <w:tcW w:w="1206" w:type="dxa"/>
            <w:tcBorders>
              <w:top w:val="single" w:sz="4" w:space="0" w:color="auto"/>
              <w:left w:val="single" w:sz="4" w:space="0" w:color="auto"/>
              <w:bottom w:val="single" w:sz="4" w:space="0" w:color="auto"/>
              <w:right w:val="single" w:sz="4" w:space="0" w:color="auto"/>
            </w:tcBorders>
            <w:hideMark/>
          </w:tcPr>
          <w:p w14:paraId="12544CEF" w14:textId="77777777" w:rsidR="003A71DE" w:rsidRPr="001C0E1B" w:rsidRDefault="003A71DE" w:rsidP="003A71DE">
            <w:pPr>
              <w:pStyle w:val="TAL"/>
              <w:rPr>
                <w:noProof/>
              </w:rPr>
            </w:pPr>
            <w:r w:rsidRPr="001C0E1B">
              <w:rPr>
                <w:noProof/>
              </w:rPr>
              <w:t>Config 2</w:t>
            </w:r>
          </w:p>
        </w:tc>
        <w:tc>
          <w:tcPr>
            <w:tcW w:w="1062" w:type="dxa"/>
            <w:tcBorders>
              <w:top w:val="nil"/>
              <w:left w:val="single" w:sz="4" w:space="0" w:color="auto"/>
              <w:bottom w:val="single" w:sz="4" w:space="0" w:color="auto"/>
              <w:right w:val="single" w:sz="4" w:space="0" w:color="auto"/>
            </w:tcBorders>
            <w:shd w:val="clear" w:color="auto" w:fill="auto"/>
            <w:vAlign w:val="center"/>
            <w:hideMark/>
          </w:tcPr>
          <w:p w14:paraId="47183461" w14:textId="77777777" w:rsidR="003A71DE" w:rsidRPr="001C0E1B" w:rsidRDefault="003A71DE" w:rsidP="003A71DE">
            <w:pPr>
              <w:pStyle w:val="TAC"/>
            </w:pPr>
          </w:p>
        </w:tc>
        <w:tc>
          <w:tcPr>
            <w:tcW w:w="4395" w:type="dxa"/>
            <w:gridSpan w:val="5"/>
            <w:tcBorders>
              <w:top w:val="single" w:sz="4" w:space="0" w:color="auto"/>
              <w:left w:val="single" w:sz="4" w:space="0" w:color="auto"/>
              <w:bottom w:val="single" w:sz="4" w:space="0" w:color="auto"/>
              <w:right w:val="single" w:sz="4" w:space="0" w:color="auto"/>
            </w:tcBorders>
            <w:hideMark/>
          </w:tcPr>
          <w:p w14:paraId="069E58FD" w14:textId="77777777" w:rsidR="003A71DE" w:rsidRPr="001C0E1B" w:rsidRDefault="003A71DE" w:rsidP="003A71DE">
            <w:pPr>
              <w:pStyle w:val="TAC"/>
            </w:pPr>
            <w:r w:rsidRPr="00EC61C3">
              <w:t>-104.7</w:t>
            </w:r>
          </w:p>
        </w:tc>
      </w:tr>
      <w:tr w:rsidR="003A71DE" w:rsidRPr="001C0E1B" w14:paraId="3526E929" w14:textId="77777777" w:rsidTr="003A71DE">
        <w:trPr>
          <w:cantSplit/>
          <w:trHeight w:val="199"/>
          <w:jc w:val="center"/>
        </w:trPr>
        <w:tc>
          <w:tcPr>
            <w:tcW w:w="3469" w:type="dxa"/>
            <w:gridSpan w:val="2"/>
            <w:tcBorders>
              <w:top w:val="single" w:sz="4" w:space="0" w:color="auto"/>
              <w:left w:val="single" w:sz="4" w:space="0" w:color="auto"/>
              <w:bottom w:val="single" w:sz="4" w:space="0" w:color="auto"/>
              <w:right w:val="single" w:sz="4" w:space="0" w:color="auto"/>
            </w:tcBorders>
            <w:hideMark/>
          </w:tcPr>
          <w:p w14:paraId="423CFB72" w14:textId="77777777" w:rsidR="003A71DE" w:rsidRPr="001C0E1B" w:rsidRDefault="003A71DE" w:rsidP="003A71DE">
            <w:pPr>
              <w:pStyle w:val="TAL"/>
            </w:pPr>
            <w:r w:rsidRPr="001C0E1B">
              <w:rPr>
                <w:rFonts w:eastAsia="?? ??"/>
              </w:rPr>
              <w:t>Propagation condition</w:t>
            </w:r>
          </w:p>
        </w:tc>
        <w:tc>
          <w:tcPr>
            <w:tcW w:w="1062" w:type="dxa"/>
            <w:tcBorders>
              <w:top w:val="single" w:sz="4" w:space="0" w:color="auto"/>
              <w:left w:val="single" w:sz="4" w:space="0" w:color="auto"/>
              <w:bottom w:val="single" w:sz="4" w:space="0" w:color="auto"/>
              <w:right w:val="single" w:sz="4" w:space="0" w:color="auto"/>
            </w:tcBorders>
          </w:tcPr>
          <w:p w14:paraId="38871F74" w14:textId="77777777" w:rsidR="003A71DE" w:rsidRPr="001C0E1B" w:rsidRDefault="003A71DE" w:rsidP="003A71DE">
            <w:pPr>
              <w:pStyle w:val="TAC"/>
            </w:pPr>
          </w:p>
        </w:tc>
        <w:tc>
          <w:tcPr>
            <w:tcW w:w="4395" w:type="dxa"/>
            <w:gridSpan w:val="5"/>
            <w:tcBorders>
              <w:top w:val="single" w:sz="4" w:space="0" w:color="auto"/>
              <w:left w:val="single" w:sz="4" w:space="0" w:color="auto"/>
              <w:bottom w:val="single" w:sz="4" w:space="0" w:color="auto"/>
              <w:right w:val="single" w:sz="4" w:space="0" w:color="auto"/>
            </w:tcBorders>
            <w:hideMark/>
          </w:tcPr>
          <w:p w14:paraId="32CE7338" w14:textId="77777777" w:rsidR="003A71DE" w:rsidRPr="001C0E1B" w:rsidRDefault="003A71DE" w:rsidP="003A71DE">
            <w:pPr>
              <w:pStyle w:val="TAC"/>
              <w:rPr>
                <w:rFonts w:eastAsia="MS Mincho"/>
              </w:rPr>
            </w:pPr>
            <w:r w:rsidRPr="001C0E1B">
              <w:rPr>
                <w:rFonts w:eastAsia="MS Mincho"/>
              </w:rPr>
              <w:t>TDL-A 30ns 75Hz</w:t>
            </w:r>
          </w:p>
        </w:tc>
      </w:tr>
      <w:tr w:rsidR="003A71DE" w:rsidRPr="001C0E1B" w14:paraId="1B73FFD2" w14:textId="77777777" w:rsidTr="003A71DE">
        <w:trPr>
          <w:cantSplit/>
          <w:trHeight w:val="1801"/>
          <w:jc w:val="center"/>
        </w:trPr>
        <w:tc>
          <w:tcPr>
            <w:tcW w:w="8926" w:type="dxa"/>
            <w:gridSpan w:val="8"/>
            <w:tcBorders>
              <w:top w:val="single" w:sz="4" w:space="0" w:color="auto"/>
              <w:left w:val="single" w:sz="4" w:space="0" w:color="auto"/>
              <w:bottom w:val="single" w:sz="4" w:space="0" w:color="auto"/>
              <w:right w:val="single" w:sz="4" w:space="0" w:color="auto"/>
            </w:tcBorders>
            <w:hideMark/>
          </w:tcPr>
          <w:p w14:paraId="30CB9E1D" w14:textId="77777777" w:rsidR="003A71DE" w:rsidRPr="001C0E1B" w:rsidRDefault="003A71DE" w:rsidP="003A71DE">
            <w:pPr>
              <w:pStyle w:val="TAN"/>
            </w:pPr>
            <w:r w:rsidRPr="001C0E1B">
              <w:t>Note 1:</w:t>
            </w:r>
            <w:r w:rsidRPr="001C0E1B">
              <w:tab/>
              <w:t>OCNG shall be used such that the resources in Cell 1 are fully allocated and a constant total transmitted power spectral density is achieved for all OFDM symbols.</w:t>
            </w:r>
          </w:p>
          <w:p w14:paraId="0E7D9EAC" w14:textId="77777777" w:rsidR="003A71DE" w:rsidRPr="001C0E1B" w:rsidRDefault="003A71DE" w:rsidP="003A71DE">
            <w:pPr>
              <w:pStyle w:val="TAN"/>
            </w:pPr>
            <w:r w:rsidRPr="001C0E1B">
              <w:t>Note 2:</w:t>
            </w:r>
            <w:r w:rsidRPr="001C0E1B">
              <w:tab/>
              <w:t xml:space="preserve">The uplink resources for CSI reporting are assigned to the </w:t>
            </w:r>
            <w:r>
              <w:t>IAB-MT</w:t>
            </w:r>
            <w:r w:rsidRPr="001C0E1B">
              <w:t xml:space="preserve"> prior to the start of time period T1.</w:t>
            </w:r>
          </w:p>
          <w:p w14:paraId="043CE1B0" w14:textId="77777777" w:rsidR="003A71DE" w:rsidRPr="001C0E1B" w:rsidRDefault="003A71DE" w:rsidP="003A71DE">
            <w:pPr>
              <w:pStyle w:val="TAN"/>
            </w:pPr>
            <w:r w:rsidRPr="001C0E1B">
              <w:t>Note 3:</w:t>
            </w:r>
            <w:r w:rsidRPr="001C0E1B">
              <w:tab/>
              <w:t xml:space="preserve">NZP CSI-RS resource set configuration for CSI reporting are assigned to the </w:t>
            </w:r>
            <w:r>
              <w:t>IAB-MT</w:t>
            </w:r>
            <w:r w:rsidRPr="001C0E1B">
              <w:t xml:space="preserve"> prior to the start of time period T1.</w:t>
            </w:r>
          </w:p>
          <w:p w14:paraId="2EAACF11" w14:textId="77777777" w:rsidR="003A71DE" w:rsidRPr="001C0E1B" w:rsidRDefault="003A71DE" w:rsidP="003A71DE">
            <w:pPr>
              <w:pStyle w:val="TAN"/>
            </w:pPr>
            <w:r w:rsidRPr="001C0E1B">
              <w:t>Note 4:</w:t>
            </w:r>
            <w:r w:rsidRPr="001C0E1B">
              <w:tab/>
            </w:r>
            <w:r>
              <w:t>Void</w:t>
            </w:r>
          </w:p>
          <w:p w14:paraId="69D68681" w14:textId="77777777" w:rsidR="003A71DE" w:rsidRPr="001C0E1B" w:rsidRDefault="003A71DE" w:rsidP="003A71DE">
            <w:pPr>
              <w:pStyle w:val="TAN"/>
            </w:pPr>
            <w:r w:rsidRPr="001C0E1B">
              <w:t>Note 5:</w:t>
            </w:r>
            <w:r w:rsidRPr="001C0E1B">
              <w:tab/>
              <w:t>The timers and layer 3 filtering related parameters are configured prior to the start of time period T1.</w:t>
            </w:r>
          </w:p>
          <w:p w14:paraId="65F30011" w14:textId="77777777" w:rsidR="003A71DE" w:rsidRPr="001C0E1B" w:rsidRDefault="003A71DE" w:rsidP="003A71DE">
            <w:pPr>
              <w:pStyle w:val="TAN"/>
            </w:pPr>
            <w:r w:rsidRPr="001C0E1B">
              <w:t>Note 6:</w:t>
            </w:r>
            <w:r w:rsidRPr="001C0E1B">
              <w:tab/>
              <w:t xml:space="preserve">The signal contains PDCCH for </w:t>
            </w:r>
            <w:r>
              <w:t>IAB-MT</w:t>
            </w:r>
            <w:r w:rsidRPr="001C0E1B">
              <w:t>s other than the device under test as part of OCNG.</w:t>
            </w:r>
          </w:p>
          <w:p w14:paraId="36567A06" w14:textId="77777777" w:rsidR="003A71DE" w:rsidRPr="001C0E1B" w:rsidRDefault="003A71DE" w:rsidP="003A71DE">
            <w:pPr>
              <w:pStyle w:val="TAN"/>
            </w:pPr>
            <w:r w:rsidRPr="001C0E1B">
              <w:t>Note 7:</w:t>
            </w:r>
            <w:r w:rsidRPr="001C0E1B">
              <w:tab/>
              <w:t>SNR levels correspond to the signal to noise ratio over the SSS REs.</w:t>
            </w:r>
          </w:p>
          <w:p w14:paraId="2E93F699" w14:textId="77777777" w:rsidR="003A71DE" w:rsidRPr="001C0E1B" w:rsidRDefault="003A71DE" w:rsidP="003A71DE">
            <w:pPr>
              <w:pStyle w:val="TAN"/>
            </w:pPr>
            <w:r w:rsidRPr="001C0E1B">
              <w:t>Note 8:</w:t>
            </w:r>
            <w:r w:rsidRPr="001C0E1B">
              <w:tab/>
              <w:t xml:space="preserve">The SNR in time periods T1, T2, T3, T4 and T5 is denoted as SNR1, SNR2 and SNR3 respectively in figure </w:t>
            </w:r>
            <w:r>
              <w:t>G.2.3.2.X</w:t>
            </w:r>
            <w:r w:rsidRPr="001C0E1B">
              <w:t>.1-1.</w:t>
            </w:r>
          </w:p>
          <w:p w14:paraId="7D680AD1" w14:textId="77777777" w:rsidR="003A71DE" w:rsidRPr="001C0E1B" w:rsidRDefault="003A71DE" w:rsidP="003A71DE">
            <w:pPr>
              <w:pStyle w:val="TAN"/>
            </w:pPr>
            <w:r w:rsidRPr="001C0E1B">
              <w:t>Note 9:</w:t>
            </w:r>
            <w:r w:rsidRPr="001C0E1B">
              <w:rPr>
                <w:rFonts w:eastAsia="MS Mincho"/>
                <w:snapToGrid w:val="0"/>
              </w:rPr>
              <w:tab/>
            </w:r>
            <w:r w:rsidRPr="001C0E1B">
              <w:t>The SNR values are specified for testing a</w:t>
            </w:r>
            <w:r>
              <w:t>n</w:t>
            </w:r>
            <w:r w:rsidRPr="001C0E1B">
              <w:t xml:space="preserve"> </w:t>
            </w:r>
            <w:r>
              <w:t>IAB-MT</w:t>
            </w:r>
            <w:r w:rsidRPr="001C0E1B">
              <w:t xml:space="preserve"> which supports 2RX on at least one band. For testing of a</w:t>
            </w:r>
            <w:r>
              <w:t>n</w:t>
            </w:r>
            <w:r w:rsidRPr="001C0E1B">
              <w:t xml:space="preserve"> </w:t>
            </w:r>
            <w:r>
              <w:t>IAB-MT</w:t>
            </w:r>
            <w:r w:rsidRPr="001C0E1B">
              <w:t xml:space="preserve"> hich supports 4RX on all bands, the SNR during T3 is modified as specified in clause </w:t>
            </w:r>
            <w:r>
              <w:t>G</w:t>
            </w:r>
            <w:r w:rsidRPr="001C0E1B">
              <w:t>.</w:t>
            </w:r>
            <w:r>
              <w:t>1</w:t>
            </w:r>
            <w:r w:rsidRPr="001C0E1B">
              <w:t>.</w:t>
            </w:r>
            <w:r>
              <w:t>3</w:t>
            </w:r>
            <w:r w:rsidRPr="001C0E1B">
              <w:t xml:space="preserve">. </w:t>
            </w:r>
            <w:r>
              <w:t>1</w:t>
            </w:r>
          </w:p>
        </w:tc>
      </w:tr>
    </w:tbl>
    <w:p w14:paraId="4C29D38F" w14:textId="77777777" w:rsidR="003A71DE" w:rsidRPr="001C0E1B" w:rsidRDefault="003A71DE" w:rsidP="003A71DE"/>
    <w:p w14:paraId="7BA5FE98" w14:textId="77777777" w:rsidR="003A71DE" w:rsidRPr="001C0E1B" w:rsidRDefault="003A71DE" w:rsidP="003A71DE"/>
    <w:p w14:paraId="2A2511C5" w14:textId="4F15FBA2" w:rsidR="003A71DE" w:rsidRPr="001C0E1B" w:rsidRDefault="003A71DE" w:rsidP="00746C0D">
      <w:pPr>
        <w:pStyle w:val="TH"/>
      </w:pPr>
      <w:bookmarkStart w:id="10366" w:name="_Toc535476727"/>
      <w:r w:rsidRPr="001C0E1B">
        <w:rPr>
          <w:noProof/>
          <w:lang w:val="en-US" w:eastAsia="zh-CN"/>
        </w:rPr>
        <w:drawing>
          <wp:inline distT="0" distB="0" distL="0" distR="0" wp14:anchorId="03AF2E7E" wp14:editId="729738F7">
            <wp:extent cx="4843968" cy="2278255"/>
            <wp:effectExtent l="0" t="0" r="0" b="0"/>
            <wp:docPr id="3144" name="图片 34" descr="C:\Users\w00527694\Pictures\图片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C:\Users\w00527694\Pictures\图片28.png"/>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4858006" cy="2284857"/>
                    </a:xfrm>
                    <a:prstGeom prst="rect">
                      <a:avLst/>
                    </a:prstGeom>
                    <a:noFill/>
                    <a:ln>
                      <a:noFill/>
                    </a:ln>
                  </pic:spPr>
                </pic:pic>
              </a:graphicData>
            </a:graphic>
          </wp:inline>
        </w:drawing>
      </w:r>
    </w:p>
    <w:p w14:paraId="6B27727A" w14:textId="77777777" w:rsidR="003A71DE" w:rsidRPr="001C0E1B" w:rsidRDefault="003A71DE" w:rsidP="00746C0D">
      <w:pPr>
        <w:pStyle w:val="TF"/>
      </w:pPr>
      <w:r w:rsidRPr="001C0E1B">
        <w:t xml:space="preserve">Figure </w:t>
      </w:r>
      <w:r>
        <w:t>G.2.3.2.2</w:t>
      </w:r>
      <w:r w:rsidRPr="001C0E1B">
        <w:t>.1-1: SNR and L1-RSRP variation SSB for SSB-based beam failure detection and link recovery testing in non-DRX mode</w:t>
      </w:r>
    </w:p>
    <w:p w14:paraId="635FB033" w14:textId="77777777" w:rsidR="003A71DE" w:rsidRPr="001C0E1B" w:rsidRDefault="003A71DE" w:rsidP="00746C0D">
      <w:pPr>
        <w:pStyle w:val="H6"/>
        <w:rPr>
          <w:snapToGrid w:val="0"/>
        </w:rPr>
      </w:pPr>
      <w:r>
        <w:rPr>
          <w:snapToGrid w:val="0"/>
        </w:rPr>
        <w:lastRenderedPageBreak/>
        <w:t>G.2.3.2.2</w:t>
      </w:r>
      <w:r w:rsidRPr="001C0E1B">
        <w:rPr>
          <w:snapToGrid w:val="0"/>
        </w:rPr>
        <w:t>.2</w:t>
      </w:r>
      <w:r w:rsidRPr="001C0E1B">
        <w:rPr>
          <w:snapToGrid w:val="0"/>
        </w:rPr>
        <w:tab/>
        <w:t>Test Requirements</w:t>
      </w:r>
      <w:bookmarkEnd w:id="10366"/>
    </w:p>
    <w:p w14:paraId="68F7745C" w14:textId="77777777" w:rsidR="003A71DE" w:rsidRPr="001C0E1B" w:rsidRDefault="003A71DE" w:rsidP="003A71DE">
      <w:r w:rsidRPr="001C0E1B">
        <w:t xml:space="preserve">The </w:t>
      </w:r>
      <w:r>
        <w:t>IAB-MT</w:t>
      </w:r>
      <w:r w:rsidRPr="001C0E1B">
        <w:t xml:space="preserve"> behaviour during time durations T1, T2, T3, T4 </w:t>
      </w:r>
      <w:r w:rsidRPr="001C0E1B">
        <w:rPr>
          <w:lang w:eastAsia="zh-CN"/>
        </w:rPr>
        <w:t xml:space="preserve">and </w:t>
      </w:r>
      <w:r w:rsidRPr="001C0E1B">
        <w:t>T5 shall be as follows:</w:t>
      </w:r>
    </w:p>
    <w:p w14:paraId="7837D379" w14:textId="77777777" w:rsidR="003A71DE" w:rsidRPr="001C0E1B" w:rsidRDefault="003A71DE" w:rsidP="003A71DE">
      <w:pPr>
        <w:rPr>
          <w:lang w:eastAsia="zh-CN"/>
        </w:rPr>
      </w:pPr>
      <w:r w:rsidRPr="001C0E1B">
        <w:t xml:space="preserve">During the </w:t>
      </w:r>
      <w:r w:rsidRPr="001C0E1B">
        <w:rPr>
          <w:lang w:eastAsia="zh-CN"/>
        </w:rPr>
        <w:t xml:space="preserve">time duration T1 and T2, the </w:t>
      </w:r>
      <w:r>
        <w:rPr>
          <w:lang w:eastAsia="zh-CN"/>
        </w:rPr>
        <w:t>IAB-MT</w:t>
      </w:r>
      <w:r w:rsidRPr="001C0E1B">
        <w:rPr>
          <w:lang w:eastAsia="zh-CN"/>
        </w:rPr>
        <w:t xml:space="preserve"> shall transmit uplink signal at least in all subframes configured for CSI transmission on Cell 1.</w:t>
      </w:r>
    </w:p>
    <w:p w14:paraId="10B8B1EF" w14:textId="77777777" w:rsidR="003A71DE" w:rsidRPr="001C0E1B" w:rsidRDefault="003A71DE" w:rsidP="003A71DE">
      <w:r w:rsidRPr="001C0E1B">
        <w:rPr>
          <w:lang w:eastAsia="zh-CN"/>
        </w:rPr>
        <w:t xml:space="preserve">During the </w:t>
      </w:r>
      <w:r w:rsidRPr="001C0E1B">
        <w:t xml:space="preserve">period from time point A to time point B the </w:t>
      </w:r>
      <w:r>
        <w:t>IAB-MT</w:t>
      </w:r>
      <w:r w:rsidRPr="001C0E1B">
        <w:t xml:space="preserve"> shall transmit uplink signal in Cell 1 in all uplink slots configured for CSI transmission according to the configured periodic CSI reporting for Cell 1.</w:t>
      </w:r>
    </w:p>
    <w:p w14:paraId="188EE3BC" w14:textId="77777777" w:rsidR="003A71DE" w:rsidRPr="001C0E1B" w:rsidRDefault="003A71DE" w:rsidP="003A71DE">
      <w:r w:rsidRPr="001C0E1B">
        <w:t xml:space="preserve">During T3 the </w:t>
      </w:r>
      <w:r>
        <w:t>IAB-MT</w:t>
      </w:r>
      <w:r w:rsidRPr="001C0E1B">
        <w:t xml:space="preserve"> shall detect beam failure and initiate link recovery. During T4 and T5 the </w:t>
      </w:r>
      <w:r>
        <w:t>IAB-MT</w:t>
      </w:r>
      <w:r w:rsidRPr="001C0E1B">
        <w:t xml:space="preserve"> measures and evaluate beam candidate from beam candidate set q</w:t>
      </w:r>
      <w:r w:rsidRPr="001C0E1B">
        <w:rPr>
          <w:vertAlign w:val="subscript"/>
        </w:rPr>
        <w:t>1</w:t>
      </w:r>
      <w:r w:rsidRPr="001C0E1B">
        <w:t>.</w:t>
      </w:r>
    </w:p>
    <w:p w14:paraId="3CC368D5" w14:textId="77777777" w:rsidR="003A71DE" w:rsidRPr="001C0E1B" w:rsidRDefault="003A71DE" w:rsidP="003A71DE">
      <w:r w:rsidRPr="001C0E1B">
        <w:t xml:space="preserve">No later than time point F occurring no later than D1 = </w:t>
      </w:r>
      <w:r>
        <w:t>5</w:t>
      </w:r>
      <w:r w:rsidRPr="001C0E1B">
        <w:t>60+</w:t>
      </w:r>
      <w:r>
        <w:t>650</w:t>
      </w:r>
      <w:r w:rsidRPr="001C0E1B">
        <w:t xml:space="preserve"> ms after the start of T5, the </w:t>
      </w:r>
      <w:r>
        <w:t>IAB-MT</w:t>
      </w:r>
      <w:r w:rsidRPr="001C0E1B">
        <w:t xml:space="preserve"> shall transmit preamble on a beam associated with the candidate beam set q</w:t>
      </w:r>
      <w:r w:rsidRPr="001C0E1B">
        <w:rPr>
          <w:vertAlign w:val="subscript"/>
        </w:rPr>
        <w:t>1</w:t>
      </w:r>
      <w:r w:rsidRPr="001C0E1B">
        <w:t xml:space="preserve">. The </w:t>
      </w:r>
      <w:r>
        <w:t>IAB-MT</w:t>
      </w:r>
      <w:r w:rsidRPr="001C0E1B">
        <w:t xml:space="preserve"> shall not transmit preamble on a beam associated with the candidate beam set q</w:t>
      </w:r>
      <w:r w:rsidRPr="001C0E1B">
        <w:rPr>
          <w:vertAlign w:val="subscript"/>
        </w:rPr>
        <w:t>1</w:t>
      </w:r>
      <w:r w:rsidRPr="001C0E1B">
        <w:t xml:space="preserve"> earlier than time point B.</w:t>
      </w:r>
    </w:p>
    <w:p w14:paraId="2F997C6F" w14:textId="77777777" w:rsidR="003A71DE" w:rsidRDefault="003A71DE" w:rsidP="003A71DE">
      <w:r w:rsidRPr="001C0E1B">
        <w:t xml:space="preserve">Test is concluded once the test equipment has received the initial preamble transmission from the </w:t>
      </w:r>
      <w:r>
        <w:t>IAB-MT</w:t>
      </w:r>
      <w:r w:rsidRPr="001C0E1B">
        <w:t>. The rate of correct events observed during repeated tests shall be at least 90%.</w:t>
      </w:r>
    </w:p>
    <w:p w14:paraId="2E478BFC" w14:textId="77777777" w:rsidR="003A71DE" w:rsidRPr="00C40E91" w:rsidRDefault="003A71DE" w:rsidP="00746C0D">
      <w:pPr>
        <w:pStyle w:val="Heading5"/>
        <w:rPr>
          <w:rFonts w:eastAsia="SimSun"/>
          <w:lang w:val="en-US" w:eastAsia="zh-CN"/>
        </w:rPr>
      </w:pPr>
      <w:bookmarkStart w:id="10367" w:name="_Toc74583692"/>
      <w:bookmarkStart w:id="10368" w:name="_Toc76542505"/>
      <w:bookmarkStart w:id="10369" w:name="_Toc82450487"/>
      <w:bookmarkStart w:id="10370" w:name="_Toc82451135"/>
      <w:bookmarkStart w:id="10371" w:name="_Toc89949524"/>
      <w:bookmarkStart w:id="10372" w:name="_Toc98755913"/>
      <w:bookmarkStart w:id="10373" w:name="_Toc98763505"/>
      <w:bookmarkStart w:id="10374" w:name="_Toc106184434"/>
      <w:r w:rsidRPr="00C40E91">
        <w:rPr>
          <w:rFonts w:eastAsia="SimSun" w:hint="eastAsia"/>
          <w:lang w:val="en-US" w:eastAsia="zh-CN"/>
        </w:rPr>
        <w:t>G.2.3.2</w:t>
      </w:r>
      <w:r w:rsidRPr="00C40E91">
        <w:t>.</w:t>
      </w:r>
      <w:r>
        <w:rPr>
          <w:rFonts w:eastAsia="SimSun"/>
          <w:lang w:val="en-US" w:eastAsia="zh-CN"/>
        </w:rPr>
        <w:t>3</w:t>
      </w:r>
      <w:r w:rsidRPr="00C40E91">
        <w:rPr>
          <w:rFonts w:eastAsia="SimSun" w:hint="eastAsia"/>
          <w:lang w:val="en-US" w:eastAsia="zh-CN"/>
        </w:rPr>
        <w:t xml:space="preserve"> Beam Failure Detection and Link Recovery Test for FR1 </w:t>
      </w:r>
      <w:r w:rsidRPr="00C40E91">
        <w:rPr>
          <w:rFonts w:eastAsia="MS Mincho" w:cs="Arial"/>
        </w:rPr>
        <w:t xml:space="preserve">PCell configured with </w:t>
      </w:r>
      <w:r w:rsidRPr="00C40E91">
        <w:rPr>
          <w:rFonts w:eastAsia="SimSun" w:cs="Arial" w:hint="eastAsia"/>
          <w:lang w:val="en-US" w:eastAsia="zh-CN"/>
        </w:rPr>
        <w:t>CSI-RS</w:t>
      </w:r>
      <w:r w:rsidRPr="00C40E91">
        <w:rPr>
          <w:rFonts w:eastAsia="MS Mincho" w:cs="Arial"/>
        </w:rPr>
        <w:t>-based BFD and LR</w:t>
      </w:r>
      <w:bookmarkEnd w:id="10367"/>
      <w:bookmarkEnd w:id="10368"/>
      <w:bookmarkEnd w:id="10369"/>
      <w:bookmarkEnd w:id="10370"/>
      <w:bookmarkEnd w:id="10371"/>
      <w:bookmarkEnd w:id="10372"/>
      <w:bookmarkEnd w:id="10373"/>
      <w:bookmarkEnd w:id="10374"/>
    </w:p>
    <w:p w14:paraId="09D21E56" w14:textId="77777777" w:rsidR="003A71DE" w:rsidRPr="00C40E91" w:rsidRDefault="003A71DE" w:rsidP="00746C0D">
      <w:pPr>
        <w:pStyle w:val="H6"/>
        <w:rPr>
          <w:snapToGrid w:val="0"/>
          <w:lang w:eastAsia="zh-CN"/>
        </w:rPr>
      </w:pPr>
      <w:r w:rsidRPr="00C40E91">
        <w:rPr>
          <w:rFonts w:eastAsia="SimSun" w:hint="eastAsia"/>
          <w:lang w:eastAsia="zh-CN"/>
        </w:rPr>
        <w:t>G.</w:t>
      </w:r>
      <w:r w:rsidRPr="00C40E91">
        <w:rPr>
          <w:rFonts w:eastAsia="SimSun" w:hint="eastAsia"/>
          <w:lang w:val="en-US" w:eastAsia="zh-CN"/>
        </w:rPr>
        <w:t>2</w:t>
      </w:r>
      <w:r w:rsidRPr="00C40E91">
        <w:rPr>
          <w:rFonts w:eastAsia="SimSun" w:hint="eastAsia"/>
          <w:lang w:eastAsia="zh-CN"/>
        </w:rPr>
        <w:t>.</w:t>
      </w:r>
      <w:r w:rsidRPr="00C40E91">
        <w:rPr>
          <w:rFonts w:eastAsia="SimSun" w:hint="eastAsia"/>
          <w:lang w:val="en-US" w:eastAsia="zh-CN"/>
        </w:rPr>
        <w:t>3</w:t>
      </w:r>
      <w:r w:rsidRPr="00C40E91">
        <w:t>.</w:t>
      </w:r>
      <w:r w:rsidRPr="00C40E91">
        <w:rPr>
          <w:rFonts w:eastAsia="SimSun" w:hint="eastAsia"/>
          <w:lang w:val="en-US" w:eastAsia="zh-CN"/>
        </w:rPr>
        <w:t>2.</w:t>
      </w:r>
      <w:r>
        <w:rPr>
          <w:rFonts w:eastAsia="SimSun"/>
          <w:lang w:val="en-US" w:eastAsia="zh-CN"/>
        </w:rPr>
        <w:t>3</w:t>
      </w:r>
      <w:r w:rsidRPr="00C40E91">
        <w:rPr>
          <w:rFonts w:eastAsia="SimSun" w:hint="eastAsia"/>
          <w:lang w:val="en-US" w:eastAsia="zh-CN"/>
        </w:rPr>
        <w:t>.</w:t>
      </w:r>
      <w:r w:rsidRPr="00C40E91">
        <w:t>1</w:t>
      </w:r>
      <w:r w:rsidRPr="00C40E91">
        <w:tab/>
      </w:r>
      <w:r w:rsidRPr="00C40E91">
        <w:rPr>
          <w:snapToGrid w:val="0"/>
          <w:lang w:eastAsia="zh-CN"/>
        </w:rPr>
        <w:t>Test Purpose and Environment</w:t>
      </w:r>
    </w:p>
    <w:p w14:paraId="5CE29046" w14:textId="77777777" w:rsidR="003A71DE" w:rsidRPr="00C40E91" w:rsidRDefault="003A71DE" w:rsidP="003A71DE">
      <w:pPr>
        <w:spacing w:line="259" w:lineRule="auto"/>
      </w:pPr>
      <w:r w:rsidRPr="00C40E91">
        <w:t xml:space="preserve">The purpose of this test is to verify that the </w:t>
      </w:r>
      <w:r w:rsidRPr="00C40E91">
        <w:rPr>
          <w:rFonts w:eastAsia="SimSun" w:hint="eastAsia"/>
          <w:lang w:val="en-US" w:eastAsia="zh-CN"/>
        </w:rPr>
        <w:t>IAB-MT</w:t>
      </w:r>
      <w:r w:rsidRPr="00C40E91">
        <w:t xml:space="preserve"> properly detects CSI-RS-based beam failure in the set q</w:t>
      </w:r>
      <w:r w:rsidRPr="00C40E91">
        <w:rPr>
          <w:vertAlign w:val="subscript"/>
        </w:rPr>
        <w:t>0</w:t>
      </w:r>
      <w:r w:rsidRPr="00C40E91">
        <w:t xml:space="preserve"> configured for a serving cell and that the </w:t>
      </w:r>
      <w:r w:rsidRPr="00C40E91">
        <w:rPr>
          <w:rFonts w:eastAsia="SimSun" w:hint="eastAsia"/>
          <w:lang w:val="en-US" w:eastAsia="zh-CN"/>
        </w:rPr>
        <w:t>IAB-MT</w:t>
      </w:r>
      <w:r w:rsidRPr="00C40E91">
        <w:t xml:space="preserve"> performs correct CSI-RS-based link recovery based on beam candicate set q</w:t>
      </w:r>
      <w:r w:rsidRPr="00C40E91">
        <w:rPr>
          <w:vertAlign w:val="subscript"/>
        </w:rPr>
        <w:t>1</w:t>
      </w:r>
      <w:r w:rsidRPr="00C40E91">
        <w:t xml:space="preserve">. The purpose is to test the downlink monitoring for beam failure detection within the </w:t>
      </w:r>
      <w:r w:rsidRPr="00C40E91">
        <w:rPr>
          <w:rFonts w:eastAsia="SimSun" w:hint="eastAsia"/>
          <w:lang w:val="en-US" w:eastAsia="zh-CN"/>
        </w:rPr>
        <w:t>IAB-MT</w:t>
      </w:r>
      <w:r w:rsidRPr="00C40E91">
        <w:t>s active DL BWP, during the evaluation period, and link recovery. This test will partly verify the CSI-RS based beam failure detection and link recovery for an FR1 serving cell requirements in clause </w:t>
      </w:r>
      <w:r w:rsidRPr="00C40E91">
        <w:rPr>
          <w:rFonts w:eastAsia="SimSun" w:hint="eastAsia"/>
          <w:lang w:val="en-US" w:eastAsia="zh-CN"/>
        </w:rPr>
        <w:t>12.3.2</w:t>
      </w:r>
      <w:r w:rsidRPr="00C40E91">
        <w:t>.</w:t>
      </w:r>
    </w:p>
    <w:p w14:paraId="7AC5AEC2" w14:textId="77777777" w:rsidR="003A71DE" w:rsidRPr="00C40E91" w:rsidRDefault="003A71DE" w:rsidP="003A71DE">
      <w:pPr>
        <w:spacing w:before="120" w:line="259" w:lineRule="auto"/>
      </w:pPr>
      <w:r w:rsidRPr="00C40E91">
        <w:t xml:space="preserve">The test parameters are given in Tables </w:t>
      </w:r>
      <w:r w:rsidRPr="00C40E91">
        <w:rPr>
          <w:rFonts w:eastAsia="SimSun" w:hint="eastAsia"/>
          <w:lang w:val="en-US" w:eastAsia="zh-CN"/>
        </w:rPr>
        <w:t>G.2.3.2.</w:t>
      </w:r>
      <w:r>
        <w:rPr>
          <w:rFonts w:eastAsia="SimSun"/>
          <w:lang w:val="en-US" w:eastAsia="zh-CN"/>
        </w:rPr>
        <w:t>3</w:t>
      </w:r>
      <w:r w:rsidRPr="00C40E91">
        <w:rPr>
          <w:rFonts w:eastAsia="SimSun" w:hint="eastAsia"/>
          <w:lang w:val="en-US" w:eastAsia="zh-CN"/>
        </w:rPr>
        <w:t>.1</w:t>
      </w:r>
      <w:r w:rsidRPr="00C40E91">
        <w:t>-1</w:t>
      </w:r>
      <w:r w:rsidRPr="00C40E91">
        <w:rPr>
          <w:rFonts w:eastAsia="SimSun" w:hint="eastAsia"/>
          <w:lang w:val="en-US" w:eastAsia="zh-CN"/>
        </w:rPr>
        <w:t>, G.2.3.2.</w:t>
      </w:r>
      <w:r>
        <w:rPr>
          <w:rFonts w:eastAsia="SimSun"/>
          <w:lang w:val="en-US" w:eastAsia="zh-CN"/>
        </w:rPr>
        <w:t>3</w:t>
      </w:r>
      <w:r w:rsidRPr="00C40E91">
        <w:rPr>
          <w:rFonts w:eastAsia="SimSun" w:hint="eastAsia"/>
          <w:lang w:val="en-US" w:eastAsia="zh-CN"/>
        </w:rPr>
        <w:t>.1</w:t>
      </w:r>
      <w:r w:rsidRPr="00C40E91">
        <w:t>-2</w:t>
      </w:r>
      <w:r w:rsidRPr="00C40E91">
        <w:rPr>
          <w:rFonts w:eastAsia="SimSun" w:hint="eastAsia"/>
          <w:lang w:val="en-US" w:eastAsia="zh-CN"/>
        </w:rPr>
        <w:t xml:space="preserve"> and G.2.3.2.</w:t>
      </w:r>
      <w:r>
        <w:rPr>
          <w:rFonts w:eastAsia="SimSun"/>
          <w:lang w:val="en-US" w:eastAsia="zh-CN"/>
        </w:rPr>
        <w:t>3</w:t>
      </w:r>
      <w:r w:rsidRPr="00C40E91">
        <w:rPr>
          <w:rFonts w:eastAsia="SimSun" w:hint="eastAsia"/>
          <w:lang w:val="en-US" w:eastAsia="zh-CN"/>
        </w:rPr>
        <w:t>.1</w:t>
      </w:r>
      <w:r w:rsidRPr="00C40E91">
        <w:t>-</w:t>
      </w:r>
      <w:r w:rsidRPr="00C40E91">
        <w:rPr>
          <w:rFonts w:eastAsia="SimSun" w:hint="eastAsia"/>
          <w:lang w:val="en-US" w:eastAsia="zh-CN"/>
        </w:rPr>
        <w:t xml:space="preserve">3 </w:t>
      </w:r>
      <w:r w:rsidRPr="00C40E91">
        <w:t xml:space="preserve">below. There is one cell, cell 1 which is the active cell, in the test. The test consists of five successive time periods, with time duration of T1, T2, T3, T4 and T5 respectively. Figure </w:t>
      </w:r>
      <w:r w:rsidRPr="00C40E91">
        <w:rPr>
          <w:rFonts w:eastAsia="SimSun" w:hint="eastAsia"/>
          <w:lang w:val="en-US" w:eastAsia="zh-CN"/>
        </w:rPr>
        <w:t>G.2.3.2.</w:t>
      </w:r>
      <w:r>
        <w:rPr>
          <w:rFonts w:eastAsia="SimSun"/>
          <w:lang w:val="en-US" w:eastAsia="zh-CN"/>
        </w:rPr>
        <w:t>3</w:t>
      </w:r>
      <w:r w:rsidRPr="00C40E91">
        <w:rPr>
          <w:rFonts w:eastAsia="SimSun" w:hint="eastAsia"/>
          <w:lang w:val="en-US" w:eastAsia="zh-CN"/>
        </w:rPr>
        <w:t>.1</w:t>
      </w:r>
      <w:r w:rsidRPr="00C40E91">
        <w:t>-1 shows the variation of the downlink SNR of the CSI-RS in set q</w:t>
      </w:r>
      <w:r w:rsidRPr="00C40E91">
        <w:rPr>
          <w:vertAlign w:val="subscript"/>
        </w:rPr>
        <w:t>0</w:t>
      </w:r>
      <w:r w:rsidRPr="00C40E91">
        <w:t xml:space="preserve"> in the active cell to emulate CSI-RS based beam failure. Figure </w:t>
      </w:r>
      <w:r w:rsidRPr="00C40E91">
        <w:rPr>
          <w:rFonts w:eastAsia="SimSun" w:hint="eastAsia"/>
          <w:lang w:val="en-US" w:eastAsia="zh-CN"/>
        </w:rPr>
        <w:t>G.2.3.2.</w:t>
      </w:r>
      <w:r>
        <w:rPr>
          <w:rFonts w:eastAsia="SimSun"/>
          <w:lang w:val="en-US" w:eastAsia="zh-CN"/>
        </w:rPr>
        <w:t>3</w:t>
      </w:r>
      <w:r w:rsidRPr="00C40E91">
        <w:rPr>
          <w:rFonts w:eastAsia="SimSun" w:hint="eastAsia"/>
          <w:lang w:val="en-US" w:eastAsia="zh-CN"/>
        </w:rPr>
        <w:t>.1</w:t>
      </w:r>
      <w:r w:rsidRPr="00C40E91">
        <w:t>-1 additionally shows the variation of the downlink L1-RSRP of the CSI-RS in set q</w:t>
      </w:r>
      <w:r w:rsidRPr="00C40E91">
        <w:rPr>
          <w:vertAlign w:val="subscript"/>
        </w:rPr>
        <w:t>1</w:t>
      </w:r>
      <w:r w:rsidRPr="00C40E91">
        <w:t xml:space="preserve"> of the candidate beam used for link recovery. Prior to the start of the time duration T1, the </w:t>
      </w:r>
      <w:r w:rsidRPr="00C40E91">
        <w:rPr>
          <w:rFonts w:eastAsia="SimSun" w:hint="eastAsia"/>
          <w:lang w:val="en-US" w:eastAsia="zh-CN"/>
        </w:rPr>
        <w:t>IAB-MT</w:t>
      </w:r>
      <w:r w:rsidRPr="00C40E91">
        <w:t xml:space="preserve"> shall be fully synchronized to cell 1. The </w:t>
      </w:r>
      <w:r w:rsidRPr="00C40E91">
        <w:rPr>
          <w:rFonts w:eastAsia="SimSun" w:hint="eastAsia"/>
          <w:lang w:val="en-US" w:eastAsia="zh-CN"/>
        </w:rPr>
        <w:t>IAB-MT</w:t>
      </w:r>
      <w:r w:rsidRPr="00C40E91">
        <w:t xml:space="preserve"> shall be configured for periodic CSI reporting with a reporting periodicity of [2] ms. </w:t>
      </w:r>
    </w:p>
    <w:p w14:paraId="0CCE46CF" w14:textId="77777777" w:rsidR="003A71DE" w:rsidRPr="00C40E91" w:rsidRDefault="003A71DE" w:rsidP="003A71DE">
      <w:pPr>
        <w:keepNext/>
        <w:keepLines/>
        <w:spacing w:before="60" w:line="259" w:lineRule="auto"/>
        <w:jc w:val="center"/>
        <w:rPr>
          <w:rFonts w:ascii="Arial" w:hAnsi="Arial"/>
          <w:b/>
        </w:rPr>
      </w:pPr>
      <w:r w:rsidRPr="00C40E91">
        <w:rPr>
          <w:rFonts w:ascii="Arial" w:hAnsi="Arial"/>
          <w:b/>
        </w:rPr>
        <w:lastRenderedPageBreak/>
        <w:t xml:space="preserve">Table </w:t>
      </w:r>
      <w:r w:rsidRPr="00C40E91">
        <w:rPr>
          <w:rFonts w:ascii="Arial" w:eastAsia="SimSun" w:hAnsi="Arial" w:hint="eastAsia"/>
          <w:b/>
          <w:lang w:val="en-US" w:eastAsia="zh-CN"/>
        </w:rPr>
        <w:t>G.2.3.2.</w:t>
      </w:r>
      <w:r>
        <w:rPr>
          <w:rFonts w:ascii="Arial" w:eastAsia="SimSun" w:hAnsi="Arial"/>
          <w:b/>
          <w:lang w:val="en-US" w:eastAsia="zh-CN"/>
        </w:rPr>
        <w:t>3</w:t>
      </w:r>
      <w:r w:rsidRPr="00C40E91">
        <w:rPr>
          <w:rFonts w:ascii="Arial" w:eastAsia="SimSun" w:hAnsi="Arial" w:hint="eastAsia"/>
          <w:b/>
          <w:lang w:val="en-US" w:eastAsia="zh-CN"/>
        </w:rPr>
        <w:t>.1</w:t>
      </w:r>
      <w:r w:rsidRPr="00C40E91">
        <w:rPr>
          <w:rFonts w:ascii="Arial" w:hAnsi="Arial"/>
          <w:b/>
        </w:rPr>
        <w:t>-1: Supported test configurations for FR1 PCell</w:t>
      </w:r>
    </w:p>
    <w:tbl>
      <w:tblPr>
        <w:tblW w:w="9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5"/>
        <w:gridCol w:w="6905"/>
      </w:tblGrid>
      <w:tr w:rsidR="003A71DE" w:rsidRPr="00C40E91" w14:paraId="587F95B6" w14:textId="77777777" w:rsidTr="003A71DE">
        <w:trPr>
          <w:trHeight w:val="187"/>
          <w:jc w:val="center"/>
        </w:trPr>
        <w:tc>
          <w:tcPr>
            <w:tcW w:w="2265" w:type="dxa"/>
            <w:shd w:val="clear" w:color="auto" w:fill="auto"/>
          </w:tcPr>
          <w:p w14:paraId="607F3044" w14:textId="77777777" w:rsidR="003A71DE" w:rsidRPr="00C40E91" w:rsidRDefault="003A71DE" w:rsidP="00A40F90">
            <w:pPr>
              <w:pStyle w:val="TAH"/>
            </w:pPr>
            <w:r w:rsidRPr="00C40E91">
              <w:t>Configuration</w:t>
            </w:r>
          </w:p>
        </w:tc>
        <w:tc>
          <w:tcPr>
            <w:tcW w:w="6905" w:type="dxa"/>
            <w:shd w:val="clear" w:color="auto" w:fill="auto"/>
          </w:tcPr>
          <w:p w14:paraId="0A6B7BF8" w14:textId="77777777" w:rsidR="003A71DE" w:rsidRPr="00C40E91" w:rsidRDefault="003A71DE" w:rsidP="00A40F90">
            <w:pPr>
              <w:pStyle w:val="TAH"/>
            </w:pPr>
            <w:r w:rsidRPr="00C40E91">
              <w:t>Description</w:t>
            </w:r>
          </w:p>
        </w:tc>
      </w:tr>
      <w:tr w:rsidR="003A71DE" w:rsidRPr="00C40E91" w14:paraId="7D314330" w14:textId="77777777" w:rsidTr="003A71DE">
        <w:trPr>
          <w:trHeight w:val="187"/>
          <w:jc w:val="center"/>
        </w:trPr>
        <w:tc>
          <w:tcPr>
            <w:tcW w:w="2265" w:type="dxa"/>
            <w:shd w:val="clear" w:color="auto" w:fill="auto"/>
          </w:tcPr>
          <w:p w14:paraId="319F3EEF" w14:textId="77777777" w:rsidR="003A71DE" w:rsidRPr="00C40E91" w:rsidRDefault="003A71DE" w:rsidP="00A40F90">
            <w:pPr>
              <w:pStyle w:val="TAL"/>
              <w:rPr>
                <w:rFonts w:eastAsia="SimSun"/>
                <w:lang w:eastAsia="zh-CN"/>
              </w:rPr>
            </w:pPr>
            <w:r w:rsidRPr="00C40E91">
              <w:rPr>
                <w:rFonts w:eastAsia="SimSun" w:hint="eastAsia"/>
                <w:lang w:val="en-US" w:eastAsia="zh-CN"/>
              </w:rPr>
              <w:t>1</w:t>
            </w:r>
          </w:p>
        </w:tc>
        <w:tc>
          <w:tcPr>
            <w:tcW w:w="6905" w:type="dxa"/>
            <w:shd w:val="clear" w:color="auto" w:fill="auto"/>
          </w:tcPr>
          <w:p w14:paraId="453E2C2B" w14:textId="77777777" w:rsidR="003A71DE" w:rsidRPr="00C40E91" w:rsidRDefault="003A71DE" w:rsidP="00A40F90">
            <w:pPr>
              <w:pStyle w:val="TAL"/>
            </w:pPr>
            <w:r w:rsidRPr="00C40E91">
              <w:t>TDD duplex mode, 15 kHz SSB SCS, 10 MHz bandwidth</w:t>
            </w:r>
          </w:p>
        </w:tc>
      </w:tr>
      <w:tr w:rsidR="003A71DE" w:rsidRPr="00C40E91" w14:paraId="7A3ED537" w14:textId="77777777" w:rsidTr="003A71DE">
        <w:trPr>
          <w:trHeight w:val="205"/>
          <w:jc w:val="center"/>
        </w:trPr>
        <w:tc>
          <w:tcPr>
            <w:tcW w:w="2265" w:type="dxa"/>
            <w:shd w:val="clear" w:color="auto" w:fill="auto"/>
          </w:tcPr>
          <w:p w14:paraId="65EB72E9" w14:textId="77777777" w:rsidR="003A71DE" w:rsidRPr="00C40E91" w:rsidRDefault="003A71DE" w:rsidP="00A40F90">
            <w:pPr>
              <w:pStyle w:val="TAL"/>
              <w:rPr>
                <w:rFonts w:eastAsia="SimSun"/>
                <w:lang w:eastAsia="zh-CN"/>
              </w:rPr>
            </w:pPr>
            <w:r w:rsidRPr="00C40E91">
              <w:rPr>
                <w:rFonts w:eastAsia="SimSun" w:hint="eastAsia"/>
                <w:lang w:val="en-US" w:eastAsia="zh-CN"/>
              </w:rPr>
              <w:t>2</w:t>
            </w:r>
          </w:p>
        </w:tc>
        <w:tc>
          <w:tcPr>
            <w:tcW w:w="6905" w:type="dxa"/>
            <w:shd w:val="clear" w:color="auto" w:fill="auto"/>
          </w:tcPr>
          <w:p w14:paraId="14A432D5" w14:textId="77777777" w:rsidR="003A71DE" w:rsidRPr="00C40E91" w:rsidRDefault="003A71DE" w:rsidP="00A40F90">
            <w:pPr>
              <w:pStyle w:val="TAL"/>
            </w:pPr>
            <w:r w:rsidRPr="00C40E91">
              <w:t>TDD duplex mode, 30 kHz SSB SCS, 40 MHz bandwidth</w:t>
            </w:r>
          </w:p>
        </w:tc>
      </w:tr>
      <w:tr w:rsidR="003A71DE" w:rsidRPr="00C40E91" w14:paraId="61312FDB" w14:textId="77777777" w:rsidTr="003A71DE">
        <w:trPr>
          <w:trHeight w:val="187"/>
          <w:jc w:val="center"/>
        </w:trPr>
        <w:tc>
          <w:tcPr>
            <w:tcW w:w="9170" w:type="dxa"/>
            <w:gridSpan w:val="2"/>
            <w:shd w:val="clear" w:color="auto" w:fill="auto"/>
          </w:tcPr>
          <w:p w14:paraId="578695E4" w14:textId="77777777" w:rsidR="003A71DE" w:rsidRPr="00C40E91" w:rsidRDefault="003A71DE" w:rsidP="00A40F90">
            <w:pPr>
              <w:pStyle w:val="TAN"/>
            </w:pPr>
            <w:r w:rsidRPr="00C40E91">
              <w:t>Note:</w:t>
            </w:r>
            <w:r w:rsidRPr="00C40E91">
              <w:tab/>
              <w:t xml:space="preserve">The </w:t>
            </w:r>
            <w:r w:rsidRPr="00C40E91">
              <w:rPr>
                <w:rFonts w:eastAsia="SimSun" w:hint="eastAsia"/>
                <w:lang w:val="en-US" w:eastAsia="zh-CN"/>
              </w:rPr>
              <w:t xml:space="preserve">IAB-MT </w:t>
            </w:r>
            <w:r w:rsidRPr="00C40E91">
              <w:t>is only required to pass in one of the supported test configurations in FR1</w:t>
            </w:r>
          </w:p>
        </w:tc>
      </w:tr>
    </w:tbl>
    <w:p w14:paraId="3705D135" w14:textId="77777777" w:rsidR="003A71DE" w:rsidRPr="00C40E91" w:rsidRDefault="003A71DE" w:rsidP="003A71DE">
      <w:pPr>
        <w:keepNext/>
        <w:keepLines/>
        <w:spacing w:before="60" w:line="259" w:lineRule="auto"/>
        <w:jc w:val="center"/>
        <w:rPr>
          <w:rFonts w:ascii="Arial" w:hAnsi="Arial"/>
          <w:b/>
        </w:rPr>
      </w:pPr>
    </w:p>
    <w:p w14:paraId="7537A043" w14:textId="77777777" w:rsidR="003A71DE" w:rsidRPr="00C40E91" w:rsidRDefault="003A71DE" w:rsidP="003A71DE">
      <w:pPr>
        <w:keepNext/>
        <w:keepLines/>
        <w:spacing w:before="60" w:line="259" w:lineRule="auto"/>
        <w:jc w:val="center"/>
        <w:rPr>
          <w:rFonts w:ascii="Arial" w:hAnsi="Arial"/>
          <w:b/>
        </w:rPr>
      </w:pPr>
      <w:r w:rsidRPr="00C40E91">
        <w:rPr>
          <w:rFonts w:ascii="Arial" w:hAnsi="Arial"/>
          <w:b/>
        </w:rPr>
        <w:t xml:space="preserve">Table </w:t>
      </w:r>
      <w:r w:rsidRPr="00C40E91">
        <w:rPr>
          <w:rFonts w:ascii="Arial" w:eastAsia="SimSun" w:hAnsi="Arial" w:hint="eastAsia"/>
          <w:b/>
          <w:lang w:val="en-US" w:eastAsia="zh-CN"/>
        </w:rPr>
        <w:t>G.2.3.2.</w:t>
      </w:r>
      <w:r>
        <w:rPr>
          <w:rFonts w:ascii="Arial" w:eastAsia="SimSun" w:hAnsi="Arial"/>
          <w:b/>
          <w:lang w:val="en-US" w:eastAsia="zh-CN"/>
        </w:rPr>
        <w:t>3</w:t>
      </w:r>
      <w:r w:rsidRPr="00C40E91">
        <w:rPr>
          <w:rFonts w:ascii="Arial" w:eastAsia="SimSun" w:hAnsi="Arial" w:hint="eastAsia"/>
          <w:b/>
          <w:lang w:val="en-US" w:eastAsia="zh-CN"/>
        </w:rPr>
        <w:t>.1</w:t>
      </w:r>
      <w:r w:rsidRPr="00C40E91">
        <w:rPr>
          <w:rFonts w:ascii="Arial" w:hAnsi="Arial"/>
          <w:b/>
        </w:rPr>
        <w:t>-</w:t>
      </w:r>
      <w:r w:rsidRPr="00C40E91">
        <w:rPr>
          <w:rFonts w:ascii="Arial" w:eastAsia="SimSun" w:hAnsi="Arial" w:hint="eastAsia"/>
          <w:b/>
          <w:lang w:val="en-US" w:eastAsia="zh-CN"/>
        </w:rPr>
        <w:t>2</w:t>
      </w:r>
      <w:r w:rsidRPr="00C40E91">
        <w:rPr>
          <w:rFonts w:ascii="Arial" w:hAnsi="Arial"/>
          <w:b/>
        </w:rPr>
        <w:t xml:space="preserve">: General test parameters for FR1 PCell for CSI-RS-based beam failure detection and link recovery testing </w:t>
      </w: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701"/>
        <w:gridCol w:w="1134"/>
        <w:gridCol w:w="850"/>
        <w:gridCol w:w="1843"/>
        <w:gridCol w:w="3260"/>
      </w:tblGrid>
      <w:tr w:rsidR="003A71DE" w:rsidRPr="00C40E91" w14:paraId="04B25105" w14:textId="77777777" w:rsidTr="003A71DE">
        <w:trPr>
          <w:trHeight w:val="187"/>
          <w:jc w:val="center"/>
        </w:trPr>
        <w:tc>
          <w:tcPr>
            <w:tcW w:w="4390" w:type="dxa"/>
            <w:gridSpan w:val="3"/>
            <w:tcBorders>
              <w:bottom w:val="nil"/>
            </w:tcBorders>
            <w:shd w:val="clear" w:color="auto" w:fill="auto"/>
          </w:tcPr>
          <w:p w14:paraId="720C2B83" w14:textId="77777777" w:rsidR="003A71DE" w:rsidRPr="00C40E91" w:rsidRDefault="003A71DE" w:rsidP="00A40F90">
            <w:pPr>
              <w:pStyle w:val="TAH"/>
            </w:pPr>
            <w:r w:rsidRPr="00C40E91">
              <w:lastRenderedPageBreak/>
              <w:t>Parameter</w:t>
            </w:r>
          </w:p>
        </w:tc>
        <w:tc>
          <w:tcPr>
            <w:tcW w:w="850" w:type="dxa"/>
            <w:tcBorders>
              <w:bottom w:val="nil"/>
            </w:tcBorders>
            <w:shd w:val="clear" w:color="auto" w:fill="auto"/>
          </w:tcPr>
          <w:p w14:paraId="57EE467C" w14:textId="77777777" w:rsidR="003A71DE" w:rsidRPr="00C40E91" w:rsidRDefault="003A71DE" w:rsidP="00A40F90">
            <w:pPr>
              <w:pStyle w:val="TAH"/>
            </w:pPr>
            <w:r w:rsidRPr="00C40E91">
              <w:t>Unit</w:t>
            </w:r>
          </w:p>
        </w:tc>
        <w:tc>
          <w:tcPr>
            <w:tcW w:w="1843" w:type="dxa"/>
            <w:shd w:val="clear" w:color="auto" w:fill="auto"/>
          </w:tcPr>
          <w:p w14:paraId="6B12F3A9" w14:textId="77777777" w:rsidR="003A71DE" w:rsidRPr="00C40E91" w:rsidRDefault="003A71DE" w:rsidP="00A40F90">
            <w:pPr>
              <w:pStyle w:val="TAH"/>
            </w:pPr>
            <w:r w:rsidRPr="00C40E91">
              <w:t>Value</w:t>
            </w:r>
          </w:p>
        </w:tc>
        <w:tc>
          <w:tcPr>
            <w:tcW w:w="3260" w:type="dxa"/>
            <w:tcBorders>
              <w:bottom w:val="nil"/>
            </w:tcBorders>
            <w:shd w:val="clear" w:color="auto" w:fill="auto"/>
          </w:tcPr>
          <w:p w14:paraId="511A9AD2" w14:textId="77777777" w:rsidR="003A71DE" w:rsidRPr="00C40E91" w:rsidRDefault="003A71DE" w:rsidP="00A40F90">
            <w:pPr>
              <w:pStyle w:val="TAH"/>
            </w:pPr>
            <w:r w:rsidRPr="00C40E91">
              <w:t>Comment</w:t>
            </w:r>
          </w:p>
        </w:tc>
      </w:tr>
      <w:tr w:rsidR="003A71DE" w:rsidRPr="00C40E91" w14:paraId="74903776" w14:textId="77777777" w:rsidTr="003A71DE">
        <w:trPr>
          <w:trHeight w:val="187"/>
          <w:jc w:val="center"/>
        </w:trPr>
        <w:tc>
          <w:tcPr>
            <w:tcW w:w="4390" w:type="dxa"/>
            <w:gridSpan w:val="3"/>
            <w:tcBorders>
              <w:top w:val="nil"/>
            </w:tcBorders>
            <w:shd w:val="clear" w:color="auto" w:fill="auto"/>
          </w:tcPr>
          <w:p w14:paraId="47DAE16A" w14:textId="77777777" w:rsidR="003A71DE" w:rsidRPr="00C40E91" w:rsidRDefault="003A71DE" w:rsidP="00A40F90">
            <w:pPr>
              <w:pStyle w:val="TAH"/>
            </w:pPr>
          </w:p>
        </w:tc>
        <w:tc>
          <w:tcPr>
            <w:tcW w:w="850" w:type="dxa"/>
            <w:tcBorders>
              <w:top w:val="nil"/>
            </w:tcBorders>
            <w:shd w:val="clear" w:color="auto" w:fill="auto"/>
          </w:tcPr>
          <w:p w14:paraId="33068CFB" w14:textId="77777777" w:rsidR="003A71DE" w:rsidRPr="00C40E91" w:rsidRDefault="003A71DE" w:rsidP="00A40F90">
            <w:pPr>
              <w:pStyle w:val="TAH"/>
            </w:pPr>
          </w:p>
        </w:tc>
        <w:tc>
          <w:tcPr>
            <w:tcW w:w="1843" w:type="dxa"/>
            <w:shd w:val="clear" w:color="auto" w:fill="auto"/>
          </w:tcPr>
          <w:p w14:paraId="1D5B3B1F" w14:textId="77777777" w:rsidR="003A71DE" w:rsidRPr="00C40E91" w:rsidRDefault="003A71DE" w:rsidP="00A40F90">
            <w:pPr>
              <w:pStyle w:val="TAH"/>
            </w:pPr>
            <w:r w:rsidRPr="00C40E91">
              <w:t>Test 1</w:t>
            </w:r>
          </w:p>
        </w:tc>
        <w:tc>
          <w:tcPr>
            <w:tcW w:w="3260" w:type="dxa"/>
            <w:tcBorders>
              <w:top w:val="nil"/>
            </w:tcBorders>
            <w:shd w:val="clear" w:color="auto" w:fill="auto"/>
          </w:tcPr>
          <w:p w14:paraId="4FF7E81B" w14:textId="77777777" w:rsidR="003A71DE" w:rsidRPr="00C40E91" w:rsidRDefault="003A71DE" w:rsidP="00A40F90">
            <w:pPr>
              <w:pStyle w:val="TAH"/>
            </w:pPr>
          </w:p>
        </w:tc>
      </w:tr>
      <w:tr w:rsidR="003A71DE" w:rsidRPr="00C40E91" w14:paraId="64D0ACA1" w14:textId="77777777" w:rsidTr="003A71DE">
        <w:trPr>
          <w:trHeight w:val="187"/>
          <w:jc w:val="center"/>
        </w:trPr>
        <w:tc>
          <w:tcPr>
            <w:tcW w:w="4390" w:type="dxa"/>
            <w:gridSpan w:val="3"/>
            <w:shd w:val="clear" w:color="auto" w:fill="auto"/>
          </w:tcPr>
          <w:p w14:paraId="5BAC9A09"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 xml:space="preserve">Active PCell </w:t>
            </w:r>
          </w:p>
        </w:tc>
        <w:tc>
          <w:tcPr>
            <w:tcW w:w="850" w:type="dxa"/>
            <w:shd w:val="clear" w:color="auto" w:fill="auto"/>
          </w:tcPr>
          <w:p w14:paraId="079E21F7"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5889BA46"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Cell 1</w:t>
            </w:r>
          </w:p>
        </w:tc>
        <w:tc>
          <w:tcPr>
            <w:tcW w:w="3260" w:type="dxa"/>
          </w:tcPr>
          <w:p w14:paraId="36BBFC74"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34E1E86" w14:textId="77777777" w:rsidTr="003A71DE">
        <w:trPr>
          <w:trHeight w:val="187"/>
          <w:jc w:val="center"/>
        </w:trPr>
        <w:tc>
          <w:tcPr>
            <w:tcW w:w="4390" w:type="dxa"/>
            <w:gridSpan w:val="3"/>
            <w:shd w:val="clear" w:color="auto" w:fill="auto"/>
          </w:tcPr>
          <w:p w14:paraId="347B890F"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RF Channel Number</w:t>
            </w:r>
          </w:p>
        </w:tc>
        <w:tc>
          <w:tcPr>
            <w:tcW w:w="850" w:type="dxa"/>
            <w:tcBorders>
              <w:bottom w:val="single" w:sz="4" w:space="0" w:color="auto"/>
            </w:tcBorders>
            <w:shd w:val="clear" w:color="auto" w:fill="auto"/>
          </w:tcPr>
          <w:p w14:paraId="0245E5DC"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E8FE17E"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1</w:t>
            </w:r>
          </w:p>
        </w:tc>
        <w:tc>
          <w:tcPr>
            <w:tcW w:w="3260" w:type="dxa"/>
          </w:tcPr>
          <w:p w14:paraId="00CA7DF0"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47E25096" w14:textId="77777777" w:rsidTr="003A71DE">
        <w:trPr>
          <w:trHeight w:val="187"/>
          <w:jc w:val="center"/>
        </w:trPr>
        <w:tc>
          <w:tcPr>
            <w:tcW w:w="1555" w:type="dxa"/>
            <w:tcBorders>
              <w:top w:val="nil"/>
              <w:bottom w:val="single" w:sz="4" w:space="0" w:color="auto"/>
            </w:tcBorders>
            <w:shd w:val="clear" w:color="auto" w:fill="auto"/>
          </w:tcPr>
          <w:p w14:paraId="16F5FFAE"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Duplex mode</w:t>
            </w:r>
          </w:p>
        </w:tc>
        <w:tc>
          <w:tcPr>
            <w:tcW w:w="2835" w:type="dxa"/>
            <w:gridSpan w:val="2"/>
            <w:shd w:val="clear" w:color="auto" w:fill="auto"/>
          </w:tcPr>
          <w:p w14:paraId="765E851C"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r w:rsidRPr="00C40E91">
              <w:rPr>
                <w:rFonts w:ascii="Arial" w:hAnsi="Arial"/>
                <w:sz w:val="18"/>
              </w:rPr>
              <w:t xml:space="preserve">, </w:t>
            </w:r>
            <w:r w:rsidRPr="00C40E91">
              <w:rPr>
                <w:rFonts w:ascii="Arial" w:eastAsia="SimSun" w:hAnsi="Arial" w:hint="eastAsia"/>
                <w:sz w:val="18"/>
                <w:lang w:val="en-US" w:eastAsia="zh-CN"/>
              </w:rPr>
              <w:t>2</w:t>
            </w:r>
          </w:p>
        </w:tc>
        <w:tc>
          <w:tcPr>
            <w:tcW w:w="850" w:type="dxa"/>
            <w:tcBorders>
              <w:top w:val="nil"/>
              <w:bottom w:val="single" w:sz="4" w:space="0" w:color="auto"/>
            </w:tcBorders>
            <w:shd w:val="clear" w:color="auto" w:fill="auto"/>
          </w:tcPr>
          <w:p w14:paraId="23256747"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6CF7DC0B"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TDD</w:t>
            </w:r>
          </w:p>
        </w:tc>
        <w:tc>
          <w:tcPr>
            <w:tcW w:w="3260" w:type="dxa"/>
          </w:tcPr>
          <w:p w14:paraId="7BC1763F"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0710153" w14:textId="77777777" w:rsidTr="003A71DE">
        <w:trPr>
          <w:trHeight w:val="187"/>
          <w:jc w:val="center"/>
        </w:trPr>
        <w:tc>
          <w:tcPr>
            <w:tcW w:w="1555" w:type="dxa"/>
            <w:vMerge w:val="restart"/>
            <w:tcBorders>
              <w:top w:val="nil"/>
            </w:tcBorders>
            <w:shd w:val="clear" w:color="auto" w:fill="auto"/>
          </w:tcPr>
          <w:p w14:paraId="503A748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CORESET Reference Channel</w:t>
            </w:r>
          </w:p>
        </w:tc>
        <w:tc>
          <w:tcPr>
            <w:tcW w:w="2835" w:type="dxa"/>
            <w:gridSpan w:val="2"/>
            <w:shd w:val="clear" w:color="auto" w:fill="auto"/>
          </w:tcPr>
          <w:p w14:paraId="6D94C69D"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tcBorders>
              <w:top w:val="nil"/>
              <w:bottom w:val="nil"/>
            </w:tcBorders>
            <w:shd w:val="clear" w:color="auto" w:fill="auto"/>
          </w:tcPr>
          <w:p w14:paraId="7F946CFE"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7C264521"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CR.1.1 TDD</w:t>
            </w:r>
          </w:p>
        </w:tc>
        <w:tc>
          <w:tcPr>
            <w:tcW w:w="3260" w:type="dxa"/>
            <w:tcBorders>
              <w:top w:val="nil"/>
              <w:bottom w:val="nil"/>
            </w:tcBorders>
            <w:shd w:val="clear" w:color="auto" w:fill="auto"/>
          </w:tcPr>
          <w:p w14:paraId="633702BD"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1A6420B" w14:textId="77777777" w:rsidTr="003A71DE">
        <w:trPr>
          <w:trHeight w:val="187"/>
          <w:jc w:val="center"/>
        </w:trPr>
        <w:tc>
          <w:tcPr>
            <w:tcW w:w="1555" w:type="dxa"/>
            <w:vMerge/>
            <w:tcBorders>
              <w:bottom w:val="single" w:sz="4" w:space="0" w:color="auto"/>
            </w:tcBorders>
            <w:shd w:val="clear" w:color="auto" w:fill="auto"/>
          </w:tcPr>
          <w:p w14:paraId="1A4C9FE0"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089E1C3C"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bottom w:val="single" w:sz="4" w:space="0" w:color="auto"/>
            </w:tcBorders>
            <w:shd w:val="clear" w:color="auto" w:fill="auto"/>
          </w:tcPr>
          <w:p w14:paraId="34ADE4B1"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0E2B2B4D"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CR.2.1 TDD</w:t>
            </w:r>
          </w:p>
        </w:tc>
        <w:tc>
          <w:tcPr>
            <w:tcW w:w="3260" w:type="dxa"/>
            <w:tcBorders>
              <w:top w:val="nil"/>
              <w:bottom w:val="single" w:sz="4" w:space="0" w:color="auto"/>
            </w:tcBorders>
            <w:shd w:val="clear" w:color="auto" w:fill="auto"/>
          </w:tcPr>
          <w:p w14:paraId="2928EA03"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39A1491E" w14:textId="77777777" w:rsidTr="003A71DE">
        <w:trPr>
          <w:trHeight w:val="187"/>
          <w:jc w:val="center"/>
        </w:trPr>
        <w:tc>
          <w:tcPr>
            <w:tcW w:w="1555" w:type="dxa"/>
            <w:vMerge w:val="restart"/>
            <w:tcBorders>
              <w:top w:val="nil"/>
            </w:tcBorders>
            <w:shd w:val="clear" w:color="auto" w:fill="auto"/>
          </w:tcPr>
          <w:p w14:paraId="02406862"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SSB Configuration</w:t>
            </w:r>
          </w:p>
        </w:tc>
        <w:tc>
          <w:tcPr>
            <w:tcW w:w="2835" w:type="dxa"/>
            <w:gridSpan w:val="2"/>
            <w:shd w:val="clear" w:color="auto" w:fill="auto"/>
          </w:tcPr>
          <w:p w14:paraId="7BF1168B"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tcBorders>
              <w:top w:val="nil"/>
              <w:bottom w:val="nil"/>
            </w:tcBorders>
            <w:shd w:val="clear" w:color="auto" w:fill="auto"/>
          </w:tcPr>
          <w:p w14:paraId="6AFAD35F"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338BE49D"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bCs/>
                <w:sz w:val="18"/>
              </w:rPr>
              <w:t>SSB.1 FR1</w:t>
            </w:r>
          </w:p>
        </w:tc>
        <w:tc>
          <w:tcPr>
            <w:tcW w:w="3260" w:type="dxa"/>
            <w:tcBorders>
              <w:top w:val="nil"/>
              <w:bottom w:val="nil"/>
            </w:tcBorders>
            <w:shd w:val="clear" w:color="auto" w:fill="auto"/>
          </w:tcPr>
          <w:p w14:paraId="18CE33AE"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43694C1" w14:textId="77777777" w:rsidTr="003A71DE">
        <w:trPr>
          <w:trHeight w:val="187"/>
          <w:jc w:val="center"/>
        </w:trPr>
        <w:tc>
          <w:tcPr>
            <w:tcW w:w="1555" w:type="dxa"/>
            <w:vMerge/>
            <w:tcBorders>
              <w:bottom w:val="single" w:sz="4" w:space="0" w:color="auto"/>
            </w:tcBorders>
            <w:shd w:val="clear" w:color="auto" w:fill="auto"/>
          </w:tcPr>
          <w:p w14:paraId="7B7ED27F"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4B5E40BB"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bottom w:val="single" w:sz="4" w:space="0" w:color="auto"/>
            </w:tcBorders>
            <w:shd w:val="clear" w:color="auto" w:fill="auto"/>
          </w:tcPr>
          <w:p w14:paraId="79E623AA"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0CF339E1"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bCs/>
                <w:sz w:val="18"/>
              </w:rPr>
              <w:t>SSB.2 FR1</w:t>
            </w:r>
          </w:p>
        </w:tc>
        <w:tc>
          <w:tcPr>
            <w:tcW w:w="3260" w:type="dxa"/>
            <w:tcBorders>
              <w:top w:val="nil"/>
              <w:bottom w:val="single" w:sz="4" w:space="0" w:color="auto"/>
            </w:tcBorders>
            <w:shd w:val="clear" w:color="auto" w:fill="auto"/>
          </w:tcPr>
          <w:p w14:paraId="6A002FCC"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D204AEB" w14:textId="77777777" w:rsidTr="003A71DE">
        <w:trPr>
          <w:trHeight w:val="187"/>
          <w:jc w:val="center"/>
        </w:trPr>
        <w:tc>
          <w:tcPr>
            <w:tcW w:w="1555" w:type="dxa"/>
            <w:vMerge w:val="restart"/>
            <w:shd w:val="clear" w:color="auto" w:fill="auto"/>
          </w:tcPr>
          <w:p w14:paraId="5CF57C50"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SMTC Configuration</w:t>
            </w:r>
          </w:p>
        </w:tc>
        <w:tc>
          <w:tcPr>
            <w:tcW w:w="2835" w:type="dxa"/>
            <w:gridSpan w:val="2"/>
            <w:shd w:val="clear" w:color="auto" w:fill="auto"/>
          </w:tcPr>
          <w:p w14:paraId="50AEFED9"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Config 1</w:t>
            </w:r>
          </w:p>
        </w:tc>
        <w:tc>
          <w:tcPr>
            <w:tcW w:w="850" w:type="dxa"/>
            <w:tcBorders>
              <w:bottom w:val="nil"/>
            </w:tcBorders>
            <w:shd w:val="clear" w:color="auto" w:fill="auto"/>
          </w:tcPr>
          <w:p w14:paraId="6473B959"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69A8876"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SMTC.1</w:t>
            </w:r>
          </w:p>
        </w:tc>
        <w:tc>
          <w:tcPr>
            <w:tcW w:w="3260" w:type="dxa"/>
            <w:tcBorders>
              <w:bottom w:val="nil"/>
            </w:tcBorders>
            <w:shd w:val="clear" w:color="auto" w:fill="auto"/>
          </w:tcPr>
          <w:p w14:paraId="3171FDBF"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G.1.6</w:t>
            </w:r>
          </w:p>
        </w:tc>
      </w:tr>
      <w:tr w:rsidR="003A71DE" w:rsidRPr="00C40E91" w14:paraId="50E5FB06" w14:textId="77777777" w:rsidTr="003A71DE">
        <w:trPr>
          <w:trHeight w:val="187"/>
          <w:jc w:val="center"/>
        </w:trPr>
        <w:tc>
          <w:tcPr>
            <w:tcW w:w="1555" w:type="dxa"/>
            <w:vMerge/>
            <w:tcBorders>
              <w:bottom w:val="single" w:sz="4" w:space="0" w:color="auto"/>
            </w:tcBorders>
            <w:shd w:val="clear" w:color="auto" w:fill="auto"/>
          </w:tcPr>
          <w:p w14:paraId="5AE724F6"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7081DA7D" w14:textId="77777777" w:rsidR="003A71DE" w:rsidRPr="00C40E91" w:rsidRDefault="003A71DE" w:rsidP="003A71DE">
            <w:pPr>
              <w:keepNext/>
              <w:keepLines/>
              <w:spacing w:after="0" w:line="259" w:lineRule="auto"/>
              <w:rPr>
                <w:rFonts w:ascii="Arial" w:eastAsia="SimSun" w:hAnsi="Arial"/>
                <w:sz w:val="18"/>
                <w:lang w:val="en-US"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bottom w:val="single" w:sz="4" w:space="0" w:color="auto"/>
            </w:tcBorders>
            <w:shd w:val="clear" w:color="auto" w:fill="auto"/>
          </w:tcPr>
          <w:p w14:paraId="40A7E78B"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046A9C56"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SMTC.1</w:t>
            </w:r>
          </w:p>
        </w:tc>
        <w:tc>
          <w:tcPr>
            <w:tcW w:w="3260" w:type="dxa"/>
            <w:tcBorders>
              <w:top w:val="nil"/>
            </w:tcBorders>
            <w:shd w:val="clear" w:color="auto" w:fill="auto"/>
          </w:tcPr>
          <w:p w14:paraId="08FC44BF"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DDFAB6D" w14:textId="77777777" w:rsidTr="003A71DE">
        <w:trPr>
          <w:trHeight w:val="187"/>
          <w:jc w:val="center"/>
        </w:trPr>
        <w:tc>
          <w:tcPr>
            <w:tcW w:w="1555" w:type="dxa"/>
            <w:vMerge w:val="restart"/>
            <w:shd w:val="clear" w:color="auto" w:fill="auto"/>
          </w:tcPr>
          <w:p w14:paraId="21DBF265"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PDSCH/PDCCH subcarrier spacing</w:t>
            </w:r>
          </w:p>
        </w:tc>
        <w:tc>
          <w:tcPr>
            <w:tcW w:w="2835" w:type="dxa"/>
            <w:gridSpan w:val="2"/>
            <w:shd w:val="clear" w:color="auto" w:fill="auto"/>
          </w:tcPr>
          <w:p w14:paraId="0DEEBEAC"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Config 1</w:t>
            </w:r>
          </w:p>
        </w:tc>
        <w:tc>
          <w:tcPr>
            <w:tcW w:w="850" w:type="dxa"/>
            <w:tcBorders>
              <w:bottom w:val="nil"/>
            </w:tcBorders>
            <w:shd w:val="clear" w:color="auto" w:fill="auto"/>
          </w:tcPr>
          <w:p w14:paraId="1B1585E2"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23BDE7D3"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15 KHz</w:t>
            </w:r>
          </w:p>
        </w:tc>
        <w:tc>
          <w:tcPr>
            <w:tcW w:w="3260" w:type="dxa"/>
          </w:tcPr>
          <w:p w14:paraId="47735062"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F8215C3" w14:textId="77777777" w:rsidTr="003A71DE">
        <w:trPr>
          <w:trHeight w:val="187"/>
          <w:jc w:val="center"/>
        </w:trPr>
        <w:tc>
          <w:tcPr>
            <w:tcW w:w="1555" w:type="dxa"/>
            <w:vMerge/>
            <w:shd w:val="clear" w:color="auto" w:fill="auto"/>
          </w:tcPr>
          <w:p w14:paraId="78C036AE"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00FEB95C" w14:textId="77777777" w:rsidR="003A71DE" w:rsidRPr="00C40E91" w:rsidRDefault="003A71DE" w:rsidP="003A71DE">
            <w:pPr>
              <w:keepNext/>
              <w:keepLines/>
              <w:spacing w:after="0" w:line="259" w:lineRule="auto"/>
              <w:rPr>
                <w:rFonts w:ascii="Arial" w:eastAsia="SimSun" w:hAnsi="Arial"/>
                <w:sz w:val="18"/>
                <w:lang w:val="en-US"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tcBorders>
            <w:shd w:val="clear" w:color="auto" w:fill="auto"/>
          </w:tcPr>
          <w:p w14:paraId="4719B38C"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009D362"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30 KHz</w:t>
            </w:r>
          </w:p>
        </w:tc>
        <w:tc>
          <w:tcPr>
            <w:tcW w:w="3260" w:type="dxa"/>
          </w:tcPr>
          <w:p w14:paraId="53FF2D84"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343EEDAA" w14:textId="77777777" w:rsidTr="003A71DE">
        <w:trPr>
          <w:trHeight w:val="187"/>
          <w:jc w:val="center"/>
        </w:trPr>
        <w:tc>
          <w:tcPr>
            <w:tcW w:w="4390" w:type="dxa"/>
            <w:gridSpan w:val="3"/>
            <w:shd w:val="clear" w:color="auto" w:fill="auto"/>
          </w:tcPr>
          <w:p w14:paraId="3C89E0DC"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csi-RS-Index assigned as beam failure detection RS in set q</w:t>
            </w:r>
            <w:r w:rsidRPr="00C40E91">
              <w:rPr>
                <w:rFonts w:ascii="Arial" w:hAnsi="Arial"/>
                <w:sz w:val="18"/>
                <w:vertAlign w:val="subscript"/>
              </w:rPr>
              <w:t>0</w:t>
            </w:r>
          </w:p>
        </w:tc>
        <w:tc>
          <w:tcPr>
            <w:tcW w:w="850" w:type="dxa"/>
            <w:shd w:val="clear" w:color="auto" w:fill="auto"/>
          </w:tcPr>
          <w:p w14:paraId="10843E0D"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3C4D424E"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w:t>
            </w:r>
          </w:p>
        </w:tc>
        <w:tc>
          <w:tcPr>
            <w:tcW w:w="3260" w:type="dxa"/>
          </w:tcPr>
          <w:p w14:paraId="7AF56C0B"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3D08828F" w14:textId="77777777" w:rsidTr="003A71DE">
        <w:trPr>
          <w:trHeight w:val="187"/>
          <w:jc w:val="center"/>
        </w:trPr>
        <w:tc>
          <w:tcPr>
            <w:tcW w:w="4390" w:type="dxa"/>
            <w:gridSpan w:val="3"/>
            <w:shd w:val="clear" w:color="auto" w:fill="auto"/>
          </w:tcPr>
          <w:p w14:paraId="6D305C69"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OCNG parameters</w:t>
            </w:r>
          </w:p>
        </w:tc>
        <w:tc>
          <w:tcPr>
            <w:tcW w:w="850" w:type="dxa"/>
            <w:shd w:val="clear" w:color="auto" w:fill="auto"/>
          </w:tcPr>
          <w:p w14:paraId="7356172F"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8C46DC5"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OP.1</w:t>
            </w:r>
          </w:p>
        </w:tc>
        <w:tc>
          <w:tcPr>
            <w:tcW w:w="3260" w:type="dxa"/>
          </w:tcPr>
          <w:p w14:paraId="32B3F69C"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G.1.2.1</w:t>
            </w:r>
          </w:p>
        </w:tc>
      </w:tr>
      <w:tr w:rsidR="003A71DE" w:rsidRPr="00C40E91" w14:paraId="3D50C6B2" w14:textId="77777777" w:rsidTr="003A71DE">
        <w:trPr>
          <w:trHeight w:val="187"/>
          <w:jc w:val="center"/>
        </w:trPr>
        <w:tc>
          <w:tcPr>
            <w:tcW w:w="4390" w:type="dxa"/>
            <w:gridSpan w:val="3"/>
            <w:shd w:val="clear" w:color="auto" w:fill="auto"/>
          </w:tcPr>
          <w:p w14:paraId="0A857128"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CP length</w:t>
            </w:r>
            <w:r w:rsidRPr="00C40E91">
              <w:rPr>
                <w:rFonts w:ascii="Arial" w:hAnsi="Arial"/>
                <w:sz w:val="18"/>
              </w:rPr>
              <w:tab/>
            </w:r>
          </w:p>
        </w:tc>
        <w:tc>
          <w:tcPr>
            <w:tcW w:w="850" w:type="dxa"/>
            <w:shd w:val="clear" w:color="auto" w:fill="auto"/>
          </w:tcPr>
          <w:p w14:paraId="3C52D0C4"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501FC2BF"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Normal</w:t>
            </w:r>
          </w:p>
        </w:tc>
        <w:tc>
          <w:tcPr>
            <w:tcW w:w="3260" w:type="dxa"/>
          </w:tcPr>
          <w:p w14:paraId="6D7F0787"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69922A49" w14:textId="77777777" w:rsidTr="003A71DE">
        <w:trPr>
          <w:trHeight w:val="187"/>
          <w:jc w:val="center"/>
        </w:trPr>
        <w:tc>
          <w:tcPr>
            <w:tcW w:w="4390" w:type="dxa"/>
            <w:gridSpan w:val="3"/>
            <w:shd w:val="clear" w:color="auto" w:fill="auto"/>
          </w:tcPr>
          <w:p w14:paraId="5EE36FDB"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Correlation Matrix and Antenna Configuration</w:t>
            </w:r>
          </w:p>
        </w:tc>
        <w:tc>
          <w:tcPr>
            <w:tcW w:w="850" w:type="dxa"/>
            <w:shd w:val="clear" w:color="auto" w:fill="auto"/>
          </w:tcPr>
          <w:p w14:paraId="5647128D"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7F9F9DEF"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2x2 Low</w:t>
            </w:r>
          </w:p>
        </w:tc>
        <w:tc>
          <w:tcPr>
            <w:tcW w:w="3260" w:type="dxa"/>
          </w:tcPr>
          <w:p w14:paraId="297ADD8D"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0AD678AE" w14:textId="77777777" w:rsidTr="003A71DE">
        <w:trPr>
          <w:trHeight w:val="187"/>
          <w:jc w:val="center"/>
        </w:trPr>
        <w:tc>
          <w:tcPr>
            <w:tcW w:w="1555" w:type="dxa"/>
            <w:vMerge w:val="restart"/>
            <w:shd w:val="clear" w:color="auto" w:fill="auto"/>
          </w:tcPr>
          <w:p w14:paraId="276D17F9"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Beam failure detection transmission parameters</w:t>
            </w:r>
          </w:p>
        </w:tc>
        <w:tc>
          <w:tcPr>
            <w:tcW w:w="2835" w:type="dxa"/>
            <w:gridSpan w:val="2"/>
            <w:shd w:val="clear" w:color="auto" w:fill="auto"/>
          </w:tcPr>
          <w:p w14:paraId="1F3D830D"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DCI format</w:t>
            </w:r>
          </w:p>
        </w:tc>
        <w:tc>
          <w:tcPr>
            <w:tcW w:w="850" w:type="dxa"/>
            <w:shd w:val="clear" w:color="auto" w:fill="auto"/>
          </w:tcPr>
          <w:p w14:paraId="15D94A2A"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BFEE8D3"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1-0</w:t>
            </w:r>
          </w:p>
        </w:tc>
        <w:tc>
          <w:tcPr>
            <w:tcW w:w="3260" w:type="dxa"/>
          </w:tcPr>
          <w:p w14:paraId="0D36D001"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3848CB1" w14:textId="77777777" w:rsidTr="003A71DE">
        <w:trPr>
          <w:trHeight w:val="187"/>
          <w:jc w:val="center"/>
        </w:trPr>
        <w:tc>
          <w:tcPr>
            <w:tcW w:w="1555" w:type="dxa"/>
            <w:vMerge/>
            <w:shd w:val="clear" w:color="auto" w:fill="auto"/>
          </w:tcPr>
          <w:p w14:paraId="60E0552B"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19304809"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Number of Control OFDM symbols</w:t>
            </w:r>
          </w:p>
        </w:tc>
        <w:tc>
          <w:tcPr>
            <w:tcW w:w="850" w:type="dxa"/>
            <w:shd w:val="clear" w:color="auto" w:fill="auto"/>
          </w:tcPr>
          <w:p w14:paraId="6C484CF2"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2CBCCB4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2</w:t>
            </w:r>
          </w:p>
        </w:tc>
        <w:tc>
          <w:tcPr>
            <w:tcW w:w="3260" w:type="dxa"/>
          </w:tcPr>
          <w:p w14:paraId="61CF9499"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729FFC9" w14:textId="77777777" w:rsidTr="003A71DE">
        <w:trPr>
          <w:trHeight w:val="187"/>
          <w:jc w:val="center"/>
        </w:trPr>
        <w:tc>
          <w:tcPr>
            <w:tcW w:w="1555" w:type="dxa"/>
            <w:vMerge/>
            <w:shd w:val="clear" w:color="auto" w:fill="auto"/>
          </w:tcPr>
          <w:p w14:paraId="3F165DB5"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5815C8E3"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 xml:space="preserve">Aggregation level </w:t>
            </w:r>
          </w:p>
        </w:tc>
        <w:tc>
          <w:tcPr>
            <w:tcW w:w="850" w:type="dxa"/>
            <w:shd w:val="clear" w:color="auto" w:fill="auto"/>
          </w:tcPr>
          <w:p w14:paraId="56C88807"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CCE</w:t>
            </w:r>
          </w:p>
        </w:tc>
        <w:tc>
          <w:tcPr>
            <w:tcW w:w="1843" w:type="dxa"/>
            <w:shd w:val="clear" w:color="auto" w:fill="auto"/>
          </w:tcPr>
          <w:p w14:paraId="66174D08"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8</w:t>
            </w:r>
          </w:p>
        </w:tc>
        <w:tc>
          <w:tcPr>
            <w:tcW w:w="3260" w:type="dxa"/>
          </w:tcPr>
          <w:p w14:paraId="26F3199A"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39815E0" w14:textId="77777777" w:rsidTr="003A71DE">
        <w:trPr>
          <w:trHeight w:val="187"/>
          <w:jc w:val="center"/>
        </w:trPr>
        <w:tc>
          <w:tcPr>
            <w:tcW w:w="1555" w:type="dxa"/>
            <w:vMerge/>
            <w:shd w:val="clear" w:color="auto" w:fill="auto"/>
          </w:tcPr>
          <w:p w14:paraId="0146AFDE"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0FD59611" w14:textId="77777777" w:rsidR="003A71DE" w:rsidRPr="00C40E91" w:rsidRDefault="003A71DE" w:rsidP="003A71DE">
            <w:pPr>
              <w:keepNext/>
              <w:keepLines/>
              <w:spacing w:after="0" w:line="259" w:lineRule="auto"/>
              <w:rPr>
                <w:rFonts w:ascii="Arial" w:hAnsi="Arial"/>
                <w:sz w:val="18"/>
              </w:rPr>
            </w:pPr>
            <w:r w:rsidRPr="00C40E91">
              <w:rPr>
                <w:rFonts w:ascii="Arial" w:eastAsia="?? ??" w:hAnsi="Arial"/>
                <w:sz w:val="18"/>
              </w:rPr>
              <w:t>Ratio of hypothetical PDCCH RE energy to average CSI-RS RE energy</w:t>
            </w:r>
          </w:p>
        </w:tc>
        <w:tc>
          <w:tcPr>
            <w:tcW w:w="850" w:type="dxa"/>
            <w:shd w:val="clear" w:color="auto" w:fill="auto"/>
          </w:tcPr>
          <w:p w14:paraId="0FEAC96B"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1843" w:type="dxa"/>
            <w:shd w:val="clear" w:color="auto" w:fill="auto"/>
          </w:tcPr>
          <w:p w14:paraId="3D3DD88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w:t>
            </w:r>
          </w:p>
        </w:tc>
        <w:tc>
          <w:tcPr>
            <w:tcW w:w="3260" w:type="dxa"/>
          </w:tcPr>
          <w:p w14:paraId="08A8ECFB"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310151CA" w14:textId="77777777" w:rsidTr="003A71DE">
        <w:trPr>
          <w:trHeight w:val="187"/>
          <w:jc w:val="center"/>
        </w:trPr>
        <w:tc>
          <w:tcPr>
            <w:tcW w:w="1555" w:type="dxa"/>
            <w:vMerge/>
            <w:shd w:val="clear" w:color="auto" w:fill="auto"/>
          </w:tcPr>
          <w:p w14:paraId="0C8C112A"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747B231D" w14:textId="77777777" w:rsidR="003A71DE" w:rsidRPr="00C40E91" w:rsidRDefault="003A71DE" w:rsidP="003A71DE">
            <w:pPr>
              <w:keepNext/>
              <w:keepLines/>
              <w:spacing w:after="0" w:line="259" w:lineRule="auto"/>
              <w:rPr>
                <w:rFonts w:ascii="Arial" w:hAnsi="Arial"/>
                <w:sz w:val="18"/>
              </w:rPr>
            </w:pPr>
            <w:r w:rsidRPr="00C40E91">
              <w:rPr>
                <w:rFonts w:ascii="Arial" w:eastAsia="?? ??" w:hAnsi="Arial"/>
                <w:sz w:val="18"/>
              </w:rPr>
              <w:t>Ratio of hypothetical PDCCH DMRS energy to average CSI-RS RE energy</w:t>
            </w:r>
          </w:p>
        </w:tc>
        <w:tc>
          <w:tcPr>
            <w:tcW w:w="850" w:type="dxa"/>
            <w:shd w:val="clear" w:color="auto" w:fill="auto"/>
          </w:tcPr>
          <w:p w14:paraId="32FF0BD8"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1843" w:type="dxa"/>
            <w:shd w:val="clear" w:color="auto" w:fill="auto"/>
          </w:tcPr>
          <w:p w14:paraId="7D761E21"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w:t>
            </w:r>
          </w:p>
        </w:tc>
        <w:tc>
          <w:tcPr>
            <w:tcW w:w="3260" w:type="dxa"/>
          </w:tcPr>
          <w:p w14:paraId="376ECED3"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BC3F937" w14:textId="77777777" w:rsidTr="003A71DE">
        <w:trPr>
          <w:trHeight w:val="187"/>
          <w:jc w:val="center"/>
        </w:trPr>
        <w:tc>
          <w:tcPr>
            <w:tcW w:w="1555" w:type="dxa"/>
            <w:vMerge/>
            <w:shd w:val="clear" w:color="auto" w:fill="auto"/>
          </w:tcPr>
          <w:p w14:paraId="1AAB83C2"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40EA66FE" w14:textId="77777777" w:rsidR="003A71DE" w:rsidRPr="00C40E91" w:rsidRDefault="003A71DE" w:rsidP="003A71DE">
            <w:pPr>
              <w:keepNext/>
              <w:keepLines/>
              <w:spacing w:after="0" w:line="259" w:lineRule="auto"/>
              <w:rPr>
                <w:rFonts w:ascii="Arial" w:eastAsia="?? ??" w:hAnsi="Arial"/>
                <w:sz w:val="18"/>
              </w:rPr>
            </w:pPr>
            <w:r w:rsidRPr="00C40E91">
              <w:rPr>
                <w:rFonts w:ascii="Arial" w:eastAsia="?? ??" w:hAnsi="Arial"/>
                <w:sz w:val="18"/>
              </w:rPr>
              <w:t>DMRS precoder granularity</w:t>
            </w:r>
          </w:p>
        </w:tc>
        <w:tc>
          <w:tcPr>
            <w:tcW w:w="850" w:type="dxa"/>
            <w:shd w:val="clear" w:color="auto" w:fill="auto"/>
          </w:tcPr>
          <w:p w14:paraId="7B7DFCFB" w14:textId="77777777" w:rsidR="003A71DE" w:rsidRPr="00C40E91" w:rsidRDefault="003A71DE" w:rsidP="003A71DE">
            <w:pPr>
              <w:keepNext/>
              <w:keepLines/>
              <w:spacing w:after="0" w:line="259" w:lineRule="auto"/>
              <w:jc w:val="center"/>
              <w:rPr>
                <w:rFonts w:ascii="Arial" w:eastAsia="?? ??" w:hAnsi="Arial"/>
                <w:sz w:val="18"/>
              </w:rPr>
            </w:pPr>
          </w:p>
        </w:tc>
        <w:tc>
          <w:tcPr>
            <w:tcW w:w="1843" w:type="dxa"/>
            <w:shd w:val="clear" w:color="auto" w:fill="auto"/>
          </w:tcPr>
          <w:p w14:paraId="2B5F19CD"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 ??" w:hAnsi="Arial"/>
                <w:sz w:val="18"/>
              </w:rPr>
              <w:t>REG bundle size</w:t>
            </w:r>
          </w:p>
        </w:tc>
        <w:tc>
          <w:tcPr>
            <w:tcW w:w="3260" w:type="dxa"/>
          </w:tcPr>
          <w:p w14:paraId="7A6DA79C" w14:textId="77777777" w:rsidR="003A71DE" w:rsidRPr="00C40E91" w:rsidRDefault="003A71DE" w:rsidP="003A71DE">
            <w:pPr>
              <w:keepNext/>
              <w:keepLines/>
              <w:spacing w:after="0" w:line="259" w:lineRule="auto"/>
              <w:jc w:val="center"/>
              <w:rPr>
                <w:rFonts w:ascii="Arial" w:eastAsia="?? ??" w:hAnsi="Arial"/>
                <w:sz w:val="18"/>
              </w:rPr>
            </w:pPr>
          </w:p>
        </w:tc>
      </w:tr>
      <w:tr w:rsidR="003A71DE" w:rsidRPr="00C40E91" w14:paraId="709BD08C" w14:textId="77777777" w:rsidTr="003A71DE">
        <w:trPr>
          <w:trHeight w:val="187"/>
          <w:jc w:val="center"/>
        </w:trPr>
        <w:tc>
          <w:tcPr>
            <w:tcW w:w="1555" w:type="dxa"/>
            <w:vMerge/>
            <w:shd w:val="clear" w:color="auto" w:fill="auto"/>
          </w:tcPr>
          <w:p w14:paraId="083CA267" w14:textId="77777777" w:rsidR="003A71DE" w:rsidRPr="00C40E91" w:rsidRDefault="003A71DE" w:rsidP="003A71DE">
            <w:pPr>
              <w:keepNext/>
              <w:keepLines/>
              <w:spacing w:after="0" w:line="259" w:lineRule="auto"/>
              <w:rPr>
                <w:rFonts w:ascii="Arial" w:hAnsi="Arial"/>
                <w:sz w:val="18"/>
              </w:rPr>
            </w:pPr>
          </w:p>
        </w:tc>
        <w:tc>
          <w:tcPr>
            <w:tcW w:w="2835" w:type="dxa"/>
            <w:gridSpan w:val="2"/>
            <w:shd w:val="clear" w:color="auto" w:fill="auto"/>
          </w:tcPr>
          <w:p w14:paraId="192F00B8" w14:textId="77777777" w:rsidR="003A71DE" w:rsidRPr="00C40E91" w:rsidRDefault="003A71DE" w:rsidP="003A71DE">
            <w:pPr>
              <w:keepNext/>
              <w:keepLines/>
              <w:spacing w:after="0" w:line="259" w:lineRule="auto"/>
              <w:rPr>
                <w:rFonts w:ascii="Arial" w:eastAsia="?? ??" w:hAnsi="Arial"/>
                <w:sz w:val="18"/>
              </w:rPr>
            </w:pPr>
            <w:r w:rsidRPr="00C40E91">
              <w:rPr>
                <w:rFonts w:ascii="Arial" w:eastAsia="?? ??" w:hAnsi="Arial"/>
                <w:sz w:val="18"/>
              </w:rPr>
              <w:t>REG bundle size</w:t>
            </w:r>
          </w:p>
        </w:tc>
        <w:tc>
          <w:tcPr>
            <w:tcW w:w="850" w:type="dxa"/>
            <w:shd w:val="clear" w:color="auto" w:fill="auto"/>
          </w:tcPr>
          <w:p w14:paraId="3B3B4845" w14:textId="77777777" w:rsidR="003A71DE" w:rsidRPr="00C40E91" w:rsidRDefault="003A71DE" w:rsidP="003A71DE">
            <w:pPr>
              <w:keepNext/>
              <w:keepLines/>
              <w:spacing w:after="0" w:line="259" w:lineRule="auto"/>
              <w:jc w:val="center"/>
              <w:rPr>
                <w:rFonts w:ascii="Arial" w:eastAsia="?? ??" w:hAnsi="Arial"/>
                <w:sz w:val="18"/>
              </w:rPr>
            </w:pPr>
          </w:p>
        </w:tc>
        <w:tc>
          <w:tcPr>
            <w:tcW w:w="1843" w:type="dxa"/>
            <w:shd w:val="clear" w:color="auto" w:fill="auto"/>
          </w:tcPr>
          <w:p w14:paraId="6C504619"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6</w:t>
            </w:r>
          </w:p>
        </w:tc>
        <w:tc>
          <w:tcPr>
            <w:tcW w:w="3260" w:type="dxa"/>
          </w:tcPr>
          <w:p w14:paraId="5E9E0E6A"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E212FF6" w14:textId="77777777" w:rsidTr="003A71DE">
        <w:trPr>
          <w:trHeight w:val="187"/>
          <w:jc w:val="center"/>
        </w:trPr>
        <w:tc>
          <w:tcPr>
            <w:tcW w:w="4390" w:type="dxa"/>
            <w:gridSpan w:val="3"/>
            <w:shd w:val="clear" w:color="auto" w:fill="auto"/>
          </w:tcPr>
          <w:p w14:paraId="7D7FA4F8"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csi-RS-Index assigned as candidate beam detection RS in set q</w:t>
            </w:r>
            <w:r w:rsidRPr="00C40E91">
              <w:rPr>
                <w:rFonts w:ascii="Arial" w:hAnsi="Arial"/>
                <w:sz w:val="18"/>
                <w:vertAlign w:val="subscript"/>
              </w:rPr>
              <w:t>1</w:t>
            </w:r>
          </w:p>
        </w:tc>
        <w:tc>
          <w:tcPr>
            <w:tcW w:w="850" w:type="dxa"/>
            <w:shd w:val="clear" w:color="auto" w:fill="auto"/>
          </w:tcPr>
          <w:p w14:paraId="24E8ADAA"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0D5B1812"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rPr>
              <w:t>1</w:t>
            </w:r>
          </w:p>
        </w:tc>
        <w:tc>
          <w:tcPr>
            <w:tcW w:w="3260" w:type="dxa"/>
          </w:tcPr>
          <w:p w14:paraId="7AB71EB0"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rPr>
              <w:t>N</w:t>
            </w:r>
          </w:p>
        </w:tc>
      </w:tr>
      <w:tr w:rsidR="003A71DE" w:rsidRPr="00C40E91" w14:paraId="1287CF66" w14:textId="77777777" w:rsidTr="003A71DE">
        <w:trPr>
          <w:trHeight w:val="187"/>
          <w:jc w:val="center"/>
        </w:trPr>
        <w:tc>
          <w:tcPr>
            <w:tcW w:w="4390" w:type="dxa"/>
            <w:gridSpan w:val="3"/>
            <w:shd w:val="clear" w:color="auto" w:fill="auto"/>
          </w:tcPr>
          <w:p w14:paraId="3A39CB1B"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rlmInSyncOutOfSyncThreshold</w:t>
            </w:r>
          </w:p>
        </w:tc>
        <w:tc>
          <w:tcPr>
            <w:tcW w:w="850" w:type="dxa"/>
            <w:tcBorders>
              <w:bottom w:val="single" w:sz="4" w:space="0" w:color="auto"/>
            </w:tcBorders>
            <w:shd w:val="clear" w:color="auto" w:fill="auto"/>
          </w:tcPr>
          <w:p w14:paraId="5631A35F"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955682D"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rPr>
              <w:t>absent</w:t>
            </w:r>
          </w:p>
        </w:tc>
        <w:tc>
          <w:tcPr>
            <w:tcW w:w="3260" w:type="dxa"/>
            <w:tcBorders>
              <w:bottom w:val="single" w:sz="4" w:space="0" w:color="auto"/>
            </w:tcBorders>
          </w:tcPr>
          <w:p w14:paraId="6C8A5911"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rPr>
              <w:t xml:space="preserve">When the field is absent, the </w:t>
            </w:r>
            <w:r w:rsidRPr="00C40E91">
              <w:rPr>
                <w:rFonts w:ascii="Arial" w:eastAsia="SimSun" w:hAnsi="Arial" w:hint="eastAsia"/>
                <w:iCs/>
                <w:sz w:val="18"/>
                <w:lang w:val="en-US" w:eastAsia="zh-CN"/>
              </w:rPr>
              <w:t>IAB-MT</w:t>
            </w:r>
            <w:r w:rsidRPr="00C40E91">
              <w:rPr>
                <w:rFonts w:ascii="Arial" w:hAnsi="Arial"/>
                <w:iCs/>
                <w:sz w:val="18"/>
              </w:rPr>
              <w:t xml:space="preserve"> applies the value 0. (Table 8.1.1-1</w:t>
            </w:r>
            <w:r w:rsidRPr="00C40E91">
              <w:rPr>
                <w:rFonts w:ascii="Arial" w:eastAsia="SimSun" w:hAnsi="Arial" w:hint="eastAsia"/>
                <w:iCs/>
                <w:sz w:val="18"/>
                <w:lang w:val="en-US" w:eastAsia="zh-CN"/>
              </w:rPr>
              <w:t>of TS 38.133</w:t>
            </w:r>
            <w:r w:rsidRPr="00C40E91">
              <w:rPr>
                <w:rFonts w:ascii="Arial" w:hAnsi="Arial"/>
                <w:iCs/>
                <w:sz w:val="18"/>
              </w:rPr>
              <w:t>).</w:t>
            </w:r>
          </w:p>
        </w:tc>
      </w:tr>
      <w:tr w:rsidR="003A71DE" w:rsidRPr="00C40E91" w14:paraId="3126A477" w14:textId="77777777" w:rsidTr="003A71DE">
        <w:trPr>
          <w:trHeight w:val="187"/>
          <w:jc w:val="center"/>
        </w:trPr>
        <w:tc>
          <w:tcPr>
            <w:tcW w:w="3256" w:type="dxa"/>
            <w:gridSpan w:val="2"/>
            <w:vMerge w:val="restart"/>
            <w:shd w:val="clear" w:color="auto" w:fill="auto"/>
          </w:tcPr>
          <w:p w14:paraId="7F2C3705"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rsrp-ThresholdSSB</w:t>
            </w:r>
          </w:p>
        </w:tc>
        <w:tc>
          <w:tcPr>
            <w:tcW w:w="1134" w:type="dxa"/>
            <w:shd w:val="clear" w:color="auto" w:fill="auto"/>
          </w:tcPr>
          <w:p w14:paraId="5E47B925"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zh-CN"/>
              </w:rPr>
              <w:t>Config 1</w:t>
            </w:r>
          </w:p>
        </w:tc>
        <w:tc>
          <w:tcPr>
            <w:tcW w:w="850" w:type="dxa"/>
            <w:tcBorders>
              <w:bottom w:val="nil"/>
            </w:tcBorders>
            <w:shd w:val="clear" w:color="auto" w:fill="auto"/>
          </w:tcPr>
          <w:p w14:paraId="0096A3E0"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dBm/SCS kHz</w:t>
            </w:r>
          </w:p>
        </w:tc>
        <w:tc>
          <w:tcPr>
            <w:tcW w:w="1843" w:type="dxa"/>
            <w:shd w:val="clear" w:color="auto" w:fill="auto"/>
          </w:tcPr>
          <w:p w14:paraId="2E197D47"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iCs/>
                <w:sz w:val="18"/>
              </w:rPr>
              <w:t>-98</w:t>
            </w:r>
          </w:p>
        </w:tc>
        <w:tc>
          <w:tcPr>
            <w:tcW w:w="3260" w:type="dxa"/>
            <w:tcBorders>
              <w:bottom w:val="nil"/>
            </w:tcBorders>
            <w:shd w:val="clear" w:color="auto" w:fill="auto"/>
          </w:tcPr>
          <w:p w14:paraId="22E7C96A"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sz w:val="18"/>
              </w:rPr>
              <w:t>Threshold used for Q</w:t>
            </w:r>
            <w:r w:rsidRPr="00C40E91">
              <w:rPr>
                <w:rFonts w:ascii="Arial" w:hAnsi="Arial"/>
                <w:sz w:val="18"/>
                <w:vertAlign w:val="subscript"/>
              </w:rPr>
              <w:t>in_LR_SSB</w:t>
            </w:r>
          </w:p>
        </w:tc>
      </w:tr>
      <w:tr w:rsidR="003A71DE" w:rsidRPr="00C40E91" w14:paraId="229B7D3B" w14:textId="77777777" w:rsidTr="003A71DE">
        <w:trPr>
          <w:trHeight w:val="187"/>
          <w:jc w:val="center"/>
        </w:trPr>
        <w:tc>
          <w:tcPr>
            <w:tcW w:w="3256" w:type="dxa"/>
            <w:gridSpan w:val="2"/>
            <w:vMerge/>
            <w:shd w:val="clear" w:color="auto" w:fill="auto"/>
          </w:tcPr>
          <w:p w14:paraId="328026DC" w14:textId="77777777" w:rsidR="003A71DE" w:rsidRPr="00C40E91" w:rsidRDefault="003A71DE" w:rsidP="003A71DE">
            <w:pPr>
              <w:keepNext/>
              <w:keepLines/>
              <w:spacing w:after="0" w:line="259" w:lineRule="auto"/>
              <w:rPr>
                <w:rFonts w:ascii="Arial" w:hAnsi="Arial"/>
                <w:sz w:val="18"/>
              </w:rPr>
            </w:pPr>
          </w:p>
        </w:tc>
        <w:tc>
          <w:tcPr>
            <w:tcW w:w="1134" w:type="dxa"/>
            <w:shd w:val="clear" w:color="auto" w:fill="auto"/>
          </w:tcPr>
          <w:p w14:paraId="795F9BE6"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zh-CN"/>
              </w:rPr>
              <w:t xml:space="preserve">Config </w:t>
            </w:r>
            <w:r w:rsidRPr="00C40E91">
              <w:rPr>
                <w:rFonts w:ascii="Arial" w:hAnsi="Arial" w:hint="eastAsia"/>
                <w:sz w:val="18"/>
                <w:lang w:val="en-US" w:eastAsia="zh-CN"/>
              </w:rPr>
              <w:t>2</w:t>
            </w:r>
          </w:p>
        </w:tc>
        <w:tc>
          <w:tcPr>
            <w:tcW w:w="850" w:type="dxa"/>
            <w:tcBorders>
              <w:top w:val="nil"/>
            </w:tcBorders>
            <w:shd w:val="clear" w:color="auto" w:fill="auto"/>
          </w:tcPr>
          <w:p w14:paraId="63ECC42C"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0D2EA6BA"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lang w:eastAsia="zh-CN"/>
              </w:rPr>
              <w:t>-95</w:t>
            </w:r>
          </w:p>
        </w:tc>
        <w:tc>
          <w:tcPr>
            <w:tcW w:w="3260" w:type="dxa"/>
            <w:tcBorders>
              <w:top w:val="nil"/>
            </w:tcBorders>
            <w:shd w:val="clear" w:color="auto" w:fill="auto"/>
          </w:tcPr>
          <w:p w14:paraId="51BEDFC6"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0D2BFFCC" w14:textId="77777777" w:rsidTr="003A71DE">
        <w:trPr>
          <w:trHeight w:val="187"/>
          <w:jc w:val="center"/>
        </w:trPr>
        <w:tc>
          <w:tcPr>
            <w:tcW w:w="4390" w:type="dxa"/>
            <w:gridSpan w:val="3"/>
            <w:shd w:val="clear" w:color="auto" w:fill="auto"/>
          </w:tcPr>
          <w:p w14:paraId="42201328"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powerControlOffsetSS</w:t>
            </w:r>
          </w:p>
        </w:tc>
        <w:tc>
          <w:tcPr>
            <w:tcW w:w="850" w:type="dxa"/>
            <w:shd w:val="clear" w:color="auto" w:fill="auto"/>
          </w:tcPr>
          <w:p w14:paraId="638BAD63"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0087903A"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sz w:val="18"/>
              </w:rPr>
              <w:t>db0</w:t>
            </w:r>
          </w:p>
        </w:tc>
        <w:tc>
          <w:tcPr>
            <w:tcW w:w="3260" w:type="dxa"/>
          </w:tcPr>
          <w:p w14:paraId="6BB4ABB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Used for deriving rsrp-ThresholdCSI-RS</w:t>
            </w:r>
          </w:p>
        </w:tc>
      </w:tr>
      <w:tr w:rsidR="003A71DE" w:rsidRPr="00C40E91" w14:paraId="211A4664" w14:textId="77777777" w:rsidTr="003A71DE">
        <w:trPr>
          <w:trHeight w:val="187"/>
          <w:jc w:val="center"/>
        </w:trPr>
        <w:tc>
          <w:tcPr>
            <w:tcW w:w="4390" w:type="dxa"/>
            <w:gridSpan w:val="3"/>
            <w:shd w:val="clear" w:color="auto" w:fill="auto"/>
          </w:tcPr>
          <w:p w14:paraId="6C00E73C"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beamFailureInstanceMaxCount</w:t>
            </w:r>
          </w:p>
        </w:tc>
        <w:tc>
          <w:tcPr>
            <w:tcW w:w="850" w:type="dxa"/>
            <w:shd w:val="clear" w:color="auto" w:fill="auto"/>
          </w:tcPr>
          <w:p w14:paraId="79B3D67D" w14:textId="77777777" w:rsidR="003A71DE" w:rsidRPr="00C40E91" w:rsidRDefault="003A71DE" w:rsidP="003A71DE">
            <w:pPr>
              <w:keepNext/>
              <w:keepLines/>
              <w:spacing w:after="0" w:line="259" w:lineRule="auto"/>
              <w:jc w:val="center"/>
              <w:rPr>
                <w:rFonts w:ascii="Arial" w:hAnsi="Arial"/>
                <w:iCs/>
                <w:sz w:val="18"/>
              </w:rPr>
            </w:pPr>
          </w:p>
        </w:tc>
        <w:tc>
          <w:tcPr>
            <w:tcW w:w="1843" w:type="dxa"/>
            <w:shd w:val="clear" w:color="auto" w:fill="auto"/>
          </w:tcPr>
          <w:p w14:paraId="0338769F"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rPr>
              <w:t>n1</w:t>
            </w:r>
          </w:p>
        </w:tc>
        <w:tc>
          <w:tcPr>
            <w:tcW w:w="3260" w:type="dxa"/>
          </w:tcPr>
          <w:p w14:paraId="282B52F5" w14:textId="77777777" w:rsidR="003A71DE" w:rsidRPr="00C40E91" w:rsidRDefault="003A71DE" w:rsidP="003A71DE">
            <w:pPr>
              <w:keepNext/>
              <w:keepLines/>
              <w:spacing w:after="0" w:line="259" w:lineRule="auto"/>
              <w:jc w:val="center"/>
              <w:rPr>
                <w:rFonts w:ascii="Arial" w:hAnsi="Arial"/>
                <w:iCs/>
                <w:sz w:val="18"/>
              </w:rPr>
            </w:pPr>
            <w:r w:rsidRPr="00C40E91">
              <w:rPr>
                <w:rFonts w:ascii="Arial" w:hAnsi="Arial"/>
                <w:iCs/>
                <w:sz w:val="18"/>
              </w:rPr>
              <w:t>see clause 5.17 of TS 38.321 [</w:t>
            </w:r>
            <w:r w:rsidRPr="00C40E91">
              <w:rPr>
                <w:rFonts w:ascii="Arial" w:eastAsia="SimSun" w:hAnsi="Arial" w:hint="eastAsia"/>
                <w:iCs/>
                <w:sz w:val="18"/>
                <w:lang w:val="en-US" w:eastAsia="zh-CN"/>
              </w:rPr>
              <w:t>14</w:t>
            </w:r>
            <w:r w:rsidRPr="00C40E91">
              <w:rPr>
                <w:rFonts w:ascii="Arial" w:hAnsi="Arial"/>
                <w:iCs/>
                <w:sz w:val="18"/>
              </w:rPr>
              <w:t>]</w:t>
            </w:r>
          </w:p>
        </w:tc>
      </w:tr>
      <w:tr w:rsidR="003A71DE" w:rsidRPr="00C40E91" w14:paraId="321D9BCC" w14:textId="77777777" w:rsidTr="003A71DE">
        <w:trPr>
          <w:trHeight w:val="187"/>
          <w:jc w:val="center"/>
        </w:trPr>
        <w:tc>
          <w:tcPr>
            <w:tcW w:w="4390" w:type="dxa"/>
            <w:gridSpan w:val="3"/>
            <w:shd w:val="clear" w:color="auto" w:fill="auto"/>
          </w:tcPr>
          <w:p w14:paraId="080B3C7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beamFailureDetectionTimer</w:t>
            </w:r>
          </w:p>
        </w:tc>
        <w:tc>
          <w:tcPr>
            <w:tcW w:w="850" w:type="dxa"/>
            <w:shd w:val="clear" w:color="auto" w:fill="auto"/>
          </w:tcPr>
          <w:p w14:paraId="321AE49D" w14:textId="77777777" w:rsidR="003A71DE" w:rsidRPr="00C40E91" w:rsidRDefault="003A71DE" w:rsidP="003A71DE">
            <w:pPr>
              <w:keepNext/>
              <w:keepLines/>
              <w:spacing w:after="0" w:line="259" w:lineRule="auto"/>
              <w:jc w:val="center"/>
              <w:rPr>
                <w:rFonts w:ascii="Arial" w:hAnsi="Arial"/>
                <w:iCs/>
                <w:sz w:val="18"/>
              </w:rPr>
            </w:pPr>
          </w:p>
        </w:tc>
        <w:tc>
          <w:tcPr>
            <w:tcW w:w="1843" w:type="dxa"/>
            <w:shd w:val="clear" w:color="auto" w:fill="auto"/>
          </w:tcPr>
          <w:p w14:paraId="4CC136E6" w14:textId="77777777" w:rsidR="003A71DE" w:rsidRPr="00C40E91" w:rsidRDefault="003A71DE" w:rsidP="003A71DE">
            <w:pPr>
              <w:keepNext/>
              <w:keepLines/>
              <w:spacing w:after="0" w:line="259" w:lineRule="auto"/>
              <w:jc w:val="center"/>
              <w:rPr>
                <w:rFonts w:ascii="Arial" w:hAnsi="Arial"/>
                <w:i/>
                <w:iCs/>
                <w:sz w:val="18"/>
              </w:rPr>
            </w:pPr>
            <w:r w:rsidRPr="00C40E91">
              <w:rPr>
                <w:rFonts w:ascii="Arial" w:hAnsi="Arial"/>
                <w:sz w:val="18"/>
              </w:rPr>
              <w:t>pbfd4</w:t>
            </w:r>
          </w:p>
        </w:tc>
        <w:tc>
          <w:tcPr>
            <w:tcW w:w="3260" w:type="dxa"/>
            <w:tcBorders>
              <w:bottom w:val="single" w:sz="4" w:space="0" w:color="auto"/>
            </w:tcBorders>
          </w:tcPr>
          <w:p w14:paraId="2B63E38E"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iCs/>
                <w:sz w:val="18"/>
              </w:rPr>
              <w:t>see clause 5.17 of TS 38.321 </w:t>
            </w:r>
            <w:r w:rsidRPr="00C40E91">
              <w:rPr>
                <w:rFonts w:ascii="Arial" w:eastAsia="SimSun" w:hAnsi="Arial" w:hint="eastAsia"/>
                <w:iCs/>
                <w:sz w:val="18"/>
                <w:lang w:val="en-US" w:eastAsia="zh-CN"/>
              </w:rPr>
              <w:t>[14</w:t>
            </w:r>
            <w:r w:rsidRPr="00C40E91">
              <w:rPr>
                <w:rFonts w:ascii="Arial" w:hAnsi="Arial"/>
                <w:iCs/>
                <w:sz w:val="18"/>
              </w:rPr>
              <w:t>]</w:t>
            </w:r>
          </w:p>
        </w:tc>
      </w:tr>
      <w:tr w:rsidR="003A71DE" w:rsidRPr="00C40E91" w14:paraId="4BD641D7" w14:textId="77777777" w:rsidTr="003A71DE">
        <w:trPr>
          <w:trHeight w:val="187"/>
          <w:jc w:val="center"/>
        </w:trPr>
        <w:tc>
          <w:tcPr>
            <w:tcW w:w="3256" w:type="dxa"/>
            <w:gridSpan w:val="2"/>
            <w:tcBorders>
              <w:top w:val="nil"/>
              <w:bottom w:val="nil"/>
            </w:tcBorders>
            <w:shd w:val="clear" w:color="auto" w:fill="auto"/>
          </w:tcPr>
          <w:p w14:paraId="34EEB973"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CSI-RS configuration for q</w:t>
            </w:r>
            <w:r w:rsidRPr="00C40E91">
              <w:rPr>
                <w:rFonts w:ascii="Arial" w:hAnsi="Arial"/>
                <w:sz w:val="18"/>
                <w:vertAlign w:val="subscript"/>
              </w:rPr>
              <w:t>0</w:t>
            </w:r>
            <w:r w:rsidRPr="00C40E91">
              <w:rPr>
                <w:rFonts w:ascii="Arial" w:hAnsi="Arial"/>
                <w:sz w:val="18"/>
              </w:rPr>
              <w:t xml:space="preserve"> and q</w:t>
            </w:r>
            <w:r w:rsidRPr="00C40E91">
              <w:rPr>
                <w:rFonts w:ascii="Arial" w:hAnsi="Arial"/>
                <w:sz w:val="18"/>
                <w:vertAlign w:val="subscript"/>
              </w:rPr>
              <w:t>1</w:t>
            </w:r>
          </w:p>
        </w:tc>
        <w:tc>
          <w:tcPr>
            <w:tcW w:w="1134" w:type="dxa"/>
            <w:shd w:val="clear" w:color="auto" w:fill="auto"/>
          </w:tcPr>
          <w:p w14:paraId="454D5089"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vMerge w:val="restart"/>
            <w:shd w:val="clear" w:color="auto" w:fill="auto"/>
          </w:tcPr>
          <w:p w14:paraId="421776DB"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1937764B"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CSI-RS.1.2 TDD</w:t>
            </w:r>
          </w:p>
        </w:tc>
        <w:tc>
          <w:tcPr>
            <w:tcW w:w="3260" w:type="dxa"/>
            <w:tcBorders>
              <w:top w:val="nil"/>
              <w:bottom w:val="nil"/>
            </w:tcBorders>
            <w:shd w:val="clear" w:color="auto" w:fill="auto"/>
          </w:tcPr>
          <w:p w14:paraId="7FC1E0B3"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17387D59" w14:textId="77777777" w:rsidTr="003A71DE">
        <w:trPr>
          <w:trHeight w:val="187"/>
          <w:jc w:val="center"/>
        </w:trPr>
        <w:tc>
          <w:tcPr>
            <w:tcW w:w="3256" w:type="dxa"/>
            <w:gridSpan w:val="2"/>
            <w:tcBorders>
              <w:top w:val="nil"/>
              <w:bottom w:val="single" w:sz="4" w:space="0" w:color="auto"/>
            </w:tcBorders>
            <w:shd w:val="clear" w:color="auto" w:fill="auto"/>
          </w:tcPr>
          <w:p w14:paraId="75A8B709" w14:textId="77777777" w:rsidR="003A71DE" w:rsidRPr="00C40E91" w:rsidRDefault="003A71DE" w:rsidP="003A71DE">
            <w:pPr>
              <w:keepNext/>
              <w:keepLines/>
              <w:spacing w:after="0" w:line="259" w:lineRule="auto"/>
              <w:rPr>
                <w:rFonts w:ascii="Arial" w:hAnsi="Arial"/>
                <w:sz w:val="18"/>
              </w:rPr>
            </w:pPr>
          </w:p>
        </w:tc>
        <w:tc>
          <w:tcPr>
            <w:tcW w:w="1134" w:type="dxa"/>
            <w:shd w:val="clear" w:color="auto" w:fill="auto"/>
          </w:tcPr>
          <w:p w14:paraId="6482BD9E"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vMerge/>
            <w:shd w:val="clear" w:color="auto" w:fill="auto"/>
          </w:tcPr>
          <w:p w14:paraId="06B13F3A"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58D34BF7"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CSI-RS.2.2 TDD</w:t>
            </w:r>
          </w:p>
        </w:tc>
        <w:tc>
          <w:tcPr>
            <w:tcW w:w="3260" w:type="dxa"/>
            <w:tcBorders>
              <w:top w:val="nil"/>
              <w:bottom w:val="single" w:sz="4" w:space="0" w:color="auto"/>
            </w:tcBorders>
            <w:shd w:val="clear" w:color="auto" w:fill="auto"/>
          </w:tcPr>
          <w:p w14:paraId="3D162FE7"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06F679F4" w14:textId="77777777" w:rsidTr="003A71DE">
        <w:trPr>
          <w:trHeight w:val="187"/>
          <w:jc w:val="center"/>
        </w:trPr>
        <w:tc>
          <w:tcPr>
            <w:tcW w:w="3256" w:type="dxa"/>
            <w:gridSpan w:val="2"/>
            <w:tcBorders>
              <w:top w:val="nil"/>
              <w:bottom w:val="nil"/>
            </w:tcBorders>
            <w:shd w:val="clear" w:color="auto" w:fill="auto"/>
          </w:tcPr>
          <w:p w14:paraId="6D2D7D4C"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CSI-RS configuration for CSI reporting</w:t>
            </w:r>
          </w:p>
        </w:tc>
        <w:tc>
          <w:tcPr>
            <w:tcW w:w="1134" w:type="dxa"/>
            <w:shd w:val="clear" w:color="auto" w:fill="auto"/>
          </w:tcPr>
          <w:p w14:paraId="052CAEC5"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shd w:val="clear" w:color="auto" w:fill="auto"/>
          </w:tcPr>
          <w:p w14:paraId="1E396D3F"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1C20CDC6"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CSI-RS.1.1 TDD</w:t>
            </w:r>
          </w:p>
        </w:tc>
        <w:tc>
          <w:tcPr>
            <w:tcW w:w="3260" w:type="dxa"/>
            <w:tcBorders>
              <w:top w:val="nil"/>
              <w:bottom w:val="nil"/>
            </w:tcBorders>
            <w:shd w:val="clear" w:color="auto" w:fill="auto"/>
          </w:tcPr>
          <w:p w14:paraId="3182EE23"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FEF25D3" w14:textId="77777777" w:rsidTr="003A71DE">
        <w:trPr>
          <w:trHeight w:val="187"/>
          <w:jc w:val="center"/>
        </w:trPr>
        <w:tc>
          <w:tcPr>
            <w:tcW w:w="3256" w:type="dxa"/>
            <w:gridSpan w:val="2"/>
            <w:tcBorders>
              <w:top w:val="nil"/>
              <w:bottom w:val="single" w:sz="4" w:space="0" w:color="auto"/>
            </w:tcBorders>
            <w:shd w:val="clear" w:color="auto" w:fill="auto"/>
          </w:tcPr>
          <w:p w14:paraId="38B132D3" w14:textId="77777777" w:rsidR="003A71DE" w:rsidRPr="00C40E91" w:rsidRDefault="003A71DE" w:rsidP="003A71DE">
            <w:pPr>
              <w:keepNext/>
              <w:keepLines/>
              <w:spacing w:after="0" w:line="259" w:lineRule="auto"/>
              <w:rPr>
                <w:rFonts w:ascii="Arial" w:hAnsi="Arial"/>
                <w:sz w:val="18"/>
              </w:rPr>
            </w:pPr>
          </w:p>
        </w:tc>
        <w:tc>
          <w:tcPr>
            <w:tcW w:w="1134" w:type="dxa"/>
            <w:shd w:val="clear" w:color="auto" w:fill="auto"/>
          </w:tcPr>
          <w:p w14:paraId="00F79070"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shd w:val="clear" w:color="auto" w:fill="auto"/>
          </w:tcPr>
          <w:p w14:paraId="346CCC9D"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4CF27828"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CSI-RS.2.1 TDD</w:t>
            </w:r>
          </w:p>
        </w:tc>
        <w:tc>
          <w:tcPr>
            <w:tcW w:w="3260" w:type="dxa"/>
            <w:tcBorders>
              <w:top w:val="nil"/>
            </w:tcBorders>
            <w:shd w:val="clear" w:color="auto" w:fill="auto"/>
          </w:tcPr>
          <w:p w14:paraId="0CF862B3"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65C4FCF" w14:textId="77777777" w:rsidTr="003A71DE">
        <w:trPr>
          <w:trHeight w:val="187"/>
          <w:jc w:val="center"/>
        </w:trPr>
        <w:tc>
          <w:tcPr>
            <w:tcW w:w="3256" w:type="dxa"/>
            <w:gridSpan w:val="2"/>
            <w:tcBorders>
              <w:top w:val="nil"/>
              <w:bottom w:val="nil"/>
            </w:tcBorders>
            <w:shd w:val="clear" w:color="auto" w:fill="auto"/>
          </w:tcPr>
          <w:p w14:paraId="048ADD5B"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TRS configuration</w:t>
            </w:r>
          </w:p>
        </w:tc>
        <w:tc>
          <w:tcPr>
            <w:tcW w:w="1134" w:type="dxa"/>
            <w:shd w:val="clear" w:color="auto" w:fill="auto"/>
          </w:tcPr>
          <w:p w14:paraId="5E5AAD65"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shd w:val="clear" w:color="auto" w:fill="auto"/>
          </w:tcPr>
          <w:p w14:paraId="57BAE484"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37DD7A37"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TRS.1.1 TDD</w:t>
            </w:r>
          </w:p>
        </w:tc>
        <w:tc>
          <w:tcPr>
            <w:tcW w:w="3260" w:type="dxa"/>
          </w:tcPr>
          <w:p w14:paraId="46A656CA"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1852058A" w14:textId="77777777" w:rsidTr="003A71DE">
        <w:trPr>
          <w:trHeight w:val="187"/>
          <w:jc w:val="center"/>
        </w:trPr>
        <w:tc>
          <w:tcPr>
            <w:tcW w:w="3256" w:type="dxa"/>
            <w:gridSpan w:val="2"/>
            <w:tcBorders>
              <w:top w:val="nil"/>
              <w:bottom w:val="single" w:sz="4" w:space="0" w:color="auto"/>
            </w:tcBorders>
            <w:shd w:val="clear" w:color="auto" w:fill="auto"/>
          </w:tcPr>
          <w:p w14:paraId="4E6E9C87" w14:textId="77777777" w:rsidR="003A71DE" w:rsidRPr="00C40E91" w:rsidRDefault="003A71DE" w:rsidP="003A71DE">
            <w:pPr>
              <w:keepNext/>
              <w:keepLines/>
              <w:spacing w:after="0" w:line="259" w:lineRule="auto"/>
              <w:rPr>
                <w:rFonts w:ascii="Arial" w:hAnsi="Arial"/>
                <w:sz w:val="18"/>
              </w:rPr>
            </w:pPr>
          </w:p>
        </w:tc>
        <w:tc>
          <w:tcPr>
            <w:tcW w:w="1134" w:type="dxa"/>
            <w:shd w:val="clear" w:color="auto" w:fill="auto"/>
          </w:tcPr>
          <w:p w14:paraId="0477C947"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shd w:val="clear" w:color="auto" w:fill="auto"/>
          </w:tcPr>
          <w:p w14:paraId="0271614B"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52AE2C13"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TRS.1.2 TDD</w:t>
            </w:r>
          </w:p>
        </w:tc>
        <w:tc>
          <w:tcPr>
            <w:tcW w:w="3260" w:type="dxa"/>
            <w:tcBorders>
              <w:bottom w:val="single" w:sz="4" w:space="0" w:color="auto"/>
            </w:tcBorders>
          </w:tcPr>
          <w:p w14:paraId="7EDDA6B9"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432DD373" w14:textId="77777777" w:rsidTr="003A71DE">
        <w:trPr>
          <w:trHeight w:val="187"/>
          <w:jc w:val="center"/>
        </w:trPr>
        <w:tc>
          <w:tcPr>
            <w:tcW w:w="3256" w:type="dxa"/>
            <w:gridSpan w:val="2"/>
            <w:tcBorders>
              <w:top w:val="nil"/>
              <w:bottom w:val="nil"/>
            </w:tcBorders>
            <w:shd w:val="clear" w:color="auto" w:fill="auto"/>
          </w:tcPr>
          <w:p w14:paraId="1DAB3C3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CSI-RS-Index assigned as RLM RS</w:t>
            </w:r>
          </w:p>
        </w:tc>
        <w:tc>
          <w:tcPr>
            <w:tcW w:w="1134" w:type="dxa"/>
            <w:shd w:val="clear" w:color="auto" w:fill="auto"/>
          </w:tcPr>
          <w:p w14:paraId="4D314BCA"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shd w:val="clear" w:color="auto" w:fill="auto"/>
          </w:tcPr>
          <w:p w14:paraId="7735675C"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56CB329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CSI-RS.1.2 TDD</w:t>
            </w:r>
          </w:p>
        </w:tc>
        <w:tc>
          <w:tcPr>
            <w:tcW w:w="3260" w:type="dxa"/>
            <w:tcBorders>
              <w:top w:val="nil"/>
              <w:bottom w:val="nil"/>
            </w:tcBorders>
            <w:shd w:val="clear" w:color="auto" w:fill="auto"/>
          </w:tcPr>
          <w:p w14:paraId="4C61134A"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00580A67" w14:textId="77777777" w:rsidTr="003A71DE">
        <w:trPr>
          <w:trHeight w:val="187"/>
          <w:jc w:val="center"/>
        </w:trPr>
        <w:tc>
          <w:tcPr>
            <w:tcW w:w="3256" w:type="dxa"/>
            <w:gridSpan w:val="2"/>
            <w:tcBorders>
              <w:top w:val="nil"/>
            </w:tcBorders>
            <w:shd w:val="clear" w:color="auto" w:fill="auto"/>
          </w:tcPr>
          <w:p w14:paraId="5015CD40" w14:textId="77777777" w:rsidR="003A71DE" w:rsidRPr="00C40E91" w:rsidRDefault="003A71DE" w:rsidP="003A71DE">
            <w:pPr>
              <w:keepNext/>
              <w:keepLines/>
              <w:spacing w:after="0" w:line="259" w:lineRule="auto"/>
              <w:rPr>
                <w:rFonts w:ascii="Arial" w:hAnsi="Arial"/>
                <w:sz w:val="18"/>
              </w:rPr>
            </w:pPr>
          </w:p>
        </w:tc>
        <w:tc>
          <w:tcPr>
            <w:tcW w:w="1134" w:type="dxa"/>
            <w:shd w:val="clear" w:color="auto" w:fill="auto"/>
          </w:tcPr>
          <w:p w14:paraId="6F6FEE5B"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shd w:val="clear" w:color="auto" w:fill="auto"/>
          </w:tcPr>
          <w:p w14:paraId="34181EA8"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1C5CE7C7"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CSI-RS.2.2 TDD</w:t>
            </w:r>
          </w:p>
        </w:tc>
        <w:tc>
          <w:tcPr>
            <w:tcW w:w="3260" w:type="dxa"/>
            <w:tcBorders>
              <w:top w:val="nil"/>
            </w:tcBorders>
            <w:shd w:val="clear" w:color="auto" w:fill="auto"/>
          </w:tcPr>
          <w:p w14:paraId="3334817B"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45CDE8EF" w14:textId="77777777" w:rsidTr="003A71DE">
        <w:trPr>
          <w:trHeight w:val="187"/>
          <w:jc w:val="center"/>
        </w:trPr>
        <w:tc>
          <w:tcPr>
            <w:tcW w:w="4390" w:type="dxa"/>
            <w:gridSpan w:val="3"/>
            <w:shd w:val="clear" w:color="auto" w:fill="auto"/>
          </w:tcPr>
          <w:p w14:paraId="4C93C62B"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zh-CN"/>
              </w:rPr>
              <w:t>T310 Timer</w:t>
            </w:r>
          </w:p>
        </w:tc>
        <w:tc>
          <w:tcPr>
            <w:tcW w:w="850" w:type="dxa"/>
            <w:shd w:val="clear" w:color="auto" w:fill="auto"/>
          </w:tcPr>
          <w:p w14:paraId="5C2634A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lang w:eastAsia="zh-CN"/>
              </w:rPr>
              <w:t>ms</w:t>
            </w:r>
          </w:p>
        </w:tc>
        <w:tc>
          <w:tcPr>
            <w:tcW w:w="1843" w:type="dxa"/>
            <w:shd w:val="clear" w:color="auto" w:fill="auto"/>
          </w:tcPr>
          <w:p w14:paraId="40BF4C3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lang w:eastAsia="zh-CN"/>
              </w:rPr>
              <w:t>1000</w:t>
            </w:r>
          </w:p>
        </w:tc>
        <w:tc>
          <w:tcPr>
            <w:tcW w:w="3260" w:type="dxa"/>
          </w:tcPr>
          <w:p w14:paraId="05DB36B1"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1B1EB5D0" w14:textId="77777777" w:rsidTr="003A71DE">
        <w:trPr>
          <w:trHeight w:val="187"/>
          <w:jc w:val="center"/>
        </w:trPr>
        <w:tc>
          <w:tcPr>
            <w:tcW w:w="4390" w:type="dxa"/>
            <w:gridSpan w:val="3"/>
            <w:shd w:val="clear" w:color="auto" w:fill="auto"/>
          </w:tcPr>
          <w:p w14:paraId="076E015A"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zh-CN"/>
              </w:rPr>
              <w:t>N310</w:t>
            </w:r>
          </w:p>
        </w:tc>
        <w:tc>
          <w:tcPr>
            <w:tcW w:w="850" w:type="dxa"/>
            <w:shd w:val="clear" w:color="auto" w:fill="auto"/>
          </w:tcPr>
          <w:p w14:paraId="22369C15" w14:textId="77777777" w:rsidR="003A71DE" w:rsidRPr="00C40E91" w:rsidRDefault="003A71DE" w:rsidP="003A71DE">
            <w:pPr>
              <w:keepNext/>
              <w:keepLines/>
              <w:spacing w:after="0" w:line="259" w:lineRule="auto"/>
              <w:jc w:val="center"/>
              <w:rPr>
                <w:rFonts w:ascii="Arial" w:hAnsi="Arial"/>
                <w:sz w:val="18"/>
              </w:rPr>
            </w:pPr>
          </w:p>
        </w:tc>
        <w:tc>
          <w:tcPr>
            <w:tcW w:w="1843" w:type="dxa"/>
            <w:shd w:val="clear" w:color="auto" w:fill="auto"/>
          </w:tcPr>
          <w:p w14:paraId="240EA8EC"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cs="Arial"/>
                <w:sz w:val="18"/>
                <w:szCs w:val="18"/>
                <w:lang w:eastAsia="zh-CN"/>
              </w:rPr>
              <w:t>2</w:t>
            </w:r>
          </w:p>
        </w:tc>
        <w:tc>
          <w:tcPr>
            <w:tcW w:w="3260" w:type="dxa"/>
          </w:tcPr>
          <w:p w14:paraId="617330A9"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1F95A7A" w14:textId="77777777" w:rsidTr="003A71DE">
        <w:trPr>
          <w:trHeight w:val="187"/>
          <w:jc w:val="center"/>
        </w:trPr>
        <w:tc>
          <w:tcPr>
            <w:tcW w:w="4390" w:type="dxa"/>
            <w:gridSpan w:val="3"/>
            <w:shd w:val="clear" w:color="auto" w:fill="auto"/>
          </w:tcPr>
          <w:p w14:paraId="0431AE0E"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T1</w:t>
            </w:r>
          </w:p>
        </w:tc>
        <w:tc>
          <w:tcPr>
            <w:tcW w:w="850" w:type="dxa"/>
            <w:shd w:val="clear" w:color="auto" w:fill="auto"/>
          </w:tcPr>
          <w:p w14:paraId="00EEF920"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w:t>
            </w:r>
          </w:p>
        </w:tc>
        <w:tc>
          <w:tcPr>
            <w:tcW w:w="1843" w:type="dxa"/>
            <w:shd w:val="clear" w:color="auto" w:fill="auto"/>
          </w:tcPr>
          <w:p w14:paraId="6AD7F047"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0.2</w:t>
            </w:r>
          </w:p>
        </w:tc>
        <w:tc>
          <w:tcPr>
            <w:tcW w:w="3260" w:type="dxa"/>
          </w:tcPr>
          <w:p w14:paraId="7929C1B6"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 xml:space="preserve">During this time the the </w:t>
            </w:r>
            <w:r w:rsidRPr="00C40E91">
              <w:rPr>
                <w:rFonts w:ascii="Arial" w:eastAsia="SimSun" w:hAnsi="Arial" w:hint="eastAsia"/>
                <w:sz w:val="18"/>
                <w:lang w:val="en-US" w:eastAsia="zh-CN"/>
              </w:rPr>
              <w:t xml:space="preserve">IAB-MT </w:t>
            </w:r>
            <w:r w:rsidRPr="00C40E91">
              <w:rPr>
                <w:rFonts w:ascii="Arial" w:hAnsi="Arial"/>
                <w:sz w:val="18"/>
              </w:rPr>
              <w:t>shall be fully synchronized to cell 1</w:t>
            </w:r>
          </w:p>
        </w:tc>
      </w:tr>
      <w:tr w:rsidR="003A71DE" w:rsidRPr="00C40E91" w14:paraId="61672053" w14:textId="77777777" w:rsidTr="003A71DE">
        <w:trPr>
          <w:trHeight w:val="187"/>
          <w:jc w:val="center"/>
        </w:trPr>
        <w:tc>
          <w:tcPr>
            <w:tcW w:w="4390" w:type="dxa"/>
            <w:gridSpan w:val="3"/>
            <w:shd w:val="clear" w:color="auto" w:fill="auto"/>
          </w:tcPr>
          <w:p w14:paraId="6610E1CB"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T2</w:t>
            </w:r>
          </w:p>
        </w:tc>
        <w:tc>
          <w:tcPr>
            <w:tcW w:w="850" w:type="dxa"/>
            <w:shd w:val="clear" w:color="auto" w:fill="auto"/>
          </w:tcPr>
          <w:p w14:paraId="30B32308"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w:t>
            </w:r>
          </w:p>
        </w:tc>
        <w:tc>
          <w:tcPr>
            <w:tcW w:w="1843" w:type="dxa"/>
            <w:shd w:val="clear" w:color="auto" w:fill="auto"/>
          </w:tcPr>
          <w:p w14:paraId="6353AE2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0.18</w:t>
            </w:r>
          </w:p>
        </w:tc>
        <w:tc>
          <w:tcPr>
            <w:tcW w:w="3260" w:type="dxa"/>
          </w:tcPr>
          <w:p w14:paraId="1C4D6D4F"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E14A34B" w14:textId="77777777" w:rsidTr="003A71DE">
        <w:trPr>
          <w:trHeight w:val="187"/>
          <w:jc w:val="center"/>
        </w:trPr>
        <w:tc>
          <w:tcPr>
            <w:tcW w:w="4390" w:type="dxa"/>
            <w:gridSpan w:val="3"/>
            <w:shd w:val="clear" w:color="auto" w:fill="auto"/>
          </w:tcPr>
          <w:p w14:paraId="4C500BEF"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t>T3</w:t>
            </w:r>
          </w:p>
        </w:tc>
        <w:tc>
          <w:tcPr>
            <w:tcW w:w="850" w:type="dxa"/>
            <w:shd w:val="clear" w:color="auto" w:fill="auto"/>
          </w:tcPr>
          <w:p w14:paraId="35E6AC5D"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w:t>
            </w:r>
          </w:p>
        </w:tc>
        <w:tc>
          <w:tcPr>
            <w:tcW w:w="1843" w:type="dxa"/>
            <w:shd w:val="clear" w:color="auto" w:fill="auto"/>
          </w:tcPr>
          <w:p w14:paraId="6D6F2BC5"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0.14</w:t>
            </w:r>
          </w:p>
        </w:tc>
        <w:tc>
          <w:tcPr>
            <w:tcW w:w="3260" w:type="dxa"/>
          </w:tcPr>
          <w:p w14:paraId="5CEF296A"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3AD37BF8" w14:textId="77777777" w:rsidTr="003A71DE">
        <w:trPr>
          <w:trHeight w:val="187"/>
          <w:jc w:val="center"/>
        </w:trPr>
        <w:tc>
          <w:tcPr>
            <w:tcW w:w="4390" w:type="dxa"/>
            <w:gridSpan w:val="3"/>
            <w:shd w:val="clear" w:color="auto" w:fill="auto"/>
          </w:tcPr>
          <w:p w14:paraId="58C961A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zh-CN"/>
              </w:rPr>
              <w:t>T4</w:t>
            </w:r>
          </w:p>
        </w:tc>
        <w:tc>
          <w:tcPr>
            <w:tcW w:w="850" w:type="dxa"/>
            <w:shd w:val="clear" w:color="auto" w:fill="auto"/>
          </w:tcPr>
          <w:p w14:paraId="40B3B1E9"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w:t>
            </w:r>
          </w:p>
        </w:tc>
        <w:tc>
          <w:tcPr>
            <w:tcW w:w="1843" w:type="dxa"/>
            <w:shd w:val="clear" w:color="auto" w:fill="auto"/>
          </w:tcPr>
          <w:p w14:paraId="48BD0F9C"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w:t>
            </w:r>
          </w:p>
        </w:tc>
        <w:tc>
          <w:tcPr>
            <w:tcW w:w="3260" w:type="dxa"/>
          </w:tcPr>
          <w:p w14:paraId="180CB6F4"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6F52DD5E" w14:textId="77777777" w:rsidTr="003A71DE">
        <w:trPr>
          <w:trHeight w:val="187"/>
          <w:jc w:val="center"/>
        </w:trPr>
        <w:tc>
          <w:tcPr>
            <w:tcW w:w="4390" w:type="dxa"/>
            <w:gridSpan w:val="3"/>
            <w:shd w:val="clear" w:color="auto" w:fill="auto"/>
          </w:tcPr>
          <w:p w14:paraId="5E479DF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zh-CN"/>
              </w:rPr>
              <w:t>T5</w:t>
            </w:r>
          </w:p>
        </w:tc>
        <w:tc>
          <w:tcPr>
            <w:tcW w:w="850" w:type="dxa"/>
            <w:shd w:val="clear" w:color="auto" w:fill="auto"/>
          </w:tcPr>
          <w:p w14:paraId="7C8370B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w:t>
            </w:r>
          </w:p>
        </w:tc>
        <w:tc>
          <w:tcPr>
            <w:tcW w:w="1843" w:type="dxa"/>
            <w:shd w:val="clear" w:color="auto" w:fill="auto"/>
          </w:tcPr>
          <w:p w14:paraId="5987AC2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0.08</w:t>
            </w:r>
          </w:p>
        </w:tc>
        <w:tc>
          <w:tcPr>
            <w:tcW w:w="3260" w:type="dxa"/>
          </w:tcPr>
          <w:p w14:paraId="44E3B992"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9E2C65C" w14:textId="77777777" w:rsidTr="003A71DE">
        <w:trPr>
          <w:trHeight w:val="187"/>
          <w:jc w:val="center"/>
        </w:trPr>
        <w:tc>
          <w:tcPr>
            <w:tcW w:w="4390" w:type="dxa"/>
            <w:gridSpan w:val="3"/>
            <w:shd w:val="clear" w:color="auto" w:fill="auto"/>
          </w:tcPr>
          <w:p w14:paraId="59035C5A"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rPr>
              <w:lastRenderedPageBreak/>
              <w:t>D1</w:t>
            </w:r>
          </w:p>
        </w:tc>
        <w:tc>
          <w:tcPr>
            <w:tcW w:w="850" w:type="dxa"/>
            <w:shd w:val="clear" w:color="auto" w:fill="auto"/>
          </w:tcPr>
          <w:p w14:paraId="70FAD69D"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s</w:t>
            </w:r>
          </w:p>
        </w:tc>
        <w:tc>
          <w:tcPr>
            <w:tcW w:w="1843" w:type="dxa"/>
            <w:shd w:val="clear" w:color="auto" w:fill="auto"/>
          </w:tcPr>
          <w:p w14:paraId="620830C8"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0.04</w:t>
            </w:r>
          </w:p>
        </w:tc>
        <w:tc>
          <w:tcPr>
            <w:tcW w:w="3260" w:type="dxa"/>
          </w:tcPr>
          <w:p w14:paraId="6F444A49"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02914E8" w14:textId="77777777" w:rsidTr="003A71DE">
        <w:trPr>
          <w:trHeight w:val="187"/>
          <w:jc w:val="center"/>
        </w:trPr>
        <w:tc>
          <w:tcPr>
            <w:tcW w:w="10343" w:type="dxa"/>
            <w:gridSpan w:val="6"/>
          </w:tcPr>
          <w:p w14:paraId="7BE08A5D" w14:textId="77777777" w:rsidR="003A71DE" w:rsidRPr="00C40E91" w:rsidRDefault="003A71DE" w:rsidP="00A40F90">
            <w:pPr>
              <w:pStyle w:val="TAN"/>
            </w:pPr>
            <w:r w:rsidRPr="00C40E91">
              <w:t>Note 1:</w:t>
            </w:r>
            <w:r w:rsidRPr="00C40E91">
              <w:tab/>
            </w:r>
            <w:r w:rsidRPr="00C40E91">
              <w:rPr>
                <w:rFonts w:eastAsia="SimSun" w:hint="eastAsia"/>
                <w:lang w:val="en-US" w:eastAsia="zh-CN"/>
              </w:rPr>
              <w:t>IAB-MT-</w:t>
            </w:r>
            <w:r w:rsidRPr="00C40E91">
              <w:t>specific PDCCH is not transmitted after T1 starts.</w:t>
            </w:r>
          </w:p>
        </w:tc>
      </w:tr>
    </w:tbl>
    <w:p w14:paraId="731403AF" w14:textId="77777777" w:rsidR="003A71DE" w:rsidRPr="00C40E91" w:rsidRDefault="003A71DE" w:rsidP="00A40F90"/>
    <w:p w14:paraId="61DE5712" w14:textId="77777777" w:rsidR="003A71DE" w:rsidRPr="00C40E91" w:rsidRDefault="003A71DE" w:rsidP="003A71DE">
      <w:pPr>
        <w:keepNext/>
        <w:keepLines/>
        <w:spacing w:before="60" w:line="259" w:lineRule="auto"/>
        <w:jc w:val="center"/>
        <w:rPr>
          <w:rFonts w:ascii="Arial" w:hAnsi="Arial"/>
          <w:b/>
        </w:rPr>
      </w:pPr>
      <w:r w:rsidRPr="00C40E91">
        <w:rPr>
          <w:rFonts w:ascii="Arial" w:hAnsi="Arial"/>
          <w:b/>
        </w:rPr>
        <w:t xml:space="preserve">Table </w:t>
      </w:r>
      <w:r w:rsidRPr="00C40E91">
        <w:rPr>
          <w:rFonts w:ascii="Arial" w:eastAsia="SimSun" w:hAnsi="Arial" w:hint="eastAsia"/>
          <w:b/>
          <w:lang w:val="en-US" w:eastAsia="zh-CN"/>
        </w:rPr>
        <w:t>G.2.3.2.</w:t>
      </w:r>
      <w:r>
        <w:rPr>
          <w:rFonts w:ascii="Arial" w:eastAsia="SimSun" w:hAnsi="Arial"/>
          <w:b/>
          <w:lang w:val="en-US" w:eastAsia="zh-CN"/>
        </w:rPr>
        <w:t>3</w:t>
      </w:r>
      <w:r w:rsidRPr="00C40E91">
        <w:rPr>
          <w:rFonts w:ascii="Arial" w:eastAsia="SimSun" w:hAnsi="Arial" w:hint="eastAsia"/>
          <w:b/>
          <w:lang w:val="en-US" w:eastAsia="zh-CN"/>
        </w:rPr>
        <w:t>.1</w:t>
      </w:r>
      <w:r w:rsidRPr="00C40E91">
        <w:rPr>
          <w:rFonts w:ascii="Arial" w:hAnsi="Arial"/>
          <w:b/>
        </w:rPr>
        <w:t xml:space="preserve">-3: Cell specific test parameters for FR1 PCell for CSI-RS-based beam failure detection and link recovery testing </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985"/>
        <w:gridCol w:w="850"/>
        <w:gridCol w:w="879"/>
        <w:gridCol w:w="879"/>
        <w:gridCol w:w="879"/>
        <w:gridCol w:w="879"/>
        <w:gridCol w:w="879"/>
      </w:tblGrid>
      <w:tr w:rsidR="003A71DE" w:rsidRPr="00C40E91" w14:paraId="4DC74D5C" w14:textId="77777777" w:rsidTr="003A71DE">
        <w:trPr>
          <w:cantSplit/>
          <w:trHeight w:val="187"/>
          <w:jc w:val="center"/>
        </w:trPr>
        <w:tc>
          <w:tcPr>
            <w:tcW w:w="3681" w:type="dxa"/>
            <w:gridSpan w:val="2"/>
            <w:tcBorders>
              <w:top w:val="single" w:sz="4" w:space="0" w:color="auto"/>
              <w:left w:val="single" w:sz="4" w:space="0" w:color="auto"/>
              <w:bottom w:val="nil"/>
              <w:right w:val="single" w:sz="4" w:space="0" w:color="auto"/>
            </w:tcBorders>
            <w:shd w:val="clear" w:color="auto" w:fill="auto"/>
          </w:tcPr>
          <w:p w14:paraId="29BF292E" w14:textId="77777777" w:rsidR="003A71DE" w:rsidRPr="00C40E91" w:rsidRDefault="003A71DE" w:rsidP="00A40F90">
            <w:pPr>
              <w:pStyle w:val="TAH"/>
            </w:pPr>
            <w:r w:rsidRPr="00C40E91">
              <w:t>Parameter</w:t>
            </w:r>
          </w:p>
        </w:tc>
        <w:tc>
          <w:tcPr>
            <w:tcW w:w="850" w:type="dxa"/>
            <w:tcBorders>
              <w:top w:val="single" w:sz="4" w:space="0" w:color="auto"/>
              <w:left w:val="single" w:sz="4" w:space="0" w:color="auto"/>
              <w:bottom w:val="nil"/>
              <w:right w:val="single" w:sz="4" w:space="0" w:color="auto"/>
            </w:tcBorders>
            <w:shd w:val="clear" w:color="auto" w:fill="auto"/>
          </w:tcPr>
          <w:p w14:paraId="259B82CF" w14:textId="77777777" w:rsidR="003A71DE" w:rsidRPr="00C40E91" w:rsidRDefault="003A71DE" w:rsidP="00A40F90">
            <w:pPr>
              <w:pStyle w:val="TAH"/>
            </w:pPr>
            <w:r w:rsidRPr="00C40E91">
              <w:t>Unit</w:t>
            </w:r>
          </w:p>
        </w:tc>
        <w:tc>
          <w:tcPr>
            <w:tcW w:w="4395" w:type="dxa"/>
            <w:gridSpan w:val="5"/>
            <w:tcBorders>
              <w:top w:val="single" w:sz="4" w:space="0" w:color="auto"/>
              <w:left w:val="single" w:sz="4" w:space="0" w:color="auto"/>
              <w:bottom w:val="single" w:sz="4" w:space="0" w:color="auto"/>
              <w:right w:val="single" w:sz="4" w:space="0" w:color="auto"/>
            </w:tcBorders>
          </w:tcPr>
          <w:p w14:paraId="59F60269" w14:textId="77777777" w:rsidR="003A71DE" w:rsidRPr="00C40E91" w:rsidRDefault="003A71DE" w:rsidP="00A40F90">
            <w:pPr>
              <w:pStyle w:val="TAH"/>
            </w:pPr>
            <w:r w:rsidRPr="00C40E91">
              <w:t>Test 1</w:t>
            </w:r>
          </w:p>
        </w:tc>
      </w:tr>
      <w:tr w:rsidR="003A71DE" w:rsidRPr="00C40E91" w14:paraId="1295CCCD" w14:textId="77777777" w:rsidTr="003A71DE">
        <w:trPr>
          <w:cantSplit/>
          <w:trHeight w:val="187"/>
          <w:jc w:val="center"/>
        </w:trPr>
        <w:tc>
          <w:tcPr>
            <w:tcW w:w="3681" w:type="dxa"/>
            <w:gridSpan w:val="2"/>
            <w:tcBorders>
              <w:top w:val="nil"/>
              <w:left w:val="single" w:sz="4" w:space="0" w:color="auto"/>
              <w:bottom w:val="single" w:sz="4" w:space="0" w:color="auto"/>
              <w:right w:val="single" w:sz="4" w:space="0" w:color="auto"/>
            </w:tcBorders>
            <w:shd w:val="clear" w:color="auto" w:fill="auto"/>
          </w:tcPr>
          <w:p w14:paraId="71EFACBE" w14:textId="77777777" w:rsidR="003A71DE" w:rsidRPr="00C40E91" w:rsidRDefault="003A71DE" w:rsidP="00A40F90">
            <w:pPr>
              <w:pStyle w:val="TAH"/>
            </w:pPr>
          </w:p>
        </w:tc>
        <w:tc>
          <w:tcPr>
            <w:tcW w:w="850" w:type="dxa"/>
            <w:tcBorders>
              <w:top w:val="nil"/>
              <w:left w:val="single" w:sz="4" w:space="0" w:color="auto"/>
              <w:bottom w:val="single" w:sz="4" w:space="0" w:color="auto"/>
              <w:right w:val="single" w:sz="4" w:space="0" w:color="auto"/>
            </w:tcBorders>
            <w:shd w:val="clear" w:color="auto" w:fill="auto"/>
          </w:tcPr>
          <w:p w14:paraId="12C2EB90" w14:textId="77777777" w:rsidR="003A71DE" w:rsidRPr="00C40E91" w:rsidRDefault="003A71DE" w:rsidP="00A40F90">
            <w:pPr>
              <w:pStyle w:val="TAH"/>
            </w:pPr>
          </w:p>
        </w:tc>
        <w:tc>
          <w:tcPr>
            <w:tcW w:w="879" w:type="dxa"/>
            <w:tcBorders>
              <w:top w:val="single" w:sz="4" w:space="0" w:color="auto"/>
              <w:left w:val="single" w:sz="4" w:space="0" w:color="auto"/>
              <w:bottom w:val="single" w:sz="4" w:space="0" w:color="auto"/>
              <w:right w:val="single" w:sz="4" w:space="0" w:color="auto"/>
            </w:tcBorders>
          </w:tcPr>
          <w:p w14:paraId="5AD3B493" w14:textId="77777777" w:rsidR="003A71DE" w:rsidRPr="00C40E91" w:rsidRDefault="003A71DE" w:rsidP="00A40F90">
            <w:pPr>
              <w:pStyle w:val="TAH"/>
            </w:pPr>
            <w:r w:rsidRPr="00C40E91">
              <w:t>T1</w:t>
            </w:r>
          </w:p>
        </w:tc>
        <w:tc>
          <w:tcPr>
            <w:tcW w:w="879" w:type="dxa"/>
            <w:tcBorders>
              <w:top w:val="single" w:sz="4" w:space="0" w:color="auto"/>
              <w:left w:val="single" w:sz="4" w:space="0" w:color="auto"/>
              <w:bottom w:val="single" w:sz="4" w:space="0" w:color="auto"/>
              <w:right w:val="single" w:sz="4" w:space="0" w:color="auto"/>
            </w:tcBorders>
          </w:tcPr>
          <w:p w14:paraId="06C34D43" w14:textId="77777777" w:rsidR="003A71DE" w:rsidRPr="00C40E91" w:rsidRDefault="003A71DE" w:rsidP="00A40F90">
            <w:pPr>
              <w:pStyle w:val="TAH"/>
            </w:pPr>
            <w:r w:rsidRPr="00C40E91">
              <w:t>T2</w:t>
            </w:r>
          </w:p>
        </w:tc>
        <w:tc>
          <w:tcPr>
            <w:tcW w:w="879" w:type="dxa"/>
            <w:tcBorders>
              <w:top w:val="single" w:sz="4" w:space="0" w:color="auto"/>
              <w:left w:val="single" w:sz="4" w:space="0" w:color="auto"/>
              <w:bottom w:val="single" w:sz="4" w:space="0" w:color="auto"/>
              <w:right w:val="single" w:sz="4" w:space="0" w:color="auto"/>
            </w:tcBorders>
          </w:tcPr>
          <w:p w14:paraId="0D77BF5C" w14:textId="77777777" w:rsidR="003A71DE" w:rsidRPr="00C40E91" w:rsidRDefault="003A71DE" w:rsidP="00A40F90">
            <w:pPr>
              <w:pStyle w:val="TAH"/>
            </w:pPr>
            <w:r w:rsidRPr="00C40E91">
              <w:t>T3</w:t>
            </w:r>
          </w:p>
        </w:tc>
        <w:tc>
          <w:tcPr>
            <w:tcW w:w="879" w:type="dxa"/>
            <w:tcBorders>
              <w:top w:val="single" w:sz="4" w:space="0" w:color="auto"/>
              <w:left w:val="single" w:sz="4" w:space="0" w:color="auto"/>
              <w:bottom w:val="single" w:sz="4" w:space="0" w:color="auto"/>
              <w:right w:val="single" w:sz="4" w:space="0" w:color="auto"/>
            </w:tcBorders>
          </w:tcPr>
          <w:p w14:paraId="45F4F2DB" w14:textId="77777777" w:rsidR="003A71DE" w:rsidRPr="00C40E91" w:rsidRDefault="003A71DE" w:rsidP="00A40F90">
            <w:pPr>
              <w:pStyle w:val="TAH"/>
            </w:pPr>
            <w:r w:rsidRPr="00C40E91">
              <w:t>T4</w:t>
            </w:r>
          </w:p>
        </w:tc>
        <w:tc>
          <w:tcPr>
            <w:tcW w:w="879" w:type="dxa"/>
            <w:tcBorders>
              <w:top w:val="single" w:sz="4" w:space="0" w:color="auto"/>
              <w:left w:val="single" w:sz="4" w:space="0" w:color="auto"/>
              <w:bottom w:val="single" w:sz="4" w:space="0" w:color="auto"/>
              <w:right w:val="single" w:sz="4" w:space="0" w:color="auto"/>
            </w:tcBorders>
          </w:tcPr>
          <w:p w14:paraId="61158B81" w14:textId="77777777" w:rsidR="003A71DE" w:rsidRPr="00C40E91" w:rsidRDefault="003A71DE" w:rsidP="00A40F90">
            <w:pPr>
              <w:pStyle w:val="TAH"/>
            </w:pPr>
            <w:r w:rsidRPr="00C40E91">
              <w:t>T5</w:t>
            </w:r>
          </w:p>
        </w:tc>
      </w:tr>
      <w:tr w:rsidR="003A71DE" w:rsidRPr="00C40E91" w14:paraId="34A7ACC9"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17DE8E65"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PDCCH DMRS to SSS</w:t>
            </w:r>
          </w:p>
        </w:tc>
        <w:tc>
          <w:tcPr>
            <w:tcW w:w="850" w:type="dxa"/>
            <w:tcBorders>
              <w:top w:val="single" w:sz="4" w:space="0" w:color="auto"/>
              <w:left w:val="single" w:sz="4" w:space="0" w:color="auto"/>
              <w:bottom w:val="single" w:sz="4" w:space="0" w:color="auto"/>
              <w:right w:val="single" w:sz="4" w:space="0" w:color="auto"/>
            </w:tcBorders>
          </w:tcPr>
          <w:p w14:paraId="50097BD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single" w:sz="4" w:space="0" w:color="auto"/>
              <w:left w:val="single" w:sz="4" w:space="0" w:color="auto"/>
              <w:bottom w:val="nil"/>
              <w:right w:val="single" w:sz="4" w:space="0" w:color="auto"/>
            </w:tcBorders>
            <w:shd w:val="clear" w:color="auto" w:fill="auto"/>
          </w:tcPr>
          <w:p w14:paraId="16E0444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0</w:t>
            </w:r>
          </w:p>
        </w:tc>
      </w:tr>
      <w:tr w:rsidR="003A71DE" w:rsidRPr="00C40E91" w14:paraId="16E968BB"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1F9C6AD2"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PDCCH to PDCCH DMRS</w:t>
            </w:r>
          </w:p>
        </w:tc>
        <w:tc>
          <w:tcPr>
            <w:tcW w:w="850" w:type="dxa"/>
            <w:tcBorders>
              <w:top w:val="single" w:sz="4" w:space="0" w:color="auto"/>
              <w:left w:val="single" w:sz="4" w:space="0" w:color="auto"/>
              <w:bottom w:val="single" w:sz="4" w:space="0" w:color="auto"/>
              <w:right w:val="single" w:sz="4" w:space="0" w:color="auto"/>
            </w:tcBorders>
          </w:tcPr>
          <w:p w14:paraId="4EBABEEC"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6D3B4C42"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039C43D"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13637F0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PBCH DMRS to SSS</w:t>
            </w:r>
          </w:p>
        </w:tc>
        <w:tc>
          <w:tcPr>
            <w:tcW w:w="850" w:type="dxa"/>
            <w:tcBorders>
              <w:top w:val="single" w:sz="4" w:space="0" w:color="auto"/>
              <w:left w:val="single" w:sz="4" w:space="0" w:color="auto"/>
              <w:bottom w:val="single" w:sz="4" w:space="0" w:color="auto"/>
              <w:right w:val="single" w:sz="4" w:space="0" w:color="auto"/>
            </w:tcBorders>
          </w:tcPr>
          <w:p w14:paraId="6B0C6EF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570970D0"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0346BD9"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632A287B"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PBCH to PBCH DMRS</w:t>
            </w:r>
          </w:p>
        </w:tc>
        <w:tc>
          <w:tcPr>
            <w:tcW w:w="850" w:type="dxa"/>
            <w:tcBorders>
              <w:top w:val="single" w:sz="4" w:space="0" w:color="auto"/>
              <w:left w:val="single" w:sz="4" w:space="0" w:color="auto"/>
              <w:bottom w:val="single" w:sz="4" w:space="0" w:color="auto"/>
              <w:right w:val="single" w:sz="4" w:space="0" w:color="auto"/>
            </w:tcBorders>
          </w:tcPr>
          <w:p w14:paraId="635FEC18"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71F146C2"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4859CE60"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061A48EA"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PSS to SSS</w:t>
            </w:r>
          </w:p>
        </w:tc>
        <w:tc>
          <w:tcPr>
            <w:tcW w:w="850" w:type="dxa"/>
            <w:tcBorders>
              <w:top w:val="single" w:sz="4" w:space="0" w:color="auto"/>
              <w:left w:val="single" w:sz="4" w:space="0" w:color="auto"/>
              <w:bottom w:val="single" w:sz="4" w:space="0" w:color="auto"/>
              <w:right w:val="single" w:sz="4" w:space="0" w:color="auto"/>
            </w:tcBorders>
          </w:tcPr>
          <w:p w14:paraId="396BEDC2"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7C8D0084"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56E74363"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384F0D9F"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 xml:space="preserve">EPRE ratio of PDSCH DMRS to SSS </w:t>
            </w:r>
          </w:p>
        </w:tc>
        <w:tc>
          <w:tcPr>
            <w:tcW w:w="850" w:type="dxa"/>
            <w:tcBorders>
              <w:top w:val="single" w:sz="4" w:space="0" w:color="auto"/>
              <w:left w:val="single" w:sz="4" w:space="0" w:color="auto"/>
              <w:bottom w:val="single" w:sz="4" w:space="0" w:color="auto"/>
              <w:right w:val="single" w:sz="4" w:space="0" w:color="auto"/>
            </w:tcBorders>
          </w:tcPr>
          <w:p w14:paraId="4BCA50F2"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2B9038FE"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19894C25"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01110203"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PDSCH to PDSCH DMRS</w:t>
            </w:r>
          </w:p>
        </w:tc>
        <w:tc>
          <w:tcPr>
            <w:tcW w:w="850" w:type="dxa"/>
            <w:tcBorders>
              <w:top w:val="single" w:sz="4" w:space="0" w:color="auto"/>
              <w:left w:val="single" w:sz="4" w:space="0" w:color="auto"/>
              <w:bottom w:val="single" w:sz="4" w:space="0" w:color="auto"/>
              <w:right w:val="single" w:sz="4" w:space="0" w:color="auto"/>
            </w:tcBorders>
          </w:tcPr>
          <w:p w14:paraId="0486E6C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4650819D"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249301F9"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433AF571"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OCNG DMRS to SSS</w:t>
            </w:r>
          </w:p>
        </w:tc>
        <w:tc>
          <w:tcPr>
            <w:tcW w:w="850" w:type="dxa"/>
            <w:tcBorders>
              <w:top w:val="single" w:sz="4" w:space="0" w:color="auto"/>
              <w:left w:val="single" w:sz="4" w:space="0" w:color="auto"/>
              <w:bottom w:val="single" w:sz="4" w:space="0" w:color="auto"/>
              <w:right w:val="single" w:sz="4" w:space="0" w:color="auto"/>
            </w:tcBorders>
          </w:tcPr>
          <w:p w14:paraId="47E6CD43"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nil"/>
              <w:right w:val="single" w:sz="4" w:space="0" w:color="auto"/>
            </w:tcBorders>
            <w:shd w:val="clear" w:color="auto" w:fill="auto"/>
          </w:tcPr>
          <w:p w14:paraId="7C5D5BAD"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721866DD"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36BF6654" w14:textId="77777777" w:rsidR="003A71DE" w:rsidRPr="00C40E91" w:rsidRDefault="003A71DE" w:rsidP="003A71DE">
            <w:pPr>
              <w:keepNext/>
              <w:keepLines/>
              <w:spacing w:after="0" w:line="259" w:lineRule="auto"/>
              <w:rPr>
                <w:rFonts w:ascii="Arial" w:hAnsi="Arial"/>
                <w:sz w:val="18"/>
              </w:rPr>
            </w:pPr>
            <w:r w:rsidRPr="00C40E91">
              <w:rPr>
                <w:rFonts w:ascii="Arial" w:hAnsi="Arial"/>
                <w:sz w:val="18"/>
                <w:lang w:eastAsia="ja-JP"/>
              </w:rPr>
              <w:t>EPRE ratio of OCNG to OCNG DMRS</w:t>
            </w:r>
          </w:p>
        </w:tc>
        <w:tc>
          <w:tcPr>
            <w:tcW w:w="850" w:type="dxa"/>
            <w:tcBorders>
              <w:top w:val="single" w:sz="4" w:space="0" w:color="auto"/>
              <w:left w:val="single" w:sz="4" w:space="0" w:color="auto"/>
              <w:bottom w:val="single" w:sz="4" w:space="0" w:color="auto"/>
              <w:right w:val="single" w:sz="4" w:space="0" w:color="auto"/>
            </w:tcBorders>
          </w:tcPr>
          <w:p w14:paraId="67C5792F"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4395" w:type="dxa"/>
            <w:gridSpan w:val="5"/>
            <w:tcBorders>
              <w:top w:val="nil"/>
              <w:left w:val="single" w:sz="4" w:space="0" w:color="auto"/>
              <w:bottom w:val="single" w:sz="4" w:space="0" w:color="auto"/>
              <w:right w:val="single" w:sz="4" w:space="0" w:color="auto"/>
            </w:tcBorders>
            <w:shd w:val="clear" w:color="auto" w:fill="auto"/>
          </w:tcPr>
          <w:p w14:paraId="1DC6E3A8" w14:textId="77777777" w:rsidR="003A71DE" w:rsidRPr="00C40E91" w:rsidRDefault="003A71DE" w:rsidP="003A71DE">
            <w:pPr>
              <w:keepNext/>
              <w:keepLines/>
              <w:spacing w:after="0" w:line="259" w:lineRule="auto"/>
              <w:jc w:val="center"/>
              <w:rPr>
                <w:rFonts w:ascii="Arial" w:hAnsi="Arial"/>
                <w:sz w:val="18"/>
              </w:rPr>
            </w:pPr>
          </w:p>
        </w:tc>
      </w:tr>
      <w:tr w:rsidR="003A71DE" w:rsidRPr="00C40E91" w14:paraId="36BF80E8" w14:textId="77777777" w:rsidTr="003A71DE">
        <w:trPr>
          <w:cantSplit/>
          <w:trHeight w:val="187"/>
          <w:jc w:val="center"/>
        </w:trPr>
        <w:tc>
          <w:tcPr>
            <w:tcW w:w="1696" w:type="dxa"/>
            <w:tcBorders>
              <w:top w:val="nil"/>
              <w:left w:val="single" w:sz="4" w:space="0" w:color="auto"/>
              <w:bottom w:val="nil"/>
              <w:right w:val="single" w:sz="4" w:space="0" w:color="auto"/>
            </w:tcBorders>
            <w:shd w:val="clear" w:color="auto" w:fill="auto"/>
          </w:tcPr>
          <w:p w14:paraId="2D2F2D63" w14:textId="77777777" w:rsidR="003A71DE" w:rsidRPr="00C40E91" w:rsidRDefault="003A71DE" w:rsidP="003A71DE">
            <w:pPr>
              <w:keepNext/>
              <w:keepLines/>
              <w:spacing w:after="0" w:line="259" w:lineRule="auto"/>
              <w:rPr>
                <w:rFonts w:ascii="Arial" w:hAnsi="Arial"/>
                <w:sz w:val="18"/>
              </w:rPr>
            </w:pPr>
            <w:r w:rsidRPr="00C40E91">
              <w:rPr>
                <w:rFonts w:ascii="Arial" w:eastAsia="?? ??" w:hAnsi="Arial"/>
                <w:sz w:val="18"/>
              </w:rPr>
              <w:t xml:space="preserve">SNR_CSI-RS of </w:t>
            </w:r>
            <w:r w:rsidRPr="00C40E91">
              <w:rPr>
                <w:rFonts w:ascii="Arial" w:hAnsi="Arial"/>
                <w:sz w:val="18"/>
              </w:rPr>
              <w:t>set q</w:t>
            </w:r>
            <w:r w:rsidRPr="00C40E91">
              <w:rPr>
                <w:rFonts w:ascii="Arial" w:hAnsi="Arial"/>
                <w:sz w:val="18"/>
                <w:vertAlign w:val="subscript"/>
              </w:rPr>
              <w:t>0</w:t>
            </w:r>
          </w:p>
        </w:tc>
        <w:tc>
          <w:tcPr>
            <w:tcW w:w="1985" w:type="dxa"/>
            <w:tcBorders>
              <w:top w:val="single" w:sz="4" w:space="0" w:color="auto"/>
              <w:left w:val="single" w:sz="4" w:space="0" w:color="auto"/>
              <w:bottom w:val="single" w:sz="4" w:space="0" w:color="auto"/>
              <w:right w:val="single" w:sz="4" w:space="0" w:color="auto"/>
            </w:tcBorders>
          </w:tcPr>
          <w:p w14:paraId="05ED079C"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71499A93"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879" w:type="dxa"/>
            <w:tcBorders>
              <w:top w:val="single" w:sz="4" w:space="0" w:color="auto"/>
              <w:left w:val="single" w:sz="4" w:space="0" w:color="auto"/>
              <w:bottom w:val="single" w:sz="4" w:space="0" w:color="auto"/>
              <w:right w:val="single" w:sz="4" w:space="0" w:color="auto"/>
            </w:tcBorders>
          </w:tcPr>
          <w:p w14:paraId="2FBBEE5E"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5</w:t>
            </w:r>
          </w:p>
        </w:tc>
        <w:tc>
          <w:tcPr>
            <w:tcW w:w="879" w:type="dxa"/>
            <w:tcBorders>
              <w:top w:val="single" w:sz="4" w:space="0" w:color="auto"/>
              <w:left w:val="single" w:sz="4" w:space="0" w:color="auto"/>
              <w:bottom w:val="single" w:sz="4" w:space="0" w:color="auto"/>
              <w:right w:val="single" w:sz="4" w:space="0" w:color="auto"/>
            </w:tcBorders>
          </w:tcPr>
          <w:p w14:paraId="57B45474"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-3</w:t>
            </w:r>
          </w:p>
        </w:tc>
        <w:tc>
          <w:tcPr>
            <w:tcW w:w="879" w:type="dxa"/>
            <w:tcBorders>
              <w:top w:val="single" w:sz="4" w:space="0" w:color="auto"/>
              <w:left w:val="single" w:sz="4" w:space="0" w:color="auto"/>
              <w:bottom w:val="single" w:sz="4" w:space="0" w:color="auto"/>
              <w:right w:val="single" w:sz="4" w:space="0" w:color="auto"/>
            </w:tcBorders>
          </w:tcPr>
          <w:p w14:paraId="3C18CAD8"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1E2A9F1B"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64269218"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-12</w:t>
            </w:r>
          </w:p>
        </w:tc>
      </w:tr>
      <w:tr w:rsidR="003A71DE" w:rsidRPr="00C40E91" w14:paraId="52D9223A" w14:textId="77777777" w:rsidTr="003A71DE">
        <w:trPr>
          <w:cantSplit/>
          <w:trHeight w:val="187"/>
          <w:jc w:val="center"/>
        </w:trPr>
        <w:tc>
          <w:tcPr>
            <w:tcW w:w="1696" w:type="dxa"/>
            <w:tcBorders>
              <w:top w:val="nil"/>
              <w:left w:val="single" w:sz="4" w:space="0" w:color="auto"/>
              <w:bottom w:val="single" w:sz="4" w:space="0" w:color="auto"/>
              <w:right w:val="single" w:sz="4" w:space="0" w:color="auto"/>
            </w:tcBorders>
            <w:shd w:val="clear" w:color="auto" w:fill="auto"/>
          </w:tcPr>
          <w:p w14:paraId="6BC1041E" w14:textId="77777777" w:rsidR="003A71DE" w:rsidRPr="00C40E91" w:rsidRDefault="003A71DE" w:rsidP="003A71DE">
            <w:pPr>
              <w:keepNext/>
              <w:keepLines/>
              <w:spacing w:after="0" w:line="259" w:lineRule="auto"/>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tcPr>
          <w:p w14:paraId="66C7E9CF"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1E618E3B" w14:textId="77777777" w:rsidR="003A71DE" w:rsidRPr="00C40E91" w:rsidRDefault="003A71DE" w:rsidP="003A71DE">
            <w:pPr>
              <w:keepNext/>
              <w:keepLines/>
              <w:spacing w:after="0" w:line="259" w:lineRule="auto"/>
              <w:jc w:val="center"/>
              <w:rPr>
                <w:rFonts w:ascii="Arial" w:hAnsi="Arial"/>
                <w:sz w:val="18"/>
              </w:rPr>
            </w:pPr>
          </w:p>
        </w:tc>
        <w:tc>
          <w:tcPr>
            <w:tcW w:w="879" w:type="dxa"/>
            <w:tcBorders>
              <w:top w:val="single" w:sz="4" w:space="0" w:color="auto"/>
              <w:left w:val="single" w:sz="4" w:space="0" w:color="auto"/>
              <w:bottom w:val="single" w:sz="4" w:space="0" w:color="auto"/>
              <w:right w:val="single" w:sz="4" w:space="0" w:color="auto"/>
            </w:tcBorders>
          </w:tcPr>
          <w:p w14:paraId="1F9A33B8"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5</w:t>
            </w:r>
          </w:p>
        </w:tc>
        <w:tc>
          <w:tcPr>
            <w:tcW w:w="879" w:type="dxa"/>
            <w:tcBorders>
              <w:top w:val="single" w:sz="4" w:space="0" w:color="auto"/>
              <w:left w:val="single" w:sz="4" w:space="0" w:color="auto"/>
              <w:bottom w:val="single" w:sz="4" w:space="0" w:color="auto"/>
              <w:right w:val="single" w:sz="4" w:space="0" w:color="auto"/>
            </w:tcBorders>
          </w:tcPr>
          <w:p w14:paraId="79BEDBDA"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-3</w:t>
            </w:r>
          </w:p>
        </w:tc>
        <w:tc>
          <w:tcPr>
            <w:tcW w:w="879" w:type="dxa"/>
            <w:tcBorders>
              <w:top w:val="single" w:sz="4" w:space="0" w:color="auto"/>
              <w:left w:val="single" w:sz="4" w:space="0" w:color="auto"/>
              <w:bottom w:val="single" w:sz="4" w:space="0" w:color="auto"/>
              <w:right w:val="single" w:sz="4" w:space="0" w:color="auto"/>
            </w:tcBorders>
          </w:tcPr>
          <w:p w14:paraId="2A053B60"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25C38B0C"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59BA158A"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-12</w:t>
            </w:r>
          </w:p>
        </w:tc>
      </w:tr>
      <w:tr w:rsidR="003A71DE" w:rsidRPr="00C40E91" w14:paraId="60BD0BA0" w14:textId="77777777" w:rsidTr="003A71DE">
        <w:trPr>
          <w:cantSplit/>
          <w:trHeight w:val="187"/>
          <w:jc w:val="center"/>
        </w:trPr>
        <w:tc>
          <w:tcPr>
            <w:tcW w:w="1696" w:type="dxa"/>
            <w:tcBorders>
              <w:top w:val="nil"/>
              <w:left w:val="single" w:sz="4" w:space="0" w:color="auto"/>
              <w:bottom w:val="nil"/>
              <w:right w:val="single" w:sz="4" w:space="0" w:color="auto"/>
            </w:tcBorders>
            <w:shd w:val="clear" w:color="auto" w:fill="auto"/>
          </w:tcPr>
          <w:p w14:paraId="6F02F5C4" w14:textId="77777777" w:rsidR="003A71DE" w:rsidRPr="00C40E91" w:rsidRDefault="003A71DE" w:rsidP="003A71DE">
            <w:pPr>
              <w:keepNext/>
              <w:keepLines/>
              <w:spacing w:after="0" w:line="259" w:lineRule="auto"/>
              <w:rPr>
                <w:rFonts w:ascii="Arial" w:hAnsi="Arial"/>
                <w:sz w:val="18"/>
              </w:rPr>
            </w:pPr>
            <w:r w:rsidRPr="00C40E91">
              <w:rPr>
                <w:rFonts w:ascii="Arial" w:eastAsia="?? ??" w:hAnsi="Arial"/>
                <w:sz w:val="18"/>
              </w:rPr>
              <w:t>SNR_CSI-RS</w:t>
            </w:r>
            <w:r w:rsidRPr="00C40E91">
              <w:rPr>
                <w:rFonts w:ascii="Arial" w:hAnsi="Arial"/>
                <w:sz w:val="18"/>
              </w:rPr>
              <w:t xml:space="preserve"> of set q</w:t>
            </w:r>
            <w:r w:rsidRPr="00C40E91">
              <w:rPr>
                <w:rFonts w:ascii="Arial" w:hAnsi="Arial"/>
                <w:sz w:val="18"/>
                <w:vertAlign w:val="subscript"/>
              </w:rPr>
              <w:t>1</w:t>
            </w:r>
          </w:p>
        </w:tc>
        <w:tc>
          <w:tcPr>
            <w:tcW w:w="1985" w:type="dxa"/>
            <w:tcBorders>
              <w:top w:val="single" w:sz="4" w:space="0" w:color="auto"/>
              <w:left w:val="single" w:sz="4" w:space="0" w:color="auto"/>
              <w:bottom w:val="single" w:sz="4" w:space="0" w:color="auto"/>
              <w:right w:val="single" w:sz="4" w:space="0" w:color="auto"/>
            </w:tcBorders>
          </w:tcPr>
          <w:p w14:paraId="5F9B5337"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64D45E4A"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w:t>
            </w:r>
          </w:p>
        </w:tc>
        <w:tc>
          <w:tcPr>
            <w:tcW w:w="879" w:type="dxa"/>
            <w:tcBorders>
              <w:top w:val="single" w:sz="4" w:space="0" w:color="auto"/>
              <w:left w:val="single" w:sz="4" w:space="0" w:color="auto"/>
              <w:bottom w:val="single" w:sz="4" w:space="0" w:color="auto"/>
              <w:right w:val="single" w:sz="4" w:space="0" w:color="auto"/>
            </w:tcBorders>
          </w:tcPr>
          <w:p w14:paraId="423219A5"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170EA3D7"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27B01ADE"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2A036D1F"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607E1A1F"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10</w:t>
            </w:r>
          </w:p>
        </w:tc>
      </w:tr>
      <w:tr w:rsidR="003A71DE" w:rsidRPr="00C40E91" w14:paraId="29163EAB" w14:textId="77777777" w:rsidTr="003A71DE">
        <w:trPr>
          <w:cantSplit/>
          <w:trHeight w:val="187"/>
          <w:jc w:val="center"/>
        </w:trPr>
        <w:tc>
          <w:tcPr>
            <w:tcW w:w="1696" w:type="dxa"/>
            <w:tcBorders>
              <w:top w:val="nil"/>
              <w:left w:val="single" w:sz="4" w:space="0" w:color="auto"/>
              <w:bottom w:val="single" w:sz="4" w:space="0" w:color="auto"/>
              <w:right w:val="single" w:sz="4" w:space="0" w:color="auto"/>
            </w:tcBorders>
            <w:shd w:val="clear" w:color="auto" w:fill="auto"/>
          </w:tcPr>
          <w:p w14:paraId="4F73D656" w14:textId="77777777" w:rsidR="003A71DE" w:rsidRPr="00C40E91" w:rsidRDefault="003A71DE" w:rsidP="003A71DE">
            <w:pPr>
              <w:keepNext/>
              <w:keepLines/>
              <w:spacing w:after="0" w:line="259" w:lineRule="auto"/>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tcPr>
          <w:p w14:paraId="29F27996"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562F28E3" w14:textId="77777777" w:rsidR="003A71DE" w:rsidRPr="00C40E91" w:rsidRDefault="003A71DE" w:rsidP="003A71DE">
            <w:pPr>
              <w:keepNext/>
              <w:keepLines/>
              <w:spacing w:after="0" w:line="259" w:lineRule="auto"/>
              <w:jc w:val="center"/>
              <w:rPr>
                <w:rFonts w:ascii="Arial" w:hAnsi="Arial"/>
                <w:sz w:val="18"/>
              </w:rPr>
            </w:pPr>
          </w:p>
        </w:tc>
        <w:tc>
          <w:tcPr>
            <w:tcW w:w="879" w:type="dxa"/>
            <w:tcBorders>
              <w:top w:val="single" w:sz="4" w:space="0" w:color="auto"/>
              <w:left w:val="single" w:sz="4" w:space="0" w:color="auto"/>
              <w:bottom w:val="single" w:sz="4" w:space="0" w:color="auto"/>
              <w:right w:val="single" w:sz="4" w:space="0" w:color="auto"/>
            </w:tcBorders>
          </w:tcPr>
          <w:p w14:paraId="6A406B8C"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446AC6F4"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4F5F6A76"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1A841952"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10</w:t>
            </w:r>
          </w:p>
        </w:tc>
        <w:tc>
          <w:tcPr>
            <w:tcW w:w="879" w:type="dxa"/>
            <w:tcBorders>
              <w:top w:val="single" w:sz="4" w:space="0" w:color="auto"/>
              <w:left w:val="single" w:sz="4" w:space="0" w:color="auto"/>
              <w:bottom w:val="single" w:sz="4" w:space="0" w:color="auto"/>
              <w:right w:val="single" w:sz="4" w:space="0" w:color="auto"/>
            </w:tcBorders>
          </w:tcPr>
          <w:p w14:paraId="58CC1A35" w14:textId="77777777" w:rsidR="003A71DE" w:rsidRPr="00C40E91" w:rsidRDefault="003A71DE" w:rsidP="003A71DE">
            <w:pPr>
              <w:keepNext/>
              <w:keepLines/>
              <w:spacing w:after="0" w:line="259" w:lineRule="auto"/>
              <w:jc w:val="center"/>
              <w:rPr>
                <w:rFonts w:ascii="Arial" w:hAnsi="Arial"/>
                <w:sz w:val="18"/>
              </w:rPr>
            </w:pPr>
            <w:r w:rsidRPr="00C40E91">
              <w:rPr>
                <w:rFonts w:ascii="Arial" w:eastAsia="MS Mincho" w:hAnsi="Arial"/>
                <w:sz w:val="18"/>
              </w:rPr>
              <w:t>10</w:t>
            </w:r>
          </w:p>
        </w:tc>
      </w:tr>
      <w:tr w:rsidR="003A71DE" w:rsidRPr="00C40E91" w14:paraId="2D502F61" w14:textId="77777777" w:rsidTr="003A71DE">
        <w:trPr>
          <w:cantSplit/>
          <w:trHeight w:val="187"/>
          <w:jc w:val="center"/>
        </w:trPr>
        <w:tc>
          <w:tcPr>
            <w:tcW w:w="1696" w:type="dxa"/>
            <w:tcBorders>
              <w:top w:val="nil"/>
              <w:left w:val="single" w:sz="4" w:space="0" w:color="auto"/>
              <w:bottom w:val="nil"/>
              <w:right w:val="single" w:sz="4" w:space="0" w:color="auto"/>
            </w:tcBorders>
            <w:shd w:val="clear" w:color="auto" w:fill="auto"/>
          </w:tcPr>
          <w:p w14:paraId="556EF0AC" w14:textId="77777777" w:rsidR="003A71DE" w:rsidRPr="00C40E91" w:rsidRDefault="003A71DE" w:rsidP="003A71DE">
            <w:pPr>
              <w:keepNext/>
              <w:keepLines/>
              <w:spacing w:after="0" w:line="259" w:lineRule="auto"/>
              <w:rPr>
                <w:rFonts w:ascii="Arial" w:hAnsi="Arial"/>
                <w:sz w:val="18"/>
              </w:rPr>
            </w:pPr>
            <w:r w:rsidRPr="00C40E91">
              <w:rPr>
                <w:rFonts w:ascii="Arial" w:eastAsia="?? ??" w:hAnsi="Arial"/>
                <w:sz w:val="18"/>
              </w:rPr>
              <w:t>CSI-RS_RP</w:t>
            </w:r>
            <w:r w:rsidRPr="00C40E91">
              <w:rPr>
                <w:rFonts w:ascii="Arial" w:hAnsi="Arial"/>
                <w:sz w:val="18"/>
              </w:rPr>
              <w:t xml:space="preserve"> of set q</w:t>
            </w:r>
            <w:r w:rsidRPr="00C40E91">
              <w:rPr>
                <w:rFonts w:ascii="Arial" w:hAnsi="Arial"/>
                <w:sz w:val="18"/>
                <w:vertAlign w:val="subscript"/>
              </w:rPr>
              <w:t>1</w:t>
            </w:r>
          </w:p>
        </w:tc>
        <w:tc>
          <w:tcPr>
            <w:tcW w:w="1985" w:type="dxa"/>
            <w:tcBorders>
              <w:top w:val="single" w:sz="4" w:space="0" w:color="auto"/>
              <w:left w:val="single" w:sz="4" w:space="0" w:color="auto"/>
              <w:bottom w:val="single" w:sz="4" w:space="0" w:color="auto"/>
              <w:right w:val="single" w:sz="4" w:space="0" w:color="auto"/>
            </w:tcBorders>
          </w:tcPr>
          <w:p w14:paraId="1C13EC6D"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4361C15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dBm/SCS kHz</w:t>
            </w:r>
          </w:p>
        </w:tc>
        <w:tc>
          <w:tcPr>
            <w:tcW w:w="879" w:type="dxa"/>
            <w:tcBorders>
              <w:top w:val="single" w:sz="4" w:space="0" w:color="auto"/>
              <w:left w:val="single" w:sz="4" w:space="0" w:color="auto"/>
              <w:bottom w:val="single" w:sz="4" w:space="0" w:color="auto"/>
              <w:right w:val="single" w:sz="4" w:space="0" w:color="auto"/>
            </w:tcBorders>
          </w:tcPr>
          <w:p w14:paraId="1842820B"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-108</w:t>
            </w:r>
          </w:p>
        </w:tc>
        <w:tc>
          <w:tcPr>
            <w:tcW w:w="879" w:type="dxa"/>
            <w:tcBorders>
              <w:top w:val="single" w:sz="4" w:space="0" w:color="auto"/>
              <w:left w:val="single" w:sz="4" w:space="0" w:color="auto"/>
              <w:bottom w:val="single" w:sz="4" w:space="0" w:color="auto"/>
              <w:right w:val="single" w:sz="4" w:space="0" w:color="auto"/>
            </w:tcBorders>
          </w:tcPr>
          <w:p w14:paraId="4A83A142"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-108</w:t>
            </w:r>
          </w:p>
        </w:tc>
        <w:tc>
          <w:tcPr>
            <w:tcW w:w="879" w:type="dxa"/>
            <w:tcBorders>
              <w:top w:val="single" w:sz="4" w:space="0" w:color="auto"/>
              <w:left w:val="single" w:sz="4" w:space="0" w:color="auto"/>
              <w:bottom w:val="single" w:sz="4" w:space="0" w:color="auto"/>
              <w:right w:val="single" w:sz="4" w:space="0" w:color="auto"/>
            </w:tcBorders>
          </w:tcPr>
          <w:p w14:paraId="36CE42D5"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-88</w:t>
            </w:r>
          </w:p>
        </w:tc>
        <w:tc>
          <w:tcPr>
            <w:tcW w:w="879" w:type="dxa"/>
            <w:tcBorders>
              <w:top w:val="single" w:sz="4" w:space="0" w:color="auto"/>
              <w:left w:val="single" w:sz="4" w:space="0" w:color="auto"/>
              <w:bottom w:val="single" w:sz="4" w:space="0" w:color="auto"/>
              <w:right w:val="single" w:sz="4" w:space="0" w:color="auto"/>
            </w:tcBorders>
          </w:tcPr>
          <w:p w14:paraId="21E6C7C3"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-88</w:t>
            </w:r>
          </w:p>
        </w:tc>
        <w:tc>
          <w:tcPr>
            <w:tcW w:w="879" w:type="dxa"/>
            <w:tcBorders>
              <w:top w:val="single" w:sz="4" w:space="0" w:color="auto"/>
              <w:left w:val="single" w:sz="4" w:space="0" w:color="auto"/>
              <w:bottom w:val="single" w:sz="4" w:space="0" w:color="auto"/>
              <w:right w:val="single" w:sz="4" w:space="0" w:color="auto"/>
            </w:tcBorders>
          </w:tcPr>
          <w:p w14:paraId="2D8A4A46"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-88</w:t>
            </w:r>
          </w:p>
        </w:tc>
      </w:tr>
      <w:tr w:rsidR="003A71DE" w:rsidRPr="00C40E91" w14:paraId="34C194C5" w14:textId="77777777" w:rsidTr="003A71DE">
        <w:trPr>
          <w:cantSplit/>
          <w:trHeight w:val="187"/>
          <w:jc w:val="center"/>
        </w:trPr>
        <w:tc>
          <w:tcPr>
            <w:tcW w:w="1696" w:type="dxa"/>
            <w:tcBorders>
              <w:top w:val="nil"/>
              <w:left w:val="single" w:sz="4" w:space="0" w:color="auto"/>
              <w:bottom w:val="single" w:sz="4" w:space="0" w:color="auto"/>
              <w:right w:val="single" w:sz="4" w:space="0" w:color="auto"/>
            </w:tcBorders>
            <w:shd w:val="clear" w:color="auto" w:fill="auto"/>
          </w:tcPr>
          <w:p w14:paraId="78366ECE" w14:textId="77777777" w:rsidR="003A71DE" w:rsidRPr="00C40E91" w:rsidRDefault="003A71DE" w:rsidP="003A71DE">
            <w:pPr>
              <w:keepNext/>
              <w:keepLines/>
              <w:spacing w:after="0" w:line="259" w:lineRule="auto"/>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tcPr>
          <w:p w14:paraId="5B45DB7B"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2201E742" w14:textId="77777777" w:rsidR="003A71DE" w:rsidRPr="00C40E91" w:rsidRDefault="003A71DE" w:rsidP="003A71DE">
            <w:pPr>
              <w:keepNext/>
              <w:keepLines/>
              <w:spacing w:after="0" w:line="259" w:lineRule="auto"/>
              <w:jc w:val="center"/>
              <w:rPr>
                <w:rFonts w:ascii="Arial" w:hAnsi="Arial"/>
                <w:sz w:val="18"/>
              </w:rPr>
            </w:pPr>
          </w:p>
        </w:tc>
        <w:tc>
          <w:tcPr>
            <w:tcW w:w="879" w:type="dxa"/>
            <w:tcBorders>
              <w:top w:val="single" w:sz="4" w:space="0" w:color="auto"/>
              <w:left w:val="single" w:sz="4" w:space="0" w:color="auto"/>
              <w:bottom w:val="single" w:sz="4" w:space="0" w:color="auto"/>
              <w:right w:val="single" w:sz="4" w:space="0" w:color="auto"/>
            </w:tcBorders>
          </w:tcPr>
          <w:p w14:paraId="3E11A632"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-105</w:t>
            </w:r>
          </w:p>
        </w:tc>
        <w:tc>
          <w:tcPr>
            <w:tcW w:w="879" w:type="dxa"/>
            <w:tcBorders>
              <w:top w:val="single" w:sz="4" w:space="0" w:color="auto"/>
              <w:left w:val="single" w:sz="4" w:space="0" w:color="auto"/>
              <w:bottom w:val="single" w:sz="4" w:space="0" w:color="auto"/>
              <w:right w:val="single" w:sz="4" w:space="0" w:color="auto"/>
            </w:tcBorders>
          </w:tcPr>
          <w:p w14:paraId="46219020"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-105</w:t>
            </w:r>
          </w:p>
        </w:tc>
        <w:tc>
          <w:tcPr>
            <w:tcW w:w="879" w:type="dxa"/>
            <w:tcBorders>
              <w:top w:val="single" w:sz="4" w:space="0" w:color="auto"/>
              <w:left w:val="single" w:sz="4" w:space="0" w:color="auto"/>
              <w:bottom w:val="single" w:sz="4" w:space="0" w:color="auto"/>
              <w:right w:val="single" w:sz="4" w:space="0" w:color="auto"/>
            </w:tcBorders>
          </w:tcPr>
          <w:p w14:paraId="10A2EBCD"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-85</w:t>
            </w:r>
          </w:p>
        </w:tc>
        <w:tc>
          <w:tcPr>
            <w:tcW w:w="879" w:type="dxa"/>
            <w:tcBorders>
              <w:top w:val="single" w:sz="4" w:space="0" w:color="auto"/>
              <w:left w:val="single" w:sz="4" w:space="0" w:color="auto"/>
              <w:bottom w:val="single" w:sz="4" w:space="0" w:color="auto"/>
              <w:right w:val="single" w:sz="4" w:space="0" w:color="auto"/>
            </w:tcBorders>
          </w:tcPr>
          <w:p w14:paraId="553CD896"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-85</w:t>
            </w:r>
          </w:p>
        </w:tc>
        <w:tc>
          <w:tcPr>
            <w:tcW w:w="879" w:type="dxa"/>
            <w:tcBorders>
              <w:top w:val="single" w:sz="4" w:space="0" w:color="auto"/>
              <w:left w:val="single" w:sz="4" w:space="0" w:color="auto"/>
              <w:bottom w:val="single" w:sz="4" w:space="0" w:color="auto"/>
              <w:right w:val="single" w:sz="4" w:space="0" w:color="auto"/>
            </w:tcBorders>
          </w:tcPr>
          <w:p w14:paraId="1A4DC66A"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-85</w:t>
            </w:r>
          </w:p>
        </w:tc>
      </w:tr>
      <w:tr w:rsidR="003A71DE" w:rsidRPr="00C40E91" w14:paraId="5DEBE57F" w14:textId="77777777" w:rsidTr="003A71DE">
        <w:trPr>
          <w:cantSplit/>
          <w:trHeight w:val="187"/>
          <w:jc w:val="center"/>
        </w:trPr>
        <w:tc>
          <w:tcPr>
            <w:tcW w:w="1696" w:type="dxa"/>
            <w:tcBorders>
              <w:top w:val="nil"/>
              <w:left w:val="single" w:sz="4" w:space="0" w:color="auto"/>
              <w:bottom w:val="nil"/>
              <w:right w:val="single" w:sz="4" w:space="0" w:color="auto"/>
            </w:tcBorders>
            <w:shd w:val="clear" w:color="auto" w:fill="auto"/>
          </w:tcPr>
          <w:p w14:paraId="01750F41" w14:textId="77777777" w:rsidR="003A71DE" w:rsidRPr="00C40E91" w:rsidRDefault="003A71DE" w:rsidP="003A71DE">
            <w:pPr>
              <w:keepNext/>
              <w:keepLines/>
              <w:spacing w:after="0" w:line="259" w:lineRule="auto"/>
              <w:rPr>
                <w:rFonts w:ascii="Arial" w:hAnsi="Arial"/>
                <w:sz w:val="18"/>
              </w:rPr>
            </w:pPr>
            <w:r w:rsidRPr="00C40E91">
              <w:rPr>
                <w:rFonts w:ascii="Arial" w:hAnsi="Arial"/>
                <w:position w:val="-12"/>
                <w:sz w:val="18"/>
              </w:rPr>
              <w:object w:dxaOrig="435" w:dyaOrig="435" w14:anchorId="7D04DD9C">
                <v:shape id="_x0000_i1104" type="#_x0000_t75" style="width:21.6pt;height:21.6pt" o:ole="">
                  <v:imagedata r:id="rId114" o:title=""/>
                </v:shape>
                <o:OLEObject Type="Embed" ProgID="Equation.3" ShapeID="_x0000_i1104" DrawAspect="Content" ObjectID="_1734764484" r:id="rId138"/>
              </w:object>
            </w:r>
          </w:p>
        </w:tc>
        <w:tc>
          <w:tcPr>
            <w:tcW w:w="1985" w:type="dxa"/>
            <w:tcBorders>
              <w:top w:val="single" w:sz="4" w:space="0" w:color="auto"/>
              <w:left w:val="single" w:sz="4" w:space="0" w:color="auto"/>
              <w:bottom w:val="single" w:sz="4" w:space="0" w:color="auto"/>
              <w:right w:val="single" w:sz="4" w:space="0" w:color="auto"/>
            </w:tcBorders>
          </w:tcPr>
          <w:p w14:paraId="02D6E13F"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1</w:t>
            </w:r>
          </w:p>
        </w:tc>
        <w:tc>
          <w:tcPr>
            <w:tcW w:w="850" w:type="dxa"/>
            <w:tcBorders>
              <w:top w:val="nil"/>
              <w:left w:val="single" w:sz="4" w:space="0" w:color="auto"/>
              <w:bottom w:val="nil"/>
              <w:right w:val="single" w:sz="4" w:space="0" w:color="auto"/>
            </w:tcBorders>
            <w:shd w:val="clear" w:color="auto" w:fill="auto"/>
          </w:tcPr>
          <w:p w14:paraId="088BDCF2"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dBm/15 KHz</w:t>
            </w:r>
          </w:p>
        </w:tc>
        <w:tc>
          <w:tcPr>
            <w:tcW w:w="4395" w:type="dxa"/>
            <w:gridSpan w:val="5"/>
            <w:tcBorders>
              <w:top w:val="single" w:sz="4" w:space="0" w:color="auto"/>
              <w:left w:val="single" w:sz="4" w:space="0" w:color="auto"/>
              <w:bottom w:val="single" w:sz="4" w:space="0" w:color="auto"/>
              <w:right w:val="single" w:sz="4" w:space="0" w:color="auto"/>
            </w:tcBorders>
          </w:tcPr>
          <w:p w14:paraId="78A7F195"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-98</w:t>
            </w:r>
          </w:p>
        </w:tc>
      </w:tr>
      <w:tr w:rsidR="003A71DE" w:rsidRPr="00C40E91" w14:paraId="4EA4BA0E" w14:textId="77777777" w:rsidTr="003A71DE">
        <w:trPr>
          <w:cantSplit/>
          <w:trHeight w:val="187"/>
          <w:jc w:val="center"/>
        </w:trPr>
        <w:tc>
          <w:tcPr>
            <w:tcW w:w="1696" w:type="dxa"/>
            <w:tcBorders>
              <w:top w:val="nil"/>
              <w:left w:val="single" w:sz="4" w:space="0" w:color="auto"/>
              <w:bottom w:val="single" w:sz="4" w:space="0" w:color="auto"/>
              <w:right w:val="single" w:sz="4" w:space="0" w:color="auto"/>
            </w:tcBorders>
            <w:shd w:val="clear" w:color="auto" w:fill="auto"/>
          </w:tcPr>
          <w:p w14:paraId="3DD0307F" w14:textId="77777777" w:rsidR="003A71DE" w:rsidRPr="00C40E91" w:rsidRDefault="003A71DE" w:rsidP="003A71DE">
            <w:pPr>
              <w:keepNext/>
              <w:keepLines/>
              <w:spacing w:after="0" w:line="259" w:lineRule="auto"/>
              <w:rPr>
                <w:rFonts w:ascii="Arial" w:hAnsi="Arial"/>
                <w:sz w:val="18"/>
              </w:rPr>
            </w:pPr>
          </w:p>
        </w:tc>
        <w:tc>
          <w:tcPr>
            <w:tcW w:w="1985" w:type="dxa"/>
            <w:tcBorders>
              <w:top w:val="single" w:sz="4" w:space="0" w:color="auto"/>
              <w:left w:val="single" w:sz="4" w:space="0" w:color="auto"/>
              <w:bottom w:val="single" w:sz="4" w:space="0" w:color="auto"/>
              <w:right w:val="single" w:sz="4" w:space="0" w:color="auto"/>
            </w:tcBorders>
          </w:tcPr>
          <w:p w14:paraId="76E15F89" w14:textId="77777777" w:rsidR="003A71DE" w:rsidRPr="00C40E91" w:rsidRDefault="003A71DE" w:rsidP="003A71DE">
            <w:pPr>
              <w:keepNext/>
              <w:keepLines/>
              <w:spacing w:after="0" w:line="259" w:lineRule="auto"/>
              <w:rPr>
                <w:rFonts w:ascii="Arial" w:eastAsia="SimSun" w:hAnsi="Arial"/>
                <w:sz w:val="18"/>
                <w:lang w:eastAsia="zh-CN"/>
              </w:rPr>
            </w:pPr>
            <w:r w:rsidRPr="00C40E91">
              <w:rPr>
                <w:rFonts w:ascii="Arial" w:hAnsi="Arial"/>
                <w:sz w:val="18"/>
              </w:rPr>
              <w:t xml:space="preserve">Config </w:t>
            </w:r>
            <w:r w:rsidRPr="00C40E91">
              <w:rPr>
                <w:rFonts w:ascii="Arial" w:eastAsia="SimSun" w:hAnsi="Arial" w:hint="eastAsia"/>
                <w:sz w:val="18"/>
                <w:lang w:val="en-US" w:eastAsia="zh-CN"/>
              </w:rPr>
              <w:t>2</w:t>
            </w:r>
          </w:p>
        </w:tc>
        <w:tc>
          <w:tcPr>
            <w:tcW w:w="850" w:type="dxa"/>
            <w:tcBorders>
              <w:top w:val="nil"/>
              <w:left w:val="single" w:sz="4" w:space="0" w:color="auto"/>
              <w:bottom w:val="single" w:sz="4" w:space="0" w:color="auto"/>
              <w:right w:val="single" w:sz="4" w:space="0" w:color="auto"/>
            </w:tcBorders>
            <w:shd w:val="clear" w:color="auto" w:fill="auto"/>
          </w:tcPr>
          <w:p w14:paraId="3F1AFE16" w14:textId="77777777" w:rsidR="003A71DE" w:rsidRPr="00C40E91" w:rsidRDefault="003A71DE" w:rsidP="003A71DE">
            <w:pPr>
              <w:keepNext/>
              <w:keepLines/>
              <w:spacing w:after="0" w:line="259" w:lineRule="auto"/>
              <w:jc w:val="center"/>
              <w:rPr>
                <w:rFonts w:ascii="Arial" w:hAnsi="Arial"/>
                <w:sz w:val="18"/>
              </w:rPr>
            </w:pPr>
          </w:p>
        </w:tc>
        <w:tc>
          <w:tcPr>
            <w:tcW w:w="4395" w:type="dxa"/>
            <w:gridSpan w:val="5"/>
            <w:tcBorders>
              <w:top w:val="single" w:sz="4" w:space="0" w:color="auto"/>
              <w:left w:val="single" w:sz="4" w:space="0" w:color="auto"/>
              <w:bottom w:val="single" w:sz="4" w:space="0" w:color="auto"/>
              <w:right w:val="single" w:sz="4" w:space="0" w:color="auto"/>
            </w:tcBorders>
          </w:tcPr>
          <w:p w14:paraId="09925A74" w14:textId="77777777" w:rsidR="003A71DE" w:rsidRPr="00C40E91" w:rsidRDefault="003A71DE" w:rsidP="003A71DE">
            <w:pPr>
              <w:keepNext/>
              <w:keepLines/>
              <w:spacing w:after="0" w:line="259" w:lineRule="auto"/>
              <w:jc w:val="center"/>
              <w:rPr>
                <w:rFonts w:ascii="Arial" w:hAnsi="Arial"/>
                <w:sz w:val="18"/>
              </w:rPr>
            </w:pPr>
            <w:r w:rsidRPr="00C40E91">
              <w:rPr>
                <w:rFonts w:ascii="Arial" w:hAnsi="Arial"/>
                <w:sz w:val="18"/>
              </w:rPr>
              <w:t>-98</w:t>
            </w:r>
          </w:p>
        </w:tc>
      </w:tr>
      <w:tr w:rsidR="003A71DE" w:rsidRPr="00C40E91" w14:paraId="043392E8" w14:textId="77777777" w:rsidTr="003A71DE">
        <w:trPr>
          <w:cantSplit/>
          <w:trHeight w:val="187"/>
          <w:jc w:val="center"/>
        </w:trPr>
        <w:tc>
          <w:tcPr>
            <w:tcW w:w="3681" w:type="dxa"/>
            <w:gridSpan w:val="2"/>
            <w:tcBorders>
              <w:top w:val="single" w:sz="4" w:space="0" w:color="auto"/>
              <w:left w:val="single" w:sz="4" w:space="0" w:color="auto"/>
              <w:bottom w:val="single" w:sz="4" w:space="0" w:color="auto"/>
              <w:right w:val="single" w:sz="4" w:space="0" w:color="auto"/>
            </w:tcBorders>
          </w:tcPr>
          <w:p w14:paraId="2082817B" w14:textId="77777777" w:rsidR="003A71DE" w:rsidRPr="00C40E91" w:rsidRDefault="003A71DE" w:rsidP="003A71DE">
            <w:pPr>
              <w:keepNext/>
              <w:keepLines/>
              <w:spacing w:after="0" w:line="259" w:lineRule="auto"/>
              <w:rPr>
                <w:rFonts w:ascii="Arial" w:hAnsi="Arial"/>
                <w:sz w:val="18"/>
              </w:rPr>
            </w:pPr>
            <w:r w:rsidRPr="00C40E91">
              <w:rPr>
                <w:rFonts w:ascii="Arial" w:eastAsia="?? ??" w:hAnsi="Arial"/>
                <w:sz w:val="18"/>
              </w:rPr>
              <w:t>Propagation condition</w:t>
            </w:r>
          </w:p>
        </w:tc>
        <w:tc>
          <w:tcPr>
            <w:tcW w:w="850" w:type="dxa"/>
            <w:tcBorders>
              <w:top w:val="single" w:sz="4" w:space="0" w:color="auto"/>
              <w:left w:val="single" w:sz="4" w:space="0" w:color="auto"/>
              <w:bottom w:val="single" w:sz="4" w:space="0" w:color="auto"/>
              <w:right w:val="single" w:sz="4" w:space="0" w:color="auto"/>
            </w:tcBorders>
          </w:tcPr>
          <w:p w14:paraId="49AE0FB8" w14:textId="77777777" w:rsidR="003A71DE" w:rsidRPr="00C40E91" w:rsidRDefault="003A71DE" w:rsidP="003A71DE">
            <w:pPr>
              <w:keepNext/>
              <w:keepLines/>
              <w:spacing w:after="0" w:line="259" w:lineRule="auto"/>
              <w:jc w:val="center"/>
              <w:rPr>
                <w:rFonts w:ascii="Arial" w:hAnsi="Arial"/>
                <w:sz w:val="18"/>
              </w:rPr>
            </w:pPr>
          </w:p>
        </w:tc>
        <w:tc>
          <w:tcPr>
            <w:tcW w:w="4395" w:type="dxa"/>
            <w:gridSpan w:val="5"/>
            <w:tcBorders>
              <w:top w:val="single" w:sz="4" w:space="0" w:color="auto"/>
              <w:left w:val="single" w:sz="4" w:space="0" w:color="auto"/>
              <w:bottom w:val="single" w:sz="4" w:space="0" w:color="auto"/>
              <w:right w:val="single" w:sz="4" w:space="0" w:color="auto"/>
            </w:tcBorders>
          </w:tcPr>
          <w:p w14:paraId="359DDCFC" w14:textId="77777777" w:rsidR="003A71DE" w:rsidRPr="00C40E91" w:rsidRDefault="003A71DE" w:rsidP="003A71DE">
            <w:pPr>
              <w:keepNext/>
              <w:keepLines/>
              <w:spacing w:after="0" w:line="259" w:lineRule="auto"/>
              <w:jc w:val="center"/>
              <w:rPr>
                <w:rFonts w:ascii="Arial" w:eastAsia="MS Mincho" w:hAnsi="Arial"/>
                <w:sz w:val="18"/>
              </w:rPr>
            </w:pPr>
            <w:r w:rsidRPr="00C40E91">
              <w:rPr>
                <w:rFonts w:ascii="Arial" w:eastAsia="MS Mincho" w:hAnsi="Arial"/>
                <w:sz w:val="18"/>
              </w:rPr>
              <w:t>TDL-C 300ns 100Hz</w:t>
            </w:r>
          </w:p>
        </w:tc>
      </w:tr>
      <w:tr w:rsidR="003A71DE" w:rsidRPr="00C40E91" w14:paraId="4B70C539" w14:textId="77777777" w:rsidTr="003A71DE">
        <w:trPr>
          <w:cantSplit/>
          <w:trHeight w:val="187"/>
          <w:jc w:val="center"/>
        </w:trPr>
        <w:tc>
          <w:tcPr>
            <w:tcW w:w="8926" w:type="dxa"/>
            <w:gridSpan w:val="8"/>
            <w:tcBorders>
              <w:top w:val="single" w:sz="4" w:space="0" w:color="auto"/>
              <w:left w:val="single" w:sz="4" w:space="0" w:color="auto"/>
              <w:bottom w:val="single" w:sz="4" w:space="0" w:color="auto"/>
              <w:right w:val="single" w:sz="4" w:space="0" w:color="auto"/>
            </w:tcBorders>
          </w:tcPr>
          <w:p w14:paraId="49977C36" w14:textId="77777777" w:rsidR="003A71DE" w:rsidRPr="00C40E91" w:rsidRDefault="003A71DE" w:rsidP="00A40F90">
            <w:pPr>
              <w:pStyle w:val="TAN"/>
            </w:pPr>
            <w:r w:rsidRPr="00C40E91">
              <w:t>Note 1:</w:t>
            </w:r>
            <w:r w:rsidRPr="00C40E91">
              <w:tab/>
              <w:t>OCNG shall be used such that the resources in Cell 1 are fully allocated and a constant total transmitted power spectral density is achieved for all OFDM symbols.</w:t>
            </w:r>
          </w:p>
          <w:p w14:paraId="53850AB8" w14:textId="77777777" w:rsidR="003A71DE" w:rsidRPr="00C40E91" w:rsidRDefault="003A71DE" w:rsidP="00A40F90">
            <w:pPr>
              <w:pStyle w:val="TAN"/>
            </w:pPr>
            <w:r w:rsidRPr="00C40E91">
              <w:t>Note 2:</w:t>
            </w:r>
            <w:r w:rsidRPr="00C40E91">
              <w:tab/>
              <w:t xml:space="preserve">The uplink resources for CSI reporting are assigned to the </w:t>
            </w:r>
            <w:r w:rsidRPr="00C40E91">
              <w:rPr>
                <w:rFonts w:eastAsia="SimSun" w:hint="eastAsia"/>
                <w:lang w:val="en-US" w:eastAsia="zh-CN"/>
              </w:rPr>
              <w:t>IAB-MT</w:t>
            </w:r>
            <w:r w:rsidRPr="00C40E91">
              <w:t xml:space="preserve"> prior to the start of time period T1.</w:t>
            </w:r>
          </w:p>
          <w:p w14:paraId="31F90C49" w14:textId="77777777" w:rsidR="003A71DE" w:rsidRPr="00C40E91" w:rsidRDefault="003A71DE" w:rsidP="00A40F90">
            <w:pPr>
              <w:pStyle w:val="TAN"/>
            </w:pPr>
            <w:r w:rsidRPr="00C40E91">
              <w:t>Note 3:</w:t>
            </w:r>
            <w:r w:rsidRPr="00C40E91">
              <w:tab/>
              <w:t>NZP CSI-RS resource set configuration for CSI reporting are assigned to the</w:t>
            </w:r>
            <w:r w:rsidRPr="00C40E91">
              <w:rPr>
                <w:rFonts w:eastAsia="SimSun" w:hint="eastAsia"/>
                <w:lang w:val="en-US" w:eastAsia="zh-CN"/>
              </w:rPr>
              <w:t xml:space="preserve"> IAB-MT</w:t>
            </w:r>
            <w:r w:rsidRPr="00C40E91">
              <w:t xml:space="preserve"> prior to the start of time period T1.</w:t>
            </w:r>
          </w:p>
          <w:p w14:paraId="3A592563" w14:textId="77777777" w:rsidR="003A71DE" w:rsidRPr="00C40E91" w:rsidRDefault="003A71DE" w:rsidP="00A40F90">
            <w:pPr>
              <w:pStyle w:val="TAN"/>
            </w:pPr>
            <w:r w:rsidRPr="00C40E91">
              <w:t>Note 4:</w:t>
            </w:r>
            <w:r w:rsidRPr="00C40E91">
              <w:tab/>
              <w:t>Void</w:t>
            </w:r>
          </w:p>
          <w:p w14:paraId="08FC0AC7" w14:textId="77777777" w:rsidR="003A71DE" w:rsidRPr="00C40E91" w:rsidRDefault="003A71DE" w:rsidP="00A40F90">
            <w:pPr>
              <w:pStyle w:val="TAN"/>
            </w:pPr>
            <w:r w:rsidRPr="00C40E91">
              <w:t>Note 5:</w:t>
            </w:r>
            <w:r w:rsidRPr="00C40E91">
              <w:tab/>
              <w:t>The timers and layer 3 filtering related parameters are configured prior to the start of time period T1.</w:t>
            </w:r>
          </w:p>
          <w:p w14:paraId="48363688" w14:textId="77777777" w:rsidR="003A71DE" w:rsidRPr="00C40E91" w:rsidRDefault="003A71DE" w:rsidP="00A40F90">
            <w:pPr>
              <w:pStyle w:val="TAN"/>
            </w:pPr>
            <w:r w:rsidRPr="00C40E91">
              <w:t>Note 6:</w:t>
            </w:r>
            <w:r w:rsidRPr="00C40E91">
              <w:tab/>
              <w:t xml:space="preserve">The signal contains PDCCH for </w:t>
            </w:r>
            <w:r w:rsidRPr="00C40E91">
              <w:rPr>
                <w:rFonts w:eastAsia="SimSun" w:hint="eastAsia"/>
                <w:lang w:val="en-US" w:eastAsia="zh-CN"/>
              </w:rPr>
              <w:t>IAB-MT</w:t>
            </w:r>
            <w:r w:rsidRPr="00C40E91">
              <w:t>s other than the device under test as part of OCNG.</w:t>
            </w:r>
          </w:p>
          <w:p w14:paraId="62D6C8C2" w14:textId="77777777" w:rsidR="003A71DE" w:rsidRPr="00C40E91" w:rsidRDefault="003A71DE" w:rsidP="00A40F90">
            <w:pPr>
              <w:pStyle w:val="TAN"/>
            </w:pPr>
            <w:r w:rsidRPr="00C40E91">
              <w:t>Note 7:</w:t>
            </w:r>
            <w:r w:rsidRPr="00C40E91">
              <w:tab/>
              <w:t>SNR levels correspond to the signal to noise ratio over the REs carrying CSI-RS.</w:t>
            </w:r>
          </w:p>
          <w:p w14:paraId="64E0B402" w14:textId="77777777" w:rsidR="003A71DE" w:rsidRPr="00C40E91" w:rsidRDefault="003A71DE" w:rsidP="00A40F90">
            <w:pPr>
              <w:pStyle w:val="TAN"/>
            </w:pPr>
            <w:r w:rsidRPr="00C40E91">
              <w:t>Note 8:</w:t>
            </w:r>
            <w:r w:rsidRPr="00C40E91">
              <w:tab/>
              <w:t xml:space="preserve">The SNR in time periods T1, T2, T3, T4 and T5 is denoted as SNR1, SNR2 and SNR3 respectively in figure </w:t>
            </w:r>
            <w:r w:rsidRPr="00C40E91">
              <w:rPr>
                <w:bCs/>
                <w:lang w:val="en-US" w:eastAsia="zh-CN"/>
              </w:rPr>
              <w:t>G.2.3.2.2.1</w:t>
            </w:r>
            <w:r w:rsidRPr="00C40E91">
              <w:rPr>
                <w:bCs/>
              </w:rPr>
              <w:t>-1</w:t>
            </w:r>
            <w:r w:rsidRPr="00C40E91">
              <w:t>.</w:t>
            </w:r>
          </w:p>
          <w:p w14:paraId="1B66A265" w14:textId="77777777" w:rsidR="003A71DE" w:rsidRPr="00C40E91" w:rsidRDefault="003A71DE" w:rsidP="00A40F90">
            <w:pPr>
              <w:pStyle w:val="TAN"/>
            </w:pPr>
            <w:r w:rsidRPr="00C40E91">
              <w:t>Note 9:</w:t>
            </w:r>
            <w:r w:rsidRPr="00C40E91">
              <w:rPr>
                <w:rFonts w:eastAsia="MS Mincho"/>
                <w:snapToGrid w:val="0"/>
              </w:rPr>
              <w:tab/>
            </w:r>
            <w:r w:rsidRPr="00C40E91">
              <w:t xml:space="preserve">The SNR values are specified for testing a </w:t>
            </w:r>
            <w:r w:rsidRPr="00C40E91">
              <w:rPr>
                <w:rFonts w:eastAsia="SimSun" w:hint="eastAsia"/>
                <w:lang w:val="en-US" w:eastAsia="zh-CN"/>
              </w:rPr>
              <w:t>IAB-MT</w:t>
            </w:r>
            <w:r w:rsidRPr="00C40E91">
              <w:t xml:space="preserve"> which supports 2RX on at least one band. For testing of a </w:t>
            </w:r>
            <w:r w:rsidRPr="00C40E91">
              <w:rPr>
                <w:rFonts w:eastAsia="SimSun" w:hint="eastAsia"/>
                <w:lang w:val="en-US" w:eastAsia="zh-CN"/>
              </w:rPr>
              <w:t>IAB-MT</w:t>
            </w:r>
            <w:r w:rsidRPr="00C40E91">
              <w:t xml:space="preserve"> which supports 4RX on all bands, the SNR during T3 is modified as specified in clause </w:t>
            </w:r>
            <w:r w:rsidRPr="00C40E91">
              <w:rPr>
                <w:rFonts w:eastAsia="SimSun" w:hint="eastAsia"/>
                <w:lang w:val="en-US" w:eastAsia="zh-CN"/>
              </w:rPr>
              <w:t>G.1.3</w:t>
            </w:r>
            <w:r w:rsidRPr="00C40E91">
              <w:t>.</w:t>
            </w:r>
          </w:p>
        </w:tc>
      </w:tr>
    </w:tbl>
    <w:p w14:paraId="404AEEF4" w14:textId="77777777" w:rsidR="003A71DE" w:rsidRPr="00C40E91" w:rsidRDefault="003A71DE" w:rsidP="003A71DE">
      <w:pPr>
        <w:spacing w:line="259" w:lineRule="auto"/>
        <w:rPr>
          <w:lang w:eastAsia="zh-CN"/>
        </w:rPr>
      </w:pPr>
    </w:p>
    <w:p w14:paraId="15BDD8EA" w14:textId="66112014" w:rsidR="003A71DE" w:rsidRPr="00C40E91" w:rsidRDefault="003A71DE" w:rsidP="00A40F90">
      <w:pPr>
        <w:pStyle w:val="TH"/>
        <w:rPr>
          <w:lang w:eastAsia="zh-CN"/>
        </w:rPr>
      </w:pPr>
      <w:r w:rsidRPr="00C40E91">
        <w:rPr>
          <w:noProof/>
          <w:lang w:eastAsia="zh-CN"/>
        </w:rPr>
        <w:lastRenderedPageBreak/>
        <w:drawing>
          <wp:inline distT="0" distB="0" distL="0" distR="0" wp14:anchorId="2E71477B" wp14:editId="4ACFF4F4">
            <wp:extent cx="4570730" cy="2098040"/>
            <wp:effectExtent l="0" t="0" r="1270" b="0"/>
            <wp:docPr id="3167" name="图片 41" descr="C:\Users\w00527694\Pictures\图片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7" name="图片 41" descr="C:\Users\w00527694\Pictures\图片29.png"/>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a:xfrm>
                      <a:off x="0" y="0"/>
                      <a:ext cx="4598175" cy="2110554"/>
                    </a:xfrm>
                    <a:prstGeom prst="rect">
                      <a:avLst/>
                    </a:prstGeom>
                    <a:noFill/>
                    <a:ln>
                      <a:noFill/>
                    </a:ln>
                  </pic:spPr>
                </pic:pic>
              </a:graphicData>
            </a:graphic>
          </wp:inline>
        </w:drawing>
      </w:r>
    </w:p>
    <w:p w14:paraId="2F374D6B" w14:textId="77777777" w:rsidR="003A71DE" w:rsidRPr="00C40E91" w:rsidRDefault="003A71DE" w:rsidP="00A40F90">
      <w:pPr>
        <w:pStyle w:val="TF"/>
      </w:pPr>
      <w:r w:rsidRPr="00C40E91">
        <w:t xml:space="preserve">Figure </w:t>
      </w:r>
      <w:r w:rsidRPr="00C40E91">
        <w:rPr>
          <w:lang w:val="en-US" w:eastAsia="zh-CN"/>
        </w:rPr>
        <w:t>G.2.3.2.</w:t>
      </w:r>
      <w:r>
        <w:rPr>
          <w:lang w:val="en-US" w:eastAsia="zh-CN"/>
        </w:rPr>
        <w:t>3</w:t>
      </w:r>
      <w:r w:rsidRPr="00C40E91">
        <w:rPr>
          <w:lang w:val="en-US" w:eastAsia="zh-CN"/>
        </w:rPr>
        <w:t>.1</w:t>
      </w:r>
      <w:r w:rsidRPr="00C40E91">
        <w:t>-1: SNR and L1-RSRP variation for CSI-RS-based beam failure detection and link recovery testing</w:t>
      </w:r>
    </w:p>
    <w:p w14:paraId="77A1D57D" w14:textId="77777777" w:rsidR="003A71DE" w:rsidRPr="00C40E91" w:rsidRDefault="003A71DE" w:rsidP="00746C0D">
      <w:pPr>
        <w:pStyle w:val="H6"/>
        <w:rPr>
          <w:snapToGrid w:val="0"/>
        </w:rPr>
      </w:pPr>
      <w:r w:rsidRPr="00C40E91">
        <w:rPr>
          <w:rFonts w:eastAsia="SimSun" w:hint="eastAsia"/>
          <w:lang w:eastAsia="zh-CN"/>
        </w:rPr>
        <w:t>G.</w:t>
      </w:r>
      <w:r w:rsidRPr="00C40E91">
        <w:rPr>
          <w:rFonts w:eastAsia="SimSun" w:hint="eastAsia"/>
          <w:lang w:val="en-US" w:eastAsia="zh-CN"/>
        </w:rPr>
        <w:t>2</w:t>
      </w:r>
      <w:r w:rsidRPr="00C40E91">
        <w:rPr>
          <w:rFonts w:eastAsia="SimSun" w:hint="eastAsia"/>
          <w:lang w:eastAsia="zh-CN"/>
        </w:rPr>
        <w:t>.</w:t>
      </w:r>
      <w:r w:rsidRPr="00C40E91">
        <w:rPr>
          <w:rFonts w:eastAsia="SimSun" w:hint="eastAsia"/>
          <w:lang w:val="en-US" w:eastAsia="zh-CN"/>
        </w:rPr>
        <w:t>3</w:t>
      </w:r>
      <w:r w:rsidRPr="00C40E91">
        <w:t>.</w:t>
      </w:r>
      <w:r w:rsidRPr="00C40E91">
        <w:rPr>
          <w:rFonts w:eastAsia="SimSun" w:hint="eastAsia"/>
          <w:lang w:val="en-US" w:eastAsia="zh-CN"/>
        </w:rPr>
        <w:t>2.</w:t>
      </w:r>
      <w:r>
        <w:rPr>
          <w:rFonts w:eastAsia="SimSun"/>
          <w:lang w:val="en-US" w:eastAsia="zh-CN"/>
        </w:rPr>
        <w:t>3</w:t>
      </w:r>
      <w:r w:rsidRPr="00C40E91">
        <w:rPr>
          <w:rFonts w:eastAsia="SimSun" w:hint="eastAsia"/>
          <w:lang w:val="en-US" w:eastAsia="zh-CN"/>
        </w:rPr>
        <w:t>.2</w:t>
      </w:r>
      <w:r w:rsidRPr="00C40E91">
        <w:rPr>
          <w:snapToGrid w:val="0"/>
        </w:rPr>
        <w:tab/>
        <w:t>Test Requirements</w:t>
      </w:r>
    </w:p>
    <w:p w14:paraId="16881187" w14:textId="77777777" w:rsidR="003A71DE" w:rsidRPr="00C40E91" w:rsidRDefault="003A71DE" w:rsidP="003A71DE">
      <w:pPr>
        <w:spacing w:line="259" w:lineRule="auto"/>
      </w:pPr>
      <w:r w:rsidRPr="00C40E91">
        <w:t xml:space="preserve">The </w:t>
      </w:r>
      <w:r w:rsidRPr="00C40E91">
        <w:rPr>
          <w:rFonts w:eastAsia="SimSun" w:hint="eastAsia"/>
          <w:lang w:val="en-US" w:eastAsia="zh-CN"/>
        </w:rPr>
        <w:t>IAB-MT</w:t>
      </w:r>
      <w:r w:rsidRPr="00C40E91">
        <w:t xml:space="preserve"> behaviour during time durations T1, T2, T3, T4 </w:t>
      </w:r>
      <w:r w:rsidRPr="00C40E91">
        <w:rPr>
          <w:lang w:eastAsia="zh-CN"/>
        </w:rPr>
        <w:t xml:space="preserve">and </w:t>
      </w:r>
      <w:r w:rsidRPr="00C40E91">
        <w:t>T5 shall be as follows:</w:t>
      </w:r>
    </w:p>
    <w:p w14:paraId="606EE986" w14:textId="313DCEDF" w:rsidR="00170440" w:rsidRPr="00932E7C" w:rsidRDefault="00170440" w:rsidP="00170440">
      <w:pPr>
        <w:rPr>
          <w:lang w:eastAsia="zh-CN"/>
        </w:rPr>
      </w:pPr>
      <w:r>
        <w:t xml:space="preserve">During the </w:t>
      </w:r>
      <w:r>
        <w:rPr>
          <w:lang w:eastAsia="zh-CN"/>
        </w:rPr>
        <w:t xml:space="preserve">time duration T1 and T2, the </w:t>
      </w:r>
      <w:r>
        <w:rPr>
          <w:lang w:val="en-US" w:eastAsia="zh-CN"/>
        </w:rPr>
        <w:t>IAB-MT</w:t>
      </w:r>
      <w:r>
        <w:rPr>
          <w:lang w:eastAsia="zh-CN"/>
        </w:rPr>
        <w:t xml:space="preserve"> shall transmit uplink signal at least in all subframes configured for CSI transmission on Cell 1.</w:t>
      </w:r>
    </w:p>
    <w:p w14:paraId="2D439533" w14:textId="77777777" w:rsidR="003A71DE" w:rsidRPr="00C40E91" w:rsidRDefault="003A71DE" w:rsidP="003A71DE">
      <w:pPr>
        <w:spacing w:line="259" w:lineRule="auto"/>
      </w:pPr>
      <w:r w:rsidRPr="00C40E91">
        <w:rPr>
          <w:lang w:eastAsia="zh-CN"/>
        </w:rPr>
        <w:t xml:space="preserve">During the </w:t>
      </w:r>
      <w:r w:rsidRPr="00C40E91">
        <w:t xml:space="preserve">period from time point A to time point B the </w:t>
      </w:r>
      <w:r w:rsidRPr="00C40E91">
        <w:rPr>
          <w:rFonts w:eastAsia="SimSun" w:hint="eastAsia"/>
          <w:lang w:val="en-US" w:eastAsia="zh-CN"/>
        </w:rPr>
        <w:t>IAB-MT</w:t>
      </w:r>
      <w:r w:rsidRPr="00C40E91">
        <w:t xml:space="preserve"> shall transmit uplink signal in Cell 1 in all uplink slots configured for CSI transmission according to the configured periodic CSI reporting for Cell 1.</w:t>
      </w:r>
    </w:p>
    <w:p w14:paraId="14BF7EB3" w14:textId="77777777" w:rsidR="003A71DE" w:rsidRPr="00C40E91" w:rsidRDefault="003A71DE" w:rsidP="003A71DE">
      <w:pPr>
        <w:spacing w:line="259" w:lineRule="auto"/>
      </w:pPr>
      <w:r w:rsidRPr="00C40E91">
        <w:t xml:space="preserve">During T3 the shall detect beam failure and initiat link recovery. During T4 and T5 the </w:t>
      </w:r>
      <w:r w:rsidRPr="00C40E91">
        <w:rPr>
          <w:rFonts w:eastAsia="SimSun" w:hint="eastAsia"/>
          <w:lang w:val="en-US" w:eastAsia="zh-CN"/>
        </w:rPr>
        <w:t>IAB-MT</w:t>
      </w:r>
      <w:r w:rsidRPr="00C40E91">
        <w:t xml:space="preserve"> measures and evaluate beam candidate from beam candidate set q</w:t>
      </w:r>
      <w:r w:rsidRPr="00C40E91">
        <w:rPr>
          <w:vertAlign w:val="subscript"/>
        </w:rPr>
        <w:t>1</w:t>
      </w:r>
      <w:r w:rsidRPr="00C40E91">
        <w:t>.</w:t>
      </w:r>
    </w:p>
    <w:p w14:paraId="116C6336" w14:textId="77777777" w:rsidR="003A71DE" w:rsidRPr="00C40E91" w:rsidRDefault="003A71DE" w:rsidP="003A71DE">
      <w:pPr>
        <w:spacing w:line="259" w:lineRule="auto"/>
      </w:pPr>
      <w:r w:rsidRPr="00C40E91">
        <w:t xml:space="preserve">No later than time point F occurring no later than D1 = 30+10 ms after the start of T5, the </w:t>
      </w:r>
      <w:r w:rsidRPr="00C40E91">
        <w:rPr>
          <w:rFonts w:eastAsia="SimSun" w:hint="eastAsia"/>
          <w:lang w:val="en-US" w:eastAsia="zh-CN"/>
        </w:rPr>
        <w:t>IAB-MT</w:t>
      </w:r>
      <w:r w:rsidRPr="00C40E91">
        <w:t xml:space="preserve"> shall transmit preamble on a beam associated with the candidate beam set q</w:t>
      </w:r>
      <w:r w:rsidRPr="00C40E91">
        <w:rPr>
          <w:vertAlign w:val="subscript"/>
        </w:rPr>
        <w:t>1</w:t>
      </w:r>
      <w:r w:rsidRPr="00C40E91">
        <w:t xml:space="preserve">. The </w:t>
      </w:r>
      <w:r w:rsidRPr="00C40E91">
        <w:rPr>
          <w:rFonts w:eastAsia="SimSun" w:hint="eastAsia"/>
          <w:lang w:val="en-US" w:eastAsia="zh-CN"/>
        </w:rPr>
        <w:t>IAB-MT</w:t>
      </w:r>
      <w:r w:rsidRPr="00C40E91">
        <w:t xml:space="preserve"> shall not transmit preamble on a beam associated with the candidate beam set q</w:t>
      </w:r>
      <w:r w:rsidRPr="00C40E91">
        <w:rPr>
          <w:vertAlign w:val="subscript"/>
        </w:rPr>
        <w:t>1</w:t>
      </w:r>
      <w:r w:rsidRPr="00C40E91">
        <w:t xml:space="preserve"> earlier than time point B.</w:t>
      </w:r>
    </w:p>
    <w:p w14:paraId="0626BB5A" w14:textId="77777777" w:rsidR="003A71DE" w:rsidRPr="00896031" w:rsidRDefault="003A71DE" w:rsidP="003A71DE">
      <w:pPr>
        <w:pStyle w:val="BodyText"/>
      </w:pPr>
      <w:r w:rsidRPr="00C40E91">
        <w:t xml:space="preserve">Test is concluded once the test equipment has received the initial preamble transmission from the </w:t>
      </w:r>
      <w:r w:rsidRPr="00C40E91">
        <w:rPr>
          <w:rFonts w:eastAsia="SimSun" w:hint="eastAsia"/>
          <w:lang w:val="en-US" w:eastAsia="zh-CN"/>
        </w:rPr>
        <w:t>IAB-MT</w:t>
      </w:r>
      <w:r w:rsidRPr="00C40E91">
        <w:t>. The rate of correct events observed during repeated tests shall be at least 90%.</w:t>
      </w:r>
    </w:p>
    <w:p w14:paraId="16EE3008" w14:textId="77777777" w:rsidR="003A71DE" w:rsidRPr="00CC206F" w:rsidRDefault="003A71DE" w:rsidP="00746C0D">
      <w:pPr>
        <w:pStyle w:val="Heading5"/>
        <w:rPr>
          <w:rFonts w:eastAsia="SimSun"/>
        </w:rPr>
      </w:pPr>
      <w:bookmarkStart w:id="10375" w:name="_Toc535476562"/>
      <w:bookmarkStart w:id="10376" w:name="_Toc74583693"/>
      <w:bookmarkStart w:id="10377" w:name="_Toc76542506"/>
      <w:bookmarkStart w:id="10378" w:name="_Toc82450488"/>
      <w:bookmarkStart w:id="10379" w:name="_Toc82451136"/>
      <w:bookmarkStart w:id="10380" w:name="_Toc89949525"/>
      <w:bookmarkStart w:id="10381" w:name="_Toc98755914"/>
      <w:bookmarkStart w:id="10382" w:name="_Toc98763506"/>
      <w:bookmarkStart w:id="10383" w:name="_Toc106184435"/>
      <w:r w:rsidRPr="00CC206F">
        <w:rPr>
          <w:rFonts w:eastAsia="SimSun"/>
        </w:rPr>
        <w:t>G.2.3.2.</w:t>
      </w:r>
      <w:r>
        <w:rPr>
          <w:rFonts w:eastAsia="SimSun"/>
        </w:rPr>
        <w:t>4</w:t>
      </w:r>
      <w:r w:rsidRPr="00CC206F">
        <w:rPr>
          <w:rFonts w:eastAsia="SimSun"/>
        </w:rPr>
        <w:tab/>
      </w:r>
      <w:bookmarkEnd w:id="10375"/>
      <w:r w:rsidRPr="00CC206F">
        <w:rPr>
          <w:rFonts w:eastAsia="SimSun"/>
        </w:rPr>
        <w:t>Beam Failure Detection and Link Recovery Test for FR2 PCell configured with CSI-RS-based BFD and LR in non-DRX mode</w:t>
      </w:r>
      <w:bookmarkEnd w:id="10376"/>
      <w:bookmarkEnd w:id="10377"/>
      <w:bookmarkEnd w:id="10378"/>
      <w:bookmarkEnd w:id="10379"/>
      <w:bookmarkEnd w:id="10380"/>
      <w:bookmarkEnd w:id="10381"/>
      <w:bookmarkEnd w:id="10382"/>
      <w:bookmarkEnd w:id="10383"/>
    </w:p>
    <w:p w14:paraId="4AB56F8F" w14:textId="77777777" w:rsidR="003A71DE" w:rsidRPr="00CC206F" w:rsidRDefault="003A71DE" w:rsidP="00746C0D">
      <w:pPr>
        <w:pStyle w:val="H6"/>
        <w:rPr>
          <w:rFonts w:eastAsia="SimSun"/>
          <w:snapToGrid w:val="0"/>
        </w:rPr>
      </w:pPr>
      <w:bookmarkStart w:id="10384" w:name="_Toc535476732"/>
      <w:r w:rsidRPr="00CC206F">
        <w:rPr>
          <w:rFonts w:eastAsia="SimSun"/>
          <w:snapToGrid w:val="0"/>
          <w:lang w:eastAsia="zh-CN"/>
        </w:rPr>
        <w:t>G.2.3.2.</w:t>
      </w:r>
      <w:r>
        <w:rPr>
          <w:rFonts w:eastAsia="SimSun"/>
          <w:snapToGrid w:val="0"/>
          <w:lang w:eastAsia="zh-CN"/>
        </w:rPr>
        <w:t>4</w:t>
      </w:r>
      <w:r w:rsidRPr="00CC206F">
        <w:rPr>
          <w:rFonts w:eastAsia="SimSun"/>
          <w:snapToGrid w:val="0"/>
          <w:lang w:eastAsia="zh-CN"/>
        </w:rPr>
        <w:t>.1</w:t>
      </w:r>
      <w:r w:rsidRPr="00CC206F">
        <w:rPr>
          <w:rFonts w:eastAsia="SimSun"/>
          <w:snapToGrid w:val="0"/>
          <w:lang w:eastAsia="zh-CN"/>
        </w:rPr>
        <w:tab/>
        <w:t>Test Purpose and Environment</w:t>
      </w:r>
      <w:bookmarkEnd w:id="10384"/>
    </w:p>
    <w:p w14:paraId="2D8593D2" w14:textId="77777777" w:rsidR="003A71DE" w:rsidRPr="00CC206F" w:rsidRDefault="003A71DE" w:rsidP="003A71DE">
      <w:pPr>
        <w:rPr>
          <w:rFonts w:eastAsia="SimSun"/>
        </w:rPr>
      </w:pPr>
      <w:r w:rsidRPr="00CC206F">
        <w:rPr>
          <w:rFonts w:eastAsia="SimSun"/>
        </w:rPr>
        <w:t>The purpose of this test is to verify that the IAB-MT properly detects CSI-RS-based beam failure in the set q</w:t>
      </w:r>
      <w:r w:rsidRPr="00CC206F">
        <w:rPr>
          <w:rFonts w:eastAsia="SimSun"/>
          <w:vertAlign w:val="subscript"/>
        </w:rPr>
        <w:t>0</w:t>
      </w:r>
      <w:r w:rsidRPr="00CC206F">
        <w:rPr>
          <w:rFonts w:eastAsia="SimSun"/>
        </w:rPr>
        <w:t xml:space="preserve"> configured for a serving cell and that the IAB-MT performs correct CSI-RS-based link recovery based on beam candicate set q</w:t>
      </w:r>
      <w:r w:rsidRPr="00CC206F">
        <w:rPr>
          <w:rFonts w:eastAsia="SimSun"/>
          <w:vertAlign w:val="subscript"/>
        </w:rPr>
        <w:t>1</w:t>
      </w:r>
      <w:r w:rsidRPr="00CC206F">
        <w:rPr>
          <w:rFonts w:eastAsia="SimSun"/>
        </w:rPr>
        <w:t>. The purpose is to test the downlink monitoring for beam failure detection within the IAB-MT’s active DL BWP, during the evaluation period, and link recovery, when no DRX is used. This test will partly verify the CSI-RS based beam failure detection and link recovery for an FR2 serving cell requirements in clause 12.3.2.</w:t>
      </w:r>
    </w:p>
    <w:p w14:paraId="7884B514" w14:textId="77777777" w:rsidR="003A71DE" w:rsidRPr="00CC206F" w:rsidRDefault="003A71DE" w:rsidP="003A71DE">
      <w:pPr>
        <w:rPr>
          <w:rFonts w:eastAsia="SimSun"/>
        </w:rPr>
      </w:pPr>
      <w:r w:rsidRPr="00CC206F">
        <w:rPr>
          <w:rFonts w:eastAsia="SimSun"/>
        </w:rPr>
        <w:t>The test parameters are given in Tables G.2.3.2.</w:t>
      </w:r>
      <w:r>
        <w:rPr>
          <w:rFonts w:eastAsia="SimSun"/>
        </w:rPr>
        <w:t>4</w:t>
      </w:r>
      <w:r w:rsidRPr="00CC206F">
        <w:rPr>
          <w:rFonts w:eastAsia="SimSun"/>
        </w:rPr>
        <w:t>.1-1, G.2.3.2.</w:t>
      </w:r>
      <w:r>
        <w:rPr>
          <w:rFonts w:eastAsia="SimSun"/>
        </w:rPr>
        <w:t>4</w:t>
      </w:r>
      <w:r w:rsidRPr="00CC206F">
        <w:rPr>
          <w:rFonts w:eastAsia="SimSun"/>
        </w:rPr>
        <w:t>.1-2, and G.2.3.2.</w:t>
      </w:r>
      <w:r>
        <w:rPr>
          <w:rFonts w:eastAsia="SimSun"/>
        </w:rPr>
        <w:t>4</w:t>
      </w:r>
      <w:r w:rsidRPr="00CC206F">
        <w:rPr>
          <w:rFonts w:eastAsia="SimSun"/>
        </w:rPr>
        <w:t>.1-3 below. There is one cell, cell 1 which is the active cell, in the test. The test consists of five successive time periods, with time duration of T1, T2, T3, T4 and T5 respectively. Figure G.2.3.2.</w:t>
      </w:r>
      <w:r>
        <w:rPr>
          <w:rFonts w:eastAsia="SimSun"/>
        </w:rPr>
        <w:t>4</w:t>
      </w:r>
      <w:r w:rsidRPr="00CC206F">
        <w:rPr>
          <w:rFonts w:eastAsia="SimSun"/>
        </w:rPr>
        <w:t>.1-1 shows the variation of the downlink SNR of the CSI-RS in set q</w:t>
      </w:r>
      <w:r w:rsidRPr="00CC206F">
        <w:rPr>
          <w:rFonts w:eastAsia="SimSun"/>
          <w:vertAlign w:val="subscript"/>
        </w:rPr>
        <w:t>0</w:t>
      </w:r>
      <w:r w:rsidRPr="00CC206F">
        <w:rPr>
          <w:rFonts w:eastAsia="SimSun"/>
        </w:rPr>
        <w:t xml:space="preserve"> in the active cell to emulate CSI-RS based beam failure. Figure G.2.3.2.</w:t>
      </w:r>
      <w:r>
        <w:rPr>
          <w:rFonts w:eastAsia="SimSun"/>
        </w:rPr>
        <w:t>4</w:t>
      </w:r>
      <w:r w:rsidRPr="00CC206F">
        <w:rPr>
          <w:rFonts w:eastAsia="SimSun"/>
        </w:rPr>
        <w:t>.1-1 additionally shows the variation of the downlink L1-RSRP of the CSI-RS in set q</w:t>
      </w:r>
      <w:r w:rsidRPr="00CC206F">
        <w:rPr>
          <w:rFonts w:eastAsia="SimSun"/>
          <w:vertAlign w:val="subscript"/>
        </w:rPr>
        <w:t>1</w:t>
      </w:r>
      <w:r w:rsidRPr="00CC206F">
        <w:rPr>
          <w:rFonts w:eastAsia="SimSun"/>
        </w:rPr>
        <w:t xml:space="preserve"> of the candidate beam used for link recovery. Prior to the start of the time duration T1, the IAB-MT shall be fully synchronized to cell 1. The IAB-MT shall be configured for periodic CSI reporting with a reporting periodicity of [2] ms. In the test, DRX configuration is not enabled.</w:t>
      </w:r>
    </w:p>
    <w:p w14:paraId="1623BFA6" w14:textId="77777777" w:rsidR="003A71DE" w:rsidRPr="00CC206F" w:rsidRDefault="003A71DE" w:rsidP="00746C0D">
      <w:pPr>
        <w:pStyle w:val="TH"/>
        <w:rPr>
          <w:rFonts w:eastAsia="SimSun"/>
        </w:rPr>
      </w:pPr>
      <w:r w:rsidRPr="00CC206F">
        <w:rPr>
          <w:rFonts w:eastAsia="SimSun"/>
        </w:rPr>
        <w:t>Table G.2.3.2.</w:t>
      </w:r>
      <w:r>
        <w:rPr>
          <w:rFonts w:eastAsia="SimSun"/>
        </w:rPr>
        <w:t>4</w:t>
      </w:r>
      <w:r w:rsidRPr="00CC206F">
        <w:rPr>
          <w:rFonts w:eastAsia="SimSun"/>
        </w:rPr>
        <w:t>.1-1: Supported test configurations for FR2 PCell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6905"/>
      </w:tblGrid>
      <w:tr w:rsidR="003A71DE" w:rsidRPr="00CC206F" w14:paraId="51DE4BDD" w14:textId="77777777" w:rsidTr="003A71DE">
        <w:trPr>
          <w:trHeight w:val="267"/>
          <w:jc w:val="center"/>
        </w:trPr>
        <w:tc>
          <w:tcPr>
            <w:tcW w:w="2265" w:type="dxa"/>
            <w:shd w:val="clear" w:color="auto" w:fill="auto"/>
          </w:tcPr>
          <w:p w14:paraId="747BEEAF" w14:textId="77777777" w:rsidR="003A71DE" w:rsidRPr="00CC206F" w:rsidRDefault="003A71DE" w:rsidP="0090095F">
            <w:pPr>
              <w:pStyle w:val="TAH"/>
              <w:rPr>
                <w:rFonts w:eastAsia="SimSun"/>
              </w:rPr>
            </w:pPr>
            <w:r w:rsidRPr="00CC206F">
              <w:rPr>
                <w:rFonts w:eastAsia="SimSun"/>
              </w:rPr>
              <w:t>Configuration</w:t>
            </w:r>
          </w:p>
        </w:tc>
        <w:tc>
          <w:tcPr>
            <w:tcW w:w="6905" w:type="dxa"/>
            <w:shd w:val="clear" w:color="auto" w:fill="auto"/>
          </w:tcPr>
          <w:p w14:paraId="5180B64B" w14:textId="77777777" w:rsidR="003A71DE" w:rsidRPr="00CC206F" w:rsidRDefault="003A71DE" w:rsidP="0090095F">
            <w:pPr>
              <w:pStyle w:val="TAH"/>
              <w:rPr>
                <w:rFonts w:eastAsia="SimSun"/>
              </w:rPr>
            </w:pPr>
            <w:r w:rsidRPr="00CC206F">
              <w:rPr>
                <w:rFonts w:eastAsia="SimSun"/>
              </w:rPr>
              <w:t>Description</w:t>
            </w:r>
          </w:p>
        </w:tc>
      </w:tr>
      <w:tr w:rsidR="003A71DE" w:rsidRPr="00CC206F" w14:paraId="3CBEB2AC" w14:textId="77777777" w:rsidTr="003A71DE">
        <w:trPr>
          <w:trHeight w:val="270"/>
          <w:jc w:val="center"/>
        </w:trPr>
        <w:tc>
          <w:tcPr>
            <w:tcW w:w="2265" w:type="dxa"/>
            <w:shd w:val="clear" w:color="auto" w:fill="auto"/>
          </w:tcPr>
          <w:p w14:paraId="58113759" w14:textId="77777777" w:rsidR="003A71DE" w:rsidRPr="00CC206F" w:rsidRDefault="003A71DE" w:rsidP="00A40F90">
            <w:pPr>
              <w:pStyle w:val="TAL"/>
              <w:rPr>
                <w:rFonts w:eastAsia="SimSun"/>
              </w:rPr>
            </w:pPr>
            <w:r w:rsidRPr="00CC206F">
              <w:rPr>
                <w:rFonts w:eastAsia="SimSun"/>
              </w:rPr>
              <w:t>1</w:t>
            </w:r>
          </w:p>
        </w:tc>
        <w:tc>
          <w:tcPr>
            <w:tcW w:w="6905" w:type="dxa"/>
            <w:shd w:val="clear" w:color="auto" w:fill="auto"/>
          </w:tcPr>
          <w:p w14:paraId="278537E9" w14:textId="77777777" w:rsidR="003A71DE" w:rsidRPr="00CC206F" w:rsidRDefault="003A71DE" w:rsidP="00A40F90">
            <w:pPr>
              <w:pStyle w:val="TAL"/>
              <w:rPr>
                <w:rFonts w:eastAsia="SimSun"/>
              </w:rPr>
            </w:pPr>
            <w:r w:rsidRPr="00CC206F">
              <w:rPr>
                <w:rFonts w:eastAsia="SimSun"/>
              </w:rPr>
              <w:t>TDD duplex mode, 120 kHz SSB SCS, 100 MHz bandwidth</w:t>
            </w:r>
          </w:p>
        </w:tc>
      </w:tr>
    </w:tbl>
    <w:p w14:paraId="7AD93FD5" w14:textId="77777777" w:rsidR="003A71DE" w:rsidRPr="00CC206F" w:rsidRDefault="003A71DE" w:rsidP="003A71DE">
      <w:pPr>
        <w:rPr>
          <w:rFonts w:eastAsia="SimSun"/>
        </w:rPr>
      </w:pPr>
    </w:p>
    <w:p w14:paraId="7B72B5ED" w14:textId="77777777" w:rsidR="003A71DE" w:rsidRPr="00CC206F" w:rsidRDefault="003A71DE" w:rsidP="00746C0D">
      <w:pPr>
        <w:pStyle w:val="TH"/>
        <w:rPr>
          <w:rFonts w:eastAsia="SimSun"/>
        </w:rPr>
      </w:pPr>
      <w:r w:rsidRPr="00CC206F">
        <w:rPr>
          <w:rFonts w:eastAsia="SimSun"/>
        </w:rPr>
        <w:lastRenderedPageBreak/>
        <w:t>Table G.2.3.2.</w:t>
      </w:r>
      <w:r>
        <w:rPr>
          <w:rFonts w:eastAsia="SimSun"/>
        </w:rPr>
        <w:t>4</w:t>
      </w:r>
      <w:r w:rsidRPr="00CC206F">
        <w:rPr>
          <w:rFonts w:eastAsia="SimSun"/>
        </w:rPr>
        <w:t>.1-2: General test parameters for FR2 PCell for CSI-RS based beam failure detection and link recovery testing in non-DRX mode</w:t>
      </w:r>
    </w:p>
    <w:tbl>
      <w:tblPr>
        <w:tblW w:w="42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1"/>
        <w:gridCol w:w="1843"/>
        <w:gridCol w:w="850"/>
        <w:gridCol w:w="1757"/>
        <w:gridCol w:w="1709"/>
      </w:tblGrid>
      <w:tr w:rsidR="003A71DE" w:rsidRPr="00CC206F" w14:paraId="28090D8F" w14:textId="77777777" w:rsidTr="003A71DE">
        <w:trPr>
          <w:trHeight w:val="187"/>
          <w:jc w:val="center"/>
        </w:trPr>
        <w:tc>
          <w:tcPr>
            <w:tcW w:w="2349" w:type="pct"/>
            <w:gridSpan w:val="2"/>
            <w:tcBorders>
              <w:bottom w:val="nil"/>
            </w:tcBorders>
            <w:shd w:val="clear" w:color="auto" w:fill="auto"/>
          </w:tcPr>
          <w:p w14:paraId="7ABA467F" w14:textId="77777777" w:rsidR="003A71DE" w:rsidRPr="00CC206F" w:rsidRDefault="003A71DE" w:rsidP="00A40F90">
            <w:pPr>
              <w:pStyle w:val="TAH"/>
              <w:rPr>
                <w:rFonts w:eastAsia="SimSun"/>
                <w:noProof/>
              </w:rPr>
            </w:pPr>
            <w:r w:rsidRPr="00CC206F">
              <w:rPr>
                <w:rFonts w:eastAsia="SimSun"/>
                <w:noProof/>
              </w:rPr>
              <w:lastRenderedPageBreak/>
              <w:t>Parameter</w:t>
            </w:r>
          </w:p>
        </w:tc>
        <w:tc>
          <w:tcPr>
            <w:tcW w:w="522" w:type="pct"/>
            <w:tcBorders>
              <w:bottom w:val="nil"/>
            </w:tcBorders>
            <w:shd w:val="clear" w:color="auto" w:fill="auto"/>
          </w:tcPr>
          <w:p w14:paraId="572F6AA6" w14:textId="77777777" w:rsidR="003A71DE" w:rsidRPr="00CC206F" w:rsidRDefault="003A71DE" w:rsidP="00A40F90">
            <w:pPr>
              <w:pStyle w:val="TAH"/>
              <w:rPr>
                <w:rFonts w:eastAsia="SimSun"/>
                <w:noProof/>
              </w:rPr>
            </w:pPr>
            <w:r w:rsidRPr="00CC206F">
              <w:rPr>
                <w:rFonts w:eastAsia="SimSun"/>
                <w:noProof/>
              </w:rPr>
              <w:t>Unit</w:t>
            </w:r>
          </w:p>
        </w:tc>
        <w:tc>
          <w:tcPr>
            <w:tcW w:w="1079" w:type="pct"/>
            <w:shd w:val="clear" w:color="auto" w:fill="auto"/>
          </w:tcPr>
          <w:p w14:paraId="511B4D87" w14:textId="77777777" w:rsidR="003A71DE" w:rsidRPr="00CC206F" w:rsidRDefault="003A71DE" w:rsidP="00A40F90">
            <w:pPr>
              <w:pStyle w:val="TAH"/>
              <w:rPr>
                <w:rFonts w:eastAsia="SimSun"/>
                <w:noProof/>
              </w:rPr>
            </w:pPr>
            <w:r w:rsidRPr="00CC206F">
              <w:rPr>
                <w:rFonts w:eastAsia="SimSun"/>
                <w:noProof/>
              </w:rPr>
              <w:t>Value</w:t>
            </w:r>
          </w:p>
        </w:tc>
        <w:tc>
          <w:tcPr>
            <w:tcW w:w="1050" w:type="pct"/>
            <w:vMerge w:val="restart"/>
          </w:tcPr>
          <w:p w14:paraId="1F7A0B1D" w14:textId="77777777" w:rsidR="003A71DE" w:rsidRPr="00CC206F" w:rsidRDefault="003A71DE" w:rsidP="00A40F90">
            <w:pPr>
              <w:pStyle w:val="TAH"/>
              <w:rPr>
                <w:rFonts w:eastAsia="SimSun"/>
                <w:noProof/>
              </w:rPr>
            </w:pPr>
            <w:r w:rsidRPr="00CC206F">
              <w:rPr>
                <w:rFonts w:eastAsia="SimSun"/>
                <w:noProof/>
              </w:rPr>
              <w:t>Comment</w:t>
            </w:r>
          </w:p>
        </w:tc>
      </w:tr>
      <w:tr w:rsidR="003A71DE" w:rsidRPr="00CC206F" w14:paraId="5CB6A77D" w14:textId="77777777" w:rsidTr="003A71DE">
        <w:trPr>
          <w:trHeight w:val="187"/>
          <w:jc w:val="center"/>
        </w:trPr>
        <w:tc>
          <w:tcPr>
            <w:tcW w:w="2349" w:type="pct"/>
            <w:gridSpan w:val="2"/>
            <w:tcBorders>
              <w:top w:val="nil"/>
            </w:tcBorders>
            <w:shd w:val="clear" w:color="auto" w:fill="auto"/>
          </w:tcPr>
          <w:p w14:paraId="7E59FF5C" w14:textId="77777777" w:rsidR="003A71DE" w:rsidRPr="00CC206F" w:rsidRDefault="003A71DE" w:rsidP="00A40F90">
            <w:pPr>
              <w:pStyle w:val="TAH"/>
              <w:rPr>
                <w:rFonts w:eastAsia="SimSun"/>
                <w:noProof/>
              </w:rPr>
            </w:pPr>
          </w:p>
        </w:tc>
        <w:tc>
          <w:tcPr>
            <w:tcW w:w="522" w:type="pct"/>
            <w:tcBorders>
              <w:top w:val="nil"/>
            </w:tcBorders>
            <w:shd w:val="clear" w:color="auto" w:fill="auto"/>
          </w:tcPr>
          <w:p w14:paraId="5DA67983" w14:textId="77777777" w:rsidR="003A71DE" w:rsidRPr="00CC206F" w:rsidRDefault="003A71DE" w:rsidP="00A40F90">
            <w:pPr>
              <w:pStyle w:val="TAH"/>
              <w:rPr>
                <w:rFonts w:eastAsia="SimSun"/>
                <w:noProof/>
              </w:rPr>
            </w:pPr>
          </w:p>
        </w:tc>
        <w:tc>
          <w:tcPr>
            <w:tcW w:w="1079" w:type="pct"/>
            <w:shd w:val="clear" w:color="auto" w:fill="auto"/>
          </w:tcPr>
          <w:p w14:paraId="569071A0" w14:textId="77777777" w:rsidR="003A71DE" w:rsidRPr="00CC206F" w:rsidRDefault="003A71DE" w:rsidP="00A40F90">
            <w:pPr>
              <w:pStyle w:val="TAH"/>
              <w:rPr>
                <w:rFonts w:eastAsia="SimSun"/>
                <w:noProof/>
              </w:rPr>
            </w:pPr>
            <w:r w:rsidRPr="00CC206F">
              <w:rPr>
                <w:rFonts w:eastAsia="SimSun"/>
                <w:noProof/>
              </w:rPr>
              <w:t>Test 1</w:t>
            </w:r>
          </w:p>
        </w:tc>
        <w:tc>
          <w:tcPr>
            <w:tcW w:w="1050" w:type="pct"/>
            <w:vMerge/>
          </w:tcPr>
          <w:p w14:paraId="7E63FB8F" w14:textId="77777777" w:rsidR="003A71DE" w:rsidRPr="00CC206F" w:rsidRDefault="003A71DE" w:rsidP="00A40F90">
            <w:pPr>
              <w:pStyle w:val="TAH"/>
              <w:rPr>
                <w:rFonts w:eastAsia="SimSun"/>
                <w:noProof/>
              </w:rPr>
            </w:pPr>
          </w:p>
        </w:tc>
      </w:tr>
      <w:tr w:rsidR="003A71DE" w:rsidRPr="00CC206F" w14:paraId="1316FE92" w14:textId="77777777" w:rsidTr="003A71DE">
        <w:trPr>
          <w:trHeight w:val="64"/>
          <w:jc w:val="center"/>
        </w:trPr>
        <w:tc>
          <w:tcPr>
            <w:tcW w:w="2349" w:type="pct"/>
            <w:gridSpan w:val="2"/>
            <w:shd w:val="clear" w:color="auto" w:fill="auto"/>
          </w:tcPr>
          <w:p w14:paraId="66446111"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 xml:space="preserve">Active PCell </w:t>
            </w:r>
          </w:p>
        </w:tc>
        <w:tc>
          <w:tcPr>
            <w:tcW w:w="522" w:type="pct"/>
            <w:shd w:val="clear" w:color="auto" w:fill="auto"/>
          </w:tcPr>
          <w:p w14:paraId="684CB046"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61136B3C"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Cell 1</w:t>
            </w:r>
          </w:p>
        </w:tc>
        <w:tc>
          <w:tcPr>
            <w:tcW w:w="1050" w:type="pct"/>
          </w:tcPr>
          <w:p w14:paraId="4105B5A9"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1EADF60C" w14:textId="77777777" w:rsidTr="003A71DE">
        <w:trPr>
          <w:trHeight w:val="164"/>
          <w:jc w:val="center"/>
        </w:trPr>
        <w:tc>
          <w:tcPr>
            <w:tcW w:w="2349" w:type="pct"/>
            <w:gridSpan w:val="2"/>
            <w:shd w:val="clear" w:color="auto" w:fill="auto"/>
          </w:tcPr>
          <w:p w14:paraId="7430E946"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RF Channel Number</w:t>
            </w:r>
          </w:p>
        </w:tc>
        <w:tc>
          <w:tcPr>
            <w:tcW w:w="522" w:type="pct"/>
            <w:shd w:val="clear" w:color="auto" w:fill="auto"/>
          </w:tcPr>
          <w:p w14:paraId="13721227"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1A2F0F0D"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1</w:t>
            </w:r>
          </w:p>
        </w:tc>
        <w:tc>
          <w:tcPr>
            <w:tcW w:w="1050" w:type="pct"/>
          </w:tcPr>
          <w:p w14:paraId="1A6137FF"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7F3E947A" w14:textId="77777777" w:rsidTr="003A71DE">
        <w:trPr>
          <w:trHeight w:val="164"/>
          <w:jc w:val="center"/>
        </w:trPr>
        <w:tc>
          <w:tcPr>
            <w:tcW w:w="1217" w:type="pct"/>
            <w:shd w:val="clear" w:color="auto" w:fill="auto"/>
          </w:tcPr>
          <w:p w14:paraId="12C4FDFC"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Duplex mode</w:t>
            </w:r>
          </w:p>
        </w:tc>
        <w:tc>
          <w:tcPr>
            <w:tcW w:w="1132" w:type="pct"/>
            <w:shd w:val="clear" w:color="auto" w:fill="auto"/>
          </w:tcPr>
          <w:p w14:paraId="2A5054EF"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p w14:paraId="66D72AFD" w14:textId="77777777" w:rsidR="003A71DE" w:rsidRPr="00CC206F" w:rsidRDefault="003A71DE" w:rsidP="003A71DE">
            <w:pPr>
              <w:keepNext/>
              <w:keepLines/>
              <w:spacing w:after="0"/>
              <w:rPr>
                <w:rFonts w:ascii="Arial" w:eastAsia="SimSun" w:hAnsi="Arial"/>
                <w:noProof/>
                <w:sz w:val="18"/>
              </w:rPr>
            </w:pPr>
          </w:p>
        </w:tc>
        <w:tc>
          <w:tcPr>
            <w:tcW w:w="522" w:type="pct"/>
            <w:shd w:val="clear" w:color="auto" w:fill="auto"/>
          </w:tcPr>
          <w:p w14:paraId="679927C4"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79976DB4"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TDD</w:t>
            </w:r>
          </w:p>
        </w:tc>
        <w:tc>
          <w:tcPr>
            <w:tcW w:w="1050" w:type="pct"/>
          </w:tcPr>
          <w:p w14:paraId="41589AFC"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0EA33228" w14:textId="77777777" w:rsidTr="003A71DE">
        <w:trPr>
          <w:trHeight w:val="164"/>
          <w:jc w:val="center"/>
        </w:trPr>
        <w:tc>
          <w:tcPr>
            <w:tcW w:w="1217" w:type="pct"/>
            <w:shd w:val="clear" w:color="auto" w:fill="auto"/>
          </w:tcPr>
          <w:p w14:paraId="1ED311D8"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TDD Configuration</w:t>
            </w:r>
          </w:p>
        </w:tc>
        <w:tc>
          <w:tcPr>
            <w:tcW w:w="1132" w:type="pct"/>
            <w:shd w:val="clear" w:color="auto" w:fill="auto"/>
          </w:tcPr>
          <w:p w14:paraId="22605952"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654F6E10"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333E3C65"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TBD</w:t>
            </w:r>
          </w:p>
        </w:tc>
        <w:tc>
          <w:tcPr>
            <w:tcW w:w="1050" w:type="pct"/>
          </w:tcPr>
          <w:p w14:paraId="759FCDB3" w14:textId="77777777" w:rsidR="003A71DE" w:rsidRPr="00CC206F" w:rsidRDefault="003A71DE" w:rsidP="003A71DE">
            <w:pPr>
              <w:keepNext/>
              <w:keepLines/>
              <w:spacing w:after="0"/>
              <w:jc w:val="center"/>
              <w:rPr>
                <w:rFonts w:ascii="Arial" w:eastAsia="SimSun" w:hAnsi="Arial"/>
                <w:noProof/>
                <w:sz w:val="18"/>
                <w:highlight w:val="yellow"/>
              </w:rPr>
            </w:pPr>
          </w:p>
        </w:tc>
      </w:tr>
      <w:tr w:rsidR="003A71DE" w:rsidRPr="00CC206F" w14:paraId="61FFEF9C" w14:textId="77777777" w:rsidTr="003A71DE">
        <w:trPr>
          <w:trHeight w:val="164"/>
          <w:jc w:val="center"/>
        </w:trPr>
        <w:tc>
          <w:tcPr>
            <w:tcW w:w="1217" w:type="pct"/>
            <w:shd w:val="clear" w:color="auto" w:fill="auto"/>
          </w:tcPr>
          <w:p w14:paraId="25C7F230"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CORESET Reference Channel</w:t>
            </w:r>
          </w:p>
        </w:tc>
        <w:tc>
          <w:tcPr>
            <w:tcW w:w="1132" w:type="pct"/>
            <w:shd w:val="clear" w:color="auto" w:fill="auto"/>
          </w:tcPr>
          <w:p w14:paraId="02A2E41F"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3E163415"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74D8D3A8"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CR.3.1 TDD</w:t>
            </w:r>
          </w:p>
        </w:tc>
        <w:tc>
          <w:tcPr>
            <w:tcW w:w="1050" w:type="pct"/>
          </w:tcPr>
          <w:p w14:paraId="3D3CD68F"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G.1.1.2</w:t>
            </w:r>
          </w:p>
        </w:tc>
      </w:tr>
      <w:tr w:rsidR="003A71DE" w:rsidRPr="00CC206F" w14:paraId="6C7B8B40" w14:textId="77777777" w:rsidTr="003A71DE">
        <w:trPr>
          <w:trHeight w:val="164"/>
          <w:jc w:val="center"/>
        </w:trPr>
        <w:tc>
          <w:tcPr>
            <w:tcW w:w="1217" w:type="pct"/>
            <w:shd w:val="clear" w:color="auto" w:fill="auto"/>
          </w:tcPr>
          <w:p w14:paraId="32980E56"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SSB Configuration</w:t>
            </w:r>
          </w:p>
        </w:tc>
        <w:tc>
          <w:tcPr>
            <w:tcW w:w="1132" w:type="pct"/>
            <w:shd w:val="clear" w:color="auto" w:fill="auto"/>
          </w:tcPr>
          <w:p w14:paraId="0E6ACAD8"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31F46C87"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08F44965"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bCs/>
                <w:noProof/>
                <w:sz w:val="18"/>
              </w:rPr>
              <w:t>SSB.3 FR2</w:t>
            </w:r>
          </w:p>
        </w:tc>
        <w:tc>
          <w:tcPr>
            <w:tcW w:w="1050" w:type="pct"/>
          </w:tcPr>
          <w:p w14:paraId="1EB04CB5"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G.1.5</w:t>
            </w:r>
          </w:p>
        </w:tc>
      </w:tr>
      <w:tr w:rsidR="003A71DE" w:rsidRPr="00CC206F" w14:paraId="2C388EC7" w14:textId="77777777" w:rsidTr="003A71DE">
        <w:trPr>
          <w:trHeight w:val="164"/>
          <w:jc w:val="center"/>
        </w:trPr>
        <w:tc>
          <w:tcPr>
            <w:tcW w:w="1217" w:type="pct"/>
            <w:shd w:val="clear" w:color="auto" w:fill="auto"/>
          </w:tcPr>
          <w:p w14:paraId="5A9A0BBC"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SMTC Configuration</w:t>
            </w:r>
          </w:p>
        </w:tc>
        <w:tc>
          <w:tcPr>
            <w:tcW w:w="1132" w:type="pct"/>
            <w:shd w:val="clear" w:color="auto" w:fill="auto"/>
          </w:tcPr>
          <w:p w14:paraId="62C1244E"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269AAB97"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16B57EDF"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bCs/>
                <w:noProof/>
                <w:sz w:val="18"/>
              </w:rPr>
              <w:t>SMTC.3</w:t>
            </w:r>
          </w:p>
        </w:tc>
        <w:tc>
          <w:tcPr>
            <w:tcW w:w="1050" w:type="pct"/>
          </w:tcPr>
          <w:p w14:paraId="4BD101A2"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G.1.6</w:t>
            </w:r>
          </w:p>
        </w:tc>
      </w:tr>
      <w:tr w:rsidR="003A71DE" w:rsidRPr="00CC206F" w14:paraId="5AE741BF" w14:textId="77777777" w:rsidTr="003A71DE">
        <w:trPr>
          <w:trHeight w:val="164"/>
          <w:jc w:val="center"/>
        </w:trPr>
        <w:tc>
          <w:tcPr>
            <w:tcW w:w="1217" w:type="pct"/>
            <w:shd w:val="clear" w:color="auto" w:fill="auto"/>
          </w:tcPr>
          <w:p w14:paraId="10CA237D"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PDSCH/PDCCH subcarrier spacing</w:t>
            </w:r>
          </w:p>
        </w:tc>
        <w:tc>
          <w:tcPr>
            <w:tcW w:w="1132" w:type="pct"/>
            <w:shd w:val="clear" w:color="auto" w:fill="auto"/>
          </w:tcPr>
          <w:p w14:paraId="35C038EB"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2A54664A"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02E4F356"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bCs/>
                <w:noProof/>
                <w:sz w:val="18"/>
              </w:rPr>
              <w:t>120KHz</w:t>
            </w:r>
          </w:p>
        </w:tc>
        <w:tc>
          <w:tcPr>
            <w:tcW w:w="1050" w:type="pct"/>
          </w:tcPr>
          <w:p w14:paraId="2457E48A" w14:textId="77777777" w:rsidR="003A71DE" w:rsidRPr="00CC206F" w:rsidRDefault="003A71DE" w:rsidP="003A71DE">
            <w:pPr>
              <w:keepNext/>
              <w:keepLines/>
              <w:spacing w:after="0"/>
              <w:jc w:val="center"/>
              <w:rPr>
                <w:rFonts w:ascii="Arial" w:eastAsia="SimSun" w:hAnsi="Arial"/>
                <w:noProof/>
                <w:sz w:val="18"/>
                <w:highlight w:val="yellow"/>
              </w:rPr>
            </w:pPr>
          </w:p>
        </w:tc>
      </w:tr>
      <w:tr w:rsidR="003A71DE" w:rsidRPr="00CC206F" w14:paraId="7CF49754" w14:textId="77777777" w:rsidTr="003A71DE">
        <w:trPr>
          <w:trHeight w:val="164"/>
          <w:jc w:val="center"/>
        </w:trPr>
        <w:tc>
          <w:tcPr>
            <w:tcW w:w="2349" w:type="pct"/>
            <w:gridSpan w:val="2"/>
            <w:shd w:val="clear" w:color="auto" w:fill="auto"/>
          </w:tcPr>
          <w:p w14:paraId="74D23565"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csi-RS-Index assigned as beam failure detection RS in set q</w:t>
            </w:r>
            <w:r w:rsidRPr="00CC206F">
              <w:rPr>
                <w:rFonts w:ascii="Arial" w:eastAsia="SimSun" w:hAnsi="Arial"/>
                <w:noProof/>
                <w:sz w:val="18"/>
                <w:vertAlign w:val="subscript"/>
              </w:rPr>
              <w:t>0</w:t>
            </w:r>
          </w:p>
        </w:tc>
        <w:tc>
          <w:tcPr>
            <w:tcW w:w="522" w:type="pct"/>
            <w:shd w:val="clear" w:color="auto" w:fill="auto"/>
          </w:tcPr>
          <w:p w14:paraId="3F574AF1"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12E2E515"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0</w:t>
            </w:r>
          </w:p>
        </w:tc>
        <w:tc>
          <w:tcPr>
            <w:tcW w:w="1050" w:type="pct"/>
          </w:tcPr>
          <w:p w14:paraId="257B0ED4" w14:textId="77777777" w:rsidR="003A71DE" w:rsidRPr="00CC206F" w:rsidRDefault="003A71DE" w:rsidP="003A71DE">
            <w:pPr>
              <w:keepNext/>
              <w:keepLines/>
              <w:spacing w:after="0"/>
              <w:jc w:val="center"/>
              <w:rPr>
                <w:rFonts w:ascii="Arial" w:eastAsia="SimSun" w:hAnsi="Arial"/>
                <w:noProof/>
                <w:sz w:val="18"/>
                <w:highlight w:val="yellow"/>
              </w:rPr>
            </w:pPr>
          </w:p>
        </w:tc>
      </w:tr>
      <w:tr w:rsidR="003A71DE" w:rsidRPr="00CC206F" w14:paraId="5B2F3E9D" w14:textId="77777777" w:rsidTr="003A71DE">
        <w:trPr>
          <w:trHeight w:val="164"/>
          <w:jc w:val="center"/>
        </w:trPr>
        <w:tc>
          <w:tcPr>
            <w:tcW w:w="2349" w:type="pct"/>
            <w:gridSpan w:val="2"/>
            <w:shd w:val="clear" w:color="auto" w:fill="auto"/>
          </w:tcPr>
          <w:p w14:paraId="4E5E7A2F"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TRS configuration</w:t>
            </w:r>
          </w:p>
        </w:tc>
        <w:tc>
          <w:tcPr>
            <w:tcW w:w="522" w:type="pct"/>
            <w:shd w:val="clear" w:color="auto" w:fill="auto"/>
          </w:tcPr>
          <w:p w14:paraId="198242E8"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354D6BFD"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TRS.2.1 TDD</w:t>
            </w:r>
          </w:p>
        </w:tc>
        <w:tc>
          <w:tcPr>
            <w:tcW w:w="1050" w:type="pct"/>
          </w:tcPr>
          <w:p w14:paraId="76349B1A"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G.1.10.2</w:t>
            </w:r>
          </w:p>
        </w:tc>
      </w:tr>
      <w:tr w:rsidR="003A71DE" w:rsidRPr="00CC206F" w14:paraId="7EAE5D3D" w14:textId="77777777" w:rsidTr="003A71DE">
        <w:trPr>
          <w:trHeight w:val="164"/>
          <w:jc w:val="center"/>
        </w:trPr>
        <w:tc>
          <w:tcPr>
            <w:tcW w:w="2349" w:type="pct"/>
            <w:gridSpan w:val="2"/>
            <w:shd w:val="clear" w:color="auto" w:fill="auto"/>
          </w:tcPr>
          <w:p w14:paraId="3E81E4C7"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TCI configuration</w:t>
            </w:r>
          </w:p>
        </w:tc>
        <w:tc>
          <w:tcPr>
            <w:tcW w:w="522" w:type="pct"/>
            <w:shd w:val="clear" w:color="auto" w:fill="auto"/>
          </w:tcPr>
          <w:p w14:paraId="183274AC"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62B29DCF"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TBD</w:t>
            </w:r>
          </w:p>
        </w:tc>
        <w:tc>
          <w:tcPr>
            <w:tcW w:w="1050" w:type="pct"/>
          </w:tcPr>
          <w:p w14:paraId="795CF84B" w14:textId="77777777" w:rsidR="003A71DE" w:rsidRPr="00CC206F" w:rsidRDefault="003A71DE" w:rsidP="003A71DE">
            <w:pPr>
              <w:keepNext/>
              <w:keepLines/>
              <w:spacing w:after="0"/>
              <w:jc w:val="center"/>
              <w:rPr>
                <w:rFonts w:ascii="Arial" w:eastAsia="SimSun" w:hAnsi="Arial"/>
                <w:noProof/>
                <w:sz w:val="18"/>
                <w:highlight w:val="yellow"/>
              </w:rPr>
            </w:pPr>
          </w:p>
        </w:tc>
      </w:tr>
      <w:tr w:rsidR="003A71DE" w:rsidRPr="00CC206F" w14:paraId="6996529B" w14:textId="77777777" w:rsidTr="003A71DE">
        <w:trPr>
          <w:trHeight w:val="176"/>
          <w:jc w:val="center"/>
        </w:trPr>
        <w:tc>
          <w:tcPr>
            <w:tcW w:w="2349" w:type="pct"/>
            <w:gridSpan w:val="2"/>
            <w:shd w:val="clear" w:color="auto" w:fill="auto"/>
          </w:tcPr>
          <w:p w14:paraId="023BE114"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OCNG parameters</w:t>
            </w:r>
          </w:p>
        </w:tc>
        <w:tc>
          <w:tcPr>
            <w:tcW w:w="522" w:type="pct"/>
            <w:shd w:val="clear" w:color="auto" w:fill="auto"/>
          </w:tcPr>
          <w:p w14:paraId="4E366FBE"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19699DB3"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OP.1</w:t>
            </w:r>
          </w:p>
        </w:tc>
        <w:tc>
          <w:tcPr>
            <w:tcW w:w="1050" w:type="pct"/>
          </w:tcPr>
          <w:p w14:paraId="03D3A60F" w14:textId="77777777" w:rsidR="003A71DE" w:rsidRPr="00CC206F" w:rsidRDefault="003A71DE" w:rsidP="003A71DE">
            <w:pPr>
              <w:keepNext/>
              <w:keepLines/>
              <w:spacing w:after="0"/>
              <w:jc w:val="center"/>
              <w:rPr>
                <w:rFonts w:ascii="Arial" w:eastAsia="SimSun" w:hAnsi="Arial"/>
                <w:noProof/>
                <w:sz w:val="18"/>
                <w:highlight w:val="yellow"/>
              </w:rPr>
            </w:pPr>
            <w:r w:rsidRPr="00CC206F">
              <w:rPr>
                <w:rFonts w:ascii="Arial" w:eastAsia="SimSun" w:hAnsi="Arial"/>
                <w:noProof/>
                <w:sz w:val="18"/>
              </w:rPr>
              <w:t>G.1.2.1</w:t>
            </w:r>
          </w:p>
        </w:tc>
      </w:tr>
      <w:tr w:rsidR="003A71DE" w:rsidRPr="00CC206F" w14:paraId="017FCA6A" w14:textId="77777777" w:rsidTr="003A71DE">
        <w:trPr>
          <w:trHeight w:val="164"/>
          <w:jc w:val="center"/>
        </w:trPr>
        <w:tc>
          <w:tcPr>
            <w:tcW w:w="2349" w:type="pct"/>
            <w:gridSpan w:val="2"/>
            <w:shd w:val="clear" w:color="auto" w:fill="auto"/>
          </w:tcPr>
          <w:p w14:paraId="46EBF740"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CP length</w:t>
            </w:r>
            <w:r w:rsidRPr="00CC206F">
              <w:rPr>
                <w:rFonts w:ascii="Arial" w:eastAsia="SimSun" w:hAnsi="Arial"/>
                <w:noProof/>
                <w:sz w:val="18"/>
              </w:rPr>
              <w:tab/>
            </w:r>
          </w:p>
        </w:tc>
        <w:tc>
          <w:tcPr>
            <w:tcW w:w="522" w:type="pct"/>
            <w:shd w:val="clear" w:color="auto" w:fill="auto"/>
          </w:tcPr>
          <w:p w14:paraId="65791E27"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72869814"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Normal</w:t>
            </w:r>
          </w:p>
        </w:tc>
        <w:tc>
          <w:tcPr>
            <w:tcW w:w="1050" w:type="pct"/>
          </w:tcPr>
          <w:p w14:paraId="30853645"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207AFFB5" w14:textId="77777777" w:rsidTr="003A71DE">
        <w:trPr>
          <w:trHeight w:val="169"/>
          <w:jc w:val="center"/>
        </w:trPr>
        <w:tc>
          <w:tcPr>
            <w:tcW w:w="1217" w:type="pct"/>
            <w:vMerge w:val="restart"/>
            <w:shd w:val="clear" w:color="auto" w:fill="auto"/>
          </w:tcPr>
          <w:p w14:paraId="1E84F3B7"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Beam failure detection transmission parameters</w:t>
            </w:r>
          </w:p>
        </w:tc>
        <w:tc>
          <w:tcPr>
            <w:tcW w:w="1132" w:type="pct"/>
            <w:shd w:val="clear" w:color="auto" w:fill="auto"/>
          </w:tcPr>
          <w:p w14:paraId="6D867797"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DCI format</w:t>
            </w:r>
          </w:p>
        </w:tc>
        <w:tc>
          <w:tcPr>
            <w:tcW w:w="522" w:type="pct"/>
            <w:shd w:val="clear" w:color="auto" w:fill="auto"/>
          </w:tcPr>
          <w:p w14:paraId="5AA6C577"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4AF25426"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1-0</w:t>
            </w:r>
          </w:p>
        </w:tc>
        <w:tc>
          <w:tcPr>
            <w:tcW w:w="1050" w:type="pct"/>
          </w:tcPr>
          <w:p w14:paraId="4D93218D"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4883A558" w14:textId="77777777" w:rsidTr="003A71DE">
        <w:trPr>
          <w:trHeight w:val="352"/>
          <w:jc w:val="center"/>
        </w:trPr>
        <w:tc>
          <w:tcPr>
            <w:tcW w:w="1217" w:type="pct"/>
            <w:vMerge/>
            <w:shd w:val="clear" w:color="auto" w:fill="auto"/>
          </w:tcPr>
          <w:p w14:paraId="29B0824B" w14:textId="77777777" w:rsidR="003A71DE" w:rsidRPr="00CC206F" w:rsidRDefault="003A71DE" w:rsidP="003A71DE">
            <w:pPr>
              <w:keepNext/>
              <w:keepLines/>
              <w:spacing w:after="0"/>
              <w:rPr>
                <w:rFonts w:ascii="Arial" w:eastAsia="SimSun" w:hAnsi="Arial"/>
                <w:noProof/>
                <w:sz w:val="18"/>
              </w:rPr>
            </w:pPr>
          </w:p>
        </w:tc>
        <w:tc>
          <w:tcPr>
            <w:tcW w:w="1132" w:type="pct"/>
            <w:shd w:val="clear" w:color="auto" w:fill="auto"/>
          </w:tcPr>
          <w:p w14:paraId="73835248"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Number of Control OFDM symbols</w:t>
            </w:r>
          </w:p>
        </w:tc>
        <w:tc>
          <w:tcPr>
            <w:tcW w:w="522" w:type="pct"/>
            <w:shd w:val="clear" w:color="auto" w:fill="auto"/>
          </w:tcPr>
          <w:p w14:paraId="0FF88899"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4C9D138C"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2</w:t>
            </w:r>
          </w:p>
        </w:tc>
        <w:tc>
          <w:tcPr>
            <w:tcW w:w="1050" w:type="pct"/>
          </w:tcPr>
          <w:p w14:paraId="4103C404"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69C31AC1" w14:textId="77777777" w:rsidTr="003A71DE">
        <w:trPr>
          <w:trHeight w:val="176"/>
          <w:jc w:val="center"/>
        </w:trPr>
        <w:tc>
          <w:tcPr>
            <w:tcW w:w="1217" w:type="pct"/>
            <w:vMerge/>
            <w:shd w:val="clear" w:color="auto" w:fill="auto"/>
          </w:tcPr>
          <w:p w14:paraId="7D6AFD47" w14:textId="77777777" w:rsidR="003A71DE" w:rsidRPr="00CC206F" w:rsidRDefault="003A71DE" w:rsidP="003A71DE">
            <w:pPr>
              <w:keepNext/>
              <w:keepLines/>
              <w:spacing w:after="0"/>
              <w:rPr>
                <w:rFonts w:ascii="Arial" w:eastAsia="SimSun" w:hAnsi="Arial"/>
                <w:noProof/>
                <w:sz w:val="18"/>
              </w:rPr>
            </w:pPr>
          </w:p>
        </w:tc>
        <w:tc>
          <w:tcPr>
            <w:tcW w:w="1132" w:type="pct"/>
            <w:shd w:val="clear" w:color="auto" w:fill="auto"/>
          </w:tcPr>
          <w:p w14:paraId="0C83849B"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 xml:space="preserve">Aggregation level </w:t>
            </w:r>
          </w:p>
        </w:tc>
        <w:tc>
          <w:tcPr>
            <w:tcW w:w="522" w:type="pct"/>
            <w:shd w:val="clear" w:color="auto" w:fill="auto"/>
          </w:tcPr>
          <w:p w14:paraId="2C82F2DF"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CCE</w:t>
            </w:r>
          </w:p>
        </w:tc>
        <w:tc>
          <w:tcPr>
            <w:tcW w:w="1079" w:type="pct"/>
            <w:shd w:val="clear" w:color="auto" w:fill="auto"/>
          </w:tcPr>
          <w:p w14:paraId="36AC1035"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8</w:t>
            </w:r>
          </w:p>
        </w:tc>
        <w:tc>
          <w:tcPr>
            <w:tcW w:w="1050" w:type="pct"/>
          </w:tcPr>
          <w:p w14:paraId="01F687C4"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51699EB3" w14:textId="77777777" w:rsidTr="003A71DE">
        <w:trPr>
          <w:trHeight w:val="872"/>
          <w:jc w:val="center"/>
        </w:trPr>
        <w:tc>
          <w:tcPr>
            <w:tcW w:w="1217" w:type="pct"/>
            <w:vMerge/>
            <w:shd w:val="clear" w:color="auto" w:fill="auto"/>
          </w:tcPr>
          <w:p w14:paraId="7CE652ED" w14:textId="77777777" w:rsidR="003A71DE" w:rsidRPr="00CC206F" w:rsidRDefault="003A71DE" w:rsidP="003A71DE">
            <w:pPr>
              <w:keepNext/>
              <w:keepLines/>
              <w:spacing w:after="0"/>
              <w:rPr>
                <w:rFonts w:ascii="Arial" w:eastAsia="SimSun" w:hAnsi="Arial"/>
                <w:noProof/>
                <w:sz w:val="18"/>
              </w:rPr>
            </w:pPr>
          </w:p>
        </w:tc>
        <w:tc>
          <w:tcPr>
            <w:tcW w:w="1132" w:type="pct"/>
            <w:shd w:val="clear" w:color="auto" w:fill="auto"/>
          </w:tcPr>
          <w:p w14:paraId="2B0845C2" w14:textId="77777777" w:rsidR="003A71DE" w:rsidRPr="00CC206F" w:rsidRDefault="003A71DE" w:rsidP="003A71DE">
            <w:pPr>
              <w:keepNext/>
              <w:keepLines/>
              <w:spacing w:after="0"/>
              <w:rPr>
                <w:rFonts w:ascii="Arial" w:eastAsia="SimSun" w:hAnsi="Arial"/>
                <w:noProof/>
                <w:sz w:val="18"/>
              </w:rPr>
            </w:pPr>
            <w:r w:rsidRPr="00CC206F">
              <w:rPr>
                <w:rFonts w:ascii="Arial" w:eastAsia="?? ??" w:hAnsi="Arial"/>
                <w:sz w:val="18"/>
              </w:rPr>
              <w:t>Ratio of hypothetical PDCCH RE energy to average CSI-RS RE energy</w:t>
            </w:r>
          </w:p>
        </w:tc>
        <w:tc>
          <w:tcPr>
            <w:tcW w:w="522" w:type="pct"/>
            <w:shd w:val="clear" w:color="auto" w:fill="auto"/>
          </w:tcPr>
          <w:p w14:paraId="77690076"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dB</w:t>
            </w:r>
          </w:p>
        </w:tc>
        <w:tc>
          <w:tcPr>
            <w:tcW w:w="1079" w:type="pct"/>
            <w:shd w:val="clear" w:color="auto" w:fill="auto"/>
          </w:tcPr>
          <w:p w14:paraId="124398AB"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w:t>
            </w:r>
          </w:p>
        </w:tc>
        <w:tc>
          <w:tcPr>
            <w:tcW w:w="1050" w:type="pct"/>
          </w:tcPr>
          <w:p w14:paraId="46449DE1"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1D1A6903" w14:textId="77777777" w:rsidTr="003A71DE">
        <w:trPr>
          <w:trHeight w:val="859"/>
          <w:jc w:val="center"/>
        </w:trPr>
        <w:tc>
          <w:tcPr>
            <w:tcW w:w="1217" w:type="pct"/>
            <w:vMerge/>
            <w:shd w:val="clear" w:color="auto" w:fill="auto"/>
          </w:tcPr>
          <w:p w14:paraId="5BFA0A53" w14:textId="77777777" w:rsidR="003A71DE" w:rsidRPr="00CC206F" w:rsidRDefault="003A71DE" w:rsidP="003A71DE">
            <w:pPr>
              <w:keepNext/>
              <w:keepLines/>
              <w:spacing w:after="0"/>
              <w:rPr>
                <w:rFonts w:ascii="Arial" w:eastAsia="SimSun" w:hAnsi="Arial"/>
                <w:noProof/>
                <w:sz w:val="18"/>
              </w:rPr>
            </w:pPr>
          </w:p>
        </w:tc>
        <w:tc>
          <w:tcPr>
            <w:tcW w:w="1132" w:type="pct"/>
            <w:shd w:val="clear" w:color="auto" w:fill="auto"/>
          </w:tcPr>
          <w:p w14:paraId="226AEF11" w14:textId="77777777" w:rsidR="003A71DE" w:rsidRPr="00CC206F" w:rsidRDefault="003A71DE" w:rsidP="003A71DE">
            <w:pPr>
              <w:keepNext/>
              <w:keepLines/>
              <w:spacing w:after="0"/>
              <w:rPr>
                <w:rFonts w:ascii="Arial" w:eastAsia="SimSun" w:hAnsi="Arial"/>
                <w:noProof/>
                <w:sz w:val="18"/>
              </w:rPr>
            </w:pPr>
            <w:r w:rsidRPr="00CC206F">
              <w:rPr>
                <w:rFonts w:ascii="Arial" w:eastAsia="?? ??" w:hAnsi="Arial"/>
                <w:sz w:val="18"/>
              </w:rPr>
              <w:t>Ratio of hypothetical PDCCH DMRS energy to average CSI-RS RE energy</w:t>
            </w:r>
          </w:p>
        </w:tc>
        <w:tc>
          <w:tcPr>
            <w:tcW w:w="522" w:type="pct"/>
            <w:shd w:val="clear" w:color="auto" w:fill="auto"/>
          </w:tcPr>
          <w:p w14:paraId="7B621BA4"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dB</w:t>
            </w:r>
          </w:p>
        </w:tc>
        <w:tc>
          <w:tcPr>
            <w:tcW w:w="1079" w:type="pct"/>
            <w:shd w:val="clear" w:color="auto" w:fill="auto"/>
          </w:tcPr>
          <w:p w14:paraId="7DCB52D1"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w:t>
            </w:r>
          </w:p>
        </w:tc>
        <w:tc>
          <w:tcPr>
            <w:tcW w:w="1050" w:type="pct"/>
          </w:tcPr>
          <w:p w14:paraId="7C352005"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4A23CE2D" w14:textId="77777777" w:rsidTr="003A71DE">
        <w:trPr>
          <w:trHeight w:val="379"/>
          <w:jc w:val="center"/>
        </w:trPr>
        <w:tc>
          <w:tcPr>
            <w:tcW w:w="1217" w:type="pct"/>
            <w:vMerge/>
            <w:shd w:val="clear" w:color="auto" w:fill="auto"/>
          </w:tcPr>
          <w:p w14:paraId="193B620C" w14:textId="77777777" w:rsidR="003A71DE" w:rsidRPr="00CC206F" w:rsidRDefault="003A71DE" w:rsidP="003A71DE">
            <w:pPr>
              <w:keepNext/>
              <w:keepLines/>
              <w:spacing w:after="0"/>
              <w:rPr>
                <w:rFonts w:ascii="Arial" w:eastAsia="SimSun" w:hAnsi="Arial"/>
                <w:noProof/>
                <w:sz w:val="18"/>
              </w:rPr>
            </w:pPr>
          </w:p>
        </w:tc>
        <w:tc>
          <w:tcPr>
            <w:tcW w:w="1132" w:type="pct"/>
            <w:shd w:val="clear" w:color="auto" w:fill="auto"/>
            <w:vAlign w:val="center"/>
          </w:tcPr>
          <w:p w14:paraId="162D248E" w14:textId="77777777" w:rsidR="003A71DE" w:rsidRPr="00CC206F" w:rsidRDefault="003A71DE" w:rsidP="003A71DE">
            <w:pPr>
              <w:keepNext/>
              <w:keepLines/>
              <w:spacing w:after="0"/>
              <w:rPr>
                <w:rFonts w:ascii="Arial" w:eastAsia="?? ??" w:hAnsi="Arial"/>
                <w:sz w:val="18"/>
              </w:rPr>
            </w:pPr>
            <w:r w:rsidRPr="00CC206F">
              <w:rPr>
                <w:rFonts w:ascii="Arial" w:eastAsia="?? ??" w:hAnsi="Arial"/>
                <w:sz w:val="18"/>
              </w:rPr>
              <w:t>DMRS precoder granularity</w:t>
            </w:r>
          </w:p>
        </w:tc>
        <w:tc>
          <w:tcPr>
            <w:tcW w:w="522" w:type="pct"/>
            <w:shd w:val="clear" w:color="auto" w:fill="auto"/>
            <w:vAlign w:val="center"/>
          </w:tcPr>
          <w:p w14:paraId="5CE005EB" w14:textId="77777777" w:rsidR="003A71DE" w:rsidRPr="00CC206F" w:rsidRDefault="003A71DE" w:rsidP="003A71DE">
            <w:pPr>
              <w:keepNext/>
              <w:keepLines/>
              <w:spacing w:after="0"/>
              <w:jc w:val="center"/>
              <w:rPr>
                <w:rFonts w:ascii="Arial" w:eastAsia="?? ??" w:hAnsi="Arial"/>
                <w:sz w:val="18"/>
              </w:rPr>
            </w:pPr>
          </w:p>
        </w:tc>
        <w:tc>
          <w:tcPr>
            <w:tcW w:w="1079" w:type="pct"/>
            <w:shd w:val="clear" w:color="auto" w:fill="auto"/>
          </w:tcPr>
          <w:p w14:paraId="194FFA44"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 ??" w:hAnsi="Arial"/>
                <w:sz w:val="18"/>
              </w:rPr>
              <w:t>REG bundle size</w:t>
            </w:r>
          </w:p>
        </w:tc>
        <w:tc>
          <w:tcPr>
            <w:tcW w:w="1050" w:type="pct"/>
          </w:tcPr>
          <w:p w14:paraId="2C40B9C7" w14:textId="77777777" w:rsidR="003A71DE" w:rsidRPr="00CC206F" w:rsidRDefault="003A71DE" w:rsidP="003A71DE">
            <w:pPr>
              <w:keepNext/>
              <w:keepLines/>
              <w:spacing w:after="0"/>
              <w:jc w:val="center"/>
              <w:rPr>
                <w:rFonts w:ascii="Arial" w:eastAsia="?? ??" w:hAnsi="Arial"/>
                <w:sz w:val="18"/>
              </w:rPr>
            </w:pPr>
          </w:p>
        </w:tc>
      </w:tr>
      <w:tr w:rsidR="003A71DE" w:rsidRPr="00CC206F" w14:paraId="7B67BD8F" w14:textId="77777777" w:rsidTr="003A71DE">
        <w:trPr>
          <w:trHeight w:val="188"/>
          <w:jc w:val="center"/>
        </w:trPr>
        <w:tc>
          <w:tcPr>
            <w:tcW w:w="1217" w:type="pct"/>
            <w:vMerge/>
            <w:shd w:val="clear" w:color="auto" w:fill="auto"/>
          </w:tcPr>
          <w:p w14:paraId="5AA967BE" w14:textId="77777777" w:rsidR="003A71DE" w:rsidRPr="00CC206F" w:rsidRDefault="003A71DE" w:rsidP="003A71DE">
            <w:pPr>
              <w:keepNext/>
              <w:keepLines/>
              <w:spacing w:after="0"/>
              <w:rPr>
                <w:rFonts w:ascii="Arial" w:eastAsia="SimSun" w:hAnsi="Arial"/>
                <w:noProof/>
                <w:sz w:val="18"/>
              </w:rPr>
            </w:pPr>
          </w:p>
        </w:tc>
        <w:tc>
          <w:tcPr>
            <w:tcW w:w="1132" w:type="pct"/>
            <w:shd w:val="clear" w:color="auto" w:fill="auto"/>
            <w:vAlign w:val="center"/>
          </w:tcPr>
          <w:p w14:paraId="2FFDC43C" w14:textId="77777777" w:rsidR="003A71DE" w:rsidRPr="00CC206F" w:rsidRDefault="003A71DE" w:rsidP="003A71DE">
            <w:pPr>
              <w:keepNext/>
              <w:keepLines/>
              <w:spacing w:after="0"/>
              <w:rPr>
                <w:rFonts w:ascii="Arial" w:eastAsia="?? ??" w:hAnsi="Arial"/>
                <w:sz w:val="18"/>
              </w:rPr>
            </w:pPr>
            <w:r w:rsidRPr="00CC206F">
              <w:rPr>
                <w:rFonts w:ascii="Arial" w:eastAsia="?? ??" w:hAnsi="Arial"/>
                <w:sz w:val="18"/>
              </w:rPr>
              <w:t>REG bundle size</w:t>
            </w:r>
          </w:p>
        </w:tc>
        <w:tc>
          <w:tcPr>
            <w:tcW w:w="522" w:type="pct"/>
            <w:shd w:val="clear" w:color="auto" w:fill="auto"/>
            <w:vAlign w:val="center"/>
          </w:tcPr>
          <w:p w14:paraId="355DEDF7" w14:textId="77777777" w:rsidR="003A71DE" w:rsidRPr="00CC206F" w:rsidRDefault="003A71DE" w:rsidP="003A71DE">
            <w:pPr>
              <w:keepNext/>
              <w:keepLines/>
              <w:spacing w:after="0"/>
              <w:jc w:val="center"/>
              <w:rPr>
                <w:rFonts w:ascii="Arial" w:eastAsia="?? ??" w:hAnsi="Arial"/>
                <w:sz w:val="18"/>
              </w:rPr>
            </w:pPr>
          </w:p>
        </w:tc>
        <w:tc>
          <w:tcPr>
            <w:tcW w:w="1079" w:type="pct"/>
            <w:shd w:val="clear" w:color="auto" w:fill="auto"/>
          </w:tcPr>
          <w:p w14:paraId="6F7EF119"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6</w:t>
            </w:r>
          </w:p>
        </w:tc>
        <w:tc>
          <w:tcPr>
            <w:tcW w:w="1050" w:type="pct"/>
          </w:tcPr>
          <w:p w14:paraId="73F43A26"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434C9079" w14:textId="77777777" w:rsidTr="003A71DE">
        <w:trPr>
          <w:trHeight w:val="176"/>
          <w:jc w:val="center"/>
        </w:trPr>
        <w:tc>
          <w:tcPr>
            <w:tcW w:w="2349" w:type="pct"/>
            <w:gridSpan w:val="2"/>
            <w:shd w:val="clear" w:color="auto" w:fill="auto"/>
          </w:tcPr>
          <w:p w14:paraId="55E01D98"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DRX</w:t>
            </w:r>
          </w:p>
        </w:tc>
        <w:tc>
          <w:tcPr>
            <w:tcW w:w="522" w:type="pct"/>
            <w:shd w:val="clear" w:color="auto" w:fill="auto"/>
          </w:tcPr>
          <w:p w14:paraId="11DC39CC"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48A1F7F6"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OFF</w:t>
            </w:r>
          </w:p>
        </w:tc>
        <w:tc>
          <w:tcPr>
            <w:tcW w:w="1050" w:type="pct"/>
          </w:tcPr>
          <w:p w14:paraId="08B282B2" w14:textId="77777777" w:rsidR="003A71DE" w:rsidRPr="00CC206F" w:rsidRDefault="003A71DE" w:rsidP="003A71DE">
            <w:pPr>
              <w:keepNext/>
              <w:keepLines/>
              <w:spacing w:after="0"/>
              <w:jc w:val="center"/>
              <w:rPr>
                <w:rFonts w:ascii="Arial" w:eastAsia="SimSun" w:hAnsi="Arial"/>
                <w:i/>
                <w:iCs/>
                <w:sz w:val="18"/>
                <w:highlight w:val="yellow"/>
              </w:rPr>
            </w:pPr>
          </w:p>
        </w:tc>
      </w:tr>
      <w:tr w:rsidR="003A71DE" w:rsidRPr="00CC206F" w14:paraId="59696167" w14:textId="77777777" w:rsidTr="003A71DE">
        <w:trPr>
          <w:trHeight w:val="164"/>
          <w:jc w:val="center"/>
        </w:trPr>
        <w:tc>
          <w:tcPr>
            <w:tcW w:w="2349" w:type="pct"/>
            <w:gridSpan w:val="2"/>
            <w:shd w:val="clear" w:color="auto" w:fill="auto"/>
          </w:tcPr>
          <w:p w14:paraId="6B4F596E"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sz w:val="18"/>
              </w:rPr>
              <w:t>csi-RS-Index</w:t>
            </w:r>
            <w:r w:rsidRPr="00CC206F">
              <w:rPr>
                <w:rFonts w:ascii="Arial" w:eastAsia="SimSun" w:hAnsi="Arial"/>
                <w:noProof/>
                <w:sz w:val="18"/>
              </w:rPr>
              <w:t xml:space="preserve"> assigned as candidate beam detection RS in set q</w:t>
            </w:r>
            <w:r w:rsidRPr="00CC206F">
              <w:rPr>
                <w:rFonts w:ascii="Arial" w:eastAsia="SimSun" w:hAnsi="Arial"/>
                <w:noProof/>
                <w:sz w:val="18"/>
                <w:vertAlign w:val="subscript"/>
              </w:rPr>
              <w:t>1</w:t>
            </w:r>
          </w:p>
        </w:tc>
        <w:tc>
          <w:tcPr>
            <w:tcW w:w="522" w:type="pct"/>
            <w:shd w:val="clear" w:color="auto" w:fill="auto"/>
          </w:tcPr>
          <w:p w14:paraId="5E26CB3E"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114FF426"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1</w:t>
            </w:r>
          </w:p>
        </w:tc>
        <w:tc>
          <w:tcPr>
            <w:tcW w:w="1050" w:type="pct"/>
          </w:tcPr>
          <w:p w14:paraId="43561B7D" w14:textId="77777777" w:rsidR="003A71DE" w:rsidRPr="00CC206F" w:rsidRDefault="003A71DE" w:rsidP="003A71DE">
            <w:pPr>
              <w:keepNext/>
              <w:keepLines/>
              <w:spacing w:after="0"/>
              <w:jc w:val="center"/>
              <w:rPr>
                <w:rFonts w:ascii="Arial" w:eastAsia="SimSun" w:hAnsi="Arial"/>
                <w:iCs/>
                <w:sz w:val="18"/>
              </w:rPr>
            </w:pPr>
          </w:p>
        </w:tc>
      </w:tr>
      <w:tr w:rsidR="003A71DE" w:rsidRPr="00CC206F" w14:paraId="2DDED5D0" w14:textId="77777777" w:rsidTr="003A71DE">
        <w:trPr>
          <w:trHeight w:val="164"/>
          <w:jc w:val="center"/>
        </w:trPr>
        <w:tc>
          <w:tcPr>
            <w:tcW w:w="2349" w:type="pct"/>
            <w:gridSpan w:val="2"/>
            <w:shd w:val="clear" w:color="auto" w:fill="auto"/>
          </w:tcPr>
          <w:p w14:paraId="3ACA81D6" w14:textId="77777777" w:rsidR="003A71DE" w:rsidRPr="00CC206F" w:rsidRDefault="003A71DE" w:rsidP="003A71DE">
            <w:pPr>
              <w:keepNext/>
              <w:keepLines/>
              <w:spacing w:after="0"/>
              <w:rPr>
                <w:rFonts w:ascii="Arial" w:eastAsia="SimSun" w:hAnsi="Arial"/>
                <w:sz w:val="18"/>
              </w:rPr>
            </w:pPr>
            <w:r w:rsidRPr="00CC206F">
              <w:rPr>
                <w:rFonts w:ascii="Arial" w:eastAsia="SimSun" w:hAnsi="Arial"/>
                <w:sz w:val="18"/>
              </w:rPr>
              <w:t>rlmInSyncOutOfSyncThreshold</w:t>
            </w:r>
          </w:p>
        </w:tc>
        <w:tc>
          <w:tcPr>
            <w:tcW w:w="522" w:type="pct"/>
            <w:shd w:val="clear" w:color="auto" w:fill="auto"/>
          </w:tcPr>
          <w:p w14:paraId="05E3CB48"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0EFA4926"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absent</w:t>
            </w:r>
          </w:p>
        </w:tc>
        <w:tc>
          <w:tcPr>
            <w:tcW w:w="1050" w:type="pct"/>
          </w:tcPr>
          <w:p w14:paraId="32D4EEED"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When the field is absent, the IAB-MT applies the value 0. (Table 8.1.1-1</w:t>
            </w:r>
            <w:r w:rsidRPr="00CC206F">
              <w:rPr>
                <w:rFonts w:eastAsia="SimSun"/>
              </w:rPr>
              <w:t xml:space="preserve"> </w:t>
            </w:r>
            <w:r w:rsidRPr="00CC206F">
              <w:rPr>
                <w:rFonts w:ascii="Arial" w:eastAsia="SimSun" w:hAnsi="Arial"/>
                <w:iCs/>
                <w:sz w:val="18"/>
              </w:rPr>
              <w:t>in TS 38.133 [6]).</w:t>
            </w:r>
          </w:p>
        </w:tc>
      </w:tr>
      <w:tr w:rsidR="003A71DE" w:rsidRPr="00CC206F" w14:paraId="0769D2BA" w14:textId="77777777" w:rsidTr="003A71DE">
        <w:trPr>
          <w:trHeight w:val="340"/>
          <w:jc w:val="center"/>
        </w:trPr>
        <w:tc>
          <w:tcPr>
            <w:tcW w:w="2349" w:type="pct"/>
            <w:gridSpan w:val="2"/>
            <w:shd w:val="clear" w:color="auto" w:fill="auto"/>
          </w:tcPr>
          <w:p w14:paraId="58BD4CA0"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sz w:val="18"/>
              </w:rPr>
              <w:t>rsrp-ThresholdSSB</w:t>
            </w:r>
          </w:p>
        </w:tc>
        <w:tc>
          <w:tcPr>
            <w:tcW w:w="522" w:type="pct"/>
            <w:shd w:val="clear" w:color="auto" w:fill="auto"/>
          </w:tcPr>
          <w:p w14:paraId="71317B93"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dBm/SCS kHz</w:t>
            </w:r>
          </w:p>
        </w:tc>
        <w:tc>
          <w:tcPr>
            <w:tcW w:w="1079" w:type="pct"/>
            <w:shd w:val="clear" w:color="auto" w:fill="auto"/>
          </w:tcPr>
          <w:p w14:paraId="125EB45C"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iCs/>
                <w:sz w:val="18"/>
                <w:lang w:eastAsia="zh-CN"/>
              </w:rPr>
              <w:t>-94.5</w:t>
            </w:r>
          </w:p>
        </w:tc>
        <w:tc>
          <w:tcPr>
            <w:tcW w:w="1050" w:type="pct"/>
          </w:tcPr>
          <w:p w14:paraId="5639EDEF"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noProof/>
                <w:sz w:val="18"/>
              </w:rPr>
              <w:t>Threshold used for Q</w:t>
            </w:r>
            <w:r w:rsidRPr="00CC206F">
              <w:rPr>
                <w:rFonts w:ascii="Arial" w:eastAsia="SimSun" w:hAnsi="Arial"/>
                <w:noProof/>
                <w:sz w:val="18"/>
                <w:vertAlign w:val="subscript"/>
              </w:rPr>
              <w:t>in_LR_SSB</w:t>
            </w:r>
          </w:p>
        </w:tc>
      </w:tr>
      <w:tr w:rsidR="003A71DE" w:rsidRPr="00CC206F" w14:paraId="693FF1F4" w14:textId="77777777" w:rsidTr="003A71DE">
        <w:trPr>
          <w:trHeight w:val="340"/>
          <w:jc w:val="center"/>
        </w:trPr>
        <w:tc>
          <w:tcPr>
            <w:tcW w:w="2349" w:type="pct"/>
            <w:gridSpan w:val="2"/>
            <w:shd w:val="clear" w:color="auto" w:fill="auto"/>
          </w:tcPr>
          <w:p w14:paraId="01C5E870" w14:textId="77777777" w:rsidR="003A71DE" w:rsidRPr="00CC206F" w:rsidRDefault="003A71DE" w:rsidP="003A71DE">
            <w:pPr>
              <w:keepNext/>
              <w:keepLines/>
              <w:spacing w:after="0"/>
              <w:rPr>
                <w:rFonts w:ascii="Arial" w:eastAsia="SimSun" w:hAnsi="Arial"/>
                <w:sz w:val="18"/>
              </w:rPr>
            </w:pPr>
            <w:r w:rsidRPr="00CC206F">
              <w:rPr>
                <w:rFonts w:ascii="Arial" w:eastAsia="SimSun" w:hAnsi="Arial"/>
                <w:sz w:val="18"/>
              </w:rPr>
              <w:t>powerControlOffsetSS</w:t>
            </w:r>
          </w:p>
        </w:tc>
        <w:tc>
          <w:tcPr>
            <w:tcW w:w="522" w:type="pct"/>
            <w:shd w:val="clear" w:color="auto" w:fill="auto"/>
          </w:tcPr>
          <w:p w14:paraId="2072D360"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7023D6AD"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db0</w:t>
            </w:r>
          </w:p>
        </w:tc>
        <w:tc>
          <w:tcPr>
            <w:tcW w:w="1050" w:type="pct"/>
          </w:tcPr>
          <w:p w14:paraId="29EFA2A9"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Used for deriving rsrp-ThresholdCSI-RS</w:t>
            </w:r>
          </w:p>
        </w:tc>
      </w:tr>
      <w:tr w:rsidR="003A71DE" w:rsidRPr="00CC206F" w14:paraId="28487E20" w14:textId="77777777" w:rsidTr="003A71DE">
        <w:trPr>
          <w:trHeight w:val="164"/>
          <w:jc w:val="center"/>
        </w:trPr>
        <w:tc>
          <w:tcPr>
            <w:tcW w:w="2349" w:type="pct"/>
            <w:gridSpan w:val="2"/>
            <w:shd w:val="clear" w:color="auto" w:fill="auto"/>
          </w:tcPr>
          <w:p w14:paraId="5531FF32"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beamFailureInstanceMaxCount</w:t>
            </w:r>
          </w:p>
        </w:tc>
        <w:tc>
          <w:tcPr>
            <w:tcW w:w="522" w:type="pct"/>
            <w:shd w:val="clear" w:color="auto" w:fill="auto"/>
          </w:tcPr>
          <w:p w14:paraId="7A180E08" w14:textId="77777777" w:rsidR="003A71DE" w:rsidRPr="00CC206F" w:rsidRDefault="003A71DE" w:rsidP="003A71DE">
            <w:pPr>
              <w:keepNext/>
              <w:keepLines/>
              <w:spacing w:after="0"/>
              <w:jc w:val="center"/>
              <w:rPr>
                <w:rFonts w:ascii="Arial" w:eastAsia="SimSun" w:hAnsi="Arial"/>
                <w:iCs/>
                <w:sz w:val="18"/>
              </w:rPr>
            </w:pPr>
          </w:p>
        </w:tc>
        <w:tc>
          <w:tcPr>
            <w:tcW w:w="1079" w:type="pct"/>
            <w:shd w:val="clear" w:color="auto" w:fill="auto"/>
          </w:tcPr>
          <w:p w14:paraId="07DF4631"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n1</w:t>
            </w:r>
          </w:p>
        </w:tc>
        <w:tc>
          <w:tcPr>
            <w:tcW w:w="1050" w:type="pct"/>
          </w:tcPr>
          <w:p w14:paraId="1B946DE4" w14:textId="77777777" w:rsidR="003A71DE" w:rsidRPr="00CC206F" w:rsidRDefault="003A71DE" w:rsidP="003A71DE">
            <w:pPr>
              <w:keepNext/>
              <w:keepLines/>
              <w:spacing w:after="0"/>
              <w:jc w:val="center"/>
              <w:rPr>
                <w:rFonts w:ascii="Arial" w:eastAsia="SimSun" w:hAnsi="Arial"/>
                <w:iCs/>
                <w:sz w:val="18"/>
              </w:rPr>
            </w:pPr>
            <w:r w:rsidRPr="00CC206F">
              <w:rPr>
                <w:rFonts w:ascii="Arial" w:eastAsia="SimSun" w:hAnsi="Arial"/>
                <w:iCs/>
                <w:sz w:val="18"/>
              </w:rPr>
              <w:t>see clause 5.17 of TS 38.321 [14]</w:t>
            </w:r>
          </w:p>
        </w:tc>
      </w:tr>
      <w:tr w:rsidR="003A71DE" w:rsidRPr="00CC206F" w14:paraId="03955FE0" w14:textId="77777777" w:rsidTr="003A71DE">
        <w:trPr>
          <w:trHeight w:val="164"/>
          <w:jc w:val="center"/>
        </w:trPr>
        <w:tc>
          <w:tcPr>
            <w:tcW w:w="2349" w:type="pct"/>
            <w:gridSpan w:val="2"/>
            <w:shd w:val="clear" w:color="auto" w:fill="auto"/>
          </w:tcPr>
          <w:p w14:paraId="001B513E"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beamFailureDetectionTimer</w:t>
            </w:r>
          </w:p>
        </w:tc>
        <w:tc>
          <w:tcPr>
            <w:tcW w:w="522" w:type="pct"/>
            <w:shd w:val="clear" w:color="auto" w:fill="auto"/>
          </w:tcPr>
          <w:p w14:paraId="3308732B" w14:textId="77777777" w:rsidR="003A71DE" w:rsidRPr="00CC206F" w:rsidRDefault="003A71DE" w:rsidP="003A71DE">
            <w:pPr>
              <w:keepNext/>
              <w:keepLines/>
              <w:spacing w:after="0"/>
              <w:jc w:val="center"/>
              <w:rPr>
                <w:rFonts w:ascii="Arial" w:eastAsia="SimSun" w:hAnsi="Arial"/>
                <w:iCs/>
                <w:sz w:val="18"/>
              </w:rPr>
            </w:pPr>
          </w:p>
        </w:tc>
        <w:tc>
          <w:tcPr>
            <w:tcW w:w="1079" w:type="pct"/>
            <w:shd w:val="clear" w:color="auto" w:fill="auto"/>
          </w:tcPr>
          <w:p w14:paraId="66370293" w14:textId="77777777" w:rsidR="003A71DE" w:rsidRPr="00CC206F" w:rsidRDefault="003A71DE" w:rsidP="003A71DE">
            <w:pPr>
              <w:keepNext/>
              <w:keepLines/>
              <w:spacing w:after="0"/>
              <w:jc w:val="center"/>
              <w:rPr>
                <w:rFonts w:ascii="Arial" w:eastAsia="SimSun" w:hAnsi="Arial"/>
                <w:i/>
                <w:iCs/>
                <w:sz w:val="18"/>
              </w:rPr>
            </w:pPr>
            <w:r w:rsidRPr="00CC206F">
              <w:rPr>
                <w:rFonts w:ascii="Arial" w:eastAsia="SimSun" w:hAnsi="Arial"/>
                <w:noProof/>
                <w:sz w:val="18"/>
              </w:rPr>
              <w:t>pbfd4</w:t>
            </w:r>
          </w:p>
        </w:tc>
        <w:tc>
          <w:tcPr>
            <w:tcW w:w="1050" w:type="pct"/>
          </w:tcPr>
          <w:p w14:paraId="676AB457"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iCs/>
                <w:sz w:val="18"/>
              </w:rPr>
              <w:t>see clause 5.17 of TS 38.321 [14]</w:t>
            </w:r>
          </w:p>
        </w:tc>
      </w:tr>
      <w:tr w:rsidR="003A71DE" w:rsidRPr="00CC206F" w14:paraId="021D349B" w14:textId="77777777" w:rsidTr="003A71DE">
        <w:trPr>
          <w:trHeight w:val="186"/>
          <w:jc w:val="center"/>
        </w:trPr>
        <w:tc>
          <w:tcPr>
            <w:tcW w:w="1217" w:type="pct"/>
            <w:shd w:val="clear" w:color="auto" w:fill="auto"/>
          </w:tcPr>
          <w:p w14:paraId="148BC7EE"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CSI-RS configuration for q</w:t>
            </w:r>
            <w:r w:rsidRPr="00CC206F">
              <w:rPr>
                <w:rFonts w:ascii="Arial" w:eastAsia="SimSun" w:hAnsi="Arial"/>
                <w:noProof/>
                <w:sz w:val="18"/>
                <w:vertAlign w:val="subscript"/>
              </w:rPr>
              <w:t>0</w:t>
            </w:r>
            <w:r w:rsidRPr="00CC206F">
              <w:rPr>
                <w:rFonts w:ascii="Arial" w:eastAsia="SimSun" w:hAnsi="Arial"/>
                <w:noProof/>
                <w:sz w:val="18"/>
              </w:rPr>
              <w:t xml:space="preserve"> and q</w:t>
            </w:r>
            <w:r w:rsidRPr="00CC206F">
              <w:rPr>
                <w:rFonts w:ascii="Arial" w:eastAsia="SimSun" w:hAnsi="Arial"/>
                <w:noProof/>
                <w:sz w:val="18"/>
                <w:vertAlign w:val="subscript"/>
              </w:rPr>
              <w:t>1</w:t>
            </w:r>
          </w:p>
        </w:tc>
        <w:tc>
          <w:tcPr>
            <w:tcW w:w="1132" w:type="pct"/>
            <w:shd w:val="clear" w:color="auto" w:fill="auto"/>
          </w:tcPr>
          <w:p w14:paraId="5181A7BD"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760CD2ED"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6504C30F"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CSI-RS.3.2 TDD</w:t>
            </w:r>
          </w:p>
        </w:tc>
        <w:tc>
          <w:tcPr>
            <w:tcW w:w="1050" w:type="pct"/>
          </w:tcPr>
          <w:p w14:paraId="02BC051F"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G.1.7.1</w:t>
            </w:r>
          </w:p>
        </w:tc>
      </w:tr>
      <w:tr w:rsidR="003A71DE" w:rsidRPr="00CC206F" w14:paraId="1E616BE2" w14:textId="77777777" w:rsidTr="003A71DE">
        <w:trPr>
          <w:trHeight w:val="186"/>
          <w:jc w:val="center"/>
        </w:trPr>
        <w:tc>
          <w:tcPr>
            <w:tcW w:w="1217" w:type="pct"/>
            <w:shd w:val="clear" w:color="auto" w:fill="auto"/>
          </w:tcPr>
          <w:p w14:paraId="3577D695"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CSI-RS configuration for CSI reporting</w:t>
            </w:r>
          </w:p>
        </w:tc>
        <w:tc>
          <w:tcPr>
            <w:tcW w:w="1132" w:type="pct"/>
            <w:shd w:val="clear" w:color="auto" w:fill="auto"/>
          </w:tcPr>
          <w:p w14:paraId="516FEC69"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Config 1</w:t>
            </w:r>
          </w:p>
        </w:tc>
        <w:tc>
          <w:tcPr>
            <w:tcW w:w="522" w:type="pct"/>
            <w:shd w:val="clear" w:color="auto" w:fill="auto"/>
          </w:tcPr>
          <w:p w14:paraId="4DCD6BFC"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5CB47557"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CSI-RS.3.1 TDD</w:t>
            </w:r>
          </w:p>
        </w:tc>
        <w:tc>
          <w:tcPr>
            <w:tcW w:w="1050" w:type="pct"/>
          </w:tcPr>
          <w:p w14:paraId="12067FCC"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G.1.7.1</w:t>
            </w:r>
          </w:p>
        </w:tc>
      </w:tr>
      <w:tr w:rsidR="003A71DE" w:rsidRPr="00CC206F" w14:paraId="23DF6FC2" w14:textId="77777777" w:rsidTr="003A71DE">
        <w:trPr>
          <w:trHeight w:val="186"/>
          <w:jc w:val="center"/>
        </w:trPr>
        <w:tc>
          <w:tcPr>
            <w:tcW w:w="2349" w:type="pct"/>
            <w:gridSpan w:val="2"/>
            <w:shd w:val="clear" w:color="auto" w:fill="auto"/>
          </w:tcPr>
          <w:p w14:paraId="1A748E7A"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sz w:val="18"/>
              </w:rPr>
              <w:t>csi-RS-Index</w:t>
            </w:r>
            <w:r w:rsidRPr="00CC206F">
              <w:rPr>
                <w:rFonts w:ascii="Arial" w:eastAsia="SimSun" w:hAnsi="Arial"/>
                <w:noProof/>
                <w:sz w:val="18"/>
              </w:rPr>
              <w:t xml:space="preserve"> assigned</w:t>
            </w:r>
            <w:r w:rsidRPr="00CC206F">
              <w:rPr>
                <w:rFonts w:ascii="Arial" w:eastAsia="SimSun" w:hAnsi="Arial" w:cs="Arial"/>
                <w:sz w:val="18"/>
                <w:szCs w:val="18"/>
              </w:rPr>
              <w:t xml:space="preserve"> as RLM RS</w:t>
            </w:r>
          </w:p>
        </w:tc>
        <w:tc>
          <w:tcPr>
            <w:tcW w:w="522" w:type="pct"/>
            <w:shd w:val="clear" w:color="auto" w:fill="auto"/>
          </w:tcPr>
          <w:p w14:paraId="048A9BD7"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54893F73"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0, 1</w:t>
            </w:r>
          </w:p>
        </w:tc>
        <w:tc>
          <w:tcPr>
            <w:tcW w:w="1050" w:type="pct"/>
          </w:tcPr>
          <w:p w14:paraId="30540F65"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G.1.7.1</w:t>
            </w:r>
          </w:p>
        </w:tc>
      </w:tr>
      <w:tr w:rsidR="003A71DE" w:rsidRPr="00CC206F" w14:paraId="58C0DEC7" w14:textId="77777777" w:rsidTr="003A71DE">
        <w:trPr>
          <w:trHeight w:val="186"/>
          <w:jc w:val="center"/>
        </w:trPr>
        <w:tc>
          <w:tcPr>
            <w:tcW w:w="2349" w:type="pct"/>
            <w:gridSpan w:val="2"/>
            <w:shd w:val="clear" w:color="auto" w:fill="auto"/>
          </w:tcPr>
          <w:p w14:paraId="4DCF25B1" w14:textId="77777777" w:rsidR="003A71DE" w:rsidRPr="00CC206F" w:rsidRDefault="003A71DE" w:rsidP="003A71DE">
            <w:pPr>
              <w:keepNext/>
              <w:keepLines/>
              <w:spacing w:after="0"/>
              <w:rPr>
                <w:rFonts w:ascii="Arial" w:eastAsia="SimSun" w:hAnsi="Arial"/>
                <w:noProof/>
                <w:sz w:val="18"/>
                <w:lang w:eastAsia="zh-CN"/>
              </w:rPr>
            </w:pPr>
            <w:r w:rsidRPr="00CC206F">
              <w:rPr>
                <w:rFonts w:ascii="Arial" w:eastAsia="SimSun" w:hAnsi="Arial"/>
                <w:noProof/>
                <w:sz w:val="18"/>
                <w:lang w:eastAsia="zh-CN"/>
              </w:rPr>
              <w:t>T310 Timer</w:t>
            </w:r>
          </w:p>
        </w:tc>
        <w:tc>
          <w:tcPr>
            <w:tcW w:w="522" w:type="pct"/>
            <w:shd w:val="clear" w:color="auto" w:fill="auto"/>
          </w:tcPr>
          <w:p w14:paraId="1EE5C454" w14:textId="77777777" w:rsidR="003A71DE" w:rsidRPr="00CC206F" w:rsidRDefault="003A71DE" w:rsidP="003A71DE">
            <w:pPr>
              <w:keepNext/>
              <w:keepLines/>
              <w:spacing w:after="0"/>
              <w:jc w:val="center"/>
              <w:rPr>
                <w:rFonts w:ascii="Arial" w:eastAsia="SimSun" w:hAnsi="Arial"/>
                <w:noProof/>
                <w:sz w:val="18"/>
                <w:lang w:eastAsia="zh-CN"/>
              </w:rPr>
            </w:pPr>
            <w:r w:rsidRPr="00CC206F">
              <w:rPr>
                <w:rFonts w:ascii="Arial" w:eastAsia="SimSun" w:hAnsi="Arial"/>
                <w:noProof/>
                <w:sz w:val="18"/>
                <w:lang w:eastAsia="zh-CN"/>
              </w:rPr>
              <w:t>ms</w:t>
            </w:r>
          </w:p>
        </w:tc>
        <w:tc>
          <w:tcPr>
            <w:tcW w:w="1079" w:type="pct"/>
            <w:shd w:val="clear" w:color="auto" w:fill="auto"/>
          </w:tcPr>
          <w:p w14:paraId="6FA999DD" w14:textId="77777777" w:rsidR="003A71DE" w:rsidRPr="00CC206F" w:rsidRDefault="003A71DE" w:rsidP="003A71DE">
            <w:pPr>
              <w:keepNext/>
              <w:keepLines/>
              <w:spacing w:after="0"/>
              <w:jc w:val="center"/>
              <w:rPr>
                <w:rFonts w:ascii="Arial" w:eastAsia="SimSun" w:hAnsi="Arial"/>
                <w:noProof/>
                <w:sz w:val="18"/>
                <w:lang w:eastAsia="zh-CN"/>
              </w:rPr>
            </w:pPr>
            <w:r w:rsidRPr="00CC206F">
              <w:rPr>
                <w:rFonts w:ascii="Arial" w:eastAsia="SimSun" w:hAnsi="Arial"/>
                <w:noProof/>
                <w:sz w:val="18"/>
                <w:lang w:eastAsia="zh-CN"/>
              </w:rPr>
              <w:t>1000</w:t>
            </w:r>
          </w:p>
        </w:tc>
        <w:tc>
          <w:tcPr>
            <w:tcW w:w="1050" w:type="pct"/>
          </w:tcPr>
          <w:p w14:paraId="58809AD6"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0F931C58" w14:textId="77777777" w:rsidTr="003A71DE">
        <w:trPr>
          <w:trHeight w:val="186"/>
          <w:jc w:val="center"/>
        </w:trPr>
        <w:tc>
          <w:tcPr>
            <w:tcW w:w="2349" w:type="pct"/>
            <w:gridSpan w:val="2"/>
            <w:shd w:val="clear" w:color="auto" w:fill="auto"/>
          </w:tcPr>
          <w:p w14:paraId="7A2F6CBA" w14:textId="77777777" w:rsidR="003A71DE" w:rsidRPr="00CC206F" w:rsidRDefault="003A71DE" w:rsidP="003A71DE">
            <w:pPr>
              <w:keepNext/>
              <w:keepLines/>
              <w:spacing w:after="0"/>
              <w:rPr>
                <w:rFonts w:ascii="Arial" w:eastAsia="SimSun" w:hAnsi="Arial"/>
                <w:noProof/>
                <w:sz w:val="18"/>
                <w:lang w:eastAsia="zh-CN"/>
              </w:rPr>
            </w:pPr>
            <w:r w:rsidRPr="00CC206F">
              <w:rPr>
                <w:rFonts w:ascii="Arial" w:eastAsia="SimSun" w:hAnsi="Arial"/>
                <w:noProof/>
                <w:sz w:val="18"/>
                <w:lang w:eastAsia="zh-CN"/>
              </w:rPr>
              <w:t>N310</w:t>
            </w:r>
          </w:p>
        </w:tc>
        <w:tc>
          <w:tcPr>
            <w:tcW w:w="522" w:type="pct"/>
            <w:shd w:val="clear" w:color="auto" w:fill="auto"/>
          </w:tcPr>
          <w:p w14:paraId="086B261E" w14:textId="77777777" w:rsidR="003A71DE" w:rsidRPr="00CC206F" w:rsidRDefault="003A71DE" w:rsidP="003A71DE">
            <w:pPr>
              <w:keepNext/>
              <w:keepLines/>
              <w:spacing w:after="0"/>
              <w:jc w:val="center"/>
              <w:rPr>
                <w:rFonts w:ascii="Arial" w:eastAsia="SimSun" w:hAnsi="Arial"/>
                <w:noProof/>
                <w:sz w:val="18"/>
              </w:rPr>
            </w:pPr>
          </w:p>
        </w:tc>
        <w:tc>
          <w:tcPr>
            <w:tcW w:w="1079" w:type="pct"/>
            <w:shd w:val="clear" w:color="auto" w:fill="auto"/>
          </w:tcPr>
          <w:p w14:paraId="11A1FAD5" w14:textId="77777777" w:rsidR="003A71DE" w:rsidRPr="00CC206F" w:rsidRDefault="003A71DE" w:rsidP="003A71DE">
            <w:pPr>
              <w:keepNext/>
              <w:keepLines/>
              <w:spacing w:after="0"/>
              <w:jc w:val="center"/>
              <w:rPr>
                <w:rFonts w:ascii="Arial" w:eastAsia="SimSun" w:hAnsi="Arial"/>
                <w:noProof/>
                <w:sz w:val="18"/>
                <w:lang w:eastAsia="zh-CN"/>
              </w:rPr>
            </w:pPr>
            <w:r w:rsidRPr="00CC206F">
              <w:rPr>
                <w:rFonts w:ascii="Arial" w:eastAsia="SimSun" w:hAnsi="Arial"/>
                <w:noProof/>
                <w:sz w:val="18"/>
                <w:lang w:eastAsia="zh-CN"/>
              </w:rPr>
              <w:t>2</w:t>
            </w:r>
          </w:p>
        </w:tc>
        <w:tc>
          <w:tcPr>
            <w:tcW w:w="1050" w:type="pct"/>
          </w:tcPr>
          <w:p w14:paraId="0E207E1F"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27CFD8F9" w14:textId="77777777" w:rsidTr="003A71DE">
        <w:trPr>
          <w:trHeight w:val="164"/>
          <w:jc w:val="center"/>
        </w:trPr>
        <w:tc>
          <w:tcPr>
            <w:tcW w:w="2349" w:type="pct"/>
            <w:gridSpan w:val="2"/>
            <w:shd w:val="clear" w:color="auto" w:fill="auto"/>
          </w:tcPr>
          <w:p w14:paraId="19B30E79"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T1</w:t>
            </w:r>
          </w:p>
        </w:tc>
        <w:tc>
          <w:tcPr>
            <w:tcW w:w="522" w:type="pct"/>
            <w:shd w:val="clear" w:color="auto" w:fill="auto"/>
          </w:tcPr>
          <w:p w14:paraId="053EFBC5"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s</w:t>
            </w:r>
          </w:p>
        </w:tc>
        <w:tc>
          <w:tcPr>
            <w:tcW w:w="1079" w:type="pct"/>
            <w:shd w:val="clear" w:color="auto" w:fill="auto"/>
          </w:tcPr>
          <w:p w14:paraId="5C4D76CD"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0.2</w:t>
            </w:r>
          </w:p>
        </w:tc>
        <w:tc>
          <w:tcPr>
            <w:tcW w:w="1050" w:type="pct"/>
          </w:tcPr>
          <w:p w14:paraId="22D38631"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During this time the the IAB-MT shall be fully synchronized to cell 1</w:t>
            </w:r>
          </w:p>
        </w:tc>
      </w:tr>
      <w:tr w:rsidR="003A71DE" w:rsidRPr="00CC206F" w14:paraId="5AF52D29" w14:textId="77777777" w:rsidTr="003A71DE">
        <w:trPr>
          <w:trHeight w:val="176"/>
          <w:jc w:val="center"/>
        </w:trPr>
        <w:tc>
          <w:tcPr>
            <w:tcW w:w="2349" w:type="pct"/>
            <w:gridSpan w:val="2"/>
            <w:shd w:val="clear" w:color="auto" w:fill="auto"/>
          </w:tcPr>
          <w:p w14:paraId="6BC393C2"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T2</w:t>
            </w:r>
          </w:p>
        </w:tc>
        <w:tc>
          <w:tcPr>
            <w:tcW w:w="522" w:type="pct"/>
            <w:shd w:val="clear" w:color="auto" w:fill="auto"/>
          </w:tcPr>
          <w:p w14:paraId="4908685F"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s</w:t>
            </w:r>
          </w:p>
        </w:tc>
        <w:tc>
          <w:tcPr>
            <w:tcW w:w="1079" w:type="pct"/>
            <w:shd w:val="clear" w:color="auto" w:fill="auto"/>
          </w:tcPr>
          <w:p w14:paraId="6298D7C1"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0.18</w:t>
            </w:r>
          </w:p>
        </w:tc>
        <w:tc>
          <w:tcPr>
            <w:tcW w:w="1050" w:type="pct"/>
          </w:tcPr>
          <w:p w14:paraId="1C99FFC0"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66B4BF8E" w14:textId="77777777" w:rsidTr="003A71DE">
        <w:trPr>
          <w:trHeight w:val="164"/>
          <w:jc w:val="center"/>
        </w:trPr>
        <w:tc>
          <w:tcPr>
            <w:tcW w:w="2349" w:type="pct"/>
            <w:gridSpan w:val="2"/>
            <w:shd w:val="clear" w:color="auto" w:fill="auto"/>
          </w:tcPr>
          <w:p w14:paraId="0AD25185"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lastRenderedPageBreak/>
              <w:t>T3</w:t>
            </w:r>
          </w:p>
        </w:tc>
        <w:tc>
          <w:tcPr>
            <w:tcW w:w="522" w:type="pct"/>
            <w:shd w:val="clear" w:color="auto" w:fill="auto"/>
          </w:tcPr>
          <w:p w14:paraId="418E03B4"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s</w:t>
            </w:r>
          </w:p>
        </w:tc>
        <w:tc>
          <w:tcPr>
            <w:tcW w:w="1079" w:type="pct"/>
            <w:shd w:val="clear" w:color="auto" w:fill="auto"/>
          </w:tcPr>
          <w:p w14:paraId="0030E690"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0.14</w:t>
            </w:r>
          </w:p>
        </w:tc>
        <w:tc>
          <w:tcPr>
            <w:tcW w:w="1050" w:type="pct"/>
          </w:tcPr>
          <w:p w14:paraId="6F09D171"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215D06DD" w14:textId="77777777" w:rsidTr="003A71DE">
        <w:trPr>
          <w:trHeight w:val="164"/>
          <w:jc w:val="center"/>
        </w:trPr>
        <w:tc>
          <w:tcPr>
            <w:tcW w:w="2349" w:type="pct"/>
            <w:gridSpan w:val="2"/>
            <w:shd w:val="clear" w:color="auto" w:fill="auto"/>
          </w:tcPr>
          <w:p w14:paraId="3F259B34"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lang w:eastAsia="zh-CN"/>
              </w:rPr>
              <w:t>T4</w:t>
            </w:r>
          </w:p>
        </w:tc>
        <w:tc>
          <w:tcPr>
            <w:tcW w:w="522" w:type="pct"/>
            <w:shd w:val="clear" w:color="auto" w:fill="auto"/>
          </w:tcPr>
          <w:p w14:paraId="20BFF3F5"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s</w:t>
            </w:r>
          </w:p>
        </w:tc>
        <w:tc>
          <w:tcPr>
            <w:tcW w:w="1079" w:type="pct"/>
            <w:shd w:val="clear" w:color="auto" w:fill="auto"/>
          </w:tcPr>
          <w:p w14:paraId="7EFEBE37"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w:t>
            </w:r>
          </w:p>
        </w:tc>
        <w:tc>
          <w:tcPr>
            <w:tcW w:w="1050" w:type="pct"/>
          </w:tcPr>
          <w:p w14:paraId="0DD43760"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2682866D" w14:textId="77777777" w:rsidTr="003A71DE">
        <w:trPr>
          <w:trHeight w:val="164"/>
          <w:jc w:val="center"/>
        </w:trPr>
        <w:tc>
          <w:tcPr>
            <w:tcW w:w="2349" w:type="pct"/>
            <w:gridSpan w:val="2"/>
            <w:shd w:val="clear" w:color="auto" w:fill="auto"/>
          </w:tcPr>
          <w:p w14:paraId="08DD0D7A"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lang w:eastAsia="zh-CN"/>
              </w:rPr>
              <w:t>T5</w:t>
            </w:r>
          </w:p>
        </w:tc>
        <w:tc>
          <w:tcPr>
            <w:tcW w:w="522" w:type="pct"/>
            <w:shd w:val="clear" w:color="auto" w:fill="auto"/>
          </w:tcPr>
          <w:p w14:paraId="235AB5D9"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s</w:t>
            </w:r>
          </w:p>
        </w:tc>
        <w:tc>
          <w:tcPr>
            <w:tcW w:w="1079" w:type="pct"/>
            <w:shd w:val="clear" w:color="auto" w:fill="auto"/>
          </w:tcPr>
          <w:p w14:paraId="69FF05F8"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0.08</w:t>
            </w:r>
          </w:p>
        </w:tc>
        <w:tc>
          <w:tcPr>
            <w:tcW w:w="1050" w:type="pct"/>
          </w:tcPr>
          <w:p w14:paraId="7794E783"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0071AC6A" w14:textId="77777777" w:rsidTr="003A71DE">
        <w:trPr>
          <w:trHeight w:val="164"/>
          <w:jc w:val="center"/>
        </w:trPr>
        <w:tc>
          <w:tcPr>
            <w:tcW w:w="2349" w:type="pct"/>
            <w:gridSpan w:val="2"/>
            <w:shd w:val="clear" w:color="auto" w:fill="auto"/>
          </w:tcPr>
          <w:p w14:paraId="786BC48F" w14:textId="77777777" w:rsidR="003A71DE" w:rsidRPr="00CC206F" w:rsidRDefault="003A71DE" w:rsidP="003A71DE">
            <w:pPr>
              <w:keepNext/>
              <w:keepLines/>
              <w:spacing w:after="0"/>
              <w:rPr>
                <w:rFonts w:ascii="Arial" w:eastAsia="SimSun" w:hAnsi="Arial"/>
                <w:noProof/>
                <w:sz w:val="18"/>
              </w:rPr>
            </w:pPr>
            <w:r w:rsidRPr="00CC206F">
              <w:rPr>
                <w:rFonts w:ascii="Arial" w:eastAsia="SimSun" w:hAnsi="Arial"/>
                <w:noProof/>
                <w:sz w:val="18"/>
              </w:rPr>
              <w:t>D1</w:t>
            </w:r>
          </w:p>
        </w:tc>
        <w:tc>
          <w:tcPr>
            <w:tcW w:w="522" w:type="pct"/>
            <w:shd w:val="clear" w:color="auto" w:fill="auto"/>
          </w:tcPr>
          <w:p w14:paraId="59608E4B"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s</w:t>
            </w:r>
          </w:p>
        </w:tc>
        <w:tc>
          <w:tcPr>
            <w:tcW w:w="1079" w:type="pct"/>
            <w:shd w:val="clear" w:color="auto" w:fill="auto"/>
          </w:tcPr>
          <w:p w14:paraId="683FC642"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SimSun" w:hAnsi="Arial"/>
                <w:noProof/>
                <w:sz w:val="18"/>
              </w:rPr>
              <w:t>0.04</w:t>
            </w:r>
          </w:p>
        </w:tc>
        <w:tc>
          <w:tcPr>
            <w:tcW w:w="1050" w:type="pct"/>
          </w:tcPr>
          <w:p w14:paraId="71A5CB35" w14:textId="77777777" w:rsidR="003A71DE" w:rsidRPr="00CC206F" w:rsidRDefault="003A71DE" w:rsidP="003A71DE">
            <w:pPr>
              <w:keepNext/>
              <w:keepLines/>
              <w:spacing w:after="0"/>
              <w:jc w:val="center"/>
              <w:rPr>
                <w:rFonts w:ascii="Arial" w:eastAsia="SimSun" w:hAnsi="Arial"/>
                <w:noProof/>
                <w:sz w:val="18"/>
              </w:rPr>
            </w:pPr>
          </w:p>
        </w:tc>
      </w:tr>
      <w:tr w:rsidR="003A71DE" w:rsidRPr="00CC206F" w14:paraId="4BD20383" w14:textId="77777777" w:rsidTr="003A71DE">
        <w:trPr>
          <w:jc w:val="center"/>
        </w:trPr>
        <w:tc>
          <w:tcPr>
            <w:tcW w:w="5000" w:type="pct"/>
            <w:gridSpan w:val="5"/>
          </w:tcPr>
          <w:p w14:paraId="23F0113C" w14:textId="77777777" w:rsidR="003A71DE" w:rsidRPr="00CC206F" w:rsidRDefault="003A71DE" w:rsidP="00A40F90">
            <w:pPr>
              <w:pStyle w:val="TAN"/>
              <w:rPr>
                <w:rFonts w:eastAsia="SimSun"/>
              </w:rPr>
            </w:pPr>
            <w:r w:rsidRPr="00CC206F">
              <w:rPr>
                <w:rFonts w:eastAsia="SimSun"/>
              </w:rPr>
              <w:t>Note 1:</w:t>
            </w:r>
            <w:r w:rsidRPr="00CC206F">
              <w:rPr>
                <w:rFonts w:eastAsia="SimSun"/>
              </w:rPr>
              <w:tab/>
              <w:t>IAB-MT-specific PDCCH is not transmitted after T1 starts.</w:t>
            </w:r>
          </w:p>
        </w:tc>
      </w:tr>
    </w:tbl>
    <w:p w14:paraId="52DDA054" w14:textId="77777777" w:rsidR="003A71DE" w:rsidRPr="00CC206F" w:rsidRDefault="003A71DE" w:rsidP="003A71DE">
      <w:pPr>
        <w:spacing w:before="120"/>
        <w:rPr>
          <w:rFonts w:eastAsia="SimSun"/>
        </w:rPr>
      </w:pPr>
    </w:p>
    <w:p w14:paraId="1B5C8FAF" w14:textId="77777777" w:rsidR="003A71DE" w:rsidRPr="00CC206F" w:rsidRDefault="003A71DE" w:rsidP="00746C0D">
      <w:pPr>
        <w:pStyle w:val="TH"/>
        <w:rPr>
          <w:rFonts w:eastAsia="SimSun"/>
        </w:rPr>
      </w:pPr>
      <w:r w:rsidRPr="00CC206F">
        <w:rPr>
          <w:rFonts w:eastAsia="SimSun"/>
        </w:rPr>
        <w:t>Table G.2.3.2.</w:t>
      </w:r>
      <w:r>
        <w:rPr>
          <w:rFonts w:eastAsia="SimSun"/>
        </w:rPr>
        <w:t>4</w:t>
      </w:r>
      <w:r w:rsidRPr="00CC206F">
        <w:rPr>
          <w:rFonts w:eastAsia="SimSun"/>
        </w:rPr>
        <w:t>.1-3: Cell specific test parameters for FR2 PCell for CSI-RS based beam failure detection and link recovery testing in non-DRX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1418"/>
        <w:gridCol w:w="850"/>
        <w:gridCol w:w="879"/>
        <w:gridCol w:w="879"/>
        <w:gridCol w:w="879"/>
        <w:gridCol w:w="879"/>
        <w:gridCol w:w="879"/>
      </w:tblGrid>
      <w:tr w:rsidR="003A71DE" w:rsidRPr="00CC206F" w14:paraId="3A3333AC" w14:textId="77777777" w:rsidTr="007835E8">
        <w:trPr>
          <w:cantSplit/>
          <w:jc w:val="center"/>
        </w:trPr>
        <w:tc>
          <w:tcPr>
            <w:tcW w:w="3681" w:type="dxa"/>
            <w:gridSpan w:val="2"/>
            <w:tcBorders>
              <w:top w:val="single" w:sz="4" w:space="0" w:color="auto"/>
              <w:left w:val="single" w:sz="4" w:space="0" w:color="auto"/>
              <w:bottom w:val="nil"/>
              <w:right w:val="single" w:sz="4" w:space="0" w:color="auto"/>
            </w:tcBorders>
            <w:shd w:val="clear" w:color="auto" w:fill="auto"/>
            <w:hideMark/>
          </w:tcPr>
          <w:p w14:paraId="4900E5E5" w14:textId="77777777" w:rsidR="003A71DE" w:rsidRPr="00CC206F" w:rsidRDefault="003A71DE" w:rsidP="0090095F">
            <w:pPr>
              <w:pStyle w:val="TAH"/>
              <w:rPr>
                <w:rFonts w:eastAsia="SimSun"/>
              </w:rPr>
            </w:pPr>
            <w:r w:rsidRPr="00CC206F">
              <w:rPr>
                <w:rFonts w:eastAsia="SimSun"/>
              </w:rPr>
              <w:t>Parameter</w:t>
            </w:r>
          </w:p>
        </w:tc>
        <w:tc>
          <w:tcPr>
            <w:tcW w:w="850" w:type="dxa"/>
            <w:tcBorders>
              <w:top w:val="single" w:sz="4" w:space="0" w:color="auto"/>
              <w:left w:val="single" w:sz="4" w:space="0" w:color="auto"/>
              <w:bottom w:val="nil"/>
              <w:right w:val="single" w:sz="4" w:space="0" w:color="auto"/>
            </w:tcBorders>
            <w:shd w:val="clear" w:color="auto" w:fill="auto"/>
            <w:hideMark/>
          </w:tcPr>
          <w:p w14:paraId="42805A4F" w14:textId="77777777" w:rsidR="003A71DE" w:rsidRPr="00CC206F" w:rsidRDefault="003A71DE" w:rsidP="0090095F">
            <w:pPr>
              <w:pStyle w:val="TAH"/>
              <w:rPr>
                <w:rFonts w:eastAsia="SimSun"/>
              </w:rPr>
            </w:pPr>
            <w:r w:rsidRPr="00CC206F">
              <w:rPr>
                <w:rFonts w:eastAsia="SimSun"/>
              </w:rPr>
              <w:t>Unit</w:t>
            </w:r>
          </w:p>
        </w:tc>
        <w:tc>
          <w:tcPr>
            <w:tcW w:w="4395" w:type="dxa"/>
            <w:gridSpan w:val="5"/>
            <w:tcBorders>
              <w:top w:val="single" w:sz="4" w:space="0" w:color="auto"/>
              <w:left w:val="single" w:sz="4" w:space="0" w:color="auto"/>
              <w:bottom w:val="single" w:sz="4" w:space="0" w:color="auto"/>
              <w:right w:val="single" w:sz="4" w:space="0" w:color="auto"/>
            </w:tcBorders>
            <w:hideMark/>
          </w:tcPr>
          <w:p w14:paraId="5115538D" w14:textId="77777777" w:rsidR="003A71DE" w:rsidRPr="00CC206F" w:rsidRDefault="003A71DE" w:rsidP="0090095F">
            <w:pPr>
              <w:pStyle w:val="TAH"/>
              <w:rPr>
                <w:rFonts w:eastAsia="SimSun"/>
              </w:rPr>
            </w:pPr>
            <w:r w:rsidRPr="00CC206F">
              <w:rPr>
                <w:rFonts w:eastAsia="SimSun"/>
              </w:rPr>
              <w:t>Test 1</w:t>
            </w:r>
          </w:p>
        </w:tc>
      </w:tr>
      <w:tr w:rsidR="003A71DE" w:rsidRPr="00CC206F" w14:paraId="51C7A2FA" w14:textId="77777777" w:rsidTr="007835E8">
        <w:trPr>
          <w:cantSplit/>
          <w:jc w:val="center"/>
        </w:trPr>
        <w:tc>
          <w:tcPr>
            <w:tcW w:w="3681" w:type="dxa"/>
            <w:gridSpan w:val="2"/>
            <w:tcBorders>
              <w:top w:val="nil"/>
              <w:left w:val="single" w:sz="4" w:space="0" w:color="auto"/>
              <w:bottom w:val="single" w:sz="4" w:space="0" w:color="auto"/>
              <w:right w:val="single" w:sz="4" w:space="0" w:color="auto"/>
            </w:tcBorders>
            <w:shd w:val="clear" w:color="auto" w:fill="auto"/>
            <w:hideMark/>
          </w:tcPr>
          <w:p w14:paraId="59521317" w14:textId="77777777" w:rsidR="003A71DE" w:rsidRPr="00CC206F" w:rsidRDefault="003A71DE" w:rsidP="0090095F">
            <w:pPr>
              <w:pStyle w:val="TAH"/>
              <w:rPr>
                <w:rFonts w:eastAsia="SimSun"/>
              </w:rPr>
            </w:pPr>
          </w:p>
        </w:tc>
        <w:tc>
          <w:tcPr>
            <w:tcW w:w="850" w:type="dxa"/>
            <w:tcBorders>
              <w:top w:val="nil"/>
              <w:left w:val="single" w:sz="4" w:space="0" w:color="auto"/>
              <w:bottom w:val="single" w:sz="4" w:space="0" w:color="auto"/>
              <w:right w:val="single" w:sz="4" w:space="0" w:color="auto"/>
            </w:tcBorders>
            <w:shd w:val="clear" w:color="auto" w:fill="auto"/>
            <w:hideMark/>
          </w:tcPr>
          <w:p w14:paraId="3CB34FBE" w14:textId="77777777" w:rsidR="003A71DE" w:rsidRPr="00CC206F" w:rsidRDefault="003A71DE" w:rsidP="0090095F">
            <w:pPr>
              <w:pStyle w:val="TAH"/>
              <w:rPr>
                <w:rFonts w:eastAsia="SimSun"/>
              </w:rPr>
            </w:pPr>
          </w:p>
        </w:tc>
        <w:tc>
          <w:tcPr>
            <w:tcW w:w="879" w:type="dxa"/>
            <w:tcBorders>
              <w:top w:val="single" w:sz="4" w:space="0" w:color="auto"/>
              <w:left w:val="single" w:sz="4" w:space="0" w:color="auto"/>
              <w:bottom w:val="single" w:sz="4" w:space="0" w:color="auto"/>
              <w:right w:val="single" w:sz="4" w:space="0" w:color="auto"/>
            </w:tcBorders>
            <w:hideMark/>
          </w:tcPr>
          <w:p w14:paraId="46070590" w14:textId="77777777" w:rsidR="003A71DE" w:rsidRPr="00CC206F" w:rsidRDefault="003A71DE" w:rsidP="0090095F">
            <w:pPr>
              <w:pStyle w:val="TAH"/>
              <w:rPr>
                <w:rFonts w:eastAsia="SimSun"/>
              </w:rPr>
            </w:pPr>
            <w:r w:rsidRPr="00CC206F">
              <w:rPr>
                <w:rFonts w:eastAsia="SimSun"/>
              </w:rPr>
              <w:t>T1</w:t>
            </w:r>
          </w:p>
        </w:tc>
        <w:tc>
          <w:tcPr>
            <w:tcW w:w="879" w:type="dxa"/>
            <w:tcBorders>
              <w:top w:val="single" w:sz="4" w:space="0" w:color="auto"/>
              <w:left w:val="single" w:sz="4" w:space="0" w:color="auto"/>
              <w:bottom w:val="single" w:sz="4" w:space="0" w:color="auto"/>
              <w:right w:val="single" w:sz="4" w:space="0" w:color="auto"/>
            </w:tcBorders>
            <w:hideMark/>
          </w:tcPr>
          <w:p w14:paraId="166D417A" w14:textId="77777777" w:rsidR="003A71DE" w:rsidRPr="00CC206F" w:rsidRDefault="003A71DE" w:rsidP="0090095F">
            <w:pPr>
              <w:pStyle w:val="TAH"/>
              <w:rPr>
                <w:rFonts w:eastAsia="SimSun"/>
              </w:rPr>
            </w:pPr>
            <w:r w:rsidRPr="00CC206F">
              <w:rPr>
                <w:rFonts w:eastAsia="SimSun"/>
              </w:rPr>
              <w:t>T2</w:t>
            </w:r>
          </w:p>
        </w:tc>
        <w:tc>
          <w:tcPr>
            <w:tcW w:w="879" w:type="dxa"/>
            <w:tcBorders>
              <w:top w:val="single" w:sz="4" w:space="0" w:color="auto"/>
              <w:left w:val="single" w:sz="4" w:space="0" w:color="auto"/>
              <w:bottom w:val="single" w:sz="4" w:space="0" w:color="auto"/>
              <w:right w:val="single" w:sz="4" w:space="0" w:color="auto"/>
            </w:tcBorders>
            <w:hideMark/>
          </w:tcPr>
          <w:p w14:paraId="7875A8D4" w14:textId="77777777" w:rsidR="003A71DE" w:rsidRPr="00CC206F" w:rsidRDefault="003A71DE" w:rsidP="0090095F">
            <w:pPr>
              <w:pStyle w:val="TAH"/>
              <w:rPr>
                <w:rFonts w:eastAsia="SimSun"/>
              </w:rPr>
            </w:pPr>
            <w:r w:rsidRPr="00CC206F">
              <w:rPr>
                <w:rFonts w:eastAsia="SimSun"/>
              </w:rPr>
              <w:t>T3</w:t>
            </w:r>
          </w:p>
        </w:tc>
        <w:tc>
          <w:tcPr>
            <w:tcW w:w="879" w:type="dxa"/>
            <w:tcBorders>
              <w:top w:val="single" w:sz="4" w:space="0" w:color="auto"/>
              <w:left w:val="single" w:sz="4" w:space="0" w:color="auto"/>
              <w:bottom w:val="single" w:sz="4" w:space="0" w:color="auto"/>
              <w:right w:val="single" w:sz="4" w:space="0" w:color="auto"/>
            </w:tcBorders>
            <w:hideMark/>
          </w:tcPr>
          <w:p w14:paraId="54DAC01B" w14:textId="77777777" w:rsidR="003A71DE" w:rsidRPr="00CC206F" w:rsidRDefault="003A71DE" w:rsidP="0090095F">
            <w:pPr>
              <w:pStyle w:val="TAH"/>
              <w:rPr>
                <w:rFonts w:eastAsia="SimSun"/>
              </w:rPr>
            </w:pPr>
            <w:r w:rsidRPr="00CC206F">
              <w:rPr>
                <w:rFonts w:eastAsia="SimSun"/>
              </w:rPr>
              <w:t>T4</w:t>
            </w:r>
          </w:p>
        </w:tc>
        <w:tc>
          <w:tcPr>
            <w:tcW w:w="879" w:type="dxa"/>
            <w:tcBorders>
              <w:top w:val="single" w:sz="4" w:space="0" w:color="auto"/>
              <w:left w:val="single" w:sz="4" w:space="0" w:color="auto"/>
              <w:bottom w:val="single" w:sz="4" w:space="0" w:color="auto"/>
              <w:right w:val="single" w:sz="4" w:space="0" w:color="auto"/>
            </w:tcBorders>
            <w:hideMark/>
          </w:tcPr>
          <w:p w14:paraId="6708A5A5" w14:textId="77777777" w:rsidR="003A71DE" w:rsidRPr="00CC206F" w:rsidRDefault="003A71DE" w:rsidP="0090095F">
            <w:pPr>
              <w:pStyle w:val="TAH"/>
              <w:rPr>
                <w:rFonts w:eastAsia="SimSun"/>
              </w:rPr>
            </w:pPr>
            <w:r w:rsidRPr="00CC206F">
              <w:rPr>
                <w:rFonts w:eastAsia="SimSun"/>
              </w:rPr>
              <w:t>T5</w:t>
            </w:r>
          </w:p>
        </w:tc>
      </w:tr>
      <w:tr w:rsidR="003A71DE" w:rsidRPr="00CC206F" w14:paraId="56D737AF"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tcPr>
          <w:p w14:paraId="72C42A35" w14:textId="77777777" w:rsidR="003A71DE" w:rsidRPr="00CC206F" w:rsidRDefault="003A71DE" w:rsidP="00A40F90">
            <w:pPr>
              <w:pStyle w:val="TAL"/>
              <w:rPr>
                <w:rFonts w:eastAsia="SimSun"/>
                <w:lang w:eastAsia="ja-JP"/>
              </w:rPr>
            </w:pPr>
            <w:r w:rsidRPr="00CC206F">
              <w:rPr>
                <w:rFonts w:eastAsia="SimSun"/>
              </w:rPr>
              <w:t>AoA setup</w:t>
            </w:r>
          </w:p>
        </w:tc>
        <w:tc>
          <w:tcPr>
            <w:tcW w:w="850" w:type="dxa"/>
            <w:tcBorders>
              <w:top w:val="single" w:sz="4" w:space="0" w:color="auto"/>
              <w:left w:val="single" w:sz="4" w:space="0" w:color="auto"/>
              <w:bottom w:val="single" w:sz="4" w:space="0" w:color="auto"/>
              <w:right w:val="single" w:sz="4" w:space="0" w:color="auto"/>
            </w:tcBorders>
          </w:tcPr>
          <w:p w14:paraId="6A9427D7" w14:textId="77777777" w:rsidR="003A71DE" w:rsidRPr="00CC206F" w:rsidRDefault="003A71DE" w:rsidP="00A40F90">
            <w:pPr>
              <w:pStyle w:val="TAC"/>
              <w:rPr>
                <w:rFonts w:eastAsia="SimSun"/>
              </w:rPr>
            </w:pPr>
          </w:p>
        </w:tc>
        <w:tc>
          <w:tcPr>
            <w:tcW w:w="4395" w:type="dxa"/>
            <w:gridSpan w:val="5"/>
            <w:tcBorders>
              <w:top w:val="single" w:sz="4" w:space="0" w:color="auto"/>
              <w:left w:val="single" w:sz="4" w:space="0" w:color="auto"/>
              <w:right w:val="single" w:sz="4" w:space="0" w:color="auto"/>
            </w:tcBorders>
          </w:tcPr>
          <w:p w14:paraId="50C95538" w14:textId="77777777" w:rsidR="003A71DE" w:rsidRPr="00CC206F" w:rsidRDefault="003A71DE" w:rsidP="00A40F90">
            <w:pPr>
              <w:pStyle w:val="TAC"/>
              <w:rPr>
                <w:rFonts w:eastAsia="SimSun"/>
              </w:rPr>
            </w:pPr>
            <w:r w:rsidRPr="00CC206F">
              <w:rPr>
                <w:rFonts w:eastAsia="SimSun"/>
              </w:rPr>
              <w:t>Setup 1 defined in G.1.8</w:t>
            </w:r>
          </w:p>
        </w:tc>
      </w:tr>
      <w:tr w:rsidR="003A71DE" w:rsidRPr="00CC206F" w14:paraId="7053C6BA"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19801576" w14:textId="77777777" w:rsidR="003A71DE" w:rsidRPr="00CC206F" w:rsidRDefault="003A71DE" w:rsidP="00A40F90">
            <w:pPr>
              <w:pStyle w:val="TAL"/>
              <w:rPr>
                <w:rFonts w:eastAsia="SimSun"/>
              </w:rPr>
            </w:pPr>
            <w:r w:rsidRPr="00CC206F">
              <w:rPr>
                <w:rFonts w:eastAsia="SimSun"/>
                <w:lang w:eastAsia="ja-JP"/>
              </w:rPr>
              <w:t>EPRE ratio of PDCCH DMRS to SSS</w:t>
            </w:r>
          </w:p>
        </w:tc>
        <w:tc>
          <w:tcPr>
            <w:tcW w:w="850" w:type="dxa"/>
            <w:tcBorders>
              <w:top w:val="single" w:sz="4" w:space="0" w:color="auto"/>
              <w:left w:val="single" w:sz="4" w:space="0" w:color="auto"/>
              <w:bottom w:val="single" w:sz="4" w:space="0" w:color="auto"/>
              <w:right w:val="single" w:sz="4" w:space="0" w:color="auto"/>
            </w:tcBorders>
            <w:hideMark/>
          </w:tcPr>
          <w:p w14:paraId="61C3FE05"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single" w:sz="4" w:space="0" w:color="auto"/>
              <w:left w:val="single" w:sz="4" w:space="0" w:color="auto"/>
              <w:bottom w:val="nil"/>
              <w:right w:val="single" w:sz="4" w:space="0" w:color="auto"/>
            </w:tcBorders>
            <w:shd w:val="clear" w:color="auto" w:fill="auto"/>
          </w:tcPr>
          <w:p w14:paraId="36F501D3" w14:textId="77777777" w:rsidR="003A71DE" w:rsidRPr="00CC206F" w:rsidRDefault="003A71DE" w:rsidP="00A40F90">
            <w:pPr>
              <w:pStyle w:val="TAC"/>
              <w:rPr>
                <w:rFonts w:eastAsia="SimSun"/>
              </w:rPr>
            </w:pPr>
            <w:r w:rsidRPr="00CC206F">
              <w:rPr>
                <w:rFonts w:eastAsia="SimSun"/>
              </w:rPr>
              <w:t>0</w:t>
            </w:r>
          </w:p>
        </w:tc>
      </w:tr>
      <w:tr w:rsidR="003A71DE" w:rsidRPr="00CC206F" w14:paraId="22EBFAC4"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58FBCDEC" w14:textId="77777777" w:rsidR="003A71DE" w:rsidRPr="00CC206F" w:rsidRDefault="003A71DE" w:rsidP="00A40F90">
            <w:pPr>
              <w:pStyle w:val="TAL"/>
              <w:rPr>
                <w:rFonts w:eastAsia="SimSun"/>
              </w:rPr>
            </w:pPr>
            <w:r w:rsidRPr="00CC206F">
              <w:rPr>
                <w:rFonts w:eastAsia="SimSun"/>
                <w:lang w:eastAsia="ja-JP"/>
              </w:rPr>
              <w:t>EPRE ratio of PDCCH to PDCCH DMRS</w:t>
            </w:r>
          </w:p>
        </w:tc>
        <w:tc>
          <w:tcPr>
            <w:tcW w:w="850" w:type="dxa"/>
            <w:tcBorders>
              <w:top w:val="single" w:sz="4" w:space="0" w:color="auto"/>
              <w:left w:val="single" w:sz="4" w:space="0" w:color="auto"/>
              <w:bottom w:val="single" w:sz="4" w:space="0" w:color="auto"/>
              <w:right w:val="single" w:sz="4" w:space="0" w:color="auto"/>
            </w:tcBorders>
            <w:hideMark/>
          </w:tcPr>
          <w:p w14:paraId="4F17B66B"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tcPr>
          <w:p w14:paraId="5BBDFEFC" w14:textId="77777777" w:rsidR="003A71DE" w:rsidRPr="00CC206F" w:rsidRDefault="003A71DE" w:rsidP="00A40F90">
            <w:pPr>
              <w:pStyle w:val="TAC"/>
              <w:rPr>
                <w:rFonts w:eastAsia="SimSun"/>
              </w:rPr>
            </w:pPr>
          </w:p>
        </w:tc>
      </w:tr>
      <w:tr w:rsidR="003A71DE" w:rsidRPr="00CC206F" w14:paraId="054C42A7"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51FFF649" w14:textId="77777777" w:rsidR="003A71DE" w:rsidRPr="00CC206F" w:rsidRDefault="003A71DE" w:rsidP="00A40F90">
            <w:pPr>
              <w:pStyle w:val="TAL"/>
              <w:rPr>
                <w:rFonts w:eastAsia="SimSun"/>
              </w:rPr>
            </w:pPr>
            <w:r w:rsidRPr="00CC206F">
              <w:rPr>
                <w:rFonts w:eastAsia="SimSun"/>
                <w:lang w:eastAsia="ja-JP"/>
              </w:rPr>
              <w:t>EPRE ratio of PBCH DMRS to SSS</w:t>
            </w:r>
          </w:p>
        </w:tc>
        <w:tc>
          <w:tcPr>
            <w:tcW w:w="850" w:type="dxa"/>
            <w:tcBorders>
              <w:top w:val="single" w:sz="4" w:space="0" w:color="auto"/>
              <w:left w:val="single" w:sz="4" w:space="0" w:color="auto"/>
              <w:bottom w:val="single" w:sz="4" w:space="0" w:color="auto"/>
              <w:right w:val="single" w:sz="4" w:space="0" w:color="auto"/>
            </w:tcBorders>
            <w:hideMark/>
          </w:tcPr>
          <w:p w14:paraId="63983A7D"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tcPr>
          <w:p w14:paraId="6208C3CC" w14:textId="77777777" w:rsidR="003A71DE" w:rsidRPr="00CC206F" w:rsidRDefault="003A71DE" w:rsidP="00A40F90">
            <w:pPr>
              <w:pStyle w:val="TAC"/>
              <w:rPr>
                <w:rFonts w:eastAsia="SimSun"/>
              </w:rPr>
            </w:pPr>
          </w:p>
        </w:tc>
      </w:tr>
      <w:tr w:rsidR="003A71DE" w:rsidRPr="00CC206F" w14:paraId="27E35E9C"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59A5B677" w14:textId="77777777" w:rsidR="003A71DE" w:rsidRPr="00CC206F" w:rsidRDefault="003A71DE" w:rsidP="00A40F90">
            <w:pPr>
              <w:pStyle w:val="TAL"/>
              <w:rPr>
                <w:rFonts w:eastAsia="SimSun"/>
              </w:rPr>
            </w:pPr>
            <w:r w:rsidRPr="00CC206F">
              <w:rPr>
                <w:rFonts w:eastAsia="SimSun"/>
                <w:lang w:eastAsia="ja-JP"/>
              </w:rPr>
              <w:t>EPRE ratio of PBCH to PBCH DMRS</w:t>
            </w:r>
          </w:p>
        </w:tc>
        <w:tc>
          <w:tcPr>
            <w:tcW w:w="850" w:type="dxa"/>
            <w:tcBorders>
              <w:top w:val="single" w:sz="4" w:space="0" w:color="auto"/>
              <w:left w:val="single" w:sz="4" w:space="0" w:color="auto"/>
              <w:bottom w:val="single" w:sz="4" w:space="0" w:color="auto"/>
              <w:right w:val="single" w:sz="4" w:space="0" w:color="auto"/>
            </w:tcBorders>
            <w:hideMark/>
          </w:tcPr>
          <w:p w14:paraId="4555DD1B"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hideMark/>
          </w:tcPr>
          <w:p w14:paraId="0A10218A" w14:textId="77777777" w:rsidR="003A71DE" w:rsidRPr="00CC206F" w:rsidRDefault="003A71DE" w:rsidP="00A40F90">
            <w:pPr>
              <w:pStyle w:val="TAC"/>
              <w:rPr>
                <w:rFonts w:eastAsia="SimSun"/>
              </w:rPr>
            </w:pPr>
          </w:p>
        </w:tc>
      </w:tr>
      <w:tr w:rsidR="003A71DE" w:rsidRPr="00CC206F" w14:paraId="6D85500E"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58B15858" w14:textId="77777777" w:rsidR="003A71DE" w:rsidRPr="00CC206F" w:rsidRDefault="003A71DE" w:rsidP="00A40F90">
            <w:pPr>
              <w:pStyle w:val="TAL"/>
              <w:rPr>
                <w:rFonts w:eastAsia="SimSun"/>
              </w:rPr>
            </w:pPr>
            <w:r w:rsidRPr="00CC206F">
              <w:rPr>
                <w:rFonts w:eastAsia="SimSun"/>
                <w:lang w:eastAsia="ja-JP"/>
              </w:rPr>
              <w:t>EPRE ratio of PSS to SSS</w:t>
            </w:r>
          </w:p>
        </w:tc>
        <w:tc>
          <w:tcPr>
            <w:tcW w:w="850" w:type="dxa"/>
            <w:tcBorders>
              <w:top w:val="single" w:sz="4" w:space="0" w:color="auto"/>
              <w:left w:val="single" w:sz="4" w:space="0" w:color="auto"/>
              <w:bottom w:val="single" w:sz="4" w:space="0" w:color="auto"/>
              <w:right w:val="single" w:sz="4" w:space="0" w:color="auto"/>
            </w:tcBorders>
            <w:hideMark/>
          </w:tcPr>
          <w:p w14:paraId="2697015C"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hideMark/>
          </w:tcPr>
          <w:p w14:paraId="0A1BF4A7" w14:textId="77777777" w:rsidR="003A71DE" w:rsidRPr="00CC206F" w:rsidRDefault="003A71DE" w:rsidP="00A40F90">
            <w:pPr>
              <w:pStyle w:val="TAC"/>
              <w:rPr>
                <w:rFonts w:eastAsia="SimSun"/>
              </w:rPr>
            </w:pPr>
          </w:p>
        </w:tc>
      </w:tr>
      <w:tr w:rsidR="003A71DE" w:rsidRPr="00CC206F" w14:paraId="00A5B852"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2E5D1B6E" w14:textId="77777777" w:rsidR="003A71DE" w:rsidRPr="00CC206F" w:rsidRDefault="003A71DE" w:rsidP="00A40F90">
            <w:pPr>
              <w:pStyle w:val="TAL"/>
              <w:rPr>
                <w:rFonts w:eastAsia="SimSun"/>
              </w:rPr>
            </w:pPr>
            <w:r w:rsidRPr="00CC206F">
              <w:rPr>
                <w:rFonts w:eastAsia="SimSun"/>
                <w:lang w:eastAsia="ja-JP"/>
              </w:rPr>
              <w:t xml:space="preserve">EPRE ratio of PDSCH DMRS to SSS </w:t>
            </w:r>
          </w:p>
        </w:tc>
        <w:tc>
          <w:tcPr>
            <w:tcW w:w="850" w:type="dxa"/>
            <w:tcBorders>
              <w:top w:val="single" w:sz="4" w:space="0" w:color="auto"/>
              <w:left w:val="single" w:sz="4" w:space="0" w:color="auto"/>
              <w:bottom w:val="single" w:sz="4" w:space="0" w:color="auto"/>
              <w:right w:val="single" w:sz="4" w:space="0" w:color="auto"/>
            </w:tcBorders>
            <w:hideMark/>
          </w:tcPr>
          <w:p w14:paraId="44F205A1"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hideMark/>
          </w:tcPr>
          <w:p w14:paraId="13CED3F2" w14:textId="77777777" w:rsidR="003A71DE" w:rsidRPr="00CC206F" w:rsidRDefault="003A71DE" w:rsidP="00A40F90">
            <w:pPr>
              <w:pStyle w:val="TAC"/>
              <w:rPr>
                <w:rFonts w:eastAsia="SimSun"/>
              </w:rPr>
            </w:pPr>
          </w:p>
        </w:tc>
      </w:tr>
      <w:tr w:rsidR="003A71DE" w:rsidRPr="00CC206F" w14:paraId="1FE57BF8"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709CC740" w14:textId="77777777" w:rsidR="003A71DE" w:rsidRPr="00CC206F" w:rsidRDefault="003A71DE" w:rsidP="00A40F90">
            <w:pPr>
              <w:pStyle w:val="TAL"/>
              <w:rPr>
                <w:rFonts w:eastAsia="SimSun"/>
              </w:rPr>
            </w:pPr>
            <w:r w:rsidRPr="00CC206F">
              <w:rPr>
                <w:rFonts w:eastAsia="SimSun"/>
                <w:lang w:eastAsia="ja-JP"/>
              </w:rPr>
              <w:t>EPRE ratio of PDSCH to PDSCH DMRS</w:t>
            </w:r>
          </w:p>
        </w:tc>
        <w:tc>
          <w:tcPr>
            <w:tcW w:w="850" w:type="dxa"/>
            <w:tcBorders>
              <w:top w:val="single" w:sz="4" w:space="0" w:color="auto"/>
              <w:left w:val="single" w:sz="4" w:space="0" w:color="auto"/>
              <w:bottom w:val="single" w:sz="4" w:space="0" w:color="auto"/>
              <w:right w:val="single" w:sz="4" w:space="0" w:color="auto"/>
            </w:tcBorders>
            <w:hideMark/>
          </w:tcPr>
          <w:p w14:paraId="4994DB8F"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hideMark/>
          </w:tcPr>
          <w:p w14:paraId="6EB7E552" w14:textId="77777777" w:rsidR="003A71DE" w:rsidRPr="00CC206F" w:rsidRDefault="003A71DE" w:rsidP="00A40F90">
            <w:pPr>
              <w:pStyle w:val="TAC"/>
              <w:rPr>
                <w:rFonts w:eastAsia="SimSun"/>
              </w:rPr>
            </w:pPr>
          </w:p>
        </w:tc>
      </w:tr>
      <w:tr w:rsidR="003A71DE" w:rsidRPr="00CC206F" w14:paraId="0414D9DE"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41D19244" w14:textId="77777777" w:rsidR="003A71DE" w:rsidRPr="00CC206F" w:rsidRDefault="003A71DE" w:rsidP="00A40F90">
            <w:pPr>
              <w:pStyle w:val="TAL"/>
              <w:rPr>
                <w:rFonts w:eastAsia="SimSun"/>
              </w:rPr>
            </w:pPr>
            <w:r w:rsidRPr="00CC206F">
              <w:rPr>
                <w:rFonts w:eastAsia="SimSun"/>
                <w:lang w:eastAsia="ja-JP"/>
              </w:rPr>
              <w:t>EPRE ratio of OCNG DMRS to SSS</w:t>
            </w:r>
          </w:p>
        </w:tc>
        <w:tc>
          <w:tcPr>
            <w:tcW w:w="850" w:type="dxa"/>
            <w:tcBorders>
              <w:top w:val="single" w:sz="4" w:space="0" w:color="auto"/>
              <w:left w:val="single" w:sz="4" w:space="0" w:color="auto"/>
              <w:bottom w:val="single" w:sz="4" w:space="0" w:color="auto"/>
              <w:right w:val="single" w:sz="4" w:space="0" w:color="auto"/>
            </w:tcBorders>
            <w:hideMark/>
          </w:tcPr>
          <w:p w14:paraId="1FE504E2"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nil"/>
              <w:right w:val="single" w:sz="4" w:space="0" w:color="auto"/>
            </w:tcBorders>
            <w:shd w:val="clear" w:color="auto" w:fill="auto"/>
            <w:hideMark/>
          </w:tcPr>
          <w:p w14:paraId="2FF92533" w14:textId="77777777" w:rsidR="003A71DE" w:rsidRPr="00CC206F" w:rsidRDefault="003A71DE" w:rsidP="00A40F90">
            <w:pPr>
              <w:pStyle w:val="TAC"/>
              <w:rPr>
                <w:rFonts w:eastAsia="SimSun"/>
              </w:rPr>
            </w:pPr>
          </w:p>
        </w:tc>
      </w:tr>
      <w:tr w:rsidR="003A71DE" w:rsidRPr="00CC206F" w14:paraId="5E291989"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2EF6BFF0" w14:textId="77777777" w:rsidR="003A71DE" w:rsidRPr="00CC206F" w:rsidRDefault="003A71DE" w:rsidP="00A40F90">
            <w:pPr>
              <w:pStyle w:val="TAL"/>
              <w:rPr>
                <w:rFonts w:eastAsia="SimSun"/>
              </w:rPr>
            </w:pPr>
            <w:r w:rsidRPr="00CC206F">
              <w:rPr>
                <w:rFonts w:eastAsia="SimSun"/>
                <w:lang w:eastAsia="ja-JP"/>
              </w:rPr>
              <w:t>EPRE ratio of OCNG to OCNG DMRS</w:t>
            </w:r>
          </w:p>
        </w:tc>
        <w:tc>
          <w:tcPr>
            <w:tcW w:w="850" w:type="dxa"/>
            <w:tcBorders>
              <w:top w:val="single" w:sz="4" w:space="0" w:color="auto"/>
              <w:left w:val="single" w:sz="4" w:space="0" w:color="auto"/>
              <w:bottom w:val="single" w:sz="4" w:space="0" w:color="auto"/>
              <w:right w:val="single" w:sz="4" w:space="0" w:color="auto"/>
            </w:tcBorders>
            <w:hideMark/>
          </w:tcPr>
          <w:p w14:paraId="4B2E2D0F" w14:textId="77777777" w:rsidR="003A71DE" w:rsidRPr="00CC206F" w:rsidRDefault="003A71DE" w:rsidP="00A40F90">
            <w:pPr>
              <w:pStyle w:val="TAC"/>
              <w:rPr>
                <w:rFonts w:eastAsia="SimSun"/>
              </w:rPr>
            </w:pPr>
            <w:r w:rsidRPr="00CC206F">
              <w:rPr>
                <w:rFonts w:eastAsia="SimSun"/>
              </w:rPr>
              <w:t>dB</w:t>
            </w:r>
          </w:p>
        </w:tc>
        <w:tc>
          <w:tcPr>
            <w:tcW w:w="4395" w:type="dxa"/>
            <w:gridSpan w:val="5"/>
            <w:tcBorders>
              <w:top w:val="nil"/>
              <w:left w:val="single" w:sz="4" w:space="0" w:color="auto"/>
              <w:bottom w:val="single" w:sz="4" w:space="0" w:color="auto"/>
              <w:right w:val="single" w:sz="4" w:space="0" w:color="auto"/>
            </w:tcBorders>
            <w:shd w:val="clear" w:color="auto" w:fill="auto"/>
            <w:hideMark/>
          </w:tcPr>
          <w:p w14:paraId="45836E3E" w14:textId="77777777" w:rsidR="003A71DE" w:rsidRPr="00CC206F" w:rsidRDefault="003A71DE" w:rsidP="00A40F90">
            <w:pPr>
              <w:pStyle w:val="TAC"/>
              <w:rPr>
                <w:rFonts w:eastAsia="SimSun"/>
              </w:rPr>
            </w:pPr>
          </w:p>
        </w:tc>
      </w:tr>
      <w:tr w:rsidR="003A71DE" w:rsidRPr="00CC206F" w14:paraId="2570F310" w14:textId="77777777" w:rsidTr="007835E8">
        <w:trPr>
          <w:cantSplit/>
          <w:jc w:val="center"/>
        </w:trPr>
        <w:tc>
          <w:tcPr>
            <w:tcW w:w="2263" w:type="dxa"/>
            <w:tcBorders>
              <w:top w:val="single" w:sz="4" w:space="0" w:color="auto"/>
              <w:left w:val="single" w:sz="4" w:space="0" w:color="auto"/>
              <w:bottom w:val="single" w:sz="4" w:space="0" w:color="auto"/>
              <w:right w:val="single" w:sz="4" w:space="0" w:color="auto"/>
            </w:tcBorders>
            <w:hideMark/>
          </w:tcPr>
          <w:p w14:paraId="69C594E1" w14:textId="77777777" w:rsidR="003A71DE" w:rsidRPr="00CC206F" w:rsidRDefault="003A71DE" w:rsidP="00A40F90">
            <w:pPr>
              <w:pStyle w:val="TAL"/>
              <w:rPr>
                <w:rFonts w:eastAsia="SimSun"/>
              </w:rPr>
            </w:pPr>
            <w:r w:rsidRPr="00CC206F">
              <w:rPr>
                <w:rFonts w:eastAsia="SimSun"/>
              </w:rPr>
              <w:t>SNR_CSI-RS</w:t>
            </w:r>
            <w:r w:rsidRPr="00CC206F">
              <w:rPr>
                <w:rFonts w:eastAsia="?? ??"/>
              </w:rPr>
              <w:t xml:space="preserve"> of </w:t>
            </w:r>
            <w:r w:rsidRPr="00CC206F">
              <w:rPr>
                <w:rFonts w:eastAsia="SimSun"/>
              </w:rPr>
              <w:t>set q</w:t>
            </w:r>
            <w:r w:rsidRPr="00CC206F">
              <w:rPr>
                <w:rFonts w:eastAsia="SimSun"/>
                <w:vertAlign w:val="subscript"/>
              </w:rPr>
              <w:t>0</w:t>
            </w:r>
          </w:p>
        </w:tc>
        <w:tc>
          <w:tcPr>
            <w:tcW w:w="1418" w:type="dxa"/>
            <w:tcBorders>
              <w:top w:val="single" w:sz="4" w:space="0" w:color="auto"/>
              <w:left w:val="single" w:sz="4" w:space="0" w:color="auto"/>
              <w:bottom w:val="single" w:sz="4" w:space="0" w:color="auto"/>
              <w:right w:val="single" w:sz="4" w:space="0" w:color="auto"/>
            </w:tcBorders>
            <w:hideMark/>
          </w:tcPr>
          <w:p w14:paraId="5BED5C18" w14:textId="77777777" w:rsidR="003A71DE" w:rsidRPr="00CC206F" w:rsidRDefault="003A71DE" w:rsidP="00A40F90">
            <w:pPr>
              <w:pStyle w:val="TAL"/>
              <w:rPr>
                <w:rFonts w:eastAsia="SimSun"/>
                <w:noProof/>
              </w:rPr>
            </w:pPr>
            <w:r w:rsidRPr="00CC206F">
              <w:rPr>
                <w:rFonts w:eastAsia="SimSun"/>
                <w:noProof/>
              </w:rPr>
              <w:t>Config 1</w:t>
            </w:r>
          </w:p>
        </w:tc>
        <w:tc>
          <w:tcPr>
            <w:tcW w:w="850" w:type="dxa"/>
            <w:tcBorders>
              <w:top w:val="single" w:sz="4" w:space="0" w:color="auto"/>
              <w:left w:val="single" w:sz="4" w:space="0" w:color="auto"/>
              <w:bottom w:val="single" w:sz="4" w:space="0" w:color="auto"/>
              <w:right w:val="single" w:sz="4" w:space="0" w:color="auto"/>
            </w:tcBorders>
            <w:hideMark/>
          </w:tcPr>
          <w:p w14:paraId="3BF2F530" w14:textId="77777777" w:rsidR="003A71DE" w:rsidRPr="00CC206F" w:rsidRDefault="003A71DE" w:rsidP="00A40F90">
            <w:pPr>
              <w:pStyle w:val="TAC"/>
              <w:rPr>
                <w:rFonts w:eastAsia="SimSun"/>
              </w:rPr>
            </w:pPr>
            <w:r w:rsidRPr="00CC206F">
              <w:rPr>
                <w:rFonts w:eastAsia="SimSun"/>
              </w:rPr>
              <w:t>dB</w:t>
            </w:r>
          </w:p>
        </w:tc>
        <w:tc>
          <w:tcPr>
            <w:tcW w:w="879" w:type="dxa"/>
            <w:tcBorders>
              <w:top w:val="single" w:sz="4" w:space="0" w:color="auto"/>
              <w:left w:val="single" w:sz="4" w:space="0" w:color="auto"/>
              <w:bottom w:val="single" w:sz="4" w:space="0" w:color="auto"/>
              <w:right w:val="single" w:sz="4" w:space="0" w:color="auto"/>
            </w:tcBorders>
          </w:tcPr>
          <w:p w14:paraId="72B4FE90" w14:textId="77777777" w:rsidR="003A71DE" w:rsidRPr="00CC206F" w:rsidRDefault="003A71DE" w:rsidP="00A40F90">
            <w:pPr>
              <w:pStyle w:val="TAC"/>
              <w:rPr>
                <w:rFonts w:eastAsia="SimSun"/>
                <w:noProof/>
              </w:rPr>
            </w:pPr>
            <w:r w:rsidRPr="00CC206F">
              <w:rPr>
                <w:rFonts w:eastAsia="MS Mincho"/>
              </w:rPr>
              <w:t>5</w:t>
            </w:r>
          </w:p>
        </w:tc>
        <w:tc>
          <w:tcPr>
            <w:tcW w:w="879" w:type="dxa"/>
            <w:tcBorders>
              <w:top w:val="single" w:sz="4" w:space="0" w:color="auto"/>
              <w:left w:val="single" w:sz="4" w:space="0" w:color="auto"/>
              <w:bottom w:val="single" w:sz="4" w:space="0" w:color="auto"/>
              <w:right w:val="single" w:sz="4" w:space="0" w:color="auto"/>
            </w:tcBorders>
          </w:tcPr>
          <w:p w14:paraId="2496C922" w14:textId="77777777" w:rsidR="003A71DE" w:rsidRPr="00CC206F" w:rsidRDefault="003A71DE" w:rsidP="00A40F90">
            <w:pPr>
              <w:pStyle w:val="TAC"/>
              <w:rPr>
                <w:rFonts w:eastAsia="SimSun"/>
                <w:noProof/>
              </w:rPr>
            </w:pPr>
            <w:r w:rsidRPr="00CC206F">
              <w:rPr>
                <w:rFonts w:eastAsia="MS Mincho"/>
              </w:rPr>
              <w:t>-3</w:t>
            </w:r>
          </w:p>
        </w:tc>
        <w:tc>
          <w:tcPr>
            <w:tcW w:w="879" w:type="dxa"/>
            <w:tcBorders>
              <w:top w:val="single" w:sz="4" w:space="0" w:color="auto"/>
              <w:left w:val="single" w:sz="4" w:space="0" w:color="auto"/>
              <w:bottom w:val="single" w:sz="4" w:space="0" w:color="auto"/>
              <w:right w:val="single" w:sz="4" w:space="0" w:color="auto"/>
            </w:tcBorders>
          </w:tcPr>
          <w:p w14:paraId="47AEE9B4" w14:textId="77777777" w:rsidR="003A71DE" w:rsidRPr="00CC206F" w:rsidRDefault="003A71DE" w:rsidP="00A40F90">
            <w:pPr>
              <w:pStyle w:val="TAC"/>
              <w:rPr>
                <w:rFonts w:eastAsia="SimSun"/>
                <w:noProof/>
              </w:rPr>
            </w:pPr>
            <w:r w:rsidRPr="00CC206F">
              <w:rPr>
                <w:rFonts w:eastAsia="MS Mincho"/>
              </w:rPr>
              <w:t>-12</w:t>
            </w:r>
          </w:p>
        </w:tc>
        <w:tc>
          <w:tcPr>
            <w:tcW w:w="879" w:type="dxa"/>
            <w:tcBorders>
              <w:top w:val="single" w:sz="4" w:space="0" w:color="auto"/>
              <w:left w:val="single" w:sz="4" w:space="0" w:color="auto"/>
              <w:bottom w:val="single" w:sz="4" w:space="0" w:color="auto"/>
              <w:right w:val="single" w:sz="4" w:space="0" w:color="auto"/>
            </w:tcBorders>
          </w:tcPr>
          <w:p w14:paraId="1C487BC1"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MS Mincho" w:hAnsi="Arial"/>
                <w:sz w:val="18"/>
              </w:rPr>
              <w:t>-12</w:t>
            </w:r>
          </w:p>
        </w:tc>
        <w:tc>
          <w:tcPr>
            <w:tcW w:w="879" w:type="dxa"/>
            <w:tcBorders>
              <w:top w:val="single" w:sz="4" w:space="0" w:color="auto"/>
              <w:left w:val="single" w:sz="4" w:space="0" w:color="auto"/>
              <w:bottom w:val="single" w:sz="4" w:space="0" w:color="auto"/>
              <w:right w:val="single" w:sz="4" w:space="0" w:color="auto"/>
            </w:tcBorders>
          </w:tcPr>
          <w:p w14:paraId="23C05B07"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MS Mincho" w:hAnsi="Arial"/>
                <w:sz w:val="18"/>
              </w:rPr>
              <w:t>-12</w:t>
            </w:r>
          </w:p>
        </w:tc>
      </w:tr>
      <w:tr w:rsidR="003A71DE" w:rsidRPr="00CC206F" w14:paraId="0D3A131A" w14:textId="77777777" w:rsidTr="007835E8">
        <w:trPr>
          <w:cantSplit/>
          <w:jc w:val="center"/>
        </w:trPr>
        <w:tc>
          <w:tcPr>
            <w:tcW w:w="2263" w:type="dxa"/>
            <w:tcBorders>
              <w:top w:val="single" w:sz="4" w:space="0" w:color="auto"/>
              <w:left w:val="single" w:sz="4" w:space="0" w:color="auto"/>
              <w:right w:val="single" w:sz="4" w:space="0" w:color="auto"/>
            </w:tcBorders>
          </w:tcPr>
          <w:p w14:paraId="79296648" w14:textId="77777777" w:rsidR="003A71DE" w:rsidRPr="00CC206F" w:rsidRDefault="003A71DE" w:rsidP="00A40F90">
            <w:pPr>
              <w:pStyle w:val="TAL"/>
              <w:rPr>
                <w:rFonts w:eastAsia="SimSun"/>
              </w:rPr>
            </w:pPr>
            <w:r w:rsidRPr="00CC206F">
              <w:rPr>
                <w:rFonts w:eastAsia="SimSun"/>
              </w:rPr>
              <w:t>SNR_CSI-RS of set q</w:t>
            </w:r>
            <w:r w:rsidRPr="00CC206F">
              <w:rPr>
                <w:rFonts w:eastAsia="SimSun"/>
                <w:vertAlign w:val="subscript"/>
              </w:rPr>
              <w:t>1</w:t>
            </w:r>
          </w:p>
        </w:tc>
        <w:tc>
          <w:tcPr>
            <w:tcW w:w="1418" w:type="dxa"/>
            <w:tcBorders>
              <w:top w:val="single" w:sz="4" w:space="0" w:color="auto"/>
              <w:left w:val="single" w:sz="4" w:space="0" w:color="auto"/>
              <w:bottom w:val="single" w:sz="4" w:space="0" w:color="auto"/>
              <w:right w:val="single" w:sz="4" w:space="0" w:color="auto"/>
            </w:tcBorders>
          </w:tcPr>
          <w:p w14:paraId="4445BE35" w14:textId="77777777" w:rsidR="003A71DE" w:rsidRPr="00CC206F" w:rsidRDefault="003A71DE" w:rsidP="00A40F90">
            <w:pPr>
              <w:pStyle w:val="TAL"/>
              <w:rPr>
                <w:rFonts w:eastAsia="SimSun"/>
                <w:noProof/>
              </w:rPr>
            </w:pPr>
            <w:r w:rsidRPr="00CC206F">
              <w:rPr>
                <w:rFonts w:eastAsia="SimSun"/>
                <w:noProof/>
              </w:rPr>
              <w:t>Config 1</w:t>
            </w:r>
          </w:p>
        </w:tc>
        <w:tc>
          <w:tcPr>
            <w:tcW w:w="850" w:type="dxa"/>
            <w:tcBorders>
              <w:top w:val="single" w:sz="4" w:space="0" w:color="auto"/>
              <w:left w:val="single" w:sz="4" w:space="0" w:color="auto"/>
              <w:right w:val="single" w:sz="4" w:space="0" w:color="auto"/>
            </w:tcBorders>
          </w:tcPr>
          <w:p w14:paraId="429EE061" w14:textId="77777777" w:rsidR="003A71DE" w:rsidRPr="00CC206F" w:rsidRDefault="003A71DE" w:rsidP="00A40F90">
            <w:pPr>
              <w:pStyle w:val="TAC"/>
              <w:rPr>
                <w:rFonts w:eastAsia="SimSun"/>
              </w:rPr>
            </w:pPr>
            <w:r w:rsidRPr="00CC206F">
              <w:rPr>
                <w:rFonts w:eastAsia="SimSun"/>
              </w:rPr>
              <w:t>dB</w:t>
            </w:r>
          </w:p>
        </w:tc>
        <w:tc>
          <w:tcPr>
            <w:tcW w:w="879" w:type="dxa"/>
            <w:tcBorders>
              <w:top w:val="single" w:sz="4" w:space="0" w:color="auto"/>
              <w:left w:val="single" w:sz="4" w:space="0" w:color="auto"/>
              <w:bottom w:val="single" w:sz="4" w:space="0" w:color="auto"/>
              <w:right w:val="single" w:sz="4" w:space="0" w:color="auto"/>
            </w:tcBorders>
          </w:tcPr>
          <w:p w14:paraId="6412BD02" w14:textId="77777777" w:rsidR="003A71DE" w:rsidRPr="00CC206F" w:rsidRDefault="003A71DE" w:rsidP="00A40F90">
            <w:pPr>
              <w:pStyle w:val="TAC"/>
              <w:rPr>
                <w:rFonts w:eastAsia="SimSun"/>
                <w:noProof/>
              </w:rPr>
            </w:pPr>
            <w:r w:rsidRPr="00CC206F">
              <w:rPr>
                <w:rFonts w:eastAsia="MS Mincho"/>
              </w:rPr>
              <w:t>0.2</w:t>
            </w:r>
          </w:p>
        </w:tc>
        <w:tc>
          <w:tcPr>
            <w:tcW w:w="879" w:type="dxa"/>
            <w:tcBorders>
              <w:top w:val="single" w:sz="4" w:space="0" w:color="auto"/>
              <w:left w:val="single" w:sz="4" w:space="0" w:color="auto"/>
              <w:bottom w:val="single" w:sz="4" w:space="0" w:color="auto"/>
              <w:right w:val="single" w:sz="4" w:space="0" w:color="auto"/>
            </w:tcBorders>
          </w:tcPr>
          <w:p w14:paraId="3DE9D26A" w14:textId="77777777" w:rsidR="003A71DE" w:rsidRPr="00CC206F" w:rsidRDefault="003A71DE" w:rsidP="00A40F90">
            <w:pPr>
              <w:pStyle w:val="TAC"/>
              <w:rPr>
                <w:rFonts w:eastAsia="MS Mincho"/>
              </w:rPr>
            </w:pPr>
            <w:r w:rsidRPr="00CC206F">
              <w:rPr>
                <w:rFonts w:eastAsia="MS Mincho"/>
              </w:rPr>
              <w:t>0.2</w:t>
            </w:r>
          </w:p>
        </w:tc>
        <w:tc>
          <w:tcPr>
            <w:tcW w:w="879" w:type="dxa"/>
            <w:tcBorders>
              <w:top w:val="single" w:sz="4" w:space="0" w:color="auto"/>
              <w:left w:val="single" w:sz="4" w:space="0" w:color="auto"/>
              <w:bottom w:val="single" w:sz="4" w:space="0" w:color="auto"/>
              <w:right w:val="single" w:sz="4" w:space="0" w:color="auto"/>
            </w:tcBorders>
          </w:tcPr>
          <w:p w14:paraId="4E39FA6F" w14:textId="77777777" w:rsidR="003A71DE" w:rsidRPr="00CC206F" w:rsidRDefault="003A71DE" w:rsidP="00A40F90">
            <w:pPr>
              <w:pStyle w:val="TAC"/>
              <w:rPr>
                <w:rFonts w:eastAsia="MS Mincho"/>
              </w:rPr>
            </w:pPr>
            <w:r w:rsidRPr="00CC206F">
              <w:rPr>
                <w:rFonts w:eastAsia="MS Mincho"/>
              </w:rPr>
              <w:t>20.2</w:t>
            </w:r>
          </w:p>
        </w:tc>
        <w:tc>
          <w:tcPr>
            <w:tcW w:w="879" w:type="dxa"/>
            <w:tcBorders>
              <w:top w:val="single" w:sz="4" w:space="0" w:color="auto"/>
              <w:left w:val="single" w:sz="4" w:space="0" w:color="auto"/>
              <w:bottom w:val="single" w:sz="4" w:space="0" w:color="auto"/>
              <w:right w:val="single" w:sz="4" w:space="0" w:color="auto"/>
            </w:tcBorders>
          </w:tcPr>
          <w:p w14:paraId="21494A92"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MS Mincho" w:hAnsi="Arial"/>
                <w:sz w:val="18"/>
              </w:rPr>
              <w:t>20.2</w:t>
            </w:r>
          </w:p>
        </w:tc>
        <w:tc>
          <w:tcPr>
            <w:tcW w:w="879" w:type="dxa"/>
            <w:tcBorders>
              <w:top w:val="single" w:sz="4" w:space="0" w:color="auto"/>
              <w:left w:val="single" w:sz="4" w:space="0" w:color="auto"/>
              <w:bottom w:val="single" w:sz="4" w:space="0" w:color="auto"/>
              <w:right w:val="single" w:sz="4" w:space="0" w:color="auto"/>
            </w:tcBorders>
          </w:tcPr>
          <w:p w14:paraId="13BE7924" w14:textId="77777777" w:rsidR="003A71DE" w:rsidRPr="00CC206F" w:rsidRDefault="003A71DE" w:rsidP="003A71DE">
            <w:pPr>
              <w:keepNext/>
              <w:keepLines/>
              <w:spacing w:after="0"/>
              <w:jc w:val="center"/>
              <w:rPr>
                <w:rFonts w:ascii="Arial" w:eastAsia="SimSun" w:hAnsi="Arial"/>
                <w:noProof/>
                <w:sz w:val="18"/>
              </w:rPr>
            </w:pPr>
            <w:r w:rsidRPr="00CC206F">
              <w:rPr>
                <w:rFonts w:ascii="Arial" w:eastAsia="MS Mincho" w:hAnsi="Arial"/>
                <w:sz w:val="18"/>
              </w:rPr>
              <w:t>20.2</w:t>
            </w:r>
          </w:p>
        </w:tc>
      </w:tr>
      <w:tr w:rsidR="003A71DE" w:rsidRPr="00CC206F" w14:paraId="44ECC815" w14:textId="77777777" w:rsidTr="007835E8">
        <w:trPr>
          <w:cantSplit/>
          <w:jc w:val="center"/>
        </w:trPr>
        <w:tc>
          <w:tcPr>
            <w:tcW w:w="2263" w:type="dxa"/>
            <w:tcBorders>
              <w:top w:val="single" w:sz="4" w:space="0" w:color="auto"/>
              <w:left w:val="single" w:sz="4" w:space="0" w:color="auto"/>
              <w:right w:val="single" w:sz="4" w:space="0" w:color="auto"/>
            </w:tcBorders>
          </w:tcPr>
          <w:p w14:paraId="07FB88B1" w14:textId="77777777" w:rsidR="003A71DE" w:rsidRPr="00CC206F" w:rsidRDefault="003A71DE" w:rsidP="00A40F90">
            <w:pPr>
              <w:pStyle w:val="TAL"/>
              <w:rPr>
                <w:rFonts w:eastAsia="SimSun"/>
              </w:rPr>
            </w:pPr>
            <w:r w:rsidRPr="00CC206F">
              <w:rPr>
                <w:rFonts w:eastAsia="SimSun"/>
              </w:rPr>
              <w:t>CSI-RS_RP of set q</w:t>
            </w:r>
            <w:r w:rsidRPr="00CC206F">
              <w:rPr>
                <w:rFonts w:eastAsia="SimSun"/>
                <w:vertAlign w:val="subscript"/>
              </w:rPr>
              <w:t>1</w:t>
            </w:r>
          </w:p>
        </w:tc>
        <w:tc>
          <w:tcPr>
            <w:tcW w:w="1418" w:type="dxa"/>
            <w:tcBorders>
              <w:top w:val="single" w:sz="4" w:space="0" w:color="auto"/>
              <w:left w:val="single" w:sz="4" w:space="0" w:color="auto"/>
              <w:bottom w:val="single" w:sz="4" w:space="0" w:color="auto"/>
              <w:right w:val="single" w:sz="4" w:space="0" w:color="auto"/>
            </w:tcBorders>
          </w:tcPr>
          <w:p w14:paraId="57B7A346" w14:textId="77777777" w:rsidR="003A71DE" w:rsidRPr="00CC206F" w:rsidRDefault="003A71DE" w:rsidP="00A40F90">
            <w:pPr>
              <w:pStyle w:val="TAL"/>
              <w:rPr>
                <w:rFonts w:eastAsia="SimSun"/>
                <w:noProof/>
              </w:rPr>
            </w:pPr>
            <w:r w:rsidRPr="00CC206F">
              <w:rPr>
                <w:rFonts w:eastAsia="SimSun"/>
                <w:noProof/>
              </w:rPr>
              <w:t>Config 1</w:t>
            </w:r>
          </w:p>
        </w:tc>
        <w:tc>
          <w:tcPr>
            <w:tcW w:w="850" w:type="dxa"/>
            <w:tcBorders>
              <w:top w:val="single" w:sz="4" w:space="0" w:color="auto"/>
              <w:left w:val="single" w:sz="4" w:space="0" w:color="auto"/>
              <w:right w:val="single" w:sz="4" w:space="0" w:color="auto"/>
            </w:tcBorders>
          </w:tcPr>
          <w:p w14:paraId="3AFF9E61" w14:textId="77777777" w:rsidR="003A71DE" w:rsidRPr="00CC206F" w:rsidRDefault="003A71DE" w:rsidP="00A40F90">
            <w:pPr>
              <w:pStyle w:val="TAC"/>
              <w:rPr>
                <w:rFonts w:eastAsia="SimSun"/>
              </w:rPr>
            </w:pPr>
            <w:r w:rsidRPr="00CC206F">
              <w:rPr>
                <w:rFonts w:eastAsia="SimSun"/>
              </w:rPr>
              <w:t>dBm/SCS kHz</w:t>
            </w:r>
          </w:p>
        </w:tc>
        <w:tc>
          <w:tcPr>
            <w:tcW w:w="879" w:type="dxa"/>
            <w:tcBorders>
              <w:top w:val="single" w:sz="4" w:space="0" w:color="auto"/>
              <w:left w:val="single" w:sz="4" w:space="0" w:color="auto"/>
              <w:bottom w:val="single" w:sz="4" w:space="0" w:color="auto"/>
              <w:right w:val="single" w:sz="4" w:space="0" w:color="auto"/>
            </w:tcBorders>
          </w:tcPr>
          <w:p w14:paraId="7B6BC2EE" w14:textId="77777777" w:rsidR="003A71DE" w:rsidRPr="00CC206F" w:rsidRDefault="003A71DE" w:rsidP="00A40F90">
            <w:pPr>
              <w:pStyle w:val="TAC"/>
              <w:rPr>
                <w:rFonts w:eastAsia="MS Mincho"/>
              </w:rPr>
            </w:pPr>
            <w:r w:rsidRPr="00CC206F">
              <w:rPr>
                <w:rFonts w:eastAsia="MS Mincho"/>
              </w:rPr>
              <w:t>-104.5</w:t>
            </w:r>
          </w:p>
        </w:tc>
        <w:tc>
          <w:tcPr>
            <w:tcW w:w="879" w:type="dxa"/>
            <w:tcBorders>
              <w:top w:val="single" w:sz="4" w:space="0" w:color="auto"/>
              <w:left w:val="single" w:sz="4" w:space="0" w:color="auto"/>
              <w:bottom w:val="single" w:sz="4" w:space="0" w:color="auto"/>
              <w:right w:val="single" w:sz="4" w:space="0" w:color="auto"/>
            </w:tcBorders>
          </w:tcPr>
          <w:p w14:paraId="7022208A" w14:textId="77777777" w:rsidR="003A71DE" w:rsidRPr="00CC206F" w:rsidRDefault="003A71DE" w:rsidP="00A40F90">
            <w:pPr>
              <w:pStyle w:val="TAC"/>
              <w:rPr>
                <w:rFonts w:eastAsia="MS Mincho"/>
              </w:rPr>
            </w:pPr>
            <w:r w:rsidRPr="00CC206F">
              <w:rPr>
                <w:rFonts w:eastAsia="MS Mincho"/>
              </w:rPr>
              <w:t>-104.5</w:t>
            </w:r>
          </w:p>
        </w:tc>
        <w:tc>
          <w:tcPr>
            <w:tcW w:w="879" w:type="dxa"/>
            <w:tcBorders>
              <w:top w:val="single" w:sz="4" w:space="0" w:color="auto"/>
              <w:left w:val="single" w:sz="4" w:space="0" w:color="auto"/>
              <w:bottom w:val="single" w:sz="4" w:space="0" w:color="auto"/>
              <w:right w:val="single" w:sz="4" w:space="0" w:color="auto"/>
            </w:tcBorders>
          </w:tcPr>
          <w:p w14:paraId="6847468A" w14:textId="77777777" w:rsidR="003A71DE" w:rsidRPr="00CC206F" w:rsidRDefault="003A71DE" w:rsidP="00A40F90">
            <w:pPr>
              <w:pStyle w:val="TAC"/>
              <w:rPr>
                <w:rFonts w:eastAsia="MS Mincho"/>
              </w:rPr>
            </w:pPr>
            <w:r w:rsidRPr="00CC206F">
              <w:rPr>
                <w:rFonts w:eastAsia="MS Mincho"/>
              </w:rPr>
              <w:t>-84.5</w:t>
            </w:r>
          </w:p>
        </w:tc>
        <w:tc>
          <w:tcPr>
            <w:tcW w:w="879" w:type="dxa"/>
            <w:tcBorders>
              <w:top w:val="single" w:sz="4" w:space="0" w:color="auto"/>
              <w:left w:val="single" w:sz="4" w:space="0" w:color="auto"/>
              <w:bottom w:val="single" w:sz="4" w:space="0" w:color="auto"/>
              <w:right w:val="single" w:sz="4" w:space="0" w:color="auto"/>
            </w:tcBorders>
          </w:tcPr>
          <w:p w14:paraId="116A1871" w14:textId="77777777" w:rsidR="003A71DE" w:rsidRPr="00CC206F" w:rsidRDefault="003A71DE" w:rsidP="003A71DE">
            <w:pPr>
              <w:keepNext/>
              <w:keepLines/>
              <w:spacing w:after="0"/>
              <w:jc w:val="center"/>
              <w:rPr>
                <w:rFonts w:ascii="Arial" w:eastAsia="MS Mincho" w:hAnsi="Arial"/>
                <w:sz w:val="18"/>
              </w:rPr>
            </w:pPr>
            <w:r w:rsidRPr="00CC206F">
              <w:rPr>
                <w:rFonts w:ascii="Arial" w:eastAsia="MS Mincho" w:hAnsi="Arial"/>
                <w:sz w:val="18"/>
              </w:rPr>
              <w:t>-84.5</w:t>
            </w:r>
          </w:p>
        </w:tc>
        <w:tc>
          <w:tcPr>
            <w:tcW w:w="879" w:type="dxa"/>
            <w:tcBorders>
              <w:top w:val="single" w:sz="4" w:space="0" w:color="auto"/>
              <w:left w:val="single" w:sz="4" w:space="0" w:color="auto"/>
              <w:bottom w:val="single" w:sz="4" w:space="0" w:color="auto"/>
              <w:right w:val="single" w:sz="4" w:space="0" w:color="auto"/>
            </w:tcBorders>
          </w:tcPr>
          <w:p w14:paraId="2E3867A4" w14:textId="77777777" w:rsidR="003A71DE" w:rsidRPr="00CC206F" w:rsidRDefault="003A71DE" w:rsidP="003A71DE">
            <w:pPr>
              <w:keepNext/>
              <w:keepLines/>
              <w:spacing w:after="0"/>
              <w:jc w:val="center"/>
              <w:rPr>
                <w:rFonts w:ascii="Arial" w:eastAsia="MS Mincho" w:hAnsi="Arial"/>
                <w:sz w:val="18"/>
              </w:rPr>
            </w:pPr>
            <w:r w:rsidRPr="00CC206F">
              <w:rPr>
                <w:rFonts w:ascii="Arial" w:eastAsia="MS Mincho" w:hAnsi="Arial"/>
                <w:sz w:val="18"/>
              </w:rPr>
              <w:t>-84.5</w:t>
            </w:r>
          </w:p>
        </w:tc>
      </w:tr>
      <w:tr w:rsidR="003A71DE" w:rsidRPr="00CC206F" w14:paraId="3839AA34" w14:textId="77777777" w:rsidTr="007835E8">
        <w:trPr>
          <w:cantSplit/>
          <w:jc w:val="center"/>
        </w:trPr>
        <w:tc>
          <w:tcPr>
            <w:tcW w:w="2263" w:type="dxa"/>
            <w:tcBorders>
              <w:top w:val="single" w:sz="4" w:space="0" w:color="auto"/>
              <w:left w:val="single" w:sz="4" w:space="0" w:color="auto"/>
              <w:bottom w:val="single" w:sz="4" w:space="0" w:color="auto"/>
              <w:right w:val="single" w:sz="4" w:space="0" w:color="auto"/>
            </w:tcBorders>
            <w:hideMark/>
          </w:tcPr>
          <w:p w14:paraId="4AC4AEBC" w14:textId="77777777" w:rsidR="003A71DE" w:rsidRPr="00CC206F" w:rsidRDefault="003A71DE" w:rsidP="00A40F90">
            <w:pPr>
              <w:pStyle w:val="TAL"/>
              <w:rPr>
                <w:rFonts w:eastAsia="SimSun"/>
              </w:rPr>
            </w:pPr>
            <w:r w:rsidRPr="00CC206F">
              <w:rPr>
                <w:rFonts w:eastAsia="SimSun"/>
                <w:position w:val="-12"/>
              </w:rPr>
              <w:object w:dxaOrig="420" w:dyaOrig="420" w14:anchorId="3EB6A561">
                <v:shape id="_x0000_i1105" type="#_x0000_t75" style="width:22.15pt;height:22.15pt" o:ole="" fillcolor="window">
                  <v:imagedata r:id="rId114" o:title=""/>
                </v:shape>
                <o:OLEObject Type="Embed" ProgID="Equation.3" ShapeID="_x0000_i1105" DrawAspect="Content" ObjectID="_1734764485" r:id="rId140"/>
              </w:object>
            </w:r>
          </w:p>
        </w:tc>
        <w:tc>
          <w:tcPr>
            <w:tcW w:w="1418" w:type="dxa"/>
            <w:tcBorders>
              <w:top w:val="single" w:sz="4" w:space="0" w:color="auto"/>
              <w:left w:val="single" w:sz="4" w:space="0" w:color="auto"/>
              <w:bottom w:val="single" w:sz="4" w:space="0" w:color="auto"/>
              <w:right w:val="single" w:sz="4" w:space="0" w:color="auto"/>
            </w:tcBorders>
            <w:hideMark/>
          </w:tcPr>
          <w:p w14:paraId="76704BB8" w14:textId="77777777" w:rsidR="003A71DE" w:rsidRPr="00CC206F" w:rsidRDefault="003A71DE" w:rsidP="00A40F90">
            <w:pPr>
              <w:pStyle w:val="TAL"/>
              <w:rPr>
                <w:rFonts w:eastAsia="SimSun"/>
                <w:noProof/>
              </w:rPr>
            </w:pPr>
            <w:r w:rsidRPr="00CC206F">
              <w:rPr>
                <w:rFonts w:eastAsia="SimSun"/>
                <w:noProof/>
              </w:rPr>
              <w:t>Config 1</w:t>
            </w:r>
          </w:p>
        </w:tc>
        <w:tc>
          <w:tcPr>
            <w:tcW w:w="850" w:type="dxa"/>
            <w:tcBorders>
              <w:top w:val="single" w:sz="4" w:space="0" w:color="auto"/>
              <w:left w:val="single" w:sz="4" w:space="0" w:color="auto"/>
              <w:bottom w:val="single" w:sz="4" w:space="0" w:color="auto"/>
              <w:right w:val="single" w:sz="4" w:space="0" w:color="auto"/>
            </w:tcBorders>
            <w:hideMark/>
          </w:tcPr>
          <w:p w14:paraId="4D15C17D" w14:textId="77777777" w:rsidR="003A71DE" w:rsidRPr="00CC206F" w:rsidRDefault="003A71DE" w:rsidP="00A40F90">
            <w:pPr>
              <w:pStyle w:val="TAC"/>
              <w:rPr>
                <w:rFonts w:eastAsia="SimSun"/>
              </w:rPr>
            </w:pPr>
            <w:r w:rsidRPr="00CC206F">
              <w:rPr>
                <w:rFonts w:eastAsia="SimSun"/>
              </w:rPr>
              <w:t>dBm/15 KHz</w:t>
            </w:r>
          </w:p>
        </w:tc>
        <w:tc>
          <w:tcPr>
            <w:tcW w:w="4395" w:type="dxa"/>
            <w:gridSpan w:val="5"/>
            <w:tcBorders>
              <w:top w:val="single" w:sz="4" w:space="0" w:color="auto"/>
              <w:left w:val="single" w:sz="4" w:space="0" w:color="auto"/>
              <w:bottom w:val="single" w:sz="4" w:space="0" w:color="auto"/>
              <w:right w:val="single" w:sz="4" w:space="0" w:color="auto"/>
            </w:tcBorders>
            <w:hideMark/>
          </w:tcPr>
          <w:p w14:paraId="56ACA4C3" w14:textId="77777777" w:rsidR="003A71DE" w:rsidRPr="00CC206F" w:rsidRDefault="003A71DE" w:rsidP="00A40F90">
            <w:pPr>
              <w:pStyle w:val="TAC"/>
              <w:rPr>
                <w:rFonts w:eastAsia="SimSun"/>
              </w:rPr>
            </w:pPr>
            <w:r w:rsidRPr="00CC206F">
              <w:rPr>
                <w:rFonts w:eastAsia="SimSun"/>
              </w:rPr>
              <w:t>-104.7</w:t>
            </w:r>
          </w:p>
        </w:tc>
      </w:tr>
      <w:tr w:rsidR="003A71DE" w:rsidRPr="00CC206F" w14:paraId="6DBCEF18" w14:textId="77777777" w:rsidTr="007835E8">
        <w:trPr>
          <w:cantSplit/>
          <w:jc w:val="center"/>
        </w:trPr>
        <w:tc>
          <w:tcPr>
            <w:tcW w:w="3681" w:type="dxa"/>
            <w:gridSpan w:val="2"/>
            <w:tcBorders>
              <w:top w:val="single" w:sz="4" w:space="0" w:color="auto"/>
              <w:left w:val="single" w:sz="4" w:space="0" w:color="auto"/>
              <w:bottom w:val="single" w:sz="4" w:space="0" w:color="auto"/>
              <w:right w:val="single" w:sz="4" w:space="0" w:color="auto"/>
            </w:tcBorders>
            <w:hideMark/>
          </w:tcPr>
          <w:p w14:paraId="17434CCF" w14:textId="77777777" w:rsidR="003A71DE" w:rsidRPr="00CC206F" w:rsidRDefault="003A71DE" w:rsidP="00A40F90">
            <w:pPr>
              <w:pStyle w:val="TAL"/>
              <w:rPr>
                <w:rFonts w:eastAsia="SimSun"/>
              </w:rPr>
            </w:pPr>
            <w:r w:rsidRPr="00CC206F">
              <w:rPr>
                <w:rFonts w:eastAsia="?? ??"/>
              </w:rPr>
              <w:t>Propagation condition</w:t>
            </w:r>
          </w:p>
        </w:tc>
        <w:tc>
          <w:tcPr>
            <w:tcW w:w="850" w:type="dxa"/>
            <w:tcBorders>
              <w:top w:val="single" w:sz="4" w:space="0" w:color="auto"/>
              <w:left w:val="single" w:sz="4" w:space="0" w:color="auto"/>
              <w:bottom w:val="single" w:sz="4" w:space="0" w:color="auto"/>
              <w:right w:val="single" w:sz="4" w:space="0" w:color="auto"/>
            </w:tcBorders>
          </w:tcPr>
          <w:p w14:paraId="0BE6525B" w14:textId="77777777" w:rsidR="003A71DE" w:rsidRPr="00CC206F" w:rsidRDefault="003A71DE" w:rsidP="00A40F90">
            <w:pPr>
              <w:pStyle w:val="TAC"/>
              <w:rPr>
                <w:rFonts w:eastAsia="SimSun"/>
              </w:rPr>
            </w:pPr>
          </w:p>
        </w:tc>
        <w:tc>
          <w:tcPr>
            <w:tcW w:w="4395" w:type="dxa"/>
            <w:gridSpan w:val="5"/>
            <w:tcBorders>
              <w:top w:val="single" w:sz="4" w:space="0" w:color="auto"/>
              <w:left w:val="single" w:sz="4" w:space="0" w:color="auto"/>
              <w:bottom w:val="single" w:sz="4" w:space="0" w:color="auto"/>
              <w:right w:val="single" w:sz="4" w:space="0" w:color="auto"/>
            </w:tcBorders>
            <w:hideMark/>
          </w:tcPr>
          <w:p w14:paraId="1DF22688" w14:textId="77777777" w:rsidR="003A71DE" w:rsidRPr="00CC206F" w:rsidRDefault="003A71DE" w:rsidP="00A40F90">
            <w:pPr>
              <w:pStyle w:val="TAC"/>
              <w:rPr>
                <w:rFonts w:eastAsia="MS Mincho"/>
              </w:rPr>
            </w:pPr>
            <w:r w:rsidRPr="00CC206F">
              <w:rPr>
                <w:rFonts w:eastAsia="MS Mincho"/>
              </w:rPr>
              <w:t>TDL-A 30ns 75Hz</w:t>
            </w:r>
          </w:p>
        </w:tc>
      </w:tr>
      <w:tr w:rsidR="003A71DE" w:rsidRPr="00CC206F" w14:paraId="7CB77154" w14:textId="77777777" w:rsidTr="007835E8">
        <w:trPr>
          <w:cantSplit/>
          <w:jc w:val="center"/>
        </w:trPr>
        <w:tc>
          <w:tcPr>
            <w:tcW w:w="8926" w:type="dxa"/>
            <w:gridSpan w:val="8"/>
            <w:tcBorders>
              <w:top w:val="single" w:sz="4" w:space="0" w:color="auto"/>
              <w:left w:val="single" w:sz="4" w:space="0" w:color="auto"/>
              <w:bottom w:val="single" w:sz="4" w:space="0" w:color="auto"/>
              <w:right w:val="single" w:sz="4" w:space="0" w:color="auto"/>
            </w:tcBorders>
            <w:hideMark/>
          </w:tcPr>
          <w:p w14:paraId="042D54B3" w14:textId="77777777" w:rsidR="003A71DE" w:rsidRPr="00CC206F" w:rsidRDefault="003A71DE" w:rsidP="007835E8">
            <w:pPr>
              <w:pStyle w:val="TAN"/>
              <w:rPr>
                <w:rFonts w:eastAsia="SimSun"/>
              </w:rPr>
            </w:pPr>
            <w:r w:rsidRPr="00CC206F">
              <w:rPr>
                <w:rFonts w:eastAsia="SimSun"/>
              </w:rPr>
              <w:t>Note 1:</w:t>
            </w:r>
            <w:r w:rsidRPr="00CC206F">
              <w:rPr>
                <w:rFonts w:eastAsia="SimSun"/>
              </w:rPr>
              <w:tab/>
              <w:t>OCNG shall be used such that the resources in Cell 1 are fully allocated and a constant total transmitted power spectral density is achieved for all OFDM symbols.</w:t>
            </w:r>
          </w:p>
          <w:p w14:paraId="5A16F692" w14:textId="77777777" w:rsidR="003A71DE" w:rsidRPr="00CC206F" w:rsidRDefault="003A71DE" w:rsidP="007835E8">
            <w:pPr>
              <w:pStyle w:val="TAN"/>
              <w:rPr>
                <w:rFonts w:eastAsia="SimSun"/>
              </w:rPr>
            </w:pPr>
            <w:r w:rsidRPr="00CC206F">
              <w:rPr>
                <w:rFonts w:eastAsia="SimSun"/>
              </w:rPr>
              <w:t>Note 2:</w:t>
            </w:r>
            <w:r w:rsidRPr="00CC206F">
              <w:rPr>
                <w:rFonts w:eastAsia="SimSun"/>
              </w:rPr>
              <w:tab/>
              <w:t>The uplink resources for CSI reporting are assigned to the IAB-MT prior to the start of time period T1.</w:t>
            </w:r>
          </w:p>
          <w:p w14:paraId="3DFE2AF0" w14:textId="77777777" w:rsidR="003A71DE" w:rsidRPr="00CC206F" w:rsidRDefault="003A71DE" w:rsidP="007835E8">
            <w:pPr>
              <w:pStyle w:val="TAN"/>
              <w:rPr>
                <w:rFonts w:eastAsia="SimSun"/>
              </w:rPr>
            </w:pPr>
            <w:r w:rsidRPr="00CC206F">
              <w:rPr>
                <w:rFonts w:eastAsia="SimSun"/>
              </w:rPr>
              <w:t>Note 3:</w:t>
            </w:r>
            <w:r w:rsidRPr="00CC206F">
              <w:rPr>
                <w:rFonts w:eastAsia="SimSun"/>
              </w:rPr>
              <w:tab/>
              <w:t>NZP CSI-RS resource set configuration for CSI reporting are assigned to the IAB-MT prior to the start of time period T1.</w:t>
            </w:r>
          </w:p>
          <w:p w14:paraId="5AC2023E" w14:textId="77777777" w:rsidR="003A71DE" w:rsidRPr="00CC206F" w:rsidRDefault="003A71DE" w:rsidP="007835E8">
            <w:pPr>
              <w:pStyle w:val="TAN"/>
              <w:rPr>
                <w:rFonts w:eastAsia="SimSun"/>
              </w:rPr>
            </w:pPr>
            <w:r w:rsidRPr="00CC206F">
              <w:rPr>
                <w:rFonts w:eastAsia="SimSun"/>
              </w:rPr>
              <w:t>Note 4:</w:t>
            </w:r>
            <w:r w:rsidRPr="00CC206F">
              <w:rPr>
                <w:rFonts w:eastAsia="SimSun"/>
              </w:rPr>
              <w:tab/>
              <w:t>Void</w:t>
            </w:r>
          </w:p>
          <w:p w14:paraId="5FDCE22F" w14:textId="77777777" w:rsidR="003A71DE" w:rsidRPr="00CC206F" w:rsidRDefault="003A71DE" w:rsidP="007835E8">
            <w:pPr>
              <w:pStyle w:val="TAN"/>
              <w:rPr>
                <w:rFonts w:eastAsia="SimSun"/>
              </w:rPr>
            </w:pPr>
            <w:r w:rsidRPr="00CC206F">
              <w:rPr>
                <w:rFonts w:eastAsia="SimSun"/>
              </w:rPr>
              <w:t>Note 5:</w:t>
            </w:r>
            <w:r w:rsidRPr="00CC206F">
              <w:rPr>
                <w:rFonts w:eastAsia="SimSun"/>
              </w:rPr>
              <w:tab/>
              <w:t>The timers and layer 3 filtering related parameters are configured prior to the start of time period T1.</w:t>
            </w:r>
          </w:p>
          <w:p w14:paraId="37DE00DD" w14:textId="77777777" w:rsidR="003A71DE" w:rsidRPr="00CC206F" w:rsidRDefault="003A71DE" w:rsidP="007835E8">
            <w:pPr>
              <w:pStyle w:val="TAN"/>
              <w:rPr>
                <w:rFonts w:eastAsia="SimSun"/>
              </w:rPr>
            </w:pPr>
            <w:r w:rsidRPr="00CC206F">
              <w:rPr>
                <w:rFonts w:eastAsia="SimSun"/>
              </w:rPr>
              <w:t>Note 6:</w:t>
            </w:r>
            <w:r w:rsidRPr="00CC206F">
              <w:rPr>
                <w:rFonts w:eastAsia="SimSun"/>
              </w:rPr>
              <w:tab/>
              <w:t>The signal contains PDCCH for UEs other than the device under test as part of OCNG.</w:t>
            </w:r>
          </w:p>
          <w:p w14:paraId="5AD3E551" w14:textId="77777777" w:rsidR="003A71DE" w:rsidRPr="00CC206F" w:rsidRDefault="003A71DE" w:rsidP="007835E8">
            <w:pPr>
              <w:pStyle w:val="TAN"/>
              <w:rPr>
                <w:rFonts w:eastAsia="SimSun"/>
              </w:rPr>
            </w:pPr>
            <w:r w:rsidRPr="00CC206F">
              <w:rPr>
                <w:rFonts w:eastAsia="SimSun"/>
              </w:rPr>
              <w:t>Note 7:</w:t>
            </w:r>
            <w:r w:rsidRPr="00CC206F">
              <w:rPr>
                <w:rFonts w:eastAsia="SimSun"/>
              </w:rPr>
              <w:tab/>
              <w:t>SNR levels correspond to the signal to noise ratio over the REs carrying CSI-RS.</w:t>
            </w:r>
          </w:p>
          <w:p w14:paraId="0E1135C3" w14:textId="77777777" w:rsidR="003A71DE" w:rsidRPr="00CC206F" w:rsidRDefault="003A71DE" w:rsidP="007835E8">
            <w:pPr>
              <w:pStyle w:val="TAN"/>
              <w:rPr>
                <w:rFonts w:eastAsia="SimSun"/>
              </w:rPr>
            </w:pPr>
            <w:r w:rsidRPr="00CC206F">
              <w:rPr>
                <w:rFonts w:eastAsia="SimSun"/>
              </w:rPr>
              <w:t>Note 8:</w:t>
            </w:r>
            <w:r w:rsidRPr="00CC206F">
              <w:rPr>
                <w:rFonts w:eastAsia="SimSun"/>
              </w:rPr>
              <w:tab/>
              <w:t>The SNR in time periods T1, T2, T3, T4 and T5 is denoted as SNR1, SNR2 and SNR3 respectively in figure G.2.3.2.x.1-1.</w:t>
            </w:r>
          </w:p>
          <w:p w14:paraId="45482B71" w14:textId="77777777" w:rsidR="003A71DE" w:rsidRPr="00CC206F" w:rsidRDefault="003A71DE" w:rsidP="007835E8">
            <w:pPr>
              <w:pStyle w:val="TAN"/>
              <w:rPr>
                <w:rFonts w:eastAsia="SimSun"/>
              </w:rPr>
            </w:pPr>
            <w:r w:rsidRPr="00CC206F">
              <w:rPr>
                <w:rFonts w:eastAsia="SimSun"/>
              </w:rPr>
              <w:t>Note 9:</w:t>
            </w:r>
            <w:r w:rsidRPr="00CC206F">
              <w:rPr>
                <w:rFonts w:eastAsia="MS Mincho"/>
                <w:snapToGrid w:val="0"/>
              </w:rPr>
              <w:tab/>
            </w:r>
            <w:r w:rsidRPr="00CC206F">
              <w:rPr>
                <w:rFonts w:eastAsia="SimSun"/>
              </w:rPr>
              <w:t>The SNR values are specified for testing an IAB-MT which supports 2RX on at least one band. For testing of an IAB-MT which supports 4RX on all bands, the SNR during T3 is modified as specified in clause G.1.3.2.</w:t>
            </w:r>
          </w:p>
        </w:tc>
      </w:tr>
    </w:tbl>
    <w:p w14:paraId="24839735" w14:textId="77777777" w:rsidR="003A71DE" w:rsidRPr="00CC206F" w:rsidRDefault="003A71DE" w:rsidP="003A71DE">
      <w:pPr>
        <w:rPr>
          <w:rFonts w:eastAsia="SimSun"/>
        </w:rPr>
      </w:pPr>
    </w:p>
    <w:p w14:paraId="674C911C" w14:textId="7DF28828" w:rsidR="003A71DE" w:rsidRPr="00CC206F" w:rsidRDefault="003A71DE" w:rsidP="0090095F">
      <w:pPr>
        <w:pStyle w:val="TH"/>
        <w:rPr>
          <w:rFonts w:eastAsia="SimSun"/>
          <w:sz w:val="24"/>
          <w:szCs w:val="24"/>
          <w:lang w:eastAsia="fi-FI"/>
        </w:rPr>
      </w:pPr>
      <w:bookmarkStart w:id="10385" w:name="_Toc535476733"/>
      <w:r w:rsidRPr="00CC206F">
        <w:rPr>
          <w:rFonts w:eastAsia="SimSun"/>
          <w:noProof/>
          <w:lang w:eastAsia="zh-CN"/>
        </w:rPr>
        <w:lastRenderedPageBreak/>
        <w:drawing>
          <wp:inline distT="0" distB="0" distL="0" distR="0" wp14:anchorId="26F5021E" wp14:editId="205F0BB2">
            <wp:extent cx="5126850" cy="2354017"/>
            <wp:effectExtent l="0" t="0" r="0" b="0"/>
            <wp:docPr id="3145" name="图片 43" descr="C:\Users\w00527694\Pictures\图片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C:\Users\w00527694\Pictures\图片29.png"/>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5156173" cy="2367481"/>
                    </a:xfrm>
                    <a:prstGeom prst="rect">
                      <a:avLst/>
                    </a:prstGeom>
                    <a:noFill/>
                    <a:ln>
                      <a:noFill/>
                    </a:ln>
                  </pic:spPr>
                </pic:pic>
              </a:graphicData>
            </a:graphic>
          </wp:inline>
        </w:drawing>
      </w:r>
    </w:p>
    <w:p w14:paraId="7F67DC99" w14:textId="77777777" w:rsidR="003A71DE" w:rsidRPr="00CC206F" w:rsidRDefault="003A71DE" w:rsidP="0090095F">
      <w:pPr>
        <w:pStyle w:val="TF"/>
        <w:rPr>
          <w:rFonts w:eastAsia="SimSun"/>
        </w:rPr>
      </w:pPr>
      <w:r w:rsidRPr="00CC206F">
        <w:rPr>
          <w:rFonts w:eastAsia="SimSun"/>
        </w:rPr>
        <w:t>Figure G.2.3.2.</w:t>
      </w:r>
      <w:r>
        <w:rPr>
          <w:rFonts w:eastAsia="SimSun"/>
        </w:rPr>
        <w:t>4</w:t>
      </w:r>
      <w:r w:rsidRPr="00CC206F">
        <w:rPr>
          <w:rFonts w:eastAsia="SimSun"/>
        </w:rPr>
        <w:t>.1-1: SNR and L1-RSRP variation for CSI-RS based beam failure detection and link recovery testing in non-DRX mode</w:t>
      </w:r>
    </w:p>
    <w:p w14:paraId="4E86DC55" w14:textId="77777777" w:rsidR="003A71DE" w:rsidRPr="00CC206F" w:rsidRDefault="003A71DE" w:rsidP="00746C0D">
      <w:pPr>
        <w:pStyle w:val="H6"/>
        <w:rPr>
          <w:rFonts w:eastAsia="SimSun"/>
          <w:snapToGrid w:val="0"/>
        </w:rPr>
      </w:pPr>
      <w:r w:rsidRPr="00CC206F">
        <w:rPr>
          <w:rFonts w:eastAsia="SimSun"/>
          <w:snapToGrid w:val="0"/>
          <w:lang w:eastAsia="zh-CN"/>
        </w:rPr>
        <w:t>G.2.3.2.</w:t>
      </w:r>
      <w:r>
        <w:rPr>
          <w:rFonts w:eastAsia="SimSun"/>
          <w:snapToGrid w:val="0"/>
          <w:lang w:eastAsia="zh-CN"/>
        </w:rPr>
        <w:t>4</w:t>
      </w:r>
      <w:r w:rsidRPr="00CC206F">
        <w:rPr>
          <w:rFonts w:eastAsia="SimSun"/>
          <w:snapToGrid w:val="0"/>
          <w:lang w:eastAsia="zh-CN"/>
        </w:rPr>
        <w:t>.</w:t>
      </w:r>
      <w:r>
        <w:rPr>
          <w:rFonts w:eastAsia="SimSun"/>
          <w:snapToGrid w:val="0"/>
          <w:lang w:eastAsia="zh-CN"/>
        </w:rPr>
        <w:t>2</w:t>
      </w:r>
      <w:r w:rsidRPr="00CC206F">
        <w:rPr>
          <w:rFonts w:eastAsia="SimSun"/>
          <w:snapToGrid w:val="0"/>
        </w:rPr>
        <w:tab/>
        <w:t>Test Requirements</w:t>
      </w:r>
      <w:bookmarkEnd w:id="10385"/>
    </w:p>
    <w:p w14:paraId="26BF815F" w14:textId="77777777" w:rsidR="003A71DE" w:rsidRPr="00CC206F" w:rsidRDefault="003A71DE" w:rsidP="003A71DE">
      <w:pPr>
        <w:rPr>
          <w:rFonts w:eastAsia="SimSun"/>
        </w:rPr>
      </w:pPr>
      <w:r w:rsidRPr="00CC206F">
        <w:rPr>
          <w:rFonts w:eastAsia="SimSun"/>
        </w:rPr>
        <w:t xml:space="preserve">The IAB-MT behaviour during time durations T1, T2, T3, T4 </w:t>
      </w:r>
      <w:r w:rsidRPr="00CC206F">
        <w:rPr>
          <w:rFonts w:eastAsia="SimSun"/>
          <w:lang w:eastAsia="zh-CN"/>
        </w:rPr>
        <w:t xml:space="preserve">and </w:t>
      </w:r>
      <w:r w:rsidRPr="00CC206F">
        <w:rPr>
          <w:rFonts w:eastAsia="SimSun"/>
        </w:rPr>
        <w:t>T5 shall be as follows:</w:t>
      </w:r>
    </w:p>
    <w:p w14:paraId="1BD2E0D9" w14:textId="77777777" w:rsidR="003A71DE" w:rsidRPr="00CC206F" w:rsidRDefault="003A71DE" w:rsidP="003A71DE">
      <w:pPr>
        <w:rPr>
          <w:rFonts w:eastAsia="SimSun"/>
          <w:lang w:eastAsia="zh-CN"/>
        </w:rPr>
      </w:pPr>
      <w:r w:rsidRPr="00CC206F">
        <w:rPr>
          <w:rFonts w:eastAsia="SimSun"/>
        </w:rPr>
        <w:t xml:space="preserve">During the </w:t>
      </w:r>
      <w:r w:rsidRPr="00CC206F">
        <w:rPr>
          <w:rFonts w:eastAsia="SimSun"/>
          <w:lang w:eastAsia="zh-CN"/>
        </w:rPr>
        <w:t>time duration T1 and T2, the IAB-MT shall transmit uplink signal at least in all subframes configured for CSI transmission on Cell 1.</w:t>
      </w:r>
    </w:p>
    <w:p w14:paraId="04089551" w14:textId="77777777" w:rsidR="003A71DE" w:rsidRPr="00CC206F" w:rsidRDefault="003A71DE" w:rsidP="003A71DE">
      <w:pPr>
        <w:rPr>
          <w:rFonts w:eastAsia="SimSun"/>
        </w:rPr>
      </w:pPr>
      <w:r w:rsidRPr="00CC206F">
        <w:rPr>
          <w:rFonts w:eastAsia="SimSun"/>
          <w:lang w:eastAsia="zh-CN"/>
        </w:rPr>
        <w:t xml:space="preserve">During the </w:t>
      </w:r>
      <w:r w:rsidRPr="00CC206F">
        <w:rPr>
          <w:rFonts w:eastAsia="SimSun"/>
        </w:rPr>
        <w:t>period from time point A to time point B the IAB-MT shall transmit uplink signal in Cell 1 in all uplink slots configured for CSI transmission according to the configured periodic CSI reporting for Cell 1.</w:t>
      </w:r>
    </w:p>
    <w:p w14:paraId="5854E58B" w14:textId="77777777" w:rsidR="003A71DE" w:rsidRPr="00CC206F" w:rsidRDefault="003A71DE" w:rsidP="003A71DE">
      <w:pPr>
        <w:rPr>
          <w:rFonts w:eastAsia="SimSun"/>
        </w:rPr>
      </w:pPr>
      <w:r w:rsidRPr="00CC206F">
        <w:rPr>
          <w:rFonts w:eastAsia="SimSun"/>
        </w:rPr>
        <w:t>During T3 the shall detect beam failure and initiat link recovery. During T4 and T5 the IAB-MT measures and evaluate beam candidate from beam candidate set q</w:t>
      </w:r>
      <w:r w:rsidRPr="00CC206F">
        <w:rPr>
          <w:rFonts w:eastAsia="SimSun"/>
          <w:vertAlign w:val="subscript"/>
        </w:rPr>
        <w:t>1</w:t>
      </w:r>
      <w:r w:rsidRPr="00CC206F">
        <w:rPr>
          <w:rFonts w:eastAsia="SimSun"/>
        </w:rPr>
        <w:t>.</w:t>
      </w:r>
    </w:p>
    <w:p w14:paraId="4BF6EA46" w14:textId="77777777" w:rsidR="003A71DE" w:rsidRPr="00CC206F" w:rsidRDefault="003A71DE" w:rsidP="003A71DE">
      <w:pPr>
        <w:rPr>
          <w:rFonts w:eastAsia="SimSun"/>
        </w:rPr>
      </w:pPr>
      <w:r w:rsidRPr="00CC206F">
        <w:rPr>
          <w:rFonts w:eastAsia="SimSun"/>
        </w:rPr>
        <w:t>No later than time point F occurring no later than D1 = 30 +10 ms after the start of T5, the IAB-MT shall transmit preamble on a beam associated with the candidate beam set q</w:t>
      </w:r>
      <w:r w:rsidRPr="00CC206F">
        <w:rPr>
          <w:rFonts w:eastAsia="SimSun"/>
          <w:vertAlign w:val="subscript"/>
        </w:rPr>
        <w:t>1</w:t>
      </w:r>
      <w:r w:rsidRPr="00CC206F">
        <w:rPr>
          <w:rFonts w:eastAsia="SimSun"/>
        </w:rPr>
        <w:t>. The IAB-MT shall not transmit preamble on a beam associated with the candidate beam set q</w:t>
      </w:r>
      <w:r w:rsidRPr="00CC206F">
        <w:rPr>
          <w:rFonts w:eastAsia="SimSun"/>
          <w:vertAlign w:val="subscript"/>
        </w:rPr>
        <w:t>1</w:t>
      </w:r>
      <w:r w:rsidRPr="00CC206F">
        <w:rPr>
          <w:rFonts w:eastAsia="SimSun"/>
        </w:rPr>
        <w:t xml:space="preserve"> earlier than time point B.</w:t>
      </w:r>
    </w:p>
    <w:p w14:paraId="5A866508" w14:textId="77777777" w:rsidR="003A71DE" w:rsidRDefault="003A71DE" w:rsidP="003A71DE">
      <w:pPr>
        <w:rPr>
          <w:rFonts w:eastAsia="SimSun"/>
        </w:rPr>
      </w:pPr>
      <w:r w:rsidRPr="00CC206F">
        <w:rPr>
          <w:rFonts w:eastAsia="SimSun"/>
        </w:rPr>
        <w:t>Test is concluded once the test equipment has received the initial preamble transmission from the IAB-MT. The rate of correct events observed during repeated tests shall be at least 90%.</w:t>
      </w:r>
    </w:p>
    <w:p w14:paraId="4BD62FC5" w14:textId="5C1EA4C9" w:rsidR="003A71DE" w:rsidRDefault="003A71DE" w:rsidP="003A71DE"/>
    <w:p w14:paraId="6014F8F2" w14:textId="77777777" w:rsidR="003A71DE" w:rsidRPr="0083322C" w:rsidRDefault="003A71DE" w:rsidP="00A153AF">
      <w:pPr>
        <w:pStyle w:val="Heading8"/>
        <w:rPr>
          <w:rFonts w:eastAsia="SimSun"/>
        </w:rPr>
      </w:pPr>
      <w:bookmarkStart w:id="10386" w:name="_Toc74583694"/>
      <w:bookmarkStart w:id="10387" w:name="_Toc76542507"/>
      <w:bookmarkStart w:id="10388" w:name="_Toc82450489"/>
      <w:bookmarkStart w:id="10389" w:name="_Toc82451137"/>
      <w:bookmarkStart w:id="10390" w:name="_Toc89949526"/>
      <w:bookmarkStart w:id="10391" w:name="_Toc98755915"/>
      <w:bookmarkStart w:id="10392" w:name="_Toc98763507"/>
      <w:bookmarkStart w:id="10393" w:name="_Toc106184436"/>
      <w:r w:rsidRPr="007117D0">
        <w:rPr>
          <w:rFonts w:eastAsia="SimSun"/>
        </w:rPr>
        <w:t xml:space="preserve">Annex </w:t>
      </w:r>
      <w:r>
        <w:rPr>
          <w:rFonts w:eastAsia="SimSun"/>
        </w:rPr>
        <w:t>H</w:t>
      </w:r>
      <w:r w:rsidRPr="007117D0">
        <w:rPr>
          <w:rFonts w:eastAsia="SimSun"/>
        </w:rPr>
        <w:t xml:space="preserve"> (normative):</w:t>
      </w:r>
      <w:r w:rsidRPr="007117D0">
        <w:rPr>
          <w:rFonts w:eastAsia="SimSun"/>
        </w:rPr>
        <w:br/>
      </w:r>
      <w:r w:rsidRPr="0083322C">
        <w:rPr>
          <w:rFonts w:eastAsia="SimSun"/>
        </w:rPr>
        <w:t>Conditions for IAB-MT RRM requirements applicability for operating bands</w:t>
      </w:r>
      <w:bookmarkEnd w:id="10386"/>
      <w:bookmarkEnd w:id="10387"/>
      <w:bookmarkEnd w:id="10388"/>
      <w:bookmarkEnd w:id="10389"/>
      <w:bookmarkEnd w:id="10390"/>
      <w:bookmarkEnd w:id="10391"/>
      <w:bookmarkEnd w:id="10392"/>
      <w:bookmarkEnd w:id="10393"/>
    </w:p>
    <w:p w14:paraId="1F9F421E" w14:textId="77777777" w:rsidR="003A71DE" w:rsidRPr="00F66DD8" w:rsidRDefault="003A71DE" w:rsidP="00A153AF">
      <w:pPr>
        <w:pStyle w:val="Heading2"/>
        <w:rPr>
          <w:rFonts w:eastAsiaTheme="minorEastAsia"/>
        </w:rPr>
      </w:pPr>
      <w:bookmarkStart w:id="10394" w:name="_Toc74583695"/>
      <w:bookmarkStart w:id="10395" w:name="_Toc76542508"/>
      <w:bookmarkStart w:id="10396" w:name="_Toc82450490"/>
      <w:bookmarkStart w:id="10397" w:name="_Toc82451138"/>
      <w:bookmarkStart w:id="10398" w:name="_Toc89949527"/>
      <w:bookmarkStart w:id="10399" w:name="_Toc98755916"/>
      <w:bookmarkStart w:id="10400" w:name="_Toc98763508"/>
      <w:bookmarkStart w:id="10401" w:name="_Toc106184437"/>
      <w:r>
        <w:rPr>
          <w:rFonts w:eastAsiaTheme="minorEastAsia"/>
        </w:rPr>
        <w:t>H</w:t>
      </w:r>
      <w:r w:rsidRPr="00EC4614">
        <w:rPr>
          <w:rFonts w:eastAsiaTheme="minorEastAsia"/>
        </w:rPr>
        <w:t>.1</w:t>
      </w:r>
      <w:r w:rsidRPr="00EC4614">
        <w:rPr>
          <w:rFonts w:eastAsiaTheme="minorEastAsia"/>
        </w:rPr>
        <w:tab/>
        <w:t>Conditions for RRC_CONNECTED state mobility for IAB-MT</w:t>
      </w:r>
      <w:bookmarkEnd w:id="10394"/>
      <w:bookmarkEnd w:id="10395"/>
      <w:bookmarkEnd w:id="10396"/>
      <w:bookmarkEnd w:id="10397"/>
      <w:bookmarkEnd w:id="10398"/>
      <w:bookmarkEnd w:id="10399"/>
      <w:bookmarkEnd w:id="10400"/>
      <w:bookmarkEnd w:id="10401"/>
    </w:p>
    <w:p w14:paraId="3BB84972" w14:textId="77777777" w:rsidR="003A71DE" w:rsidRPr="00EA3B97" w:rsidRDefault="003A71DE" w:rsidP="006D3225">
      <w:pPr>
        <w:pStyle w:val="Heading3"/>
        <w:rPr>
          <w:rFonts w:eastAsiaTheme="minorEastAsia"/>
        </w:rPr>
      </w:pPr>
      <w:bookmarkStart w:id="10402" w:name="_Toc82451139"/>
      <w:bookmarkStart w:id="10403" w:name="_Toc89949528"/>
      <w:bookmarkStart w:id="10404" w:name="_Toc98755917"/>
      <w:bookmarkStart w:id="10405" w:name="_Toc98763509"/>
      <w:bookmarkStart w:id="10406" w:name="_Toc106184438"/>
      <w:r>
        <w:rPr>
          <w:rFonts w:eastAsiaTheme="minorEastAsia"/>
        </w:rPr>
        <w:t>H</w:t>
      </w:r>
      <w:r w:rsidRPr="00EA3B97">
        <w:rPr>
          <w:rFonts w:eastAsiaTheme="minorEastAsia"/>
        </w:rPr>
        <w:t>.1.1</w:t>
      </w:r>
      <w:r w:rsidRPr="00EA3B97">
        <w:rPr>
          <w:rFonts w:eastAsiaTheme="minorEastAsia"/>
        </w:rPr>
        <w:tab/>
      </w:r>
      <w:r w:rsidRPr="00842522">
        <w:rPr>
          <w:rFonts w:eastAsiaTheme="minorEastAsia"/>
        </w:rPr>
        <w:t>Introduction</w:t>
      </w:r>
      <w:bookmarkEnd w:id="10402"/>
      <w:bookmarkEnd w:id="10403"/>
      <w:bookmarkEnd w:id="10404"/>
      <w:bookmarkEnd w:id="10405"/>
      <w:bookmarkEnd w:id="10406"/>
    </w:p>
    <w:p w14:paraId="27E67E5F" w14:textId="77777777" w:rsidR="003A71DE" w:rsidRPr="00317DBE" w:rsidRDefault="003A71DE" w:rsidP="003A71DE">
      <w:r w:rsidRPr="00317DBE">
        <w:t xml:space="preserve">In Annex </w:t>
      </w:r>
      <w:r>
        <w:t>H</w:t>
      </w:r>
      <w:r w:rsidRPr="00317DBE">
        <w:t>.1, the following conditions are specified:</w:t>
      </w:r>
    </w:p>
    <w:p w14:paraId="508AC1D3" w14:textId="55BDAECA" w:rsidR="003A71DE" w:rsidRPr="00317DBE" w:rsidRDefault="00A153AF" w:rsidP="00A153AF">
      <w:pPr>
        <w:pStyle w:val="B10"/>
        <w:rPr>
          <w:rFonts w:eastAsia="SimSun"/>
        </w:rPr>
      </w:pPr>
      <w:r>
        <w:rPr>
          <w:rFonts w:eastAsia="SimSun"/>
        </w:rPr>
        <w:t>-</w:t>
      </w:r>
      <w:r>
        <w:rPr>
          <w:rFonts w:eastAsia="SimSun"/>
        </w:rPr>
        <w:tab/>
      </w:r>
      <w:r w:rsidR="003A71DE" w:rsidRPr="00317DBE">
        <w:rPr>
          <w:rFonts w:eastAsia="SimSun"/>
        </w:rPr>
        <w:t>IAB-MT conditions which shall apply for IAB-MT RRC Connection Re-establishment requirements for NR intra-frequency cells in clause 12.1.1.1 and</w:t>
      </w:r>
    </w:p>
    <w:p w14:paraId="763AA825" w14:textId="53F6BA8F" w:rsidR="003A71DE" w:rsidRPr="00317DBE" w:rsidRDefault="00A153AF" w:rsidP="00A153AF">
      <w:pPr>
        <w:pStyle w:val="B10"/>
        <w:rPr>
          <w:rFonts w:eastAsia="SimSun"/>
        </w:rPr>
      </w:pPr>
      <w:r>
        <w:rPr>
          <w:rFonts w:eastAsia="SimSun"/>
        </w:rPr>
        <w:t>-</w:t>
      </w:r>
      <w:r>
        <w:rPr>
          <w:rFonts w:eastAsia="SimSun"/>
        </w:rPr>
        <w:tab/>
      </w:r>
      <w:r w:rsidR="003A71DE" w:rsidRPr="00317DBE">
        <w:rPr>
          <w:rFonts w:eastAsia="SimSun"/>
        </w:rPr>
        <w:t>IAB-MT conditions which shall apply for IAB-MT RRC Connection Re-establishment requirements for NR inter-frequency cells in clause 12.1.1.1 and</w:t>
      </w:r>
    </w:p>
    <w:p w14:paraId="4351943E" w14:textId="40077F3F" w:rsidR="003A71DE" w:rsidRPr="00317DBE" w:rsidRDefault="00A153AF" w:rsidP="00A153AF">
      <w:pPr>
        <w:pStyle w:val="B10"/>
        <w:rPr>
          <w:rFonts w:eastAsia="SimSun"/>
        </w:rPr>
      </w:pPr>
      <w:r>
        <w:rPr>
          <w:rFonts w:eastAsia="SimSun"/>
        </w:rPr>
        <w:lastRenderedPageBreak/>
        <w:t>-</w:t>
      </w:r>
      <w:r>
        <w:rPr>
          <w:rFonts w:eastAsia="SimSun"/>
        </w:rPr>
        <w:tab/>
      </w:r>
      <w:r w:rsidR="003A71DE" w:rsidRPr="00317DBE">
        <w:rPr>
          <w:rFonts w:eastAsia="SimSun"/>
        </w:rPr>
        <w:t>IAB-MT conditions which shall apply for IAB-MT RRC Connection Release with Redirection requirements for NR cells in clause 12.1.1.3.</w:t>
      </w:r>
    </w:p>
    <w:p w14:paraId="2BB0F1A8" w14:textId="77777777" w:rsidR="003A71DE" w:rsidRPr="00317DBE" w:rsidRDefault="003A71DE" w:rsidP="00A153AF">
      <w:pPr>
        <w:pStyle w:val="Heading4"/>
        <w:rPr>
          <w:rFonts w:eastAsiaTheme="minorEastAsia"/>
          <w:snapToGrid w:val="0"/>
        </w:rPr>
      </w:pPr>
      <w:bookmarkStart w:id="10407" w:name="_Toc74583696"/>
      <w:bookmarkStart w:id="10408" w:name="_Toc76542509"/>
      <w:bookmarkStart w:id="10409" w:name="_Toc82450491"/>
      <w:bookmarkStart w:id="10410" w:name="_Toc82451140"/>
      <w:bookmarkStart w:id="10411" w:name="_Toc89949529"/>
      <w:bookmarkStart w:id="10412" w:name="_Toc98755918"/>
      <w:bookmarkStart w:id="10413" w:name="_Toc98763510"/>
      <w:bookmarkStart w:id="10414" w:name="_Toc106184439"/>
      <w:r>
        <w:rPr>
          <w:rFonts w:eastAsiaTheme="minorEastAsia"/>
          <w:snapToGrid w:val="0"/>
        </w:rPr>
        <w:t>H</w:t>
      </w:r>
      <w:r w:rsidRPr="00317DBE">
        <w:rPr>
          <w:rFonts w:eastAsiaTheme="minorEastAsia"/>
          <w:snapToGrid w:val="0"/>
        </w:rPr>
        <w:t>.</w:t>
      </w:r>
      <w:r>
        <w:rPr>
          <w:rFonts w:eastAsiaTheme="minorEastAsia"/>
          <w:snapToGrid w:val="0"/>
        </w:rPr>
        <w:t>1</w:t>
      </w:r>
      <w:r w:rsidRPr="00317DBE">
        <w:rPr>
          <w:rFonts w:eastAsiaTheme="minorEastAsia"/>
          <w:snapToGrid w:val="0"/>
        </w:rPr>
        <w:t>.1.1</w:t>
      </w:r>
      <w:r w:rsidRPr="00317DBE">
        <w:rPr>
          <w:rFonts w:eastAsiaTheme="minorEastAsia"/>
          <w:snapToGrid w:val="0"/>
        </w:rPr>
        <w:tab/>
        <w:t>Conditions for Measurements on NR Intra-frequency Cells for RRC Connection Re-establishment</w:t>
      </w:r>
      <w:bookmarkEnd w:id="10407"/>
      <w:bookmarkEnd w:id="10408"/>
      <w:bookmarkEnd w:id="10409"/>
      <w:bookmarkEnd w:id="10410"/>
      <w:bookmarkEnd w:id="10411"/>
      <w:bookmarkEnd w:id="10412"/>
      <w:bookmarkEnd w:id="10413"/>
      <w:bookmarkEnd w:id="10414"/>
    </w:p>
    <w:p w14:paraId="3E33796C" w14:textId="77777777" w:rsidR="003A71DE" w:rsidRPr="00317DBE" w:rsidRDefault="003A71DE" w:rsidP="003A71DE">
      <w:pPr>
        <w:rPr>
          <w:noProof/>
        </w:rPr>
      </w:pPr>
      <w:r w:rsidRPr="00317DBE">
        <w:rPr>
          <w:noProof/>
        </w:rPr>
        <w:t>This clause defines the following conditions in terms of SSB_RP and SSB Ês/Iot for measurements on NR intra-frequency cells for RRC connection re-establishment:</w:t>
      </w:r>
    </w:p>
    <w:p w14:paraId="57C5F156" w14:textId="22D8B1BD"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.1.1.1-1 for FR1 NR cells for Wide Area IAB-MT and IAB Type 1-H.</w:t>
      </w:r>
    </w:p>
    <w:p w14:paraId="5FC8468F" w14:textId="0787027A"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.1.1.1-2 for FR1 NR cells for Local Area IAB-MT and IAB Type 1-H.</w:t>
      </w:r>
    </w:p>
    <w:p w14:paraId="2147BF62" w14:textId="22844546"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.1.1.1-3 for FR1 NR cells for Wide Area IAB-MT and IAB Type 1-O.</w:t>
      </w:r>
    </w:p>
    <w:p w14:paraId="5885C780" w14:textId="5564B240"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.1.1.1-4 for FR1 NR cells for Local Area IAB-MT and IAB Type 1-O.</w:t>
      </w:r>
    </w:p>
    <w:p w14:paraId="1F435C7C" w14:textId="5761C16A"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.1.1.1-5 for FR2 NR cells for Local Area and Wide Atea IAB-MT and IAB Type 2-O.</w:t>
      </w:r>
    </w:p>
    <w:p w14:paraId="763FB27F" w14:textId="77777777" w:rsidR="003A71DE" w:rsidRPr="00317DBE" w:rsidRDefault="003A71DE" w:rsidP="003A71DE">
      <w:pPr>
        <w:keepNext/>
        <w:keepLines/>
        <w:spacing w:before="24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.1.1.1-1: </w:t>
      </w:r>
      <w:r w:rsidRPr="00317DBE">
        <w:rPr>
          <w:rFonts w:ascii="Arial" w:hAnsi="Arial"/>
          <w:b/>
          <w:lang w:eastAsia="zh-CN"/>
        </w:rPr>
        <w:t>Conditions for RRC connection re-establishment for intra-frequency cell for Wide Area IAB-MT and IAB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6B084D06" w14:textId="77777777" w:rsidTr="003A71DE">
        <w:trPr>
          <w:jc w:val="center"/>
        </w:trPr>
        <w:tc>
          <w:tcPr>
            <w:tcW w:w="1838" w:type="dxa"/>
            <w:vMerge w:val="restart"/>
            <w:shd w:val="clear" w:color="auto" w:fill="auto"/>
          </w:tcPr>
          <w:p w14:paraId="04AFADD9" w14:textId="77777777" w:rsidR="003A71DE" w:rsidRPr="00317DBE" w:rsidRDefault="003A71DE" w:rsidP="00D84FA9">
            <w:pPr>
              <w:pStyle w:val="TAH"/>
            </w:pPr>
            <w:r w:rsidRPr="00317DBE">
              <w:t>IAB-MT channel bandwidth (MHz)</w:t>
            </w:r>
          </w:p>
        </w:tc>
        <w:tc>
          <w:tcPr>
            <w:tcW w:w="1843" w:type="dxa"/>
            <w:vMerge w:val="restart"/>
          </w:tcPr>
          <w:p w14:paraId="62AD0D1C" w14:textId="77777777" w:rsidR="003A71DE" w:rsidRPr="00317DBE" w:rsidRDefault="003A71DE" w:rsidP="00D84FA9">
            <w:pPr>
              <w:pStyle w:val="TAH"/>
            </w:pPr>
            <w:r w:rsidRPr="00317DBE">
              <w:t>SSB sub-carrier spacing (kHz)</w:t>
            </w:r>
          </w:p>
        </w:tc>
        <w:tc>
          <w:tcPr>
            <w:tcW w:w="5948" w:type="dxa"/>
            <w:gridSpan w:val="2"/>
          </w:tcPr>
          <w:p w14:paraId="23DCDC9E" w14:textId="77777777" w:rsidR="003A71DE" w:rsidRPr="00317DBE" w:rsidRDefault="003A71DE" w:rsidP="00D84FA9">
            <w:pPr>
              <w:pStyle w:val="TAH"/>
              <w:rPr>
                <w:bCs/>
              </w:rPr>
            </w:pPr>
            <w:r w:rsidRPr="00317DBE">
              <w:rPr>
                <w:bCs/>
              </w:rPr>
              <w:t>Side conditions</w:t>
            </w:r>
          </w:p>
        </w:tc>
      </w:tr>
      <w:tr w:rsidR="003A71DE" w:rsidRPr="00317DBE" w14:paraId="3D8C2631" w14:textId="77777777" w:rsidTr="003A71DE">
        <w:trPr>
          <w:jc w:val="center"/>
        </w:trPr>
        <w:tc>
          <w:tcPr>
            <w:tcW w:w="1838" w:type="dxa"/>
            <w:vMerge/>
            <w:shd w:val="clear" w:color="auto" w:fill="auto"/>
          </w:tcPr>
          <w:p w14:paraId="387FBECA" w14:textId="77777777" w:rsidR="003A71DE" w:rsidRPr="00317DBE" w:rsidRDefault="003A71DE" w:rsidP="00D84FA9">
            <w:pPr>
              <w:pStyle w:val="TAH"/>
            </w:pPr>
          </w:p>
        </w:tc>
        <w:tc>
          <w:tcPr>
            <w:tcW w:w="1843" w:type="dxa"/>
            <w:vMerge/>
          </w:tcPr>
          <w:p w14:paraId="17C71C88" w14:textId="77777777" w:rsidR="003A71DE" w:rsidRPr="00317DBE" w:rsidRDefault="003A71DE" w:rsidP="00D84FA9">
            <w:pPr>
              <w:pStyle w:val="TAH"/>
            </w:pPr>
          </w:p>
        </w:tc>
        <w:tc>
          <w:tcPr>
            <w:tcW w:w="2126" w:type="dxa"/>
          </w:tcPr>
          <w:p w14:paraId="4C9E5C61" w14:textId="77777777" w:rsidR="003A71DE" w:rsidRPr="00317DBE" w:rsidRDefault="003A71DE" w:rsidP="00D84FA9">
            <w:pPr>
              <w:pStyle w:val="TAH"/>
              <w:rPr>
                <w:bCs/>
              </w:rPr>
            </w:pPr>
            <w:r w:rsidRPr="00317DBE">
              <w:rPr>
                <w:bCs/>
              </w:rPr>
              <w:t>SSB Ês/Iot (dB)</w:t>
            </w:r>
          </w:p>
        </w:tc>
        <w:tc>
          <w:tcPr>
            <w:tcW w:w="3822" w:type="dxa"/>
          </w:tcPr>
          <w:p w14:paraId="724AE04F" w14:textId="77777777" w:rsidR="003A71DE" w:rsidRPr="00317DBE" w:rsidRDefault="003A71DE" w:rsidP="00D84FA9">
            <w:pPr>
              <w:pStyle w:val="TAH"/>
              <w:rPr>
                <w:bCs/>
              </w:rPr>
            </w:pPr>
            <w:r w:rsidRPr="00317DBE">
              <w:rPr>
                <w:bCs/>
              </w:rPr>
              <w:t>Minimum SSB_RP (dBm)</w:t>
            </w:r>
          </w:p>
        </w:tc>
      </w:tr>
      <w:tr w:rsidR="003A71DE" w:rsidRPr="00317DBE" w14:paraId="376A24BA" w14:textId="77777777" w:rsidTr="003A71DE">
        <w:trPr>
          <w:trHeight w:val="279"/>
          <w:jc w:val="center"/>
        </w:trPr>
        <w:tc>
          <w:tcPr>
            <w:tcW w:w="1838" w:type="dxa"/>
            <w:vAlign w:val="center"/>
          </w:tcPr>
          <w:p w14:paraId="44A20A6E" w14:textId="77777777" w:rsidR="003A71DE" w:rsidRPr="00317DBE" w:rsidRDefault="003A71DE" w:rsidP="00D84FA9">
            <w:pPr>
              <w:pStyle w:val="TAC"/>
            </w:pPr>
            <w:r w:rsidRPr="00317DBE">
              <w:t>10, 15</w:t>
            </w:r>
          </w:p>
        </w:tc>
        <w:tc>
          <w:tcPr>
            <w:tcW w:w="1843" w:type="dxa"/>
            <w:vAlign w:val="center"/>
          </w:tcPr>
          <w:p w14:paraId="1776F5A1" w14:textId="77777777" w:rsidR="003A71DE" w:rsidRPr="00317DBE" w:rsidRDefault="003A71DE" w:rsidP="00D84FA9">
            <w:pPr>
              <w:pStyle w:val="TAC"/>
              <w:rPr>
                <w:lang w:eastAsia="zh-CN"/>
              </w:rPr>
            </w:pPr>
            <w:r w:rsidRPr="00317DBE">
              <w:rPr>
                <w:lang w:eastAsia="zh-CN"/>
              </w:rPr>
              <w:t>30</w:t>
            </w:r>
          </w:p>
        </w:tc>
        <w:tc>
          <w:tcPr>
            <w:tcW w:w="2126" w:type="dxa"/>
            <w:vAlign w:val="center"/>
          </w:tcPr>
          <w:p w14:paraId="49B9E8E5" w14:textId="77777777" w:rsidR="003A71DE" w:rsidRPr="00317DBE" w:rsidRDefault="003A71DE" w:rsidP="00D84FA9">
            <w:pPr>
              <w:pStyle w:val="TAC"/>
              <w:rPr>
                <w:lang w:eastAsia="zh-CN"/>
              </w:rPr>
            </w:pPr>
            <w:r w:rsidRPr="00317DBE">
              <w:rPr>
                <w:lang w:eastAsia="zh-CN"/>
              </w:rPr>
              <w:t>-6</w:t>
            </w:r>
          </w:p>
        </w:tc>
        <w:tc>
          <w:tcPr>
            <w:tcW w:w="3822" w:type="dxa"/>
          </w:tcPr>
          <w:p w14:paraId="7C287700" w14:textId="77777777" w:rsidR="003A71DE" w:rsidRPr="00317DBE" w:rsidRDefault="003A71DE" w:rsidP="00D84FA9">
            <w:pPr>
              <w:pStyle w:val="TAC"/>
              <w:rPr>
                <w:lang w:eastAsia="zh-CN"/>
              </w:rPr>
            </w:pPr>
            <w:r w:rsidRPr="00317DBE">
              <w:t>-107</w:t>
            </w:r>
            <w:r w:rsidRPr="00317DBE">
              <w:rPr>
                <w:szCs w:val="22"/>
              </w:rPr>
              <w:t xml:space="preserve"> - 10*Log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2ADE375D" w14:textId="77777777" w:rsidTr="003A71DE">
        <w:trPr>
          <w:trHeight w:val="279"/>
          <w:jc w:val="center"/>
        </w:trPr>
        <w:tc>
          <w:tcPr>
            <w:tcW w:w="1838" w:type="dxa"/>
            <w:vAlign w:val="center"/>
          </w:tcPr>
          <w:p w14:paraId="7E0FB26F" w14:textId="77777777" w:rsidR="003A71DE" w:rsidRPr="00317DBE" w:rsidRDefault="003A71DE" w:rsidP="00D84FA9">
            <w:pPr>
              <w:pStyle w:val="TAC"/>
            </w:pPr>
            <w:r w:rsidRPr="00317DBE">
              <w:t>20, 25, 30, 40, 50, 60, 70, 80, 90, 100</w:t>
            </w:r>
          </w:p>
        </w:tc>
        <w:tc>
          <w:tcPr>
            <w:tcW w:w="1843" w:type="dxa"/>
            <w:vAlign w:val="center"/>
          </w:tcPr>
          <w:p w14:paraId="3B3D3560" w14:textId="77777777" w:rsidR="003A71DE" w:rsidRPr="00317DBE" w:rsidRDefault="003A71DE" w:rsidP="00D84FA9">
            <w:pPr>
              <w:pStyle w:val="TAC"/>
              <w:rPr>
                <w:lang w:eastAsia="zh-CN"/>
              </w:rPr>
            </w:pPr>
            <w:r w:rsidRPr="00317DBE">
              <w:rPr>
                <w:lang w:eastAsia="zh-CN"/>
              </w:rPr>
              <w:t>30</w:t>
            </w:r>
          </w:p>
        </w:tc>
        <w:tc>
          <w:tcPr>
            <w:tcW w:w="2126" w:type="dxa"/>
            <w:vAlign w:val="center"/>
          </w:tcPr>
          <w:p w14:paraId="363570D4" w14:textId="77777777" w:rsidR="003A71DE" w:rsidRPr="00317DBE" w:rsidRDefault="003A71DE" w:rsidP="00D84FA9">
            <w:pPr>
              <w:pStyle w:val="TAC"/>
              <w:rPr>
                <w:lang w:eastAsia="zh-CN"/>
              </w:rPr>
            </w:pPr>
            <w:r w:rsidRPr="00317DBE">
              <w:rPr>
                <w:lang w:eastAsia="zh-CN"/>
              </w:rPr>
              <w:t>-6</w:t>
            </w:r>
          </w:p>
        </w:tc>
        <w:tc>
          <w:tcPr>
            <w:tcW w:w="3822" w:type="dxa"/>
            <w:vAlign w:val="center"/>
          </w:tcPr>
          <w:p w14:paraId="3B363D66" w14:textId="77777777" w:rsidR="003A71DE" w:rsidRPr="00317DBE" w:rsidRDefault="003A71DE" w:rsidP="00D84FA9">
            <w:pPr>
              <w:pStyle w:val="TAC"/>
              <w:rPr>
                <w:lang w:eastAsia="zh-CN"/>
              </w:rPr>
            </w:pPr>
            <w:r w:rsidRPr="00317DBE">
              <w:rPr>
                <w:lang w:eastAsia="zh-CN"/>
              </w:rPr>
              <w:t>-101.4</w:t>
            </w:r>
            <w:r w:rsidRPr="00317DBE">
              <w:rPr>
                <w:szCs w:val="22"/>
              </w:rPr>
              <w:t>- 10*Log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2DE3DEA2" w14:textId="77777777" w:rsidTr="003A71DE">
        <w:trPr>
          <w:trHeight w:val="279"/>
          <w:jc w:val="center"/>
        </w:trPr>
        <w:tc>
          <w:tcPr>
            <w:tcW w:w="9629" w:type="dxa"/>
            <w:gridSpan w:val="4"/>
            <w:vAlign w:val="center"/>
          </w:tcPr>
          <w:p w14:paraId="29FEC54D" w14:textId="59A12D3B" w:rsidR="003A71DE" w:rsidRPr="00317DBE" w:rsidRDefault="003A71DE" w:rsidP="003A71DE">
            <w:pPr>
              <w:keepNext/>
              <w:keepLines/>
              <w:spacing w:after="0"/>
              <w:ind w:left="851" w:hanging="851"/>
              <w:rPr>
                <w:rFonts w:ascii="Arial" w:hAnsi="Arial"/>
                <w:sz w:val="18"/>
                <w:lang w:eastAsia="zh-CN"/>
              </w:rPr>
            </w:pPr>
            <w:r w:rsidRPr="00317DBE">
              <w:rPr>
                <w:rFonts w:ascii="Arial" w:hAnsi="Arial"/>
                <w:sz w:val="18"/>
              </w:rPr>
              <w:t>NOTE 1:</w:t>
            </w:r>
            <w:r w:rsidR="00D84FA9" w:rsidRPr="00CC206F">
              <w:rPr>
                <w:rFonts w:ascii="Arial" w:eastAsia="SimSun" w:hAnsi="Arial"/>
                <w:sz w:val="18"/>
              </w:rPr>
              <w:tab/>
            </w:r>
            <w:r w:rsidRPr="00317DBE">
              <w:rPr>
                <w:szCs w:val="22"/>
              </w:rPr>
              <w:t>N</w:t>
            </w:r>
            <w:r w:rsidRPr="00317DBE">
              <w:rPr>
                <w:szCs w:val="22"/>
                <w:vertAlign w:val="subscript"/>
              </w:rPr>
              <w:t>PRB</w:t>
            </w:r>
            <w:r w:rsidRPr="00317DBE">
              <w:rPr>
                <w:rFonts w:ascii="Arial" w:hAnsi="Arial"/>
                <w:sz w:val="18"/>
              </w:rPr>
              <w:t xml:space="preserve"> is the number of PRBs within the IAB-IMT channel bandwidth defined in section 5.3.2.</w:t>
            </w:r>
          </w:p>
        </w:tc>
      </w:tr>
    </w:tbl>
    <w:p w14:paraId="19E0C784" w14:textId="77777777" w:rsidR="003A71DE" w:rsidRPr="00317DBE" w:rsidRDefault="003A71DE" w:rsidP="003A71DE">
      <w:pPr>
        <w:rPr>
          <w:noProof/>
        </w:rPr>
      </w:pPr>
    </w:p>
    <w:p w14:paraId="5F52E48C"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.1.1.1-2: </w:t>
      </w:r>
      <w:r w:rsidRPr="00317DBE">
        <w:rPr>
          <w:rFonts w:ascii="Arial" w:hAnsi="Arial"/>
          <w:b/>
          <w:lang w:eastAsia="zh-CN"/>
        </w:rPr>
        <w:t>Conditions for RRC connection re-establishment for intra-frequency cell for Local Area IAB-MT and IAB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7E10C2D6" w14:textId="77777777" w:rsidTr="003A71DE">
        <w:trPr>
          <w:jc w:val="center"/>
        </w:trPr>
        <w:tc>
          <w:tcPr>
            <w:tcW w:w="1838" w:type="dxa"/>
            <w:vMerge w:val="restart"/>
            <w:shd w:val="clear" w:color="auto" w:fill="auto"/>
          </w:tcPr>
          <w:p w14:paraId="0A16C7A6" w14:textId="77777777" w:rsidR="003A71DE" w:rsidRPr="00317DBE" w:rsidRDefault="003A71DE" w:rsidP="00D84FA9">
            <w:pPr>
              <w:pStyle w:val="TAH"/>
            </w:pPr>
            <w:r w:rsidRPr="00317DBE">
              <w:t>IAB-MT channel bandwidth (MHz)</w:t>
            </w:r>
          </w:p>
        </w:tc>
        <w:tc>
          <w:tcPr>
            <w:tcW w:w="1843" w:type="dxa"/>
            <w:vMerge w:val="restart"/>
          </w:tcPr>
          <w:p w14:paraId="26F5D74A" w14:textId="77777777" w:rsidR="003A71DE" w:rsidRPr="00317DBE" w:rsidRDefault="003A71DE" w:rsidP="00D84FA9">
            <w:pPr>
              <w:pStyle w:val="TAH"/>
            </w:pPr>
            <w:r w:rsidRPr="00317DBE">
              <w:t>SSB sub-carrier spacing (kHz)</w:t>
            </w:r>
          </w:p>
        </w:tc>
        <w:tc>
          <w:tcPr>
            <w:tcW w:w="5948" w:type="dxa"/>
            <w:gridSpan w:val="2"/>
          </w:tcPr>
          <w:p w14:paraId="4050FD43" w14:textId="77777777" w:rsidR="003A71DE" w:rsidRPr="00317DBE" w:rsidRDefault="003A71DE" w:rsidP="00D84FA9">
            <w:pPr>
              <w:pStyle w:val="TAH"/>
              <w:rPr>
                <w:bCs/>
              </w:rPr>
            </w:pPr>
            <w:r w:rsidRPr="00317DBE">
              <w:rPr>
                <w:bCs/>
              </w:rPr>
              <w:t>Side conditions</w:t>
            </w:r>
          </w:p>
        </w:tc>
      </w:tr>
      <w:tr w:rsidR="003A71DE" w:rsidRPr="00317DBE" w14:paraId="05BB9F81" w14:textId="77777777" w:rsidTr="003A71DE">
        <w:trPr>
          <w:jc w:val="center"/>
        </w:trPr>
        <w:tc>
          <w:tcPr>
            <w:tcW w:w="1838" w:type="dxa"/>
            <w:vMerge/>
            <w:shd w:val="clear" w:color="auto" w:fill="auto"/>
          </w:tcPr>
          <w:p w14:paraId="640F813A" w14:textId="77777777" w:rsidR="003A71DE" w:rsidRPr="00317DBE" w:rsidRDefault="003A71DE" w:rsidP="00D84FA9">
            <w:pPr>
              <w:pStyle w:val="TAH"/>
            </w:pPr>
          </w:p>
        </w:tc>
        <w:tc>
          <w:tcPr>
            <w:tcW w:w="1843" w:type="dxa"/>
            <w:vMerge/>
          </w:tcPr>
          <w:p w14:paraId="41DD8714" w14:textId="77777777" w:rsidR="003A71DE" w:rsidRPr="00317DBE" w:rsidRDefault="003A71DE" w:rsidP="00D84FA9">
            <w:pPr>
              <w:pStyle w:val="TAH"/>
            </w:pPr>
          </w:p>
        </w:tc>
        <w:tc>
          <w:tcPr>
            <w:tcW w:w="2126" w:type="dxa"/>
          </w:tcPr>
          <w:p w14:paraId="6A93F184" w14:textId="77777777" w:rsidR="003A71DE" w:rsidRPr="00317DBE" w:rsidRDefault="003A71DE" w:rsidP="00D84FA9">
            <w:pPr>
              <w:pStyle w:val="TAH"/>
              <w:rPr>
                <w:bCs/>
              </w:rPr>
            </w:pPr>
            <w:r w:rsidRPr="00317DBE">
              <w:rPr>
                <w:bCs/>
              </w:rPr>
              <w:t>SSB Ês/Iot (dB)</w:t>
            </w:r>
          </w:p>
        </w:tc>
        <w:tc>
          <w:tcPr>
            <w:tcW w:w="3822" w:type="dxa"/>
          </w:tcPr>
          <w:p w14:paraId="48A53A55" w14:textId="77777777" w:rsidR="003A71DE" w:rsidRPr="00317DBE" w:rsidRDefault="003A71DE" w:rsidP="00D84FA9">
            <w:pPr>
              <w:pStyle w:val="TAH"/>
              <w:rPr>
                <w:bCs/>
              </w:rPr>
            </w:pPr>
            <w:r w:rsidRPr="00317DBE">
              <w:rPr>
                <w:bCs/>
              </w:rPr>
              <w:t>Minimum SSB_RP (dBm)</w:t>
            </w:r>
          </w:p>
        </w:tc>
      </w:tr>
      <w:tr w:rsidR="003A71DE" w:rsidRPr="00317DBE" w14:paraId="17EC21DC" w14:textId="77777777" w:rsidTr="003A71DE">
        <w:trPr>
          <w:trHeight w:val="279"/>
          <w:jc w:val="center"/>
        </w:trPr>
        <w:tc>
          <w:tcPr>
            <w:tcW w:w="1838" w:type="dxa"/>
            <w:vAlign w:val="center"/>
          </w:tcPr>
          <w:p w14:paraId="09E2DC6D" w14:textId="77777777" w:rsidR="003A71DE" w:rsidRPr="00317DBE" w:rsidRDefault="003A71DE" w:rsidP="00D84FA9">
            <w:pPr>
              <w:pStyle w:val="TAC"/>
            </w:pPr>
            <w:r w:rsidRPr="00317DBE">
              <w:t>10, 15</w:t>
            </w:r>
          </w:p>
        </w:tc>
        <w:tc>
          <w:tcPr>
            <w:tcW w:w="1843" w:type="dxa"/>
            <w:vAlign w:val="center"/>
          </w:tcPr>
          <w:p w14:paraId="5F2EFCCA" w14:textId="77777777" w:rsidR="003A71DE" w:rsidRPr="00317DBE" w:rsidRDefault="003A71DE" w:rsidP="00D84FA9">
            <w:pPr>
              <w:pStyle w:val="TAC"/>
              <w:rPr>
                <w:lang w:eastAsia="zh-CN"/>
              </w:rPr>
            </w:pPr>
            <w:r w:rsidRPr="00317DBE">
              <w:rPr>
                <w:lang w:eastAsia="zh-CN"/>
              </w:rPr>
              <w:t>30</w:t>
            </w:r>
          </w:p>
        </w:tc>
        <w:tc>
          <w:tcPr>
            <w:tcW w:w="2126" w:type="dxa"/>
            <w:vAlign w:val="center"/>
          </w:tcPr>
          <w:p w14:paraId="28A4BE41" w14:textId="77777777" w:rsidR="003A71DE" w:rsidRPr="00317DBE" w:rsidRDefault="003A71DE" w:rsidP="00D84FA9">
            <w:pPr>
              <w:pStyle w:val="TAC"/>
              <w:rPr>
                <w:lang w:eastAsia="zh-CN"/>
              </w:rPr>
            </w:pPr>
            <w:r w:rsidRPr="00317DBE">
              <w:rPr>
                <w:lang w:eastAsia="zh-CN"/>
              </w:rPr>
              <w:t>-6</w:t>
            </w:r>
          </w:p>
        </w:tc>
        <w:tc>
          <w:tcPr>
            <w:tcW w:w="3822" w:type="dxa"/>
          </w:tcPr>
          <w:p w14:paraId="53239A87" w14:textId="77777777" w:rsidR="003A71DE" w:rsidRPr="00317DBE" w:rsidRDefault="003A71DE" w:rsidP="00D84FA9">
            <w:pPr>
              <w:pStyle w:val="TAC"/>
              <w:rPr>
                <w:lang w:eastAsia="zh-CN"/>
              </w:rPr>
            </w:pPr>
            <w:r w:rsidRPr="00317DBE">
              <w:t>-99</w:t>
            </w:r>
            <w:r w:rsidRPr="00317DBE">
              <w:rPr>
                <w:szCs w:val="22"/>
              </w:rPr>
              <w:t xml:space="preserve"> - 10*Log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3756628D" w14:textId="77777777" w:rsidTr="003A71DE">
        <w:trPr>
          <w:trHeight w:val="279"/>
          <w:jc w:val="center"/>
        </w:trPr>
        <w:tc>
          <w:tcPr>
            <w:tcW w:w="1838" w:type="dxa"/>
            <w:vAlign w:val="center"/>
          </w:tcPr>
          <w:p w14:paraId="58DBAF37" w14:textId="77777777" w:rsidR="003A71DE" w:rsidRPr="00317DBE" w:rsidRDefault="003A71DE" w:rsidP="00D84FA9">
            <w:pPr>
              <w:pStyle w:val="TAC"/>
            </w:pPr>
            <w:r w:rsidRPr="00317DBE">
              <w:t>20, 25, 30, 40, 50, 60, 70, 80, 90, 100</w:t>
            </w:r>
          </w:p>
        </w:tc>
        <w:tc>
          <w:tcPr>
            <w:tcW w:w="1843" w:type="dxa"/>
            <w:vAlign w:val="center"/>
          </w:tcPr>
          <w:p w14:paraId="7EDDB6F4" w14:textId="77777777" w:rsidR="003A71DE" w:rsidRPr="00317DBE" w:rsidRDefault="003A71DE" w:rsidP="00D84FA9">
            <w:pPr>
              <w:pStyle w:val="TAC"/>
              <w:rPr>
                <w:lang w:eastAsia="zh-CN"/>
              </w:rPr>
            </w:pPr>
            <w:r w:rsidRPr="00317DBE">
              <w:rPr>
                <w:lang w:eastAsia="zh-CN"/>
              </w:rPr>
              <w:t>30</w:t>
            </w:r>
          </w:p>
        </w:tc>
        <w:tc>
          <w:tcPr>
            <w:tcW w:w="2126" w:type="dxa"/>
            <w:vAlign w:val="center"/>
          </w:tcPr>
          <w:p w14:paraId="1AC0B703" w14:textId="77777777" w:rsidR="003A71DE" w:rsidRPr="00317DBE" w:rsidRDefault="003A71DE" w:rsidP="00D84FA9">
            <w:pPr>
              <w:pStyle w:val="TAC"/>
              <w:rPr>
                <w:lang w:eastAsia="zh-CN"/>
              </w:rPr>
            </w:pPr>
            <w:r w:rsidRPr="00317DBE">
              <w:rPr>
                <w:lang w:eastAsia="zh-CN"/>
              </w:rPr>
              <w:t>-6</w:t>
            </w:r>
          </w:p>
        </w:tc>
        <w:tc>
          <w:tcPr>
            <w:tcW w:w="3822" w:type="dxa"/>
            <w:vAlign w:val="center"/>
          </w:tcPr>
          <w:p w14:paraId="6E39B80B" w14:textId="77777777" w:rsidR="003A71DE" w:rsidRPr="00317DBE" w:rsidRDefault="003A71DE" w:rsidP="00D84FA9">
            <w:pPr>
              <w:pStyle w:val="TAC"/>
              <w:rPr>
                <w:lang w:eastAsia="zh-CN"/>
              </w:rPr>
            </w:pPr>
            <w:r w:rsidRPr="00317DBE">
              <w:rPr>
                <w:lang w:eastAsia="zh-CN"/>
              </w:rPr>
              <w:t>-92.5</w:t>
            </w:r>
            <w:r w:rsidRPr="00317DBE">
              <w:rPr>
                <w:szCs w:val="22"/>
              </w:rPr>
              <w:t>- 10*Log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577D6801" w14:textId="77777777" w:rsidTr="003A71DE">
        <w:trPr>
          <w:trHeight w:val="279"/>
          <w:jc w:val="center"/>
        </w:trPr>
        <w:tc>
          <w:tcPr>
            <w:tcW w:w="9629" w:type="dxa"/>
            <w:gridSpan w:val="4"/>
            <w:vAlign w:val="center"/>
          </w:tcPr>
          <w:p w14:paraId="080F8C13" w14:textId="35B0E0D8" w:rsidR="003A71DE" w:rsidRPr="00317DBE" w:rsidRDefault="003A71DE" w:rsidP="00D84FA9">
            <w:pPr>
              <w:pStyle w:val="TAN"/>
              <w:rPr>
                <w:lang w:eastAsia="zh-CN"/>
              </w:rPr>
            </w:pPr>
            <w:r w:rsidRPr="00317DBE">
              <w:t>NOTE 1:</w:t>
            </w:r>
            <w:r w:rsidR="00D84FA9" w:rsidRPr="00CC206F">
              <w:rPr>
                <w:rFonts w:eastAsia="SimSun"/>
              </w:rPr>
              <w:tab/>
            </w:r>
            <w:r w:rsidRPr="00317DBE">
              <w:rPr>
                <w:szCs w:val="22"/>
              </w:rPr>
              <w:t>N</w:t>
            </w:r>
            <w:r w:rsidRPr="00317DBE">
              <w:rPr>
                <w:szCs w:val="22"/>
                <w:vertAlign w:val="subscript"/>
              </w:rPr>
              <w:t>PRB</w:t>
            </w:r>
            <w:r w:rsidRPr="00317DBE">
              <w:t xml:space="preserve"> is the number of PRBs within the IAB-IMT channel bandwidth defined in section 5.3.2.</w:t>
            </w:r>
          </w:p>
        </w:tc>
      </w:tr>
    </w:tbl>
    <w:p w14:paraId="010BC390" w14:textId="77777777" w:rsidR="003A71DE" w:rsidRPr="00317DBE" w:rsidRDefault="003A71DE" w:rsidP="003A71DE">
      <w:pPr>
        <w:rPr>
          <w:noProof/>
        </w:rPr>
      </w:pPr>
    </w:p>
    <w:p w14:paraId="3B5A0C95"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.1.1.1-3: </w:t>
      </w:r>
      <w:r w:rsidRPr="00317DBE">
        <w:rPr>
          <w:rFonts w:ascii="Arial" w:hAnsi="Arial"/>
          <w:b/>
          <w:lang w:eastAsia="zh-CN"/>
        </w:rPr>
        <w:t>Conditions for RRC connection re-establishment for intra-frequency cell for Wide Area IAB-MT and IAB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22F39238" w14:textId="77777777" w:rsidTr="003A71DE">
        <w:trPr>
          <w:jc w:val="center"/>
        </w:trPr>
        <w:tc>
          <w:tcPr>
            <w:tcW w:w="1838" w:type="dxa"/>
            <w:vMerge w:val="restart"/>
            <w:shd w:val="clear" w:color="auto" w:fill="auto"/>
          </w:tcPr>
          <w:p w14:paraId="08A17C7C" w14:textId="77777777" w:rsidR="003A71DE" w:rsidRPr="00317DBE" w:rsidRDefault="003A71DE" w:rsidP="00D84FA9">
            <w:pPr>
              <w:pStyle w:val="TAH"/>
            </w:pPr>
            <w:r w:rsidRPr="00317DBE">
              <w:t>IAB-MT channel bandwidth (MHz)</w:t>
            </w:r>
          </w:p>
        </w:tc>
        <w:tc>
          <w:tcPr>
            <w:tcW w:w="1843" w:type="dxa"/>
            <w:vMerge w:val="restart"/>
          </w:tcPr>
          <w:p w14:paraId="36316382" w14:textId="77777777" w:rsidR="003A71DE" w:rsidRPr="00317DBE" w:rsidRDefault="003A71DE" w:rsidP="00D84FA9">
            <w:pPr>
              <w:pStyle w:val="TAH"/>
            </w:pPr>
            <w:r w:rsidRPr="00317DBE">
              <w:t>SSB sub-carrier spacing (kHz)</w:t>
            </w:r>
          </w:p>
        </w:tc>
        <w:tc>
          <w:tcPr>
            <w:tcW w:w="5948" w:type="dxa"/>
            <w:gridSpan w:val="2"/>
          </w:tcPr>
          <w:p w14:paraId="1FC3507D" w14:textId="77777777" w:rsidR="003A71DE" w:rsidRPr="00317DBE" w:rsidRDefault="003A71DE" w:rsidP="00D84FA9">
            <w:pPr>
              <w:pStyle w:val="TAH"/>
              <w:rPr>
                <w:bCs/>
              </w:rPr>
            </w:pPr>
            <w:r w:rsidRPr="00317DBE">
              <w:rPr>
                <w:bCs/>
              </w:rPr>
              <w:t>Side conditions</w:t>
            </w:r>
          </w:p>
        </w:tc>
      </w:tr>
      <w:tr w:rsidR="003A71DE" w:rsidRPr="00317DBE" w14:paraId="5096F8E9" w14:textId="77777777" w:rsidTr="003A71DE">
        <w:trPr>
          <w:jc w:val="center"/>
        </w:trPr>
        <w:tc>
          <w:tcPr>
            <w:tcW w:w="1838" w:type="dxa"/>
            <w:vMerge/>
            <w:shd w:val="clear" w:color="auto" w:fill="auto"/>
          </w:tcPr>
          <w:p w14:paraId="753D3AC5" w14:textId="77777777" w:rsidR="003A71DE" w:rsidRPr="00317DBE" w:rsidRDefault="003A71DE" w:rsidP="00D84FA9">
            <w:pPr>
              <w:pStyle w:val="TAH"/>
            </w:pPr>
          </w:p>
        </w:tc>
        <w:tc>
          <w:tcPr>
            <w:tcW w:w="1843" w:type="dxa"/>
            <w:vMerge/>
          </w:tcPr>
          <w:p w14:paraId="49047BE5" w14:textId="77777777" w:rsidR="003A71DE" w:rsidRPr="00317DBE" w:rsidRDefault="003A71DE" w:rsidP="00D84FA9">
            <w:pPr>
              <w:pStyle w:val="TAH"/>
            </w:pPr>
          </w:p>
        </w:tc>
        <w:tc>
          <w:tcPr>
            <w:tcW w:w="2126" w:type="dxa"/>
          </w:tcPr>
          <w:p w14:paraId="4C11E26C" w14:textId="77777777" w:rsidR="003A71DE" w:rsidRPr="00317DBE" w:rsidRDefault="003A71DE" w:rsidP="00D84FA9">
            <w:pPr>
              <w:pStyle w:val="TAH"/>
              <w:rPr>
                <w:bCs/>
              </w:rPr>
            </w:pPr>
            <w:r w:rsidRPr="00317DBE">
              <w:rPr>
                <w:bCs/>
              </w:rPr>
              <w:t>SSB Ês/Iot (dB)</w:t>
            </w:r>
          </w:p>
        </w:tc>
        <w:tc>
          <w:tcPr>
            <w:tcW w:w="3822" w:type="dxa"/>
          </w:tcPr>
          <w:p w14:paraId="65282817" w14:textId="77777777" w:rsidR="003A71DE" w:rsidRPr="00317DBE" w:rsidRDefault="003A71DE" w:rsidP="00D84FA9">
            <w:pPr>
              <w:pStyle w:val="TAH"/>
              <w:rPr>
                <w:bCs/>
              </w:rPr>
            </w:pPr>
            <w:r w:rsidRPr="00317DBE">
              <w:rPr>
                <w:bCs/>
              </w:rPr>
              <w:t>Minimum SSB_RP (dBm)</w:t>
            </w:r>
          </w:p>
        </w:tc>
      </w:tr>
      <w:tr w:rsidR="003A71DE" w:rsidRPr="00317DBE" w14:paraId="3C8B2F73" w14:textId="77777777" w:rsidTr="003A71DE">
        <w:trPr>
          <w:trHeight w:val="279"/>
          <w:jc w:val="center"/>
        </w:trPr>
        <w:tc>
          <w:tcPr>
            <w:tcW w:w="1838" w:type="dxa"/>
            <w:vAlign w:val="center"/>
          </w:tcPr>
          <w:p w14:paraId="4AD7D477" w14:textId="77777777" w:rsidR="003A71DE" w:rsidRPr="00317DBE" w:rsidRDefault="003A71DE" w:rsidP="00D84FA9">
            <w:pPr>
              <w:pStyle w:val="TAC"/>
            </w:pPr>
            <w:r w:rsidRPr="00317DBE">
              <w:t>10, 15</w:t>
            </w:r>
          </w:p>
        </w:tc>
        <w:tc>
          <w:tcPr>
            <w:tcW w:w="1843" w:type="dxa"/>
            <w:vAlign w:val="center"/>
          </w:tcPr>
          <w:p w14:paraId="54FEC08E" w14:textId="77777777" w:rsidR="003A71DE" w:rsidRPr="00317DBE" w:rsidRDefault="003A71DE" w:rsidP="00D84FA9">
            <w:pPr>
              <w:pStyle w:val="TAC"/>
              <w:rPr>
                <w:lang w:eastAsia="zh-CN"/>
              </w:rPr>
            </w:pPr>
            <w:r w:rsidRPr="00317DBE">
              <w:rPr>
                <w:lang w:eastAsia="zh-CN"/>
              </w:rPr>
              <w:t>30</w:t>
            </w:r>
          </w:p>
        </w:tc>
        <w:tc>
          <w:tcPr>
            <w:tcW w:w="2126" w:type="dxa"/>
            <w:vAlign w:val="center"/>
          </w:tcPr>
          <w:p w14:paraId="4C2DF3EF" w14:textId="77777777" w:rsidR="003A71DE" w:rsidRPr="00317DBE" w:rsidRDefault="003A71DE" w:rsidP="00D84FA9">
            <w:pPr>
              <w:pStyle w:val="TAC"/>
              <w:rPr>
                <w:lang w:eastAsia="zh-CN"/>
              </w:rPr>
            </w:pPr>
            <w:r w:rsidRPr="00317DBE">
              <w:rPr>
                <w:lang w:eastAsia="zh-CN"/>
              </w:rPr>
              <w:t>-6</w:t>
            </w:r>
          </w:p>
        </w:tc>
        <w:tc>
          <w:tcPr>
            <w:tcW w:w="3822" w:type="dxa"/>
          </w:tcPr>
          <w:p w14:paraId="19F3E454" w14:textId="77777777" w:rsidR="003A71DE" w:rsidRPr="00317DBE" w:rsidRDefault="003A71DE" w:rsidP="00D84FA9">
            <w:pPr>
              <w:pStyle w:val="TAC"/>
            </w:pPr>
            <w:r w:rsidRPr="00317DBE">
              <w:t>-107 - 10*Log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59E4265A" w14:textId="77777777" w:rsidTr="003A71DE">
        <w:trPr>
          <w:trHeight w:val="279"/>
          <w:jc w:val="center"/>
        </w:trPr>
        <w:tc>
          <w:tcPr>
            <w:tcW w:w="1838" w:type="dxa"/>
            <w:vAlign w:val="center"/>
          </w:tcPr>
          <w:p w14:paraId="42A82CD0" w14:textId="77777777" w:rsidR="003A71DE" w:rsidRPr="00317DBE" w:rsidRDefault="003A71DE" w:rsidP="00D84FA9">
            <w:pPr>
              <w:pStyle w:val="TAC"/>
            </w:pPr>
            <w:r w:rsidRPr="00317DBE">
              <w:t>20, 25, 30, 40, 50, 60, 70, 80, 90, 100</w:t>
            </w:r>
          </w:p>
        </w:tc>
        <w:tc>
          <w:tcPr>
            <w:tcW w:w="1843" w:type="dxa"/>
            <w:vAlign w:val="center"/>
          </w:tcPr>
          <w:p w14:paraId="48CBFFD4" w14:textId="77777777" w:rsidR="003A71DE" w:rsidRPr="00317DBE" w:rsidRDefault="003A71DE" w:rsidP="00D84FA9">
            <w:pPr>
              <w:pStyle w:val="TAC"/>
              <w:rPr>
                <w:lang w:eastAsia="zh-CN"/>
              </w:rPr>
            </w:pPr>
            <w:r w:rsidRPr="00317DBE">
              <w:rPr>
                <w:lang w:eastAsia="zh-CN"/>
              </w:rPr>
              <w:t>30</w:t>
            </w:r>
          </w:p>
        </w:tc>
        <w:tc>
          <w:tcPr>
            <w:tcW w:w="2126" w:type="dxa"/>
            <w:vAlign w:val="center"/>
          </w:tcPr>
          <w:p w14:paraId="552240CE" w14:textId="77777777" w:rsidR="003A71DE" w:rsidRPr="00317DBE" w:rsidRDefault="003A71DE" w:rsidP="00D84FA9">
            <w:pPr>
              <w:pStyle w:val="TAC"/>
              <w:rPr>
                <w:lang w:eastAsia="zh-CN"/>
              </w:rPr>
            </w:pPr>
            <w:r w:rsidRPr="00317DBE">
              <w:rPr>
                <w:lang w:eastAsia="zh-CN"/>
              </w:rPr>
              <w:t>-6</w:t>
            </w:r>
          </w:p>
        </w:tc>
        <w:tc>
          <w:tcPr>
            <w:tcW w:w="3822" w:type="dxa"/>
            <w:vAlign w:val="center"/>
          </w:tcPr>
          <w:p w14:paraId="1E1D020B" w14:textId="77777777" w:rsidR="003A71DE" w:rsidRPr="00317DBE" w:rsidRDefault="003A71DE" w:rsidP="00D84FA9">
            <w:pPr>
              <w:pStyle w:val="TAC"/>
              <w:rPr>
                <w:lang w:eastAsia="zh-CN"/>
              </w:rPr>
            </w:pPr>
            <w:r w:rsidRPr="00317DBE">
              <w:rPr>
                <w:lang w:eastAsia="zh-CN"/>
              </w:rPr>
              <w:t>-101.4</w:t>
            </w:r>
            <w:r w:rsidRPr="00317DBE">
              <w:t>- 10*Log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3DDF6853" w14:textId="77777777" w:rsidTr="003A71DE">
        <w:trPr>
          <w:trHeight w:val="279"/>
          <w:jc w:val="center"/>
        </w:trPr>
        <w:tc>
          <w:tcPr>
            <w:tcW w:w="9629" w:type="dxa"/>
            <w:gridSpan w:val="4"/>
            <w:vAlign w:val="center"/>
          </w:tcPr>
          <w:p w14:paraId="20A03A0A" w14:textId="03AC8399" w:rsidR="003A71DE" w:rsidRPr="00317DBE" w:rsidRDefault="003A71DE" w:rsidP="00D84FA9">
            <w:pPr>
              <w:pStyle w:val="TAN"/>
              <w:rPr>
                <w:lang w:eastAsia="zh-CN"/>
              </w:rPr>
            </w:pPr>
            <w:r w:rsidRPr="00317DBE">
              <w:t>NOTE 1:</w:t>
            </w:r>
            <w:r w:rsidR="00D84FA9" w:rsidRPr="00CC206F">
              <w:rPr>
                <w:rFonts w:eastAsia="SimSun"/>
              </w:rPr>
              <w:tab/>
            </w:r>
            <w:r w:rsidRPr="00317DBE">
              <w:t xml:space="preserve"> N</w:t>
            </w:r>
            <w:r w:rsidRPr="00317DBE">
              <w:rPr>
                <w:vertAlign w:val="subscript"/>
              </w:rPr>
              <w:t>PRB</w:t>
            </w:r>
            <w:r w:rsidRPr="00317DBE">
              <w:t xml:space="preserve"> is the</w:t>
            </w:r>
            <w:r w:rsidRPr="00D84FA9">
              <w:t xml:space="preserve"> number of PRBs</w:t>
            </w:r>
            <w:r w:rsidRPr="00317DBE">
              <w:t xml:space="preserve"> within the IAB-IMT channel bandwidth defined in section 5.3.2.</w:t>
            </w:r>
          </w:p>
        </w:tc>
      </w:tr>
    </w:tbl>
    <w:p w14:paraId="3EB21810" w14:textId="77777777" w:rsidR="003A71DE" w:rsidRPr="00317DBE" w:rsidRDefault="003A71DE" w:rsidP="003A71DE">
      <w:pPr>
        <w:rPr>
          <w:noProof/>
        </w:rPr>
      </w:pPr>
    </w:p>
    <w:p w14:paraId="5151E478"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.1.1.1-4: </w:t>
      </w:r>
      <w:r w:rsidRPr="00317DBE">
        <w:rPr>
          <w:rFonts w:ascii="Arial" w:hAnsi="Arial"/>
          <w:b/>
          <w:lang w:eastAsia="zh-CN"/>
        </w:rPr>
        <w:t>Conditions for RRC connection re-establishment for intra-frequency cell for Local Area IAB-MT and IAB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4E6C5093" w14:textId="77777777" w:rsidTr="003A71DE">
        <w:trPr>
          <w:jc w:val="center"/>
        </w:trPr>
        <w:tc>
          <w:tcPr>
            <w:tcW w:w="1838" w:type="dxa"/>
            <w:vMerge w:val="restart"/>
            <w:shd w:val="clear" w:color="auto" w:fill="auto"/>
          </w:tcPr>
          <w:p w14:paraId="4DB6B472" w14:textId="77777777" w:rsidR="003A71DE" w:rsidRPr="00317DBE" w:rsidRDefault="003A71DE" w:rsidP="00D84FA9">
            <w:pPr>
              <w:pStyle w:val="TAH"/>
            </w:pPr>
            <w:r w:rsidRPr="00317DBE">
              <w:t>IAB-MT channel bandwidth (MHz)</w:t>
            </w:r>
          </w:p>
        </w:tc>
        <w:tc>
          <w:tcPr>
            <w:tcW w:w="1843" w:type="dxa"/>
            <w:vMerge w:val="restart"/>
          </w:tcPr>
          <w:p w14:paraId="753565FB" w14:textId="77777777" w:rsidR="003A71DE" w:rsidRPr="00317DBE" w:rsidRDefault="003A71DE" w:rsidP="00D84FA9">
            <w:pPr>
              <w:pStyle w:val="TAH"/>
            </w:pPr>
            <w:r w:rsidRPr="00317DBE">
              <w:t>SSB sub-carrier spacing (kHz)</w:t>
            </w:r>
          </w:p>
        </w:tc>
        <w:tc>
          <w:tcPr>
            <w:tcW w:w="5948" w:type="dxa"/>
            <w:gridSpan w:val="2"/>
          </w:tcPr>
          <w:p w14:paraId="1C9655F5" w14:textId="77777777" w:rsidR="003A71DE" w:rsidRPr="00317DBE" w:rsidRDefault="003A71DE" w:rsidP="00D84FA9">
            <w:pPr>
              <w:pStyle w:val="TAH"/>
              <w:rPr>
                <w:bCs/>
              </w:rPr>
            </w:pPr>
            <w:r w:rsidRPr="00317DBE">
              <w:rPr>
                <w:bCs/>
              </w:rPr>
              <w:t>Side conditions</w:t>
            </w:r>
          </w:p>
        </w:tc>
      </w:tr>
      <w:tr w:rsidR="003A71DE" w:rsidRPr="00317DBE" w14:paraId="42CFEF84" w14:textId="77777777" w:rsidTr="003A71DE">
        <w:trPr>
          <w:jc w:val="center"/>
        </w:trPr>
        <w:tc>
          <w:tcPr>
            <w:tcW w:w="1838" w:type="dxa"/>
            <w:vMerge/>
            <w:shd w:val="clear" w:color="auto" w:fill="auto"/>
          </w:tcPr>
          <w:p w14:paraId="2C5BF690" w14:textId="77777777" w:rsidR="003A71DE" w:rsidRPr="00317DBE" w:rsidRDefault="003A71DE" w:rsidP="00D84FA9">
            <w:pPr>
              <w:pStyle w:val="TAH"/>
            </w:pPr>
          </w:p>
        </w:tc>
        <w:tc>
          <w:tcPr>
            <w:tcW w:w="1843" w:type="dxa"/>
            <w:vMerge/>
          </w:tcPr>
          <w:p w14:paraId="5F0EC003" w14:textId="77777777" w:rsidR="003A71DE" w:rsidRPr="00317DBE" w:rsidRDefault="003A71DE" w:rsidP="00D84FA9">
            <w:pPr>
              <w:pStyle w:val="TAH"/>
            </w:pPr>
          </w:p>
        </w:tc>
        <w:tc>
          <w:tcPr>
            <w:tcW w:w="2126" w:type="dxa"/>
          </w:tcPr>
          <w:p w14:paraId="53E91ACA" w14:textId="77777777" w:rsidR="003A71DE" w:rsidRPr="00317DBE" w:rsidRDefault="003A71DE" w:rsidP="00D84FA9">
            <w:pPr>
              <w:pStyle w:val="TAH"/>
              <w:rPr>
                <w:bCs/>
              </w:rPr>
            </w:pPr>
            <w:r w:rsidRPr="00317DBE">
              <w:rPr>
                <w:bCs/>
              </w:rPr>
              <w:t>SSB Ês/Iot (dB)</w:t>
            </w:r>
          </w:p>
        </w:tc>
        <w:tc>
          <w:tcPr>
            <w:tcW w:w="3822" w:type="dxa"/>
          </w:tcPr>
          <w:p w14:paraId="30B5A035" w14:textId="77777777" w:rsidR="003A71DE" w:rsidRPr="00317DBE" w:rsidRDefault="003A71DE" w:rsidP="00D84FA9">
            <w:pPr>
              <w:pStyle w:val="TAH"/>
              <w:rPr>
                <w:bCs/>
              </w:rPr>
            </w:pPr>
            <w:r w:rsidRPr="00317DBE">
              <w:rPr>
                <w:bCs/>
              </w:rPr>
              <w:t>Minimum SSB_RP (dBm)</w:t>
            </w:r>
          </w:p>
        </w:tc>
      </w:tr>
      <w:tr w:rsidR="003A71DE" w:rsidRPr="00317DBE" w14:paraId="7A5FA5B3" w14:textId="77777777" w:rsidTr="003A71DE">
        <w:trPr>
          <w:trHeight w:val="279"/>
          <w:jc w:val="center"/>
        </w:trPr>
        <w:tc>
          <w:tcPr>
            <w:tcW w:w="1838" w:type="dxa"/>
            <w:vAlign w:val="center"/>
          </w:tcPr>
          <w:p w14:paraId="3E2461C3" w14:textId="77777777" w:rsidR="003A71DE" w:rsidRPr="00317DBE" w:rsidRDefault="003A71DE" w:rsidP="00D84FA9">
            <w:pPr>
              <w:pStyle w:val="TAC"/>
            </w:pPr>
            <w:r w:rsidRPr="00317DBE">
              <w:t>10, 15</w:t>
            </w:r>
          </w:p>
        </w:tc>
        <w:tc>
          <w:tcPr>
            <w:tcW w:w="1843" w:type="dxa"/>
            <w:vAlign w:val="center"/>
          </w:tcPr>
          <w:p w14:paraId="14C74245" w14:textId="77777777" w:rsidR="003A71DE" w:rsidRPr="00317DBE" w:rsidRDefault="003A71DE" w:rsidP="00D84FA9">
            <w:pPr>
              <w:pStyle w:val="TAC"/>
              <w:rPr>
                <w:lang w:eastAsia="zh-CN"/>
              </w:rPr>
            </w:pPr>
            <w:r w:rsidRPr="00317DBE">
              <w:rPr>
                <w:lang w:eastAsia="zh-CN"/>
              </w:rPr>
              <w:t>30</w:t>
            </w:r>
          </w:p>
        </w:tc>
        <w:tc>
          <w:tcPr>
            <w:tcW w:w="2126" w:type="dxa"/>
            <w:vAlign w:val="center"/>
          </w:tcPr>
          <w:p w14:paraId="3B460F08" w14:textId="77777777" w:rsidR="003A71DE" w:rsidRPr="00317DBE" w:rsidRDefault="003A71DE" w:rsidP="00D84FA9">
            <w:pPr>
              <w:pStyle w:val="TAC"/>
              <w:rPr>
                <w:lang w:eastAsia="zh-CN"/>
              </w:rPr>
            </w:pPr>
            <w:r w:rsidRPr="00317DBE">
              <w:rPr>
                <w:lang w:eastAsia="zh-CN"/>
              </w:rPr>
              <w:t>-6</w:t>
            </w:r>
          </w:p>
        </w:tc>
        <w:tc>
          <w:tcPr>
            <w:tcW w:w="3822" w:type="dxa"/>
          </w:tcPr>
          <w:p w14:paraId="09BB8811" w14:textId="77777777" w:rsidR="003A71DE" w:rsidRPr="00317DBE" w:rsidRDefault="003A71DE" w:rsidP="00D84FA9">
            <w:pPr>
              <w:pStyle w:val="TAC"/>
              <w:rPr>
                <w:lang w:eastAsia="zh-CN"/>
              </w:rPr>
            </w:pPr>
            <w:r w:rsidRPr="00317DBE">
              <w:t>-99 - 10*Log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6728030A" w14:textId="77777777" w:rsidTr="003A71DE">
        <w:trPr>
          <w:trHeight w:val="279"/>
          <w:jc w:val="center"/>
        </w:trPr>
        <w:tc>
          <w:tcPr>
            <w:tcW w:w="1838" w:type="dxa"/>
            <w:vAlign w:val="center"/>
          </w:tcPr>
          <w:p w14:paraId="4264C6B4" w14:textId="77777777" w:rsidR="003A71DE" w:rsidRPr="00317DBE" w:rsidRDefault="003A71DE" w:rsidP="00D84FA9">
            <w:pPr>
              <w:pStyle w:val="TAC"/>
            </w:pPr>
            <w:r w:rsidRPr="00317DBE">
              <w:t>20, 25, 30, 40, 50, 60, 70, 80, 90, 100</w:t>
            </w:r>
          </w:p>
        </w:tc>
        <w:tc>
          <w:tcPr>
            <w:tcW w:w="1843" w:type="dxa"/>
            <w:vAlign w:val="center"/>
          </w:tcPr>
          <w:p w14:paraId="2F27B8D7" w14:textId="77777777" w:rsidR="003A71DE" w:rsidRPr="00317DBE" w:rsidRDefault="003A71DE" w:rsidP="00D84FA9">
            <w:pPr>
              <w:pStyle w:val="TAC"/>
              <w:rPr>
                <w:lang w:eastAsia="zh-CN"/>
              </w:rPr>
            </w:pPr>
            <w:r w:rsidRPr="00317DBE">
              <w:rPr>
                <w:lang w:eastAsia="zh-CN"/>
              </w:rPr>
              <w:t>30</w:t>
            </w:r>
          </w:p>
        </w:tc>
        <w:tc>
          <w:tcPr>
            <w:tcW w:w="2126" w:type="dxa"/>
            <w:vAlign w:val="center"/>
          </w:tcPr>
          <w:p w14:paraId="21EAD498" w14:textId="77777777" w:rsidR="003A71DE" w:rsidRPr="00317DBE" w:rsidRDefault="003A71DE" w:rsidP="00D84FA9">
            <w:pPr>
              <w:pStyle w:val="TAC"/>
              <w:rPr>
                <w:lang w:eastAsia="zh-CN"/>
              </w:rPr>
            </w:pPr>
            <w:r w:rsidRPr="00317DBE">
              <w:rPr>
                <w:lang w:eastAsia="zh-CN"/>
              </w:rPr>
              <w:t>-6</w:t>
            </w:r>
          </w:p>
        </w:tc>
        <w:tc>
          <w:tcPr>
            <w:tcW w:w="3822" w:type="dxa"/>
            <w:vAlign w:val="center"/>
          </w:tcPr>
          <w:p w14:paraId="48EA7F72" w14:textId="77777777" w:rsidR="003A71DE" w:rsidRPr="00317DBE" w:rsidRDefault="003A71DE" w:rsidP="00D84FA9">
            <w:pPr>
              <w:pStyle w:val="TAC"/>
              <w:rPr>
                <w:lang w:eastAsia="zh-CN"/>
              </w:rPr>
            </w:pPr>
            <w:r w:rsidRPr="00317DBE">
              <w:rPr>
                <w:lang w:eastAsia="zh-CN"/>
              </w:rPr>
              <w:t>-92.5</w:t>
            </w:r>
            <w:r w:rsidRPr="00317DBE">
              <w:t>- 10*Log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5B6DE71A" w14:textId="77777777" w:rsidTr="003A71DE">
        <w:trPr>
          <w:trHeight w:val="279"/>
          <w:jc w:val="center"/>
        </w:trPr>
        <w:tc>
          <w:tcPr>
            <w:tcW w:w="9629" w:type="dxa"/>
            <w:gridSpan w:val="4"/>
            <w:vAlign w:val="center"/>
          </w:tcPr>
          <w:p w14:paraId="0509938B" w14:textId="1A9CF1EC" w:rsidR="003A71DE" w:rsidRPr="00317DBE" w:rsidRDefault="003A71DE" w:rsidP="00D84FA9">
            <w:pPr>
              <w:pStyle w:val="TAN"/>
              <w:rPr>
                <w:lang w:eastAsia="zh-CN"/>
              </w:rPr>
            </w:pPr>
            <w:r w:rsidRPr="00317DBE">
              <w:t>NOTE 1:</w:t>
            </w:r>
            <w:r w:rsidR="00D84FA9" w:rsidRPr="00CC206F">
              <w:rPr>
                <w:rFonts w:eastAsia="SimSun"/>
              </w:rPr>
              <w:tab/>
            </w:r>
            <w:r w:rsidRPr="00317DBE">
              <w:t>N</w:t>
            </w:r>
            <w:r w:rsidRPr="00317DBE">
              <w:rPr>
                <w:vertAlign w:val="subscript"/>
              </w:rPr>
              <w:t>PRB</w:t>
            </w:r>
            <w:r w:rsidRPr="00317DBE">
              <w:t xml:space="preserve"> is the number of PRBs within the IAB-IMT channel bandwidth defined in section 5.3.2.</w:t>
            </w:r>
          </w:p>
        </w:tc>
      </w:tr>
    </w:tbl>
    <w:p w14:paraId="2247C5B6" w14:textId="77777777" w:rsidR="003A71DE" w:rsidRPr="00317DBE" w:rsidRDefault="003A71DE" w:rsidP="003A71DE">
      <w:pPr>
        <w:spacing w:after="120"/>
        <w:rPr>
          <w:lang w:eastAsia="zh-CN"/>
        </w:rPr>
      </w:pPr>
    </w:p>
    <w:p w14:paraId="367894DC" w14:textId="77777777" w:rsidR="003A71DE" w:rsidRPr="00317DBE" w:rsidRDefault="003A71DE" w:rsidP="003A71DE">
      <w:pPr>
        <w:keepNext/>
        <w:keepLines/>
        <w:spacing w:before="60"/>
        <w:jc w:val="center"/>
        <w:rPr>
          <w:rFonts w:ascii="Arial" w:hAnsi="Arial"/>
          <w:b/>
        </w:rPr>
      </w:pPr>
      <w:r w:rsidRPr="00317DBE">
        <w:rPr>
          <w:rFonts w:ascii="Arial" w:hAnsi="Arial"/>
          <w:b/>
        </w:rPr>
        <w:lastRenderedPageBreak/>
        <w:t xml:space="preserve">Table </w:t>
      </w:r>
      <w:r>
        <w:rPr>
          <w:rFonts w:ascii="Arial" w:hAnsi="Arial"/>
          <w:b/>
        </w:rPr>
        <w:t>H</w:t>
      </w:r>
      <w:r w:rsidRPr="00317DBE">
        <w:rPr>
          <w:rFonts w:ascii="Arial" w:hAnsi="Arial"/>
          <w:b/>
        </w:rPr>
        <w:t xml:space="preserve">.1.1.1-5: </w:t>
      </w:r>
      <w:r w:rsidRPr="00317DBE">
        <w:rPr>
          <w:rFonts w:ascii="Arial" w:hAnsi="Arial"/>
          <w:b/>
          <w:lang w:eastAsia="zh-CN"/>
        </w:rPr>
        <w:t>Conditions for RRC connection re-establishment for intra-frequency cell for Local Area IAB-MT and IAB Type 2-O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1701"/>
        <w:gridCol w:w="1701"/>
        <w:gridCol w:w="4531"/>
      </w:tblGrid>
      <w:tr w:rsidR="003A71DE" w:rsidRPr="00317DBE" w14:paraId="0393DE6C" w14:textId="77777777" w:rsidTr="003A71DE">
        <w:trPr>
          <w:jc w:val="center"/>
        </w:trPr>
        <w:tc>
          <w:tcPr>
            <w:tcW w:w="1696" w:type="dxa"/>
            <w:vMerge w:val="restart"/>
            <w:shd w:val="clear" w:color="auto" w:fill="auto"/>
          </w:tcPr>
          <w:p w14:paraId="4AF3892C" w14:textId="77777777" w:rsidR="003A71DE" w:rsidRPr="00317DBE" w:rsidRDefault="003A71DE" w:rsidP="00D84FA9">
            <w:pPr>
              <w:pStyle w:val="TAH"/>
            </w:pPr>
            <w:r w:rsidRPr="00317DBE">
              <w:t>IAB-MT channel bandwidth (MHz)</w:t>
            </w:r>
          </w:p>
        </w:tc>
        <w:tc>
          <w:tcPr>
            <w:tcW w:w="1701" w:type="dxa"/>
            <w:vMerge w:val="restart"/>
          </w:tcPr>
          <w:p w14:paraId="7BE2413C" w14:textId="77777777" w:rsidR="003A71DE" w:rsidRPr="00317DBE" w:rsidRDefault="003A71DE" w:rsidP="00D84FA9">
            <w:pPr>
              <w:pStyle w:val="TAH"/>
            </w:pPr>
            <w:r w:rsidRPr="00317DBE">
              <w:t>SSB sub-carrier spacing (kHz)</w:t>
            </w:r>
          </w:p>
        </w:tc>
        <w:tc>
          <w:tcPr>
            <w:tcW w:w="6232" w:type="dxa"/>
            <w:gridSpan w:val="2"/>
          </w:tcPr>
          <w:p w14:paraId="31ED9C59" w14:textId="77777777" w:rsidR="003A71DE" w:rsidRPr="00317DBE" w:rsidRDefault="003A71DE" w:rsidP="00D84FA9">
            <w:pPr>
              <w:pStyle w:val="TAH"/>
              <w:rPr>
                <w:bCs/>
              </w:rPr>
            </w:pPr>
            <w:r w:rsidRPr="00317DBE">
              <w:rPr>
                <w:bCs/>
              </w:rPr>
              <w:t>Side conditions</w:t>
            </w:r>
          </w:p>
        </w:tc>
      </w:tr>
      <w:tr w:rsidR="003A71DE" w:rsidRPr="00317DBE" w14:paraId="10D2F0EF" w14:textId="77777777" w:rsidTr="003A71DE">
        <w:trPr>
          <w:jc w:val="center"/>
        </w:trPr>
        <w:tc>
          <w:tcPr>
            <w:tcW w:w="1696" w:type="dxa"/>
            <w:vMerge/>
            <w:shd w:val="clear" w:color="auto" w:fill="auto"/>
          </w:tcPr>
          <w:p w14:paraId="5AC891C6" w14:textId="77777777" w:rsidR="003A71DE" w:rsidRPr="00317DBE" w:rsidRDefault="003A71DE" w:rsidP="00D84FA9">
            <w:pPr>
              <w:pStyle w:val="TAH"/>
            </w:pPr>
          </w:p>
        </w:tc>
        <w:tc>
          <w:tcPr>
            <w:tcW w:w="1701" w:type="dxa"/>
            <w:vMerge/>
          </w:tcPr>
          <w:p w14:paraId="5B8D5024" w14:textId="77777777" w:rsidR="003A71DE" w:rsidRPr="00317DBE" w:rsidRDefault="003A71DE" w:rsidP="00D84FA9">
            <w:pPr>
              <w:pStyle w:val="TAH"/>
            </w:pPr>
          </w:p>
        </w:tc>
        <w:tc>
          <w:tcPr>
            <w:tcW w:w="1701" w:type="dxa"/>
          </w:tcPr>
          <w:p w14:paraId="57484E8B" w14:textId="77777777" w:rsidR="003A71DE" w:rsidRPr="00317DBE" w:rsidRDefault="003A71DE" w:rsidP="00D84FA9">
            <w:pPr>
              <w:pStyle w:val="TAH"/>
              <w:rPr>
                <w:bCs/>
              </w:rPr>
            </w:pPr>
            <w:r w:rsidRPr="00317DBE">
              <w:rPr>
                <w:bCs/>
              </w:rPr>
              <w:t>SSB Ês/Iot (dB)</w:t>
            </w:r>
          </w:p>
        </w:tc>
        <w:tc>
          <w:tcPr>
            <w:tcW w:w="4531" w:type="dxa"/>
          </w:tcPr>
          <w:p w14:paraId="0BF9FFB1" w14:textId="77777777" w:rsidR="003A71DE" w:rsidRPr="00317DBE" w:rsidRDefault="003A71DE" w:rsidP="00D84FA9">
            <w:pPr>
              <w:pStyle w:val="TAH"/>
              <w:rPr>
                <w:bCs/>
              </w:rPr>
            </w:pPr>
            <w:r w:rsidRPr="00317DBE">
              <w:rPr>
                <w:bCs/>
              </w:rPr>
              <w:t>Minimum SSB_RP (dBm)</w:t>
            </w:r>
          </w:p>
        </w:tc>
      </w:tr>
      <w:tr w:rsidR="003A71DE" w:rsidRPr="007117D0" w14:paraId="746ACB11" w14:textId="77777777" w:rsidTr="003A71DE">
        <w:trPr>
          <w:trHeight w:val="279"/>
          <w:jc w:val="center"/>
        </w:trPr>
        <w:tc>
          <w:tcPr>
            <w:tcW w:w="1696" w:type="dxa"/>
            <w:vAlign w:val="center"/>
          </w:tcPr>
          <w:p w14:paraId="0771CD2E" w14:textId="77777777" w:rsidR="003A71DE" w:rsidRPr="00317DBE" w:rsidRDefault="003A71DE" w:rsidP="00D84FA9">
            <w:pPr>
              <w:pStyle w:val="TAC"/>
            </w:pPr>
            <w:r w:rsidRPr="00317DBE">
              <w:t>50</w:t>
            </w:r>
          </w:p>
        </w:tc>
        <w:tc>
          <w:tcPr>
            <w:tcW w:w="1701" w:type="dxa"/>
            <w:vAlign w:val="center"/>
          </w:tcPr>
          <w:p w14:paraId="33D914B6" w14:textId="77777777" w:rsidR="003A71DE" w:rsidRPr="00317DBE" w:rsidRDefault="003A71DE" w:rsidP="00D84FA9">
            <w:pPr>
              <w:pStyle w:val="TAC"/>
              <w:rPr>
                <w:lang w:eastAsia="zh-CN"/>
              </w:rPr>
            </w:pPr>
            <w:r w:rsidRPr="00317DBE">
              <w:rPr>
                <w:lang w:eastAsia="zh-CN"/>
              </w:rPr>
              <w:t>120</w:t>
            </w:r>
          </w:p>
        </w:tc>
        <w:tc>
          <w:tcPr>
            <w:tcW w:w="1701" w:type="dxa"/>
            <w:vAlign w:val="center"/>
          </w:tcPr>
          <w:p w14:paraId="29FC4A08" w14:textId="77777777" w:rsidR="003A71DE" w:rsidRPr="00317DBE" w:rsidRDefault="003A71DE" w:rsidP="00D84FA9">
            <w:pPr>
              <w:pStyle w:val="TAC"/>
              <w:rPr>
                <w:lang w:eastAsia="zh-CN"/>
              </w:rPr>
            </w:pPr>
            <w:r w:rsidRPr="00317DBE">
              <w:rPr>
                <w:lang w:eastAsia="zh-CN"/>
              </w:rPr>
              <w:t>-6</w:t>
            </w:r>
          </w:p>
        </w:tc>
        <w:tc>
          <w:tcPr>
            <w:tcW w:w="4531" w:type="dxa"/>
          </w:tcPr>
          <w:p w14:paraId="4EB0EC6C" w14:textId="77777777" w:rsidR="003A71DE" w:rsidRPr="00317DBE" w:rsidRDefault="003A71DE" w:rsidP="00D84FA9">
            <w:pPr>
              <w:pStyle w:val="TAC"/>
              <w:rPr>
                <w:lang w:val="sv-SE"/>
              </w:rPr>
            </w:pPr>
            <w:r w:rsidRPr="00317DBE">
              <w:rPr>
                <w:lang w:val="sv-SE"/>
              </w:rPr>
              <w:t>EIS</w:t>
            </w:r>
            <w:r w:rsidRPr="00317DBE">
              <w:rPr>
                <w:vertAlign w:val="subscript"/>
                <w:lang w:val="sv-SE"/>
              </w:rPr>
              <w:t xml:space="preserve">REFSENS_50M </w:t>
            </w:r>
            <w:r w:rsidRPr="00317DBE">
              <w:rPr>
                <w:lang w:val="sv-SE"/>
              </w:rPr>
              <w:t>- 10*Log</w:t>
            </w:r>
            <w:r w:rsidRPr="00317DBE">
              <w:rPr>
                <w:vertAlign w:val="subscript"/>
                <w:lang w:val="sv-SE"/>
              </w:rPr>
              <w:t>10</w:t>
            </w:r>
            <w:r w:rsidRPr="00317DBE">
              <w:rPr>
                <w:lang w:val="sv-SE"/>
              </w:rPr>
              <w:t>(N</w:t>
            </w:r>
            <w:r w:rsidRPr="00317DBE">
              <w:rPr>
                <w:vertAlign w:val="subscript"/>
                <w:lang w:val="sv-SE"/>
              </w:rPr>
              <w:t>PRB</w:t>
            </w:r>
            <w:r w:rsidRPr="00317DBE">
              <w:rPr>
                <w:lang w:val="sv-SE"/>
              </w:rPr>
              <w:t xml:space="preserve"> *12) + </w:t>
            </w:r>
            <w:r w:rsidRPr="00317DBE">
              <w:t>Δ</w:t>
            </w:r>
            <w:r w:rsidRPr="00317DBE">
              <w:rPr>
                <w:vertAlign w:val="subscript"/>
                <w:lang w:val="sv-SE"/>
              </w:rPr>
              <w:t>FR2_REFSENS</w:t>
            </w:r>
            <w:r w:rsidRPr="00317DBE">
              <w:rPr>
                <w:lang w:val="sv-SE"/>
              </w:rPr>
              <w:t xml:space="preserve"> -5</w:t>
            </w:r>
          </w:p>
        </w:tc>
      </w:tr>
      <w:tr w:rsidR="003A71DE" w:rsidRPr="007117D0" w14:paraId="796BA441" w14:textId="77777777" w:rsidTr="003A71DE">
        <w:trPr>
          <w:trHeight w:val="279"/>
          <w:jc w:val="center"/>
        </w:trPr>
        <w:tc>
          <w:tcPr>
            <w:tcW w:w="1696" w:type="dxa"/>
            <w:vAlign w:val="center"/>
          </w:tcPr>
          <w:p w14:paraId="3FFD313A" w14:textId="77777777" w:rsidR="003A71DE" w:rsidRPr="00317DBE" w:rsidRDefault="003A71DE" w:rsidP="00D84FA9">
            <w:pPr>
              <w:pStyle w:val="TAC"/>
            </w:pPr>
            <w:r w:rsidRPr="00317DBE">
              <w:t>100, 200, 400</w:t>
            </w:r>
          </w:p>
        </w:tc>
        <w:tc>
          <w:tcPr>
            <w:tcW w:w="1701" w:type="dxa"/>
            <w:vAlign w:val="center"/>
          </w:tcPr>
          <w:p w14:paraId="6F566731" w14:textId="77777777" w:rsidR="003A71DE" w:rsidRPr="00317DBE" w:rsidRDefault="003A71DE" w:rsidP="00D84FA9">
            <w:pPr>
              <w:pStyle w:val="TAC"/>
              <w:rPr>
                <w:lang w:eastAsia="zh-CN"/>
              </w:rPr>
            </w:pPr>
            <w:r w:rsidRPr="00317DBE">
              <w:rPr>
                <w:lang w:eastAsia="zh-CN"/>
              </w:rPr>
              <w:t>120</w:t>
            </w:r>
          </w:p>
        </w:tc>
        <w:tc>
          <w:tcPr>
            <w:tcW w:w="1701" w:type="dxa"/>
            <w:vAlign w:val="center"/>
          </w:tcPr>
          <w:p w14:paraId="60C1BCEF" w14:textId="77777777" w:rsidR="003A71DE" w:rsidRPr="00317DBE" w:rsidRDefault="003A71DE" w:rsidP="00D84FA9">
            <w:pPr>
              <w:pStyle w:val="TAC"/>
              <w:rPr>
                <w:lang w:eastAsia="zh-CN"/>
              </w:rPr>
            </w:pPr>
            <w:r w:rsidRPr="00317DBE">
              <w:rPr>
                <w:lang w:eastAsia="zh-CN"/>
              </w:rPr>
              <w:t>-6</w:t>
            </w:r>
          </w:p>
        </w:tc>
        <w:tc>
          <w:tcPr>
            <w:tcW w:w="4531" w:type="dxa"/>
            <w:vAlign w:val="center"/>
          </w:tcPr>
          <w:p w14:paraId="0379F9AA" w14:textId="77777777" w:rsidR="003A71DE" w:rsidRPr="00317DBE" w:rsidRDefault="003A71DE" w:rsidP="00D84FA9">
            <w:pPr>
              <w:pStyle w:val="TAC"/>
              <w:rPr>
                <w:lang w:val="sv-SE" w:eastAsia="zh-CN"/>
              </w:rPr>
            </w:pPr>
            <w:r w:rsidRPr="00317DBE">
              <w:rPr>
                <w:lang w:val="sv-SE"/>
              </w:rPr>
              <w:t>EIS</w:t>
            </w:r>
            <w:r w:rsidRPr="00317DBE">
              <w:rPr>
                <w:vertAlign w:val="subscript"/>
                <w:lang w:val="sv-SE"/>
              </w:rPr>
              <w:t xml:space="preserve">REFSENS_50M </w:t>
            </w:r>
            <w:r w:rsidRPr="00317DBE">
              <w:rPr>
                <w:lang w:val="sv-SE"/>
              </w:rPr>
              <w:t>- 10*Log</w:t>
            </w:r>
            <w:r w:rsidRPr="00317DBE">
              <w:rPr>
                <w:vertAlign w:val="subscript"/>
                <w:lang w:val="sv-SE"/>
              </w:rPr>
              <w:t>10</w:t>
            </w:r>
            <w:r w:rsidRPr="00317DBE">
              <w:rPr>
                <w:lang w:val="sv-SE"/>
              </w:rPr>
              <w:t>(N</w:t>
            </w:r>
            <w:r w:rsidRPr="00317DBE">
              <w:rPr>
                <w:vertAlign w:val="subscript"/>
                <w:lang w:val="sv-SE"/>
              </w:rPr>
              <w:t>PRB</w:t>
            </w:r>
            <w:r w:rsidRPr="00317DBE">
              <w:rPr>
                <w:lang w:val="sv-SE"/>
              </w:rPr>
              <w:t xml:space="preserve"> *12) -2+</w:t>
            </w:r>
            <w:r w:rsidRPr="00317DBE">
              <w:t>Δ</w:t>
            </w:r>
            <w:r w:rsidRPr="00317DBE">
              <w:rPr>
                <w:vertAlign w:val="subscript"/>
                <w:lang w:val="sv-SE"/>
              </w:rPr>
              <w:t>FR2_REFSENS</w:t>
            </w:r>
          </w:p>
        </w:tc>
      </w:tr>
      <w:tr w:rsidR="003A71DE" w:rsidRPr="00317DBE" w14:paraId="2C899C1E" w14:textId="77777777" w:rsidTr="003A71DE">
        <w:trPr>
          <w:trHeight w:val="279"/>
          <w:jc w:val="center"/>
        </w:trPr>
        <w:tc>
          <w:tcPr>
            <w:tcW w:w="9629" w:type="dxa"/>
            <w:gridSpan w:val="4"/>
            <w:vAlign w:val="center"/>
          </w:tcPr>
          <w:p w14:paraId="318945FA" w14:textId="45191EE7" w:rsidR="003A71DE" w:rsidRPr="00317DBE" w:rsidRDefault="003A71DE" w:rsidP="00D84FA9">
            <w:pPr>
              <w:pStyle w:val="TAN"/>
            </w:pPr>
            <w:r w:rsidRPr="00317DBE">
              <w:t>NOTE 1:</w:t>
            </w:r>
            <w:r w:rsidR="00D84FA9" w:rsidRPr="00CC206F">
              <w:rPr>
                <w:rFonts w:eastAsia="SimSun"/>
              </w:rPr>
              <w:tab/>
            </w:r>
            <w:r w:rsidRPr="00317DBE">
              <w:t>N</w:t>
            </w:r>
            <w:r w:rsidRPr="00317DBE">
              <w:rPr>
                <w:vertAlign w:val="subscript"/>
              </w:rPr>
              <w:t>PRB</w:t>
            </w:r>
            <w:r w:rsidRPr="00317DBE">
              <w:t xml:space="preserve"> is the number of PRBs within the IAB-IMT channel bandwidth defined in section 5.3.2.</w:t>
            </w:r>
          </w:p>
          <w:p w14:paraId="7A4E651A" w14:textId="5769E277" w:rsidR="003A71DE" w:rsidRPr="00317DBE" w:rsidRDefault="003A71DE" w:rsidP="00D84FA9">
            <w:pPr>
              <w:pStyle w:val="TAN"/>
              <w:rPr>
                <w:lang w:eastAsia="zh-CN"/>
              </w:rPr>
            </w:pPr>
            <w:r w:rsidRPr="00317DBE">
              <w:t>NOTE 2:</w:t>
            </w:r>
            <w:r w:rsidR="00D84FA9" w:rsidRPr="00CC206F">
              <w:rPr>
                <w:rFonts w:eastAsia="SimSun"/>
              </w:rPr>
              <w:tab/>
            </w:r>
            <w:r w:rsidRPr="00317DBE">
              <w:t>EIS</w:t>
            </w:r>
            <w:r w:rsidRPr="00317DBE">
              <w:rPr>
                <w:vertAlign w:val="subscript"/>
              </w:rPr>
              <w:t>REFSENS_50M</w:t>
            </w:r>
            <w:r w:rsidRPr="00317DBE">
              <w:t xml:space="preserve"> for wide area IAB-MT and local area IAB-MT is defined in section 10.3.3.3.</w:t>
            </w:r>
          </w:p>
        </w:tc>
      </w:tr>
    </w:tbl>
    <w:p w14:paraId="36370689" w14:textId="77777777" w:rsidR="003A71DE" w:rsidRPr="00317DBE" w:rsidRDefault="003A71DE" w:rsidP="003A71DE">
      <w:pPr>
        <w:spacing w:after="120"/>
        <w:rPr>
          <w:lang w:eastAsia="zh-CN"/>
        </w:rPr>
      </w:pPr>
    </w:p>
    <w:p w14:paraId="7802953A" w14:textId="77777777" w:rsidR="003A71DE" w:rsidRPr="00317DBE" w:rsidRDefault="003A71DE" w:rsidP="00A153AF">
      <w:pPr>
        <w:pStyle w:val="Heading4"/>
        <w:rPr>
          <w:rFonts w:eastAsiaTheme="minorEastAsia"/>
          <w:snapToGrid w:val="0"/>
        </w:rPr>
      </w:pPr>
      <w:bookmarkStart w:id="10415" w:name="_Toc74583697"/>
      <w:bookmarkStart w:id="10416" w:name="_Toc76542510"/>
      <w:bookmarkStart w:id="10417" w:name="_Toc82450492"/>
      <w:bookmarkStart w:id="10418" w:name="_Toc82451141"/>
      <w:bookmarkStart w:id="10419" w:name="_Toc89949530"/>
      <w:bookmarkStart w:id="10420" w:name="_Toc98755919"/>
      <w:bookmarkStart w:id="10421" w:name="_Toc98763511"/>
      <w:bookmarkStart w:id="10422" w:name="_Toc106184440"/>
      <w:r>
        <w:rPr>
          <w:rFonts w:eastAsiaTheme="minorEastAsia"/>
          <w:snapToGrid w:val="0"/>
        </w:rPr>
        <w:t>H</w:t>
      </w:r>
      <w:r w:rsidRPr="00317DBE">
        <w:rPr>
          <w:rFonts w:eastAsiaTheme="minorEastAsia"/>
          <w:snapToGrid w:val="0"/>
        </w:rPr>
        <w:t>.1.1.2</w:t>
      </w:r>
      <w:r w:rsidRPr="00317DBE">
        <w:rPr>
          <w:rFonts w:eastAsiaTheme="minorEastAsia"/>
          <w:snapToGrid w:val="0"/>
        </w:rPr>
        <w:tab/>
        <w:t>Conditions for Measurements on NR Inter-frequency Cells for RRC Connection Re-establishment</w:t>
      </w:r>
      <w:bookmarkEnd w:id="10415"/>
      <w:bookmarkEnd w:id="10416"/>
      <w:bookmarkEnd w:id="10417"/>
      <w:bookmarkEnd w:id="10418"/>
      <w:bookmarkEnd w:id="10419"/>
      <w:bookmarkEnd w:id="10420"/>
      <w:bookmarkEnd w:id="10421"/>
      <w:bookmarkEnd w:id="10422"/>
    </w:p>
    <w:p w14:paraId="1623BBA6" w14:textId="77777777" w:rsidR="003A71DE" w:rsidRPr="00317DBE" w:rsidRDefault="003A71DE" w:rsidP="003A71DE">
      <w:pPr>
        <w:rPr>
          <w:noProof/>
        </w:rPr>
      </w:pPr>
      <w:r w:rsidRPr="00317DBE">
        <w:rPr>
          <w:noProof/>
        </w:rPr>
        <w:t>This clause defines the following conditions in terms of SSB_RP and SSB Ês/Iot for measurements on NR inter-frequency cells for RRC connection re-establishment:</w:t>
      </w:r>
    </w:p>
    <w:p w14:paraId="73E2803B" w14:textId="34632BF3"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.1.1.2-1 for FR1 NR cells for Wide Area IAB-MT and IAB Type 1-H.</w:t>
      </w:r>
    </w:p>
    <w:p w14:paraId="535E48B9" w14:textId="074F7869"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.1.1.2-2 for FR1 NR cells for Local Area IAB-MT and IAB Type 1-H.</w:t>
      </w:r>
    </w:p>
    <w:p w14:paraId="6318D39F" w14:textId="3A02E03F"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sidRPr="00F66DD8">
        <w:rPr>
          <w:rFonts w:eastAsia="SimSun"/>
          <w:noProof/>
        </w:rPr>
        <w:t>H</w:t>
      </w:r>
      <w:r w:rsidR="003A71DE" w:rsidRPr="00317DBE">
        <w:rPr>
          <w:rFonts w:eastAsia="SimSun"/>
          <w:noProof/>
        </w:rPr>
        <w:t>.1.1.2-3 for FR1 NR cells for Wide Area IAB-MT and IAB Type 1-O.</w:t>
      </w:r>
    </w:p>
    <w:p w14:paraId="4A7B629D" w14:textId="092E75FF"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sidRPr="00F66DD8">
        <w:rPr>
          <w:rFonts w:eastAsia="SimSun"/>
          <w:noProof/>
        </w:rPr>
        <w:t>H</w:t>
      </w:r>
      <w:r w:rsidR="003A71DE" w:rsidRPr="00317DBE">
        <w:rPr>
          <w:rFonts w:eastAsia="SimSun"/>
          <w:noProof/>
        </w:rPr>
        <w:t>.1.1.2-4 for FR1 NR cells for Local Area IAB-MT and IAB Type 1-O.</w:t>
      </w:r>
    </w:p>
    <w:p w14:paraId="7A82F16E" w14:textId="665D18F9"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.1.1.2-5 for FR2 NR cells for Local Area and Wide Atea IAB-MT and IAB Type 2-O.</w:t>
      </w:r>
    </w:p>
    <w:p w14:paraId="0C750558" w14:textId="77777777" w:rsidR="003A71DE" w:rsidRPr="00317DBE" w:rsidRDefault="003A71DE" w:rsidP="003A71DE">
      <w:pPr>
        <w:keepNext/>
        <w:keepLines/>
        <w:spacing w:before="24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.1.1.2-1: </w:t>
      </w:r>
      <w:r w:rsidRPr="00317DBE">
        <w:rPr>
          <w:rFonts w:ascii="Arial" w:hAnsi="Arial"/>
          <w:b/>
          <w:lang w:eastAsia="zh-CN"/>
        </w:rPr>
        <w:t>Conditions for RRC connection re-establishment for inter-frequency cell for Wide Area IAB-MT and IAB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3AC5D68E" w14:textId="77777777" w:rsidTr="003A71DE">
        <w:trPr>
          <w:jc w:val="center"/>
        </w:trPr>
        <w:tc>
          <w:tcPr>
            <w:tcW w:w="1838" w:type="dxa"/>
            <w:vMerge w:val="restart"/>
            <w:shd w:val="clear" w:color="auto" w:fill="auto"/>
          </w:tcPr>
          <w:p w14:paraId="005AC888" w14:textId="77777777" w:rsidR="003A71DE" w:rsidRPr="00317DBE" w:rsidRDefault="003A71DE" w:rsidP="00D84FA9">
            <w:pPr>
              <w:pStyle w:val="TAH"/>
            </w:pPr>
            <w:r w:rsidRPr="00317DBE">
              <w:t>IAB-MT channel bandwidth (MHz)</w:t>
            </w:r>
          </w:p>
        </w:tc>
        <w:tc>
          <w:tcPr>
            <w:tcW w:w="1843" w:type="dxa"/>
            <w:vMerge w:val="restart"/>
          </w:tcPr>
          <w:p w14:paraId="35CBA86D" w14:textId="77777777" w:rsidR="003A71DE" w:rsidRPr="00317DBE" w:rsidRDefault="003A71DE" w:rsidP="00D84FA9">
            <w:pPr>
              <w:pStyle w:val="TAH"/>
            </w:pPr>
            <w:r w:rsidRPr="00317DBE">
              <w:t>SSB sub-carrier spacing (kHz)</w:t>
            </w:r>
          </w:p>
        </w:tc>
        <w:tc>
          <w:tcPr>
            <w:tcW w:w="5948" w:type="dxa"/>
            <w:gridSpan w:val="2"/>
          </w:tcPr>
          <w:p w14:paraId="61093F14" w14:textId="77777777" w:rsidR="003A71DE" w:rsidRPr="00317DBE" w:rsidRDefault="003A71DE" w:rsidP="00D84FA9">
            <w:pPr>
              <w:pStyle w:val="TAH"/>
              <w:rPr>
                <w:bCs/>
              </w:rPr>
            </w:pPr>
            <w:r w:rsidRPr="00317DBE">
              <w:rPr>
                <w:bCs/>
              </w:rPr>
              <w:t>Side conditions</w:t>
            </w:r>
          </w:p>
        </w:tc>
      </w:tr>
      <w:tr w:rsidR="003A71DE" w:rsidRPr="00317DBE" w14:paraId="06EB2FFA" w14:textId="77777777" w:rsidTr="003A71DE">
        <w:trPr>
          <w:jc w:val="center"/>
        </w:trPr>
        <w:tc>
          <w:tcPr>
            <w:tcW w:w="1838" w:type="dxa"/>
            <w:vMerge/>
            <w:shd w:val="clear" w:color="auto" w:fill="auto"/>
          </w:tcPr>
          <w:p w14:paraId="52C4DBD4" w14:textId="77777777" w:rsidR="003A71DE" w:rsidRPr="00317DBE" w:rsidRDefault="003A71DE" w:rsidP="00D84FA9">
            <w:pPr>
              <w:pStyle w:val="TAH"/>
            </w:pPr>
          </w:p>
        </w:tc>
        <w:tc>
          <w:tcPr>
            <w:tcW w:w="1843" w:type="dxa"/>
            <w:vMerge/>
          </w:tcPr>
          <w:p w14:paraId="6532307A" w14:textId="77777777" w:rsidR="003A71DE" w:rsidRPr="00317DBE" w:rsidRDefault="003A71DE" w:rsidP="00D84FA9">
            <w:pPr>
              <w:pStyle w:val="TAH"/>
            </w:pPr>
          </w:p>
        </w:tc>
        <w:tc>
          <w:tcPr>
            <w:tcW w:w="2126" w:type="dxa"/>
          </w:tcPr>
          <w:p w14:paraId="517A97B4" w14:textId="77777777" w:rsidR="003A71DE" w:rsidRPr="00317DBE" w:rsidRDefault="003A71DE" w:rsidP="00D84FA9">
            <w:pPr>
              <w:pStyle w:val="TAH"/>
              <w:rPr>
                <w:bCs/>
              </w:rPr>
            </w:pPr>
            <w:r w:rsidRPr="00317DBE">
              <w:rPr>
                <w:bCs/>
              </w:rPr>
              <w:t>SSB Ês/Iot (dB)</w:t>
            </w:r>
          </w:p>
        </w:tc>
        <w:tc>
          <w:tcPr>
            <w:tcW w:w="3822" w:type="dxa"/>
          </w:tcPr>
          <w:p w14:paraId="671AB6FF" w14:textId="77777777" w:rsidR="003A71DE" w:rsidRPr="00317DBE" w:rsidRDefault="003A71DE" w:rsidP="00D84FA9">
            <w:pPr>
              <w:pStyle w:val="TAH"/>
              <w:rPr>
                <w:bCs/>
              </w:rPr>
            </w:pPr>
            <w:r w:rsidRPr="00317DBE">
              <w:rPr>
                <w:bCs/>
              </w:rPr>
              <w:t>Minimum SSB_RP (dBm)</w:t>
            </w:r>
          </w:p>
        </w:tc>
      </w:tr>
      <w:tr w:rsidR="003A71DE" w:rsidRPr="00317DBE" w14:paraId="3420CE28" w14:textId="77777777" w:rsidTr="003A71DE">
        <w:trPr>
          <w:trHeight w:val="279"/>
          <w:jc w:val="center"/>
        </w:trPr>
        <w:tc>
          <w:tcPr>
            <w:tcW w:w="1838" w:type="dxa"/>
            <w:vAlign w:val="center"/>
          </w:tcPr>
          <w:p w14:paraId="079C4D69" w14:textId="77777777" w:rsidR="003A71DE" w:rsidRPr="00317DBE" w:rsidRDefault="003A71DE" w:rsidP="00D84FA9">
            <w:pPr>
              <w:pStyle w:val="TAC"/>
            </w:pPr>
            <w:r w:rsidRPr="00317DBE">
              <w:t>10, 15</w:t>
            </w:r>
          </w:p>
        </w:tc>
        <w:tc>
          <w:tcPr>
            <w:tcW w:w="1843" w:type="dxa"/>
            <w:vAlign w:val="center"/>
          </w:tcPr>
          <w:p w14:paraId="1252627B" w14:textId="77777777" w:rsidR="003A71DE" w:rsidRPr="00317DBE" w:rsidRDefault="003A71DE" w:rsidP="00D84FA9">
            <w:pPr>
              <w:pStyle w:val="TAC"/>
              <w:rPr>
                <w:lang w:eastAsia="zh-CN"/>
              </w:rPr>
            </w:pPr>
            <w:r w:rsidRPr="00317DBE">
              <w:rPr>
                <w:lang w:eastAsia="zh-CN"/>
              </w:rPr>
              <w:t>30</w:t>
            </w:r>
          </w:p>
        </w:tc>
        <w:tc>
          <w:tcPr>
            <w:tcW w:w="2126" w:type="dxa"/>
            <w:vAlign w:val="center"/>
          </w:tcPr>
          <w:p w14:paraId="7D98B809" w14:textId="77777777" w:rsidR="003A71DE" w:rsidRPr="00317DBE" w:rsidRDefault="003A71DE" w:rsidP="00D84FA9">
            <w:pPr>
              <w:pStyle w:val="TAC"/>
              <w:rPr>
                <w:lang w:eastAsia="zh-CN"/>
              </w:rPr>
            </w:pPr>
            <w:r w:rsidRPr="00317DBE">
              <w:rPr>
                <w:lang w:eastAsia="zh-CN"/>
              </w:rPr>
              <w:t>-4</w:t>
            </w:r>
          </w:p>
        </w:tc>
        <w:tc>
          <w:tcPr>
            <w:tcW w:w="3822" w:type="dxa"/>
          </w:tcPr>
          <w:p w14:paraId="66D929AD" w14:textId="77777777" w:rsidR="003A71DE" w:rsidRPr="00317DBE" w:rsidRDefault="003A71DE" w:rsidP="00D84FA9">
            <w:pPr>
              <w:pStyle w:val="TAC"/>
              <w:rPr>
                <w:lang w:eastAsia="zh-CN"/>
              </w:rPr>
            </w:pPr>
            <w:r w:rsidRPr="00317DBE">
              <w:t>-105</w:t>
            </w:r>
            <w:r w:rsidRPr="00317DBE">
              <w:rPr>
                <w:szCs w:val="22"/>
              </w:rPr>
              <w:t xml:space="preserve"> - 10*Log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17105FE8" w14:textId="77777777" w:rsidTr="003A71DE">
        <w:trPr>
          <w:trHeight w:val="279"/>
          <w:jc w:val="center"/>
        </w:trPr>
        <w:tc>
          <w:tcPr>
            <w:tcW w:w="1838" w:type="dxa"/>
            <w:vAlign w:val="center"/>
          </w:tcPr>
          <w:p w14:paraId="6991951E" w14:textId="77777777" w:rsidR="003A71DE" w:rsidRPr="00317DBE" w:rsidRDefault="003A71DE" w:rsidP="00D84FA9">
            <w:pPr>
              <w:pStyle w:val="TAC"/>
            </w:pPr>
            <w:r w:rsidRPr="00317DBE">
              <w:t>20, 25, 30, 40, 50, 60, 70, 80, 90, 100</w:t>
            </w:r>
          </w:p>
        </w:tc>
        <w:tc>
          <w:tcPr>
            <w:tcW w:w="1843" w:type="dxa"/>
            <w:vAlign w:val="center"/>
          </w:tcPr>
          <w:p w14:paraId="11128FC5" w14:textId="77777777" w:rsidR="003A71DE" w:rsidRPr="00317DBE" w:rsidRDefault="003A71DE" w:rsidP="00D84FA9">
            <w:pPr>
              <w:pStyle w:val="TAC"/>
              <w:rPr>
                <w:lang w:eastAsia="zh-CN"/>
              </w:rPr>
            </w:pPr>
            <w:r w:rsidRPr="00317DBE">
              <w:rPr>
                <w:lang w:eastAsia="zh-CN"/>
              </w:rPr>
              <w:t>30</w:t>
            </w:r>
          </w:p>
        </w:tc>
        <w:tc>
          <w:tcPr>
            <w:tcW w:w="2126" w:type="dxa"/>
            <w:vAlign w:val="center"/>
          </w:tcPr>
          <w:p w14:paraId="10223350" w14:textId="77777777" w:rsidR="003A71DE" w:rsidRPr="00317DBE" w:rsidRDefault="003A71DE" w:rsidP="00D84FA9">
            <w:pPr>
              <w:pStyle w:val="TAC"/>
              <w:rPr>
                <w:lang w:eastAsia="zh-CN"/>
              </w:rPr>
            </w:pPr>
            <w:r w:rsidRPr="00317DBE">
              <w:rPr>
                <w:lang w:eastAsia="zh-CN"/>
              </w:rPr>
              <w:t>-4</w:t>
            </w:r>
          </w:p>
        </w:tc>
        <w:tc>
          <w:tcPr>
            <w:tcW w:w="3822" w:type="dxa"/>
            <w:vAlign w:val="center"/>
          </w:tcPr>
          <w:p w14:paraId="0B174720" w14:textId="77777777" w:rsidR="003A71DE" w:rsidRPr="00317DBE" w:rsidRDefault="003A71DE" w:rsidP="00D84FA9">
            <w:pPr>
              <w:pStyle w:val="TAC"/>
              <w:rPr>
                <w:lang w:eastAsia="zh-CN"/>
              </w:rPr>
            </w:pPr>
            <w:r w:rsidRPr="00317DBE">
              <w:rPr>
                <w:lang w:eastAsia="zh-CN"/>
              </w:rPr>
              <w:t>-99.4</w:t>
            </w:r>
            <w:r w:rsidRPr="00317DBE">
              <w:rPr>
                <w:szCs w:val="22"/>
              </w:rPr>
              <w:t>- 10*Log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1DC44B79" w14:textId="77777777" w:rsidTr="003A71DE">
        <w:trPr>
          <w:trHeight w:val="279"/>
          <w:jc w:val="center"/>
        </w:trPr>
        <w:tc>
          <w:tcPr>
            <w:tcW w:w="9629" w:type="dxa"/>
            <w:gridSpan w:val="4"/>
            <w:vAlign w:val="center"/>
          </w:tcPr>
          <w:p w14:paraId="6A3C137B" w14:textId="63A69ADC" w:rsidR="003A71DE" w:rsidRPr="00317DBE" w:rsidRDefault="003A71DE" w:rsidP="003A71DE">
            <w:pPr>
              <w:keepNext/>
              <w:keepLines/>
              <w:spacing w:after="0"/>
              <w:ind w:left="851" w:hanging="851"/>
              <w:rPr>
                <w:rFonts w:ascii="Arial" w:hAnsi="Arial"/>
                <w:sz w:val="18"/>
                <w:lang w:eastAsia="zh-CN"/>
              </w:rPr>
            </w:pPr>
            <w:r w:rsidRPr="00317DBE">
              <w:rPr>
                <w:rFonts w:ascii="Arial" w:hAnsi="Arial"/>
                <w:sz w:val="18"/>
              </w:rPr>
              <w:t>NOTE 1:</w:t>
            </w:r>
            <w:r w:rsidR="00D84FA9" w:rsidRPr="00CC206F">
              <w:rPr>
                <w:rFonts w:ascii="Arial" w:eastAsia="SimSun" w:hAnsi="Arial"/>
                <w:sz w:val="18"/>
              </w:rPr>
              <w:tab/>
            </w:r>
            <w:r w:rsidRPr="00317DBE">
              <w:rPr>
                <w:szCs w:val="22"/>
              </w:rPr>
              <w:t>N</w:t>
            </w:r>
            <w:r w:rsidRPr="00317DBE">
              <w:rPr>
                <w:szCs w:val="22"/>
                <w:vertAlign w:val="subscript"/>
              </w:rPr>
              <w:t>PRB</w:t>
            </w:r>
            <w:r w:rsidRPr="00317DBE">
              <w:rPr>
                <w:rFonts w:ascii="Arial" w:hAnsi="Arial"/>
                <w:sz w:val="18"/>
              </w:rPr>
              <w:t xml:space="preserve"> is the number of PRBs within the IAB-IMT channel bandwidth defined in section 5.3.2.</w:t>
            </w:r>
          </w:p>
        </w:tc>
      </w:tr>
    </w:tbl>
    <w:p w14:paraId="0E90291E" w14:textId="77777777" w:rsidR="003A71DE" w:rsidRPr="00317DBE" w:rsidRDefault="003A71DE" w:rsidP="003A71DE">
      <w:pPr>
        <w:rPr>
          <w:noProof/>
        </w:rPr>
      </w:pPr>
    </w:p>
    <w:p w14:paraId="4B86144D"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sidRPr="00221314">
        <w:rPr>
          <w:rFonts w:ascii="Arial" w:hAnsi="Arial"/>
          <w:b/>
        </w:rPr>
        <w:t>H</w:t>
      </w:r>
      <w:r w:rsidRPr="00317DBE">
        <w:rPr>
          <w:rFonts w:ascii="Arial" w:hAnsi="Arial"/>
          <w:b/>
        </w:rPr>
        <w:t xml:space="preserve">.1.1.2-2: </w:t>
      </w:r>
      <w:r w:rsidRPr="00317DBE">
        <w:rPr>
          <w:rFonts w:ascii="Arial" w:hAnsi="Arial"/>
          <w:b/>
          <w:lang w:eastAsia="zh-CN"/>
        </w:rPr>
        <w:t>Conditions for RRC connection re-establishment for inter-frequency cell for Local Area IAB-MT and IAB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487285F2" w14:textId="77777777" w:rsidTr="003A71DE">
        <w:trPr>
          <w:jc w:val="center"/>
        </w:trPr>
        <w:tc>
          <w:tcPr>
            <w:tcW w:w="1838" w:type="dxa"/>
            <w:vMerge w:val="restart"/>
            <w:shd w:val="clear" w:color="auto" w:fill="auto"/>
          </w:tcPr>
          <w:p w14:paraId="71C5B4D9" w14:textId="77777777" w:rsidR="003A71DE" w:rsidRPr="00317DBE" w:rsidRDefault="003A71DE" w:rsidP="00D84FA9">
            <w:pPr>
              <w:pStyle w:val="TAH"/>
            </w:pPr>
            <w:r w:rsidRPr="00317DBE">
              <w:t>IAB-MT channel bandwidth (MHz)</w:t>
            </w:r>
          </w:p>
        </w:tc>
        <w:tc>
          <w:tcPr>
            <w:tcW w:w="1843" w:type="dxa"/>
            <w:vMerge w:val="restart"/>
          </w:tcPr>
          <w:p w14:paraId="48B7D1BB" w14:textId="77777777" w:rsidR="003A71DE" w:rsidRPr="00317DBE" w:rsidRDefault="003A71DE" w:rsidP="00D84FA9">
            <w:pPr>
              <w:pStyle w:val="TAH"/>
            </w:pPr>
            <w:r w:rsidRPr="00317DBE">
              <w:t>SSB sub-carrier spacing (kHz)</w:t>
            </w:r>
          </w:p>
        </w:tc>
        <w:tc>
          <w:tcPr>
            <w:tcW w:w="5948" w:type="dxa"/>
            <w:gridSpan w:val="2"/>
          </w:tcPr>
          <w:p w14:paraId="4EF5D829" w14:textId="77777777" w:rsidR="003A71DE" w:rsidRPr="00317DBE" w:rsidRDefault="003A71DE" w:rsidP="00D84FA9">
            <w:pPr>
              <w:pStyle w:val="TAH"/>
              <w:rPr>
                <w:bCs/>
              </w:rPr>
            </w:pPr>
            <w:r w:rsidRPr="00317DBE">
              <w:rPr>
                <w:bCs/>
              </w:rPr>
              <w:t>Side conditions</w:t>
            </w:r>
          </w:p>
        </w:tc>
      </w:tr>
      <w:tr w:rsidR="003A71DE" w:rsidRPr="00317DBE" w14:paraId="5767DF01" w14:textId="77777777" w:rsidTr="003A71DE">
        <w:trPr>
          <w:jc w:val="center"/>
        </w:trPr>
        <w:tc>
          <w:tcPr>
            <w:tcW w:w="1838" w:type="dxa"/>
            <w:vMerge/>
            <w:shd w:val="clear" w:color="auto" w:fill="auto"/>
          </w:tcPr>
          <w:p w14:paraId="6C8961B7" w14:textId="77777777" w:rsidR="003A71DE" w:rsidRPr="00317DBE" w:rsidRDefault="003A71DE" w:rsidP="00D84FA9">
            <w:pPr>
              <w:pStyle w:val="TAH"/>
            </w:pPr>
          </w:p>
        </w:tc>
        <w:tc>
          <w:tcPr>
            <w:tcW w:w="1843" w:type="dxa"/>
            <w:vMerge/>
          </w:tcPr>
          <w:p w14:paraId="6D768A49" w14:textId="77777777" w:rsidR="003A71DE" w:rsidRPr="00317DBE" w:rsidRDefault="003A71DE" w:rsidP="00D84FA9">
            <w:pPr>
              <w:pStyle w:val="TAH"/>
            </w:pPr>
          </w:p>
        </w:tc>
        <w:tc>
          <w:tcPr>
            <w:tcW w:w="2126" w:type="dxa"/>
          </w:tcPr>
          <w:p w14:paraId="77A4066E" w14:textId="77777777" w:rsidR="003A71DE" w:rsidRPr="00317DBE" w:rsidRDefault="003A71DE" w:rsidP="00D84FA9">
            <w:pPr>
              <w:pStyle w:val="TAH"/>
              <w:rPr>
                <w:bCs/>
              </w:rPr>
            </w:pPr>
            <w:r w:rsidRPr="00317DBE">
              <w:rPr>
                <w:bCs/>
              </w:rPr>
              <w:t>SSB Ês/Iot (dB)</w:t>
            </w:r>
          </w:p>
        </w:tc>
        <w:tc>
          <w:tcPr>
            <w:tcW w:w="3822" w:type="dxa"/>
          </w:tcPr>
          <w:p w14:paraId="6A97AA29" w14:textId="77777777" w:rsidR="003A71DE" w:rsidRPr="00317DBE" w:rsidRDefault="003A71DE" w:rsidP="00D84FA9">
            <w:pPr>
              <w:pStyle w:val="TAH"/>
              <w:rPr>
                <w:bCs/>
              </w:rPr>
            </w:pPr>
            <w:r w:rsidRPr="00317DBE">
              <w:rPr>
                <w:bCs/>
              </w:rPr>
              <w:t>Minimum SSB_RP (dBm)</w:t>
            </w:r>
          </w:p>
        </w:tc>
      </w:tr>
      <w:tr w:rsidR="003A71DE" w:rsidRPr="00317DBE" w14:paraId="771D0953" w14:textId="77777777" w:rsidTr="003A71DE">
        <w:trPr>
          <w:trHeight w:val="279"/>
          <w:jc w:val="center"/>
        </w:trPr>
        <w:tc>
          <w:tcPr>
            <w:tcW w:w="1838" w:type="dxa"/>
            <w:vAlign w:val="center"/>
          </w:tcPr>
          <w:p w14:paraId="46E309B9" w14:textId="77777777" w:rsidR="003A71DE" w:rsidRPr="00317DBE" w:rsidRDefault="003A71DE" w:rsidP="00D84FA9">
            <w:pPr>
              <w:pStyle w:val="TAC"/>
            </w:pPr>
            <w:r w:rsidRPr="00317DBE">
              <w:t>10, 15</w:t>
            </w:r>
          </w:p>
        </w:tc>
        <w:tc>
          <w:tcPr>
            <w:tcW w:w="1843" w:type="dxa"/>
            <w:vAlign w:val="center"/>
          </w:tcPr>
          <w:p w14:paraId="0EF8C850" w14:textId="77777777" w:rsidR="003A71DE" w:rsidRPr="00317DBE" w:rsidRDefault="003A71DE" w:rsidP="00D84FA9">
            <w:pPr>
              <w:pStyle w:val="TAC"/>
              <w:rPr>
                <w:lang w:eastAsia="zh-CN"/>
              </w:rPr>
            </w:pPr>
            <w:r w:rsidRPr="00317DBE">
              <w:rPr>
                <w:lang w:eastAsia="zh-CN"/>
              </w:rPr>
              <w:t>30</w:t>
            </w:r>
          </w:p>
        </w:tc>
        <w:tc>
          <w:tcPr>
            <w:tcW w:w="2126" w:type="dxa"/>
            <w:vAlign w:val="center"/>
          </w:tcPr>
          <w:p w14:paraId="79297130" w14:textId="77777777" w:rsidR="003A71DE" w:rsidRPr="00317DBE" w:rsidRDefault="003A71DE" w:rsidP="00D84FA9">
            <w:pPr>
              <w:pStyle w:val="TAC"/>
              <w:rPr>
                <w:lang w:eastAsia="zh-CN"/>
              </w:rPr>
            </w:pPr>
            <w:r w:rsidRPr="00317DBE">
              <w:rPr>
                <w:lang w:eastAsia="zh-CN"/>
              </w:rPr>
              <w:t>-4</w:t>
            </w:r>
          </w:p>
        </w:tc>
        <w:tc>
          <w:tcPr>
            <w:tcW w:w="3822" w:type="dxa"/>
          </w:tcPr>
          <w:p w14:paraId="45E82D42" w14:textId="77777777" w:rsidR="003A71DE" w:rsidRPr="00317DBE" w:rsidRDefault="003A71DE" w:rsidP="00D84FA9">
            <w:pPr>
              <w:pStyle w:val="TAC"/>
              <w:rPr>
                <w:lang w:eastAsia="zh-CN"/>
              </w:rPr>
            </w:pPr>
            <w:r w:rsidRPr="00317DBE">
              <w:t>-97</w:t>
            </w:r>
            <w:r w:rsidRPr="00317DBE">
              <w:rPr>
                <w:szCs w:val="22"/>
              </w:rPr>
              <w:t xml:space="preserve"> - 10*Log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31CB25BE" w14:textId="77777777" w:rsidTr="003A71DE">
        <w:trPr>
          <w:trHeight w:val="279"/>
          <w:jc w:val="center"/>
        </w:trPr>
        <w:tc>
          <w:tcPr>
            <w:tcW w:w="1838" w:type="dxa"/>
            <w:vAlign w:val="center"/>
          </w:tcPr>
          <w:p w14:paraId="2FFBB8E1" w14:textId="77777777" w:rsidR="003A71DE" w:rsidRPr="00317DBE" w:rsidRDefault="003A71DE" w:rsidP="00D84FA9">
            <w:pPr>
              <w:pStyle w:val="TAC"/>
            </w:pPr>
            <w:r w:rsidRPr="00317DBE">
              <w:t>20, 25, 30, 40, 50, 60, 70, 80, 90, 100</w:t>
            </w:r>
          </w:p>
        </w:tc>
        <w:tc>
          <w:tcPr>
            <w:tcW w:w="1843" w:type="dxa"/>
            <w:vAlign w:val="center"/>
          </w:tcPr>
          <w:p w14:paraId="66F04FCD" w14:textId="77777777" w:rsidR="003A71DE" w:rsidRPr="00317DBE" w:rsidRDefault="003A71DE" w:rsidP="00D84FA9">
            <w:pPr>
              <w:pStyle w:val="TAC"/>
              <w:rPr>
                <w:lang w:eastAsia="zh-CN"/>
              </w:rPr>
            </w:pPr>
            <w:r w:rsidRPr="00317DBE">
              <w:rPr>
                <w:lang w:eastAsia="zh-CN"/>
              </w:rPr>
              <w:t>30</w:t>
            </w:r>
          </w:p>
        </w:tc>
        <w:tc>
          <w:tcPr>
            <w:tcW w:w="2126" w:type="dxa"/>
            <w:vAlign w:val="center"/>
          </w:tcPr>
          <w:p w14:paraId="2C3250ED" w14:textId="77777777" w:rsidR="003A71DE" w:rsidRPr="00317DBE" w:rsidRDefault="003A71DE" w:rsidP="00D84FA9">
            <w:pPr>
              <w:pStyle w:val="TAC"/>
              <w:rPr>
                <w:lang w:eastAsia="zh-CN"/>
              </w:rPr>
            </w:pPr>
            <w:r w:rsidRPr="00317DBE">
              <w:rPr>
                <w:lang w:eastAsia="zh-CN"/>
              </w:rPr>
              <w:t>-4</w:t>
            </w:r>
          </w:p>
        </w:tc>
        <w:tc>
          <w:tcPr>
            <w:tcW w:w="3822" w:type="dxa"/>
            <w:vAlign w:val="center"/>
          </w:tcPr>
          <w:p w14:paraId="21576BB1" w14:textId="77777777" w:rsidR="003A71DE" w:rsidRPr="00317DBE" w:rsidRDefault="003A71DE" w:rsidP="00D84FA9">
            <w:pPr>
              <w:pStyle w:val="TAC"/>
              <w:rPr>
                <w:lang w:eastAsia="zh-CN"/>
              </w:rPr>
            </w:pPr>
            <w:r w:rsidRPr="00317DBE">
              <w:rPr>
                <w:lang w:eastAsia="zh-CN"/>
              </w:rPr>
              <w:t>-90.5</w:t>
            </w:r>
            <w:r w:rsidRPr="00317DBE">
              <w:rPr>
                <w:szCs w:val="22"/>
              </w:rPr>
              <w:t>- 10*Log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44A47B34" w14:textId="77777777" w:rsidTr="003A71DE">
        <w:trPr>
          <w:trHeight w:val="279"/>
          <w:jc w:val="center"/>
        </w:trPr>
        <w:tc>
          <w:tcPr>
            <w:tcW w:w="9629" w:type="dxa"/>
            <w:gridSpan w:val="4"/>
            <w:vAlign w:val="center"/>
          </w:tcPr>
          <w:p w14:paraId="5973A597" w14:textId="131F7C3A" w:rsidR="003A71DE" w:rsidRPr="00317DBE" w:rsidRDefault="003A71DE" w:rsidP="003A71DE">
            <w:pPr>
              <w:keepNext/>
              <w:keepLines/>
              <w:spacing w:after="0"/>
              <w:ind w:left="851" w:hanging="851"/>
              <w:rPr>
                <w:rFonts w:ascii="Arial" w:hAnsi="Arial"/>
                <w:sz w:val="18"/>
                <w:lang w:eastAsia="zh-CN"/>
              </w:rPr>
            </w:pPr>
            <w:r w:rsidRPr="00317DBE">
              <w:rPr>
                <w:rFonts w:ascii="Arial" w:hAnsi="Arial"/>
                <w:sz w:val="18"/>
              </w:rPr>
              <w:t>NOTE 1:</w:t>
            </w:r>
            <w:r w:rsidR="00D84FA9" w:rsidRPr="00CC206F">
              <w:rPr>
                <w:rFonts w:ascii="Arial" w:eastAsia="SimSun" w:hAnsi="Arial"/>
                <w:sz w:val="18"/>
              </w:rPr>
              <w:tab/>
            </w:r>
            <w:r w:rsidRPr="00317DBE">
              <w:rPr>
                <w:szCs w:val="22"/>
              </w:rPr>
              <w:t>N</w:t>
            </w:r>
            <w:r w:rsidRPr="00317DBE">
              <w:rPr>
                <w:szCs w:val="22"/>
                <w:vertAlign w:val="subscript"/>
              </w:rPr>
              <w:t>PRB</w:t>
            </w:r>
            <w:r w:rsidRPr="00317DBE">
              <w:rPr>
                <w:rFonts w:ascii="Arial" w:hAnsi="Arial"/>
                <w:sz w:val="18"/>
              </w:rPr>
              <w:t xml:space="preserve"> is the number of PRBs within the IAB-IMT channel bandwidth defined in section 5.3.2.</w:t>
            </w:r>
          </w:p>
        </w:tc>
      </w:tr>
    </w:tbl>
    <w:p w14:paraId="75176290" w14:textId="77777777" w:rsidR="003A71DE" w:rsidRPr="00317DBE" w:rsidRDefault="003A71DE" w:rsidP="003A71DE">
      <w:pPr>
        <w:rPr>
          <w:noProof/>
        </w:rPr>
      </w:pPr>
    </w:p>
    <w:p w14:paraId="1D2D2500"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sidRPr="00221314">
        <w:rPr>
          <w:rFonts w:ascii="Arial" w:hAnsi="Arial"/>
          <w:b/>
        </w:rPr>
        <w:t>H</w:t>
      </w:r>
      <w:r w:rsidRPr="00317DBE">
        <w:rPr>
          <w:rFonts w:ascii="Arial" w:hAnsi="Arial"/>
          <w:b/>
        </w:rPr>
        <w:t xml:space="preserve">.1.1.2-3: </w:t>
      </w:r>
      <w:r w:rsidRPr="00317DBE">
        <w:rPr>
          <w:rFonts w:ascii="Arial" w:hAnsi="Arial"/>
          <w:b/>
          <w:lang w:eastAsia="zh-CN"/>
        </w:rPr>
        <w:t>Conditions for RRC connection re-establishment for inter-frequency cell for Wide Area IAB-MT and IAB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48A38C9A" w14:textId="77777777" w:rsidTr="003A71DE">
        <w:trPr>
          <w:jc w:val="center"/>
        </w:trPr>
        <w:tc>
          <w:tcPr>
            <w:tcW w:w="1838" w:type="dxa"/>
            <w:vMerge w:val="restart"/>
            <w:shd w:val="clear" w:color="auto" w:fill="auto"/>
          </w:tcPr>
          <w:p w14:paraId="67F1400C" w14:textId="77777777" w:rsidR="003A71DE" w:rsidRPr="00317DBE" w:rsidRDefault="003A71DE" w:rsidP="00D84FA9">
            <w:pPr>
              <w:pStyle w:val="TAH"/>
            </w:pPr>
            <w:r w:rsidRPr="00317DBE">
              <w:t>IAB-MT channel bandwidth (MHz)</w:t>
            </w:r>
          </w:p>
        </w:tc>
        <w:tc>
          <w:tcPr>
            <w:tcW w:w="1843" w:type="dxa"/>
            <w:vMerge w:val="restart"/>
          </w:tcPr>
          <w:p w14:paraId="2D32FE67" w14:textId="77777777" w:rsidR="003A71DE" w:rsidRPr="00317DBE" w:rsidRDefault="003A71DE" w:rsidP="00D84FA9">
            <w:pPr>
              <w:pStyle w:val="TAH"/>
            </w:pPr>
            <w:r w:rsidRPr="00317DBE">
              <w:t>SSB sub-carrier spacing (kHz)</w:t>
            </w:r>
          </w:p>
        </w:tc>
        <w:tc>
          <w:tcPr>
            <w:tcW w:w="5948" w:type="dxa"/>
            <w:gridSpan w:val="2"/>
          </w:tcPr>
          <w:p w14:paraId="18567A6E" w14:textId="77777777" w:rsidR="003A71DE" w:rsidRPr="00317DBE" w:rsidRDefault="003A71DE" w:rsidP="00D84FA9">
            <w:pPr>
              <w:pStyle w:val="TAH"/>
              <w:rPr>
                <w:bCs/>
              </w:rPr>
            </w:pPr>
            <w:r w:rsidRPr="00317DBE">
              <w:rPr>
                <w:bCs/>
              </w:rPr>
              <w:t>Side conditions</w:t>
            </w:r>
          </w:p>
        </w:tc>
      </w:tr>
      <w:tr w:rsidR="003A71DE" w:rsidRPr="00317DBE" w14:paraId="3D6DFAC1" w14:textId="77777777" w:rsidTr="003A71DE">
        <w:trPr>
          <w:jc w:val="center"/>
        </w:trPr>
        <w:tc>
          <w:tcPr>
            <w:tcW w:w="1838" w:type="dxa"/>
            <w:vMerge/>
            <w:shd w:val="clear" w:color="auto" w:fill="auto"/>
          </w:tcPr>
          <w:p w14:paraId="4555C417" w14:textId="77777777" w:rsidR="003A71DE" w:rsidRPr="00317DBE" w:rsidRDefault="003A71DE" w:rsidP="00D84FA9">
            <w:pPr>
              <w:pStyle w:val="TAH"/>
            </w:pPr>
          </w:p>
        </w:tc>
        <w:tc>
          <w:tcPr>
            <w:tcW w:w="1843" w:type="dxa"/>
            <w:vMerge/>
          </w:tcPr>
          <w:p w14:paraId="06507F86" w14:textId="77777777" w:rsidR="003A71DE" w:rsidRPr="00317DBE" w:rsidRDefault="003A71DE" w:rsidP="00D84FA9">
            <w:pPr>
              <w:pStyle w:val="TAH"/>
            </w:pPr>
          </w:p>
        </w:tc>
        <w:tc>
          <w:tcPr>
            <w:tcW w:w="2126" w:type="dxa"/>
          </w:tcPr>
          <w:p w14:paraId="5938F100" w14:textId="77777777" w:rsidR="003A71DE" w:rsidRPr="00317DBE" w:rsidRDefault="003A71DE" w:rsidP="00D84FA9">
            <w:pPr>
              <w:pStyle w:val="TAH"/>
              <w:rPr>
                <w:bCs/>
              </w:rPr>
            </w:pPr>
            <w:r w:rsidRPr="00317DBE">
              <w:rPr>
                <w:bCs/>
              </w:rPr>
              <w:t>SSB Ês/Iot (dB)</w:t>
            </w:r>
          </w:p>
        </w:tc>
        <w:tc>
          <w:tcPr>
            <w:tcW w:w="3822" w:type="dxa"/>
          </w:tcPr>
          <w:p w14:paraId="7882651D" w14:textId="77777777" w:rsidR="003A71DE" w:rsidRPr="00317DBE" w:rsidRDefault="003A71DE" w:rsidP="00D84FA9">
            <w:pPr>
              <w:pStyle w:val="TAH"/>
              <w:rPr>
                <w:bCs/>
              </w:rPr>
            </w:pPr>
            <w:r w:rsidRPr="00317DBE">
              <w:rPr>
                <w:bCs/>
              </w:rPr>
              <w:t>Minimum SSB_RP (dBm)</w:t>
            </w:r>
          </w:p>
        </w:tc>
      </w:tr>
      <w:tr w:rsidR="003A71DE" w:rsidRPr="00317DBE" w14:paraId="1D945710" w14:textId="77777777" w:rsidTr="003A71DE">
        <w:trPr>
          <w:trHeight w:val="279"/>
          <w:jc w:val="center"/>
        </w:trPr>
        <w:tc>
          <w:tcPr>
            <w:tcW w:w="1838" w:type="dxa"/>
            <w:vAlign w:val="center"/>
          </w:tcPr>
          <w:p w14:paraId="3F398346" w14:textId="77777777" w:rsidR="003A71DE" w:rsidRPr="00317DBE" w:rsidRDefault="003A71DE" w:rsidP="00D84FA9">
            <w:pPr>
              <w:pStyle w:val="TAC"/>
            </w:pPr>
            <w:r w:rsidRPr="00317DBE">
              <w:t>10, 15</w:t>
            </w:r>
          </w:p>
        </w:tc>
        <w:tc>
          <w:tcPr>
            <w:tcW w:w="1843" w:type="dxa"/>
            <w:vAlign w:val="center"/>
          </w:tcPr>
          <w:p w14:paraId="1C6DE102" w14:textId="77777777" w:rsidR="003A71DE" w:rsidRPr="00317DBE" w:rsidRDefault="003A71DE" w:rsidP="00D84FA9">
            <w:pPr>
              <w:pStyle w:val="TAC"/>
              <w:rPr>
                <w:lang w:eastAsia="zh-CN"/>
              </w:rPr>
            </w:pPr>
            <w:r w:rsidRPr="00317DBE">
              <w:rPr>
                <w:lang w:eastAsia="zh-CN"/>
              </w:rPr>
              <w:t>30</w:t>
            </w:r>
          </w:p>
        </w:tc>
        <w:tc>
          <w:tcPr>
            <w:tcW w:w="2126" w:type="dxa"/>
            <w:vAlign w:val="center"/>
          </w:tcPr>
          <w:p w14:paraId="3E5DD5A1" w14:textId="77777777" w:rsidR="003A71DE" w:rsidRPr="00317DBE" w:rsidRDefault="003A71DE" w:rsidP="00D84FA9">
            <w:pPr>
              <w:pStyle w:val="TAC"/>
              <w:rPr>
                <w:lang w:eastAsia="zh-CN"/>
              </w:rPr>
            </w:pPr>
            <w:r w:rsidRPr="00317DBE">
              <w:rPr>
                <w:lang w:eastAsia="zh-CN"/>
              </w:rPr>
              <w:t>-4</w:t>
            </w:r>
          </w:p>
        </w:tc>
        <w:tc>
          <w:tcPr>
            <w:tcW w:w="3822" w:type="dxa"/>
          </w:tcPr>
          <w:p w14:paraId="30D95B67" w14:textId="77777777" w:rsidR="003A71DE" w:rsidRPr="00317DBE" w:rsidRDefault="003A71DE" w:rsidP="00D84FA9">
            <w:pPr>
              <w:pStyle w:val="TAC"/>
            </w:pPr>
            <w:r w:rsidRPr="00317DBE">
              <w:t>-105 - 10*Log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68F9F3AD" w14:textId="77777777" w:rsidTr="003A71DE">
        <w:trPr>
          <w:trHeight w:val="279"/>
          <w:jc w:val="center"/>
        </w:trPr>
        <w:tc>
          <w:tcPr>
            <w:tcW w:w="1838" w:type="dxa"/>
            <w:vAlign w:val="center"/>
          </w:tcPr>
          <w:p w14:paraId="5EDCAFB7" w14:textId="77777777" w:rsidR="003A71DE" w:rsidRPr="00317DBE" w:rsidRDefault="003A71DE" w:rsidP="00D84FA9">
            <w:pPr>
              <w:pStyle w:val="TAC"/>
            </w:pPr>
            <w:r w:rsidRPr="00317DBE">
              <w:t>20, 25, 30, 40, 50, 60, 70, 80, 90, 100</w:t>
            </w:r>
          </w:p>
        </w:tc>
        <w:tc>
          <w:tcPr>
            <w:tcW w:w="1843" w:type="dxa"/>
            <w:vAlign w:val="center"/>
          </w:tcPr>
          <w:p w14:paraId="534DF471" w14:textId="77777777" w:rsidR="003A71DE" w:rsidRPr="00317DBE" w:rsidRDefault="003A71DE" w:rsidP="00D84FA9">
            <w:pPr>
              <w:pStyle w:val="TAC"/>
              <w:rPr>
                <w:lang w:eastAsia="zh-CN"/>
              </w:rPr>
            </w:pPr>
            <w:r w:rsidRPr="00317DBE">
              <w:rPr>
                <w:lang w:eastAsia="zh-CN"/>
              </w:rPr>
              <w:t>30</w:t>
            </w:r>
          </w:p>
        </w:tc>
        <w:tc>
          <w:tcPr>
            <w:tcW w:w="2126" w:type="dxa"/>
            <w:vAlign w:val="center"/>
          </w:tcPr>
          <w:p w14:paraId="70A781A4" w14:textId="77777777" w:rsidR="003A71DE" w:rsidRPr="00317DBE" w:rsidRDefault="003A71DE" w:rsidP="00D84FA9">
            <w:pPr>
              <w:pStyle w:val="TAC"/>
              <w:rPr>
                <w:lang w:eastAsia="zh-CN"/>
              </w:rPr>
            </w:pPr>
            <w:r w:rsidRPr="00317DBE">
              <w:rPr>
                <w:lang w:eastAsia="zh-CN"/>
              </w:rPr>
              <w:t>-4</w:t>
            </w:r>
          </w:p>
        </w:tc>
        <w:tc>
          <w:tcPr>
            <w:tcW w:w="3822" w:type="dxa"/>
            <w:vAlign w:val="center"/>
          </w:tcPr>
          <w:p w14:paraId="652574AD" w14:textId="77777777" w:rsidR="003A71DE" w:rsidRPr="00317DBE" w:rsidRDefault="003A71DE" w:rsidP="00D84FA9">
            <w:pPr>
              <w:pStyle w:val="TAC"/>
              <w:rPr>
                <w:lang w:eastAsia="zh-CN"/>
              </w:rPr>
            </w:pPr>
            <w:r w:rsidRPr="00317DBE">
              <w:rPr>
                <w:lang w:eastAsia="zh-CN"/>
              </w:rPr>
              <w:t>-99.4</w:t>
            </w:r>
            <w:r w:rsidRPr="00317DBE">
              <w:t>- 10*Log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7EA363F0" w14:textId="77777777" w:rsidTr="003A71DE">
        <w:trPr>
          <w:trHeight w:val="279"/>
          <w:jc w:val="center"/>
        </w:trPr>
        <w:tc>
          <w:tcPr>
            <w:tcW w:w="9629" w:type="dxa"/>
            <w:gridSpan w:val="4"/>
            <w:vAlign w:val="center"/>
          </w:tcPr>
          <w:p w14:paraId="58062417" w14:textId="03D4648F" w:rsidR="003A71DE" w:rsidRPr="00317DBE" w:rsidRDefault="003A71DE" w:rsidP="003A71DE">
            <w:pPr>
              <w:keepNext/>
              <w:keepLines/>
              <w:spacing w:after="0"/>
              <w:ind w:left="851" w:hanging="851"/>
              <w:rPr>
                <w:rFonts w:ascii="Arial" w:hAnsi="Arial" w:cs="Arial"/>
                <w:sz w:val="18"/>
                <w:szCs w:val="18"/>
                <w:lang w:eastAsia="zh-CN"/>
              </w:rPr>
            </w:pPr>
            <w:r w:rsidRPr="00317DBE">
              <w:rPr>
                <w:rFonts w:ascii="Arial" w:hAnsi="Arial" w:cs="Arial"/>
                <w:sz w:val="18"/>
                <w:szCs w:val="18"/>
              </w:rPr>
              <w:t>NOTE 1:</w:t>
            </w:r>
            <w:r w:rsidR="00D84FA9" w:rsidRPr="00CC206F">
              <w:rPr>
                <w:rFonts w:ascii="Arial" w:eastAsia="SimSun" w:hAnsi="Arial"/>
                <w:sz w:val="18"/>
              </w:rPr>
              <w:tab/>
            </w:r>
            <w:r w:rsidRPr="00317DBE">
              <w:rPr>
                <w:rFonts w:ascii="Arial" w:hAnsi="Arial" w:cs="Arial"/>
                <w:sz w:val="18"/>
                <w:szCs w:val="18"/>
              </w:rPr>
              <w:t>N</w:t>
            </w:r>
            <w:r w:rsidRPr="00317DBE">
              <w:rPr>
                <w:rFonts w:ascii="Arial" w:hAnsi="Arial" w:cs="Arial"/>
                <w:sz w:val="18"/>
                <w:szCs w:val="18"/>
                <w:vertAlign w:val="subscript"/>
              </w:rPr>
              <w:t>PRB</w:t>
            </w:r>
            <w:r w:rsidRPr="00317DBE">
              <w:rPr>
                <w:rFonts w:ascii="Arial" w:hAnsi="Arial" w:cs="Arial"/>
                <w:sz w:val="18"/>
                <w:szCs w:val="18"/>
              </w:rPr>
              <w:t xml:space="preserve"> is the number of PRBs within the IAB-IMT channel bandwidth defined in section 5.3.2.</w:t>
            </w:r>
          </w:p>
        </w:tc>
      </w:tr>
    </w:tbl>
    <w:p w14:paraId="5D3DE95E" w14:textId="77777777" w:rsidR="003A71DE" w:rsidRPr="00317DBE" w:rsidRDefault="003A71DE" w:rsidP="003A71DE">
      <w:pPr>
        <w:rPr>
          <w:noProof/>
        </w:rPr>
      </w:pPr>
    </w:p>
    <w:p w14:paraId="2B2EACAB" w14:textId="77777777" w:rsidR="003A71DE" w:rsidRPr="00317DBE" w:rsidRDefault="003A71DE" w:rsidP="003A71DE">
      <w:pPr>
        <w:keepNext/>
        <w:keepLines/>
        <w:spacing w:before="60"/>
        <w:jc w:val="center"/>
        <w:rPr>
          <w:rFonts w:ascii="Arial" w:hAnsi="Arial"/>
          <w:b/>
        </w:rPr>
      </w:pPr>
      <w:r w:rsidRPr="00317DBE">
        <w:rPr>
          <w:rFonts w:ascii="Arial" w:hAnsi="Arial"/>
          <w:b/>
        </w:rPr>
        <w:lastRenderedPageBreak/>
        <w:t xml:space="preserve">Table </w:t>
      </w:r>
      <w:r w:rsidRPr="00F66DD8">
        <w:rPr>
          <w:rFonts w:ascii="Arial" w:hAnsi="Arial"/>
          <w:b/>
        </w:rPr>
        <w:t>H</w:t>
      </w:r>
      <w:r w:rsidRPr="00317DBE">
        <w:rPr>
          <w:rFonts w:ascii="Arial" w:hAnsi="Arial"/>
          <w:b/>
        </w:rPr>
        <w:t xml:space="preserve">.1.1.2-4: </w:t>
      </w:r>
      <w:r w:rsidRPr="00317DBE">
        <w:rPr>
          <w:rFonts w:ascii="Arial" w:hAnsi="Arial"/>
          <w:b/>
          <w:lang w:eastAsia="zh-CN"/>
        </w:rPr>
        <w:t>Conditions for RRC connection re-establishment for inter-frequency cell for Local Area IAB-MT and IAB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8"/>
        <w:gridCol w:w="1840"/>
        <w:gridCol w:w="2116"/>
        <w:gridCol w:w="3787"/>
      </w:tblGrid>
      <w:tr w:rsidR="003A71DE" w:rsidRPr="00317DBE" w14:paraId="23F794DA" w14:textId="77777777" w:rsidTr="003A71DE">
        <w:trPr>
          <w:jc w:val="center"/>
        </w:trPr>
        <w:tc>
          <w:tcPr>
            <w:tcW w:w="1838" w:type="dxa"/>
            <w:vMerge w:val="restart"/>
            <w:shd w:val="clear" w:color="auto" w:fill="auto"/>
          </w:tcPr>
          <w:p w14:paraId="38A2D6B7" w14:textId="77777777" w:rsidR="003A71DE" w:rsidRPr="00317DBE" w:rsidRDefault="003A71DE" w:rsidP="00D84FA9">
            <w:pPr>
              <w:pStyle w:val="TAN"/>
            </w:pPr>
            <w:r w:rsidRPr="00317DBE">
              <w:t>IAB-MT channel bandwidth (MHz)</w:t>
            </w:r>
          </w:p>
        </w:tc>
        <w:tc>
          <w:tcPr>
            <w:tcW w:w="1843" w:type="dxa"/>
            <w:vMerge w:val="restart"/>
          </w:tcPr>
          <w:p w14:paraId="5A1405F7" w14:textId="77777777" w:rsidR="003A71DE" w:rsidRPr="00317DBE" w:rsidRDefault="003A71DE" w:rsidP="00D84FA9">
            <w:pPr>
              <w:pStyle w:val="TAN"/>
            </w:pPr>
            <w:r w:rsidRPr="00317DBE">
              <w:t>SSB sub-carrier spacing (kHz)</w:t>
            </w:r>
          </w:p>
        </w:tc>
        <w:tc>
          <w:tcPr>
            <w:tcW w:w="5948" w:type="dxa"/>
            <w:gridSpan w:val="2"/>
          </w:tcPr>
          <w:p w14:paraId="4D35CC9E" w14:textId="77777777" w:rsidR="003A71DE" w:rsidRPr="00317DBE" w:rsidRDefault="003A71DE" w:rsidP="00D84FA9">
            <w:pPr>
              <w:pStyle w:val="TAN"/>
              <w:rPr>
                <w:bCs/>
              </w:rPr>
            </w:pPr>
            <w:r w:rsidRPr="00317DBE">
              <w:rPr>
                <w:bCs/>
              </w:rPr>
              <w:t>Side conditions</w:t>
            </w:r>
          </w:p>
        </w:tc>
      </w:tr>
      <w:tr w:rsidR="003A71DE" w:rsidRPr="00317DBE" w14:paraId="17891C56" w14:textId="77777777" w:rsidTr="003A71DE">
        <w:trPr>
          <w:jc w:val="center"/>
        </w:trPr>
        <w:tc>
          <w:tcPr>
            <w:tcW w:w="1838" w:type="dxa"/>
            <w:vMerge/>
            <w:shd w:val="clear" w:color="auto" w:fill="auto"/>
          </w:tcPr>
          <w:p w14:paraId="6C1645A9" w14:textId="77777777" w:rsidR="003A71DE" w:rsidRPr="00317DBE" w:rsidRDefault="003A71DE" w:rsidP="00D84FA9">
            <w:pPr>
              <w:pStyle w:val="TAN"/>
            </w:pPr>
          </w:p>
        </w:tc>
        <w:tc>
          <w:tcPr>
            <w:tcW w:w="1843" w:type="dxa"/>
            <w:vMerge/>
          </w:tcPr>
          <w:p w14:paraId="2D7B55C3" w14:textId="77777777" w:rsidR="003A71DE" w:rsidRPr="00317DBE" w:rsidRDefault="003A71DE" w:rsidP="00D84FA9">
            <w:pPr>
              <w:pStyle w:val="TAN"/>
            </w:pPr>
          </w:p>
        </w:tc>
        <w:tc>
          <w:tcPr>
            <w:tcW w:w="2126" w:type="dxa"/>
          </w:tcPr>
          <w:p w14:paraId="6F95ECEF" w14:textId="77777777" w:rsidR="003A71DE" w:rsidRPr="00317DBE" w:rsidRDefault="003A71DE" w:rsidP="00D84FA9">
            <w:pPr>
              <w:pStyle w:val="TAN"/>
              <w:rPr>
                <w:bCs/>
              </w:rPr>
            </w:pPr>
            <w:r w:rsidRPr="00317DBE">
              <w:rPr>
                <w:bCs/>
              </w:rPr>
              <w:t>SSB Ês/Iot (dB)</w:t>
            </w:r>
          </w:p>
        </w:tc>
        <w:tc>
          <w:tcPr>
            <w:tcW w:w="3822" w:type="dxa"/>
          </w:tcPr>
          <w:p w14:paraId="65AF7785" w14:textId="77777777" w:rsidR="003A71DE" w:rsidRPr="00317DBE" w:rsidRDefault="003A71DE" w:rsidP="00D84FA9">
            <w:pPr>
              <w:pStyle w:val="TAN"/>
              <w:rPr>
                <w:bCs/>
              </w:rPr>
            </w:pPr>
            <w:r w:rsidRPr="00317DBE">
              <w:rPr>
                <w:bCs/>
              </w:rPr>
              <w:t>Minimum SSB_RP (dBm)</w:t>
            </w:r>
          </w:p>
        </w:tc>
      </w:tr>
      <w:tr w:rsidR="003A71DE" w:rsidRPr="00317DBE" w14:paraId="1C5F89E6" w14:textId="77777777" w:rsidTr="003A71DE">
        <w:trPr>
          <w:trHeight w:val="279"/>
          <w:jc w:val="center"/>
        </w:trPr>
        <w:tc>
          <w:tcPr>
            <w:tcW w:w="1838" w:type="dxa"/>
            <w:vAlign w:val="center"/>
          </w:tcPr>
          <w:p w14:paraId="0210BBC1" w14:textId="77777777" w:rsidR="003A71DE" w:rsidRPr="00317DBE" w:rsidRDefault="003A71DE" w:rsidP="00D84FA9">
            <w:pPr>
              <w:pStyle w:val="TAC"/>
            </w:pPr>
            <w:r w:rsidRPr="00317DBE">
              <w:t>10, 15</w:t>
            </w:r>
          </w:p>
        </w:tc>
        <w:tc>
          <w:tcPr>
            <w:tcW w:w="1843" w:type="dxa"/>
            <w:vAlign w:val="center"/>
          </w:tcPr>
          <w:p w14:paraId="56FF8A8B" w14:textId="77777777" w:rsidR="003A71DE" w:rsidRPr="00317DBE" w:rsidRDefault="003A71DE" w:rsidP="00D84FA9">
            <w:pPr>
              <w:pStyle w:val="TAC"/>
              <w:rPr>
                <w:lang w:eastAsia="zh-CN"/>
              </w:rPr>
            </w:pPr>
            <w:r w:rsidRPr="00317DBE">
              <w:rPr>
                <w:lang w:eastAsia="zh-CN"/>
              </w:rPr>
              <w:t>30</w:t>
            </w:r>
          </w:p>
        </w:tc>
        <w:tc>
          <w:tcPr>
            <w:tcW w:w="2126" w:type="dxa"/>
            <w:vAlign w:val="center"/>
          </w:tcPr>
          <w:p w14:paraId="2472CF84" w14:textId="77777777" w:rsidR="003A71DE" w:rsidRPr="00317DBE" w:rsidRDefault="003A71DE" w:rsidP="00D84FA9">
            <w:pPr>
              <w:pStyle w:val="TAC"/>
              <w:rPr>
                <w:lang w:eastAsia="zh-CN"/>
              </w:rPr>
            </w:pPr>
            <w:r w:rsidRPr="00317DBE">
              <w:rPr>
                <w:lang w:eastAsia="zh-CN"/>
              </w:rPr>
              <w:t>-4</w:t>
            </w:r>
          </w:p>
        </w:tc>
        <w:tc>
          <w:tcPr>
            <w:tcW w:w="3822" w:type="dxa"/>
          </w:tcPr>
          <w:p w14:paraId="638FBD56" w14:textId="77777777" w:rsidR="003A71DE" w:rsidRPr="00317DBE" w:rsidRDefault="003A71DE" w:rsidP="00D84FA9">
            <w:pPr>
              <w:pStyle w:val="TAC"/>
              <w:rPr>
                <w:lang w:eastAsia="zh-CN"/>
              </w:rPr>
            </w:pPr>
            <w:r w:rsidRPr="00317DBE">
              <w:t>-97 - 10*Log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16DBCFBA" w14:textId="77777777" w:rsidTr="003A71DE">
        <w:trPr>
          <w:trHeight w:val="279"/>
          <w:jc w:val="center"/>
        </w:trPr>
        <w:tc>
          <w:tcPr>
            <w:tcW w:w="1838" w:type="dxa"/>
            <w:vAlign w:val="center"/>
          </w:tcPr>
          <w:p w14:paraId="183A077C" w14:textId="77777777" w:rsidR="003A71DE" w:rsidRPr="00317DBE" w:rsidRDefault="003A71DE" w:rsidP="00D84FA9">
            <w:pPr>
              <w:pStyle w:val="TAC"/>
            </w:pPr>
            <w:r w:rsidRPr="00317DBE">
              <w:t>20, 25, 30, 40, 50, 60, 70, 80, 90, 100</w:t>
            </w:r>
          </w:p>
        </w:tc>
        <w:tc>
          <w:tcPr>
            <w:tcW w:w="1843" w:type="dxa"/>
            <w:vAlign w:val="center"/>
          </w:tcPr>
          <w:p w14:paraId="053DEC1A" w14:textId="77777777" w:rsidR="003A71DE" w:rsidRPr="00317DBE" w:rsidRDefault="003A71DE" w:rsidP="00D84FA9">
            <w:pPr>
              <w:pStyle w:val="TAC"/>
              <w:rPr>
                <w:lang w:eastAsia="zh-CN"/>
              </w:rPr>
            </w:pPr>
            <w:r w:rsidRPr="00317DBE">
              <w:rPr>
                <w:lang w:eastAsia="zh-CN"/>
              </w:rPr>
              <w:t>30</w:t>
            </w:r>
          </w:p>
        </w:tc>
        <w:tc>
          <w:tcPr>
            <w:tcW w:w="2126" w:type="dxa"/>
            <w:vAlign w:val="center"/>
          </w:tcPr>
          <w:p w14:paraId="339762EF" w14:textId="77777777" w:rsidR="003A71DE" w:rsidRPr="00317DBE" w:rsidRDefault="003A71DE" w:rsidP="00D84FA9">
            <w:pPr>
              <w:pStyle w:val="TAC"/>
              <w:rPr>
                <w:lang w:eastAsia="zh-CN"/>
              </w:rPr>
            </w:pPr>
            <w:r w:rsidRPr="00317DBE">
              <w:rPr>
                <w:lang w:eastAsia="zh-CN"/>
              </w:rPr>
              <w:t>-4</w:t>
            </w:r>
          </w:p>
        </w:tc>
        <w:tc>
          <w:tcPr>
            <w:tcW w:w="3822" w:type="dxa"/>
            <w:vAlign w:val="center"/>
          </w:tcPr>
          <w:p w14:paraId="51BB3B39" w14:textId="77777777" w:rsidR="003A71DE" w:rsidRPr="00317DBE" w:rsidRDefault="003A71DE" w:rsidP="00D84FA9">
            <w:pPr>
              <w:pStyle w:val="TAC"/>
              <w:rPr>
                <w:lang w:eastAsia="zh-CN"/>
              </w:rPr>
            </w:pPr>
            <w:r w:rsidRPr="00317DBE">
              <w:rPr>
                <w:lang w:eastAsia="zh-CN"/>
              </w:rPr>
              <w:t>-90.5</w:t>
            </w:r>
            <w:r w:rsidRPr="00317DBE">
              <w:t>- 10*Log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2D08E960" w14:textId="77777777" w:rsidTr="003A71DE">
        <w:trPr>
          <w:trHeight w:val="279"/>
          <w:jc w:val="center"/>
        </w:trPr>
        <w:tc>
          <w:tcPr>
            <w:tcW w:w="9629" w:type="dxa"/>
            <w:gridSpan w:val="4"/>
            <w:vAlign w:val="center"/>
          </w:tcPr>
          <w:p w14:paraId="09BCDA21" w14:textId="2B8F0D10" w:rsidR="003A71DE" w:rsidRPr="00317DBE" w:rsidRDefault="003A71DE" w:rsidP="00D84FA9">
            <w:pPr>
              <w:pStyle w:val="TAN"/>
              <w:rPr>
                <w:lang w:eastAsia="zh-CN"/>
              </w:rPr>
            </w:pPr>
            <w:r w:rsidRPr="00317DBE">
              <w:t>NOTE 1:</w:t>
            </w:r>
            <w:r w:rsidR="00D84FA9" w:rsidRPr="00CC206F">
              <w:rPr>
                <w:rFonts w:eastAsia="SimSun"/>
              </w:rPr>
              <w:tab/>
            </w:r>
            <w:r w:rsidRPr="00317DBE">
              <w:t>N</w:t>
            </w:r>
            <w:r w:rsidRPr="00317DBE">
              <w:rPr>
                <w:vertAlign w:val="subscript"/>
              </w:rPr>
              <w:t>PRB</w:t>
            </w:r>
            <w:r w:rsidRPr="00317DBE">
              <w:t xml:space="preserve"> is the number of PRBs within the IAB-IMT channel bandwidth defined in section 5.3.2.</w:t>
            </w:r>
          </w:p>
        </w:tc>
      </w:tr>
    </w:tbl>
    <w:p w14:paraId="49EDC2FE" w14:textId="77777777" w:rsidR="003A71DE" w:rsidRPr="00317DBE" w:rsidRDefault="003A71DE" w:rsidP="003A71DE">
      <w:pPr>
        <w:spacing w:after="120"/>
        <w:rPr>
          <w:lang w:eastAsia="zh-CN"/>
        </w:rPr>
      </w:pPr>
    </w:p>
    <w:p w14:paraId="415E702D"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sidRPr="00F66DD8">
        <w:rPr>
          <w:rFonts w:ascii="Arial" w:hAnsi="Arial"/>
          <w:b/>
        </w:rPr>
        <w:t>H</w:t>
      </w:r>
      <w:r w:rsidRPr="00317DBE">
        <w:rPr>
          <w:rFonts w:ascii="Arial" w:hAnsi="Arial"/>
          <w:b/>
        </w:rPr>
        <w:t xml:space="preserve">.1.1.2-5: </w:t>
      </w:r>
      <w:r w:rsidRPr="00317DBE">
        <w:rPr>
          <w:rFonts w:ascii="Arial" w:hAnsi="Arial"/>
          <w:b/>
          <w:lang w:eastAsia="zh-CN"/>
        </w:rPr>
        <w:t>Conditions for RRC connection re-establishment for inter-frequency cell for Local Area IAB-MT and IAB Type 2-O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1701"/>
        <w:gridCol w:w="1701"/>
        <w:gridCol w:w="4531"/>
      </w:tblGrid>
      <w:tr w:rsidR="003A71DE" w:rsidRPr="00317DBE" w14:paraId="6DF327DB" w14:textId="77777777" w:rsidTr="003A71DE">
        <w:trPr>
          <w:jc w:val="center"/>
        </w:trPr>
        <w:tc>
          <w:tcPr>
            <w:tcW w:w="1696" w:type="dxa"/>
            <w:vMerge w:val="restart"/>
            <w:shd w:val="clear" w:color="auto" w:fill="auto"/>
          </w:tcPr>
          <w:p w14:paraId="5F024962" w14:textId="77777777" w:rsidR="003A71DE" w:rsidRPr="00317DBE" w:rsidRDefault="003A71DE" w:rsidP="00D84FA9">
            <w:pPr>
              <w:pStyle w:val="TAH"/>
            </w:pPr>
            <w:r w:rsidRPr="00317DBE">
              <w:t>IAB-MT channel bandwidth (MHz)</w:t>
            </w:r>
          </w:p>
        </w:tc>
        <w:tc>
          <w:tcPr>
            <w:tcW w:w="1701" w:type="dxa"/>
            <w:vMerge w:val="restart"/>
          </w:tcPr>
          <w:p w14:paraId="75C6290A" w14:textId="77777777" w:rsidR="003A71DE" w:rsidRPr="00317DBE" w:rsidRDefault="003A71DE" w:rsidP="00D84FA9">
            <w:pPr>
              <w:pStyle w:val="TAH"/>
            </w:pPr>
            <w:r w:rsidRPr="00317DBE">
              <w:t>SSB sub-carrier spacing (kHz)</w:t>
            </w:r>
          </w:p>
        </w:tc>
        <w:tc>
          <w:tcPr>
            <w:tcW w:w="6232" w:type="dxa"/>
            <w:gridSpan w:val="2"/>
          </w:tcPr>
          <w:p w14:paraId="4E2148D0" w14:textId="77777777" w:rsidR="003A71DE" w:rsidRPr="00317DBE" w:rsidRDefault="003A71DE" w:rsidP="00D84FA9">
            <w:pPr>
              <w:pStyle w:val="TAH"/>
              <w:rPr>
                <w:bCs/>
              </w:rPr>
            </w:pPr>
            <w:r w:rsidRPr="00317DBE">
              <w:rPr>
                <w:bCs/>
              </w:rPr>
              <w:t>Side conditions</w:t>
            </w:r>
          </w:p>
        </w:tc>
      </w:tr>
      <w:tr w:rsidR="003A71DE" w:rsidRPr="00317DBE" w14:paraId="52474A48" w14:textId="77777777" w:rsidTr="003A71DE">
        <w:trPr>
          <w:jc w:val="center"/>
        </w:trPr>
        <w:tc>
          <w:tcPr>
            <w:tcW w:w="1696" w:type="dxa"/>
            <w:vMerge/>
            <w:shd w:val="clear" w:color="auto" w:fill="auto"/>
          </w:tcPr>
          <w:p w14:paraId="244CE3A9" w14:textId="77777777" w:rsidR="003A71DE" w:rsidRPr="00317DBE" w:rsidRDefault="003A71DE" w:rsidP="00D84FA9">
            <w:pPr>
              <w:pStyle w:val="TAH"/>
            </w:pPr>
          </w:p>
        </w:tc>
        <w:tc>
          <w:tcPr>
            <w:tcW w:w="1701" w:type="dxa"/>
            <w:vMerge/>
          </w:tcPr>
          <w:p w14:paraId="34C6A1D6" w14:textId="77777777" w:rsidR="003A71DE" w:rsidRPr="00317DBE" w:rsidRDefault="003A71DE" w:rsidP="00D84FA9">
            <w:pPr>
              <w:pStyle w:val="TAH"/>
            </w:pPr>
          </w:p>
        </w:tc>
        <w:tc>
          <w:tcPr>
            <w:tcW w:w="1701" w:type="dxa"/>
          </w:tcPr>
          <w:p w14:paraId="433B679B" w14:textId="77777777" w:rsidR="003A71DE" w:rsidRPr="00317DBE" w:rsidRDefault="003A71DE" w:rsidP="00D84FA9">
            <w:pPr>
              <w:pStyle w:val="TAH"/>
              <w:rPr>
                <w:bCs/>
              </w:rPr>
            </w:pPr>
            <w:r w:rsidRPr="00317DBE">
              <w:rPr>
                <w:bCs/>
              </w:rPr>
              <w:t>SSB Ês/Iot (dB)</w:t>
            </w:r>
          </w:p>
        </w:tc>
        <w:tc>
          <w:tcPr>
            <w:tcW w:w="4531" w:type="dxa"/>
          </w:tcPr>
          <w:p w14:paraId="59028F7B" w14:textId="77777777" w:rsidR="003A71DE" w:rsidRPr="00317DBE" w:rsidRDefault="003A71DE" w:rsidP="00D84FA9">
            <w:pPr>
              <w:pStyle w:val="TAH"/>
              <w:rPr>
                <w:bCs/>
              </w:rPr>
            </w:pPr>
            <w:r w:rsidRPr="00317DBE">
              <w:rPr>
                <w:bCs/>
              </w:rPr>
              <w:t>Minimum SSB_RP (dBm)</w:t>
            </w:r>
          </w:p>
        </w:tc>
      </w:tr>
      <w:tr w:rsidR="003A71DE" w:rsidRPr="007117D0" w14:paraId="0AC9F4A2" w14:textId="77777777" w:rsidTr="003A71DE">
        <w:trPr>
          <w:trHeight w:val="279"/>
          <w:jc w:val="center"/>
        </w:trPr>
        <w:tc>
          <w:tcPr>
            <w:tcW w:w="1696" w:type="dxa"/>
            <w:vAlign w:val="center"/>
          </w:tcPr>
          <w:p w14:paraId="13F99BE1" w14:textId="77777777" w:rsidR="003A71DE" w:rsidRPr="00317DBE" w:rsidRDefault="003A71DE" w:rsidP="00D84FA9">
            <w:pPr>
              <w:pStyle w:val="TAC"/>
            </w:pPr>
            <w:r w:rsidRPr="00317DBE">
              <w:t>50</w:t>
            </w:r>
          </w:p>
        </w:tc>
        <w:tc>
          <w:tcPr>
            <w:tcW w:w="1701" w:type="dxa"/>
            <w:vAlign w:val="center"/>
          </w:tcPr>
          <w:p w14:paraId="69DDB38B" w14:textId="77777777" w:rsidR="003A71DE" w:rsidRPr="00317DBE" w:rsidRDefault="003A71DE" w:rsidP="00D84FA9">
            <w:pPr>
              <w:pStyle w:val="TAC"/>
              <w:rPr>
                <w:lang w:eastAsia="zh-CN"/>
              </w:rPr>
            </w:pPr>
            <w:r w:rsidRPr="00317DBE">
              <w:rPr>
                <w:lang w:eastAsia="zh-CN"/>
              </w:rPr>
              <w:t>120</w:t>
            </w:r>
          </w:p>
        </w:tc>
        <w:tc>
          <w:tcPr>
            <w:tcW w:w="1701" w:type="dxa"/>
            <w:vAlign w:val="center"/>
          </w:tcPr>
          <w:p w14:paraId="793DCD29" w14:textId="77777777" w:rsidR="003A71DE" w:rsidRPr="00317DBE" w:rsidRDefault="003A71DE" w:rsidP="00D84FA9">
            <w:pPr>
              <w:pStyle w:val="TAC"/>
              <w:rPr>
                <w:lang w:eastAsia="zh-CN"/>
              </w:rPr>
            </w:pPr>
            <w:r w:rsidRPr="00317DBE">
              <w:rPr>
                <w:lang w:eastAsia="zh-CN"/>
              </w:rPr>
              <w:t>-4</w:t>
            </w:r>
          </w:p>
        </w:tc>
        <w:tc>
          <w:tcPr>
            <w:tcW w:w="4531" w:type="dxa"/>
          </w:tcPr>
          <w:p w14:paraId="52F48CCA" w14:textId="77777777" w:rsidR="003A71DE" w:rsidRPr="00317DBE" w:rsidRDefault="003A71DE" w:rsidP="00D84FA9">
            <w:pPr>
              <w:pStyle w:val="TAC"/>
              <w:rPr>
                <w:lang w:val="sv-SE"/>
              </w:rPr>
            </w:pPr>
            <w:r w:rsidRPr="00317DBE">
              <w:rPr>
                <w:lang w:val="sv-SE"/>
              </w:rPr>
              <w:t>EIS</w:t>
            </w:r>
            <w:r w:rsidRPr="00317DBE">
              <w:rPr>
                <w:vertAlign w:val="subscript"/>
                <w:lang w:val="sv-SE"/>
              </w:rPr>
              <w:t xml:space="preserve">REFSENS_50M </w:t>
            </w:r>
            <w:r w:rsidRPr="00317DBE">
              <w:rPr>
                <w:lang w:val="sv-SE"/>
              </w:rPr>
              <w:t>- 10*Log</w:t>
            </w:r>
            <w:r w:rsidRPr="00317DBE">
              <w:rPr>
                <w:vertAlign w:val="subscript"/>
                <w:lang w:val="sv-SE"/>
              </w:rPr>
              <w:t>10</w:t>
            </w:r>
            <w:r w:rsidRPr="00317DBE">
              <w:rPr>
                <w:lang w:val="sv-SE"/>
              </w:rPr>
              <w:t>(N</w:t>
            </w:r>
            <w:r w:rsidRPr="00317DBE">
              <w:rPr>
                <w:vertAlign w:val="subscript"/>
                <w:lang w:val="sv-SE"/>
              </w:rPr>
              <w:t>PRB</w:t>
            </w:r>
            <w:r w:rsidRPr="00317DBE">
              <w:rPr>
                <w:lang w:val="sv-SE"/>
              </w:rPr>
              <w:t xml:space="preserve"> *12) + </w:t>
            </w:r>
            <w:r w:rsidRPr="00317DBE">
              <w:t>Δ</w:t>
            </w:r>
            <w:r w:rsidRPr="00317DBE">
              <w:rPr>
                <w:vertAlign w:val="subscript"/>
                <w:lang w:val="sv-SE"/>
              </w:rPr>
              <w:t>FR2_REFSENS</w:t>
            </w:r>
            <w:r w:rsidRPr="00317DBE">
              <w:rPr>
                <w:lang w:val="sv-SE"/>
              </w:rPr>
              <w:t xml:space="preserve"> - 3</w:t>
            </w:r>
          </w:p>
        </w:tc>
      </w:tr>
      <w:tr w:rsidR="003A71DE" w:rsidRPr="007117D0" w14:paraId="0727A146" w14:textId="77777777" w:rsidTr="003A71DE">
        <w:trPr>
          <w:trHeight w:val="279"/>
          <w:jc w:val="center"/>
        </w:trPr>
        <w:tc>
          <w:tcPr>
            <w:tcW w:w="1696" w:type="dxa"/>
            <w:vAlign w:val="center"/>
          </w:tcPr>
          <w:p w14:paraId="00BA96C4" w14:textId="77777777" w:rsidR="003A71DE" w:rsidRPr="00317DBE" w:rsidRDefault="003A71DE" w:rsidP="00D84FA9">
            <w:pPr>
              <w:pStyle w:val="TAC"/>
            </w:pPr>
            <w:r w:rsidRPr="00317DBE">
              <w:t>100, 200, 400</w:t>
            </w:r>
          </w:p>
        </w:tc>
        <w:tc>
          <w:tcPr>
            <w:tcW w:w="1701" w:type="dxa"/>
            <w:vAlign w:val="center"/>
          </w:tcPr>
          <w:p w14:paraId="11367B41" w14:textId="77777777" w:rsidR="003A71DE" w:rsidRPr="00317DBE" w:rsidRDefault="003A71DE" w:rsidP="00D84FA9">
            <w:pPr>
              <w:pStyle w:val="TAC"/>
              <w:rPr>
                <w:lang w:eastAsia="zh-CN"/>
              </w:rPr>
            </w:pPr>
            <w:r w:rsidRPr="00317DBE">
              <w:rPr>
                <w:lang w:eastAsia="zh-CN"/>
              </w:rPr>
              <w:t>120</w:t>
            </w:r>
          </w:p>
        </w:tc>
        <w:tc>
          <w:tcPr>
            <w:tcW w:w="1701" w:type="dxa"/>
            <w:vAlign w:val="center"/>
          </w:tcPr>
          <w:p w14:paraId="722319DE" w14:textId="77777777" w:rsidR="003A71DE" w:rsidRPr="00317DBE" w:rsidRDefault="003A71DE" w:rsidP="00D84FA9">
            <w:pPr>
              <w:pStyle w:val="TAC"/>
              <w:rPr>
                <w:lang w:eastAsia="zh-CN"/>
              </w:rPr>
            </w:pPr>
            <w:r w:rsidRPr="00317DBE">
              <w:rPr>
                <w:lang w:eastAsia="zh-CN"/>
              </w:rPr>
              <w:t>-4</w:t>
            </w:r>
          </w:p>
        </w:tc>
        <w:tc>
          <w:tcPr>
            <w:tcW w:w="4531" w:type="dxa"/>
            <w:vAlign w:val="center"/>
          </w:tcPr>
          <w:p w14:paraId="47A45A43" w14:textId="77777777" w:rsidR="003A71DE" w:rsidRPr="00317DBE" w:rsidRDefault="003A71DE" w:rsidP="00D84FA9">
            <w:pPr>
              <w:pStyle w:val="TAC"/>
              <w:rPr>
                <w:lang w:val="sv-SE" w:eastAsia="zh-CN"/>
              </w:rPr>
            </w:pPr>
            <w:r w:rsidRPr="00317DBE">
              <w:rPr>
                <w:lang w:val="sv-SE"/>
              </w:rPr>
              <w:t>EIS</w:t>
            </w:r>
            <w:r w:rsidRPr="00317DBE">
              <w:rPr>
                <w:vertAlign w:val="subscript"/>
                <w:lang w:val="sv-SE"/>
              </w:rPr>
              <w:t xml:space="preserve">REFSENS_50M </w:t>
            </w:r>
            <w:r w:rsidRPr="00317DBE">
              <w:rPr>
                <w:lang w:val="sv-SE"/>
              </w:rPr>
              <w:t>- 10*Log</w:t>
            </w:r>
            <w:r w:rsidRPr="00317DBE">
              <w:rPr>
                <w:vertAlign w:val="subscript"/>
                <w:lang w:val="sv-SE"/>
              </w:rPr>
              <w:t>10</w:t>
            </w:r>
            <w:r w:rsidRPr="00317DBE">
              <w:rPr>
                <w:lang w:val="sv-SE"/>
              </w:rPr>
              <w:t>(N</w:t>
            </w:r>
            <w:r w:rsidRPr="00317DBE">
              <w:rPr>
                <w:vertAlign w:val="subscript"/>
                <w:lang w:val="sv-SE"/>
              </w:rPr>
              <w:t>PRB</w:t>
            </w:r>
            <w:r w:rsidRPr="00317DBE">
              <w:rPr>
                <w:lang w:val="sv-SE"/>
              </w:rPr>
              <w:t xml:space="preserve"> *12) + </w:t>
            </w:r>
            <w:r w:rsidRPr="00317DBE">
              <w:t>Δ</w:t>
            </w:r>
            <w:r w:rsidRPr="00317DBE">
              <w:rPr>
                <w:vertAlign w:val="subscript"/>
                <w:lang w:val="sv-SE"/>
              </w:rPr>
              <w:t>FR2_REFSENS</w:t>
            </w:r>
          </w:p>
        </w:tc>
      </w:tr>
      <w:tr w:rsidR="003A71DE" w:rsidRPr="00317DBE" w14:paraId="3F4F7882" w14:textId="77777777" w:rsidTr="003A71DE">
        <w:trPr>
          <w:trHeight w:val="279"/>
          <w:jc w:val="center"/>
        </w:trPr>
        <w:tc>
          <w:tcPr>
            <w:tcW w:w="9629" w:type="dxa"/>
            <w:gridSpan w:val="4"/>
            <w:vAlign w:val="center"/>
          </w:tcPr>
          <w:p w14:paraId="1662A13F" w14:textId="6F31DA1F" w:rsidR="003A71DE" w:rsidRPr="00317DBE" w:rsidRDefault="003A71DE" w:rsidP="00D84FA9">
            <w:pPr>
              <w:pStyle w:val="TAN"/>
            </w:pPr>
            <w:r w:rsidRPr="00317DBE">
              <w:t>NOTE 1:</w:t>
            </w:r>
            <w:r w:rsidR="00D84FA9" w:rsidRPr="00CC206F">
              <w:rPr>
                <w:rFonts w:eastAsia="SimSun"/>
              </w:rPr>
              <w:tab/>
            </w:r>
            <w:r w:rsidRPr="00317DBE">
              <w:t>N</w:t>
            </w:r>
            <w:r w:rsidRPr="00317DBE">
              <w:rPr>
                <w:vertAlign w:val="subscript"/>
              </w:rPr>
              <w:t>PRB</w:t>
            </w:r>
            <w:r w:rsidRPr="00317DBE">
              <w:t xml:space="preserve"> is the number of PRBs within the IAB-IMT channel bandwidth defined in section 5.3.2.</w:t>
            </w:r>
          </w:p>
          <w:p w14:paraId="60D0A4CF" w14:textId="794EEC67" w:rsidR="003A71DE" w:rsidRPr="00317DBE" w:rsidRDefault="003A71DE" w:rsidP="00D84FA9">
            <w:pPr>
              <w:pStyle w:val="TAN"/>
              <w:rPr>
                <w:lang w:eastAsia="zh-CN"/>
              </w:rPr>
            </w:pPr>
            <w:r w:rsidRPr="00317DBE">
              <w:t>NOTE 2:</w:t>
            </w:r>
            <w:r w:rsidR="00D84FA9" w:rsidRPr="00CC206F">
              <w:rPr>
                <w:rFonts w:eastAsia="SimSun"/>
              </w:rPr>
              <w:tab/>
            </w:r>
            <w:r w:rsidRPr="00317DBE">
              <w:t>EIS</w:t>
            </w:r>
            <w:r w:rsidRPr="00317DBE">
              <w:rPr>
                <w:vertAlign w:val="subscript"/>
              </w:rPr>
              <w:t>REFSENS_50M</w:t>
            </w:r>
            <w:r w:rsidRPr="00317DBE">
              <w:t xml:space="preserve"> for wide area IAB-MT and local area IAB-MT is defined in section 10.3.3.3.</w:t>
            </w:r>
          </w:p>
        </w:tc>
      </w:tr>
    </w:tbl>
    <w:p w14:paraId="66CEEEDD" w14:textId="77777777" w:rsidR="003A71DE" w:rsidRPr="00317DBE" w:rsidRDefault="003A71DE" w:rsidP="003A71DE">
      <w:pPr>
        <w:spacing w:after="120"/>
        <w:rPr>
          <w:lang w:eastAsia="zh-CN"/>
        </w:rPr>
      </w:pPr>
    </w:p>
    <w:p w14:paraId="2BAE73BF" w14:textId="77777777" w:rsidR="003A71DE" w:rsidRPr="00317DBE" w:rsidRDefault="003A71DE" w:rsidP="00A153AF">
      <w:pPr>
        <w:pStyle w:val="Heading4"/>
        <w:rPr>
          <w:rFonts w:eastAsiaTheme="minorEastAsia"/>
          <w:snapToGrid w:val="0"/>
        </w:rPr>
      </w:pPr>
      <w:bookmarkStart w:id="10423" w:name="_Toc74583698"/>
      <w:bookmarkStart w:id="10424" w:name="_Toc76542511"/>
      <w:bookmarkStart w:id="10425" w:name="_Toc82450493"/>
      <w:bookmarkStart w:id="10426" w:name="_Toc82451142"/>
      <w:bookmarkStart w:id="10427" w:name="_Toc89949531"/>
      <w:bookmarkStart w:id="10428" w:name="_Toc98755920"/>
      <w:bookmarkStart w:id="10429" w:name="_Toc98763512"/>
      <w:bookmarkStart w:id="10430" w:name="_Toc106184441"/>
      <w:r>
        <w:rPr>
          <w:rFonts w:eastAsiaTheme="minorEastAsia"/>
          <w:snapToGrid w:val="0"/>
        </w:rPr>
        <w:t>H</w:t>
      </w:r>
      <w:r w:rsidRPr="00317DBE">
        <w:rPr>
          <w:rFonts w:eastAsiaTheme="minorEastAsia"/>
          <w:snapToGrid w:val="0"/>
        </w:rPr>
        <w:t>.1.1.3</w:t>
      </w:r>
      <w:r w:rsidRPr="00317DBE">
        <w:rPr>
          <w:rFonts w:eastAsiaTheme="minorEastAsia"/>
          <w:snapToGrid w:val="0"/>
        </w:rPr>
        <w:tab/>
        <w:t>Conditions for Measurements on NR Cells for RRC Connection Release with Redirection</w:t>
      </w:r>
      <w:bookmarkEnd w:id="10423"/>
      <w:bookmarkEnd w:id="10424"/>
      <w:bookmarkEnd w:id="10425"/>
      <w:bookmarkEnd w:id="10426"/>
      <w:bookmarkEnd w:id="10427"/>
      <w:bookmarkEnd w:id="10428"/>
      <w:bookmarkEnd w:id="10429"/>
      <w:bookmarkEnd w:id="10430"/>
    </w:p>
    <w:p w14:paraId="5E9B2999" w14:textId="77777777" w:rsidR="003A71DE" w:rsidRPr="00317DBE" w:rsidRDefault="003A71DE" w:rsidP="003A71DE">
      <w:pPr>
        <w:rPr>
          <w:noProof/>
        </w:rPr>
      </w:pPr>
      <w:r w:rsidRPr="00317DBE">
        <w:rPr>
          <w:noProof/>
        </w:rPr>
        <w:t>This clause defines the following conditions in terms of SSB_RP and SSB Ês/Iot for measurements on NR cells for RRC connection release with redirection:</w:t>
      </w:r>
    </w:p>
    <w:p w14:paraId="0197A9CD" w14:textId="4FA8B333"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.1.1.3-1 for FR1 NR cells for Wide Area IAB-MT and IAB Type 1-H.</w:t>
      </w:r>
    </w:p>
    <w:p w14:paraId="3259E16F" w14:textId="75A9325B"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.1.1.3-2 for FR1 NR cells for Local Area IAB-MT and IAB Type 1-H.</w:t>
      </w:r>
    </w:p>
    <w:p w14:paraId="3D2A2F80" w14:textId="3060E2D8"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.1.1.3-3 for FR1 NR cells for Wide Area IAB-MT and IAB Type 1-O.</w:t>
      </w:r>
    </w:p>
    <w:p w14:paraId="166D0E1E" w14:textId="074D3B97"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.1.1.3-4 for FR1 NR cells for Local Area IAB-MT and IAB Type 1-O.</w:t>
      </w:r>
    </w:p>
    <w:p w14:paraId="70C35123" w14:textId="5CEBE2EA" w:rsidR="003A71DE" w:rsidRPr="00317DBE" w:rsidRDefault="00A153AF" w:rsidP="00A153AF">
      <w:pPr>
        <w:pStyle w:val="B10"/>
        <w:rPr>
          <w:rFonts w:eastAsia="SimSun"/>
          <w:noProof/>
        </w:rPr>
      </w:pPr>
      <w:r>
        <w:rPr>
          <w:rFonts w:eastAsia="SimSun"/>
          <w:noProof/>
        </w:rPr>
        <w:t>-</w:t>
      </w:r>
      <w:r>
        <w:rPr>
          <w:rFonts w:eastAsia="SimSun"/>
          <w:noProof/>
        </w:rPr>
        <w:tab/>
      </w:r>
      <w:r w:rsidR="003A71DE" w:rsidRPr="00317DBE">
        <w:rPr>
          <w:rFonts w:eastAsia="SimSun"/>
          <w:noProof/>
        </w:rPr>
        <w:t xml:space="preserve">The conditions are defined in Table </w:t>
      </w:r>
      <w:r w:rsidR="003A71DE">
        <w:rPr>
          <w:rFonts w:eastAsia="SimSun"/>
          <w:noProof/>
        </w:rPr>
        <w:t>H</w:t>
      </w:r>
      <w:r w:rsidR="003A71DE" w:rsidRPr="00317DBE">
        <w:rPr>
          <w:rFonts w:eastAsia="SimSun"/>
          <w:noProof/>
        </w:rPr>
        <w:t>.1.1.3-5 for FR2 NR cells for Local Area and Wide Atea IAB-MT and IAB Type 2-O.</w:t>
      </w:r>
    </w:p>
    <w:p w14:paraId="100CAD6B" w14:textId="77777777" w:rsidR="003A71DE" w:rsidRPr="00317DBE" w:rsidRDefault="003A71DE" w:rsidP="003A71DE">
      <w:pPr>
        <w:keepNext/>
        <w:keepLines/>
        <w:spacing w:before="24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.1.1.3-1: </w:t>
      </w:r>
      <w:r w:rsidRPr="00317DBE">
        <w:rPr>
          <w:rFonts w:ascii="Arial" w:hAnsi="Arial"/>
          <w:b/>
          <w:lang w:eastAsia="zh-CN"/>
        </w:rPr>
        <w:t>Conditions for RRC connection release with redirection for NR cell for Wide Area IAB-MT and IAB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56955A23" w14:textId="77777777" w:rsidTr="003A71DE">
        <w:trPr>
          <w:jc w:val="center"/>
        </w:trPr>
        <w:tc>
          <w:tcPr>
            <w:tcW w:w="1838" w:type="dxa"/>
            <w:vMerge w:val="restart"/>
            <w:shd w:val="clear" w:color="auto" w:fill="auto"/>
          </w:tcPr>
          <w:p w14:paraId="5165A588" w14:textId="77777777" w:rsidR="003A71DE" w:rsidRPr="00317DBE" w:rsidRDefault="003A71DE" w:rsidP="00D84FA9">
            <w:pPr>
              <w:pStyle w:val="TAH"/>
            </w:pPr>
            <w:r w:rsidRPr="00317DBE">
              <w:t>IAB-MT channel bandwidth (MHz)</w:t>
            </w:r>
          </w:p>
        </w:tc>
        <w:tc>
          <w:tcPr>
            <w:tcW w:w="1843" w:type="dxa"/>
            <w:vMerge w:val="restart"/>
          </w:tcPr>
          <w:p w14:paraId="438C2D12" w14:textId="77777777" w:rsidR="003A71DE" w:rsidRPr="00317DBE" w:rsidRDefault="003A71DE" w:rsidP="00D84FA9">
            <w:pPr>
              <w:pStyle w:val="TAH"/>
            </w:pPr>
            <w:r w:rsidRPr="00317DBE">
              <w:t>SSB sub-carrier spacing (kHz)</w:t>
            </w:r>
          </w:p>
        </w:tc>
        <w:tc>
          <w:tcPr>
            <w:tcW w:w="5948" w:type="dxa"/>
            <w:gridSpan w:val="2"/>
          </w:tcPr>
          <w:p w14:paraId="73A9DD22" w14:textId="77777777" w:rsidR="003A71DE" w:rsidRPr="00317DBE" w:rsidRDefault="003A71DE" w:rsidP="00D84FA9">
            <w:pPr>
              <w:pStyle w:val="TAH"/>
              <w:rPr>
                <w:bCs/>
              </w:rPr>
            </w:pPr>
            <w:r w:rsidRPr="00317DBE">
              <w:rPr>
                <w:bCs/>
              </w:rPr>
              <w:t>Side conditions</w:t>
            </w:r>
          </w:p>
        </w:tc>
      </w:tr>
      <w:tr w:rsidR="003A71DE" w:rsidRPr="00317DBE" w14:paraId="1643ADBB" w14:textId="77777777" w:rsidTr="003A71DE">
        <w:trPr>
          <w:jc w:val="center"/>
        </w:trPr>
        <w:tc>
          <w:tcPr>
            <w:tcW w:w="1838" w:type="dxa"/>
            <w:vMerge/>
            <w:shd w:val="clear" w:color="auto" w:fill="auto"/>
          </w:tcPr>
          <w:p w14:paraId="3AAFC310" w14:textId="77777777" w:rsidR="003A71DE" w:rsidRPr="00317DBE" w:rsidRDefault="003A71DE" w:rsidP="00D84FA9">
            <w:pPr>
              <w:pStyle w:val="TAH"/>
            </w:pPr>
          </w:p>
        </w:tc>
        <w:tc>
          <w:tcPr>
            <w:tcW w:w="1843" w:type="dxa"/>
            <w:vMerge/>
          </w:tcPr>
          <w:p w14:paraId="03DB0832" w14:textId="77777777" w:rsidR="003A71DE" w:rsidRPr="00317DBE" w:rsidRDefault="003A71DE" w:rsidP="00D84FA9">
            <w:pPr>
              <w:pStyle w:val="TAH"/>
            </w:pPr>
          </w:p>
        </w:tc>
        <w:tc>
          <w:tcPr>
            <w:tcW w:w="2126" w:type="dxa"/>
          </w:tcPr>
          <w:p w14:paraId="04D60F4E" w14:textId="77777777" w:rsidR="003A71DE" w:rsidRPr="00317DBE" w:rsidRDefault="003A71DE" w:rsidP="00D84FA9">
            <w:pPr>
              <w:pStyle w:val="TAH"/>
              <w:rPr>
                <w:bCs/>
              </w:rPr>
            </w:pPr>
            <w:r w:rsidRPr="00317DBE">
              <w:rPr>
                <w:bCs/>
              </w:rPr>
              <w:t>SSB Ês/Iot (dB)</w:t>
            </w:r>
          </w:p>
        </w:tc>
        <w:tc>
          <w:tcPr>
            <w:tcW w:w="3822" w:type="dxa"/>
          </w:tcPr>
          <w:p w14:paraId="2315CC19" w14:textId="77777777" w:rsidR="003A71DE" w:rsidRPr="00317DBE" w:rsidRDefault="003A71DE" w:rsidP="00D84FA9">
            <w:pPr>
              <w:pStyle w:val="TAH"/>
              <w:rPr>
                <w:bCs/>
              </w:rPr>
            </w:pPr>
            <w:r w:rsidRPr="00317DBE">
              <w:rPr>
                <w:bCs/>
              </w:rPr>
              <w:t>Minimum SSB_RP (dBm)</w:t>
            </w:r>
          </w:p>
        </w:tc>
      </w:tr>
      <w:tr w:rsidR="003A71DE" w:rsidRPr="00317DBE" w14:paraId="70F6AC78" w14:textId="77777777" w:rsidTr="003A71DE">
        <w:trPr>
          <w:trHeight w:val="279"/>
          <w:jc w:val="center"/>
        </w:trPr>
        <w:tc>
          <w:tcPr>
            <w:tcW w:w="1838" w:type="dxa"/>
            <w:vAlign w:val="center"/>
          </w:tcPr>
          <w:p w14:paraId="3D6C9FD2" w14:textId="77777777" w:rsidR="003A71DE" w:rsidRPr="00317DBE" w:rsidRDefault="003A71DE" w:rsidP="00D84FA9">
            <w:pPr>
              <w:pStyle w:val="TAC"/>
            </w:pPr>
            <w:r w:rsidRPr="00317DBE">
              <w:t>10, 15</w:t>
            </w:r>
          </w:p>
        </w:tc>
        <w:tc>
          <w:tcPr>
            <w:tcW w:w="1843" w:type="dxa"/>
            <w:vAlign w:val="center"/>
          </w:tcPr>
          <w:p w14:paraId="0B3C20AC" w14:textId="77777777" w:rsidR="003A71DE" w:rsidRPr="00317DBE" w:rsidRDefault="003A71DE" w:rsidP="00D84FA9">
            <w:pPr>
              <w:pStyle w:val="TAC"/>
              <w:rPr>
                <w:lang w:eastAsia="zh-CN"/>
              </w:rPr>
            </w:pPr>
            <w:r w:rsidRPr="00317DBE">
              <w:rPr>
                <w:lang w:eastAsia="zh-CN"/>
              </w:rPr>
              <w:t>30</w:t>
            </w:r>
          </w:p>
        </w:tc>
        <w:tc>
          <w:tcPr>
            <w:tcW w:w="2126" w:type="dxa"/>
            <w:vAlign w:val="center"/>
          </w:tcPr>
          <w:p w14:paraId="1CBE10BF" w14:textId="77777777" w:rsidR="003A71DE" w:rsidRPr="00317DBE" w:rsidRDefault="003A71DE" w:rsidP="00D84FA9">
            <w:pPr>
              <w:pStyle w:val="TAC"/>
              <w:rPr>
                <w:lang w:eastAsia="zh-CN"/>
              </w:rPr>
            </w:pPr>
            <w:r w:rsidRPr="00317DBE">
              <w:rPr>
                <w:lang w:eastAsia="zh-CN"/>
              </w:rPr>
              <w:t>-4</w:t>
            </w:r>
          </w:p>
        </w:tc>
        <w:tc>
          <w:tcPr>
            <w:tcW w:w="3822" w:type="dxa"/>
          </w:tcPr>
          <w:p w14:paraId="429533F2" w14:textId="77777777" w:rsidR="003A71DE" w:rsidRPr="00317DBE" w:rsidRDefault="003A71DE" w:rsidP="00D84FA9">
            <w:pPr>
              <w:pStyle w:val="TAC"/>
              <w:rPr>
                <w:lang w:eastAsia="zh-CN"/>
              </w:rPr>
            </w:pPr>
            <w:r w:rsidRPr="00317DBE">
              <w:t>-105</w:t>
            </w:r>
            <w:r w:rsidRPr="00317DBE">
              <w:rPr>
                <w:szCs w:val="22"/>
              </w:rPr>
              <w:t xml:space="preserve"> - 10*Log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334F733F" w14:textId="77777777" w:rsidTr="003A71DE">
        <w:trPr>
          <w:trHeight w:val="279"/>
          <w:jc w:val="center"/>
        </w:trPr>
        <w:tc>
          <w:tcPr>
            <w:tcW w:w="1838" w:type="dxa"/>
            <w:vAlign w:val="center"/>
          </w:tcPr>
          <w:p w14:paraId="42436477" w14:textId="77777777" w:rsidR="003A71DE" w:rsidRPr="00317DBE" w:rsidRDefault="003A71DE" w:rsidP="00D84FA9">
            <w:pPr>
              <w:pStyle w:val="TAC"/>
            </w:pPr>
            <w:r w:rsidRPr="00317DBE">
              <w:t>20, 25, 30, 40, 50, 60, 70, 80, 90, 100</w:t>
            </w:r>
          </w:p>
        </w:tc>
        <w:tc>
          <w:tcPr>
            <w:tcW w:w="1843" w:type="dxa"/>
            <w:vAlign w:val="center"/>
          </w:tcPr>
          <w:p w14:paraId="2E720039" w14:textId="77777777" w:rsidR="003A71DE" w:rsidRPr="00317DBE" w:rsidRDefault="003A71DE" w:rsidP="00D84FA9">
            <w:pPr>
              <w:pStyle w:val="TAC"/>
              <w:rPr>
                <w:lang w:eastAsia="zh-CN"/>
              </w:rPr>
            </w:pPr>
            <w:r w:rsidRPr="00317DBE">
              <w:rPr>
                <w:lang w:eastAsia="zh-CN"/>
              </w:rPr>
              <w:t>30</w:t>
            </w:r>
          </w:p>
        </w:tc>
        <w:tc>
          <w:tcPr>
            <w:tcW w:w="2126" w:type="dxa"/>
            <w:vAlign w:val="center"/>
          </w:tcPr>
          <w:p w14:paraId="667F6020" w14:textId="77777777" w:rsidR="003A71DE" w:rsidRPr="00317DBE" w:rsidRDefault="003A71DE" w:rsidP="00D84FA9">
            <w:pPr>
              <w:pStyle w:val="TAC"/>
              <w:rPr>
                <w:lang w:eastAsia="zh-CN"/>
              </w:rPr>
            </w:pPr>
            <w:r w:rsidRPr="00317DBE">
              <w:rPr>
                <w:lang w:eastAsia="zh-CN"/>
              </w:rPr>
              <w:t>-4</w:t>
            </w:r>
          </w:p>
        </w:tc>
        <w:tc>
          <w:tcPr>
            <w:tcW w:w="3822" w:type="dxa"/>
            <w:vAlign w:val="center"/>
          </w:tcPr>
          <w:p w14:paraId="3F978829" w14:textId="77777777" w:rsidR="003A71DE" w:rsidRPr="00317DBE" w:rsidRDefault="003A71DE" w:rsidP="00D84FA9">
            <w:pPr>
              <w:pStyle w:val="TAC"/>
              <w:rPr>
                <w:lang w:eastAsia="zh-CN"/>
              </w:rPr>
            </w:pPr>
            <w:r w:rsidRPr="00317DBE">
              <w:rPr>
                <w:lang w:eastAsia="zh-CN"/>
              </w:rPr>
              <w:t>-99.4</w:t>
            </w:r>
            <w:r w:rsidRPr="00317DBE">
              <w:rPr>
                <w:szCs w:val="22"/>
              </w:rPr>
              <w:t>- 10*Log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0038163A" w14:textId="77777777" w:rsidTr="003A71DE">
        <w:trPr>
          <w:trHeight w:val="279"/>
          <w:jc w:val="center"/>
        </w:trPr>
        <w:tc>
          <w:tcPr>
            <w:tcW w:w="9629" w:type="dxa"/>
            <w:gridSpan w:val="4"/>
            <w:vAlign w:val="center"/>
          </w:tcPr>
          <w:p w14:paraId="0A051660" w14:textId="608B00E8" w:rsidR="003A71DE" w:rsidRPr="00317DBE" w:rsidRDefault="003A71DE" w:rsidP="00D84FA9">
            <w:pPr>
              <w:pStyle w:val="TAN"/>
              <w:rPr>
                <w:lang w:eastAsia="zh-CN"/>
              </w:rPr>
            </w:pPr>
            <w:r w:rsidRPr="00317DBE">
              <w:t>NOTE 1:</w:t>
            </w:r>
            <w:r w:rsidR="00D84FA9" w:rsidRPr="00CC206F">
              <w:rPr>
                <w:rFonts w:eastAsia="SimSun"/>
              </w:rPr>
              <w:tab/>
            </w:r>
            <w:r w:rsidRPr="00317DBE">
              <w:rPr>
                <w:szCs w:val="22"/>
              </w:rPr>
              <w:t>N</w:t>
            </w:r>
            <w:r w:rsidRPr="00317DBE">
              <w:rPr>
                <w:szCs w:val="22"/>
                <w:vertAlign w:val="subscript"/>
              </w:rPr>
              <w:t>PRB</w:t>
            </w:r>
            <w:r w:rsidRPr="00317DBE">
              <w:t xml:space="preserve"> is the number of PRBs within the IAB-IMT channel bandwidth defined in section 5.3.2.</w:t>
            </w:r>
          </w:p>
        </w:tc>
      </w:tr>
    </w:tbl>
    <w:p w14:paraId="02B96F23" w14:textId="77777777" w:rsidR="003A71DE" w:rsidRPr="00317DBE" w:rsidRDefault="003A71DE" w:rsidP="003A71DE">
      <w:pPr>
        <w:rPr>
          <w:noProof/>
        </w:rPr>
      </w:pPr>
    </w:p>
    <w:p w14:paraId="1EE950CF"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.1.1.3-2: </w:t>
      </w:r>
      <w:r w:rsidRPr="00317DBE">
        <w:rPr>
          <w:rFonts w:ascii="Arial" w:hAnsi="Arial"/>
          <w:b/>
          <w:lang w:eastAsia="zh-CN"/>
        </w:rPr>
        <w:t>Conditions for RRC connection release with redirection for NR cell for Local Area IAB-MT and IAB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09CAC68B" w14:textId="77777777" w:rsidTr="003A71DE">
        <w:trPr>
          <w:jc w:val="center"/>
        </w:trPr>
        <w:tc>
          <w:tcPr>
            <w:tcW w:w="1838" w:type="dxa"/>
            <w:vMerge w:val="restart"/>
            <w:shd w:val="clear" w:color="auto" w:fill="auto"/>
          </w:tcPr>
          <w:p w14:paraId="77CDD4CC" w14:textId="77777777" w:rsidR="003A71DE" w:rsidRPr="00317DBE" w:rsidRDefault="003A71DE" w:rsidP="00D84FA9">
            <w:pPr>
              <w:pStyle w:val="TAH"/>
            </w:pPr>
            <w:r w:rsidRPr="00317DBE">
              <w:t>IAB-MT channel bandwidth (MHz)</w:t>
            </w:r>
          </w:p>
        </w:tc>
        <w:tc>
          <w:tcPr>
            <w:tcW w:w="1843" w:type="dxa"/>
            <w:vMerge w:val="restart"/>
          </w:tcPr>
          <w:p w14:paraId="2E699E98" w14:textId="77777777" w:rsidR="003A71DE" w:rsidRPr="00317DBE" w:rsidRDefault="003A71DE" w:rsidP="00D84FA9">
            <w:pPr>
              <w:pStyle w:val="TAH"/>
            </w:pPr>
            <w:r w:rsidRPr="00317DBE">
              <w:t>SSB sub-carrier spacing (kHz)</w:t>
            </w:r>
          </w:p>
        </w:tc>
        <w:tc>
          <w:tcPr>
            <w:tcW w:w="5948" w:type="dxa"/>
            <w:gridSpan w:val="2"/>
          </w:tcPr>
          <w:p w14:paraId="24F5EE7C" w14:textId="77777777" w:rsidR="003A71DE" w:rsidRPr="00317DBE" w:rsidRDefault="003A71DE" w:rsidP="00D84FA9">
            <w:pPr>
              <w:pStyle w:val="TAH"/>
              <w:rPr>
                <w:bCs/>
              </w:rPr>
            </w:pPr>
            <w:r w:rsidRPr="00317DBE">
              <w:rPr>
                <w:bCs/>
              </w:rPr>
              <w:t>Side conditions</w:t>
            </w:r>
          </w:p>
        </w:tc>
      </w:tr>
      <w:tr w:rsidR="003A71DE" w:rsidRPr="00317DBE" w14:paraId="19CAB60D" w14:textId="77777777" w:rsidTr="003A71DE">
        <w:trPr>
          <w:jc w:val="center"/>
        </w:trPr>
        <w:tc>
          <w:tcPr>
            <w:tcW w:w="1838" w:type="dxa"/>
            <w:vMerge/>
            <w:shd w:val="clear" w:color="auto" w:fill="auto"/>
          </w:tcPr>
          <w:p w14:paraId="432F7E84" w14:textId="77777777" w:rsidR="003A71DE" w:rsidRPr="00317DBE" w:rsidRDefault="003A71DE" w:rsidP="00D84FA9">
            <w:pPr>
              <w:pStyle w:val="TAH"/>
            </w:pPr>
          </w:p>
        </w:tc>
        <w:tc>
          <w:tcPr>
            <w:tcW w:w="1843" w:type="dxa"/>
            <w:vMerge/>
          </w:tcPr>
          <w:p w14:paraId="10155464" w14:textId="77777777" w:rsidR="003A71DE" w:rsidRPr="00317DBE" w:rsidRDefault="003A71DE" w:rsidP="00D84FA9">
            <w:pPr>
              <w:pStyle w:val="TAH"/>
            </w:pPr>
          </w:p>
        </w:tc>
        <w:tc>
          <w:tcPr>
            <w:tcW w:w="2126" w:type="dxa"/>
          </w:tcPr>
          <w:p w14:paraId="1D5329EA" w14:textId="77777777" w:rsidR="003A71DE" w:rsidRPr="00317DBE" w:rsidRDefault="003A71DE" w:rsidP="00D84FA9">
            <w:pPr>
              <w:pStyle w:val="TAH"/>
              <w:rPr>
                <w:bCs/>
              </w:rPr>
            </w:pPr>
            <w:r w:rsidRPr="00317DBE">
              <w:rPr>
                <w:bCs/>
              </w:rPr>
              <w:t>SSB Ês/Iot (dB)</w:t>
            </w:r>
          </w:p>
        </w:tc>
        <w:tc>
          <w:tcPr>
            <w:tcW w:w="3822" w:type="dxa"/>
          </w:tcPr>
          <w:p w14:paraId="1A7BC895" w14:textId="77777777" w:rsidR="003A71DE" w:rsidRPr="00317DBE" w:rsidRDefault="003A71DE" w:rsidP="00D84FA9">
            <w:pPr>
              <w:pStyle w:val="TAH"/>
              <w:rPr>
                <w:bCs/>
              </w:rPr>
            </w:pPr>
            <w:r w:rsidRPr="00317DBE">
              <w:rPr>
                <w:bCs/>
              </w:rPr>
              <w:t>Minimum SSB_RP (dBm)</w:t>
            </w:r>
          </w:p>
        </w:tc>
      </w:tr>
      <w:tr w:rsidR="003A71DE" w:rsidRPr="00317DBE" w14:paraId="1FAAD575" w14:textId="77777777" w:rsidTr="003A71DE">
        <w:trPr>
          <w:trHeight w:val="279"/>
          <w:jc w:val="center"/>
        </w:trPr>
        <w:tc>
          <w:tcPr>
            <w:tcW w:w="1838" w:type="dxa"/>
            <w:vAlign w:val="center"/>
          </w:tcPr>
          <w:p w14:paraId="10B6D3DD" w14:textId="77777777" w:rsidR="003A71DE" w:rsidRPr="00317DBE" w:rsidRDefault="003A71DE" w:rsidP="00D84FA9">
            <w:pPr>
              <w:pStyle w:val="TAC"/>
            </w:pPr>
            <w:r w:rsidRPr="00317DBE">
              <w:t>10, 15</w:t>
            </w:r>
          </w:p>
        </w:tc>
        <w:tc>
          <w:tcPr>
            <w:tcW w:w="1843" w:type="dxa"/>
            <w:vAlign w:val="center"/>
          </w:tcPr>
          <w:p w14:paraId="50EA6F2B" w14:textId="77777777" w:rsidR="003A71DE" w:rsidRPr="00317DBE" w:rsidRDefault="003A71DE" w:rsidP="00D84FA9">
            <w:pPr>
              <w:pStyle w:val="TAC"/>
              <w:rPr>
                <w:lang w:eastAsia="zh-CN"/>
              </w:rPr>
            </w:pPr>
            <w:r w:rsidRPr="00317DBE">
              <w:rPr>
                <w:lang w:eastAsia="zh-CN"/>
              </w:rPr>
              <w:t>30</w:t>
            </w:r>
          </w:p>
        </w:tc>
        <w:tc>
          <w:tcPr>
            <w:tcW w:w="2126" w:type="dxa"/>
            <w:vAlign w:val="center"/>
          </w:tcPr>
          <w:p w14:paraId="4CB7B311" w14:textId="77777777" w:rsidR="003A71DE" w:rsidRPr="00317DBE" w:rsidRDefault="003A71DE" w:rsidP="00D84FA9">
            <w:pPr>
              <w:pStyle w:val="TAC"/>
              <w:rPr>
                <w:lang w:eastAsia="zh-CN"/>
              </w:rPr>
            </w:pPr>
            <w:r w:rsidRPr="00317DBE">
              <w:rPr>
                <w:lang w:eastAsia="zh-CN"/>
              </w:rPr>
              <w:t>-4</w:t>
            </w:r>
          </w:p>
        </w:tc>
        <w:tc>
          <w:tcPr>
            <w:tcW w:w="3822" w:type="dxa"/>
          </w:tcPr>
          <w:p w14:paraId="3E5D62FA" w14:textId="77777777" w:rsidR="003A71DE" w:rsidRPr="00317DBE" w:rsidRDefault="003A71DE" w:rsidP="00D84FA9">
            <w:pPr>
              <w:pStyle w:val="TAC"/>
              <w:rPr>
                <w:lang w:eastAsia="zh-CN"/>
              </w:rPr>
            </w:pPr>
            <w:r w:rsidRPr="00317DBE">
              <w:t>-97</w:t>
            </w:r>
            <w:r w:rsidRPr="00317DBE">
              <w:rPr>
                <w:szCs w:val="22"/>
              </w:rPr>
              <w:t xml:space="preserve"> - 10*Log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6E4A2CB8" w14:textId="77777777" w:rsidTr="003A71DE">
        <w:trPr>
          <w:trHeight w:val="279"/>
          <w:jc w:val="center"/>
        </w:trPr>
        <w:tc>
          <w:tcPr>
            <w:tcW w:w="1838" w:type="dxa"/>
            <w:vAlign w:val="center"/>
          </w:tcPr>
          <w:p w14:paraId="77CBABAA" w14:textId="77777777" w:rsidR="003A71DE" w:rsidRPr="00317DBE" w:rsidRDefault="003A71DE" w:rsidP="00D84FA9">
            <w:pPr>
              <w:pStyle w:val="TAC"/>
            </w:pPr>
            <w:r w:rsidRPr="00317DBE">
              <w:t>20, 25, 30, 40, 50, 60, 70, 80, 90, 100</w:t>
            </w:r>
          </w:p>
        </w:tc>
        <w:tc>
          <w:tcPr>
            <w:tcW w:w="1843" w:type="dxa"/>
            <w:vAlign w:val="center"/>
          </w:tcPr>
          <w:p w14:paraId="5B858182" w14:textId="77777777" w:rsidR="003A71DE" w:rsidRPr="00317DBE" w:rsidRDefault="003A71DE" w:rsidP="00D84FA9">
            <w:pPr>
              <w:pStyle w:val="TAC"/>
              <w:rPr>
                <w:lang w:eastAsia="zh-CN"/>
              </w:rPr>
            </w:pPr>
            <w:r w:rsidRPr="00317DBE">
              <w:rPr>
                <w:lang w:eastAsia="zh-CN"/>
              </w:rPr>
              <w:t>30</w:t>
            </w:r>
          </w:p>
        </w:tc>
        <w:tc>
          <w:tcPr>
            <w:tcW w:w="2126" w:type="dxa"/>
            <w:vAlign w:val="center"/>
          </w:tcPr>
          <w:p w14:paraId="2BC62FAB" w14:textId="77777777" w:rsidR="003A71DE" w:rsidRPr="00317DBE" w:rsidRDefault="003A71DE" w:rsidP="00D84FA9">
            <w:pPr>
              <w:pStyle w:val="TAC"/>
              <w:rPr>
                <w:lang w:eastAsia="zh-CN"/>
              </w:rPr>
            </w:pPr>
            <w:r w:rsidRPr="00317DBE">
              <w:rPr>
                <w:lang w:eastAsia="zh-CN"/>
              </w:rPr>
              <w:t>-4</w:t>
            </w:r>
          </w:p>
        </w:tc>
        <w:tc>
          <w:tcPr>
            <w:tcW w:w="3822" w:type="dxa"/>
            <w:vAlign w:val="center"/>
          </w:tcPr>
          <w:p w14:paraId="6D1F8BFC" w14:textId="77777777" w:rsidR="003A71DE" w:rsidRPr="00317DBE" w:rsidRDefault="003A71DE" w:rsidP="00D84FA9">
            <w:pPr>
              <w:pStyle w:val="TAC"/>
              <w:rPr>
                <w:lang w:eastAsia="zh-CN"/>
              </w:rPr>
            </w:pPr>
            <w:r w:rsidRPr="00317DBE">
              <w:rPr>
                <w:lang w:eastAsia="zh-CN"/>
              </w:rPr>
              <w:t>-90.5</w:t>
            </w:r>
            <w:r w:rsidRPr="00317DBE">
              <w:rPr>
                <w:szCs w:val="22"/>
              </w:rPr>
              <w:t>- 10*Log</w:t>
            </w:r>
            <w:r w:rsidRPr="00317DBE">
              <w:rPr>
                <w:szCs w:val="22"/>
                <w:vertAlign w:val="subscript"/>
              </w:rPr>
              <w:t>10</w:t>
            </w:r>
            <w:r w:rsidRPr="00317DBE">
              <w:rPr>
                <w:szCs w:val="22"/>
              </w:rPr>
              <w:t>(N</w:t>
            </w:r>
            <w:r w:rsidRPr="00317DBE">
              <w:rPr>
                <w:szCs w:val="22"/>
                <w:vertAlign w:val="subscript"/>
              </w:rPr>
              <w:t>PRB</w:t>
            </w:r>
            <w:r w:rsidRPr="00317DBE">
              <w:rPr>
                <w:szCs w:val="22"/>
              </w:rPr>
              <w:t xml:space="preserve"> *12)</w:t>
            </w:r>
          </w:p>
        </w:tc>
      </w:tr>
      <w:tr w:rsidR="003A71DE" w:rsidRPr="00317DBE" w14:paraId="29CFF9B7" w14:textId="77777777" w:rsidTr="003A71DE">
        <w:trPr>
          <w:trHeight w:val="279"/>
          <w:jc w:val="center"/>
        </w:trPr>
        <w:tc>
          <w:tcPr>
            <w:tcW w:w="9629" w:type="dxa"/>
            <w:gridSpan w:val="4"/>
            <w:vAlign w:val="center"/>
          </w:tcPr>
          <w:p w14:paraId="2EA27785" w14:textId="037ED9DD" w:rsidR="003A71DE" w:rsidRPr="00317DBE" w:rsidRDefault="003A71DE" w:rsidP="00D84FA9">
            <w:pPr>
              <w:pStyle w:val="TAN"/>
              <w:rPr>
                <w:lang w:eastAsia="zh-CN"/>
              </w:rPr>
            </w:pPr>
            <w:r w:rsidRPr="00317DBE">
              <w:t>NOTE 1:</w:t>
            </w:r>
            <w:r w:rsidR="00D84FA9" w:rsidRPr="00CC206F">
              <w:rPr>
                <w:rFonts w:eastAsia="SimSun"/>
              </w:rPr>
              <w:tab/>
            </w:r>
            <w:r w:rsidRPr="00317DBE">
              <w:rPr>
                <w:szCs w:val="22"/>
              </w:rPr>
              <w:t>N</w:t>
            </w:r>
            <w:r w:rsidRPr="00317DBE">
              <w:rPr>
                <w:szCs w:val="22"/>
                <w:vertAlign w:val="subscript"/>
              </w:rPr>
              <w:t>PRB</w:t>
            </w:r>
            <w:r w:rsidRPr="00317DBE">
              <w:t xml:space="preserve"> is the number of PRBs within the IAB-IMT channel bandwidth defined in section 5.3.2.</w:t>
            </w:r>
          </w:p>
        </w:tc>
      </w:tr>
    </w:tbl>
    <w:p w14:paraId="2AABB780" w14:textId="77777777" w:rsidR="003A71DE" w:rsidRPr="00317DBE" w:rsidRDefault="003A71DE" w:rsidP="003A71DE">
      <w:pPr>
        <w:rPr>
          <w:noProof/>
        </w:rPr>
      </w:pPr>
    </w:p>
    <w:p w14:paraId="18AB710F" w14:textId="77777777" w:rsidR="003A71DE" w:rsidRPr="00317DBE" w:rsidRDefault="003A71DE" w:rsidP="003A71DE">
      <w:pPr>
        <w:keepNext/>
        <w:keepLines/>
        <w:spacing w:before="60"/>
        <w:jc w:val="center"/>
        <w:rPr>
          <w:rFonts w:ascii="Arial" w:hAnsi="Arial"/>
          <w:b/>
        </w:rPr>
      </w:pPr>
      <w:r w:rsidRPr="00317DBE">
        <w:rPr>
          <w:rFonts w:ascii="Arial" w:hAnsi="Arial"/>
          <w:b/>
        </w:rPr>
        <w:lastRenderedPageBreak/>
        <w:t xml:space="preserve">Table </w:t>
      </w:r>
      <w:r w:rsidRPr="00F66DD8">
        <w:rPr>
          <w:rFonts w:ascii="Arial" w:hAnsi="Arial"/>
          <w:b/>
        </w:rPr>
        <w:t>H</w:t>
      </w:r>
      <w:r w:rsidRPr="00317DBE">
        <w:rPr>
          <w:rFonts w:ascii="Arial" w:hAnsi="Arial"/>
          <w:b/>
        </w:rPr>
        <w:t xml:space="preserve">.1.1.3-3: </w:t>
      </w:r>
      <w:r w:rsidRPr="00317DBE">
        <w:rPr>
          <w:rFonts w:ascii="Arial" w:hAnsi="Arial"/>
          <w:b/>
          <w:lang w:eastAsia="zh-CN"/>
        </w:rPr>
        <w:t>Conditions for RRC connection release with redirection for NR cell for Wide Area IAB-MT and IAB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334543B1" w14:textId="77777777" w:rsidTr="003A71DE">
        <w:trPr>
          <w:jc w:val="center"/>
        </w:trPr>
        <w:tc>
          <w:tcPr>
            <w:tcW w:w="1838" w:type="dxa"/>
            <w:vMerge w:val="restart"/>
            <w:shd w:val="clear" w:color="auto" w:fill="auto"/>
          </w:tcPr>
          <w:p w14:paraId="041D11D6" w14:textId="77777777" w:rsidR="003A71DE" w:rsidRPr="00317DBE" w:rsidRDefault="003A71DE" w:rsidP="00D84FA9">
            <w:pPr>
              <w:pStyle w:val="TAH"/>
            </w:pPr>
            <w:r w:rsidRPr="00317DBE">
              <w:t>IAB-MT channel bandwidth (MHz)</w:t>
            </w:r>
          </w:p>
        </w:tc>
        <w:tc>
          <w:tcPr>
            <w:tcW w:w="1843" w:type="dxa"/>
            <w:vMerge w:val="restart"/>
          </w:tcPr>
          <w:p w14:paraId="6A41F9DC" w14:textId="77777777" w:rsidR="003A71DE" w:rsidRPr="00317DBE" w:rsidRDefault="003A71DE" w:rsidP="00D84FA9">
            <w:pPr>
              <w:pStyle w:val="TAH"/>
            </w:pPr>
            <w:r w:rsidRPr="00317DBE">
              <w:t>SSB sub-carrier spacing (kHz)</w:t>
            </w:r>
          </w:p>
        </w:tc>
        <w:tc>
          <w:tcPr>
            <w:tcW w:w="5948" w:type="dxa"/>
            <w:gridSpan w:val="2"/>
          </w:tcPr>
          <w:p w14:paraId="001B52D4" w14:textId="77777777" w:rsidR="003A71DE" w:rsidRPr="00317DBE" w:rsidRDefault="003A71DE" w:rsidP="00D84FA9">
            <w:pPr>
              <w:pStyle w:val="TAH"/>
              <w:rPr>
                <w:bCs/>
              </w:rPr>
            </w:pPr>
            <w:r w:rsidRPr="00317DBE">
              <w:rPr>
                <w:bCs/>
              </w:rPr>
              <w:t>Side conditions</w:t>
            </w:r>
          </w:p>
        </w:tc>
      </w:tr>
      <w:tr w:rsidR="003A71DE" w:rsidRPr="00317DBE" w14:paraId="6405D962" w14:textId="77777777" w:rsidTr="003A71DE">
        <w:trPr>
          <w:jc w:val="center"/>
        </w:trPr>
        <w:tc>
          <w:tcPr>
            <w:tcW w:w="1838" w:type="dxa"/>
            <w:vMerge/>
            <w:shd w:val="clear" w:color="auto" w:fill="auto"/>
          </w:tcPr>
          <w:p w14:paraId="0342AB62" w14:textId="77777777" w:rsidR="003A71DE" w:rsidRPr="00317DBE" w:rsidRDefault="003A71DE" w:rsidP="00D84FA9">
            <w:pPr>
              <w:pStyle w:val="TAH"/>
            </w:pPr>
          </w:p>
        </w:tc>
        <w:tc>
          <w:tcPr>
            <w:tcW w:w="1843" w:type="dxa"/>
            <w:vMerge/>
          </w:tcPr>
          <w:p w14:paraId="2FB57471" w14:textId="77777777" w:rsidR="003A71DE" w:rsidRPr="00317DBE" w:rsidRDefault="003A71DE" w:rsidP="00D84FA9">
            <w:pPr>
              <w:pStyle w:val="TAH"/>
            </w:pPr>
          </w:p>
        </w:tc>
        <w:tc>
          <w:tcPr>
            <w:tcW w:w="2126" w:type="dxa"/>
          </w:tcPr>
          <w:p w14:paraId="5F40E27A" w14:textId="77777777" w:rsidR="003A71DE" w:rsidRPr="00317DBE" w:rsidRDefault="003A71DE" w:rsidP="00D84FA9">
            <w:pPr>
              <w:pStyle w:val="TAH"/>
              <w:rPr>
                <w:bCs/>
              </w:rPr>
            </w:pPr>
            <w:r w:rsidRPr="00317DBE">
              <w:rPr>
                <w:bCs/>
              </w:rPr>
              <w:t>SSB Ês/Iot (dB)</w:t>
            </w:r>
          </w:p>
        </w:tc>
        <w:tc>
          <w:tcPr>
            <w:tcW w:w="3822" w:type="dxa"/>
          </w:tcPr>
          <w:p w14:paraId="573D417A" w14:textId="77777777" w:rsidR="003A71DE" w:rsidRPr="00317DBE" w:rsidRDefault="003A71DE" w:rsidP="00D84FA9">
            <w:pPr>
              <w:pStyle w:val="TAH"/>
              <w:rPr>
                <w:bCs/>
              </w:rPr>
            </w:pPr>
            <w:r w:rsidRPr="00317DBE">
              <w:rPr>
                <w:bCs/>
              </w:rPr>
              <w:t>Minimum SSB_RP (dBm)</w:t>
            </w:r>
          </w:p>
        </w:tc>
      </w:tr>
      <w:tr w:rsidR="003A71DE" w:rsidRPr="00317DBE" w14:paraId="01BD8338" w14:textId="77777777" w:rsidTr="003A71DE">
        <w:trPr>
          <w:trHeight w:val="279"/>
          <w:jc w:val="center"/>
        </w:trPr>
        <w:tc>
          <w:tcPr>
            <w:tcW w:w="1838" w:type="dxa"/>
            <w:vAlign w:val="center"/>
          </w:tcPr>
          <w:p w14:paraId="4F716C4D" w14:textId="77777777" w:rsidR="003A71DE" w:rsidRPr="00317DBE" w:rsidRDefault="003A71DE" w:rsidP="00D84FA9">
            <w:pPr>
              <w:pStyle w:val="TAC"/>
            </w:pPr>
            <w:r w:rsidRPr="00317DBE">
              <w:t>10, 15</w:t>
            </w:r>
          </w:p>
        </w:tc>
        <w:tc>
          <w:tcPr>
            <w:tcW w:w="1843" w:type="dxa"/>
            <w:vAlign w:val="center"/>
          </w:tcPr>
          <w:p w14:paraId="4D54AECC" w14:textId="77777777" w:rsidR="003A71DE" w:rsidRPr="00317DBE" w:rsidRDefault="003A71DE" w:rsidP="00D84FA9">
            <w:pPr>
              <w:pStyle w:val="TAC"/>
              <w:rPr>
                <w:lang w:eastAsia="zh-CN"/>
              </w:rPr>
            </w:pPr>
            <w:r w:rsidRPr="00317DBE">
              <w:rPr>
                <w:lang w:eastAsia="zh-CN"/>
              </w:rPr>
              <w:t>30</w:t>
            </w:r>
          </w:p>
        </w:tc>
        <w:tc>
          <w:tcPr>
            <w:tcW w:w="2126" w:type="dxa"/>
            <w:vAlign w:val="center"/>
          </w:tcPr>
          <w:p w14:paraId="44C2A65F" w14:textId="77777777" w:rsidR="003A71DE" w:rsidRPr="00317DBE" w:rsidRDefault="003A71DE" w:rsidP="00D84FA9">
            <w:pPr>
              <w:pStyle w:val="TAC"/>
              <w:rPr>
                <w:lang w:eastAsia="zh-CN"/>
              </w:rPr>
            </w:pPr>
            <w:r w:rsidRPr="00317DBE">
              <w:rPr>
                <w:lang w:eastAsia="zh-CN"/>
              </w:rPr>
              <w:t>-4</w:t>
            </w:r>
          </w:p>
        </w:tc>
        <w:tc>
          <w:tcPr>
            <w:tcW w:w="3822" w:type="dxa"/>
          </w:tcPr>
          <w:p w14:paraId="7A755151" w14:textId="77777777" w:rsidR="003A71DE" w:rsidRPr="00317DBE" w:rsidRDefault="003A71DE" w:rsidP="00D84FA9">
            <w:pPr>
              <w:pStyle w:val="TAC"/>
            </w:pPr>
            <w:r w:rsidRPr="00317DBE">
              <w:t>-105 - 10*Log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7D6F4A3C" w14:textId="77777777" w:rsidTr="003A71DE">
        <w:trPr>
          <w:trHeight w:val="279"/>
          <w:jc w:val="center"/>
        </w:trPr>
        <w:tc>
          <w:tcPr>
            <w:tcW w:w="1838" w:type="dxa"/>
            <w:vAlign w:val="center"/>
          </w:tcPr>
          <w:p w14:paraId="5E5FB94F" w14:textId="77777777" w:rsidR="003A71DE" w:rsidRPr="00317DBE" w:rsidRDefault="003A71DE" w:rsidP="00D84FA9">
            <w:pPr>
              <w:pStyle w:val="TAC"/>
            </w:pPr>
            <w:r w:rsidRPr="00317DBE">
              <w:t>20, 25, 30, 40, 50, 60, 70, 80, 90, 100</w:t>
            </w:r>
          </w:p>
        </w:tc>
        <w:tc>
          <w:tcPr>
            <w:tcW w:w="1843" w:type="dxa"/>
            <w:vAlign w:val="center"/>
          </w:tcPr>
          <w:p w14:paraId="1954EDDC" w14:textId="77777777" w:rsidR="003A71DE" w:rsidRPr="00317DBE" w:rsidRDefault="003A71DE" w:rsidP="00D84FA9">
            <w:pPr>
              <w:pStyle w:val="TAC"/>
              <w:rPr>
                <w:lang w:eastAsia="zh-CN"/>
              </w:rPr>
            </w:pPr>
            <w:r w:rsidRPr="00317DBE">
              <w:rPr>
                <w:lang w:eastAsia="zh-CN"/>
              </w:rPr>
              <w:t>30</w:t>
            </w:r>
          </w:p>
        </w:tc>
        <w:tc>
          <w:tcPr>
            <w:tcW w:w="2126" w:type="dxa"/>
            <w:vAlign w:val="center"/>
          </w:tcPr>
          <w:p w14:paraId="6A35D973" w14:textId="77777777" w:rsidR="003A71DE" w:rsidRPr="00317DBE" w:rsidRDefault="003A71DE" w:rsidP="00D84FA9">
            <w:pPr>
              <w:pStyle w:val="TAC"/>
              <w:rPr>
                <w:lang w:eastAsia="zh-CN"/>
              </w:rPr>
            </w:pPr>
            <w:r w:rsidRPr="00317DBE">
              <w:rPr>
                <w:lang w:eastAsia="zh-CN"/>
              </w:rPr>
              <w:t>-4</w:t>
            </w:r>
          </w:p>
        </w:tc>
        <w:tc>
          <w:tcPr>
            <w:tcW w:w="3822" w:type="dxa"/>
            <w:vAlign w:val="center"/>
          </w:tcPr>
          <w:p w14:paraId="2EE40A63" w14:textId="77777777" w:rsidR="003A71DE" w:rsidRPr="00317DBE" w:rsidRDefault="003A71DE" w:rsidP="00D84FA9">
            <w:pPr>
              <w:pStyle w:val="TAC"/>
              <w:rPr>
                <w:lang w:eastAsia="zh-CN"/>
              </w:rPr>
            </w:pPr>
            <w:r w:rsidRPr="00317DBE">
              <w:rPr>
                <w:lang w:eastAsia="zh-CN"/>
              </w:rPr>
              <w:t>-99.4</w:t>
            </w:r>
            <w:r w:rsidRPr="00317DBE">
              <w:t>- 10*Log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0E8B16BD" w14:textId="77777777" w:rsidTr="003A71DE">
        <w:trPr>
          <w:trHeight w:val="279"/>
          <w:jc w:val="center"/>
        </w:trPr>
        <w:tc>
          <w:tcPr>
            <w:tcW w:w="9629" w:type="dxa"/>
            <w:gridSpan w:val="4"/>
            <w:vAlign w:val="center"/>
          </w:tcPr>
          <w:p w14:paraId="317FCA92" w14:textId="23792D28" w:rsidR="003A71DE" w:rsidRPr="00317DBE" w:rsidRDefault="003A71DE" w:rsidP="00D84FA9">
            <w:pPr>
              <w:pStyle w:val="TAN"/>
              <w:rPr>
                <w:lang w:eastAsia="zh-CN"/>
              </w:rPr>
            </w:pPr>
            <w:r w:rsidRPr="00317DBE">
              <w:t>NOTE 1:</w:t>
            </w:r>
            <w:r w:rsidR="00D84FA9" w:rsidRPr="00CC206F">
              <w:rPr>
                <w:rFonts w:eastAsia="SimSun"/>
              </w:rPr>
              <w:t xml:space="preserve"> </w:t>
            </w:r>
            <w:r w:rsidR="00D84FA9" w:rsidRPr="00CC206F">
              <w:rPr>
                <w:rFonts w:eastAsia="SimSun"/>
              </w:rPr>
              <w:tab/>
            </w:r>
            <w:r w:rsidRPr="00317DBE">
              <w:t>N</w:t>
            </w:r>
            <w:r w:rsidRPr="00317DBE">
              <w:rPr>
                <w:vertAlign w:val="subscript"/>
              </w:rPr>
              <w:t>PRB</w:t>
            </w:r>
            <w:r w:rsidRPr="00317DBE">
              <w:t xml:space="preserve"> is the number of PRBs within the IAB-IMT channel bandwidth defined in section 5.3.2.</w:t>
            </w:r>
          </w:p>
        </w:tc>
      </w:tr>
    </w:tbl>
    <w:p w14:paraId="08F40005" w14:textId="77777777" w:rsidR="003A71DE" w:rsidRPr="00317DBE" w:rsidRDefault="003A71DE" w:rsidP="003A71DE">
      <w:pPr>
        <w:rPr>
          <w:noProof/>
        </w:rPr>
      </w:pPr>
    </w:p>
    <w:p w14:paraId="13B16B81"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sidRPr="00F66DD8">
        <w:rPr>
          <w:rFonts w:ascii="Arial" w:hAnsi="Arial"/>
          <w:b/>
        </w:rPr>
        <w:t>H</w:t>
      </w:r>
      <w:r w:rsidRPr="00317DBE">
        <w:rPr>
          <w:rFonts w:ascii="Arial" w:hAnsi="Arial"/>
          <w:b/>
        </w:rPr>
        <w:t xml:space="preserve">.1.1.3-4: </w:t>
      </w:r>
      <w:r w:rsidRPr="00317DBE">
        <w:rPr>
          <w:rFonts w:ascii="Arial" w:hAnsi="Arial"/>
          <w:b/>
          <w:lang w:eastAsia="zh-CN"/>
        </w:rPr>
        <w:t>Conditions for RRC connection release with redirection for NR cell for Local Area IAB-MT and IAB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843"/>
        <w:gridCol w:w="2126"/>
        <w:gridCol w:w="3822"/>
      </w:tblGrid>
      <w:tr w:rsidR="003A71DE" w:rsidRPr="00317DBE" w14:paraId="7F1F1D8D" w14:textId="77777777" w:rsidTr="003A71DE">
        <w:trPr>
          <w:jc w:val="center"/>
        </w:trPr>
        <w:tc>
          <w:tcPr>
            <w:tcW w:w="1838" w:type="dxa"/>
            <w:vMerge w:val="restart"/>
            <w:shd w:val="clear" w:color="auto" w:fill="auto"/>
          </w:tcPr>
          <w:p w14:paraId="1875E35F" w14:textId="77777777" w:rsidR="003A71DE" w:rsidRPr="00317DBE" w:rsidRDefault="003A71DE" w:rsidP="00D84FA9">
            <w:pPr>
              <w:pStyle w:val="TAH"/>
            </w:pPr>
            <w:r w:rsidRPr="00317DBE">
              <w:t>IAB-MT channel bandwidth (MHz)</w:t>
            </w:r>
          </w:p>
        </w:tc>
        <w:tc>
          <w:tcPr>
            <w:tcW w:w="1843" w:type="dxa"/>
            <w:vMerge w:val="restart"/>
          </w:tcPr>
          <w:p w14:paraId="7DA06D21" w14:textId="77777777" w:rsidR="003A71DE" w:rsidRPr="00317DBE" w:rsidRDefault="003A71DE" w:rsidP="00D84FA9">
            <w:pPr>
              <w:pStyle w:val="TAH"/>
            </w:pPr>
            <w:r w:rsidRPr="00317DBE">
              <w:t>SSB sub-carrier spacing (kHz)</w:t>
            </w:r>
          </w:p>
        </w:tc>
        <w:tc>
          <w:tcPr>
            <w:tcW w:w="5948" w:type="dxa"/>
            <w:gridSpan w:val="2"/>
          </w:tcPr>
          <w:p w14:paraId="0E877EFB" w14:textId="77777777" w:rsidR="003A71DE" w:rsidRPr="00317DBE" w:rsidRDefault="003A71DE" w:rsidP="00D84FA9">
            <w:pPr>
              <w:pStyle w:val="TAH"/>
              <w:rPr>
                <w:bCs/>
              </w:rPr>
            </w:pPr>
            <w:r w:rsidRPr="00317DBE">
              <w:rPr>
                <w:bCs/>
              </w:rPr>
              <w:t>Side conditions</w:t>
            </w:r>
          </w:p>
        </w:tc>
      </w:tr>
      <w:tr w:rsidR="003A71DE" w:rsidRPr="00317DBE" w14:paraId="3D047700" w14:textId="77777777" w:rsidTr="003A71DE">
        <w:trPr>
          <w:jc w:val="center"/>
        </w:trPr>
        <w:tc>
          <w:tcPr>
            <w:tcW w:w="1838" w:type="dxa"/>
            <w:vMerge/>
            <w:shd w:val="clear" w:color="auto" w:fill="auto"/>
          </w:tcPr>
          <w:p w14:paraId="67BD972B" w14:textId="77777777" w:rsidR="003A71DE" w:rsidRPr="00317DBE" w:rsidRDefault="003A71DE" w:rsidP="00D84FA9">
            <w:pPr>
              <w:pStyle w:val="TAH"/>
            </w:pPr>
          </w:p>
        </w:tc>
        <w:tc>
          <w:tcPr>
            <w:tcW w:w="1843" w:type="dxa"/>
            <w:vMerge/>
          </w:tcPr>
          <w:p w14:paraId="6F5D2AA7" w14:textId="77777777" w:rsidR="003A71DE" w:rsidRPr="00317DBE" w:rsidRDefault="003A71DE" w:rsidP="00D84FA9">
            <w:pPr>
              <w:pStyle w:val="TAH"/>
            </w:pPr>
          </w:p>
        </w:tc>
        <w:tc>
          <w:tcPr>
            <w:tcW w:w="2126" w:type="dxa"/>
          </w:tcPr>
          <w:p w14:paraId="643A474B" w14:textId="77777777" w:rsidR="003A71DE" w:rsidRPr="00317DBE" w:rsidRDefault="003A71DE" w:rsidP="00D84FA9">
            <w:pPr>
              <w:pStyle w:val="TAH"/>
              <w:rPr>
                <w:bCs/>
              </w:rPr>
            </w:pPr>
            <w:r w:rsidRPr="00317DBE">
              <w:rPr>
                <w:bCs/>
              </w:rPr>
              <w:t>SSB Ês/Iot (dB)</w:t>
            </w:r>
          </w:p>
        </w:tc>
        <w:tc>
          <w:tcPr>
            <w:tcW w:w="3822" w:type="dxa"/>
          </w:tcPr>
          <w:p w14:paraId="2ACE078D" w14:textId="77777777" w:rsidR="003A71DE" w:rsidRPr="00317DBE" w:rsidRDefault="003A71DE" w:rsidP="00D84FA9">
            <w:pPr>
              <w:pStyle w:val="TAH"/>
              <w:rPr>
                <w:bCs/>
              </w:rPr>
            </w:pPr>
            <w:r w:rsidRPr="00317DBE">
              <w:rPr>
                <w:bCs/>
              </w:rPr>
              <w:t>Minimum SSB_RP (dBm)</w:t>
            </w:r>
          </w:p>
        </w:tc>
      </w:tr>
      <w:tr w:rsidR="003A71DE" w:rsidRPr="00317DBE" w14:paraId="039549A0" w14:textId="77777777" w:rsidTr="003A71DE">
        <w:trPr>
          <w:trHeight w:val="279"/>
          <w:jc w:val="center"/>
        </w:trPr>
        <w:tc>
          <w:tcPr>
            <w:tcW w:w="1838" w:type="dxa"/>
            <w:vAlign w:val="center"/>
          </w:tcPr>
          <w:p w14:paraId="6F561F7A" w14:textId="77777777" w:rsidR="003A71DE" w:rsidRPr="00317DBE" w:rsidRDefault="003A71DE" w:rsidP="00D84FA9">
            <w:pPr>
              <w:pStyle w:val="TAC"/>
            </w:pPr>
            <w:r w:rsidRPr="00317DBE">
              <w:t>10, 15</w:t>
            </w:r>
          </w:p>
        </w:tc>
        <w:tc>
          <w:tcPr>
            <w:tcW w:w="1843" w:type="dxa"/>
            <w:vAlign w:val="center"/>
          </w:tcPr>
          <w:p w14:paraId="56027B69" w14:textId="77777777" w:rsidR="003A71DE" w:rsidRPr="00317DBE" w:rsidRDefault="003A71DE" w:rsidP="00D84FA9">
            <w:pPr>
              <w:pStyle w:val="TAC"/>
              <w:rPr>
                <w:lang w:eastAsia="zh-CN"/>
              </w:rPr>
            </w:pPr>
            <w:r w:rsidRPr="00317DBE">
              <w:rPr>
                <w:lang w:eastAsia="zh-CN"/>
              </w:rPr>
              <w:t>30</w:t>
            </w:r>
          </w:p>
        </w:tc>
        <w:tc>
          <w:tcPr>
            <w:tcW w:w="2126" w:type="dxa"/>
            <w:vAlign w:val="center"/>
          </w:tcPr>
          <w:p w14:paraId="38456128" w14:textId="77777777" w:rsidR="003A71DE" w:rsidRPr="00317DBE" w:rsidRDefault="003A71DE" w:rsidP="00D84FA9">
            <w:pPr>
              <w:pStyle w:val="TAC"/>
              <w:rPr>
                <w:lang w:eastAsia="zh-CN"/>
              </w:rPr>
            </w:pPr>
            <w:r w:rsidRPr="00317DBE">
              <w:rPr>
                <w:lang w:eastAsia="zh-CN"/>
              </w:rPr>
              <w:t>-4</w:t>
            </w:r>
          </w:p>
        </w:tc>
        <w:tc>
          <w:tcPr>
            <w:tcW w:w="3822" w:type="dxa"/>
          </w:tcPr>
          <w:p w14:paraId="58AD1897" w14:textId="77777777" w:rsidR="003A71DE" w:rsidRPr="00317DBE" w:rsidRDefault="003A71DE" w:rsidP="00D84FA9">
            <w:pPr>
              <w:pStyle w:val="TAC"/>
              <w:rPr>
                <w:lang w:eastAsia="zh-CN"/>
              </w:rPr>
            </w:pPr>
            <w:r w:rsidRPr="00317DBE">
              <w:t>-97 - 10*Log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70EE9529" w14:textId="77777777" w:rsidTr="003A71DE">
        <w:trPr>
          <w:trHeight w:val="279"/>
          <w:jc w:val="center"/>
        </w:trPr>
        <w:tc>
          <w:tcPr>
            <w:tcW w:w="1838" w:type="dxa"/>
            <w:vAlign w:val="center"/>
          </w:tcPr>
          <w:p w14:paraId="113640C4" w14:textId="77777777" w:rsidR="003A71DE" w:rsidRPr="00317DBE" w:rsidRDefault="003A71DE" w:rsidP="00D84FA9">
            <w:pPr>
              <w:pStyle w:val="TAC"/>
            </w:pPr>
            <w:r w:rsidRPr="00317DBE">
              <w:t>20, 25, 30, 40, 50, 60, 70, 80, 90, 100</w:t>
            </w:r>
          </w:p>
        </w:tc>
        <w:tc>
          <w:tcPr>
            <w:tcW w:w="1843" w:type="dxa"/>
            <w:vAlign w:val="center"/>
          </w:tcPr>
          <w:p w14:paraId="695F572C" w14:textId="77777777" w:rsidR="003A71DE" w:rsidRPr="00317DBE" w:rsidRDefault="003A71DE" w:rsidP="00D84FA9">
            <w:pPr>
              <w:pStyle w:val="TAC"/>
              <w:rPr>
                <w:lang w:eastAsia="zh-CN"/>
              </w:rPr>
            </w:pPr>
            <w:r w:rsidRPr="00317DBE">
              <w:rPr>
                <w:lang w:eastAsia="zh-CN"/>
              </w:rPr>
              <w:t>30</w:t>
            </w:r>
          </w:p>
        </w:tc>
        <w:tc>
          <w:tcPr>
            <w:tcW w:w="2126" w:type="dxa"/>
            <w:vAlign w:val="center"/>
          </w:tcPr>
          <w:p w14:paraId="09A02720" w14:textId="77777777" w:rsidR="003A71DE" w:rsidRPr="00317DBE" w:rsidRDefault="003A71DE" w:rsidP="00D84FA9">
            <w:pPr>
              <w:pStyle w:val="TAC"/>
              <w:rPr>
                <w:lang w:eastAsia="zh-CN"/>
              </w:rPr>
            </w:pPr>
            <w:r w:rsidRPr="00317DBE">
              <w:rPr>
                <w:lang w:eastAsia="zh-CN"/>
              </w:rPr>
              <w:t>-4</w:t>
            </w:r>
          </w:p>
        </w:tc>
        <w:tc>
          <w:tcPr>
            <w:tcW w:w="3822" w:type="dxa"/>
            <w:vAlign w:val="center"/>
          </w:tcPr>
          <w:p w14:paraId="6009BEEE" w14:textId="77777777" w:rsidR="003A71DE" w:rsidRPr="00317DBE" w:rsidRDefault="003A71DE" w:rsidP="00D84FA9">
            <w:pPr>
              <w:pStyle w:val="TAC"/>
              <w:rPr>
                <w:lang w:eastAsia="zh-CN"/>
              </w:rPr>
            </w:pPr>
            <w:r w:rsidRPr="00317DBE">
              <w:rPr>
                <w:lang w:eastAsia="zh-CN"/>
              </w:rPr>
              <w:t>-90.5</w:t>
            </w:r>
            <w:r w:rsidRPr="00317DBE">
              <w:t>- 10*Log</w:t>
            </w:r>
            <w:r w:rsidRPr="00317DBE">
              <w:rPr>
                <w:vertAlign w:val="subscript"/>
              </w:rPr>
              <w:t>10</w:t>
            </w:r>
            <w:r w:rsidRPr="00317DBE">
              <w:t>(N</w:t>
            </w:r>
            <w:r w:rsidRPr="00317DBE">
              <w:rPr>
                <w:vertAlign w:val="subscript"/>
              </w:rPr>
              <w:t>PRB</w:t>
            </w:r>
            <w:r w:rsidRPr="00317DBE">
              <w:t xml:space="preserve"> *12) - Δ</w:t>
            </w:r>
            <w:r w:rsidRPr="00317DBE">
              <w:rPr>
                <w:vertAlign w:val="subscript"/>
              </w:rPr>
              <w:t>OTAREFSENS</w:t>
            </w:r>
          </w:p>
        </w:tc>
      </w:tr>
      <w:tr w:rsidR="003A71DE" w:rsidRPr="00317DBE" w14:paraId="438EF68D" w14:textId="77777777" w:rsidTr="003A71DE">
        <w:trPr>
          <w:trHeight w:val="279"/>
          <w:jc w:val="center"/>
        </w:trPr>
        <w:tc>
          <w:tcPr>
            <w:tcW w:w="9629" w:type="dxa"/>
            <w:gridSpan w:val="4"/>
            <w:vAlign w:val="center"/>
          </w:tcPr>
          <w:p w14:paraId="0BDD4AE5" w14:textId="45ADA40F" w:rsidR="003A71DE" w:rsidRPr="00317DBE" w:rsidRDefault="003A71DE" w:rsidP="00D84FA9">
            <w:pPr>
              <w:pStyle w:val="TAN"/>
              <w:rPr>
                <w:lang w:eastAsia="zh-CN"/>
              </w:rPr>
            </w:pPr>
            <w:r w:rsidRPr="00317DBE">
              <w:t>N</w:t>
            </w:r>
            <w:r w:rsidRPr="00D84FA9">
              <w:t>OTE 1:</w:t>
            </w:r>
            <w:r w:rsidR="00D84FA9" w:rsidRPr="00CC206F">
              <w:rPr>
                <w:rFonts w:eastAsia="SimSun"/>
              </w:rPr>
              <w:tab/>
            </w:r>
            <w:r w:rsidRPr="00D84FA9">
              <w:t>N</w:t>
            </w:r>
            <w:r w:rsidRPr="00D84FA9">
              <w:rPr>
                <w:vertAlign w:val="subscript"/>
              </w:rPr>
              <w:t>PRB</w:t>
            </w:r>
            <w:r w:rsidRPr="00D84FA9">
              <w:t xml:space="preserve"> is</w:t>
            </w:r>
            <w:r w:rsidRPr="00317DBE">
              <w:t xml:space="preserve"> the number of PRBs within the IAB-IMT channel bandwidth defined in section 5.3.2.</w:t>
            </w:r>
          </w:p>
        </w:tc>
      </w:tr>
    </w:tbl>
    <w:p w14:paraId="5E956460" w14:textId="77777777" w:rsidR="003A71DE" w:rsidRPr="00317DBE" w:rsidRDefault="003A71DE" w:rsidP="003A71DE">
      <w:pPr>
        <w:spacing w:after="120"/>
        <w:rPr>
          <w:lang w:eastAsia="zh-CN"/>
        </w:rPr>
      </w:pPr>
    </w:p>
    <w:p w14:paraId="243898F5" w14:textId="77777777" w:rsidR="003A71DE" w:rsidRPr="00317DBE" w:rsidRDefault="003A71DE" w:rsidP="003A71DE">
      <w:pPr>
        <w:keepNext/>
        <w:keepLines/>
        <w:spacing w:before="60"/>
        <w:jc w:val="center"/>
        <w:rPr>
          <w:rFonts w:ascii="Arial" w:hAnsi="Arial"/>
          <w:b/>
        </w:rPr>
      </w:pPr>
      <w:r w:rsidRPr="00317DBE">
        <w:rPr>
          <w:rFonts w:ascii="Arial" w:hAnsi="Arial"/>
          <w:b/>
        </w:rPr>
        <w:t xml:space="preserve">Table </w:t>
      </w:r>
      <w:r>
        <w:rPr>
          <w:rFonts w:ascii="Arial" w:hAnsi="Arial"/>
          <w:b/>
        </w:rPr>
        <w:t>H</w:t>
      </w:r>
      <w:r w:rsidRPr="00317DBE">
        <w:rPr>
          <w:rFonts w:ascii="Arial" w:hAnsi="Arial"/>
          <w:b/>
        </w:rPr>
        <w:t xml:space="preserve">.1.1.3-5: </w:t>
      </w:r>
      <w:r w:rsidRPr="00317DBE">
        <w:rPr>
          <w:rFonts w:ascii="Arial" w:hAnsi="Arial"/>
          <w:b/>
          <w:lang w:eastAsia="zh-CN"/>
        </w:rPr>
        <w:t>Conditions for RRC connection release with redirection for NR cell for Local Area IAB-MT and IAB Type 2-O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1701"/>
        <w:gridCol w:w="1701"/>
        <w:gridCol w:w="4531"/>
      </w:tblGrid>
      <w:tr w:rsidR="003A71DE" w:rsidRPr="00317DBE" w14:paraId="68389FD6" w14:textId="77777777" w:rsidTr="003A71DE">
        <w:trPr>
          <w:jc w:val="center"/>
        </w:trPr>
        <w:tc>
          <w:tcPr>
            <w:tcW w:w="1696" w:type="dxa"/>
            <w:vMerge w:val="restart"/>
            <w:shd w:val="clear" w:color="auto" w:fill="auto"/>
          </w:tcPr>
          <w:p w14:paraId="2A50BFEE" w14:textId="77777777" w:rsidR="003A71DE" w:rsidRPr="00317DBE" w:rsidRDefault="003A71DE" w:rsidP="00D84FA9">
            <w:pPr>
              <w:pStyle w:val="TAH"/>
            </w:pPr>
            <w:r w:rsidRPr="00317DBE">
              <w:t>IAB-MT channel bandwidth (MHz)</w:t>
            </w:r>
          </w:p>
        </w:tc>
        <w:tc>
          <w:tcPr>
            <w:tcW w:w="1701" w:type="dxa"/>
            <w:vMerge w:val="restart"/>
          </w:tcPr>
          <w:p w14:paraId="76DFC787" w14:textId="77777777" w:rsidR="003A71DE" w:rsidRPr="00317DBE" w:rsidRDefault="003A71DE" w:rsidP="00D84FA9">
            <w:pPr>
              <w:pStyle w:val="TAH"/>
            </w:pPr>
            <w:r w:rsidRPr="00317DBE">
              <w:t>SSB sub-carrier spacing (kHz)</w:t>
            </w:r>
          </w:p>
        </w:tc>
        <w:tc>
          <w:tcPr>
            <w:tcW w:w="6232" w:type="dxa"/>
            <w:gridSpan w:val="2"/>
          </w:tcPr>
          <w:p w14:paraId="01F67D7C" w14:textId="77777777" w:rsidR="003A71DE" w:rsidRPr="00317DBE" w:rsidRDefault="003A71DE" w:rsidP="00D84FA9">
            <w:pPr>
              <w:pStyle w:val="TAH"/>
              <w:rPr>
                <w:bCs/>
              </w:rPr>
            </w:pPr>
            <w:r w:rsidRPr="00317DBE">
              <w:rPr>
                <w:bCs/>
              </w:rPr>
              <w:t>Side conditions</w:t>
            </w:r>
          </w:p>
        </w:tc>
      </w:tr>
      <w:tr w:rsidR="003A71DE" w:rsidRPr="00317DBE" w14:paraId="618C1642" w14:textId="77777777" w:rsidTr="003A71DE">
        <w:trPr>
          <w:jc w:val="center"/>
        </w:trPr>
        <w:tc>
          <w:tcPr>
            <w:tcW w:w="1696" w:type="dxa"/>
            <w:vMerge/>
            <w:shd w:val="clear" w:color="auto" w:fill="auto"/>
          </w:tcPr>
          <w:p w14:paraId="5F58D1E0" w14:textId="77777777" w:rsidR="003A71DE" w:rsidRPr="00317DBE" w:rsidRDefault="003A71DE" w:rsidP="00D84FA9">
            <w:pPr>
              <w:pStyle w:val="TAH"/>
            </w:pPr>
          </w:p>
        </w:tc>
        <w:tc>
          <w:tcPr>
            <w:tcW w:w="1701" w:type="dxa"/>
            <w:vMerge/>
          </w:tcPr>
          <w:p w14:paraId="6D7855E4" w14:textId="77777777" w:rsidR="003A71DE" w:rsidRPr="00317DBE" w:rsidRDefault="003A71DE" w:rsidP="00D84FA9">
            <w:pPr>
              <w:pStyle w:val="TAH"/>
            </w:pPr>
          </w:p>
        </w:tc>
        <w:tc>
          <w:tcPr>
            <w:tcW w:w="1701" w:type="dxa"/>
          </w:tcPr>
          <w:p w14:paraId="3C83EBA9" w14:textId="77777777" w:rsidR="003A71DE" w:rsidRPr="00317DBE" w:rsidRDefault="003A71DE" w:rsidP="00D84FA9">
            <w:pPr>
              <w:pStyle w:val="TAH"/>
              <w:rPr>
                <w:bCs/>
              </w:rPr>
            </w:pPr>
            <w:r w:rsidRPr="00317DBE">
              <w:rPr>
                <w:bCs/>
              </w:rPr>
              <w:t>SSB Ês/Iot (dB)</w:t>
            </w:r>
          </w:p>
        </w:tc>
        <w:tc>
          <w:tcPr>
            <w:tcW w:w="4531" w:type="dxa"/>
          </w:tcPr>
          <w:p w14:paraId="2BF49886" w14:textId="77777777" w:rsidR="003A71DE" w:rsidRPr="00317DBE" w:rsidRDefault="003A71DE" w:rsidP="00D84FA9">
            <w:pPr>
              <w:pStyle w:val="TAH"/>
              <w:rPr>
                <w:bCs/>
              </w:rPr>
            </w:pPr>
            <w:r w:rsidRPr="00317DBE">
              <w:rPr>
                <w:bCs/>
              </w:rPr>
              <w:t>Minimum SSB_RP (dBm)</w:t>
            </w:r>
          </w:p>
        </w:tc>
      </w:tr>
      <w:tr w:rsidR="003A71DE" w:rsidRPr="007117D0" w14:paraId="2D1C9396" w14:textId="77777777" w:rsidTr="003A71DE">
        <w:trPr>
          <w:trHeight w:val="279"/>
          <w:jc w:val="center"/>
        </w:trPr>
        <w:tc>
          <w:tcPr>
            <w:tcW w:w="1696" w:type="dxa"/>
            <w:vAlign w:val="center"/>
          </w:tcPr>
          <w:p w14:paraId="563ECA0D" w14:textId="77777777" w:rsidR="003A71DE" w:rsidRPr="00317DBE" w:rsidRDefault="003A71DE" w:rsidP="00D84FA9">
            <w:pPr>
              <w:pStyle w:val="TAC"/>
            </w:pPr>
            <w:r w:rsidRPr="00317DBE">
              <w:t>50</w:t>
            </w:r>
          </w:p>
        </w:tc>
        <w:tc>
          <w:tcPr>
            <w:tcW w:w="1701" w:type="dxa"/>
            <w:vAlign w:val="center"/>
          </w:tcPr>
          <w:p w14:paraId="41DA3A07" w14:textId="77777777" w:rsidR="003A71DE" w:rsidRPr="00317DBE" w:rsidRDefault="003A71DE" w:rsidP="00D84FA9">
            <w:pPr>
              <w:pStyle w:val="TAC"/>
              <w:rPr>
                <w:lang w:eastAsia="zh-CN"/>
              </w:rPr>
            </w:pPr>
            <w:r w:rsidRPr="00317DBE">
              <w:rPr>
                <w:lang w:eastAsia="zh-CN"/>
              </w:rPr>
              <w:t>120</w:t>
            </w:r>
          </w:p>
        </w:tc>
        <w:tc>
          <w:tcPr>
            <w:tcW w:w="1701" w:type="dxa"/>
            <w:vAlign w:val="center"/>
          </w:tcPr>
          <w:p w14:paraId="6BF0E832" w14:textId="77777777" w:rsidR="003A71DE" w:rsidRPr="00317DBE" w:rsidRDefault="003A71DE" w:rsidP="00D84FA9">
            <w:pPr>
              <w:pStyle w:val="TAC"/>
              <w:rPr>
                <w:lang w:eastAsia="zh-CN"/>
              </w:rPr>
            </w:pPr>
            <w:r w:rsidRPr="00317DBE">
              <w:rPr>
                <w:lang w:eastAsia="zh-CN"/>
              </w:rPr>
              <w:t>-4</w:t>
            </w:r>
          </w:p>
        </w:tc>
        <w:tc>
          <w:tcPr>
            <w:tcW w:w="4531" w:type="dxa"/>
          </w:tcPr>
          <w:p w14:paraId="1408B536" w14:textId="77777777" w:rsidR="003A71DE" w:rsidRPr="00317DBE" w:rsidRDefault="003A71DE" w:rsidP="00D84FA9">
            <w:pPr>
              <w:pStyle w:val="TAC"/>
              <w:rPr>
                <w:lang w:val="sv-SE"/>
              </w:rPr>
            </w:pPr>
            <w:r w:rsidRPr="00317DBE">
              <w:rPr>
                <w:lang w:val="sv-SE"/>
              </w:rPr>
              <w:t>EIS</w:t>
            </w:r>
            <w:r w:rsidRPr="00317DBE">
              <w:rPr>
                <w:vertAlign w:val="subscript"/>
                <w:lang w:val="sv-SE"/>
              </w:rPr>
              <w:t xml:space="preserve">REFSENS_50M </w:t>
            </w:r>
            <w:r w:rsidRPr="00317DBE">
              <w:rPr>
                <w:lang w:val="sv-SE"/>
              </w:rPr>
              <w:t>- 10*Log</w:t>
            </w:r>
            <w:r w:rsidRPr="00317DBE">
              <w:rPr>
                <w:vertAlign w:val="subscript"/>
                <w:lang w:val="sv-SE"/>
              </w:rPr>
              <w:t>10</w:t>
            </w:r>
            <w:r w:rsidRPr="00317DBE">
              <w:rPr>
                <w:lang w:val="sv-SE"/>
              </w:rPr>
              <w:t>(N</w:t>
            </w:r>
            <w:r w:rsidRPr="00317DBE">
              <w:rPr>
                <w:vertAlign w:val="subscript"/>
                <w:lang w:val="sv-SE"/>
              </w:rPr>
              <w:t>PRB</w:t>
            </w:r>
            <w:r w:rsidRPr="00317DBE">
              <w:rPr>
                <w:lang w:val="sv-SE"/>
              </w:rPr>
              <w:t xml:space="preserve"> *12) + </w:t>
            </w:r>
            <w:r w:rsidRPr="00317DBE">
              <w:t>Δ</w:t>
            </w:r>
            <w:r w:rsidRPr="00317DBE">
              <w:rPr>
                <w:vertAlign w:val="subscript"/>
                <w:lang w:val="sv-SE"/>
              </w:rPr>
              <w:t>FR2_REFSENS</w:t>
            </w:r>
            <w:r w:rsidRPr="00317DBE">
              <w:rPr>
                <w:lang w:val="sv-SE"/>
              </w:rPr>
              <w:t xml:space="preserve"> - 3</w:t>
            </w:r>
          </w:p>
        </w:tc>
      </w:tr>
      <w:tr w:rsidR="003A71DE" w:rsidRPr="007117D0" w14:paraId="2FED69DE" w14:textId="77777777" w:rsidTr="003A71DE">
        <w:trPr>
          <w:trHeight w:val="279"/>
          <w:jc w:val="center"/>
        </w:trPr>
        <w:tc>
          <w:tcPr>
            <w:tcW w:w="1696" w:type="dxa"/>
            <w:vAlign w:val="center"/>
          </w:tcPr>
          <w:p w14:paraId="3C56B975" w14:textId="77777777" w:rsidR="003A71DE" w:rsidRPr="00317DBE" w:rsidRDefault="003A71DE" w:rsidP="00D84FA9">
            <w:pPr>
              <w:pStyle w:val="TAC"/>
            </w:pPr>
            <w:r w:rsidRPr="00317DBE">
              <w:t>100, 200, 400</w:t>
            </w:r>
          </w:p>
        </w:tc>
        <w:tc>
          <w:tcPr>
            <w:tcW w:w="1701" w:type="dxa"/>
            <w:vAlign w:val="center"/>
          </w:tcPr>
          <w:p w14:paraId="6615A0C8" w14:textId="77777777" w:rsidR="003A71DE" w:rsidRPr="00317DBE" w:rsidRDefault="003A71DE" w:rsidP="00D84FA9">
            <w:pPr>
              <w:pStyle w:val="TAC"/>
              <w:rPr>
                <w:lang w:eastAsia="zh-CN"/>
              </w:rPr>
            </w:pPr>
            <w:r w:rsidRPr="00317DBE">
              <w:rPr>
                <w:lang w:eastAsia="zh-CN"/>
              </w:rPr>
              <w:t>120</w:t>
            </w:r>
          </w:p>
        </w:tc>
        <w:tc>
          <w:tcPr>
            <w:tcW w:w="1701" w:type="dxa"/>
            <w:vAlign w:val="center"/>
          </w:tcPr>
          <w:p w14:paraId="66C60C58" w14:textId="77777777" w:rsidR="003A71DE" w:rsidRPr="00317DBE" w:rsidRDefault="003A71DE" w:rsidP="00D84FA9">
            <w:pPr>
              <w:pStyle w:val="TAC"/>
              <w:rPr>
                <w:lang w:eastAsia="zh-CN"/>
              </w:rPr>
            </w:pPr>
            <w:r w:rsidRPr="00317DBE">
              <w:rPr>
                <w:lang w:eastAsia="zh-CN"/>
              </w:rPr>
              <w:t>-4</w:t>
            </w:r>
          </w:p>
        </w:tc>
        <w:tc>
          <w:tcPr>
            <w:tcW w:w="4531" w:type="dxa"/>
            <w:vAlign w:val="center"/>
          </w:tcPr>
          <w:p w14:paraId="56D47731" w14:textId="77777777" w:rsidR="003A71DE" w:rsidRPr="00317DBE" w:rsidRDefault="003A71DE" w:rsidP="00D84FA9">
            <w:pPr>
              <w:pStyle w:val="TAC"/>
              <w:rPr>
                <w:lang w:val="sv-SE" w:eastAsia="zh-CN"/>
              </w:rPr>
            </w:pPr>
            <w:r w:rsidRPr="00317DBE">
              <w:rPr>
                <w:lang w:val="sv-SE"/>
              </w:rPr>
              <w:t>EIS</w:t>
            </w:r>
            <w:r w:rsidRPr="00317DBE">
              <w:rPr>
                <w:vertAlign w:val="subscript"/>
                <w:lang w:val="sv-SE"/>
              </w:rPr>
              <w:t xml:space="preserve">REFSENS_50M </w:t>
            </w:r>
            <w:r w:rsidRPr="00317DBE">
              <w:rPr>
                <w:lang w:val="sv-SE"/>
              </w:rPr>
              <w:t>- 10*Log</w:t>
            </w:r>
            <w:r w:rsidRPr="00317DBE">
              <w:rPr>
                <w:vertAlign w:val="subscript"/>
                <w:lang w:val="sv-SE"/>
              </w:rPr>
              <w:t>10</w:t>
            </w:r>
            <w:r w:rsidRPr="00317DBE">
              <w:rPr>
                <w:lang w:val="sv-SE"/>
              </w:rPr>
              <w:t>(N</w:t>
            </w:r>
            <w:r w:rsidRPr="00317DBE">
              <w:rPr>
                <w:vertAlign w:val="subscript"/>
                <w:lang w:val="sv-SE"/>
              </w:rPr>
              <w:t>PRB</w:t>
            </w:r>
            <w:r w:rsidRPr="00317DBE">
              <w:rPr>
                <w:lang w:val="sv-SE"/>
              </w:rPr>
              <w:t xml:space="preserve"> *12) + </w:t>
            </w:r>
            <w:r w:rsidRPr="00317DBE">
              <w:t>Δ</w:t>
            </w:r>
            <w:r w:rsidRPr="00317DBE">
              <w:rPr>
                <w:vertAlign w:val="subscript"/>
                <w:lang w:val="sv-SE"/>
              </w:rPr>
              <w:t>FR2_REFSENS</w:t>
            </w:r>
          </w:p>
        </w:tc>
      </w:tr>
      <w:tr w:rsidR="003A71DE" w:rsidRPr="00317DBE" w14:paraId="03D4E34E" w14:textId="77777777" w:rsidTr="003A71DE">
        <w:trPr>
          <w:trHeight w:val="279"/>
          <w:jc w:val="center"/>
        </w:trPr>
        <w:tc>
          <w:tcPr>
            <w:tcW w:w="9629" w:type="dxa"/>
            <w:gridSpan w:val="4"/>
            <w:vAlign w:val="center"/>
          </w:tcPr>
          <w:p w14:paraId="42034609" w14:textId="7BF7BB37" w:rsidR="003A71DE" w:rsidRPr="00317DBE" w:rsidRDefault="003A71DE" w:rsidP="00D84FA9">
            <w:pPr>
              <w:pStyle w:val="TAN"/>
            </w:pPr>
            <w:r w:rsidRPr="00317DBE">
              <w:t>NOTE 1:</w:t>
            </w:r>
            <w:r w:rsidR="00D84FA9" w:rsidRPr="00CC206F">
              <w:rPr>
                <w:rFonts w:eastAsia="SimSun"/>
              </w:rPr>
              <w:tab/>
            </w:r>
            <w:r w:rsidRPr="00317DBE">
              <w:t>N</w:t>
            </w:r>
            <w:r w:rsidRPr="00317DBE">
              <w:rPr>
                <w:vertAlign w:val="subscript"/>
              </w:rPr>
              <w:t>PRB</w:t>
            </w:r>
            <w:r w:rsidRPr="00317DBE">
              <w:t xml:space="preserve"> is the number of PRBs within the IAB-IMT channel bandwidth defined in section 5.3.2.</w:t>
            </w:r>
          </w:p>
          <w:p w14:paraId="12A29FB0" w14:textId="5A8A13E7" w:rsidR="003A71DE" w:rsidRPr="00317DBE" w:rsidRDefault="003A71DE" w:rsidP="00D84FA9">
            <w:pPr>
              <w:pStyle w:val="TAN"/>
              <w:rPr>
                <w:lang w:eastAsia="zh-CN"/>
              </w:rPr>
            </w:pPr>
            <w:r w:rsidRPr="00317DBE">
              <w:t>NOTE 2:</w:t>
            </w:r>
            <w:r w:rsidR="00D84FA9" w:rsidRPr="00CC206F">
              <w:rPr>
                <w:rFonts w:eastAsia="SimSun"/>
              </w:rPr>
              <w:tab/>
            </w:r>
            <w:r w:rsidRPr="00317DBE">
              <w:t>EIS</w:t>
            </w:r>
            <w:r w:rsidRPr="00317DBE">
              <w:rPr>
                <w:vertAlign w:val="subscript"/>
              </w:rPr>
              <w:t>REFSENS_50M</w:t>
            </w:r>
            <w:r w:rsidRPr="00317DBE">
              <w:t xml:space="preserve"> for wide area IAB-MT and local area IAB-MT is defined in section 10.3.3.3.</w:t>
            </w:r>
          </w:p>
        </w:tc>
      </w:tr>
    </w:tbl>
    <w:p w14:paraId="1920DBF0" w14:textId="77777777" w:rsidR="003A71DE" w:rsidRPr="00317DBE" w:rsidRDefault="003A71DE" w:rsidP="003A71DE">
      <w:pPr>
        <w:rPr>
          <w:noProof/>
        </w:rPr>
      </w:pPr>
    </w:p>
    <w:p w14:paraId="5193B63D" w14:textId="6C50F9B8" w:rsidR="00241417" w:rsidRDefault="00241417" w:rsidP="00241417">
      <w:pPr>
        <w:pStyle w:val="Heading8"/>
        <w:rPr>
          <w:lang w:val="fr-FR"/>
        </w:rPr>
      </w:pPr>
      <w:bookmarkStart w:id="10431" w:name="_Toc74583699"/>
      <w:bookmarkStart w:id="10432" w:name="_Toc76542512"/>
      <w:bookmarkStart w:id="10433" w:name="_Toc82450494"/>
      <w:bookmarkStart w:id="10434" w:name="_Toc82451143"/>
      <w:bookmarkStart w:id="10435" w:name="_Toc89949532"/>
      <w:bookmarkStart w:id="10436" w:name="_Toc98755921"/>
      <w:bookmarkStart w:id="10437" w:name="_Toc98763513"/>
      <w:bookmarkStart w:id="10438" w:name="_Toc106184442"/>
      <w:r>
        <w:t xml:space="preserve">Annex </w:t>
      </w:r>
      <w:r w:rsidR="003A71DE">
        <w:t>I</w:t>
      </w:r>
      <w:r>
        <w:t xml:space="preserve"> (</w:t>
      </w:r>
      <w:r w:rsidR="00C977C0">
        <w:rPr>
          <w:lang w:val="fr-FR"/>
        </w:rPr>
        <w:t>n</w:t>
      </w:r>
      <w:r>
        <w:rPr>
          <w:lang w:val="fr-FR"/>
        </w:rPr>
        <w:t>ormative</w:t>
      </w:r>
      <w:r>
        <w:t>):</w:t>
      </w:r>
      <w:r>
        <w:rPr>
          <w:lang w:eastAsia="en-CA"/>
        </w:rPr>
        <w:t xml:space="preserve"> </w:t>
      </w:r>
      <w:r>
        <w:rPr>
          <w:lang w:eastAsia="en-CA"/>
        </w:rPr>
        <w:br/>
      </w:r>
      <w:r>
        <w:rPr>
          <w:lang w:val="fr-FR"/>
        </w:rPr>
        <w:t>Propagation conditions</w:t>
      </w:r>
      <w:bookmarkEnd w:id="10431"/>
      <w:bookmarkEnd w:id="10432"/>
      <w:bookmarkEnd w:id="10433"/>
      <w:bookmarkEnd w:id="10434"/>
      <w:bookmarkEnd w:id="10435"/>
      <w:bookmarkEnd w:id="10436"/>
      <w:bookmarkEnd w:id="10437"/>
      <w:bookmarkEnd w:id="10438"/>
    </w:p>
    <w:p w14:paraId="46979864" w14:textId="77777777" w:rsidR="00C977C0" w:rsidRPr="00633E6D" w:rsidRDefault="00C977C0" w:rsidP="00C977C0"/>
    <w:p w14:paraId="40BE0BC5" w14:textId="77777777" w:rsidR="00C977C0" w:rsidRPr="00EC08C8" w:rsidRDefault="00C977C0" w:rsidP="00C977C0">
      <w:pPr>
        <w:pStyle w:val="Heading2"/>
      </w:pPr>
      <w:bookmarkStart w:id="10439" w:name="_Toc75276417"/>
      <w:bookmarkStart w:id="10440" w:name="_Toc75275907"/>
      <w:bookmarkStart w:id="10441" w:name="_Toc75260364"/>
      <w:bookmarkStart w:id="10442" w:name="_Toc73963186"/>
      <w:bookmarkStart w:id="10443" w:name="_Toc82450495"/>
      <w:bookmarkStart w:id="10444" w:name="_Toc82451144"/>
      <w:bookmarkStart w:id="10445" w:name="_Toc89949533"/>
      <w:bookmarkStart w:id="10446" w:name="_Toc98755922"/>
      <w:bookmarkStart w:id="10447" w:name="_Toc98763514"/>
      <w:bookmarkStart w:id="10448" w:name="_Toc106184443"/>
      <w:r>
        <w:t>I</w:t>
      </w:r>
      <w:r w:rsidRPr="00EC08C8">
        <w:t>.1</w:t>
      </w:r>
      <w:r w:rsidRPr="00EC08C8">
        <w:tab/>
      </w:r>
      <w:r w:rsidRPr="00EC08C8">
        <w:tab/>
        <w:t>Static propagation condition</w:t>
      </w:r>
      <w:bookmarkEnd w:id="10439"/>
      <w:bookmarkEnd w:id="10440"/>
      <w:bookmarkEnd w:id="10441"/>
      <w:bookmarkEnd w:id="10442"/>
      <w:bookmarkEnd w:id="10443"/>
      <w:bookmarkEnd w:id="10444"/>
      <w:bookmarkEnd w:id="10445"/>
      <w:bookmarkEnd w:id="10446"/>
      <w:bookmarkEnd w:id="10447"/>
      <w:bookmarkEnd w:id="10448"/>
    </w:p>
    <w:p w14:paraId="55D65D6E" w14:textId="77777777" w:rsidR="00C977C0" w:rsidRPr="00E42255" w:rsidRDefault="00C977C0" w:rsidP="00C977C0">
      <w:pPr>
        <w:rPr>
          <w:rFonts w:eastAsia="Calibri"/>
        </w:rPr>
      </w:pPr>
      <w:r w:rsidRPr="00E42255">
        <w:rPr>
          <w:rFonts w:eastAsia="Calibri"/>
        </w:rPr>
        <w:t>The propagation for the static performance measurement is an Additive White Gaussian Noise (AWGN) environment. No fading or multi-paths exist for this propagation model.</w:t>
      </w:r>
    </w:p>
    <w:p w14:paraId="1BCB2F23" w14:textId="77777777" w:rsidR="00C977C0" w:rsidRPr="00E42255" w:rsidRDefault="00C977C0" w:rsidP="00C977C0">
      <w:pPr>
        <w:pStyle w:val="Heading3"/>
      </w:pPr>
      <w:bookmarkStart w:id="10449" w:name="_Toc75276418"/>
      <w:bookmarkStart w:id="10450" w:name="_Toc75275908"/>
      <w:bookmarkStart w:id="10451" w:name="_Toc75260365"/>
      <w:bookmarkStart w:id="10452" w:name="_Toc73963187"/>
      <w:bookmarkStart w:id="10453" w:name="_Toc82450496"/>
      <w:bookmarkStart w:id="10454" w:name="_Toc82451145"/>
      <w:bookmarkStart w:id="10455" w:name="_Toc89949534"/>
      <w:bookmarkStart w:id="10456" w:name="_Toc98755923"/>
      <w:bookmarkStart w:id="10457" w:name="_Toc98763515"/>
      <w:bookmarkStart w:id="10458" w:name="_Toc106184444"/>
      <w:r>
        <w:t>I.</w:t>
      </w:r>
      <w:r w:rsidRPr="00E42255">
        <w:t>1.1</w:t>
      </w:r>
      <w:r w:rsidRPr="00E42255">
        <w:tab/>
        <w:t>IAB-MT receiver with 2RX</w:t>
      </w:r>
      <w:bookmarkEnd w:id="10449"/>
      <w:bookmarkEnd w:id="10450"/>
      <w:bookmarkEnd w:id="10451"/>
      <w:bookmarkEnd w:id="10452"/>
      <w:bookmarkEnd w:id="10453"/>
      <w:bookmarkEnd w:id="10454"/>
      <w:bookmarkEnd w:id="10455"/>
      <w:bookmarkEnd w:id="10456"/>
      <w:bookmarkEnd w:id="10457"/>
      <w:bookmarkEnd w:id="10458"/>
    </w:p>
    <w:p w14:paraId="5CDC13F3" w14:textId="77777777" w:rsidR="00C977C0" w:rsidRPr="00E42255" w:rsidRDefault="00C977C0" w:rsidP="00C977C0">
      <w:pPr>
        <w:rPr>
          <w:rFonts w:eastAsia="DengXian"/>
        </w:rPr>
      </w:pPr>
      <w:r w:rsidRPr="00E42255">
        <w:rPr>
          <w:rFonts w:eastAsia="DengXian"/>
        </w:rPr>
        <w:t>For 1 port transmission the channel matrix is defined in the frequency domain by:</w:t>
      </w:r>
    </w:p>
    <w:p w14:paraId="01F64100" w14:textId="77777777" w:rsidR="00C977C0" w:rsidRPr="00E42255" w:rsidRDefault="00C977C0" w:rsidP="00C977C0">
      <w:pPr>
        <w:pStyle w:val="EQ"/>
        <w:jc w:val="center"/>
        <w:rPr>
          <w:rFonts w:eastAsia="DengXian"/>
        </w:rPr>
      </w:pPr>
      <w:r w:rsidRPr="00F01908">
        <w:rPr>
          <w:rFonts w:eastAsia="DengXian"/>
          <w:position w:val="-30"/>
          <w:lang w:val="en-US" w:eastAsia="zh-CN"/>
        </w:rPr>
        <w:drawing>
          <wp:inline distT="0" distB="0" distL="0" distR="0" wp14:anchorId="7785ECB0" wp14:editId="67D61D69">
            <wp:extent cx="467995" cy="409575"/>
            <wp:effectExtent l="0" t="0" r="8255" b="9525"/>
            <wp:docPr id="125"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467995" cy="409575"/>
                    </a:xfrm>
                    <a:prstGeom prst="rect">
                      <a:avLst/>
                    </a:prstGeom>
                    <a:noFill/>
                    <a:ln>
                      <a:noFill/>
                    </a:ln>
                  </pic:spPr>
                </pic:pic>
              </a:graphicData>
            </a:graphic>
          </wp:inline>
        </w:drawing>
      </w:r>
      <w:r w:rsidRPr="00E42255">
        <w:rPr>
          <w:rFonts w:eastAsia="DengXian"/>
        </w:rPr>
        <w:t>.</w:t>
      </w:r>
    </w:p>
    <w:p w14:paraId="5F2849CE" w14:textId="77777777" w:rsidR="00C977C0" w:rsidRPr="00E42255" w:rsidRDefault="00C977C0" w:rsidP="00C977C0">
      <w:pPr>
        <w:rPr>
          <w:rFonts w:eastAsia="DengXian"/>
        </w:rPr>
      </w:pPr>
      <w:r w:rsidRPr="00E42255">
        <w:rPr>
          <w:rFonts w:eastAsia="DengXian"/>
        </w:rPr>
        <w:t>For 2 port transmission the channel matrix is defined in the frequency domain by:</w:t>
      </w:r>
    </w:p>
    <w:p w14:paraId="27A45582" w14:textId="77777777" w:rsidR="00C977C0" w:rsidRPr="00E42255" w:rsidRDefault="00C977C0" w:rsidP="00C977C0">
      <w:pPr>
        <w:pStyle w:val="EQ"/>
        <w:jc w:val="center"/>
        <w:rPr>
          <w:rFonts w:eastAsia="DengXian"/>
        </w:rPr>
      </w:pPr>
      <w:r w:rsidRPr="00F7264E">
        <w:rPr>
          <w:rFonts w:eastAsia="DengXian"/>
          <w:lang w:val="en-US" w:eastAsia="zh-CN"/>
        </w:rPr>
        <w:drawing>
          <wp:inline distT="0" distB="0" distL="0" distR="0" wp14:anchorId="1C33408E" wp14:editId="75404147">
            <wp:extent cx="753745" cy="409575"/>
            <wp:effectExtent l="0" t="0" r="8255" b="9525"/>
            <wp:docPr id="126"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753745" cy="409575"/>
                    </a:xfrm>
                    <a:prstGeom prst="rect">
                      <a:avLst/>
                    </a:prstGeom>
                    <a:noFill/>
                    <a:ln>
                      <a:noFill/>
                    </a:ln>
                  </pic:spPr>
                </pic:pic>
              </a:graphicData>
            </a:graphic>
          </wp:inline>
        </w:drawing>
      </w:r>
      <w:r w:rsidRPr="00E42255">
        <w:rPr>
          <w:rFonts w:eastAsia="DengXian"/>
        </w:rPr>
        <w:t>.</w:t>
      </w:r>
    </w:p>
    <w:p w14:paraId="66711565" w14:textId="77777777" w:rsidR="00C977C0" w:rsidRPr="00E42255" w:rsidRDefault="00C977C0" w:rsidP="00C977C0">
      <w:pPr>
        <w:rPr>
          <w:rFonts w:eastAsia="DengXian"/>
        </w:rPr>
      </w:pPr>
      <w:r w:rsidRPr="00E42255">
        <w:rPr>
          <w:rFonts w:eastAsia="DengXian"/>
        </w:rPr>
        <w:t>For 4 port transmission the channel matrix is defined in the frequency domain by:</w:t>
      </w:r>
    </w:p>
    <w:p w14:paraId="1B4EB43C" w14:textId="77777777" w:rsidR="00C977C0" w:rsidRPr="00E42255" w:rsidRDefault="00C977C0" w:rsidP="00C977C0">
      <w:pPr>
        <w:pStyle w:val="EQ"/>
        <w:jc w:val="center"/>
        <w:rPr>
          <w:rFonts w:eastAsia="DengXian"/>
          <w:lang w:val="fr-FR"/>
        </w:rPr>
      </w:pPr>
      <w:r w:rsidRPr="00F7264E">
        <w:rPr>
          <w:rFonts w:eastAsia="DengXian"/>
          <w:lang w:val="en-US" w:eastAsia="zh-CN"/>
        </w:rPr>
        <w:lastRenderedPageBreak/>
        <w:drawing>
          <wp:inline distT="0" distB="0" distL="0" distR="0" wp14:anchorId="3D153BC0" wp14:editId="72A2116F">
            <wp:extent cx="936625" cy="409575"/>
            <wp:effectExtent l="0" t="0" r="0" b="9525"/>
            <wp:docPr id="127"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936625" cy="409575"/>
                    </a:xfrm>
                    <a:prstGeom prst="rect">
                      <a:avLst/>
                    </a:prstGeom>
                    <a:noFill/>
                    <a:ln>
                      <a:noFill/>
                    </a:ln>
                  </pic:spPr>
                </pic:pic>
              </a:graphicData>
            </a:graphic>
          </wp:inline>
        </w:drawing>
      </w:r>
    </w:p>
    <w:p w14:paraId="356534E5" w14:textId="77777777" w:rsidR="00C977C0" w:rsidRPr="00E42255" w:rsidRDefault="00C977C0" w:rsidP="00C977C0">
      <w:pPr>
        <w:rPr>
          <w:rFonts w:eastAsia="DengXian"/>
        </w:rPr>
      </w:pPr>
      <w:r w:rsidRPr="00E42255">
        <w:rPr>
          <w:rFonts w:eastAsia="DengXian"/>
        </w:rPr>
        <w:t>For 8 port transmission the channel matrix is defined in the frequency domain by:</w:t>
      </w:r>
    </w:p>
    <w:p w14:paraId="06AAF988" w14:textId="77777777" w:rsidR="00C977C0" w:rsidRPr="00E42255" w:rsidRDefault="00C977C0" w:rsidP="00C977C0">
      <w:pPr>
        <w:pStyle w:val="EQ"/>
        <w:jc w:val="center"/>
        <w:rPr>
          <w:rFonts w:eastAsia="DengXian"/>
          <w:lang w:val="fr-FR"/>
        </w:rPr>
      </w:pPr>
      <w:r w:rsidRPr="00F7264E">
        <w:rPr>
          <w:rFonts w:eastAsia="DengXian"/>
          <w:lang w:val="en-US" w:eastAsia="zh-CN"/>
        </w:rPr>
        <w:drawing>
          <wp:inline distT="0" distB="0" distL="0" distR="0" wp14:anchorId="4E83C39D" wp14:editId="2FF43447">
            <wp:extent cx="1470660" cy="409575"/>
            <wp:effectExtent l="0" t="0" r="0" b="9525"/>
            <wp:docPr id="128"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1470660" cy="409575"/>
                    </a:xfrm>
                    <a:prstGeom prst="rect">
                      <a:avLst/>
                    </a:prstGeom>
                    <a:noFill/>
                    <a:ln>
                      <a:noFill/>
                    </a:ln>
                  </pic:spPr>
                </pic:pic>
              </a:graphicData>
            </a:graphic>
          </wp:inline>
        </w:drawing>
      </w:r>
    </w:p>
    <w:p w14:paraId="68337CB1" w14:textId="77777777" w:rsidR="00C977C0" w:rsidRPr="00E42255" w:rsidRDefault="00C977C0" w:rsidP="00C977C0">
      <w:pPr>
        <w:rPr>
          <w:rFonts w:eastAsia="DengXian"/>
        </w:rPr>
      </w:pPr>
    </w:p>
    <w:p w14:paraId="1A438B8A" w14:textId="77777777" w:rsidR="00C977C0" w:rsidRPr="00E42255" w:rsidRDefault="00C977C0" w:rsidP="00C977C0">
      <w:pPr>
        <w:pStyle w:val="Heading2"/>
      </w:pPr>
      <w:bookmarkStart w:id="10459" w:name="_Toc75276419"/>
      <w:bookmarkStart w:id="10460" w:name="_Toc75275909"/>
      <w:bookmarkStart w:id="10461" w:name="_Toc75260366"/>
      <w:bookmarkStart w:id="10462" w:name="_Toc73963188"/>
      <w:bookmarkStart w:id="10463" w:name="_Toc82450497"/>
      <w:bookmarkStart w:id="10464" w:name="_Toc82451146"/>
      <w:bookmarkStart w:id="10465" w:name="_Toc89949535"/>
      <w:bookmarkStart w:id="10466" w:name="_Toc98755924"/>
      <w:bookmarkStart w:id="10467" w:name="_Toc98763516"/>
      <w:bookmarkStart w:id="10468" w:name="_Toc106184445"/>
      <w:r>
        <w:t>I</w:t>
      </w:r>
      <w:r w:rsidRPr="00E42255">
        <w:t>.2</w:t>
      </w:r>
      <w:r>
        <w:tab/>
      </w:r>
      <w:r w:rsidRPr="00E42255">
        <w:t>Multi-path fading propagation conditions</w:t>
      </w:r>
      <w:bookmarkEnd w:id="10459"/>
      <w:bookmarkEnd w:id="10460"/>
      <w:bookmarkEnd w:id="10461"/>
      <w:bookmarkEnd w:id="10462"/>
      <w:bookmarkEnd w:id="10463"/>
      <w:bookmarkEnd w:id="10464"/>
      <w:bookmarkEnd w:id="10465"/>
      <w:bookmarkEnd w:id="10466"/>
      <w:bookmarkEnd w:id="10467"/>
      <w:bookmarkEnd w:id="10468"/>
    </w:p>
    <w:p w14:paraId="2C4CDC90" w14:textId="77777777" w:rsidR="00C977C0" w:rsidRPr="00E42255" w:rsidRDefault="00C977C0" w:rsidP="00C977C0">
      <w:pPr>
        <w:pStyle w:val="Heading3"/>
      </w:pPr>
      <w:bookmarkStart w:id="10469" w:name="_Toc75276420"/>
      <w:bookmarkStart w:id="10470" w:name="_Toc75275910"/>
      <w:bookmarkStart w:id="10471" w:name="_Toc82450498"/>
      <w:bookmarkStart w:id="10472" w:name="_Toc82451147"/>
      <w:bookmarkStart w:id="10473" w:name="_Toc89949536"/>
      <w:bookmarkStart w:id="10474" w:name="_Toc98755925"/>
      <w:bookmarkStart w:id="10475" w:name="_Toc98763517"/>
      <w:bookmarkStart w:id="10476" w:name="_Toc106184446"/>
      <w:r>
        <w:t>I</w:t>
      </w:r>
      <w:r w:rsidRPr="00E42255">
        <w:t>.2.1</w:t>
      </w:r>
      <w:r w:rsidRPr="00E42255">
        <w:tab/>
        <w:t>General</w:t>
      </w:r>
      <w:bookmarkEnd w:id="10469"/>
      <w:bookmarkEnd w:id="10470"/>
      <w:bookmarkEnd w:id="10471"/>
      <w:bookmarkEnd w:id="10472"/>
      <w:bookmarkEnd w:id="10473"/>
      <w:bookmarkEnd w:id="10474"/>
      <w:bookmarkEnd w:id="10475"/>
      <w:bookmarkEnd w:id="10476"/>
    </w:p>
    <w:p w14:paraId="1BB65954" w14:textId="77777777" w:rsidR="00C977C0" w:rsidRPr="00E42255" w:rsidRDefault="00C977C0" w:rsidP="00C977C0">
      <w:pPr>
        <w:rPr>
          <w:rFonts w:eastAsia="DengXian"/>
          <w:snapToGrid w:val="0"/>
        </w:rPr>
      </w:pPr>
      <w:r w:rsidRPr="00E42255">
        <w:rPr>
          <w:rFonts w:eastAsia="DengXian"/>
          <w:snapToGrid w:val="0"/>
        </w:rPr>
        <w:t>The multipath propagation conditions consist of several parts:</w:t>
      </w:r>
    </w:p>
    <w:p w14:paraId="3D8DBD43" w14:textId="77777777" w:rsidR="00C977C0" w:rsidRPr="00E42255" w:rsidRDefault="00C977C0" w:rsidP="00C977C0">
      <w:pPr>
        <w:ind w:left="568" w:hanging="284"/>
        <w:rPr>
          <w:rFonts w:eastAsia="DengXian"/>
          <w:snapToGrid w:val="0"/>
          <w:lang w:val="fr-FR"/>
        </w:rPr>
      </w:pPr>
      <w:r w:rsidRPr="00E42255">
        <w:rPr>
          <w:rFonts w:eastAsia="DengXian"/>
          <w:snapToGrid w:val="0"/>
          <w:lang w:val="fr-FR"/>
        </w:rPr>
        <w:t>-</w:t>
      </w:r>
      <w:r w:rsidRPr="00E42255">
        <w:rPr>
          <w:rFonts w:eastAsia="DengXian"/>
          <w:snapToGrid w:val="0"/>
          <w:lang w:val="fr-FR"/>
        </w:rPr>
        <w:tab/>
        <w:t>A delay profile in the form of a "tapped delay-line", characterized by a number of taps at fixed positions on a sampling grid. The profile can be further characterized by the r.m.s. delay spread and the maximum delay spanned by the taps.</w:t>
      </w:r>
    </w:p>
    <w:p w14:paraId="01A293B4" w14:textId="77777777" w:rsidR="00C977C0" w:rsidRPr="00E42255" w:rsidRDefault="00C977C0" w:rsidP="00C977C0">
      <w:pPr>
        <w:ind w:left="568" w:hanging="284"/>
        <w:rPr>
          <w:rFonts w:eastAsia="DengXian"/>
          <w:snapToGrid w:val="0"/>
          <w:lang w:val="fr-FR"/>
        </w:rPr>
      </w:pPr>
      <w:r w:rsidRPr="00E42255">
        <w:rPr>
          <w:rFonts w:eastAsia="DengXian"/>
          <w:snapToGrid w:val="0"/>
          <w:lang w:val="fr-FR"/>
        </w:rPr>
        <w:t>-</w:t>
      </w:r>
      <w:r w:rsidRPr="00E42255">
        <w:rPr>
          <w:rFonts w:eastAsia="DengXian"/>
          <w:snapToGrid w:val="0"/>
          <w:lang w:val="fr-FR"/>
        </w:rPr>
        <w:tab/>
        <w:t>A combination of channel model parameters that include the Delay profile and the Doppler spectrum that is characterized by a classical spectrum shape and a maximum Doppler frequency.</w:t>
      </w:r>
    </w:p>
    <w:p w14:paraId="55090421" w14:textId="77777777" w:rsidR="00C977C0" w:rsidRPr="00E42255" w:rsidRDefault="00C977C0" w:rsidP="00C977C0">
      <w:pPr>
        <w:ind w:left="568" w:hanging="284"/>
        <w:rPr>
          <w:rFonts w:eastAsia="DengXian"/>
          <w:snapToGrid w:val="0"/>
          <w:lang w:val="fr-FR"/>
        </w:rPr>
      </w:pPr>
      <w:r w:rsidRPr="00E42255">
        <w:rPr>
          <w:rFonts w:eastAsia="DengXian"/>
          <w:snapToGrid w:val="0"/>
          <w:lang w:val="fr-FR"/>
        </w:rPr>
        <w:t>-</w:t>
      </w:r>
      <w:r w:rsidRPr="00E42255">
        <w:rPr>
          <w:rFonts w:eastAsia="DengXian"/>
          <w:snapToGrid w:val="0"/>
          <w:lang w:val="fr-FR"/>
        </w:rPr>
        <w:tab/>
        <w:t>Different models are used for FR1 (410 MHz - 7.125 GHz) and FR2 (24.25 GHz – 52.6 GHz).</w:t>
      </w:r>
    </w:p>
    <w:p w14:paraId="55F0587B" w14:textId="77777777" w:rsidR="00C977C0" w:rsidRPr="00E42255" w:rsidRDefault="00C977C0" w:rsidP="00C977C0">
      <w:pPr>
        <w:pStyle w:val="Heading3"/>
      </w:pPr>
      <w:bookmarkStart w:id="10477" w:name="_Toc75276421"/>
      <w:bookmarkStart w:id="10478" w:name="_Toc75275911"/>
      <w:bookmarkStart w:id="10479" w:name="_Toc75260367"/>
      <w:bookmarkStart w:id="10480" w:name="_Toc73963189"/>
      <w:bookmarkStart w:id="10481" w:name="_Toc82450499"/>
      <w:bookmarkStart w:id="10482" w:name="_Toc82451148"/>
      <w:bookmarkStart w:id="10483" w:name="_Toc89949537"/>
      <w:bookmarkStart w:id="10484" w:name="_Toc98755926"/>
      <w:bookmarkStart w:id="10485" w:name="_Toc98763518"/>
      <w:bookmarkStart w:id="10486" w:name="_Toc106184447"/>
      <w:r>
        <w:t>I</w:t>
      </w:r>
      <w:r w:rsidRPr="00E42255">
        <w:t>.2.2</w:t>
      </w:r>
      <w:r w:rsidRPr="00E42255">
        <w:tab/>
        <w:t>Delay profiles</w:t>
      </w:r>
      <w:bookmarkEnd w:id="10477"/>
      <w:bookmarkEnd w:id="10478"/>
      <w:bookmarkEnd w:id="10479"/>
      <w:bookmarkEnd w:id="10480"/>
      <w:bookmarkEnd w:id="10481"/>
      <w:bookmarkEnd w:id="10482"/>
      <w:bookmarkEnd w:id="10483"/>
      <w:bookmarkEnd w:id="10484"/>
      <w:bookmarkEnd w:id="10485"/>
      <w:bookmarkEnd w:id="10486"/>
    </w:p>
    <w:p w14:paraId="007F3A9C" w14:textId="77777777" w:rsidR="00C977C0" w:rsidRPr="00EC08C8" w:rsidRDefault="00C977C0" w:rsidP="00C977C0">
      <w:pPr>
        <w:pStyle w:val="Heading4"/>
      </w:pPr>
      <w:bookmarkStart w:id="10487" w:name="_Toc75276422"/>
      <w:bookmarkStart w:id="10488" w:name="_Toc75275912"/>
      <w:bookmarkStart w:id="10489" w:name="_Toc82450500"/>
      <w:bookmarkStart w:id="10490" w:name="_Toc82451149"/>
      <w:bookmarkStart w:id="10491" w:name="_Toc89949538"/>
      <w:bookmarkStart w:id="10492" w:name="_Toc98755927"/>
      <w:bookmarkStart w:id="10493" w:name="_Toc98763519"/>
      <w:bookmarkStart w:id="10494" w:name="_Toc106184448"/>
      <w:r>
        <w:t>I</w:t>
      </w:r>
      <w:r w:rsidRPr="00E42255">
        <w:t>.2.2.1</w:t>
      </w:r>
      <w:r w:rsidRPr="00E42255">
        <w:tab/>
        <w:t>General</w:t>
      </w:r>
      <w:bookmarkEnd w:id="10487"/>
      <w:bookmarkEnd w:id="10488"/>
      <w:bookmarkEnd w:id="10489"/>
      <w:bookmarkEnd w:id="10490"/>
      <w:bookmarkEnd w:id="10491"/>
      <w:bookmarkEnd w:id="10492"/>
      <w:bookmarkEnd w:id="10493"/>
      <w:bookmarkEnd w:id="10494"/>
    </w:p>
    <w:p w14:paraId="2BF81092" w14:textId="2C83C397" w:rsidR="00C977C0" w:rsidRPr="00E42255" w:rsidRDefault="00C977C0" w:rsidP="00C977C0">
      <w:pPr>
        <w:rPr>
          <w:rFonts w:eastAsia="Calibri"/>
        </w:rPr>
      </w:pPr>
      <w:r w:rsidRPr="00E42255">
        <w:rPr>
          <w:rFonts w:eastAsia="Calibri"/>
        </w:rPr>
        <w:t>The delay profiles are simplified from the TR 38.901 [</w:t>
      </w:r>
      <w:r w:rsidRPr="00E42255">
        <w:rPr>
          <w:rFonts w:eastAsia="MS Gothic"/>
        </w:rPr>
        <w:t>2</w:t>
      </w:r>
      <w:r>
        <w:rPr>
          <w:rFonts w:hint="eastAsia"/>
          <w:lang w:eastAsia="zh-CN"/>
        </w:rPr>
        <w:t>7</w:t>
      </w:r>
      <w:r w:rsidRPr="00E42255">
        <w:rPr>
          <w:rFonts w:eastAsia="Calibri"/>
        </w:rPr>
        <w:t xml:space="preserve">] TDL models. The simplification steps are shown below for information. These steps are only used when new delay profiles are created. Otherwise, the delay profiles specified in </w:t>
      </w:r>
      <w:r>
        <w:rPr>
          <w:rFonts w:eastAsia="Calibri"/>
        </w:rPr>
        <w:t>I</w:t>
      </w:r>
      <w:r w:rsidRPr="00E42255">
        <w:rPr>
          <w:rFonts w:eastAsia="MS Gothic"/>
        </w:rPr>
        <w:t>.2.2.1</w:t>
      </w:r>
      <w:r w:rsidRPr="00E42255">
        <w:rPr>
          <w:rFonts w:eastAsia="Calibri"/>
        </w:rPr>
        <w:t xml:space="preserve"> can be used as such.</w:t>
      </w:r>
    </w:p>
    <w:p w14:paraId="66A076B9" w14:textId="55F34C26"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1: Use the original TDL model from TR 38.901 [2</w:t>
      </w:r>
      <w:r>
        <w:rPr>
          <w:rFonts w:hint="eastAsia"/>
          <w:lang w:val="fr-FR" w:eastAsia="zh-CN"/>
        </w:rPr>
        <w:t>7</w:t>
      </w:r>
      <w:r w:rsidRPr="00E42255">
        <w:rPr>
          <w:lang w:val="fr-FR"/>
        </w:rPr>
        <w:t>].</w:t>
      </w:r>
    </w:p>
    <w:p w14:paraId="34F779B4"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2: Re-order the taps in ascending delays.</w:t>
      </w:r>
    </w:p>
    <w:p w14:paraId="1504AC22" w14:textId="71BD34E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3: Perform delay scaling according to the procedure described in clause 7.7.3 in TR 38.901 [2</w:t>
      </w:r>
      <w:r>
        <w:rPr>
          <w:rFonts w:hint="eastAsia"/>
          <w:lang w:val="fr-FR" w:eastAsia="zh-CN"/>
        </w:rPr>
        <w:t>7</w:t>
      </w:r>
      <w:r w:rsidRPr="00E42255">
        <w:rPr>
          <w:lang w:val="fr-FR"/>
        </w:rPr>
        <w:t>].</w:t>
      </w:r>
    </w:p>
    <w:p w14:paraId="6F4C619A"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4: Apply the quantization to the delay resolution 5 ns. This is done simply by rounding the tap delays to the nearest multiple of the delay resolution.</w:t>
      </w:r>
    </w:p>
    <w:p w14:paraId="60493533"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5: If multiple taps are rounded to the same delay bin, merge them by calculating their linear power sum.</w:t>
      </w:r>
    </w:p>
    <w:p w14:paraId="738AC0DD"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6: If there are more than 12 taps in the quantized model, merge the taps as follows:</w:t>
      </w:r>
    </w:p>
    <w:p w14:paraId="2D15C83C" w14:textId="77777777" w:rsidR="00C977C0" w:rsidRPr="00E42255" w:rsidRDefault="00C977C0" w:rsidP="00C977C0">
      <w:pPr>
        <w:pStyle w:val="B20"/>
        <w:rPr>
          <w:lang w:val="fr-FR" w:eastAsia="zh-CN"/>
        </w:rPr>
      </w:pPr>
      <w:r w:rsidRPr="00E42255">
        <w:rPr>
          <w:lang w:val="fr-FR" w:eastAsia="zh-CN"/>
        </w:rPr>
        <w:t>-</w:t>
      </w:r>
      <w:r w:rsidRPr="00E42255">
        <w:rPr>
          <w:lang w:val="fr-FR" w:eastAsia="zh-CN"/>
        </w:rPr>
        <w:tab/>
        <w:t>Find the weakest tap from all taps (both merged and unmerged taps are considered):</w:t>
      </w:r>
    </w:p>
    <w:p w14:paraId="37AF79A4" w14:textId="77777777" w:rsidR="00C977C0" w:rsidRPr="00E42255" w:rsidRDefault="00C977C0" w:rsidP="00C977C0">
      <w:pPr>
        <w:ind w:left="1135" w:hanging="284"/>
        <w:rPr>
          <w:rFonts w:eastAsia="DengXian"/>
          <w:lang w:val="fr-FR" w:eastAsia="zh-CN"/>
        </w:rPr>
      </w:pPr>
      <w:r w:rsidRPr="00B86E65">
        <w:t>-</w:t>
      </w:r>
      <w:r w:rsidRPr="00B86E65">
        <w:tab/>
        <w:t>If there are two or more taps having the same value and are the weakest, select the tap with the smallest</w:t>
      </w:r>
      <w:r w:rsidRPr="00E42255">
        <w:rPr>
          <w:rFonts w:eastAsia="DengXian"/>
          <w:lang w:val="fr-FR" w:eastAsia="zh-CN"/>
        </w:rPr>
        <w:t xml:space="preserve"> delay as the weakest tap.</w:t>
      </w:r>
    </w:p>
    <w:p w14:paraId="61DA6C3B" w14:textId="77777777" w:rsidR="00C977C0" w:rsidRPr="00E42255" w:rsidRDefault="00C977C0" w:rsidP="00C977C0">
      <w:pPr>
        <w:pStyle w:val="B20"/>
        <w:rPr>
          <w:lang w:val="fr-FR" w:eastAsia="zh-CN"/>
        </w:rPr>
      </w:pPr>
      <w:r w:rsidRPr="00E42255">
        <w:rPr>
          <w:lang w:val="fr-FR" w:eastAsia="zh-CN"/>
        </w:rPr>
        <w:t>-</w:t>
      </w:r>
      <w:r w:rsidRPr="00E42255">
        <w:rPr>
          <w:lang w:val="fr-FR" w:eastAsia="zh-CN"/>
        </w:rPr>
        <w:tab/>
        <w:t>When the weakest tap is the first delay tap, merge taps as follows:</w:t>
      </w:r>
    </w:p>
    <w:p w14:paraId="1377039B" w14:textId="77777777" w:rsidR="00C977C0" w:rsidRPr="00E42255" w:rsidRDefault="00C977C0" w:rsidP="00C977C0">
      <w:pPr>
        <w:pStyle w:val="B30"/>
        <w:rPr>
          <w:lang w:val="fr-FR" w:eastAsia="zh-CN"/>
        </w:rPr>
      </w:pPr>
      <w:r w:rsidRPr="00E42255">
        <w:rPr>
          <w:lang w:val="fr-FR" w:eastAsia="zh-CN"/>
        </w:rPr>
        <w:t>-</w:t>
      </w:r>
      <w:r w:rsidRPr="00E42255">
        <w:rPr>
          <w:lang w:val="fr-FR" w:eastAsia="zh-CN"/>
        </w:rPr>
        <w:tab/>
        <w:t>Update the power of the first delay tap as the linear power sum of the weakest tap and the second delay tap.</w:t>
      </w:r>
    </w:p>
    <w:p w14:paraId="57D20190" w14:textId="77777777" w:rsidR="00C977C0" w:rsidRPr="00E42255" w:rsidRDefault="00C977C0" w:rsidP="00C977C0">
      <w:pPr>
        <w:pStyle w:val="B30"/>
        <w:rPr>
          <w:lang w:val="fr-FR" w:eastAsia="zh-CN"/>
        </w:rPr>
      </w:pPr>
      <w:r w:rsidRPr="00E42255">
        <w:rPr>
          <w:lang w:val="fr-FR" w:eastAsia="zh-CN"/>
        </w:rPr>
        <w:t>-</w:t>
      </w:r>
      <w:r w:rsidRPr="00E42255">
        <w:rPr>
          <w:lang w:val="fr-FR" w:eastAsia="zh-CN"/>
        </w:rPr>
        <w:tab/>
        <w:t>Remove the second delay tap.</w:t>
      </w:r>
    </w:p>
    <w:p w14:paraId="2E92CA41" w14:textId="77777777" w:rsidR="00C977C0" w:rsidRPr="00E42255" w:rsidRDefault="00C977C0" w:rsidP="00C977C0">
      <w:pPr>
        <w:pStyle w:val="B20"/>
        <w:rPr>
          <w:lang w:val="fr-FR" w:eastAsia="zh-CN"/>
        </w:rPr>
      </w:pPr>
      <w:r w:rsidRPr="00E42255">
        <w:rPr>
          <w:lang w:val="fr-FR" w:eastAsia="zh-CN"/>
        </w:rPr>
        <w:t>-</w:t>
      </w:r>
      <w:r w:rsidRPr="00E42255">
        <w:rPr>
          <w:lang w:val="fr-FR" w:eastAsia="zh-CN"/>
        </w:rPr>
        <w:tab/>
        <w:t>When the weakest tap is the last delay tap, merge taps as follows:</w:t>
      </w:r>
    </w:p>
    <w:p w14:paraId="5065EA64" w14:textId="77777777" w:rsidR="00C977C0" w:rsidRPr="00E42255" w:rsidRDefault="00C977C0" w:rsidP="00C977C0">
      <w:pPr>
        <w:pStyle w:val="B30"/>
        <w:rPr>
          <w:lang w:val="fr-FR" w:eastAsia="zh-CN"/>
        </w:rPr>
      </w:pPr>
      <w:r w:rsidRPr="00E42255">
        <w:rPr>
          <w:lang w:val="fr-FR" w:eastAsia="zh-CN"/>
        </w:rPr>
        <w:t>-</w:t>
      </w:r>
      <w:r w:rsidRPr="00E42255">
        <w:rPr>
          <w:lang w:val="fr-FR" w:eastAsia="zh-CN"/>
        </w:rPr>
        <w:tab/>
        <w:t>Update the power of the last delay tap as the linear power sum of the second-to-last tap and the last tap.</w:t>
      </w:r>
    </w:p>
    <w:p w14:paraId="70DDE2CE" w14:textId="77777777" w:rsidR="00C977C0" w:rsidRPr="00E42255" w:rsidRDefault="00C977C0" w:rsidP="00C977C0">
      <w:pPr>
        <w:pStyle w:val="B30"/>
        <w:rPr>
          <w:lang w:val="fr-FR" w:eastAsia="zh-CN"/>
        </w:rPr>
      </w:pPr>
      <w:r w:rsidRPr="00E42255">
        <w:rPr>
          <w:lang w:val="fr-FR" w:eastAsia="zh-CN"/>
        </w:rPr>
        <w:t>-</w:t>
      </w:r>
      <w:r w:rsidRPr="00E42255">
        <w:rPr>
          <w:lang w:val="fr-FR" w:eastAsia="zh-CN"/>
        </w:rPr>
        <w:tab/>
        <w:t>Remove the second-to-last tap.</w:t>
      </w:r>
    </w:p>
    <w:p w14:paraId="0B52E8EF" w14:textId="77777777" w:rsidR="00C977C0" w:rsidRPr="00E42255" w:rsidRDefault="00C977C0" w:rsidP="00C977C0">
      <w:pPr>
        <w:pStyle w:val="B20"/>
        <w:rPr>
          <w:lang w:val="fr-FR" w:eastAsia="zh-CN"/>
        </w:rPr>
      </w:pPr>
      <w:r w:rsidRPr="00E42255">
        <w:rPr>
          <w:lang w:val="fr-FR" w:eastAsia="zh-CN"/>
        </w:rPr>
        <w:lastRenderedPageBreak/>
        <w:t>-</w:t>
      </w:r>
      <w:r w:rsidRPr="00E42255">
        <w:rPr>
          <w:lang w:val="fr-FR" w:eastAsia="zh-CN"/>
        </w:rPr>
        <w:tab/>
        <w:t>Otherwise:</w:t>
      </w:r>
    </w:p>
    <w:p w14:paraId="06BEC21D" w14:textId="77777777" w:rsidR="00C977C0" w:rsidRPr="00E42255" w:rsidRDefault="00C977C0" w:rsidP="00C977C0">
      <w:pPr>
        <w:pStyle w:val="B30"/>
        <w:rPr>
          <w:lang w:val="fr-FR" w:eastAsia="zh-CN"/>
        </w:rPr>
      </w:pPr>
      <w:r w:rsidRPr="00E42255">
        <w:rPr>
          <w:lang w:val="fr-FR" w:eastAsia="zh-CN"/>
        </w:rPr>
        <w:t>-</w:t>
      </w:r>
      <w:r w:rsidRPr="00E42255">
        <w:rPr>
          <w:lang w:val="fr-FR" w:eastAsia="zh-CN"/>
        </w:rPr>
        <w:tab/>
        <w:t>For each side of the weakest tap, identify the neighbour tap that has the smaller delay difference to the weakest tap.</w:t>
      </w:r>
    </w:p>
    <w:p w14:paraId="5F29893B" w14:textId="77777777" w:rsidR="00C977C0" w:rsidRPr="00E42255" w:rsidRDefault="00C977C0" w:rsidP="00C977C0">
      <w:pPr>
        <w:pStyle w:val="B4"/>
        <w:rPr>
          <w:lang w:val="fr-FR" w:eastAsia="zh-CN"/>
        </w:rPr>
      </w:pPr>
      <w:r w:rsidRPr="00E42255">
        <w:rPr>
          <w:lang w:val="fr-FR" w:eastAsia="zh-CN"/>
        </w:rPr>
        <w:t>-</w:t>
      </w:r>
      <w:r w:rsidRPr="00E42255">
        <w:rPr>
          <w:lang w:val="fr-FR" w:eastAsia="zh-CN"/>
        </w:rPr>
        <w:tab/>
        <w:t>When the delay difference between the weakest tap and the identified neighbour tap on one side equals the delay difference between the weakest tap and the identified neighbour tap on the other side.</w:t>
      </w:r>
    </w:p>
    <w:p w14:paraId="57828D33" w14:textId="77777777" w:rsidR="00C977C0" w:rsidRPr="00E42255" w:rsidRDefault="00C977C0" w:rsidP="00C977C0">
      <w:pPr>
        <w:pStyle w:val="B5"/>
        <w:rPr>
          <w:lang w:val="fr-FR" w:eastAsia="zh-CN"/>
        </w:rPr>
      </w:pPr>
      <w:r w:rsidRPr="00E42255">
        <w:rPr>
          <w:lang w:val="fr-FR" w:eastAsia="zh-CN"/>
        </w:rPr>
        <w:t>-</w:t>
      </w:r>
      <w:r w:rsidRPr="00E42255">
        <w:rPr>
          <w:lang w:val="fr-FR" w:eastAsia="zh-CN"/>
        </w:rPr>
        <w:tab/>
        <w:t>Select the neighbour tap that is weaker in power for merging.</w:t>
      </w:r>
    </w:p>
    <w:p w14:paraId="466FC587" w14:textId="77777777" w:rsidR="00C977C0" w:rsidRDefault="00C977C0" w:rsidP="00C977C0">
      <w:pPr>
        <w:pStyle w:val="B4"/>
        <w:rPr>
          <w:lang w:val="fr-FR" w:eastAsia="zh-CN"/>
        </w:rPr>
      </w:pPr>
      <w:r w:rsidRPr="00E42255">
        <w:rPr>
          <w:lang w:val="fr-FR" w:eastAsia="zh-CN"/>
        </w:rPr>
        <w:t>-</w:t>
      </w:r>
      <w:r w:rsidRPr="00E42255">
        <w:rPr>
          <w:lang w:val="fr-FR" w:eastAsia="zh-CN"/>
        </w:rPr>
        <w:tab/>
        <w:t>Otherwise, select the neighbour tap that has smaller delay difference for merging.</w:t>
      </w:r>
    </w:p>
    <w:p w14:paraId="48F9AA61" w14:textId="77777777" w:rsidR="00C977C0" w:rsidRDefault="00C977C0" w:rsidP="00C977C0">
      <w:pPr>
        <w:pStyle w:val="B30"/>
        <w:rPr>
          <w:lang w:val="fr-FR" w:eastAsia="zh-CN"/>
        </w:rPr>
      </w:pPr>
      <w:r w:rsidRPr="00E42255">
        <w:rPr>
          <w:lang w:val="fr-FR" w:eastAsia="zh-CN"/>
        </w:rPr>
        <w:t>-</w:t>
      </w:r>
      <w:r w:rsidRPr="00E42255">
        <w:rPr>
          <w:lang w:val="fr-FR" w:eastAsia="zh-CN"/>
        </w:rPr>
        <w:tab/>
        <w:t>To merge, the power of the merged tap is the linear sum of the power of the weakest tap and the selected tap</w:t>
      </w:r>
      <w:r>
        <w:rPr>
          <w:lang w:val="fr-FR" w:eastAsia="zh-CN"/>
        </w:rPr>
        <w:t>.</w:t>
      </w:r>
    </w:p>
    <w:p w14:paraId="2D0A1904" w14:textId="77777777" w:rsidR="00C977C0" w:rsidRDefault="00C977C0" w:rsidP="00C977C0">
      <w:pPr>
        <w:pStyle w:val="B30"/>
        <w:rPr>
          <w:lang w:val="fr-FR" w:eastAsia="zh-CN"/>
        </w:rPr>
      </w:pPr>
      <w:r w:rsidRPr="00E42255">
        <w:rPr>
          <w:lang w:val="fr-FR" w:eastAsia="zh-CN"/>
        </w:rPr>
        <w:t>-</w:t>
      </w:r>
      <w:r w:rsidRPr="00E42255">
        <w:rPr>
          <w:lang w:val="fr-FR" w:eastAsia="zh-CN"/>
        </w:rPr>
        <w:tab/>
        <w:t>When the selected tap is the first tap, the location of the merged tap is the location of the first tap. The weakest tap is removed.</w:t>
      </w:r>
    </w:p>
    <w:p w14:paraId="776E76C2" w14:textId="77777777" w:rsidR="00C977C0" w:rsidRDefault="00C977C0" w:rsidP="00C977C0">
      <w:pPr>
        <w:pStyle w:val="B30"/>
        <w:rPr>
          <w:lang w:val="fr-FR" w:eastAsia="zh-CN"/>
        </w:rPr>
      </w:pPr>
      <w:r w:rsidRPr="00E42255">
        <w:rPr>
          <w:lang w:val="fr-FR" w:eastAsia="zh-CN"/>
        </w:rPr>
        <w:t>-</w:t>
      </w:r>
      <w:r w:rsidRPr="00E42255">
        <w:rPr>
          <w:lang w:val="fr-FR" w:eastAsia="zh-CN"/>
        </w:rPr>
        <w:tab/>
        <w:t>When the selected tap is the last tap, the location of the merged tap is the location of the last tap. The weakest tap is removed.</w:t>
      </w:r>
    </w:p>
    <w:p w14:paraId="63CED52E" w14:textId="77777777" w:rsidR="00C977C0" w:rsidRPr="00E42255" w:rsidRDefault="00C977C0" w:rsidP="00C977C0">
      <w:pPr>
        <w:pStyle w:val="B30"/>
        <w:rPr>
          <w:lang w:val="fr-FR"/>
        </w:rPr>
      </w:pPr>
      <w:r w:rsidRPr="00E42255">
        <w:rPr>
          <w:lang w:val="fr-FR" w:eastAsia="zh-CN"/>
        </w:rPr>
        <w:t>-</w:t>
      </w:r>
      <w:r w:rsidRPr="00E42255">
        <w:rPr>
          <w:lang w:val="fr-FR" w:eastAsia="zh-CN"/>
        </w:rPr>
        <w:tab/>
        <w:t xml:space="preserve">Otherwise, the location of the merged tap is based on the average delay of the weakest tap and selected tap. If the average delay is on the sampling grid, the location of the merged tap is the average delay. Otherwise, the location of the merged tap is rounded towards the direction of the selected tap </w:t>
      </w:r>
      <w:r w:rsidRPr="00E42255">
        <w:rPr>
          <w:lang w:val="fr-FR"/>
        </w:rPr>
        <w:t xml:space="preserve">(e.g. 10 ns &amp; 20 ns </w:t>
      </w:r>
      <w:r w:rsidRPr="00E42255">
        <w:rPr>
          <w:lang w:val="fr-FR"/>
        </w:rPr>
        <w:sym w:font="Wingdings" w:char="F0E0"/>
      </w:r>
      <w:r w:rsidRPr="00E42255">
        <w:rPr>
          <w:lang w:val="fr-FR"/>
        </w:rPr>
        <w:t xml:space="preserve"> 15 ns, 10 ns &amp; 25 ns </w:t>
      </w:r>
      <w:r w:rsidRPr="00E42255">
        <w:rPr>
          <w:lang w:val="fr-FR"/>
        </w:rPr>
        <w:sym w:font="Wingdings" w:char="F0E0"/>
      </w:r>
      <w:r w:rsidRPr="00E42255">
        <w:rPr>
          <w:lang w:val="fr-FR"/>
        </w:rPr>
        <w:t xml:space="preserve"> 20 ns, if 25 ns had higher or equal power; 15 ns, if 10 ns had higher power)</w:t>
      </w:r>
      <w:r w:rsidRPr="00E42255">
        <w:rPr>
          <w:lang w:val="fr-FR" w:eastAsia="zh-CN"/>
        </w:rPr>
        <w:t>. The weakest tap and the selected tap are removed.</w:t>
      </w:r>
    </w:p>
    <w:p w14:paraId="10D52459"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Repeat step 6 until the final number of taps is 12.</w:t>
      </w:r>
    </w:p>
    <w:p w14:paraId="5BE02D9E"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 xml:space="preserve">Step 7: Round the amplitudes of taps to one decimal (e.g. -8.78 dB </w:t>
      </w:r>
      <w:r w:rsidRPr="00E42255">
        <w:rPr>
          <w:lang w:val="fr-FR"/>
        </w:rPr>
        <w:sym w:font="Wingdings" w:char="F0E0"/>
      </w:r>
      <w:r w:rsidRPr="00E42255">
        <w:rPr>
          <w:lang w:val="fr-FR"/>
        </w:rPr>
        <w:t xml:space="preserve"> -8.8 dB)</w:t>
      </w:r>
    </w:p>
    <w:p w14:paraId="4242E495"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8: If the delay spread has slightly changed due to the tap merge, adjust the final delay spread by increasing or decreasing the power of the last tap so that the delay spread is corrected.</w:t>
      </w:r>
    </w:p>
    <w:p w14:paraId="1B480E55" w14:textId="77777777" w:rsidR="00C977C0" w:rsidRPr="00E42255" w:rsidRDefault="00C977C0" w:rsidP="00C977C0">
      <w:pPr>
        <w:pStyle w:val="B10"/>
        <w:rPr>
          <w:lang w:val="fr-FR"/>
        </w:rPr>
      </w:pPr>
      <w:r w:rsidRPr="00E42255">
        <w:rPr>
          <w:lang w:val="fr-FR" w:eastAsia="zh-CN"/>
        </w:rPr>
        <w:t>-</w:t>
      </w:r>
      <w:r w:rsidRPr="00E42255">
        <w:rPr>
          <w:lang w:val="fr-FR" w:eastAsia="zh-CN"/>
        </w:rPr>
        <w:tab/>
      </w:r>
      <w:r w:rsidRPr="00E42255">
        <w:rPr>
          <w:lang w:val="fr-FR"/>
        </w:rPr>
        <w:t>Step 9: Re-normalize the highest tap to 0 dB.</w:t>
      </w:r>
    </w:p>
    <w:p w14:paraId="365AA36E" w14:textId="77777777" w:rsidR="00C977C0" w:rsidRPr="00E42255" w:rsidRDefault="00C977C0" w:rsidP="00C977C0">
      <w:pPr>
        <w:pStyle w:val="NO"/>
        <w:rPr>
          <w:lang w:val="fr-FR"/>
        </w:rPr>
      </w:pPr>
      <w:r w:rsidRPr="00E42255">
        <w:rPr>
          <w:caps/>
          <w:lang w:val="fr-FR"/>
        </w:rPr>
        <w:t>Note</w:t>
      </w:r>
      <w:r w:rsidRPr="00E42255">
        <w:rPr>
          <w:lang w:val="fr-FR"/>
        </w:rPr>
        <w:t xml:space="preserve"> 1:</w:t>
      </w:r>
      <w:r w:rsidRPr="00E42255">
        <w:rPr>
          <w:lang w:val="fr-FR"/>
        </w:rPr>
        <w:tab/>
        <w:t xml:space="preserve">Some values of the delay profile created by the simplification steps may differ from the values in tables </w:t>
      </w:r>
      <w:r>
        <w:rPr>
          <w:lang w:val="fr-FR"/>
        </w:rPr>
        <w:t>I</w:t>
      </w:r>
      <w:r w:rsidRPr="00E42255">
        <w:rPr>
          <w:lang w:val="fr-FR"/>
        </w:rPr>
        <w:t xml:space="preserve">.2.2.2-2, </w:t>
      </w:r>
      <w:r>
        <w:rPr>
          <w:lang w:val="fr-FR"/>
        </w:rPr>
        <w:t>I</w:t>
      </w:r>
      <w:r w:rsidRPr="00E42255">
        <w:rPr>
          <w:lang w:val="fr-FR"/>
        </w:rPr>
        <w:t xml:space="preserve">.2.2.2-3, and </w:t>
      </w:r>
      <w:r>
        <w:rPr>
          <w:lang w:val="fr-FR"/>
        </w:rPr>
        <w:t>I</w:t>
      </w:r>
      <w:r w:rsidRPr="00E42255">
        <w:rPr>
          <w:lang w:val="fr-FR"/>
        </w:rPr>
        <w:t>.2.1.1-4 for the corresponding model.</w:t>
      </w:r>
    </w:p>
    <w:p w14:paraId="4E3C708D" w14:textId="77777777" w:rsidR="00C977C0" w:rsidRPr="00E42255" w:rsidRDefault="00C977C0" w:rsidP="00C977C0">
      <w:pPr>
        <w:pStyle w:val="NO"/>
        <w:rPr>
          <w:lang w:val="fr-FR"/>
        </w:rPr>
      </w:pPr>
      <w:r w:rsidRPr="00E42255">
        <w:rPr>
          <w:caps/>
          <w:lang w:val="fr-FR"/>
        </w:rPr>
        <w:t>Note</w:t>
      </w:r>
      <w:r w:rsidRPr="00E42255">
        <w:rPr>
          <w:lang w:val="fr-FR"/>
        </w:rPr>
        <w:t xml:space="preserve"> 2:</w:t>
      </w:r>
      <w:r w:rsidRPr="00E42255">
        <w:rPr>
          <w:lang w:val="fr-FR"/>
        </w:rPr>
        <w:tab/>
        <w:t>For Step 5 and Step 6, the power values are expressed in the linear domain using 6 digits of precision. The operations are in the linear domain.</w:t>
      </w:r>
    </w:p>
    <w:p w14:paraId="7FB6B6E6" w14:textId="77777777" w:rsidR="00C977C0" w:rsidRPr="00E42255" w:rsidRDefault="00C977C0" w:rsidP="00C977C0">
      <w:pPr>
        <w:pStyle w:val="Heading4"/>
      </w:pPr>
      <w:bookmarkStart w:id="10495" w:name="_Toc75276423"/>
      <w:bookmarkStart w:id="10496" w:name="_Toc75275913"/>
      <w:bookmarkStart w:id="10497" w:name="_Toc75260368"/>
      <w:bookmarkStart w:id="10498" w:name="_Toc73963190"/>
      <w:bookmarkStart w:id="10499" w:name="_Toc82450501"/>
      <w:bookmarkStart w:id="10500" w:name="_Toc82451150"/>
      <w:bookmarkStart w:id="10501" w:name="_Toc89949539"/>
      <w:bookmarkStart w:id="10502" w:name="_Toc98755928"/>
      <w:bookmarkStart w:id="10503" w:name="_Toc98763520"/>
      <w:bookmarkStart w:id="10504" w:name="_Toc106184449"/>
      <w:r>
        <w:t>I</w:t>
      </w:r>
      <w:r w:rsidRPr="00E42255">
        <w:t>.2.2.2</w:t>
      </w:r>
      <w:r w:rsidRPr="00E42255">
        <w:tab/>
        <w:t>Delay profiles for FR1</w:t>
      </w:r>
      <w:bookmarkEnd w:id="10495"/>
      <w:bookmarkEnd w:id="10496"/>
      <w:bookmarkEnd w:id="10497"/>
      <w:bookmarkEnd w:id="10498"/>
      <w:bookmarkEnd w:id="10499"/>
      <w:bookmarkEnd w:id="10500"/>
      <w:bookmarkEnd w:id="10501"/>
      <w:bookmarkEnd w:id="10502"/>
      <w:bookmarkEnd w:id="10503"/>
      <w:bookmarkEnd w:id="10504"/>
    </w:p>
    <w:p w14:paraId="1F93820E" w14:textId="77777777" w:rsidR="00C977C0" w:rsidRPr="00E42255" w:rsidRDefault="00C977C0" w:rsidP="00C977C0">
      <w:pPr>
        <w:rPr>
          <w:rFonts w:eastAsia="Calibri"/>
        </w:rPr>
      </w:pPr>
      <w:r w:rsidRPr="00E42255">
        <w:rPr>
          <w:rFonts w:eastAsia="Calibri"/>
        </w:rPr>
        <w:t xml:space="preserve">The delay profiles for FR1 are selected to be representative of low, medium and high delay spread environment. The resulting model parameters are specified in </w:t>
      </w:r>
      <w:r>
        <w:rPr>
          <w:rFonts w:eastAsia="MS Gothic"/>
        </w:rPr>
        <w:t>I</w:t>
      </w:r>
      <w:r w:rsidRPr="00E42255">
        <w:rPr>
          <w:rFonts w:eastAsia="MS Gothic"/>
        </w:rPr>
        <w:t xml:space="preserve">.2.2.2-1 and the tapped delay line models are specified in tables </w:t>
      </w:r>
      <w:r>
        <w:rPr>
          <w:rFonts w:eastAsia="MS Gothic"/>
        </w:rPr>
        <w:t>I</w:t>
      </w:r>
      <w:r w:rsidRPr="00E42255">
        <w:rPr>
          <w:rFonts w:eastAsia="MS Gothic"/>
        </w:rPr>
        <w:t xml:space="preserve">.2.2.2-2 ~ table </w:t>
      </w:r>
      <w:r>
        <w:rPr>
          <w:rFonts w:eastAsia="MS Gothic"/>
        </w:rPr>
        <w:t>I</w:t>
      </w:r>
      <w:r w:rsidRPr="00E42255">
        <w:rPr>
          <w:rFonts w:eastAsia="MS Gothic"/>
        </w:rPr>
        <w:t>.2.2.2-4</w:t>
      </w:r>
      <w:r w:rsidRPr="00E42255">
        <w:rPr>
          <w:rFonts w:eastAsia="Calibri"/>
        </w:rPr>
        <w:t>.</w:t>
      </w:r>
    </w:p>
    <w:p w14:paraId="78F10728"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.2.2.2-1: Delay profiles for NR channel models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987"/>
        <w:gridCol w:w="1358"/>
        <w:gridCol w:w="1418"/>
        <w:gridCol w:w="2835"/>
        <w:gridCol w:w="1842"/>
      </w:tblGrid>
      <w:tr w:rsidR="00C977C0" w:rsidRPr="00E42255" w14:paraId="68062B6B" w14:textId="77777777" w:rsidTr="00BC53AC">
        <w:trPr>
          <w:cantSplit/>
          <w:jc w:val="center"/>
        </w:trPr>
        <w:tc>
          <w:tcPr>
            <w:tcW w:w="987" w:type="dxa"/>
            <w:tcBorders>
              <w:top w:val="single" w:sz="4" w:space="0" w:color="auto"/>
              <w:left w:val="single" w:sz="4" w:space="0" w:color="auto"/>
              <w:bottom w:val="single" w:sz="4" w:space="0" w:color="auto"/>
              <w:right w:val="single" w:sz="4" w:space="0" w:color="auto"/>
            </w:tcBorders>
            <w:hideMark/>
          </w:tcPr>
          <w:p w14:paraId="51AC92F3" w14:textId="77777777" w:rsidR="00C977C0" w:rsidRPr="00E42255" w:rsidRDefault="00C977C0" w:rsidP="00BC53AC">
            <w:pPr>
              <w:pStyle w:val="TAH"/>
              <w:rPr>
                <w:lang w:val="fr-FR"/>
              </w:rPr>
            </w:pPr>
            <w:r w:rsidRPr="00E42255">
              <w:rPr>
                <w:lang w:val="fr-FR"/>
              </w:rPr>
              <w:t>Model</w:t>
            </w:r>
          </w:p>
        </w:tc>
        <w:tc>
          <w:tcPr>
            <w:tcW w:w="1358" w:type="dxa"/>
            <w:tcBorders>
              <w:top w:val="single" w:sz="4" w:space="0" w:color="auto"/>
              <w:left w:val="single" w:sz="4" w:space="0" w:color="auto"/>
              <w:bottom w:val="single" w:sz="4" w:space="0" w:color="auto"/>
              <w:right w:val="single" w:sz="4" w:space="0" w:color="auto"/>
            </w:tcBorders>
            <w:hideMark/>
          </w:tcPr>
          <w:p w14:paraId="648E5336" w14:textId="77777777" w:rsidR="00C977C0" w:rsidRPr="00E42255" w:rsidRDefault="00C977C0" w:rsidP="00BC53AC">
            <w:pPr>
              <w:pStyle w:val="TAH"/>
              <w:rPr>
                <w:lang w:val="fr-FR"/>
              </w:rPr>
            </w:pPr>
            <w:r w:rsidRPr="00E42255">
              <w:rPr>
                <w:lang w:val="fr-FR"/>
              </w:rPr>
              <w:t xml:space="preserve">Number of </w:t>
            </w:r>
            <w:r w:rsidRPr="00E42255">
              <w:rPr>
                <w:lang w:val="fr-FR"/>
              </w:rPr>
              <w:br/>
              <w:t>channel taps</w:t>
            </w:r>
          </w:p>
        </w:tc>
        <w:tc>
          <w:tcPr>
            <w:tcW w:w="1418" w:type="dxa"/>
            <w:tcBorders>
              <w:top w:val="single" w:sz="4" w:space="0" w:color="auto"/>
              <w:left w:val="single" w:sz="4" w:space="0" w:color="auto"/>
              <w:bottom w:val="single" w:sz="4" w:space="0" w:color="auto"/>
              <w:right w:val="single" w:sz="4" w:space="0" w:color="auto"/>
            </w:tcBorders>
            <w:hideMark/>
          </w:tcPr>
          <w:p w14:paraId="431B1DC7" w14:textId="77777777" w:rsidR="00C977C0" w:rsidRPr="00E42255" w:rsidRDefault="00C977C0" w:rsidP="00BC53AC">
            <w:pPr>
              <w:pStyle w:val="TAH"/>
              <w:rPr>
                <w:lang w:val="fr-FR"/>
              </w:rPr>
            </w:pPr>
            <w:r w:rsidRPr="00E42255">
              <w:rPr>
                <w:lang w:val="fr-FR"/>
              </w:rPr>
              <w:t>Delay spread</w:t>
            </w:r>
          </w:p>
          <w:p w14:paraId="025228FF" w14:textId="77777777" w:rsidR="00C977C0" w:rsidRPr="00E42255" w:rsidRDefault="00C977C0" w:rsidP="00BC53AC">
            <w:pPr>
              <w:pStyle w:val="TAH"/>
              <w:rPr>
                <w:lang w:val="fr-FR"/>
              </w:rPr>
            </w:pPr>
            <w:r w:rsidRPr="00E42255">
              <w:rPr>
                <w:lang w:val="fr-FR"/>
              </w:rPr>
              <w:t>(r.m.s.)</w:t>
            </w:r>
          </w:p>
        </w:tc>
        <w:tc>
          <w:tcPr>
            <w:tcW w:w="2835" w:type="dxa"/>
            <w:tcBorders>
              <w:top w:val="single" w:sz="4" w:space="0" w:color="auto"/>
              <w:left w:val="single" w:sz="4" w:space="0" w:color="auto"/>
              <w:bottom w:val="single" w:sz="4" w:space="0" w:color="auto"/>
              <w:right w:val="single" w:sz="4" w:space="0" w:color="auto"/>
            </w:tcBorders>
            <w:hideMark/>
          </w:tcPr>
          <w:p w14:paraId="24FB7FFA" w14:textId="77777777" w:rsidR="00C977C0" w:rsidRPr="00E42255" w:rsidRDefault="00C977C0" w:rsidP="00BC53AC">
            <w:pPr>
              <w:pStyle w:val="TAH"/>
              <w:rPr>
                <w:lang w:val="fr-FR"/>
              </w:rPr>
            </w:pPr>
            <w:r w:rsidRPr="00E42255">
              <w:rPr>
                <w:lang w:val="fr-FR"/>
              </w:rPr>
              <w:t>Maximum excess tap delay (span)</w:t>
            </w:r>
          </w:p>
        </w:tc>
        <w:tc>
          <w:tcPr>
            <w:tcW w:w="1842" w:type="dxa"/>
            <w:tcBorders>
              <w:top w:val="single" w:sz="4" w:space="0" w:color="auto"/>
              <w:left w:val="single" w:sz="4" w:space="0" w:color="auto"/>
              <w:bottom w:val="single" w:sz="4" w:space="0" w:color="auto"/>
              <w:right w:val="single" w:sz="4" w:space="0" w:color="auto"/>
            </w:tcBorders>
            <w:hideMark/>
          </w:tcPr>
          <w:p w14:paraId="5F695C48" w14:textId="77777777" w:rsidR="00C977C0" w:rsidRPr="00E42255" w:rsidRDefault="00C977C0" w:rsidP="00BC53AC">
            <w:pPr>
              <w:pStyle w:val="TAH"/>
              <w:rPr>
                <w:lang w:val="fr-FR"/>
              </w:rPr>
            </w:pPr>
            <w:r w:rsidRPr="00E42255">
              <w:rPr>
                <w:lang w:val="fr-FR"/>
              </w:rPr>
              <w:t>Delay resolution</w:t>
            </w:r>
          </w:p>
        </w:tc>
      </w:tr>
      <w:tr w:rsidR="00C977C0" w:rsidRPr="00E42255" w14:paraId="3C92608D" w14:textId="77777777" w:rsidTr="00BC53AC">
        <w:trPr>
          <w:cantSplit/>
          <w:jc w:val="center"/>
        </w:trPr>
        <w:tc>
          <w:tcPr>
            <w:tcW w:w="987" w:type="dxa"/>
            <w:tcBorders>
              <w:top w:val="single" w:sz="4" w:space="0" w:color="auto"/>
              <w:left w:val="single" w:sz="4" w:space="0" w:color="auto"/>
              <w:bottom w:val="single" w:sz="4" w:space="0" w:color="auto"/>
              <w:right w:val="single" w:sz="4" w:space="0" w:color="auto"/>
            </w:tcBorders>
            <w:hideMark/>
          </w:tcPr>
          <w:p w14:paraId="4FBC8BFA" w14:textId="77777777" w:rsidR="00C977C0" w:rsidRPr="00E42255" w:rsidRDefault="00C977C0" w:rsidP="00BC53AC">
            <w:pPr>
              <w:pStyle w:val="TAC"/>
              <w:rPr>
                <w:lang w:val="fr-FR"/>
              </w:rPr>
            </w:pPr>
            <w:r w:rsidRPr="00E42255">
              <w:rPr>
                <w:lang w:val="fr-FR"/>
              </w:rPr>
              <w:t>TDLA30</w:t>
            </w:r>
          </w:p>
        </w:tc>
        <w:tc>
          <w:tcPr>
            <w:tcW w:w="1358" w:type="dxa"/>
            <w:tcBorders>
              <w:top w:val="single" w:sz="4" w:space="0" w:color="auto"/>
              <w:left w:val="single" w:sz="4" w:space="0" w:color="auto"/>
              <w:bottom w:val="single" w:sz="4" w:space="0" w:color="auto"/>
              <w:right w:val="single" w:sz="4" w:space="0" w:color="auto"/>
            </w:tcBorders>
            <w:hideMark/>
          </w:tcPr>
          <w:p w14:paraId="0F52C313" w14:textId="77777777" w:rsidR="00C977C0" w:rsidRPr="00E42255" w:rsidRDefault="00C977C0" w:rsidP="00BC53AC">
            <w:pPr>
              <w:pStyle w:val="TAC"/>
              <w:rPr>
                <w:lang w:val="fr-FR"/>
              </w:rPr>
            </w:pPr>
            <w:r w:rsidRPr="00E42255">
              <w:rPr>
                <w:lang w:val="fr-FR"/>
              </w:rPr>
              <w:t>12</w:t>
            </w:r>
          </w:p>
        </w:tc>
        <w:tc>
          <w:tcPr>
            <w:tcW w:w="1418" w:type="dxa"/>
            <w:tcBorders>
              <w:top w:val="single" w:sz="4" w:space="0" w:color="auto"/>
              <w:left w:val="single" w:sz="4" w:space="0" w:color="auto"/>
              <w:bottom w:val="single" w:sz="4" w:space="0" w:color="auto"/>
              <w:right w:val="single" w:sz="4" w:space="0" w:color="auto"/>
            </w:tcBorders>
            <w:hideMark/>
          </w:tcPr>
          <w:p w14:paraId="75126DCA" w14:textId="77777777" w:rsidR="00C977C0" w:rsidRPr="00E42255" w:rsidRDefault="00C977C0" w:rsidP="00BC53AC">
            <w:pPr>
              <w:pStyle w:val="TAC"/>
              <w:rPr>
                <w:lang w:val="fr-FR"/>
              </w:rPr>
            </w:pPr>
            <w:r w:rsidRPr="00E42255">
              <w:rPr>
                <w:lang w:val="fr-FR"/>
              </w:rPr>
              <w:t>30 ns</w:t>
            </w:r>
          </w:p>
        </w:tc>
        <w:tc>
          <w:tcPr>
            <w:tcW w:w="2835" w:type="dxa"/>
            <w:tcBorders>
              <w:top w:val="single" w:sz="4" w:space="0" w:color="auto"/>
              <w:left w:val="single" w:sz="4" w:space="0" w:color="auto"/>
              <w:bottom w:val="single" w:sz="4" w:space="0" w:color="auto"/>
              <w:right w:val="single" w:sz="4" w:space="0" w:color="auto"/>
            </w:tcBorders>
            <w:hideMark/>
          </w:tcPr>
          <w:p w14:paraId="5F0ADFEF" w14:textId="77777777" w:rsidR="00C977C0" w:rsidRPr="00E42255" w:rsidRDefault="00C977C0" w:rsidP="00BC53AC">
            <w:pPr>
              <w:pStyle w:val="TAC"/>
              <w:rPr>
                <w:lang w:val="fr-FR"/>
              </w:rPr>
            </w:pPr>
            <w:r w:rsidRPr="00E42255">
              <w:rPr>
                <w:lang w:val="fr-FR"/>
              </w:rPr>
              <w:t>290 ns</w:t>
            </w:r>
          </w:p>
        </w:tc>
        <w:tc>
          <w:tcPr>
            <w:tcW w:w="1842" w:type="dxa"/>
            <w:tcBorders>
              <w:top w:val="single" w:sz="4" w:space="0" w:color="auto"/>
              <w:left w:val="single" w:sz="4" w:space="0" w:color="auto"/>
              <w:bottom w:val="single" w:sz="4" w:space="0" w:color="auto"/>
              <w:right w:val="single" w:sz="4" w:space="0" w:color="auto"/>
            </w:tcBorders>
            <w:hideMark/>
          </w:tcPr>
          <w:p w14:paraId="3F3DAFE9" w14:textId="77777777" w:rsidR="00C977C0" w:rsidRPr="00E42255" w:rsidRDefault="00C977C0" w:rsidP="00BC53AC">
            <w:pPr>
              <w:pStyle w:val="TAC"/>
              <w:rPr>
                <w:lang w:val="fr-FR"/>
              </w:rPr>
            </w:pPr>
            <w:r w:rsidRPr="00E42255">
              <w:rPr>
                <w:lang w:val="fr-FR"/>
              </w:rPr>
              <w:t>5 ns</w:t>
            </w:r>
          </w:p>
        </w:tc>
      </w:tr>
      <w:tr w:rsidR="00C977C0" w:rsidRPr="00E42255" w14:paraId="6D6D260B" w14:textId="77777777" w:rsidTr="00BC53AC">
        <w:trPr>
          <w:cantSplit/>
          <w:jc w:val="center"/>
        </w:trPr>
        <w:tc>
          <w:tcPr>
            <w:tcW w:w="987" w:type="dxa"/>
            <w:tcBorders>
              <w:top w:val="single" w:sz="4" w:space="0" w:color="auto"/>
              <w:left w:val="single" w:sz="4" w:space="0" w:color="auto"/>
              <w:bottom w:val="single" w:sz="4" w:space="0" w:color="auto"/>
              <w:right w:val="single" w:sz="4" w:space="0" w:color="auto"/>
            </w:tcBorders>
            <w:hideMark/>
          </w:tcPr>
          <w:p w14:paraId="568ED212" w14:textId="77777777" w:rsidR="00C977C0" w:rsidRPr="00E42255" w:rsidRDefault="00C977C0" w:rsidP="00BC53AC">
            <w:pPr>
              <w:pStyle w:val="TAC"/>
              <w:rPr>
                <w:lang w:val="fr-FR"/>
              </w:rPr>
            </w:pPr>
            <w:r w:rsidRPr="00E42255">
              <w:rPr>
                <w:lang w:val="fr-FR"/>
              </w:rPr>
              <w:t>TDLB100</w:t>
            </w:r>
          </w:p>
        </w:tc>
        <w:tc>
          <w:tcPr>
            <w:tcW w:w="1358" w:type="dxa"/>
            <w:tcBorders>
              <w:top w:val="single" w:sz="4" w:space="0" w:color="auto"/>
              <w:left w:val="single" w:sz="4" w:space="0" w:color="auto"/>
              <w:bottom w:val="single" w:sz="4" w:space="0" w:color="auto"/>
              <w:right w:val="single" w:sz="4" w:space="0" w:color="auto"/>
            </w:tcBorders>
            <w:hideMark/>
          </w:tcPr>
          <w:p w14:paraId="401DD601" w14:textId="77777777" w:rsidR="00C977C0" w:rsidRPr="00E42255" w:rsidRDefault="00C977C0" w:rsidP="00BC53AC">
            <w:pPr>
              <w:pStyle w:val="TAC"/>
              <w:rPr>
                <w:lang w:val="fr-FR"/>
              </w:rPr>
            </w:pPr>
            <w:r w:rsidRPr="00E42255">
              <w:rPr>
                <w:lang w:val="fr-FR"/>
              </w:rPr>
              <w:t>12</w:t>
            </w:r>
          </w:p>
        </w:tc>
        <w:tc>
          <w:tcPr>
            <w:tcW w:w="1418" w:type="dxa"/>
            <w:tcBorders>
              <w:top w:val="single" w:sz="4" w:space="0" w:color="auto"/>
              <w:left w:val="single" w:sz="4" w:space="0" w:color="auto"/>
              <w:bottom w:val="single" w:sz="4" w:space="0" w:color="auto"/>
              <w:right w:val="single" w:sz="4" w:space="0" w:color="auto"/>
            </w:tcBorders>
            <w:hideMark/>
          </w:tcPr>
          <w:p w14:paraId="53A7B98E" w14:textId="77777777" w:rsidR="00C977C0" w:rsidRPr="00E42255" w:rsidRDefault="00C977C0" w:rsidP="00BC53AC">
            <w:pPr>
              <w:pStyle w:val="TAC"/>
              <w:rPr>
                <w:lang w:val="fr-FR"/>
              </w:rPr>
            </w:pPr>
            <w:r w:rsidRPr="00E42255">
              <w:rPr>
                <w:lang w:val="fr-FR"/>
              </w:rPr>
              <w:t>100 ns</w:t>
            </w:r>
          </w:p>
        </w:tc>
        <w:tc>
          <w:tcPr>
            <w:tcW w:w="2835" w:type="dxa"/>
            <w:tcBorders>
              <w:top w:val="single" w:sz="4" w:space="0" w:color="auto"/>
              <w:left w:val="single" w:sz="4" w:space="0" w:color="auto"/>
              <w:bottom w:val="single" w:sz="4" w:space="0" w:color="auto"/>
              <w:right w:val="single" w:sz="4" w:space="0" w:color="auto"/>
            </w:tcBorders>
            <w:hideMark/>
          </w:tcPr>
          <w:p w14:paraId="64866A94" w14:textId="77777777" w:rsidR="00C977C0" w:rsidRPr="00E42255" w:rsidRDefault="00C977C0" w:rsidP="00BC53AC">
            <w:pPr>
              <w:pStyle w:val="TAC"/>
              <w:rPr>
                <w:lang w:val="fr-FR"/>
              </w:rPr>
            </w:pPr>
            <w:r w:rsidRPr="00E42255">
              <w:rPr>
                <w:lang w:val="fr-FR"/>
              </w:rPr>
              <w:t>480 ns</w:t>
            </w:r>
          </w:p>
        </w:tc>
        <w:tc>
          <w:tcPr>
            <w:tcW w:w="1842" w:type="dxa"/>
            <w:tcBorders>
              <w:top w:val="single" w:sz="4" w:space="0" w:color="auto"/>
              <w:left w:val="single" w:sz="4" w:space="0" w:color="auto"/>
              <w:bottom w:val="single" w:sz="4" w:space="0" w:color="auto"/>
              <w:right w:val="single" w:sz="4" w:space="0" w:color="auto"/>
            </w:tcBorders>
            <w:hideMark/>
          </w:tcPr>
          <w:p w14:paraId="13B3A27C" w14:textId="77777777" w:rsidR="00C977C0" w:rsidRPr="00E42255" w:rsidRDefault="00C977C0" w:rsidP="00BC53AC">
            <w:pPr>
              <w:pStyle w:val="TAC"/>
              <w:rPr>
                <w:lang w:val="fr-FR"/>
              </w:rPr>
            </w:pPr>
            <w:r w:rsidRPr="00E42255">
              <w:rPr>
                <w:lang w:val="fr-FR"/>
              </w:rPr>
              <w:t>5 ns</w:t>
            </w:r>
          </w:p>
        </w:tc>
      </w:tr>
      <w:tr w:rsidR="00C977C0" w:rsidRPr="00E42255" w14:paraId="5E9665F5" w14:textId="77777777" w:rsidTr="00BC53AC">
        <w:trPr>
          <w:cantSplit/>
          <w:jc w:val="center"/>
        </w:trPr>
        <w:tc>
          <w:tcPr>
            <w:tcW w:w="987" w:type="dxa"/>
            <w:tcBorders>
              <w:top w:val="single" w:sz="4" w:space="0" w:color="auto"/>
              <w:left w:val="single" w:sz="4" w:space="0" w:color="auto"/>
              <w:bottom w:val="single" w:sz="4" w:space="0" w:color="auto"/>
              <w:right w:val="single" w:sz="4" w:space="0" w:color="auto"/>
            </w:tcBorders>
            <w:hideMark/>
          </w:tcPr>
          <w:p w14:paraId="0F595A47" w14:textId="77777777" w:rsidR="00C977C0" w:rsidRPr="00E42255" w:rsidRDefault="00C977C0" w:rsidP="00BC53AC">
            <w:pPr>
              <w:pStyle w:val="TAC"/>
              <w:rPr>
                <w:lang w:val="fr-FR"/>
              </w:rPr>
            </w:pPr>
            <w:r w:rsidRPr="00E42255">
              <w:rPr>
                <w:lang w:val="fr-FR"/>
              </w:rPr>
              <w:t>TDLC300</w:t>
            </w:r>
          </w:p>
        </w:tc>
        <w:tc>
          <w:tcPr>
            <w:tcW w:w="1358" w:type="dxa"/>
            <w:tcBorders>
              <w:top w:val="single" w:sz="4" w:space="0" w:color="auto"/>
              <w:left w:val="single" w:sz="4" w:space="0" w:color="auto"/>
              <w:bottom w:val="single" w:sz="4" w:space="0" w:color="auto"/>
              <w:right w:val="single" w:sz="4" w:space="0" w:color="auto"/>
            </w:tcBorders>
            <w:hideMark/>
          </w:tcPr>
          <w:p w14:paraId="71E90705" w14:textId="77777777" w:rsidR="00C977C0" w:rsidRPr="00E42255" w:rsidRDefault="00C977C0" w:rsidP="00BC53AC">
            <w:pPr>
              <w:pStyle w:val="TAC"/>
              <w:rPr>
                <w:lang w:val="fr-FR"/>
              </w:rPr>
            </w:pPr>
            <w:r w:rsidRPr="00E42255">
              <w:rPr>
                <w:lang w:val="fr-FR"/>
              </w:rPr>
              <w:t>12</w:t>
            </w:r>
          </w:p>
        </w:tc>
        <w:tc>
          <w:tcPr>
            <w:tcW w:w="1418" w:type="dxa"/>
            <w:tcBorders>
              <w:top w:val="single" w:sz="4" w:space="0" w:color="auto"/>
              <w:left w:val="single" w:sz="4" w:space="0" w:color="auto"/>
              <w:bottom w:val="single" w:sz="4" w:space="0" w:color="auto"/>
              <w:right w:val="single" w:sz="4" w:space="0" w:color="auto"/>
            </w:tcBorders>
            <w:hideMark/>
          </w:tcPr>
          <w:p w14:paraId="13BF319F" w14:textId="77777777" w:rsidR="00C977C0" w:rsidRPr="00E42255" w:rsidRDefault="00C977C0" w:rsidP="00BC53AC">
            <w:pPr>
              <w:pStyle w:val="TAC"/>
              <w:rPr>
                <w:lang w:val="fr-FR"/>
              </w:rPr>
            </w:pPr>
            <w:r w:rsidRPr="00E42255">
              <w:rPr>
                <w:lang w:val="fr-FR"/>
              </w:rPr>
              <w:t>300 ns</w:t>
            </w:r>
          </w:p>
        </w:tc>
        <w:tc>
          <w:tcPr>
            <w:tcW w:w="2835" w:type="dxa"/>
            <w:tcBorders>
              <w:top w:val="single" w:sz="4" w:space="0" w:color="auto"/>
              <w:left w:val="single" w:sz="4" w:space="0" w:color="auto"/>
              <w:bottom w:val="single" w:sz="4" w:space="0" w:color="auto"/>
              <w:right w:val="single" w:sz="4" w:space="0" w:color="auto"/>
            </w:tcBorders>
            <w:hideMark/>
          </w:tcPr>
          <w:p w14:paraId="28DF5C55" w14:textId="77777777" w:rsidR="00C977C0" w:rsidRPr="00E42255" w:rsidRDefault="00C977C0" w:rsidP="00BC53AC">
            <w:pPr>
              <w:pStyle w:val="TAC"/>
              <w:rPr>
                <w:lang w:val="fr-FR"/>
              </w:rPr>
            </w:pPr>
            <w:r w:rsidRPr="00E42255">
              <w:rPr>
                <w:lang w:val="fr-FR"/>
              </w:rPr>
              <w:t>2595 ns</w:t>
            </w:r>
          </w:p>
        </w:tc>
        <w:tc>
          <w:tcPr>
            <w:tcW w:w="1842" w:type="dxa"/>
            <w:tcBorders>
              <w:top w:val="single" w:sz="4" w:space="0" w:color="auto"/>
              <w:left w:val="single" w:sz="4" w:space="0" w:color="auto"/>
              <w:bottom w:val="single" w:sz="4" w:space="0" w:color="auto"/>
              <w:right w:val="single" w:sz="4" w:space="0" w:color="auto"/>
            </w:tcBorders>
            <w:hideMark/>
          </w:tcPr>
          <w:p w14:paraId="1BE5EBDE" w14:textId="77777777" w:rsidR="00C977C0" w:rsidRPr="00E42255" w:rsidRDefault="00C977C0" w:rsidP="00BC53AC">
            <w:pPr>
              <w:pStyle w:val="TAC"/>
              <w:rPr>
                <w:lang w:val="fr-FR"/>
              </w:rPr>
            </w:pPr>
            <w:r w:rsidRPr="00E42255">
              <w:rPr>
                <w:lang w:val="fr-FR"/>
              </w:rPr>
              <w:t>5 ns</w:t>
            </w:r>
          </w:p>
        </w:tc>
      </w:tr>
    </w:tbl>
    <w:p w14:paraId="4AD25EB1" w14:textId="77777777" w:rsidR="00C977C0" w:rsidRPr="00E42255" w:rsidRDefault="00C977C0" w:rsidP="00C977C0">
      <w:pPr>
        <w:rPr>
          <w:rFonts w:eastAsia="DengXian"/>
        </w:rPr>
      </w:pPr>
    </w:p>
    <w:p w14:paraId="03877B5B" w14:textId="77777777" w:rsidR="00C977C0" w:rsidRPr="00E42255" w:rsidRDefault="00C977C0" w:rsidP="00C977C0">
      <w:pPr>
        <w:pStyle w:val="TH"/>
        <w:rPr>
          <w:lang w:val="fr-FR"/>
        </w:rPr>
      </w:pPr>
      <w:r w:rsidRPr="00E42255">
        <w:rPr>
          <w:lang w:val="fr-FR" w:eastAsia="x-none"/>
        </w:rPr>
        <w:lastRenderedPageBreak/>
        <w:t xml:space="preserve">Table </w:t>
      </w:r>
      <w:r>
        <w:rPr>
          <w:lang w:val="fr-FR" w:eastAsia="x-none"/>
        </w:rPr>
        <w:t>I</w:t>
      </w:r>
      <w:r w:rsidRPr="00E42255">
        <w:rPr>
          <w:lang w:val="fr-FR" w:eastAsia="x-none"/>
        </w:rPr>
        <w:t>.2.2.2-</w:t>
      </w:r>
      <w:r w:rsidRPr="00E42255">
        <w:rPr>
          <w:lang w:val="fr-FR"/>
        </w:rPr>
        <w:t>2:</w:t>
      </w:r>
      <w:r w:rsidRPr="00E42255">
        <w:rPr>
          <w:lang w:val="fr-FR" w:eastAsia="x-none"/>
        </w:rPr>
        <w:t xml:space="preserve"> </w:t>
      </w:r>
      <w:r w:rsidRPr="00E42255">
        <w:rPr>
          <w:lang w:val="fr-FR"/>
        </w:rPr>
        <w:t>TDLA30 (DS = 30 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687"/>
        <w:gridCol w:w="1077"/>
        <w:gridCol w:w="1167"/>
        <w:gridCol w:w="1846"/>
      </w:tblGrid>
      <w:tr w:rsidR="00C977C0" w:rsidRPr="00E42255" w14:paraId="2D8E5BB3"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F93F75F" w14:textId="77777777" w:rsidR="00C977C0" w:rsidRPr="00E42255" w:rsidRDefault="00C977C0" w:rsidP="00BC53AC">
            <w:pPr>
              <w:pStyle w:val="TAH"/>
              <w:rPr>
                <w:lang w:val="fr-FR"/>
              </w:rPr>
            </w:pPr>
            <w:r w:rsidRPr="00E42255">
              <w:rPr>
                <w:lang w:val="fr-FR"/>
              </w:rPr>
              <w:t>Tap #</w:t>
            </w:r>
          </w:p>
        </w:tc>
        <w:tc>
          <w:tcPr>
            <w:tcW w:w="1077" w:type="dxa"/>
            <w:tcBorders>
              <w:top w:val="single" w:sz="4" w:space="0" w:color="auto"/>
              <w:left w:val="single" w:sz="4" w:space="0" w:color="auto"/>
              <w:bottom w:val="single" w:sz="4" w:space="0" w:color="auto"/>
              <w:right w:val="single" w:sz="4" w:space="0" w:color="auto"/>
            </w:tcBorders>
            <w:hideMark/>
          </w:tcPr>
          <w:p w14:paraId="6A85E2E2" w14:textId="77777777" w:rsidR="00C977C0" w:rsidRPr="00E42255" w:rsidRDefault="00C977C0" w:rsidP="00BC53AC">
            <w:pPr>
              <w:pStyle w:val="TAH"/>
              <w:rPr>
                <w:lang w:val="fr-FR"/>
              </w:rPr>
            </w:pPr>
            <w:r w:rsidRPr="00E42255">
              <w:rPr>
                <w:lang w:val="fr-FR"/>
              </w:rPr>
              <w:t>Delay (ns)</w:t>
            </w:r>
          </w:p>
        </w:tc>
        <w:tc>
          <w:tcPr>
            <w:tcW w:w="1167" w:type="dxa"/>
            <w:tcBorders>
              <w:top w:val="single" w:sz="4" w:space="0" w:color="auto"/>
              <w:left w:val="single" w:sz="4" w:space="0" w:color="auto"/>
              <w:bottom w:val="single" w:sz="4" w:space="0" w:color="auto"/>
              <w:right w:val="single" w:sz="4" w:space="0" w:color="auto"/>
            </w:tcBorders>
            <w:hideMark/>
          </w:tcPr>
          <w:p w14:paraId="2D5DDD2E" w14:textId="77777777" w:rsidR="00C977C0" w:rsidRPr="00E42255" w:rsidRDefault="00C977C0" w:rsidP="00BC53AC">
            <w:pPr>
              <w:pStyle w:val="TAH"/>
              <w:rPr>
                <w:lang w:val="fr-FR"/>
              </w:rPr>
            </w:pPr>
            <w:r w:rsidRPr="00E42255">
              <w:rPr>
                <w:lang w:val="fr-FR"/>
              </w:rPr>
              <w:t>Power (dB)</w:t>
            </w:r>
          </w:p>
        </w:tc>
        <w:tc>
          <w:tcPr>
            <w:tcW w:w="1846" w:type="dxa"/>
            <w:tcBorders>
              <w:top w:val="single" w:sz="4" w:space="0" w:color="auto"/>
              <w:left w:val="single" w:sz="4" w:space="0" w:color="auto"/>
              <w:bottom w:val="single" w:sz="4" w:space="0" w:color="auto"/>
              <w:right w:val="single" w:sz="4" w:space="0" w:color="auto"/>
            </w:tcBorders>
            <w:hideMark/>
          </w:tcPr>
          <w:p w14:paraId="04FB08D4" w14:textId="77777777" w:rsidR="00C977C0" w:rsidRPr="00E42255" w:rsidRDefault="00C977C0" w:rsidP="00BC53AC">
            <w:pPr>
              <w:pStyle w:val="TAH"/>
              <w:rPr>
                <w:lang w:val="fr-FR"/>
              </w:rPr>
            </w:pPr>
            <w:r w:rsidRPr="00E42255">
              <w:rPr>
                <w:lang w:val="fr-FR"/>
              </w:rPr>
              <w:t>Fading distribution</w:t>
            </w:r>
          </w:p>
        </w:tc>
      </w:tr>
      <w:tr w:rsidR="00C977C0" w:rsidRPr="00E42255" w14:paraId="131B17A5"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9609BB9" w14:textId="77777777" w:rsidR="00C977C0" w:rsidRPr="00E42255" w:rsidRDefault="00C977C0" w:rsidP="00BC53AC">
            <w:pPr>
              <w:pStyle w:val="TAC"/>
              <w:rPr>
                <w:lang w:val="fr-FR"/>
              </w:rPr>
            </w:pPr>
            <w:r w:rsidRPr="00E42255">
              <w:rPr>
                <w:lang w:val="fr-FR"/>
              </w:rPr>
              <w:t>1</w:t>
            </w:r>
          </w:p>
        </w:tc>
        <w:tc>
          <w:tcPr>
            <w:tcW w:w="1077" w:type="dxa"/>
            <w:tcBorders>
              <w:top w:val="single" w:sz="4" w:space="0" w:color="auto"/>
              <w:left w:val="single" w:sz="4" w:space="0" w:color="auto"/>
              <w:bottom w:val="single" w:sz="4" w:space="0" w:color="auto"/>
              <w:right w:val="single" w:sz="4" w:space="0" w:color="auto"/>
            </w:tcBorders>
            <w:hideMark/>
          </w:tcPr>
          <w:p w14:paraId="1A42DCCE" w14:textId="77777777" w:rsidR="00C977C0" w:rsidRPr="00E42255" w:rsidRDefault="00C977C0" w:rsidP="00BC53AC">
            <w:pPr>
              <w:pStyle w:val="TAC"/>
              <w:rPr>
                <w:lang w:val="fr-FR"/>
              </w:rPr>
            </w:pPr>
            <w:r w:rsidRPr="00E42255">
              <w:rPr>
                <w:lang w:val="fr-FR"/>
              </w:rPr>
              <w:t>0</w:t>
            </w:r>
          </w:p>
        </w:tc>
        <w:tc>
          <w:tcPr>
            <w:tcW w:w="1167" w:type="dxa"/>
            <w:tcBorders>
              <w:top w:val="single" w:sz="4" w:space="0" w:color="auto"/>
              <w:left w:val="single" w:sz="4" w:space="0" w:color="auto"/>
              <w:bottom w:val="single" w:sz="4" w:space="0" w:color="auto"/>
              <w:right w:val="single" w:sz="4" w:space="0" w:color="auto"/>
            </w:tcBorders>
            <w:hideMark/>
          </w:tcPr>
          <w:p w14:paraId="121D8116" w14:textId="77777777" w:rsidR="00C977C0" w:rsidRPr="00E42255" w:rsidRDefault="00C977C0" w:rsidP="00BC53AC">
            <w:pPr>
              <w:pStyle w:val="TAC"/>
              <w:rPr>
                <w:lang w:val="fr-FR"/>
              </w:rPr>
            </w:pPr>
            <w:r w:rsidRPr="00E42255">
              <w:rPr>
                <w:lang w:val="fr-FR"/>
              </w:rPr>
              <w:t>-15.5</w:t>
            </w:r>
          </w:p>
        </w:tc>
        <w:tc>
          <w:tcPr>
            <w:tcW w:w="1846" w:type="dxa"/>
            <w:tcBorders>
              <w:top w:val="single" w:sz="4" w:space="0" w:color="auto"/>
              <w:left w:val="single" w:sz="4" w:space="0" w:color="auto"/>
              <w:bottom w:val="nil"/>
              <w:right w:val="single" w:sz="4" w:space="0" w:color="auto"/>
            </w:tcBorders>
          </w:tcPr>
          <w:p w14:paraId="10EDEFF4" w14:textId="77777777" w:rsidR="00C977C0" w:rsidRPr="00E42255" w:rsidRDefault="00C977C0" w:rsidP="00BC53AC">
            <w:pPr>
              <w:pStyle w:val="TAC"/>
              <w:rPr>
                <w:lang w:val="fr-FR"/>
              </w:rPr>
            </w:pPr>
          </w:p>
        </w:tc>
      </w:tr>
      <w:tr w:rsidR="00C977C0" w:rsidRPr="00E42255" w14:paraId="419A3846"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1166CAAB" w14:textId="77777777" w:rsidR="00C977C0" w:rsidRPr="00E42255" w:rsidRDefault="00C977C0" w:rsidP="00BC53AC">
            <w:pPr>
              <w:pStyle w:val="TAC"/>
              <w:rPr>
                <w:lang w:val="fr-FR"/>
              </w:rPr>
            </w:pPr>
            <w:r w:rsidRPr="00E42255">
              <w:rPr>
                <w:lang w:val="fr-FR"/>
              </w:rPr>
              <w:t>2</w:t>
            </w:r>
          </w:p>
        </w:tc>
        <w:tc>
          <w:tcPr>
            <w:tcW w:w="1077" w:type="dxa"/>
            <w:tcBorders>
              <w:top w:val="single" w:sz="4" w:space="0" w:color="auto"/>
              <w:left w:val="single" w:sz="4" w:space="0" w:color="auto"/>
              <w:bottom w:val="single" w:sz="4" w:space="0" w:color="auto"/>
              <w:right w:val="single" w:sz="4" w:space="0" w:color="auto"/>
            </w:tcBorders>
            <w:hideMark/>
          </w:tcPr>
          <w:p w14:paraId="2F79BEAA" w14:textId="77777777" w:rsidR="00C977C0" w:rsidRPr="00E42255" w:rsidRDefault="00C977C0" w:rsidP="00BC53AC">
            <w:pPr>
              <w:pStyle w:val="TAC"/>
              <w:rPr>
                <w:lang w:val="fr-FR"/>
              </w:rPr>
            </w:pPr>
            <w:r w:rsidRPr="00E42255">
              <w:rPr>
                <w:lang w:val="fr-FR"/>
              </w:rPr>
              <w:t>10</w:t>
            </w:r>
          </w:p>
        </w:tc>
        <w:tc>
          <w:tcPr>
            <w:tcW w:w="1167" w:type="dxa"/>
            <w:tcBorders>
              <w:top w:val="single" w:sz="4" w:space="0" w:color="auto"/>
              <w:left w:val="single" w:sz="4" w:space="0" w:color="auto"/>
              <w:bottom w:val="single" w:sz="4" w:space="0" w:color="auto"/>
              <w:right w:val="single" w:sz="4" w:space="0" w:color="auto"/>
            </w:tcBorders>
            <w:hideMark/>
          </w:tcPr>
          <w:p w14:paraId="6C94509A" w14:textId="77777777" w:rsidR="00C977C0" w:rsidRPr="00E42255" w:rsidRDefault="00C977C0" w:rsidP="00BC53AC">
            <w:pPr>
              <w:pStyle w:val="TAC"/>
              <w:rPr>
                <w:lang w:val="fr-FR"/>
              </w:rPr>
            </w:pPr>
            <w:r w:rsidRPr="00E42255">
              <w:rPr>
                <w:lang w:val="fr-FR"/>
              </w:rPr>
              <w:t>0</w:t>
            </w:r>
          </w:p>
        </w:tc>
        <w:tc>
          <w:tcPr>
            <w:tcW w:w="1846" w:type="dxa"/>
            <w:tcBorders>
              <w:top w:val="nil"/>
              <w:left w:val="single" w:sz="4" w:space="0" w:color="auto"/>
              <w:bottom w:val="nil"/>
              <w:right w:val="single" w:sz="4" w:space="0" w:color="auto"/>
            </w:tcBorders>
          </w:tcPr>
          <w:p w14:paraId="10E523C7" w14:textId="77777777" w:rsidR="00C977C0" w:rsidRPr="00E42255" w:rsidRDefault="00C977C0" w:rsidP="00BC53AC">
            <w:pPr>
              <w:pStyle w:val="TAC"/>
              <w:rPr>
                <w:lang w:val="fr-FR"/>
              </w:rPr>
            </w:pPr>
          </w:p>
        </w:tc>
      </w:tr>
      <w:tr w:rsidR="00C977C0" w:rsidRPr="00E42255" w14:paraId="38B534FF"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546DAAFF" w14:textId="77777777" w:rsidR="00C977C0" w:rsidRPr="00E42255" w:rsidRDefault="00C977C0" w:rsidP="00BC53AC">
            <w:pPr>
              <w:pStyle w:val="TAC"/>
              <w:rPr>
                <w:lang w:val="fr-FR"/>
              </w:rPr>
            </w:pPr>
            <w:r w:rsidRPr="00E42255">
              <w:rPr>
                <w:lang w:val="fr-FR"/>
              </w:rPr>
              <w:t>3</w:t>
            </w:r>
          </w:p>
        </w:tc>
        <w:tc>
          <w:tcPr>
            <w:tcW w:w="1077" w:type="dxa"/>
            <w:tcBorders>
              <w:top w:val="single" w:sz="4" w:space="0" w:color="auto"/>
              <w:left w:val="single" w:sz="4" w:space="0" w:color="auto"/>
              <w:bottom w:val="single" w:sz="4" w:space="0" w:color="auto"/>
              <w:right w:val="single" w:sz="4" w:space="0" w:color="auto"/>
            </w:tcBorders>
            <w:hideMark/>
          </w:tcPr>
          <w:p w14:paraId="0E45E31D" w14:textId="77777777" w:rsidR="00C977C0" w:rsidRPr="00E42255" w:rsidRDefault="00C977C0" w:rsidP="00BC53AC">
            <w:pPr>
              <w:pStyle w:val="TAC"/>
              <w:rPr>
                <w:lang w:val="fr-FR"/>
              </w:rPr>
            </w:pPr>
            <w:r w:rsidRPr="00E42255">
              <w:rPr>
                <w:lang w:val="fr-FR"/>
              </w:rPr>
              <w:t>15</w:t>
            </w:r>
          </w:p>
        </w:tc>
        <w:tc>
          <w:tcPr>
            <w:tcW w:w="1167" w:type="dxa"/>
            <w:tcBorders>
              <w:top w:val="single" w:sz="4" w:space="0" w:color="auto"/>
              <w:left w:val="single" w:sz="4" w:space="0" w:color="auto"/>
              <w:bottom w:val="single" w:sz="4" w:space="0" w:color="auto"/>
              <w:right w:val="single" w:sz="4" w:space="0" w:color="auto"/>
            </w:tcBorders>
            <w:hideMark/>
          </w:tcPr>
          <w:p w14:paraId="2A268749" w14:textId="77777777" w:rsidR="00C977C0" w:rsidRPr="00E42255" w:rsidRDefault="00C977C0" w:rsidP="00BC53AC">
            <w:pPr>
              <w:pStyle w:val="TAC"/>
              <w:rPr>
                <w:lang w:val="fr-FR"/>
              </w:rPr>
            </w:pPr>
            <w:r w:rsidRPr="00E42255">
              <w:rPr>
                <w:lang w:val="fr-FR"/>
              </w:rPr>
              <w:t>-5.1</w:t>
            </w:r>
          </w:p>
        </w:tc>
        <w:tc>
          <w:tcPr>
            <w:tcW w:w="1846" w:type="dxa"/>
            <w:tcBorders>
              <w:top w:val="nil"/>
              <w:left w:val="single" w:sz="4" w:space="0" w:color="auto"/>
              <w:bottom w:val="nil"/>
              <w:right w:val="single" w:sz="4" w:space="0" w:color="auto"/>
            </w:tcBorders>
          </w:tcPr>
          <w:p w14:paraId="2320B464" w14:textId="77777777" w:rsidR="00C977C0" w:rsidRPr="00E42255" w:rsidRDefault="00C977C0" w:rsidP="00BC53AC">
            <w:pPr>
              <w:pStyle w:val="TAC"/>
              <w:rPr>
                <w:lang w:val="fr-FR"/>
              </w:rPr>
            </w:pPr>
          </w:p>
        </w:tc>
      </w:tr>
      <w:tr w:rsidR="00C977C0" w:rsidRPr="00E42255" w14:paraId="64845A44"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1ABEFE38" w14:textId="77777777" w:rsidR="00C977C0" w:rsidRPr="00E42255" w:rsidRDefault="00C977C0" w:rsidP="00BC53AC">
            <w:pPr>
              <w:pStyle w:val="TAC"/>
              <w:rPr>
                <w:lang w:val="fr-FR"/>
              </w:rPr>
            </w:pPr>
            <w:r w:rsidRPr="00E42255">
              <w:rPr>
                <w:lang w:val="fr-FR"/>
              </w:rPr>
              <w:t>4</w:t>
            </w:r>
          </w:p>
        </w:tc>
        <w:tc>
          <w:tcPr>
            <w:tcW w:w="1077" w:type="dxa"/>
            <w:tcBorders>
              <w:top w:val="single" w:sz="4" w:space="0" w:color="auto"/>
              <w:left w:val="single" w:sz="4" w:space="0" w:color="auto"/>
              <w:bottom w:val="single" w:sz="4" w:space="0" w:color="auto"/>
              <w:right w:val="single" w:sz="4" w:space="0" w:color="auto"/>
            </w:tcBorders>
            <w:hideMark/>
          </w:tcPr>
          <w:p w14:paraId="2C2B6D2E" w14:textId="77777777" w:rsidR="00C977C0" w:rsidRPr="00E42255" w:rsidRDefault="00C977C0" w:rsidP="00BC53AC">
            <w:pPr>
              <w:pStyle w:val="TAC"/>
              <w:rPr>
                <w:lang w:val="fr-FR"/>
              </w:rPr>
            </w:pPr>
            <w:r w:rsidRPr="00E42255">
              <w:rPr>
                <w:lang w:val="fr-FR"/>
              </w:rPr>
              <w:t>20</w:t>
            </w:r>
          </w:p>
        </w:tc>
        <w:tc>
          <w:tcPr>
            <w:tcW w:w="1167" w:type="dxa"/>
            <w:tcBorders>
              <w:top w:val="single" w:sz="4" w:space="0" w:color="auto"/>
              <w:left w:val="single" w:sz="4" w:space="0" w:color="auto"/>
              <w:bottom w:val="single" w:sz="4" w:space="0" w:color="auto"/>
              <w:right w:val="single" w:sz="4" w:space="0" w:color="auto"/>
            </w:tcBorders>
            <w:hideMark/>
          </w:tcPr>
          <w:p w14:paraId="19085874" w14:textId="77777777" w:rsidR="00C977C0" w:rsidRPr="00E42255" w:rsidRDefault="00C977C0" w:rsidP="00BC53AC">
            <w:pPr>
              <w:pStyle w:val="TAC"/>
              <w:rPr>
                <w:lang w:val="fr-FR"/>
              </w:rPr>
            </w:pPr>
            <w:r w:rsidRPr="00E42255">
              <w:rPr>
                <w:lang w:val="fr-FR"/>
              </w:rPr>
              <w:t>-5.1</w:t>
            </w:r>
          </w:p>
        </w:tc>
        <w:tc>
          <w:tcPr>
            <w:tcW w:w="1846" w:type="dxa"/>
            <w:tcBorders>
              <w:top w:val="nil"/>
              <w:left w:val="single" w:sz="4" w:space="0" w:color="auto"/>
              <w:bottom w:val="nil"/>
              <w:right w:val="single" w:sz="4" w:space="0" w:color="auto"/>
            </w:tcBorders>
          </w:tcPr>
          <w:p w14:paraId="70360C57" w14:textId="77777777" w:rsidR="00C977C0" w:rsidRPr="00E42255" w:rsidRDefault="00C977C0" w:rsidP="00BC53AC">
            <w:pPr>
              <w:pStyle w:val="TAC"/>
              <w:rPr>
                <w:lang w:val="fr-FR"/>
              </w:rPr>
            </w:pPr>
          </w:p>
        </w:tc>
      </w:tr>
      <w:tr w:rsidR="00C977C0" w:rsidRPr="00E42255" w14:paraId="6180D16B"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487DBDD" w14:textId="77777777" w:rsidR="00C977C0" w:rsidRPr="00E42255" w:rsidRDefault="00C977C0" w:rsidP="00BC53AC">
            <w:pPr>
              <w:pStyle w:val="TAC"/>
              <w:rPr>
                <w:lang w:val="fr-FR"/>
              </w:rPr>
            </w:pPr>
            <w:r w:rsidRPr="00E42255">
              <w:rPr>
                <w:lang w:val="fr-FR"/>
              </w:rPr>
              <w:t>5</w:t>
            </w:r>
          </w:p>
        </w:tc>
        <w:tc>
          <w:tcPr>
            <w:tcW w:w="1077" w:type="dxa"/>
            <w:tcBorders>
              <w:top w:val="single" w:sz="4" w:space="0" w:color="auto"/>
              <w:left w:val="single" w:sz="4" w:space="0" w:color="auto"/>
              <w:bottom w:val="single" w:sz="4" w:space="0" w:color="auto"/>
              <w:right w:val="single" w:sz="4" w:space="0" w:color="auto"/>
            </w:tcBorders>
            <w:hideMark/>
          </w:tcPr>
          <w:p w14:paraId="2B0A7C1C" w14:textId="77777777" w:rsidR="00C977C0" w:rsidRPr="00E42255" w:rsidRDefault="00C977C0" w:rsidP="00BC53AC">
            <w:pPr>
              <w:pStyle w:val="TAC"/>
              <w:rPr>
                <w:lang w:val="fr-FR"/>
              </w:rPr>
            </w:pPr>
            <w:r w:rsidRPr="00E42255">
              <w:rPr>
                <w:lang w:val="fr-FR"/>
              </w:rPr>
              <w:t>25</w:t>
            </w:r>
          </w:p>
        </w:tc>
        <w:tc>
          <w:tcPr>
            <w:tcW w:w="1167" w:type="dxa"/>
            <w:tcBorders>
              <w:top w:val="single" w:sz="4" w:space="0" w:color="auto"/>
              <w:left w:val="single" w:sz="4" w:space="0" w:color="auto"/>
              <w:bottom w:val="single" w:sz="4" w:space="0" w:color="auto"/>
              <w:right w:val="single" w:sz="4" w:space="0" w:color="auto"/>
            </w:tcBorders>
            <w:hideMark/>
          </w:tcPr>
          <w:p w14:paraId="4C481B4F" w14:textId="77777777" w:rsidR="00C977C0" w:rsidRPr="00E42255" w:rsidRDefault="00C977C0" w:rsidP="00BC53AC">
            <w:pPr>
              <w:pStyle w:val="TAC"/>
              <w:rPr>
                <w:lang w:val="fr-FR"/>
              </w:rPr>
            </w:pPr>
            <w:r w:rsidRPr="00E42255">
              <w:rPr>
                <w:lang w:val="fr-FR"/>
              </w:rPr>
              <w:t>-9.6</w:t>
            </w:r>
          </w:p>
        </w:tc>
        <w:tc>
          <w:tcPr>
            <w:tcW w:w="1846" w:type="dxa"/>
            <w:tcBorders>
              <w:top w:val="nil"/>
              <w:left w:val="single" w:sz="4" w:space="0" w:color="auto"/>
              <w:bottom w:val="nil"/>
              <w:right w:val="single" w:sz="4" w:space="0" w:color="auto"/>
            </w:tcBorders>
          </w:tcPr>
          <w:p w14:paraId="054C7713" w14:textId="77777777" w:rsidR="00C977C0" w:rsidRPr="00E42255" w:rsidRDefault="00C977C0" w:rsidP="00BC53AC">
            <w:pPr>
              <w:pStyle w:val="TAC"/>
              <w:rPr>
                <w:lang w:val="fr-FR"/>
              </w:rPr>
            </w:pPr>
          </w:p>
        </w:tc>
      </w:tr>
      <w:tr w:rsidR="00C977C0" w:rsidRPr="00E42255" w14:paraId="3E74CB58"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5EED495" w14:textId="77777777" w:rsidR="00C977C0" w:rsidRPr="00E42255" w:rsidRDefault="00C977C0" w:rsidP="00BC53AC">
            <w:pPr>
              <w:pStyle w:val="TAC"/>
              <w:rPr>
                <w:lang w:val="fr-FR"/>
              </w:rPr>
            </w:pPr>
            <w:r w:rsidRPr="00E42255">
              <w:rPr>
                <w:lang w:val="fr-FR"/>
              </w:rPr>
              <w:t>6</w:t>
            </w:r>
          </w:p>
        </w:tc>
        <w:tc>
          <w:tcPr>
            <w:tcW w:w="1077" w:type="dxa"/>
            <w:tcBorders>
              <w:top w:val="single" w:sz="4" w:space="0" w:color="auto"/>
              <w:left w:val="single" w:sz="4" w:space="0" w:color="auto"/>
              <w:bottom w:val="single" w:sz="4" w:space="0" w:color="auto"/>
              <w:right w:val="single" w:sz="4" w:space="0" w:color="auto"/>
            </w:tcBorders>
            <w:hideMark/>
          </w:tcPr>
          <w:p w14:paraId="565E2262" w14:textId="77777777" w:rsidR="00C977C0" w:rsidRPr="00E42255" w:rsidRDefault="00C977C0" w:rsidP="00BC53AC">
            <w:pPr>
              <w:pStyle w:val="TAC"/>
              <w:rPr>
                <w:lang w:val="fr-FR"/>
              </w:rPr>
            </w:pPr>
            <w:r w:rsidRPr="00E42255">
              <w:rPr>
                <w:lang w:val="fr-FR"/>
              </w:rPr>
              <w:t>50</w:t>
            </w:r>
          </w:p>
        </w:tc>
        <w:tc>
          <w:tcPr>
            <w:tcW w:w="1167" w:type="dxa"/>
            <w:tcBorders>
              <w:top w:val="single" w:sz="4" w:space="0" w:color="auto"/>
              <w:left w:val="single" w:sz="4" w:space="0" w:color="auto"/>
              <w:bottom w:val="single" w:sz="4" w:space="0" w:color="auto"/>
              <w:right w:val="single" w:sz="4" w:space="0" w:color="auto"/>
            </w:tcBorders>
            <w:hideMark/>
          </w:tcPr>
          <w:p w14:paraId="7459E3AA" w14:textId="77777777" w:rsidR="00C977C0" w:rsidRPr="00E42255" w:rsidRDefault="00C977C0" w:rsidP="00BC53AC">
            <w:pPr>
              <w:pStyle w:val="TAC"/>
              <w:rPr>
                <w:lang w:val="fr-FR"/>
              </w:rPr>
            </w:pPr>
            <w:r w:rsidRPr="00E42255">
              <w:rPr>
                <w:lang w:val="fr-FR"/>
              </w:rPr>
              <w:t>-8.2</w:t>
            </w:r>
          </w:p>
        </w:tc>
        <w:tc>
          <w:tcPr>
            <w:tcW w:w="1846" w:type="dxa"/>
            <w:tcBorders>
              <w:top w:val="nil"/>
              <w:left w:val="single" w:sz="4" w:space="0" w:color="auto"/>
              <w:bottom w:val="nil"/>
              <w:right w:val="single" w:sz="4" w:space="0" w:color="auto"/>
            </w:tcBorders>
            <w:hideMark/>
          </w:tcPr>
          <w:p w14:paraId="377FD756" w14:textId="77777777" w:rsidR="00C977C0" w:rsidRPr="00E42255" w:rsidRDefault="00C977C0" w:rsidP="00BC53AC">
            <w:pPr>
              <w:pStyle w:val="TAC"/>
              <w:rPr>
                <w:lang w:val="fr-FR"/>
              </w:rPr>
            </w:pPr>
            <w:r w:rsidRPr="00E42255">
              <w:rPr>
                <w:lang w:val="fr-FR"/>
              </w:rPr>
              <w:t>Rayleigh</w:t>
            </w:r>
          </w:p>
        </w:tc>
      </w:tr>
      <w:tr w:rsidR="00C977C0" w:rsidRPr="00E42255" w14:paraId="1D94FE5B"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1A9C54A" w14:textId="77777777" w:rsidR="00C977C0" w:rsidRPr="00E42255" w:rsidRDefault="00C977C0" w:rsidP="00BC53AC">
            <w:pPr>
              <w:pStyle w:val="TAC"/>
              <w:rPr>
                <w:lang w:val="fr-FR"/>
              </w:rPr>
            </w:pPr>
            <w:r w:rsidRPr="00E42255">
              <w:rPr>
                <w:lang w:val="fr-FR"/>
              </w:rPr>
              <w:t>7</w:t>
            </w:r>
          </w:p>
        </w:tc>
        <w:tc>
          <w:tcPr>
            <w:tcW w:w="1077" w:type="dxa"/>
            <w:tcBorders>
              <w:top w:val="single" w:sz="4" w:space="0" w:color="auto"/>
              <w:left w:val="single" w:sz="4" w:space="0" w:color="auto"/>
              <w:bottom w:val="single" w:sz="4" w:space="0" w:color="auto"/>
              <w:right w:val="single" w:sz="4" w:space="0" w:color="auto"/>
            </w:tcBorders>
            <w:hideMark/>
          </w:tcPr>
          <w:p w14:paraId="090264F4" w14:textId="77777777" w:rsidR="00C977C0" w:rsidRPr="00E42255" w:rsidRDefault="00C977C0" w:rsidP="00BC53AC">
            <w:pPr>
              <w:pStyle w:val="TAC"/>
              <w:rPr>
                <w:lang w:val="fr-FR"/>
              </w:rPr>
            </w:pPr>
            <w:r w:rsidRPr="00E42255">
              <w:rPr>
                <w:lang w:val="fr-FR"/>
              </w:rPr>
              <w:t>65</w:t>
            </w:r>
          </w:p>
        </w:tc>
        <w:tc>
          <w:tcPr>
            <w:tcW w:w="1167" w:type="dxa"/>
            <w:tcBorders>
              <w:top w:val="single" w:sz="4" w:space="0" w:color="auto"/>
              <w:left w:val="single" w:sz="4" w:space="0" w:color="auto"/>
              <w:bottom w:val="single" w:sz="4" w:space="0" w:color="auto"/>
              <w:right w:val="single" w:sz="4" w:space="0" w:color="auto"/>
            </w:tcBorders>
            <w:hideMark/>
          </w:tcPr>
          <w:p w14:paraId="3BE7998A" w14:textId="77777777" w:rsidR="00C977C0" w:rsidRPr="00E42255" w:rsidRDefault="00C977C0" w:rsidP="00BC53AC">
            <w:pPr>
              <w:pStyle w:val="TAC"/>
              <w:rPr>
                <w:lang w:val="fr-FR"/>
              </w:rPr>
            </w:pPr>
            <w:r w:rsidRPr="00E42255">
              <w:rPr>
                <w:lang w:val="fr-FR"/>
              </w:rPr>
              <w:t>-13.1</w:t>
            </w:r>
          </w:p>
        </w:tc>
        <w:tc>
          <w:tcPr>
            <w:tcW w:w="1846" w:type="dxa"/>
            <w:tcBorders>
              <w:top w:val="nil"/>
              <w:left w:val="single" w:sz="4" w:space="0" w:color="auto"/>
              <w:bottom w:val="nil"/>
              <w:right w:val="single" w:sz="4" w:space="0" w:color="auto"/>
            </w:tcBorders>
          </w:tcPr>
          <w:p w14:paraId="3EFA261D" w14:textId="77777777" w:rsidR="00C977C0" w:rsidRPr="00E42255" w:rsidRDefault="00C977C0" w:rsidP="00BC53AC">
            <w:pPr>
              <w:pStyle w:val="TAC"/>
              <w:rPr>
                <w:lang w:val="fr-FR"/>
              </w:rPr>
            </w:pPr>
          </w:p>
        </w:tc>
      </w:tr>
      <w:tr w:rsidR="00C977C0" w:rsidRPr="00E42255" w14:paraId="07979331"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7EE9809" w14:textId="77777777" w:rsidR="00C977C0" w:rsidRPr="00E42255" w:rsidRDefault="00C977C0" w:rsidP="00BC53AC">
            <w:pPr>
              <w:pStyle w:val="TAC"/>
              <w:rPr>
                <w:lang w:val="fr-FR"/>
              </w:rPr>
            </w:pPr>
            <w:r w:rsidRPr="00E42255">
              <w:rPr>
                <w:lang w:val="fr-FR"/>
              </w:rPr>
              <w:t xml:space="preserve"> 8</w:t>
            </w:r>
          </w:p>
        </w:tc>
        <w:tc>
          <w:tcPr>
            <w:tcW w:w="1077" w:type="dxa"/>
            <w:tcBorders>
              <w:top w:val="single" w:sz="4" w:space="0" w:color="auto"/>
              <w:left w:val="single" w:sz="4" w:space="0" w:color="auto"/>
              <w:bottom w:val="single" w:sz="4" w:space="0" w:color="auto"/>
              <w:right w:val="single" w:sz="4" w:space="0" w:color="auto"/>
            </w:tcBorders>
            <w:hideMark/>
          </w:tcPr>
          <w:p w14:paraId="174B8D34" w14:textId="77777777" w:rsidR="00C977C0" w:rsidRPr="00E42255" w:rsidRDefault="00C977C0" w:rsidP="00BC53AC">
            <w:pPr>
              <w:pStyle w:val="TAC"/>
              <w:rPr>
                <w:lang w:val="fr-FR"/>
              </w:rPr>
            </w:pPr>
            <w:r w:rsidRPr="00E42255">
              <w:rPr>
                <w:lang w:val="fr-FR"/>
              </w:rPr>
              <w:t>75</w:t>
            </w:r>
          </w:p>
        </w:tc>
        <w:tc>
          <w:tcPr>
            <w:tcW w:w="1167" w:type="dxa"/>
            <w:tcBorders>
              <w:top w:val="single" w:sz="4" w:space="0" w:color="auto"/>
              <w:left w:val="single" w:sz="4" w:space="0" w:color="auto"/>
              <w:bottom w:val="single" w:sz="4" w:space="0" w:color="auto"/>
              <w:right w:val="single" w:sz="4" w:space="0" w:color="auto"/>
            </w:tcBorders>
            <w:hideMark/>
          </w:tcPr>
          <w:p w14:paraId="4874C826" w14:textId="77777777" w:rsidR="00C977C0" w:rsidRPr="00E42255" w:rsidRDefault="00C977C0" w:rsidP="00BC53AC">
            <w:pPr>
              <w:pStyle w:val="TAC"/>
              <w:rPr>
                <w:lang w:val="fr-FR"/>
              </w:rPr>
            </w:pPr>
            <w:r w:rsidRPr="00E42255">
              <w:rPr>
                <w:lang w:val="fr-FR"/>
              </w:rPr>
              <w:t>-11.5</w:t>
            </w:r>
          </w:p>
        </w:tc>
        <w:tc>
          <w:tcPr>
            <w:tcW w:w="1846" w:type="dxa"/>
            <w:tcBorders>
              <w:top w:val="nil"/>
              <w:left w:val="single" w:sz="4" w:space="0" w:color="auto"/>
              <w:bottom w:val="nil"/>
              <w:right w:val="single" w:sz="4" w:space="0" w:color="auto"/>
            </w:tcBorders>
          </w:tcPr>
          <w:p w14:paraId="432F45DA" w14:textId="77777777" w:rsidR="00C977C0" w:rsidRPr="00E42255" w:rsidRDefault="00C977C0" w:rsidP="00BC53AC">
            <w:pPr>
              <w:pStyle w:val="TAC"/>
              <w:rPr>
                <w:lang w:val="fr-FR"/>
              </w:rPr>
            </w:pPr>
          </w:p>
        </w:tc>
      </w:tr>
      <w:tr w:rsidR="00C977C0" w:rsidRPr="00E42255" w14:paraId="3AD648A3"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5CF66DDB" w14:textId="77777777" w:rsidR="00C977C0" w:rsidRPr="00E42255" w:rsidRDefault="00C977C0" w:rsidP="00BC53AC">
            <w:pPr>
              <w:pStyle w:val="TAC"/>
              <w:rPr>
                <w:lang w:val="fr-FR"/>
              </w:rPr>
            </w:pPr>
            <w:r w:rsidRPr="00E42255">
              <w:rPr>
                <w:lang w:val="fr-FR"/>
              </w:rPr>
              <w:t>9</w:t>
            </w:r>
          </w:p>
        </w:tc>
        <w:tc>
          <w:tcPr>
            <w:tcW w:w="1077" w:type="dxa"/>
            <w:tcBorders>
              <w:top w:val="single" w:sz="4" w:space="0" w:color="auto"/>
              <w:left w:val="single" w:sz="4" w:space="0" w:color="auto"/>
              <w:bottom w:val="single" w:sz="4" w:space="0" w:color="auto"/>
              <w:right w:val="single" w:sz="4" w:space="0" w:color="auto"/>
            </w:tcBorders>
            <w:hideMark/>
          </w:tcPr>
          <w:p w14:paraId="74E14718" w14:textId="77777777" w:rsidR="00C977C0" w:rsidRPr="00E42255" w:rsidRDefault="00C977C0" w:rsidP="00BC53AC">
            <w:pPr>
              <w:pStyle w:val="TAC"/>
              <w:rPr>
                <w:lang w:val="fr-FR"/>
              </w:rPr>
            </w:pPr>
            <w:r w:rsidRPr="00E42255">
              <w:rPr>
                <w:lang w:val="fr-FR"/>
              </w:rPr>
              <w:t>105</w:t>
            </w:r>
          </w:p>
        </w:tc>
        <w:tc>
          <w:tcPr>
            <w:tcW w:w="1167" w:type="dxa"/>
            <w:tcBorders>
              <w:top w:val="single" w:sz="4" w:space="0" w:color="auto"/>
              <w:left w:val="single" w:sz="4" w:space="0" w:color="auto"/>
              <w:bottom w:val="single" w:sz="4" w:space="0" w:color="auto"/>
              <w:right w:val="single" w:sz="4" w:space="0" w:color="auto"/>
            </w:tcBorders>
            <w:hideMark/>
          </w:tcPr>
          <w:p w14:paraId="01714A13" w14:textId="77777777" w:rsidR="00C977C0" w:rsidRPr="00E42255" w:rsidRDefault="00C977C0" w:rsidP="00BC53AC">
            <w:pPr>
              <w:pStyle w:val="TAC"/>
              <w:rPr>
                <w:lang w:val="fr-FR"/>
              </w:rPr>
            </w:pPr>
            <w:r w:rsidRPr="00E42255">
              <w:rPr>
                <w:lang w:val="fr-FR"/>
              </w:rPr>
              <w:t>-11.0</w:t>
            </w:r>
          </w:p>
        </w:tc>
        <w:tc>
          <w:tcPr>
            <w:tcW w:w="1846" w:type="dxa"/>
            <w:tcBorders>
              <w:top w:val="nil"/>
              <w:left w:val="single" w:sz="4" w:space="0" w:color="auto"/>
              <w:bottom w:val="nil"/>
              <w:right w:val="single" w:sz="4" w:space="0" w:color="auto"/>
            </w:tcBorders>
          </w:tcPr>
          <w:p w14:paraId="7233732C" w14:textId="77777777" w:rsidR="00C977C0" w:rsidRPr="00E42255" w:rsidRDefault="00C977C0" w:rsidP="00BC53AC">
            <w:pPr>
              <w:pStyle w:val="TAC"/>
              <w:rPr>
                <w:lang w:val="fr-FR"/>
              </w:rPr>
            </w:pPr>
          </w:p>
        </w:tc>
      </w:tr>
      <w:tr w:rsidR="00C977C0" w:rsidRPr="00E42255" w14:paraId="02DE386F"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9AD5893" w14:textId="77777777" w:rsidR="00C977C0" w:rsidRPr="00E42255" w:rsidRDefault="00C977C0" w:rsidP="00BC53AC">
            <w:pPr>
              <w:pStyle w:val="TAC"/>
              <w:rPr>
                <w:lang w:val="fr-FR"/>
              </w:rPr>
            </w:pPr>
            <w:r w:rsidRPr="00E42255">
              <w:rPr>
                <w:lang w:val="fr-FR"/>
              </w:rPr>
              <w:t>10</w:t>
            </w:r>
          </w:p>
        </w:tc>
        <w:tc>
          <w:tcPr>
            <w:tcW w:w="1077" w:type="dxa"/>
            <w:tcBorders>
              <w:top w:val="single" w:sz="4" w:space="0" w:color="auto"/>
              <w:left w:val="single" w:sz="4" w:space="0" w:color="auto"/>
              <w:bottom w:val="single" w:sz="4" w:space="0" w:color="auto"/>
              <w:right w:val="single" w:sz="4" w:space="0" w:color="auto"/>
            </w:tcBorders>
            <w:hideMark/>
          </w:tcPr>
          <w:p w14:paraId="1A2BE48F" w14:textId="77777777" w:rsidR="00C977C0" w:rsidRPr="00E42255" w:rsidRDefault="00C977C0" w:rsidP="00BC53AC">
            <w:pPr>
              <w:pStyle w:val="TAC"/>
              <w:rPr>
                <w:lang w:val="fr-FR"/>
              </w:rPr>
            </w:pPr>
            <w:r w:rsidRPr="00E42255">
              <w:rPr>
                <w:lang w:val="fr-FR"/>
              </w:rPr>
              <w:t>135</w:t>
            </w:r>
          </w:p>
        </w:tc>
        <w:tc>
          <w:tcPr>
            <w:tcW w:w="1167" w:type="dxa"/>
            <w:tcBorders>
              <w:top w:val="single" w:sz="4" w:space="0" w:color="auto"/>
              <w:left w:val="single" w:sz="4" w:space="0" w:color="auto"/>
              <w:bottom w:val="single" w:sz="4" w:space="0" w:color="auto"/>
              <w:right w:val="single" w:sz="4" w:space="0" w:color="auto"/>
            </w:tcBorders>
            <w:hideMark/>
          </w:tcPr>
          <w:p w14:paraId="20EBFDAB" w14:textId="77777777" w:rsidR="00C977C0" w:rsidRPr="00E42255" w:rsidRDefault="00C977C0" w:rsidP="00BC53AC">
            <w:pPr>
              <w:pStyle w:val="TAC"/>
              <w:rPr>
                <w:lang w:val="fr-FR"/>
              </w:rPr>
            </w:pPr>
            <w:r w:rsidRPr="00E42255">
              <w:rPr>
                <w:lang w:val="fr-FR"/>
              </w:rPr>
              <w:t>-16.2</w:t>
            </w:r>
          </w:p>
        </w:tc>
        <w:tc>
          <w:tcPr>
            <w:tcW w:w="1846" w:type="dxa"/>
            <w:tcBorders>
              <w:top w:val="nil"/>
              <w:left w:val="single" w:sz="4" w:space="0" w:color="auto"/>
              <w:bottom w:val="nil"/>
              <w:right w:val="single" w:sz="4" w:space="0" w:color="auto"/>
            </w:tcBorders>
          </w:tcPr>
          <w:p w14:paraId="186F5A0C" w14:textId="77777777" w:rsidR="00C977C0" w:rsidRPr="00E42255" w:rsidRDefault="00C977C0" w:rsidP="00BC53AC">
            <w:pPr>
              <w:pStyle w:val="TAC"/>
              <w:rPr>
                <w:lang w:val="fr-FR"/>
              </w:rPr>
            </w:pPr>
          </w:p>
        </w:tc>
      </w:tr>
      <w:tr w:rsidR="00C977C0" w:rsidRPr="00E42255" w14:paraId="08B53C53"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227A509" w14:textId="77777777" w:rsidR="00C977C0" w:rsidRPr="00E42255" w:rsidRDefault="00C977C0" w:rsidP="00BC53AC">
            <w:pPr>
              <w:pStyle w:val="TAC"/>
              <w:rPr>
                <w:lang w:val="fr-FR"/>
              </w:rPr>
            </w:pPr>
            <w:r w:rsidRPr="00E42255">
              <w:rPr>
                <w:lang w:val="fr-FR"/>
              </w:rPr>
              <w:t>11</w:t>
            </w:r>
          </w:p>
        </w:tc>
        <w:tc>
          <w:tcPr>
            <w:tcW w:w="1077" w:type="dxa"/>
            <w:tcBorders>
              <w:top w:val="single" w:sz="4" w:space="0" w:color="auto"/>
              <w:left w:val="single" w:sz="4" w:space="0" w:color="auto"/>
              <w:bottom w:val="single" w:sz="4" w:space="0" w:color="auto"/>
              <w:right w:val="single" w:sz="4" w:space="0" w:color="auto"/>
            </w:tcBorders>
            <w:hideMark/>
          </w:tcPr>
          <w:p w14:paraId="65F31247" w14:textId="77777777" w:rsidR="00C977C0" w:rsidRPr="00E42255" w:rsidRDefault="00C977C0" w:rsidP="00BC53AC">
            <w:pPr>
              <w:pStyle w:val="TAC"/>
              <w:rPr>
                <w:lang w:val="fr-FR"/>
              </w:rPr>
            </w:pPr>
            <w:r w:rsidRPr="00E42255">
              <w:rPr>
                <w:lang w:val="fr-FR"/>
              </w:rPr>
              <w:t>150</w:t>
            </w:r>
          </w:p>
        </w:tc>
        <w:tc>
          <w:tcPr>
            <w:tcW w:w="1167" w:type="dxa"/>
            <w:tcBorders>
              <w:top w:val="single" w:sz="4" w:space="0" w:color="auto"/>
              <w:left w:val="single" w:sz="4" w:space="0" w:color="auto"/>
              <w:bottom w:val="single" w:sz="4" w:space="0" w:color="auto"/>
              <w:right w:val="single" w:sz="4" w:space="0" w:color="auto"/>
            </w:tcBorders>
            <w:hideMark/>
          </w:tcPr>
          <w:p w14:paraId="39110DA1" w14:textId="77777777" w:rsidR="00C977C0" w:rsidRPr="00E42255" w:rsidRDefault="00C977C0" w:rsidP="00BC53AC">
            <w:pPr>
              <w:pStyle w:val="TAC"/>
              <w:rPr>
                <w:lang w:val="fr-FR"/>
              </w:rPr>
            </w:pPr>
            <w:r w:rsidRPr="00E42255">
              <w:rPr>
                <w:lang w:val="fr-FR"/>
              </w:rPr>
              <w:t>-16.6</w:t>
            </w:r>
          </w:p>
        </w:tc>
        <w:tc>
          <w:tcPr>
            <w:tcW w:w="1846" w:type="dxa"/>
            <w:tcBorders>
              <w:top w:val="nil"/>
              <w:left w:val="single" w:sz="4" w:space="0" w:color="auto"/>
              <w:bottom w:val="nil"/>
              <w:right w:val="single" w:sz="4" w:space="0" w:color="auto"/>
            </w:tcBorders>
          </w:tcPr>
          <w:p w14:paraId="5E44992D" w14:textId="77777777" w:rsidR="00C977C0" w:rsidRPr="00E42255" w:rsidRDefault="00C977C0" w:rsidP="00BC53AC">
            <w:pPr>
              <w:pStyle w:val="TAC"/>
              <w:rPr>
                <w:lang w:val="fr-FR"/>
              </w:rPr>
            </w:pPr>
          </w:p>
        </w:tc>
      </w:tr>
      <w:tr w:rsidR="00C977C0" w:rsidRPr="00E42255" w14:paraId="0196D58C"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BD801FD" w14:textId="77777777" w:rsidR="00C977C0" w:rsidRPr="00E42255" w:rsidRDefault="00C977C0" w:rsidP="00BC53AC">
            <w:pPr>
              <w:pStyle w:val="TAC"/>
              <w:rPr>
                <w:lang w:val="fr-FR"/>
              </w:rPr>
            </w:pPr>
            <w:r w:rsidRPr="00E42255">
              <w:rPr>
                <w:lang w:val="fr-FR"/>
              </w:rPr>
              <w:t>12</w:t>
            </w:r>
          </w:p>
        </w:tc>
        <w:tc>
          <w:tcPr>
            <w:tcW w:w="1077" w:type="dxa"/>
            <w:tcBorders>
              <w:top w:val="single" w:sz="4" w:space="0" w:color="auto"/>
              <w:left w:val="single" w:sz="4" w:space="0" w:color="auto"/>
              <w:bottom w:val="single" w:sz="4" w:space="0" w:color="auto"/>
              <w:right w:val="single" w:sz="4" w:space="0" w:color="auto"/>
            </w:tcBorders>
            <w:hideMark/>
          </w:tcPr>
          <w:p w14:paraId="18D1057A" w14:textId="77777777" w:rsidR="00C977C0" w:rsidRPr="00E42255" w:rsidRDefault="00C977C0" w:rsidP="00BC53AC">
            <w:pPr>
              <w:pStyle w:val="TAC"/>
              <w:rPr>
                <w:lang w:val="fr-FR"/>
              </w:rPr>
            </w:pPr>
            <w:r w:rsidRPr="00E42255">
              <w:rPr>
                <w:lang w:val="fr-FR"/>
              </w:rPr>
              <w:t>290</w:t>
            </w:r>
          </w:p>
        </w:tc>
        <w:tc>
          <w:tcPr>
            <w:tcW w:w="1167" w:type="dxa"/>
            <w:tcBorders>
              <w:top w:val="single" w:sz="4" w:space="0" w:color="auto"/>
              <w:left w:val="single" w:sz="4" w:space="0" w:color="auto"/>
              <w:bottom w:val="single" w:sz="4" w:space="0" w:color="auto"/>
              <w:right w:val="single" w:sz="4" w:space="0" w:color="auto"/>
            </w:tcBorders>
            <w:hideMark/>
          </w:tcPr>
          <w:p w14:paraId="25CBE680" w14:textId="77777777" w:rsidR="00C977C0" w:rsidRPr="00E42255" w:rsidRDefault="00C977C0" w:rsidP="00BC53AC">
            <w:pPr>
              <w:pStyle w:val="TAC"/>
              <w:rPr>
                <w:lang w:val="fr-FR"/>
              </w:rPr>
            </w:pPr>
            <w:r w:rsidRPr="00E42255">
              <w:rPr>
                <w:lang w:val="fr-FR"/>
              </w:rPr>
              <w:t>-26.2</w:t>
            </w:r>
          </w:p>
        </w:tc>
        <w:tc>
          <w:tcPr>
            <w:tcW w:w="1846" w:type="dxa"/>
            <w:tcBorders>
              <w:top w:val="nil"/>
              <w:left w:val="single" w:sz="4" w:space="0" w:color="auto"/>
              <w:bottom w:val="single" w:sz="4" w:space="0" w:color="auto"/>
              <w:right w:val="single" w:sz="4" w:space="0" w:color="auto"/>
            </w:tcBorders>
          </w:tcPr>
          <w:p w14:paraId="1A56736D" w14:textId="77777777" w:rsidR="00C977C0" w:rsidRPr="00E42255" w:rsidRDefault="00C977C0" w:rsidP="00BC53AC">
            <w:pPr>
              <w:pStyle w:val="TAC"/>
              <w:rPr>
                <w:lang w:val="fr-FR"/>
              </w:rPr>
            </w:pPr>
          </w:p>
        </w:tc>
      </w:tr>
    </w:tbl>
    <w:p w14:paraId="128B1123" w14:textId="77777777" w:rsidR="00C977C0" w:rsidRPr="00E42255" w:rsidRDefault="00C977C0" w:rsidP="00C977C0">
      <w:pPr>
        <w:rPr>
          <w:rFonts w:eastAsia="DengXian"/>
        </w:rPr>
      </w:pPr>
    </w:p>
    <w:p w14:paraId="7C1D24CF"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.2.2.2-3: TDLB100 (DS = 100ns)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687"/>
        <w:gridCol w:w="1077"/>
        <w:gridCol w:w="1167"/>
        <w:gridCol w:w="1846"/>
      </w:tblGrid>
      <w:tr w:rsidR="00C977C0" w:rsidRPr="00E42255" w14:paraId="3FE106CC"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051A0E47" w14:textId="77777777" w:rsidR="00C977C0" w:rsidRPr="00E42255" w:rsidRDefault="00C977C0" w:rsidP="00BC53AC">
            <w:pPr>
              <w:pStyle w:val="TAH"/>
              <w:rPr>
                <w:lang w:val="fr-FR"/>
              </w:rPr>
            </w:pPr>
            <w:r w:rsidRPr="00E42255">
              <w:rPr>
                <w:lang w:val="fr-FR"/>
              </w:rPr>
              <w:t>Tap #</w:t>
            </w:r>
          </w:p>
        </w:tc>
        <w:tc>
          <w:tcPr>
            <w:tcW w:w="1077" w:type="dxa"/>
            <w:tcBorders>
              <w:top w:val="single" w:sz="4" w:space="0" w:color="auto"/>
              <w:left w:val="single" w:sz="4" w:space="0" w:color="auto"/>
              <w:bottom w:val="single" w:sz="4" w:space="0" w:color="auto"/>
              <w:right w:val="single" w:sz="4" w:space="0" w:color="auto"/>
            </w:tcBorders>
            <w:hideMark/>
          </w:tcPr>
          <w:p w14:paraId="53A27968" w14:textId="77777777" w:rsidR="00C977C0" w:rsidRPr="00E42255" w:rsidRDefault="00C977C0" w:rsidP="00BC53AC">
            <w:pPr>
              <w:pStyle w:val="TAH"/>
              <w:rPr>
                <w:lang w:val="fr-FR"/>
              </w:rPr>
            </w:pPr>
            <w:r w:rsidRPr="00E42255">
              <w:rPr>
                <w:lang w:val="fr-FR"/>
              </w:rPr>
              <w:t>Delay (ns)</w:t>
            </w:r>
          </w:p>
        </w:tc>
        <w:tc>
          <w:tcPr>
            <w:tcW w:w="1167" w:type="dxa"/>
            <w:tcBorders>
              <w:top w:val="single" w:sz="4" w:space="0" w:color="auto"/>
              <w:left w:val="single" w:sz="4" w:space="0" w:color="auto"/>
              <w:bottom w:val="single" w:sz="4" w:space="0" w:color="auto"/>
              <w:right w:val="single" w:sz="4" w:space="0" w:color="auto"/>
            </w:tcBorders>
            <w:hideMark/>
          </w:tcPr>
          <w:p w14:paraId="1B186CCA" w14:textId="77777777" w:rsidR="00C977C0" w:rsidRPr="00E42255" w:rsidRDefault="00C977C0" w:rsidP="00BC53AC">
            <w:pPr>
              <w:pStyle w:val="TAH"/>
              <w:rPr>
                <w:lang w:val="fr-FR"/>
              </w:rPr>
            </w:pPr>
            <w:r w:rsidRPr="00E42255">
              <w:rPr>
                <w:lang w:val="fr-FR"/>
              </w:rPr>
              <w:t>Power (dB)</w:t>
            </w:r>
          </w:p>
        </w:tc>
        <w:tc>
          <w:tcPr>
            <w:tcW w:w="1846" w:type="dxa"/>
            <w:tcBorders>
              <w:top w:val="single" w:sz="4" w:space="0" w:color="auto"/>
              <w:left w:val="single" w:sz="4" w:space="0" w:color="auto"/>
              <w:bottom w:val="single" w:sz="4" w:space="0" w:color="auto"/>
              <w:right w:val="single" w:sz="4" w:space="0" w:color="auto"/>
            </w:tcBorders>
            <w:hideMark/>
          </w:tcPr>
          <w:p w14:paraId="13124B57" w14:textId="77777777" w:rsidR="00C977C0" w:rsidRPr="00E42255" w:rsidRDefault="00C977C0" w:rsidP="00BC53AC">
            <w:pPr>
              <w:pStyle w:val="TAH"/>
              <w:rPr>
                <w:lang w:val="fr-FR"/>
              </w:rPr>
            </w:pPr>
            <w:r w:rsidRPr="00E42255">
              <w:rPr>
                <w:lang w:val="fr-FR"/>
              </w:rPr>
              <w:t>Fading distribution</w:t>
            </w:r>
          </w:p>
        </w:tc>
      </w:tr>
      <w:tr w:rsidR="00C977C0" w:rsidRPr="00E42255" w14:paraId="562A2037"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36CE90CF" w14:textId="77777777" w:rsidR="00C977C0" w:rsidRPr="00E42255" w:rsidRDefault="00C977C0" w:rsidP="00BC53AC">
            <w:pPr>
              <w:pStyle w:val="TAC"/>
              <w:rPr>
                <w:lang w:val="fr-FR"/>
              </w:rPr>
            </w:pPr>
            <w:r w:rsidRPr="00E42255">
              <w:rPr>
                <w:lang w:val="fr-FR"/>
              </w:rPr>
              <w:t>1</w:t>
            </w:r>
          </w:p>
        </w:tc>
        <w:tc>
          <w:tcPr>
            <w:tcW w:w="1077" w:type="dxa"/>
            <w:tcBorders>
              <w:top w:val="single" w:sz="4" w:space="0" w:color="auto"/>
              <w:left w:val="single" w:sz="4" w:space="0" w:color="auto"/>
              <w:bottom w:val="single" w:sz="4" w:space="0" w:color="auto"/>
              <w:right w:val="single" w:sz="4" w:space="0" w:color="auto"/>
            </w:tcBorders>
            <w:hideMark/>
          </w:tcPr>
          <w:p w14:paraId="2D9620BA" w14:textId="77777777" w:rsidR="00C977C0" w:rsidRPr="00E42255" w:rsidRDefault="00C977C0" w:rsidP="00BC53AC">
            <w:pPr>
              <w:pStyle w:val="TAC"/>
              <w:rPr>
                <w:lang w:val="fr-FR"/>
              </w:rPr>
            </w:pPr>
            <w:r w:rsidRPr="00E42255">
              <w:rPr>
                <w:lang w:val="fr-FR"/>
              </w:rPr>
              <w:t>0</w:t>
            </w:r>
          </w:p>
        </w:tc>
        <w:tc>
          <w:tcPr>
            <w:tcW w:w="1167" w:type="dxa"/>
            <w:tcBorders>
              <w:top w:val="single" w:sz="4" w:space="0" w:color="auto"/>
              <w:left w:val="single" w:sz="4" w:space="0" w:color="auto"/>
              <w:bottom w:val="single" w:sz="4" w:space="0" w:color="auto"/>
              <w:right w:val="single" w:sz="4" w:space="0" w:color="auto"/>
            </w:tcBorders>
            <w:hideMark/>
          </w:tcPr>
          <w:p w14:paraId="73725D01" w14:textId="77777777" w:rsidR="00C977C0" w:rsidRPr="00E42255" w:rsidRDefault="00C977C0" w:rsidP="00BC53AC">
            <w:pPr>
              <w:pStyle w:val="TAC"/>
              <w:rPr>
                <w:lang w:val="fr-FR"/>
              </w:rPr>
            </w:pPr>
            <w:r w:rsidRPr="00E42255">
              <w:rPr>
                <w:lang w:val="fr-FR"/>
              </w:rPr>
              <w:t>0</w:t>
            </w:r>
          </w:p>
        </w:tc>
        <w:tc>
          <w:tcPr>
            <w:tcW w:w="1846" w:type="dxa"/>
            <w:tcBorders>
              <w:top w:val="single" w:sz="4" w:space="0" w:color="auto"/>
              <w:left w:val="single" w:sz="4" w:space="0" w:color="auto"/>
              <w:bottom w:val="nil"/>
              <w:right w:val="single" w:sz="4" w:space="0" w:color="auto"/>
            </w:tcBorders>
          </w:tcPr>
          <w:p w14:paraId="0566DC9D" w14:textId="77777777" w:rsidR="00C977C0" w:rsidRPr="00E42255" w:rsidRDefault="00C977C0" w:rsidP="00BC53AC">
            <w:pPr>
              <w:pStyle w:val="TAC"/>
              <w:rPr>
                <w:lang w:val="fr-FR"/>
              </w:rPr>
            </w:pPr>
          </w:p>
        </w:tc>
      </w:tr>
      <w:tr w:rsidR="00C977C0" w:rsidRPr="00E42255" w14:paraId="4525DC24"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922CC20" w14:textId="77777777" w:rsidR="00C977C0" w:rsidRPr="00E42255" w:rsidRDefault="00C977C0" w:rsidP="00BC53AC">
            <w:pPr>
              <w:pStyle w:val="TAC"/>
              <w:rPr>
                <w:lang w:val="fr-FR"/>
              </w:rPr>
            </w:pPr>
            <w:r w:rsidRPr="00E42255">
              <w:rPr>
                <w:lang w:val="fr-FR"/>
              </w:rPr>
              <w:t>2</w:t>
            </w:r>
          </w:p>
        </w:tc>
        <w:tc>
          <w:tcPr>
            <w:tcW w:w="1077" w:type="dxa"/>
            <w:tcBorders>
              <w:top w:val="single" w:sz="4" w:space="0" w:color="auto"/>
              <w:left w:val="single" w:sz="4" w:space="0" w:color="auto"/>
              <w:bottom w:val="single" w:sz="4" w:space="0" w:color="auto"/>
              <w:right w:val="single" w:sz="4" w:space="0" w:color="auto"/>
            </w:tcBorders>
            <w:hideMark/>
          </w:tcPr>
          <w:p w14:paraId="36FDC1EA" w14:textId="77777777" w:rsidR="00C977C0" w:rsidRPr="00E42255" w:rsidRDefault="00C977C0" w:rsidP="00BC53AC">
            <w:pPr>
              <w:pStyle w:val="TAC"/>
              <w:rPr>
                <w:lang w:val="fr-FR"/>
              </w:rPr>
            </w:pPr>
            <w:r w:rsidRPr="00E42255">
              <w:rPr>
                <w:lang w:val="fr-FR"/>
              </w:rPr>
              <w:t>10</w:t>
            </w:r>
          </w:p>
        </w:tc>
        <w:tc>
          <w:tcPr>
            <w:tcW w:w="1167" w:type="dxa"/>
            <w:tcBorders>
              <w:top w:val="single" w:sz="4" w:space="0" w:color="auto"/>
              <w:left w:val="single" w:sz="4" w:space="0" w:color="auto"/>
              <w:bottom w:val="single" w:sz="4" w:space="0" w:color="auto"/>
              <w:right w:val="single" w:sz="4" w:space="0" w:color="auto"/>
            </w:tcBorders>
            <w:hideMark/>
          </w:tcPr>
          <w:p w14:paraId="40050320" w14:textId="77777777" w:rsidR="00C977C0" w:rsidRPr="00E42255" w:rsidRDefault="00C977C0" w:rsidP="00BC53AC">
            <w:pPr>
              <w:pStyle w:val="TAC"/>
              <w:rPr>
                <w:lang w:val="fr-FR"/>
              </w:rPr>
            </w:pPr>
            <w:r w:rsidRPr="00E42255">
              <w:rPr>
                <w:lang w:val="fr-FR"/>
              </w:rPr>
              <w:t>-2.2</w:t>
            </w:r>
          </w:p>
        </w:tc>
        <w:tc>
          <w:tcPr>
            <w:tcW w:w="1846" w:type="dxa"/>
            <w:tcBorders>
              <w:top w:val="nil"/>
              <w:left w:val="single" w:sz="4" w:space="0" w:color="auto"/>
              <w:bottom w:val="nil"/>
              <w:right w:val="single" w:sz="4" w:space="0" w:color="auto"/>
            </w:tcBorders>
          </w:tcPr>
          <w:p w14:paraId="1B55C9A7" w14:textId="77777777" w:rsidR="00C977C0" w:rsidRPr="00E42255" w:rsidRDefault="00C977C0" w:rsidP="00BC53AC">
            <w:pPr>
              <w:pStyle w:val="TAC"/>
              <w:rPr>
                <w:lang w:val="fr-FR"/>
              </w:rPr>
            </w:pPr>
          </w:p>
        </w:tc>
      </w:tr>
      <w:tr w:rsidR="00C977C0" w:rsidRPr="00E42255" w14:paraId="5C6A3B33"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587B2E10" w14:textId="77777777" w:rsidR="00C977C0" w:rsidRPr="00E42255" w:rsidRDefault="00C977C0" w:rsidP="00BC53AC">
            <w:pPr>
              <w:pStyle w:val="TAC"/>
              <w:rPr>
                <w:lang w:val="fr-FR"/>
              </w:rPr>
            </w:pPr>
            <w:r w:rsidRPr="00E42255">
              <w:rPr>
                <w:lang w:val="fr-FR"/>
              </w:rPr>
              <w:t>3</w:t>
            </w:r>
          </w:p>
        </w:tc>
        <w:tc>
          <w:tcPr>
            <w:tcW w:w="1077" w:type="dxa"/>
            <w:tcBorders>
              <w:top w:val="single" w:sz="4" w:space="0" w:color="auto"/>
              <w:left w:val="single" w:sz="4" w:space="0" w:color="auto"/>
              <w:bottom w:val="single" w:sz="4" w:space="0" w:color="auto"/>
              <w:right w:val="single" w:sz="4" w:space="0" w:color="auto"/>
            </w:tcBorders>
            <w:hideMark/>
          </w:tcPr>
          <w:p w14:paraId="08A3059D" w14:textId="77777777" w:rsidR="00C977C0" w:rsidRPr="00E42255" w:rsidRDefault="00C977C0" w:rsidP="00BC53AC">
            <w:pPr>
              <w:pStyle w:val="TAC"/>
              <w:rPr>
                <w:lang w:val="fr-FR"/>
              </w:rPr>
            </w:pPr>
            <w:r w:rsidRPr="00E42255">
              <w:rPr>
                <w:lang w:val="fr-FR"/>
              </w:rPr>
              <w:t>20</w:t>
            </w:r>
          </w:p>
        </w:tc>
        <w:tc>
          <w:tcPr>
            <w:tcW w:w="1167" w:type="dxa"/>
            <w:tcBorders>
              <w:top w:val="single" w:sz="4" w:space="0" w:color="auto"/>
              <w:left w:val="single" w:sz="4" w:space="0" w:color="auto"/>
              <w:bottom w:val="single" w:sz="4" w:space="0" w:color="auto"/>
              <w:right w:val="single" w:sz="4" w:space="0" w:color="auto"/>
            </w:tcBorders>
            <w:hideMark/>
          </w:tcPr>
          <w:p w14:paraId="711B1DCA" w14:textId="77777777" w:rsidR="00C977C0" w:rsidRPr="00E42255" w:rsidRDefault="00C977C0" w:rsidP="00BC53AC">
            <w:pPr>
              <w:pStyle w:val="TAC"/>
              <w:rPr>
                <w:lang w:val="fr-FR"/>
              </w:rPr>
            </w:pPr>
            <w:r w:rsidRPr="00E42255">
              <w:rPr>
                <w:lang w:val="fr-FR"/>
              </w:rPr>
              <w:t>-0.6</w:t>
            </w:r>
          </w:p>
        </w:tc>
        <w:tc>
          <w:tcPr>
            <w:tcW w:w="1846" w:type="dxa"/>
            <w:tcBorders>
              <w:top w:val="nil"/>
              <w:left w:val="single" w:sz="4" w:space="0" w:color="auto"/>
              <w:bottom w:val="nil"/>
              <w:right w:val="single" w:sz="4" w:space="0" w:color="auto"/>
            </w:tcBorders>
          </w:tcPr>
          <w:p w14:paraId="3852D2B5" w14:textId="77777777" w:rsidR="00C977C0" w:rsidRPr="00E42255" w:rsidRDefault="00C977C0" w:rsidP="00BC53AC">
            <w:pPr>
              <w:pStyle w:val="TAC"/>
              <w:rPr>
                <w:lang w:val="fr-FR"/>
              </w:rPr>
            </w:pPr>
          </w:p>
        </w:tc>
      </w:tr>
      <w:tr w:rsidR="00C977C0" w:rsidRPr="00E42255" w14:paraId="40395898"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26DFE5F" w14:textId="77777777" w:rsidR="00C977C0" w:rsidRPr="00E42255" w:rsidRDefault="00C977C0" w:rsidP="00BC53AC">
            <w:pPr>
              <w:pStyle w:val="TAC"/>
              <w:rPr>
                <w:lang w:val="fr-FR"/>
              </w:rPr>
            </w:pPr>
            <w:r w:rsidRPr="00E42255">
              <w:rPr>
                <w:lang w:val="fr-FR"/>
              </w:rPr>
              <w:t>4</w:t>
            </w:r>
          </w:p>
        </w:tc>
        <w:tc>
          <w:tcPr>
            <w:tcW w:w="1077" w:type="dxa"/>
            <w:tcBorders>
              <w:top w:val="single" w:sz="4" w:space="0" w:color="auto"/>
              <w:left w:val="single" w:sz="4" w:space="0" w:color="auto"/>
              <w:bottom w:val="single" w:sz="4" w:space="0" w:color="auto"/>
              <w:right w:val="single" w:sz="4" w:space="0" w:color="auto"/>
            </w:tcBorders>
            <w:hideMark/>
          </w:tcPr>
          <w:p w14:paraId="00C48378" w14:textId="77777777" w:rsidR="00C977C0" w:rsidRPr="00E42255" w:rsidRDefault="00C977C0" w:rsidP="00BC53AC">
            <w:pPr>
              <w:pStyle w:val="TAC"/>
              <w:rPr>
                <w:lang w:val="fr-FR"/>
              </w:rPr>
            </w:pPr>
            <w:r w:rsidRPr="00E42255">
              <w:rPr>
                <w:lang w:val="fr-FR"/>
              </w:rPr>
              <w:t>30</w:t>
            </w:r>
          </w:p>
        </w:tc>
        <w:tc>
          <w:tcPr>
            <w:tcW w:w="1167" w:type="dxa"/>
            <w:tcBorders>
              <w:top w:val="single" w:sz="4" w:space="0" w:color="auto"/>
              <w:left w:val="single" w:sz="4" w:space="0" w:color="auto"/>
              <w:bottom w:val="single" w:sz="4" w:space="0" w:color="auto"/>
              <w:right w:val="single" w:sz="4" w:space="0" w:color="auto"/>
            </w:tcBorders>
            <w:hideMark/>
          </w:tcPr>
          <w:p w14:paraId="0DF436F0" w14:textId="77777777" w:rsidR="00C977C0" w:rsidRPr="00E42255" w:rsidRDefault="00C977C0" w:rsidP="00BC53AC">
            <w:pPr>
              <w:pStyle w:val="TAC"/>
              <w:rPr>
                <w:lang w:val="fr-FR"/>
              </w:rPr>
            </w:pPr>
            <w:r w:rsidRPr="00E42255">
              <w:rPr>
                <w:lang w:val="fr-FR"/>
              </w:rPr>
              <w:t>-0.6</w:t>
            </w:r>
          </w:p>
        </w:tc>
        <w:tc>
          <w:tcPr>
            <w:tcW w:w="1846" w:type="dxa"/>
            <w:tcBorders>
              <w:top w:val="nil"/>
              <w:left w:val="single" w:sz="4" w:space="0" w:color="auto"/>
              <w:bottom w:val="nil"/>
              <w:right w:val="single" w:sz="4" w:space="0" w:color="auto"/>
            </w:tcBorders>
          </w:tcPr>
          <w:p w14:paraId="6CEC4C55" w14:textId="77777777" w:rsidR="00C977C0" w:rsidRPr="00E42255" w:rsidRDefault="00C977C0" w:rsidP="00BC53AC">
            <w:pPr>
              <w:pStyle w:val="TAC"/>
              <w:rPr>
                <w:lang w:val="fr-FR"/>
              </w:rPr>
            </w:pPr>
          </w:p>
        </w:tc>
      </w:tr>
      <w:tr w:rsidR="00C977C0" w:rsidRPr="00E42255" w14:paraId="610A3D63"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3089D40" w14:textId="77777777" w:rsidR="00C977C0" w:rsidRPr="00E42255" w:rsidRDefault="00C977C0" w:rsidP="00BC53AC">
            <w:pPr>
              <w:pStyle w:val="TAC"/>
              <w:rPr>
                <w:lang w:val="fr-FR"/>
              </w:rPr>
            </w:pPr>
            <w:r w:rsidRPr="00E42255">
              <w:rPr>
                <w:lang w:val="fr-FR"/>
              </w:rPr>
              <w:t>5</w:t>
            </w:r>
          </w:p>
        </w:tc>
        <w:tc>
          <w:tcPr>
            <w:tcW w:w="1077" w:type="dxa"/>
            <w:tcBorders>
              <w:top w:val="single" w:sz="4" w:space="0" w:color="auto"/>
              <w:left w:val="single" w:sz="4" w:space="0" w:color="auto"/>
              <w:bottom w:val="single" w:sz="4" w:space="0" w:color="auto"/>
              <w:right w:val="single" w:sz="4" w:space="0" w:color="auto"/>
            </w:tcBorders>
            <w:hideMark/>
          </w:tcPr>
          <w:p w14:paraId="2C859EE1" w14:textId="77777777" w:rsidR="00C977C0" w:rsidRPr="00E42255" w:rsidRDefault="00C977C0" w:rsidP="00BC53AC">
            <w:pPr>
              <w:pStyle w:val="TAC"/>
              <w:rPr>
                <w:lang w:val="fr-FR"/>
              </w:rPr>
            </w:pPr>
            <w:r w:rsidRPr="00E42255">
              <w:rPr>
                <w:lang w:val="fr-FR"/>
              </w:rPr>
              <w:t>35</w:t>
            </w:r>
          </w:p>
        </w:tc>
        <w:tc>
          <w:tcPr>
            <w:tcW w:w="1167" w:type="dxa"/>
            <w:tcBorders>
              <w:top w:val="single" w:sz="4" w:space="0" w:color="auto"/>
              <w:left w:val="single" w:sz="4" w:space="0" w:color="auto"/>
              <w:bottom w:val="single" w:sz="4" w:space="0" w:color="auto"/>
              <w:right w:val="single" w:sz="4" w:space="0" w:color="auto"/>
            </w:tcBorders>
            <w:hideMark/>
          </w:tcPr>
          <w:p w14:paraId="1D2CF6AE" w14:textId="77777777" w:rsidR="00C977C0" w:rsidRPr="00E42255" w:rsidRDefault="00C977C0" w:rsidP="00BC53AC">
            <w:pPr>
              <w:pStyle w:val="TAC"/>
              <w:rPr>
                <w:lang w:val="fr-FR"/>
              </w:rPr>
            </w:pPr>
            <w:r w:rsidRPr="00E42255">
              <w:rPr>
                <w:lang w:val="fr-FR"/>
              </w:rPr>
              <w:t>-0.3</w:t>
            </w:r>
          </w:p>
        </w:tc>
        <w:tc>
          <w:tcPr>
            <w:tcW w:w="1846" w:type="dxa"/>
            <w:tcBorders>
              <w:top w:val="nil"/>
              <w:left w:val="single" w:sz="4" w:space="0" w:color="auto"/>
              <w:bottom w:val="nil"/>
              <w:right w:val="single" w:sz="4" w:space="0" w:color="auto"/>
            </w:tcBorders>
          </w:tcPr>
          <w:p w14:paraId="61003BFD" w14:textId="77777777" w:rsidR="00C977C0" w:rsidRPr="00E42255" w:rsidRDefault="00C977C0" w:rsidP="00BC53AC">
            <w:pPr>
              <w:pStyle w:val="TAC"/>
              <w:rPr>
                <w:lang w:val="fr-FR"/>
              </w:rPr>
            </w:pPr>
          </w:p>
        </w:tc>
      </w:tr>
      <w:tr w:rsidR="00C977C0" w:rsidRPr="00E42255" w14:paraId="184B0D79"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60E1EF0E" w14:textId="77777777" w:rsidR="00C977C0" w:rsidRPr="00E42255" w:rsidRDefault="00C977C0" w:rsidP="00BC53AC">
            <w:pPr>
              <w:pStyle w:val="TAC"/>
              <w:rPr>
                <w:lang w:val="fr-FR"/>
              </w:rPr>
            </w:pPr>
            <w:r w:rsidRPr="00E42255">
              <w:rPr>
                <w:lang w:val="fr-FR"/>
              </w:rPr>
              <w:t>6</w:t>
            </w:r>
          </w:p>
        </w:tc>
        <w:tc>
          <w:tcPr>
            <w:tcW w:w="1077" w:type="dxa"/>
            <w:tcBorders>
              <w:top w:val="single" w:sz="4" w:space="0" w:color="auto"/>
              <w:left w:val="single" w:sz="4" w:space="0" w:color="auto"/>
              <w:bottom w:val="single" w:sz="4" w:space="0" w:color="auto"/>
              <w:right w:val="single" w:sz="4" w:space="0" w:color="auto"/>
            </w:tcBorders>
            <w:hideMark/>
          </w:tcPr>
          <w:p w14:paraId="569CE219" w14:textId="77777777" w:rsidR="00C977C0" w:rsidRPr="00E42255" w:rsidRDefault="00C977C0" w:rsidP="00BC53AC">
            <w:pPr>
              <w:pStyle w:val="TAC"/>
              <w:rPr>
                <w:lang w:val="fr-FR"/>
              </w:rPr>
            </w:pPr>
            <w:r w:rsidRPr="00E42255">
              <w:rPr>
                <w:lang w:val="fr-FR"/>
              </w:rPr>
              <w:t>45</w:t>
            </w:r>
          </w:p>
        </w:tc>
        <w:tc>
          <w:tcPr>
            <w:tcW w:w="1167" w:type="dxa"/>
            <w:tcBorders>
              <w:top w:val="single" w:sz="4" w:space="0" w:color="auto"/>
              <w:left w:val="single" w:sz="4" w:space="0" w:color="auto"/>
              <w:bottom w:val="single" w:sz="4" w:space="0" w:color="auto"/>
              <w:right w:val="single" w:sz="4" w:space="0" w:color="auto"/>
            </w:tcBorders>
            <w:hideMark/>
          </w:tcPr>
          <w:p w14:paraId="5B9AB624" w14:textId="77777777" w:rsidR="00C977C0" w:rsidRPr="00E42255" w:rsidRDefault="00C977C0" w:rsidP="00BC53AC">
            <w:pPr>
              <w:pStyle w:val="TAC"/>
              <w:rPr>
                <w:lang w:val="fr-FR"/>
              </w:rPr>
            </w:pPr>
            <w:r w:rsidRPr="00E42255">
              <w:rPr>
                <w:lang w:val="fr-FR"/>
              </w:rPr>
              <w:t>-1.2</w:t>
            </w:r>
          </w:p>
        </w:tc>
        <w:tc>
          <w:tcPr>
            <w:tcW w:w="1846" w:type="dxa"/>
            <w:tcBorders>
              <w:top w:val="nil"/>
              <w:left w:val="single" w:sz="4" w:space="0" w:color="auto"/>
              <w:bottom w:val="nil"/>
              <w:right w:val="single" w:sz="4" w:space="0" w:color="auto"/>
            </w:tcBorders>
            <w:hideMark/>
          </w:tcPr>
          <w:p w14:paraId="594A73D8" w14:textId="77777777" w:rsidR="00C977C0" w:rsidRPr="00E42255" w:rsidRDefault="00C977C0" w:rsidP="00BC53AC">
            <w:pPr>
              <w:pStyle w:val="TAC"/>
              <w:rPr>
                <w:lang w:val="fr-FR"/>
              </w:rPr>
            </w:pPr>
            <w:r w:rsidRPr="00E42255">
              <w:rPr>
                <w:lang w:val="fr-FR"/>
              </w:rPr>
              <w:t>Rayleigh</w:t>
            </w:r>
          </w:p>
        </w:tc>
      </w:tr>
      <w:tr w:rsidR="00C977C0" w:rsidRPr="00E42255" w14:paraId="7879BA75"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125092EE" w14:textId="77777777" w:rsidR="00C977C0" w:rsidRPr="00E42255" w:rsidRDefault="00C977C0" w:rsidP="00BC53AC">
            <w:pPr>
              <w:pStyle w:val="TAC"/>
              <w:rPr>
                <w:lang w:val="fr-FR"/>
              </w:rPr>
            </w:pPr>
            <w:r w:rsidRPr="00E42255">
              <w:rPr>
                <w:lang w:val="fr-FR"/>
              </w:rPr>
              <w:t>7</w:t>
            </w:r>
          </w:p>
        </w:tc>
        <w:tc>
          <w:tcPr>
            <w:tcW w:w="1077" w:type="dxa"/>
            <w:tcBorders>
              <w:top w:val="single" w:sz="4" w:space="0" w:color="auto"/>
              <w:left w:val="single" w:sz="4" w:space="0" w:color="auto"/>
              <w:bottom w:val="single" w:sz="4" w:space="0" w:color="auto"/>
              <w:right w:val="single" w:sz="4" w:space="0" w:color="auto"/>
            </w:tcBorders>
            <w:hideMark/>
          </w:tcPr>
          <w:p w14:paraId="3821823D" w14:textId="77777777" w:rsidR="00C977C0" w:rsidRPr="00E42255" w:rsidRDefault="00C977C0" w:rsidP="00BC53AC">
            <w:pPr>
              <w:pStyle w:val="TAC"/>
              <w:rPr>
                <w:lang w:val="fr-FR"/>
              </w:rPr>
            </w:pPr>
            <w:r w:rsidRPr="00E42255">
              <w:rPr>
                <w:lang w:val="fr-FR"/>
              </w:rPr>
              <w:t>55</w:t>
            </w:r>
          </w:p>
        </w:tc>
        <w:tc>
          <w:tcPr>
            <w:tcW w:w="1167" w:type="dxa"/>
            <w:tcBorders>
              <w:top w:val="single" w:sz="4" w:space="0" w:color="auto"/>
              <w:left w:val="single" w:sz="4" w:space="0" w:color="auto"/>
              <w:bottom w:val="single" w:sz="4" w:space="0" w:color="auto"/>
              <w:right w:val="single" w:sz="4" w:space="0" w:color="auto"/>
            </w:tcBorders>
            <w:hideMark/>
          </w:tcPr>
          <w:p w14:paraId="788E2676" w14:textId="77777777" w:rsidR="00C977C0" w:rsidRPr="00E42255" w:rsidRDefault="00C977C0" w:rsidP="00BC53AC">
            <w:pPr>
              <w:pStyle w:val="TAC"/>
              <w:rPr>
                <w:lang w:val="fr-FR"/>
              </w:rPr>
            </w:pPr>
            <w:r w:rsidRPr="00E42255">
              <w:rPr>
                <w:lang w:val="fr-FR"/>
              </w:rPr>
              <w:t>-5.9</w:t>
            </w:r>
          </w:p>
        </w:tc>
        <w:tc>
          <w:tcPr>
            <w:tcW w:w="1846" w:type="dxa"/>
            <w:tcBorders>
              <w:top w:val="nil"/>
              <w:left w:val="single" w:sz="4" w:space="0" w:color="auto"/>
              <w:bottom w:val="nil"/>
              <w:right w:val="single" w:sz="4" w:space="0" w:color="auto"/>
            </w:tcBorders>
          </w:tcPr>
          <w:p w14:paraId="006687F0" w14:textId="77777777" w:rsidR="00C977C0" w:rsidRPr="00E42255" w:rsidRDefault="00C977C0" w:rsidP="00BC53AC">
            <w:pPr>
              <w:pStyle w:val="TAC"/>
              <w:rPr>
                <w:lang w:val="fr-FR"/>
              </w:rPr>
            </w:pPr>
          </w:p>
        </w:tc>
      </w:tr>
      <w:tr w:rsidR="00C977C0" w:rsidRPr="00E42255" w14:paraId="6C114638"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0F30427" w14:textId="77777777" w:rsidR="00C977C0" w:rsidRPr="00E42255" w:rsidRDefault="00C977C0" w:rsidP="00BC53AC">
            <w:pPr>
              <w:pStyle w:val="TAC"/>
              <w:rPr>
                <w:lang w:val="fr-FR"/>
              </w:rPr>
            </w:pPr>
            <w:r w:rsidRPr="00E42255">
              <w:rPr>
                <w:lang w:val="fr-FR"/>
              </w:rPr>
              <w:t>8</w:t>
            </w:r>
          </w:p>
        </w:tc>
        <w:tc>
          <w:tcPr>
            <w:tcW w:w="1077" w:type="dxa"/>
            <w:tcBorders>
              <w:top w:val="single" w:sz="4" w:space="0" w:color="auto"/>
              <w:left w:val="single" w:sz="4" w:space="0" w:color="auto"/>
              <w:bottom w:val="single" w:sz="4" w:space="0" w:color="auto"/>
              <w:right w:val="single" w:sz="4" w:space="0" w:color="auto"/>
            </w:tcBorders>
            <w:hideMark/>
          </w:tcPr>
          <w:p w14:paraId="35F338BD" w14:textId="77777777" w:rsidR="00C977C0" w:rsidRPr="00E42255" w:rsidRDefault="00C977C0" w:rsidP="00BC53AC">
            <w:pPr>
              <w:pStyle w:val="TAC"/>
              <w:rPr>
                <w:lang w:val="fr-FR"/>
              </w:rPr>
            </w:pPr>
            <w:r w:rsidRPr="00E42255">
              <w:rPr>
                <w:lang w:val="fr-FR"/>
              </w:rPr>
              <w:t>120</w:t>
            </w:r>
          </w:p>
        </w:tc>
        <w:tc>
          <w:tcPr>
            <w:tcW w:w="1167" w:type="dxa"/>
            <w:tcBorders>
              <w:top w:val="single" w:sz="4" w:space="0" w:color="auto"/>
              <w:left w:val="single" w:sz="4" w:space="0" w:color="auto"/>
              <w:bottom w:val="single" w:sz="4" w:space="0" w:color="auto"/>
              <w:right w:val="single" w:sz="4" w:space="0" w:color="auto"/>
            </w:tcBorders>
            <w:hideMark/>
          </w:tcPr>
          <w:p w14:paraId="4ED48C24" w14:textId="77777777" w:rsidR="00C977C0" w:rsidRPr="00E42255" w:rsidRDefault="00C977C0" w:rsidP="00BC53AC">
            <w:pPr>
              <w:pStyle w:val="TAC"/>
              <w:rPr>
                <w:lang w:val="fr-FR"/>
              </w:rPr>
            </w:pPr>
            <w:r w:rsidRPr="00E42255">
              <w:rPr>
                <w:lang w:val="fr-FR"/>
              </w:rPr>
              <w:t>-2.2</w:t>
            </w:r>
          </w:p>
        </w:tc>
        <w:tc>
          <w:tcPr>
            <w:tcW w:w="1846" w:type="dxa"/>
            <w:tcBorders>
              <w:top w:val="nil"/>
              <w:left w:val="single" w:sz="4" w:space="0" w:color="auto"/>
              <w:bottom w:val="nil"/>
              <w:right w:val="single" w:sz="4" w:space="0" w:color="auto"/>
            </w:tcBorders>
          </w:tcPr>
          <w:p w14:paraId="4B1126FB" w14:textId="77777777" w:rsidR="00C977C0" w:rsidRPr="00E42255" w:rsidRDefault="00C977C0" w:rsidP="00BC53AC">
            <w:pPr>
              <w:pStyle w:val="TAC"/>
              <w:rPr>
                <w:lang w:val="fr-FR"/>
              </w:rPr>
            </w:pPr>
          </w:p>
        </w:tc>
      </w:tr>
      <w:tr w:rsidR="00C977C0" w:rsidRPr="00E42255" w14:paraId="03635C3C"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6DBFC6C8" w14:textId="77777777" w:rsidR="00C977C0" w:rsidRPr="00E42255" w:rsidRDefault="00C977C0" w:rsidP="00BC53AC">
            <w:pPr>
              <w:pStyle w:val="TAC"/>
              <w:rPr>
                <w:lang w:val="fr-FR"/>
              </w:rPr>
            </w:pPr>
            <w:r w:rsidRPr="00E42255">
              <w:rPr>
                <w:lang w:val="fr-FR"/>
              </w:rPr>
              <w:t>9</w:t>
            </w:r>
          </w:p>
        </w:tc>
        <w:tc>
          <w:tcPr>
            <w:tcW w:w="1077" w:type="dxa"/>
            <w:tcBorders>
              <w:top w:val="single" w:sz="4" w:space="0" w:color="auto"/>
              <w:left w:val="single" w:sz="4" w:space="0" w:color="auto"/>
              <w:bottom w:val="single" w:sz="4" w:space="0" w:color="auto"/>
              <w:right w:val="single" w:sz="4" w:space="0" w:color="auto"/>
            </w:tcBorders>
            <w:hideMark/>
          </w:tcPr>
          <w:p w14:paraId="7139CAFC" w14:textId="77777777" w:rsidR="00C977C0" w:rsidRPr="00E42255" w:rsidRDefault="00C977C0" w:rsidP="00BC53AC">
            <w:pPr>
              <w:pStyle w:val="TAC"/>
              <w:rPr>
                <w:lang w:val="fr-FR"/>
              </w:rPr>
            </w:pPr>
            <w:r w:rsidRPr="00E42255">
              <w:rPr>
                <w:lang w:val="fr-FR"/>
              </w:rPr>
              <w:t>170</w:t>
            </w:r>
          </w:p>
        </w:tc>
        <w:tc>
          <w:tcPr>
            <w:tcW w:w="1167" w:type="dxa"/>
            <w:tcBorders>
              <w:top w:val="single" w:sz="4" w:space="0" w:color="auto"/>
              <w:left w:val="single" w:sz="4" w:space="0" w:color="auto"/>
              <w:bottom w:val="single" w:sz="4" w:space="0" w:color="auto"/>
              <w:right w:val="single" w:sz="4" w:space="0" w:color="auto"/>
            </w:tcBorders>
            <w:hideMark/>
          </w:tcPr>
          <w:p w14:paraId="512D07C7" w14:textId="77777777" w:rsidR="00C977C0" w:rsidRPr="00E42255" w:rsidRDefault="00C977C0" w:rsidP="00BC53AC">
            <w:pPr>
              <w:pStyle w:val="TAC"/>
              <w:rPr>
                <w:lang w:val="fr-FR"/>
              </w:rPr>
            </w:pPr>
            <w:r w:rsidRPr="00E42255">
              <w:rPr>
                <w:lang w:val="fr-FR"/>
              </w:rPr>
              <w:t>-0.8</w:t>
            </w:r>
          </w:p>
        </w:tc>
        <w:tc>
          <w:tcPr>
            <w:tcW w:w="1846" w:type="dxa"/>
            <w:tcBorders>
              <w:top w:val="nil"/>
              <w:left w:val="single" w:sz="4" w:space="0" w:color="auto"/>
              <w:bottom w:val="nil"/>
              <w:right w:val="single" w:sz="4" w:space="0" w:color="auto"/>
            </w:tcBorders>
          </w:tcPr>
          <w:p w14:paraId="47903C3A" w14:textId="77777777" w:rsidR="00C977C0" w:rsidRPr="00E42255" w:rsidRDefault="00C977C0" w:rsidP="00BC53AC">
            <w:pPr>
              <w:pStyle w:val="TAC"/>
              <w:rPr>
                <w:lang w:val="fr-FR"/>
              </w:rPr>
            </w:pPr>
          </w:p>
        </w:tc>
      </w:tr>
      <w:tr w:rsidR="00C977C0" w:rsidRPr="00E42255" w14:paraId="43E11538"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15D61123" w14:textId="77777777" w:rsidR="00C977C0" w:rsidRPr="00E42255" w:rsidRDefault="00C977C0" w:rsidP="00BC53AC">
            <w:pPr>
              <w:pStyle w:val="TAC"/>
              <w:rPr>
                <w:lang w:val="fr-FR"/>
              </w:rPr>
            </w:pPr>
            <w:r w:rsidRPr="00E42255">
              <w:rPr>
                <w:lang w:val="fr-FR"/>
              </w:rPr>
              <w:t>10</w:t>
            </w:r>
          </w:p>
        </w:tc>
        <w:tc>
          <w:tcPr>
            <w:tcW w:w="1077" w:type="dxa"/>
            <w:tcBorders>
              <w:top w:val="single" w:sz="4" w:space="0" w:color="auto"/>
              <w:left w:val="single" w:sz="4" w:space="0" w:color="auto"/>
              <w:bottom w:val="single" w:sz="4" w:space="0" w:color="auto"/>
              <w:right w:val="single" w:sz="4" w:space="0" w:color="auto"/>
            </w:tcBorders>
            <w:hideMark/>
          </w:tcPr>
          <w:p w14:paraId="505C2D0D" w14:textId="77777777" w:rsidR="00C977C0" w:rsidRPr="00E42255" w:rsidRDefault="00C977C0" w:rsidP="00BC53AC">
            <w:pPr>
              <w:pStyle w:val="TAC"/>
              <w:rPr>
                <w:lang w:val="fr-FR"/>
              </w:rPr>
            </w:pPr>
            <w:r w:rsidRPr="00E42255">
              <w:rPr>
                <w:lang w:val="fr-FR"/>
              </w:rPr>
              <w:t>245</w:t>
            </w:r>
          </w:p>
        </w:tc>
        <w:tc>
          <w:tcPr>
            <w:tcW w:w="1167" w:type="dxa"/>
            <w:tcBorders>
              <w:top w:val="single" w:sz="4" w:space="0" w:color="auto"/>
              <w:left w:val="single" w:sz="4" w:space="0" w:color="auto"/>
              <w:bottom w:val="single" w:sz="4" w:space="0" w:color="auto"/>
              <w:right w:val="single" w:sz="4" w:space="0" w:color="auto"/>
            </w:tcBorders>
            <w:hideMark/>
          </w:tcPr>
          <w:p w14:paraId="7B39348B" w14:textId="77777777" w:rsidR="00C977C0" w:rsidRPr="00E42255" w:rsidRDefault="00C977C0" w:rsidP="00BC53AC">
            <w:pPr>
              <w:pStyle w:val="TAC"/>
              <w:rPr>
                <w:lang w:val="fr-FR"/>
              </w:rPr>
            </w:pPr>
            <w:r w:rsidRPr="00E42255">
              <w:rPr>
                <w:lang w:val="fr-FR"/>
              </w:rPr>
              <w:t>-6.3</w:t>
            </w:r>
          </w:p>
        </w:tc>
        <w:tc>
          <w:tcPr>
            <w:tcW w:w="1846" w:type="dxa"/>
            <w:tcBorders>
              <w:top w:val="nil"/>
              <w:left w:val="single" w:sz="4" w:space="0" w:color="auto"/>
              <w:bottom w:val="nil"/>
              <w:right w:val="single" w:sz="4" w:space="0" w:color="auto"/>
            </w:tcBorders>
          </w:tcPr>
          <w:p w14:paraId="5CA1BD1E" w14:textId="77777777" w:rsidR="00C977C0" w:rsidRPr="00E42255" w:rsidRDefault="00C977C0" w:rsidP="00BC53AC">
            <w:pPr>
              <w:pStyle w:val="TAC"/>
              <w:rPr>
                <w:lang w:val="fr-FR"/>
              </w:rPr>
            </w:pPr>
          </w:p>
        </w:tc>
      </w:tr>
      <w:tr w:rsidR="00C977C0" w:rsidRPr="00E42255" w14:paraId="254350A7"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CF7DFB5" w14:textId="77777777" w:rsidR="00C977C0" w:rsidRPr="00E42255" w:rsidRDefault="00C977C0" w:rsidP="00BC53AC">
            <w:pPr>
              <w:pStyle w:val="TAC"/>
              <w:rPr>
                <w:lang w:val="fr-FR"/>
              </w:rPr>
            </w:pPr>
            <w:r w:rsidRPr="00E42255">
              <w:rPr>
                <w:lang w:val="fr-FR"/>
              </w:rPr>
              <w:t>11</w:t>
            </w:r>
          </w:p>
        </w:tc>
        <w:tc>
          <w:tcPr>
            <w:tcW w:w="1077" w:type="dxa"/>
            <w:tcBorders>
              <w:top w:val="single" w:sz="4" w:space="0" w:color="auto"/>
              <w:left w:val="single" w:sz="4" w:space="0" w:color="auto"/>
              <w:bottom w:val="single" w:sz="4" w:space="0" w:color="auto"/>
              <w:right w:val="single" w:sz="4" w:space="0" w:color="auto"/>
            </w:tcBorders>
            <w:hideMark/>
          </w:tcPr>
          <w:p w14:paraId="3C4DFED7" w14:textId="77777777" w:rsidR="00C977C0" w:rsidRPr="00E42255" w:rsidRDefault="00C977C0" w:rsidP="00BC53AC">
            <w:pPr>
              <w:pStyle w:val="TAC"/>
              <w:rPr>
                <w:lang w:val="fr-FR"/>
              </w:rPr>
            </w:pPr>
            <w:r w:rsidRPr="00E42255">
              <w:rPr>
                <w:lang w:val="fr-FR"/>
              </w:rPr>
              <w:t>330</w:t>
            </w:r>
          </w:p>
        </w:tc>
        <w:tc>
          <w:tcPr>
            <w:tcW w:w="1167" w:type="dxa"/>
            <w:tcBorders>
              <w:top w:val="single" w:sz="4" w:space="0" w:color="auto"/>
              <w:left w:val="single" w:sz="4" w:space="0" w:color="auto"/>
              <w:bottom w:val="single" w:sz="4" w:space="0" w:color="auto"/>
              <w:right w:val="single" w:sz="4" w:space="0" w:color="auto"/>
            </w:tcBorders>
            <w:hideMark/>
          </w:tcPr>
          <w:p w14:paraId="17366103" w14:textId="77777777" w:rsidR="00C977C0" w:rsidRPr="00E42255" w:rsidRDefault="00C977C0" w:rsidP="00BC53AC">
            <w:pPr>
              <w:pStyle w:val="TAC"/>
              <w:rPr>
                <w:lang w:val="fr-FR"/>
              </w:rPr>
            </w:pPr>
            <w:r w:rsidRPr="00E42255">
              <w:rPr>
                <w:lang w:val="fr-FR"/>
              </w:rPr>
              <w:t>-7.5</w:t>
            </w:r>
          </w:p>
        </w:tc>
        <w:tc>
          <w:tcPr>
            <w:tcW w:w="1846" w:type="dxa"/>
            <w:tcBorders>
              <w:top w:val="nil"/>
              <w:left w:val="single" w:sz="4" w:space="0" w:color="auto"/>
              <w:bottom w:val="nil"/>
              <w:right w:val="single" w:sz="4" w:space="0" w:color="auto"/>
            </w:tcBorders>
          </w:tcPr>
          <w:p w14:paraId="1C3480F1" w14:textId="77777777" w:rsidR="00C977C0" w:rsidRPr="00E42255" w:rsidRDefault="00C977C0" w:rsidP="00BC53AC">
            <w:pPr>
              <w:pStyle w:val="TAC"/>
              <w:rPr>
                <w:lang w:val="fr-FR"/>
              </w:rPr>
            </w:pPr>
          </w:p>
        </w:tc>
      </w:tr>
      <w:tr w:rsidR="00C977C0" w:rsidRPr="00E42255" w14:paraId="3BF1CDF4"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279EBDD" w14:textId="77777777" w:rsidR="00C977C0" w:rsidRPr="00E42255" w:rsidRDefault="00C977C0" w:rsidP="00BC53AC">
            <w:pPr>
              <w:pStyle w:val="TAC"/>
              <w:rPr>
                <w:lang w:val="fr-FR"/>
              </w:rPr>
            </w:pPr>
            <w:r w:rsidRPr="00E42255">
              <w:rPr>
                <w:lang w:val="fr-FR"/>
              </w:rPr>
              <w:t>12</w:t>
            </w:r>
          </w:p>
        </w:tc>
        <w:tc>
          <w:tcPr>
            <w:tcW w:w="1077" w:type="dxa"/>
            <w:tcBorders>
              <w:top w:val="single" w:sz="4" w:space="0" w:color="auto"/>
              <w:left w:val="single" w:sz="4" w:space="0" w:color="auto"/>
              <w:bottom w:val="single" w:sz="4" w:space="0" w:color="auto"/>
              <w:right w:val="single" w:sz="4" w:space="0" w:color="auto"/>
            </w:tcBorders>
            <w:hideMark/>
          </w:tcPr>
          <w:p w14:paraId="3A5A44EB" w14:textId="77777777" w:rsidR="00C977C0" w:rsidRPr="00E42255" w:rsidRDefault="00C977C0" w:rsidP="00BC53AC">
            <w:pPr>
              <w:pStyle w:val="TAC"/>
              <w:rPr>
                <w:lang w:val="fr-FR"/>
              </w:rPr>
            </w:pPr>
            <w:r w:rsidRPr="00E42255">
              <w:rPr>
                <w:lang w:val="fr-FR"/>
              </w:rPr>
              <w:t>480</w:t>
            </w:r>
          </w:p>
        </w:tc>
        <w:tc>
          <w:tcPr>
            <w:tcW w:w="1167" w:type="dxa"/>
            <w:tcBorders>
              <w:top w:val="single" w:sz="4" w:space="0" w:color="auto"/>
              <w:left w:val="single" w:sz="4" w:space="0" w:color="auto"/>
              <w:bottom w:val="single" w:sz="4" w:space="0" w:color="auto"/>
              <w:right w:val="single" w:sz="4" w:space="0" w:color="auto"/>
            </w:tcBorders>
            <w:hideMark/>
          </w:tcPr>
          <w:p w14:paraId="3412B7B9" w14:textId="77777777" w:rsidR="00C977C0" w:rsidRPr="00E42255" w:rsidRDefault="00C977C0" w:rsidP="00BC53AC">
            <w:pPr>
              <w:pStyle w:val="TAC"/>
              <w:rPr>
                <w:lang w:val="fr-FR"/>
              </w:rPr>
            </w:pPr>
            <w:r w:rsidRPr="00E42255">
              <w:rPr>
                <w:lang w:val="fr-FR"/>
              </w:rPr>
              <w:t>-7.1</w:t>
            </w:r>
          </w:p>
        </w:tc>
        <w:tc>
          <w:tcPr>
            <w:tcW w:w="1846" w:type="dxa"/>
            <w:tcBorders>
              <w:top w:val="nil"/>
              <w:left w:val="single" w:sz="4" w:space="0" w:color="auto"/>
              <w:bottom w:val="single" w:sz="4" w:space="0" w:color="auto"/>
              <w:right w:val="single" w:sz="4" w:space="0" w:color="auto"/>
            </w:tcBorders>
          </w:tcPr>
          <w:p w14:paraId="4D1F1191" w14:textId="77777777" w:rsidR="00C977C0" w:rsidRPr="00E42255" w:rsidRDefault="00C977C0" w:rsidP="00BC53AC">
            <w:pPr>
              <w:pStyle w:val="TAC"/>
              <w:rPr>
                <w:lang w:val="fr-FR"/>
              </w:rPr>
            </w:pPr>
          </w:p>
        </w:tc>
      </w:tr>
    </w:tbl>
    <w:p w14:paraId="4676E128" w14:textId="77777777" w:rsidR="00C977C0" w:rsidRPr="00E42255" w:rsidRDefault="00C977C0" w:rsidP="00C977C0">
      <w:pPr>
        <w:rPr>
          <w:rFonts w:eastAsia="DengXian"/>
        </w:rPr>
      </w:pPr>
    </w:p>
    <w:p w14:paraId="59A89B5D"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.2.2.2-4: TDLC300 (DS = 300 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687"/>
        <w:gridCol w:w="1077"/>
        <w:gridCol w:w="1167"/>
        <w:gridCol w:w="1846"/>
      </w:tblGrid>
      <w:tr w:rsidR="00C977C0" w:rsidRPr="00E42255" w14:paraId="71A6EA77"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345D24D7" w14:textId="77777777" w:rsidR="00C977C0" w:rsidRPr="00E42255" w:rsidRDefault="00C977C0" w:rsidP="00BC53AC">
            <w:pPr>
              <w:pStyle w:val="TAH"/>
              <w:rPr>
                <w:lang w:val="fr-FR"/>
              </w:rPr>
            </w:pPr>
            <w:r w:rsidRPr="00E42255">
              <w:rPr>
                <w:lang w:val="fr-FR"/>
              </w:rPr>
              <w:t>Tap #</w:t>
            </w:r>
          </w:p>
        </w:tc>
        <w:tc>
          <w:tcPr>
            <w:tcW w:w="1077" w:type="dxa"/>
            <w:tcBorders>
              <w:top w:val="single" w:sz="4" w:space="0" w:color="auto"/>
              <w:left w:val="single" w:sz="4" w:space="0" w:color="auto"/>
              <w:bottom w:val="single" w:sz="4" w:space="0" w:color="auto"/>
              <w:right w:val="single" w:sz="4" w:space="0" w:color="auto"/>
            </w:tcBorders>
            <w:hideMark/>
          </w:tcPr>
          <w:p w14:paraId="745B0EB7" w14:textId="77777777" w:rsidR="00C977C0" w:rsidRPr="00E42255" w:rsidRDefault="00C977C0" w:rsidP="00BC53AC">
            <w:pPr>
              <w:pStyle w:val="TAH"/>
              <w:rPr>
                <w:lang w:val="fr-FR"/>
              </w:rPr>
            </w:pPr>
            <w:r w:rsidRPr="00E42255">
              <w:rPr>
                <w:lang w:val="fr-FR"/>
              </w:rPr>
              <w:t>Delay (ns)</w:t>
            </w:r>
          </w:p>
        </w:tc>
        <w:tc>
          <w:tcPr>
            <w:tcW w:w="1167" w:type="dxa"/>
            <w:tcBorders>
              <w:top w:val="single" w:sz="4" w:space="0" w:color="auto"/>
              <w:left w:val="single" w:sz="4" w:space="0" w:color="auto"/>
              <w:bottom w:val="single" w:sz="4" w:space="0" w:color="auto"/>
              <w:right w:val="single" w:sz="4" w:space="0" w:color="auto"/>
            </w:tcBorders>
            <w:hideMark/>
          </w:tcPr>
          <w:p w14:paraId="64506EAD" w14:textId="77777777" w:rsidR="00C977C0" w:rsidRPr="00E42255" w:rsidRDefault="00C977C0" w:rsidP="00BC53AC">
            <w:pPr>
              <w:pStyle w:val="TAH"/>
              <w:rPr>
                <w:lang w:val="fr-FR"/>
              </w:rPr>
            </w:pPr>
            <w:r w:rsidRPr="00E42255">
              <w:rPr>
                <w:lang w:val="fr-FR"/>
              </w:rPr>
              <w:t>Power (dB)</w:t>
            </w:r>
          </w:p>
        </w:tc>
        <w:tc>
          <w:tcPr>
            <w:tcW w:w="1846" w:type="dxa"/>
            <w:tcBorders>
              <w:top w:val="single" w:sz="4" w:space="0" w:color="auto"/>
              <w:left w:val="single" w:sz="4" w:space="0" w:color="auto"/>
              <w:bottom w:val="single" w:sz="4" w:space="0" w:color="auto"/>
              <w:right w:val="single" w:sz="4" w:space="0" w:color="auto"/>
            </w:tcBorders>
            <w:hideMark/>
          </w:tcPr>
          <w:p w14:paraId="7CB2C7C6" w14:textId="77777777" w:rsidR="00C977C0" w:rsidRPr="00E42255" w:rsidRDefault="00C977C0" w:rsidP="00BC53AC">
            <w:pPr>
              <w:pStyle w:val="TAH"/>
              <w:rPr>
                <w:lang w:val="fr-FR"/>
              </w:rPr>
            </w:pPr>
            <w:r w:rsidRPr="00E42255">
              <w:rPr>
                <w:lang w:val="fr-FR"/>
              </w:rPr>
              <w:t>Fading distribution</w:t>
            </w:r>
          </w:p>
        </w:tc>
      </w:tr>
      <w:tr w:rsidR="00C977C0" w:rsidRPr="00E42255" w14:paraId="12938B50"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2B7DDB08" w14:textId="77777777" w:rsidR="00C977C0" w:rsidRPr="00E42255" w:rsidRDefault="00C977C0" w:rsidP="00BC53AC">
            <w:pPr>
              <w:pStyle w:val="TAC"/>
              <w:rPr>
                <w:lang w:val="fr-FR"/>
              </w:rPr>
            </w:pPr>
            <w:r w:rsidRPr="00E42255">
              <w:rPr>
                <w:lang w:val="fr-FR"/>
              </w:rPr>
              <w:t>1</w:t>
            </w:r>
          </w:p>
        </w:tc>
        <w:tc>
          <w:tcPr>
            <w:tcW w:w="1077" w:type="dxa"/>
            <w:tcBorders>
              <w:top w:val="single" w:sz="4" w:space="0" w:color="auto"/>
              <w:left w:val="single" w:sz="4" w:space="0" w:color="auto"/>
              <w:bottom w:val="single" w:sz="4" w:space="0" w:color="auto"/>
              <w:right w:val="single" w:sz="4" w:space="0" w:color="auto"/>
            </w:tcBorders>
            <w:hideMark/>
          </w:tcPr>
          <w:p w14:paraId="164888DE" w14:textId="77777777" w:rsidR="00C977C0" w:rsidRPr="00E42255" w:rsidRDefault="00C977C0" w:rsidP="00BC53AC">
            <w:pPr>
              <w:pStyle w:val="TAC"/>
              <w:rPr>
                <w:lang w:val="fr-FR"/>
              </w:rPr>
            </w:pPr>
            <w:r w:rsidRPr="00E42255">
              <w:rPr>
                <w:lang w:val="fr-FR"/>
              </w:rPr>
              <w:t>0</w:t>
            </w:r>
          </w:p>
        </w:tc>
        <w:tc>
          <w:tcPr>
            <w:tcW w:w="1167" w:type="dxa"/>
            <w:tcBorders>
              <w:top w:val="single" w:sz="4" w:space="0" w:color="auto"/>
              <w:left w:val="single" w:sz="4" w:space="0" w:color="auto"/>
              <w:bottom w:val="single" w:sz="4" w:space="0" w:color="auto"/>
              <w:right w:val="single" w:sz="4" w:space="0" w:color="auto"/>
            </w:tcBorders>
            <w:hideMark/>
          </w:tcPr>
          <w:p w14:paraId="77B760A5" w14:textId="77777777" w:rsidR="00C977C0" w:rsidRPr="00E42255" w:rsidRDefault="00C977C0" w:rsidP="00BC53AC">
            <w:pPr>
              <w:pStyle w:val="TAC"/>
              <w:rPr>
                <w:lang w:val="fr-FR"/>
              </w:rPr>
            </w:pPr>
            <w:r w:rsidRPr="00E42255">
              <w:rPr>
                <w:lang w:val="fr-FR"/>
              </w:rPr>
              <w:t>-6.9</w:t>
            </w:r>
          </w:p>
        </w:tc>
        <w:tc>
          <w:tcPr>
            <w:tcW w:w="1846" w:type="dxa"/>
            <w:tcBorders>
              <w:top w:val="single" w:sz="4" w:space="0" w:color="auto"/>
              <w:left w:val="single" w:sz="4" w:space="0" w:color="auto"/>
              <w:bottom w:val="nil"/>
              <w:right w:val="single" w:sz="4" w:space="0" w:color="auto"/>
            </w:tcBorders>
          </w:tcPr>
          <w:p w14:paraId="51039C64" w14:textId="77777777" w:rsidR="00C977C0" w:rsidRPr="00E42255" w:rsidRDefault="00C977C0" w:rsidP="00BC53AC">
            <w:pPr>
              <w:pStyle w:val="TAC"/>
              <w:rPr>
                <w:lang w:val="fr-FR"/>
              </w:rPr>
            </w:pPr>
          </w:p>
        </w:tc>
      </w:tr>
      <w:tr w:rsidR="00C977C0" w:rsidRPr="00E42255" w14:paraId="4878ED66"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1542D84" w14:textId="77777777" w:rsidR="00C977C0" w:rsidRPr="00E42255" w:rsidRDefault="00C977C0" w:rsidP="00BC53AC">
            <w:pPr>
              <w:pStyle w:val="TAC"/>
              <w:rPr>
                <w:lang w:val="fr-FR"/>
              </w:rPr>
            </w:pPr>
            <w:r w:rsidRPr="00E42255">
              <w:rPr>
                <w:lang w:val="fr-FR"/>
              </w:rPr>
              <w:t>2</w:t>
            </w:r>
          </w:p>
        </w:tc>
        <w:tc>
          <w:tcPr>
            <w:tcW w:w="1077" w:type="dxa"/>
            <w:tcBorders>
              <w:top w:val="single" w:sz="4" w:space="0" w:color="auto"/>
              <w:left w:val="single" w:sz="4" w:space="0" w:color="auto"/>
              <w:bottom w:val="single" w:sz="4" w:space="0" w:color="auto"/>
              <w:right w:val="single" w:sz="4" w:space="0" w:color="auto"/>
            </w:tcBorders>
            <w:hideMark/>
          </w:tcPr>
          <w:p w14:paraId="5562F64C" w14:textId="77777777" w:rsidR="00C977C0" w:rsidRPr="00E42255" w:rsidRDefault="00C977C0" w:rsidP="00BC53AC">
            <w:pPr>
              <w:pStyle w:val="TAC"/>
              <w:rPr>
                <w:lang w:val="fr-FR"/>
              </w:rPr>
            </w:pPr>
            <w:r w:rsidRPr="00E42255">
              <w:rPr>
                <w:lang w:val="fr-FR"/>
              </w:rPr>
              <w:t>65</w:t>
            </w:r>
          </w:p>
        </w:tc>
        <w:tc>
          <w:tcPr>
            <w:tcW w:w="1167" w:type="dxa"/>
            <w:tcBorders>
              <w:top w:val="single" w:sz="4" w:space="0" w:color="auto"/>
              <w:left w:val="single" w:sz="4" w:space="0" w:color="auto"/>
              <w:bottom w:val="single" w:sz="4" w:space="0" w:color="auto"/>
              <w:right w:val="single" w:sz="4" w:space="0" w:color="auto"/>
            </w:tcBorders>
            <w:hideMark/>
          </w:tcPr>
          <w:p w14:paraId="508F972D" w14:textId="77777777" w:rsidR="00C977C0" w:rsidRPr="00E42255" w:rsidRDefault="00C977C0" w:rsidP="00BC53AC">
            <w:pPr>
              <w:pStyle w:val="TAC"/>
              <w:rPr>
                <w:lang w:val="fr-FR"/>
              </w:rPr>
            </w:pPr>
            <w:r w:rsidRPr="00E42255">
              <w:rPr>
                <w:lang w:val="fr-FR"/>
              </w:rPr>
              <w:t>0</w:t>
            </w:r>
          </w:p>
        </w:tc>
        <w:tc>
          <w:tcPr>
            <w:tcW w:w="1846" w:type="dxa"/>
            <w:tcBorders>
              <w:top w:val="nil"/>
              <w:left w:val="single" w:sz="4" w:space="0" w:color="auto"/>
              <w:bottom w:val="nil"/>
              <w:right w:val="single" w:sz="4" w:space="0" w:color="auto"/>
            </w:tcBorders>
          </w:tcPr>
          <w:p w14:paraId="2FA783D2" w14:textId="77777777" w:rsidR="00C977C0" w:rsidRPr="00E42255" w:rsidRDefault="00C977C0" w:rsidP="00BC53AC">
            <w:pPr>
              <w:pStyle w:val="TAC"/>
              <w:rPr>
                <w:lang w:val="fr-FR"/>
              </w:rPr>
            </w:pPr>
          </w:p>
        </w:tc>
      </w:tr>
      <w:tr w:rsidR="00C977C0" w:rsidRPr="00E42255" w14:paraId="34B2EA39"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62384149" w14:textId="77777777" w:rsidR="00C977C0" w:rsidRPr="00E42255" w:rsidRDefault="00C977C0" w:rsidP="00BC53AC">
            <w:pPr>
              <w:pStyle w:val="TAC"/>
              <w:rPr>
                <w:lang w:val="fr-FR"/>
              </w:rPr>
            </w:pPr>
            <w:r w:rsidRPr="00E42255">
              <w:rPr>
                <w:lang w:val="fr-FR"/>
              </w:rPr>
              <w:t>3</w:t>
            </w:r>
          </w:p>
        </w:tc>
        <w:tc>
          <w:tcPr>
            <w:tcW w:w="1077" w:type="dxa"/>
            <w:tcBorders>
              <w:top w:val="single" w:sz="4" w:space="0" w:color="auto"/>
              <w:left w:val="single" w:sz="4" w:space="0" w:color="auto"/>
              <w:bottom w:val="single" w:sz="4" w:space="0" w:color="auto"/>
              <w:right w:val="single" w:sz="4" w:space="0" w:color="auto"/>
            </w:tcBorders>
            <w:hideMark/>
          </w:tcPr>
          <w:p w14:paraId="232D888E" w14:textId="77777777" w:rsidR="00C977C0" w:rsidRPr="00E42255" w:rsidRDefault="00C977C0" w:rsidP="00BC53AC">
            <w:pPr>
              <w:pStyle w:val="TAC"/>
              <w:rPr>
                <w:lang w:val="fr-FR"/>
              </w:rPr>
            </w:pPr>
            <w:r w:rsidRPr="00E42255">
              <w:rPr>
                <w:lang w:val="fr-FR"/>
              </w:rPr>
              <w:t>70</w:t>
            </w:r>
          </w:p>
        </w:tc>
        <w:tc>
          <w:tcPr>
            <w:tcW w:w="1167" w:type="dxa"/>
            <w:tcBorders>
              <w:top w:val="single" w:sz="4" w:space="0" w:color="auto"/>
              <w:left w:val="single" w:sz="4" w:space="0" w:color="auto"/>
              <w:bottom w:val="single" w:sz="4" w:space="0" w:color="auto"/>
              <w:right w:val="single" w:sz="4" w:space="0" w:color="auto"/>
            </w:tcBorders>
            <w:hideMark/>
          </w:tcPr>
          <w:p w14:paraId="24DC6CCE" w14:textId="77777777" w:rsidR="00C977C0" w:rsidRPr="00E42255" w:rsidRDefault="00C977C0" w:rsidP="00BC53AC">
            <w:pPr>
              <w:pStyle w:val="TAC"/>
              <w:rPr>
                <w:lang w:val="fr-FR"/>
              </w:rPr>
            </w:pPr>
            <w:r w:rsidRPr="00E42255">
              <w:rPr>
                <w:lang w:val="fr-FR"/>
              </w:rPr>
              <w:t>-7.7</w:t>
            </w:r>
          </w:p>
        </w:tc>
        <w:tc>
          <w:tcPr>
            <w:tcW w:w="1846" w:type="dxa"/>
            <w:tcBorders>
              <w:top w:val="nil"/>
              <w:left w:val="single" w:sz="4" w:space="0" w:color="auto"/>
              <w:bottom w:val="nil"/>
              <w:right w:val="single" w:sz="4" w:space="0" w:color="auto"/>
            </w:tcBorders>
          </w:tcPr>
          <w:p w14:paraId="3746DDAC" w14:textId="77777777" w:rsidR="00C977C0" w:rsidRPr="00E42255" w:rsidRDefault="00C977C0" w:rsidP="00BC53AC">
            <w:pPr>
              <w:pStyle w:val="TAC"/>
              <w:rPr>
                <w:lang w:val="fr-FR"/>
              </w:rPr>
            </w:pPr>
          </w:p>
        </w:tc>
      </w:tr>
      <w:tr w:rsidR="00C977C0" w:rsidRPr="00E42255" w14:paraId="188C0DCD"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ED06546" w14:textId="77777777" w:rsidR="00C977C0" w:rsidRPr="00E42255" w:rsidRDefault="00C977C0" w:rsidP="00BC53AC">
            <w:pPr>
              <w:pStyle w:val="TAC"/>
              <w:rPr>
                <w:lang w:val="fr-FR"/>
              </w:rPr>
            </w:pPr>
            <w:r w:rsidRPr="00E42255">
              <w:rPr>
                <w:lang w:val="fr-FR"/>
              </w:rPr>
              <w:t>4</w:t>
            </w:r>
          </w:p>
        </w:tc>
        <w:tc>
          <w:tcPr>
            <w:tcW w:w="1077" w:type="dxa"/>
            <w:tcBorders>
              <w:top w:val="single" w:sz="4" w:space="0" w:color="auto"/>
              <w:left w:val="single" w:sz="4" w:space="0" w:color="auto"/>
              <w:bottom w:val="single" w:sz="4" w:space="0" w:color="auto"/>
              <w:right w:val="single" w:sz="4" w:space="0" w:color="auto"/>
            </w:tcBorders>
            <w:hideMark/>
          </w:tcPr>
          <w:p w14:paraId="2BC9FCBB" w14:textId="77777777" w:rsidR="00C977C0" w:rsidRPr="00E42255" w:rsidRDefault="00C977C0" w:rsidP="00BC53AC">
            <w:pPr>
              <w:pStyle w:val="TAC"/>
              <w:rPr>
                <w:lang w:val="fr-FR"/>
              </w:rPr>
            </w:pPr>
            <w:r w:rsidRPr="00E42255">
              <w:rPr>
                <w:lang w:val="fr-FR"/>
              </w:rPr>
              <w:t>190</w:t>
            </w:r>
          </w:p>
        </w:tc>
        <w:tc>
          <w:tcPr>
            <w:tcW w:w="1167" w:type="dxa"/>
            <w:tcBorders>
              <w:top w:val="single" w:sz="4" w:space="0" w:color="auto"/>
              <w:left w:val="single" w:sz="4" w:space="0" w:color="auto"/>
              <w:bottom w:val="single" w:sz="4" w:space="0" w:color="auto"/>
              <w:right w:val="single" w:sz="4" w:space="0" w:color="auto"/>
            </w:tcBorders>
            <w:hideMark/>
          </w:tcPr>
          <w:p w14:paraId="7EF164A7" w14:textId="77777777" w:rsidR="00C977C0" w:rsidRPr="00E42255" w:rsidRDefault="00C977C0" w:rsidP="00BC53AC">
            <w:pPr>
              <w:pStyle w:val="TAC"/>
              <w:rPr>
                <w:lang w:val="fr-FR"/>
              </w:rPr>
            </w:pPr>
            <w:r w:rsidRPr="00E42255">
              <w:rPr>
                <w:lang w:val="fr-FR"/>
              </w:rPr>
              <w:t>-2.5</w:t>
            </w:r>
          </w:p>
        </w:tc>
        <w:tc>
          <w:tcPr>
            <w:tcW w:w="1846" w:type="dxa"/>
            <w:tcBorders>
              <w:top w:val="nil"/>
              <w:left w:val="single" w:sz="4" w:space="0" w:color="auto"/>
              <w:bottom w:val="nil"/>
              <w:right w:val="single" w:sz="4" w:space="0" w:color="auto"/>
            </w:tcBorders>
          </w:tcPr>
          <w:p w14:paraId="0DAF48E4" w14:textId="77777777" w:rsidR="00C977C0" w:rsidRPr="00E42255" w:rsidRDefault="00C977C0" w:rsidP="00BC53AC">
            <w:pPr>
              <w:pStyle w:val="TAC"/>
              <w:rPr>
                <w:lang w:val="fr-FR"/>
              </w:rPr>
            </w:pPr>
          </w:p>
        </w:tc>
      </w:tr>
      <w:tr w:rsidR="00C977C0" w:rsidRPr="00E42255" w14:paraId="4A9535DC"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FFA2313" w14:textId="77777777" w:rsidR="00C977C0" w:rsidRPr="00E42255" w:rsidRDefault="00C977C0" w:rsidP="00BC53AC">
            <w:pPr>
              <w:pStyle w:val="TAC"/>
              <w:rPr>
                <w:lang w:val="fr-FR"/>
              </w:rPr>
            </w:pPr>
            <w:r w:rsidRPr="00E42255">
              <w:rPr>
                <w:lang w:val="fr-FR"/>
              </w:rPr>
              <w:t>5</w:t>
            </w:r>
          </w:p>
        </w:tc>
        <w:tc>
          <w:tcPr>
            <w:tcW w:w="1077" w:type="dxa"/>
            <w:tcBorders>
              <w:top w:val="single" w:sz="4" w:space="0" w:color="auto"/>
              <w:left w:val="single" w:sz="4" w:space="0" w:color="auto"/>
              <w:bottom w:val="single" w:sz="4" w:space="0" w:color="auto"/>
              <w:right w:val="single" w:sz="4" w:space="0" w:color="auto"/>
            </w:tcBorders>
            <w:hideMark/>
          </w:tcPr>
          <w:p w14:paraId="4A20732F" w14:textId="77777777" w:rsidR="00C977C0" w:rsidRPr="00E42255" w:rsidRDefault="00C977C0" w:rsidP="00BC53AC">
            <w:pPr>
              <w:pStyle w:val="TAC"/>
              <w:rPr>
                <w:lang w:val="fr-FR"/>
              </w:rPr>
            </w:pPr>
            <w:r w:rsidRPr="00E42255">
              <w:rPr>
                <w:lang w:val="fr-FR"/>
              </w:rPr>
              <w:t>195</w:t>
            </w:r>
          </w:p>
        </w:tc>
        <w:tc>
          <w:tcPr>
            <w:tcW w:w="1167" w:type="dxa"/>
            <w:tcBorders>
              <w:top w:val="single" w:sz="4" w:space="0" w:color="auto"/>
              <w:left w:val="single" w:sz="4" w:space="0" w:color="auto"/>
              <w:bottom w:val="single" w:sz="4" w:space="0" w:color="auto"/>
              <w:right w:val="single" w:sz="4" w:space="0" w:color="auto"/>
            </w:tcBorders>
            <w:hideMark/>
          </w:tcPr>
          <w:p w14:paraId="59EF9F66" w14:textId="77777777" w:rsidR="00C977C0" w:rsidRPr="00E42255" w:rsidRDefault="00C977C0" w:rsidP="00BC53AC">
            <w:pPr>
              <w:pStyle w:val="TAC"/>
              <w:rPr>
                <w:lang w:val="fr-FR"/>
              </w:rPr>
            </w:pPr>
            <w:r w:rsidRPr="00E42255">
              <w:rPr>
                <w:lang w:val="fr-FR"/>
              </w:rPr>
              <w:t>-2.4</w:t>
            </w:r>
          </w:p>
        </w:tc>
        <w:tc>
          <w:tcPr>
            <w:tcW w:w="1846" w:type="dxa"/>
            <w:tcBorders>
              <w:top w:val="nil"/>
              <w:left w:val="single" w:sz="4" w:space="0" w:color="auto"/>
              <w:bottom w:val="nil"/>
              <w:right w:val="single" w:sz="4" w:space="0" w:color="auto"/>
            </w:tcBorders>
          </w:tcPr>
          <w:p w14:paraId="58C2F747" w14:textId="77777777" w:rsidR="00C977C0" w:rsidRPr="00E42255" w:rsidRDefault="00C977C0" w:rsidP="00BC53AC">
            <w:pPr>
              <w:pStyle w:val="TAC"/>
              <w:rPr>
                <w:lang w:val="fr-FR"/>
              </w:rPr>
            </w:pPr>
          </w:p>
        </w:tc>
      </w:tr>
      <w:tr w:rsidR="00C977C0" w:rsidRPr="00E42255" w14:paraId="286CAF72"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5940154F" w14:textId="77777777" w:rsidR="00C977C0" w:rsidRPr="00E42255" w:rsidRDefault="00C977C0" w:rsidP="00BC53AC">
            <w:pPr>
              <w:pStyle w:val="TAC"/>
              <w:rPr>
                <w:lang w:val="fr-FR"/>
              </w:rPr>
            </w:pPr>
            <w:r w:rsidRPr="00E42255">
              <w:rPr>
                <w:lang w:val="fr-FR"/>
              </w:rPr>
              <w:t>6</w:t>
            </w:r>
          </w:p>
        </w:tc>
        <w:tc>
          <w:tcPr>
            <w:tcW w:w="1077" w:type="dxa"/>
            <w:tcBorders>
              <w:top w:val="single" w:sz="4" w:space="0" w:color="auto"/>
              <w:left w:val="single" w:sz="4" w:space="0" w:color="auto"/>
              <w:bottom w:val="single" w:sz="4" w:space="0" w:color="auto"/>
              <w:right w:val="single" w:sz="4" w:space="0" w:color="auto"/>
            </w:tcBorders>
            <w:hideMark/>
          </w:tcPr>
          <w:p w14:paraId="0A7E501E" w14:textId="77777777" w:rsidR="00C977C0" w:rsidRPr="00E42255" w:rsidRDefault="00C977C0" w:rsidP="00BC53AC">
            <w:pPr>
              <w:pStyle w:val="TAC"/>
              <w:rPr>
                <w:lang w:val="fr-FR"/>
              </w:rPr>
            </w:pPr>
            <w:r w:rsidRPr="00E42255">
              <w:rPr>
                <w:lang w:val="fr-FR"/>
              </w:rPr>
              <w:t>200</w:t>
            </w:r>
          </w:p>
        </w:tc>
        <w:tc>
          <w:tcPr>
            <w:tcW w:w="1167" w:type="dxa"/>
            <w:tcBorders>
              <w:top w:val="single" w:sz="4" w:space="0" w:color="auto"/>
              <w:left w:val="single" w:sz="4" w:space="0" w:color="auto"/>
              <w:bottom w:val="single" w:sz="4" w:space="0" w:color="auto"/>
              <w:right w:val="single" w:sz="4" w:space="0" w:color="auto"/>
            </w:tcBorders>
            <w:hideMark/>
          </w:tcPr>
          <w:p w14:paraId="2AD44F43" w14:textId="77777777" w:rsidR="00C977C0" w:rsidRPr="00E42255" w:rsidRDefault="00C977C0" w:rsidP="00BC53AC">
            <w:pPr>
              <w:pStyle w:val="TAC"/>
              <w:rPr>
                <w:lang w:val="fr-FR"/>
              </w:rPr>
            </w:pPr>
            <w:r w:rsidRPr="00E42255">
              <w:rPr>
                <w:lang w:val="fr-FR"/>
              </w:rPr>
              <w:t>-9.9</w:t>
            </w:r>
          </w:p>
        </w:tc>
        <w:tc>
          <w:tcPr>
            <w:tcW w:w="1846" w:type="dxa"/>
            <w:tcBorders>
              <w:top w:val="nil"/>
              <w:left w:val="single" w:sz="4" w:space="0" w:color="auto"/>
              <w:bottom w:val="nil"/>
              <w:right w:val="single" w:sz="4" w:space="0" w:color="auto"/>
            </w:tcBorders>
            <w:hideMark/>
          </w:tcPr>
          <w:p w14:paraId="2DF1984E" w14:textId="77777777" w:rsidR="00C977C0" w:rsidRPr="00E42255" w:rsidRDefault="00C977C0" w:rsidP="00BC53AC">
            <w:pPr>
              <w:pStyle w:val="TAC"/>
              <w:rPr>
                <w:lang w:val="fr-FR"/>
              </w:rPr>
            </w:pPr>
            <w:r w:rsidRPr="00E42255">
              <w:rPr>
                <w:lang w:val="fr-FR"/>
              </w:rPr>
              <w:t>Rayleigh</w:t>
            </w:r>
          </w:p>
        </w:tc>
      </w:tr>
      <w:tr w:rsidR="00C977C0" w:rsidRPr="00E42255" w14:paraId="4AA6B7D1"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6C936A59" w14:textId="77777777" w:rsidR="00C977C0" w:rsidRPr="00E42255" w:rsidRDefault="00C977C0" w:rsidP="00BC53AC">
            <w:pPr>
              <w:pStyle w:val="TAC"/>
              <w:rPr>
                <w:lang w:val="fr-FR"/>
              </w:rPr>
            </w:pPr>
            <w:r w:rsidRPr="00E42255">
              <w:rPr>
                <w:lang w:val="fr-FR"/>
              </w:rPr>
              <w:t>7</w:t>
            </w:r>
          </w:p>
        </w:tc>
        <w:tc>
          <w:tcPr>
            <w:tcW w:w="1077" w:type="dxa"/>
            <w:tcBorders>
              <w:top w:val="single" w:sz="4" w:space="0" w:color="auto"/>
              <w:left w:val="single" w:sz="4" w:space="0" w:color="auto"/>
              <w:bottom w:val="single" w:sz="4" w:space="0" w:color="auto"/>
              <w:right w:val="single" w:sz="4" w:space="0" w:color="auto"/>
            </w:tcBorders>
            <w:hideMark/>
          </w:tcPr>
          <w:p w14:paraId="6E63D28A" w14:textId="77777777" w:rsidR="00C977C0" w:rsidRPr="00E42255" w:rsidRDefault="00C977C0" w:rsidP="00BC53AC">
            <w:pPr>
              <w:pStyle w:val="TAC"/>
              <w:rPr>
                <w:lang w:val="fr-FR"/>
              </w:rPr>
            </w:pPr>
            <w:r w:rsidRPr="00E42255">
              <w:rPr>
                <w:lang w:val="fr-FR"/>
              </w:rPr>
              <w:t>240</w:t>
            </w:r>
          </w:p>
        </w:tc>
        <w:tc>
          <w:tcPr>
            <w:tcW w:w="1167" w:type="dxa"/>
            <w:tcBorders>
              <w:top w:val="single" w:sz="4" w:space="0" w:color="auto"/>
              <w:left w:val="single" w:sz="4" w:space="0" w:color="auto"/>
              <w:bottom w:val="single" w:sz="4" w:space="0" w:color="auto"/>
              <w:right w:val="single" w:sz="4" w:space="0" w:color="auto"/>
            </w:tcBorders>
            <w:hideMark/>
          </w:tcPr>
          <w:p w14:paraId="0690DBDE" w14:textId="77777777" w:rsidR="00C977C0" w:rsidRPr="00E42255" w:rsidRDefault="00C977C0" w:rsidP="00BC53AC">
            <w:pPr>
              <w:pStyle w:val="TAC"/>
              <w:rPr>
                <w:lang w:val="fr-FR"/>
              </w:rPr>
            </w:pPr>
            <w:r w:rsidRPr="00E42255">
              <w:rPr>
                <w:lang w:val="fr-FR"/>
              </w:rPr>
              <w:t>-8.0</w:t>
            </w:r>
          </w:p>
        </w:tc>
        <w:tc>
          <w:tcPr>
            <w:tcW w:w="1846" w:type="dxa"/>
            <w:tcBorders>
              <w:top w:val="nil"/>
              <w:left w:val="single" w:sz="4" w:space="0" w:color="auto"/>
              <w:bottom w:val="nil"/>
              <w:right w:val="single" w:sz="4" w:space="0" w:color="auto"/>
            </w:tcBorders>
          </w:tcPr>
          <w:p w14:paraId="7E4F7E21" w14:textId="77777777" w:rsidR="00C977C0" w:rsidRPr="00E42255" w:rsidRDefault="00C977C0" w:rsidP="00BC53AC">
            <w:pPr>
              <w:pStyle w:val="TAC"/>
              <w:rPr>
                <w:lang w:val="fr-FR"/>
              </w:rPr>
            </w:pPr>
          </w:p>
        </w:tc>
      </w:tr>
      <w:tr w:rsidR="00C977C0" w:rsidRPr="00E42255" w14:paraId="0B15AA82"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8E6A244" w14:textId="77777777" w:rsidR="00C977C0" w:rsidRPr="00E42255" w:rsidRDefault="00C977C0" w:rsidP="00BC53AC">
            <w:pPr>
              <w:pStyle w:val="TAC"/>
              <w:rPr>
                <w:lang w:val="fr-FR"/>
              </w:rPr>
            </w:pPr>
            <w:r w:rsidRPr="00E42255">
              <w:rPr>
                <w:lang w:val="fr-FR"/>
              </w:rPr>
              <w:t>8</w:t>
            </w:r>
          </w:p>
        </w:tc>
        <w:tc>
          <w:tcPr>
            <w:tcW w:w="1077" w:type="dxa"/>
            <w:tcBorders>
              <w:top w:val="single" w:sz="4" w:space="0" w:color="auto"/>
              <w:left w:val="single" w:sz="4" w:space="0" w:color="auto"/>
              <w:bottom w:val="single" w:sz="4" w:space="0" w:color="auto"/>
              <w:right w:val="single" w:sz="4" w:space="0" w:color="auto"/>
            </w:tcBorders>
            <w:hideMark/>
          </w:tcPr>
          <w:p w14:paraId="42EC06A2" w14:textId="77777777" w:rsidR="00C977C0" w:rsidRPr="00E42255" w:rsidRDefault="00C977C0" w:rsidP="00BC53AC">
            <w:pPr>
              <w:pStyle w:val="TAC"/>
              <w:rPr>
                <w:lang w:val="fr-FR"/>
              </w:rPr>
            </w:pPr>
            <w:r w:rsidRPr="00E42255">
              <w:rPr>
                <w:lang w:val="fr-FR"/>
              </w:rPr>
              <w:t>325</w:t>
            </w:r>
          </w:p>
        </w:tc>
        <w:tc>
          <w:tcPr>
            <w:tcW w:w="1167" w:type="dxa"/>
            <w:tcBorders>
              <w:top w:val="single" w:sz="4" w:space="0" w:color="auto"/>
              <w:left w:val="single" w:sz="4" w:space="0" w:color="auto"/>
              <w:bottom w:val="single" w:sz="4" w:space="0" w:color="auto"/>
              <w:right w:val="single" w:sz="4" w:space="0" w:color="auto"/>
            </w:tcBorders>
            <w:hideMark/>
          </w:tcPr>
          <w:p w14:paraId="73C75F79" w14:textId="77777777" w:rsidR="00C977C0" w:rsidRPr="00E42255" w:rsidRDefault="00C977C0" w:rsidP="00BC53AC">
            <w:pPr>
              <w:pStyle w:val="TAC"/>
              <w:rPr>
                <w:lang w:val="fr-FR"/>
              </w:rPr>
            </w:pPr>
            <w:r w:rsidRPr="00E42255">
              <w:rPr>
                <w:lang w:val="fr-FR"/>
              </w:rPr>
              <w:t>-6.6</w:t>
            </w:r>
          </w:p>
        </w:tc>
        <w:tc>
          <w:tcPr>
            <w:tcW w:w="1846" w:type="dxa"/>
            <w:tcBorders>
              <w:top w:val="nil"/>
              <w:left w:val="single" w:sz="4" w:space="0" w:color="auto"/>
              <w:bottom w:val="nil"/>
              <w:right w:val="single" w:sz="4" w:space="0" w:color="auto"/>
            </w:tcBorders>
          </w:tcPr>
          <w:p w14:paraId="42A69101" w14:textId="77777777" w:rsidR="00C977C0" w:rsidRPr="00E42255" w:rsidRDefault="00C977C0" w:rsidP="00BC53AC">
            <w:pPr>
              <w:pStyle w:val="TAC"/>
              <w:rPr>
                <w:lang w:val="fr-FR"/>
              </w:rPr>
            </w:pPr>
          </w:p>
        </w:tc>
      </w:tr>
      <w:tr w:rsidR="00C977C0" w:rsidRPr="00E42255" w14:paraId="4A961583"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593AFA38" w14:textId="77777777" w:rsidR="00C977C0" w:rsidRPr="00E42255" w:rsidRDefault="00C977C0" w:rsidP="00BC53AC">
            <w:pPr>
              <w:pStyle w:val="TAC"/>
              <w:rPr>
                <w:lang w:val="fr-FR"/>
              </w:rPr>
            </w:pPr>
            <w:r w:rsidRPr="00E42255">
              <w:rPr>
                <w:lang w:val="fr-FR"/>
              </w:rPr>
              <w:t>9</w:t>
            </w:r>
          </w:p>
        </w:tc>
        <w:tc>
          <w:tcPr>
            <w:tcW w:w="1077" w:type="dxa"/>
            <w:tcBorders>
              <w:top w:val="single" w:sz="4" w:space="0" w:color="auto"/>
              <w:left w:val="single" w:sz="4" w:space="0" w:color="auto"/>
              <w:bottom w:val="single" w:sz="4" w:space="0" w:color="auto"/>
              <w:right w:val="single" w:sz="4" w:space="0" w:color="auto"/>
            </w:tcBorders>
            <w:hideMark/>
          </w:tcPr>
          <w:p w14:paraId="469E0AA3" w14:textId="77777777" w:rsidR="00C977C0" w:rsidRPr="00E42255" w:rsidRDefault="00C977C0" w:rsidP="00BC53AC">
            <w:pPr>
              <w:pStyle w:val="TAC"/>
              <w:rPr>
                <w:lang w:val="fr-FR"/>
              </w:rPr>
            </w:pPr>
            <w:r w:rsidRPr="00E42255">
              <w:rPr>
                <w:lang w:val="fr-FR"/>
              </w:rPr>
              <w:t>520</w:t>
            </w:r>
          </w:p>
        </w:tc>
        <w:tc>
          <w:tcPr>
            <w:tcW w:w="1167" w:type="dxa"/>
            <w:tcBorders>
              <w:top w:val="single" w:sz="4" w:space="0" w:color="auto"/>
              <w:left w:val="single" w:sz="4" w:space="0" w:color="auto"/>
              <w:bottom w:val="single" w:sz="4" w:space="0" w:color="auto"/>
              <w:right w:val="single" w:sz="4" w:space="0" w:color="auto"/>
            </w:tcBorders>
            <w:hideMark/>
          </w:tcPr>
          <w:p w14:paraId="380AF651" w14:textId="77777777" w:rsidR="00C977C0" w:rsidRPr="00E42255" w:rsidRDefault="00C977C0" w:rsidP="00BC53AC">
            <w:pPr>
              <w:pStyle w:val="TAC"/>
              <w:rPr>
                <w:lang w:val="fr-FR"/>
              </w:rPr>
            </w:pPr>
            <w:r w:rsidRPr="00E42255">
              <w:rPr>
                <w:lang w:val="fr-FR"/>
              </w:rPr>
              <w:t>-7.1</w:t>
            </w:r>
          </w:p>
        </w:tc>
        <w:tc>
          <w:tcPr>
            <w:tcW w:w="1846" w:type="dxa"/>
            <w:tcBorders>
              <w:top w:val="nil"/>
              <w:left w:val="single" w:sz="4" w:space="0" w:color="auto"/>
              <w:bottom w:val="nil"/>
              <w:right w:val="single" w:sz="4" w:space="0" w:color="auto"/>
            </w:tcBorders>
          </w:tcPr>
          <w:p w14:paraId="179858DF" w14:textId="77777777" w:rsidR="00C977C0" w:rsidRPr="00E42255" w:rsidRDefault="00C977C0" w:rsidP="00BC53AC">
            <w:pPr>
              <w:pStyle w:val="TAC"/>
              <w:rPr>
                <w:lang w:val="fr-FR"/>
              </w:rPr>
            </w:pPr>
          </w:p>
        </w:tc>
      </w:tr>
      <w:tr w:rsidR="00C977C0" w:rsidRPr="00E42255" w14:paraId="7B972CF1"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AC42CC3" w14:textId="77777777" w:rsidR="00C977C0" w:rsidRPr="00E42255" w:rsidRDefault="00C977C0" w:rsidP="00BC53AC">
            <w:pPr>
              <w:pStyle w:val="TAC"/>
              <w:rPr>
                <w:lang w:val="fr-FR"/>
              </w:rPr>
            </w:pPr>
            <w:r w:rsidRPr="00E42255">
              <w:rPr>
                <w:lang w:val="fr-FR"/>
              </w:rPr>
              <w:t>10</w:t>
            </w:r>
          </w:p>
        </w:tc>
        <w:tc>
          <w:tcPr>
            <w:tcW w:w="1077" w:type="dxa"/>
            <w:tcBorders>
              <w:top w:val="single" w:sz="4" w:space="0" w:color="auto"/>
              <w:left w:val="single" w:sz="4" w:space="0" w:color="auto"/>
              <w:bottom w:val="single" w:sz="4" w:space="0" w:color="auto"/>
              <w:right w:val="single" w:sz="4" w:space="0" w:color="auto"/>
            </w:tcBorders>
            <w:hideMark/>
          </w:tcPr>
          <w:p w14:paraId="52F61D70" w14:textId="77777777" w:rsidR="00C977C0" w:rsidRPr="00E42255" w:rsidRDefault="00C977C0" w:rsidP="00BC53AC">
            <w:pPr>
              <w:pStyle w:val="TAC"/>
              <w:rPr>
                <w:lang w:val="fr-FR"/>
              </w:rPr>
            </w:pPr>
            <w:r w:rsidRPr="00E42255">
              <w:rPr>
                <w:lang w:val="fr-FR"/>
              </w:rPr>
              <w:t>1045</w:t>
            </w:r>
          </w:p>
        </w:tc>
        <w:tc>
          <w:tcPr>
            <w:tcW w:w="1167" w:type="dxa"/>
            <w:tcBorders>
              <w:top w:val="single" w:sz="4" w:space="0" w:color="auto"/>
              <w:left w:val="single" w:sz="4" w:space="0" w:color="auto"/>
              <w:bottom w:val="single" w:sz="4" w:space="0" w:color="auto"/>
              <w:right w:val="single" w:sz="4" w:space="0" w:color="auto"/>
            </w:tcBorders>
            <w:hideMark/>
          </w:tcPr>
          <w:p w14:paraId="46D44168" w14:textId="77777777" w:rsidR="00C977C0" w:rsidRPr="00E42255" w:rsidRDefault="00C977C0" w:rsidP="00BC53AC">
            <w:pPr>
              <w:pStyle w:val="TAC"/>
              <w:rPr>
                <w:lang w:val="fr-FR"/>
              </w:rPr>
            </w:pPr>
            <w:r w:rsidRPr="00E42255">
              <w:rPr>
                <w:lang w:val="fr-FR"/>
              </w:rPr>
              <w:t>-13.0</w:t>
            </w:r>
          </w:p>
        </w:tc>
        <w:tc>
          <w:tcPr>
            <w:tcW w:w="1846" w:type="dxa"/>
            <w:tcBorders>
              <w:top w:val="nil"/>
              <w:left w:val="single" w:sz="4" w:space="0" w:color="auto"/>
              <w:bottom w:val="nil"/>
              <w:right w:val="single" w:sz="4" w:space="0" w:color="auto"/>
            </w:tcBorders>
          </w:tcPr>
          <w:p w14:paraId="57DE05F3" w14:textId="77777777" w:rsidR="00C977C0" w:rsidRPr="00E42255" w:rsidRDefault="00C977C0" w:rsidP="00BC53AC">
            <w:pPr>
              <w:pStyle w:val="TAC"/>
              <w:rPr>
                <w:lang w:val="fr-FR"/>
              </w:rPr>
            </w:pPr>
          </w:p>
        </w:tc>
      </w:tr>
      <w:tr w:rsidR="00C977C0" w:rsidRPr="00E42255" w14:paraId="116E0FEC"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71A40871" w14:textId="77777777" w:rsidR="00C977C0" w:rsidRPr="00E42255" w:rsidRDefault="00C977C0" w:rsidP="00BC53AC">
            <w:pPr>
              <w:pStyle w:val="TAC"/>
              <w:rPr>
                <w:lang w:val="fr-FR"/>
              </w:rPr>
            </w:pPr>
            <w:r w:rsidRPr="00E42255">
              <w:rPr>
                <w:lang w:val="fr-FR"/>
              </w:rPr>
              <w:t>11</w:t>
            </w:r>
          </w:p>
        </w:tc>
        <w:tc>
          <w:tcPr>
            <w:tcW w:w="1077" w:type="dxa"/>
            <w:tcBorders>
              <w:top w:val="single" w:sz="4" w:space="0" w:color="auto"/>
              <w:left w:val="single" w:sz="4" w:space="0" w:color="auto"/>
              <w:bottom w:val="single" w:sz="4" w:space="0" w:color="auto"/>
              <w:right w:val="single" w:sz="4" w:space="0" w:color="auto"/>
            </w:tcBorders>
            <w:hideMark/>
          </w:tcPr>
          <w:p w14:paraId="3CE4D0A9" w14:textId="77777777" w:rsidR="00C977C0" w:rsidRPr="00E42255" w:rsidRDefault="00C977C0" w:rsidP="00BC53AC">
            <w:pPr>
              <w:pStyle w:val="TAC"/>
              <w:rPr>
                <w:lang w:val="fr-FR"/>
              </w:rPr>
            </w:pPr>
            <w:r w:rsidRPr="00E42255">
              <w:rPr>
                <w:lang w:val="fr-FR"/>
              </w:rPr>
              <w:t>1510</w:t>
            </w:r>
          </w:p>
        </w:tc>
        <w:tc>
          <w:tcPr>
            <w:tcW w:w="1167" w:type="dxa"/>
            <w:tcBorders>
              <w:top w:val="single" w:sz="4" w:space="0" w:color="auto"/>
              <w:left w:val="single" w:sz="4" w:space="0" w:color="auto"/>
              <w:bottom w:val="single" w:sz="4" w:space="0" w:color="auto"/>
              <w:right w:val="single" w:sz="4" w:space="0" w:color="auto"/>
            </w:tcBorders>
            <w:hideMark/>
          </w:tcPr>
          <w:p w14:paraId="3125B5BE" w14:textId="77777777" w:rsidR="00C977C0" w:rsidRPr="00E42255" w:rsidRDefault="00C977C0" w:rsidP="00BC53AC">
            <w:pPr>
              <w:pStyle w:val="TAC"/>
              <w:rPr>
                <w:lang w:val="fr-FR"/>
              </w:rPr>
            </w:pPr>
            <w:r w:rsidRPr="00E42255">
              <w:rPr>
                <w:lang w:val="fr-FR"/>
              </w:rPr>
              <w:t>-14.2</w:t>
            </w:r>
          </w:p>
        </w:tc>
        <w:tc>
          <w:tcPr>
            <w:tcW w:w="1846" w:type="dxa"/>
            <w:tcBorders>
              <w:top w:val="nil"/>
              <w:left w:val="single" w:sz="4" w:space="0" w:color="auto"/>
              <w:bottom w:val="nil"/>
              <w:right w:val="single" w:sz="4" w:space="0" w:color="auto"/>
            </w:tcBorders>
          </w:tcPr>
          <w:p w14:paraId="0EBA0568" w14:textId="77777777" w:rsidR="00C977C0" w:rsidRPr="00E42255" w:rsidRDefault="00C977C0" w:rsidP="00BC53AC">
            <w:pPr>
              <w:pStyle w:val="TAC"/>
              <w:rPr>
                <w:lang w:val="fr-FR"/>
              </w:rPr>
            </w:pPr>
          </w:p>
        </w:tc>
      </w:tr>
      <w:tr w:rsidR="00C977C0" w:rsidRPr="00E42255" w14:paraId="6F4EAB04" w14:textId="77777777" w:rsidTr="00BC53AC">
        <w:trPr>
          <w:cantSplit/>
          <w:jc w:val="center"/>
        </w:trPr>
        <w:tc>
          <w:tcPr>
            <w:tcW w:w="687" w:type="dxa"/>
            <w:tcBorders>
              <w:top w:val="single" w:sz="4" w:space="0" w:color="auto"/>
              <w:left w:val="single" w:sz="4" w:space="0" w:color="auto"/>
              <w:bottom w:val="single" w:sz="4" w:space="0" w:color="auto"/>
              <w:right w:val="single" w:sz="4" w:space="0" w:color="auto"/>
            </w:tcBorders>
            <w:hideMark/>
          </w:tcPr>
          <w:p w14:paraId="4665797F" w14:textId="77777777" w:rsidR="00C977C0" w:rsidRPr="00E42255" w:rsidRDefault="00C977C0" w:rsidP="00BC53AC">
            <w:pPr>
              <w:pStyle w:val="TAC"/>
              <w:rPr>
                <w:lang w:val="fr-FR"/>
              </w:rPr>
            </w:pPr>
            <w:r w:rsidRPr="00E42255">
              <w:rPr>
                <w:lang w:val="fr-FR"/>
              </w:rPr>
              <w:t>12</w:t>
            </w:r>
          </w:p>
        </w:tc>
        <w:tc>
          <w:tcPr>
            <w:tcW w:w="1077" w:type="dxa"/>
            <w:tcBorders>
              <w:top w:val="single" w:sz="4" w:space="0" w:color="auto"/>
              <w:left w:val="single" w:sz="4" w:space="0" w:color="auto"/>
              <w:bottom w:val="single" w:sz="4" w:space="0" w:color="auto"/>
              <w:right w:val="single" w:sz="4" w:space="0" w:color="auto"/>
            </w:tcBorders>
            <w:hideMark/>
          </w:tcPr>
          <w:p w14:paraId="3DF2CFC8" w14:textId="77777777" w:rsidR="00C977C0" w:rsidRPr="00E42255" w:rsidRDefault="00C977C0" w:rsidP="00BC53AC">
            <w:pPr>
              <w:pStyle w:val="TAC"/>
              <w:rPr>
                <w:lang w:val="fr-FR"/>
              </w:rPr>
            </w:pPr>
            <w:r w:rsidRPr="00E42255">
              <w:rPr>
                <w:lang w:val="fr-FR"/>
              </w:rPr>
              <w:t>2595</w:t>
            </w:r>
          </w:p>
        </w:tc>
        <w:tc>
          <w:tcPr>
            <w:tcW w:w="1167" w:type="dxa"/>
            <w:tcBorders>
              <w:top w:val="single" w:sz="4" w:space="0" w:color="auto"/>
              <w:left w:val="single" w:sz="4" w:space="0" w:color="auto"/>
              <w:bottom w:val="single" w:sz="4" w:space="0" w:color="auto"/>
              <w:right w:val="single" w:sz="4" w:space="0" w:color="auto"/>
            </w:tcBorders>
            <w:hideMark/>
          </w:tcPr>
          <w:p w14:paraId="271A12E9" w14:textId="77777777" w:rsidR="00C977C0" w:rsidRPr="00E42255" w:rsidRDefault="00C977C0" w:rsidP="00BC53AC">
            <w:pPr>
              <w:pStyle w:val="TAC"/>
              <w:rPr>
                <w:lang w:val="fr-FR"/>
              </w:rPr>
            </w:pPr>
            <w:r w:rsidRPr="00E42255">
              <w:rPr>
                <w:lang w:val="fr-FR"/>
              </w:rPr>
              <w:t>-16.0</w:t>
            </w:r>
          </w:p>
        </w:tc>
        <w:tc>
          <w:tcPr>
            <w:tcW w:w="1846" w:type="dxa"/>
            <w:tcBorders>
              <w:top w:val="nil"/>
              <w:left w:val="single" w:sz="4" w:space="0" w:color="auto"/>
              <w:bottom w:val="single" w:sz="4" w:space="0" w:color="auto"/>
              <w:right w:val="single" w:sz="4" w:space="0" w:color="auto"/>
            </w:tcBorders>
          </w:tcPr>
          <w:p w14:paraId="2E5433A9" w14:textId="77777777" w:rsidR="00C977C0" w:rsidRPr="00E42255" w:rsidRDefault="00C977C0" w:rsidP="00BC53AC">
            <w:pPr>
              <w:pStyle w:val="TAC"/>
              <w:rPr>
                <w:lang w:val="fr-FR"/>
              </w:rPr>
            </w:pPr>
          </w:p>
        </w:tc>
      </w:tr>
    </w:tbl>
    <w:p w14:paraId="3803A360" w14:textId="77777777" w:rsidR="00C977C0" w:rsidRPr="00E42255" w:rsidRDefault="00C977C0" w:rsidP="00C977C0">
      <w:pPr>
        <w:rPr>
          <w:rFonts w:eastAsia="DengXian"/>
        </w:rPr>
      </w:pPr>
    </w:p>
    <w:p w14:paraId="7E9F7B81" w14:textId="77777777" w:rsidR="00C977C0" w:rsidRPr="00E42255" w:rsidRDefault="00C977C0" w:rsidP="00C977C0">
      <w:pPr>
        <w:pStyle w:val="Heading3"/>
      </w:pPr>
      <w:bookmarkStart w:id="10505" w:name="_Toc75276424"/>
      <w:bookmarkStart w:id="10506" w:name="_Toc75275914"/>
      <w:bookmarkStart w:id="10507" w:name="_Toc75260369"/>
      <w:bookmarkStart w:id="10508" w:name="_Toc73963191"/>
      <w:bookmarkStart w:id="10509" w:name="_Toc82450502"/>
      <w:bookmarkStart w:id="10510" w:name="_Toc82451151"/>
      <w:bookmarkStart w:id="10511" w:name="_Toc89949540"/>
      <w:bookmarkStart w:id="10512" w:name="_Toc98755929"/>
      <w:bookmarkStart w:id="10513" w:name="_Toc98763521"/>
      <w:bookmarkStart w:id="10514" w:name="_Toc106184450"/>
      <w:r>
        <w:t>I</w:t>
      </w:r>
      <w:r w:rsidRPr="00E42255">
        <w:t>.2.3</w:t>
      </w:r>
      <w:r w:rsidRPr="00E42255">
        <w:tab/>
        <w:t>Combinations of channel model parameters</w:t>
      </w:r>
      <w:bookmarkEnd w:id="10505"/>
      <w:bookmarkEnd w:id="10506"/>
      <w:bookmarkEnd w:id="10507"/>
      <w:bookmarkEnd w:id="10508"/>
      <w:bookmarkEnd w:id="10509"/>
      <w:bookmarkEnd w:id="10510"/>
      <w:bookmarkEnd w:id="10511"/>
      <w:bookmarkEnd w:id="10512"/>
      <w:bookmarkEnd w:id="10513"/>
      <w:bookmarkEnd w:id="10514"/>
    </w:p>
    <w:p w14:paraId="4751F7B4" w14:textId="77777777" w:rsidR="00C977C0" w:rsidRPr="00E42255" w:rsidRDefault="00C977C0" w:rsidP="00C977C0">
      <w:pPr>
        <w:rPr>
          <w:rFonts w:eastAsia="Calibri"/>
        </w:rPr>
      </w:pPr>
      <w:r w:rsidRPr="00E42255">
        <w:rPr>
          <w:rFonts w:eastAsia="Calibri"/>
        </w:rPr>
        <w:t>The propagation conditions used for the performance measurements in multi-path fading environment are indicated as a combination of a channel model name and a maximum Doppler frequency, i.e., TDLA&lt;DS&gt;-&lt;Doppler&gt;, TDLB&lt;DS&gt;-&lt;Doppler&gt; or TDLC&lt;DS&gt;-&lt;Doppler&gt; where '&lt;DS&gt;' indicates the desired delay spread and '&lt;Doppler&gt;' indicates the maximum Doppler frequency (Hz).</w:t>
      </w:r>
    </w:p>
    <w:p w14:paraId="2E988756" w14:textId="77777777" w:rsidR="00C977C0" w:rsidRPr="00E42255" w:rsidRDefault="00C977C0" w:rsidP="00C977C0">
      <w:pPr>
        <w:rPr>
          <w:rFonts w:eastAsia="DengXian"/>
        </w:rPr>
      </w:pPr>
      <w:r w:rsidRPr="00E42255">
        <w:rPr>
          <w:rFonts w:eastAsia="DengXian"/>
        </w:rPr>
        <w:t xml:space="preserve">Table </w:t>
      </w:r>
      <w:r>
        <w:rPr>
          <w:rFonts w:eastAsia="DengXian"/>
        </w:rPr>
        <w:t>I</w:t>
      </w:r>
      <w:r w:rsidRPr="00E42255">
        <w:rPr>
          <w:rFonts w:eastAsia="DengXian"/>
        </w:rPr>
        <w:t>.2.3-1 show the propagation conditions that are used for the performance measurements in multi-path fading environment for low, medium and high Doppler frequencies for FR1.</w:t>
      </w:r>
    </w:p>
    <w:p w14:paraId="2C8CCB01" w14:textId="77777777" w:rsidR="00C977C0" w:rsidRPr="00E42255" w:rsidRDefault="00C977C0" w:rsidP="00C977C0">
      <w:pPr>
        <w:pStyle w:val="TH"/>
        <w:rPr>
          <w:lang w:val="fr-FR"/>
        </w:rPr>
      </w:pPr>
      <w:r w:rsidRPr="00E42255">
        <w:rPr>
          <w:lang w:val="fr-FR"/>
        </w:rPr>
        <w:lastRenderedPageBreak/>
        <w:t xml:space="preserve">Table </w:t>
      </w:r>
      <w:r>
        <w:rPr>
          <w:lang w:val="fr-FR"/>
        </w:rPr>
        <w:t>I</w:t>
      </w:r>
      <w:r w:rsidRPr="00E42255">
        <w:rPr>
          <w:lang w:val="fr-FR"/>
        </w:rPr>
        <w:t>.2.3-1: Channel model parameters for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837"/>
        <w:gridCol w:w="987"/>
        <w:gridCol w:w="2687"/>
      </w:tblGrid>
      <w:tr w:rsidR="00C977C0" w:rsidRPr="00E42255" w14:paraId="2B64EA3C" w14:textId="77777777" w:rsidTr="00BC53AC">
        <w:trPr>
          <w:cantSplit/>
          <w:jc w:val="center"/>
        </w:trPr>
        <w:tc>
          <w:tcPr>
            <w:tcW w:w="1837" w:type="dxa"/>
            <w:tcBorders>
              <w:top w:val="single" w:sz="4" w:space="0" w:color="auto"/>
              <w:left w:val="single" w:sz="4" w:space="0" w:color="auto"/>
              <w:bottom w:val="single" w:sz="4" w:space="0" w:color="auto"/>
              <w:right w:val="single" w:sz="4" w:space="0" w:color="auto"/>
            </w:tcBorders>
            <w:hideMark/>
          </w:tcPr>
          <w:p w14:paraId="3054BA42" w14:textId="77777777" w:rsidR="00C977C0" w:rsidRPr="00E42255" w:rsidRDefault="00C977C0" w:rsidP="00BC53AC">
            <w:pPr>
              <w:pStyle w:val="TAH"/>
              <w:rPr>
                <w:lang w:val="fr-FR" w:eastAsia="ja-JP"/>
              </w:rPr>
            </w:pPr>
            <w:r w:rsidRPr="00E42255">
              <w:rPr>
                <w:lang w:val="fr-FR" w:eastAsia="ja-JP"/>
              </w:rPr>
              <w:t>Combination name</w:t>
            </w:r>
          </w:p>
        </w:tc>
        <w:tc>
          <w:tcPr>
            <w:tcW w:w="987" w:type="dxa"/>
            <w:tcBorders>
              <w:top w:val="single" w:sz="4" w:space="0" w:color="auto"/>
              <w:left w:val="single" w:sz="4" w:space="0" w:color="auto"/>
              <w:bottom w:val="single" w:sz="4" w:space="0" w:color="auto"/>
              <w:right w:val="single" w:sz="4" w:space="0" w:color="auto"/>
            </w:tcBorders>
            <w:hideMark/>
          </w:tcPr>
          <w:p w14:paraId="3D7A4819" w14:textId="77777777" w:rsidR="00C977C0" w:rsidRPr="00E42255" w:rsidRDefault="00C977C0" w:rsidP="00BC53AC">
            <w:pPr>
              <w:pStyle w:val="TAH"/>
              <w:rPr>
                <w:lang w:val="fr-FR" w:eastAsia="ja-JP"/>
              </w:rPr>
            </w:pPr>
            <w:r w:rsidRPr="00E42255">
              <w:rPr>
                <w:lang w:val="fr-FR" w:eastAsia="ja-JP"/>
              </w:rPr>
              <w:t>Model</w:t>
            </w:r>
          </w:p>
        </w:tc>
        <w:tc>
          <w:tcPr>
            <w:tcW w:w="2687" w:type="dxa"/>
            <w:tcBorders>
              <w:top w:val="single" w:sz="4" w:space="0" w:color="auto"/>
              <w:left w:val="single" w:sz="4" w:space="0" w:color="auto"/>
              <w:bottom w:val="single" w:sz="4" w:space="0" w:color="auto"/>
              <w:right w:val="single" w:sz="4" w:space="0" w:color="auto"/>
            </w:tcBorders>
            <w:hideMark/>
          </w:tcPr>
          <w:p w14:paraId="172CC3EC" w14:textId="77777777" w:rsidR="00C977C0" w:rsidRPr="00E42255" w:rsidRDefault="00C977C0" w:rsidP="00BC53AC">
            <w:pPr>
              <w:pStyle w:val="TAH"/>
              <w:rPr>
                <w:lang w:val="fr-FR" w:eastAsia="ja-JP"/>
              </w:rPr>
            </w:pPr>
            <w:r w:rsidRPr="00E42255">
              <w:rPr>
                <w:lang w:val="fr-FR" w:eastAsia="ja-JP"/>
              </w:rPr>
              <w:t>Maximum Doppler frequency</w:t>
            </w:r>
          </w:p>
        </w:tc>
      </w:tr>
      <w:tr w:rsidR="00C977C0" w:rsidRPr="00E42255" w14:paraId="0BDA53C0" w14:textId="77777777" w:rsidTr="00BC53AC">
        <w:trPr>
          <w:cantSplit/>
          <w:jc w:val="center"/>
        </w:trPr>
        <w:tc>
          <w:tcPr>
            <w:tcW w:w="1837" w:type="dxa"/>
            <w:tcBorders>
              <w:top w:val="single" w:sz="4" w:space="0" w:color="auto"/>
              <w:left w:val="single" w:sz="4" w:space="0" w:color="auto"/>
              <w:bottom w:val="single" w:sz="4" w:space="0" w:color="auto"/>
              <w:right w:val="single" w:sz="4" w:space="0" w:color="auto"/>
            </w:tcBorders>
            <w:hideMark/>
          </w:tcPr>
          <w:p w14:paraId="597ACDCC" w14:textId="77777777" w:rsidR="00C977C0" w:rsidRPr="00E42255" w:rsidRDefault="00C977C0" w:rsidP="00BC53AC">
            <w:pPr>
              <w:pStyle w:val="TAC"/>
              <w:rPr>
                <w:lang w:val="fr-FR" w:eastAsia="ja-JP"/>
              </w:rPr>
            </w:pPr>
            <w:r w:rsidRPr="00E42255">
              <w:rPr>
                <w:lang w:val="fr-FR" w:eastAsia="ja-JP"/>
              </w:rPr>
              <w:t>TDLA30-5</w:t>
            </w:r>
          </w:p>
        </w:tc>
        <w:tc>
          <w:tcPr>
            <w:tcW w:w="987" w:type="dxa"/>
            <w:tcBorders>
              <w:top w:val="single" w:sz="4" w:space="0" w:color="auto"/>
              <w:left w:val="single" w:sz="4" w:space="0" w:color="auto"/>
              <w:bottom w:val="single" w:sz="4" w:space="0" w:color="auto"/>
              <w:right w:val="single" w:sz="4" w:space="0" w:color="auto"/>
            </w:tcBorders>
            <w:hideMark/>
          </w:tcPr>
          <w:p w14:paraId="5735E852" w14:textId="77777777" w:rsidR="00C977C0" w:rsidRPr="00E42255" w:rsidRDefault="00C977C0" w:rsidP="00BC53AC">
            <w:pPr>
              <w:pStyle w:val="TAC"/>
              <w:rPr>
                <w:lang w:val="fr-FR" w:eastAsia="ja-JP"/>
              </w:rPr>
            </w:pPr>
            <w:r w:rsidRPr="00E42255">
              <w:rPr>
                <w:lang w:val="fr-FR" w:eastAsia="ja-JP"/>
              </w:rPr>
              <w:t>TDLA30</w:t>
            </w:r>
          </w:p>
        </w:tc>
        <w:tc>
          <w:tcPr>
            <w:tcW w:w="2687" w:type="dxa"/>
            <w:tcBorders>
              <w:top w:val="single" w:sz="4" w:space="0" w:color="auto"/>
              <w:left w:val="single" w:sz="4" w:space="0" w:color="auto"/>
              <w:bottom w:val="single" w:sz="4" w:space="0" w:color="auto"/>
              <w:right w:val="single" w:sz="4" w:space="0" w:color="auto"/>
            </w:tcBorders>
            <w:hideMark/>
          </w:tcPr>
          <w:p w14:paraId="4A1E6A21" w14:textId="77777777" w:rsidR="00C977C0" w:rsidRPr="00E42255" w:rsidRDefault="00C977C0" w:rsidP="00BC53AC">
            <w:pPr>
              <w:pStyle w:val="TAC"/>
              <w:rPr>
                <w:lang w:val="fr-FR" w:eastAsia="ja-JP"/>
              </w:rPr>
            </w:pPr>
            <w:r w:rsidRPr="00E42255">
              <w:rPr>
                <w:lang w:val="fr-FR" w:eastAsia="ja-JP"/>
              </w:rPr>
              <w:t>5 Hz</w:t>
            </w:r>
          </w:p>
        </w:tc>
      </w:tr>
      <w:tr w:rsidR="00C977C0" w:rsidRPr="00E42255" w14:paraId="33009AED" w14:textId="77777777" w:rsidTr="00BC53AC">
        <w:trPr>
          <w:cantSplit/>
          <w:jc w:val="center"/>
        </w:trPr>
        <w:tc>
          <w:tcPr>
            <w:tcW w:w="1837" w:type="dxa"/>
            <w:tcBorders>
              <w:top w:val="single" w:sz="4" w:space="0" w:color="auto"/>
              <w:left w:val="single" w:sz="4" w:space="0" w:color="auto"/>
              <w:bottom w:val="single" w:sz="4" w:space="0" w:color="auto"/>
              <w:right w:val="single" w:sz="4" w:space="0" w:color="auto"/>
            </w:tcBorders>
            <w:hideMark/>
          </w:tcPr>
          <w:p w14:paraId="51CBA578" w14:textId="77777777" w:rsidR="00C977C0" w:rsidRPr="00E42255" w:rsidRDefault="00C977C0" w:rsidP="00BC53AC">
            <w:pPr>
              <w:pStyle w:val="TAC"/>
              <w:rPr>
                <w:lang w:val="fr-FR" w:eastAsia="ja-JP"/>
              </w:rPr>
            </w:pPr>
            <w:r w:rsidRPr="00E42255">
              <w:rPr>
                <w:lang w:val="fr-FR" w:eastAsia="ja-JP"/>
              </w:rPr>
              <w:t>TDLA30-10</w:t>
            </w:r>
          </w:p>
        </w:tc>
        <w:tc>
          <w:tcPr>
            <w:tcW w:w="987" w:type="dxa"/>
            <w:tcBorders>
              <w:top w:val="single" w:sz="4" w:space="0" w:color="auto"/>
              <w:left w:val="single" w:sz="4" w:space="0" w:color="auto"/>
              <w:bottom w:val="single" w:sz="4" w:space="0" w:color="auto"/>
              <w:right w:val="single" w:sz="4" w:space="0" w:color="auto"/>
            </w:tcBorders>
            <w:hideMark/>
          </w:tcPr>
          <w:p w14:paraId="0C97D9B1" w14:textId="77777777" w:rsidR="00C977C0" w:rsidRPr="00E42255" w:rsidRDefault="00C977C0" w:rsidP="00BC53AC">
            <w:pPr>
              <w:pStyle w:val="TAC"/>
              <w:rPr>
                <w:lang w:val="fr-FR" w:eastAsia="ja-JP"/>
              </w:rPr>
            </w:pPr>
            <w:r w:rsidRPr="00E42255">
              <w:rPr>
                <w:lang w:val="fr-FR" w:eastAsia="ja-JP"/>
              </w:rPr>
              <w:t>TDLA30</w:t>
            </w:r>
          </w:p>
        </w:tc>
        <w:tc>
          <w:tcPr>
            <w:tcW w:w="2687" w:type="dxa"/>
            <w:tcBorders>
              <w:top w:val="single" w:sz="4" w:space="0" w:color="auto"/>
              <w:left w:val="single" w:sz="4" w:space="0" w:color="auto"/>
              <w:bottom w:val="single" w:sz="4" w:space="0" w:color="auto"/>
              <w:right w:val="single" w:sz="4" w:space="0" w:color="auto"/>
            </w:tcBorders>
            <w:hideMark/>
          </w:tcPr>
          <w:p w14:paraId="388720C3" w14:textId="77777777" w:rsidR="00C977C0" w:rsidRPr="00E42255" w:rsidRDefault="00C977C0" w:rsidP="00BC53AC">
            <w:pPr>
              <w:pStyle w:val="TAC"/>
              <w:rPr>
                <w:lang w:val="fr-FR" w:eastAsia="ja-JP"/>
              </w:rPr>
            </w:pPr>
            <w:r w:rsidRPr="00E42255">
              <w:rPr>
                <w:lang w:val="fr-FR" w:eastAsia="ja-JP"/>
              </w:rPr>
              <w:t>10 Hz</w:t>
            </w:r>
          </w:p>
        </w:tc>
      </w:tr>
      <w:tr w:rsidR="00C977C0" w:rsidRPr="00E42255" w14:paraId="535F80C8" w14:textId="77777777" w:rsidTr="00BC53AC">
        <w:trPr>
          <w:cantSplit/>
          <w:jc w:val="center"/>
        </w:trPr>
        <w:tc>
          <w:tcPr>
            <w:tcW w:w="1837" w:type="dxa"/>
            <w:tcBorders>
              <w:top w:val="single" w:sz="4" w:space="0" w:color="auto"/>
              <w:left w:val="single" w:sz="4" w:space="0" w:color="auto"/>
              <w:bottom w:val="single" w:sz="4" w:space="0" w:color="auto"/>
              <w:right w:val="single" w:sz="4" w:space="0" w:color="auto"/>
            </w:tcBorders>
            <w:hideMark/>
          </w:tcPr>
          <w:p w14:paraId="394457E1" w14:textId="77777777" w:rsidR="00C977C0" w:rsidRPr="00E42255" w:rsidRDefault="00C977C0" w:rsidP="00BC53AC">
            <w:pPr>
              <w:pStyle w:val="TAC"/>
              <w:rPr>
                <w:lang w:val="fr-FR" w:eastAsia="ja-JP"/>
              </w:rPr>
            </w:pPr>
            <w:r w:rsidRPr="00E42255">
              <w:rPr>
                <w:lang w:val="fr-FR" w:eastAsia="ja-JP"/>
              </w:rPr>
              <w:t>TDLB100-400</w:t>
            </w:r>
          </w:p>
        </w:tc>
        <w:tc>
          <w:tcPr>
            <w:tcW w:w="987" w:type="dxa"/>
            <w:tcBorders>
              <w:top w:val="single" w:sz="4" w:space="0" w:color="auto"/>
              <w:left w:val="single" w:sz="4" w:space="0" w:color="auto"/>
              <w:bottom w:val="single" w:sz="4" w:space="0" w:color="auto"/>
              <w:right w:val="single" w:sz="4" w:space="0" w:color="auto"/>
            </w:tcBorders>
            <w:hideMark/>
          </w:tcPr>
          <w:p w14:paraId="0DEC2E27" w14:textId="77777777" w:rsidR="00C977C0" w:rsidRPr="00E42255" w:rsidRDefault="00C977C0" w:rsidP="00BC53AC">
            <w:pPr>
              <w:pStyle w:val="TAC"/>
              <w:rPr>
                <w:lang w:val="fr-FR" w:eastAsia="ja-JP"/>
              </w:rPr>
            </w:pPr>
            <w:r w:rsidRPr="00E42255">
              <w:rPr>
                <w:lang w:val="fr-FR" w:eastAsia="ja-JP"/>
              </w:rPr>
              <w:t>TDLB100</w:t>
            </w:r>
          </w:p>
        </w:tc>
        <w:tc>
          <w:tcPr>
            <w:tcW w:w="2687" w:type="dxa"/>
            <w:tcBorders>
              <w:top w:val="single" w:sz="4" w:space="0" w:color="auto"/>
              <w:left w:val="single" w:sz="4" w:space="0" w:color="auto"/>
              <w:bottom w:val="single" w:sz="4" w:space="0" w:color="auto"/>
              <w:right w:val="single" w:sz="4" w:space="0" w:color="auto"/>
            </w:tcBorders>
            <w:hideMark/>
          </w:tcPr>
          <w:p w14:paraId="38B358B9" w14:textId="77777777" w:rsidR="00C977C0" w:rsidRPr="00E42255" w:rsidRDefault="00C977C0" w:rsidP="00BC53AC">
            <w:pPr>
              <w:pStyle w:val="TAC"/>
              <w:rPr>
                <w:lang w:val="fr-FR" w:eastAsia="ja-JP"/>
              </w:rPr>
            </w:pPr>
            <w:r w:rsidRPr="00E42255">
              <w:rPr>
                <w:lang w:val="fr-FR" w:eastAsia="ja-JP"/>
              </w:rPr>
              <w:t>400 Hz</w:t>
            </w:r>
          </w:p>
        </w:tc>
      </w:tr>
      <w:tr w:rsidR="00C977C0" w:rsidRPr="00E42255" w14:paraId="1DB365F2" w14:textId="77777777" w:rsidTr="00BC53AC">
        <w:trPr>
          <w:cantSplit/>
          <w:jc w:val="center"/>
        </w:trPr>
        <w:tc>
          <w:tcPr>
            <w:tcW w:w="1837" w:type="dxa"/>
            <w:tcBorders>
              <w:top w:val="single" w:sz="4" w:space="0" w:color="auto"/>
              <w:left w:val="single" w:sz="4" w:space="0" w:color="auto"/>
              <w:bottom w:val="single" w:sz="4" w:space="0" w:color="auto"/>
              <w:right w:val="single" w:sz="4" w:space="0" w:color="auto"/>
            </w:tcBorders>
            <w:hideMark/>
          </w:tcPr>
          <w:p w14:paraId="11DC4EC1" w14:textId="77777777" w:rsidR="00C977C0" w:rsidRPr="00E42255" w:rsidRDefault="00C977C0" w:rsidP="00BC53AC">
            <w:pPr>
              <w:pStyle w:val="TAC"/>
              <w:rPr>
                <w:lang w:val="fr-FR" w:eastAsia="ja-JP"/>
              </w:rPr>
            </w:pPr>
            <w:r w:rsidRPr="00E42255">
              <w:rPr>
                <w:lang w:val="fr-FR" w:eastAsia="ja-JP"/>
              </w:rPr>
              <w:t>TDLC300-100</w:t>
            </w:r>
          </w:p>
        </w:tc>
        <w:tc>
          <w:tcPr>
            <w:tcW w:w="987" w:type="dxa"/>
            <w:tcBorders>
              <w:top w:val="single" w:sz="4" w:space="0" w:color="auto"/>
              <w:left w:val="single" w:sz="4" w:space="0" w:color="auto"/>
              <w:bottom w:val="single" w:sz="4" w:space="0" w:color="auto"/>
              <w:right w:val="single" w:sz="4" w:space="0" w:color="auto"/>
            </w:tcBorders>
            <w:hideMark/>
          </w:tcPr>
          <w:p w14:paraId="4BC5EA46" w14:textId="77777777" w:rsidR="00C977C0" w:rsidRPr="00E42255" w:rsidRDefault="00C977C0" w:rsidP="00BC53AC">
            <w:pPr>
              <w:pStyle w:val="TAC"/>
              <w:rPr>
                <w:lang w:val="fr-FR" w:eastAsia="ja-JP"/>
              </w:rPr>
            </w:pPr>
            <w:r w:rsidRPr="00E42255">
              <w:rPr>
                <w:lang w:val="fr-FR" w:eastAsia="ja-JP"/>
              </w:rPr>
              <w:t>TDLC300</w:t>
            </w:r>
          </w:p>
        </w:tc>
        <w:tc>
          <w:tcPr>
            <w:tcW w:w="2687" w:type="dxa"/>
            <w:tcBorders>
              <w:top w:val="single" w:sz="4" w:space="0" w:color="auto"/>
              <w:left w:val="single" w:sz="4" w:space="0" w:color="auto"/>
              <w:bottom w:val="single" w:sz="4" w:space="0" w:color="auto"/>
              <w:right w:val="single" w:sz="4" w:space="0" w:color="auto"/>
            </w:tcBorders>
            <w:hideMark/>
          </w:tcPr>
          <w:p w14:paraId="02B9670F" w14:textId="77777777" w:rsidR="00C977C0" w:rsidRPr="00E42255" w:rsidRDefault="00C977C0" w:rsidP="00BC53AC">
            <w:pPr>
              <w:pStyle w:val="TAC"/>
              <w:rPr>
                <w:lang w:val="fr-FR" w:eastAsia="ja-JP"/>
              </w:rPr>
            </w:pPr>
            <w:r w:rsidRPr="00E42255">
              <w:rPr>
                <w:lang w:val="fr-FR" w:eastAsia="ja-JP"/>
              </w:rPr>
              <w:t>100 Hz</w:t>
            </w:r>
          </w:p>
        </w:tc>
      </w:tr>
    </w:tbl>
    <w:p w14:paraId="065AB0F0" w14:textId="77777777" w:rsidR="00C977C0" w:rsidRPr="00E42255" w:rsidRDefault="00C977C0" w:rsidP="00C977C0">
      <w:pPr>
        <w:rPr>
          <w:rFonts w:eastAsia="DengXian"/>
        </w:rPr>
      </w:pPr>
    </w:p>
    <w:p w14:paraId="60429E42" w14:textId="77777777" w:rsidR="00C977C0" w:rsidRPr="00E42255" w:rsidRDefault="00C977C0" w:rsidP="00C977C0">
      <w:pPr>
        <w:pStyle w:val="Heading3"/>
      </w:pPr>
      <w:bookmarkStart w:id="10515" w:name="_Toc75276425"/>
      <w:bookmarkStart w:id="10516" w:name="_Toc75275915"/>
      <w:bookmarkStart w:id="10517" w:name="_Toc75260370"/>
      <w:bookmarkStart w:id="10518" w:name="_Toc73963192"/>
      <w:bookmarkStart w:id="10519" w:name="_Toc82450503"/>
      <w:bookmarkStart w:id="10520" w:name="_Toc82451152"/>
      <w:bookmarkStart w:id="10521" w:name="_Toc89949541"/>
      <w:bookmarkStart w:id="10522" w:name="_Toc98755930"/>
      <w:bookmarkStart w:id="10523" w:name="_Toc98763522"/>
      <w:bookmarkStart w:id="10524" w:name="_Toc106184451"/>
      <w:r>
        <w:t>I</w:t>
      </w:r>
      <w:r w:rsidRPr="00E42255">
        <w:t>.2.4</w:t>
      </w:r>
      <w:r w:rsidRPr="00E42255">
        <w:tab/>
        <w:t>MIMO channel correlation matrices</w:t>
      </w:r>
      <w:bookmarkEnd w:id="10515"/>
      <w:bookmarkEnd w:id="10516"/>
      <w:bookmarkEnd w:id="10517"/>
      <w:bookmarkEnd w:id="10518"/>
      <w:bookmarkEnd w:id="10519"/>
      <w:bookmarkEnd w:id="10520"/>
      <w:bookmarkEnd w:id="10521"/>
      <w:bookmarkEnd w:id="10522"/>
      <w:bookmarkEnd w:id="10523"/>
      <w:bookmarkEnd w:id="10524"/>
    </w:p>
    <w:p w14:paraId="76BE3738" w14:textId="77777777" w:rsidR="00C977C0" w:rsidRPr="00E42255" w:rsidRDefault="00C977C0" w:rsidP="00C977C0">
      <w:pPr>
        <w:pStyle w:val="Heading4"/>
      </w:pPr>
      <w:bookmarkStart w:id="10525" w:name="_Toc75276426"/>
      <w:bookmarkStart w:id="10526" w:name="_Toc75275916"/>
      <w:bookmarkStart w:id="10527" w:name="_Toc82450504"/>
      <w:bookmarkStart w:id="10528" w:name="_Toc82451153"/>
      <w:bookmarkStart w:id="10529" w:name="_Toc89949542"/>
      <w:bookmarkStart w:id="10530" w:name="_Toc98755931"/>
      <w:bookmarkStart w:id="10531" w:name="_Toc98763523"/>
      <w:bookmarkStart w:id="10532" w:name="_Toc106184452"/>
      <w:r>
        <w:t>I</w:t>
      </w:r>
      <w:r w:rsidRPr="00E42255">
        <w:t>.2.4.1</w:t>
      </w:r>
      <w:r w:rsidRPr="00E42255">
        <w:tab/>
        <w:t>General</w:t>
      </w:r>
      <w:bookmarkEnd w:id="10525"/>
      <w:bookmarkEnd w:id="10526"/>
      <w:bookmarkEnd w:id="10527"/>
      <w:bookmarkEnd w:id="10528"/>
      <w:bookmarkEnd w:id="10529"/>
      <w:bookmarkEnd w:id="10530"/>
      <w:bookmarkEnd w:id="10531"/>
      <w:bookmarkEnd w:id="10532"/>
    </w:p>
    <w:p w14:paraId="7A595919" w14:textId="77777777" w:rsidR="00C977C0" w:rsidRPr="00E42255" w:rsidRDefault="00C977C0" w:rsidP="00C977C0">
      <w:pPr>
        <w:rPr>
          <w:rFonts w:eastAsia="Calibri"/>
        </w:rPr>
      </w:pPr>
      <w:r w:rsidRPr="00E42255">
        <w:rPr>
          <w:rFonts w:eastAsia="Calibri"/>
        </w:rPr>
        <w:t xml:space="preserve">The MIMO channel correlation matrices defined in annex </w:t>
      </w:r>
      <w:r>
        <w:rPr>
          <w:rFonts w:eastAsia="Calibri"/>
        </w:rPr>
        <w:t>I</w:t>
      </w:r>
      <w:r w:rsidRPr="00E42255">
        <w:rPr>
          <w:rFonts w:eastAsia="Calibri"/>
        </w:rPr>
        <w:t>.2.4 apply for the antenna configuration using uniform linear arrays at both IAB</w:t>
      </w:r>
      <w:r>
        <w:rPr>
          <w:rFonts w:eastAsia="Calibri"/>
        </w:rPr>
        <w:t>-DU/gNB</w:t>
      </w:r>
      <w:r w:rsidRPr="00E42255">
        <w:rPr>
          <w:rFonts w:eastAsia="Calibri"/>
        </w:rPr>
        <w:t xml:space="preserve"> and </w:t>
      </w:r>
      <w:r>
        <w:rPr>
          <w:rFonts w:eastAsia="Calibri"/>
        </w:rPr>
        <w:t>IAB-MT/</w:t>
      </w:r>
      <w:r w:rsidRPr="00E42255">
        <w:rPr>
          <w:rFonts w:eastAsia="Calibri"/>
        </w:rPr>
        <w:t>UE and for the antenna configuration using cross polarized antennas.</w:t>
      </w:r>
    </w:p>
    <w:p w14:paraId="50BC1ABA" w14:textId="77777777" w:rsidR="00C977C0" w:rsidRPr="00E42255" w:rsidRDefault="00C977C0" w:rsidP="00C977C0">
      <w:pPr>
        <w:pStyle w:val="Heading4"/>
      </w:pPr>
      <w:bookmarkStart w:id="10533" w:name="_Toc75276427"/>
      <w:bookmarkStart w:id="10534" w:name="_Toc75275917"/>
      <w:bookmarkStart w:id="10535" w:name="_Toc75260371"/>
      <w:bookmarkStart w:id="10536" w:name="_Toc73963193"/>
      <w:bookmarkStart w:id="10537" w:name="_Toc82450505"/>
      <w:bookmarkStart w:id="10538" w:name="_Toc82451154"/>
      <w:bookmarkStart w:id="10539" w:name="_Toc89949543"/>
      <w:bookmarkStart w:id="10540" w:name="_Toc98755932"/>
      <w:bookmarkStart w:id="10541" w:name="_Toc98763524"/>
      <w:bookmarkStart w:id="10542" w:name="_Toc106184453"/>
      <w:r>
        <w:t>I</w:t>
      </w:r>
      <w:r w:rsidRPr="00E42255">
        <w:t>.2.4.2</w:t>
      </w:r>
      <w:r w:rsidRPr="00E42255">
        <w:tab/>
        <w:t>MIMO correlation matrices using Uniform Linear Array</w:t>
      </w:r>
      <w:bookmarkEnd w:id="10533"/>
      <w:bookmarkEnd w:id="10534"/>
      <w:bookmarkEnd w:id="10535"/>
      <w:bookmarkEnd w:id="10536"/>
      <w:bookmarkEnd w:id="10537"/>
      <w:bookmarkEnd w:id="10538"/>
      <w:bookmarkEnd w:id="10539"/>
      <w:bookmarkEnd w:id="10540"/>
      <w:bookmarkEnd w:id="10541"/>
      <w:bookmarkEnd w:id="10542"/>
    </w:p>
    <w:p w14:paraId="5B5A3B25" w14:textId="77777777" w:rsidR="00C977C0" w:rsidRPr="00E42255" w:rsidRDefault="00C977C0" w:rsidP="00C977C0">
      <w:pPr>
        <w:pStyle w:val="Heading5"/>
        <w:rPr>
          <w:rFonts w:eastAsia="Calibri"/>
        </w:rPr>
      </w:pPr>
      <w:bookmarkStart w:id="10543" w:name="_Toc75276428"/>
      <w:bookmarkStart w:id="10544" w:name="_Toc75275918"/>
      <w:bookmarkStart w:id="10545" w:name="_Toc82450506"/>
      <w:bookmarkStart w:id="10546" w:name="_Toc82451155"/>
      <w:bookmarkStart w:id="10547" w:name="_Toc89949544"/>
      <w:bookmarkStart w:id="10548" w:name="_Toc98755933"/>
      <w:bookmarkStart w:id="10549" w:name="_Toc98763525"/>
      <w:bookmarkStart w:id="10550" w:name="_Toc106184454"/>
      <w:r>
        <w:rPr>
          <w:lang w:eastAsia="ko-KR"/>
        </w:rPr>
        <w:t>I</w:t>
      </w:r>
      <w:r w:rsidRPr="00E42255">
        <w:rPr>
          <w:lang w:eastAsia="ko-KR"/>
        </w:rPr>
        <w:t>.2.4.2.1</w:t>
      </w:r>
      <w:r w:rsidRPr="00E42255">
        <w:rPr>
          <w:lang w:eastAsia="ko-KR"/>
        </w:rPr>
        <w:tab/>
        <w:t>General</w:t>
      </w:r>
      <w:bookmarkEnd w:id="10543"/>
      <w:bookmarkEnd w:id="10544"/>
      <w:bookmarkEnd w:id="10545"/>
      <w:bookmarkEnd w:id="10546"/>
      <w:bookmarkEnd w:id="10547"/>
      <w:bookmarkEnd w:id="10548"/>
      <w:bookmarkEnd w:id="10549"/>
      <w:bookmarkEnd w:id="10550"/>
    </w:p>
    <w:p w14:paraId="2F9BD1A9" w14:textId="77777777" w:rsidR="00C977C0" w:rsidRPr="00E42255" w:rsidRDefault="00C977C0" w:rsidP="00C977C0">
      <w:pPr>
        <w:rPr>
          <w:rFonts w:eastAsia="Calibri"/>
        </w:rPr>
      </w:pPr>
      <w:r w:rsidRPr="00E42255">
        <w:rPr>
          <w:rFonts w:eastAsia="Calibri"/>
        </w:rPr>
        <w:t xml:space="preserve">The MIMO channel correlation matrices defined in annex </w:t>
      </w:r>
      <w:r>
        <w:rPr>
          <w:rFonts w:eastAsia="Calibri"/>
        </w:rPr>
        <w:t>I</w:t>
      </w:r>
      <w:r w:rsidRPr="00E42255">
        <w:rPr>
          <w:rFonts w:eastAsia="Calibri"/>
        </w:rPr>
        <w:t xml:space="preserve">.2.4.2 apply for the antenna configuration using uniform linear array (ULA) at both </w:t>
      </w:r>
      <w:r w:rsidRPr="005C2C2F">
        <w:rPr>
          <w:rFonts w:eastAsia="Calibri"/>
        </w:rPr>
        <w:t>IAB-DU/gNB and IAB-MT/UE</w:t>
      </w:r>
      <w:r w:rsidRPr="00E42255">
        <w:rPr>
          <w:rFonts w:eastAsia="Calibri"/>
        </w:rPr>
        <w:t>.</w:t>
      </w:r>
    </w:p>
    <w:p w14:paraId="07C7045C" w14:textId="77777777" w:rsidR="00C977C0" w:rsidRPr="00E42255" w:rsidRDefault="00C977C0" w:rsidP="00C977C0">
      <w:pPr>
        <w:pStyle w:val="Heading5"/>
        <w:rPr>
          <w:lang w:eastAsia="ko-KR"/>
        </w:rPr>
      </w:pPr>
      <w:bookmarkStart w:id="10551" w:name="_Toc75276429"/>
      <w:bookmarkStart w:id="10552" w:name="_Toc75275919"/>
      <w:bookmarkStart w:id="10553" w:name="_Toc75260372"/>
      <w:bookmarkStart w:id="10554" w:name="_Toc73963194"/>
      <w:bookmarkStart w:id="10555" w:name="_Toc82450507"/>
      <w:bookmarkStart w:id="10556" w:name="_Toc82451156"/>
      <w:bookmarkStart w:id="10557" w:name="_Toc89949545"/>
      <w:bookmarkStart w:id="10558" w:name="_Toc98755934"/>
      <w:bookmarkStart w:id="10559" w:name="_Toc98763526"/>
      <w:bookmarkStart w:id="10560" w:name="_Toc106184455"/>
      <w:r>
        <w:rPr>
          <w:lang w:eastAsia="ko-KR"/>
        </w:rPr>
        <w:t>I</w:t>
      </w:r>
      <w:r w:rsidRPr="00E42255">
        <w:rPr>
          <w:lang w:eastAsia="ko-KR"/>
        </w:rPr>
        <w:t>.2.4.2.2</w:t>
      </w:r>
      <w:r w:rsidRPr="00E42255">
        <w:rPr>
          <w:lang w:eastAsia="ko-KR"/>
        </w:rPr>
        <w:tab/>
        <w:t>Definition of MIMO correlation matrices</w:t>
      </w:r>
      <w:bookmarkEnd w:id="10551"/>
      <w:bookmarkEnd w:id="10552"/>
      <w:bookmarkEnd w:id="10553"/>
      <w:bookmarkEnd w:id="10554"/>
      <w:bookmarkEnd w:id="10555"/>
      <w:bookmarkEnd w:id="10556"/>
      <w:bookmarkEnd w:id="10557"/>
      <w:bookmarkEnd w:id="10558"/>
      <w:bookmarkEnd w:id="10559"/>
      <w:bookmarkEnd w:id="10560"/>
    </w:p>
    <w:p w14:paraId="78FEE73B" w14:textId="77777777" w:rsidR="00C977C0" w:rsidRPr="00E42255" w:rsidRDefault="00C977C0" w:rsidP="00C977C0">
      <w:pPr>
        <w:rPr>
          <w:rFonts w:eastAsia="Calibri"/>
        </w:rPr>
      </w:pPr>
      <w:r w:rsidRPr="00E42255">
        <w:rPr>
          <w:rFonts w:eastAsia="Calibri"/>
        </w:rPr>
        <w:t xml:space="preserve">Table </w:t>
      </w:r>
      <w:r>
        <w:rPr>
          <w:rFonts w:eastAsia="MS Gothic"/>
        </w:rPr>
        <w:t>I</w:t>
      </w:r>
      <w:r w:rsidRPr="00E42255">
        <w:rPr>
          <w:rFonts w:eastAsia="MS Gothic"/>
        </w:rPr>
        <w:t>.2.4.2.2-1</w:t>
      </w:r>
      <w:r w:rsidRPr="00E42255">
        <w:rPr>
          <w:rFonts w:eastAsia="Calibri"/>
        </w:rPr>
        <w:t xml:space="preserve"> defines the correlation matrix for the IAB</w:t>
      </w:r>
      <w:r>
        <w:rPr>
          <w:rFonts w:eastAsia="Calibri"/>
        </w:rPr>
        <w:t>-DU or gNB</w:t>
      </w:r>
      <w:r w:rsidRPr="00E42255">
        <w:rPr>
          <w:rFonts w:eastAsia="Calibri"/>
        </w:rPr>
        <w:t>.</w:t>
      </w:r>
    </w:p>
    <w:p w14:paraId="65F9A9E8"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.2.4.2.2-1: IAB-DU or gNB correlation matrix</w:t>
      </w:r>
    </w:p>
    <w:tbl>
      <w:tblPr>
        <w:tblStyle w:val="15"/>
        <w:tblW w:w="0" w:type="auto"/>
        <w:jc w:val="center"/>
        <w:tblLayout w:type="fixed"/>
        <w:tblCellMar>
          <w:left w:w="28" w:type="dxa"/>
        </w:tblCellMar>
        <w:tblLook w:val="04A0" w:firstRow="1" w:lastRow="0" w:firstColumn="1" w:lastColumn="0" w:noHBand="0" w:noVBand="1"/>
      </w:tblPr>
      <w:tblGrid>
        <w:gridCol w:w="1518"/>
        <w:gridCol w:w="6982"/>
      </w:tblGrid>
      <w:tr w:rsidR="00C977C0" w:rsidRPr="00E42255" w14:paraId="325D67C3" w14:textId="77777777" w:rsidTr="00BC53AC">
        <w:trPr>
          <w:jc w:val="center"/>
        </w:trPr>
        <w:tc>
          <w:tcPr>
            <w:tcW w:w="1518" w:type="dxa"/>
            <w:tcBorders>
              <w:top w:val="single" w:sz="4" w:space="0" w:color="auto"/>
              <w:left w:val="single" w:sz="4" w:space="0" w:color="auto"/>
              <w:bottom w:val="single" w:sz="4" w:space="0" w:color="auto"/>
              <w:right w:val="single" w:sz="4" w:space="0" w:color="auto"/>
            </w:tcBorders>
          </w:tcPr>
          <w:p w14:paraId="35F823A4" w14:textId="77777777" w:rsidR="00C977C0" w:rsidRPr="00E42255" w:rsidRDefault="00C977C0" w:rsidP="00BC53AC">
            <w:pPr>
              <w:keepNext/>
              <w:keepLines/>
              <w:spacing w:after="0"/>
              <w:jc w:val="center"/>
              <w:rPr>
                <w:rFonts w:ascii="Arial" w:eastAsia="DengXian" w:hAnsi="Arial" w:cs="Arial"/>
                <w:b/>
                <w:sz w:val="18"/>
                <w:lang w:val="fr-FR"/>
              </w:rPr>
            </w:pPr>
          </w:p>
        </w:tc>
        <w:tc>
          <w:tcPr>
            <w:tcW w:w="6982" w:type="dxa"/>
            <w:tcBorders>
              <w:top w:val="single" w:sz="4" w:space="0" w:color="auto"/>
              <w:left w:val="single" w:sz="4" w:space="0" w:color="auto"/>
              <w:bottom w:val="single" w:sz="4" w:space="0" w:color="auto"/>
              <w:right w:val="single" w:sz="4" w:space="0" w:color="auto"/>
            </w:tcBorders>
            <w:hideMark/>
          </w:tcPr>
          <w:p w14:paraId="0B7C15CF" w14:textId="77777777" w:rsidR="00C977C0" w:rsidRPr="00E42255" w:rsidRDefault="00C977C0" w:rsidP="00BC53AC">
            <w:pPr>
              <w:pStyle w:val="TAH"/>
              <w:rPr>
                <w:lang w:val="fr-FR"/>
              </w:rPr>
            </w:pPr>
            <w:r w:rsidRPr="00E42255">
              <w:rPr>
                <w:lang w:val="fr-FR"/>
              </w:rPr>
              <w:t>IAB-DU or gNB correlation</w:t>
            </w:r>
          </w:p>
        </w:tc>
      </w:tr>
      <w:tr w:rsidR="00C977C0" w:rsidRPr="00E42255" w14:paraId="31B10A1A" w14:textId="77777777" w:rsidTr="00BC53AC">
        <w:trPr>
          <w:jc w:val="center"/>
        </w:trPr>
        <w:tc>
          <w:tcPr>
            <w:tcW w:w="1518" w:type="dxa"/>
            <w:tcBorders>
              <w:top w:val="single" w:sz="4" w:space="0" w:color="auto"/>
              <w:left w:val="single" w:sz="4" w:space="0" w:color="auto"/>
              <w:bottom w:val="single" w:sz="4" w:space="0" w:color="auto"/>
              <w:right w:val="single" w:sz="4" w:space="0" w:color="auto"/>
            </w:tcBorders>
            <w:vAlign w:val="center"/>
            <w:hideMark/>
          </w:tcPr>
          <w:p w14:paraId="44627B35" w14:textId="77777777" w:rsidR="00C977C0" w:rsidRPr="00E42255" w:rsidRDefault="00C977C0" w:rsidP="00BC53AC">
            <w:pPr>
              <w:pStyle w:val="TAR"/>
              <w:rPr>
                <w:lang w:val="fr-FR"/>
              </w:rPr>
            </w:pPr>
            <w:r w:rsidRPr="00E42255">
              <w:rPr>
                <w:lang w:val="fr-FR"/>
              </w:rPr>
              <w:t>One antenna</w:t>
            </w:r>
          </w:p>
        </w:tc>
        <w:tc>
          <w:tcPr>
            <w:tcW w:w="6982" w:type="dxa"/>
            <w:tcBorders>
              <w:top w:val="single" w:sz="4" w:space="0" w:color="auto"/>
              <w:left w:val="single" w:sz="4" w:space="0" w:color="auto"/>
              <w:bottom w:val="single" w:sz="4" w:space="0" w:color="auto"/>
              <w:right w:val="single" w:sz="4" w:space="0" w:color="auto"/>
            </w:tcBorders>
            <w:hideMark/>
          </w:tcPr>
          <w:p w14:paraId="111D7227" w14:textId="77777777" w:rsidR="00C977C0" w:rsidRPr="00E42255" w:rsidRDefault="00C977C0" w:rsidP="00BC53AC">
            <w:pPr>
              <w:pStyle w:val="TAR"/>
              <w:rPr>
                <w:lang w:val="fr-FR"/>
              </w:rPr>
            </w:pPr>
            <w:r w:rsidRPr="00B86E65">
              <w:rPr>
                <w:noProof/>
                <w:lang w:val="en-US" w:eastAsia="zh-CN"/>
              </w:rPr>
              <w:drawing>
                <wp:inline distT="0" distB="0" distL="0" distR="0" wp14:anchorId="46866441" wp14:editId="2CC0F100">
                  <wp:extent cx="556260" cy="263525"/>
                  <wp:effectExtent l="0" t="0" r="0" b="3175"/>
                  <wp:docPr id="129"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556260" cy="263525"/>
                          </a:xfrm>
                          <a:prstGeom prst="rect">
                            <a:avLst/>
                          </a:prstGeom>
                          <a:noFill/>
                          <a:ln>
                            <a:noFill/>
                          </a:ln>
                        </pic:spPr>
                      </pic:pic>
                    </a:graphicData>
                  </a:graphic>
                </wp:inline>
              </w:drawing>
            </w:r>
          </w:p>
        </w:tc>
      </w:tr>
      <w:tr w:rsidR="00C977C0" w:rsidRPr="00E42255" w14:paraId="45EB7754" w14:textId="77777777" w:rsidTr="00BC53AC">
        <w:trPr>
          <w:jc w:val="center"/>
        </w:trPr>
        <w:tc>
          <w:tcPr>
            <w:tcW w:w="1518" w:type="dxa"/>
            <w:tcBorders>
              <w:top w:val="single" w:sz="4" w:space="0" w:color="auto"/>
              <w:left w:val="single" w:sz="4" w:space="0" w:color="auto"/>
              <w:bottom w:val="single" w:sz="4" w:space="0" w:color="auto"/>
              <w:right w:val="single" w:sz="4" w:space="0" w:color="auto"/>
            </w:tcBorders>
            <w:vAlign w:val="center"/>
            <w:hideMark/>
          </w:tcPr>
          <w:p w14:paraId="6FDD494E" w14:textId="77777777" w:rsidR="00C977C0" w:rsidRPr="00E42255" w:rsidRDefault="00C977C0" w:rsidP="00BC53AC">
            <w:pPr>
              <w:pStyle w:val="TAR"/>
              <w:rPr>
                <w:lang w:val="fr-FR"/>
              </w:rPr>
            </w:pPr>
            <w:r w:rsidRPr="00E42255">
              <w:rPr>
                <w:lang w:val="fr-FR"/>
              </w:rPr>
              <w:t>Two antennas</w:t>
            </w:r>
          </w:p>
        </w:tc>
        <w:tc>
          <w:tcPr>
            <w:tcW w:w="6982" w:type="dxa"/>
            <w:tcBorders>
              <w:top w:val="single" w:sz="4" w:space="0" w:color="auto"/>
              <w:left w:val="single" w:sz="4" w:space="0" w:color="auto"/>
              <w:bottom w:val="single" w:sz="4" w:space="0" w:color="auto"/>
              <w:right w:val="single" w:sz="4" w:space="0" w:color="auto"/>
            </w:tcBorders>
            <w:hideMark/>
          </w:tcPr>
          <w:p w14:paraId="17522894" w14:textId="77777777" w:rsidR="00C977C0" w:rsidRPr="00E42255" w:rsidRDefault="00C977C0" w:rsidP="00BC53AC">
            <w:pPr>
              <w:pStyle w:val="TAR"/>
              <w:rPr>
                <w:lang w:val="fr-FR"/>
              </w:rPr>
            </w:pPr>
            <w:r w:rsidRPr="00B86E65">
              <w:rPr>
                <w:noProof/>
                <w:lang w:val="en-US" w:eastAsia="zh-CN"/>
              </w:rPr>
              <w:drawing>
                <wp:inline distT="0" distB="0" distL="0" distR="0" wp14:anchorId="00EA493F" wp14:editId="3708AADD">
                  <wp:extent cx="1097280" cy="461010"/>
                  <wp:effectExtent l="0" t="0" r="7620" b="0"/>
                  <wp:docPr id="1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1097280" cy="461010"/>
                          </a:xfrm>
                          <a:prstGeom prst="rect">
                            <a:avLst/>
                          </a:prstGeom>
                          <a:noFill/>
                          <a:ln>
                            <a:noFill/>
                          </a:ln>
                        </pic:spPr>
                      </pic:pic>
                    </a:graphicData>
                  </a:graphic>
                </wp:inline>
              </w:drawing>
            </w:r>
          </w:p>
        </w:tc>
      </w:tr>
      <w:tr w:rsidR="00C977C0" w:rsidRPr="00E42255" w14:paraId="3023A002" w14:textId="77777777" w:rsidTr="00BC53AC">
        <w:trPr>
          <w:jc w:val="center"/>
        </w:trPr>
        <w:tc>
          <w:tcPr>
            <w:tcW w:w="1518" w:type="dxa"/>
            <w:tcBorders>
              <w:top w:val="single" w:sz="4" w:space="0" w:color="auto"/>
              <w:left w:val="single" w:sz="4" w:space="0" w:color="auto"/>
              <w:bottom w:val="single" w:sz="4" w:space="0" w:color="auto"/>
              <w:right w:val="single" w:sz="4" w:space="0" w:color="auto"/>
            </w:tcBorders>
            <w:vAlign w:val="center"/>
            <w:hideMark/>
          </w:tcPr>
          <w:p w14:paraId="754DA8E1" w14:textId="77777777" w:rsidR="00C977C0" w:rsidRPr="00E42255" w:rsidRDefault="00C977C0" w:rsidP="00BC53AC">
            <w:pPr>
              <w:pStyle w:val="TAR"/>
              <w:rPr>
                <w:lang w:val="fr-FR"/>
              </w:rPr>
            </w:pPr>
            <w:r w:rsidRPr="00E42255">
              <w:rPr>
                <w:lang w:val="fr-FR"/>
              </w:rPr>
              <w:t>Four antennas</w:t>
            </w:r>
          </w:p>
        </w:tc>
        <w:tc>
          <w:tcPr>
            <w:tcW w:w="6982" w:type="dxa"/>
            <w:tcBorders>
              <w:top w:val="single" w:sz="4" w:space="0" w:color="auto"/>
              <w:left w:val="single" w:sz="4" w:space="0" w:color="auto"/>
              <w:bottom w:val="single" w:sz="4" w:space="0" w:color="auto"/>
              <w:right w:val="single" w:sz="4" w:space="0" w:color="auto"/>
            </w:tcBorders>
            <w:hideMark/>
          </w:tcPr>
          <w:p w14:paraId="3F54B800" w14:textId="77777777" w:rsidR="00C977C0" w:rsidRPr="00E42255" w:rsidRDefault="00C977C0" w:rsidP="00BC53AC">
            <w:pPr>
              <w:pStyle w:val="TAR"/>
              <w:rPr>
                <w:lang w:val="fr-FR"/>
              </w:rPr>
            </w:pPr>
            <w:r w:rsidRPr="00B86E65">
              <w:rPr>
                <w:noProof/>
                <w:lang w:val="en-US" w:eastAsia="zh-CN"/>
              </w:rPr>
              <w:drawing>
                <wp:inline distT="0" distB="0" distL="0" distR="0" wp14:anchorId="628FA3DF" wp14:editId="3B8E812C">
                  <wp:extent cx="1828800" cy="1009650"/>
                  <wp:effectExtent l="0" t="0" r="0" b="0"/>
                  <wp:docPr id="131"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828800" cy="1009650"/>
                          </a:xfrm>
                          <a:prstGeom prst="rect">
                            <a:avLst/>
                          </a:prstGeom>
                          <a:noFill/>
                          <a:ln>
                            <a:noFill/>
                          </a:ln>
                        </pic:spPr>
                      </pic:pic>
                    </a:graphicData>
                  </a:graphic>
                </wp:inline>
              </w:drawing>
            </w:r>
          </w:p>
        </w:tc>
      </w:tr>
      <w:tr w:rsidR="00C977C0" w:rsidRPr="00E42255" w14:paraId="41121C8B" w14:textId="77777777" w:rsidTr="00BC53AC">
        <w:trPr>
          <w:jc w:val="center"/>
        </w:trPr>
        <w:tc>
          <w:tcPr>
            <w:tcW w:w="1518" w:type="dxa"/>
            <w:tcBorders>
              <w:top w:val="single" w:sz="4" w:space="0" w:color="auto"/>
              <w:left w:val="single" w:sz="4" w:space="0" w:color="auto"/>
              <w:bottom w:val="single" w:sz="4" w:space="0" w:color="auto"/>
              <w:right w:val="single" w:sz="4" w:space="0" w:color="auto"/>
            </w:tcBorders>
            <w:vAlign w:val="center"/>
            <w:hideMark/>
          </w:tcPr>
          <w:p w14:paraId="61BE358E" w14:textId="77777777" w:rsidR="00C977C0" w:rsidRPr="00E42255" w:rsidRDefault="00C977C0" w:rsidP="00BC53AC">
            <w:pPr>
              <w:pStyle w:val="TAC"/>
              <w:rPr>
                <w:lang w:val="fr-FR"/>
              </w:rPr>
            </w:pPr>
            <w:r w:rsidRPr="00E42255">
              <w:rPr>
                <w:lang w:val="fr-FR" w:eastAsia="zh-CN"/>
              </w:rPr>
              <w:t>Eight antennas</w:t>
            </w:r>
          </w:p>
        </w:tc>
        <w:tc>
          <w:tcPr>
            <w:tcW w:w="6982" w:type="dxa"/>
            <w:tcBorders>
              <w:top w:val="single" w:sz="4" w:space="0" w:color="auto"/>
              <w:left w:val="single" w:sz="4" w:space="0" w:color="auto"/>
              <w:bottom w:val="single" w:sz="4" w:space="0" w:color="auto"/>
              <w:right w:val="single" w:sz="4" w:space="0" w:color="auto"/>
            </w:tcBorders>
            <w:hideMark/>
          </w:tcPr>
          <w:p w14:paraId="591977B4" w14:textId="77777777" w:rsidR="00C977C0" w:rsidRPr="00E42255" w:rsidRDefault="00C977C0" w:rsidP="00BC53AC">
            <w:pPr>
              <w:pStyle w:val="TAC"/>
              <w:rPr>
                <w:lang w:val="fr-FR"/>
              </w:rPr>
            </w:pPr>
            <w:r w:rsidRPr="00E42255">
              <w:rPr>
                <w:rFonts w:eastAsia="Calibri"/>
                <w:lang w:eastAsia="ja-JP"/>
              </w:rPr>
              <w:object w:dxaOrig="5670" w:dyaOrig="3180" w14:anchorId="1D29E748">
                <v:shape id="_x0000_i1106" type="#_x0000_t75" style="width:284.1pt;height:160.05pt" o:ole="">
                  <v:imagedata r:id="rId148" o:title=""/>
                </v:shape>
                <o:OLEObject Type="Embed" ProgID="Equation.DSMT4" ShapeID="_x0000_i1106" DrawAspect="Content" ObjectID="_1734764486" r:id="rId149"/>
              </w:object>
            </w:r>
          </w:p>
        </w:tc>
      </w:tr>
      <w:tr w:rsidR="00C977C0" w:rsidRPr="00E42255" w14:paraId="4D114950" w14:textId="77777777" w:rsidTr="00BC53AC">
        <w:trPr>
          <w:jc w:val="center"/>
        </w:trPr>
        <w:tc>
          <w:tcPr>
            <w:tcW w:w="8500" w:type="dxa"/>
            <w:gridSpan w:val="2"/>
            <w:tcBorders>
              <w:top w:val="single" w:sz="4" w:space="0" w:color="auto"/>
              <w:left w:val="single" w:sz="4" w:space="0" w:color="auto"/>
              <w:bottom w:val="single" w:sz="4" w:space="0" w:color="auto"/>
              <w:right w:val="single" w:sz="4" w:space="0" w:color="auto"/>
            </w:tcBorders>
            <w:vAlign w:val="center"/>
            <w:hideMark/>
          </w:tcPr>
          <w:p w14:paraId="6EDDC667" w14:textId="77777777" w:rsidR="00C977C0" w:rsidRPr="00E42255" w:rsidRDefault="00C977C0" w:rsidP="00BC53AC">
            <w:pPr>
              <w:pStyle w:val="TAN"/>
              <w:rPr>
                <w:lang w:val="fr-FR"/>
              </w:rPr>
            </w:pPr>
            <w:r w:rsidRPr="00E42255">
              <w:rPr>
                <w:caps/>
                <w:lang w:val="fr-FR"/>
              </w:rPr>
              <w:t>Note</w:t>
            </w:r>
            <w:r w:rsidRPr="00E42255">
              <w:rPr>
                <w:lang w:val="fr-FR"/>
              </w:rPr>
              <w:t xml:space="preserve">: </w:t>
            </w:r>
            <w:r w:rsidRPr="00E42255">
              <w:rPr>
                <w:lang w:val="fr-FR"/>
              </w:rPr>
              <w:tab/>
              <w:t>The matrix applies to the IAB-DU for IAB-DU requirements and gNB for IAB-MT requirements.</w:t>
            </w:r>
          </w:p>
        </w:tc>
      </w:tr>
    </w:tbl>
    <w:p w14:paraId="2B36717C" w14:textId="77777777" w:rsidR="00C977C0" w:rsidRPr="00E42255" w:rsidRDefault="00C977C0" w:rsidP="00C977C0">
      <w:pPr>
        <w:rPr>
          <w:rFonts w:eastAsia="DengXian"/>
        </w:rPr>
      </w:pPr>
    </w:p>
    <w:p w14:paraId="62AC5958" w14:textId="77777777" w:rsidR="00C977C0" w:rsidRPr="00E42255" w:rsidRDefault="00C977C0" w:rsidP="00C977C0">
      <w:pPr>
        <w:rPr>
          <w:rFonts w:eastAsia="DengXian"/>
        </w:rPr>
      </w:pPr>
      <w:r w:rsidRPr="00E42255">
        <w:rPr>
          <w:rFonts w:eastAsia="DengXian"/>
        </w:rPr>
        <w:t xml:space="preserve">Table </w:t>
      </w:r>
      <w:r>
        <w:rPr>
          <w:rFonts w:eastAsia="DengXian"/>
        </w:rPr>
        <w:t>I</w:t>
      </w:r>
      <w:r w:rsidRPr="00E42255">
        <w:rPr>
          <w:rFonts w:eastAsia="DengXian"/>
        </w:rPr>
        <w:t xml:space="preserve">.2.4.2.2-2 defines the correlation matrix for the </w:t>
      </w:r>
      <w:r w:rsidRPr="000337F4">
        <w:rPr>
          <w:rFonts w:eastAsia="DengXian"/>
        </w:rPr>
        <w:t xml:space="preserve">IAB-MT or </w:t>
      </w:r>
      <w:r w:rsidRPr="00E42255">
        <w:rPr>
          <w:rFonts w:eastAsia="DengXian"/>
        </w:rPr>
        <w:t>UE:</w:t>
      </w:r>
    </w:p>
    <w:p w14:paraId="08EC60C2" w14:textId="77777777" w:rsidR="00C977C0" w:rsidRPr="00E42255" w:rsidRDefault="00C977C0" w:rsidP="00C977C0">
      <w:pPr>
        <w:pStyle w:val="TH"/>
        <w:rPr>
          <w:lang w:val="fr-FR"/>
        </w:rPr>
      </w:pPr>
      <w:r w:rsidRPr="00E42255">
        <w:rPr>
          <w:lang w:val="fr-FR"/>
        </w:rPr>
        <w:lastRenderedPageBreak/>
        <w:t xml:space="preserve">Table </w:t>
      </w:r>
      <w:r>
        <w:rPr>
          <w:lang w:val="fr-FR"/>
        </w:rPr>
        <w:t>I</w:t>
      </w:r>
      <w:r w:rsidRPr="00E42255">
        <w:rPr>
          <w:lang w:val="fr-FR"/>
        </w:rPr>
        <w:t>.2.4.2.2-2: IAB-MT or UE correlation matrix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1843"/>
        <w:gridCol w:w="1712"/>
        <w:gridCol w:w="2080"/>
        <w:gridCol w:w="3136"/>
      </w:tblGrid>
      <w:tr w:rsidR="00C977C0" w:rsidRPr="00E42255" w14:paraId="7E2AF419" w14:textId="77777777" w:rsidTr="00BC53AC">
        <w:trPr>
          <w:cantSplit/>
          <w:jc w:val="center"/>
        </w:trPr>
        <w:tc>
          <w:tcPr>
            <w:tcW w:w="1843" w:type="dxa"/>
            <w:tcBorders>
              <w:top w:val="single" w:sz="4" w:space="0" w:color="auto"/>
              <w:left w:val="single" w:sz="4" w:space="0" w:color="auto"/>
              <w:bottom w:val="single" w:sz="4" w:space="0" w:color="auto"/>
              <w:right w:val="single" w:sz="4" w:space="0" w:color="auto"/>
            </w:tcBorders>
          </w:tcPr>
          <w:p w14:paraId="6F48B982" w14:textId="77777777" w:rsidR="00C977C0" w:rsidRPr="00E42255" w:rsidRDefault="00C977C0" w:rsidP="00BC53AC">
            <w:pPr>
              <w:pStyle w:val="TAH"/>
              <w:rPr>
                <w:lang w:val="fr-FR"/>
              </w:rPr>
            </w:pPr>
          </w:p>
        </w:tc>
        <w:tc>
          <w:tcPr>
            <w:tcW w:w="1712" w:type="dxa"/>
            <w:tcBorders>
              <w:top w:val="single" w:sz="4" w:space="0" w:color="auto"/>
              <w:left w:val="single" w:sz="4" w:space="0" w:color="auto"/>
              <w:bottom w:val="single" w:sz="4" w:space="0" w:color="auto"/>
              <w:right w:val="single" w:sz="4" w:space="0" w:color="auto"/>
            </w:tcBorders>
            <w:hideMark/>
          </w:tcPr>
          <w:p w14:paraId="5401918F" w14:textId="77777777" w:rsidR="00C977C0" w:rsidRPr="00E42255" w:rsidRDefault="00C977C0" w:rsidP="00BC53AC">
            <w:pPr>
              <w:pStyle w:val="TAH"/>
              <w:rPr>
                <w:lang w:val="fr-FR"/>
              </w:rPr>
            </w:pPr>
            <w:r w:rsidRPr="00E42255">
              <w:rPr>
                <w:lang w:val="fr-FR"/>
              </w:rPr>
              <w:t>One antenna</w:t>
            </w:r>
          </w:p>
        </w:tc>
        <w:tc>
          <w:tcPr>
            <w:tcW w:w="2080" w:type="dxa"/>
            <w:tcBorders>
              <w:top w:val="single" w:sz="4" w:space="0" w:color="auto"/>
              <w:left w:val="single" w:sz="4" w:space="0" w:color="auto"/>
              <w:bottom w:val="single" w:sz="4" w:space="0" w:color="auto"/>
              <w:right w:val="single" w:sz="4" w:space="0" w:color="auto"/>
            </w:tcBorders>
            <w:hideMark/>
          </w:tcPr>
          <w:p w14:paraId="5B39F2FD" w14:textId="77777777" w:rsidR="00C977C0" w:rsidRPr="00E42255" w:rsidRDefault="00C977C0" w:rsidP="00BC53AC">
            <w:pPr>
              <w:pStyle w:val="TAH"/>
              <w:rPr>
                <w:lang w:val="fr-FR"/>
              </w:rPr>
            </w:pPr>
            <w:r w:rsidRPr="00E42255">
              <w:rPr>
                <w:lang w:val="fr-FR"/>
              </w:rPr>
              <w:t>Two antennas</w:t>
            </w:r>
          </w:p>
        </w:tc>
        <w:tc>
          <w:tcPr>
            <w:tcW w:w="3136" w:type="dxa"/>
            <w:tcBorders>
              <w:top w:val="single" w:sz="4" w:space="0" w:color="auto"/>
              <w:left w:val="single" w:sz="4" w:space="0" w:color="auto"/>
              <w:bottom w:val="single" w:sz="4" w:space="0" w:color="auto"/>
              <w:right w:val="single" w:sz="4" w:space="0" w:color="auto"/>
            </w:tcBorders>
            <w:hideMark/>
          </w:tcPr>
          <w:p w14:paraId="592BBE28" w14:textId="77777777" w:rsidR="00C977C0" w:rsidRPr="00E42255" w:rsidRDefault="00C977C0" w:rsidP="00BC53AC">
            <w:pPr>
              <w:pStyle w:val="TAH"/>
              <w:rPr>
                <w:lang w:val="fr-FR"/>
              </w:rPr>
            </w:pPr>
            <w:r w:rsidRPr="00E42255">
              <w:rPr>
                <w:lang w:val="fr-FR"/>
              </w:rPr>
              <w:t>Four antennas</w:t>
            </w:r>
          </w:p>
        </w:tc>
      </w:tr>
      <w:tr w:rsidR="00C977C0" w:rsidRPr="00E42255" w14:paraId="6DC361D2" w14:textId="77777777" w:rsidTr="00BC53AC">
        <w:trPr>
          <w:cantSplit/>
          <w:jc w:val="center"/>
        </w:trPr>
        <w:tc>
          <w:tcPr>
            <w:tcW w:w="1843" w:type="dxa"/>
            <w:tcBorders>
              <w:top w:val="single" w:sz="4" w:space="0" w:color="auto"/>
              <w:left w:val="single" w:sz="4" w:space="0" w:color="auto"/>
              <w:bottom w:val="single" w:sz="4" w:space="0" w:color="auto"/>
              <w:right w:val="single" w:sz="4" w:space="0" w:color="auto"/>
            </w:tcBorders>
            <w:hideMark/>
          </w:tcPr>
          <w:p w14:paraId="50E34EAE" w14:textId="77777777" w:rsidR="00C977C0" w:rsidRPr="00E42255" w:rsidRDefault="00C977C0" w:rsidP="00BC53AC">
            <w:pPr>
              <w:pStyle w:val="TAC"/>
              <w:rPr>
                <w:lang w:val="fr-FR"/>
              </w:rPr>
            </w:pPr>
            <w:r w:rsidRPr="00E42255">
              <w:rPr>
                <w:lang w:val="fr-FR"/>
              </w:rPr>
              <w:t>IAB-MT / UE correlation</w:t>
            </w:r>
          </w:p>
        </w:tc>
        <w:tc>
          <w:tcPr>
            <w:tcW w:w="1712" w:type="dxa"/>
            <w:tcBorders>
              <w:top w:val="single" w:sz="4" w:space="0" w:color="auto"/>
              <w:left w:val="single" w:sz="4" w:space="0" w:color="auto"/>
              <w:bottom w:val="single" w:sz="4" w:space="0" w:color="auto"/>
              <w:right w:val="single" w:sz="4" w:space="0" w:color="auto"/>
            </w:tcBorders>
            <w:hideMark/>
          </w:tcPr>
          <w:p w14:paraId="3B4E3CC2" w14:textId="77777777" w:rsidR="00C977C0" w:rsidRPr="00E42255" w:rsidRDefault="00C977C0" w:rsidP="00BC53AC">
            <w:pPr>
              <w:pStyle w:val="TAC"/>
              <w:rPr>
                <w:lang w:val="fr-FR"/>
              </w:rPr>
            </w:pPr>
            <w:r w:rsidRPr="00B86E65">
              <w:rPr>
                <w:noProof/>
                <w:lang w:val="en-US" w:eastAsia="zh-CN"/>
              </w:rPr>
              <w:drawing>
                <wp:inline distT="0" distB="0" distL="0" distR="0" wp14:anchorId="64FE42AF" wp14:editId="09511B47">
                  <wp:extent cx="467995" cy="197485"/>
                  <wp:effectExtent l="0" t="0" r="8255" b="0"/>
                  <wp:docPr id="133"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467995" cy="197485"/>
                          </a:xfrm>
                          <a:prstGeom prst="rect">
                            <a:avLst/>
                          </a:prstGeom>
                          <a:noFill/>
                          <a:ln>
                            <a:noFill/>
                          </a:ln>
                        </pic:spPr>
                      </pic:pic>
                    </a:graphicData>
                  </a:graphic>
                </wp:inline>
              </w:drawing>
            </w:r>
          </w:p>
        </w:tc>
        <w:tc>
          <w:tcPr>
            <w:tcW w:w="2080" w:type="dxa"/>
            <w:tcBorders>
              <w:top w:val="single" w:sz="4" w:space="0" w:color="auto"/>
              <w:left w:val="single" w:sz="4" w:space="0" w:color="auto"/>
              <w:bottom w:val="single" w:sz="4" w:space="0" w:color="auto"/>
              <w:right w:val="single" w:sz="4" w:space="0" w:color="auto"/>
            </w:tcBorders>
            <w:hideMark/>
          </w:tcPr>
          <w:p w14:paraId="437DA642" w14:textId="77777777" w:rsidR="00C977C0" w:rsidRPr="00E42255" w:rsidRDefault="00C977C0" w:rsidP="00BC53AC">
            <w:pPr>
              <w:pStyle w:val="TAC"/>
              <w:rPr>
                <w:lang w:val="fr-FR"/>
              </w:rPr>
            </w:pPr>
            <w:r w:rsidRPr="00B86E65">
              <w:rPr>
                <w:noProof/>
                <w:lang w:val="en-US" w:eastAsia="zh-CN"/>
              </w:rPr>
              <w:drawing>
                <wp:inline distT="0" distB="0" distL="0" distR="0" wp14:anchorId="07903542" wp14:editId="4257DCE0">
                  <wp:extent cx="980440" cy="467995"/>
                  <wp:effectExtent l="0" t="0" r="0" b="8255"/>
                  <wp:docPr id="134"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980440" cy="467995"/>
                          </a:xfrm>
                          <a:prstGeom prst="rect">
                            <a:avLst/>
                          </a:prstGeom>
                          <a:noFill/>
                          <a:ln>
                            <a:noFill/>
                          </a:ln>
                        </pic:spPr>
                      </pic:pic>
                    </a:graphicData>
                  </a:graphic>
                </wp:inline>
              </w:drawing>
            </w:r>
          </w:p>
        </w:tc>
        <w:tc>
          <w:tcPr>
            <w:tcW w:w="3136" w:type="dxa"/>
            <w:tcBorders>
              <w:top w:val="single" w:sz="4" w:space="0" w:color="auto"/>
              <w:left w:val="single" w:sz="4" w:space="0" w:color="auto"/>
              <w:bottom w:val="single" w:sz="4" w:space="0" w:color="auto"/>
              <w:right w:val="single" w:sz="4" w:space="0" w:color="auto"/>
            </w:tcBorders>
            <w:hideMark/>
          </w:tcPr>
          <w:p w14:paraId="46600C44" w14:textId="77777777" w:rsidR="00C977C0" w:rsidRPr="00E42255" w:rsidRDefault="00C977C0" w:rsidP="00BC53AC">
            <w:pPr>
              <w:pStyle w:val="TAC"/>
              <w:rPr>
                <w:lang w:val="fr-FR"/>
              </w:rPr>
            </w:pPr>
            <w:r w:rsidRPr="00B86E65">
              <w:rPr>
                <w:noProof/>
                <w:lang w:val="en-US" w:eastAsia="zh-CN"/>
              </w:rPr>
              <w:drawing>
                <wp:inline distT="0" distB="0" distL="0" distR="0" wp14:anchorId="3FC1442F" wp14:editId="74618B80">
                  <wp:extent cx="1631315" cy="980440"/>
                  <wp:effectExtent l="0" t="0" r="6985" b="0"/>
                  <wp:docPr id="13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1631315" cy="980440"/>
                          </a:xfrm>
                          <a:prstGeom prst="rect">
                            <a:avLst/>
                          </a:prstGeom>
                          <a:noFill/>
                          <a:ln>
                            <a:noFill/>
                          </a:ln>
                        </pic:spPr>
                      </pic:pic>
                    </a:graphicData>
                  </a:graphic>
                </wp:inline>
              </w:drawing>
            </w:r>
          </w:p>
        </w:tc>
      </w:tr>
      <w:tr w:rsidR="00C977C0" w:rsidRPr="00E42255" w14:paraId="5C559FF9" w14:textId="77777777" w:rsidTr="00BC53AC">
        <w:trPr>
          <w:cantSplit/>
          <w:jc w:val="center"/>
        </w:trPr>
        <w:tc>
          <w:tcPr>
            <w:tcW w:w="8771" w:type="dxa"/>
            <w:gridSpan w:val="4"/>
            <w:tcBorders>
              <w:top w:val="single" w:sz="4" w:space="0" w:color="auto"/>
              <w:left w:val="single" w:sz="4" w:space="0" w:color="auto"/>
              <w:bottom w:val="single" w:sz="4" w:space="0" w:color="auto"/>
              <w:right w:val="single" w:sz="4" w:space="0" w:color="auto"/>
            </w:tcBorders>
            <w:vAlign w:val="center"/>
            <w:hideMark/>
          </w:tcPr>
          <w:p w14:paraId="7B8C9C50" w14:textId="77777777" w:rsidR="00C977C0" w:rsidRPr="00E42255" w:rsidRDefault="00C977C0" w:rsidP="00BC53AC">
            <w:pPr>
              <w:pStyle w:val="TAN"/>
              <w:rPr>
                <w:lang w:val="fr-FR"/>
              </w:rPr>
            </w:pPr>
            <w:r w:rsidRPr="00E42255">
              <w:rPr>
                <w:caps/>
                <w:lang w:val="fr-FR"/>
              </w:rPr>
              <w:t>Note</w:t>
            </w:r>
            <w:r w:rsidRPr="00E42255">
              <w:rPr>
                <w:lang w:val="fr-FR"/>
              </w:rPr>
              <w:t xml:space="preserve">: </w:t>
            </w:r>
            <w:r w:rsidRPr="00E42255">
              <w:rPr>
                <w:lang w:val="fr-FR"/>
              </w:rPr>
              <w:tab/>
              <w:t>The matrix applies to the UE for IAB-DU requirements and IAB-MT for IAB-MT requirements.</w:t>
            </w:r>
          </w:p>
        </w:tc>
      </w:tr>
    </w:tbl>
    <w:p w14:paraId="5BE6F77C" w14:textId="77777777" w:rsidR="00C977C0" w:rsidRPr="00E42255" w:rsidRDefault="00C977C0" w:rsidP="00C977C0">
      <w:pPr>
        <w:rPr>
          <w:rFonts w:eastAsia="DengXian"/>
        </w:rPr>
      </w:pPr>
    </w:p>
    <w:p w14:paraId="46B13CB1" w14:textId="77777777" w:rsidR="00C977C0" w:rsidRPr="00E42255" w:rsidRDefault="00C977C0" w:rsidP="00C977C0">
      <w:pPr>
        <w:rPr>
          <w:rFonts w:eastAsia="DengXian"/>
        </w:rPr>
      </w:pPr>
      <w:r w:rsidRPr="00E42255">
        <w:rPr>
          <w:rFonts w:eastAsia="DengXian"/>
        </w:rPr>
        <w:t xml:space="preserve">Table </w:t>
      </w:r>
      <w:r>
        <w:rPr>
          <w:rFonts w:eastAsia="DengXian"/>
        </w:rPr>
        <w:t>I</w:t>
      </w:r>
      <w:r w:rsidRPr="00E42255">
        <w:rPr>
          <w:rFonts w:eastAsia="DengXian"/>
        </w:rPr>
        <w:t>.2.4.2.2-3 defines the channel spatial correlation matrix</w:t>
      </w:r>
      <w:r w:rsidRPr="00F01908">
        <w:rPr>
          <w:rFonts w:eastAsia="DengXian"/>
          <w:noProof/>
          <w:position w:val="-14"/>
          <w:lang w:val="en-US" w:eastAsia="zh-CN"/>
        </w:rPr>
        <w:drawing>
          <wp:inline distT="0" distB="0" distL="0" distR="0" wp14:anchorId="5D3191D4" wp14:editId="51B4543F">
            <wp:extent cx="255905" cy="255905"/>
            <wp:effectExtent l="0" t="0" r="0" b="0"/>
            <wp:docPr id="136"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255905" cy="255905"/>
                    </a:xfrm>
                    <a:prstGeom prst="rect">
                      <a:avLst/>
                    </a:prstGeom>
                    <a:noFill/>
                    <a:ln>
                      <a:noFill/>
                    </a:ln>
                  </pic:spPr>
                </pic:pic>
              </a:graphicData>
            </a:graphic>
          </wp:inline>
        </w:drawing>
      </w:r>
      <w:r w:rsidRPr="00E42255">
        <w:rPr>
          <w:rFonts w:eastAsia="DengXian"/>
        </w:rPr>
        <w:t xml:space="preserve">. The parameters, </w:t>
      </w:r>
      <w:r w:rsidRPr="00E42255">
        <w:rPr>
          <w:rFonts w:eastAsia="DengXian"/>
          <w:i/>
        </w:rPr>
        <w:t>α</w:t>
      </w:r>
      <w:r w:rsidRPr="00E42255">
        <w:rPr>
          <w:rFonts w:eastAsia="DengXian"/>
        </w:rPr>
        <w:t xml:space="preserve"> and </w:t>
      </w:r>
      <w:r w:rsidRPr="00E42255">
        <w:rPr>
          <w:rFonts w:eastAsia="DengXian"/>
          <w:i/>
        </w:rPr>
        <w:t>β</w:t>
      </w:r>
      <w:r w:rsidRPr="00E42255">
        <w:rPr>
          <w:rFonts w:eastAsia="DengXian"/>
        </w:rPr>
        <w:t xml:space="preserve"> in table </w:t>
      </w:r>
      <w:r>
        <w:rPr>
          <w:rFonts w:eastAsia="DengXian"/>
        </w:rPr>
        <w:t>I</w:t>
      </w:r>
      <w:r w:rsidRPr="00E42255">
        <w:rPr>
          <w:rFonts w:eastAsia="DengXian"/>
        </w:rPr>
        <w:t>.2.4.2.2-3 defines the spatial correlation between the antennas at the IAB</w:t>
      </w:r>
      <w:r>
        <w:rPr>
          <w:rFonts w:eastAsia="DengXian"/>
        </w:rPr>
        <w:t>-DU/gNB</w:t>
      </w:r>
      <w:r w:rsidRPr="00E42255">
        <w:rPr>
          <w:rFonts w:eastAsia="DengXian"/>
        </w:rPr>
        <w:t xml:space="preserve"> and </w:t>
      </w:r>
      <w:r>
        <w:rPr>
          <w:rFonts w:eastAsia="DengXian"/>
        </w:rPr>
        <w:t>IAB-MT/UE</w:t>
      </w:r>
      <w:r w:rsidRPr="00E42255">
        <w:rPr>
          <w:rFonts w:eastAsia="DengXian"/>
        </w:rPr>
        <w:t xml:space="preserve"> respectively.</w:t>
      </w:r>
    </w:p>
    <w:p w14:paraId="18723AAE"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 xml:space="preserve">.2.4.2.2-3: </w:t>
      </w:r>
      <w:r w:rsidRPr="00F01908">
        <w:rPr>
          <w:noProof/>
          <w:position w:val="-14"/>
          <w:lang w:val="en-US" w:eastAsia="zh-CN"/>
        </w:rPr>
        <w:drawing>
          <wp:inline distT="0" distB="0" distL="0" distR="0" wp14:anchorId="0E10D3C0" wp14:editId="36981E94">
            <wp:extent cx="255905" cy="255905"/>
            <wp:effectExtent l="0" t="0" r="0" b="0"/>
            <wp:docPr id="137"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255905" cy="255905"/>
                    </a:xfrm>
                    <a:prstGeom prst="rect">
                      <a:avLst/>
                    </a:prstGeom>
                    <a:noFill/>
                    <a:ln>
                      <a:noFill/>
                    </a:ln>
                  </pic:spPr>
                </pic:pic>
              </a:graphicData>
            </a:graphic>
          </wp:inline>
        </w:drawing>
      </w:r>
      <w:r w:rsidRPr="00E42255">
        <w:rPr>
          <w:lang w:val="fr-FR"/>
        </w:rPr>
        <w:t>correlation matrices</w:t>
      </w:r>
    </w:p>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1872"/>
        <w:gridCol w:w="7653"/>
      </w:tblGrid>
      <w:tr w:rsidR="00C977C0" w:rsidRPr="00E42255" w14:paraId="1464FFB8" w14:textId="77777777" w:rsidTr="00BC53AC">
        <w:trPr>
          <w:cantSplit/>
          <w:jc w:val="center"/>
        </w:trPr>
        <w:tc>
          <w:tcPr>
            <w:tcW w:w="1872" w:type="dxa"/>
            <w:tcBorders>
              <w:top w:val="single" w:sz="4" w:space="0" w:color="auto"/>
              <w:left w:val="single" w:sz="4" w:space="0" w:color="auto"/>
              <w:bottom w:val="single" w:sz="4" w:space="0" w:color="auto"/>
              <w:right w:val="single" w:sz="4" w:space="0" w:color="auto"/>
            </w:tcBorders>
            <w:hideMark/>
          </w:tcPr>
          <w:p w14:paraId="7141D9A8" w14:textId="77777777" w:rsidR="00C977C0" w:rsidRPr="00E42255" w:rsidRDefault="00C977C0" w:rsidP="00BC53AC">
            <w:pPr>
              <w:pStyle w:val="TAR"/>
              <w:rPr>
                <w:lang w:val="fr-FR"/>
              </w:rPr>
            </w:pPr>
            <w:r w:rsidRPr="00E42255">
              <w:rPr>
                <w:lang w:val="fr-FR"/>
              </w:rPr>
              <w:t>1x2 case</w:t>
            </w:r>
          </w:p>
        </w:tc>
        <w:tc>
          <w:tcPr>
            <w:tcW w:w="7654" w:type="dxa"/>
            <w:tcBorders>
              <w:top w:val="single" w:sz="4" w:space="0" w:color="auto"/>
              <w:left w:val="single" w:sz="4" w:space="0" w:color="auto"/>
              <w:bottom w:val="single" w:sz="4" w:space="0" w:color="auto"/>
              <w:right w:val="single" w:sz="4" w:space="0" w:color="auto"/>
            </w:tcBorders>
            <w:hideMark/>
          </w:tcPr>
          <w:p w14:paraId="064807EF" w14:textId="77777777" w:rsidR="00C977C0" w:rsidRPr="00E42255" w:rsidRDefault="00C977C0" w:rsidP="00BC53AC">
            <w:pPr>
              <w:pStyle w:val="TAR"/>
              <w:rPr>
                <w:lang w:val="fr-FR"/>
              </w:rPr>
            </w:pPr>
            <w:r w:rsidRPr="00B86E65">
              <w:rPr>
                <w:noProof/>
                <w:lang w:val="en-US" w:eastAsia="zh-CN"/>
              </w:rPr>
              <w:drawing>
                <wp:inline distT="0" distB="0" distL="0" distR="0" wp14:anchorId="04D9E597" wp14:editId="364992D2">
                  <wp:extent cx="1440815" cy="467995"/>
                  <wp:effectExtent l="0" t="0" r="6985" b="8255"/>
                  <wp:docPr id="138"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440815" cy="467995"/>
                          </a:xfrm>
                          <a:prstGeom prst="rect">
                            <a:avLst/>
                          </a:prstGeom>
                          <a:noFill/>
                          <a:ln>
                            <a:noFill/>
                          </a:ln>
                        </pic:spPr>
                      </pic:pic>
                    </a:graphicData>
                  </a:graphic>
                </wp:inline>
              </w:drawing>
            </w:r>
          </w:p>
        </w:tc>
      </w:tr>
      <w:tr w:rsidR="00C977C0" w:rsidRPr="00E42255" w14:paraId="3A9085EE" w14:textId="77777777" w:rsidTr="00BC53AC">
        <w:trPr>
          <w:cantSplit/>
          <w:jc w:val="center"/>
        </w:trPr>
        <w:tc>
          <w:tcPr>
            <w:tcW w:w="1872" w:type="dxa"/>
            <w:tcBorders>
              <w:top w:val="single" w:sz="4" w:space="0" w:color="auto"/>
              <w:left w:val="single" w:sz="4" w:space="0" w:color="auto"/>
              <w:bottom w:val="single" w:sz="4" w:space="0" w:color="auto"/>
              <w:right w:val="single" w:sz="4" w:space="0" w:color="auto"/>
            </w:tcBorders>
            <w:hideMark/>
          </w:tcPr>
          <w:p w14:paraId="01B2E98C" w14:textId="77777777" w:rsidR="00C977C0" w:rsidRPr="00E42255" w:rsidRDefault="00C977C0" w:rsidP="00BC53AC">
            <w:pPr>
              <w:pStyle w:val="TAR"/>
              <w:rPr>
                <w:lang w:val="fr-FR"/>
              </w:rPr>
            </w:pPr>
            <w:r w:rsidRPr="00E42255">
              <w:rPr>
                <w:lang w:val="fr-FR"/>
              </w:rPr>
              <w:t>1x4 case</w:t>
            </w:r>
          </w:p>
        </w:tc>
        <w:tc>
          <w:tcPr>
            <w:tcW w:w="7654" w:type="dxa"/>
            <w:tcBorders>
              <w:top w:val="single" w:sz="4" w:space="0" w:color="auto"/>
              <w:left w:val="single" w:sz="4" w:space="0" w:color="auto"/>
              <w:bottom w:val="single" w:sz="4" w:space="0" w:color="auto"/>
              <w:right w:val="single" w:sz="4" w:space="0" w:color="auto"/>
            </w:tcBorders>
            <w:hideMark/>
          </w:tcPr>
          <w:p w14:paraId="47B66013" w14:textId="77777777" w:rsidR="00C977C0" w:rsidRPr="00E42255" w:rsidRDefault="00C977C0" w:rsidP="00BC53AC">
            <w:pPr>
              <w:pStyle w:val="TAR"/>
              <w:rPr>
                <w:lang w:val="fr-FR"/>
              </w:rPr>
            </w:pPr>
            <w:r w:rsidRPr="00B86E65">
              <w:rPr>
                <w:noProof/>
                <w:lang w:val="en-US" w:eastAsia="zh-CN"/>
              </w:rPr>
              <w:drawing>
                <wp:inline distT="0" distB="0" distL="0" distR="0" wp14:anchorId="3F924846" wp14:editId="69EB71EE">
                  <wp:extent cx="2216785" cy="848360"/>
                  <wp:effectExtent l="0" t="0" r="0" b="8890"/>
                  <wp:docPr id="139"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2216785" cy="848360"/>
                          </a:xfrm>
                          <a:prstGeom prst="rect">
                            <a:avLst/>
                          </a:prstGeom>
                          <a:noFill/>
                          <a:ln>
                            <a:noFill/>
                          </a:ln>
                        </pic:spPr>
                      </pic:pic>
                    </a:graphicData>
                  </a:graphic>
                </wp:inline>
              </w:drawing>
            </w:r>
          </w:p>
        </w:tc>
      </w:tr>
      <w:tr w:rsidR="00C977C0" w:rsidRPr="00E42255" w14:paraId="52B5F312" w14:textId="77777777" w:rsidTr="00BC53AC">
        <w:trPr>
          <w:cantSplit/>
          <w:jc w:val="center"/>
        </w:trPr>
        <w:tc>
          <w:tcPr>
            <w:tcW w:w="1872" w:type="dxa"/>
            <w:tcBorders>
              <w:top w:val="single" w:sz="4" w:space="0" w:color="auto"/>
              <w:left w:val="single" w:sz="4" w:space="0" w:color="auto"/>
              <w:bottom w:val="single" w:sz="4" w:space="0" w:color="auto"/>
              <w:right w:val="single" w:sz="4" w:space="0" w:color="auto"/>
            </w:tcBorders>
            <w:hideMark/>
          </w:tcPr>
          <w:p w14:paraId="556EE1D0" w14:textId="77777777" w:rsidR="00C977C0" w:rsidRPr="00E42255" w:rsidRDefault="00C977C0" w:rsidP="00BC53AC">
            <w:pPr>
              <w:pStyle w:val="TAR"/>
              <w:rPr>
                <w:lang w:val="fr-FR"/>
              </w:rPr>
            </w:pPr>
            <w:r w:rsidRPr="00E42255">
              <w:rPr>
                <w:lang w:val="fr-FR"/>
              </w:rPr>
              <w:t>2x2 case</w:t>
            </w:r>
          </w:p>
        </w:tc>
        <w:tc>
          <w:tcPr>
            <w:tcW w:w="7654" w:type="dxa"/>
            <w:tcBorders>
              <w:top w:val="single" w:sz="4" w:space="0" w:color="auto"/>
              <w:left w:val="single" w:sz="4" w:space="0" w:color="auto"/>
              <w:bottom w:val="single" w:sz="4" w:space="0" w:color="auto"/>
              <w:right w:val="single" w:sz="4" w:space="0" w:color="auto"/>
            </w:tcBorders>
            <w:hideMark/>
          </w:tcPr>
          <w:p w14:paraId="19D9C70D" w14:textId="77777777" w:rsidR="00C977C0" w:rsidRPr="00E42255" w:rsidRDefault="00C977C0" w:rsidP="00BC53AC">
            <w:pPr>
              <w:pStyle w:val="TAR"/>
              <w:rPr>
                <w:lang w:val="fr-FR"/>
              </w:rPr>
            </w:pPr>
            <w:r w:rsidRPr="00B86E65">
              <w:rPr>
                <w:noProof/>
                <w:lang w:val="en-US" w:eastAsia="zh-CN"/>
              </w:rPr>
              <w:drawing>
                <wp:inline distT="0" distB="0" distL="0" distR="0" wp14:anchorId="087EA2C3" wp14:editId="7D36CA82">
                  <wp:extent cx="3723640" cy="848360"/>
                  <wp:effectExtent l="0" t="0" r="0" b="8890"/>
                  <wp:docPr id="14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3723640" cy="848360"/>
                          </a:xfrm>
                          <a:prstGeom prst="rect">
                            <a:avLst/>
                          </a:prstGeom>
                          <a:noFill/>
                          <a:ln>
                            <a:noFill/>
                          </a:ln>
                        </pic:spPr>
                      </pic:pic>
                    </a:graphicData>
                  </a:graphic>
                </wp:inline>
              </w:drawing>
            </w:r>
          </w:p>
        </w:tc>
      </w:tr>
      <w:tr w:rsidR="00C977C0" w:rsidRPr="00E42255" w14:paraId="1BA79EAB" w14:textId="77777777" w:rsidTr="00BC53AC">
        <w:trPr>
          <w:cantSplit/>
          <w:jc w:val="center"/>
        </w:trPr>
        <w:tc>
          <w:tcPr>
            <w:tcW w:w="1872" w:type="dxa"/>
            <w:tcBorders>
              <w:top w:val="single" w:sz="4" w:space="0" w:color="auto"/>
              <w:left w:val="single" w:sz="4" w:space="0" w:color="auto"/>
              <w:bottom w:val="single" w:sz="4" w:space="0" w:color="auto"/>
              <w:right w:val="single" w:sz="4" w:space="0" w:color="auto"/>
            </w:tcBorders>
            <w:hideMark/>
          </w:tcPr>
          <w:p w14:paraId="293ADFF8" w14:textId="77777777" w:rsidR="00C977C0" w:rsidRPr="00E42255" w:rsidRDefault="00C977C0" w:rsidP="00BC53AC">
            <w:pPr>
              <w:pStyle w:val="TAR"/>
              <w:rPr>
                <w:lang w:val="fr-FR"/>
              </w:rPr>
            </w:pPr>
            <w:r w:rsidRPr="00E42255">
              <w:rPr>
                <w:lang w:val="fr-FR"/>
              </w:rPr>
              <w:t>2x4 case</w:t>
            </w:r>
          </w:p>
        </w:tc>
        <w:tc>
          <w:tcPr>
            <w:tcW w:w="7654" w:type="dxa"/>
            <w:tcBorders>
              <w:top w:val="single" w:sz="4" w:space="0" w:color="auto"/>
              <w:left w:val="single" w:sz="4" w:space="0" w:color="auto"/>
              <w:bottom w:val="single" w:sz="4" w:space="0" w:color="auto"/>
              <w:right w:val="single" w:sz="4" w:space="0" w:color="auto"/>
            </w:tcBorders>
            <w:hideMark/>
          </w:tcPr>
          <w:p w14:paraId="52AEEC2F" w14:textId="77777777" w:rsidR="00C977C0" w:rsidRPr="00E42255" w:rsidRDefault="00C977C0" w:rsidP="00BC53AC">
            <w:pPr>
              <w:pStyle w:val="TAR"/>
              <w:rPr>
                <w:lang w:val="fr-FR"/>
              </w:rPr>
            </w:pPr>
            <w:r w:rsidRPr="00B86E65">
              <w:rPr>
                <w:noProof/>
                <w:lang w:val="en-US" w:eastAsia="zh-CN"/>
              </w:rPr>
              <w:drawing>
                <wp:inline distT="0" distB="0" distL="0" distR="0" wp14:anchorId="3A03DBDB" wp14:editId="41163980">
                  <wp:extent cx="3131185" cy="848360"/>
                  <wp:effectExtent l="0" t="0" r="0" b="8890"/>
                  <wp:docPr id="141"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3131185" cy="848360"/>
                          </a:xfrm>
                          <a:prstGeom prst="rect">
                            <a:avLst/>
                          </a:prstGeom>
                          <a:noFill/>
                          <a:ln>
                            <a:noFill/>
                          </a:ln>
                        </pic:spPr>
                      </pic:pic>
                    </a:graphicData>
                  </a:graphic>
                </wp:inline>
              </w:drawing>
            </w:r>
          </w:p>
        </w:tc>
      </w:tr>
      <w:tr w:rsidR="00C977C0" w:rsidRPr="00E42255" w14:paraId="0C16CA17" w14:textId="77777777" w:rsidTr="00BC53AC">
        <w:trPr>
          <w:cantSplit/>
          <w:jc w:val="center"/>
        </w:trPr>
        <w:tc>
          <w:tcPr>
            <w:tcW w:w="1872" w:type="dxa"/>
            <w:tcBorders>
              <w:top w:val="single" w:sz="4" w:space="0" w:color="auto"/>
              <w:left w:val="single" w:sz="4" w:space="0" w:color="auto"/>
              <w:bottom w:val="single" w:sz="4" w:space="0" w:color="auto"/>
              <w:right w:val="single" w:sz="4" w:space="0" w:color="auto"/>
            </w:tcBorders>
            <w:hideMark/>
          </w:tcPr>
          <w:p w14:paraId="087EC690" w14:textId="77777777" w:rsidR="00C977C0" w:rsidRPr="00E42255" w:rsidRDefault="00C977C0" w:rsidP="00BC53AC">
            <w:pPr>
              <w:pStyle w:val="TAR"/>
              <w:rPr>
                <w:lang w:val="fr-FR"/>
              </w:rPr>
            </w:pPr>
            <w:r w:rsidRPr="00E42255">
              <w:rPr>
                <w:lang w:val="fr-FR"/>
              </w:rPr>
              <w:t>4x4 case</w:t>
            </w:r>
          </w:p>
        </w:tc>
        <w:tc>
          <w:tcPr>
            <w:tcW w:w="7654" w:type="dxa"/>
            <w:tcBorders>
              <w:top w:val="single" w:sz="4" w:space="0" w:color="auto"/>
              <w:left w:val="single" w:sz="4" w:space="0" w:color="auto"/>
              <w:bottom w:val="single" w:sz="4" w:space="0" w:color="auto"/>
              <w:right w:val="single" w:sz="4" w:space="0" w:color="auto"/>
            </w:tcBorders>
            <w:hideMark/>
          </w:tcPr>
          <w:p w14:paraId="02943DE2" w14:textId="77777777" w:rsidR="00C977C0" w:rsidRPr="00E42255" w:rsidRDefault="00C977C0" w:rsidP="00BC53AC">
            <w:pPr>
              <w:pStyle w:val="TAR"/>
              <w:rPr>
                <w:lang w:val="fr-FR"/>
              </w:rPr>
            </w:pPr>
            <w:r w:rsidRPr="00B86E65">
              <w:rPr>
                <w:noProof/>
                <w:lang w:val="en-US" w:eastAsia="zh-CN"/>
              </w:rPr>
              <w:drawing>
                <wp:inline distT="0" distB="0" distL="0" distR="0" wp14:anchorId="0CA8AE48" wp14:editId="3E32BE46">
                  <wp:extent cx="4045585" cy="914400"/>
                  <wp:effectExtent l="0" t="0" r="0" b="0"/>
                  <wp:docPr id="142"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4045585" cy="914400"/>
                          </a:xfrm>
                          <a:prstGeom prst="rect">
                            <a:avLst/>
                          </a:prstGeom>
                          <a:noFill/>
                          <a:ln>
                            <a:noFill/>
                          </a:ln>
                        </pic:spPr>
                      </pic:pic>
                    </a:graphicData>
                  </a:graphic>
                </wp:inline>
              </w:drawing>
            </w:r>
          </w:p>
        </w:tc>
      </w:tr>
      <w:tr w:rsidR="00C977C0" w:rsidRPr="00E42255" w14:paraId="3A8576C0" w14:textId="77777777" w:rsidTr="00BC53AC">
        <w:trPr>
          <w:cantSplit/>
          <w:jc w:val="center"/>
        </w:trPr>
        <w:tc>
          <w:tcPr>
            <w:tcW w:w="9526" w:type="dxa"/>
            <w:gridSpan w:val="2"/>
            <w:tcBorders>
              <w:top w:val="single" w:sz="4" w:space="0" w:color="auto"/>
              <w:left w:val="single" w:sz="4" w:space="0" w:color="auto"/>
              <w:bottom w:val="single" w:sz="4" w:space="0" w:color="auto"/>
              <w:right w:val="single" w:sz="4" w:space="0" w:color="auto"/>
            </w:tcBorders>
            <w:hideMark/>
          </w:tcPr>
          <w:p w14:paraId="615396AB" w14:textId="77777777" w:rsidR="00C977C0" w:rsidRPr="00E42255" w:rsidRDefault="00C977C0" w:rsidP="00BC53AC">
            <w:pPr>
              <w:pStyle w:val="TAN"/>
              <w:rPr>
                <w:lang w:val="fr-FR"/>
              </w:rPr>
            </w:pPr>
            <w:r w:rsidRPr="00E42255">
              <w:rPr>
                <w:lang w:val="fr-FR"/>
              </w:rPr>
              <w:t xml:space="preserve">NOTE 1: </w:t>
            </w:r>
            <w:r w:rsidRPr="00E42255">
              <w:rPr>
                <w:lang w:val="fr-FR"/>
              </w:rPr>
              <w:tab/>
              <w:t>R</w:t>
            </w:r>
            <w:r w:rsidRPr="00E42255">
              <w:rPr>
                <w:vertAlign w:val="subscript"/>
                <w:lang w:val="fr-FR"/>
              </w:rPr>
              <w:t xml:space="preserve">gNB </w:t>
            </w:r>
            <w:r w:rsidRPr="00E42255">
              <w:rPr>
                <w:lang w:val="fr-FR"/>
              </w:rPr>
              <w:t>refers to an IAB-DU for IAB-DU requirements or a gNB for IAB-MT requirements.</w:t>
            </w:r>
          </w:p>
          <w:p w14:paraId="5EC80570" w14:textId="77777777" w:rsidR="00C977C0" w:rsidRPr="00E42255" w:rsidRDefault="00C977C0" w:rsidP="00BC53AC">
            <w:pPr>
              <w:pStyle w:val="TAN"/>
              <w:rPr>
                <w:lang w:val="fr-FR"/>
              </w:rPr>
            </w:pPr>
            <w:r w:rsidRPr="00E42255">
              <w:rPr>
                <w:lang w:val="fr-FR"/>
              </w:rPr>
              <w:t xml:space="preserve">NOTE 2: </w:t>
            </w:r>
            <w:r w:rsidRPr="00E42255">
              <w:rPr>
                <w:lang w:val="fr-FR"/>
              </w:rPr>
              <w:tab/>
              <w:t>R</w:t>
            </w:r>
            <w:r w:rsidRPr="00E42255">
              <w:rPr>
                <w:vertAlign w:val="subscript"/>
                <w:lang w:val="fr-FR"/>
              </w:rPr>
              <w:t>UE</w:t>
            </w:r>
            <w:r w:rsidRPr="00E42255">
              <w:rPr>
                <w:lang w:val="fr-FR"/>
              </w:rPr>
              <w:t xml:space="preserve"> refers to an UE for IAB-DU requirements or and IAB-MT for IAB-MT requirements</w:t>
            </w:r>
          </w:p>
        </w:tc>
      </w:tr>
    </w:tbl>
    <w:p w14:paraId="2D296E28" w14:textId="77777777" w:rsidR="00C977C0" w:rsidRPr="00E42255" w:rsidRDefault="00C977C0" w:rsidP="00C977C0">
      <w:pPr>
        <w:rPr>
          <w:rFonts w:eastAsia="DengXian"/>
        </w:rPr>
      </w:pPr>
    </w:p>
    <w:p w14:paraId="2973B62C" w14:textId="77777777" w:rsidR="00C977C0" w:rsidRPr="00E42255" w:rsidRDefault="00C977C0" w:rsidP="00C977C0">
      <w:pPr>
        <w:rPr>
          <w:rFonts w:eastAsia="DengXian"/>
        </w:rPr>
      </w:pPr>
      <w:r w:rsidRPr="00E42255">
        <w:rPr>
          <w:rFonts w:eastAsia="DengXian"/>
        </w:rPr>
        <w:t xml:space="preserve">For cases with more antennas at either </w:t>
      </w:r>
      <w:r w:rsidRPr="005C2C2F">
        <w:rPr>
          <w:rFonts w:eastAsia="DengXian"/>
        </w:rPr>
        <w:t xml:space="preserve">IAB-DU/gNB </w:t>
      </w:r>
      <w:r>
        <w:rPr>
          <w:rFonts w:eastAsia="DengXian"/>
        </w:rPr>
        <w:t>or</w:t>
      </w:r>
      <w:r w:rsidRPr="005C2C2F">
        <w:rPr>
          <w:rFonts w:eastAsia="DengXian"/>
        </w:rPr>
        <w:t xml:space="preserve"> IAB-MT/UE</w:t>
      </w:r>
      <w:r w:rsidRPr="00E42255">
        <w:rPr>
          <w:rFonts w:eastAsia="DengXian"/>
        </w:rPr>
        <w:t xml:space="preserve"> or both, the channel spatial correlation matrix can still be expressed as the Kronecker product of </w:t>
      </w:r>
      <w:r w:rsidRPr="00F01908">
        <w:rPr>
          <w:rFonts w:eastAsia="DengXian"/>
          <w:noProof/>
          <w:position w:val="-12"/>
          <w:lang w:val="en-US" w:eastAsia="zh-CN"/>
        </w:rPr>
        <w:drawing>
          <wp:inline distT="0" distB="0" distL="0" distR="0" wp14:anchorId="3BBA4D29" wp14:editId="752EED8A">
            <wp:extent cx="255905" cy="197485"/>
            <wp:effectExtent l="0" t="0" r="0" b="0"/>
            <wp:docPr id="143"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255905" cy="197485"/>
                    </a:xfrm>
                    <a:prstGeom prst="rect">
                      <a:avLst/>
                    </a:prstGeom>
                    <a:noFill/>
                    <a:ln>
                      <a:noFill/>
                    </a:ln>
                  </pic:spPr>
                </pic:pic>
              </a:graphicData>
            </a:graphic>
          </wp:inline>
        </w:drawing>
      </w:r>
      <w:r w:rsidRPr="00E42255">
        <w:rPr>
          <w:rFonts w:eastAsia="DengXian"/>
        </w:rPr>
        <w:t xml:space="preserve"> and </w:t>
      </w:r>
      <w:r w:rsidRPr="00F01908">
        <w:rPr>
          <w:rFonts w:eastAsia="DengXian"/>
          <w:noProof/>
          <w:position w:val="-14"/>
          <w:lang w:val="en-US" w:eastAsia="zh-CN"/>
        </w:rPr>
        <w:drawing>
          <wp:inline distT="0" distB="0" distL="0" distR="0" wp14:anchorId="245BCA8F" wp14:editId="70769A80">
            <wp:extent cx="387985" cy="255905"/>
            <wp:effectExtent l="0" t="0" r="0" b="0"/>
            <wp:docPr id="144"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387985" cy="255905"/>
                    </a:xfrm>
                    <a:prstGeom prst="rect">
                      <a:avLst/>
                    </a:prstGeom>
                    <a:noFill/>
                    <a:ln>
                      <a:noFill/>
                    </a:ln>
                  </pic:spPr>
                </pic:pic>
              </a:graphicData>
            </a:graphic>
          </wp:inline>
        </w:drawing>
      </w:r>
      <w:r w:rsidRPr="00E42255">
        <w:rPr>
          <w:rFonts w:eastAsia="DengXian"/>
        </w:rPr>
        <w:t>according to</w:t>
      </w:r>
      <w:r w:rsidRPr="00F01908">
        <w:rPr>
          <w:rFonts w:ascii="Arial" w:eastAsia="DengXian" w:hAnsi="Arial" w:cs="Arial"/>
          <w:b/>
          <w:noProof/>
          <w:position w:val="-14"/>
          <w:sz w:val="28"/>
          <w:szCs w:val="28"/>
          <w:lang w:val="en-US" w:eastAsia="zh-CN"/>
        </w:rPr>
        <w:drawing>
          <wp:inline distT="0" distB="0" distL="0" distR="0" wp14:anchorId="11121671" wp14:editId="7DF39CED">
            <wp:extent cx="980440" cy="197485"/>
            <wp:effectExtent l="0" t="0" r="0" b="0"/>
            <wp:docPr id="14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980440" cy="197485"/>
                    </a:xfrm>
                    <a:prstGeom prst="rect">
                      <a:avLst/>
                    </a:prstGeom>
                    <a:noFill/>
                    <a:ln>
                      <a:noFill/>
                    </a:ln>
                  </pic:spPr>
                </pic:pic>
              </a:graphicData>
            </a:graphic>
          </wp:inline>
        </w:drawing>
      </w:r>
      <w:r w:rsidRPr="00E42255">
        <w:rPr>
          <w:rFonts w:eastAsia="DengXian"/>
        </w:rPr>
        <w:t>.</w:t>
      </w:r>
    </w:p>
    <w:p w14:paraId="57206DF4" w14:textId="77777777" w:rsidR="00C977C0" w:rsidRPr="00E42255" w:rsidRDefault="00C977C0" w:rsidP="00C977C0">
      <w:pPr>
        <w:pStyle w:val="Heading5"/>
        <w:rPr>
          <w:lang w:eastAsia="ko-KR"/>
        </w:rPr>
      </w:pPr>
      <w:bookmarkStart w:id="10561" w:name="_Toc75276430"/>
      <w:bookmarkStart w:id="10562" w:name="_Toc75275920"/>
      <w:bookmarkStart w:id="10563" w:name="_Toc75260373"/>
      <w:bookmarkStart w:id="10564" w:name="_Toc73963195"/>
      <w:bookmarkStart w:id="10565" w:name="_Toc82450508"/>
      <w:bookmarkStart w:id="10566" w:name="_Toc82451157"/>
      <w:bookmarkStart w:id="10567" w:name="_Toc89949546"/>
      <w:bookmarkStart w:id="10568" w:name="_Toc98755935"/>
      <w:bookmarkStart w:id="10569" w:name="_Toc98763527"/>
      <w:bookmarkStart w:id="10570" w:name="_Toc106184456"/>
      <w:r>
        <w:rPr>
          <w:lang w:eastAsia="ko-KR"/>
        </w:rPr>
        <w:t>I</w:t>
      </w:r>
      <w:r w:rsidRPr="00E42255">
        <w:rPr>
          <w:lang w:eastAsia="ko-KR"/>
        </w:rPr>
        <w:t>.2.4.2.3</w:t>
      </w:r>
      <w:r w:rsidRPr="00E42255">
        <w:rPr>
          <w:lang w:eastAsia="ko-KR"/>
        </w:rPr>
        <w:tab/>
        <w:t>MIMO correlation matrices at high, medium and low level</w:t>
      </w:r>
      <w:bookmarkEnd w:id="10561"/>
      <w:bookmarkEnd w:id="10562"/>
      <w:bookmarkEnd w:id="10563"/>
      <w:bookmarkEnd w:id="10564"/>
      <w:bookmarkEnd w:id="10565"/>
      <w:bookmarkEnd w:id="10566"/>
      <w:bookmarkEnd w:id="10567"/>
      <w:bookmarkEnd w:id="10568"/>
      <w:bookmarkEnd w:id="10569"/>
      <w:bookmarkEnd w:id="10570"/>
    </w:p>
    <w:p w14:paraId="12271DC8" w14:textId="77777777" w:rsidR="00C977C0" w:rsidRPr="00E42255" w:rsidRDefault="00C977C0" w:rsidP="00C977C0">
      <w:pPr>
        <w:rPr>
          <w:rFonts w:eastAsia="Calibri"/>
        </w:rPr>
      </w:pPr>
      <w:r w:rsidRPr="00E42255">
        <w:rPr>
          <w:rFonts w:eastAsia="Calibri"/>
        </w:rPr>
        <w:t xml:space="preserve">The </w:t>
      </w:r>
      <w:r w:rsidRPr="00E42255">
        <w:rPr>
          <w:rFonts w:eastAsia="DengXian"/>
          <w:sz w:val="24"/>
          <w:szCs w:val="24"/>
        </w:rPr>
        <w:sym w:font="Symbol" w:char="F061"/>
      </w:r>
      <w:r w:rsidRPr="00E42255">
        <w:rPr>
          <w:rFonts w:eastAsia="Calibri"/>
        </w:rPr>
        <w:t xml:space="preserve"> and </w:t>
      </w:r>
      <w:r w:rsidRPr="00E42255">
        <w:rPr>
          <w:rFonts w:eastAsia="DengXian"/>
          <w:sz w:val="24"/>
          <w:szCs w:val="24"/>
        </w:rPr>
        <w:sym w:font="Symbol" w:char="F062"/>
      </w:r>
      <w:r w:rsidRPr="00E42255">
        <w:rPr>
          <w:rFonts w:eastAsia="Calibri"/>
        </w:rPr>
        <w:t xml:space="preserve"> for different correlation types are given in table </w:t>
      </w:r>
      <w:r>
        <w:rPr>
          <w:rFonts w:eastAsia="MS Gothic"/>
        </w:rPr>
        <w:t>I</w:t>
      </w:r>
      <w:r w:rsidRPr="00E42255">
        <w:rPr>
          <w:rFonts w:eastAsia="MS Gothic"/>
        </w:rPr>
        <w:t>.2.4.2.3-1</w:t>
      </w:r>
      <w:r w:rsidRPr="00E42255">
        <w:rPr>
          <w:rFonts w:eastAsia="Calibri"/>
        </w:rPr>
        <w:t>.</w:t>
      </w:r>
    </w:p>
    <w:p w14:paraId="01AE49F7" w14:textId="77777777" w:rsidR="00C977C0" w:rsidRPr="00E42255" w:rsidRDefault="00C977C0" w:rsidP="00C977C0">
      <w:pPr>
        <w:pStyle w:val="TH"/>
        <w:rPr>
          <w:lang w:val="fr-FR"/>
        </w:rPr>
      </w:pPr>
      <w:r w:rsidRPr="00E42255">
        <w:rPr>
          <w:lang w:val="fr-FR"/>
        </w:rPr>
        <w:lastRenderedPageBreak/>
        <w:t xml:space="preserve">Table </w:t>
      </w:r>
      <w:r>
        <w:rPr>
          <w:lang w:val="fr-FR"/>
        </w:rPr>
        <w:t>I</w:t>
      </w:r>
      <w:r w:rsidRPr="00E42255">
        <w:rPr>
          <w:lang w:val="fr-FR"/>
        </w:rPr>
        <w:t>.2.4.2.3-1: Correlation for high, medium and low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1270"/>
        <w:gridCol w:w="1270"/>
        <w:gridCol w:w="1270"/>
        <w:gridCol w:w="1270"/>
        <w:gridCol w:w="1270"/>
        <w:gridCol w:w="1271"/>
      </w:tblGrid>
      <w:tr w:rsidR="00C977C0" w:rsidRPr="00E42255" w14:paraId="324AB656" w14:textId="77777777" w:rsidTr="00BC53AC">
        <w:trPr>
          <w:cantSplit/>
          <w:jc w:val="center"/>
        </w:trPr>
        <w:tc>
          <w:tcPr>
            <w:tcW w:w="2540" w:type="dxa"/>
            <w:gridSpan w:val="2"/>
            <w:tcBorders>
              <w:top w:val="single" w:sz="4" w:space="0" w:color="auto"/>
              <w:left w:val="single" w:sz="4" w:space="0" w:color="auto"/>
              <w:bottom w:val="single" w:sz="4" w:space="0" w:color="auto"/>
              <w:right w:val="single" w:sz="4" w:space="0" w:color="auto"/>
            </w:tcBorders>
            <w:hideMark/>
          </w:tcPr>
          <w:p w14:paraId="16584713" w14:textId="77777777" w:rsidR="00C977C0" w:rsidRPr="00E42255" w:rsidRDefault="00C977C0" w:rsidP="00BC53AC">
            <w:pPr>
              <w:keepNext/>
              <w:keepLines/>
              <w:spacing w:after="0"/>
              <w:jc w:val="center"/>
              <w:rPr>
                <w:rFonts w:ascii="Arial" w:eastAsia="DengXian" w:hAnsi="Arial" w:cs="Arial"/>
                <w:b/>
                <w:sz w:val="18"/>
                <w:lang w:val="fr-FR"/>
              </w:rPr>
            </w:pPr>
            <w:r w:rsidRPr="00E42255">
              <w:rPr>
                <w:rFonts w:ascii="Arial" w:eastAsia="DengXian" w:hAnsi="Arial" w:cs="Arial"/>
                <w:b/>
                <w:sz w:val="18"/>
                <w:lang w:val="fr-FR"/>
              </w:rPr>
              <w:t>Low correlation</w:t>
            </w:r>
          </w:p>
        </w:tc>
        <w:tc>
          <w:tcPr>
            <w:tcW w:w="2540" w:type="dxa"/>
            <w:gridSpan w:val="2"/>
            <w:tcBorders>
              <w:top w:val="single" w:sz="4" w:space="0" w:color="auto"/>
              <w:left w:val="single" w:sz="4" w:space="0" w:color="auto"/>
              <w:bottom w:val="single" w:sz="4" w:space="0" w:color="auto"/>
              <w:right w:val="single" w:sz="4" w:space="0" w:color="auto"/>
            </w:tcBorders>
            <w:hideMark/>
          </w:tcPr>
          <w:p w14:paraId="53AB5C2D" w14:textId="77777777" w:rsidR="00C977C0" w:rsidRPr="00E42255" w:rsidRDefault="00C977C0" w:rsidP="00BC53AC">
            <w:pPr>
              <w:keepNext/>
              <w:keepLines/>
              <w:spacing w:after="0"/>
              <w:jc w:val="center"/>
              <w:rPr>
                <w:rFonts w:ascii="Arial" w:eastAsia="DengXian" w:hAnsi="Arial" w:cs="Arial"/>
                <w:b/>
                <w:sz w:val="18"/>
                <w:lang w:val="fr-FR"/>
              </w:rPr>
            </w:pPr>
            <w:r w:rsidRPr="00E42255">
              <w:rPr>
                <w:rFonts w:ascii="Arial" w:eastAsia="DengXian" w:hAnsi="Arial" w:cs="Arial"/>
                <w:b/>
                <w:sz w:val="18"/>
                <w:lang w:val="fr-FR"/>
              </w:rPr>
              <w:t>Medium correlation</w:t>
            </w:r>
          </w:p>
        </w:tc>
        <w:tc>
          <w:tcPr>
            <w:tcW w:w="2541" w:type="dxa"/>
            <w:gridSpan w:val="2"/>
            <w:tcBorders>
              <w:top w:val="single" w:sz="4" w:space="0" w:color="auto"/>
              <w:left w:val="single" w:sz="4" w:space="0" w:color="auto"/>
              <w:bottom w:val="single" w:sz="4" w:space="0" w:color="auto"/>
              <w:right w:val="single" w:sz="4" w:space="0" w:color="auto"/>
            </w:tcBorders>
            <w:hideMark/>
          </w:tcPr>
          <w:p w14:paraId="6FFC04A2" w14:textId="77777777" w:rsidR="00C977C0" w:rsidRPr="00E42255" w:rsidRDefault="00C977C0" w:rsidP="00BC53AC">
            <w:pPr>
              <w:keepNext/>
              <w:keepLines/>
              <w:spacing w:after="0"/>
              <w:jc w:val="center"/>
              <w:rPr>
                <w:rFonts w:ascii="Arial" w:eastAsia="DengXian" w:hAnsi="Arial" w:cs="Arial"/>
                <w:b/>
                <w:sz w:val="18"/>
                <w:lang w:val="fr-FR"/>
              </w:rPr>
            </w:pPr>
            <w:r w:rsidRPr="00E42255">
              <w:rPr>
                <w:rFonts w:ascii="Arial" w:eastAsia="DengXian" w:hAnsi="Arial" w:cs="Arial"/>
                <w:b/>
                <w:sz w:val="18"/>
                <w:lang w:val="fr-FR"/>
              </w:rPr>
              <w:t>High correlation</w:t>
            </w:r>
          </w:p>
        </w:tc>
      </w:tr>
      <w:tr w:rsidR="00C977C0" w:rsidRPr="00E42255" w14:paraId="6330F823" w14:textId="77777777" w:rsidTr="00BC53AC">
        <w:trPr>
          <w:cantSplit/>
          <w:jc w:val="center"/>
        </w:trPr>
        <w:tc>
          <w:tcPr>
            <w:tcW w:w="1270" w:type="dxa"/>
            <w:tcBorders>
              <w:top w:val="single" w:sz="4" w:space="0" w:color="auto"/>
              <w:left w:val="single" w:sz="4" w:space="0" w:color="auto"/>
              <w:bottom w:val="single" w:sz="4" w:space="0" w:color="auto"/>
              <w:right w:val="single" w:sz="4" w:space="0" w:color="auto"/>
            </w:tcBorders>
            <w:hideMark/>
          </w:tcPr>
          <w:p w14:paraId="7741C1E7" w14:textId="77777777" w:rsidR="00C977C0" w:rsidRPr="00E42255" w:rsidRDefault="00C977C0" w:rsidP="00BC53AC">
            <w:pPr>
              <w:keepNext/>
              <w:keepLines/>
              <w:spacing w:after="0"/>
              <w:jc w:val="center"/>
              <w:rPr>
                <w:rFonts w:ascii="Arial" w:eastAsia="DengXian" w:hAnsi="Arial" w:cs="Arial"/>
                <w:sz w:val="18"/>
                <w:vertAlign w:val="subscript"/>
                <w:lang w:val="fr-FR"/>
              </w:rPr>
            </w:pPr>
            <w:r w:rsidRPr="00E42255">
              <w:rPr>
                <w:rFonts w:ascii="Arial" w:eastAsia="DengXian" w:hAnsi="Arial" w:cs="Arial"/>
                <w:sz w:val="18"/>
                <w:lang w:val="fr-FR"/>
              </w:rPr>
              <w:sym w:font="Symbol" w:char="F061"/>
            </w:r>
          </w:p>
        </w:tc>
        <w:tc>
          <w:tcPr>
            <w:tcW w:w="1270" w:type="dxa"/>
            <w:tcBorders>
              <w:top w:val="single" w:sz="4" w:space="0" w:color="auto"/>
              <w:left w:val="single" w:sz="4" w:space="0" w:color="auto"/>
              <w:bottom w:val="single" w:sz="4" w:space="0" w:color="auto"/>
              <w:right w:val="single" w:sz="4" w:space="0" w:color="auto"/>
            </w:tcBorders>
            <w:hideMark/>
          </w:tcPr>
          <w:p w14:paraId="30B8B1C1" w14:textId="77777777" w:rsidR="00C977C0" w:rsidRPr="00E42255" w:rsidRDefault="00C977C0" w:rsidP="00BC53AC">
            <w:pPr>
              <w:keepNext/>
              <w:keepLines/>
              <w:spacing w:after="0"/>
              <w:jc w:val="center"/>
              <w:rPr>
                <w:rFonts w:ascii="Arial" w:eastAsia="DengXian" w:hAnsi="Arial" w:cs="Arial"/>
                <w:sz w:val="18"/>
                <w:vertAlign w:val="subscript"/>
                <w:lang w:val="fr-FR"/>
              </w:rPr>
            </w:pPr>
            <w:r w:rsidRPr="00E42255">
              <w:rPr>
                <w:rFonts w:ascii="Arial" w:eastAsia="DengXian" w:hAnsi="Arial" w:cs="Arial"/>
                <w:sz w:val="18"/>
                <w:lang w:val="fr-FR"/>
              </w:rPr>
              <w:sym w:font="Symbol" w:char="F062"/>
            </w:r>
          </w:p>
        </w:tc>
        <w:tc>
          <w:tcPr>
            <w:tcW w:w="1270" w:type="dxa"/>
            <w:tcBorders>
              <w:top w:val="single" w:sz="4" w:space="0" w:color="auto"/>
              <w:left w:val="single" w:sz="4" w:space="0" w:color="auto"/>
              <w:bottom w:val="single" w:sz="4" w:space="0" w:color="auto"/>
              <w:right w:val="single" w:sz="4" w:space="0" w:color="auto"/>
            </w:tcBorders>
            <w:hideMark/>
          </w:tcPr>
          <w:p w14:paraId="38881640"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sym w:font="Symbol" w:char="F061"/>
            </w:r>
          </w:p>
        </w:tc>
        <w:tc>
          <w:tcPr>
            <w:tcW w:w="1270" w:type="dxa"/>
            <w:tcBorders>
              <w:top w:val="single" w:sz="4" w:space="0" w:color="auto"/>
              <w:left w:val="single" w:sz="4" w:space="0" w:color="auto"/>
              <w:bottom w:val="single" w:sz="4" w:space="0" w:color="auto"/>
              <w:right w:val="single" w:sz="4" w:space="0" w:color="auto"/>
            </w:tcBorders>
            <w:hideMark/>
          </w:tcPr>
          <w:p w14:paraId="57CA669F"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sym w:font="Symbol" w:char="F062"/>
            </w:r>
          </w:p>
        </w:tc>
        <w:tc>
          <w:tcPr>
            <w:tcW w:w="1270" w:type="dxa"/>
            <w:tcBorders>
              <w:top w:val="single" w:sz="4" w:space="0" w:color="auto"/>
              <w:left w:val="single" w:sz="4" w:space="0" w:color="auto"/>
              <w:bottom w:val="single" w:sz="4" w:space="0" w:color="auto"/>
              <w:right w:val="single" w:sz="4" w:space="0" w:color="auto"/>
            </w:tcBorders>
            <w:hideMark/>
          </w:tcPr>
          <w:p w14:paraId="0ACFC5A5"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sym w:font="Symbol" w:char="F061"/>
            </w:r>
          </w:p>
        </w:tc>
        <w:tc>
          <w:tcPr>
            <w:tcW w:w="1271" w:type="dxa"/>
            <w:tcBorders>
              <w:top w:val="single" w:sz="4" w:space="0" w:color="auto"/>
              <w:left w:val="single" w:sz="4" w:space="0" w:color="auto"/>
              <w:bottom w:val="single" w:sz="4" w:space="0" w:color="auto"/>
              <w:right w:val="single" w:sz="4" w:space="0" w:color="auto"/>
            </w:tcBorders>
            <w:hideMark/>
          </w:tcPr>
          <w:p w14:paraId="5FDE0349"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sym w:font="Symbol" w:char="F062"/>
            </w:r>
          </w:p>
        </w:tc>
      </w:tr>
      <w:tr w:rsidR="00C977C0" w:rsidRPr="00E42255" w14:paraId="0D61D078" w14:textId="77777777" w:rsidTr="00BC53AC">
        <w:trPr>
          <w:cantSplit/>
          <w:jc w:val="center"/>
        </w:trPr>
        <w:tc>
          <w:tcPr>
            <w:tcW w:w="1270" w:type="dxa"/>
            <w:tcBorders>
              <w:top w:val="single" w:sz="4" w:space="0" w:color="auto"/>
              <w:left w:val="single" w:sz="4" w:space="0" w:color="auto"/>
              <w:bottom w:val="single" w:sz="4" w:space="0" w:color="auto"/>
              <w:right w:val="single" w:sz="4" w:space="0" w:color="auto"/>
            </w:tcBorders>
            <w:hideMark/>
          </w:tcPr>
          <w:p w14:paraId="68AC30C7"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t>0</w:t>
            </w:r>
          </w:p>
        </w:tc>
        <w:tc>
          <w:tcPr>
            <w:tcW w:w="1270" w:type="dxa"/>
            <w:tcBorders>
              <w:top w:val="single" w:sz="4" w:space="0" w:color="auto"/>
              <w:left w:val="single" w:sz="4" w:space="0" w:color="auto"/>
              <w:bottom w:val="single" w:sz="4" w:space="0" w:color="auto"/>
              <w:right w:val="single" w:sz="4" w:space="0" w:color="auto"/>
            </w:tcBorders>
            <w:hideMark/>
          </w:tcPr>
          <w:p w14:paraId="30D828DF"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t>0</w:t>
            </w:r>
          </w:p>
        </w:tc>
        <w:tc>
          <w:tcPr>
            <w:tcW w:w="1270" w:type="dxa"/>
            <w:tcBorders>
              <w:top w:val="single" w:sz="4" w:space="0" w:color="auto"/>
              <w:left w:val="single" w:sz="4" w:space="0" w:color="auto"/>
              <w:bottom w:val="single" w:sz="4" w:space="0" w:color="auto"/>
              <w:right w:val="single" w:sz="4" w:space="0" w:color="auto"/>
            </w:tcBorders>
            <w:hideMark/>
          </w:tcPr>
          <w:p w14:paraId="6FA4C009"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t xml:space="preserve">0.9 </w:t>
            </w:r>
          </w:p>
        </w:tc>
        <w:tc>
          <w:tcPr>
            <w:tcW w:w="1270" w:type="dxa"/>
            <w:tcBorders>
              <w:top w:val="single" w:sz="4" w:space="0" w:color="auto"/>
              <w:left w:val="single" w:sz="4" w:space="0" w:color="auto"/>
              <w:bottom w:val="single" w:sz="4" w:space="0" w:color="auto"/>
              <w:right w:val="single" w:sz="4" w:space="0" w:color="auto"/>
            </w:tcBorders>
            <w:hideMark/>
          </w:tcPr>
          <w:p w14:paraId="1E680EFC"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t xml:space="preserve">0.3 </w:t>
            </w:r>
          </w:p>
        </w:tc>
        <w:tc>
          <w:tcPr>
            <w:tcW w:w="1270" w:type="dxa"/>
            <w:tcBorders>
              <w:top w:val="single" w:sz="4" w:space="0" w:color="auto"/>
              <w:left w:val="single" w:sz="4" w:space="0" w:color="auto"/>
              <w:bottom w:val="single" w:sz="4" w:space="0" w:color="auto"/>
              <w:right w:val="single" w:sz="4" w:space="0" w:color="auto"/>
            </w:tcBorders>
            <w:hideMark/>
          </w:tcPr>
          <w:p w14:paraId="19139AD0"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t xml:space="preserve">0.9 </w:t>
            </w:r>
          </w:p>
        </w:tc>
        <w:tc>
          <w:tcPr>
            <w:tcW w:w="1271" w:type="dxa"/>
            <w:tcBorders>
              <w:top w:val="single" w:sz="4" w:space="0" w:color="auto"/>
              <w:left w:val="single" w:sz="4" w:space="0" w:color="auto"/>
              <w:bottom w:val="single" w:sz="4" w:space="0" w:color="auto"/>
              <w:right w:val="single" w:sz="4" w:space="0" w:color="auto"/>
            </w:tcBorders>
            <w:hideMark/>
          </w:tcPr>
          <w:p w14:paraId="2026D90F" w14:textId="77777777" w:rsidR="00C977C0" w:rsidRPr="00E42255" w:rsidRDefault="00C977C0" w:rsidP="00BC53AC">
            <w:pPr>
              <w:keepNext/>
              <w:keepLines/>
              <w:spacing w:after="0"/>
              <w:jc w:val="center"/>
              <w:rPr>
                <w:rFonts w:ascii="Arial" w:eastAsia="DengXian" w:hAnsi="Arial" w:cs="Arial"/>
                <w:sz w:val="18"/>
                <w:lang w:val="fr-FR"/>
              </w:rPr>
            </w:pPr>
            <w:r w:rsidRPr="00E42255">
              <w:rPr>
                <w:rFonts w:ascii="Arial" w:eastAsia="DengXian" w:hAnsi="Arial" w:cs="Arial"/>
                <w:sz w:val="18"/>
                <w:lang w:val="fr-FR"/>
              </w:rPr>
              <w:t xml:space="preserve">0.9 </w:t>
            </w:r>
          </w:p>
        </w:tc>
      </w:tr>
    </w:tbl>
    <w:p w14:paraId="7C875206" w14:textId="77777777" w:rsidR="00C977C0" w:rsidRPr="00E42255" w:rsidRDefault="00C977C0" w:rsidP="00C977C0">
      <w:pPr>
        <w:rPr>
          <w:rFonts w:eastAsia="DengXian"/>
        </w:rPr>
      </w:pPr>
    </w:p>
    <w:p w14:paraId="6E62A67D" w14:textId="77777777" w:rsidR="00C977C0" w:rsidRPr="00E42255" w:rsidRDefault="00C977C0" w:rsidP="00C977C0">
      <w:pPr>
        <w:rPr>
          <w:rFonts w:eastAsia="DengXian"/>
        </w:rPr>
      </w:pPr>
      <w:r w:rsidRPr="00E42255">
        <w:rPr>
          <w:rFonts w:eastAsia="DengXian"/>
        </w:rPr>
        <w:t xml:space="preserve">The correlation matrices for high, medium and low correlation are defined in table </w:t>
      </w:r>
      <w:r>
        <w:rPr>
          <w:rFonts w:eastAsia="DengXian"/>
        </w:rPr>
        <w:t>I</w:t>
      </w:r>
      <w:r w:rsidRPr="00E42255">
        <w:rPr>
          <w:rFonts w:eastAsia="DengXian"/>
        </w:rPr>
        <w:t xml:space="preserve">.2.4.2.3-2, </w:t>
      </w:r>
      <w:r>
        <w:rPr>
          <w:rFonts w:eastAsia="DengXian"/>
        </w:rPr>
        <w:t>I</w:t>
      </w:r>
      <w:r w:rsidRPr="00E42255">
        <w:rPr>
          <w:rFonts w:eastAsia="DengXian"/>
        </w:rPr>
        <w:t xml:space="preserve">.2.4.2.3-3 and </w:t>
      </w:r>
      <w:r>
        <w:rPr>
          <w:rFonts w:eastAsia="DengXian"/>
        </w:rPr>
        <w:t>I</w:t>
      </w:r>
      <w:r w:rsidRPr="00E42255">
        <w:rPr>
          <w:rFonts w:eastAsia="DengXian"/>
        </w:rPr>
        <w:t>.2.4.2.3-4 as below.</w:t>
      </w:r>
    </w:p>
    <w:p w14:paraId="599A026B" w14:textId="77777777" w:rsidR="00C977C0" w:rsidRPr="00E42255" w:rsidRDefault="00C977C0" w:rsidP="00C977C0">
      <w:pPr>
        <w:rPr>
          <w:rFonts w:eastAsia="DengXian"/>
        </w:rPr>
      </w:pPr>
      <w:r w:rsidRPr="00E42255">
        <w:rPr>
          <w:rFonts w:eastAsia="DengXian"/>
        </w:rPr>
        <w:t xml:space="preserve">The values in table </w:t>
      </w:r>
      <w:r>
        <w:rPr>
          <w:rFonts w:eastAsia="DengXian"/>
        </w:rPr>
        <w:t>I</w:t>
      </w:r>
      <w:r w:rsidRPr="00E42255">
        <w:rPr>
          <w:rFonts w:eastAsia="DengXian"/>
        </w:rPr>
        <w:t>.2.4.2.3-2 have been adjusted for the 2x4 and 4x4 high correlation cases to ensure the correlation matrix is positive semi-definite after round-off to 4 digit precision. This is done using the equation:</w:t>
      </w:r>
    </w:p>
    <w:p w14:paraId="045BAA34" w14:textId="77777777" w:rsidR="00C977C0" w:rsidRPr="00E42255" w:rsidRDefault="00C977C0" w:rsidP="00C977C0">
      <w:pPr>
        <w:pStyle w:val="EQ"/>
        <w:rPr>
          <w:lang w:val="fr-FR"/>
        </w:rPr>
      </w:pPr>
      <w:r w:rsidRPr="00B86E65">
        <w:rPr>
          <w:lang w:val="en-US" w:eastAsia="zh-CN"/>
        </w:rPr>
        <w:drawing>
          <wp:inline distT="0" distB="0" distL="0" distR="0" wp14:anchorId="05D832ED" wp14:editId="52266744">
            <wp:extent cx="1828800" cy="255905"/>
            <wp:effectExtent l="0" t="0" r="0" b="0"/>
            <wp:docPr id="14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1828800" cy="255905"/>
                    </a:xfrm>
                    <a:prstGeom prst="rect">
                      <a:avLst/>
                    </a:prstGeom>
                    <a:noFill/>
                    <a:ln>
                      <a:noFill/>
                    </a:ln>
                  </pic:spPr>
                </pic:pic>
              </a:graphicData>
            </a:graphic>
          </wp:inline>
        </w:drawing>
      </w:r>
    </w:p>
    <w:p w14:paraId="4B9D2C83" w14:textId="77777777" w:rsidR="00C977C0" w:rsidRPr="00E42255" w:rsidRDefault="00C977C0" w:rsidP="00C977C0">
      <w:pPr>
        <w:rPr>
          <w:rFonts w:eastAsia="DengXian"/>
        </w:rPr>
      </w:pPr>
      <w:r w:rsidRPr="00E42255">
        <w:rPr>
          <w:rFonts w:eastAsia="DengXian"/>
        </w:rPr>
        <w:t>Where the value "a" is a scaling factor such that the smallest value is used to obtain a positive semi-definite result. For the 2x4 high correlation case, a = 0.00010. For the 4x4 high correlation case, a = 0.00012.</w:t>
      </w:r>
    </w:p>
    <w:p w14:paraId="67C16A17" w14:textId="77777777" w:rsidR="00C977C0" w:rsidRPr="00E42255" w:rsidRDefault="00C977C0" w:rsidP="00C977C0">
      <w:pPr>
        <w:rPr>
          <w:rFonts w:eastAsia="DengXian"/>
        </w:rPr>
      </w:pPr>
      <w:r w:rsidRPr="00E42255">
        <w:rPr>
          <w:rFonts w:eastAsia="DengXian"/>
        </w:rPr>
        <w:t xml:space="preserve">The same method is used to adjust the 4x4 medium correlation matrix in table </w:t>
      </w:r>
      <w:r>
        <w:rPr>
          <w:rFonts w:eastAsia="DengXian"/>
        </w:rPr>
        <w:t>I</w:t>
      </w:r>
      <w:r w:rsidRPr="00E42255">
        <w:rPr>
          <w:rFonts w:eastAsia="DengXian"/>
        </w:rPr>
        <w:t>.2.4.2.3-3 to insure the correlation matrix is positive semi-definite after round-off to 4 digit precision with a = 0.00012.</w:t>
      </w:r>
    </w:p>
    <w:p w14:paraId="020FDFA8"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.2.4.2.3-2: MIMO correlation matrices for high correlation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1075"/>
        <w:gridCol w:w="8241"/>
      </w:tblGrid>
      <w:tr w:rsidR="00C977C0" w:rsidRPr="00E42255" w14:paraId="053E68D4" w14:textId="77777777" w:rsidTr="00BC53AC">
        <w:trPr>
          <w:cantSplit/>
          <w:jc w:val="center"/>
        </w:trPr>
        <w:tc>
          <w:tcPr>
            <w:tcW w:w="1075" w:type="dxa"/>
            <w:tcBorders>
              <w:top w:val="single" w:sz="4" w:space="0" w:color="auto"/>
              <w:left w:val="single" w:sz="4" w:space="0" w:color="auto"/>
              <w:bottom w:val="single" w:sz="4" w:space="0" w:color="auto"/>
              <w:right w:val="single" w:sz="4" w:space="0" w:color="auto"/>
            </w:tcBorders>
            <w:hideMark/>
          </w:tcPr>
          <w:p w14:paraId="3603E7B4" w14:textId="77777777" w:rsidR="00C977C0" w:rsidRPr="00E42255" w:rsidRDefault="00C977C0" w:rsidP="00BC53AC">
            <w:pPr>
              <w:pStyle w:val="TAC"/>
              <w:rPr>
                <w:lang w:val="fr-FR"/>
              </w:rPr>
            </w:pPr>
            <w:r w:rsidRPr="00E42255">
              <w:rPr>
                <w:lang w:val="fr-FR"/>
              </w:rPr>
              <w:t>1x2 case</w:t>
            </w:r>
          </w:p>
        </w:tc>
        <w:tc>
          <w:tcPr>
            <w:tcW w:w="8241" w:type="dxa"/>
            <w:tcBorders>
              <w:top w:val="single" w:sz="4" w:space="0" w:color="auto"/>
              <w:left w:val="single" w:sz="4" w:space="0" w:color="auto"/>
              <w:bottom w:val="single" w:sz="4" w:space="0" w:color="auto"/>
              <w:right w:val="single" w:sz="4" w:space="0" w:color="auto"/>
            </w:tcBorders>
            <w:hideMark/>
          </w:tcPr>
          <w:p w14:paraId="4EDCBCA8" w14:textId="77777777" w:rsidR="00C977C0" w:rsidRPr="00E42255" w:rsidRDefault="00C977C0" w:rsidP="00BC53AC">
            <w:pPr>
              <w:pStyle w:val="TAC"/>
              <w:rPr>
                <w:lang w:val="fr-FR"/>
              </w:rPr>
            </w:pPr>
            <w:r w:rsidRPr="00B86E65">
              <w:rPr>
                <w:noProof/>
                <w:lang w:val="en-US" w:eastAsia="zh-CN"/>
              </w:rPr>
              <w:drawing>
                <wp:inline distT="0" distB="0" distL="0" distR="0" wp14:anchorId="26548C3F" wp14:editId="14951FFC">
                  <wp:extent cx="914400" cy="387985"/>
                  <wp:effectExtent l="0" t="0" r="0" b="0"/>
                  <wp:docPr id="14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914400" cy="387985"/>
                          </a:xfrm>
                          <a:prstGeom prst="rect">
                            <a:avLst/>
                          </a:prstGeom>
                          <a:noFill/>
                          <a:ln>
                            <a:noFill/>
                          </a:ln>
                        </pic:spPr>
                      </pic:pic>
                    </a:graphicData>
                  </a:graphic>
                </wp:inline>
              </w:drawing>
            </w:r>
          </w:p>
        </w:tc>
      </w:tr>
      <w:tr w:rsidR="00C977C0" w:rsidRPr="00E42255" w14:paraId="2947DD5E" w14:textId="77777777" w:rsidTr="00BC53AC">
        <w:trPr>
          <w:cantSplit/>
          <w:jc w:val="center"/>
        </w:trPr>
        <w:tc>
          <w:tcPr>
            <w:tcW w:w="1075" w:type="dxa"/>
            <w:tcBorders>
              <w:top w:val="single" w:sz="4" w:space="0" w:color="auto"/>
              <w:left w:val="single" w:sz="4" w:space="0" w:color="auto"/>
              <w:bottom w:val="single" w:sz="4" w:space="0" w:color="auto"/>
              <w:right w:val="single" w:sz="4" w:space="0" w:color="auto"/>
            </w:tcBorders>
            <w:hideMark/>
          </w:tcPr>
          <w:p w14:paraId="464840CB" w14:textId="77777777" w:rsidR="00C977C0" w:rsidRPr="00E42255" w:rsidRDefault="00C977C0" w:rsidP="00BC53AC">
            <w:pPr>
              <w:pStyle w:val="TAC"/>
              <w:rPr>
                <w:lang w:val="fr-FR"/>
              </w:rPr>
            </w:pPr>
            <w:r w:rsidRPr="00E42255">
              <w:rPr>
                <w:lang w:val="fr-FR"/>
              </w:rPr>
              <w:t>2x2 case</w:t>
            </w:r>
          </w:p>
        </w:tc>
        <w:tc>
          <w:tcPr>
            <w:tcW w:w="8241" w:type="dxa"/>
            <w:tcBorders>
              <w:top w:val="single" w:sz="4" w:space="0" w:color="auto"/>
              <w:left w:val="single" w:sz="4" w:space="0" w:color="auto"/>
              <w:bottom w:val="single" w:sz="4" w:space="0" w:color="auto"/>
              <w:right w:val="single" w:sz="4" w:space="0" w:color="auto"/>
            </w:tcBorders>
            <w:hideMark/>
          </w:tcPr>
          <w:p w14:paraId="5CEA72ED" w14:textId="77777777" w:rsidR="00C977C0" w:rsidRPr="00E42255" w:rsidRDefault="00C977C0" w:rsidP="00BC53AC">
            <w:pPr>
              <w:pStyle w:val="TAC"/>
              <w:rPr>
                <w:lang w:val="fr-FR"/>
              </w:rPr>
            </w:pPr>
            <w:r w:rsidRPr="00B86E65">
              <w:rPr>
                <w:noProof/>
                <w:lang w:val="en-US" w:eastAsia="zh-CN"/>
              </w:rPr>
              <w:drawing>
                <wp:inline distT="0" distB="0" distL="0" distR="0" wp14:anchorId="37F8CAE2" wp14:editId="5E8C0CC0">
                  <wp:extent cx="1302385" cy="716915"/>
                  <wp:effectExtent l="0" t="0" r="0" b="6985"/>
                  <wp:docPr id="14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302385" cy="716915"/>
                          </a:xfrm>
                          <a:prstGeom prst="rect">
                            <a:avLst/>
                          </a:prstGeom>
                          <a:noFill/>
                          <a:ln>
                            <a:noFill/>
                          </a:ln>
                        </pic:spPr>
                      </pic:pic>
                    </a:graphicData>
                  </a:graphic>
                </wp:inline>
              </w:drawing>
            </w:r>
          </w:p>
        </w:tc>
      </w:tr>
      <w:tr w:rsidR="00C977C0" w:rsidRPr="00E42255" w14:paraId="72D93D47" w14:textId="77777777" w:rsidTr="00BC53AC">
        <w:trPr>
          <w:cantSplit/>
          <w:jc w:val="center"/>
        </w:trPr>
        <w:tc>
          <w:tcPr>
            <w:tcW w:w="1075" w:type="dxa"/>
            <w:tcBorders>
              <w:top w:val="single" w:sz="4" w:space="0" w:color="auto"/>
              <w:left w:val="single" w:sz="4" w:space="0" w:color="auto"/>
              <w:bottom w:val="single" w:sz="4" w:space="0" w:color="auto"/>
              <w:right w:val="single" w:sz="4" w:space="0" w:color="auto"/>
            </w:tcBorders>
            <w:hideMark/>
          </w:tcPr>
          <w:p w14:paraId="45042EDF" w14:textId="77777777" w:rsidR="00C977C0" w:rsidRPr="00E42255" w:rsidRDefault="00C977C0" w:rsidP="00BC53AC">
            <w:pPr>
              <w:pStyle w:val="TAC"/>
              <w:rPr>
                <w:lang w:val="fr-FR"/>
              </w:rPr>
            </w:pPr>
            <w:r w:rsidRPr="00E42255">
              <w:rPr>
                <w:lang w:val="fr-FR"/>
              </w:rPr>
              <w:t>2x4 case</w:t>
            </w:r>
          </w:p>
        </w:tc>
        <w:tc>
          <w:tcPr>
            <w:tcW w:w="8241" w:type="dxa"/>
            <w:tcBorders>
              <w:top w:val="single" w:sz="4" w:space="0" w:color="auto"/>
              <w:left w:val="single" w:sz="4" w:space="0" w:color="auto"/>
              <w:bottom w:val="single" w:sz="4" w:space="0" w:color="auto"/>
              <w:right w:val="single" w:sz="4" w:space="0" w:color="auto"/>
            </w:tcBorders>
            <w:hideMark/>
          </w:tcPr>
          <w:p w14:paraId="4C87050A" w14:textId="77777777" w:rsidR="00C977C0" w:rsidRPr="00E42255" w:rsidRDefault="00C977C0" w:rsidP="00BC53AC">
            <w:pPr>
              <w:pStyle w:val="TAC"/>
              <w:rPr>
                <w:lang w:val="fr-FR"/>
              </w:rPr>
            </w:pPr>
            <w:r w:rsidRPr="00B86E65">
              <w:rPr>
                <w:noProof/>
                <w:lang w:val="en-US" w:eastAsia="zh-CN"/>
              </w:rPr>
              <w:drawing>
                <wp:inline distT="0" distB="0" distL="0" distR="0" wp14:anchorId="3DD21AFC" wp14:editId="40620B57">
                  <wp:extent cx="3591560" cy="914400"/>
                  <wp:effectExtent l="0" t="0" r="8890" b="0"/>
                  <wp:docPr id="14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3591560" cy="914400"/>
                          </a:xfrm>
                          <a:prstGeom prst="rect">
                            <a:avLst/>
                          </a:prstGeom>
                          <a:noFill/>
                          <a:ln>
                            <a:noFill/>
                          </a:ln>
                        </pic:spPr>
                      </pic:pic>
                    </a:graphicData>
                  </a:graphic>
                </wp:inline>
              </w:drawing>
            </w:r>
          </w:p>
        </w:tc>
      </w:tr>
      <w:tr w:rsidR="00C977C0" w:rsidRPr="00E42255" w14:paraId="272A1ABB" w14:textId="77777777" w:rsidTr="00BC53AC">
        <w:trPr>
          <w:cantSplit/>
          <w:jc w:val="center"/>
        </w:trPr>
        <w:tc>
          <w:tcPr>
            <w:tcW w:w="1075" w:type="dxa"/>
            <w:tcBorders>
              <w:top w:val="single" w:sz="4" w:space="0" w:color="auto"/>
              <w:left w:val="single" w:sz="4" w:space="0" w:color="auto"/>
              <w:bottom w:val="single" w:sz="4" w:space="0" w:color="auto"/>
              <w:right w:val="single" w:sz="4" w:space="0" w:color="auto"/>
            </w:tcBorders>
            <w:hideMark/>
          </w:tcPr>
          <w:p w14:paraId="1310B52C" w14:textId="77777777" w:rsidR="00C977C0" w:rsidRPr="00E42255" w:rsidRDefault="00C977C0" w:rsidP="00BC53AC">
            <w:pPr>
              <w:pStyle w:val="TAC"/>
              <w:rPr>
                <w:lang w:val="fr-FR"/>
              </w:rPr>
            </w:pPr>
            <w:r w:rsidRPr="00E42255">
              <w:rPr>
                <w:lang w:val="fr-FR"/>
              </w:rPr>
              <w:t>4x4 case</w:t>
            </w:r>
          </w:p>
        </w:tc>
        <w:tc>
          <w:tcPr>
            <w:tcW w:w="8241" w:type="dxa"/>
            <w:tcBorders>
              <w:top w:val="single" w:sz="4" w:space="0" w:color="auto"/>
              <w:left w:val="single" w:sz="4" w:space="0" w:color="auto"/>
              <w:bottom w:val="single" w:sz="4" w:space="0" w:color="auto"/>
              <w:right w:val="single" w:sz="4" w:space="0" w:color="auto"/>
            </w:tcBorders>
            <w:hideMark/>
          </w:tcPr>
          <w:p w14:paraId="03030D83" w14:textId="77777777" w:rsidR="00C977C0" w:rsidRPr="00E42255" w:rsidRDefault="00C977C0" w:rsidP="00BC53AC">
            <w:pPr>
              <w:pStyle w:val="TAC"/>
              <w:rPr>
                <w:lang w:val="fr-FR"/>
              </w:rPr>
            </w:pPr>
            <w:r w:rsidRPr="00B86E65">
              <w:rPr>
                <w:noProof/>
                <w:lang w:val="en-US" w:eastAsia="zh-CN"/>
              </w:rPr>
              <w:drawing>
                <wp:inline distT="0" distB="0" distL="0" distR="0" wp14:anchorId="0C59E1A0" wp14:editId="6F316282">
                  <wp:extent cx="5098415" cy="2355215"/>
                  <wp:effectExtent l="0" t="0" r="6985" b="6985"/>
                  <wp:docPr id="15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5098415" cy="2355215"/>
                          </a:xfrm>
                          <a:prstGeom prst="rect">
                            <a:avLst/>
                          </a:prstGeom>
                          <a:noFill/>
                          <a:ln>
                            <a:noFill/>
                          </a:ln>
                        </pic:spPr>
                      </pic:pic>
                    </a:graphicData>
                  </a:graphic>
                </wp:inline>
              </w:drawing>
            </w:r>
          </w:p>
        </w:tc>
      </w:tr>
    </w:tbl>
    <w:p w14:paraId="15503DFF" w14:textId="77777777" w:rsidR="00C977C0" w:rsidRPr="00E42255" w:rsidRDefault="00C977C0" w:rsidP="00C977C0">
      <w:pPr>
        <w:rPr>
          <w:rFonts w:eastAsia="DengXian"/>
        </w:rPr>
      </w:pPr>
    </w:p>
    <w:p w14:paraId="426723BF" w14:textId="77777777" w:rsidR="00C977C0" w:rsidRPr="00E42255" w:rsidRDefault="00C977C0" w:rsidP="00C977C0">
      <w:pPr>
        <w:pStyle w:val="TH"/>
        <w:rPr>
          <w:lang w:val="fr-FR"/>
        </w:rPr>
      </w:pPr>
      <w:r w:rsidRPr="00E42255">
        <w:rPr>
          <w:lang w:val="fr-FR"/>
        </w:rPr>
        <w:lastRenderedPageBreak/>
        <w:t xml:space="preserve">Table </w:t>
      </w:r>
      <w:r>
        <w:rPr>
          <w:lang w:val="fr-FR"/>
        </w:rPr>
        <w:t>I</w:t>
      </w:r>
      <w:r w:rsidRPr="00E42255">
        <w:rPr>
          <w:lang w:val="fr-FR"/>
        </w:rPr>
        <w:t>.2.4.2.3-3: MIMO correlation matrices for medium correlation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992"/>
        <w:gridCol w:w="8930"/>
      </w:tblGrid>
      <w:tr w:rsidR="00C977C0" w:rsidRPr="00E42255" w14:paraId="2233D02F" w14:textId="77777777" w:rsidTr="00BC53AC">
        <w:trPr>
          <w:cantSplit/>
          <w:jc w:val="center"/>
        </w:trPr>
        <w:tc>
          <w:tcPr>
            <w:tcW w:w="992" w:type="dxa"/>
            <w:tcBorders>
              <w:top w:val="single" w:sz="4" w:space="0" w:color="auto"/>
              <w:left w:val="single" w:sz="4" w:space="0" w:color="auto"/>
              <w:bottom w:val="single" w:sz="4" w:space="0" w:color="auto"/>
              <w:right w:val="single" w:sz="4" w:space="0" w:color="auto"/>
            </w:tcBorders>
            <w:hideMark/>
          </w:tcPr>
          <w:p w14:paraId="09D33480" w14:textId="77777777" w:rsidR="00C977C0" w:rsidRPr="00E42255" w:rsidRDefault="00C977C0" w:rsidP="00BC53AC">
            <w:pPr>
              <w:pStyle w:val="TAC"/>
              <w:rPr>
                <w:lang w:val="fr-FR"/>
              </w:rPr>
            </w:pPr>
            <w:r w:rsidRPr="00E42255">
              <w:rPr>
                <w:lang w:val="fr-FR"/>
              </w:rPr>
              <w:t>1x2 case</w:t>
            </w:r>
          </w:p>
        </w:tc>
        <w:tc>
          <w:tcPr>
            <w:tcW w:w="8930" w:type="dxa"/>
            <w:tcBorders>
              <w:top w:val="single" w:sz="4" w:space="0" w:color="auto"/>
              <w:left w:val="single" w:sz="4" w:space="0" w:color="auto"/>
              <w:bottom w:val="single" w:sz="4" w:space="0" w:color="auto"/>
              <w:right w:val="single" w:sz="4" w:space="0" w:color="auto"/>
            </w:tcBorders>
            <w:hideMark/>
          </w:tcPr>
          <w:p w14:paraId="0691CB60" w14:textId="77777777" w:rsidR="00C977C0" w:rsidRPr="00E42255" w:rsidRDefault="00C977C0" w:rsidP="00BC53AC">
            <w:pPr>
              <w:pStyle w:val="TAC"/>
              <w:rPr>
                <w:lang w:val="fr-FR"/>
              </w:rPr>
            </w:pPr>
            <w:r w:rsidRPr="00E42255">
              <w:rPr>
                <w:lang w:val="fr-FR"/>
              </w:rPr>
              <w:t>[N/A]</w:t>
            </w:r>
          </w:p>
        </w:tc>
      </w:tr>
      <w:tr w:rsidR="00C977C0" w:rsidRPr="00E42255" w14:paraId="2D7B185E" w14:textId="77777777" w:rsidTr="00BC53AC">
        <w:trPr>
          <w:cantSplit/>
          <w:jc w:val="center"/>
        </w:trPr>
        <w:tc>
          <w:tcPr>
            <w:tcW w:w="992" w:type="dxa"/>
            <w:tcBorders>
              <w:top w:val="single" w:sz="4" w:space="0" w:color="auto"/>
              <w:left w:val="single" w:sz="4" w:space="0" w:color="auto"/>
              <w:bottom w:val="single" w:sz="4" w:space="0" w:color="auto"/>
              <w:right w:val="single" w:sz="4" w:space="0" w:color="auto"/>
            </w:tcBorders>
            <w:hideMark/>
          </w:tcPr>
          <w:p w14:paraId="38C6584B" w14:textId="77777777" w:rsidR="00C977C0" w:rsidRPr="00E42255" w:rsidRDefault="00C977C0" w:rsidP="00BC53AC">
            <w:pPr>
              <w:pStyle w:val="TAC"/>
              <w:rPr>
                <w:lang w:val="fr-FR"/>
              </w:rPr>
            </w:pPr>
            <w:r w:rsidRPr="00E42255">
              <w:rPr>
                <w:lang w:val="fr-FR"/>
              </w:rPr>
              <w:t>2x2 case</w:t>
            </w:r>
          </w:p>
        </w:tc>
        <w:tc>
          <w:tcPr>
            <w:tcW w:w="8930" w:type="dxa"/>
            <w:tcBorders>
              <w:top w:val="single" w:sz="4" w:space="0" w:color="auto"/>
              <w:left w:val="single" w:sz="4" w:space="0" w:color="auto"/>
              <w:bottom w:val="single" w:sz="4" w:space="0" w:color="auto"/>
              <w:right w:val="single" w:sz="4" w:space="0" w:color="auto"/>
            </w:tcBorders>
            <w:hideMark/>
          </w:tcPr>
          <w:p w14:paraId="2C35F815" w14:textId="77777777" w:rsidR="00C977C0" w:rsidRPr="00E42255" w:rsidRDefault="00C977C0" w:rsidP="00BC53AC">
            <w:pPr>
              <w:pStyle w:val="TAC"/>
              <w:rPr>
                <w:lang w:val="fr-FR"/>
              </w:rPr>
            </w:pPr>
            <w:r w:rsidRPr="00B86E65">
              <w:rPr>
                <w:noProof/>
                <w:lang w:val="en-US" w:eastAsia="zh-CN"/>
              </w:rPr>
              <w:drawing>
                <wp:inline distT="0" distB="0" distL="0" distR="0" wp14:anchorId="549CF595" wp14:editId="248645C0">
                  <wp:extent cx="1894840" cy="467995"/>
                  <wp:effectExtent l="0" t="0" r="0" b="8255"/>
                  <wp:docPr id="15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1894840" cy="467995"/>
                          </a:xfrm>
                          <a:prstGeom prst="rect">
                            <a:avLst/>
                          </a:prstGeom>
                          <a:noFill/>
                          <a:ln>
                            <a:noFill/>
                          </a:ln>
                        </pic:spPr>
                      </pic:pic>
                    </a:graphicData>
                  </a:graphic>
                </wp:inline>
              </w:drawing>
            </w:r>
          </w:p>
        </w:tc>
      </w:tr>
      <w:tr w:rsidR="00C977C0" w:rsidRPr="00E42255" w14:paraId="03663362" w14:textId="77777777" w:rsidTr="00BC53AC">
        <w:trPr>
          <w:cantSplit/>
          <w:jc w:val="center"/>
        </w:trPr>
        <w:tc>
          <w:tcPr>
            <w:tcW w:w="992" w:type="dxa"/>
            <w:tcBorders>
              <w:top w:val="single" w:sz="4" w:space="0" w:color="auto"/>
              <w:left w:val="single" w:sz="4" w:space="0" w:color="auto"/>
              <w:bottom w:val="single" w:sz="4" w:space="0" w:color="auto"/>
              <w:right w:val="single" w:sz="4" w:space="0" w:color="auto"/>
            </w:tcBorders>
            <w:hideMark/>
          </w:tcPr>
          <w:p w14:paraId="6662A6B6" w14:textId="77777777" w:rsidR="00C977C0" w:rsidRPr="00E42255" w:rsidRDefault="00C977C0" w:rsidP="00BC53AC">
            <w:pPr>
              <w:pStyle w:val="TAC"/>
              <w:rPr>
                <w:lang w:val="fr-FR"/>
              </w:rPr>
            </w:pPr>
            <w:r w:rsidRPr="00E42255">
              <w:rPr>
                <w:lang w:val="fr-FR"/>
              </w:rPr>
              <w:t>2x4 case</w:t>
            </w:r>
          </w:p>
        </w:tc>
        <w:tc>
          <w:tcPr>
            <w:tcW w:w="8930" w:type="dxa"/>
            <w:tcBorders>
              <w:top w:val="single" w:sz="4" w:space="0" w:color="auto"/>
              <w:left w:val="single" w:sz="4" w:space="0" w:color="auto"/>
              <w:bottom w:val="single" w:sz="4" w:space="0" w:color="auto"/>
              <w:right w:val="single" w:sz="4" w:space="0" w:color="auto"/>
            </w:tcBorders>
            <w:hideMark/>
          </w:tcPr>
          <w:p w14:paraId="71A288C7" w14:textId="77777777" w:rsidR="00C977C0" w:rsidRPr="00E42255" w:rsidRDefault="00C977C0" w:rsidP="00BC53AC">
            <w:pPr>
              <w:pStyle w:val="TAC"/>
              <w:rPr>
                <w:lang w:val="fr-FR"/>
              </w:rPr>
            </w:pPr>
            <w:r w:rsidRPr="00B86E65">
              <w:rPr>
                <w:noProof/>
                <w:lang w:val="en-US" w:eastAsia="zh-CN"/>
              </w:rPr>
              <w:drawing>
                <wp:inline distT="0" distB="0" distL="0" distR="0" wp14:anchorId="4E2E8A73" wp14:editId="6A82445A">
                  <wp:extent cx="3855085" cy="980440"/>
                  <wp:effectExtent l="0" t="0" r="0" b="0"/>
                  <wp:docPr id="15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3855085" cy="980440"/>
                          </a:xfrm>
                          <a:prstGeom prst="rect">
                            <a:avLst/>
                          </a:prstGeom>
                          <a:noFill/>
                          <a:ln>
                            <a:noFill/>
                          </a:ln>
                        </pic:spPr>
                      </pic:pic>
                    </a:graphicData>
                  </a:graphic>
                </wp:inline>
              </w:drawing>
            </w:r>
          </w:p>
        </w:tc>
      </w:tr>
      <w:tr w:rsidR="00C977C0" w:rsidRPr="00E42255" w14:paraId="363AD4D2" w14:textId="77777777" w:rsidTr="00BC53AC">
        <w:trPr>
          <w:cantSplit/>
          <w:jc w:val="center"/>
        </w:trPr>
        <w:tc>
          <w:tcPr>
            <w:tcW w:w="992" w:type="dxa"/>
            <w:tcBorders>
              <w:top w:val="single" w:sz="4" w:space="0" w:color="auto"/>
              <w:left w:val="single" w:sz="4" w:space="0" w:color="auto"/>
              <w:bottom w:val="single" w:sz="4" w:space="0" w:color="auto"/>
              <w:right w:val="single" w:sz="4" w:space="0" w:color="auto"/>
            </w:tcBorders>
            <w:hideMark/>
          </w:tcPr>
          <w:p w14:paraId="02CDD819" w14:textId="77777777" w:rsidR="00C977C0" w:rsidRPr="00E42255" w:rsidRDefault="00C977C0" w:rsidP="00BC53AC">
            <w:pPr>
              <w:pStyle w:val="TAC"/>
              <w:rPr>
                <w:lang w:val="fr-FR"/>
              </w:rPr>
            </w:pPr>
            <w:r w:rsidRPr="00E42255">
              <w:rPr>
                <w:lang w:val="fr-FR"/>
              </w:rPr>
              <w:t>4x4 case</w:t>
            </w:r>
          </w:p>
        </w:tc>
        <w:tc>
          <w:tcPr>
            <w:tcW w:w="8930" w:type="dxa"/>
            <w:tcBorders>
              <w:top w:val="single" w:sz="4" w:space="0" w:color="auto"/>
              <w:left w:val="single" w:sz="4" w:space="0" w:color="auto"/>
              <w:bottom w:val="single" w:sz="4" w:space="0" w:color="auto"/>
              <w:right w:val="single" w:sz="4" w:space="0" w:color="auto"/>
            </w:tcBorders>
            <w:hideMark/>
          </w:tcPr>
          <w:p w14:paraId="2DE7F1FA" w14:textId="77777777" w:rsidR="00C977C0" w:rsidRPr="00E42255" w:rsidRDefault="00C977C0" w:rsidP="00BC53AC">
            <w:pPr>
              <w:pStyle w:val="TAC"/>
              <w:rPr>
                <w:lang w:val="fr-FR"/>
              </w:rPr>
            </w:pPr>
            <w:r w:rsidRPr="00B86E65">
              <w:rPr>
                <w:noProof/>
                <w:lang w:val="en-US" w:eastAsia="zh-CN"/>
              </w:rPr>
              <w:drawing>
                <wp:inline distT="0" distB="0" distL="0" distR="0" wp14:anchorId="22852416" wp14:editId="68C62F57">
                  <wp:extent cx="5420360" cy="1894840"/>
                  <wp:effectExtent l="0" t="0" r="8890" b="0"/>
                  <wp:docPr id="15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5420360" cy="1894840"/>
                          </a:xfrm>
                          <a:prstGeom prst="rect">
                            <a:avLst/>
                          </a:prstGeom>
                          <a:noFill/>
                          <a:ln>
                            <a:noFill/>
                          </a:ln>
                        </pic:spPr>
                      </pic:pic>
                    </a:graphicData>
                  </a:graphic>
                </wp:inline>
              </w:drawing>
            </w:r>
          </w:p>
        </w:tc>
      </w:tr>
    </w:tbl>
    <w:p w14:paraId="0A035455" w14:textId="77777777" w:rsidR="00C977C0" w:rsidRPr="00E42255" w:rsidRDefault="00C977C0" w:rsidP="00C977C0">
      <w:pPr>
        <w:rPr>
          <w:rFonts w:eastAsia="DengXian"/>
        </w:rPr>
      </w:pPr>
    </w:p>
    <w:p w14:paraId="3CC704C4"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.2.4.2.3-4: MIMO correlation matrices for low correlation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055"/>
        <w:gridCol w:w="2339"/>
      </w:tblGrid>
      <w:tr w:rsidR="00C977C0" w:rsidRPr="00E42255" w14:paraId="7240B5C8"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3A0E9C69" w14:textId="77777777" w:rsidR="00C977C0" w:rsidRPr="00E42255" w:rsidRDefault="00C977C0" w:rsidP="00BC53AC">
            <w:pPr>
              <w:pStyle w:val="TAC"/>
              <w:rPr>
                <w:lang w:val="fr-FR"/>
              </w:rPr>
            </w:pPr>
            <w:r w:rsidRPr="00E42255">
              <w:rPr>
                <w:lang w:val="fr-FR"/>
              </w:rPr>
              <w:t>1x2 case</w:t>
            </w:r>
          </w:p>
        </w:tc>
        <w:tc>
          <w:tcPr>
            <w:tcW w:w="2339" w:type="dxa"/>
            <w:tcBorders>
              <w:top w:val="single" w:sz="4" w:space="0" w:color="auto"/>
              <w:left w:val="single" w:sz="4" w:space="0" w:color="auto"/>
              <w:bottom w:val="single" w:sz="4" w:space="0" w:color="auto"/>
              <w:right w:val="single" w:sz="4" w:space="0" w:color="auto"/>
            </w:tcBorders>
            <w:hideMark/>
          </w:tcPr>
          <w:p w14:paraId="5D932D60" w14:textId="77777777" w:rsidR="00C977C0" w:rsidRPr="00E42255" w:rsidRDefault="00C977C0" w:rsidP="00BC53AC">
            <w:pPr>
              <w:pStyle w:val="TAC"/>
              <w:rPr>
                <w:lang w:val="fr-FR" w:eastAsia="zh-CN"/>
              </w:rPr>
            </w:pPr>
            <w:r w:rsidRPr="00E42255">
              <w:object w:dxaOrig="825" w:dyaOrig="300" w14:anchorId="6B9A6AA7">
                <v:shape id="_x0000_i1107" type="#_x0000_t75" style="width:41.55pt;height:16.05pt" o:ole="">
                  <v:imagedata r:id="rId171" o:title=""/>
                </v:shape>
                <o:OLEObject Type="Embed" ProgID="Equation.3" ShapeID="_x0000_i1107" DrawAspect="Content" ObjectID="_1734764487" r:id="rId172"/>
              </w:object>
            </w:r>
          </w:p>
        </w:tc>
      </w:tr>
      <w:tr w:rsidR="00C977C0" w:rsidRPr="00E42255" w14:paraId="03D7F6B4"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378AA7CD" w14:textId="77777777" w:rsidR="00C977C0" w:rsidRPr="00E42255" w:rsidRDefault="00C977C0" w:rsidP="00BC53AC">
            <w:pPr>
              <w:pStyle w:val="TAC"/>
              <w:rPr>
                <w:lang w:val="fr-FR"/>
              </w:rPr>
            </w:pPr>
            <w:r w:rsidRPr="00E42255">
              <w:rPr>
                <w:lang w:val="fr-FR"/>
              </w:rPr>
              <w:t>1x4 case</w:t>
            </w:r>
          </w:p>
        </w:tc>
        <w:tc>
          <w:tcPr>
            <w:tcW w:w="2339" w:type="dxa"/>
            <w:tcBorders>
              <w:top w:val="single" w:sz="4" w:space="0" w:color="auto"/>
              <w:left w:val="single" w:sz="4" w:space="0" w:color="auto"/>
              <w:bottom w:val="single" w:sz="4" w:space="0" w:color="auto"/>
              <w:right w:val="single" w:sz="4" w:space="0" w:color="auto"/>
            </w:tcBorders>
            <w:hideMark/>
          </w:tcPr>
          <w:p w14:paraId="5D543DE9" w14:textId="77777777" w:rsidR="00C977C0" w:rsidRPr="00E42255" w:rsidRDefault="00C977C0" w:rsidP="00BC53AC">
            <w:pPr>
              <w:pStyle w:val="TAC"/>
              <w:rPr>
                <w:lang w:val="fr-FR" w:eastAsia="zh-CN"/>
              </w:rPr>
            </w:pPr>
            <w:r w:rsidRPr="00E42255">
              <w:object w:dxaOrig="825" w:dyaOrig="300" w14:anchorId="1DFA7D09">
                <v:shape id="_x0000_i1108" type="#_x0000_t75" style="width:41.55pt;height:16.05pt" o:ole="">
                  <v:imagedata r:id="rId173" o:title=""/>
                </v:shape>
                <o:OLEObject Type="Embed" ProgID="Equation.3" ShapeID="_x0000_i1108" DrawAspect="Content" ObjectID="_1734764488" r:id="rId174"/>
              </w:object>
            </w:r>
          </w:p>
        </w:tc>
      </w:tr>
      <w:tr w:rsidR="00C977C0" w:rsidRPr="00E42255" w14:paraId="3DCC47F6"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0F200FD1" w14:textId="77777777" w:rsidR="00C977C0" w:rsidRPr="00E42255" w:rsidRDefault="00C977C0" w:rsidP="00BC53AC">
            <w:pPr>
              <w:pStyle w:val="TAC"/>
              <w:rPr>
                <w:lang w:val="fr-FR"/>
              </w:rPr>
            </w:pPr>
            <w:r w:rsidRPr="00E42255">
              <w:rPr>
                <w:lang w:val="fr-FR"/>
              </w:rPr>
              <w:t>1x8 case</w:t>
            </w:r>
          </w:p>
        </w:tc>
        <w:tc>
          <w:tcPr>
            <w:tcW w:w="2339" w:type="dxa"/>
            <w:tcBorders>
              <w:top w:val="single" w:sz="4" w:space="0" w:color="auto"/>
              <w:left w:val="single" w:sz="4" w:space="0" w:color="auto"/>
              <w:bottom w:val="single" w:sz="4" w:space="0" w:color="auto"/>
              <w:right w:val="single" w:sz="4" w:space="0" w:color="auto"/>
            </w:tcBorders>
            <w:hideMark/>
          </w:tcPr>
          <w:p w14:paraId="5C0B6FC9" w14:textId="77777777" w:rsidR="00C977C0" w:rsidRPr="00E42255" w:rsidRDefault="00C977C0" w:rsidP="00BC53AC">
            <w:pPr>
              <w:pStyle w:val="TAC"/>
              <w:rPr>
                <w:lang w:val="fr-FR"/>
              </w:rPr>
            </w:pPr>
            <w:r w:rsidRPr="00E42255">
              <w:object w:dxaOrig="825" w:dyaOrig="300" w14:anchorId="2D9B7932">
                <v:shape id="_x0000_i1109" type="#_x0000_t75" style="width:41.55pt;height:16.05pt" o:ole="">
                  <v:imagedata r:id="rId175" o:title=""/>
                </v:shape>
                <o:OLEObject Type="Embed" ProgID="Equation.3" ShapeID="_x0000_i1109" DrawAspect="Content" ObjectID="_1734764489" r:id="rId176"/>
              </w:object>
            </w:r>
          </w:p>
        </w:tc>
      </w:tr>
      <w:tr w:rsidR="00C977C0" w:rsidRPr="00E42255" w14:paraId="51424C5A"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60F18F51" w14:textId="77777777" w:rsidR="00C977C0" w:rsidRPr="00E42255" w:rsidRDefault="00C977C0" w:rsidP="00BC53AC">
            <w:pPr>
              <w:pStyle w:val="TAC"/>
              <w:rPr>
                <w:lang w:val="fr-FR"/>
              </w:rPr>
            </w:pPr>
            <w:r w:rsidRPr="00E42255">
              <w:rPr>
                <w:lang w:val="fr-FR"/>
              </w:rPr>
              <w:t>2x2 case</w:t>
            </w:r>
          </w:p>
        </w:tc>
        <w:tc>
          <w:tcPr>
            <w:tcW w:w="2339" w:type="dxa"/>
            <w:tcBorders>
              <w:top w:val="single" w:sz="4" w:space="0" w:color="auto"/>
              <w:left w:val="single" w:sz="4" w:space="0" w:color="auto"/>
              <w:bottom w:val="single" w:sz="4" w:space="0" w:color="auto"/>
              <w:right w:val="single" w:sz="4" w:space="0" w:color="auto"/>
            </w:tcBorders>
            <w:hideMark/>
          </w:tcPr>
          <w:p w14:paraId="2E14064C" w14:textId="77777777" w:rsidR="00C977C0" w:rsidRPr="00E42255" w:rsidRDefault="00C977C0" w:rsidP="00BC53AC">
            <w:pPr>
              <w:pStyle w:val="TAC"/>
              <w:rPr>
                <w:lang w:val="fr-FR" w:eastAsia="zh-CN"/>
              </w:rPr>
            </w:pPr>
            <w:r w:rsidRPr="00E42255">
              <w:object w:dxaOrig="825" w:dyaOrig="300" w14:anchorId="40852C1C">
                <v:shape id="_x0000_i1110" type="#_x0000_t75" style="width:41.55pt;height:16.05pt" o:ole="">
                  <v:imagedata r:id="rId173" o:title=""/>
                </v:shape>
                <o:OLEObject Type="Embed" ProgID="Equation.3" ShapeID="_x0000_i1110" DrawAspect="Content" ObjectID="_1734764490" r:id="rId177"/>
              </w:object>
            </w:r>
          </w:p>
        </w:tc>
      </w:tr>
      <w:tr w:rsidR="00C977C0" w:rsidRPr="00E42255" w14:paraId="6B7E28D8"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7778021E" w14:textId="77777777" w:rsidR="00C977C0" w:rsidRPr="00E42255" w:rsidRDefault="00C977C0" w:rsidP="00BC53AC">
            <w:pPr>
              <w:pStyle w:val="TAC"/>
              <w:rPr>
                <w:lang w:val="fr-FR"/>
              </w:rPr>
            </w:pPr>
            <w:r w:rsidRPr="00E42255">
              <w:rPr>
                <w:lang w:val="fr-FR"/>
              </w:rPr>
              <w:t>2x4 case</w:t>
            </w:r>
          </w:p>
        </w:tc>
        <w:tc>
          <w:tcPr>
            <w:tcW w:w="2339" w:type="dxa"/>
            <w:tcBorders>
              <w:top w:val="single" w:sz="4" w:space="0" w:color="auto"/>
              <w:left w:val="single" w:sz="4" w:space="0" w:color="auto"/>
              <w:bottom w:val="single" w:sz="4" w:space="0" w:color="auto"/>
              <w:right w:val="single" w:sz="4" w:space="0" w:color="auto"/>
            </w:tcBorders>
            <w:hideMark/>
          </w:tcPr>
          <w:p w14:paraId="51F6288A" w14:textId="77777777" w:rsidR="00C977C0" w:rsidRPr="00E42255" w:rsidRDefault="00C977C0" w:rsidP="00BC53AC">
            <w:pPr>
              <w:pStyle w:val="TAC"/>
              <w:rPr>
                <w:lang w:val="fr-FR" w:eastAsia="zh-CN"/>
              </w:rPr>
            </w:pPr>
            <w:r w:rsidRPr="00E42255">
              <w:object w:dxaOrig="825" w:dyaOrig="300" w14:anchorId="4FFA09CF">
                <v:shape id="_x0000_i1111" type="#_x0000_t75" style="width:41.55pt;height:16.05pt" o:ole="">
                  <v:imagedata r:id="rId175" o:title=""/>
                </v:shape>
                <o:OLEObject Type="Embed" ProgID="Equation.3" ShapeID="_x0000_i1111" DrawAspect="Content" ObjectID="_1734764491" r:id="rId178"/>
              </w:object>
            </w:r>
          </w:p>
        </w:tc>
      </w:tr>
      <w:tr w:rsidR="00C977C0" w:rsidRPr="00E42255" w14:paraId="0956D687"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61F1EA31" w14:textId="77777777" w:rsidR="00C977C0" w:rsidRPr="00E42255" w:rsidRDefault="00C977C0" w:rsidP="00BC53AC">
            <w:pPr>
              <w:pStyle w:val="TAC"/>
              <w:rPr>
                <w:lang w:val="fr-FR"/>
              </w:rPr>
            </w:pPr>
            <w:r w:rsidRPr="00E42255">
              <w:rPr>
                <w:lang w:val="fr-FR"/>
              </w:rPr>
              <w:t>2x4 case</w:t>
            </w:r>
          </w:p>
        </w:tc>
        <w:tc>
          <w:tcPr>
            <w:tcW w:w="2339" w:type="dxa"/>
            <w:tcBorders>
              <w:top w:val="single" w:sz="4" w:space="0" w:color="auto"/>
              <w:left w:val="single" w:sz="4" w:space="0" w:color="auto"/>
              <w:bottom w:val="single" w:sz="4" w:space="0" w:color="auto"/>
              <w:right w:val="single" w:sz="4" w:space="0" w:color="auto"/>
            </w:tcBorders>
            <w:hideMark/>
          </w:tcPr>
          <w:p w14:paraId="18B2403B" w14:textId="77777777" w:rsidR="00C977C0" w:rsidRPr="00E42255" w:rsidRDefault="00C977C0" w:rsidP="00BC53AC">
            <w:pPr>
              <w:pStyle w:val="TAC"/>
              <w:rPr>
                <w:lang w:val="fr-FR" w:eastAsia="zh-CN"/>
              </w:rPr>
            </w:pPr>
            <w:r w:rsidRPr="00E42255">
              <w:object w:dxaOrig="825" w:dyaOrig="300" w14:anchorId="465729A8">
                <v:shape id="_x0000_i1112" type="#_x0000_t75" style="width:41.55pt;height:16.05pt" o:ole="">
                  <v:imagedata r:id="rId179" o:title=""/>
                </v:shape>
                <o:OLEObject Type="Embed" ProgID="Equation.3" ShapeID="_x0000_i1112" DrawAspect="Content" ObjectID="_1734764492" r:id="rId180"/>
              </w:object>
            </w:r>
          </w:p>
        </w:tc>
      </w:tr>
      <w:tr w:rsidR="00C977C0" w:rsidRPr="00E42255" w14:paraId="7CA4C994" w14:textId="77777777" w:rsidTr="00BC53AC">
        <w:trPr>
          <w:cantSplit/>
          <w:jc w:val="center"/>
        </w:trPr>
        <w:tc>
          <w:tcPr>
            <w:tcW w:w="2055" w:type="dxa"/>
            <w:tcBorders>
              <w:top w:val="single" w:sz="4" w:space="0" w:color="auto"/>
              <w:left w:val="single" w:sz="4" w:space="0" w:color="auto"/>
              <w:bottom w:val="single" w:sz="4" w:space="0" w:color="auto"/>
              <w:right w:val="single" w:sz="4" w:space="0" w:color="auto"/>
            </w:tcBorders>
            <w:hideMark/>
          </w:tcPr>
          <w:p w14:paraId="6370AA45" w14:textId="77777777" w:rsidR="00C977C0" w:rsidRPr="00E42255" w:rsidRDefault="00C977C0" w:rsidP="00BC53AC">
            <w:pPr>
              <w:pStyle w:val="TAC"/>
              <w:rPr>
                <w:lang w:val="fr-FR"/>
              </w:rPr>
            </w:pPr>
            <w:r w:rsidRPr="00E42255">
              <w:rPr>
                <w:lang w:val="fr-FR"/>
              </w:rPr>
              <w:t>4x4 case</w:t>
            </w:r>
          </w:p>
        </w:tc>
        <w:tc>
          <w:tcPr>
            <w:tcW w:w="2339" w:type="dxa"/>
            <w:tcBorders>
              <w:top w:val="single" w:sz="4" w:space="0" w:color="auto"/>
              <w:left w:val="single" w:sz="4" w:space="0" w:color="auto"/>
              <w:bottom w:val="single" w:sz="4" w:space="0" w:color="auto"/>
              <w:right w:val="single" w:sz="4" w:space="0" w:color="auto"/>
            </w:tcBorders>
            <w:hideMark/>
          </w:tcPr>
          <w:p w14:paraId="7440FFDD" w14:textId="77777777" w:rsidR="00C977C0" w:rsidRPr="00E42255" w:rsidRDefault="00C977C0" w:rsidP="00BC53AC">
            <w:pPr>
              <w:pStyle w:val="TAC"/>
              <w:rPr>
                <w:lang w:val="fr-FR" w:eastAsia="zh-CN"/>
              </w:rPr>
            </w:pPr>
            <w:r w:rsidRPr="00E42255">
              <w:object w:dxaOrig="825" w:dyaOrig="300" w14:anchorId="18E5FB9C">
                <v:shape id="_x0000_i1113" type="#_x0000_t75" style="width:41.55pt;height:16.05pt" o:ole="">
                  <v:imagedata r:id="rId179" o:title=""/>
                </v:shape>
                <o:OLEObject Type="Embed" ProgID="Equation.3" ShapeID="_x0000_i1113" DrawAspect="Content" ObjectID="_1734764493" r:id="rId181"/>
              </w:object>
            </w:r>
          </w:p>
        </w:tc>
      </w:tr>
    </w:tbl>
    <w:p w14:paraId="58D61C30" w14:textId="77777777" w:rsidR="00C977C0" w:rsidRPr="00E42255" w:rsidRDefault="00C977C0" w:rsidP="00C977C0">
      <w:pPr>
        <w:rPr>
          <w:rFonts w:eastAsia="DengXian"/>
        </w:rPr>
      </w:pPr>
    </w:p>
    <w:p w14:paraId="29044D28" w14:textId="77777777" w:rsidR="00C977C0" w:rsidRPr="00E42255" w:rsidRDefault="00C977C0" w:rsidP="00C977C0">
      <w:pPr>
        <w:rPr>
          <w:rFonts w:eastAsia="DengXian"/>
        </w:rPr>
      </w:pPr>
      <w:r w:rsidRPr="00E42255">
        <w:rPr>
          <w:rFonts w:eastAsia="DengXian"/>
        </w:rPr>
        <w:t xml:space="preserve">In table </w:t>
      </w:r>
      <w:r>
        <w:rPr>
          <w:rFonts w:eastAsia="DengXian"/>
        </w:rPr>
        <w:t>I</w:t>
      </w:r>
      <w:r w:rsidRPr="00E42255">
        <w:rPr>
          <w:rFonts w:eastAsia="DengXian"/>
        </w:rPr>
        <w:t xml:space="preserve">.2.4.12.3-4, </w:t>
      </w:r>
      <w:r w:rsidRPr="00F01908">
        <w:rPr>
          <w:rFonts w:eastAsia="DengXian"/>
          <w:noProof/>
          <w:position w:val="-10"/>
          <w:lang w:val="en-US" w:eastAsia="zh-CN"/>
        </w:rPr>
        <w:drawing>
          <wp:inline distT="0" distB="0" distL="0" distR="0" wp14:anchorId="16130429" wp14:editId="72934D6B">
            <wp:extent cx="197485" cy="197485"/>
            <wp:effectExtent l="0" t="0" r="0" b="0"/>
            <wp:docPr id="16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rPr>
          <w:rFonts w:eastAsia="DengXian"/>
        </w:rPr>
        <w:t xml:space="preserve"> is a </w:t>
      </w:r>
      <w:r w:rsidRPr="00F01908">
        <w:rPr>
          <w:rFonts w:eastAsia="DengXian"/>
          <w:noProof/>
          <w:position w:val="-6"/>
          <w:lang w:val="en-US" w:eastAsia="zh-CN"/>
        </w:rPr>
        <w:drawing>
          <wp:inline distT="0" distB="0" distL="0" distR="0" wp14:anchorId="180DE860" wp14:editId="689870EE">
            <wp:extent cx="387985" cy="197485"/>
            <wp:effectExtent l="0" t="0" r="0" b="0"/>
            <wp:docPr id="16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387985" cy="197485"/>
                    </a:xfrm>
                    <a:prstGeom prst="rect">
                      <a:avLst/>
                    </a:prstGeom>
                    <a:noFill/>
                    <a:ln>
                      <a:noFill/>
                    </a:ln>
                  </pic:spPr>
                </pic:pic>
              </a:graphicData>
            </a:graphic>
          </wp:inline>
        </w:drawing>
      </w:r>
      <w:r w:rsidRPr="00E42255">
        <w:rPr>
          <w:rFonts w:eastAsia="DengXian"/>
        </w:rPr>
        <w:t xml:space="preserve"> identity matrix.</w:t>
      </w:r>
    </w:p>
    <w:p w14:paraId="2510CAB4" w14:textId="77777777" w:rsidR="00C977C0" w:rsidRPr="00E42255" w:rsidRDefault="00C977C0" w:rsidP="00C977C0">
      <w:pPr>
        <w:pStyle w:val="NO"/>
        <w:rPr>
          <w:lang w:val="fr-FR"/>
        </w:rPr>
      </w:pPr>
      <w:r w:rsidRPr="00E42255">
        <w:rPr>
          <w:lang w:val="fr-FR"/>
        </w:rPr>
        <w:t>NOTE:</w:t>
      </w:r>
      <w:r w:rsidRPr="00E42255">
        <w:rPr>
          <w:lang w:val="fr-FR"/>
        </w:rPr>
        <w:tab/>
        <w:t>For completeness, the correlation matrices were defined for high, medium and low correlation but performance requirements exist only for low correlation.</w:t>
      </w:r>
    </w:p>
    <w:p w14:paraId="103D26B2" w14:textId="77777777" w:rsidR="00C977C0" w:rsidRPr="00E42255" w:rsidRDefault="00C977C0" w:rsidP="00C977C0">
      <w:pPr>
        <w:pStyle w:val="Heading4"/>
      </w:pPr>
      <w:bookmarkStart w:id="10571" w:name="_Toc75276431"/>
      <w:bookmarkStart w:id="10572" w:name="_Toc75275921"/>
      <w:bookmarkStart w:id="10573" w:name="_Toc75260374"/>
      <w:bookmarkStart w:id="10574" w:name="_Toc73963196"/>
      <w:bookmarkStart w:id="10575" w:name="_Toc82450509"/>
      <w:bookmarkStart w:id="10576" w:name="_Toc82451158"/>
      <w:bookmarkStart w:id="10577" w:name="_Toc89949547"/>
      <w:bookmarkStart w:id="10578" w:name="_Toc98755936"/>
      <w:bookmarkStart w:id="10579" w:name="_Toc98763528"/>
      <w:bookmarkStart w:id="10580" w:name="_Toc106184457"/>
      <w:r>
        <w:t>I</w:t>
      </w:r>
      <w:r w:rsidRPr="00E42255">
        <w:t>.2.4.3</w:t>
      </w:r>
      <w:r w:rsidRPr="00E42255">
        <w:tab/>
        <w:t>Multi-antenna channel models using cross polarized antennas</w:t>
      </w:r>
      <w:bookmarkEnd w:id="10571"/>
      <w:bookmarkEnd w:id="10572"/>
      <w:bookmarkEnd w:id="10573"/>
      <w:bookmarkEnd w:id="10574"/>
      <w:bookmarkEnd w:id="10575"/>
      <w:bookmarkEnd w:id="10576"/>
      <w:bookmarkEnd w:id="10577"/>
      <w:bookmarkEnd w:id="10578"/>
      <w:bookmarkEnd w:id="10579"/>
      <w:bookmarkEnd w:id="10580"/>
    </w:p>
    <w:p w14:paraId="15024333" w14:textId="77777777" w:rsidR="00C977C0" w:rsidRPr="00E42255" w:rsidRDefault="00C977C0" w:rsidP="00C977C0">
      <w:pPr>
        <w:pStyle w:val="Heading5"/>
      </w:pPr>
      <w:bookmarkStart w:id="10581" w:name="_Toc75276432"/>
      <w:bookmarkStart w:id="10582" w:name="_Toc75275922"/>
      <w:bookmarkStart w:id="10583" w:name="_Toc82450510"/>
      <w:bookmarkStart w:id="10584" w:name="_Toc82451159"/>
      <w:bookmarkStart w:id="10585" w:name="_Toc89949548"/>
      <w:bookmarkStart w:id="10586" w:name="_Toc98755937"/>
      <w:bookmarkStart w:id="10587" w:name="_Toc98763529"/>
      <w:bookmarkStart w:id="10588" w:name="_Toc106184458"/>
      <w:r>
        <w:t>I</w:t>
      </w:r>
      <w:r w:rsidRPr="00E42255">
        <w:t>.2.4.3.1</w:t>
      </w:r>
      <w:r w:rsidRPr="00E42255">
        <w:tab/>
        <w:t>General</w:t>
      </w:r>
      <w:bookmarkEnd w:id="10581"/>
      <w:bookmarkEnd w:id="10582"/>
      <w:bookmarkEnd w:id="10583"/>
      <w:bookmarkEnd w:id="10584"/>
      <w:bookmarkEnd w:id="10585"/>
      <w:bookmarkEnd w:id="10586"/>
      <w:bookmarkEnd w:id="10587"/>
      <w:bookmarkEnd w:id="10588"/>
    </w:p>
    <w:p w14:paraId="12D8A86A" w14:textId="77777777" w:rsidR="00C977C0" w:rsidRPr="00E42255" w:rsidRDefault="00C977C0" w:rsidP="00C977C0">
      <w:pPr>
        <w:rPr>
          <w:rFonts w:eastAsia="Calibri"/>
        </w:rPr>
      </w:pPr>
      <w:r w:rsidRPr="00E42255">
        <w:rPr>
          <w:rFonts w:eastAsia="Calibri"/>
        </w:rPr>
        <w:t xml:space="preserve">The MIMO channel correlation matrices defined in annex </w:t>
      </w:r>
      <w:r>
        <w:rPr>
          <w:rFonts w:eastAsia="MS Gothic"/>
        </w:rPr>
        <w:t>I</w:t>
      </w:r>
      <w:r w:rsidRPr="00E42255">
        <w:rPr>
          <w:rFonts w:eastAsia="MS Gothic"/>
        </w:rPr>
        <w:t>.2.4.3</w:t>
      </w:r>
      <w:r w:rsidRPr="00E42255">
        <w:rPr>
          <w:rFonts w:eastAsia="Calibri"/>
        </w:rPr>
        <w:t xml:space="preserve"> apply to two cases as presented below:</w:t>
      </w:r>
    </w:p>
    <w:p w14:paraId="1CC1966B" w14:textId="77777777" w:rsidR="00C977C0" w:rsidRPr="00E42255" w:rsidRDefault="00C977C0" w:rsidP="00C977C0">
      <w:pPr>
        <w:pStyle w:val="B10"/>
        <w:rPr>
          <w:lang w:val="fr-FR"/>
        </w:rPr>
      </w:pPr>
      <w:r w:rsidRPr="00E42255">
        <w:rPr>
          <w:lang w:val="fr-FR"/>
        </w:rPr>
        <w:t>-</w:t>
      </w:r>
      <w:r w:rsidRPr="00E42255">
        <w:rPr>
          <w:lang w:val="fr-FR"/>
        </w:rPr>
        <w:tab/>
        <w:t>One TX antenna and multiple RX antennas case, with cross polarized antennas used at IAB</w:t>
      </w:r>
      <w:r>
        <w:rPr>
          <w:lang w:val="fr-FR"/>
        </w:rPr>
        <w:t>-DU/gNB</w:t>
      </w:r>
    </w:p>
    <w:p w14:paraId="49B44B48" w14:textId="77777777" w:rsidR="00C977C0" w:rsidRPr="00E42255" w:rsidRDefault="00C977C0" w:rsidP="00C977C0">
      <w:pPr>
        <w:pStyle w:val="B10"/>
        <w:rPr>
          <w:lang w:val="fr-FR"/>
        </w:rPr>
      </w:pPr>
      <w:r w:rsidRPr="00E42255">
        <w:rPr>
          <w:lang w:val="fr-FR"/>
        </w:rPr>
        <w:t>-</w:t>
      </w:r>
      <w:r w:rsidRPr="00E42255">
        <w:rPr>
          <w:lang w:val="fr-FR"/>
        </w:rPr>
        <w:tab/>
        <w:t xml:space="preserve">Multiple TX antennas and multiple RX antennas case, with cross polarized antennas used at </w:t>
      </w:r>
      <w:r>
        <w:rPr>
          <w:lang w:val="fr-FR"/>
        </w:rPr>
        <w:t>IAB-MT/UE</w:t>
      </w:r>
    </w:p>
    <w:p w14:paraId="24B8DCC7" w14:textId="77777777" w:rsidR="00C977C0" w:rsidRPr="00E42255" w:rsidRDefault="00C977C0" w:rsidP="00C977C0">
      <w:pPr>
        <w:rPr>
          <w:rFonts w:eastAsia="DengXian"/>
        </w:rPr>
      </w:pPr>
      <w:r w:rsidRPr="00E42255">
        <w:rPr>
          <w:rFonts w:eastAsia="DengXian"/>
        </w:rPr>
        <w:t xml:space="preserve">The cross-polarized antenna elements with +/-45 degrees polarization slant angles are deployed at IAB. For one TX antenna case, antenna element with +90 degree polarization slant angle is deployed at </w:t>
      </w:r>
      <w:r w:rsidRPr="005C2C2F">
        <w:rPr>
          <w:rFonts w:eastAsia="DengXian"/>
        </w:rPr>
        <w:t>IAB-MT/UE</w:t>
      </w:r>
      <w:r w:rsidRPr="00E42255">
        <w:rPr>
          <w:rFonts w:eastAsia="DengXian"/>
        </w:rPr>
        <w:t xml:space="preserve">. For multiple TX antennas case, cross-polarized antenna elements with +90/0 degrees polarization slant angles are deployed at </w:t>
      </w:r>
      <w:r w:rsidRPr="005C2C2F">
        <w:rPr>
          <w:rFonts w:eastAsia="DengXian"/>
        </w:rPr>
        <w:t>IAB-MT/UE</w:t>
      </w:r>
      <w:r w:rsidRPr="00E42255">
        <w:rPr>
          <w:rFonts w:eastAsia="DengXian"/>
        </w:rPr>
        <w:t>.</w:t>
      </w:r>
    </w:p>
    <w:p w14:paraId="62FA8D0A" w14:textId="77777777" w:rsidR="00C977C0" w:rsidRPr="00E42255" w:rsidRDefault="00C977C0" w:rsidP="00C977C0">
      <w:pPr>
        <w:rPr>
          <w:rFonts w:eastAsia="DengXian"/>
        </w:rPr>
      </w:pPr>
      <w:r w:rsidRPr="00E42255">
        <w:rPr>
          <w:rFonts w:eastAsia="DengXian"/>
        </w:rPr>
        <w:lastRenderedPageBreak/>
        <w:t>For the cross-polarized antennas, the N antennas are labelled such that antennas for one polarization are listed from 1 to N/2 and antennas for the other polarization are listed from N/2+1 to N, where N is the number of TX or RX antennas.</w:t>
      </w:r>
    </w:p>
    <w:p w14:paraId="4101B52A" w14:textId="77777777" w:rsidR="00C977C0" w:rsidRPr="00E42255" w:rsidRDefault="00C977C0" w:rsidP="00C977C0">
      <w:pPr>
        <w:pStyle w:val="Heading5"/>
      </w:pPr>
      <w:bookmarkStart w:id="10589" w:name="_Toc75276433"/>
      <w:bookmarkStart w:id="10590" w:name="_Toc75275923"/>
      <w:bookmarkStart w:id="10591" w:name="_Toc75260375"/>
      <w:bookmarkStart w:id="10592" w:name="_Toc73963197"/>
      <w:bookmarkStart w:id="10593" w:name="_Toc82450511"/>
      <w:bookmarkStart w:id="10594" w:name="_Toc82451160"/>
      <w:bookmarkStart w:id="10595" w:name="_Toc89949549"/>
      <w:bookmarkStart w:id="10596" w:name="_Toc98755938"/>
      <w:bookmarkStart w:id="10597" w:name="_Toc98763530"/>
      <w:bookmarkStart w:id="10598" w:name="_Toc106184459"/>
      <w:r>
        <w:t>I</w:t>
      </w:r>
      <w:r w:rsidRPr="00E42255">
        <w:t>.2.4.3.2</w:t>
      </w:r>
      <w:r w:rsidRPr="00E42255">
        <w:tab/>
        <w:t>Definition of MIMO correlation matrices using cross polarized antennas</w:t>
      </w:r>
      <w:bookmarkEnd w:id="10589"/>
      <w:bookmarkEnd w:id="10590"/>
      <w:bookmarkEnd w:id="10591"/>
      <w:bookmarkEnd w:id="10592"/>
      <w:bookmarkEnd w:id="10593"/>
      <w:bookmarkEnd w:id="10594"/>
      <w:bookmarkEnd w:id="10595"/>
      <w:bookmarkEnd w:id="10596"/>
      <w:bookmarkEnd w:id="10597"/>
      <w:bookmarkEnd w:id="10598"/>
    </w:p>
    <w:p w14:paraId="798FE1BF" w14:textId="77777777" w:rsidR="00C977C0" w:rsidRPr="00E42255" w:rsidRDefault="00C977C0" w:rsidP="00C977C0">
      <w:pPr>
        <w:rPr>
          <w:rFonts w:eastAsia="Calibri"/>
        </w:rPr>
      </w:pPr>
      <w:r w:rsidRPr="00E42255">
        <w:rPr>
          <w:rFonts w:eastAsia="Calibri"/>
        </w:rPr>
        <w:t>For the channel spatial correlation matrix, the following is used:</w:t>
      </w:r>
    </w:p>
    <w:p w14:paraId="1FD46642" w14:textId="77777777" w:rsidR="00C977C0" w:rsidRPr="00E42255" w:rsidRDefault="00C977C0" w:rsidP="00C977C0">
      <w:pPr>
        <w:jc w:val="center"/>
        <w:rPr>
          <w:lang w:val="fr-FR"/>
        </w:rPr>
      </w:pPr>
      <w:r w:rsidRPr="00E42255">
        <w:rPr>
          <w:noProof/>
          <w:lang w:val="en-US" w:eastAsia="zh-CN"/>
        </w:rPr>
        <w:drawing>
          <wp:inline distT="0" distB="0" distL="0" distR="0" wp14:anchorId="3B31544C" wp14:editId="6E7BA86B">
            <wp:extent cx="1762760" cy="197485"/>
            <wp:effectExtent l="0" t="0" r="8890" b="0"/>
            <wp:docPr id="16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1762760" cy="197485"/>
                    </a:xfrm>
                    <a:prstGeom prst="rect">
                      <a:avLst/>
                    </a:prstGeom>
                    <a:noFill/>
                    <a:ln>
                      <a:noFill/>
                    </a:ln>
                  </pic:spPr>
                </pic:pic>
              </a:graphicData>
            </a:graphic>
          </wp:inline>
        </w:drawing>
      </w:r>
    </w:p>
    <w:p w14:paraId="3263ADD8" w14:textId="77777777" w:rsidR="00C977C0" w:rsidRPr="00E42255" w:rsidRDefault="00C977C0" w:rsidP="00C977C0">
      <w:pPr>
        <w:rPr>
          <w:rFonts w:eastAsia="DengXian"/>
        </w:rPr>
      </w:pPr>
      <w:r w:rsidRPr="00E42255">
        <w:rPr>
          <w:rFonts w:eastAsia="DengXian"/>
        </w:rPr>
        <w:t>Where</w:t>
      </w:r>
    </w:p>
    <w:p w14:paraId="35111654" w14:textId="77777777" w:rsidR="00C977C0" w:rsidRPr="00E42255" w:rsidRDefault="00C977C0" w:rsidP="00C977C0">
      <w:pPr>
        <w:pStyle w:val="B10"/>
        <w:rPr>
          <w:lang w:val="fr-FR"/>
        </w:rPr>
      </w:pPr>
      <w:r w:rsidRPr="00E42255">
        <w:rPr>
          <w:lang w:val="fr-FR" w:bidi="bn-IN"/>
        </w:rPr>
        <w:t>-</w:t>
      </w:r>
      <w:r w:rsidRPr="00E42255">
        <w:rPr>
          <w:lang w:val="fr-FR" w:bidi="bn-IN"/>
        </w:rPr>
        <w:tab/>
      </w:r>
      <w:r w:rsidRPr="00F01908">
        <w:rPr>
          <w:noProof/>
          <w:position w:val="-10"/>
          <w:lang w:val="en-US" w:eastAsia="zh-CN"/>
        </w:rPr>
        <w:drawing>
          <wp:inline distT="0" distB="0" distL="0" distR="0" wp14:anchorId="18F915A6" wp14:editId="26C02FB0">
            <wp:extent cx="278130" cy="182880"/>
            <wp:effectExtent l="0" t="0" r="7620" b="7620"/>
            <wp:docPr id="164"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78130" cy="182880"/>
                    </a:xfrm>
                    <a:prstGeom prst="rect">
                      <a:avLst/>
                    </a:prstGeom>
                    <a:noFill/>
                    <a:ln>
                      <a:noFill/>
                    </a:ln>
                  </pic:spPr>
                </pic:pic>
              </a:graphicData>
            </a:graphic>
          </wp:inline>
        </w:drawing>
      </w:r>
      <w:r w:rsidRPr="00E42255">
        <w:rPr>
          <w:lang w:val="fr-FR"/>
        </w:rPr>
        <w:t xml:space="preserve"> is the spatial correlation matrix at the UE (IAB-DU requirements) or IAB-MT (IAB-MT requirements) with same polarization,</w:t>
      </w:r>
    </w:p>
    <w:p w14:paraId="6B926CB4" w14:textId="77777777" w:rsidR="00C977C0" w:rsidRPr="00E42255" w:rsidRDefault="00C977C0" w:rsidP="00C977C0">
      <w:pPr>
        <w:pStyle w:val="B10"/>
        <w:rPr>
          <w:lang w:val="fr-FR"/>
        </w:rPr>
      </w:pPr>
      <w:r w:rsidRPr="00E42255">
        <w:rPr>
          <w:lang w:val="fr-FR" w:bidi="bn-IN"/>
        </w:rPr>
        <w:t>-</w:t>
      </w:r>
      <w:r w:rsidRPr="00E42255">
        <w:rPr>
          <w:lang w:val="fr-FR" w:bidi="bn-IN"/>
        </w:rPr>
        <w:tab/>
      </w:r>
      <w:r w:rsidRPr="00F01908">
        <w:rPr>
          <w:noProof/>
          <w:position w:val="-14"/>
          <w:lang w:val="en-US" w:eastAsia="zh-CN"/>
        </w:rPr>
        <w:drawing>
          <wp:inline distT="0" distB="0" distL="0" distR="0" wp14:anchorId="35F23720" wp14:editId="28398557">
            <wp:extent cx="387985" cy="255905"/>
            <wp:effectExtent l="0" t="0" r="0" b="0"/>
            <wp:docPr id="16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387985" cy="255905"/>
                    </a:xfrm>
                    <a:prstGeom prst="rect">
                      <a:avLst/>
                    </a:prstGeom>
                    <a:noFill/>
                    <a:ln>
                      <a:noFill/>
                    </a:ln>
                  </pic:spPr>
                </pic:pic>
              </a:graphicData>
            </a:graphic>
          </wp:inline>
        </w:drawing>
      </w:r>
      <w:r w:rsidRPr="00E42255">
        <w:rPr>
          <w:lang w:val="fr-FR"/>
        </w:rPr>
        <w:t xml:space="preserve"> is the spatial correlation matrix at the IAB-DU (IAB-DU requirements) or gNB (IAB-MT requirements) with same polarization,</w:t>
      </w:r>
    </w:p>
    <w:p w14:paraId="6B612D93" w14:textId="77777777" w:rsidR="00C977C0" w:rsidRPr="00E42255" w:rsidRDefault="00C977C0" w:rsidP="00C977C0">
      <w:pPr>
        <w:pStyle w:val="B10"/>
        <w:rPr>
          <w:lang w:val="fr-FR"/>
        </w:rPr>
      </w:pPr>
      <w:r w:rsidRPr="00E42255">
        <w:rPr>
          <w:lang w:val="fr-FR" w:bidi="bn-IN"/>
        </w:rPr>
        <w:t>-</w:t>
      </w:r>
      <w:r w:rsidRPr="00E42255">
        <w:rPr>
          <w:lang w:val="fr-FR" w:bidi="bn-IN"/>
        </w:rPr>
        <w:tab/>
      </w:r>
      <w:r w:rsidRPr="00F01908">
        <w:rPr>
          <w:noProof/>
          <w:position w:val="-10"/>
          <w:lang w:val="en-US" w:eastAsia="zh-CN"/>
        </w:rPr>
        <w:drawing>
          <wp:inline distT="0" distB="0" distL="0" distR="0" wp14:anchorId="41BD35B8" wp14:editId="12C2A8E4">
            <wp:extent cx="255905" cy="197485"/>
            <wp:effectExtent l="0" t="0" r="0" b="0"/>
            <wp:docPr id="16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55905" cy="197485"/>
                    </a:xfrm>
                    <a:prstGeom prst="rect">
                      <a:avLst/>
                    </a:prstGeom>
                    <a:noFill/>
                    <a:ln>
                      <a:noFill/>
                    </a:ln>
                  </pic:spPr>
                </pic:pic>
              </a:graphicData>
            </a:graphic>
          </wp:inline>
        </w:drawing>
      </w:r>
      <w:r w:rsidRPr="00E42255">
        <w:rPr>
          <w:lang w:val="fr-FR"/>
        </w:rPr>
        <w:t xml:space="preserve"> is a polarization correlation matrix</w:t>
      </w:r>
      <w:r w:rsidRPr="00E42255">
        <w:rPr>
          <w:rFonts w:ascii="SimSun" w:hAnsi="SimSun" w:hint="eastAsia"/>
          <w:lang w:val="fr-FR"/>
        </w:rPr>
        <w:t>,</w:t>
      </w:r>
    </w:p>
    <w:p w14:paraId="0A1E47BB" w14:textId="77777777" w:rsidR="00C977C0" w:rsidRPr="00E42255" w:rsidRDefault="00C977C0" w:rsidP="00C977C0">
      <w:pPr>
        <w:pStyle w:val="B10"/>
        <w:rPr>
          <w:lang w:val="fr-FR"/>
        </w:rPr>
      </w:pPr>
      <w:r w:rsidRPr="00E42255">
        <w:rPr>
          <w:lang w:val="fr-FR" w:bidi="bn-IN"/>
        </w:rPr>
        <w:t>-</w:t>
      </w:r>
      <w:r w:rsidRPr="00E42255">
        <w:rPr>
          <w:lang w:val="fr-FR" w:bidi="bn-IN"/>
        </w:rPr>
        <w:tab/>
      </w:r>
      <w:r w:rsidRPr="00F01908">
        <w:rPr>
          <w:noProof/>
          <w:position w:val="-10"/>
          <w:lang w:val="en-US" w:eastAsia="zh-CN"/>
        </w:rPr>
        <w:drawing>
          <wp:inline distT="0" distB="0" distL="0" distR="0" wp14:anchorId="50D5EC86" wp14:editId="39DFA546">
            <wp:extent cx="197485" cy="197485"/>
            <wp:effectExtent l="0" t="0" r="0" b="0"/>
            <wp:docPr id="16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rPr>
          <w:lang w:val="fr-FR"/>
        </w:rPr>
        <w:t xml:space="preserve"> is a permutation matrix, and</w:t>
      </w:r>
    </w:p>
    <w:p w14:paraId="46B296FE" w14:textId="77777777" w:rsidR="00C977C0" w:rsidRPr="00E42255" w:rsidRDefault="00C977C0" w:rsidP="00C977C0">
      <w:pPr>
        <w:pStyle w:val="B10"/>
        <w:rPr>
          <w:lang w:val="fr-FR"/>
        </w:rPr>
      </w:pPr>
      <w:r w:rsidRPr="00E42255">
        <w:rPr>
          <w:lang w:val="fr-FR" w:bidi="bn-IN"/>
        </w:rPr>
        <w:t>-</w:t>
      </w:r>
      <w:r w:rsidRPr="00E42255">
        <w:rPr>
          <w:lang w:val="fr-FR" w:bidi="bn-IN"/>
        </w:rPr>
        <w:tab/>
      </w:r>
      <w:r w:rsidRPr="00F01908">
        <w:rPr>
          <w:noProof/>
          <w:position w:val="-10"/>
          <w:lang w:val="en-US" w:eastAsia="zh-CN"/>
        </w:rPr>
        <w:drawing>
          <wp:inline distT="0" distB="0" distL="0" distR="0" wp14:anchorId="53D44B0A" wp14:editId="124FABF5">
            <wp:extent cx="278130" cy="278130"/>
            <wp:effectExtent l="0" t="0" r="7620" b="7620"/>
            <wp:docPr id="168"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r w:rsidRPr="00E42255">
        <w:rPr>
          <w:lang w:val="fr-FR"/>
        </w:rPr>
        <w:t>denotes transpose.</w:t>
      </w:r>
    </w:p>
    <w:p w14:paraId="4C5761BE" w14:textId="77777777" w:rsidR="00C977C0" w:rsidRPr="00E42255" w:rsidRDefault="00C977C0" w:rsidP="00C977C0">
      <w:pPr>
        <w:rPr>
          <w:rFonts w:eastAsia="DengXian"/>
        </w:rPr>
      </w:pPr>
      <w:r w:rsidRPr="00E42255">
        <w:rPr>
          <w:rFonts w:eastAsia="DengXian"/>
        </w:rPr>
        <w:t xml:space="preserve">Table </w:t>
      </w:r>
      <w:r>
        <w:rPr>
          <w:rFonts w:eastAsia="DengXian"/>
        </w:rPr>
        <w:t>I</w:t>
      </w:r>
      <w:r w:rsidRPr="00E42255">
        <w:rPr>
          <w:rFonts w:eastAsia="DengXian"/>
        </w:rPr>
        <w:t>.2.4.3.2-1 defines the polarization correlation matrix.</w:t>
      </w:r>
    </w:p>
    <w:p w14:paraId="4F4D9D33"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.2.4.3.2-1: Polarization correlation matrix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410"/>
        <w:gridCol w:w="2273"/>
        <w:gridCol w:w="2976"/>
      </w:tblGrid>
      <w:tr w:rsidR="00C977C0" w:rsidRPr="00E42255" w14:paraId="51814CAD" w14:textId="77777777" w:rsidTr="00BC53AC">
        <w:trPr>
          <w:cantSplit/>
          <w:jc w:val="center"/>
        </w:trPr>
        <w:tc>
          <w:tcPr>
            <w:tcW w:w="2410" w:type="dxa"/>
            <w:tcBorders>
              <w:top w:val="single" w:sz="4" w:space="0" w:color="auto"/>
              <w:left w:val="single" w:sz="4" w:space="0" w:color="auto"/>
              <w:bottom w:val="single" w:sz="4" w:space="0" w:color="auto"/>
              <w:right w:val="single" w:sz="4" w:space="0" w:color="auto"/>
            </w:tcBorders>
          </w:tcPr>
          <w:p w14:paraId="6F948BEF" w14:textId="77777777" w:rsidR="00C977C0" w:rsidRPr="00E42255" w:rsidRDefault="00C977C0" w:rsidP="00BC53AC">
            <w:pPr>
              <w:keepNext/>
              <w:keepLines/>
              <w:spacing w:after="0"/>
              <w:jc w:val="center"/>
              <w:rPr>
                <w:rFonts w:ascii="Arial" w:eastAsia="DengXian" w:hAnsi="Arial" w:cs="Arial"/>
                <w:b/>
                <w:sz w:val="18"/>
                <w:lang w:val="fr-FR"/>
              </w:rPr>
            </w:pPr>
          </w:p>
        </w:tc>
        <w:tc>
          <w:tcPr>
            <w:tcW w:w="2273" w:type="dxa"/>
            <w:tcBorders>
              <w:top w:val="single" w:sz="4" w:space="0" w:color="auto"/>
              <w:left w:val="single" w:sz="4" w:space="0" w:color="auto"/>
              <w:bottom w:val="single" w:sz="4" w:space="0" w:color="auto"/>
              <w:right w:val="single" w:sz="4" w:space="0" w:color="auto"/>
            </w:tcBorders>
            <w:hideMark/>
          </w:tcPr>
          <w:p w14:paraId="30C94AEF" w14:textId="77777777" w:rsidR="00C977C0" w:rsidRPr="00E42255" w:rsidRDefault="00C977C0" w:rsidP="00BC53AC">
            <w:pPr>
              <w:pStyle w:val="TAH"/>
              <w:rPr>
                <w:lang w:val="fr-FR" w:bidi="bn-IN"/>
              </w:rPr>
            </w:pPr>
            <w:r w:rsidRPr="00E42255">
              <w:rPr>
                <w:lang w:val="fr-FR" w:bidi="bn-IN"/>
              </w:rPr>
              <w:t>One TX antenna</w:t>
            </w:r>
          </w:p>
        </w:tc>
        <w:tc>
          <w:tcPr>
            <w:tcW w:w="2976" w:type="dxa"/>
            <w:tcBorders>
              <w:top w:val="single" w:sz="4" w:space="0" w:color="auto"/>
              <w:left w:val="single" w:sz="4" w:space="0" w:color="auto"/>
              <w:bottom w:val="single" w:sz="4" w:space="0" w:color="auto"/>
              <w:right w:val="single" w:sz="4" w:space="0" w:color="auto"/>
            </w:tcBorders>
            <w:hideMark/>
          </w:tcPr>
          <w:p w14:paraId="354C7716" w14:textId="77777777" w:rsidR="00C977C0" w:rsidRPr="00E42255" w:rsidRDefault="00C977C0" w:rsidP="00BC53AC">
            <w:pPr>
              <w:pStyle w:val="TAH"/>
              <w:rPr>
                <w:lang w:val="fr-FR" w:bidi="bn-IN"/>
              </w:rPr>
            </w:pPr>
            <w:r w:rsidRPr="00E42255">
              <w:rPr>
                <w:lang w:val="fr-FR" w:bidi="bn-IN"/>
              </w:rPr>
              <w:t>Multiple TX antennas</w:t>
            </w:r>
          </w:p>
        </w:tc>
      </w:tr>
      <w:tr w:rsidR="00C977C0" w:rsidRPr="00E42255" w14:paraId="3F07C155" w14:textId="77777777" w:rsidTr="00BC53AC">
        <w:trPr>
          <w:cantSplit/>
          <w:jc w:val="center"/>
        </w:trPr>
        <w:tc>
          <w:tcPr>
            <w:tcW w:w="2410" w:type="dxa"/>
            <w:tcBorders>
              <w:top w:val="single" w:sz="4" w:space="0" w:color="auto"/>
              <w:left w:val="single" w:sz="4" w:space="0" w:color="auto"/>
              <w:bottom w:val="single" w:sz="4" w:space="0" w:color="auto"/>
              <w:right w:val="single" w:sz="4" w:space="0" w:color="auto"/>
            </w:tcBorders>
            <w:hideMark/>
          </w:tcPr>
          <w:p w14:paraId="68675FD6" w14:textId="77777777" w:rsidR="00C977C0" w:rsidRPr="00E42255" w:rsidRDefault="00C977C0" w:rsidP="00BC53AC">
            <w:pPr>
              <w:pStyle w:val="TAC"/>
              <w:rPr>
                <w:lang w:val="fr-FR"/>
              </w:rPr>
            </w:pPr>
            <w:r w:rsidRPr="00E42255">
              <w:rPr>
                <w:lang w:val="fr-FR"/>
              </w:rPr>
              <w:t>Polarization correlation matrix</w:t>
            </w:r>
          </w:p>
        </w:tc>
        <w:tc>
          <w:tcPr>
            <w:tcW w:w="2273" w:type="dxa"/>
            <w:tcBorders>
              <w:top w:val="single" w:sz="4" w:space="0" w:color="auto"/>
              <w:left w:val="single" w:sz="4" w:space="0" w:color="auto"/>
              <w:bottom w:val="single" w:sz="4" w:space="0" w:color="auto"/>
              <w:right w:val="single" w:sz="4" w:space="0" w:color="auto"/>
            </w:tcBorders>
            <w:hideMark/>
          </w:tcPr>
          <w:p w14:paraId="60D49086" w14:textId="77777777" w:rsidR="00C977C0" w:rsidRPr="00E42255" w:rsidRDefault="00C977C0" w:rsidP="00BC53AC">
            <w:pPr>
              <w:pStyle w:val="TAC"/>
              <w:rPr>
                <w:lang w:val="fr-FR"/>
              </w:rPr>
            </w:pPr>
            <w:r w:rsidRPr="00B86E65">
              <w:rPr>
                <w:noProof/>
                <w:lang w:val="en-US" w:eastAsia="zh-CN"/>
              </w:rPr>
              <w:drawing>
                <wp:inline distT="0" distB="0" distL="0" distR="0" wp14:anchorId="15848A02" wp14:editId="18AF2474">
                  <wp:extent cx="914400" cy="467995"/>
                  <wp:effectExtent l="0" t="0" r="0" b="8255"/>
                  <wp:docPr id="16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914400" cy="467995"/>
                          </a:xfrm>
                          <a:prstGeom prst="rect">
                            <a:avLst/>
                          </a:prstGeom>
                          <a:noFill/>
                          <a:ln>
                            <a:noFill/>
                          </a:ln>
                        </pic:spPr>
                      </pic:pic>
                    </a:graphicData>
                  </a:graphic>
                </wp:inline>
              </w:drawing>
            </w:r>
          </w:p>
        </w:tc>
        <w:tc>
          <w:tcPr>
            <w:tcW w:w="2976" w:type="dxa"/>
            <w:tcBorders>
              <w:top w:val="single" w:sz="4" w:space="0" w:color="auto"/>
              <w:left w:val="single" w:sz="4" w:space="0" w:color="auto"/>
              <w:bottom w:val="single" w:sz="4" w:space="0" w:color="auto"/>
              <w:right w:val="single" w:sz="4" w:space="0" w:color="auto"/>
            </w:tcBorders>
            <w:hideMark/>
          </w:tcPr>
          <w:p w14:paraId="55B94137" w14:textId="77777777" w:rsidR="00C977C0" w:rsidRPr="00E42255" w:rsidRDefault="00C977C0" w:rsidP="00BC53AC">
            <w:pPr>
              <w:pStyle w:val="TAC"/>
              <w:rPr>
                <w:lang w:val="fr-FR"/>
              </w:rPr>
            </w:pPr>
            <w:r w:rsidRPr="00B86E65">
              <w:rPr>
                <w:noProof/>
                <w:lang w:val="en-US" w:eastAsia="zh-CN"/>
              </w:rPr>
              <w:drawing>
                <wp:inline distT="0" distB="0" distL="0" distR="0" wp14:anchorId="121632B0" wp14:editId="78A3346B">
                  <wp:extent cx="1382395" cy="848360"/>
                  <wp:effectExtent l="0" t="0" r="8255" b="8890"/>
                  <wp:docPr id="17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382395" cy="848360"/>
                          </a:xfrm>
                          <a:prstGeom prst="rect">
                            <a:avLst/>
                          </a:prstGeom>
                          <a:noFill/>
                          <a:ln>
                            <a:noFill/>
                          </a:ln>
                        </pic:spPr>
                      </pic:pic>
                    </a:graphicData>
                  </a:graphic>
                </wp:inline>
              </w:drawing>
            </w:r>
          </w:p>
        </w:tc>
      </w:tr>
    </w:tbl>
    <w:p w14:paraId="2790B85E" w14:textId="77777777" w:rsidR="00C977C0" w:rsidRPr="00E42255" w:rsidRDefault="00C977C0" w:rsidP="00C977C0">
      <w:pPr>
        <w:rPr>
          <w:rFonts w:eastAsia="DengXian"/>
        </w:rPr>
      </w:pPr>
    </w:p>
    <w:p w14:paraId="75FDA37F" w14:textId="77777777" w:rsidR="00C977C0" w:rsidRPr="00E42255" w:rsidRDefault="00C977C0" w:rsidP="00C977C0">
      <w:pPr>
        <w:rPr>
          <w:rFonts w:eastAsia="DengXian"/>
        </w:rPr>
      </w:pPr>
      <w:r w:rsidRPr="00E42255">
        <w:rPr>
          <w:rFonts w:eastAsia="DengXian"/>
        </w:rPr>
        <w:t>The matrix</w:t>
      </w:r>
      <w:r w:rsidRPr="00F01908">
        <w:rPr>
          <w:rFonts w:eastAsia="DengXian"/>
          <w:noProof/>
          <w:position w:val="-10"/>
          <w:lang w:val="en-US" w:eastAsia="zh-CN"/>
        </w:rPr>
        <w:drawing>
          <wp:inline distT="0" distB="0" distL="0" distR="0" wp14:anchorId="281EECB3" wp14:editId="456B645F">
            <wp:extent cx="197485" cy="197485"/>
            <wp:effectExtent l="0" t="0" r="0" b="0"/>
            <wp:docPr id="17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rPr>
          <w:rFonts w:eastAsia="DengXian"/>
        </w:rPr>
        <w:t>is defined as</w:t>
      </w:r>
    </w:p>
    <w:p w14:paraId="1E762591" w14:textId="77777777" w:rsidR="00C977C0" w:rsidRPr="00E42255" w:rsidRDefault="00C977C0" w:rsidP="00C977C0">
      <w:pPr>
        <w:pStyle w:val="EQ"/>
        <w:rPr>
          <w:lang w:val="fr-FR"/>
        </w:rPr>
      </w:pPr>
      <w:r w:rsidRPr="00B86E65">
        <w:rPr>
          <w:lang w:val="en-US" w:eastAsia="zh-CN"/>
        </w:rPr>
        <w:drawing>
          <wp:inline distT="0" distB="0" distL="0" distR="0" wp14:anchorId="43F66614" wp14:editId="5EB6F7BD">
            <wp:extent cx="5420360" cy="658495"/>
            <wp:effectExtent l="0" t="0" r="8890" b="8255"/>
            <wp:docPr id="17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5420360" cy="658495"/>
                    </a:xfrm>
                    <a:prstGeom prst="rect">
                      <a:avLst/>
                    </a:prstGeom>
                    <a:noFill/>
                    <a:ln>
                      <a:noFill/>
                    </a:ln>
                  </pic:spPr>
                </pic:pic>
              </a:graphicData>
            </a:graphic>
          </wp:inline>
        </w:drawing>
      </w:r>
    </w:p>
    <w:p w14:paraId="358BEAD7" w14:textId="77777777" w:rsidR="00C977C0" w:rsidRPr="00E42255" w:rsidRDefault="00C977C0" w:rsidP="00C977C0">
      <w:pPr>
        <w:rPr>
          <w:rFonts w:eastAsia="DengXian"/>
        </w:rPr>
      </w:pPr>
      <w:r w:rsidRPr="00E42255">
        <w:rPr>
          <w:rFonts w:eastAsia="DengXian"/>
        </w:rPr>
        <w:t xml:space="preserve">where </w:t>
      </w:r>
      <w:r w:rsidRPr="00F01908">
        <w:rPr>
          <w:rFonts w:eastAsia="Malgun Gothic"/>
          <w:noProof/>
          <w:position w:val="-6"/>
          <w:lang w:val="en-US" w:eastAsia="zh-CN"/>
        </w:rPr>
        <w:drawing>
          <wp:inline distT="0" distB="0" distL="0" distR="0" wp14:anchorId="2C4AEBC6" wp14:editId="5143C3CD">
            <wp:extent cx="197485" cy="197485"/>
            <wp:effectExtent l="0" t="0" r="0" b="0"/>
            <wp:docPr id="17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t xml:space="preserve"> and </w:t>
      </w:r>
      <w:r w:rsidRPr="00F01908">
        <w:rPr>
          <w:rFonts w:eastAsia="Malgun Gothic"/>
          <w:noProof/>
          <w:position w:val="-6"/>
          <w:lang w:val="en-US" w:eastAsia="zh-CN"/>
        </w:rPr>
        <w:drawing>
          <wp:inline distT="0" distB="0" distL="0" distR="0" wp14:anchorId="2FBB6425" wp14:editId="42FD9CA8">
            <wp:extent cx="197485" cy="197485"/>
            <wp:effectExtent l="0" t="0" r="0" b="0"/>
            <wp:docPr id="17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t xml:space="preserve"> is the number of TX</w:t>
      </w:r>
      <w:r w:rsidRPr="00E42255">
        <w:rPr>
          <w:rFonts w:eastAsia="Malgun Gothic"/>
        </w:rPr>
        <w:t xml:space="preserve"> </w:t>
      </w:r>
      <w:r w:rsidRPr="00E42255">
        <w:rPr>
          <w:szCs w:val="21"/>
        </w:rPr>
        <w:t xml:space="preserve">and </w:t>
      </w:r>
      <w:r w:rsidRPr="00E42255">
        <w:t>RX</w:t>
      </w:r>
      <w:r w:rsidRPr="00E42255">
        <w:rPr>
          <w:rFonts w:eastAsia="Malgun Gothic"/>
        </w:rPr>
        <w:t xml:space="preserve"> </w:t>
      </w:r>
      <w:r w:rsidRPr="00E42255">
        <w:rPr>
          <w:rFonts w:eastAsia="DengXian"/>
        </w:rPr>
        <w:t xml:space="preserve">antennas respectively, and </w:t>
      </w:r>
      <w:r w:rsidRPr="00F01908">
        <w:rPr>
          <w:rFonts w:eastAsia="DengXian"/>
          <w:noProof/>
          <w:position w:val="-12"/>
          <w:lang w:val="en-US" w:eastAsia="zh-CN"/>
        </w:rPr>
        <w:drawing>
          <wp:inline distT="0" distB="0" distL="0" distR="0" wp14:anchorId="166FC23C" wp14:editId="587B2C2C">
            <wp:extent cx="197485" cy="197485"/>
            <wp:effectExtent l="0" t="0" r="0" b="0"/>
            <wp:docPr id="175"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rPr>
          <w:rFonts w:eastAsia="DengXian"/>
        </w:rPr>
        <w:t xml:space="preserve"> is the ceiling operator.</w:t>
      </w:r>
    </w:p>
    <w:p w14:paraId="53BD18AA" w14:textId="77777777" w:rsidR="00C977C0" w:rsidRPr="00E42255" w:rsidRDefault="00C977C0" w:rsidP="00C977C0">
      <w:pPr>
        <w:rPr>
          <w:rFonts w:eastAsia="DengXian"/>
        </w:rPr>
      </w:pPr>
      <w:r w:rsidRPr="00E42255">
        <w:rPr>
          <w:rFonts w:eastAsia="DengXian"/>
        </w:rPr>
        <w:t xml:space="preserve">The matrix </w:t>
      </w:r>
      <w:r w:rsidRPr="00F01908">
        <w:rPr>
          <w:rFonts w:eastAsia="DengXian"/>
          <w:noProof/>
          <w:position w:val="-10"/>
          <w:lang w:val="en-US" w:eastAsia="zh-CN"/>
        </w:rPr>
        <w:drawing>
          <wp:inline distT="0" distB="0" distL="0" distR="0" wp14:anchorId="085A6C8E" wp14:editId="10032B87">
            <wp:extent cx="197485" cy="197485"/>
            <wp:effectExtent l="0" t="0" r="0" b="0"/>
            <wp:docPr id="17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97485" cy="197485"/>
                    </a:xfrm>
                    <a:prstGeom prst="rect">
                      <a:avLst/>
                    </a:prstGeom>
                    <a:noFill/>
                    <a:ln>
                      <a:noFill/>
                    </a:ln>
                  </pic:spPr>
                </pic:pic>
              </a:graphicData>
            </a:graphic>
          </wp:inline>
        </w:drawing>
      </w:r>
      <w:r w:rsidRPr="00E42255">
        <w:rPr>
          <w:rFonts w:eastAsia="DengXian"/>
        </w:rPr>
        <w:t xml:space="preserve"> is used to map the spatial correlation coefficients in accordance with the antenna element labelling system described in </w:t>
      </w:r>
      <w:r>
        <w:rPr>
          <w:rFonts w:eastAsia="DengXian"/>
        </w:rPr>
        <w:t>I</w:t>
      </w:r>
      <w:r w:rsidRPr="00E42255">
        <w:rPr>
          <w:rFonts w:eastAsia="DengXian"/>
        </w:rPr>
        <w:t>.2.4.3.</w:t>
      </w:r>
    </w:p>
    <w:p w14:paraId="18681471" w14:textId="77777777" w:rsidR="00C977C0" w:rsidRPr="00E42255" w:rsidRDefault="00C977C0" w:rsidP="00C977C0">
      <w:pPr>
        <w:pStyle w:val="Heading5"/>
        <w:rPr>
          <w:lang w:eastAsia="ko-KR"/>
        </w:rPr>
      </w:pPr>
      <w:bookmarkStart w:id="10599" w:name="_Toc75276434"/>
      <w:bookmarkStart w:id="10600" w:name="_Toc75275924"/>
      <w:bookmarkStart w:id="10601" w:name="_Toc75260376"/>
      <w:bookmarkStart w:id="10602" w:name="_Toc73963198"/>
      <w:bookmarkStart w:id="10603" w:name="_Toc82450512"/>
      <w:bookmarkStart w:id="10604" w:name="_Toc82451161"/>
      <w:bookmarkStart w:id="10605" w:name="_Toc89949550"/>
      <w:bookmarkStart w:id="10606" w:name="_Toc98755939"/>
      <w:bookmarkStart w:id="10607" w:name="_Toc98763531"/>
      <w:bookmarkStart w:id="10608" w:name="_Toc106184460"/>
      <w:r>
        <w:rPr>
          <w:lang w:eastAsia="ko-KR"/>
        </w:rPr>
        <w:t>I</w:t>
      </w:r>
      <w:r w:rsidRPr="00E42255">
        <w:rPr>
          <w:lang w:eastAsia="ko-KR"/>
        </w:rPr>
        <w:t>.2.4.2.3</w:t>
      </w:r>
      <w:r w:rsidRPr="00E42255">
        <w:rPr>
          <w:lang w:eastAsia="ko-KR"/>
        </w:rPr>
        <w:tab/>
        <w:t>Spatial correlation matrices at IAB-MT</w:t>
      </w:r>
      <w:r>
        <w:rPr>
          <w:lang w:eastAsia="ko-KR"/>
        </w:rPr>
        <w:t>/UE</w:t>
      </w:r>
      <w:r w:rsidRPr="00E42255">
        <w:rPr>
          <w:lang w:eastAsia="ko-KR"/>
        </w:rPr>
        <w:t xml:space="preserve"> and IAB-DU/gNB sides</w:t>
      </w:r>
      <w:bookmarkEnd w:id="10599"/>
      <w:bookmarkEnd w:id="10600"/>
      <w:bookmarkEnd w:id="10601"/>
      <w:bookmarkEnd w:id="10602"/>
      <w:bookmarkEnd w:id="10603"/>
      <w:bookmarkEnd w:id="10604"/>
      <w:bookmarkEnd w:id="10605"/>
      <w:bookmarkEnd w:id="10606"/>
      <w:bookmarkEnd w:id="10607"/>
      <w:bookmarkEnd w:id="10608"/>
    </w:p>
    <w:p w14:paraId="6BE4EEFE" w14:textId="77777777" w:rsidR="00C977C0" w:rsidRPr="00E42255" w:rsidRDefault="00C977C0" w:rsidP="00C977C0">
      <w:pPr>
        <w:pStyle w:val="H6"/>
      </w:pPr>
      <w:bookmarkStart w:id="10609" w:name="_Toc75276435"/>
      <w:bookmarkStart w:id="10610" w:name="_Toc75275925"/>
      <w:bookmarkStart w:id="10611" w:name="_Toc75260377"/>
      <w:bookmarkStart w:id="10612" w:name="_Toc73963199"/>
      <w:r>
        <w:t>I</w:t>
      </w:r>
      <w:r w:rsidRPr="00E42255">
        <w:t>.2.4.2.3.1</w:t>
      </w:r>
      <w:r w:rsidRPr="00E42255">
        <w:tab/>
        <w:t>Spatial correlation matrices at IAB-MT/UE side</w:t>
      </w:r>
      <w:bookmarkEnd w:id="10609"/>
      <w:bookmarkEnd w:id="10610"/>
      <w:bookmarkEnd w:id="10611"/>
      <w:bookmarkEnd w:id="10612"/>
    </w:p>
    <w:p w14:paraId="48B16C1A" w14:textId="77777777" w:rsidR="00C977C0" w:rsidRPr="00E42255" w:rsidRDefault="00C977C0" w:rsidP="00C977C0">
      <w:pPr>
        <w:rPr>
          <w:rFonts w:eastAsia="DengXian"/>
        </w:rPr>
      </w:pPr>
      <w:r w:rsidRPr="00E42255">
        <w:rPr>
          <w:rFonts w:eastAsia="DengXian"/>
        </w:rPr>
        <w:t>In this subclause, R</w:t>
      </w:r>
      <w:r w:rsidRPr="00E42255">
        <w:rPr>
          <w:rFonts w:eastAsia="DengXian"/>
          <w:vertAlign w:val="subscript"/>
        </w:rPr>
        <w:t>UE</w:t>
      </w:r>
      <w:r w:rsidRPr="00E42255">
        <w:rPr>
          <w:rFonts w:eastAsia="DengXian"/>
        </w:rPr>
        <w:t xml:space="preserve"> refers to a UE for IAB-DU requirements or an IAB-MT for IAB-MT requirements.</w:t>
      </w:r>
    </w:p>
    <w:p w14:paraId="598CF597" w14:textId="77777777" w:rsidR="00C977C0" w:rsidRPr="00E42255" w:rsidRDefault="00C977C0" w:rsidP="00C977C0">
      <w:pPr>
        <w:rPr>
          <w:rFonts w:eastAsia="Calibri"/>
          <w:szCs w:val="21"/>
        </w:rPr>
      </w:pPr>
      <w:r w:rsidRPr="00E42255">
        <w:rPr>
          <w:rFonts w:eastAsia="Calibri"/>
        </w:rPr>
        <w:t xml:space="preserve">For 1-antenna transmitter, </w:t>
      </w:r>
      <w:r w:rsidRPr="00F01908">
        <w:rPr>
          <w:rFonts w:eastAsia="DengXian"/>
          <w:noProof/>
          <w:position w:val="-10"/>
          <w:szCs w:val="21"/>
          <w:lang w:val="en-US" w:eastAsia="zh-CN"/>
        </w:rPr>
        <w:drawing>
          <wp:inline distT="0" distB="0" distL="0" distR="0" wp14:anchorId="64A98666" wp14:editId="5695E546">
            <wp:extent cx="467995" cy="197485"/>
            <wp:effectExtent l="0" t="0" r="8255" b="0"/>
            <wp:docPr id="177"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67995" cy="197485"/>
                    </a:xfrm>
                    <a:prstGeom prst="rect">
                      <a:avLst/>
                    </a:prstGeom>
                    <a:noFill/>
                    <a:ln>
                      <a:noFill/>
                    </a:ln>
                  </pic:spPr>
                </pic:pic>
              </a:graphicData>
            </a:graphic>
          </wp:inline>
        </w:drawing>
      </w:r>
      <w:r w:rsidRPr="00E42255">
        <w:rPr>
          <w:rFonts w:eastAsia="Calibri"/>
          <w:szCs w:val="21"/>
        </w:rPr>
        <w:t>.</w:t>
      </w:r>
    </w:p>
    <w:p w14:paraId="0FB67B06" w14:textId="77777777" w:rsidR="00C977C0" w:rsidRPr="00E42255" w:rsidRDefault="00C977C0" w:rsidP="00C977C0">
      <w:pPr>
        <w:rPr>
          <w:rFonts w:eastAsia="DengXian"/>
        </w:rPr>
      </w:pPr>
      <w:r w:rsidRPr="00E42255">
        <w:rPr>
          <w:rFonts w:eastAsia="DengXian"/>
        </w:rPr>
        <w:t xml:space="preserve">For 2-antenna transmitter using one pair of cross-polarized antenna elements, </w:t>
      </w:r>
      <w:r w:rsidRPr="00F01908">
        <w:rPr>
          <w:rFonts w:eastAsia="DengXian"/>
          <w:noProof/>
          <w:position w:val="-10"/>
          <w:lang w:val="en-US" w:eastAsia="zh-CN"/>
        </w:rPr>
        <w:drawing>
          <wp:inline distT="0" distB="0" distL="0" distR="0" wp14:anchorId="4F898FB0" wp14:editId="6B5A23EF">
            <wp:extent cx="467995" cy="197485"/>
            <wp:effectExtent l="0" t="0" r="8255" b="0"/>
            <wp:docPr id="178"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67995" cy="197485"/>
                    </a:xfrm>
                    <a:prstGeom prst="rect">
                      <a:avLst/>
                    </a:prstGeom>
                    <a:noFill/>
                    <a:ln>
                      <a:noFill/>
                    </a:ln>
                  </pic:spPr>
                </pic:pic>
              </a:graphicData>
            </a:graphic>
          </wp:inline>
        </w:drawing>
      </w:r>
      <w:r w:rsidRPr="00E42255">
        <w:rPr>
          <w:rFonts w:eastAsia="DengXian"/>
        </w:rPr>
        <w:t>.</w:t>
      </w:r>
    </w:p>
    <w:p w14:paraId="669A4E7F" w14:textId="77777777" w:rsidR="00C977C0" w:rsidRPr="00E42255" w:rsidRDefault="00C977C0" w:rsidP="00C977C0">
      <w:pPr>
        <w:rPr>
          <w:rFonts w:ascii="Arial" w:eastAsia="Malgun Gothic" w:hAnsi="Arial"/>
          <w:sz w:val="24"/>
        </w:rPr>
      </w:pPr>
      <w:r w:rsidRPr="00E42255">
        <w:rPr>
          <w:rFonts w:eastAsia="DengXian"/>
        </w:rPr>
        <w:lastRenderedPageBreak/>
        <w:t xml:space="preserve">For 4-antenna transmitter using two pairs of cross-polarized antenna elements, </w:t>
      </w:r>
      <w:r w:rsidRPr="00F01908">
        <w:rPr>
          <w:rFonts w:eastAsia="DengXian"/>
          <w:noProof/>
          <w:position w:val="-30"/>
          <w:lang w:val="en-US" w:eastAsia="zh-CN"/>
        </w:rPr>
        <w:drawing>
          <wp:inline distT="0" distB="0" distL="0" distR="0" wp14:anchorId="7C216F39" wp14:editId="29B4D106">
            <wp:extent cx="914400" cy="467995"/>
            <wp:effectExtent l="0" t="0" r="0" b="8255"/>
            <wp:docPr id="179"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914400" cy="467995"/>
                    </a:xfrm>
                    <a:prstGeom prst="rect">
                      <a:avLst/>
                    </a:prstGeom>
                    <a:noFill/>
                    <a:ln>
                      <a:noFill/>
                    </a:ln>
                  </pic:spPr>
                </pic:pic>
              </a:graphicData>
            </a:graphic>
          </wp:inline>
        </w:drawing>
      </w:r>
      <w:r w:rsidRPr="00E42255">
        <w:rPr>
          <w:rFonts w:eastAsia="DengXian"/>
        </w:rPr>
        <w:t>.</w:t>
      </w:r>
    </w:p>
    <w:p w14:paraId="48C25C9E" w14:textId="77777777" w:rsidR="00C977C0" w:rsidRPr="00E42255" w:rsidRDefault="00C977C0" w:rsidP="00C977C0">
      <w:pPr>
        <w:pStyle w:val="H6"/>
      </w:pPr>
      <w:bookmarkStart w:id="10613" w:name="_Toc75276436"/>
      <w:bookmarkStart w:id="10614" w:name="_Toc75275926"/>
      <w:bookmarkStart w:id="10615" w:name="_Toc75260378"/>
      <w:bookmarkStart w:id="10616" w:name="_Toc73963200"/>
      <w:r>
        <w:t>I</w:t>
      </w:r>
      <w:r w:rsidRPr="00E42255">
        <w:t>.2.4.2.3.2</w:t>
      </w:r>
      <w:r w:rsidRPr="00E42255">
        <w:tab/>
        <w:t>Spatial correlation matrices at IAB-DU/gNB side</w:t>
      </w:r>
      <w:bookmarkEnd w:id="10613"/>
      <w:bookmarkEnd w:id="10614"/>
      <w:bookmarkEnd w:id="10615"/>
      <w:bookmarkEnd w:id="10616"/>
    </w:p>
    <w:p w14:paraId="6367E440" w14:textId="77777777" w:rsidR="00C977C0" w:rsidRPr="00E42255" w:rsidRDefault="00C977C0" w:rsidP="00C977C0">
      <w:pPr>
        <w:rPr>
          <w:rFonts w:eastAsia="DengXian"/>
        </w:rPr>
      </w:pPr>
      <w:r w:rsidRPr="00E42255">
        <w:rPr>
          <w:rFonts w:eastAsia="DengXian"/>
        </w:rPr>
        <w:t>In this subclause, R</w:t>
      </w:r>
      <w:r w:rsidRPr="00E42255">
        <w:rPr>
          <w:rFonts w:eastAsia="DengXian"/>
          <w:vertAlign w:val="subscript"/>
        </w:rPr>
        <w:t>gNB</w:t>
      </w:r>
      <w:r w:rsidRPr="00E42255">
        <w:rPr>
          <w:rFonts w:eastAsia="DengXian"/>
        </w:rPr>
        <w:t xml:space="preserve"> refers to an IAB-DU for IAB-DU requirements or a gNB for IAB-MT requirements.</w:t>
      </w:r>
    </w:p>
    <w:p w14:paraId="23AC56B3" w14:textId="77777777" w:rsidR="00C977C0" w:rsidRPr="00E42255" w:rsidRDefault="00C977C0" w:rsidP="00C977C0">
      <w:pPr>
        <w:rPr>
          <w:rFonts w:eastAsia="Calibri"/>
        </w:rPr>
      </w:pPr>
      <w:r w:rsidRPr="00E42255">
        <w:rPr>
          <w:rFonts w:eastAsia="Calibri"/>
        </w:rPr>
        <w:t xml:space="preserve">For 2-antenna receiver using one pair of cross-polarized antenna elements, </w:t>
      </w:r>
      <w:r w:rsidRPr="00F01908">
        <w:rPr>
          <w:rFonts w:ascii="Arial" w:eastAsia="DengXian" w:hAnsi="Arial" w:cs="Arial"/>
          <w:b/>
          <w:noProof/>
          <w:position w:val="-14"/>
          <w:sz w:val="28"/>
          <w:szCs w:val="28"/>
          <w:lang w:val="en-US" w:eastAsia="zh-CN"/>
        </w:rPr>
        <w:drawing>
          <wp:inline distT="0" distB="0" distL="0" distR="0" wp14:anchorId="18C39BA3" wp14:editId="2336887E">
            <wp:extent cx="526415" cy="255905"/>
            <wp:effectExtent l="0" t="0" r="6985" b="0"/>
            <wp:docPr id="180"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526415" cy="255905"/>
                    </a:xfrm>
                    <a:prstGeom prst="rect">
                      <a:avLst/>
                    </a:prstGeom>
                    <a:noFill/>
                    <a:ln>
                      <a:noFill/>
                    </a:ln>
                  </pic:spPr>
                </pic:pic>
              </a:graphicData>
            </a:graphic>
          </wp:inline>
        </w:drawing>
      </w:r>
      <w:r w:rsidRPr="00E42255">
        <w:rPr>
          <w:rFonts w:eastAsia="Calibri"/>
        </w:rPr>
        <w:t>.</w:t>
      </w:r>
    </w:p>
    <w:p w14:paraId="2586D6A3" w14:textId="77777777" w:rsidR="00C977C0" w:rsidRPr="00E42255" w:rsidRDefault="00C977C0" w:rsidP="00C977C0">
      <w:pPr>
        <w:rPr>
          <w:rFonts w:eastAsia="DengXian"/>
          <w:b/>
        </w:rPr>
      </w:pPr>
      <w:r w:rsidRPr="00E42255">
        <w:rPr>
          <w:rFonts w:eastAsia="DengXian"/>
        </w:rPr>
        <w:t>For 4-antenna receiver using two pairs of cross-polarized antenna elements,</w:t>
      </w:r>
      <w:r w:rsidRPr="00F01908">
        <w:rPr>
          <w:rFonts w:ascii="Arial" w:eastAsia="DengXian" w:hAnsi="Arial" w:cs="Arial"/>
          <w:b/>
          <w:noProof/>
          <w:position w:val="-30"/>
          <w:sz w:val="28"/>
          <w:szCs w:val="28"/>
          <w:lang w:val="en-US" w:eastAsia="zh-CN"/>
        </w:rPr>
        <w:drawing>
          <wp:inline distT="0" distB="0" distL="0" distR="0" wp14:anchorId="7E1F202A" wp14:editId="0B21D5A9">
            <wp:extent cx="980440" cy="467995"/>
            <wp:effectExtent l="0" t="0" r="0" b="8255"/>
            <wp:docPr id="18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980440" cy="467995"/>
                    </a:xfrm>
                    <a:prstGeom prst="rect">
                      <a:avLst/>
                    </a:prstGeom>
                    <a:noFill/>
                    <a:ln>
                      <a:noFill/>
                    </a:ln>
                  </pic:spPr>
                </pic:pic>
              </a:graphicData>
            </a:graphic>
          </wp:inline>
        </w:drawing>
      </w:r>
      <w:r w:rsidRPr="00E42255">
        <w:rPr>
          <w:rFonts w:eastAsia="DengXian"/>
        </w:rPr>
        <w:t>.</w:t>
      </w:r>
    </w:p>
    <w:p w14:paraId="40E4FB3D" w14:textId="77777777" w:rsidR="00C977C0" w:rsidRPr="00E42255" w:rsidRDefault="00C977C0" w:rsidP="00C977C0">
      <w:pPr>
        <w:rPr>
          <w:rFonts w:eastAsia="DengXian"/>
        </w:rPr>
      </w:pPr>
      <w:r w:rsidRPr="00E42255">
        <w:rPr>
          <w:rFonts w:eastAsia="DengXian"/>
        </w:rPr>
        <w:t>For 8-antenna receiver using four pairs of cross-polarized antenna elements,</w:t>
      </w:r>
      <w:r w:rsidRPr="00F01908">
        <w:rPr>
          <w:rFonts w:ascii="Arial" w:eastAsia="DengXian" w:hAnsi="Arial" w:cs="Arial"/>
          <w:noProof/>
          <w:position w:val="-88"/>
          <w:sz w:val="18"/>
          <w:lang w:val="en-US" w:eastAsia="zh-CN"/>
        </w:rPr>
        <w:drawing>
          <wp:inline distT="0" distB="0" distL="0" distR="0" wp14:anchorId="2C0E652D" wp14:editId="3F4C2C57">
            <wp:extent cx="1828800" cy="980440"/>
            <wp:effectExtent l="0" t="0" r="0" b="0"/>
            <wp:docPr id="182"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828800" cy="980440"/>
                    </a:xfrm>
                    <a:prstGeom prst="rect">
                      <a:avLst/>
                    </a:prstGeom>
                    <a:noFill/>
                    <a:ln>
                      <a:noFill/>
                    </a:ln>
                  </pic:spPr>
                </pic:pic>
              </a:graphicData>
            </a:graphic>
          </wp:inline>
        </w:drawing>
      </w:r>
      <w:r w:rsidRPr="00E42255">
        <w:rPr>
          <w:rFonts w:eastAsia="DengXian"/>
        </w:rPr>
        <w:t>.</w:t>
      </w:r>
    </w:p>
    <w:p w14:paraId="2B872CB3" w14:textId="77777777" w:rsidR="00C977C0" w:rsidRPr="00E42255" w:rsidRDefault="00C977C0" w:rsidP="00C977C0">
      <w:pPr>
        <w:pStyle w:val="Heading5"/>
        <w:rPr>
          <w:lang w:eastAsia="ko-KR"/>
        </w:rPr>
      </w:pPr>
      <w:bookmarkStart w:id="10617" w:name="_Toc75276437"/>
      <w:bookmarkStart w:id="10618" w:name="_Toc75275927"/>
      <w:bookmarkStart w:id="10619" w:name="_Toc75260379"/>
      <w:bookmarkStart w:id="10620" w:name="_Toc73963201"/>
      <w:bookmarkStart w:id="10621" w:name="_Toc82450513"/>
      <w:bookmarkStart w:id="10622" w:name="_Toc82451162"/>
      <w:bookmarkStart w:id="10623" w:name="_Toc89949551"/>
      <w:bookmarkStart w:id="10624" w:name="_Toc98755940"/>
      <w:bookmarkStart w:id="10625" w:name="_Toc98763532"/>
      <w:bookmarkStart w:id="10626" w:name="_Toc106184461"/>
      <w:r>
        <w:rPr>
          <w:lang w:eastAsia="ko-KR"/>
        </w:rPr>
        <w:t>I</w:t>
      </w:r>
      <w:r w:rsidRPr="00E42255">
        <w:rPr>
          <w:lang w:eastAsia="ko-KR"/>
        </w:rPr>
        <w:t>.2.4.2.4</w:t>
      </w:r>
      <w:r w:rsidRPr="00E42255">
        <w:rPr>
          <w:lang w:eastAsia="ko-KR"/>
        </w:rPr>
        <w:tab/>
        <w:t>MIMO correlation matrices using cross polarized antennas</w:t>
      </w:r>
      <w:bookmarkEnd w:id="10617"/>
      <w:bookmarkEnd w:id="10618"/>
      <w:bookmarkEnd w:id="10619"/>
      <w:bookmarkEnd w:id="10620"/>
      <w:bookmarkEnd w:id="10621"/>
      <w:bookmarkEnd w:id="10622"/>
      <w:bookmarkEnd w:id="10623"/>
      <w:bookmarkEnd w:id="10624"/>
      <w:bookmarkEnd w:id="10625"/>
      <w:bookmarkEnd w:id="10626"/>
    </w:p>
    <w:p w14:paraId="7BCAAB30" w14:textId="77777777" w:rsidR="00C977C0" w:rsidRPr="00E42255" w:rsidRDefault="00C977C0" w:rsidP="00C977C0">
      <w:pPr>
        <w:rPr>
          <w:rFonts w:eastAsia="Calibri"/>
        </w:rPr>
      </w:pPr>
      <w:r w:rsidRPr="00E42255">
        <w:rPr>
          <w:rFonts w:eastAsia="Calibri"/>
        </w:rPr>
        <w:t xml:space="preserve">The values for parameters </w:t>
      </w:r>
      <w:r w:rsidRPr="00E42255">
        <w:rPr>
          <w:rFonts w:eastAsia="DengXian"/>
          <w:i/>
        </w:rPr>
        <w:t>α</w:t>
      </w:r>
      <w:r w:rsidRPr="00E42255">
        <w:rPr>
          <w:rFonts w:eastAsia="Calibri"/>
        </w:rPr>
        <w:t xml:space="preserve">, </w:t>
      </w:r>
      <w:r w:rsidRPr="00E42255">
        <w:rPr>
          <w:rFonts w:eastAsia="DengXian"/>
          <w:i/>
        </w:rPr>
        <w:t>β</w:t>
      </w:r>
      <w:r w:rsidRPr="00E42255">
        <w:rPr>
          <w:rFonts w:eastAsia="Calibri"/>
        </w:rPr>
        <w:t xml:space="preserve"> and </w:t>
      </w:r>
      <w:r w:rsidRPr="00E42255">
        <w:rPr>
          <w:rFonts w:eastAsia="DengXian"/>
          <w:i/>
        </w:rPr>
        <w:t>γ</w:t>
      </w:r>
      <w:r w:rsidRPr="00E42255">
        <w:rPr>
          <w:rFonts w:eastAsia="Calibri"/>
        </w:rPr>
        <w:t xml:space="preserve"> for low spatial correlation are given in table </w:t>
      </w:r>
      <w:r>
        <w:rPr>
          <w:rFonts w:eastAsia="Calibri"/>
        </w:rPr>
        <w:t>I</w:t>
      </w:r>
      <w:r w:rsidRPr="00E42255">
        <w:rPr>
          <w:rFonts w:eastAsia="MS Gothic"/>
        </w:rPr>
        <w:t>.2.4.2.4-1.</w:t>
      </w:r>
    </w:p>
    <w:p w14:paraId="29163A50"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 xml:space="preserve">.2.4.2.4-1: Values for parameters α, </w:t>
      </w:r>
      <w:r w:rsidRPr="00E42255">
        <w:rPr>
          <w:rFonts w:ascii="Symbol" w:hAnsi="Symbol"/>
          <w:lang w:val="fr-FR"/>
        </w:rPr>
        <w:t></w:t>
      </w:r>
      <w:r w:rsidRPr="00E42255">
        <w:rPr>
          <w:lang w:val="fr-FR"/>
        </w:rPr>
        <w:t xml:space="preserve"> and 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867"/>
        <w:gridCol w:w="3262"/>
        <w:gridCol w:w="2442"/>
      </w:tblGrid>
      <w:tr w:rsidR="00C977C0" w:rsidRPr="00E42255" w14:paraId="124A8E18" w14:textId="77777777" w:rsidTr="00BC53AC">
        <w:trPr>
          <w:cantSplit/>
          <w:jc w:val="center"/>
        </w:trPr>
        <w:tc>
          <w:tcPr>
            <w:tcW w:w="8571" w:type="dxa"/>
            <w:gridSpan w:val="3"/>
            <w:tcBorders>
              <w:top w:val="single" w:sz="4" w:space="0" w:color="auto"/>
              <w:left w:val="single" w:sz="4" w:space="0" w:color="auto"/>
              <w:bottom w:val="single" w:sz="4" w:space="0" w:color="auto"/>
              <w:right w:val="single" w:sz="4" w:space="0" w:color="auto"/>
            </w:tcBorders>
            <w:hideMark/>
          </w:tcPr>
          <w:p w14:paraId="54C7DBDD" w14:textId="77777777" w:rsidR="00C977C0" w:rsidRPr="00E42255" w:rsidRDefault="00C977C0" w:rsidP="00BC53AC">
            <w:pPr>
              <w:pStyle w:val="TAH"/>
              <w:rPr>
                <w:lang w:val="fr-FR"/>
              </w:rPr>
            </w:pPr>
            <w:r w:rsidRPr="00E42255">
              <w:rPr>
                <w:lang w:val="fr-FR"/>
              </w:rPr>
              <w:t>Low spatial correlation</w:t>
            </w:r>
          </w:p>
        </w:tc>
      </w:tr>
      <w:tr w:rsidR="00C977C0" w:rsidRPr="00E42255" w14:paraId="67F8BD23" w14:textId="77777777" w:rsidTr="00BC53AC">
        <w:trPr>
          <w:cantSplit/>
          <w:jc w:val="center"/>
        </w:trPr>
        <w:tc>
          <w:tcPr>
            <w:tcW w:w="2867" w:type="dxa"/>
            <w:tcBorders>
              <w:top w:val="single" w:sz="4" w:space="0" w:color="auto"/>
              <w:left w:val="single" w:sz="4" w:space="0" w:color="auto"/>
              <w:bottom w:val="single" w:sz="4" w:space="0" w:color="auto"/>
              <w:right w:val="single" w:sz="4" w:space="0" w:color="auto"/>
            </w:tcBorders>
            <w:hideMark/>
          </w:tcPr>
          <w:p w14:paraId="5139FC45" w14:textId="77777777" w:rsidR="00C977C0" w:rsidRPr="00E42255" w:rsidRDefault="00C977C0" w:rsidP="00BC53AC">
            <w:pPr>
              <w:pStyle w:val="TAC"/>
            </w:pPr>
            <w:r w:rsidRPr="00E42255">
              <w:t>α</w:t>
            </w:r>
          </w:p>
        </w:tc>
        <w:tc>
          <w:tcPr>
            <w:tcW w:w="3262" w:type="dxa"/>
            <w:tcBorders>
              <w:top w:val="single" w:sz="4" w:space="0" w:color="auto"/>
              <w:left w:val="single" w:sz="4" w:space="0" w:color="auto"/>
              <w:bottom w:val="single" w:sz="4" w:space="0" w:color="auto"/>
              <w:right w:val="single" w:sz="4" w:space="0" w:color="auto"/>
            </w:tcBorders>
            <w:hideMark/>
          </w:tcPr>
          <w:p w14:paraId="388FBCD5" w14:textId="77777777" w:rsidR="00C977C0" w:rsidRPr="00E42255" w:rsidRDefault="00C977C0" w:rsidP="00BC53AC">
            <w:pPr>
              <w:pStyle w:val="TAC"/>
            </w:pPr>
            <w:r>
              <w:rPr>
                <w:rFonts w:ascii="Symbol" w:hAnsi="Symbol"/>
              </w:rPr>
              <w:t></w:t>
            </w:r>
          </w:p>
        </w:tc>
        <w:tc>
          <w:tcPr>
            <w:tcW w:w="2442" w:type="dxa"/>
            <w:tcBorders>
              <w:top w:val="single" w:sz="4" w:space="0" w:color="auto"/>
              <w:left w:val="single" w:sz="4" w:space="0" w:color="auto"/>
              <w:bottom w:val="single" w:sz="4" w:space="0" w:color="auto"/>
              <w:right w:val="single" w:sz="4" w:space="0" w:color="auto"/>
            </w:tcBorders>
            <w:hideMark/>
          </w:tcPr>
          <w:p w14:paraId="7D4C0214" w14:textId="77777777" w:rsidR="00C977C0" w:rsidRPr="00E42255" w:rsidRDefault="00C977C0" w:rsidP="00BC53AC">
            <w:pPr>
              <w:pStyle w:val="TAC"/>
            </w:pPr>
            <w:r w:rsidRPr="00E42255">
              <w:t>γ</w:t>
            </w:r>
          </w:p>
        </w:tc>
      </w:tr>
      <w:tr w:rsidR="00C977C0" w:rsidRPr="00E42255" w14:paraId="04CC3AD4" w14:textId="77777777" w:rsidTr="00BC53AC">
        <w:trPr>
          <w:cantSplit/>
          <w:jc w:val="center"/>
        </w:trPr>
        <w:tc>
          <w:tcPr>
            <w:tcW w:w="2867" w:type="dxa"/>
            <w:tcBorders>
              <w:top w:val="single" w:sz="4" w:space="0" w:color="auto"/>
              <w:left w:val="single" w:sz="4" w:space="0" w:color="auto"/>
              <w:bottom w:val="single" w:sz="4" w:space="0" w:color="auto"/>
              <w:right w:val="single" w:sz="4" w:space="0" w:color="auto"/>
            </w:tcBorders>
            <w:hideMark/>
          </w:tcPr>
          <w:p w14:paraId="4C7CDBEE" w14:textId="77777777" w:rsidR="00C977C0" w:rsidRPr="00E42255" w:rsidRDefault="00C977C0" w:rsidP="00BC53AC">
            <w:pPr>
              <w:pStyle w:val="TAC"/>
            </w:pPr>
            <w:r w:rsidRPr="00E42255">
              <w:t>0</w:t>
            </w:r>
          </w:p>
        </w:tc>
        <w:tc>
          <w:tcPr>
            <w:tcW w:w="3262" w:type="dxa"/>
            <w:tcBorders>
              <w:top w:val="single" w:sz="4" w:space="0" w:color="auto"/>
              <w:left w:val="single" w:sz="4" w:space="0" w:color="auto"/>
              <w:bottom w:val="single" w:sz="4" w:space="0" w:color="auto"/>
              <w:right w:val="single" w:sz="4" w:space="0" w:color="auto"/>
            </w:tcBorders>
            <w:hideMark/>
          </w:tcPr>
          <w:p w14:paraId="6D0E08BC" w14:textId="77777777" w:rsidR="00C977C0" w:rsidRPr="00E42255" w:rsidRDefault="00C977C0" w:rsidP="00BC53AC">
            <w:pPr>
              <w:pStyle w:val="TAC"/>
            </w:pPr>
            <w:r w:rsidRPr="00E42255">
              <w:t>0</w:t>
            </w:r>
          </w:p>
        </w:tc>
        <w:tc>
          <w:tcPr>
            <w:tcW w:w="2442" w:type="dxa"/>
            <w:tcBorders>
              <w:top w:val="single" w:sz="4" w:space="0" w:color="auto"/>
              <w:left w:val="single" w:sz="4" w:space="0" w:color="auto"/>
              <w:bottom w:val="single" w:sz="4" w:space="0" w:color="auto"/>
              <w:right w:val="single" w:sz="4" w:space="0" w:color="auto"/>
            </w:tcBorders>
            <w:hideMark/>
          </w:tcPr>
          <w:p w14:paraId="4E71F4E1" w14:textId="77777777" w:rsidR="00C977C0" w:rsidRPr="00E42255" w:rsidRDefault="00C977C0" w:rsidP="00BC53AC">
            <w:pPr>
              <w:pStyle w:val="TAC"/>
            </w:pPr>
            <w:r w:rsidRPr="00E42255">
              <w:t>0</w:t>
            </w:r>
          </w:p>
        </w:tc>
      </w:tr>
      <w:tr w:rsidR="00C977C0" w:rsidRPr="00E42255" w14:paraId="77DFD5AE" w14:textId="77777777" w:rsidTr="00BC53AC">
        <w:trPr>
          <w:cantSplit/>
          <w:jc w:val="center"/>
        </w:trPr>
        <w:tc>
          <w:tcPr>
            <w:tcW w:w="8571" w:type="dxa"/>
            <w:gridSpan w:val="3"/>
            <w:tcBorders>
              <w:top w:val="single" w:sz="4" w:space="0" w:color="auto"/>
              <w:left w:val="single" w:sz="4" w:space="0" w:color="auto"/>
              <w:bottom w:val="single" w:sz="4" w:space="0" w:color="auto"/>
              <w:right w:val="single" w:sz="4" w:space="0" w:color="auto"/>
            </w:tcBorders>
            <w:hideMark/>
          </w:tcPr>
          <w:p w14:paraId="29F97763" w14:textId="77777777" w:rsidR="00C977C0" w:rsidRPr="00E42255" w:rsidRDefault="00C977C0" w:rsidP="00BC53AC">
            <w:pPr>
              <w:pStyle w:val="TAN"/>
              <w:rPr>
                <w:lang w:val="fr-FR"/>
              </w:rPr>
            </w:pPr>
            <w:r w:rsidRPr="00E42255">
              <w:rPr>
                <w:caps/>
                <w:lang w:val="fr-FR"/>
              </w:rPr>
              <w:t>Note</w:t>
            </w:r>
            <w:r w:rsidRPr="00E42255">
              <w:rPr>
                <w:lang w:val="fr-FR"/>
              </w:rPr>
              <w:t xml:space="preserve"> 1:</w:t>
            </w:r>
            <w:r w:rsidRPr="00E42255">
              <w:rPr>
                <w:lang w:val="fr-FR"/>
              </w:rPr>
              <w:tab/>
              <w:t xml:space="preserve">Value of </w:t>
            </w:r>
            <w:r w:rsidRPr="00E42255">
              <w:rPr>
                <w:i/>
                <w:lang w:val="fr-FR"/>
              </w:rPr>
              <w:t>α</w:t>
            </w:r>
            <w:r w:rsidRPr="00E42255">
              <w:rPr>
                <w:lang w:val="fr-FR"/>
              </w:rPr>
              <w:t xml:space="preserve"> applies when more than one pair of cross-polarized antenna elements at </w:t>
            </w:r>
            <w:r>
              <w:rPr>
                <w:lang w:val="fr-FR"/>
              </w:rPr>
              <w:t>IAB-DU/</w:t>
            </w:r>
            <w:r w:rsidRPr="00E42255">
              <w:rPr>
                <w:lang w:val="fr-FR"/>
              </w:rPr>
              <w:t>gNB side.</w:t>
            </w:r>
          </w:p>
          <w:p w14:paraId="6265D66C" w14:textId="77777777" w:rsidR="00C977C0" w:rsidRPr="00E42255" w:rsidRDefault="00C977C0" w:rsidP="00BC53AC">
            <w:pPr>
              <w:pStyle w:val="TAN"/>
              <w:rPr>
                <w:lang w:val="fr-FR"/>
              </w:rPr>
            </w:pPr>
            <w:r w:rsidRPr="00E42255">
              <w:rPr>
                <w:caps/>
                <w:lang w:val="fr-FR"/>
              </w:rPr>
              <w:t>Note</w:t>
            </w:r>
            <w:r w:rsidRPr="00E42255">
              <w:rPr>
                <w:lang w:val="fr-FR"/>
              </w:rPr>
              <w:t xml:space="preserve"> 2:</w:t>
            </w:r>
            <w:r w:rsidRPr="00E42255">
              <w:rPr>
                <w:lang w:val="fr-FR"/>
              </w:rPr>
              <w:tab/>
              <w:t xml:space="preserve">Value of </w:t>
            </w:r>
            <w:r w:rsidRPr="00E42255">
              <w:rPr>
                <w:i/>
                <w:lang w:val="fr-FR"/>
              </w:rPr>
              <w:t>β</w:t>
            </w:r>
            <w:r w:rsidRPr="00E42255">
              <w:rPr>
                <w:lang w:val="fr-FR"/>
              </w:rPr>
              <w:t xml:space="preserve"> applies when more than one pair of cross-polarized antenna elements at </w:t>
            </w:r>
            <w:r>
              <w:rPr>
                <w:lang w:val="fr-FR"/>
              </w:rPr>
              <w:t>IAB-MT/</w:t>
            </w:r>
            <w:r w:rsidRPr="00E42255">
              <w:rPr>
                <w:lang w:val="fr-FR"/>
              </w:rPr>
              <w:t>UE side.</w:t>
            </w:r>
          </w:p>
        </w:tc>
      </w:tr>
    </w:tbl>
    <w:p w14:paraId="61157C5B" w14:textId="77777777" w:rsidR="00C977C0" w:rsidRPr="00E42255" w:rsidRDefault="00C977C0" w:rsidP="00C977C0">
      <w:pPr>
        <w:rPr>
          <w:rFonts w:eastAsia="DengXian"/>
        </w:rPr>
      </w:pPr>
    </w:p>
    <w:p w14:paraId="10508A8D" w14:textId="77777777" w:rsidR="00C977C0" w:rsidRPr="00E42255" w:rsidRDefault="00C977C0" w:rsidP="00C977C0">
      <w:pPr>
        <w:rPr>
          <w:rFonts w:eastAsia="DengXian"/>
        </w:rPr>
      </w:pPr>
      <w:r w:rsidRPr="00E42255">
        <w:rPr>
          <w:rFonts w:eastAsia="DengXian"/>
        </w:rPr>
        <w:t xml:space="preserve">The correlation matrices for low spatial correlation are defined in table </w:t>
      </w:r>
      <w:r>
        <w:rPr>
          <w:rFonts w:eastAsia="DengXian"/>
        </w:rPr>
        <w:t>I</w:t>
      </w:r>
      <w:r w:rsidRPr="00E42255">
        <w:rPr>
          <w:rFonts w:eastAsia="DengXian"/>
        </w:rPr>
        <w:t>.2.4.2.4-2 as below.</w:t>
      </w:r>
    </w:p>
    <w:p w14:paraId="7CDFEE61" w14:textId="77777777" w:rsidR="00C977C0" w:rsidRPr="00E42255" w:rsidRDefault="00C977C0" w:rsidP="00C977C0">
      <w:pPr>
        <w:pStyle w:val="TH"/>
        <w:rPr>
          <w:lang w:val="fr-FR"/>
        </w:rPr>
      </w:pPr>
      <w:r w:rsidRPr="00E42255">
        <w:rPr>
          <w:lang w:val="fr-FR"/>
        </w:rPr>
        <w:t xml:space="preserve">Table </w:t>
      </w:r>
      <w:r>
        <w:rPr>
          <w:lang w:val="fr-FR"/>
        </w:rPr>
        <w:t>I</w:t>
      </w:r>
      <w:r w:rsidRPr="00E42255">
        <w:rPr>
          <w:lang w:val="fr-FR"/>
        </w:rPr>
        <w:t>.2.4.2.4-2: MIMO correlation matrices for low spatial correlation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1417"/>
        <w:gridCol w:w="3686"/>
      </w:tblGrid>
      <w:tr w:rsidR="00C977C0" w:rsidRPr="00E42255" w14:paraId="0ABDFE77" w14:textId="77777777" w:rsidTr="00BC53AC">
        <w:trPr>
          <w:cantSplit/>
          <w:jc w:val="center"/>
        </w:trPr>
        <w:tc>
          <w:tcPr>
            <w:tcW w:w="1417" w:type="dxa"/>
            <w:tcBorders>
              <w:top w:val="single" w:sz="4" w:space="0" w:color="auto"/>
              <w:left w:val="single" w:sz="4" w:space="0" w:color="auto"/>
              <w:bottom w:val="single" w:sz="4" w:space="0" w:color="auto"/>
              <w:right w:val="single" w:sz="4" w:space="0" w:color="auto"/>
            </w:tcBorders>
            <w:hideMark/>
          </w:tcPr>
          <w:p w14:paraId="35C8F10E" w14:textId="77777777" w:rsidR="00C977C0" w:rsidRPr="00E42255" w:rsidRDefault="00C977C0" w:rsidP="00BC53AC">
            <w:pPr>
              <w:pStyle w:val="TAC"/>
              <w:rPr>
                <w:szCs w:val="18"/>
                <w:lang w:val="fr-FR"/>
              </w:rPr>
            </w:pPr>
            <w:r w:rsidRPr="00E42255">
              <w:rPr>
                <w:lang w:val="fr-FR"/>
              </w:rPr>
              <w:t>1x8 case</w:t>
            </w:r>
          </w:p>
        </w:tc>
        <w:tc>
          <w:tcPr>
            <w:tcW w:w="3686" w:type="dxa"/>
            <w:tcBorders>
              <w:top w:val="single" w:sz="4" w:space="0" w:color="auto"/>
              <w:left w:val="single" w:sz="4" w:space="0" w:color="auto"/>
              <w:bottom w:val="single" w:sz="4" w:space="0" w:color="auto"/>
              <w:right w:val="single" w:sz="4" w:space="0" w:color="auto"/>
            </w:tcBorders>
            <w:hideMark/>
          </w:tcPr>
          <w:p w14:paraId="78D47CA0" w14:textId="77777777" w:rsidR="00C977C0" w:rsidRPr="00E42255" w:rsidRDefault="00C977C0" w:rsidP="00BC53AC">
            <w:pPr>
              <w:pStyle w:val="TAC"/>
              <w:rPr>
                <w:szCs w:val="18"/>
                <w:lang w:val="fr-FR"/>
              </w:rPr>
            </w:pPr>
            <w:r w:rsidRPr="00B86E65">
              <w:rPr>
                <w:noProof/>
                <w:lang w:val="en-US" w:eastAsia="zh-CN"/>
              </w:rPr>
              <w:drawing>
                <wp:inline distT="0" distB="0" distL="0" distR="0" wp14:anchorId="684DD9E6" wp14:editId="0DAD33A9">
                  <wp:extent cx="467995" cy="197485"/>
                  <wp:effectExtent l="0" t="0" r="8255" b="0"/>
                  <wp:docPr id="18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467995" cy="197485"/>
                          </a:xfrm>
                          <a:prstGeom prst="rect">
                            <a:avLst/>
                          </a:prstGeom>
                          <a:noFill/>
                          <a:ln>
                            <a:noFill/>
                          </a:ln>
                        </pic:spPr>
                      </pic:pic>
                    </a:graphicData>
                  </a:graphic>
                </wp:inline>
              </w:drawing>
            </w:r>
          </w:p>
        </w:tc>
      </w:tr>
      <w:tr w:rsidR="00C977C0" w:rsidRPr="00E42255" w14:paraId="2A50E9BC" w14:textId="77777777" w:rsidTr="00BC53AC">
        <w:trPr>
          <w:cantSplit/>
          <w:jc w:val="center"/>
        </w:trPr>
        <w:tc>
          <w:tcPr>
            <w:tcW w:w="1417" w:type="dxa"/>
            <w:tcBorders>
              <w:top w:val="single" w:sz="4" w:space="0" w:color="auto"/>
              <w:left w:val="single" w:sz="4" w:space="0" w:color="auto"/>
              <w:bottom w:val="single" w:sz="4" w:space="0" w:color="auto"/>
              <w:right w:val="single" w:sz="4" w:space="0" w:color="auto"/>
            </w:tcBorders>
            <w:hideMark/>
          </w:tcPr>
          <w:p w14:paraId="35D7C3EB" w14:textId="77777777" w:rsidR="00C977C0" w:rsidRPr="00E42255" w:rsidRDefault="00C977C0" w:rsidP="00BC53AC">
            <w:pPr>
              <w:pStyle w:val="TAC"/>
              <w:rPr>
                <w:szCs w:val="18"/>
                <w:lang w:val="fr-FR"/>
              </w:rPr>
            </w:pPr>
            <w:r w:rsidRPr="00E42255">
              <w:rPr>
                <w:lang w:val="fr-FR"/>
              </w:rPr>
              <w:t>2x8 case</w:t>
            </w:r>
          </w:p>
        </w:tc>
        <w:tc>
          <w:tcPr>
            <w:tcW w:w="3686" w:type="dxa"/>
            <w:tcBorders>
              <w:top w:val="single" w:sz="4" w:space="0" w:color="auto"/>
              <w:left w:val="single" w:sz="4" w:space="0" w:color="auto"/>
              <w:bottom w:val="single" w:sz="4" w:space="0" w:color="auto"/>
              <w:right w:val="single" w:sz="4" w:space="0" w:color="auto"/>
            </w:tcBorders>
            <w:hideMark/>
          </w:tcPr>
          <w:p w14:paraId="3183DA0D" w14:textId="77777777" w:rsidR="00C977C0" w:rsidRPr="00E42255" w:rsidRDefault="00C977C0" w:rsidP="00BC53AC">
            <w:pPr>
              <w:pStyle w:val="TAC"/>
              <w:rPr>
                <w:szCs w:val="18"/>
                <w:lang w:val="fr-FR"/>
              </w:rPr>
            </w:pPr>
            <w:r w:rsidRPr="00B86E65">
              <w:rPr>
                <w:noProof/>
                <w:lang w:val="en-US" w:eastAsia="zh-CN"/>
              </w:rPr>
              <w:drawing>
                <wp:inline distT="0" distB="0" distL="0" distR="0" wp14:anchorId="48A38B79" wp14:editId="452A79D2">
                  <wp:extent cx="526415" cy="197485"/>
                  <wp:effectExtent l="0" t="0" r="6985" b="0"/>
                  <wp:docPr id="18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526415" cy="197485"/>
                          </a:xfrm>
                          <a:prstGeom prst="rect">
                            <a:avLst/>
                          </a:prstGeom>
                          <a:noFill/>
                          <a:ln>
                            <a:noFill/>
                          </a:ln>
                        </pic:spPr>
                      </pic:pic>
                    </a:graphicData>
                  </a:graphic>
                </wp:inline>
              </w:drawing>
            </w:r>
          </w:p>
        </w:tc>
      </w:tr>
    </w:tbl>
    <w:p w14:paraId="7D238FEF" w14:textId="77777777" w:rsidR="00C977C0" w:rsidRPr="00E42255" w:rsidRDefault="00C977C0" w:rsidP="00C977C0">
      <w:pPr>
        <w:rPr>
          <w:rFonts w:eastAsia="DengXian"/>
        </w:rPr>
      </w:pPr>
    </w:p>
    <w:p w14:paraId="5855BE55" w14:textId="77777777" w:rsidR="00C977C0" w:rsidRPr="00E42255" w:rsidRDefault="00C977C0" w:rsidP="00C977C0">
      <w:pPr>
        <w:rPr>
          <w:rFonts w:eastAsia="DengXian"/>
        </w:rPr>
      </w:pPr>
      <w:r w:rsidRPr="00E42255">
        <w:rPr>
          <w:rFonts w:eastAsia="DengXian"/>
        </w:rPr>
        <w:t xml:space="preserve">In table </w:t>
      </w:r>
      <w:r>
        <w:rPr>
          <w:rFonts w:eastAsia="DengXian"/>
        </w:rPr>
        <w:t>I</w:t>
      </w:r>
      <w:r w:rsidRPr="00E42255">
        <w:rPr>
          <w:rFonts w:eastAsia="DengXian"/>
        </w:rPr>
        <w:t xml:space="preserve">.2.4.2.4-2, </w:t>
      </w:r>
      <w:r w:rsidRPr="00F01908">
        <w:rPr>
          <w:rFonts w:eastAsia="DengXian"/>
          <w:noProof/>
          <w:position w:val="-10"/>
          <w:lang w:val="en-US" w:eastAsia="zh-CN"/>
        </w:rPr>
        <w:drawing>
          <wp:inline distT="0" distB="0" distL="0" distR="0" wp14:anchorId="09905777" wp14:editId="01783279">
            <wp:extent cx="182880" cy="182880"/>
            <wp:effectExtent l="0" t="0" r="7620" b="7620"/>
            <wp:docPr id="185"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182880" cy="182880"/>
                    </a:xfrm>
                    <a:prstGeom prst="rect">
                      <a:avLst/>
                    </a:prstGeom>
                    <a:noFill/>
                    <a:ln>
                      <a:noFill/>
                    </a:ln>
                  </pic:spPr>
                </pic:pic>
              </a:graphicData>
            </a:graphic>
          </wp:inline>
        </w:drawing>
      </w:r>
      <w:r w:rsidRPr="00E42255">
        <w:rPr>
          <w:rFonts w:eastAsia="DengXian"/>
        </w:rPr>
        <w:t xml:space="preserve"> is a </w:t>
      </w:r>
      <w:r w:rsidRPr="00F01908">
        <w:rPr>
          <w:rFonts w:eastAsia="DengXian"/>
          <w:noProof/>
          <w:position w:val="-6"/>
          <w:lang w:val="en-US" w:eastAsia="zh-CN"/>
        </w:rPr>
        <w:drawing>
          <wp:inline distT="0" distB="0" distL="0" distR="0" wp14:anchorId="7B34EEF2" wp14:editId="38BFB373">
            <wp:extent cx="278130" cy="182880"/>
            <wp:effectExtent l="0" t="0" r="7620" b="7620"/>
            <wp:docPr id="186"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78130" cy="182880"/>
                    </a:xfrm>
                    <a:prstGeom prst="rect">
                      <a:avLst/>
                    </a:prstGeom>
                    <a:noFill/>
                    <a:ln>
                      <a:noFill/>
                    </a:ln>
                  </pic:spPr>
                </pic:pic>
              </a:graphicData>
            </a:graphic>
          </wp:inline>
        </w:drawing>
      </w:r>
      <w:r w:rsidRPr="00E42255">
        <w:rPr>
          <w:rFonts w:eastAsia="DengXian"/>
        </w:rPr>
        <w:t xml:space="preserve"> identity matrix.</w:t>
      </w:r>
    </w:p>
    <w:p w14:paraId="6C739C1E" w14:textId="77777777" w:rsidR="00C977C0" w:rsidRPr="00520232" w:rsidRDefault="00C977C0" w:rsidP="00C977C0">
      <w:pPr>
        <w:pStyle w:val="Heading2"/>
      </w:pPr>
      <w:bookmarkStart w:id="10627" w:name="_Toc76653214"/>
      <w:bookmarkStart w:id="10628" w:name="_Toc76652370"/>
      <w:bookmarkStart w:id="10629" w:name="_Toc76572503"/>
      <w:bookmarkStart w:id="10630" w:name="_Toc76298491"/>
      <w:bookmarkStart w:id="10631" w:name="_Toc67918416"/>
      <w:bookmarkStart w:id="10632" w:name="_Toc61121219"/>
      <w:bookmarkStart w:id="10633" w:name="_Toc82450514"/>
      <w:bookmarkStart w:id="10634" w:name="_Toc82451163"/>
      <w:bookmarkStart w:id="10635" w:name="_Toc89949552"/>
      <w:bookmarkStart w:id="10636" w:name="_Toc98755941"/>
      <w:bookmarkStart w:id="10637" w:name="_Toc98763533"/>
      <w:bookmarkStart w:id="10638" w:name="_Toc106184462"/>
      <w:r>
        <w:t>I</w:t>
      </w:r>
      <w:r w:rsidRPr="00520232">
        <w:t>.</w:t>
      </w:r>
      <w:r>
        <w:t>3</w:t>
      </w:r>
      <w:r w:rsidRPr="00520232">
        <w:rPr>
          <w:lang w:eastAsia="zh-CN"/>
        </w:rPr>
        <w:tab/>
      </w:r>
      <w:r w:rsidRPr="00520232">
        <w:t>Physical signals, channels mapping and precoding</w:t>
      </w:r>
      <w:bookmarkEnd w:id="10627"/>
      <w:bookmarkEnd w:id="10628"/>
      <w:bookmarkEnd w:id="10629"/>
      <w:bookmarkEnd w:id="10630"/>
      <w:bookmarkEnd w:id="10631"/>
      <w:bookmarkEnd w:id="10632"/>
      <w:bookmarkEnd w:id="10633"/>
      <w:bookmarkEnd w:id="10634"/>
      <w:bookmarkEnd w:id="10635"/>
      <w:bookmarkEnd w:id="10636"/>
      <w:bookmarkEnd w:id="10637"/>
      <w:bookmarkEnd w:id="10638"/>
    </w:p>
    <w:p w14:paraId="2A39118D" w14:textId="77777777" w:rsidR="00C977C0" w:rsidRPr="00520232" w:rsidRDefault="00C977C0" w:rsidP="00C977C0">
      <w:pPr>
        <w:pStyle w:val="Heading3"/>
        <w:rPr>
          <w:sz w:val="36"/>
        </w:rPr>
      </w:pPr>
      <w:bookmarkStart w:id="10639" w:name="_Toc40210066"/>
      <w:bookmarkStart w:id="10640" w:name="_Toc40209724"/>
      <w:bookmarkStart w:id="10641" w:name="_Toc37084362"/>
      <w:bookmarkStart w:id="10642" w:name="_Toc37084020"/>
      <w:bookmarkStart w:id="10643" w:name="_Toc37068475"/>
      <w:bookmarkStart w:id="10644" w:name="_Toc29808556"/>
      <w:bookmarkStart w:id="10645" w:name="_Toc21338448"/>
      <w:bookmarkStart w:id="10646" w:name="_Toc76653215"/>
      <w:bookmarkStart w:id="10647" w:name="_Toc76652371"/>
      <w:bookmarkStart w:id="10648" w:name="_Toc76572504"/>
      <w:bookmarkStart w:id="10649" w:name="_Toc76298492"/>
      <w:bookmarkStart w:id="10650" w:name="_Toc67918417"/>
      <w:bookmarkStart w:id="10651" w:name="_Toc61121220"/>
      <w:bookmarkStart w:id="10652" w:name="_Toc53176890"/>
      <w:bookmarkStart w:id="10653" w:name="_Toc45893025"/>
      <w:bookmarkStart w:id="10654" w:name="_Toc82450515"/>
      <w:bookmarkStart w:id="10655" w:name="_Toc82451164"/>
      <w:bookmarkStart w:id="10656" w:name="_Toc89949553"/>
      <w:bookmarkStart w:id="10657" w:name="_Toc98755942"/>
      <w:bookmarkStart w:id="10658" w:name="_Toc98763534"/>
      <w:bookmarkStart w:id="10659" w:name="_Toc106184463"/>
      <w:r>
        <w:t>I</w:t>
      </w:r>
      <w:r w:rsidRPr="00520232">
        <w:t>.</w:t>
      </w:r>
      <w:r>
        <w:t>3</w:t>
      </w:r>
      <w:r w:rsidRPr="00520232">
        <w:t>.1</w:t>
      </w:r>
      <w:r w:rsidRPr="00520232">
        <w:tab/>
      </w:r>
      <w:bookmarkEnd w:id="10639"/>
      <w:bookmarkEnd w:id="10640"/>
      <w:bookmarkEnd w:id="10641"/>
      <w:bookmarkEnd w:id="10642"/>
      <w:bookmarkEnd w:id="10643"/>
      <w:bookmarkEnd w:id="10644"/>
      <w:bookmarkEnd w:id="10645"/>
      <w:r w:rsidRPr="00520232">
        <w:t>General</w:t>
      </w:r>
      <w:bookmarkEnd w:id="10646"/>
      <w:bookmarkEnd w:id="10647"/>
      <w:bookmarkEnd w:id="10648"/>
      <w:bookmarkEnd w:id="10649"/>
      <w:bookmarkEnd w:id="10650"/>
      <w:bookmarkEnd w:id="10651"/>
      <w:bookmarkEnd w:id="10652"/>
      <w:bookmarkEnd w:id="10653"/>
      <w:bookmarkEnd w:id="10654"/>
      <w:bookmarkEnd w:id="10655"/>
      <w:bookmarkEnd w:id="10656"/>
      <w:bookmarkEnd w:id="10657"/>
      <w:bookmarkEnd w:id="10658"/>
      <w:bookmarkEnd w:id="10659"/>
    </w:p>
    <w:p w14:paraId="6A63225D" w14:textId="77777777" w:rsidR="00C977C0" w:rsidRPr="00520232" w:rsidRDefault="00C977C0" w:rsidP="00C977C0">
      <w:pPr>
        <w:rPr>
          <w:rFonts w:eastAsia="SimSun"/>
        </w:rPr>
      </w:pPr>
      <w:r w:rsidRPr="00520232">
        <w:rPr>
          <w:rFonts w:eastAsia="SimSun"/>
        </w:rPr>
        <w:t xml:space="preserve">Unless otherwise stated, the transmission on antenna port(s) </w:t>
      </w:r>
      <m:oMath>
        <m:r>
          <w:rPr>
            <w:rFonts w:ascii="Cambria Math" w:eastAsia="SimSun"/>
          </w:rPr>
          <m:t>p=</m:t>
        </m:r>
        <m:sSub>
          <m:sSubPr>
            <m:ctrlPr>
              <w:rPr>
                <w:rFonts w:ascii="Cambria Math" w:eastAsia="SimSun" w:hAnsi="Cambria Math"/>
                <w:i/>
              </w:rPr>
            </m:ctrlPr>
          </m:sSubPr>
          <m:e>
            <m:r>
              <w:rPr>
                <w:rFonts w:ascii="Cambria Math" w:eastAsia="SimSun"/>
              </w:rPr>
              <m:t>p</m:t>
            </m:r>
          </m:e>
          <m:sub>
            <m:r>
              <w:rPr>
                <w:rFonts w:ascii="Cambria Math" w:eastAsia="SimSun"/>
              </w:rPr>
              <m:t>0</m:t>
            </m:r>
          </m:sub>
        </m:sSub>
        <m:r>
          <w:rPr>
            <w:rFonts w:ascii="Cambria Math" w:eastAsia="SimSun"/>
          </w:rPr>
          <m:t xml:space="preserve">, </m:t>
        </m:r>
        <m:sSub>
          <m:sSubPr>
            <m:ctrlPr>
              <w:rPr>
                <w:rFonts w:ascii="Cambria Math" w:eastAsia="SimSun" w:hAnsi="Cambria Math"/>
                <w:i/>
              </w:rPr>
            </m:ctrlPr>
          </m:sSubPr>
          <m:e>
            <m:r>
              <w:rPr>
                <w:rFonts w:ascii="Cambria Math" w:eastAsia="SimSun"/>
              </w:rPr>
              <m:t>p</m:t>
            </m:r>
          </m:e>
          <m:sub>
            <m:r>
              <w:rPr>
                <w:rFonts w:ascii="Cambria Math" w:eastAsia="SimSun"/>
              </w:rPr>
              <m:t>0</m:t>
            </m:r>
          </m:sub>
        </m:sSub>
        <m:r>
          <w:rPr>
            <w:rFonts w:ascii="Cambria Math" w:eastAsia="SimSun"/>
          </w:rPr>
          <m:t xml:space="preserve">+1,..., </m:t>
        </m:r>
        <m:sSub>
          <m:sSubPr>
            <m:ctrlPr>
              <w:rPr>
                <w:rFonts w:ascii="Cambria Math" w:eastAsia="SimSun" w:hAnsi="Cambria Math"/>
                <w:i/>
              </w:rPr>
            </m:ctrlPr>
          </m:sSubPr>
          <m:e>
            <m:r>
              <w:rPr>
                <w:rFonts w:ascii="Cambria Math" w:eastAsia="SimSun"/>
              </w:rPr>
              <m:t>p</m:t>
            </m:r>
          </m:e>
          <m:sub>
            <m:r>
              <w:rPr>
                <w:rFonts w:ascii="Cambria Math" w:eastAsia="SimSun"/>
              </w:rPr>
              <m:t>0</m:t>
            </m:r>
          </m:sub>
        </m:sSub>
        <m:r>
          <w:rPr>
            <w:rFonts w:ascii="Cambria Math" w:eastAsia="SimSun"/>
          </w:rPr>
          <m:t>+</m:t>
        </m:r>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p</m:t>
            </m:r>
          </m:sub>
        </m:sSub>
        <m:r>
          <w:rPr>
            <w:rFonts w:ascii="Cambria Math" w:eastAsia="SimSun"/>
          </w:rPr>
          <m:t>-</m:t>
        </m:r>
        <m:r>
          <w:rPr>
            <w:rFonts w:ascii="Cambria Math" w:eastAsia="SimSun"/>
          </w:rPr>
          <m:t>1</m:t>
        </m:r>
      </m:oMath>
      <w:r w:rsidRPr="00520232">
        <w:rPr>
          <w:rFonts w:eastAsia="SimSun"/>
        </w:rPr>
        <w:t xml:space="preserve"> is defined by using a precoder matrix </w:t>
      </w:r>
      <w:r w:rsidRPr="00520232">
        <w:rPr>
          <w:rFonts w:eastAsia="SimSun"/>
          <w:position w:val="-10"/>
        </w:rPr>
        <w:object w:dxaOrig="540" w:dyaOrig="315" w14:anchorId="49F24086">
          <v:shape id="_x0000_i1114" type="#_x0000_t75" style="width:27.15pt;height:16.6pt" o:ole="">
            <v:imagedata r:id="rId201" o:title=""/>
          </v:shape>
          <o:OLEObject Type="Embed" ProgID="Equation.3" ShapeID="_x0000_i1114" DrawAspect="Content" ObjectID="_1734764494" r:id="rId202"/>
        </w:object>
      </w:r>
      <w:r w:rsidRPr="00520232">
        <w:rPr>
          <w:rFonts w:eastAsia="SimSun"/>
        </w:rPr>
        <w:t xml:space="preserve"> of size </w:t>
      </w:r>
      <m:oMath>
        <m:sSub>
          <m:sSubPr>
            <m:ctrlPr>
              <w:rPr>
                <w:rFonts w:ascii="Cambria Math" w:eastAsia="SimSun" w:hAnsi="Cambria Math"/>
                <w:i/>
              </w:rPr>
            </m:ctrlPr>
          </m:sSubPr>
          <m:e>
            <m:r>
              <w:rPr>
                <w:rFonts w:ascii="Cambria Math" w:eastAsia="SimSun"/>
              </w:rPr>
              <m:t>N</m:t>
            </m:r>
          </m:e>
          <m:sub>
            <m:r>
              <w:rPr>
                <w:rFonts w:ascii="Cambria Math" w:eastAsia="SimSun"/>
              </w:rPr>
              <m:t>ANT</m:t>
            </m:r>
          </m:sub>
        </m:sSub>
        <m:r>
          <w:rPr>
            <w:rFonts w:ascii="Cambria Math" w:eastAsia="SimSun"/>
          </w:rPr>
          <m:t>×</m:t>
        </m:r>
        <m:sSub>
          <m:sSubPr>
            <m:ctrlPr>
              <w:rPr>
                <w:rFonts w:ascii="Cambria Math" w:eastAsia="SimSun" w:hAnsi="Cambria Math"/>
                <w:i/>
              </w:rPr>
            </m:ctrlPr>
          </m:sSubPr>
          <m:e>
            <m:r>
              <w:rPr>
                <w:rFonts w:ascii="Cambria Math" w:eastAsia="SimSun"/>
              </w:rPr>
              <m:t>N</m:t>
            </m:r>
          </m:e>
          <m:sub>
            <m:r>
              <w:rPr>
                <w:rFonts w:ascii="Cambria Math" w:eastAsia="SimSun"/>
              </w:rPr>
              <m:t>p</m:t>
            </m:r>
          </m:sub>
        </m:sSub>
      </m:oMath>
      <w:r w:rsidRPr="00520232">
        <w:rPr>
          <w:rFonts w:eastAsia="SimSun"/>
        </w:rPr>
        <w:t xml:space="preserve">, where </w:t>
      </w:r>
      <m:oMath>
        <m:sSub>
          <m:sSubPr>
            <m:ctrlPr>
              <w:rPr>
                <w:rFonts w:ascii="Cambria Math" w:eastAsia="SimSun" w:hAnsi="Cambria Math"/>
                <w:i/>
              </w:rPr>
            </m:ctrlPr>
          </m:sSubPr>
          <m:e>
            <m:r>
              <w:rPr>
                <w:rFonts w:ascii="Cambria Math" w:eastAsia="SimSun"/>
              </w:rPr>
              <m:t>N</m:t>
            </m:r>
          </m:e>
          <m:sub>
            <m:r>
              <w:rPr>
                <w:rFonts w:ascii="Cambria Math" w:eastAsia="SimSun"/>
              </w:rPr>
              <m:t>ANT</m:t>
            </m:r>
          </m:sub>
        </m:sSub>
        <m:r>
          <w:rPr>
            <w:rFonts w:ascii="Cambria Math" w:eastAsia="SimSun"/>
          </w:rPr>
          <m:t xml:space="preserve"> </m:t>
        </m:r>
      </m:oMath>
      <w:r w:rsidRPr="00520232">
        <w:rPr>
          <w:rFonts w:eastAsia="SimSun"/>
        </w:rPr>
        <w:t xml:space="preserve">is the number of physical transmit antenna elements configured per test , </w:t>
      </w:r>
      <m:oMath>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p</m:t>
            </m:r>
          </m:sub>
        </m:sSub>
      </m:oMath>
      <w:r w:rsidRPr="00520232">
        <w:rPr>
          <w:rFonts w:eastAsia="SimSun"/>
        </w:rPr>
        <w:t xml:space="preserve"> is the number of ports for a reference signal or physical channel configured per test, and  </w:t>
      </w:r>
      <m:oMath>
        <m:sSub>
          <m:sSubPr>
            <m:ctrlPr>
              <w:rPr>
                <w:rFonts w:ascii="Cambria Math" w:eastAsia="SimSun" w:hAnsi="Cambria Math"/>
                <w:i/>
              </w:rPr>
            </m:ctrlPr>
          </m:sSubPr>
          <m:e>
            <m:r>
              <w:rPr>
                <w:rFonts w:ascii="Cambria Math" w:eastAsia="SimSun" w:hAnsi="Cambria Math"/>
              </w:rPr>
              <m:t>p</m:t>
            </m:r>
          </m:e>
          <m:sub>
            <m:r>
              <w:rPr>
                <w:rFonts w:ascii="Cambria Math" w:eastAsia="SimSun" w:hAnsi="Cambria Math"/>
              </w:rPr>
              <m:t>0</m:t>
            </m:r>
          </m:sub>
        </m:sSub>
      </m:oMath>
      <w:r w:rsidRPr="00520232">
        <w:rPr>
          <w:rFonts w:eastAsia="SimSun"/>
        </w:rPr>
        <w:t xml:space="preserve"> is the first port for that reference signal or physical channel as defined in clauses 7.3 and 7.4 in TS 38.211 [</w:t>
      </w:r>
      <w:r>
        <w:rPr>
          <w:rFonts w:eastAsia="SimSun"/>
        </w:rPr>
        <w:t>8</w:t>
      </w:r>
      <w:r w:rsidRPr="00520232">
        <w:rPr>
          <w:rFonts w:eastAsia="SimSun"/>
        </w:rPr>
        <w:t xml:space="preserve">]. This precoder takes as an input a block of signals for antenna port(s) </w:t>
      </w:r>
      <m:oMath>
        <m:r>
          <w:rPr>
            <w:rFonts w:ascii="Cambria Math" w:eastAsia="SimSun"/>
          </w:rPr>
          <m:t>p=</m:t>
        </m:r>
        <m:sSub>
          <m:sSubPr>
            <m:ctrlPr>
              <w:rPr>
                <w:rFonts w:ascii="Cambria Math" w:eastAsia="SimSun" w:hAnsi="Cambria Math"/>
                <w:i/>
              </w:rPr>
            </m:ctrlPr>
          </m:sSubPr>
          <m:e>
            <m:r>
              <w:rPr>
                <w:rFonts w:ascii="Cambria Math" w:eastAsia="SimSun"/>
              </w:rPr>
              <m:t>p</m:t>
            </m:r>
          </m:e>
          <m:sub>
            <m:r>
              <w:rPr>
                <w:rFonts w:ascii="Cambria Math" w:eastAsia="SimSun"/>
              </w:rPr>
              <m:t>0</m:t>
            </m:r>
          </m:sub>
        </m:sSub>
        <m:r>
          <w:rPr>
            <w:rFonts w:ascii="Cambria Math" w:eastAsia="SimSun"/>
          </w:rPr>
          <m:t>,</m:t>
        </m:r>
        <m:sSub>
          <m:sSubPr>
            <m:ctrlPr>
              <w:rPr>
                <w:rFonts w:ascii="Cambria Math" w:eastAsia="SimSun" w:hAnsi="Cambria Math"/>
                <w:i/>
              </w:rPr>
            </m:ctrlPr>
          </m:sSubPr>
          <m:e>
            <m:r>
              <w:rPr>
                <w:rFonts w:ascii="Cambria Math" w:eastAsia="SimSun"/>
              </w:rPr>
              <m:t>p</m:t>
            </m:r>
          </m:e>
          <m:sub>
            <m:r>
              <w:rPr>
                <w:rFonts w:ascii="Cambria Math" w:eastAsia="SimSun"/>
              </w:rPr>
              <m:t>0</m:t>
            </m:r>
          </m:sub>
        </m:sSub>
        <m:r>
          <w:rPr>
            <w:rFonts w:ascii="Cambria Math" w:eastAsia="SimSun"/>
          </w:rPr>
          <m:t>+1,...,</m:t>
        </m:r>
        <m:sSub>
          <m:sSubPr>
            <m:ctrlPr>
              <w:rPr>
                <w:rFonts w:ascii="Cambria Math" w:eastAsia="SimSun" w:hAnsi="Cambria Math"/>
                <w:i/>
              </w:rPr>
            </m:ctrlPr>
          </m:sSubPr>
          <m:e>
            <m:r>
              <w:rPr>
                <w:rFonts w:ascii="Cambria Math" w:eastAsia="SimSun" w:hAnsi="Cambria Math"/>
              </w:rPr>
              <m:t>p</m:t>
            </m:r>
          </m:e>
          <m:sub>
            <m:r>
              <w:rPr>
                <w:rFonts w:ascii="Cambria Math" w:eastAsia="SimSun" w:hAnsi="Cambria Math"/>
              </w:rPr>
              <m:t>0</m:t>
            </m:r>
          </m:sub>
        </m:sSub>
        <m:r>
          <w:rPr>
            <w:rFonts w:ascii="Cambria Math" w:eastAsia="SimSun"/>
          </w:rPr>
          <m:t>+</m:t>
        </m:r>
        <m:sSub>
          <m:sSubPr>
            <m:ctrlPr>
              <w:rPr>
                <w:rFonts w:ascii="Cambria Math" w:eastAsia="SimSun" w:hAnsi="Cambria Math"/>
                <w:i/>
              </w:rPr>
            </m:ctrlPr>
          </m:sSubPr>
          <m:e>
            <m:r>
              <w:rPr>
                <w:rFonts w:ascii="Cambria Math" w:eastAsia="SimSun"/>
              </w:rPr>
              <m:t>N</m:t>
            </m:r>
          </m:e>
          <m:sub>
            <m:r>
              <w:rPr>
                <w:rFonts w:ascii="Cambria Math" w:eastAsia="SimSun"/>
              </w:rPr>
              <m:t>p</m:t>
            </m:r>
          </m:sub>
        </m:sSub>
        <m:r>
          <w:rPr>
            <w:rFonts w:ascii="Cambria Math" w:eastAsia="SimSun"/>
          </w:rPr>
          <m:t>-</m:t>
        </m:r>
        <m:r>
          <w:rPr>
            <w:rFonts w:ascii="Cambria Math" w:eastAsia="SimSun"/>
          </w:rPr>
          <m:t>1</m:t>
        </m:r>
      </m:oMath>
      <w:r w:rsidRPr="00520232">
        <w:rPr>
          <w:rFonts w:eastAsia="SimSun"/>
        </w:rPr>
        <w:t xml:space="preserve">, </w:t>
      </w:r>
      <m:oMath>
        <m:sSup>
          <m:sSupPr>
            <m:ctrlPr>
              <w:rPr>
                <w:rFonts w:ascii="Cambria Math" w:eastAsia="SimSun" w:hAnsi="Cambria Math"/>
                <w:i/>
              </w:rPr>
            </m:ctrlPr>
          </m:sSupPr>
          <m:e>
            <m:r>
              <w:rPr>
                <w:rFonts w:ascii="Cambria Math" w:eastAsia="SimSun" w:hAnsi="Cambria Math"/>
              </w:rPr>
              <m:t>y</m:t>
            </m:r>
          </m:e>
          <m:sup>
            <m:d>
              <m:dPr>
                <m:ctrlPr>
                  <w:rPr>
                    <w:rFonts w:ascii="Cambria Math" w:eastAsia="SimSun" w:hAnsi="Cambria Math"/>
                    <w:i/>
                  </w:rPr>
                </m:ctrlPr>
              </m:dPr>
              <m:e>
                <m:r>
                  <w:rPr>
                    <w:rFonts w:ascii="Cambria Math" w:eastAsia="SimSun" w:hAnsi="Cambria Math"/>
                  </w:rPr>
                  <m:t>p</m:t>
                </m:r>
              </m:e>
            </m:d>
          </m:sup>
        </m:sSup>
        <m:d>
          <m:dPr>
            <m:ctrlPr>
              <w:rPr>
                <w:rFonts w:ascii="Cambria Math" w:eastAsia="SimSun" w:hAnsi="Cambria Math"/>
                <w:i/>
              </w:rPr>
            </m:ctrlPr>
          </m:dPr>
          <m:e>
            <m:r>
              <w:rPr>
                <w:rFonts w:ascii="Cambria Math" w:eastAsia="SimSun" w:hAnsi="Cambria Math"/>
              </w:rPr>
              <m:t>i</m:t>
            </m:r>
          </m:e>
        </m:d>
        <m:r>
          <w:rPr>
            <w:rFonts w:ascii="Cambria Math" w:eastAsia="SimSun" w:hAnsi="Cambria Math"/>
          </w:rPr>
          <m:t>=</m:t>
        </m:r>
        <m:sSup>
          <m:sSupPr>
            <m:ctrlPr>
              <w:rPr>
                <w:rFonts w:ascii="Cambria Math" w:eastAsia="SimSun" w:hAnsi="Cambria Math"/>
                <w:i/>
              </w:rPr>
            </m:ctrlPr>
          </m:sSupPr>
          <m:e>
            <m:d>
              <m:dPr>
                <m:begChr m:val="["/>
                <m:endChr m:val="]"/>
                <m:ctrlPr>
                  <w:rPr>
                    <w:rFonts w:ascii="Cambria Math" w:eastAsia="SimSun" w:hAnsi="Cambria Math"/>
                    <w:i/>
                  </w:rPr>
                </m:ctrlPr>
              </m:dPr>
              <m:e>
                <m:sSup>
                  <m:sSupPr>
                    <m:ctrlPr>
                      <w:rPr>
                        <w:rFonts w:ascii="Cambria Math" w:eastAsia="SimSun" w:hAnsi="Cambria Math"/>
                        <w:i/>
                      </w:rPr>
                    </m:ctrlPr>
                  </m:sSupPr>
                  <m:e>
                    <m:r>
                      <w:rPr>
                        <w:rFonts w:ascii="Cambria Math" w:eastAsia="SimSun" w:hAnsi="Cambria Math"/>
                      </w:rPr>
                      <m:t>y</m:t>
                    </m:r>
                  </m:e>
                  <m:sup>
                    <m:d>
                      <m:dPr>
                        <m:ctrlPr>
                          <w:rPr>
                            <w:rFonts w:ascii="Cambria Math" w:eastAsia="SimSun" w:hAnsi="Cambria Math"/>
                            <w:i/>
                          </w:rPr>
                        </m:ctrlPr>
                      </m:dPr>
                      <m:e>
                        <m:sSub>
                          <m:sSubPr>
                            <m:ctrlPr>
                              <w:rPr>
                                <w:rFonts w:ascii="Cambria Math" w:eastAsia="SimSun" w:hAnsi="Cambria Math"/>
                                <w:i/>
                              </w:rPr>
                            </m:ctrlPr>
                          </m:sSubPr>
                          <m:e>
                            <m:r>
                              <w:rPr>
                                <w:rFonts w:ascii="Cambria Math" w:eastAsia="SimSun" w:hAnsi="Cambria Math"/>
                              </w:rPr>
                              <m:t>p</m:t>
                            </m:r>
                          </m:e>
                          <m:sub>
                            <m:r>
                              <w:rPr>
                                <w:rFonts w:ascii="Cambria Math" w:eastAsia="SimSun" w:hAnsi="Cambria Math"/>
                              </w:rPr>
                              <m:t>0</m:t>
                            </m:r>
                          </m:sub>
                        </m:sSub>
                      </m:e>
                    </m:d>
                  </m:sup>
                </m:sSup>
                <m:d>
                  <m:dPr>
                    <m:ctrlPr>
                      <w:rPr>
                        <w:rFonts w:ascii="Cambria Math" w:eastAsia="SimSun" w:hAnsi="Cambria Math"/>
                        <w:i/>
                      </w:rPr>
                    </m:ctrlPr>
                  </m:dPr>
                  <m:e>
                    <m:r>
                      <w:rPr>
                        <w:rFonts w:ascii="Cambria Math" w:eastAsia="SimSun" w:hAnsi="Cambria Math"/>
                      </w:rPr>
                      <m:t>i</m:t>
                    </m:r>
                  </m:e>
                </m:d>
                <m:r>
                  <w:rPr>
                    <w:rFonts w:ascii="Cambria Math" w:eastAsia="SimSun" w:hAnsi="Cambria Math"/>
                  </w:rPr>
                  <m:t xml:space="preserve">  </m:t>
                </m:r>
                <m:sSup>
                  <m:sSupPr>
                    <m:ctrlPr>
                      <w:rPr>
                        <w:rFonts w:ascii="Cambria Math" w:eastAsia="SimSun" w:hAnsi="Cambria Math"/>
                        <w:i/>
                      </w:rPr>
                    </m:ctrlPr>
                  </m:sSupPr>
                  <m:e>
                    <m:r>
                      <w:rPr>
                        <w:rFonts w:ascii="Cambria Math" w:eastAsia="SimSun" w:hAnsi="Cambria Math"/>
                      </w:rPr>
                      <m:t>y</m:t>
                    </m:r>
                  </m:e>
                  <m:sup>
                    <m:d>
                      <m:dPr>
                        <m:ctrlPr>
                          <w:rPr>
                            <w:rFonts w:ascii="Cambria Math" w:eastAsia="SimSun" w:hAnsi="Cambria Math"/>
                            <w:i/>
                          </w:rPr>
                        </m:ctrlPr>
                      </m:dPr>
                      <m:e>
                        <m:sSub>
                          <m:sSubPr>
                            <m:ctrlPr>
                              <w:rPr>
                                <w:rFonts w:ascii="Cambria Math" w:eastAsia="SimSun" w:hAnsi="Cambria Math"/>
                                <w:i/>
                              </w:rPr>
                            </m:ctrlPr>
                          </m:sSubPr>
                          <m:e>
                            <m:r>
                              <w:rPr>
                                <w:rFonts w:ascii="Cambria Math" w:eastAsia="SimSun" w:hAnsi="Cambria Math"/>
                              </w:rPr>
                              <m:t>p</m:t>
                            </m:r>
                          </m:e>
                          <m:sub>
                            <m:r>
                              <w:rPr>
                                <w:rFonts w:ascii="Cambria Math" w:eastAsia="SimSun" w:hAnsi="Cambria Math"/>
                              </w:rPr>
                              <m:t>0</m:t>
                            </m:r>
                          </m:sub>
                        </m:sSub>
                        <m:r>
                          <w:rPr>
                            <w:rFonts w:ascii="Cambria Math" w:eastAsia="SimSun" w:hAnsi="Cambria Math"/>
                          </w:rPr>
                          <m:t>+1</m:t>
                        </m:r>
                      </m:e>
                    </m:d>
                  </m:sup>
                </m:sSup>
                <m:d>
                  <m:dPr>
                    <m:ctrlPr>
                      <w:rPr>
                        <w:rFonts w:ascii="Cambria Math" w:eastAsia="SimSun" w:hAnsi="Cambria Math"/>
                        <w:i/>
                      </w:rPr>
                    </m:ctrlPr>
                  </m:dPr>
                  <m:e>
                    <m:r>
                      <w:rPr>
                        <w:rFonts w:ascii="Cambria Math" w:eastAsia="SimSun" w:hAnsi="Cambria Math"/>
                      </w:rPr>
                      <m:t>i</m:t>
                    </m:r>
                  </m:e>
                </m:d>
                <m:r>
                  <w:rPr>
                    <w:rFonts w:ascii="Cambria Math" w:eastAsia="SimSun" w:hAnsi="Cambria Math"/>
                  </w:rPr>
                  <m:t xml:space="preserve"> …   </m:t>
                </m:r>
                <m:sSup>
                  <m:sSupPr>
                    <m:ctrlPr>
                      <w:rPr>
                        <w:rFonts w:ascii="Cambria Math" w:eastAsia="SimSun" w:hAnsi="Cambria Math"/>
                        <w:i/>
                      </w:rPr>
                    </m:ctrlPr>
                  </m:sSupPr>
                  <m:e>
                    <m:r>
                      <w:rPr>
                        <w:rFonts w:ascii="Cambria Math" w:eastAsia="SimSun" w:hAnsi="Cambria Math"/>
                      </w:rPr>
                      <m:t>y</m:t>
                    </m:r>
                  </m:e>
                  <m:sup>
                    <m:d>
                      <m:dPr>
                        <m:ctrlPr>
                          <w:rPr>
                            <w:rFonts w:ascii="Cambria Math" w:eastAsia="SimSun" w:hAnsi="Cambria Math"/>
                            <w:i/>
                          </w:rPr>
                        </m:ctrlPr>
                      </m:dPr>
                      <m:e>
                        <m:sSub>
                          <m:sSubPr>
                            <m:ctrlPr>
                              <w:rPr>
                                <w:rFonts w:ascii="Cambria Math" w:eastAsia="SimSun" w:hAnsi="Cambria Math"/>
                                <w:i/>
                              </w:rPr>
                            </m:ctrlPr>
                          </m:sSubPr>
                          <m:e>
                            <m:r>
                              <w:rPr>
                                <w:rFonts w:ascii="Cambria Math" w:eastAsia="SimSun" w:hAnsi="Cambria Math"/>
                              </w:rPr>
                              <m:t>p</m:t>
                            </m:r>
                          </m:e>
                          <m:sub>
                            <m:r>
                              <w:rPr>
                                <w:rFonts w:ascii="Cambria Math" w:eastAsia="SimSun" w:hAnsi="Cambria Math"/>
                              </w:rPr>
                              <m:t>0</m:t>
                            </m:r>
                          </m:sub>
                        </m:sSub>
                        <m:r>
                          <w:rPr>
                            <w:rFonts w:ascii="Cambria Math" w:eastAsia="SimSun" w:hAnsi="Cambria Math"/>
                          </w:rPr>
                          <m:t>+</m:t>
                        </m:r>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p</m:t>
                            </m:r>
                          </m:sub>
                        </m:sSub>
                        <m:r>
                          <w:rPr>
                            <w:rFonts w:ascii="Cambria Math" w:eastAsia="SimSun" w:hAnsi="Cambria Math"/>
                          </w:rPr>
                          <m:t>-1</m:t>
                        </m:r>
                      </m:e>
                    </m:d>
                  </m:sup>
                </m:sSup>
                <m:d>
                  <m:dPr>
                    <m:ctrlPr>
                      <w:rPr>
                        <w:rFonts w:ascii="Cambria Math" w:eastAsia="SimSun" w:hAnsi="Cambria Math"/>
                        <w:i/>
                      </w:rPr>
                    </m:ctrlPr>
                  </m:dPr>
                  <m:e>
                    <m:r>
                      <w:rPr>
                        <w:rFonts w:ascii="Cambria Math" w:eastAsia="SimSun" w:hAnsi="Cambria Math"/>
                      </w:rPr>
                      <m:t>i</m:t>
                    </m:r>
                  </m:e>
                </m:d>
              </m:e>
            </m:d>
          </m:e>
          <m:sup>
            <m:r>
              <w:rPr>
                <w:rFonts w:ascii="Cambria Math" w:eastAsia="SimSun" w:hAnsi="Cambria Math"/>
              </w:rPr>
              <m:t>T</m:t>
            </m:r>
          </m:sup>
        </m:sSup>
      </m:oMath>
      <w:r w:rsidRPr="00520232">
        <w:rPr>
          <w:rFonts w:eastAsia="SimSun"/>
        </w:rPr>
        <w:t xml:space="preserve">, </w:t>
      </w:r>
      <w:r w:rsidRPr="00520232">
        <w:rPr>
          <w:rFonts w:eastAsia="SimSun"/>
          <w:position w:val="-14"/>
        </w:rPr>
        <w:object w:dxaOrig="1845" w:dyaOrig="405" w14:anchorId="6DA23F00">
          <v:shape id="_x0000_i1115" type="#_x0000_t75" style="width:93.6pt;height:21.05pt" o:ole="">
            <v:imagedata r:id="rId203" o:title=""/>
          </v:shape>
          <o:OLEObject Type="Embed" ProgID="Equation.3" ShapeID="_x0000_i1115" DrawAspect="Content" ObjectID="_1734764495" r:id="rId204"/>
        </w:object>
      </w:r>
      <w:r w:rsidRPr="00520232">
        <w:rPr>
          <w:rFonts w:eastAsia="SimSun"/>
        </w:rPr>
        <w:t xml:space="preserve">, with </w:t>
      </w:r>
      <w:r w:rsidRPr="00520232">
        <w:rPr>
          <w:rFonts w:eastAsia="SimSun"/>
          <w:position w:val="-14"/>
        </w:rPr>
        <w:object w:dxaOrig="540" w:dyaOrig="390" w14:anchorId="0457D98A">
          <v:shape id="_x0000_i1116" type="#_x0000_t75" style="width:27.15pt;height:19.4pt" o:ole="">
            <v:imagedata r:id="rId205" o:title=""/>
          </v:shape>
          <o:OLEObject Type="Embed" ProgID="Equation.3" ShapeID="_x0000_i1116" DrawAspect="Content" ObjectID="_1734764496" r:id="rId206"/>
        </w:object>
      </w:r>
      <w:r w:rsidRPr="00520232">
        <w:rPr>
          <w:rFonts w:eastAsia="SimSun"/>
        </w:rPr>
        <w:t xml:space="preserve"> being</w:t>
      </w:r>
      <w:r w:rsidRPr="00520232">
        <w:rPr>
          <w:rFonts w:eastAsia="SimSun"/>
          <w:lang w:eastAsia="zh-CN"/>
        </w:rPr>
        <w:t xml:space="preserve"> </w:t>
      </w:r>
      <w:r w:rsidRPr="00520232">
        <w:rPr>
          <w:rFonts w:eastAsia="SimSun"/>
        </w:rPr>
        <w:t xml:space="preserve">the number of modulation symbols per antenna port including the reference signal symbols, and generates a block of signals </w:t>
      </w:r>
      <m:oMath>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r>
                  <w:rPr>
                    <w:rFonts w:ascii="Cambria Math" w:eastAsia="SimSun" w:hAnsi="Cambria Math"/>
                  </w:rPr>
                  <m:t>q</m:t>
                </m:r>
              </m:e>
            </m:d>
          </m:sup>
        </m:sSubSup>
        <m:d>
          <m:dPr>
            <m:ctrlPr>
              <w:rPr>
                <w:rFonts w:ascii="Cambria Math" w:eastAsia="SimSun" w:hAnsi="Cambria Math"/>
                <w:i/>
              </w:rPr>
            </m:ctrlPr>
          </m:dPr>
          <m:e>
            <m:r>
              <w:rPr>
                <w:rFonts w:ascii="Cambria Math" w:eastAsia="SimSun" w:hAnsi="Cambria Math"/>
              </w:rPr>
              <m:t>i</m:t>
            </m:r>
          </m:e>
        </m:d>
        <m:r>
          <w:rPr>
            <w:rFonts w:ascii="Cambria Math" w:eastAsia="SimSun" w:hAnsi="Cambria Math"/>
          </w:rPr>
          <m:t>=</m:t>
        </m:r>
        <m:sSup>
          <m:sSupPr>
            <m:ctrlPr>
              <w:rPr>
                <w:rFonts w:ascii="Cambria Math" w:eastAsia="SimSun" w:hAnsi="Cambria Math"/>
                <w:i/>
              </w:rPr>
            </m:ctrlPr>
          </m:sSupPr>
          <m:e>
            <m:d>
              <m:dPr>
                <m:begChr m:val="["/>
                <m:endChr m:val="]"/>
                <m:ctrlPr>
                  <w:rPr>
                    <w:rFonts w:ascii="Cambria Math" w:eastAsia="SimSun" w:hAnsi="Cambria Math"/>
                    <w:i/>
                  </w:rPr>
                </m:ctrlPr>
              </m:dPr>
              <m:e>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r>
                          <w:rPr>
                            <w:rFonts w:ascii="Cambria Math" w:eastAsia="SimSun" w:hAnsi="Cambria Math"/>
                          </w:rPr>
                          <m:t>0</m:t>
                        </m:r>
                      </m:e>
                    </m:d>
                  </m:sup>
                </m:sSubSup>
                <m:d>
                  <m:dPr>
                    <m:ctrlPr>
                      <w:rPr>
                        <w:rFonts w:ascii="Cambria Math" w:eastAsia="SimSun" w:hAnsi="Cambria Math"/>
                        <w:i/>
                      </w:rPr>
                    </m:ctrlPr>
                  </m:dPr>
                  <m:e>
                    <m:r>
                      <w:rPr>
                        <w:rFonts w:ascii="Cambria Math" w:eastAsia="SimSun" w:hAnsi="Cambria Math"/>
                      </w:rPr>
                      <m:t>i</m:t>
                    </m:r>
                  </m:e>
                </m:d>
                <m:r>
                  <w:rPr>
                    <w:rFonts w:ascii="Cambria Math" w:eastAsia="SimSun" w:hAnsi="Cambria Math"/>
                  </w:rPr>
                  <m:t xml:space="preserve">  </m:t>
                </m:r>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r>
                          <w:rPr>
                            <w:rFonts w:ascii="Cambria Math" w:eastAsia="SimSun" w:hAnsi="Cambria Math"/>
                          </w:rPr>
                          <m:t>1</m:t>
                        </m:r>
                      </m:e>
                    </m:d>
                  </m:sup>
                </m:sSubSup>
                <m:d>
                  <m:dPr>
                    <m:ctrlPr>
                      <w:rPr>
                        <w:rFonts w:ascii="Cambria Math" w:eastAsia="SimSun" w:hAnsi="Cambria Math"/>
                        <w:i/>
                      </w:rPr>
                    </m:ctrlPr>
                  </m:dPr>
                  <m:e>
                    <m:r>
                      <w:rPr>
                        <w:rFonts w:ascii="Cambria Math" w:eastAsia="SimSun" w:hAnsi="Cambria Math"/>
                      </w:rPr>
                      <m:t>i</m:t>
                    </m:r>
                  </m:e>
                </m:d>
                <m:r>
                  <w:rPr>
                    <w:rFonts w:ascii="Cambria Math" w:eastAsia="SimSun" w:hAnsi="Cambria Math"/>
                  </w:rPr>
                  <m:t xml:space="preserve"> …   </m:t>
                </m:r>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ANT</m:t>
                            </m:r>
                          </m:sub>
                        </m:sSub>
                        <m:r>
                          <w:rPr>
                            <w:rFonts w:ascii="Cambria Math" w:eastAsia="SimSun" w:hAnsi="Cambria Math"/>
                          </w:rPr>
                          <m:t>-1</m:t>
                        </m:r>
                      </m:e>
                    </m:d>
                  </m:sup>
                </m:sSubSup>
                <m:d>
                  <m:dPr>
                    <m:ctrlPr>
                      <w:rPr>
                        <w:rFonts w:ascii="Cambria Math" w:eastAsia="SimSun" w:hAnsi="Cambria Math"/>
                        <w:i/>
                      </w:rPr>
                    </m:ctrlPr>
                  </m:dPr>
                  <m:e>
                    <m:r>
                      <w:rPr>
                        <w:rFonts w:ascii="Cambria Math" w:eastAsia="SimSun" w:hAnsi="Cambria Math"/>
                      </w:rPr>
                      <m:t>i</m:t>
                    </m:r>
                  </m:e>
                </m:d>
              </m:e>
            </m:d>
          </m:e>
          <m:sup>
            <m:r>
              <w:rPr>
                <w:rFonts w:ascii="Cambria Math" w:eastAsia="SimSun" w:hAnsi="Cambria Math"/>
              </w:rPr>
              <m:t>T</m:t>
            </m:r>
          </m:sup>
        </m:sSup>
      </m:oMath>
      <w:r w:rsidRPr="00520232">
        <w:rPr>
          <w:rFonts w:eastAsia="SimSun"/>
        </w:rPr>
        <w:t xml:space="preserve"> the elements of which are to be mapped onto the frequency-time index pair </w:t>
      </w:r>
      <w:r w:rsidRPr="00520232">
        <w:rPr>
          <w:rFonts w:eastAsia="SimSun"/>
          <w:position w:val="-10"/>
        </w:rPr>
        <w:object w:dxaOrig="540" w:dyaOrig="390" w14:anchorId="39414465">
          <v:shape id="_x0000_i1117" type="#_x0000_t75" style="width:27.15pt;height:19.4pt" o:ole="">
            <v:imagedata r:id="rId207" o:title=""/>
          </v:shape>
          <o:OLEObject Type="Embed" ProgID="Equation.3" ShapeID="_x0000_i1117" DrawAspect="Content" ObjectID="_1734764497" r:id="rId208"/>
        </w:object>
      </w:r>
      <w:r w:rsidRPr="00520232">
        <w:rPr>
          <w:rFonts w:eastAsia="SimSun"/>
        </w:rPr>
        <w:t>as per the test configuration but transmitted on different physical antenna elements:</w:t>
      </w:r>
    </w:p>
    <w:p w14:paraId="782A494F" w14:textId="77777777" w:rsidR="00C977C0" w:rsidRPr="00520232" w:rsidRDefault="00000000" w:rsidP="00C977C0">
      <w:pPr>
        <w:keepLines/>
        <w:tabs>
          <w:tab w:val="center" w:pos="4536"/>
          <w:tab w:val="right" w:pos="9072"/>
        </w:tabs>
        <w:rPr>
          <w:rFonts w:ascii="CG Times (WN)" w:eastAsia="DengXian" w:hAnsi="CG Times (WN)"/>
          <w:lang w:val="fr-FR"/>
        </w:rPr>
      </w:pPr>
      <m:oMathPara>
        <m:oMath>
          <m:sSubSup>
            <m:sSubSupPr>
              <m:ctrlPr>
                <w:rPr>
                  <w:rFonts w:ascii="Cambria Math" w:eastAsia="DengXian" w:hAnsi="Cambria Math"/>
                  <w:noProof/>
                </w:rPr>
              </m:ctrlPr>
            </m:sSubSupPr>
            <m:e>
              <m:r>
                <w:rPr>
                  <w:rFonts w:ascii="Cambria Math" w:eastAsia="DengXian" w:hAnsi="Cambria Math"/>
                  <w:noProof/>
                  <w:lang w:val="fr-FR"/>
                </w:rPr>
                <m:t>y</m:t>
              </m:r>
            </m:e>
            <m:sub>
              <m:r>
                <w:rPr>
                  <w:rFonts w:ascii="Cambria Math" w:eastAsia="DengXian" w:hAnsi="Cambria Math"/>
                  <w:noProof/>
                  <w:lang w:val="fr-FR"/>
                </w:rPr>
                <m:t>bf</m:t>
              </m:r>
            </m:sub>
            <m:sup>
              <m:d>
                <m:dPr>
                  <m:ctrlPr>
                    <w:rPr>
                      <w:rFonts w:ascii="Cambria Math" w:eastAsia="DengXian" w:hAnsi="Cambria Math"/>
                      <w:noProof/>
                    </w:rPr>
                  </m:ctrlPr>
                </m:dPr>
                <m:e>
                  <m:r>
                    <w:rPr>
                      <w:rFonts w:ascii="Cambria Math" w:eastAsia="DengXian" w:hAnsi="Cambria Math"/>
                      <w:noProof/>
                      <w:lang w:val="fr-FR"/>
                    </w:rPr>
                    <m:t>q</m:t>
                  </m:r>
                </m:e>
              </m:d>
            </m:sup>
          </m:sSubSup>
          <m:d>
            <m:dPr>
              <m:ctrlPr>
                <w:rPr>
                  <w:rFonts w:ascii="Cambria Math" w:eastAsia="DengXian" w:hAnsi="Cambria Math"/>
                  <w:noProof/>
                </w:rPr>
              </m:ctrlPr>
            </m:dPr>
            <m:e>
              <m:r>
                <w:rPr>
                  <w:rFonts w:ascii="Cambria Math" w:eastAsia="DengXian" w:hAnsi="Cambria Math"/>
                  <w:noProof/>
                  <w:lang w:val="fr-FR"/>
                </w:rPr>
                <m:t>i</m:t>
              </m:r>
            </m:e>
          </m:d>
          <m:r>
            <m:rPr>
              <m:sty m:val="p"/>
            </m:rPr>
            <w:rPr>
              <w:rFonts w:ascii="Cambria Math" w:eastAsia="DengXian" w:hAnsi="Cambria Math"/>
              <w:noProof/>
              <w:lang w:val="fr-FR"/>
            </w:rPr>
            <m:t>=</m:t>
          </m:r>
          <m:r>
            <w:rPr>
              <w:rFonts w:ascii="Cambria Math" w:eastAsia="DengXian" w:hAnsi="Cambria Math"/>
              <w:noProof/>
              <w:lang w:val="fr-FR"/>
            </w:rPr>
            <m:t>W</m:t>
          </m:r>
          <m:d>
            <m:dPr>
              <m:ctrlPr>
                <w:rPr>
                  <w:rFonts w:ascii="Cambria Math" w:eastAsia="DengXian" w:hAnsi="Cambria Math"/>
                  <w:noProof/>
                </w:rPr>
              </m:ctrlPr>
            </m:dPr>
            <m:e>
              <m:r>
                <w:rPr>
                  <w:rFonts w:ascii="Cambria Math" w:eastAsia="DengXian" w:hAnsi="Cambria Math"/>
                  <w:noProof/>
                  <w:lang w:val="fr-FR"/>
                </w:rPr>
                <m:t>i</m:t>
              </m:r>
            </m:e>
          </m:d>
          <m:sSup>
            <m:sSupPr>
              <m:ctrlPr>
                <w:rPr>
                  <w:rFonts w:ascii="Cambria Math" w:eastAsia="DengXian" w:hAnsi="Cambria Math"/>
                  <w:noProof/>
                </w:rPr>
              </m:ctrlPr>
            </m:sSupPr>
            <m:e>
              <m:r>
                <w:rPr>
                  <w:rFonts w:ascii="Cambria Math" w:eastAsia="DengXian" w:hAnsi="Cambria Math"/>
                  <w:noProof/>
                  <w:lang w:val="fr-FR"/>
                </w:rPr>
                <m:t>y</m:t>
              </m:r>
            </m:e>
            <m:sup>
              <m:d>
                <m:dPr>
                  <m:ctrlPr>
                    <w:rPr>
                      <w:rFonts w:ascii="Cambria Math" w:eastAsia="DengXian" w:hAnsi="Cambria Math"/>
                      <w:noProof/>
                    </w:rPr>
                  </m:ctrlPr>
                </m:dPr>
                <m:e>
                  <m:r>
                    <w:rPr>
                      <w:rFonts w:ascii="Cambria Math" w:eastAsia="DengXian" w:hAnsi="Cambria Math"/>
                      <w:noProof/>
                      <w:lang w:val="fr-FR"/>
                    </w:rPr>
                    <m:t>p</m:t>
                  </m:r>
                </m:e>
              </m:d>
            </m:sup>
          </m:sSup>
          <m:r>
            <m:rPr>
              <m:sty m:val="p"/>
            </m:rPr>
            <w:rPr>
              <w:rFonts w:ascii="Cambria Math" w:eastAsia="DengXian" w:hAnsi="Cambria Math"/>
              <w:noProof/>
              <w:lang w:val="fr-FR"/>
            </w:rPr>
            <m:t>(</m:t>
          </m:r>
          <m:r>
            <w:rPr>
              <w:rFonts w:ascii="Cambria Math" w:eastAsia="DengXian" w:hAnsi="Cambria Math"/>
              <w:noProof/>
              <w:lang w:val="fr-FR"/>
            </w:rPr>
            <m:t>i</m:t>
          </m:r>
          <m:r>
            <m:rPr>
              <m:sty m:val="p"/>
            </m:rPr>
            <w:rPr>
              <w:rFonts w:ascii="Cambria Math" w:eastAsia="DengXian" w:hAnsi="Cambria Math"/>
              <w:noProof/>
              <w:lang w:val="fr-FR"/>
            </w:rPr>
            <m:t>)</m:t>
          </m:r>
        </m:oMath>
      </m:oMathPara>
    </w:p>
    <w:p w14:paraId="094B61C0" w14:textId="77777777" w:rsidR="00C977C0" w:rsidRPr="00520232" w:rsidRDefault="00C977C0" w:rsidP="00C977C0">
      <w:pPr>
        <w:rPr>
          <w:rFonts w:eastAsia="SimSun"/>
        </w:rPr>
      </w:pPr>
      <w:r w:rsidRPr="00520232">
        <w:rPr>
          <w:rFonts w:eastAsia="SimSun"/>
        </w:rPr>
        <w:t xml:space="preserve">For Clause </w:t>
      </w:r>
      <w:r>
        <w:rPr>
          <w:rFonts w:eastAsia="SimSun"/>
        </w:rPr>
        <w:t>8.2.3</w:t>
      </w:r>
      <w:r w:rsidRPr="00520232">
        <w:rPr>
          <w:rFonts w:eastAsia="SimSun"/>
        </w:rPr>
        <w:t xml:space="preserve"> and </w:t>
      </w:r>
      <w:r>
        <w:rPr>
          <w:rFonts w:eastAsia="SimSun"/>
        </w:rPr>
        <w:t>11.2.3</w:t>
      </w:r>
      <w:r w:rsidRPr="00520232">
        <w:rPr>
          <w:rFonts w:eastAsia="SimSun"/>
        </w:rPr>
        <w:t xml:space="preserve">, the transmission of PDCCH and PDCCH DMRS on antenna port </w:t>
      </w:r>
      <m:oMath>
        <m:r>
          <w:rPr>
            <w:rFonts w:ascii="Cambria Math" w:eastAsia="SimSun"/>
          </w:rPr>
          <m:t>p=</m:t>
        </m:r>
        <m:sSub>
          <m:sSubPr>
            <m:ctrlPr>
              <w:rPr>
                <w:rFonts w:ascii="Cambria Math" w:eastAsia="SimSun" w:hAnsi="Cambria Math"/>
                <w:i/>
              </w:rPr>
            </m:ctrlPr>
          </m:sSubPr>
          <m:e>
            <m:r>
              <w:rPr>
                <w:rFonts w:ascii="Cambria Math" w:eastAsia="SimSun"/>
              </w:rPr>
              <m:t>p</m:t>
            </m:r>
          </m:e>
          <m:sub>
            <m:r>
              <w:rPr>
                <w:rFonts w:ascii="Cambria Math" w:eastAsia="SimSun"/>
              </w:rPr>
              <m:t>0</m:t>
            </m:r>
          </m:sub>
        </m:sSub>
      </m:oMath>
      <w:r w:rsidRPr="00520232">
        <w:rPr>
          <w:rFonts w:eastAsia="SimSun"/>
        </w:rPr>
        <w:t xml:space="preserve"> is defined by using a precoder matrix </w:t>
      </w:r>
      <w:r w:rsidRPr="00520232">
        <w:rPr>
          <w:rFonts w:eastAsia="SimSun"/>
          <w:position w:val="-10"/>
        </w:rPr>
        <w:object w:dxaOrig="540" w:dyaOrig="330" w14:anchorId="17E9B88D">
          <v:shape id="_x0000_i1118" type="#_x0000_t75" style="width:27.15pt;height:17.15pt" o:ole="">
            <v:imagedata r:id="rId201" o:title=""/>
          </v:shape>
          <o:OLEObject Type="Embed" ProgID="Equation.3" ShapeID="_x0000_i1118" DrawAspect="Content" ObjectID="_1734764498" r:id="rId209"/>
        </w:object>
      </w:r>
      <w:r w:rsidRPr="00520232">
        <w:rPr>
          <w:rFonts w:eastAsia="SimSun"/>
        </w:rPr>
        <w:t xml:space="preserve"> of size 2x1. This precoder takes as an input a block of signals for antenna port(s) </w:t>
      </w:r>
      <m:oMath>
        <m:r>
          <w:rPr>
            <w:rFonts w:ascii="Cambria Math" w:eastAsia="SimSun"/>
          </w:rPr>
          <m:t>p=</m:t>
        </m:r>
        <m:sSub>
          <m:sSubPr>
            <m:ctrlPr>
              <w:rPr>
                <w:rFonts w:ascii="Cambria Math" w:eastAsia="SimSun" w:hAnsi="Cambria Math"/>
                <w:i/>
              </w:rPr>
            </m:ctrlPr>
          </m:sSubPr>
          <m:e>
            <m:r>
              <w:rPr>
                <w:rFonts w:ascii="Cambria Math" w:eastAsia="SimSun"/>
              </w:rPr>
              <m:t>p</m:t>
            </m:r>
          </m:e>
          <m:sub>
            <m:r>
              <w:rPr>
                <w:rFonts w:ascii="Cambria Math" w:eastAsia="SimSun"/>
              </w:rPr>
              <m:t>0</m:t>
            </m:r>
          </m:sub>
        </m:sSub>
      </m:oMath>
      <w:r w:rsidRPr="00520232">
        <w:rPr>
          <w:rFonts w:eastAsia="SimSun"/>
        </w:rPr>
        <w:t xml:space="preserve">, </w:t>
      </w:r>
      <m:oMath>
        <m:sSup>
          <m:sSupPr>
            <m:ctrlPr>
              <w:rPr>
                <w:rFonts w:ascii="Cambria Math" w:eastAsia="SimSun" w:hAnsi="Cambria Math"/>
                <w:i/>
              </w:rPr>
            </m:ctrlPr>
          </m:sSupPr>
          <m:e>
            <m:r>
              <w:rPr>
                <w:rFonts w:ascii="Cambria Math" w:eastAsia="SimSun" w:hAnsi="Cambria Math"/>
              </w:rPr>
              <m:t>y</m:t>
            </m:r>
          </m:e>
          <m:sup>
            <m:d>
              <m:dPr>
                <m:ctrlPr>
                  <w:rPr>
                    <w:rFonts w:ascii="Cambria Math" w:eastAsia="SimSun" w:hAnsi="Cambria Math"/>
                    <w:i/>
                  </w:rPr>
                </m:ctrlPr>
              </m:dPr>
              <m:e>
                <m:r>
                  <w:rPr>
                    <w:rFonts w:ascii="Cambria Math" w:eastAsia="SimSun" w:hAnsi="Cambria Math"/>
                  </w:rPr>
                  <m:t>p</m:t>
                </m:r>
              </m:e>
            </m:d>
          </m:sup>
        </m:sSup>
        <m:d>
          <m:dPr>
            <m:ctrlPr>
              <w:rPr>
                <w:rFonts w:ascii="Cambria Math" w:eastAsia="SimSun" w:hAnsi="Cambria Math"/>
                <w:i/>
              </w:rPr>
            </m:ctrlPr>
          </m:dPr>
          <m:e>
            <m:r>
              <w:rPr>
                <w:rFonts w:ascii="Cambria Math" w:eastAsia="SimSun" w:hAnsi="Cambria Math"/>
              </w:rPr>
              <m:t>i</m:t>
            </m:r>
          </m:e>
        </m:d>
        <m:r>
          <w:rPr>
            <w:rFonts w:ascii="Cambria Math" w:eastAsia="SimSun" w:hAnsi="Cambria Math"/>
          </w:rPr>
          <m:t>=</m:t>
        </m:r>
        <m:sSup>
          <m:sSupPr>
            <m:ctrlPr>
              <w:rPr>
                <w:rFonts w:ascii="Cambria Math" w:eastAsia="SimSun" w:hAnsi="Cambria Math"/>
                <w:i/>
              </w:rPr>
            </m:ctrlPr>
          </m:sSupPr>
          <m:e>
            <m:r>
              <w:rPr>
                <w:rFonts w:ascii="Cambria Math" w:eastAsia="SimSun" w:hAnsi="Cambria Math"/>
              </w:rPr>
              <m:t>y</m:t>
            </m:r>
          </m:e>
          <m:sup>
            <m:d>
              <m:dPr>
                <m:ctrlPr>
                  <w:rPr>
                    <w:rFonts w:ascii="Cambria Math" w:eastAsia="SimSun" w:hAnsi="Cambria Math"/>
                    <w:i/>
                  </w:rPr>
                </m:ctrlPr>
              </m:dPr>
              <m:e>
                <m:sSub>
                  <m:sSubPr>
                    <m:ctrlPr>
                      <w:rPr>
                        <w:rFonts w:ascii="Cambria Math" w:eastAsia="SimSun" w:hAnsi="Cambria Math"/>
                        <w:i/>
                      </w:rPr>
                    </m:ctrlPr>
                  </m:sSubPr>
                  <m:e>
                    <m:r>
                      <w:rPr>
                        <w:rFonts w:ascii="Cambria Math" w:eastAsia="SimSun" w:hAnsi="Cambria Math"/>
                      </w:rPr>
                      <m:t>p</m:t>
                    </m:r>
                  </m:e>
                  <m:sub>
                    <m:r>
                      <w:rPr>
                        <w:rFonts w:ascii="Cambria Math" w:eastAsia="SimSun" w:hAnsi="Cambria Math"/>
                      </w:rPr>
                      <m:t>0</m:t>
                    </m:r>
                  </m:sub>
                </m:sSub>
              </m:e>
            </m:d>
          </m:sup>
        </m:sSup>
        <m:d>
          <m:dPr>
            <m:ctrlPr>
              <w:rPr>
                <w:rFonts w:ascii="Cambria Math" w:eastAsia="SimSun" w:hAnsi="Cambria Math"/>
                <w:i/>
              </w:rPr>
            </m:ctrlPr>
          </m:dPr>
          <m:e>
            <m:r>
              <w:rPr>
                <w:rFonts w:ascii="Cambria Math" w:eastAsia="SimSun" w:hAnsi="Cambria Math"/>
              </w:rPr>
              <m:t>i</m:t>
            </m:r>
          </m:e>
        </m:d>
      </m:oMath>
      <w:r w:rsidRPr="00520232">
        <w:rPr>
          <w:rFonts w:eastAsia="SimSun"/>
        </w:rPr>
        <w:t xml:space="preserve"> and generates a block of signals </w:t>
      </w:r>
      <m:oMath>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r>
                  <w:rPr>
                    <w:rFonts w:ascii="Cambria Math" w:eastAsia="SimSun" w:hAnsi="Cambria Math"/>
                  </w:rPr>
                  <m:t>q</m:t>
                </m:r>
              </m:e>
            </m:d>
          </m:sup>
        </m:sSubSup>
        <m:d>
          <m:dPr>
            <m:ctrlPr>
              <w:rPr>
                <w:rFonts w:ascii="Cambria Math" w:eastAsia="SimSun" w:hAnsi="Cambria Math"/>
                <w:i/>
              </w:rPr>
            </m:ctrlPr>
          </m:dPr>
          <m:e>
            <m:r>
              <w:rPr>
                <w:rFonts w:ascii="Cambria Math" w:eastAsia="SimSun" w:hAnsi="Cambria Math"/>
              </w:rPr>
              <m:t>i</m:t>
            </m:r>
          </m:e>
        </m:d>
        <m:r>
          <w:rPr>
            <w:rFonts w:ascii="Cambria Math" w:eastAsia="SimSun" w:hAnsi="Cambria Math"/>
          </w:rPr>
          <m:t>=</m:t>
        </m:r>
        <m:sSup>
          <m:sSupPr>
            <m:ctrlPr>
              <w:rPr>
                <w:rFonts w:ascii="Cambria Math" w:eastAsia="SimSun" w:hAnsi="Cambria Math"/>
                <w:i/>
              </w:rPr>
            </m:ctrlPr>
          </m:sSupPr>
          <m:e>
            <m:d>
              <m:dPr>
                <m:begChr m:val="["/>
                <m:endChr m:val="]"/>
                <m:ctrlPr>
                  <w:rPr>
                    <w:rFonts w:ascii="Cambria Math" w:eastAsia="SimSun" w:hAnsi="Cambria Math"/>
                    <w:i/>
                  </w:rPr>
                </m:ctrlPr>
              </m:dPr>
              <m:e>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r>
                          <w:rPr>
                            <w:rFonts w:ascii="Cambria Math" w:eastAsia="SimSun" w:hAnsi="Cambria Math"/>
                          </w:rPr>
                          <m:t>0</m:t>
                        </m:r>
                      </m:e>
                    </m:d>
                  </m:sup>
                </m:sSubSup>
                <m:d>
                  <m:dPr>
                    <m:ctrlPr>
                      <w:rPr>
                        <w:rFonts w:ascii="Cambria Math" w:eastAsia="SimSun" w:hAnsi="Cambria Math"/>
                        <w:i/>
                      </w:rPr>
                    </m:ctrlPr>
                  </m:dPr>
                  <m:e>
                    <m:r>
                      <w:rPr>
                        <w:rFonts w:ascii="Cambria Math" w:eastAsia="SimSun" w:hAnsi="Cambria Math"/>
                      </w:rPr>
                      <m:t>i</m:t>
                    </m:r>
                  </m:e>
                </m:d>
                <m:r>
                  <w:rPr>
                    <w:rFonts w:ascii="Cambria Math" w:eastAsia="SimSun" w:hAnsi="Cambria Math"/>
                  </w:rPr>
                  <m:t xml:space="preserve">  </m:t>
                </m:r>
                <m:sSubSup>
                  <m:sSubSupPr>
                    <m:ctrlPr>
                      <w:rPr>
                        <w:rFonts w:ascii="Cambria Math" w:eastAsia="SimSun" w:hAnsi="Cambria Math"/>
                        <w:i/>
                      </w:rPr>
                    </m:ctrlPr>
                  </m:sSubSupPr>
                  <m:e>
                    <m:r>
                      <w:rPr>
                        <w:rFonts w:ascii="Cambria Math" w:eastAsia="SimSun" w:hAnsi="Cambria Math"/>
                      </w:rPr>
                      <m:t>y</m:t>
                    </m:r>
                  </m:e>
                  <m:sub>
                    <m:r>
                      <w:rPr>
                        <w:rFonts w:ascii="Cambria Math" w:eastAsia="SimSun" w:hAnsi="Cambria Math"/>
                      </w:rPr>
                      <m:t>bf</m:t>
                    </m:r>
                  </m:sub>
                  <m:sup>
                    <m:d>
                      <m:dPr>
                        <m:ctrlPr>
                          <w:rPr>
                            <w:rFonts w:ascii="Cambria Math" w:eastAsia="SimSun" w:hAnsi="Cambria Math"/>
                            <w:i/>
                          </w:rPr>
                        </m:ctrlPr>
                      </m:dPr>
                      <m:e>
                        <m:f>
                          <m:fPr>
                            <m:ctrlPr>
                              <w:rPr>
                                <w:rFonts w:ascii="Cambria Math" w:eastAsia="SimSun" w:hAnsi="Cambria Math"/>
                                <w:i/>
                              </w:rPr>
                            </m:ctrlPr>
                          </m:fPr>
                          <m:num>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ANT</m:t>
                                </m:r>
                              </m:sub>
                            </m:sSub>
                          </m:num>
                          <m:den>
                            <m:r>
                              <w:rPr>
                                <w:rFonts w:ascii="Cambria Math" w:eastAsia="SimSun" w:hAnsi="Cambria Math"/>
                              </w:rPr>
                              <m:t>2</m:t>
                            </m:r>
                          </m:den>
                        </m:f>
                      </m:e>
                    </m:d>
                  </m:sup>
                </m:sSubSup>
                <m:d>
                  <m:dPr>
                    <m:ctrlPr>
                      <w:rPr>
                        <w:rFonts w:ascii="Cambria Math" w:eastAsia="SimSun" w:hAnsi="Cambria Math"/>
                        <w:i/>
                      </w:rPr>
                    </m:ctrlPr>
                  </m:dPr>
                  <m:e>
                    <m:r>
                      <w:rPr>
                        <w:rFonts w:ascii="Cambria Math" w:eastAsia="SimSun" w:hAnsi="Cambria Math"/>
                      </w:rPr>
                      <m:t>i</m:t>
                    </m:r>
                  </m:e>
                </m:d>
              </m:e>
            </m:d>
          </m:e>
          <m:sup>
            <m:r>
              <w:rPr>
                <w:rFonts w:ascii="Cambria Math" w:eastAsia="SimSun" w:hAnsi="Cambria Math"/>
              </w:rPr>
              <m:t>T</m:t>
            </m:r>
          </m:sup>
        </m:sSup>
      </m:oMath>
      <w:r w:rsidRPr="00520232">
        <w:rPr>
          <w:rFonts w:eastAsia="SimSun"/>
        </w:rPr>
        <w:t xml:space="preserve"> the elements of which are to be mapped onto the frequency-time index pair </w:t>
      </w:r>
      <w:r w:rsidRPr="00520232">
        <w:rPr>
          <w:rFonts w:eastAsia="SimSun"/>
          <w:position w:val="-10"/>
        </w:rPr>
        <w:object w:dxaOrig="540" w:dyaOrig="390" w14:anchorId="7C59B53D">
          <v:shape id="_x0000_i1119" type="#_x0000_t75" style="width:27.15pt;height:19.4pt" o:ole="">
            <v:imagedata r:id="rId207" o:title=""/>
          </v:shape>
          <o:OLEObject Type="Embed" ProgID="Equation.3" ShapeID="_x0000_i1119" DrawAspect="Content" ObjectID="_1734764499" r:id="rId210"/>
        </w:object>
      </w:r>
      <w:r w:rsidRPr="00520232">
        <w:rPr>
          <w:rFonts w:eastAsia="SimSun"/>
        </w:rPr>
        <w:t>as per the test configuration but transmitted on different physical antenna elements:</w:t>
      </w:r>
    </w:p>
    <w:p w14:paraId="2BF1B494" w14:textId="77777777" w:rsidR="00C977C0" w:rsidRPr="00520232" w:rsidRDefault="00000000" w:rsidP="00C977C0">
      <w:pPr>
        <w:pStyle w:val="EQ"/>
        <w:rPr>
          <w:rFonts w:ascii="CG Times (WN)" w:hAnsi="CG Times (WN)"/>
          <w:lang w:val="fr-FR"/>
        </w:rPr>
      </w:pPr>
      <m:oMathPara>
        <m:oMath>
          <m:sSubSup>
            <m:sSubSupPr>
              <m:ctrlPr>
                <w:rPr>
                  <w:rFonts w:ascii="Cambria Math" w:hAnsi="Cambria Math"/>
                </w:rPr>
              </m:ctrlPr>
            </m:sSubSupPr>
            <m:e>
              <m:r>
                <w:rPr>
                  <w:rFonts w:ascii="Cambria Math" w:hAnsi="Cambria Math"/>
                  <w:lang w:val="fr-FR"/>
                </w:rPr>
                <m:t>y</m:t>
              </m:r>
            </m:e>
            <m:sub>
              <m:r>
                <w:rPr>
                  <w:rFonts w:ascii="Cambria Math" w:hAnsi="Cambria Math"/>
                  <w:lang w:val="fr-FR"/>
                </w:rPr>
                <m:t>bf</m:t>
              </m:r>
            </m:sub>
            <m:sup>
              <m:d>
                <m:dPr>
                  <m:ctrlPr>
                    <w:rPr>
                      <w:rFonts w:ascii="Cambria Math" w:hAnsi="Cambria Math"/>
                    </w:rPr>
                  </m:ctrlPr>
                </m:dPr>
                <m:e>
                  <m:r>
                    <w:rPr>
                      <w:rFonts w:ascii="Cambria Math" w:hAnsi="Cambria Math"/>
                      <w:lang w:val="fr-FR"/>
                    </w:rPr>
                    <m:t>q</m:t>
                  </m:r>
                </m:e>
              </m:d>
            </m:sup>
          </m:sSubSup>
          <m:d>
            <m:dPr>
              <m:ctrlPr>
                <w:rPr>
                  <w:rFonts w:ascii="Cambria Math" w:hAnsi="Cambria Math"/>
                </w:rPr>
              </m:ctrlPr>
            </m:dPr>
            <m:e>
              <m:r>
                <w:rPr>
                  <w:rFonts w:ascii="Cambria Math" w:hAnsi="Cambria Math"/>
                  <w:lang w:val="fr-FR"/>
                </w:rPr>
                <m:t>i</m:t>
              </m:r>
            </m:e>
          </m:d>
          <m:r>
            <m:rPr>
              <m:sty m:val="p"/>
            </m:rPr>
            <w:rPr>
              <w:rFonts w:ascii="Cambria Math" w:hAnsi="Cambria Math"/>
              <w:lang w:val="fr-FR"/>
            </w:rPr>
            <m:t>=</m:t>
          </m:r>
          <m:r>
            <w:rPr>
              <w:rFonts w:ascii="Cambria Math" w:hAnsi="Cambria Math"/>
              <w:lang w:val="fr-FR"/>
            </w:rPr>
            <m:t>W</m:t>
          </m:r>
          <m:d>
            <m:dPr>
              <m:ctrlPr>
                <w:rPr>
                  <w:rFonts w:ascii="Cambria Math" w:hAnsi="Cambria Math"/>
                </w:rPr>
              </m:ctrlPr>
            </m:dPr>
            <m:e>
              <m:r>
                <w:rPr>
                  <w:rFonts w:ascii="Cambria Math" w:hAnsi="Cambria Math"/>
                  <w:lang w:val="fr-FR"/>
                </w:rPr>
                <m:t>i</m:t>
              </m:r>
            </m:e>
          </m:d>
          <m:sSup>
            <m:sSupPr>
              <m:ctrlPr>
                <w:rPr>
                  <w:rFonts w:ascii="Cambria Math" w:hAnsi="Cambria Math"/>
                </w:rPr>
              </m:ctrlPr>
            </m:sSupPr>
            <m:e>
              <m:r>
                <w:rPr>
                  <w:rFonts w:ascii="Cambria Math" w:hAnsi="Cambria Math"/>
                  <w:lang w:val="fr-FR"/>
                </w:rPr>
                <m:t>y</m:t>
              </m:r>
            </m:e>
            <m:sup>
              <m:d>
                <m:dPr>
                  <m:ctrlPr>
                    <w:rPr>
                      <w:rFonts w:ascii="Cambria Math" w:hAnsi="Cambria Math"/>
                    </w:rPr>
                  </m:ctrlPr>
                </m:dPr>
                <m:e>
                  <m:r>
                    <w:rPr>
                      <w:rFonts w:ascii="Cambria Math" w:hAnsi="Cambria Math"/>
                      <w:lang w:val="fr-FR"/>
                    </w:rPr>
                    <m:t>p</m:t>
                  </m:r>
                </m:e>
              </m:d>
            </m:sup>
          </m:sSup>
          <m:r>
            <m:rPr>
              <m:sty m:val="p"/>
            </m:rPr>
            <w:rPr>
              <w:rFonts w:ascii="Cambria Math" w:hAnsi="Cambria Math"/>
              <w:lang w:val="fr-FR"/>
            </w:rPr>
            <m:t>(</m:t>
          </m:r>
          <m:r>
            <w:rPr>
              <w:rFonts w:ascii="Cambria Math" w:hAnsi="Cambria Math"/>
              <w:lang w:val="fr-FR"/>
            </w:rPr>
            <m:t>i</m:t>
          </m:r>
          <m:r>
            <m:rPr>
              <m:sty m:val="p"/>
            </m:rPr>
            <w:rPr>
              <w:rFonts w:ascii="Cambria Math" w:hAnsi="Cambria Math"/>
              <w:lang w:val="fr-FR"/>
            </w:rPr>
            <m:t>)</m:t>
          </m:r>
        </m:oMath>
      </m:oMathPara>
    </w:p>
    <w:bookmarkStart w:id="10660" w:name="MCCQCTEMPBM_00000038"/>
    <w:p w14:paraId="72A96396" w14:textId="77777777" w:rsidR="00C977C0" w:rsidRPr="00520232" w:rsidRDefault="00C977C0" w:rsidP="00C977C0">
      <w:pPr>
        <w:rPr>
          <w:rFonts w:eastAsia="SimSun"/>
          <w:lang w:eastAsia="zh-CN"/>
        </w:rPr>
      </w:pPr>
      <w:r w:rsidRPr="00520232">
        <w:rPr>
          <w:rFonts w:eastAsia="SimSun"/>
        </w:rPr>
        <w:fldChar w:fldCharType="begin"/>
      </w:r>
      <w:r w:rsidRPr="00520232">
        <w:rPr>
          <w:rFonts w:eastAsia="SimSun"/>
        </w:rPr>
        <w:fldChar w:fldCharType="end"/>
      </w:r>
      <w:bookmarkEnd w:id="10660"/>
      <w:r w:rsidRPr="00520232">
        <w:rPr>
          <w:rFonts w:eastAsia="SimSun"/>
        </w:rPr>
        <w:t xml:space="preserve">The precoder matrix </w:t>
      </w:r>
      <w:r w:rsidRPr="00520232">
        <w:rPr>
          <w:rFonts w:eastAsia="SimSun"/>
          <w:position w:val="-10"/>
        </w:rPr>
        <w:object w:dxaOrig="585" w:dyaOrig="330" w14:anchorId="188AD1F5">
          <v:shape id="_x0000_i1120" type="#_x0000_t75" style="width:29.35pt;height:17.15pt" o:ole="">
            <v:imagedata r:id="rId201" o:title=""/>
          </v:shape>
          <o:OLEObject Type="Embed" ProgID="Equation.3" ShapeID="_x0000_i1120" DrawAspect="Content" ObjectID="_1734764500" r:id="rId211"/>
        </w:object>
      </w:r>
      <w:r w:rsidRPr="00520232">
        <w:rPr>
          <w:rFonts w:eastAsia="SimSun"/>
        </w:rPr>
        <w:t xml:space="preserve">is specific to the test case configuration. </w:t>
      </w:r>
      <w:r w:rsidRPr="00520232">
        <w:rPr>
          <w:rFonts w:eastAsia="SimSun"/>
          <w:position w:val="-10"/>
        </w:rPr>
        <w:object w:dxaOrig="540" w:dyaOrig="330" w14:anchorId="20A573F4">
          <v:shape id="_x0000_i1121" type="#_x0000_t75" style="width:27.15pt;height:17.15pt" o:ole="">
            <v:imagedata r:id="rId201" o:title=""/>
          </v:shape>
          <o:OLEObject Type="Embed" ProgID="Equation.3" ShapeID="_x0000_i1121" DrawAspect="Content" ObjectID="_1734764501" r:id="rId212"/>
        </w:object>
      </w:r>
      <w:r w:rsidRPr="00520232">
        <w:rPr>
          <w:rFonts w:eastAsia="SimSun"/>
        </w:rPr>
        <w:t xml:space="preserve"> is defined in Clause 5.2.2.2 of TS 38.214 [1</w:t>
      </w:r>
      <w:r>
        <w:rPr>
          <w:rFonts w:eastAsia="SimSun"/>
        </w:rPr>
        <w:t>1</w:t>
      </w:r>
      <w:r w:rsidRPr="00520232">
        <w:rPr>
          <w:rFonts w:eastAsia="SimSun"/>
        </w:rPr>
        <w:t>].</w:t>
      </w:r>
      <w:bookmarkStart w:id="10661" w:name="MCCQCTEMPBM_00000039"/>
      <w:r w:rsidRPr="00520232">
        <w:rPr>
          <w:rFonts w:eastAsia="SimSun"/>
        </w:rPr>
        <w:fldChar w:fldCharType="begin"/>
      </w:r>
      <w:r w:rsidRPr="00520232">
        <w:rPr>
          <w:rFonts w:eastAsia="SimSun"/>
        </w:rPr>
        <w:fldChar w:fldCharType="end"/>
      </w:r>
      <w:bookmarkStart w:id="10662" w:name="MCCQCTEMPBM_00000040"/>
      <w:bookmarkStart w:id="10663" w:name="MCCQCTEMPBM_00000036"/>
      <w:bookmarkStart w:id="10664" w:name="MCCQCTEMPBM_00000035"/>
      <w:bookmarkStart w:id="10665" w:name="MCCQCTEMPBM_00000034"/>
      <w:bookmarkEnd w:id="10661"/>
      <w:r w:rsidRPr="00520232">
        <w:rPr>
          <w:rFonts w:eastAsia="SimSun"/>
        </w:rPr>
        <w:fldChar w:fldCharType="begin"/>
      </w:r>
      <w:r w:rsidRPr="00520232">
        <w:rPr>
          <w:rFonts w:eastAsia="SimSun"/>
        </w:rPr>
        <w:fldChar w:fldCharType="end"/>
      </w:r>
      <w:bookmarkEnd w:id="10662"/>
      <w:bookmarkEnd w:id="10663"/>
      <w:bookmarkEnd w:id="10664"/>
      <w:bookmarkEnd w:id="10665"/>
    </w:p>
    <w:p w14:paraId="675E58D1" w14:textId="77777777" w:rsidR="00C977C0" w:rsidRPr="00520232" w:rsidRDefault="00C977C0" w:rsidP="00C977C0">
      <w:pPr>
        <w:rPr>
          <w:rFonts w:eastAsia="SimSun"/>
          <w:lang w:eastAsia="zh-CN"/>
        </w:rPr>
      </w:pPr>
      <w:r w:rsidRPr="00520232">
        <w:rPr>
          <w:rFonts w:eastAsia="SimSun"/>
          <w:lang w:eastAsia="zh-CN"/>
        </w:rPr>
        <w:t xml:space="preserve">The transimison on PT-RS antenna port is </w:t>
      </w:r>
      <w:r w:rsidRPr="00520232">
        <w:rPr>
          <w:rFonts w:eastAsia="SimSun"/>
        </w:rPr>
        <w:t xml:space="preserve">associated </w:t>
      </w:r>
      <w:r w:rsidRPr="00520232">
        <w:rPr>
          <w:rFonts w:eastAsia="SimSun"/>
          <w:lang w:eastAsia="zh-CN"/>
        </w:rPr>
        <w:t>(using same precoder)</w:t>
      </w:r>
      <w:r w:rsidRPr="00520232">
        <w:rPr>
          <w:rFonts w:eastAsia="SimSun"/>
        </w:rPr>
        <w:t xml:space="preserve"> with</w:t>
      </w:r>
      <w:r w:rsidRPr="00520232">
        <w:rPr>
          <w:rFonts w:eastAsia="SimSun"/>
          <w:lang w:eastAsia="zh-CN"/>
        </w:rPr>
        <w:t xml:space="preserve"> </w:t>
      </w:r>
      <w:r w:rsidRPr="00520232">
        <w:rPr>
          <w:rFonts w:eastAsia="SimSun"/>
        </w:rPr>
        <w:t>the lowest indexed DM-RS antenna port among the DM-RS antenna ports assigned for the PDSCH</w:t>
      </w:r>
      <w:r w:rsidRPr="00520232">
        <w:rPr>
          <w:rFonts w:eastAsia="SimSun"/>
          <w:lang w:eastAsia="zh-CN"/>
        </w:rPr>
        <w:t>.</w:t>
      </w:r>
    </w:p>
    <w:p w14:paraId="29823659" w14:textId="77777777" w:rsidR="00C977C0" w:rsidRPr="00520232" w:rsidRDefault="00C977C0" w:rsidP="00C977C0">
      <w:pPr>
        <w:rPr>
          <w:rFonts w:eastAsia="SimSun"/>
          <w:lang w:eastAsia="zh-CN"/>
        </w:rPr>
      </w:pPr>
      <w:r w:rsidRPr="00520232">
        <w:rPr>
          <w:rFonts w:eastAsia="SimSun"/>
        </w:rPr>
        <w:t>The physical antenna elements are identified by indices</w:t>
      </w:r>
      <w:r w:rsidRPr="00520232">
        <w:rPr>
          <w:rFonts w:eastAsia="SimSun"/>
          <w:position w:val="-12"/>
        </w:rPr>
        <w:object w:dxaOrig="1875" w:dyaOrig="390" w14:anchorId="065E2A37">
          <v:shape id="_x0000_i1122" type="#_x0000_t75" style="width:93.6pt;height:19.4pt" o:ole="">
            <v:imagedata r:id="rId213" o:title=""/>
          </v:shape>
          <o:OLEObject Type="Embed" ProgID="Equation.3" ShapeID="_x0000_i1122" DrawAspect="Content" ObjectID="_1734764502" r:id="rId214"/>
        </w:object>
      </w:r>
      <w:r w:rsidRPr="00520232">
        <w:rPr>
          <w:rFonts w:eastAsia="SimSun"/>
        </w:rPr>
        <w:t xml:space="preserve">, where </w:t>
      </w:r>
      <w:r w:rsidRPr="00520232">
        <w:rPr>
          <w:rFonts w:eastAsia="SimSun"/>
          <w:position w:val="-12"/>
        </w:rPr>
        <w:object w:dxaOrig="585" w:dyaOrig="390" w14:anchorId="658639E6">
          <v:shape id="_x0000_i1123" type="#_x0000_t75" style="width:29.35pt;height:19.4pt" o:ole="">
            <v:imagedata r:id="rId215" o:title=""/>
          </v:shape>
          <o:OLEObject Type="Embed" ProgID="Equation.3" ShapeID="_x0000_i1123" DrawAspect="Content" ObjectID="_1734764503" r:id="rId216"/>
        </w:object>
      </w:r>
      <w:r w:rsidRPr="00520232">
        <w:rPr>
          <w:rFonts w:eastAsia="SimSun"/>
        </w:rPr>
        <w:t xml:space="preserve"> is the number of physical antenna elements configured per test.</w:t>
      </w:r>
    </w:p>
    <w:p w14:paraId="036BC7CE" w14:textId="77777777" w:rsidR="00C977C0" w:rsidRPr="00520232" w:rsidRDefault="00C977C0" w:rsidP="00C977C0">
      <w:pPr>
        <w:rPr>
          <w:rFonts w:eastAsia="SimSun"/>
          <w:iCs/>
        </w:rPr>
      </w:pPr>
      <w:r w:rsidRPr="00520232">
        <w:rPr>
          <w:rFonts w:ascii="Times-Roman" w:eastAsia="SimSun" w:hAnsi="Times-Roman"/>
          <w:color w:val="000000"/>
        </w:rPr>
        <w:t xml:space="preserve">Modulation symbols </w:t>
      </w:r>
      <m:oMath>
        <m:sSup>
          <m:sSupPr>
            <m:ctrlPr>
              <w:rPr>
                <w:rFonts w:ascii="Cambria Math" w:eastAsia="SimSun" w:hAnsi="Cambria Math"/>
              </w:rPr>
            </m:ctrlPr>
          </m:sSupPr>
          <m:e>
            <m:r>
              <w:rPr>
                <w:rFonts w:ascii="Cambria Math" w:eastAsia="SimSun" w:hAnsi="Cambria Math"/>
              </w:rPr>
              <m:t>y</m:t>
            </m:r>
          </m:e>
          <m:sup>
            <m:d>
              <m:dPr>
                <m:ctrlPr>
                  <w:rPr>
                    <w:rFonts w:ascii="Cambria Math" w:eastAsia="SimSun" w:hAnsi="Cambria Math"/>
                  </w:rPr>
                </m:ctrlPr>
              </m:dPr>
              <m:e>
                <m:r>
                  <w:rPr>
                    <w:rFonts w:ascii="Cambria Math" w:eastAsia="SimSun" w:hAnsi="Cambria Math"/>
                  </w:rPr>
                  <m:t>p</m:t>
                </m:r>
              </m:e>
            </m:d>
          </m:sup>
        </m:sSup>
        <m:r>
          <m:rPr>
            <m:sty m:val="p"/>
          </m:rPr>
          <w:rPr>
            <w:rFonts w:ascii="Cambria Math" w:eastAsia="SimSun" w:hAnsi="Cambria Math"/>
          </w:rPr>
          <m:t>(</m:t>
        </m:r>
        <m:r>
          <w:rPr>
            <w:rFonts w:ascii="Cambria Math" w:eastAsia="SimSun" w:hAnsi="Cambria Math"/>
          </w:rPr>
          <m:t>i</m:t>
        </m:r>
        <m:r>
          <m:rPr>
            <m:sty m:val="p"/>
          </m:rPr>
          <w:rPr>
            <w:rFonts w:ascii="Cambria Math" w:eastAsia="SimSun" w:hAnsi="Cambria Math"/>
          </w:rPr>
          <m:t>)</m:t>
        </m:r>
      </m:oMath>
      <w:r w:rsidRPr="00520232">
        <w:rPr>
          <w:rFonts w:ascii="Times-Roman" w:eastAsia="SimSun" w:hAnsi="Times-Roman"/>
          <w:color w:val="000000"/>
          <w:sz w:val="24"/>
          <w:szCs w:val="24"/>
        </w:rPr>
        <w:t xml:space="preserve"> </w:t>
      </w:r>
      <w:r w:rsidRPr="00520232">
        <w:rPr>
          <w:rFonts w:ascii="Times-Roman" w:eastAsia="SimSun" w:hAnsi="Times-Roman"/>
          <w:color w:val="000000"/>
        </w:rPr>
        <w:t xml:space="preserve">with </w:t>
      </w:r>
      <m:oMath>
        <m:r>
          <w:rPr>
            <w:rFonts w:ascii="Cambria Math" w:eastAsia="SimSun"/>
          </w:rPr>
          <m:t>p</m:t>
        </m:r>
        <m:r>
          <w:rPr>
            <w:rFonts w:ascii="Cambria Math" w:eastAsia="SimSun" w:hAnsi="Cambria Math" w:cs="Cambria Math"/>
          </w:rPr>
          <m:t>∈</m:t>
        </m:r>
        <m:d>
          <m:dPr>
            <m:begChr m:val="{"/>
            <m:endChr m:val="}"/>
            <m:ctrlPr>
              <w:rPr>
                <w:rFonts w:ascii="Cambria Math" w:eastAsia="SimSun" w:hAnsi="Cambria Math"/>
                <w:i/>
              </w:rPr>
            </m:ctrlPr>
          </m:dPr>
          <m:e>
            <m:r>
              <w:rPr>
                <w:rFonts w:ascii="Cambria Math" w:eastAsia="SimSun"/>
              </w:rPr>
              <m:t>4000</m:t>
            </m:r>
          </m:e>
        </m:d>
      </m:oMath>
      <w:r w:rsidRPr="00520232">
        <w:rPr>
          <w:rFonts w:ascii="Times-Roman" w:eastAsia="SimSun" w:hAnsi="Times-Roman"/>
          <w:color w:val="000000"/>
          <w:sz w:val="24"/>
          <w:szCs w:val="24"/>
        </w:rPr>
        <w:t xml:space="preserve"> </w:t>
      </w:r>
      <w:r w:rsidRPr="00520232">
        <w:rPr>
          <w:rFonts w:ascii="Times-Roman" w:eastAsia="SimSun" w:hAnsi="Times-Roman"/>
          <w:color w:val="000000"/>
        </w:rPr>
        <w:t xml:space="preserve">(i.e. PSS, SSS, PBCH and DM-RS for PBCH) are </w:t>
      </w:r>
      <w:r w:rsidRPr="00520232">
        <w:rPr>
          <w:rFonts w:eastAsia="SimSun"/>
          <w:lang w:eastAsia="zh-CN"/>
        </w:rPr>
        <w:t>directly mapped to first physical antenna element.</w:t>
      </w:r>
    </w:p>
    <w:p w14:paraId="58DCEAA6" w14:textId="77777777" w:rsidR="00C977C0" w:rsidRPr="00520232" w:rsidRDefault="00C977C0" w:rsidP="00C977C0">
      <w:pPr>
        <w:rPr>
          <w:rFonts w:eastAsia="SimSun"/>
          <w:lang w:eastAsia="zh-CN"/>
        </w:rPr>
      </w:pPr>
      <w:r w:rsidRPr="00520232">
        <w:rPr>
          <w:rFonts w:eastAsia="SimSun"/>
          <w:iCs/>
        </w:rPr>
        <w:t xml:space="preserve">Modulation symbols </w:t>
      </w:r>
      <w:r w:rsidRPr="00520232">
        <w:rPr>
          <w:rFonts w:eastAsia="SimSun"/>
          <w:iCs/>
          <w:position w:val="-14"/>
        </w:rPr>
        <w:object w:dxaOrig="390" w:dyaOrig="405" w14:anchorId="6968160D">
          <v:shape id="_x0000_i1124" type="#_x0000_t75" style="width:19.4pt;height:21.05pt" o:ole="">
            <v:imagedata r:id="rId217" o:title=""/>
          </v:shape>
          <o:OLEObject Type="Embed" ProgID="Equation.3" ShapeID="_x0000_i1124" DrawAspect="Content" ObjectID="_1734764504" r:id="rId218"/>
        </w:object>
      </w:r>
      <w:r w:rsidRPr="00520232">
        <w:rPr>
          <w:rFonts w:eastAsia="SimSun"/>
          <w:iCs/>
        </w:rPr>
        <w:t xml:space="preserve"> </w:t>
      </w:r>
      <w:r w:rsidRPr="00520232">
        <w:rPr>
          <w:rFonts w:eastAsia="SimSun"/>
          <w:iCs/>
          <w:lang w:eastAsia="zh-CN"/>
        </w:rPr>
        <w:t xml:space="preserve">for CSI-RS resources which configured for tracking with one port </w:t>
      </w:r>
      <w:r w:rsidRPr="00520232">
        <w:rPr>
          <w:rFonts w:eastAsia="SimSun"/>
          <w:lang w:eastAsia="zh-CN"/>
        </w:rPr>
        <w:t>are directly mapped to first physical antenna element.</w:t>
      </w:r>
    </w:p>
    <w:p w14:paraId="2E22C0B7" w14:textId="77777777" w:rsidR="00C977C0" w:rsidRPr="00520232" w:rsidRDefault="00C977C0" w:rsidP="00C977C0">
      <w:pPr>
        <w:rPr>
          <w:rFonts w:eastAsia="SimSun"/>
          <w:lang w:eastAsia="zh-CN"/>
        </w:rPr>
      </w:pPr>
      <w:r w:rsidRPr="00520232">
        <w:rPr>
          <w:rFonts w:eastAsia="SimSun"/>
          <w:iCs/>
        </w:rPr>
        <w:t xml:space="preserve">Modulation symbols </w:t>
      </w:r>
      <w:r w:rsidRPr="00520232">
        <w:rPr>
          <w:rFonts w:eastAsia="SimSun"/>
          <w:iCs/>
          <w:position w:val="-14"/>
        </w:rPr>
        <w:object w:dxaOrig="390" w:dyaOrig="405" w14:anchorId="5922E755">
          <v:shape id="_x0000_i1125" type="#_x0000_t75" style="width:19.4pt;height:21.05pt" o:ole="">
            <v:imagedata r:id="rId217" o:title=""/>
          </v:shape>
          <o:OLEObject Type="Embed" ProgID="Equation.3" ShapeID="_x0000_i1125" DrawAspect="Content" ObjectID="_1734764505" r:id="rId219"/>
        </w:object>
      </w:r>
      <w:r w:rsidRPr="00520232">
        <w:rPr>
          <w:rFonts w:eastAsia="SimSun"/>
          <w:iCs/>
        </w:rPr>
        <w:t xml:space="preserve"> </w:t>
      </w:r>
      <w:r w:rsidRPr="00520232">
        <w:rPr>
          <w:rFonts w:eastAsia="SimSun"/>
          <w:iCs/>
          <w:lang w:eastAsia="zh-CN"/>
        </w:rPr>
        <w:t xml:space="preserve">for CSI-RS resources which configured for beam refinement with one port </w:t>
      </w:r>
      <w:r w:rsidRPr="00520232">
        <w:rPr>
          <w:rFonts w:eastAsia="SimSun"/>
          <w:lang w:eastAsia="zh-CN"/>
        </w:rPr>
        <w:t>are directly mapped to first physical antenna element.</w:t>
      </w:r>
    </w:p>
    <w:p w14:paraId="0648013A" w14:textId="77777777" w:rsidR="00C977C0" w:rsidRPr="00520232" w:rsidRDefault="00C977C0" w:rsidP="00C977C0">
      <w:pPr>
        <w:rPr>
          <w:rFonts w:eastAsia="SimSun"/>
        </w:rPr>
      </w:pPr>
      <w:r w:rsidRPr="00520232">
        <w:rPr>
          <w:rFonts w:eastAsia="SimSun"/>
          <w:iCs/>
        </w:rPr>
        <w:t xml:space="preserve">Modulation symbols </w:t>
      </w:r>
      <w:r w:rsidRPr="00520232">
        <w:rPr>
          <w:rFonts w:eastAsia="SimSun"/>
          <w:iCs/>
          <w:position w:val="-14"/>
        </w:rPr>
        <w:object w:dxaOrig="405" w:dyaOrig="405" w14:anchorId="2B119653">
          <v:shape id="_x0000_i1126" type="#_x0000_t75" style="width:21.05pt;height:21.05pt" o:ole="">
            <v:imagedata r:id="rId220" o:title=""/>
          </v:shape>
          <o:OLEObject Type="Embed" ProgID="Equation.3" ShapeID="_x0000_i1126" DrawAspect="Content" ObjectID="_1734764506" r:id="rId221"/>
        </w:object>
      </w:r>
      <w:r w:rsidRPr="00520232">
        <w:rPr>
          <w:rFonts w:eastAsia="SimSun"/>
          <w:iCs/>
          <w:lang w:eastAsia="zh-CN"/>
        </w:rPr>
        <w:t xml:space="preserve"> for NZP CSI-RS which configured for CSI acquisition with </w:t>
      </w:r>
      <w:r w:rsidRPr="00520232">
        <w:rPr>
          <w:rFonts w:eastAsia="SimSun"/>
        </w:rPr>
        <w:t xml:space="preserve"> </w:t>
      </w:r>
      <w:r w:rsidRPr="00520232">
        <w:rPr>
          <w:rFonts w:eastAsia="SimSun"/>
          <w:position w:val="-12"/>
        </w:rPr>
        <w:object w:dxaOrig="3030" w:dyaOrig="390" w14:anchorId="5CC0BDF3">
          <v:shape id="_x0000_i1127" type="#_x0000_t75" style="width:151.75pt;height:19.4pt" o:ole="">
            <v:imagedata r:id="rId222" o:title=""/>
          </v:shape>
          <o:OLEObject Type="Embed" ProgID="Equation.3" ShapeID="_x0000_i1127" DrawAspect="Content" ObjectID="_1734764507" r:id="rId223"/>
        </w:object>
      </w:r>
      <w:r w:rsidRPr="00520232">
        <w:rPr>
          <w:rFonts w:eastAsia="SimSun"/>
        </w:rPr>
        <w:t xml:space="preserve">  are</w:t>
      </w:r>
      <w:r w:rsidRPr="00520232">
        <w:rPr>
          <w:rFonts w:eastAsia="SimSun"/>
          <w:iCs/>
        </w:rPr>
        <w:t xml:space="preserve"> mapped to the physical antenna index</w:t>
      </w:r>
      <w:r w:rsidRPr="00520232">
        <w:rPr>
          <w:rFonts w:eastAsia="SimSun"/>
          <w:iCs/>
          <w:lang w:eastAsia="zh-CN"/>
        </w:rPr>
        <w:t xml:space="preserve"> </w:t>
      </w:r>
      <w:r w:rsidRPr="00520232">
        <w:rPr>
          <w:rFonts w:eastAsia="SimSun"/>
          <w:position w:val="-14"/>
        </w:rPr>
        <w:object w:dxaOrig="1035" w:dyaOrig="390" w14:anchorId="6943FE46">
          <v:shape id="_x0000_i1128" type="#_x0000_t75" style="width:50.95pt;height:19.4pt" o:ole="">
            <v:imagedata r:id="rId224" o:title=""/>
          </v:shape>
          <o:OLEObject Type="Embed" ProgID="Equation.3" ShapeID="_x0000_i1128" DrawAspect="Content" ObjectID="_1734764508" r:id="rId225"/>
        </w:object>
      </w:r>
      <w:r w:rsidRPr="00520232">
        <w:rPr>
          <w:rFonts w:eastAsia="SimSun"/>
        </w:rPr>
        <w:t xml:space="preserve"> where </w:t>
      </w:r>
      <w:r w:rsidRPr="00520232">
        <w:rPr>
          <w:rFonts w:eastAsia="SimSun"/>
          <w:position w:val="-12"/>
        </w:rPr>
        <w:object w:dxaOrig="540" w:dyaOrig="390" w14:anchorId="707EABF4">
          <v:shape id="_x0000_i1129" type="#_x0000_t75" style="width:27.15pt;height:19.4pt" o:ole="">
            <v:imagedata r:id="rId226" o:title=""/>
          </v:shape>
          <o:OLEObject Type="Embed" ProgID="Equation.3" ShapeID="_x0000_i1129" DrawAspect="Content" ObjectID="_1734764509" r:id="rId227"/>
        </w:object>
      </w:r>
      <w:r w:rsidRPr="00520232">
        <w:rPr>
          <w:rFonts w:eastAsia="SimSun"/>
        </w:rPr>
        <w:t xml:space="preserve">is the number of </w:t>
      </w:r>
      <w:r w:rsidRPr="00520232">
        <w:rPr>
          <w:rFonts w:eastAsia="SimSun"/>
          <w:lang w:eastAsia="zh-CN"/>
        </w:rPr>
        <w:t xml:space="preserve">NZP </w:t>
      </w:r>
      <w:r w:rsidRPr="00520232">
        <w:rPr>
          <w:rFonts w:eastAsia="SimSun"/>
        </w:rPr>
        <w:t>CSI</w:t>
      </w:r>
      <w:r w:rsidRPr="00520232">
        <w:rPr>
          <w:rFonts w:eastAsia="SimSun"/>
          <w:lang w:eastAsia="zh-CN"/>
        </w:rPr>
        <w:t>-RS</w:t>
      </w:r>
      <w:r w:rsidRPr="00520232">
        <w:rPr>
          <w:rFonts w:eastAsia="SimSun"/>
        </w:rPr>
        <w:t xml:space="preserve"> </w:t>
      </w:r>
      <w:r w:rsidRPr="00520232">
        <w:rPr>
          <w:rFonts w:eastAsia="SimSun"/>
          <w:lang w:eastAsia="zh-CN"/>
        </w:rPr>
        <w:t>ports</w:t>
      </w:r>
      <w:r w:rsidRPr="00520232">
        <w:rPr>
          <w:rFonts w:eastAsia="SimSun"/>
        </w:rPr>
        <w:t xml:space="preserve"> configured per test.</w:t>
      </w:r>
    </w:p>
    <w:p w14:paraId="1363D242" w14:textId="77777777" w:rsidR="00C977C0" w:rsidRPr="002A2788" w:rsidRDefault="00C977C0" w:rsidP="00C977C0">
      <w:pPr>
        <w:rPr>
          <w:lang w:eastAsia="zh-CN"/>
        </w:rPr>
      </w:pPr>
    </w:p>
    <w:p w14:paraId="054EFFF4" w14:textId="77777777" w:rsidR="00C977C0" w:rsidRPr="006E1CA6" w:rsidRDefault="00C977C0" w:rsidP="00241417">
      <w:pPr>
        <w:rPr>
          <w:lang w:val="fr-FR" w:eastAsia="zh-CN"/>
        </w:rPr>
      </w:pPr>
    </w:p>
    <w:p w14:paraId="2A27359E" w14:textId="307E5CBD" w:rsidR="00D34A23" w:rsidRPr="00D34A23" w:rsidRDefault="00D768C1" w:rsidP="009C3C75">
      <w:pPr>
        <w:pStyle w:val="Heading8"/>
      </w:pPr>
      <w:bookmarkStart w:id="10666" w:name="historyclaue"/>
      <w:bookmarkStart w:id="10667" w:name="_Toc74583700"/>
      <w:bookmarkStart w:id="10668" w:name="_Toc76542513"/>
      <w:bookmarkStart w:id="10669" w:name="_Toc82450516"/>
      <w:bookmarkStart w:id="10670" w:name="_Toc82451165"/>
      <w:bookmarkStart w:id="10671" w:name="_Toc89949554"/>
      <w:bookmarkStart w:id="10672" w:name="_Toc98755943"/>
      <w:bookmarkStart w:id="10673" w:name="_Toc98763535"/>
      <w:bookmarkStart w:id="10674" w:name="_Toc106184464"/>
      <w:bookmarkStart w:id="10675" w:name="historyclause"/>
      <w:r>
        <w:lastRenderedPageBreak/>
        <w:t xml:space="preserve">Annex </w:t>
      </w:r>
      <w:r w:rsidR="003A71DE">
        <w:rPr>
          <w:lang w:eastAsia="zh-CN"/>
        </w:rPr>
        <w:t>J</w:t>
      </w:r>
      <w:r w:rsidR="00815C5B">
        <w:t xml:space="preserve"> </w:t>
      </w:r>
      <w:r w:rsidR="0038181B">
        <w:t>(informative)</w:t>
      </w:r>
      <w:r w:rsidR="00D34A23">
        <w:t>:</w:t>
      </w:r>
      <w:bookmarkEnd w:id="9650"/>
      <w:bookmarkEnd w:id="9651"/>
      <w:bookmarkEnd w:id="9652"/>
      <w:bookmarkEnd w:id="9653"/>
      <w:bookmarkEnd w:id="9654"/>
      <w:bookmarkEnd w:id="9655"/>
      <w:bookmarkEnd w:id="9656"/>
      <w:bookmarkEnd w:id="9657"/>
      <w:bookmarkEnd w:id="10666"/>
      <w:r w:rsidR="003D604D" w:rsidRPr="003D604D">
        <w:rPr>
          <w:lang w:eastAsia="en-CA"/>
        </w:rPr>
        <w:t xml:space="preserve"> </w:t>
      </w:r>
      <w:r w:rsidR="003D604D">
        <w:rPr>
          <w:lang w:eastAsia="en-CA"/>
        </w:rPr>
        <w:br/>
      </w:r>
      <w:bookmarkStart w:id="10676" w:name="_Toc53185645"/>
      <w:bookmarkStart w:id="10677" w:name="_Toc53186021"/>
      <w:bookmarkStart w:id="10678" w:name="_Toc57820510"/>
      <w:bookmarkStart w:id="10679" w:name="_Toc57821437"/>
      <w:bookmarkStart w:id="10680" w:name="_Toc61183713"/>
      <w:bookmarkStart w:id="10681" w:name="_Toc61184106"/>
      <w:bookmarkStart w:id="10682" w:name="_Toc61184498"/>
      <w:bookmarkStart w:id="10683" w:name="_Toc61184888"/>
      <w:r w:rsidR="00D34A23">
        <w:t>Change history</w:t>
      </w:r>
      <w:bookmarkEnd w:id="9658"/>
      <w:bookmarkEnd w:id="9659"/>
      <w:bookmarkEnd w:id="10667"/>
      <w:bookmarkEnd w:id="10668"/>
      <w:bookmarkEnd w:id="10669"/>
      <w:bookmarkEnd w:id="10670"/>
      <w:bookmarkEnd w:id="10671"/>
      <w:bookmarkEnd w:id="10672"/>
      <w:bookmarkEnd w:id="10673"/>
      <w:bookmarkEnd w:id="10674"/>
      <w:bookmarkEnd w:id="10676"/>
      <w:bookmarkEnd w:id="10677"/>
      <w:bookmarkEnd w:id="10678"/>
      <w:bookmarkEnd w:id="10679"/>
      <w:bookmarkEnd w:id="10680"/>
      <w:bookmarkEnd w:id="10681"/>
      <w:bookmarkEnd w:id="10682"/>
      <w:bookmarkEnd w:id="10683"/>
    </w:p>
    <w:bookmarkEnd w:id="10675"/>
    <w:p w14:paraId="3ED86B55" w14:textId="77777777" w:rsidR="00334C0D" w:rsidRPr="00235394" w:rsidRDefault="00334C0D" w:rsidP="00334C0D">
      <w:pPr>
        <w:pStyle w:val="TH"/>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3"/>
        <w:gridCol w:w="859"/>
        <w:gridCol w:w="1032"/>
        <w:gridCol w:w="519"/>
        <w:gridCol w:w="331"/>
        <w:gridCol w:w="425"/>
        <w:gridCol w:w="4962"/>
        <w:gridCol w:w="708"/>
      </w:tblGrid>
      <w:tr w:rsidR="00334C0D" w:rsidRPr="00235394" w14:paraId="302AAD7B" w14:textId="77777777" w:rsidTr="000F56F7">
        <w:trPr>
          <w:cantSplit/>
        </w:trPr>
        <w:tc>
          <w:tcPr>
            <w:tcW w:w="9639" w:type="dxa"/>
            <w:gridSpan w:val="8"/>
            <w:tcBorders>
              <w:bottom w:val="nil"/>
            </w:tcBorders>
            <w:shd w:val="solid" w:color="FFFFFF" w:fill="auto"/>
          </w:tcPr>
          <w:p w14:paraId="0F9A5E92" w14:textId="77777777" w:rsidR="00334C0D" w:rsidRPr="00235394" w:rsidRDefault="00334C0D" w:rsidP="00334C0D">
            <w:pPr>
              <w:pStyle w:val="TAL"/>
              <w:jc w:val="center"/>
              <w:rPr>
                <w:b/>
                <w:sz w:val="16"/>
              </w:rPr>
            </w:pPr>
            <w:r w:rsidRPr="00235394">
              <w:rPr>
                <w:b/>
              </w:rPr>
              <w:lastRenderedPageBreak/>
              <w:t>Change history</w:t>
            </w:r>
          </w:p>
        </w:tc>
      </w:tr>
      <w:tr w:rsidR="00334C0D" w:rsidRPr="00235394" w14:paraId="407BCF78" w14:textId="77777777" w:rsidTr="0063534F">
        <w:tc>
          <w:tcPr>
            <w:tcW w:w="803" w:type="dxa"/>
            <w:shd w:val="pct10" w:color="auto" w:fill="FFFFFF"/>
          </w:tcPr>
          <w:p w14:paraId="704E0220" w14:textId="77777777" w:rsidR="00334C0D" w:rsidRPr="00235394" w:rsidRDefault="00334C0D" w:rsidP="00334C0D">
            <w:pPr>
              <w:pStyle w:val="TAL"/>
              <w:rPr>
                <w:b/>
                <w:sz w:val="16"/>
              </w:rPr>
            </w:pPr>
            <w:r w:rsidRPr="00235394">
              <w:rPr>
                <w:b/>
                <w:sz w:val="16"/>
              </w:rPr>
              <w:t>Date</w:t>
            </w:r>
          </w:p>
        </w:tc>
        <w:tc>
          <w:tcPr>
            <w:tcW w:w="859" w:type="dxa"/>
            <w:shd w:val="pct10" w:color="auto" w:fill="FFFFFF"/>
          </w:tcPr>
          <w:p w14:paraId="7BB47989" w14:textId="77777777" w:rsidR="00334C0D" w:rsidRPr="00235394" w:rsidRDefault="00334C0D" w:rsidP="00334C0D">
            <w:pPr>
              <w:pStyle w:val="TAL"/>
              <w:rPr>
                <w:b/>
                <w:sz w:val="16"/>
              </w:rPr>
            </w:pPr>
            <w:r>
              <w:rPr>
                <w:b/>
                <w:sz w:val="16"/>
              </w:rPr>
              <w:t>Meeting</w:t>
            </w:r>
          </w:p>
        </w:tc>
        <w:tc>
          <w:tcPr>
            <w:tcW w:w="1032" w:type="dxa"/>
            <w:shd w:val="pct10" w:color="auto" w:fill="FFFFFF"/>
          </w:tcPr>
          <w:p w14:paraId="55A77CF9" w14:textId="77777777" w:rsidR="00334C0D" w:rsidRPr="00235394" w:rsidRDefault="00334C0D" w:rsidP="00334C0D">
            <w:pPr>
              <w:pStyle w:val="TAL"/>
              <w:rPr>
                <w:b/>
                <w:sz w:val="16"/>
              </w:rPr>
            </w:pPr>
            <w:r w:rsidRPr="00235394">
              <w:rPr>
                <w:b/>
                <w:sz w:val="16"/>
              </w:rPr>
              <w:t>TDoc</w:t>
            </w:r>
          </w:p>
        </w:tc>
        <w:tc>
          <w:tcPr>
            <w:tcW w:w="519" w:type="dxa"/>
            <w:shd w:val="pct10" w:color="auto" w:fill="FFFFFF"/>
          </w:tcPr>
          <w:p w14:paraId="15722E35" w14:textId="77777777" w:rsidR="00334C0D" w:rsidRPr="00235394" w:rsidRDefault="00334C0D" w:rsidP="00334C0D">
            <w:pPr>
              <w:pStyle w:val="TAL"/>
              <w:rPr>
                <w:b/>
                <w:sz w:val="16"/>
              </w:rPr>
            </w:pPr>
            <w:r w:rsidRPr="00235394">
              <w:rPr>
                <w:b/>
                <w:sz w:val="16"/>
              </w:rPr>
              <w:t>CR</w:t>
            </w:r>
          </w:p>
        </w:tc>
        <w:tc>
          <w:tcPr>
            <w:tcW w:w="331" w:type="dxa"/>
            <w:shd w:val="pct10" w:color="auto" w:fill="FFFFFF"/>
          </w:tcPr>
          <w:p w14:paraId="5863613F" w14:textId="77777777" w:rsidR="00334C0D" w:rsidRPr="00235394" w:rsidRDefault="00334C0D" w:rsidP="00334C0D">
            <w:pPr>
              <w:pStyle w:val="TAL"/>
              <w:rPr>
                <w:b/>
                <w:sz w:val="16"/>
              </w:rPr>
            </w:pPr>
            <w:r w:rsidRPr="00235394">
              <w:rPr>
                <w:b/>
                <w:sz w:val="16"/>
              </w:rPr>
              <w:t>Rev</w:t>
            </w:r>
          </w:p>
        </w:tc>
        <w:tc>
          <w:tcPr>
            <w:tcW w:w="425" w:type="dxa"/>
            <w:shd w:val="pct10" w:color="auto" w:fill="FFFFFF"/>
          </w:tcPr>
          <w:p w14:paraId="77969E5A" w14:textId="77777777" w:rsidR="00334C0D" w:rsidRPr="00235394" w:rsidRDefault="00334C0D" w:rsidP="00334C0D">
            <w:pPr>
              <w:pStyle w:val="TAL"/>
              <w:rPr>
                <w:b/>
                <w:sz w:val="16"/>
              </w:rPr>
            </w:pPr>
            <w:r>
              <w:rPr>
                <w:b/>
                <w:sz w:val="16"/>
              </w:rPr>
              <w:t>Cat</w:t>
            </w:r>
          </w:p>
        </w:tc>
        <w:tc>
          <w:tcPr>
            <w:tcW w:w="4962" w:type="dxa"/>
            <w:shd w:val="pct10" w:color="auto" w:fill="FFFFFF"/>
          </w:tcPr>
          <w:p w14:paraId="6845D52F" w14:textId="77777777" w:rsidR="00334C0D" w:rsidRPr="00235394" w:rsidRDefault="00334C0D" w:rsidP="00334C0D">
            <w:pPr>
              <w:pStyle w:val="TAL"/>
              <w:rPr>
                <w:b/>
                <w:sz w:val="16"/>
              </w:rPr>
            </w:pPr>
            <w:r w:rsidRPr="00235394">
              <w:rPr>
                <w:b/>
                <w:sz w:val="16"/>
              </w:rPr>
              <w:t>Subject/Comment</w:t>
            </w:r>
          </w:p>
        </w:tc>
        <w:tc>
          <w:tcPr>
            <w:tcW w:w="708" w:type="dxa"/>
            <w:shd w:val="pct10" w:color="auto" w:fill="FFFFFF"/>
          </w:tcPr>
          <w:p w14:paraId="5A105AE4" w14:textId="77777777" w:rsidR="00334C0D" w:rsidRPr="00235394" w:rsidRDefault="00334C0D" w:rsidP="00334C0D">
            <w:pPr>
              <w:pStyle w:val="TAL"/>
              <w:rPr>
                <w:b/>
                <w:sz w:val="16"/>
              </w:rPr>
            </w:pPr>
            <w:r w:rsidRPr="00235394">
              <w:rPr>
                <w:b/>
                <w:sz w:val="16"/>
              </w:rPr>
              <w:t>New</w:t>
            </w:r>
            <w:r>
              <w:rPr>
                <w:b/>
                <w:sz w:val="16"/>
              </w:rPr>
              <w:t xml:space="preserve"> version</w:t>
            </w:r>
          </w:p>
        </w:tc>
      </w:tr>
      <w:tr w:rsidR="00334C0D" w:rsidRPr="006B0D02" w14:paraId="5BA8B5D0" w14:textId="77777777" w:rsidTr="0063534F">
        <w:tc>
          <w:tcPr>
            <w:tcW w:w="803" w:type="dxa"/>
            <w:shd w:val="solid" w:color="FFFFFF" w:fill="auto"/>
          </w:tcPr>
          <w:p w14:paraId="68D304FC" w14:textId="77777777" w:rsidR="00334C0D" w:rsidRPr="00F52FCE" w:rsidRDefault="00334C0D" w:rsidP="00334C0D">
            <w:pPr>
              <w:pStyle w:val="TAC"/>
              <w:rPr>
                <w:rFonts w:eastAsiaTheme="minorEastAsia"/>
                <w:sz w:val="16"/>
                <w:szCs w:val="16"/>
                <w:lang w:eastAsia="zh-CN"/>
              </w:rPr>
            </w:pPr>
            <w:r>
              <w:rPr>
                <w:rFonts w:eastAsiaTheme="minorEastAsia" w:hint="eastAsia"/>
                <w:sz w:val="16"/>
                <w:szCs w:val="16"/>
                <w:lang w:eastAsia="zh-CN"/>
              </w:rPr>
              <w:t>09/2019</w:t>
            </w:r>
          </w:p>
        </w:tc>
        <w:tc>
          <w:tcPr>
            <w:tcW w:w="859" w:type="dxa"/>
            <w:shd w:val="solid" w:color="FFFFFF" w:fill="auto"/>
          </w:tcPr>
          <w:p w14:paraId="027321F3" w14:textId="77777777" w:rsidR="00334C0D" w:rsidRPr="00F52FCE" w:rsidRDefault="00334C0D" w:rsidP="00334C0D">
            <w:pPr>
              <w:pStyle w:val="TAC"/>
              <w:rPr>
                <w:rFonts w:eastAsiaTheme="minorEastAsia"/>
                <w:sz w:val="16"/>
                <w:szCs w:val="16"/>
                <w:lang w:eastAsia="zh-CN"/>
              </w:rPr>
            </w:pPr>
            <w:r>
              <w:rPr>
                <w:rFonts w:eastAsiaTheme="minorEastAsia" w:hint="eastAsia"/>
                <w:sz w:val="16"/>
                <w:szCs w:val="16"/>
                <w:lang w:eastAsia="zh-CN"/>
              </w:rPr>
              <w:t>RAN4#92</w:t>
            </w:r>
          </w:p>
        </w:tc>
        <w:tc>
          <w:tcPr>
            <w:tcW w:w="1032" w:type="dxa"/>
            <w:shd w:val="solid" w:color="FFFFFF" w:fill="auto"/>
          </w:tcPr>
          <w:p w14:paraId="15EA180F" w14:textId="77777777" w:rsidR="00334C0D" w:rsidRPr="00F52FCE" w:rsidRDefault="00334C0D" w:rsidP="00334C0D">
            <w:pPr>
              <w:pStyle w:val="TAC"/>
              <w:rPr>
                <w:rFonts w:eastAsiaTheme="minorEastAsia"/>
                <w:sz w:val="16"/>
                <w:szCs w:val="16"/>
                <w:lang w:eastAsia="zh-CN"/>
              </w:rPr>
            </w:pPr>
            <w:r>
              <w:rPr>
                <w:rFonts w:eastAsiaTheme="minorEastAsia" w:hint="eastAsia"/>
                <w:sz w:val="16"/>
                <w:szCs w:val="16"/>
                <w:lang w:eastAsia="zh-CN"/>
              </w:rPr>
              <w:t>R4-1910404</w:t>
            </w:r>
          </w:p>
        </w:tc>
        <w:tc>
          <w:tcPr>
            <w:tcW w:w="519" w:type="dxa"/>
            <w:shd w:val="solid" w:color="FFFFFF" w:fill="auto"/>
          </w:tcPr>
          <w:p w14:paraId="50A9B471" w14:textId="77777777" w:rsidR="00334C0D" w:rsidRPr="006B0D02" w:rsidRDefault="00334C0D" w:rsidP="00334C0D">
            <w:pPr>
              <w:pStyle w:val="TAL"/>
              <w:rPr>
                <w:sz w:val="16"/>
                <w:szCs w:val="16"/>
              </w:rPr>
            </w:pPr>
          </w:p>
        </w:tc>
        <w:tc>
          <w:tcPr>
            <w:tcW w:w="331" w:type="dxa"/>
            <w:shd w:val="solid" w:color="FFFFFF" w:fill="auto"/>
          </w:tcPr>
          <w:p w14:paraId="197C3E5A" w14:textId="77777777" w:rsidR="00334C0D" w:rsidRPr="006B0D02" w:rsidRDefault="00334C0D" w:rsidP="00334C0D">
            <w:pPr>
              <w:pStyle w:val="TAR"/>
              <w:rPr>
                <w:sz w:val="16"/>
                <w:szCs w:val="16"/>
              </w:rPr>
            </w:pPr>
          </w:p>
        </w:tc>
        <w:tc>
          <w:tcPr>
            <w:tcW w:w="425" w:type="dxa"/>
            <w:shd w:val="solid" w:color="FFFFFF" w:fill="auto"/>
          </w:tcPr>
          <w:p w14:paraId="4E70BA5E" w14:textId="77777777" w:rsidR="00334C0D" w:rsidRPr="006B0D02" w:rsidRDefault="00334C0D" w:rsidP="00334C0D">
            <w:pPr>
              <w:pStyle w:val="TAC"/>
              <w:rPr>
                <w:sz w:val="16"/>
                <w:szCs w:val="16"/>
              </w:rPr>
            </w:pPr>
          </w:p>
        </w:tc>
        <w:tc>
          <w:tcPr>
            <w:tcW w:w="4962" w:type="dxa"/>
            <w:shd w:val="solid" w:color="FFFFFF" w:fill="auto"/>
          </w:tcPr>
          <w:p w14:paraId="55AA806A" w14:textId="77777777" w:rsidR="00334C0D" w:rsidRPr="00F52FCE" w:rsidRDefault="00334C0D" w:rsidP="00334C0D">
            <w:pPr>
              <w:pStyle w:val="TAL"/>
              <w:rPr>
                <w:rFonts w:eastAsiaTheme="minorEastAsia"/>
                <w:sz w:val="16"/>
                <w:szCs w:val="16"/>
                <w:lang w:eastAsia="zh-CN"/>
              </w:rPr>
            </w:pPr>
            <w:r>
              <w:rPr>
                <w:rFonts w:eastAsiaTheme="minorEastAsia" w:hint="eastAsia"/>
                <w:sz w:val="16"/>
                <w:szCs w:val="16"/>
                <w:lang w:eastAsia="zh-CN"/>
              </w:rPr>
              <w:t>Initial TS skeleton</w:t>
            </w:r>
          </w:p>
        </w:tc>
        <w:tc>
          <w:tcPr>
            <w:tcW w:w="708" w:type="dxa"/>
            <w:shd w:val="solid" w:color="FFFFFF" w:fill="auto"/>
          </w:tcPr>
          <w:p w14:paraId="090D3B4D" w14:textId="77777777" w:rsidR="00334C0D" w:rsidRPr="00F52FCE" w:rsidRDefault="00334C0D" w:rsidP="00334C0D">
            <w:pPr>
              <w:pStyle w:val="TAC"/>
              <w:rPr>
                <w:rFonts w:eastAsiaTheme="minorEastAsia"/>
                <w:sz w:val="16"/>
                <w:szCs w:val="16"/>
                <w:lang w:eastAsia="zh-CN"/>
              </w:rPr>
            </w:pPr>
            <w:r>
              <w:rPr>
                <w:rFonts w:eastAsiaTheme="minorEastAsia" w:hint="eastAsia"/>
                <w:sz w:val="16"/>
                <w:szCs w:val="16"/>
                <w:lang w:eastAsia="zh-CN"/>
              </w:rPr>
              <w:t>0.0.1</w:t>
            </w:r>
          </w:p>
        </w:tc>
      </w:tr>
      <w:tr w:rsidR="006246A2" w:rsidRPr="006B0D02" w14:paraId="2B459374" w14:textId="77777777" w:rsidTr="0063534F">
        <w:tc>
          <w:tcPr>
            <w:tcW w:w="803" w:type="dxa"/>
            <w:shd w:val="solid" w:color="FFFFFF" w:fill="auto"/>
          </w:tcPr>
          <w:p w14:paraId="6DE0DB0B" w14:textId="1F92F3FB" w:rsidR="006246A2" w:rsidRDefault="006246A2" w:rsidP="00334C0D">
            <w:pPr>
              <w:pStyle w:val="TAC"/>
              <w:rPr>
                <w:rFonts w:eastAsiaTheme="minorEastAsia"/>
                <w:sz w:val="16"/>
                <w:szCs w:val="16"/>
                <w:lang w:eastAsia="zh-CN"/>
              </w:rPr>
            </w:pPr>
            <w:r>
              <w:rPr>
                <w:rFonts w:eastAsiaTheme="minorEastAsia"/>
                <w:sz w:val="16"/>
                <w:szCs w:val="16"/>
                <w:lang w:eastAsia="zh-CN"/>
              </w:rPr>
              <w:t>06/2020</w:t>
            </w:r>
          </w:p>
        </w:tc>
        <w:tc>
          <w:tcPr>
            <w:tcW w:w="859" w:type="dxa"/>
            <w:shd w:val="solid" w:color="FFFFFF" w:fill="auto"/>
          </w:tcPr>
          <w:p w14:paraId="6640155A" w14:textId="65CB7052" w:rsidR="006246A2" w:rsidRDefault="006246A2" w:rsidP="00334C0D">
            <w:pPr>
              <w:pStyle w:val="TAC"/>
              <w:rPr>
                <w:rFonts w:eastAsiaTheme="minorEastAsia"/>
                <w:sz w:val="16"/>
                <w:szCs w:val="16"/>
                <w:lang w:eastAsia="zh-CN"/>
              </w:rPr>
            </w:pPr>
            <w:r>
              <w:rPr>
                <w:rFonts w:eastAsiaTheme="minorEastAsia"/>
                <w:sz w:val="16"/>
                <w:szCs w:val="16"/>
                <w:lang w:eastAsia="zh-CN"/>
              </w:rPr>
              <w:t>RAN4#95-e</w:t>
            </w:r>
          </w:p>
        </w:tc>
        <w:tc>
          <w:tcPr>
            <w:tcW w:w="1032" w:type="dxa"/>
            <w:shd w:val="solid" w:color="FFFFFF" w:fill="auto"/>
          </w:tcPr>
          <w:p w14:paraId="43800E50" w14:textId="7866213E" w:rsidR="006246A2" w:rsidRDefault="006246A2" w:rsidP="00334C0D">
            <w:pPr>
              <w:pStyle w:val="TAC"/>
              <w:rPr>
                <w:rFonts w:eastAsiaTheme="minorEastAsia"/>
                <w:sz w:val="16"/>
                <w:szCs w:val="16"/>
                <w:lang w:eastAsia="zh-CN"/>
              </w:rPr>
            </w:pPr>
            <w:r>
              <w:rPr>
                <w:rFonts w:eastAsiaTheme="minorEastAsia"/>
                <w:sz w:val="16"/>
                <w:szCs w:val="16"/>
                <w:lang w:eastAsia="zh-CN"/>
              </w:rPr>
              <w:t>R4-</w:t>
            </w:r>
            <w:r w:rsidR="000F56F7">
              <w:rPr>
                <w:rFonts w:eastAsiaTheme="minorEastAsia"/>
                <w:sz w:val="16"/>
                <w:szCs w:val="16"/>
                <w:lang w:eastAsia="zh-CN"/>
              </w:rPr>
              <w:t>2007467</w:t>
            </w:r>
          </w:p>
        </w:tc>
        <w:tc>
          <w:tcPr>
            <w:tcW w:w="519" w:type="dxa"/>
            <w:shd w:val="solid" w:color="FFFFFF" w:fill="auto"/>
          </w:tcPr>
          <w:p w14:paraId="22B1ED21" w14:textId="77777777" w:rsidR="006246A2" w:rsidRPr="006B0D02" w:rsidRDefault="006246A2" w:rsidP="00334C0D">
            <w:pPr>
              <w:pStyle w:val="TAL"/>
              <w:rPr>
                <w:sz w:val="16"/>
                <w:szCs w:val="16"/>
              </w:rPr>
            </w:pPr>
          </w:p>
        </w:tc>
        <w:tc>
          <w:tcPr>
            <w:tcW w:w="331" w:type="dxa"/>
            <w:shd w:val="solid" w:color="FFFFFF" w:fill="auto"/>
          </w:tcPr>
          <w:p w14:paraId="1EE2CB34" w14:textId="77777777" w:rsidR="006246A2" w:rsidRPr="006B0D02" w:rsidRDefault="006246A2" w:rsidP="00334C0D">
            <w:pPr>
              <w:pStyle w:val="TAR"/>
              <w:rPr>
                <w:sz w:val="16"/>
                <w:szCs w:val="16"/>
              </w:rPr>
            </w:pPr>
          </w:p>
        </w:tc>
        <w:tc>
          <w:tcPr>
            <w:tcW w:w="425" w:type="dxa"/>
            <w:shd w:val="solid" w:color="FFFFFF" w:fill="auto"/>
          </w:tcPr>
          <w:p w14:paraId="7D9A56EA" w14:textId="77777777" w:rsidR="006246A2" w:rsidRPr="001B0F4D" w:rsidRDefault="006246A2" w:rsidP="00334C0D">
            <w:pPr>
              <w:pStyle w:val="TAC"/>
              <w:rPr>
                <w:rFonts w:eastAsiaTheme="minorEastAsia"/>
                <w:sz w:val="16"/>
                <w:szCs w:val="16"/>
                <w:lang w:eastAsia="zh-CN"/>
              </w:rPr>
            </w:pPr>
          </w:p>
        </w:tc>
        <w:tc>
          <w:tcPr>
            <w:tcW w:w="4962" w:type="dxa"/>
            <w:shd w:val="solid" w:color="FFFFFF" w:fill="auto"/>
          </w:tcPr>
          <w:p w14:paraId="63B6DB21" w14:textId="3CAD9D6C" w:rsidR="006246A2" w:rsidRDefault="000F56F7" w:rsidP="00334C0D">
            <w:pPr>
              <w:pStyle w:val="TAL"/>
              <w:rPr>
                <w:rFonts w:eastAsiaTheme="minorEastAsia"/>
                <w:sz w:val="16"/>
                <w:szCs w:val="16"/>
                <w:lang w:eastAsia="zh-CN"/>
              </w:rPr>
            </w:pPr>
            <w:r>
              <w:rPr>
                <w:rFonts w:eastAsiaTheme="minorEastAsia"/>
                <w:sz w:val="16"/>
                <w:szCs w:val="16"/>
                <w:lang w:eastAsia="zh-CN"/>
              </w:rPr>
              <w:t>Update of IAB TS</w:t>
            </w:r>
            <w:r w:rsidR="00E71771">
              <w:rPr>
                <w:rFonts w:eastAsiaTheme="minorEastAsia"/>
                <w:sz w:val="16"/>
                <w:szCs w:val="16"/>
                <w:lang w:eastAsia="zh-CN"/>
              </w:rPr>
              <w:t xml:space="preserve"> </w:t>
            </w:r>
            <w:r w:rsidR="001B0F4D">
              <w:rPr>
                <w:rFonts w:eastAsiaTheme="minorEastAsia"/>
                <w:sz w:val="16"/>
                <w:szCs w:val="16"/>
                <w:lang w:eastAsia="zh-CN"/>
              </w:rPr>
              <w:t>with</w:t>
            </w:r>
            <w:r w:rsidR="00E71771">
              <w:rPr>
                <w:rFonts w:eastAsiaTheme="minorEastAsia"/>
                <w:sz w:val="16"/>
                <w:szCs w:val="16"/>
                <w:lang w:eastAsia="zh-CN"/>
              </w:rPr>
              <w:t xml:space="preserve"> agreed TP in RAN4#95-e:</w:t>
            </w:r>
          </w:p>
          <w:p w14:paraId="4DA65214" w14:textId="0547D887" w:rsidR="001B0F4D" w:rsidRPr="001B0F4D" w:rsidRDefault="001B0F4D" w:rsidP="001B0F4D">
            <w:pPr>
              <w:spacing w:after="0"/>
              <w:rPr>
                <w:rFonts w:ascii="Arial" w:hAnsi="Arial" w:cs="Arial"/>
                <w:b/>
                <w:sz w:val="24"/>
              </w:rPr>
            </w:pPr>
            <w:r w:rsidRPr="001B0F4D">
              <w:rPr>
                <w:rFonts w:ascii="Arial" w:eastAsiaTheme="minorEastAsia" w:hAnsi="Arial"/>
                <w:sz w:val="16"/>
                <w:szCs w:val="16"/>
                <w:lang w:eastAsia="zh-CN"/>
              </w:rPr>
              <w:t>R4-2007991</w:t>
            </w:r>
            <w:r>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to TS 38.174 v0.0.1: Adding references related to IAB</w:t>
            </w:r>
          </w:p>
          <w:p w14:paraId="3874BD4D" w14:textId="2AD59B35" w:rsidR="002417CA" w:rsidRPr="002417CA" w:rsidRDefault="002417CA" w:rsidP="001B0F4D">
            <w:pPr>
              <w:pStyle w:val="TAL"/>
              <w:rPr>
                <w:rFonts w:eastAsiaTheme="minorEastAsia"/>
                <w:sz w:val="16"/>
                <w:szCs w:val="16"/>
                <w:lang w:eastAsia="zh-CN"/>
              </w:rPr>
            </w:pPr>
            <w:r w:rsidRPr="002417CA">
              <w:rPr>
                <w:rFonts w:eastAsiaTheme="minorEastAsia"/>
                <w:sz w:val="16"/>
                <w:szCs w:val="16"/>
                <w:lang w:eastAsia="zh-CN"/>
              </w:rPr>
              <w:t>R4-2008769</w:t>
            </w:r>
            <w:r>
              <w:rPr>
                <w:rFonts w:eastAsiaTheme="minorEastAsia"/>
                <w:sz w:val="16"/>
                <w:szCs w:val="16"/>
                <w:lang w:eastAsia="zh-CN"/>
              </w:rPr>
              <w:t xml:space="preserve"> </w:t>
            </w:r>
            <w:r w:rsidRPr="002417CA">
              <w:rPr>
                <w:rFonts w:eastAsiaTheme="minorEastAsia"/>
                <w:sz w:val="16"/>
                <w:szCs w:val="16"/>
                <w:lang w:eastAsia="zh-CN"/>
              </w:rPr>
              <w:t>TP to TS 38.174: system parameter</w:t>
            </w:r>
          </w:p>
          <w:p w14:paraId="7B169150" w14:textId="735659E4" w:rsidR="002417CA" w:rsidRPr="002417CA" w:rsidRDefault="002417CA" w:rsidP="001B0F4D">
            <w:pPr>
              <w:pStyle w:val="TAL"/>
              <w:rPr>
                <w:rFonts w:eastAsiaTheme="minorEastAsia"/>
                <w:sz w:val="16"/>
                <w:szCs w:val="16"/>
                <w:lang w:eastAsia="zh-CN"/>
              </w:rPr>
            </w:pPr>
            <w:r w:rsidRPr="002417CA">
              <w:rPr>
                <w:rFonts w:eastAsiaTheme="minorEastAsia"/>
                <w:sz w:val="16"/>
                <w:szCs w:val="16"/>
                <w:lang w:eastAsia="zh-CN"/>
              </w:rPr>
              <w:t>R4-2006275</w:t>
            </w:r>
            <w:r>
              <w:rPr>
                <w:rFonts w:eastAsiaTheme="minorEastAsia"/>
                <w:sz w:val="16"/>
                <w:szCs w:val="16"/>
                <w:lang w:eastAsia="zh-CN"/>
              </w:rPr>
              <w:t xml:space="preserve"> </w:t>
            </w:r>
            <w:r w:rsidRPr="002417CA">
              <w:rPr>
                <w:rFonts w:eastAsiaTheme="minorEastAsia"/>
                <w:sz w:val="16"/>
                <w:szCs w:val="16"/>
                <w:lang w:eastAsia="zh-CN"/>
              </w:rPr>
              <w:t>TP for TS 38.174: IAB-DU Transmitted signal quality</w:t>
            </w:r>
          </w:p>
          <w:p w14:paraId="44A0595D" w14:textId="2C070905" w:rsidR="002417CA" w:rsidRPr="002417CA" w:rsidRDefault="002417CA" w:rsidP="001B0F4D">
            <w:pPr>
              <w:pStyle w:val="TAL"/>
              <w:rPr>
                <w:rFonts w:eastAsiaTheme="minorEastAsia"/>
                <w:sz w:val="16"/>
                <w:szCs w:val="16"/>
                <w:lang w:eastAsia="zh-CN"/>
              </w:rPr>
            </w:pPr>
            <w:r w:rsidRPr="002417CA">
              <w:rPr>
                <w:rFonts w:eastAsiaTheme="minorEastAsia"/>
                <w:sz w:val="16"/>
                <w:szCs w:val="16"/>
                <w:lang w:eastAsia="zh-CN"/>
              </w:rPr>
              <w:t>R4-2008778</w:t>
            </w:r>
            <w:r>
              <w:rPr>
                <w:rFonts w:eastAsiaTheme="minorEastAsia"/>
                <w:sz w:val="16"/>
                <w:szCs w:val="16"/>
                <w:lang w:eastAsia="zh-CN"/>
              </w:rPr>
              <w:t xml:space="preserve"> </w:t>
            </w:r>
            <w:r w:rsidRPr="002417CA">
              <w:rPr>
                <w:rFonts w:eastAsiaTheme="minorEastAsia"/>
                <w:sz w:val="16"/>
                <w:szCs w:val="16"/>
                <w:lang w:eastAsia="zh-CN"/>
              </w:rPr>
              <w:t>TP for TS 38.174: Transmit ON/OFF power</w:t>
            </w:r>
          </w:p>
          <w:p w14:paraId="7B3031E7" w14:textId="0ED71D2D"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R4-2008788</w:t>
            </w:r>
            <w:r>
              <w:rPr>
                <w:rFonts w:eastAsiaTheme="minorEastAsia"/>
                <w:sz w:val="16"/>
                <w:szCs w:val="16"/>
                <w:lang w:eastAsia="zh-CN"/>
              </w:rPr>
              <w:t xml:space="preserve"> </w:t>
            </w:r>
            <w:r w:rsidRPr="002417CA">
              <w:rPr>
                <w:rFonts w:eastAsiaTheme="minorEastAsia"/>
                <w:sz w:val="16"/>
                <w:szCs w:val="16"/>
                <w:lang w:eastAsia="zh-CN"/>
              </w:rPr>
              <w:t>TP to TS 38.174: IAB RX IM requirement (section 7.7 and 10.8)</w:t>
            </w:r>
          </w:p>
          <w:p w14:paraId="3B460F89" w14:textId="0103F7F2"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R4-2008791 TP to TS 38.174: IAB ICS requirement (section 7.8 and 10.9)</w:t>
            </w:r>
          </w:p>
          <w:p w14:paraId="48344C61" w14:textId="14755B6F"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R4-2008795</w:t>
            </w:r>
            <w:r>
              <w:rPr>
                <w:rFonts w:eastAsiaTheme="minorEastAsia"/>
                <w:sz w:val="16"/>
                <w:szCs w:val="16"/>
                <w:lang w:eastAsia="zh-CN"/>
              </w:rPr>
              <w:t xml:space="preserve"> </w:t>
            </w:r>
            <w:r w:rsidRPr="002417CA">
              <w:rPr>
                <w:rFonts w:eastAsiaTheme="minorEastAsia"/>
                <w:sz w:val="16"/>
                <w:szCs w:val="16"/>
                <w:lang w:eastAsia="zh-CN"/>
              </w:rPr>
              <w:t>TP to TS 38.174: OTA ACS</w:t>
            </w:r>
          </w:p>
          <w:p w14:paraId="58742E83" w14:textId="26343E12"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R4-2008796</w:t>
            </w:r>
            <w:r>
              <w:rPr>
                <w:rFonts w:eastAsiaTheme="minorEastAsia"/>
                <w:sz w:val="16"/>
                <w:szCs w:val="16"/>
                <w:lang w:eastAsia="zh-CN"/>
              </w:rPr>
              <w:t xml:space="preserve"> </w:t>
            </w:r>
            <w:r w:rsidRPr="002417CA">
              <w:rPr>
                <w:rFonts w:eastAsiaTheme="minorEastAsia"/>
                <w:sz w:val="16"/>
                <w:szCs w:val="16"/>
                <w:lang w:eastAsia="zh-CN"/>
              </w:rPr>
              <w:t>TP to TS 38.174: OTA RX spurious</w:t>
            </w:r>
          </w:p>
          <w:p w14:paraId="59F608FE" w14:textId="53A9F028"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R4-2008798</w:t>
            </w:r>
            <w:r>
              <w:rPr>
                <w:rFonts w:eastAsiaTheme="minorEastAsia"/>
                <w:sz w:val="16"/>
                <w:szCs w:val="16"/>
                <w:lang w:eastAsia="zh-CN"/>
              </w:rPr>
              <w:t xml:space="preserve"> </w:t>
            </w:r>
            <w:r w:rsidRPr="002417CA">
              <w:rPr>
                <w:rFonts w:eastAsiaTheme="minorEastAsia"/>
                <w:sz w:val="16"/>
                <w:szCs w:val="16"/>
                <w:lang w:eastAsia="zh-CN"/>
              </w:rPr>
              <w:t>TP to TS 38.174: OTA Inband blocking</w:t>
            </w:r>
          </w:p>
          <w:p w14:paraId="51892593" w14:textId="52C36F8C"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R4-2008799</w:t>
            </w:r>
            <w:r>
              <w:rPr>
                <w:rFonts w:eastAsiaTheme="minorEastAsia"/>
                <w:sz w:val="16"/>
                <w:szCs w:val="16"/>
                <w:lang w:eastAsia="zh-CN"/>
              </w:rPr>
              <w:t xml:space="preserve"> </w:t>
            </w:r>
            <w:r w:rsidRPr="002417CA">
              <w:rPr>
                <w:rFonts w:eastAsiaTheme="minorEastAsia"/>
                <w:sz w:val="16"/>
                <w:szCs w:val="16"/>
                <w:lang w:eastAsia="zh-CN"/>
              </w:rPr>
              <w:t>TP to TS 38.174: Conducted RX spurious</w:t>
            </w:r>
          </w:p>
          <w:p w14:paraId="0726E1BB" w14:textId="7AD10B70"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R4-2008800</w:t>
            </w:r>
            <w:r>
              <w:rPr>
                <w:rFonts w:eastAsiaTheme="minorEastAsia"/>
                <w:sz w:val="16"/>
                <w:szCs w:val="16"/>
                <w:lang w:eastAsia="zh-CN"/>
              </w:rPr>
              <w:t xml:space="preserve"> </w:t>
            </w:r>
            <w:r w:rsidRPr="002417CA">
              <w:rPr>
                <w:rFonts w:eastAsiaTheme="minorEastAsia"/>
                <w:sz w:val="16"/>
                <w:szCs w:val="16"/>
                <w:lang w:eastAsia="zh-CN"/>
              </w:rPr>
              <w:t>TP to TS 38.174 -IAB-DU RX sensitivity</w:t>
            </w:r>
          </w:p>
          <w:p w14:paraId="16B75C0F" w14:textId="0BC4A836" w:rsidR="002417CA" w:rsidRP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R4-2008801 TP to TS 38.174 -IAB-DU Rx dynamic range</w:t>
            </w:r>
          </w:p>
          <w:p w14:paraId="2E9B211B" w14:textId="77777777" w:rsidR="002417CA" w:rsidRDefault="002417CA" w:rsidP="00334C0D">
            <w:pPr>
              <w:pStyle w:val="TAL"/>
              <w:rPr>
                <w:rFonts w:eastAsiaTheme="minorEastAsia"/>
                <w:sz w:val="16"/>
                <w:szCs w:val="16"/>
                <w:lang w:eastAsia="zh-CN"/>
              </w:rPr>
            </w:pPr>
            <w:r w:rsidRPr="002417CA">
              <w:rPr>
                <w:rFonts w:eastAsiaTheme="minorEastAsia"/>
                <w:sz w:val="16"/>
                <w:szCs w:val="16"/>
                <w:lang w:eastAsia="zh-CN"/>
              </w:rPr>
              <w:t>R4-2009063</w:t>
            </w:r>
            <w:r>
              <w:rPr>
                <w:rFonts w:eastAsiaTheme="minorEastAsia"/>
                <w:sz w:val="16"/>
                <w:szCs w:val="16"/>
                <w:lang w:eastAsia="zh-CN"/>
              </w:rPr>
              <w:t xml:space="preserve"> </w:t>
            </w:r>
            <w:r w:rsidRPr="002417CA">
              <w:rPr>
                <w:rFonts w:eastAsiaTheme="minorEastAsia"/>
                <w:sz w:val="16"/>
                <w:szCs w:val="16"/>
                <w:lang w:eastAsia="zh-CN"/>
              </w:rPr>
              <w:t>TP to TS 38.174 -IAB-DU TX dynamic range</w:t>
            </w:r>
          </w:p>
          <w:p w14:paraId="08A6CE3A" w14:textId="20FA2DD3" w:rsidR="00E71771" w:rsidRPr="001B0F4D" w:rsidRDefault="00065395" w:rsidP="001B0F4D">
            <w:pPr>
              <w:spacing w:after="0"/>
              <w:rPr>
                <w:rFonts w:ascii="Arial" w:eastAsiaTheme="minorEastAsia" w:hAnsi="Arial"/>
                <w:sz w:val="16"/>
                <w:szCs w:val="16"/>
                <w:lang w:eastAsia="zh-CN"/>
              </w:rPr>
            </w:pPr>
            <w:bookmarkStart w:id="10684" w:name="_Hlk41740398"/>
            <w:r w:rsidRPr="001B0F4D">
              <w:rPr>
                <w:rFonts w:ascii="Arial" w:eastAsiaTheme="minorEastAsia" w:hAnsi="Arial"/>
                <w:sz w:val="16"/>
                <w:szCs w:val="16"/>
                <w:lang w:eastAsia="zh-CN"/>
              </w:rPr>
              <w:t>R4-2008596</w:t>
            </w:r>
            <w:bookmarkEnd w:id="10684"/>
            <w:r w:rsidR="001B0F4D">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to 38174 RRM IAB TS</w:t>
            </w:r>
          </w:p>
          <w:p w14:paraId="57DF3014" w14:textId="7511F63F" w:rsidR="00E71771" w:rsidRPr="001B0F4D" w:rsidRDefault="00E71771" w:rsidP="001B0F4D">
            <w:pPr>
              <w:pStyle w:val="TAL"/>
              <w:rPr>
                <w:rFonts w:eastAsiaTheme="minorEastAsia"/>
                <w:sz w:val="16"/>
                <w:szCs w:val="16"/>
                <w:lang w:eastAsia="zh-CN"/>
              </w:rPr>
            </w:pPr>
            <w:r w:rsidRPr="001B0F4D">
              <w:rPr>
                <w:rFonts w:eastAsiaTheme="minorEastAsia"/>
                <w:sz w:val="16"/>
                <w:szCs w:val="16"/>
                <w:lang w:eastAsia="zh-CN"/>
              </w:rPr>
              <w:t>R4-2008597</w:t>
            </w:r>
            <w:r w:rsidR="001B0F4D">
              <w:rPr>
                <w:rFonts w:eastAsiaTheme="minorEastAsia"/>
                <w:sz w:val="16"/>
                <w:szCs w:val="16"/>
                <w:lang w:eastAsia="zh-CN"/>
              </w:rPr>
              <w:t xml:space="preserve"> </w:t>
            </w:r>
            <w:r w:rsidRPr="001B0F4D">
              <w:rPr>
                <w:rFonts w:eastAsiaTheme="minorEastAsia"/>
                <w:sz w:val="16"/>
                <w:szCs w:val="16"/>
                <w:lang w:eastAsia="zh-CN"/>
              </w:rPr>
              <w:t>TP to TS 38.174 v0.0.1: Updates to RRC re-establishment requirements for IAB MT</w:t>
            </w:r>
          </w:p>
          <w:p w14:paraId="27B618DF" w14:textId="7AD003E6" w:rsidR="00E71771" w:rsidRPr="001B0F4D" w:rsidRDefault="00E71771" w:rsidP="001B0F4D">
            <w:pPr>
              <w:spacing w:after="0"/>
              <w:rPr>
                <w:rFonts w:ascii="Arial" w:eastAsiaTheme="minorEastAsia" w:hAnsi="Arial"/>
                <w:sz w:val="16"/>
                <w:szCs w:val="16"/>
                <w:lang w:eastAsia="zh-CN"/>
              </w:rPr>
            </w:pPr>
            <w:r w:rsidRPr="001B0F4D">
              <w:rPr>
                <w:rFonts w:ascii="Arial" w:eastAsiaTheme="minorEastAsia" w:hAnsi="Arial"/>
                <w:sz w:val="16"/>
                <w:szCs w:val="16"/>
                <w:lang w:eastAsia="zh-CN"/>
              </w:rPr>
              <w:t>R4-2008598</w:t>
            </w:r>
            <w:r w:rsidR="001B0F4D">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to TS 38.174 v0.0.1: Updates to RRC re-direction requirements for IAB MT</w:t>
            </w:r>
          </w:p>
          <w:p w14:paraId="5BD10AE1" w14:textId="451F88D7" w:rsidR="00E71771" w:rsidRPr="001B0F4D" w:rsidRDefault="00E71771" w:rsidP="001B0F4D">
            <w:pPr>
              <w:spacing w:after="0"/>
              <w:rPr>
                <w:rFonts w:ascii="Arial" w:eastAsiaTheme="minorEastAsia" w:hAnsi="Arial"/>
                <w:sz w:val="16"/>
                <w:szCs w:val="16"/>
                <w:lang w:eastAsia="zh-CN"/>
              </w:rPr>
            </w:pPr>
            <w:r w:rsidRPr="001B0F4D">
              <w:rPr>
                <w:rFonts w:ascii="Arial" w:eastAsiaTheme="minorEastAsia" w:hAnsi="Arial"/>
                <w:sz w:val="16"/>
                <w:szCs w:val="16"/>
                <w:lang w:eastAsia="zh-CN"/>
              </w:rPr>
              <w:t>R4-2008599</w:t>
            </w:r>
            <w:r w:rsidR="001B0F4D">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to TS 38174 Transmit Timing requirements for IAB-MT</w:t>
            </w:r>
          </w:p>
          <w:p w14:paraId="7531AC27" w14:textId="2F62B48C" w:rsidR="00065395" w:rsidRPr="001B0F4D" w:rsidRDefault="00065395" w:rsidP="001B0F4D">
            <w:pPr>
              <w:spacing w:after="0"/>
              <w:rPr>
                <w:rFonts w:ascii="Arial" w:eastAsiaTheme="minorEastAsia" w:hAnsi="Arial"/>
                <w:sz w:val="16"/>
                <w:szCs w:val="16"/>
                <w:lang w:eastAsia="zh-CN"/>
              </w:rPr>
            </w:pPr>
            <w:r w:rsidRPr="001B0F4D">
              <w:rPr>
                <w:rFonts w:ascii="Arial" w:eastAsiaTheme="minorEastAsia" w:hAnsi="Arial"/>
                <w:sz w:val="16"/>
                <w:szCs w:val="16"/>
                <w:lang w:eastAsia="zh-CN"/>
              </w:rPr>
              <w:t>R4-2008600</w:t>
            </w:r>
            <w:r w:rsidR="001B0F4D">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for IAB RLM</w:t>
            </w:r>
          </w:p>
          <w:p w14:paraId="40787843" w14:textId="570B8DB6" w:rsidR="00065395" w:rsidRPr="001B0F4D" w:rsidRDefault="00065395" w:rsidP="001B0F4D">
            <w:pPr>
              <w:spacing w:after="0"/>
              <w:rPr>
                <w:rFonts w:ascii="Arial" w:eastAsiaTheme="minorEastAsia" w:hAnsi="Arial"/>
                <w:sz w:val="16"/>
                <w:szCs w:val="16"/>
                <w:lang w:eastAsia="zh-CN"/>
              </w:rPr>
            </w:pPr>
            <w:r w:rsidRPr="001B0F4D">
              <w:rPr>
                <w:rFonts w:ascii="Arial" w:eastAsiaTheme="minorEastAsia" w:hAnsi="Arial"/>
                <w:sz w:val="16"/>
                <w:szCs w:val="16"/>
                <w:lang w:eastAsia="zh-CN"/>
              </w:rPr>
              <w:t>R4-2008601</w:t>
            </w:r>
            <w:r w:rsidR="001B0F4D">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to TS 38.174 v0.0.1: Beam Candidate Detection Requirements for IAB MT</w:t>
            </w:r>
          </w:p>
          <w:p w14:paraId="6FA15FEC" w14:textId="0394521F" w:rsidR="00065395" w:rsidRPr="001B0F4D" w:rsidRDefault="00065395" w:rsidP="001B0F4D">
            <w:pPr>
              <w:spacing w:after="0"/>
              <w:rPr>
                <w:rFonts w:ascii="Arial" w:eastAsiaTheme="minorEastAsia" w:hAnsi="Arial"/>
                <w:sz w:val="16"/>
                <w:szCs w:val="16"/>
                <w:lang w:eastAsia="zh-CN"/>
              </w:rPr>
            </w:pPr>
            <w:r w:rsidRPr="001B0F4D">
              <w:rPr>
                <w:rFonts w:ascii="Arial" w:eastAsiaTheme="minorEastAsia" w:hAnsi="Arial"/>
                <w:sz w:val="16"/>
                <w:szCs w:val="16"/>
                <w:lang w:eastAsia="zh-CN"/>
              </w:rPr>
              <w:t>R4-2008611</w:t>
            </w:r>
            <w:r w:rsidR="001B0F4D">
              <w:rPr>
                <w:rFonts w:ascii="Arial" w:eastAsiaTheme="minorEastAsia" w:hAnsi="Arial"/>
                <w:sz w:val="16"/>
                <w:szCs w:val="16"/>
                <w:lang w:eastAsia="zh-CN"/>
              </w:rPr>
              <w:t xml:space="preserve"> </w:t>
            </w:r>
            <w:r w:rsidRPr="001B0F4D">
              <w:rPr>
                <w:rFonts w:ascii="Arial" w:eastAsiaTheme="minorEastAsia" w:hAnsi="Arial"/>
                <w:sz w:val="16"/>
                <w:szCs w:val="16"/>
                <w:lang w:eastAsia="zh-CN"/>
              </w:rPr>
              <w:t>TP to TS 38.174 on BFD requirements of IAB-MTs</w:t>
            </w:r>
          </w:p>
          <w:p w14:paraId="250544B9" w14:textId="54F1B5FB" w:rsidR="00E71771" w:rsidRPr="00065395" w:rsidRDefault="00E71771" w:rsidP="00334C0D">
            <w:pPr>
              <w:pStyle w:val="TAL"/>
              <w:rPr>
                <w:rFonts w:eastAsiaTheme="minorEastAsia"/>
                <w:sz w:val="16"/>
                <w:szCs w:val="16"/>
                <w:lang w:eastAsia="zh-CN"/>
              </w:rPr>
            </w:pPr>
          </w:p>
        </w:tc>
        <w:tc>
          <w:tcPr>
            <w:tcW w:w="708" w:type="dxa"/>
            <w:shd w:val="solid" w:color="FFFFFF" w:fill="auto"/>
          </w:tcPr>
          <w:p w14:paraId="562A2E78" w14:textId="1E702249" w:rsidR="006246A2" w:rsidRDefault="000F56F7" w:rsidP="00334C0D">
            <w:pPr>
              <w:pStyle w:val="TAC"/>
              <w:rPr>
                <w:rFonts w:eastAsiaTheme="minorEastAsia"/>
                <w:sz w:val="16"/>
                <w:szCs w:val="16"/>
                <w:lang w:eastAsia="zh-CN"/>
              </w:rPr>
            </w:pPr>
            <w:r>
              <w:rPr>
                <w:rFonts w:eastAsiaTheme="minorEastAsia"/>
                <w:sz w:val="16"/>
                <w:szCs w:val="16"/>
                <w:lang w:eastAsia="zh-CN"/>
              </w:rPr>
              <w:t>0.</w:t>
            </w:r>
            <w:r w:rsidR="007E2958">
              <w:rPr>
                <w:rFonts w:eastAsiaTheme="minorEastAsia"/>
                <w:sz w:val="16"/>
                <w:szCs w:val="16"/>
                <w:lang w:eastAsia="zh-CN"/>
              </w:rPr>
              <w:t>1</w:t>
            </w:r>
            <w:r>
              <w:rPr>
                <w:rFonts w:eastAsiaTheme="minorEastAsia"/>
                <w:sz w:val="16"/>
                <w:szCs w:val="16"/>
                <w:lang w:eastAsia="zh-CN"/>
              </w:rPr>
              <w:t>.</w:t>
            </w:r>
            <w:r w:rsidR="007E2958">
              <w:rPr>
                <w:rFonts w:eastAsiaTheme="minorEastAsia"/>
                <w:sz w:val="16"/>
                <w:szCs w:val="16"/>
                <w:lang w:eastAsia="zh-CN"/>
              </w:rPr>
              <w:t>0</w:t>
            </w:r>
          </w:p>
        </w:tc>
      </w:tr>
      <w:tr w:rsidR="009E6AC5" w:rsidRPr="006B0D02" w14:paraId="5EDCB3BD" w14:textId="77777777" w:rsidTr="0063534F">
        <w:tc>
          <w:tcPr>
            <w:tcW w:w="803" w:type="dxa"/>
            <w:shd w:val="solid" w:color="FFFFFF" w:fill="auto"/>
          </w:tcPr>
          <w:p w14:paraId="0B345422" w14:textId="172A8FE2" w:rsidR="009E6AC5" w:rsidRDefault="00D638AE" w:rsidP="00334C0D">
            <w:pPr>
              <w:pStyle w:val="TAC"/>
              <w:rPr>
                <w:rFonts w:eastAsiaTheme="minorEastAsia"/>
                <w:sz w:val="16"/>
                <w:szCs w:val="16"/>
                <w:lang w:eastAsia="zh-CN"/>
              </w:rPr>
            </w:pPr>
            <w:r>
              <w:rPr>
                <w:rFonts w:eastAsiaTheme="minorEastAsia"/>
                <w:sz w:val="16"/>
                <w:szCs w:val="16"/>
                <w:lang w:eastAsia="zh-CN"/>
              </w:rPr>
              <w:t>09/2020</w:t>
            </w:r>
          </w:p>
        </w:tc>
        <w:tc>
          <w:tcPr>
            <w:tcW w:w="859" w:type="dxa"/>
            <w:shd w:val="solid" w:color="FFFFFF" w:fill="auto"/>
          </w:tcPr>
          <w:p w14:paraId="718C4C61" w14:textId="3CF3F19F" w:rsidR="009E6AC5" w:rsidRDefault="00D638AE" w:rsidP="00334C0D">
            <w:pPr>
              <w:pStyle w:val="TAC"/>
              <w:rPr>
                <w:rFonts w:eastAsiaTheme="minorEastAsia"/>
                <w:sz w:val="16"/>
                <w:szCs w:val="16"/>
                <w:lang w:eastAsia="zh-CN"/>
              </w:rPr>
            </w:pPr>
            <w:r>
              <w:rPr>
                <w:rFonts w:eastAsiaTheme="minorEastAsia"/>
                <w:sz w:val="16"/>
                <w:szCs w:val="16"/>
                <w:lang w:eastAsia="zh-CN"/>
              </w:rPr>
              <w:t>Ran4#96-e</w:t>
            </w:r>
          </w:p>
        </w:tc>
        <w:tc>
          <w:tcPr>
            <w:tcW w:w="1032" w:type="dxa"/>
            <w:shd w:val="solid" w:color="FFFFFF" w:fill="auto"/>
          </w:tcPr>
          <w:p w14:paraId="2E5B0FA3" w14:textId="609013EA" w:rsidR="009E6AC5" w:rsidRPr="003E03DD" w:rsidRDefault="00D361AA" w:rsidP="00334C0D">
            <w:pPr>
              <w:pStyle w:val="TAC"/>
              <w:rPr>
                <w:rFonts w:eastAsiaTheme="minorEastAsia"/>
                <w:sz w:val="16"/>
                <w:szCs w:val="16"/>
                <w:lang w:eastAsia="zh-CN"/>
              </w:rPr>
            </w:pPr>
            <w:r w:rsidRPr="003E03DD">
              <w:rPr>
                <w:color w:val="000000"/>
                <w:sz w:val="16"/>
                <w:szCs w:val="16"/>
              </w:rPr>
              <w:t>R4-2012566</w:t>
            </w:r>
          </w:p>
        </w:tc>
        <w:tc>
          <w:tcPr>
            <w:tcW w:w="519" w:type="dxa"/>
            <w:shd w:val="solid" w:color="FFFFFF" w:fill="auto"/>
          </w:tcPr>
          <w:p w14:paraId="7673B75A" w14:textId="77777777" w:rsidR="009E6AC5" w:rsidRPr="006B0D02" w:rsidRDefault="009E6AC5" w:rsidP="00334C0D">
            <w:pPr>
              <w:pStyle w:val="TAL"/>
              <w:rPr>
                <w:sz w:val="16"/>
                <w:szCs w:val="16"/>
              </w:rPr>
            </w:pPr>
          </w:p>
        </w:tc>
        <w:tc>
          <w:tcPr>
            <w:tcW w:w="331" w:type="dxa"/>
            <w:shd w:val="solid" w:color="FFFFFF" w:fill="auto"/>
          </w:tcPr>
          <w:p w14:paraId="504E016A" w14:textId="77777777" w:rsidR="009E6AC5" w:rsidRPr="006B0D02" w:rsidRDefault="009E6AC5" w:rsidP="00334C0D">
            <w:pPr>
              <w:pStyle w:val="TAR"/>
              <w:rPr>
                <w:sz w:val="16"/>
                <w:szCs w:val="16"/>
              </w:rPr>
            </w:pPr>
          </w:p>
        </w:tc>
        <w:tc>
          <w:tcPr>
            <w:tcW w:w="425" w:type="dxa"/>
            <w:shd w:val="solid" w:color="FFFFFF" w:fill="auto"/>
          </w:tcPr>
          <w:p w14:paraId="5B9913F3" w14:textId="77777777" w:rsidR="009E6AC5" w:rsidRPr="001B0F4D" w:rsidRDefault="009E6AC5" w:rsidP="00334C0D">
            <w:pPr>
              <w:pStyle w:val="TAC"/>
              <w:rPr>
                <w:rFonts w:eastAsiaTheme="minorEastAsia"/>
                <w:sz w:val="16"/>
                <w:szCs w:val="16"/>
                <w:lang w:eastAsia="zh-CN"/>
              </w:rPr>
            </w:pPr>
          </w:p>
        </w:tc>
        <w:tc>
          <w:tcPr>
            <w:tcW w:w="4962" w:type="dxa"/>
            <w:shd w:val="solid" w:color="FFFFFF" w:fill="auto"/>
          </w:tcPr>
          <w:p w14:paraId="04730BB4" w14:textId="77777777" w:rsidR="009E6AC5" w:rsidRDefault="00651DF1" w:rsidP="00334C0D">
            <w:pPr>
              <w:pStyle w:val="TAL"/>
              <w:rPr>
                <w:rFonts w:eastAsiaTheme="minorEastAsia"/>
                <w:sz w:val="16"/>
                <w:szCs w:val="16"/>
                <w:lang w:eastAsia="zh-CN"/>
              </w:rPr>
            </w:pPr>
            <w:r>
              <w:rPr>
                <w:rFonts w:eastAsiaTheme="minorEastAsia"/>
                <w:sz w:val="16"/>
                <w:szCs w:val="16"/>
                <w:lang w:eastAsia="zh-CN"/>
              </w:rPr>
              <w:t>Update of IAB TS with agreed TPs in RAN4#96-e</w:t>
            </w:r>
          </w:p>
          <w:p w14:paraId="2D78FFE2" w14:textId="77777777" w:rsidR="00D50712" w:rsidRDefault="00D50712" w:rsidP="00334C0D">
            <w:pPr>
              <w:pStyle w:val="TAL"/>
              <w:rPr>
                <w:rFonts w:eastAsiaTheme="minorEastAsia"/>
                <w:sz w:val="16"/>
                <w:szCs w:val="16"/>
                <w:lang w:eastAsia="zh-CN"/>
              </w:rPr>
            </w:pPr>
            <w:r>
              <w:rPr>
                <w:rFonts w:eastAsiaTheme="minorEastAsia"/>
                <w:sz w:val="16"/>
                <w:szCs w:val="16"/>
                <w:lang w:eastAsia="zh-CN"/>
              </w:rPr>
              <w:t>R4-</w:t>
            </w:r>
            <w:r w:rsidR="001349DA">
              <w:rPr>
                <w:rFonts w:eastAsiaTheme="minorEastAsia"/>
                <w:sz w:val="16"/>
                <w:szCs w:val="16"/>
                <w:lang w:eastAsia="zh-CN"/>
              </w:rPr>
              <w:t>2012108: Removing editor’s notes and replacing TBD with appropriate numbers</w:t>
            </w:r>
          </w:p>
          <w:p w14:paraId="00920B9C" w14:textId="77777777" w:rsidR="00322426" w:rsidRDefault="00322426" w:rsidP="00334C0D">
            <w:pPr>
              <w:pStyle w:val="TAL"/>
              <w:rPr>
                <w:rFonts w:eastAsiaTheme="minorEastAsia"/>
                <w:sz w:val="16"/>
                <w:szCs w:val="16"/>
                <w:lang w:eastAsia="zh-CN"/>
              </w:rPr>
            </w:pPr>
            <w:r>
              <w:rPr>
                <w:rFonts w:eastAsiaTheme="minorEastAsia"/>
                <w:sz w:val="16"/>
                <w:szCs w:val="16"/>
                <w:lang w:eastAsia="zh-CN"/>
              </w:rPr>
              <w:t>R4-2012234: RLM requirements for IAB MTs</w:t>
            </w:r>
          </w:p>
          <w:p w14:paraId="16192D6C" w14:textId="77777777" w:rsidR="007262A9" w:rsidRDefault="00884CE8" w:rsidP="00334C0D">
            <w:pPr>
              <w:pStyle w:val="TAL"/>
              <w:rPr>
                <w:rFonts w:eastAsiaTheme="minorEastAsia"/>
                <w:sz w:val="16"/>
                <w:szCs w:val="16"/>
                <w:lang w:eastAsia="zh-CN"/>
              </w:rPr>
            </w:pPr>
            <w:r>
              <w:rPr>
                <w:rFonts w:eastAsiaTheme="minorEastAsia"/>
                <w:sz w:val="16"/>
                <w:szCs w:val="16"/>
                <w:lang w:eastAsia="zh-CN"/>
              </w:rPr>
              <w:t xml:space="preserve">R4-2012614: </w:t>
            </w:r>
            <w:r w:rsidR="00B95FEF">
              <w:rPr>
                <w:rFonts w:eastAsiaTheme="minorEastAsia"/>
                <w:sz w:val="16"/>
                <w:szCs w:val="16"/>
                <w:lang w:eastAsia="zh-CN"/>
              </w:rPr>
              <w:t>IAB-MT classes, applicability of requirements, requirements for contiguous and non-contiguous spectrum</w:t>
            </w:r>
          </w:p>
          <w:p w14:paraId="6BD957D5" w14:textId="77777777" w:rsidR="00CF3A1F" w:rsidRDefault="00CF3A1F" w:rsidP="00334C0D">
            <w:pPr>
              <w:pStyle w:val="TAL"/>
              <w:rPr>
                <w:rFonts w:eastAsiaTheme="minorEastAsia"/>
                <w:sz w:val="16"/>
                <w:szCs w:val="16"/>
                <w:lang w:eastAsia="zh-CN"/>
              </w:rPr>
            </w:pPr>
            <w:r>
              <w:rPr>
                <w:rFonts w:eastAsiaTheme="minorEastAsia"/>
                <w:sz w:val="16"/>
                <w:szCs w:val="16"/>
                <w:lang w:eastAsia="zh-CN"/>
              </w:rPr>
              <w:t xml:space="preserve">R4-2012618: Output power dynamics, </w:t>
            </w:r>
            <w:r w:rsidR="002D3D84">
              <w:rPr>
                <w:rFonts w:eastAsiaTheme="minorEastAsia"/>
                <w:sz w:val="16"/>
                <w:szCs w:val="16"/>
                <w:lang w:eastAsia="zh-CN"/>
              </w:rPr>
              <w:t>Radiated transmit power</w:t>
            </w:r>
            <w:r w:rsidR="0096607B">
              <w:rPr>
                <w:rFonts w:eastAsiaTheme="minorEastAsia"/>
                <w:sz w:val="16"/>
                <w:szCs w:val="16"/>
                <w:lang w:eastAsia="zh-CN"/>
              </w:rPr>
              <w:t>, OTA output power</w:t>
            </w:r>
          </w:p>
          <w:p w14:paraId="649E86DF" w14:textId="77777777" w:rsidR="00B10312" w:rsidRDefault="00B10312" w:rsidP="00334C0D">
            <w:pPr>
              <w:pStyle w:val="TAL"/>
              <w:rPr>
                <w:rFonts w:eastAsiaTheme="minorEastAsia"/>
                <w:sz w:val="16"/>
                <w:szCs w:val="16"/>
                <w:lang w:eastAsia="zh-CN"/>
              </w:rPr>
            </w:pPr>
            <w:r>
              <w:rPr>
                <w:rFonts w:eastAsiaTheme="minorEastAsia"/>
                <w:sz w:val="16"/>
                <w:szCs w:val="16"/>
                <w:lang w:eastAsia="zh-CN"/>
              </w:rPr>
              <w:t>R4-2012620</w:t>
            </w:r>
            <w:r w:rsidR="00712355">
              <w:rPr>
                <w:rFonts w:eastAsiaTheme="minorEastAsia"/>
                <w:sz w:val="16"/>
                <w:szCs w:val="16"/>
                <w:lang w:eastAsia="zh-CN"/>
              </w:rPr>
              <w:t>: IAB Output power, Radiated transmit power</w:t>
            </w:r>
          </w:p>
          <w:p w14:paraId="69732BC3" w14:textId="77777777" w:rsidR="00812F6B" w:rsidRDefault="00812F6B" w:rsidP="00334C0D">
            <w:pPr>
              <w:pStyle w:val="TAL"/>
              <w:rPr>
                <w:rFonts w:eastAsiaTheme="minorEastAsia"/>
                <w:sz w:val="16"/>
                <w:szCs w:val="16"/>
                <w:lang w:eastAsia="zh-CN"/>
              </w:rPr>
            </w:pPr>
            <w:r>
              <w:rPr>
                <w:rFonts w:eastAsiaTheme="minorEastAsia"/>
                <w:sz w:val="16"/>
                <w:szCs w:val="16"/>
                <w:lang w:eastAsia="zh-CN"/>
              </w:rPr>
              <w:t>R4-2012621: Output power dynamics, OTA output power dynamics</w:t>
            </w:r>
          </w:p>
          <w:p w14:paraId="6E2EB873" w14:textId="77777777" w:rsidR="00EC2B64" w:rsidRDefault="00EC2B64" w:rsidP="00334C0D">
            <w:pPr>
              <w:pStyle w:val="TAL"/>
              <w:rPr>
                <w:rFonts w:eastAsiaTheme="minorEastAsia"/>
                <w:sz w:val="16"/>
                <w:szCs w:val="16"/>
                <w:lang w:eastAsia="zh-CN"/>
              </w:rPr>
            </w:pPr>
            <w:r>
              <w:rPr>
                <w:rFonts w:eastAsiaTheme="minorEastAsia"/>
                <w:sz w:val="16"/>
                <w:szCs w:val="16"/>
                <w:lang w:eastAsia="zh-CN"/>
              </w:rPr>
              <w:t>R4-2012622: App</w:t>
            </w:r>
            <w:r w:rsidR="002B0337">
              <w:rPr>
                <w:rFonts w:eastAsiaTheme="minorEastAsia"/>
                <w:sz w:val="16"/>
                <w:szCs w:val="16"/>
                <w:lang w:eastAsia="zh-CN"/>
              </w:rPr>
              <w:t>endices</w:t>
            </w:r>
            <w:r w:rsidR="00D227C0">
              <w:rPr>
                <w:rFonts w:eastAsiaTheme="minorEastAsia"/>
                <w:sz w:val="16"/>
                <w:szCs w:val="16"/>
                <w:lang w:eastAsia="zh-CN"/>
              </w:rPr>
              <w:t xml:space="preserve">, frequency error, modulation quality, </w:t>
            </w:r>
            <w:r w:rsidR="00825F23">
              <w:rPr>
                <w:rFonts w:eastAsiaTheme="minorEastAsia"/>
                <w:sz w:val="16"/>
                <w:szCs w:val="16"/>
                <w:lang w:eastAsia="zh-CN"/>
              </w:rPr>
              <w:t>OTA frequency error, OTA modulation quality</w:t>
            </w:r>
          </w:p>
          <w:p w14:paraId="7E063FF3" w14:textId="77777777" w:rsidR="00CA0334" w:rsidRDefault="00CA0334" w:rsidP="00334C0D">
            <w:pPr>
              <w:pStyle w:val="TAL"/>
              <w:rPr>
                <w:rFonts w:eastAsiaTheme="minorEastAsia"/>
                <w:sz w:val="16"/>
                <w:szCs w:val="16"/>
                <w:lang w:eastAsia="zh-CN"/>
              </w:rPr>
            </w:pPr>
            <w:r>
              <w:rPr>
                <w:rFonts w:eastAsiaTheme="minorEastAsia"/>
                <w:sz w:val="16"/>
                <w:szCs w:val="16"/>
                <w:lang w:eastAsia="zh-CN"/>
              </w:rPr>
              <w:t>R4-2012624: Unwanted emissions, OTA unwanted emissions</w:t>
            </w:r>
          </w:p>
          <w:p w14:paraId="73F58C50" w14:textId="77777777" w:rsidR="005E04D7" w:rsidRPr="00AC7434" w:rsidRDefault="005E04D7" w:rsidP="00334C0D">
            <w:pPr>
              <w:pStyle w:val="TAL"/>
              <w:rPr>
                <w:rFonts w:eastAsiaTheme="minorEastAsia"/>
                <w:sz w:val="16"/>
                <w:szCs w:val="16"/>
                <w:lang w:val="sv-FI" w:eastAsia="zh-CN"/>
              </w:rPr>
            </w:pPr>
            <w:r w:rsidRPr="00AC7434">
              <w:rPr>
                <w:rFonts w:eastAsiaTheme="minorEastAsia"/>
                <w:sz w:val="16"/>
                <w:szCs w:val="16"/>
                <w:lang w:val="sv-FI" w:eastAsia="zh-CN"/>
              </w:rPr>
              <w:t xml:space="preserve">R4-2012626: </w:t>
            </w:r>
            <w:r w:rsidR="002910EF" w:rsidRPr="00AC7434">
              <w:rPr>
                <w:rFonts w:eastAsiaTheme="minorEastAsia"/>
                <w:sz w:val="16"/>
                <w:szCs w:val="16"/>
                <w:lang w:val="sv-FI" w:eastAsia="zh-CN"/>
              </w:rPr>
              <w:t>Transmitter intermodulation, OTA transmitter intermodulation</w:t>
            </w:r>
          </w:p>
          <w:p w14:paraId="05AB516A" w14:textId="77777777" w:rsidR="00497979" w:rsidRDefault="00497979" w:rsidP="00334C0D">
            <w:pPr>
              <w:pStyle w:val="TAL"/>
              <w:rPr>
                <w:rFonts w:eastAsiaTheme="minorEastAsia"/>
                <w:sz w:val="16"/>
                <w:szCs w:val="16"/>
                <w:lang w:eastAsia="zh-CN"/>
              </w:rPr>
            </w:pPr>
            <w:r>
              <w:rPr>
                <w:rFonts w:eastAsiaTheme="minorEastAsia"/>
                <w:sz w:val="16"/>
                <w:szCs w:val="16"/>
                <w:lang w:eastAsia="zh-CN"/>
              </w:rPr>
              <w:t xml:space="preserve">R4-2012628: </w:t>
            </w:r>
            <w:r w:rsidR="00AF69C5">
              <w:rPr>
                <w:rFonts w:eastAsiaTheme="minorEastAsia"/>
                <w:sz w:val="16"/>
                <w:szCs w:val="16"/>
                <w:lang w:eastAsia="zh-CN"/>
              </w:rPr>
              <w:t>Reference sensitivity level, dynamic range, OTA sensitivity, OTA dynamic range, fixed reference channels for reference sensitivity</w:t>
            </w:r>
          </w:p>
          <w:p w14:paraId="292CA1D5" w14:textId="77777777" w:rsidR="007B5F49" w:rsidRDefault="007B5F49" w:rsidP="00334C0D">
            <w:pPr>
              <w:pStyle w:val="TAL"/>
              <w:rPr>
                <w:rFonts w:eastAsiaTheme="minorEastAsia"/>
                <w:sz w:val="16"/>
                <w:szCs w:val="16"/>
                <w:lang w:eastAsia="zh-CN"/>
              </w:rPr>
            </w:pPr>
            <w:r>
              <w:rPr>
                <w:rFonts w:eastAsiaTheme="minorEastAsia"/>
                <w:sz w:val="16"/>
                <w:szCs w:val="16"/>
                <w:lang w:eastAsia="zh-CN"/>
              </w:rPr>
              <w:t>R4-2012631: In-band selectivity and blocking, out-of-band blocking, OTA out-of-band blocking</w:t>
            </w:r>
          </w:p>
          <w:p w14:paraId="69BCC256" w14:textId="77777777" w:rsidR="00F14937" w:rsidRDefault="00F14937" w:rsidP="00334C0D">
            <w:pPr>
              <w:pStyle w:val="TAL"/>
              <w:rPr>
                <w:rFonts w:eastAsiaTheme="minorEastAsia"/>
                <w:sz w:val="16"/>
                <w:szCs w:val="16"/>
                <w:lang w:eastAsia="zh-CN"/>
              </w:rPr>
            </w:pPr>
            <w:r>
              <w:rPr>
                <w:rFonts w:eastAsiaTheme="minorEastAsia"/>
                <w:sz w:val="16"/>
                <w:szCs w:val="16"/>
                <w:lang w:eastAsia="zh-CN"/>
              </w:rPr>
              <w:t>R4-2012633: Receiver intermodulation,</w:t>
            </w:r>
            <w:r w:rsidR="00B17FC4">
              <w:rPr>
                <w:rFonts w:eastAsiaTheme="minorEastAsia"/>
                <w:sz w:val="16"/>
                <w:szCs w:val="16"/>
                <w:lang w:eastAsia="zh-CN"/>
              </w:rPr>
              <w:t xml:space="preserve"> OTA</w:t>
            </w:r>
            <w:r>
              <w:rPr>
                <w:rFonts w:eastAsiaTheme="minorEastAsia"/>
                <w:sz w:val="16"/>
                <w:szCs w:val="16"/>
                <w:lang w:eastAsia="zh-CN"/>
              </w:rPr>
              <w:t xml:space="preserve"> receiver intermodulation</w:t>
            </w:r>
          </w:p>
          <w:p w14:paraId="1A9F4651" w14:textId="3B9F3639" w:rsidR="00A76F42" w:rsidRDefault="00A76F42" w:rsidP="00334C0D">
            <w:pPr>
              <w:pStyle w:val="TAL"/>
              <w:rPr>
                <w:rFonts w:eastAsiaTheme="minorEastAsia"/>
                <w:sz w:val="16"/>
                <w:szCs w:val="16"/>
                <w:lang w:eastAsia="zh-CN"/>
              </w:rPr>
            </w:pPr>
            <w:r>
              <w:rPr>
                <w:rFonts w:eastAsiaTheme="minorEastAsia"/>
                <w:sz w:val="16"/>
                <w:szCs w:val="16"/>
                <w:lang w:eastAsia="zh-CN"/>
              </w:rPr>
              <w:t xml:space="preserve">R4-2012760: </w:t>
            </w:r>
            <w:r w:rsidR="00127D20">
              <w:rPr>
                <w:rFonts w:eastAsiaTheme="minorEastAsia"/>
                <w:sz w:val="16"/>
                <w:szCs w:val="16"/>
                <w:lang w:eastAsia="zh-CN"/>
              </w:rPr>
              <w:t>IAB-MT receiver spurious emissions</w:t>
            </w:r>
            <w:r w:rsidR="00DE7D45">
              <w:rPr>
                <w:rFonts w:eastAsiaTheme="minorEastAsia"/>
                <w:sz w:val="16"/>
                <w:szCs w:val="16"/>
                <w:lang w:eastAsia="zh-CN"/>
              </w:rPr>
              <w:t>, OTA IAB-MT receiver spurious emissions</w:t>
            </w:r>
          </w:p>
        </w:tc>
        <w:tc>
          <w:tcPr>
            <w:tcW w:w="708" w:type="dxa"/>
            <w:shd w:val="solid" w:color="FFFFFF" w:fill="auto"/>
          </w:tcPr>
          <w:p w14:paraId="6B59609F" w14:textId="7C298D05" w:rsidR="009E6AC5" w:rsidRDefault="003E03DD" w:rsidP="00334C0D">
            <w:pPr>
              <w:pStyle w:val="TAC"/>
              <w:rPr>
                <w:rFonts w:eastAsiaTheme="minorEastAsia"/>
                <w:sz w:val="16"/>
                <w:szCs w:val="16"/>
                <w:lang w:eastAsia="zh-CN"/>
              </w:rPr>
            </w:pPr>
            <w:r>
              <w:rPr>
                <w:rFonts w:eastAsiaTheme="minorEastAsia"/>
                <w:sz w:val="16"/>
                <w:szCs w:val="16"/>
                <w:lang w:eastAsia="zh-CN"/>
              </w:rPr>
              <w:t>0.2.0</w:t>
            </w:r>
          </w:p>
        </w:tc>
      </w:tr>
      <w:tr w:rsidR="0016274C" w:rsidRPr="006B0D02" w14:paraId="0B80FD19" w14:textId="77777777" w:rsidTr="0063534F">
        <w:tc>
          <w:tcPr>
            <w:tcW w:w="803" w:type="dxa"/>
            <w:shd w:val="solid" w:color="FFFFFF" w:fill="auto"/>
          </w:tcPr>
          <w:p w14:paraId="33EA1A26" w14:textId="7714E176" w:rsidR="0016274C" w:rsidRDefault="0016274C" w:rsidP="0016274C">
            <w:pPr>
              <w:pStyle w:val="TAC"/>
              <w:rPr>
                <w:sz w:val="16"/>
                <w:szCs w:val="16"/>
              </w:rPr>
            </w:pPr>
            <w:r>
              <w:rPr>
                <w:sz w:val="16"/>
                <w:szCs w:val="16"/>
              </w:rPr>
              <w:t>2020-09</w:t>
            </w:r>
          </w:p>
        </w:tc>
        <w:tc>
          <w:tcPr>
            <w:tcW w:w="859" w:type="dxa"/>
            <w:shd w:val="solid" w:color="FFFFFF" w:fill="auto"/>
          </w:tcPr>
          <w:p w14:paraId="36F9FB8C" w14:textId="771A54B0" w:rsidR="0016274C" w:rsidRDefault="0016274C" w:rsidP="0016274C">
            <w:pPr>
              <w:pStyle w:val="TAC"/>
              <w:rPr>
                <w:sz w:val="16"/>
                <w:szCs w:val="16"/>
              </w:rPr>
            </w:pPr>
            <w:r>
              <w:rPr>
                <w:sz w:val="16"/>
                <w:szCs w:val="16"/>
              </w:rPr>
              <w:t>RAN#89</w:t>
            </w:r>
          </w:p>
        </w:tc>
        <w:tc>
          <w:tcPr>
            <w:tcW w:w="1032" w:type="dxa"/>
            <w:shd w:val="solid" w:color="FFFFFF" w:fill="auto"/>
          </w:tcPr>
          <w:p w14:paraId="2F33F83C" w14:textId="0A4B01AD" w:rsidR="0016274C" w:rsidRPr="002A6C7F" w:rsidRDefault="0016274C" w:rsidP="0016274C">
            <w:pPr>
              <w:pStyle w:val="TAC"/>
              <w:rPr>
                <w:sz w:val="16"/>
                <w:szCs w:val="16"/>
              </w:rPr>
            </w:pPr>
            <w:r w:rsidRPr="002A6C7F">
              <w:rPr>
                <w:sz w:val="16"/>
                <w:szCs w:val="16"/>
              </w:rPr>
              <w:t>RP-</w:t>
            </w:r>
            <w:r>
              <w:rPr>
                <w:sz w:val="16"/>
                <w:szCs w:val="16"/>
              </w:rPr>
              <w:t>01909</w:t>
            </w:r>
          </w:p>
        </w:tc>
        <w:tc>
          <w:tcPr>
            <w:tcW w:w="519" w:type="dxa"/>
            <w:shd w:val="solid" w:color="FFFFFF" w:fill="auto"/>
          </w:tcPr>
          <w:p w14:paraId="77C6EF7C" w14:textId="77777777" w:rsidR="0016274C" w:rsidRPr="006B0D02" w:rsidRDefault="0016274C" w:rsidP="0016274C">
            <w:pPr>
              <w:pStyle w:val="TAL"/>
              <w:rPr>
                <w:sz w:val="16"/>
                <w:szCs w:val="16"/>
              </w:rPr>
            </w:pPr>
          </w:p>
        </w:tc>
        <w:tc>
          <w:tcPr>
            <w:tcW w:w="331" w:type="dxa"/>
            <w:shd w:val="solid" w:color="FFFFFF" w:fill="auto"/>
          </w:tcPr>
          <w:p w14:paraId="25DE5226" w14:textId="77777777" w:rsidR="0016274C" w:rsidRPr="006B0D02" w:rsidRDefault="0016274C" w:rsidP="0016274C">
            <w:pPr>
              <w:pStyle w:val="TAR"/>
              <w:rPr>
                <w:sz w:val="16"/>
                <w:szCs w:val="16"/>
              </w:rPr>
            </w:pPr>
          </w:p>
        </w:tc>
        <w:tc>
          <w:tcPr>
            <w:tcW w:w="425" w:type="dxa"/>
            <w:shd w:val="solid" w:color="FFFFFF" w:fill="auto"/>
          </w:tcPr>
          <w:p w14:paraId="5D023712" w14:textId="77777777" w:rsidR="0016274C" w:rsidRPr="001B0F4D" w:rsidRDefault="0016274C" w:rsidP="0016274C">
            <w:pPr>
              <w:pStyle w:val="TAC"/>
              <w:rPr>
                <w:rFonts w:eastAsiaTheme="minorEastAsia"/>
                <w:sz w:val="16"/>
                <w:szCs w:val="16"/>
                <w:lang w:eastAsia="zh-CN"/>
              </w:rPr>
            </w:pPr>
          </w:p>
        </w:tc>
        <w:tc>
          <w:tcPr>
            <w:tcW w:w="4962" w:type="dxa"/>
            <w:shd w:val="solid" w:color="FFFFFF" w:fill="auto"/>
          </w:tcPr>
          <w:p w14:paraId="3907A161" w14:textId="70FC8310" w:rsidR="0016274C" w:rsidRPr="00CC252A" w:rsidRDefault="0016274C" w:rsidP="0016274C">
            <w:pPr>
              <w:pStyle w:val="TAL"/>
              <w:rPr>
                <w:sz w:val="16"/>
                <w:szCs w:val="16"/>
              </w:rPr>
            </w:pPr>
            <w:r w:rsidRPr="00CC252A">
              <w:rPr>
                <w:sz w:val="16"/>
                <w:szCs w:val="16"/>
              </w:rPr>
              <w:t>Draft version for information purposes to the RAN Plenary</w:t>
            </w:r>
          </w:p>
        </w:tc>
        <w:tc>
          <w:tcPr>
            <w:tcW w:w="708" w:type="dxa"/>
            <w:shd w:val="solid" w:color="FFFFFF" w:fill="auto"/>
          </w:tcPr>
          <w:p w14:paraId="74C6D908" w14:textId="223CF274" w:rsidR="0016274C" w:rsidRDefault="0016274C" w:rsidP="0016274C">
            <w:pPr>
              <w:pStyle w:val="TAC"/>
              <w:rPr>
                <w:rFonts w:eastAsiaTheme="minorEastAsia"/>
                <w:sz w:val="16"/>
                <w:szCs w:val="16"/>
                <w:lang w:eastAsia="zh-CN"/>
              </w:rPr>
            </w:pPr>
            <w:r>
              <w:rPr>
                <w:rFonts w:eastAsiaTheme="minorEastAsia"/>
                <w:sz w:val="16"/>
                <w:szCs w:val="16"/>
                <w:lang w:eastAsia="zh-CN"/>
              </w:rPr>
              <w:t>1.0.0</w:t>
            </w:r>
          </w:p>
        </w:tc>
      </w:tr>
      <w:tr w:rsidR="00982C7D" w:rsidRPr="006B0D02" w14:paraId="4CEE977C" w14:textId="77777777" w:rsidTr="0063534F">
        <w:tc>
          <w:tcPr>
            <w:tcW w:w="803" w:type="dxa"/>
            <w:shd w:val="solid" w:color="FFFFFF" w:fill="auto"/>
          </w:tcPr>
          <w:p w14:paraId="07CBB9C7" w14:textId="29127CF9" w:rsidR="00982C7D" w:rsidRDefault="00982C7D" w:rsidP="00982C7D">
            <w:pPr>
              <w:pStyle w:val="TAC"/>
              <w:rPr>
                <w:rFonts w:eastAsiaTheme="minorEastAsia"/>
                <w:sz w:val="16"/>
                <w:szCs w:val="16"/>
                <w:lang w:eastAsia="zh-CN"/>
              </w:rPr>
            </w:pPr>
            <w:r>
              <w:rPr>
                <w:sz w:val="16"/>
                <w:szCs w:val="16"/>
              </w:rPr>
              <w:t>2020-09</w:t>
            </w:r>
          </w:p>
        </w:tc>
        <w:tc>
          <w:tcPr>
            <w:tcW w:w="859" w:type="dxa"/>
            <w:shd w:val="solid" w:color="FFFFFF" w:fill="auto"/>
          </w:tcPr>
          <w:p w14:paraId="2DA2AF28" w14:textId="455118A0" w:rsidR="00982C7D" w:rsidRDefault="00982C7D" w:rsidP="00982C7D">
            <w:pPr>
              <w:pStyle w:val="TAC"/>
              <w:rPr>
                <w:rFonts w:eastAsiaTheme="minorEastAsia"/>
                <w:sz w:val="16"/>
                <w:szCs w:val="16"/>
                <w:lang w:eastAsia="zh-CN"/>
              </w:rPr>
            </w:pPr>
            <w:r>
              <w:rPr>
                <w:sz w:val="16"/>
                <w:szCs w:val="16"/>
              </w:rPr>
              <w:t>RAN#89</w:t>
            </w:r>
          </w:p>
        </w:tc>
        <w:tc>
          <w:tcPr>
            <w:tcW w:w="1032" w:type="dxa"/>
            <w:shd w:val="solid" w:color="FFFFFF" w:fill="auto"/>
          </w:tcPr>
          <w:p w14:paraId="55265D48" w14:textId="0128B0D3" w:rsidR="00982C7D" w:rsidRPr="003E03DD" w:rsidRDefault="00982C7D" w:rsidP="00982C7D">
            <w:pPr>
              <w:pStyle w:val="TAC"/>
              <w:rPr>
                <w:color w:val="000000"/>
                <w:sz w:val="16"/>
                <w:szCs w:val="16"/>
              </w:rPr>
            </w:pPr>
            <w:r w:rsidRPr="002A6C7F">
              <w:rPr>
                <w:sz w:val="16"/>
                <w:szCs w:val="16"/>
              </w:rPr>
              <w:t>RP-</w:t>
            </w:r>
            <w:r w:rsidR="0016274C">
              <w:rPr>
                <w:sz w:val="16"/>
                <w:szCs w:val="16"/>
              </w:rPr>
              <w:t>01979</w:t>
            </w:r>
          </w:p>
        </w:tc>
        <w:tc>
          <w:tcPr>
            <w:tcW w:w="519" w:type="dxa"/>
            <w:shd w:val="solid" w:color="FFFFFF" w:fill="auto"/>
          </w:tcPr>
          <w:p w14:paraId="3BD5857F" w14:textId="77777777" w:rsidR="00982C7D" w:rsidRPr="006B0D02" w:rsidRDefault="00982C7D" w:rsidP="00982C7D">
            <w:pPr>
              <w:pStyle w:val="TAL"/>
              <w:rPr>
                <w:sz w:val="16"/>
                <w:szCs w:val="16"/>
              </w:rPr>
            </w:pPr>
          </w:p>
        </w:tc>
        <w:tc>
          <w:tcPr>
            <w:tcW w:w="331" w:type="dxa"/>
            <w:shd w:val="solid" w:color="FFFFFF" w:fill="auto"/>
          </w:tcPr>
          <w:p w14:paraId="096F3A06" w14:textId="77777777" w:rsidR="00982C7D" w:rsidRPr="006B0D02" w:rsidRDefault="00982C7D" w:rsidP="00982C7D">
            <w:pPr>
              <w:pStyle w:val="TAR"/>
              <w:rPr>
                <w:sz w:val="16"/>
                <w:szCs w:val="16"/>
              </w:rPr>
            </w:pPr>
          </w:p>
        </w:tc>
        <w:tc>
          <w:tcPr>
            <w:tcW w:w="425" w:type="dxa"/>
            <w:shd w:val="solid" w:color="FFFFFF" w:fill="auto"/>
          </w:tcPr>
          <w:p w14:paraId="0B11A657" w14:textId="77777777" w:rsidR="00982C7D" w:rsidRPr="001B0F4D" w:rsidRDefault="00982C7D" w:rsidP="00982C7D">
            <w:pPr>
              <w:pStyle w:val="TAC"/>
              <w:rPr>
                <w:rFonts w:eastAsiaTheme="minorEastAsia"/>
                <w:sz w:val="16"/>
                <w:szCs w:val="16"/>
                <w:lang w:eastAsia="zh-CN"/>
              </w:rPr>
            </w:pPr>
          </w:p>
        </w:tc>
        <w:tc>
          <w:tcPr>
            <w:tcW w:w="4962" w:type="dxa"/>
            <w:shd w:val="solid" w:color="FFFFFF" w:fill="auto"/>
          </w:tcPr>
          <w:p w14:paraId="3F2706E3" w14:textId="442E85D7" w:rsidR="00982C7D" w:rsidRDefault="0016274C" w:rsidP="00982C7D">
            <w:pPr>
              <w:pStyle w:val="TAL"/>
              <w:rPr>
                <w:rFonts w:eastAsiaTheme="minorEastAsia"/>
                <w:sz w:val="16"/>
                <w:szCs w:val="16"/>
                <w:lang w:eastAsia="zh-CN"/>
              </w:rPr>
            </w:pPr>
            <w:r>
              <w:rPr>
                <w:sz w:val="16"/>
                <w:szCs w:val="16"/>
              </w:rPr>
              <w:t xml:space="preserve">Minor </w:t>
            </w:r>
            <w:r w:rsidR="003B2BED">
              <w:rPr>
                <w:sz w:val="16"/>
                <w:szCs w:val="16"/>
              </w:rPr>
              <w:t>editorial</w:t>
            </w:r>
            <w:r>
              <w:rPr>
                <w:sz w:val="16"/>
                <w:szCs w:val="16"/>
              </w:rPr>
              <w:t xml:space="preserve"> corrections</w:t>
            </w:r>
          </w:p>
        </w:tc>
        <w:tc>
          <w:tcPr>
            <w:tcW w:w="708" w:type="dxa"/>
            <w:shd w:val="solid" w:color="FFFFFF" w:fill="auto"/>
          </w:tcPr>
          <w:p w14:paraId="573FFD8B" w14:textId="1A71479C" w:rsidR="00982C7D" w:rsidRDefault="00982C7D" w:rsidP="00982C7D">
            <w:pPr>
              <w:pStyle w:val="TAC"/>
              <w:rPr>
                <w:rFonts w:eastAsiaTheme="minorEastAsia"/>
                <w:sz w:val="16"/>
                <w:szCs w:val="16"/>
                <w:lang w:eastAsia="zh-CN"/>
              </w:rPr>
            </w:pPr>
            <w:r>
              <w:rPr>
                <w:rFonts w:eastAsiaTheme="minorEastAsia"/>
                <w:sz w:val="16"/>
                <w:szCs w:val="16"/>
                <w:lang w:eastAsia="zh-CN"/>
              </w:rPr>
              <w:t>1.0.</w:t>
            </w:r>
            <w:r w:rsidR="0016274C">
              <w:rPr>
                <w:rFonts w:eastAsiaTheme="minorEastAsia"/>
                <w:sz w:val="16"/>
                <w:szCs w:val="16"/>
                <w:lang w:eastAsia="zh-CN"/>
              </w:rPr>
              <w:t>1</w:t>
            </w:r>
          </w:p>
        </w:tc>
      </w:tr>
      <w:tr w:rsidR="003D07B6" w:rsidRPr="006B0D02" w14:paraId="2753A7B8" w14:textId="77777777" w:rsidTr="0063534F">
        <w:tc>
          <w:tcPr>
            <w:tcW w:w="803" w:type="dxa"/>
            <w:shd w:val="solid" w:color="FFFFFF" w:fill="auto"/>
          </w:tcPr>
          <w:p w14:paraId="65C18120" w14:textId="6DFC0F6E" w:rsidR="003D07B6" w:rsidRDefault="003D07B6" w:rsidP="00982C7D">
            <w:pPr>
              <w:pStyle w:val="TAC"/>
              <w:rPr>
                <w:sz w:val="16"/>
                <w:szCs w:val="16"/>
              </w:rPr>
            </w:pPr>
            <w:r>
              <w:rPr>
                <w:sz w:val="16"/>
                <w:szCs w:val="16"/>
              </w:rPr>
              <w:t>2020-09</w:t>
            </w:r>
          </w:p>
        </w:tc>
        <w:tc>
          <w:tcPr>
            <w:tcW w:w="859" w:type="dxa"/>
            <w:shd w:val="solid" w:color="FFFFFF" w:fill="auto"/>
          </w:tcPr>
          <w:p w14:paraId="4B83A215" w14:textId="6517D12C" w:rsidR="003D07B6" w:rsidRDefault="003D07B6" w:rsidP="00982C7D">
            <w:pPr>
              <w:pStyle w:val="TAC"/>
              <w:rPr>
                <w:sz w:val="16"/>
                <w:szCs w:val="16"/>
              </w:rPr>
            </w:pPr>
            <w:r>
              <w:rPr>
                <w:sz w:val="16"/>
                <w:szCs w:val="16"/>
              </w:rPr>
              <w:t>RAN#89</w:t>
            </w:r>
          </w:p>
        </w:tc>
        <w:tc>
          <w:tcPr>
            <w:tcW w:w="1032" w:type="dxa"/>
            <w:shd w:val="solid" w:color="FFFFFF" w:fill="auto"/>
          </w:tcPr>
          <w:p w14:paraId="13EDEA54" w14:textId="593E5BFE" w:rsidR="003D07B6" w:rsidRPr="002A6C7F" w:rsidRDefault="00184544" w:rsidP="00982C7D">
            <w:pPr>
              <w:pStyle w:val="TAC"/>
              <w:rPr>
                <w:sz w:val="16"/>
                <w:szCs w:val="16"/>
              </w:rPr>
            </w:pPr>
            <w:r w:rsidRPr="002A6C7F">
              <w:rPr>
                <w:sz w:val="16"/>
                <w:szCs w:val="16"/>
              </w:rPr>
              <w:t>RP-</w:t>
            </w:r>
            <w:r>
              <w:rPr>
                <w:sz w:val="16"/>
                <w:szCs w:val="16"/>
              </w:rPr>
              <w:t>01979</w:t>
            </w:r>
          </w:p>
        </w:tc>
        <w:tc>
          <w:tcPr>
            <w:tcW w:w="519" w:type="dxa"/>
            <w:shd w:val="solid" w:color="FFFFFF" w:fill="auto"/>
          </w:tcPr>
          <w:p w14:paraId="2943652B" w14:textId="77777777" w:rsidR="003D07B6" w:rsidRPr="006B0D02" w:rsidRDefault="003D07B6" w:rsidP="00982C7D">
            <w:pPr>
              <w:pStyle w:val="TAL"/>
              <w:rPr>
                <w:sz w:val="16"/>
                <w:szCs w:val="16"/>
              </w:rPr>
            </w:pPr>
          </w:p>
        </w:tc>
        <w:tc>
          <w:tcPr>
            <w:tcW w:w="331" w:type="dxa"/>
            <w:shd w:val="solid" w:color="FFFFFF" w:fill="auto"/>
          </w:tcPr>
          <w:p w14:paraId="198CF57F" w14:textId="77777777" w:rsidR="003D07B6" w:rsidRPr="006B0D02" w:rsidRDefault="003D07B6" w:rsidP="00982C7D">
            <w:pPr>
              <w:pStyle w:val="TAR"/>
              <w:rPr>
                <w:sz w:val="16"/>
                <w:szCs w:val="16"/>
              </w:rPr>
            </w:pPr>
          </w:p>
        </w:tc>
        <w:tc>
          <w:tcPr>
            <w:tcW w:w="425" w:type="dxa"/>
            <w:shd w:val="solid" w:color="FFFFFF" w:fill="auto"/>
          </w:tcPr>
          <w:p w14:paraId="4FB2B891" w14:textId="77777777" w:rsidR="003D07B6" w:rsidRPr="001B0F4D" w:rsidRDefault="003D07B6" w:rsidP="00982C7D">
            <w:pPr>
              <w:pStyle w:val="TAC"/>
              <w:rPr>
                <w:rFonts w:eastAsiaTheme="minorEastAsia"/>
                <w:sz w:val="16"/>
                <w:szCs w:val="16"/>
                <w:lang w:eastAsia="zh-CN"/>
              </w:rPr>
            </w:pPr>
          </w:p>
        </w:tc>
        <w:tc>
          <w:tcPr>
            <w:tcW w:w="4962" w:type="dxa"/>
            <w:shd w:val="solid" w:color="FFFFFF" w:fill="auto"/>
          </w:tcPr>
          <w:p w14:paraId="165F6BB2" w14:textId="1206A69B" w:rsidR="003D07B6" w:rsidRDefault="003D07B6" w:rsidP="00982C7D">
            <w:pPr>
              <w:pStyle w:val="TAL"/>
              <w:rPr>
                <w:sz w:val="16"/>
                <w:szCs w:val="16"/>
              </w:rPr>
            </w:pPr>
            <w:r w:rsidRPr="003D07B6">
              <w:rPr>
                <w:sz w:val="16"/>
                <w:szCs w:val="16"/>
              </w:rPr>
              <w:t>Approved by plenary – Rel-1</w:t>
            </w:r>
            <w:r>
              <w:rPr>
                <w:sz w:val="16"/>
                <w:szCs w:val="16"/>
              </w:rPr>
              <w:t>6</w:t>
            </w:r>
            <w:r w:rsidRPr="003D07B6">
              <w:rPr>
                <w:sz w:val="16"/>
                <w:szCs w:val="16"/>
              </w:rPr>
              <w:t xml:space="preserve"> spec under change control</w:t>
            </w:r>
          </w:p>
        </w:tc>
        <w:tc>
          <w:tcPr>
            <w:tcW w:w="708" w:type="dxa"/>
            <w:shd w:val="solid" w:color="FFFFFF" w:fill="auto"/>
          </w:tcPr>
          <w:p w14:paraId="65B3370C" w14:textId="3FBAFE4C" w:rsidR="003D07B6" w:rsidRDefault="003D07B6" w:rsidP="00982C7D">
            <w:pPr>
              <w:pStyle w:val="TAC"/>
              <w:rPr>
                <w:rFonts w:eastAsiaTheme="minorEastAsia"/>
                <w:sz w:val="16"/>
                <w:szCs w:val="16"/>
                <w:lang w:eastAsia="zh-CN"/>
              </w:rPr>
            </w:pPr>
            <w:r>
              <w:rPr>
                <w:rFonts w:eastAsiaTheme="minorEastAsia"/>
                <w:sz w:val="16"/>
                <w:szCs w:val="16"/>
                <w:lang w:eastAsia="zh-CN"/>
              </w:rPr>
              <w:t>16.0.0</w:t>
            </w:r>
          </w:p>
        </w:tc>
      </w:tr>
      <w:tr w:rsidR="00395DC9" w:rsidRPr="006B0D02" w14:paraId="6BA18523" w14:textId="77777777" w:rsidTr="0063534F">
        <w:tc>
          <w:tcPr>
            <w:tcW w:w="803" w:type="dxa"/>
            <w:shd w:val="solid" w:color="FFFFFF" w:fill="auto"/>
          </w:tcPr>
          <w:p w14:paraId="0FB98093" w14:textId="18276D94" w:rsidR="00395DC9" w:rsidRDefault="00395DC9" w:rsidP="00395DC9">
            <w:pPr>
              <w:pStyle w:val="TAC"/>
              <w:rPr>
                <w:sz w:val="16"/>
                <w:szCs w:val="16"/>
              </w:rPr>
            </w:pPr>
            <w:r>
              <w:rPr>
                <w:sz w:val="16"/>
                <w:szCs w:val="16"/>
              </w:rPr>
              <w:t>2020-12</w:t>
            </w:r>
          </w:p>
        </w:tc>
        <w:tc>
          <w:tcPr>
            <w:tcW w:w="859" w:type="dxa"/>
            <w:shd w:val="solid" w:color="FFFFFF" w:fill="auto"/>
          </w:tcPr>
          <w:p w14:paraId="5A863E40" w14:textId="3991B623" w:rsidR="00395DC9" w:rsidRDefault="00395DC9" w:rsidP="00395DC9">
            <w:pPr>
              <w:pStyle w:val="TAC"/>
              <w:rPr>
                <w:sz w:val="16"/>
                <w:szCs w:val="16"/>
              </w:rPr>
            </w:pPr>
            <w:r>
              <w:rPr>
                <w:sz w:val="16"/>
                <w:szCs w:val="16"/>
              </w:rPr>
              <w:t>RAN#90</w:t>
            </w:r>
          </w:p>
        </w:tc>
        <w:tc>
          <w:tcPr>
            <w:tcW w:w="1032" w:type="dxa"/>
            <w:shd w:val="solid" w:color="FFFFFF" w:fill="auto"/>
          </w:tcPr>
          <w:p w14:paraId="6B0EF597" w14:textId="0065614F" w:rsidR="00395DC9" w:rsidRPr="002A6C7F" w:rsidRDefault="00395DC9" w:rsidP="00395DC9">
            <w:pPr>
              <w:pStyle w:val="TAC"/>
              <w:rPr>
                <w:sz w:val="16"/>
                <w:szCs w:val="16"/>
              </w:rPr>
            </w:pPr>
            <w:r>
              <w:rPr>
                <w:rFonts w:cs="Arial"/>
                <w:sz w:val="16"/>
                <w:szCs w:val="16"/>
              </w:rPr>
              <w:t>RP-202504</w:t>
            </w:r>
          </w:p>
        </w:tc>
        <w:tc>
          <w:tcPr>
            <w:tcW w:w="519" w:type="dxa"/>
            <w:shd w:val="solid" w:color="FFFFFF" w:fill="auto"/>
          </w:tcPr>
          <w:p w14:paraId="37F0819D" w14:textId="4C52C6F3" w:rsidR="00395DC9" w:rsidRPr="006B0D02" w:rsidRDefault="00395DC9" w:rsidP="00395DC9">
            <w:pPr>
              <w:pStyle w:val="TAL"/>
              <w:rPr>
                <w:sz w:val="16"/>
                <w:szCs w:val="16"/>
              </w:rPr>
            </w:pPr>
            <w:r>
              <w:rPr>
                <w:rFonts w:cs="Arial"/>
                <w:sz w:val="16"/>
                <w:szCs w:val="16"/>
              </w:rPr>
              <w:t>0006</w:t>
            </w:r>
          </w:p>
        </w:tc>
        <w:tc>
          <w:tcPr>
            <w:tcW w:w="331" w:type="dxa"/>
            <w:shd w:val="solid" w:color="FFFFFF" w:fill="auto"/>
          </w:tcPr>
          <w:p w14:paraId="20A94345" w14:textId="1EA73B69" w:rsidR="00395DC9" w:rsidRPr="006B0D02" w:rsidRDefault="00395DC9" w:rsidP="00395DC9">
            <w:pPr>
              <w:pStyle w:val="TAR"/>
              <w:rPr>
                <w:sz w:val="16"/>
                <w:szCs w:val="16"/>
              </w:rPr>
            </w:pPr>
            <w:r>
              <w:rPr>
                <w:rFonts w:cs="Arial"/>
                <w:sz w:val="16"/>
                <w:szCs w:val="16"/>
              </w:rPr>
              <w:t> </w:t>
            </w:r>
          </w:p>
        </w:tc>
        <w:tc>
          <w:tcPr>
            <w:tcW w:w="425" w:type="dxa"/>
            <w:shd w:val="solid" w:color="FFFFFF" w:fill="auto"/>
          </w:tcPr>
          <w:p w14:paraId="188682BD" w14:textId="109EF8EC" w:rsidR="00395DC9" w:rsidRPr="001B0F4D" w:rsidRDefault="00395DC9" w:rsidP="00395DC9">
            <w:pPr>
              <w:pStyle w:val="TAC"/>
              <w:rPr>
                <w:rFonts w:eastAsiaTheme="minorEastAsia"/>
                <w:sz w:val="16"/>
                <w:szCs w:val="16"/>
                <w:lang w:eastAsia="zh-CN"/>
              </w:rPr>
            </w:pPr>
            <w:r>
              <w:rPr>
                <w:rFonts w:cs="Arial"/>
                <w:sz w:val="16"/>
                <w:szCs w:val="16"/>
              </w:rPr>
              <w:t>F</w:t>
            </w:r>
          </w:p>
        </w:tc>
        <w:tc>
          <w:tcPr>
            <w:tcW w:w="4962" w:type="dxa"/>
            <w:shd w:val="solid" w:color="FFFFFF" w:fill="auto"/>
          </w:tcPr>
          <w:p w14:paraId="7B5249E0" w14:textId="3DC03E0A" w:rsidR="00395DC9" w:rsidRPr="003D07B6" w:rsidRDefault="00395DC9" w:rsidP="00395DC9">
            <w:pPr>
              <w:pStyle w:val="TAL"/>
              <w:rPr>
                <w:sz w:val="16"/>
                <w:szCs w:val="16"/>
              </w:rPr>
            </w:pPr>
            <w:r>
              <w:rPr>
                <w:rFonts w:cs="Arial"/>
                <w:sz w:val="16"/>
                <w:szCs w:val="16"/>
              </w:rPr>
              <w:t>Correction CR on TS38.174</w:t>
            </w:r>
          </w:p>
        </w:tc>
        <w:tc>
          <w:tcPr>
            <w:tcW w:w="708" w:type="dxa"/>
            <w:shd w:val="solid" w:color="FFFFFF" w:fill="auto"/>
          </w:tcPr>
          <w:p w14:paraId="1EE8FF94" w14:textId="124DB99C" w:rsidR="00395DC9" w:rsidRDefault="00395DC9" w:rsidP="00395DC9">
            <w:pPr>
              <w:pStyle w:val="TAC"/>
              <w:rPr>
                <w:rFonts w:eastAsiaTheme="minorEastAsia"/>
                <w:sz w:val="16"/>
                <w:szCs w:val="16"/>
                <w:lang w:eastAsia="zh-CN"/>
              </w:rPr>
            </w:pPr>
            <w:r>
              <w:rPr>
                <w:rFonts w:eastAsiaTheme="minorEastAsia"/>
                <w:sz w:val="16"/>
                <w:szCs w:val="16"/>
                <w:lang w:eastAsia="zh-CN"/>
              </w:rPr>
              <w:t>16.1.0</w:t>
            </w:r>
          </w:p>
        </w:tc>
      </w:tr>
      <w:tr w:rsidR="00AA7DF6" w:rsidRPr="006B0D02" w14:paraId="7E5F51EC" w14:textId="77777777" w:rsidTr="0063534F">
        <w:tc>
          <w:tcPr>
            <w:tcW w:w="803" w:type="dxa"/>
            <w:shd w:val="solid" w:color="FFFFFF" w:fill="auto"/>
          </w:tcPr>
          <w:p w14:paraId="61A90B64" w14:textId="16C9BAC0" w:rsidR="00AA7DF6" w:rsidRDefault="00B13480" w:rsidP="00395DC9">
            <w:pPr>
              <w:pStyle w:val="TAC"/>
              <w:rPr>
                <w:sz w:val="16"/>
                <w:szCs w:val="16"/>
              </w:rPr>
            </w:pPr>
            <w:r>
              <w:rPr>
                <w:sz w:val="16"/>
                <w:szCs w:val="16"/>
              </w:rPr>
              <w:t>2021-03</w:t>
            </w:r>
          </w:p>
        </w:tc>
        <w:tc>
          <w:tcPr>
            <w:tcW w:w="859" w:type="dxa"/>
            <w:shd w:val="solid" w:color="FFFFFF" w:fill="auto"/>
          </w:tcPr>
          <w:p w14:paraId="2D26F683" w14:textId="7ADF4295" w:rsidR="00AA7DF6" w:rsidRDefault="00B13480" w:rsidP="00395DC9">
            <w:pPr>
              <w:pStyle w:val="TAC"/>
              <w:rPr>
                <w:sz w:val="16"/>
                <w:szCs w:val="16"/>
              </w:rPr>
            </w:pPr>
            <w:r>
              <w:rPr>
                <w:sz w:val="16"/>
                <w:szCs w:val="16"/>
              </w:rPr>
              <w:t>RAN#91</w:t>
            </w:r>
          </w:p>
        </w:tc>
        <w:tc>
          <w:tcPr>
            <w:tcW w:w="1032" w:type="dxa"/>
            <w:shd w:val="solid" w:color="FFFFFF" w:fill="auto"/>
          </w:tcPr>
          <w:p w14:paraId="4ACBCABE" w14:textId="4C6D4865" w:rsidR="00AA7DF6" w:rsidRDefault="000267F0" w:rsidP="00395DC9">
            <w:pPr>
              <w:pStyle w:val="TAC"/>
              <w:rPr>
                <w:rFonts w:cs="Arial"/>
                <w:sz w:val="16"/>
                <w:szCs w:val="16"/>
              </w:rPr>
            </w:pPr>
            <w:r>
              <w:rPr>
                <w:rFonts w:cs="Arial"/>
                <w:sz w:val="16"/>
                <w:szCs w:val="16"/>
              </w:rPr>
              <w:t>RP-210170</w:t>
            </w:r>
          </w:p>
        </w:tc>
        <w:tc>
          <w:tcPr>
            <w:tcW w:w="519" w:type="dxa"/>
            <w:shd w:val="solid" w:color="FFFFFF" w:fill="auto"/>
          </w:tcPr>
          <w:p w14:paraId="072DBBFC" w14:textId="429A81C7" w:rsidR="00AA7DF6" w:rsidRDefault="000267F0" w:rsidP="00395DC9">
            <w:pPr>
              <w:pStyle w:val="TAL"/>
              <w:rPr>
                <w:rFonts w:cs="Arial"/>
                <w:sz w:val="16"/>
                <w:szCs w:val="16"/>
              </w:rPr>
            </w:pPr>
            <w:r>
              <w:rPr>
                <w:rFonts w:cs="Arial"/>
                <w:sz w:val="16"/>
                <w:szCs w:val="16"/>
              </w:rPr>
              <w:t>0011</w:t>
            </w:r>
          </w:p>
        </w:tc>
        <w:tc>
          <w:tcPr>
            <w:tcW w:w="331" w:type="dxa"/>
            <w:shd w:val="solid" w:color="FFFFFF" w:fill="auto"/>
          </w:tcPr>
          <w:p w14:paraId="009167AD" w14:textId="77777777" w:rsidR="00AA7DF6" w:rsidRDefault="00AA7DF6" w:rsidP="00395DC9">
            <w:pPr>
              <w:pStyle w:val="TAR"/>
              <w:rPr>
                <w:rFonts w:cs="Arial"/>
                <w:sz w:val="16"/>
                <w:szCs w:val="16"/>
              </w:rPr>
            </w:pPr>
          </w:p>
        </w:tc>
        <w:tc>
          <w:tcPr>
            <w:tcW w:w="425" w:type="dxa"/>
            <w:shd w:val="solid" w:color="FFFFFF" w:fill="auto"/>
          </w:tcPr>
          <w:p w14:paraId="65430301" w14:textId="7FA87261" w:rsidR="00AA7DF6" w:rsidRDefault="00565A0F" w:rsidP="00395DC9">
            <w:pPr>
              <w:pStyle w:val="TAC"/>
              <w:rPr>
                <w:rFonts w:cs="Arial"/>
                <w:sz w:val="16"/>
                <w:szCs w:val="16"/>
              </w:rPr>
            </w:pPr>
            <w:r>
              <w:rPr>
                <w:rFonts w:cs="Arial"/>
                <w:sz w:val="16"/>
                <w:szCs w:val="16"/>
              </w:rPr>
              <w:t>F</w:t>
            </w:r>
          </w:p>
        </w:tc>
        <w:tc>
          <w:tcPr>
            <w:tcW w:w="4962" w:type="dxa"/>
            <w:shd w:val="solid" w:color="FFFFFF" w:fill="auto"/>
          </w:tcPr>
          <w:p w14:paraId="56D72F2E" w14:textId="369B1B3D" w:rsidR="00AA7DF6" w:rsidRDefault="00565A0F" w:rsidP="00395DC9">
            <w:pPr>
              <w:pStyle w:val="TAL"/>
              <w:rPr>
                <w:rFonts w:cs="Arial"/>
                <w:sz w:val="16"/>
                <w:szCs w:val="16"/>
              </w:rPr>
            </w:pPr>
            <w:r>
              <w:rPr>
                <w:rFonts w:cs="Arial"/>
                <w:sz w:val="16"/>
                <w:szCs w:val="16"/>
              </w:rPr>
              <w:t>Big CR to TR 38.174 – correction to clause 6</w:t>
            </w:r>
          </w:p>
        </w:tc>
        <w:tc>
          <w:tcPr>
            <w:tcW w:w="708" w:type="dxa"/>
            <w:shd w:val="solid" w:color="FFFFFF" w:fill="auto"/>
          </w:tcPr>
          <w:p w14:paraId="1839D9A5" w14:textId="0B570CE1" w:rsidR="00AA7DF6" w:rsidRDefault="00B13480" w:rsidP="00395DC9">
            <w:pPr>
              <w:pStyle w:val="TAC"/>
              <w:rPr>
                <w:rFonts w:eastAsiaTheme="minorEastAsia"/>
                <w:sz w:val="16"/>
                <w:szCs w:val="16"/>
                <w:lang w:eastAsia="zh-CN"/>
              </w:rPr>
            </w:pPr>
            <w:r>
              <w:rPr>
                <w:rFonts w:eastAsiaTheme="minorEastAsia"/>
                <w:sz w:val="16"/>
                <w:szCs w:val="16"/>
                <w:lang w:eastAsia="zh-CN"/>
              </w:rPr>
              <w:t>16.2.0</w:t>
            </w:r>
          </w:p>
        </w:tc>
      </w:tr>
      <w:tr w:rsidR="00B96727" w:rsidRPr="006B0D02" w14:paraId="18EABB42" w14:textId="77777777" w:rsidTr="0063534F">
        <w:tc>
          <w:tcPr>
            <w:tcW w:w="803" w:type="dxa"/>
            <w:shd w:val="solid" w:color="FFFFFF" w:fill="auto"/>
          </w:tcPr>
          <w:p w14:paraId="09825E3E" w14:textId="7BFBC569" w:rsidR="00B96727" w:rsidRDefault="00B96727" w:rsidP="00395DC9">
            <w:pPr>
              <w:pStyle w:val="TAC"/>
              <w:rPr>
                <w:sz w:val="16"/>
                <w:szCs w:val="16"/>
              </w:rPr>
            </w:pPr>
            <w:r>
              <w:rPr>
                <w:sz w:val="16"/>
                <w:szCs w:val="16"/>
              </w:rPr>
              <w:t>2021-06</w:t>
            </w:r>
          </w:p>
        </w:tc>
        <w:tc>
          <w:tcPr>
            <w:tcW w:w="859" w:type="dxa"/>
            <w:shd w:val="solid" w:color="FFFFFF" w:fill="auto"/>
          </w:tcPr>
          <w:p w14:paraId="69662BF0" w14:textId="69E2619C" w:rsidR="00B96727" w:rsidRDefault="00B96727" w:rsidP="00395DC9">
            <w:pPr>
              <w:pStyle w:val="TAC"/>
              <w:rPr>
                <w:sz w:val="16"/>
                <w:szCs w:val="16"/>
              </w:rPr>
            </w:pPr>
            <w:r>
              <w:rPr>
                <w:sz w:val="16"/>
                <w:szCs w:val="16"/>
              </w:rPr>
              <w:t>RAN#92</w:t>
            </w:r>
          </w:p>
        </w:tc>
        <w:tc>
          <w:tcPr>
            <w:tcW w:w="1032" w:type="dxa"/>
            <w:shd w:val="solid" w:color="FFFFFF" w:fill="auto"/>
          </w:tcPr>
          <w:p w14:paraId="0FB097F7" w14:textId="45255299" w:rsidR="00B96727" w:rsidRDefault="00E17B9B" w:rsidP="00395DC9">
            <w:pPr>
              <w:pStyle w:val="TAC"/>
              <w:rPr>
                <w:rFonts w:cs="Arial"/>
                <w:sz w:val="16"/>
                <w:szCs w:val="16"/>
              </w:rPr>
            </w:pPr>
            <w:r w:rsidRPr="00E17B9B">
              <w:rPr>
                <w:rFonts w:cs="Arial"/>
                <w:sz w:val="16"/>
                <w:szCs w:val="16"/>
              </w:rPr>
              <w:t>RP-211101</w:t>
            </w:r>
          </w:p>
        </w:tc>
        <w:tc>
          <w:tcPr>
            <w:tcW w:w="519" w:type="dxa"/>
            <w:shd w:val="solid" w:color="FFFFFF" w:fill="auto"/>
          </w:tcPr>
          <w:p w14:paraId="04C2A94A" w14:textId="597B87E2" w:rsidR="00B96727" w:rsidRDefault="00E17B9B" w:rsidP="00395DC9">
            <w:pPr>
              <w:pStyle w:val="TAL"/>
              <w:rPr>
                <w:rFonts w:cs="Arial"/>
                <w:sz w:val="16"/>
                <w:szCs w:val="16"/>
              </w:rPr>
            </w:pPr>
            <w:r>
              <w:rPr>
                <w:rFonts w:cs="Arial"/>
                <w:sz w:val="16"/>
                <w:szCs w:val="16"/>
              </w:rPr>
              <w:t>0015</w:t>
            </w:r>
          </w:p>
        </w:tc>
        <w:tc>
          <w:tcPr>
            <w:tcW w:w="331" w:type="dxa"/>
            <w:shd w:val="solid" w:color="FFFFFF" w:fill="auto"/>
          </w:tcPr>
          <w:p w14:paraId="3AE52518" w14:textId="77777777" w:rsidR="00B96727" w:rsidRDefault="00B96727" w:rsidP="00395DC9">
            <w:pPr>
              <w:pStyle w:val="TAR"/>
              <w:rPr>
                <w:rFonts w:cs="Arial"/>
                <w:sz w:val="16"/>
                <w:szCs w:val="16"/>
              </w:rPr>
            </w:pPr>
          </w:p>
        </w:tc>
        <w:tc>
          <w:tcPr>
            <w:tcW w:w="425" w:type="dxa"/>
            <w:shd w:val="solid" w:color="FFFFFF" w:fill="auto"/>
          </w:tcPr>
          <w:p w14:paraId="03CCDFD1" w14:textId="04E44359" w:rsidR="00B96727" w:rsidRDefault="00E17B9B" w:rsidP="00395DC9">
            <w:pPr>
              <w:pStyle w:val="TAC"/>
              <w:rPr>
                <w:rFonts w:cs="Arial"/>
                <w:sz w:val="16"/>
                <w:szCs w:val="16"/>
              </w:rPr>
            </w:pPr>
            <w:r>
              <w:rPr>
                <w:rFonts w:cs="Arial"/>
                <w:sz w:val="16"/>
                <w:szCs w:val="16"/>
              </w:rPr>
              <w:t>F</w:t>
            </w:r>
          </w:p>
        </w:tc>
        <w:tc>
          <w:tcPr>
            <w:tcW w:w="4962" w:type="dxa"/>
            <w:shd w:val="solid" w:color="FFFFFF" w:fill="auto"/>
          </w:tcPr>
          <w:p w14:paraId="65B2FD16" w14:textId="0F5E65AE" w:rsidR="00B96727" w:rsidRDefault="00E17B9B" w:rsidP="00395DC9">
            <w:pPr>
              <w:pStyle w:val="TAL"/>
              <w:rPr>
                <w:rFonts w:cs="Arial"/>
                <w:sz w:val="16"/>
                <w:szCs w:val="16"/>
              </w:rPr>
            </w:pPr>
            <w:r w:rsidRPr="00E17B9B">
              <w:rPr>
                <w:rFonts w:cs="Arial"/>
                <w:sz w:val="16"/>
                <w:szCs w:val="16"/>
              </w:rPr>
              <w:t>CR on maintenance on sharing factor of RLM and link recovery for IAB-MT</w:t>
            </w:r>
          </w:p>
        </w:tc>
        <w:tc>
          <w:tcPr>
            <w:tcW w:w="708" w:type="dxa"/>
            <w:shd w:val="solid" w:color="FFFFFF" w:fill="auto"/>
          </w:tcPr>
          <w:p w14:paraId="1EA41C9F" w14:textId="3330D834" w:rsidR="00B96727" w:rsidRDefault="00B96727" w:rsidP="00395DC9">
            <w:pPr>
              <w:pStyle w:val="TAC"/>
              <w:rPr>
                <w:rFonts w:eastAsiaTheme="minorEastAsia"/>
                <w:sz w:val="16"/>
                <w:szCs w:val="16"/>
                <w:lang w:eastAsia="zh-CN"/>
              </w:rPr>
            </w:pPr>
            <w:r>
              <w:rPr>
                <w:rFonts w:eastAsiaTheme="minorEastAsia"/>
                <w:sz w:val="16"/>
                <w:szCs w:val="16"/>
                <w:lang w:eastAsia="zh-CN"/>
              </w:rPr>
              <w:t>16.3.0</w:t>
            </w:r>
          </w:p>
        </w:tc>
      </w:tr>
      <w:tr w:rsidR="00B96727" w:rsidRPr="006B0D02" w14:paraId="7609959A" w14:textId="77777777" w:rsidTr="0063534F">
        <w:tc>
          <w:tcPr>
            <w:tcW w:w="803" w:type="dxa"/>
            <w:shd w:val="solid" w:color="FFFFFF" w:fill="auto"/>
          </w:tcPr>
          <w:p w14:paraId="0095349A" w14:textId="37D6E7A0" w:rsidR="00B96727" w:rsidRDefault="00B96727" w:rsidP="00395DC9">
            <w:pPr>
              <w:pStyle w:val="TAC"/>
              <w:rPr>
                <w:sz w:val="16"/>
                <w:szCs w:val="16"/>
              </w:rPr>
            </w:pPr>
            <w:r>
              <w:rPr>
                <w:sz w:val="16"/>
                <w:szCs w:val="16"/>
              </w:rPr>
              <w:t>2021-06</w:t>
            </w:r>
          </w:p>
        </w:tc>
        <w:tc>
          <w:tcPr>
            <w:tcW w:w="859" w:type="dxa"/>
            <w:shd w:val="solid" w:color="FFFFFF" w:fill="auto"/>
          </w:tcPr>
          <w:p w14:paraId="770F9910" w14:textId="6A664D41" w:rsidR="00B96727" w:rsidRDefault="00B96727" w:rsidP="00395DC9">
            <w:pPr>
              <w:pStyle w:val="TAC"/>
              <w:rPr>
                <w:sz w:val="16"/>
                <w:szCs w:val="16"/>
              </w:rPr>
            </w:pPr>
            <w:r>
              <w:rPr>
                <w:sz w:val="16"/>
                <w:szCs w:val="16"/>
              </w:rPr>
              <w:t>RAN#92</w:t>
            </w:r>
          </w:p>
        </w:tc>
        <w:tc>
          <w:tcPr>
            <w:tcW w:w="1032" w:type="dxa"/>
            <w:shd w:val="solid" w:color="FFFFFF" w:fill="auto"/>
          </w:tcPr>
          <w:p w14:paraId="2C6FDF98" w14:textId="37833FA0" w:rsidR="00B96727" w:rsidRDefault="00E17B9B" w:rsidP="00395DC9">
            <w:pPr>
              <w:pStyle w:val="TAC"/>
              <w:rPr>
                <w:rFonts w:cs="Arial"/>
                <w:sz w:val="16"/>
                <w:szCs w:val="16"/>
              </w:rPr>
            </w:pPr>
            <w:r w:rsidRPr="00E17B9B">
              <w:rPr>
                <w:rFonts w:cs="Arial"/>
                <w:sz w:val="16"/>
                <w:szCs w:val="16"/>
              </w:rPr>
              <w:t>RP-211101</w:t>
            </w:r>
          </w:p>
        </w:tc>
        <w:tc>
          <w:tcPr>
            <w:tcW w:w="519" w:type="dxa"/>
            <w:shd w:val="solid" w:color="FFFFFF" w:fill="auto"/>
          </w:tcPr>
          <w:p w14:paraId="5AE19512" w14:textId="5EB86B52" w:rsidR="00B96727" w:rsidRDefault="00E17B9B" w:rsidP="00395DC9">
            <w:pPr>
              <w:pStyle w:val="TAL"/>
              <w:rPr>
                <w:rFonts w:cs="Arial"/>
                <w:sz w:val="16"/>
                <w:szCs w:val="16"/>
              </w:rPr>
            </w:pPr>
            <w:r>
              <w:rPr>
                <w:rFonts w:cs="Arial"/>
                <w:sz w:val="16"/>
                <w:szCs w:val="16"/>
              </w:rPr>
              <w:t>0016</w:t>
            </w:r>
          </w:p>
        </w:tc>
        <w:tc>
          <w:tcPr>
            <w:tcW w:w="331" w:type="dxa"/>
            <w:shd w:val="solid" w:color="FFFFFF" w:fill="auto"/>
          </w:tcPr>
          <w:p w14:paraId="1B20BEFD" w14:textId="35EF2B66" w:rsidR="00B96727" w:rsidRDefault="00E17B9B" w:rsidP="00395DC9">
            <w:pPr>
              <w:pStyle w:val="TAR"/>
              <w:rPr>
                <w:rFonts w:cs="Arial"/>
                <w:sz w:val="16"/>
                <w:szCs w:val="16"/>
              </w:rPr>
            </w:pPr>
            <w:r>
              <w:rPr>
                <w:rFonts w:cs="Arial"/>
                <w:sz w:val="16"/>
                <w:szCs w:val="16"/>
              </w:rPr>
              <w:t>1</w:t>
            </w:r>
          </w:p>
        </w:tc>
        <w:tc>
          <w:tcPr>
            <w:tcW w:w="425" w:type="dxa"/>
            <w:shd w:val="solid" w:color="FFFFFF" w:fill="auto"/>
          </w:tcPr>
          <w:p w14:paraId="524BB585" w14:textId="3BE5840C" w:rsidR="00B96727" w:rsidRDefault="00E17B9B" w:rsidP="00395DC9">
            <w:pPr>
              <w:pStyle w:val="TAC"/>
              <w:rPr>
                <w:rFonts w:cs="Arial"/>
                <w:sz w:val="16"/>
                <w:szCs w:val="16"/>
              </w:rPr>
            </w:pPr>
            <w:r>
              <w:rPr>
                <w:rFonts w:cs="Arial"/>
                <w:sz w:val="16"/>
                <w:szCs w:val="16"/>
              </w:rPr>
              <w:t>B</w:t>
            </w:r>
          </w:p>
        </w:tc>
        <w:tc>
          <w:tcPr>
            <w:tcW w:w="4962" w:type="dxa"/>
            <w:shd w:val="solid" w:color="FFFFFF" w:fill="auto"/>
          </w:tcPr>
          <w:p w14:paraId="3D7F7F57" w14:textId="75B0984B" w:rsidR="00B96727" w:rsidRDefault="00E17B9B" w:rsidP="00395DC9">
            <w:pPr>
              <w:pStyle w:val="TAL"/>
              <w:rPr>
                <w:rFonts w:cs="Arial"/>
                <w:sz w:val="16"/>
                <w:szCs w:val="16"/>
              </w:rPr>
            </w:pPr>
            <w:r w:rsidRPr="00E17B9B">
              <w:rPr>
                <w:rFonts w:cs="Arial"/>
                <w:sz w:val="16"/>
                <w:szCs w:val="16"/>
              </w:rPr>
              <w:t>Big CR on IAB-MT demodulation in TS 38.174</w:t>
            </w:r>
          </w:p>
        </w:tc>
        <w:tc>
          <w:tcPr>
            <w:tcW w:w="708" w:type="dxa"/>
            <w:shd w:val="solid" w:color="FFFFFF" w:fill="auto"/>
          </w:tcPr>
          <w:p w14:paraId="5F450625" w14:textId="40628DA3" w:rsidR="00B96727" w:rsidRDefault="00B96727" w:rsidP="00395DC9">
            <w:pPr>
              <w:pStyle w:val="TAC"/>
              <w:rPr>
                <w:rFonts w:eastAsiaTheme="minorEastAsia"/>
                <w:sz w:val="16"/>
                <w:szCs w:val="16"/>
                <w:lang w:eastAsia="zh-CN"/>
              </w:rPr>
            </w:pPr>
            <w:r>
              <w:rPr>
                <w:rFonts w:eastAsiaTheme="minorEastAsia"/>
                <w:sz w:val="16"/>
                <w:szCs w:val="16"/>
                <w:lang w:eastAsia="zh-CN"/>
              </w:rPr>
              <w:t>16.3.0</w:t>
            </w:r>
          </w:p>
        </w:tc>
      </w:tr>
      <w:tr w:rsidR="00B96727" w:rsidRPr="006B0D02" w14:paraId="29F5C6F1" w14:textId="77777777" w:rsidTr="0063534F">
        <w:tc>
          <w:tcPr>
            <w:tcW w:w="803" w:type="dxa"/>
            <w:shd w:val="solid" w:color="FFFFFF" w:fill="auto"/>
          </w:tcPr>
          <w:p w14:paraId="4E25D364" w14:textId="03441161" w:rsidR="00B96727" w:rsidRDefault="00B96727" w:rsidP="00395DC9">
            <w:pPr>
              <w:pStyle w:val="TAC"/>
              <w:rPr>
                <w:sz w:val="16"/>
                <w:szCs w:val="16"/>
              </w:rPr>
            </w:pPr>
            <w:r>
              <w:rPr>
                <w:sz w:val="16"/>
                <w:szCs w:val="16"/>
              </w:rPr>
              <w:t>2021-06</w:t>
            </w:r>
          </w:p>
        </w:tc>
        <w:tc>
          <w:tcPr>
            <w:tcW w:w="859" w:type="dxa"/>
            <w:shd w:val="solid" w:color="FFFFFF" w:fill="auto"/>
          </w:tcPr>
          <w:p w14:paraId="1C2B8EB4" w14:textId="757F501B" w:rsidR="00B96727" w:rsidRDefault="00B96727" w:rsidP="00395DC9">
            <w:pPr>
              <w:pStyle w:val="TAC"/>
              <w:rPr>
                <w:sz w:val="16"/>
                <w:szCs w:val="16"/>
              </w:rPr>
            </w:pPr>
            <w:r>
              <w:rPr>
                <w:sz w:val="16"/>
                <w:szCs w:val="16"/>
              </w:rPr>
              <w:t>RAN#92</w:t>
            </w:r>
          </w:p>
        </w:tc>
        <w:tc>
          <w:tcPr>
            <w:tcW w:w="1032" w:type="dxa"/>
            <w:shd w:val="solid" w:color="FFFFFF" w:fill="auto"/>
          </w:tcPr>
          <w:p w14:paraId="4E0E4E08" w14:textId="43812DD4" w:rsidR="00B96727" w:rsidRDefault="00E17B9B" w:rsidP="00395DC9">
            <w:pPr>
              <w:pStyle w:val="TAC"/>
              <w:rPr>
                <w:rFonts w:cs="Arial"/>
                <w:sz w:val="16"/>
                <w:szCs w:val="16"/>
              </w:rPr>
            </w:pPr>
            <w:r w:rsidRPr="00E17B9B">
              <w:rPr>
                <w:rFonts w:cs="Arial"/>
                <w:sz w:val="16"/>
                <w:szCs w:val="16"/>
              </w:rPr>
              <w:t>RP-211101</w:t>
            </w:r>
          </w:p>
        </w:tc>
        <w:tc>
          <w:tcPr>
            <w:tcW w:w="519" w:type="dxa"/>
            <w:shd w:val="solid" w:color="FFFFFF" w:fill="auto"/>
          </w:tcPr>
          <w:p w14:paraId="15D45D0E" w14:textId="049CB0C2" w:rsidR="00B96727" w:rsidRDefault="00E17B9B" w:rsidP="00395DC9">
            <w:pPr>
              <w:pStyle w:val="TAL"/>
              <w:rPr>
                <w:rFonts w:cs="Arial"/>
                <w:sz w:val="16"/>
                <w:szCs w:val="16"/>
              </w:rPr>
            </w:pPr>
            <w:r>
              <w:rPr>
                <w:rFonts w:cs="Arial"/>
                <w:sz w:val="16"/>
                <w:szCs w:val="16"/>
              </w:rPr>
              <w:t>0018</w:t>
            </w:r>
          </w:p>
        </w:tc>
        <w:tc>
          <w:tcPr>
            <w:tcW w:w="331" w:type="dxa"/>
            <w:shd w:val="solid" w:color="FFFFFF" w:fill="auto"/>
          </w:tcPr>
          <w:p w14:paraId="0F0294E4" w14:textId="505D8D07" w:rsidR="00B96727" w:rsidRDefault="00E17B9B" w:rsidP="00395DC9">
            <w:pPr>
              <w:pStyle w:val="TAR"/>
              <w:rPr>
                <w:rFonts w:cs="Arial"/>
                <w:sz w:val="16"/>
                <w:szCs w:val="16"/>
              </w:rPr>
            </w:pPr>
            <w:r>
              <w:rPr>
                <w:rFonts w:cs="Arial"/>
                <w:sz w:val="16"/>
                <w:szCs w:val="16"/>
              </w:rPr>
              <w:t>1</w:t>
            </w:r>
          </w:p>
        </w:tc>
        <w:tc>
          <w:tcPr>
            <w:tcW w:w="425" w:type="dxa"/>
            <w:shd w:val="solid" w:color="FFFFFF" w:fill="auto"/>
          </w:tcPr>
          <w:p w14:paraId="7116A825" w14:textId="5CB607B1" w:rsidR="00B96727" w:rsidRDefault="00E17B9B" w:rsidP="00395DC9">
            <w:pPr>
              <w:pStyle w:val="TAC"/>
              <w:rPr>
                <w:rFonts w:cs="Arial"/>
                <w:sz w:val="16"/>
                <w:szCs w:val="16"/>
              </w:rPr>
            </w:pPr>
            <w:r>
              <w:rPr>
                <w:rFonts w:cs="Arial"/>
                <w:sz w:val="16"/>
                <w:szCs w:val="16"/>
              </w:rPr>
              <w:t>B</w:t>
            </w:r>
          </w:p>
        </w:tc>
        <w:tc>
          <w:tcPr>
            <w:tcW w:w="4962" w:type="dxa"/>
            <w:shd w:val="solid" w:color="FFFFFF" w:fill="auto"/>
          </w:tcPr>
          <w:p w14:paraId="0D3D91EC" w14:textId="75C7D3E7" w:rsidR="00B96727" w:rsidRDefault="00E17B9B" w:rsidP="00395DC9">
            <w:pPr>
              <w:pStyle w:val="TAL"/>
              <w:rPr>
                <w:rFonts w:cs="Arial"/>
                <w:sz w:val="16"/>
                <w:szCs w:val="16"/>
              </w:rPr>
            </w:pPr>
            <w:r w:rsidRPr="00E17B9B">
              <w:rPr>
                <w:rFonts w:cs="Arial"/>
                <w:sz w:val="16"/>
                <w:szCs w:val="16"/>
              </w:rPr>
              <w:t>Big CR: IAB-MT RRM test cases in 38.174</w:t>
            </w:r>
          </w:p>
        </w:tc>
        <w:tc>
          <w:tcPr>
            <w:tcW w:w="708" w:type="dxa"/>
            <w:shd w:val="solid" w:color="FFFFFF" w:fill="auto"/>
          </w:tcPr>
          <w:p w14:paraId="0E13D597" w14:textId="45B66924" w:rsidR="00B96727" w:rsidRDefault="00B96727" w:rsidP="00395DC9">
            <w:pPr>
              <w:pStyle w:val="TAC"/>
              <w:rPr>
                <w:rFonts w:eastAsiaTheme="minorEastAsia"/>
                <w:sz w:val="16"/>
                <w:szCs w:val="16"/>
                <w:lang w:eastAsia="zh-CN"/>
              </w:rPr>
            </w:pPr>
            <w:r>
              <w:rPr>
                <w:rFonts w:eastAsiaTheme="minorEastAsia"/>
                <w:sz w:val="16"/>
                <w:szCs w:val="16"/>
                <w:lang w:eastAsia="zh-CN"/>
              </w:rPr>
              <w:t>16.3.0</w:t>
            </w:r>
          </w:p>
        </w:tc>
      </w:tr>
      <w:tr w:rsidR="00B96727" w:rsidRPr="006B0D02" w14:paraId="4E1B7E15" w14:textId="77777777" w:rsidTr="0063534F">
        <w:tc>
          <w:tcPr>
            <w:tcW w:w="803" w:type="dxa"/>
            <w:shd w:val="solid" w:color="FFFFFF" w:fill="auto"/>
          </w:tcPr>
          <w:p w14:paraId="63AE695A" w14:textId="13F2C067" w:rsidR="00B96727" w:rsidRDefault="00B96727" w:rsidP="00395DC9">
            <w:pPr>
              <w:pStyle w:val="TAC"/>
              <w:rPr>
                <w:sz w:val="16"/>
                <w:szCs w:val="16"/>
              </w:rPr>
            </w:pPr>
            <w:r>
              <w:rPr>
                <w:sz w:val="16"/>
                <w:szCs w:val="16"/>
              </w:rPr>
              <w:t>2021-06</w:t>
            </w:r>
          </w:p>
        </w:tc>
        <w:tc>
          <w:tcPr>
            <w:tcW w:w="859" w:type="dxa"/>
            <w:shd w:val="solid" w:color="FFFFFF" w:fill="auto"/>
          </w:tcPr>
          <w:p w14:paraId="350C9935" w14:textId="39456F33" w:rsidR="00B96727" w:rsidRDefault="00B96727" w:rsidP="00395DC9">
            <w:pPr>
              <w:pStyle w:val="TAC"/>
              <w:rPr>
                <w:sz w:val="16"/>
                <w:szCs w:val="16"/>
              </w:rPr>
            </w:pPr>
            <w:r>
              <w:rPr>
                <w:sz w:val="16"/>
                <w:szCs w:val="16"/>
              </w:rPr>
              <w:t>RAN#92</w:t>
            </w:r>
          </w:p>
        </w:tc>
        <w:tc>
          <w:tcPr>
            <w:tcW w:w="1032" w:type="dxa"/>
            <w:shd w:val="solid" w:color="FFFFFF" w:fill="auto"/>
          </w:tcPr>
          <w:p w14:paraId="3F5E553B" w14:textId="36B19582" w:rsidR="00B96727" w:rsidRDefault="00E17B9B" w:rsidP="00395DC9">
            <w:pPr>
              <w:pStyle w:val="TAC"/>
              <w:rPr>
                <w:rFonts w:cs="Arial"/>
                <w:sz w:val="16"/>
                <w:szCs w:val="16"/>
              </w:rPr>
            </w:pPr>
            <w:r w:rsidRPr="00E17B9B">
              <w:rPr>
                <w:rFonts w:cs="Arial"/>
                <w:sz w:val="16"/>
                <w:szCs w:val="16"/>
              </w:rPr>
              <w:t>RP-211101</w:t>
            </w:r>
          </w:p>
        </w:tc>
        <w:tc>
          <w:tcPr>
            <w:tcW w:w="519" w:type="dxa"/>
            <w:shd w:val="solid" w:color="FFFFFF" w:fill="auto"/>
          </w:tcPr>
          <w:p w14:paraId="20F87D25" w14:textId="12A16EAF" w:rsidR="00B96727" w:rsidRDefault="00E17B9B" w:rsidP="00395DC9">
            <w:pPr>
              <w:pStyle w:val="TAL"/>
              <w:rPr>
                <w:rFonts w:cs="Arial"/>
                <w:sz w:val="16"/>
                <w:szCs w:val="16"/>
              </w:rPr>
            </w:pPr>
            <w:r>
              <w:rPr>
                <w:rFonts w:cs="Arial"/>
                <w:sz w:val="16"/>
                <w:szCs w:val="16"/>
              </w:rPr>
              <w:t>0020</w:t>
            </w:r>
          </w:p>
        </w:tc>
        <w:tc>
          <w:tcPr>
            <w:tcW w:w="331" w:type="dxa"/>
            <w:shd w:val="solid" w:color="FFFFFF" w:fill="auto"/>
          </w:tcPr>
          <w:p w14:paraId="77E5BD91" w14:textId="77777777" w:rsidR="00B96727" w:rsidRDefault="00B96727" w:rsidP="00395DC9">
            <w:pPr>
              <w:pStyle w:val="TAR"/>
              <w:rPr>
                <w:rFonts w:cs="Arial"/>
                <w:sz w:val="16"/>
                <w:szCs w:val="16"/>
              </w:rPr>
            </w:pPr>
          </w:p>
        </w:tc>
        <w:tc>
          <w:tcPr>
            <w:tcW w:w="425" w:type="dxa"/>
            <w:shd w:val="solid" w:color="FFFFFF" w:fill="auto"/>
          </w:tcPr>
          <w:p w14:paraId="43A66EAB" w14:textId="1940CDB9" w:rsidR="00B96727" w:rsidRDefault="00E17B9B" w:rsidP="00395DC9">
            <w:pPr>
              <w:pStyle w:val="TAC"/>
              <w:rPr>
                <w:rFonts w:cs="Arial"/>
                <w:sz w:val="16"/>
                <w:szCs w:val="16"/>
              </w:rPr>
            </w:pPr>
            <w:r>
              <w:rPr>
                <w:rFonts w:cs="Arial"/>
                <w:sz w:val="16"/>
                <w:szCs w:val="16"/>
              </w:rPr>
              <w:t>F</w:t>
            </w:r>
          </w:p>
        </w:tc>
        <w:tc>
          <w:tcPr>
            <w:tcW w:w="4962" w:type="dxa"/>
            <w:shd w:val="solid" w:color="FFFFFF" w:fill="auto"/>
          </w:tcPr>
          <w:p w14:paraId="62F06DDC" w14:textId="6AA69EF8" w:rsidR="00B96727" w:rsidRDefault="00E17B9B" w:rsidP="00395DC9">
            <w:pPr>
              <w:pStyle w:val="TAL"/>
              <w:rPr>
                <w:rFonts w:cs="Arial"/>
                <w:sz w:val="16"/>
                <w:szCs w:val="16"/>
              </w:rPr>
            </w:pPr>
            <w:r w:rsidRPr="00E17B9B">
              <w:rPr>
                <w:rFonts w:cs="Arial"/>
                <w:sz w:val="16"/>
                <w:szCs w:val="16"/>
              </w:rPr>
              <w:t>Big CR for update Core part of TS 38.174</w:t>
            </w:r>
          </w:p>
        </w:tc>
        <w:tc>
          <w:tcPr>
            <w:tcW w:w="708" w:type="dxa"/>
            <w:shd w:val="solid" w:color="FFFFFF" w:fill="auto"/>
          </w:tcPr>
          <w:p w14:paraId="3CB385A9" w14:textId="31958F3D" w:rsidR="00B96727" w:rsidRDefault="00B96727" w:rsidP="00395DC9">
            <w:pPr>
              <w:pStyle w:val="TAC"/>
              <w:rPr>
                <w:rFonts w:eastAsiaTheme="minorEastAsia"/>
                <w:sz w:val="16"/>
                <w:szCs w:val="16"/>
                <w:lang w:eastAsia="zh-CN"/>
              </w:rPr>
            </w:pPr>
            <w:r>
              <w:rPr>
                <w:rFonts w:eastAsiaTheme="minorEastAsia"/>
                <w:sz w:val="16"/>
                <w:szCs w:val="16"/>
                <w:lang w:eastAsia="zh-CN"/>
              </w:rPr>
              <w:t>16.3.0</w:t>
            </w:r>
          </w:p>
        </w:tc>
      </w:tr>
      <w:tr w:rsidR="000A0C4D" w:rsidRPr="006B0D02" w14:paraId="12CE7D50" w14:textId="77777777" w:rsidTr="0063534F">
        <w:tc>
          <w:tcPr>
            <w:tcW w:w="803" w:type="dxa"/>
            <w:shd w:val="solid" w:color="FFFFFF" w:fill="auto"/>
          </w:tcPr>
          <w:p w14:paraId="117C26DA" w14:textId="3A907E0E" w:rsidR="000A0C4D" w:rsidRDefault="000A0C4D" w:rsidP="00395DC9">
            <w:pPr>
              <w:pStyle w:val="TAC"/>
              <w:rPr>
                <w:sz w:val="16"/>
                <w:szCs w:val="16"/>
              </w:rPr>
            </w:pPr>
            <w:r>
              <w:rPr>
                <w:sz w:val="16"/>
                <w:szCs w:val="16"/>
              </w:rPr>
              <w:t>2021-09</w:t>
            </w:r>
          </w:p>
        </w:tc>
        <w:tc>
          <w:tcPr>
            <w:tcW w:w="859" w:type="dxa"/>
            <w:shd w:val="solid" w:color="FFFFFF" w:fill="auto"/>
          </w:tcPr>
          <w:p w14:paraId="62EB397B" w14:textId="4854D534" w:rsidR="000A0C4D" w:rsidRDefault="000A0C4D" w:rsidP="00395DC9">
            <w:pPr>
              <w:pStyle w:val="TAC"/>
              <w:rPr>
                <w:sz w:val="16"/>
                <w:szCs w:val="16"/>
              </w:rPr>
            </w:pPr>
            <w:r>
              <w:rPr>
                <w:sz w:val="16"/>
                <w:szCs w:val="16"/>
              </w:rPr>
              <w:t>RAN#93</w:t>
            </w:r>
          </w:p>
        </w:tc>
        <w:tc>
          <w:tcPr>
            <w:tcW w:w="1032" w:type="dxa"/>
            <w:shd w:val="solid" w:color="FFFFFF" w:fill="auto"/>
          </w:tcPr>
          <w:p w14:paraId="75091E0A" w14:textId="7B727988" w:rsidR="000A0C4D" w:rsidRPr="00E17B9B" w:rsidRDefault="000A0C4D" w:rsidP="00395DC9">
            <w:pPr>
              <w:pStyle w:val="TAC"/>
              <w:rPr>
                <w:rFonts w:cs="Arial"/>
                <w:sz w:val="16"/>
                <w:szCs w:val="16"/>
              </w:rPr>
            </w:pPr>
            <w:r w:rsidRPr="000A0C4D">
              <w:rPr>
                <w:rFonts w:cs="Arial"/>
                <w:sz w:val="16"/>
                <w:szCs w:val="16"/>
              </w:rPr>
              <w:t>RP-211892</w:t>
            </w:r>
          </w:p>
        </w:tc>
        <w:tc>
          <w:tcPr>
            <w:tcW w:w="519" w:type="dxa"/>
            <w:shd w:val="solid" w:color="FFFFFF" w:fill="auto"/>
          </w:tcPr>
          <w:p w14:paraId="79D25739" w14:textId="6315DC21" w:rsidR="000A0C4D" w:rsidRDefault="000A0C4D" w:rsidP="00395DC9">
            <w:pPr>
              <w:pStyle w:val="TAL"/>
              <w:rPr>
                <w:rFonts w:cs="Arial"/>
                <w:sz w:val="16"/>
                <w:szCs w:val="16"/>
              </w:rPr>
            </w:pPr>
            <w:r>
              <w:rPr>
                <w:rFonts w:cs="Arial"/>
                <w:sz w:val="16"/>
                <w:szCs w:val="16"/>
              </w:rPr>
              <w:t>0021</w:t>
            </w:r>
          </w:p>
        </w:tc>
        <w:tc>
          <w:tcPr>
            <w:tcW w:w="331" w:type="dxa"/>
            <w:shd w:val="solid" w:color="FFFFFF" w:fill="auto"/>
          </w:tcPr>
          <w:p w14:paraId="15690DA3" w14:textId="77777777" w:rsidR="000A0C4D" w:rsidRDefault="000A0C4D" w:rsidP="00395DC9">
            <w:pPr>
              <w:pStyle w:val="TAR"/>
              <w:rPr>
                <w:rFonts w:cs="Arial"/>
                <w:sz w:val="16"/>
                <w:szCs w:val="16"/>
              </w:rPr>
            </w:pPr>
          </w:p>
        </w:tc>
        <w:tc>
          <w:tcPr>
            <w:tcW w:w="425" w:type="dxa"/>
            <w:shd w:val="solid" w:color="FFFFFF" w:fill="auto"/>
          </w:tcPr>
          <w:p w14:paraId="7A3CD74A" w14:textId="35AECE5E" w:rsidR="000A0C4D" w:rsidRDefault="000A0C4D" w:rsidP="00395DC9">
            <w:pPr>
              <w:pStyle w:val="TAC"/>
              <w:rPr>
                <w:rFonts w:cs="Arial"/>
                <w:sz w:val="16"/>
                <w:szCs w:val="16"/>
              </w:rPr>
            </w:pPr>
            <w:r>
              <w:rPr>
                <w:rFonts w:cs="Arial"/>
                <w:sz w:val="16"/>
                <w:szCs w:val="16"/>
              </w:rPr>
              <w:t>F</w:t>
            </w:r>
          </w:p>
        </w:tc>
        <w:tc>
          <w:tcPr>
            <w:tcW w:w="4962" w:type="dxa"/>
            <w:shd w:val="solid" w:color="FFFFFF" w:fill="auto"/>
          </w:tcPr>
          <w:p w14:paraId="0B1C311D" w14:textId="011DFA9F" w:rsidR="000A0C4D" w:rsidRPr="00E17B9B" w:rsidRDefault="000A0C4D" w:rsidP="00395DC9">
            <w:pPr>
              <w:pStyle w:val="TAL"/>
              <w:rPr>
                <w:rFonts w:cs="Arial"/>
                <w:sz w:val="16"/>
                <w:szCs w:val="16"/>
              </w:rPr>
            </w:pPr>
            <w:r w:rsidRPr="000A0C4D">
              <w:rPr>
                <w:rFonts w:cs="Arial"/>
                <w:sz w:val="16"/>
                <w:szCs w:val="16"/>
              </w:rPr>
              <w:t>Big CR for TS 38.174 Maintenance (Rel-16, CAT F)</w:t>
            </w:r>
          </w:p>
        </w:tc>
        <w:tc>
          <w:tcPr>
            <w:tcW w:w="708" w:type="dxa"/>
            <w:shd w:val="solid" w:color="FFFFFF" w:fill="auto"/>
          </w:tcPr>
          <w:p w14:paraId="5394E97F" w14:textId="7D356069" w:rsidR="000A0C4D" w:rsidRDefault="000A0C4D" w:rsidP="00395DC9">
            <w:pPr>
              <w:pStyle w:val="TAC"/>
              <w:rPr>
                <w:rFonts w:eastAsiaTheme="minorEastAsia"/>
                <w:sz w:val="16"/>
                <w:szCs w:val="16"/>
                <w:lang w:eastAsia="zh-CN"/>
              </w:rPr>
            </w:pPr>
            <w:r>
              <w:rPr>
                <w:rFonts w:eastAsiaTheme="minorEastAsia"/>
                <w:sz w:val="16"/>
                <w:szCs w:val="16"/>
                <w:lang w:eastAsia="zh-CN"/>
              </w:rPr>
              <w:t>16.4.0</w:t>
            </w:r>
          </w:p>
        </w:tc>
      </w:tr>
      <w:tr w:rsidR="00B1369D" w:rsidRPr="006B0D02" w14:paraId="49A1F303" w14:textId="77777777" w:rsidTr="0063534F">
        <w:tc>
          <w:tcPr>
            <w:tcW w:w="803" w:type="dxa"/>
            <w:shd w:val="solid" w:color="FFFFFF" w:fill="auto"/>
          </w:tcPr>
          <w:p w14:paraId="386A9391" w14:textId="4918F78F" w:rsidR="00B1369D" w:rsidRDefault="00B1369D" w:rsidP="00395DC9">
            <w:pPr>
              <w:pStyle w:val="TAC"/>
              <w:rPr>
                <w:sz w:val="16"/>
                <w:szCs w:val="16"/>
              </w:rPr>
            </w:pPr>
            <w:r>
              <w:rPr>
                <w:sz w:val="16"/>
                <w:szCs w:val="16"/>
              </w:rPr>
              <w:t>2021-12</w:t>
            </w:r>
          </w:p>
        </w:tc>
        <w:tc>
          <w:tcPr>
            <w:tcW w:w="859" w:type="dxa"/>
            <w:shd w:val="solid" w:color="FFFFFF" w:fill="auto"/>
          </w:tcPr>
          <w:p w14:paraId="6BABE08A" w14:textId="76D8B382" w:rsidR="00B1369D" w:rsidRDefault="00B1369D" w:rsidP="00395DC9">
            <w:pPr>
              <w:pStyle w:val="TAC"/>
              <w:rPr>
                <w:sz w:val="16"/>
                <w:szCs w:val="16"/>
              </w:rPr>
            </w:pPr>
            <w:r>
              <w:rPr>
                <w:sz w:val="16"/>
                <w:szCs w:val="16"/>
              </w:rPr>
              <w:t>RAN#94</w:t>
            </w:r>
          </w:p>
        </w:tc>
        <w:tc>
          <w:tcPr>
            <w:tcW w:w="1032" w:type="dxa"/>
            <w:shd w:val="solid" w:color="FFFFFF" w:fill="auto"/>
          </w:tcPr>
          <w:p w14:paraId="3BD1F72F" w14:textId="0D887A2C" w:rsidR="00B1369D" w:rsidRPr="000A0C4D" w:rsidRDefault="00B1369D" w:rsidP="00395DC9">
            <w:pPr>
              <w:pStyle w:val="TAC"/>
              <w:rPr>
                <w:rFonts w:cs="Arial"/>
                <w:sz w:val="16"/>
                <w:szCs w:val="16"/>
              </w:rPr>
            </w:pPr>
            <w:r w:rsidRPr="00B1369D">
              <w:rPr>
                <w:rFonts w:cs="Arial"/>
                <w:sz w:val="16"/>
                <w:szCs w:val="16"/>
              </w:rPr>
              <w:t>RP-212851</w:t>
            </w:r>
          </w:p>
        </w:tc>
        <w:tc>
          <w:tcPr>
            <w:tcW w:w="519" w:type="dxa"/>
            <w:shd w:val="solid" w:color="FFFFFF" w:fill="auto"/>
          </w:tcPr>
          <w:p w14:paraId="01049308" w14:textId="0BC8FACE" w:rsidR="00B1369D" w:rsidRDefault="00B1369D" w:rsidP="00395DC9">
            <w:pPr>
              <w:pStyle w:val="TAL"/>
              <w:rPr>
                <w:rFonts w:cs="Arial"/>
                <w:sz w:val="16"/>
                <w:szCs w:val="16"/>
              </w:rPr>
            </w:pPr>
            <w:r w:rsidRPr="00B1369D">
              <w:rPr>
                <w:rFonts w:cs="Arial"/>
                <w:sz w:val="16"/>
                <w:szCs w:val="16"/>
              </w:rPr>
              <w:t>0022</w:t>
            </w:r>
          </w:p>
        </w:tc>
        <w:tc>
          <w:tcPr>
            <w:tcW w:w="331" w:type="dxa"/>
            <w:shd w:val="solid" w:color="FFFFFF" w:fill="auto"/>
          </w:tcPr>
          <w:p w14:paraId="27893BED" w14:textId="77777777" w:rsidR="00B1369D" w:rsidRDefault="00B1369D" w:rsidP="00395DC9">
            <w:pPr>
              <w:pStyle w:val="TAR"/>
              <w:rPr>
                <w:rFonts w:cs="Arial"/>
                <w:sz w:val="16"/>
                <w:szCs w:val="16"/>
              </w:rPr>
            </w:pPr>
          </w:p>
        </w:tc>
        <w:tc>
          <w:tcPr>
            <w:tcW w:w="425" w:type="dxa"/>
            <w:shd w:val="solid" w:color="FFFFFF" w:fill="auto"/>
          </w:tcPr>
          <w:p w14:paraId="56CCB868" w14:textId="62E9827C" w:rsidR="00B1369D" w:rsidRDefault="00B1369D" w:rsidP="00395DC9">
            <w:pPr>
              <w:pStyle w:val="TAC"/>
              <w:rPr>
                <w:rFonts w:cs="Arial"/>
                <w:sz w:val="16"/>
                <w:szCs w:val="16"/>
              </w:rPr>
            </w:pPr>
            <w:r>
              <w:rPr>
                <w:rFonts w:cs="Arial"/>
                <w:sz w:val="16"/>
                <w:szCs w:val="16"/>
              </w:rPr>
              <w:t>F</w:t>
            </w:r>
          </w:p>
        </w:tc>
        <w:tc>
          <w:tcPr>
            <w:tcW w:w="4962" w:type="dxa"/>
            <w:shd w:val="solid" w:color="FFFFFF" w:fill="auto"/>
          </w:tcPr>
          <w:p w14:paraId="06CB53CD" w14:textId="20F5096A" w:rsidR="00B1369D" w:rsidRPr="000A0C4D" w:rsidRDefault="00B1369D" w:rsidP="00395DC9">
            <w:pPr>
              <w:pStyle w:val="TAL"/>
              <w:rPr>
                <w:rFonts w:cs="Arial"/>
                <w:sz w:val="16"/>
                <w:szCs w:val="16"/>
              </w:rPr>
            </w:pPr>
            <w:r w:rsidRPr="00B1369D">
              <w:rPr>
                <w:rFonts w:cs="Arial"/>
                <w:sz w:val="16"/>
                <w:szCs w:val="16"/>
              </w:rPr>
              <w:t>Big CR for TS 38.174 Maintenance (Rel-16, CAT F)</w:t>
            </w:r>
          </w:p>
        </w:tc>
        <w:tc>
          <w:tcPr>
            <w:tcW w:w="708" w:type="dxa"/>
            <w:shd w:val="solid" w:color="FFFFFF" w:fill="auto"/>
          </w:tcPr>
          <w:p w14:paraId="415A8B62" w14:textId="65C14CF3" w:rsidR="00B1369D" w:rsidRDefault="00B1369D" w:rsidP="00395DC9">
            <w:pPr>
              <w:pStyle w:val="TAC"/>
              <w:rPr>
                <w:rFonts w:eastAsiaTheme="minorEastAsia"/>
                <w:sz w:val="16"/>
                <w:szCs w:val="16"/>
                <w:lang w:eastAsia="zh-CN"/>
              </w:rPr>
            </w:pPr>
            <w:r>
              <w:rPr>
                <w:rFonts w:eastAsiaTheme="minorEastAsia"/>
                <w:sz w:val="16"/>
                <w:szCs w:val="16"/>
                <w:lang w:eastAsia="zh-CN"/>
              </w:rPr>
              <w:t>16.5.0</w:t>
            </w:r>
          </w:p>
        </w:tc>
      </w:tr>
      <w:tr w:rsidR="00736C24" w:rsidRPr="006B0D02" w14:paraId="6423A681" w14:textId="77777777" w:rsidTr="0063534F">
        <w:tc>
          <w:tcPr>
            <w:tcW w:w="803" w:type="dxa"/>
            <w:shd w:val="solid" w:color="FFFFFF" w:fill="auto"/>
          </w:tcPr>
          <w:p w14:paraId="76C1E5B5" w14:textId="2C5E74F2" w:rsidR="00736C24" w:rsidRDefault="00736C24" w:rsidP="00736C24">
            <w:pPr>
              <w:pStyle w:val="TAC"/>
              <w:rPr>
                <w:sz w:val="16"/>
                <w:szCs w:val="16"/>
              </w:rPr>
            </w:pPr>
            <w:r>
              <w:rPr>
                <w:sz w:val="16"/>
                <w:szCs w:val="16"/>
              </w:rPr>
              <w:t>2022-03</w:t>
            </w:r>
          </w:p>
        </w:tc>
        <w:tc>
          <w:tcPr>
            <w:tcW w:w="859" w:type="dxa"/>
            <w:shd w:val="solid" w:color="FFFFFF" w:fill="auto"/>
          </w:tcPr>
          <w:p w14:paraId="07965502" w14:textId="3EB9267B" w:rsidR="00736C24" w:rsidRDefault="00736C24" w:rsidP="00736C24">
            <w:pPr>
              <w:pStyle w:val="TAC"/>
              <w:rPr>
                <w:sz w:val="16"/>
                <w:szCs w:val="16"/>
              </w:rPr>
            </w:pPr>
            <w:r>
              <w:rPr>
                <w:sz w:val="16"/>
                <w:szCs w:val="16"/>
              </w:rPr>
              <w:t>RAN#95</w:t>
            </w:r>
          </w:p>
        </w:tc>
        <w:tc>
          <w:tcPr>
            <w:tcW w:w="1032" w:type="dxa"/>
            <w:shd w:val="solid" w:color="FFFFFF" w:fill="auto"/>
          </w:tcPr>
          <w:p w14:paraId="2D47D1C5" w14:textId="600609DC" w:rsidR="00736C24" w:rsidRPr="00736C24" w:rsidRDefault="00736C24" w:rsidP="00736C24">
            <w:pPr>
              <w:pStyle w:val="TAC"/>
              <w:rPr>
                <w:sz w:val="16"/>
                <w:szCs w:val="16"/>
              </w:rPr>
            </w:pPr>
            <w:r w:rsidRPr="00736C24">
              <w:rPr>
                <w:sz w:val="16"/>
                <w:szCs w:val="16"/>
              </w:rPr>
              <w:t>RP-220374</w:t>
            </w:r>
          </w:p>
        </w:tc>
        <w:tc>
          <w:tcPr>
            <w:tcW w:w="519" w:type="dxa"/>
            <w:shd w:val="solid" w:color="FFFFFF" w:fill="auto"/>
          </w:tcPr>
          <w:p w14:paraId="37473434" w14:textId="62B51A35" w:rsidR="00736C24" w:rsidRPr="00736C24" w:rsidRDefault="00736C24" w:rsidP="00736C24">
            <w:pPr>
              <w:pStyle w:val="TAL"/>
              <w:rPr>
                <w:sz w:val="16"/>
                <w:szCs w:val="16"/>
              </w:rPr>
            </w:pPr>
            <w:r w:rsidRPr="00736C24">
              <w:rPr>
                <w:sz w:val="16"/>
                <w:szCs w:val="16"/>
              </w:rPr>
              <w:t>0024</w:t>
            </w:r>
          </w:p>
        </w:tc>
        <w:tc>
          <w:tcPr>
            <w:tcW w:w="331" w:type="dxa"/>
            <w:shd w:val="solid" w:color="FFFFFF" w:fill="auto"/>
          </w:tcPr>
          <w:p w14:paraId="41AA8D3A" w14:textId="77777777" w:rsidR="00736C24" w:rsidRPr="00736C24" w:rsidRDefault="00736C24" w:rsidP="00736C24">
            <w:pPr>
              <w:pStyle w:val="TAR"/>
              <w:rPr>
                <w:sz w:val="16"/>
                <w:szCs w:val="16"/>
              </w:rPr>
            </w:pPr>
          </w:p>
        </w:tc>
        <w:tc>
          <w:tcPr>
            <w:tcW w:w="425" w:type="dxa"/>
            <w:shd w:val="solid" w:color="FFFFFF" w:fill="auto"/>
          </w:tcPr>
          <w:p w14:paraId="46F8B7D9" w14:textId="58BB4290" w:rsidR="00736C24" w:rsidRPr="00736C24" w:rsidRDefault="00736C24" w:rsidP="00736C24">
            <w:pPr>
              <w:pStyle w:val="TAC"/>
              <w:rPr>
                <w:sz w:val="16"/>
                <w:szCs w:val="16"/>
              </w:rPr>
            </w:pPr>
            <w:r w:rsidRPr="00736C24">
              <w:rPr>
                <w:sz w:val="16"/>
                <w:szCs w:val="16"/>
              </w:rPr>
              <w:t>B</w:t>
            </w:r>
          </w:p>
        </w:tc>
        <w:tc>
          <w:tcPr>
            <w:tcW w:w="4962" w:type="dxa"/>
            <w:shd w:val="solid" w:color="FFFFFF" w:fill="auto"/>
          </w:tcPr>
          <w:p w14:paraId="4EB1C823" w14:textId="22F569F4" w:rsidR="00736C24" w:rsidRPr="00736C24" w:rsidRDefault="00736C24" w:rsidP="00736C24">
            <w:pPr>
              <w:pStyle w:val="TAL"/>
              <w:rPr>
                <w:sz w:val="16"/>
                <w:szCs w:val="16"/>
              </w:rPr>
            </w:pPr>
            <w:r w:rsidRPr="00736C24">
              <w:rPr>
                <w:sz w:val="16"/>
                <w:szCs w:val="16"/>
              </w:rPr>
              <w:t>Big CR to TS38.174 for Rel-17 IAB enhancement</w:t>
            </w:r>
          </w:p>
        </w:tc>
        <w:tc>
          <w:tcPr>
            <w:tcW w:w="708" w:type="dxa"/>
            <w:shd w:val="solid" w:color="FFFFFF" w:fill="auto"/>
          </w:tcPr>
          <w:p w14:paraId="1557CB6C" w14:textId="3BEE6EBD" w:rsidR="00736C24" w:rsidRDefault="00736C24" w:rsidP="00736C24">
            <w:pPr>
              <w:pStyle w:val="TAC"/>
              <w:rPr>
                <w:rFonts w:eastAsiaTheme="minorEastAsia"/>
                <w:sz w:val="16"/>
                <w:szCs w:val="16"/>
                <w:lang w:eastAsia="zh-CN"/>
              </w:rPr>
            </w:pPr>
            <w:r>
              <w:rPr>
                <w:rFonts w:eastAsiaTheme="minorEastAsia"/>
                <w:sz w:val="16"/>
                <w:szCs w:val="16"/>
                <w:lang w:eastAsia="zh-CN"/>
              </w:rPr>
              <w:t>17.0.0</w:t>
            </w:r>
          </w:p>
        </w:tc>
      </w:tr>
      <w:tr w:rsidR="00736C24" w:rsidRPr="006B0D02" w14:paraId="5FECE277" w14:textId="77777777" w:rsidTr="0063534F">
        <w:tc>
          <w:tcPr>
            <w:tcW w:w="803" w:type="dxa"/>
            <w:shd w:val="solid" w:color="FFFFFF" w:fill="auto"/>
          </w:tcPr>
          <w:p w14:paraId="0F002C0F" w14:textId="372075E6" w:rsidR="00736C24" w:rsidRDefault="00736C24" w:rsidP="00736C24">
            <w:pPr>
              <w:pStyle w:val="TAC"/>
              <w:rPr>
                <w:sz w:val="16"/>
                <w:szCs w:val="16"/>
              </w:rPr>
            </w:pPr>
            <w:r>
              <w:rPr>
                <w:sz w:val="16"/>
                <w:szCs w:val="16"/>
              </w:rPr>
              <w:t>2022-03</w:t>
            </w:r>
          </w:p>
        </w:tc>
        <w:tc>
          <w:tcPr>
            <w:tcW w:w="859" w:type="dxa"/>
            <w:shd w:val="solid" w:color="FFFFFF" w:fill="auto"/>
          </w:tcPr>
          <w:p w14:paraId="14A6FA04" w14:textId="7357C9ED" w:rsidR="00736C24" w:rsidRDefault="00736C24" w:rsidP="00736C24">
            <w:pPr>
              <w:pStyle w:val="TAC"/>
              <w:rPr>
                <w:sz w:val="16"/>
                <w:szCs w:val="16"/>
              </w:rPr>
            </w:pPr>
            <w:r>
              <w:rPr>
                <w:sz w:val="16"/>
                <w:szCs w:val="16"/>
              </w:rPr>
              <w:t>RAN#95</w:t>
            </w:r>
          </w:p>
        </w:tc>
        <w:tc>
          <w:tcPr>
            <w:tcW w:w="1032" w:type="dxa"/>
            <w:shd w:val="solid" w:color="FFFFFF" w:fill="auto"/>
          </w:tcPr>
          <w:p w14:paraId="64D238A1" w14:textId="206BAF66" w:rsidR="00736C24" w:rsidRPr="00736C24" w:rsidRDefault="00736C24" w:rsidP="00736C24">
            <w:pPr>
              <w:pStyle w:val="TAC"/>
              <w:rPr>
                <w:sz w:val="16"/>
                <w:szCs w:val="16"/>
              </w:rPr>
            </w:pPr>
            <w:r w:rsidRPr="00736C24">
              <w:rPr>
                <w:sz w:val="16"/>
                <w:szCs w:val="16"/>
              </w:rPr>
              <w:t>RP-220334</w:t>
            </w:r>
          </w:p>
        </w:tc>
        <w:tc>
          <w:tcPr>
            <w:tcW w:w="519" w:type="dxa"/>
            <w:shd w:val="solid" w:color="FFFFFF" w:fill="auto"/>
          </w:tcPr>
          <w:p w14:paraId="6FD355C5" w14:textId="202D61F0" w:rsidR="00736C24" w:rsidRPr="00736C24" w:rsidRDefault="00736C24" w:rsidP="00736C24">
            <w:pPr>
              <w:pStyle w:val="TAL"/>
              <w:rPr>
                <w:sz w:val="16"/>
                <w:szCs w:val="16"/>
              </w:rPr>
            </w:pPr>
            <w:r w:rsidRPr="00736C24">
              <w:rPr>
                <w:sz w:val="16"/>
                <w:szCs w:val="16"/>
              </w:rPr>
              <w:t>0026</w:t>
            </w:r>
          </w:p>
        </w:tc>
        <w:tc>
          <w:tcPr>
            <w:tcW w:w="331" w:type="dxa"/>
            <w:shd w:val="solid" w:color="FFFFFF" w:fill="auto"/>
          </w:tcPr>
          <w:p w14:paraId="198E6C3E" w14:textId="77777777" w:rsidR="00736C24" w:rsidRPr="00736C24" w:rsidRDefault="00736C24" w:rsidP="00736C24">
            <w:pPr>
              <w:pStyle w:val="TAR"/>
              <w:rPr>
                <w:sz w:val="16"/>
                <w:szCs w:val="16"/>
              </w:rPr>
            </w:pPr>
          </w:p>
        </w:tc>
        <w:tc>
          <w:tcPr>
            <w:tcW w:w="425" w:type="dxa"/>
            <w:shd w:val="solid" w:color="FFFFFF" w:fill="auto"/>
          </w:tcPr>
          <w:p w14:paraId="07DB3BCD" w14:textId="42A3AD52" w:rsidR="00736C24" w:rsidRPr="00736C24" w:rsidRDefault="00736C24" w:rsidP="00736C24">
            <w:pPr>
              <w:pStyle w:val="TAC"/>
              <w:rPr>
                <w:sz w:val="16"/>
                <w:szCs w:val="16"/>
              </w:rPr>
            </w:pPr>
            <w:r w:rsidRPr="00736C24">
              <w:rPr>
                <w:sz w:val="16"/>
                <w:szCs w:val="16"/>
              </w:rPr>
              <w:t>F</w:t>
            </w:r>
          </w:p>
        </w:tc>
        <w:tc>
          <w:tcPr>
            <w:tcW w:w="4962" w:type="dxa"/>
            <w:shd w:val="solid" w:color="FFFFFF" w:fill="auto"/>
          </w:tcPr>
          <w:p w14:paraId="0091E092" w14:textId="4978AF0F" w:rsidR="00736C24" w:rsidRPr="00736C24" w:rsidRDefault="00736C24" w:rsidP="00736C24">
            <w:pPr>
              <w:pStyle w:val="TAL"/>
              <w:rPr>
                <w:sz w:val="16"/>
                <w:szCs w:val="16"/>
              </w:rPr>
            </w:pPr>
            <w:r w:rsidRPr="00736C24">
              <w:rPr>
                <w:sz w:val="16"/>
                <w:szCs w:val="16"/>
              </w:rPr>
              <w:t>Big CR for TS 38.174 Maintenance (Rel-16, CAT F)</w:t>
            </w:r>
          </w:p>
        </w:tc>
        <w:tc>
          <w:tcPr>
            <w:tcW w:w="708" w:type="dxa"/>
            <w:shd w:val="solid" w:color="FFFFFF" w:fill="auto"/>
          </w:tcPr>
          <w:p w14:paraId="7761043F" w14:textId="16CC39D3" w:rsidR="00736C24" w:rsidRDefault="00736C24" w:rsidP="00736C24">
            <w:pPr>
              <w:pStyle w:val="TAC"/>
              <w:rPr>
                <w:rFonts w:eastAsiaTheme="minorEastAsia"/>
                <w:sz w:val="16"/>
                <w:szCs w:val="16"/>
                <w:lang w:eastAsia="zh-CN"/>
              </w:rPr>
            </w:pPr>
            <w:r>
              <w:rPr>
                <w:rFonts w:eastAsiaTheme="minorEastAsia"/>
                <w:sz w:val="16"/>
                <w:szCs w:val="16"/>
                <w:lang w:eastAsia="zh-CN"/>
              </w:rPr>
              <w:t>16.6.0</w:t>
            </w:r>
          </w:p>
        </w:tc>
      </w:tr>
    </w:tbl>
    <w:p w14:paraId="1EDA4674" w14:textId="57BA680E" w:rsidR="00170917" w:rsidRDefault="00170917" w:rsidP="00C60E58"/>
    <w:p w14:paraId="50BA1E0F" w14:textId="77777777" w:rsidR="00736C24" w:rsidRPr="00716915" w:rsidRDefault="00736C24" w:rsidP="00736C24">
      <w:pPr>
        <w:rPr>
          <w:rFonts w:eastAsia="SimSun"/>
        </w:rPr>
      </w:pPr>
    </w:p>
    <w:tbl>
      <w:tblPr>
        <w:tblW w:w="9645"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4A0" w:firstRow="1" w:lastRow="0" w:firstColumn="1" w:lastColumn="0" w:noHBand="0" w:noVBand="1"/>
      </w:tblPr>
      <w:tblGrid>
        <w:gridCol w:w="801"/>
        <w:gridCol w:w="852"/>
        <w:gridCol w:w="902"/>
        <w:gridCol w:w="567"/>
        <w:gridCol w:w="425"/>
        <w:gridCol w:w="425"/>
        <w:gridCol w:w="4965"/>
        <w:gridCol w:w="708"/>
      </w:tblGrid>
      <w:tr w:rsidR="00736C24" w:rsidRPr="00716915" w14:paraId="5AF76B6A" w14:textId="77777777" w:rsidTr="007533D9">
        <w:trPr>
          <w:cantSplit/>
        </w:trPr>
        <w:tc>
          <w:tcPr>
            <w:tcW w:w="9645" w:type="dxa"/>
            <w:gridSpan w:val="8"/>
            <w:tcBorders>
              <w:top w:val="single" w:sz="6" w:space="0" w:color="auto"/>
              <w:left w:val="single" w:sz="6" w:space="0" w:color="auto"/>
              <w:bottom w:val="nil"/>
              <w:right w:val="single" w:sz="6" w:space="0" w:color="auto"/>
            </w:tcBorders>
            <w:shd w:val="solid" w:color="FFFFFF" w:fill="auto"/>
            <w:hideMark/>
          </w:tcPr>
          <w:p w14:paraId="0F20089F" w14:textId="77777777" w:rsidR="00736C24" w:rsidRPr="00716915" w:rsidRDefault="00736C24" w:rsidP="007533D9">
            <w:pPr>
              <w:keepNext/>
              <w:keepLines/>
              <w:spacing w:after="0"/>
              <w:jc w:val="center"/>
              <w:rPr>
                <w:rFonts w:ascii="Arial" w:eastAsia="SimSun" w:hAnsi="Arial"/>
                <w:b/>
                <w:sz w:val="16"/>
              </w:rPr>
            </w:pPr>
            <w:r w:rsidRPr="00716915">
              <w:rPr>
                <w:rFonts w:ascii="Arial" w:eastAsia="SimSun" w:hAnsi="Arial"/>
                <w:b/>
                <w:sz w:val="18"/>
              </w:rPr>
              <w:lastRenderedPageBreak/>
              <w:t>Change history</w:t>
            </w:r>
          </w:p>
        </w:tc>
      </w:tr>
      <w:tr w:rsidR="00736C24" w:rsidRPr="00716915" w14:paraId="0520D4DF" w14:textId="77777777" w:rsidTr="000A3435">
        <w:tc>
          <w:tcPr>
            <w:tcW w:w="801" w:type="dxa"/>
            <w:tcBorders>
              <w:top w:val="single" w:sz="6" w:space="0" w:color="auto"/>
              <w:left w:val="single" w:sz="6" w:space="0" w:color="auto"/>
              <w:bottom w:val="single" w:sz="6" w:space="0" w:color="auto"/>
              <w:right w:val="single" w:sz="6" w:space="0" w:color="auto"/>
            </w:tcBorders>
            <w:shd w:val="pct10" w:color="auto" w:fill="FFFFFF"/>
            <w:hideMark/>
          </w:tcPr>
          <w:p w14:paraId="60E0AF6D" w14:textId="77777777" w:rsidR="00736C24" w:rsidRPr="00716915" w:rsidRDefault="00736C24" w:rsidP="007533D9">
            <w:pPr>
              <w:keepNext/>
              <w:keepLines/>
              <w:spacing w:after="0"/>
              <w:rPr>
                <w:rFonts w:ascii="Arial" w:eastAsia="SimSun" w:hAnsi="Arial"/>
                <w:b/>
                <w:sz w:val="16"/>
              </w:rPr>
            </w:pPr>
            <w:r w:rsidRPr="00716915">
              <w:rPr>
                <w:rFonts w:ascii="Arial" w:eastAsia="SimSun" w:hAnsi="Arial"/>
                <w:b/>
                <w:sz w:val="16"/>
              </w:rPr>
              <w:t>Date</w:t>
            </w:r>
          </w:p>
        </w:tc>
        <w:tc>
          <w:tcPr>
            <w:tcW w:w="852" w:type="dxa"/>
            <w:tcBorders>
              <w:top w:val="single" w:sz="6" w:space="0" w:color="auto"/>
              <w:left w:val="single" w:sz="6" w:space="0" w:color="auto"/>
              <w:bottom w:val="single" w:sz="6" w:space="0" w:color="auto"/>
              <w:right w:val="single" w:sz="6" w:space="0" w:color="auto"/>
            </w:tcBorders>
            <w:shd w:val="pct10" w:color="auto" w:fill="FFFFFF"/>
            <w:hideMark/>
          </w:tcPr>
          <w:p w14:paraId="26B6D459" w14:textId="77777777" w:rsidR="00736C24" w:rsidRPr="00716915" w:rsidRDefault="00736C24" w:rsidP="007533D9">
            <w:pPr>
              <w:keepNext/>
              <w:keepLines/>
              <w:spacing w:after="0"/>
              <w:rPr>
                <w:rFonts w:ascii="Arial" w:eastAsia="SimSun" w:hAnsi="Arial"/>
                <w:b/>
                <w:sz w:val="16"/>
              </w:rPr>
            </w:pPr>
            <w:r w:rsidRPr="00716915">
              <w:rPr>
                <w:rFonts w:ascii="Arial" w:eastAsia="SimSun" w:hAnsi="Arial"/>
                <w:b/>
                <w:sz w:val="16"/>
              </w:rPr>
              <w:t>Meeting</w:t>
            </w:r>
          </w:p>
        </w:tc>
        <w:tc>
          <w:tcPr>
            <w:tcW w:w="902" w:type="dxa"/>
            <w:tcBorders>
              <w:top w:val="single" w:sz="6" w:space="0" w:color="auto"/>
              <w:left w:val="single" w:sz="6" w:space="0" w:color="auto"/>
              <w:bottom w:val="single" w:sz="6" w:space="0" w:color="auto"/>
              <w:right w:val="single" w:sz="6" w:space="0" w:color="auto"/>
            </w:tcBorders>
            <w:shd w:val="pct10" w:color="auto" w:fill="FFFFFF"/>
            <w:hideMark/>
          </w:tcPr>
          <w:p w14:paraId="4EFD1573" w14:textId="77777777" w:rsidR="00736C24" w:rsidRPr="00716915" w:rsidRDefault="00736C24" w:rsidP="007533D9">
            <w:pPr>
              <w:keepNext/>
              <w:keepLines/>
              <w:spacing w:after="0"/>
              <w:rPr>
                <w:rFonts w:ascii="Arial" w:eastAsia="SimSun" w:hAnsi="Arial"/>
                <w:b/>
                <w:sz w:val="16"/>
              </w:rPr>
            </w:pPr>
            <w:r w:rsidRPr="00716915">
              <w:rPr>
                <w:rFonts w:ascii="Arial" w:eastAsia="SimSun" w:hAnsi="Arial"/>
                <w:b/>
                <w:sz w:val="16"/>
              </w:rPr>
              <w:t>TDoc</w:t>
            </w:r>
          </w:p>
        </w:tc>
        <w:tc>
          <w:tcPr>
            <w:tcW w:w="567" w:type="dxa"/>
            <w:tcBorders>
              <w:top w:val="single" w:sz="6" w:space="0" w:color="auto"/>
              <w:left w:val="single" w:sz="6" w:space="0" w:color="auto"/>
              <w:bottom w:val="single" w:sz="6" w:space="0" w:color="auto"/>
              <w:right w:val="single" w:sz="6" w:space="0" w:color="auto"/>
            </w:tcBorders>
            <w:shd w:val="pct10" w:color="auto" w:fill="FFFFFF"/>
            <w:hideMark/>
          </w:tcPr>
          <w:p w14:paraId="5E2CC2AE" w14:textId="77777777" w:rsidR="00736C24" w:rsidRPr="00716915" w:rsidRDefault="00736C24" w:rsidP="007533D9">
            <w:pPr>
              <w:keepNext/>
              <w:keepLines/>
              <w:spacing w:after="0"/>
              <w:rPr>
                <w:rFonts w:ascii="Arial" w:eastAsia="SimSun" w:hAnsi="Arial"/>
                <w:b/>
                <w:sz w:val="16"/>
              </w:rPr>
            </w:pPr>
            <w:r w:rsidRPr="00716915">
              <w:rPr>
                <w:rFonts w:ascii="Arial" w:eastAsia="SimSun" w:hAnsi="Arial"/>
                <w:b/>
                <w:sz w:val="16"/>
              </w:rPr>
              <w:t>CR</w:t>
            </w:r>
          </w:p>
        </w:tc>
        <w:tc>
          <w:tcPr>
            <w:tcW w:w="425" w:type="dxa"/>
            <w:tcBorders>
              <w:top w:val="single" w:sz="6" w:space="0" w:color="auto"/>
              <w:left w:val="single" w:sz="6" w:space="0" w:color="auto"/>
              <w:bottom w:val="single" w:sz="6" w:space="0" w:color="auto"/>
              <w:right w:val="single" w:sz="6" w:space="0" w:color="auto"/>
            </w:tcBorders>
            <w:shd w:val="pct10" w:color="auto" w:fill="FFFFFF"/>
            <w:hideMark/>
          </w:tcPr>
          <w:p w14:paraId="7635683F" w14:textId="77777777" w:rsidR="00736C24" w:rsidRPr="00716915" w:rsidRDefault="00736C24" w:rsidP="007533D9">
            <w:pPr>
              <w:keepNext/>
              <w:keepLines/>
              <w:spacing w:after="0"/>
              <w:rPr>
                <w:rFonts w:ascii="Arial" w:eastAsia="SimSun" w:hAnsi="Arial"/>
                <w:b/>
                <w:sz w:val="16"/>
              </w:rPr>
            </w:pPr>
            <w:r w:rsidRPr="00716915">
              <w:rPr>
                <w:rFonts w:ascii="Arial" w:eastAsia="SimSun" w:hAnsi="Arial"/>
                <w:b/>
                <w:sz w:val="16"/>
              </w:rPr>
              <w:t>Rev</w:t>
            </w:r>
          </w:p>
        </w:tc>
        <w:tc>
          <w:tcPr>
            <w:tcW w:w="425" w:type="dxa"/>
            <w:tcBorders>
              <w:top w:val="single" w:sz="6" w:space="0" w:color="auto"/>
              <w:left w:val="single" w:sz="6" w:space="0" w:color="auto"/>
              <w:bottom w:val="single" w:sz="6" w:space="0" w:color="auto"/>
              <w:right w:val="single" w:sz="6" w:space="0" w:color="auto"/>
            </w:tcBorders>
            <w:shd w:val="pct10" w:color="auto" w:fill="FFFFFF"/>
            <w:hideMark/>
          </w:tcPr>
          <w:p w14:paraId="79ED2D52" w14:textId="77777777" w:rsidR="00736C24" w:rsidRPr="00716915" w:rsidRDefault="00736C24" w:rsidP="007533D9">
            <w:pPr>
              <w:keepNext/>
              <w:keepLines/>
              <w:spacing w:after="0"/>
              <w:rPr>
                <w:rFonts w:ascii="Arial" w:eastAsia="SimSun" w:hAnsi="Arial"/>
                <w:b/>
                <w:sz w:val="16"/>
              </w:rPr>
            </w:pPr>
            <w:r w:rsidRPr="00716915">
              <w:rPr>
                <w:rFonts w:ascii="Arial" w:eastAsia="SimSun" w:hAnsi="Arial"/>
                <w:b/>
                <w:sz w:val="16"/>
              </w:rPr>
              <w:t>Cat</w:t>
            </w:r>
          </w:p>
        </w:tc>
        <w:tc>
          <w:tcPr>
            <w:tcW w:w="4965" w:type="dxa"/>
            <w:tcBorders>
              <w:top w:val="single" w:sz="6" w:space="0" w:color="auto"/>
              <w:left w:val="single" w:sz="6" w:space="0" w:color="auto"/>
              <w:bottom w:val="single" w:sz="6" w:space="0" w:color="auto"/>
              <w:right w:val="single" w:sz="6" w:space="0" w:color="auto"/>
            </w:tcBorders>
            <w:shd w:val="pct10" w:color="auto" w:fill="FFFFFF"/>
            <w:hideMark/>
          </w:tcPr>
          <w:p w14:paraId="1AF0AD7C" w14:textId="77777777" w:rsidR="00736C24" w:rsidRPr="00716915" w:rsidRDefault="00736C24" w:rsidP="007533D9">
            <w:pPr>
              <w:keepNext/>
              <w:keepLines/>
              <w:spacing w:after="0"/>
              <w:rPr>
                <w:rFonts w:ascii="Arial" w:eastAsia="SimSun" w:hAnsi="Arial"/>
                <w:b/>
                <w:sz w:val="16"/>
              </w:rPr>
            </w:pPr>
            <w:r w:rsidRPr="00716915">
              <w:rPr>
                <w:rFonts w:ascii="Arial" w:eastAsia="SimSun" w:hAnsi="Arial"/>
                <w:b/>
                <w:sz w:val="16"/>
              </w:rPr>
              <w:t>Subject/Comment</w:t>
            </w:r>
          </w:p>
        </w:tc>
        <w:tc>
          <w:tcPr>
            <w:tcW w:w="708" w:type="dxa"/>
            <w:tcBorders>
              <w:top w:val="single" w:sz="6" w:space="0" w:color="auto"/>
              <w:left w:val="single" w:sz="6" w:space="0" w:color="auto"/>
              <w:bottom w:val="single" w:sz="6" w:space="0" w:color="auto"/>
              <w:right w:val="single" w:sz="6" w:space="0" w:color="auto"/>
            </w:tcBorders>
            <w:shd w:val="pct10" w:color="auto" w:fill="FFFFFF"/>
            <w:hideMark/>
          </w:tcPr>
          <w:p w14:paraId="1E3C29EB" w14:textId="77777777" w:rsidR="00736C24" w:rsidRPr="00716915" w:rsidRDefault="00736C24" w:rsidP="007533D9">
            <w:pPr>
              <w:keepNext/>
              <w:keepLines/>
              <w:spacing w:after="0"/>
              <w:rPr>
                <w:rFonts w:ascii="Arial" w:eastAsia="SimSun" w:hAnsi="Arial"/>
                <w:b/>
                <w:sz w:val="16"/>
              </w:rPr>
            </w:pPr>
            <w:r w:rsidRPr="00716915">
              <w:rPr>
                <w:rFonts w:ascii="Arial" w:eastAsia="SimSun" w:hAnsi="Arial"/>
                <w:b/>
                <w:sz w:val="16"/>
              </w:rPr>
              <w:t>New version</w:t>
            </w:r>
          </w:p>
        </w:tc>
      </w:tr>
      <w:tr w:rsidR="00736C24" w:rsidRPr="00716915" w14:paraId="3FB9EC2B" w14:textId="77777777" w:rsidTr="000A3435">
        <w:tc>
          <w:tcPr>
            <w:tcW w:w="801" w:type="dxa"/>
            <w:tcBorders>
              <w:top w:val="single" w:sz="6" w:space="0" w:color="auto"/>
              <w:left w:val="single" w:sz="6" w:space="0" w:color="auto"/>
              <w:bottom w:val="single" w:sz="6" w:space="0" w:color="auto"/>
              <w:right w:val="single" w:sz="6" w:space="0" w:color="auto"/>
            </w:tcBorders>
            <w:shd w:val="solid" w:color="FFFFFF" w:fill="auto"/>
            <w:hideMark/>
          </w:tcPr>
          <w:p w14:paraId="579320D7" w14:textId="77777777" w:rsidR="00736C24" w:rsidRPr="00716915" w:rsidRDefault="00736C24" w:rsidP="007533D9">
            <w:pPr>
              <w:keepNext/>
              <w:keepLines/>
              <w:spacing w:after="0"/>
              <w:jc w:val="center"/>
              <w:rPr>
                <w:rFonts w:ascii="Arial" w:eastAsia="SimSun" w:hAnsi="Arial"/>
                <w:sz w:val="16"/>
                <w:szCs w:val="16"/>
                <w:lang w:val="en-US" w:eastAsia="ja-JP"/>
              </w:rPr>
            </w:pPr>
            <w:r w:rsidRPr="00716915">
              <w:rPr>
                <w:rFonts w:ascii="Arial" w:eastAsia="SimSun" w:hAnsi="Arial"/>
                <w:sz w:val="16"/>
                <w:szCs w:val="16"/>
              </w:rPr>
              <w:t>2022-03</w:t>
            </w:r>
          </w:p>
        </w:tc>
        <w:tc>
          <w:tcPr>
            <w:tcW w:w="852" w:type="dxa"/>
            <w:tcBorders>
              <w:top w:val="single" w:sz="6" w:space="0" w:color="auto"/>
              <w:left w:val="single" w:sz="6" w:space="0" w:color="auto"/>
              <w:bottom w:val="single" w:sz="6" w:space="0" w:color="auto"/>
              <w:right w:val="single" w:sz="6" w:space="0" w:color="auto"/>
            </w:tcBorders>
            <w:shd w:val="solid" w:color="FFFFFF" w:fill="auto"/>
            <w:hideMark/>
          </w:tcPr>
          <w:p w14:paraId="425FA9ED" w14:textId="77777777" w:rsidR="00736C24" w:rsidRPr="00716915" w:rsidRDefault="00736C24" w:rsidP="007533D9">
            <w:pPr>
              <w:keepNext/>
              <w:keepLines/>
              <w:spacing w:after="0"/>
              <w:jc w:val="center"/>
              <w:rPr>
                <w:rFonts w:ascii="Arial" w:eastAsia="SimSun" w:hAnsi="Arial"/>
                <w:sz w:val="16"/>
                <w:szCs w:val="16"/>
                <w:lang w:eastAsia="ja-JP"/>
              </w:rPr>
            </w:pPr>
            <w:r w:rsidRPr="00716915">
              <w:rPr>
                <w:rFonts w:ascii="Arial" w:eastAsia="SimSun" w:hAnsi="Arial"/>
                <w:sz w:val="16"/>
                <w:szCs w:val="16"/>
              </w:rPr>
              <w:t>RAN#95</w:t>
            </w:r>
          </w:p>
        </w:tc>
        <w:tc>
          <w:tcPr>
            <w:tcW w:w="902" w:type="dxa"/>
            <w:tcBorders>
              <w:top w:val="single" w:sz="6" w:space="0" w:color="auto"/>
              <w:left w:val="single" w:sz="6" w:space="0" w:color="auto"/>
              <w:bottom w:val="single" w:sz="6" w:space="0" w:color="auto"/>
              <w:right w:val="single" w:sz="6" w:space="0" w:color="auto"/>
            </w:tcBorders>
            <w:shd w:val="solid" w:color="FFFFFF" w:fill="auto"/>
          </w:tcPr>
          <w:p w14:paraId="6B06D06C" w14:textId="77777777" w:rsidR="00736C24" w:rsidRPr="00716915" w:rsidRDefault="00736C24" w:rsidP="007533D9">
            <w:pPr>
              <w:keepNext/>
              <w:keepLines/>
              <w:spacing w:after="0"/>
              <w:jc w:val="center"/>
              <w:rPr>
                <w:rFonts w:ascii="Arial" w:eastAsia="SimSun" w:hAnsi="Arial" w:cs="Arial"/>
                <w:sz w:val="16"/>
                <w:szCs w:val="16"/>
                <w:lang w:eastAsia="ja-JP"/>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76AB94" w14:textId="77777777" w:rsidR="00736C24" w:rsidRPr="00716915" w:rsidRDefault="00736C24" w:rsidP="007533D9">
            <w:pPr>
              <w:keepNext/>
              <w:keepLines/>
              <w:spacing w:after="0"/>
              <w:rPr>
                <w:rFonts w:ascii="Arial" w:eastAsia="SimSun" w:hAnsi="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A13FC9" w14:textId="77777777" w:rsidR="00736C24" w:rsidRPr="00716915" w:rsidRDefault="00736C24" w:rsidP="007533D9">
            <w:pPr>
              <w:keepNext/>
              <w:keepLines/>
              <w:spacing w:after="0"/>
              <w:jc w:val="center"/>
              <w:rPr>
                <w:rFonts w:ascii="Arial" w:eastAsia="SimSun" w:hAnsi="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18AE99" w14:textId="77777777" w:rsidR="00736C24" w:rsidRPr="00716915" w:rsidRDefault="00736C24" w:rsidP="007533D9">
            <w:pPr>
              <w:keepNext/>
              <w:keepLines/>
              <w:spacing w:after="0"/>
              <w:jc w:val="center"/>
              <w:rPr>
                <w:rFonts w:ascii="Arial" w:eastAsia="SimSun" w:hAnsi="Arial"/>
                <w:sz w:val="16"/>
                <w:szCs w:val="16"/>
              </w:rPr>
            </w:pPr>
          </w:p>
        </w:tc>
        <w:tc>
          <w:tcPr>
            <w:tcW w:w="4965" w:type="dxa"/>
            <w:tcBorders>
              <w:top w:val="single" w:sz="6" w:space="0" w:color="auto"/>
              <w:left w:val="single" w:sz="6" w:space="0" w:color="auto"/>
              <w:bottom w:val="single" w:sz="6" w:space="0" w:color="auto"/>
              <w:right w:val="single" w:sz="6" w:space="0" w:color="auto"/>
            </w:tcBorders>
            <w:shd w:val="solid" w:color="FFFFFF" w:fill="auto"/>
            <w:hideMark/>
          </w:tcPr>
          <w:p w14:paraId="14EF26B6" w14:textId="77777777" w:rsidR="00736C24" w:rsidRPr="00716915" w:rsidRDefault="00736C24" w:rsidP="007533D9">
            <w:pPr>
              <w:keepNext/>
              <w:keepLines/>
              <w:spacing w:after="0"/>
              <w:rPr>
                <w:rFonts w:ascii="Arial" w:eastAsia="SimSun" w:hAnsi="Arial"/>
                <w:sz w:val="16"/>
                <w:szCs w:val="16"/>
                <w:lang w:eastAsia="zh-CN"/>
              </w:rPr>
            </w:pPr>
            <w:r w:rsidRPr="00716915">
              <w:rPr>
                <w:rFonts w:ascii="Arial" w:eastAsia="SimSun" w:hAnsi="Arial"/>
                <w:sz w:val="16"/>
                <w:szCs w:val="16"/>
                <w:lang w:eastAsia="zh-CN"/>
              </w:rPr>
              <w:t xml:space="preserve">Approved by plenary – Rel-17 </w:t>
            </w:r>
            <w:r w:rsidRPr="00716915">
              <w:rPr>
                <w:rFonts w:ascii="Arial" w:eastAsia="SimSun" w:hAnsi="Arial"/>
                <w:sz w:val="16"/>
                <w:szCs w:val="16"/>
                <w:lang w:val="en-US" w:eastAsia="zh-CN"/>
              </w:rPr>
              <w:t xml:space="preserve">spec </w:t>
            </w:r>
            <w:r w:rsidRPr="00716915">
              <w:rPr>
                <w:rFonts w:ascii="Arial" w:eastAsia="SimSun" w:hAnsi="Arial"/>
                <w:sz w:val="16"/>
                <w:szCs w:val="16"/>
                <w:lang w:eastAsia="zh-CN"/>
              </w:rPr>
              <w:t>under change control</w:t>
            </w:r>
          </w:p>
        </w:tc>
        <w:tc>
          <w:tcPr>
            <w:tcW w:w="708" w:type="dxa"/>
            <w:tcBorders>
              <w:top w:val="single" w:sz="6" w:space="0" w:color="auto"/>
              <w:left w:val="single" w:sz="6" w:space="0" w:color="auto"/>
              <w:bottom w:val="single" w:sz="6" w:space="0" w:color="auto"/>
              <w:right w:val="single" w:sz="6" w:space="0" w:color="auto"/>
            </w:tcBorders>
            <w:shd w:val="solid" w:color="FFFFFF" w:fill="auto"/>
            <w:hideMark/>
          </w:tcPr>
          <w:p w14:paraId="35ACC2CC" w14:textId="77777777" w:rsidR="00736C24" w:rsidRPr="00716915" w:rsidRDefault="00736C24" w:rsidP="007533D9">
            <w:pPr>
              <w:keepNext/>
              <w:keepLines/>
              <w:spacing w:after="0"/>
              <w:jc w:val="center"/>
              <w:rPr>
                <w:rFonts w:ascii="Arial" w:eastAsia="SimSun" w:hAnsi="Arial"/>
                <w:sz w:val="16"/>
                <w:szCs w:val="16"/>
                <w:lang w:eastAsia="zh-CN"/>
              </w:rPr>
            </w:pPr>
            <w:r w:rsidRPr="00716915">
              <w:rPr>
                <w:rFonts w:ascii="Arial" w:eastAsia="SimSun" w:hAnsi="Arial"/>
                <w:sz w:val="16"/>
                <w:szCs w:val="16"/>
                <w:lang w:eastAsia="zh-CN"/>
              </w:rPr>
              <w:t>17.0.0</w:t>
            </w:r>
          </w:p>
        </w:tc>
      </w:tr>
      <w:tr w:rsidR="00B06527" w:rsidRPr="00716915" w14:paraId="77D0EBCA" w14:textId="77777777" w:rsidTr="000A3435">
        <w:tc>
          <w:tcPr>
            <w:tcW w:w="801" w:type="dxa"/>
            <w:tcBorders>
              <w:top w:val="single" w:sz="6" w:space="0" w:color="auto"/>
              <w:left w:val="single" w:sz="6" w:space="0" w:color="auto"/>
              <w:bottom w:val="single" w:sz="6" w:space="0" w:color="auto"/>
              <w:right w:val="single" w:sz="6" w:space="0" w:color="auto"/>
            </w:tcBorders>
            <w:shd w:val="solid" w:color="FFFFFF" w:fill="auto"/>
          </w:tcPr>
          <w:p w14:paraId="3771513D" w14:textId="42CA85B7" w:rsidR="00B06527" w:rsidRPr="00716915" w:rsidRDefault="00B06527" w:rsidP="00B06527">
            <w:pPr>
              <w:keepNext/>
              <w:keepLines/>
              <w:spacing w:after="0"/>
              <w:jc w:val="center"/>
              <w:rPr>
                <w:rFonts w:ascii="Arial" w:eastAsia="SimSun" w:hAnsi="Arial"/>
                <w:sz w:val="16"/>
                <w:szCs w:val="16"/>
              </w:rPr>
            </w:pPr>
            <w:r>
              <w:rPr>
                <w:rFonts w:ascii="Arial" w:eastAsia="SimSun" w:hAnsi="Arial"/>
                <w:sz w:val="16"/>
                <w:szCs w:val="16"/>
              </w:rPr>
              <w:t>2022-06</w:t>
            </w:r>
          </w:p>
        </w:tc>
        <w:tc>
          <w:tcPr>
            <w:tcW w:w="852" w:type="dxa"/>
            <w:tcBorders>
              <w:top w:val="single" w:sz="6" w:space="0" w:color="auto"/>
              <w:left w:val="single" w:sz="6" w:space="0" w:color="auto"/>
              <w:bottom w:val="single" w:sz="6" w:space="0" w:color="auto"/>
              <w:right w:val="single" w:sz="6" w:space="0" w:color="auto"/>
            </w:tcBorders>
            <w:shd w:val="solid" w:color="FFFFFF" w:fill="auto"/>
          </w:tcPr>
          <w:p w14:paraId="11466D8D" w14:textId="111A1C57" w:rsidR="00B06527" w:rsidRPr="00716915" w:rsidRDefault="00B06527" w:rsidP="00B06527">
            <w:pPr>
              <w:keepNext/>
              <w:keepLines/>
              <w:spacing w:after="0"/>
              <w:jc w:val="center"/>
              <w:rPr>
                <w:rFonts w:ascii="Arial" w:eastAsia="SimSun" w:hAnsi="Arial"/>
                <w:sz w:val="16"/>
                <w:szCs w:val="16"/>
              </w:rPr>
            </w:pPr>
            <w:r>
              <w:rPr>
                <w:rFonts w:ascii="Arial" w:eastAsia="SimSun" w:hAnsi="Arial"/>
                <w:sz w:val="16"/>
                <w:szCs w:val="16"/>
              </w:rPr>
              <w:t>RAN#96</w:t>
            </w:r>
          </w:p>
        </w:tc>
        <w:tc>
          <w:tcPr>
            <w:tcW w:w="902" w:type="dxa"/>
            <w:tcBorders>
              <w:top w:val="single" w:sz="6" w:space="0" w:color="auto"/>
              <w:left w:val="single" w:sz="6" w:space="0" w:color="auto"/>
              <w:bottom w:val="single" w:sz="6" w:space="0" w:color="auto"/>
              <w:right w:val="single" w:sz="6" w:space="0" w:color="auto"/>
            </w:tcBorders>
            <w:shd w:val="solid" w:color="FFFFFF" w:fill="auto"/>
          </w:tcPr>
          <w:p w14:paraId="55E56C46" w14:textId="1E44810B" w:rsidR="00B06527" w:rsidRPr="00B06527" w:rsidRDefault="00B06527" w:rsidP="00B06527">
            <w:pPr>
              <w:pStyle w:val="TAC"/>
              <w:rPr>
                <w:rFonts w:eastAsia="SimSun" w:cs="Arial"/>
                <w:sz w:val="16"/>
                <w:szCs w:val="16"/>
                <w:lang w:eastAsia="ja-JP"/>
              </w:rPr>
            </w:pPr>
            <w:r w:rsidRPr="00B06527">
              <w:rPr>
                <w:sz w:val="16"/>
                <w:szCs w:val="16"/>
              </w:rPr>
              <w:t>RP-221673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77A028" w14:textId="1B1591F0" w:rsidR="00B06527" w:rsidRPr="00B06527" w:rsidRDefault="00B06527" w:rsidP="00B06527">
            <w:pPr>
              <w:pStyle w:val="TAC"/>
              <w:rPr>
                <w:rFonts w:eastAsia="SimSun"/>
                <w:sz w:val="16"/>
                <w:szCs w:val="16"/>
              </w:rPr>
            </w:pPr>
            <w:r w:rsidRPr="00B06527">
              <w:rPr>
                <w:sz w:val="16"/>
                <w:szCs w:val="16"/>
              </w:rPr>
              <w:t>0027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147F97E" w14:textId="77777777" w:rsidR="00B06527" w:rsidRPr="00B06527" w:rsidRDefault="00B06527" w:rsidP="00B06527">
            <w:pPr>
              <w:pStyle w:val="TAC"/>
              <w:rPr>
                <w:rFonts w:eastAsia="SimSun"/>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3B443E" w14:textId="59B57CBE" w:rsidR="00B06527" w:rsidRPr="00B06527" w:rsidRDefault="00B06527" w:rsidP="00B06527">
            <w:pPr>
              <w:pStyle w:val="TAC"/>
              <w:rPr>
                <w:rFonts w:eastAsia="SimSun"/>
                <w:sz w:val="16"/>
                <w:szCs w:val="16"/>
              </w:rPr>
            </w:pPr>
            <w:r w:rsidRPr="00B06527">
              <w:rPr>
                <w:rFonts w:eastAsia="SimSun"/>
                <w:sz w:val="16"/>
                <w:szCs w:val="16"/>
              </w:rPr>
              <w:t>B</w:t>
            </w:r>
          </w:p>
        </w:tc>
        <w:tc>
          <w:tcPr>
            <w:tcW w:w="4965" w:type="dxa"/>
            <w:tcBorders>
              <w:top w:val="single" w:sz="6" w:space="0" w:color="auto"/>
              <w:left w:val="single" w:sz="6" w:space="0" w:color="auto"/>
              <w:bottom w:val="single" w:sz="6" w:space="0" w:color="auto"/>
              <w:right w:val="single" w:sz="6" w:space="0" w:color="auto"/>
            </w:tcBorders>
            <w:shd w:val="solid" w:color="FFFFFF" w:fill="auto"/>
          </w:tcPr>
          <w:p w14:paraId="69B5E6D2" w14:textId="406BA296" w:rsidR="00B06527" w:rsidRPr="00B06527" w:rsidRDefault="00B06527" w:rsidP="00B06527">
            <w:pPr>
              <w:pStyle w:val="TAL"/>
              <w:rPr>
                <w:rFonts w:eastAsia="SimSun"/>
                <w:lang w:eastAsia="zh-CN"/>
              </w:rPr>
            </w:pPr>
            <w:r w:rsidRPr="00B06527">
              <w:t>Introducing 6GHz licensed operation into 38.174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650080" w14:textId="326945F7" w:rsidR="00B06527" w:rsidRPr="00716915" w:rsidRDefault="00B06527" w:rsidP="00B06527">
            <w:pPr>
              <w:keepNext/>
              <w:keepLines/>
              <w:spacing w:after="0"/>
              <w:jc w:val="center"/>
              <w:rPr>
                <w:rFonts w:ascii="Arial" w:eastAsia="SimSun" w:hAnsi="Arial"/>
                <w:sz w:val="16"/>
                <w:szCs w:val="16"/>
                <w:lang w:eastAsia="zh-CN"/>
              </w:rPr>
            </w:pPr>
            <w:r>
              <w:rPr>
                <w:rFonts w:ascii="Arial" w:eastAsia="SimSun" w:hAnsi="Arial"/>
                <w:sz w:val="16"/>
                <w:szCs w:val="16"/>
                <w:lang w:eastAsia="zh-CN"/>
              </w:rPr>
              <w:t>17.1.0</w:t>
            </w:r>
          </w:p>
        </w:tc>
      </w:tr>
      <w:tr w:rsidR="00B06527" w:rsidRPr="00716915" w14:paraId="06DAAE56" w14:textId="77777777" w:rsidTr="000A3435">
        <w:tc>
          <w:tcPr>
            <w:tcW w:w="801" w:type="dxa"/>
            <w:tcBorders>
              <w:top w:val="single" w:sz="6" w:space="0" w:color="auto"/>
              <w:left w:val="single" w:sz="6" w:space="0" w:color="auto"/>
              <w:bottom w:val="single" w:sz="6" w:space="0" w:color="auto"/>
              <w:right w:val="single" w:sz="6" w:space="0" w:color="auto"/>
            </w:tcBorders>
            <w:shd w:val="solid" w:color="FFFFFF" w:fill="auto"/>
          </w:tcPr>
          <w:p w14:paraId="610A9706" w14:textId="1EE8364B" w:rsidR="00B06527" w:rsidRPr="00716915" w:rsidRDefault="00B06527" w:rsidP="00B06527">
            <w:pPr>
              <w:keepNext/>
              <w:keepLines/>
              <w:spacing w:after="0"/>
              <w:jc w:val="center"/>
              <w:rPr>
                <w:rFonts w:ascii="Arial" w:eastAsia="SimSun" w:hAnsi="Arial"/>
                <w:sz w:val="16"/>
                <w:szCs w:val="16"/>
              </w:rPr>
            </w:pPr>
            <w:r>
              <w:rPr>
                <w:rFonts w:ascii="Arial" w:eastAsia="SimSun" w:hAnsi="Arial"/>
                <w:sz w:val="16"/>
                <w:szCs w:val="16"/>
              </w:rPr>
              <w:t>2022-06</w:t>
            </w:r>
          </w:p>
        </w:tc>
        <w:tc>
          <w:tcPr>
            <w:tcW w:w="852" w:type="dxa"/>
            <w:tcBorders>
              <w:top w:val="single" w:sz="6" w:space="0" w:color="auto"/>
              <w:left w:val="single" w:sz="6" w:space="0" w:color="auto"/>
              <w:bottom w:val="single" w:sz="6" w:space="0" w:color="auto"/>
              <w:right w:val="single" w:sz="6" w:space="0" w:color="auto"/>
            </w:tcBorders>
            <w:shd w:val="solid" w:color="FFFFFF" w:fill="auto"/>
          </w:tcPr>
          <w:p w14:paraId="6E50BD7C" w14:textId="4DB4A158" w:rsidR="00B06527" w:rsidRPr="00716915" w:rsidRDefault="00B06527" w:rsidP="00B06527">
            <w:pPr>
              <w:keepNext/>
              <w:keepLines/>
              <w:spacing w:after="0"/>
              <w:jc w:val="center"/>
              <w:rPr>
                <w:rFonts w:ascii="Arial" w:eastAsia="SimSun" w:hAnsi="Arial"/>
                <w:sz w:val="16"/>
                <w:szCs w:val="16"/>
              </w:rPr>
            </w:pPr>
            <w:r>
              <w:rPr>
                <w:rFonts w:ascii="Arial" w:eastAsia="SimSun" w:hAnsi="Arial"/>
                <w:sz w:val="16"/>
                <w:szCs w:val="16"/>
              </w:rPr>
              <w:t>RAN#96</w:t>
            </w:r>
          </w:p>
        </w:tc>
        <w:tc>
          <w:tcPr>
            <w:tcW w:w="902" w:type="dxa"/>
            <w:tcBorders>
              <w:top w:val="single" w:sz="6" w:space="0" w:color="auto"/>
              <w:left w:val="single" w:sz="6" w:space="0" w:color="auto"/>
              <w:bottom w:val="single" w:sz="6" w:space="0" w:color="auto"/>
              <w:right w:val="single" w:sz="6" w:space="0" w:color="auto"/>
            </w:tcBorders>
            <w:shd w:val="solid" w:color="FFFFFF" w:fill="auto"/>
          </w:tcPr>
          <w:p w14:paraId="2A822500" w14:textId="4517478E" w:rsidR="00B06527" w:rsidRPr="00B06527" w:rsidRDefault="00B06527" w:rsidP="00B06527">
            <w:pPr>
              <w:pStyle w:val="TAC"/>
              <w:rPr>
                <w:rFonts w:eastAsia="SimSun" w:cs="Arial"/>
                <w:sz w:val="16"/>
                <w:szCs w:val="16"/>
                <w:lang w:eastAsia="ja-JP"/>
              </w:rPr>
            </w:pPr>
            <w:r w:rsidRPr="00B06527">
              <w:rPr>
                <w:sz w:val="16"/>
                <w:szCs w:val="16"/>
              </w:rPr>
              <w:t>RP-221665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D23AA7" w14:textId="258C6E25" w:rsidR="00B06527" w:rsidRPr="00B06527" w:rsidRDefault="00B06527" w:rsidP="00B06527">
            <w:pPr>
              <w:pStyle w:val="TAC"/>
              <w:rPr>
                <w:rFonts w:eastAsia="SimSun"/>
                <w:sz w:val="16"/>
                <w:szCs w:val="16"/>
              </w:rPr>
            </w:pPr>
            <w:r w:rsidRPr="00B06527">
              <w:rPr>
                <w:sz w:val="16"/>
                <w:szCs w:val="16"/>
              </w:rPr>
              <w:t>0033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2107B6" w14:textId="176A3FA2" w:rsidR="00B06527" w:rsidRPr="00B06527" w:rsidRDefault="00B06527" w:rsidP="00B06527">
            <w:pPr>
              <w:pStyle w:val="TAC"/>
              <w:rPr>
                <w:rFonts w:eastAsia="SimSun"/>
                <w:sz w:val="16"/>
                <w:szCs w:val="16"/>
              </w:rPr>
            </w:pPr>
            <w:r w:rsidRPr="00B06527">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31B24D" w14:textId="0D5464C3" w:rsidR="00B06527" w:rsidRPr="00B06527" w:rsidRDefault="00B06527" w:rsidP="00B06527">
            <w:pPr>
              <w:pStyle w:val="TAC"/>
              <w:rPr>
                <w:rFonts w:eastAsia="SimSun"/>
                <w:sz w:val="16"/>
                <w:szCs w:val="16"/>
              </w:rPr>
            </w:pPr>
            <w:r w:rsidRPr="00B06527">
              <w:rPr>
                <w:rFonts w:eastAsia="SimSun"/>
                <w:sz w:val="16"/>
                <w:szCs w:val="16"/>
              </w:rPr>
              <w:t>F</w:t>
            </w:r>
          </w:p>
        </w:tc>
        <w:tc>
          <w:tcPr>
            <w:tcW w:w="4965" w:type="dxa"/>
            <w:tcBorders>
              <w:top w:val="single" w:sz="6" w:space="0" w:color="auto"/>
              <w:left w:val="single" w:sz="6" w:space="0" w:color="auto"/>
              <w:bottom w:val="single" w:sz="6" w:space="0" w:color="auto"/>
              <w:right w:val="single" w:sz="6" w:space="0" w:color="auto"/>
            </w:tcBorders>
            <w:shd w:val="solid" w:color="FFFFFF" w:fill="auto"/>
          </w:tcPr>
          <w:p w14:paraId="7091FE00" w14:textId="7C492197" w:rsidR="00B06527" w:rsidRPr="00B06527" w:rsidRDefault="00B06527" w:rsidP="00B06527">
            <w:pPr>
              <w:pStyle w:val="TAL"/>
              <w:rPr>
                <w:rFonts w:eastAsia="SimSun"/>
                <w:lang w:eastAsia="zh-CN"/>
              </w:rPr>
            </w:pPr>
            <w:r w:rsidRPr="00B06527">
              <w:t>Big CR for TS 38.174 Maintenance (Rel-17, CAT F)</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CA3186" w14:textId="5EF699B4" w:rsidR="00B06527" w:rsidRPr="00716915" w:rsidRDefault="00B06527" w:rsidP="00B06527">
            <w:pPr>
              <w:keepNext/>
              <w:keepLines/>
              <w:spacing w:after="0"/>
              <w:jc w:val="center"/>
              <w:rPr>
                <w:rFonts w:ascii="Arial" w:eastAsia="SimSun" w:hAnsi="Arial"/>
                <w:sz w:val="16"/>
                <w:szCs w:val="16"/>
                <w:lang w:eastAsia="zh-CN"/>
              </w:rPr>
            </w:pPr>
            <w:r>
              <w:rPr>
                <w:rFonts w:ascii="Arial" w:eastAsia="SimSun" w:hAnsi="Arial"/>
                <w:sz w:val="16"/>
                <w:szCs w:val="16"/>
                <w:lang w:eastAsia="zh-CN"/>
              </w:rPr>
              <w:t>17.1.0</w:t>
            </w:r>
          </w:p>
        </w:tc>
      </w:tr>
      <w:tr w:rsidR="00B06527" w:rsidRPr="00716915" w14:paraId="6F83B25C" w14:textId="77777777" w:rsidTr="000A3435">
        <w:tc>
          <w:tcPr>
            <w:tcW w:w="801" w:type="dxa"/>
            <w:tcBorders>
              <w:top w:val="single" w:sz="6" w:space="0" w:color="auto"/>
              <w:left w:val="single" w:sz="6" w:space="0" w:color="auto"/>
              <w:bottom w:val="single" w:sz="6" w:space="0" w:color="auto"/>
              <w:right w:val="single" w:sz="6" w:space="0" w:color="auto"/>
            </w:tcBorders>
            <w:shd w:val="solid" w:color="FFFFFF" w:fill="auto"/>
          </w:tcPr>
          <w:p w14:paraId="096E6CBE" w14:textId="056A4D33" w:rsidR="00B06527" w:rsidRPr="00716915" w:rsidRDefault="00B06527" w:rsidP="00B06527">
            <w:pPr>
              <w:keepNext/>
              <w:keepLines/>
              <w:spacing w:after="0"/>
              <w:jc w:val="center"/>
              <w:rPr>
                <w:rFonts w:ascii="Arial" w:eastAsia="SimSun" w:hAnsi="Arial"/>
                <w:sz w:val="16"/>
                <w:szCs w:val="16"/>
              </w:rPr>
            </w:pPr>
            <w:r>
              <w:rPr>
                <w:rFonts w:ascii="Arial" w:eastAsia="SimSun" w:hAnsi="Arial"/>
                <w:sz w:val="16"/>
                <w:szCs w:val="16"/>
              </w:rPr>
              <w:t>2022-06</w:t>
            </w:r>
          </w:p>
        </w:tc>
        <w:tc>
          <w:tcPr>
            <w:tcW w:w="852" w:type="dxa"/>
            <w:tcBorders>
              <w:top w:val="single" w:sz="6" w:space="0" w:color="auto"/>
              <w:left w:val="single" w:sz="6" w:space="0" w:color="auto"/>
              <w:bottom w:val="single" w:sz="6" w:space="0" w:color="auto"/>
              <w:right w:val="single" w:sz="6" w:space="0" w:color="auto"/>
            </w:tcBorders>
            <w:shd w:val="solid" w:color="FFFFFF" w:fill="auto"/>
          </w:tcPr>
          <w:p w14:paraId="6C4E5876" w14:textId="47F17E7B" w:rsidR="00B06527" w:rsidRPr="00716915" w:rsidRDefault="00B06527" w:rsidP="00B06527">
            <w:pPr>
              <w:keepNext/>
              <w:keepLines/>
              <w:spacing w:after="0"/>
              <w:jc w:val="center"/>
              <w:rPr>
                <w:rFonts w:ascii="Arial" w:eastAsia="SimSun" w:hAnsi="Arial"/>
                <w:sz w:val="16"/>
                <w:szCs w:val="16"/>
              </w:rPr>
            </w:pPr>
            <w:r>
              <w:rPr>
                <w:rFonts w:ascii="Arial" w:eastAsia="SimSun" w:hAnsi="Arial"/>
                <w:sz w:val="16"/>
                <w:szCs w:val="16"/>
              </w:rPr>
              <w:t>RAN#96</w:t>
            </w:r>
          </w:p>
        </w:tc>
        <w:tc>
          <w:tcPr>
            <w:tcW w:w="902" w:type="dxa"/>
            <w:tcBorders>
              <w:top w:val="single" w:sz="6" w:space="0" w:color="auto"/>
              <w:left w:val="single" w:sz="6" w:space="0" w:color="auto"/>
              <w:bottom w:val="single" w:sz="6" w:space="0" w:color="auto"/>
              <w:right w:val="single" w:sz="6" w:space="0" w:color="auto"/>
            </w:tcBorders>
            <w:shd w:val="solid" w:color="FFFFFF" w:fill="auto"/>
          </w:tcPr>
          <w:p w14:paraId="14A4A3DA" w14:textId="2920F425" w:rsidR="00B06527" w:rsidRPr="00B06527" w:rsidRDefault="00B06527" w:rsidP="00B06527">
            <w:pPr>
              <w:pStyle w:val="TAC"/>
              <w:rPr>
                <w:rFonts w:eastAsia="SimSun" w:cs="Arial"/>
                <w:sz w:val="16"/>
                <w:szCs w:val="16"/>
                <w:lang w:eastAsia="ja-JP"/>
              </w:rPr>
            </w:pPr>
            <w:r w:rsidRPr="00B06527">
              <w:rPr>
                <w:sz w:val="16"/>
                <w:szCs w:val="16"/>
              </w:rPr>
              <w:t>RP-221665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2E94C7" w14:textId="6217FA8C" w:rsidR="00B06527" w:rsidRPr="00B06527" w:rsidRDefault="00B06527" w:rsidP="00B06527">
            <w:pPr>
              <w:pStyle w:val="TAC"/>
              <w:rPr>
                <w:rFonts w:eastAsia="SimSun"/>
                <w:sz w:val="16"/>
                <w:szCs w:val="16"/>
              </w:rPr>
            </w:pPr>
            <w:r w:rsidRPr="00B06527">
              <w:rPr>
                <w:sz w:val="16"/>
                <w:szCs w:val="16"/>
              </w:rPr>
              <w:t>0035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0E3AB6" w14:textId="77777777" w:rsidR="00B06527" w:rsidRPr="00B06527" w:rsidRDefault="00B06527" w:rsidP="00B06527">
            <w:pPr>
              <w:pStyle w:val="TAC"/>
              <w:rPr>
                <w:rFonts w:eastAsia="SimSun"/>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EF163B" w14:textId="560FC033" w:rsidR="00B06527" w:rsidRPr="00B06527" w:rsidRDefault="00B06527" w:rsidP="00B06527">
            <w:pPr>
              <w:pStyle w:val="TAC"/>
              <w:rPr>
                <w:rFonts w:eastAsia="SimSun"/>
                <w:sz w:val="16"/>
                <w:szCs w:val="16"/>
              </w:rPr>
            </w:pPr>
            <w:r w:rsidRPr="00B06527">
              <w:rPr>
                <w:rFonts w:eastAsia="SimSun"/>
                <w:sz w:val="16"/>
                <w:szCs w:val="16"/>
              </w:rPr>
              <w:t>A</w:t>
            </w:r>
          </w:p>
        </w:tc>
        <w:tc>
          <w:tcPr>
            <w:tcW w:w="4965" w:type="dxa"/>
            <w:tcBorders>
              <w:top w:val="single" w:sz="6" w:space="0" w:color="auto"/>
              <w:left w:val="single" w:sz="6" w:space="0" w:color="auto"/>
              <w:bottom w:val="single" w:sz="6" w:space="0" w:color="auto"/>
              <w:right w:val="single" w:sz="6" w:space="0" w:color="auto"/>
            </w:tcBorders>
            <w:shd w:val="solid" w:color="FFFFFF" w:fill="auto"/>
          </w:tcPr>
          <w:p w14:paraId="3834C587" w14:textId="1C9A9A8A" w:rsidR="00B06527" w:rsidRPr="00B06527" w:rsidRDefault="00B06527" w:rsidP="00B06527">
            <w:pPr>
              <w:pStyle w:val="TAL"/>
              <w:rPr>
                <w:rFonts w:eastAsia="SimSun"/>
                <w:lang w:eastAsia="zh-CN"/>
              </w:rPr>
            </w:pPr>
            <w:r w:rsidRPr="00B06527">
              <w:t>Big CR on TS 38.174 Maintenance (Rel-17)</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8A9BB1" w14:textId="2A543720" w:rsidR="00B06527" w:rsidRPr="00716915" w:rsidRDefault="00B06527" w:rsidP="00B06527">
            <w:pPr>
              <w:keepNext/>
              <w:keepLines/>
              <w:spacing w:after="0"/>
              <w:jc w:val="center"/>
              <w:rPr>
                <w:rFonts w:ascii="Arial" w:eastAsia="SimSun" w:hAnsi="Arial"/>
                <w:sz w:val="16"/>
                <w:szCs w:val="16"/>
                <w:lang w:eastAsia="zh-CN"/>
              </w:rPr>
            </w:pPr>
            <w:r>
              <w:rPr>
                <w:rFonts w:ascii="Arial" w:eastAsia="SimSun" w:hAnsi="Arial"/>
                <w:sz w:val="16"/>
                <w:szCs w:val="16"/>
                <w:lang w:eastAsia="zh-CN"/>
              </w:rPr>
              <w:t>17.1.0</w:t>
            </w:r>
          </w:p>
        </w:tc>
      </w:tr>
      <w:tr w:rsidR="000A3435" w:rsidRPr="00716915" w14:paraId="7DA090A1" w14:textId="77777777" w:rsidTr="000A3435">
        <w:tc>
          <w:tcPr>
            <w:tcW w:w="801" w:type="dxa"/>
            <w:tcBorders>
              <w:top w:val="single" w:sz="6" w:space="0" w:color="auto"/>
              <w:left w:val="single" w:sz="6" w:space="0" w:color="auto"/>
              <w:bottom w:val="single" w:sz="6" w:space="0" w:color="auto"/>
              <w:right w:val="single" w:sz="6" w:space="0" w:color="auto"/>
            </w:tcBorders>
            <w:shd w:val="solid" w:color="FFFFFF" w:fill="auto"/>
          </w:tcPr>
          <w:p w14:paraId="130AD2F9" w14:textId="3DD1CDF4" w:rsidR="000A3435" w:rsidRDefault="000A3435" w:rsidP="00B06527">
            <w:pPr>
              <w:keepNext/>
              <w:keepLines/>
              <w:spacing w:after="0"/>
              <w:jc w:val="center"/>
              <w:rPr>
                <w:rFonts w:ascii="Arial" w:eastAsia="SimSun" w:hAnsi="Arial"/>
                <w:sz w:val="16"/>
                <w:szCs w:val="16"/>
              </w:rPr>
            </w:pPr>
            <w:r>
              <w:rPr>
                <w:rFonts w:ascii="Arial" w:eastAsia="SimSun" w:hAnsi="Arial"/>
                <w:sz w:val="16"/>
                <w:szCs w:val="16"/>
              </w:rPr>
              <w:t>2022-12</w:t>
            </w:r>
          </w:p>
        </w:tc>
        <w:tc>
          <w:tcPr>
            <w:tcW w:w="852" w:type="dxa"/>
            <w:tcBorders>
              <w:top w:val="single" w:sz="6" w:space="0" w:color="auto"/>
              <w:left w:val="single" w:sz="6" w:space="0" w:color="auto"/>
              <w:bottom w:val="single" w:sz="6" w:space="0" w:color="auto"/>
              <w:right w:val="single" w:sz="6" w:space="0" w:color="auto"/>
            </w:tcBorders>
            <w:shd w:val="solid" w:color="FFFFFF" w:fill="auto"/>
          </w:tcPr>
          <w:p w14:paraId="214C63D0" w14:textId="20D2A354" w:rsidR="000A3435" w:rsidRDefault="000A3435" w:rsidP="00B06527">
            <w:pPr>
              <w:keepNext/>
              <w:keepLines/>
              <w:spacing w:after="0"/>
              <w:jc w:val="center"/>
              <w:rPr>
                <w:rFonts w:ascii="Arial" w:eastAsia="SimSun" w:hAnsi="Arial"/>
                <w:sz w:val="16"/>
                <w:szCs w:val="16"/>
              </w:rPr>
            </w:pPr>
            <w:r>
              <w:rPr>
                <w:rFonts w:ascii="Arial" w:eastAsia="SimSun" w:hAnsi="Arial"/>
                <w:sz w:val="16"/>
                <w:szCs w:val="16"/>
              </w:rPr>
              <w:t>RAN#98-e</w:t>
            </w:r>
          </w:p>
        </w:tc>
        <w:tc>
          <w:tcPr>
            <w:tcW w:w="902" w:type="dxa"/>
            <w:tcBorders>
              <w:top w:val="single" w:sz="6" w:space="0" w:color="auto"/>
              <w:left w:val="single" w:sz="6" w:space="0" w:color="auto"/>
              <w:bottom w:val="single" w:sz="6" w:space="0" w:color="auto"/>
              <w:right w:val="single" w:sz="6" w:space="0" w:color="auto"/>
            </w:tcBorders>
            <w:shd w:val="solid" w:color="FFFFFF" w:fill="auto"/>
          </w:tcPr>
          <w:p w14:paraId="0A9DF5BD" w14:textId="50B7E266" w:rsidR="000A3435" w:rsidRPr="00B06527" w:rsidRDefault="000A3435" w:rsidP="00B06527">
            <w:pPr>
              <w:pStyle w:val="TAC"/>
              <w:rPr>
                <w:sz w:val="16"/>
                <w:szCs w:val="16"/>
              </w:rPr>
            </w:pPr>
            <w:r w:rsidRPr="000A3435">
              <w:rPr>
                <w:sz w:val="16"/>
                <w:szCs w:val="16"/>
              </w:rPr>
              <w:t>RP-223310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E8F899" w14:textId="5F578BBA" w:rsidR="000A3435" w:rsidRPr="00B06527" w:rsidRDefault="000A3435" w:rsidP="00B06527">
            <w:pPr>
              <w:pStyle w:val="TAC"/>
              <w:rPr>
                <w:sz w:val="16"/>
                <w:szCs w:val="16"/>
              </w:rPr>
            </w:pPr>
            <w:r w:rsidRPr="000A3435">
              <w:rPr>
                <w:sz w:val="16"/>
                <w:szCs w:val="16"/>
              </w:rPr>
              <w:t>0038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95F47A" w14:textId="55319B72" w:rsidR="000A3435" w:rsidRPr="00B06527" w:rsidRDefault="000A3435" w:rsidP="00B06527">
            <w:pPr>
              <w:pStyle w:val="TAC"/>
              <w:rPr>
                <w:rFonts w:eastAsia="SimSun"/>
                <w:sz w:val="16"/>
                <w:szCs w:val="16"/>
              </w:rPr>
            </w:pPr>
            <w:r>
              <w:rPr>
                <w:rFonts w:eastAsia="SimSun"/>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FD0BF91" w14:textId="351B6863" w:rsidR="000A3435" w:rsidRPr="00B06527" w:rsidRDefault="000A3435" w:rsidP="00B06527">
            <w:pPr>
              <w:pStyle w:val="TAC"/>
              <w:rPr>
                <w:rFonts w:eastAsia="SimSun"/>
                <w:sz w:val="16"/>
                <w:szCs w:val="16"/>
              </w:rPr>
            </w:pPr>
            <w:r>
              <w:rPr>
                <w:rFonts w:eastAsia="SimSun"/>
                <w:sz w:val="16"/>
                <w:szCs w:val="16"/>
              </w:rPr>
              <w:t>F</w:t>
            </w:r>
          </w:p>
        </w:tc>
        <w:tc>
          <w:tcPr>
            <w:tcW w:w="4965" w:type="dxa"/>
            <w:tcBorders>
              <w:top w:val="single" w:sz="6" w:space="0" w:color="auto"/>
              <w:left w:val="single" w:sz="6" w:space="0" w:color="auto"/>
              <w:bottom w:val="single" w:sz="6" w:space="0" w:color="auto"/>
              <w:right w:val="single" w:sz="6" w:space="0" w:color="auto"/>
            </w:tcBorders>
            <w:shd w:val="solid" w:color="FFFFFF" w:fill="auto"/>
          </w:tcPr>
          <w:p w14:paraId="7651EFF2" w14:textId="3B9094F4" w:rsidR="000A3435" w:rsidRPr="00B06527" w:rsidRDefault="000A3435" w:rsidP="00B06527">
            <w:pPr>
              <w:pStyle w:val="TAL"/>
            </w:pPr>
            <w:r w:rsidRPr="000A3435">
              <w:t>CR on case-6 timing for eIAB_RF</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6F01B0" w14:textId="4708B42F" w:rsidR="000A3435" w:rsidRDefault="000A3435" w:rsidP="00B06527">
            <w:pPr>
              <w:keepNext/>
              <w:keepLines/>
              <w:spacing w:after="0"/>
              <w:jc w:val="center"/>
              <w:rPr>
                <w:rFonts w:ascii="Arial" w:eastAsia="SimSun" w:hAnsi="Arial"/>
                <w:sz w:val="16"/>
                <w:szCs w:val="16"/>
                <w:lang w:eastAsia="zh-CN"/>
              </w:rPr>
            </w:pPr>
            <w:r>
              <w:rPr>
                <w:rFonts w:ascii="Arial" w:eastAsia="SimSun" w:hAnsi="Arial"/>
                <w:sz w:val="16"/>
                <w:szCs w:val="16"/>
                <w:lang w:eastAsia="zh-CN"/>
              </w:rPr>
              <w:t>17.2.0</w:t>
            </w:r>
          </w:p>
        </w:tc>
      </w:tr>
    </w:tbl>
    <w:p w14:paraId="5AA60237" w14:textId="77777777" w:rsidR="00736C24" w:rsidRPr="00716915" w:rsidRDefault="00736C24" w:rsidP="00736C24">
      <w:pPr>
        <w:overflowPunct/>
        <w:autoSpaceDE/>
        <w:autoSpaceDN/>
        <w:adjustRightInd/>
        <w:textAlignment w:val="auto"/>
        <w:rPr>
          <w:lang w:eastAsia="en-US"/>
        </w:rPr>
      </w:pPr>
    </w:p>
    <w:p w14:paraId="2536B468" w14:textId="77777777" w:rsidR="00406C16" w:rsidRPr="00170917" w:rsidRDefault="00406C16" w:rsidP="00C60E58"/>
    <w:sectPr w:rsidR="00406C16" w:rsidRPr="00170917">
      <w:headerReference w:type="default" r:id="rId228"/>
      <w:footerReference w:type="default" r:id="rId229"/>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29FE01" w14:textId="77777777" w:rsidR="007B5640" w:rsidRDefault="007B5640" w:rsidP="001D6649">
      <w:pPr>
        <w:spacing w:after="0"/>
      </w:pPr>
      <w:r>
        <w:separator/>
      </w:r>
    </w:p>
  </w:endnote>
  <w:endnote w:type="continuationSeparator" w:id="0">
    <w:p w14:paraId="75DE4CF2" w14:textId="77777777" w:rsidR="007B5640" w:rsidRDefault="007B5640" w:rsidP="001D6649">
      <w:pPr>
        <w:spacing w:after="0"/>
      </w:pPr>
      <w:r>
        <w:continuationSeparator/>
      </w:r>
    </w:p>
  </w:endnote>
  <w:endnote w:type="continuationNotice" w:id="1">
    <w:p w14:paraId="2633D8FF" w14:textId="77777777" w:rsidR="007B5640" w:rsidRDefault="007B564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ZapfDingbats">
    <w:panose1 w:val="00000000000000000000"/>
    <w:charset w:val="02"/>
    <w:family w:val="decorative"/>
    <w:notTrueTyp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v4.2.0">
    <w:altName w:val="Calibri"/>
    <w:charset w:val="00"/>
    <w:family w:val="auto"/>
    <w:pitch w:val="default"/>
  </w:font>
  <w:font w:name="CG Times (WN)">
    <w:altName w:val="Arial"/>
    <w:panose1 w:val="00000000000000000000"/>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Osaka">
    <w:altName w:val="MS Mincho"/>
    <w:charset w:val="80"/>
    <w:family w:val="auto"/>
    <w:pitch w:val="default"/>
    <w:sig w:usb0="00000000" w:usb1="00000000" w:usb2="00000010" w:usb3="00000000" w:csb0="00020000" w:csb1="00000000"/>
  </w:font>
  <w:font w:name="Verdana">
    <w:panose1 w:val="020B0604030504040204"/>
    <w:charset w:val="00"/>
    <w:family w:val="swiss"/>
    <w:pitch w:val="variable"/>
    <w:sig w:usb0="A00006FF" w:usb1="4000205B" w:usb2="00000010" w:usb3="00000000" w:csb0="0000019F"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Times New Roman Bold">
    <w:panose1 w:val="02020803070505020304"/>
    <w:charset w:val="00"/>
    <w:family w:val="roman"/>
    <w:notTrueType/>
    <w:pitch w:val="default"/>
  </w:font>
  <w:font w:name="PMingLiU">
    <w:altName w:val="新細明體"/>
    <w:panose1 w:val="02010601000101010101"/>
    <w:charset w:val="88"/>
    <w:family w:val="roman"/>
    <w:pitch w:val="variable"/>
    <w:sig w:usb0="A00002FF" w:usb1="28CFFCFA" w:usb2="00000016" w:usb3="00000000" w:csb0="00100001" w:csb1="00000000"/>
  </w:font>
  <w:font w:name="Tms Rmn">
    <w:panose1 w:val="02020603040505020304"/>
    <w:charset w:val="00"/>
    <w:family w:val="roman"/>
    <w:notTrueType/>
    <w:pitch w:val="variable"/>
    <w:sig w:usb0="00000003" w:usb1="00000000" w:usb2="00000000" w:usb3="00000000" w:csb0="00000001" w:csb1="00000000"/>
  </w:font>
  <w:font w:name="Helvetica">
    <w:panose1 w:val="020B0604020202020204"/>
    <w:charset w:val="00"/>
    <w:family w:val="swiss"/>
    <w:pitch w:val="variable"/>
    <w:sig w:usb0="00000007" w:usb1="00000000" w:usb2="00000000" w:usb3="00000000" w:csb0="00000093" w:csb1="00000000"/>
  </w:font>
  <w:font w:name="Bookman">
    <w:altName w:val="Cambria"/>
    <w:panose1 w:val="00000000000000000000"/>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Yu Mincho">
    <w:charset w:val="80"/>
    <w:family w:val="roman"/>
    <w:pitch w:val="variable"/>
    <w:sig w:usb0="800002E7" w:usb1="2AC7FCFF" w:usb2="00000012" w:usb3="00000000" w:csb0="0002009F" w:csb1="00000000"/>
  </w:font>
  <w:font w:name="?? ??">
    <w:altName w:val="MS Gothic"/>
    <w:charset w:val="80"/>
    <w:family w:val="roman"/>
    <w:pitch w:val="default"/>
    <w:sig w:usb0="00000000" w:usb1="00000000" w:usb2="00000010" w:usb3="00000000" w:csb0="00020000" w:csb1="00000000"/>
  </w:font>
  <w:font w:name="v5.0.0">
    <w:altName w:val="Times New Roman"/>
    <w:charset w:val="00"/>
    <w:family w:val="roman"/>
    <w:pitch w:val="default"/>
    <w:sig w:usb0="00000000" w:usb1="00000000" w:usb2="00000000" w:usb3="00000000" w:csb0="00040001" w:csb1="00000000"/>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
    <w:altName w:val="MS Mincho"/>
    <w:panose1 w:val="00000000000000000000"/>
    <w:charset w:val="80"/>
    <w:family w:val="roman"/>
    <w:notTrueType/>
    <w:pitch w:val="fixed"/>
    <w:sig w:usb0="00000001" w:usb1="08070000" w:usb2="00000010" w:usb3="00000000" w:csb0="00020000" w:csb1="00000000"/>
  </w:font>
  <w:font w:name="v3.8.0">
    <w:altName w:val="Times New Roman"/>
    <w:charset w:val="00"/>
    <w:family w:val="roman"/>
    <w:pitch w:val="default"/>
  </w:font>
  <w:font w:name="?c?e?o“A‘??S?V?b?N‘I">
    <w:altName w:val="宋体"/>
    <w:panose1 w:val="00000000000000000000"/>
    <w:charset w:val="86"/>
    <w:family w:val="roman"/>
    <w:notTrueType/>
    <w:pitch w:val="default"/>
  </w:font>
  <w:font w:name="‚c‚e‚o“Á‘¾ƒSƒVƒbƒN‘Ì">
    <w:altName w:val="宋体"/>
    <w:panose1 w:val="00000000000000000000"/>
    <w:charset w:val="86"/>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¾’©‘Ì">
    <w:altName w:val="Yu Gothic"/>
    <w:panose1 w:val="00000000000000000000"/>
    <w:charset w:val="80"/>
    <w:family w:val="auto"/>
    <w:notTrueType/>
    <w:pitch w:val="variable"/>
    <w:sig w:usb0="00000003" w:usb1="08070000" w:usb2="00000010" w:usb3="00000000" w:csb0="00020001" w:csb1="00000000"/>
  </w:font>
  <w:font w:name="v3.7.0">
    <w:altName w:val="Times New Roman"/>
    <w:panose1 w:val="00000000000000000000"/>
    <w:charset w:val="00"/>
    <w:family w:val="roman"/>
    <w:notTrueType/>
    <w:pitch w:val="default"/>
  </w:font>
  <w:font w:name="Times-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A80C4" w14:textId="77777777" w:rsidR="00BC408B" w:rsidRDefault="00BC408B">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241C6D" w14:textId="77777777" w:rsidR="007B5640" w:rsidRDefault="007B5640" w:rsidP="001D6649">
      <w:pPr>
        <w:spacing w:after="0"/>
      </w:pPr>
      <w:r>
        <w:separator/>
      </w:r>
    </w:p>
  </w:footnote>
  <w:footnote w:type="continuationSeparator" w:id="0">
    <w:p w14:paraId="6CC608B6" w14:textId="77777777" w:rsidR="007B5640" w:rsidRDefault="007B5640" w:rsidP="001D6649">
      <w:pPr>
        <w:spacing w:after="0"/>
      </w:pPr>
      <w:r>
        <w:continuationSeparator/>
      </w:r>
    </w:p>
  </w:footnote>
  <w:footnote w:type="continuationNotice" w:id="1">
    <w:p w14:paraId="035B15F5" w14:textId="77777777" w:rsidR="007B5640" w:rsidRDefault="007B5640">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E8800A" w14:textId="5DF48FA7" w:rsidR="00BC408B" w:rsidRDefault="00BC408B">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FE3676">
      <w:rPr>
        <w:rFonts w:ascii="Arial" w:hAnsi="Arial" w:cs="Arial"/>
        <w:b/>
        <w:noProof/>
        <w:sz w:val="18"/>
        <w:szCs w:val="18"/>
      </w:rPr>
      <w:t>3GPP TS 38.174 V17.2.0 (2022-12)</w:t>
    </w:r>
    <w:r>
      <w:rPr>
        <w:rFonts w:ascii="Arial" w:hAnsi="Arial" w:cs="Arial"/>
        <w:b/>
        <w:sz w:val="18"/>
        <w:szCs w:val="18"/>
      </w:rPr>
      <w:fldChar w:fldCharType="end"/>
    </w:r>
  </w:p>
  <w:p w14:paraId="2A84CE29" w14:textId="77777777" w:rsidR="00BC408B" w:rsidRDefault="00BC408B">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56</w:t>
    </w:r>
    <w:r>
      <w:rPr>
        <w:rFonts w:ascii="Arial" w:hAnsi="Arial" w:cs="Arial"/>
        <w:b/>
        <w:sz w:val="18"/>
        <w:szCs w:val="18"/>
      </w:rPr>
      <w:fldChar w:fldCharType="end"/>
    </w:r>
  </w:p>
  <w:p w14:paraId="43E5BC28" w14:textId="1DADF1E3" w:rsidR="00BC408B" w:rsidRDefault="00BC408B">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FE3676">
      <w:rPr>
        <w:rFonts w:ascii="Arial" w:hAnsi="Arial" w:cs="Arial"/>
        <w:b/>
        <w:noProof/>
        <w:sz w:val="18"/>
        <w:szCs w:val="18"/>
      </w:rPr>
      <w:t>Release 17</w:t>
    </w:r>
    <w:r>
      <w:rPr>
        <w:rFonts w:ascii="Arial" w:hAnsi="Arial" w:cs="Arial"/>
        <w:b/>
        <w:sz w:val="18"/>
        <w:szCs w:val="18"/>
      </w:rPr>
      <w:fldChar w:fldCharType="end"/>
    </w:r>
  </w:p>
  <w:p w14:paraId="5F702C63" w14:textId="77777777" w:rsidR="00BC408B" w:rsidRDefault="00BC408B">
    <w:pPr>
      <w:pStyle w:val="Header"/>
    </w:pPr>
  </w:p>
  <w:p w14:paraId="3A5D8C65" w14:textId="77777777" w:rsidR="00DB5E29" w:rsidRDefault="00DB5E2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pPr>
        <w:ind w:left="0" w:firstLine="0"/>
      </w:pPr>
    </w:lvl>
  </w:abstractNum>
  <w:abstractNum w:abstractNumId="1" w15:restartNumberingAfterBreak="0">
    <w:nsid w:val="019F585B"/>
    <w:multiLevelType w:val="hybridMultilevel"/>
    <w:tmpl w:val="D1DC83A4"/>
    <w:lvl w:ilvl="0" w:tplc="4218E646">
      <w:start w:val="5"/>
      <w:numFmt w:val="bullet"/>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 w15:restartNumberingAfterBreak="0">
    <w:nsid w:val="04A02082"/>
    <w:multiLevelType w:val="hybridMultilevel"/>
    <w:tmpl w:val="C5909DCE"/>
    <w:lvl w:ilvl="0" w:tplc="11368168">
      <w:start w:val="1"/>
      <w:numFmt w:val="bullet"/>
      <w:lvlText w:val="-"/>
      <w:lvlJc w:val="left"/>
      <w:pPr>
        <w:ind w:left="360" w:hanging="360"/>
      </w:pPr>
      <w:rPr>
        <w:rFonts w:ascii="Times New Roman" w:eastAsia="SimSun" w:hAnsi="Times New Roman" w:cs="Times New Roman" w:hint="default"/>
      </w:rPr>
    </w:lvl>
    <w:lvl w:ilvl="1" w:tplc="041D0003" w:tentative="1">
      <w:start w:val="1"/>
      <w:numFmt w:val="bullet"/>
      <w:lvlText w:val="o"/>
      <w:lvlJc w:val="left"/>
      <w:pPr>
        <w:ind w:left="1080" w:hanging="360"/>
      </w:pPr>
      <w:rPr>
        <w:rFonts w:ascii="Courier New" w:hAnsi="Courier New" w:cs="Courier New"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cs="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cs="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3" w15:restartNumberingAfterBreak="0">
    <w:nsid w:val="0F4333A3"/>
    <w:multiLevelType w:val="hybridMultilevel"/>
    <w:tmpl w:val="CC5EA80E"/>
    <w:lvl w:ilvl="0" w:tplc="C604096C">
      <w:start w:val="1"/>
      <w:numFmt w:val="decimal"/>
      <w:lvlText w:val="%1."/>
      <w:lvlJc w:val="left"/>
      <w:pPr>
        <w:ind w:left="460" w:hanging="360"/>
      </w:pPr>
      <w:rPr>
        <w:rFonts w:hint="default"/>
      </w:rPr>
    </w:lvl>
    <w:lvl w:ilvl="1" w:tplc="04090019" w:tentative="1">
      <w:start w:val="1"/>
      <w:numFmt w:val="lowerLetter"/>
      <w:lvlText w:val="%2)"/>
      <w:lvlJc w:val="left"/>
      <w:pPr>
        <w:ind w:left="940" w:hanging="420"/>
      </w:pPr>
    </w:lvl>
    <w:lvl w:ilvl="2" w:tplc="0409001B" w:tentative="1">
      <w:start w:val="1"/>
      <w:numFmt w:val="lowerRoman"/>
      <w:lvlText w:val="%3."/>
      <w:lvlJc w:val="right"/>
      <w:pPr>
        <w:ind w:left="1360" w:hanging="420"/>
      </w:pPr>
    </w:lvl>
    <w:lvl w:ilvl="3" w:tplc="0409000F" w:tentative="1">
      <w:start w:val="1"/>
      <w:numFmt w:val="decimal"/>
      <w:lvlText w:val="%4."/>
      <w:lvlJc w:val="left"/>
      <w:pPr>
        <w:ind w:left="1780" w:hanging="420"/>
      </w:pPr>
    </w:lvl>
    <w:lvl w:ilvl="4" w:tplc="04090019" w:tentative="1">
      <w:start w:val="1"/>
      <w:numFmt w:val="lowerLetter"/>
      <w:lvlText w:val="%5)"/>
      <w:lvlJc w:val="left"/>
      <w:pPr>
        <w:ind w:left="2200" w:hanging="420"/>
      </w:pPr>
    </w:lvl>
    <w:lvl w:ilvl="5" w:tplc="0409001B" w:tentative="1">
      <w:start w:val="1"/>
      <w:numFmt w:val="lowerRoman"/>
      <w:lvlText w:val="%6."/>
      <w:lvlJc w:val="right"/>
      <w:pPr>
        <w:ind w:left="2620" w:hanging="420"/>
      </w:pPr>
    </w:lvl>
    <w:lvl w:ilvl="6" w:tplc="0409000F" w:tentative="1">
      <w:start w:val="1"/>
      <w:numFmt w:val="decimal"/>
      <w:lvlText w:val="%7."/>
      <w:lvlJc w:val="left"/>
      <w:pPr>
        <w:ind w:left="3040" w:hanging="420"/>
      </w:pPr>
    </w:lvl>
    <w:lvl w:ilvl="7" w:tplc="04090019" w:tentative="1">
      <w:start w:val="1"/>
      <w:numFmt w:val="lowerLetter"/>
      <w:lvlText w:val="%8)"/>
      <w:lvlJc w:val="left"/>
      <w:pPr>
        <w:ind w:left="3460" w:hanging="420"/>
      </w:pPr>
    </w:lvl>
    <w:lvl w:ilvl="8" w:tplc="0409001B" w:tentative="1">
      <w:start w:val="1"/>
      <w:numFmt w:val="lowerRoman"/>
      <w:lvlText w:val="%9."/>
      <w:lvlJc w:val="right"/>
      <w:pPr>
        <w:ind w:left="3880" w:hanging="420"/>
      </w:pPr>
    </w:lvl>
  </w:abstractNum>
  <w:abstractNum w:abstractNumId="4"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16B73BA"/>
    <w:multiLevelType w:val="hybridMultilevel"/>
    <w:tmpl w:val="11B23932"/>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 w15:restartNumberingAfterBreak="0">
    <w:nsid w:val="122672B0"/>
    <w:multiLevelType w:val="hybridMultilevel"/>
    <w:tmpl w:val="70B4241C"/>
    <w:lvl w:ilvl="0" w:tplc="83BC3206">
      <w:start w:val="1"/>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40E1C8A"/>
    <w:multiLevelType w:val="hybridMultilevel"/>
    <w:tmpl w:val="2D6CD5A8"/>
    <w:lvl w:ilvl="0" w:tplc="D534D630">
      <w:start w:val="7"/>
      <w:numFmt w:val="bullet"/>
      <w:lvlText w:val="-"/>
      <w:lvlJc w:val="left"/>
      <w:pPr>
        <w:ind w:left="360" w:hanging="360"/>
      </w:pPr>
      <w:rPr>
        <w:rFonts w:ascii="Times New Roman" w:eastAsia="Times New Roman" w:hAnsi="Times New Roman" w:cs="Times New Roman" w:hint="default"/>
      </w:rPr>
    </w:lvl>
    <w:lvl w:ilvl="1" w:tplc="041D0003" w:tentative="1">
      <w:start w:val="1"/>
      <w:numFmt w:val="bullet"/>
      <w:lvlText w:val="o"/>
      <w:lvlJc w:val="left"/>
      <w:pPr>
        <w:ind w:left="1080" w:hanging="360"/>
      </w:pPr>
      <w:rPr>
        <w:rFonts w:ascii="Courier New" w:hAnsi="Courier New" w:cs="Courier New"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cs="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cs="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8" w15:restartNumberingAfterBreak="0">
    <w:nsid w:val="24E938EB"/>
    <w:multiLevelType w:val="hybridMultilevel"/>
    <w:tmpl w:val="C012F124"/>
    <w:lvl w:ilvl="0" w:tplc="369A42F4">
      <w:start w:val="1"/>
      <w:numFmt w:val="bullet"/>
      <w:lvlText w:val="•"/>
      <w:lvlJc w:val="left"/>
      <w:pPr>
        <w:ind w:left="988" w:hanging="420"/>
      </w:pPr>
      <w:rPr>
        <w:rFonts w:ascii="Arial" w:hAnsi="Arial" w:hint="default"/>
      </w:rPr>
    </w:lvl>
    <w:lvl w:ilvl="1" w:tplc="04090003" w:tentative="1">
      <w:start w:val="1"/>
      <w:numFmt w:val="bullet"/>
      <w:lvlText w:val=""/>
      <w:lvlJc w:val="left"/>
      <w:pPr>
        <w:ind w:left="1408" w:hanging="420"/>
      </w:pPr>
      <w:rPr>
        <w:rFonts w:ascii="Wingdings" w:hAnsi="Wingdings" w:hint="default"/>
      </w:rPr>
    </w:lvl>
    <w:lvl w:ilvl="2" w:tplc="04090005" w:tentative="1">
      <w:start w:val="1"/>
      <w:numFmt w:val="bullet"/>
      <w:lvlText w:val=""/>
      <w:lvlJc w:val="left"/>
      <w:pPr>
        <w:ind w:left="1828" w:hanging="420"/>
      </w:pPr>
      <w:rPr>
        <w:rFonts w:ascii="Wingdings" w:hAnsi="Wingdings" w:hint="default"/>
      </w:rPr>
    </w:lvl>
    <w:lvl w:ilvl="3" w:tplc="04090001" w:tentative="1">
      <w:start w:val="1"/>
      <w:numFmt w:val="bullet"/>
      <w:lvlText w:val=""/>
      <w:lvlJc w:val="left"/>
      <w:pPr>
        <w:ind w:left="2248" w:hanging="420"/>
      </w:pPr>
      <w:rPr>
        <w:rFonts w:ascii="Wingdings" w:hAnsi="Wingdings" w:hint="default"/>
      </w:rPr>
    </w:lvl>
    <w:lvl w:ilvl="4" w:tplc="04090003" w:tentative="1">
      <w:start w:val="1"/>
      <w:numFmt w:val="bullet"/>
      <w:lvlText w:val=""/>
      <w:lvlJc w:val="left"/>
      <w:pPr>
        <w:ind w:left="2668" w:hanging="420"/>
      </w:pPr>
      <w:rPr>
        <w:rFonts w:ascii="Wingdings" w:hAnsi="Wingdings" w:hint="default"/>
      </w:rPr>
    </w:lvl>
    <w:lvl w:ilvl="5" w:tplc="04090005" w:tentative="1">
      <w:start w:val="1"/>
      <w:numFmt w:val="bullet"/>
      <w:lvlText w:val=""/>
      <w:lvlJc w:val="left"/>
      <w:pPr>
        <w:ind w:left="3088" w:hanging="420"/>
      </w:pPr>
      <w:rPr>
        <w:rFonts w:ascii="Wingdings" w:hAnsi="Wingdings" w:hint="default"/>
      </w:rPr>
    </w:lvl>
    <w:lvl w:ilvl="6" w:tplc="04090001" w:tentative="1">
      <w:start w:val="1"/>
      <w:numFmt w:val="bullet"/>
      <w:lvlText w:val=""/>
      <w:lvlJc w:val="left"/>
      <w:pPr>
        <w:ind w:left="3508" w:hanging="420"/>
      </w:pPr>
      <w:rPr>
        <w:rFonts w:ascii="Wingdings" w:hAnsi="Wingdings" w:hint="default"/>
      </w:rPr>
    </w:lvl>
    <w:lvl w:ilvl="7" w:tplc="04090003" w:tentative="1">
      <w:start w:val="1"/>
      <w:numFmt w:val="bullet"/>
      <w:lvlText w:val=""/>
      <w:lvlJc w:val="left"/>
      <w:pPr>
        <w:ind w:left="3928" w:hanging="420"/>
      </w:pPr>
      <w:rPr>
        <w:rFonts w:ascii="Wingdings" w:hAnsi="Wingdings" w:hint="default"/>
      </w:rPr>
    </w:lvl>
    <w:lvl w:ilvl="8" w:tplc="04090005" w:tentative="1">
      <w:start w:val="1"/>
      <w:numFmt w:val="bullet"/>
      <w:lvlText w:val=""/>
      <w:lvlJc w:val="left"/>
      <w:pPr>
        <w:ind w:left="4348" w:hanging="420"/>
      </w:pPr>
      <w:rPr>
        <w:rFonts w:ascii="Wingdings" w:hAnsi="Wingdings" w:hint="default"/>
      </w:rPr>
    </w:lvl>
  </w:abstractNum>
  <w:abstractNum w:abstractNumId="9"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CC7125C"/>
    <w:multiLevelType w:val="singleLevel"/>
    <w:tmpl w:val="24D0B6C8"/>
    <w:lvl w:ilvl="0">
      <w:start w:val="1"/>
      <w:numFmt w:val="bullet"/>
      <w:pStyle w:val="Bulletedo1"/>
      <w:lvlText w:val=""/>
      <w:lvlJc w:val="left"/>
      <w:pPr>
        <w:tabs>
          <w:tab w:val="num" w:pos="360"/>
        </w:tabs>
        <w:ind w:left="360" w:hanging="360"/>
      </w:pPr>
      <w:rPr>
        <w:rFonts w:ascii="Symbol" w:hAnsi="Symbol" w:hint="default"/>
      </w:rPr>
    </w:lvl>
  </w:abstractNum>
  <w:abstractNum w:abstractNumId="11" w15:restartNumberingAfterBreak="0">
    <w:nsid w:val="2CFA31F5"/>
    <w:multiLevelType w:val="hybridMultilevel"/>
    <w:tmpl w:val="860CF390"/>
    <w:lvl w:ilvl="0" w:tplc="D534D630">
      <w:start w:val="7"/>
      <w:numFmt w:val="bullet"/>
      <w:lvlText w:val="-"/>
      <w:lvlJc w:val="left"/>
      <w:pPr>
        <w:ind w:left="360" w:hanging="360"/>
      </w:pPr>
      <w:rPr>
        <w:rFonts w:ascii="Times New Roman" w:eastAsia="Times New Roman" w:hAnsi="Times New Roman" w:cs="Times New Roman" w:hint="default"/>
      </w:rPr>
    </w:lvl>
    <w:lvl w:ilvl="1" w:tplc="041D0003" w:tentative="1">
      <w:start w:val="1"/>
      <w:numFmt w:val="bullet"/>
      <w:lvlText w:val="o"/>
      <w:lvlJc w:val="left"/>
      <w:pPr>
        <w:ind w:left="1080" w:hanging="360"/>
      </w:pPr>
      <w:rPr>
        <w:rFonts w:ascii="Courier New" w:hAnsi="Courier New" w:cs="Courier New"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cs="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cs="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12" w15:restartNumberingAfterBreak="0">
    <w:nsid w:val="2FB01FD2"/>
    <w:multiLevelType w:val="hybridMultilevel"/>
    <w:tmpl w:val="E8F228B2"/>
    <w:lvl w:ilvl="0" w:tplc="0809000F">
      <w:start w:val="1"/>
      <w:numFmt w:val="decimal"/>
      <w:lvlText w:val="%1."/>
      <w:lvlJc w:val="left"/>
      <w:pPr>
        <w:tabs>
          <w:tab w:val="num" w:pos="720"/>
        </w:tabs>
        <w:ind w:left="720" w:hanging="360"/>
      </w:p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31913D55"/>
    <w:multiLevelType w:val="hybridMultilevel"/>
    <w:tmpl w:val="814E2198"/>
    <w:lvl w:ilvl="0" w:tplc="57C8F0D8">
      <w:start w:val="1"/>
      <w:numFmt w:val="decimal"/>
      <w:pStyle w:val="1"/>
      <w:lvlText w:val="%1"/>
      <w:lvlJc w:val="left"/>
      <w:pPr>
        <w:ind w:left="360" w:hanging="360"/>
      </w:pPr>
      <w:rPr>
        <w:rFonts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start w:val="1"/>
      <w:numFmt w:val="lowerLetter"/>
      <w:lvlText w:val="%2)"/>
      <w:lvlJc w:val="left"/>
      <w:pPr>
        <w:ind w:left="840" w:hanging="420"/>
      </w:pPr>
    </w:lvl>
    <w:lvl w:ilvl="2" w:tplc="04090005">
      <w:start w:val="1"/>
      <w:numFmt w:val="lowerRoman"/>
      <w:lvlText w:val="%3."/>
      <w:lvlJc w:val="right"/>
      <w:pPr>
        <w:ind w:left="1260" w:hanging="420"/>
      </w:pPr>
    </w:lvl>
    <w:lvl w:ilvl="3" w:tplc="04090001">
      <w:start w:val="1"/>
      <w:numFmt w:val="decimal"/>
      <w:lvlText w:val="%4."/>
      <w:lvlJc w:val="left"/>
      <w:pPr>
        <w:ind w:left="1680" w:hanging="420"/>
      </w:pPr>
    </w:lvl>
    <w:lvl w:ilvl="4" w:tplc="04090003">
      <w:start w:val="1"/>
      <w:numFmt w:val="lowerLetter"/>
      <w:lvlText w:val="%5)"/>
      <w:lvlJc w:val="left"/>
      <w:pPr>
        <w:ind w:left="2100" w:hanging="420"/>
      </w:pPr>
    </w:lvl>
    <w:lvl w:ilvl="5" w:tplc="04090005">
      <w:start w:val="1"/>
      <w:numFmt w:val="lowerRoman"/>
      <w:lvlText w:val="%6."/>
      <w:lvlJc w:val="right"/>
      <w:pPr>
        <w:ind w:left="2520" w:hanging="420"/>
      </w:pPr>
    </w:lvl>
    <w:lvl w:ilvl="6" w:tplc="04090001">
      <w:start w:val="1"/>
      <w:numFmt w:val="decimal"/>
      <w:lvlText w:val="%7."/>
      <w:lvlJc w:val="left"/>
      <w:pPr>
        <w:ind w:left="2940" w:hanging="420"/>
      </w:pPr>
    </w:lvl>
    <w:lvl w:ilvl="7" w:tplc="04090003">
      <w:start w:val="1"/>
      <w:numFmt w:val="lowerLetter"/>
      <w:lvlText w:val="%8)"/>
      <w:lvlJc w:val="left"/>
      <w:pPr>
        <w:ind w:left="3360" w:hanging="420"/>
      </w:pPr>
    </w:lvl>
    <w:lvl w:ilvl="8" w:tplc="04090005">
      <w:start w:val="1"/>
      <w:numFmt w:val="lowerRoman"/>
      <w:lvlText w:val="%9."/>
      <w:lvlJc w:val="right"/>
      <w:pPr>
        <w:ind w:left="3780" w:hanging="420"/>
      </w:pPr>
    </w:lvl>
  </w:abstractNum>
  <w:abstractNum w:abstractNumId="14" w15:restartNumberingAfterBreak="0">
    <w:nsid w:val="35C80964"/>
    <w:multiLevelType w:val="hybridMultilevel"/>
    <w:tmpl w:val="E9C00184"/>
    <w:lvl w:ilvl="0" w:tplc="3EF48BA0">
      <w:start w:val="1"/>
      <w:numFmt w:val="decima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A602CBD"/>
    <w:multiLevelType w:val="multilevel"/>
    <w:tmpl w:val="FE98B744"/>
    <w:lvl w:ilvl="0">
      <w:start w:val="1"/>
      <w:numFmt w:val="decimal"/>
      <w:pStyle w:val="a"/>
      <w:lvlText w:val="Table %1"/>
      <w:lvlJc w:val="center"/>
      <w:pPr>
        <w:tabs>
          <w:tab w:val="num" w:pos="397"/>
        </w:tabs>
        <w:ind w:left="624" w:hanging="624"/>
      </w:pPr>
      <w:rPr>
        <w:rFonts w:ascii="Times New Roman" w:hAnsi="Times New Roman" w:cs="Times New Roman" w:hint="default"/>
        <w:b/>
        <w:i w:val="0"/>
        <w:sz w:val="20"/>
        <w:szCs w:val="20"/>
      </w:rPr>
    </w:lvl>
    <w:lvl w:ilvl="1">
      <w:start w:val="1"/>
      <w:numFmt w:val="upperLetter"/>
      <w:lvlText w:val="%2."/>
      <w:lvlJc w:val="left"/>
      <w:pPr>
        <w:tabs>
          <w:tab w:val="num" w:pos="1296"/>
        </w:tabs>
        <w:ind w:left="871" w:firstLine="0"/>
      </w:pPr>
    </w:lvl>
    <w:lvl w:ilvl="2">
      <w:start w:val="1"/>
      <w:numFmt w:val="decimal"/>
      <w:lvlText w:val="%3."/>
      <w:lvlJc w:val="left"/>
      <w:pPr>
        <w:tabs>
          <w:tab w:val="num" w:pos="2146"/>
        </w:tabs>
        <w:ind w:left="1721" w:firstLine="0"/>
      </w:pPr>
    </w:lvl>
    <w:lvl w:ilvl="3">
      <w:start w:val="1"/>
      <w:numFmt w:val="lowerLetter"/>
      <w:lvlText w:val="%4)"/>
      <w:lvlJc w:val="left"/>
      <w:pPr>
        <w:tabs>
          <w:tab w:val="num" w:pos="2996"/>
        </w:tabs>
        <w:ind w:left="2571" w:firstLine="0"/>
      </w:pPr>
    </w:lvl>
    <w:lvl w:ilvl="4">
      <w:start w:val="1"/>
      <w:numFmt w:val="decimal"/>
      <w:lvlText w:val="(%5)"/>
      <w:lvlJc w:val="left"/>
      <w:pPr>
        <w:tabs>
          <w:tab w:val="num" w:pos="3847"/>
        </w:tabs>
        <w:ind w:left="3422" w:firstLine="0"/>
      </w:pPr>
    </w:lvl>
    <w:lvl w:ilvl="5">
      <w:start w:val="1"/>
      <w:numFmt w:val="lowerLetter"/>
      <w:lvlText w:val="(%6)"/>
      <w:lvlJc w:val="left"/>
      <w:pPr>
        <w:tabs>
          <w:tab w:val="num" w:pos="4697"/>
        </w:tabs>
        <w:ind w:left="4272" w:firstLine="0"/>
      </w:pPr>
    </w:lvl>
    <w:lvl w:ilvl="6">
      <w:start w:val="1"/>
      <w:numFmt w:val="lowerRoman"/>
      <w:lvlText w:val="(%7)"/>
      <w:lvlJc w:val="left"/>
      <w:pPr>
        <w:tabs>
          <w:tab w:val="num" w:pos="5548"/>
        </w:tabs>
        <w:ind w:left="5122" w:firstLine="0"/>
      </w:pPr>
    </w:lvl>
    <w:lvl w:ilvl="7">
      <w:start w:val="1"/>
      <w:numFmt w:val="lowerLetter"/>
      <w:lvlText w:val="(%8)"/>
      <w:lvlJc w:val="left"/>
      <w:pPr>
        <w:tabs>
          <w:tab w:val="num" w:pos="6398"/>
        </w:tabs>
        <w:ind w:left="5973" w:firstLine="0"/>
      </w:pPr>
      <w:rPr>
        <w:rFonts w:ascii="Times New Roman" w:hAnsi="Times New Roman" w:cs="Times New Roman" w:hint="default"/>
        <w:b/>
        <w:i w:val="0"/>
        <w:sz w:val="20"/>
        <w:szCs w:val="20"/>
      </w:rPr>
    </w:lvl>
    <w:lvl w:ilvl="8">
      <w:start w:val="1"/>
      <w:numFmt w:val="lowerRoman"/>
      <w:lvlText w:val="(%9)"/>
      <w:lvlJc w:val="left"/>
      <w:pPr>
        <w:tabs>
          <w:tab w:val="num" w:pos="7248"/>
        </w:tabs>
        <w:ind w:left="6823" w:firstLine="0"/>
      </w:pPr>
    </w:lvl>
  </w:abstractNum>
  <w:abstractNum w:abstractNumId="16" w15:restartNumberingAfterBreak="0">
    <w:nsid w:val="3A877D64"/>
    <w:multiLevelType w:val="singleLevel"/>
    <w:tmpl w:val="5DA6FC16"/>
    <w:lvl w:ilvl="0">
      <w:start w:val="1"/>
      <w:numFmt w:val="decimal"/>
      <w:pStyle w:val="References"/>
      <w:lvlText w:val="[%1]"/>
      <w:lvlJc w:val="left"/>
      <w:pPr>
        <w:tabs>
          <w:tab w:val="num" w:pos="502"/>
        </w:tabs>
        <w:ind w:left="502" w:hanging="360"/>
      </w:pPr>
    </w:lvl>
  </w:abstractNum>
  <w:abstractNum w:abstractNumId="17" w15:restartNumberingAfterBreak="0">
    <w:nsid w:val="3F1555D0"/>
    <w:multiLevelType w:val="hybridMultilevel"/>
    <w:tmpl w:val="9E44FF80"/>
    <w:lvl w:ilvl="0" w:tplc="1B1A2E16">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41A05D0E"/>
    <w:multiLevelType w:val="hybridMultilevel"/>
    <w:tmpl w:val="026A1BC8"/>
    <w:lvl w:ilvl="0" w:tplc="4690859A">
      <w:start w:val="7"/>
      <w:numFmt w:val="bullet"/>
      <w:lvlText w:val="-"/>
      <w:lvlJc w:val="left"/>
      <w:pPr>
        <w:ind w:left="644" w:hanging="360"/>
      </w:pPr>
      <w:rPr>
        <w:rFonts w:ascii="Arial" w:eastAsia="Times New Roman" w:hAnsi="Arial" w:cs="Arial" w:hint="default"/>
      </w:rPr>
    </w:lvl>
    <w:lvl w:ilvl="1" w:tplc="041D0003" w:tentative="1">
      <w:start w:val="1"/>
      <w:numFmt w:val="bullet"/>
      <w:lvlText w:val="o"/>
      <w:lvlJc w:val="left"/>
      <w:pPr>
        <w:ind w:left="1364" w:hanging="360"/>
      </w:pPr>
      <w:rPr>
        <w:rFonts w:ascii="Courier New" w:hAnsi="Courier New" w:cs="Courier New" w:hint="default"/>
      </w:rPr>
    </w:lvl>
    <w:lvl w:ilvl="2" w:tplc="041D0005" w:tentative="1">
      <w:start w:val="1"/>
      <w:numFmt w:val="bullet"/>
      <w:lvlText w:val=""/>
      <w:lvlJc w:val="left"/>
      <w:pPr>
        <w:ind w:left="2084" w:hanging="360"/>
      </w:pPr>
      <w:rPr>
        <w:rFonts w:ascii="Wingdings" w:hAnsi="Wingdings" w:hint="default"/>
      </w:rPr>
    </w:lvl>
    <w:lvl w:ilvl="3" w:tplc="041D0001" w:tentative="1">
      <w:start w:val="1"/>
      <w:numFmt w:val="bullet"/>
      <w:lvlText w:val=""/>
      <w:lvlJc w:val="left"/>
      <w:pPr>
        <w:ind w:left="2804" w:hanging="360"/>
      </w:pPr>
      <w:rPr>
        <w:rFonts w:ascii="Symbol" w:hAnsi="Symbol" w:hint="default"/>
      </w:rPr>
    </w:lvl>
    <w:lvl w:ilvl="4" w:tplc="041D0003" w:tentative="1">
      <w:start w:val="1"/>
      <w:numFmt w:val="bullet"/>
      <w:lvlText w:val="o"/>
      <w:lvlJc w:val="left"/>
      <w:pPr>
        <w:ind w:left="3524" w:hanging="360"/>
      </w:pPr>
      <w:rPr>
        <w:rFonts w:ascii="Courier New" w:hAnsi="Courier New" w:cs="Courier New" w:hint="default"/>
      </w:rPr>
    </w:lvl>
    <w:lvl w:ilvl="5" w:tplc="041D0005" w:tentative="1">
      <w:start w:val="1"/>
      <w:numFmt w:val="bullet"/>
      <w:lvlText w:val=""/>
      <w:lvlJc w:val="left"/>
      <w:pPr>
        <w:ind w:left="4244" w:hanging="360"/>
      </w:pPr>
      <w:rPr>
        <w:rFonts w:ascii="Wingdings" w:hAnsi="Wingdings" w:hint="default"/>
      </w:rPr>
    </w:lvl>
    <w:lvl w:ilvl="6" w:tplc="041D0001" w:tentative="1">
      <w:start w:val="1"/>
      <w:numFmt w:val="bullet"/>
      <w:lvlText w:val=""/>
      <w:lvlJc w:val="left"/>
      <w:pPr>
        <w:ind w:left="4964" w:hanging="360"/>
      </w:pPr>
      <w:rPr>
        <w:rFonts w:ascii="Symbol" w:hAnsi="Symbol" w:hint="default"/>
      </w:rPr>
    </w:lvl>
    <w:lvl w:ilvl="7" w:tplc="041D0003" w:tentative="1">
      <w:start w:val="1"/>
      <w:numFmt w:val="bullet"/>
      <w:lvlText w:val="o"/>
      <w:lvlJc w:val="left"/>
      <w:pPr>
        <w:ind w:left="5684" w:hanging="360"/>
      </w:pPr>
      <w:rPr>
        <w:rFonts w:ascii="Courier New" w:hAnsi="Courier New" w:cs="Courier New" w:hint="default"/>
      </w:rPr>
    </w:lvl>
    <w:lvl w:ilvl="8" w:tplc="041D0005" w:tentative="1">
      <w:start w:val="1"/>
      <w:numFmt w:val="bullet"/>
      <w:lvlText w:val=""/>
      <w:lvlJc w:val="left"/>
      <w:pPr>
        <w:ind w:left="6404" w:hanging="360"/>
      </w:pPr>
      <w:rPr>
        <w:rFonts w:ascii="Wingdings" w:hAnsi="Wingdings" w:hint="default"/>
      </w:rPr>
    </w:lvl>
  </w:abstractNum>
  <w:abstractNum w:abstractNumId="19" w15:restartNumberingAfterBreak="0">
    <w:nsid w:val="435F687E"/>
    <w:multiLevelType w:val="multilevel"/>
    <w:tmpl w:val="CB68E4D0"/>
    <w:lvl w:ilvl="0">
      <w:start w:val="1"/>
      <w:numFmt w:val="decimal"/>
      <w:pStyle w:val="a0"/>
      <w:lvlText w:val="Figure %1"/>
      <w:lvlJc w:val="center"/>
      <w:pPr>
        <w:tabs>
          <w:tab w:val="num" w:pos="397"/>
        </w:tabs>
        <w:ind w:left="624" w:hanging="624"/>
      </w:pPr>
      <w:rPr>
        <w:rFonts w:ascii="Times New Roman" w:hAnsi="Times New Roman" w:cs="Times New Roman" w:hint="default"/>
        <w:b/>
        <w:i w:val="0"/>
        <w:sz w:val="20"/>
        <w:szCs w:val="20"/>
      </w:rPr>
    </w:lvl>
    <w:lvl w:ilvl="1">
      <w:start w:val="1"/>
      <w:numFmt w:val="upperLetter"/>
      <w:lvlText w:val="%2."/>
      <w:lvlJc w:val="left"/>
      <w:pPr>
        <w:tabs>
          <w:tab w:val="num" w:pos="1296"/>
        </w:tabs>
        <w:ind w:left="871" w:firstLine="0"/>
      </w:pPr>
    </w:lvl>
    <w:lvl w:ilvl="2">
      <w:start w:val="1"/>
      <w:numFmt w:val="decimal"/>
      <w:lvlText w:val="%3."/>
      <w:lvlJc w:val="left"/>
      <w:pPr>
        <w:tabs>
          <w:tab w:val="num" w:pos="2146"/>
        </w:tabs>
        <w:ind w:left="1721" w:firstLine="0"/>
      </w:pPr>
    </w:lvl>
    <w:lvl w:ilvl="3">
      <w:start w:val="1"/>
      <w:numFmt w:val="lowerLetter"/>
      <w:lvlText w:val="%4)"/>
      <w:lvlJc w:val="left"/>
      <w:pPr>
        <w:tabs>
          <w:tab w:val="num" w:pos="2996"/>
        </w:tabs>
        <w:ind w:left="2571" w:firstLine="0"/>
      </w:pPr>
    </w:lvl>
    <w:lvl w:ilvl="4">
      <w:start w:val="1"/>
      <w:numFmt w:val="decimal"/>
      <w:lvlText w:val="(%5)"/>
      <w:lvlJc w:val="left"/>
      <w:pPr>
        <w:tabs>
          <w:tab w:val="num" w:pos="3847"/>
        </w:tabs>
        <w:ind w:left="3422" w:firstLine="0"/>
      </w:pPr>
    </w:lvl>
    <w:lvl w:ilvl="5">
      <w:start w:val="1"/>
      <w:numFmt w:val="lowerLetter"/>
      <w:lvlText w:val="(%6)"/>
      <w:lvlJc w:val="left"/>
      <w:pPr>
        <w:tabs>
          <w:tab w:val="num" w:pos="4697"/>
        </w:tabs>
        <w:ind w:left="4272" w:firstLine="0"/>
      </w:pPr>
    </w:lvl>
    <w:lvl w:ilvl="6">
      <w:start w:val="1"/>
      <w:numFmt w:val="lowerRoman"/>
      <w:lvlText w:val="(%7)"/>
      <w:lvlJc w:val="left"/>
      <w:pPr>
        <w:tabs>
          <w:tab w:val="num" w:pos="5548"/>
        </w:tabs>
        <w:ind w:left="5122" w:firstLine="0"/>
      </w:pPr>
    </w:lvl>
    <w:lvl w:ilvl="7">
      <w:start w:val="1"/>
      <w:numFmt w:val="lowerLetter"/>
      <w:lvlText w:val="(%8)"/>
      <w:lvlJc w:val="left"/>
      <w:pPr>
        <w:tabs>
          <w:tab w:val="num" w:pos="6398"/>
        </w:tabs>
        <w:ind w:left="5973" w:firstLine="0"/>
      </w:pPr>
      <w:rPr>
        <w:rFonts w:ascii="Times New Roman" w:hAnsi="Times New Roman" w:cs="Times New Roman" w:hint="default"/>
        <w:b/>
        <w:i w:val="0"/>
        <w:sz w:val="20"/>
        <w:szCs w:val="20"/>
      </w:rPr>
    </w:lvl>
    <w:lvl w:ilvl="8">
      <w:start w:val="1"/>
      <w:numFmt w:val="lowerRoman"/>
      <w:lvlText w:val="(%9)"/>
      <w:lvlJc w:val="left"/>
      <w:pPr>
        <w:tabs>
          <w:tab w:val="num" w:pos="7248"/>
        </w:tabs>
        <w:ind w:left="6823" w:firstLine="0"/>
      </w:pPr>
    </w:lvl>
  </w:abstractNum>
  <w:abstractNum w:abstractNumId="20" w15:restartNumberingAfterBreak="0">
    <w:nsid w:val="4F2D3CBA"/>
    <w:multiLevelType w:val="hybridMultilevel"/>
    <w:tmpl w:val="E770663C"/>
    <w:lvl w:ilvl="0" w:tplc="C86A0B8A">
      <w:start w:val="1"/>
      <w:numFmt w:val="lowerLetter"/>
      <w:lvlText w:val="%1)"/>
      <w:lvlJc w:val="left"/>
      <w:pPr>
        <w:tabs>
          <w:tab w:val="num" w:pos="737"/>
        </w:tabs>
        <w:ind w:left="737" w:hanging="453"/>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1" w15:restartNumberingAfterBreak="0">
    <w:nsid w:val="4F570AD0"/>
    <w:multiLevelType w:val="hybridMultilevel"/>
    <w:tmpl w:val="1BDE6BAC"/>
    <w:lvl w:ilvl="0" w:tplc="29AABDC8">
      <w:start w:val="1"/>
      <w:numFmt w:val="decimal"/>
      <w:lvlText w:val="%1."/>
      <w:lvlJc w:val="left"/>
      <w:pPr>
        <w:ind w:left="460" w:hanging="360"/>
      </w:pPr>
      <w:rPr>
        <w:rFonts w:hint="default"/>
      </w:rPr>
    </w:lvl>
    <w:lvl w:ilvl="1" w:tplc="04090019" w:tentative="1">
      <w:start w:val="1"/>
      <w:numFmt w:val="lowerLetter"/>
      <w:lvlText w:val="%2)"/>
      <w:lvlJc w:val="left"/>
      <w:pPr>
        <w:ind w:left="940" w:hanging="420"/>
      </w:pPr>
    </w:lvl>
    <w:lvl w:ilvl="2" w:tplc="0409001B" w:tentative="1">
      <w:start w:val="1"/>
      <w:numFmt w:val="lowerRoman"/>
      <w:lvlText w:val="%3."/>
      <w:lvlJc w:val="right"/>
      <w:pPr>
        <w:ind w:left="1360" w:hanging="420"/>
      </w:pPr>
    </w:lvl>
    <w:lvl w:ilvl="3" w:tplc="0409000F" w:tentative="1">
      <w:start w:val="1"/>
      <w:numFmt w:val="decimal"/>
      <w:lvlText w:val="%4."/>
      <w:lvlJc w:val="left"/>
      <w:pPr>
        <w:ind w:left="1780" w:hanging="420"/>
      </w:pPr>
    </w:lvl>
    <w:lvl w:ilvl="4" w:tplc="04090019" w:tentative="1">
      <w:start w:val="1"/>
      <w:numFmt w:val="lowerLetter"/>
      <w:lvlText w:val="%5)"/>
      <w:lvlJc w:val="left"/>
      <w:pPr>
        <w:ind w:left="2200" w:hanging="420"/>
      </w:pPr>
    </w:lvl>
    <w:lvl w:ilvl="5" w:tplc="0409001B" w:tentative="1">
      <w:start w:val="1"/>
      <w:numFmt w:val="lowerRoman"/>
      <w:lvlText w:val="%6."/>
      <w:lvlJc w:val="right"/>
      <w:pPr>
        <w:ind w:left="2620" w:hanging="420"/>
      </w:pPr>
    </w:lvl>
    <w:lvl w:ilvl="6" w:tplc="0409000F" w:tentative="1">
      <w:start w:val="1"/>
      <w:numFmt w:val="decimal"/>
      <w:lvlText w:val="%7."/>
      <w:lvlJc w:val="left"/>
      <w:pPr>
        <w:ind w:left="3040" w:hanging="420"/>
      </w:pPr>
    </w:lvl>
    <w:lvl w:ilvl="7" w:tplc="04090019" w:tentative="1">
      <w:start w:val="1"/>
      <w:numFmt w:val="lowerLetter"/>
      <w:lvlText w:val="%8)"/>
      <w:lvlJc w:val="left"/>
      <w:pPr>
        <w:ind w:left="3460" w:hanging="420"/>
      </w:pPr>
    </w:lvl>
    <w:lvl w:ilvl="8" w:tplc="0409001B" w:tentative="1">
      <w:start w:val="1"/>
      <w:numFmt w:val="lowerRoman"/>
      <w:lvlText w:val="%9."/>
      <w:lvlJc w:val="right"/>
      <w:pPr>
        <w:ind w:left="3880" w:hanging="420"/>
      </w:pPr>
    </w:lvl>
  </w:abstractNum>
  <w:abstractNum w:abstractNumId="22" w15:restartNumberingAfterBreak="0">
    <w:nsid w:val="5101505E"/>
    <w:multiLevelType w:val="hybridMultilevel"/>
    <w:tmpl w:val="6C28A41A"/>
    <w:lvl w:ilvl="0" w:tplc="A0B01C54">
      <w:start w:val="1"/>
      <w:numFmt w:val="decimal"/>
      <w:pStyle w:val="Observation"/>
      <w:lvlText w:val="Observation %1"/>
      <w:lvlJc w:val="left"/>
      <w:pPr>
        <w:ind w:left="360" w:hanging="360"/>
      </w:pPr>
    </w:lvl>
    <w:lvl w:ilvl="1" w:tplc="107E0DC8">
      <w:start w:val="1"/>
      <w:numFmt w:val="decimal"/>
      <w:lvlText w:val="%2."/>
      <w:lvlJc w:val="left"/>
      <w:pPr>
        <w:tabs>
          <w:tab w:val="num" w:pos="1440"/>
        </w:tabs>
        <w:ind w:left="1440" w:hanging="360"/>
      </w:pPr>
    </w:lvl>
    <w:lvl w:ilvl="2" w:tplc="F0D6EB3E">
      <w:start w:val="1"/>
      <w:numFmt w:val="decimal"/>
      <w:lvlText w:val="%3."/>
      <w:lvlJc w:val="left"/>
      <w:pPr>
        <w:tabs>
          <w:tab w:val="num" w:pos="2160"/>
        </w:tabs>
        <w:ind w:left="2160" w:hanging="360"/>
      </w:pPr>
    </w:lvl>
    <w:lvl w:ilvl="3" w:tplc="38A4395A">
      <w:start w:val="1"/>
      <w:numFmt w:val="decimal"/>
      <w:lvlText w:val="%4."/>
      <w:lvlJc w:val="left"/>
      <w:pPr>
        <w:tabs>
          <w:tab w:val="num" w:pos="2880"/>
        </w:tabs>
        <w:ind w:left="2880" w:hanging="360"/>
      </w:pPr>
    </w:lvl>
    <w:lvl w:ilvl="4" w:tplc="950EAFC6">
      <w:start w:val="1"/>
      <w:numFmt w:val="decimal"/>
      <w:lvlText w:val="%5."/>
      <w:lvlJc w:val="left"/>
      <w:pPr>
        <w:tabs>
          <w:tab w:val="num" w:pos="3600"/>
        </w:tabs>
        <w:ind w:left="3600" w:hanging="360"/>
      </w:pPr>
    </w:lvl>
    <w:lvl w:ilvl="5" w:tplc="CAAE2302">
      <w:start w:val="1"/>
      <w:numFmt w:val="decimal"/>
      <w:lvlText w:val="%6."/>
      <w:lvlJc w:val="left"/>
      <w:pPr>
        <w:tabs>
          <w:tab w:val="num" w:pos="4320"/>
        </w:tabs>
        <w:ind w:left="4320" w:hanging="360"/>
      </w:pPr>
    </w:lvl>
    <w:lvl w:ilvl="6" w:tplc="49D4BBD8">
      <w:start w:val="1"/>
      <w:numFmt w:val="decimal"/>
      <w:lvlText w:val="%7."/>
      <w:lvlJc w:val="left"/>
      <w:pPr>
        <w:tabs>
          <w:tab w:val="num" w:pos="5040"/>
        </w:tabs>
        <w:ind w:left="5040" w:hanging="360"/>
      </w:pPr>
    </w:lvl>
    <w:lvl w:ilvl="7" w:tplc="FAEAAE3C">
      <w:start w:val="1"/>
      <w:numFmt w:val="decimal"/>
      <w:lvlText w:val="%8."/>
      <w:lvlJc w:val="left"/>
      <w:pPr>
        <w:tabs>
          <w:tab w:val="num" w:pos="5760"/>
        </w:tabs>
        <w:ind w:left="5760" w:hanging="360"/>
      </w:pPr>
    </w:lvl>
    <w:lvl w:ilvl="8" w:tplc="A97800E8">
      <w:start w:val="1"/>
      <w:numFmt w:val="decimal"/>
      <w:lvlText w:val="%9."/>
      <w:lvlJc w:val="left"/>
      <w:pPr>
        <w:tabs>
          <w:tab w:val="num" w:pos="6480"/>
        </w:tabs>
        <w:ind w:left="6480" w:hanging="360"/>
      </w:pPr>
    </w:lvl>
  </w:abstractNum>
  <w:abstractNum w:abstractNumId="23" w15:restartNumberingAfterBreak="0">
    <w:nsid w:val="54B319B1"/>
    <w:multiLevelType w:val="hybridMultilevel"/>
    <w:tmpl w:val="21726CB8"/>
    <w:lvl w:ilvl="0" w:tplc="8C6C800E">
      <w:start w:val="1"/>
      <w:numFmt w:val="bullet"/>
      <w:lvlText w:val="-"/>
      <w:lvlJc w:val="left"/>
      <w:pPr>
        <w:ind w:left="644" w:hanging="360"/>
      </w:pPr>
      <w:rPr>
        <w:rFonts w:ascii="Arial" w:eastAsia="Times New Roman" w:hAnsi="Arial" w:cs="Arial" w:hint="default"/>
      </w:rPr>
    </w:lvl>
    <w:lvl w:ilvl="1" w:tplc="041D0003" w:tentative="1">
      <w:start w:val="1"/>
      <w:numFmt w:val="bullet"/>
      <w:lvlText w:val="o"/>
      <w:lvlJc w:val="left"/>
      <w:pPr>
        <w:ind w:left="1364" w:hanging="360"/>
      </w:pPr>
      <w:rPr>
        <w:rFonts w:ascii="Courier New" w:hAnsi="Courier New" w:cs="Courier New" w:hint="default"/>
      </w:rPr>
    </w:lvl>
    <w:lvl w:ilvl="2" w:tplc="041D0005" w:tentative="1">
      <w:start w:val="1"/>
      <w:numFmt w:val="bullet"/>
      <w:lvlText w:val=""/>
      <w:lvlJc w:val="left"/>
      <w:pPr>
        <w:ind w:left="2084" w:hanging="360"/>
      </w:pPr>
      <w:rPr>
        <w:rFonts w:ascii="Wingdings" w:hAnsi="Wingdings" w:hint="default"/>
      </w:rPr>
    </w:lvl>
    <w:lvl w:ilvl="3" w:tplc="041D0001" w:tentative="1">
      <w:start w:val="1"/>
      <w:numFmt w:val="bullet"/>
      <w:lvlText w:val=""/>
      <w:lvlJc w:val="left"/>
      <w:pPr>
        <w:ind w:left="2804" w:hanging="360"/>
      </w:pPr>
      <w:rPr>
        <w:rFonts w:ascii="Symbol" w:hAnsi="Symbol" w:hint="default"/>
      </w:rPr>
    </w:lvl>
    <w:lvl w:ilvl="4" w:tplc="041D0003" w:tentative="1">
      <w:start w:val="1"/>
      <w:numFmt w:val="bullet"/>
      <w:lvlText w:val="o"/>
      <w:lvlJc w:val="left"/>
      <w:pPr>
        <w:ind w:left="3524" w:hanging="360"/>
      </w:pPr>
      <w:rPr>
        <w:rFonts w:ascii="Courier New" w:hAnsi="Courier New" w:cs="Courier New" w:hint="default"/>
      </w:rPr>
    </w:lvl>
    <w:lvl w:ilvl="5" w:tplc="041D0005" w:tentative="1">
      <w:start w:val="1"/>
      <w:numFmt w:val="bullet"/>
      <w:lvlText w:val=""/>
      <w:lvlJc w:val="left"/>
      <w:pPr>
        <w:ind w:left="4244" w:hanging="360"/>
      </w:pPr>
      <w:rPr>
        <w:rFonts w:ascii="Wingdings" w:hAnsi="Wingdings" w:hint="default"/>
      </w:rPr>
    </w:lvl>
    <w:lvl w:ilvl="6" w:tplc="041D0001" w:tentative="1">
      <w:start w:val="1"/>
      <w:numFmt w:val="bullet"/>
      <w:lvlText w:val=""/>
      <w:lvlJc w:val="left"/>
      <w:pPr>
        <w:ind w:left="4964" w:hanging="360"/>
      </w:pPr>
      <w:rPr>
        <w:rFonts w:ascii="Symbol" w:hAnsi="Symbol" w:hint="default"/>
      </w:rPr>
    </w:lvl>
    <w:lvl w:ilvl="7" w:tplc="041D0003" w:tentative="1">
      <w:start w:val="1"/>
      <w:numFmt w:val="bullet"/>
      <w:lvlText w:val="o"/>
      <w:lvlJc w:val="left"/>
      <w:pPr>
        <w:ind w:left="5684" w:hanging="360"/>
      </w:pPr>
      <w:rPr>
        <w:rFonts w:ascii="Courier New" w:hAnsi="Courier New" w:cs="Courier New" w:hint="default"/>
      </w:rPr>
    </w:lvl>
    <w:lvl w:ilvl="8" w:tplc="041D0005" w:tentative="1">
      <w:start w:val="1"/>
      <w:numFmt w:val="bullet"/>
      <w:lvlText w:val=""/>
      <w:lvlJc w:val="left"/>
      <w:pPr>
        <w:ind w:left="6404" w:hanging="360"/>
      </w:pPr>
      <w:rPr>
        <w:rFonts w:ascii="Wingdings" w:hAnsi="Wingdings" w:hint="default"/>
      </w:rPr>
    </w:lvl>
  </w:abstractNum>
  <w:abstractNum w:abstractNumId="24" w15:restartNumberingAfterBreak="0">
    <w:nsid w:val="5C5A3EB6"/>
    <w:multiLevelType w:val="hybridMultilevel"/>
    <w:tmpl w:val="E1AE821E"/>
    <w:lvl w:ilvl="0" w:tplc="04090001">
      <w:start w:val="1"/>
      <w:numFmt w:val="decimal"/>
      <w:lvlText w:val="%1."/>
      <w:lvlJc w:val="left"/>
      <w:pPr>
        <w:tabs>
          <w:tab w:val="num" w:pos="360"/>
        </w:tabs>
        <w:ind w:left="360" w:hanging="360"/>
      </w:pPr>
      <w:rPr>
        <w:rFonts w:hint="default"/>
      </w:rPr>
    </w:lvl>
    <w:lvl w:ilvl="1" w:tplc="04090003">
      <w:start w:val="1"/>
      <w:numFmt w:val="decimal"/>
      <w:pStyle w:val="Reference"/>
      <w:lvlText w:val="[%2]"/>
      <w:lvlJc w:val="left"/>
      <w:pPr>
        <w:tabs>
          <w:tab w:val="num" w:pos="-1985"/>
        </w:tabs>
        <w:ind w:left="-1985" w:hanging="567"/>
      </w:pPr>
      <w:rPr>
        <w:rFonts w:hint="default"/>
      </w:rPr>
    </w:lvl>
    <w:lvl w:ilvl="2" w:tplc="04090005">
      <w:start w:val="1"/>
      <w:numFmt w:val="lowerRoman"/>
      <w:lvlText w:val="%3."/>
      <w:lvlJc w:val="right"/>
      <w:pPr>
        <w:tabs>
          <w:tab w:val="num" w:pos="-1472"/>
        </w:tabs>
        <w:ind w:left="-1472" w:hanging="180"/>
      </w:pPr>
    </w:lvl>
    <w:lvl w:ilvl="3" w:tplc="04090001" w:tentative="1">
      <w:start w:val="1"/>
      <w:numFmt w:val="decimal"/>
      <w:lvlText w:val="%4."/>
      <w:lvlJc w:val="left"/>
      <w:pPr>
        <w:tabs>
          <w:tab w:val="num" w:pos="-752"/>
        </w:tabs>
        <w:ind w:left="-752" w:hanging="360"/>
      </w:pPr>
    </w:lvl>
    <w:lvl w:ilvl="4" w:tplc="04090003" w:tentative="1">
      <w:start w:val="1"/>
      <w:numFmt w:val="lowerLetter"/>
      <w:lvlText w:val="%5."/>
      <w:lvlJc w:val="left"/>
      <w:pPr>
        <w:tabs>
          <w:tab w:val="num" w:pos="-32"/>
        </w:tabs>
        <w:ind w:left="-32" w:hanging="360"/>
      </w:pPr>
    </w:lvl>
    <w:lvl w:ilvl="5" w:tplc="04090005" w:tentative="1">
      <w:start w:val="1"/>
      <w:numFmt w:val="lowerRoman"/>
      <w:lvlText w:val="%6."/>
      <w:lvlJc w:val="right"/>
      <w:pPr>
        <w:tabs>
          <w:tab w:val="num" w:pos="688"/>
        </w:tabs>
        <w:ind w:left="688" w:hanging="180"/>
      </w:pPr>
    </w:lvl>
    <w:lvl w:ilvl="6" w:tplc="04090001" w:tentative="1">
      <w:start w:val="1"/>
      <w:numFmt w:val="decimal"/>
      <w:lvlText w:val="%7."/>
      <w:lvlJc w:val="left"/>
      <w:pPr>
        <w:tabs>
          <w:tab w:val="num" w:pos="1408"/>
        </w:tabs>
        <w:ind w:left="1408" w:hanging="360"/>
      </w:pPr>
    </w:lvl>
    <w:lvl w:ilvl="7" w:tplc="04090003" w:tentative="1">
      <w:start w:val="1"/>
      <w:numFmt w:val="lowerLetter"/>
      <w:lvlText w:val="%8."/>
      <w:lvlJc w:val="left"/>
      <w:pPr>
        <w:tabs>
          <w:tab w:val="num" w:pos="2128"/>
        </w:tabs>
        <w:ind w:left="2128" w:hanging="360"/>
      </w:pPr>
    </w:lvl>
    <w:lvl w:ilvl="8" w:tplc="04090005" w:tentative="1">
      <w:start w:val="1"/>
      <w:numFmt w:val="lowerRoman"/>
      <w:lvlText w:val="%9."/>
      <w:lvlJc w:val="right"/>
      <w:pPr>
        <w:tabs>
          <w:tab w:val="num" w:pos="2848"/>
        </w:tabs>
        <w:ind w:left="2848" w:hanging="180"/>
      </w:pPr>
    </w:lvl>
  </w:abstractNum>
  <w:abstractNum w:abstractNumId="25" w15:restartNumberingAfterBreak="0">
    <w:nsid w:val="62AB0CCB"/>
    <w:multiLevelType w:val="hybridMultilevel"/>
    <w:tmpl w:val="673849D6"/>
    <w:lvl w:ilvl="0" w:tplc="93AE1D10">
      <w:start w:val="1"/>
      <w:numFmt w:val="decimal"/>
      <w:lvlText w:val="%1)"/>
      <w:lvlJc w:val="left"/>
      <w:pPr>
        <w:ind w:left="460" w:hanging="360"/>
      </w:pPr>
      <w:rPr>
        <w:rFonts w:hint="default"/>
      </w:rPr>
    </w:lvl>
    <w:lvl w:ilvl="1" w:tplc="20000019" w:tentative="1">
      <w:start w:val="1"/>
      <w:numFmt w:val="lowerLetter"/>
      <w:lvlText w:val="%2."/>
      <w:lvlJc w:val="left"/>
      <w:pPr>
        <w:ind w:left="1180" w:hanging="360"/>
      </w:pPr>
    </w:lvl>
    <w:lvl w:ilvl="2" w:tplc="2000001B" w:tentative="1">
      <w:start w:val="1"/>
      <w:numFmt w:val="lowerRoman"/>
      <w:lvlText w:val="%3."/>
      <w:lvlJc w:val="right"/>
      <w:pPr>
        <w:ind w:left="1900" w:hanging="180"/>
      </w:pPr>
    </w:lvl>
    <w:lvl w:ilvl="3" w:tplc="2000000F" w:tentative="1">
      <w:start w:val="1"/>
      <w:numFmt w:val="decimal"/>
      <w:lvlText w:val="%4."/>
      <w:lvlJc w:val="left"/>
      <w:pPr>
        <w:ind w:left="2620" w:hanging="360"/>
      </w:pPr>
    </w:lvl>
    <w:lvl w:ilvl="4" w:tplc="20000019" w:tentative="1">
      <w:start w:val="1"/>
      <w:numFmt w:val="lowerLetter"/>
      <w:lvlText w:val="%5."/>
      <w:lvlJc w:val="left"/>
      <w:pPr>
        <w:ind w:left="3340" w:hanging="360"/>
      </w:pPr>
    </w:lvl>
    <w:lvl w:ilvl="5" w:tplc="2000001B" w:tentative="1">
      <w:start w:val="1"/>
      <w:numFmt w:val="lowerRoman"/>
      <w:lvlText w:val="%6."/>
      <w:lvlJc w:val="right"/>
      <w:pPr>
        <w:ind w:left="4060" w:hanging="180"/>
      </w:pPr>
    </w:lvl>
    <w:lvl w:ilvl="6" w:tplc="2000000F" w:tentative="1">
      <w:start w:val="1"/>
      <w:numFmt w:val="decimal"/>
      <w:lvlText w:val="%7."/>
      <w:lvlJc w:val="left"/>
      <w:pPr>
        <w:ind w:left="4780" w:hanging="360"/>
      </w:pPr>
    </w:lvl>
    <w:lvl w:ilvl="7" w:tplc="20000019" w:tentative="1">
      <w:start w:val="1"/>
      <w:numFmt w:val="lowerLetter"/>
      <w:lvlText w:val="%8."/>
      <w:lvlJc w:val="left"/>
      <w:pPr>
        <w:ind w:left="5500" w:hanging="360"/>
      </w:pPr>
    </w:lvl>
    <w:lvl w:ilvl="8" w:tplc="2000001B" w:tentative="1">
      <w:start w:val="1"/>
      <w:numFmt w:val="lowerRoman"/>
      <w:lvlText w:val="%9."/>
      <w:lvlJc w:val="right"/>
      <w:pPr>
        <w:ind w:left="6220" w:hanging="180"/>
      </w:pPr>
    </w:lvl>
  </w:abstractNum>
  <w:abstractNum w:abstractNumId="26" w15:restartNumberingAfterBreak="0">
    <w:nsid w:val="6444445A"/>
    <w:multiLevelType w:val="hybridMultilevel"/>
    <w:tmpl w:val="FF5E5CA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65D56FD"/>
    <w:multiLevelType w:val="hybridMultilevel"/>
    <w:tmpl w:val="CC64D212"/>
    <w:lvl w:ilvl="0" w:tplc="041D0001">
      <w:start w:val="1"/>
      <w:numFmt w:val="bullet"/>
      <w:lvlText w:val=""/>
      <w:lvlJc w:val="left"/>
      <w:pPr>
        <w:ind w:left="644" w:hanging="360"/>
      </w:pPr>
      <w:rPr>
        <w:rFonts w:ascii="Symbol" w:hAnsi="Symbol" w:hint="default"/>
      </w:rPr>
    </w:lvl>
    <w:lvl w:ilvl="1" w:tplc="041D0003" w:tentative="1">
      <w:start w:val="1"/>
      <w:numFmt w:val="bullet"/>
      <w:lvlText w:val="o"/>
      <w:lvlJc w:val="left"/>
      <w:pPr>
        <w:ind w:left="1364" w:hanging="360"/>
      </w:pPr>
      <w:rPr>
        <w:rFonts w:ascii="Courier New" w:hAnsi="Courier New" w:cs="Courier New" w:hint="default"/>
      </w:rPr>
    </w:lvl>
    <w:lvl w:ilvl="2" w:tplc="041D0005" w:tentative="1">
      <w:start w:val="1"/>
      <w:numFmt w:val="bullet"/>
      <w:lvlText w:val=""/>
      <w:lvlJc w:val="left"/>
      <w:pPr>
        <w:ind w:left="2084" w:hanging="360"/>
      </w:pPr>
      <w:rPr>
        <w:rFonts w:ascii="Wingdings" w:hAnsi="Wingdings" w:hint="default"/>
      </w:rPr>
    </w:lvl>
    <w:lvl w:ilvl="3" w:tplc="041D0001" w:tentative="1">
      <w:start w:val="1"/>
      <w:numFmt w:val="bullet"/>
      <w:lvlText w:val=""/>
      <w:lvlJc w:val="left"/>
      <w:pPr>
        <w:ind w:left="2804" w:hanging="360"/>
      </w:pPr>
      <w:rPr>
        <w:rFonts w:ascii="Symbol" w:hAnsi="Symbol" w:hint="default"/>
      </w:rPr>
    </w:lvl>
    <w:lvl w:ilvl="4" w:tplc="041D0003" w:tentative="1">
      <w:start w:val="1"/>
      <w:numFmt w:val="bullet"/>
      <w:lvlText w:val="o"/>
      <w:lvlJc w:val="left"/>
      <w:pPr>
        <w:ind w:left="3524" w:hanging="360"/>
      </w:pPr>
      <w:rPr>
        <w:rFonts w:ascii="Courier New" w:hAnsi="Courier New" w:cs="Courier New" w:hint="default"/>
      </w:rPr>
    </w:lvl>
    <w:lvl w:ilvl="5" w:tplc="041D0005" w:tentative="1">
      <w:start w:val="1"/>
      <w:numFmt w:val="bullet"/>
      <w:lvlText w:val=""/>
      <w:lvlJc w:val="left"/>
      <w:pPr>
        <w:ind w:left="4244" w:hanging="360"/>
      </w:pPr>
      <w:rPr>
        <w:rFonts w:ascii="Wingdings" w:hAnsi="Wingdings" w:hint="default"/>
      </w:rPr>
    </w:lvl>
    <w:lvl w:ilvl="6" w:tplc="041D0001" w:tentative="1">
      <w:start w:val="1"/>
      <w:numFmt w:val="bullet"/>
      <w:lvlText w:val=""/>
      <w:lvlJc w:val="left"/>
      <w:pPr>
        <w:ind w:left="4964" w:hanging="360"/>
      </w:pPr>
      <w:rPr>
        <w:rFonts w:ascii="Symbol" w:hAnsi="Symbol" w:hint="default"/>
      </w:rPr>
    </w:lvl>
    <w:lvl w:ilvl="7" w:tplc="041D0003" w:tentative="1">
      <w:start w:val="1"/>
      <w:numFmt w:val="bullet"/>
      <w:lvlText w:val="o"/>
      <w:lvlJc w:val="left"/>
      <w:pPr>
        <w:ind w:left="5684" w:hanging="360"/>
      </w:pPr>
      <w:rPr>
        <w:rFonts w:ascii="Courier New" w:hAnsi="Courier New" w:cs="Courier New" w:hint="default"/>
      </w:rPr>
    </w:lvl>
    <w:lvl w:ilvl="8" w:tplc="041D0005" w:tentative="1">
      <w:start w:val="1"/>
      <w:numFmt w:val="bullet"/>
      <w:lvlText w:val=""/>
      <w:lvlJc w:val="left"/>
      <w:pPr>
        <w:ind w:left="6404" w:hanging="360"/>
      </w:pPr>
      <w:rPr>
        <w:rFonts w:ascii="Wingdings" w:hAnsi="Wingdings" w:hint="default"/>
      </w:rPr>
    </w:lvl>
  </w:abstractNum>
  <w:abstractNum w:abstractNumId="28" w15:restartNumberingAfterBreak="0">
    <w:nsid w:val="68FA0AC9"/>
    <w:multiLevelType w:val="hybridMultilevel"/>
    <w:tmpl w:val="F8CC46B2"/>
    <w:lvl w:ilvl="0" w:tplc="3968C2A6">
      <w:start w:val="6"/>
      <w:numFmt w:val="bullet"/>
      <w:lvlText w:val="-"/>
      <w:lvlJc w:val="left"/>
      <w:pPr>
        <w:ind w:left="460" w:hanging="360"/>
      </w:pPr>
      <w:rPr>
        <w:rFonts w:ascii="Arial" w:eastAsia="Times New Roman" w:hAnsi="Arial" w:cs="Arial" w:hint="default"/>
      </w:rPr>
    </w:lvl>
    <w:lvl w:ilvl="1" w:tplc="041D0003" w:tentative="1">
      <w:start w:val="1"/>
      <w:numFmt w:val="bullet"/>
      <w:lvlText w:val="o"/>
      <w:lvlJc w:val="left"/>
      <w:pPr>
        <w:ind w:left="1180" w:hanging="360"/>
      </w:pPr>
      <w:rPr>
        <w:rFonts w:ascii="Courier New" w:hAnsi="Courier New" w:cs="Courier New" w:hint="default"/>
      </w:rPr>
    </w:lvl>
    <w:lvl w:ilvl="2" w:tplc="041D0005" w:tentative="1">
      <w:start w:val="1"/>
      <w:numFmt w:val="bullet"/>
      <w:lvlText w:val=""/>
      <w:lvlJc w:val="left"/>
      <w:pPr>
        <w:ind w:left="1900" w:hanging="360"/>
      </w:pPr>
      <w:rPr>
        <w:rFonts w:ascii="Wingdings" w:hAnsi="Wingdings" w:hint="default"/>
      </w:rPr>
    </w:lvl>
    <w:lvl w:ilvl="3" w:tplc="041D0001" w:tentative="1">
      <w:start w:val="1"/>
      <w:numFmt w:val="bullet"/>
      <w:lvlText w:val=""/>
      <w:lvlJc w:val="left"/>
      <w:pPr>
        <w:ind w:left="2620" w:hanging="360"/>
      </w:pPr>
      <w:rPr>
        <w:rFonts w:ascii="Symbol" w:hAnsi="Symbol" w:hint="default"/>
      </w:rPr>
    </w:lvl>
    <w:lvl w:ilvl="4" w:tplc="041D0003" w:tentative="1">
      <w:start w:val="1"/>
      <w:numFmt w:val="bullet"/>
      <w:lvlText w:val="o"/>
      <w:lvlJc w:val="left"/>
      <w:pPr>
        <w:ind w:left="3340" w:hanging="360"/>
      </w:pPr>
      <w:rPr>
        <w:rFonts w:ascii="Courier New" w:hAnsi="Courier New" w:cs="Courier New" w:hint="default"/>
      </w:rPr>
    </w:lvl>
    <w:lvl w:ilvl="5" w:tplc="041D0005" w:tentative="1">
      <w:start w:val="1"/>
      <w:numFmt w:val="bullet"/>
      <w:lvlText w:val=""/>
      <w:lvlJc w:val="left"/>
      <w:pPr>
        <w:ind w:left="4060" w:hanging="360"/>
      </w:pPr>
      <w:rPr>
        <w:rFonts w:ascii="Wingdings" w:hAnsi="Wingdings" w:hint="default"/>
      </w:rPr>
    </w:lvl>
    <w:lvl w:ilvl="6" w:tplc="041D0001" w:tentative="1">
      <w:start w:val="1"/>
      <w:numFmt w:val="bullet"/>
      <w:lvlText w:val=""/>
      <w:lvlJc w:val="left"/>
      <w:pPr>
        <w:ind w:left="4780" w:hanging="360"/>
      </w:pPr>
      <w:rPr>
        <w:rFonts w:ascii="Symbol" w:hAnsi="Symbol" w:hint="default"/>
      </w:rPr>
    </w:lvl>
    <w:lvl w:ilvl="7" w:tplc="041D0003" w:tentative="1">
      <w:start w:val="1"/>
      <w:numFmt w:val="bullet"/>
      <w:lvlText w:val="o"/>
      <w:lvlJc w:val="left"/>
      <w:pPr>
        <w:ind w:left="5500" w:hanging="360"/>
      </w:pPr>
      <w:rPr>
        <w:rFonts w:ascii="Courier New" w:hAnsi="Courier New" w:cs="Courier New" w:hint="default"/>
      </w:rPr>
    </w:lvl>
    <w:lvl w:ilvl="8" w:tplc="041D0005" w:tentative="1">
      <w:start w:val="1"/>
      <w:numFmt w:val="bullet"/>
      <w:lvlText w:val=""/>
      <w:lvlJc w:val="left"/>
      <w:pPr>
        <w:ind w:left="6220" w:hanging="360"/>
      </w:pPr>
      <w:rPr>
        <w:rFonts w:ascii="Wingdings" w:hAnsi="Wingdings" w:hint="default"/>
      </w:rPr>
    </w:lvl>
  </w:abstractNum>
  <w:abstractNum w:abstractNumId="29" w15:restartNumberingAfterBreak="0">
    <w:nsid w:val="6F1D6A21"/>
    <w:multiLevelType w:val="singleLevel"/>
    <w:tmpl w:val="A100F9DC"/>
    <w:lvl w:ilvl="0">
      <w:start w:val="1"/>
      <w:numFmt w:val="decimal"/>
      <w:lvlText w:val="[%1]"/>
      <w:lvlJc w:val="left"/>
      <w:pPr>
        <w:tabs>
          <w:tab w:val="num" w:pos="360"/>
        </w:tabs>
        <w:ind w:left="360" w:hanging="360"/>
      </w:pPr>
      <w:rPr>
        <w:rFonts w:ascii="Times New Roman" w:hAnsi="Times New Roman" w:hint="default"/>
        <w:sz w:val="18"/>
      </w:rPr>
    </w:lvl>
  </w:abstractNum>
  <w:abstractNum w:abstractNumId="30" w15:restartNumberingAfterBreak="0">
    <w:nsid w:val="708858F6"/>
    <w:multiLevelType w:val="multilevel"/>
    <w:tmpl w:val="37FC2598"/>
    <w:styleLink w:val="LFO19"/>
    <w:lvl w:ilvl="0">
      <w:numFmt w:val="bullet"/>
      <w:pStyle w:val="Rientra1"/>
      <w:lvlText w:val=""/>
      <w:lvlJc w:val="left"/>
      <w:pPr>
        <w:ind w:left="360" w:hanging="360"/>
      </w:pPr>
      <w:rPr>
        <w:rFonts w:ascii="Symbol" w:hAnsi="Symbol"/>
      </w:rPr>
    </w:lvl>
    <w:lvl w:ilvl="1">
      <w:start w:val="1"/>
      <w:numFmt w:val="none"/>
      <w:lvlText w:val=""/>
      <w:lvlJc w:val="left"/>
      <w:pPr>
        <w:ind w:left="0" w:firstLine="0"/>
      </w:pPr>
    </w:lvl>
    <w:lvl w:ilvl="2">
      <w:start w:val="1"/>
      <w:numFmt w:val="none"/>
      <w:lvlText w:val=""/>
      <w:lvlJc w:val="left"/>
      <w:pPr>
        <w:ind w:left="0" w:firstLine="0"/>
      </w:pPr>
    </w:lvl>
    <w:lvl w:ilvl="3">
      <w:start w:val="1"/>
      <w:numFmt w:val="none"/>
      <w:lvlText w:val=""/>
      <w:lvlJc w:val="left"/>
      <w:pPr>
        <w:ind w:left="0" w:firstLine="0"/>
      </w:pPr>
    </w:lvl>
    <w:lvl w:ilvl="4">
      <w:start w:val="1"/>
      <w:numFmt w:val="none"/>
      <w:lvlText w:val=""/>
      <w:lvlJc w:val="left"/>
      <w:pPr>
        <w:ind w:left="0" w:firstLine="0"/>
      </w:pPr>
    </w:lvl>
    <w:lvl w:ilvl="5">
      <w:start w:val="1"/>
      <w:numFmt w:val="none"/>
      <w:lvlText w:val=""/>
      <w:lvlJc w:val="left"/>
      <w:pPr>
        <w:ind w:left="0" w:firstLine="0"/>
      </w:pPr>
    </w:lvl>
    <w:lvl w:ilvl="6">
      <w:start w:val="1"/>
      <w:numFmt w:val="none"/>
      <w:lvlText w:val=""/>
      <w:lvlJc w:val="left"/>
      <w:pPr>
        <w:ind w:left="0" w:firstLine="0"/>
      </w:pPr>
    </w:lvl>
    <w:lvl w:ilvl="7">
      <w:start w:val="1"/>
      <w:numFmt w:val="none"/>
      <w:lvlText w:val=""/>
      <w:lvlJc w:val="left"/>
      <w:pPr>
        <w:ind w:left="0" w:firstLine="0"/>
      </w:pPr>
    </w:lvl>
    <w:lvl w:ilvl="8">
      <w:start w:val="1"/>
      <w:numFmt w:val="none"/>
      <w:lvlText w:val=""/>
      <w:lvlJc w:val="left"/>
      <w:pPr>
        <w:ind w:left="0" w:firstLine="0"/>
      </w:pPr>
    </w:lvl>
  </w:abstractNum>
  <w:abstractNum w:abstractNumId="31"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36D6E2A"/>
    <w:multiLevelType w:val="hybridMultilevel"/>
    <w:tmpl w:val="870673AC"/>
    <w:lvl w:ilvl="0" w:tplc="1602B88E">
      <w:start w:val="1"/>
      <w:numFmt w:val="decimal"/>
      <w:lvlText w:val="[%1]"/>
      <w:lvlJc w:val="left"/>
      <w:pPr>
        <w:tabs>
          <w:tab w:val="num" w:pos="2041"/>
        </w:tabs>
        <w:ind w:left="2041" w:hanging="737"/>
      </w:pPr>
    </w:lvl>
    <w:lvl w:ilvl="1" w:tplc="04090003">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start w:val="1"/>
      <w:numFmt w:val="lowerRoman"/>
      <w:lvlText w:val="%6."/>
      <w:lvlJc w:val="right"/>
      <w:pPr>
        <w:tabs>
          <w:tab w:val="num" w:pos="4320"/>
        </w:tabs>
        <w:ind w:left="4320" w:hanging="180"/>
      </w:pPr>
    </w:lvl>
    <w:lvl w:ilvl="6" w:tplc="04090001">
      <w:start w:val="1"/>
      <w:numFmt w:val="decimal"/>
      <w:lvlText w:val="%7."/>
      <w:lvlJc w:val="left"/>
      <w:pPr>
        <w:tabs>
          <w:tab w:val="num" w:pos="5040"/>
        </w:tabs>
        <w:ind w:left="5040" w:hanging="360"/>
      </w:pPr>
    </w:lvl>
    <w:lvl w:ilvl="7" w:tplc="04090003">
      <w:start w:val="1"/>
      <w:numFmt w:val="lowerLetter"/>
      <w:lvlText w:val="%8."/>
      <w:lvlJc w:val="left"/>
      <w:pPr>
        <w:tabs>
          <w:tab w:val="num" w:pos="5760"/>
        </w:tabs>
        <w:ind w:left="5760" w:hanging="360"/>
      </w:pPr>
    </w:lvl>
    <w:lvl w:ilvl="8" w:tplc="04090005">
      <w:start w:val="1"/>
      <w:numFmt w:val="lowerRoman"/>
      <w:lvlText w:val="%9."/>
      <w:lvlJc w:val="right"/>
      <w:pPr>
        <w:tabs>
          <w:tab w:val="num" w:pos="6480"/>
        </w:tabs>
        <w:ind w:left="6480" w:hanging="180"/>
      </w:pPr>
    </w:lvl>
  </w:abstractNum>
  <w:abstractNum w:abstractNumId="33" w15:restartNumberingAfterBreak="0">
    <w:nsid w:val="76F904C7"/>
    <w:multiLevelType w:val="hybridMultilevel"/>
    <w:tmpl w:val="0FBE42FE"/>
    <w:lvl w:ilvl="0" w:tplc="9AD8EB7A">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abstractNum w:abstractNumId="36" w15:restartNumberingAfterBreak="0">
    <w:nsid w:val="7BC330F5"/>
    <w:multiLevelType w:val="hybridMultilevel"/>
    <w:tmpl w:val="C2769C2A"/>
    <w:lvl w:ilvl="0" w:tplc="B8E25428">
      <w:start w:val="1"/>
      <w:numFmt w:val="bullet"/>
      <w:pStyle w:val="ZchnZchn"/>
      <w:lvlText w:val=""/>
      <w:lvlJc w:val="left"/>
      <w:pPr>
        <w:tabs>
          <w:tab w:val="num" w:pos="851"/>
        </w:tabs>
        <w:ind w:left="851" w:hanging="851"/>
      </w:pPr>
      <w:rPr>
        <w:rFonts w:ascii="ZapfDingbats" w:hAnsi="ZapfDingbats" w:hint="default"/>
        <w:b/>
        <w:i w:val="0"/>
        <w:color w:val="70CEF5"/>
        <w:sz w:val="20"/>
        <w:szCs w:val="20"/>
      </w:rPr>
    </w:lvl>
    <w:lvl w:ilvl="1" w:tplc="3E28D642">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num w:numId="1" w16cid:durableId="314189459">
    <w:abstractNumId w:val="24"/>
  </w:num>
  <w:num w:numId="2" w16cid:durableId="1691880071">
    <w:abstractNumId w:val="36"/>
  </w:num>
  <w:num w:numId="3" w16cid:durableId="530386630">
    <w:abstractNumId w:val="16"/>
  </w:num>
  <w:num w:numId="4" w16cid:durableId="33845127">
    <w:abstractNumId w:val="6"/>
  </w:num>
  <w:num w:numId="5" w16cid:durableId="175481776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53451199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85140612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84218121">
    <w:abstractNumId w:val="31"/>
  </w:num>
  <w:num w:numId="9" w16cid:durableId="181363563">
    <w:abstractNumId w:val="35"/>
  </w:num>
  <w:num w:numId="10" w16cid:durableId="809247985">
    <w:abstractNumId w:val="30"/>
  </w:num>
  <w:num w:numId="11" w16cid:durableId="1759790450">
    <w:abstractNumId w:val="9"/>
  </w:num>
  <w:num w:numId="12" w16cid:durableId="2110810310">
    <w:abstractNumId w:val="34"/>
  </w:num>
  <w:num w:numId="13" w16cid:durableId="239217383">
    <w:abstractNumId w:val="4"/>
  </w:num>
  <w:num w:numId="14" w16cid:durableId="279067079">
    <w:abstractNumId w:val="10"/>
  </w:num>
  <w:num w:numId="15" w16cid:durableId="25324873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44254067">
    <w:abstractNumId w:val="2"/>
  </w:num>
  <w:num w:numId="17" w16cid:durableId="1873953200">
    <w:abstractNumId w:val="7"/>
  </w:num>
  <w:num w:numId="18" w16cid:durableId="1959140075">
    <w:abstractNumId w:val="11"/>
  </w:num>
  <w:num w:numId="19" w16cid:durableId="1492598136">
    <w:abstractNumId w:val="18"/>
  </w:num>
  <w:num w:numId="20" w16cid:durableId="651064279">
    <w:abstractNumId w:val="28"/>
  </w:num>
  <w:num w:numId="21" w16cid:durableId="919370365">
    <w:abstractNumId w:val="29"/>
  </w:num>
  <w:num w:numId="22" w16cid:durableId="856308702">
    <w:abstractNumId w:val="1"/>
  </w:num>
  <w:num w:numId="23" w16cid:durableId="1501657675">
    <w:abstractNumId w:val="12"/>
  </w:num>
  <w:num w:numId="24" w16cid:durableId="1756970477">
    <w:abstractNumId w:val="5"/>
  </w:num>
  <w:num w:numId="25" w16cid:durableId="288707126">
    <w:abstractNumId w:val="14"/>
  </w:num>
  <w:num w:numId="26" w16cid:durableId="928192773">
    <w:abstractNumId w:val="23"/>
  </w:num>
  <w:num w:numId="27" w16cid:durableId="558253191">
    <w:abstractNumId w:val="27"/>
  </w:num>
  <w:num w:numId="28" w16cid:durableId="1010789148">
    <w:abstractNumId w:val="21"/>
  </w:num>
  <w:num w:numId="29" w16cid:durableId="2104063071">
    <w:abstractNumId w:val="3"/>
  </w:num>
  <w:num w:numId="30" w16cid:durableId="65078808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10942899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443378959">
    <w:abstractNumId w:val="0"/>
    <w:lvlOverride w:ilvl="0">
      <w:lvl w:ilvl="0">
        <w:numFmt w:val="bullet"/>
        <w:lvlText w:val=""/>
        <w:legacy w:legacy="1" w:legacySpace="0" w:legacyIndent="283"/>
        <w:lvlJc w:val="left"/>
        <w:pPr>
          <w:ind w:left="567" w:hanging="283"/>
        </w:pPr>
        <w:rPr>
          <w:rFonts w:ascii="Symbol" w:hAnsi="Symbol" w:hint="default"/>
        </w:rPr>
      </w:lvl>
    </w:lvlOverride>
  </w:num>
  <w:num w:numId="33" w16cid:durableId="979924536">
    <w:abstractNumId w:val="26"/>
  </w:num>
  <w:num w:numId="34" w16cid:durableId="1598168894">
    <w:abstractNumId w:val="8"/>
  </w:num>
  <w:num w:numId="35" w16cid:durableId="124741759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3895267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5028967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72090622">
    <w:abstractNumId w:val="16"/>
    <w:lvlOverride w:ilvl="0">
      <w:startOverride w:val="1"/>
    </w:lvlOverride>
  </w:num>
  <w:num w:numId="39" w16cid:durableId="134277972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706372099">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43675939">
    <w:abstractNumId w:val="17"/>
  </w:num>
  <w:num w:numId="42" w16cid:durableId="1523981268">
    <w:abstractNumId w:val="33"/>
  </w:num>
  <w:num w:numId="43" w16cid:durableId="713693561">
    <w:abstractNumId w:val="2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90"/>
  <w:bordersDoNotSurroundHeader/>
  <w:bordersDoNotSurroundFooter/>
  <w:attachedTemplate r:id="rId1"/>
  <w:defaultTabStop w:val="720"/>
  <w:hyphenationZone w:val="425"/>
  <w:characterSpacingControl w:val="doNotCompress"/>
  <w:hdrShapeDefaults>
    <o:shapedefaults v:ext="edit" spidmax="2050">
      <v:textbox inset="5.85pt,.7pt,5.85pt,.7pt"/>
    </o:shapedefaults>
  </w:hdrShapeDefaults>
  <w:footnotePr>
    <w:numRestart w:val="eachSect"/>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5A94"/>
    <w:rsid w:val="000003FE"/>
    <w:rsid w:val="000031E1"/>
    <w:rsid w:val="00004692"/>
    <w:rsid w:val="0000559F"/>
    <w:rsid w:val="00007383"/>
    <w:rsid w:val="000121EB"/>
    <w:rsid w:val="00013F59"/>
    <w:rsid w:val="00014F58"/>
    <w:rsid w:val="000172B9"/>
    <w:rsid w:val="00020EEA"/>
    <w:rsid w:val="000218B8"/>
    <w:rsid w:val="000267F0"/>
    <w:rsid w:val="0003240E"/>
    <w:rsid w:val="00032C51"/>
    <w:rsid w:val="000356D9"/>
    <w:rsid w:val="000406D4"/>
    <w:rsid w:val="00042B3B"/>
    <w:rsid w:val="00043B44"/>
    <w:rsid w:val="000440FA"/>
    <w:rsid w:val="00045D17"/>
    <w:rsid w:val="00047005"/>
    <w:rsid w:val="0004701B"/>
    <w:rsid w:val="00047716"/>
    <w:rsid w:val="00052C5A"/>
    <w:rsid w:val="00053D52"/>
    <w:rsid w:val="00060EAC"/>
    <w:rsid w:val="00061EBB"/>
    <w:rsid w:val="00065395"/>
    <w:rsid w:val="00073105"/>
    <w:rsid w:val="0007413F"/>
    <w:rsid w:val="0007606C"/>
    <w:rsid w:val="00076981"/>
    <w:rsid w:val="00077B6E"/>
    <w:rsid w:val="00082AD7"/>
    <w:rsid w:val="00083A52"/>
    <w:rsid w:val="00090776"/>
    <w:rsid w:val="000907A4"/>
    <w:rsid w:val="000952AA"/>
    <w:rsid w:val="0009572B"/>
    <w:rsid w:val="00096CBD"/>
    <w:rsid w:val="000A00C8"/>
    <w:rsid w:val="000A0C4D"/>
    <w:rsid w:val="000A0CAD"/>
    <w:rsid w:val="000A0CDA"/>
    <w:rsid w:val="000A0FF4"/>
    <w:rsid w:val="000A3435"/>
    <w:rsid w:val="000A3B47"/>
    <w:rsid w:val="000A417F"/>
    <w:rsid w:val="000B4562"/>
    <w:rsid w:val="000B6397"/>
    <w:rsid w:val="000C0F3E"/>
    <w:rsid w:val="000C79EC"/>
    <w:rsid w:val="000D39CF"/>
    <w:rsid w:val="000D3CC7"/>
    <w:rsid w:val="000D502B"/>
    <w:rsid w:val="000E16E9"/>
    <w:rsid w:val="000E3038"/>
    <w:rsid w:val="000E323A"/>
    <w:rsid w:val="000E335B"/>
    <w:rsid w:val="000E3494"/>
    <w:rsid w:val="000E495B"/>
    <w:rsid w:val="000E75F9"/>
    <w:rsid w:val="000F16AB"/>
    <w:rsid w:val="000F3FBD"/>
    <w:rsid w:val="000F56F7"/>
    <w:rsid w:val="001002D3"/>
    <w:rsid w:val="001003B9"/>
    <w:rsid w:val="00101829"/>
    <w:rsid w:val="001024AB"/>
    <w:rsid w:val="00105DD8"/>
    <w:rsid w:val="00110B62"/>
    <w:rsid w:val="00112C47"/>
    <w:rsid w:val="00121B72"/>
    <w:rsid w:val="00121CA7"/>
    <w:rsid w:val="001220F0"/>
    <w:rsid w:val="00127D20"/>
    <w:rsid w:val="001313E8"/>
    <w:rsid w:val="001316CD"/>
    <w:rsid w:val="00131C75"/>
    <w:rsid w:val="00132B3F"/>
    <w:rsid w:val="0013311E"/>
    <w:rsid w:val="001349DA"/>
    <w:rsid w:val="0013541B"/>
    <w:rsid w:val="00137E92"/>
    <w:rsid w:val="0014000E"/>
    <w:rsid w:val="00140680"/>
    <w:rsid w:val="00140837"/>
    <w:rsid w:val="0014104B"/>
    <w:rsid w:val="00142632"/>
    <w:rsid w:val="00142643"/>
    <w:rsid w:val="00146803"/>
    <w:rsid w:val="00146D3C"/>
    <w:rsid w:val="001513B0"/>
    <w:rsid w:val="00152D03"/>
    <w:rsid w:val="00152F46"/>
    <w:rsid w:val="001554AE"/>
    <w:rsid w:val="001623C4"/>
    <w:rsid w:val="0016274C"/>
    <w:rsid w:val="001641DD"/>
    <w:rsid w:val="00167D82"/>
    <w:rsid w:val="00170440"/>
    <w:rsid w:val="00170917"/>
    <w:rsid w:val="00170E37"/>
    <w:rsid w:val="00175896"/>
    <w:rsid w:val="001760B7"/>
    <w:rsid w:val="00176CD1"/>
    <w:rsid w:val="001773A4"/>
    <w:rsid w:val="00183885"/>
    <w:rsid w:val="00184384"/>
    <w:rsid w:val="00184544"/>
    <w:rsid w:val="0019115D"/>
    <w:rsid w:val="00191AD3"/>
    <w:rsid w:val="00193987"/>
    <w:rsid w:val="001A2093"/>
    <w:rsid w:val="001A3CC0"/>
    <w:rsid w:val="001A4D10"/>
    <w:rsid w:val="001A5D47"/>
    <w:rsid w:val="001A7D91"/>
    <w:rsid w:val="001B0F4D"/>
    <w:rsid w:val="001B22C4"/>
    <w:rsid w:val="001B3185"/>
    <w:rsid w:val="001B3C68"/>
    <w:rsid w:val="001B62FC"/>
    <w:rsid w:val="001B6A5E"/>
    <w:rsid w:val="001B6E6A"/>
    <w:rsid w:val="001B7DB7"/>
    <w:rsid w:val="001C0477"/>
    <w:rsid w:val="001C0902"/>
    <w:rsid w:val="001C2109"/>
    <w:rsid w:val="001C27CE"/>
    <w:rsid w:val="001C4F05"/>
    <w:rsid w:val="001C5631"/>
    <w:rsid w:val="001C6008"/>
    <w:rsid w:val="001D2DE5"/>
    <w:rsid w:val="001D31D1"/>
    <w:rsid w:val="001D5B19"/>
    <w:rsid w:val="001D6649"/>
    <w:rsid w:val="001D74E2"/>
    <w:rsid w:val="001E641D"/>
    <w:rsid w:val="001E7233"/>
    <w:rsid w:val="001F1034"/>
    <w:rsid w:val="001F36AD"/>
    <w:rsid w:val="001F3E41"/>
    <w:rsid w:val="001F59DC"/>
    <w:rsid w:val="001F7480"/>
    <w:rsid w:val="001F7664"/>
    <w:rsid w:val="00200157"/>
    <w:rsid w:val="00204696"/>
    <w:rsid w:val="0020549A"/>
    <w:rsid w:val="00205EA1"/>
    <w:rsid w:val="00207FE1"/>
    <w:rsid w:val="0021029A"/>
    <w:rsid w:val="002118C3"/>
    <w:rsid w:val="002168A2"/>
    <w:rsid w:val="00216BA5"/>
    <w:rsid w:val="002276DC"/>
    <w:rsid w:val="00227D70"/>
    <w:rsid w:val="00234131"/>
    <w:rsid w:val="00236A8E"/>
    <w:rsid w:val="0024065D"/>
    <w:rsid w:val="00240A56"/>
    <w:rsid w:val="00241248"/>
    <w:rsid w:val="00241417"/>
    <w:rsid w:val="002417CA"/>
    <w:rsid w:val="00243275"/>
    <w:rsid w:val="00246050"/>
    <w:rsid w:val="0025277F"/>
    <w:rsid w:val="00255E64"/>
    <w:rsid w:val="0025642C"/>
    <w:rsid w:val="0026181B"/>
    <w:rsid w:val="002716A4"/>
    <w:rsid w:val="00275C14"/>
    <w:rsid w:val="00275DA9"/>
    <w:rsid w:val="00286DAD"/>
    <w:rsid w:val="00287FFC"/>
    <w:rsid w:val="002902C7"/>
    <w:rsid w:val="002910EF"/>
    <w:rsid w:val="00292F5E"/>
    <w:rsid w:val="00293869"/>
    <w:rsid w:val="002940FB"/>
    <w:rsid w:val="00295C2F"/>
    <w:rsid w:val="002A15A7"/>
    <w:rsid w:val="002A25CD"/>
    <w:rsid w:val="002A674B"/>
    <w:rsid w:val="002A6C2C"/>
    <w:rsid w:val="002A7CFA"/>
    <w:rsid w:val="002B0337"/>
    <w:rsid w:val="002B502C"/>
    <w:rsid w:val="002C1727"/>
    <w:rsid w:val="002C26C0"/>
    <w:rsid w:val="002C526A"/>
    <w:rsid w:val="002D3D84"/>
    <w:rsid w:val="002D7F30"/>
    <w:rsid w:val="002E0812"/>
    <w:rsid w:val="002E0EB3"/>
    <w:rsid w:val="002E1777"/>
    <w:rsid w:val="002E2B73"/>
    <w:rsid w:val="002E2E06"/>
    <w:rsid w:val="002E3B58"/>
    <w:rsid w:val="002F05CF"/>
    <w:rsid w:val="002F2A82"/>
    <w:rsid w:val="002F310F"/>
    <w:rsid w:val="003008E4"/>
    <w:rsid w:val="00302E98"/>
    <w:rsid w:val="00303272"/>
    <w:rsid w:val="00305612"/>
    <w:rsid w:val="003062EC"/>
    <w:rsid w:val="00307332"/>
    <w:rsid w:val="00311265"/>
    <w:rsid w:val="00313BE9"/>
    <w:rsid w:val="00314D1C"/>
    <w:rsid w:val="00316B92"/>
    <w:rsid w:val="00317608"/>
    <w:rsid w:val="00317A6D"/>
    <w:rsid w:val="00322426"/>
    <w:rsid w:val="00334C0D"/>
    <w:rsid w:val="003449F0"/>
    <w:rsid w:val="003505D4"/>
    <w:rsid w:val="003518D4"/>
    <w:rsid w:val="00353F81"/>
    <w:rsid w:val="00353FF1"/>
    <w:rsid w:val="0035675E"/>
    <w:rsid w:val="00357409"/>
    <w:rsid w:val="00361F12"/>
    <w:rsid w:val="003647F0"/>
    <w:rsid w:val="00364EEE"/>
    <w:rsid w:val="003674D6"/>
    <w:rsid w:val="0036799E"/>
    <w:rsid w:val="0037108D"/>
    <w:rsid w:val="003727DD"/>
    <w:rsid w:val="003743C6"/>
    <w:rsid w:val="00374C19"/>
    <w:rsid w:val="003754C4"/>
    <w:rsid w:val="00376D99"/>
    <w:rsid w:val="0038091E"/>
    <w:rsid w:val="003815EA"/>
    <w:rsid w:val="0038181B"/>
    <w:rsid w:val="00384F00"/>
    <w:rsid w:val="00385064"/>
    <w:rsid w:val="00386732"/>
    <w:rsid w:val="0039060E"/>
    <w:rsid w:val="00392A1B"/>
    <w:rsid w:val="0039569E"/>
    <w:rsid w:val="00395DC9"/>
    <w:rsid w:val="003966C8"/>
    <w:rsid w:val="003A2555"/>
    <w:rsid w:val="003A2C51"/>
    <w:rsid w:val="003A652A"/>
    <w:rsid w:val="003A71DE"/>
    <w:rsid w:val="003B2BED"/>
    <w:rsid w:val="003B2F6D"/>
    <w:rsid w:val="003B4D39"/>
    <w:rsid w:val="003B6F7A"/>
    <w:rsid w:val="003B77EB"/>
    <w:rsid w:val="003B7C9F"/>
    <w:rsid w:val="003C241D"/>
    <w:rsid w:val="003C41F4"/>
    <w:rsid w:val="003C625C"/>
    <w:rsid w:val="003C6B74"/>
    <w:rsid w:val="003D07B6"/>
    <w:rsid w:val="003D2685"/>
    <w:rsid w:val="003D604D"/>
    <w:rsid w:val="003E03DD"/>
    <w:rsid w:val="003E1612"/>
    <w:rsid w:val="003E36E9"/>
    <w:rsid w:val="003E5516"/>
    <w:rsid w:val="003E7F64"/>
    <w:rsid w:val="003F0857"/>
    <w:rsid w:val="003F2900"/>
    <w:rsid w:val="003F3923"/>
    <w:rsid w:val="003F58B9"/>
    <w:rsid w:val="003F5D4C"/>
    <w:rsid w:val="00400154"/>
    <w:rsid w:val="00402A79"/>
    <w:rsid w:val="004056D3"/>
    <w:rsid w:val="00405706"/>
    <w:rsid w:val="00406B1A"/>
    <w:rsid w:val="00406C16"/>
    <w:rsid w:val="0041345E"/>
    <w:rsid w:val="00414A70"/>
    <w:rsid w:val="00425EFE"/>
    <w:rsid w:val="004363C6"/>
    <w:rsid w:val="00436EE5"/>
    <w:rsid w:val="0043735A"/>
    <w:rsid w:val="00441C3A"/>
    <w:rsid w:val="00442F30"/>
    <w:rsid w:val="004434D9"/>
    <w:rsid w:val="004446CC"/>
    <w:rsid w:val="00446BB8"/>
    <w:rsid w:val="0045047E"/>
    <w:rsid w:val="00451614"/>
    <w:rsid w:val="00452456"/>
    <w:rsid w:val="004549D1"/>
    <w:rsid w:val="00454A16"/>
    <w:rsid w:val="00454E3F"/>
    <w:rsid w:val="00456596"/>
    <w:rsid w:val="00460891"/>
    <w:rsid w:val="00461ACC"/>
    <w:rsid w:val="00462A4B"/>
    <w:rsid w:val="00467F4C"/>
    <w:rsid w:val="00472BA8"/>
    <w:rsid w:val="004747A0"/>
    <w:rsid w:val="00474899"/>
    <w:rsid w:val="00482130"/>
    <w:rsid w:val="0048251E"/>
    <w:rsid w:val="004832C4"/>
    <w:rsid w:val="00483805"/>
    <w:rsid w:val="00483966"/>
    <w:rsid w:val="00490871"/>
    <w:rsid w:val="00491265"/>
    <w:rsid w:val="004913CF"/>
    <w:rsid w:val="0049189F"/>
    <w:rsid w:val="00496D4A"/>
    <w:rsid w:val="00496F7D"/>
    <w:rsid w:val="00497979"/>
    <w:rsid w:val="004A10F4"/>
    <w:rsid w:val="004A1837"/>
    <w:rsid w:val="004A2DC6"/>
    <w:rsid w:val="004A33A8"/>
    <w:rsid w:val="004A356D"/>
    <w:rsid w:val="004A36C5"/>
    <w:rsid w:val="004A5F3D"/>
    <w:rsid w:val="004A62A7"/>
    <w:rsid w:val="004A6CCF"/>
    <w:rsid w:val="004A7DFE"/>
    <w:rsid w:val="004C12F8"/>
    <w:rsid w:val="004C23B4"/>
    <w:rsid w:val="004C30F8"/>
    <w:rsid w:val="004C50D0"/>
    <w:rsid w:val="004C7013"/>
    <w:rsid w:val="004D121E"/>
    <w:rsid w:val="004D1519"/>
    <w:rsid w:val="004D1879"/>
    <w:rsid w:val="004D3191"/>
    <w:rsid w:val="004D6048"/>
    <w:rsid w:val="004E0814"/>
    <w:rsid w:val="004E5C26"/>
    <w:rsid w:val="004E5F64"/>
    <w:rsid w:val="004F05E0"/>
    <w:rsid w:val="004F068B"/>
    <w:rsid w:val="004F17AB"/>
    <w:rsid w:val="004F2315"/>
    <w:rsid w:val="004F4D08"/>
    <w:rsid w:val="0050040D"/>
    <w:rsid w:val="00504775"/>
    <w:rsid w:val="005053AE"/>
    <w:rsid w:val="0050653A"/>
    <w:rsid w:val="005078BA"/>
    <w:rsid w:val="00510FFE"/>
    <w:rsid w:val="00512134"/>
    <w:rsid w:val="00514F05"/>
    <w:rsid w:val="00516255"/>
    <w:rsid w:val="0051637F"/>
    <w:rsid w:val="005230C5"/>
    <w:rsid w:val="0052393A"/>
    <w:rsid w:val="005265C2"/>
    <w:rsid w:val="00532906"/>
    <w:rsid w:val="00535439"/>
    <w:rsid w:val="00540668"/>
    <w:rsid w:val="005408A0"/>
    <w:rsid w:val="00542589"/>
    <w:rsid w:val="005437E4"/>
    <w:rsid w:val="00544C1C"/>
    <w:rsid w:val="00547893"/>
    <w:rsid w:val="005537EE"/>
    <w:rsid w:val="005564DB"/>
    <w:rsid w:val="005574B6"/>
    <w:rsid w:val="00563274"/>
    <w:rsid w:val="005649BD"/>
    <w:rsid w:val="00565A0F"/>
    <w:rsid w:val="00567111"/>
    <w:rsid w:val="0057023C"/>
    <w:rsid w:val="00572BCD"/>
    <w:rsid w:val="00574E0C"/>
    <w:rsid w:val="00575640"/>
    <w:rsid w:val="00576097"/>
    <w:rsid w:val="00576B17"/>
    <w:rsid w:val="00581E8B"/>
    <w:rsid w:val="00584C52"/>
    <w:rsid w:val="005907F6"/>
    <w:rsid w:val="005913F7"/>
    <w:rsid w:val="00593E5E"/>
    <w:rsid w:val="005945C5"/>
    <w:rsid w:val="005949E2"/>
    <w:rsid w:val="00594F0B"/>
    <w:rsid w:val="0059588B"/>
    <w:rsid w:val="005973B5"/>
    <w:rsid w:val="005A61D7"/>
    <w:rsid w:val="005A6B11"/>
    <w:rsid w:val="005A701A"/>
    <w:rsid w:val="005A7CB9"/>
    <w:rsid w:val="005B2158"/>
    <w:rsid w:val="005B3544"/>
    <w:rsid w:val="005B36D4"/>
    <w:rsid w:val="005B3785"/>
    <w:rsid w:val="005B44C0"/>
    <w:rsid w:val="005B59D6"/>
    <w:rsid w:val="005C79D3"/>
    <w:rsid w:val="005D268C"/>
    <w:rsid w:val="005E04D7"/>
    <w:rsid w:val="005E10BE"/>
    <w:rsid w:val="005E1EAF"/>
    <w:rsid w:val="005E313F"/>
    <w:rsid w:val="005E340B"/>
    <w:rsid w:val="005E3596"/>
    <w:rsid w:val="005E70BC"/>
    <w:rsid w:val="005F0AE9"/>
    <w:rsid w:val="00603B1F"/>
    <w:rsid w:val="00606332"/>
    <w:rsid w:val="0060665A"/>
    <w:rsid w:val="00606E87"/>
    <w:rsid w:val="00621B6D"/>
    <w:rsid w:val="0062210C"/>
    <w:rsid w:val="00623FE6"/>
    <w:rsid w:val="006246A2"/>
    <w:rsid w:val="00624A1F"/>
    <w:rsid w:val="00630AA8"/>
    <w:rsid w:val="0063534F"/>
    <w:rsid w:val="006378CF"/>
    <w:rsid w:val="00641413"/>
    <w:rsid w:val="00641611"/>
    <w:rsid w:val="006417D4"/>
    <w:rsid w:val="00645B9E"/>
    <w:rsid w:val="00651DF1"/>
    <w:rsid w:val="00653CAD"/>
    <w:rsid w:val="006578B5"/>
    <w:rsid w:val="006603DD"/>
    <w:rsid w:val="0066082A"/>
    <w:rsid w:val="00665A27"/>
    <w:rsid w:val="00665D56"/>
    <w:rsid w:val="00671CFD"/>
    <w:rsid w:val="00676DAA"/>
    <w:rsid w:val="00677443"/>
    <w:rsid w:val="00677CEF"/>
    <w:rsid w:val="00681DC0"/>
    <w:rsid w:val="00682317"/>
    <w:rsid w:val="00684639"/>
    <w:rsid w:val="00690659"/>
    <w:rsid w:val="00692B3D"/>
    <w:rsid w:val="006963E2"/>
    <w:rsid w:val="006A1C04"/>
    <w:rsid w:val="006A1C8B"/>
    <w:rsid w:val="006A2AEA"/>
    <w:rsid w:val="006A33DC"/>
    <w:rsid w:val="006A4067"/>
    <w:rsid w:val="006A6307"/>
    <w:rsid w:val="006B014D"/>
    <w:rsid w:val="006B3DAC"/>
    <w:rsid w:val="006B622B"/>
    <w:rsid w:val="006B6B13"/>
    <w:rsid w:val="006B6E5A"/>
    <w:rsid w:val="006C2F60"/>
    <w:rsid w:val="006C3BFB"/>
    <w:rsid w:val="006C47EF"/>
    <w:rsid w:val="006C4BA9"/>
    <w:rsid w:val="006C53A6"/>
    <w:rsid w:val="006D0A2E"/>
    <w:rsid w:val="006D1BA9"/>
    <w:rsid w:val="006D3225"/>
    <w:rsid w:val="006D6410"/>
    <w:rsid w:val="006D6C3F"/>
    <w:rsid w:val="006D7AC8"/>
    <w:rsid w:val="006E344B"/>
    <w:rsid w:val="006F0561"/>
    <w:rsid w:val="006F4E3C"/>
    <w:rsid w:val="006F59DF"/>
    <w:rsid w:val="006F6113"/>
    <w:rsid w:val="00704329"/>
    <w:rsid w:val="00704AE3"/>
    <w:rsid w:val="00706724"/>
    <w:rsid w:val="00706733"/>
    <w:rsid w:val="007070B9"/>
    <w:rsid w:val="0070791F"/>
    <w:rsid w:val="00711A01"/>
    <w:rsid w:val="00712355"/>
    <w:rsid w:val="00713EBC"/>
    <w:rsid w:val="00714D13"/>
    <w:rsid w:val="007158BA"/>
    <w:rsid w:val="00715E2D"/>
    <w:rsid w:val="00716915"/>
    <w:rsid w:val="00720A93"/>
    <w:rsid w:val="0072100A"/>
    <w:rsid w:val="00721B4D"/>
    <w:rsid w:val="00722A09"/>
    <w:rsid w:val="00723B6E"/>
    <w:rsid w:val="00723E43"/>
    <w:rsid w:val="00724326"/>
    <w:rsid w:val="00724C36"/>
    <w:rsid w:val="00725E8F"/>
    <w:rsid w:val="007262A9"/>
    <w:rsid w:val="00726DC6"/>
    <w:rsid w:val="007275CF"/>
    <w:rsid w:val="0073111B"/>
    <w:rsid w:val="00731BE8"/>
    <w:rsid w:val="00733345"/>
    <w:rsid w:val="00736C24"/>
    <w:rsid w:val="00736E81"/>
    <w:rsid w:val="0074072F"/>
    <w:rsid w:val="00741BD9"/>
    <w:rsid w:val="0074382A"/>
    <w:rsid w:val="00746C0D"/>
    <w:rsid w:val="0075073A"/>
    <w:rsid w:val="00751ED8"/>
    <w:rsid w:val="007533CD"/>
    <w:rsid w:val="0075549F"/>
    <w:rsid w:val="0076232D"/>
    <w:rsid w:val="00762D30"/>
    <w:rsid w:val="0076338D"/>
    <w:rsid w:val="0076378B"/>
    <w:rsid w:val="00763B3E"/>
    <w:rsid w:val="0076510B"/>
    <w:rsid w:val="00766C2A"/>
    <w:rsid w:val="00772A2C"/>
    <w:rsid w:val="00782AA0"/>
    <w:rsid w:val="007835E8"/>
    <w:rsid w:val="007905EC"/>
    <w:rsid w:val="00790BEC"/>
    <w:rsid w:val="00794089"/>
    <w:rsid w:val="00797503"/>
    <w:rsid w:val="007A18EB"/>
    <w:rsid w:val="007A1E38"/>
    <w:rsid w:val="007A2228"/>
    <w:rsid w:val="007A26F0"/>
    <w:rsid w:val="007A7668"/>
    <w:rsid w:val="007B131C"/>
    <w:rsid w:val="007B1ECB"/>
    <w:rsid w:val="007B2898"/>
    <w:rsid w:val="007B3FEF"/>
    <w:rsid w:val="007B4293"/>
    <w:rsid w:val="007B5640"/>
    <w:rsid w:val="007B5F49"/>
    <w:rsid w:val="007B6D0A"/>
    <w:rsid w:val="007C50C7"/>
    <w:rsid w:val="007D1ADD"/>
    <w:rsid w:val="007D20C9"/>
    <w:rsid w:val="007D5FD5"/>
    <w:rsid w:val="007D630F"/>
    <w:rsid w:val="007E2958"/>
    <w:rsid w:val="007F05C1"/>
    <w:rsid w:val="007F1ADD"/>
    <w:rsid w:val="007F6A95"/>
    <w:rsid w:val="008016FD"/>
    <w:rsid w:val="008029FD"/>
    <w:rsid w:val="008101FC"/>
    <w:rsid w:val="0081151D"/>
    <w:rsid w:val="00812E1D"/>
    <w:rsid w:val="00812F6B"/>
    <w:rsid w:val="00815C5B"/>
    <w:rsid w:val="0081760E"/>
    <w:rsid w:val="00817AB4"/>
    <w:rsid w:val="00820507"/>
    <w:rsid w:val="00825F23"/>
    <w:rsid w:val="00830DDE"/>
    <w:rsid w:val="00831FFA"/>
    <w:rsid w:val="008357B8"/>
    <w:rsid w:val="00835B23"/>
    <w:rsid w:val="0084018F"/>
    <w:rsid w:val="00841309"/>
    <w:rsid w:val="00843EA7"/>
    <w:rsid w:val="00845853"/>
    <w:rsid w:val="0084766F"/>
    <w:rsid w:val="00850B58"/>
    <w:rsid w:val="008528C2"/>
    <w:rsid w:val="00857062"/>
    <w:rsid w:val="00857A90"/>
    <w:rsid w:val="008607B2"/>
    <w:rsid w:val="00861CD0"/>
    <w:rsid w:val="008678B3"/>
    <w:rsid w:val="00871044"/>
    <w:rsid w:val="008846F2"/>
    <w:rsid w:val="00884CE8"/>
    <w:rsid w:val="00884F39"/>
    <w:rsid w:val="00887FF2"/>
    <w:rsid w:val="008910E6"/>
    <w:rsid w:val="00891BF0"/>
    <w:rsid w:val="00891C12"/>
    <w:rsid w:val="0089397E"/>
    <w:rsid w:val="00894609"/>
    <w:rsid w:val="00896BFB"/>
    <w:rsid w:val="008A1DF3"/>
    <w:rsid w:val="008A396A"/>
    <w:rsid w:val="008A4137"/>
    <w:rsid w:val="008A56CB"/>
    <w:rsid w:val="008A584D"/>
    <w:rsid w:val="008A5D5E"/>
    <w:rsid w:val="008A7CE5"/>
    <w:rsid w:val="008B07C6"/>
    <w:rsid w:val="008B33B3"/>
    <w:rsid w:val="008B46C7"/>
    <w:rsid w:val="008B4CF1"/>
    <w:rsid w:val="008B4D96"/>
    <w:rsid w:val="008B73DA"/>
    <w:rsid w:val="008B7842"/>
    <w:rsid w:val="008C27DC"/>
    <w:rsid w:val="008C4CE6"/>
    <w:rsid w:val="008D05EF"/>
    <w:rsid w:val="008D4529"/>
    <w:rsid w:val="008D69F5"/>
    <w:rsid w:val="008E4050"/>
    <w:rsid w:val="008E40BE"/>
    <w:rsid w:val="008E4421"/>
    <w:rsid w:val="008E7174"/>
    <w:rsid w:val="008F31BD"/>
    <w:rsid w:val="008F49C8"/>
    <w:rsid w:val="0090095F"/>
    <w:rsid w:val="00906BE7"/>
    <w:rsid w:val="00920F56"/>
    <w:rsid w:val="00921B9A"/>
    <w:rsid w:val="00923233"/>
    <w:rsid w:val="00923FC8"/>
    <w:rsid w:val="00927B98"/>
    <w:rsid w:val="00930453"/>
    <w:rsid w:val="00934575"/>
    <w:rsid w:val="00935D1A"/>
    <w:rsid w:val="009379FE"/>
    <w:rsid w:val="00937D49"/>
    <w:rsid w:val="00941282"/>
    <w:rsid w:val="00945315"/>
    <w:rsid w:val="009473BD"/>
    <w:rsid w:val="00953DF5"/>
    <w:rsid w:val="00954C1E"/>
    <w:rsid w:val="00955C78"/>
    <w:rsid w:val="00962E30"/>
    <w:rsid w:val="00963BD2"/>
    <w:rsid w:val="009640B8"/>
    <w:rsid w:val="00964F8E"/>
    <w:rsid w:val="0096607B"/>
    <w:rsid w:val="0096616C"/>
    <w:rsid w:val="00973972"/>
    <w:rsid w:val="00973DC3"/>
    <w:rsid w:val="009747FC"/>
    <w:rsid w:val="00975900"/>
    <w:rsid w:val="00976390"/>
    <w:rsid w:val="009778A7"/>
    <w:rsid w:val="0098111B"/>
    <w:rsid w:val="00982C7D"/>
    <w:rsid w:val="0098337B"/>
    <w:rsid w:val="00983417"/>
    <w:rsid w:val="00983C70"/>
    <w:rsid w:val="009845E0"/>
    <w:rsid w:val="009854B2"/>
    <w:rsid w:val="0098572F"/>
    <w:rsid w:val="0098642E"/>
    <w:rsid w:val="0098686A"/>
    <w:rsid w:val="00987A2E"/>
    <w:rsid w:val="00992700"/>
    <w:rsid w:val="00992BE1"/>
    <w:rsid w:val="009A1E56"/>
    <w:rsid w:val="009A4A82"/>
    <w:rsid w:val="009A4E0A"/>
    <w:rsid w:val="009A4FAE"/>
    <w:rsid w:val="009A7138"/>
    <w:rsid w:val="009B0DAC"/>
    <w:rsid w:val="009B1480"/>
    <w:rsid w:val="009B1FC7"/>
    <w:rsid w:val="009B3539"/>
    <w:rsid w:val="009B4A57"/>
    <w:rsid w:val="009B5C6B"/>
    <w:rsid w:val="009B7872"/>
    <w:rsid w:val="009C1974"/>
    <w:rsid w:val="009C39E1"/>
    <w:rsid w:val="009C3C75"/>
    <w:rsid w:val="009C4A18"/>
    <w:rsid w:val="009C6312"/>
    <w:rsid w:val="009D1F1D"/>
    <w:rsid w:val="009D2D02"/>
    <w:rsid w:val="009D2E71"/>
    <w:rsid w:val="009D387A"/>
    <w:rsid w:val="009E35EA"/>
    <w:rsid w:val="009E5827"/>
    <w:rsid w:val="009E6AC5"/>
    <w:rsid w:val="009E75D5"/>
    <w:rsid w:val="009F0F1C"/>
    <w:rsid w:val="009F1973"/>
    <w:rsid w:val="009F2BA2"/>
    <w:rsid w:val="009F389B"/>
    <w:rsid w:val="009F429D"/>
    <w:rsid w:val="009F4BEF"/>
    <w:rsid w:val="009F529B"/>
    <w:rsid w:val="009F59DA"/>
    <w:rsid w:val="009F6209"/>
    <w:rsid w:val="009F7621"/>
    <w:rsid w:val="00A03A5C"/>
    <w:rsid w:val="00A043EA"/>
    <w:rsid w:val="00A045C5"/>
    <w:rsid w:val="00A04E78"/>
    <w:rsid w:val="00A051B4"/>
    <w:rsid w:val="00A07A36"/>
    <w:rsid w:val="00A10D66"/>
    <w:rsid w:val="00A10DF8"/>
    <w:rsid w:val="00A12B25"/>
    <w:rsid w:val="00A153AF"/>
    <w:rsid w:val="00A15828"/>
    <w:rsid w:val="00A21B94"/>
    <w:rsid w:val="00A274CA"/>
    <w:rsid w:val="00A32F0F"/>
    <w:rsid w:val="00A341DD"/>
    <w:rsid w:val="00A4061E"/>
    <w:rsid w:val="00A40F90"/>
    <w:rsid w:val="00A42A8E"/>
    <w:rsid w:val="00A45210"/>
    <w:rsid w:val="00A453E4"/>
    <w:rsid w:val="00A4647C"/>
    <w:rsid w:val="00A51958"/>
    <w:rsid w:val="00A51ED4"/>
    <w:rsid w:val="00A57BA1"/>
    <w:rsid w:val="00A6270E"/>
    <w:rsid w:val="00A65A94"/>
    <w:rsid w:val="00A6741A"/>
    <w:rsid w:val="00A71D41"/>
    <w:rsid w:val="00A73F09"/>
    <w:rsid w:val="00A74AD7"/>
    <w:rsid w:val="00A75973"/>
    <w:rsid w:val="00A766FF"/>
    <w:rsid w:val="00A76F42"/>
    <w:rsid w:val="00A81DFD"/>
    <w:rsid w:val="00A83847"/>
    <w:rsid w:val="00A83D76"/>
    <w:rsid w:val="00A840A0"/>
    <w:rsid w:val="00A84437"/>
    <w:rsid w:val="00A95BA4"/>
    <w:rsid w:val="00AA7DF6"/>
    <w:rsid w:val="00AB1323"/>
    <w:rsid w:val="00AB17ED"/>
    <w:rsid w:val="00AB2F13"/>
    <w:rsid w:val="00AB3A87"/>
    <w:rsid w:val="00AB6C9A"/>
    <w:rsid w:val="00AC0407"/>
    <w:rsid w:val="00AC34AA"/>
    <w:rsid w:val="00AC7434"/>
    <w:rsid w:val="00AD2880"/>
    <w:rsid w:val="00AD2A23"/>
    <w:rsid w:val="00AD4402"/>
    <w:rsid w:val="00AD5C59"/>
    <w:rsid w:val="00AD6ECE"/>
    <w:rsid w:val="00AD7F7A"/>
    <w:rsid w:val="00AE1831"/>
    <w:rsid w:val="00AE2FC7"/>
    <w:rsid w:val="00AE6939"/>
    <w:rsid w:val="00AE773D"/>
    <w:rsid w:val="00AF3725"/>
    <w:rsid w:val="00AF48D9"/>
    <w:rsid w:val="00AF6390"/>
    <w:rsid w:val="00AF69C5"/>
    <w:rsid w:val="00AF7F9C"/>
    <w:rsid w:val="00B03869"/>
    <w:rsid w:val="00B038B0"/>
    <w:rsid w:val="00B05E06"/>
    <w:rsid w:val="00B06527"/>
    <w:rsid w:val="00B06FBA"/>
    <w:rsid w:val="00B07020"/>
    <w:rsid w:val="00B07ECC"/>
    <w:rsid w:val="00B10312"/>
    <w:rsid w:val="00B13480"/>
    <w:rsid w:val="00B1369D"/>
    <w:rsid w:val="00B1470A"/>
    <w:rsid w:val="00B15054"/>
    <w:rsid w:val="00B1568F"/>
    <w:rsid w:val="00B179ED"/>
    <w:rsid w:val="00B17BCF"/>
    <w:rsid w:val="00B17FC4"/>
    <w:rsid w:val="00B23792"/>
    <w:rsid w:val="00B244A2"/>
    <w:rsid w:val="00B24656"/>
    <w:rsid w:val="00B30736"/>
    <w:rsid w:val="00B3234F"/>
    <w:rsid w:val="00B32B2C"/>
    <w:rsid w:val="00B334F7"/>
    <w:rsid w:val="00B3585C"/>
    <w:rsid w:val="00B35DDD"/>
    <w:rsid w:val="00B36BA7"/>
    <w:rsid w:val="00B40A96"/>
    <w:rsid w:val="00B44028"/>
    <w:rsid w:val="00B459E1"/>
    <w:rsid w:val="00B45B97"/>
    <w:rsid w:val="00B461AB"/>
    <w:rsid w:val="00B51EF6"/>
    <w:rsid w:val="00B52631"/>
    <w:rsid w:val="00B5398C"/>
    <w:rsid w:val="00B53B5F"/>
    <w:rsid w:val="00B57EFA"/>
    <w:rsid w:val="00B63F76"/>
    <w:rsid w:val="00B64A8B"/>
    <w:rsid w:val="00B65AFF"/>
    <w:rsid w:val="00B663B7"/>
    <w:rsid w:val="00B705A2"/>
    <w:rsid w:val="00B729A5"/>
    <w:rsid w:val="00B72D11"/>
    <w:rsid w:val="00B73956"/>
    <w:rsid w:val="00B74F6A"/>
    <w:rsid w:val="00B76867"/>
    <w:rsid w:val="00B76994"/>
    <w:rsid w:val="00B76B4E"/>
    <w:rsid w:val="00B81B9C"/>
    <w:rsid w:val="00B81F29"/>
    <w:rsid w:val="00B84DB2"/>
    <w:rsid w:val="00B92FF6"/>
    <w:rsid w:val="00B95FEF"/>
    <w:rsid w:val="00B96727"/>
    <w:rsid w:val="00B97FE3"/>
    <w:rsid w:val="00BA0D24"/>
    <w:rsid w:val="00BA2AF2"/>
    <w:rsid w:val="00BA75EF"/>
    <w:rsid w:val="00BA782E"/>
    <w:rsid w:val="00BA78C7"/>
    <w:rsid w:val="00BB30F2"/>
    <w:rsid w:val="00BB5ACE"/>
    <w:rsid w:val="00BB6E4F"/>
    <w:rsid w:val="00BC27EC"/>
    <w:rsid w:val="00BC2ECD"/>
    <w:rsid w:val="00BC408B"/>
    <w:rsid w:val="00BC53AC"/>
    <w:rsid w:val="00BC5762"/>
    <w:rsid w:val="00BC6139"/>
    <w:rsid w:val="00BC7F35"/>
    <w:rsid w:val="00BD1F8C"/>
    <w:rsid w:val="00BD306C"/>
    <w:rsid w:val="00BD3101"/>
    <w:rsid w:val="00BD5C26"/>
    <w:rsid w:val="00BE4D8A"/>
    <w:rsid w:val="00BE57B6"/>
    <w:rsid w:val="00BF396B"/>
    <w:rsid w:val="00BF4656"/>
    <w:rsid w:val="00BF4949"/>
    <w:rsid w:val="00BF4DA8"/>
    <w:rsid w:val="00BF7A7A"/>
    <w:rsid w:val="00C00B34"/>
    <w:rsid w:val="00C00F31"/>
    <w:rsid w:val="00C01DB2"/>
    <w:rsid w:val="00C056FC"/>
    <w:rsid w:val="00C07FC2"/>
    <w:rsid w:val="00C16443"/>
    <w:rsid w:val="00C2591E"/>
    <w:rsid w:val="00C26FDC"/>
    <w:rsid w:val="00C304C8"/>
    <w:rsid w:val="00C33906"/>
    <w:rsid w:val="00C35804"/>
    <w:rsid w:val="00C36D6D"/>
    <w:rsid w:val="00C42213"/>
    <w:rsid w:val="00C42588"/>
    <w:rsid w:val="00C4365D"/>
    <w:rsid w:val="00C509EE"/>
    <w:rsid w:val="00C56601"/>
    <w:rsid w:val="00C56C85"/>
    <w:rsid w:val="00C60E58"/>
    <w:rsid w:val="00C61868"/>
    <w:rsid w:val="00C61C70"/>
    <w:rsid w:val="00C63639"/>
    <w:rsid w:val="00C63F0B"/>
    <w:rsid w:val="00C71DF9"/>
    <w:rsid w:val="00C75E54"/>
    <w:rsid w:val="00C80115"/>
    <w:rsid w:val="00C8059F"/>
    <w:rsid w:val="00C8152E"/>
    <w:rsid w:val="00C838FD"/>
    <w:rsid w:val="00C83BB2"/>
    <w:rsid w:val="00C8635F"/>
    <w:rsid w:val="00C90C57"/>
    <w:rsid w:val="00C9150E"/>
    <w:rsid w:val="00C91B20"/>
    <w:rsid w:val="00C91B26"/>
    <w:rsid w:val="00C92454"/>
    <w:rsid w:val="00C924C2"/>
    <w:rsid w:val="00C92B5B"/>
    <w:rsid w:val="00C96360"/>
    <w:rsid w:val="00C977C0"/>
    <w:rsid w:val="00C97C62"/>
    <w:rsid w:val="00CA0334"/>
    <w:rsid w:val="00CA0CB6"/>
    <w:rsid w:val="00CA1875"/>
    <w:rsid w:val="00CA2F4B"/>
    <w:rsid w:val="00CA4BF4"/>
    <w:rsid w:val="00CA6723"/>
    <w:rsid w:val="00CB1686"/>
    <w:rsid w:val="00CB2ED0"/>
    <w:rsid w:val="00CB32A1"/>
    <w:rsid w:val="00CB5E7E"/>
    <w:rsid w:val="00CB6483"/>
    <w:rsid w:val="00CB7994"/>
    <w:rsid w:val="00CC384D"/>
    <w:rsid w:val="00CC676E"/>
    <w:rsid w:val="00CD10F3"/>
    <w:rsid w:val="00CD1521"/>
    <w:rsid w:val="00CD36DC"/>
    <w:rsid w:val="00CD42E5"/>
    <w:rsid w:val="00CD49DB"/>
    <w:rsid w:val="00CD4D16"/>
    <w:rsid w:val="00CE6A7D"/>
    <w:rsid w:val="00CF007B"/>
    <w:rsid w:val="00CF271B"/>
    <w:rsid w:val="00CF2CC8"/>
    <w:rsid w:val="00CF394A"/>
    <w:rsid w:val="00CF3A1F"/>
    <w:rsid w:val="00CF4857"/>
    <w:rsid w:val="00CF73A0"/>
    <w:rsid w:val="00D00866"/>
    <w:rsid w:val="00D0290C"/>
    <w:rsid w:val="00D06741"/>
    <w:rsid w:val="00D118C1"/>
    <w:rsid w:val="00D122B9"/>
    <w:rsid w:val="00D148F7"/>
    <w:rsid w:val="00D20C3C"/>
    <w:rsid w:val="00D2208F"/>
    <w:rsid w:val="00D227C0"/>
    <w:rsid w:val="00D22B93"/>
    <w:rsid w:val="00D31ADE"/>
    <w:rsid w:val="00D341AF"/>
    <w:rsid w:val="00D34312"/>
    <w:rsid w:val="00D34A23"/>
    <w:rsid w:val="00D361AA"/>
    <w:rsid w:val="00D37A96"/>
    <w:rsid w:val="00D40CE8"/>
    <w:rsid w:val="00D41354"/>
    <w:rsid w:val="00D42FAF"/>
    <w:rsid w:val="00D467DA"/>
    <w:rsid w:val="00D470B1"/>
    <w:rsid w:val="00D47E87"/>
    <w:rsid w:val="00D50712"/>
    <w:rsid w:val="00D50FC0"/>
    <w:rsid w:val="00D51D00"/>
    <w:rsid w:val="00D52CD6"/>
    <w:rsid w:val="00D5799D"/>
    <w:rsid w:val="00D619FA"/>
    <w:rsid w:val="00D626E0"/>
    <w:rsid w:val="00D6271C"/>
    <w:rsid w:val="00D638AE"/>
    <w:rsid w:val="00D7460C"/>
    <w:rsid w:val="00D74914"/>
    <w:rsid w:val="00D768C1"/>
    <w:rsid w:val="00D80735"/>
    <w:rsid w:val="00D810BD"/>
    <w:rsid w:val="00D84E81"/>
    <w:rsid w:val="00D84FA9"/>
    <w:rsid w:val="00D87F11"/>
    <w:rsid w:val="00D9032E"/>
    <w:rsid w:val="00D9220E"/>
    <w:rsid w:val="00D93326"/>
    <w:rsid w:val="00D9690E"/>
    <w:rsid w:val="00DA39E5"/>
    <w:rsid w:val="00DA416D"/>
    <w:rsid w:val="00DA4FCA"/>
    <w:rsid w:val="00DA7471"/>
    <w:rsid w:val="00DB2F8A"/>
    <w:rsid w:val="00DB4F57"/>
    <w:rsid w:val="00DB5A90"/>
    <w:rsid w:val="00DB5E29"/>
    <w:rsid w:val="00DC1FD1"/>
    <w:rsid w:val="00DC7592"/>
    <w:rsid w:val="00DC7E6B"/>
    <w:rsid w:val="00DD24AE"/>
    <w:rsid w:val="00DD3A27"/>
    <w:rsid w:val="00DD5701"/>
    <w:rsid w:val="00DD7068"/>
    <w:rsid w:val="00DE019E"/>
    <w:rsid w:val="00DE202F"/>
    <w:rsid w:val="00DE3F78"/>
    <w:rsid w:val="00DE4A30"/>
    <w:rsid w:val="00DE67B3"/>
    <w:rsid w:val="00DE6883"/>
    <w:rsid w:val="00DE7D45"/>
    <w:rsid w:val="00DF144D"/>
    <w:rsid w:val="00DF2CEB"/>
    <w:rsid w:val="00DF33FA"/>
    <w:rsid w:val="00DF4A07"/>
    <w:rsid w:val="00E006BD"/>
    <w:rsid w:val="00E00A82"/>
    <w:rsid w:val="00E030AB"/>
    <w:rsid w:val="00E05D6A"/>
    <w:rsid w:val="00E10D04"/>
    <w:rsid w:val="00E17B9B"/>
    <w:rsid w:val="00E2075F"/>
    <w:rsid w:val="00E21C77"/>
    <w:rsid w:val="00E21D57"/>
    <w:rsid w:val="00E23E58"/>
    <w:rsid w:val="00E25A19"/>
    <w:rsid w:val="00E27516"/>
    <w:rsid w:val="00E305B9"/>
    <w:rsid w:val="00E31E51"/>
    <w:rsid w:val="00E33F84"/>
    <w:rsid w:val="00E34F05"/>
    <w:rsid w:val="00E369CA"/>
    <w:rsid w:val="00E420A6"/>
    <w:rsid w:val="00E45058"/>
    <w:rsid w:val="00E452A8"/>
    <w:rsid w:val="00E50C4A"/>
    <w:rsid w:val="00E5250A"/>
    <w:rsid w:val="00E5279B"/>
    <w:rsid w:val="00E53AE3"/>
    <w:rsid w:val="00E577C8"/>
    <w:rsid w:val="00E63503"/>
    <w:rsid w:val="00E653C5"/>
    <w:rsid w:val="00E65DCD"/>
    <w:rsid w:val="00E667BB"/>
    <w:rsid w:val="00E704B4"/>
    <w:rsid w:val="00E70B6F"/>
    <w:rsid w:val="00E71771"/>
    <w:rsid w:val="00E7283F"/>
    <w:rsid w:val="00E7507A"/>
    <w:rsid w:val="00E82D52"/>
    <w:rsid w:val="00E83937"/>
    <w:rsid w:val="00E84EDE"/>
    <w:rsid w:val="00E86E60"/>
    <w:rsid w:val="00E873FD"/>
    <w:rsid w:val="00E91D84"/>
    <w:rsid w:val="00E9252F"/>
    <w:rsid w:val="00EA47E7"/>
    <w:rsid w:val="00EB1155"/>
    <w:rsid w:val="00EB1666"/>
    <w:rsid w:val="00EB1796"/>
    <w:rsid w:val="00EB3109"/>
    <w:rsid w:val="00EB412E"/>
    <w:rsid w:val="00EB59DC"/>
    <w:rsid w:val="00EC0CE2"/>
    <w:rsid w:val="00EC2B64"/>
    <w:rsid w:val="00EC449F"/>
    <w:rsid w:val="00EC46F1"/>
    <w:rsid w:val="00EC6333"/>
    <w:rsid w:val="00ED1D05"/>
    <w:rsid w:val="00ED4965"/>
    <w:rsid w:val="00ED70DB"/>
    <w:rsid w:val="00ED7F9C"/>
    <w:rsid w:val="00EE02BE"/>
    <w:rsid w:val="00EE337E"/>
    <w:rsid w:val="00EF0517"/>
    <w:rsid w:val="00EF3F0C"/>
    <w:rsid w:val="00F00690"/>
    <w:rsid w:val="00F00E7F"/>
    <w:rsid w:val="00F014CA"/>
    <w:rsid w:val="00F01908"/>
    <w:rsid w:val="00F0532A"/>
    <w:rsid w:val="00F13F23"/>
    <w:rsid w:val="00F14568"/>
    <w:rsid w:val="00F14937"/>
    <w:rsid w:val="00F162F1"/>
    <w:rsid w:val="00F21860"/>
    <w:rsid w:val="00F21BB6"/>
    <w:rsid w:val="00F23A03"/>
    <w:rsid w:val="00F24B8F"/>
    <w:rsid w:val="00F25B52"/>
    <w:rsid w:val="00F343EF"/>
    <w:rsid w:val="00F43639"/>
    <w:rsid w:val="00F516E8"/>
    <w:rsid w:val="00F52FCE"/>
    <w:rsid w:val="00F55A67"/>
    <w:rsid w:val="00F56535"/>
    <w:rsid w:val="00F56C6E"/>
    <w:rsid w:val="00F60518"/>
    <w:rsid w:val="00F61D36"/>
    <w:rsid w:val="00F72409"/>
    <w:rsid w:val="00F72F7A"/>
    <w:rsid w:val="00F72FF2"/>
    <w:rsid w:val="00F73F2D"/>
    <w:rsid w:val="00F7450A"/>
    <w:rsid w:val="00F75295"/>
    <w:rsid w:val="00F8203B"/>
    <w:rsid w:val="00F84DC4"/>
    <w:rsid w:val="00F8590C"/>
    <w:rsid w:val="00F878F4"/>
    <w:rsid w:val="00F9157C"/>
    <w:rsid w:val="00F976C7"/>
    <w:rsid w:val="00FA153B"/>
    <w:rsid w:val="00FA219F"/>
    <w:rsid w:val="00FB1D4C"/>
    <w:rsid w:val="00FB3F21"/>
    <w:rsid w:val="00FC0DDF"/>
    <w:rsid w:val="00FC1877"/>
    <w:rsid w:val="00FC2237"/>
    <w:rsid w:val="00FC6A10"/>
    <w:rsid w:val="00FC6A8A"/>
    <w:rsid w:val="00FD29BD"/>
    <w:rsid w:val="00FD53EF"/>
    <w:rsid w:val="00FD5AE5"/>
    <w:rsid w:val="00FD7203"/>
    <w:rsid w:val="00FE263A"/>
    <w:rsid w:val="00FE3676"/>
    <w:rsid w:val="00FE473A"/>
    <w:rsid w:val="00FE5D6B"/>
    <w:rsid w:val="00FF2EC7"/>
    <w:rsid w:val="00FF7AA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65B160D"/>
  <w15:docId w15:val="{B1967599-3C46-44B6-A51F-2E3AA06206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0"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5D56"/>
    <w:pPr>
      <w:overflowPunct w:val="0"/>
      <w:autoSpaceDE w:val="0"/>
      <w:autoSpaceDN w:val="0"/>
      <w:adjustRightInd w:val="0"/>
      <w:spacing w:after="180" w:line="240" w:lineRule="auto"/>
      <w:textAlignment w:val="baseline"/>
    </w:pPr>
    <w:rPr>
      <w:rFonts w:ascii="Times New Roman" w:eastAsia="Times New Roman" w:hAnsi="Times New Roman" w:cs="Times New Roman"/>
      <w:sz w:val="20"/>
      <w:szCs w:val="20"/>
      <w:lang w:val="en-GB" w:eastAsia="en-GB"/>
    </w:rPr>
  </w:style>
  <w:style w:type="paragraph" w:styleId="Heading1">
    <w:name w:val="heading 1"/>
    <w:aliases w:val="NMP Heading 1,H1,h1,app heading 1,l1,Memo Heading 1,h11,h12,h13,h14,h15,h16,h17,h111,h121,h131,h141,h151,h161,h18,h112,h122,h132,h142,h152,h162,h19,h113,h123,h133,h143,h153,h163,1,Section of paper,Heading 1_a,Huvudrubrik,heading 1,Titre§,Char"/>
    <w:next w:val="Normal"/>
    <w:link w:val="Heading1Char"/>
    <w:uiPriority w:val="99"/>
    <w:qFormat/>
    <w:rsid w:val="00665D56"/>
    <w:pPr>
      <w:keepNext/>
      <w:keepLines/>
      <w:pBdr>
        <w:top w:val="single" w:sz="12" w:space="3" w:color="auto"/>
      </w:pBdr>
      <w:overflowPunct w:val="0"/>
      <w:autoSpaceDE w:val="0"/>
      <w:autoSpaceDN w:val="0"/>
      <w:adjustRightInd w:val="0"/>
      <w:spacing w:before="240" w:after="180" w:line="240" w:lineRule="auto"/>
      <w:ind w:left="1134" w:hanging="1134"/>
      <w:textAlignment w:val="baseline"/>
      <w:outlineLvl w:val="0"/>
    </w:pPr>
    <w:rPr>
      <w:rFonts w:ascii="Arial" w:eastAsia="Times New Roman" w:hAnsi="Arial" w:cs="Times New Roman"/>
      <w:sz w:val="36"/>
      <w:szCs w:val="20"/>
      <w:lang w:val="en-GB" w:eastAsia="en-GB"/>
    </w:rPr>
  </w:style>
  <w:style w:type="paragraph" w:styleId="Heading2">
    <w:name w:val="heading 2"/>
    <w:aliases w:val="Head2A,2,H2,h2,DO NOT USE_h2,h21,UNDERRUBRIK 1-2,Head 2,l2,TitreProp,Header 2,ITT t2,PA Major Section,Livello 2,R2,H21,Heading 2 Hidden,Head1,2nd level,heading 2,I2,Section Title,Heading2,list2,H2-Heading 2,Header&#10;2,Header2,22,heading2,2&#10;2,h22"/>
    <w:basedOn w:val="Heading1"/>
    <w:next w:val="Normal"/>
    <w:link w:val="Heading2Char"/>
    <w:qFormat/>
    <w:rsid w:val="00665D56"/>
    <w:pPr>
      <w:pBdr>
        <w:top w:val="none" w:sz="0" w:space="0" w:color="auto"/>
      </w:pBdr>
      <w:spacing w:before="180"/>
      <w:outlineLvl w:val="1"/>
    </w:pPr>
    <w:rPr>
      <w:sz w:val="32"/>
    </w:rPr>
  </w:style>
  <w:style w:type="paragraph" w:styleId="Heading3">
    <w:name w:val="heading 3"/>
    <w:aliases w:val="Underrubrik2,H3,h3,Memo Heading 3,no break,0H,l3,3,list 3,Head 3,1.1.1,3rd level,Major Section Sub Section,PA Minor Section,Head3,Level 3 Head,31,32,33,311,321,34,312,322,35,313,323,36,314,324,37,315,325,38,316,326,39,317,327,310,318,328,331"/>
    <w:basedOn w:val="Heading2"/>
    <w:next w:val="Normal"/>
    <w:link w:val="Heading3Char"/>
    <w:qFormat/>
    <w:rsid w:val="00665D56"/>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4H,Head4,heading 4,41,42,43,411,421,44,412,422,45,413"/>
    <w:basedOn w:val="Heading3"/>
    <w:next w:val="Normal"/>
    <w:link w:val="Heading4Char"/>
    <w:qFormat/>
    <w:rsid w:val="00665D56"/>
    <w:pPr>
      <w:ind w:left="1418" w:hanging="1418"/>
      <w:outlineLvl w:val="3"/>
    </w:pPr>
    <w:rPr>
      <w:sz w:val="24"/>
    </w:rPr>
  </w:style>
  <w:style w:type="paragraph" w:styleId="Heading5">
    <w:name w:val="heading 5"/>
    <w:aliases w:val="h5,Heading5,Head5,H5,M5,mh2,Module heading 2,heading 8,Numbered Sub-list,Heading 81,标题 81,Heading 811,Heading 8111"/>
    <w:basedOn w:val="Heading4"/>
    <w:next w:val="Normal"/>
    <w:link w:val="Heading5Char"/>
    <w:qFormat/>
    <w:rsid w:val="00665D56"/>
    <w:pPr>
      <w:ind w:left="1701" w:hanging="1701"/>
      <w:outlineLvl w:val="4"/>
    </w:pPr>
    <w:rPr>
      <w:sz w:val="22"/>
    </w:rPr>
  </w:style>
  <w:style w:type="paragraph" w:styleId="Heading6">
    <w:name w:val="heading 6"/>
    <w:aliases w:val="T1,Header 6"/>
    <w:basedOn w:val="H6"/>
    <w:next w:val="Normal"/>
    <w:link w:val="Heading6Char"/>
    <w:qFormat/>
    <w:rsid w:val="00665D56"/>
    <w:pPr>
      <w:outlineLvl w:val="5"/>
    </w:pPr>
  </w:style>
  <w:style w:type="paragraph" w:styleId="Heading7">
    <w:name w:val="heading 7"/>
    <w:basedOn w:val="H6"/>
    <w:next w:val="Normal"/>
    <w:link w:val="Heading7Char"/>
    <w:qFormat/>
    <w:rsid w:val="00665D56"/>
    <w:pPr>
      <w:outlineLvl w:val="6"/>
    </w:pPr>
  </w:style>
  <w:style w:type="paragraph" w:styleId="Heading8">
    <w:name w:val="heading 8"/>
    <w:basedOn w:val="Heading1"/>
    <w:next w:val="Normal"/>
    <w:link w:val="Heading8Char"/>
    <w:qFormat/>
    <w:rsid w:val="00665D56"/>
    <w:pPr>
      <w:ind w:left="0" w:firstLine="0"/>
      <w:outlineLvl w:val="7"/>
    </w:pPr>
  </w:style>
  <w:style w:type="paragraph" w:styleId="Heading9">
    <w:name w:val="heading 9"/>
    <w:aliases w:val="Figure Heading,FH"/>
    <w:basedOn w:val="Heading8"/>
    <w:next w:val="Normal"/>
    <w:link w:val="Heading9Char"/>
    <w:qFormat/>
    <w:rsid w:val="00665D56"/>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NMP Heading 1 Char3,H1 Char3,h1 Char3,app heading 1 Char3,l1 Char3,Memo Heading 1 Char3,h11 Char3,h12 Char3,h13 Char3,h14 Char3,h15 Char3,h16 Char3,h17 Char3,h111 Char3,h121 Char3,h131 Char3,h141 Char3,h151 Char3,h161 Char2,h18 Char2"/>
    <w:basedOn w:val="DefaultParagraphFont"/>
    <w:link w:val="Heading1"/>
    <w:rsid w:val="00A65A94"/>
    <w:rPr>
      <w:rFonts w:ascii="Arial" w:eastAsia="Times New Roman" w:hAnsi="Arial" w:cs="Times New Roman"/>
      <w:sz w:val="36"/>
      <w:szCs w:val="20"/>
      <w:lang w:val="en-GB" w:eastAsia="en-GB"/>
    </w:rPr>
  </w:style>
  <w:style w:type="character" w:customStyle="1" w:styleId="Heading2Char">
    <w:name w:val="Heading 2 Char"/>
    <w:aliases w:val="Head2A Char5,2 Char5,H2 Char5,h2 Char5,DO NOT USE_h2 Char5,h21 Char5,UNDERRUBRIK 1-2 Char5,Head 2 Char5,l2 Char5,TitreProp Char5,Header 2 Char5,ITT t2 Char5,PA Major Section Char5,Livello 2 Char5,R2 Char5,H21 Char5,Heading 2 Hidden Char5"/>
    <w:basedOn w:val="DefaultParagraphFont"/>
    <w:link w:val="Heading2"/>
    <w:rsid w:val="00A65A94"/>
    <w:rPr>
      <w:rFonts w:ascii="Arial" w:eastAsia="Times New Roman" w:hAnsi="Arial" w:cs="Times New Roman"/>
      <w:sz w:val="32"/>
      <w:szCs w:val="20"/>
      <w:lang w:val="en-GB" w:eastAsia="en-GB"/>
    </w:rPr>
  </w:style>
  <w:style w:type="character" w:customStyle="1" w:styleId="Heading3Char">
    <w:name w:val="Heading 3 Char"/>
    <w:aliases w:val="Underrubrik2 Char3,H3 Char3,h3 Char3,Memo Heading 3 Char3,no break Char3,0H Char3,l3 Char3,3 Char3,list 3 Char3,Head 3 Char3,1.1.1 Char3,3rd level Char3,Major Section Sub Section Char3,PA Minor Section Char3,Head3 Char3,Level 3 Head Char3"/>
    <w:basedOn w:val="DefaultParagraphFont"/>
    <w:link w:val="Heading3"/>
    <w:rsid w:val="00A65A94"/>
    <w:rPr>
      <w:rFonts w:ascii="Arial" w:eastAsia="Times New Roman" w:hAnsi="Arial" w:cs="Times New Roman"/>
      <w:sz w:val="28"/>
      <w:szCs w:val="20"/>
      <w:lang w:val="en-GB" w:eastAsia="en-GB"/>
    </w:rPr>
  </w:style>
  <w:style w:type="character" w:customStyle="1" w:styleId="Heading4Char">
    <w:name w:val="Heading 4 Char"/>
    <w:aliases w:val="h4 Char4,H4 Char4,H41 Char4,h41 Char4,H42 Char4,h42 Char4,H43 Char4,h43 Char4,H411 Char4,h411 Char4,H421 Char4,h421 Char4,H44 Char4,h44 Char4,H412 Char4,h412 Char4,H422 Char4,h422 Char4,H431 Char4,h431 Char4,H45 Char4,h45 Char4,H413 Char4"/>
    <w:basedOn w:val="DefaultParagraphFont"/>
    <w:link w:val="Heading4"/>
    <w:rsid w:val="00A65A94"/>
    <w:rPr>
      <w:rFonts w:ascii="Arial" w:eastAsia="Times New Roman" w:hAnsi="Arial" w:cs="Times New Roman"/>
      <w:sz w:val="24"/>
      <w:szCs w:val="20"/>
      <w:lang w:val="en-GB" w:eastAsia="en-GB"/>
    </w:rPr>
  </w:style>
  <w:style w:type="character" w:customStyle="1" w:styleId="Heading5Char">
    <w:name w:val="Heading 5 Char"/>
    <w:aliases w:val="h5 Char3,Heading5 Char4,Head5 Char4,H5 Char4,M5 Char4,mh2 Char4,Module heading 2 Char4,heading 8 Char4,Numbered Sub-list Char3,Heading 81 Char,标题 81 Char,Heading 811 Char,Heading 8111 Char"/>
    <w:basedOn w:val="DefaultParagraphFont"/>
    <w:link w:val="Heading5"/>
    <w:rsid w:val="00A65A94"/>
    <w:rPr>
      <w:rFonts w:ascii="Arial" w:eastAsia="Times New Roman" w:hAnsi="Arial" w:cs="Times New Roman"/>
      <w:szCs w:val="20"/>
      <w:lang w:val="en-GB" w:eastAsia="en-GB"/>
    </w:rPr>
  </w:style>
  <w:style w:type="character" w:customStyle="1" w:styleId="Heading6Char">
    <w:name w:val="Heading 6 Char"/>
    <w:aliases w:val="T1 Char4,Header 6 Char"/>
    <w:basedOn w:val="DefaultParagraphFont"/>
    <w:link w:val="Heading6"/>
    <w:rsid w:val="00A65A94"/>
    <w:rPr>
      <w:rFonts w:ascii="Arial" w:eastAsia="Times New Roman" w:hAnsi="Arial" w:cs="Times New Roman"/>
      <w:sz w:val="20"/>
      <w:szCs w:val="20"/>
      <w:lang w:val="en-GB" w:eastAsia="en-GB"/>
    </w:rPr>
  </w:style>
  <w:style w:type="character" w:customStyle="1" w:styleId="Heading7Char">
    <w:name w:val="Heading 7 Char"/>
    <w:basedOn w:val="DefaultParagraphFont"/>
    <w:link w:val="Heading7"/>
    <w:rsid w:val="00A65A94"/>
    <w:rPr>
      <w:rFonts w:ascii="Arial" w:eastAsia="Times New Roman" w:hAnsi="Arial" w:cs="Times New Roman"/>
      <w:sz w:val="20"/>
      <w:szCs w:val="20"/>
      <w:lang w:val="en-GB" w:eastAsia="en-GB"/>
    </w:rPr>
  </w:style>
  <w:style w:type="character" w:customStyle="1" w:styleId="Heading8Char">
    <w:name w:val="Heading 8 Char"/>
    <w:basedOn w:val="DefaultParagraphFont"/>
    <w:link w:val="Heading8"/>
    <w:uiPriority w:val="99"/>
    <w:rsid w:val="00A65A94"/>
    <w:rPr>
      <w:rFonts w:ascii="Arial" w:eastAsia="Times New Roman" w:hAnsi="Arial" w:cs="Times New Roman"/>
      <w:sz w:val="36"/>
      <w:szCs w:val="20"/>
      <w:lang w:val="en-GB" w:eastAsia="en-GB"/>
    </w:rPr>
  </w:style>
  <w:style w:type="character" w:customStyle="1" w:styleId="Heading9Char">
    <w:name w:val="Heading 9 Char"/>
    <w:aliases w:val="Figure Heading Char,FH Char"/>
    <w:basedOn w:val="DefaultParagraphFont"/>
    <w:link w:val="Heading9"/>
    <w:uiPriority w:val="99"/>
    <w:rsid w:val="00A65A94"/>
    <w:rPr>
      <w:rFonts w:ascii="Arial" w:eastAsia="Times New Roman" w:hAnsi="Arial" w:cs="Times New Roman"/>
      <w:sz w:val="36"/>
      <w:szCs w:val="20"/>
      <w:lang w:val="en-GB" w:eastAsia="en-GB"/>
    </w:rPr>
  </w:style>
  <w:style w:type="paragraph" w:customStyle="1" w:styleId="H6">
    <w:name w:val="H6"/>
    <w:basedOn w:val="Heading5"/>
    <w:next w:val="Normal"/>
    <w:link w:val="H6Char"/>
    <w:qFormat/>
    <w:rsid w:val="00665D56"/>
    <w:pPr>
      <w:ind w:left="1985" w:hanging="1985"/>
      <w:outlineLvl w:val="9"/>
    </w:pPr>
    <w:rPr>
      <w:sz w:val="20"/>
    </w:rPr>
  </w:style>
  <w:style w:type="paragraph" w:styleId="TOC9">
    <w:name w:val="toc 9"/>
    <w:basedOn w:val="TOC8"/>
    <w:uiPriority w:val="39"/>
    <w:rsid w:val="00665D56"/>
    <w:pPr>
      <w:ind w:left="1418" w:hanging="1418"/>
    </w:pPr>
  </w:style>
  <w:style w:type="paragraph" w:styleId="TOC8">
    <w:name w:val="toc 8"/>
    <w:basedOn w:val="TOC1"/>
    <w:uiPriority w:val="39"/>
    <w:rsid w:val="00665D56"/>
    <w:pPr>
      <w:spacing w:before="180"/>
      <w:ind w:left="2693" w:hanging="2693"/>
    </w:pPr>
    <w:rPr>
      <w:b/>
    </w:rPr>
  </w:style>
  <w:style w:type="paragraph" w:styleId="TOC1">
    <w:name w:val="toc 1"/>
    <w:uiPriority w:val="39"/>
    <w:rsid w:val="00665D56"/>
    <w:pPr>
      <w:keepNext/>
      <w:keepLines/>
      <w:widowControl w:val="0"/>
      <w:tabs>
        <w:tab w:val="right" w:leader="dot" w:pos="9639"/>
      </w:tabs>
      <w:overflowPunct w:val="0"/>
      <w:autoSpaceDE w:val="0"/>
      <w:autoSpaceDN w:val="0"/>
      <w:adjustRightInd w:val="0"/>
      <w:spacing w:before="120" w:after="0" w:line="240" w:lineRule="auto"/>
      <w:ind w:left="567" w:right="425" w:hanging="567"/>
      <w:textAlignment w:val="baseline"/>
    </w:pPr>
    <w:rPr>
      <w:rFonts w:ascii="Times New Roman" w:eastAsia="Times New Roman" w:hAnsi="Times New Roman" w:cs="Times New Roman"/>
      <w:noProof/>
      <w:szCs w:val="20"/>
      <w:lang w:val="en-GB" w:eastAsia="en-GB"/>
    </w:rPr>
  </w:style>
  <w:style w:type="paragraph" w:customStyle="1" w:styleId="EQ">
    <w:name w:val="EQ"/>
    <w:basedOn w:val="Normal"/>
    <w:next w:val="Normal"/>
    <w:link w:val="EQChar"/>
    <w:qFormat/>
    <w:rsid w:val="00665D56"/>
    <w:pPr>
      <w:keepLines/>
      <w:tabs>
        <w:tab w:val="center" w:pos="4536"/>
        <w:tab w:val="right" w:pos="9072"/>
      </w:tabs>
    </w:pPr>
    <w:rPr>
      <w:noProof/>
    </w:rPr>
  </w:style>
  <w:style w:type="character" w:customStyle="1" w:styleId="ZGSM">
    <w:name w:val="ZGSM"/>
    <w:rsid w:val="00665D56"/>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h"/>
    <w:link w:val="HeaderChar"/>
    <w:rsid w:val="00665D56"/>
    <w:pPr>
      <w:widowControl w:val="0"/>
      <w:overflowPunct w:val="0"/>
      <w:autoSpaceDE w:val="0"/>
      <w:autoSpaceDN w:val="0"/>
      <w:adjustRightInd w:val="0"/>
      <w:spacing w:after="0" w:line="240" w:lineRule="auto"/>
      <w:textAlignment w:val="baseline"/>
    </w:pPr>
    <w:rPr>
      <w:rFonts w:ascii="Arial" w:eastAsia="Times New Roman" w:hAnsi="Arial" w:cs="Times New Roman"/>
      <w:b/>
      <w:noProof/>
      <w:sz w:val="18"/>
      <w:szCs w:val="20"/>
      <w:lang w:val="en-GB" w:eastAsia="en-GB"/>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h Char"/>
    <w:basedOn w:val="DefaultParagraphFont"/>
    <w:link w:val="Header"/>
    <w:rsid w:val="00A65A94"/>
    <w:rPr>
      <w:rFonts w:ascii="Arial" w:eastAsia="Times New Roman" w:hAnsi="Arial" w:cs="Times New Roman"/>
      <w:b/>
      <w:noProof/>
      <w:sz w:val="18"/>
      <w:szCs w:val="20"/>
      <w:lang w:val="en-GB" w:eastAsia="en-GB"/>
    </w:rPr>
  </w:style>
  <w:style w:type="paragraph" w:customStyle="1" w:styleId="ZD">
    <w:name w:val="ZD"/>
    <w:rsid w:val="00665D56"/>
    <w:pPr>
      <w:framePr w:wrap="notBeside" w:vAnchor="page" w:hAnchor="margin" w:y="15764"/>
      <w:widowControl w:val="0"/>
      <w:overflowPunct w:val="0"/>
      <w:autoSpaceDE w:val="0"/>
      <w:autoSpaceDN w:val="0"/>
      <w:adjustRightInd w:val="0"/>
      <w:spacing w:after="0" w:line="240" w:lineRule="auto"/>
      <w:textAlignment w:val="baseline"/>
    </w:pPr>
    <w:rPr>
      <w:rFonts w:ascii="Arial" w:eastAsia="Times New Roman" w:hAnsi="Arial" w:cs="Times New Roman"/>
      <w:noProof/>
      <w:sz w:val="32"/>
      <w:szCs w:val="20"/>
      <w:lang w:val="en-GB" w:eastAsia="en-GB"/>
    </w:rPr>
  </w:style>
  <w:style w:type="paragraph" w:styleId="TOC5">
    <w:name w:val="toc 5"/>
    <w:basedOn w:val="TOC4"/>
    <w:uiPriority w:val="39"/>
    <w:rsid w:val="00665D56"/>
    <w:pPr>
      <w:ind w:left="1701" w:hanging="1701"/>
    </w:pPr>
  </w:style>
  <w:style w:type="paragraph" w:styleId="TOC4">
    <w:name w:val="toc 4"/>
    <w:basedOn w:val="TOC3"/>
    <w:uiPriority w:val="39"/>
    <w:rsid w:val="00665D56"/>
    <w:pPr>
      <w:ind w:left="1418" w:hanging="1418"/>
    </w:pPr>
  </w:style>
  <w:style w:type="paragraph" w:styleId="TOC3">
    <w:name w:val="toc 3"/>
    <w:basedOn w:val="TOC2"/>
    <w:uiPriority w:val="39"/>
    <w:rsid w:val="00665D56"/>
    <w:pPr>
      <w:ind w:left="1134" w:hanging="1134"/>
    </w:pPr>
  </w:style>
  <w:style w:type="paragraph" w:styleId="TOC2">
    <w:name w:val="toc 2"/>
    <w:basedOn w:val="TOC1"/>
    <w:uiPriority w:val="39"/>
    <w:rsid w:val="00665D56"/>
    <w:pPr>
      <w:keepNext w:val="0"/>
      <w:spacing w:before="0"/>
      <w:ind w:left="851" w:hanging="851"/>
    </w:pPr>
    <w:rPr>
      <w:sz w:val="20"/>
    </w:rPr>
  </w:style>
  <w:style w:type="paragraph" w:styleId="Footer">
    <w:name w:val="footer"/>
    <w:basedOn w:val="Header"/>
    <w:link w:val="FooterChar"/>
    <w:rsid w:val="00665D56"/>
    <w:pPr>
      <w:jc w:val="center"/>
    </w:pPr>
    <w:rPr>
      <w:i/>
    </w:rPr>
  </w:style>
  <w:style w:type="character" w:customStyle="1" w:styleId="FooterChar">
    <w:name w:val="Footer Char"/>
    <w:basedOn w:val="DefaultParagraphFont"/>
    <w:link w:val="Footer"/>
    <w:uiPriority w:val="99"/>
    <w:rsid w:val="00A65A94"/>
    <w:rPr>
      <w:rFonts w:ascii="Arial" w:eastAsia="Times New Roman" w:hAnsi="Arial" w:cs="Times New Roman"/>
      <w:b/>
      <w:i/>
      <w:noProof/>
      <w:sz w:val="18"/>
      <w:szCs w:val="20"/>
      <w:lang w:val="en-GB" w:eastAsia="en-GB"/>
    </w:rPr>
  </w:style>
  <w:style w:type="paragraph" w:customStyle="1" w:styleId="TT">
    <w:name w:val="TT"/>
    <w:basedOn w:val="Heading1"/>
    <w:next w:val="Normal"/>
    <w:rsid w:val="00665D56"/>
    <w:pPr>
      <w:outlineLvl w:val="9"/>
    </w:pPr>
  </w:style>
  <w:style w:type="paragraph" w:customStyle="1" w:styleId="NF">
    <w:name w:val="NF"/>
    <w:basedOn w:val="NO"/>
    <w:rsid w:val="00665D56"/>
    <w:pPr>
      <w:keepNext/>
      <w:spacing w:after="0"/>
    </w:pPr>
    <w:rPr>
      <w:rFonts w:ascii="Arial" w:hAnsi="Arial"/>
      <w:sz w:val="18"/>
    </w:rPr>
  </w:style>
  <w:style w:type="paragraph" w:customStyle="1" w:styleId="NO">
    <w:name w:val="NO"/>
    <w:basedOn w:val="Normal"/>
    <w:link w:val="NOChar"/>
    <w:qFormat/>
    <w:rsid w:val="00665D56"/>
    <w:pPr>
      <w:keepLines/>
      <w:ind w:left="1135" w:hanging="851"/>
    </w:pPr>
  </w:style>
  <w:style w:type="paragraph" w:customStyle="1" w:styleId="PL">
    <w:name w:val="PL"/>
    <w:link w:val="PLChar"/>
    <w:rsid w:val="00665D56"/>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line="240" w:lineRule="auto"/>
      <w:textAlignment w:val="baseline"/>
    </w:pPr>
    <w:rPr>
      <w:rFonts w:ascii="Courier New" w:eastAsia="Times New Roman" w:hAnsi="Courier New" w:cs="Times New Roman"/>
      <w:noProof/>
      <w:sz w:val="16"/>
      <w:szCs w:val="20"/>
      <w:lang w:val="en-GB" w:eastAsia="en-GB"/>
    </w:rPr>
  </w:style>
  <w:style w:type="paragraph" w:customStyle="1" w:styleId="TAR">
    <w:name w:val="TAR"/>
    <w:basedOn w:val="TAL"/>
    <w:qFormat/>
    <w:rsid w:val="00665D56"/>
    <w:pPr>
      <w:jc w:val="right"/>
    </w:pPr>
  </w:style>
  <w:style w:type="paragraph" w:customStyle="1" w:styleId="TAL">
    <w:name w:val="TAL"/>
    <w:basedOn w:val="Normal"/>
    <w:link w:val="TALCar"/>
    <w:qFormat/>
    <w:rsid w:val="00665D56"/>
    <w:pPr>
      <w:keepNext/>
      <w:keepLines/>
      <w:spacing w:after="0"/>
    </w:pPr>
    <w:rPr>
      <w:rFonts w:ascii="Arial" w:hAnsi="Arial"/>
      <w:sz w:val="18"/>
    </w:rPr>
  </w:style>
  <w:style w:type="paragraph" w:customStyle="1" w:styleId="TAH">
    <w:name w:val="TAH"/>
    <w:basedOn w:val="TAC"/>
    <w:link w:val="TAHCar"/>
    <w:qFormat/>
    <w:rsid w:val="00665D56"/>
    <w:rPr>
      <w:b/>
    </w:rPr>
  </w:style>
  <w:style w:type="paragraph" w:customStyle="1" w:styleId="TAC">
    <w:name w:val="TAC"/>
    <w:basedOn w:val="TAL"/>
    <w:link w:val="TACChar"/>
    <w:qFormat/>
    <w:rsid w:val="00665D56"/>
    <w:pPr>
      <w:jc w:val="center"/>
    </w:pPr>
  </w:style>
  <w:style w:type="paragraph" w:customStyle="1" w:styleId="LD">
    <w:name w:val="LD"/>
    <w:rsid w:val="00665D56"/>
    <w:pPr>
      <w:keepNext/>
      <w:keepLines/>
      <w:overflowPunct w:val="0"/>
      <w:autoSpaceDE w:val="0"/>
      <w:autoSpaceDN w:val="0"/>
      <w:adjustRightInd w:val="0"/>
      <w:spacing w:after="0" w:line="180" w:lineRule="exact"/>
      <w:textAlignment w:val="baseline"/>
    </w:pPr>
    <w:rPr>
      <w:rFonts w:ascii="Courier New" w:eastAsia="Times New Roman" w:hAnsi="Courier New" w:cs="Times New Roman"/>
      <w:noProof/>
      <w:sz w:val="20"/>
      <w:szCs w:val="20"/>
      <w:lang w:val="en-GB" w:eastAsia="en-GB"/>
    </w:rPr>
  </w:style>
  <w:style w:type="paragraph" w:customStyle="1" w:styleId="EX">
    <w:name w:val="EX"/>
    <w:basedOn w:val="Normal"/>
    <w:link w:val="EXChar"/>
    <w:qFormat/>
    <w:rsid w:val="00665D56"/>
    <w:pPr>
      <w:keepLines/>
      <w:ind w:left="1702" w:hanging="1418"/>
    </w:pPr>
  </w:style>
  <w:style w:type="paragraph" w:customStyle="1" w:styleId="FP">
    <w:name w:val="FP"/>
    <w:basedOn w:val="Normal"/>
    <w:rsid w:val="00665D56"/>
    <w:pPr>
      <w:spacing w:after="0"/>
    </w:pPr>
  </w:style>
  <w:style w:type="paragraph" w:customStyle="1" w:styleId="NW">
    <w:name w:val="NW"/>
    <w:basedOn w:val="NO"/>
    <w:rsid w:val="00665D56"/>
    <w:pPr>
      <w:spacing w:after="0"/>
    </w:pPr>
  </w:style>
  <w:style w:type="paragraph" w:customStyle="1" w:styleId="EW">
    <w:name w:val="EW"/>
    <w:basedOn w:val="EX"/>
    <w:qFormat/>
    <w:rsid w:val="00665D56"/>
    <w:pPr>
      <w:spacing w:after="0"/>
    </w:pPr>
  </w:style>
  <w:style w:type="paragraph" w:customStyle="1" w:styleId="B10">
    <w:name w:val="B1"/>
    <w:basedOn w:val="List"/>
    <w:link w:val="B1Char"/>
    <w:qFormat/>
    <w:rsid w:val="00665D56"/>
  </w:style>
  <w:style w:type="paragraph" w:styleId="TOC6">
    <w:name w:val="toc 6"/>
    <w:basedOn w:val="TOC5"/>
    <w:next w:val="Normal"/>
    <w:uiPriority w:val="39"/>
    <w:rsid w:val="00665D56"/>
    <w:pPr>
      <w:ind w:left="1985" w:hanging="1985"/>
    </w:pPr>
  </w:style>
  <w:style w:type="paragraph" w:styleId="TOC7">
    <w:name w:val="toc 7"/>
    <w:basedOn w:val="TOC6"/>
    <w:next w:val="Normal"/>
    <w:uiPriority w:val="39"/>
    <w:rsid w:val="00665D56"/>
    <w:pPr>
      <w:ind w:left="2268" w:hanging="2268"/>
    </w:pPr>
  </w:style>
  <w:style w:type="paragraph" w:customStyle="1" w:styleId="EditorsNote">
    <w:name w:val="Editor's Note"/>
    <w:aliases w:val="EN"/>
    <w:basedOn w:val="NO"/>
    <w:link w:val="EditorsNoteCarCar"/>
    <w:rsid w:val="00665D56"/>
    <w:rPr>
      <w:color w:val="FF0000"/>
    </w:rPr>
  </w:style>
  <w:style w:type="paragraph" w:customStyle="1" w:styleId="TH">
    <w:name w:val="TH"/>
    <w:basedOn w:val="Normal"/>
    <w:link w:val="THChar"/>
    <w:qFormat/>
    <w:rsid w:val="00665D56"/>
    <w:pPr>
      <w:keepNext/>
      <w:keepLines/>
      <w:spacing w:before="60"/>
      <w:jc w:val="center"/>
    </w:pPr>
    <w:rPr>
      <w:rFonts w:ascii="Arial" w:hAnsi="Arial"/>
      <w:b/>
    </w:rPr>
  </w:style>
  <w:style w:type="paragraph" w:customStyle="1" w:styleId="ZA">
    <w:name w:val="ZA"/>
    <w:rsid w:val="00665D56"/>
    <w:pPr>
      <w:framePr w:w="10206" w:h="794" w:hRule="exact" w:wrap="notBeside" w:vAnchor="page" w:hAnchor="margin" w:y="1135"/>
      <w:widowControl w:val="0"/>
      <w:pBdr>
        <w:bottom w:val="single" w:sz="12" w:space="1" w:color="auto"/>
      </w:pBdr>
      <w:overflowPunct w:val="0"/>
      <w:autoSpaceDE w:val="0"/>
      <w:autoSpaceDN w:val="0"/>
      <w:adjustRightInd w:val="0"/>
      <w:spacing w:after="0" w:line="240" w:lineRule="auto"/>
      <w:jc w:val="right"/>
      <w:textAlignment w:val="baseline"/>
    </w:pPr>
    <w:rPr>
      <w:rFonts w:ascii="Arial" w:eastAsia="Times New Roman" w:hAnsi="Arial" w:cs="Times New Roman"/>
      <w:noProof/>
      <w:sz w:val="40"/>
      <w:szCs w:val="20"/>
      <w:lang w:val="en-GB" w:eastAsia="en-GB"/>
    </w:rPr>
  </w:style>
  <w:style w:type="paragraph" w:customStyle="1" w:styleId="ZB">
    <w:name w:val="ZB"/>
    <w:rsid w:val="00665D56"/>
    <w:pPr>
      <w:framePr w:w="10206" w:h="284" w:hRule="exact" w:wrap="notBeside" w:vAnchor="page" w:hAnchor="margin" w:y="1986"/>
      <w:widowControl w:val="0"/>
      <w:overflowPunct w:val="0"/>
      <w:autoSpaceDE w:val="0"/>
      <w:autoSpaceDN w:val="0"/>
      <w:adjustRightInd w:val="0"/>
      <w:spacing w:after="0" w:line="240" w:lineRule="auto"/>
      <w:ind w:right="28"/>
      <w:jc w:val="right"/>
      <w:textAlignment w:val="baseline"/>
    </w:pPr>
    <w:rPr>
      <w:rFonts w:ascii="Arial" w:eastAsia="Times New Roman" w:hAnsi="Arial" w:cs="Times New Roman"/>
      <w:i/>
      <w:noProof/>
      <w:sz w:val="20"/>
      <w:szCs w:val="20"/>
      <w:lang w:val="en-GB" w:eastAsia="en-GB"/>
    </w:rPr>
  </w:style>
  <w:style w:type="paragraph" w:customStyle="1" w:styleId="ZT">
    <w:name w:val="ZT"/>
    <w:rsid w:val="00665D56"/>
    <w:pPr>
      <w:framePr w:wrap="notBeside" w:hAnchor="margin" w:yAlign="center"/>
      <w:widowControl w:val="0"/>
      <w:overflowPunct w:val="0"/>
      <w:autoSpaceDE w:val="0"/>
      <w:autoSpaceDN w:val="0"/>
      <w:adjustRightInd w:val="0"/>
      <w:spacing w:after="0" w:line="240" w:lineRule="atLeast"/>
      <w:jc w:val="right"/>
      <w:textAlignment w:val="baseline"/>
    </w:pPr>
    <w:rPr>
      <w:rFonts w:ascii="Arial" w:eastAsia="Times New Roman" w:hAnsi="Arial" w:cs="Times New Roman"/>
      <w:b/>
      <w:sz w:val="34"/>
      <w:szCs w:val="20"/>
      <w:lang w:val="en-GB" w:eastAsia="en-GB"/>
    </w:rPr>
  </w:style>
  <w:style w:type="paragraph" w:customStyle="1" w:styleId="ZU">
    <w:name w:val="ZU"/>
    <w:rsid w:val="00665D56"/>
    <w:pPr>
      <w:framePr w:w="10206" w:wrap="notBeside" w:vAnchor="page" w:hAnchor="margin" w:y="6238"/>
      <w:widowControl w:val="0"/>
      <w:pBdr>
        <w:top w:val="single" w:sz="12" w:space="1" w:color="auto"/>
      </w:pBdr>
      <w:overflowPunct w:val="0"/>
      <w:autoSpaceDE w:val="0"/>
      <w:autoSpaceDN w:val="0"/>
      <w:adjustRightInd w:val="0"/>
      <w:spacing w:after="0" w:line="240" w:lineRule="auto"/>
      <w:jc w:val="right"/>
      <w:textAlignment w:val="baseline"/>
    </w:pPr>
    <w:rPr>
      <w:rFonts w:ascii="Arial" w:eastAsia="Times New Roman" w:hAnsi="Arial" w:cs="Times New Roman"/>
      <w:noProof/>
      <w:sz w:val="20"/>
      <w:szCs w:val="20"/>
      <w:lang w:val="en-GB" w:eastAsia="en-GB"/>
    </w:rPr>
  </w:style>
  <w:style w:type="paragraph" w:customStyle="1" w:styleId="TAN">
    <w:name w:val="TAN"/>
    <w:basedOn w:val="TAL"/>
    <w:link w:val="TANChar"/>
    <w:qFormat/>
    <w:rsid w:val="00665D56"/>
    <w:pPr>
      <w:ind w:left="851" w:hanging="851"/>
    </w:pPr>
  </w:style>
  <w:style w:type="paragraph" w:customStyle="1" w:styleId="ZH">
    <w:name w:val="ZH"/>
    <w:rsid w:val="00665D56"/>
    <w:pPr>
      <w:framePr w:wrap="notBeside" w:vAnchor="page" w:hAnchor="margin" w:xAlign="center" w:y="6805"/>
      <w:widowControl w:val="0"/>
      <w:overflowPunct w:val="0"/>
      <w:autoSpaceDE w:val="0"/>
      <w:autoSpaceDN w:val="0"/>
      <w:adjustRightInd w:val="0"/>
      <w:spacing w:after="0" w:line="240" w:lineRule="auto"/>
      <w:textAlignment w:val="baseline"/>
    </w:pPr>
    <w:rPr>
      <w:rFonts w:ascii="Arial" w:eastAsia="Times New Roman" w:hAnsi="Arial" w:cs="Times New Roman"/>
      <w:noProof/>
      <w:sz w:val="20"/>
      <w:szCs w:val="20"/>
      <w:lang w:val="en-GB" w:eastAsia="en-GB"/>
    </w:rPr>
  </w:style>
  <w:style w:type="paragraph" w:customStyle="1" w:styleId="TF">
    <w:name w:val="TF"/>
    <w:aliases w:val="left"/>
    <w:basedOn w:val="TH"/>
    <w:link w:val="TFChar"/>
    <w:rsid w:val="00665D56"/>
    <w:pPr>
      <w:keepNext w:val="0"/>
      <w:spacing w:before="0" w:after="240"/>
    </w:pPr>
  </w:style>
  <w:style w:type="paragraph" w:customStyle="1" w:styleId="ZG">
    <w:name w:val="ZG"/>
    <w:rsid w:val="00665D56"/>
    <w:pPr>
      <w:framePr w:wrap="notBeside" w:vAnchor="page" w:hAnchor="margin" w:xAlign="right" w:y="6805"/>
      <w:widowControl w:val="0"/>
      <w:overflowPunct w:val="0"/>
      <w:autoSpaceDE w:val="0"/>
      <w:autoSpaceDN w:val="0"/>
      <w:adjustRightInd w:val="0"/>
      <w:spacing w:after="0" w:line="240" w:lineRule="auto"/>
      <w:jc w:val="right"/>
      <w:textAlignment w:val="baseline"/>
    </w:pPr>
    <w:rPr>
      <w:rFonts w:ascii="Arial" w:eastAsia="Times New Roman" w:hAnsi="Arial" w:cs="Times New Roman"/>
      <w:noProof/>
      <w:sz w:val="20"/>
      <w:szCs w:val="20"/>
      <w:lang w:val="en-GB" w:eastAsia="en-GB"/>
    </w:rPr>
  </w:style>
  <w:style w:type="paragraph" w:customStyle="1" w:styleId="B20">
    <w:name w:val="B2"/>
    <w:basedOn w:val="List2"/>
    <w:link w:val="B2Char"/>
    <w:qFormat/>
    <w:rsid w:val="00665D56"/>
  </w:style>
  <w:style w:type="paragraph" w:customStyle="1" w:styleId="B30">
    <w:name w:val="B3"/>
    <w:basedOn w:val="List3"/>
    <w:link w:val="B3Char2"/>
    <w:qFormat/>
    <w:rsid w:val="00665D56"/>
  </w:style>
  <w:style w:type="paragraph" w:customStyle="1" w:styleId="B4">
    <w:name w:val="B4"/>
    <w:basedOn w:val="List4"/>
    <w:link w:val="B4Char"/>
    <w:rsid w:val="00665D56"/>
  </w:style>
  <w:style w:type="paragraph" w:customStyle="1" w:styleId="B5">
    <w:name w:val="B5"/>
    <w:basedOn w:val="List5"/>
    <w:link w:val="B5Char"/>
    <w:rsid w:val="00665D56"/>
  </w:style>
  <w:style w:type="paragraph" w:customStyle="1" w:styleId="ZTD">
    <w:name w:val="ZTD"/>
    <w:basedOn w:val="ZB"/>
    <w:rsid w:val="00665D56"/>
    <w:pPr>
      <w:framePr w:hRule="auto" w:wrap="notBeside" w:y="852"/>
    </w:pPr>
    <w:rPr>
      <w:i w:val="0"/>
      <w:sz w:val="40"/>
    </w:rPr>
  </w:style>
  <w:style w:type="paragraph" w:customStyle="1" w:styleId="ZV">
    <w:name w:val="ZV"/>
    <w:basedOn w:val="ZU"/>
    <w:rsid w:val="00665D56"/>
    <w:pPr>
      <w:framePr w:wrap="notBeside" w:y="16161"/>
    </w:pPr>
  </w:style>
  <w:style w:type="paragraph" w:customStyle="1" w:styleId="TAJ">
    <w:name w:val="TAJ"/>
    <w:basedOn w:val="TH"/>
    <w:uiPriority w:val="99"/>
    <w:rsid w:val="00A65A94"/>
  </w:style>
  <w:style w:type="paragraph" w:customStyle="1" w:styleId="Guidance">
    <w:name w:val="Guidance"/>
    <w:basedOn w:val="Normal"/>
    <w:link w:val="GuidanceChar"/>
    <w:rsid w:val="00A65A94"/>
    <w:rPr>
      <w:i/>
      <w:color w:val="0000FF"/>
    </w:rPr>
  </w:style>
  <w:style w:type="paragraph" w:styleId="BalloonText">
    <w:name w:val="Balloon Text"/>
    <w:basedOn w:val="Normal"/>
    <w:link w:val="BalloonTextChar"/>
    <w:rsid w:val="00A65A94"/>
    <w:rPr>
      <w:rFonts w:ascii="Tahoma" w:hAnsi="Tahoma" w:cs="Tahoma"/>
      <w:sz w:val="16"/>
      <w:szCs w:val="16"/>
    </w:rPr>
  </w:style>
  <w:style w:type="character" w:customStyle="1" w:styleId="BalloonTextChar">
    <w:name w:val="Balloon Text Char"/>
    <w:basedOn w:val="DefaultParagraphFont"/>
    <w:link w:val="BalloonText"/>
    <w:uiPriority w:val="99"/>
    <w:rsid w:val="00A65A94"/>
    <w:rPr>
      <w:rFonts w:ascii="Tahoma" w:eastAsia="Times New Roman" w:hAnsi="Tahoma" w:cs="Tahoma"/>
      <w:sz w:val="16"/>
      <w:szCs w:val="16"/>
      <w:lang w:val="en-GB" w:eastAsia="ko-KR"/>
    </w:rPr>
  </w:style>
  <w:style w:type="paragraph" w:styleId="List3">
    <w:name w:val="List 3"/>
    <w:basedOn w:val="List2"/>
    <w:rsid w:val="00665D56"/>
    <w:pPr>
      <w:ind w:left="1135"/>
    </w:pPr>
  </w:style>
  <w:style w:type="character" w:customStyle="1" w:styleId="NOChar">
    <w:name w:val="NO Char"/>
    <w:link w:val="NO"/>
    <w:qFormat/>
    <w:rsid w:val="00A65A94"/>
    <w:rPr>
      <w:rFonts w:ascii="Times New Roman" w:eastAsia="Times New Roman" w:hAnsi="Times New Roman" w:cs="Times New Roman"/>
      <w:sz w:val="20"/>
      <w:szCs w:val="20"/>
      <w:lang w:val="en-GB" w:eastAsia="en-GB"/>
    </w:rPr>
  </w:style>
  <w:style w:type="paragraph" w:styleId="List2">
    <w:name w:val="List 2"/>
    <w:basedOn w:val="List"/>
    <w:link w:val="List2Char"/>
    <w:rsid w:val="00665D56"/>
    <w:pPr>
      <w:ind w:left="851"/>
    </w:pPr>
  </w:style>
  <w:style w:type="table" w:styleId="TableGrid">
    <w:name w:val="Table Grid"/>
    <w:basedOn w:val="TableNormal"/>
    <w:uiPriority w:val="39"/>
    <w:qFormat/>
    <w:rsid w:val="00A65A94"/>
    <w:pPr>
      <w:spacing w:after="18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HChar">
    <w:name w:val="TH Char"/>
    <w:link w:val="TH"/>
    <w:qFormat/>
    <w:rsid w:val="00A65A94"/>
    <w:rPr>
      <w:rFonts w:ascii="Arial" w:eastAsia="Times New Roman" w:hAnsi="Arial" w:cs="Times New Roman"/>
      <w:b/>
      <w:sz w:val="20"/>
      <w:szCs w:val="20"/>
      <w:lang w:val="en-GB" w:eastAsia="en-GB"/>
    </w:rPr>
  </w:style>
  <w:style w:type="character" w:customStyle="1" w:styleId="TACChar">
    <w:name w:val="TAC Char"/>
    <w:link w:val="TAC"/>
    <w:qFormat/>
    <w:rsid w:val="00A65A94"/>
    <w:rPr>
      <w:rFonts w:ascii="Arial" w:eastAsia="Times New Roman" w:hAnsi="Arial" w:cs="Times New Roman"/>
      <w:sz w:val="18"/>
      <w:szCs w:val="20"/>
      <w:lang w:val="en-GB" w:eastAsia="en-GB"/>
    </w:rPr>
  </w:style>
  <w:style w:type="character" w:customStyle="1" w:styleId="TAHCar">
    <w:name w:val="TAH Car"/>
    <w:link w:val="TAH"/>
    <w:qFormat/>
    <w:rsid w:val="00A65A94"/>
    <w:rPr>
      <w:rFonts w:ascii="Arial" w:eastAsia="Times New Roman" w:hAnsi="Arial" w:cs="Times New Roman"/>
      <w:b/>
      <w:sz w:val="18"/>
      <w:szCs w:val="20"/>
      <w:lang w:val="en-GB" w:eastAsia="en-GB"/>
    </w:rPr>
  </w:style>
  <w:style w:type="character" w:customStyle="1" w:styleId="TALCar">
    <w:name w:val="TAL Car"/>
    <w:link w:val="TAL"/>
    <w:qFormat/>
    <w:rsid w:val="00A65A94"/>
    <w:rPr>
      <w:rFonts w:ascii="Arial" w:eastAsia="Times New Roman" w:hAnsi="Arial" w:cs="Times New Roman"/>
      <w:sz w:val="18"/>
      <w:szCs w:val="20"/>
      <w:lang w:val="en-GB" w:eastAsia="en-GB"/>
    </w:rPr>
  </w:style>
  <w:style w:type="paragraph" w:styleId="Index2">
    <w:name w:val="index 2"/>
    <w:basedOn w:val="Index1"/>
    <w:rsid w:val="00665D56"/>
    <w:pPr>
      <w:ind w:left="284"/>
    </w:pPr>
  </w:style>
  <w:style w:type="paragraph" w:styleId="Index1">
    <w:name w:val="index 1"/>
    <w:basedOn w:val="Normal"/>
    <w:rsid w:val="00665D56"/>
    <w:pPr>
      <w:keepLines/>
      <w:spacing w:after="0"/>
    </w:pPr>
  </w:style>
  <w:style w:type="paragraph" w:styleId="ListNumber2">
    <w:name w:val="List Number 2"/>
    <w:basedOn w:val="ListNumber"/>
    <w:rsid w:val="00665D56"/>
    <w:pPr>
      <w:ind w:left="851"/>
    </w:pPr>
  </w:style>
  <w:style w:type="character" w:styleId="FootnoteReference">
    <w:name w:val="footnote reference"/>
    <w:aliases w:val="Appel note de bas de p,Footnote Reference/,Footnote symbol,Style 12,(NECG) Footnote Reference,Style 124,Appel note de bas de p + 11 pt,Italic,Appel note de bas de p1,Appel note de bas de p2,Appel note de bas de p3,Footnote,o,fr,Ref,FR"/>
    <w:basedOn w:val="DefaultParagraphFont"/>
    <w:rsid w:val="00665D56"/>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footnote text"/>
    <w:basedOn w:val="Normal"/>
    <w:link w:val="FootnoteTextChar"/>
    <w:rsid w:val="00665D56"/>
    <w:pPr>
      <w:keepLines/>
      <w:spacing w:after="0"/>
      <w:ind w:left="454" w:hanging="454"/>
    </w:pPr>
    <w:rPr>
      <w:sz w:val="16"/>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basedOn w:val="DefaultParagraphFont"/>
    <w:link w:val="FootnoteText"/>
    <w:rsid w:val="00A65A94"/>
    <w:rPr>
      <w:rFonts w:ascii="Times New Roman" w:eastAsia="Times New Roman" w:hAnsi="Times New Roman" w:cs="Times New Roman"/>
      <w:sz w:val="16"/>
      <w:szCs w:val="20"/>
      <w:lang w:val="en-GB" w:eastAsia="en-GB"/>
    </w:rPr>
  </w:style>
  <w:style w:type="paragraph" w:styleId="ListBullet2">
    <w:name w:val="List Bullet 2"/>
    <w:basedOn w:val="ListBullet"/>
    <w:link w:val="ListBullet2Char"/>
    <w:rsid w:val="00665D56"/>
    <w:pPr>
      <w:ind w:left="851"/>
    </w:pPr>
  </w:style>
  <w:style w:type="paragraph" w:styleId="ListBullet3">
    <w:name w:val="List Bullet 3"/>
    <w:basedOn w:val="ListBullet2"/>
    <w:link w:val="ListBullet3Char"/>
    <w:rsid w:val="00665D56"/>
    <w:pPr>
      <w:ind w:left="1135"/>
    </w:pPr>
  </w:style>
  <w:style w:type="paragraph" w:styleId="ListNumber">
    <w:name w:val="List Number"/>
    <w:basedOn w:val="List"/>
    <w:rsid w:val="00665D56"/>
  </w:style>
  <w:style w:type="paragraph" w:styleId="List4">
    <w:name w:val="List 4"/>
    <w:basedOn w:val="List3"/>
    <w:rsid w:val="00665D56"/>
    <w:pPr>
      <w:ind w:left="1418"/>
    </w:pPr>
  </w:style>
  <w:style w:type="paragraph" w:styleId="List5">
    <w:name w:val="List 5"/>
    <w:basedOn w:val="List4"/>
    <w:rsid w:val="00665D56"/>
    <w:pPr>
      <w:ind w:left="1702"/>
    </w:pPr>
  </w:style>
  <w:style w:type="paragraph" w:styleId="List">
    <w:name w:val="List"/>
    <w:basedOn w:val="Normal"/>
    <w:link w:val="ListChar"/>
    <w:rsid w:val="00665D56"/>
    <w:pPr>
      <w:ind w:left="568" w:hanging="284"/>
    </w:pPr>
  </w:style>
  <w:style w:type="paragraph" w:styleId="ListBullet">
    <w:name w:val="List Bullet"/>
    <w:basedOn w:val="List"/>
    <w:link w:val="ListBulletChar"/>
    <w:rsid w:val="00665D56"/>
  </w:style>
  <w:style w:type="paragraph" w:styleId="ListBullet4">
    <w:name w:val="List Bullet 4"/>
    <w:basedOn w:val="ListBullet3"/>
    <w:rsid w:val="00665D56"/>
    <w:pPr>
      <w:ind w:left="1418"/>
    </w:pPr>
  </w:style>
  <w:style w:type="paragraph" w:styleId="ListBullet5">
    <w:name w:val="List Bullet 5"/>
    <w:basedOn w:val="ListBullet4"/>
    <w:rsid w:val="00665D56"/>
    <w:pPr>
      <w:ind w:left="1702"/>
    </w:pPr>
  </w:style>
  <w:style w:type="character" w:styleId="Hyperlink">
    <w:name w:val="Hyperlink"/>
    <w:qFormat/>
    <w:rsid w:val="00A65A94"/>
    <w:rPr>
      <w:color w:val="0000FF"/>
      <w:u w:val="single"/>
    </w:rPr>
  </w:style>
  <w:style w:type="paragraph" w:styleId="DocumentMap">
    <w:name w:val="Document Map"/>
    <w:basedOn w:val="Normal"/>
    <w:link w:val="DocumentMapChar"/>
    <w:rsid w:val="00A65A94"/>
    <w:rPr>
      <w:rFonts w:ascii="Tahoma" w:hAnsi="Tahoma" w:cs="Tahoma"/>
      <w:sz w:val="16"/>
      <w:szCs w:val="16"/>
    </w:rPr>
  </w:style>
  <w:style w:type="character" w:customStyle="1" w:styleId="DocumentMapChar">
    <w:name w:val="Document Map Char"/>
    <w:basedOn w:val="DefaultParagraphFont"/>
    <w:link w:val="DocumentMap"/>
    <w:uiPriority w:val="99"/>
    <w:rsid w:val="00A65A94"/>
    <w:rPr>
      <w:rFonts w:ascii="Tahoma" w:eastAsia="Times New Roman" w:hAnsi="Tahoma" w:cs="Tahoma"/>
      <w:sz w:val="16"/>
      <w:szCs w:val="16"/>
      <w:lang w:val="en-GB" w:eastAsia="ko-KR"/>
    </w:rPr>
  </w:style>
  <w:style w:type="character" w:customStyle="1" w:styleId="TALChar">
    <w:name w:val="TAL Char"/>
    <w:qFormat/>
    <w:locked/>
    <w:rsid w:val="00A65A94"/>
    <w:rPr>
      <w:rFonts w:ascii="Arial" w:eastAsia="Times New Roman" w:hAnsi="Arial"/>
      <w:sz w:val="18"/>
    </w:rPr>
  </w:style>
  <w:style w:type="character" w:styleId="CommentReference">
    <w:name w:val="annotation reference"/>
    <w:basedOn w:val="DefaultParagraphFont"/>
    <w:unhideWhenUsed/>
    <w:qFormat/>
    <w:rsid w:val="00A65A94"/>
    <w:rPr>
      <w:sz w:val="16"/>
      <w:szCs w:val="16"/>
    </w:rPr>
  </w:style>
  <w:style w:type="paragraph" w:styleId="CommentText">
    <w:name w:val="annotation text"/>
    <w:basedOn w:val="Normal"/>
    <w:link w:val="CommentTextChar"/>
    <w:unhideWhenUsed/>
    <w:qFormat/>
    <w:rsid w:val="00A65A94"/>
  </w:style>
  <w:style w:type="character" w:customStyle="1" w:styleId="CommentTextChar">
    <w:name w:val="Comment Text Char"/>
    <w:basedOn w:val="DefaultParagraphFont"/>
    <w:link w:val="CommentText"/>
    <w:uiPriority w:val="99"/>
    <w:qFormat/>
    <w:rsid w:val="00A65A94"/>
    <w:rPr>
      <w:rFonts w:ascii="Times New Roman" w:eastAsia="Times New Roman" w:hAnsi="Times New Roman" w:cs="Times New Roman"/>
      <w:sz w:val="20"/>
      <w:szCs w:val="20"/>
      <w:lang w:val="en-GB" w:eastAsia="ko-KR"/>
    </w:rPr>
  </w:style>
  <w:style w:type="paragraph" w:styleId="CommentSubject">
    <w:name w:val="annotation subject"/>
    <w:basedOn w:val="CommentText"/>
    <w:next w:val="CommentText"/>
    <w:link w:val="CommentSubjectChar"/>
    <w:unhideWhenUsed/>
    <w:rsid w:val="00A65A94"/>
    <w:rPr>
      <w:b/>
      <w:bCs/>
    </w:rPr>
  </w:style>
  <w:style w:type="character" w:customStyle="1" w:styleId="CommentSubjectChar">
    <w:name w:val="Comment Subject Char"/>
    <w:basedOn w:val="CommentTextChar"/>
    <w:link w:val="CommentSubject"/>
    <w:uiPriority w:val="99"/>
    <w:rsid w:val="00A65A94"/>
    <w:rPr>
      <w:rFonts w:ascii="Times New Roman" w:eastAsia="Times New Roman" w:hAnsi="Times New Roman" w:cs="Times New Roman"/>
      <w:b/>
      <w:bCs/>
      <w:sz w:val="20"/>
      <w:szCs w:val="20"/>
      <w:lang w:val="en-GB" w:eastAsia="ko-KR"/>
    </w:rPr>
  </w:style>
  <w:style w:type="character" w:customStyle="1" w:styleId="TFChar">
    <w:name w:val="TF Char"/>
    <w:link w:val="TF"/>
    <w:qFormat/>
    <w:rsid w:val="00077B6E"/>
    <w:rPr>
      <w:rFonts w:ascii="Arial" w:eastAsia="Times New Roman" w:hAnsi="Arial" w:cs="Times New Roman"/>
      <w:b/>
      <w:sz w:val="20"/>
      <w:szCs w:val="20"/>
      <w:lang w:val="en-GB" w:eastAsia="en-GB"/>
    </w:rPr>
  </w:style>
  <w:style w:type="character" w:customStyle="1" w:styleId="EXChar">
    <w:name w:val="EX Char"/>
    <w:link w:val="EX"/>
    <w:qFormat/>
    <w:rsid w:val="00077B6E"/>
    <w:rPr>
      <w:rFonts w:ascii="Times New Roman" w:eastAsia="Times New Roman" w:hAnsi="Times New Roman" w:cs="Times New Roman"/>
      <w:sz w:val="20"/>
      <w:szCs w:val="20"/>
      <w:lang w:val="en-GB" w:eastAsia="en-GB"/>
    </w:rPr>
  </w:style>
  <w:style w:type="character" w:customStyle="1" w:styleId="EQChar">
    <w:name w:val="EQ Char"/>
    <w:link w:val="EQ"/>
    <w:qFormat/>
    <w:rsid w:val="00077B6E"/>
    <w:rPr>
      <w:rFonts w:ascii="Times New Roman" w:eastAsia="Times New Roman" w:hAnsi="Times New Roman" w:cs="Times New Roman"/>
      <w:noProof/>
      <w:sz w:val="20"/>
      <w:szCs w:val="20"/>
      <w:lang w:val="en-GB" w:eastAsia="en-GB"/>
    </w:rPr>
  </w:style>
  <w:style w:type="character" w:customStyle="1" w:styleId="TANChar">
    <w:name w:val="TAN Char"/>
    <w:link w:val="TAN"/>
    <w:qFormat/>
    <w:rsid w:val="00077B6E"/>
    <w:rPr>
      <w:rFonts w:ascii="Arial" w:eastAsia="Times New Roman" w:hAnsi="Arial" w:cs="Times New Roman"/>
      <w:sz w:val="18"/>
      <w:szCs w:val="20"/>
      <w:lang w:val="en-GB" w:eastAsia="en-GB"/>
    </w:rPr>
  </w:style>
  <w:style w:type="character" w:customStyle="1" w:styleId="B1Char">
    <w:name w:val="B1 Char"/>
    <w:link w:val="B10"/>
    <w:qFormat/>
    <w:rsid w:val="00077B6E"/>
    <w:rPr>
      <w:rFonts w:ascii="Times New Roman" w:eastAsia="Times New Roman" w:hAnsi="Times New Roman" w:cs="Times New Roman"/>
      <w:sz w:val="20"/>
      <w:szCs w:val="20"/>
      <w:lang w:val="en-GB" w:eastAsia="en-GB"/>
    </w:rPr>
  </w:style>
  <w:style w:type="character" w:customStyle="1" w:styleId="B2Char">
    <w:name w:val="B2 Char"/>
    <w:link w:val="B20"/>
    <w:qFormat/>
    <w:rsid w:val="00077B6E"/>
    <w:rPr>
      <w:rFonts w:ascii="Times New Roman" w:eastAsia="Times New Roman" w:hAnsi="Times New Roman" w:cs="Times New Roman"/>
      <w:sz w:val="20"/>
      <w:szCs w:val="20"/>
      <w:lang w:val="en-GB" w:eastAsia="en-GB"/>
    </w:rPr>
  </w:style>
  <w:style w:type="character" w:customStyle="1" w:styleId="B3Char2">
    <w:name w:val="B3 Char2"/>
    <w:link w:val="B30"/>
    <w:rsid w:val="00077B6E"/>
    <w:rPr>
      <w:rFonts w:ascii="Times New Roman" w:eastAsia="Times New Roman" w:hAnsi="Times New Roman" w:cs="Times New Roman"/>
      <w:sz w:val="20"/>
      <w:szCs w:val="20"/>
      <w:lang w:val="en-GB" w:eastAsia="en-GB"/>
    </w:rPr>
  </w:style>
  <w:style w:type="paragraph" w:customStyle="1" w:styleId="CRCoverPage">
    <w:name w:val="CR Cover Page"/>
    <w:link w:val="CRCoverPageChar"/>
    <w:rsid w:val="00077B6E"/>
    <w:pPr>
      <w:spacing w:after="120" w:line="240" w:lineRule="auto"/>
    </w:pPr>
    <w:rPr>
      <w:rFonts w:ascii="Arial" w:hAnsi="Arial" w:cs="Times New Roman"/>
      <w:sz w:val="20"/>
      <w:szCs w:val="20"/>
      <w:lang w:val="en-GB"/>
    </w:rPr>
  </w:style>
  <w:style w:type="paragraph" w:customStyle="1" w:styleId="tdoc-header">
    <w:name w:val="tdoc-header"/>
    <w:rsid w:val="00077B6E"/>
    <w:pPr>
      <w:spacing w:after="0" w:line="240" w:lineRule="auto"/>
    </w:pPr>
    <w:rPr>
      <w:rFonts w:ascii="Arial" w:hAnsi="Arial" w:cs="Times New Roman"/>
      <w:noProof/>
      <w:sz w:val="24"/>
      <w:szCs w:val="20"/>
      <w:lang w:val="en-GB"/>
    </w:rPr>
  </w:style>
  <w:style w:type="character" w:styleId="FollowedHyperlink">
    <w:name w:val="FollowedHyperlink"/>
    <w:rsid w:val="00077B6E"/>
    <w:rPr>
      <w:color w:val="800080"/>
      <w:u w:val="single"/>
    </w:rPr>
  </w:style>
  <w:style w:type="character" w:customStyle="1" w:styleId="GuidanceChar">
    <w:name w:val="Guidance Char"/>
    <w:link w:val="Guidance"/>
    <w:rsid w:val="00077B6E"/>
    <w:rPr>
      <w:rFonts w:ascii="Times New Roman" w:eastAsia="Times New Roman" w:hAnsi="Times New Roman" w:cs="Times New Roman"/>
      <w:i/>
      <w:color w:val="0000FF"/>
      <w:sz w:val="20"/>
      <w:szCs w:val="20"/>
      <w:lang w:val="en-GB" w:eastAsia="ko-KR"/>
    </w:rPr>
  </w:style>
  <w:style w:type="paragraph" w:customStyle="1" w:styleId="TableText">
    <w:name w:val="TableText"/>
    <w:basedOn w:val="Normal"/>
    <w:uiPriority w:val="99"/>
    <w:rsid w:val="00077B6E"/>
    <w:pPr>
      <w:keepNext/>
      <w:keepLines/>
      <w:jc w:val="center"/>
    </w:pPr>
    <w:rPr>
      <w:rFonts w:eastAsiaTheme="minorEastAsia"/>
      <w:snapToGrid w:val="0"/>
      <w:kern w:val="2"/>
      <w:lang w:eastAsia="en-US"/>
    </w:rPr>
  </w:style>
  <w:style w:type="character" w:customStyle="1" w:styleId="UnresolvedMention1">
    <w:name w:val="Unresolved Mention1"/>
    <w:uiPriority w:val="99"/>
    <w:unhideWhenUsed/>
    <w:rsid w:val="00077B6E"/>
    <w:rPr>
      <w:color w:val="808080"/>
      <w:shd w:val="clear" w:color="auto" w:fill="E6E6E6"/>
    </w:rPr>
  </w:style>
  <w:style w:type="paragraph" w:styleId="Revision">
    <w:name w:val="Revision"/>
    <w:hidden/>
    <w:uiPriority w:val="99"/>
    <w:semiHidden/>
    <w:rsid w:val="00077B6E"/>
    <w:pPr>
      <w:spacing w:after="0" w:line="240" w:lineRule="auto"/>
    </w:pPr>
    <w:rPr>
      <w:rFonts w:ascii="Times New Roman" w:hAnsi="Times New Roman" w:cs="Times New Roman"/>
      <w:sz w:val="20"/>
      <w:szCs w:val="20"/>
      <w:lang w:val="en-GB"/>
    </w:rPr>
  </w:style>
  <w:style w:type="paragraph" w:styleId="NormalWeb">
    <w:name w:val="Normal (Web)"/>
    <w:basedOn w:val="Normal"/>
    <w:uiPriority w:val="99"/>
    <w:unhideWhenUsed/>
    <w:rsid w:val="00077B6E"/>
    <w:pPr>
      <w:overflowPunct/>
      <w:autoSpaceDE/>
      <w:autoSpaceDN/>
      <w:adjustRightInd/>
      <w:spacing w:before="100" w:beforeAutospacing="1" w:after="100" w:afterAutospacing="1"/>
      <w:textAlignment w:val="auto"/>
    </w:pPr>
    <w:rPr>
      <w:rFonts w:eastAsiaTheme="minorEastAsia"/>
      <w:sz w:val="24"/>
      <w:szCs w:val="24"/>
      <w:lang w:val="en-US" w:eastAsia="en-US"/>
    </w:rPr>
  </w:style>
  <w:style w:type="paragraph" w:customStyle="1" w:styleId="Default">
    <w:name w:val="Default"/>
    <w:uiPriority w:val="99"/>
    <w:rsid w:val="00077B6E"/>
    <w:pPr>
      <w:autoSpaceDE w:val="0"/>
      <w:autoSpaceDN w:val="0"/>
      <w:adjustRightInd w:val="0"/>
      <w:spacing w:after="0" w:line="240" w:lineRule="auto"/>
    </w:pPr>
    <w:rPr>
      <w:rFonts w:ascii="Arial" w:hAnsi="Arial" w:cs="Arial"/>
      <w:color w:val="000000"/>
      <w:sz w:val="24"/>
      <w:szCs w:val="24"/>
      <w:lang w:val="fi-FI" w:eastAsia="fi-FI"/>
    </w:rPr>
  </w:style>
  <w:style w:type="paragraph" w:styleId="ListParagraph">
    <w:name w:val="List Paragraph"/>
    <w:aliases w:val="- Bullets,?? ??,?????,????,Lista1,中等深浅网格 1 - 着色 21,列表段落,¥¡¡¡¡ì¬º¥¹¥È¶ÎÂä,ÁÐ³ö¶ÎÂä,¥ê¥¹¥È¶ÎÂä,列表段落1,—ño’i—Ž,列出段落1,목록 단락,リスト段落,1st level - Bullet List Paragraph,Lettre d'introduction,Paragrafo elenco,Normal bullet 2,Bullet list,列表段落11,列出段落"/>
    <w:basedOn w:val="Normal"/>
    <w:link w:val="ListParagraphChar"/>
    <w:uiPriority w:val="34"/>
    <w:qFormat/>
    <w:rsid w:val="00077B6E"/>
    <w:pPr>
      <w:overflowPunct/>
      <w:autoSpaceDE/>
      <w:autoSpaceDN/>
      <w:adjustRightInd/>
      <w:spacing w:after="0"/>
      <w:ind w:left="720"/>
      <w:textAlignment w:val="auto"/>
    </w:pPr>
    <w:rPr>
      <w:rFonts w:ascii="Calibri" w:hAnsi="Calibri" w:cs="Calibri"/>
      <w:sz w:val="22"/>
      <w:szCs w:val="22"/>
      <w:lang w:val="en-US" w:eastAsia="en-US"/>
    </w:rPr>
  </w:style>
  <w:style w:type="character" w:customStyle="1" w:styleId="CRCoverPageChar">
    <w:name w:val="CR Cover Page Char"/>
    <w:link w:val="CRCoverPage"/>
    <w:rsid w:val="00077B6E"/>
    <w:rPr>
      <w:rFonts w:ascii="Arial" w:eastAsiaTheme="minorEastAsia" w:hAnsi="Arial" w:cs="Times New Roman"/>
      <w:sz w:val="20"/>
      <w:szCs w:val="20"/>
      <w:lang w:val="en-GB"/>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body indent"/>
    <w:basedOn w:val="Normal"/>
    <w:link w:val="BodyTextChar"/>
    <w:uiPriority w:val="99"/>
    <w:rsid w:val="00077B6E"/>
    <w:pPr>
      <w:overflowPunct/>
      <w:autoSpaceDE/>
      <w:autoSpaceDN/>
      <w:adjustRightInd/>
      <w:spacing w:after="120"/>
      <w:textAlignment w:val="auto"/>
    </w:pPr>
    <w:rPr>
      <w:rFonts w:eastAsiaTheme="minorEastAsia"/>
      <w:lang w:eastAsia="en-US"/>
    </w:rPr>
  </w:style>
  <w:style w:type="character" w:customStyle="1" w:styleId="BodyTextChar">
    <w:name w:val="Body Text Char"/>
    <w:aliases w:val="bt Char5,Corps de texte Car Char4,Corps de texte Car1 Car Char4,Corps de texte Car Car Car Char4,Corps de texte Car1 Car Car Car Char4,Corps de texte Car Car Car Car Car Char4,Corps de texte Car1 Car Car Car Car Car Char4,bt Car Char2"/>
    <w:basedOn w:val="DefaultParagraphFont"/>
    <w:link w:val="BodyText"/>
    <w:rsid w:val="00077B6E"/>
    <w:rPr>
      <w:rFonts w:ascii="Times New Roman" w:eastAsiaTheme="minorEastAsia" w:hAnsi="Times New Roman" w:cs="Times New Roman"/>
      <w:sz w:val="20"/>
      <w:szCs w:val="20"/>
      <w:lang w:val="en-GB"/>
    </w:rPr>
  </w:style>
  <w:style w:type="character" w:customStyle="1" w:styleId="UnresolvedMention2">
    <w:name w:val="Unresolved Mention2"/>
    <w:uiPriority w:val="99"/>
    <w:unhideWhenUsed/>
    <w:rsid w:val="00077B6E"/>
    <w:rPr>
      <w:color w:val="808080"/>
      <w:shd w:val="clear" w:color="auto" w:fill="E6E6E6"/>
    </w:rPr>
  </w:style>
  <w:style w:type="character" w:customStyle="1" w:styleId="EXCar">
    <w:name w:val="EX Car"/>
    <w:rsid w:val="00077B6E"/>
    <w:rPr>
      <w:lang w:val="en-GB" w:eastAsia="en-US"/>
    </w:rPr>
  </w:style>
  <w:style w:type="character" w:customStyle="1" w:styleId="msoins0">
    <w:name w:val="msoins"/>
    <w:rsid w:val="00077B6E"/>
  </w:style>
  <w:style w:type="character" w:customStyle="1" w:styleId="B4Char">
    <w:name w:val="B4 Char"/>
    <w:link w:val="B4"/>
    <w:rsid w:val="00077B6E"/>
    <w:rPr>
      <w:rFonts w:ascii="Times New Roman" w:eastAsia="Times New Roman" w:hAnsi="Times New Roman" w:cs="Times New Roman"/>
      <w:sz w:val="20"/>
      <w:szCs w:val="20"/>
      <w:lang w:val="en-GB" w:eastAsia="en-GB"/>
    </w:rPr>
  </w:style>
  <w:style w:type="character" w:styleId="PageNumber">
    <w:name w:val="page number"/>
    <w:rsid w:val="00077B6E"/>
  </w:style>
  <w:style w:type="paragraph" w:customStyle="1" w:styleId="Reference">
    <w:name w:val="Reference"/>
    <w:basedOn w:val="Normal"/>
    <w:link w:val="ReferenceChar"/>
    <w:uiPriority w:val="99"/>
    <w:qFormat/>
    <w:rsid w:val="00077B6E"/>
    <w:pPr>
      <w:keepLines/>
      <w:numPr>
        <w:ilvl w:val="1"/>
        <w:numId w:val="1"/>
      </w:numPr>
      <w:tabs>
        <w:tab w:val="clear" w:pos="-1985"/>
        <w:tab w:val="num" w:pos="1440"/>
      </w:tabs>
      <w:overflowPunct/>
      <w:autoSpaceDE/>
      <w:autoSpaceDN/>
      <w:adjustRightInd/>
      <w:ind w:left="1440" w:hanging="360"/>
      <w:textAlignment w:val="auto"/>
    </w:pPr>
    <w:rPr>
      <w:rFonts w:eastAsia="MS Mincho"/>
      <w:lang w:eastAsia="en-US"/>
    </w:rPr>
  </w:style>
  <w:style w:type="paragraph" w:customStyle="1" w:styleId="ZchnZchn">
    <w:name w:val="Zchn Zchn"/>
    <w:uiPriority w:val="99"/>
    <w:semiHidden/>
    <w:rsid w:val="00077B6E"/>
    <w:pPr>
      <w:keepNext/>
      <w:numPr>
        <w:numId w:val="2"/>
      </w:numPr>
      <w:tabs>
        <w:tab w:val="clear" w:pos="851"/>
        <w:tab w:val="num" w:pos="720"/>
      </w:tabs>
      <w:autoSpaceDE w:val="0"/>
      <w:autoSpaceDN w:val="0"/>
      <w:adjustRightInd w:val="0"/>
      <w:spacing w:before="60" w:after="60" w:line="240" w:lineRule="auto"/>
      <w:ind w:left="720" w:hanging="360"/>
      <w:jc w:val="both"/>
    </w:pPr>
    <w:rPr>
      <w:rFonts w:ascii="Arial" w:eastAsia="SimSun" w:hAnsi="Arial" w:cs="Arial"/>
      <w:color w:val="0000FF"/>
      <w:kern w:val="2"/>
      <w:sz w:val="20"/>
      <w:szCs w:val="20"/>
      <w:lang w:eastAsia="zh-CN"/>
    </w:rPr>
  </w:style>
  <w:style w:type="character" w:styleId="Emphasis">
    <w:name w:val="Emphasis"/>
    <w:qFormat/>
    <w:rsid w:val="00077B6E"/>
    <w:rPr>
      <w:i/>
      <w:iCs/>
    </w:rPr>
  </w:style>
  <w:style w:type="character" w:styleId="IntenseEmphasis">
    <w:name w:val="Intense Emphasis"/>
    <w:uiPriority w:val="21"/>
    <w:qFormat/>
    <w:rsid w:val="00077B6E"/>
    <w:rPr>
      <w:b/>
      <w:bCs/>
      <w:i/>
      <w:iCs/>
      <w:color w:val="4F81BD"/>
    </w:rPr>
  </w:style>
  <w:style w:type="paragraph" w:customStyle="1" w:styleId="References">
    <w:name w:val="References"/>
    <w:basedOn w:val="Normal"/>
    <w:next w:val="Normal"/>
    <w:uiPriority w:val="99"/>
    <w:rsid w:val="00077B6E"/>
    <w:pPr>
      <w:numPr>
        <w:numId w:val="3"/>
      </w:numPr>
      <w:tabs>
        <w:tab w:val="clear" w:pos="502"/>
        <w:tab w:val="num" w:pos="851"/>
      </w:tabs>
      <w:overflowPunct/>
      <w:adjustRightInd/>
      <w:snapToGrid w:val="0"/>
      <w:spacing w:after="60"/>
      <w:ind w:left="851" w:hanging="851"/>
      <w:textAlignment w:val="auto"/>
    </w:pPr>
    <w:rPr>
      <w:rFonts w:eastAsia="SimSun"/>
      <w:szCs w:val="16"/>
      <w:lang w:val="en-US" w:eastAsia="en-US"/>
    </w:rPr>
  </w:style>
  <w:style w:type="paragraph" w:customStyle="1" w:styleId="FL">
    <w:name w:val="FL"/>
    <w:basedOn w:val="Normal"/>
    <w:uiPriority w:val="99"/>
    <w:rsid w:val="00077B6E"/>
    <w:pPr>
      <w:keepNext/>
      <w:keepLines/>
      <w:spacing w:before="60"/>
      <w:jc w:val="center"/>
    </w:pPr>
    <w:rPr>
      <w:rFonts w:ascii="Arial" w:hAnsi="Arial"/>
      <w:b/>
      <w:lang w:eastAsia="en-US"/>
    </w:rPr>
  </w:style>
  <w:style w:type="paragraph" w:customStyle="1" w:styleId="enumlev1">
    <w:name w:val="enumlev1"/>
    <w:basedOn w:val="Normal"/>
    <w:link w:val="enumlev1Char"/>
    <w:uiPriority w:val="99"/>
    <w:rsid w:val="00077B6E"/>
    <w:pPr>
      <w:tabs>
        <w:tab w:val="left" w:pos="794"/>
        <w:tab w:val="left" w:pos="1191"/>
        <w:tab w:val="left" w:pos="1588"/>
        <w:tab w:val="left" w:pos="1985"/>
      </w:tabs>
      <w:spacing w:before="80" w:after="0"/>
      <w:ind w:left="794" w:hanging="794"/>
      <w:jc w:val="both"/>
    </w:pPr>
    <w:rPr>
      <w:sz w:val="24"/>
      <w:lang w:val="fr-FR" w:eastAsia="en-US"/>
    </w:rPr>
  </w:style>
  <w:style w:type="paragraph" w:styleId="IndexHeading">
    <w:name w:val="index heading"/>
    <w:basedOn w:val="Normal"/>
    <w:next w:val="Normal"/>
    <w:uiPriority w:val="99"/>
    <w:rsid w:val="00077B6E"/>
    <w:pPr>
      <w:pBdr>
        <w:top w:val="single" w:sz="12" w:space="0" w:color="auto"/>
      </w:pBdr>
      <w:spacing w:before="360" w:after="240"/>
    </w:pPr>
    <w:rPr>
      <w:b/>
      <w:i/>
      <w:sz w:val="26"/>
    </w:rPr>
  </w:style>
  <w:style w:type="paragraph" w:customStyle="1" w:styleId="INDENT1">
    <w:name w:val="INDENT1"/>
    <w:basedOn w:val="Normal"/>
    <w:uiPriority w:val="99"/>
    <w:rsid w:val="00077B6E"/>
    <w:pPr>
      <w:ind w:left="851"/>
    </w:pPr>
  </w:style>
  <w:style w:type="paragraph" w:customStyle="1" w:styleId="INDENT2">
    <w:name w:val="INDENT2"/>
    <w:basedOn w:val="Normal"/>
    <w:uiPriority w:val="99"/>
    <w:rsid w:val="00077B6E"/>
    <w:pPr>
      <w:ind w:left="1135" w:hanging="284"/>
    </w:pPr>
  </w:style>
  <w:style w:type="paragraph" w:customStyle="1" w:styleId="INDENT3">
    <w:name w:val="INDENT3"/>
    <w:basedOn w:val="Normal"/>
    <w:uiPriority w:val="99"/>
    <w:rsid w:val="00077B6E"/>
    <w:pPr>
      <w:ind w:left="1701" w:hanging="567"/>
    </w:pPr>
  </w:style>
  <w:style w:type="paragraph" w:customStyle="1" w:styleId="FigureTitle">
    <w:name w:val="Figure_Title"/>
    <w:basedOn w:val="Normal"/>
    <w:next w:val="Normal"/>
    <w:uiPriority w:val="99"/>
    <w:rsid w:val="00077B6E"/>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uiPriority w:val="99"/>
    <w:rsid w:val="00077B6E"/>
    <w:pPr>
      <w:keepNext/>
      <w:keepLines/>
    </w:pPr>
    <w:rPr>
      <w:b/>
    </w:rPr>
  </w:style>
  <w:style w:type="paragraph" w:customStyle="1" w:styleId="enumlev2">
    <w:name w:val="enumlev2"/>
    <w:basedOn w:val="Normal"/>
    <w:uiPriority w:val="99"/>
    <w:rsid w:val="00077B6E"/>
    <w:pPr>
      <w:tabs>
        <w:tab w:val="left" w:pos="794"/>
        <w:tab w:val="left" w:pos="1191"/>
        <w:tab w:val="left" w:pos="1588"/>
        <w:tab w:val="left" w:pos="1985"/>
      </w:tabs>
      <w:spacing w:before="86"/>
      <w:ind w:left="1588" w:hanging="397"/>
      <w:jc w:val="both"/>
    </w:pPr>
    <w:rPr>
      <w:lang w:val="en-US"/>
    </w:rPr>
  </w:style>
  <w:style w:type="paragraph" w:styleId="PlainText">
    <w:name w:val="Plain Text"/>
    <w:basedOn w:val="Normal"/>
    <w:link w:val="PlainTextChar"/>
    <w:uiPriority w:val="99"/>
    <w:rsid w:val="00077B6E"/>
    <w:rPr>
      <w:rFonts w:ascii="Courier New" w:hAnsi="Courier New"/>
      <w:lang w:val="nb-NO" w:eastAsia="x-none"/>
    </w:rPr>
  </w:style>
  <w:style w:type="character" w:customStyle="1" w:styleId="PlainTextChar">
    <w:name w:val="Plain Text Char"/>
    <w:basedOn w:val="DefaultParagraphFont"/>
    <w:link w:val="PlainText"/>
    <w:uiPriority w:val="99"/>
    <w:rsid w:val="00077B6E"/>
    <w:rPr>
      <w:rFonts w:ascii="Courier New" w:eastAsia="Times New Roman" w:hAnsi="Courier New" w:cs="Times New Roman"/>
      <w:sz w:val="20"/>
      <w:szCs w:val="20"/>
      <w:lang w:val="nb-NO" w:eastAsia="x-none"/>
    </w:rPr>
  </w:style>
  <w:style w:type="paragraph" w:customStyle="1" w:styleId="BL">
    <w:name w:val="BL"/>
    <w:basedOn w:val="Normal"/>
    <w:uiPriority w:val="99"/>
    <w:rsid w:val="00077B6E"/>
    <w:pPr>
      <w:tabs>
        <w:tab w:val="num" w:pos="630"/>
        <w:tab w:val="left" w:pos="851"/>
      </w:tabs>
      <w:ind w:left="630" w:hanging="630"/>
    </w:pPr>
  </w:style>
  <w:style w:type="paragraph" w:customStyle="1" w:styleId="BN">
    <w:name w:val="BN"/>
    <w:basedOn w:val="Normal"/>
    <w:uiPriority w:val="99"/>
    <w:rsid w:val="00077B6E"/>
    <w:pPr>
      <w:ind w:left="567" w:hanging="283"/>
    </w:pPr>
  </w:style>
  <w:style w:type="paragraph" w:customStyle="1" w:styleId="MTDisplayEquation">
    <w:name w:val="MTDisplayEquation"/>
    <w:basedOn w:val="Normal"/>
    <w:uiPriority w:val="99"/>
    <w:rsid w:val="00077B6E"/>
    <w:pPr>
      <w:tabs>
        <w:tab w:val="center" w:pos="4820"/>
        <w:tab w:val="right" w:pos="9640"/>
      </w:tabs>
    </w:pPr>
  </w:style>
  <w:style w:type="paragraph" w:customStyle="1" w:styleId="B6">
    <w:name w:val="B6"/>
    <w:basedOn w:val="B5"/>
    <w:link w:val="B6Char"/>
    <w:rsid w:val="00077B6E"/>
    <w:rPr>
      <w:lang w:eastAsia="x-none"/>
    </w:rPr>
  </w:style>
  <w:style w:type="paragraph" w:customStyle="1" w:styleId="Meetingcaption">
    <w:name w:val="Meeting caption"/>
    <w:basedOn w:val="Normal"/>
    <w:uiPriority w:val="99"/>
    <w:rsid w:val="00077B6E"/>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lang w:val="fr-FR"/>
    </w:rPr>
  </w:style>
  <w:style w:type="paragraph" w:customStyle="1" w:styleId="FT">
    <w:name w:val="FT"/>
    <w:basedOn w:val="Normal"/>
    <w:uiPriority w:val="99"/>
    <w:rsid w:val="00077B6E"/>
    <w:rPr>
      <w:rFonts w:ascii="Arial" w:hAnsi="Arial" w:cs="Arial"/>
      <w:b/>
    </w:rPr>
  </w:style>
  <w:style w:type="paragraph" w:customStyle="1" w:styleId="Tadc">
    <w:name w:val="Tadc"/>
    <w:basedOn w:val="Normal"/>
    <w:uiPriority w:val="99"/>
    <w:rsid w:val="00077B6E"/>
    <w:rPr>
      <w:rFonts w:cs="v4.2.0"/>
    </w:rPr>
  </w:style>
  <w:style w:type="character" w:styleId="Strong">
    <w:name w:val="Strong"/>
    <w:qFormat/>
    <w:rsid w:val="00077B6E"/>
    <w:rPr>
      <w:b/>
      <w:bCs/>
    </w:rPr>
  </w:style>
  <w:style w:type="table" w:customStyle="1" w:styleId="TableGrid1">
    <w:name w:val="Table Grid1"/>
    <w:basedOn w:val="TableNormal"/>
    <w:next w:val="TableGrid"/>
    <w:uiPriority w:val="39"/>
    <w:rsid w:val="00077B6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6Char">
    <w:name w:val="H6 Char"/>
    <w:link w:val="H6"/>
    <w:rsid w:val="00077B6E"/>
    <w:rPr>
      <w:rFonts w:ascii="Arial" w:eastAsia="Times New Roman" w:hAnsi="Arial" w:cs="Times New Roman"/>
      <w:sz w:val="20"/>
      <w:szCs w:val="20"/>
      <w:lang w:val="en-GB" w:eastAsia="en-GB"/>
    </w:rPr>
  </w:style>
  <w:style w:type="character" w:customStyle="1" w:styleId="PLChar">
    <w:name w:val="PL Char"/>
    <w:link w:val="PL"/>
    <w:rsid w:val="00077B6E"/>
    <w:rPr>
      <w:rFonts w:ascii="Courier New" w:eastAsia="Times New Roman" w:hAnsi="Courier New" w:cs="Times New Roman"/>
      <w:noProof/>
      <w:sz w:val="16"/>
      <w:szCs w:val="20"/>
      <w:lang w:val="en-GB" w:eastAsia="en-GB"/>
    </w:rPr>
  </w:style>
  <w:style w:type="character" w:customStyle="1" w:styleId="TACCar">
    <w:name w:val="TAC Car"/>
    <w:rsid w:val="00077B6E"/>
    <w:rPr>
      <w:rFonts w:ascii="Arial" w:eastAsia="Times New Roman" w:hAnsi="Arial"/>
      <w:sz w:val="18"/>
      <w:lang w:val="en-GB" w:eastAsia="en-US" w:bidi="ar-SA"/>
    </w:rPr>
  </w:style>
  <w:style w:type="character" w:customStyle="1" w:styleId="TAL0">
    <w:name w:val="TAL (文字)"/>
    <w:rsid w:val="00077B6E"/>
    <w:rPr>
      <w:rFonts w:ascii="Arial" w:hAnsi="Arial"/>
      <w:sz w:val="18"/>
      <w:lang w:val="en-GB"/>
    </w:rPr>
  </w:style>
  <w:style w:type="paragraph" w:customStyle="1" w:styleId="Separation">
    <w:name w:val="Separation"/>
    <w:basedOn w:val="Heading1"/>
    <w:next w:val="Normal"/>
    <w:uiPriority w:val="99"/>
    <w:rsid w:val="00077B6E"/>
    <w:pPr>
      <w:pBdr>
        <w:top w:val="none" w:sz="0" w:space="0" w:color="auto"/>
      </w:pBdr>
    </w:pPr>
    <w:rPr>
      <w:rFonts w:eastAsia="Malgun Gothic"/>
      <w:b/>
      <w:color w:val="0000FF"/>
      <w:lang w:eastAsia="zh-CN"/>
    </w:rPr>
  </w:style>
  <w:style w:type="character" w:customStyle="1" w:styleId="EditorsNoteCarCar">
    <w:name w:val="Editor's Note Car Car"/>
    <w:link w:val="EditorsNote"/>
    <w:rsid w:val="00077B6E"/>
    <w:rPr>
      <w:rFonts w:ascii="Times New Roman" w:eastAsia="Times New Roman" w:hAnsi="Times New Roman" w:cs="Times New Roman"/>
      <w:color w:val="FF0000"/>
      <w:sz w:val="20"/>
      <w:szCs w:val="20"/>
      <w:lang w:val="en-GB" w:eastAsia="en-GB"/>
    </w:rPr>
  </w:style>
  <w:style w:type="character" w:customStyle="1" w:styleId="B5Char">
    <w:name w:val="B5 Char"/>
    <w:link w:val="B5"/>
    <w:rsid w:val="00077B6E"/>
    <w:rPr>
      <w:rFonts w:ascii="Times New Roman" w:eastAsia="Times New Roman" w:hAnsi="Times New Roman" w:cs="Times New Roman"/>
      <w:sz w:val="20"/>
      <w:szCs w:val="20"/>
      <w:lang w:val="en-GB" w:eastAsia="en-GB"/>
    </w:rPr>
  </w:style>
  <w:style w:type="character" w:customStyle="1" w:styleId="HeadingChar">
    <w:name w:val="Heading Char"/>
    <w:rsid w:val="00077B6E"/>
    <w:rPr>
      <w:rFonts w:ascii="Arial" w:eastAsia="SimSun" w:hAnsi="Arial"/>
      <w:b/>
      <w:sz w:val="22"/>
    </w:rPr>
  </w:style>
  <w:style w:type="character" w:customStyle="1" w:styleId="B6Char">
    <w:name w:val="B6 Char"/>
    <w:link w:val="B6"/>
    <w:rsid w:val="00077B6E"/>
    <w:rPr>
      <w:rFonts w:ascii="Times New Roman" w:eastAsia="Times New Roman" w:hAnsi="Times New Roman" w:cs="Times New Roman"/>
      <w:sz w:val="20"/>
      <w:szCs w:val="20"/>
      <w:lang w:val="en-GB" w:eastAsia="x-none"/>
    </w:rPr>
  </w:style>
  <w:style w:type="paragraph" w:customStyle="1" w:styleId="Note">
    <w:name w:val="Note"/>
    <w:basedOn w:val="Normal"/>
    <w:uiPriority w:val="99"/>
    <w:rsid w:val="00077B6E"/>
    <w:pPr>
      <w:ind w:left="568" w:hanging="284"/>
    </w:pPr>
    <w:rPr>
      <w:rFonts w:eastAsia="MS Mincho"/>
      <w:lang w:eastAsia="ja-JP"/>
    </w:rPr>
  </w:style>
  <w:style w:type="paragraph" w:customStyle="1" w:styleId="tabletext0">
    <w:name w:val="table text"/>
    <w:basedOn w:val="Normal"/>
    <w:next w:val="Normal"/>
    <w:uiPriority w:val="99"/>
    <w:rsid w:val="00077B6E"/>
    <w:rPr>
      <w:rFonts w:eastAsia="MS Mincho"/>
      <w:i/>
      <w:lang w:eastAsia="ja-JP"/>
    </w:rPr>
  </w:style>
  <w:style w:type="paragraph" w:styleId="ListNumber5">
    <w:name w:val="List Number 5"/>
    <w:basedOn w:val="Normal"/>
    <w:uiPriority w:val="99"/>
    <w:rsid w:val="00077B6E"/>
    <w:pPr>
      <w:tabs>
        <w:tab w:val="num" w:pos="851"/>
        <w:tab w:val="num" w:pos="1800"/>
      </w:tabs>
      <w:ind w:left="1800" w:hanging="851"/>
    </w:pPr>
    <w:rPr>
      <w:rFonts w:eastAsia="MS Mincho"/>
      <w:lang w:eastAsia="ja-JP"/>
    </w:rPr>
  </w:style>
  <w:style w:type="paragraph" w:styleId="ListNumber3">
    <w:name w:val="List Number 3"/>
    <w:basedOn w:val="Normal"/>
    <w:uiPriority w:val="99"/>
    <w:rsid w:val="00077B6E"/>
    <w:pPr>
      <w:tabs>
        <w:tab w:val="num" w:pos="926"/>
      </w:tabs>
      <w:ind w:left="926" w:hanging="283"/>
    </w:pPr>
    <w:rPr>
      <w:rFonts w:eastAsia="MS Mincho"/>
      <w:lang w:eastAsia="ja-JP"/>
    </w:rPr>
  </w:style>
  <w:style w:type="paragraph" w:styleId="ListNumber4">
    <w:name w:val="List Number 4"/>
    <w:basedOn w:val="Normal"/>
    <w:uiPriority w:val="99"/>
    <w:rsid w:val="00077B6E"/>
    <w:pPr>
      <w:tabs>
        <w:tab w:val="num" w:pos="1209"/>
      </w:tabs>
      <w:ind w:left="1209" w:hanging="283"/>
    </w:pPr>
    <w:rPr>
      <w:rFonts w:eastAsia="MS Mincho"/>
      <w:lang w:eastAsia="ja-JP"/>
    </w:rPr>
  </w:style>
  <w:style w:type="table" w:customStyle="1" w:styleId="TableStyle1">
    <w:name w:val="Table Style1"/>
    <w:basedOn w:val="TableNormal"/>
    <w:rsid w:val="00077B6E"/>
    <w:pPr>
      <w:spacing w:after="0" w:line="240" w:lineRule="auto"/>
    </w:pPr>
    <w:rPr>
      <w:rFonts w:ascii="Times New Roman" w:eastAsia="MS Mincho" w:hAnsi="Times New Roman" w:cs="Times New Roman"/>
      <w:sz w:val="20"/>
      <w:szCs w:val="20"/>
    </w:rPr>
    <w:tblPr/>
  </w:style>
  <w:style w:type="paragraph" w:customStyle="1" w:styleId="Bullet">
    <w:name w:val="Bullet"/>
    <w:basedOn w:val="Normal"/>
    <w:uiPriority w:val="99"/>
    <w:rsid w:val="00077B6E"/>
    <w:pPr>
      <w:tabs>
        <w:tab w:val="num" w:pos="926"/>
      </w:tabs>
      <w:overflowPunct/>
      <w:autoSpaceDE/>
      <w:autoSpaceDN/>
      <w:adjustRightInd/>
      <w:ind w:left="926" w:hanging="360"/>
      <w:textAlignment w:val="auto"/>
    </w:pPr>
    <w:rPr>
      <w:rFonts w:eastAsia="MS Mincho"/>
      <w:lang w:eastAsia="ja-JP"/>
    </w:rPr>
  </w:style>
  <w:style w:type="paragraph" w:customStyle="1" w:styleId="TOC91">
    <w:name w:val="TOC 91"/>
    <w:basedOn w:val="TOC8"/>
    <w:uiPriority w:val="99"/>
    <w:rsid w:val="00077B6E"/>
    <w:pPr>
      <w:ind w:left="1418" w:hanging="1418"/>
    </w:pPr>
    <w:rPr>
      <w:rFonts w:eastAsia="MS Mincho"/>
      <w:lang w:val="en-US" w:eastAsia="ja-JP"/>
    </w:rPr>
  </w:style>
  <w:style w:type="paragraph" w:customStyle="1" w:styleId="Caption1">
    <w:name w:val="Caption1"/>
    <w:basedOn w:val="Normal"/>
    <w:next w:val="Normal"/>
    <w:uiPriority w:val="99"/>
    <w:rsid w:val="00077B6E"/>
    <w:pPr>
      <w:spacing w:before="120" w:after="120"/>
    </w:pPr>
    <w:rPr>
      <w:rFonts w:eastAsia="MS Mincho"/>
      <w:b/>
      <w:lang w:eastAsia="ja-JP"/>
    </w:rPr>
  </w:style>
  <w:style w:type="paragraph" w:customStyle="1" w:styleId="HE">
    <w:name w:val="HE"/>
    <w:basedOn w:val="Normal"/>
    <w:uiPriority w:val="99"/>
    <w:rsid w:val="00077B6E"/>
    <w:pPr>
      <w:spacing w:after="0"/>
    </w:pPr>
    <w:rPr>
      <w:rFonts w:eastAsia="MS Mincho"/>
      <w:b/>
      <w:lang w:eastAsia="ja-JP"/>
    </w:rPr>
  </w:style>
  <w:style w:type="paragraph" w:customStyle="1" w:styleId="HO">
    <w:name w:val="HO"/>
    <w:basedOn w:val="Normal"/>
    <w:uiPriority w:val="99"/>
    <w:rsid w:val="00077B6E"/>
    <w:pPr>
      <w:spacing w:after="0"/>
      <w:jc w:val="right"/>
    </w:pPr>
    <w:rPr>
      <w:rFonts w:eastAsia="MS Mincho"/>
      <w:b/>
      <w:lang w:eastAsia="ja-JP"/>
    </w:rPr>
  </w:style>
  <w:style w:type="paragraph" w:customStyle="1" w:styleId="WP">
    <w:name w:val="WP"/>
    <w:basedOn w:val="Normal"/>
    <w:uiPriority w:val="99"/>
    <w:rsid w:val="00077B6E"/>
    <w:pPr>
      <w:spacing w:after="0"/>
      <w:jc w:val="both"/>
    </w:pPr>
    <w:rPr>
      <w:rFonts w:eastAsia="MS Mincho"/>
      <w:lang w:eastAsia="ja-JP"/>
    </w:rPr>
  </w:style>
  <w:style w:type="paragraph" w:customStyle="1" w:styleId="ZK">
    <w:name w:val="ZK"/>
    <w:uiPriority w:val="99"/>
    <w:rsid w:val="00077B6E"/>
    <w:pPr>
      <w:spacing w:after="240" w:line="240" w:lineRule="atLeast"/>
      <w:ind w:left="1191" w:right="113" w:hanging="1191"/>
    </w:pPr>
    <w:rPr>
      <w:rFonts w:ascii="Times New Roman" w:eastAsia="MS Mincho" w:hAnsi="Times New Roman" w:cs="Times New Roman"/>
      <w:sz w:val="20"/>
      <w:szCs w:val="20"/>
      <w:lang w:val="en-GB"/>
    </w:rPr>
  </w:style>
  <w:style w:type="paragraph" w:customStyle="1" w:styleId="ZC">
    <w:name w:val="ZC"/>
    <w:uiPriority w:val="99"/>
    <w:rsid w:val="00077B6E"/>
    <w:pPr>
      <w:spacing w:after="0" w:line="360" w:lineRule="atLeast"/>
      <w:jc w:val="center"/>
    </w:pPr>
    <w:rPr>
      <w:rFonts w:ascii="Times New Roman" w:eastAsia="MS Mincho" w:hAnsi="Times New Roman" w:cs="Times New Roman"/>
      <w:sz w:val="20"/>
      <w:szCs w:val="20"/>
      <w:lang w:val="en-GB"/>
    </w:rPr>
  </w:style>
  <w:style w:type="paragraph" w:customStyle="1" w:styleId="FooterCentred">
    <w:name w:val="FooterCentred"/>
    <w:basedOn w:val="Footer"/>
    <w:uiPriority w:val="99"/>
    <w:rsid w:val="00077B6E"/>
    <w:pPr>
      <w:tabs>
        <w:tab w:val="center" w:pos="4678"/>
        <w:tab w:val="right" w:pos="9356"/>
      </w:tabs>
      <w:jc w:val="both"/>
    </w:pPr>
    <w:rPr>
      <w:rFonts w:ascii="Times New Roman" w:eastAsia="MS Mincho" w:hAnsi="Times New Roman"/>
      <w:b w:val="0"/>
      <w:i w:val="0"/>
      <w:noProof w:val="0"/>
      <w:sz w:val="20"/>
      <w:lang w:val="en-US" w:eastAsia="ja-JP"/>
    </w:rPr>
  </w:style>
  <w:style w:type="paragraph" w:customStyle="1" w:styleId="NumberedList">
    <w:name w:val="Numbered List"/>
    <w:basedOn w:val="Para1"/>
    <w:link w:val="NumberedListChar"/>
    <w:uiPriority w:val="99"/>
    <w:qFormat/>
    <w:rsid w:val="00077B6E"/>
    <w:pPr>
      <w:tabs>
        <w:tab w:val="left" w:pos="360"/>
      </w:tabs>
      <w:ind w:left="360" w:hanging="360"/>
    </w:pPr>
  </w:style>
  <w:style w:type="paragraph" w:customStyle="1" w:styleId="Para1">
    <w:name w:val="Para1"/>
    <w:basedOn w:val="Normal"/>
    <w:uiPriority w:val="99"/>
    <w:rsid w:val="00077B6E"/>
    <w:pPr>
      <w:spacing w:before="120" w:after="120"/>
    </w:pPr>
    <w:rPr>
      <w:rFonts w:eastAsia="MS Mincho"/>
      <w:lang w:val="en-US" w:eastAsia="ja-JP"/>
    </w:rPr>
  </w:style>
  <w:style w:type="paragraph" w:customStyle="1" w:styleId="Teststep">
    <w:name w:val="Test step"/>
    <w:basedOn w:val="Normal"/>
    <w:uiPriority w:val="99"/>
    <w:rsid w:val="00077B6E"/>
    <w:pPr>
      <w:tabs>
        <w:tab w:val="left" w:pos="720"/>
      </w:tabs>
      <w:spacing w:after="0"/>
      <w:ind w:left="720" w:hanging="720"/>
    </w:pPr>
    <w:rPr>
      <w:rFonts w:eastAsia="MS Mincho"/>
      <w:lang w:eastAsia="ja-JP"/>
    </w:rPr>
  </w:style>
  <w:style w:type="paragraph" w:customStyle="1" w:styleId="TableTitle">
    <w:name w:val="TableTitle"/>
    <w:basedOn w:val="Normal"/>
    <w:uiPriority w:val="99"/>
    <w:rsid w:val="00077B6E"/>
    <w:pPr>
      <w:keepNext/>
      <w:keepLines/>
      <w:spacing w:after="60"/>
      <w:ind w:left="210"/>
      <w:jc w:val="center"/>
    </w:pPr>
    <w:rPr>
      <w:rFonts w:ascii="CG Times (WN)" w:eastAsia="MS Mincho" w:hAnsi="CG Times (WN)"/>
      <w:b/>
      <w:lang w:eastAsia="ja-JP"/>
    </w:rPr>
  </w:style>
  <w:style w:type="paragraph" w:customStyle="1" w:styleId="TableofFigures1">
    <w:name w:val="Table of Figures1"/>
    <w:basedOn w:val="Normal"/>
    <w:next w:val="Normal"/>
    <w:uiPriority w:val="99"/>
    <w:rsid w:val="00077B6E"/>
    <w:pPr>
      <w:ind w:left="400" w:hanging="400"/>
      <w:jc w:val="center"/>
    </w:pPr>
    <w:rPr>
      <w:rFonts w:eastAsia="MS Mincho"/>
      <w:b/>
      <w:lang w:eastAsia="ja-JP"/>
    </w:rPr>
  </w:style>
  <w:style w:type="paragraph" w:customStyle="1" w:styleId="table">
    <w:name w:val="table"/>
    <w:basedOn w:val="Normal"/>
    <w:next w:val="Normal"/>
    <w:uiPriority w:val="99"/>
    <w:rsid w:val="00077B6E"/>
    <w:pPr>
      <w:spacing w:after="0"/>
      <w:jc w:val="center"/>
    </w:pPr>
    <w:rPr>
      <w:rFonts w:eastAsia="MS Mincho"/>
      <w:lang w:val="en-US" w:eastAsia="ja-JP"/>
    </w:rPr>
  </w:style>
  <w:style w:type="paragraph" w:customStyle="1" w:styleId="Copyright">
    <w:name w:val="Copyright"/>
    <w:basedOn w:val="Normal"/>
    <w:uiPriority w:val="99"/>
    <w:rsid w:val="00077B6E"/>
    <w:pPr>
      <w:spacing w:after="0"/>
      <w:jc w:val="center"/>
    </w:pPr>
    <w:rPr>
      <w:rFonts w:ascii="Arial" w:eastAsia="MS Mincho" w:hAnsi="Arial"/>
      <w:b/>
      <w:sz w:val="16"/>
      <w:lang w:eastAsia="ja-JP"/>
    </w:rPr>
  </w:style>
  <w:style w:type="paragraph" w:customStyle="1" w:styleId="Tdoctable">
    <w:name w:val="Tdoc_table"/>
    <w:uiPriority w:val="99"/>
    <w:rsid w:val="00077B6E"/>
    <w:pPr>
      <w:spacing w:after="0" w:line="240" w:lineRule="auto"/>
      <w:ind w:left="244" w:hanging="244"/>
    </w:pPr>
    <w:rPr>
      <w:rFonts w:ascii="Arial" w:eastAsia="MS Mincho" w:hAnsi="Arial" w:cs="Times New Roman"/>
      <w:noProof/>
      <w:color w:val="000000"/>
      <w:sz w:val="20"/>
      <w:szCs w:val="20"/>
      <w:lang w:val="en-GB"/>
    </w:rPr>
  </w:style>
  <w:style w:type="paragraph" w:customStyle="1" w:styleId="TitleText">
    <w:name w:val="Title Text"/>
    <w:basedOn w:val="Normal"/>
    <w:next w:val="Normal"/>
    <w:uiPriority w:val="99"/>
    <w:rsid w:val="00077B6E"/>
    <w:pPr>
      <w:spacing w:after="220"/>
    </w:pPr>
    <w:rPr>
      <w:rFonts w:eastAsia="MS Mincho"/>
      <w:b/>
      <w:lang w:val="en-US" w:eastAsia="ja-JP"/>
    </w:rPr>
  </w:style>
  <w:style w:type="paragraph" w:customStyle="1" w:styleId="Bullets">
    <w:name w:val="Bullets"/>
    <w:basedOn w:val="Normal"/>
    <w:uiPriority w:val="99"/>
    <w:rsid w:val="00077B6E"/>
    <w:pPr>
      <w:widowControl w:val="0"/>
      <w:spacing w:after="120"/>
      <w:ind w:left="283" w:hanging="283"/>
    </w:pPr>
    <w:rPr>
      <w:rFonts w:ascii="CG Times (WN)" w:eastAsia="MS Mincho" w:hAnsi="CG Times (WN)"/>
      <w:lang w:eastAsia="de-DE"/>
    </w:rPr>
  </w:style>
  <w:style w:type="paragraph" w:customStyle="1" w:styleId="tal1">
    <w:name w:val="tal"/>
    <w:basedOn w:val="Normal"/>
    <w:uiPriority w:val="99"/>
    <w:rsid w:val="00077B6E"/>
    <w:pPr>
      <w:overflowPunct/>
      <w:autoSpaceDE/>
      <w:autoSpaceDN/>
      <w:adjustRightInd/>
      <w:spacing w:before="100" w:beforeAutospacing="1" w:after="100" w:afterAutospacing="1"/>
      <w:textAlignment w:val="auto"/>
    </w:pPr>
    <w:rPr>
      <w:rFonts w:ascii="SimSun" w:eastAsia="SimSun" w:hAnsi="SimSun" w:cs="SimSun"/>
      <w:sz w:val="24"/>
      <w:szCs w:val="24"/>
      <w:lang w:val="en-US" w:eastAsia="zh-CN"/>
    </w:rPr>
  </w:style>
  <w:style w:type="table" w:customStyle="1" w:styleId="Tabellengitternetz1">
    <w:name w:val="Tabellengitternetz1"/>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
    <w:name w:val="Tabellengitternetz2"/>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
    <w:name w:val="Tabellengitternetz3"/>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
    <w:name w:val="Tabellengitternetz4"/>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
    <w:name w:val="Tabellengitternetz5"/>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
    <w:name w:val="Tabellengitternetz6"/>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
    <w:name w:val="Tabellengitternetz7"/>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
    <w:name w:val="Tabellengitternetz8"/>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
    <w:name w:val="Tabellengitternetz9"/>
    <w:basedOn w:val="TableNormal"/>
    <w:next w:val="TableGrid"/>
    <w:rsid w:val="00077B6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077B6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077B6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수정"/>
    <w:hidden/>
    <w:uiPriority w:val="99"/>
    <w:semiHidden/>
    <w:rsid w:val="00077B6E"/>
    <w:pPr>
      <w:spacing w:after="0" w:line="240" w:lineRule="auto"/>
    </w:pPr>
    <w:rPr>
      <w:rFonts w:ascii="Times New Roman" w:eastAsia="Batang" w:hAnsi="Times New Roman" w:cs="Times New Roman"/>
      <w:sz w:val="20"/>
      <w:szCs w:val="20"/>
      <w:lang w:val="en-GB"/>
    </w:rPr>
  </w:style>
  <w:style w:type="paragraph" w:customStyle="1" w:styleId="10">
    <w:name w:val="修订1"/>
    <w:hidden/>
    <w:uiPriority w:val="99"/>
    <w:semiHidden/>
    <w:rsid w:val="00077B6E"/>
    <w:pPr>
      <w:spacing w:after="0" w:line="240" w:lineRule="auto"/>
    </w:pPr>
    <w:rPr>
      <w:rFonts w:ascii="Times New Roman" w:eastAsia="Batang" w:hAnsi="Times New Roman" w:cs="Times New Roman"/>
      <w:sz w:val="20"/>
      <w:szCs w:val="20"/>
      <w:lang w:val="en-GB"/>
    </w:rPr>
  </w:style>
  <w:style w:type="paragraph" w:styleId="EndnoteText">
    <w:name w:val="endnote text"/>
    <w:basedOn w:val="Normal"/>
    <w:link w:val="EndnoteTextChar"/>
    <w:uiPriority w:val="99"/>
    <w:rsid w:val="00077B6E"/>
    <w:pPr>
      <w:overflowPunct/>
      <w:autoSpaceDE/>
      <w:autoSpaceDN/>
      <w:adjustRightInd/>
      <w:snapToGrid w:val="0"/>
      <w:textAlignment w:val="auto"/>
    </w:pPr>
    <w:rPr>
      <w:lang w:eastAsia="x-none"/>
    </w:rPr>
  </w:style>
  <w:style w:type="character" w:customStyle="1" w:styleId="EndnoteTextChar">
    <w:name w:val="Endnote Text Char"/>
    <w:basedOn w:val="DefaultParagraphFont"/>
    <w:link w:val="EndnoteText"/>
    <w:uiPriority w:val="99"/>
    <w:rsid w:val="00077B6E"/>
    <w:rPr>
      <w:rFonts w:ascii="Times New Roman" w:eastAsia="Times New Roman" w:hAnsi="Times New Roman" w:cs="Times New Roman"/>
      <w:sz w:val="20"/>
      <w:szCs w:val="20"/>
      <w:lang w:val="en-GB" w:eastAsia="x-none"/>
    </w:rPr>
  </w:style>
  <w:style w:type="paragraph" w:customStyle="1" w:styleId="a2">
    <w:name w:val="変更箇所"/>
    <w:hidden/>
    <w:uiPriority w:val="99"/>
    <w:semiHidden/>
    <w:rsid w:val="00077B6E"/>
    <w:pPr>
      <w:spacing w:after="0" w:line="240" w:lineRule="auto"/>
    </w:pPr>
    <w:rPr>
      <w:rFonts w:ascii="Times New Roman" w:eastAsia="MS Mincho" w:hAnsi="Times New Roman" w:cs="Times New Roman"/>
      <w:sz w:val="20"/>
      <w:szCs w:val="20"/>
      <w:lang w:val="en-GB"/>
    </w:rPr>
  </w:style>
  <w:style w:type="paragraph" w:customStyle="1" w:styleId="NB2">
    <w:name w:val="NB2"/>
    <w:basedOn w:val="ZG"/>
    <w:uiPriority w:val="99"/>
    <w:rsid w:val="00077B6E"/>
    <w:pPr>
      <w:framePr w:wrap="notBeside"/>
      <w:overflowPunct/>
      <w:autoSpaceDE/>
      <w:autoSpaceDN/>
      <w:adjustRightInd/>
      <w:textAlignment w:val="auto"/>
    </w:pPr>
    <w:rPr>
      <w:lang w:val="en-US"/>
    </w:rPr>
  </w:style>
  <w:style w:type="paragraph" w:customStyle="1" w:styleId="tableentry">
    <w:name w:val="table entry"/>
    <w:basedOn w:val="Normal"/>
    <w:uiPriority w:val="99"/>
    <w:rsid w:val="00077B6E"/>
    <w:pPr>
      <w:keepNext/>
      <w:overflowPunct/>
      <w:autoSpaceDE/>
      <w:autoSpaceDN/>
      <w:adjustRightInd/>
      <w:spacing w:before="60" w:after="60"/>
      <w:textAlignment w:val="auto"/>
    </w:pPr>
    <w:rPr>
      <w:rFonts w:ascii="Bookman Old Style" w:eastAsia="SimSun" w:hAnsi="Bookman Old Style"/>
      <w:lang w:val="en-US"/>
    </w:rPr>
  </w:style>
  <w:style w:type="paragraph" w:styleId="NoteHeading">
    <w:name w:val="Note Heading"/>
    <w:basedOn w:val="Normal"/>
    <w:next w:val="Normal"/>
    <w:link w:val="NoteHeadingChar"/>
    <w:uiPriority w:val="99"/>
    <w:rsid w:val="00077B6E"/>
    <w:rPr>
      <w:rFonts w:eastAsia="MS Mincho"/>
      <w:lang w:eastAsia="x-none"/>
    </w:rPr>
  </w:style>
  <w:style w:type="character" w:customStyle="1" w:styleId="NoteHeadingChar">
    <w:name w:val="Note Heading Char"/>
    <w:basedOn w:val="DefaultParagraphFont"/>
    <w:link w:val="NoteHeading"/>
    <w:uiPriority w:val="99"/>
    <w:rsid w:val="00077B6E"/>
    <w:rPr>
      <w:rFonts w:ascii="Times New Roman" w:eastAsia="MS Mincho" w:hAnsi="Times New Roman" w:cs="Times New Roman"/>
      <w:sz w:val="20"/>
      <w:szCs w:val="20"/>
      <w:lang w:val="en-GB" w:eastAsia="x-none"/>
    </w:rPr>
  </w:style>
  <w:style w:type="character" w:customStyle="1" w:styleId="EditorsNoteChar">
    <w:name w:val="Editor's Note Char"/>
    <w:rsid w:val="00077B6E"/>
    <w:rPr>
      <w:rFonts w:ascii="Times New Roman" w:hAnsi="Times New Roman"/>
      <w:color w:val="FF0000"/>
      <w:lang w:val="en-GB" w:eastAsia="en-US"/>
    </w:rPr>
  </w:style>
  <w:style w:type="character" w:customStyle="1" w:styleId="ListBullet2Char">
    <w:name w:val="List Bullet 2 Char"/>
    <w:link w:val="ListBullet2"/>
    <w:rsid w:val="00077B6E"/>
    <w:rPr>
      <w:rFonts w:ascii="Times New Roman" w:eastAsia="Times New Roman" w:hAnsi="Times New Roman" w:cs="Times New Roman"/>
      <w:sz w:val="20"/>
      <w:szCs w:val="20"/>
      <w:lang w:val="en-GB" w:eastAsia="en-GB"/>
    </w:rPr>
  </w:style>
  <w:style w:type="numbering" w:customStyle="1" w:styleId="NoList1">
    <w:name w:val="No List1"/>
    <w:next w:val="NoList"/>
    <w:uiPriority w:val="99"/>
    <w:semiHidden/>
    <w:unhideWhenUsed/>
    <w:rsid w:val="00077B6E"/>
  </w:style>
  <w:style w:type="numbering" w:customStyle="1" w:styleId="NoList2">
    <w:name w:val="No List2"/>
    <w:next w:val="NoList"/>
    <w:semiHidden/>
    <w:unhideWhenUsed/>
    <w:rsid w:val="00077B6E"/>
  </w:style>
  <w:style w:type="table" w:customStyle="1" w:styleId="TableGrid4">
    <w:name w:val="Table Grid4"/>
    <w:basedOn w:val="TableNormal"/>
    <w:next w:val="TableGrid"/>
    <w:rsid w:val="00077B6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077B6E"/>
  </w:style>
  <w:style w:type="table" w:customStyle="1" w:styleId="TableGrid5">
    <w:name w:val="Table Grid5"/>
    <w:basedOn w:val="TableNormal"/>
    <w:next w:val="TableGrid"/>
    <w:rsid w:val="00077B6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077B6E"/>
  </w:style>
  <w:style w:type="table" w:customStyle="1" w:styleId="TableGrid6">
    <w:name w:val="Table Grid6"/>
    <w:basedOn w:val="TableNormal"/>
    <w:next w:val="TableGrid"/>
    <w:rsid w:val="00077B6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NoList"/>
    <w:uiPriority w:val="99"/>
    <w:semiHidden/>
    <w:unhideWhenUsed/>
    <w:rsid w:val="00077B6E"/>
  </w:style>
  <w:style w:type="numbering" w:customStyle="1" w:styleId="NoList6">
    <w:name w:val="No List6"/>
    <w:next w:val="NoList"/>
    <w:uiPriority w:val="99"/>
    <w:semiHidden/>
    <w:unhideWhenUsed/>
    <w:rsid w:val="00077B6E"/>
  </w:style>
  <w:style w:type="numbering" w:customStyle="1" w:styleId="NoList7">
    <w:name w:val="No List7"/>
    <w:next w:val="NoList"/>
    <w:uiPriority w:val="99"/>
    <w:semiHidden/>
    <w:unhideWhenUsed/>
    <w:rsid w:val="00077B6E"/>
  </w:style>
  <w:style w:type="numbering" w:customStyle="1" w:styleId="NoList8">
    <w:name w:val="No List8"/>
    <w:next w:val="NoList"/>
    <w:uiPriority w:val="99"/>
    <w:semiHidden/>
    <w:unhideWhenUsed/>
    <w:rsid w:val="00077B6E"/>
  </w:style>
  <w:style w:type="character" w:styleId="PlaceholderText">
    <w:name w:val="Placeholder Text"/>
    <w:uiPriority w:val="99"/>
    <w:semiHidden/>
    <w:rsid w:val="00077B6E"/>
    <w:rPr>
      <w:color w:val="808080"/>
    </w:rPr>
  </w:style>
  <w:style w:type="paragraph" w:customStyle="1" w:styleId="TOC92">
    <w:name w:val="TOC 92"/>
    <w:basedOn w:val="TOC8"/>
    <w:uiPriority w:val="99"/>
    <w:rsid w:val="00077B6E"/>
    <w:pPr>
      <w:ind w:left="1418" w:hanging="1418"/>
    </w:pPr>
    <w:rPr>
      <w:rFonts w:eastAsia="MS Mincho"/>
      <w:lang w:val="en-US" w:eastAsia="ja-JP"/>
    </w:rPr>
  </w:style>
  <w:style w:type="paragraph" w:customStyle="1" w:styleId="Caption2">
    <w:name w:val="Caption2"/>
    <w:basedOn w:val="Normal"/>
    <w:next w:val="Normal"/>
    <w:uiPriority w:val="99"/>
    <w:rsid w:val="00077B6E"/>
    <w:pPr>
      <w:spacing w:before="120" w:after="120"/>
    </w:pPr>
    <w:rPr>
      <w:rFonts w:eastAsia="MS Mincho"/>
      <w:b/>
      <w:lang w:eastAsia="ja-JP"/>
    </w:rPr>
  </w:style>
  <w:style w:type="paragraph" w:customStyle="1" w:styleId="TableofFigures2">
    <w:name w:val="Table of Figures2"/>
    <w:basedOn w:val="Normal"/>
    <w:next w:val="Normal"/>
    <w:uiPriority w:val="99"/>
    <w:rsid w:val="00077B6E"/>
    <w:pPr>
      <w:ind w:left="400" w:hanging="400"/>
      <w:jc w:val="center"/>
    </w:pPr>
    <w:rPr>
      <w:rFonts w:eastAsia="MS Mincho"/>
      <w:b/>
      <w:lang w:eastAsia="ja-JP"/>
    </w:rPr>
  </w:style>
  <w:style w:type="paragraph" w:customStyle="1" w:styleId="TOC93">
    <w:name w:val="TOC 93"/>
    <w:basedOn w:val="TOC8"/>
    <w:uiPriority w:val="99"/>
    <w:rsid w:val="00077B6E"/>
    <w:pPr>
      <w:ind w:left="1418" w:hanging="1418"/>
    </w:pPr>
    <w:rPr>
      <w:rFonts w:eastAsia="MS Mincho"/>
      <w:lang w:val="en-US" w:eastAsia="ja-JP"/>
    </w:rPr>
  </w:style>
  <w:style w:type="paragraph" w:customStyle="1" w:styleId="Caption3">
    <w:name w:val="Caption3"/>
    <w:basedOn w:val="Normal"/>
    <w:next w:val="Normal"/>
    <w:uiPriority w:val="99"/>
    <w:rsid w:val="00077B6E"/>
    <w:pPr>
      <w:spacing w:before="120" w:after="120"/>
    </w:pPr>
    <w:rPr>
      <w:rFonts w:eastAsia="MS Mincho"/>
      <w:b/>
      <w:lang w:eastAsia="ja-JP"/>
    </w:rPr>
  </w:style>
  <w:style w:type="paragraph" w:customStyle="1" w:styleId="TableofFigures3">
    <w:name w:val="Table of Figures3"/>
    <w:basedOn w:val="Normal"/>
    <w:next w:val="Normal"/>
    <w:uiPriority w:val="99"/>
    <w:rsid w:val="00077B6E"/>
    <w:pPr>
      <w:ind w:left="400" w:hanging="400"/>
      <w:jc w:val="center"/>
    </w:pPr>
    <w:rPr>
      <w:rFonts w:eastAsia="MS Mincho"/>
      <w:b/>
      <w:lang w:eastAsia="ja-JP"/>
    </w:rPr>
  </w:style>
  <w:style w:type="paragraph" w:styleId="TOCHeading">
    <w:name w:val="TOC Heading"/>
    <w:basedOn w:val="Heading1"/>
    <w:next w:val="Normal"/>
    <w:uiPriority w:val="39"/>
    <w:unhideWhenUsed/>
    <w:qFormat/>
    <w:rsid w:val="00077B6E"/>
    <w:pPr>
      <w:pBdr>
        <w:top w:val="none" w:sz="0" w:space="0" w:color="auto"/>
      </w:pBdr>
      <w:spacing w:before="480" w:after="0" w:line="276" w:lineRule="auto"/>
      <w:ind w:left="0" w:firstLine="0"/>
      <w:outlineLvl w:val="9"/>
    </w:pPr>
    <w:rPr>
      <w:rFonts w:ascii="Cambria" w:hAnsi="Cambria"/>
      <w:b/>
      <w:bCs/>
      <w:color w:val="365F91"/>
      <w:sz w:val="28"/>
      <w:szCs w:val="28"/>
      <w:lang w:val="en-US" w:eastAsia="en-US"/>
    </w:rPr>
  </w:style>
  <w:style w:type="numbering" w:customStyle="1" w:styleId="NoList9">
    <w:name w:val="No List9"/>
    <w:next w:val="NoList"/>
    <w:uiPriority w:val="99"/>
    <w:semiHidden/>
    <w:unhideWhenUsed/>
    <w:rsid w:val="00077B6E"/>
  </w:style>
  <w:style w:type="table" w:customStyle="1" w:styleId="TableGrid7">
    <w:name w:val="Table Grid7"/>
    <w:basedOn w:val="TableNormal"/>
    <w:next w:val="TableGrid"/>
    <w:uiPriority w:val="39"/>
    <w:qFormat/>
    <w:rsid w:val="00077B6E"/>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cap,cap Char,Caption Char,Caption Char1 Char,cap Char Char1,Caption Char Char1 Char,cap Char2 Char,Ca,Caption Char C...,cap1,cap2,cap11,Légende-figure,Légende-figure Char,Beschrifubg,Beschriftung Char,label,cap11 Char Char Char,captions,C"/>
    <w:basedOn w:val="Normal"/>
    <w:next w:val="Normal"/>
    <w:link w:val="CaptionChar1"/>
    <w:unhideWhenUsed/>
    <w:qFormat/>
    <w:rsid w:val="00C92B5B"/>
    <w:pPr>
      <w:spacing w:after="200"/>
    </w:pPr>
    <w:rPr>
      <w:i/>
      <w:iCs/>
      <w:color w:val="44546A" w:themeColor="text2"/>
      <w:sz w:val="18"/>
      <w:szCs w:val="18"/>
    </w:rPr>
  </w:style>
  <w:style w:type="character" w:customStyle="1" w:styleId="ListParagraphChar">
    <w:name w:val="List Paragraph Char"/>
    <w:aliases w:val="- Bullets Char,?? ?? Char,????? Char,???? Char,Lista1 Char,中等深浅网格 1 - 着色 21 Char,列表段落 Char,¥¡¡¡¡ì¬º¥¹¥È¶ÎÂä Char,ÁÐ³ö¶ÎÂä Char,¥ê¥¹¥È¶ÎÂä Char,列表段落1 Char,—ño’i—Ž Char,列出段落1 Char,목록 단락 Char,リスト段落 Char,Lettre d'introduction Char"/>
    <w:link w:val="ListParagraph"/>
    <w:uiPriority w:val="34"/>
    <w:qFormat/>
    <w:locked/>
    <w:rsid w:val="00A83847"/>
    <w:rPr>
      <w:rFonts w:ascii="Calibri" w:eastAsia="Times New Roman" w:hAnsi="Calibri" w:cs="Calibri"/>
    </w:rPr>
  </w:style>
  <w:style w:type="character" w:customStyle="1" w:styleId="h5Char1">
    <w:name w:val="h5 Char1"/>
    <w:aliases w:val="Heading5 Char1,Head5 Char1,H5 Char1,M5 Char1,mh2 Char1,Module heading 2 Char1,heading 8 Char1,Numbered Sub-list Char Char1,Heading 5 Char1"/>
    <w:rsid w:val="00F84DC4"/>
    <w:rPr>
      <w:rFonts w:ascii="Arial" w:eastAsia="MS Mincho" w:hAnsi="Arial"/>
      <w:sz w:val="22"/>
      <w:lang w:val="en-GB" w:eastAsia="en-US" w:bidi="ar-SA"/>
    </w:rPr>
  </w:style>
  <w:style w:type="paragraph" w:customStyle="1" w:styleId="a3">
    <w:name w:val="样式 页眉"/>
    <w:basedOn w:val="Header"/>
    <w:link w:val="Char"/>
    <w:rsid w:val="00B3234F"/>
    <w:rPr>
      <w:rFonts w:eastAsia="Arial"/>
      <w:bCs/>
      <w:sz w:val="22"/>
      <w:lang w:eastAsia="fi-FI"/>
    </w:rPr>
  </w:style>
  <w:style w:type="character" w:customStyle="1" w:styleId="Char">
    <w:name w:val="样式 页眉 Char"/>
    <w:link w:val="a3"/>
    <w:rsid w:val="00B3234F"/>
    <w:rPr>
      <w:rFonts w:ascii="Arial" w:eastAsia="Arial" w:hAnsi="Arial" w:cs="Times New Roman"/>
      <w:b/>
      <w:bCs/>
      <w:noProof/>
      <w:szCs w:val="20"/>
      <w:lang w:val="en-GB" w:eastAsia="fi-FI"/>
    </w:rPr>
  </w:style>
  <w:style w:type="paragraph" w:customStyle="1" w:styleId="11BodyText">
    <w:name w:val="11 BodyText"/>
    <w:basedOn w:val="Normal"/>
    <w:link w:val="11BodyTextChar"/>
    <w:uiPriority w:val="99"/>
    <w:rsid w:val="00B3234F"/>
    <w:pPr>
      <w:overflowPunct/>
      <w:autoSpaceDE/>
      <w:autoSpaceDN/>
      <w:adjustRightInd/>
      <w:spacing w:after="220"/>
      <w:ind w:left="1298"/>
      <w:textAlignment w:val="auto"/>
    </w:pPr>
    <w:rPr>
      <w:rFonts w:ascii="Arial" w:hAnsi="Arial"/>
      <w:lang w:val="en-US" w:eastAsia="x-none"/>
    </w:rPr>
  </w:style>
  <w:style w:type="character" w:customStyle="1" w:styleId="11BodyTextChar">
    <w:name w:val="11 BodyText Char"/>
    <w:link w:val="11BodyText"/>
    <w:uiPriority w:val="99"/>
    <w:rsid w:val="00B3234F"/>
    <w:rPr>
      <w:rFonts w:ascii="Arial" w:eastAsia="Times New Roman" w:hAnsi="Arial" w:cs="Times New Roman"/>
      <w:sz w:val="20"/>
      <w:szCs w:val="20"/>
      <w:lang w:eastAsia="x-none"/>
    </w:rPr>
  </w:style>
  <w:style w:type="paragraph" w:customStyle="1" w:styleId="paragraph">
    <w:name w:val="paragraph"/>
    <w:basedOn w:val="Normal"/>
    <w:rsid w:val="00B3234F"/>
    <w:pPr>
      <w:overflowPunct/>
      <w:autoSpaceDE/>
      <w:autoSpaceDN/>
      <w:adjustRightInd/>
      <w:spacing w:before="100" w:beforeAutospacing="1" w:after="100" w:afterAutospacing="1"/>
      <w:textAlignment w:val="auto"/>
    </w:pPr>
    <w:rPr>
      <w:sz w:val="24"/>
      <w:szCs w:val="24"/>
      <w:lang w:val="fi-FI" w:eastAsia="fi-FI"/>
    </w:rPr>
  </w:style>
  <w:style w:type="character" w:customStyle="1" w:styleId="normaltextrun">
    <w:name w:val="normaltextrun"/>
    <w:basedOn w:val="DefaultParagraphFont"/>
    <w:qFormat/>
    <w:rsid w:val="00B3234F"/>
  </w:style>
  <w:style w:type="character" w:customStyle="1" w:styleId="eop">
    <w:name w:val="eop"/>
    <w:basedOn w:val="DefaultParagraphFont"/>
    <w:rsid w:val="00B3234F"/>
  </w:style>
  <w:style w:type="paragraph" w:customStyle="1" w:styleId="msonormal0">
    <w:name w:val="msonormal"/>
    <w:basedOn w:val="Normal"/>
    <w:uiPriority w:val="99"/>
    <w:rsid w:val="00B3234F"/>
    <w:pPr>
      <w:overflowPunct/>
      <w:autoSpaceDE/>
      <w:autoSpaceDN/>
      <w:adjustRightInd/>
      <w:spacing w:before="100" w:beforeAutospacing="1" w:after="100" w:afterAutospacing="1"/>
      <w:textAlignment w:val="auto"/>
    </w:pPr>
    <w:rPr>
      <w:rFonts w:eastAsia="Malgun Gothic"/>
      <w:sz w:val="24"/>
      <w:szCs w:val="24"/>
      <w:lang w:val="en-US" w:eastAsia="fi-FI"/>
    </w:rPr>
  </w:style>
  <w:style w:type="character" w:customStyle="1" w:styleId="FootnoteTextChar1">
    <w:name w:val="Footnote Text Char1"/>
    <w:aliases w:val="footnote text1 Char1,footnote text2 Char1,footnote text3 Char1,footnote text4 Char1,footnote text5 Char1,footnote text6 Char1,footnote text7 Char1,footnote text11 Char1,footnote text21 Char1,footnote text31 Char1,footnote text51 Char"/>
    <w:basedOn w:val="DefaultParagraphFont"/>
    <w:semiHidden/>
    <w:rsid w:val="00B3234F"/>
    <w:rPr>
      <w:rFonts w:ascii="Times New Roman" w:hAnsi="Times New Roman"/>
      <w:lang w:val="en-GB" w:eastAsia="en-US"/>
    </w:rPr>
  </w:style>
  <w:style w:type="character" w:customStyle="1" w:styleId="Heading1Char1">
    <w:name w:val="Heading 1 Char1"/>
    <w:aliases w:val="NMP Heading 1 Char2,H1 Char2,h1 Char2,app heading 1 Char2,l1 Char2,Memo Heading 1 Char2,h11 Char2,h12 Char2,h13 Char2,h14 Char2,h15 Char2,h16 Char2,h17 Char2,h111 Char2,h121 Char2,h131 Char2,h141 Char2,h151 Char2,h161 Char1,h18 Char1"/>
    <w:basedOn w:val="DefaultParagraphFont"/>
    <w:rsid w:val="00241417"/>
    <w:rPr>
      <w:rFonts w:ascii="Arial" w:hAnsi="Arial"/>
      <w:sz w:val="36"/>
      <w:lang w:val="en-GB" w:eastAsia="en-US"/>
    </w:rPr>
  </w:style>
  <w:style w:type="character" w:customStyle="1" w:styleId="B3Char">
    <w:name w:val="B3 Char"/>
    <w:locked/>
    <w:rsid w:val="00241417"/>
    <w:rPr>
      <w:rFonts w:ascii="Times New Roman" w:hAnsi="Times New Roman"/>
      <w:lang w:val="en-GB" w:eastAsia="en-US"/>
    </w:rPr>
  </w:style>
  <w:style w:type="character" w:customStyle="1" w:styleId="1Char1">
    <w:name w:val="标题 1 Char1"/>
    <w:aliases w:val="NMP Heading 1 Char,H1 Char,h1 Char,app heading 1 Char,l1 Char,Memo Heading 1 Char,h11 Char,h12 Char,h13 Char,h14 Char,h15 Char,h16 Char,h17 Char,h111 Char,h121 Char,h131 Char,h141 Char,h151 Char,h161 Char,h18 Char,h112 Char,h122 Char,h19 Char"/>
    <w:rsid w:val="00241417"/>
    <w:rPr>
      <w:rFonts w:ascii="Arial" w:hAnsi="Arial" w:cs="Arial" w:hint="default"/>
      <w:sz w:val="36"/>
      <w:lang w:val="en-GB" w:eastAsia="en-US" w:bidi="ar-SA"/>
    </w:rPr>
  </w:style>
  <w:style w:type="character" w:customStyle="1" w:styleId="2Char1">
    <w:name w:val="标题 2 Char1"/>
    <w:aliases w:val="Head2A Char,2 Char,H2 Char,h2 Char,DO NOT USE_h2 Char,h21 Char,UNDERRUBRIK 1-2 Char,Head 2 Char,l2 Char,TitreProp Char,Header 2 Char,ITT t2 Char,PA Major Section Char,Livello 2 Char,R2 Char,H21 Char,Heading 2 Hidden Char,Head1 Char,I2 Char"/>
    <w:semiHidden/>
    <w:rsid w:val="00241417"/>
    <w:rPr>
      <w:rFonts w:ascii="Arial" w:hAnsi="Arial" w:cs="Arial" w:hint="default"/>
      <w:sz w:val="32"/>
      <w:lang w:val="en-GB" w:eastAsia="en-US" w:bidi="ar-SA"/>
    </w:rPr>
  </w:style>
  <w:style w:type="character" w:customStyle="1" w:styleId="3Char1">
    <w:name w:val="标题 3 Char1"/>
    <w:aliases w:val="Underrubrik2 Char,H3 Char,h3 Char,Memo Heading 3 Char,no break Char,0H Char,l3 Char,3 Char,list 3 Char,Head 3 Char,1.1.1 Char,3rd level Char,Major Section Sub Section Char,PA Minor Section Char,Head3 Char,Level 3 Head Char,31 Char,32 Char"/>
    <w:rsid w:val="00241417"/>
    <w:rPr>
      <w:rFonts w:ascii="Arial" w:eastAsia="MS Mincho" w:hAnsi="Arial" w:cs="Arial" w:hint="default"/>
      <w:sz w:val="28"/>
      <w:lang w:val="en-GB" w:eastAsia="en-US" w:bidi="ar-SA"/>
    </w:rPr>
  </w:style>
  <w:style w:type="character" w:customStyle="1" w:styleId="4Char1">
    <w:name w:val="标题 4 Char1"/>
    <w:aliases w:val="h4 Char,H4 Char,H41 Char,h41 Char,H42 Char,h42 Char,H43 Char,h43 Char,H411 Char,h411 Char,H421 Char,h421 Char,H44 Char,h44 Char,H412 Char,h412 Char,H422 Char,h422 Char,H431 Char,h431 Char,H45 Char,h45 Char,H413 Char,h413 Char,H423 Char,4 Char"/>
    <w:semiHidden/>
    <w:rsid w:val="00241417"/>
    <w:rPr>
      <w:rFonts w:ascii="Arial" w:eastAsia="MS Mincho" w:hAnsi="Arial" w:cs="Arial" w:hint="default"/>
      <w:sz w:val="24"/>
      <w:lang w:val="en-GB" w:eastAsia="en-US" w:bidi="ar-SA"/>
    </w:rPr>
  </w:style>
  <w:style w:type="character" w:customStyle="1" w:styleId="5Char1">
    <w:name w:val="标题 5 Char1"/>
    <w:aliases w:val="h5 Char,Heading5 Char,Head5 Char,H5 Char,M5 Char,mh2 Char,Module heading 2 Char,heading 8 Char,Numbered Sub-list Char,Heading 81 Char1,标题 81 Char1,Heading 811 Char1,Heading 8111 Char1,5 Char Char,Heading 81 Char Char"/>
    <w:rsid w:val="00241417"/>
    <w:rPr>
      <w:rFonts w:ascii="Arial" w:eastAsia="MS Mincho" w:hAnsi="Arial" w:cs="Arial" w:hint="default"/>
      <w:sz w:val="22"/>
      <w:lang w:val="en-GB" w:eastAsia="en-US" w:bidi="ar-SA"/>
    </w:rPr>
  </w:style>
  <w:style w:type="paragraph" w:styleId="NormalIndent">
    <w:name w:val="Normal Indent"/>
    <w:basedOn w:val="Normal"/>
    <w:uiPriority w:val="99"/>
    <w:unhideWhenUsed/>
    <w:rsid w:val="00241417"/>
    <w:pPr>
      <w:spacing w:after="0"/>
      <w:ind w:left="851"/>
    </w:pPr>
    <w:rPr>
      <w:rFonts w:eastAsia="MS Mincho"/>
      <w:lang w:val="it-IT"/>
    </w:rPr>
  </w:style>
  <w:style w:type="character" w:customStyle="1" w:styleId="CaptionChar1">
    <w:name w:val="Caption Char1"/>
    <w:aliases w:val="cap Char1,cap Char Char,Caption Char Char,Caption Char1 Char Char,cap Char Char1 Char,Caption Char Char1 Char Char,cap Char2 Char Char,Ca Char,Caption Char C... Char,cap1 Char,cap2 Char,cap11 Char,Légende-figure Char1,Beschrifubg Char"/>
    <w:link w:val="Caption"/>
    <w:locked/>
    <w:rsid w:val="00241417"/>
    <w:rPr>
      <w:rFonts w:ascii="Times New Roman" w:eastAsia="Times New Roman" w:hAnsi="Times New Roman" w:cs="Times New Roman"/>
      <w:i/>
      <w:iCs/>
      <w:color w:val="44546A" w:themeColor="text2"/>
      <w:sz w:val="18"/>
      <w:szCs w:val="18"/>
      <w:lang w:val="en-GB" w:eastAsia="en-GB"/>
    </w:rPr>
  </w:style>
  <w:style w:type="paragraph" w:styleId="TableofFigures">
    <w:name w:val="table of figures"/>
    <w:basedOn w:val="Normal"/>
    <w:next w:val="Normal"/>
    <w:uiPriority w:val="99"/>
    <w:semiHidden/>
    <w:unhideWhenUsed/>
    <w:rsid w:val="00241417"/>
    <w:pPr>
      <w:ind w:left="400" w:hanging="400"/>
      <w:jc w:val="center"/>
    </w:pPr>
    <w:rPr>
      <w:b/>
    </w:rPr>
  </w:style>
  <w:style w:type="paragraph" w:styleId="Title">
    <w:name w:val="Title"/>
    <w:basedOn w:val="Normal"/>
    <w:next w:val="Normal"/>
    <w:link w:val="TitleChar"/>
    <w:uiPriority w:val="99"/>
    <w:qFormat/>
    <w:rsid w:val="00241417"/>
    <w:pPr>
      <w:spacing w:before="240" w:after="60"/>
      <w:outlineLvl w:val="0"/>
    </w:pPr>
    <w:rPr>
      <w:rFonts w:ascii="Courier New" w:hAnsi="Courier New"/>
      <w:color w:val="FF0000"/>
      <w:lang w:val="nb-NO"/>
    </w:rPr>
  </w:style>
  <w:style w:type="character" w:customStyle="1" w:styleId="TitleChar">
    <w:name w:val="Title Char"/>
    <w:basedOn w:val="DefaultParagraphFont"/>
    <w:link w:val="Title"/>
    <w:uiPriority w:val="99"/>
    <w:rsid w:val="00241417"/>
    <w:rPr>
      <w:rFonts w:ascii="Courier New" w:eastAsia="Times New Roman" w:hAnsi="Courier New" w:cs="Times New Roman"/>
      <w:color w:val="FF0000"/>
      <w:sz w:val="20"/>
      <w:szCs w:val="20"/>
      <w:lang w:val="nb-NO" w:eastAsia="en-GB"/>
    </w:rPr>
  </w:style>
  <w:style w:type="character" w:customStyle="1" w:styleId="BodyTextChar1">
    <w:name w:val="Body Text Char1"/>
    <w:aliases w:val="bt Char4,Corps de texte Car Char3,Corps de texte Car1 Car Char3,Corps de texte Car Car Car Char3,Corps de texte Car1 Car Car Car Char3,Corps de texte Car Car Car Car Car Char3,Corps de texte Car1 Car Car Car Car Car Char3,bt Car Char"/>
    <w:basedOn w:val="DefaultParagraphFont"/>
    <w:locked/>
    <w:rsid w:val="00241417"/>
    <w:rPr>
      <w:lang w:eastAsia="ja-JP"/>
    </w:rPr>
  </w:style>
  <w:style w:type="character" w:customStyle="1" w:styleId="Char1">
    <w:name w:val="正文文本 Char1"/>
    <w:aliases w:val="bt Char,Corps de texte Car Char,Corps de texte Car1 Car Char,Corps de texte Car Car Car Char,Corps de texte Car1 Car Car Car Char,Corps de texte Car Car Car Car Car Char,Corps de texte Car1 Car Car Car Car Car Char,bt Car Char1"/>
    <w:basedOn w:val="DefaultParagraphFont"/>
    <w:semiHidden/>
    <w:rsid w:val="00241417"/>
    <w:rPr>
      <w:rFonts w:ascii="Times New Roman" w:hAnsi="Times New Roman"/>
      <w:lang w:val="en-GB" w:eastAsia="en-US"/>
    </w:rPr>
  </w:style>
  <w:style w:type="paragraph" w:styleId="BodyTextIndent">
    <w:name w:val="Body Text Indent"/>
    <w:basedOn w:val="Normal"/>
    <w:link w:val="BodyTextIndentChar"/>
    <w:uiPriority w:val="99"/>
    <w:unhideWhenUsed/>
    <w:rsid w:val="00241417"/>
    <w:pPr>
      <w:widowControl w:val="0"/>
      <w:snapToGrid w:val="0"/>
      <w:ind w:left="210"/>
      <w:jc w:val="both"/>
    </w:pPr>
    <w:rPr>
      <w:kern w:val="2"/>
      <w:sz w:val="21"/>
    </w:rPr>
  </w:style>
  <w:style w:type="character" w:customStyle="1" w:styleId="BodyTextIndentChar">
    <w:name w:val="Body Text Indent Char"/>
    <w:basedOn w:val="DefaultParagraphFont"/>
    <w:link w:val="BodyTextIndent"/>
    <w:uiPriority w:val="99"/>
    <w:rsid w:val="00241417"/>
    <w:rPr>
      <w:rFonts w:ascii="Times New Roman" w:eastAsia="Times New Roman" w:hAnsi="Times New Roman" w:cs="Times New Roman"/>
      <w:kern w:val="2"/>
      <w:sz w:val="21"/>
      <w:szCs w:val="20"/>
      <w:lang w:val="en-GB" w:eastAsia="en-GB"/>
    </w:rPr>
  </w:style>
  <w:style w:type="paragraph" w:styleId="Date">
    <w:name w:val="Date"/>
    <w:basedOn w:val="Normal"/>
    <w:next w:val="Normal"/>
    <w:link w:val="DateChar"/>
    <w:uiPriority w:val="99"/>
    <w:unhideWhenUsed/>
    <w:rsid w:val="00241417"/>
  </w:style>
  <w:style w:type="character" w:customStyle="1" w:styleId="DateChar">
    <w:name w:val="Date Char"/>
    <w:basedOn w:val="DefaultParagraphFont"/>
    <w:link w:val="Date"/>
    <w:uiPriority w:val="99"/>
    <w:rsid w:val="00241417"/>
    <w:rPr>
      <w:rFonts w:ascii="Times New Roman" w:eastAsia="Times New Roman" w:hAnsi="Times New Roman" w:cs="Times New Roman"/>
      <w:sz w:val="20"/>
      <w:szCs w:val="20"/>
      <w:lang w:val="en-GB" w:eastAsia="en-GB"/>
    </w:rPr>
  </w:style>
  <w:style w:type="paragraph" w:styleId="BodyText2">
    <w:name w:val="Body Text 2"/>
    <w:basedOn w:val="Normal"/>
    <w:link w:val="BodyText2Char"/>
    <w:uiPriority w:val="99"/>
    <w:unhideWhenUsed/>
    <w:rsid w:val="00241417"/>
    <w:rPr>
      <w:i/>
    </w:rPr>
  </w:style>
  <w:style w:type="character" w:customStyle="1" w:styleId="BodyText2Char">
    <w:name w:val="Body Text 2 Char"/>
    <w:basedOn w:val="DefaultParagraphFont"/>
    <w:link w:val="BodyText2"/>
    <w:uiPriority w:val="99"/>
    <w:rsid w:val="00241417"/>
    <w:rPr>
      <w:rFonts w:ascii="Times New Roman" w:eastAsia="Times New Roman" w:hAnsi="Times New Roman" w:cs="Times New Roman"/>
      <w:i/>
      <w:sz w:val="20"/>
      <w:szCs w:val="20"/>
      <w:lang w:val="en-GB" w:eastAsia="en-GB"/>
    </w:rPr>
  </w:style>
  <w:style w:type="paragraph" w:styleId="BodyText3">
    <w:name w:val="Body Text 3"/>
    <w:basedOn w:val="Normal"/>
    <w:link w:val="BodyText3Char"/>
    <w:uiPriority w:val="99"/>
    <w:unhideWhenUsed/>
    <w:rsid w:val="00241417"/>
    <w:pPr>
      <w:keepNext/>
      <w:keepLines/>
    </w:pPr>
    <w:rPr>
      <w:rFonts w:eastAsia="Osaka"/>
      <w:color w:val="000000"/>
    </w:rPr>
  </w:style>
  <w:style w:type="character" w:customStyle="1" w:styleId="BodyText3Char">
    <w:name w:val="Body Text 3 Char"/>
    <w:basedOn w:val="DefaultParagraphFont"/>
    <w:link w:val="BodyText3"/>
    <w:uiPriority w:val="99"/>
    <w:rsid w:val="00241417"/>
    <w:rPr>
      <w:rFonts w:ascii="Times New Roman" w:eastAsia="Osaka" w:hAnsi="Times New Roman" w:cs="Times New Roman"/>
      <w:color w:val="000000"/>
      <w:sz w:val="20"/>
      <w:szCs w:val="20"/>
      <w:lang w:val="en-GB" w:eastAsia="en-GB"/>
    </w:rPr>
  </w:style>
  <w:style w:type="paragraph" w:styleId="BodyTextIndent2">
    <w:name w:val="Body Text Indent 2"/>
    <w:basedOn w:val="Normal"/>
    <w:link w:val="BodyTextIndent2Char"/>
    <w:uiPriority w:val="99"/>
    <w:unhideWhenUsed/>
    <w:rsid w:val="00241417"/>
    <w:pPr>
      <w:ind w:leftChars="100" w:left="400" w:hangingChars="100" w:hanging="200"/>
    </w:pPr>
    <w:rPr>
      <w:rFonts w:eastAsia="MS Mincho"/>
    </w:rPr>
  </w:style>
  <w:style w:type="character" w:customStyle="1" w:styleId="BodyTextIndent2Char">
    <w:name w:val="Body Text Indent 2 Char"/>
    <w:basedOn w:val="DefaultParagraphFont"/>
    <w:link w:val="BodyTextIndent2"/>
    <w:uiPriority w:val="99"/>
    <w:rsid w:val="00241417"/>
    <w:rPr>
      <w:rFonts w:ascii="Times New Roman" w:eastAsia="MS Mincho" w:hAnsi="Times New Roman" w:cs="Times New Roman"/>
      <w:sz w:val="20"/>
      <w:szCs w:val="20"/>
      <w:lang w:val="en-GB" w:eastAsia="en-GB"/>
    </w:rPr>
  </w:style>
  <w:style w:type="paragraph" w:styleId="BodyTextIndent3">
    <w:name w:val="Body Text Indent 3"/>
    <w:basedOn w:val="Normal"/>
    <w:link w:val="BodyTextIndent3Char"/>
    <w:uiPriority w:val="99"/>
    <w:semiHidden/>
    <w:unhideWhenUsed/>
    <w:rsid w:val="00241417"/>
    <w:pPr>
      <w:ind w:left="1080"/>
    </w:pPr>
  </w:style>
  <w:style w:type="character" w:customStyle="1" w:styleId="BodyTextIndent3Char">
    <w:name w:val="Body Text Indent 3 Char"/>
    <w:basedOn w:val="DefaultParagraphFont"/>
    <w:link w:val="BodyTextIndent3"/>
    <w:uiPriority w:val="99"/>
    <w:semiHidden/>
    <w:rsid w:val="00241417"/>
    <w:rPr>
      <w:rFonts w:ascii="Times New Roman" w:eastAsia="Times New Roman" w:hAnsi="Times New Roman" w:cs="Times New Roman"/>
      <w:sz w:val="20"/>
      <w:szCs w:val="20"/>
      <w:lang w:val="en-GB" w:eastAsia="en-GB"/>
    </w:rPr>
  </w:style>
  <w:style w:type="paragraph" w:styleId="NoSpacing">
    <w:name w:val="No Spacing"/>
    <w:uiPriority w:val="1"/>
    <w:qFormat/>
    <w:rsid w:val="00241417"/>
    <w:pPr>
      <w:spacing w:after="0" w:line="240" w:lineRule="auto"/>
    </w:pPr>
    <w:rPr>
      <w:rFonts w:ascii="Times New Roman" w:eastAsia="Times New Roman" w:hAnsi="Times New Roman" w:cs="Times New Roman"/>
      <w:sz w:val="20"/>
      <w:szCs w:val="20"/>
      <w:lang w:val="en-GB"/>
    </w:rPr>
  </w:style>
  <w:style w:type="paragraph" w:customStyle="1" w:styleId="CharCharCharCharChar">
    <w:name w:val="Char Char Char Char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harChar">
    <w:name w:val="Char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harCharChar">
    <w:name w:val="Char Char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1Char">
    <w:name w:val="(文字) (文字)1 Char (文字) (文字)"/>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harChar1CharChar">
    <w:name w:val="Char Char1 Char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1CharChar1">
    <w:name w:val="(文字) (文字)1 Char (文字) (文字) Char (文字) (文字)1"/>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1CharChar">
    <w:name w:val="(文字) (文字)1 Char (文字) (文字)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1CharChar1CharCharCharChar">
    <w:name w:val="(文字) (文字)1 Char (文字) (文字) Char (文字) (文字)1 Char (文字) (文字) Char Char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harCharCharChar1">
    <w:name w:val="Char Char Char Char1"/>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harChar2CharChar">
    <w:name w:val="Char Char2 Char Char"/>
    <w:basedOn w:val="Normal"/>
    <w:uiPriority w:val="99"/>
    <w:rsid w:val="00241417"/>
    <w:pPr>
      <w:tabs>
        <w:tab w:val="left" w:pos="540"/>
        <w:tab w:val="left" w:pos="1260"/>
        <w:tab w:val="left" w:pos="1800"/>
      </w:tabs>
      <w:spacing w:before="240" w:after="160" w:line="240" w:lineRule="exact"/>
    </w:pPr>
    <w:rPr>
      <w:rFonts w:ascii="Verdana" w:eastAsia="Batang" w:hAnsi="Verdana"/>
      <w:sz w:val="24"/>
      <w:lang w:val="en-US" w:eastAsia="en-US"/>
    </w:rPr>
  </w:style>
  <w:style w:type="paragraph" w:customStyle="1" w:styleId="CharCharCharCharCharChar">
    <w:name w:val="Char Char Char Char Char Char"/>
    <w:uiPriority w:val="99"/>
    <w:semiHidden/>
    <w:rsid w:val="00241417"/>
    <w:pPr>
      <w:keepNext/>
      <w:autoSpaceDE w:val="0"/>
      <w:autoSpaceDN w:val="0"/>
      <w:adjustRightInd w:val="0"/>
      <w:spacing w:before="60" w:after="60" w:line="240" w:lineRule="auto"/>
      <w:ind w:left="567" w:hanging="283"/>
      <w:jc w:val="both"/>
    </w:pPr>
    <w:rPr>
      <w:rFonts w:ascii="Arial" w:eastAsia="SimSun" w:hAnsi="Arial" w:cs="Arial"/>
      <w:color w:val="0000FF"/>
      <w:kern w:val="2"/>
      <w:sz w:val="20"/>
      <w:szCs w:val="20"/>
      <w:lang w:eastAsia="zh-CN"/>
    </w:rPr>
  </w:style>
  <w:style w:type="paragraph" w:customStyle="1" w:styleId="a4">
    <w:name w:val="(文字) (文字)"/>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arCar">
    <w:name w:val="Car C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ZchnZchn1">
    <w:name w:val="Zchn Zchn1"/>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2">
    <w:name w:val="(文字) (文字)2"/>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3">
    <w:name w:val="(文字) (文字)3"/>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ZchnZchn2">
    <w:name w:val="Zchn Zchn2"/>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4">
    <w:name w:val="(文字) (文字)4"/>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11">
    <w:name w:val="(文字) (文字)1"/>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AutoCorrect">
    <w:name w:val="AutoCorrect"/>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PAGE-">
    <w:name w:val="- PAGE -"/>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PageXofY">
    <w:name w:val="Page X of Y"/>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Createdby">
    <w:name w:val="Created by"/>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Createdon">
    <w:name w:val="Created on"/>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Lastprinted">
    <w:name w:val="Last printed"/>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Lastsavedby">
    <w:name w:val="Last saved by"/>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Filename">
    <w:name w:val="Filename"/>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Filenameandpath">
    <w:name w:val="Filename and path"/>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AuthorPageDate">
    <w:name w:val="Author  Page #  Date"/>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ConfidentialPageDate">
    <w:name w:val="Confidential  Page #  Date"/>
    <w:uiPriority w:val="99"/>
    <w:rsid w:val="00241417"/>
    <w:pPr>
      <w:spacing w:after="0" w:line="240" w:lineRule="auto"/>
    </w:pPr>
    <w:rPr>
      <w:rFonts w:ascii="Times New Roman" w:eastAsia="Malgun Gothic" w:hAnsi="Times New Roman" w:cs="Times New Roman"/>
      <w:sz w:val="24"/>
      <w:szCs w:val="24"/>
      <w:lang w:val="en-GB" w:eastAsia="ko-KR"/>
    </w:rPr>
  </w:style>
  <w:style w:type="paragraph" w:customStyle="1" w:styleId="CouvRecTitle">
    <w:name w:val="Couv Rec Title"/>
    <w:basedOn w:val="Normal"/>
    <w:uiPriority w:val="99"/>
    <w:rsid w:val="00241417"/>
    <w:pPr>
      <w:keepNext/>
      <w:keepLines/>
      <w:spacing w:before="240"/>
      <w:ind w:left="1418"/>
    </w:pPr>
    <w:rPr>
      <w:rFonts w:ascii="Arial" w:hAnsi="Arial"/>
      <w:b/>
      <w:sz w:val="36"/>
      <w:lang w:val="en-US" w:eastAsia="ja-JP"/>
    </w:rPr>
  </w:style>
  <w:style w:type="paragraph" w:customStyle="1" w:styleId="Figure">
    <w:name w:val="Figure"/>
    <w:basedOn w:val="Normal"/>
    <w:uiPriority w:val="99"/>
    <w:rsid w:val="00241417"/>
    <w:pPr>
      <w:tabs>
        <w:tab w:val="num" w:pos="1440"/>
      </w:tabs>
      <w:spacing w:before="180" w:after="240" w:line="280" w:lineRule="atLeast"/>
      <w:ind w:left="720" w:hanging="360"/>
      <w:jc w:val="center"/>
    </w:pPr>
    <w:rPr>
      <w:rFonts w:ascii="Arial" w:hAnsi="Arial"/>
      <w:b/>
      <w:lang w:val="en-US" w:eastAsia="ja-JP"/>
    </w:rPr>
  </w:style>
  <w:style w:type="paragraph" w:customStyle="1" w:styleId="Data">
    <w:name w:val="Data"/>
    <w:basedOn w:val="Normal"/>
    <w:uiPriority w:val="99"/>
    <w:rsid w:val="00241417"/>
    <w:pPr>
      <w:tabs>
        <w:tab w:val="left" w:pos="1418"/>
      </w:tabs>
      <w:spacing w:after="120"/>
    </w:pPr>
    <w:rPr>
      <w:rFonts w:ascii="Arial" w:eastAsia="MS Mincho" w:hAnsi="Arial"/>
      <w:sz w:val="24"/>
      <w:lang w:val="fr-FR"/>
    </w:rPr>
  </w:style>
  <w:style w:type="paragraph" w:customStyle="1" w:styleId="p20">
    <w:name w:val="p20"/>
    <w:basedOn w:val="Normal"/>
    <w:uiPriority w:val="99"/>
    <w:rsid w:val="00241417"/>
    <w:pPr>
      <w:snapToGrid w:val="0"/>
      <w:spacing w:after="0"/>
    </w:pPr>
    <w:rPr>
      <w:rFonts w:ascii="Arial" w:eastAsia="SimSun" w:hAnsi="Arial" w:cs="Arial"/>
      <w:sz w:val="18"/>
      <w:szCs w:val="18"/>
      <w:lang w:val="en-US" w:eastAsia="zh-CN"/>
    </w:rPr>
  </w:style>
  <w:style w:type="paragraph" w:customStyle="1" w:styleId="ATC">
    <w:name w:val="ATC"/>
    <w:basedOn w:val="Normal"/>
    <w:uiPriority w:val="99"/>
    <w:rsid w:val="00241417"/>
    <w:rPr>
      <w:lang w:eastAsia="ja-JP"/>
    </w:rPr>
  </w:style>
  <w:style w:type="paragraph" w:customStyle="1" w:styleId="TaOC">
    <w:name w:val="TaOC"/>
    <w:basedOn w:val="TAC"/>
    <w:uiPriority w:val="99"/>
    <w:rsid w:val="00241417"/>
    <w:rPr>
      <w:rFonts w:cs="Arial"/>
      <w:lang w:val="fr-FR" w:eastAsia="ja-JP"/>
    </w:rPr>
  </w:style>
  <w:style w:type="paragraph" w:customStyle="1" w:styleId="1CharChar1Char">
    <w:name w:val="(文字) (文字)1 Char (文字) (文字) Char (文字) (文字)1 Char (文字) (文字)"/>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xl40">
    <w:name w:val="xl40"/>
    <w:basedOn w:val="Normal"/>
    <w:uiPriority w:val="99"/>
    <w:rsid w:val="00241417"/>
    <w:pPr>
      <w:shd w:val="clear" w:color="auto" w:fill="FFFF00"/>
      <w:spacing w:before="100" w:beforeAutospacing="1" w:after="100" w:afterAutospacing="1"/>
      <w:jc w:val="center"/>
    </w:pPr>
    <w:rPr>
      <w:rFonts w:ascii="Arial" w:hAnsi="Arial" w:cs="Arial"/>
      <w:b/>
      <w:bCs/>
      <w:color w:val="000000"/>
      <w:sz w:val="16"/>
      <w:szCs w:val="16"/>
    </w:rPr>
  </w:style>
  <w:style w:type="paragraph" w:customStyle="1" w:styleId="StyleHeading6Left0cmHanging349cmAfter9pt">
    <w:name w:val="Style Heading 6 + Left:  0 cm Hanging:  3.49 cm After:  9 pt"/>
    <w:basedOn w:val="Heading6"/>
    <w:uiPriority w:val="99"/>
    <w:rsid w:val="00241417"/>
    <w:pPr>
      <w:keepNext w:val="0"/>
      <w:keepLines w:val="0"/>
      <w:spacing w:before="240"/>
      <w:ind w:left="1980" w:hanging="1980"/>
    </w:pPr>
    <w:rPr>
      <w:rFonts w:eastAsia="MS Mincho"/>
      <w:bCs/>
    </w:rPr>
  </w:style>
  <w:style w:type="paragraph" w:customStyle="1" w:styleId="StyleHeading6After9pt">
    <w:name w:val="Style Heading 6 + After:  9 pt"/>
    <w:basedOn w:val="Heading6"/>
    <w:uiPriority w:val="99"/>
    <w:rsid w:val="00241417"/>
    <w:pPr>
      <w:keepNext w:val="0"/>
      <w:keepLines w:val="0"/>
      <w:spacing w:before="240"/>
      <w:ind w:left="0" w:firstLine="0"/>
    </w:pPr>
    <w:rPr>
      <w:rFonts w:eastAsia="MS Mincho"/>
      <w:bCs/>
    </w:rPr>
  </w:style>
  <w:style w:type="paragraph" w:customStyle="1" w:styleId="a5">
    <w:name w:val="吹き出し"/>
    <w:basedOn w:val="Normal"/>
    <w:uiPriority w:val="99"/>
    <w:semiHidden/>
    <w:rsid w:val="00241417"/>
    <w:rPr>
      <w:rFonts w:ascii="Tahoma" w:eastAsia="MS Mincho" w:hAnsi="Tahoma" w:cs="Tahoma"/>
      <w:sz w:val="16"/>
      <w:szCs w:val="16"/>
    </w:rPr>
  </w:style>
  <w:style w:type="paragraph" w:customStyle="1" w:styleId="JK-text-simpledoc">
    <w:name w:val="JK - text - simple doc"/>
    <w:basedOn w:val="BodyText"/>
    <w:autoRedefine/>
    <w:uiPriority w:val="99"/>
    <w:rsid w:val="00241417"/>
    <w:pPr>
      <w:tabs>
        <w:tab w:val="num" w:pos="928"/>
        <w:tab w:val="num" w:pos="1097"/>
      </w:tabs>
      <w:spacing w:line="288" w:lineRule="auto"/>
      <w:ind w:left="1097" w:hanging="360"/>
      <w:textAlignment w:val="baseline"/>
    </w:pPr>
    <w:rPr>
      <w:rFonts w:ascii="Arial" w:eastAsia="SimSun" w:hAnsi="Arial" w:cs="Arial"/>
      <w:lang w:val="en-US"/>
    </w:rPr>
  </w:style>
  <w:style w:type="paragraph" w:customStyle="1" w:styleId="b11">
    <w:name w:val="b1"/>
    <w:basedOn w:val="Normal"/>
    <w:uiPriority w:val="99"/>
    <w:rsid w:val="00241417"/>
    <w:pPr>
      <w:spacing w:before="100" w:beforeAutospacing="1" w:after="100" w:afterAutospacing="1"/>
    </w:pPr>
    <w:rPr>
      <w:sz w:val="24"/>
      <w:szCs w:val="24"/>
      <w:lang w:val="en-US"/>
    </w:rPr>
  </w:style>
  <w:style w:type="paragraph" w:customStyle="1" w:styleId="12">
    <w:name w:val="吹き出し1"/>
    <w:basedOn w:val="Normal"/>
    <w:uiPriority w:val="99"/>
    <w:semiHidden/>
    <w:rsid w:val="00241417"/>
    <w:rPr>
      <w:rFonts w:ascii="Tahoma" w:eastAsia="MS Mincho" w:hAnsi="Tahoma" w:cs="Tahoma"/>
      <w:sz w:val="16"/>
      <w:szCs w:val="16"/>
    </w:rPr>
  </w:style>
  <w:style w:type="paragraph" w:customStyle="1" w:styleId="20">
    <w:name w:val="吹き出し2"/>
    <w:basedOn w:val="Normal"/>
    <w:uiPriority w:val="99"/>
    <w:semiHidden/>
    <w:rsid w:val="00241417"/>
    <w:rPr>
      <w:rFonts w:ascii="Tahoma" w:eastAsia="MS Mincho" w:hAnsi="Tahoma" w:cs="Tahoma"/>
      <w:sz w:val="16"/>
      <w:szCs w:val="16"/>
    </w:rPr>
  </w:style>
  <w:style w:type="paragraph" w:customStyle="1" w:styleId="CRfront">
    <w:name w:val="CR_front"/>
    <w:basedOn w:val="Normal"/>
    <w:uiPriority w:val="99"/>
    <w:rsid w:val="00241417"/>
    <w:rPr>
      <w:rFonts w:eastAsia="MS Mincho"/>
    </w:rPr>
  </w:style>
  <w:style w:type="paragraph" w:customStyle="1" w:styleId="t2">
    <w:name w:val="t2"/>
    <w:basedOn w:val="Normal"/>
    <w:uiPriority w:val="99"/>
    <w:rsid w:val="00241417"/>
    <w:pPr>
      <w:spacing w:after="0"/>
    </w:pPr>
    <w:rPr>
      <w:rFonts w:eastAsia="MS Mincho"/>
    </w:rPr>
  </w:style>
  <w:style w:type="paragraph" w:customStyle="1" w:styleId="CommentNokia">
    <w:name w:val="Comment Nokia"/>
    <w:basedOn w:val="Normal"/>
    <w:uiPriority w:val="99"/>
    <w:rsid w:val="00241417"/>
    <w:pPr>
      <w:tabs>
        <w:tab w:val="left" w:pos="360"/>
      </w:tabs>
      <w:ind w:left="360" w:hanging="360"/>
    </w:pPr>
    <w:rPr>
      <w:rFonts w:eastAsia="MS Mincho"/>
      <w:sz w:val="22"/>
      <w:lang w:val="en-US"/>
    </w:rPr>
  </w:style>
  <w:style w:type="paragraph" w:customStyle="1" w:styleId="Heading2Head2A2">
    <w:name w:val="Heading 2.Head2A.2"/>
    <w:basedOn w:val="Heading1"/>
    <w:next w:val="Normal"/>
    <w:uiPriority w:val="99"/>
    <w:rsid w:val="00241417"/>
    <w:pPr>
      <w:pBdr>
        <w:top w:val="none" w:sz="0" w:space="0" w:color="auto"/>
      </w:pBdr>
      <w:spacing w:before="180"/>
      <w:outlineLvl w:val="1"/>
    </w:pPr>
    <w:rPr>
      <w:rFonts w:eastAsia="SimSun"/>
      <w:sz w:val="32"/>
      <w:lang w:eastAsia="es-ES"/>
    </w:rPr>
  </w:style>
  <w:style w:type="paragraph" w:customStyle="1" w:styleId="berschrift2Head2A2">
    <w:name w:val="Überschrift 2.Head2A.2"/>
    <w:basedOn w:val="Heading1"/>
    <w:next w:val="Normal"/>
    <w:uiPriority w:val="99"/>
    <w:rsid w:val="00241417"/>
    <w:pPr>
      <w:pBdr>
        <w:top w:val="none" w:sz="0" w:space="0" w:color="auto"/>
      </w:pBdr>
      <w:spacing w:before="180"/>
      <w:outlineLvl w:val="1"/>
    </w:pPr>
    <w:rPr>
      <w:rFonts w:eastAsia="MS Mincho"/>
      <w:sz w:val="32"/>
      <w:lang w:eastAsia="de-DE"/>
    </w:rPr>
  </w:style>
  <w:style w:type="paragraph" w:customStyle="1" w:styleId="berschrift3h3H3Underrubrik2">
    <w:name w:val="Überschrift 3.h3.H3.Underrubrik2"/>
    <w:basedOn w:val="Heading2"/>
    <w:next w:val="Normal"/>
    <w:uiPriority w:val="99"/>
    <w:rsid w:val="00241417"/>
    <w:pPr>
      <w:spacing w:before="120"/>
      <w:outlineLvl w:val="2"/>
    </w:pPr>
    <w:rPr>
      <w:rFonts w:eastAsia="MS Mincho"/>
      <w:sz w:val="28"/>
      <w:lang w:eastAsia="de-DE"/>
    </w:rPr>
  </w:style>
  <w:style w:type="paragraph" w:customStyle="1" w:styleId="1030302">
    <w:name w:val="样式 样式 标题 1 + 两端对齐 段前: 0.3 行 段后: 0.3 行 行距: 单倍行距 + 段前: 0.2 行 段后: ..."/>
    <w:basedOn w:val="Normal"/>
    <w:autoRedefine/>
    <w:uiPriority w:val="99"/>
    <w:rsid w:val="00241417"/>
    <w:pPr>
      <w:keepNext/>
      <w:tabs>
        <w:tab w:val="num" w:pos="0"/>
      </w:tabs>
      <w:spacing w:beforeLines="20" w:afterLines="10" w:after="0"/>
      <w:ind w:right="284"/>
      <w:jc w:val="both"/>
      <w:outlineLvl w:val="0"/>
    </w:pPr>
    <w:rPr>
      <w:rFonts w:ascii="Arial" w:eastAsia="SimSun" w:hAnsi="Arial" w:cs="SimSun"/>
      <w:b/>
      <w:bCs/>
      <w:sz w:val="28"/>
      <w:lang w:val="en-US" w:eastAsia="zh-CN"/>
    </w:rPr>
  </w:style>
  <w:style w:type="paragraph" w:customStyle="1" w:styleId="B1">
    <w:name w:val="B1+"/>
    <w:basedOn w:val="B10"/>
    <w:uiPriority w:val="99"/>
    <w:rsid w:val="00241417"/>
    <w:pPr>
      <w:numPr>
        <w:numId w:val="11"/>
      </w:numPr>
      <w:tabs>
        <w:tab w:val="clear" w:pos="737"/>
        <w:tab w:val="num" w:pos="360"/>
      </w:tabs>
      <w:ind w:left="360" w:hanging="360"/>
    </w:pPr>
    <w:rPr>
      <w:rFonts w:eastAsiaTheme="minorEastAsia"/>
      <w:lang w:eastAsia="en-US"/>
    </w:rPr>
  </w:style>
  <w:style w:type="paragraph" w:customStyle="1" w:styleId="NormalArial">
    <w:name w:val="Normal + Arial"/>
    <w:aliases w:val="9 pt,Right,Right:  0,24 cm,After:  0 pt"/>
    <w:basedOn w:val="Normal"/>
    <w:uiPriority w:val="99"/>
    <w:rsid w:val="00241417"/>
    <w:pPr>
      <w:keepNext/>
      <w:keepLines/>
      <w:spacing w:after="0"/>
      <w:ind w:right="134"/>
      <w:jc w:val="right"/>
    </w:pPr>
    <w:rPr>
      <w:rFonts w:ascii="Arial" w:hAnsi="Arial" w:cs="Arial"/>
      <w:sz w:val="18"/>
      <w:szCs w:val="18"/>
      <w:lang w:val="en-US"/>
    </w:rPr>
  </w:style>
  <w:style w:type="character" w:customStyle="1" w:styleId="StyleTACChar">
    <w:name w:val="Style TAC + Char"/>
    <w:link w:val="StyleTAC"/>
    <w:locked/>
    <w:rsid w:val="00241417"/>
    <w:rPr>
      <w:rFonts w:ascii="Arial" w:hAnsi="Arial" w:cs="Arial"/>
      <w:kern w:val="2"/>
      <w:sz w:val="18"/>
    </w:rPr>
  </w:style>
  <w:style w:type="paragraph" w:customStyle="1" w:styleId="StyleTAC">
    <w:name w:val="Style TAC +"/>
    <w:basedOn w:val="TAC"/>
    <w:next w:val="TAC"/>
    <w:link w:val="StyleTACChar"/>
    <w:autoRedefine/>
    <w:rsid w:val="00241417"/>
    <w:rPr>
      <w:rFonts w:eastAsiaTheme="minorEastAsia" w:cs="Arial"/>
      <w:kern w:val="2"/>
      <w:szCs w:val="22"/>
      <w:lang w:val="en-US" w:eastAsia="en-US"/>
    </w:rPr>
  </w:style>
  <w:style w:type="paragraph" w:customStyle="1" w:styleId="CharChar24">
    <w:name w:val="Char Char24"/>
    <w:basedOn w:val="Normal"/>
    <w:uiPriority w:val="99"/>
    <w:semiHidden/>
    <w:rsid w:val="00241417"/>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ontribution">
    <w:name w:val="contribution"/>
    <w:basedOn w:val="Heading1"/>
    <w:uiPriority w:val="99"/>
    <w:semiHidden/>
    <w:rsid w:val="00241417"/>
    <w:pPr>
      <w:tabs>
        <w:tab w:val="num" w:pos="45"/>
      </w:tabs>
      <w:ind w:left="405" w:hanging="405"/>
    </w:pPr>
    <w:rPr>
      <w:rFonts w:eastAsia="Arial"/>
    </w:rPr>
  </w:style>
  <w:style w:type="paragraph" w:customStyle="1" w:styleId="MotorolaResponse1">
    <w:name w:val="Motorola Response1"/>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Char0">
    <w:name w:val="(文字) (文字)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character" w:customStyle="1" w:styleId="enumlev1Char">
    <w:name w:val="enumlev1 Char"/>
    <w:link w:val="enumlev1"/>
    <w:locked/>
    <w:rsid w:val="00241417"/>
    <w:rPr>
      <w:rFonts w:ascii="Times New Roman" w:eastAsia="Times New Roman" w:hAnsi="Times New Roman" w:cs="Times New Roman"/>
      <w:sz w:val="24"/>
      <w:szCs w:val="20"/>
      <w:lang w:val="fr-FR"/>
    </w:rPr>
  </w:style>
  <w:style w:type="paragraph" w:customStyle="1" w:styleId="FBCharCharCharChar1">
    <w:name w:val="FB Char Char Char Char1"/>
    <w:next w:val="Normal"/>
    <w:uiPriority w:val="99"/>
    <w:semiHidden/>
    <w:rsid w:val="00241417"/>
    <w:pPr>
      <w:keepNext/>
      <w:tabs>
        <w:tab w:val="num" w:pos="720"/>
      </w:tabs>
      <w:autoSpaceDE w:val="0"/>
      <w:autoSpaceDN w:val="0"/>
      <w:adjustRightInd w:val="0"/>
      <w:spacing w:after="0" w:line="240" w:lineRule="auto"/>
      <w:ind w:left="720" w:hanging="360"/>
      <w:jc w:val="both"/>
    </w:pPr>
    <w:rPr>
      <w:rFonts w:ascii="Times New Roman" w:eastAsia="MS Mincho" w:hAnsi="Times New Roman" w:cs="Times New Roman"/>
      <w:kern w:val="2"/>
      <w:sz w:val="20"/>
      <w:szCs w:val="20"/>
      <w:lang w:val="en-GB" w:eastAsia="zh-CN"/>
    </w:rPr>
  </w:style>
  <w:style w:type="paragraph" w:customStyle="1" w:styleId="FBCharCharCharChar1CharCharCharCharCharChar1CharCharCharCharCharCharCharCharCharChar">
    <w:name w:val="FB Char Char Char Char1 Char Char Char Char Char Char1 Char Char Char Char Char Char Char Char Char Char"/>
    <w:next w:val="Normal"/>
    <w:uiPriority w:val="99"/>
    <w:semiHidden/>
    <w:rsid w:val="00241417"/>
    <w:pPr>
      <w:keepNext/>
      <w:tabs>
        <w:tab w:val="num" w:pos="720"/>
      </w:tabs>
      <w:autoSpaceDE w:val="0"/>
      <w:autoSpaceDN w:val="0"/>
      <w:adjustRightInd w:val="0"/>
      <w:spacing w:after="0" w:line="240" w:lineRule="auto"/>
      <w:ind w:left="720" w:hanging="360"/>
      <w:jc w:val="both"/>
    </w:pPr>
    <w:rPr>
      <w:rFonts w:ascii="Times New Roman" w:eastAsia="MS Mincho" w:hAnsi="Times New Roman" w:cs="Times New Roman"/>
      <w:kern w:val="2"/>
      <w:sz w:val="20"/>
      <w:szCs w:val="20"/>
      <w:lang w:val="en-GB" w:eastAsia="zh-CN"/>
    </w:rPr>
  </w:style>
  <w:style w:type="paragraph" w:customStyle="1" w:styleId="FBCharCharCharChar1CharCharCharCharCharChar1CharCharCharCharCharChar">
    <w:name w:val="FB Char Char Char Char1 Char Char Char Char Char Char1 Char Char Char Char Char Char"/>
    <w:next w:val="Normal"/>
    <w:uiPriority w:val="99"/>
    <w:semiHidden/>
    <w:rsid w:val="00241417"/>
    <w:pPr>
      <w:keepNext/>
      <w:tabs>
        <w:tab w:val="num" w:pos="720"/>
      </w:tabs>
      <w:autoSpaceDE w:val="0"/>
      <w:autoSpaceDN w:val="0"/>
      <w:adjustRightInd w:val="0"/>
      <w:spacing w:after="0" w:line="240" w:lineRule="auto"/>
      <w:ind w:left="720" w:hanging="360"/>
      <w:jc w:val="both"/>
    </w:pPr>
    <w:rPr>
      <w:rFonts w:ascii="Times New Roman" w:eastAsia="MS Mincho" w:hAnsi="Times New Roman" w:cs="Times New Roman"/>
      <w:kern w:val="2"/>
      <w:sz w:val="20"/>
      <w:szCs w:val="20"/>
      <w:lang w:val="en-GB" w:eastAsia="zh-CN"/>
    </w:rPr>
  </w:style>
  <w:style w:type="character" w:customStyle="1" w:styleId="Heading4Char0">
    <w:name w:val="Heading4 Char"/>
    <w:link w:val="Heading40"/>
    <w:semiHidden/>
    <w:locked/>
    <w:rsid w:val="00241417"/>
    <w:rPr>
      <w:rFonts w:ascii="Arial" w:eastAsia="Arial" w:hAnsi="Arial" w:cs="Arial"/>
      <w:sz w:val="28"/>
    </w:rPr>
  </w:style>
  <w:style w:type="paragraph" w:customStyle="1" w:styleId="Heading40">
    <w:name w:val="Heading4"/>
    <w:basedOn w:val="Heading3"/>
    <w:link w:val="Heading4Char0"/>
    <w:semiHidden/>
    <w:rsid w:val="00241417"/>
    <w:pPr>
      <w:keepNext w:val="0"/>
      <w:keepLines w:val="0"/>
      <w:tabs>
        <w:tab w:val="num" w:pos="1100"/>
      </w:tabs>
      <w:spacing w:before="100" w:beforeAutospacing="1" w:afterLines="100" w:after="0"/>
      <w:ind w:left="930" w:hanging="510"/>
    </w:pPr>
    <w:rPr>
      <w:rFonts w:eastAsia="Arial" w:cs="Arial"/>
      <w:szCs w:val="22"/>
      <w:lang w:val="en-US" w:eastAsia="en-US"/>
    </w:rPr>
  </w:style>
  <w:style w:type="paragraph" w:customStyle="1" w:styleId="a">
    <w:name w:val="表格题注"/>
    <w:next w:val="Normal"/>
    <w:uiPriority w:val="99"/>
    <w:rsid w:val="00241417"/>
    <w:pPr>
      <w:numPr>
        <w:numId w:val="5"/>
      </w:numPr>
      <w:tabs>
        <w:tab w:val="clear" w:pos="397"/>
        <w:tab w:val="num" w:pos="926"/>
      </w:tabs>
      <w:spacing w:beforeLines="50" w:afterLines="50" w:after="0" w:line="240" w:lineRule="auto"/>
      <w:ind w:left="926" w:hanging="360"/>
      <w:jc w:val="center"/>
    </w:pPr>
    <w:rPr>
      <w:rFonts w:ascii="Times New Roman" w:eastAsia="Malgun Gothic" w:hAnsi="Times New Roman" w:cs="Times New Roman"/>
      <w:b/>
      <w:sz w:val="20"/>
      <w:szCs w:val="20"/>
      <w:lang w:val="en-GB" w:eastAsia="zh-CN"/>
    </w:rPr>
  </w:style>
  <w:style w:type="paragraph" w:customStyle="1" w:styleId="a0">
    <w:name w:val="插图题注"/>
    <w:next w:val="Normal"/>
    <w:uiPriority w:val="99"/>
    <w:rsid w:val="00241417"/>
    <w:pPr>
      <w:numPr>
        <w:numId w:val="6"/>
      </w:numPr>
      <w:tabs>
        <w:tab w:val="clear" w:pos="397"/>
        <w:tab w:val="num" w:pos="1209"/>
      </w:tabs>
      <w:spacing w:after="0" w:line="240" w:lineRule="auto"/>
      <w:ind w:left="1209" w:hanging="360"/>
      <w:jc w:val="center"/>
    </w:pPr>
    <w:rPr>
      <w:rFonts w:ascii="Times New Roman" w:eastAsia="Malgun Gothic" w:hAnsi="Times New Roman" w:cs="Times New Roman"/>
      <w:b/>
      <w:sz w:val="20"/>
      <w:szCs w:val="20"/>
      <w:lang w:val="en-GB" w:eastAsia="zh-CN"/>
    </w:rPr>
  </w:style>
  <w:style w:type="paragraph" w:customStyle="1" w:styleId="CharCharCharChar">
    <w:name w:val="Char Char Char Char"/>
    <w:basedOn w:val="Normal"/>
    <w:uiPriority w:val="99"/>
    <w:rsid w:val="00241417"/>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Norma">
    <w:name w:val="Norma"/>
    <w:basedOn w:val="Heading1"/>
    <w:uiPriority w:val="99"/>
    <w:rsid w:val="00241417"/>
    <w:rPr>
      <w:szCs w:val="36"/>
    </w:rPr>
  </w:style>
  <w:style w:type="paragraph" w:customStyle="1" w:styleId="B2">
    <w:name w:val="B2+"/>
    <w:basedOn w:val="B20"/>
    <w:uiPriority w:val="99"/>
    <w:rsid w:val="00241417"/>
    <w:pPr>
      <w:numPr>
        <w:numId w:val="12"/>
      </w:numPr>
      <w:tabs>
        <w:tab w:val="clear" w:pos="1191"/>
        <w:tab w:val="num" w:pos="360"/>
      </w:tabs>
      <w:ind w:left="360" w:hanging="360"/>
    </w:pPr>
    <w:rPr>
      <w:rFonts w:eastAsiaTheme="minorEastAsia"/>
      <w:lang w:eastAsia="en-US"/>
    </w:rPr>
  </w:style>
  <w:style w:type="paragraph" w:customStyle="1" w:styleId="B3">
    <w:name w:val="B3+"/>
    <w:basedOn w:val="B30"/>
    <w:uiPriority w:val="99"/>
    <w:rsid w:val="00241417"/>
    <w:pPr>
      <w:numPr>
        <w:numId w:val="13"/>
      </w:numPr>
      <w:tabs>
        <w:tab w:val="clear" w:pos="1644"/>
        <w:tab w:val="num" w:pos="360"/>
        <w:tab w:val="left" w:pos="1134"/>
      </w:tabs>
      <w:ind w:left="360" w:hanging="360"/>
    </w:pPr>
    <w:rPr>
      <w:rFonts w:eastAsiaTheme="minorEastAsia"/>
      <w:lang w:eastAsia="en-US"/>
    </w:rPr>
  </w:style>
  <w:style w:type="paragraph" w:customStyle="1" w:styleId="Atl">
    <w:name w:val="Atl"/>
    <w:basedOn w:val="Normal"/>
    <w:uiPriority w:val="99"/>
    <w:rsid w:val="00241417"/>
    <w:rPr>
      <w:rFonts w:eastAsia="MS Mincho" w:cs="v4.2.0"/>
    </w:rPr>
  </w:style>
  <w:style w:type="paragraph" w:customStyle="1" w:styleId="CharCharCharCharCharCharCharCharCharCharCharCharChar">
    <w:name w:val="Char Char Char Char Char Char Char Char Char Char Char Char Char"/>
    <w:uiPriority w:val="99"/>
    <w:semiHidden/>
    <w:rsid w:val="00241417"/>
    <w:pPr>
      <w:keepNext/>
      <w:tabs>
        <w:tab w:val="num" w:pos="851"/>
      </w:tabs>
      <w:autoSpaceDE w:val="0"/>
      <w:autoSpaceDN w:val="0"/>
      <w:adjustRightInd w:val="0"/>
      <w:spacing w:before="60" w:after="60" w:line="240" w:lineRule="auto"/>
      <w:ind w:left="851" w:hanging="851"/>
      <w:jc w:val="both"/>
    </w:pPr>
    <w:rPr>
      <w:rFonts w:ascii="Arial" w:eastAsia="SimSun" w:hAnsi="Arial" w:cs="Arial"/>
      <w:color w:val="0000FF"/>
      <w:kern w:val="2"/>
      <w:sz w:val="20"/>
      <w:szCs w:val="20"/>
      <w:lang w:eastAsia="zh-CN"/>
    </w:rPr>
  </w:style>
  <w:style w:type="paragraph" w:customStyle="1" w:styleId="16">
    <w:name w:val="16"/>
    <w:basedOn w:val="Normal"/>
    <w:uiPriority w:val="99"/>
    <w:rsid w:val="00241417"/>
    <w:pPr>
      <w:snapToGrid w:val="0"/>
      <w:spacing w:before="100" w:beforeAutospacing="1" w:after="100" w:afterAutospacing="1"/>
      <w:jc w:val="center"/>
    </w:pPr>
    <w:rPr>
      <w:rFonts w:ascii="Arial" w:eastAsia="MS Mincho" w:hAnsi="Arial" w:cs="Arial"/>
      <w:sz w:val="18"/>
      <w:szCs w:val="18"/>
      <w:lang w:eastAsia="ja-JP"/>
    </w:rPr>
  </w:style>
  <w:style w:type="paragraph" w:customStyle="1" w:styleId="200">
    <w:name w:val="20"/>
    <w:basedOn w:val="Normal"/>
    <w:uiPriority w:val="99"/>
    <w:rsid w:val="00241417"/>
    <w:pPr>
      <w:snapToGrid w:val="0"/>
      <w:spacing w:before="100" w:beforeAutospacing="1" w:after="100" w:afterAutospacing="1"/>
      <w:jc w:val="center"/>
    </w:pPr>
    <w:rPr>
      <w:rFonts w:ascii="Arial" w:eastAsia="MS Mincho" w:hAnsi="Arial" w:cs="Arial"/>
      <w:b/>
      <w:bCs/>
      <w:sz w:val="18"/>
      <w:szCs w:val="18"/>
      <w:lang w:eastAsia="ja-JP"/>
    </w:rPr>
  </w:style>
  <w:style w:type="paragraph" w:customStyle="1" w:styleId="TdocHeading1">
    <w:name w:val="Tdoc_Heading_1"/>
    <w:basedOn w:val="Heading1"/>
    <w:next w:val="Normal"/>
    <w:autoRedefine/>
    <w:uiPriority w:val="99"/>
    <w:rsid w:val="00241417"/>
    <w:pPr>
      <w:keepLines w:val="0"/>
      <w:pBdr>
        <w:top w:val="none" w:sz="0" w:space="0" w:color="auto"/>
      </w:pBdr>
      <w:ind w:left="0" w:firstLine="0"/>
    </w:pPr>
    <w:rPr>
      <w:b/>
      <w:noProof/>
      <w:color w:val="339966"/>
      <w:kern w:val="28"/>
      <w:sz w:val="28"/>
      <w:szCs w:val="28"/>
      <w:lang w:val="en-US" w:eastAsia="zh-CN"/>
    </w:rPr>
  </w:style>
  <w:style w:type="paragraph" w:customStyle="1" w:styleId="xl29">
    <w:name w:val="xl29"/>
    <w:basedOn w:val="Normal"/>
    <w:uiPriority w:val="99"/>
    <w:rsid w:val="00241417"/>
    <w:pPr>
      <w:pBdr>
        <w:left w:val="single" w:sz="4" w:space="0" w:color="C0C0C0"/>
        <w:bottom w:val="single" w:sz="4" w:space="0" w:color="C0C0C0"/>
      </w:pBdr>
      <w:spacing w:before="100" w:beforeAutospacing="1" w:after="100" w:afterAutospacing="1"/>
      <w:jc w:val="center"/>
    </w:pPr>
    <w:rPr>
      <w:rFonts w:ascii="Arial" w:hAnsi="Arial" w:cs="Arial"/>
      <w:b/>
      <w:bCs/>
      <w:sz w:val="24"/>
      <w:szCs w:val="24"/>
    </w:rPr>
  </w:style>
  <w:style w:type="paragraph" w:customStyle="1" w:styleId="1">
    <w:name w:val="样式1"/>
    <w:basedOn w:val="TAN"/>
    <w:uiPriority w:val="99"/>
    <w:qFormat/>
    <w:rsid w:val="00241417"/>
    <w:pPr>
      <w:numPr>
        <w:numId w:val="7"/>
      </w:numPr>
      <w:tabs>
        <w:tab w:val="num" w:pos="643"/>
      </w:tabs>
      <w:ind w:left="643"/>
    </w:pPr>
    <w:rPr>
      <w:rFonts w:eastAsia="MS Mincho" w:cs="Arial"/>
      <w:szCs w:val="18"/>
      <w:lang w:val="fr-FR" w:eastAsia="ja-JP"/>
    </w:rPr>
  </w:style>
  <w:style w:type="character" w:styleId="EndnoteReference">
    <w:name w:val="endnote reference"/>
    <w:unhideWhenUsed/>
    <w:rsid w:val="00241417"/>
    <w:rPr>
      <w:vertAlign w:val="superscript"/>
    </w:rPr>
  </w:style>
  <w:style w:type="character" w:customStyle="1" w:styleId="CharChar1">
    <w:name w:val="Char Char1"/>
    <w:rsid w:val="00241417"/>
    <w:rPr>
      <w:lang w:val="en-GB" w:eastAsia="ja-JP" w:bidi="ar-SA"/>
    </w:rPr>
  </w:style>
  <w:style w:type="character" w:customStyle="1" w:styleId="btChar1">
    <w:name w:val="bt Char1"/>
    <w:aliases w:val="Corps de texte Car Char1,Corps de texte Car1 Car Char1,Corps de texte Car Car Car Char1,Corps de texte Car1 Car Car Car Char1,Corps de texte Car Car Car Car Car Char1,Corps de texte Car1 Car Car Car Car Car Char1,bt Car Char Char1"/>
    <w:rsid w:val="00241417"/>
    <w:rPr>
      <w:lang w:val="en-GB" w:eastAsia="ja-JP" w:bidi="ar-SA"/>
    </w:rPr>
  </w:style>
  <w:style w:type="character" w:customStyle="1" w:styleId="capChar2">
    <w:name w:val="cap Char2"/>
    <w:aliases w:val="cap Char Char2,Caption Char Char1,Caption Char1 Char Char1,cap Char Char1 Char1,Caption Char Char1 Char Char1,cap Char2 Char Char Char1"/>
    <w:rsid w:val="00241417"/>
    <w:rPr>
      <w:b/>
      <w:bCs w:val="0"/>
      <w:lang w:val="en-GB" w:eastAsia="en-GB" w:bidi="ar-SA"/>
    </w:rPr>
  </w:style>
  <w:style w:type="character" w:customStyle="1" w:styleId="btChar2">
    <w:name w:val="bt Char2"/>
    <w:aliases w:val="Corps de texte Car Char2,Corps de texte Car1 Car Char2,Corps de texte Car Car Car Char2,Corps de texte Car1 Car Car Car Char2,Corps de texte Car Car Car Car Car Char2,Corps de texte Car1 Car Car Car Car Car Char2,bt Car Char Char2"/>
    <w:rsid w:val="00241417"/>
    <w:rPr>
      <w:lang w:val="en-GB" w:eastAsia="ja-JP" w:bidi="ar-SA"/>
    </w:rPr>
  </w:style>
  <w:style w:type="character" w:customStyle="1" w:styleId="Head2AChar4">
    <w:name w:val="Head2A Char4"/>
    <w:aliases w:val="2 Char4,H2 Char4,h2 Char4,DO NOT USE_h2 Char4,h21 Char4,UNDERRUBRIK 1-2 Char4,Head 2 Char4,l2 Char4,TitreProp Char4,Header 2 Char4,ITT t2 Char4,PA Major Section Char4,Livello 2 Char4,R2 Char4,H21 Char4,Heading 2 Hidden Char4,Head1 Char4"/>
    <w:rsid w:val="00241417"/>
    <w:rPr>
      <w:rFonts w:ascii="Arial" w:hAnsi="Arial" w:cs="Arial" w:hint="default"/>
      <w:sz w:val="32"/>
      <w:lang w:val="en-GB" w:eastAsia="ja-JP" w:bidi="ar-SA"/>
    </w:rPr>
  </w:style>
  <w:style w:type="character" w:customStyle="1" w:styleId="CharChar4">
    <w:name w:val="Char Char4"/>
    <w:rsid w:val="00241417"/>
    <w:rPr>
      <w:rFonts w:ascii="Courier New" w:hAnsi="Courier New" w:cs="Courier New" w:hint="default"/>
      <w:lang w:val="nb-NO" w:eastAsia="ja-JP" w:bidi="ar-SA"/>
    </w:rPr>
  </w:style>
  <w:style w:type="character" w:customStyle="1" w:styleId="AndreaLeonardi">
    <w:name w:val="Andrea Leonardi"/>
    <w:semiHidden/>
    <w:rsid w:val="00241417"/>
    <w:rPr>
      <w:rFonts w:ascii="Arial" w:hAnsi="Arial" w:cs="Arial" w:hint="default"/>
      <w:color w:val="auto"/>
      <w:sz w:val="20"/>
      <w:szCs w:val="20"/>
    </w:rPr>
  </w:style>
  <w:style w:type="character" w:customStyle="1" w:styleId="NOCharChar">
    <w:name w:val="NO Char Char"/>
    <w:rsid w:val="00241417"/>
    <w:rPr>
      <w:lang w:val="en-GB" w:eastAsia="en-US" w:bidi="ar-SA"/>
    </w:rPr>
  </w:style>
  <w:style w:type="character" w:customStyle="1" w:styleId="NOZchn">
    <w:name w:val="NO Zchn"/>
    <w:rsid w:val="00241417"/>
    <w:rPr>
      <w:lang w:val="en-GB" w:eastAsia="en-US" w:bidi="ar-SA"/>
    </w:rPr>
  </w:style>
  <w:style w:type="character" w:customStyle="1" w:styleId="T1Char">
    <w:name w:val="T1 Char"/>
    <w:aliases w:val="Header 6 Char Char"/>
    <w:basedOn w:val="H6Char"/>
    <w:rsid w:val="00241417"/>
    <w:rPr>
      <w:rFonts w:ascii="Arial" w:eastAsia="Times New Roman" w:hAnsi="Arial" w:cs="Times New Roman"/>
      <w:sz w:val="20"/>
      <w:szCs w:val="20"/>
      <w:lang w:val="en-GB" w:eastAsia="en-US"/>
    </w:rPr>
  </w:style>
  <w:style w:type="character" w:customStyle="1" w:styleId="T1Char1">
    <w:name w:val="T1 Char1"/>
    <w:aliases w:val="Header 6 Char Char1"/>
    <w:basedOn w:val="H6Char"/>
    <w:rsid w:val="00241417"/>
    <w:rPr>
      <w:rFonts w:ascii="Arial" w:eastAsia="Times New Roman" w:hAnsi="Arial" w:cs="Times New Roman"/>
      <w:sz w:val="20"/>
      <w:szCs w:val="20"/>
      <w:lang w:val="en-GB" w:eastAsia="en-US"/>
    </w:rPr>
  </w:style>
  <w:style w:type="character" w:customStyle="1" w:styleId="Head2AChar1">
    <w:name w:val="Head2A Char1"/>
    <w:aliases w:val="2 Char1,H2 Char1,h2 Char1,DO NOT USE_h2 Char1,h21 Char1,UNDERRUBRIK 1-2 Char1,Head 2 Char1,l2 Char1,TitreProp Char1,Header 2 Char1,ITT t2 Char1,PA Major Section Char1,Livello 2 Char1,R2 Char1,H21 Char1,Heading 2 Hidden Char1,Head1 Char1"/>
    <w:rsid w:val="00241417"/>
    <w:rPr>
      <w:rFonts w:ascii="Arial" w:hAnsi="Arial" w:cs="Arial" w:hint="default"/>
      <w:sz w:val="32"/>
      <w:lang w:val="en-GB" w:eastAsia="en-US" w:bidi="ar-SA"/>
    </w:rPr>
  </w:style>
  <w:style w:type="character" w:customStyle="1" w:styleId="NMPHeading1Char1">
    <w:name w:val="NMP Heading 1 Char1"/>
    <w:aliases w:val="H1 Char1,h1 Char1,app heading 1 Char1,l1 Char1,Memo Heading 1 Char1,h11 Char1,h12 Char1,h13 Char1,h14 Char1,h15 Char1,h16 Char1,Huvudrubrik Char1,heading 1 Char1,h17 Char1,h111 Char1,h121 Char1,h131 Char1,h141 Char1,h151 Char1"/>
    <w:rsid w:val="00241417"/>
    <w:rPr>
      <w:rFonts w:ascii="Arial" w:hAnsi="Arial" w:cs="Arial" w:hint="default"/>
      <w:sz w:val="36"/>
      <w:lang w:val="en-GB" w:eastAsia="en-US" w:bidi="ar-SA"/>
    </w:rPr>
  </w:style>
  <w:style w:type="character" w:customStyle="1" w:styleId="Head2AChar2">
    <w:name w:val="Head2A Char2"/>
    <w:aliases w:val="2 Char2,H2 Char2,h2 Char2,DO NOT USE_h2 Char2,h21 Char2,UNDERRUBRIK 1-2 Char2,Head 2 Char2,l2 Char2,TitreProp Char2,Header 2 Char2,ITT t2 Char2,PA Major Section Char2,Livello 2 Char2,R2 Char2,H21 Char2,Heading 2 Hidden Char2,Head1 Char2"/>
    <w:rsid w:val="00241417"/>
    <w:rPr>
      <w:rFonts w:ascii="Arial" w:hAnsi="Arial" w:cs="Arial" w:hint="default"/>
      <w:sz w:val="32"/>
      <w:lang w:val="en-GB" w:eastAsia="en-US" w:bidi="ar-SA"/>
    </w:rPr>
  </w:style>
  <w:style w:type="character" w:customStyle="1" w:styleId="Head2AChar3">
    <w:name w:val="Head2A Char3"/>
    <w:aliases w:val="2 Char3,H2 Char3,h2 Char3,DO NOT USE_h2 Char3,h21 Char3,UNDERRUBRIK 1-2 Char3,Head 2 Char3,l2 Char3,TitreProp Char3,Header 2 Char3,ITT t2 Char3,PA Major Section Char3,Livello 2 Char3,R2 Char3,H21 Char3,Heading 2 Hidden Char3,Head1 Char3"/>
    <w:rsid w:val="00241417"/>
    <w:rPr>
      <w:rFonts w:ascii="Arial" w:hAnsi="Arial" w:cs="Arial" w:hint="default"/>
      <w:sz w:val="32"/>
      <w:lang w:val="en-GB" w:eastAsia="en-US" w:bidi="ar-SA"/>
    </w:rPr>
  </w:style>
  <w:style w:type="character" w:customStyle="1" w:styleId="h4Char1">
    <w:name w:val="h4 Char1"/>
    <w:aliases w:val="H4 Char1,H41 Char1,h41 Char1,H42 Char1,h42 Char1,H43 Char1,h43 Char1,H411 Char1,h411 Char1,H421 Char1,h421 Char1,H44 Char1,h44 Char1,H412 Char1,h412 Char1,H422 Char1,h422 Char1,H431 Char1,h431 Char1,H45 Char1,h45 Char1,H413 Char1,h413 Char1"/>
    <w:rsid w:val="00241417"/>
    <w:rPr>
      <w:rFonts w:ascii="Arial" w:eastAsia="MS Mincho" w:hAnsi="Arial" w:cs="Arial" w:hint="default"/>
      <w:sz w:val="24"/>
      <w:lang w:val="en-GB" w:eastAsia="en-US" w:bidi="ar-SA"/>
    </w:rPr>
  </w:style>
  <w:style w:type="character" w:customStyle="1" w:styleId="Underrubrik2Char1">
    <w:name w:val="Underrubrik2 Char1"/>
    <w:aliases w:val="H3 Char1,h3 Char1,Memo Heading 3 Char1,no break Char1,0H Char1,l3 Char1,3 Char1,list 3 Char1,Head 3 Char1,1.1.1 Char1,3rd level Char1,Major Section Sub Section Char1,PA Minor Section Char1,Head3 Char1,Level 3 Head Char1,31 Char1"/>
    <w:locked/>
    <w:rsid w:val="00241417"/>
    <w:rPr>
      <w:rFonts w:ascii="Arial" w:eastAsia="Batang" w:hAnsi="Arial" w:cs="Times New Roman" w:hint="default"/>
      <w:b/>
      <w:bCs/>
      <w:i/>
      <w:iCs/>
      <w:sz w:val="28"/>
      <w:szCs w:val="28"/>
      <w:lang w:val="en-GB" w:eastAsia="en-US" w:bidi="ar-SA"/>
    </w:rPr>
  </w:style>
  <w:style w:type="character" w:customStyle="1" w:styleId="T1Char2">
    <w:name w:val="T1 Char2"/>
    <w:aliases w:val="Header 6 Char Char2"/>
    <w:basedOn w:val="H6Char"/>
    <w:rsid w:val="00241417"/>
    <w:rPr>
      <w:rFonts w:ascii="Arial" w:eastAsia="Times New Roman" w:hAnsi="Arial" w:cs="Times New Roman"/>
      <w:sz w:val="20"/>
      <w:szCs w:val="20"/>
      <w:lang w:val="en-GB" w:eastAsia="en-US"/>
    </w:rPr>
  </w:style>
  <w:style w:type="character" w:customStyle="1" w:styleId="CharChar7">
    <w:name w:val="Char Char7"/>
    <w:semiHidden/>
    <w:rsid w:val="00241417"/>
    <w:rPr>
      <w:rFonts w:ascii="Tahoma" w:hAnsi="Tahoma" w:cs="Tahoma" w:hint="default"/>
      <w:shd w:val="clear" w:color="auto" w:fill="000080"/>
      <w:lang w:val="en-GB" w:eastAsia="en-US"/>
    </w:rPr>
  </w:style>
  <w:style w:type="character" w:customStyle="1" w:styleId="ZchnZchn5">
    <w:name w:val="Zchn Zchn5"/>
    <w:rsid w:val="00241417"/>
    <w:rPr>
      <w:rFonts w:ascii="Courier New" w:eastAsia="Batang" w:hAnsi="Courier New" w:cs="Courier New" w:hint="default"/>
      <w:lang w:val="nb-NO" w:eastAsia="en-US" w:bidi="ar-SA"/>
    </w:rPr>
  </w:style>
  <w:style w:type="character" w:customStyle="1" w:styleId="CharChar10">
    <w:name w:val="Char Char10"/>
    <w:semiHidden/>
    <w:rsid w:val="00241417"/>
    <w:rPr>
      <w:rFonts w:ascii="Times New Roman" w:hAnsi="Times New Roman" w:cs="Times New Roman" w:hint="default"/>
      <w:lang w:val="en-GB" w:eastAsia="en-US"/>
    </w:rPr>
  </w:style>
  <w:style w:type="character" w:customStyle="1" w:styleId="CharChar9">
    <w:name w:val="Char Char9"/>
    <w:semiHidden/>
    <w:rsid w:val="00241417"/>
    <w:rPr>
      <w:rFonts w:ascii="Tahoma" w:hAnsi="Tahoma" w:cs="Tahoma" w:hint="default"/>
      <w:sz w:val="16"/>
      <w:szCs w:val="16"/>
      <w:lang w:val="en-GB" w:eastAsia="en-US"/>
    </w:rPr>
  </w:style>
  <w:style w:type="character" w:customStyle="1" w:styleId="CharChar8">
    <w:name w:val="Char Char8"/>
    <w:semiHidden/>
    <w:rsid w:val="00241417"/>
    <w:rPr>
      <w:rFonts w:ascii="Times New Roman" w:hAnsi="Times New Roman" w:cs="Times New Roman" w:hint="default"/>
      <w:b/>
      <w:bCs/>
      <w:lang w:val="en-GB" w:eastAsia="en-US"/>
    </w:rPr>
  </w:style>
  <w:style w:type="character" w:customStyle="1" w:styleId="btChar3">
    <w:name w:val="bt Char3"/>
    <w:rsid w:val="00241417"/>
    <w:rPr>
      <w:lang w:val="en-GB" w:eastAsia="ja-JP" w:bidi="ar-SA"/>
    </w:rPr>
  </w:style>
  <w:style w:type="character" w:customStyle="1" w:styleId="h5Char2">
    <w:name w:val="h5 Char2"/>
    <w:aliases w:val="Heading5 Char2,Head5 Char2,H5 Char2,M5 Char2,mh2 Char2,Module heading 2 Char2,heading 8 Char2,Numbered Sub-list Char1,Heading 81 Char Char1"/>
    <w:rsid w:val="00241417"/>
    <w:rPr>
      <w:rFonts w:ascii="Arial" w:hAnsi="Arial" w:cs="Arial" w:hint="default"/>
      <w:sz w:val="22"/>
      <w:lang w:val="en-GB" w:eastAsia="ja-JP" w:bidi="ar-SA"/>
    </w:rPr>
  </w:style>
  <w:style w:type="character" w:customStyle="1" w:styleId="h4Char2">
    <w:name w:val="h4 Char2"/>
    <w:aliases w:val="H4 Char2,H41 Char2,h41 Char2,H42 Char2,h42 Char2,H43 Char2,h43 Char2,H411 Char2,h411 Char2,H421 Char2,h421 Char2,H44 Char2,h44 Char2,H412 Char2,h412 Char2,H422 Char2,h422 Char2,H431 Char2,h431 Char2,H45 Char2,h45 Char2,H413 Char2,h413 Char2"/>
    <w:rsid w:val="00241417"/>
    <w:rPr>
      <w:rFonts w:ascii="Arial" w:hAnsi="Arial" w:cs="Arial" w:hint="default"/>
      <w:sz w:val="24"/>
      <w:lang w:val="en-GB"/>
    </w:rPr>
  </w:style>
  <w:style w:type="character" w:customStyle="1" w:styleId="Underrubrik2Char2">
    <w:name w:val="Underrubrik2 Char2"/>
    <w:aliases w:val="H3 Char2,h3 Char2,Memo Heading 3 Char2,no break Char2,0H Char2,l3 Char2,3 Char2,list 3 Char2,Head 3 Char2,1.1.1 Char2,3rd level Char2,Major Section Sub Section Char2,PA Minor Section Char2,Head3 Char2,Level 3 Head Char2,31 Char2"/>
    <w:rsid w:val="00241417"/>
    <w:rPr>
      <w:rFonts w:ascii="Arial" w:hAnsi="Arial" w:cs="Arial" w:hint="default"/>
      <w:sz w:val="28"/>
      <w:lang w:val="en-GB" w:eastAsia="en-US" w:bidi="ar-SA"/>
    </w:rPr>
  </w:style>
  <w:style w:type="character" w:customStyle="1" w:styleId="T1Char3">
    <w:name w:val="T1 Char3"/>
    <w:aliases w:val="Header 6 Char Char3"/>
    <w:rsid w:val="00241417"/>
    <w:rPr>
      <w:rFonts w:ascii="Arial" w:hAnsi="Arial" w:cs="Arial" w:hint="default"/>
      <w:lang w:val="en-GB" w:eastAsia="en-US" w:bidi="ar-SA"/>
    </w:rPr>
  </w:style>
  <w:style w:type="character" w:customStyle="1" w:styleId="CharChar29">
    <w:name w:val="Char Char29"/>
    <w:rsid w:val="00241417"/>
    <w:rPr>
      <w:rFonts w:ascii="Arial" w:hAnsi="Arial" w:cs="Arial" w:hint="default"/>
      <w:sz w:val="36"/>
      <w:lang w:val="en-GB" w:eastAsia="en-US" w:bidi="ar-SA"/>
    </w:rPr>
  </w:style>
  <w:style w:type="character" w:customStyle="1" w:styleId="CharChar28">
    <w:name w:val="Char Char28"/>
    <w:rsid w:val="00241417"/>
    <w:rPr>
      <w:rFonts w:ascii="Arial" w:hAnsi="Arial" w:cs="Arial" w:hint="default"/>
      <w:sz w:val="32"/>
      <w:lang w:val="en-GB"/>
    </w:rPr>
  </w:style>
  <w:style w:type="character" w:customStyle="1" w:styleId="msoins00">
    <w:name w:val="msoins0"/>
    <w:rsid w:val="00241417"/>
  </w:style>
  <w:style w:type="character" w:customStyle="1" w:styleId="h4Char3">
    <w:name w:val="h4 Char3"/>
    <w:aliases w:val="H4 Char3,H41 Char3,h41 Char3,H42 Char3,h42 Char3,H43 Char3,h43 Char3,H411 Char3,h411 Char3,H421 Char3,h421 Char3,H44 Char3,h44 Char3,H412 Char3,h412 Char3,H422 Char3,h422 Char3,H431 Char3,h431 Char3,H45 Char3,h45 Char3,H413 Char3,h413 Char3"/>
    <w:rsid w:val="00241417"/>
    <w:rPr>
      <w:rFonts w:ascii="Arial" w:hAnsi="Arial" w:cs="Arial" w:hint="default"/>
      <w:sz w:val="24"/>
      <w:lang w:val="en-GB" w:eastAsia="en-GB" w:bidi="ar-SA"/>
    </w:rPr>
  </w:style>
  <w:style w:type="character" w:customStyle="1" w:styleId="h5Char4">
    <w:name w:val="h5 Char4"/>
    <w:aliases w:val="Heading5 Char3,Head5 Char3,H5 Char3,M5 Char3,mh2 Char3,Module heading 2 Char3,heading 8 Char3,Numbered Sub-list Char2,Heading 81 Char Char2"/>
    <w:rsid w:val="00241417"/>
    <w:rPr>
      <w:rFonts w:ascii="Arial" w:hAnsi="Arial" w:cs="Arial" w:hint="default"/>
      <w:sz w:val="22"/>
      <w:lang w:val="en-GB" w:eastAsia="en-GB" w:bidi="ar-SA"/>
    </w:rPr>
  </w:style>
  <w:style w:type="character" w:customStyle="1" w:styleId="B1Char1">
    <w:name w:val="B1 Char1"/>
    <w:rsid w:val="00241417"/>
    <w:rPr>
      <w:lang w:val="en-GB"/>
    </w:rPr>
  </w:style>
  <w:style w:type="character" w:customStyle="1" w:styleId="textbodybold1">
    <w:name w:val="textbodybold1"/>
    <w:rsid w:val="00241417"/>
    <w:rPr>
      <w:rFonts w:ascii="Arial" w:hAnsi="Arial" w:cs="Arial" w:hint="default"/>
      <w:b/>
      <w:bCs/>
      <w:color w:val="902630"/>
      <w:sz w:val="18"/>
      <w:szCs w:val="18"/>
      <w:bdr w:val="none" w:sz="0" w:space="0" w:color="auto" w:frame="1"/>
    </w:rPr>
  </w:style>
  <w:style w:type="character" w:customStyle="1" w:styleId="word">
    <w:name w:val="word"/>
    <w:basedOn w:val="DefaultParagraphFont"/>
    <w:rsid w:val="00241417"/>
  </w:style>
  <w:style w:type="character" w:customStyle="1" w:styleId="B1Zchn">
    <w:name w:val="B1 Zchn"/>
    <w:rsid w:val="00241417"/>
    <w:rPr>
      <w:rFonts w:ascii="Times New Roman" w:hAnsi="Times New Roman" w:cs="Times New Roman" w:hint="default"/>
      <w:lang w:val="en-GB"/>
    </w:rPr>
  </w:style>
  <w:style w:type="table" w:customStyle="1" w:styleId="30">
    <w:name w:val="网格型3"/>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网格型4"/>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3Underrubrik2H3">
    <w:name w:val="Heading 3.Underrubrik2.H3"/>
    <w:basedOn w:val="Heading2Head2A2"/>
    <w:next w:val="Normal"/>
    <w:uiPriority w:val="99"/>
    <w:rsid w:val="00241417"/>
    <w:pPr>
      <w:spacing w:before="120"/>
      <w:outlineLvl w:val="2"/>
    </w:pPr>
    <w:rPr>
      <w:sz w:val="28"/>
    </w:rPr>
  </w:style>
  <w:style w:type="paragraph" w:customStyle="1" w:styleId="TN">
    <w:name w:val="TN"/>
    <w:basedOn w:val="Normal"/>
    <w:uiPriority w:val="99"/>
    <w:qFormat/>
    <w:rsid w:val="00241417"/>
    <w:pPr>
      <w:keepNext/>
      <w:keepLines/>
      <w:spacing w:after="0"/>
      <w:ind w:left="851" w:hanging="851"/>
    </w:pPr>
    <w:rPr>
      <w:rFonts w:ascii="Arial" w:eastAsia="SimSun" w:hAnsi="Arial"/>
      <w:sz w:val="18"/>
      <w:lang w:eastAsia="en-US"/>
    </w:rPr>
  </w:style>
  <w:style w:type="paragraph" w:customStyle="1" w:styleId="TB1">
    <w:name w:val="TB1"/>
    <w:basedOn w:val="Normal"/>
    <w:uiPriority w:val="99"/>
    <w:qFormat/>
    <w:rsid w:val="00241417"/>
    <w:pPr>
      <w:keepNext/>
      <w:keepLines/>
      <w:numPr>
        <w:numId w:val="8"/>
      </w:numPr>
      <w:tabs>
        <w:tab w:val="num" w:pos="360"/>
        <w:tab w:val="left" w:pos="720"/>
      </w:tabs>
      <w:spacing w:after="0"/>
      <w:ind w:left="737" w:hanging="380"/>
    </w:pPr>
    <w:rPr>
      <w:rFonts w:ascii="Arial" w:eastAsiaTheme="minorEastAsia" w:hAnsi="Arial"/>
      <w:sz w:val="18"/>
      <w:lang w:eastAsia="en-US"/>
    </w:rPr>
  </w:style>
  <w:style w:type="paragraph" w:customStyle="1" w:styleId="TB2">
    <w:name w:val="TB2"/>
    <w:basedOn w:val="Normal"/>
    <w:uiPriority w:val="99"/>
    <w:qFormat/>
    <w:rsid w:val="00241417"/>
    <w:pPr>
      <w:keepNext/>
      <w:keepLines/>
      <w:numPr>
        <w:numId w:val="9"/>
      </w:numPr>
      <w:tabs>
        <w:tab w:val="num" w:pos="360"/>
        <w:tab w:val="left" w:pos="1109"/>
      </w:tabs>
      <w:spacing w:after="0"/>
      <w:ind w:left="1100" w:hanging="380"/>
    </w:pPr>
    <w:rPr>
      <w:rFonts w:ascii="Arial" w:eastAsiaTheme="minorEastAsia" w:hAnsi="Arial"/>
      <w:sz w:val="18"/>
      <w:lang w:eastAsia="en-US"/>
    </w:rPr>
  </w:style>
  <w:style w:type="character" w:styleId="SubtleReference">
    <w:name w:val="Subtle Reference"/>
    <w:uiPriority w:val="31"/>
    <w:qFormat/>
    <w:rsid w:val="00241417"/>
    <w:rPr>
      <w:smallCaps/>
      <w:color w:val="5A5A5A"/>
    </w:rPr>
  </w:style>
  <w:style w:type="character" w:customStyle="1" w:styleId="13">
    <w:name w:val="未处理的提及1"/>
    <w:basedOn w:val="DefaultParagraphFont"/>
    <w:uiPriority w:val="99"/>
    <w:semiHidden/>
    <w:rsid w:val="00241417"/>
    <w:rPr>
      <w:color w:val="605E5C"/>
      <w:shd w:val="clear" w:color="auto" w:fill="E1DFDD"/>
    </w:rPr>
  </w:style>
  <w:style w:type="character" w:customStyle="1" w:styleId="fontstyle01">
    <w:name w:val="fontstyle01"/>
    <w:rsid w:val="00241417"/>
    <w:rPr>
      <w:rFonts w:ascii="TimesNewRomanPSMT" w:hAnsi="TimesNewRomanPSMT" w:cs="TimesNewRomanPSMT" w:hint="default"/>
      <w:b w:val="0"/>
      <w:bCs w:val="0"/>
      <w:i w:val="0"/>
      <w:iCs w:val="0"/>
      <w:color w:val="000000"/>
      <w:sz w:val="20"/>
      <w:szCs w:val="20"/>
    </w:rPr>
  </w:style>
  <w:style w:type="character" w:customStyle="1" w:styleId="search-word-mail">
    <w:name w:val="search-word-mail"/>
    <w:rsid w:val="00241417"/>
  </w:style>
  <w:style w:type="table" w:customStyle="1" w:styleId="TableGrid11">
    <w:name w:val="Table Grid11"/>
    <w:basedOn w:val="TableNormal"/>
    <w:uiPriority w:val="39"/>
    <w:rsid w:val="00241417"/>
    <w:pPr>
      <w:spacing w:after="0" w:line="240" w:lineRule="auto"/>
    </w:pPr>
    <w:rPr>
      <w:rFonts w:ascii="Calibri" w:eastAsia="SimSun" w:hAnsi="Calibri"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未处理的提及2"/>
    <w:uiPriority w:val="99"/>
    <w:semiHidden/>
    <w:rsid w:val="00241417"/>
    <w:rPr>
      <w:color w:val="808080"/>
      <w:shd w:val="clear" w:color="auto" w:fill="E6E6E6"/>
    </w:rPr>
  </w:style>
  <w:style w:type="character" w:customStyle="1" w:styleId="Char10">
    <w:name w:val="注释标题 Char1"/>
    <w:basedOn w:val="DefaultParagraphFont"/>
    <w:uiPriority w:val="99"/>
    <w:semiHidden/>
    <w:rsid w:val="00241417"/>
    <w:rPr>
      <w:rFonts w:ascii="Times New Roman" w:hAnsi="Times New Roman"/>
      <w:lang w:val="en-GB" w:eastAsia="en-US"/>
    </w:rPr>
  </w:style>
  <w:style w:type="paragraph" w:styleId="HTMLPreformatted">
    <w:name w:val="HTML Preformatted"/>
    <w:basedOn w:val="Normal"/>
    <w:link w:val="HTMLPreformattedChar"/>
    <w:semiHidden/>
    <w:unhideWhenUsed/>
    <w:rsid w:val="002414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MS Mincho" w:hAnsi="Courier New"/>
      <w:lang w:eastAsia="en-US"/>
    </w:rPr>
  </w:style>
  <w:style w:type="character" w:customStyle="1" w:styleId="HTMLPreformattedChar">
    <w:name w:val="HTML Preformatted Char"/>
    <w:basedOn w:val="DefaultParagraphFont"/>
    <w:link w:val="HTMLPreformatted"/>
    <w:semiHidden/>
    <w:rsid w:val="00241417"/>
    <w:rPr>
      <w:rFonts w:ascii="Courier New" w:eastAsia="MS Mincho" w:hAnsi="Courier New" w:cs="Times New Roman"/>
      <w:sz w:val="20"/>
      <w:szCs w:val="20"/>
      <w:lang w:val="en-GB"/>
    </w:rPr>
  </w:style>
  <w:style w:type="character" w:styleId="HTMLTypewriter">
    <w:name w:val="HTML Typewriter"/>
    <w:semiHidden/>
    <w:unhideWhenUsed/>
    <w:rsid w:val="00241417"/>
    <w:rPr>
      <w:rFonts w:ascii="Courier New" w:eastAsia="Times New Roman" w:hAnsi="Courier New" w:cs="Courier New" w:hint="default"/>
      <w:sz w:val="24"/>
      <w:szCs w:val="24"/>
    </w:rPr>
  </w:style>
  <w:style w:type="paragraph" w:customStyle="1" w:styleId="Figuretitle0">
    <w:name w:val="Figure_title"/>
    <w:basedOn w:val="Normal"/>
    <w:next w:val="Normal"/>
    <w:uiPriority w:val="99"/>
    <w:rsid w:val="00241417"/>
    <w:pPr>
      <w:keepNext/>
      <w:keepLines/>
      <w:tabs>
        <w:tab w:val="left" w:pos="1134"/>
        <w:tab w:val="left" w:pos="1871"/>
        <w:tab w:val="left" w:pos="2268"/>
      </w:tabs>
      <w:spacing w:after="480"/>
      <w:jc w:val="center"/>
    </w:pPr>
    <w:rPr>
      <w:rFonts w:ascii="Times New Roman Bold" w:eastAsiaTheme="minorEastAsia" w:hAnsi="Times New Roman Bold"/>
      <w:b/>
      <w:lang w:eastAsia="en-US"/>
    </w:rPr>
  </w:style>
  <w:style w:type="paragraph" w:customStyle="1" w:styleId="FigureNo">
    <w:name w:val="Figure_No"/>
    <w:basedOn w:val="Normal"/>
    <w:next w:val="Normal"/>
    <w:uiPriority w:val="99"/>
    <w:rsid w:val="00241417"/>
    <w:pPr>
      <w:keepNext/>
      <w:keepLines/>
      <w:tabs>
        <w:tab w:val="left" w:pos="1134"/>
        <w:tab w:val="left" w:pos="1871"/>
        <w:tab w:val="left" w:pos="2268"/>
      </w:tabs>
      <w:spacing w:before="480" w:after="120"/>
      <w:jc w:val="center"/>
    </w:pPr>
    <w:rPr>
      <w:rFonts w:eastAsiaTheme="minorEastAsia"/>
      <w:caps/>
      <w:lang w:eastAsia="en-US"/>
    </w:rPr>
  </w:style>
  <w:style w:type="paragraph" w:customStyle="1" w:styleId="Tabletext1">
    <w:name w:val="Table_text"/>
    <w:basedOn w:val="Normal"/>
    <w:uiPriority w:val="99"/>
    <w:rsid w:val="0024141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rFonts w:eastAsia="SimSun"/>
      <w:sz w:val="22"/>
      <w:lang w:eastAsia="en-US"/>
    </w:rPr>
  </w:style>
  <w:style w:type="paragraph" w:customStyle="1" w:styleId="Tablelegend">
    <w:name w:val="Table_legend"/>
    <w:basedOn w:val="Normal"/>
    <w:uiPriority w:val="99"/>
    <w:rsid w:val="00241417"/>
    <w:pPr>
      <w:tabs>
        <w:tab w:val="left" w:pos="1134"/>
        <w:tab w:val="left" w:pos="1871"/>
        <w:tab w:val="left" w:pos="2268"/>
      </w:tabs>
      <w:spacing w:before="120" w:after="0"/>
    </w:pPr>
    <w:rPr>
      <w:rFonts w:eastAsiaTheme="minorEastAsia"/>
      <w:lang w:eastAsia="en-US"/>
    </w:rPr>
  </w:style>
  <w:style w:type="paragraph" w:customStyle="1" w:styleId="TableNo">
    <w:name w:val="Table_No"/>
    <w:basedOn w:val="Normal"/>
    <w:next w:val="Normal"/>
    <w:uiPriority w:val="99"/>
    <w:rsid w:val="00241417"/>
    <w:pPr>
      <w:keepNext/>
      <w:tabs>
        <w:tab w:val="left" w:pos="1134"/>
        <w:tab w:val="left" w:pos="1871"/>
        <w:tab w:val="left" w:pos="2268"/>
      </w:tabs>
      <w:spacing w:before="560" w:after="120"/>
      <w:jc w:val="center"/>
    </w:pPr>
    <w:rPr>
      <w:rFonts w:eastAsiaTheme="minorEastAsia"/>
      <w:caps/>
      <w:lang w:eastAsia="en-US"/>
    </w:rPr>
  </w:style>
  <w:style w:type="paragraph" w:customStyle="1" w:styleId="Tabletitle0">
    <w:name w:val="Table_title"/>
    <w:basedOn w:val="Normal"/>
    <w:next w:val="Tabletext1"/>
    <w:uiPriority w:val="99"/>
    <w:rsid w:val="00241417"/>
    <w:pPr>
      <w:keepNext/>
      <w:keepLines/>
      <w:tabs>
        <w:tab w:val="left" w:pos="1134"/>
        <w:tab w:val="left" w:pos="1871"/>
        <w:tab w:val="left" w:pos="2268"/>
      </w:tabs>
      <w:spacing w:after="120"/>
      <w:jc w:val="center"/>
    </w:pPr>
    <w:rPr>
      <w:rFonts w:ascii="Times New Roman Bold" w:eastAsiaTheme="minorEastAsia" w:hAnsi="Times New Roman Bold"/>
      <w:b/>
      <w:lang w:eastAsia="en-US"/>
    </w:rPr>
  </w:style>
  <w:style w:type="paragraph" w:customStyle="1" w:styleId="Rientra1">
    <w:name w:val="Rientra1"/>
    <w:basedOn w:val="Normal"/>
    <w:uiPriority w:val="99"/>
    <w:rsid w:val="00241417"/>
    <w:pPr>
      <w:numPr>
        <w:numId w:val="10"/>
      </w:numPr>
      <w:tabs>
        <w:tab w:val="left" w:pos="0"/>
        <w:tab w:val="num" w:pos="360"/>
      </w:tabs>
      <w:suppressAutoHyphens/>
      <w:spacing w:before="60" w:after="60"/>
      <w:jc w:val="both"/>
    </w:pPr>
    <w:rPr>
      <w:rFonts w:eastAsia="SimSun"/>
      <w:lang w:eastAsia="en-US"/>
    </w:rPr>
  </w:style>
  <w:style w:type="paragraph" w:customStyle="1" w:styleId="Tablefin">
    <w:name w:val="Table_fin"/>
    <w:basedOn w:val="Normal"/>
    <w:next w:val="Normal"/>
    <w:uiPriority w:val="99"/>
    <w:rsid w:val="00241417"/>
    <w:pPr>
      <w:suppressAutoHyphens/>
      <w:spacing w:after="0"/>
      <w:jc w:val="both"/>
    </w:pPr>
    <w:rPr>
      <w:rFonts w:eastAsia="Batang"/>
      <w:lang w:eastAsia="en-US"/>
    </w:rPr>
  </w:style>
  <w:style w:type="paragraph" w:customStyle="1" w:styleId="enumlev3">
    <w:name w:val="enumlev3"/>
    <w:basedOn w:val="enumlev2"/>
    <w:uiPriority w:val="99"/>
    <w:rsid w:val="00241417"/>
    <w:pPr>
      <w:tabs>
        <w:tab w:val="clear" w:pos="794"/>
        <w:tab w:val="clear" w:pos="1191"/>
        <w:tab w:val="clear" w:pos="1588"/>
        <w:tab w:val="clear" w:pos="1985"/>
        <w:tab w:val="left" w:pos="1134"/>
        <w:tab w:val="left" w:pos="1871"/>
        <w:tab w:val="left" w:pos="2608"/>
        <w:tab w:val="left" w:pos="3345"/>
      </w:tabs>
      <w:spacing w:before="80" w:after="0"/>
      <w:ind w:left="2268"/>
      <w:jc w:val="left"/>
    </w:pPr>
    <w:rPr>
      <w:rFonts w:eastAsiaTheme="minorEastAsia"/>
      <w:sz w:val="24"/>
      <w:lang w:val="en-GB" w:eastAsia="en-US"/>
    </w:rPr>
  </w:style>
  <w:style w:type="paragraph" w:customStyle="1" w:styleId="tah0">
    <w:name w:val="tah"/>
    <w:basedOn w:val="Normal"/>
    <w:uiPriority w:val="99"/>
    <w:rsid w:val="00241417"/>
    <w:pPr>
      <w:keepNext/>
      <w:spacing w:after="0"/>
      <w:jc w:val="center"/>
    </w:pPr>
    <w:rPr>
      <w:rFonts w:ascii="Arial" w:eastAsia="PMingLiU" w:hAnsi="Arial" w:cs="Arial"/>
      <w:b/>
      <w:bCs/>
      <w:sz w:val="18"/>
      <w:szCs w:val="18"/>
      <w:lang w:eastAsia="zh-TW"/>
    </w:rPr>
  </w:style>
  <w:style w:type="paragraph" w:customStyle="1" w:styleId="tac0">
    <w:name w:val="tac"/>
    <w:basedOn w:val="Normal"/>
    <w:uiPriority w:val="99"/>
    <w:rsid w:val="00241417"/>
    <w:pPr>
      <w:keepNext/>
      <w:spacing w:after="0"/>
      <w:jc w:val="center"/>
    </w:pPr>
    <w:rPr>
      <w:rFonts w:ascii="Arial" w:eastAsia="PMingLiU" w:hAnsi="Arial" w:cs="Arial"/>
      <w:sz w:val="18"/>
      <w:szCs w:val="18"/>
      <w:lang w:eastAsia="zh-TW"/>
    </w:rPr>
  </w:style>
  <w:style w:type="paragraph" w:customStyle="1" w:styleId="TdocHeader2">
    <w:name w:val="Tdoc_Header_2"/>
    <w:basedOn w:val="Normal"/>
    <w:uiPriority w:val="99"/>
    <w:rsid w:val="00241417"/>
    <w:pPr>
      <w:widowControl w:val="0"/>
      <w:tabs>
        <w:tab w:val="left" w:pos="1701"/>
        <w:tab w:val="right" w:pos="9072"/>
        <w:tab w:val="right" w:pos="10206"/>
      </w:tabs>
      <w:spacing w:after="0"/>
      <w:ind w:left="1440" w:hanging="1440"/>
      <w:jc w:val="both"/>
    </w:pPr>
    <w:rPr>
      <w:rFonts w:ascii="Arial" w:eastAsia="Batang" w:hAnsi="Arial"/>
      <w:b/>
      <w:sz w:val="18"/>
      <w:lang w:eastAsia="en-US"/>
    </w:rPr>
  </w:style>
  <w:style w:type="character" w:customStyle="1" w:styleId="href">
    <w:name w:val="href"/>
    <w:rsid w:val="00241417"/>
  </w:style>
  <w:style w:type="character" w:customStyle="1" w:styleId="st">
    <w:name w:val="st"/>
    <w:rsid w:val="00241417"/>
  </w:style>
  <w:style w:type="character" w:customStyle="1" w:styleId="capChar6">
    <w:name w:val="cap Char6"/>
    <w:aliases w:val="cap Char Char6,Caption Char Char5,Caption Char1 Char Char5,cap Char Char1 Char5,Caption Char Char1 Char Char5,cap Char2 Char Char Char5"/>
    <w:rsid w:val="00241417"/>
    <w:rPr>
      <w:b/>
      <w:bCs w:val="0"/>
      <w:lang w:val="en-GB" w:eastAsia="en-US" w:bidi="ar-SA"/>
    </w:rPr>
  </w:style>
  <w:style w:type="character" w:customStyle="1" w:styleId="st1">
    <w:name w:val="st1"/>
    <w:rsid w:val="00241417"/>
  </w:style>
  <w:style w:type="table" w:customStyle="1" w:styleId="TableGrid21">
    <w:name w:val="Table Grid21"/>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39"/>
    <w:rsid w:val="00241417"/>
    <w:pPr>
      <w:spacing w:after="180" w:line="240" w:lineRule="auto"/>
    </w:pPr>
    <w:rPr>
      <w:rFonts w:ascii="Tms Rmn" w:eastAsia="SimSun" w:hAnsi="Tms Rmn"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39"/>
    <w:rsid w:val="00241417"/>
    <w:pPr>
      <w:overflowPunct w:val="0"/>
      <w:autoSpaceDE w:val="0"/>
      <w:autoSpaceDN w:val="0"/>
      <w:adjustRightInd w:val="0"/>
      <w:spacing w:after="180" w:line="240" w:lineRule="auto"/>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rsid w:val="00241417"/>
    <w:pPr>
      <w:spacing w:after="18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1">
    <w:name w:val="Table Style11"/>
    <w:basedOn w:val="TableNormal"/>
    <w:rsid w:val="00241417"/>
    <w:pPr>
      <w:spacing w:after="0" w:line="240" w:lineRule="auto"/>
    </w:pPr>
    <w:rPr>
      <w:rFonts w:ascii="Times New Roman" w:eastAsia="MS Mincho" w:hAnsi="Times New Roman" w:cs="Times New Roman"/>
      <w:sz w:val="20"/>
      <w:szCs w:val="20"/>
      <w:lang w:val="en-GB" w:eastAsia="en-GB"/>
    </w:rPr>
    <w:tblPr>
      <w:tblInd w:w="0" w:type="nil"/>
    </w:tblPr>
  </w:style>
  <w:style w:type="table" w:customStyle="1" w:styleId="Tabellengitternetz11">
    <w:name w:val="Tabellengitternetz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
    <w:name w:val="Tabellengitternetz2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
    <w:name w:val="Tabellengitternetz3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
    <w:name w:val="Tabellengitternetz4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
    <w:name w:val="Tabellengitternetz5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
    <w:name w:val="Tabellengitternetz6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
    <w:name w:val="Tabellengitternetz7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
    <w:name w:val="Tabellengitternetz8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
    <w:name w:val="Tabellengitternetz9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rsid w:val="00241417"/>
    <w:pPr>
      <w:overflowPunct w:val="0"/>
      <w:autoSpaceDE w:val="0"/>
      <w:autoSpaceDN w:val="0"/>
      <w:adjustRightInd w:val="0"/>
      <w:spacing w:after="180" w:line="240" w:lineRule="auto"/>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rsid w:val="00241417"/>
    <w:pPr>
      <w:spacing w:after="18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rsid w:val="00241417"/>
    <w:pPr>
      <w:spacing w:after="18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rsid w:val="00241417"/>
    <w:pPr>
      <w:spacing w:after="18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
    <w:name w:val="Table Grid71"/>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
    <w:name w:val="Table Grid72"/>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
    <w:name w:val="Table Grid73"/>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
    <w:name w:val="Table Grid74"/>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
    <w:name w:val="Table Grid75"/>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uiPriority w:val="39"/>
    <w:rsid w:val="00241417"/>
    <w:pPr>
      <w:spacing w:after="180" w:line="240" w:lineRule="auto"/>
    </w:pPr>
    <w:rPr>
      <w:rFonts w:ascii="CG Times (WN)" w:eastAsia="SimSun" w:hAnsi="CG Times (WN)"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6">
    <w:name w:val="Table Grid76"/>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FO19">
    <w:name w:val="LFO19"/>
    <w:rsid w:val="00241417"/>
    <w:pPr>
      <w:numPr>
        <w:numId w:val="10"/>
      </w:numPr>
    </w:pPr>
  </w:style>
  <w:style w:type="character" w:customStyle="1" w:styleId="a6">
    <w:name w:val="首标题"/>
    <w:rsid w:val="00241417"/>
    <w:rPr>
      <w:rFonts w:ascii="Arial" w:eastAsia="SimSun" w:hAnsi="Arial"/>
      <w:sz w:val="24"/>
      <w:lang w:val="en-US" w:eastAsia="zh-CN" w:bidi="ar-SA"/>
    </w:rPr>
  </w:style>
  <w:style w:type="character" w:customStyle="1" w:styleId="ReferenceChar">
    <w:name w:val="Reference Char"/>
    <w:link w:val="Reference"/>
    <w:uiPriority w:val="99"/>
    <w:rsid w:val="00241417"/>
    <w:rPr>
      <w:rFonts w:ascii="Times New Roman" w:eastAsia="MS Mincho" w:hAnsi="Times New Roman" w:cs="Times New Roman"/>
      <w:sz w:val="20"/>
      <w:szCs w:val="20"/>
      <w:lang w:val="en-GB"/>
    </w:rPr>
  </w:style>
  <w:style w:type="table" w:customStyle="1" w:styleId="TableGrid9">
    <w:name w:val="Table Grid9"/>
    <w:basedOn w:val="TableNormal"/>
    <w:uiPriority w:val="39"/>
    <w:qFormat/>
    <w:rsid w:val="00241417"/>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uiPriority w:val="39"/>
    <w:rsid w:val="00241417"/>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uiPriority w:val="39"/>
    <w:rsid w:val="00241417"/>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39"/>
    <w:rsid w:val="00241417"/>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uiPriority w:val="39"/>
    <w:qFormat/>
    <w:rsid w:val="00241417"/>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241417"/>
  </w:style>
  <w:style w:type="numbering" w:customStyle="1" w:styleId="14">
    <w:name w:val="无列表1"/>
    <w:next w:val="NoList"/>
    <w:semiHidden/>
    <w:unhideWhenUsed/>
    <w:rsid w:val="00241417"/>
  </w:style>
  <w:style w:type="numbering" w:customStyle="1" w:styleId="NoList12">
    <w:name w:val="No List12"/>
    <w:next w:val="NoList"/>
    <w:uiPriority w:val="99"/>
    <w:semiHidden/>
    <w:unhideWhenUsed/>
    <w:rsid w:val="00241417"/>
  </w:style>
  <w:style w:type="table" w:customStyle="1" w:styleId="15">
    <w:name w:val="网格型1"/>
    <w:basedOn w:val="TableNormal"/>
    <w:next w:val="TableGrid"/>
    <w:qFormat/>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39"/>
    <w:rsid w:val="00241417"/>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2">
    <w:name w:val="Table Style12"/>
    <w:basedOn w:val="TableNormal"/>
    <w:rsid w:val="00241417"/>
    <w:pPr>
      <w:spacing w:after="0" w:line="240" w:lineRule="auto"/>
    </w:pPr>
    <w:rPr>
      <w:rFonts w:ascii="Times New Roman" w:eastAsia="MS Mincho" w:hAnsi="Times New Roman" w:cs="Times New Roman"/>
      <w:sz w:val="20"/>
      <w:szCs w:val="20"/>
    </w:rPr>
    <w:tblPr/>
  </w:style>
  <w:style w:type="table" w:customStyle="1" w:styleId="Tabellengitternetz12">
    <w:name w:val="Tabellengitternetz1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
    <w:name w:val="Tabellengitternetz2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
    <w:name w:val="Tabellengitternetz3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
    <w:name w:val="Tabellengitternetz4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
    <w:name w:val="Tabellengitternetz5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
    <w:name w:val="Tabellengitternetz6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
    <w:name w:val="Tabellengitternetz7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
    <w:name w:val="Tabellengitternetz8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
    <w:name w:val="Tabellengitternetz92"/>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rsid w:val="00241417"/>
    <w:pPr>
      <w:overflowPunct w:val="0"/>
      <w:autoSpaceDE w:val="0"/>
      <w:autoSpaceDN w:val="0"/>
      <w:adjustRightInd w:val="0"/>
      <w:spacing w:after="180" w:line="240" w:lineRule="auto"/>
      <w:textAlignment w:val="baseline"/>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rsid w:val="00241417"/>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uiPriority w:val="99"/>
    <w:semiHidden/>
    <w:unhideWhenUsed/>
    <w:rsid w:val="00241417"/>
  </w:style>
  <w:style w:type="numbering" w:customStyle="1" w:styleId="NoList21">
    <w:name w:val="No List21"/>
    <w:next w:val="NoList"/>
    <w:semiHidden/>
    <w:unhideWhenUsed/>
    <w:rsid w:val="00241417"/>
  </w:style>
  <w:style w:type="table" w:customStyle="1" w:styleId="TableGrid42">
    <w:name w:val="Table Grid42"/>
    <w:basedOn w:val="TableNormal"/>
    <w:next w:val="TableGrid"/>
    <w:rsid w:val="00241417"/>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
    <w:name w:val="No List31"/>
    <w:next w:val="NoList"/>
    <w:uiPriority w:val="99"/>
    <w:semiHidden/>
    <w:unhideWhenUsed/>
    <w:rsid w:val="00241417"/>
  </w:style>
  <w:style w:type="table" w:customStyle="1" w:styleId="TableGrid52">
    <w:name w:val="Table Grid52"/>
    <w:basedOn w:val="TableNormal"/>
    <w:next w:val="TableGrid"/>
    <w:rsid w:val="00241417"/>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
    <w:name w:val="No List41"/>
    <w:next w:val="NoList"/>
    <w:uiPriority w:val="99"/>
    <w:semiHidden/>
    <w:unhideWhenUsed/>
    <w:rsid w:val="00241417"/>
  </w:style>
  <w:style w:type="table" w:customStyle="1" w:styleId="TableGrid62">
    <w:name w:val="Table Grid62"/>
    <w:basedOn w:val="TableNormal"/>
    <w:next w:val="TableGrid"/>
    <w:rsid w:val="00241417"/>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
    <w:name w:val="No List51"/>
    <w:next w:val="NoList"/>
    <w:uiPriority w:val="99"/>
    <w:semiHidden/>
    <w:unhideWhenUsed/>
    <w:rsid w:val="00241417"/>
  </w:style>
  <w:style w:type="numbering" w:customStyle="1" w:styleId="NoList61">
    <w:name w:val="No List61"/>
    <w:next w:val="NoList"/>
    <w:uiPriority w:val="99"/>
    <w:semiHidden/>
    <w:unhideWhenUsed/>
    <w:rsid w:val="00241417"/>
  </w:style>
  <w:style w:type="numbering" w:customStyle="1" w:styleId="NoList71">
    <w:name w:val="No List71"/>
    <w:next w:val="NoList"/>
    <w:uiPriority w:val="99"/>
    <w:semiHidden/>
    <w:unhideWhenUsed/>
    <w:rsid w:val="00241417"/>
  </w:style>
  <w:style w:type="numbering" w:customStyle="1" w:styleId="NoList81">
    <w:name w:val="No List81"/>
    <w:next w:val="NoList"/>
    <w:uiPriority w:val="99"/>
    <w:semiHidden/>
    <w:unhideWhenUsed/>
    <w:rsid w:val="00241417"/>
  </w:style>
  <w:style w:type="numbering" w:customStyle="1" w:styleId="NoList91">
    <w:name w:val="No List91"/>
    <w:next w:val="NoList"/>
    <w:uiPriority w:val="99"/>
    <w:semiHidden/>
    <w:unhideWhenUsed/>
    <w:rsid w:val="00241417"/>
  </w:style>
  <w:style w:type="table" w:customStyle="1" w:styleId="TableGrid77">
    <w:name w:val="Table Grid77"/>
    <w:basedOn w:val="TableNormal"/>
    <w:next w:val="TableGrid"/>
    <w:rsid w:val="00241417"/>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
    <w:name w:val="Table Grid711"/>
    <w:basedOn w:val="TableNormal"/>
    <w:next w:val="TableGrid"/>
    <w:rsid w:val="00241417"/>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
    <w:name w:val="Table Grid81"/>
    <w:basedOn w:val="TableNormal"/>
    <w:next w:val="TableGrid"/>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
    <w:name w:val="Table Grid91"/>
    <w:basedOn w:val="TableNormal"/>
    <w:next w:val="TableGrid"/>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
    <w:name w:val="Table Grid101"/>
    <w:basedOn w:val="TableNormal"/>
    <w:next w:val="TableGrid"/>
    <w:uiPriority w:val="39"/>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next w:val="TableGrid"/>
    <w:uiPriority w:val="39"/>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39"/>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1">
    <w:name w:val="Table Grid131"/>
    <w:basedOn w:val="TableNormal"/>
    <w:next w:val="TableGrid"/>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
    <w:name w:val="Table Grid141"/>
    <w:basedOn w:val="TableNormal"/>
    <w:next w:val="TableGrid"/>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
    <w:name w:val="Table Grid151"/>
    <w:basedOn w:val="TableNormal"/>
    <w:next w:val="TableGrid"/>
    <w:uiPriority w:val="39"/>
    <w:rsid w:val="00241417"/>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无列表2"/>
    <w:next w:val="NoList"/>
    <w:uiPriority w:val="99"/>
    <w:semiHidden/>
    <w:unhideWhenUsed/>
    <w:rsid w:val="00241417"/>
  </w:style>
  <w:style w:type="table" w:customStyle="1" w:styleId="23">
    <w:name w:val="网格型2"/>
    <w:basedOn w:val="TableNormal"/>
    <w:next w:val="TableGrid"/>
    <w:qFormat/>
    <w:rsid w:val="00241417"/>
    <w:pPr>
      <w:spacing w:after="0" w:line="240" w:lineRule="auto"/>
    </w:pPr>
    <w:rPr>
      <w:rFonts w:ascii="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39"/>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3">
    <w:name w:val="Table Style13"/>
    <w:basedOn w:val="TableNormal"/>
    <w:rsid w:val="00241417"/>
    <w:pPr>
      <w:spacing w:after="0" w:line="240" w:lineRule="auto"/>
    </w:pPr>
    <w:rPr>
      <w:rFonts w:ascii="Times New Roman" w:eastAsia="MS Mincho" w:hAnsi="Times New Roman" w:cs="Times New Roman"/>
      <w:sz w:val="20"/>
      <w:szCs w:val="20"/>
    </w:rPr>
    <w:tblPr/>
  </w:style>
  <w:style w:type="table" w:customStyle="1" w:styleId="Tabellengitternetz13">
    <w:name w:val="Tabellengitternetz1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
    <w:name w:val="Tabellengitternetz2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
    <w:name w:val="Tabellengitternetz3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
    <w:name w:val="Tabellengitternetz4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
    <w:name w:val="Tabellengitternetz5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
    <w:name w:val="Tabellengitternetz6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
    <w:name w:val="Tabellengitternetz7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
    <w:name w:val="Tabellengitternetz8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
    <w:name w:val="Tabellengitternetz93"/>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rsid w:val="00241417"/>
    <w:pPr>
      <w:overflowPunct w:val="0"/>
      <w:autoSpaceDE w:val="0"/>
      <w:autoSpaceDN w:val="0"/>
      <w:adjustRightInd w:val="0"/>
      <w:spacing w:after="180" w:line="240" w:lineRule="auto"/>
      <w:textAlignment w:val="baseline"/>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rsid w:val="00241417"/>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241417"/>
  </w:style>
  <w:style w:type="numbering" w:customStyle="1" w:styleId="NoList22">
    <w:name w:val="No List22"/>
    <w:next w:val="NoList"/>
    <w:semiHidden/>
    <w:unhideWhenUsed/>
    <w:rsid w:val="00241417"/>
  </w:style>
  <w:style w:type="table" w:customStyle="1" w:styleId="TableGrid43">
    <w:name w:val="Table Grid43"/>
    <w:basedOn w:val="TableNormal"/>
    <w:next w:val="TableGrid"/>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2">
    <w:name w:val="No List32"/>
    <w:next w:val="NoList"/>
    <w:uiPriority w:val="99"/>
    <w:semiHidden/>
    <w:unhideWhenUsed/>
    <w:rsid w:val="00241417"/>
  </w:style>
  <w:style w:type="table" w:customStyle="1" w:styleId="TableGrid53">
    <w:name w:val="Table Grid53"/>
    <w:basedOn w:val="TableNormal"/>
    <w:next w:val="TableGrid"/>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2">
    <w:name w:val="No List42"/>
    <w:next w:val="NoList"/>
    <w:uiPriority w:val="99"/>
    <w:semiHidden/>
    <w:unhideWhenUsed/>
    <w:rsid w:val="00241417"/>
  </w:style>
  <w:style w:type="table" w:customStyle="1" w:styleId="TableGrid63">
    <w:name w:val="Table Grid63"/>
    <w:basedOn w:val="TableNormal"/>
    <w:next w:val="TableGrid"/>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2">
    <w:name w:val="No List52"/>
    <w:next w:val="NoList"/>
    <w:uiPriority w:val="99"/>
    <w:semiHidden/>
    <w:unhideWhenUsed/>
    <w:rsid w:val="00241417"/>
  </w:style>
  <w:style w:type="numbering" w:customStyle="1" w:styleId="NoList62">
    <w:name w:val="No List62"/>
    <w:next w:val="NoList"/>
    <w:uiPriority w:val="99"/>
    <w:semiHidden/>
    <w:unhideWhenUsed/>
    <w:rsid w:val="00241417"/>
  </w:style>
  <w:style w:type="numbering" w:customStyle="1" w:styleId="NoList72">
    <w:name w:val="No List72"/>
    <w:next w:val="NoList"/>
    <w:uiPriority w:val="99"/>
    <w:semiHidden/>
    <w:unhideWhenUsed/>
    <w:rsid w:val="00241417"/>
  </w:style>
  <w:style w:type="numbering" w:customStyle="1" w:styleId="NoList82">
    <w:name w:val="No List82"/>
    <w:next w:val="NoList"/>
    <w:uiPriority w:val="99"/>
    <w:semiHidden/>
    <w:unhideWhenUsed/>
    <w:rsid w:val="00241417"/>
  </w:style>
  <w:style w:type="numbering" w:customStyle="1" w:styleId="NoList92">
    <w:name w:val="No List92"/>
    <w:next w:val="NoList"/>
    <w:uiPriority w:val="99"/>
    <w:semiHidden/>
    <w:unhideWhenUsed/>
    <w:rsid w:val="00241417"/>
  </w:style>
  <w:style w:type="table" w:customStyle="1" w:styleId="TableGrid78">
    <w:name w:val="Table Grid78"/>
    <w:basedOn w:val="TableNormal"/>
    <w:next w:val="TableGrid"/>
    <w:uiPriority w:val="39"/>
    <w:qFormat/>
    <w:rsid w:val="00241417"/>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2">
    <w:name w:val="Table Grid712"/>
    <w:basedOn w:val="TableNormal"/>
    <w:next w:val="TableGrid"/>
    <w:rsid w:val="00241417"/>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网格型31"/>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网格型41"/>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39"/>
    <w:rsid w:val="00241417"/>
    <w:pPr>
      <w:spacing w:after="0" w:line="240" w:lineRule="auto"/>
    </w:pPr>
    <w:rPr>
      <w:rFonts w:ascii="Calibri" w:eastAsia="SimSun" w:hAnsi="Calibri"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
    <w:name w:val="Table Grid212"/>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
    <w:name w:val="Table Grid122"/>
    <w:basedOn w:val="TableNormal"/>
    <w:uiPriority w:val="39"/>
    <w:rsid w:val="00241417"/>
    <w:pPr>
      <w:spacing w:after="180" w:line="240" w:lineRule="auto"/>
    </w:pPr>
    <w:rPr>
      <w:rFonts w:ascii="Tms Rmn" w:eastAsia="SimSun" w:hAnsi="Tms Rmn"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
    <w:name w:val="Table Grid221"/>
    <w:basedOn w:val="TableNormal"/>
    <w:rsid w:val="00241417"/>
    <w:pPr>
      <w:overflowPunct w:val="0"/>
      <w:autoSpaceDE w:val="0"/>
      <w:autoSpaceDN w:val="0"/>
      <w:adjustRightInd w:val="0"/>
      <w:spacing w:after="180" w:line="240" w:lineRule="auto"/>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
    <w:name w:val="Table Grid1111"/>
    <w:basedOn w:val="TableNormal"/>
    <w:uiPriority w:val="39"/>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11">
    <w:name w:val="Table Style111"/>
    <w:basedOn w:val="TableNormal"/>
    <w:rsid w:val="00241417"/>
    <w:pPr>
      <w:spacing w:after="0" w:line="240" w:lineRule="auto"/>
    </w:pPr>
    <w:rPr>
      <w:rFonts w:ascii="Times New Roman" w:eastAsia="MS Mincho" w:hAnsi="Times New Roman" w:cs="Times New Roman"/>
      <w:sz w:val="20"/>
      <w:szCs w:val="20"/>
      <w:lang w:val="en-GB" w:eastAsia="en-GB"/>
    </w:rPr>
    <w:tblPr>
      <w:tblInd w:w="0" w:type="nil"/>
    </w:tblPr>
  </w:style>
  <w:style w:type="table" w:customStyle="1" w:styleId="Tabellengitternetz111">
    <w:name w:val="Tabellengitternetz1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
    <w:name w:val="Tabellengitternetz2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
    <w:name w:val="Tabellengitternetz3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
    <w:name w:val="Tabellengitternetz4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
    <w:name w:val="Tabellengitternetz5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
    <w:name w:val="Tabellengitternetz6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
    <w:name w:val="Tabellengitternetz7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
    <w:name w:val="Tabellengitternetz8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
    <w:name w:val="Tabellengitternetz911"/>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rsid w:val="00241417"/>
    <w:pPr>
      <w:overflowPunct w:val="0"/>
      <w:autoSpaceDE w:val="0"/>
      <w:autoSpaceDN w:val="0"/>
      <w:adjustRightInd w:val="0"/>
      <w:spacing w:after="180" w:line="240" w:lineRule="auto"/>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
    <w:name w:val="Table Grid411"/>
    <w:basedOn w:val="TableNormal"/>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
    <w:name w:val="Table Grid511"/>
    <w:basedOn w:val="TableNormal"/>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1">
    <w:name w:val="Table Grid611"/>
    <w:basedOn w:val="TableNormal"/>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1">
    <w:name w:val="Table Grid721"/>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1">
    <w:name w:val="Table Grid731"/>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1">
    <w:name w:val="Table Grid741"/>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1">
    <w:name w:val="Table Grid751"/>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2">
    <w:name w:val="Table Grid82"/>
    <w:basedOn w:val="TableNormal"/>
    <w:rsid w:val="00241417"/>
    <w:pPr>
      <w:spacing w:after="180" w:line="240" w:lineRule="auto"/>
    </w:pPr>
    <w:rPr>
      <w:rFonts w:ascii="CG Times (WN)" w:eastAsia="SimSun" w:hAnsi="CG Times (WN)"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61">
    <w:name w:val="Table Grid761"/>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FO191">
    <w:name w:val="LFO191"/>
    <w:rsid w:val="00241417"/>
  </w:style>
  <w:style w:type="table" w:customStyle="1" w:styleId="TableGrid92">
    <w:name w:val="Table Grid92"/>
    <w:basedOn w:val="TableNormal"/>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2">
    <w:name w:val="Table Grid102"/>
    <w:basedOn w:val="TableNormal"/>
    <w:uiPriority w:val="39"/>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2">
    <w:name w:val="Table Grid132"/>
    <w:basedOn w:val="TableNormal"/>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2">
    <w:name w:val="Table Grid142"/>
    <w:basedOn w:val="TableNormal"/>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2">
    <w:name w:val="Table Grid152"/>
    <w:basedOn w:val="TableNormal"/>
    <w:uiPriority w:val="39"/>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无列表3"/>
    <w:next w:val="NoList"/>
    <w:uiPriority w:val="99"/>
    <w:semiHidden/>
    <w:unhideWhenUsed/>
    <w:rsid w:val="00241417"/>
  </w:style>
  <w:style w:type="table" w:customStyle="1" w:styleId="5">
    <w:name w:val="网格型5"/>
    <w:basedOn w:val="TableNormal"/>
    <w:next w:val="TableGrid"/>
    <w:qFormat/>
    <w:rsid w:val="00241417"/>
    <w:pPr>
      <w:spacing w:after="0" w:line="240" w:lineRule="auto"/>
    </w:pPr>
    <w:rPr>
      <w:rFonts w:ascii="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39"/>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4">
    <w:name w:val="Table Style14"/>
    <w:basedOn w:val="TableNormal"/>
    <w:rsid w:val="00241417"/>
    <w:pPr>
      <w:spacing w:after="0" w:line="240" w:lineRule="auto"/>
    </w:pPr>
    <w:rPr>
      <w:rFonts w:ascii="Times New Roman" w:eastAsia="MS Mincho" w:hAnsi="Times New Roman" w:cs="Times New Roman"/>
      <w:sz w:val="20"/>
      <w:szCs w:val="20"/>
    </w:rPr>
    <w:tblPr/>
  </w:style>
  <w:style w:type="table" w:customStyle="1" w:styleId="Tabellengitternetz14">
    <w:name w:val="Tabellengitternetz1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
    <w:name w:val="Tabellengitternetz2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
    <w:name w:val="Tabellengitternetz3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
    <w:name w:val="Tabellengitternetz4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
    <w:name w:val="Tabellengitternetz5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
    <w:name w:val="Tabellengitternetz6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
    <w:name w:val="Tabellengitternetz7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
    <w:name w:val="Tabellengitternetz8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
    <w:name w:val="Tabellengitternetz94"/>
    <w:basedOn w:val="TableNormal"/>
    <w:next w:val="TableGrid"/>
    <w:rsid w:val="00241417"/>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rsid w:val="00241417"/>
    <w:pPr>
      <w:overflowPunct w:val="0"/>
      <w:autoSpaceDE w:val="0"/>
      <w:autoSpaceDN w:val="0"/>
      <w:adjustRightInd w:val="0"/>
      <w:spacing w:after="180" w:line="240" w:lineRule="auto"/>
      <w:textAlignment w:val="baseline"/>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rsid w:val="00241417"/>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241417"/>
  </w:style>
  <w:style w:type="numbering" w:customStyle="1" w:styleId="NoList23">
    <w:name w:val="No List23"/>
    <w:next w:val="NoList"/>
    <w:semiHidden/>
    <w:unhideWhenUsed/>
    <w:rsid w:val="00241417"/>
  </w:style>
  <w:style w:type="table" w:customStyle="1" w:styleId="TableGrid44">
    <w:name w:val="Table Grid44"/>
    <w:basedOn w:val="TableNormal"/>
    <w:next w:val="TableGrid"/>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3">
    <w:name w:val="No List33"/>
    <w:next w:val="NoList"/>
    <w:uiPriority w:val="99"/>
    <w:semiHidden/>
    <w:unhideWhenUsed/>
    <w:rsid w:val="00241417"/>
  </w:style>
  <w:style w:type="table" w:customStyle="1" w:styleId="TableGrid54">
    <w:name w:val="Table Grid54"/>
    <w:basedOn w:val="TableNormal"/>
    <w:next w:val="TableGrid"/>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
    <w:name w:val="No List43"/>
    <w:next w:val="NoList"/>
    <w:uiPriority w:val="99"/>
    <w:semiHidden/>
    <w:unhideWhenUsed/>
    <w:rsid w:val="00241417"/>
  </w:style>
  <w:style w:type="table" w:customStyle="1" w:styleId="TableGrid64">
    <w:name w:val="Table Grid64"/>
    <w:basedOn w:val="TableNormal"/>
    <w:next w:val="TableGrid"/>
    <w:rsid w:val="00241417"/>
    <w:pPr>
      <w:spacing w:after="180" w:line="240" w:lineRule="auto"/>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
    <w:name w:val="No List53"/>
    <w:next w:val="NoList"/>
    <w:uiPriority w:val="99"/>
    <w:semiHidden/>
    <w:unhideWhenUsed/>
    <w:rsid w:val="00241417"/>
  </w:style>
  <w:style w:type="numbering" w:customStyle="1" w:styleId="NoList63">
    <w:name w:val="No List63"/>
    <w:next w:val="NoList"/>
    <w:uiPriority w:val="99"/>
    <w:semiHidden/>
    <w:unhideWhenUsed/>
    <w:rsid w:val="00241417"/>
  </w:style>
  <w:style w:type="numbering" w:customStyle="1" w:styleId="NoList73">
    <w:name w:val="No List73"/>
    <w:next w:val="NoList"/>
    <w:uiPriority w:val="99"/>
    <w:semiHidden/>
    <w:unhideWhenUsed/>
    <w:rsid w:val="00241417"/>
  </w:style>
  <w:style w:type="numbering" w:customStyle="1" w:styleId="NoList83">
    <w:name w:val="No List83"/>
    <w:next w:val="NoList"/>
    <w:uiPriority w:val="99"/>
    <w:semiHidden/>
    <w:unhideWhenUsed/>
    <w:rsid w:val="00241417"/>
  </w:style>
  <w:style w:type="numbering" w:customStyle="1" w:styleId="NoList93">
    <w:name w:val="No List93"/>
    <w:next w:val="NoList"/>
    <w:uiPriority w:val="99"/>
    <w:semiHidden/>
    <w:unhideWhenUsed/>
    <w:rsid w:val="00241417"/>
  </w:style>
  <w:style w:type="table" w:customStyle="1" w:styleId="TableGrid79">
    <w:name w:val="Table Grid79"/>
    <w:basedOn w:val="TableNormal"/>
    <w:next w:val="TableGrid"/>
    <w:uiPriority w:val="39"/>
    <w:qFormat/>
    <w:rsid w:val="00241417"/>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3">
    <w:name w:val="Table Grid713"/>
    <w:basedOn w:val="TableNormal"/>
    <w:next w:val="TableGrid"/>
    <w:rsid w:val="00241417"/>
    <w:pPr>
      <w:spacing w:after="0" w:line="240" w:lineRule="auto"/>
    </w:pPr>
    <w:rPr>
      <w:rFonts w:ascii="Calibri" w:eastAsia="DengXi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网格型32"/>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网格型42"/>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
    <w:name w:val="Table Grid114"/>
    <w:basedOn w:val="TableNormal"/>
    <w:uiPriority w:val="39"/>
    <w:rsid w:val="00241417"/>
    <w:pPr>
      <w:spacing w:after="0" w:line="240" w:lineRule="auto"/>
    </w:pPr>
    <w:rPr>
      <w:rFonts w:ascii="Calibri" w:eastAsia="SimSun" w:hAnsi="Calibri"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
    <w:name w:val="Table Grid213"/>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
    <w:name w:val="Table Grid123"/>
    <w:basedOn w:val="TableNormal"/>
    <w:uiPriority w:val="39"/>
    <w:rsid w:val="00241417"/>
    <w:pPr>
      <w:spacing w:after="180" w:line="240" w:lineRule="auto"/>
    </w:pPr>
    <w:rPr>
      <w:rFonts w:ascii="Tms Rmn" w:eastAsia="SimSun" w:hAnsi="Tms Rmn"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
    <w:name w:val="Table Grid222"/>
    <w:basedOn w:val="TableNormal"/>
    <w:rsid w:val="00241417"/>
    <w:pPr>
      <w:overflowPunct w:val="0"/>
      <w:autoSpaceDE w:val="0"/>
      <w:autoSpaceDN w:val="0"/>
      <w:adjustRightInd w:val="0"/>
      <w:spacing w:after="180" w:line="240" w:lineRule="auto"/>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
    <w:name w:val="Table Grid1112"/>
    <w:basedOn w:val="TableNormal"/>
    <w:uiPriority w:val="39"/>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12">
    <w:name w:val="Table Style112"/>
    <w:basedOn w:val="TableNormal"/>
    <w:rsid w:val="00241417"/>
    <w:pPr>
      <w:spacing w:after="0" w:line="240" w:lineRule="auto"/>
    </w:pPr>
    <w:rPr>
      <w:rFonts w:ascii="Times New Roman" w:eastAsia="MS Mincho" w:hAnsi="Times New Roman" w:cs="Times New Roman"/>
      <w:sz w:val="20"/>
      <w:szCs w:val="20"/>
      <w:lang w:val="en-GB" w:eastAsia="en-GB"/>
    </w:rPr>
    <w:tblPr>
      <w:tblInd w:w="0" w:type="nil"/>
    </w:tblPr>
  </w:style>
  <w:style w:type="table" w:customStyle="1" w:styleId="Tabellengitternetz112">
    <w:name w:val="Tabellengitternetz1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
    <w:name w:val="Tabellengitternetz2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
    <w:name w:val="Tabellengitternetz3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
    <w:name w:val="Tabellengitternetz4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
    <w:name w:val="Tabellengitternetz5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
    <w:name w:val="Tabellengitternetz6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
    <w:name w:val="Tabellengitternetz7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
    <w:name w:val="Tabellengitternetz8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
    <w:name w:val="Tabellengitternetz912"/>
    <w:basedOn w:val="TableNormal"/>
    <w:rsid w:val="00241417"/>
    <w:pPr>
      <w:spacing w:after="0" w:line="240" w:lineRule="auto"/>
    </w:pPr>
    <w:rPr>
      <w:rFonts w:ascii="Times New Roman" w:eastAsia="Malgun Gothic"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
    <w:name w:val="Table Grid2112"/>
    <w:basedOn w:val="TableNormal"/>
    <w:rsid w:val="00241417"/>
    <w:pPr>
      <w:overflowPunct w:val="0"/>
      <w:autoSpaceDE w:val="0"/>
      <w:autoSpaceDN w:val="0"/>
      <w:adjustRightInd w:val="0"/>
      <w:spacing w:after="180" w:line="240" w:lineRule="auto"/>
    </w:pPr>
    <w:rPr>
      <w:rFonts w:ascii="Times New Roman" w:eastAsia="SimSu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
    <w:name w:val="Table Grid312"/>
    <w:basedOn w:val="TableNormal"/>
    <w:rsid w:val="00241417"/>
    <w:pPr>
      <w:overflowPunct w:val="0"/>
      <w:autoSpaceDE w:val="0"/>
      <w:autoSpaceDN w:val="0"/>
      <w:adjustRightInd w:val="0"/>
      <w:spacing w:after="180" w:line="240" w:lineRule="auto"/>
    </w:pPr>
    <w:rPr>
      <w:rFonts w:ascii="Times New Roman" w:eastAsia="MS Mincho"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
    <w:name w:val="Table Grid412"/>
    <w:basedOn w:val="TableNormal"/>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2">
    <w:name w:val="Table Grid512"/>
    <w:basedOn w:val="TableNormal"/>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2">
    <w:name w:val="Table Grid612"/>
    <w:basedOn w:val="TableNormal"/>
    <w:rsid w:val="00241417"/>
    <w:pPr>
      <w:spacing w:after="18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2">
    <w:name w:val="Table Grid722"/>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2">
    <w:name w:val="Table Grid732"/>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2">
    <w:name w:val="Table Grid742"/>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2">
    <w:name w:val="Table Grid752"/>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3">
    <w:name w:val="Table Grid83"/>
    <w:basedOn w:val="TableNormal"/>
    <w:rsid w:val="00241417"/>
    <w:pPr>
      <w:spacing w:after="180" w:line="240" w:lineRule="auto"/>
    </w:pPr>
    <w:rPr>
      <w:rFonts w:ascii="CG Times (WN)" w:eastAsia="SimSun" w:hAnsi="CG Times (WN)" w:cs="Times New Roman"/>
      <w:sz w:val="20"/>
      <w:szCs w:val="20"/>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62">
    <w:name w:val="Table Grid762"/>
    <w:basedOn w:val="TableNormal"/>
    <w:uiPriority w:val="39"/>
    <w:rsid w:val="00241417"/>
    <w:pPr>
      <w:spacing w:after="0" w:line="240" w:lineRule="auto"/>
    </w:pPr>
    <w:rPr>
      <w:rFonts w:ascii="Calibri" w:eastAsia="DengXian" w:hAnsi="Calibri" w:cs="Times New Roman"/>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FO192">
    <w:name w:val="LFO192"/>
    <w:rsid w:val="00241417"/>
  </w:style>
  <w:style w:type="table" w:customStyle="1" w:styleId="TableGrid93">
    <w:name w:val="Table Grid93"/>
    <w:basedOn w:val="TableNormal"/>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3">
    <w:name w:val="Table Grid103"/>
    <w:basedOn w:val="TableNormal"/>
    <w:uiPriority w:val="39"/>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3">
    <w:name w:val="Table Grid133"/>
    <w:basedOn w:val="TableNormal"/>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3">
    <w:name w:val="Table Grid143"/>
    <w:basedOn w:val="TableNormal"/>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3">
    <w:name w:val="Table Grid153"/>
    <w:basedOn w:val="TableNormal"/>
    <w:uiPriority w:val="39"/>
    <w:rsid w:val="00241417"/>
    <w:pPr>
      <w:spacing w:after="0" w:line="240" w:lineRule="auto"/>
    </w:pPr>
    <w:rPr>
      <w:rFonts w:ascii="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
    <w:name w:val="No List112"/>
    <w:next w:val="NoList"/>
    <w:uiPriority w:val="99"/>
    <w:semiHidden/>
    <w:unhideWhenUsed/>
    <w:rsid w:val="00241417"/>
  </w:style>
  <w:style w:type="numbering" w:customStyle="1" w:styleId="NoList211">
    <w:name w:val="No List211"/>
    <w:next w:val="NoList"/>
    <w:semiHidden/>
    <w:unhideWhenUsed/>
    <w:rsid w:val="00241417"/>
  </w:style>
  <w:style w:type="numbering" w:customStyle="1" w:styleId="NoList311">
    <w:name w:val="No List311"/>
    <w:next w:val="NoList"/>
    <w:uiPriority w:val="99"/>
    <w:semiHidden/>
    <w:unhideWhenUsed/>
    <w:rsid w:val="00241417"/>
  </w:style>
  <w:style w:type="numbering" w:customStyle="1" w:styleId="NoList411">
    <w:name w:val="No List411"/>
    <w:next w:val="NoList"/>
    <w:uiPriority w:val="99"/>
    <w:semiHidden/>
    <w:unhideWhenUsed/>
    <w:rsid w:val="00241417"/>
  </w:style>
  <w:style w:type="character" w:customStyle="1" w:styleId="apple-converted-space">
    <w:name w:val="apple-converted-space"/>
    <w:rsid w:val="00241417"/>
  </w:style>
  <w:style w:type="character" w:customStyle="1" w:styleId="ListChar">
    <w:name w:val="List Char"/>
    <w:link w:val="List"/>
    <w:uiPriority w:val="99"/>
    <w:rsid w:val="003A71DE"/>
    <w:rPr>
      <w:rFonts w:ascii="Times New Roman" w:eastAsia="Times New Roman" w:hAnsi="Times New Roman" w:cs="Times New Roman"/>
      <w:sz w:val="20"/>
      <w:szCs w:val="20"/>
      <w:lang w:val="en-GB" w:eastAsia="en-GB"/>
    </w:rPr>
  </w:style>
  <w:style w:type="character" w:customStyle="1" w:styleId="ListBulletChar">
    <w:name w:val="List Bullet Char"/>
    <w:link w:val="ListBullet"/>
    <w:rsid w:val="003A71DE"/>
    <w:rPr>
      <w:rFonts w:ascii="Times New Roman" w:eastAsia="Times New Roman" w:hAnsi="Times New Roman" w:cs="Times New Roman"/>
      <w:sz w:val="20"/>
      <w:szCs w:val="20"/>
      <w:lang w:val="en-GB" w:eastAsia="en-GB"/>
    </w:rPr>
  </w:style>
  <w:style w:type="character" w:customStyle="1" w:styleId="ListBullet3Char">
    <w:name w:val="List Bullet 3 Char"/>
    <w:link w:val="ListBullet3"/>
    <w:rsid w:val="003A71DE"/>
    <w:rPr>
      <w:rFonts w:ascii="Times New Roman" w:eastAsia="Times New Roman" w:hAnsi="Times New Roman" w:cs="Times New Roman"/>
      <w:sz w:val="20"/>
      <w:szCs w:val="20"/>
      <w:lang w:val="en-GB" w:eastAsia="en-GB"/>
    </w:rPr>
  </w:style>
  <w:style w:type="character" w:customStyle="1" w:styleId="List2Char">
    <w:name w:val="List 2 Char"/>
    <w:link w:val="List2"/>
    <w:rsid w:val="003A71DE"/>
    <w:rPr>
      <w:rFonts w:ascii="Times New Roman" w:eastAsia="Times New Roman" w:hAnsi="Times New Roman" w:cs="Times New Roman"/>
      <w:sz w:val="20"/>
      <w:szCs w:val="20"/>
      <w:lang w:val="en-GB" w:eastAsia="en-GB"/>
    </w:rPr>
  </w:style>
  <w:style w:type="paragraph" w:customStyle="1" w:styleId="TabList">
    <w:name w:val="TabList"/>
    <w:basedOn w:val="Normal"/>
    <w:uiPriority w:val="99"/>
    <w:rsid w:val="003A71DE"/>
    <w:pPr>
      <w:tabs>
        <w:tab w:val="left" w:pos="1134"/>
      </w:tabs>
      <w:spacing w:after="0"/>
    </w:pPr>
    <w:rPr>
      <w:rFonts w:eastAsia="MS Mincho"/>
      <w:lang w:eastAsia="en-US"/>
    </w:rPr>
  </w:style>
  <w:style w:type="paragraph" w:customStyle="1" w:styleId="text">
    <w:name w:val="text"/>
    <w:basedOn w:val="Normal"/>
    <w:uiPriority w:val="99"/>
    <w:rsid w:val="003A71DE"/>
    <w:pPr>
      <w:widowControl w:val="0"/>
      <w:spacing w:after="240"/>
      <w:jc w:val="both"/>
    </w:pPr>
    <w:rPr>
      <w:rFonts w:eastAsia="MS Mincho"/>
      <w:sz w:val="24"/>
      <w:lang w:val="en-AU" w:eastAsia="en-US"/>
    </w:rPr>
  </w:style>
  <w:style w:type="paragraph" w:customStyle="1" w:styleId="berschrift1H1">
    <w:name w:val="Überschrift 1.H1"/>
    <w:basedOn w:val="Normal"/>
    <w:next w:val="Normal"/>
    <w:uiPriority w:val="99"/>
    <w:rsid w:val="003A71DE"/>
    <w:pPr>
      <w:keepNext/>
      <w:keepLines/>
      <w:pBdr>
        <w:top w:val="single" w:sz="12" w:space="3" w:color="auto"/>
      </w:pBdr>
      <w:tabs>
        <w:tab w:val="num" w:pos="735"/>
      </w:tabs>
      <w:spacing w:before="240"/>
      <w:ind w:left="735" w:hanging="735"/>
      <w:outlineLvl w:val="0"/>
    </w:pPr>
    <w:rPr>
      <w:rFonts w:ascii="Arial" w:eastAsia="MS Mincho" w:hAnsi="Arial"/>
      <w:sz w:val="36"/>
      <w:lang w:eastAsia="de-DE"/>
    </w:rPr>
  </w:style>
  <w:style w:type="paragraph" w:customStyle="1" w:styleId="textintend1">
    <w:name w:val="text intend 1"/>
    <w:basedOn w:val="text"/>
    <w:uiPriority w:val="99"/>
    <w:rsid w:val="003A71DE"/>
    <w:pPr>
      <w:widowControl/>
      <w:tabs>
        <w:tab w:val="num" w:pos="992"/>
      </w:tabs>
      <w:spacing w:after="120"/>
      <w:ind w:left="992" w:hanging="425"/>
    </w:pPr>
    <w:rPr>
      <w:lang w:val="en-US"/>
    </w:rPr>
  </w:style>
  <w:style w:type="paragraph" w:customStyle="1" w:styleId="textintend2">
    <w:name w:val="text intend 2"/>
    <w:basedOn w:val="text"/>
    <w:uiPriority w:val="99"/>
    <w:rsid w:val="003A71DE"/>
    <w:pPr>
      <w:widowControl/>
      <w:tabs>
        <w:tab w:val="num" w:pos="1418"/>
      </w:tabs>
      <w:spacing w:after="120"/>
      <w:ind w:left="1418" w:hanging="426"/>
    </w:pPr>
    <w:rPr>
      <w:lang w:val="en-US"/>
    </w:rPr>
  </w:style>
  <w:style w:type="paragraph" w:customStyle="1" w:styleId="textintend3">
    <w:name w:val="text intend 3"/>
    <w:basedOn w:val="text"/>
    <w:uiPriority w:val="99"/>
    <w:rsid w:val="003A71DE"/>
    <w:pPr>
      <w:widowControl/>
      <w:tabs>
        <w:tab w:val="num" w:pos="1843"/>
      </w:tabs>
      <w:spacing w:after="120"/>
      <w:ind w:left="1843" w:hanging="425"/>
    </w:pPr>
    <w:rPr>
      <w:lang w:val="en-US"/>
    </w:rPr>
  </w:style>
  <w:style w:type="paragraph" w:customStyle="1" w:styleId="normalpuce">
    <w:name w:val="normal puce"/>
    <w:basedOn w:val="Normal"/>
    <w:uiPriority w:val="99"/>
    <w:rsid w:val="003A71DE"/>
    <w:pPr>
      <w:widowControl w:val="0"/>
      <w:tabs>
        <w:tab w:val="num" w:pos="360"/>
      </w:tabs>
      <w:spacing w:before="60" w:after="60"/>
      <w:ind w:left="360" w:hanging="360"/>
      <w:jc w:val="both"/>
    </w:pPr>
    <w:rPr>
      <w:rFonts w:eastAsia="MS Mincho"/>
      <w:lang w:eastAsia="en-US"/>
    </w:rPr>
  </w:style>
  <w:style w:type="paragraph" w:customStyle="1" w:styleId="para">
    <w:name w:val="para"/>
    <w:basedOn w:val="Normal"/>
    <w:uiPriority w:val="99"/>
    <w:rsid w:val="003A71DE"/>
    <w:pPr>
      <w:spacing w:after="240"/>
      <w:jc w:val="both"/>
    </w:pPr>
    <w:rPr>
      <w:rFonts w:ascii="Helvetica" w:eastAsia="MS Mincho" w:hAnsi="Helvetica"/>
      <w:lang w:eastAsia="en-US"/>
    </w:rPr>
  </w:style>
  <w:style w:type="character" w:customStyle="1" w:styleId="MTEquationSection">
    <w:name w:val="MTEquationSection"/>
    <w:rsid w:val="003A71DE"/>
    <w:rPr>
      <w:noProof w:val="0"/>
      <w:vanish w:val="0"/>
      <w:color w:val="FF0000"/>
      <w:lang w:eastAsia="en-US"/>
    </w:rPr>
  </w:style>
  <w:style w:type="paragraph" w:customStyle="1" w:styleId="List1">
    <w:name w:val="List1"/>
    <w:basedOn w:val="Normal"/>
    <w:uiPriority w:val="99"/>
    <w:rsid w:val="003A71DE"/>
    <w:pPr>
      <w:spacing w:before="120" w:after="0" w:line="280" w:lineRule="atLeast"/>
      <w:ind w:left="360" w:hanging="360"/>
      <w:jc w:val="both"/>
    </w:pPr>
    <w:rPr>
      <w:rFonts w:ascii="Bookman" w:eastAsia="MS Mincho" w:hAnsi="Bookman"/>
      <w:lang w:val="en-US" w:eastAsia="en-US"/>
    </w:rPr>
  </w:style>
  <w:style w:type="paragraph" w:customStyle="1" w:styleId="TdocText">
    <w:name w:val="Tdoc_Text"/>
    <w:basedOn w:val="Normal"/>
    <w:uiPriority w:val="99"/>
    <w:rsid w:val="003A71DE"/>
    <w:pPr>
      <w:spacing w:before="120" w:after="0"/>
      <w:jc w:val="both"/>
    </w:pPr>
    <w:rPr>
      <w:rFonts w:eastAsia="MS Mincho"/>
      <w:lang w:val="en-US" w:eastAsia="en-US"/>
    </w:rPr>
  </w:style>
  <w:style w:type="paragraph" w:customStyle="1" w:styleId="centered">
    <w:name w:val="centered"/>
    <w:basedOn w:val="Normal"/>
    <w:uiPriority w:val="99"/>
    <w:rsid w:val="003A71DE"/>
    <w:pPr>
      <w:widowControl w:val="0"/>
      <w:spacing w:before="120" w:after="0" w:line="280" w:lineRule="atLeast"/>
      <w:jc w:val="center"/>
    </w:pPr>
    <w:rPr>
      <w:rFonts w:ascii="Bookman" w:eastAsia="MS Mincho" w:hAnsi="Bookman"/>
      <w:lang w:val="en-US" w:eastAsia="en-US"/>
    </w:rPr>
  </w:style>
  <w:style w:type="character" w:customStyle="1" w:styleId="superscript">
    <w:name w:val="superscript"/>
    <w:rsid w:val="003A71DE"/>
    <w:rPr>
      <w:rFonts w:ascii="Bookman" w:hAnsi="Bookman"/>
      <w:position w:val="6"/>
      <w:sz w:val="18"/>
    </w:rPr>
  </w:style>
  <w:style w:type="character" w:customStyle="1" w:styleId="NOChar1">
    <w:name w:val="NO Char1"/>
    <w:rsid w:val="003A71DE"/>
    <w:rPr>
      <w:rFonts w:eastAsia="MS Mincho"/>
      <w:lang w:val="en-GB" w:eastAsia="en-US" w:bidi="ar-SA"/>
    </w:rPr>
  </w:style>
  <w:style w:type="paragraph" w:customStyle="1" w:styleId="Bulletedo1">
    <w:name w:val="Bulleted o 1"/>
    <w:basedOn w:val="Normal"/>
    <w:uiPriority w:val="99"/>
    <w:rsid w:val="003A71DE"/>
    <w:pPr>
      <w:numPr>
        <w:numId w:val="14"/>
      </w:numPr>
      <w:spacing w:before="120" w:after="120"/>
    </w:pPr>
    <w:rPr>
      <w:lang w:eastAsia="en-US"/>
    </w:rPr>
  </w:style>
  <w:style w:type="character" w:customStyle="1" w:styleId="CharChar3">
    <w:name w:val="Char Char3"/>
    <w:semiHidden/>
    <w:rsid w:val="003A71DE"/>
    <w:rPr>
      <w:rFonts w:ascii="Arial" w:hAnsi="Arial"/>
      <w:sz w:val="28"/>
      <w:lang w:val="en-GB" w:eastAsia="ko-KR" w:bidi="ar-SA"/>
    </w:rPr>
  </w:style>
  <w:style w:type="paragraph" w:customStyle="1" w:styleId="no0">
    <w:name w:val="no"/>
    <w:basedOn w:val="Normal"/>
    <w:uiPriority w:val="99"/>
    <w:rsid w:val="003A71DE"/>
    <w:pPr>
      <w:ind w:left="1135" w:hanging="851"/>
    </w:pPr>
    <w:rPr>
      <w:rFonts w:eastAsia="Calibri"/>
      <w:lang w:val="it-IT" w:eastAsia="it-IT"/>
    </w:rPr>
  </w:style>
  <w:style w:type="paragraph" w:customStyle="1" w:styleId="IvDbodytext">
    <w:name w:val="IvD bodytext"/>
    <w:basedOn w:val="BodyText"/>
    <w:link w:val="IvDbodytextChar"/>
    <w:qFormat/>
    <w:rsid w:val="003A71DE"/>
    <w:pPr>
      <w:keepLines/>
      <w:tabs>
        <w:tab w:val="left" w:pos="2552"/>
        <w:tab w:val="left" w:pos="3856"/>
        <w:tab w:val="left" w:pos="5216"/>
        <w:tab w:val="left" w:pos="6464"/>
        <w:tab w:val="left" w:pos="7768"/>
        <w:tab w:val="left" w:pos="9072"/>
        <w:tab w:val="left" w:pos="9639"/>
      </w:tabs>
      <w:overflowPunct w:val="0"/>
      <w:autoSpaceDE w:val="0"/>
      <w:autoSpaceDN w:val="0"/>
      <w:adjustRightInd w:val="0"/>
      <w:spacing w:before="240" w:after="0"/>
      <w:textAlignment w:val="baseline"/>
    </w:pPr>
    <w:rPr>
      <w:rFonts w:ascii="Arial" w:eastAsia="Malgun Gothic" w:hAnsi="Arial"/>
      <w:spacing w:val="2"/>
    </w:rPr>
  </w:style>
  <w:style w:type="character" w:customStyle="1" w:styleId="IvDbodytextChar">
    <w:name w:val="IvD bodytext Char"/>
    <w:link w:val="IvDbodytext"/>
    <w:rsid w:val="003A71DE"/>
    <w:rPr>
      <w:rFonts w:ascii="Arial" w:eastAsia="Malgun Gothic" w:hAnsi="Arial" w:cs="Times New Roman"/>
      <w:spacing w:val="2"/>
      <w:sz w:val="20"/>
      <w:szCs w:val="20"/>
      <w:lang w:val="en-GB"/>
    </w:rPr>
  </w:style>
  <w:style w:type="character" w:customStyle="1" w:styleId="HeaderChar1">
    <w:name w:val="Header Char1"/>
    <w:aliases w:val="header odd Char1,header odd1 Char1,header odd2 Char1,header Char1,header odd3 Char1,header odd4 Char1,header odd5 Char1,header odd6 Char1,header1 Char1,header2 Char1,header3 Char1,header odd11 Char1,header odd21 Char1,header odd7 Char1"/>
    <w:semiHidden/>
    <w:rsid w:val="003A71DE"/>
    <w:rPr>
      <w:rFonts w:ascii="Times New Roman" w:eastAsia="SimSun" w:hAnsi="Times New Roman"/>
      <w:lang w:eastAsia="en-US"/>
    </w:rPr>
  </w:style>
  <w:style w:type="character" w:customStyle="1" w:styleId="CharChar31">
    <w:name w:val="Char Char31"/>
    <w:semiHidden/>
    <w:rsid w:val="003A71DE"/>
    <w:rPr>
      <w:rFonts w:ascii="Arial" w:hAnsi="Arial" w:cs="Arial" w:hint="default"/>
      <w:sz w:val="28"/>
      <w:lang w:val="en-GB" w:eastAsia="ko-KR" w:bidi="ar-SA"/>
    </w:rPr>
  </w:style>
  <w:style w:type="numbering" w:customStyle="1" w:styleId="17">
    <w:name w:val="リストなし1"/>
    <w:next w:val="NoList"/>
    <w:uiPriority w:val="99"/>
    <w:semiHidden/>
    <w:unhideWhenUsed/>
    <w:rsid w:val="003A71DE"/>
  </w:style>
  <w:style w:type="paragraph" w:customStyle="1" w:styleId="33">
    <w:name w:val="吹き出し3"/>
    <w:basedOn w:val="Normal"/>
    <w:uiPriority w:val="99"/>
    <w:semiHidden/>
    <w:rsid w:val="003A71DE"/>
    <w:rPr>
      <w:rFonts w:ascii="Tahoma" w:eastAsia="MS Mincho" w:hAnsi="Tahoma" w:cs="Tahoma"/>
      <w:sz w:val="16"/>
      <w:szCs w:val="16"/>
      <w:lang w:eastAsia="ko-KR"/>
    </w:rPr>
  </w:style>
  <w:style w:type="paragraph" w:customStyle="1" w:styleId="91">
    <w:name w:val="目次 91"/>
    <w:basedOn w:val="TOC8"/>
    <w:uiPriority w:val="99"/>
    <w:rsid w:val="003A71DE"/>
    <w:pPr>
      <w:keepNext w:val="0"/>
      <w:ind w:left="1418" w:hanging="1418"/>
    </w:pPr>
    <w:rPr>
      <w:rFonts w:eastAsia="MS Mincho"/>
      <w:lang w:val="en-US"/>
    </w:rPr>
  </w:style>
  <w:style w:type="paragraph" w:customStyle="1" w:styleId="18">
    <w:name w:val="図表番号1"/>
    <w:basedOn w:val="Normal"/>
    <w:next w:val="Normal"/>
    <w:uiPriority w:val="99"/>
    <w:rsid w:val="003A71DE"/>
    <w:pPr>
      <w:spacing w:before="120" w:after="120"/>
    </w:pPr>
    <w:rPr>
      <w:rFonts w:eastAsia="MS Mincho"/>
      <w:b/>
    </w:rPr>
  </w:style>
  <w:style w:type="paragraph" w:customStyle="1" w:styleId="19">
    <w:name w:val="図表目次1"/>
    <w:basedOn w:val="Normal"/>
    <w:next w:val="Normal"/>
    <w:uiPriority w:val="99"/>
    <w:rsid w:val="003A71DE"/>
    <w:pPr>
      <w:ind w:left="400" w:hanging="400"/>
      <w:jc w:val="center"/>
    </w:pPr>
    <w:rPr>
      <w:rFonts w:eastAsia="MS Mincho"/>
      <w:b/>
    </w:rPr>
  </w:style>
  <w:style w:type="character" w:styleId="HTMLAcronym">
    <w:name w:val="HTML Acronym"/>
    <w:uiPriority w:val="99"/>
    <w:unhideWhenUsed/>
    <w:rsid w:val="003A71DE"/>
  </w:style>
  <w:style w:type="paragraph" w:customStyle="1" w:styleId="3GPPNormalText">
    <w:name w:val="3GPP Normal Text"/>
    <w:basedOn w:val="BodyText"/>
    <w:link w:val="3GPPNormalTextChar"/>
    <w:qFormat/>
    <w:rsid w:val="003A71DE"/>
    <w:pPr>
      <w:overflowPunct w:val="0"/>
      <w:autoSpaceDE w:val="0"/>
      <w:autoSpaceDN w:val="0"/>
      <w:adjustRightInd w:val="0"/>
      <w:ind w:hanging="22"/>
      <w:jc w:val="both"/>
      <w:textAlignment w:val="baseline"/>
    </w:pPr>
    <w:rPr>
      <w:rFonts w:ascii="Arial" w:eastAsia="MS Mincho" w:hAnsi="Arial" w:cs="Arial"/>
      <w:sz w:val="24"/>
      <w:szCs w:val="24"/>
      <w:lang w:val="en-US"/>
    </w:rPr>
  </w:style>
  <w:style w:type="character" w:customStyle="1" w:styleId="3GPPNormalTextChar">
    <w:name w:val="3GPP Normal Text Char"/>
    <w:link w:val="3GPPNormalText"/>
    <w:rsid w:val="003A71DE"/>
    <w:rPr>
      <w:rFonts w:ascii="Arial" w:eastAsia="MS Mincho" w:hAnsi="Arial" w:cs="Arial"/>
      <w:sz w:val="24"/>
      <w:szCs w:val="24"/>
    </w:rPr>
  </w:style>
  <w:style w:type="numbering" w:customStyle="1" w:styleId="1a">
    <w:name w:val="無清單1"/>
    <w:next w:val="NoList"/>
    <w:uiPriority w:val="99"/>
    <w:semiHidden/>
    <w:unhideWhenUsed/>
    <w:rsid w:val="003A71DE"/>
  </w:style>
  <w:style w:type="numbering" w:customStyle="1" w:styleId="110">
    <w:name w:val="無清單11"/>
    <w:next w:val="NoList"/>
    <w:uiPriority w:val="99"/>
    <w:semiHidden/>
    <w:unhideWhenUsed/>
    <w:rsid w:val="003A71DE"/>
  </w:style>
  <w:style w:type="table" w:customStyle="1" w:styleId="1b">
    <w:name w:val="表格格線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53GPP">
    <w:name w:val="H5 3GPP"/>
    <w:basedOn w:val="Normal"/>
    <w:link w:val="H53GPPChar"/>
    <w:qFormat/>
    <w:rsid w:val="003A71DE"/>
    <w:pPr>
      <w:keepNext/>
      <w:keepLines/>
      <w:spacing w:before="120"/>
      <w:ind w:left="1134" w:hanging="1134"/>
      <w:outlineLvl w:val="2"/>
    </w:pPr>
    <w:rPr>
      <w:rFonts w:ascii="Arial" w:hAnsi="Arial"/>
      <w:snapToGrid w:val="0"/>
      <w:sz w:val="22"/>
      <w:szCs w:val="22"/>
      <w:lang w:eastAsia="en-US"/>
    </w:rPr>
  </w:style>
  <w:style w:type="character" w:customStyle="1" w:styleId="H53GPPChar">
    <w:name w:val="H5 3GPP Char"/>
    <w:basedOn w:val="DefaultParagraphFont"/>
    <w:link w:val="H53GPP"/>
    <w:rsid w:val="003A71DE"/>
    <w:rPr>
      <w:rFonts w:ascii="Arial" w:eastAsia="Times New Roman" w:hAnsi="Arial" w:cs="Times New Roman"/>
      <w:snapToGrid w:val="0"/>
      <w:lang w:val="en-GB"/>
    </w:rPr>
  </w:style>
  <w:style w:type="paragraph" w:styleId="Subtitle">
    <w:name w:val="Subtitle"/>
    <w:basedOn w:val="Normal"/>
    <w:next w:val="Normal"/>
    <w:link w:val="SubtitleChar"/>
    <w:uiPriority w:val="11"/>
    <w:qFormat/>
    <w:rsid w:val="003A71DE"/>
    <w:pPr>
      <w:spacing w:before="240" w:after="60" w:line="312" w:lineRule="auto"/>
      <w:jc w:val="center"/>
      <w:outlineLvl w:val="1"/>
    </w:pPr>
    <w:rPr>
      <w:rFonts w:asciiTheme="majorHAnsi" w:hAnsiTheme="majorHAnsi" w:cstheme="majorBidi"/>
      <w:b/>
      <w:bCs/>
      <w:kern w:val="28"/>
      <w:sz w:val="32"/>
      <w:szCs w:val="32"/>
      <w:lang w:eastAsia="ko-KR"/>
    </w:rPr>
  </w:style>
  <w:style w:type="character" w:customStyle="1" w:styleId="SubtitleChar">
    <w:name w:val="Subtitle Char"/>
    <w:basedOn w:val="DefaultParagraphFont"/>
    <w:link w:val="Subtitle"/>
    <w:uiPriority w:val="11"/>
    <w:rsid w:val="003A71DE"/>
    <w:rPr>
      <w:rFonts w:asciiTheme="majorHAnsi" w:eastAsia="Times New Roman" w:hAnsiTheme="majorHAnsi" w:cstheme="majorBidi"/>
      <w:b/>
      <w:bCs/>
      <w:kern w:val="28"/>
      <w:sz w:val="32"/>
      <w:szCs w:val="32"/>
      <w:lang w:val="en-GB" w:eastAsia="ko-KR"/>
    </w:rPr>
  </w:style>
  <w:style w:type="paragraph" w:customStyle="1" w:styleId="24">
    <w:name w:val="修订2"/>
    <w:hidden/>
    <w:uiPriority w:val="99"/>
    <w:semiHidden/>
    <w:rsid w:val="003A71DE"/>
    <w:pPr>
      <w:spacing w:after="0" w:line="240" w:lineRule="auto"/>
    </w:pPr>
    <w:rPr>
      <w:rFonts w:ascii="Times New Roman" w:eastAsia="Batang" w:hAnsi="Times New Roman" w:cs="Times New Roman"/>
      <w:sz w:val="20"/>
      <w:szCs w:val="20"/>
      <w:lang w:val="en-GB"/>
    </w:rPr>
  </w:style>
  <w:style w:type="character" w:customStyle="1" w:styleId="Heading9Char1">
    <w:name w:val="Heading 9 Char1"/>
    <w:aliases w:val="Figure Heading Char1,FH Char1,标题 9 Char1"/>
    <w:basedOn w:val="DefaultParagraphFont"/>
    <w:semiHidden/>
    <w:rsid w:val="003A71DE"/>
    <w:rPr>
      <w:rFonts w:asciiTheme="majorHAnsi" w:eastAsiaTheme="majorEastAsia" w:hAnsiTheme="majorHAnsi" w:cstheme="majorBidi"/>
      <w:i/>
      <w:iCs/>
      <w:color w:val="272727" w:themeColor="text1" w:themeTint="D8"/>
      <w:sz w:val="21"/>
      <w:szCs w:val="21"/>
      <w:lang w:val="en-GB"/>
    </w:rPr>
  </w:style>
  <w:style w:type="numbering" w:customStyle="1" w:styleId="111">
    <w:name w:val="リストなし11"/>
    <w:next w:val="NoList"/>
    <w:uiPriority w:val="99"/>
    <w:semiHidden/>
    <w:unhideWhenUsed/>
    <w:rsid w:val="003A71DE"/>
  </w:style>
  <w:style w:type="numbering" w:customStyle="1" w:styleId="112">
    <w:name w:val="无列表11"/>
    <w:next w:val="NoList"/>
    <w:semiHidden/>
    <w:rsid w:val="003A71DE"/>
  </w:style>
  <w:style w:type="numbering" w:customStyle="1" w:styleId="NoList1111">
    <w:name w:val="No List1111"/>
    <w:next w:val="NoList"/>
    <w:uiPriority w:val="99"/>
    <w:semiHidden/>
    <w:unhideWhenUsed/>
    <w:rsid w:val="003A71DE"/>
  </w:style>
  <w:style w:type="numbering" w:customStyle="1" w:styleId="120">
    <w:name w:val="無清單12"/>
    <w:next w:val="NoList"/>
    <w:uiPriority w:val="99"/>
    <w:semiHidden/>
    <w:unhideWhenUsed/>
    <w:rsid w:val="003A71DE"/>
  </w:style>
  <w:style w:type="numbering" w:customStyle="1" w:styleId="1110">
    <w:name w:val="無清單111"/>
    <w:next w:val="NoList"/>
    <w:uiPriority w:val="99"/>
    <w:semiHidden/>
    <w:unhideWhenUsed/>
    <w:rsid w:val="003A71DE"/>
  </w:style>
  <w:style w:type="table" w:customStyle="1" w:styleId="113">
    <w:name w:val="表格格線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
    <w:name w:val="No List121"/>
    <w:next w:val="NoList"/>
    <w:uiPriority w:val="99"/>
    <w:semiHidden/>
    <w:unhideWhenUsed/>
    <w:rsid w:val="003A71DE"/>
  </w:style>
  <w:style w:type="numbering" w:customStyle="1" w:styleId="1111">
    <w:name w:val="リストなし111"/>
    <w:next w:val="NoList"/>
    <w:uiPriority w:val="99"/>
    <w:semiHidden/>
    <w:unhideWhenUsed/>
    <w:rsid w:val="003A71DE"/>
  </w:style>
  <w:style w:type="numbering" w:customStyle="1" w:styleId="1112">
    <w:name w:val="无列表111"/>
    <w:next w:val="NoList"/>
    <w:semiHidden/>
    <w:rsid w:val="003A71DE"/>
  </w:style>
  <w:style w:type="numbering" w:customStyle="1" w:styleId="NoList11111">
    <w:name w:val="No List11111"/>
    <w:next w:val="NoList"/>
    <w:uiPriority w:val="99"/>
    <w:semiHidden/>
    <w:unhideWhenUsed/>
    <w:rsid w:val="003A71DE"/>
  </w:style>
  <w:style w:type="numbering" w:customStyle="1" w:styleId="121">
    <w:name w:val="無清單121"/>
    <w:next w:val="NoList"/>
    <w:uiPriority w:val="99"/>
    <w:semiHidden/>
    <w:unhideWhenUsed/>
    <w:rsid w:val="003A71DE"/>
  </w:style>
  <w:style w:type="numbering" w:customStyle="1" w:styleId="11110">
    <w:name w:val="無清單1111"/>
    <w:next w:val="NoList"/>
    <w:uiPriority w:val="99"/>
    <w:semiHidden/>
    <w:unhideWhenUsed/>
    <w:rsid w:val="003A71DE"/>
  </w:style>
  <w:style w:type="numbering" w:customStyle="1" w:styleId="122">
    <w:name w:val="リストなし12"/>
    <w:next w:val="NoList"/>
    <w:uiPriority w:val="99"/>
    <w:semiHidden/>
    <w:unhideWhenUsed/>
    <w:rsid w:val="003A71DE"/>
  </w:style>
  <w:style w:type="numbering" w:customStyle="1" w:styleId="123">
    <w:name w:val="无列表12"/>
    <w:next w:val="NoList"/>
    <w:semiHidden/>
    <w:rsid w:val="003A71DE"/>
  </w:style>
  <w:style w:type="numbering" w:customStyle="1" w:styleId="130">
    <w:name w:val="無清單13"/>
    <w:next w:val="NoList"/>
    <w:uiPriority w:val="99"/>
    <w:semiHidden/>
    <w:unhideWhenUsed/>
    <w:rsid w:val="003A71DE"/>
  </w:style>
  <w:style w:type="numbering" w:customStyle="1" w:styleId="1120">
    <w:name w:val="無清單112"/>
    <w:next w:val="NoList"/>
    <w:uiPriority w:val="99"/>
    <w:semiHidden/>
    <w:unhideWhenUsed/>
    <w:rsid w:val="003A71DE"/>
  </w:style>
  <w:style w:type="table" w:customStyle="1" w:styleId="124">
    <w:name w:val="表格格線1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
    <w:name w:val="无列表21"/>
    <w:next w:val="NoList"/>
    <w:uiPriority w:val="99"/>
    <w:semiHidden/>
    <w:unhideWhenUsed/>
    <w:rsid w:val="003A71DE"/>
  </w:style>
  <w:style w:type="numbering" w:customStyle="1" w:styleId="NoList122">
    <w:name w:val="No List122"/>
    <w:next w:val="NoList"/>
    <w:uiPriority w:val="99"/>
    <w:semiHidden/>
    <w:unhideWhenUsed/>
    <w:rsid w:val="003A71DE"/>
  </w:style>
  <w:style w:type="numbering" w:customStyle="1" w:styleId="1121">
    <w:name w:val="リストなし112"/>
    <w:next w:val="NoList"/>
    <w:uiPriority w:val="99"/>
    <w:semiHidden/>
    <w:unhideWhenUsed/>
    <w:rsid w:val="003A71DE"/>
  </w:style>
  <w:style w:type="numbering" w:customStyle="1" w:styleId="1122">
    <w:name w:val="无列表112"/>
    <w:next w:val="NoList"/>
    <w:semiHidden/>
    <w:rsid w:val="003A71DE"/>
  </w:style>
  <w:style w:type="numbering" w:customStyle="1" w:styleId="NoList212">
    <w:name w:val="No List212"/>
    <w:next w:val="NoList"/>
    <w:semiHidden/>
    <w:rsid w:val="003A71DE"/>
  </w:style>
  <w:style w:type="numbering" w:customStyle="1" w:styleId="NoList312">
    <w:name w:val="No List312"/>
    <w:next w:val="NoList"/>
    <w:uiPriority w:val="99"/>
    <w:semiHidden/>
    <w:rsid w:val="003A71DE"/>
  </w:style>
  <w:style w:type="numbering" w:customStyle="1" w:styleId="NoList1112">
    <w:name w:val="No List1112"/>
    <w:next w:val="NoList"/>
    <w:uiPriority w:val="99"/>
    <w:semiHidden/>
    <w:unhideWhenUsed/>
    <w:rsid w:val="003A71DE"/>
  </w:style>
  <w:style w:type="numbering" w:customStyle="1" w:styleId="1220">
    <w:name w:val="無清單122"/>
    <w:next w:val="NoList"/>
    <w:uiPriority w:val="99"/>
    <w:semiHidden/>
    <w:unhideWhenUsed/>
    <w:rsid w:val="003A71DE"/>
  </w:style>
  <w:style w:type="numbering" w:customStyle="1" w:styleId="11120">
    <w:name w:val="無清單1112"/>
    <w:next w:val="NoList"/>
    <w:uiPriority w:val="99"/>
    <w:semiHidden/>
    <w:unhideWhenUsed/>
    <w:rsid w:val="003A71DE"/>
  </w:style>
  <w:style w:type="paragraph" w:customStyle="1" w:styleId="Subtitle1">
    <w:name w:val="Subtitle1"/>
    <w:basedOn w:val="Normal"/>
    <w:next w:val="Normal"/>
    <w:uiPriority w:val="11"/>
    <w:qFormat/>
    <w:rsid w:val="003A71DE"/>
    <w:pPr>
      <w:spacing w:before="240" w:after="60" w:line="312" w:lineRule="auto"/>
      <w:jc w:val="center"/>
      <w:outlineLvl w:val="1"/>
    </w:pPr>
    <w:rPr>
      <w:rFonts w:ascii="Calibri Light" w:hAnsi="Calibri Light"/>
      <w:b/>
      <w:bCs/>
      <w:kern w:val="28"/>
      <w:sz w:val="32"/>
      <w:szCs w:val="32"/>
      <w:lang w:eastAsia="ko-KR"/>
    </w:rPr>
  </w:style>
  <w:style w:type="character" w:customStyle="1" w:styleId="SubtitleChar1">
    <w:name w:val="Subtitle Char1"/>
    <w:basedOn w:val="DefaultParagraphFont"/>
    <w:rsid w:val="003A71DE"/>
    <w:rPr>
      <w:rFonts w:asciiTheme="minorHAnsi" w:eastAsiaTheme="minorEastAsia" w:hAnsiTheme="minorHAnsi" w:cstheme="minorBidi"/>
      <w:color w:val="5A5A5A" w:themeColor="text1" w:themeTint="A5"/>
      <w:spacing w:val="15"/>
      <w:sz w:val="22"/>
      <w:szCs w:val="22"/>
      <w:lang w:val="en-GB" w:eastAsia="en-US"/>
    </w:rPr>
  </w:style>
  <w:style w:type="character" w:customStyle="1" w:styleId="CharChar34">
    <w:name w:val="Char Char34"/>
    <w:semiHidden/>
    <w:rsid w:val="003A71DE"/>
    <w:rPr>
      <w:rFonts w:ascii="Arial" w:hAnsi="Arial"/>
      <w:sz w:val="28"/>
      <w:lang w:val="en-GB" w:eastAsia="ko-KR" w:bidi="ar-SA"/>
    </w:rPr>
  </w:style>
  <w:style w:type="character" w:customStyle="1" w:styleId="CharChar33">
    <w:name w:val="Char Char33"/>
    <w:semiHidden/>
    <w:rsid w:val="003A71DE"/>
    <w:rPr>
      <w:rFonts w:ascii="Arial" w:hAnsi="Arial"/>
      <w:sz w:val="28"/>
      <w:lang w:val="en-GB" w:eastAsia="ko-KR" w:bidi="ar-SA"/>
    </w:rPr>
  </w:style>
  <w:style w:type="character" w:customStyle="1" w:styleId="CharChar32">
    <w:name w:val="Char Char32"/>
    <w:semiHidden/>
    <w:rsid w:val="003A71DE"/>
    <w:rPr>
      <w:rFonts w:ascii="Arial" w:hAnsi="Arial"/>
      <w:sz w:val="28"/>
      <w:lang w:val="en-GB" w:eastAsia="ko-KR" w:bidi="ar-SA"/>
    </w:rPr>
  </w:style>
  <w:style w:type="numbering" w:customStyle="1" w:styleId="131">
    <w:name w:val="リストなし13"/>
    <w:next w:val="NoList"/>
    <w:uiPriority w:val="99"/>
    <w:semiHidden/>
    <w:unhideWhenUsed/>
    <w:rsid w:val="003A71DE"/>
  </w:style>
  <w:style w:type="numbering" w:customStyle="1" w:styleId="132">
    <w:name w:val="无列表13"/>
    <w:next w:val="NoList"/>
    <w:semiHidden/>
    <w:rsid w:val="003A71DE"/>
  </w:style>
  <w:style w:type="table" w:customStyle="1" w:styleId="330">
    <w:name w:val="网格型3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网格型4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
    <w:name w:val="No List113"/>
    <w:next w:val="NoList"/>
    <w:uiPriority w:val="99"/>
    <w:semiHidden/>
    <w:unhideWhenUsed/>
    <w:rsid w:val="003A71DE"/>
  </w:style>
  <w:style w:type="numbering" w:customStyle="1" w:styleId="140">
    <w:name w:val="無清單14"/>
    <w:next w:val="NoList"/>
    <w:uiPriority w:val="99"/>
    <w:semiHidden/>
    <w:unhideWhenUsed/>
    <w:rsid w:val="003A71DE"/>
  </w:style>
  <w:style w:type="numbering" w:customStyle="1" w:styleId="1130">
    <w:name w:val="無清單113"/>
    <w:next w:val="NoList"/>
    <w:uiPriority w:val="99"/>
    <w:semiHidden/>
    <w:unhideWhenUsed/>
    <w:rsid w:val="003A71DE"/>
  </w:style>
  <w:style w:type="table" w:customStyle="1" w:styleId="133">
    <w:name w:val="表格格線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无列表22"/>
    <w:next w:val="NoList"/>
    <w:uiPriority w:val="99"/>
    <w:semiHidden/>
    <w:unhideWhenUsed/>
    <w:rsid w:val="003A71DE"/>
  </w:style>
  <w:style w:type="numbering" w:customStyle="1" w:styleId="NoList123">
    <w:name w:val="No List123"/>
    <w:next w:val="NoList"/>
    <w:uiPriority w:val="99"/>
    <w:semiHidden/>
    <w:unhideWhenUsed/>
    <w:rsid w:val="003A71DE"/>
  </w:style>
  <w:style w:type="numbering" w:customStyle="1" w:styleId="1131">
    <w:name w:val="リストなし113"/>
    <w:next w:val="NoList"/>
    <w:uiPriority w:val="99"/>
    <w:semiHidden/>
    <w:unhideWhenUsed/>
    <w:rsid w:val="003A71DE"/>
  </w:style>
  <w:style w:type="numbering" w:customStyle="1" w:styleId="1132">
    <w:name w:val="无列表113"/>
    <w:next w:val="NoList"/>
    <w:semiHidden/>
    <w:rsid w:val="003A71DE"/>
  </w:style>
  <w:style w:type="numbering" w:customStyle="1" w:styleId="NoList213">
    <w:name w:val="No List213"/>
    <w:next w:val="NoList"/>
    <w:semiHidden/>
    <w:rsid w:val="003A71DE"/>
  </w:style>
  <w:style w:type="numbering" w:customStyle="1" w:styleId="NoList313">
    <w:name w:val="No List313"/>
    <w:next w:val="NoList"/>
    <w:uiPriority w:val="99"/>
    <w:semiHidden/>
    <w:rsid w:val="003A71DE"/>
  </w:style>
  <w:style w:type="numbering" w:customStyle="1" w:styleId="NoList1113">
    <w:name w:val="No List1113"/>
    <w:next w:val="NoList"/>
    <w:uiPriority w:val="99"/>
    <w:semiHidden/>
    <w:unhideWhenUsed/>
    <w:rsid w:val="003A71DE"/>
  </w:style>
  <w:style w:type="numbering" w:customStyle="1" w:styleId="1230">
    <w:name w:val="無清單123"/>
    <w:next w:val="NoList"/>
    <w:uiPriority w:val="99"/>
    <w:semiHidden/>
    <w:unhideWhenUsed/>
    <w:rsid w:val="003A71DE"/>
  </w:style>
  <w:style w:type="numbering" w:customStyle="1" w:styleId="1113">
    <w:name w:val="無清單1113"/>
    <w:next w:val="NoList"/>
    <w:uiPriority w:val="99"/>
    <w:semiHidden/>
    <w:unhideWhenUsed/>
    <w:rsid w:val="003A71DE"/>
  </w:style>
  <w:style w:type="table" w:customStyle="1" w:styleId="311">
    <w:name w:val="网格型3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网格型4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
    <w:name w:val="表格格線1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
    <w:name w:val="No List1211"/>
    <w:next w:val="NoList"/>
    <w:uiPriority w:val="99"/>
    <w:semiHidden/>
    <w:unhideWhenUsed/>
    <w:rsid w:val="003A71DE"/>
  </w:style>
  <w:style w:type="numbering" w:customStyle="1" w:styleId="11111">
    <w:name w:val="リストなし1111"/>
    <w:next w:val="NoList"/>
    <w:uiPriority w:val="99"/>
    <w:semiHidden/>
    <w:unhideWhenUsed/>
    <w:rsid w:val="003A71DE"/>
  </w:style>
  <w:style w:type="numbering" w:customStyle="1" w:styleId="11112">
    <w:name w:val="无列表1111"/>
    <w:next w:val="NoList"/>
    <w:semiHidden/>
    <w:rsid w:val="003A71DE"/>
  </w:style>
  <w:style w:type="numbering" w:customStyle="1" w:styleId="NoList2111">
    <w:name w:val="No List2111"/>
    <w:next w:val="NoList"/>
    <w:semiHidden/>
    <w:rsid w:val="003A71DE"/>
  </w:style>
  <w:style w:type="numbering" w:customStyle="1" w:styleId="NoList3111">
    <w:name w:val="No List3111"/>
    <w:next w:val="NoList"/>
    <w:uiPriority w:val="99"/>
    <w:semiHidden/>
    <w:rsid w:val="003A71DE"/>
  </w:style>
  <w:style w:type="numbering" w:customStyle="1" w:styleId="NoList111111">
    <w:name w:val="No List111111"/>
    <w:next w:val="NoList"/>
    <w:uiPriority w:val="99"/>
    <w:semiHidden/>
    <w:unhideWhenUsed/>
    <w:rsid w:val="003A71DE"/>
  </w:style>
  <w:style w:type="numbering" w:customStyle="1" w:styleId="1211">
    <w:name w:val="無清單1211"/>
    <w:next w:val="NoList"/>
    <w:uiPriority w:val="99"/>
    <w:semiHidden/>
    <w:unhideWhenUsed/>
    <w:rsid w:val="003A71DE"/>
  </w:style>
  <w:style w:type="numbering" w:customStyle="1" w:styleId="111110">
    <w:name w:val="無清單11111"/>
    <w:next w:val="NoList"/>
    <w:uiPriority w:val="99"/>
    <w:semiHidden/>
    <w:unhideWhenUsed/>
    <w:rsid w:val="003A71DE"/>
  </w:style>
  <w:style w:type="numbering" w:customStyle="1" w:styleId="NoList131">
    <w:name w:val="No List131"/>
    <w:next w:val="NoList"/>
    <w:uiPriority w:val="99"/>
    <w:semiHidden/>
    <w:unhideWhenUsed/>
    <w:rsid w:val="003A71DE"/>
  </w:style>
  <w:style w:type="numbering" w:customStyle="1" w:styleId="1210">
    <w:name w:val="リストなし121"/>
    <w:next w:val="NoList"/>
    <w:uiPriority w:val="99"/>
    <w:semiHidden/>
    <w:unhideWhenUsed/>
    <w:rsid w:val="003A71DE"/>
  </w:style>
  <w:style w:type="table" w:customStyle="1" w:styleId="Tabellengitternetz121">
    <w:name w:val="Tabellengitternetz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
    <w:name w:val="Tabellengitternetz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
    <w:name w:val="Tabellengitternetz3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
    <w:name w:val="Tabellengitternetz4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
    <w:name w:val="Tabellengitternetz5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
    <w:name w:val="Tabellengitternetz6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
    <w:name w:val="Tabellengitternetz7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
    <w:name w:val="Tabellengitternetz8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
    <w:name w:val="Tabellengitternetz9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
    <w:name w:val="Table Grid32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
    <w:name w:val="无列表121"/>
    <w:next w:val="NoList"/>
    <w:semiHidden/>
    <w:rsid w:val="003A71DE"/>
  </w:style>
  <w:style w:type="table" w:customStyle="1" w:styleId="321">
    <w:name w:val="网格型3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网格型4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
    <w:name w:val="No List221"/>
    <w:next w:val="NoList"/>
    <w:semiHidden/>
    <w:rsid w:val="003A71DE"/>
  </w:style>
  <w:style w:type="numbering" w:customStyle="1" w:styleId="NoList321">
    <w:name w:val="No List321"/>
    <w:next w:val="NoList"/>
    <w:uiPriority w:val="99"/>
    <w:semiHidden/>
    <w:rsid w:val="003A71DE"/>
  </w:style>
  <w:style w:type="table" w:customStyle="1" w:styleId="TableGrid421">
    <w:name w:val="Table Grid42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
    <w:name w:val="No List1121"/>
    <w:next w:val="NoList"/>
    <w:uiPriority w:val="99"/>
    <w:semiHidden/>
    <w:unhideWhenUsed/>
    <w:rsid w:val="003A71DE"/>
  </w:style>
  <w:style w:type="numbering" w:customStyle="1" w:styleId="1310">
    <w:name w:val="無清單131"/>
    <w:next w:val="NoList"/>
    <w:uiPriority w:val="99"/>
    <w:semiHidden/>
    <w:unhideWhenUsed/>
    <w:rsid w:val="003A71DE"/>
  </w:style>
  <w:style w:type="numbering" w:customStyle="1" w:styleId="11210">
    <w:name w:val="無清單1121"/>
    <w:next w:val="NoList"/>
    <w:uiPriority w:val="99"/>
    <w:semiHidden/>
    <w:unhideWhenUsed/>
    <w:rsid w:val="003A71DE"/>
  </w:style>
  <w:style w:type="table" w:customStyle="1" w:styleId="1213">
    <w:name w:val="表格格線12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无列表211"/>
    <w:next w:val="NoList"/>
    <w:uiPriority w:val="99"/>
    <w:semiHidden/>
    <w:unhideWhenUsed/>
    <w:rsid w:val="003A71DE"/>
  </w:style>
  <w:style w:type="numbering" w:customStyle="1" w:styleId="NoList1221">
    <w:name w:val="No List1221"/>
    <w:next w:val="NoList"/>
    <w:uiPriority w:val="99"/>
    <w:semiHidden/>
    <w:unhideWhenUsed/>
    <w:rsid w:val="003A71DE"/>
  </w:style>
  <w:style w:type="numbering" w:customStyle="1" w:styleId="11211">
    <w:name w:val="リストなし1121"/>
    <w:next w:val="NoList"/>
    <w:uiPriority w:val="99"/>
    <w:semiHidden/>
    <w:unhideWhenUsed/>
    <w:rsid w:val="003A71DE"/>
  </w:style>
  <w:style w:type="numbering" w:customStyle="1" w:styleId="11212">
    <w:name w:val="无列表1121"/>
    <w:next w:val="NoList"/>
    <w:semiHidden/>
    <w:rsid w:val="003A71DE"/>
  </w:style>
  <w:style w:type="numbering" w:customStyle="1" w:styleId="NoList2121">
    <w:name w:val="No List2121"/>
    <w:next w:val="NoList"/>
    <w:semiHidden/>
    <w:rsid w:val="003A71DE"/>
  </w:style>
  <w:style w:type="numbering" w:customStyle="1" w:styleId="NoList3121">
    <w:name w:val="No List3121"/>
    <w:next w:val="NoList"/>
    <w:uiPriority w:val="99"/>
    <w:semiHidden/>
    <w:rsid w:val="003A71DE"/>
  </w:style>
  <w:style w:type="numbering" w:customStyle="1" w:styleId="NoList11121">
    <w:name w:val="No List11121"/>
    <w:next w:val="NoList"/>
    <w:uiPriority w:val="99"/>
    <w:semiHidden/>
    <w:unhideWhenUsed/>
    <w:rsid w:val="003A71DE"/>
  </w:style>
  <w:style w:type="numbering" w:customStyle="1" w:styleId="1221">
    <w:name w:val="無清單1221"/>
    <w:next w:val="NoList"/>
    <w:uiPriority w:val="99"/>
    <w:semiHidden/>
    <w:unhideWhenUsed/>
    <w:rsid w:val="003A71DE"/>
  </w:style>
  <w:style w:type="numbering" w:customStyle="1" w:styleId="11121">
    <w:name w:val="無清單11121"/>
    <w:next w:val="NoList"/>
    <w:uiPriority w:val="99"/>
    <w:semiHidden/>
    <w:unhideWhenUsed/>
    <w:rsid w:val="003A71DE"/>
  </w:style>
  <w:style w:type="paragraph" w:styleId="IntenseQuote">
    <w:name w:val="Intense Quote"/>
    <w:basedOn w:val="Normal"/>
    <w:next w:val="Normal"/>
    <w:link w:val="IntenseQuoteChar"/>
    <w:uiPriority w:val="30"/>
    <w:qFormat/>
    <w:rsid w:val="003A71DE"/>
    <w:pPr>
      <w:pBdr>
        <w:top w:val="single" w:sz="4" w:space="10" w:color="4472C4" w:themeColor="accent1"/>
        <w:bottom w:val="single" w:sz="4" w:space="10" w:color="4472C4" w:themeColor="accent1"/>
      </w:pBdr>
      <w:spacing w:before="360" w:after="360"/>
      <w:ind w:left="864" w:right="864"/>
      <w:jc w:val="center"/>
    </w:pPr>
    <w:rPr>
      <w:i/>
      <w:iCs/>
      <w:color w:val="4472C4" w:themeColor="accent1"/>
      <w:lang w:eastAsia="en-US"/>
    </w:rPr>
  </w:style>
  <w:style w:type="character" w:customStyle="1" w:styleId="IntenseQuoteChar">
    <w:name w:val="Intense Quote Char"/>
    <w:basedOn w:val="DefaultParagraphFont"/>
    <w:link w:val="IntenseQuote"/>
    <w:uiPriority w:val="30"/>
    <w:rsid w:val="003A71DE"/>
    <w:rPr>
      <w:rFonts w:ascii="Times New Roman" w:eastAsia="Times New Roman" w:hAnsi="Times New Roman" w:cs="Times New Roman"/>
      <w:i/>
      <w:iCs/>
      <w:color w:val="4472C4" w:themeColor="accent1"/>
      <w:sz w:val="20"/>
      <w:szCs w:val="20"/>
      <w:lang w:val="en-GB"/>
    </w:rPr>
  </w:style>
  <w:style w:type="paragraph" w:customStyle="1" w:styleId="1c">
    <w:name w:val="副标题1"/>
    <w:basedOn w:val="Normal"/>
    <w:next w:val="Normal"/>
    <w:uiPriority w:val="11"/>
    <w:qFormat/>
    <w:rsid w:val="003A71DE"/>
    <w:pPr>
      <w:spacing w:before="240" w:after="60" w:line="312" w:lineRule="auto"/>
      <w:jc w:val="center"/>
      <w:outlineLvl w:val="1"/>
    </w:pPr>
    <w:rPr>
      <w:rFonts w:ascii="Calibri Light" w:hAnsi="Calibri Light"/>
      <w:b/>
      <w:bCs/>
      <w:kern w:val="28"/>
      <w:sz w:val="32"/>
      <w:szCs w:val="32"/>
      <w:lang w:eastAsia="ko-KR"/>
    </w:rPr>
  </w:style>
  <w:style w:type="character" w:customStyle="1" w:styleId="Char11">
    <w:name w:val="副标题 Char1"/>
    <w:basedOn w:val="DefaultParagraphFont"/>
    <w:rsid w:val="003A71DE"/>
    <w:rPr>
      <w:rFonts w:asciiTheme="majorHAnsi" w:eastAsia="SimSun" w:hAnsiTheme="majorHAnsi" w:cstheme="majorBidi"/>
      <w:b/>
      <w:bCs/>
      <w:kern w:val="28"/>
      <w:sz w:val="32"/>
      <w:szCs w:val="32"/>
      <w:lang w:val="en-GB" w:eastAsia="en-US"/>
    </w:rPr>
  </w:style>
  <w:style w:type="paragraph" w:customStyle="1" w:styleId="1d">
    <w:name w:val="明显引用1"/>
    <w:basedOn w:val="Normal"/>
    <w:next w:val="Normal"/>
    <w:uiPriority w:val="30"/>
    <w:qFormat/>
    <w:rsid w:val="003A71DE"/>
    <w:pPr>
      <w:pBdr>
        <w:top w:val="single" w:sz="4" w:space="10" w:color="5B9BD5"/>
        <w:bottom w:val="single" w:sz="4" w:space="10" w:color="5B9BD5"/>
      </w:pBdr>
      <w:spacing w:before="360" w:after="360"/>
      <w:ind w:left="864" w:right="864"/>
      <w:jc w:val="center"/>
    </w:pPr>
    <w:rPr>
      <w:i/>
      <w:iCs/>
      <w:color w:val="5B9BD5"/>
      <w:lang w:eastAsia="en-US"/>
    </w:rPr>
  </w:style>
  <w:style w:type="character" w:customStyle="1" w:styleId="Char12">
    <w:name w:val="明显引用 Char1"/>
    <w:basedOn w:val="DefaultParagraphFont"/>
    <w:uiPriority w:val="30"/>
    <w:rsid w:val="003A71DE"/>
    <w:rPr>
      <w:rFonts w:ascii="Times New Roman" w:hAnsi="Times New Roman"/>
      <w:i/>
      <w:iCs/>
      <w:color w:val="4472C4" w:themeColor="accent1"/>
      <w:lang w:val="en-GB" w:eastAsia="en-US"/>
    </w:rPr>
  </w:style>
  <w:style w:type="numbering" w:customStyle="1" w:styleId="1311">
    <w:name w:val="无列表131"/>
    <w:next w:val="NoList"/>
    <w:semiHidden/>
    <w:rsid w:val="003A71DE"/>
  </w:style>
  <w:style w:type="numbering" w:customStyle="1" w:styleId="NoList1131">
    <w:name w:val="No List1131"/>
    <w:next w:val="NoList"/>
    <w:uiPriority w:val="99"/>
    <w:semiHidden/>
    <w:unhideWhenUsed/>
    <w:rsid w:val="003A71DE"/>
  </w:style>
  <w:style w:type="numbering" w:customStyle="1" w:styleId="221">
    <w:name w:val="无列表221"/>
    <w:next w:val="NoList"/>
    <w:uiPriority w:val="99"/>
    <w:semiHidden/>
    <w:unhideWhenUsed/>
    <w:rsid w:val="003A71DE"/>
  </w:style>
  <w:style w:type="numbering" w:customStyle="1" w:styleId="NoList12111">
    <w:name w:val="No List12111"/>
    <w:next w:val="NoList"/>
    <w:uiPriority w:val="99"/>
    <w:semiHidden/>
    <w:unhideWhenUsed/>
    <w:rsid w:val="003A71DE"/>
  </w:style>
  <w:style w:type="numbering" w:customStyle="1" w:styleId="111111">
    <w:name w:val="リストなし11111"/>
    <w:next w:val="NoList"/>
    <w:uiPriority w:val="99"/>
    <w:semiHidden/>
    <w:unhideWhenUsed/>
    <w:rsid w:val="003A71DE"/>
  </w:style>
  <w:style w:type="numbering" w:customStyle="1" w:styleId="111112">
    <w:name w:val="无列表11111"/>
    <w:next w:val="NoList"/>
    <w:semiHidden/>
    <w:rsid w:val="003A71DE"/>
  </w:style>
  <w:style w:type="numbering" w:customStyle="1" w:styleId="NoList21111">
    <w:name w:val="No List21111"/>
    <w:next w:val="NoList"/>
    <w:semiHidden/>
    <w:rsid w:val="003A71DE"/>
  </w:style>
  <w:style w:type="numbering" w:customStyle="1" w:styleId="NoList31111">
    <w:name w:val="No List31111"/>
    <w:next w:val="NoList"/>
    <w:uiPriority w:val="99"/>
    <w:semiHidden/>
    <w:rsid w:val="003A71DE"/>
  </w:style>
  <w:style w:type="numbering" w:customStyle="1" w:styleId="NoList1111111">
    <w:name w:val="No List1111111"/>
    <w:next w:val="NoList"/>
    <w:uiPriority w:val="99"/>
    <w:semiHidden/>
    <w:unhideWhenUsed/>
    <w:rsid w:val="003A71DE"/>
  </w:style>
  <w:style w:type="numbering" w:customStyle="1" w:styleId="12111">
    <w:name w:val="無清單12111"/>
    <w:next w:val="NoList"/>
    <w:uiPriority w:val="99"/>
    <w:semiHidden/>
    <w:unhideWhenUsed/>
    <w:rsid w:val="003A71DE"/>
  </w:style>
  <w:style w:type="numbering" w:customStyle="1" w:styleId="1111110">
    <w:name w:val="無清單111111"/>
    <w:next w:val="NoList"/>
    <w:uiPriority w:val="99"/>
    <w:semiHidden/>
    <w:unhideWhenUsed/>
    <w:rsid w:val="003A71DE"/>
  </w:style>
  <w:style w:type="numbering" w:customStyle="1" w:styleId="NoList1311">
    <w:name w:val="No List1311"/>
    <w:next w:val="NoList"/>
    <w:uiPriority w:val="99"/>
    <w:semiHidden/>
    <w:unhideWhenUsed/>
    <w:rsid w:val="003A71DE"/>
  </w:style>
  <w:style w:type="numbering" w:customStyle="1" w:styleId="12110">
    <w:name w:val="リストなし1211"/>
    <w:next w:val="NoList"/>
    <w:uiPriority w:val="99"/>
    <w:semiHidden/>
    <w:unhideWhenUsed/>
    <w:rsid w:val="003A71DE"/>
  </w:style>
  <w:style w:type="numbering" w:customStyle="1" w:styleId="12112">
    <w:name w:val="无列表1211"/>
    <w:next w:val="NoList"/>
    <w:semiHidden/>
    <w:rsid w:val="003A71DE"/>
  </w:style>
  <w:style w:type="numbering" w:customStyle="1" w:styleId="NoList2211">
    <w:name w:val="No List2211"/>
    <w:next w:val="NoList"/>
    <w:semiHidden/>
    <w:rsid w:val="003A71DE"/>
  </w:style>
  <w:style w:type="numbering" w:customStyle="1" w:styleId="NoList3211">
    <w:name w:val="No List3211"/>
    <w:next w:val="NoList"/>
    <w:uiPriority w:val="99"/>
    <w:semiHidden/>
    <w:rsid w:val="003A71DE"/>
  </w:style>
  <w:style w:type="numbering" w:customStyle="1" w:styleId="NoList11211">
    <w:name w:val="No List11211"/>
    <w:next w:val="NoList"/>
    <w:uiPriority w:val="99"/>
    <w:semiHidden/>
    <w:unhideWhenUsed/>
    <w:rsid w:val="003A71DE"/>
  </w:style>
  <w:style w:type="numbering" w:customStyle="1" w:styleId="13110">
    <w:name w:val="無清單1311"/>
    <w:next w:val="NoList"/>
    <w:uiPriority w:val="99"/>
    <w:semiHidden/>
    <w:unhideWhenUsed/>
    <w:rsid w:val="003A71DE"/>
  </w:style>
  <w:style w:type="numbering" w:customStyle="1" w:styleId="112110">
    <w:name w:val="無清單11211"/>
    <w:next w:val="NoList"/>
    <w:uiPriority w:val="99"/>
    <w:semiHidden/>
    <w:unhideWhenUsed/>
    <w:rsid w:val="003A71DE"/>
  </w:style>
  <w:style w:type="numbering" w:customStyle="1" w:styleId="2111">
    <w:name w:val="无列表2111"/>
    <w:next w:val="NoList"/>
    <w:uiPriority w:val="99"/>
    <w:semiHidden/>
    <w:unhideWhenUsed/>
    <w:rsid w:val="003A71DE"/>
  </w:style>
  <w:style w:type="numbering" w:customStyle="1" w:styleId="NoList12211">
    <w:name w:val="No List12211"/>
    <w:next w:val="NoList"/>
    <w:uiPriority w:val="99"/>
    <w:semiHidden/>
    <w:unhideWhenUsed/>
    <w:rsid w:val="003A71DE"/>
  </w:style>
  <w:style w:type="numbering" w:customStyle="1" w:styleId="112111">
    <w:name w:val="リストなし11211"/>
    <w:next w:val="NoList"/>
    <w:uiPriority w:val="99"/>
    <w:semiHidden/>
    <w:unhideWhenUsed/>
    <w:rsid w:val="003A71DE"/>
  </w:style>
  <w:style w:type="numbering" w:customStyle="1" w:styleId="112112">
    <w:name w:val="无列表11211"/>
    <w:next w:val="NoList"/>
    <w:semiHidden/>
    <w:rsid w:val="003A71DE"/>
  </w:style>
  <w:style w:type="numbering" w:customStyle="1" w:styleId="NoList21211">
    <w:name w:val="No List21211"/>
    <w:next w:val="NoList"/>
    <w:semiHidden/>
    <w:rsid w:val="003A71DE"/>
  </w:style>
  <w:style w:type="numbering" w:customStyle="1" w:styleId="NoList31211">
    <w:name w:val="No List31211"/>
    <w:next w:val="NoList"/>
    <w:uiPriority w:val="99"/>
    <w:semiHidden/>
    <w:rsid w:val="003A71DE"/>
  </w:style>
  <w:style w:type="numbering" w:customStyle="1" w:styleId="NoList111211">
    <w:name w:val="No List111211"/>
    <w:next w:val="NoList"/>
    <w:uiPriority w:val="99"/>
    <w:semiHidden/>
    <w:unhideWhenUsed/>
    <w:rsid w:val="003A71DE"/>
  </w:style>
  <w:style w:type="numbering" w:customStyle="1" w:styleId="12211">
    <w:name w:val="無清單12211"/>
    <w:next w:val="NoList"/>
    <w:uiPriority w:val="99"/>
    <w:semiHidden/>
    <w:unhideWhenUsed/>
    <w:rsid w:val="003A71DE"/>
  </w:style>
  <w:style w:type="numbering" w:customStyle="1" w:styleId="111211">
    <w:name w:val="無清單111211"/>
    <w:next w:val="NoList"/>
    <w:uiPriority w:val="99"/>
    <w:semiHidden/>
    <w:unhideWhenUsed/>
    <w:rsid w:val="003A71DE"/>
  </w:style>
  <w:style w:type="paragraph" w:customStyle="1" w:styleId="IntenseQuote1">
    <w:name w:val="Intense Quote1"/>
    <w:basedOn w:val="Normal"/>
    <w:next w:val="Normal"/>
    <w:uiPriority w:val="30"/>
    <w:qFormat/>
    <w:rsid w:val="003A71DE"/>
    <w:pPr>
      <w:pBdr>
        <w:top w:val="single" w:sz="4" w:space="10" w:color="5B9BD5"/>
        <w:bottom w:val="single" w:sz="4" w:space="10" w:color="5B9BD5"/>
      </w:pBdr>
      <w:spacing w:before="360" w:after="360"/>
      <w:ind w:left="864" w:right="864"/>
      <w:jc w:val="center"/>
    </w:pPr>
    <w:rPr>
      <w:i/>
      <w:iCs/>
      <w:color w:val="5B9BD5"/>
      <w:lang w:eastAsia="en-US"/>
    </w:rPr>
  </w:style>
  <w:style w:type="character" w:customStyle="1" w:styleId="SubtitleChar2">
    <w:name w:val="Subtitle Char2"/>
    <w:basedOn w:val="DefaultParagraphFont"/>
    <w:rsid w:val="003A71DE"/>
    <w:rPr>
      <w:rFonts w:asciiTheme="minorHAnsi" w:eastAsiaTheme="minorEastAsia" w:hAnsiTheme="minorHAnsi" w:cstheme="minorBidi"/>
      <w:color w:val="5A5A5A" w:themeColor="text1" w:themeTint="A5"/>
      <w:spacing w:val="15"/>
      <w:sz w:val="22"/>
      <w:szCs w:val="22"/>
      <w:lang w:val="en-GB" w:eastAsia="en-US"/>
    </w:rPr>
  </w:style>
  <w:style w:type="character" w:customStyle="1" w:styleId="IntenseQuoteChar1">
    <w:name w:val="Intense Quote Char1"/>
    <w:basedOn w:val="DefaultParagraphFont"/>
    <w:uiPriority w:val="30"/>
    <w:rsid w:val="003A71DE"/>
    <w:rPr>
      <w:rFonts w:ascii="Times New Roman" w:hAnsi="Times New Roman"/>
      <w:i/>
      <w:iCs/>
      <w:color w:val="4472C4" w:themeColor="accent1"/>
      <w:lang w:val="en-GB" w:eastAsia="en-US"/>
    </w:rPr>
  </w:style>
  <w:style w:type="numbering" w:customStyle="1" w:styleId="NoList511">
    <w:name w:val="No List511"/>
    <w:next w:val="NoList"/>
    <w:uiPriority w:val="99"/>
    <w:semiHidden/>
    <w:unhideWhenUsed/>
    <w:rsid w:val="003A71DE"/>
  </w:style>
  <w:style w:type="numbering" w:customStyle="1" w:styleId="NoList141">
    <w:name w:val="No List141"/>
    <w:next w:val="NoList"/>
    <w:uiPriority w:val="99"/>
    <w:semiHidden/>
    <w:unhideWhenUsed/>
    <w:rsid w:val="003A71DE"/>
  </w:style>
  <w:style w:type="numbering" w:customStyle="1" w:styleId="1312">
    <w:name w:val="リストなし131"/>
    <w:next w:val="NoList"/>
    <w:uiPriority w:val="99"/>
    <w:semiHidden/>
    <w:unhideWhenUsed/>
    <w:rsid w:val="003A71DE"/>
  </w:style>
  <w:style w:type="numbering" w:customStyle="1" w:styleId="NoList231">
    <w:name w:val="No List231"/>
    <w:next w:val="NoList"/>
    <w:semiHidden/>
    <w:rsid w:val="003A71DE"/>
  </w:style>
  <w:style w:type="numbering" w:customStyle="1" w:styleId="NoList331">
    <w:name w:val="No List331"/>
    <w:next w:val="NoList"/>
    <w:uiPriority w:val="99"/>
    <w:semiHidden/>
    <w:rsid w:val="003A71DE"/>
  </w:style>
  <w:style w:type="numbering" w:customStyle="1" w:styleId="NoList114">
    <w:name w:val="No List114"/>
    <w:next w:val="NoList"/>
    <w:uiPriority w:val="99"/>
    <w:semiHidden/>
    <w:unhideWhenUsed/>
    <w:rsid w:val="003A71DE"/>
  </w:style>
  <w:style w:type="numbering" w:customStyle="1" w:styleId="141">
    <w:name w:val="無清單141"/>
    <w:next w:val="NoList"/>
    <w:uiPriority w:val="99"/>
    <w:semiHidden/>
    <w:unhideWhenUsed/>
    <w:rsid w:val="003A71DE"/>
  </w:style>
  <w:style w:type="numbering" w:customStyle="1" w:styleId="11310">
    <w:name w:val="無清單1131"/>
    <w:next w:val="NoList"/>
    <w:uiPriority w:val="99"/>
    <w:semiHidden/>
    <w:unhideWhenUsed/>
    <w:rsid w:val="003A71DE"/>
  </w:style>
  <w:style w:type="numbering" w:customStyle="1" w:styleId="NoList1231">
    <w:name w:val="No List1231"/>
    <w:next w:val="NoList"/>
    <w:uiPriority w:val="99"/>
    <w:semiHidden/>
    <w:unhideWhenUsed/>
    <w:rsid w:val="003A71DE"/>
  </w:style>
  <w:style w:type="numbering" w:customStyle="1" w:styleId="11311">
    <w:name w:val="リストなし1131"/>
    <w:next w:val="NoList"/>
    <w:uiPriority w:val="99"/>
    <w:semiHidden/>
    <w:unhideWhenUsed/>
    <w:rsid w:val="003A71DE"/>
  </w:style>
  <w:style w:type="numbering" w:customStyle="1" w:styleId="11312">
    <w:name w:val="无列表1131"/>
    <w:next w:val="NoList"/>
    <w:semiHidden/>
    <w:rsid w:val="003A71DE"/>
  </w:style>
  <w:style w:type="numbering" w:customStyle="1" w:styleId="NoList2131">
    <w:name w:val="No List2131"/>
    <w:next w:val="NoList"/>
    <w:semiHidden/>
    <w:rsid w:val="003A71DE"/>
  </w:style>
  <w:style w:type="numbering" w:customStyle="1" w:styleId="NoList3131">
    <w:name w:val="No List3131"/>
    <w:next w:val="NoList"/>
    <w:uiPriority w:val="99"/>
    <w:semiHidden/>
    <w:rsid w:val="003A71DE"/>
  </w:style>
  <w:style w:type="numbering" w:customStyle="1" w:styleId="NoList11131">
    <w:name w:val="No List11131"/>
    <w:next w:val="NoList"/>
    <w:uiPriority w:val="99"/>
    <w:semiHidden/>
    <w:unhideWhenUsed/>
    <w:rsid w:val="003A71DE"/>
  </w:style>
  <w:style w:type="numbering" w:customStyle="1" w:styleId="1231">
    <w:name w:val="無清單1231"/>
    <w:next w:val="NoList"/>
    <w:uiPriority w:val="99"/>
    <w:semiHidden/>
    <w:unhideWhenUsed/>
    <w:rsid w:val="003A71DE"/>
  </w:style>
  <w:style w:type="numbering" w:customStyle="1" w:styleId="11131">
    <w:name w:val="無清單11131"/>
    <w:next w:val="NoList"/>
    <w:uiPriority w:val="99"/>
    <w:semiHidden/>
    <w:unhideWhenUsed/>
    <w:rsid w:val="003A71DE"/>
  </w:style>
  <w:style w:type="numbering" w:customStyle="1" w:styleId="NoList1212">
    <w:name w:val="No List1212"/>
    <w:next w:val="NoList"/>
    <w:uiPriority w:val="99"/>
    <w:semiHidden/>
    <w:unhideWhenUsed/>
    <w:rsid w:val="003A71DE"/>
  </w:style>
  <w:style w:type="numbering" w:customStyle="1" w:styleId="11122">
    <w:name w:val="リストなし1112"/>
    <w:next w:val="NoList"/>
    <w:uiPriority w:val="99"/>
    <w:semiHidden/>
    <w:unhideWhenUsed/>
    <w:rsid w:val="003A71DE"/>
  </w:style>
  <w:style w:type="numbering" w:customStyle="1" w:styleId="11123">
    <w:name w:val="无列表1112"/>
    <w:next w:val="NoList"/>
    <w:semiHidden/>
    <w:rsid w:val="003A71DE"/>
  </w:style>
  <w:style w:type="numbering" w:customStyle="1" w:styleId="NoList2112">
    <w:name w:val="No List2112"/>
    <w:next w:val="NoList"/>
    <w:semiHidden/>
    <w:rsid w:val="003A71DE"/>
  </w:style>
  <w:style w:type="numbering" w:customStyle="1" w:styleId="NoList3112">
    <w:name w:val="No List3112"/>
    <w:next w:val="NoList"/>
    <w:uiPriority w:val="99"/>
    <w:semiHidden/>
    <w:rsid w:val="003A71DE"/>
  </w:style>
  <w:style w:type="numbering" w:customStyle="1" w:styleId="NoList11112">
    <w:name w:val="No List11112"/>
    <w:next w:val="NoList"/>
    <w:uiPriority w:val="99"/>
    <w:semiHidden/>
    <w:unhideWhenUsed/>
    <w:rsid w:val="003A71DE"/>
  </w:style>
  <w:style w:type="numbering" w:customStyle="1" w:styleId="12120">
    <w:name w:val="無清單1212"/>
    <w:next w:val="NoList"/>
    <w:uiPriority w:val="99"/>
    <w:semiHidden/>
    <w:unhideWhenUsed/>
    <w:rsid w:val="003A71DE"/>
  </w:style>
  <w:style w:type="numbering" w:customStyle="1" w:styleId="111120">
    <w:name w:val="無清單11112"/>
    <w:next w:val="NoList"/>
    <w:uiPriority w:val="99"/>
    <w:semiHidden/>
    <w:unhideWhenUsed/>
    <w:rsid w:val="003A71DE"/>
  </w:style>
  <w:style w:type="numbering" w:customStyle="1" w:styleId="NoList132">
    <w:name w:val="No List132"/>
    <w:next w:val="NoList"/>
    <w:uiPriority w:val="99"/>
    <w:semiHidden/>
    <w:unhideWhenUsed/>
    <w:rsid w:val="003A71DE"/>
  </w:style>
  <w:style w:type="numbering" w:customStyle="1" w:styleId="1222">
    <w:name w:val="リストなし122"/>
    <w:next w:val="NoList"/>
    <w:uiPriority w:val="99"/>
    <w:semiHidden/>
    <w:unhideWhenUsed/>
    <w:rsid w:val="003A71DE"/>
  </w:style>
  <w:style w:type="numbering" w:customStyle="1" w:styleId="1223">
    <w:name w:val="无列表122"/>
    <w:next w:val="NoList"/>
    <w:semiHidden/>
    <w:rsid w:val="003A71DE"/>
  </w:style>
  <w:style w:type="numbering" w:customStyle="1" w:styleId="NoList222">
    <w:name w:val="No List222"/>
    <w:next w:val="NoList"/>
    <w:semiHidden/>
    <w:rsid w:val="003A71DE"/>
  </w:style>
  <w:style w:type="numbering" w:customStyle="1" w:styleId="NoList322">
    <w:name w:val="No List322"/>
    <w:next w:val="NoList"/>
    <w:uiPriority w:val="99"/>
    <w:semiHidden/>
    <w:rsid w:val="003A71DE"/>
  </w:style>
  <w:style w:type="numbering" w:customStyle="1" w:styleId="NoList1122">
    <w:name w:val="No List1122"/>
    <w:next w:val="NoList"/>
    <w:uiPriority w:val="99"/>
    <w:semiHidden/>
    <w:unhideWhenUsed/>
    <w:rsid w:val="003A71DE"/>
  </w:style>
  <w:style w:type="numbering" w:customStyle="1" w:styleId="1320">
    <w:name w:val="無清單132"/>
    <w:next w:val="NoList"/>
    <w:uiPriority w:val="99"/>
    <w:semiHidden/>
    <w:unhideWhenUsed/>
    <w:rsid w:val="003A71DE"/>
  </w:style>
  <w:style w:type="numbering" w:customStyle="1" w:styleId="11220">
    <w:name w:val="無清單1122"/>
    <w:next w:val="NoList"/>
    <w:uiPriority w:val="99"/>
    <w:semiHidden/>
    <w:unhideWhenUsed/>
    <w:rsid w:val="003A71DE"/>
  </w:style>
  <w:style w:type="numbering" w:customStyle="1" w:styleId="212">
    <w:name w:val="无列表212"/>
    <w:next w:val="NoList"/>
    <w:uiPriority w:val="99"/>
    <w:semiHidden/>
    <w:unhideWhenUsed/>
    <w:rsid w:val="003A71DE"/>
  </w:style>
  <w:style w:type="numbering" w:customStyle="1" w:styleId="NoList11122">
    <w:name w:val="No List11122"/>
    <w:next w:val="NoList"/>
    <w:uiPriority w:val="99"/>
    <w:semiHidden/>
    <w:unhideWhenUsed/>
    <w:rsid w:val="003A71DE"/>
  </w:style>
  <w:style w:type="numbering" w:customStyle="1" w:styleId="NoList15">
    <w:name w:val="No List15"/>
    <w:next w:val="NoList"/>
    <w:uiPriority w:val="99"/>
    <w:semiHidden/>
    <w:unhideWhenUsed/>
    <w:rsid w:val="003A71DE"/>
  </w:style>
  <w:style w:type="numbering" w:customStyle="1" w:styleId="142">
    <w:name w:val="リストなし14"/>
    <w:next w:val="NoList"/>
    <w:uiPriority w:val="99"/>
    <w:semiHidden/>
    <w:unhideWhenUsed/>
    <w:rsid w:val="003A71DE"/>
  </w:style>
  <w:style w:type="numbering" w:customStyle="1" w:styleId="143">
    <w:name w:val="无列表14"/>
    <w:next w:val="NoList"/>
    <w:semiHidden/>
    <w:rsid w:val="003A71DE"/>
  </w:style>
  <w:style w:type="table" w:customStyle="1" w:styleId="34">
    <w:name w:val="网格型3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网格型4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
    <w:name w:val="No List24"/>
    <w:next w:val="NoList"/>
    <w:semiHidden/>
    <w:rsid w:val="003A71DE"/>
  </w:style>
  <w:style w:type="numbering" w:customStyle="1" w:styleId="NoList34">
    <w:name w:val="No List34"/>
    <w:next w:val="NoList"/>
    <w:uiPriority w:val="99"/>
    <w:semiHidden/>
    <w:rsid w:val="003A71DE"/>
  </w:style>
  <w:style w:type="numbering" w:customStyle="1" w:styleId="NoList115">
    <w:name w:val="No List115"/>
    <w:next w:val="NoList"/>
    <w:uiPriority w:val="99"/>
    <w:semiHidden/>
    <w:unhideWhenUsed/>
    <w:rsid w:val="003A71DE"/>
  </w:style>
  <w:style w:type="numbering" w:customStyle="1" w:styleId="150">
    <w:name w:val="無清單15"/>
    <w:next w:val="NoList"/>
    <w:uiPriority w:val="99"/>
    <w:semiHidden/>
    <w:unhideWhenUsed/>
    <w:rsid w:val="003A71DE"/>
  </w:style>
  <w:style w:type="numbering" w:customStyle="1" w:styleId="114">
    <w:name w:val="無清單114"/>
    <w:next w:val="NoList"/>
    <w:uiPriority w:val="99"/>
    <w:semiHidden/>
    <w:unhideWhenUsed/>
    <w:rsid w:val="003A71DE"/>
  </w:style>
  <w:style w:type="table" w:customStyle="1" w:styleId="144">
    <w:name w:val="表格格線14"/>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
    <w:name w:val="No List124"/>
    <w:next w:val="NoList"/>
    <w:uiPriority w:val="99"/>
    <w:semiHidden/>
    <w:unhideWhenUsed/>
    <w:rsid w:val="003A71DE"/>
  </w:style>
  <w:style w:type="numbering" w:customStyle="1" w:styleId="1140">
    <w:name w:val="リストなし114"/>
    <w:next w:val="NoList"/>
    <w:uiPriority w:val="99"/>
    <w:semiHidden/>
    <w:unhideWhenUsed/>
    <w:rsid w:val="003A71DE"/>
  </w:style>
  <w:style w:type="numbering" w:customStyle="1" w:styleId="1141">
    <w:name w:val="无列表114"/>
    <w:next w:val="NoList"/>
    <w:semiHidden/>
    <w:rsid w:val="003A71DE"/>
  </w:style>
  <w:style w:type="table" w:customStyle="1" w:styleId="312">
    <w:name w:val="网格型3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
    <w:name w:val="网格型4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4">
    <w:name w:val="No List214"/>
    <w:next w:val="NoList"/>
    <w:semiHidden/>
    <w:rsid w:val="003A71DE"/>
  </w:style>
  <w:style w:type="numbering" w:customStyle="1" w:styleId="NoList314">
    <w:name w:val="No List314"/>
    <w:next w:val="NoList"/>
    <w:uiPriority w:val="99"/>
    <w:semiHidden/>
    <w:rsid w:val="003A71DE"/>
  </w:style>
  <w:style w:type="numbering" w:customStyle="1" w:styleId="NoList1114">
    <w:name w:val="No List1114"/>
    <w:next w:val="NoList"/>
    <w:uiPriority w:val="99"/>
    <w:semiHidden/>
    <w:unhideWhenUsed/>
    <w:rsid w:val="003A71DE"/>
  </w:style>
  <w:style w:type="numbering" w:customStyle="1" w:styleId="1240">
    <w:name w:val="無清單124"/>
    <w:next w:val="NoList"/>
    <w:uiPriority w:val="99"/>
    <w:semiHidden/>
    <w:unhideWhenUsed/>
    <w:rsid w:val="003A71DE"/>
  </w:style>
  <w:style w:type="numbering" w:customStyle="1" w:styleId="11140">
    <w:name w:val="無清單1114"/>
    <w:next w:val="NoList"/>
    <w:uiPriority w:val="99"/>
    <w:semiHidden/>
    <w:unhideWhenUsed/>
    <w:rsid w:val="003A71DE"/>
  </w:style>
  <w:style w:type="table" w:customStyle="1" w:styleId="1123">
    <w:name w:val="表格格線11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无列表23"/>
    <w:next w:val="NoList"/>
    <w:uiPriority w:val="99"/>
    <w:semiHidden/>
    <w:unhideWhenUsed/>
    <w:rsid w:val="003A71DE"/>
  </w:style>
  <w:style w:type="numbering" w:customStyle="1" w:styleId="NoList1213">
    <w:name w:val="No List1213"/>
    <w:next w:val="NoList"/>
    <w:uiPriority w:val="99"/>
    <w:semiHidden/>
    <w:unhideWhenUsed/>
    <w:rsid w:val="003A71DE"/>
  </w:style>
  <w:style w:type="numbering" w:customStyle="1" w:styleId="11130">
    <w:name w:val="リストなし1113"/>
    <w:next w:val="NoList"/>
    <w:uiPriority w:val="99"/>
    <w:semiHidden/>
    <w:unhideWhenUsed/>
    <w:rsid w:val="003A71DE"/>
  </w:style>
  <w:style w:type="numbering" w:customStyle="1" w:styleId="11132">
    <w:name w:val="无列表1113"/>
    <w:next w:val="NoList"/>
    <w:semiHidden/>
    <w:rsid w:val="003A71DE"/>
  </w:style>
  <w:style w:type="numbering" w:customStyle="1" w:styleId="NoList2113">
    <w:name w:val="No List2113"/>
    <w:next w:val="NoList"/>
    <w:semiHidden/>
    <w:rsid w:val="003A71DE"/>
  </w:style>
  <w:style w:type="numbering" w:customStyle="1" w:styleId="NoList3113">
    <w:name w:val="No List3113"/>
    <w:next w:val="NoList"/>
    <w:uiPriority w:val="99"/>
    <w:semiHidden/>
    <w:rsid w:val="003A71DE"/>
  </w:style>
  <w:style w:type="numbering" w:customStyle="1" w:styleId="NoList11113">
    <w:name w:val="No List11113"/>
    <w:next w:val="NoList"/>
    <w:uiPriority w:val="99"/>
    <w:semiHidden/>
    <w:unhideWhenUsed/>
    <w:rsid w:val="003A71DE"/>
  </w:style>
  <w:style w:type="numbering" w:customStyle="1" w:styleId="12130">
    <w:name w:val="無清單1213"/>
    <w:next w:val="NoList"/>
    <w:uiPriority w:val="99"/>
    <w:semiHidden/>
    <w:unhideWhenUsed/>
    <w:rsid w:val="003A71DE"/>
  </w:style>
  <w:style w:type="numbering" w:customStyle="1" w:styleId="11113">
    <w:name w:val="無清單11113"/>
    <w:next w:val="NoList"/>
    <w:uiPriority w:val="99"/>
    <w:semiHidden/>
    <w:unhideWhenUsed/>
    <w:rsid w:val="003A71DE"/>
  </w:style>
  <w:style w:type="numbering" w:customStyle="1" w:styleId="NoList133">
    <w:name w:val="No List133"/>
    <w:next w:val="NoList"/>
    <w:uiPriority w:val="99"/>
    <w:semiHidden/>
    <w:unhideWhenUsed/>
    <w:rsid w:val="003A71DE"/>
  </w:style>
  <w:style w:type="numbering" w:customStyle="1" w:styleId="1232">
    <w:name w:val="リストなし123"/>
    <w:next w:val="NoList"/>
    <w:uiPriority w:val="99"/>
    <w:semiHidden/>
    <w:unhideWhenUsed/>
    <w:rsid w:val="003A71DE"/>
  </w:style>
  <w:style w:type="table" w:customStyle="1" w:styleId="Tabellengitternetz122">
    <w:name w:val="Tabellengitternetz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
    <w:name w:val="Tabellengitternetz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
    <w:name w:val="Tabellengitternetz3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
    <w:name w:val="Tabellengitternetz4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
    <w:name w:val="Tabellengitternetz5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
    <w:name w:val="Tabellengitternetz6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
    <w:name w:val="Tabellengitternetz7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
    <w:name w:val="Tabellengitternetz8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
    <w:name w:val="Tabellengitternetz9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
    <w:name w:val="Table Grid32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3">
    <w:name w:val="无列表123"/>
    <w:next w:val="NoList"/>
    <w:semiHidden/>
    <w:rsid w:val="003A71DE"/>
  </w:style>
  <w:style w:type="table" w:customStyle="1" w:styleId="322">
    <w:name w:val="网格型3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
    <w:name w:val="网格型4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3">
    <w:name w:val="No List223"/>
    <w:next w:val="NoList"/>
    <w:semiHidden/>
    <w:rsid w:val="003A71DE"/>
  </w:style>
  <w:style w:type="numbering" w:customStyle="1" w:styleId="NoList323">
    <w:name w:val="No List323"/>
    <w:next w:val="NoList"/>
    <w:uiPriority w:val="99"/>
    <w:semiHidden/>
    <w:rsid w:val="003A71DE"/>
  </w:style>
  <w:style w:type="table" w:customStyle="1" w:styleId="TableGrid422">
    <w:name w:val="Table Grid42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3">
    <w:name w:val="No List1123"/>
    <w:next w:val="NoList"/>
    <w:uiPriority w:val="99"/>
    <w:semiHidden/>
    <w:unhideWhenUsed/>
    <w:rsid w:val="003A71DE"/>
  </w:style>
  <w:style w:type="numbering" w:customStyle="1" w:styleId="1330">
    <w:name w:val="無清單133"/>
    <w:next w:val="NoList"/>
    <w:uiPriority w:val="99"/>
    <w:semiHidden/>
    <w:unhideWhenUsed/>
    <w:rsid w:val="003A71DE"/>
  </w:style>
  <w:style w:type="numbering" w:customStyle="1" w:styleId="11230">
    <w:name w:val="無清單1123"/>
    <w:next w:val="NoList"/>
    <w:uiPriority w:val="99"/>
    <w:semiHidden/>
    <w:unhideWhenUsed/>
    <w:rsid w:val="003A71DE"/>
  </w:style>
  <w:style w:type="table" w:customStyle="1" w:styleId="1224">
    <w:name w:val="表格格線12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
    <w:name w:val="无列表213"/>
    <w:next w:val="NoList"/>
    <w:uiPriority w:val="99"/>
    <w:semiHidden/>
    <w:unhideWhenUsed/>
    <w:rsid w:val="003A71DE"/>
  </w:style>
  <w:style w:type="numbering" w:customStyle="1" w:styleId="NoList1222">
    <w:name w:val="No List1222"/>
    <w:next w:val="NoList"/>
    <w:uiPriority w:val="99"/>
    <w:semiHidden/>
    <w:unhideWhenUsed/>
    <w:rsid w:val="003A71DE"/>
  </w:style>
  <w:style w:type="numbering" w:customStyle="1" w:styleId="11221">
    <w:name w:val="リストなし1122"/>
    <w:next w:val="NoList"/>
    <w:uiPriority w:val="99"/>
    <w:semiHidden/>
    <w:unhideWhenUsed/>
    <w:rsid w:val="003A71DE"/>
  </w:style>
  <w:style w:type="numbering" w:customStyle="1" w:styleId="11222">
    <w:name w:val="无列表1122"/>
    <w:next w:val="NoList"/>
    <w:semiHidden/>
    <w:rsid w:val="003A71DE"/>
  </w:style>
  <w:style w:type="numbering" w:customStyle="1" w:styleId="NoList2122">
    <w:name w:val="No List2122"/>
    <w:next w:val="NoList"/>
    <w:semiHidden/>
    <w:rsid w:val="003A71DE"/>
  </w:style>
  <w:style w:type="numbering" w:customStyle="1" w:styleId="NoList3122">
    <w:name w:val="No List3122"/>
    <w:next w:val="NoList"/>
    <w:uiPriority w:val="99"/>
    <w:semiHidden/>
    <w:rsid w:val="003A71DE"/>
  </w:style>
  <w:style w:type="numbering" w:customStyle="1" w:styleId="NoList11123">
    <w:name w:val="No List11123"/>
    <w:next w:val="NoList"/>
    <w:uiPriority w:val="99"/>
    <w:semiHidden/>
    <w:unhideWhenUsed/>
    <w:rsid w:val="003A71DE"/>
  </w:style>
  <w:style w:type="numbering" w:customStyle="1" w:styleId="12220">
    <w:name w:val="無清單1222"/>
    <w:next w:val="NoList"/>
    <w:uiPriority w:val="99"/>
    <w:semiHidden/>
    <w:unhideWhenUsed/>
    <w:rsid w:val="003A71DE"/>
  </w:style>
  <w:style w:type="numbering" w:customStyle="1" w:styleId="111220">
    <w:name w:val="無清單11122"/>
    <w:next w:val="NoList"/>
    <w:uiPriority w:val="99"/>
    <w:semiHidden/>
    <w:unhideWhenUsed/>
    <w:rsid w:val="003A71DE"/>
  </w:style>
  <w:style w:type="numbering" w:customStyle="1" w:styleId="NoList16">
    <w:name w:val="No List16"/>
    <w:next w:val="NoList"/>
    <w:uiPriority w:val="99"/>
    <w:semiHidden/>
    <w:unhideWhenUsed/>
    <w:rsid w:val="003A71DE"/>
  </w:style>
  <w:style w:type="numbering" w:customStyle="1" w:styleId="151">
    <w:name w:val="リストなし15"/>
    <w:next w:val="NoList"/>
    <w:uiPriority w:val="99"/>
    <w:semiHidden/>
    <w:unhideWhenUsed/>
    <w:rsid w:val="003A71DE"/>
  </w:style>
  <w:style w:type="table" w:customStyle="1" w:styleId="Tabellengitternetz15">
    <w:name w:val="Tabellengitternetz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5">
    <w:name w:val="Tabellengitternetz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5">
    <w:name w:val="Tabellengitternetz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5">
    <w:name w:val="Tabellengitternetz4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5">
    <w:name w:val="Tabellengitternetz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5">
    <w:name w:val="Tabellengitternetz6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5">
    <w:name w:val="Tabellengitternetz7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5">
    <w:name w:val="Tabellengitternetz8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5">
    <w:name w:val="Tabellengitternetz9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
    <w:name w:val="Table Grid3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
    <w:name w:val="无列表15"/>
    <w:next w:val="NoList"/>
    <w:semiHidden/>
    <w:rsid w:val="003A71DE"/>
  </w:style>
  <w:style w:type="table" w:customStyle="1" w:styleId="35">
    <w:name w:val="网格型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
    <w:name w:val="网格型4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
    <w:name w:val="No List25"/>
    <w:next w:val="NoList"/>
    <w:semiHidden/>
    <w:rsid w:val="003A71DE"/>
  </w:style>
  <w:style w:type="numbering" w:customStyle="1" w:styleId="NoList35">
    <w:name w:val="No List35"/>
    <w:next w:val="NoList"/>
    <w:uiPriority w:val="99"/>
    <w:semiHidden/>
    <w:rsid w:val="003A71DE"/>
  </w:style>
  <w:style w:type="table" w:customStyle="1" w:styleId="TableGrid45">
    <w:name w:val="Table Grid4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6">
    <w:name w:val="No List116"/>
    <w:next w:val="NoList"/>
    <w:uiPriority w:val="99"/>
    <w:semiHidden/>
    <w:unhideWhenUsed/>
    <w:rsid w:val="003A71DE"/>
  </w:style>
  <w:style w:type="numbering" w:customStyle="1" w:styleId="160">
    <w:name w:val="無清單16"/>
    <w:next w:val="NoList"/>
    <w:uiPriority w:val="99"/>
    <w:semiHidden/>
    <w:unhideWhenUsed/>
    <w:rsid w:val="003A71DE"/>
  </w:style>
  <w:style w:type="numbering" w:customStyle="1" w:styleId="115">
    <w:name w:val="無清單115"/>
    <w:next w:val="NoList"/>
    <w:uiPriority w:val="99"/>
    <w:semiHidden/>
    <w:unhideWhenUsed/>
    <w:rsid w:val="003A71DE"/>
  </w:style>
  <w:style w:type="table" w:customStyle="1" w:styleId="153">
    <w:name w:val="表格格線1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4">
    <w:name w:val="No List44"/>
    <w:next w:val="NoList"/>
    <w:uiPriority w:val="99"/>
    <w:semiHidden/>
    <w:unhideWhenUsed/>
    <w:rsid w:val="003A71DE"/>
  </w:style>
  <w:style w:type="numbering" w:customStyle="1" w:styleId="NoList125">
    <w:name w:val="No List125"/>
    <w:next w:val="NoList"/>
    <w:uiPriority w:val="99"/>
    <w:semiHidden/>
    <w:unhideWhenUsed/>
    <w:rsid w:val="003A71DE"/>
  </w:style>
  <w:style w:type="numbering" w:customStyle="1" w:styleId="1150">
    <w:name w:val="リストなし115"/>
    <w:next w:val="NoList"/>
    <w:uiPriority w:val="99"/>
    <w:semiHidden/>
    <w:unhideWhenUsed/>
    <w:rsid w:val="003A71DE"/>
  </w:style>
  <w:style w:type="table" w:customStyle="1" w:styleId="Tabellengitternetz113">
    <w:name w:val="Tabellengitternetz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
    <w:name w:val="Tabellengitternetz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
    <w:name w:val="Tabellengitternetz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
    <w:name w:val="Tabellengitternetz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
    <w:name w:val="Tabellengitternetz5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
    <w:name w:val="Tabellengitternetz6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
    <w:name w:val="Tabellengitternetz7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
    <w:name w:val="Tabellengitternetz8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
    <w:name w:val="Tabellengitternetz9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
    <w:name w:val="Table Grid3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1">
    <w:name w:val="无列表115"/>
    <w:next w:val="NoList"/>
    <w:semiHidden/>
    <w:rsid w:val="003A71DE"/>
  </w:style>
  <w:style w:type="table" w:customStyle="1" w:styleId="313">
    <w:name w:val="网格型3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
    <w:name w:val="网格型4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5">
    <w:name w:val="No List215"/>
    <w:next w:val="NoList"/>
    <w:semiHidden/>
    <w:rsid w:val="003A71DE"/>
  </w:style>
  <w:style w:type="numbering" w:customStyle="1" w:styleId="NoList315">
    <w:name w:val="No List315"/>
    <w:next w:val="NoList"/>
    <w:uiPriority w:val="99"/>
    <w:semiHidden/>
    <w:rsid w:val="003A71DE"/>
  </w:style>
  <w:style w:type="table" w:customStyle="1" w:styleId="TableGrid413">
    <w:name w:val="Table Grid4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5">
    <w:name w:val="No List1115"/>
    <w:next w:val="NoList"/>
    <w:uiPriority w:val="99"/>
    <w:semiHidden/>
    <w:unhideWhenUsed/>
    <w:rsid w:val="003A71DE"/>
  </w:style>
  <w:style w:type="numbering" w:customStyle="1" w:styleId="125">
    <w:name w:val="無清單125"/>
    <w:next w:val="NoList"/>
    <w:uiPriority w:val="99"/>
    <w:semiHidden/>
    <w:unhideWhenUsed/>
    <w:rsid w:val="003A71DE"/>
  </w:style>
  <w:style w:type="numbering" w:customStyle="1" w:styleId="1115">
    <w:name w:val="無清單1115"/>
    <w:next w:val="NoList"/>
    <w:uiPriority w:val="99"/>
    <w:semiHidden/>
    <w:unhideWhenUsed/>
    <w:rsid w:val="003A71DE"/>
  </w:style>
  <w:style w:type="table" w:customStyle="1" w:styleId="1133">
    <w:name w:val="表格格線1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0">
    <w:name w:val="无列表24"/>
    <w:next w:val="NoList"/>
    <w:uiPriority w:val="99"/>
    <w:semiHidden/>
    <w:unhideWhenUsed/>
    <w:rsid w:val="003A71DE"/>
  </w:style>
  <w:style w:type="numbering" w:customStyle="1" w:styleId="NoList1214">
    <w:name w:val="No List1214"/>
    <w:next w:val="NoList"/>
    <w:uiPriority w:val="99"/>
    <w:semiHidden/>
    <w:unhideWhenUsed/>
    <w:rsid w:val="003A71DE"/>
  </w:style>
  <w:style w:type="numbering" w:customStyle="1" w:styleId="11141">
    <w:name w:val="リストなし1114"/>
    <w:next w:val="NoList"/>
    <w:uiPriority w:val="99"/>
    <w:semiHidden/>
    <w:unhideWhenUsed/>
    <w:rsid w:val="003A71DE"/>
  </w:style>
  <w:style w:type="numbering" w:customStyle="1" w:styleId="11142">
    <w:name w:val="无列表1114"/>
    <w:next w:val="NoList"/>
    <w:semiHidden/>
    <w:rsid w:val="003A71DE"/>
  </w:style>
  <w:style w:type="numbering" w:customStyle="1" w:styleId="NoList2114">
    <w:name w:val="No List2114"/>
    <w:next w:val="NoList"/>
    <w:semiHidden/>
    <w:rsid w:val="003A71DE"/>
  </w:style>
  <w:style w:type="numbering" w:customStyle="1" w:styleId="NoList3114">
    <w:name w:val="No List3114"/>
    <w:next w:val="NoList"/>
    <w:uiPriority w:val="99"/>
    <w:semiHidden/>
    <w:rsid w:val="003A71DE"/>
  </w:style>
  <w:style w:type="numbering" w:customStyle="1" w:styleId="NoList11114">
    <w:name w:val="No List11114"/>
    <w:next w:val="NoList"/>
    <w:uiPriority w:val="99"/>
    <w:semiHidden/>
    <w:unhideWhenUsed/>
    <w:rsid w:val="003A71DE"/>
  </w:style>
  <w:style w:type="numbering" w:customStyle="1" w:styleId="1214">
    <w:name w:val="無清單1214"/>
    <w:next w:val="NoList"/>
    <w:uiPriority w:val="99"/>
    <w:semiHidden/>
    <w:unhideWhenUsed/>
    <w:rsid w:val="003A71DE"/>
  </w:style>
  <w:style w:type="numbering" w:customStyle="1" w:styleId="11114">
    <w:name w:val="無清單11114"/>
    <w:next w:val="NoList"/>
    <w:uiPriority w:val="99"/>
    <w:semiHidden/>
    <w:unhideWhenUsed/>
    <w:rsid w:val="003A71DE"/>
  </w:style>
  <w:style w:type="numbering" w:customStyle="1" w:styleId="NoList54">
    <w:name w:val="No List54"/>
    <w:next w:val="NoList"/>
    <w:uiPriority w:val="99"/>
    <w:semiHidden/>
    <w:unhideWhenUsed/>
    <w:rsid w:val="003A71DE"/>
  </w:style>
  <w:style w:type="numbering" w:customStyle="1" w:styleId="NoList134">
    <w:name w:val="No List134"/>
    <w:next w:val="NoList"/>
    <w:uiPriority w:val="99"/>
    <w:semiHidden/>
    <w:unhideWhenUsed/>
    <w:rsid w:val="003A71DE"/>
  </w:style>
  <w:style w:type="numbering" w:customStyle="1" w:styleId="1241">
    <w:name w:val="リストなし124"/>
    <w:next w:val="NoList"/>
    <w:uiPriority w:val="99"/>
    <w:semiHidden/>
    <w:unhideWhenUsed/>
    <w:rsid w:val="003A71DE"/>
  </w:style>
  <w:style w:type="table" w:customStyle="1" w:styleId="Tabellengitternetz123">
    <w:name w:val="Tabellengitternetz1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3">
    <w:name w:val="Tabellengitternetz2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3">
    <w:name w:val="Tabellengitternetz3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3">
    <w:name w:val="Tabellengitternetz4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3">
    <w:name w:val="Tabellengitternetz5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3">
    <w:name w:val="Tabellengitternetz6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3">
    <w:name w:val="Tabellengitternetz7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3">
    <w:name w:val="Tabellengitternetz8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3">
    <w:name w:val="Tabellengitternetz92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
    <w:name w:val="Table Grid22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
    <w:name w:val="Table Grid32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2">
    <w:name w:val="无列表124"/>
    <w:next w:val="NoList"/>
    <w:semiHidden/>
    <w:rsid w:val="003A71DE"/>
  </w:style>
  <w:style w:type="table" w:customStyle="1" w:styleId="323">
    <w:name w:val="网格型32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
    <w:name w:val="网格型42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4">
    <w:name w:val="No List224"/>
    <w:next w:val="NoList"/>
    <w:semiHidden/>
    <w:rsid w:val="003A71DE"/>
  </w:style>
  <w:style w:type="numbering" w:customStyle="1" w:styleId="NoList324">
    <w:name w:val="No List324"/>
    <w:next w:val="NoList"/>
    <w:uiPriority w:val="99"/>
    <w:semiHidden/>
    <w:rsid w:val="003A71DE"/>
  </w:style>
  <w:style w:type="table" w:customStyle="1" w:styleId="TableGrid423">
    <w:name w:val="Table Grid42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4">
    <w:name w:val="No List1124"/>
    <w:next w:val="NoList"/>
    <w:uiPriority w:val="99"/>
    <w:semiHidden/>
    <w:unhideWhenUsed/>
    <w:rsid w:val="003A71DE"/>
  </w:style>
  <w:style w:type="numbering" w:customStyle="1" w:styleId="134">
    <w:name w:val="無清單134"/>
    <w:next w:val="NoList"/>
    <w:uiPriority w:val="99"/>
    <w:semiHidden/>
    <w:unhideWhenUsed/>
    <w:rsid w:val="003A71DE"/>
  </w:style>
  <w:style w:type="numbering" w:customStyle="1" w:styleId="1124">
    <w:name w:val="無清單1124"/>
    <w:next w:val="NoList"/>
    <w:uiPriority w:val="99"/>
    <w:semiHidden/>
    <w:unhideWhenUsed/>
    <w:rsid w:val="003A71DE"/>
  </w:style>
  <w:style w:type="table" w:customStyle="1" w:styleId="1234">
    <w:name w:val="表格格線12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
    <w:name w:val="无列表214"/>
    <w:next w:val="NoList"/>
    <w:uiPriority w:val="99"/>
    <w:semiHidden/>
    <w:unhideWhenUsed/>
    <w:rsid w:val="003A71DE"/>
  </w:style>
  <w:style w:type="numbering" w:customStyle="1" w:styleId="NoList1223">
    <w:name w:val="No List1223"/>
    <w:next w:val="NoList"/>
    <w:uiPriority w:val="99"/>
    <w:semiHidden/>
    <w:unhideWhenUsed/>
    <w:rsid w:val="003A71DE"/>
  </w:style>
  <w:style w:type="numbering" w:customStyle="1" w:styleId="11231">
    <w:name w:val="リストなし1123"/>
    <w:next w:val="NoList"/>
    <w:uiPriority w:val="99"/>
    <w:semiHidden/>
    <w:unhideWhenUsed/>
    <w:rsid w:val="003A71DE"/>
  </w:style>
  <w:style w:type="numbering" w:customStyle="1" w:styleId="11232">
    <w:name w:val="无列表1123"/>
    <w:next w:val="NoList"/>
    <w:semiHidden/>
    <w:rsid w:val="003A71DE"/>
  </w:style>
  <w:style w:type="numbering" w:customStyle="1" w:styleId="NoList2123">
    <w:name w:val="No List2123"/>
    <w:next w:val="NoList"/>
    <w:semiHidden/>
    <w:rsid w:val="003A71DE"/>
  </w:style>
  <w:style w:type="numbering" w:customStyle="1" w:styleId="NoList3123">
    <w:name w:val="No List3123"/>
    <w:next w:val="NoList"/>
    <w:uiPriority w:val="99"/>
    <w:semiHidden/>
    <w:rsid w:val="003A71DE"/>
  </w:style>
  <w:style w:type="numbering" w:customStyle="1" w:styleId="NoList11124">
    <w:name w:val="No List11124"/>
    <w:next w:val="NoList"/>
    <w:uiPriority w:val="99"/>
    <w:semiHidden/>
    <w:unhideWhenUsed/>
    <w:rsid w:val="003A71DE"/>
  </w:style>
  <w:style w:type="numbering" w:customStyle="1" w:styleId="12230">
    <w:name w:val="無清單1223"/>
    <w:next w:val="NoList"/>
    <w:uiPriority w:val="99"/>
    <w:semiHidden/>
    <w:unhideWhenUsed/>
    <w:rsid w:val="003A71DE"/>
  </w:style>
  <w:style w:type="numbering" w:customStyle="1" w:styleId="111230">
    <w:name w:val="無清單11123"/>
    <w:next w:val="NoList"/>
    <w:uiPriority w:val="99"/>
    <w:semiHidden/>
    <w:unhideWhenUsed/>
    <w:rsid w:val="003A71DE"/>
  </w:style>
  <w:style w:type="numbering" w:customStyle="1" w:styleId="NoList142">
    <w:name w:val="No List142"/>
    <w:next w:val="NoList"/>
    <w:uiPriority w:val="99"/>
    <w:semiHidden/>
    <w:unhideWhenUsed/>
    <w:rsid w:val="003A71DE"/>
  </w:style>
  <w:style w:type="numbering" w:customStyle="1" w:styleId="1321">
    <w:name w:val="リストなし132"/>
    <w:next w:val="NoList"/>
    <w:uiPriority w:val="99"/>
    <w:semiHidden/>
    <w:unhideWhenUsed/>
    <w:rsid w:val="003A71DE"/>
  </w:style>
  <w:style w:type="table" w:customStyle="1" w:styleId="Tabellengitternetz131">
    <w:name w:val="Tabellengitternetz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1">
    <w:name w:val="Tabellengitternetz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1">
    <w:name w:val="Tabellengitternetz3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1">
    <w:name w:val="Tabellengitternetz4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1">
    <w:name w:val="Tabellengitternetz5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1">
    <w:name w:val="Tabellengitternetz6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1">
    <w:name w:val="Tabellengitternetz7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1">
    <w:name w:val="Tabellengitternetz8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1">
    <w:name w:val="Tabellengitternetz9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1">
    <w:name w:val="Table Grid2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
    <w:name w:val="Table Grid33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
    <w:name w:val="无列表132"/>
    <w:next w:val="NoList"/>
    <w:semiHidden/>
    <w:rsid w:val="003A71DE"/>
  </w:style>
  <w:style w:type="table" w:customStyle="1" w:styleId="331">
    <w:name w:val="网格型3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
    <w:name w:val="网格型4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32">
    <w:name w:val="No List232"/>
    <w:next w:val="NoList"/>
    <w:semiHidden/>
    <w:rsid w:val="003A71DE"/>
  </w:style>
  <w:style w:type="numbering" w:customStyle="1" w:styleId="NoList332">
    <w:name w:val="No List332"/>
    <w:next w:val="NoList"/>
    <w:uiPriority w:val="99"/>
    <w:semiHidden/>
    <w:rsid w:val="003A71DE"/>
  </w:style>
  <w:style w:type="table" w:customStyle="1" w:styleId="TableGrid431">
    <w:name w:val="Table Grid43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2">
    <w:name w:val="No List1132"/>
    <w:next w:val="NoList"/>
    <w:uiPriority w:val="99"/>
    <w:semiHidden/>
    <w:unhideWhenUsed/>
    <w:rsid w:val="003A71DE"/>
  </w:style>
  <w:style w:type="numbering" w:customStyle="1" w:styleId="1420">
    <w:name w:val="無清單142"/>
    <w:next w:val="NoList"/>
    <w:uiPriority w:val="99"/>
    <w:semiHidden/>
    <w:unhideWhenUsed/>
    <w:rsid w:val="003A71DE"/>
  </w:style>
  <w:style w:type="numbering" w:customStyle="1" w:styleId="11320">
    <w:name w:val="無清單1132"/>
    <w:next w:val="NoList"/>
    <w:uiPriority w:val="99"/>
    <w:semiHidden/>
    <w:unhideWhenUsed/>
    <w:rsid w:val="003A71DE"/>
  </w:style>
  <w:style w:type="table" w:customStyle="1" w:styleId="1313">
    <w:name w:val="表格格線13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
    <w:name w:val="无列表222"/>
    <w:next w:val="NoList"/>
    <w:uiPriority w:val="99"/>
    <w:semiHidden/>
    <w:unhideWhenUsed/>
    <w:rsid w:val="003A71DE"/>
  </w:style>
  <w:style w:type="numbering" w:customStyle="1" w:styleId="NoList1232">
    <w:name w:val="No List1232"/>
    <w:next w:val="NoList"/>
    <w:uiPriority w:val="99"/>
    <w:semiHidden/>
    <w:unhideWhenUsed/>
    <w:rsid w:val="003A71DE"/>
  </w:style>
  <w:style w:type="numbering" w:customStyle="1" w:styleId="11321">
    <w:name w:val="リストなし1132"/>
    <w:next w:val="NoList"/>
    <w:uiPriority w:val="99"/>
    <w:semiHidden/>
    <w:unhideWhenUsed/>
    <w:rsid w:val="003A71DE"/>
  </w:style>
  <w:style w:type="numbering" w:customStyle="1" w:styleId="11322">
    <w:name w:val="无列表1132"/>
    <w:next w:val="NoList"/>
    <w:semiHidden/>
    <w:rsid w:val="003A71DE"/>
  </w:style>
  <w:style w:type="numbering" w:customStyle="1" w:styleId="NoList2132">
    <w:name w:val="No List2132"/>
    <w:next w:val="NoList"/>
    <w:semiHidden/>
    <w:rsid w:val="003A71DE"/>
  </w:style>
  <w:style w:type="numbering" w:customStyle="1" w:styleId="NoList3132">
    <w:name w:val="No List3132"/>
    <w:next w:val="NoList"/>
    <w:uiPriority w:val="99"/>
    <w:semiHidden/>
    <w:rsid w:val="003A71DE"/>
  </w:style>
  <w:style w:type="numbering" w:customStyle="1" w:styleId="NoList11132">
    <w:name w:val="No List11132"/>
    <w:next w:val="NoList"/>
    <w:uiPriority w:val="99"/>
    <w:semiHidden/>
    <w:unhideWhenUsed/>
    <w:rsid w:val="003A71DE"/>
  </w:style>
  <w:style w:type="numbering" w:customStyle="1" w:styleId="12320">
    <w:name w:val="無清單1232"/>
    <w:next w:val="NoList"/>
    <w:uiPriority w:val="99"/>
    <w:semiHidden/>
    <w:unhideWhenUsed/>
    <w:rsid w:val="003A71DE"/>
  </w:style>
  <w:style w:type="numbering" w:customStyle="1" w:styleId="111320">
    <w:name w:val="無清單11132"/>
    <w:next w:val="NoList"/>
    <w:uiPriority w:val="99"/>
    <w:semiHidden/>
    <w:unhideWhenUsed/>
    <w:rsid w:val="003A71DE"/>
  </w:style>
  <w:style w:type="numbering" w:customStyle="1" w:styleId="NoList412">
    <w:name w:val="No List412"/>
    <w:next w:val="NoList"/>
    <w:uiPriority w:val="99"/>
    <w:semiHidden/>
    <w:unhideWhenUsed/>
    <w:rsid w:val="003A71DE"/>
  </w:style>
  <w:style w:type="table" w:customStyle="1" w:styleId="Tabellengitternetz1111">
    <w:name w:val="Tabellengitternetz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
    <w:name w:val="Tabellengitternetz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
    <w:name w:val="Tabellengitternetz3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
    <w:name w:val="Tabellengitternetz4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
    <w:name w:val="Tabellengitternetz5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
    <w:name w:val="Tabellengitternetz6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
    <w:name w:val="Tabellengitternetz7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
    <w:name w:val="Tabellengitternetz8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
    <w:name w:val="Tabellengitternetz9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
    <w:name w:val="Table Grid31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网格型3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网格型4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
    <w:name w:val="Table Grid41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
    <w:name w:val="表格格線11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2">
    <w:name w:val="No List12112"/>
    <w:next w:val="NoList"/>
    <w:uiPriority w:val="99"/>
    <w:semiHidden/>
    <w:unhideWhenUsed/>
    <w:rsid w:val="003A71DE"/>
  </w:style>
  <w:style w:type="numbering" w:customStyle="1" w:styleId="111121">
    <w:name w:val="リストなし11112"/>
    <w:next w:val="NoList"/>
    <w:uiPriority w:val="99"/>
    <w:semiHidden/>
    <w:unhideWhenUsed/>
    <w:rsid w:val="003A71DE"/>
  </w:style>
  <w:style w:type="numbering" w:customStyle="1" w:styleId="111122">
    <w:name w:val="无列表11112"/>
    <w:next w:val="NoList"/>
    <w:semiHidden/>
    <w:rsid w:val="003A71DE"/>
  </w:style>
  <w:style w:type="numbering" w:customStyle="1" w:styleId="NoList21112">
    <w:name w:val="No List21112"/>
    <w:next w:val="NoList"/>
    <w:semiHidden/>
    <w:rsid w:val="003A71DE"/>
  </w:style>
  <w:style w:type="numbering" w:customStyle="1" w:styleId="NoList31112">
    <w:name w:val="No List31112"/>
    <w:next w:val="NoList"/>
    <w:uiPriority w:val="99"/>
    <w:semiHidden/>
    <w:rsid w:val="003A71DE"/>
  </w:style>
  <w:style w:type="numbering" w:customStyle="1" w:styleId="NoList111112">
    <w:name w:val="No List111112"/>
    <w:next w:val="NoList"/>
    <w:uiPriority w:val="99"/>
    <w:semiHidden/>
    <w:unhideWhenUsed/>
    <w:rsid w:val="003A71DE"/>
  </w:style>
  <w:style w:type="numbering" w:customStyle="1" w:styleId="121120">
    <w:name w:val="無清單12112"/>
    <w:next w:val="NoList"/>
    <w:uiPriority w:val="99"/>
    <w:semiHidden/>
    <w:unhideWhenUsed/>
    <w:rsid w:val="003A71DE"/>
  </w:style>
  <w:style w:type="numbering" w:customStyle="1" w:styleId="1111120">
    <w:name w:val="無清單111112"/>
    <w:next w:val="NoList"/>
    <w:uiPriority w:val="99"/>
    <w:semiHidden/>
    <w:unhideWhenUsed/>
    <w:rsid w:val="003A71DE"/>
  </w:style>
  <w:style w:type="numbering" w:customStyle="1" w:styleId="NoList512">
    <w:name w:val="No List512"/>
    <w:next w:val="NoList"/>
    <w:uiPriority w:val="99"/>
    <w:semiHidden/>
    <w:unhideWhenUsed/>
    <w:rsid w:val="003A71DE"/>
  </w:style>
  <w:style w:type="numbering" w:customStyle="1" w:styleId="NoList1312">
    <w:name w:val="No List1312"/>
    <w:next w:val="NoList"/>
    <w:uiPriority w:val="99"/>
    <w:semiHidden/>
    <w:unhideWhenUsed/>
    <w:rsid w:val="003A71DE"/>
  </w:style>
  <w:style w:type="numbering" w:customStyle="1" w:styleId="12121">
    <w:name w:val="リストなし1212"/>
    <w:next w:val="NoList"/>
    <w:uiPriority w:val="99"/>
    <w:semiHidden/>
    <w:unhideWhenUsed/>
    <w:rsid w:val="003A71DE"/>
  </w:style>
  <w:style w:type="table" w:customStyle="1" w:styleId="TableGrid1211">
    <w:name w:val="Table Grid121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1">
    <w:name w:val="Tabellengitternetz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1">
    <w:name w:val="Tabellengitternetz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1">
    <w:name w:val="Tabellengitternetz3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1">
    <w:name w:val="Tabellengitternetz4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1">
    <w:name w:val="Tabellengitternetz5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1">
    <w:name w:val="Tabellengitternetz6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1">
    <w:name w:val="Tabellengitternetz7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1">
    <w:name w:val="Tabellengitternetz8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1">
    <w:name w:val="Tabellengitternetz9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1">
    <w:name w:val="Table Grid2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1">
    <w:name w:val="Table Grid32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2">
    <w:name w:val="无列表1212"/>
    <w:next w:val="NoList"/>
    <w:semiHidden/>
    <w:rsid w:val="003A71DE"/>
  </w:style>
  <w:style w:type="table" w:customStyle="1" w:styleId="3211">
    <w:name w:val="网格型3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网格型4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2">
    <w:name w:val="No List2212"/>
    <w:next w:val="NoList"/>
    <w:semiHidden/>
    <w:rsid w:val="003A71DE"/>
  </w:style>
  <w:style w:type="numbering" w:customStyle="1" w:styleId="NoList3212">
    <w:name w:val="No List3212"/>
    <w:next w:val="NoList"/>
    <w:uiPriority w:val="99"/>
    <w:semiHidden/>
    <w:rsid w:val="003A71DE"/>
  </w:style>
  <w:style w:type="table" w:customStyle="1" w:styleId="TableGrid4211">
    <w:name w:val="Table Grid42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2">
    <w:name w:val="No List11212"/>
    <w:next w:val="NoList"/>
    <w:uiPriority w:val="99"/>
    <w:semiHidden/>
    <w:unhideWhenUsed/>
    <w:rsid w:val="003A71DE"/>
  </w:style>
  <w:style w:type="numbering" w:customStyle="1" w:styleId="13120">
    <w:name w:val="無清單1312"/>
    <w:next w:val="NoList"/>
    <w:uiPriority w:val="99"/>
    <w:semiHidden/>
    <w:unhideWhenUsed/>
    <w:rsid w:val="003A71DE"/>
  </w:style>
  <w:style w:type="numbering" w:customStyle="1" w:styleId="112120">
    <w:name w:val="無清單11212"/>
    <w:next w:val="NoList"/>
    <w:uiPriority w:val="99"/>
    <w:semiHidden/>
    <w:unhideWhenUsed/>
    <w:rsid w:val="003A71DE"/>
  </w:style>
  <w:style w:type="table" w:customStyle="1" w:styleId="12113">
    <w:name w:val="表格格線12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2">
    <w:name w:val="无列表2112"/>
    <w:next w:val="NoList"/>
    <w:uiPriority w:val="99"/>
    <w:semiHidden/>
    <w:unhideWhenUsed/>
    <w:rsid w:val="003A71DE"/>
  </w:style>
  <w:style w:type="numbering" w:customStyle="1" w:styleId="NoList12212">
    <w:name w:val="No List12212"/>
    <w:next w:val="NoList"/>
    <w:uiPriority w:val="99"/>
    <w:semiHidden/>
    <w:unhideWhenUsed/>
    <w:rsid w:val="003A71DE"/>
  </w:style>
  <w:style w:type="numbering" w:customStyle="1" w:styleId="112121">
    <w:name w:val="リストなし11212"/>
    <w:next w:val="NoList"/>
    <w:uiPriority w:val="99"/>
    <w:semiHidden/>
    <w:unhideWhenUsed/>
    <w:rsid w:val="003A71DE"/>
  </w:style>
  <w:style w:type="numbering" w:customStyle="1" w:styleId="112122">
    <w:name w:val="无列表11212"/>
    <w:next w:val="NoList"/>
    <w:semiHidden/>
    <w:rsid w:val="003A71DE"/>
  </w:style>
  <w:style w:type="numbering" w:customStyle="1" w:styleId="NoList21212">
    <w:name w:val="No List21212"/>
    <w:next w:val="NoList"/>
    <w:semiHidden/>
    <w:rsid w:val="003A71DE"/>
  </w:style>
  <w:style w:type="numbering" w:customStyle="1" w:styleId="NoList31212">
    <w:name w:val="No List31212"/>
    <w:next w:val="NoList"/>
    <w:uiPriority w:val="99"/>
    <w:semiHidden/>
    <w:rsid w:val="003A71DE"/>
  </w:style>
  <w:style w:type="numbering" w:customStyle="1" w:styleId="NoList111212">
    <w:name w:val="No List111212"/>
    <w:next w:val="NoList"/>
    <w:uiPriority w:val="99"/>
    <w:semiHidden/>
    <w:unhideWhenUsed/>
    <w:rsid w:val="003A71DE"/>
  </w:style>
  <w:style w:type="numbering" w:customStyle="1" w:styleId="12212">
    <w:name w:val="無清單12212"/>
    <w:next w:val="NoList"/>
    <w:uiPriority w:val="99"/>
    <w:semiHidden/>
    <w:unhideWhenUsed/>
    <w:rsid w:val="003A71DE"/>
  </w:style>
  <w:style w:type="numbering" w:customStyle="1" w:styleId="111212">
    <w:name w:val="無清單111212"/>
    <w:next w:val="NoList"/>
    <w:uiPriority w:val="99"/>
    <w:semiHidden/>
    <w:unhideWhenUsed/>
    <w:rsid w:val="003A71DE"/>
  </w:style>
  <w:style w:type="table" w:customStyle="1" w:styleId="116">
    <w:name w:val="网格型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
    <w:name w:val="Table Grid11111"/>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无列表31"/>
    <w:next w:val="NoList"/>
    <w:uiPriority w:val="99"/>
    <w:semiHidden/>
    <w:unhideWhenUsed/>
    <w:rsid w:val="003A71DE"/>
  </w:style>
  <w:style w:type="table" w:customStyle="1" w:styleId="215">
    <w:name w:val="网格型2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1">
    <w:name w:val="无列表1311"/>
    <w:next w:val="NoList"/>
    <w:semiHidden/>
    <w:rsid w:val="003A71DE"/>
  </w:style>
  <w:style w:type="numbering" w:customStyle="1" w:styleId="NoList11311">
    <w:name w:val="No List11311"/>
    <w:next w:val="NoList"/>
    <w:uiPriority w:val="99"/>
    <w:semiHidden/>
    <w:unhideWhenUsed/>
    <w:rsid w:val="003A71DE"/>
  </w:style>
  <w:style w:type="numbering" w:customStyle="1" w:styleId="NoList4111">
    <w:name w:val="No List4111"/>
    <w:next w:val="NoList"/>
    <w:uiPriority w:val="99"/>
    <w:semiHidden/>
    <w:unhideWhenUsed/>
    <w:rsid w:val="003A71DE"/>
  </w:style>
  <w:style w:type="table" w:customStyle="1" w:styleId="TableGrid1121">
    <w:name w:val="Table Grid112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1">
    <w:name w:val="无列表2211"/>
    <w:next w:val="NoList"/>
    <w:uiPriority w:val="99"/>
    <w:semiHidden/>
    <w:unhideWhenUsed/>
    <w:rsid w:val="003A71DE"/>
  </w:style>
  <w:style w:type="numbering" w:customStyle="1" w:styleId="NoList121111">
    <w:name w:val="No List121111"/>
    <w:next w:val="NoList"/>
    <w:uiPriority w:val="99"/>
    <w:semiHidden/>
    <w:unhideWhenUsed/>
    <w:rsid w:val="003A71DE"/>
  </w:style>
  <w:style w:type="numbering" w:customStyle="1" w:styleId="1111111">
    <w:name w:val="リストなし111111"/>
    <w:next w:val="NoList"/>
    <w:uiPriority w:val="99"/>
    <w:semiHidden/>
    <w:unhideWhenUsed/>
    <w:rsid w:val="003A71DE"/>
  </w:style>
  <w:style w:type="numbering" w:customStyle="1" w:styleId="1111112">
    <w:name w:val="无列表111111"/>
    <w:next w:val="NoList"/>
    <w:semiHidden/>
    <w:rsid w:val="003A71DE"/>
  </w:style>
  <w:style w:type="numbering" w:customStyle="1" w:styleId="NoList211111">
    <w:name w:val="No List211111"/>
    <w:next w:val="NoList"/>
    <w:semiHidden/>
    <w:rsid w:val="003A71DE"/>
  </w:style>
  <w:style w:type="numbering" w:customStyle="1" w:styleId="NoList311111">
    <w:name w:val="No List311111"/>
    <w:next w:val="NoList"/>
    <w:uiPriority w:val="99"/>
    <w:semiHidden/>
    <w:rsid w:val="003A71DE"/>
  </w:style>
  <w:style w:type="numbering" w:customStyle="1" w:styleId="NoList11111111">
    <w:name w:val="No List11111111"/>
    <w:next w:val="NoList"/>
    <w:uiPriority w:val="99"/>
    <w:semiHidden/>
    <w:unhideWhenUsed/>
    <w:rsid w:val="003A71DE"/>
  </w:style>
  <w:style w:type="numbering" w:customStyle="1" w:styleId="121111">
    <w:name w:val="無清單121111"/>
    <w:next w:val="NoList"/>
    <w:uiPriority w:val="99"/>
    <w:semiHidden/>
    <w:unhideWhenUsed/>
    <w:rsid w:val="003A71DE"/>
  </w:style>
  <w:style w:type="numbering" w:customStyle="1" w:styleId="11111110">
    <w:name w:val="無清單1111111"/>
    <w:next w:val="NoList"/>
    <w:uiPriority w:val="99"/>
    <w:semiHidden/>
    <w:unhideWhenUsed/>
    <w:rsid w:val="003A71DE"/>
  </w:style>
  <w:style w:type="numbering" w:customStyle="1" w:styleId="NoList13111">
    <w:name w:val="No List13111"/>
    <w:next w:val="NoList"/>
    <w:uiPriority w:val="99"/>
    <w:semiHidden/>
    <w:unhideWhenUsed/>
    <w:rsid w:val="003A71DE"/>
  </w:style>
  <w:style w:type="numbering" w:customStyle="1" w:styleId="121110">
    <w:name w:val="リストなし12111"/>
    <w:next w:val="NoList"/>
    <w:uiPriority w:val="99"/>
    <w:semiHidden/>
    <w:unhideWhenUsed/>
    <w:rsid w:val="003A71DE"/>
  </w:style>
  <w:style w:type="numbering" w:customStyle="1" w:styleId="121112">
    <w:name w:val="无列表12111"/>
    <w:next w:val="NoList"/>
    <w:semiHidden/>
    <w:rsid w:val="003A71DE"/>
  </w:style>
  <w:style w:type="numbering" w:customStyle="1" w:styleId="NoList22111">
    <w:name w:val="No List22111"/>
    <w:next w:val="NoList"/>
    <w:semiHidden/>
    <w:rsid w:val="003A71DE"/>
  </w:style>
  <w:style w:type="numbering" w:customStyle="1" w:styleId="NoList32111">
    <w:name w:val="No List32111"/>
    <w:next w:val="NoList"/>
    <w:uiPriority w:val="99"/>
    <w:semiHidden/>
    <w:rsid w:val="003A71DE"/>
  </w:style>
  <w:style w:type="numbering" w:customStyle="1" w:styleId="NoList112111">
    <w:name w:val="No List112111"/>
    <w:next w:val="NoList"/>
    <w:uiPriority w:val="99"/>
    <w:semiHidden/>
    <w:unhideWhenUsed/>
    <w:rsid w:val="003A71DE"/>
  </w:style>
  <w:style w:type="numbering" w:customStyle="1" w:styleId="131110">
    <w:name w:val="無清單13111"/>
    <w:next w:val="NoList"/>
    <w:uiPriority w:val="99"/>
    <w:semiHidden/>
    <w:unhideWhenUsed/>
    <w:rsid w:val="003A71DE"/>
  </w:style>
  <w:style w:type="numbering" w:customStyle="1" w:styleId="1121110">
    <w:name w:val="無清單112111"/>
    <w:next w:val="NoList"/>
    <w:uiPriority w:val="99"/>
    <w:semiHidden/>
    <w:unhideWhenUsed/>
    <w:rsid w:val="003A71DE"/>
  </w:style>
  <w:style w:type="numbering" w:customStyle="1" w:styleId="21111">
    <w:name w:val="无列表21111"/>
    <w:next w:val="NoList"/>
    <w:uiPriority w:val="99"/>
    <w:semiHidden/>
    <w:unhideWhenUsed/>
    <w:rsid w:val="003A71DE"/>
  </w:style>
  <w:style w:type="numbering" w:customStyle="1" w:styleId="NoList122111">
    <w:name w:val="No List122111"/>
    <w:next w:val="NoList"/>
    <w:uiPriority w:val="99"/>
    <w:semiHidden/>
    <w:unhideWhenUsed/>
    <w:rsid w:val="003A71DE"/>
  </w:style>
  <w:style w:type="numbering" w:customStyle="1" w:styleId="1121111">
    <w:name w:val="リストなし112111"/>
    <w:next w:val="NoList"/>
    <w:uiPriority w:val="99"/>
    <w:semiHidden/>
    <w:unhideWhenUsed/>
    <w:rsid w:val="003A71DE"/>
  </w:style>
  <w:style w:type="numbering" w:customStyle="1" w:styleId="1121112">
    <w:name w:val="无列表112111"/>
    <w:next w:val="NoList"/>
    <w:semiHidden/>
    <w:rsid w:val="003A71DE"/>
  </w:style>
  <w:style w:type="numbering" w:customStyle="1" w:styleId="NoList212111">
    <w:name w:val="No List212111"/>
    <w:next w:val="NoList"/>
    <w:semiHidden/>
    <w:rsid w:val="003A71DE"/>
  </w:style>
  <w:style w:type="numbering" w:customStyle="1" w:styleId="NoList312111">
    <w:name w:val="No List312111"/>
    <w:next w:val="NoList"/>
    <w:uiPriority w:val="99"/>
    <w:semiHidden/>
    <w:rsid w:val="003A71DE"/>
  </w:style>
  <w:style w:type="numbering" w:customStyle="1" w:styleId="NoList1112111">
    <w:name w:val="No List1112111"/>
    <w:next w:val="NoList"/>
    <w:uiPriority w:val="99"/>
    <w:semiHidden/>
    <w:unhideWhenUsed/>
    <w:rsid w:val="003A71DE"/>
  </w:style>
  <w:style w:type="numbering" w:customStyle="1" w:styleId="122111">
    <w:name w:val="無清單122111"/>
    <w:next w:val="NoList"/>
    <w:uiPriority w:val="99"/>
    <w:semiHidden/>
    <w:unhideWhenUsed/>
    <w:rsid w:val="003A71DE"/>
  </w:style>
  <w:style w:type="numbering" w:customStyle="1" w:styleId="1112111">
    <w:name w:val="無清單1112111"/>
    <w:next w:val="NoList"/>
    <w:uiPriority w:val="99"/>
    <w:semiHidden/>
    <w:unhideWhenUsed/>
    <w:rsid w:val="003A71DE"/>
  </w:style>
  <w:style w:type="numbering" w:customStyle="1" w:styleId="NoList5111">
    <w:name w:val="No List5111"/>
    <w:next w:val="NoList"/>
    <w:uiPriority w:val="99"/>
    <w:semiHidden/>
    <w:unhideWhenUsed/>
    <w:rsid w:val="003A71DE"/>
  </w:style>
  <w:style w:type="numbering" w:customStyle="1" w:styleId="NoList611">
    <w:name w:val="No List611"/>
    <w:next w:val="NoList"/>
    <w:uiPriority w:val="99"/>
    <w:semiHidden/>
    <w:unhideWhenUsed/>
    <w:rsid w:val="003A71DE"/>
  </w:style>
  <w:style w:type="numbering" w:customStyle="1" w:styleId="NoList1411">
    <w:name w:val="No List1411"/>
    <w:next w:val="NoList"/>
    <w:uiPriority w:val="99"/>
    <w:semiHidden/>
    <w:unhideWhenUsed/>
    <w:rsid w:val="003A71DE"/>
  </w:style>
  <w:style w:type="numbering" w:customStyle="1" w:styleId="13112">
    <w:name w:val="リストなし1311"/>
    <w:next w:val="NoList"/>
    <w:uiPriority w:val="99"/>
    <w:semiHidden/>
    <w:unhideWhenUsed/>
    <w:rsid w:val="003A71DE"/>
  </w:style>
  <w:style w:type="numbering" w:customStyle="1" w:styleId="NoList2311">
    <w:name w:val="No List2311"/>
    <w:next w:val="NoList"/>
    <w:semiHidden/>
    <w:rsid w:val="003A71DE"/>
  </w:style>
  <w:style w:type="numbering" w:customStyle="1" w:styleId="NoList3311">
    <w:name w:val="No List3311"/>
    <w:next w:val="NoList"/>
    <w:uiPriority w:val="99"/>
    <w:semiHidden/>
    <w:rsid w:val="003A71DE"/>
  </w:style>
  <w:style w:type="numbering" w:customStyle="1" w:styleId="NoList1141">
    <w:name w:val="No List1141"/>
    <w:next w:val="NoList"/>
    <w:uiPriority w:val="99"/>
    <w:semiHidden/>
    <w:unhideWhenUsed/>
    <w:rsid w:val="003A71DE"/>
  </w:style>
  <w:style w:type="numbering" w:customStyle="1" w:styleId="1411">
    <w:name w:val="無清單1411"/>
    <w:next w:val="NoList"/>
    <w:uiPriority w:val="99"/>
    <w:semiHidden/>
    <w:unhideWhenUsed/>
    <w:rsid w:val="003A71DE"/>
  </w:style>
  <w:style w:type="numbering" w:customStyle="1" w:styleId="113110">
    <w:name w:val="無清單11311"/>
    <w:next w:val="NoList"/>
    <w:uiPriority w:val="99"/>
    <w:semiHidden/>
    <w:unhideWhenUsed/>
    <w:rsid w:val="003A71DE"/>
  </w:style>
  <w:style w:type="numbering" w:customStyle="1" w:styleId="NoList421">
    <w:name w:val="No List421"/>
    <w:next w:val="NoList"/>
    <w:uiPriority w:val="99"/>
    <w:semiHidden/>
    <w:unhideWhenUsed/>
    <w:rsid w:val="003A71DE"/>
  </w:style>
  <w:style w:type="numbering" w:customStyle="1" w:styleId="NoList12311">
    <w:name w:val="No List12311"/>
    <w:next w:val="NoList"/>
    <w:uiPriority w:val="99"/>
    <w:semiHidden/>
    <w:unhideWhenUsed/>
    <w:rsid w:val="003A71DE"/>
  </w:style>
  <w:style w:type="numbering" w:customStyle="1" w:styleId="113111">
    <w:name w:val="リストなし11311"/>
    <w:next w:val="NoList"/>
    <w:uiPriority w:val="99"/>
    <w:semiHidden/>
    <w:unhideWhenUsed/>
    <w:rsid w:val="003A71DE"/>
  </w:style>
  <w:style w:type="numbering" w:customStyle="1" w:styleId="113112">
    <w:name w:val="无列表11311"/>
    <w:next w:val="NoList"/>
    <w:semiHidden/>
    <w:rsid w:val="003A71DE"/>
  </w:style>
  <w:style w:type="numbering" w:customStyle="1" w:styleId="NoList21311">
    <w:name w:val="No List21311"/>
    <w:next w:val="NoList"/>
    <w:semiHidden/>
    <w:rsid w:val="003A71DE"/>
  </w:style>
  <w:style w:type="numbering" w:customStyle="1" w:styleId="NoList31311">
    <w:name w:val="No List31311"/>
    <w:next w:val="NoList"/>
    <w:uiPriority w:val="99"/>
    <w:semiHidden/>
    <w:rsid w:val="003A71DE"/>
  </w:style>
  <w:style w:type="numbering" w:customStyle="1" w:styleId="NoList111311">
    <w:name w:val="No List111311"/>
    <w:next w:val="NoList"/>
    <w:uiPriority w:val="99"/>
    <w:semiHidden/>
    <w:unhideWhenUsed/>
    <w:rsid w:val="003A71DE"/>
  </w:style>
  <w:style w:type="numbering" w:customStyle="1" w:styleId="12311">
    <w:name w:val="無清單12311"/>
    <w:next w:val="NoList"/>
    <w:uiPriority w:val="99"/>
    <w:semiHidden/>
    <w:unhideWhenUsed/>
    <w:rsid w:val="003A71DE"/>
  </w:style>
  <w:style w:type="numbering" w:customStyle="1" w:styleId="111311">
    <w:name w:val="無清單111311"/>
    <w:next w:val="NoList"/>
    <w:uiPriority w:val="99"/>
    <w:semiHidden/>
    <w:unhideWhenUsed/>
    <w:rsid w:val="003A71DE"/>
  </w:style>
  <w:style w:type="numbering" w:customStyle="1" w:styleId="NoList12121">
    <w:name w:val="No List12121"/>
    <w:next w:val="NoList"/>
    <w:uiPriority w:val="99"/>
    <w:semiHidden/>
    <w:unhideWhenUsed/>
    <w:rsid w:val="003A71DE"/>
  </w:style>
  <w:style w:type="numbering" w:customStyle="1" w:styleId="111210">
    <w:name w:val="リストなし11121"/>
    <w:next w:val="NoList"/>
    <w:uiPriority w:val="99"/>
    <w:semiHidden/>
    <w:unhideWhenUsed/>
    <w:rsid w:val="003A71DE"/>
  </w:style>
  <w:style w:type="numbering" w:customStyle="1" w:styleId="111213">
    <w:name w:val="无列表11121"/>
    <w:next w:val="NoList"/>
    <w:semiHidden/>
    <w:rsid w:val="003A71DE"/>
  </w:style>
  <w:style w:type="numbering" w:customStyle="1" w:styleId="NoList21121">
    <w:name w:val="No List21121"/>
    <w:next w:val="NoList"/>
    <w:semiHidden/>
    <w:rsid w:val="003A71DE"/>
  </w:style>
  <w:style w:type="numbering" w:customStyle="1" w:styleId="NoList31121">
    <w:name w:val="No List31121"/>
    <w:next w:val="NoList"/>
    <w:uiPriority w:val="99"/>
    <w:semiHidden/>
    <w:rsid w:val="003A71DE"/>
  </w:style>
  <w:style w:type="numbering" w:customStyle="1" w:styleId="NoList111121">
    <w:name w:val="No List111121"/>
    <w:next w:val="NoList"/>
    <w:uiPriority w:val="99"/>
    <w:semiHidden/>
    <w:unhideWhenUsed/>
    <w:rsid w:val="003A71DE"/>
  </w:style>
  <w:style w:type="numbering" w:customStyle="1" w:styleId="121210">
    <w:name w:val="無清單12121"/>
    <w:next w:val="NoList"/>
    <w:uiPriority w:val="99"/>
    <w:semiHidden/>
    <w:unhideWhenUsed/>
    <w:rsid w:val="003A71DE"/>
  </w:style>
  <w:style w:type="numbering" w:customStyle="1" w:styleId="1111210">
    <w:name w:val="無清單111121"/>
    <w:next w:val="NoList"/>
    <w:uiPriority w:val="99"/>
    <w:semiHidden/>
    <w:unhideWhenUsed/>
    <w:rsid w:val="003A71DE"/>
  </w:style>
  <w:style w:type="numbering" w:customStyle="1" w:styleId="NoList521">
    <w:name w:val="No List521"/>
    <w:next w:val="NoList"/>
    <w:uiPriority w:val="99"/>
    <w:semiHidden/>
    <w:unhideWhenUsed/>
    <w:rsid w:val="003A71DE"/>
  </w:style>
  <w:style w:type="numbering" w:customStyle="1" w:styleId="NoList1321">
    <w:name w:val="No List1321"/>
    <w:next w:val="NoList"/>
    <w:uiPriority w:val="99"/>
    <w:semiHidden/>
    <w:unhideWhenUsed/>
    <w:rsid w:val="003A71DE"/>
  </w:style>
  <w:style w:type="numbering" w:customStyle="1" w:styleId="12210">
    <w:name w:val="リストなし1221"/>
    <w:next w:val="NoList"/>
    <w:uiPriority w:val="99"/>
    <w:semiHidden/>
    <w:unhideWhenUsed/>
    <w:rsid w:val="003A71DE"/>
  </w:style>
  <w:style w:type="numbering" w:customStyle="1" w:styleId="12213">
    <w:name w:val="无列表1221"/>
    <w:next w:val="NoList"/>
    <w:semiHidden/>
    <w:rsid w:val="003A71DE"/>
  </w:style>
  <w:style w:type="numbering" w:customStyle="1" w:styleId="NoList2221">
    <w:name w:val="No List2221"/>
    <w:next w:val="NoList"/>
    <w:semiHidden/>
    <w:rsid w:val="003A71DE"/>
  </w:style>
  <w:style w:type="numbering" w:customStyle="1" w:styleId="NoList3221">
    <w:name w:val="No List3221"/>
    <w:next w:val="NoList"/>
    <w:uiPriority w:val="99"/>
    <w:semiHidden/>
    <w:rsid w:val="003A71DE"/>
  </w:style>
  <w:style w:type="numbering" w:customStyle="1" w:styleId="NoList11221">
    <w:name w:val="No List11221"/>
    <w:next w:val="NoList"/>
    <w:uiPriority w:val="99"/>
    <w:semiHidden/>
    <w:unhideWhenUsed/>
    <w:rsid w:val="003A71DE"/>
  </w:style>
  <w:style w:type="numbering" w:customStyle="1" w:styleId="13210">
    <w:name w:val="無清單1321"/>
    <w:next w:val="NoList"/>
    <w:uiPriority w:val="99"/>
    <w:semiHidden/>
    <w:unhideWhenUsed/>
    <w:rsid w:val="003A71DE"/>
  </w:style>
  <w:style w:type="numbering" w:customStyle="1" w:styleId="112210">
    <w:name w:val="無清單11221"/>
    <w:next w:val="NoList"/>
    <w:uiPriority w:val="99"/>
    <w:semiHidden/>
    <w:unhideWhenUsed/>
    <w:rsid w:val="003A71DE"/>
  </w:style>
  <w:style w:type="numbering" w:customStyle="1" w:styleId="2121">
    <w:name w:val="无列表2121"/>
    <w:next w:val="NoList"/>
    <w:uiPriority w:val="99"/>
    <w:semiHidden/>
    <w:unhideWhenUsed/>
    <w:rsid w:val="003A71DE"/>
  </w:style>
  <w:style w:type="numbering" w:customStyle="1" w:styleId="NoList111221">
    <w:name w:val="No List111221"/>
    <w:next w:val="NoList"/>
    <w:uiPriority w:val="99"/>
    <w:semiHidden/>
    <w:unhideWhenUsed/>
    <w:rsid w:val="003A71DE"/>
  </w:style>
  <w:style w:type="numbering" w:customStyle="1" w:styleId="NoList151">
    <w:name w:val="No List151"/>
    <w:next w:val="NoList"/>
    <w:uiPriority w:val="99"/>
    <w:semiHidden/>
    <w:unhideWhenUsed/>
    <w:rsid w:val="003A71DE"/>
  </w:style>
  <w:style w:type="numbering" w:customStyle="1" w:styleId="1410">
    <w:name w:val="リストなし141"/>
    <w:next w:val="NoList"/>
    <w:uiPriority w:val="99"/>
    <w:semiHidden/>
    <w:unhideWhenUsed/>
    <w:rsid w:val="003A71DE"/>
  </w:style>
  <w:style w:type="table" w:customStyle="1" w:styleId="Tabellengitternetz141">
    <w:name w:val="Tabellengitternetz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1">
    <w:name w:val="Tabellengitternetz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1">
    <w:name w:val="Tabellengitternetz3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1">
    <w:name w:val="Tabellengitternetz4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1">
    <w:name w:val="Tabellengitternetz5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1">
    <w:name w:val="Tabellengitternetz6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1">
    <w:name w:val="Tabellengitternetz7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1">
    <w:name w:val="Tabellengitternetz8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1">
    <w:name w:val="Tabellengitternetz9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1">
    <w:name w:val="Table Grid2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
    <w:name w:val="Table Grid34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2">
    <w:name w:val="无列表141"/>
    <w:next w:val="NoList"/>
    <w:semiHidden/>
    <w:rsid w:val="003A71DE"/>
  </w:style>
  <w:style w:type="table" w:customStyle="1" w:styleId="341">
    <w:name w:val="网格型3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
    <w:name w:val="网格型4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1">
    <w:name w:val="No List241"/>
    <w:next w:val="NoList"/>
    <w:semiHidden/>
    <w:rsid w:val="003A71DE"/>
  </w:style>
  <w:style w:type="numbering" w:customStyle="1" w:styleId="NoList341">
    <w:name w:val="No List341"/>
    <w:next w:val="NoList"/>
    <w:uiPriority w:val="99"/>
    <w:semiHidden/>
    <w:rsid w:val="003A71DE"/>
  </w:style>
  <w:style w:type="table" w:customStyle="1" w:styleId="TableGrid441">
    <w:name w:val="Table Grid44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1">
    <w:name w:val="No List1151"/>
    <w:next w:val="NoList"/>
    <w:uiPriority w:val="99"/>
    <w:semiHidden/>
    <w:unhideWhenUsed/>
    <w:rsid w:val="003A71DE"/>
  </w:style>
  <w:style w:type="numbering" w:customStyle="1" w:styleId="1510">
    <w:name w:val="無清單151"/>
    <w:next w:val="NoList"/>
    <w:uiPriority w:val="99"/>
    <w:semiHidden/>
    <w:unhideWhenUsed/>
    <w:rsid w:val="003A71DE"/>
  </w:style>
  <w:style w:type="numbering" w:customStyle="1" w:styleId="11410">
    <w:name w:val="無清單1141"/>
    <w:next w:val="NoList"/>
    <w:uiPriority w:val="99"/>
    <w:semiHidden/>
    <w:unhideWhenUsed/>
    <w:rsid w:val="003A71DE"/>
  </w:style>
  <w:style w:type="table" w:customStyle="1" w:styleId="1413">
    <w:name w:val="表格格線14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1">
    <w:name w:val="No List431"/>
    <w:next w:val="NoList"/>
    <w:uiPriority w:val="99"/>
    <w:semiHidden/>
    <w:unhideWhenUsed/>
    <w:rsid w:val="003A71DE"/>
  </w:style>
  <w:style w:type="table" w:customStyle="1" w:styleId="TableGrid521">
    <w:name w:val="Table Grid52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1">
    <w:name w:val="No List1241"/>
    <w:next w:val="NoList"/>
    <w:uiPriority w:val="99"/>
    <w:semiHidden/>
    <w:unhideWhenUsed/>
    <w:rsid w:val="003A71DE"/>
  </w:style>
  <w:style w:type="numbering" w:customStyle="1" w:styleId="11411">
    <w:name w:val="リストなし1141"/>
    <w:next w:val="NoList"/>
    <w:uiPriority w:val="99"/>
    <w:semiHidden/>
    <w:unhideWhenUsed/>
    <w:rsid w:val="003A71DE"/>
  </w:style>
  <w:style w:type="table" w:customStyle="1" w:styleId="TableGrid1131">
    <w:name w:val="Table Grid113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1">
    <w:name w:val="Tabellengitternetz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1">
    <w:name w:val="Tabellengitternetz2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1">
    <w:name w:val="Tabellengitternetz3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1">
    <w:name w:val="Tabellengitternetz4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1">
    <w:name w:val="Tabellengitternetz5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1">
    <w:name w:val="Tabellengitternetz6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1">
    <w:name w:val="Tabellengitternetz7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1">
    <w:name w:val="Tabellengitternetz8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1">
    <w:name w:val="Tabellengitternetz9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1">
    <w:name w:val="Table Grid21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
    <w:name w:val="Table Grid312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2">
    <w:name w:val="无列表1141"/>
    <w:next w:val="NoList"/>
    <w:semiHidden/>
    <w:rsid w:val="003A71DE"/>
  </w:style>
  <w:style w:type="table" w:customStyle="1" w:styleId="3121">
    <w:name w:val="网格型31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
    <w:name w:val="网格型41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41">
    <w:name w:val="No List2141"/>
    <w:next w:val="NoList"/>
    <w:semiHidden/>
    <w:rsid w:val="003A71DE"/>
  </w:style>
  <w:style w:type="numbering" w:customStyle="1" w:styleId="NoList3141">
    <w:name w:val="No List3141"/>
    <w:next w:val="NoList"/>
    <w:uiPriority w:val="99"/>
    <w:semiHidden/>
    <w:rsid w:val="003A71DE"/>
  </w:style>
  <w:style w:type="table" w:customStyle="1" w:styleId="TableGrid4121">
    <w:name w:val="Table Grid412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41">
    <w:name w:val="No List11141"/>
    <w:next w:val="NoList"/>
    <w:uiPriority w:val="99"/>
    <w:semiHidden/>
    <w:unhideWhenUsed/>
    <w:rsid w:val="003A71DE"/>
  </w:style>
  <w:style w:type="numbering" w:customStyle="1" w:styleId="12410">
    <w:name w:val="無清單1241"/>
    <w:next w:val="NoList"/>
    <w:uiPriority w:val="99"/>
    <w:semiHidden/>
    <w:unhideWhenUsed/>
    <w:rsid w:val="003A71DE"/>
  </w:style>
  <w:style w:type="numbering" w:customStyle="1" w:styleId="111410">
    <w:name w:val="無清單11141"/>
    <w:next w:val="NoList"/>
    <w:uiPriority w:val="99"/>
    <w:semiHidden/>
    <w:unhideWhenUsed/>
    <w:rsid w:val="003A71DE"/>
  </w:style>
  <w:style w:type="table" w:customStyle="1" w:styleId="11213">
    <w:name w:val="表格格線112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无列表231"/>
    <w:next w:val="NoList"/>
    <w:uiPriority w:val="99"/>
    <w:semiHidden/>
    <w:unhideWhenUsed/>
    <w:rsid w:val="003A71DE"/>
  </w:style>
  <w:style w:type="numbering" w:customStyle="1" w:styleId="NoList12131">
    <w:name w:val="No List12131"/>
    <w:next w:val="NoList"/>
    <w:uiPriority w:val="99"/>
    <w:semiHidden/>
    <w:unhideWhenUsed/>
    <w:rsid w:val="003A71DE"/>
  </w:style>
  <w:style w:type="numbering" w:customStyle="1" w:styleId="111310">
    <w:name w:val="リストなし11131"/>
    <w:next w:val="NoList"/>
    <w:uiPriority w:val="99"/>
    <w:semiHidden/>
    <w:unhideWhenUsed/>
    <w:rsid w:val="003A71DE"/>
  </w:style>
  <w:style w:type="numbering" w:customStyle="1" w:styleId="111312">
    <w:name w:val="无列表11131"/>
    <w:next w:val="NoList"/>
    <w:semiHidden/>
    <w:rsid w:val="003A71DE"/>
  </w:style>
  <w:style w:type="numbering" w:customStyle="1" w:styleId="NoList21131">
    <w:name w:val="No List21131"/>
    <w:next w:val="NoList"/>
    <w:semiHidden/>
    <w:rsid w:val="003A71DE"/>
  </w:style>
  <w:style w:type="numbering" w:customStyle="1" w:styleId="NoList31131">
    <w:name w:val="No List31131"/>
    <w:next w:val="NoList"/>
    <w:uiPriority w:val="99"/>
    <w:semiHidden/>
    <w:rsid w:val="003A71DE"/>
  </w:style>
  <w:style w:type="numbering" w:customStyle="1" w:styleId="NoList111131">
    <w:name w:val="No List111131"/>
    <w:next w:val="NoList"/>
    <w:uiPriority w:val="99"/>
    <w:semiHidden/>
    <w:unhideWhenUsed/>
    <w:rsid w:val="003A71DE"/>
  </w:style>
  <w:style w:type="numbering" w:customStyle="1" w:styleId="12131">
    <w:name w:val="無清單12131"/>
    <w:next w:val="NoList"/>
    <w:uiPriority w:val="99"/>
    <w:semiHidden/>
    <w:unhideWhenUsed/>
    <w:rsid w:val="003A71DE"/>
  </w:style>
  <w:style w:type="numbering" w:customStyle="1" w:styleId="111131">
    <w:name w:val="無清單111131"/>
    <w:next w:val="NoList"/>
    <w:uiPriority w:val="99"/>
    <w:semiHidden/>
    <w:unhideWhenUsed/>
    <w:rsid w:val="003A71DE"/>
  </w:style>
  <w:style w:type="numbering" w:customStyle="1" w:styleId="NoList531">
    <w:name w:val="No List531"/>
    <w:next w:val="NoList"/>
    <w:uiPriority w:val="99"/>
    <w:semiHidden/>
    <w:unhideWhenUsed/>
    <w:rsid w:val="003A71DE"/>
  </w:style>
  <w:style w:type="table" w:customStyle="1" w:styleId="TableGrid621">
    <w:name w:val="Table Grid62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31">
    <w:name w:val="No List1331"/>
    <w:next w:val="NoList"/>
    <w:uiPriority w:val="99"/>
    <w:semiHidden/>
    <w:unhideWhenUsed/>
    <w:rsid w:val="003A71DE"/>
  </w:style>
  <w:style w:type="numbering" w:customStyle="1" w:styleId="12310">
    <w:name w:val="リストなし1231"/>
    <w:next w:val="NoList"/>
    <w:uiPriority w:val="99"/>
    <w:semiHidden/>
    <w:unhideWhenUsed/>
    <w:rsid w:val="003A71DE"/>
  </w:style>
  <w:style w:type="table" w:customStyle="1" w:styleId="TableGrid1221">
    <w:name w:val="Table Grid122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1">
    <w:name w:val="Tabellengitternetz1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1">
    <w:name w:val="Tabellengitternetz2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1">
    <w:name w:val="Tabellengitternetz3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1">
    <w:name w:val="Tabellengitternetz4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1">
    <w:name w:val="Tabellengitternetz5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1">
    <w:name w:val="Tabellengitternetz6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1">
    <w:name w:val="Tabellengitternetz7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1">
    <w:name w:val="Tabellengitternetz8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1">
    <w:name w:val="Tabellengitternetz92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1">
    <w:name w:val="Table Grid22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1">
    <w:name w:val="Table Grid322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2">
    <w:name w:val="无列表1231"/>
    <w:next w:val="NoList"/>
    <w:semiHidden/>
    <w:rsid w:val="003A71DE"/>
  </w:style>
  <w:style w:type="table" w:customStyle="1" w:styleId="3221">
    <w:name w:val="网格型32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
    <w:name w:val="网格型42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31">
    <w:name w:val="No List2231"/>
    <w:next w:val="NoList"/>
    <w:semiHidden/>
    <w:rsid w:val="003A71DE"/>
  </w:style>
  <w:style w:type="numbering" w:customStyle="1" w:styleId="NoList3231">
    <w:name w:val="No List3231"/>
    <w:next w:val="NoList"/>
    <w:uiPriority w:val="99"/>
    <w:semiHidden/>
    <w:rsid w:val="003A71DE"/>
  </w:style>
  <w:style w:type="table" w:customStyle="1" w:styleId="TableGrid4221">
    <w:name w:val="Table Grid422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31">
    <w:name w:val="No List11231"/>
    <w:next w:val="NoList"/>
    <w:uiPriority w:val="99"/>
    <w:semiHidden/>
    <w:unhideWhenUsed/>
    <w:rsid w:val="003A71DE"/>
  </w:style>
  <w:style w:type="numbering" w:customStyle="1" w:styleId="1331">
    <w:name w:val="無清單1331"/>
    <w:next w:val="NoList"/>
    <w:uiPriority w:val="99"/>
    <w:semiHidden/>
    <w:unhideWhenUsed/>
    <w:rsid w:val="003A71DE"/>
  </w:style>
  <w:style w:type="numbering" w:customStyle="1" w:styleId="112310">
    <w:name w:val="無清單11231"/>
    <w:next w:val="NoList"/>
    <w:uiPriority w:val="99"/>
    <w:semiHidden/>
    <w:unhideWhenUsed/>
    <w:rsid w:val="003A71DE"/>
  </w:style>
  <w:style w:type="table" w:customStyle="1" w:styleId="12214">
    <w:name w:val="表格格線122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1">
    <w:name w:val="无列表2131"/>
    <w:next w:val="NoList"/>
    <w:uiPriority w:val="99"/>
    <w:semiHidden/>
    <w:unhideWhenUsed/>
    <w:rsid w:val="003A71DE"/>
  </w:style>
  <w:style w:type="numbering" w:customStyle="1" w:styleId="NoList12221">
    <w:name w:val="No List12221"/>
    <w:next w:val="NoList"/>
    <w:uiPriority w:val="99"/>
    <w:semiHidden/>
    <w:unhideWhenUsed/>
    <w:rsid w:val="003A71DE"/>
  </w:style>
  <w:style w:type="numbering" w:customStyle="1" w:styleId="112211">
    <w:name w:val="リストなし11221"/>
    <w:next w:val="NoList"/>
    <w:uiPriority w:val="99"/>
    <w:semiHidden/>
    <w:unhideWhenUsed/>
    <w:rsid w:val="003A71DE"/>
  </w:style>
  <w:style w:type="numbering" w:customStyle="1" w:styleId="112212">
    <w:name w:val="无列表11221"/>
    <w:next w:val="NoList"/>
    <w:semiHidden/>
    <w:rsid w:val="003A71DE"/>
  </w:style>
  <w:style w:type="numbering" w:customStyle="1" w:styleId="NoList21221">
    <w:name w:val="No List21221"/>
    <w:next w:val="NoList"/>
    <w:semiHidden/>
    <w:rsid w:val="003A71DE"/>
  </w:style>
  <w:style w:type="numbering" w:customStyle="1" w:styleId="NoList31221">
    <w:name w:val="No List31221"/>
    <w:next w:val="NoList"/>
    <w:uiPriority w:val="99"/>
    <w:semiHidden/>
    <w:rsid w:val="003A71DE"/>
  </w:style>
  <w:style w:type="numbering" w:customStyle="1" w:styleId="NoList111231">
    <w:name w:val="No List111231"/>
    <w:next w:val="NoList"/>
    <w:uiPriority w:val="99"/>
    <w:semiHidden/>
    <w:unhideWhenUsed/>
    <w:rsid w:val="003A71DE"/>
  </w:style>
  <w:style w:type="numbering" w:customStyle="1" w:styleId="12221">
    <w:name w:val="無清單12221"/>
    <w:next w:val="NoList"/>
    <w:uiPriority w:val="99"/>
    <w:semiHidden/>
    <w:unhideWhenUsed/>
    <w:rsid w:val="003A71DE"/>
  </w:style>
  <w:style w:type="numbering" w:customStyle="1" w:styleId="111221">
    <w:name w:val="無清單111221"/>
    <w:next w:val="NoList"/>
    <w:uiPriority w:val="99"/>
    <w:semiHidden/>
    <w:unhideWhenUsed/>
    <w:rsid w:val="003A71DE"/>
  </w:style>
  <w:style w:type="paragraph" w:customStyle="1" w:styleId="36">
    <w:name w:val="修订3"/>
    <w:uiPriority w:val="99"/>
    <w:semiHidden/>
    <w:rsid w:val="003A71DE"/>
    <w:pPr>
      <w:spacing w:after="0" w:line="240" w:lineRule="auto"/>
    </w:pPr>
    <w:rPr>
      <w:rFonts w:ascii="Times New Roman" w:eastAsia="Batang" w:hAnsi="Times New Roman" w:cs="Times New Roman"/>
      <w:sz w:val="20"/>
      <w:szCs w:val="20"/>
      <w:lang w:val="en-GB"/>
    </w:rPr>
  </w:style>
  <w:style w:type="character" w:customStyle="1" w:styleId="NumberedListChar">
    <w:name w:val="Numbered List Char"/>
    <w:basedOn w:val="DefaultParagraphFont"/>
    <w:link w:val="NumberedList"/>
    <w:uiPriority w:val="99"/>
    <w:rsid w:val="003A71DE"/>
    <w:rPr>
      <w:rFonts w:ascii="Times New Roman" w:eastAsia="MS Mincho" w:hAnsi="Times New Roman" w:cs="Times New Roman"/>
      <w:sz w:val="20"/>
      <w:szCs w:val="20"/>
      <w:lang w:eastAsia="ja-JP"/>
    </w:rPr>
  </w:style>
  <w:style w:type="paragraph" w:customStyle="1" w:styleId="Doc-text2">
    <w:name w:val="Doc-text2"/>
    <w:basedOn w:val="Normal"/>
    <w:link w:val="Doc-text2Char"/>
    <w:qFormat/>
    <w:rsid w:val="003A71DE"/>
    <w:pPr>
      <w:tabs>
        <w:tab w:val="left" w:pos="1622"/>
      </w:tabs>
      <w:spacing w:before="120" w:after="120"/>
      <w:ind w:left="1622" w:hanging="363"/>
      <w:jc w:val="both"/>
    </w:pPr>
    <w:rPr>
      <w:rFonts w:ascii="Arial" w:eastAsia="MS Mincho" w:hAnsi="Arial" w:cs="Arial"/>
      <w:lang w:eastAsia="ja-JP"/>
    </w:rPr>
  </w:style>
  <w:style w:type="character" w:customStyle="1" w:styleId="Doc-text2Char">
    <w:name w:val="Doc-text2 Char"/>
    <w:link w:val="Doc-text2"/>
    <w:locked/>
    <w:rsid w:val="003A71DE"/>
    <w:rPr>
      <w:rFonts w:ascii="Arial" w:eastAsia="MS Mincho" w:hAnsi="Arial" w:cs="Arial"/>
      <w:sz w:val="20"/>
      <w:szCs w:val="20"/>
      <w:lang w:val="en-GB" w:eastAsia="ja-JP"/>
    </w:rPr>
  </w:style>
  <w:style w:type="character" w:customStyle="1" w:styleId="11Char">
    <w:name w:val="1.1 Char"/>
    <w:rsid w:val="003A71DE"/>
    <w:rPr>
      <w:rFonts w:ascii="Arial" w:eastAsia="MS Mincho" w:hAnsi="Arial" w:cs="Times New Roman"/>
      <w:b/>
      <w:bCs/>
      <w:sz w:val="24"/>
      <w:szCs w:val="26"/>
      <w:lang w:eastAsia="en-US"/>
    </w:rPr>
  </w:style>
  <w:style w:type="character" w:customStyle="1" w:styleId="1e">
    <w:name w:val="明显强调1"/>
    <w:uiPriority w:val="21"/>
    <w:qFormat/>
    <w:rsid w:val="003A71DE"/>
    <w:rPr>
      <w:b/>
      <w:bCs/>
      <w:i/>
      <w:iCs/>
      <w:color w:val="4F81BD"/>
    </w:rPr>
  </w:style>
  <w:style w:type="paragraph" w:customStyle="1" w:styleId="MediumGrid21">
    <w:name w:val="Medium Grid 21"/>
    <w:uiPriority w:val="1"/>
    <w:qFormat/>
    <w:rsid w:val="003A71DE"/>
    <w:pPr>
      <w:overflowPunct w:val="0"/>
      <w:autoSpaceDE w:val="0"/>
      <w:autoSpaceDN w:val="0"/>
      <w:adjustRightInd w:val="0"/>
      <w:spacing w:after="0" w:line="240" w:lineRule="auto"/>
      <w:textAlignment w:val="baseline"/>
    </w:pPr>
    <w:rPr>
      <w:rFonts w:ascii="Times New Roman" w:eastAsia="MS Mincho" w:hAnsi="Times New Roman" w:cs="Times New Roman"/>
      <w:sz w:val="20"/>
      <w:szCs w:val="20"/>
      <w:lang w:val="en-GB" w:eastAsia="ja-JP"/>
    </w:rPr>
  </w:style>
  <w:style w:type="paragraph" w:customStyle="1" w:styleId="Paragraphedeliste">
    <w:name w:val="Paragraphe de liste"/>
    <w:basedOn w:val="Normal"/>
    <w:uiPriority w:val="34"/>
    <w:qFormat/>
    <w:rsid w:val="003A71DE"/>
    <w:pPr>
      <w:spacing w:before="120" w:after="120"/>
      <w:ind w:left="720"/>
      <w:jc w:val="both"/>
    </w:pPr>
    <w:rPr>
      <w:sz w:val="24"/>
      <w:lang w:val="fr-FR" w:eastAsia="en-US"/>
    </w:rPr>
  </w:style>
  <w:style w:type="paragraph" w:customStyle="1" w:styleId="Observation">
    <w:name w:val="Observation"/>
    <w:basedOn w:val="Normal"/>
    <w:uiPriority w:val="99"/>
    <w:qFormat/>
    <w:rsid w:val="003A71DE"/>
    <w:pPr>
      <w:numPr>
        <w:numId w:val="15"/>
      </w:numPr>
      <w:tabs>
        <w:tab w:val="left" w:pos="1701"/>
      </w:tabs>
      <w:spacing w:before="120" w:after="120"/>
      <w:jc w:val="both"/>
    </w:pPr>
    <w:rPr>
      <w:rFonts w:ascii="Arial" w:hAnsi="Arial"/>
      <w:b/>
      <w:bCs/>
      <w:lang w:eastAsia="en-US"/>
    </w:rPr>
  </w:style>
  <w:style w:type="character" w:styleId="IntenseReference">
    <w:name w:val="Intense Reference"/>
    <w:qFormat/>
    <w:rsid w:val="003A71DE"/>
    <w:rPr>
      <w:b/>
      <w:bCs w:val="0"/>
      <w:smallCaps/>
      <w:color w:val="C0504D"/>
      <w:spacing w:val="5"/>
      <w:u w:val="single"/>
    </w:rPr>
  </w:style>
  <w:style w:type="paragraph" w:customStyle="1" w:styleId="Header-3gppTdoc">
    <w:name w:val="Header-3gpp Tdoc"/>
    <w:basedOn w:val="Header"/>
    <w:link w:val="Header-3gppTdocChar"/>
    <w:qFormat/>
    <w:rsid w:val="003A71DE"/>
    <w:pPr>
      <w:widowControl/>
      <w:tabs>
        <w:tab w:val="center" w:pos="4153"/>
        <w:tab w:val="right" w:pos="9360"/>
      </w:tabs>
      <w:overflowPunct/>
      <w:autoSpaceDE/>
      <w:autoSpaceDN/>
      <w:adjustRightInd/>
      <w:spacing w:before="120" w:after="120"/>
      <w:jc w:val="both"/>
      <w:textAlignment w:val="auto"/>
    </w:pPr>
    <w:rPr>
      <w:rFonts w:eastAsia="MS Mincho" w:cs="Arial"/>
      <w:noProof w:val="0"/>
      <w:sz w:val="24"/>
      <w:szCs w:val="24"/>
      <w:lang w:val="en-US"/>
    </w:rPr>
  </w:style>
  <w:style w:type="character" w:customStyle="1" w:styleId="Header-3gppTdocChar">
    <w:name w:val="Header-3gpp Tdoc Char"/>
    <w:basedOn w:val="DefaultParagraphFont"/>
    <w:link w:val="Header-3gppTdoc"/>
    <w:rsid w:val="003A71DE"/>
    <w:rPr>
      <w:rFonts w:ascii="Arial" w:eastAsia="MS Mincho" w:hAnsi="Arial" w:cs="Arial"/>
      <w:b/>
      <w:sz w:val="24"/>
      <w:szCs w:val="24"/>
      <w:lang w:eastAsia="en-GB"/>
    </w:rPr>
  </w:style>
  <w:style w:type="character" w:customStyle="1" w:styleId="Char2">
    <w:name w:val="明显引用 Char2"/>
    <w:basedOn w:val="DefaultParagraphFont"/>
    <w:uiPriority w:val="30"/>
    <w:rsid w:val="003A71DE"/>
    <w:rPr>
      <w:rFonts w:ascii="Times New Roman" w:hAnsi="Times New Roman"/>
      <w:i/>
      <w:iCs/>
      <w:color w:val="4472C4" w:themeColor="accent1"/>
      <w:lang w:val="en-GB" w:eastAsia="en-US"/>
    </w:rPr>
  </w:style>
  <w:style w:type="numbering" w:customStyle="1" w:styleId="46">
    <w:name w:val="无列表4"/>
    <w:next w:val="NoList"/>
    <w:uiPriority w:val="99"/>
    <w:semiHidden/>
    <w:unhideWhenUsed/>
    <w:rsid w:val="003A71DE"/>
  </w:style>
  <w:style w:type="table" w:customStyle="1" w:styleId="126">
    <w:name w:val="网格型1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4">
    <w:name w:val="无列表32"/>
    <w:next w:val="NoList"/>
    <w:uiPriority w:val="99"/>
    <w:semiHidden/>
    <w:unhideWhenUsed/>
    <w:rsid w:val="003A71DE"/>
  </w:style>
  <w:style w:type="numbering" w:customStyle="1" w:styleId="13121">
    <w:name w:val="无列表1312"/>
    <w:next w:val="NoList"/>
    <w:semiHidden/>
    <w:rsid w:val="003A71DE"/>
  </w:style>
  <w:style w:type="numbering" w:customStyle="1" w:styleId="NoList4112">
    <w:name w:val="No List4112"/>
    <w:next w:val="NoList"/>
    <w:uiPriority w:val="99"/>
    <w:semiHidden/>
    <w:unhideWhenUsed/>
    <w:rsid w:val="003A71DE"/>
  </w:style>
  <w:style w:type="numbering" w:customStyle="1" w:styleId="2212">
    <w:name w:val="无列表2212"/>
    <w:next w:val="NoList"/>
    <w:uiPriority w:val="99"/>
    <w:semiHidden/>
    <w:unhideWhenUsed/>
    <w:rsid w:val="003A71DE"/>
  </w:style>
  <w:style w:type="numbering" w:customStyle="1" w:styleId="NoList121112">
    <w:name w:val="No List121112"/>
    <w:next w:val="NoList"/>
    <w:uiPriority w:val="99"/>
    <w:semiHidden/>
    <w:unhideWhenUsed/>
    <w:rsid w:val="003A71DE"/>
  </w:style>
  <w:style w:type="numbering" w:customStyle="1" w:styleId="1111121">
    <w:name w:val="リストなし111112"/>
    <w:next w:val="NoList"/>
    <w:uiPriority w:val="99"/>
    <w:semiHidden/>
    <w:unhideWhenUsed/>
    <w:rsid w:val="003A71DE"/>
  </w:style>
  <w:style w:type="numbering" w:customStyle="1" w:styleId="1111122">
    <w:name w:val="无列表111112"/>
    <w:next w:val="NoList"/>
    <w:semiHidden/>
    <w:rsid w:val="003A71DE"/>
  </w:style>
  <w:style w:type="numbering" w:customStyle="1" w:styleId="NoList211112">
    <w:name w:val="No List211112"/>
    <w:next w:val="NoList"/>
    <w:semiHidden/>
    <w:rsid w:val="003A71DE"/>
  </w:style>
  <w:style w:type="numbering" w:customStyle="1" w:styleId="NoList311112">
    <w:name w:val="No List311112"/>
    <w:next w:val="NoList"/>
    <w:uiPriority w:val="99"/>
    <w:semiHidden/>
    <w:rsid w:val="003A71DE"/>
  </w:style>
  <w:style w:type="numbering" w:customStyle="1" w:styleId="NoList1111112">
    <w:name w:val="No List1111112"/>
    <w:next w:val="NoList"/>
    <w:uiPriority w:val="99"/>
    <w:semiHidden/>
    <w:unhideWhenUsed/>
    <w:rsid w:val="003A71DE"/>
  </w:style>
  <w:style w:type="numbering" w:customStyle="1" w:styleId="1211120">
    <w:name w:val="無清單121112"/>
    <w:next w:val="NoList"/>
    <w:uiPriority w:val="99"/>
    <w:semiHidden/>
    <w:unhideWhenUsed/>
    <w:rsid w:val="003A71DE"/>
  </w:style>
  <w:style w:type="numbering" w:customStyle="1" w:styleId="11111120">
    <w:name w:val="無清單1111112"/>
    <w:next w:val="NoList"/>
    <w:uiPriority w:val="99"/>
    <w:semiHidden/>
    <w:unhideWhenUsed/>
    <w:rsid w:val="003A71DE"/>
  </w:style>
  <w:style w:type="numbering" w:customStyle="1" w:styleId="NoList13112">
    <w:name w:val="No List13112"/>
    <w:next w:val="NoList"/>
    <w:uiPriority w:val="99"/>
    <w:semiHidden/>
    <w:unhideWhenUsed/>
    <w:rsid w:val="003A71DE"/>
  </w:style>
  <w:style w:type="numbering" w:customStyle="1" w:styleId="121121">
    <w:name w:val="リストなし12112"/>
    <w:next w:val="NoList"/>
    <w:uiPriority w:val="99"/>
    <w:semiHidden/>
    <w:unhideWhenUsed/>
    <w:rsid w:val="003A71DE"/>
  </w:style>
  <w:style w:type="numbering" w:customStyle="1" w:styleId="121122">
    <w:name w:val="无列表12112"/>
    <w:next w:val="NoList"/>
    <w:semiHidden/>
    <w:rsid w:val="003A71DE"/>
  </w:style>
  <w:style w:type="numbering" w:customStyle="1" w:styleId="NoList22112">
    <w:name w:val="No List22112"/>
    <w:next w:val="NoList"/>
    <w:semiHidden/>
    <w:rsid w:val="003A71DE"/>
  </w:style>
  <w:style w:type="numbering" w:customStyle="1" w:styleId="NoList32112">
    <w:name w:val="No List32112"/>
    <w:next w:val="NoList"/>
    <w:uiPriority w:val="99"/>
    <w:semiHidden/>
    <w:rsid w:val="003A71DE"/>
  </w:style>
  <w:style w:type="numbering" w:customStyle="1" w:styleId="NoList112112">
    <w:name w:val="No List112112"/>
    <w:next w:val="NoList"/>
    <w:uiPriority w:val="99"/>
    <w:semiHidden/>
    <w:unhideWhenUsed/>
    <w:rsid w:val="003A71DE"/>
  </w:style>
  <w:style w:type="numbering" w:customStyle="1" w:styleId="131120">
    <w:name w:val="無清單13112"/>
    <w:next w:val="NoList"/>
    <w:uiPriority w:val="99"/>
    <w:semiHidden/>
    <w:unhideWhenUsed/>
    <w:rsid w:val="003A71DE"/>
  </w:style>
  <w:style w:type="numbering" w:customStyle="1" w:styleId="1121120">
    <w:name w:val="無清單112112"/>
    <w:next w:val="NoList"/>
    <w:uiPriority w:val="99"/>
    <w:semiHidden/>
    <w:unhideWhenUsed/>
    <w:rsid w:val="003A71DE"/>
  </w:style>
  <w:style w:type="numbering" w:customStyle="1" w:styleId="21112">
    <w:name w:val="无列表21112"/>
    <w:next w:val="NoList"/>
    <w:uiPriority w:val="99"/>
    <w:semiHidden/>
    <w:unhideWhenUsed/>
    <w:rsid w:val="003A71DE"/>
  </w:style>
  <w:style w:type="numbering" w:customStyle="1" w:styleId="NoList122112">
    <w:name w:val="No List122112"/>
    <w:next w:val="NoList"/>
    <w:uiPriority w:val="99"/>
    <w:semiHidden/>
    <w:unhideWhenUsed/>
    <w:rsid w:val="003A71DE"/>
  </w:style>
  <w:style w:type="numbering" w:customStyle="1" w:styleId="1121121">
    <w:name w:val="リストなし112112"/>
    <w:next w:val="NoList"/>
    <w:uiPriority w:val="99"/>
    <w:semiHidden/>
    <w:unhideWhenUsed/>
    <w:rsid w:val="003A71DE"/>
  </w:style>
  <w:style w:type="numbering" w:customStyle="1" w:styleId="1121122">
    <w:name w:val="无列表112112"/>
    <w:next w:val="NoList"/>
    <w:semiHidden/>
    <w:rsid w:val="003A71DE"/>
  </w:style>
  <w:style w:type="numbering" w:customStyle="1" w:styleId="NoList212112">
    <w:name w:val="No List212112"/>
    <w:next w:val="NoList"/>
    <w:semiHidden/>
    <w:rsid w:val="003A71DE"/>
  </w:style>
  <w:style w:type="numbering" w:customStyle="1" w:styleId="NoList312112">
    <w:name w:val="No List312112"/>
    <w:next w:val="NoList"/>
    <w:uiPriority w:val="99"/>
    <w:semiHidden/>
    <w:rsid w:val="003A71DE"/>
  </w:style>
  <w:style w:type="numbering" w:customStyle="1" w:styleId="NoList1112112">
    <w:name w:val="No List1112112"/>
    <w:next w:val="NoList"/>
    <w:uiPriority w:val="99"/>
    <w:semiHidden/>
    <w:unhideWhenUsed/>
    <w:rsid w:val="003A71DE"/>
  </w:style>
  <w:style w:type="numbering" w:customStyle="1" w:styleId="122112">
    <w:name w:val="無清單122112"/>
    <w:next w:val="NoList"/>
    <w:uiPriority w:val="99"/>
    <w:semiHidden/>
    <w:unhideWhenUsed/>
    <w:rsid w:val="003A71DE"/>
  </w:style>
  <w:style w:type="numbering" w:customStyle="1" w:styleId="1112112">
    <w:name w:val="無清單1112112"/>
    <w:next w:val="NoList"/>
    <w:uiPriority w:val="99"/>
    <w:semiHidden/>
    <w:unhideWhenUsed/>
    <w:rsid w:val="003A71DE"/>
  </w:style>
  <w:style w:type="numbering" w:customStyle="1" w:styleId="12222">
    <w:name w:val="无列表1222"/>
    <w:next w:val="NoList"/>
    <w:semiHidden/>
    <w:rsid w:val="003A71DE"/>
  </w:style>
  <w:style w:type="table" w:customStyle="1" w:styleId="TableGrid1122">
    <w:name w:val="Table Grid112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2">
    <w:name w:val="Tabellengitternetz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2">
    <w:name w:val="Tabellengitternetz2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2">
    <w:name w:val="Tabellengitternetz3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2">
    <w:name w:val="Tabellengitternetz4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2">
    <w:name w:val="Tabellengitternetz5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2">
    <w:name w:val="Tabellengitternetz6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2">
    <w:name w:val="Tabellengitternetz7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2">
    <w:name w:val="Tabellengitternetz8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2">
    <w:name w:val="Tabellengitternetz9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
    <w:name w:val="Table Grid311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
    <w:name w:val="网格型31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
    <w:name w:val="网格型41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2">
    <w:name w:val="Table Grid411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4">
    <w:name w:val="表格格線111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111">
    <w:name w:val="No List1211111"/>
    <w:next w:val="NoList"/>
    <w:uiPriority w:val="99"/>
    <w:semiHidden/>
    <w:unhideWhenUsed/>
    <w:rsid w:val="003A71DE"/>
  </w:style>
  <w:style w:type="numbering" w:customStyle="1" w:styleId="11111111">
    <w:name w:val="リストなし1111111"/>
    <w:next w:val="NoList"/>
    <w:uiPriority w:val="99"/>
    <w:semiHidden/>
    <w:unhideWhenUsed/>
    <w:rsid w:val="003A71DE"/>
  </w:style>
  <w:style w:type="numbering" w:customStyle="1" w:styleId="11111112">
    <w:name w:val="无列表1111111"/>
    <w:next w:val="NoList"/>
    <w:semiHidden/>
    <w:rsid w:val="003A71DE"/>
  </w:style>
  <w:style w:type="numbering" w:customStyle="1" w:styleId="NoList2111111">
    <w:name w:val="No List2111111"/>
    <w:next w:val="NoList"/>
    <w:semiHidden/>
    <w:rsid w:val="003A71DE"/>
  </w:style>
  <w:style w:type="numbering" w:customStyle="1" w:styleId="NoList3111111">
    <w:name w:val="No List3111111"/>
    <w:next w:val="NoList"/>
    <w:uiPriority w:val="99"/>
    <w:semiHidden/>
    <w:rsid w:val="003A71DE"/>
  </w:style>
  <w:style w:type="numbering" w:customStyle="1" w:styleId="NoList111111111">
    <w:name w:val="No List111111111"/>
    <w:next w:val="NoList"/>
    <w:uiPriority w:val="99"/>
    <w:semiHidden/>
    <w:unhideWhenUsed/>
    <w:rsid w:val="003A71DE"/>
  </w:style>
  <w:style w:type="numbering" w:customStyle="1" w:styleId="1211111">
    <w:name w:val="無清單1211111"/>
    <w:next w:val="NoList"/>
    <w:uiPriority w:val="99"/>
    <w:semiHidden/>
    <w:unhideWhenUsed/>
    <w:rsid w:val="003A71DE"/>
  </w:style>
  <w:style w:type="numbering" w:customStyle="1" w:styleId="111111110">
    <w:name w:val="無清單11111111"/>
    <w:next w:val="NoList"/>
    <w:uiPriority w:val="99"/>
    <w:semiHidden/>
    <w:unhideWhenUsed/>
    <w:rsid w:val="003A71DE"/>
  </w:style>
  <w:style w:type="numbering" w:customStyle="1" w:styleId="1211110">
    <w:name w:val="无列表121111"/>
    <w:next w:val="NoList"/>
    <w:semiHidden/>
    <w:rsid w:val="003A71DE"/>
  </w:style>
  <w:style w:type="numbering" w:customStyle="1" w:styleId="211111">
    <w:name w:val="无列表211111"/>
    <w:next w:val="NoList"/>
    <w:uiPriority w:val="99"/>
    <w:semiHidden/>
    <w:unhideWhenUsed/>
    <w:rsid w:val="003A71DE"/>
  </w:style>
  <w:style w:type="character" w:customStyle="1" w:styleId="Char3">
    <w:name w:val="明显引用 Char3"/>
    <w:basedOn w:val="DefaultParagraphFont"/>
    <w:uiPriority w:val="30"/>
    <w:rsid w:val="003A71DE"/>
    <w:rPr>
      <w:rFonts w:ascii="Times New Roman" w:hAnsi="Times New Roman"/>
      <w:i/>
      <w:iCs/>
      <w:color w:val="4472C4" w:themeColor="accent1"/>
      <w:lang w:val="en-GB" w:eastAsia="en-US"/>
    </w:rPr>
  </w:style>
  <w:style w:type="numbering" w:customStyle="1" w:styleId="NoList17">
    <w:name w:val="No List17"/>
    <w:next w:val="NoList"/>
    <w:uiPriority w:val="99"/>
    <w:semiHidden/>
    <w:unhideWhenUsed/>
    <w:rsid w:val="003A71DE"/>
  </w:style>
  <w:style w:type="numbering" w:customStyle="1" w:styleId="161">
    <w:name w:val="リストなし16"/>
    <w:next w:val="NoList"/>
    <w:uiPriority w:val="99"/>
    <w:semiHidden/>
    <w:unhideWhenUsed/>
    <w:rsid w:val="003A71DE"/>
  </w:style>
  <w:style w:type="table" w:customStyle="1" w:styleId="Tabellengitternetz16">
    <w:name w:val="Tabellengitternetz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6">
    <w:name w:val="Tabellengitternetz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6">
    <w:name w:val="Tabellengitternetz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6">
    <w:name w:val="Tabellengitternetz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6">
    <w:name w:val="Tabellengitternetz5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6">
    <w:name w:val="Tabellengitternetz6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6">
    <w:name w:val="Tabellengitternetz7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6">
    <w:name w:val="Tabellengitternetz8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6">
    <w:name w:val="Tabellengitternetz9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
    <w:name w:val="Table Grid36"/>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
    <w:name w:val="无列表16"/>
    <w:next w:val="NoList"/>
    <w:semiHidden/>
    <w:rsid w:val="003A71DE"/>
  </w:style>
  <w:style w:type="table" w:customStyle="1" w:styleId="360">
    <w:name w:val="网格型3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网格型4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6">
    <w:name w:val="No List26"/>
    <w:next w:val="NoList"/>
    <w:semiHidden/>
    <w:rsid w:val="003A71DE"/>
  </w:style>
  <w:style w:type="numbering" w:customStyle="1" w:styleId="NoList36">
    <w:name w:val="No List36"/>
    <w:next w:val="NoList"/>
    <w:uiPriority w:val="99"/>
    <w:semiHidden/>
    <w:rsid w:val="003A71DE"/>
  </w:style>
  <w:style w:type="table" w:customStyle="1" w:styleId="TableGrid46">
    <w:name w:val="Table Grid46"/>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7">
    <w:name w:val="No List117"/>
    <w:next w:val="NoList"/>
    <w:uiPriority w:val="99"/>
    <w:semiHidden/>
    <w:unhideWhenUsed/>
    <w:rsid w:val="003A71DE"/>
  </w:style>
  <w:style w:type="numbering" w:customStyle="1" w:styleId="170">
    <w:name w:val="無清單17"/>
    <w:next w:val="NoList"/>
    <w:uiPriority w:val="99"/>
    <w:semiHidden/>
    <w:unhideWhenUsed/>
    <w:rsid w:val="003A71DE"/>
  </w:style>
  <w:style w:type="numbering" w:customStyle="1" w:styleId="1160">
    <w:name w:val="無清單116"/>
    <w:next w:val="NoList"/>
    <w:uiPriority w:val="99"/>
    <w:semiHidden/>
    <w:unhideWhenUsed/>
    <w:rsid w:val="003A71DE"/>
  </w:style>
  <w:style w:type="table" w:customStyle="1" w:styleId="163">
    <w:name w:val="表格格線16"/>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6">
    <w:name w:val="No List1116"/>
    <w:next w:val="NoList"/>
    <w:uiPriority w:val="99"/>
    <w:semiHidden/>
    <w:unhideWhenUsed/>
    <w:rsid w:val="003A71DE"/>
  </w:style>
  <w:style w:type="numbering" w:customStyle="1" w:styleId="25">
    <w:name w:val="无列表25"/>
    <w:next w:val="NoList"/>
    <w:uiPriority w:val="99"/>
    <w:semiHidden/>
    <w:unhideWhenUsed/>
    <w:rsid w:val="003A71DE"/>
  </w:style>
  <w:style w:type="numbering" w:customStyle="1" w:styleId="NoList126">
    <w:name w:val="No List126"/>
    <w:next w:val="NoList"/>
    <w:uiPriority w:val="99"/>
    <w:semiHidden/>
    <w:unhideWhenUsed/>
    <w:rsid w:val="003A71DE"/>
  </w:style>
  <w:style w:type="numbering" w:customStyle="1" w:styleId="1161">
    <w:name w:val="リストなし116"/>
    <w:next w:val="NoList"/>
    <w:uiPriority w:val="99"/>
    <w:semiHidden/>
    <w:unhideWhenUsed/>
    <w:rsid w:val="003A71DE"/>
  </w:style>
  <w:style w:type="numbering" w:customStyle="1" w:styleId="1162">
    <w:name w:val="无列表116"/>
    <w:next w:val="NoList"/>
    <w:semiHidden/>
    <w:rsid w:val="003A71DE"/>
  </w:style>
  <w:style w:type="numbering" w:customStyle="1" w:styleId="NoList216">
    <w:name w:val="No List216"/>
    <w:next w:val="NoList"/>
    <w:semiHidden/>
    <w:rsid w:val="003A71DE"/>
  </w:style>
  <w:style w:type="numbering" w:customStyle="1" w:styleId="NoList316">
    <w:name w:val="No List316"/>
    <w:next w:val="NoList"/>
    <w:uiPriority w:val="99"/>
    <w:semiHidden/>
    <w:rsid w:val="003A71DE"/>
  </w:style>
  <w:style w:type="numbering" w:customStyle="1" w:styleId="1260">
    <w:name w:val="無清單126"/>
    <w:next w:val="NoList"/>
    <w:uiPriority w:val="99"/>
    <w:semiHidden/>
    <w:unhideWhenUsed/>
    <w:rsid w:val="003A71DE"/>
  </w:style>
  <w:style w:type="numbering" w:customStyle="1" w:styleId="1116">
    <w:name w:val="無清單1116"/>
    <w:next w:val="NoList"/>
    <w:uiPriority w:val="99"/>
    <w:semiHidden/>
    <w:unhideWhenUsed/>
    <w:rsid w:val="003A71DE"/>
  </w:style>
  <w:style w:type="table" w:customStyle="1" w:styleId="TableGrid115">
    <w:name w:val="Table Grid115"/>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5">
    <w:name w:val="No List45"/>
    <w:next w:val="NoList"/>
    <w:uiPriority w:val="99"/>
    <w:semiHidden/>
    <w:unhideWhenUsed/>
    <w:rsid w:val="003A71DE"/>
  </w:style>
  <w:style w:type="numbering" w:customStyle="1" w:styleId="NoList1125">
    <w:name w:val="No List1125"/>
    <w:next w:val="NoList"/>
    <w:uiPriority w:val="99"/>
    <w:semiHidden/>
    <w:unhideWhenUsed/>
    <w:rsid w:val="003A71DE"/>
  </w:style>
  <w:style w:type="table" w:customStyle="1" w:styleId="Tabellengitternetz114">
    <w:name w:val="Tabellengitternetz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4">
    <w:name w:val="Tabellengitternetz2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4">
    <w:name w:val="Tabellengitternetz3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4">
    <w:name w:val="Tabellengitternetz4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4">
    <w:name w:val="Tabellengitternetz5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4">
    <w:name w:val="Tabellengitternetz6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4">
    <w:name w:val="Tabellengitternetz7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4">
    <w:name w:val="Tabellengitternetz8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4">
    <w:name w:val="Tabellengitternetz9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4">
    <w:name w:val="Table Grid21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
    <w:name w:val="Table Grid314"/>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网格型31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
    <w:name w:val="网格型41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4">
    <w:name w:val="Table Grid414"/>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
    <w:name w:val="表格格線114"/>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5">
    <w:name w:val="No List1215"/>
    <w:next w:val="NoList"/>
    <w:uiPriority w:val="99"/>
    <w:semiHidden/>
    <w:unhideWhenUsed/>
    <w:rsid w:val="003A71DE"/>
  </w:style>
  <w:style w:type="numbering" w:customStyle="1" w:styleId="11150">
    <w:name w:val="リストなし1115"/>
    <w:next w:val="NoList"/>
    <w:uiPriority w:val="99"/>
    <w:semiHidden/>
    <w:unhideWhenUsed/>
    <w:rsid w:val="003A71DE"/>
  </w:style>
  <w:style w:type="numbering" w:customStyle="1" w:styleId="11151">
    <w:name w:val="无列表1115"/>
    <w:next w:val="NoList"/>
    <w:semiHidden/>
    <w:rsid w:val="003A71DE"/>
  </w:style>
  <w:style w:type="numbering" w:customStyle="1" w:styleId="NoList2115">
    <w:name w:val="No List2115"/>
    <w:next w:val="NoList"/>
    <w:semiHidden/>
    <w:rsid w:val="003A71DE"/>
  </w:style>
  <w:style w:type="numbering" w:customStyle="1" w:styleId="NoList3115">
    <w:name w:val="No List3115"/>
    <w:next w:val="NoList"/>
    <w:uiPriority w:val="99"/>
    <w:semiHidden/>
    <w:rsid w:val="003A71DE"/>
  </w:style>
  <w:style w:type="numbering" w:customStyle="1" w:styleId="NoList11115">
    <w:name w:val="No List11115"/>
    <w:next w:val="NoList"/>
    <w:uiPriority w:val="99"/>
    <w:semiHidden/>
    <w:unhideWhenUsed/>
    <w:rsid w:val="003A71DE"/>
  </w:style>
  <w:style w:type="numbering" w:customStyle="1" w:styleId="1215">
    <w:name w:val="無清單1215"/>
    <w:next w:val="NoList"/>
    <w:uiPriority w:val="99"/>
    <w:semiHidden/>
    <w:unhideWhenUsed/>
    <w:rsid w:val="003A71DE"/>
  </w:style>
  <w:style w:type="numbering" w:customStyle="1" w:styleId="111150">
    <w:name w:val="無清單11115"/>
    <w:next w:val="NoList"/>
    <w:uiPriority w:val="99"/>
    <w:semiHidden/>
    <w:unhideWhenUsed/>
    <w:rsid w:val="003A71DE"/>
  </w:style>
  <w:style w:type="numbering" w:customStyle="1" w:styleId="NoList55">
    <w:name w:val="No List55"/>
    <w:next w:val="NoList"/>
    <w:uiPriority w:val="99"/>
    <w:semiHidden/>
    <w:unhideWhenUsed/>
    <w:rsid w:val="003A71DE"/>
  </w:style>
  <w:style w:type="numbering" w:customStyle="1" w:styleId="NoList135">
    <w:name w:val="No List135"/>
    <w:next w:val="NoList"/>
    <w:uiPriority w:val="99"/>
    <w:semiHidden/>
    <w:unhideWhenUsed/>
    <w:rsid w:val="003A71DE"/>
  </w:style>
  <w:style w:type="numbering" w:customStyle="1" w:styleId="1250">
    <w:name w:val="リストなし125"/>
    <w:next w:val="NoList"/>
    <w:uiPriority w:val="99"/>
    <w:semiHidden/>
    <w:unhideWhenUsed/>
    <w:rsid w:val="003A71DE"/>
  </w:style>
  <w:style w:type="table" w:customStyle="1" w:styleId="TableGrid124">
    <w:name w:val="Table Grid124"/>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4">
    <w:name w:val="Tabellengitternetz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4">
    <w:name w:val="Tabellengitternetz2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4">
    <w:name w:val="Tabellengitternetz3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4">
    <w:name w:val="Tabellengitternetz4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4">
    <w:name w:val="Tabellengitternetz5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4">
    <w:name w:val="Tabellengitternetz6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4">
    <w:name w:val="Tabellengitternetz7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4">
    <w:name w:val="Tabellengitternetz8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4">
    <w:name w:val="Tabellengitternetz9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4">
    <w:name w:val="Table Grid22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4">
    <w:name w:val="Table Grid324"/>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1">
    <w:name w:val="无列表125"/>
    <w:next w:val="NoList"/>
    <w:semiHidden/>
    <w:rsid w:val="003A71DE"/>
  </w:style>
  <w:style w:type="table" w:customStyle="1" w:styleId="3240">
    <w:name w:val="网格型32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4">
    <w:name w:val="网格型42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5">
    <w:name w:val="No List225"/>
    <w:next w:val="NoList"/>
    <w:semiHidden/>
    <w:rsid w:val="003A71DE"/>
  </w:style>
  <w:style w:type="numbering" w:customStyle="1" w:styleId="NoList325">
    <w:name w:val="No List325"/>
    <w:next w:val="NoList"/>
    <w:uiPriority w:val="99"/>
    <w:semiHidden/>
    <w:rsid w:val="003A71DE"/>
  </w:style>
  <w:style w:type="table" w:customStyle="1" w:styleId="TableGrid424">
    <w:name w:val="Table Grid424"/>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
    <w:name w:val="無清單135"/>
    <w:next w:val="NoList"/>
    <w:uiPriority w:val="99"/>
    <w:semiHidden/>
    <w:unhideWhenUsed/>
    <w:rsid w:val="003A71DE"/>
  </w:style>
  <w:style w:type="numbering" w:customStyle="1" w:styleId="1125">
    <w:name w:val="無清單1125"/>
    <w:next w:val="NoList"/>
    <w:uiPriority w:val="99"/>
    <w:semiHidden/>
    <w:unhideWhenUsed/>
    <w:rsid w:val="003A71DE"/>
  </w:style>
  <w:style w:type="table" w:customStyle="1" w:styleId="1243">
    <w:name w:val="表格格線124"/>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0">
    <w:name w:val="无列表215"/>
    <w:next w:val="NoList"/>
    <w:uiPriority w:val="99"/>
    <w:semiHidden/>
    <w:unhideWhenUsed/>
    <w:rsid w:val="003A71DE"/>
  </w:style>
  <w:style w:type="numbering" w:customStyle="1" w:styleId="NoList1224">
    <w:name w:val="No List1224"/>
    <w:next w:val="NoList"/>
    <w:uiPriority w:val="99"/>
    <w:semiHidden/>
    <w:unhideWhenUsed/>
    <w:rsid w:val="003A71DE"/>
  </w:style>
  <w:style w:type="numbering" w:customStyle="1" w:styleId="11240">
    <w:name w:val="リストなし1124"/>
    <w:next w:val="NoList"/>
    <w:uiPriority w:val="99"/>
    <w:semiHidden/>
    <w:unhideWhenUsed/>
    <w:rsid w:val="003A71DE"/>
  </w:style>
  <w:style w:type="numbering" w:customStyle="1" w:styleId="11241">
    <w:name w:val="无列表1124"/>
    <w:next w:val="NoList"/>
    <w:semiHidden/>
    <w:rsid w:val="003A71DE"/>
  </w:style>
  <w:style w:type="numbering" w:customStyle="1" w:styleId="NoList2124">
    <w:name w:val="No List2124"/>
    <w:next w:val="NoList"/>
    <w:semiHidden/>
    <w:rsid w:val="003A71DE"/>
  </w:style>
  <w:style w:type="numbering" w:customStyle="1" w:styleId="NoList3124">
    <w:name w:val="No List3124"/>
    <w:next w:val="NoList"/>
    <w:uiPriority w:val="99"/>
    <w:semiHidden/>
    <w:rsid w:val="003A71DE"/>
  </w:style>
  <w:style w:type="numbering" w:customStyle="1" w:styleId="NoList11125">
    <w:name w:val="No List11125"/>
    <w:next w:val="NoList"/>
    <w:uiPriority w:val="99"/>
    <w:semiHidden/>
    <w:unhideWhenUsed/>
    <w:rsid w:val="003A71DE"/>
  </w:style>
  <w:style w:type="numbering" w:customStyle="1" w:styleId="12240">
    <w:name w:val="無清單1224"/>
    <w:next w:val="NoList"/>
    <w:uiPriority w:val="99"/>
    <w:semiHidden/>
    <w:unhideWhenUsed/>
    <w:rsid w:val="003A71DE"/>
  </w:style>
  <w:style w:type="numbering" w:customStyle="1" w:styleId="111240">
    <w:name w:val="無清單11124"/>
    <w:next w:val="NoList"/>
    <w:uiPriority w:val="99"/>
    <w:semiHidden/>
    <w:unhideWhenUsed/>
    <w:rsid w:val="003A71DE"/>
  </w:style>
  <w:style w:type="table" w:customStyle="1" w:styleId="TableGrid1113">
    <w:name w:val="Table Grid1113"/>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网格型2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
    <w:name w:val="无列表133"/>
    <w:next w:val="NoList"/>
    <w:semiHidden/>
    <w:rsid w:val="003A71DE"/>
  </w:style>
  <w:style w:type="numbering" w:customStyle="1" w:styleId="NoList1133">
    <w:name w:val="No List1133"/>
    <w:next w:val="NoList"/>
    <w:uiPriority w:val="99"/>
    <w:semiHidden/>
    <w:unhideWhenUsed/>
    <w:rsid w:val="003A71DE"/>
  </w:style>
  <w:style w:type="numbering" w:customStyle="1" w:styleId="NoList413">
    <w:name w:val="No List413"/>
    <w:next w:val="NoList"/>
    <w:uiPriority w:val="99"/>
    <w:semiHidden/>
    <w:unhideWhenUsed/>
    <w:rsid w:val="003A71DE"/>
  </w:style>
  <w:style w:type="table" w:customStyle="1" w:styleId="TableGrid1123">
    <w:name w:val="Table Grid1123"/>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3">
    <w:name w:val="Tabellengitternetz1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3">
    <w:name w:val="Tabellengitternetz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3">
    <w:name w:val="Tabellengitternetz3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3">
    <w:name w:val="Tabellengitternetz4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3">
    <w:name w:val="Tabellengitternetz5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3">
    <w:name w:val="Tabellengitternetz6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3">
    <w:name w:val="Tabellengitternetz7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3">
    <w:name w:val="Tabellengitternetz8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3">
    <w:name w:val="Tabellengitternetz9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3">
    <w:name w:val="Table Grid21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3">
    <w:name w:val="Table Grid31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3">
    <w:name w:val="网格型31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3">
    <w:name w:val="网格型41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3">
    <w:name w:val="Table Grid41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3">
    <w:name w:val="表格格線11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30">
    <w:name w:val="无列表223"/>
    <w:next w:val="NoList"/>
    <w:uiPriority w:val="99"/>
    <w:semiHidden/>
    <w:unhideWhenUsed/>
    <w:rsid w:val="003A71DE"/>
  </w:style>
  <w:style w:type="numbering" w:customStyle="1" w:styleId="NoList12113">
    <w:name w:val="No List12113"/>
    <w:next w:val="NoList"/>
    <w:uiPriority w:val="99"/>
    <w:semiHidden/>
    <w:unhideWhenUsed/>
    <w:rsid w:val="003A71DE"/>
  </w:style>
  <w:style w:type="numbering" w:customStyle="1" w:styleId="111130">
    <w:name w:val="リストなし11113"/>
    <w:next w:val="NoList"/>
    <w:uiPriority w:val="99"/>
    <w:semiHidden/>
    <w:unhideWhenUsed/>
    <w:rsid w:val="003A71DE"/>
  </w:style>
  <w:style w:type="numbering" w:customStyle="1" w:styleId="111132">
    <w:name w:val="无列表11113"/>
    <w:next w:val="NoList"/>
    <w:semiHidden/>
    <w:rsid w:val="003A71DE"/>
  </w:style>
  <w:style w:type="numbering" w:customStyle="1" w:styleId="NoList21113">
    <w:name w:val="No List21113"/>
    <w:next w:val="NoList"/>
    <w:semiHidden/>
    <w:rsid w:val="003A71DE"/>
  </w:style>
  <w:style w:type="numbering" w:customStyle="1" w:styleId="NoList31113">
    <w:name w:val="No List31113"/>
    <w:next w:val="NoList"/>
    <w:uiPriority w:val="99"/>
    <w:semiHidden/>
    <w:rsid w:val="003A71DE"/>
  </w:style>
  <w:style w:type="numbering" w:customStyle="1" w:styleId="NoList111113">
    <w:name w:val="No List111113"/>
    <w:next w:val="NoList"/>
    <w:uiPriority w:val="99"/>
    <w:semiHidden/>
    <w:unhideWhenUsed/>
    <w:rsid w:val="003A71DE"/>
  </w:style>
  <w:style w:type="numbering" w:customStyle="1" w:styleId="121130">
    <w:name w:val="無清單12113"/>
    <w:next w:val="NoList"/>
    <w:uiPriority w:val="99"/>
    <w:semiHidden/>
    <w:unhideWhenUsed/>
    <w:rsid w:val="003A71DE"/>
  </w:style>
  <w:style w:type="numbering" w:customStyle="1" w:styleId="111113">
    <w:name w:val="無清單111113"/>
    <w:next w:val="NoList"/>
    <w:uiPriority w:val="99"/>
    <w:semiHidden/>
    <w:unhideWhenUsed/>
    <w:rsid w:val="003A71DE"/>
  </w:style>
  <w:style w:type="numbering" w:customStyle="1" w:styleId="NoList1313">
    <w:name w:val="No List1313"/>
    <w:next w:val="NoList"/>
    <w:uiPriority w:val="99"/>
    <w:semiHidden/>
    <w:unhideWhenUsed/>
    <w:rsid w:val="003A71DE"/>
  </w:style>
  <w:style w:type="numbering" w:customStyle="1" w:styleId="12132">
    <w:name w:val="リストなし1213"/>
    <w:next w:val="NoList"/>
    <w:uiPriority w:val="99"/>
    <w:semiHidden/>
    <w:unhideWhenUsed/>
    <w:rsid w:val="003A71DE"/>
  </w:style>
  <w:style w:type="numbering" w:customStyle="1" w:styleId="12133">
    <w:name w:val="无列表1213"/>
    <w:next w:val="NoList"/>
    <w:semiHidden/>
    <w:rsid w:val="003A71DE"/>
  </w:style>
  <w:style w:type="numbering" w:customStyle="1" w:styleId="NoList2213">
    <w:name w:val="No List2213"/>
    <w:next w:val="NoList"/>
    <w:semiHidden/>
    <w:rsid w:val="003A71DE"/>
  </w:style>
  <w:style w:type="numbering" w:customStyle="1" w:styleId="NoList3213">
    <w:name w:val="No List3213"/>
    <w:next w:val="NoList"/>
    <w:uiPriority w:val="99"/>
    <w:semiHidden/>
    <w:rsid w:val="003A71DE"/>
  </w:style>
  <w:style w:type="numbering" w:customStyle="1" w:styleId="NoList11213">
    <w:name w:val="No List11213"/>
    <w:next w:val="NoList"/>
    <w:uiPriority w:val="99"/>
    <w:semiHidden/>
    <w:unhideWhenUsed/>
    <w:rsid w:val="003A71DE"/>
  </w:style>
  <w:style w:type="numbering" w:customStyle="1" w:styleId="13130">
    <w:name w:val="無清單1313"/>
    <w:next w:val="NoList"/>
    <w:uiPriority w:val="99"/>
    <w:semiHidden/>
    <w:unhideWhenUsed/>
    <w:rsid w:val="003A71DE"/>
  </w:style>
  <w:style w:type="numbering" w:customStyle="1" w:styleId="112130">
    <w:name w:val="無清單11213"/>
    <w:next w:val="NoList"/>
    <w:uiPriority w:val="99"/>
    <w:semiHidden/>
    <w:unhideWhenUsed/>
    <w:rsid w:val="003A71DE"/>
  </w:style>
  <w:style w:type="numbering" w:customStyle="1" w:styleId="2113">
    <w:name w:val="无列表2113"/>
    <w:next w:val="NoList"/>
    <w:uiPriority w:val="99"/>
    <w:semiHidden/>
    <w:unhideWhenUsed/>
    <w:rsid w:val="003A71DE"/>
  </w:style>
  <w:style w:type="numbering" w:customStyle="1" w:styleId="NoList12213">
    <w:name w:val="No List12213"/>
    <w:next w:val="NoList"/>
    <w:uiPriority w:val="99"/>
    <w:semiHidden/>
    <w:unhideWhenUsed/>
    <w:rsid w:val="003A71DE"/>
  </w:style>
  <w:style w:type="numbering" w:customStyle="1" w:styleId="112131">
    <w:name w:val="リストなし11213"/>
    <w:next w:val="NoList"/>
    <w:uiPriority w:val="99"/>
    <w:semiHidden/>
    <w:unhideWhenUsed/>
    <w:rsid w:val="003A71DE"/>
  </w:style>
  <w:style w:type="numbering" w:customStyle="1" w:styleId="112132">
    <w:name w:val="无列表11213"/>
    <w:next w:val="NoList"/>
    <w:semiHidden/>
    <w:rsid w:val="003A71DE"/>
  </w:style>
  <w:style w:type="numbering" w:customStyle="1" w:styleId="NoList21213">
    <w:name w:val="No List21213"/>
    <w:next w:val="NoList"/>
    <w:semiHidden/>
    <w:rsid w:val="003A71DE"/>
  </w:style>
  <w:style w:type="numbering" w:customStyle="1" w:styleId="NoList31213">
    <w:name w:val="No List31213"/>
    <w:next w:val="NoList"/>
    <w:uiPriority w:val="99"/>
    <w:semiHidden/>
    <w:rsid w:val="003A71DE"/>
  </w:style>
  <w:style w:type="numbering" w:customStyle="1" w:styleId="NoList111213">
    <w:name w:val="No List111213"/>
    <w:next w:val="NoList"/>
    <w:uiPriority w:val="99"/>
    <w:semiHidden/>
    <w:unhideWhenUsed/>
    <w:rsid w:val="003A71DE"/>
  </w:style>
  <w:style w:type="numbering" w:customStyle="1" w:styleId="122130">
    <w:name w:val="無清單12213"/>
    <w:next w:val="NoList"/>
    <w:uiPriority w:val="99"/>
    <w:semiHidden/>
    <w:unhideWhenUsed/>
    <w:rsid w:val="003A71DE"/>
  </w:style>
  <w:style w:type="numbering" w:customStyle="1" w:styleId="1112130">
    <w:name w:val="無清單111213"/>
    <w:next w:val="NoList"/>
    <w:uiPriority w:val="99"/>
    <w:semiHidden/>
    <w:unhideWhenUsed/>
    <w:rsid w:val="003A71DE"/>
  </w:style>
  <w:style w:type="table" w:customStyle="1" w:styleId="TableGrid11211">
    <w:name w:val="Table Grid1121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11">
    <w:name w:val="Tabellengitternetz1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1">
    <w:name w:val="Tabellengitternetz2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1">
    <w:name w:val="Tabellengitternetz3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1">
    <w:name w:val="Tabellengitternetz4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1">
    <w:name w:val="Tabellengitternetz5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1">
    <w:name w:val="Tabellengitternetz6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1">
    <w:name w:val="Tabellengitternetz7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1">
    <w:name w:val="Tabellengitternetz8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1">
    <w:name w:val="Tabellengitternetz91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1">
    <w:name w:val="Table Grid311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
    <w:name w:val="网格型31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
    <w:name w:val="网格型41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1">
    <w:name w:val="Table Grid411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4">
    <w:name w:val="表格格線111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61">
    <w:name w:val="No List161"/>
    <w:next w:val="NoList"/>
    <w:uiPriority w:val="99"/>
    <w:semiHidden/>
    <w:unhideWhenUsed/>
    <w:rsid w:val="003A71DE"/>
  </w:style>
  <w:style w:type="numbering" w:customStyle="1" w:styleId="1511">
    <w:name w:val="リストなし151"/>
    <w:next w:val="NoList"/>
    <w:uiPriority w:val="99"/>
    <w:semiHidden/>
    <w:unhideWhenUsed/>
    <w:rsid w:val="003A71DE"/>
  </w:style>
  <w:style w:type="table" w:customStyle="1" w:styleId="Tabellengitternetz151">
    <w:name w:val="Tabellengitternetz1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51">
    <w:name w:val="Tabellengitternetz2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51">
    <w:name w:val="Tabellengitternetz3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51">
    <w:name w:val="Tabellengitternetz4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51">
    <w:name w:val="Tabellengitternetz5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51">
    <w:name w:val="Tabellengitternetz6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51">
    <w:name w:val="Tabellengitternetz7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51">
    <w:name w:val="Tabellengitternetz8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51">
    <w:name w:val="Tabellengitternetz95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1">
    <w:name w:val="Table Grid25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1">
    <w:name w:val="Table Grid35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2">
    <w:name w:val="无列表151"/>
    <w:next w:val="NoList"/>
    <w:semiHidden/>
    <w:rsid w:val="003A71DE"/>
  </w:style>
  <w:style w:type="table" w:customStyle="1" w:styleId="351">
    <w:name w:val="网格型35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网格型45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1">
    <w:name w:val="No List251"/>
    <w:next w:val="NoList"/>
    <w:semiHidden/>
    <w:rsid w:val="003A71DE"/>
  </w:style>
  <w:style w:type="numbering" w:customStyle="1" w:styleId="NoList351">
    <w:name w:val="No List351"/>
    <w:next w:val="NoList"/>
    <w:uiPriority w:val="99"/>
    <w:semiHidden/>
    <w:rsid w:val="003A71DE"/>
  </w:style>
  <w:style w:type="table" w:customStyle="1" w:styleId="TableGrid451">
    <w:name w:val="Table Grid45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61">
    <w:name w:val="No List1161"/>
    <w:next w:val="NoList"/>
    <w:uiPriority w:val="99"/>
    <w:semiHidden/>
    <w:unhideWhenUsed/>
    <w:rsid w:val="003A71DE"/>
  </w:style>
  <w:style w:type="numbering" w:customStyle="1" w:styleId="1610">
    <w:name w:val="無清單161"/>
    <w:next w:val="NoList"/>
    <w:uiPriority w:val="99"/>
    <w:semiHidden/>
    <w:unhideWhenUsed/>
    <w:rsid w:val="003A71DE"/>
  </w:style>
  <w:style w:type="numbering" w:customStyle="1" w:styleId="11510">
    <w:name w:val="無清單1151"/>
    <w:next w:val="NoList"/>
    <w:uiPriority w:val="99"/>
    <w:semiHidden/>
    <w:unhideWhenUsed/>
    <w:rsid w:val="003A71DE"/>
  </w:style>
  <w:style w:type="table" w:customStyle="1" w:styleId="1513">
    <w:name w:val="表格格線15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51">
    <w:name w:val="No List11151"/>
    <w:next w:val="NoList"/>
    <w:uiPriority w:val="99"/>
    <w:semiHidden/>
    <w:unhideWhenUsed/>
    <w:rsid w:val="003A71DE"/>
  </w:style>
  <w:style w:type="numbering" w:customStyle="1" w:styleId="241">
    <w:name w:val="无列表241"/>
    <w:next w:val="NoList"/>
    <w:uiPriority w:val="99"/>
    <w:semiHidden/>
    <w:unhideWhenUsed/>
    <w:rsid w:val="003A71DE"/>
  </w:style>
  <w:style w:type="numbering" w:customStyle="1" w:styleId="NoList1251">
    <w:name w:val="No List1251"/>
    <w:next w:val="NoList"/>
    <w:uiPriority w:val="99"/>
    <w:semiHidden/>
    <w:unhideWhenUsed/>
    <w:rsid w:val="003A71DE"/>
  </w:style>
  <w:style w:type="numbering" w:customStyle="1" w:styleId="11511">
    <w:name w:val="リストなし1151"/>
    <w:next w:val="NoList"/>
    <w:uiPriority w:val="99"/>
    <w:semiHidden/>
    <w:unhideWhenUsed/>
    <w:rsid w:val="003A71DE"/>
  </w:style>
  <w:style w:type="numbering" w:customStyle="1" w:styleId="11512">
    <w:name w:val="无列表1151"/>
    <w:next w:val="NoList"/>
    <w:semiHidden/>
    <w:rsid w:val="003A71DE"/>
  </w:style>
  <w:style w:type="numbering" w:customStyle="1" w:styleId="NoList2151">
    <w:name w:val="No List2151"/>
    <w:next w:val="NoList"/>
    <w:semiHidden/>
    <w:rsid w:val="003A71DE"/>
  </w:style>
  <w:style w:type="numbering" w:customStyle="1" w:styleId="NoList3151">
    <w:name w:val="No List3151"/>
    <w:next w:val="NoList"/>
    <w:uiPriority w:val="99"/>
    <w:semiHidden/>
    <w:rsid w:val="003A71DE"/>
  </w:style>
  <w:style w:type="numbering" w:customStyle="1" w:styleId="12510">
    <w:name w:val="無清單1251"/>
    <w:next w:val="NoList"/>
    <w:uiPriority w:val="99"/>
    <w:semiHidden/>
    <w:unhideWhenUsed/>
    <w:rsid w:val="003A71DE"/>
  </w:style>
  <w:style w:type="numbering" w:customStyle="1" w:styleId="111510">
    <w:name w:val="無清單11151"/>
    <w:next w:val="NoList"/>
    <w:uiPriority w:val="99"/>
    <w:semiHidden/>
    <w:unhideWhenUsed/>
    <w:rsid w:val="003A71DE"/>
  </w:style>
  <w:style w:type="table" w:customStyle="1" w:styleId="TableGrid1141">
    <w:name w:val="Table Grid1141"/>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41">
    <w:name w:val="No List441"/>
    <w:next w:val="NoList"/>
    <w:uiPriority w:val="99"/>
    <w:semiHidden/>
    <w:unhideWhenUsed/>
    <w:rsid w:val="003A71DE"/>
  </w:style>
  <w:style w:type="numbering" w:customStyle="1" w:styleId="NoList11241">
    <w:name w:val="No List11241"/>
    <w:next w:val="NoList"/>
    <w:uiPriority w:val="99"/>
    <w:semiHidden/>
    <w:unhideWhenUsed/>
    <w:rsid w:val="003A71DE"/>
  </w:style>
  <w:style w:type="table" w:customStyle="1" w:styleId="TableGrid531">
    <w:name w:val="Table Grid53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1">
    <w:name w:val="Tabellengitternetz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1">
    <w:name w:val="Tabellengitternetz2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1">
    <w:name w:val="Tabellengitternetz3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1">
    <w:name w:val="Tabellengitternetz4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1">
    <w:name w:val="Tabellengitternetz5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1">
    <w:name w:val="Tabellengitternetz6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1">
    <w:name w:val="Tabellengitternetz7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1">
    <w:name w:val="Tabellengitternetz8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1">
    <w:name w:val="Tabellengitternetz9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1">
    <w:name w:val="Table Grid21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1">
    <w:name w:val="Table Grid313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1">
    <w:name w:val="网格型31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1">
    <w:name w:val="网格型41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31">
    <w:name w:val="Table Grid413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3">
    <w:name w:val="表格格線113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41">
    <w:name w:val="No List12141"/>
    <w:next w:val="NoList"/>
    <w:uiPriority w:val="99"/>
    <w:semiHidden/>
    <w:unhideWhenUsed/>
    <w:rsid w:val="003A71DE"/>
  </w:style>
  <w:style w:type="numbering" w:customStyle="1" w:styleId="111411">
    <w:name w:val="リストなし11141"/>
    <w:next w:val="NoList"/>
    <w:uiPriority w:val="99"/>
    <w:semiHidden/>
    <w:unhideWhenUsed/>
    <w:rsid w:val="003A71DE"/>
  </w:style>
  <w:style w:type="numbering" w:customStyle="1" w:styleId="111412">
    <w:name w:val="无列表11141"/>
    <w:next w:val="NoList"/>
    <w:semiHidden/>
    <w:rsid w:val="003A71DE"/>
  </w:style>
  <w:style w:type="numbering" w:customStyle="1" w:styleId="NoList21141">
    <w:name w:val="No List21141"/>
    <w:next w:val="NoList"/>
    <w:semiHidden/>
    <w:rsid w:val="003A71DE"/>
  </w:style>
  <w:style w:type="numbering" w:customStyle="1" w:styleId="NoList31141">
    <w:name w:val="No List31141"/>
    <w:next w:val="NoList"/>
    <w:uiPriority w:val="99"/>
    <w:semiHidden/>
    <w:rsid w:val="003A71DE"/>
  </w:style>
  <w:style w:type="numbering" w:customStyle="1" w:styleId="NoList111141">
    <w:name w:val="No List111141"/>
    <w:next w:val="NoList"/>
    <w:uiPriority w:val="99"/>
    <w:semiHidden/>
    <w:unhideWhenUsed/>
    <w:rsid w:val="003A71DE"/>
  </w:style>
  <w:style w:type="numbering" w:customStyle="1" w:styleId="12141">
    <w:name w:val="無清單12141"/>
    <w:next w:val="NoList"/>
    <w:uiPriority w:val="99"/>
    <w:semiHidden/>
    <w:unhideWhenUsed/>
    <w:rsid w:val="003A71DE"/>
  </w:style>
  <w:style w:type="numbering" w:customStyle="1" w:styleId="111141">
    <w:name w:val="無清單111141"/>
    <w:next w:val="NoList"/>
    <w:uiPriority w:val="99"/>
    <w:semiHidden/>
    <w:unhideWhenUsed/>
    <w:rsid w:val="003A71DE"/>
  </w:style>
  <w:style w:type="numbering" w:customStyle="1" w:styleId="NoList541">
    <w:name w:val="No List541"/>
    <w:next w:val="NoList"/>
    <w:uiPriority w:val="99"/>
    <w:semiHidden/>
    <w:unhideWhenUsed/>
    <w:rsid w:val="003A71DE"/>
  </w:style>
  <w:style w:type="table" w:customStyle="1" w:styleId="TableGrid631">
    <w:name w:val="Table Grid63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41">
    <w:name w:val="No List1341"/>
    <w:next w:val="NoList"/>
    <w:uiPriority w:val="99"/>
    <w:semiHidden/>
    <w:unhideWhenUsed/>
    <w:rsid w:val="003A71DE"/>
  </w:style>
  <w:style w:type="numbering" w:customStyle="1" w:styleId="12411">
    <w:name w:val="リストなし1241"/>
    <w:next w:val="NoList"/>
    <w:uiPriority w:val="99"/>
    <w:semiHidden/>
    <w:unhideWhenUsed/>
    <w:rsid w:val="003A71DE"/>
  </w:style>
  <w:style w:type="table" w:customStyle="1" w:styleId="TableGrid1231">
    <w:name w:val="Table Grid123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31">
    <w:name w:val="Tabellengitternetz1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31">
    <w:name w:val="Tabellengitternetz2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31">
    <w:name w:val="Tabellengitternetz3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31">
    <w:name w:val="Tabellengitternetz4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31">
    <w:name w:val="Tabellengitternetz5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31">
    <w:name w:val="Tabellengitternetz6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31">
    <w:name w:val="Tabellengitternetz7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31">
    <w:name w:val="Tabellengitternetz8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31">
    <w:name w:val="Tabellengitternetz92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1">
    <w:name w:val="Table Grid22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1">
    <w:name w:val="Table Grid323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2">
    <w:name w:val="无列表1241"/>
    <w:next w:val="NoList"/>
    <w:semiHidden/>
    <w:rsid w:val="003A71DE"/>
  </w:style>
  <w:style w:type="table" w:customStyle="1" w:styleId="3231">
    <w:name w:val="网格型32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1">
    <w:name w:val="网格型42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41">
    <w:name w:val="No List2241"/>
    <w:next w:val="NoList"/>
    <w:semiHidden/>
    <w:rsid w:val="003A71DE"/>
  </w:style>
  <w:style w:type="numbering" w:customStyle="1" w:styleId="NoList3241">
    <w:name w:val="No List3241"/>
    <w:next w:val="NoList"/>
    <w:uiPriority w:val="99"/>
    <w:semiHidden/>
    <w:rsid w:val="003A71DE"/>
  </w:style>
  <w:style w:type="table" w:customStyle="1" w:styleId="TableGrid4231">
    <w:name w:val="Table Grid423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1">
    <w:name w:val="無清單1341"/>
    <w:next w:val="NoList"/>
    <w:uiPriority w:val="99"/>
    <w:semiHidden/>
    <w:unhideWhenUsed/>
    <w:rsid w:val="003A71DE"/>
  </w:style>
  <w:style w:type="numbering" w:customStyle="1" w:styleId="112410">
    <w:name w:val="無清單11241"/>
    <w:next w:val="NoList"/>
    <w:uiPriority w:val="99"/>
    <w:semiHidden/>
    <w:unhideWhenUsed/>
    <w:rsid w:val="003A71DE"/>
  </w:style>
  <w:style w:type="table" w:customStyle="1" w:styleId="12313">
    <w:name w:val="表格格線123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1">
    <w:name w:val="无列表2141"/>
    <w:next w:val="NoList"/>
    <w:uiPriority w:val="99"/>
    <w:semiHidden/>
    <w:unhideWhenUsed/>
    <w:rsid w:val="003A71DE"/>
  </w:style>
  <w:style w:type="numbering" w:customStyle="1" w:styleId="NoList12231">
    <w:name w:val="No List12231"/>
    <w:next w:val="NoList"/>
    <w:uiPriority w:val="99"/>
    <w:semiHidden/>
    <w:unhideWhenUsed/>
    <w:rsid w:val="003A71DE"/>
  </w:style>
  <w:style w:type="numbering" w:customStyle="1" w:styleId="112311">
    <w:name w:val="リストなし11231"/>
    <w:next w:val="NoList"/>
    <w:uiPriority w:val="99"/>
    <w:semiHidden/>
    <w:unhideWhenUsed/>
    <w:rsid w:val="003A71DE"/>
  </w:style>
  <w:style w:type="numbering" w:customStyle="1" w:styleId="112312">
    <w:name w:val="无列表11231"/>
    <w:next w:val="NoList"/>
    <w:semiHidden/>
    <w:rsid w:val="003A71DE"/>
  </w:style>
  <w:style w:type="numbering" w:customStyle="1" w:styleId="NoList21231">
    <w:name w:val="No List21231"/>
    <w:next w:val="NoList"/>
    <w:semiHidden/>
    <w:rsid w:val="003A71DE"/>
  </w:style>
  <w:style w:type="numbering" w:customStyle="1" w:styleId="NoList31231">
    <w:name w:val="No List31231"/>
    <w:next w:val="NoList"/>
    <w:uiPriority w:val="99"/>
    <w:semiHidden/>
    <w:rsid w:val="003A71DE"/>
  </w:style>
  <w:style w:type="numbering" w:customStyle="1" w:styleId="NoList111241">
    <w:name w:val="No List111241"/>
    <w:next w:val="NoList"/>
    <w:uiPriority w:val="99"/>
    <w:semiHidden/>
    <w:unhideWhenUsed/>
    <w:rsid w:val="003A71DE"/>
  </w:style>
  <w:style w:type="numbering" w:customStyle="1" w:styleId="12231">
    <w:name w:val="無清單12231"/>
    <w:next w:val="NoList"/>
    <w:uiPriority w:val="99"/>
    <w:semiHidden/>
    <w:unhideWhenUsed/>
    <w:rsid w:val="003A71DE"/>
  </w:style>
  <w:style w:type="numbering" w:customStyle="1" w:styleId="111231">
    <w:name w:val="無清單111231"/>
    <w:next w:val="NoList"/>
    <w:uiPriority w:val="99"/>
    <w:semiHidden/>
    <w:unhideWhenUsed/>
    <w:rsid w:val="003A71DE"/>
  </w:style>
  <w:style w:type="table" w:customStyle="1" w:styleId="1117">
    <w:name w:val="网格型1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1">
    <w:name w:val="Table Grid11121"/>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0">
    <w:name w:val="无列表311"/>
    <w:next w:val="NoList"/>
    <w:uiPriority w:val="99"/>
    <w:semiHidden/>
    <w:unhideWhenUsed/>
    <w:rsid w:val="003A71DE"/>
  </w:style>
  <w:style w:type="table" w:customStyle="1" w:styleId="2110">
    <w:name w:val="网格型2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1">
    <w:name w:val="无列表1321"/>
    <w:next w:val="NoList"/>
    <w:semiHidden/>
    <w:rsid w:val="003A71DE"/>
  </w:style>
  <w:style w:type="numbering" w:customStyle="1" w:styleId="NoList11321">
    <w:name w:val="No List11321"/>
    <w:next w:val="NoList"/>
    <w:uiPriority w:val="99"/>
    <w:semiHidden/>
    <w:unhideWhenUsed/>
    <w:rsid w:val="003A71DE"/>
  </w:style>
  <w:style w:type="numbering" w:customStyle="1" w:styleId="NoList4121">
    <w:name w:val="No List4121"/>
    <w:next w:val="NoList"/>
    <w:uiPriority w:val="99"/>
    <w:semiHidden/>
    <w:unhideWhenUsed/>
    <w:rsid w:val="003A71DE"/>
  </w:style>
  <w:style w:type="table" w:customStyle="1" w:styleId="TableGrid11221">
    <w:name w:val="Table Grid1122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21">
    <w:name w:val="Tabellengitternetz1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21">
    <w:name w:val="Tabellengitternetz2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21">
    <w:name w:val="Tabellengitternetz3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21">
    <w:name w:val="Tabellengitternetz4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21">
    <w:name w:val="Tabellengitternetz5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21">
    <w:name w:val="Tabellengitternetz6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21">
    <w:name w:val="Tabellengitternetz7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21">
    <w:name w:val="Tabellengitternetz8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21">
    <w:name w:val="Tabellengitternetz9112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1">
    <w:name w:val="Table Grid211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1">
    <w:name w:val="Table Grid3112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1">
    <w:name w:val="网格型311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1">
    <w:name w:val="网格型4112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21">
    <w:name w:val="Table Grid4112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4">
    <w:name w:val="表格格線1112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1">
    <w:name w:val="无列表2221"/>
    <w:next w:val="NoList"/>
    <w:uiPriority w:val="99"/>
    <w:semiHidden/>
    <w:unhideWhenUsed/>
    <w:rsid w:val="003A71DE"/>
  </w:style>
  <w:style w:type="numbering" w:customStyle="1" w:styleId="NoList121121">
    <w:name w:val="No List121121"/>
    <w:next w:val="NoList"/>
    <w:uiPriority w:val="99"/>
    <w:semiHidden/>
    <w:unhideWhenUsed/>
    <w:rsid w:val="003A71DE"/>
  </w:style>
  <w:style w:type="numbering" w:customStyle="1" w:styleId="1111211">
    <w:name w:val="リストなし111121"/>
    <w:next w:val="NoList"/>
    <w:uiPriority w:val="99"/>
    <w:semiHidden/>
    <w:unhideWhenUsed/>
    <w:rsid w:val="003A71DE"/>
  </w:style>
  <w:style w:type="numbering" w:customStyle="1" w:styleId="1111212">
    <w:name w:val="无列表111121"/>
    <w:next w:val="NoList"/>
    <w:semiHidden/>
    <w:rsid w:val="003A71DE"/>
  </w:style>
  <w:style w:type="numbering" w:customStyle="1" w:styleId="NoList211121">
    <w:name w:val="No List211121"/>
    <w:next w:val="NoList"/>
    <w:semiHidden/>
    <w:rsid w:val="003A71DE"/>
  </w:style>
  <w:style w:type="numbering" w:customStyle="1" w:styleId="NoList311121">
    <w:name w:val="No List311121"/>
    <w:next w:val="NoList"/>
    <w:uiPriority w:val="99"/>
    <w:semiHidden/>
    <w:rsid w:val="003A71DE"/>
  </w:style>
  <w:style w:type="numbering" w:customStyle="1" w:styleId="NoList1111121">
    <w:name w:val="No List1111121"/>
    <w:next w:val="NoList"/>
    <w:uiPriority w:val="99"/>
    <w:semiHidden/>
    <w:unhideWhenUsed/>
    <w:rsid w:val="003A71DE"/>
  </w:style>
  <w:style w:type="numbering" w:customStyle="1" w:styleId="1211210">
    <w:name w:val="無清單121121"/>
    <w:next w:val="NoList"/>
    <w:uiPriority w:val="99"/>
    <w:semiHidden/>
    <w:unhideWhenUsed/>
    <w:rsid w:val="003A71DE"/>
  </w:style>
  <w:style w:type="numbering" w:customStyle="1" w:styleId="11111210">
    <w:name w:val="無清單1111121"/>
    <w:next w:val="NoList"/>
    <w:uiPriority w:val="99"/>
    <w:semiHidden/>
    <w:unhideWhenUsed/>
    <w:rsid w:val="003A71DE"/>
  </w:style>
  <w:style w:type="numbering" w:customStyle="1" w:styleId="NoList13121">
    <w:name w:val="No List13121"/>
    <w:next w:val="NoList"/>
    <w:uiPriority w:val="99"/>
    <w:semiHidden/>
    <w:unhideWhenUsed/>
    <w:rsid w:val="003A71DE"/>
  </w:style>
  <w:style w:type="numbering" w:customStyle="1" w:styleId="121211">
    <w:name w:val="リストなし12121"/>
    <w:next w:val="NoList"/>
    <w:uiPriority w:val="99"/>
    <w:semiHidden/>
    <w:unhideWhenUsed/>
    <w:rsid w:val="003A71DE"/>
  </w:style>
  <w:style w:type="numbering" w:customStyle="1" w:styleId="121212">
    <w:name w:val="无列表12121"/>
    <w:next w:val="NoList"/>
    <w:semiHidden/>
    <w:rsid w:val="003A71DE"/>
  </w:style>
  <w:style w:type="numbering" w:customStyle="1" w:styleId="NoList22121">
    <w:name w:val="No List22121"/>
    <w:next w:val="NoList"/>
    <w:semiHidden/>
    <w:rsid w:val="003A71DE"/>
  </w:style>
  <w:style w:type="numbering" w:customStyle="1" w:styleId="NoList32121">
    <w:name w:val="No List32121"/>
    <w:next w:val="NoList"/>
    <w:uiPriority w:val="99"/>
    <w:semiHidden/>
    <w:rsid w:val="003A71DE"/>
  </w:style>
  <w:style w:type="numbering" w:customStyle="1" w:styleId="NoList112121">
    <w:name w:val="No List112121"/>
    <w:next w:val="NoList"/>
    <w:uiPriority w:val="99"/>
    <w:semiHidden/>
    <w:unhideWhenUsed/>
    <w:rsid w:val="003A71DE"/>
  </w:style>
  <w:style w:type="numbering" w:customStyle="1" w:styleId="131210">
    <w:name w:val="無清單13121"/>
    <w:next w:val="NoList"/>
    <w:uiPriority w:val="99"/>
    <w:semiHidden/>
    <w:unhideWhenUsed/>
    <w:rsid w:val="003A71DE"/>
  </w:style>
  <w:style w:type="numbering" w:customStyle="1" w:styleId="1121210">
    <w:name w:val="無清單112121"/>
    <w:next w:val="NoList"/>
    <w:uiPriority w:val="99"/>
    <w:semiHidden/>
    <w:unhideWhenUsed/>
    <w:rsid w:val="003A71DE"/>
  </w:style>
  <w:style w:type="numbering" w:customStyle="1" w:styleId="21121">
    <w:name w:val="无列表21121"/>
    <w:next w:val="NoList"/>
    <w:uiPriority w:val="99"/>
    <w:semiHidden/>
    <w:unhideWhenUsed/>
    <w:rsid w:val="003A71DE"/>
  </w:style>
  <w:style w:type="numbering" w:customStyle="1" w:styleId="NoList122121">
    <w:name w:val="No List122121"/>
    <w:next w:val="NoList"/>
    <w:uiPriority w:val="99"/>
    <w:semiHidden/>
    <w:unhideWhenUsed/>
    <w:rsid w:val="003A71DE"/>
  </w:style>
  <w:style w:type="numbering" w:customStyle="1" w:styleId="1121211">
    <w:name w:val="リストなし112121"/>
    <w:next w:val="NoList"/>
    <w:uiPriority w:val="99"/>
    <w:semiHidden/>
    <w:unhideWhenUsed/>
    <w:rsid w:val="003A71DE"/>
  </w:style>
  <w:style w:type="numbering" w:customStyle="1" w:styleId="1121212">
    <w:name w:val="无列表112121"/>
    <w:next w:val="NoList"/>
    <w:semiHidden/>
    <w:rsid w:val="003A71DE"/>
  </w:style>
  <w:style w:type="numbering" w:customStyle="1" w:styleId="NoList212121">
    <w:name w:val="No List212121"/>
    <w:next w:val="NoList"/>
    <w:semiHidden/>
    <w:rsid w:val="003A71DE"/>
  </w:style>
  <w:style w:type="numbering" w:customStyle="1" w:styleId="NoList312121">
    <w:name w:val="No List312121"/>
    <w:next w:val="NoList"/>
    <w:uiPriority w:val="99"/>
    <w:semiHidden/>
    <w:rsid w:val="003A71DE"/>
  </w:style>
  <w:style w:type="numbering" w:customStyle="1" w:styleId="NoList1112121">
    <w:name w:val="No List1112121"/>
    <w:next w:val="NoList"/>
    <w:uiPriority w:val="99"/>
    <w:semiHidden/>
    <w:unhideWhenUsed/>
    <w:rsid w:val="003A71DE"/>
  </w:style>
  <w:style w:type="numbering" w:customStyle="1" w:styleId="122121">
    <w:name w:val="無清單122121"/>
    <w:next w:val="NoList"/>
    <w:uiPriority w:val="99"/>
    <w:semiHidden/>
    <w:unhideWhenUsed/>
    <w:rsid w:val="003A71DE"/>
  </w:style>
  <w:style w:type="numbering" w:customStyle="1" w:styleId="1112121">
    <w:name w:val="無清單1112121"/>
    <w:next w:val="NoList"/>
    <w:uiPriority w:val="99"/>
    <w:semiHidden/>
    <w:unhideWhenUsed/>
    <w:rsid w:val="003A71DE"/>
  </w:style>
  <w:style w:type="numbering" w:customStyle="1" w:styleId="131111">
    <w:name w:val="无列表13111"/>
    <w:next w:val="NoList"/>
    <w:semiHidden/>
    <w:rsid w:val="003A71DE"/>
  </w:style>
  <w:style w:type="numbering" w:customStyle="1" w:styleId="NoList41111">
    <w:name w:val="No List41111"/>
    <w:next w:val="NoList"/>
    <w:uiPriority w:val="99"/>
    <w:semiHidden/>
    <w:unhideWhenUsed/>
    <w:rsid w:val="003A71DE"/>
  </w:style>
  <w:style w:type="numbering" w:customStyle="1" w:styleId="22111">
    <w:name w:val="无列表22111"/>
    <w:next w:val="NoList"/>
    <w:uiPriority w:val="99"/>
    <w:semiHidden/>
    <w:unhideWhenUsed/>
    <w:rsid w:val="003A71DE"/>
  </w:style>
  <w:style w:type="numbering" w:customStyle="1" w:styleId="NoList1211112">
    <w:name w:val="No List1211112"/>
    <w:next w:val="NoList"/>
    <w:uiPriority w:val="99"/>
    <w:semiHidden/>
    <w:unhideWhenUsed/>
    <w:rsid w:val="003A71DE"/>
  </w:style>
  <w:style w:type="numbering" w:customStyle="1" w:styleId="11111121">
    <w:name w:val="リストなし1111112"/>
    <w:next w:val="NoList"/>
    <w:uiPriority w:val="99"/>
    <w:semiHidden/>
    <w:unhideWhenUsed/>
    <w:rsid w:val="003A71DE"/>
  </w:style>
  <w:style w:type="numbering" w:customStyle="1" w:styleId="11111122">
    <w:name w:val="无列表1111112"/>
    <w:next w:val="NoList"/>
    <w:semiHidden/>
    <w:rsid w:val="003A71DE"/>
  </w:style>
  <w:style w:type="numbering" w:customStyle="1" w:styleId="NoList2111112">
    <w:name w:val="No List2111112"/>
    <w:next w:val="NoList"/>
    <w:semiHidden/>
    <w:rsid w:val="003A71DE"/>
  </w:style>
  <w:style w:type="numbering" w:customStyle="1" w:styleId="NoList3111112">
    <w:name w:val="No List3111112"/>
    <w:next w:val="NoList"/>
    <w:uiPriority w:val="99"/>
    <w:semiHidden/>
    <w:rsid w:val="003A71DE"/>
  </w:style>
  <w:style w:type="numbering" w:customStyle="1" w:styleId="NoList11111112">
    <w:name w:val="No List11111112"/>
    <w:next w:val="NoList"/>
    <w:uiPriority w:val="99"/>
    <w:semiHidden/>
    <w:unhideWhenUsed/>
    <w:rsid w:val="003A71DE"/>
  </w:style>
  <w:style w:type="numbering" w:customStyle="1" w:styleId="1211112">
    <w:name w:val="無清單1211112"/>
    <w:next w:val="NoList"/>
    <w:uiPriority w:val="99"/>
    <w:semiHidden/>
    <w:unhideWhenUsed/>
    <w:rsid w:val="003A71DE"/>
  </w:style>
  <w:style w:type="numbering" w:customStyle="1" w:styleId="111111120">
    <w:name w:val="無清單11111112"/>
    <w:next w:val="NoList"/>
    <w:uiPriority w:val="99"/>
    <w:semiHidden/>
    <w:unhideWhenUsed/>
    <w:rsid w:val="003A71DE"/>
  </w:style>
  <w:style w:type="numbering" w:customStyle="1" w:styleId="NoList131111">
    <w:name w:val="No List131111"/>
    <w:next w:val="NoList"/>
    <w:uiPriority w:val="99"/>
    <w:semiHidden/>
    <w:unhideWhenUsed/>
    <w:rsid w:val="003A71DE"/>
  </w:style>
  <w:style w:type="numbering" w:customStyle="1" w:styleId="1211113">
    <w:name w:val="リストなし121111"/>
    <w:next w:val="NoList"/>
    <w:uiPriority w:val="99"/>
    <w:semiHidden/>
    <w:unhideWhenUsed/>
    <w:rsid w:val="003A71DE"/>
  </w:style>
  <w:style w:type="numbering" w:customStyle="1" w:styleId="1211121">
    <w:name w:val="无列表121112"/>
    <w:next w:val="NoList"/>
    <w:semiHidden/>
    <w:rsid w:val="003A71DE"/>
  </w:style>
  <w:style w:type="numbering" w:customStyle="1" w:styleId="NoList221111">
    <w:name w:val="No List221111"/>
    <w:next w:val="NoList"/>
    <w:semiHidden/>
    <w:rsid w:val="003A71DE"/>
  </w:style>
  <w:style w:type="numbering" w:customStyle="1" w:styleId="NoList321111">
    <w:name w:val="No List321111"/>
    <w:next w:val="NoList"/>
    <w:uiPriority w:val="99"/>
    <w:semiHidden/>
    <w:rsid w:val="003A71DE"/>
  </w:style>
  <w:style w:type="numbering" w:customStyle="1" w:styleId="NoList1121111">
    <w:name w:val="No List1121111"/>
    <w:next w:val="NoList"/>
    <w:uiPriority w:val="99"/>
    <w:semiHidden/>
    <w:unhideWhenUsed/>
    <w:rsid w:val="003A71DE"/>
  </w:style>
  <w:style w:type="numbering" w:customStyle="1" w:styleId="1311110">
    <w:name w:val="無清單131111"/>
    <w:next w:val="NoList"/>
    <w:uiPriority w:val="99"/>
    <w:semiHidden/>
    <w:unhideWhenUsed/>
    <w:rsid w:val="003A71DE"/>
  </w:style>
  <w:style w:type="numbering" w:customStyle="1" w:styleId="11211110">
    <w:name w:val="無清單1121111"/>
    <w:next w:val="NoList"/>
    <w:uiPriority w:val="99"/>
    <w:semiHidden/>
    <w:unhideWhenUsed/>
    <w:rsid w:val="003A71DE"/>
  </w:style>
  <w:style w:type="numbering" w:customStyle="1" w:styleId="211112">
    <w:name w:val="无列表211112"/>
    <w:next w:val="NoList"/>
    <w:uiPriority w:val="99"/>
    <w:semiHidden/>
    <w:unhideWhenUsed/>
    <w:rsid w:val="003A71DE"/>
  </w:style>
  <w:style w:type="numbering" w:customStyle="1" w:styleId="NoList1221111">
    <w:name w:val="No List1221111"/>
    <w:next w:val="NoList"/>
    <w:uiPriority w:val="99"/>
    <w:semiHidden/>
    <w:unhideWhenUsed/>
    <w:rsid w:val="003A71DE"/>
  </w:style>
  <w:style w:type="numbering" w:customStyle="1" w:styleId="11211111">
    <w:name w:val="リストなし1121111"/>
    <w:next w:val="NoList"/>
    <w:uiPriority w:val="99"/>
    <w:semiHidden/>
    <w:unhideWhenUsed/>
    <w:rsid w:val="003A71DE"/>
  </w:style>
  <w:style w:type="numbering" w:customStyle="1" w:styleId="11211112">
    <w:name w:val="无列表1121111"/>
    <w:next w:val="NoList"/>
    <w:semiHidden/>
    <w:rsid w:val="003A71DE"/>
  </w:style>
  <w:style w:type="numbering" w:customStyle="1" w:styleId="NoList2121111">
    <w:name w:val="No List2121111"/>
    <w:next w:val="NoList"/>
    <w:semiHidden/>
    <w:rsid w:val="003A71DE"/>
  </w:style>
  <w:style w:type="numbering" w:customStyle="1" w:styleId="NoList3121111">
    <w:name w:val="No List3121111"/>
    <w:next w:val="NoList"/>
    <w:uiPriority w:val="99"/>
    <w:semiHidden/>
    <w:rsid w:val="003A71DE"/>
  </w:style>
  <w:style w:type="numbering" w:customStyle="1" w:styleId="NoList11121111">
    <w:name w:val="No List11121111"/>
    <w:next w:val="NoList"/>
    <w:uiPriority w:val="99"/>
    <w:semiHidden/>
    <w:unhideWhenUsed/>
    <w:rsid w:val="003A71DE"/>
  </w:style>
  <w:style w:type="numbering" w:customStyle="1" w:styleId="1221111">
    <w:name w:val="無清單1221111"/>
    <w:next w:val="NoList"/>
    <w:uiPriority w:val="99"/>
    <w:semiHidden/>
    <w:unhideWhenUsed/>
    <w:rsid w:val="003A71DE"/>
  </w:style>
  <w:style w:type="numbering" w:customStyle="1" w:styleId="11121111">
    <w:name w:val="無清單11121111"/>
    <w:next w:val="NoList"/>
    <w:uiPriority w:val="99"/>
    <w:semiHidden/>
    <w:unhideWhenUsed/>
    <w:rsid w:val="003A71DE"/>
  </w:style>
  <w:style w:type="numbering" w:customStyle="1" w:styleId="122110">
    <w:name w:val="无列表12211"/>
    <w:next w:val="NoList"/>
    <w:semiHidden/>
    <w:rsid w:val="003A71DE"/>
  </w:style>
  <w:style w:type="numbering" w:customStyle="1" w:styleId="50">
    <w:name w:val="无列表5"/>
    <w:next w:val="NoList"/>
    <w:uiPriority w:val="99"/>
    <w:semiHidden/>
    <w:unhideWhenUsed/>
    <w:rsid w:val="003A71DE"/>
  </w:style>
  <w:style w:type="table" w:customStyle="1" w:styleId="6">
    <w:name w:val="网格型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8">
    <w:name w:val="No List18"/>
    <w:next w:val="NoList"/>
    <w:uiPriority w:val="99"/>
    <w:semiHidden/>
    <w:unhideWhenUsed/>
    <w:rsid w:val="003A71DE"/>
  </w:style>
  <w:style w:type="numbering" w:customStyle="1" w:styleId="171">
    <w:name w:val="リストなし17"/>
    <w:next w:val="NoList"/>
    <w:uiPriority w:val="99"/>
    <w:semiHidden/>
    <w:unhideWhenUsed/>
    <w:rsid w:val="003A71DE"/>
  </w:style>
  <w:style w:type="table" w:customStyle="1" w:styleId="Tabellengitternetz17">
    <w:name w:val="Tabellengitternetz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7">
    <w:name w:val="Tabellengitternetz2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7">
    <w:name w:val="Tabellengitternetz3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7">
    <w:name w:val="Tabellengitternetz4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7">
    <w:name w:val="Tabellengitternetz5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7">
    <w:name w:val="Tabellengitternetz6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7">
    <w:name w:val="Tabellengitternetz7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7">
    <w:name w:val="Tabellengitternetz8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7">
    <w:name w:val="Tabellengitternetz9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7">
    <w:name w:val="Table Grid27"/>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
    <w:name w:val="Table Grid37"/>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2">
    <w:name w:val="无列表17"/>
    <w:next w:val="NoList"/>
    <w:semiHidden/>
    <w:rsid w:val="003A71DE"/>
  </w:style>
  <w:style w:type="table" w:customStyle="1" w:styleId="37">
    <w:name w:val="网格型37"/>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网格型47"/>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7">
    <w:name w:val="No List27"/>
    <w:next w:val="NoList"/>
    <w:semiHidden/>
    <w:rsid w:val="003A71DE"/>
  </w:style>
  <w:style w:type="numbering" w:customStyle="1" w:styleId="NoList37">
    <w:name w:val="No List37"/>
    <w:next w:val="NoList"/>
    <w:uiPriority w:val="99"/>
    <w:semiHidden/>
    <w:rsid w:val="003A71DE"/>
  </w:style>
  <w:style w:type="table" w:customStyle="1" w:styleId="TableGrid47">
    <w:name w:val="Table Grid47"/>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8">
    <w:name w:val="No List118"/>
    <w:next w:val="NoList"/>
    <w:uiPriority w:val="99"/>
    <w:semiHidden/>
    <w:unhideWhenUsed/>
    <w:rsid w:val="003A71DE"/>
  </w:style>
  <w:style w:type="numbering" w:customStyle="1" w:styleId="180">
    <w:name w:val="無清單18"/>
    <w:next w:val="NoList"/>
    <w:uiPriority w:val="99"/>
    <w:semiHidden/>
    <w:unhideWhenUsed/>
    <w:rsid w:val="003A71DE"/>
  </w:style>
  <w:style w:type="numbering" w:customStyle="1" w:styleId="117">
    <w:name w:val="無清單117"/>
    <w:next w:val="NoList"/>
    <w:uiPriority w:val="99"/>
    <w:semiHidden/>
    <w:unhideWhenUsed/>
    <w:rsid w:val="003A71DE"/>
  </w:style>
  <w:style w:type="table" w:customStyle="1" w:styleId="173">
    <w:name w:val="表格格線17"/>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6">
    <w:name w:val="No List46"/>
    <w:next w:val="NoList"/>
    <w:uiPriority w:val="99"/>
    <w:semiHidden/>
    <w:unhideWhenUsed/>
    <w:rsid w:val="003A71DE"/>
  </w:style>
  <w:style w:type="table" w:customStyle="1" w:styleId="TableGrid55">
    <w:name w:val="Table Grid55"/>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7">
    <w:name w:val="No List127"/>
    <w:next w:val="NoList"/>
    <w:uiPriority w:val="99"/>
    <w:semiHidden/>
    <w:unhideWhenUsed/>
    <w:rsid w:val="003A71DE"/>
  </w:style>
  <w:style w:type="numbering" w:customStyle="1" w:styleId="1170">
    <w:name w:val="リストなし117"/>
    <w:next w:val="NoList"/>
    <w:uiPriority w:val="99"/>
    <w:semiHidden/>
    <w:unhideWhenUsed/>
    <w:rsid w:val="003A71DE"/>
  </w:style>
  <w:style w:type="table" w:customStyle="1" w:styleId="TableGrid116">
    <w:name w:val="Table Grid116"/>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5">
    <w:name w:val="Tabellengitternetz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5">
    <w:name w:val="Tabellengitternetz2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5">
    <w:name w:val="Tabellengitternetz3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5">
    <w:name w:val="Tabellengitternetz4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5">
    <w:name w:val="Tabellengitternetz5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5">
    <w:name w:val="Tabellengitternetz6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5">
    <w:name w:val="Tabellengitternetz7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5">
    <w:name w:val="Tabellengitternetz8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5">
    <w:name w:val="Tabellengitternetz9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5">
    <w:name w:val="Table Grid21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
    <w:name w:val="Table Grid31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1">
    <w:name w:val="无列表117"/>
    <w:next w:val="NoList"/>
    <w:semiHidden/>
    <w:rsid w:val="003A71DE"/>
  </w:style>
  <w:style w:type="table" w:customStyle="1" w:styleId="315">
    <w:name w:val="网格型31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
    <w:name w:val="网格型41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7">
    <w:name w:val="No List217"/>
    <w:next w:val="NoList"/>
    <w:semiHidden/>
    <w:rsid w:val="003A71DE"/>
  </w:style>
  <w:style w:type="numbering" w:customStyle="1" w:styleId="NoList317">
    <w:name w:val="No List317"/>
    <w:next w:val="NoList"/>
    <w:uiPriority w:val="99"/>
    <w:semiHidden/>
    <w:rsid w:val="003A71DE"/>
  </w:style>
  <w:style w:type="table" w:customStyle="1" w:styleId="TableGrid415">
    <w:name w:val="Table Grid41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7">
    <w:name w:val="No List1117"/>
    <w:next w:val="NoList"/>
    <w:uiPriority w:val="99"/>
    <w:semiHidden/>
    <w:unhideWhenUsed/>
    <w:rsid w:val="003A71DE"/>
  </w:style>
  <w:style w:type="numbering" w:customStyle="1" w:styleId="127">
    <w:name w:val="無清單127"/>
    <w:next w:val="NoList"/>
    <w:uiPriority w:val="99"/>
    <w:semiHidden/>
    <w:unhideWhenUsed/>
    <w:rsid w:val="003A71DE"/>
  </w:style>
  <w:style w:type="numbering" w:customStyle="1" w:styleId="11170">
    <w:name w:val="無清單1117"/>
    <w:next w:val="NoList"/>
    <w:uiPriority w:val="99"/>
    <w:semiHidden/>
    <w:unhideWhenUsed/>
    <w:rsid w:val="003A71DE"/>
  </w:style>
  <w:style w:type="table" w:customStyle="1" w:styleId="1152">
    <w:name w:val="表格格線11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无列表26"/>
    <w:next w:val="NoList"/>
    <w:uiPriority w:val="99"/>
    <w:semiHidden/>
    <w:unhideWhenUsed/>
    <w:rsid w:val="003A71DE"/>
  </w:style>
  <w:style w:type="numbering" w:customStyle="1" w:styleId="NoList1216">
    <w:name w:val="No List1216"/>
    <w:next w:val="NoList"/>
    <w:uiPriority w:val="99"/>
    <w:semiHidden/>
    <w:unhideWhenUsed/>
    <w:rsid w:val="003A71DE"/>
  </w:style>
  <w:style w:type="numbering" w:customStyle="1" w:styleId="11160">
    <w:name w:val="リストなし1116"/>
    <w:next w:val="NoList"/>
    <w:uiPriority w:val="99"/>
    <w:semiHidden/>
    <w:unhideWhenUsed/>
    <w:rsid w:val="003A71DE"/>
  </w:style>
  <w:style w:type="numbering" w:customStyle="1" w:styleId="11161">
    <w:name w:val="无列表1116"/>
    <w:next w:val="NoList"/>
    <w:semiHidden/>
    <w:rsid w:val="003A71DE"/>
  </w:style>
  <w:style w:type="numbering" w:customStyle="1" w:styleId="NoList2116">
    <w:name w:val="No List2116"/>
    <w:next w:val="NoList"/>
    <w:semiHidden/>
    <w:rsid w:val="003A71DE"/>
  </w:style>
  <w:style w:type="numbering" w:customStyle="1" w:styleId="NoList3116">
    <w:name w:val="No List3116"/>
    <w:next w:val="NoList"/>
    <w:uiPriority w:val="99"/>
    <w:semiHidden/>
    <w:rsid w:val="003A71DE"/>
  </w:style>
  <w:style w:type="numbering" w:customStyle="1" w:styleId="NoList11116">
    <w:name w:val="No List11116"/>
    <w:next w:val="NoList"/>
    <w:uiPriority w:val="99"/>
    <w:semiHidden/>
    <w:unhideWhenUsed/>
    <w:rsid w:val="003A71DE"/>
  </w:style>
  <w:style w:type="numbering" w:customStyle="1" w:styleId="1216">
    <w:name w:val="無清單1216"/>
    <w:next w:val="NoList"/>
    <w:uiPriority w:val="99"/>
    <w:semiHidden/>
    <w:unhideWhenUsed/>
    <w:rsid w:val="003A71DE"/>
  </w:style>
  <w:style w:type="numbering" w:customStyle="1" w:styleId="11116">
    <w:name w:val="無清單11116"/>
    <w:next w:val="NoList"/>
    <w:uiPriority w:val="99"/>
    <w:semiHidden/>
    <w:unhideWhenUsed/>
    <w:rsid w:val="003A71DE"/>
  </w:style>
  <w:style w:type="numbering" w:customStyle="1" w:styleId="NoList56">
    <w:name w:val="No List56"/>
    <w:next w:val="NoList"/>
    <w:uiPriority w:val="99"/>
    <w:semiHidden/>
    <w:unhideWhenUsed/>
    <w:rsid w:val="003A71DE"/>
  </w:style>
  <w:style w:type="table" w:customStyle="1" w:styleId="TableGrid65">
    <w:name w:val="Table Grid65"/>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6">
    <w:name w:val="No List136"/>
    <w:next w:val="NoList"/>
    <w:uiPriority w:val="99"/>
    <w:semiHidden/>
    <w:unhideWhenUsed/>
    <w:rsid w:val="003A71DE"/>
  </w:style>
  <w:style w:type="numbering" w:customStyle="1" w:styleId="1261">
    <w:name w:val="リストなし126"/>
    <w:next w:val="NoList"/>
    <w:uiPriority w:val="99"/>
    <w:semiHidden/>
    <w:unhideWhenUsed/>
    <w:rsid w:val="003A71DE"/>
  </w:style>
  <w:style w:type="table" w:customStyle="1" w:styleId="TableGrid125">
    <w:name w:val="Table Grid125"/>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5">
    <w:name w:val="Tabellengitternetz1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5">
    <w:name w:val="Tabellengitternetz2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5">
    <w:name w:val="Tabellengitternetz3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5">
    <w:name w:val="Tabellengitternetz4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5">
    <w:name w:val="Tabellengitternetz5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5">
    <w:name w:val="Tabellengitternetz6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5">
    <w:name w:val="Tabellengitternetz7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5">
    <w:name w:val="Tabellengitternetz8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5">
    <w:name w:val="Tabellengitternetz92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5">
    <w:name w:val="Table Grid22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5">
    <w:name w:val="Table Grid32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2">
    <w:name w:val="无列表126"/>
    <w:next w:val="NoList"/>
    <w:semiHidden/>
    <w:rsid w:val="003A71DE"/>
  </w:style>
  <w:style w:type="table" w:customStyle="1" w:styleId="325">
    <w:name w:val="网格型32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5">
    <w:name w:val="网格型42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6">
    <w:name w:val="No List226"/>
    <w:next w:val="NoList"/>
    <w:semiHidden/>
    <w:rsid w:val="003A71DE"/>
  </w:style>
  <w:style w:type="numbering" w:customStyle="1" w:styleId="NoList326">
    <w:name w:val="No List326"/>
    <w:next w:val="NoList"/>
    <w:uiPriority w:val="99"/>
    <w:semiHidden/>
    <w:rsid w:val="003A71DE"/>
  </w:style>
  <w:style w:type="table" w:customStyle="1" w:styleId="TableGrid425">
    <w:name w:val="Table Grid42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6">
    <w:name w:val="No List1126"/>
    <w:next w:val="NoList"/>
    <w:uiPriority w:val="99"/>
    <w:semiHidden/>
    <w:unhideWhenUsed/>
    <w:rsid w:val="003A71DE"/>
  </w:style>
  <w:style w:type="numbering" w:customStyle="1" w:styleId="136">
    <w:name w:val="無清單136"/>
    <w:next w:val="NoList"/>
    <w:uiPriority w:val="99"/>
    <w:semiHidden/>
    <w:unhideWhenUsed/>
    <w:rsid w:val="003A71DE"/>
  </w:style>
  <w:style w:type="numbering" w:customStyle="1" w:styleId="1126">
    <w:name w:val="無清單1126"/>
    <w:next w:val="NoList"/>
    <w:uiPriority w:val="99"/>
    <w:semiHidden/>
    <w:unhideWhenUsed/>
    <w:rsid w:val="003A71DE"/>
  </w:style>
  <w:style w:type="table" w:customStyle="1" w:styleId="1252">
    <w:name w:val="表格格線12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
    <w:name w:val="无列表216"/>
    <w:next w:val="NoList"/>
    <w:uiPriority w:val="99"/>
    <w:semiHidden/>
    <w:unhideWhenUsed/>
    <w:rsid w:val="003A71DE"/>
  </w:style>
  <w:style w:type="numbering" w:customStyle="1" w:styleId="NoList1225">
    <w:name w:val="No List1225"/>
    <w:next w:val="NoList"/>
    <w:uiPriority w:val="99"/>
    <w:semiHidden/>
    <w:unhideWhenUsed/>
    <w:rsid w:val="003A71DE"/>
  </w:style>
  <w:style w:type="numbering" w:customStyle="1" w:styleId="11250">
    <w:name w:val="リストなし1125"/>
    <w:next w:val="NoList"/>
    <w:uiPriority w:val="99"/>
    <w:semiHidden/>
    <w:unhideWhenUsed/>
    <w:rsid w:val="003A71DE"/>
  </w:style>
  <w:style w:type="numbering" w:customStyle="1" w:styleId="11251">
    <w:name w:val="无列表1125"/>
    <w:next w:val="NoList"/>
    <w:semiHidden/>
    <w:rsid w:val="003A71DE"/>
  </w:style>
  <w:style w:type="numbering" w:customStyle="1" w:styleId="NoList2125">
    <w:name w:val="No List2125"/>
    <w:next w:val="NoList"/>
    <w:semiHidden/>
    <w:rsid w:val="003A71DE"/>
  </w:style>
  <w:style w:type="numbering" w:customStyle="1" w:styleId="NoList3125">
    <w:name w:val="No List3125"/>
    <w:next w:val="NoList"/>
    <w:uiPriority w:val="99"/>
    <w:semiHidden/>
    <w:rsid w:val="003A71DE"/>
  </w:style>
  <w:style w:type="numbering" w:customStyle="1" w:styleId="NoList11126">
    <w:name w:val="No List11126"/>
    <w:next w:val="NoList"/>
    <w:uiPriority w:val="99"/>
    <w:semiHidden/>
    <w:unhideWhenUsed/>
    <w:rsid w:val="003A71DE"/>
  </w:style>
  <w:style w:type="numbering" w:customStyle="1" w:styleId="1225">
    <w:name w:val="無清單1225"/>
    <w:next w:val="NoList"/>
    <w:uiPriority w:val="99"/>
    <w:semiHidden/>
    <w:unhideWhenUsed/>
    <w:rsid w:val="003A71DE"/>
  </w:style>
  <w:style w:type="numbering" w:customStyle="1" w:styleId="11125">
    <w:name w:val="無清單11125"/>
    <w:next w:val="NoList"/>
    <w:uiPriority w:val="99"/>
    <w:semiHidden/>
    <w:unhideWhenUsed/>
    <w:rsid w:val="003A71DE"/>
  </w:style>
  <w:style w:type="numbering" w:customStyle="1" w:styleId="NoList143">
    <w:name w:val="No List143"/>
    <w:next w:val="NoList"/>
    <w:uiPriority w:val="99"/>
    <w:semiHidden/>
    <w:unhideWhenUsed/>
    <w:rsid w:val="003A71DE"/>
  </w:style>
  <w:style w:type="numbering" w:customStyle="1" w:styleId="1333">
    <w:name w:val="リストなし133"/>
    <w:next w:val="NoList"/>
    <w:uiPriority w:val="99"/>
    <w:semiHidden/>
    <w:unhideWhenUsed/>
    <w:rsid w:val="003A71DE"/>
  </w:style>
  <w:style w:type="table" w:customStyle="1" w:styleId="Tabellengitternetz132">
    <w:name w:val="Tabellengitternetz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2">
    <w:name w:val="Tabellengitternetz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2">
    <w:name w:val="Tabellengitternetz3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2">
    <w:name w:val="Tabellengitternetz4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2">
    <w:name w:val="Tabellengitternetz5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2">
    <w:name w:val="Tabellengitternetz6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2">
    <w:name w:val="Tabellengitternetz7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2">
    <w:name w:val="Tabellengitternetz8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2">
    <w:name w:val="Tabellengitternetz9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2">
    <w:name w:val="Table Grid2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2">
    <w:name w:val="Table Grid33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无列表134"/>
    <w:next w:val="NoList"/>
    <w:semiHidden/>
    <w:rsid w:val="003A71DE"/>
  </w:style>
  <w:style w:type="table" w:customStyle="1" w:styleId="332">
    <w:name w:val="网格型3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
    <w:name w:val="网格型4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33">
    <w:name w:val="No List233"/>
    <w:next w:val="NoList"/>
    <w:semiHidden/>
    <w:rsid w:val="003A71DE"/>
  </w:style>
  <w:style w:type="numbering" w:customStyle="1" w:styleId="NoList333">
    <w:name w:val="No List333"/>
    <w:next w:val="NoList"/>
    <w:uiPriority w:val="99"/>
    <w:semiHidden/>
    <w:rsid w:val="003A71DE"/>
  </w:style>
  <w:style w:type="table" w:customStyle="1" w:styleId="TableGrid432">
    <w:name w:val="Table Grid43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4">
    <w:name w:val="No List1134"/>
    <w:next w:val="NoList"/>
    <w:uiPriority w:val="99"/>
    <w:semiHidden/>
    <w:unhideWhenUsed/>
    <w:rsid w:val="003A71DE"/>
  </w:style>
  <w:style w:type="numbering" w:customStyle="1" w:styleId="1430">
    <w:name w:val="無清單143"/>
    <w:next w:val="NoList"/>
    <w:uiPriority w:val="99"/>
    <w:semiHidden/>
    <w:unhideWhenUsed/>
    <w:rsid w:val="003A71DE"/>
  </w:style>
  <w:style w:type="numbering" w:customStyle="1" w:styleId="11330">
    <w:name w:val="無清單1133"/>
    <w:next w:val="NoList"/>
    <w:uiPriority w:val="99"/>
    <w:semiHidden/>
    <w:unhideWhenUsed/>
    <w:rsid w:val="003A71DE"/>
  </w:style>
  <w:style w:type="table" w:customStyle="1" w:styleId="1323">
    <w:name w:val="表格格線13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4">
    <w:name w:val="无列表224"/>
    <w:next w:val="NoList"/>
    <w:uiPriority w:val="99"/>
    <w:semiHidden/>
    <w:unhideWhenUsed/>
    <w:rsid w:val="003A71DE"/>
  </w:style>
  <w:style w:type="numbering" w:customStyle="1" w:styleId="NoList1233">
    <w:name w:val="No List1233"/>
    <w:next w:val="NoList"/>
    <w:uiPriority w:val="99"/>
    <w:semiHidden/>
    <w:unhideWhenUsed/>
    <w:rsid w:val="003A71DE"/>
  </w:style>
  <w:style w:type="numbering" w:customStyle="1" w:styleId="11331">
    <w:name w:val="リストなし1133"/>
    <w:next w:val="NoList"/>
    <w:uiPriority w:val="99"/>
    <w:semiHidden/>
    <w:unhideWhenUsed/>
    <w:rsid w:val="003A71DE"/>
  </w:style>
  <w:style w:type="numbering" w:customStyle="1" w:styleId="11332">
    <w:name w:val="无列表1133"/>
    <w:next w:val="NoList"/>
    <w:semiHidden/>
    <w:rsid w:val="003A71DE"/>
  </w:style>
  <w:style w:type="numbering" w:customStyle="1" w:styleId="NoList2133">
    <w:name w:val="No List2133"/>
    <w:next w:val="NoList"/>
    <w:semiHidden/>
    <w:rsid w:val="003A71DE"/>
  </w:style>
  <w:style w:type="numbering" w:customStyle="1" w:styleId="NoList3133">
    <w:name w:val="No List3133"/>
    <w:next w:val="NoList"/>
    <w:uiPriority w:val="99"/>
    <w:semiHidden/>
    <w:rsid w:val="003A71DE"/>
  </w:style>
  <w:style w:type="numbering" w:customStyle="1" w:styleId="NoList11133">
    <w:name w:val="No List11133"/>
    <w:next w:val="NoList"/>
    <w:uiPriority w:val="99"/>
    <w:semiHidden/>
    <w:unhideWhenUsed/>
    <w:rsid w:val="003A71DE"/>
  </w:style>
  <w:style w:type="numbering" w:customStyle="1" w:styleId="12330">
    <w:name w:val="無清單1233"/>
    <w:next w:val="NoList"/>
    <w:uiPriority w:val="99"/>
    <w:semiHidden/>
    <w:unhideWhenUsed/>
    <w:rsid w:val="003A71DE"/>
  </w:style>
  <w:style w:type="numbering" w:customStyle="1" w:styleId="111330">
    <w:name w:val="無清單11133"/>
    <w:next w:val="NoList"/>
    <w:uiPriority w:val="99"/>
    <w:semiHidden/>
    <w:unhideWhenUsed/>
    <w:rsid w:val="003A71DE"/>
  </w:style>
  <w:style w:type="numbering" w:customStyle="1" w:styleId="NoList414">
    <w:name w:val="No List414"/>
    <w:next w:val="NoList"/>
    <w:uiPriority w:val="99"/>
    <w:semiHidden/>
    <w:unhideWhenUsed/>
    <w:rsid w:val="003A71DE"/>
  </w:style>
  <w:style w:type="table" w:customStyle="1" w:styleId="TableGrid1114">
    <w:name w:val="Table Grid1114"/>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4">
    <w:name w:val="Tabellengitternetz1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4">
    <w:name w:val="Tabellengitternetz2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4">
    <w:name w:val="Tabellengitternetz3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4">
    <w:name w:val="Tabellengitternetz4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4">
    <w:name w:val="Tabellengitternetz5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4">
    <w:name w:val="Tabellengitternetz6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4">
    <w:name w:val="Tabellengitternetz7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4">
    <w:name w:val="Tabellengitternetz8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4">
    <w:name w:val="Tabellengitternetz911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4">
    <w:name w:val="Table Grid211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4">
    <w:name w:val="Table Grid3114"/>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
    <w:name w:val="网格型311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4">
    <w:name w:val="网格型411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4">
    <w:name w:val="Table Grid4114"/>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3">
    <w:name w:val="表格格線1114"/>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4">
    <w:name w:val="No List12114"/>
    <w:next w:val="NoList"/>
    <w:uiPriority w:val="99"/>
    <w:semiHidden/>
    <w:unhideWhenUsed/>
    <w:rsid w:val="003A71DE"/>
  </w:style>
  <w:style w:type="numbering" w:customStyle="1" w:styleId="111140">
    <w:name w:val="リストなし11114"/>
    <w:next w:val="NoList"/>
    <w:uiPriority w:val="99"/>
    <w:semiHidden/>
    <w:unhideWhenUsed/>
    <w:rsid w:val="003A71DE"/>
  </w:style>
  <w:style w:type="numbering" w:customStyle="1" w:styleId="111142">
    <w:name w:val="无列表11114"/>
    <w:next w:val="NoList"/>
    <w:semiHidden/>
    <w:rsid w:val="003A71DE"/>
  </w:style>
  <w:style w:type="numbering" w:customStyle="1" w:styleId="NoList21114">
    <w:name w:val="No List21114"/>
    <w:next w:val="NoList"/>
    <w:semiHidden/>
    <w:rsid w:val="003A71DE"/>
  </w:style>
  <w:style w:type="numbering" w:customStyle="1" w:styleId="NoList31114">
    <w:name w:val="No List31114"/>
    <w:next w:val="NoList"/>
    <w:uiPriority w:val="99"/>
    <w:semiHidden/>
    <w:rsid w:val="003A71DE"/>
  </w:style>
  <w:style w:type="numbering" w:customStyle="1" w:styleId="NoList111114">
    <w:name w:val="No List111114"/>
    <w:next w:val="NoList"/>
    <w:uiPriority w:val="99"/>
    <w:semiHidden/>
    <w:unhideWhenUsed/>
    <w:rsid w:val="003A71DE"/>
  </w:style>
  <w:style w:type="numbering" w:customStyle="1" w:styleId="12114">
    <w:name w:val="無清單12114"/>
    <w:next w:val="NoList"/>
    <w:uiPriority w:val="99"/>
    <w:semiHidden/>
    <w:unhideWhenUsed/>
    <w:rsid w:val="003A71DE"/>
  </w:style>
  <w:style w:type="numbering" w:customStyle="1" w:styleId="1111140">
    <w:name w:val="無清單111114"/>
    <w:next w:val="NoList"/>
    <w:uiPriority w:val="99"/>
    <w:semiHidden/>
    <w:unhideWhenUsed/>
    <w:rsid w:val="003A71DE"/>
  </w:style>
  <w:style w:type="numbering" w:customStyle="1" w:styleId="NoList513">
    <w:name w:val="No List513"/>
    <w:next w:val="NoList"/>
    <w:uiPriority w:val="99"/>
    <w:semiHidden/>
    <w:unhideWhenUsed/>
    <w:rsid w:val="003A71DE"/>
  </w:style>
  <w:style w:type="numbering" w:customStyle="1" w:styleId="NoList1314">
    <w:name w:val="No List1314"/>
    <w:next w:val="NoList"/>
    <w:uiPriority w:val="99"/>
    <w:semiHidden/>
    <w:unhideWhenUsed/>
    <w:rsid w:val="003A71DE"/>
  </w:style>
  <w:style w:type="numbering" w:customStyle="1" w:styleId="12140">
    <w:name w:val="リストなし1214"/>
    <w:next w:val="NoList"/>
    <w:uiPriority w:val="99"/>
    <w:semiHidden/>
    <w:unhideWhenUsed/>
    <w:rsid w:val="003A71DE"/>
  </w:style>
  <w:style w:type="table" w:customStyle="1" w:styleId="TableGrid1212">
    <w:name w:val="Table Grid121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2">
    <w:name w:val="Tabellengitternetz1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2">
    <w:name w:val="Tabellengitternetz2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2">
    <w:name w:val="Tabellengitternetz3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2">
    <w:name w:val="Tabellengitternetz4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2">
    <w:name w:val="Tabellengitternetz5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2">
    <w:name w:val="Tabellengitternetz6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2">
    <w:name w:val="Tabellengitternetz7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2">
    <w:name w:val="Tabellengitternetz8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2">
    <w:name w:val="Tabellengitternetz92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2">
    <w:name w:val="Table Grid22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2">
    <w:name w:val="Table Grid321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42">
    <w:name w:val="无列表1214"/>
    <w:next w:val="NoList"/>
    <w:semiHidden/>
    <w:rsid w:val="003A71DE"/>
  </w:style>
  <w:style w:type="table" w:customStyle="1" w:styleId="3212">
    <w:name w:val="网格型32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2">
    <w:name w:val="网格型42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4">
    <w:name w:val="No List2214"/>
    <w:next w:val="NoList"/>
    <w:semiHidden/>
    <w:rsid w:val="003A71DE"/>
  </w:style>
  <w:style w:type="numbering" w:customStyle="1" w:styleId="NoList3214">
    <w:name w:val="No List3214"/>
    <w:next w:val="NoList"/>
    <w:uiPriority w:val="99"/>
    <w:semiHidden/>
    <w:rsid w:val="003A71DE"/>
  </w:style>
  <w:style w:type="table" w:customStyle="1" w:styleId="TableGrid4212">
    <w:name w:val="Table Grid421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4">
    <w:name w:val="No List11214"/>
    <w:next w:val="NoList"/>
    <w:uiPriority w:val="99"/>
    <w:semiHidden/>
    <w:unhideWhenUsed/>
    <w:rsid w:val="003A71DE"/>
  </w:style>
  <w:style w:type="numbering" w:customStyle="1" w:styleId="1314">
    <w:name w:val="無清單1314"/>
    <w:next w:val="NoList"/>
    <w:uiPriority w:val="99"/>
    <w:semiHidden/>
    <w:unhideWhenUsed/>
    <w:rsid w:val="003A71DE"/>
  </w:style>
  <w:style w:type="numbering" w:customStyle="1" w:styleId="11214">
    <w:name w:val="無清單11214"/>
    <w:next w:val="NoList"/>
    <w:uiPriority w:val="99"/>
    <w:semiHidden/>
    <w:unhideWhenUsed/>
    <w:rsid w:val="003A71DE"/>
  </w:style>
  <w:style w:type="table" w:customStyle="1" w:styleId="12123">
    <w:name w:val="表格格線121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4">
    <w:name w:val="无列表2114"/>
    <w:next w:val="NoList"/>
    <w:uiPriority w:val="99"/>
    <w:semiHidden/>
    <w:unhideWhenUsed/>
    <w:rsid w:val="003A71DE"/>
  </w:style>
  <w:style w:type="numbering" w:customStyle="1" w:styleId="NoList12214">
    <w:name w:val="No List12214"/>
    <w:next w:val="NoList"/>
    <w:uiPriority w:val="99"/>
    <w:semiHidden/>
    <w:unhideWhenUsed/>
    <w:rsid w:val="003A71DE"/>
  </w:style>
  <w:style w:type="numbering" w:customStyle="1" w:styleId="112140">
    <w:name w:val="リストなし11214"/>
    <w:next w:val="NoList"/>
    <w:uiPriority w:val="99"/>
    <w:semiHidden/>
    <w:unhideWhenUsed/>
    <w:rsid w:val="003A71DE"/>
  </w:style>
  <w:style w:type="numbering" w:customStyle="1" w:styleId="112141">
    <w:name w:val="无列表11214"/>
    <w:next w:val="NoList"/>
    <w:semiHidden/>
    <w:rsid w:val="003A71DE"/>
  </w:style>
  <w:style w:type="numbering" w:customStyle="1" w:styleId="NoList21214">
    <w:name w:val="No List21214"/>
    <w:next w:val="NoList"/>
    <w:semiHidden/>
    <w:rsid w:val="003A71DE"/>
  </w:style>
  <w:style w:type="numbering" w:customStyle="1" w:styleId="NoList31214">
    <w:name w:val="No List31214"/>
    <w:next w:val="NoList"/>
    <w:uiPriority w:val="99"/>
    <w:semiHidden/>
    <w:rsid w:val="003A71DE"/>
  </w:style>
  <w:style w:type="numbering" w:customStyle="1" w:styleId="NoList111214">
    <w:name w:val="No List111214"/>
    <w:next w:val="NoList"/>
    <w:uiPriority w:val="99"/>
    <w:semiHidden/>
    <w:unhideWhenUsed/>
    <w:rsid w:val="003A71DE"/>
  </w:style>
  <w:style w:type="numbering" w:customStyle="1" w:styleId="122140">
    <w:name w:val="無清單12214"/>
    <w:next w:val="NoList"/>
    <w:uiPriority w:val="99"/>
    <w:semiHidden/>
    <w:unhideWhenUsed/>
    <w:rsid w:val="003A71DE"/>
  </w:style>
  <w:style w:type="numbering" w:customStyle="1" w:styleId="1112140">
    <w:name w:val="無清單111214"/>
    <w:next w:val="NoList"/>
    <w:uiPriority w:val="99"/>
    <w:semiHidden/>
    <w:unhideWhenUsed/>
    <w:rsid w:val="003A71DE"/>
  </w:style>
  <w:style w:type="table" w:customStyle="1" w:styleId="137">
    <w:name w:val="网格型1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2">
    <w:name w:val="Table Grid11112"/>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3">
    <w:name w:val="无列表33"/>
    <w:next w:val="NoList"/>
    <w:uiPriority w:val="99"/>
    <w:semiHidden/>
    <w:unhideWhenUsed/>
    <w:rsid w:val="003A71DE"/>
  </w:style>
  <w:style w:type="table" w:customStyle="1" w:styleId="232">
    <w:name w:val="网格型2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1">
    <w:name w:val="无列表1313"/>
    <w:next w:val="NoList"/>
    <w:semiHidden/>
    <w:rsid w:val="003A71DE"/>
  </w:style>
  <w:style w:type="numbering" w:customStyle="1" w:styleId="NoList11312">
    <w:name w:val="No List11312"/>
    <w:next w:val="NoList"/>
    <w:uiPriority w:val="99"/>
    <w:semiHidden/>
    <w:unhideWhenUsed/>
    <w:rsid w:val="003A71DE"/>
  </w:style>
  <w:style w:type="numbering" w:customStyle="1" w:styleId="NoList4113">
    <w:name w:val="No List4113"/>
    <w:next w:val="NoList"/>
    <w:uiPriority w:val="99"/>
    <w:semiHidden/>
    <w:unhideWhenUsed/>
    <w:rsid w:val="003A71DE"/>
  </w:style>
  <w:style w:type="table" w:customStyle="1" w:styleId="TableGrid1124">
    <w:name w:val="Table Grid1124"/>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3">
    <w:name w:val="无列表2213"/>
    <w:next w:val="NoList"/>
    <w:uiPriority w:val="99"/>
    <w:semiHidden/>
    <w:unhideWhenUsed/>
    <w:rsid w:val="003A71DE"/>
  </w:style>
  <w:style w:type="numbering" w:customStyle="1" w:styleId="NoList121113">
    <w:name w:val="No List121113"/>
    <w:next w:val="NoList"/>
    <w:uiPriority w:val="99"/>
    <w:semiHidden/>
    <w:unhideWhenUsed/>
    <w:rsid w:val="003A71DE"/>
  </w:style>
  <w:style w:type="numbering" w:customStyle="1" w:styleId="1111130">
    <w:name w:val="リストなし111113"/>
    <w:next w:val="NoList"/>
    <w:uiPriority w:val="99"/>
    <w:semiHidden/>
    <w:unhideWhenUsed/>
    <w:rsid w:val="003A71DE"/>
  </w:style>
  <w:style w:type="numbering" w:customStyle="1" w:styleId="1111131">
    <w:name w:val="无列表111113"/>
    <w:next w:val="NoList"/>
    <w:semiHidden/>
    <w:rsid w:val="003A71DE"/>
  </w:style>
  <w:style w:type="numbering" w:customStyle="1" w:styleId="NoList211113">
    <w:name w:val="No List211113"/>
    <w:next w:val="NoList"/>
    <w:semiHidden/>
    <w:rsid w:val="003A71DE"/>
  </w:style>
  <w:style w:type="numbering" w:customStyle="1" w:styleId="NoList311113">
    <w:name w:val="No List311113"/>
    <w:next w:val="NoList"/>
    <w:uiPriority w:val="99"/>
    <w:semiHidden/>
    <w:rsid w:val="003A71DE"/>
  </w:style>
  <w:style w:type="numbering" w:customStyle="1" w:styleId="NoList1111113">
    <w:name w:val="No List1111113"/>
    <w:next w:val="NoList"/>
    <w:uiPriority w:val="99"/>
    <w:semiHidden/>
    <w:unhideWhenUsed/>
    <w:rsid w:val="003A71DE"/>
  </w:style>
  <w:style w:type="numbering" w:customStyle="1" w:styleId="121113">
    <w:name w:val="無清單121113"/>
    <w:next w:val="NoList"/>
    <w:uiPriority w:val="99"/>
    <w:semiHidden/>
    <w:unhideWhenUsed/>
    <w:rsid w:val="003A71DE"/>
  </w:style>
  <w:style w:type="numbering" w:customStyle="1" w:styleId="1111113">
    <w:name w:val="無清單1111113"/>
    <w:next w:val="NoList"/>
    <w:uiPriority w:val="99"/>
    <w:semiHidden/>
    <w:unhideWhenUsed/>
    <w:rsid w:val="003A71DE"/>
  </w:style>
  <w:style w:type="numbering" w:customStyle="1" w:styleId="NoList13113">
    <w:name w:val="No List13113"/>
    <w:next w:val="NoList"/>
    <w:uiPriority w:val="99"/>
    <w:semiHidden/>
    <w:unhideWhenUsed/>
    <w:rsid w:val="003A71DE"/>
  </w:style>
  <w:style w:type="numbering" w:customStyle="1" w:styleId="121131">
    <w:name w:val="リストなし12113"/>
    <w:next w:val="NoList"/>
    <w:uiPriority w:val="99"/>
    <w:semiHidden/>
    <w:unhideWhenUsed/>
    <w:rsid w:val="003A71DE"/>
  </w:style>
  <w:style w:type="numbering" w:customStyle="1" w:styleId="121132">
    <w:name w:val="无列表12113"/>
    <w:next w:val="NoList"/>
    <w:semiHidden/>
    <w:rsid w:val="003A71DE"/>
  </w:style>
  <w:style w:type="numbering" w:customStyle="1" w:styleId="NoList22113">
    <w:name w:val="No List22113"/>
    <w:next w:val="NoList"/>
    <w:semiHidden/>
    <w:rsid w:val="003A71DE"/>
  </w:style>
  <w:style w:type="numbering" w:customStyle="1" w:styleId="NoList32113">
    <w:name w:val="No List32113"/>
    <w:next w:val="NoList"/>
    <w:uiPriority w:val="99"/>
    <w:semiHidden/>
    <w:rsid w:val="003A71DE"/>
  </w:style>
  <w:style w:type="numbering" w:customStyle="1" w:styleId="NoList112113">
    <w:name w:val="No List112113"/>
    <w:next w:val="NoList"/>
    <w:uiPriority w:val="99"/>
    <w:semiHidden/>
    <w:unhideWhenUsed/>
    <w:rsid w:val="003A71DE"/>
  </w:style>
  <w:style w:type="numbering" w:customStyle="1" w:styleId="13113">
    <w:name w:val="無清單13113"/>
    <w:next w:val="NoList"/>
    <w:uiPriority w:val="99"/>
    <w:semiHidden/>
    <w:unhideWhenUsed/>
    <w:rsid w:val="003A71DE"/>
  </w:style>
  <w:style w:type="numbering" w:customStyle="1" w:styleId="112113">
    <w:name w:val="無清單112113"/>
    <w:next w:val="NoList"/>
    <w:uiPriority w:val="99"/>
    <w:semiHidden/>
    <w:unhideWhenUsed/>
    <w:rsid w:val="003A71DE"/>
  </w:style>
  <w:style w:type="numbering" w:customStyle="1" w:styleId="21113">
    <w:name w:val="无列表21113"/>
    <w:next w:val="NoList"/>
    <w:uiPriority w:val="99"/>
    <w:semiHidden/>
    <w:unhideWhenUsed/>
    <w:rsid w:val="003A71DE"/>
  </w:style>
  <w:style w:type="numbering" w:customStyle="1" w:styleId="NoList122113">
    <w:name w:val="No List122113"/>
    <w:next w:val="NoList"/>
    <w:uiPriority w:val="99"/>
    <w:semiHidden/>
    <w:unhideWhenUsed/>
    <w:rsid w:val="003A71DE"/>
  </w:style>
  <w:style w:type="numbering" w:customStyle="1" w:styleId="1121130">
    <w:name w:val="リストなし112113"/>
    <w:next w:val="NoList"/>
    <w:uiPriority w:val="99"/>
    <w:semiHidden/>
    <w:unhideWhenUsed/>
    <w:rsid w:val="003A71DE"/>
  </w:style>
  <w:style w:type="numbering" w:customStyle="1" w:styleId="1121131">
    <w:name w:val="无列表112113"/>
    <w:next w:val="NoList"/>
    <w:semiHidden/>
    <w:rsid w:val="003A71DE"/>
  </w:style>
  <w:style w:type="numbering" w:customStyle="1" w:styleId="NoList212113">
    <w:name w:val="No List212113"/>
    <w:next w:val="NoList"/>
    <w:semiHidden/>
    <w:rsid w:val="003A71DE"/>
  </w:style>
  <w:style w:type="numbering" w:customStyle="1" w:styleId="NoList312113">
    <w:name w:val="No List312113"/>
    <w:next w:val="NoList"/>
    <w:uiPriority w:val="99"/>
    <w:semiHidden/>
    <w:rsid w:val="003A71DE"/>
  </w:style>
  <w:style w:type="numbering" w:customStyle="1" w:styleId="NoList1112113">
    <w:name w:val="No List1112113"/>
    <w:next w:val="NoList"/>
    <w:uiPriority w:val="99"/>
    <w:semiHidden/>
    <w:unhideWhenUsed/>
    <w:rsid w:val="003A71DE"/>
  </w:style>
  <w:style w:type="numbering" w:customStyle="1" w:styleId="122113">
    <w:name w:val="無清單122113"/>
    <w:next w:val="NoList"/>
    <w:uiPriority w:val="99"/>
    <w:semiHidden/>
    <w:unhideWhenUsed/>
    <w:rsid w:val="003A71DE"/>
  </w:style>
  <w:style w:type="numbering" w:customStyle="1" w:styleId="1112113">
    <w:name w:val="無清單1112113"/>
    <w:next w:val="NoList"/>
    <w:uiPriority w:val="99"/>
    <w:semiHidden/>
    <w:unhideWhenUsed/>
    <w:rsid w:val="003A71DE"/>
  </w:style>
  <w:style w:type="numbering" w:customStyle="1" w:styleId="NoList5112">
    <w:name w:val="No List5112"/>
    <w:next w:val="NoList"/>
    <w:uiPriority w:val="99"/>
    <w:semiHidden/>
    <w:unhideWhenUsed/>
    <w:rsid w:val="003A71DE"/>
  </w:style>
  <w:style w:type="numbering" w:customStyle="1" w:styleId="NoList612">
    <w:name w:val="No List612"/>
    <w:next w:val="NoList"/>
    <w:uiPriority w:val="99"/>
    <w:semiHidden/>
    <w:unhideWhenUsed/>
    <w:rsid w:val="003A71DE"/>
  </w:style>
  <w:style w:type="numbering" w:customStyle="1" w:styleId="NoList1412">
    <w:name w:val="No List1412"/>
    <w:next w:val="NoList"/>
    <w:uiPriority w:val="99"/>
    <w:semiHidden/>
    <w:unhideWhenUsed/>
    <w:rsid w:val="003A71DE"/>
  </w:style>
  <w:style w:type="numbering" w:customStyle="1" w:styleId="13122">
    <w:name w:val="リストなし1312"/>
    <w:next w:val="NoList"/>
    <w:uiPriority w:val="99"/>
    <w:semiHidden/>
    <w:unhideWhenUsed/>
    <w:rsid w:val="003A71DE"/>
  </w:style>
  <w:style w:type="numbering" w:customStyle="1" w:styleId="NoList2312">
    <w:name w:val="No List2312"/>
    <w:next w:val="NoList"/>
    <w:semiHidden/>
    <w:rsid w:val="003A71DE"/>
  </w:style>
  <w:style w:type="numbering" w:customStyle="1" w:styleId="NoList3312">
    <w:name w:val="No List3312"/>
    <w:next w:val="NoList"/>
    <w:uiPriority w:val="99"/>
    <w:semiHidden/>
    <w:rsid w:val="003A71DE"/>
  </w:style>
  <w:style w:type="numbering" w:customStyle="1" w:styleId="NoList1142">
    <w:name w:val="No List1142"/>
    <w:next w:val="NoList"/>
    <w:uiPriority w:val="99"/>
    <w:semiHidden/>
    <w:unhideWhenUsed/>
    <w:rsid w:val="003A71DE"/>
  </w:style>
  <w:style w:type="numbering" w:customStyle="1" w:styleId="14120">
    <w:name w:val="無清單1412"/>
    <w:next w:val="NoList"/>
    <w:uiPriority w:val="99"/>
    <w:semiHidden/>
    <w:unhideWhenUsed/>
    <w:rsid w:val="003A71DE"/>
  </w:style>
  <w:style w:type="numbering" w:customStyle="1" w:styleId="113120">
    <w:name w:val="無清單11312"/>
    <w:next w:val="NoList"/>
    <w:uiPriority w:val="99"/>
    <w:semiHidden/>
    <w:unhideWhenUsed/>
    <w:rsid w:val="003A71DE"/>
  </w:style>
  <w:style w:type="numbering" w:customStyle="1" w:styleId="NoList422">
    <w:name w:val="No List422"/>
    <w:next w:val="NoList"/>
    <w:uiPriority w:val="99"/>
    <w:semiHidden/>
    <w:unhideWhenUsed/>
    <w:rsid w:val="003A71DE"/>
  </w:style>
  <w:style w:type="numbering" w:customStyle="1" w:styleId="NoList12312">
    <w:name w:val="No List12312"/>
    <w:next w:val="NoList"/>
    <w:uiPriority w:val="99"/>
    <w:semiHidden/>
    <w:unhideWhenUsed/>
    <w:rsid w:val="003A71DE"/>
  </w:style>
  <w:style w:type="numbering" w:customStyle="1" w:styleId="113121">
    <w:name w:val="リストなし11312"/>
    <w:next w:val="NoList"/>
    <w:uiPriority w:val="99"/>
    <w:semiHidden/>
    <w:unhideWhenUsed/>
    <w:rsid w:val="003A71DE"/>
  </w:style>
  <w:style w:type="numbering" w:customStyle="1" w:styleId="113122">
    <w:name w:val="无列表11312"/>
    <w:next w:val="NoList"/>
    <w:semiHidden/>
    <w:rsid w:val="003A71DE"/>
  </w:style>
  <w:style w:type="numbering" w:customStyle="1" w:styleId="NoList21312">
    <w:name w:val="No List21312"/>
    <w:next w:val="NoList"/>
    <w:semiHidden/>
    <w:rsid w:val="003A71DE"/>
  </w:style>
  <w:style w:type="numbering" w:customStyle="1" w:styleId="NoList31312">
    <w:name w:val="No List31312"/>
    <w:next w:val="NoList"/>
    <w:uiPriority w:val="99"/>
    <w:semiHidden/>
    <w:rsid w:val="003A71DE"/>
  </w:style>
  <w:style w:type="numbering" w:customStyle="1" w:styleId="NoList111312">
    <w:name w:val="No List111312"/>
    <w:next w:val="NoList"/>
    <w:uiPriority w:val="99"/>
    <w:semiHidden/>
    <w:unhideWhenUsed/>
    <w:rsid w:val="003A71DE"/>
  </w:style>
  <w:style w:type="numbering" w:customStyle="1" w:styleId="123120">
    <w:name w:val="無清單12312"/>
    <w:next w:val="NoList"/>
    <w:uiPriority w:val="99"/>
    <w:semiHidden/>
    <w:unhideWhenUsed/>
    <w:rsid w:val="003A71DE"/>
  </w:style>
  <w:style w:type="numbering" w:customStyle="1" w:styleId="1113120">
    <w:name w:val="無清單111312"/>
    <w:next w:val="NoList"/>
    <w:uiPriority w:val="99"/>
    <w:semiHidden/>
    <w:unhideWhenUsed/>
    <w:rsid w:val="003A71DE"/>
  </w:style>
  <w:style w:type="numbering" w:customStyle="1" w:styleId="NoList12122">
    <w:name w:val="No List12122"/>
    <w:next w:val="NoList"/>
    <w:uiPriority w:val="99"/>
    <w:semiHidden/>
    <w:unhideWhenUsed/>
    <w:rsid w:val="003A71DE"/>
  </w:style>
  <w:style w:type="numbering" w:customStyle="1" w:styleId="111222">
    <w:name w:val="リストなし11122"/>
    <w:next w:val="NoList"/>
    <w:uiPriority w:val="99"/>
    <w:semiHidden/>
    <w:unhideWhenUsed/>
    <w:rsid w:val="003A71DE"/>
  </w:style>
  <w:style w:type="numbering" w:customStyle="1" w:styleId="111223">
    <w:name w:val="无列表11122"/>
    <w:next w:val="NoList"/>
    <w:semiHidden/>
    <w:rsid w:val="003A71DE"/>
  </w:style>
  <w:style w:type="numbering" w:customStyle="1" w:styleId="NoList21122">
    <w:name w:val="No List21122"/>
    <w:next w:val="NoList"/>
    <w:semiHidden/>
    <w:rsid w:val="003A71DE"/>
  </w:style>
  <w:style w:type="numbering" w:customStyle="1" w:styleId="NoList31122">
    <w:name w:val="No List31122"/>
    <w:next w:val="NoList"/>
    <w:uiPriority w:val="99"/>
    <w:semiHidden/>
    <w:rsid w:val="003A71DE"/>
  </w:style>
  <w:style w:type="numbering" w:customStyle="1" w:styleId="NoList111122">
    <w:name w:val="No List111122"/>
    <w:next w:val="NoList"/>
    <w:uiPriority w:val="99"/>
    <w:semiHidden/>
    <w:unhideWhenUsed/>
    <w:rsid w:val="003A71DE"/>
  </w:style>
  <w:style w:type="numbering" w:customStyle="1" w:styleId="121220">
    <w:name w:val="無清單12122"/>
    <w:next w:val="NoList"/>
    <w:uiPriority w:val="99"/>
    <w:semiHidden/>
    <w:unhideWhenUsed/>
    <w:rsid w:val="003A71DE"/>
  </w:style>
  <w:style w:type="numbering" w:customStyle="1" w:styleId="1111220">
    <w:name w:val="無清單111122"/>
    <w:next w:val="NoList"/>
    <w:uiPriority w:val="99"/>
    <w:semiHidden/>
    <w:unhideWhenUsed/>
    <w:rsid w:val="003A71DE"/>
  </w:style>
  <w:style w:type="numbering" w:customStyle="1" w:styleId="NoList522">
    <w:name w:val="No List522"/>
    <w:next w:val="NoList"/>
    <w:uiPriority w:val="99"/>
    <w:semiHidden/>
    <w:unhideWhenUsed/>
    <w:rsid w:val="003A71DE"/>
  </w:style>
  <w:style w:type="numbering" w:customStyle="1" w:styleId="NoList1322">
    <w:name w:val="No List1322"/>
    <w:next w:val="NoList"/>
    <w:uiPriority w:val="99"/>
    <w:semiHidden/>
    <w:unhideWhenUsed/>
    <w:rsid w:val="003A71DE"/>
  </w:style>
  <w:style w:type="numbering" w:customStyle="1" w:styleId="12223">
    <w:name w:val="リストなし1222"/>
    <w:next w:val="NoList"/>
    <w:uiPriority w:val="99"/>
    <w:semiHidden/>
    <w:unhideWhenUsed/>
    <w:rsid w:val="003A71DE"/>
  </w:style>
  <w:style w:type="numbering" w:customStyle="1" w:styleId="12232">
    <w:name w:val="无列表1223"/>
    <w:next w:val="NoList"/>
    <w:semiHidden/>
    <w:rsid w:val="003A71DE"/>
  </w:style>
  <w:style w:type="numbering" w:customStyle="1" w:styleId="NoList2222">
    <w:name w:val="No List2222"/>
    <w:next w:val="NoList"/>
    <w:semiHidden/>
    <w:rsid w:val="003A71DE"/>
  </w:style>
  <w:style w:type="numbering" w:customStyle="1" w:styleId="NoList3222">
    <w:name w:val="No List3222"/>
    <w:next w:val="NoList"/>
    <w:uiPriority w:val="99"/>
    <w:semiHidden/>
    <w:rsid w:val="003A71DE"/>
  </w:style>
  <w:style w:type="numbering" w:customStyle="1" w:styleId="NoList11222">
    <w:name w:val="No List11222"/>
    <w:next w:val="NoList"/>
    <w:uiPriority w:val="99"/>
    <w:semiHidden/>
    <w:unhideWhenUsed/>
    <w:rsid w:val="003A71DE"/>
  </w:style>
  <w:style w:type="numbering" w:customStyle="1" w:styleId="13220">
    <w:name w:val="無清單1322"/>
    <w:next w:val="NoList"/>
    <w:uiPriority w:val="99"/>
    <w:semiHidden/>
    <w:unhideWhenUsed/>
    <w:rsid w:val="003A71DE"/>
  </w:style>
  <w:style w:type="numbering" w:customStyle="1" w:styleId="112220">
    <w:name w:val="無清單11222"/>
    <w:next w:val="NoList"/>
    <w:uiPriority w:val="99"/>
    <w:semiHidden/>
    <w:unhideWhenUsed/>
    <w:rsid w:val="003A71DE"/>
  </w:style>
  <w:style w:type="numbering" w:customStyle="1" w:styleId="2122">
    <w:name w:val="无列表2122"/>
    <w:next w:val="NoList"/>
    <w:uiPriority w:val="99"/>
    <w:semiHidden/>
    <w:unhideWhenUsed/>
    <w:rsid w:val="003A71DE"/>
  </w:style>
  <w:style w:type="numbering" w:customStyle="1" w:styleId="NoList111222">
    <w:name w:val="No List111222"/>
    <w:next w:val="NoList"/>
    <w:uiPriority w:val="99"/>
    <w:semiHidden/>
    <w:unhideWhenUsed/>
    <w:rsid w:val="003A71DE"/>
  </w:style>
  <w:style w:type="numbering" w:customStyle="1" w:styleId="NoList152">
    <w:name w:val="No List152"/>
    <w:next w:val="NoList"/>
    <w:uiPriority w:val="99"/>
    <w:semiHidden/>
    <w:unhideWhenUsed/>
    <w:rsid w:val="003A71DE"/>
  </w:style>
  <w:style w:type="numbering" w:customStyle="1" w:styleId="1421">
    <w:name w:val="リストなし142"/>
    <w:next w:val="NoList"/>
    <w:uiPriority w:val="99"/>
    <w:semiHidden/>
    <w:unhideWhenUsed/>
    <w:rsid w:val="003A71DE"/>
  </w:style>
  <w:style w:type="table" w:customStyle="1" w:styleId="Tabellengitternetz142">
    <w:name w:val="Tabellengitternetz1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2">
    <w:name w:val="Tabellengitternetz2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2">
    <w:name w:val="Tabellengitternetz3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2">
    <w:name w:val="Tabellengitternetz4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2">
    <w:name w:val="Tabellengitternetz5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2">
    <w:name w:val="Tabellengitternetz6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2">
    <w:name w:val="Tabellengitternetz7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2">
    <w:name w:val="Tabellengitternetz8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2">
    <w:name w:val="Tabellengitternetz94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2">
    <w:name w:val="Table Grid24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2">
    <w:name w:val="Table Grid34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2">
    <w:name w:val="无列表142"/>
    <w:next w:val="NoList"/>
    <w:semiHidden/>
    <w:rsid w:val="003A71DE"/>
  </w:style>
  <w:style w:type="table" w:customStyle="1" w:styleId="342">
    <w:name w:val="网格型34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2">
    <w:name w:val="网格型44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2">
    <w:name w:val="No List242"/>
    <w:next w:val="NoList"/>
    <w:semiHidden/>
    <w:rsid w:val="003A71DE"/>
  </w:style>
  <w:style w:type="numbering" w:customStyle="1" w:styleId="NoList342">
    <w:name w:val="No List342"/>
    <w:next w:val="NoList"/>
    <w:uiPriority w:val="99"/>
    <w:semiHidden/>
    <w:rsid w:val="003A71DE"/>
  </w:style>
  <w:style w:type="table" w:customStyle="1" w:styleId="TableGrid442">
    <w:name w:val="Table Grid44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2">
    <w:name w:val="No List1152"/>
    <w:next w:val="NoList"/>
    <w:uiPriority w:val="99"/>
    <w:semiHidden/>
    <w:unhideWhenUsed/>
    <w:rsid w:val="003A71DE"/>
  </w:style>
  <w:style w:type="numbering" w:customStyle="1" w:styleId="1520">
    <w:name w:val="無清單152"/>
    <w:next w:val="NoList"/>
    <w:uiPriority w:val="99"/>
    <w:semiHidden/>
    <w:unhideWhenUsed/>
    <w:rsid w:val="003A71DE"/>
  </w:style>
  <w:style w:type="numbering" w:customStyle="1" w:styleId="11420">
    <w:name w:val="無清單1142"/>
    <w:next w:val="NoList"/>
    <w:uiPriority w:val="99"/>
    <w:semiHidden/>
    <w:unhideWhenUsed/>
    <w:rsid w:val="003A71DE"/>
  </w:style>
  <w:style w:type="table" w:customStyle="1" w:styleId="1423">
    <w:name w:val="表格格線14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2">
    <w:name w:val="No List432"/>
    <w:next w:val="NoList"/>
    <w:uiPriority w:val="99"/>
    <w:semiHidden/>
    <w:unhideWhenUsed/>
    <w:rsid w:val="003A71DE"/>
  </w:style>
  <w:style w:type="table" w:customStyle="1" w:styleId="TableGrid522">
    <w:name w:val="Table Grid52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2">
    <w:name w:val="No List1242"/>
    <w:next w:val="NoList"/>
    <w:uiPriority w:val="99"/>
    <w:semiHidden/>
    <w:unhideWhenUsed/>
    <w:rsid w:val="003A71DE"/>
  </w:style>
  <w:style w:type="numbering" w:customStyle="1" w:styleId="11421">
    <w:name w:val="リストなし1142"/>
    <w:next w:val="NoList"/>
    <w:uiPriority w:val="99"/>
    <w:semiHidden/>
    <w:unhideWhenUsed/>
    <w:rsid w:val="003A71DE"/>
  </w:style>
  <w:style w:type="table" w:customStyle="1" w:styleId="TableGrid1132">
    <w:name w:val="Table Grid113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2">
    <w:name w:val="Tabellengitternetz1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2">
    <w:name w:val="Tabellengitternetz2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2">
    <w:name w:val="Tabellengitternetz3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2">
    <w:name w:val="Tabellengitternetz4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2">
    <w:name w:val="Tabellengitternetz5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2">
    <w:name w:val="Tabellengitternetz6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2">
    <w:name w:val="Tabellengitternetz7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2">
    <w:name w:val="Tabellengitternetz8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2">
    <w:name w:val="Tabellengitternetz91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2">
    <w:name w:val="Table Grid21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2">
    <w:name w:val="Table Grid312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22">
    <w:name w:val="无列表1142"/>
    <w:next w:val="NoList"/>
    <w:semiHidden/>
    <w:rsid w:val="003A71DE"/>
  </w:style>
  <w:style w:type="table" w:customStyle="1" w:styleId="3122">
    <w:name w:val="网格型31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2">
    <w:name w:val="网格型41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42">
    <w:name w:val="No List2142"/>
    <w:next w:val="NoList"/>
    <w:semiHidden/>
    <w:rsid w:val="003A71DE"/>
  </w:style>
  <w:style w:type="numbering" w:customStyle="1" w:styleId="NoList3142">
    <w:name w:val="No List3142"/>
    <w:next w:val="NoList"/>
    <w:uiPriority w:val="99"/>
    <w:semiHidden/>
    <w:rsid w:val="003A71DE"/>
  </w:style>
  <w:style w:type="table" w:customStyle="1" w:styleId="TableGrid4122">
    <w:name w:val="Table Grid412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42">
    <w:name w:val="No List11142"/>
    <w:next w:val="NoList"/>
    <w:uiPriority w:val="99"/>
    <w:semiHidden/>
    <w:unhideWhenUsed/>
    <w:rsid w:val="003A71DE"/>
  </w:style>
  <w:style w:type="numbering" w:customStyle="1" w:styleId="12420">
    <w:name w:val="無清單1242"/>
    <w:next w:val="NoList"/>
    <w:uiPriority w:val="99"/>
    <w:semiHidden/>
    <w:unhideWhenUsed/>
    <w:rsid w:val="003A71DE"/>
  </w:style>
  <w:style w:type="numbering" w:customStyle="1" w:styleId="111420">
    <w:name w:val="無清單11142"/>
    <w:next w:val="NoList"/>
    <w:uiPriority w:val="99"/>
    <w:semiHidden/>
    <w:unhideWhenUsed/>
    <w:rsid w:val="003A71DE"/>
  </w:style>
  <w:style w:type="table" w:customStyle="1" w:styleId="11223">
    <w:name w:val="表格格線112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0">
    <w:name w:val="无列表232"/>
    <w:next w:val="NoList"/>
    <w:uiPriority w:val="99"/>
    <w:semiHidden/>
    <w:unhideWhenUsed/>
    <w:rsid w:val="003A71DE"/>
  </w:style>
  <w:style w:type="numbering" w:customStyle="1" w:styleId="NoList12132">
    <w:name w:val="No List12132"/>
    <w:next w:val="NoList"/>
    <w:uiPriority w:val="99"/>
    <w:semiHidden/>
    <w:unhideWhenUsed/>
    <w:rsid w:val="003A71DE"/>
  </w:style>
  <w:style w:type="numbering" w:customStyle="1" w:styleId="111321">
    <w:name w:val="リストなし11132"/>
    <w:next w:val="NoList"/>
    <w:uiPriority w:val="99"/>
    <w:semiHidden/>
    <w:unhideWhenUsed/>
    <w:rsid w:val="003A71DE"/>
  </w:style>
  <w:style w:type="numbering" w:customStyle="1" w:styleId="111322">
    <w:name w:val="无列表11132"/>
    <w:next w:val="NoList"/>
    <w:semiHidden/>
    <w:rsid w:val="003A71DE"/>
  </w:style>
  <w:style w:type="numbering" w:customStyle="1" w:styleId="NoList21132">
    <w:name w:val="No List21132"/>
    <w:next w:val="NoList"/>
    <w:semiHidden/>
    <w:rsid w:val="003A71DE"/>
  </w:style>
  <w:style w:type="numbering" w:customStyle="1" w:styleId="NoList31132">
    <w:name w:val="No List31132"/>
    <w:next w:val="NoList"/>
    <w:uiPriority w:val="99"/>
    <w:semiHidden/>
    <w:rsid w:val="003A71DE"/>
  </w:style>
  <w:style w:type="numbering" w:customStyle="1" w:styleId="NoList111132">
    <w:name w:val="No List111132"/>
    <w:next w:val="NoList"/>
    <w:uiPriority w:val="99"/>
    <w:semiHidden/>
    <w:unhideWhenUsed/>
    <w:rsid w:val="003A71DE"/>
  </w:style>
  <w:style w:type="numbering" w:customStyle="1" w:styleId="121320">
    <w:name w:val="無清單12132"/>
    <w:next w:val="NoList"/>
    <w:uiPriority w:val="99"/>
    <w:semiHidden/>
    <w:unhideWhenUsed/>
    <w:rsid w:val="003A71DE"/>
  </w:style>
  <w:style w:type="numbering" w:customStyle="1" w:styleId="1111320">
    <w:name w:val="無清單111132"/>
    <w:next w:val="NoList"/>
    <w:uiPriority w:val="99"/>
    <w:semiHidden/>
    <w:unhideWhenUsed/>
    <w:rsid w:val="003A71DE"/>
  </w:style>
  <w:style w:type="numbering" w:customStyle="1" w:styleId="NoList532">
    <w:name w:val="No List532"/>
    <w:next w:val="NoList"/>
    <w:uiPriority w:val="99"/>
    <w:semiHidden/>
    <w:unhideWhenUsed/>
    <w:rsid w:val="003A71DE"/>
  </w:style>
  <w:style w:type="table" w:customStyle="1" w:styleId="TableGrid622">
    <w:name w:val="Table Grid62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32">
    <w:name w:val="No List1332"/>
    <w:next w:val="NoList"/>
    <w:uiPriority w:val="99"/>
    <w:semiHidden/>
    <w:unhideWhenUsed/>
    <w:rsid w:val="003A71DE"/>
  </w:style>
  <w:style w:type="numbering" w:customStyle="1" w:styleId="12321">
    <w:name w:val="リストなし1232"/>
    <w:next w:val="NoList"/>
    <w:uiPriority w:val="99"/>
    <w:semiHidden/>
    <w:unhideWhenUsed/>
    <w:rsid w:val="003A71DE"/>
  </w:style>
  <w:style w:type="table" w:customStyle="1" w:styleId="TableGrid1222">
    <w:name w:val="Table Grid122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2">
    <w:name w:val="Tabellengitternetz1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2">
    <w:name w:val="Tabellengitternetz2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2">
    <w:name w:val="Tabellengitternetz3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2">
    <w:name w:val="Tabellengitternetz4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2">
    <w:name w:val="Tabellengitternetz5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2">
    <w:name w:val="Tabellengitternetz6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2">
    <w:name w:val="Tabellengitternetz7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2">
    <w:name w:val="Tabellengitternetz8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2">
    <w:name w:val="Tabellengitternetz922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2">
    <w:name w:val="Table Grid22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2">
    <w:name w:val="Table Grid322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22">
    <w:name w:val="无列表1232"/>
    <w:next w:val="NoList"/>
    <w:semiHidden/>
    <w:rsid w:val="003A71DE"/>
  </w:style>
  <w:style w:type="table" w:customStyle="1" w:styleId="3222">
    <w:name w:val="网格型32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2">
    <w:name w:val="网格型422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32">
    <w:name w:val="No List2232"/>
    <w:next w:val="NoList"/>
    <w:semiHidden/>
    <w:rsid w:val="003A71DE"/>
  </w:style>
  <w:style w:type="numbering" w:customStyle="1" w:styleId="NoList3232">
    <w:name w:val="No List3232"/>
    <w:next w:val="NoList"/>
    <w:uiPriority w:val="99"/>
    <w:semiHidden/>
    <w:rsid w:val="003A71DE"/>
  </w:style>
  <w:style w:type="table" w:customStyle="1" w:styleId="TableGrid4222">
    <w:name w:val="Table Grid422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32">
    <w:name w:val="No List11232"/>
    <w:next w:val="NoList"/>
    <w:uiPriority w:val="99"/>
    <w:semiHidden/>
    <w:unhideWhenUsed/>
    <w:rsid w:val="003A71DE"/>
  </w:style>
  <w:style w:type="numbering" w:customStyle="1" w:styleId="13320">
    <w:name w:val="無清單1332"/>
    <w:next w:val="NoList"/>
    <w:uiPriority w:val="99"/>
    <w:semiHidden/>
    <w:unhideWhenUsed/>
    <w:rsid w:val="003A71DE"/>
  </w:style>
  <w:style w:type="numbering" w:customStyle="1" w:styleId="112320">
    <w:name w:val="無清單11232"/>
    <w:next w:val="NoList"/>
    <w:uiPriority w:val="99"/>
    <w:semiHidden/>
    <w:unhideWhenUsed/>
    <w:rsid w:val="003A71DE"/>
  </w:style>
  <w:style w:type="table" w:customStyle="1" w:styleId="12224">
    <w:name w:val="表格格線122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2">
    <w:name w:val="无列表2132"/>
    <w:next w:val="NoList"/>
    <w:uiPriority w:val="99"/>
    <w:semiHidden/>
    <w:unhideWhenUsed/>
    <w:rsid w:val="003A71DE"/>
  </w:style>
  <w:style w:type="numbering" w:customStyle="1" w:styleId="NoList12222">
    <w:name w:val="No List12222"/>
    <w:next w:val="NoList"/>
    <w:uiPriority w:val="99"/>
    <w:semiHidden/>
    <w:unhideWhenUsed/>
    <w:rsid w:val="003A71DE"/>
  </w:style>
  <w:style w:type="numbering" w:customStyle="1" w:styleId="112221">
    <w:name w:val="リストなし11222"/>
    <w:next w:val="NoList"/>
    <w:uiPriority w:val="99"/>
    <w:semiHidden/>
    <w:unhideWhenUsed/>
    <w:rsid w:val="003A71DE"/>
  </w:style>
  <w:style w:type="numbering" w:customStyle="1" w:styleId="112222">
    <w:name w:val="无列表11222"/>
    <w:next w:val="NoList"/>
    <w:semiHidden/>
    <w:rsid w:val="003A71DE"/>
  </w:style>
  <w:style w:type="numbering" w:customStyle="1" w:styleId="NoList21222">
    <w:name w:val="No List21222"/>
    <w:next w:val="NoList"/>
    <w:semiHidden/>
    <w:rsid w:val="003A71DE"/>
  </w:style>
  <w:style w:type="numbering" w:customStyle="1" w:styleId="NoList31222">
    <w:name w:val="No List31222"/>
    <w:next w:val="NoList"/>
    <w:uiPriority w:val="99"/>
    <w:semiHidden/>
    <w:rsid w:val="003A71DE"/>
  </w:style>
  <w:style w:type="numbering" w:customStyle="1" w:styleId="NoList111232">
    <w:name w:val="No List111232"/>
    <w:next w:val="NoList"/>
    <w:uiPriority w:val="99"/>
    <w:semiHidden/>
    <w:unhideWhenUsed/>
    <w:rsid w:val="003A71DE"/>
  </w:style>
  <w:style w:type="numbering" w:customStyle="1" w:styleId="122220">
    <w:name w:val="無清單12222"/>
    <w:next w:val="NoList"/>
    <w:uiPriority w:val="99"/>
    <w:semiHidden/>
    <w:unhideWhenUsed/>
    <w:rsid w:val="003A71DE"/>
  </w:style>
  <w:style w:type="numbering" w:customStyle="1" w:styleId="1112220">
    <w:name w:val="無清單111222"/>
    <w:next w:val="NoList"/>
    <w:uiPriority w:val="99"/>
    <w:semiHidden/>
    <w:unhideWhenUsed/>
    <w:rsid w:val="003A71DE"/>
  </w:style>
  <w:style w:type="numbering" w:customStyle="1" w:styleId="NoList162">
    <w:name w:val="No List162"/>
    <w:next w:val="NoList"/>
    <w:uiPriority w:val="99"/>
    <w:semiHidden/>
    <w:unhideWhenUsed/>
    <w:rsid w:val="003A71DE"/>
  </w:style>
  <w:style w:type="numbering" w:customStyle="1" w:styleId="1521">
    <w:name w:val="リストなし152"/>
    <w:next w:val="NoList"/>
    <w:uiPriority w:val="99"/>
    <w:semiHidden/>
    <w:unhideWhenUsed/>
    <w:rsid w:val="003A71DE"/>
  </w:style>
  <w:style w:type="table" w:customStyle="1" w:styleId="Tabellengitternetz152">
    <w:name w:val="Tabellengitternetz1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52">
    <w:name w:val="Tabellengitternetz2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52">
    <w:name w:val="Tabellengitternetz3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52">
    <w:name w:val="Tabellengitternetz4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52">
    <w:name w:val="Tabellengitternetz5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52">
    <w:name w:val="Tabellengitternetz6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52">
    <w:name w:val="Tabellengitternetz7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52">
    <w:name w:val="Tabellengitternetz8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52">
    <w:name w:val="Tabellengitternetz95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2">
    <w:name w:val="Table Grid25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2">
    <w:name w:val="Table Grid35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
    <w:name w:val="无列表152"/>
    <w:next w:val="NoList"/>
    <w:semiHidden/>
    <w:rsid w:val="003A71DE"/>
  </w:style>
  <w:style w:type="table" w:customStyle="1" w:styleId="352">
    <w:name w:val="网格型35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2">
    <w:name w:val="网格型45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2">
    <w:name w:val="No List252"/>
    <w:next w:val="NoList"/>
    <w:semiHidden/>
    <w:rsid w:val="003A71DE"/>
  </w:style>
  <w:style w:type="numbering" w:customStyle="1" w:styleId="NoList352">
    <w:name w:val="No List352"/>
    <w:next w:val="NoList"/>
    <w:uiPriority w:val="99"/>
    <w:semiHidden/>
    <w:rsid w:val="003A71DE"/>
  </w:style>
  <w:style w:type="table" w:customStyle="1" w:styleId="TableGrid452">
    <w:name w:val="Table Grid45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62">
    <w:name w:val="No List1162"/>
    <w:next w:val="NoList"/>
    <w:uiPriority w:val="99"/>
    <w:semiHidden/>
    <w:unhideWhenUsed/>
    <w:rsid w:val="003A71DE"/>
  </w:style>
  <w:style w:type="numbering" w:customStyle="1" w:styleId="1620">
    <w:name w:val="無清單162"/>
    <w:next w:val="NoList"/>
    <w:uiPriority w:val="99"/>
    <w:semiHidden/>
    <w:unhideWhenUsed/>
    <w:rsid w:val="003A71DE"/>
  </w:style>
  <w:style w:type="numbering" w:customStyle="1" w:styleId="11520">
    <w:name w:val="無清單1152"/>
    <w:next w:val="NoList"/>
    <w:uiPriority w:val="99"/>
    <w:semiHidden/>
    <w:unhideWhenUsed/>
    <w:rsid w:val="003A71DE"/>
  </w:style>
  <w:style w:type="table" w:customStyle="1" w:styleId="1523">
    <w:name w:val="表格格線15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42">
    <w:name w:val="No List442"/>
    <w:next w:val="NoList"/>
    <w:uiPriority w:val="99"/>
    <w:semiHidden/>
    <w:unhideWhenUsed/>
    <w:rsid w:val="003A71DE"/>
  </w:style>
  <w:style w:type="table" w:customStyle="1" w:styleId="TableGrid532">
    <w:name w:val="Table Grid53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52">
    <w:name w:val="No List1252"/>
    <w:next w:val="NoList"/>
    <w:uiPriority w:val="99"/>
    <w:semiHidden/>
    <w:unhideWhenUsed/>
    <w:rsid w:val="003A71DE"/>
  </w:style>
  <w:style w:type="numbering" w:customStyle="1" w:styleId="11521">
    <w:name w:val="リストなし1152"/>
    <w:next w:val="NoList"/>
    <w:uiPriority w:val="99"/>
    <w:semiHidden/>
    <w:unhideWhenUsed/>
    <w:rsid w:val="003A71DE"/>
  </w:style>
  <w:style w:type="table" w:customStyle="1" w:styleId="TableGrid1142">
    <w:name w:val="Table Grid114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2">
    <w:name w:val="Tabellengitternetz1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2">
    <w:name w:val="Tabellengitternetz2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2">
    <w:name w:val="Tabellengitternetz3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2">
    <w:name w:val="Tabellengitternetz4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2">
    <w:name w:val="Tabellengitternetz5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2">
    <w:name w:val="Tabellengitternetz6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2">
    <w:name w:val="Tabellengitternetz7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2">
    <w:name w:val="Tabellengitternetz8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2">
    <w:name w:val="Tabellengitternetz91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2">
    <w:name w:val="Table Grid21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2">
    <w:name w:val="Table Grid313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22">
    <w:name w:val="无列表1152"/>
    <w:next w:val="NoList"/>
    <w:semiHidden/>
    <w:rsid w:val="003A71DE"/>
  </w:style>
  <w:style w:type="table" w:customStyle="1" w:styleId="3132">
    <w:name w:val="网格型31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2">
    <w:name w:val="网格型41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52">
    <w:name w:val="No List2152"/>
    <w:next w:val="NoList"/>
    <w:semiHidden/>
    <w:rsid w:val="003A71DE"/>
  </w:style>
  <w:style w:type="numbering" w:customStyle="1" w:styleId="NoList3152">
    <w:name w:val="No List3152"/>
    <w:next w:val="NoList"/>
    <w:uiPriority w:val="99"/>
    <w:semiHidden/>
    <w:rsid w:val="003A71DE"/>
  </w:style>
  <w:style w:type="table" w:customStyle="1" w:styleId="TableGrid4132">
    <w:name w:val="Table Grid413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52">
    <w:name w:val="No List11152"/>
    <w:next w:val="NoList"/>
    <w:uiPriority w:val="99"/>
    <w:semiHidden/>
    <w:unhideWhenUsed/>
    <w:rsid w:val="003A71DE"/>
  </w:style>
  <w:style w:type="numbering" w:customStyle="1" w:styleId="12520">
    <w:name w:val="無清單1252"/>
    <w:next w:val="NoList"/>
    <w:uiPriority w:val="99"/>
    <w:semiHidden/>
    <w:unhideWhenUsed/>
    <w:rsid w:val="003A71DE"/>
  </w:style>
  <w:style w:type="numbering" w:customStyle="1" w:styleId="11152">
    <w:name w:val="無清單11152"/>
    <w:next w:val="NoList"/>
    <w:uiPriority w:val="99"/>
    <w:semiHidden/>
    <w:unhideWhenUsed/>
    <w:rsid w:val="003A71DE"/>
  </w:style>
  <w:style w:type="table" w:customStyle="1" w:styleId="11323">
    <w:name w:val="表格格線113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
    <w:name w:val="无列表242"/>
    <w:next w:val="NoList"/>
    <w:uiPriority w:val="99"/>
    <w:semiHidden/>
    <w:unhideWhenUsed/>
    <w:rsid w:val="003A71DE"/>
  </w:style>
  <w:style w:type="numbering" w:customStyle="1" w:styleId="NoList12142">
    <w:name w:val="No List12142"/>
    <w:next w:val="NoList"/>
    <w:uiPriority w:val="99"/>
    <w:semiHidden/>
    <w:unhideWhenUsed/>
    <w:rsid w:val="003A71DE"/>
  </w:style>
  <w:style w:type="numbering" w:customStyle="1" w:styleId="111421">
    <w:name w:val="リストなし11142"/>
    <w:next w:val="NoList"/>
    <w:uiPriority w:val="99"/>
    <w:semiHidden/>
    <w:unhideWhenUsed/>
    <w:rsid w:val="003A71DE"/>
  </w:style>
  <w:style w:type="numbering" w:customStyle="1" w:styleId="111422">
    <w:name w:val="无列表11142"/>
    <w:next w:val="NoList"/>
    <w:semiHidden/>
    <w:rsid w:val="003A71DE"/>
  </w:style>
  <w:style w:type="numbering" w:customStyle="1" w:styleId="NoList21142">
    <w:name w:val="No List21142"/>
    <w:next w:val="NoList"/>
    <w:semiHidden/>
    <w:rsid w:val="003A71DE"/>
  </w:style>
  <w:style w:type="numbering" w:customStyle="1" w:styleId="NoList31142">
    <w:name w:val="No List31142"/>
    <w:next w:val="NoList"/>
    <w:uiPriority w:val="99"/>
    <w:semiHidden/>
    <w:rsid w:val="003A71DE"/>
  </w:style>
  <w:style w:type="numbering" w:customStyle="1" w:styleId="NoList111142">
    <w:name w:val="No List111142"/>
    <w:next w:val="NoList"/>
    <w:uiPriority w:val="99"/>
    <w:semiHidden/>
    <w:unhideWhenUsed/>
    <w:rsid w:val="003A71DE"/>
  </w:style>
  <w:style w:type="numbering" w:customStyle="1" w:styleId="121420">
    <w:name w:val="無清單12142"/>
    <w:next w:val="NoList"/>
    <w:uiPriority w:val="99"/>
    <w:semiHidden/>
    <w:unhideWhenUsed/>
    <w:rsid w:val="003A71DE"/>
  </w:style>
  <w:style w:type="numbering" w:customStyle="1" w:styleId="1111420">
    <w:name w:val="無清單111142"/>
    <w:next w:val="NoList"/>
    <w:uiPriority w:val="99"/>
    <w:semiHidden/>
    <w:unhideWhenUsed/>
    <w:rsid w:val="003A71DE"/>
  </w:style>
  <w:style w:type="numbering" w:customStyle="1" w:styleId="NoList542">
    <w:name w:val="No List542"/>
    <w:next w:val="NoList"/>
    <w:uiPriority w:val="99"/>
    <w:semiHidden/>
    <w:unhideWhenUsed/>
    <w:rsid w:val="003A71DE"/>
  </w:style>
  <w:style w:type="table" w:customStyle="1" w:styleId="TableGrid632">
    <w:name w:val="Table Grid63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42">
    <w:name w:val="No List1342"/>
    <w:next w:val="NoList"/>
    <w:uiPriority w:val="99"/>
    <w:semiHidden/>
    <w:unhideWhenUsed/>
    <w:rsid w:val="003A71DE"/>
  </w:style>
  <w:style w:type="numbering" w:customStyle="1" w:styleId="12421">
    <w:name w:val="リストなし1242"/>
    <w:next w:val="NoList"/>
    <w:uiPriority w:val="99"/>
    <w:semiHidden/>
    <w:unhideWhenUsed/>
    <w:rsid w:val="003A71DE"/>
  </w:style>
  <w:style w:type="table" w:customStyle="1" w:styleId="TableGrid1232">
    <w:name w:val="Table Grid123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32">
    <w:name w:val="Tabellengitternetz1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32">
    <w:name w:val="Tabellengitternetz2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32">
    <w:name w:val="Tabellengitternetz3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32">
    <w:name w:val="Tabellengitternetz4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32">
    <w:name w:val="Tabellengitternetz5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32">
    <w:name w:val="Tabellengitternetz6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32">
    <w:name w:val="Tabellengitternetz7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32">
    <w:name w:val="Tabellengitternetz8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32">
    <w:name w:val="Tabellengitternetz923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2">
    <w:name w:val="Table Grid22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2">
    <w:name w:val="Table Grid323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22">
    <w:name w:val="无列表1242"/>
    <w:next w:val="NoList"/>
    <w:semiHidden/>
    <w:rsid w:val="003A71DE"/>
  </w:style>
  <w:style w:type="table" w:customStyle="1" w:styleId="3232">
    <w:name w:val="网格型32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2">
    <w:name w:val="网格型423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42">
    <w:name w:val="No List2242"/>
    <w:next w:val="NoList"/>
    <w:semiHidden/>
    <w:rsid w:val="003A71DE"/>
  </w:style>
  <w:style w:type="numbering" w:customStyle="1" w:styleId="NoList3242">
    <w:name w:val="No List3242"/>
    <w:next w:val="NoList"/>
    <w:uiPriority w:val="99"/>
    <w:semiHidden/>
    <w:rsid w:val="003A71DE"/>
  </w:style>
  <w:style w:type="table" w:customStyle="1" w:styleId="TableGrid4232">
    <w:name w:val="Table Grid423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42">
    <w:name w:val="No List11242"/>
    <w:next w:val="NoList"/>
    <w:uiPriority w:val="99"/>
    <w:semiHidden/>
    <w:unhideWhenUsed/>
    <w:rsid w:val="003A71DE"/>
  </w:style>
  <w:style w:type="numbering" w:customStyle="1" w:styleId="1342">
    <w:name w:val="無清單1342"/>
    <w:next w:val="NoList"/>
    <w:uiPriority w:val="99"/>
    <w:semiHidden/>
    <w:unhideWhenUsed/>
    <w:rsid w:val="003A71DE"/>
  </w:style>
  <w:style w:type="numbering" w:customStyle="1" w:styleId="11242">
    <w:name w:val="無清單11242"/>
    <w:next w:val="NoList"/>
    <w:uiPriority w:val="99"/>
    <w:semiHidden/>
    <w:unhideWhenUsed/>
    <w:rsid w:val="003A71DE"/>
  </w:style>
  <w:style w:type="table" w:customStyle="1" w:styleId="12323">
    <w:name w:val="表格格線123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2">
    <w:name w:val="无列表2142"/>
    <w:next w:val="NoList"/>
    <w:uiPriority w:val="99"/>
    <w:semiHidden/>
    <w:unhideWhenUsed/>
    <w:rsid w:val="003A71DE"/>
  </w:style>
  <w:style w:type="numbering" w:customStyle="1" w:styleId="NoList12232">
    <w:name w:val="No List12232"/>
    <w:next w:val="NoList"/>
    <w:uiPriority w:val="99"/>
    <w:semiHidden/>
    <w:unhideWhenUsed/>
    <w:rsid w:val="003A71DE"/>
  </w:style>
  <w:style w:type="numbering" w:customStyle="1" w:styleId="112321">
    <w:name w:val="リストなし11232"/>
    <w:next w:val="NoList"/>
    <w:uiPriority w:val="99"/>
    <w:semiHidden/>
    <w:unhideWhenUsed/>
    <w:rsid w:val="003A71DE"/>
  </w:style>
  <w:style w:type="numbering" w:customStyle="1" w:styleId="112322">
    <w:name w:val="无列表11232"/>
    <w:next w:val="NoList"/>
    <w:semiHidden/>
    <w:rsid w:val="003A71DE"/>
  </w:style>
  <w:style w:type="numbering" w:customStyle="1" w:styleId="NoList21232">
    <w:name w:val="No List21232"/>
    <w:next w:val="NoList"/>
    <w:semiHidden/>
    <w:rsid w:val="003A71DE"/>
  </w:style>
  <w:style w:type="numbering" w:customStyle="1" w:styleId="NoList31232">
    <w:name w:val="No List31232"/>
    <w:next w:val="NoList"/>
    <w:uiPriority w:val="99"/>
    <w:semiHidden/>
    <w:rsid w:val="003A71DE"/>
  </w:style>
  <w:style w:type="numbering" w:customStyle="1" w:styleId="NoList111242">
    <w:name w:val="No List111242"/>
    <w:next w:val="NoList"/>
    <w:uiPriority w:val="99"/>
    <w:semiHidden/>
    <w:unhideWhenUsed/>
    <w:rsid w:val="003A71DE"/>
  </w:style>
  <w:style w:type="numbering" w:customStyle="1" w:styleId="122320">
    <w:name w:val="無清單12232"/>
    <w:next w:val="NoList"/>
    <w:uiPriority w:val="99"/>
    <w:semiHidden/>
    <w:unhideWhenUsed/>
    <w:rsid w:val="003A71DE"/>
  </w:style>
  <w:style w:type="numbering" w:customStyle="1" w:styleId="111232">
    <w:name w:val="無清單111232"/>
    <w:next w:val="NoList"/>
    <w:uiPriority w:val="99"/>
    <w:semiHidden/>
    <w:unhideWhenUsed/>
    <w:rsid w:val="003A71DE"/>
  </w:style>
  <w:style w:type="numbering" w:customStyle="1" w:styleId="NoList621">
    <w:name w:val="No List621"/>
    <w:next w:val="NoList"/>
    <w:uiPriority w:val="99"/>
    <w:semiHidden/>
    <w:unhideWhenUsed/>
    <w:rsid w:val="003A71DE"/>
  </w:style>
  <w:style w:type="numbering" w:customStyle="1" w:styleId="NoList1421">
    <w:name w:val="No List1421"/>
    <w:next w:val="NoList"/>
    <w:uiPriority w:val="99"/>
    <w:semiHidden/>
    <w:unhideWhenUsed/>
    <w:rsid w:val="003A71DE"/>
  </w:style>
  <w:style w:type="numbering" w:customStyle="1" w:styleId="13212">
    <w:name w:val="リストなし1321"/>
    <w:next w:val="NoList"/>
    <w:uiPriority w:val="99"/>
    <w:semiHidden/>
    <w:unhideWhenUsed/>
    <w:rsid w:val="003A71DE"/>
  </w:style>
  <w:style w:type="table" w:customStyle="1" w:styleId="TableGrid1311">
    <w:name w:val="Table Grid1311"/>
    <w:basedOn w:val="TableNormal"/>
    <w:next w:val="TableGrid"/>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11">
    <w:name w:val="Tabellengitternetz1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11">
    <w:name w:val="Tabellengitternetz2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11">
    <w:name w:val="Tabellengitternetz3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11">
    <w:name w:val="Tabellengitternetz4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11">
    <w:name w:val="Tabellengitternetz5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11">
    <w:name w:val="Tabellengitternetz6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11">
    <w:name w:val="Tabellengitternetz7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11">
    <w:name w:val="Tabellengitternetz8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11">
    <w:name w:val="Tabellengitternetz93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11">
    <w:name w:val="Table Grid23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1">
    <w:name w:val="Table Grid33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1">
    <w:name w:val="无列表1322"/>
    <w:next w:val="NoList"/>
    <w:semiHidden/>
    <w:rsid w:val="003A71DE"/>
  </w:style>
  <w:style w:type="table" w:customStyle="1" w:styleId="3311">
    <w:name w:val="网格型33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网格型43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321">
    <w:name w:val="No List2321"/>
    <w:next w:val="NoList"/>
    <w:semiHidden/>
    <w:rsid w:val="003A71DE"/>
  </w:style>
  <w:style w:type="numbering" w:customStyle="1" w:styleId="NoList3321">
    <w:name w:val="No List3321"/>
    <w:next w:val="NoList"/>
    <w:uiPriority w:val="99"/>
    <w:semiHidden/>
    <w:rsid w:val="003A71DE"/>
  </w:style>
  <w:style w:type="table" w:customStyle="1" w:styleId="TableGrid4311">
    <w:name w:val="Table Grid43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22">
    <w:name w:val="No List11322"/>
    <w:next w:val="NoList"/>
    <w:uiPriority w:val="99"/>
    <w:semiHidden/>
    <w:unhideWhenUsed/>
    <w:rsid w:val="003A71DE"/>
  </w:style>
  <w:style w:type="numbering" w:customStyle="1" w:styleId="14210">
    <w:name w:val="無清單1421"/>
    <w:next w:val="NoList"/>
    <w:uiPriority w:val="99"/>
    <w:semiHidden/>
    <w:unhideWhenUsed/>
    <w:rsid w:val="003A71DE"/>
  </w:style>
  <w:style w:type="numbering" w:customStyle="1" w:styleId="113210">
    <w:name w:val="無清單11321"/>
    <w:next w:val="NoList"/>
    <w:uiPriority w:val="99"/>
    <w:semiHidden/>
    <w:unhideWhenUsed/>
    <w:rsid w:val="003A71DE"/>
  </w:style>
  <w:style w:type="table" w:customStyle="1" w:styleId="13114">
    <w:name w:val="表格格線13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2">
    <w:name w:val="无列表2222"/>
    <w:next w:val="NoList"/>
    <w:uiPriority w:val="99"/>
    <w:semiHidden/>
    <w:unhideWhenUsed/>
    <w:rsid w:val="003A71DE"/>
  </w:style>
  <w:style w:type="numbering" w:customStyle="1" w:styleId="NoList12321">
    <w:name w:val="No List12321"/>
    <w:next w:val="NoList"/>
    <w:uiPriority w:val="99"/>
    <w:semiHidden/>
    <w:unhideWhenUsed/>
    <w:rsid w:val="003A71DE"/>
  </w:style>
  <w:style w:type="numbering" w:customStyle="1" w:styleId="113211">
    <w:name w:val="リストなし11321"/>
    <w:next w:val="NoList"/>
    <w:uiPriority w:val="99"/>
    <w:semiHidden/>
    <w:unhideWhenUsed/>
    <w:rsid w:val="003A71DE"/>
  </w:style>
  <w:style w:type="numbering" w:customStyle="1" w:styleId="113212">
    <w:name w:val="无列表11321"/>
    <w:next w:val="NoList"/>
    <w:semiHidden/>
    <w:rsid w:val="003A71DE"/>
  </w:style>
  <w:style w:type="numbering" w:customStyle="1" w:styleId="NoList21321">
    <w:name w:val="No List21321"/>
    <w:next w:val="NoList"/>
    <w:semiHidden/>
    <w:rsid w:val="003A71DE"/>
  </w:style>
  <w:style w:type="numbering" w:customStyle="1" w:styleId="NoList31321">
    <w:name w:val="No List31321"/>
    <w:next w:val="NoList"/>
    <w:uiPriority w:val="99"/>
    <w:semiHidden/>
    <w:rsid w:val="003A71DE"/>
  </w:style>
  <w:style w:type="numbering" w:customStyle="1" w:styleId="NoList111321">
    <w:name w:val="No List111321"/>
    <w:next w:val="NoList"/>
    <w:uiPriority w:val="99"/>
    <w:semiHidden/>
    <w:unhideWhenUsed/>
    <w:rsid w:val="003A71DE"/>
  </w:style>
  <w:style w:type="numbering" w:customStyle="1" w:styleId="123210">
    <w:name w:val="無清單12321"/>
    <w:next w:val="NoList"/>
    <w:uiPriority w:val="99"/>
    <w:semiHidden/>
    <w:unhideWhenUsed/>
    <w:rsid w:val="003A71DE"/>
  </w:style>
  <w:style w:type="numbering" w:customStyle="1" w:styleId="1113210">
    <w:name w:val="無清單111321"/>
    <w:next w:val="NoList"/>
    <w:uiPriority w:val="99"/>
    <w:semiHidden/>
    <w:unhideWhenUsed/>
    <w:rsid w:val="003A71DE"/>
  </w:style>
  <w:style w:type="numbering" w:customStyle="1" w:styleId="NoList4122">
    <w:name w:val="No List4122"/>
    <w:next w:val="NoList"/>
    <w:uiPriority w:val="99"/>
    <w:semiHidden/>
    <w:unhideWhenUsed/>
    <w:rsid w:val="003A71DE"/>
  </w:style>
  <w:style w:type="table" w:customStyle="1" w:styleId="TableGrid5111">
    <w:name w:val="Table Grid51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2">
    <w:name w:val="Table Grid1112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12">
    <w:name w:val="Tabellengitternetz1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2">
    <w:name w:val="Tabellengitternetz2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2">
    <w:name w:val="Tabellengitternetz3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2">
    <w:name w:val="Tabellengitternetz4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2">
    <w:name w:val="Tabellengitternetz5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2">
    <w:name w:val="Tabellengitternetz6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2">
    <w:name w:val="Tabellengitternetz7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2">
    <w:name w:val="Tabellengitternetz8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2">
    <w:name w:val="Tabellengitternetz91112"/>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2">
    <w:name w:val="Table Grid211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2">
    <w:name w:val="Table Grid31112"/>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2">
    <w:name w:val="网格型311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2">
    <w:name w:val="网格型41112"/>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2">
    <w:name w:val="Table Grid41112"/>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3">
    <w:name w:val="表格格線11112"/>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22">
    <w:name w:val="No List121122"/>
    <w:next w:val="NoList"/>
    <w:uiPriority w:val="99"/>
    <w:semiHidden/>
    <w:unhideWhenUsed/>
    <w:rsid w:val="003A71DE"/>
  </w:style>
  <w:style w:type="numbering" w:customStyle="1" w:styleId="1111221">
    <w:name w:val="リストなし111122"/>
    <w:next w:val="NoList"/>
    <w:uiPriority w:val="99"/>
    <w:semiHidden/>
    <w:unhideWhenUsed/>
    <w:rsid w:val="003A71DE"/>
  </w:style>
  <w:style w:type="numbering" w:customStyle="1" w:styleId="1111222">
    <w:name w:val="无列表111122"/>
    <w:next w:val="NoList"/>
    <w:semiHidden/>
    <w:rsid w:val="003A71DE"/>
  </w:style>
  <w:style w:type="numbering" w:customStyle="1" w:styleId="NoList211122">
    <w:name w:val="No List211122"/>
    <w:next w:val="NoList"/>
    <w:semiHidden/>
    <w:rsid w:val="003A71DE"/>
  </w:style>
  <w:style w:type="numbering" w:customStyle="1" w:styleId="NoList311122">
    <w:name w:val="No List311122"/>
    <w:next w:val="NoList"/>
    <w:uiPriority w:val="99"/>
    <w:semiHidden/>
    <w:rsid w:val="003A71DE"/>
  </w:style>
  <w:style w:type="numbering" w:customStyle="1" w:styleId="NoList1111122">
    <w:name w:val="No List1111122"/>
    <w:next w:val="NoList"/>
    <w:uiPriority w:val="99"/>
    <w:semiHidden/>
    <w:unhideWhenUsed/>
    <w:rsid w:val="003A71DE"/>
  </w:style>
  <w:style w:type="numbering" w:customStyle="1" w:styleId="1211220">
    <w:name w:val="無清單121122"/>
    <w:next w:val="NoList"/>
    <w:uiPriority w:val="99"/>
    <w:semiHidden/>
    <w:unhideWhenUsed/>
    <w:rsid w:val="003A71DE"/>
  </w:style>
  <w:style w:type="numbering" w:customStyle="1" w:styleId="11111220">
    <w:name w:val="無清單1111122"/>
    <w:next w:val="NoList"/>
    <w:uiPriority w:val="99"/>
    <w:semiHidden/>
    <w:unhideWhenUsed/>
    <w:rsid w:val="003A71DE"/>
  </w:style>
  <w:style w:type="numbering" w:customStyle="1" w:styleId="NoList5121">
    <w:name w:val="No List5121"/>
    <w:next w:val="NoList"/>
    <w:uiPriority w:val="99"/>
    <w:semiHidden/>
    <w:unhideWhenUsed/>
    <w:rsid w:val="003A71DE"/>
  </w:style>
  <w:style w:type="table" w:customStyle="1" w:styleId="TableGrid6111">
    <w:name w:val="Table Grid61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122">
    <w:name w:val="No List13122"/>
    <w:next w:val="NoList"/>
    <w:uiPriority w:val="99"/>
    <w:semiHidden/>
    <w:unhideWhenUsed/>
    <w:rsid w:val="003A71DE"/>
  </w:style>
  <w:style w:type="numbering" w:customStyle="1" w:styleId="121221">
    <w:name w:val="リストなし12122"/>
    <w:next w:val="NoList"/>
    <w:uiPriority w:val="99"/>
    <w:semiHidden/>
    <w:unhideWhenUsed/>
    <w:rsid w:val="003A71DE"/>
  </w:style>
  <w:style w:type="table" w:customStyle="1" w:styleId="TableGrid12111">
    <w:name w:val="Table Grid1211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11">
    <w:name w:val="Tabellengitternetz1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11">
    <w:name w:val="Tabellengitternetz2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11">
    <w:name w:val="Tabellengitternetz3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11">
    <w:name w:val="Tabellengitternetz4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11">
    <w:name w:val="Tabellengitternetz5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11">
    <w:name w:val="Tabellengitternetz6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11">
    <w:name w:val="Tabellengitternetz7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11">
    <w:name w:val="Tabellengitternetz8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11">
    <w:name w:val="Tabellengitternetz921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11">
    <w:name w:val="Table Grid22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11">
    <w:name w:val="Table Grid321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22">
    <w:name w:val="无列表12122"/>
    <w:next w:val="NoList"/>
    <w:semiHidden/>
    <w:rsid w:val="003A71DE"/>
  </w:style>
  <w:style w:type="table" w:customStyle="1" w:styleId="32111">
    <w:name w:val="网格型32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1">
    <w:name w:val="网格型421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22">
    <w:name w:val="No List22122"/>
    <w:next w:val="NoList"/>
    <w:semiHidden/>
    <w:rsid w:val="003A71DE"/>
  </w:style>
  <w:style w:type="numbering" w:customStyle="1" w:styleId="NoList32122">
    <w:name w:val="No List32122"/>
    <w:next w:val="NoList"/>
    <w:uiPriority w:val="99"/>
    <w:semiHidden/>
    <w:rsid w:val="003A71DE"/>
  </w:style>
  <w:style w:type="table" w:customStyle="1" w:styleId="TableGrid42111">
    <w:name w:val="Table Grid421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22">
    <w:name w:val="No List112122"/>
    <w:next w:val="NoList"/>
    <w:uiPriority w:val="99"/>
    <w:semiHidden/>
    <w:unhideWhenUsed/>
    <w:rsid w:val="003A71DE"/>
  </w:style>
  <w:style w:type="numbering" w:customStyle="1" w:styleId="131220">
    <w:name w:val="無清單13122"/>
    <w:next w:val="NoList"/>
    <w:uiPriority w:val="99"/>
    <w:semiHidden/>
    <w:unhideWhenUsed/>
    <w:rsid w:val="003A71DE"/>
  </w:style>
  <w:style w:type="numbering" w:customStyle="1" w:styleId="1121220">
    <w:name w:val="無清單112122"/>
    <w:next w:val="NoList"/>
    <w:uiPriority w:val="99"/>
    <w:semiHidden/>
    <w:unhideWhenUsed/>
    <w:rsid w:val="003A71DE"/>
  </w:style>
  <w:style w:type="table" w:customStyle="1" w:styleId="121114">
    <w:name w:val="表格格線121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22">
    <w:name w:val="无列表21122"/>
    <w:next w:val="NoList"/>
    <w:uiPriority w:val="99"/>
    <w:semiHidden/>
    <w:unhideWhenUsed/>
    <w:rsid w:val="003A71DE"/>
  </w:style>
  <w:style w:type="numbering" w:customStyle="1" w:styleId="NoList122122">
    <w:name w:val="No List122122"/>
    <w:next w:val="NoList"/>
    <w:uiPriority w:val="99"/>
    <w:semiHidden/>
    <w:unhideWhenUsed/>
    <w:rsid w:val="003A71DE"/>
  </w:style>
  <w:style w:type="numbering" w:customStyle="1" w:styleId="1121221">
    <w:name w:val="リストなし112122"/>
    <w:next w:val="NoList"/>
    <w:uiPriority w:val="99"/>
    <w:semiHidden/>
    <w:unhideWhenUsed/>
    <w:rsid w:val="003A71DE"/>
  </w:style>
  <w:style w:type="numbering" w:customStyle="1" w:styleId="1121222">
    <w:name w:val="无列表112122"/>
    <w:next w:val="NoList"/>
    <w:semiHidden/>
    <w:rsid w:val="003A71DE"/>
  </w:style>
  <w:style w:type="numbering" w:customStyle="1" w:styleId="NoList212122">
    <w:name w:val="No List212122"/>
    <w:next w:val="NoList"/>
    <w:semiHidden/>
    <w:rsid w:val="003A71DE"/>
  </w:style>
  <w:style w:type="numbering" w:customStyle="1" w:styleId="NoList312122">
    <w:name w:val="No List312122"/>
    <w:next w:val="NoList"/>
    <w:uiPriority w:val="99"/>
    <w:semiHidden/>
    <w:rsid w:val="003A71DE"/>
  </w:style>
  <w:style w:type="numbering" w:customStyle="1" w:styleId="NoList1112122">
    <w:name w:val="No List1112122"/>
    <w:next w:val="NoList"/>
    <w:uiPriority w:val="99"/>
    <w:semiHidden/>
    <w:unhideWhenUsed/>
    <w:rsid w:val="003A71DE"/>
  </w:style>
  <w:style w:type="numbering" w:customStyle="1" w:styleId="122122">
    <w:name w:val="無清單122122"/>
    <w:next w:val="NoList"/>
    <w:uiPriority w:val="99"/>
    <w:semiHidden/>
    <w:unhideWhenUsed/>
    <w:rsid w:val="003A71DE"/>
  </w:style>
  <w:style w:type="numbering" w:customStyle="1" w:styleId="1112122">
    <w:name w:val="無清單1112122"/>
    <w:next w:val="NoList"/>
    <w:uiPriority w:val="99"/>
    <w:semiHidden/>
    <w:unhideWhenUsed/>
    <w:rsid w:val="003A71DE"/>
  </w:style>
  <w:style w:type="table" w:customStyle="1" w:styleId="1127">
    <w:name w:val="网格型11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1">
    <w:name w:val="Table Grid111111"/>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0">
    <w:name w:val="无列表312"/>
    <w:next w:val="NoList"/>
    <w:uiPriority w:val="99"/>
    <w:semiHidden/>
    <w:unhideWhenUsed/>
    <w:rsid w:val="003A71DE"/>
  </w:style>
  <w:style w:type="table" w:customStyle="1" w:styleId="2120">
    <w:name w:val="网格型212"/>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21">
    <w:name w:val="无列表13112"/>
    <w:next w:val="NoList"/>
    <w:semiHidden/>
    <w:rsid w:val="003A71DE"/>
  </w:style>
  <w:style w:type="numbering" w:customStyle="1" w:styleId="NoList113111">
    <w:name w:val="No List113111"/>
    <w:next w:val="NoList"/>
    <w:uiPriority w:val="99"/>
    <w:semiHidden/>
    <w:unhideWhenUsed/>
    <w:rsid w:val="003A71DE"/>
  </w:style>
  <w:style w:type="numbering" w:customStyle="1" w:styleId="NoList41112">
    <w:name w:val="No List41112"/>
    <w:next w:val="NoList"/>
    <w:uiPriority w:val="99"/>
    <w:semiHidden/>
    <w:unhideWhenUsed/>
    <w:rsid w:val="003A71DE"/>
  </w:style>
  <w:style w:type="table" w:customStyle="1" w:styleId="TableGrid11212">
    <w:name w:val="Table Grid11212"/>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12">
    <w:name w:val="无列表22112"/>
    <w:next w:val="NoList"/>
    <w:uiPriority w:val="99"/>
    <w:semiHidden/>
    <w:unhideWhenUsed/>
    <w:rsid w:val="003A71DE"/>
  </w:style>
  <w:style w:type="numbering" w:customStyle="1" w:styleId="NoList1211113">
    <w:name w:val="No List1211113"/>
    <w:next w:val="NoList"/>
    <w:uiPriority w:val="99"/>
    <w:semiHidden/>
    <w:unhideWhenUsed/>
    <w:rsid w:val="003A71DE"/>
  </w:style>
  <w:style w:type="numbering" w:customStyle="1" w:styleId="11111130">
    <w:name w:val="リストなし1111113"/>
    <w:next w:val="NoList"/>
    <w:uiPriority w:val="99"/>
    <w:semiHidden/>
    <w:unhideWhenUsed/>
    <w:rsid w:val="003A71DE"/>
  </w:style>
  <w:style w:type="numbering" w:customStyle="1" w:styleId="11111131">
    <w:name w:val="无列表1111113"/>
    <w:next w:val="NoList"/>
    <w:semiHidden/>
    <w:rsid w:val="003A71DE"/>
  </w:style>
  <w:style w:type="numbering" w:customStyle="1" w:styleId="NoList2111113">
    <w:name w:val="No List2111113"/>
    <w:next w:val="NoList"/>
    <w:semiHidden/>
    <w:rsid w:val="003A71DE"/>
  </w:style>
  <w:style w:type="numbering" w:customStyle="1" w:styleId="NoList3111113">
    <w:name w:val="No List3111113"/>
    <w:next w:val="NoList"/>
    <w:uiPriority w:val="99"/>
    <w:semiHidden/>
    <w:rsid w:val="003A71DE"/>
  </w:style>
  <w:style w:type="numbering" w:customStyle="1" w:styleId="NoList11111113">
    <w:name w:val="No List11111113"/>
    <w:next w:val="NoList"/>
    <w:uiPriority w:val="99"/>
    <w:semiHidden/>
    <w:unhideWhenUsed/>
    <w:rsid w:val="003A71DE"/>
  </w:style>
  <w:style w:type="numbering" w:customStyle="1" w:styleId="12111130">
    <w:name w:val="無清單1211113"/>
    <w:next w:val="NoList"/>
    <w:uiPriority w:val="99"/>
    <w:semiHidden/>
    <w:unhideWhenUsed/>
    <w:rsid w:val="003A71DE"/>
  </w:style>
  <w:style w:type="numbering" w:customStyle="1" w:styleId="11111113">
    <w:name w:val="無清單11111113"/>
    <w:next w:val="NoList"/>
    <w:uiPriority w:val="99"/>
    <w:semiHidden/>
    <w:unhideWhenUsed/>
    <w:rsid w:val="003A71DE"/>
  </w:style>
  <w:style w:type="numbering" w:customStyle="1" w:styleId="NoList131112">
    <w:name w:val="No List131112"/>
    <w:next w:val="NoList"/>
    <w:uiPriority w:val="99"/>
    <w:semiHidden/>
    <w:unhideWhenUsed/>
    <w:rsid w:val="003A71DE"/>
  </w:style>
  <w:style w:type="numbering" w:customStyle="1" w:styleId="1211122">
    <w:name w:val="リストなし121112"/>
    <w:next w:val="NoList"/>
    <w:uiPriority w:val="99"/>
    <w:semiHidden/>
    <w:unhideWhenUsed/>
    <w:rsid w:val="003A71DE"/>
  </w:style>
  <w:style w:type="numbering" w:customStyle="1" w:styleId="1211130">
    <w:name w:val="无列表121113"/>
    <w:next w:val="NoList"/>
    <w:semiHidden/>
    <w:rsid w:val="003A71DE"/>
  </w:style>
  <w:style w:type="numbering" w:customStyle="1" w:styleId="NoList221112">
    <w:name w:val="No List221112"/>
    <w:next w:val="NoList"/>
    <w:semiHidden/>
    <w:rsid w:val="003A71DE"/>
  </w:style>
  <w:style w:type="numbering" w:customStyle="1" w:styleId="NoList321112">
    <w:name w:val="No List321112"/>
    <w:next w:val="NoList"/>
    <w:uiPriority w:val="99"/>
    <w:semiHidden/>
    <w:rsid w:val="003A71DE"/>
  </w:style>
  <w:style w:type="numbering" w:customStyle="1" w:styleId="NoList1121112">
    <w:name w:val="No List1121112"/>
    <w:next w:val="NoList"/>
    <w:uiPriority w:val="99"/>
    <w:semiHidden/>
    <w:unhideWhenUsed/>
    <w:rsid w:val="003A71DE"/>
  </w:style>
  <w:style w:type="numbering" w:customStyle="1" w:styleId="131112">
    <w:name w:val="無清單131112"/>
    <w:next w:val="NoList"/>
    <w:uiPriority w:val="99"/>
    <w:semiHidden/>
    <w:unhideWhenUsed/>
    <w:rsid w:val="003A71DE"/>
  </w:style>
  <w:style w:type="numbering" w:customStyle="1" w:styleId="11211120">
    <w:name w:val="無清單1121112"/>
    <w:next w:val="NoList"/>
    <w:uiPriority w:val="99"/>
    <w:semiHidden/>
    <w:unhideWhenUsed/>
    <w:rsid w:val="003A71DE"/>
  </w:style>
  <w:style w:type="numbering" w:customStyle="1" w:styleId="211113">
    <w:name w:val="无列表211113"/>
    <w:next w:val="NoList"/>
    <w:uiPriority w:val="99"/>
    <w:semiHidden/>
    <w:unhideWhenUsed/>
    <w:rsid w:val="003A71DE"/>
  </w:style>
  <w:style w:type="numbering" w:customStyle="1" w:styleId="NoList1221112">
    <w:name w:val="No List1221112"/>
    <w:next w:val="NoList"/>
    <w:uiPriority w:val="99"/>
    <w:semiHidden/>
    <w:unhideWhenUsed/>
    <w:rsid w:val="003A71DE"/>
  </w:style>
  <w:style w:type="numbering" w:customStyle="1" w:styleId="11211121">
    <w:name w:val="リストなし1121112"/>
    <w:next w:val="NoList"/>
    <w:uiPriority w:val="99"/>
    <w:semiHidden/>
    <w:unhideWhenUsed/>
    <w:rsid w:val="003A71DE"/>
  </w:style>
  <w:style w:type="numbering" w:customStyle="1" w:styleId="11211122">
    <w:name w:val="无列表1121112"/>
    <w:next w:val="NoList"/>
    <w:semiHidden/>
    <w:rsid w:val="003A71DE"/>
  </w:style>
  <w:style w:type="numbering" w:customStyle="1" w:styleId="NoList2121112">
    <w:name w:val="No List2121112"/>
    <w:next w:val="NoList"/>
    <w:semiHidden/>
    <w:rsid w:val="003A71DE"/>
  </w:style>
  <w:style w:type="numbering" w:customStyle="1" w:styleId="NoList3121112">
    <w:name w:val="No List3121112"/>
    <w:next w:val="NoList"/>
    <w:uiPriority w:val="99"/>
    <w:semiHidden/>
    <w:rsid w:val="003A71DE"/>
  </w:style>
  <w:style w:type="numbering" w:customStyle="1" w:styleId="NoList11121112">
    <w:name w:val="No List11121112"/>
    <w:next w:val="NoList"/>
    <w:uiPriority w:val="99"/>
    <w:semiHidden/>
    <w:unhideWhenUsed/>
    <w:rsid w:val="003A71DE"/>
  </w:style>
  <w:style w:type="numbering" w:customStyle="1" w:styleId="1221112">
    <w:name w:val="無清單1221112"/>
    <w:next w:val="NoList"/>
    <w:uiPriority w:val="99"/>
    <w:semiHidden/>
    <w:unhideWhenUsed/>
    <w:rsid w:val="003A71DE"/>
  </w:style>
  <w:style w:type="numbering" w:customStyle="1" w:styleId="11121112">
    <w:name w:val="無清單11121112"/>
    <w:next w:val="NoList"/>
    <w:uiPriority w:val="99"/>
    <w:semiHidden/>
    <w:unhideWhenUsed/>
    <w:rsid w:val="003A71DE"/>
  </w:style>
  <w:style w:type="numbering" w:customStyle="1" w:styleId="NoList51111">
    <w:name w:val="No List51111"/>
    <w:next w:val="NoList"/>
    <w:uiPriority w:val="99"/>
    <w:semiHidden/>
    <w:unhideWhenUsed/>
    <w:rsid w:val="003A71DE"/>
  </w:style>
  <w:style w:type="numbering" w:customStyle="1" w:styleId="NoList6111">
    <w:name w:val="No List6111"/>
    <w:next w:val="NoList"/>
    <w:uiPriority w:val="99"/>
    <w:semiHidden/>
    <w:unhideWhenUsed/>
    <w:rsid w:val="003A71DE"/>
  </w:style>
  <w:style w:type="numbering" w:customStyle="1" w:styleId="NoList14111">
    <w:name w:val="No List14111"/>
    <w:next w:val="NoList"/>
    <w:uiPriority w:val="99"/>
    <w:semiHidden/>
    <w:unhideWhenUsed/>
    <w:rsid w:val="003A71DE"/>
  </w:style>
  <w:style w:type="numbering" w:customStyle="1" w:styleId="131113">
    <w:name w:val="リストなし13111"/>
    <w:next w:val="NoList"/>
    <w:uiPriority w:val="99"/>
    <w:semiHidden/>
    <w:unhideWhenUsed/>
    <w:rsid w:val="003A71DE"/>
  </w:style>
  <w:style w:type="numbering" w:customStyle="1" w:styleId="NoList23111">
    <w:name w:val="No List23111"/>
    <w:next w:val="NoList"/>
    <w:semiHidden/>
    <w:rsid w:val="003A71DE"/>
  </w:style>
  <w:style w:type="numbering" w:customStyle="1" w:styleId="NoList33111">
    <w:name w:val="No List33111"/>
    <w:next w:val="NoList"/>
    <w:uiPriority w:val="99"/>
    <w:semiHidden/>
    <w:rsid w:val="003A71DE"/>
  </w:style>
  <w:style w:type="numbering" w:customStyle="1" w:styleId="NoList11411">
    <w:name w:val="No List11411"/>
    <w:next w:val="NoList"/>
    <w:uiPriority w:val="99"/>
    <w:semiHidden/>
    <w:unhideWhenUsed/>
    <w:rsid w:val="003A71DE"/>
  </w:style>
  <w:style w:type="numbering" w:customStyle="1" w:styleId="14111">
    <w:name w:val="無清單14111"/>
    <w:next w:val="NoList"/>
    <w:uiPriority w:val="99"/>
    <w:semiHidden/>
    <w:unhideWhenUsed/>
    <w:rsid w:val="003A71DE"/>
  </w:style>
  <w:style w:type="numbering" w:customStyle="1" w:styleId="1131110">
    <w:name w:val="無清單113111"/>
    <w:next w:val="NoList"/>
    <w:uiPriority w:val="99"/>
    <w:semiHidden/>
    <w:unhideWhenUsed/>
    <w:rsid w:val="003A71DE"/>
  </w:style>
  <w:style w:type="numbering" w:customStyle="1" w:styleId="NoList4211">
    <w:name w:val="No List4211"/>
    <w:next w:val="NoList"/>
    <w:uiPriority w:val="99"/>
    <w:semiHidden/>
    <w:unhideWhenUsed/>
    <w:rsid w:val="003A71DE"/>
  </w:style>
  <w:style w:type="numbering" w:customStyle="1" w:styleId="NoList123111">
    <w:name w:val="No List123111"/>
    <w:next w:val="NoList"/>
    <w:uiPriority w:val="99"/>
    <w:semiHidden/>
    <w:unhideWhenUsed/>
    <w:rsid w:val="003A71DE"/>
  </w:style>
  <w:style w:type="numbering" w:customStyle="1" w:styleId="1131111">
    <w:name w:val="リストなし113111"/>
    <w:next w:val="NoList"/>
    <w:uiPriority w:val="99"/>
    <w:semiHidden/>
    <w:unhideWhenUsed/>
    <w:rsid w:val="003A71DE"/>
  </w:style>
  <w:style w:type="numbering" w:customStyle="1" w:styleId="1131112">
    <w:name w:val="无列表113111"/>
    <w:next w:val="NoList"/>
    <w:semiHidden/>
    <w:rsid w:val="003A71DE"/>
  </w:style>
  <w:style w:type="numbering" w:customStyle="1" w:styleId="NoList213111">
    <w:name w:val="No List213111"/>
    <w:next w:val="NoList"/>
    <w:semiHidden/>
    <w:rsid w:val="003A71DE"/>
  </w:style>
  <w:style w:type="numbering" w:customStyle="1" w:styleId="NoList313111">
    <w:name w:val="No List313111"/>
    <w:next w:val="NoList"/>
    <w:uiPriority w:val="99"/>
    <w:semiHidden/>
    <w:rsid w:val="003A71DE"/>
  </w:style>
  <w:style w:type="numbering" w:customStyle="1" w:styleId="NoList1113111">
    <w:name w:val="No List1113111"/>
    <w:next w:val="NoList"/>
    <w:uiPriority w:val="99"/>
    <w:semiHidden/>
    <w:unhideWhenUsed/>
    <w:rsid w:val="003A71DE"/>
  </w:style>
  <w:style w:type="numbering" w:customStyle="1" w:styleId="123111">
    <w:name w:val="無清單123111"/>
    <w:next w:val="NoList"/>
    <w:uiPriority w:val="99"/>
    <w:semiHidden/>
    <w:unhideWhenUsed/>
    <w:rsid w:val="003A71DE"/>
  </w:style>
  <w:style w:type="numbering" w:customStyle="1" w:styleId="1113111">
    <w:name w:val="無清單1113111"/>
    <w:next w:val="NoList"/>
    <w:uiPriority w:val="99"/>
    <w:semiHidden/>
    <w:unhideWhenUsed/>
    <w:rsid w:val="003A71DE"/>
  </w:style>
  <w:style w:type="numbering" w:customStyle="1" w:styleId="NoList121211">
    <w:name w:val="No List121211"/>
    <w:next w:val="NoList"/>
    <w:uiPriority w:val="99"/>
    <w:semiHidden/>
    <w:unhideWhenUsed/>
    <w:rsid w:val="003A71DE"/>
  </w:style>
  <w:style w:type="numbering" w:customStyle="1" w:styleId="1112110">
    <w:name w:val="リストなし111211"/>
    <w:next w:val="NoList"/>
    <w:uiPriority w:val="99"/>
    <w:semiHidden/>
    <w:unhideWhenUsed/>
    <w:rsid w:val="003A71DE"/>
  </w:style>
  <w:style w:type="numbering" w:customStyle="1" w:styleId="1112114">
    <w:name w:val="无列表111211"/>
    <w:next w:val="NoList"/>
    <w:semiHidden/>
    <w:rsid w:val="003A71DE"/>
  </w:style>
  <w:style w:type="numbering" w:customStyle="1" w:styleId="NoList211211">
    <w:name w:val="No List211211"/>
    <w:next w:val="NoList"/>
    <w:semiHidden/>
    <w:rsid w:val="003A71DE"/>
  </w:style>
  <w:style w:type="numbering" w:customStyle="1" w:styleId="NoList311211">
    <w:name w:val="No List311211"/>
    <w:next w:val="NoList"/>
    <w:uiPriority w:val="99"/>
    <w:semiHidden/>
    <w:rsid w:val="003A71DE"/>
  </w:style>
  <w:style w:type="numbering" w:customStyle="1" w:styleId="NoList1111211">
    <w:name w:val="No List1111211"/>
    <w:next w:val="NoList"/>
    <w:uiPriority w:val="99"/>
    <w:semiHidden/>
    <w:unhideWhenUsed/>
    <w:rsid w:val="003A71DE"/>
  </w:style>
  <w:style w:type="numbering" w:customStyle="1" w:styleId="1212110">
    <w:name w:val="無清單121211"/>
    <w:next w:val="NoList"/>
    <w:uiPriority w:val="99"/>
    <w:semiHidden/>
    <w:unhideWhenUsed/>
    <w:rsid w:val="003A71DE"/>
  </w:style>
  <w:style w:type="numbering" w:customStyle="1" w:styleId="11112110">
    <w:name w:val="無清單1111211"/>
    <w:next w:val="NoList"/>
    <w:uiPriority w:val="99"/>
    <w:semiHidden/>
    <w:unhideWhenUsed/>
    <w:rsid w:val="003A71DE"/>
  </w:style>
  <w:style w:type="numbering" w:customStyle="1" w:styleId="NoList5211">
    <w:name w:val="No List5211"/>
    <w:next w:val="NoList"/>
    <w:uiPriority w:val="99"/>
    <w:semiHidden/>
    <w:unhideWhenUsed/>
    <w:rsid w:val="003A71DE"/>
  </w:style>
  <w:style w:type="numbering" w:customStyle="1" w:styleId="NoList13211">
    <w:name w:val="No List13211"/>
    <w:next w:val="NoList"/>
    <w:uiPriority w:val="99"/>
    <w:semiHidden/>
    <w:unhideWhenUsed/>
    <w:rsid w:val="003A71DE"/>
  </w:style>
  <w:style w:type="numbering" w:customStyle="1" w:styleId="122114">
    <w:name w:val="リストなし12211"/>
    <w:next w:val="NoList"/>
    <w:uiPriority w:val="99"/>
    <w:semiHidden/>
    <w:unhideWhenUsed/>
    <w:rsid w:val="003A71DE"/>
  </w:style>
  <w:style w:type="numbering" w:customStyle="1" w:styleId="122120">
    <w:name w:val="无列表12212"/>
    <w:next w:val="NoList"/>
    <w:semiHidden/>
    <w:rsid w:val="003A71DE"/>
  </w:style>
  <w:style w:type="numbering" w:customStyle="1" w:styleId="NoList22211">
    <w:name w:val="No List22211"/>
    <w:next w:val="NoList"/>
    <w:semiHidden/>
    <w:rsid w:val="003A71DE"/>
  </w:style>
  <w:style w:type="numbering" w:customStyle="1" w:styleId="NoList32211">
    <w:name w:val="No List32211"/>
    <w:next w:val="NoList"/>
    <w:uiPriority w:val="99"/>
    <w:semiHidden/>
    <w:rsid w:val="003A71DE"/>
  </w:style>
  <w:style w:type="numbering" w:customStyle="1" w:styleId="NoList112211">
    <w:name w:val="No List112211"/>
    <w:next w:val="NoList"/>
    <w:uiPriority w:val="99"/>
    <w:semiHidden/>
    <w:unhideWhenUsed/>
    <w:rsid w:val="003A71DE"/>
  </w:style>
  <w:style w:type="numbering" w:customStyle="1" w:styleId="132110">
    <w:name w:val="無清單13211"/>
    <w:next w:val="NoList"/>
    <w:uiPriority w:val="99"/>
    <w:semiHidden/>
    <w:unhideWhenUsed/>
    <w:rsid w:val="003A71DE"/>
  </w:style>
  <w:style w:type="numbering" w:customStyle="1" w:styleId="1122110">
    <w:name w:val="無清單112211"/>
    <w:next w:val="NoList"/>
    <w:uiPriority w:val="99"/>
    <w:semiHidden/>
    <w:unhideWhenUsed/>
    <w:rsid w:val="003A71DE"/>
  </w:style>
  <w:style w:type="numbering" w:customStyle="1" w:styleId="21211">
    <w:name w:val="无列表21211"/>
    <w:next w:val="NoList"/>
    <w:uiPriority w:val="99"/>
    <w:semiHidden/>
    <w:unhideWhenUsed/>
    <w:rsid w:val="003A71DE"/>
  </w:style>
  <w:style w:type="numbering" w:customStyle="1" w:styleId="NoList1112211">
    <w:name w:val="No List1112211"/>
    <w:next w:val="NoList"/>
    <w:uiPriority w:val="99"/>
    <w:semiHidden/>
    <w:unhideWhenUsed/>
    <w:rsid w:val="003A71DE"/>
  </w:style>
  <w:style w:type="numbering" w:customStyle="1" w:styleId="NoList711">
    <w:name w:val="No List711"/>
    <w:next w:val="NoList"/>
    <w:uiPriority w:val="99"/>
    <w:semiHidden/>
    <w:unhideWhenUsed/>
    <w:rsid w:val="003A71DE"/>
  </w:style>
  <w:style w:type="table" w:customStyle="1" w:styleId="TableGrid811">
    <w:name w:val="Table Grid8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511">
    <w:name w:val="No List1511"/>
    <w:next w:val="NoList"/>
    <w:uiPriority w:val="99"/>
    <w:semiHidden/>
    <w:unhideWhenUsed/>
    <w:rsid w:val="003A71DE"/>
  </w:style>
  <w:style w:type="numbering" w:customStyle="1" w:styleId="14110">
    <w:name w:val="リストなし1411"/>
    <w:next w:val="NoList"/>
    <w:uiPriority w:val="99"/>
    <w:semiHidden/>
    <w:unhideWhenUsed/>
    <w:rsid w:val="003A71DE"/>
  </w:style>
  <w:style w:type="table" w:customStyle="1" w:styleId="TableGrid1411">
    <w:name w:val="Table Grid1411"/>
    <w:basedOn w:val="TableNormal"/>
    <w:next w:val="TableGrid"/>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11">
    <w:name w:val="Tabellengitternetz1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11">
    <w:name w:val="Tabellengitternetz2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11">
    <w:name w:val="Tabellengitternetz3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11">
    <w:name w:val="Tabellengitternetz4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11">
    <w:name w:val="Tabellengitternetz5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11">
    <w:name w:val="Tabellengitternetz6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11">
    <w:name w:val="Tabellengitternetz7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11">
    <w:name w:val="Tabellengitternetz8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11">
    <w:name w:val="Tabellengitternetz94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11">
    <w:name w:val="Table Grid24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1">
    <w:name w:val="Table Grid34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2">
    <w:name w:val="无列表1411"/>
    <w:next w:val="NoList"/>
    <w:semiHidden/>
    <w:rsid w:val="003A71DE"/>
  </w:style>
  <w:style w:type="table" w:customStyle="1" w:styleId="3411">
    <w:name w:val="网格型34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1">
    <w:name w:val="网格型44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11">
    <w:name w:val="No List2411"/>
    <w:next w:val="NoList"/>
    <w:semiHidden/>
    <w:rsid w:val="003A71DE"/>
  </w:style>
  <w:style w:type="numbering" w:customStyle="1" w:styleId="NoList3411">
    <w:name w:val="No List3411"/>
    <w:next w:val="NoList"/>
    <w:uiPriority w:val="99"/>
    <w:semiHidden/>
    <w:rsid w:val="003A71DE"/>
  </w:style>
  <w:style w:type="table" w:customStyle="1" w:styleId="TableGrid4411">
    <w:name w:val="Table Grid44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11">
    <w:name w:val="No List11511"/>
    <w:next w:val="NoList"/>
    <w:uiPriority w:val="99"/>
    <w:semiHidden/>
    <w:unhideWhenUsed/>
    <w:rsid w:val="003A71DE"/>
  </w:style>
  <w:style w:type="numbering" w:customStyle="1" w:styleId="15110">
    <w:name w:val="無清單1511"/>
    <w:next w:val="NoList"/>
    <w:uiPriority w:val="99"/>
    <w:semiHidden/>
    <w:unhideWhenUsed/>
    <w:rsid w:val="003A71DE"/>
  </w:style>
  <w:style w:type="numbering" w:customStyle="1" w:styleId="114110">
    <w:name w:val="無清單11411"/>
    <w:next w:val="NoList"/>
    <w:uiPriority w:val="99"/>
    <w:semiHidden/>
    <w:unhideWhenUsed/>
    <w:rsid w:val="003A71DE"/>
  </w:style>
  <w:style w:type="table" w:customStyle="1" w:styleId="14113">
    <w:name w:val="表格格線14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11">
    <w:name w:val="No List4311"/>
    <w:next w:val="NoList"/>
    <w:uiPriority w:val="99"/>
    <w:semiHidden/>
    <w:unhideWhenUsed/>
    <w:rsid w:val="003A71DE"/>
  </w:style>
  <w:style w:type="table" w:customStyle="1" w:styleId="TableGrid5211">
    <w:name w:val="Table Grid52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11">
    <w:name w:val="No List12411"/>
    <w:next w:val="NoList"/>
    <w:uiPriority w:val="99"/>
    <w:semiHidden/>
    <w:unhideWhenUsed/>
    <w:rsid w:val="003A71DE"/>
  </w:style>
  <w:style w:type="numbering" w:customStyle="1" w:styleId="114111">
    <w:name w:val="リストなし11411"/>
    <w:next w:val="NoList"/>
    <w:uiPriority w:val="99"/>
    <w:semiHidden/>
    <w:unhideWhenUsed/>
    <w:rsid w:val="003A71DE"/>
  </w:style>
  <w:style w:type="table" w:customStyle="1" w:styleId="TableGrid11311">
    <w:name w:val="Table Grid1131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11">
    <w:name w:val="Tabellengitternetz1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11">
    <w:name w:val="Tabellengitternetz2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11">
    <w:name w:val="Tabellengitternetz3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11">
    <w:name w:val="Tabellengitternetz4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11">
    <w:name w:val="Tabellengitternetz5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11">
    <w:name w:val="Tabellengitternetz6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11">
    <w:name w:val="Tabellengitternetz7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11">
    <w:name w:val="Tabellengitternetz8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11">
    <w:name w:val="Tabellengitternetz91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11">
    <w:name w:val="Table Grid21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1">
    <w:name w:val="Table Grid312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12">
    <w:name w:val="无列表11411"/>
    <w:next w:val="NoList"/>
    <w:semiHidden/>
    <w:rsid w:val="003A71DE"/>
  </w:style>
  <w:style w:type="table" w:customStyle="1" w:styleId="31211">
    <w:name w:val="网格型31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1">
    <w:name w:val="网格型41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411">
    <w:name w:val="No List21411"/>
    <w:next w:val="NoList"/>
    <w:semiHidden/>
    <w:rsid w:val="003A71DE"/>
  </w:style>
  <w:style w:type="numbering" w:customStyle="1" w:styleId="NoList31411">
    <w:name w:val="No List31411"/>
    <w:next w:val="NoList"/>
    <w:uiPriority w:val="99"/>
    <w:semiHidden/>
    <w:rsid w:val="003A71DE"/>
  </w:style>
  <w:style w:type="table" w:customStyle="1" w:styleId="TableGrid41211">
    <w:name w:val="Table Grid412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411">
    <w:name w:val="No List111411"/>
    <w:next w:val="NoList"/>
    <w:uiPriority w:val="99"/>
    <w:semiHidden/>
    <w:unhideWhenUsed/>
    <w:rsid w:val="003A71DE"/>
  </w:style>
  <w:style w:type="numbering" w:customStyle="1" w:styleId="124110">
    <w:name w:val="無清單12411"/>
    <w:next w:val="NoList"/>
    <w:uiPriority w:val="99"/>
    <w:semiHidden/>
    <w:unhideWhenUsed/>
    <w:rsid w:val="003A71DE"/>
  </w:style>
  <w:style w:type="numbering" w:customStyle="1" w:styleId="1114110">
    <w:name w:val="無清單111411"/>
    <w:next w:val="NoList"/>
    <w:uiPriority w:val="99"/>
    <w:semiHidden/>
    <w:unhideWhenUsed/>
    <w:rsid w:val="003A71DE"/>
  </w:style>
  <w:style w:type="table" w:customStyle="1" w:styleId="112114">
    <w:name w:val="表格格線112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1">
    <w:name w:val="无列表2311"/>
    <w:next w:val="NoList"/>
    <w:uiPriority w:val="99"/>
    <w:semiHidden/>
    <w:unhideWhenUsed/>
    <w:rsid w:val="003A71DE"/>
  </w:style>
  <w:style w:type="numbering" w:customStyle="1" w:styleId="NoList121311">
    <w:name w:val="No List121311"/>
    <w:next w:val="NoList"/>
    <w:uiPriority w:val="99"/>
    <w:semiHidden/>
    <w:unhideWhenUsed/>
    <w:rsid w:val="003A71DE"/>
  </w:style>
  <w:style w:type="numbering" w:customStyle="1" w:styleId="1113110">
    <w:name w:val="リストなし111311"/>
    <w:next w:val="NoList"/>
    <w:uiPriority w:val="99"/>
    <w:semiHidden/>
    <w:unhideWhenUsed/>
    <w:rsid w:val="003A71DE"/>
  </w:style>
  <w:style w:type="numbering" w:customStyle="1" w:styleId="1113112">
    <w:name w:val="无列表111311"/>
    <w:next w:val="NoList"/>
    <w:semiHidden/>
    <w:rsid w:val="003A71DE"/>
  </w:style>
  <w:style w:type="numbering" w:customStyle="1" w:styleId="NoList211311">
    <w:name w:val="No List211311"/>
    <w:next w:val="NoList"/>
    <w:semiHidden/>
    <w:rsid w:val="003A71DE"/>
  </w:style>
  <w:style w:type="numbering" w:customStyle="1" w:styleId="NoList311311">
    <w:name w:val="No List311311"/>
    <w:next w:val="NoList"/>
    <w:uiPriority w:val="99"/>
    <w:semiHidden/>
    <w:rsid w:val="003A71DE"/>
  </w:style>
  <w:style w:type="numbering" w:customStyle="1" w:styleId="NoList1111311">
    <w:name w:val="No List1111311"/>
    <w:next w:val="NoList"/>
    <w:uiPriority w:val="99"/>
    <w:semiHidden/>
    <w:unhideWhenUsed/>
    <w:rsid w:val="003A71DE"/>
  </w:style>
  <w:style w:type="numbering" w:customStyle="1" w:styleId="121311">
    <w:name w:val="無清單121311"/>
    <w:next w:val="NoList"/>
    <w:uiPriority w:val="99"/>
    <w:semiHidden/>
    <w:unhideWhenUsed/>
    <w:rsid w:val="003A71DE"/>
  </w:style>
  <w:style w:type="numbering" w:customStyle="1" w:styleId="1111311">
    <w:name w:val="無清單1111311"/>
    <w:next w:val="NoList"/>
    <w:uiPriority w:val="99"/>
    <w:semiHidden/>
    <w:unhideWhenUsed/>
    <w:rsid w:val="003A71DE"/>
  </w:style>
  <w:style w:type="numbering" w:customStyle="1" w:styleId="NoList5311">
    <w:name w:val="No List5311"/>
    <w:next w:val="NoList"/>
    <w:uiPriority w:val="99"/>
    <w:semiHidden/>
    <w:unhideWhenUsed/>
    <w:rsid w:val="003A71DE"/>
  </w:style>
  <w:style w:type="table" w:customStyle="1" w:styleId="TableGrid6211">
    <w:name w:val="Table Grid621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311">
    <w:name w:val="No List13311"/>
    <w:next w:val="NoList"/>
    <w:uiPriority w:val="99"/>
    <w:semiHidden/>
    <w:unhideWhenUsed/>
    <w:rsid w:val="003A71DE"/>
  </w:style>
  <w:style w:type="numbering" w:customStyle="1" w:styleId="123110">
    <w:name w:val="リストなし12311"/>
    <w:next w:val="NoList"/>
    <w:uiPriority w:val="99"/>
    <w:semiHidden/>
    <w:unhideWhenUsed/>
    <w:rsid w:val="003A71DE"/>
  </w:style>
  <w:style w:type="table" w:customStyle="1" w:styleId="TableGrid12211">
    <w:name w:val="Table Grid1221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11">
    <w:name w:val="Tabellengitternetz1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11">
    <w:name w:val="Tabellengitternetz2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11">
    <w:name w:val="Tabellengitternetz3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11">
    <w:name w:val="Tabellengitternetz4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11">
    <w:name w:val="Tabellengitternetz5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11">
    <w:name w:val="Tabellengitternetz6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11">
    <w:name w:val="Tabellengitternetz7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11">
    <w:name w:val="Tabellengitternetz8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11">
    <w:name w:val="Tabellengitternetz9221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11">
    <w:name w:val="Table Grid22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11">
    <w:name w:val="Table Grid3221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12">
    <w:name w:val="无列表12311"/>
    <w:next w:val="NoList"/>
    <w:semiHidden/>
    <w:rsid w:val="003A71DE"/>
  </w:style>
  <w:style w:type="table" w:customStyle="1" w:styleId="32211">
    <w:name w:val="网格型32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1">
    <w:name w:val="网格型4221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311">
    <w:name w:val="No List22311"/>
    <w:next w:val="NoList"/>
    <w:semiHidden/>
    <w:rsid w:val="003A71DE"/>
  </w:style>
  <w:style w:type="numbering" w:customStyle="1" w:styleId="NoList32311">
    <w:name w:val="No List32311"/>
    <w:next w:val="NoList"/>
    <w:uiPriority w:val="99"/>
    <w:semiHidden/>
    <w:rsid w:val="003A71DE"/>
  </w:style>
  <w:style w:type="table" w:customStyle="1" w:styleId="TableGrid42211">
    <w:name w:val="Table Grid4221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311">
    <w:name w:val="No List112311"/>
    <w:next w:val="NoList"/>
    <w:uiPriority w:val="99"/>
    <w:semiHidden/>
    <w:unhideWhenUsed/>
    <w:rsid w:val="003A71DE"/>
  </w:style>
  <w:style w:type="numbering" w:customStyle="1" w:styleId="13311">
    <w:name w:val="無清單13311"/>
    <w:next w:val="NoList"/>
    <w:uiPriority w:val="99"/>
    <w:semiHidden/>
    <w:unhideWhenUsed/>
    <w:rsid w:val="003A71DE"/>
  </w:style>
  <w:style w:type="numbering" w:customStyle="1" w:styleId="1123110">
    <w:name w:val="無清單112311"/>
    <w:next w:val="NoList"/>
    <w:uiPriority w:val="99"/>
    <w:semiHidden/>
    <w:unhideWhenUsed/>
    <w:rsid w:val="003A71DE"/>
  </w:style>
  <w:style w:type="table" w:customStyle="1" w:styleId="122115">
    <w:name w:val="表格格線1221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11">
    <w:name w:val="无列表21311"/>
    <w:next w:val="NoList"/>
    <w:uiPriority w:val="99"/>
    <w:semiHidden/>
    <w:unhideWhenUsed/>
    <w:rsid w:val="003A71DE"/>
  </w:style>
  <w:style w:type="numbering" w:customStyle="1" w:styleId="NoList122211">
    <w:name w:val="No List122211"/>
    <w:next w:val="NoList"/>
    <w:uiPriority w:val="99"/>
    <w:semiHidden/>
    <w:unhideWhenUsed/>
    <w:rsid w:val="003A71DE"/>
  </w:style>
  <w:style w:type="numbering" w:customStyle="1" w:styleId="1122111">
    <w:name w:val="リストなし112211"/>
    <w:next w:val="NoList"/>
    <w:uiPriority w:val="99"/>
    <w:semiHidden/>
    <w:unhideWhenUsed/>
    <w:rsid w:val="003A71DE"/>
  </w:style>
  <w:style w:type="numbering" w:customStyle="1" w:styleId="1122112">
    <w:name w:val="无列表112211"/>
    <w:next w:val="NoList"/>
    <w:semiHidden/>
    <w:rsid w:val="003A71DE"/>
  </w:style>
  <w:style w:type="numbering" w:customStyle="1" w:styleId="NoList212211">
    <w:name w:val="No List212211"/>
    <w:next w:val="NoList"/>
    <w:semiHidden/>
    <w:rsid w:val="003A71DE"/>
  </w:style>
  <w:style w:type="numbering" w:customStyle="1" w:styleId="NoList312211">
    <w:name w:val="No List312211"/>
    <w:next w:val="NoList"/>
    <w:uiPriority w:val="99"/>
    <w:semiHidden/>
    <w:rsid w:val="003A71DE"/>
  </w:style>
  <w:style w:type="numbering" w:customStyle="1" w:styleId="NoList1112311">
    <w:name w:val="No List1112311"/>
    <w:next w:val="NoList"/>
    <w:uiPriority w:val="99"/>
    <w:semiHidden/>
    <w:unhideWhenUsed/>
    <w:rsid w:val="003A71DE"/>
  </w:style>
  <w:style w:type="numbering" w:customStyle="1" w:styleId="122211">
    <w:name w:val="無清單122211"/>
    <w:next w:val="NoList"/>
    <w:uiPriority w:val="99"/>
    <w:semiHidden/>
    <w:unhideWhenUsed/>
    <w:rsid w:val="003A71DE"/>
  </w:style>
  <w:style w:type="numbering" w:customStyle="1" w:styleId="1112211">
    <w:name w:val="無清單1112211"/>
    <w:next w:val="NoList"/>
    <w:uiPriority w:val="99"/>
    <w:semiHidden/>
    <w:unhideWhenUsed/>
    <w:rsid w:val="003A71DE"/>
  </w:style>
  <w:style w:type="numbering" w:customStyle="1" w:styleId="410">
    <w:name w:val="无列表41"/>
    <w:next w:val="NoList"/>
    <w:uiPriority w:val="99"/>
    <w:semiHidden/>
    <w:unhideWhenUsed/>
    <w:rsid w:val="003A71DE"/>
  </w:style>
  <w:style w:type="table" w:customStyle="1" w:styleId="51">
    <w:name w:val="网格型5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7">
    <w:name w:val="网格型12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10">
    <w:name w:val="无列表321"/>
    <w:next w:val="NoList"/>
    <w:uiPriority w:val="99"/>
    <w:semiHidden/>
    <w:unhideWhenUsed/>
    <w:rsid w:val="003A71DE"/>
  </w:style>
  <w:style w:type="numbering" w:customStyle="1" w:styleId="131211">
    <w:name w:val="无列表13121"/>
    <w:next w:val="NoList"/>
    <w:semiHidden/>
    <w:rsid w:val="003A71DE"/>
  </w:style>
  <w:style w:type="numbering" w:customStyle="1" w:styleId="NoList41121">
    <w:name w:val="No List41121"/>
    <w:next w:val="NoList"/>
    <w:uiPriority w:val="99"/>
    <w:semiHidden/>
    <w:unhideWhenUsed/>
    <w:rsid w:val="003A71DE"/>
  </w:style>
  <w:style w:type="numbering" w:customStyle="1" w:styleId="22121">
    <w:name w:val="无列表22121"/>
    <w:next w:val="NoList"/>
    <w:uiPriority w:val="99"/>
    <w:semiHidden/>
    <w:unhideWhenUsed/>
    <w:rsid w:val="003A71DE"/>
  </w:style>
  <w:style w:type="numbering" w:customStyle="1" w:styleId="NoList1211121">
    <w:name w:val="No List1211121"/>
    <w:next w:val="NoList"/>
    <w:uiPriority w:val="99"/>
    <w:semiHidden/>
    <w:unhideWhenUsed/>
    <w:rsid w:val="003A71DE"/>
  </w:style>
  <w:style w:type="numbering" w:customStyle="1" w:styleId="11111211">
    <w:name w:val="リストなし1111121"/>
    <w:next w:val="NoList"/>
    <w:uiPriority w:val="99"/>
    <w:semiHidden/>
    <w:unhideWhenUsed/>
    <w:rsid w:val="003A71DE"/>
  </w:style>
  <w:style w:type="numbering" w:customStyle="1" w:styleId="11111212">
    <w:name w:val="无列表1111121"/>
    <w:next w:val="NoList"/>
    <w:semiHidden/>
    <w:rsid w:val="003A71DE"/>
  </w:style>
  <w:style w:type="numbering" w:customStyle="1" w:styleId="NoList2111121">
    <w:name w:val="No List2111121"/>
    <w:next w:val="NoList"/>
    <w:semiHidden/>
    <w:rsid w:val="003A71DE"/>
  </w:style>
  <w:style w:type="numbering" w:customStyle="1" w:styleId="NoList3111121">
    <w:name w:val="No List3111121"/>
    <w:next w:val="NoList"/>
    <w:uiPriority w:val="99"/>
    <w:semiHidden/>
    <w:rsid w:val="003A71DE"/>
  </w:style>
  <w:style w:type="numbering" w:customStyle="1" w:styleId="NoList11111121">
    <w:name w:val="No List11111121"/>
    <w:next w:val="NoList"/>
    <w:uiPriority w:val="99"/>
    <w:semiHidden/>
    <w:unhideWhenUsed/>
    <w:rsid w:val="003A71DE"/>
  </w:style>
  <w:style w:type="numbering" w:customStyle="1" w:styleId="12111210">
    <w:name w:val="無清單1211121"/>
    <w:next w:val="NoList"/>
    <w:uiPriority w:val="99"/>
    <w:semiHidden/>
    <w:unhideWhenUsed/>
    <w:rsid w:val="003A71DE"/>
  </w:style>
  <w:style w:type="numbering" w:customStyle="1" w:styleId="111111210">
    <w:name w:val="無清單11111121"/>
    <w:next w:val="NoList"/>
    <w:uiPriority w:val="99"/>
    <w:semiHidden/>
    <w:unhideWhenUsed/>
    <w:rsid w:val="003A71DE"/>
  </w:style>
  <w:style w:type="numbering" w:customStyle="1" w:styleId="NoList131121">
    <w:name w:val="No List131121"/>
    <w:next w:val="NoList"/>
    <w:uiPriority w:val="99"/>
    <w:semiHidden/>
    <w:unhideWhenUsed/>
    <w:rsid w:val="003A71DE"/>
  </w:style>
  <w:style w:type="numbering" w:customStyle="1" w:styleId="1211211">
    <w:name w:val="リストなし121121"/>
    <w:next w:val="NoList"/>
    <w:uiPriority w:val="99"/>
    <w:semiHidden/>
    <w:unhideWhenUsed/>
    <w:rsid w:val="003A71DE"/>
  </w:style>
  <w:style w:type="numbering" w:customStyle="1" w:styleId="1211212">
    <w:name w:val="无列表121121"/>
    <w:next w:val="NoList"/>
    <w:semiHidden/>
    <w:rsid w:val="003A71DE"/>
  </w:style>
  <w:style w:type="numbering" w:customStyle="1" w:styleId="NoList221121">
    <w:name w:val="No List221121"/>
    <w:next w:val="NoList"/>
    <w:semiHidden/>
    <w:rsid w:val="003A71DE"/>
  </w:style>
  <w:style w:type="numbering" w:customStyle="1" w:styleId="NoList321121">
    <w:name w:val="No List321121"/>
    <w:next w:val="NoList"/>
    <w:uiPriority w:val="99"/>
    <w:semiHidden/>
    <w:rsid w:val="003A71DE"/>
  </w:style>
  <w:style w:type="numbering" w:customStyle="1" w:styleId="NoList1121121">
    <w:name w:val="No List1121121"/>
    <w:next w:val="NoList"/>
    <w:uiPriority w:val="99"/>
    <w:semiHidden/>
    <w:unhideWhenUsed/>
    <w:rsid w:val="003A71DE"/>
  </w:style>
  <w:style w:type="numbering" w:customStyle="1" w:styleId="1311210">
    <w:name w:val="無清單131121"/>
    <w:next w:val="NoList"/>
    <w:uiPriority w:val="99"/>
    <w:semiHidden/>
    <w:unhideWhenUsed/>
    <w:rsid w:val="003A71DE"/>
  </w:style>
  <w:style w:type="numbering" w:customStyle="1" w:styleId="11211210">
    <w:name w:val="無清單1121121"/>
    <w:next w:val="NoList"/>
    <w:uiPriority w:val="99"/>
    <w:semiHidden/>
    <w:unhideWhenUsed/>
    <w:rsid w:val="003A71DE"/>
  </w:style>
  <w:style w:type="numbering" w:customStyle="1" w:styleId="211121">
    <w:name w:val="无列表211121"/>
    <w:next w:val="NoList"/>
    <w:uiPriority w:val="99"/>
    <w:semiHidden/>
    <w:unhideWhenUsed/>
    <w:rsid w:val="003A71DE"/>
  </w:style>
  <w:style w:type="numbering" w:customStyle="1" w:styleId="NoList1221121">
    <w:name w:val="No List1221121"/>
    <w:next w:val="NoList"/>
    <w:uiPriority w:val="99"/>
    <w:semiHidden/>
    <w:unhideWhenUsed/>
    <w:rsid w:val="003A71DE"/>
  </w:style>
  <w:style w:type="numbering" w:customStyle="1" w:styleId="11211211">
    <w:name w:val="リストなし1121121"/>
    <w:next w:val="NoList"/>
    <w:uiPriority w:val="99"/>
    <w:semiHidden/>
    <w:unhideWhenUsed/>
    <w:rsid w:val="003A71DE"/>
  </w:style>
  <w:style w:type="numbering" w:customStyle="1" w:styleId="11211212">
    <w:name w:val="无列表1121121"/>
    <w:next w:val="NoList"/>
    <w:semiHidden/>
    <w:rsid w:val="003A71DE"/>
  </w:style>
  <w:style w:type="numbering" w:customStyle="1" w:styleId="NoList2121121">
    <w:name w:val="No List2121121"/>
    <w:next w:val="NoList"/>
    <w:semiHidden/>
    <w:rsid w:val="003A71DE"/>
  </w:style>
  <w:style w:type="numbering" w:customStyle="1" w:styleId="NoList3121121">
    <w:name w:val="No List3121121"/>
    <w:next w:val="NoList"/>
    <w:uiPriority w:val="99"/>
    <w:semiHidden/>
    <w:rsid w:val="003A71DE"/>
  </w:style>
  <w:style w:type="numbering" w:customStyle="1" w:styleId="NoList11121121">
    <w:name w:val="No List11121121"/>
    <w:next w:val="NoList"/>
    <w:uiPriority w:val="99"/>
    <w:semiHidden/>
    <w:unhideWhenUsed/>
    <w:rsid w:val="003A71DE"/>
  </w:style>
  <w:style w:type="numbering" w:customStyle="1" w:styleId="1221121">
    <w:name w:val="無清單1221121"/>
    <w:next w:val="NoList"/>
    <w:uiPriority w:val="99"/>
    <w:semiHidden/>
    <w:unhideWhenUsed/>
    <w:rsid w:val="003A71DE"/>
  </w:style>
  <w:style w:type="numbering" w:customStyle="1" w:styleId="11121121">
    <w:name w:val="無清單11121121"/>
    <w:next w:val="NoList"/>
    <w:uiPriority w:val="99"/>
    <w:semiHidden/>
    <w:unhideWhenUsed/>
    <w:rsid w:val="003A71DE"/>
  </w:style>
  <w:style w:type="numbering" w:customStyle="1" w:styleId="122210">
    <w:name w:val="无列表12221"/>
    <w:next w:val="NoList"/>
    <w:semiHidden/>
    <w:rsid w:val="003A71DE"/>
  </w:style>
  <w:style w:type="character" w:customStyle="1" w:styleId="CharChar35">
    <w:name w:val="Char Char35"/>
    <w:semiHidden/>
    <w:rsid w:val="003A71DE"/>
    <w:rPr>
      <w:rFonts w:ascii="Arial" w:hAnsi="Arial"/>
      <w:sz w:val="28"/>
      <w:lang w:val="en-GB" w:eastAsia="ko-KR" w:bidi="ar-SA"/>
    </w:rPr>
  </w:style>
  <w:style w:type="table" w:customStyle="1" w:styleId="Tabellengitternetz133">
    <w:name w:val="Tabellengitternetz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3">
    <w:name w:val="Tabellengitternetz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3">
    <w:name w:val="Tabellengitternetz3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3">
    <w:name w:val="Tabellengitternetz4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3">
    <w:name w:val="Tabellengitternetz5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3">
    <w:name w:val="Tabellengitternetz6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3">
    <w:name w:val="Tabellengitternetz7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3">
    <w:name w:val="Tabellengitternetz8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3">
    <w:name w:val="Tabellengitternetz9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3">
    <w:name w:val="Table Grid2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3">
    <w:name w:val="Table Grid33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0">
    <w:name w:val="网格型3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
    <w:name w:val="网格型4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3">
    <w:name w:val="Table Grid43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4">
    <w:name w:val="表格格線13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3">
    <w:name w:val="Table Grid51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3">
    <w:name w:val="Table Grid61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3">
    <w:name w:val="Table Grid1213"/>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3">
    <w:name w:val="Tabellengitternetz1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3">
    <w:name w:val="Tabellengitternetz2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3">
    <w:name w:val="Tabellengitternetz3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3">
    <w:name w:val="Tabellengitternetz4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3">
    <w:name w:val="Tabellengitternetz5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3">
    <w:name w:val="Tabellengitternetz6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3">
    <w:name w:val="Tabellengitternetz7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3">
    <w:name w:val="Tabellengitternetz8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3">
    <w:name w:val="Tabellengitternetz92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3">
    <w:name w:val="Table Grid221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3">
    <w:name w:val="Table Grid321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3">
    <w:name w:val="网格型321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3">
    <w:name w:val="网格型421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3">
    <w:name w:val="Table Grid421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4">
    <w:name w:val="表格格線121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
    <w:name w:val="网格型1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3">
    <w:name w:val="Table Grid11113"/>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3">
    <w:name w:val="Tabellengitternetz1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3">
    <w:name w:val="Tabellengitternetz2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3">
    <w:name w:val="Tabellengitternetz3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3">
    <w:name w:val="Tabellengitternetz4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3">
    <w:name w:val="Tabellengitternetz5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3">
    <w:name w:val="Tabellengitternetz6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3">
    <w:name w:val="Tabellengitternetz7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3">
    <w:name w:val="Tabellengitternetz8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3">
    <w:name w:val="Tabellengitternetz94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3">
    <w:name w:val="Table Grid24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3">
    <w:name w:val="Table Grid34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3">
    <w:name w:val="网格型34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3">
    <w:name w:val="网格型44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3">
    <w:name w:val="Table Grid44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
    <w:name w:val="表格格線14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3">
    <w:name w:val="Table Grid52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3">
    <w:name w:val="Table Grid1133"/>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3">
    <w:name w:val="Tabellengitternetz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3">
    <w:name w:val="Tabellengitternetz2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3">
    <w:name w:val="Tabellengitternetz3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3">
    <w:name w:val="Tabellengitternetz4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3">
    <w:name w:val="Tabellengitternetz5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3">
    <w:name w:val="Tabellengitternetz6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3">
    <w:name w:val="Tabellengitternetz7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3">
    <w:name w:val="Tabellengitternetz8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3">
    <w:name w:val="Tabellengitternetz9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3">
    <w:name w:val="Table Grid21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3">
    <w:name w:val="Table Grid312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3">
    <w:name w:val="网格型31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3">
    <w:name w:val="网格型41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3">
    <w:name w:val="Table Grid412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3">
    <w:name w:val="表格格線112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3">
    <w:name w:val="Table Grid62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3">
    <w:name w:val="Table Grid1223"/>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3">
    <w:name w:val="Tabellengitternetz1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3">
    <w:name w:val="Tabellengitternetz2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3">
    <w:name w:val="Tabellengitternetz3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3">
    <w:name w:val="Tabellengitternetz4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3">
    <w:name w:val="Tabellengitternetz5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3">
    <w:name w:val="Tabellengitternetz6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3">
    <w:name w:val="Tabellengitternetz7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3">
    <w:name w:val="Tabellengitternetz8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3">
    <w:name w:val="Tabellengitternetz92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3">
    <w:name w:val="Table Grid22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3">
    <w:name w:val="Table Grid322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3">
    <w:name w:val="网格型32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3">
    <w:name w:val="网格型42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23">
    <w:name w:val="Table Grid422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33">
    <w:name w:val="表格格線122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8">
    <w:name w:val="Tabellengitternetz1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8">
    <w:name w:val="Tabellengitternetz2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8">
    <w:name w:val="Tabellengitternetz3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8">
    <w:name w:val="Tabellengitternetz4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8">
    <w:name w:val="Tabellengitternetz5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8">
    <w:name w:val="Tabellengitternetz6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8">
    <w:name w:val="Tabellengitternetz7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8">
    <w:name w:val="Tabellengitternetz8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8">
    <w:name w:val="Tabellengitternetz98"/>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8">
    <w:name w:val="Table Grid28"/>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8">
    <w:name w:val="Table Grid38"/>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网格型38"/>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网格型48"/>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8">
    <w:name w:val="Table Grid48"/>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表格格線18"/>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7">
    <w:name w:val="Table Grid117"/>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
    <w:name w:val="Table Grid56"/>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6">
    <w:name w:val="Tabellengitternetz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6">
    <w:name w:val="Tabellengitternetz2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6">
    <w:name w:val="Tabellengitternetz3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6">
    <w:name w:val="Tabellengitternetz4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6">
    <w:name w:val="Tabellengitternetz5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6">
    <w:name w:val="Tabellengitternetz6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6">
    <w:name w:val="Tabellengitternetz7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6">
    <w:name w:val="Tabellengitternetz8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6">
    <w:name w:val="Tabellengitternetz9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6">
    <w:name w:val="Table Grid21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6">
    <w:name w:val="Table Grid316"/>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6">
    <w:name w:val="网格型31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
    <w:name w:val="网格型41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6">
    <w:name w:val="Table Grid416"/>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3">
    <w:name w:val="表格格線116"/>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6">
    <w:name w:val="Table Grid66"/>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6">
    <w:name w:val="Table Grid126"/>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6">
    <w:name w:val="Tabellengitternetz1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6">
    <w:name w:val="Tabellengitternetz2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6">
    <w:name w:val="Tabellengitternetz3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6">
    <w:name w:val="Tabellengitternetz4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6">
    <w:name w:val="Tabellengitternetz5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6">
    <w:name w:val="Tabellengitternetz6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6">
    <w:name w:val="Tabellengitternetz7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6">
    <w:name w:val="Tabellengitternetz8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6">
    <w:name w:val="Tabellengitternetz92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6">
    <w:name w:val="Table Grid22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6">
    <w:name w:val="Table Grid326"/>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6">
    <w:name w:val="网格型32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6">
    <w:name w:val="网格型42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6">
    <w:name w:val="Table Grid426"/>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3">
    <w:name w:val="表格格線126"/>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网格型1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5">
    <w:name w:val="Table Grid1115"/>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
    <w:name w:val="网格型2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5">
    <w:name w:val="Table Grid1125"/>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5">
    <w:name w:val="Tabellengitternetz1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5">
    <w:name w:val="Tabellengitternetz2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5">
    <w:name w:val="Tabellengitternetz3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5">
    <w:name w:val="Tabellengitternetz4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5">
    <w:name w:val="Tabellengitternetz5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5">
    <w:name w:val="Tabellengitternetz6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5">
    <w:name w:val="Tabellengitternetz7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5">
    <w:name w:val="Tabellengitternetz8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5">
    <w:name w:val="Tabellengitternetz91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5">
    <w:name w:val="Table Grid211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5">
    <w:name w:val="Table Grid3115"/>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5">
    <w:name w:val="网格型311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5">
    <w:name w:val="网格型411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5">
    <w:name w:val="Table Grid4115"/>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3">
    <w:name w:val="表格格線1115"/>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4">
    <w:name w:val="Table Grid134"/>
    <w:basedOn w:val="TableNormal"/>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4">
    <w:name w:val="Tabellengitternetz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4">
    <w:name w:val="Tabellengitternetz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4">
    <w:name w:val="Tabellengitternetz3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4">
    <w:name w:val="Tabellengitternetz4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4">
    <w:name w:val="Tabellengitternetz5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4">
    <w:name w:val="Tabellengitternetz6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4">
    <w:name w:val="Tabellengitternetz7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4">
    <w:name w:val="Tabellengitternetz8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4">
    <w:name w:val="Tabellengitternetz9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4">
    <w:name w:val="Table Grid2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4">
    <w:name w:val="Table Grid33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4">
    <w:name w:val="网格型3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4">
    <w:name w:val="网格型4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4">
    <w:name w:val="Table Grid43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3">
    <w:name w:val="表格格線13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4">
    <w:name w:val="Table Grid51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4">
    <w:name w:val="Table Grid61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4">
    <w:name w:val="Table Grid1214"/>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4">
    <w:name w:val="Tabellengitternetz1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4">
    <w:name w:val="Tabellengitternetz2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4">
    <w:name w:val="Tabellengitternetz3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4">
    <w:name w:val="Tabellengitternetz4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4">
    <w:name w:val="Tabellengitternetz5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4">
    <w:name w:val="Tabellengitternetz6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4">
    <w:name w:val="Tabellengitternetz7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4">
    <w:name w:val="Tabellengitternetz8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4">
    <w:name w:val="Tabellengitternetz92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4">
    <w:name w:val="Table Grid221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4">
    <w:name w:val="Table Grid321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4">
    <w:name w:val="网格型321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4">
    <w:name w:val="网格型421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4">
    <w:name w:val="Table Grid421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43">
    <w:name w:val="表格格線121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4">
    <w:name w:val="Table Grid11114"/>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4">
    <w:name w:val="Table Grid8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4">
    <w:name w:val="Table Grid144"/>
    <w:basedOn w:val="TableNormal"/>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4">
    <w:name w:val="Tabellengitternetz1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4">
    <w:name w:val="Tabellengitternetz2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4">
    <w:name w:val="Tabellengitternetz3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4">
    <w:name w:val="Tabellengitternetz4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4">
    <w:name w:val="Tabellengitternetz5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4">
    <w:name w:val="Tabellengitternetz6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4">
    <w:name w:val="Tabellengitternetz7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4">
    <w:name w:val="Tabellengitternetz8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4">
    <w:name w:val="Tabellengitternetz94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4">
    <w:name w:val="Table Grid24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4">
    <w:name w:val="Table Grid34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4">
    <w:name w:val="网格型34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4">
    <w:name w:val="网格型44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4">
    <w:name w:val="Table Grid44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0">
    <w:name w:val="表格格線14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4">
    <w:name w:val="Table Grid52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4">
    <w:name w:val="Table Grid1134"/>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4">
    <w:name w:val="Tabellengitternetz1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4">
    <w:name w:val="Tabellengitternetz2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4">
    <w:name w:val="Tabellengitternetz3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4">
    <w:name w:val="Tabellengitternetz4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4">
    <w:name w:val="Tabellengitternetz5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4">
    <w:name w:val="Tabellengitternetz6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4">
    <w:name w:val="Tabellengitternetz7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4">
    <w:name w:val="Tabellengitternetz8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4">
    <w:name w:val="Tabellengitternetz91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4">
    <w:name w:val="Table Grid212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4">
    <w:name w:val="Table Grid312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4">
    <w:name w:val="网格型312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4">
    <w:name w:val="网格型412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4">
    <w:name w:val="Table Grid412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3">
    <w:name w:val="表格格線112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4">
    <w:name w:val="Table Grid62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4">
    <w:name w:val="Table Grid1224"/>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4">
    <w:name w:val="Tabellengitternetz1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4">
    <w:name w:val="Tabellengitternetz2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4">
    <w:name w:val="Tabellengitternetz3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4">
    <w:name w:val="Tabellengitternetz4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4">
    <w:name w:val="Tabellengitternetz5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4">
    <w:name w:val="Tabellengitternetz6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4">
    <w:name w:val="Tabellengitternetz7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4">
    <w:name w:val="Tabellengitternetz8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4">
    <w:name w:val="Tabellengitternetz922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4">
    <w:name w:val="Table Grid222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4">
    <w:name w:val="Table Grid322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4">
    <w:name w:val="网格型322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4">
    <w:name w:val="网格型422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24">
    <w:name w:val="Table Grid422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41">
    <w:name w:val="表格格線122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3">
    <w:name w:val="Table Grid11213"/>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13">
    <w:name w:val="Tabellengitternetz1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3">
    <w:name w:val="Tabellengitternetz2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3">
    <w:name w:val="Tabellengitternetz3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3">
    <w:name w:val="Tabellengitternetz4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3">
    <w:name w:val="Tabellengitternetz5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3">
    <w:name w:val="Tabellengitternetz6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3">
    <w:name w:val="Tabellengitternetz7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3">
    <w:name w:val="Tabellengitternetz8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3">
    <w:name w:val="Tabellengitternetz9111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3">
    <w:name w:val="Table Grid2111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3">
    <w:name w:val="Table Grid3111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3">
    <w:name w:val="网格型3111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3">
    <w:name w:val="网格型4111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3">
    <w:name w:val="Table Grid4111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33">
    <w:name w:val="表格格線1111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
    <w:name w:val="Table Grid9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53">
    <w:name w:val="Tabellengitternetz1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53">
    <w:name w:val="Tabellengitternetz2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53">
    <w:name w:val="Tabellengitternetz3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53">
    <w:name w:val="Tabellengitternetz4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53">
    <w:name w:val="Tabellengitternetz5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53">
    <w:name w:val="Tabellengitternetz6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53">
    <w:name w:val="Tabellengitternetz7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53">
    <w:name w:val="Tabellengitternetz8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53">
    <w:name w:val="Tabellengitternetz95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3">
    <w:name w:val="Table Grid25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3">
    <w:name w:val="Table Grid35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3">
    <w:name w:val="网格型35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3">
    <w:name w:val="网格型45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3">
    <w:name w:val="Table Grid45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0">
    <w:name w:val="表格格線15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3">
    <w:name w:val="Table Grid1143"/>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3">
    <w:name w:val="Table Grid53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3">
    <w:name w:val="Tabellengitternetz1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3">
    <w:name w:val="Tabellengitternetz2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3">
    <w:name w:val="Tabellengitternetz3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3">
    <w:name w:val="Tabellengitternetz4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3">
    <w:name w:val="Tabellengitternetz5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3">
    <w:name w:val="Tabellengitternetz6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3">
    <w:name w:val="Tabellengitternetz7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3">
    <w:name w:val="Tabellengitternetz8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3">
    <w:name w:val="Tabellengitternetz91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3">
    <w:name w:val="Table Grid21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3">
    <w:name w:val="Table Grid313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3">
    <w:name w:val="网格型31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3">
    <w:name w:val="网格型41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33">
    <w:name w:val="Table Grid413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3">
    <w:name w:val="表格格線113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3">
    <w:name w:val="Table Grid63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3">
    <w:name w:val="Table Grid1233"/>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33">
    <w:name w:val="Tabellengitternetz1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33">
    <w:name w:val="Tabellengitternetz2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33">
    <w:name w:val="Tabellengitternetz3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33">
    <w:name w:val="Tabellengitternetz4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33">
    <w:name w:val="Tabellengitternetz5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33">
    <w:name w:val="Tabellengitternetz6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33">
    <w:name w:val="Tabellengitternetz7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33">
    <w:name w:val="Tabellengitternetz8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33">
    <w:name w:val="Tabellengitternetz923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3">
    <w:name w:val="Table Grid22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3">
    <w:name w:val="Table Grid323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3">
    <w:name w:val="网格型32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3">
    <w:name w:val="网格型423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33">
    <w:name w:val="Table Grid423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31">
    <w:name w:val="表格格線123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4">
    <w:name w:val="网格型11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3">
    <w:name w:val="Table Grid11123"/>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网格型213"/>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22">
    <w:name w:val="Table Grid11222"/>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22">
    <w:name w:val="Tabellengitternetz1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22">
    <w:name w:val="Tabellengitternetz2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22">
    <w:name w:val="Tabellengitternetz3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22">
    <w:name w:val="Tabellengitternetz4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22">
    <w:name w:val="Tabellengitternetz5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22">
    <w:name w:val="Tabellengitternetz6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22">
    <w:name w:val="Tabellengitternetz7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22">
    <w:name w:val="Tabellengitternetz8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22">
    <w:name w:val="Tabellengitternetz9112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2">
    <w:name w:val="Table Grid2112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2">
    <w:name w:val="Table Grid31122"/>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2">
    <w:name w:val="网格型3112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2">
    <w:name w:val="网格型4112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22">
    <w:name w:val="Table Grid41122"/>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24">
    <w:name w:val="表格格線11122"/>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0"/>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8">
    <w:name w:val="Table Grid118"/>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9">
    <w:name w:val="Tabellengitternetz1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9">
    <w:name w:val="Tabellengitternetz2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9">
    <w:name w:val="Tabellengitternetz3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9">
    <w:name w:val="Tabellengitternetz4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9">
    <w:name w:val="Tabellengitternetz5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9">
    <w:name w:val="Tabellengitternetz6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9">
    <w:name w:val="Tabellengitternetz7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9">
    <w:name w:val="Tabellengitternetz8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9">
    <w:name w:val="Tabellengitternetz99"/>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
    <w:name w:val="Table Grid29"/>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9">
    <w:name w:val="Table Grid39"/>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网格型39"/>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网格型49"/>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9">
    <w:name w:val="Table Grid49"/>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表格格線19"/>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9">
    <w:name w:val="Table Grid119"/>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7">
    <w:name w:val="Table Grid57"/>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7">
    <w:name w:val="Tabellengitternetz1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7">
    <w:name w:val="Tabellengitternetz2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7">
    <w:name w:val="Tabellengitternetz3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7">
    <w:name w:val="Tabellengitternetz4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7">
    <w:name w:val="Tabellengitternetz5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7">
    <w:name w:val="Tabellengitternetz6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7">
    <w:name w:val="Tabellengitternetz7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7">
    <w:name w:val="Tabellengitternetz8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7">
    <w:name w:val="Tabellengitternetz91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7">
    <w:name w:val="Table Grid217"/>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7">
    <w:name w:val="Table Grid317"/>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7">
    <w:name w:val="网格型317"/>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7">
    <w:name w:val="网格型417"/>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7">
    <w:name w:val="Table Grid417"/>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2">
    <w:name w:val="表格格線117"/>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7">
    <w:name w:val="Table Grid67"/>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7">
    <w:name w:val="Table Grid127"/>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7">
    <w:name w:val="Tabellengitternetz1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7">
    <w:name w:val="Tabellengitternetz2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7">
    <w:name w:val="Tabellengitternetz3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7">
    <w:name w:val="Tabellengitternetz4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7">
    <w:name w:val="Tabellengitternetz5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7">
    <w:name w:val="Tabellengitternetz6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7">
    <w:name w:val="Tabellengitternetz7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7">
    <w:name w:val="Tabellengitternetz8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7">
    <w:name w:val="Tabellengitternetz927"/>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7">
    <w:name w:val="Table Grid227"/>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7">
    <w:name w:val="Table Grid327"/>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7">
    <w:name w:val="网格型327"/>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7">
    <w:name w:val="网格型427"/>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7">
    <w:name w:val="Table Grid427"/>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0">
    <w:name w:val="表格格線127"/>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网格型16"/>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6">
    <w:name w:val="Table Grid1116"/>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网格型2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6">
    <w:name w:val="Table Grid1126"/>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6">
    <w:name w:val="Tabellengitternetz1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6">
    <w:name w:val="Tabellengitternetz2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6">
    <w:name w:val="Tabellengitternetz3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6">
    <w:name w:val="Tabellengitternetz4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6">
    <w:name w:val="Tabellengitternetz5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6">
    <w:name w:val="Tabellengitternetz6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6">
    <w:name w:val="Tabellengitternetz7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6">
    <w:name w:val="Tabellengitternetz8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6">
    <w:name w:val="Tabellengitternetz9116"/>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6">
    <w:name w:val="Table Grid211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6">
    <w:name w:val="Table Grid3116"/>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6">
    <w:name w:val="网格型311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6">
    <w:name w:val="网格型4116"/>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6">
    <w:name w:val="Table Grid4116"/>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2">
    <w:name w:val="表格格線1116"/>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5">
    <w:name w:val="Table Grid135"/>
    <w:basedOn w:val="TableNormal"/>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5">
    <w:name w:val="Tabellengitternetz1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5">
    <w:name w:val="Tabellengitternetz2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5">
    <w:name w:val="Tabellengitternetz3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5">
    <w:name w:val="Tabellengitternetz4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5">
    <w:name w:val="Tabellengitternetz5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5">
    <w:name w:val="Tabellengitternetz6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5">
    <w:name w:val="Tabellengitternetz7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5">
    <w:name w:val="Tabellengitternetz8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5">
    <w:name w:val="Tabellengitternetz93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5">
    <w:name w:val="Table Grid23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5">
    <w:name w:val="Table Grid335"/>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5">
    <w:name w:val="网格型33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5">
    <w:name w:val="网格型43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5">
    <w:name w:val="Table Grid435"/>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0">
    <w:name w:val="表格格線135"/>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5">
    <w:name w:val="Table Grid51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5">
    <w:name w:val="Table Grid61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5">
    <w:name w:val="Table Grid1215"/>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5">
    <w:name w:val="Tabellengitternetz1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5">
    <w:name w:val="Tabellengitternetz2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5">
    <w:name w:val="Tabellengitternetz3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5">
    <w:name w:val="Tabellengitternetz4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5">
    <w:name w:val="Tabellengitternetz5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5">
    <w:name w:val="Tabellengitternetz6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5">
    <w:name w:val="Tabellengitternetz7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5">
    <w:name w:val="Tabellengitternetz8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5">
    <w:name w:val="Tabellengitternetz921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5">
    <w:name w:val="Table Grid221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5">
    <w:name w:val="Table Grid3215"/>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5">
    <w:name w:val="网格型321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5">
    <w:name w:val="网格型421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5">
    <w:name w:val="Table Grid4215"/>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50">
    <w:name w:val="表格格線1215"/>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5">
    <w:name w:val="Table Grid11115"/>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5">
    <w:name w:val="Table Grid8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5">
    <w:name w:val="Table Grid145"/>
    <w:basedOn w:val="TableNormal"/>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5">
    <w:name w:val="Tabellengitternetz1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5">
    <w:name w:val="Tabellengitternetz2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5">
    <w:name w:val="Tabellengitternetz3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5">
    <w:name w:val="Tabellengitternetz4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5">
    <w:name w:val="Tabellengitternetz5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5">
    <w:name w:val="Tabellengitternetz6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5">
    <w:name w:val="Tabellengitternetz7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5">
    <w:name w:val="Tabellengitternetz8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5">
    <w:name w:val="Tabellengitternetz94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5">
    <w:name w:val="Table Grid24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5">
    <w:name w:val="Table Grid345"/>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5">
    <w:name w:val="网格型34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5">
    <w:name w:val="网格型44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5">
    <w:name w:val="Table Grid445"/>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0">
    <w:name w:val="表格格線145"/>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5">
    <w:name w:val="Table Grid52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5">
    <w:name w:val="Table Grid1135"/>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5">
    <w:name w:val="Tabellengitternetz1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5">
    <w:name w:val="Tabellengitternetz2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5">
    <w:name w:val="Tabellengitternetz3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5">
    <w:name w:val="Tabellengitternetz4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5">
    <w:name w:val="Tabellengitternetz5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5">
    <w:name w:val="Tabellengitternetz6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5">
    <w:name w:val="Tabellengitternetz7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5">
    <w:name w:val="Tabellengitternetz8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5">
    <w:name w:val="Tabellengitternetz91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5">
    <w:name w:val="Table Grid212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5">
    <w:name w:val="Table Grid3125"/>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网格型312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5">
    <w:name w:val="网格型412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5">
    <w:name w:val="Table Grid4125"/>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52">
    <w:name w:val="表格格線1125"/>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5">
    <w:name w:val="Table Grid62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5">
    <w:name w:val="Table Grid1225"/>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5">
    <w:name w:val="Tabellengitternetz1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5">
    <w:name w:val="Tabellengitternetz2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5">
    <w:name w:val="Tabellengitternetz3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5">
    <w:name w:val="Tabellengitternetz4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5">
    <w:name w:val="Tabellengitternetz5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5">
    <w:name w:val="Tabellengitternetz6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5">
    <w:name w:val="Tabellengitternetz7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5">
    <w:name w:val="Tabellengitternetz8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5">
    <w:name w:val="Tabellengitternetz9225"/>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5">
    <w:name w:val="Table Grid222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5">
    <w:name w:val="Table Grid3225"/>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5">
    <w:name w:val="网格型322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5">
    <w:name w:val="网格型4225"/>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25">
    <w:name w:val="Table Grid4225"/>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50">
    <w:name w:val="表格格線1225"/>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4">
    <w:name w:val="Table Grid11214"/>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14">
    <w:name w:val="Tabellengitternetz1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4">
    <w:name w:val="Tabellengitternetz2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4">
    <w:name w:val="Tabellengitternetz3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4">
    <w:name w:val="Tabellengitternetz4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4">
    <w:name w:val="Tabellengitternetz5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4">
    <w:name w:val="Tabellengitternetz6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4">
    <w:name w:val="Tabellengitternetz7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4">
    <w:name w:val="Tabellengitternetz8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4">
    <w:name w:val="Tabellengitternetz9111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4">
    <w:name w:val="Table Grid2111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4">
    <w:name w:val="Table Grid3111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4">
    <w:name w:val="网格型3111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4">
    <w:name w:val="网格型4111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4">
    <w:name w:val="Table Grid4111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43">
    <w:name w:val="表格格線1111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5">
    <w:name w:val="Table Grid95"/>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4">
    <w:name w:val="Table Grid154"/>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54">
    <w:name w:val="Tabellengitternetz1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54">
    <w:name w:val="Tabellengitternetz2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54">
    <w:name w:val="Tabellengitternetz3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54">
    <w:name w:val="Tabellengitternetz4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54">
    <w:name w:val="Tabellengitternetz5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54">
    <w:name w:val="Tabellengitternetz6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54">
    <w:name w:val="Tabellengitternetz7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54">
    <w:name w:val="Tabellengitternetz8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54">
    <w:name w:val="Tabellengitternetz95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4">
    <w:name w:val="Table Grid25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4">
    <w:name w:val="Table Grid35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4">
    <w:name w:val="网格型35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4">
    <w:name w:val="网格型45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54">
    <w:name w:val="Table Grid45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0">
    <w:name w:val="表格格線15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4">
    <w:name w:val="Table Grid1144"/>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4">
    <w:name w:val="Table Grid53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4">
    <w:name w:val="Tabellengitternetz1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4">
    <w:name w:val="Tabellengitternetz2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4">
    <w:name w:val="Tabellengitternetz3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4">
    <w:name w:val="Tabellengitternetz4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4">
    <w:name w:val="Tabellengitternetz5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4">
    <w:name w:val="Tabellengitternetz6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4">
    <w:name w:val="Tabellengitternetz7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4">
    <w:name w:val="Tabellengitternetz8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4">
    <w:name w:val="Tabellengitternetz91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4">
    <w:name w:val="Table Grid21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4">
    <w:name w:val="Table Grid313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网格型31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4">
    <w:name w:val="网格型41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34">
    <w:name w:val="Table Grid413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40">
    <w:name w:val="表格格線113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4">
    <w:name w:val="Table Grid63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4">
    <w:name w:val="Table Grid1234"/>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34">
    <w:name w:val="Tabellengitternetz1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34">
    <w:name w:val="Tabellengitternetz2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34">
    <w:name w:val="Tabellengitternetz3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34">
    <w:name w:val="Tabellengitternetz4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34">
    <w:name w:val="Tabellengitternetz5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34">
    <w:name w:val="Tabellengitternetz6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34">
    <w:name w:val="Tabellengitternetz7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34">
    <w:name w:val="Tabellengitternetz8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34">
    <w:name w:val="Tabellengitternetz9234"/>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4">
    <w:name w:val="Table Grid22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4">
    <w:name w:val="Table Grid3234"/>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4">
    <w:name w:val="网格型32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4">
    <w:name w:val="网格型4234"/>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34">
    <w:name w:val="Table Grid4234"/>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40">
    <w:name w:val="表格格線1234"/>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网格型11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4">
    <w:name w:val="Table Grid11124"/>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网格型214"/>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23">
    <w:name w:val="Table Grid11223"/>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23">
    <w:name w:val="Tabellengitternetz1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23">
    <w:name w:val="Tabellengitternetz2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23">
    <w:name w:val="Tabellengitternetz3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23">
    <w:name w:val="Tabellengitternetz4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23">
    <w:name w:val="Tabellengitternetz5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23">
    <w:name w:val="Tabellengitternetz6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23">
    <w:name w:val="Tabellengitternetz7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23">
    <w:name w:val="Tabellengitternetz8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23">
    <w:name w:val="Tabellengitternetz91123"/>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3">
    <w:name w:val="Table Grid211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3">
    <w:name w:val="Table Grid31123"/>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3">
    <w:name w:val="网格型311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3">
    <w:name w:val="网格型41123"/>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23">
    <w:name w:val="Table Grid41123"/>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33">
    <w:name w:val="表格格線11123"/>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
    <w:name w:val="副標題1"/>
    <w:basedOn w:val="Normal"/>
    <w:next w:val="Normal"/>
    <w:uiPriority w:val="11"/>
    <w:qFormat/>
    <w:rsid w:val="003A71DE"/>
    <w:pPr>
      <w:spacing w:before="240" w:after="60" w:line="312" w:lineRule="auto"/>
      <w:jc w:val="center"/>
      <w:textAlignment w:val="auto"/>
      <w:outlineLvl w:val="1"/>
    </w:pPr>
    <w:rPr>
      <w:rFonts w:ascii="Calibri Light" w:eastAsia="SimSun" w:hAnsi="Calibri Light"/>
      <w:b/>
      <w:bCs/>
      <w:kern w:val="28"/>
      <w:sz w:val="32"/>
      <w:szCs w:val="32"/>
      <w:lang w:eastAsia="ko-KR"/>
    </w:rPr>
  </w:style>
  <w:style w:type="paragraph" w:customStyle="1" w:styleId="1f0">
    <w:name w:val="鮮明引文1"/>
    <w:basedOn w:val="Normal"/>
    <w:next w:val="Normal"/>
    <w:uiPriority w:val="30"/>
    <w:qFormat/>
    <w:rsid w:val="003A71DE"/>
    <w:pPr>
      <w:pBdr>
        <w:top w:val="single" w:sz="4" w:space="10" w:color="5B9BD5"/>
        <w:bottom w:val="single" w:sz="4" w:space="10" w:color="5B9BD5"/>
      </w:pBdr>
      <w:overflowPunct/>
      <w:autoSpaceDE/>
      <w:autoSpaceDN/>
      <w:adjustRightInd/>
      <w:spacing w:before="360" w:after="360"/>
      <w:ind w:left="864" w:right="864"/>
      <w:jc w:val="center"/>
      <w:textAlignment w:val="auto"/>
    </w:pPr>
    <w:rPr>
      <w:rFonts w:eastAsia="SimSun"/>
      <w:i/>
      <w:iCs/>
      <w:color w:val="5B9BD5"/>
      <w:lang w:eastAsia="en-US"/>
    </w:rPr>
  </w:style>
  <w:style w:type="character" w:customStyle="1" w:styleId="Char20">
    <w:name w:val="副标题 Char2"/>
    <w:uiPriority w:val="11"/>
    <w:rsid w:val="003A71DE"/>
    <w:rPr>
      <w:rFonts w:ascii="Cambria" w:hAnsi="Cambria" w:cs="Times New Roman" w:hint="default"/>
      <w:b/>
      <w:bCs/>
      <w:kern w:val="28"/>
      <w:sz w:val="32"/>
      <w:szCs w:val="32"/>
      <w:lang w:val="en-GB" w:eastAsia="en-US"/>
    </w:rPr>
  </w:style>
  <w:style w:type="character" w:customStyle="1" w:styleId="1f1">
    <w:name w:val="副標題 字元1"/>
    <w:rsid w:val="003A71DE"/>
    <w:rPr>
      <w:rFonts w:ascii="Calibri" w:eastAsia="SimSun" w:hAnsi="Calibri" w:cs="Times New Roman" w:hint="default"/>
      <w:color w:val="5A5A5A"/>
      <w:spacing w:val="15"/>
      <w:sz w:val="22"/>
      <w:szCs w:val="22"/>
      <w:lang w:val="en-GB" w:eastAsia="en-US"/>
    </w:rPr>
  </w:style>
  <w:style w:type="character" w:customStyle="1" w:styleId="1f2">
    <w:name w:val="鮮明引文 字元1"/>
    <w:uiPriority w:val="30"/>
    <w:rsid w:val="003A71DE"/>
    <w:rPr>
      <w:rFonts w:ascii="Times New Roman" w:hAnsi="Times New Roman" w:cs="Times New Roman" w:hint="default"/>
      <w:i/>
      <w:iCs/>
      <w:color w:val="4F81BD"/>
      <w:lang w:val="en-GB" w:eastAsia="en-US"/>
    </w:rPr>
  </w:style>
  <w:style w:type="table" w:customStyle="1" w:styleId="TableGrid1312">
    <w:name w:val="Table Grid1312"/>
    <w:basedOn w:val="TableNormal"/>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12">
    <w:name w:val="Tabellengitternetz1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12">
    <w:name w:val="Tabellengitternetz2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12">
    <w:name w:val="Tabellengitternetz3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12">
    <w:name w:val="Tabellengitternetz4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12">
    <w:name w:val="Tabellengitternetz5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12">
    <w:name w:val="Tabellengitternetz6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12">
    <w:name w:val="Tabellengitternetz7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12">
    <w:name w:val="Tabellengitternetz8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12">
    <w:name w:val="Tabellengitternetz93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12">
    <w:name w:val="Table Grid23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2">
    <w:name w:val="Table Grid3312"/>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2">
    <w:name w:val="网格型33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2">
    <w:name w:val="网格型43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12">
    <w:name w:val="Table Grid4312"/>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3">
    <w:name w:val="表格格線1312"/>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2">
    <w:name w:val="Table Grid511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12">
    <w:name w:val="Table Grid611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12">
    <w:name w:val="Table Grid12112"/>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12">
    <w:name w:val="Tabellengitternetz1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12">
    <w:name w:val="Tabellengitternetz2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12">
    <w:name w:val="Tabellengitternetz3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12">
    <w:name w:val="Tabellengitternetz4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12">
    <w:name w:val="Tabellengitternetz5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12">
    <w:name w:val="Tabellengitternetz6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12">
    <w:name w:val="Tabellengitternetz7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12">
    <w:name w:val="Tabellengitternetz8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12">
    <w:name w:val="Tabellengitternetz921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12">
    <w:name w:val="Table Grid221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12">
    <w:name w:val="Table Grid32112"/>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2">
    <w:name w:val="网格型321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2">
    <w:name w:val="网格型421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112">
    <w:name w:val="Table Grid42112"/>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23">
    <w:name w:val="表格格線12112"/>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2">
    <w:name w:val="Table Grid111112"/>
    <w:basedOn w:val="TableNormal"/>
    <w:uiPriority w:val="39"/>
    <w:rsid w:val="003A71DE"/>
    <w:pPr>
      <w:spacing w:after="0" w:line="240" w:lineRule="auto"/>
    </w:pPr>
    <w:rPr>
      <w:rFonts w:ascii="Calibri" w:eastAsia="SimSun" w:hAnsi="Calibri" w:cs="Times New Roman"/>
      <w:lang w:val="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2">
    <w:name w:val="Table Grid81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2">
    <w:name w:val="Table Grid1412"/>
    <w:basedOn w:val="TableNormal"/>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12">
    <w:name w:val="Tabellengitternetz1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12">
    <w:name w:val="Tabellengitternetz2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12">
    <w:name w:val="Tabellengitternetz3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12">
    <w:name w:val="Tabellengitternetz4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12">
    <w:name w:val="Tabellengitternetz5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12">
    <w:name w:val="Tabellengitternetz6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12">
    <w:name w:val="Tabellengitternetz7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12">
    <w:name w:val="Tabellengitternetz8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12">
    <w:name w:val="Tabellengitternetz94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12">
    <w:name w:val="Table Grid24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2">
    <w:name w:val="Table Grid3412"/>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2">
    <w:name w:val="网格型34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2">
    <w:name w:val="网格型44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12">
    <w:name w:val="Table Grid4412"/>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1">
    <w:name w:val="表格格線1412"/>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12">
    <w:name w:val="Table Grid521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12">
    <w:name w:val="Table Grid11312"/>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12">
    <w:name w:val="Tabellengitternetz1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12">
    <w:name w:val="Tabellengitternetz2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12">
    <w:name w:val="Tabellengitternetz3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12">
    <w:name w:val="Tabellengitternetz4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12">
    <w:name w:val="Tabellengitternetz5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12">
    <w:name w:val="Tabellengitternetz6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12">
    <w:name w:val="Tabellengitternetz7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12">
    <w:name w:val="Tabellengitternetz8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12">
    <w:name w:val="Tabellengitternetz91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12">
    <w:name w:val="Table Grid212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2">
    <w:name w:val="Table Grid31212"/>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2">
    <w:name w:val="网格型312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2">
    <w:name w:val="网格型412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12">
    <w:name w:val="Table Grid41212"/>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3">
    <w:name w:val="表格格線11212"/>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12">
    <w:name w:val="Table Grid621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12">
    <w:name w:val="Table Grid12212"/>
    <w:basedOn w:val="TableNormal"/>
    <w:uiPriority w:val="39"/>
    <w:rsid w:val="003A71DE"/>
    <w:pPr>
      <w:spacing w:after="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12">
    <w:name w:val="Tabellengitternetz1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12">
    <w:name w:val="Tabellengitternetz2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12">
    <w:name w:val="Tabellengitternetz3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12">
    <w:name w:val="Tabellengitternetz4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12">
    <w:name w:val="Tabellengitternetz5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12">
    <w:name w:val="Tabellengitternetz6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12">
    <w:name w:val="Tabellengitternetz7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12">
    <w:name w:val="Tabellengitternetz8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12">
    <w:name w:val="Tabellengitternetz92212"/>
    <w:basedOn w:val="TableNormal"/>
    <w:rsid w:val="003A71DE"/>
    <w:pPr>
      <w:spacing w:after="0" w:line="240" w:lineRule="auto"/>
    </w:pPr>
    <w:rPr>
      <w:rFonts w:ascii="Times New Roman" w:eastAsia="Malgun Gothic"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12">
    <w:name w:val="Table Grid222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12">
    <w:name w:val="Table Grid32212"/>
    <w:basedOn w:val="TableNormal"/>
    <w:rsid w:val="003A71DE"/>
    <w:pPr>
      <w:overflowPunct w:val="0"/>
      <w:autoSpaceDE w:val="0"/>
      <w:autoSpaceDN w:val="0"/>
      <w:adjustRightInd w:val="0"/>
      <w:spacing w:after="180" w:line="240" w:lineRule="auto"/>
    </w:pPr>
    <w:rPr>
      <w:rFonts w:ascii="Times New Roman" w:eastAsia="MS Mincho"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12">
    <w:name w:val="网格型322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2">
    <w:name w:val="网格型42212"/>
    <w:basedOn w:val="TableNormal"/>
    <w:rsid w:val="003A71DE"/>
    <w:pPr>
      <w:overflowPunct w:val="0"/>
      <w:autoSpaceDE w:val="0"/>
      <w:autoSpaceDN w:val="0"/>
      <w:adjustRightInd w:val="0"/>
      <w:spacing w:after="180" w:line="240" w:lineRule="auto"/>
    </w:pPr>
    <w:rPr>
      <w:rFonts w:ascii="Times New Roman" w:eastAsia="SimSun" w:hAnsi="Times New Roman" w:cs="Times New Roman"/>
      <w:sz w:val="20"/>
      <w:szCs w:val="20"/>
      <w:lang w:val="en-GB"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212">
    <w:name w:val="Table Grid42212"/>
    <w:basedOn w:val="TableNormal"/>
    <w:rsid w:val="003A71DE"/>
    <w:pPr>
      <w:spacing w:after="0" w:line="240" w:lineRule="auto"/>
    </w:pPr>
    <w:rPr>
      <w:rFonts w:ascii="Times New Roman" w:eastAsia="Malgun Gothic" w:hAnsi="Times New Roma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23">
    <w:name w:val="表格格線12212"/>
    <w:basedOn w:val="TableNormal"/>
    <w:rsid w:val="003A71DE"/>
    <w:pPr>
      <w:spacing w:after="0" w:line="240" w:lineRule="auto"/>
    </w:pPr>
    <w:rPr>
      <w:rFonts w:ascii="Times New Roman" w:eastAsia="Malgun Gothic" w:hAnsi="Times New Roman" w:cs="Times New Roman"/>
      <w:sz w:val="20"/>
      <w:szCs w:val="20"/>
      <w:lang w:val="fr-FR" w:eastAsia="zh-TW"/>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网格型5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6">
    <w:name w:val="网格型122"/>
    <w:basedOn w:val="TableNormal"/>
    <w:rsid w:val="003A71DE"/>
    <w:pPr>
      <w:spacing w:after="180" w:line="240" w:lineRule="auto"/>
    </w:pPr>
    <w:rPr>
      <w:rFonts w:ascii="Tms Rmn" w:eastAsia="MS Mincho" w:hAnsi="Tms Rmn" w:cs="Times New Roman"/>
      <w:sz w:val="20"/>
      <w:szCs w:val="20"/>
      <w:lang w:val="en-GB" w:eastAsia="ko-K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7">
    <w:name w:val="修订21"/>
    <w:semiHidden/>
    <w:rsid w:val="003A71DE"/>
    <w:pPr>
      <w:spacing w:after="0" w:line="240" w:lineRule="auto"/>
    </w:pPr>
    <w:rPr>
      <w:rFonts w:ascii="Times New Roman" w:eastAsia="Batang" w:hAnsi="Times New Roman" w:cs="Times New Roman"/>
      <w:sz w:val="20"/>
      <w:szCs w:val="20"/>
      <w:lang w:val="en-GB"/>
    </w:rPr>
  </w:style>
  <w:style w:type="numbering" w:customStyle="1" w:styleId="NoList10">
    <w:name w:val="No List10"/>
    <w:next w:val="NoList"/>
    <w:uiPriority w:val="99"/>
    <w:semiHidden/>
    <w:unhideWhenUsed/>
    <w:rsid w:val="003A71DE"/>
  </w:style>
  <w:style w:type="numbering" w:customStyle="1" w:styleId="NoList64">
    <w:name w:val="No List64"/>
    <w:next w:val="NoList"/>
    <w:uiPriority w:val="99"/>
    <w:semiHidden/>
    <w:unhideWhenUsed/>
    <w:rsid w:val="003A71DE"/>
  </w:style>
  <w:style w:type="numbering" w:customStyle="1" w:styleId="NoList144">
    <w:name w:val="No List144"/>
    <w:next w:val="NoList"/>
    <w:uiPriority w:val="99"/>
    <w:semiHidden/>
    <w:unhideWhenUsed/>
    <w:rsid w:val="003A71DE"/>
  </w:style>
  <w:style w:type="numbering" w:customStyle="1" w:styleId="1344">
    <w:name w:val="リストなし134"/>
    <w:next w:val="NoList"/>
    <w:uiPriority w:val="99"/>
    <w:semiHidden/>
    <w:unhideWhenUsed/>
    <w:rsid w:val="003A71DE"/>
  </w:style>
  <w:style w:type="numbering" w:customStyle="1" w:styleId="NoList234">
    <w:name w:val="No List234"/>
    <w:next w:val="NoList"/>
    <w:semiHidden/>
    <w:rsid w:val="003A71DE"/>
  </w:style>
  <w:style w:type="numbering" w:customStyle="1" w:styleId="NoList334">
    <w:name w:val="No List334"/>
    <w:next w:val="NoList"/>
    <w:uiPriority w:val="99"/>
    <w:semiHidden/>
    <w:rsid w:val="003A71DE"/>
  </w:style>
  <w:style w:type="numbering" w:customStyle="1" w:styleId="1441">
    <w:name w:val="無清單144"/>
    <w:next w:val="NoList"/>
    <w:uiPriority w:val="99"/>
    <w:semiHidden/>
    <w:unhideWhenUsed/>
    <w:rsid w:val="003A71DE"/>
  </w:style>
  <w:style w:type="numbering" w:customStyle="1" w:styleId="11341">
    <w:name w:val="無清單1134"/>
    <w:next w:val="NoList"/>
    <w:uiPriority w:val="99"/>
    <w:semiHidden/>
    <w:unhideWhenUsed/>
    <w:rsid w:val="003A71DE"/>
  </w:style>
  <w:style w:type="numbering" w:customStyle="1" w:styleId="NoList1234">
    <w:name w:val="No List1234"/>
    <w:next w:val="NoList"/>
    <w:uiPriority w:val="99"/>
    <w:semiHidden/>
    <w:unhideWhenUsed/>
    <w:rsid w:val="003A71DE"/>
  </w:style>
  <w:style w:type="numbering" w:customStyle="1" w:styleId="11342">
    <w:name w:val="リストなし1134"/>
    <w:next w:val="NoList"/>
    <w:uiPriority w:val="99"/>
    <w:semiHidden/>
    <w:unhideWhenUsed/>
    <w:rsid w:val="003A71DE"/>
  </w:style>
  <w:style w:type="numbering" w:customStyle="1" w:styleId="11343">
    <w:name w:val="无列表1134"/>
    <w:next w:val="NoList"/>
    <w:semiHidden/>
    <w:rsid w:val="003A71DE"/>
  </w:style>
  <w:style w:type="numbering" w:customStyle="1" w:styleId="NoList2134">
    <w:name w:val="No List2134"/>
    <w:next w:val="NoList"/>
    <w:semiHidden/>
    <w:rsid w:val="003A71DE"/>
  </w:style>
  <w:style w:type="numbering" w:customStyle="1" w:styleId="NoList3134">
    <w:name w:val="No List3134"/>
    <w:next w:val="NoList"/>
    <w:uiPriority w:val="99"/>
    <w:semiHidden/>
    <w:rsid w:val="003A71DE"/>
  </w:style>
  <w:style w:type="numbering" w:customStyle="1" w:styleId="NoList11134">
    <w:name w:val="No List11134"/>
    <w:next w:val="NoList"/>
    <w:uiPriority w:val="99"/>
    <w:semiHidden/>
    <w:unhideWhenUsed/>
    <w:rsid w:val="003A71DE"/>
  </w:style>
  <w:style w:type="numbering" w:customStyle="1" w:styleId="12341">
    <w:name w:val="無清單1234"/>
    <w:next w:val="NoList"/>
    <w:uiPriority w:val="99"/>
    <w:semiHidden/>
    <w:unhideWhenUsed/>
    <w:rsid w:val="003A71DE"/>
  </w:style>
  <w:style w:type="numbering" w:customStyle="1" w:styleId="11134">
    <w:name w:val="無清單11134"/>
    <w:next w:val="NoList"/>
    <w:uiPriority w:val="99"/>
    <w:semiHidden/>
    <w:unhideWhenUsed/>
    <w:rsid w:val="003A71DE"/>
  </w:style>
  <w:style w:type="numbering" w:customStyle="1" w:styleId="NoList514">
    <w:name w:val="No List514"/>
    <w:next w:val="NoList"/>
    <w:uiPriority w:val="99"/>
    <w:semiHidden/>
    <w:unhideWhenUsed/>
    <w:rsid w:val="003A71DE"/>
  </w:style>
  <w:style w:type="numbering" w:customStyle="1" w:styleId="340">
    <w:name w:val="无列表34"/>
    <w:next w:val="NoList"/>
    <w:uiPriority w:val="99"/>
    <w:semiHidden/>
    <w:unhideWhenUsed/>
    <w:rsid w:val="003A71DE"/>
  </w:style>
  <w:style w:type="numbering" w:customStyle="1" w:styleId="13140">
    <w:name w:val="无列表1314"/>
    <w:next w:val="NoList"/>
    <w:semiHidden/>
    <w:rsid w:val="003A71DE"/>
  </w:style>
  <w:style w:type="numbering" w:customStyle="1" w:styleId="NoList11313">
    <w:name w:val="No List11313"/>
    <w:next w:val="NoList"/>
    <w:uiPriority w:val="99"/>
    <w:semiHidden/>
    <w:unhideWhenUsed/>
    <w:rsid w:val="003A71DE"/>
  </w:style>
  <w:style w:type="numbering" w:customStyle="1" w:styleId="NoList4114">
    <w:name w:val="No List4114"/>
    <w:next w:val="NoList"/>
    <w:uiPriority w:val="99"/>
    <w:semiHidden/>
    <w:unhideWhenUsed/>
    <w:rsid w:val="003A71DE"/>
  </w:style>
  <w:style w:type="numbering" w:customStyle="1" w:styleId="2214">
    <w:name w:val="无列表2214"/>
    <w:next w:val="NoList"/>
    <w:uiPriority w:val="99"/>
    <w:semiHidden/>
    <w:unhideWhenUsed/>
    <w:rsid w:val="003A71DE"/>
  </w:style>
  <w:style w:type="numbering" w:customStyle="1" w:styleId="NoList121114">
    <w:name w:val="No List121114"/>
    <w:next w:val="NoList"/>
    <w:uiPriority w:val="99"/>
    <w:semiHidden/>
    <w:unhideWhenUsed/>
    <w:rsid w:val="003A71DE"/>
  </w:style>
  <w:style w:type="numbering" w:customStyle="1" w:styleId="1111141">
    <w:name w:val="リストなし111114"/>
    <w:next w:val="NoList"/>
    <w:uiPriority w:val="99"/>
    <w:semiHidden/>
    <w:unhideWhenUsed/>
    <w:rsid w:val="003A71DE"/>
  </w:style>
  <w:style w:type="numbering" w:customStyle="1" w:styleId="1111142">
    <w:name w:val="无列表111114"/>
    <w:next w:val="NoList"/>
    <w:semiHidden/>
    <w:rsid w:val="003A71DE"/>
  </w:style>
  <w:style w:type="numbering" w:customStyle="1" w:styleId="NoList211114">
    <w:name w:val="No List211114"/>
    <w:next w:val="NoList"/>
    <w:semiHidden/>
    <w:rsid w:val="003A71DE"/>
  </w:style>
  <w:style w:type="numbering" w:customStyle="1" w:styleId="NoList311114">
    <w:name w:val="No List311114"/>
    <w:next w:val="NoList"/>
    <w:uiPriority w:val="99"/>
    <w:semiHidden/>
    <w:rsid w:val="003A71DE"/>
  </w:style>
  <w:style w:type="numbering" w:customStyle="1" w:styleId="NoList1111114">
    <w:name w:val="No List1111114"/>
    <w:next w:val="NoList"/>
    <w:uiPriority w:val="99"/>
    <w:semiHidden/>
    <w:unhideWhenUsed/>
    <w:rsid w:val="003A71DE"/>
  </w:style>
  <w:style w:type="numbering" w:customStyle="1" w:styleId="1211140">
    <w:name w:val="無清單121114"/>
    <w:next w:val="NoList"/>
    <w:uiPriority w:val="99"/>
    <w:semiHidden/>
    <w:unhideWhenUsed/>
    <w:rsid w:val="003A71DE"/>
  </w:style>
  <w:style w:type="numbering" w:customStyle="1" w:styleId="1111114">
    <w:name w:val="無清單1111114"/>
    <w:next w:val="NoList"/>
    <w:uiPriority w:val="99"/>
    <w:semiHidden/>
    <w:unhideWhenUsed/>
    <w:rsid w:val="003A71DE"/>
  </w:style>
  <w:style w:type="numbering" w:customStyle="1" w:styleId="NoList13114">
    <w:name w:val="No List13114"/>
    <w:next w:val="NoList"/>
    <w:uiPriority w:val="99"/>
    <w:semiHidden/>
    <w:unhideWhenUsed/>
    <w:rsid w:val="003A71DE"/>
  </w:style>
  <w:style w:type="numbering" w:customStyle="1" w:styleId="121140">
    <w:name w:val="リストなし12114"/>
    <w:next w:val="NoList"/>
    <w:uiPriority w:val="99"/>
    <w:semiHidden/>
    <w:unhideWhenUsed/>
    <w:rsid w:val="003A71DE"/>
  </w:style>
  <w:style w:type="numbering" w:customStyle="1" w:styleId="121141">
    <w:name w:val="无列表12114"/>
    <w:next w:val="NoList"/>
    <w:semiHidden/>
    <w:rsid w:val="003A71DE"/>
  </w:style>
  <w:style w:type="numbering" w:customStyle="1" w:styleId="NoList22114">
    <w:name w:val="No List22114"/>
    <w:next w:val="NoList"/>
    <w:semiHidden/>
    <w:rsid w:val="003A71DE"/>
  </w:style>
  <w:style w:type="numbering" w:customStyle="1" w:styleId="NoList32114">
    <w:name w:val="No List32114"/>
    <w:next w:val="NoList"/>
    <w:uiPriority w:val="99"/>
    <w:semiHidden/>
    <w:rsid w:val="003A71DE"/>
  </w:style>
  <w:style w:type="numbering" w:customStyle="1" w:styleId="NoList112114">
    <w:name w:val="No List112114"/>
    <w:next w:val="NoList"/>
    <w:uiPriority w:val="99"/>
    <w:semiHidden/>
    <w:unhideWhenUsed/>
    <w:rsid w:val="003A71DE"/>
  </w:style>
  <w:style w:type="numbering" w:customStyle="1" w:styleId="131140">
    <w:name w:val="無清單13114"/>
    <w:next w:val="NoList"/>
    <w:uiPriority w:val="99"/>
    <w:semiHidden/>
    <w:unhideWhenUsed/>
    <w:rsid w:val="003A71DE"/>
  </w:style>
  <w:style w:type="numbering" w:customStyle="1" w:styleId="1121140">
    <w:name w:val="無清單112114"/>
    <w:next w:val="NoList"/>
    <w:uiPriority w:val="99"/>
    <w:semiHidden/>
    <w:unhideWhenUsed/>
    <w:rsid w:val="003A71DE"/>
  </w:style>
  <w:style w:type="numbering" w:customStyle="1" w:styleId="21114">
    <w:name w:val="无列表21114"/>
    <w:next w:val="NoList"/>
    <w:uiPriority w:val="99"/>
    <w:semiHidden/>
    <w:unhideWhenUsed/>
    <w:rsid w:val="003A71DE"/>
  </w:style>
  <w:style w:type="numbering" w:customStyle="1" w:styleId="NoList122114">
    <w:name w:val="No List122114"/>
    <w:next w:val="NoList"/>
    <w:uiPriority w:val="99"/>
    <w:semiHidden/>
    <w:unhideWhenUsed/>
    <w:rsid w:val="003A71DE"/>
  </w:style>
  <w:style w:type="numbering" w:customStyle="1" w:styleId="1121141">
    <w:name w:val="リストなし112114"/>
    <w:next w:val="NoList"/>
    <w:uiPriority w:val="99"/>
    <w:semiHidden/>
    <w:unhideWhenUsed/>
    <w:rsid w:val="003A71DE"/>
  </w:style>
  <w:style w:type="numbering" w:customStyle="1" w:styleId="1121142">
    <w:name w:val="无列表112114"/>
    <w:next w:val="NoList"/>
    <w:semiHidden/>
    <w:rsid w:val="003A71DE"/>
  </w:style>
  <w:style w:type="numbering" w:customStyle="1" w:styleId="NoList212114">
    <w:name w:val="No List212114"/>
    <w:next w:val="NoList"/>
    <w:semiHidden/>
    <w:rsid w:val="003A71DE"/>
  </w:style>
  <w:style w:type="numbering" w:customStyle="1" w:styleId="NoList312114">
    <w:name w:val="No List312114"/>
    <w:next w:val="NoList"/>
    <w:uiPriority w:val="99"/>
    <w:semiHidden/>
    <w:rsid w:val="003A71DE"/>
  </w:style>
  <w:style w:type="numbering" w:customStyle="1" w:styleId="NoList1112114">
    <w:name w:val="No List1112114"/>
    <w:next w:val="NoList"/>
    <w:uiPriority w:val="99"/>
    <w:semiHidden/>
    <w:unhideWhenUsed/>
    <w:rsid w:val="003A71DE"/>
  </w:style>
  <w:style w:type="numbering" w:customStyle="1" w:styleId="1221140">
    <w:name w:val="無清單122114"/>
    <w:next w:val="NoList"/>
    <w:uiPriority w:val="99"/>
    <w:semiHidden/>
    <w:unhideWhenUsed/>
    <w:rsid w:val="003A71DE"/>
  </w:style>
  <w:style w:type="numbering" w:customStyle="1" w:styleId="11121140">
    <w:name w:val="無清單1112114"/>
    <w:next w:val="NoList"/>
    <w:uiPriority w:val="99"/>
    <w:semiHidden/>
    <w:unhideWhenUsed/>
    <w:rsid w:val="003A71DE"/>
  </w:style>
  <w:style w:type="numbering" w:customStyle="1" w:styleId="NoList5113">
    <w:name w:val="No List5113"/>
    <w:next w:val="NoList"/>
    <w:uiPriority w:val="99"/>
    <w:semiHidden/>
    <w:unhideWhenUsed/>
    <w:rsid w:val="003A71DE"/>
  </w:style>
  <w:style w:type="numbering" w:customStyle="1" w:styleId="NoList613">
    <w:name w:val="No List613"/>
    <w:next w:val="NoList"/>
    <w:uiPriority w:val="99"/>
    <w:semiHidden/>
    <w:unhideWhenUsed/>
    <w:rsid w:val="003A71DE"/>
  </w:style>
  <w:style w:type="numbering" w:customStyle="1" w:styleId="NoList1413">
    <w:name w:val="No List1413"/>
    <w:next w:val="NoList"/>
    <w:uiPriority w:val="99"/>
    <w:semiHidden/>
    <w:unhideWhenUsed/>
    <w:rsid w:val="003A71DE"/>
  </w:style>
  <w:style w:type="numbering" w:customStyle="1" w:styleId="13132">
    <w:name w:val="リストなし1313"/>
    <w:next w:val="NoList"/>
    <w:uiPriority w:val="99"/>
    <w:semiHidden/>
    <w:unhideWhenUsed/>
    <w:rsid w:val="003A71DE"/>
  </w:style>
  <w:style w:type="numbering" w:customStyle="1" w:styleId="NoList2313">
    <w:name w:val="No List2313"/>
    <w:next w:val="NoList"/>
    <w:semiHidden/>
    <w:rsid w:val="003A71DE"/>
  </w:style>
  <w:style w:type="numbering" w:customStyle="1" w:styleId="NoList3313">
    <w:name w:val="No List3313"/>
    <w:next w:val="NoList"/>
    <w:uiPriority w:val="99"/>
    <w:semiHidden/>
    <w:rsid w:val="003A71DE"/>
  </w:style>
  <w:style w:type="numbering" w:customStyle="1" w:styleId="NoList1143">
    <w:name w:val="No List1143"/>
    <w:next w:val="NoList"/>
    <w:uiPriority w:val="99"/>
    <w:semiHidden/>
    <w:unhideWhenUsed/>
    <w:rsid w:val="003A71DE"/>
  </w:style>
  <w:style w:type="numbering" w:customStyle="1" w:styleId="14130">
    <w:name w:val="無清單1413"/>
    <w:next w:val="NoList"/>
    <w:uiPriority w:val="99"/>
    <w:semiHidden/>
    <w:unhideWhenUsed/>
    <w:rsid w:val="003A71DE"/>
  </w:style>
  <w:style w:type="numbering" w:customStyle="1" w:styleId="113130">
    <w:name w:val="無清單11313"/>
    <w:next w:val="NoList"/>
    <w:uiPriority w:val="99"/>
    <w:semiHidden/>
    <w:unhideWhenUsed/>
    <w:rsid w:val="003A71DE"/>
  </w:style>
  <w:style w:type="numbering" w:customStyle="1" w:styleId="NoList423">
    <w:name w:val="No List423"/>
    <w:next w:val="NoList"/>
    <w:uiPriority w:val="99"/>
    <w:semiHidden/>
    <w:unhideWhenUsed/>
    <w:rsid w:val="003A71DE"/>
  </w:style>
  <w:style w:type="numbering" w:customStyle="1" w:styleId="NoList12313">
    <w:name w:val="No List12313"/>
    <w:next w:val="NoList"/>
    <w:uiPriority w:val="99"/>
    <w:semiHidden/>
    <w:unhideWhenUsed/>
    <w:rsid w:val="003A71DE"/>
  </w:style>
  <w:style w:type="numbering" w:customStyle="1" w:styleId="113131">
    <w:name w:val="リストなし11313"/>
    <w:next w:val="NoList"/>
    <w:uiPriority w:val="99"/>
    <w:semiHidden/>
    <w:unhideWhenUsed/>
    <w:rsid w:val="003A71DE"/>
  </w:style>
  <w:style w:type="numbering" w:customStyle="1" w:styleId="113132">
    <w:name w:val="无列表11313"/>
    <w:next w:val="NoList"/>
    <w:semiHidden/>
    <w:rsid w:val="003A71DE"/>
  </w:style>
  <w:style w:type="numbering" w:customStyle="1" w:styleId="NoList21313">
    <w:name w:val="No List21313"/>
    <w:next w:val="NoList"/>
    <w:semiHidden/>
    <w:rsid w:val="003A71DE"/>
  </w:style>
  <w:style w:type="numbering" w:customStyle="1" w:styleId="NoList31313">
    <w:name w:val="No List31313"/>
    <w:next w:val="NoList"/>
    <w:uiPriority w:val="99"/>
    <w:semiHidden/>
    <w:rsid w:val="003A71DE"/>
  </w:style>
  <w:style w:type="numbering" w:customStyle="1" w:styleId="NoList111313">
    <w:name w:val="No List111313"/>
    <w:next w:val="NoList"/>
    <w:uiPriority w:val="99"/>
    <w:semiHidden/>
    <w:unhideWhenUsed/>
    <w:rsid w:val="003A71DE"/>
  </w:style>
  <w:style w:type="numbering" w:customStyle="1" w:styleId="123130">
    <w:name w:val="無清單12313"/>
    <w:next w:val="NoList"/>
    <w:uiPriority w:val="99"/>
    <w:semiHidden/>
    <w:unhideWhenUsed/>
    <w:rsid w:val="003A71DE"/>
  </w:style>
  <w:style w:type="numbering" w:customStyle="1" w:styleId="111313">
    <w:name w:val="無清單111313"/>
    <w:next w:val="NoList"/>
    <w:uiPriority w:val="99"/>
    <w:semiHidden/>
    <w:unhideWhenUsed/>
    <w:rsid w:val="003A71DE"/>
  </w:style>
  <w:style w:type="numbering" w:customStyle="1" w:styleId="NoList12123">
    <w:name w:val="No List12123"/>
    <w:next w:val="NoList"/>
    <w:uiPriority w:val="99"/>
    <w:semiHidden/>
    <w:unhideWhenUsed/>
    <w:rsid w:val="003A71DE"/>
  </w:style>
  <w:style w:type="numbering" w:customStyle="1" w:styleId="111234">
    <w:name w:val="リストなし11123"/>
    <w:next w:val="NoList"/>
    <w:uiPriority w:val="99"/>
    <w:semiHidden/>
    <w:unhideWhenUsed/>
    <w:rsid w:val="003A71DE"/>
  </w:style>
  <w:style w:type="numbering" w:customStyle="1" w:styleId="111235">
    <w:name w:val="无列表11123"/>
    <w:next w:val="NoList"/>
    <w:semiHidden/>
    <w:rsid w:val="003A71DE"/>
  </w:style>
  <w:style w:type="numbering" w:customStyle="1" w:styleId="NoList21123">
    <w:name w:val="No List21123"/>
    <w:next w:val="NoList"/>
    <w:semiHidden/>
    <w:rsid w:val="003A71DE"/>
  </w:style>
  <w:style w:type="numbering" w:customStyle="1" w:styleId="NoList31123">
    <w:name w:val="No List31123"/>
    <w:next w:val="NoList"/>
    <w:uiPriority w:val="99"/>
    <w:semiHidden/>
    <w:rsid w:val="003A71DE"/>
  </w:style>
  <w:style w:type="numbering" w:customStyle="1" w:styleId="NoList111123">
    <w:name w:val="No List111123"/>
    <w:next w:val="NoList"/>
    <w:uiPriority w:val="99"/>
    <w:semiHidden/>
    <w:unhideWhenUsed/>
    <w:rsid w:val="003A71DE"/>
  </w:style>
  <w:style w:type="numbering" w:customStyle="1" w:styleId="121230">
    <w:name w:val="無清單12123"/>
    <w:next w:val="NoList"/>
    <w:uiPriority w:val="99"/>
    <w:semiHidden/>
    <w:unhideWhenUsed/>
    <w:rsid w:val="003A71DE"/>
  </w:style>
  <w:style w:type="numbering" w:customStyle="1" w:styleId="1111230">
    <w:name w:val="無清單111123"/>
    <w:next w:val="NoList"/>
    <w:uiPriority w:val="99"/>
    <w:semiHidden/>
    <w:unhideWhenUsed/>
    <w:rsid w:val="003A71DE"/>
  </w:style>
  <w:style w:type="numbering" w:customStyle="1" w:styleId="NoList523">
    <w:name w:val="No List523"/>
    <w:next w:val="NoList"/>
    <w:uiPriority w:val="99"/>
    <w:semiHidden/>
    <w:unhideWhenUsed/>
    <w:rsid w:val="003A71DE"/>
  </w:style>
  <w:style w:type="numbering" w:customStyle="1" w:styleId="NoList1323">
    <w:name w:val="No List1323"/>
    <w:next w:val="NoList"/>
    <w:uiPriority w:val="99"/>
    <w:semiHidden/>
    <w:unhideWhenUsed/>
    <w:rsid w:val="003A71DE"/>
  </w:style>
  <w:style w:type="numbering" w:customStyle="1" w:styleId="12234">
    <w:name w:val="リストなし1223"/>
    <w:next w:val="NoList"/>
    <w:uiPriority w:val="99"/>
    <w:semiHidden/>
    <w:unhideWhenUsed/>
    <w:rsid w:val="003A71DE"/>
  </w:style>
  <w:style w:type="numbering" w:customStyle="1" w:styleId="12242">
    <w:name w:val="无列表1224"/>
    <w:next w:val="NoList"/>
    <w:semiHidden/>
    <w:rsid w:val="003A71DE"/>
  </w:style>
  <w:style w:type="numbering" w:customStyle="1" w:styleId="NoList2223">
    <w:name w:val="No List2223"/>
    <w:next w:val="NoList"/>
    <w:semiHidden/>
    <w:rsid w:val="003A71DE"/>
  </w:style>
  <w:style w:type="numbering" w:customStyle="1" w:styleId="NoList3223">
    <w:name w:val="No List3223"/>
    <w:next w:val="NoList"/>
    <w:uiPriority w:val="99"/>
    <w:semiHidden/>
    <w:rsid w:val="003A71DE"/>
  </w:style>
  <w:style w:type="numbering" w:customStyle="1" w:styleId="NoList11223">
    <w:name w:val="No List11223"/>
    <w:next w:val="NoList"/>
    <w:uiPriority w:val="99"/>
    <w:semiHidden/>
    <w:unhideWhenUsed/>
    <w:rsid w:val="003A71DE"/>
  </w:style>
  <w:style w:type="numbering" w:customStyle="1" w:styleId="13230">
    <w:name w:val="無清單1323"/>
    <w:next w:val="NoList"/>
    <w:uiPriority w:val="99"/>
    <w:semiHidden/>
    <w:unhideWhenUsed/>
    <w:rsid w:val="003A71DE"/>
  </w:style>
  <w:style w:type="numbering" w:customStyle="1" w:styleId="112230">
    <w:name w:val="無清單11223"/>
    <w:next w:val="NoList"/>
    <w:uiPriority w:val="99"/>
    <w:semiHidden/>
    <w:unhideWhenUsed/>
    <w:rsid w:val="003A71DE"/>
  </w:style>
  <w:style w:type="numbering" w:customStyle="1" w:styleId="2123">
    <w:name w:val="无列表2123"/>
    <w:next w:val="NoList"/>
    <w:uiPriority w:val="99"/>
    <w:semiHidden/>
    <w:unhideWhenUsed/>
    <w:rsid w:val="003A71DE"/>
  </w:style>
  <w:style w:type="numbering" w:customStyle="1" w:styleId="NoList111223">
    <w:name w:val="No List111223"/>
    <w:next w:val="NoList"/>
    <w:uiPriority w:val="99"/>
    <w:semiHidden/>
    <w:unhideWhenUsed/>
    <w:rsid w:val="003A71DE"/>
  </w:style>
  <w:style w:type="numbering" w:customStyle="1" w:styleId="NoList153">
    <w:name w:val="No List153"/>
    <w:next w:val="NoList"/>
    <w:uiPriority w:val="99"/>
    <w:semiHidden/>
    <w:unhideWhenUsed/>
    <w:rsid w:val="003A71DE"/>
  </w:style>
  <w:style w:type="numbering" w:customStyle="1" w:styleId="1432">
    <w:name w:val="リストなし143"/>
    <w:next w:val="NoList"/>
    <w:uiPriority w:val="99"/>
    <w:semiHidden/>
    <w:unhideWhenUsed/>
    <w:rsid w:val="003A71DE"/>
  </w:style>
  <w:style w:type="numbering" w:customStyle="1" w:styleId="1433">
    <w:name w:val="无列表143"/>
    <w:next w:val="NoList"/>
    <w:semiHidden/>
    <w:rsid w:val="003A71DE"/>
  </w:style>
  <w:style w:type="numbering" w:customStyle="1" w:styleId="NoList243">
    <w:name w:val="No List243"/>
    <w:next w:val="NoList"/>
    <w:semiHidden/>
    <w:rsid w:val="003A71DE"/>
  </w:style>
  <w:style w:type="numbering" w:customStyle="1" w:styleId="NoList343">
    <w:name w:val="No List343"/>
    <w:next w:val="NoList"/>
    <w:uiPriority w:val="99"/>
    <w:semiHidden/>
    <w:rsid w:val="003A71DE"/>
  </w:style>
  <w:style w:type="numbering" w:customStyle="1" w:styleId="NoList1153">
    <w:name w:val="No List1153"/>
    <w:next w:val="NoList"/>
    <w:uiPriority w:val="99"/>
    <w:semiHidden/>
    <w:unhideWhenUsed/>
    <w:rsid w:val="003A71DE"/>
  </w:style>
  <w:style w:type="numbering" w:customStyle="1" w:styleId="1531">
    <w:name w:val="無清單153"/>
    <w:next w:val="NoList"/>
    <w:uiPriority w:val="99"/>
    <w:semiHidden/>
    <w:unhideWhenUsed/>
    <w:rsid w:val="003A71DE"/>
  </w:style>
  <w:style w:type="numbering" w:customStyle="1" w:styleId="11430">
    <w:name w:val="無清單1143"/>
    <w:next w:val="NoList"/>
    <w:uiPriority w:val="99"/>
    <w:semiHidden/>
    <w:unhideWhenUsed/>
    <w:rsid w:val="003A71DE"/>
  </w:style>
  <w:style w:type="numbering" w:customStyle="1" w:styleId="NoList433">
    <w:name w:val="No List433"/>
    <w:next w:val="NoList"/>
    <w:uiPriority w:val="99"/>
    <w:semiHidden/>
    <w:unhideWhenUsed/>
    <w:rsid w:val="003A71DE"/>
  </w:style>
  <w:style w:type="numbering" w:customStyle="1" w:styleId="NoList1243">
    <w:name w:val="No List1243"/>
    <w:next w:val="NoList"/>
    <w:uiPriority w:val="99"/>
    <w:semiHidden/>
    <w:unhideWhenUsed/>
    <w:rsid w:val="003A71DE"/>
  </w:style>
  <w:style w:type="numbering" w:customStyle="1" w:styleId="11431">
    <w:name w:val="リストなし1143"/>
    <w:next w:val="NoList"/>
    <w:uiPriority w:val="99"/>
    <w:semiHidden/>
    <w:unhideWhenUsed/>
    <w:rsid w:val="003A71DE"/>
  </w:style>
  <w:style w:type="numbering" w:customStyle="1" w:styleId="11432">
    <w:name w:val="无列表1143"/>
    <w:next w:val="NoList"/>
    <w:semiHidden/>
    <w:rsid w:val="003A71DE"/>
  </w:style>
  <w:style w:type="numbering" w:customStyle="1" w:styleId="NoList2143">
    <w:name w:val="No List2143"/>
    <w:next w:val="NoList"/>
    <w:semiHidden/>
    <w:rsid w:val="003A71DE"/>
  </w:style>
  <w:style w:type="numbering" w:customStyle="1" w:styleId="NoList3143">
    <w:name w:val="No List3143"/>
    <w:next w:val="NoList"/>
    <w:uiPriority w:val="99"/>
    <w:semiHidden/>
    <w:rsid w:val="003A71DE"/>
  </w:style>
  <w:style w:type="numbering" w:customStyle="1" w:styleId="NoList11143">
    <w:name w:val="No List11143"/>
    <w:next w:val="NoList"/>
    <w:uiPriority w:val="99"/>
    <w:semiHidden/>
    <w:unhideWhenUsed/>
    <w:rsid w:val="003A71DE"/>
  </w:style>
  <w:style w:type="numbering" w:customStyle="1" w:styleId="12430">
    <w:name w:val="無清單1243"/>
    <w:next w:val="NoList"/>
    <w:uiPriority w:val="99"/>
    <w:semiHidden/>
    <w:unhideWhenUsed/>
    <w:rsid w:val="003A71DE"/>
  </w:style>
  <w:style w:type="numbering" w:customStyle="1" w:styleId="111430">
    <w:name w:val="無清單11143"/>
    <w:next w:val="NoList"/>
    <w:uiPriority w:val="99"/>
    <w:semiHidden/>
    <w:unhideWhenUsed/>
    <w:rsid w:val="003A71DE"/>
  </w:style>
  <w:style w:type="numbering" w:customStyle="1" w:styleId="233">
    <w:name w:val="无列表233"/>
    <w:next w:val="NoList"/>
    <w:uiPriority w:val="99"/>
    <w:semiHidden/>
    <w:unhideWhenUsed/>
    <w:rsid w:val="003A71DE"/>
  </w:style>
  <w:style w:type="numbering" w:customStyle="1" w:styleId="NoList12133">
    <w:name w:val="No List12133"/>
    <w:next w:val="NoList"/>
    <w:uiPriority w:val="99"/>
    <w:semiHidden/>
    <w:unhideWhenUsed/>
    <w:rsid w:val="003A71DE"/>
  </w:style>
  <w:style w:type="numbering" w:customStyle="1" w:styleId="111331">
    <w:name w:val="リストなし11133"/>
    <w:next w:val="NoList"/>
    <w:uiPriority w:val="99"/>
    <w:semiHidden/>
    <w:unhideWhenUsed/>
    <w:rsid w:val="003A71DE"/>
  </w:style>
  <w:style w:type="numbering" w:customStyle="1" w:styleId="111332">
    <w:name w:val="无列表11133"/>
    <w:next w:val="NoList"/>
    <w:semiHidden/>
    <w:rsid w:val="003A71DE"/>
  </w:style>
  <w:style w:type="numbering" w:customStyle="1" w:styleId="NoList21133">
    <w:name w:val="No List21133"/>
    <w:next w:val="NoList"/>
    <w:semiHidden/>
    <w:rsid w:val="003A71DE"/>
  </w:style>
  <w:style w:type="numbering" w:customStyle="1" w:styleId="NoList31133">
    <w:name w:val="No List31133"/>
    <w:next w:val="NoList"/>
    <w:uiPriority w:val="99"/>
    <w:semiHidden/>
    <w:rsid w:val="003A71DE"/>
  </w:style>
  <w:style w:type="numbering" w:customStyle="1" w:styleId="NoList111133">
    <w:name w:val="No List111133"/>
    <w:next w:val="NoList"/>
    <w:uiPriority w:val="99"/>
    <w:semiHidden/>
    <w:unhideWhenUsed/>
    <w:rsid w:val="003A71DE"/>
  </w:style>
  <w:style w:type="numbering" w:customStyle="1" w:styleId="121330">
    <w:name w:val="無清單12133"/>
    <w:next w:val="NoList"/>
    <w:uiPriority w:val="99"/>
    <w:semiHidden/>
    <w:unhideWhenUsed/>
    <w:rsid w:val="003A71DE"/>
  </w:style>
  <w:style w:type="numbering" w:customStyle="1" w:styleId="1111330">
    <w:name w:val="無清單111133"/>
    <w:next w:val="NoList"/>
    <w:uiPriority w:val="99"/>
    <w:semiHidden/>
    <w:unhideWhenUsed/>
    <w:rsid w:val="003A71DE"/>
  </w:style>
  <w:style w:type="numbering" w:customStyle="1" w:styleId="NoList533">
    <w:name w:val="No List533"/>
    <w:next w:val="NoList"/>
    <w:uiPriority w:val="99"/>
    <w:semiHidden/>
    <w:unhideWhenUsed/>
    <w:rsid w:val="003A71DE"/>
  </w:style>
  <w:style w:type="numbering" w:customStyle="1" w:styleId="NoList1333">
    <w:name w:val="No List1333"/>
    <w:next w:val="NoList"/>
    <w:uiPriority w:val="99"/>
    <w:semiHidden/>
    <w:unhideWhenUsed/>
    <w:rsid w:val="003A71DE"/>
  </w:style>
  <w:style w:type="numbering" w:customStyle="1" w:styleId="12332">
    <w:name w:val="リストなし1233"/>
    <w:next w:val="NoList"/>
    <w:uiPriority w:val="99"/>
    <w:semiHidden/>
    <w:unhideWhenUsed/>
    <w:rsid w:val="003A71DE"/>
  </w:style>
  <w:style w:type="numbering" w:customStyle="1" w:styleId="12333">
    <w:name w:val="无列表1233"/>
    <w:next w:val="NoList"/>
    <w:semiHidden/>
    <w:rsid w:val="003A71DE"/>
  </w:style>
  <w:style w:type="numbering" w:customStyle="1" w:styleId="NoList2233">
    <w:name w:val="No List2233"/>
    <w:next w:val="NoList"/>
    <w:semiHidden/>
    <w:rsid w:val="003A71DE"/>
  </w:style>
  <w:style w:type="numbering" w:customStyle="1" w:styleId="NoList3233">
    <w:name w:val="No List3233"/>
    <w:next w:val="NoList"/>
    <w:uiPriority w:val="99"/>
    <w:semiHidden/>
    <w:rsid w:val="003A71DE"/>
  </w:style>
  <w:style w:type="numbering" w:customStyle="1" w:styleId="NoList11233">
    <w:name w:val="No List11233"/>
    <w:next w:val="NoList"/>
    <w:uiPriority w:val="99"/>
    <w:semiHidden/>
    <w:unhideWhenUsed/>
    <w:rsid w:val="003A71DE"/>
  </w:style>
  <w:style w:type="numbering" w:customStyle="1" w:styleId="13330">
    <w:name w:val="無清單1333"/>
    <w:next w:val="NoList"/>
    <w:uiPriority w:val="99"/>
    <w:semiHidden/>
    <w:unhideWhenUsed/>
    <w:rsid w:val="003A71DE"/>
  </w:style>
  <w:style w:type="numbering" w:customStyle="1" w:styleId="112330">
    <w:name w:val="無清單11233"/>
    <w:next w:val="NoList"/>
    <w:uiPriority w:val="99"/>
    <w:semiHidden/>
    <w:unhideWhenUsed/>
    <w:rsid w:val="003A71DE"/>
  </w:style>
  <w:style w:type="numbering" w:customStyle="1" w:styleId="2133">
    <w:name w:val="无列表2133"/>
    <w:next w:val="NoList"/>
    <w:uiPriority w:val="99"/>
    <w:semiHidden/>
    <w:unhideWhenUsed/>
    <w:rsid w:val="003A71DE"/>
  </w:style>
  <w:style w:type="numbering" w:customStyle="1" w:styleId="NoList12223">
    <w:name w:val="No List12223"/>
    <w:next w:val="NoList"/>
    <w:uiPriority w:val="99"/>
    <w:semiHidden/>
    <w:unhideWhenUsed/>
    <w:rsid w:val="003A71DE"/>
  </w:style>
  <w:style w:type="numbering" w:customStyle="1" w:styleId="112231">
    <w:name w:val="リストなし11223"/>
    <w:next w:val="NoList"/>
    <w:uiPriority w:val="99"/>
    <w:semiHidden/>
    <w:unhideWhenUsed/>
    <w:rsid w:val="003A71DE"/>
  </w:style>
  <w:style w:type="numbering" w:customStyle="1" w:styleId="112232">
    <w:name w:val="无列表11223"/>
    <w:next w:val="NoList"/>
    <w:semiHidden/>
    <w:rsid w:val="003A71DE"/>
  </w:style>
  <w:style w:type="numbering" w:customStyle="1" w:styleId="NoList21223">
    <w:name w:val="No List21223"/>
    <w:next w:val="NoList"/>
    <w:semiHidden/>
    <w:rsid w:val="003A71DE"/>
  </w:style>
  <w:style w:type="numbering" w:customStyle="1" w:styleId="NoList31223">
    <w:name w:val="No List31223"/>
    <w:next w:val="NoList"/>
    <w:uiPriority w:val="99"/>
    <w:semiHidden/>
    <w:rsid w:val="003A71DE"/>
  </w:style>
  <w:style w:type="numbering" w:customStyle="1" w:styleId="NoList111233">
    <w:name w:val="No List111233"/>
    <w:next w:val="NoList"/>
    <w:uiPriority w:val="99"/>
    <w:semiHidden/>
    <w:unhideWhenUsed/>
    <w:rsid w:val="003A71DE"/>
  </w:style>
  <w:style w:type="numbering" w:customStyle="1" w:styleId="122230">
    <w:name w:val="無清單12223"/>
    <w:next w:val="NoList"/>
    <w:uiPriority w:val="99"/>
    <w:semiHidden/>
    <w:unhideWhenUsed/>
    <w:rsid w:val="003A71DE"/>
  </w:style>
  <w:style w:type="numbering" w:customStyle="1" w:styleId="1112230">
    <w:name w:val="無清單111223"/>
    <w:next w:val="NoList"/>
    <w:uiPriority w:val="99"/>
    <w:semiHidden/>
    <w:unhideWhenUsed/>
    <w:rsid w:val="003A71DE"/>
  </w:style>
  <w:style w:type="paragraph" w:customStyle="1" w:styleId="4a">
    <w:name w:val="修订4"/>
    <w:hidden/>
    <w:semiHidden/>
    <w:rsid w:val="003A71DE"/>
    <w:pPr>
      <w:spacing w:after="0" w:line="240" w:lineRule="auto"/>
    </w:pPr>
    <w:rPr>
      <w:rFonts w:ascii="Times New Roman" w:eastAsia="Batang" w:hAnsi="Times New Roman" w:cs="Times New Roman"/>
      <w:sz w:val="20"/>
      <w:szCs w:val="20"/>
      <w:lang w:val="en-GB"/>
    </w:rPr>
  </w:style>
  <w:style w:type="numbering" w:customStyle="1" w:styleId="NoList19">
    <w:name w:val="No List19"/>
    <w:next w:val="NoList"/>
    <w:uiPriority w:val="99"/>
    <w:semiHidden/>
    <w:unhideWhenUsed/>
    <w:rsid w:val="003A71DE"/>
  </w:style>
  <w:style w:type="numbering" w:customStyle="1" w:styleId="NoList110">
    <w:name w:val="No List110"/>
    <w:next w:val="NoList"/>
    <w:uiPriority w:val="99"/>
    <w:semiHidden/>
    <w:unhideWhenUsed/>
    <w:rsid w:val="003A71DE"/>
  </w:style>
  <w:style w:type="table" w:customStyle="1" w:styleId="TableGrid30">
    <w:name w:val="Table Grid30"/>
    <w:basedOn w:val="TableNormal"/>
    <w:next w:val="TableGrid"/>
    <w:uiPriority w:val="39"/>
    <w:qFormat/>
    <w:rsid w:val="003A71DE"/>
    <w:pPr>
      <w:spacing w:after="18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Web1">
    <w:name w:val="Normal (Web)1"/>
    <w:basedOn w:val="Normal"/>
    <w:next w:val="NormalWeb"/>
    <w:uiPriority w:val="99"/>
    <w:unhideWhenUsed/>
    <w:rsid w:val="003A71DE"/>
    <w:pPr>
      <w:overflowPunct/>
      <w:autoSpaceDE/>
      <w:autoSpaceDN/>
      <w:adjustRightInd/>
      <w:spacing w:before="100" w:beforeAutospacing="1" w:after="100" w:afterAutospacing="1"/>
      <w:textAlignment w:val="auto"/>
    </w:pPr>
    <w:rPr>
      <w:rFonts w:eastAsia="DengXian"/>
      <w:sz w:val="24"/>
      <w:szCs w:val="24"/>
      <w:lang w:val="en-US" w:eastAsia="en-US"/>
    </w:rPr>
  </w:style>
  <w:style w:type="paragraph" w:customStyle="1" w:styleId="BodyText1">
    <w:name w:val="Body Text1"/>
    <w:basedOn w:val="Normal"/>
    <w:next w:val="BodyText"/>
    <w:uiPriority w:val="99"/>
    <w:rsid w:val="003A71DE"/>
    <w:pPr>
      <w:overflowPunct/>
      <w:autoSpaceDE/>
      <w:autoSpaceDN/>
      <w:adjustRightInd/>
      <w:spacing w:after="120"/>
      <w:textAlignment w:val="auto"/>
    </w:pPr>
    <w:rPr>
      <w:rFonts w:eastAsia="DengXian"/>
      <w:lang w:eastAsia="fr-FR"/>
    </w:rPr>
  </w:style>
  <w:style w:type="table" w:customStyle="1" w:styleId="TableGrid120">
    <w:name w:val="Table Grid120"/>
    <w:basedOn w:val="TableNormal"/>
    <w:next w:val="TableGrid"/>
    <w:uiPriority w:val="39"/>
    <w:rsid w:val="003A71D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0">
    <w:name w:val="Tabellengitternetz1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0">
    <w:name w:val="Tabellengitternetz2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0">
    <w:name w:val="Tabellengitternetz3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0">
    <w:name w:val="Tabellengitternetz4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0">
    <w:name w:val="Tabellengitternetz5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0">
    <w:name w:val="Tabellengitternetz6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0">
    <w:name w:val="Tabellengitternetz7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0">
    <w:name w:val="Tabellengitternetz8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0">
    <w:name w:val="Tabellengitternetz910"/>
    <w:basedOn w:val="TableNormal"/>
    <w:next w:val="TableGrid"/>
    <w:rsid w:val="003A71DE"/>
    <w:pPr>
      <w:spacing w:after="0" w:line="240" w:lineRule="auto"/>
    </w:pPr>
    <w:rPr>
      <w:rFonts w:ascii="Times New Roman" w:eastAsia="Malgun Gothic"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0">
    <w:name w:val="Table Grid210"/>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0">
    <w:name w:val="Table Grid310"/>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9">
    <w:name w:val="No List119"/>
    <w:next w:val="NoList"/>
    <w:uiPriority w:val="99"/>
    <w:semiHidden/>
    <w:unhideWhenUsed/>
    <w:rsid w:val="003A71DE"/>
  </w:style>
  <w:style w:type="numbering" w:customStyle="1" w:styleId="NoList28">
    <w:name w:val="No List28"/>
    <w:next w:val="NoList"/>
    <w:uiPriority w:val="99"/>
    <w:semiHidden/>
    <w:unhideWhenUsed/>
    <w:rsid w:val="003A71DE"/>
  </w:style>
  <w:style w:type="table" w:customStyle="1" w:styleId="TableGrid410">
    <w:name w:val="Table Grid410"/>
    <w:basedOn w:val="TableNormal"/>
    <w:next w:val="TableGrid"/>
    <w:rsid w:val="003A71D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8">
    <w:name w:val="No List38"/>
    <w:next w:val="NoList"/>
    <w:uiPriority w:val="99"/>
    <w:semiHidden/>
    <w:unhideWhenUsed/>
    <w:rsid w:val="003A71DE"/>
  </w:style>
  <w:style w:type="table" w:customStyle="1" w:styleId="TableGrid58">
    <w:name w:val="Table Grid58"/>
    <w:basedOn w:val="TableNormal"/>
    <w:next w:val="TableGrid"/>
    <w:rsid w:val="003A71D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7">
    <w:name w:val="No List47"/>
    <w:next w:val="NoList"/>
    <w:uiPriority w:val="99"/>
    <w:semiHidden/>
    <w:unhideWhenUsed/>
    <w:rsid w:val="003A71DE"/>
  </w:style>
  <w:style w:type="table" w:customStyle="1" w:styleId="TableGrid68">
    <w:name w:val="Table Grid68"/>
    <w:basedOn w:val="TableNormal"/>
    <w:next w:val="TableGrid"/>
    <w:rsid w:val="003A71DE"/>
    <w:pPr>
      <w:spacing w:after="18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7">
    <w:name w:val="No List57"/>
    <w:next w:val="NoList"/>
    <w:semiHidden/>
    <w:unhideWhenUsed/>
    <w:rsid w:val="003A71DE"/>
  </w:style>
  <w:style w:type="numbering" w:customStyle="1" w:styleId="NoList65">
    <w:name w:val="No List65"/>
    <w:next w:val="NoList"/>
    <w:semiHidden/>
    <w:unhideWhenUsed/>
    <w:rsid w:val="003A71DE"/>
  </w:style>
  <w:style w:type="numbering" w:customStyle="1" w:styleId="NoList74">
    <w:name w:val="No List74"/>
    <w:next w:val="NoList"/>
    <w:semiHidden/>
    <w:unhideWhenUsed/>
    <w:rsid w:val="003A71DE"/>
  </w:style>
  <w:style w:type="paragraph" w:customStyle="1" w:styleId="Caption4">
    <w:name w:val="Caption4"/>
    <w:basedOn w:val="Normal"/>
    <w:next w:val="Normal"/>
    <w:uiPriority w:val="35"/>
    <w:unhideWhenUsed/>
    <w:qFormat/>
    <w:rsid w:val="003A71DE"/>
    <w:pPr>
      <w:spacing w:after="200"/>
    </w:pPr>
    <w:rPr>
      <w:i/>
      <w:iCs/>
      <w:color w:val="44546A"/>
      <w:sz w:val="18"/>
      <w:szCs w:val="18"/>
    </w:rPr>
  </w:style>
  <w:style w:type="character" w:styleId="UnresolvedMention">
    <w:name w:val="Unresolved Mention"/>
    <w:basedOn w:val="DefaultParagraphFont"/>
    <w:uiPriority w:val="99"/>
    <w:unhideWhenUsed/>
    <w:rsid w:val="003A71DE"/>
    <w:rPr>
      <w:color w:val="605E5C"/>
      <w:shd w:val="clear" w:color="auto" w:fill="E1DFDD"/>
    </w:rPr>
  </w:style>
  <w:style w:type="numbering" w:customStyle="1" w:styleId="NoList20">
    <w:name w:val="No List20"/>
    <w:next w:val="NoList"/>
    <w:uiPriority w:val="99"/>
    <w:semiHidden/>
    <w:unhideWhenUsed/>
    <w:rsid w:val="003A71DE"/>
  </w:style>
  <w:style w:type="table" w:customStyle="1" w:styleId="TableGrid40">
    <w:name w:val="Table Grid40"/>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0">
    <w:name w:val="No List120"/>
    <w:next w:val="NoList"/>
    <w:uiPriority w:val="99"/>
    <w:semiHidden/>
    <w:unhideWhenUsed/>
    <w:rsid w:val="003A71DE"/>
  </w:style>
  <w:style w:type="numbering" w:customStyle="1" w:styleId="182">
    <w:name w:val="リストなし18"/>
    <w:next w:val="NoList"/>
    <w:uiPriority w:val="99"/>
    <w:semiHidden/>
    <w:unhideWhenUsed/>
    <w:rsid w:val="003A71DE"/>
  </w:style>
  <w:style w:type="table" w:customStyle="1" w:styleId="TableGrid128">
    <w:name w:val="Table Grid128"/>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8">
    <w:name w:val="Tabellengitternetz1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8">
    <w:name w:val="Tabellengitternetz2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8">
    <w:name w:val="Tabellengitternetz3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8">
    <w:name w:val="Tabellengitternetz4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8">
    <w:name w:val="Tabellengitternetz5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8">
    <w:name w:val="Tabellengitternetz6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8">
    <w:name w:val="Tabellengitternetz7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8">
    <w:name w:val="Tabellengitternetz8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8">
    <w:name w:val="Tabellengitternetz91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8">
    <w:name w:val="Table Grid218"/>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8">
    <w:name w:val="Table Grid318"/>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3">
    <w:name w:val="无列表18"/>
    <w:next w:val="NoList"/>
    <w:semiHidden/>
    <w:rsid w:val="003A71DE"/>
  </w:style>
  <w:style w:type="table" w:customStyle="1" w:styleId="3100">
    <w:name w:val="网格型310"/>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0">
    <w:name w:val="网格型410"/>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9">
    <w:name w:val="No List29"/>
    <w:next w:val="NoList"/>
    <w:semiHidden/>
    <w:rsid w:val="003A71DE"/>
  </w:style>
  <w:style w:type="numbering" w:customStyle="1" w:styleId="NoList39">
    <w:name w:val="No List39"/>
    <w:next w:val="NoList"/>
    <w:uiPriority w:val="99"/>
    <w:semiHidden/>
    <w:rsid w:val="003A71DE"/>
  </w:style>
  <w:style w:type="table" w:customStyle="1" w:styleId="TableGrid418">
    <w:name w:val="Table Grid418"/>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0">
    <w:name w:val="No List1110"/>
    <w:next w:val="NoList"/>
    <w:uiPriority w:val="99"/>
    <w:semiHidden/>
    <w:unhideWhenUsed/>
    <w:rsid w:val="003A71DE"/>
  </w:style>
  <w:style w:type="numbering" w:customStyle="1" w:styleId="191">
    <w:name w:val="無清單19"/>
    <w:next w:val="NoList"/>
    <w:uiPriority w:val="99"/>
    <w:semiHidden/>
    <w:unhideWhenUsed/>
    <w:rsid w:val="003A71DE"/>
  </w:style>
  <w:style w:type="numbering" w:customStyle="1" w:styleId="118">
    <w:name w:val="無清單118"/>
    <w:next w:val="NoList"/>
    <w:uiPriority w:val="99"/>
    <w:semiHidden/>
    <w:unhideWhenUsed/>
    <w:rsid w:val="003A71DE"/>
  </w:style>
  <w:style w:type="table" w:customStyle="1" w:styleId="1100">
    <w:name w:val="表格格線110"/>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7">
    <w:name w:val="修订"/>
    <w:hidden/>
    <w:semiHidden/>
    <w:rsid w:val="003A71DE"/>
    <w:pPr>
      <w:spacing w:after="0" w:line="240" w:lineRule="auto"/>
    </w:pPr>
    <w:rPr>
      <w:rFonts w:ascii="Times New Roman" w:eastAsia="Batang" w:hAnsi="Times New Roman" w:cs="Times New Roman"/>
      <w:sz w:val="20"/>
      <w:szCs w:val="20"/>
      <w:lang w:val="en-GB"/>
    </w:rPr>
  </w:style>
  <w:style w:type="numbering" w:customStyle="1" w:styleId="NoList48">
    <w:name w:val="No List48"/>
    <w:next w:val="NoList"/>
    <w:uiPriority w:val="99"/>
    <w:semiHidden/>
    <w:unhideWhenUsed/>
    <w:rsid w:val="003A71DE"/>
  </w:style>
  <w:style w:type="table" w:customStyle="1" w:styleId="TableGrid59">
    <w:name w:val="Table Grid59"/>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8">
    <w:name w:val="No List128"/>
    <w:next w:val="NoList"/>
    <w:uiPriority w:val="99"/>
    <w:semiHidden/>
    <w:unhideWhenUsed/>
    <w:rsid w:val="003A71DE"/>
  </w:style>
  <w:style w:type="numbering" w:customStyle="1" w:styleId="1180">
    <w:name w:val="リストなし118"/>
    <w:next w:val="NoList"/>
    <w:uiPriority w:val="99"/>
    <w:semiHidden/>
    <w:unhideWhenUsed/>
    <w:rsid w:val="003A71DE"/>
  </w:style>
  <w:style w:type="table" w:customStyle="1" w:styleId="TableGrid1110">
    <w:name w:val="Table Grid1110"/>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9">
    <w:name w:val="Tabellengitternetz1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9">
    <w:name w:val="Tabellengitternetz2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9">
    <w:name w:val="Tabellengitternetz3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9">
    <w:name w:val="Tabellengitternetz4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9">
    <w:name w:val="Tabellengitternetz5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9">
    <w:name w:val="Tabellengitternetz6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9">
    <w:name w:val="Tabellengitternetz7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9">
    <w:name w:val="Tabellengitternetz8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9">
    <w:name w:val="Tabellengitternetz919"/>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9">
    <w:name w:val="Table Grid219"/>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9">
    <w:name w:val="Table Grid319"/>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1">
    <w:name w:val="无列表118"/>
    <w:next w:val="NoList"/>
    <w:semiHidden/>
    <w:rsid w:val="003A71DE"/>
  </w:style>
  <w:style w:type="table" w:customStyle="1" w:styleId="318">
    <w:name w:val="网格型318"/>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8">
    <w:name w:val="网格型418"/>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8">
    <w:name w:val="No List218"/>
    <w:next w:val="NoList"/>
    <w:semiHidden/>
    <w:rsid w:val="003A71DE"/>
  </w:style>
  <w:style w:type="numbering" w:customStyle="1" w:styleId="NoList318">
    <w:name w:val="No List318"/>
    <w:next w:val="NoList"/>
    <w:uiPriority w:val="99"/>
    <w:semiHidden/>
    <w:rsid w:val="003A71DE"/>
  </w:style>
  <w:style w:type="table" w:customStyle="1" w:styleId="TableGrid419">
    <w:name w:val="Table Grid419"/>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8">
    <w:name w:val="No List1118"/>
    <w:next w:val="NoList"/>
    <w:uiPriority w:val="99"/>
    <w:semiHidden/>
    <w:unhideWhenUsed/>
    <w:rsid w:val="003A71DE"/>
  </w:style>
  <w:style w:type="numbering" w:customStyle="1" w:styleId="128">
    <w:name w:val="無清單128"/>
    <w:next w:val="NoList"/>
    <w:uiPriority w:val="99"/>
    <w:semiHidden/>
    <w:unhideWhenUsed/>
    <w:rsid w:val="003A71DE"/>
  </w:style>
  <w:style w:type="numbering" w:customStyle="1" w:styleId="1118">
    <w:name w:val="無清單1118"/>
    <w:next w:val="NoList"/>
    <w:uiPriority w:val="99"/>
    <w:semiHidden/>
    <w:unhideWhenUsed/>
    <w:rsid w:val="003A71DE"/>
  </w:style>
  <w:style w:type="table" w:customStyle="1" w:styleId="1182">
    <w:name w:val="表格格線118"/>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
    <w:name w:val="无列表27"/>
    <w:next w:val="NoList"/>
    <w:uiPriority w:val="99"/>
    <w:semiHidden/>
    <w:unhideWhenUsed/>
    <w:rsid w:val="003A71DE"/>
  </w:style>
  <w:style w:type="numbering" w:customStyle="1" w:styleId="NoList1217">
    <w:name w:val="No List1217"/>
    <w:next w:val="NoList"/>
    <w:uiPriority w:val="99"/>
    <w:semiHidden/>
    <w:unhideWhenUsed/>
    <w:rsid w:val="003A71DE"/>
  </w:style>
  <w:style w:type="numbering" w:customStyle="1" w:styleId="11171">
    <w:name w:val="リストなし1117"/>
    <w:next w:val="NoList"/>
    <w:uiPriority w:val="99"/>
    <w:semiHidden/>
    <w:unhideWhenUsed/>
    <w:rsid w:val="003A71DE"/>
  </w:style>
  <w:style w:type="numbering" w:customStyle="1" w:styleId="11172">
    <w:name w:val="无列表1117"/>
    <w:next w:val="NoList"/>
    <w:semiHidden/>
    <w:rsid w:val="003A71DE"/>
  </w:style>
  <w:style w:type="numbering" w:customStyle="1" w:styleId="NoList2117">
    <w:name w:val="No List2117"/>
    <w:next w:val="NoList"/>
    <w:semiHidden/>
    <w:rsid w:val="003A71DE"/>
  </w:style>
  <w:style w:type="numbering" w:customStyle="1" w:styleId="NoList3117">
    <w:name w:val="No List3117"/>
    <w:next w:val="NoList"/>
    <w:uiPriority w:val="99"/>
    <w:semiHidden/>
    <w:rsid w:val="003A71DE"/>
  </w:style>
  <w:style w:type="numbering" w:customStyle="1" w:styleId="NoList11117">
    <w:name w:val="No List11117"/>
    <w:next w:val="NoList"/>
    <w:uiPriority w:val="99"/>
    <w:semiHidden/>
    <w:unhideWhenUsed/>
    <w:rsid w:val="003A71DE"/>
  </w:style>
  <w:style w:type="numbering" w:customStyle="1" w:styleId="12170">
    <w:name w:val="無清單1217"/>
    <w:next w:val="NoList"/>
    <w:uiPriority w:val="99"/>
    <w:semiHidden/>
    <w:unhideWhenUsed/>
    <w:rsid w:val="003A71DE"/>
  </w:style>
  <w:style w:type="numbering" w:customStyle="1" w:styleId="11117">
    <w:name w:val="無清單11117"/>
    <w:next w:val="NoList"/>
    <w:uiPriority w:val="99"/>
    <w:semiHidden/>
    <w:unhideWhenUsed/>
    <w:rsid w:val="003A71DE"/>
  </w:style>
  <w:style w:type="numbering" w:customStyle="1" w:styleId="NoList58">
    <w:name w:val="No List58"/>
    <w:next w:val="NoList"/>
    <w:uiPriority w:val="99"/>
    <w:semiHidden/>
    <w:unhideWhenUsed/>
    <w:rsid w:val="003A71DE"/>
  </w:style>
  <w:style w:type="table" w:customStyle="1" w:styleId="TableGrid69">
    <w:name w:val="Table Grid69"/>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7">
    <w:name w:val="No List137"/>
    <w:next w:val="NoList"/>
    <w:uiPriority w:val="99"/>
    <w:semiHidden/>
    <w:unhideWhenUsed/>
    <w:rsid w:val="003A71DE"/>
  </w:style>
  <w:style w:type="numbering" w:customStyle="1" w:styleId="1271">
    <w:name w:val="リストなし127"/>
    <w:next w:val="NoList"/>
    <w:uiPriority w:val="99"/>
    <w:semiHidden/>
    <w:unhideWhenUsed/>
    <w:rsid w:val="003A71DE"/>
  </w:style>
  <w:style w:type="table" w:customStyle="1" w:styleId="TableGrid129">
    <w:name w:val="Table Grid129"/>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8">
    <w:name w:val="Tabellengitternetz1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8">
    <w:name w:val="Tabellengitternetz2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8">
    <w:name w:val="Tabellengitternetz3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8">
    <w:name w:val="Tabellengitternetz4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8">
    <w:name w:val="Tabellengitternetz5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8">
    <w:name w:val="Tabellengitternetz6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8">
    <w:name w:val="Tabellengitternetz7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8">
    <w:name w:val="Tabellengitternetz8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8">
    <w:name w:val="Tabellengitternetz928"/>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8">
    <w:name w:val="Table Grid228"/>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8">
    <w:name w:val="Table Grid328"/>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2">
    <w:name w:val="无列表127"/>
    <w:next w:val="NoList"/>
    <w:semiHidden/>
    <w:rsid w:val="003A71DE"/>
  </w:style>
  <w:style w:type="table" w:customStyle="1" w:styleId="328">
    <w:name w:val="网格型328"/>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8">
    <w:name w:val="网格型428"/>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7">
    <w:name w:val="No List227"/>
    <w:next w:val="NoList"/>
    <w:semiHidden/>
    <w:rsid w:val="003A71DE"/>
  </w:style>
  <w:style w:type="numbering" w:customStyle="1" w:styleId="NoList327">
    <w:name w:val="No List327"/>
    <w:next w:val="NoList"/>
    <w:uiPriority w:val="99"/>
    <w:semiHidden/>
    <w:rsid w:val="003A71DE"/>
  </w:style>
  <w:style w:type="table" w:customStyle="1" w:styleId="TableGrid428">
    <w:name w:val="Table Grid428"/>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7">
    <w:name w:val="No List1127"/>
    <w:next w:val="NoList"/>
    <w:uiPriority w:val="99"/>
    <w:semiHidden/>
    <w:unhideWhenUsed/>
    <w:rsid w:val="003A71DE"/>
  </w:style>
  <w:style w:type="numbering" w:customStyle="1" w:styleId="1370">
    <w:name w:val="無清單137"/>
    <w:next w:val="NoList"/>
    <w:uiPriority w:val="99"/>
    <w:semiHidden/>
    <w:unhideWhenUsed/>
    <w:rsid w:val="003A71DE"/>
  </w:style>
  <w:style w:type="numbering" w:customStyle="1" w:styleId="11270">
    <w:name w:val="無清單1127"/>
    <w:next w:val="NoList"/>
    <w:uiPriority w:val="99"/>
    <w:semiHidden/>
    <w:unhideWhenUsed/>
    <w:rsid w:val="003A71DE"/>
  </w:style>
  <w:style w:type="table" w:customStyle="1" w:styleId="1280">
    <w:name w:val="表格格線128"/>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0">
    <w:name w:val="无列表217"/>
    <w:next w:val="NoList"/>
    <w:uiPriority w:val="99"/>
    <w:semiHidden/>
    <w:unhideWhenUsed/>
    <w:rsid w:val="003A71DE"/>
  </w:style>
  <w:style w:type="numbering" w:customStyle="1" w:styleId="NoList1226">
    <w:name w:val="No List1226"/>
    <w:next w:val="NoList"/>
    <w:uiPriority w:val="99"/>
    <w:semiHidden/>
    <w:unhideWhenUsed/>
    <w:rsid w:val="003A71DE"/>
  </w:style>
  <w:style w:type="numbering" w:customStyle="1" w:styleId="11260">
    <w:name w:val="リストなし1126"/>
    <w:next w:val="NoList"/>
    <w:uiPriority w:val="99"/>
    <w:semiHidden/>
    <w:unhideWhenUsed/>
    <w:rsid w:val="003A71DE"/>
  </w:style>
  <w:style w:type="numbering" w:customStyle="1" w:styleId="11261">
    <w:name w:val="无列表1126"/>
    <w:next w:val="NoList"/>
    <w:semiHidden/>
    <w:rsid w:val="003A71DE"/>
  </w:style>
  <w:style w:type="numbering" w:customStyle="1" w:styleId="NoList2126">
    <w:name w:val="No List2126"/>
    <w:next w:val="NoList"/>
    <w:semiHidden/>
    <w:rsid w:val="003A71DE"/>
  </w:style>
  <w:style w:type="numbering" w:customStyle="1" w:styleId="NoList3126">
    <w:name w:val="No List3126"/>
    <w:next w:val="NoList"/>
    <w:uiPriority w:val="99"/>
    <w:semiHidden/>
    <w:rsid w:val="003A71DE"/>
  </w:style>
  <w:style w:type="numbering" w:customStyle="1" w:styleId="NoList11127">
    <w:name w:val="No List11127"/>
    <w:next w:val="NoList"/>
    <w:uiPriority w:val="99"/>
    <w:semiHidden/>
    <w:unhideWhenUsed/>
    <w:rsid w:val="003A71DE"/>
  </w:style>
  <w:style w:type="numbering" w:customStyle="1" w:styleId="12260">
    <w:name w:val="無清單1226"/>
    <w:next w:val="NoList"/>
    <w:uiPriority w:val="99"/>
    <w:semiHidden/>
    <w:unhideWhenUsed/>
    <w:rsid w:val="003A71DE"/>
  </w:style>
  <w:style w:type="numbering" w:customStyle="1" w:styleId="11126">
    <w:name w:val="無清單11126"/>
    <w:next w:val="NoList"/>
    <w:uiPriority w:val="99"/>
    <w:semiHidden/>
    <w:unhideWhenUsed/>
    <w:rsid w:val="003A71DE"/>
  </w:style>
  <w:style w:type="numbering" w:customStyle="1" w:styleId="NoList66">
    <w:name w:val="No List66"/>
    <w:next w:val="NoList"/>
    <w:uiPriority w:val="99"/>
    <w:semiHidden/>
    <w:unhideWhenUsed/>
    <w:rsid w:val="003A71DE"/>
  </w:style>
  <w:style w:type="numbering" w:customStyle="1" w:styleId="NoList145">
    <w:name w:val="No List145"/>
    <w:next w:val="NoList"/>
    <w:uiPriority w:val="99"/>
    <w:semiHidden/>
    <w:unhideWhenUsed/>
    <w:rsid w:val="003A71DE"/>
  </w:style>
  <w:style w:type="numbering" w:customStyle="1" w:styleId="1351">
    <w:name w:val="リストなし135"/>
    <w:next w:val="NoList"/>
    <w:uiPriority w:val="99"/>
    <w:semiHidden/>
    <w:unhideWhenUsed/>
    <w:rsid w:val="003A71DE"/>
  </w:style>
  <w:style w:type="table" w:customStyle="1" w:styleId="TableGrid136">
    <w:name w:val="Table Grid136"/>
    <w:basedOn w:val="TableNormal"/>
    <w:next w:val="TableGrid"/>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6">
    <w:name w:val="Tabellengitternetz1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6">
    <w:name w:val="Tabellengitternetz2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6">
    <w:name w:val="Tabellengitternetz3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6">
    <w:name w:val="Tabellengitternetz4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6">
    <w:name w:val="Tabellengitternetz5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6">
    <w:name w:val="Tabellengitternetz6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6">
    <w:name w:val="Tabellengitternetz7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6">
    <w:name w:val="Tabellengitternetz8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6">
    <w:name w:val="Tabellengitternetz93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6">
    <w:name w:val="Table Grid23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6">
    <w:name w:val="Table Grid336"/>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2">
    <w:name w:val="无列表135"/>
    <w:next w:val="NoList"/>
    <w:semiHidden/>
    <w:rsid w:val="003A71DE"/>
  </w:style>
  <w:style w:type="table" w:customStyle="1" w:styleId="336">
    <w:name w:val="网格型33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6">
    <w:name w:val="网格型43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35">
    <w:name w:val="No List235"/>
    <w:next w:val="NoList"/>
    <w:semiHidden/>
    <w:rsid w:val="003A71DE"/>
  </w:style>
  <w:style w:type="numbering" w:customStyle="1" w:styleId="NoList335">
    <w:name w:val="No List335"/>
    <w:next w:val="NoList"/>
    <w:uiPriority w:val="99"/>
    <w:semiHidden/>
    <w:rsid w:val="003A71DE"/>
  </w:style>
  <w:style w:type="table" w:customStyle="1" w:styleId="TableGrid436">
    <w:name w:val="Table Grid436"/>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5">
    <w:name w:val="No List1135"/>
    <w:next w:val="NoList"/>
    <w:uiPriority w:val="99"/>
    <w:semiHidden/>
    <w:unhideWhenUsed/>
    <w:rsid w:val="003A71DE"/>
  </w:style>
  <w:style w:type="numbering" w:customStyle="1" w:styleId="1451">
    <w:name w:val="無清單145"/>
    <w:next w:val="NoList"/>
    <w:uiPriority w:val="99"/>
    <w:semiHidden/>
    <w:unhideWhenUsed/>
    <w:rsid w:val="003A71DE"/>
  </w:style>
  <w:style w:type="numbering" w:customStyle="1" w:styleId="1135">
    <w:name w:val="無清單1135"/>
    <w:next w:val="NoList"/>
    <w:uiPriority w:val="99"/>
    <w:semiHidden/>
    <w:unhideWhenUsed/>
    <w:rsid w:val="003A71DE"/>
  </w:style>
  <w:style w:type="table" w:customStyle="1" w:styleId="1360">
    <w:name w:val="表格格線136"/>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
    <w:name w:val="无列表225"/>
    <w:next w:val="NoList"/>
    <w:uiPriority w:val="99"/>
    <w:semiHidden/>
    <w:unhideWhenUsed/>
    <w:rsid w:val="003A71DE"/>
  </w:style>
  <w:style w:type="numbering" w:customStyle="1" w:styleId="NoList1235">
    <w:name w:val="No List1235"/>
    <w:next w:val="NoList"/>
    <w:uiPriority w:val="99"/>
    <w:semiHidden/>
    <w:unhideWhenUsed/>
    <w:rsid w:val="003A71DE"/>
  </w:style>
  <w:style w:type="numbering" w:customStyle="1" w:styleId="11350">
    <w:name w:val="リストなし1135"/>
    <w:next w:val="NoList"/>
    <w:uiPriority w:val="99"/>
    <w:semiHidden/>
    <w:unhideWhenUsed/>
    <w:rsid w:val="003A71DE"/>
  </w:style>
  <w:style w:type="numbering" w:customStyle="1" w:styleId="11351">
    <w:name w:val="无列表1135"/>
    <w:next w:val="NoList"/>
    <w:semiHidden/>
    <w:rsid w:val="003A71DE"/>
  </w:style>
  <w:style w:type="numbering" w:customStyle="1" w:styleId="NoList2135">
    <w:name w:val="No List2135"/>
    <w:next w:val="NoList"/>
    <w:semiHidden/>
    <w:rsid w:val="003A71DE"/>
  </w:style>
  <w:style w:type="numbering" w:customStyle="1" w:styleId="NoList3135">
    <w:name w:val="No List3135"/>
    <w:next w:val="NoList"/>
    <w:uiPriority w:val="99"/>
    <w:semiHidden/>
    <w:rsid w:val="003A71DE"/>
  </w:style>
  <w:style w:type="numbering" w:customStyle="1" w:styleId="NoList11135">
    <w:name w:val="No List11135"/>
    <w:next w:val="NoList"/>
    <w:uiPriority w:val="99"/>
    <w:semiHidden/>
    <w:unhideWhenUsed/>
    <w:rsid w:val="003A71DE"/>
  </w:style>
  <w:style w:type="numbering" w:customStyle="1" w:styleId="1235">
    <w:name w:val="無清單1235"/>
    <w:next w:val="NoList"/>
    <w:uiPriority w:val="99"/>
    <w:semiHidden/>
    <w:unhideWhenUsed/>
    <w:rsid w:val="003A71DE"/>
  </w:style>
  <w:style w:type="numbering" w:customStyle="1" w:styleId="11135">
    <w:name w:val="無清單11135"/>
    <w:next w:val="NoList"/>
    <w:uiPriority w:val="99"/>
    <w:semiHidden/>
    <w:unhideWhenUsed/>
    <w:rsid w:val="003A71DE"/>
  </w:style>
  <w:style w:type="numbering" w:customStyle="1" w:styleId="NoList415">
    <w:name w:val="No List415"/>
    <w:next w:val="NoList"/>
    <w:uiPriority w:val="99"/>
    <w:semiHidden/>
    <w:unhideWhenUsed/>
    <w:rsid w:val="003A71DE"/>
  </w:style>
  <w:style w:type="table" w:customStyle="1" w:styleId="TableGrid516">
    <w:name w:val="Table Grid51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7">
    <w:name w:val="Table Grid1117"/>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7">
    <w:name w:val="Tabellengitternetz1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7">
    <w:name w:val="Tabellengitternetz2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7">
    <w:name w:val="Tabellengitternetz3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7">
    <w:name w:val="Tabellengitternetz4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7">
    <w:name w:val="Tabellengitternetz5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7">
    <w:name w:val="Tabellengitternetz6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7">
    <w:name w:val="Tabellengitternetz7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7">
    <w:name w:val="Tabellengitternetz8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7">
    <w:name w:val="Tabellengitternetz9117"/>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7">
    <w:name w:val="Table Grid2117"/>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7">
    <w:name w:val="Table Grid3117"/>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7">
    <w:name w:val="网格型3117"/>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7">
    <w:name w:val="网格型4117"/>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7">
    <w:name w:val="Table Grid4117"/>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3">
    <w:name w:val="表格格線1117"/>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5">
    <w:name w:val="No List12115"/>
    <w:next w:val="NoList"/>
    <w:uiPriority w:val="99"/>
    <w:semiHidden/>
    <w:unhideWhenUsed/>
    <w:rsid w:val="003A71DE"/>
  </w:style>
  <w:style w:type="numbering" w:customStyle="1" w:styleId="111151">
    <w:name w:val="リストなし11115"/>
    <w:next w:val="NoList"/>
    <w:uiPriority w:val="99"/>
    <w:semiHidden/>
    <w:unhideWhenUsed/>
    <w:rsid w:val="003A71DE"/>
  </w:style>
  <w:style w:type="numbering" w:customStyle="1" w:styleId="111152">
    <w:name w:val="无列表11115"/>
    <w:next w:val="NoList"/>
    <w:semiHidden/>
    <w:rsid w:val="003A71DE"/>
  </w:style>
  <w:style w:type="numbering" w:customStyle="1" w:styleId="NoList21115">
    <w:name w:val="No List21115"/>
    <w:next w:val="NoList"/>
    <w:semiHidden/>
    <w:rsid w:val="003A71DE"/>
  </w:style>
  <w:style w:type="numbering" w:customStyle="1" w:styleId="NoList31115">
    <w:name w:val="No List31115"/>
    <w:next w:val="NoList"/>
    <w:uiPriority w:val="99"/>
    <w:semiHidden/>
    <w:rsid w:val="003A71DE"/>
  </w:style>
  <w:style w:type="numbering" w:customStyle="1" w:styleId="NoList111115">
    <w:name w:val="No List111115"/>
    <w:next w:val="NoList"/>
    <w:uiPriority w:val="99"/>
    <w:semiHidden/>
    <w:unhideWhenUsed/>
    <w:rsid w:val="003A71DE"/>
  </w:style>
  <w:style w:type="numbering" w:customStyle="1" w:styleId="12115">
    <w:name w:val="無清單12115"/>
    <w:next w:val="NoList"/>
    <w:uiPriority w:val="99"/>
    <w:semiHidden/>
    <w:unhideWhenUsed/>
    <w:rsid w:val="003A71DE"/>
  </w:style>
  <w:style w:type="numbering" w:customStyle="1" w:styleId="111115">
    <w:name w:val="無清單111115"/>
    <w:next w:val="NoList"/>
    <w:uiPriority w:val="99"/>
    <w:semiHidden/>
    <w:unhideWhenUsed/>
    <w:rsid w:val="003A71DE"/>
  </w:style>
  <w:style w:type="numbering" w:customStyle="1" w:styleId="NoList515">
    <w:name w:val="No List515"/>
    <w:next w:val="NoList"/>
    <w:uiPriority w:val="99"/>
    <w:semiHidden/>
    <w:unhideWhenUsed/>
    <w:rsid w:val="003A71DE"/>
  </w:style>
  <w:style w:type="table" w:customStyle="1" w:styleId="TableGrid616">
    <w:name w:val="Table Grid61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15">
    <w:name w:val="No List1315"/>
    <w:next w:val="NoList"/>
    <w:uiPriority w:val="99"/>
    <w:semiHidden/>
    <w:unhideWhenUsed/>
    <w:rsid w:val="003A71DE"/>
  </w:style>
  <w:style w:type="numbering" w:customStyle="1" w:styleId="12151">
    <w:name w:val="リストなし1215"/>
    <w:next w:val="NoList"/>
    <w:uiPriority w:val="99"/>
    <w:semiHidden/>
    <w:unhideWhenUsed/>
    <w:rsid w:val="003A71DE"/>
  </w:style>
  <w:style w:type="table" w:customStyle="1" w:styleId="TableGrid1216">
    <w:name w:val="Table Grid1216"/>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6">
    <w:name w:val="Tabellengitternetz1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6">
    <w:name w:val="Tabellengitternetz2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6">
    <w:name w:val="Tabellengitternetz3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6">
    <w:name w:val="Tabellengitternetz4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6">
    <w:name w:val="Tabellengitternetz5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6">
    <w:name w:val="Tabellengitternetz6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6">
    <w:name w:val="Tabellengitternetz7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6">
    <w:name w:val="Tabellengitternetz8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6">
    <w:name w:val="Tabellengitternetz921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6">
    <w:name w:val="Table Grid221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6">
    <w:name w:val="Table Grid3216"/>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52">
    <w:name w:val="无列表1215"/>
    <w:next w:val="NoList"/>
    <w:semiHidden/>
    <w:rsid w:val="003A71DE"/>
  </w:style>
  <w:style w:type="table" w:customStyle="1" w:styleId="3216">
    <w:name w:val="网格型321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6">
    <w:name w:val="网格型421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5">
    <w:name w:val="No List2215"/>
    <w:next w:val="NoList"/>
    <w:semiHidden/>
    <w:rsid w:val="003A71DE"/>
  </w:style>
  <w:style w:type="numbering" w:customStyle="1" w:styleId="NoList3215">
    <w:name w:val="No List3215"/>
    <w:next w:val="NoList"/>
    <w:uiPriority w:val="99"/>
    <w:semiHidden/>
    <w:rsid w:val="003A71DE"/>
  </w:style>
  <w:style w:type="table" w:customStyle="1" w:styleId="TableGrid4216">
    <w:name w:val="Table Grid4216"/>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5">
    <w:name w:val="No List11215"/>
    <w:next w:val="NoList"/>
    <w:uiPriority w:val="99"/>
    <w:semiHidden/>
    <w:unhideWhenUsed/>
    <w:rsid w:val="003A71DE"/>
  </w:style>
  <w:style w:type="numbering" w:customStyle="1" w:styleId="1315">
    <w:name w:val="無清單1315"/>
    <w:next w:val="NoList"/>
    <w:uiPriority w:val="99"/>
    <w:semiHidden/>
    <w:unhideWhenUsed/>
    <w:rsid w:val="003A71DE"/>
  </w:style>
  <w:style w:type="numbering" w:customStyle="1" w:styleId="11215">
    <w:name w:val="無清單11215"/>
    <w:next w:val="NoList"/>
    <w:uiPriority w:val="99"/>
    <w:semiHidden/>
    <w:unhideWhenUsed/>
    <w:rsid w:val="003A71DE"/>
  </w:style>
  <w:style w:type="table" w:customStyle="1" w:styleId="12160">
    <w:name w:val="表格格線1216"/>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5">
    <w:name w:val="无列表2115"/>
    <w:next w:val="NoList"/>
    <w:uiPriority w:val="99"/>
    <w:semiHidden/>
    <w:unhideWhenUsed/>
    <w:rsid w:val="003A71DE"/>
  </w:style>
  <w:style w:type="numbering" w:customStyle="1" w:styleId="NoList12215">
    <w:name w:val="No List12215"/>
    <w:next w:val="NoList"/>
    <w:uiPriority w:val="99"/>
    <w:semiHidden/>
    <w:unhideWhenUsed/>
    <w:rsid w:val="003A71DE"/>
  </w:style>
  <w:style w:type="numbering" w:customStyle="1" w:styleId="112150">
    <w:name w:val="リストなし11215"/>
    <w:next w:val="NoList"/>
    <w:uiPriority w:val="99"/>
    <w:semiHidden/>
    <w:unhideWhenUsed/>
    <w:rsid w:val="003A71DE"/>
  </w:style>
  <w:style w:type="numbering" w:customStyle="1" w:styleId="112151">
    <w:name w:val="无列表11215"/>
    <w:next w:val="NoList"/>
    <w:semiHidden/>
    <w:rsid w:val="003A71DE"/>
  </w:style>
  <w:style w:type="numbering" w:customStyle="1" w:styleId="NoList21215">
    <w:name w:val="No List21215"/>
    <w:next w:val="NoList"/>
    <w:semiHidden/>
    <w:rsid w:val="003A71DE"/>
  </w:style>
  <w:style w:type="numbering" w:customStyle="1" w:styleId="NoList31215">
    <w:name w:val="No List31215"/>
    <w:next w:val="NoList"/>
    <w:uiPriority w:val="99"/>
    <w:semiHidden/>
    <w:rsid w:val="003A71DE"/>
  </w:style>
  <w:style w:type="numbering" w:customStyle="1" w:styleId="NoList111215">
    <w:name w:val="No List111215"/>
    <w:next w:val="NoList"/>
    <w:uiPriority w:val="99"/>
    <w:semiHidden/>
    <w:unhideWhenUsed/>
    <w:rsid w:val="003A71DE"/>
  </w:style>
  <w:style w:type="numbering" w:customStyle="1" w:styleId="12215">
    <w:name w:val="無清單12215"/>
    <w:next w:val="NoList"/>
    <w:uiPriority w:val="99"/>
    <w:semiHidden/>
    <w:unhideWhenUsed/>
    <w:rsid w:val="003A71DE"/>
  </w:style>
  <w:style w:type="numbering" w:customStyle="1" w:styleId="111215">
    <w:name w:val="無清單111215"/>
    <w:next w:val="NoList"/>
    <w:uiPriority w:val="99"/>
    <w:semiHidden/>
    <w:unhideWhenUsed/>
    <w:rsid w:val="003A71DE"/>
  </w:style>
  <w:style w:type="table" w:customStyle="1" w:styleId="174">
    <w:name w:val="网格型17"/>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6">
    <w:name w:val="Table Grid11116"/>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0">
    <w:name w:val="无列表35"/>
    <w:next w:val="NoList"/>
    <w:uiPriority w:val="99"/>
    <w:semiHidden/>
    <w:unhideWhenUsed/>
    <w:rsid w:val="003A71DE"/>
  </w:style>
  <w:style w:type="table" w:customStyle="1" w:styleId="260">
    <w:name w:val="网格型2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0">
    <w:name w:val="无列表1315"/>
    <w:next w:val="NoList"/>
    <w:semiHidden/>
    <w:rsid w:val="003A71DE"/>
  </w:style>
  <w:style w:type="numbering" w:customStyle="1" w:styleId="NoList11314">
    <w:name w:val="No List11314"/>
    <w:next w:val="NoList"/>
    <w:uiPriority w:val="99"/>
    <w:semiHidden/>
    <w:unhideWhenUsed/>
    <w:rsid w:val="003A71DE"/>
  </w:style>
  <w:style w:type="numbering" w:customStyle="1" w:styleId="NoList4115">
    <w:name w:val="No List4115"/>
    <w:next w:val="NoList"/>
    <w:uiPriority w:val="99"/>
    <w:semiHidden/>
    <w:unhideWhenUsed/>
    <w:rsid w:val="003A71DE"/>
  </w:style>
  <w:style w:type="table" w:customStyle="1" w:styleId="TableGrid1127">
    <w:name w:val="Table Grid1127"/>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5">
    <w:name w:val="无列表2215"/>
    <w:next w:val="NoList"/>
    <w:uiPriority w:val="99"/>
    <w:semiHidden/>
    <w:unhideWhenUsed/>
    <w:rsid w:val="003A71DE"/>
  </w:style>
  <w:style w:type="numbering" w:customStyle="1" w:styleId="NoList121115">
    <w:name w:val="No List121115"/>
    <w:next w:val="NoList"/>
    <w:uiPriority w:val="99"/>
    <w:semiHidden/>
    <w:unhideWhenUsed/>
    <w:rsid w:val="003A71DE"/>
  </w:style>
  <w:style w:type="numbering" w:customStyle="1" w:styleId="1111150">
    <w:name w:val="リストなし111115"/>
    <w:next w:val="NoList"/>
    <w:uiPriority w:val="99"/>
    <w:semiHidden/>
    <w:unhideWhenUsed/>
    <w:rsid w:val="003A71DE"/>
  </w:style>
  <w:style w:type="numbering" w:customStyle="1" w:styleId="1111151">
    <w:name w:val="无列表111115"/>
    <w:next w:val="NoList"/>
    <w:semiHidden/>
    <w:rsid w:val="003A71DE"/>
  </w:style>
  <w:style w:type="numbering" w:customStyle="1" w:styleId="NoList211115">
    <w:name w:val="No List211115"/>
    <w:next w:val="NoList"/>
    <w:semiHidden/>
    <w:rsid w:val="003A71DE"/>
  </w:style>
  <w:style w:type="numbering" w:customStyle="1" w:styleId="NoList311115">
    <w:name w:val="No List311115"/>
    <w:next w:val="NoList"/>
    <w:uiPriority w:val="99"/>
    <w:semiHidden/>
    <w:rsid w:val="003A71DE"/>
  </w:style>
  <w:style w:type="numbering" w:customStyle="1" w:styleId="NoList1111115">
    <w:name w:val="No List1111115"/>
    <w:next w:val="NoList"/>
    <w:uiPriority w:val="99"/>
    <w:semiHidden/>
    <w:unhideWhenUsed/>
    <w:rsid w:val="003A71DE"/>
  </w:style>
  <w:style w:type="numbering" w:customStyle="1" w:styleId="121115">
    <w:name w:val="無清單121115"/>
    <w:next w:val="NoList"/>
    <w:uiPriority w:val="99"/>
    <w:semiHidden/>
    <w:unhideWhenUsed/>
    <w:rsid w:val="003A71DE"/>
  </w:style>
  <w:style w:type="numbering" w:customStyle="1" w:styleId="1111115">
    <w:name w:val="無清單1111115"/>
    <w:next w:val="NoList"/>
    <w:uiPriority w:val="99"/>
    <w:semiHidden/>
    <w:unhideWhenUsed/>
    <w:rsid w:val="003A71DE"/>
  </w:style>
  <w:style w:type="numbering" w:customStyle="1" w:styleId="NoList13115">
    <w:name w:val="No List13115"/>
    <w:next w:val="NoList"/>
    <w:uiPriority w:val="99"/>
    <w:semiHidden/>
    <w:unhideWhenUsed/>
    <w:rsid w:val="003A71DE"/>
  </w:style>
  <w:style w:type="numbering" w:customStyle="1" w:styleId="121150">
    <w:name w:val="リストなし12115"/>
    <w:next w:val="NoList"/>
    <w:uiPriority w:val="99"/>
    <w:semiHidden/>
    <w:unhideWhenUsed/>
    <w:rsid w:val="003A71DE"/>
  </w:style>
  <w:style w:type="numbering" w:customStyle="1" w:styleId="121151">
    <w:name w:val="无列表12115"/>
    <w:next w:val="NoList"/>
    <w:semiHidden/>
    <w:rsid w:val="003A71DE"/>
  </w:style>
  <w:style w:type="numbering" w:customStyle="1" w:styleId="NoList22115">
    <w:name w:val="No List22115"/>
    <w:next w:val="NoList"/>
    <w:semiHidden/>
    <w:rsid w:val="003A71DE"/>
  </w:style>
  <w:style w:type="numbering" w:customStyle="1" w:styleId="NoList32115">
    <w:name w:val="No List32115"/>
    <w:next w:val="NoList"/>
    <w:uiPriority w:val="99"/>
    <w:semiHidden/>
    <w:rsid w:val="003A71DE"/>
  </w:style>
  <w:style w:type="numbering" w:customStyle="1" w:styleId="NoList112115">
    <w:name w:val="No List112115"/>
    <w:next w:val="NoList"/>
    <w:uiPriority w:val="99"/>
    <w:semiHidden/>
    <w:unhideWhenUsed/>
    <w:rsid w:val="003A71DE"/>
  </w:style>
  <w:style w:type="numbering" w:customStyle="1" w:styleId="13115">
    <w:name w:val="無清單13115"/>
    <w:next w:val="NoList"/>
    <w:uiPriority w:val="99"/>
    <w:semiHidden/>
    <w:unhideWhenUsed/>
    <w:rsid w:val="003A71DE"/>
  </w:style>
  <w:style w:type="numbering" w:customStyle="1" w:styleId="112115">
    <w:name w:val="無清單112115"/>
    <w:next w:val="NoList"/>
    <w:uiPriority w:val="99"/>
    <w:semiHidden/>
    <w:unhideWhenUsed/>
    <w:rsid w:val="003A71DE"/>
  </w:style>
  <w:style w:type="numbering" w:customStyle="1" w:styleId="21115">
    <w:name w:val="无列表21115"/>
    <w:next w:val="NoList"/>
    <w:uiPriority w:val="99"/>
    <w:semiHidden/>
    <w:unhideWhenUsed/>
    <w:rsid w:val="003A71DE"/>
  </w:style>
  <w:style w:type="numbering" w:customStyle="1" w:styleId="NoList122115">
    <w:name w:val="No List122115"/>
    <w:next w:val="NoList"/>
    <w:uiPriority w:val="99"/>
    <w:semiHidden/>
    <w:unhideWhenUsed/>
    <w:rsid w:val="003A71DE"/>
  </w:style>
  <w:style w:type="numbering" w:customStyle="1" w:styleId="1121150">
    <w:name w:val="リストなし112115"/>
    <w:next w:val="NoList"/>
    <w:uiPriority w:val="99"/>
    <w:semiHidden/>
    <w:unhideWhenUsed/>
    <w:rsid w:val="003A71DE"/>
  </w:style>
  <w:style w:type="numbering" w:customStyle="1" w:styleId="1121151">
    <w:name w:val="无列表112115"/>
    <w:next w:val="NoList"/>
    <w:semiHidden/>
    <w:rsid w:val="003A71DE"/>
  </w:style>
  <w:style w:type="numbering" w:customStyle="1" w:styleId="NoList212115">
    <w:name w:val="No List212115"/>
    <w:next w:val="NoList"/>
    <w:semiHidden/>
    <w:rsid w:val="003A71DE"/>
  </w:style>
  <w:style w:type="numbering" w:customStyle="1" w:styleId="NoList312115">
    <w:name w:val="No List312115"/>
    <w:next w:val="NoList"/>
    <w:uiPriority w:val="99"/>
    <w:semiHidden/>
    <w:rsid w:val="003A71DE"/>
  </w:style>
  <w:style w:type="numbering" w:customStyle="1" w:styleId="NoList1112115">
    <w:name w:val="No List1112115"/>
    <w:next w:val="NoList"/>
    <w:uiPriority w:val="99"/>
    <w:semiHidden/>
    <w:unhideWhenUsed/>
    <w:rsid w:val="003A71DE"/>
  </w:style>
  <w:style w:type="numbering" w:customStyle="1" w:styleId="1221150">
    <w:name w:val="無清單122115"/>
    <w:next w:val="NoList"/>
    <w:uiPriority w:val="99"/>
    <w:semiHidden/>
    <w:unhideWhenUsed/>
    <w:rsid w:val="003A71DE"/>
  </w:style>
  <w:style w:type="numbering" w:customStyle="1" w:styleId="1112115">
    <w:name w:val="無清單1112115"/>
    <w:next w:val="NoList"/>
    <w:uiPriority w:val="99"/>
    <w:semiHidden/>
    <w:unhideWhenUsed/>
    <w:rsid w:val="003A71DE"/>
  </w:style>
  <w:style w:type="numbering" w:customStyle="1" w:styleId="NoList5114">
    <w:name w:val="No List5114"/>
    <w:next w:val="NoList"/>
    <w:uiPriority w:val="99"/>
    <w:semiHidden/>
    <w:unhideWhenUsed/>
    <w:rsid w:val="003A71DE"/>
  </w:style>
  <w:style w:type="numbering" w:customStyle="1" w:styleId="NoList614">
    <w:name w:val="No List614"/>
    <w:next w:val="NoList"/>
    <w:uiPriority w:val="99"/>
    <w:semiHidden/>
    <w:unhideWhenUsed/>
    <w:rsid w:val="003A71DE"/>
  </w:style>
  <w:style w:type="numbering" w:customStyle="1" w:styleId="NoList1414">
    <w:name w:val="No List1414"/>
    <w:next w:val="NoList"/>
    <w:uiPriority w:val="99"/>
    <w:semiHidden/>
    <w:unhideWhenUsed/>
    <w:rsid w:val="003A71DE"/>
  </w:style>
  <w:style w:type="numbering" w:customStyle="1" w:styleId="13141">
    <w:name w:val="リストなし1314"/>
    <w:next w:val="NoList"/>
    <w:uiPriority w:val="99"/>
    <w:semiHidden/>
    <w:unhideWhenUsed/>
    <w:rsid w:val="003A71DE"/>
  </w:style>
  <w:style w:type="numbering" w:customStyle="1" w:styleId="NoList2314">
    <w:name w:val="No List2314"/>
    <w:next w:val="NoList"/>
    <w:semiHidden/>
    <w:rsid w:val="003A71DE"/>
  </w:style>
  <w:style w:type="numbering" w:customStyle="1" w:styleId="NoList3314">
    <w:name w:val="No List3314"/>
    <w:next w:val="NoList"/>
    <w:uiPriority w:val="99"/>
    <w:semiHidden/>
    <w:rsid w:val="003A71DE"/>
  </w:style>
  <w:style w:type="numbering" w:customStyle="1" w:styleId="NoList1144">
    <w:name w:val="No List1144"/>
    <w:next w:val="NoList"/>
    <w:uiPriority w:val="99"/>
    <w:semiHidden/>
    <w:unhideWhenUsed/>
    <w:rsid w:val="003A71DE"/>
  </w:style>
  <w:style w:type="numbering" w:customStyle="1" w:styleId="1414">
    <w:name w:val="無清單1414"/>
    <w:next w:val="NoList"/>
    <w:uiPriority w:val="99"/>
    <w:semiHidden/>
    <w:unhideWhenUsed/>
    <w:rsid w:val="003A71DE"/>
  </w:style>
  <w:style w:type="numbering" w:customStyle="1" w:styleId="11314">
    <w:name w:val="無清單11314"/>
    <w:next w:val="NoList"/>
    <w:uiPriority w:val="99"/>
    <w:semiHidden/>
    <w:unhideWhenUsed/>
    <w:rsid w:val="003A71DE"/>
  </w:style>
  <w:style w:type="numbering" w:customStyle="1" w:styleId="NoList424">
    <w:name w:val="No List424"/>
    <w:next w:val="NoList"/>
    <w:uiPriority w:val="99"/>
    <w:semiHidden/>
    <w:unhideWhenUsed/>
    <w:rsid w:val="003A71DE"/>
  </w:style>
  <w:style w:type="numbering" w:customStyle="1" w:styleId="NoList12314">
    <w:name w:val="No List12314"/>
    <w:next w:val="NoList"/>
    <w:uiPriority w:val="99"/>
    <w:semiHidden/>
    <w:unhideWhenUsed/>
    <w:rsid w:val="003A71DE"/>
  </w:style>
  <w:style w:type="numbering" w:customStyle="1" w:styleId="113140">
    <w:name w:val="リストなし11314"/>
    <w:next w:val="NoList"/>
    <w:uiPriority w:val="99"/>
    <w:semiHidden/>
    <w:unhideWhenUsed/>
    <w:rsid w:val="003A71DE"/>
  </w:style>
  <w:style w:type="numbering" w:customStyle="1" w:styleId="113141">
    <w:name w:val="无列表11314"/>
    <w:next w:val="NoList"/>
    <w:semiHidden/>
    <w:rsid w:val="003A71DE"/>
  </w:style>
  <w:style w:type="numbering" w:customStyle="1" w:styleId="NoList21314">
    <w:name w:val="No List21314"/>
    <w:next w:val="NoList"/>
    <w:semiHidden/>
    <w:rsid w:val="003A71DE"/>
  </w:style>
  <w:style w:type="numbering" w:customStyle="1" w:styleId="NoList31314">
    <w:name w:val="No List31314"/>
    <w:next w:val="NoList"/>
    <w:uiPriority w:val="99"/>
    <w:semiHidden/>
    <w:rsid w:val="003A71DE"/>
  </w:style>
  <w:style w:type="numbering" w:customStyle="1" w:styleId="NoList111314">
    <w:name w:val="No List111314"/>
    <w:next w:val="NoList"/>
    <w:uiPriority w:val="99"/>
    <w:semiHidden/>
    <w:unhideWhenUsed/>
    <w:rsid w:val="003A71DE"/>
  </w:style>
  <w:style w:type="numbering" w:customStyle="1" w:styleId="12314">
    <w:name w:val="無清單12314"/>
    <w:next w:val="NoList"/>
    <w:uiPriority w:val="99"/>
    <w:semiHidden/>
    <w:unhideWhenUsed/>
    <w:rsid w:val="003A71DE"/>
  </w:style>
  <w:style w:type="numbering" w:customStyle="1" w:styleId="111314">
    <w:name w:val="無清單111314"/>
    <w:next w:val="NoList"/>
    <w:uiPriority w:val="99"/>
    <w:semiHidden/>
    <w:unhideWhenUsed/>
    <w:rsid w:val="003A71DE"/>
  </w:style>
  <w:style w:type="numbering" w:customStyle="1" w:styleId="NoList12124">
    <w:name w:val="No List12124"/>
    <w:next w:val="NoList"/>
    <w:uiPriority w:val="99"/>
    <w:semiHidden/>
    <w:unhideWhenUsed/>
    <w:rsid w:val="003A71DE"/>
  </w:style>
  <w:style w:type="numbering" w:customStyle="1" w:styleId="111241">
    <w:name w:val="リストなし11124"/>
    <w:next w:val="NoList"/>
    <w:uiPriority w:val="99"/>
    <w:semiHidden/>
    <w:unhideWhenUsed/>
    <w:rsid w:val="003A71DE"/>
  </w:style>
  <w:style w:type="numbering" w:customStyle="1" w:styleId="111242">
    <w:name w:val="无列表11124"/>
    <w:next w:val="NoList"/>
    <w:semiHidden/>
    <w:rsid w:val="003A71DE"/>
  </w:style>
  <w:style w:type="numbering" w:customStyle="1" w:styleId="NoList21124">
    <w:name w:val="No List21124"/>
    <w:next w:val="NoList"/>
    <w:semiHidden/>
    <w:rsid w:val="003A71DE"/>
  </w:style>
  <w:style w:type="numbering" w:customStyle="1" w:styleId="NoList31124">
    <w:name w:val="No List31124"/>
    <w:next w:val="NoList"/>
    <w:uiPriority w:val="99"/>
    <w:semiHidden/>
    <w:rsid w:val="003A71DE"/>
  </w:style>
  <w:style w:type="numbering" w:customStyle="1" w:styleId="NoList111124">
    <w:name w:val="No List111124"/>
    <w:next w:val="NoList"/>
    <w:uiPriority w:val="99"/>
    <w:semiHidden/>
    <w:unhideWhenUsed/>
    <w:rsid w:val="003A71DE"/>
  </w:style>
  <w:style w:type="numbering" w:customStyle="1" w:styleId="12124">
    <w:name w:val="無清單12124"/>
    <w:next w:val="NoList"/>
    <w:uiPriority w:val="99"/>
    <w:semiHidden/>
    <w:unhideWhenUsed/>
    <w:rsid w:val="003A71DE"/>
  </w:style>
  <w:style w:type="numbering" w:customStyle="1" w:styleId="111124">
    <w:name w:val="無清單111124"/>
    <w:next w:val="NoList"/>
    <w:uiPriority w:val="99"/>
    <w:semiHidden/>
    <w:unhideWhenUsed/>
    <w:rsid w:val="003A71DE"/>
  </w:style>
  <w:style w:type="numbering" w:customStyle="1" w:styleId="NoList524">
    <w:name w:val="No List524"/>
    <w:next w:val="NoList"/>
    <w:uiPriority w:val="99"/>
    <w:semiHidden/>
    <w:unhideWhenUsed/>
    <w:rsid w:val="003A71DE"/>
  </w:style>
  <w:style w:type="numbering" w:customStyle="1" w:styleId="NoList1324">
    <w:name w:val="No List1324"/>
    <w:next w:val="NoList"/>
    <w:uiPriority w:val="99"/>
    <w:semiHidden/>
    <w:unhideWhenUsed/>
    <w:rsid w:val="003A71DE"/>
  </w:style>
  <w:style w:type="numbering" w:customStyle="1" w:styleId="12243">
    <w:name w:val="リストなし1224"/>
    <w:next w:val="NoList"/>
    <w:uiPriority w:val="99"/>
    <w:semiHidden/>
    <w:unhideWhenUsed/>
    <w:rsid w:val="003A71DE"/>
  </w:style>
  <w:style w:type="numbering" w:customStyle="1" w:styleId="12251">
    <w:name w:val="无列表1225"/>
    <w:next w:val="NoList"/>
    <w:semiHidden/>
    <w:rsid w:val="003A71DE"/>
  </w:style>
  <w:style w:type="numbering" w:customStyle="1" w:styleId="NoList2224">
    <w:name w:val="No List2224"/>
    <w:next w:val="NoList"/>
    <w:semiHidden/>
    <w:rsid w:val="003A71DE"/>
  </w:style>
  <w:style w:type="numbering" w:customStyle="1" w:styleId="NoList3224">
    <w:name w:val="No List3224"/>
    <w:next w:val="NoList"/>
    <w:uiPriority w:val="99"/>
    <w:semiHidden/>
    <w:rsid w:val="003A71DE"/>
  </w:style>
  <w:style w:type="numbering" w:customStyle="1" w:styleId="NoList11224">
    <w:name w:val="No List11224"/>
    <w:next w:val="NoList"/>
    <w:uiPriority w:val="99"/>
    <w:semiHidden/>
    <w:unhideWhenUsed/>
    <w:rsid w:val="003A71DE"/>
  </w:style>
  <w:style w:type="numbering" w:customStyle="1" w:styleId="1324">
    <w:name w:val="無清單1324"/>
    <w:next w:val="NoList"/>
    <w:uiPriority w:val="99"/>
    <w:semiHidden/>
    <w:unhideWhenUsed/>
    <w:rsid w:val="003A71DE"/>
  </w:style>
  <w:style w:type="numbering" w:customStyle="1" w:styleId="11224">
    <w:name w:val="無清單11224"/>
    <w:next w:val="NoList"/>
    <w:uiPriority w:val="99"/>
    <w:semiHidden/>
    <w:unhideWhenUsed/>
    <w:rsid w:val="003A71DE"/>
  </w:style>
  <w:style w:type="numbering" w:customStyle="1" w:styleId="2124">
    <w:name w:val="无列表2124"/>
    <w:next w:val="NoList"/>
    <w:uiPriority w:val="99"/>
    <w:semiHidden/>
    <w:unhideWhenUsed/>
    <w:rsid w:val="003A71DE"/>
  </w:style>
  <w:style w:type="numbering" w:customStyle="1" w:styleId="NoList111224">
    <w:name w:val="No List111224"/>
    <w:next w:val="NoList"/>
    <w:uiPriority w:val="99"/>
    <w:semiHidden/>
    <w:unhideWhenUsed/>
    <w:rsid w:val="003A71DE"/>
  </w:style>
  <w:style w:type="numbering" w:customStyle="1" w:styleId="NoList75">
    <w:name w:val="No List75"/>
    <w:next w:val="NoList"/>
    <w:uiPriority w:val="99"/>
    <w:semiHidden/>
    <w:unhideWhenUsed/>
    <w:rsid w:val="003A71DE"/>
  </w:style>
  <w:style w:type="table" w:customStyle="1" w:styleId="TableGrid86">
    <w:name w:val="Table Grid8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54">
    <w:name w:val="No List154"/>
    <w:next w:val="NoList"/>
    <w:uiPriority w:val="99"/>
    <w:semiHidden/>
    <w:unhideWhenUsed/>
    <w:rsid w:val="003A71DE"/>
  </w:style>
  <w:style w:type="numbering" w:customStyle="1" w:styleId="1442">
    <w:name w:val="リストなし144"/>
    <w:next w:val="NoList"/>
    <w:uiPriority w:val="99"/>
    <w:semiHidden/>
    <w:unhideWhenUsed/>
    <w:rsid w:val="003A71DE"/>
  </w:style>
  <w:style w:type="table" w:customStyle="1" w:styleId="TableGrid146">
    <w:name w:val="Table Grid146"/>
    <w:basedOn w:val="TableNormal"/>
    <w:next w:val="TableGrid"/>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6">
    <w:name w:val="Tabellengitternetz1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6">
    <w:name w:val="Tabellengitternetz2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6">
    <w:name w:val="Tabellengitternetz3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6">
    <w:name w:val="Tabellengitternetz4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6">
    <w:name w:val="Tabellengitternetz5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6">
    <w:name w:val="Tabellengitternetz6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6">
    <w:name w:val="Tabellengitternetz7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6">
    <w:name w:val="Tabellengitternetz8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6">
    <w:name w:val="Tabellengitternetz94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6">
    <w:name w:val="Table Grid24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6">
    <w:name w:val="Table Grid346"/>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3">
    <w:name w:val="无列表144"/>
    <w:next w:val="NoList"/>
    <w:semiHidden/>
    <w:rsid w:val="003A71DE"/>
  </w:style>
  <w:style w:type="table" w:customStyle="1" w:styleId="346">
    <w:name w:val="网格型34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6">
    <w:name w:val="网格型44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4">
    <w:name w:val="No List244"/>
    <w:next w:val="NoList"/>
    <w:semiHidden/>
    <w:rsid w:val="003A71DE"/>
  </w:style>
  <w:style w:type="numbering" w:customStyle="1" w:styleId="NoList344">
    <w:name w:val="No List344"/>
    <w:next w:val="NoList"/>
    <w:uiPriority w:val="99"/>
    <w:semiHidden/>
    <w:rsid w:val="003A71DE"/>
  </w:style>
  <w:style w:type="table" w:customStyle="1" w:styleId="TableGrid446">
    <w:name w:val="Table Grid446"/>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4">
    <w:name w:val="No List1154"/>
    <w:next w:val="NoList"/>
    <w:uiPriority w:val="99"/>
    <w:semiHidden/>
    <w:unhideWhenUsed/>
    <w:rsid w:val="003A71DE"/>
  </w:style>
  <w:style w:type="numbering" w:customStyle="1" w:styleId="1541">
    <w:name w:val="無清單154"/>
    <w:next w:val="NoList"/>
    <w:uiPriority w:val="99"/>
    <w:semiHidden/>
    <w:unhideWhenUsed/>
    <w:rsid w:val="003A71DE"/>
  </w:style>
  <w:style w:type="numbering" w:customStyle="1" w:styleId="1144">
    <w:name w:val="無清單1144"/>
    <w:next w:val="NoList"/>
    <w:uiPriority w:val="99"/>
    <w:semiHidden/>
    <w:unhideWhenUsed/>
    <w:rsid w:val="003A71DE"/>
  </w:style>
  <w:style w:type="table" w:customStyle="1" w:styleId="146">
    <w:name w:val="表格格線146"/>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4">
    <w:name w:val="No List434"/>
    <w:next w:val="NoList"/>
    <w:uiPriority w:val="99"/>
    <w:semiHidden/>
    <w:unhideWhenUsed/>
    <w:rsid w:val="003A71DE"/>
  </w:style>
  <w:style w:type="table" w:customStyle="1" w:styleId="TableGrid526">
    <w:name w:val="Table Grid52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4">
    <w:name w:val="No List1244"/>
    <w:next w:val="NoList"/>
    <w:uiPriority w:val="99"/>
    <w:semiHidden/>
    <w:unhideWhenUsed/>
    <w:rsid w:val="003A71DE"/>
  </w:style>
  <w:style w:type="numbering" w:customStyle="1" w:styleId="11440">
    <w:name w:val="リストなし1144"/>
    <w:next w:val="NoList"/>
    <w:uiPriority w:val="99"/>
    <w:semiHidden/>
    <w:unhideWhenUsed/>
    <w:rsid w:val="003A71DE"/>
  </w:style>
  <w:style w:type="table" w:customStyle="1" w:styleId="TableGrid1136">
    <w:name w:val="Table Grid1136"/>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6">
    <w:name w:val="Tabellengitternetz1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6">
    <w:name w:val="Tabellengitternetz2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6">
    <w:name w:val="Tabellengitternetz3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6">
    <w:name w:val="Tabellengitternetz4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6">
    <w:name w:val="Tabellengitternetz5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6">
    <w:name w:val="Tabellengitternetz6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6">
    <w:name w:val="Tabellengitternetz7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6">
    <w:name w:val="Tabellengitternetz8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6">
    <w:name w:val="Tabellengitternetz91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6">
    <w:name w:val="Table Grid21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6">
    <w:name w:val="Table Grid3126"/>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41">
    <w:name w:val="无列表1144"/>
    <w:next w:val="NoList"/>
    <w:semiHidden/>
    <w:rsid w:val="003A71DE"/>
  </w:style>
  <w:style w:type="table" w:customStyle="1" w:styleId="3126">
    <w:name w:val="网格型31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6">
    <w:name w:val="网格型41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44">
    <w:name w:val="No List2144"/>
    <w:next w:val="NoList"/>
    <w:semiHidden/>
    <w:rsid w:val="003A71DE"/>
  </w:style>
  <w:style w:type="numbering" w:customStyle="1" w:styleId="NoList3144">
    <w:name w:val="No List3144"/>
    <w:next w:val="NoList"/>
    <w:uiPriority w:val="99"/>
    <w:semiHidden/>
    <w:rsid w:val="003A71DE"/>
  </w:style>
  <w:style w:type="table" w:customStyle="1" w:styleId="TableGrid4126">
    <w:name w:val="Table Grid4126"/>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44">
    <w:name w:val="No List11144"/>
    <w:next w:val="NoList"/>
    <w:uiPriority w:val="99"/>
    <w:semiHidden/>
    <w:unhideWhenUsed/>
    <w:rsid w:val="003A71DE"/>
  </w:style>
  <w:style w:type="numbering" w:customStyle="1" w:styleId="1244">
    <w:name w:val="無清單1244"/>
    <w:next w:val="NoList"/>
    <w:uiPriority w:val="99"/>
    <w:semiHidden/>
    <w:unhideWhenUsed/>
    <w:rsid w:val="003A71DE"/>
  </w:style>
  <w:style w:type="numbering" w:customStyle="1" w:styleId="11144">
    <w:name w:val="無清單11144"/>
    <w:next w:val="NoList"/>
    <w:uiPriority w:val="99"/>
    <w:semiHidden/>
    <w:unhideWhenUsed/>
    <w:rsid w:val="003A71DE"/>
  </w:style>
  <w:style w:type="table" w:customStyle="1" w:styleId="11262">
    <w:name w:val="表格格線1126"/>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4">
    <w:name w:val="无列表234"/>
    <w:next w:val="NoList"/>
    <w:uiPriority w:val="99"/>
    <w:semiHidden/>
    <w:unhideWhenUsed/>
    <w:rsid w:val="003A71DE"/>
  </w:style>
  <w:style w:type="numbering" w:customStyle="1" w:styleId="NoList12134">
    <w:name w:val="No List12134"/>
    <w:next w:val="NoList"/>
    <w:uiPriority w:val="99"/>
    <w:semiHidden/>
    <w:unhideWhenUsed/>
    <w:rsid w:val="003A71DE"/>
  </w:style>
  <w:style w:type="numbering" w:customStyle="1" w:styleId="111340">
    <w:name w:val="リストなし11134"/>
    <w:next w:val="NoList"/>
    <w:uiPriority w:val="99"/>
    <w:semiHidden/>
    <w:unhideWhenUsed/>
    <w:rsid w:val="003A71DE"/>
  </w:style>
  <w:style w:type="numbering" w:customStyle="1" w:styleId="111341">
    <w:name w:val="无列表11134"/>
    <w:next w:val="NoList"/>
    <w:semiHidden/>
    <w:rsid w:val="003A71DE"/>
  </w:style>
  <w:style w:type="numbering" w:customStyle="1" w:styleId="NoList21134">
    <w:name w:val="No List21134"/>
    <w:next w:val="NoList"/>
    <w:semiHidden/>
    <w:rsid w:val="003A71DE"/>
  </w:style>
  <w:style w:type="numbering" w:customStyle="1" w:styleId="NoList31134">
    <w:name w:val="No List31134"/>
    <w:next w:val="NoList"/>
    <w:uiPriority w:val="99"/>
    <w:semiHidden/>
    <w:rsid w:val="003A71DE"/>
  </w:style>
  <w:style w:type="numbering" w:customStyle="1" w:styleId="NoList111134">
    <w:name w:val="No List111134"/>
    <w:next w:val="NoList"/>
    <w:uiPriority w:val="99"/>
    <w:semiHidden/>
    <w:unhideWhenUsed/>
    <w:rsid w:val="003A71DE"/>
  </w:style>
  <w:style w:type="numbering" w:customStyle="1" w:styleId="121340">
    <w:name w:val="無清單12134"/>
    <w:next w:val="NoList"/>
    <w:uiPriority w:val="99"/>
    <w:semiHidden/>
    <w:unhideWhenUsed/>
    <w:rsid w:val="003A71DE"/>
  </w:style>
  <w:style w:type="numbering" w:customStyle="1" w:styleId="111134">
    <w:name w:val="無清單111134"/>
    <w:next w:val="NoList"/>
    <w:uiPriority w:val="99"/>
    <w:semiHidden/>
    <w:unhideWhenUsed/>
    <w:rsid w:val="003A71DE"/>
  </w:style>
  <w:style w:type="numbering" w:customStyle="1" w:styleId="NoList534">
    <w:name w:val="No List534"/>
    <w:next w:val="NoList"/>
    <w:uiPriority w:val="99"/>
    <w:semiHidden/>
    <w:unhideWhenUsed/>
    <w:rsid w:val="003A71DE"/>
  </w:style>
  <w:style w:type="table" w:customStyle="1" w:styleId="TableGrid626">
    <w:name w:val="Table Grid62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34">
    <w:name w:val="No List1334"/>
    <w:next w:val="NoList"/>
    <w:uiPriority w:val="99"/>
    <w:semiHidden/>
    <w:unhideWhenUsed/>
    <w:rsid w:val="003A71DE"/>
  </w:style>
  <w:style w:type="numbering" w:customStyle="1" w:styleId="12342">
    <w:name w:val="リストなし1234"/>
    <w:next w:val="NoList"/>
    <w:uiPriority w:val="99"/>
    <w:semiHidden/>
    <w:unhideWhenUsed/>
    <w:rsid w:val="003A71DE"/>
  </w:style>
  <w:style w:type="table" w:customStyle="1" w:styleId="TableGrid1226">
    <w:name w:val="Table Grid1226"/>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6">
    <w:name w:val="Tabellengitternetz1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6">
    <w:name w:val="Tabellengitternetz2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6">
    <w:name w:val="Tabellengitternetz3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6">
    <w:name w:val="Tabellengitternetz4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6">
    <w:name w:val="Tabellengitternetz5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6">
    <w:name w:val="Tabellengitternetz6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6">
    <w:name w:val="Tabellengitternetz7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6">
    <w:name w:val="Tabellengitternetz8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6">
    <w:name w:val="Tabellengitternetz9226"/>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6">
    <w:name w:val="Table Grid22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6">
    <w:name w:val="Table Grid3226"/>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43">
    <w:name w:val="无列表1234"/>
    <w:next w:val="NoList"/>
    <w:semiHidden/>
    <w:rsid w:val="003A71DE"/>
  </w:style>
  <w:style w:type="table" w:customStyle="1" w:styleId="3226">
    <w:name w:val="网格型32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6">
    <w:name w:val="网格型4226"/>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34">
    <w:name w:val="No List2234"/>
    <w:next w:val="NoList"/>
    <w:semiHidden/>
    <w:rsid w:val="003A71DE"/>
  </w:style>
  <w:style w:type="numbering" w:customStyle="1" w:styleId="NoList3234">
    <w:name w:val="No List3234"/>
    <w:next w:val="NoList"/>
    <w:uiPriority w:val="99"/>
    <w:semiHidden/>
    <w:rsid w:val="003A71DE"/>
  </w:style>
  <w:style w:type="table" w:customStyle="1" w:styleId="TableGrid4226">
    <w:name w:val="Table Grid4226"/>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34">
    <w:name w:val="No List11234"/>
    <w:next w:val="NoList"/>
    <w:uiPriority w:val="99"/>
    <w:semiHidden/>
    <w:unhideWhenUsed/>
    <w:rsid w:val="003A71DE"/>
  </w:style>
  <w:style w:type="numbering" w:customStyle="1" w:styleId="13340">
    <w:name w:val="無清單1334"/>
    <w:next w:val="NoList"/>
    <w:uiPriority w:val="99"/>
    <w:semiHidden/>
    <w:unhideWhenUsed/>
    <w:rsid w:val="003A71DE"/>
  </w:style>
  <w:style w:type="numbering" w:customStyle="1" w:styleId="11234">
    <w:name w:val="無清單11234"/>
    <w:next w:val="NoList"/>
    <w:uiPriority w:val="99"/>
    <w:semiHidden/>
    <w:unhideWhenUsed/>
    <w:rsid w:val="003A71DE"/>
  </w:style>
  <w:style w:type="table" w:customStyle="1" w:styleId="12261">
    <w:name w:val="表格格線1226"/>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4">
    <w:name w:val="无列表2134"/>
    <w:next w:val="NoList"/>
    <w:uiPriority w:val="99"/>
    <w:semiHidden/>
    <w:unhideWhenUsed/>
    <w:rsid w:val="003A71DE"/>
  </w:style>
  <w:style w:type="numbering" w:customStyle="1" w:styleId="NoList12224">
    <w:name w:val="No List12224"/>
    <w:next w:val="NoList"/>
    <w:uiPriority w:val="99"/>
    <w:semiHidden/>
    <w:unhideWhenUsed/>
    <w:rsid w:val="003A71DE"/>
  </w:style>
  <w:style w:type="numbering" w:customStyle="1" w:styleId="112240">
    <w:name w:val="リストなし11224"/>
    <w:next w:val="NoList"/>
    <w:uiPriority w:val="99"/>
    <w:semiHidden/>
    <w:unhideWhenUsed/>
    <w:rsid w:val="003A71DE"/>
  </w:style>
  <w:style w:type="numbering" w:customStyle="1" w:styleId="112241">
    <w:name w:val="无列表11224"/>
    <w:next w:val="NoList"/>
    <w:semiHidden/>
    <w:rsid w:val="003A71DE"/>
  </w:style>
  <w:style w:type="numbering" w:customStyle="1" w:styleId="NoList21224">
    <w:name w:val="No List21224"/>
    <w:next w:val="NoList"/>
    <w:semiHidden/>
    <w:rsid w:val="003A71DE"/>
  </w:style>
  <w:style w:type="numbering" w:customStyle="1" w:styleId="NoList31224">
    <w:name w:val="No List31224"/>
    <w:next w:val="NoList"/>
    <w:uiPriority w:val="99"/>
    <w:semiHidden/>
    <w:rsid w:val="003A71DE"/>
  </w:style>
  <w:style w:type="numbering" w:customStyle="1" w:styleId="NoList111234">
    <w:name w:val="No List111234"/>
    <w:next w:val="NoList"/>
    <w:uiPriority w:val="99"/>
    <w:semiHidden/>
    <w:unhideWhenUsed/>
    <w:rsid w:val="003A71DE"/>
  </w:style>
  <w:style w:type="numbering" w:customStyle="1" w:styleId="122240">
    <w:name w:val="無清單12224"/>
    <w:next w:val="NoList"/>
    <w:uiPriority w:val="99"/>
    <w:semiHidden/>
    <w:unhideWhenUsed/>
    <w:rsid w:val="003A71DE"/>
  </w:style>
  <w:style w:type="numbering" w:customStyle="1" w:styleId="1112240">
    <w:name w:val="無清單111224"/>
    <w:next w:val="NoList"/>
    <w:uiPriority w:val="99"/>
    <w:semiHidden/>
    <w:unhideWhenUsed/>
    <w:rsid w:val="003A71DE"/>
  </w:style>
  <w:style w:type="numbering" w:customStyle="1" w:styleId="NoList84">
    <w:name w:val="No List84"/>
    <w:next w:val="NoList"/>
    <w:uiPriority w:val="99"/>
    <w:semiHidden/>
    <w:unhideWhenUsed/>
    <w:rsid w:val="003A71DE"/>
  </w:style>
  <w:style w:type="table" w:customStyle="1" w:styleId="TableGrid96">
    <w:name w:val="Table Grid96"/>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63">
    <w:name w:val="No List163"/>
    <w:next w:val="NoList"/>
    <w:uiPriority w:val="99"/>
    <w:semiHidden/>
    <w:unhideWhenUsed/>
    <w:rsid w:val="003A71DE"/>
  </w:style>
  <w:style w:type="numbering" w:customStyle="1" w:styleId="1532">
    <w:name w:val="リストなし153"/>
    <w:next w:val="NoList"/>
    <w:uiPriority w:val="99"/>
    <w:semiHidden/>
    <w:unhideWhenUsed/>
    <w:rsid w:val="003A71DE"/>
  </w:style>
  <w:style w:type="table" w:customStyle="1" w:styleId="TableGrid155">
    <w:name w:val="Table Grid155"/>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55">
    <w:name w:val="Tabellengitternetz1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55">
    <w:name w:val="Tabellengitternetz2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55">
    <w:name w:val="Tabellengitternetz3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55">
    <w:name w:val="Tabellengitternetz4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55">
    <w:name w:val="Tabellengitternetz5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55">
    <w:name w:val="Tabellengitternetz6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55">
    <w:name w:val="Tabellengitternetz7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55">
    <w:name w:val="Tabellengitternetz8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55">
    <w:name w:val="Tabellengitternetz95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5">
    <w:name w:val="Table Grid25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5">
    <w:name w:val="Table Grid35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33">
    <w:name w:val="无列表153"/>
    <w:next w:val="NoList"/>
    <w:semiHidden/>
    <w:rsid w:val="003A71DE"/>
  </w:style>
  <w:style w:type="table" w:customStyle="1" w:styleId="355">
    <w:name w:val="网格型35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5">
    <w:name w:val="网格型45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53">
    <w:name w:val="No List253"/>
    <w:next w:val="NoList"/>
    <w:semiHidden/>
    <w:rsid w:val="003A71DE"/>
  </w:style>
  <w:style w:type="numbering" w:customStyle="1" w:styleId="NoList353">
    <w:name w:val="No List353"/>
    <w:next w:val="NoList"/>
    <w:uiPriority w:val="99"/>
    <w:semiHidden/>
    <w:rsid w:val="003A71DE"/>
  </w:style>
  <w:style w:type="table" w:customStyle="1" w:styleId="TableGrid455">
    <w:name w:val="Table Grid45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63">
    <w:name w:val="No List1163"/>
    <w:next w:val="NoList"/>
    <w:uiPriority w:val="99"/>
    <w:semiHidden/>
    <w:unhideWhenUsed/>
    <w:rsid w:val="003A71DE"/>
  </w:style>
  <w:style w:type="numbering" w:customStyle="1" w:styleId="1630">
    <w:name w:val="無清單163"/>
    <w:next w:val="NoList"/>
    <w:uiPriority w:val="99"/>
    <w:semiHidden/>
    <w:unhideWhenUsed/>
    <w:rsid w:val="003A71DE"/>
  </w:style>
  <w:style w:type="numbering" w:customStyle="1" w:styleId="1153">
    <w:name w:val="無清單1153"/>
    <w:next w:val="NoList"/>
    <w:uiPriority w:val="99"/>
    <w:semiHidden/>
    <w:unhideWhenUsed/>
    <w:rsid w:val="003A71DE"/>
  </w:style>
  <w:style w:type="table" w:customStyle="1" w:styleId="155">
    <w:name w:val="表格格線15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43">
    <w:name w:val="No List443"/>
    <w:next w:val="NoList"/>
    <w:uiPriority w:val="99"/>
    <w:semiHidden/>
    <w:unhideWhenUsed/>
    <w:rsid w:val="003A71DE"/>
  </w:style>
  <w:style w:type="table" w:customStyle="1" w:styleId="TableGrid535">
    <w:name w:val="Table Grid535"/>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53">
    <w:name w:val="No List1253"/>
    <w:next w:val="NoList"/>
    <w:uiPriority w:val="99"/>
    <w:semiHidden/>
    <w:unhideWhenUsed/>
    <w:rsid w:val="003A71DE"/>
  </w:style>
  <w:style w:type="numbering" w:customStyle="1" w:styleId="11530">
    <w:name w:val="リストなし1153"/>
    <w:next w:val="NoList"/>
    <w:uiPriority w:val="99"/>
    <w:semiHidden/>
    <w:unhideWhenUsed/>
    <w:rsid w:val="003A71DE"/>
  </w:style>
  <w:style w:type="table" w:customStyle="1" w:styleId="TableGrid1145">
    <w:name w:val="Table Grid1145"/>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5">
    <w:name w:val="Tabellengitternetz1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5">
    <w:name w:val="Tabellengitternetz2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5">
    <w:name w:val="Tabellengitternetz3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5">
    <w:name w:val="Tabellengitternetz4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5">
    <w:name w:val="Tabellengitternetz5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5">
    <w:name w:val="Tabellengitternetz6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5">
    <w:name w:val="Tabellengitternetz7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5">
    <w:name w:val="Tabellengitternetz8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5">
    <w:name w:val="Tabellengitternetz91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5">
    <w:name w:val="Table Grid21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5">
    <w:name w:val="Table Grid313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31">
    <w:name w:val="无列表1153"/>
    <w:next w:val="NoList"/>
    <w:semiHidden/>
    <w:rsid w:val="003A71DE"/>
  </w:style>
  <w:style w:type="table" w:customStyle="1" w:styleId="3135">
    <w:name w:val="网格型31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5">
    <w:name w:val="网格型41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53">
    <w:name w:val="No List2153"/>
    <w:next w:val="NoList"/>
    <w:semiHidden/>
    <w:rsid w:val="003A71DE"/>
  </w:style>
  <w:style w:type="numbering" w:customStyle="1" w:styleId="NoList3153">
    <w:name w:val="No List3153"/>
    <w:next w:val="NoList"/>
    <w:uiPriority w:val="99"/>
    <w:semiHidden/>
    <w:rsid w:val="003A71DE"/>
  </w:style>
  <w:style w:type="table" w:customStyle="1" w:styleId="TableGrid4135">
    <w:name w:val="Table Grid413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53">
    <w:name w:val="No List11153"/>
    <w:next w:val="NoList"/>
    <w:uiPriority w:val="99"/>
    <w:semiHidden/>
    <w:unhideWhenUsed/>
    <w:rsid w:val="003A71DE"/>
  </w:style>
  <w:style w:type="numbering" w:customStyle="1" w:styleId="1253">
    <w:name w:val="無清單1253"/>
    <w:next w:val="NoList"/>
    <w:uiPriority w:val="99"/>
    <w:semiHidden/>
    <w:unhideWhenUsed/>
    <w:rsid w:val="003A71DE"/>
  </w:style>
  <w:style w:type="numbering" w:customStyle="1" w:styleId="111530">
    <w:name w:val="無清單11153"/>
    <w:next w:val="NoList"/>
    <w:uiPriority w:val="99"/>
    <w:semiHidden/>
    <w:unhideWhenUsed/>
    <w:rsid w:val="003A71DE"/>
  </w:style>
  <w:style w:type="table" w:customStyle="1" w:styleId="11352">
    <w:name w:val="表格格線113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30">
    <w:name w:val="无列表243"/>
    <w:next w:val="NoList"/>
    <w:uiPriority w:val="99"/>
    <w:semiHidden/>
    <w:unhideWhenUsed/>
    <w:rsid w:val="003A71DE"/>
  </w:style>
  <w:style w:type="numbering" w:customStyle="1" w:styleId="NoList12143">
    <w:name w:val="No List12143"/>
    <w:next w:val="NoList"/>
    <w:uiPriority w:val="99"/>
    <w:semiHidden/>
    <w:unhideWhenUsed/>
    <w:rsid w:val="003A71DE"/>
  </w:style>
  <w:style w:type="numbering" w:customStyle="1" w:styleId="111431">
    <w:name w:val="リストなし11143"/>
    <w:next w:val="NoList"/>
    <w:uiPriority w:val="99"/>
    <w:semiHidden/>
    <w:unhideWhenUsed/>
    <w:rsid w:val="003A71DE"/>
  </w:style>
  <w:style w:type="numbering" w:customStyle="1" w:styleId="111432">
    <w:name w:val="无列表11143"/>
    <w:next w:val="NoList"/>
    <w:semiHidden/>
    <w:rsid w:val="003A71DE"/>
  </w:style>
  <w:style w:type="numbering" w:customStyle="1" w:styleId="NoList21143">
    <w:name w:val="No List21143"/>
    <w:next w:val="NoList"/>
    <w:semiHidden/>
    <w:rsid w:val="003A71DE"/>
  </w:style>
  <w:style w:type="numbering" w:customStyle="1" w:styleId="NoList31143">
    <w:name w:val="No List31143"/>
    <w:next w:val="NoList"/>
    <w:uiPriority w:val="99"/>
    <w:semiHidden/>
    <w:rsid w:val="003A71DE"/>
  </w:style>
  <w:style w:type="numbering" w:customStyle="1" w:styleId="NoList111143">
    <w:name w:val="No List111143"/>
    <w:next w:val="NoList"/>
    <w:uiPriority w:val="99"/>
    <w:semiHidden/>
    <w:unhideWhenUsed/>
    <w:rsid w:val="003A71DE"/>
  </w:style>
  <w:style w:type="numbering" w:customStyle="1" w:styleId="121430">
    <w:name w:val="無清單12143"/>
    <w:next w:val="NoList"/>
    <w:uiPriority w:val="99"/>
    <w:semiHidden/>
    <w:unhideWhenUsed/>
    <w:rsid w:val="003A71DE"/>
  </w:style>
  <w:style w:type="numbering" w:customStyle="1" w:styleId="1111430">
    <w:name w:val="無清單111143"/>
    <w:next w:val="NoList"/>
    <w:uiPriority w:val="99"/>
    <w:semiHidden/>
    <w:unhideWhenUsed/>
    <w:rsid w:val="003A71DE"/>
  </w:style>
  <w:style w:type="numbering" w:customStyle="1" w:styleId="NoList543">
    <w:name w:val="No List543"/>
    <w:next w:val="NoList"/>
    <w:uiPriority w:val="99"/>
    <w:semiHidden/>
    <w:unhideWhenUsed/>
    <w:rsid w:val="003A71DE"/>
  </w:style>
  <w:style w:type="table" w:customStyle="1" w:styleId="TableGrid635">
    <w:name w:val="Table Grid635"/>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43">
    <w:name w:val="No List1343"/>
    <w:next w:val="NoList"/>
    <w:uiPriority w:val="99"/>
    <w:semiHidden/>
    <w:unhideWhenUsed/>
    <w:rsid w:val="003A71DE"/>
  </w:style>
  <w:style w:type="numbering" w:customStyle="1" w:styleId="12431">
    <w:name w:val="リストなし1243"/>
    <w:next w:val="NoList"/>
    <w:uiPriority w:val="99"/>
    <w:semiHidden/>
    <w:unhideWhenUsed/>
    <w:rsid w:val="003A71DE"/>
  </w:style>
  <w:style w:type="table" w:customStyle="1" w:styleId="TableGrid1235">
    <w:name w:val="Table Grid1235"/>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35">
    <w:name w:val="Tabellengitternetz1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35">
    <w:name w:val="Tabellengitternetz2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35">
    <w:name w:val="Tabellengitternetz3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35">
    <w:name w:val="Tabellengitternetz4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35">
    <w:name w:val="Tabellengitternetz5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35">
    <w:name w:val="Tabellengitternetz6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35">
    <w:name w:val="Tabellengitternetz7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35">
    <w:name w:val="Tabellengitternetz8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35">
    <w:name w:val="Tabellengitternetz923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5">
    <w:name w:val="Table Grid22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5">
    <w:name w:val="Table Grid323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32">
    <w:name w:val="无列表1243"/>
    <w:next w:val="NoList"/>
    <w:semiHidden/>
    <w:rsid w:val="003A71DE"/>
  </w:style>
  <w:style w:type="table" w:customStyle="1" w:styleId="3235">
    <w:name w:val="网格型32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5">
    <w:name w:val="网格型423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43">
    <w:name w:val="No List2243"/>
    <w:next w:val="NoList"/>
    <w:semiHidden/>
    <w:rsid w:val="003A71DE"/>
  </w:style>
  <w:style w:type="numbering" w:customStyle="1" w:styleId="NoList3243">
    <w:name w:val="No List3243"/>
    <w:next w:val="NoList"/>
    <w:uiPriority w:val="99"/>
    <w:semiHidden/>
    <w:rsid w:val="003A71DE"/>
  </w:style>
  <w:style w:type="table" w:customStyle="1" w:styleId="TableGrid4235">
    <w:name w:val="Table Grid423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43">
    <w:name w:val="No List11243"/>
    <w:next w:val="NoList"/>
    <w:uiPriority w:val="99"/>
    <w:semiHidden/>
    <w:unhideWhenUsed/>
    <w:rsid w:val="003A71DE"/>
  </w:style>
  <w:style w:type="numbering" w:customStyle="1" w:styleId="13430">
    <w:name w:val="無清單1343"/>
    <w:next w:val="NoList"/>
    <w:uiPriority w:val="99"/>
    <w:semiHidden/>
    <w:unhideWhenUsed/>
    <w:rsid w:val="003A71DE"/>
  </w:style>
  <w:style w:type="numbering" w:customStyle="1" w:styleId="112430">
    <w:name w:val="無清單11243"/>
    <w:next w:val="NoList"/>
    <w:uiPriority w:val="99"/>
    <w:semiHidden/>
    <w:unhideWhenUsed/>
    <w:rsid w:val="003A71DE"/>
  </w:style>
  <w:style w:type="table" w:customStyle="1" w:styleId="12350">
    <w:name w:val="表格格線123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3">
    <w:name w:val="无列表2143"/>
    <w:next w:val="NoList"/>
    <w:uiPriority w:val="99"/>
    <w:semiHidden/>
    <w:unhideWhenUsed/>
    <w:rsid w:val="003A71DE"/>
  </w:style>
  <w:style w:type="numbering" w:customStyle="1" w:styleId="NoList12233">
    <w:name w:val="No List12233"/>
    <w:next w:val="NoList"/>
    <w:uiPriority w:val="99"/>
    <w:semiHidden/>
    <w:unhideWhenUsed/>
    <w:rsid w:val="003A71DE"/>
  </w:style>
  <w:style w:type="numbering" w:customStyle="1" w:styleId="112331">
    <w:name w:val="リストなし11233"/>
    <w:next w:val="NoList"/>
    <w:uiPriority w:val="99"/>
    <w:semiHidden/>
    <w:unhideWhenUsed/>
    <w:rsid w:val="003A71DE"/>
  </w:style>
  <w:style w:type="numbering" w:customStyle="1" w:styleId="112332">
    <w:name w:val="无列表11233"/>
    <w:next w:val="NoList"/>
    <w:semiHidden/>
    <w:rsid w:val="003A71DE"/>
  </w:style>
  <w:style w:type="numbering" w:customStyle="1" w:styleId="NoList21233">
    <w:name w:val="No List21233"/>
    <w:next w:val="NoList"/>
    <w:semiHidden/>
    <w:rsid w:val="003A71DE"/>
  </w:style>
  <w:style w:type="numbering" w:customStyle="1" w:styleId="NoList31233">
    <w:name w:val="No List31233"/>
    <w:next w:val="NoList"/>
    <w:uiPriority w:val="99"/>
    <w:semiHidden/>
    <w:rsid w:val="003A71DE"/>
  </w:style>
  <w:style w:type="numbering" w:customStyle="1" w:styleId="NoList111243">
    <w:name w:val="No List111243"/>
    <w:next w:val="NoList"/>
    <w:uiPriority w:val="99"/>
    <w:semiHidden/>
    <w:unhideWhenUsed/>
    <w:rsid w:val="003A71DE"/>
  </w:style>
  <w:style w:type="numbering" w:customStyle="1" w:styleId="122330">
    <w:name w:val="無清單12233"/>
    <w:next w:val="NoList"/>
    <w:uiPriority w:val="99"/>
    <w:semiHidden/>
    <w:unhideWhenUsed/>
    <w:rsid w:val="003A71DE"/>
  </w:style>
  <w:style w:type="numbering" w:customStyle="1" w:styleId="1112330">
    <w:name w:val="無清單111233"/>
    <w:next w:val="NoList"/>
    <w:uiPriority w:val="99"/>
    <w:semiHidden/>
    <w:unhideWhenUsed/>
    <w:rsid w:val="003A71DE"/>
  </w:style>
  <w:style w:type="numbering" w:customStyle="1" w:styleId="NoList622">
    <w:name w:val="No List622"/>
    <w:next w:val="NoList"/>
    <w:uiPriority w:val="99"/>
    <w:semiHidden/>
    <w:unhideWhenUsed/>
    <w:rsid w:val="003A71DE"/>
  </w:style>
  <w:style w:type="numbering" w:customStyle="1" w:styleId="NoList1422">
    <w:name w:val="No List1422"/>
    <w:next w:val="NoList"/>
    <w:uiPriority w:val="99"/>
    <w:semiHidden/>
    <w:unhideWhenUsed/>
    <w:rsid w:val="003A71DE"/>
  </w:style>
  <w:style w:type="numbering" w:customStyle="1" w:styleId="13222">
    <w:name w:val="リストなし1322"/>
    <w:next w:val="NoList"/>
    <w:uiPriority w:val="99"/>
    <w:semiHidden/>
    <w:unhideWhenUsed/>
    <w:rsid w:val="003A71DE"/>
  </w:style>
  <w:style w:type="table" w:customStyle="1" w:styleId="TableGrid1313">
    <w:name w:val="Table Grid1313"/>
    <w:basedOn w:val="TableNormal"/>
    <w:next w:val="TableGrid"/>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13">
    <w:name w:val="Tabellengitternetz1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13">
    <w:name w:val="Tabellengitternetz2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13">
    <w:name w:val="Tabellengitternetz3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13">
    <w:name w:val="Tabellengitternetz4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13">
    <w:name w:val="Tabellengitternetz5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13">
    <w:name w:val="Tabellengitternetz6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13">
    <w:name w:val="Tabellengitternetz7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13">
    <w:name w:val="Tabellengitternetz8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13">
    <w:name w:val="Tabellengitternetz93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13">
    <w:name w:val="Table Grid23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3">
    <w:name w:val="Table Grid33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1">
    <w:name w:val="无列表1323"/>
    <w:next w:val="NoList"/>
    <w:semiHidden/>
    <w:rsid w:val="003A71DE"/>
  </w:style>
  <w:style w:type="table" w:customStyle="1" w:styleId="3313">
    <w:name w:val="网格型33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3">
    <w:name w:val="网格型43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322">
    <w:name w:val="No List2322"/>
    <w:next w:val="NoList"/>
    <w:semiHidden/>
    <w:rsid w:val="003A71DE"/>
  </w:style>
  <w:style w:type="numbering" w:customStyle="1" w:styleId="NoList3322">
    <w:name w:val="No List3322"/>
    <w:next w:val="NoList"/>
    <w:uiPriority w:val="99"/>
    <w:semiHidden/>
    <w:rsid w:val="003A71DE"/>
  </w:style>
  <w:style w:type="table" w:customStyle="1" w:styleId="TableGrid4313">
    <w:name w:val="Table Grid43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23">
    <w:name w:val="No List11323"/>
    <w:next w:val="NoList"/>
    <w:uiPriority w:val="99"/>
    <w:semiHidden/>
    <w:unhideWhenUsed/>
    <w:rsid w:val="003A71DE"/>
  </w:style>
  <w:style w:type="numbering" w:customStyle="1" w:styleId="14220">
    <w:name w:val="無清單1422"/>
    <w:next w:val="NoList"/>
    <w:uiPriority w:val="99"/>
    <w:semiHidden/>
    <w:unhideWhenUsed/>
    <w:rsid w:val="003A71DE"/>
  </w:style>
  <w:style w:type="numbering" w:customStyle="1" w:styleId="113220">
    <w:name w:val="無清單11322"/>
    <w:next w:val="NoList"/>
    <w:uiPriority w:val="99"/>
    <w:semiHidden/>
    <w:unhideWhenUsed/>
    <w:rsid w:val="003A71DE"/>
  </w:style>
  <w:style w:type="table" w:customStyle="1" w:styleId="13133">
    <w:name w:val="表格格線13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3">
    <w:name w:val="无列表2223"/>
    <w:next w:val="NoList"/>
    <w:uiPriority w:val="99"/>
    <w:semiHidden/>
    <w:unhideWhenUsed/>
    <w:rsid w:val="003A71DE"/>
  </w:style>
  <w:style w:type="numbering" w:customStyle="1" w:styleId="NoList12322">
    <w:name w:val="No List12322"/>
    <w:next w:val="NoList"/>
    <w:uiPriority w:val="99"/>
    <w:semiHidden/>
    <w:unhideWhenUsed/>
    <w:rsid w:val="003A71DE"/>
  </w:style>
  <w:style w:type="numbering" w:customStyle="1" w:styleId="113221">
    <w:name w:val="リストなし11322"/>
    <w:next w:val="NoList"/>
    <w:uiPriority w:val="99"/>
    <w:semiHidden/>
    <w:unhideWhenUsed/>
    <w:rsid w:val="003A71DE"/>
  </w:style>
  <w:style w:type="numbering" w:customStyle="1" w:styleId="113222">
    <w:name w:val="无列表11322"/>
    <w:next w:val="NoList"/>
    <w:semiHidden/>
    <w:rsid w:val="003A71DE"/>
  </w:style>
  <w:style w:type="numbering" w:customStyle="1" w:styleId="NoList21322">
    <w:name w:val="No List21322"/>
    <w:next w:val="NoList"/>
    <w:semiHidden/>
    <w:rsid w:val="003A71DE"/>
  </w:style>
  <w:style w:type="numbering" w:customStyle="1" w:styleId="NoList31322">
    <w:name w:val="No List31322"/>
    <w:next w:val="NoList"/>
    <w:uiPriority w:val="99"/>
    <w:semiHidden/>
    <w:rsid w:val="003A71DE"/>
  </w:style>
  <w:style w:type="numbering" w:customStyle="1" w:styleId="NoList111322">
    <w:name w:val="No List111322"/>
    <w:next w:val="NoList"/>
    <w:uiPriority w:val="99"/>
    <w:semiHidden/>
    <w:unhideWhenUsed/>
    <w:rsid w:val="003A71DE"/>
  </w:style>
  <w:style w:type="numbering" w:customStyle="1" w:styleId="123220">
    <w:name w:val="無清單12322"/>
    <w:next w:val="NoList"/>
    <w:uiPriority w:val="99"/>
    <w:semiHidden/>
    <w:unhideWhenUsed/>
    <w:rsid w:val="003A71DE"/>
  </w:style>
  <w:style w:type="numbering" w:customStyle="1" w:styleId="1113220">
    <w:name w:val="無清單111322"/>
    <w:next w:val="NoList"/>
    <w:uiPriority w:val="99"/>
    <w:semiHidden/>
    <w:unhideWhenUsed/>
    <w:rsid w:val="003A71DE"/>
  </w:style>
  <w:style w:type="numbering" w:customStyle="1" w:styleId="NoList4123">
    <w:name w:val="No List4123"/>
    <w:next w:val="NoList"/>
    <w:uiPriority w:val="99"/>
    <w:semiHidden/>
    <w:unhideWhenUsed/>
    <w:rsid w:val="003A71DE"/>
  </w:style>
  <w:style w:type="table" w:customStyle="1" w:styleId="TableGrid5113">
    <w:name w:val="Table Grid511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5">
    <w:name w:val="Table Grid11125"/>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15">
    <w:name w:val="Tabellengitternetz1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5">
    <w:name w:val="Tabellengitternetz2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5">
    <w:name w:val="Tabellengitternetz3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5">
    <w:name w:val="Tabellengitternetz4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5">
    <w:name w:val="Tabellengitternetz5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5">
    <w:name w:val="Tabellengitternetz6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5">
    <w:name w:val="Tabellengitternetz7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5">
    <w:name w:val="Tabellengitternetz8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5">
    <w:name w:val="Tabellengitternetz91115"/>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5">
    <w:name w:val="Table Grid2111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5">
    <w:name w:val="Table Grid31115"/>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5">
    <w:name w:val="网格型3111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5">
    <w:name w:val="网格型41115"/>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5">
    <w:name w:val="Table Grid41115"/>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3">
    <w:name w:val="表格格線11115"/>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23">
    <w:name w:val="No List121123"/>
    <w:next w:val="NoList"/>
    <w:uiPriority w:val="99"/>
    <w:semiHidden/>
    <w:unhideWhenUsed/>
    <w:rsid w:val="003A71DE"/>
  </w:style>
  <w:style w:type="numbering" w:customStyle="1" w:styleId="1111231">
    <w:name w:val="リストなし111123"/>
    <w:next w:val="NoList"/>
    <w:uiPriority w:val="99"/>
    <w:semiHidden/>
    <w:unhideWhenUsed/>
    <w:rsid w:val="003A71DE"/>
  </w:style>
  <w:style w:type="numbering" w:customStyle="1" w:styleId="1111232">
    <w:name w:val="无列表111123"/>
    <w:next w:val="NoList"/>
    <w:semiHidden/>
    <w:rsid w:val="003A71DE"/>
  </w:style>
  <w:style w:type="numbering" w:customStyle="1" w:styleId="NoList211123">
    <w:name w:val="No List211123"/>
    <w:next w:val="NoList"/>
    <w:semiHidden/>
    <w:rsid w:val="003A71DE"/>
  </w:style>
  <w:style w:type="numbering" w:customStyle="1" w:styleId="NoList311123">
    <w:name w:val="No List311123"/>
    <w:next w:val="NoList"/>
    <w:uiPriority w:val="99"/>
    <w:semiHidden/>
    <w:rsid w:val="003A71DE"/>
  </w:style>
  <w:style w:type="numbering" w:customStyle="1" w:styleId="NoList1111123">
    <w:name w:val="No List1111123"/>
    <w:next w:val="NoList"/>
    <w:uiPriority w:val="99"/>
    <w:semiHidden/>
    <w:unhideWhenUsed/>
    <w:rsid w:val="003A71DE"/>
  </w:style>
  <w:style w:type="numbering" w:customStyle="1" w:styleId="1211230">
    <w:name w:val="無清單121123"/>
    <w:next w:val="NoList"/>
    <w:uiPriority w:val="99"/>
    <w:semiHidden/>
    <w:unhideWhenUsed/>
    <w:rsid w:val="003A71DE"/>
  </w:style>
  <w:style w:type="numbering" w:customStyle="1" w:styleId="1111123">
    <w:name w:val="無清單1111123"/>
    <w:next w:val="NoList"/>
    <w:uiPriority w:val="99"/>
    <w:semiHidden/>
    <w:unhideWhenUsed/>
    <w:rsid w:val="003A71DE"/>
  </w:style>
  <w:style w:type="numbering" w:customStyle="1" w:styleId="NoList5122">
    <w:name w:val="No List5122"/>
    <w:next w:val="NoList"/>
    <w:uiPriority w:val="99"/>
    <w:semiHidden/>
    <w:unhideWhenUsed/>
    <w:rsid w:val="003A71DE"/>
  </w:style>
  <w:style w:type="table" w:customStyle="1" w:styleId="TableGrid6113">
    <w:name w:val="Table Grid611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123">
    <w:name w:val="No List13123"/>
    <w:next w:val="NoList"/>
    <w:uiPriority w:val="99"/>
    <w:semiHidden/>
    <w:unhideWhenUsed/>
    <w:rsid w:val="003A71DE"/>
  </w:style>
  <w:style w:type="numbering" w:customStyle="1" w:styleId="121231">
    <w:name w:val="リストなし12123"/>
    <w:next w:val="NoList"/>
    <w:uiPriority w:val="99"/>
    <w:semiHidden/>
    <w:unhideWhenUsed/>
    <w:rsid w:val="003A71DE"/>
  </w:style>
  <w:style w:type="table" w:customStyle="1" w:styleId="TableGrid12113">
    <w:name w:val="Table Grid12113"/>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113">
    <w:name w:val="Tabellengitternetz1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113">
    <w:name w:val="Tabellengitternetz2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113">
    <w:name w:val="Tabellengitternetz3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113">
    <w:name w:val="Tabellengitternetz4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113">
    <w:name w:val="Tabellengitternetz5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113">
    <w:name w:val="Tabellengitternetz6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113">
    <w:name w:val="Tabellengitternetz7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113">
    <w:name w:val="Tabellengitternetz8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113">
    <w:name w:val="Tabellengitternetz921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13">
    <w:name w:val="Table Grid221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13">
    <w:name w:val="Table Grid321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32">
    <w:name w:val="无列表12123"/>
    <w:next w:val="NoList"/>
    <w:semiHidden/>
    <w:rsid w:val="003A71DE"/>
  </w:style>
  <w:style w:type="table" w:customStyle="1" w:styleId="32113">
    <w:name w:val="网格型321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3">
    <w:name w:val="网格型421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23">
    <w:name w:val="No List22123"/>
    <w:next w:val="NoList"/>
    <w:semiHidden/>
    <w:rsid w:val="003A71DE"/>
  </w:style>
  <w:style w:type="numbering" w:customStyle="1" w:styleId="NoList32123">
    <w:name w:val="No List32123"/>
    <w:next w:val="NoList"/>
    <w:uiPriority w:val="99"/>
    <w:semiHidden/>
    <w:rsid w:val="003A71DE"/>
  </w:style>
  <w:style w:type="table" w:customStyle="1" w:styleId="TableGrid42113">
    <w:name w:val="Table Grid421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123">
    <w:name w:val="No List112123"/>
    <w:next w:val="NoList"/>
    <w:uiPriority w:val="99"/>
    <w:semiHidden/>
    <w:unhideWhenUsed/>
    <w:rsid w:val="003A71DE"/>
  </w:style>
  <w:style w:type="numbering" w:customStyle="1" w:styleId="131230">
    <w:name w:val="無清單13123"/>
    <w:next w:val="NoList"/>
    <w:uiPriority w:val="99"/>
    <w:semiHidden/>
    <w:unhideWhenUsed/>
    <w:rsid w:val="003A71DE"/>
  </w:style>
  <w:style w:type="numbering" w:customStyle="1" w:styleId="1121230">
    <w:name w:val="無清單112123"/>
    <w:next w:val="NoList"/>
    <w:uiPriority w:val="99"/>
    <w:semiHidden/>
    <w:unhideWhenUsed/>
    <w:rsid w:val="003A71DE"/>
  </w:style>
  <w:style w:type="table" w:customStyle="1" w:styleId="121133">
    <w:name w:val="表格格線121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23">
    <w:name w:val="无列表21123"/>
    <w:next w:val="NoList"/>
    <w:uiPriority w:val="99"/>
    <w:semiHidden/>
    <w:unhideWhenUsed/>
    <w:rsid w:val="003A71DE"/>
  </w:style>
  <w:style w:type="numbering" w:customStyle="1" w:styleId="NoList122123">
    <w:name w:val="No List122123"/>
    <w:next w:val="NoList"/>
    <w:uiPriority w:val="99"/>
    <w:semiHidden/>
    <w:unhideWhenUsed/>
    <w:rsid w:val="003A71DE"/>
  </w:style>
  <w:style w:type="numbering" w:customStyle="1" w:styleId="1121231">
    <w:name w:val="リストなし112123"/>
    <w:next w:val="NoList"/>
    <w:uiPriority w:val="99"/>
    <w:semiHidden/>
    <w:unhideWhenUsed/>
    <w:rsid w:val="003A71DE"/>
  </w:style>
  <w:style w:type="numbering" w:customStyle="1" w:styleId="1121232">
    <w:name w:val="无列表112123"/>
    <w:next w:val="NoList"/>
    <w:semiHidden/>
    <w:rsid w:val="003A71DE"/>
  </w:style>
  <w:style w:type="numbering" w:customStyle="1" w:styleId="NoList212123">
    <w:name w:val="No List212123"/>
    <w:next w:val="NoList"/>
    <w:semiHidden/>
    <w:rsid w:val="003A71DE"/>
  </w:style>
  <w:style w:type="numbering" w:customStyle="1" w:styleId="NoList312123">
    <w:name w:val="No List312123"/>
    <w:next w:val="NoList"/>
    <w:uiPriority w:val="99"/>
    <w:semiHidden/>
    <w:rsid w:val="003A71DE"/>
  </w:style>
  <w:style w:type="numbering" w:customStyle="1" w:styleId="NoList1112123">
    <w:name w:val="No List1112123"/>
    <w:next w:val="NoList"/>
    <w:uiPriority w:val="99"/>
    <w:semiHidden/>
    <w:unhideWhenUsed/>
    <w:rsid w:val="003A71DE"/>
  </w:style>
  <w:style w:type="numbering" w:customStyle="1" w:styleId="1221230">
    <w:name w:val="無清單122123"/>
    <w:next w:val="NoList"/>
    <w:uiPriority w:val="99"/>
    <w:semiHidden/>
    <w:unhideWhenUsed/>
    <w:rsid w:val="003A71DE"/>
  </w:style>
  <w:style w:type="numbering" w:customStyle="1" w:styleId="1112123">
    <w:name w:val="無清單1112123"/>
    <w:next w:val="NoList"/>
    <w:uiPriority w:val="99"/>
    <w:semiHidden/>
    <w:unhideWhenUsed/>
    <w:rsid w:val="003A71DE"/>
  </w:style>
  <w:style w:type="table" w:customStyle="1" w:styleId="1154">
    <w:name w:val="网格型115"/>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3">
    <w:name w:val="Table Grid111113"/>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0">
    <w:name w:val="无列表313"/>
    <w:next w:val="NoList"/>
    <w:uiPriority w:val="99"/>
    <w:semiHidden/>
    <w:unhideWhenUsed/>
    <w:rsid w:val="003A71DE"/>
  </w:style>
  <w:style w:type="table" w:customStyle="1" w:styleId="2151">
    <w:name w:val="网格型215"/>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30">
    <w:name w:val="无列表13113"/>
    <w:next w:val="NoList"/>
    <w:semiHidden/>
    <w:rsid w:val="003A71DE"/>
  </w:style>
  <w:style w:type="numbering" w:customStyle="1" w:styleId="NoList113112">
    <w:name w:val="No List113112"/>
    <w:next w:val="NoList"/>
    <w:uiPriority w:val="99"/>
    <w:semiHidden/>
    <w:unhideWhenUsed/>
    <w:rsid w:val="003A71DE"/>
  </w:style>
  <w:style w:type="numbering" w:customStyle="1" w:styleId="NoList41113">
    <w:name w:val="No List41113"/>
    <w:next w:val="NoList"/>
    <w:uiPriority w:val="99"/>
    <w:semiHidden/>
    <w:unhideWhenUsed/>
    <w:rsid w:val="003A71DE"/>
  </w:style>
  <w:style w:type="table" w:customStyle="1" w:styleId="TableGrid11215">
    <w:name w:val="Table Grid11215"/>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13">
    <w:name w:val="无列表22113"/>
    <w:next w:val="NoList"/>
    <w:uiPriority w:val="99"/>
    <w:semiHidden/>
    <w:unhideWhenUsed/>
    <w:rsid w:val="003A71DE"/>
  </w:style>
  <w:style w:type="numbering" w:customStyle="1" w:styleId="NoList1211114">
    <w:name w:val="No List1211114"/>
    <w:next w:val="NoList"/>
    <w:uiPriority w:val="99"/>
    <w:semiHidden/>
    <w:unhideWhenUsed/>
    <w:rsid w:val="003A71DE"/>
  </w:style>
  <w:style w:type="numbering" w:customStyle="1" w:styleId="11111140">
    <w:name w:val="リストなし1111114"/>
    <w:next w:val="NoList"/>
    <w:uiPriority w:val="99"/>
    <w:semiHidden/>
    <w:unhideWhenUsed/>
    <w:rsid w:val="003A71DE"/>
  </w:style>
  <w:style w:type="numbering" w:customStyle="1" w:styleId="11111141">
    <w:name w:val="无列表1111114"/>
    <w:next w:val="NoList"/>
    <w:semiHidden/>
    <w:rsid w:val="003A71DE"/>
  </w:style>
  <w:style w:type="numbering" w:customStyle="1" w:styleId="NoList2111114">
    <w:name w:val="No List2111114"/>
    <w:next w:val="NoList"/>
    <w:semiHidden/>
    <w:rsid w:val="003A71DE"/>
  </w:style>
  <w:style w:type="numbering" w:customStyle="1" w:styleId="NoList3111114">
    <w:name w:val="No List3111114"/>
    <w:next w:val="NoList"/>
    <w:uiPriority w:val="99"/>
    <w:semiHidden/>
    <w:rsid w:val="003A71DE"/>
  </w:style>
  <w:style w:type="numbering" w:customStyle="1" w:styleId="NoList11111114">
    <w:name w:val="No List11111114"/>
    <w:next w:val="NoList"/>
    <w:uiPriority w:val="99"/>
    <w:semiHidden/>
    <w:unhideWhenUsed/>
    <w:rsid w:val="003A71DE"/>
  </w:style>
  <w:style w:type="numbering" w:customStyle="1" w:styleId="1211114">
    <w:name w:val="無清單1211114"/>
    <w:next w:val="NoList"/>
    <w:uiPriority w:val="99"/>
    <w:semiHidden/>
    <w:unhideWhenUsed/>
    <w:rsid w:val="003A71DE"/>
  </w:style>
  <w:style w:type="numbering" w:customStyle="1" w:styleId="11111114">
    <w:name w:val="無清單11111114"/>
    <w:next w:val="NoList"/>
    <w:uiPriority w:val="99"/>
    <w:semiHidden/>
    <w:unhideWhenUsed/>
    <w:rsid w:val="003A71DE"/>
  </w:style>
  <w:style w:type="numbering" w:customStyle="1" w:styleId="NoList131113">
    <w:name w:val="No List131113"/>
    <w:next w:val="NoList"/>
    <w:uiPriority w:val="99"/>
    <w:semiHidden/>
    <w:unhideWhenUsed/>
    <w:rsid w:val="003A71DE"/>
  </w:style>
  <w:style w:type="numbering" w:customStyle="1" w:styleId="1211131">
    <w:name w:val="リストなし121113"/>
    <w:next w:val="NoList"/>
    <w:uiPriority w:val="99"/>
    <w:semiHidden/>
    <w:unhideWhenUsed/>
    <w:rsid w:val="003A71DE"/>
  </w:style>
  <w:style w:type="numbering" w:customStyle="1" w:styleId="1211141">
    <w:name w:val="无列表121114"/>
    <w:next w:val="NoList"/>
    <w:semiHidden/>
    <w:rsid w:val="003A71DE"/>
  </w:style>
  <w:style w:type="numbering" w:customStyle="1" w:styleId="NoList221113">
    <w:name w:val="No List221113"/>
    <w:next w:val="NoList"/>
    <w:semiHidden/>
    <w:rsid w:val="003A71DE"/>
  </w:style>
  <w:style w:type="numbering" w:customStyle="1" w:styleId="NoList321113">
    <w:name w:val="No List321113"/>
    <w:next w:val="NoList"/>
    <w:uiPriority w:val="99"/>
    <w:semiHidden/>
    <w:rsid w:val="003A71DE"/>
  </w:style>
  <w:style w:type="numbering" w:customStyle="1" w:styleId="NoList1121113">
    <w:name w:val="No List1121113"/>
    <w:next w:val="NoList"/>
    <w:uiPriority w:val="99"/>
    <w:semiHidden/>
    <w:unhideWhenUsed/>
    <w:rsid w:val="003A71DE"/>
  </w:style>
  <w:style w:type="numbering" w:customStyle="1" w:styleId="1311130">
    <w:name w:val="無清單131113"/>
    <w:next w:val="NoList"/>
    <w:uiPriority w:val="99"/>
    <w:semiHidden/>
    <w:unhideWhenUsed/>
    <w:rsid w:val="003A71DE"/>
  </w:style>
  <w:style w:type="numbering" w:customStyle="1" w:styleId="1121113">
    <w:name w:val="無清單1121113"/>
    <w:next w:val="NoList"/>
    <w:uiPriority w:val="99"/>
    <w:semiHidden/>
    <w:unhideWhenUsed/>
    <w:rsid w:val="003A71DE"/>
  </w:style>
  <w:style w:type="numbering" w:customStyle="1" w:styleId="211114">
    <w:name w:val="无列表211114"/>
    <w:next w:val="NoList"/>
    <w:uiPriority w:val="99"/>
    <w:semiHidden/>
    <w:unhideWhenUsed/>
    <w:rsid w:val="003A71DE"/>
  </w:style>
  <w:style w:type="numbering" w:customStyle="1" w:styleId="NoList1221113">
    <w:name w:val="No List1221113"/>
    <w:next w:val="NoList"/>
    <w:uiPriority w:val="99"/>
    <w:semiHidden/>
    <w:unhideWhenUsed/>
    <w:rsid w:val="003A71DE"/>
  </w:style>
  <w:style w:type="numbering" w:customStyle="1" w:styleId="11211130">
    <w:name w:val="リストなし1121113"/>
    <w:next w:val="NoList"/>
    <w:uiPriority w:val="99"/>
    <w:semiHidden/>
    <w:unhideWhenUsed/>
    <w:rsid w:val="003A71DE"/>
  </w:style>
  <w:style w:type="numbering" w:customStyle="1" w:styleId="11211131">
    <w:name w:val="无列表1121113"/>
    <w:next w:val="NoList"/>
    <w:semiHidden/>
    <w:rsid w:val="003A71DE"/>
  </w:style>
  <w:style w:type="numbering" w:customStyle="1" w:styleId="NoList2121113">
    <w:name w:val="No List2121113"/>
    <w:next w:val="NoList"/>
    <w:semiHidden/>
    <w:rsid w:val="003A71DE"/>
  </w:style>
  <w:style w:type="numbering" w:customStyle="1" w:styleId="NoList3121113">
    <w:name w:val="No List3121113"/>
    <w:next w:val="NoList"/>
    <w:uiPriority w:val="99"/>
    <w:semiHidden/>
    <w:rsid w:val="003A71DE"/>
  </w:style>
  <w:style w:type="numbering" w:customStyle="1" w:styleId="NoList11121113">
    <w:name w:val="No List11121113"/>
    <w:next w:val="NoList"/>
    <w:uiPriority w:val="99"/>
    <w:semiHidden/>
    <w:unhideWhenUsed/>
    <w:rsid w:val="003A71DE"/>
  </w:style>
  <w:style w:type="numbering" w:customStyle="1" w:styleId="1221113">
    <w:name w:val="無清單1221113"/>
    <w:next w:val="NoList"/>
    <w:uiPriority w:val="99"/>
    <w:semiHidden/>
    <w:unhideWhenUsed/>
    <w:rsid w:val="003A71DE"/>
  </w:style>
  <w:style w:type="numbering" w:customStyle="1" w:styleId="11121113">
    <w:name w:val="無清單11121113"/>
    <w:next w:val="NoList"/>
    <w:uiPriority w:val="99"/>
    <w:semiHidden/>
    <w:unhideWhenUsed/>
    <w:rsid w:val="003A71DE"/>
  </w:style>
  <w:style w:type="numbering" w:customStyle="1" w:styleId="NoList51112">
    <w:name w:val="No List51112"/>
    <w:next w:val="NoList"/>
    <w:uiPriority w:val="99"/>
    <w:semiHidden/>
    <w:unhideWhenUsed/>
    <w:rsid w:val="003A71DE"/>
  </w:style>
  <w:style w:type="numbering" w:customStyle="1" w:styleId="NoList6112">
    <w:name w:val="No List6112"/>
    <w:next w:val="NoList"/>
    <w:uiPriority w:val="99"/>
    <w:semiHidden/>
    <w:unhideWhenUsed/>
    <w:rsid w:val="003A71DE"/>
  </w:style>
  <w:style w:type="numbering" w:customStyle="1" w:styleId="NoList14112">
    <w:name w:val="No List14112"/>
    <w:next w:val="NoList"/>
    <w:uiPriority w:val="99"/>
    <w:semiHidden/>
    <w:unhideWhenUsed/>
    <w:rsid w:val="003A71DE"/>
  </w:style>
  <w:style w:type="numbering" w:customStyle="1" w:styleId="131122">
    <w:name w:val="リストなし13112"/>
    <w:next w:val="NoList"/>
    <w:uiPriority w:val="99"/>
    <w:semiHidden/>
    <w:unhideWhenUsed/>
    <w:rsid w:val="003A71DE"/>
  </w:style>
  <w:style w:type="numbering" w:customStyle="1" w:styleId="NoList23112">
    <w:name w:val="No List23112"/>
    <w:next w:val="NoList"/>
    <w:semiHidden/>
    <w:rsid w:val="003A71DE"/>
  </w:style>
  <w:style w:type="numbering" w:customStyle="1" w:styleId="NoList33112">
    <w:name w:val="No List33112"/>
    <w:next w:val="NoList"/>
    <w:uiPriority w:val="99"/>
    <w:semiHidden/>
    <w:rsid w:val="003A71DE"/>
  </w:style>
  <w:style w:type="numbering" w:customStyle="1" w:styleId="NoList11412">
    <w:name w:val="No List11412"/>
    <w:next w:val="NoList"/>
    <w:uiPriority w:val="99"/>
    <w:semiHidden/>
    <w:unhideWhenUsed/>
    <w:rsid w:val="003A71DE"/>
  </w:style>
  <w:style w:type="numbering" w:customStyle="1" w:styleId="141120">
    <w:name w:val="無清單14112"/>
    <w:next w:val="NoList"/>
    <w:uiPriority w:val="99"/>
    <w:semiHidden/>
    <w:unhideWhenUsed/>
    <w:rsid w:val="003A71DE"/>
  </w:style>
  <w:style w:type="numbering" w:customStyle="1" w:styleId="1131120">
    <w:name w:val="無清單113112"/>
    <w:next w:val="NoList"/>
    <w:uiPriority w:val="99"/>
    <w:semiHidden/>
    <w:unhideWhenUsed/>
    <w:rsid w:val="003A71DE"/>
  </w:style>
  <w:style w:type="numbering" w:customStyle="1" w:styleId="NoList4212">
    <w:name w:val="No List4212"/>
    <w:next w:val="NoList"/>
    <w:uiPriority w:val="99"/>
    <w:semiHidden/>
    <w:unhideWhenUsed/>
    <w:rsid w:val="003A71DE"/>
  </w:style>
  <w:style w:type="numbering" w:customStyle="1" w:styleId="NoList123112">
    <w:name w:val="No List123112"/>
    <w:next w:val="NoList"/>
    <w:uiPriority w:val="99"/>
    <w:semiHidden/>
    <w:unhideWhenUsed/>
    <w:rsid w:val="003A71DE"/>
  </w:style>
  <w:style w:type="numbering" w:customStyle="1" w:styleId="1131121">
    <w:name w:val="リストなし113112"/>
    <w:next w:val="NoList"/>
    <w:uiPriority w:val="99"/>
    <w:semiHidden/>
    <w:unhideWhenUsed/>
    <w:rsid w:val="003A71DE"/>
  </w:style>
  <w:style w:type="numbering" w:customStyle="1" w:styleId="1131122">
    <w:name w:val="无列表113112"/>
    <w:next w:val="NoList"/>
    <w:semiHidden/>
    <w:rsid w:val="003A71DE"/>
  </w:style>
  <w:style w:type="numbering" w:customStyle="1" w:styleId="NoList213112">
    <w:name w:val="No List213112"/>
    <w:next w:val="NoList"/>
    <w:semiHidden/>
    <w:rsid w:val="003A71DE"/>
  </w:style>
  <w:style w:type="numbering" w:customStyle="1" w:styleId="NoList313112">
    <w:name w:val="No List313112"/>
    <w:next w:val="NoList"/>
    <w:uiPriority w:val="99"/>
    <w:semiHidden/>
    <w:rsid w:val="003A71DE"/>
  </w:style>
  <w:style w:type="numbering" w:customStyle="1" w:styleId="NoList1113112">
    <w:name w:val="No List1113112"/>
    <w:next w:val="NoList"/>
    <w:uiPriority w:val="99"/>
    <w:semiHidden/>
    <w:unhideWhenUsed/>
    <w:rsid w:val="003A71DE"/>
  </w:style>
  <w:style w:type="numbering" w:customStyle="1" w:styleId="1231120">
    <w:name w:val="無清單123112"/>
    <w:next w:val="NoList"/>
    <w:uiPriority w:val="99"/>
    <w:semiHidden/>
    <w:unhideWhenUsed/>
    <w:rsid w:val="003A71DE"/>
  </w:style>
  <w:style w:type="numbering" w:customStyle="1" w:styleId="11131120">
    <w:name w:val="無清單1113112"/>
    <w:next w:val="NoList"/>
    <w:uiPriority w:val="99"/>
    <w:semiHidden/>
    <w:unhideWhenUsed/>
    <w:rsid w:val="003A71DE"/>
  </w:style>
  <w:style w:type="numbering" w:customStyle="1" w:styleId="NoList121212">
    <w:name w:val="No List121212"/>
    <w:next w:val="NoList"/>
    <w:uiPriority w:val="99"/>
    <w:semiHidden/>
    <w:unhideWhenUsed/>
    <w:rsid w:val="003A71DE"/>
  </w:style>
  <w:style w:type="numbering" w:customStyle="1" w:styleId="1112120">
    <w:name w:val="リストなし111212"/>
    <w:next w:val="NoList"/>
    <w:uiPriority w:val="99"/>
    <w:semiHidden/>
    <w:unhideWhenUsed/>
    <w:rsid w:val="003A71DE"/>
  </w:style>
  <w:style w:type="numbering" w:customStyle="1" w:styleId="1112124">
    <w:name w:val="无列表111212"/>
    <w:next w:val="NoList"/>
    <w:semiHidden/>
    <w:rsid w:val="003A71DE"/>
  </w:style>
  <w:style w:type="numbering" w:customStyle="1" w:styleId="NoList211212">
    <w:name w:val="No List211212"/>
    <w:next w:val="NoList"/>
    <w:semiHidden/>
    <w:rsid w:val="003A71DE"/>
  </w:style>
  <w:style w:type="numbering" w:customStyle="1" w:styleId="NoList311212">
    <w:name w:val="No List311212"/>
    <w:next w:val="NoList"/>
    <w:uiPriority w:val="99"/>
    <w:semiHidden/>
    <w:rsid w:val="003A71DE"/>
  </w:style>
  <w:style w:type="numbering" w:customStyle="1" w:styleId="NoList1111212">
    <w:name w:val="No List1111212"/>
    <w:next w:val="NoList"/>
    <w:uiPriority w:val="99"/>
    <w:semiHidden/>
    <w:unhideWhenUsed/>
    <w:rsid w:val="003A71DE"/>
  </w:style>
  <w:style w:type="numbering" w:customStyle="1" w:styleId="1212120">
    <w:name w:val="無清單121212"/>
    <w:next w:val="NoList"/>
    <w:uiPriority w:val="99"/>
    <w:semiHidden/>
    <w:unhideWhenUsed/>
    <w:rsid w:val="003A71DE"/>
  </w:style>
  <w:style w:type="numbering" w:customStyle="1" w:styleId="11112120">
    <w:name w:val="無清單1111212"/>
    <w:next w:val="NoList"/>
    <w:uiPriority w:val="99"/>
    <w:semiHidden/>
    <w:unhideWhenUsed/>
    <w:rsid w:val="003A71DE"/>
  </w:style>
  <w:style w:type="numbering" w:customStyle="1" w:styleId="NoList5212">
    <w:name w:val="No List5212"/>
    <w:next w:val="NoList"/>
    <w:uiPriority w:val="99"/>
    <w:semiHidden/>
    <w:unhideWhenUsed/>
    <w:rsid w:val="003A71DE"/>
  </w:style>
  <w:style w:type="numbering" w:customStyle="1" w:styleId="NoList13212">
    <w:name w:val="No List13212"/>
    <w:next w:val="NoList"/>
    <w:uiPriority w:val="99"/>
    <w:semiHidden/>
    <w:unhideWhenUsed/>
    <w:rsid w:val="003A71DE"/>
  </w:style>
  <w:style w:type="numbering" w:customStyle="1" w:styleId="122124">
    <w:name w:val="リストなし12212"/>
    <w:next w:val="NoList"/>
    <w:uiPriority w:val="99"/>
    <w:semiHidden/>
    <w:unhideWhenUsed/>
    <w:rsid w:val="003A71DE"/>
  </w:style>
  <w:style w:type="numbering" w:customStyle="1" w:styleId="122131">
    <w:name w:val="无列表12213"/>
    <w:next w:val="NoList"/>
    <w:semiHidden/>
    <w:rsid w:val="003A71DE"/>
  </w:style>
  <w:style w:type="numbering" w:customStyle="1" w:styleId="NoList22212">
    <w:name w:val="No List22212"/>
    <w:next w:val="NoList"/>
    <w:semiHidden/>
    <w:rsid w:val="003A71DE"/>
  </w:style>
  <w:style w:type="numbering" w:customStyle="1" w:styleId="NoList32212">
    <w:name w:val="No List32212"/>
    <w:next w:val="NoList"/>
    <w:uiPriority w:val="99"/>
    <w:semiHidden/>
    <w:rsid w:val="003A71DE"/>
  </w:style>
  <w:style w:type="numbering" w:customStyle="1" w:styleId="NoList112212">
    <w:name w:val="No List112212"/>
    <w:next w:val="NoList"/>
    <w:uiPriority w:val="99"/>
    <w:semiHidden/>
    <w:unhideWhenUsed/>
    <w:rsid w:val="003A71DE"/>
  </w:style>
  <w:style w:type="numbering" w:customStyle="1" w:styleId="132120">
    <w:name w:val="無清單13212"/>
    <w:next w:val="NoList"/>
    <w:uiPriority w:val="99"/>
    <w:semiHidden/>
    <w:unhideWhenUsed/>
    <w:rsid w:val="003A71DE"/>
  </w:style>
  <w:style w:type="numbering" w:customStyle="1" w:styleId="1122120">
    <w:name w:val="無清單112212"/>
    <w:next w:val="NoList"/>
    <w:uiPriority w:val="99"/>
    <w:semiHidden/>
    <w:unhideWhenUsed/>
    <w:rsid w:val="003A71DE"/>
  </w:style>
  <w:style w:type="numbering" w:customStyle="1" w:styleId="21212">
    <w:name w:val="无列表21212"/>
    <w:next w:val="NoList"/>
    <w:uiPriority w:val="99"/>
    <w:semiHidden/>
    <w:unhideWhenUsed/>
    <w:rsid w:val="003A71DE"/>
  </w:style>
  <w:style w:type="numbering" w:customStyle="1" w:styleId="NoList1112212">
    <w:name w:val="No List1112212"/>
    <w:next w:val="NoList"/>
    <w:uiPriority w:val="99"/>
    <w:semiHidden/>
    <w:unhideWhenUsed/>
    <w:rsid w:val="003A71DE"/>
  </w:style>
  <w:style w:type="numbering" w:customStyle="1" w:styleId="NoList712">
    <w:name w:val="No List712"/>
    <w:next w:val="NoList"/>
    <w:uiPriority w:val="99"/>
    <w:semiHidden/>
    <w:unhideWhenUsed/>
    <w:rsid w:val="003A71DE"/>
  </w:style>
  <w:style w:type="table" w:customStyle="1" w:styleId="TableGrid813">
    <w:name w:val="Table Grid81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512">
    <w:name w:val="No List1512"/>
    <w:next w:val="NoList"/>
    <w:uiPriority w:val="99"/>
    <w:semiHidden/>
    <w:unhideWhenUsed/>
    <w:rsid w:val="003A71DE"/>
  </w:style>
  <w:style w:type="numbering" w:customStyle="1" w:styleId="14122">
    <w:name w:val="リストなし1412"/>
    <w:next w:val="NoList"/>
    <w:uiPriority w:val="99"/>
    <w:semiHidden/>
    <w:unhideWhenUsed/>
    <w:rsid w:val="003A71DE"/>
  </w:style>
  <w:style w:type="table" w:customStyle="1" w:styleId="TableGrid1413">
    <w:name w:val="Table Grid1413"/>
    <w:basedOn w:val="TableNormal"/>
    <w:next w:val="TableGrid"/>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13">
    <w:name w:val="Tabellengitternetz1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13">
    <w:name w:val="Tabellengitternetz2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13">
    <w:name w:val="Tabellengitternetz3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13">
    <w:name w:val="Tabellengitternetz4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13">
    <w:name w:val="Tabellengitternetz5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13">
    <w:name w:val="Tabellengitternetz6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13">
    <w:name w:val="Tabellengitternetz7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13">
    <w:name w:val="Tabellengitternetz8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13">
    <w:name w:val="Tabellengitternetz94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13">
    <w:name w:val="Table Grid24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3">
    <w:name w:val="Table Grid34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23">
    <w:name w:val="无列表1412"/>
    <w:next w:val="NoList"/>
    <w:semiHidden/>
    <w:rsid w:val="003A71DE"/>
  </w:style>
  <w:style w:type="table" w:customStyle="1" w:styleId="3413">
    <w:name w:val="网格型34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3">
    <w:name w:val="网格型44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12">
    <w:name w:val="No List2412"/>
    <w:next w:val="NoList"/>
    <w:semiHidden/>
    <w:rsid w:val="003A71DE"/>
  </w:style>
  <w:style w:type="numbering" w:customStyle="1" w:styleId="NoList3412">
    <w:name w:val="No List3412"/>
    <w:next w:val="NoList"/>
    <w:uiPriority w:val="99"/>
    <w:semiHidden/>
    <w:rsid w:val="003A71DE"/>
  </w:style>
  <w:style w:type="table" w:customStyle="1" w:styleId="TableGrid4413">
    <w:name w:val="Table Grid44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12">
    <w:name w:val="No List11512"/>
    <w:next w:val="NoList"/>
    <w:uiPriority w:val="99"/>
    <w:semiHidden/>
    <w:unhideWhenUsed/>
    <w:rsid w:val="003A71DE"/>
  </w:style>
  <w:style w:type="numbering" w:customStyle="1" w:styleId="15120">
    <w:name w:val="無清單1512"/>
    <w:next w:val="NoList"/>
    <w:uiPriority w:val="99"/>
    <w:semiHidden/>
    <w:unhideWhenUsed/>
    <w:rsid w:val="003A71DE"/>
  </w:style>
  <w:style w:type="numbering" w:customStyle="1" w:styleId="114120">
    <w:name w:val="無清單11412"/>
    <w:next w:val="NoList"/>
    <w:uiPriority w:val="99"/>
    <w:semiHidden/>
    <w:unhideWhenUsed/>
    <w:rsid w:val="003A71DE"/>
  </w:style>
  <w:style w:type="table" w:customStyle="1" w:styleId="14131">
    <w:name w:val="表格格線14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12">
    <w:name w:val="No List4312"/>
    <w:next w:val="NoList"/>
    <w:uiPriority w:val="99"/>
    <w:semiHidden/>
    <w:unhideWhenUsed/>
    <w:rsid w:val="003A71DE"/>
  </w:style>
  <w:style w:type="table" w:customStyle="1" w:styleId="TableGrid5213">
    <w:name w:val="Table Grid521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12">
    <w:name w:val="No List12412"/>
    <w:next w:val="NoList"/>
    <w:uiPriority w:val="99"/>
    <w:semiHidden/>
    <w:unhideWhenUsed/>
    <w:rsid w:val="003A71DE"/>
  </w:style>
  <w:style w:type="numbering" w:customStyle="1" w:styleId="114121">
    <w:name w:val="リストなし11412"/>
    <w:next w:val="NoList"/>
    <w:uiPriority w:val="99"/>
    <w:semiHidden/>
    <w:unhideWhenUsed/>
    <w:rsid w:val="003A71DE"/>
  </w:style>
  <w:style w:type="table" w:customStyle="1" w:styleId="TableGrid11313">
    <w:name w:val="Table Grid11313"/>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13">
    <w:name w:val="Tabellengitternetz1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13">
    <w:name w:val="Tabellengitternetz2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13">
    <w:name w:val="Tabellengitternetz3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13">
    <w:name w:val="Tabellengitternetz4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13">
    <w:name w:val="Tabellengitternetz5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13">
    <w:name w:val="Tabellengitternetz6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13">
    <w:name w:val="Tabellengitternetz7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13">
    <w:name w:val="Tabellengitternetz8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13">
    <w:name w:val="Tabellengitternetz91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13">
    <w:name w:val="Table Grid212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13">
    <w:name w:val="Table Grid312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22">
    <w:name w:val="无列表11412"/>
    <w:next w:val="NoList"/>
    <w:semiHidden/>
    <w:rsid w:val="003A71DE"/>
  </w:style>
  <w:style w:type="table" w:customStyle="1" w:styleId="31213">
    <w:name w:val="网格型312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3">
    <w:name w:val="网格型412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412">
    <w:name w:val="No List21412"/>
    <w:next w:val="NoList"/>
    <w:semiHidden/>
    <w:rsid w:val="003A71DE"/>
  </w:style>
  <w:style w:type="numbering" w:customStyle="1" w:styleId="NoList31412">
    <w:name w:val="No List31412"/>
    <w:next w:val="NoList"/>
    <w:uiPriority w:val="99"/>
    <w:semiHidden/>
    <w:rsid w:val="003A71DE"/>
  </w:style>
  <w:style w:type="table" w:customStyle="1" w:styleId="TableGrid41213">
    <w:name w:val="Table Grid412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412">
    <w:name w:val="No List111412"/>
    <w:next w:val="NoList"/>
    <w:uiPriority w:val="99"/>
    <w:semiHidden/>
    <w:unhideWhenUsed/>
    <w:rsid w:val="003A71DE"/>
  </w:style>
  <w:style w:type="numbering" w:customStyle="1" w:styleId="124120">
    <w:name w:val="無清單12412"/>
    <w:next w:val="NoList"/>
    <w:uiPriority w:val="99"/>
    <w:semiHidden/>
    <w:unhideWhenUsed/>
    <w:rsid w:val="003A71DE"/>
  </w:style>
  <w:style w:type="numbering" w:customStyle="1" w:styleId="1114120">
    <w:name w:val="無清單111412"/>
    <w:next w:val="NoList"/>
    <w:uiPriority w:val="99"/>
    <w:semiHidden/>
    <w:unhideWhenUsed/>
    <w:rsid w:val="003A71DE"/>
  </w:style>
  <w:style w:type="table" w:customStyle="1" w:styleId="112133">
    <w:name w:val="表格格線112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2">
    <w:name w:val="无列表2312"/>
    <w:next w:val="NoList"/>
    <w:uiPriority w:val="99"/>
    <w:semiHidden/>
    <w:unhideWhenUsed/>
    <w:rsid w:val="003A71DE"/>
  </w:style>
  <w:style w:type="numbering" w:customStyle="1" w:styleId="NoList121312">
    <w:name w:val="No List121312"/>
    <w:next w:val="NoList"/>
    <w:uiPriority w:val="99"/>
    <w:semiHidden/>
    <w:unhideWhenUsed/>
    <w:rsid w:val="003A71DE"/>
  </w:style>
  <w:style w:type="numbering" w:customStyle="1" w:styleId="1113121">
    <w:name w:val="リストなし111312"/>
    <w:next w:val="NoList"/>
    <w:uiPriority w:val="99"/>
    <w:semiHidden/>
    <w:unhideWhenUsed/>
    <w:rsid w:val="003A71DE"/>
  </w:style>
  <w:style w:type="numbering" w:customStyle="1" w:styleId="1113122">
    <w:name w:val="无列表111312"/>
    <w:next w:val="NoList"/>
    <w:semiHidden/>
    <w:rsid w:val="003A71DE"/>
  </w:style>
  <w:style w:type="numbering" w:customStyle="1" w:styleId="NoList211312">
    <w:name w:val="No List211312"/>
    <w:next w:val="NoList"/>
    <w:semiHidden/>
    <w:rsid w:val="003A71DE"/>
  </w:style>
  <w:style w:type="numbering" w:customStyle="1" w:styleId="NoList311312">
    <w:name w:val="No List311312"/>
    <w:next w:val="NoList"/>
    <w:uiPriority w:val="99"/>
    <w:semiHidden/>
    <w:rsid w:val="003A71DE"/>
  </w:style>
  <w:style w:type="numbering" w:customStyle="1" w:styleId="NoList1111312">
    <w:name w:val="No List1111312"/>
    <w:next w:val="NoList"/>
    <w:uiPriority w:val="99"/>
    <w:semiHidden/>
    <w:unhideWhenUsed/>
    <w:rsid w:val="003A71DE"/>
  </w:style>
  <w:style w:type="numbering" w:customStyle="1" w:styleId="121312">
    <w:name w:val="無清單121312"/>
    <w:next w:val="NoList"/>
    <w:uiPriority w:val="99"/>
    <w:semiHidden/>
    <w:unhideWhenUsed/>
    <w:rsid w:val="003A71DE"/>
  </w:style>
  <w:style w:type="numbering" w:customStyle="1" w:styleId="1111312">
    <w:name w:val="無清單1111312"/>
    <w:next w:val="NoList"/>
    <w:uiPriority w:val="99"/>
    <w:semiHidden/>
    <w:unhideWhenUsed/>
    <w:rsid w:val="003A71DE"/>
  </w:style>
  <w:style w:type="numbering" w:customStyle="1" w:styleId="NoList5312">
    <w:name w:val="No List5312"/>
    <w:next w:val="NoList"/>
    <w:uiPriority w:val="99"/>
    <w:semiHidden/>
    <w:unhideWhenUsed/>
    <w:rsid w:val="003A71DE"/>
  </w:style>
  <w:style w:type="table" w:customStyle="1" w:styleId="TableGrid6213">
    <w:name w:val="Table Grid621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312">
    <w:name w:val="No List13312"/>
    <w:next w:val="NoList"/>
    <w:uiPriority w:val="99"/>
    <w:semiHidden/>
    <w:unhideWhenUsed/>
    <w:rsid w:val="003A71DE"/>
  </w:style>
  <w:style w:type="numbering" w:customStyle="1" w:styleId="123121">
    <w:name w:val="リストなし12312"/>
    <w:next w:val="NoList"/>
    <w:uiPriority w:val="99"/>
    <w:semiHidden/>
    <w:unhideWhenUsed/>
    <w:rsid w:val="003A71DE"/>
  </w:style>
  <w:style w:type="table" w:customStyle="1" w:styleId="TableGrid12213">
    <w:name w:val="Table Grid12213"/>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213">
    <w:name w:val="Tabellengitternetz1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213">
    <w:name w:val="Tabellengitternetz2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213">
    <w:name w:val="Tabellengitternetz3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213">
    <w:name w:val="Tabellengitternetz4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213">
    <w:name w:val="Tabellengitternetz5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213">
    <w:name w:val="Tabellengitternetz6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213">
    <w:name w:val="Tabellengitternetz7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213">
    <w:name w:val="Tabellengitternetz8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213">
    <w:name w:val="Tabellengitternetz92213"/>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13">
    <w:name w:val="Table Grid222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13">
    <w:name w:val="Table Grid32213"/>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22">
    <w:name w:val="无列表12312"/>
    <w:next w:val="NoList"/>
    <w:semiHidden/>
    <w:rsid w:val="003A71DE"/>
  </w:style>
  <w:style w:type="table" w:customStyle="1" w:styleId="32213">
    <w:name w:val="网格型322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3">
    <w:name w:val="网格型42213"/>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312">
    <w:name w:val="No List22312"/>
    <w:next w:val="NoList"/>
    <w:semiHidden/>
    <w:rsid w:val="003A71DE"/>
  </w:style>
  <w:style w:type="numbering" w:customStyle="1" w:styleId="NoList32312">
    <w:name w:val="No List32312"/>
    <w:next w:val="NoList"/>
    <w:uiPriority w:val="99"/>
    <w:semiHidden/>
    <w:rsid w:val="003A71DE"/>
  </w:style>
  <w:style w:type="table" w:customStyle="1" w:styleId="TableGrid42213">
    <w:name w:val="Table Grid42213"/>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312">
    <w:name w:val="No List112312"/>
    <w:next w:val="NoList"/>
    <w:uiPriority w:val="99"/>
    <w:semiHidden/>
    <w:unhideWhenUsed/>
    <w:rsid w:val="003A71DE"/>
  </w:style>
  <w:style w:type="numbering" w:customStyle="1" w:styleId="13312">
    <w:name w:val="無清單13312"/>
    <w:next w:val="NoList"/>
    <w:uiPriority w:val="99"/>
    <w:semiHidden/>
    <w:unhideWhenUsed/>
    <w:rsid w:val="003A71DE"/>
  </w:style>
  <w:style w:type="numbering" w:customStyle="1" w:styleId="1123120">
    <w:name w:val="無清單112312"/>
    <w:next w:val="NoList"/>
    <w:uiPriority w:val="99"/>
    <w:semiHidden/>
    <w:unhideWhenUsed/>
    <w:rsid w:val="003A71DE"/>
  </w:style>
  <w:style w:type="table" w:customStyle="1" w:styleId="122132">
    <w:name w:val="表格格線12213"/>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12">
    <w:name w:val="无列表21312"/>
    <w:next w:val="NoList"/>
    <w:uiPriority w:val="99"/>
    <w:semiHidden/>
    <w:unhideWhenUsed/>
    <w:rsid w:val="003A71DE"/>
  </w:style>
  <w:style w:type="numbering" w:customStyle="1" w:styleId="NoList122212">
    <w:name w:val="No List122212"/>
    <w:next w:val="NoList"/>
    <w:uiPriority w:val="99"/>
    <w:semiHidden/>
    <w:unhideWhenUsed/>
    <w:rsid w:val="003A71DE"/>
  </w:style>
  <w:style w:type="numbering" w:customStyle="1" w:styleId="1122121">
    <w:name w:val="リストなし112212"/>
    <w:next w:val="NoList"/>
    <w:uiPriority w:val="99"/>
    <w:semiHidden/>
    <w:unhideWhenUsed/>
    <w:rsid w:val="003A71DE"/>
  </w:style>
  <w:style w:type="numbering" w:customStyle="1" w:styleId="1122122">
    <w:name w:val="无列表112212"/>
    <w:next w:val="NoList"/>
    <w:semiHidden/>
    <w:rsid w:val="003A71DE"/>
  </w:style>
  <w:style w:type="numbering" w:customStyle="1" w:styleId="NoList212212">
    <w:name w:val="No List212212"/>
    <w:next w:val="NoList"/>
    <w:semiHidden/>
    <w:rsid w:val="003A71DE"/>
  </w:style>
  <w:style w:type="numbering" w:customStyle="1" w:styleId="NoList312212">
    <w:name w:val="No List312212"/>
    <w:next w:val="NoList"/>
    <w:uiPriority w:val="99"/>
    <w:semiHidden/>
    <w:rsid w:val="003A71DE"/>
  </w:style>
  <w:style w:type="numbering" w:customStyle="1" w:styleId="NoList1112312">
    <w:name w:val="No List1112312"/>
    <w:next w:val="NoList"/>
    <w:uiPriority w:val="99"/>
    <w:semiHidden/>
    <w:unhideWhenUsed/>
    <w:rsid w:val="003A71DE"/>
  </w:style>
  <w:style w:type="numbering" w:customStyle="1" w:styleId="122212">
    <w:name w:val="無清單122212"/>
    <w:next w:val="NoList"/>
    <w:uiPriority w:val="99"/>
    <w:semiHidden/>
    <w:unhideWhenUsed/>
    <w:rsid w:val="003A71DE"/>
  </w:style>
  <w:style w:type="numbering" w:customStyle="1" w:styleId="1112212">
    <w:name w:val="無清單1112212"/>
    <w:next w:val="NoList"/>
    <w:uiPriority w:val="99"/>
    <w:semiHidden/>
    <w:unhideWhenUsed/>
    <w:rsid w:val="003A71DE"/>
  </w:style>
  <w:style w:type="numbering" w:customStyle="1" w:styleId="420">
    <w:name w:val="无列表42"/>
    <w:next w:val="NoList"/>
    <w:uiPriority w:val="99"/>
    <w:semiHidden/>
    <w:unhideWhenUsed/>
    <w:rsid w:val="003A71DE"/>
  </w:style>
  <w:style w:type="table" w:customStyle="1" w:styleId="53">
    <w:name w:val="网格型5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6">
    <w:name w:val="网格型123"/>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0">
    <w:name w:val="无列表322"/>
    <w:next w:val="NoList"/>
    <w:uiPriority w:val="99"/>
    <w:semiHidden/>
    <w:unhideWhenUsed/>
    <w:rsid w:val="003A71DE"/>
  </w:style>
  <w:style w:type="numbering" w:customStyle="1" w:styleId="131221">
    <w:name w:val="无列表13122"/>
    <w:next w:val="NoList"/>
    <w:semiHidden/>
    <w:rsid w:val="003A71DE"/>
  </w:style>
  <w:style w:type="numbering" w:customStyle="1" w:styleId="NoList41122">
    <w:name w:val="No List41122"/>
    <w:next w:val="NoList"/>
    <w:uiPriority w:val="99"/>
    <w:semiHidden/>
    <w:unhideWhenUsed/>
    <w:rsid w:val="003A71DE"/>
  </w:style>
  <w:style w:type="numbering" w:customStyle="1" w:styleId="22122">
    <w:name w:val="无列表22122"/>
    <w:next w:val="NoList"/>
    <w:uiPriority w:val="99"/>
    <w:semiHidden/>
    <w:unhideWhenUsed/>
    <w:rsid w:val="003A71DE"/>
  </w:style>
  <w:style w:type="numbering" w:customStyle="1" w:styleId="NoList1211122">
    <w:name w:val="No List1211122"/>
    <w:next w:val="NoList"/>
    <w:uiPriority w:val="99"/>
    <w:semiHidden/>
    <w:unhideWhenUsed/>
    <w:rsid w:val="003A71DE"/>
  </w:style>
  <w:style w:type="numbering" w:customStyle="1" w:styleId="11111221">
    <w:name w:val="リストなし1111122"/>
    <w:next w:val="NoList"/>
    <w:uiPriority w:val="99"/>
    <w:semiHidden/>
    <w:unhideWhenUsed/>
    <w:rsid w:val="003A71DE"/>
  </w:style>
  <w:style w:type="numbering" w:customStyle="1" w:styleId="11111222">
    <w:name w:val="无列表1111122"/>
    <w:next w:val="NoList"/>
    <w:semiHidden/>
    <w:rsid w:val="003A71DE"/>
  </w:style>
  <w:style w:type="numbering" w:customStyle="1" w:styleId="NoList2111122">
    <w:name w:val="No List2111122"/>
    <w:next w:val="NoList"/>
    <w:semiHidden/>
    <w:rsid w:val="003A71DE"/>
  </w:style>
  <w:style w:type="numbering" w:customStyle="1" w:styleId="NoList3111122">
    <w:name w:val="No List3111122"/>
    <w:next w:val="NoList"/>
    <w:uiPriority w:val="99"/>
    <w:semiHidden/>
    <w:rsid w:val="003A71DE"/>
  </w:style>
  <w:style w:type="numbering" w:customStyle="1" w:styleId="NoList11111122">
    <w:name w:val="No List11111122"/>
    <w:next w:val="NoList"/>
    <w:uiPriority w:val="99"/>
    <w:semiHidden/>
    <w:unhideWhenUsed/>
    <w:rsid w:val="003A71DE"/>
  </w:style>
  <w:style w:type="numbering" w:customStyle="1" w:styleId="12111220">
    <w:name w:val="無清單1211122"/>
    <w:next w:val="NoList"/>
    <w:uiPriority w:val="99"/>
    <w:semiHidden/>
    <w:unhideWhenUsed/>
    <w:rsid w:val="003A71DE"/>
  </w:style>
  <w:style w:type="numbering" w:customStyle="1" w:styleId="111111220">
    <w:name w:val="無清單11111122"/>
    <w:next w:val="NoList"/>
    <w:uiPriority w:val="99"/>
    <w:semiHidden/>
    <w:unhideWhenUsed/>
    <w:rsid w:val="003A71DE"/>
  </w:style>
  <w:style w:type="numbering" w:customStyle="1" w:styleId="NoList131122">
    <w:name w:val="No List131122"/>
    <w:next w:val="NoList"/>
    <w:uiPriority w:val="99"/>
    <w:semiHidden/>
    <w:unhideWhenUsed/>
    <w:rsid w:val="003A71DE"/>
  </w:style>
  <w:style w:type="numbering" w:customStyle="1" w:styleId="1211221">
    <w:name w:val="リストなし121122"/>
    <w:next w:val="NoList"/>
    <w:uiPriority w:val="99"/>
    <w:semiHidden/>
    <w:unhideWhenUsed/>
    <w:rsid w:val="003A71DE"/>
  </w:style>
  <w:style w:type="numbering" w:customStyle="1" w:styleId="1211222">
    <w:name w:val="无列表121122"/>
    <w:next w:val="NoList"/>
    <w:semiHidden/>
    <w:rsid w:val="003A71DE"/>
  </w:style>
  <w:style w:type="numbering" w:customStyle="1" w:styleId="NoList221122">
    <w:name w:val="No List221122"/>
    <w:next w:val="NoList"/>
    <w:semiHidden/>
    <w:rsid w:val="003A71DE"/>
  </w:style>
  <w:style w:type="numbering" w:customStyle="1" w:styleId="NoList321122">
    <w:name w:val="No List321122"/>
    <w:next w:val="NoList"/>
    <w:uiPriority w:val="99"/>
    <w:semiHidden/>
    <w:rsid w:val="003A71DE"/>
  </w:style>
  <w:style w:type="numbering" w:customStyle="1" w:styleId="NoList1121122">
    <w:name w:val="No List1121122"/>
    <w:next w:val="NoList"/>
    <w:uiPriority w:val="99"/>
    <w:semiHidden/>
    <w:unhideWhenUsed/>
    <w:rsid w:val="003A71DE"/>
  </w:style>
  <w:style w:type="numbering" w:customStyle="1" w:styleId="1311220">
    <w:name w:val="無清單131122"/>
    <w:next w:val="NoList"/>
    <w:uiPriority w:val="99"/>
    <w:semiHidden/>
    <w:unhideWhenUsed/>
    <w:rsid w:val="003A71DE"/>
  </w:style>
  <w:style w:type="numbering" w:customStyle="1" w:styleId="11211220">
    <w:name w:val="無清單1121122"/>
    <w:next w:val="NoList"/>
    <w:uiPriority w:val="99"/>
    <w:semiHidden/>
    <w:unhideWhenUsed/>
    <w:rsid w:val="003A71DE"/>
  </w:style>
  <w:style w:type="numbering" w:customStyle="1" w:styleId="211122">
    <w:name w:val="无列表211122"/>
    <w:next w:val="NoList"/>
    <w:uiPriority w:val="99"/>
    <w:semiHidden/>
    <w:unhideWhenUsed/>
    <w:rsid w:val="003A71DE"/>
  </w:style>
  <w:style w:type="numbering" w:customStyle="1" w:styleId="NoList1221122">
    <w:name w:val="No List1221122"/>
    <w:next w:val="NoList"/>
    <w:uiPriority w:val="99"/>
    <w:semiHidden/>
    <w:unhideWhenUsed/>
    <w:rsid w:val="003A71DE"/>
  </w:style>
  <w:style w:type="numbering" w:customStyle="1" w:styleId="11211221">
    <w:name w:val="リストなし1121122"/>
    <w:next w:val="NoList"/>
    <w:uiPriority w:val="99"/>
    <w:semiHidden/>
    <w:unhideWhenUsed/>
    <w:rsid w:val="003A71DE"/>
  </w:style>
  <w:style w:type="numbering" w:customStyle="1" w:styleId="11211222">
    <w:name w:val="无列表1121122"/>
    <w:next w:val="NoList"/>
    <w:semiHidden/>
    <w:rsid w:val="003A71DE"/>
  </w:style>
  <w:style w:type="numbering" w:customStyle="1" w:styleId="NoList2121122">
    <w:name w:val="No List2121122"/>
    <w:next w:val="NoList"/>
    <w:semiHidden/>
    <w:rsid w:val="003A71DE"/>
  </w:style>
  <w:style w:type="numbering" w:customStyle="1" w:styleId="NoList3121122">
    <w:name w:val="No List3121122"/>
    <w:next w:val="NoList"/>
    <w:uiPriority w:val="99"/>
    <w:semiHidden/>
    <w:rsid w:val="003A71DE"/>
  </w:style>
  <w:style w:type="numbering" w:customStyle="1" w:styleId="NoList11121122">
    <w:name w:val="No List11121122"/>
    <w:next w:val="NoList"/>
    <w:uiPriority w:val="99"/>
    <w:semiHidden/>
    <w:unhideWhenUsed/>
    <w:rsid w:val="003A71DE"/>
  </w:style>
  <w:style w:type="numbering" w:customStyle="1" w:styleId="1221122">
    <w:name w:val="無清單1221122"/>
    <w:next w:val="NoList"/>
    <w:uiPriority w:val="99"/>
    <w:semiHidden/>
    <w:unhideWhenUsed/>
    <w:rsid w:val="003A71DE"/>
  </w:style>
  <w:style w:type="numbering" w:customStyle="1" w:styleId="11121122">
    <w:name w:val="無清單11121122"/>
    <w:next w:val="NoList"/>
    <w:uiPriority w:val="99"/>
    <w:semiHidden/>
    <w:unhideWhenUsed/>
    <w:rsid w:val="003A71DE"/>
  </w:style>
  <w:style w:type="numbering" w:customStyle="1" w:styleId="122221">
    <w:name w:val="无列表12222"/>
    <w:next w:val="NoList"/>
    <w:semiHidden/>
    <w:rsid w:val="003A71DE"/>
  </w:style>
  <w:style w:type="table" w:customStyle="1" w:styleId="TableGrid11224">
    <w:name w:val="Table Grid11224"/>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24">
    <w:name w:val="Tabellengitternetz1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24">
    <w:name w:val="Tabellengitternetz2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24">
    <w:name w:val="Tabellengitternetz3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24">
    <w:name w:val="Tabellengitternetz4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24">
    <w:name w:val="Tabellengitternetz5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24">
    <w:name w:val="Tabellengitternetz6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24">
    <w:name w:val="Tabellengitternetz7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24">
    <w:name w:val="Tabellengitternetz8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24">
    <w:name w:val="Tabellengitternetz91124"/>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4">
    <w:name w:val="Table Grid2112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4">
    <w:name w:val="Table Grid31124"/>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4">
    <w:name w:val="网格型3112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4">
    <w:name w:val="网格型41124"/>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24">
    <w:name w:val="Table Grid41124"/>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43">
    <w:name w:val="表格格線11124"/>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11111">
    <w:name w:val="No List12111111"/>
    <w:next w:val="NoList"/>
    <w:uiPriority w:val="99"/>
    <w:semiHidden/>
    <w:unhideWhenUsed/>
    <w:rsid w:val="003A71DE"/>
  </w:style>
  <w:style w:type="numbering" w:customStyle="1" w:styleId="111111111">
    <w:name w:val="リストなし11111111"/>
    <w:next w:val="NoList"/>
    <w:uiPriority w:val="99"/>
    <w:semiHidden/>
    <w:unhideWhenUsed/>
    <w:rsid w:val="003A71DE"/>
  </w:style>
  <w:style w:type="numbering" w:customStyle="1" w:styleId="111111112">
    <w:name w:val="无列表11111111"/>
    <w:next w:val="NoList"/>
    <w:semiHidden/>
    <w:rsid w:val="003A71DE"/>
  </w:style>
  <w:style w:type="numbering" w:customStyle="1" w:styleId="NoList21111111">
    <w:name w:val="No List21111111"/>
    <w:next w:val="NoList"/>
    <w:semiHidden/>
    <w:rsid w:val="003A71DE"/>
  </w:style>
  <w:style w:type="numbering" w:customStyle="1" w:styleId="NoList31111111">
    <w:name w:val="No List31111111"/>
    <w:next w:val="NoList"/>
    <w:uiPriority w:val="99"/>
    <w:semiHidden/>
    <w:rsid w:val="003A71DE"/>
  </w:style>
  <w:style w:type="numbering" w:customStyle="1" w:styleId="NoList111111112">
    <w:name w:val="No List111111112"/>
    <w:next w:val="NoList"/>
    <w:uiPriority w:val="99"/>
    <w:semiHidden/>
    <w:unhideWhenUsed/>
    <w:rsid w:val="003A71DE"/>
  </w:style>
  <w:style w:type="numbering" w:customStyle="1" w:styleId="12111111">
    <w:name w:val="無清單12111111"/>
    <w:next w:val="NoList"/>
    <w:uiPriority w:val="99"/>
    <w:semiHidden/>
    <w:unhideWhenUsed/>
    <w:rsid w:val="003A71DE"/>
  </w:style>
  <w:style w:type="numbering" w:customStyle="1" w:styleId="1111111110">
    <w:name w:val="無清單111111111"/>
    <w:next w:val="NoList"/>
    <w:uiPriority w:val="99"/>
    <w:semiHidden/>
    <w:unhideWhenUsed/>
    <w:rsid w:val="003A71DE"/>
  </w:style>
  <w:style w:type="numbering" w:customStyle="1" w:styleId="12111110">
    <w:name w:val="无列表1211111"/>
    <w:next w:val="NoList"/>
    <w:semiHidden/>
    <w:rsid w:val="003A71DE"/>
  </w:style>
  <w:style w:type="numbering" w:customStyle="1" w:styleId="2111111">
    <w:name w:val="无列表2111111"/>
    <w:next w:val="NoList"/>
    <w:uiPriority w:val="99"/>
    <w:semiHidden/>
    <w:unhideWhenUsed/>
    <w:rsid w:val="003A71DE"/>
  </w:style>
  <w:style w:type="numbering" w:customStyle="1" w:styleId="NoList171">
    <w:name w:val="No List171"/>
    <w:next w:val="NoList"/>
    <w:uiPriority w:val="99"/>
    <w:semiHidden/>
    <w:unhideWhenUsed/>
    <w:rsid w:val="003A71DE"/>
  </w:style>
  <w:style w:type="numbering" w:customStyle="1" w:styleId="1611">
    <w:name w:val="リストなし161"/>
    <w:next w:val="NoList"/>
    <w:uiPriority w:val="99"/>
    <w:semiHidden/>
    <w:unhideWhenUsed/>
    <w:rsid w:val="003A71DE"/>
  </w:style>
  <w:style w:type="table" w:customStyle="1" w:styleId="TableGrid161">
    <w:name w:val="Table Grid16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61">
    <w:name w:val="Tabellengitternetz1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61">
    <w:name w:val="Tabellengitternetz2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61">
    <w:name w:val="Tabellengitternetz3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61">
    <w:name w:val="Tabellengitternetz4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61">
    <w:name w:val="Tabellengitternetz5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61">
    <w:name w:val="Tabellengitternetz6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61">
    <w:name w:val="Tabellengitternetz7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61">
    <w:name w:val="Tabellengitternetz8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61">
    <w:name w:val="Tabellengitternetz96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1">
    <w:name w:val="Table Grid26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1">
    <w:name w:val="Table Grid36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2">
    <w:name w:val="无列表161"/>
    <w:next w:val="NoList"/>
    <w:semiHidden/>
    <w:rsid w:val="003A71DE"/>
  </w:style>
  <w:style w:type="table" w:customStyle="1" w:styleId="361">
    <w:name w:val="网格型36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
    <w:name w:val="网格型46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61">
    <w:name w:val="No List261"/>
    <w:next w:val="NoList"/>
    <w:semiHidden/>
    <w:rsid w:val="003A71DE"/>
  </w:style>
  <w:style w:type="numbering" w:customStyle="1" w:styleId="NoList361">
    <w:name w:val="No List361"/>
    <w:next w:val="NoList"/>
    <w:uiPriority w:val="99"/>
    <w:semiHidden/>
    <w:rsid w:val="003A71DE"/>
  </w:style>
  <w:style w:type="table" w:customStyle="1" w:styleId="TableGrid461">
    <w:name w:val="Table Grid46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71">
    <w:name w:val="No List1171"/>
    <w:next w:val="NoList"/>
    <w:uiPriority w:val="99"/>
    <w:semiHidden/>
    <w:unhideWhenUsed/>
    <w:rsid w:val="003A71DE"/>
  </w:style>
  <w:style w:type="numbering" w:customStyle="1" w:styleId="1710">
    <w:name w:val="無清單171"/>
    <w:next w:val="NoList"/>
    <w:uiPriority w:val="99"/>
    <w:semiHidden/>
    <w:unhideWhenUsed/>
    <w:rsid w:val="003A71DE"/>
  </w:style>
  <w:style w:type="numbering" w:customStyle="1" w:styleId="11610">
    <w:name w:val="無清單1161"/>
    <w:next w:val="NoList"/>
    <w:uiPriority w:val="99"/>
    <w:semiHidden/>
    <w:unhideWhenUsed/>
    <w:rsid w:val="003A71DE"/>
  </w:style>
  <w:style w:type="table" w:customStyle="1" w:styleId="1613">
    <w:name w:val="表格格線16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61">
    <w:name w:val="No List11161"/>
    <w:next w:val="NoList"/>
    <w:uiPriority w:val="99"/>
    <w:semiHidden/>
    <w:unhideWhenUsed/>
    <w:rsid w:val="003A71DE"/>
  </w:style>
  <w:style w:type="numbering" w:customStyle="1" w:styleId="251">
    <w:name w:val="无列表251"/>
    <w:next w:val="NoList"/>
    <w:uiPriority w:val="99"/>
    <w:semiHidden/>
    <w:unhideWhenUsed/>
    <w:rsid w:val="003A71DE"/>
  </w:style>
  <w:style w:type="numbering" w:customStyle="1" w:styleId="NoList1261">
    <w:name w:val="No List1261"/>
    <w:next w:val="NoList"/>
    <w:uiPriority w:val="99"/>
    <w:semiHidden/>
    <w:unhideWhenUsed/>
    <w:rsid w:val="003A71DE"/>
  </w:style>
  <w:style w:type="numbering" w:customStyle="1" w:styleId="11611">
    <w:name w:val="リストなし1161"/>
    <w:next w:val="NoList"/>
    <w:uiPriority w:val="99"/>
    <w:semiHidden/>
    <w:unhideWhenUsed/>
    <w:rsid w:val="003A71DE"/>
  </w:style>
  <w:style w:type="numbering" w:customStyle="1" w:styleId="11612">
    <w:name w:val="无列表1161"/>
    <w:next w:val="NoList"/>
    <w:semiHidden/>
    <w:rsid w:val="003A71DE"/>
  </w:style>
  <w:style w:type="numbering" w:customStyle="1" w:styleId="NoList2161">
    <w:name w:val="No List2161"/>
    <w:next w:val="NoList"/>
    <w:semiHidden/>
    <w:rsid w:val="003A71DE"/>
  </w:style>
  <w:style w:type="numbering" w:customStyle="1" w:styleId="NoList3161">
    <w:name w:val="No List3161"/>
    <w:next w:val="NoList"/>
    <w:uiPriority w:val="99"/>
    <w:semiHidden/>
    <w:rsid w:val="003A71DE"/>
  </w:style>
  <w:style w:type="numbering" w:customStyle="1" w:styleId="12610">
    <w:name w:val="無清單1261"/>
    <w:next w:val="NoList"/>
    <w:uiPriority w:val="99"/>
    <w:semiHidden/>
    <w:unhideWhenUsed/>
    <w:rsid w:val="003A71DE"/>
  </w:style>
  <w:style w:type="numbering" w:customStyle="1" w:styleId="111610">
    <w:name w:val="無清單11161"/>
    <w:next w:val="NoList"/>
    <w:uiPriority w:val="99"/>
    <w:semiHidden/>
    <w:unhideWhenUsed/>
    <w:rsid w:val="003A71DE"/>
  </w:style>
  <w:style w:type="table" w:customStyle="1" w:styleId="TableGrid1151">
    <w:name w:val="Table Grid1151"/>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51">
    <w:name w:val="No List451"/>
    <w:next w:val="NoList"/>
    <w:uiPriority w:val="99"/>
    <w:semiHidden/>
    <w:unhideWhenUsed/>
    <w:rsid w:val="003A71DE"/>
  </w:style>
  <w:style w:type="numbering" w:customStyle="1" w:styleId="NoList11251">
    <w:name w:val="No List11251"/>
    <w:next w:val="NoList"/>
    <w:uiPriority w:val="99"/>
    <w:semiHidden/>
    <w:unhideWhenUsed/>
    <w:rsid w:val="003A71DE"/>
  </w:style>
  <w:style w:type="table" w:customStyle="1" w:styleId="TableGrid541">
    <w:name w:val="Table Grid54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41">
    <w:name w:val="Tabellengitternetz1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41">
    <w:name w:val="Tabellengitternetz2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41">
    <w:name w:val="Tabellengitternetz3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41">
    <w:name w:val="Tabellengitternetz4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41">
    <w:name w:val="Tabellengitternetz5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41">
    <w:name w:val="Tabellengitternetz6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41">
    <w:name w:val="Tabellengitternetz7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41">
    <w:name w:val="Tabellengitternetz8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41">
    <w:name w:val="Tabellengitternetz91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41">
    <w:name w:val="Table Grid21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1">
    <w:name w:val="Table Grid314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1">
    <w:name w:val="网格型31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1">
    <w:name w:val="网格型41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41">
    <w:name w:val="Table Grid414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3">
    <w:name w:val="表格格線114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51">
    <w:name w:val="No List12151"/>
    <w:next w:val="NoList"/>
    <w:uiPriority w:val="99"/>
    <w:semiHidden/>
    <w:unhideWhenUsed/>
    <w:rsid w:val="003A71DE"/>
  </w:style>
  <w:style w:type="numbering" w:customStyle="1" w:styleId="111511">
    <w:name w:val="リストなし11151"/>
    <w:next w:val="NoList"/>
    <w:uiPriority w:val="99"/>
    <w:semiHidden/>
    <w:unhideWhenUsed/>
    <w:rsid w:val="003A71DE"/>
  </w:style>
  <w:style w:type="numbering" w:customStyle="1" w:styleId="111512">
    <w:name w:val="无列表11151"/>
    <w:next w:val="NoList"/>
    <w:semiHidden/>
    <w:rsid w:val="003A71DE"/>
  </w:style>
  <w:style w:type="numbering" w:customStyle="1" w:styleId="NoList21151">
    <w:name w:val="No List21151"/>
    <w:next w:val="NoList"/>
    <w:semiHidden/>
    <w:rsid w:val="003A71DE"/>
  </w:style>
  <w:style w:type="numbering" w:customStyle="1" w:styleId="NoList31151">
    <w:name w:val="No List31151"/>
    <w:next w:val="NoList"/>
    <w:uiPriority w:val="99"/>
    <w:semiHidden/>
    <w:rsid w:val="003A71DE"/>
  </w:style>
  <w:style w:type="numbering" w:customStyle="1" w:styleId="NoList111151">
    <w:name w:val="No List111151"/>
    <w:next w:val="NoList"/>
    <w:uiPriority w:val="99"/>
    <w:semiHidden/>
    <w:unhideWhenUsed/>
    <w:rsid w:val="003A71DE"/>
  </w:style>
  <w:style w:type="numbering" w:customStyle="1" w:styleId="121510">
    <w:name w:val="無清單12151"/>
    <w:next w:val="NoList"/>
    <w:uiPriority w:val="99"/>
    <w:semiHidden/>
    <w:unhideWhenUsed/>
    <w:rsid w:val="003A71DE"/>
  </w:style>
  <w:style w:type="numbering" w:customStyle="1" w:styleId="1111510">
    <w:name w:val="無清單111151"/>
    <w:next w:val="NoList"/>
    <w:uiPriority w:val="99"/>
    <w:semiHidden/>
    <w:unhideWhenUsed/>
    <w:rsid w:val="003A71DE"/>
  </w:style>
  <w:style w:type="numbering" w:customStyle="1" w:styleId="NoList551">
    <w:name w:val="No List551"/>
    <w:next w:val="NoList"/>
    <w:uiPriority w:val="99"/>
    <w:semiHidden/>
    <w:unhideWhenUsed/>
    <w:rsid w:val="003A71DE"/>
  </w:style>
  <w:style w:type="table" w:customStyle="1" w:styleId="TableGrid641">
    <w:name w:val="Table Grid64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51">
    <w:name w:val="No List1351"/>
    <w:next w:val="NoList"/>
    <w:uiPriority w:val="99"/>
    <w:semiHidden/>
    <w:unhideWhenUsed/>
    <w:rsid w:val="003A71DE"/>
  </w:style>
  <w:style w:type="numbering" w:customStyle="1" w:styleId="12511">
    <w:name w:val="リストなし1251"/>
    <w:next w:val="NoList"/>
    <w:uiPriority w:val="99"/>
    <w:semiHidden/>
    <w:unhideWhenUsed/>
    <w:rsid w:val="003A71DE"/>
  </w:style>
  <w:style w:type="table" w:customStyle="1" w:styleId="TableGrid1241">
    <w:name w:val="Table Grid124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241">
    <w:name w:val="Tabellengitternetz1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41">
    <w:name w:val="Tabellengitternetz2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41">
    <w:name w:val="Tabellengitternetz3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41">
    <w:name w:val="Tabellengitternetz4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41">
    <w:name w:val="Tabellengitternetz5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41">
    <w:name w:val="Tabellengitternetz6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41">
    <w:name w:val="Tabellengitternetz7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41">
    <w:name w:val="Tabellengitternetz8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41">
    <w:name w:val="Tabellengitternetz924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41">
    <w:name w:val="Table Grid22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41">
    <w:name w:val="Table Grid324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12">
    <w:name w:val="无列表1251"/>
    <w:next w:val="NoList"/>
    <w:semiHidden/>
    <w:rsid w:val="003A71DE"/>
  </w:style>
  <w:style w:type="table" w:customStyle="1" w:styleId="3241">
    <w:name w:val="网格型32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41">
    <w:name w:val="网格型424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51">
    <w:name w:val="No List2251"/>
    <w:next w:val="NoList"/>
    <w:semiHidden/>
    <w:rsid w:val="003A71DE"/>
  </w:style>
  <w:style w:type="numbering" w:customStyle="1" w:styleId="NoList3251">
    <w:name w:val="No List3251"/>
    <w:next w:val="NoList"/>
    <w:uiPriority w:val="99"/>
    <w:semiHidden/>
    <w:rsid w:val="003A71DE"/>
  </w:style>
  <w:style w:type="table" w:customStyle="1" w:styleId="TableGrid4241">
    <w:name w:val="Table Grid424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10">
    <w:name w:val="無清單1351"/>
    <w:next w:val="NoList"/>
    <w:uiPriority w:val="99"/>
    <w:semiHidden/>
    <w:unhideWhenUsed/>
    <w:rsid w:val="003A71DE"/>
  </w:style>
  <w:style w:type="numbering" w:customStyle="1" w:styleId="112510">
    <w:name w:val="無清單11251"/>
    <w:next w:val="NoList"/>
    <w:uiPriority w:val="99"/>
    <w:semiHidden/>
    <w:unhideWhenUsed/>
    <w:rsid w:val="003A71DE"/>
  </w:style>
  <w:style w:type="table" w:customStyle="1" w:styleId="12413">
    <w:name w:val="表格格線124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0">
    <w:name w:val="无列表2151"/>
    <w:next w:val="NoList"/>
    <w:uiPriority w:val="99"/>
    <w:semiHidden/>
    <w:unhideWhenUsed/>
    <w:rsid w:val="003A71DE"/>
  </w:style>
  <w:style w:type="numbering" w:customStyle="1" w:styleId="NoList12241">
    <w:name w:val="No List12241"/>
    <w:next w:val="NoList"/>
    <w:uiPriority w:val="99"/>
    <w:semiHidden/>
    <w:unhideWhenUsed/>
    <w:rsid w:val="003A71DE"/>
  </w:style>
  <w:style w:type="numbering" w:customStyle="1" w:styleId="112411">
    <w:name w:val="リストなし11241"/>
    <w:next w:val="NoList"/>
    <w:uiPriority w:val="99"/>
    <w:semiHidden/>
    <w:unhideWhenUsed/>
    <w:rsid w:val="003A71DE"/>
  </w:style>
  <w:style w:type="numbering" w:customStyle="1" w:styleId="112412">
    <w:name w:val="无列表11241"/>
    <w:next w:val="NoList"/>
    <w:semiHidden/>
    <w:rsid w:val="003A71DE"/>
  </w:style>
  <w:style w:type="numbering" w:customStyle="1" w:styleId="NoList21241">
    <w:name w:val="No List21241"/>
    <w:next w:val="NoList"/>
    <w:semiHidden/>
    <w:rsid w:val="003A71DE"/>
  </w:style>
  <w:style w:type="numbering" w:customStyle="1" w:styleId="NoList31241">
    <w:name w:val="No List31241"/>
    <w:next w:val="NoList"/>
    <w:uiPriority w:val="99"/>
    <w:semiHidden/>
    <w:rsid w:val="003A71DE"/>
  </w:style>
  <w:style w:type="numbering" w:customStyle="1" w:styleId="NoList111251">
    <w:name w:val="No List111251"/>
    <w:next w:val="NoList"/>
    <w:uiPriority w:val="99"/>
    <w:semiHidden/>
    <w:unhideWhenUsed/>
    <w:rsid w:val="003A71DE"/>
  </w:style>
  <w:style w:type="numbering" w:customStyle="1" w:styleId="122410">
    <w:name w:val="無清單12241"/>
    <w:next w:val="NoList"/>
    <w:uiPriority w:val="99"/>
    <w:semiHidden/>
    <w:unhideWhenUsed/>
    <w:rsid w:val="003A71DE"/>
  </w:style>
  <w:style w:type="numbering" w:customStyle="1" w:styleId="1112410">
    <w:name w:val="無清單111241"/>
    <w:next w:val="NoList"/>
    <w:uiPriority w:val="99"/>
    <w:semiHidden/>
    <w:unhideWhenUsed/>
    <w:rsid w:val="003A71DE"/>
  </w:style>
  <w:style w:type="table" w:customStyle="1" w:styleId="TableGrid11131">
    <w:name w:val="Table Grid11131"/>
    <w:basedOn w:val="TableNormal"/>
    <w:next w:val="TableGrid"/>
    <w:uiPriority w:val="39"/>
    <w:rsid w:val="003A71DE"/>
    <w:pPr>
      <w:spacing w:after="0" w:line="240" w:lineRule="auto"/>
    </w:pPr>
    <w:rPr>
      <w:rFonts w:ascii="Calibri" w:eastAsia="SimSu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网格型221"/>
    <w:basedOn w:val="TableNormal"/>
    <w:next w:val="TableGrid"/>
    <w:rsid w:val="003A71DE"/>
    <w:pPr>
      <w:spacing w:after="180" w:line="240" w:lineRule="auto"/>
    </w:pPr>
    <w:rPr>
      <w:rFonts w:ascii="Tms Rmn" w:eastAsia="MS Mincho" w:hAnsi="Tms Rm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0">
    <w:name w:val="无列表1331"/>
    <w:next w:val="NoList"/>
    <w:semiHidden/>
    <w:rsid w:val="003A71DE"/>
  </w:style>
  <w:style w:type="numbering" w:customStyle="1" w:styleId="NoList11331">
    <w:name w:val="No List11331"/>
    <w:next w:val="NoList"/>
    <w:uiPriority w:val="99"/>
    <w:semiHidden/>
    <w:unhideWhenUsed/>
    <w:rsid w:val="003A71DE"/>
  </w:style>
  <w:style w:type="numbering" w:customStyle="1" w:styleId="NoList4131">
    <w:name w:val="No List4131"/>
    <w:next w:val="NoList"/>
    <w:uiPriority w:val="99"/>
    <w:semiHidden/>
    <w:unhideWhenUsed/>
    <w:rsid w:val="003A71DE"/>
  </w:style>
  <w:style w:type="table" w:customStyle="1" w:styleId="TableGrid11231">
    <w:name w:val="Table Grid11231"/>
    <w:basedOn w:val="TableNormal"/>
    <w:next w:val="TableGrid"/>
    <w:uiPriority w:val="39"/>
    <w:rsid w:val="003A71DE"/>
    <w:pPr>
      <w:spacing w:after="0" w:line="240" w:lineRule="auto"/>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31">
    <w:name w:val="Tabellengitternetz1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31">
    <w:name w:val="Tabellengitternetz2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31">
    <w:name w:val="Tabellengitternetz3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31">
    <w:name w:val="Tabellengitternetz4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31">
    <w:name w:val="Tabellengitternetz5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31">
    <w:name w:val="Tabellengitternetz6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31">
    <w:name w:val="Tabellengitternetz7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31">
    <w:name w:val="Tabellengitternetz8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31">
    <w:name w:val="Tabellengitternetz91131"/>
    <w:basedOn w:val="TableNormal"/>
    <w:next w:val="TableGrid"/>
    <w:rsid w:val="003A71DE"/>
    <w:pPr>
      <w:spacing w:after="0" w:line="240" w:lineRule="auto"/>
    </w:pPr>
    <w:rPr>
      <w:rFonts w:ascii="Times New Roman" w:eastAsia="Malgun Gothic"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31">
    <w:name w:val="Table Grid211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31">
    <w:name w:val="Table Grid31131"/>
    <w:basedOn w:val="TableNormal"/>
    <w:next w:val="TableGrid"/>
    <w:rsid w:val="003A71DE"/>
    <w:pPr>
      <w:overflowPunct w:val="0"/>
      <w:autoSpaceDE w:val="0"/>
      <w:autoSpaceDN w:val="0"/>
      <w:adjustRightInd w:val="0"/>
      <w:spacing w:after="180" w:line="240" w:lineRule="auto"/>
      <w:textAlignment w:val="baseline"/>
    </w:pPr>
    <w:rPr>
      <w:rFonts w:ascii="Times New Roman" w:eastAsia="MS Mincho"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31">
    <w:name w:val="网格型311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31">
    <w:name w:val="网格型41131"/>
    <w:basedOn w:val="TableNormal"/>
    <w:next w:val="TableGrid"/>
    <w:rsid w:val="003A71DE"/>
    <w:pPr>
      <w:overflowPunct w:val="0"/>
      <w:autoSpaceDE w:val="0"/>
      <w:autoSpaceDN w:val="0"/>
      <w:adjustRightInd w:val="0"/>
      <w:spacing w:after="180" w:line="240" w:lineRule="auto"/>
      <w:textAlignment w:val="baseline"/>
    </w:pPr>
    <w:rPr>
      <w:rFonts w:ascii="Times New Roman" w:eastAsia="SimSun" w:hAnsi="Times New Roman" w:cs="Times New Roman"/>
      <w:sz w:val="20"/>
      <w:szCs w:val="20"/>
      <w:lang w:val="en-GB"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31">
    <w:name w:val="Table Grid41131"/>
    <w:basedOn w:val="TableNormal"/>
    <w:next w:val="TableGrid"/>
    <w:rsid w:val="003A71DE"/>
    <w:pPr>
      <w:spacing w:after="0" w:line="240" w:lineRule="auto"/>
    </w:pPr>
    <w:rPr>
      <w:rFonts w:ascii="Times New Roman" w:eastAsia="Malgun Gothic" w:hAnsi="Times New Roman" w:cs="Times New Roman"/>
      <w:sz w:val="20"/>
      <w:szCs w:val="20"/>
      <w:lang w:val="en-GB"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5">
    <w:name w:val="表格格線11131"/>
    <w:basedOn w:val="TableNormal"/>
    <w:next w:val="TableGrid"/>
    <w:rsid w:val="003A71DE"/>
    <w:pPr>
      <w:spacing w:after="0" w:line="240" w:lineRule="auto"/>
    </w:pPr>
    <w:rPr>
      <w:rFonts w:ascii="Times New Roman" w:eastAsia="Malgun Gothic"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31">
    <w:name w:val="无列表2231"/>
    <w:next w:val="NoList"/>
    <w:uiPriority w:val="99"/>
    <w:semiHidden/>
    <w:unhideWhenUsed/>
    <w:rsid w:val="003A71DE"/>
  </w:style>
  <w:style w:type="numbering" w:customStyle="1" w:styleId="NoList121131">
    <w:name w:val="No List121131"/>
    <w:next w:val="NoList"/>
    <w:uiPriority w:val="99"/>
    <w:semiHidden/>
    <w:unhideWhenUsed/>
    <w:rsid w:val="003A71DE"/>
  </w:style>
  <w:style w:type="numbering" w:customStyle="1" w:styleId="1111310">
    <w:name w:val="リストなし111131"/>
    <w:next w:val="NoList"/>
    <w:uiPriority w:val="99"/>
    <w:semiHidden/>
    <w:unhideWhenUsed/>
    <w:rsid w:val="003A71DE"/>
  </w:style>
  <w:style w:type="numbering" w:customStyle="1" w:styleId="1111313">
    <w:name w:val="无列表111131"/>
    <w:next w:val="NoList"/>
    <w:semiHidden/>
    <w:rsid w:val="003A71DE"/>
  </w:style>
  <w:style w:type="numbering" w:customStyle="1" w:styleId="NoList211131">
    <w:name w:val="No List211131"/>
    <w:next w:val="NoList"/>
    <w:semiHidden/>
    <w:rsid w:val="003A71DE"/>
  </w:style>
  <w:style w:type="numbering" w:customStyle="1" w:styleId="NoList311131">
    <w:name w:val="No List311131"/>
    <w:next w:val="NoList"/>
    <w:uiPriority w:val="99"/>
    <w:semiHidden/>
    <w:rsid w:val="003A71DE"/>
  </w:style>
  <w:style w:type="numbering" w:customStyle="1" w:styleId="NoList1111131">
    <w:name w:val="No List1111131"/>
    <w:next w:val="NoList"/>
    <w:uiPriority w:val="99"/>
    <w:semiHidden/>
    <w:unhideWhenUsed/>
    <w:rsid w:val="003A71DE"/>
  </w:style>
  <w:style w:type="numbering" w:customStyle="1" w:styleId="1211310">
    <w:name w:val="無清單121131"/>
    <w:next w:val="NoList"/>
    <w:uiPriority w:val="99"/>
    <w:semiHidden/>
    <w:unhideWhenUsed/>
    <w:rsid w:val="003A71DE"/>
  </w:style>
  <w:style w:type="numbering" w:customStyle="1" w:styleId="11111310">
    <w:name w:val="無清單1111131"/>
    <w:next w:val="NoList"/>
    <w:uiPriority w:val="99"/>
    <w:semiHidden/>
    <w:unhideWhenUsed/>
    <w:rsid w:val="003A71DE"/>
  </w:style>
  <w:style w:type="numbering" w:customStyle="1" w:styleId="NoList13131">
    <w:name w:val="No List13131"/>
    <w:next w:val="NoList"/>
    <w:uiPriority w:val="99"/>
    <w:semiHidden/>
    <w:unhideWhenUsed/>
    <w:rsid w:val="003A71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3785559">
      <w:bodyDiv w:val="1"/>
      <w:marLeft w:val="0"/>
      <w:marRight w:val="0"/>
      <w:marTop w:val="0"/>
      <w:marBottom w:val="0"/>
      <w:divBdr>
        <w:top w:val="none" w:sz="0" w:space="0" w:color="auto"/>
        <w:left w:val="none" w:sz="0" w:space="0" w:color="auto"/>
        <w:bottom w:val="none" w:sz="0" w:space="0" w:color="auto"/>
        <w:right w:val="none" w:sz="0" w:space="0" w:color="auto"/>
      </w:divBdr>
    </w:div>
    <w:div w:id="444426051">
      <w:bodyDiv w:val="1"/>
      <w:marLeft w:val="0"/>
      <w:marRight w:val="0"/>
      <w:marTop w:val="0"/>
      <w:marBottom w:val="0"/>
      <w:divBdr>
        <w:top w:val="none" w:sz="0" w:space="0" w:color="auto"/>
        <w:left w:val="none" w:sz="0" w:space="0" w:color="auto"/>
        <w:bottom w:val="none" w:sz="0" w:space="0" w:color="auto"/>
        <w:right w:val="none" w:sz="0" w:space="0" w:color="auto"/>
      </w:divBdr>
    </w:div>
    <w:div w:id="606088044">
      <w:bodyDiv w:val="1"/>
      <w:marLeft w:val="0"/>
      <w:marRight w:val="0"/>
      <w:marTop w:val="0"/>
      <w:marBottom w:val="0"/>
      <w:divBdr>
        <w:top w:val="none" w:sz="0" w:space="0" w:color="auto"/>
        <w:left w:val="none" w:sz="0" w:space="0" w:color="auto"/>
        <w:bottom w:val="none" w:sz="0" w:space="0" w:color="auto"/>
        <w:right w:val="none" w:sz="0" w:space="0" w:color="auto"/>
      </w:divBdr>
    </w:div>
    <w:div w:id="797067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4.bin"/><Relationship Id="rId21" Type="http://schemas.openxmlformats.org/officeDocument/2006/relationships/image" Target="media/image7.png"/><Relationship Id="rId42" Type="http://schemas.openxmlformats.org/officeDocument/2006/relationships/oleObject" Target="embeddings/oleObject10.bin"/><Relationship Id="rId63" Type="http://schemas.openxmlformats.org/officeDocument/2006/relationships/oleObject" Target="embeddings/oleObject19.bin"/><Relationship Id="rId84" Type="http://schemas.openxmlformats.org/officeDocument/2006/relationships/oleObject" Target="embeddings/oleObject34.bin"/><Relationship Id="rId138" Type="http://schemas.openxmlformats.org/officeDocument/2006/relationships/oleObject" Target="embeddings/oleObject76.bin"/><Relationship Id="rId159" Type="http://schemas.openxmlformats.org/officeDocument/2006/relationships/image" Target="media/image66.wmf"/><Relationship Id="rId170" Type="http://schemas.openxmlformats.org/officeDocument/2006/relationships/image" Target="media/image77.wmf"/><Relationship Id="rId191" Type="http://schemas.openxmlformats.org/officeDocument/2006/relationships/image" Target="media/image91.wmf"/><Relationship Id="rId205" Type="http://schemas.openxmlformats.org/officeDocument/2006/relationships/image" Target="media/image103.wmf"/><Relationship Id="rId226" Type="http://schemas.openxmlformats.org/officeDocument/2006/relationships/image" Target="media/image111.wmf"/><Relationship Id="rId107" Type="http://schemas.openxmlformats.org/officeDocument/2006/relationships/oleObject" Target="embeddings/oleObject57.bin"/><Relationship Id="rId11" Type="http://schemas.openxmlformats.org/officeDocument/2006/relationships/image" Target="media/image1.jpeg"/><Relationship Id="rId32" Type="http://schemas.openxmlformats.org/officeDocument/2006/relationships/image" Target="media/image13.wmf"/><Relationship Id="rId53" Type="http://schemas.openxmlformats.org/officeDocument/2006/relationships/oleObject" Target="embeddings/oleObject14.bin"/><Relationship Id="rId74" Type="http://schemas.openxmlformats.org/officeDocument/2006/relationships/image" Target="media/image35.wmf"/><Relationship Id="rId128" Type="http://schemas.openxmlformats.org/officeDocument/2006/relationships/oleObject" Target="embeddings/oleObject70.bin"/><Relationship Id="rId149" Type="http://schemas.openxmlformats.org/officeDocument/2006/relationships/oleObject" Target="embeddings/oleObject78.bin"/><Relationship Id="rId5" Type="http://schemas.openxmlformats.org/officeDocument/2006/relationships/numbering" Target="numbering.xml"/><Relationship Id="rId95" Type="http://schemas.openxmlformats.org/officeDocument/2006/relationships/oleObject" Target="embeddings/oleObject45.bin"/><Relationship Id="rId160" Type="http://schemas.openxmlformats.org/officeDocument/2006/relationships/image" Target="media/image67.wmf"/><Relationship Id="rId181" Type="http://schemas.openxmlformats.org/officeDocument/2006/relationships/oleObject" Target="embeddings/oleObject85.bin"/><Relationship Id="rId216" Type="http://schemas.openxmlformats.org/officeDocument/2006/relationships/oleObject" Target="embeddings/oleObject95.bin"/><Relationship Id="rId22" Type="http://schemas.openxmlformats.org/officeDocument/2006/relationships/image" Target="media/image8.emf"/><Relationship Id="rId27" Type="http://schemas.openxmlformats.org/officeDocument/2006/relationships/oleObject" Target="embeddings/oleObject4.bin"/><Relationship Id="rId43" Type="http://schemas.openxmlformats.org/officeDocument/2006/relationships/oleObject" Target="embeddings/oleObject11.bin"/><Relationship Id="rId48" Type="http://schemas.openxmlformats.org/officeDocument/2006/relationships/image" Target="media/image22.wmf"/><Relationship Id="rId64" Type="http://schemas.openxmlformats.org/officeDocument/2006/relationships/oleObject" Target="embeddings/oleObject20.bin"/><Relationship Id="rId69" Type="http://schemas.openxmlformats.org/officeDocument/2006/relationships/image" Target="media/image33.wmf"/><Relationship Id="rId113" Type="http://schemas.openxmlformats.org/officeDocument/2006/relationships/oleObject" Target="embeddings/oleObject62.bin"/><Relationship Id="rId118" Type="http://schemas.openxmlformats.org/officeDocument/2006/relationships/image" Target="media/image39.png"/><Relationship Id="rId134" Type="http://schemas.openxmlformats.org/officeDocument/2006/relationships/image" Target="media/image46.png"/><Relationship Id="rId139" Type="http://schemas.openxmlformats.org/officeDocument/2006/relationships/image" Target="media/image48.png"/><Relationship Id="rId80" Type="http://schemas.openxmlformats.org/officeDocument/2006/relationships/oleObject" Target="embeddings/oleObject30.bin"/><Relationship Id="rId85" Type="http://schemas.openxmlformats.org/officeDocument/2006/relationships/oleObject" Target="embeddings/oleObject35.bin"/><Relationship Id="rId150" Type="http://schemas.openxmlformats.org/officeDocument/2006/relationships/image" Target="media/image57.wmf"/><Relationship Id="rId155" Type="http://schemas.openxmlformats.org/officeDocument/2006/relationships/image" Target="media/image62.wmf"/><Relationship Id="rId171" Type="http://schemas.openxmlformats.org/officeDocument/2006/relationships/image" Target="media/image78.wmf"/><Relationship Id="rId176" Type="http://schemas.openxmlformats.org/officeDocument/2006/relationships/oleObject" Target="embeddings/oleObject81.bin"/><Relationship Id="rId192" Type="http://schemas.openxmlformats.org/officeDocument/2006/relationships/image" Target="media/image92.wmf"/><Relationship Id="rId197" Type="http://schemas.openxmlformats.org/officeDocument/2006/relationships/image" Target="media/image97.wmf"/><Relationship Id="rId206" Type="http://schemas.openxmlformats.org/officeDocument/2006/relationships/oleObject" Target="embeddings/oleObject88.bin"/><Relationship Id="rId227" Type="http://schemas.openxmlformats.org/officeDocument/2006/relationships/oleObject" Target="embeddings/oleObject101.bin"/><Relationship Id="rId201" Type="http://schemas.openxmlformats.org/officeDocument/2006/relationships/image" Target="media/image101.wmf"/><Relationship Id="rId222" Type="http://schemas.openxmlformats.org/officeDocument/2006/relationships/image" Target="media/image109.wmf"/><Relationship Id="rId12" Type="http://schemas.openxmlformats.org/officeDocument/2006/relationships/image" Target="media/image2.png"/><Relationship Id="rId17" Type="http://schemas.openxmlformats.org/officeDocument/2006/relationships/image" Target="media/image5.emf"/><Relationship Id="rId33" Type="http://schemas.openxmlformats.org/officeDocument/2006/relationships/image" Target="media/image14.wmf"/><Relationship Id="rId38" Type="http://schemas.openxmlformats.org/officeDocument/2006/relationships/oleObject" Target="embeddings/oleObject8.bin"/><Relationship Id="rId59" Type="http://schemas.openxmlformats.org/officeDocument/2006/relationships/image" Target="media/image31.wmf"/><Relationship Id="rId103" Type="http://schemas.openxmlformats.org/officeDocument/2006/relationships/oleObject" Target="embeddings/oleObject53.bin"/><Relationship Id="rId108" Type="http://schemas.openxmlformats.org/officeDocument/2006/relationships/oleObject" Target="embeddings/oleObject58.bin"/><Relationship Id="rId124" Type="http://schemas.openxmlformats.org/officeDocument/2006/relationships/image" Target="media/image42.png"/><Relationship Id="rId129" Type="http://schemas.openxmlformats.org/officeDocument/2006/relationships/oleObject" Target="embeddings/oleObject71.bin"/><Relationship Id="rId54" Type="http://schemas.openxmlformats.org/officeDocument/2006/relationships/image" Target="media/image27.wmf"/><Relationship Id="rId70" Type="http://schemas.openxmlformats.org/officeDocument/2006/relationships/oleObject" Target="embeddings/oleObject22.bin"/><Relationship Id="rId75" Type="http://schemas.openxmlformats.org/officeDocument/2006/relationships/oleObject" Target="embeddings/oleObject25.bin"/><Relationship Id="rId91" Type="http://schemas.openxmlformats.org/officeDocument/2006/relationships/oleObject" Target="embeddings/oleObject41.bin"/><Relationship Id="rId96" Type="http://schemas.openxmlformats.org/officeDocument/2006/relationships/oleObject" Target="embeddings/oleObject46.bin"/><Relationship Id="rId140" Type="http://schemas.openxmlformats.org/officeDocument/2006/relationships/oleObject" Target="embeddings/oleObject77.bin"/><Relationship Id="rId145" Type="http://schemas.openxmlformats.org/officeDocument/2006/relationships/image" Target="media/image53.wmf"/><Relationship Id="rId161" Type="http://schemas.openxmlformats.org/officeDocument/2006/relationships/image" Target="media/image68.wmf"/><Relationship Id="rId166" Type="http://schemas.openxmlformats.org/officeDocument/2006/relationships/image" Target="media/image73.wmf"/><Relationship Id="rId182" Type="http://schemas.openxmlformats.org/officeDocument/2006/relationships/image" Target="media/image82.wmf"/><Relationship Id="rId187" Type="http://schemas.openxmlformats.org/officeDocument/2006/relationships/image" Target="media/image87.wmf"/><Relationship Id="rId217" Type="http://schemas.openxmlformats.org/officeDocument/2006/relationships/image" Target="media/image107.wmf"/><Relationship Id="rId1" Type="http://schemas.openxmlformats.org/officeDocument/2006/relationships/customXml" Target="../customXml/item1.xml"/><Relationship Id="rId6" Type="http://schemas.openxmlformats.org/officeDocument/2006/relationships/styles" Target="styles.xml"/><Relationship Id="rId212" Type="http://schemas.openxmlformats.org/officeDocument/2006/relationships/oleObject" Target="embeddings/oleObject93.bin"/><Relationship Id="rId23" Type="http://schemas.openxmlformats.org/officeDocument/2006/relationships/oleObject" Target="embeddings/oleObject3.bin"/><Relationship Id="rId28" Type="http://schemas.openxmlformats.org/officeDocument/2006/relationships/image" Target="media/image11.wmf"/><Relationship Id="rId49" Type="http://schemas.openxmlformats.org/officeDocument/2006/relationships/image" Target="media/image23.wmf"/><Relationship Id="rId114" Type="http://schemas.openxmlformats.org/officeDocument/2006/relationships/image" Target="media/image37.wmf"/><Relationship Id="rId119" Type="http://schemas.openxmlformats.org/officeDocument/2006/relationships/oleObject" Target="embeddings/oleObject65.bin"/><Relationship Id="rId44" Type="http://schemas.openxmlformats.org/officeDocument/2006/relationships/image" Target="media/image20.wmf"/><Relationship Id="rId60" Type="http://schemas.openxmlformats.org/officeDocument/2006/relationships/oleObject" Target="embeddings/oleObject16.bin"/><Relationship Id="rId65" Type="http://schemas.openxmlformats.org/officeDocument/2006/relationships/oleObject" Target="embeddings/oleObject21.bin"/><Relationship Id="rId81" Type="http://schemas.openxmlformats.org/officeDocument/2006/relationships/oleObject" Target="embeddings/oleObject31.bin"/><Relationship Id="rId86" Type="http://schemas.openxmlformats.org/officeDocument/2006/relationships/oleObject" Target="embeddings/oleObject36.bin"/><Relationship Id="rId130" Type="http://schemas.openxmlformats.org/officeDocument/2006/relationships/image" Target="media/image44.png"/><Relationship Id="rId135" Type="http://schemas.openxmlformats.org/officeDocument/2006/relationships/oleObject" Target="embeddings/oleObject74.bin"/><Relationship Id="rId151" Type="http://schemas.openxmlformats.org/officeDocument/2006/relationships/image" Target="media/image58.wmf"/><Relationship Id="rId156" Type="http://schemas.openxmlformats.org/officeDocument/2006/relationships/image" Target="media/image63.wmf"/><Relationship Id="rId177" Type="http://schemas.openxmlformats.org/officeDocument/2006/relationships/oleObject" Target="embeddings/oleObject82.bin"/><Relationship Id="rId198" Type="http://schemas.openxmlformats.org/officeDocument/2006/relationships/image" Target="media/image98.wmf"/><Relationship Id="rId172" Type="http://schemas.openxmlformats.org/officeDocument/2006/relationships/oleObject" Target="embeddings/oleObject79.bin"/><Relationship Id="rId193" Type="http://schemas.openxmlformats.org/officeDocument/2006/relationships/image" Target="media/image93.wmf"/><Relationship Id="rId202" Type="http://schemas.openxmlformats.org/officeDocument/2006/relationships/oleObject" Target="embeddings/oleObject86.bin"/><Relationship Id="rId207" Type="http://schemas.openxmlformats.org/officeDocument/2006/relationships/image" Target="media/image104.wmf"/><Relationship Id="rId223" Type="http://schemas.openxmlformats.org/officeDocument/2006/relationships/oleObject" Target="embeddings/oleObject99.bin"/><Relationship Id="rId228" Type="http://schemas.openxmlformats.org/officeDocument/2006/relationships/header" Target="header1.xml"/><Relationship Id="rId13" Type="http://schemas.openxmlformats.org/officeDocument/2006/relationships/image" Target="media/image3.wmf"/><Relationship Id="rId18" Type="http://schemas.openxmlformats.org/officeDocument/2006/relationships/package" Target="embeddings/Microsoft_Visio_Drawing.vsdx"/><Relationship Id="rId39" Type="http://schemas.openxmlformats.org/officeDocument/2006/relationships/image" Target="media/image18.wmf"/><Relationship Id="rId109" Type="http://schemas.openxmlformats.org/officeDocument/2006/relationships/oleObject" Target="embeddings/oleObject59.bin"/><Relationship Id="rId34" Type="http://schemas.openxmlformats.org/officeDocument/2006/relationships/image" Target="media/image15.wmf"/><Relationship Id="rId50" Type="http://schemas.openxmlformats.org/officeDocument/2006/relationships/image" Target="media/image24.wmf"/><Relationship Id="rId55" Type="http://schemas.openxmlformats.org/officeDocument/2006/relationships/image" Target="media/image28.wmf"/><Relationship Id="rId76" Type="http://schemas.openxmlformats.org/officeDocument/2006/relationships/oleObject" Target="embeddings/oleObject26.bin"/><Relationship Id="rId97" Type="http://schemas.openxmlformats.org/officeDocument/2006/relationships/oleObject" Target="embeddings/oleObject47.bin"/><Relationship Id="rId104" Type="http://schemas.openxmlformats.org/officeDocument/2006/relationships/oleObject" Target="embeddings/oleObject54.bin"/><Relationship Id="rId120" Type="http://schemas.openxmlformats.org/officeDocument/2006/relationships/image" Target="media/image40.png"/><Relationship Id="rId125" Type="http://schemas.openxmlformats.org/officeDocument/2006/relationships/oleObject" Target="embeddings/oleObject68.bin"/><Relationship Id="rId141" Type="http://schemas.openxmlformats.org/officeDocument/2006/relationships/image" Target="media/image49.wmf"/><Relationship Id="rId146" Type="http://schemas.openxmlformats.org/officeDocument/2006/relationships/image" Target="media/image54.wmf"/><Relationship Id="rId167" Type="http://schemas.openxmlformats.org/officeDocument/2006/relationships/image" Target="media/image74.wmf"/><Relationship Id="rId188" Type="http://schemas.openxmlformats.org/officeDocument/2006/relationships/image" Target="media/image88.wmf"/><Relationship Id="rId7" Type="http://schemas.openxmlformats.org/officeDocument/2006/relationships/settings" Target="settings.xml"/><Relationship Id="rId71" Type="http://schemas.openxmlformats.org/officeDocument/2006/relationships/image" Target="media/image34.wmf"/><Relationship Id="rId92" Type="http://schemas.openxmlformats.org/officeDocument/2006/relationships/oleObject" Target="embeddings/oleObject42.bin"/><Relationship Id="rId162" Type="http://schemas.openxmlformats.org/officeDocument/2006/relationships/image" Target="media/image69.wmf"/><Relationship Id="rId183" Type="http://schemas.openxmlformats.org/officeDocument/2006/relationships/image" Target="media/image83.wmf"/><Relationship Id="rId213" Type="http://schemas.openxmlformats.org/officeDocument/2006/relationships/image" Target="media/image105.wmf"/><Relationship Id="rId218" Type="http://schemas.openxmlformats.org/officeDocument/2006/relationships/oleObject" Target="embeddings/oleObject96.bin"/><Relationship Id="rId2" Type="http://schemas.openxmlformats.org/officeDocument/2006/relationships/customXml" Target="../customXml/item2.xml"/><Relationship Id="rId29" Type="http://schemas.openxmlformats.org/officeDocument/2006/relationships/oleObject" Target="embeddings/oleObject5.bin"/><Relationship Id="rId24" Type="http://schemas.openxmlformats.org/officeDocument/2006/relationships/image" Target="media/image9.gif"/><Relationship Id="rId40" Type="http://schemas.openxmlformats.org/officeDocument/2006/relationships/oleObject" Target="embeddings/oleObject9.bin"/><Relationship Id="rId45" Type="http://schemas.openxmlformats.org/officeDocument/2006/relationships/oleObject" Target="embeddings/oleObject12.bin"/><Relationship Id="rId66" Type="http://schemas.openxmlformats.org/officeDocument/2006/relationships/image" Target="media/image32.wmf"/><Relationship Id="rId87" Type="http://schemas.openxmlformats.org/officeDocument/2006/relationships/oleObject" Target="embeddings/oleObject37.bin"/><Relationship Id="rId110" Type="http://schemas.openxmlformats.org/officeDocument/2006/relationships/image" Target="media/image36.wmf"/><Relationship Id="rId115" Type="http://schemas.openxmlformats.org/officeDocument/2006/relationships/oleObject" Target="embeddings/oleObject63.bin"/><Relationship Id="rId131" Type="http://schemas.openxmlformats.org/officeDocument/2006/relationships/oleObject" Target="embeddings/oleObject72.bin"/><Relationship Id="rId136" Type="http://schemas.openxmlformats.org/officeDocument/2006/relationships/image" Target="media/image47.png"/><Relationship Id="rId157" Type="http://schemas.openxmlformats.org/officeDocument/2006/relationships/image" Target="media/image64.wmf"/><Relationship Id="rId178" Type="http://schemas.openxmlformats.org/officeDocument/2006/relationships/oleObject" Target="embeddings/oleObject83.bin"/><Relationship Id="rId61" Type="http://schemas.openxmlformats.org/officeDocument/2006/relationships/oleObject" Target="embeddings/oleObject17.bin"/><Relationship Id="rId82" Type="http://schemas.openxmlformats.org/officeDocument/2006/relationships/oleObject" Target="embeddings/oleObject32.bin"/><Relationship Id="rId152" Type="http://schemas.openxmlformats.org/officeDocument/2006/relationships/image" Target="media/image59.wmf"/><Relationship Id="rId173" Type="http://schemas.openxmlformats.org/officeDocument/2006/relationships/image" Target="media/image79.wmf"/><Relationship Id="rId194" Type="http://schemas.openxmlformats.org/officeDocument/2006/relationships/image" Target="media/image94.wmf"/><Relationship Id="rId199" Type="http://schemas.openxmlformats.org/officeDocument/2006/relationships/image" Target="media/image99.wmf"/><Relationship Id="rId203" Type="http://schemas.openxmlformats.org/officeDocument/2006/relationships/image" Target="media/image102.wmf"/><Relationship Id="rId208" Type="http://schemas.openxmlformats.org/officeDocument/2006/relationships/oleObject" Target="embeddings/oleObject89.bin"/><Relationship Id="rId229" Type="http://schemas.openxmlformats.org/officeDocument/2006/relationships/footer" Target="footer1.xml"/><Relationship Id="rId19" Type="http://schemas.openxmlformats.org/officeDocument/2006/relationships/image" Target="media/image6.emf"/><Relationship Id="rId224" Type="http://schemas.openxmlformats.org/officeDocument/2006/relationships/image" Target="media/image110.wmf"/><Relationship Id="rId14" Type="http://schemas.openxmlformats.org/officeDocument/2006/relationships/oleObject" Target="embeddings/oleObject1.bin"/><Relationship Id="rId30" Type="http://schemas.openxmlformats.org/officeDocument/2006/relationships/image" Target="media/image12.wmf"/><Relationship Id="rId35" Type="http://schemas.openxmlformats.org/officeDocument/2006/relationships/image" Target="media/image16.wmf"/><Relationship Id="rId56" Type="http://schemas.openxmlformats.org/officeDocument/2006/relationships/image" Target="media/image29.wmf"/><Relationship Id="rId77" Type="http://schemas.openxmlformats.org/officeDocument/2006/relationships/oleObject" Target="embeddings/oleObject27.bin"/><Relationship Id="rId100" Type="http://schemas.openxmlformats.org/officeDocument/2006/relationships/oleObject" Target="embeddings/oleObject50.bin"/><Relationship Id="rId105" Type="http://schemas.openxmlformats.org/officeDocument/2006/relationships/oleObject" Target="embeddings/oleObject55.bin"/><Relationship Id="rId126" Type="http://schemas.openxmlformats.org/officeDocument/2006/relationships/oleObject" Target="embeddings/oleObject69.bin"/><Relationship Id="rId147" Type="http://schemas.openxmlformats.org/officeDocument/2006/relationships/image" Target="media/image55.wmf"/><Relationship Id="rId168" Type="http://schemas.openxmlformats.org/officeDocument/2006/relationships/image" Target="media/image75.wmf"/><Relationship Id="rId8" Type="http://schemas.openxmlformats.org/officeDocument/2006/relationships/webSettings" Target="webSettings.xml"/><Relationship Id="rId51" Type="http://schemas.openxmlformats.org/officeDocument/2006/relationships/image" Target="media/image25.wmf"/><Relationship Id="rId72" Type="http://schemas.openxmlformats.org/officeDocument/2006/relationships/oleObject" Target="embeddings/oleObject23.bin"/><Relationship Id="rId93" Type="http://schemas.openxmlformats.org/officeDocument/2006/relationships/oleObject" Target="embeddings/oleObject43.bin"/><Relationship Id="rId98" Type="http://schemas.openxmlformats.org/officeDocument/2006/relationships/oleObject" Target="embeddings/oleObject48.bin"/><Relationship Id="rId121" Type="http://schemas.openxmlformats.org/officeDocument/2006/relationships/image" Target="media/image41.emf"/><Relationship Id="rId142" Type="http://schemas.openxmlformats.org/officeDocument/2006/relationships/image" Target="media/image50.wmf"/><Relationship Id="rId163" Type="http://schemas.openxmlformats.org/officeDocument/2006/relationships/image" Target="media/image70.wmf"/><Relationship Id="rId184" Type="http://schemas.openxmlformats.org/officeDocument/2006/relationships/image" Target="media/image84.wmf"/><Relationship Id="rId189" Type="http://schemas.openxmlformats.org/officeDocument/2006/relationships/image" Target="media/image89.wmf"/><Relationship Id="rId219" Type="http://schemas.openxmlformats.org/officeDocument/2006/relationships/oleObject" Target="embeddings/oleObject97.bin"/><Relationship Id="rId3" Type="http://schemas.openxmlformats.org/officeDocument/2006/relationships/customXml" Target="../customXml/item3.xml"/><Relationship Id="rId214" Type="http://schemas.openxmlformats.org/officeDocument/2006/relationships/oleObject" Target="embeddings/oleObject94.bin"/><Relationship Id="rId230" Type="http://schemas.openxmlformats.org/officeDocument/2006/relationships/fontTable" Target="fontTable.xml"/><Relationship Id="rId25" Type="http://schemas.openxmlformats.org/officeDocument/2006/relationships/image" Target="media/image9.wmf"/><Relationship Id="rId46" Type="http://schemas.openxmlformats.org/officeDocument/2006/relationships/image" Target="media/image21.wmf"/><Relationship Id="rId67" Type="http://schemas.openxmlformats.org/officeDocument/2006/relationships/image" Target="cid:image003.png@01D6459A.4A6FCF50" TargetMode="External"/><Relationship Id="rId116" Type="http://schemas.openxmlformats.org/officeDocument/2006/relationships/image" Target="media/image38.png"/><Relationship Id="rId137" Type="http://schemas.openxmlformats.org/officeDocument/2006/relationships/oleObject" Target="embeddings/oleObject75.bin"/><Relationship Id="rId158" Type="http://schemas.openxmlformats.org/officeDocument/2006/relationships/image" Target="media/image65.wmf"/><Relationship Id="rId20" Type="http://schemas.openxmlformats.org/officeDocument/2006/relationships/package" Target="embeddings/Microsoft_Visio_Drawing1.vsdx"/><Relationship Id="rId41" Type="http://schemas.openxmlformats.org/officeDocument/2006/relationships/image" Target="media/image19.wmf"/><Relationship Id="rId62" Type="http://schemas.openxmlformats.org/officeDocument/2006/relationships/oleObject" Target="embeddings/oleObject18.bin"/><Relationship Id="rId83" Type="http://schemas.openxmlformats.org/officeDocument/2006/relationships/oleObject" Target="embeddings/oleObject33.bin"/><Relationship Id="rId88" Type="http://schemas.openxmlformats.org/officeDocument/2006/relationships/oleObject" Target="embeddings/oleObject38.bin"/><Relationship Id="rId111" Type="http://schemas.openxmlformats.org/officeDocument/2006/relationships/oleObject" Target="embeddings/oleObject60.bin"/><Relationship Id="rId132" Type="http://schemas.openxmlformats.org/officeDocument/2006/relationships/image" Target="media/image45.png"/><Relationship Id="rId153" Type="http://schemas.openxmlformats.org/officeDocument/2006/relationships/image" Target="media/image60.wmf"/><Relationship Id="rId174" Type="http://schemas.openxmlformats.org/officeDocument/2006/relationships/oleObject" Target="embeddings/oleObject80.bin"/><Relationship Id="rId179" Type="http://schemas.openxmlformats.org/officeDocument/2006/relationships/image" Target="media/image81.wmf"/><Relationship Id="rId195" Type="http://schemas.openxmlformats.org/officeDocument/2006/relationships/image" Target="media/image95.wmf"/><Relationship Id="rId209" Type="http://schemas.openxmlformats.org/officeDocument/2006/relationships/oleObject" Target="embeddings/oleObject90.bin"/><Relationship Id="rId190" Type="http://schemas.openxmlformats.org/officeDocument/2006/relationships/image" Target="media/image90.wmf"/><Relationship Id="rId204" Type="http://schemas.openxmlformats.org/officeDocument/2006/relationships/oleObject" Target="embeddings/oleObject87.bin"/><Relationship Id="rId220" Type="http://schemas.openxmlformats.org/officeDocument/2006/relationships/image" Target="media/image108.wmf"/><Relationship Id="rId225" Type="http://schemas.openxmlformats.org/officeDocument/2006/relationships/oleObject" Target="embeddings/oleObject100.bin"/><Relationship Id="rId15" Type="http://schemas.openxmlformats.org/officeDocument/2006/relationships/image" Target="media/image4.wmf"/><Relationship Id="rId36" Type="http://schemas.openxmlformats.org/officeDocument/2006/relationships/oleObject" Target="embeddings/oleObject7.bin"/><Relationship Id="rId57" Type="http://schemas.openxmlformats.org/officeDocument/2006/relationships/image" Target="media/image30.wmf"/><Relationship Id="rId106" Type="http://schemas.openxmlformats.org/officeDocument/2006/relationships/oleObject" Target="embeddings/oleObject56.bin"/><Relationship Id="rId127" Type="http://schemas.openxmlformats.org/officeDocument/2006/relationships/image" Target="media/image43.emf"/><Relationship Id="rId10" Type="http://schemas.openxmlformats.org/officeDocument/2006/relationships/endnotes" Target="endnotes.xml"/><Relationship Id="rId31" Type="http://schemas.openxmlformats.org/officeDocument/2006/relationships/oleObject" Target="embeddings/oleObject6.bin"/><Relationship Id="rId52" Type="http://schemas.openxmlformats.org/officeDocument/2006/relationships/image" Target="media/image26.wmf"/><Relationship Id="rId73" Type="http://schemas.openxmlformats.org/officeDocument/2006/relationships/oleObject" Target="embeddings/oleObject24.bin"/><Relationship Id="rId78" Type="http://schemas.openxmlformats.org/officeDocument/2006/relationships/oleObject" Target="embeddings/oleObject28.bin"/><Relationship Id="rId94" Type="http://schemas.openxmlformats.org/officeDocument/2006/relationships/oleObject" Target="embeddings/oleObject44.bin"/><Relationship Id="rId99" Type="http://schemas.openxmlformats.org/officeDocument/2006/relationships/oleObject" Target="embeddings/oleObject49.bin"/><Relationship Id="rId101" Type="http://schemas.openxmlformats.org/officeDocument/2006/relationships/oleObject" Target="embeddings/oleObject51.bin"/><Relationship Id="rId122" Type="http://schemas.openxmlformats.org/officeDocument/2006/relationships/oleObject" Target="embeddings/oleObject66.bin"/><Relationship Id="rId143" Type="http://schemas.openxmlformats.org/officeDocument/2006/relationships/image" Target="media/image51.wmf"/><Relationship Id="rId148" Type="http://schemas.openxmlformats.org/officeDocument/2006/relationships/image" Target="media/image56.wmf"/><Relationship Id="rId164" Type="http://schemas.openxmlformats.org/officeDocument/2006/relationships/image" Target="media/image71.wmf"/><Relationship Id="rId169" Type="http://schemas.openxmlformats.org/officeDocument/2006/relationships/image" Target="media/image76.wmf"/><Relationship Id="rId185" Type="http://schemas.openxmlformats.org/officeDocument/2006/relationships/image" Target="media/image85.wmf"/><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oleObject" Target="embeddings/oleObject84.bin"/><Relationship Id="rId210" Type="http://schemas.openxmlformats.org/officeDocument/2006/relationships/oleObject" Target="embeddings/oleObject91.bin"/><Relationship Id="rId215" Type="http://schemas.openxmlformats.org/officeDocument/2006/relationships/image" Target="media/image106.wmf"/><Relationship Id="rId26" Type="http://schemas.openxmlformats.org/officeDocument/2006/relationships/image" Target="media/image10.wmf"/><Relationship Id="rId231" Type="http://schemas.openxmlformats.org/officeDocument/2006/relationships/theme" Target="theme/theme1.xml"/><Relationship Id="rId47" Type="http://schemas.openxmlformats.org/officeDocument/2006/relationships/oleObject" Target="embeddings/oleObject13.bin"/><Relationship Id="rId68" Type="http://schemas.openxmlformats.org/officeDocument/2006/relationships/image" Target="cid:image004.png@01D6459A.4A6FCF50" TargetMode="External"/><Relationship Id="rId89" Type="http://schemas.openxmlformats.org/officeDocument/2006/relationships/oleObject" Target="embeddings/oleObject39.bin"/><Relationship Id="rId112" Type="http://schemas.openxmlformats.org/officeDocument/2006/relationships/oleObject" Target="embeddings/oleObject61.bin"/><Relationship Id="rId133" Type="http://schemas.openxmlformats.org/officeDocument/2006/relationships/oleObject" Target="embeddings/oleObject73.bin"/><Relationship Id="rId154" Type="http://schemas.openxmlformats.org/officeDocument/2006/relationships/image" Target="media/image61.wmf"/><Relationship Id="rId175" Type="http://schemas.openxmlformats.org/officeDocument/2006/relationships/image" Target="media/image80.wmf"/><Relationship Id="rId196" Type="http://schemas.openxmlformats.org/officeDocument/2006/relationships/image" Target="media/image96.wmf"/><Relationship Id="rId200" Type="http://schemas.openxmlformats.org/officeDocument/2006/relationships/image" Target="media/image100.wmf"/><Relationship Id="rId16" Type="http://schemas.openxmlformats.org/officeDocument/2006/relationships/oleObject" Target="embeddings/oleObject2.bin"/><Relationship Id="rId221" Type="http://schemas.openxmlformats.org/officeDocument/2006/relationships/oleObject" Target="embeddings/oleObject98.bin"/><Relationship Id="rId37" Type="http://schemas.openxmlformats.org/officeDocument/2006/relationships/image" Target="media/image17.wmf"/><Relationship Id="rId58" Type="http://schemas.openxmlformats.org/officeDocument/2006/relationships/oleObject" Target="embeddings/oleObject15.bin"/><Relationship Id="rId79" Type="http://schemas.openxmlformats.org/officeDocument/2006/relationships/oleObject" Target="embeddings/oleObject29.bin"/><Relationship Id="rId102" Type="http://schemas.openxmlformats.org/officeDocument/2006/relationships/oleObject" Target="embeddings/oleObject52.bin"/><Relationship Id="rId123" Type="http://schemas.openxmlformats.org/officeDocument/2006/relationships/oleObject" Target="embeddings/oleObject67.bin"/><Relationship Id="rId144" Type="http://schemas.openxmlformats.org/officeDocument/2006/relationships/image" Target="media/image52.wmf"/><Relationship Id="rId90" Type="http://schemas.openxmlformats.org/officeDocument/2006/relationships/oleObject" Target="embeddings/oleObject40.bin"/><Relationship Id="rId165" Type="http://schemas.openxmlformats.org/officeDocument/2006/relationships/image" Target="media/image72.wmf"/><Relationship Id="rId186" Type="http://schemas.openxmlformats.org/officeDocument/2006/relationships/image" Target="media/image86.wmf"/><Relationship Id="rId211" Type="http://schemas.openxmlformats.org/officeDocument/2006/relationships/oleObject" Target="embeddings/oleObject92.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ylorcarol\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EB28163D68FE8E4D9361964FDD814FC4" ma:contentTypeVersion="13" ma:contentTypeDescription="Create a new document." ma:contentTypeScope="" ma:versionID="37ac4f6a893d7a0640dd9ef9e0f1a8cc">
  <xsd:schema xmlns:xsd="http://www.w3.org/2001/XMLSchema" xmlns:xs="http://www.w3.org/2001/XMLSchema" xmlns:p="http://schemas.microsoft.com/office/2006/metadata/properties" xmlns:ns3="cc9c437c-ae0c-4066-8d90-a0f7de786127" xmlns:ns4="ba37140e-f4c5-4a6c-a9b4-20a691ce6c8a" targetNamespace="http://schemas.microsoft.com/office/2006/metadata/properties" ma:root="true" ma:fieldsID="fbf0c81d0cfeaa7fd9bb1bca694773ca" ns3:_="" ns4:_="">
    <xsd:import namespace="cc9c437c-ae0c-4066-8d90-a0f7de786127"/>
    <xsd:import namespace="ba37140e-f4c5-4a6c-a9b4-20a691ce6c8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DateTaken"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c9c437c-ae0c-4066-8d90-a0f7de78612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a37140e-f4c5-4a6c-a9b4-20a691ce6c8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7D0465F-C58C-4E3F-BB91-BCD20817791A}">
  <ds:schemaRefs>
    <ds:schemaRef ds:uri="http://schemas.openxmlformats.org/officeDocument/2006/bibliography"/>
  </ds:schemaRefs>
</ds:datastoreItem>
</file>

<file path=customXml/itemProps2.xml><?xml version="1.0" encoding="utf-8"?>
<ds:datastoreItem xmlns:ds="http://schemas.openxmlformats.org/officeDocument/2006/customXml" ds:itemID="{04E6CC6B-684E-4565-8232-8056EFC0766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09D466C-EB16-43ED-A34A-AFE8C69DA131}">
  <ds:schemaRefs>
    <ds:schemaRef ds:uri="http://schemas.microsoft.com/sharepoint/v3/contenttype/forms"/>
  </ds:schemaRefs>
</ds:datastoreItem>
</file>

<file path=customXml/itemProps4.xml><?xml version="1.0" encoding="utf-8"?>
<ds:datastoreItem xmlns:ds="http://schemas.openxmlformats.org/officeDocument/2006/customXml" ds:itemID="{FA13B39E-17F3-4ECD-AFCB-0AED3328A0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c9c437c-ae0c-4066-8d90-a0f7de786127"/>
    <ds:schemaRef ds:uri="ba37140e-f4c5-4a6c-a9b4-20a691ce6c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3gpp_70.dot</Template>
  <TotalTime>40</TotalTime>
  <Pages>317</Pages>
  <Words>107206</Words>
  <Characters>611078</Characters>
  <Application>Microsoft Office Word</Application>
  <DocSecurity>0</DocSecurity>
  <Lines>5092</Lines>
  <Paragraphs>1433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716851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Nazmul Islam</dc:creator>
  <cp:lastModifiedBy>MCC</cp:lastModifiedBy>
  <cp:revision>22</cp:revision>
  <dcterms:created xsi:type="dcterms:W3CDTF">2022-04-01T10:58:00Z</dcterms:created>
  <dcterms:modified xsi:type="dcterms:W3CDTF">2023-01-09T09:12:00Z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SCPROP">
    <vt:lpwstr>NSCCustomProperty</vt:lpwstr>
  </property>
  <property fmtid="{D5CDD505-2E9C-101B-9397-08002B2CF9AE}" pid="3" name="NSCPROP_SA">
    <vt:lpwstr>C:\Users\liyankun\AppData\Local\Microsoft\Windows\INetCache\Content.Outlook\8YATDQTN\R4-19xxxxx Skeleton of Rel-16 IAB RAN4 Spec v3.docx</vt:lpwstr>
  </property>
  <property fmtid="{D5CDD505-2E9C-101B-9397-08002B2CF9AE}" pid="4" name="ContentTypeId">
    <vt:lpwstr>0x010100EB28163D68FE8E4D9361964FDD814FC4</vt:lpwstr>
  </property>
  <property fmtid="{D5CDD505-2E9C-101B-9397-08002B2CF9AE}" pid="5" name="_NewReviewCycle">
    <vt:lpwstr/>
  </property>
</Properties>
</file>